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894" w:rsidRPr="005530E5" w:rsidRDefault="00A71BAC" w:rsidP="00A71BAC">
      <w:pPr>
        <w:pStyle w:val="Pagedecouvertur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alt="6B9DAAD7-6881-4ECC-B6AE-201F2115F0B6" style="width:455.25pt;height:355.5pt">
            <v:imagedata r:id="rId8" o:title=""/>
          </v:shape>
        </w:pict>
      </w:r>
    </w:p>
    <w:p w:rsidR="005D2B3E" w:rsidRPr="005530E5" w:rsidRDefault="005D2B3E">
      <w:pPr>
        <w:rPr>
          <w:noProof/>
        </w:rPr>
        <w:sectPr w:rsidR="005D2B3E" w:rsidRPr="005530E5" w:rsidSect="00A71BAC">
          <w:footerReference w:type="default" r:id="rId9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5D2B3E" w:rsidRPr="005530E5" w:rsidRDefault="005530E5" w:rsidP="005530E5">
      <w:pPr>
        <w:pStyle w:val="Typedudocument"/>
        <w:rPr>
          <w:noProof/>
        </w:rPr>
      </w:pPr>
      <w:bookmarkStart w:id="0" w:name="_GoBack"/>
      <w:bookmarkEnd w:id="0"/>
      <w:r w:rsidRPr="005530E5">
        <w:rPr>
          <w:noProof/>
        </w:rPr>
        <w:lastRenderedPageBreak/>
        <w:t>PROVÁDĚCÍ NAŘÍZENÍ KOMISE (EU) …/...</w:t>
      </w:r>
    </w:p>
    <w:p w:rsidR="005D2B3E" w:rsidRPr="005530E5" w:rsidRDefault="00D1591B" w:rsidP="005530E5">
      <w:pPr>
        <w:pStyle w:val="Datedadoption"/>
        <w:rPr>
          <w:noProof/>
        </w:rPr>
      </w:pPr>
      <w:r>
        <w:t>ze dne 21.11.2022</w:t>
      </w:r>
    </w:p>
    <w:p w:rsidR="005D2B3E" w:rsidRPr="005530E5" w:rsidRDefault="005530E5" w:rsidP="005530E5">
      <w:pPr>
        <w:pStyle w:val="Titreobjet"/>
        <w:rPr>
          <w:noProof/>
        </w:rPr>
      </w:pPr>
      <w:r w:rsidRPr="005530E5">
        <w:rPr>
          <w:noProof/>
        </w:rPr>
        <w:t>kterým se mění prováděcí technické normy stanovené v prováděcím nařízení (EU) 2021/451, pokud jde o kapitál, zatížení aktiv, likviditu a podávání zpráv pro účely určení globálních systémově významných institucí</w:t>
      </w:r>
    </w:p>
    <w:p w:rsidR="005D2B3E" w:rsidRPr="005530E5" w:rsidRDefault="005D2B3E" w:rsidP="004E1EF9">
      <w:pPr>
        <w:pStyle w:val="Institutionquiagit"/>
        <w:rPr>
          <w:noProof/>
        </w:rPr>
      </w:pPr>
      <w:r w:rsidRPr="005530E5">
        <w:rPr>
          <w:noProof/>
        </w:rPr>
        <w:t>EVROPSKÁ KOMISE,</w:t>
      </w:r>
    </w:p>
    <w:p w:rsidR="005D2B3E" w:rsidRPr="005530E5" w:rsidRDefault="005D2B3E" w:rsidP="004E1EF9">
      <w:pPr>
        <w:rPr>
          <w:noProof/>
        </w:rPr>
      </w:pPr>
      <w:r w:rsidRPr="005530E5">
        <w:rPr>
          <w:noProof/>
        </w:rPr>
        <w:t>s ohledem na Smlouvu o fungování Evropské unie,</w:t>
      </w:r>
    </w:p>
    <w:p w:rsidR="005D2B3E" w:rsidRPr="005530E5" w:rsidRDefault="005D2B3E" w:rsidP="004E1EF9">
      <w:pPr>
        <w:rPr>
          <w:noProof/>
        </w:rPr>
      </w:pPr>
      <w:r w:rsidRPr="005530E5">
        <w:rPr>
          <w:noProof/>
        </w:rPr>
        <w:t>s ohledem na nařízení Evropského parlamentu a Rady (EU) č. 575/2013 ze dne 26. června 2013 o obezřetnostních požadavcích na úvěrové instituce a o změně nařízení (EU) č. 648/2012</w:t>
      </w:r>
      <w:r w:rsidRPr="005530E5">
        <w:rPr>
          <w:rStyle w:val="FootnoteReference"/>
          <w:noProof/>
        </w:rPr>
        <w:footnoteReference w:id="1"/>
      </w:r>
      <w:r w:rsidRPr="005530E5">
        <w:rPr>
          <w:noProof/>
        </w:rPr>
        <w:t>, a zejména na čl. 415 odst. 3 první pododstavec, čl. 415 odst. 3a první pododstavec, čl. 430 odst. 7 první pododstavec a čl. 430 odst. 9 druhý pododstavec uvedeného nařízení,</w:t>
      </w:r>
    </w:p>
    <w:p w:rsidR="005D2B3E" w:rsidRPr="005530E5" w:rsidRDefault="005D2B3E" w:rsidP="004E1EF9">
      <w:pPr>
        <w:rPr>
          <w:noProof/>
        </w:rPr>
      </w:pPr>
      <w:r w:rsidRPr="005530E5">
        <w:rPr>
          <w:noProof/>
        </w:rPr>
        <w:t>vzhledem k těmto důvodům:</w:t>
      </w:r>
    </w:p>
    <w:p w:rsidR="005D2B3E" w:rsidRPr="005530E5" w:rsidRDefault="00C92BB9" w:rsidP="00C92BB9">
      <w:pPr>
        <w:pStyle w:val="ManualConsidrant"/>
        <w:rPr>
          <w:noProof/>
        </w:rPr>
      </w:pPr>
      <w:r w:rsidRPr="00C92BB9">
        <w:t>(1)</w:t>
      </w:r>
      <w:r w:rsidRPr="00C92BB9">
        <w:tab/>
      </w:r>
      <w:r w:rsidR="005D2B3E" w:rsidRPr="005530E5">
        <w:rPr>
          <w:noProof/>
        </w:rPr>
        <w:t>Prováděcí nařízení Komise (EU) 2021/451</w:t>
      </w:r>
      <w:r w:rsidR="005D2B3E" w:rsidRPr="005530E5">
        <w:rPr>
          <w:rStyle w:val="FootnoteReference"/>
          <w:b/>
          <w:noProof/>
        </w:rPr>
        <w:footnoteReference w:id="2"/>
      </w:r>
      <w:r w:rsidR="005D2B3E" w:rsidRPr="005530E5">
        <w:rPr>
          <w:noProof/>
        </w:rPr>
        <w:t xml:space="preserve"> stanoví technické normy týkající se podávání zpráv pro účely dohledu a upřesňuje způsob, jakým jsou instituce povinny podávat informace důležité pro dodržování nařízení (EU) č. 575/2013. Zmíněné prováděcí nařízení by mělo být změněno, aby odráželo prvky zavedené do nařízení (EU) č. 575/2013 nařízením Evropského Parlamentu a Rady (EU) 2019/876</w:t>
      </w:r>
      <w:r w:rsidR="005D2B3E" w:rsidRPr="005530E5">
        <w:rPr>
          <w:rStyle w:val="FootnoteReference"/>
          <w:b/>
          <w:noProof/>
        </w:rPr>
        <w:footnoteReference w:id="3"/>
      </w:r>
      <w:r w:rsidR="005D2B3E" w:rsidRPr="005530E5">
        <w:rPr>
          <w:noProof/>
        </w:rPr>
        <w:t>.</w:t>
      </w:r>
    </w:p>
    <w:p w:rsidR="005D2B3E" w:rsidRPr="005530E5" w:rsidRDefault="00C92BB9" w:rsidP="00C92BB9">
      <w:pPr>
        <w:pStyle w:val="ManualConsidrant"/>
        <w:rPr>
          <w:noProof/>
        </w:rPr>
      </w:pPr>
      <w:r w:rsidRPr="00C92BB9">
        <w:t>(2)</w:t>
      </w:r>
      <w:r w:rsidRPr="00C92BB9">
        <w:tab/>
      </w:r>
      <w:r w:rsidR="005D2B3E" w:rsidRPr="005530E5">
        <w:rPr>
          <w:noProof/>
        </w:rPr>
        <w:t>Nařízení (EU) 2019/876 změnilo nařízení (EU) č. 575/2013 mimo jiné s cílem zvýšit míru proporcionality požadavků na podávání zpráv týkajících se likvidity. Je proto nezbytné upřesnit revidovaný rozsah požadavků na podávání zpráv o dodatečných monitorovacích nástrojích likvidity, které se vztahují na malé a ne příliš složité instituce v Unii v souladu s prováděcím nařízením (EU) 2021/451. V souladu s doporučeními ze závěrečné zprávy Evropského orgánu pro bankovnictví (EBA) o nákladech na splnění požadavků na podávání zpráv uvedených v čl. 430 odst. 8 nařízení (EU) č. 575/2013 by instituce, které nejsou malé a nepříliš složité, avšak nejedná se ani o instituce velké, měly mít rovněž do určité míry prospěch ze zvýšené míry proporcionality dodatečných monitorovacích nástrojů likvidity.</w:t>
      </w:r>
    </w:p>
    <w:p w:rsidR="005D2B3E" w:rsidRPr="005530E5" w:rsidRDefault="00C92BB9" w:rsidP="00C92BB9">
      <w:pPr>
        <w:pStyle w:val="ManualConsidrant"/>
        <w:rPr>
          <w:noProof/>
        </w:rPr>
      </w:pPr>
      <w:r w:rsidRPr="00C92BB9">
        <w:t>(3)</w:t>
      </w:r>
      <w:r w:rsidRPr="00C92BB9">
        <w:tab/>
      </w:r>
      <w:r w:rsidR="005D2B3E" w:rsidRPr="005530E5">
        <w:rPr>
          <w:noProof/>
        </w:rPr>
        <w:t>Nařízení Evropského Parlamentu a Rady (EU) 2021/558</w:t>
      </w:r>
      <w:r w:rsidR="005D2B3E" w:rsidRPr="005530E5">
        <w:rPr>
          <w:rStyle w:val="FootnoteReference"/>
          <w:noProof/>
        </w:rPr>
        <w:footnoteReference w:id="4"/>
      </w:r>
      <w:r w:rsidR="005D2B3E" w:rsidRPr="005530E5">
        <w:rPr>
          <w:noProof/>
        </w:rPr>
        <w:t xml:space="preserve"> spolu s nařízením Evropského parlamentu a Rady (EU) 2021/557</w:t>
      </w:r>
      <w:r w:rsidR="005D2B3E" w:rsidRPr="005530E5">
        <w:rPr>
          <w:rStyle w:val="FootnoteReference"/>
          <w:noProof/>
        </w:rPr>
        <w:footnoteReference w:id="5"/>
      </w:r>
      <w:r w:rsidR="005D2B3E" w:rsidRPr="005530E5">
        <w:rPr>
          <w:noProof/>
        </w:rPr>
        <w:t xml:space="preserve"> změnilo nařízení (EU) č. 575/2013, respektive nařízení (EU) 2017/2402</w:t>
      </w:r>
      <w:r w:rsidR="005D2B3E" w:rsidRPr="005530E5">
        <w:rPr>
          <w:rStyle w:val="FootnoteReference"/>
          <w:noProof/>
        </w:rPr>
        <w:footnoteReference w:id="6"/>
      </w:r>
      <w:r w:rsidR="005D2B3E" w:rsidRPr="005530E5">
        <w:rPr>
          <w:noProof/>
        </w:rPr>
        <w:t xml:space="preserve"> s cílem zavést cílené úpravy rámce pro sekuritizaci. Tyto cílené úpravy by se měly odrazit v požadavcích na podávání zpráv podle prováděcího nařízení (EU) 2021/451. </w:t>
      </w:r>
    </w:p>
    <w:p w:rsidR="005D2B3E" w:rsidRPr="005530E5" w:rsidRDefault="00C92BB9" w:rsidP="00C92BB9">
      <w:pPr>
        <w:pStyle w:val="ManualConsidrant"/>
        <w:rPr>
          <w:noProof/>
        </w:rPr>
      </w:pPr>
      <w:r w:rsidRPr="00C92BB9">
        <w:t>(4)</w:t>
      </w:r>
      <w:r w:rsidRPr="00C92BB9">
        <w:tab/>
      </w:r>
      <w:r w:rsidR="005D2B3E" w:rsidRPr="005530E5">
        <w:rPr>
          <w:noProof/>
        </w:rPr>
        <w:t>Nařízení (EU) 2019/876 změnilo nařízení (EU) č. 575/2013, pokud jde o zacházení s obezřetně oceňovanými softwarovými aktivy. V této souvislosti bylo nařízením Komise v přenesené pravomoci (EU) 2020/2176</w:t>
      </w:r>
      <w:r w:rsidR="005D2B3E" w:rsidRPr="005530E5">
        <w:rPr>
          <w:rStyle w:val="FootnoteReference"/>
          <w:noProof/>
        </w:rPr>
        <w:footnoteReference w:id="7"/>
      </w:r>
      <w:r w:rsidR="005D2B3E" w:rsidRPr="005530E5">
        <w:rPr>
          <w:noProof/>
        </w:rPr>
        <w:t xml:space="preserve"> změněno nařízení Komise v přenesené pravomoci (EU) č. 241/2014</w:t>
      </w:r>
      <w:r w:rsidR="005D2B3E" w:rsidRPr="005530E5">
        <w:rPr>
          <w:rStyle w:val="FootnoteReference"/>
          <w:noProof/>
        </w:rPr>
        <w:footnoteReference w:id="8"/>
      </w:r>
      <w:r w:rsidR="005D2B3E" w:rsidRPr="005530E5">
        <w:rPr>
          <w:noProof/>
        </w:rPr>
        <w:t xml:space="preserve"> s cílem vyjasnit vynětí softwarových aktiv z odpočtu od položek kmenového kapitálu tier 1. Prováděcí nařízení Komise (EU) 2021/451 by mělo být změněno tak, aby příslušným orgánům poskytovalo informace o tom, jak instituce provádějí požadavky zmíněného nařízení v přenesené pravomoci.</w:t>
      </w:r>
    </w:p>
    <w:p w:rsidR="005D2B3E" w:rsidRPr="005530E5" w:rsidRDefault="00C92BB9" w:rsidP="00C92BB9">
      <w:pPr>
        <w:pStyle w:val="ManualConsidrant"/>
        <w:rPr>
          <w:noProof/>
        </w:rPr>
      </w:pPr>
      <w:r w:rsidRPr="00C92BB9">
        <w:t>(5)</w:t>
      </w:r>
      <w:r w:rsidRPr="00C92BB9">
        <w:tab/>
      </w:r>
      <w:r w:rsidR="005D2B3E" w:rsidRPr="005530E5">
        <w:rPr>
          <w:noProof/>
        </w:rPr>
        <w:t xml:space="preserve">Závěrečná zpráva orgánu EBA o nákladech na splnění požadavků doporučila vyjmout malé a nepříliš složité instituce z povinnosti vykazovat některé šablony pro zatížení aktiv a upravit definici úrovně zatížení aktiv. Komise souhlasí s doporučeními ohledně snížení nákladů na dodržování předpisů uvedenými ve zmíněné zprávě. Je proto nezbytné změnit odpovídající ustanovení nařízení (EU) 2021/451 týkající se podávání zpráv o zatížení aktiv na individuálním a konsolidovaném základě. </w:t>
      </w:r>
    </w:p>
    <w:p w:rsidR="005D2B3E" w:rsidRPr="005530E5" w:rsidRDefault="00C92BB9" w:rsidP="00C92BB9">
      <w:pPr>
        <w:pStyle w:val="ManualConsidrant"/>
        <w:rPr>
          <w:noProof/>
        </w:rPr>
      </w:pPr>
      <w:r w:rsidRPr="00C92BB9">
        <w:t>(6)</w:t>
      </w:r>
      <w:r w:rsidRPr="00C92BB9">
        <w:tab/>
      </w:r>
      <w:r w:rsidR="005D2B3E" w:rsidRPr="005530E5">
        <w:rPr>
          <w:noProof/>
        </w:rPr>
        <w:t>Prováděcí nařízení (EU) 2021/451 stanovuje požadavky na vykazování základních informací pro účely určení globálních systémově významných institucí (G-SVI) a přiřazení sazeb kapitálové rezervy pro G-SVI v souladu s metodikou specifickou pro Unii stanovenou v nařízení Komise v přenesené pravomoci (EU) č. 1222/2014</w:t>
      </w:r>
      <w:r w:rsidR="005D2B3E" w:rsidRPr="005530E5">
        <w:rPr>
          <w:rStyle w:val="FootnoteReference"/>
          <w:noProof/>
        </w:rPr>
        <w:footnoteReference w:id="9"/>
      </w:r>
      <w:r w:rsidR="005D2B3E" w:rsidRPr="005530E5">
        <w:rPr>
          <w:noProof/>
        </w:rPr>
        <w:t>. Ukazatele, jejichž pomocí se měří systémový význam, jsou stejně použitelné pro bankovní skupiny a samostatné instituce. Proto by povinnosti týkající se podávání zpráv měly být rozšířeny na samostatné instituce, které splňují kritéria pro zařazení do hodnocení pro účely určení G-SVI.</w:t>
      </w:r>
    </w:p>
    <w:p w:rsidR="005D2B3E" w:rsidRPr="005530E5" w:rsidRDefault="00C92BB9" w:rsidP="00C92BB9">
      <w:pPr>
        <w:pStyle w:val="ManualConsidrant"/>
        <w:rPr>
          <w:noProof/>
        </w:rPr>
      </w:pPr>
      <w:r w:rsidRPr="00C92BB9">
        <w:t>(7)</w:t>
      </w:r>
      <w:r w:rsidRPr="00C92BB9">
        <w:tab/>
      </w:r>
      <w:r w:rsidR="005D2B3E" w:rsidRPr="005530E5">
        <w:rPr>
          <w:noProof/>
        </w:rPr>
        <w:t>Pro zlepšení schopnosti příslušných orgánů účinně sledovat a hodnotit rizikový profil institucí a to, jak instituce dodržují obezřetnostní požadavky, a pro určení rizik, jaká mohou instituce představovat pro finanční sektor, by měla být změněna řada příloh k prováděcímu nařízení (EU) 2021/451.</w:t>
      </w:r>
    </w:p>
    <w:p w:rsidR="005D2B3E" w:rsidRPr="005530E5" w:rsidRDefault="00C92BB9" w:rsidP="00C92BB9">
      <w:pPr>
        <w:pStyle w:val="ManualConsidrant"/>
        <w:rPr>
          <w:rFonts w:eastAsiaTheme="minorEastAsia"/>
          <w:noProof/>
        </w:rPr>
      </w:pPr>
      <w:r w:rsidRPr="00C92BB9">
        <w:t>(8)</w:t>
      </w:r>
      <w:r w:rsidRPr="00C92BB9">
        <w:tab/>
      </w:r>
      <w:r w:rsidR="005D2B3E" w:rsidRPr="005530E5">
        <w:rPr>
          <w:noProof/>
        </w:rPr>
        <w:t xml:space="preserve">Pro zajištění jasnosti a dostatku času na přípravu na provádění požadavků týkajících se podávání zpráv zavedených tímto nařízením by instituce měly začít podávat zprávy podle tohoto nařízení nejdříve šest měsíců ode dne jeho vstupu v platnost v souladu s čl. 430 odst. 7 nařízení (EU) č. 575/2013. </w:t>
      </w:r>
    </w:p>
    <w:p w:rsidR="005D2B3E" w:rsidRPr="005530E5" w:rsidRDefault="00C92BB9" w:rsidP="00C92BB9">
      <w:pPr>
        <w:pStyle w:val="ManualConsidrant"/>
        <w:rPr>
          <w:rFonts w:eastAsiaTheme="minorEastAsia"/>
          <w:noProof/>
        </w:rPr>
      </w:pPr>
      <w:r w:rsidRPr="00C92BB9">
        <w:t>(9)</w:t>
      </w:r>
      <w:r w:rsidRPr="00C92BB9">
        <w:tab/>
      </w:r>
      <w:r w:rsidR="005D2B3E" w:rsidRPr="005530E5">
        <w:rPr>
          <w:noProof/>
        </w:rPr>
        <w:t>Ustanovení v tomto nařízení jsou úzce provázána, neboť čl. 415 odst. 3 první pododstavec a čl. 415 odst. 3a první pododstavec se týkají povinností institucí podávat zprávy, které jsou v zásadě sladěny s ostatními povinnostmi institucí podávat zprávy podle článku 430 nařízení (EU) č. 575/2013. Pro zajištění provázanosti mezi těmito ustanoveními by měly být příslušné prováděcí technické normy zahrnuty do jediného nařízení.</w:t>
      </w:r>
    </w:p>
    <w:p w:rsidR="005D2B3E" w:rsidRPr="005530E5" w:rsidRDefault="00C92BB9" w:rsidP="00C92BB9">
      <w:pPr>
        <w:pStyle w:val="ManualConsidrant"/>
        <w:rPr>
          <w:noProof/>
        </w:rPr>
      </w:pPr>
      <w:r w:rsidRPr="00C92BB9">
        <w:t>(10)</w:t>
      </w:r>
      <w:r w:rsidRPr="00C92BB9">
        <w:tab/>
      </w:r>
      <w:r w:rsidR="005D2B3E" w:rsidRPr="005530E5">
        <w:rPr>
          <w:noProof/>
        </w:rPr>
        <w:t>Prováděcí nařízení (EU) 2021/451 by proto mělo být odpovídajícím způsobem změněno.</w:t>
      </w:r>
    </w:p>
    <w:p w:rsidR="005D2B3E" w:rsidRPr="005530E5" w:rsidRDefault="00C92BB9" w:rsidP="00C92BB9">
      <w:pPr>
        <w:pStyle w:val="ManualConsidrant"/>
        <w:rPr>
          <w:noProof/>
        </w:rPr>
      </w:pPr>
      <w:r w:rsidRPr="00C92BB9">
        <w:t>(11)</w:t>
      </w:r>
      <w:r w:rsidRPr="00C92BB9">
        <w:tab/>
      </w:r>
      <w:r w:rsidR="005D2B3E" w:rsidRPr="005530E5">
        <w:rPr>
          <w:noProof/>
        </w:rPr>
        <w:t xml:space="preserve">Toto nařízení vychází z návrhů prováděcích technických norem, které Komisi předložil orgán EBA. </w:t>
      </w:r>
    </w:p>
    <w:p w:rsidR="005D2B3E" w:rsidRPr="005530E5" w:rsidRDefault="00C92BB9" w:rsidP="00C92BB9">
      <w:pPr>
        <w:pStyle w:val="ManualConsidrant"/>
        <w:rPr>
          <w:noProof/>
        </w:rPr>
      </w:pPr>
      <w:r w:rsidRPr="00C92BB9">
        <w:t>(12)</w:t>
      </w:r>
      <w:r w:rsidRPr="00C92BB9">
        <w:tab/>
      </w:r>
      <w:r w:rsidR="005D2B3E" w:rsidRPr="005530E5">
        <w:rPr>
          <w:noProof/>
        </w:rPr>
        <w:t>Orgán EBA uskutečnil k návrhům prováděcích technických norem, z nichž toto nařízení vychází, otevřené veřejné konzultace, analyzoval potenciální související náklady a přínosy a požádal o stanovisko skupinu subjektů působících v bankovnictví zřízenou v souladu s článkem 37 nařízení Evropského parlamentu a Rady (EU) č. 1093/2010</w:t>
      </w:r>
      <w:r w:rsidR="005D2B3E" w:rsidRPr="005530E5">
        <w:rPr>
          <w:rStyle w:val="FootnoteReference"/>
          <w:noProof/>
        </w:rPr>
        <w:footnoteReference w:id="10"/>
      </w:r>
      <w:r w:rsidR="005D2B3E" w:rsidRPr="005530E5">
        <w:rPr>
          <w:noProof/>
        </w:rPr>
        <w:t>,</w:t>
      </w:r>
    </w:p>
    <w:p w:rsidR="005D2B3E" w:rsidRPr="005530E5" w:rsidRDefault="005D2B3E" w:rsidP="004E1EF9">
      <w:pPr>
        <w:pStyle w:val="Formuledadoption"/>
        <w:rPr>
          <w:noProof/>
        </w:rPr>
      </w:pPr>
      <w:r w:rsidRPr="005530E5">
        <w:rPr>
          <w:noProof/>
        </w:rPr>
        <w:t>PŘIJALA TOTO NAŘÍZENÍ:</w:t>
      </w:r>
    </w:p>
    <w:p w:rsidR="005D2B3E" w:rsidRPr="005530E5" w:rsidRDefault="005D2B3E" w:rsidP="004E1EF9">
      <w:pPr>
        <w:pStyle w:val="Titrearticle"/>
        <w:rPr>
          <w:noProof/>
        </w:rPr>
      </w:pPr>
      <w:r w:rsidRPr="005530E5">
        <w:rPr>
          <w:noProof/>
        </w:rPr>
        <w:t>Článek 1</w:t>
      </w:r>
    </w:p>
    <w:p w:rsidR="005D2B3E" w:rsidRPr="005530E5" w:rsidRDefault="005D2B3E" w:rsidP="005D2B3E">
      <w:pPr>
        <w:widowControl w:val="0"/>
        <w:autoSpaceDE w:val="0"/>
        <w:autoSpaceDN w:val="0"/>
        <w:spacing w:before="181"/>
        <w:rPr>
          <w:noProof/>
        </w:rPr>
      </w:pPr>
      <w:r w:rsidRPr="005530E5">
        <w:rPr>
          <w:noProof/>
        </w:rPr>
        <w:t>Prováděcí nařízení (EU) 2021/451 se mění takto:</w:t>
      </w:r>
    </w:p>
    <w:p w:rsidR="005D2B3E" w:rsidRPr="005530E5" w:rsidRDefault="002C675A" w:rsidP="002C675A">
      <w:pPr>
        <w:pStyle w:val="Point0"/>
        <w:rPr>
          <w:noProof/>
        </w:rPr>
      </w:pPr>
      <w:r>
        <w:rPr>
          <w:noProof/>
        </w:rPr>
        <w:t>1)</w:t>
      </w:r>
      <w:r>
        <w:rPr>
          <w:noProof/>
        </w:rPr>
        <w:tab/>
      </w:r>
      <w:r w:rsidR="00E5321F">
        <w:rPr>
          <w:noProof/>
        </w:rPr>
        <w:t>Článek 18 se</w:t>
      </w:r>
      <w:r w:rsidR="005D2B3E" w:rsidRPr="005530E5">
        <w:rPr>
          <w:noProof/>
        </w:rPr>
        <w:t xml:space="preserve"> nahrazuje tímto:</w:t>
      </w:r>
    </w:p>
    <w:p w:rsidR="005D2B3E" w:rsidRPr="005530E5" w:rsidRDefault="005D2B3E" w:rsidP="005D2B3E">
      <w:pPr>
        <w:pStyle w:val="Point1"/>
        <w:rPr>
          <w:noProof/>
        </w:rPr>
      </w:pPr>
      <w:r w:rsidRPr="005530E5">
        <w:rPr>
          <w:noProof/>
        </w:rPr>
        <w:tab/>
      </w:r>
      <w:r w:rsidR="00E5321F">
        <w:rPr>
          <w:noProof/>
        </w:rPr>
        <w:t>„</w:t>
      </w:r>
      <w:r w:rsidRPr="005530E5">
        <w:rPr>
          <w:noProof/>
        </w:rPr>
        <w:t>Při podávání zpráv o dodatečných monitorovacích nástrojích likvidity v souladu s čl. 430 odst. 1 písm. d) nařízení (EU) č. 575/2013 na individuálním a konsolidovaném základě předkládají instituce tyto informace:</w:t>
      </w:r>
    </w:p>
    <w:p w:rsidR="005D2B3E" w:rsidRPr="005530E5" w:rsidRDefault="002C675A" w:rsidP="002C675A">
      <w:pPr>
        <w:pStyle w:val="Point2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="005D2B3E" w:rsidRPr="005530E5">
        <w:rPr>
          <w:noProof/>
        </w:rPr>
        <w:t>velké instituce ve smyslu čl. 4 odst. 1 bodu 146 nařízení (EU) č. 575/2013 předkládají s měsíční četností informace uvedené v šabloně 66.1 přílohy XXII tohoto nařízení v souladu s pokyny uvedenými v příloze XXIII tohoto nařízení, šablonách 67, 68, 69 a 70 přílohy XVIII tohoto nařízení v souladu s pokyny uvedenými v příloze XIX tohoto nařízení a šabloně 71 přílohy XX tohoto nařízení v souladu s pokyny uvedenými v příloze XXI tohoto nařízení;</w:t>
      </w:r>
    </w:p>
    <w:p w:rsidR="005D2B3E" w:rsidRPr="005530E5" w:rsidRDefault="002C675A" w:rsidP="002C675A">
      <w:pPr>
        <w:pStyle w:val="Point2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="005D2B3E" w:rsidRPr="005530E5">
        <w:rPr>
          <w:noProof/>
        </w:rPr>
        <w:t>malá a nepříliš složitá instituce ve smyslu čl. 4 odst. 1 bodu 145 nařízení (EU) č. 575/2013 předkládá se čtvrtletní četností informace uvedené v šabloně 66.1 přílohy XXII tohoto nařízení v souladu s pokyny uvedenými v příloze XXIII tohoto nařízení, šabloně 67 přílohy XVIII tohoto nařízení v souladu s pokyny uvedenými v příloze XIX tohoto nařízení a šabloně 71 přílohy XX tohoto nařízení v souladu s pokyny uvedenými v příloze XXI tohoto nařízení;</w:t>
      </w:r>
    </w:p>
    <w:p w:rsidR="005D2B3E" w:rsidRPr="005530E5" w:rsidRDefault="002C675A" w:rsidP="002C675A">
      <w:pPr>
        <w:pStyle w:val="Point2"/>
        <w:rPr>
          <w:noProof/>
        </w:rPr>
      </w:pPr>
      <w:r>
        <w:rPr>
          <w:noProof/>
        </w:rPr>
        <w:t>c)</w:t>
      </w:r>
      <w:r>
        <w:rPr>
          <w:noProof/>
        </w:rPr>
        <w:tab/>
      </w:r>
      <w:r w:rsidR="005D2B3E" w:rsidRPr="005530E5">
        <w:rPr>
          <w:noProof/>
        </w:rPr>
        <w:t>instituce, které nespadají do oblasti působnosti písmen a) a b) předkládají s měsíční četností informace uvedené v šabloně 66.1 přílohy XXII v souladu s pokyny uvedenými v příloze XXIII, šablonách 67, 68 a 69 přílohy XVIII v souladu s pokyny uvedenými v příloze XIX a šabloně 71 přílohy XX v souladu s p</w:t>
      </w:r>
      <w:r w:rsidR="00E5321F">
        <w:rPr>
          <w:noProof/>
        </w:rPr>
        <w:t>okyny uvedenými v příloze XXI;“</w:t>
      </w:r>
    </w:p>
    <w:p w:rsidR="005D2B3E" w:rsidRPr="005530E5" w:rsidRDefault="002C675A" w:rsidP="002C675A">
      <w:pPr>
        <w:pStyle w:val="Point0"/>
        <w:rPr>
          <w:noProof/>
        </w:rPr>
      </w:pPr>
      <w:r>
        <w:rPr>
          <w:noProof/>
        </w:rPr>
        <w:t>2)</w:t>
      </w:r>
      <w:r>
        <w:rPr>
          <w:noProof/>
        </w:rPr>
        <w:tab/>
      </w:r>
      <w:r w:rsidR="005D2B3E" w:rsidRPr="005530E5">
        <w:rPr>
          <w:noProof/>
        </w:rPr>
        <w:t>Článek 19 se mění takto:</w:t>
      </w:r>
    </w:p>
    <w:p w:rsidR="005D2B3E" w:rsidRPr="005530E5" w:rsidRDefault="002C675A" w:rsidP="002C675A">
      <w:pPr>
        <w:pStyle w:val="Point1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="005D2B3E" w:rsidRPr="005530E5">
        <w:rPr>
          <w:noProof/>
        </w:rPr>
        <w:t>odstavce 2 a 3 se nahrazují tímto:</w:t>
      </w:r>
    </w:p>
    <w:p w:rsidR="005D2B3E" w:rsidRPr="005530E5" w:rsidRDefault="005D2B3E" w:rsidP="00A3553A">
      <w:pPr>
        <w:pStyle w:val="Point2"/>
        <w:rPr>
          <w:noProof/>
        </w:rPr>
      </w:pPr>
      <w:r w:rsidRPr="005530E5">
        <w:rPr>
          <w:noProof/>
        </w:rPr>
        <w:t>„2.</w:t>
      </w:r>
      <w:r w:rsidRPr="005530E5">
        <w:rPr>
          <w:noProof/>
        </w:rPr>
        <w:tab/>
        <w:t xml:space="preserve">Informace uvedené v odstavci 1 se předkládají s následující četností: </w:t>
      </w:r>
    </w:p>
    <w:p w:rsidR="005D2B3E" w:rsidRPr="005530E5" w:rsidRDefault="002C675A" w:rsidP="002C675A">
      <w:pPr>
        <w:pStyle w:val="Point3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="005D2B3E" w:rsidRPr="005530E5">
        <w:rPr>
          <w:noProof/>
        </w:rPr>
        <w:t xml:space="preserve">informace uvedené v příloze XVI částech A, B a D se čtvrtletní četností; </w:t>
      </w:r>
    </w:p>
    <w:p w:rsidR="005D2B3E" w:rsidRPr="005530E5" w:rsidRDefault="002C675A" w:rsidP="002C675A">
      <w:pPr>
        <w:pStyle w:val="Point3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="005D2B3E" w:rsidRPr="005530E5">
        <w:rPr>
          <w:noProof/>
        </w:rPr>
        <w:t xml:space="preserve">informace uvedené v příloze XVI části C s roční četností; </w:t>
      </w:r>
    </w:p>
    <w:p w:rsidR="005D2B3E" w:rsidRPr="005530E5" w:rsidRDefault="002C675A" w:rsidP="002C675A">
      <w:pPr>
        <w:pStyle w:val="Point3"/>
        <w:rPr>
          <w:noProof/>
        </w:rPr>
      </w:pPr>
      <w:r>
        <w:rPr>
          <w:noProof/>
        </w:rPr>
        <w:t>c)</w:t>
      </w:r>
      <w:r>
        <w:rPr>
          <w:noProof/>
        </w:rPr>
        <w:tab/>
      </w:r>
      <w:r w:rsidR="005D2B3E" w:rsidRPr="005530E5">
        <w:rPr>
          <w:noProof/>
        </w:rPr>
        <w:t xml:space="preserve">informace uvedené v příloze XVI části E s pololetní četností. </w:t>
      </w:r>
    </w:p>
    <w:p w:rsidR="005D2B3E" w:rsidRPr="005530E5" w:rsidRDefault="005D2B3E" w:rsidP="00A3553A">
      <w:pPr>
        <w:pStyle w:val="Point2"/>
        <w:rPr>
          <w:noProof/>
        </w:rPr>
      </w:pPr>
      <w:r w:rsidRPr="005530E5">
        <w:rPr>
          <w:noProof/>
        </w:rPr>
        <w:t>3.</w:t>
      </w:r>
      <w:r w:rsidRPr="005530E5">
        <w:rPr>
          <w:noProof/>
        </w:rPr>
        <w:tab/>
        <w:t>Informace podle odstavce 1 se předkládají takto:</w:t>
      </w:r>
    </w:p>
    <w:p w:rsidR="005D2B3E" w:rsidRPr="005530E5" w:rsidRDefault="002C675A" w:rsidP="002C675A">
      <w:pPr>
        <w:pStyle w:val="Point3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="005D2B3E" w:rsidRPr="005530E5">
        <w:rPr>
          <w:noProof/>
        </w:rPr>
        <w:t>instituce předkládají informace uvedené v příloze XVI, části A;</w:t>
      </w:r>
    </w:p>
    <w:p w:rsidR="005D2B3E" w:rsidRPr="005530E5" w:rsidRDefault="002C675A" w:rsidP="002C675A">
      <w:pPr>
        <w:pStyle w:val="Point3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="005D2B3E" w:rsidRPr="005530E5">
        <w:rPr>
          <w:noProof/>
        </w:rPr>
        <w:t>velké instituce předkládají informace uvedené v příloze XVI, částech B, C a E;</w:t>
      </w:r>
    </w:p>
    <w:p w:rsidR="005D2B3E" w:rsidRPr="005530E5" w:rsidRDefault="002C675A" w:rsidP="002C675A">
      <w:pPr>
        <w:pStyle w:val="Point3"/>
        <w:rPr>
          <w:noProof/>
        </w:rPr>
      </w:pPr>
      <w:r>
        <w:rPr>
          <w:noProof/>
        </w:rPr>
        <w:t>c)</w:t>
      </w:r>
      <w:r>
        <w:rPr>
          <w:noProof/>
        </w:rPr>
        <w:tab/>
      </w:r>
      <w:r w:rsidR="005D2B3E" w:rsidRPr="005530E5">
        <w:rPr>
          <w:noProof/>
        </w:rPr>
        <w:t>instituce, které nejsou velkými institucemi ani malými a nepříliš složitými institucemi, předkládají informace uvedené v příloze XVI, částech B, C a E, pokud je míra zatížení aktiv instituce vypočtená v souladu s bodem 1.6 podbodem 9 přílohy XVII rovna 15 % nebo vyšší;</w:t>
      </w:r>
    </w:p>
    <w:p w:rsidR="005D2B3E" w:rsidRPr="005530E5" w:rsidRDefault="002C675A" w:rsidP="002C675A">
      <w:pPr>
        <w:pStyle w:val="Point3"/>
        <w:rPr>
          <w:noProof/>
        </w:rPr>
      </w:pPr>
      <w:r>
        <w:rPr>
          <w:noProof/>
        </w:rPr>
        <w:t>d)</w:t>
      </w:r>
      <w:r>
        <w:rPr>
          <w:noProof/>
        </w:rPr>
        <w:tab/>
      </w:r>
      <w:r w:rsidR="005D2B3E" w:rsidRPr="005530E5">
        <w:rPr>
          <w:noProof/>
        </w:rPr>
        <w:t>instituce podávají informace uvedené v příloze XVI části D pouze v případě, že vydávají dluhopisy uvedené v čl. 52 odst. 4 prvním pododstavci směrnice Evropského parlamentu a Rady 2009/65/ES</w:t>
      </w:r>
      <w:r w:rsidR="005D2B3E" w:rsidRPr="005530E5">
        <w:rPr>
          <w:rStyle w:val="FootnoteReference"/>
          <w:noProof/>
        </w:rPr>
        <w:footnoteReference w:id="11"/>
      </w:r>
      <w:r w:rsidR="005D2B3E" w:rsidRPr="005530E5">
        <w:rPr>
          <w:noProof/>
        </w:rPr>
        <w:t>.</w:t>
      </w:r>
    </w:p>
    <w:p w:rsidR="005D2B3E" w:rsidRPr="005530E5" w:rsidRDefault="005D2B3E" w:rsidP="00A3553A">
      <w:pPr>
        <w:pStyle w:val="Point2"/>
        <w:rPr>
          <w:noProof/>
        </w:rPr>
      </w:pPr>
      <w:r w:rsidRPr="005530E5">
        <w:rPr>
          <w:noProof/>
        </w:rPr>
        <w:t>Použijí se zahajovací a ukončovací kritéria podle čl. 4 odst. 3.</w:t>
      </w:r>
      <w:r w:rsidR="00E5321F">
        <w:rPr>
          <w:noProof/>
        </w:rPr>
        <w:t>“</w:t>
      </w:r>
      <w:r w:rsidR="005D43D4">
        <w:rPr>
          <w:noProof/>
        </w:rPr>
        <w:t>;</w:t>
      </w:r>
    </w:p>
    <w:p w:rsidR="005D2B3E" w:rsidRPr="005530E5" w:rsidRDefault="002C675A" w:rsidP="002C675A">
      <w:pPr>
        <w:pStyle w:val="Point1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="005D2B3E" w:rsidRPr="005530E5">
        <w:rPr>
          <w:noProof/>
        </w:rPr>
        <w:t>odstavec 4 se zrušuje.</w:t>
      </w:r>
    </w:p>
    <w:p w:rsidR="005D2B3E" w:rsidRPr="005530E5" w:rsidRDefault="002C675A" w:rsidP="002C675A">
      <w:pPr>
        <w:pStyle w:val="Point0"/>
        <w:rPr>
          <w:noProof/>
        </w:rPr>
      </w:pPr>
      <w:r>
        <w:rPr>
          <w:noProof/>
        </w:rPr>
        <w:t>3)</w:t>
      </w:r>
      <w:r>
        <w:rPr>
          <w:noProof/>
        </w:rPr>
        <w:tab/>
      </w:r>
      <w:r w:rsidR="005D2B3E" w:rsidRPr="005530E5">
        <w:rPr>
          <w:noProof/>
        </w:rPr>
        <w:t>Článek 20 se nahrazuje tímto:</w:t>
      </w:r>
    </w:p>
    <w:p w:rsidR="005D2B3E" w:rsidRPr="005530E5" w:rsidRDefault="005D2B3E" w:rsidP="005D2B3E">
      <w:pPr>
        <w:pStyle w:val="Titrearticle"/>
        <w:rPr>
          <w:noProof/>
        </w:rPr>
      </w:pPr>
      <w:r w:rsidRPr="005530E5">
        <w:rPr>
          <w:noProof/>
        </w:rPr>
        <w:t>„Článek 20</w:t>
      </w:r>
    </w:p>
    <w:p w:rsidR="005D2B3E" w:rsidRPr="005530E5" w:rsidRDefault="005D2B3E" w:rsidP="005D2B3E">
      <w:pPr>
        <w:pStyle w:val="Titrearticle"/>
        <w:rPr>
          <w:b/>
          <w:i w:val="0"/>
          <w:noProof/>
        </w:rPr>
      </w:pPr>
      <w:r w:rsidRPr="005530E5">
        <w:rPr>
          <w:b/>
          <w:i w:val="0"/>
          <w:noProof/>
        </w:rPr>
        <w:t>Doplňkové podávání zpráv pro účely určení G-SVI a přiřazení sazeb kapitálové rezervy pro G-SVI</w:t>
      </w:r>
    </w:p>
    <w:p w:rsidR="005D2B3E" w:rsidRPr="005530E5" w:rsidRDefault="005D2B3E" w:rsidP="005D2B3E">
      <w:pPr>
        <w:pStyle w:val="Point1"/>
        <w:rPr>
          <w:noProof/>
        </w:rPr>
      </w:pPr>
      <w:r w:rsidRPr="005530E5">
        <w:rPr>
          <w:noProof/>
        </w:rPr>
        <w:t>1.</w:t>
      </w:r>
      <w:r w:rsidRPr="005530E5">
        <w:rPr>
          <w:noProof/>
        </w:rPr>
        <w:tab/>
        <w:t>V rámci podávání doplňkových informací pro účely určení G-SVI a přiřazení sazeb kapitálové rezervy pro G-SVI podle článku 131 směrnice 2013/36/EU předkládají mateřské instituce v EU, mateřské finanční holdingy v EU a mateřské smíšené finanční holdingy v EU informace stanovené v příloze XXVI tohoto nařízení v souladu s pokyny uvedenými v příloze XXVII tohoto nařízení na konsolidovaném základě se čtvrtletní četností, pokud jsou splněny obě následující podmínky:</w:t>
      </w:r>
    </w:p>
    <w:p w:rsidR="005D2B3E" w:rsidRPr="005530E5" w:rsidRDefault="002C675A" w:rsidP="002C675A">
      <w:pPr>
        <w:pStyle w:val="Point2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="005D2B3E" w:rsidRPr="005530E5">
        <w:rPr>
          <w:noProof/>
        </w:rPr>
        <w:t>celková míra expozic skupiny, včetně pojišťovacích dceřiných podniků, se rovná nebo je vyšší než 125 000 000 000 EUR;</w:t>
      </w:r>
    </w:p>
    <w:p w:rsidR="005D2B3E" w:rsidRPr="005530E5" w:rsidRDefault="002C675A" w:rsidP="002C675A">
      <w:pPr>
        <w:pStyle w:val="Point2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="005D2B3E" w:rsidRPr="005530E5">
        <w:rPr>
          <w:noProof/>
        </w:rPr>
        <w:t>mateřská společnost v EU nebo kterákoli z jejích dceřiných společností nebo kterákoli pobočka provozovaná mateřskou společností nebo dceřinou společností je umístěna v zúčastněném členském státě podle článku 4 nařízení Evropského parlamentu a Rady (EU) č. 806/2014</w:t>
      </w:r>
      <w:r w:rsidR="005D2B3E" w:rsidRPr="005530E5">
        <w:rPr>
          <w:rStyle w:val="FootnoteReference"/>
          <w:noProof/>
        </w:rPr>
        <w:footnoteReference w:id="12"/>
      </w:r>
      <w:r w:rsidR="005D2B3E" w:rsidRPr="005530E5">
        <w:rPr>
          <w:noProof/>
        </w:rPr>
        <w:t>.</w:t>
      </w:r>
    </w:p>
    <w:p w:rsidR="005D2B3E" w:rsidRPr="005530E5" w:rsidRDefault="005D2B3E" w:rsidP="005D2B3E">
      <w:pPr>
        <w:pStyle w:val="Point1"/>
        <w:rPr>
          <w:noProof/>
        </w:rPr>
      </w:pPr>
      <w:r w:rsidRPr="005530E5">
        <w:rPr>
          <w:noProof/>
        </w:rPr>
        <w:t>2.</w:t>
      </w:r>
      <w:r w:rsidRPr="005530E5">
        <w:rPr>
          <w:noProof/>
        </w:rPr>
        <w:tab/>
        <w:t>V rámci podávání doplňkových informací pro účely určení G-SVI a přiřazení sazeb kapitálové rezervy pro G-SVI podle článku 131 směrnice 2013/36/EU předkládají instituce informace stanovené v příloze XXVI tohoto nařízení v souladu s pokyny uvedenými v příloze XXVII tohoto nařízení na individuálním základě se čtvrtletní četností, pokud jsou splněny všechny následující podmínky:</w:t>
      </w:r>
    </w:p>
    <w:p w:rsidR="005D2B3E" w:rsidRPr="005530E5" w:rsidRDefault="002C675A" w:rsidP="002C675A">
      <w:pPr>
        <w:pStyle w:val="Point2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="005D2B3E" w:rsidRPr="005530E5">
        <w:rPr>
          <w:noProof/>
        </w:rPr>
        <w:t>celková míra expozic instituce se rovná nebo je vyšší než 125 000 000 000 EUR;</w:t>
      </w:r>
    </w:p>
    <w:p w:rsidR="005D2B3E" w:rsidRPr="005530E5" w:rsidRDefault="002C675A" w:rsidP="002C675A">
      <w:pPr>
        <w:pStyle w:val="Point2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="005D2B3E" w:rsidRPr="005530E5">
        <w:rPr>
          <w:noProof/>
        </w:rPr>
        <w:t>instituce je umístěna v zúčastněném členském státě podle článku 4 nařízení (EU) č. 806/2014;</w:t>
      </w:r>
    </w:p>
    <w:p w:rsidR="005D2B3E" w:rsidRPr="005530E5" w:rsidRDefault="002C675A" w:rsidP="002C675A">
      <w:pPr>
        <w:pStyle w:val="Point2"/>
        <w:rPr>
          <w:noProof/>
        </w:rPr>
      </w:pPr>
      <w:r>
        <w:rPr>
          <w:noProof/>
        </w:rPr>
        <w:t>c)</w:t>
      </w:r>
      <w:r>
        <w:rPr>
          <w:noProof/>
        </w:rPr>
        <w:tab/>
      </w:r>
      <w:r w:rsidR="005D2B3E" w:rsidRPr="005530E5">
        <w:rPr>
          <w:noProof/>
        </w:rPr>
        <w:t>instituce není součástí skupiny podléhající konsolidovanému dohledu v souladu s částí první hlavou II kapitolou 1 nařízení (EU) č. 575/2013 („samostatná instituce“).</w:t>
      </w:r>
    </w:p>
    <w:p w:rsidR="005D2B3E" w:rsidRPr="005530E5" w:rsidRDefault="005D2B3E" w:rsidP="005D2B3E">
      <w:pPr>
        <w:pStyle w:val="Point1"/>
        <w:rPr>
          <w:noProof/>
        </w:rPr>
      </w:pPr>
      <w:r w:rsidRPr="005530E5">
        <w:rPr>
          <w:noProof/>
        </w:rPr>
        <w:t>3.</w:t>
      </w:r>
      <w:r w:rsidRPr="005530E5">
        <w:rPr>
          <w:noProof/>
        </w:rPr>
        <w:tab/>
        <w:t>Odchylně od čl. 3 odst. 1 písm. b) se informace uvedené v odstavci 1 a 2 tohoto článku předkládají do konce pracovního dne v následujících lhůtách pro zasílání zpráv: 1. července, 1. října, 2. ledna a 1. dubna.</w:t>
      </w:r>
    </w:p>
    <w:p w:rsidR="005D2B3E" w:rsidRPr="005530E5" w:rsidRDefault="005D2B3E" w:rsidP="005D2B3E">
      <w:pPr>
        <w:pStyle w:val="Point1"/>
        <w:rPr>
          <w:noProof/>
        </w:rPr>
      </w:pPr>
      <w:r w:rsidRPr="005530E5">
        <w:rPr>
          <w:noProof/>
        </w:rPr>
        <w:t>4.</w:t>
      </w:r>
      <w:r w:rsidRPr="005530E5">
        <w:rPr>
          <w:noProof/>
        </w:rPr>
        <w:tab/>
        <w:t>Odchylně od článku 4 se u finančních limitů uvedených v odst. 1 písm. a) a odst. 2 písm. a) tohoto článku uplatní následující:</w:t>
      </w:r>
    </w:p>
    <w:p w:rsidR="005D2B3E" w:rsidRPr="005530E5" w:rsidRDefault="002C675A" w:rsidP="002C675A">
      <w:pPr>
        <w:pStyle w:val="Point2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="005D2B3E" w:rsidRPr="005530E5">
        <w:rPr>
          <w:noProof/>
        </w:rPr>
        <w:t>mateřská instituce v EU, mateřský finanční holding v EU nebo mateřský smíšený finanční holding v EU nebo případně samostatná instituce neprodleně zahájí podávání informací v souladu s tímto článkem, pokud jejich míra expozice pákového poměru překročí ke konci účetního období stanovenou prahovou hodnotu, a podají tyto informace alespoň ke konci daného účetního období a k následujícím třem čtvrtletním referenčním datům;</w:t>
      </w:r>
    </w:p>
    <w:p w:rsidR="005D2B3E" w:rsidRPr="005530E5" w:rsidRDefault="002C675A" w:rsidP="002C675A">
      <w:pPr>
        <w:pStyle w:val="Point2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="005D2B3E" w:rsidRPr="005530E5">
        <w:rPr>
          <w:noProof/>
        </w:rPr>
        <w:t>mateřská instituce v EU, mateřský finanční holding v EU nebo mateřský smíšený finanční holding v EU nebo případně samostatná instituce neprodleně ukončí podávání informací v souladu s tímto článkem, pokud jejich míra expozice pákového poměru poklesne ke konci účetního období pod stanovenou prahovou hodnotu.</w:t>
      </w:r>
      <w:r w:rsidR="00E5321F">
        <w:rPr>
          <w:noProof/>
        </w:rPr>
        <w:t>“</w:t>
      </w:r>
    </w:p>
    <w:p w:rsidR="005D2B3E" w:rsidRPr="005530E5" w:rsidRDefault="002C675A" w:rsidP="002C675A">
      <w:pPr>
        <w:pStyle w:val="Point0"/>
        <w:rPr>
          <w:noProof/>
        </w:rPr>
      </w:pPr>
      <w:r>
        <w:rPr>
          <w:noProof/>
        </w:rPr>
        <w:t>4)</w:t>
      </w:r>
      <w:r>
        <w:rPr>
          <w:noProof/>
        </w:rPr>
        <w:tab/>
      </w:r>
      <w:r w:rsidR="005D2B3E" w:rsidRPr="005530E5">
        <w:rPr>
          <w:noProof/>
        </w:rPr>
        <w:t>Příloha I se nahrazuje zněním uvedeným v příloze I tohoto nařízení;</w:t>
      </w:r>
    </w:p>
    <w:p w:rsidR="005D2B3E" w:rsidRPr="005530E5" w:rsidRDefault="002C675A" w:rsidP="002C675A">
      <w:pPr>
        <w:pStyle w:val="Point0"/>
        <w:rPr>
          <w:noProof/>
        </w:rPr>
      </w:pPr>
      <w:r>
        <w:rPr>
          <w:noProof/>
        </w:rPr>
        <w:t>5)</w:t>
      </w:r>
      <w:r>
        <w:rPr>
          <w:noProof/>
        </w:rPr>
        <w:tab/>
      </w:r>
      <w:r w:rsidR="005D2B3E" w:rsidRPr="005530E5">
        <w:rPr>
          <w:noProof/>
        </w:rPr>
        <w:t>Příloha II se nahrazuje zněním uvedeným v příloze II tohoto nařízení;</w:t>
      </w:r>
    </w:p>
    <w:p w:rsidR="005D2B3E" w:rsidRPr="005530E5" w:rsidRDefault="002C675A" w:rsidP="002C675A">
      <w:pPr>
        <w:pStyle w:val="Point0"/>
        <w:rPr>
          <w:noProof/>
        </w:rPr>
      </w:pPr>
      <w:r>
        <w:rPr>
          <w:noProof/>
        </w:rPr>
        <w:t>6)</w:t>
      </w:r>
      <w:r>
        <w:rPr>
          <w:noProof/>
        </w:rPr>
        <w:tab/>
      </w:r>
      <w:r w:rsidR="005D2B3E" w:rsidRPr="005530E5">
        <w:rPr>
          <w:noProof/>
        </w:rPr>
        <w:t>Příloha XVI se nahrazuje zněním uvedeným v příloze III tohoto nařízení.</w:t>
      </w:r>
    </w:p>
    <w:p w:rsidR="005D2B3E" w:rsidRPr="005530E5" w:rsidRDefault="002C675A" w:rsidP="002C675A">
      <w:pPr>
        <w:pStyle w:val="Point0"/>
        <w:rPr>
          <w:noProof/>
        </w:rPr>
      </w:pPr>
      <w:r>
        <w:rPr>
          <w:noProof/>
        </w:rPr>
        <w:t>7)</w:t>
      </w:r>
      <w:r>
        <w:rPr>
          <w:noProof/>
        </w:rPr>
        <w:tab/>
      </w:r>
      <w:r w:rsidR="005D2B3E" w:rsidRPr="005530E5">
        <w:rPr>
          <w:noProof/>
        </w:rPr>
        <w:t>Příloha XVII se nahrazuje zněním uvedeným v příloze IV tohoto nařízení.</w:t>
      </w:r>
    </w:p>
    <w:p w:rsidR="005D2B3E" w:rsidRPr="005530E5" w:rsidRDefault="002C675A" w:rsidP="002C675A">
      <w:pPr>
        <w:pStyle w:val="Point0"/>
        <w:rPr>
          <w:noProof/>
        </w:rPr>
      </w:pPr>
      <w:r>
        <w:rPr>
          <w:noProof/>
        </w:rPr>
        <w:t>8)</w:t>
      </w:r>
      <w:r>
        <w:rPr>
          <w:noProof/>
        </w:rPr>
        <w:tab/>
      </w:r>
      <w:r w:rsidR="005D2B3E" w:rsidRPr="005530E5">
        <w:rPr>
          <w:noProof/>
        </w:rPr>
        <w:t>Příloha XVIII se nahrazuje zněním uvedeným v příloze V tohoto nařízení;</w:t>
      </w:r>
    </w:p>
    <w:p w:rsidR="005D2B3E" w:rsidRPr="005530E5" w:rsidRDefault="002C675A" w:rsidP="002C675A">
      <w:pPr>
        <w:pStyle w:val="Point0"/>
        <w:rPr>
          <w:noProof/>
        </w:rPr>
      </w:pPr>
      <w:r>
        <w:rPr>
          <w:noProof/>
        </w:rPr>
        <w:t>9)</w:t>
      </w:r>
      <w:r>
        <w:rPr>
          <w:noProof/>
        </w:rPr>
        <w:tab/>
      </w:r>
      <w:r w:rsidR="005D2B3E" w:rsidRPr="005530E5">
        <w:rPr>
          <w:noProof/>
        </w:rPr>
        <w:t>Příloha XIX se nahrazuje zněním uvedeným v příloze VI tohoto nařízení.</w:t>
      </w:r>
    </w:p>
    <w:p w:rsidR="005D2B3E" w:rsidRPr="005530E5" w:rsidRDefault="002C675A" w:rsidP="002C675A">
      <w:pPr>
        <w:pStyle w:val="Point0"/>
        <w:rPr>
          <w:noProof/>
        </w:rPr>
      </w:pPr>
      <w:r>
        <w:rPr>
          <w:noProof/>
        </w:rPr>
        <w:t>10)</w:t>
      </w:r>
      <w:r>
        <w:rPr>
          <w:noProof/>
        </w:rPr>
        <w:tab/>
      </w:r>
      <w:r w:rsidR="005D2B3E" w:rsidRPr="005530E5">
        <w:rPr>
          <w:noProof/>
        </w:rPr>
        <w:t>Příloha XX se nahrazuje zněním uvedeným v příloze VII tohoto nařízení.</w:t>
      </w:r>
    </w:p>
    <w:p w:rsidR="005D2B3E" w:rsidRPr="005530E5" w:rsidRDefault="002C675A" w:rsidP="002C675A">
      <w:pPr>
        <w:pStyle w:val="Point0"/>
        <w:rPr>
          <w:noProof/>
        </w:rPr>
      </w:pPr>
      <w:r>
        <w:rPr>
          <w:noProof/>
        </w:rPr>
        <w:t>11)</w:t>
      </w:r>
      <w:r>
        <w:rPr>
          <w:noProof/>
        </w:rPr>
        <w:tab/>
      </w:r>
      <w:r w:rsidR="005D2B3E" w:rsidRPr="005530E5">
        <w:rPr>
          <w:noProof/>
        </w:rPr>
        <w:t>Příloha XXI se nahrazuje zněním uvedeným v příloze VIII tohoto nařízení.</w:t>
      </w:r>
    </w:p>
    <w:p w:rsidR="005D2B3E" w:rsidRPr="005530E5" w:rsidRDefault="002C675A" w:rsidP="002C675A">
      <w:pPr>
        <w:pStyle w:val="Point0"/>
        <w:rPr>
          <w:noProof/>
        </w:rPr>
      </w:pPr>
      <w:r>
        <w:rPr>
          <w:noProof/>
        </w:rPr>
        <w:t>12)</w:t>
      </w:r>
      <w:r>
        <w:rPr>
          <w:noProof/>
        </w:rPr>
        <w:tab/>
      </w:r>
      <w:r w:rsidR="005D2B3E" w:rsidRPr="005530E5">
        <w:rPr>
          <w:noProof/>
        </w:rPr>
        <w:t>Příloha XXII se nahrazuje zněním uvedeným v příloze IX tohoto nařízení.</w:t>
      </w:r>
    </w:p>
    <w:p w:rsidR="005D2B3E" w:rsidRPr="005530E5" w:rsidRDefault="002C675A" w:rsidP="002C675A">
      <w:pPr>
        <w:pStyle w:val="Point0"/>
        <w:rPr>
          <w:noProof/>
        </w:rPr>
      </w:pPr>
      <w:r>
        <w:rPr>
          <w:noProof/>
        </w:rPr>
        <w:t>13)</w:t>
      </w:r>
      <w:r>
        <w:rPr>
          <w:noProof/>
        </w:rPr>
        <w:tab/>
      </w:r>
      <w:r w:rsidR="005D2B3E" w:rsidRPr="005530E5">
        <w:rPr>
          <w:noProof/>
        </w:rPr>
        <w:t>Příloha XXIII se nahrazuje zněním uvedeným v příloze X tohoto nařízení;</w:t>
      </w:r>
    </w:p>
    <w:p w:rsidR="00111384" w:rsidRPr="005530E5" w:rsidRDefault="002C675A" w:rsidP="002C675A">
      <w:pPr>
        <w:pStyle w:val="Point0"/>
        <w:rPr>
          <w:noProof/>
        </w:rPr>
      </w:pPr>
      <w:r>
        <w:rPr>
          <w:noProof/>
        </w:rPr>
        <w:t>14)</w:t>
      </w:r>
      <w:r>
        <w:rPr>
          <w:noProof/>
        </w:rPr>
        <w:tab/>
      </w:r>
      <w:r w:rsidR="005D2B3E" w:rsidRPr="005530E5">
        <w:rPr>
          <w:noProof/>
        </w:rPr>
        <w:t>Příloha XXVI se nahrazuje zněním uvedeným v příloze XI tohoto nařízení.</w:t>
      </w:r>
    </w:p>
    <w:p w:rsidR="005D2B3E" w:rsidRPr="005530E5" w:rsidRDefault="002C675A" w:rsidP="002C675A">
      <w:pPr>
        <w:pStyle w:val="Point0"/>
        <w:rPr>
          <w:noProof/>
        </w:rPr>
      </w:pPr>
      <w:r>
        <w:rPr>
          <w:noProof/>
        </w:rPr>
        <w:t>15)</w:t>
      </w:r>
      <w:r>
        <w:rPr>
          <w:noProof/>
        </w:rPr>
        <w:tab/>
      </w:r>
      <w:r w:rsidR="005D2B3E" w:rsidRPr="005530E5">
        <w:rPr>
          <w:noProof/>
        </w:rPr>
        <w:t>Příloha XXVII se nahrazuje zněním uvedeným v příloze XII tohoto nařízení.</w:t>
      </w:r>
    </w:p>
    <w:p w:rsidR="005D2B3E" w:rsidRPr="005530E5" w:rsidRDefault="005D2B3E" w:rsidP="005D2B3E">
      <w:pPr>
        <w:pStyle w:val="Titrearticle"/>
        <w:rPr>
          <w:noProof/>
        </w:rPr>
      </w:pPr>
      <w:r w:rsidRPr="005530E5">
        <w:rPr>
          <w:noProof/>
        </w:rPr>
        <w:t>Článek 2</w:t>
      </w:r>
    </w:p>
    <w:p w:rsidR="005D2B3E" w:rsidRPr="005530E5" w:rsidRDefault="005D2B3E" w:rsidP="005D2B3E">
      <w:pPr>
        <w:pStyle w:val="Titrearticle"/>
        <w:rPr>
          <w:b/>
          <w:i w:val="0"/>
          <w:noProof/>
        </w:rPr>
      </w:pPr>
      <w:r w:rsidRPr="005530E5">
        <w:rPr>
          <w:b/>
          <w:i w:val="0"/>
          <w:noProof/>
        </w:rPr>
        <w:t>Vstup v platnost a použitelnost</w:t>
      </w:r>
    </w:p>
    <w:p w:rsidR="005D2B3E" w:rsidRPr="005530E5" w:rsidRDefault="005D2B3E" w:rsidP="003F6FF9">
      <w:pPr>
        <w:widowControl w:val="0"/>
        <w:autoSpaceDE w:val="0"/>
        <w:autoSpaceDN w:val="0"/>
        <w:rPr>
          <w:noProof/>
        </w:rPr>
      </w:pPr>
      <w:r w:rsidRPr="005530E5">
        <w:rPr>
          <w:noProof/>
        </w:rPr>
        <w:t xml:space="preserve">Toto nařízení vstupuje v platnost dvacátým dnem po vyhlášení v </w:t>
      </w:r>
      <w:r w:rsidRPr="005530E5">
        <w:rPr>
          <w:i/>
          <w:iCs/>
          <w:noProof/>
        </w:rPr>
        <w:t>Úředním věstníku Evropské unie</w:t>
      </w:r>
      <w:r w:rsidRPr="005530E5">
        <w:rPr>
          <w:noProof/>
        </w:rPr>
        <w:t>.</w:t>
      </w:r>
    </w:p>
    <w:p w:rsidR="005D2B3E" w:rsidRPr="005530E5" w:rsidRDefault="005D2B3E" w:rsidP="005D2B3E">
      <w:pPr>
        <w:widowControl w:val="0"/>
        <w:autoSpaceDE w:val="0"/>
        <w:autoSpaceDN w:val="0"/>
        <w:rPr>
          <w:noProof/>
        </w:rPr>
      </w:pPr>
      <w:r w:rsidRPr="005530E5">
        <w:rPr>
          <w:noProof/>
        </w:rPr>
        <w:t>Použije se ode dne … [</w:t>
      </w:r>
      <w:r w:rsidRPr="005530E5">
        <w:rPr>
          <w:i/>
          <w:noProof/>
        </w:rPr>
        <w:t>Úř. věst.: vložte datum – šest měsíců po datu vstupu tohoto nařízení v platnost</w:t>
      </w:r>
      <w:r w:rsidRPr="005530E5">
        <w:rPr>
          <w:noProof/>
        </w:rPr>
        <w:t>].</w:t>
      </w:r>
    </w:p>
    <w:p w:rsidR="005D2B3E" w:rsidRPr="005530E5" w:rsidRDefault="005D2B3E" w:rsidP="00010B6F">
      <w:pPr>
        <w:pStyle w:val="Applicationdirecte"/>
        <w:rPr>
          <w:noProof/>
        </w:rPr>
      </w:pPr>
      <w:r w:rsidRPr="005530E5">
        <w:rPr>
          <w:noProof/>
        </w:rPr>
        <w:t>Toto nařízení je závazné v celém rozsahu a přímo použitelné ve všech členských státech.</w:t>
      </w:r>
    </w:p>
    <w:p w:rsidR="005D2B3E" w:rsidRPr="005530E5" w:rsidRDefault="00B834CD" w:rsidP="00E40BD3">
      <w:pPr>
        <w:pStyle w:val="Fait"/>
        <w:rPr>
          <w:noProof/>
        </w:rPr>
      </w:pPr>
      <w:r w:rsidRPr="00B834CD">
        <w:t>V Bruselu dne 21.11.2022</w:t>
      </w:r>
    </w:p>
    <w:p w:rsidR="005D2B3E" w:rsidRPr="005530E5" w:rsidRDefault="005D2B3E" w:rsidP="00E40BD3">
      <w:pPr>
        <w:pStyle w:val="Institutionquisigne"/>
        <w:rPr>
          <w:noProof/>
        </w:rPr>
      </w:pPr>
      <w:r w:rsidRPr="005530E5">
        <w:rPr>
          <w:noProof/>
        </w:rPr>
        <w:tab/>
        <w:t>Za Komisi</w:t>
      </w:r>
    </w:p>
    <w:p w:rsidR="005D2B3E" w:rsidRPr="005530E5" w:rsidRDefault="00437C1E" w:rsidP="00E40BD3">
      <w:pPr>
        <w:pStyle w:val="Personnequisigne"/>
        <w:keepNext/>
        <w:rPr>
          <w:noProof/>
        </w:rPr>
      </w:pPr>
      <w:r>
        <w:tab/>
        <w:t>předsedkyně</w:t>
      </w:r>
      <w:r>
        <w:br/>
      </w:r>
      <w:r>
        <w:tab/>
        <w:t>Ursula VON DER LEYEN</w:t>
      </w:r>
    </w:p>
    <w:p w:rsidR="005D2B3E" w:rsidRPr="005530E5" w:rsidRDefault="005D2B3E" w:rsidP="005D2B3E">
      <w:pPr>
        <w:pStyle w:val="Personnequisigne"/>
        <w:rPr>
          <w:noProof/>
        </w:rPr>
      </w:pPr>
    </w:p>
    <w:sectPr w:rsidR="005D2B3E" w:rsidRPr="005530E5" w:rsidSect="00A71BAC">
      <w:footerReference w:type="default" r:id="rId10"/>
      <w:footerReference w:type="first" r:id="rId11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B3E" w:rsidRDefault="005D2B3E" w:rsidP="005D2B3E">
      <w:pPr>
        <w:spacing w:before="0" w:after="0"/>
      </w:pPr>
      <w:r>
        <w:separator/>
      </w:r>
    </w:p>
  </w:endnote>
  <w:endnote w:type="continuationSeparator" w:id="0">
    <w:p w:rsidR="005D2B3E" w:rsidRDefault="005D2B3E" w:rsidP="005D2B3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B3E" w:rsidRPr="00A71BAC" w:rsidRDefault="00A71BAC" w:rsidP="00A71BAC">
    <w:pPr>
      <w:pStyle w:val="Footer"/>
      <w:rPr>
        <w:rFonts w:ascii="Arial" w:hAnsi="Arial" w:cs="Arial"/>
        <w:b/>
        <w:sz w:val="48"/>
      </w:rPr>
    </w:pPr>
    <w:r w:rsidRPr="00A71BAC">
      <w:rPr>
        <w:rFonts w:ascii="Arial" w:hAnsi="Arial" w:cs="Arial"/>
        <w:b/>
        <w:sz w:val="48"/>
      </w:rPr>
      <w:t>CS</w:t>
    </w:r>
    <w:r w:rsidRPr="00A71BAC">
      <w:rPr>
        <w:rFonts w:ascii="Arial" w:hAnsi="Arial" w:cs="Arial"/>
        <w:b/>
        <w:sz w:val="48"/>
      </w:rPr>
      <w:tab/>
    </w:r>
    <w:r w:rsidRPr="00A71BAC">
      <w:rPr>
        <w:rFonts w:ascii="Arial" w:hAnsi="Arial" w:cs="Arial"/>
        <w:b/>
        <w:sz w:val="48"/>
      </w:rPr>
      <w:tab/>
    </w:r>
    <w:r w:rsidRPr="00A71BAC">
      <w:tab/>
    </w:r>
    <w:r w:rsidRPr="00A71BAC">
      <w:rPr>
        <w:rFonts w:ascii="Arial" w:hAnsi="Arial" w:cs="Arial"/>
        <w:b/>
        <w:sz w:val="48"/>
      </w:rPr>
      <w:t>CS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BAC" w:rsidRPr="00A71BAC" w:rsidRDefault="00A71BAC" w:rsidP="00A71BAC">
    <w:pPr>
      <w:pStyle w:val="Footer"/>
      <w:rPr>
        <w:rFonts w:ascii="Arial" w:hAnsi="Arial" w:cs="Arial"/>
        <w:b/>
        <w:sz w:val="48"/>
      </w:rPr>
    </w:pPr>
    <w:r w:rsidRPr="00A71BAC">
      <w:rPr>
        <w:rFonts w:ascii="Arial" w:hAnsi="Arial" w:cs="Arial"/>
        <w:b/>
        <w:sz w:val="48"/>
      </w:rPr>
      <w:t>CS</w:t>
    </w:r>
    <w:r w:rsidRPr="00A71BAC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E40BD3">
      <w:rPr>
        <w:noProof/>
      </w:rPr>
      <w:t>6</w:t>
    </w:r>
    <w:r>
      <w:fldChar w:fldCharType="end"/>
    </w:r>
    <w:r>
      <w:tab/>
    </w:r>
    <w:r w:rsidRPr="00A71BAC">
      <w:tab/>
    </w:r>
    <w:r w:rsidRPr="00A71BAC">
      <w:rPr>
        <w:rFonts w:ascii="Arial" w:hAnsi="Arial" w:cs="Arial"/>
        <w:b/>
        <w:sz w:val="48"/>
      </w:rPr>
      <w:t>CS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BAC" w:rsidRPr="00A71BAC" w:rsidRDefault="00A71BAC" w:rsidP="00A71B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B3E" w:rsidRDefault="005D2B3E" w:rsidP="005D2B3E">
      <w:pPr>
        <w:spacing w:before="0" w:after="0"/>
      </w:pPr>
      <w:r>
        <w:separator/>
      </w:r>
    </w:p>
  </w:footnote>
  <w:footnote w:type="continuationSeparator" w:id="0">
    <w:p w:rsidR="005D2B3E" w:rsidRDefault="005D2B3E" w:rsidP="005D2B3E">
      <w:pPr>
        <w:spacing w:before="0" w:after="0"/>
      </w:pPr>
      <w:r>
        <w:continuationSeparator/>
      </w:r>
    </w:p>
  </w:footnote>
  <w:footnote w:id="1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Úř. věst. L 176, 27.6.2013, s. 1.</w:t>
      </w:r>
    </w:p>
  </w:footnote>
  <w:footnote w:id="2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Prováděcí nařízení Komise (EU) 2021/451 ze dne 17. prosince 2020, kterým se stanoví prováděcí technické normy pro uplatňování nařízení Evropského parlamentu a Rady (EU) č. 575/2013, pokud jde o podávání zpráv institucí pro účely dohledu, a kterým se zrušuje prováděcí nařízení (EU) č. 680/2014 (Úř. věst. L 97, 19.3.2021, s. 1)).</w:t>
      </w:r>
    </w:p>
  </w:footnote>
  <w:footnote w:id="3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Nařízení Evropského parlamentu a Rady (EU) 2019/876 ze dne 20. května 2019, kterým se mění nařízení (EU) č. 575/2013, pokud jde o pákový poměr, ukazatel čistého stabilního financování, požadavky na kapitál a způsobilé závazky, úvěrové riziko protistrany, tržní riziko, expozice vůči ústředním protistranám, expozice vůči subjektům kolektivního investování, velké expozice, požadavky na podávání zpráv a zpřístupňování informací, a nařízení (EU) č. 648/2012 (Úř. věst. L 150, 7.6.2019, s. 1).</w:t>
      </w:r>
    </w:p>
  </w:footnote>
  <w:footnote w:id="4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Nařízení Evropského parlamentu a Rady (EU) 2021/558 ze dne 31. března 2021, kterým se mění nařízení (EU) č. 575/2013, pokud jde o úpravy rámce pro sekuritizaci na podporu hospodářského oživení v reakci na krizi způsobenou onemocněním COVID-19 (Úř. věst. L 116, 6.4.2021, s. 25).</w:t>
      </w:r>
    </w:p>
  </w:footnote>
  <w:footnote w:id="5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Nařízení Evropského parlamentu a Rady (EU) 2021/557 ze dne 31. března 2021, kterým se mění nařízení (EU) 2017/2402, kterým se stanoví obecný rámec pro sekuritizaci a vytváří se zvláštní rámec pro jednoduchou, transparentní a standardizovanou sekuritizaci, s cílem napomoci oživení po krizi způsobené onemocněním COVID-19 (Úř. věst. L 116, 6.4.2021, s. 1).</w:t>
      </w:r>
    </w:p>
  </w:footnote>
  <w:footnote w:id="6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Nařízení Evropského parlamentu a Rady (EU) 2017/2402 ze dne 12. prosince 2017, kterým se stanoví obecný rámec pro sekuritizaci a vytváří se zvláštní rámec pro jednoduchou, transparentní a standardizovanou sekuritizaci a kterým se mění směrnice 2009/65/ES, 2009/138/ES, 2011/61/EU a nařízení (ES) č. 1060/2009 a (EU) č. 648/2012 (Úř. věst. L 347, 28.12.2017, s. 35).</w:t>
      </w:r>
    </w:p>
  </w:footnote>
  <w:footnote w:id="7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Nařízení Komise v přenesené pravomoci (EU) 2020/2176 ze dne 12. listopadu 2020, kterým se mění nařízení v přenesené pravomoci (EU) č. 241/2014, pokud jde o odpočet aktiv v podobě softwaru od položek kmenového kapitálu tier 1 (Úř. věst. L 433, 22.12.2020, s. 27).</w:t>
      </w:r>
    </w:p>
  </w:footnote>
  <w:footnote w:id="8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Nařízení Komise v přenesené pravomoci (EU) č. 241/2014 ze dne 7. ledna 2014, kterým se doplňuje nařízení Evropského parlamentu a Rady (EU) č. 575/2013, pokud jde o regulační technické normy pro kapitálové požadavky na instituce (Úř. věst. L 74, 14.3.2014, s. 8).</w:t>
      </w:r>
    </w:p>
  </w:footnote>
  <w:footnote w:id="9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Nařízení Komise v přenesené pravomoci (EU) č. 1222/2014 ze dne 8. října 2014, kterým se doplňuje směrnice Evropského parlamentu a Rady 2013/36/EU, pokud jde o regulační technické normy pro upřesnění metodiky určování globálních systémově významných institucí a vymezení podkategorií globálních systémově významných institucí (Úř. věst. L 330, 15.11.2014, s. 27).</w:t>
      </w:r>
    </w:p>
  </w:footnote>
  <w:footnote w:id="10">
    <w:p w:rsidR="005D2B3E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Nařízení Evropského parlamentu a Rady (EU) č. 1093/2010 ze dne 24. listopadu 2010 o zřízení Evropského orgánu dohledu (Evropského orgánu pro bankovnictví), o změně rozhodnutí č. 716/2009/ES a o zrušení rozhodnutí Komise 2009/78/ES (Úř. věst. L 331, 15.12.2010, s. 12).</w:t>
      </w:r>
    </w:p>
  </w:footnote>
  <w:footnote w:id="11">
    <w:p w:rsidR="005D2B3E" w:rsidRPr="005D2B3E" w:rsidRDefault="005D2B3E">
      <w:pPr>
        <w:pStyle w:val="FootnoteText"/>
      </w:pPr>
      <w:r>
        <w:rPr>
          <w:rStyle w:val="FootnoteReference"/>
        </w:rPr>
        <w:footnoteRef/>
      </w:r>
      <w:r>
        <w:tab/>
        <w:t>Směrnice Evropského parlamentu a Rady 2009/65/ES ze dne 13. července 2009 o koordinaci právních a správních předpisů týkajících se subjektů kolektivního investování do převoditelných cenných papírů (SKIPCP) (Úř. vě</w:t>
      </w:r>
      <w:r w:rsidR="00E5321F">
        <w:t>st. L 302, 17.11.2009, s. 32).</w:t>
      </w:r>
    </w:p>
  </w:footnote>
  <w:footnote w:id="12">
    <w:p w:rsidR="00A3553A" w:rsidRPr="00A3553A" w:rsidRDefault="00A3553A">
      <w:pPr>
        <w:pStyle w:val="FootnoteText"/>
      </w:pPr>
      <w:r>
        <w:rPr>
          <w:rStyle w:val="FootnoteReference"/>
        </w:rPr>
        <w:footnoteRef/>
      </w:r>
      <w:r>
        <w:tab/>
        <w:t>Nařízení Evropského parlamentu a Rady (EU) č. 806/2014 ze dne 15. července 2014, kterým se stanoví jednotná pravidla a jednotný postup pro řešení krize úvěrových institucí a některých investičních podniků v rámci jednotného mechanismu pro řešení krizí a Jednotného fondu pro řešení krizí a mění nařízení (EU) č. 1093/2010 (Úř. věst. L 225, 30.7.2014, s. 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2B26B42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A1AA5FD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6D34ECF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1090C31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2FE2809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E94E1D5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C9EE62C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7B7A92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7"/>
  </w:num>
  <w:num w:numId="2">
    <w:abstractNumId w:val="6"/>
  </w:num>
  <w:num w:numId="3">
    <w:abstractNumId w:val="22"/>
    <w:lvlOverride w:ilvl="0">
      <w:startOverride w:val="1"/>
    </w:lvlOverride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9"/>
  </w:num>
  <w:num w:numId="11">
    <w:abstractNumId w:val="12"/>
  </w:num>
  <w:num w:numId="12">
    <w:abstractNumId w:val="21"/>
  </w:num>
  <w:num w:numId="13">
    <w:abstractNumId w:val="11"/>
  </w:num>
  <w:num w:numId="14">
    <w:abstractNumId w:val="13"/>
  </w:num>
  <w:num w:numId="15">
    <w:abstractNumId w:val="14"/>
  </w:num>
  <w:num w:numId="16">
    <w:abstractNumId w:val="9"/>
  </w:num>
  <w:num w:numId="17">
    <w:abstractNumId w:val="20"/>
  </w:num>
  <w:num w:numId="18">
    <w:abstractNumId w:val="8"/>
  </w:num>
  <w:num w:numId="19">
    <w:abstractNumId w:val="15"/>
  </w:num>
  <w:num w:numId="20">
    <w:abstractNumId w:val="17"/>
  </w:num>
  <w:num w:numId="21">
    <w:abstractNumId w:val="18"/>
  </w:num>
  <w:num w:numId="22">
    <w:abstractNumId w:val="10"/>
  </w:num>
  <w:num w:numId="23">
    <w:abstractNumId w:val="16"/>
  </w:num>
  <w:num w:numId="24">
    <w:abstractNumId w:val="22"/>
  </w:num>
  <w:num w:numId="25">
    <w:abstractNumId w:val="19"/>
  </w:num>
  <w:num w:numId="26">
    <w:abstractNumId w:val="12"/>
  </w:num>
  <w:num w:numId="27">
    <w:abstractNumId w:val="21"/>
  </w:num>
  <w:num w:numId="28">
    <w:abstractNumId w:val="11"/>
  </w:num>
  <w:num w:numId="29">
    <w:abstractNumId w:val="13"/>
  </w:num>
  <w:num w:numId="30">
    <w:abstractNumId w:val="14"/>
  </w:num>
  <w:num w:numId="31">
    <w:abstractNumId w:val="9"/>
  </w:num>
  <w:num w:numId="32">
    <w:abstractNumId w:val="20"/>
  </w:num>
  <w:num w:numId="33">
    <w:abstractNumId w:val="8"/>
  </w:num>
  <w:num w:numId="34">
    <w:abstractNumId w:val="15"/>
  </w:num>
  <w:num w:numId="35">
    <w:abstractNumId w:val="17"/>
  </w:num>
  <w:num w:numId="36">
    <w:abstractNumId w:val="18"/>
  </w:num>
  <w:num w:numId="37">
    <w:abstractNumId w:val="10"/>
  </w:num>
  <w:num w:numId="38">
    <w:abstractNumId w:val="16"/>
  </w:num>
  <w:num w:numId="39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hideSpellingErrors/>
  <w:hideGrammaticalErrors/>
  <w:activeWritingStyle w:appName="MSWord" w:lang="fr-FR" w:vendorID="64" w:dllVersion="131078" w:nlCheck="1" w:checkStyle="0"/>
  <w:attachedTemplate r:id="rId1"/>
  <w:revisionView w:markup="0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QCDateTime" w:val="2022-11-14 11:22:43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Green"/>
    <w:docVar w:name="DQCVersion" w:val="3"/>
    <w:docVar w:name="DQCWithWarnings" w:val="0"/>
    <w:docVar w:name="LW_CORRIGENDUM" w:val="&lt;UNUSED&gt;"/>
    <w:docVar w:name="LW_COVERPAGE_EXISTS" w:val="True"/>
    <w:docVar w:name="LW_COVERPAGE_GUID" w:val="6B9DAAD7-6881-4ECC-B6AE-201F2115F0B6"/>
    <w:docVar w:name="LW_COVERPAGE_TYPE" w:val="1"/>
    <w:docVar w:name="LW_CROSSREFERENCE" w:val="&lt;UNUSED&gt;"/>
    <w:docVar w:name="LW_DATE.ADOPT.CP" w:val="ze dne 21.11.2022"/>
    <w:docVar w:name="LW_DATE.ADOPT.CP_DATEFORMAT" w:val="ze dne %DATE%,"/>
    <w:docVar w:name="LW_DATE.ADOPT.CP_ISODATE" w:val="2022-11-21"/>
    <w:docVar w:name="LW_DocType" w:val="COM"/>
    <w:docVar w:name="LW_EMISSION" w:val="21.11.2022"/>
    <w:docVar w:name="LW_EMISSION_ISODATE" w:val="2022-11-21"/>
    <w:docVar w:name="LW_EMISSION_LOCATION" w:val="BRX"/>
    <w:docVar w:name="LW_EMISSION_PREFIX" w:val="V Bruselu dne 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&lt;UNUSED&gt;"/>
    <w:docVar w:name="LW_LANGUE" w:val="CS"/>
    <w:docVar w:name="LW_LANGUESFAISANTFOI.CP" w:val="&lt;UNUSED&gt;"/>
    <w:docVar w:name="LW_LEVEL_OF_SENSITIVITY" w:val="Standard treatment"/>
    <w:docVar w:name="LW_NOM.INST" w:val="EVROPSKÁ KOMISE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2) 8252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kterým se mění prováděcí technické normy stanovené v prováděcím nařízení (EU) 2021/451, pokud jde o kapitál, zatížení aktiv, likviditu a podávání zpráv pro účely určení globálních systémově významných institucí"/>
    <w:docVar w:name="LW_TYPE.DOC.CP" w:val="PROVÁDĚCÍ NAŘÍZENÍ KOMISE (EU) …/..."/>
    <w:docVar w:name="LwApiVersions" w:val="LW4CoDe 1.23.2.0; LW 8.0, Build 20211117"/>
  </w:docVars>
  <w:rsids>
    <w:rsidRoot w:val="005D2B3E"/>
    <w:rsid w:val="00010B6F"/>
    <w:rsid w:val="0001772E"/>
    <w:rsid w:val="00054D8E"/>
    <w:rsid w:val="000B7A7D"/>
    <w:rsid w:val="000F0C00"/>
    <w:rsid w:val="00111384"/>
    <w:rsid w:val="00152894"/>
    <w:rsid w:val="00183348"/>
    <w:rsid w:val="001C2BB7"/>
    <w:rsid w:val="001D13FF"/>
    <w:rsid w:val="0024576E"/>
    <w:rsid w:val="002601E6"/>
    <w:rsid w:val="002829F6"/>
    <w:rsid w:val="002A5257"/>
    <w:rsid w:val="002A6A16"/>
    <w:rsid w:val="002C675A"/>
    <w:rsid w:val="00354DB0"/>
    <w:rsid w:val="00396ACD"/>
    <w:rsid w:val="003D3CC4"/>
    <w:rsid w:val="003F6FF9"/>
    <w:rsid w:val="00410BE0"/>
    <w:rsid w:val="00437AA5"/>
    <w:rsid w:val="00437C1E"/>
    <w:rsid w:val="00492396"/>
    <w:rsid w:val="004E19F9"/>
    <w:rsid w:val="004E2CA2"/>
    <w:rsid w:val="004F2AF1"/>
    <w:rsid w:val="00517205"/>
    <w:rsid w:val="00542487"/>
    <w:rsid w:val="00545829"/>
    <w:rsid w:val="005478C1"/>
    <w:rsid w:val="005530E5"/>
    <w:rsid w:val="0056388C"/>
    <w:rsid w:val="005670C6"/>
    <w:rsid w:val="00572ED7"/>
    <w:rsid w:val="00580D63"/>
    <w:rsid w:val="00582810"/>
    <w:rsid w:val="00584801"/>
    <w:rsid w:val="00595540"/>
    <w:rsid w:val="005B1D98"/>
    <w:rsid w:val="005B5FA6"/>
    <w:rsid w:val="005D2B3E"/>
    <w:rsid w:val="005D43D4"/>
    <w:rsid w:val="005D4E82"/>
    <w:rsid w:val="005D7CB3"/>
    <w:rsid w:val="006654AB"/>
    <w:rsid w:val="006F7EFE"/>
    <w:rsid w:val="007011C7"/>
    <w:rsid w:val="007037D5"/>
    <w:rsid w:val="007B0712"/>
    <w:rsid w:val="007B5E08"/>
    <w:rsid w:val="007D0861"/>
    <w:rsid w:val="007E010B"/>
    <w:rsid w:val="007E5FAC"/>
    <w:rsid w:val="00802FC2"/>
    <w:rsid w:val="00873514"/>
    <w:rsid w:val="008932FD"/>
    <w:rsid w:val="008A0949"/>
    <w:rsid w:val="008D38CB"/>
    <w:rsid w:val="008E2694"/>
    <w:rsid w:val="00900CE3"/>
    <w:rsid w:val="00940731"/>
    <w:rsid w:val="00941BEA"/>
    <w:rsid w:val="009957C5"/>
    <w:rsid w:val="00A1201F"/>
    <w:rsid w:val="00A3553A"/>
    <w:rsid w:val="00A565C7"/>
    <w:rsid w:val="00A71BAC"/>
    <w:rsid w:val="00AE66A6"/>
    <w:rsid w:val="00B56A4B"/>
    <w:rsid w:val="00B834CD"/>
    <w:rsid w:val="00BB0A3F"/>
    <w:rsid w:val="00BD70C2"/>
    <w:rsid w:val="00C13FE2"/>
    <w:rsid w:val="00C3731F"/>
    <w:rsid w:val="00C6609E"/>
    <w:rsid w:val="00C92BB9"/>
    <w:rsid w:val="00C9675A"/>
    <w:rsid w:val="00CB6711"/>
    <w:rsid w:val="00CC26D7"/>
    <w:rsid w:val="00D1591B"/>
    <w:rsid w:val="00D5006D"/>
    <w:rsid w:val="00D562F0"/>
    <w:rsid w:val="00D75221"/>
    <w:rsid w:val="00DB4B20"/>
    <w:rsid w:val="00E07235"/>
    <w:rsid w:val="00E33C9F"/>
    <w:rsid w:val="00E40BD3"/>
    <w:rsid w:val="00E5321F"/>
    <w:rsid w:val="00E66107"/>
    <w:rsid w:val="00E8314F"/>
    <w:rsid w:val="00E979AB"/>
    <w:rsid w:val="00EA781A"/>
    <w:rsid w:val="00EC39BC"/>
    <w:rsid w:val="00ED2736"/>
    <w:rsid w:val="00EE140B"/>
    <w:rsid w:val="00EF5B69"/>
    <w:rsid w:val="00F14AAB"/>
    <w:rsid w:val="00F15A7E"/>
    <w:rsid w:val="00F25ACB"/>
    <w:rsid w:val="00F42952"/>
    <w:rsid w:val="00F52309"/>
    <w:rsid w:val="00F66B19"/>
    <w:rsid w:val="00FC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28809BE5-7CAA-4036-B991-5F27FA67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cs-CZ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32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32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32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32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32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32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32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5D2B3E"/>
    <w:pPr>
      <w:numPr>
        <w:numId w:val="1"/>
      </w:numPr>
    </w:pPr>
  </w:style>
  <w:style w:type="paragraph" w:styleId="ListNumber">
    <w:name w:val="List Number"/>
    <w:basedOn w:val="Normal"/>
    <w:uiPriority w:val="99"/>
    <w:semiHidden/>
    <w:unhideWhenUsed/>
    <w:rsid w:val="005D2B3E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B56A4B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B56A4B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B56A4B"/>
    <w:pPr>
      <w:numPr>
        <w:numId w:val="6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C9675A"/>
    <w:pPr>
      <w:spacing w:before="0" w:after="200"/>
    </w:pPr>
    <w:rPr>
      <w:i/>
      <w:color w:val="1F497D" w:themeColor="text2"/>
      <w:sz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C9675A"/>
    <w:pPr>
      <w:spacing w:after="0"/>
    </w:pPr>
  </w:style>
  <w:style w:type="paragraph" w:styleId="ListNumber2">
    <w:name w:val="List Number 2"/>
    <w:basedOn w:val="Normal"/>
    <w:uiPriority w:val="99"/>
    <w:semiHidden/>
    <w:unhideWhenUsed/>
    <w:rsid w:val="00C9675A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9675A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C9675A"/>
    <w:pPr>
      <w:numPr>
        <w:numId w:val="9"/>
      </w:numPr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6FF9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FF9"/>
    <w:rPr>
      <w:rFonts w:ascii="Segoe UI" w:hAnsi="Segoe UI" w:cs="Segoe UI"/>
      <w:sz w:val="18"/>
    </w:rPr>
  </w:style>
  <w:style w:type="paragraph" w:styleId="Header">
    <w:name w:val="header"/>
    <w:basedOn w:val="Normal"/>
    <w:link w:val="HeaderChar"/>
    <w:uiPriority w:val="99"/>
    <w:unhideWhenUsed/>
    <w:rsid w:val="00A71BAC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A71BAC"/>
    <w:rPr>
      <w:rFonts w:ascii="Times New Roman" w:hAnsi="Times New Roman" w:cs="Times New Roman"/>
      <w:sz w:val="24"/>
      <w:lang w:val="cs-CZ"/>
    </w:rPr>
  </w:style>
  <w:style w:type="paragraph" w:styleId="Footer">
    <w:name w:val="footer"/>
    <w:basedOn w:val="Normal"/>
    <w:link w:val="FooterChar"/>
    <w:uiPriority w:val="99"/>
    <w:unhideWhenUsed/>
    <w:rsid w:val="00A71BA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A71BAC"/>
    <w:rPr>
      <w:rFonts w:ascii="Times New Roman" w:hAnsi="Times New Roman" w:cs="Times New Roman"/>
      <w:sz w:val="24"/>
      <w:lang w:val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shd w:val="clear" w:color="auto" w:fill="auto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paragraph" w:customStyle="1" w:styleId="HeaderLandscape">
    <w:name w:val="HeaderLandscape"/>
    <w:basedOn w:val="Normal"/>
    <w:rsid w:val="00A71BAC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A71BAC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A71BA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A71BAC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A71BA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25"/>
      </w:numPr>
    </w:pPr>
  </w:style>
  <w:style w:type="paragraph" w:customStyle="1" w:styleId="Tiret1">
    <w:name w:val="Tiret 1"/>
    <w:basedOn w:val="Point1"/>
    <w:pPr>
      <w:numPr>
        <w:numId w:val="26"/>
      </w:numPr>
    </w:pPr>
  </w:style>
  <w:style w:type="paragraph" w:customStyle="1" w:styleId="Tiret2">
    <w:name w:val="Tiret 2"/>
    <w:basedOn w:val="Point2"/>
    <w:pPr>
      <w:numPr>
        <w:numId w:val="27"/>
      </w:numPr>
    </w:pPr>
  </w:style>
  <w:style w:type="paragraph" w:customStyle="1" w:styleId="Tiret3">
    <w:name w:val="Tiret 3"/>
    <w:basedOn w:val="Point3"/>
    <w:pPr>
      <w:numPr>
        <w:numId w:val="28"/>
      </w:numPr>
    </w:pPr>
  </w:style>
  <w:style w:type="paragraph" w:customStyle="1" w:styleId="Tiret4">
    <w:name w:val="Tiret 4"/>
    <w:basedOn w:val="Point4"/>
    <w:pPr>
      <w:numPr>
        <w:numId w:val="29"/>
      </w:numPr>
    </w:pPr>
  </w:style>
  <w:style w:type="paragraph" w:customStyle="1" w:styleId="Tiret5">
    <w:name w:val="Tiret 5"/>
    <w:basedOn w:val="Point5"/>
    <w:pPr>
      <w:numPr>
        <w:numId w:val="30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31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31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31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31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31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31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31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33"/>
      </w:numPr>
    </w:pPr>
  </w:style>
  <w:style w:type="paragraph" w:customStyle="1" w:styleId="Point1number">
    <w:name w:val="Point 1 (number)"/>
    <w:basedOn w:val="Normal"/>
    <w:pPr>
      <w:numPr>
        <w:ilvl w:val="2"/>
        <w:numId w:val="33"/>
      </w:numPr>
    </w:pPr>
  </w:style>
  <w:style w:type="paragraph" w:customStyle="1" w:styleId="Point2number">
    <w:name w:val="Point 2 (number)"/>
    <w:basedOn w:val="Normal"/>
    <w:pPr>
      <w:numPr>
        <w:ilvl w:val="4"/>
        <w:numId w:val="33"/>
      </w:numPr>
    </w:pPr>
  </w:style>
  <w:style w:type="paragraph" w:customStyle="1" w:styleId="Point3number">
    <w:name w:val="Point 3 (number)"/>
    <w:basedOn w:val="Normal"/>
    <w:pPr>
      <w:numPr>
        <w:ilvl w:val="6"/>
        <w:numId w:val="33"/>
      </w:numPr>
    </w:pPr>
  </w:style>
  <w:style w:type="paragraph" w:customStyle="1" w:styleId="Point0letter">
    <w:name w:val="Point 0 (letter)"/>
    <w:basedOn w:val="Normal"/>
    <w:pPr>
      <w:numPr>
        <w:ilvl w:val="1"/>
        <w:numId w:val="33"/>
      </w:numPr>
    </w:pPr>
  </w:style>
  <w:style w:type="paragraph" w:customStyle="1" w:styleId="Point1letter">
    <w:name w:val="Point 1 (letter)"/>
    <w:basedOn w:val="Normal"/>
    <w:pPr>
      <w:numPr>
        <w:ilvl w:val="3"/>
        <w:numId w:val="33"/>
      </w:numPr>
    </w:pPr>
  </w:style>
  <w:style w:type="paragraph" w:customStyle="1" w:styleId="Point2letter">
    <w:name w:val="Point 2 (letter)"/>
    <w:basedOn w:val="Normal"/>
    <w:pPr>
      <w:numPr>
        <w:ilvl w:val="5"/>
        <w:numId w:val="33"/>
      </w:numPr>
    </w:pPr>
  </w:style>
  <w:style w:type="paragraph" w:customStyle="1" w:styleId="Point3letter">
    <w:name w:val="Point 3 (letter)"/>
    <w:basedOn w:val="Normal"/>
    <w:pPr>
      <w:numPr>
        <w:ilvl w:val="7"/>
        <w:numId w:val="33"/>
      </w:numPr>
    </w:pPr>
  </w:style>
  <w:style w:type="paragraph" w:customStyle="1" w:styleId="Point4letter">
    <w:name w:val="Point 4 (letter)"/>
    <w:basedOn w:val="Normal"/>
    <w:pPr>
      <w:numPr>
        <w:ilvl w:val="8"/>
        <w:numId w:val="33"/>
      </w:numPr>
    </w:pPr>
  </w:style>
  <w:style w:type="paragraph" w:customStyle="1" w:styleId="Bullet0">
    <w:name w:val="Bullet 0"/>
    <w:basedOn w:val="Normal"/>
    <w:pPr>
      <w:numPr>
        <w:numId w:val="34"/>
      </w:numPr>
    </w:pPr>
  </w:style>
  <w:style w:type="paragraph" w:customStyle="1" w:styleId="Bullet1">
    <w:name w:val="Bullet 1"/>
    <w:basedOn w:val="Normal"/>
    <w:pPr>
      <w:numPr>
        <w:numId w:val="35"/>
      </w:numPr>
    </w:pPr>
  </w:style>
  <w:style w:type="paragraph" w:customStyle="1" w:styleId="Bullet2">
    <w:name w:val="Bullet 2"/>
    <w:basedOn w:val="Normal"/>
    <w:pPr>
      <w:numPr>
        <w:numId w:val="36"/>
      </w:numPr>
    </w:pPr>
  </w:style>
  <w:style w:type="paragraph" w:customStyle="1" w:styleId="Bullet3">
    <w:name w:val="Bullet 3"/>
    <w:basedOn w:val="Normal"/>
    <w:pPr>
      <w:numPr>
        <w:numId w:val="37"/>
      </w:numPr>
    </w:pPr>
  </w:style>
  <w:style w:type="paragraph" w:customStyle="1" w:styleId="Bullet4">
    <w:name w:val="Bullet 4"/>
    <w:basedOn w:val="Normal"/>
    <w:pPr>
      <w:numPr>
        <w:numId w:val="38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39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IntrtEEE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3C4CE-507D-4DF1-9927-0DB5FD577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42</TotalTime>
  <Pages>7</Pages>
  <Words>1863</Words>
  <Characters>10381</Characters>
  <Application>Microsoft Office Word</Application>
  <DocSecurity>0</DocSecurity>
  <Lines>199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revision>59</cp:revision>
  <dcterms:created xsi:type="dcterms:W3CDTF">2022-07-11T13:10:00Z</dcterms:created>
  <dcterms:modified xsi:type="dcterms:W3CDTF">2022-11-14T10:22:00Z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8.0.25.0</vt:lpwstr>
  </property>
  <property fmtid="{D5CDD505-2E9C-101B-9397-08002B2CF9AE}" pid="4" name="Last edited using">
    <vt:lpwstr>LW 8.1, Build 20220902</vt:lpwstr>
  </property>
  <property fmtid="{D5CDD505-2E9C-101B-9397-08002B2CF9AE}" pid="5" name="Created using">
    <vt:lpwstr>LW 8.0, Build 20220128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SJ-004</vt:lpwstr>
  </property>
  <property fmtid="{D5CDD505-2E9C-101B-9397-08002B2CF9AE}" pid="10" name="DQCStatus">
    <vt:lpwstr>Green (DQC version 03)</vt:lpwstr>
  </property>
</Properties>
</file>