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3CC8DBCE" w:rsidR="00845EB1" w:rsidRPr="0068244B" w:rsidRDefault="00845EB1" w:rsidP="00845EB1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MT</w:t>
      </w:r>
      <w:r>
        <w:t xml:space="preserve"> </w:t>
      </w:r>
      <w:r>
        <w:br/>
      </w:r>
      <w:r>
        <w:rPr>
          <w:b/>
          <w:sz w:val="24"/>
          <w:rFonts w:ascii="Times New Roman" w:hAnsi="Times New Roman"/>
        </w:rPr>
        <w:t xml:space="preserve">ANNESS VIII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 xml:space="preserve">“ANNESS XXI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 xml:space="preserve">STRUZZJONIJIET GĦALL-MILI TAL-FORMOLA DWAR IL-KONĊENTRAZZJONI TAL-KAPAĊITÀ TA’ KONTROBILANĊ (C 71.00) TAL-ANNESS XX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77777777" w:rsidR="00E05204" w:rsidRPr="0068244B" w:rsidRDefault="00E05204" w:rsidP="00E05204">
      <w:pPr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Konċentrazzjoni tal-Kapaċità ta’ Kontrobilanċ minn emittent/kontroparti (CCC)(C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rFonts w:ascii="Times New Roman" w:hAnsi="Times New Roman"/>
        </w:rPr>
        <w:t xml:space="preserve">1.</w:t>
      </w:r>
      <w:r>
        <w:tab/>
      </w:r>
      <w:r>
        <w:rPr>
          <w:sz w:val="24"/>
          <w:rFonts w:ascii="Times New Roman" w:hAnsi="Times New Roman"/>
        </w:rPr>
        <w:t xml:space="preserve">Sabiex jiġbru informazzjoni dwar il-konċentrazzjoni tal-kapaċità ta’ kontrobilanċ tal-istituzzjonijiet tar-rapportar mill-għaxar l-ikbar detenturi ta’ assi jew linji ta’ likwidità mogħtija lill-istituzzjoni għal dan l-għan fil-formola C 71.00, l-istituzzjonijiet għandhom japplikaw l-istruzzjonijiet li jinsabu f’dan l-Anness.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tab/>
      </w:r>
      <w:r>
        <w:rPr>
          <w:sz w:val="24"/>
          <w:rFonts w:ascii="Times New Roman" w:hAnsi="Times New Roman"/>
        </w:rPr>
        <w:t xml:space="preserve">Meta l-emittent jew il-kontroparti tkun assenjata lil aktar minn tip ta’ prodott, munita jew skala waħda tal-kwalità kreditizja, għandu jiġi rapportat l-ammont totali.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It-tip ta’ prodott, munita jew skala ta’ kwalità kreditizja li għandha tiġi rapportati għandhom ikunu dawk li huma rilevanti għall-akbar proporzjon ta’ konċentrazzjoni tal-kapaċità ta’ kontrobilanċ.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tab/>
      </w:r>
      <w:r>
        <w:rPr>
          <w:sz w:val="24"/>
          <w:rFonts w:ascii="Times New Roman" w:hAnsi="Times New Roman"/>
        </w:rPr>
        <w:t xml:space="preserve">Il-kapaċità ta’ kontrobilanċ f’C71.00 għandha tkun l-istess bħal dik f’C66.01 bil-kwalifika li l-assi rapportati bħala kapaċità ta’ kontrobilanċ għall-finijiet ta’ C71.00 ma għandhomx ikunu aggravati biex ikunu disponibbli għall-istituzzjoni biex tibdilhom fi flus fid-data ta’ referenza tar-rapportar.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tab/>
      </w:r>
      <w:r>
        <w:rPr>
          <w:sz w:val="24"/>
          <w:rFonts w:ascii="Times New Roman" w:hAnsi="Times New Roman"/>
        </w:rPr>
        <w:t xml:space="preserve">Għall-kalkolu tal-konċentrazzjonijiet għall-fini tal-formola ta’ rapportar C 71.00 skont munita sinifikanti, l-istituzzjonijiet għandhom jużaw il-konċentrazzjonijiet fil-muniti kollha.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tab/>
      </w:r>
      <w:r>
        <w:rPr>
          <w:sz w:val="24"/>
          <w:rFonts w:ascii="Times New Roman" w:hAnsi="Times New Roman"/>
        </w:rPr>
        <w:t xml:space="preserve">Meta emittent jew kontroparti tappartjeni għal diversi gruppi ta’ klijenti konnessi, din għandha tiġi rapportata darba biss fil-grupp bl-ogħla konċentrazzjoni tal-kapaċità ta’ kontrobilanċ.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tab/>
      </w:r>
      <w:r>
        <w:rPr>
          <w:sz w:val="24"/>
          <w:rFonts w:ascii="Times New Roman" w:hAnsi="Times New Roman"/>
        </w:rPr>
        <w:t xml:space="preserve">Għajr għar-ringiela 0120, il-konċentrazzjonijiet tal-kapaċità ta’ kontrobilanċ ma’ bank ċentrali bħala emittent jew kontroparti ma għandhomx jiġu rapportati f’din il-formola.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F’każ li istituzzjoni jkollha assi pjazzati minn qabel f’bank ċentrali għal operazzjonijiet standard ta’ likwidità u sal-punt li dawn l-assi jaqgħu taħt l-ikbar għaxar emittenti jew kontropartijiet ta’ kapaċità ta’ kontrobilanċ mhux gravati, l-istituzzjoni għandha tirrapporta l-emittent oriġinali u t-tip ta’ prodott oriġinali.</w:t>
      </w:r>
    </w:p>
    <w:p w14:paraId="423289FA" w14:textId="77777777" w:rsidR="00E05204" w:rsidRPr="0068244B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Isem l-emittent</w:t>
            </w:r>
          </w:p>
          <w:p w14:paraId="36B02E7E" w14:textId="3FDFB966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L-isem tal-ikbar għaxar emittenti ta’ assi mhux gravati jew kontropartijiet ta’ linji ta’ likwidità impenjati mhux prelevati mogħtija lill-istituzzjoni għandhom jiġu reġistrati fil-kolonna 0010 f’ordni dekrexxenti.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L-ikbar entrata tiġi reġistrata f’1.01, it-tieni fl-entrata f’linja 1.02, eċċ. L-emittenti u l-kontropartijiet li jifformaw grupp ta’ klijenti konnessi għandhom jiġu rapportati bħala konċentrazzjoni waħda.</w:t>
            </w:r>
          </w:p>
          <w:p w14:paraId="4E01B5DA" w14:textId="4F0E946D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L-isem tal-emittent jew tal-kontroparti rreġistrat għandu jkun l-isem sħiħ tal-entità ġuridika li ħarġet l-assi jew li tat il-linji ta’ likwidità, inkluża kwalunkwe referenza tat-tip ta’ kumpanija f’konformità mad-dritt nazzjonali tal-kumpaniji.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Kodiċi LEI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Il-kodiċi ta’ identifikazzjoni ta’ entità ġuridika tal-kontroparti.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Settur tal-Emittent</w:t>
            </w:r>
          </w:p>
          <w:p w14:paraId="62F53B63" w14:textId="5D0C886D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Għandu jiġi allokat settur wieħed għal kull emittent jew kontroparti fuq il-bażi tal-klassijiet tas-settur ekonomiku tar-rapportar finanzjarju ([FINREP]) li ġejjin (il-Parti 1 tal-Anness V ta’ dan ir-Regolament ta’ Implimentazzjoni):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(i) Gvernijiet Estiżi;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(ii) Istituzzjonijiet ta’ kreditu;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(iii) Korporazzjonijiet finanzjarji oħrajn;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(iv) Korporazzjonijiet mhux finanzjarji;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(v) Unitajiet domestiċi.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68244B" w:rsidRDefault="00E05204" w:rsidP="008C0F1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Għal</w:t>
            </w:r>
            <w:r>
              <w:rPr>
                <w:sz w:val="24"/>
                <w:rFonts w:ascii="Times New Roman" w:hAnsi="Times New Roman"/>
              </w:rPr>
              <w:t xml:space="preserve"> gruppi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ta’ klijenti konnessi, settur ma għandu jiġi rapportat l-ebda settur.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Residenza tal-Emittent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Għandu jintuża l-kodiċi ISO 3166-1-alpha-2 tal-pajjiż tal-inkorporazzjoni tal-emittent jew tal-kontroparti, inklużi l-kodiċijiet pseudo-ISO għal organizzazzjonijiet internazzjonali</w:t>
            </w:r>
            <w:r>
              <w:rPr>
                <w:sz w:val="24"/>
                <w:rFonts w:ascii="Times New Roman" w:hAnsi="Times New Roman"/>
              </w:rPr>
              <w:t xml:space="preserve">, disponibbli fl-aħħar edizzjoni ta’ “</w:t>
            </w:r>
            <w:r>
              <w:rPr>
                <w:sz w:val="24"/>
                <w:i/>
                <w:rFonts w:ascii="Times New Roman" w:hAnsi="Times New Roman"/>
              </w:rPr>
              <w:t xml:space="preserve">Vademecum</w:t>
            </w:r>
            <w:r>
              <w:rPr>
                <w:sz w:val="24"/>
                <w:rFonts w:ascii="Times New Roman" w:hAnsi="Times New Roman"/>
              </w:rPr>
              <w:t xml:space="preserve"> tal-Bilanċ tal-Pagamenti” tal-Eurostat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Għal gruppi ta’ klijenti konnessi, ma għandu jiġi rapportat l-ebda pajjiż.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ta’ Prodott</w:t>
            </w:r>
          </w:p>
          <w:p w14:paraId="7DC48699" w14:textId="4D5DEEF0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L-emittenti/Il-kontropartijiet irreġistrati fil-kolonna 0010 għandhom jiġu assenjati tip ta’ prodott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korrispondenti</w:t>
            </w:r>
            <w:r>
              <w:rPr>
                <w:sz w:val="24"/>
                <w:rFonts w:ascii="Times New Roman" w:hAnsi="Times New Roman"/>
              </w:rPr>
              <w:t xml:space="preserve"> għall-prodott li jkunu miżmuma fih l-assi jew il-faċilità ta’ likwidità għal-lest tkun ġiet riċevuta, bl-użu tal-kodiċijiet li ġejjin indikati b’tipa grassa:</w:t>
            </w:r>
          </w:p>
          <w:p w14:paraId="1CB9AEA2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bookmarkStart w:id="0" w:name="OLE_LINK1"/>
            <w:r>
              <w:rPr>
                <w:sz w:val="24"/>
                <w:b/>
                <w:rFonts w:ascii="Times New Roman" w:hAnsi="Times New Roman"/>
              </w:rPr>
              <w:t xml:space="preserve">SrB</w:t>
            </w:r>
            <w:r>
              <w:rPr>
                <w:sz w:val="24"/>
                <w:rFonts w:ascii="Times New Roman" w:hAnsi="Times New Roman"/>
              </w:rPr>
              <w:t xml:space="preserve"> (Bond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Superjuri</w:t>
            </w:r>
            <w:r>
              <w:rPr>
                <w:sz w:val="24"/>
                <w:rFonts w:ascii="Times New Roman" w:hAnsi="Times New Roman"/>
              </w:rPr>
              <w:t xml:space="preserve"> 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</w:t>
            </w:r>
            <w:r>
              <w:rPr>
                <w:sz w:val="24"/>
                <w:rFonts w:ascii="Times New Roman" w:hAnsi="Times New Roman"/>
              </w:rPr>
              <w:t xml:space="preserve"> (Bond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Subordinat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</w:p>
          <w:p w14:paraId="08EFBEC2" w14:textId="77777777" w:rsidR="00E05204" w:rsidRPr="0068244B" w:rsidRDefault="00E05204" w:rsidP="00A36F2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</w:t>
            </w:r>
            <w:r>
              <w:rPr>
                <w:sz w:val="24"/>
                <w:rFonts w:ascii="Times New Roman" w:hAnsi="Times New Roman"/>
              </w:rPr>
              <w:t xml:space="preserve"> (Karta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Kummerċjali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</w:p>
          <w:p w14:paraId="71AB267C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Bonds</w:t>
            </w:r>
            <w:r>
              <w:rPr>
                <w:sz w:val="24"/>
                <w:rFonts w:ascii="Times New Roman" w:hAnsi="Times New Roman"/>
              </w:rPr>
              <w:t xml:space="preserve"> Koperti)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644C50DD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titoli</w:t>
            </w:r>
            <w:r>
              <w:rPr>
                <w:sz w:val="24"/>
                <w:rFonts w:ascii="Times New Roman" w:hAnsi="Times New Roman"/>
              </w:rPr>
              <w:t xml:space="preserve"> UCITS, jiġifieri strumenti finanzjarji li jirrappreżentaw sehem jew titolu maħruġ minn Impriża ta’ Investimenti Kollettivi f’titoli trasferibbli)</w:t>
            </w:r>
          </w:p>
          <w:p w14:paraId="2E54EB88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</w:t>
            </w:r>
            <w:r>
              <w:rPr>
                <w:sz w:val="24"/>
                <w:rFonts w:ascii="Times New Roman" w:hAnsi="Times New Roman"/>
              </w:rPr>
              <w:t xml:space="preserve"> (Titolu Garantit b’Assi)</w:t>
            </w:r>
          </w:p>
          <w:p w14:paraId="47B806DE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CrCl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Talba</w:t>
            </w:r>
            <w:r>
              <w:rPr>
                <w:sz w:val="24"/>
                <w:rFonts w:ascii="Times New Roman" w:hAnsi="Times New Roman"/>
              </w:rPr>
              <w:t xml:space="preserve"> ta’ Kreditu)</w:t>
            </w:r>
          </w:p>
          <w:p w14:paraId="77F497F4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Eq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Ekwità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</w:p>
          <w:p w14:paraId="3F4E3AAB" w14:textId="396B9AF6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Deheb (jekk deheb fiżiku, li jista’ jiġi trattat bħala kontroparti waħda)</w:t>
            </w:r>
          </w:p>
          <w:p w14:paraId="6AE61C73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LiqL</w:t>
            </w:r>
            <w:r>
              <w:rPr>
                <w:sz w:val="24"/>
                <w:rFonts w:ascii="Times New Roman" w:hAnsi="Times New Roman"/>
              </w:rPr>
              <w:t xml:space="preserve"> (Linja ta’ likwidità impenjata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mhux prelevata</w:t>
            </w:r>
            <w:r>
              <w:rPr>
                <w:sz w:val="24"/>
                <w:rFonts w:ascii="Times New Roman" w:hAnsi="Times New Roman"/>
              </w:rPr>
              <w:t xml:space="preserve"> mogħtija lill-istituzzjoni)</w:t>
            </w:r>
          </w:p>
          <w:p w14:paraId="23B5C30F" w14:textId="77777777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</w:t>
            </w:r>
            <w:r>
              <w:rPr>
                <w:sz w:val="24"/>
                <w:rFonts w:ascii="Times New Roman" w:hAnsi="Times New Roman"/>
              </w:rPr>
              <w:t xml:space="preserve"> (Tip ta’ prodott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ieħor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Munita</w:t>
            </w:r>
          </w:p>
          <w:p w14:paraId="1D458B95" w14:textId="403BDA7B" w:rsidR="00C05CCA" w:rsidRPr="0068244B" w:rsidRDefault="004C1638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L-emittenti/kontropartijiet irreġistrati fil-kolonna 0010 għandhom jiġu assenjati kodiċi ISO tal-munita fil-kolonna 0060 li jikkorrispondi mad-denominazzjoni tal-assi riċevut jew linji ta’ likwidità impenjati mhux prelevati mogħtija lill-istituzzjoni.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Għandu jiġi rapportat il-kodiċi tal-unità tal-munita magħmul minn tliet ittri f’konformità mal-ISO 4217.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CC928F5" w:rsidR="00774708" w:rsidRPr="0068244B" w:rsidRDefault="00047ECB" w:rsidP="00BC583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linja b’għadd ta’ muniti tkun parti minn konċentrazzjoni f’kapaċità ta’ kontrobilanċ, il-linja għandha tiġi magħduda fil-munita li hija predominanti fil-bqija tal-konċentrazzjoni.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Fir-rigward tar-rapportar separat f’muniti sinifikanti kif speċifikat fl-Artikolu 415(2) tar-Regolament (UE) Nru 575/2013, l-istituzzjonijiet għandhom jagħmlu valutazzjoni tal-munita li fiha x’aktarx li jseħħ il-fluss u għandhom jirrapportaw l-entrata f’dik il-munita sinifikanti biss, f’konformità mal-istruzzjonijiet dwar ir-rapportar separat ta’ muniti sinifikanti fir-rekwiżiti ta’ kopertura tal-likwidità (LCR), f’konformità mar-Regolament (UE) 2021/451.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Skala tal-kwalità kreditizja</w:t>
            </w:r>
          </w:p>
          <w:p w14:paraId="692CB839" w14:textId="76307C3A" w:rsidR="00E05204" w:rsidRPr="0068244B" w:rsidRDefault="00966F82" w:rsidP="00C05CCA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Għandha tiġi assenjata l-iskala tal-kwalità kreditizja xierqa f’konformità mar-Regolament (UE) Nru 575/2013, li għandha tkun l-istess bħal dik tal-entrati rapportati fl-iskala ta’ maturità.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Fejn ma hemm l-ebda klassifikazzjoni, għandha tiġi assenjata l-iskala “mhux klassifikata”.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MtM/nominali</w:t>
            </w:r>
          </w:p>
          <w:p w14:paraId="78CE7B68" w14:textId="6F7E8537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tas-suq jew il-valur ġust tal-assi, jew, fejn applikabbli, il-valur nominali tal-linja ta’ likwidità mhux prelevata mogħtija lill-istituzzjoni.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kollaterali eliġibbli għall-bank ċentrali</w:t>
            </w:r>
          </w:p>
          <w:p w14:paraId="507C4FE8" w14:textId="2A6E5839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kollateral</w:t>
            </w:r>
            <w:r>
              <w:rPr>
                <w:sz w:val="24"/>
                <w:rFonts w:ascii="Times New Roman" w:hAnsi="Times New Roman"/>
              </w:rPr>
              <w:t xml:space="preserve"> f’konformità mar-regoli tal-bank ċentrali għal faċilitajiet permanenti għall-assi speċifiċi.</w:t>
            </w:r>
          </w:p>
          <w:p w14:paraId="4C124B93" w14:textId="0E66424F" w:rsidR="00BA0551" w:rsidRPr="0068244B" w:rsidRDefault="00B457F4" w:rsidP="0051514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assi denominati f’munita inkluża fir-Regolament ta’ Implimentazzjoni tal-Kummissjoni (UE) 2015/233* bħala munita b’eliġibbiltà għall-bank ċentrali ristretta ferm, l-istituzzjonijiet għandhom iħallu din il-kaxxa vojta.”</w:t>
            </w:r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 xml:space="preserve">______________</w:t>
      </w:r>
    </w:p>
    <w:p w14:paraId="56E0854E" w14:textId="4C352ECC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t xml:space="preserve">* Ir-Regolament ta’ Implimentazzjoni tal-Kummissjoni (UE) 2015/233 tat-13 ta’ Frar 2015 li jistabbilixxi standards tekniċi ta’ implimentazzjoni fir-rigward ta’ muniti li fihom ikun hemm definizzjoni stretta ħafna ta’ eliġibbiltà tal-bank ċentrali skont ir-Regolament (UE) Nru 575/2013 tal-Parlament Ewropew u tal-Kunsill (ĠU L 39, 14.2.2015, p. 11).</w:t>
      </w:r>
      <w:r>
        <w:t xml:space="preserve">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9B7D08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316AE9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t-MT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mt-MT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mt-MT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mt-MT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mt-MT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mt-MT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mt-MT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mt-MT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mt-MT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mt-MT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mt-MT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mt-MT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mt-MT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mt-MT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mt-MT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mt-MT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mt-MT" w:eastAsia="fr-FR"/>
    </w:rPr>
  </w:style>
  <w:style w:type="table" w:styleId="TableGrid">
    <w:name w:val="Table Grid"/>
    <w:basedOn w:val="TableNormal"/>
    <w:uiPriority w:val="59"/>
    <w:rsid w:val="00E05204"/>
    <w:rPr>
      <w:lang w:val="mt-M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mt-M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0E3E9-D91E-466F-B301-D169C30CA6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C746B-269F-4BEB-9ADC-5B7AA263C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5351</Characters>
  <Application>Microsoft Office Word</Application>
  <DocSecurity>0</DocSecurity>
  <Lines>127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2022-10-27T13:24:00Z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</Properties>
</file>