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592FAE36" w:rsidR="009E7D0C" w:rsidRDefault="00BC0142" w:rsidP="00A33695">
      <w:pPr>
        <w:jc w:val="center"/>
        <w:rPr>
          <w:rFonts w:ascii="Times New Roman" w:hAnsi="Times New Roman"/>
          <w:sz w:val="24"/>
        </w:rPr>
      </w:pPr>
      <w:bookmarkStart w:id="0" w:name="_Toc262568021"/>
      <w:bookmarkStart w:id="1" w:name="_Toc295829847"/>
      <w:r>
        <w:rPr>
          <w:rFonts w:ascii="Times New Roman" w:hAnsi="Times New Roman"/>
          <w:sz w:val="24"/>
        </w:rPr>
        <w:t>HU</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II. MELLÉKLET</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„II. MELLÉKLET</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Tartalomjegyzék</w:t>
      </w:r>
    </w:p>
    <w:p w14:paraId="3B60CF21" w14:textId="24EFF4BF" w:rsidR="00C54BE0" w:rsidRDefault="00745369">
      <w:pPr>
        <w:pStyle w:val="TOC2"/>
        <w:rPr>
          <w:rFonts w:asciiTheme="minorHAnsi" w:eastAsiaTheme="minorEastAsia" w:hAnsiTheme="minorHAnsi" w:cstheme="minorBidi"/>
          <w:b w:val="0"/>
          <w:smallCaps w:val="0"/>
          <w:sz w:val="22"/>
          <w:lang w:eastAsia="hu-HU"/>
        </w:rPr>
      </w:pPr>
      <w:r w:rsidRPr="002A677E">
        <w:rPr>
          <w:rFonts w:ascii="Times New Roman" w:hAnsi="Times New Roman"/>
          <w:sz w:val="24"/>
        </w:rPr>
        <w:fldChar w:fldCharType="begin"/>
      </w:r>
      <w:r w:rsidR="002648B0" w:rsidRPr="002A677E">
        <w:rPr>
          <w:rFonts w:ascii="Times New Roman" w:hAnsi="Times New Roman"/>
          <w:sz w:val="24"/>
        </w:rPr>
        <w:instrText xml:space="preserve"> TOC \o "1-3" \h \z \u </w:instrText>
      </w:r>
      <w:r w:rsidRPr="002A677E">
        <w:rPr>
          <w:rFonts w:ascii="Times New Roman" w:hAnsi="Times New Roman"/>
          <w:sz w:val="24"/>
        </w:rPr>
        <w:fldChar w:fldCharType="separate"/>
      </w:r>
      <w:hyperlink w:anchor="_Toc116039869" w:history="1">
        <w:r w:rsidR="00C54BE0" w:rsidRPr="00112933">
          <w:rPr>
            <w:rStyle w:val="Hyperlink"/>
            <w:rFonts w:ascii="Times New Roman" w:hAnsi="Times New Roman"/>
          </w:rPr>
          <w:t>I. RÉSZ: ÁLTALÁNOS ÚTMUTATÓ</w:t>
        </w:r>
        <w:r w:rsidR="00C54BE0">
          <w:rPr>
            <w:webHidden/>
          </w:rPr>
          <w:tab/>
        </w:r>
        <w:r w:rsidR="00C54BE0">
          <w:rPr>
            <w:webHidden/>
          </w:rPr>
          <w:fldChar w:fldCharType="begin"/>
        </w:r>
        <w:r w:rsidR="00C54BE0">
          <w:rPr>
            <w:webHidden/>
          </w:rPr>
          <w:instrText xml:space="preserve"> PAGEREF _Toc116039869 \h </w:instrText>
        </w:r>
        <w:r w:rsidR="00C54BE0">
          <w:rPr>
            <w:webHidden/>
          </w:rPr>
        </w:r>
        <w:r w:rsidR="00C54BE0">
          <w:rPr>
            <w:webHidden/>
          </w:rPr>
          <w:fldChar w:fldCharType="separate"/>
        </w:r>
        <w:r w:rsidR="00D677D7">
          <w:rPr>
            <w:webHidden/>
          </w:rPr>
          <w:t>7</w:t>
        </w:r>
        <w:r w:rsidR="00C54BE0">
          <w:rPr>
            <w:webHidden/>
          </w:rPr>
          <w:fldChar w:fldCharType="end"/>
        </w:r>
      </w:hyperlink>
    </w:p>
    <w:p w14:paraId="0BF6F4CA" w14:textId="19EBDAC1" w:rsidR="00C54BE0" w:rsidRDefault="00D677D7">
      <w:pPr>
        <w:pStyle w:val="TOC2"/>
        <w:rPr>
          <w:rFonts w:asciiTheme="minorHAnsi" w:eastAsiaTheme="minorEastAsia" w:hAnsiTheme="minorHAnsi" w:cstheme="minorBidi"/>
          <w:b w:val="0"/>
          <w:smallCaps w:val="0"/>
          <w:sz w:val="22"/>
          <w:lang w:eastAsia="hu-HU"/>
        </w:rPr>
      </w:pPr>
      <w:hyperlink w:anchor="_Toc116039870" w:history="1">
        <w:r w:rsidR="00C54BE0" w:rsidRPr="00112933">
          <w:rPr>
            <w:rStyle w:val="Hyperlink"/>
            <w:rFonts w:ascii="Times New Roman" w:hAnsi="Times New Roman"/>
          </w:rPr>
          <w:t>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SZERKEZET ÉS SZABÁLYOK</w:t>
        </w:r>
        <w:r w:rsidR="00C54BE0">
          <w:rPr>
            <w:webHidden/>
          </w:rPr>
          <w:tab/>
        </w:r>
        <w:r w:rsidR="00C54BE0">
          <w:rPr>
            <w:webHidden/>
          </w:rPr>
          <w:fldChar w:fldCharType="begin"/>
        </w:r>
        <w:r w:rsidR="00C54BE0">
          <w:rPr>
            <w:webHidden/>
          </w:rPr>
          <w:instrText xml:space="preserve"> PAGEREF _Toc116039870 \h </w:instrText>
        </w:r>
        <w:r w:rsidR="00C54BE0">
          <w:rPr>
            <w:webHidden/>
          </w:rPr>
        </w:r>
        <w:r w:rsidR="00C54BE0">
          <w:rPr>
            <w:webHidden/>
          </w:rPr>
          <w:fldChar w:fldCharType="separate"/>
        </w:r>
        <w:r>
          <w:rPr>
            <w:webHidden/>
          </w:rPr>
          <w:t>7</w:t>
        </w:r>
        <w:r w:rsidR="00C54BE0">
          <w:rPr>
            <w:webHidden/>
          </w:rPr>
          <w:fldChar w:fldCharType="end"/>
        </w:r>
      </w:hyperlink>
    </w:p>
    <w:p w14:paraId="1C19AE05" w14:textId="6C26B91D" w:rsidR="00C54BE0" w:rsidRDefault="00D677D7">
      <w:pPr>
        <w:pStyle w:val="TOC2"/>
        <w:rPr>
          <w:rFonts w:asciiTheme="minorHAnsi" w:eastAsiaTheme="minorEastAsia" w:hAnsiTheme="minorHAnsi" w:cstheme="minorBidi"/>
          <w:b w:val="0"/>
          <w:smallCaps w:val="0"/>
          <w:sz w:val="22"/>
          <w:lang w:eastAsia="hu-HU"/>
        </w:rPr>
      </w:pPr>
      <w:hyperlink w:anchor="_Toc116039871" w:history="1">
        <w:r w:rsidR="00C54BE0" w:rsidRPr="00112933">
          <w:rPr>
            <w:rStyle w:val="Hyperlink"/>
            <w:rFonts w:ascii="Times New Roman" w:hAnsi="Times New Roman"/>
          </w:rPr>
          <w:t>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SZERKEZET</w:t>
        </w:r>
        <w:r w:rsidR="00C54BE0">
          <w:rPr>
            <w:webHidden/>
          </w:rPr>
          <w:tab/>
        </w:r>
        <w:r w:rsidR="00C54BE0">
          <w:rPr>
            <w:webHidden/>
          </w:rPr>
          <w:fldChar w:fldCharType="begin"/>
        </w:r>
        <w:r w:rsidR="00C54BE0">
          <w:rPr>
            <w:webHidden/>
          </w:rPr>
          <w:instrText xml:space="preserve"> PAGEREF _Toc116039871 \h </w:instrText>
        </w:r>
        <w:r w:rsidR="00C54BE0">
          <w:rPr>
            <w:webHidden/>
          </w:rPr>
        </w:r>
        <w:r w:rsidR="00C54BE0">
          <w:rPr>
            <w:webHidden/>
          </w:rPr>
          <w:fldChar w:fldCharType="separate"/>
        </w:r>
        <w:r>
          <w:rPr>
            <w:webHidden/>
          </w:rPr>
          <w:t>7</w:t>
        </w:r>
        <w:r w:rsidR="00C54BE0">
          <w:rPr>
            <w:webHidden/>
          </w:rPr>
          <w:fldChar w:fldCharType="end"/>
        </w:r>
      </w:hyperlink>
    </w:p>
    <w:p w14:paraId="2035B7FB" w14:textId="0E5A7271" w:rsidR="00C54BE0" w:rsidRDefault="00D677D7">
      <w:pPr>
        <w:pStyle w:val="TOC2"/>
        <w:rPr>
          <w:rFonts w:asciiTheme="minorHAnsi" w:eastAsiaTheme="minorEastAsia" w:hAnsiTheme="minorHAnsi" w:cstheme="minorBidi"/>
          <w:b w:val="0"/>
          <w:smallCaps w:val="0"/>
          <w:sz w:val="22"/>
          <w:lang w:eastAsia="hu-HU"/>
        </w:rPr>
      </w:pPr>
      <w:hyperlink w:anchor="_Toc116039872" w:history="1">
        <w:r w:rsidR="00C54BE0" w:rsidRPr="00112933">
          <w:rPr>
            <w:rStyle w:val="Hyperlink"/>
            <w:rFonts w:ascii="Times New Roman" w:hAnsi="Times New Roman"/>
          </w:rPr>
          <w:t>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Számozási szabályok</w:t>
        </w:r>
        <w:r w:rsidR="00C54BE0">
          <w:rPr>
            <w:webHidden/>
          </w:rPr>
          <w:tab/>
        </w:r>
        <w:r w:rsidR="00C54BE0">
          <w:rPr>
            <w:webHidden/>
          </w:rPr>
          <w:fldChar w:fldCharType="begin"/>
        </w:r>
        <w:r w:rsidR="00C54BE0">
          <w:rPr>
            <w:webHidden/>
          </w:rPr>
          <w:instrText xml:space="preserve"> PAGEREF _Toc116039872 \h </w:instrText>
        </w:r>
        <w:r w:rsidR="00C54BE0">
          <w:rPr>
            <w:webHidden/>
          </w:rPr>
        </w:r>
        <w:r w:rsidR="00C54BE0">
          <w:rPr>
            <w:webHidden/>
          </w:rPr>
          <w:fldChar w:fldCharType="separate"/>
        </w:r>
        <w:r>
          <w:rPr>
            <w:webHidden/>
          </w:rPr>
          <w:t>7</w:t>
        </w:r>
        <w:r w:rsidR="00C54BE0">
          <w:rPr>
            <w:webHidden/>
          </w:rPr>
          <w:fldChar w:fldCharType="end"/>
        </w:r>
      </w:hyperlink>
    </w:p>
    <w:p w14:paraId="47DFDA92" w14:textId="22955166" w:rsidR="00C54BE0" w:rsidRDefault="00D677D7">
      <w:pPr>
        <w:pStyle w:val="TOC2"/>
        <w:rPr>
          <w:rFonts w:asciiTheme="minorHAnsi" w:eastAsiaTheme="minorEastAsia" w:hAnsiTheme="minorHAnsi" w:cstheme="minorBidi"/>
          <w:b w:val="0"/>
          <w:smallCaps w:val="0"/>
          <w:sz w:val="22"/>
          <w:lang w:eastAsia="hu-HU"/>
        </w:rPr>
      </w:pPr>
      <w:hyperlink w:anchor="_Toc116039873" w:history="1">
        <w:r w:rsidR="00C54BE0" w:rsidRPr="00112933">
          <w:rPr>
            <w:rStyle w:val="Hyperlink"/>
            <w:rFonts w:ascii="Times New Roman" w:hAnsi="Times New Roman"/>
          </w:rPr>
          <w:t>1.3.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Előjelre vonatkozó szabályok</w:t>
        </w:r>
        <w:r w:rsidR="00C54BE0">
          <w:rPr>
            <w:webHidden/>
          </w:rPr>
          <w:tab/>
        </w:r>
        <w:r w:rsidR="00C54BE0">
          <w:rPr>
            <w:webHidden/>
          </w:rPr>
          <w:fldChar w:fldCharType="begin"/>
        </w:r>
        <w:r w:rsidR="00C54BE0">
          <w:rPr>
            <w:webHidden/>
          </w:rPr>
          <w:instrText xml:space="preserve"> PAGEREF _Toc116039873 \h </w:instrText>
        </w:r>
        <w:r w:rsidR="00C54BE0">
          <w:rPr>
            <w:webHidden/>
          </w:rPr>
        </w:r>
        <w:r w:rsidR="00C54BE0">
          <w:rPr>
            <w:webHidden/>
          </w:rPr>
          <w:fldChar w:fldCharType="separate"/>
        </w:r>
        <w:r>
          <w:rPr>
            <w:webHidden/>
          </w:rPr>
          <w:t>8</w:t>
        </w:r>
        <w:r w:rsidR="00C54BE0">
          <w:rPr>
            <w:webHidden/>
          </w:rPr>
          <w:fldChar w:fldCharType="end"/>
        </w:r>
      </w:hyperlink>
    </w:p>
    <w:p w14:paraId="71D0EA54" w14:textId="5CEAFF29" w:rsidR="00C54BE0" w:rsidRDefault="00D677D7">
      <w:pPr>
        <w:pStyle w:val="TOC2"/>
        <w:rPr>
          <w:rFonts w:asciiTheme="minorHAnsi" w:eastAsiaTheme="minorEastAsia" w:hAnsiTheme="minorHAnsi" w:cstheme="minorBidi"/>
          <w:b w:val="0"/>
          <w:smallCaps w:val="0"/>
          <w:sz w:val="22"/>
          <w:lang w:eastAsia="hu-HU"/>
        </w:rPr>
      </w:pPr>
      <w:hyperlink w:anchor="_Toc116039874" w:history="1">
        <w:r w:rsidR="00C54BE0" w:rsidRPr="00112933">
          <w:rPr>
            <w:rStyle w:val="Hyperlink"/>
            <w:rFonts w:ascii="Times New Roman" w:hAnsi="Times New Roman"/>
          </w:rPr>
          <w:t>II. RÉSZ: A TÁBLÁHOZ KAPCSOLÓDÓ ÚTMUTATÓ</w:t>
        </w:r>
        <w:r w:rsidR="00C54BE0">
          <w:rPr>
            <w:webHidden/>
          </w:rPr>
          <w:tab/>
        </w:r>
        <w:r w:rsidR="00C54BE0">
          <w:rPr>
            <w:webHidden/>
          </w:rPr>
          <w:fldChar w:fldCharType="begin"/>
        </w:r>
        <w:r w:rsidR="00C54BE0">
          <w:rPr>
            <w:webHidden/>
          </w:rPr>
          <w:instrText xml:space="preserve"> PAGEREF _Toc116039874 \h </w:instrText>
        </w:r>
        <w:r w:rsidR="00C54BE0">
          <w:rPr>
            <w:webHidden/>
          </w:rPr>
        </w:r>
        <w:r w:rsidR="00C54BE0">
          <w:rPr>
            <w:webHidden/>
          </w:rPr>
          <w:fldChar w:fldCharType="separate"/>
        </w:r>
        <w:r>
          <w:rPr>
            <w:webHidden/>
          </w:rPr>
          <w:t>9</w:t>
        </w:r>
        <w:r w:rsidR="00C54BE0">
          <w:rPr>
            <w:webHidden/>
          </w:rPr>
          <w:fldChar w:fldCharType="end"/>
        </w:r>
      </w:hyperlink>
    </w:p>
    <w:p w14:paraId="76BA89CE" w14:textId="25BDC2D6" w:rsidR="00C54BE0" w:rsidRDefault="00D677D7">
      <w:pPr>
        <w:pStyle w:val="TOC2"/>
        <w:rPr>
          <w:rFonts w:asciiTheme="minorHAnsi" w:eastAsiaTheme="minorEastAsia" w:hAnsiTheme="minorHAnsi" w:cstheme="minorBidi"/>
          <w:b w:val="0"/>
          <w:smallCaps w:val="0"/>
          <w:sz w:val="22"/>
          <w:lang w:eastAsia="hu-HU"/>
        </w:rPr>
      </w:pPr>
      <w:hyperlink w:anchor="_Toc116039875" w:history="1">
        <w:r w:rsidR="00C54BE0" w:rsidRPr="00112933">
          <w:rPr>
            <w:rStyle w:val="Hyperlink"/>
            <w:rFonts w:ascii="Times New Roman" w:hAnsi="Times New Roman"/>
          </w:rPr>
          <w:t>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Tőkemegfelelési áttekintés (CA)</w:t>
        </w:r>
        <w:r w:rsidR="00C54BE0">
          <w:rPr>
            <w:webHidden/>
          </w:rPr>
          <w:tab/>
        </w:r>
        <w:r w:rsidR="00C54BE0">
          <w:rPr>
            <w:webHidden/>
          </w:rPr>
          <w:fldChar w:fldCharType="begin"/>
        </w:r>
        <w:r w:rsidR="00C54BE0">
          <w:rPr>
            <w:webHidden/>
          </w:rPr>
          <w:instrText xml:space="preserve"> PAGEREF _Toc116039875 \h </w:instrText>
        </w:r>
        <w:r w:rsidR="00C54BE0">
          <w:rPr>
            <w:webHidden/>
          </w:rPr>
        </w:r>
        <w:r w:rsidR="00C54BE0">
          <w:rPr>
            <w:webHidden/>
          </w:rPr>
          <w:fldChar w:fldCharType="separate"/>
        </w:r>
        <w:r>
          <w:rPr>
            <w:webHidden/>
          </w:rPr>
          <w:t>9</w:t>
        </w:r>
        <w:r w:rsidR="00C54BE0">
          <w:rPr>
            <w:webHidden/>
          </w:rPr>
          <w:fldChar w:fldCharType="end"/>
        </w:r>
      </w:hyperlink>
    </w:p>
    <w:p w14:paraId="6D459640" w14:textId="11BC2F8F" w:rsidR="00C54BE0" w:rsidRDefault="00D677D7">
      <w:pPr>
        <w:pStyle w:val="TOC2"/>
        <w:rPr>
          <w:rFonts w:asciiTheme="minorHAnsi" w:eastAsiaTheme="minorEastAsia" w:hAnsiTheme="minorHAnsi" w:cstheme="minorBidi"/>
          <w:b w:val="0"/>
          <w:smallCaps w:val="0"/>
          <w:sz w:val="22"/>
          <w:lang w:eastAsia="hu-HU"/>
        </w:rPr>
      </w:pPr>
      <w:hyperlink w:anchor="_Toc116039876" w:history="1">
        <w:r w:rsidR="00C54BE0" w:rsidRPr="00112933">
          <w:rPr>
            <w:rStyle w:val="Hyperlink"/>
            <w:rFonts w:ascii="Times New Roman" w:hAnsi="Times New Roman"/>
          </w:rPr>
          <w:t>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_Toc116039876 \h </w:instrText>
        </w:r>
        <w:r w:rsidR="00C54BE0">
          <w:rPr>
            <w:webHidden/>
          </w:rPr>
        </w:r>
        <w:r w:rsidR="00C54BE0">
          <w:rPr>
            <w:webHidden/>
          </w:rPr>
          <w:fldChar w:fldCharType="separate"/>
        </w:r>
        <w:r>
          <w:rPr>
            <w:webHidden/>
          </w:rPr>
          <w:t>9</w:t>
        </w:r>
        <w:r w:rsidR="00C54BE0">
          <w:rPr>
            <w:webHidden/>
          </w:rPr>
          <w:fldChar w:fldCharType="end"/>
        </w:r>
      </w:hyperlink>
    </w:p>
    <w:p w14:paraId="21A1FD2D" w14:textId="7A0D47F4" w:rsidR="00C54BE0" w:rsidRDefault="00D677D7">
      <w:pPr>
        <w:pStyle w:val="TOC2"/>
        <w:rPr>
          <w:rFonts w:asciiTheme="minorHAnsi" w:eastAsiaTheme="minorEastAsia" w:hAnsiTheme="minorHAnsi" w:cstheme="minorBidi"/>
          <w:b w:val="0"/>
          <w:smallCaps w:val="0"/>
          <w:sz w:val="22"/>
          <w:lang w:eastAsia="hu-HU"/>
        </w:rPr>
      </w:pPr>
      <w:hyperlink w:anchor="_Toc116039877" w:history="1">
        <w:r w:rsidR="00C54BE0" w:rsidRPr="00112933">
          <w:rPr>
            <w:rStyle w:val="Hyperlink"/>
            <w:rFonts w:ascii="Times New Roman" w:hAnsi="Times New Roman"/>
          </w:rPr>
          <w:t>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01.00 – SZAVATOLÓTŐKE (CA1)</w:t>
        </w:r>
        <w:r w:rsidR="00C54BE0">
          <w:rPr>
            <w:webHidden/>
          </w:rPr>
          <w:tab/>
        </w:r>
        <w:r w:rsidR="00C54BE0">
          <w:rPr>
            <w:webHidden/>
          </w:rPr>
          <w:fldChar w:fldCharType="begin"/>
        </w:r>
        <w:r w:rsidR="00C54BE0">
          <w:rPr>
            <w:webHidden/>
          </w:rPr>
          <w:instrText xml:space="preserve"> PAGEREF _Toc116039877 \h </w:instrText>
        </w:r>
        <w:r w:rsidR="00C54BE0">
          <w:rPr>
            <w:webHidden/>
          </w:rPr>
        </w:r>
        <w:r w:rsidR="00C54BE0">
          <w:rPr>
            <w:webHidden/>
          </w:rPr>
          <w:fldChar w:fldCharType="separate"/>
        </w:r>
        <w:r>
          <w:rPr>
            <w:webHidden/>
          </w:rPr>
          <w:t>10</w:t>
        </w:r>
        <w:r w:rsidR="00C54BE0">
          <w:rPr>
            <w:webHidden/>
          </w:rPr>
          <w:fldChar w:fldCharType="end"/>
        </w:r>
      </w:hyperlink>
    </w:p>
    <w:p w14:paraId="5E7A7ECA" w14:textId="5C1C781B" w:rsidR="00C54BE0" w:rsidRDefault="00D677D7">
      <w:pPr>
        <w:pStyle w:val="TOC2"/>
        <w:rPr>
          <w:rFonts w:asciiTheme="minorHAnsi" w:eastAsiaTheme="minorEastAsia" w:hAnsiTheme="minorHAnsi" w:cstheme="minorBidi"/>
          <w:b w:val="0"/>
          <w:smallCaps w:val="0"/>
          <w:sz w:val="22"/>
          <w:lang w:eastAsia="hu-HU"/>
        </w:rPr>
      </w:pPr>
      <w:hyperlink w:anchor="_Toc116039878" w:history="1">
        <w:r w:rsidR="00C54BE0" w:rsidRPr="00112933">
          <w:rPr>
            <w:rStyle w:val="Hyperlink"/>
            <w:rFonts w:ascii="Times New Roman" w:hAnsi="Times New Roman"/>
          </w:rPr>
          <w:t>1.2.1.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_Toc116039878 \h </w:instrText>
        </w:r>
        <w:r w:rsidR="00C54BE0">
          <w:rPr>
            <w:webHidden/>
          </w:rPr>
        </w:r>
        <w:r w:rsidR="00C54BE0">
          <w:rPr>
            <w:webHidden/>
          </w:rPr>
          <w:fldChar w:fldCharType="separate"/>
        </w:r>
        <w:r>
          <w:rPr>
            <w:webHidden/>
          </w:rPr>
          <w:t>10</w:t>
        </w:r>
        <w:r w:rsidR="00C54BE0">
          <w:rPr>
            <w:webHidden/>
          </w:rPr>
          <w:fldChar w:fldCharType="end"/>
        </w:r>
      </w:hyperlink>
    </w:p>
    <w:p w14:paraId="1C5EE440" w14:textId="6B035718" w:rsidR="00C54BE0" w:rsidRDefault="00D677D7">
      <w:pPr>
        <w:pStyle w:val="TOC2"/>
        <w:rPr>
          <w:rFonts w:asciiTheme="minorHAnsi" w:eastAsiaTheme="minorEastAsia" w:hAnsiTheme="minorHAnsi" w:cstheme="minorBidi"/>
          <w:b w:val="0"/>
          <w:smallCaps w:val="0"/>
          <w:sz w:val="22"/>
          <w:lang w:eastAsia="hu-HU"/>
        </w:rPr>
      </w:pPr>
      <w:hyperlink w:anchor="_Toc116039879" w:history="1">
        <w:r w:rsidR="00C54BE0" w:rsidRPr="00112933">
          <w:rPr>
            <w:rStyle w:val="Hyperlink"/>
            <w:rFonts w:ascii="Times New Roman" w:hAnsi="Times New Roman"/>
          </w:rPr>
          <w:t>1.3.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02.00 – SZAVATOLÓTŐKE-KÖVETELMÉNY (CA2)</w:t>
        </w:r>
        <w:r w:rsidR="00C54BE0">
          <w:rPr>
            <w:webHidden/>
          </w:rPr>
          <w:tab/>
        </w:r>
        <w:r w:rsidR="00C54BE0">
          <w:rPr>
            <w:webHidden/>
          </w:rPr>
          <w:fldChar w:fldCharType="begin"/>
        </w:r>
        <w:r w:rsidR="00C54BE0">
          <w:rPr>
            <w:webHidden/>
          </w:rPr>
          <w:instrText xml:space="preserve"> PAGEREF _Toc116039879 \h </w:instrText>
        </w:r>
        <w:r w:rsidR="00C54BE0">
          <w:rPr>
            <w:webHidden/>
          </w:rPr>
        </w:r>
        <w:r w:rsidR="00C54BE0">
          <w:rPr>
            <w:webHidden/>
          </w:rPr>
          <w:fldChar w:fldCharType="separate"/>
        </w:r>
        <w:r>
          <w:rPr>
            <w:webHidden/>
          </w:rPr>
          <w:t>30</w:t>
        </w:r>
        <w:r w:rsidR="00C54BE0">
          <w:rPr>
            <w:webHidden/>
          </w:rPr>
          <w:fldChar w:fldCharType="end"/>
        </w:r>
      </w:hyperlink>
    </w:p>
    <w:p w14:paraId="7F672F0E" w14:textId="2CD3008F" w:rsidR="00C54BE0" w:rsidRDefault="00D677D7">
      <w:pPr>
        <w:pStyle w:val="TOC2"/>
        <w:rPr>
          <w:rFonts w:asciiTheme="minorHAnsi" w:eastAsiaTheme="minorEastAsia" w:hAnsiTheme="minorHAnsi" w:cstheme="minorBidi"/>
          <w:b w:val="0"/>
          <w:smallCaps w:val="0"/>
          <w:sz w:val="22"/>
          <w:lang w:eastAsia="hu-HU"/>
        </w:rPr>
      </w:pPr>
      <w:hyperlink w:anchor="_Toc116039880" w:history="1">
        <w:r w:rsidR="00C54BE0" w:rsidRPr="00112933">
          <w:rPr>
            <w:rStyle w:val="Hyperlink"/>
            <w:rFonts w:ascii="Times New Roman" w:hAnsi="Times New Roman"/>
          </w:rPr>
          <w:t>1.3.1.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_Toc116039880 \h </w:instrText>
        </w:r>
        <w:r w:rsidR="00C54BE0">
          <w:rPr>
            <w:webHidden/>
          </w:rPr>
        </w:r>
        <w:r w:rsidR="00C54BE0">
          <w:rPr>
            <w:webHidden/>
          </w:rPr>
          <w:fldChar w:fldCharType="separate"/>
        </w:r>
        <w:r>
          <w:rPr>
            <w:webHidden/>
          </w:rPr>
          <w:t>30</w:t>
        </w:r>
        <w:r w:rsidR="00C54BE0">
          <w:rPr>
            <w:webHidden/>
          </w:rPr>
          <w:fldChar w:fldCharType="end"/>
        </w:r>
      </w:hyperlink>
    </w:p>
    <w:p w14:paraId="34853B0D" w14:textId="4C96C7E3" w:rsidR="00C54BE0" w:rsidRDefault="00D677D7">
      <w:pPr>
        <w:pStyle w:val="TOC2"/>
        <w:rPr>
          <w:rFonts w:asciiTheme="minorHAnsi" w:eastAsiaTheme="minorEastAsia" w:hAnsiTheme="minorHAnsi" w:cstheme="minorBidi"/>
          <w:b w:val="0"/>
          <w:smallCaps w:val="0"/>
          <w:sz w:val="22"/>
          <w:lang w:eastAsia="hu-HU"/>
        </w:rPr>
      </w:pPr>
      <w:hyperlink w:anchor="_Toc116039881" w:history="1">
        <w:r w:rsidR="00C54BE0" w:rsidRPr="00112933">
          <w:rPr>
            <w:rStyle w:val="Hyperlink"/>
            <w:rFonts w:ascii="Times New Roman" w:hAnsi="Times New Roman"/>
          </w:rPr>
          <w:t>1.4.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03.00 – TŐKEMEGFELELÉSI MUTATÓK ÉS TŐKESZINTEK (CA3)</w:t>
        </w:r>
        <w:r w:rsidR="00C54BE0">
          <w:rPr>
            <w:webHidden/>
          </w:rPr>
          <w:tab/>
        </w:r>
        <w:r w:rsidR="00C54BE0">
          <w:rPr>
            <w:webHidden/>
          </w:rPr>
          <w:fldChar w:fldCharType="begin"/>
        </w:r>
        <w:r w:rsidR="00C54BE0">
          <w:rPr>
            <w:webHidden/>
          </w:rPr>
          <w:instrText xml:space="preserve"> PAGEREF _Toc116039881 \h </w:instrText>
        </w:r>
        <w:r w:rsidR="00C54BE0">
          <w:rPr>
            <w:webHidden/>
          </w:rPr>
        </w:r>
        <w:r w:rsidR="00C54BE0">
          <w:rPr>
            <w:webHidden/>
          </w:rPr>
          <w:fldChar w:fldCharType="separate"/>
        </w:r>
        <w:r>
          <w:rPr>
            <w:webHidden/>
          </w:rPr>
          <w:t>37</w:t>
        </w:r>
        <w:r w:rsidR="00C54BE0">
          <w:rPr>
            <w:webHidden/>
          </w:rPr>
          <w:fldChar w:fldCharType="end"/>
        </w:r>
      </w:hyperlink>
    </w:p>
    <w:p w14:paraId="76372B13" w14:textId="7EB5ED79" w:rsidR="00C54BE0" w:rsidRDefault="00D677D7">
      <w:pPr>
        <w:pStyle w:val="TOC2"/>
        <w:rPr>
          <w:rFonts w:asciiTheme="minorHAnsi" w:eastAsiaTheme="minorEastAsia" w:hAnsiTheme="minorHAnsi" w:cstheme="minorBidi"/>
          <w:b w:val="0"/>
          <w:smallCaps w:val="0"/>
          <w:sz w:val="22"/>
          <w:lang w:eastAsia="hu-HU"/>
        </w:rPr>
      </w:pPr>
      <w:hyperlink w:anchor="_Toc116039882" w:history="1">
        <w:r w:rsidR="00C54BE0" w:rsidRPr="00112933">
          <w:rPr>
            <w:rStyle w:val="Hyperlink"/>
            <w:rFonts w:ascii="Times New Roman" w:hAnsi="Times New Roman"/>
          </w:rPr>
          <w:t>1.4.1.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_Toc116039882 \h </w:instrText>
        </w:r>
        <w:r w:rsidR="00C54BE0">
          <w:rPr>
            <w:webHidden/>
          </w:rPr>
        </w:r>
        <w:r w:rsidR="00C54BE0">
          <w:rPr>
            <w:webHidden/>
          </w:rPr>
          <w:fldChar w:fldCharType="separate"/>
        </w:r>
        <w:r>
          <w:rPr>
            <w:webHidden/>
          </w:rPr>
          <w:t>37</w:t>
        </w:r>
        <w:r w:rsidR="00C54BE0">
          <w:rPr>
            <w:webHidden/>
          </w:rPr>
          <w:fldChar w:fldCharType="end"/>
        </w:r>
      </w:hyperlink>
    </w:p>
    <w:p w14:paraId="3D7C7170" w14:textId="5AB50900" w:rsidR="00C54BE0" w:rsidRDefault="00D677D7">
      <w:pPr>
        <w:pStyle w:val="TOC2"/>
        <w:rPr>
          <w:rFonts w:asciiTheme="minorHAnsi" w:eastAsiaTheme="minorEastAsia" w:hAnsiTheme="minorHAnsi" w:cstheme="minorBidi"/>
          <w:b w:val="0"/>
          <w:smallCaps w:val="0"/>
          <w:sz w:val="22"/>
          <w:lang w:eastAsia="hu-HU"/>
        </w:rPr>
      </w:pPr>
      <w:hyperlink w:anchor="_Toc116039883" w:history="1">
        <w:r w:rsidR="00C54BE0" w:rsidRPr="00112933">
          <w:rPr>
            <w:rStyle w:val="Hyperlink"/>
            <w:rFonts w:ascii="Times New Roman" w:hAnsi="Times New Roman"/>
          </w:rPr>
          <w:t>1.5.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04.00 – TÁJÉKOZTATÓ ADATOK (CA4)</w:t>
        </w:r>
        <w:r w:rsidR="00C54BE0">
          <w:rPr>
            <w:webHidden/>
          </w:rPr>
          <w:tab/>
        </w:r>
        <w:r w:rsidR="00C54BE0">
          <w:rPr>
            <w:webHidden/>
          </w:rPr>
          <w:fldChar w:fldCharType="begin"/>
        </w:r>
        <w:r w:rsidR="00C54BE0">
          <w:rPr>
            <w:webHidden/>
          </w:rPr>
          <w:instrText xml:space="preserve"> PAGEREF _Toc116039883 \h </w:instrText>
        </w:r>
        <w:r w:rsidR="00C54BE0">
          <w:rPr>
            <w:webHidden/>
          </w:rPr>
        </w:r>
        <w:r w:rsidR="00C54BE0">
          <w:rPr>
            <w:webHidden/>
          </w:rPr>
          <w:fldChar w:fldCharType="separate"/>
        </w:r>
        <w:r>
          <w:rPr>
            <w:webHidden/>
          </w:rPr>
          <w:t>41</w:t>
        </w:r>
        <w:r w:rsidR="00C54BE0">
          <w:rPr>
            <w:webHidden/>
          </w:rPr>
          <w:fldChar w:fldCharType="end"/>
        </w:r>
      </w:hyperlink>
    </w:p>
    <w:p w14:paraId="6A18A123" w14:textId="7D7915F6" w:rsidR="00C54BE0" w:rsidRDefault="00D677D7">
      <w:pPr>
        <w:pStyle w:val="TOC2"/>
        <w:rPr>
          <w:rFonts w:asciiTheme="minorHAnsi" w:eastAsiaTheme="minorEastAsia" w:hAnsiTheme="minorHAnsi" w:cstheme="minorBidi"/>
          <w:b w:val="0"/>
          <w:smallCaps w:val="0"/>
          <w:sz w:val="22"/>
          <w:lang w:eastAsia="hu-HU"/>
        </w:rPr>
      </w:pPr>
      <w:hyperlink w:anchor="_Toc116039884" w:history="1">
        <w:r w:rsidR="00C54BE0" w:rsidRPr="00112933">
          <w:rPr>
            <w:rStyle w:val="Hyperlink"/>
            <w:rFonts w:ascii="Times New Roman" w:hAnsi="Times New Roman"/>
          </w:rPr>
          <w:t>1.5.1.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_Toc116039884 \h </w:instrText>
        </w:r>
        <w:r w:rsidR="00C54BE0">
          <w:rPr>
            <w:webHidden/>
          </w:rPr>
        </w:r>
        <w:r w:rsidR="00C54BE0">
          <w:rPr>
            <w:webHidden/>
          </w:rPr>
          <w:fldChar w:fldCharType="separate"/>
        </w:r>
        <w:r>
          <w:rPr>
            <w:webHidden/>
          </w:rPr>
          <w:t>41</w:t>
        </w:r>
        <w:r w:rsidR="00C54BE0">
          <w:rPr>
            <w:webHidden/>
          </w:rPr>
          <w:fldChar w:fldCharType="end"/>
        </w:r>
      </w:hyperlink>
    </w:p>
    <w:p w14:paraId="4DEAB88B" w14:textId="11A8D89E" w:rsidR="00C54BE0" w:rsidRDefault="00D677D7">
      <w:pPr>
        <w:pStyle w:val="TOC2"/>
        <w:rPr>
          <w:rFonts w:asciiTheme="minorHAnsi" w:eastAsiaTheme="minorEastAsia" w:hAnsiTheme="minorHAnsi" w:cstheme="minorBidi"/>
          <w:b w:val="0"/>
          <w:smallCaps w:val="0"/>
          <w:sz w:val="22"/>
          <w:lang w:eastAsia="hu-HU"/>
        </w:rPr>
      </w:pPr>
      <w:hyperlink w:anchor="_Toc116039885" w:history="1">
        <w:r w:rsidR="00C54BE0" w:rsidRPr="00112933">
          <w:rPr>
            <w:rStyle w:val="Hyperlink"/>
            <w:rFonts w:ascii="Times New Roman" w:hAnsi="Times New Roman"/>
          </w:rPr>
          <w:t>1.6.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ÁTMENETI RENDELKEZÉSEK ÉS SZERZETT JOGOK ALAPJÁN FIGYELEMBE VETT TŐKEINSTRUMENTUMOK: ÁLLAMI TÁMOGATÁSNAK NEM MINŐSÜLŐ INSTRUMENTUMOK (CA5)</w:t>
        </w:r>
        <w:r w:rsidR="00C54BE0">
          <w:rPr>
            <w:webHidden/>
          </w:rPr>
          <w:tab/>
        </w:r>
        <w:r w:rsidR="00C54BE0">
          <w:rPr>
            <w:webHidden/>
          </w:rPr>
          <w:fldChar w:fldCharType="begin"/>
        </w:r>
        <w:r w:rsidR="00C54BE0">
          <w:rPr>
            <w:webHidden/>
          </w:rPr>
          <w:instrText xml:space="preserve"> PAGEREF _Toc116039885 \h </w:instrText>
        </w:r>
        <w:r w:rsidR="00C54BE0">
          <w:rPr>
            <w:webHidden/>
          </w:rPr>
        </w:r>
        <w:r w:rsidR="00C54BE0">
          <w:rPr>
            <w:webHidden/>
          </w:rPr>
          <w:fldChar w:fldCharType="separate"/>
        </w:r>
        <w:r>
          <w:rPr>
            <w:webHidden/>
          </w:rPr>
          <w:t>61</w:t>
        </w:r>
        <w:r w:rsidR="00C54BE0">
          <w:rPr>
            <w:webHidden/>
          </w:rPr>
          <w:fldChar w:fldCharType="end"/>
        </w:r>
      </w:hyperlink>
    </w:p>
    <w:p w14:paraId="40B69DDD" w14:textId="491A91C3" w:rsidR="00C54BE0" w:rsidRDefault="00D677D7">
      <w:pPr>
        <w:pStyle w:val="TOC2"/>
        <w:rPr>
          <w:rFonts w:asciiTheme="minorHAnsi" w:eastAsiaTheme="minorEastAsia" w:hAnsiTheme="minorHAnsi" w:cstheme="minorBidi"/>
          <w:b w:val="0"/>
          <w:smallCaps w:val="0"/>
          <w:sz w:val="22"/>
          <w:lang w:eastAsia="hu-HU"/>
        </w:rPr>
      </w:pPr>
      <w:hyperlink w:anchor="_Toc116039886" w:history="1">
        <w:r w:rsidR="00C54BE0" w:rsidRPr="00112933">
          <w:rPr>
            <w:rStyle w:val="Hyperlink"/>
            <w:rFonts w:ascii="Times New Roman" w:hAnsi="Times New Roman"/>
          </w:rPr>
          <w:t>1.6.1.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_Toc116039886 \h </w:instrText>
        </w:r>
        <w:r w:rsidR="00C54BE0">
          <w:rPr>
            <w:webHidden/>
          </w:rPr>
        </w:r>
        <w:r w:rsidR="00C54BE0">
          <w:rPr>
            <w:webHidden/>
          </w:rPr>
          <w:fldChar w:fldCharType="separate"/>
        </w:r>
        <w:r>
          <w:rPr>
            <w:webHidden/>
          </w:rPr>
          <w:t>61</w:t>
        </w:r>
        <w:r w:rsidR="00C54BE0">
          <w:rPr>
            <w:webHidden/>
          </w:rPr>
          <w:fldChar w:fldCharType="end"/>
        </w:r>
      </w:hyperlink>
    </w:p>
    <w:p w14:paraId="38D2FA4E" w14:textId="0E3EDE72" w:rsidR="00C54BE0" w:rsidRDefault="00D677D7">
      <w:pPr>
        <w:pStyle w:val="TOC2"/>
        <w:rPr>
          <w:rFonts w:asciiTheme="minorHAnsi" w:eastAsiaTheme="minorEastAsia" w:hAnsiTheme="minorHAnsi" w:cstheme="minorBidi"/>
          <w:b w:val="0"/>
          <w:smallCaps w:val="0"/>
          <w:sz w:val="22"/>
          <w:lang w:eastAsia="hu-HU"/>
        </w:rPr>
      </w:pPr>
      <w:hyperlink w:anchor="_Toc116039887" w:history="1">
        <w:r w:rsidR="00C54BE0" w:rsidRPr="00112933">
          <w:rPr>
            <w:rStyle w:val="Hyperlink"/>
            <w:rFonts w:ascii="Times New Roman" w:hAnsi="Times New Roman"/>
          </w:rPr>
          <w:t>1.6.2.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05.01 – ÁTMENETI RENDELKEZÉSEK (CA5.1)</w:t>
        </w:r>
        <w:r w:rsidR="00C54BE0">
          <w:rPr>
            <w:webHidden/>
          </w:rPr>
          <w:tab/>
        </w:r>
        <w:r w:rsidR="00C54BE0">
          <w:rPr>
            <w:webHidden/>
          </w:rPr>
          <w:fldChar w:fldCharType="begin"/>
        </w:r>
        <w:r w:rsidR="00C54BE0">
          <w:rPr>
            <w:webHidden/>
          </w:rPr>
          <w:instrText xml:space="preserve"> PAGEREF _Toc116039887 \h </w:instrText>
        </w:r>
        <w:r w:rsidR="00C54BE0">
          <w:rPr>
            <w:webHidden/>
          </w:rPr>
        </w:r>
        <w:r w:rsidR="00C54BE0">
          <w:rPr>
            <w:webHidden/>
          </w:rPr>
          <w:fldChar w:fldCharType="separate"/>
        </w:r>
        <w:r>
          <w:rPr>
            <w:webHidden/>
          </w:rPr>
          <w:t>62</w:t>
        </w:r>
        <w:r w:rsidR="00C54BE0">
          <w:rPr>
            <w:webHidden/>
          </w:rPr>
          <w:fldChar w:fldCharType="end"/>
        </w:r>
      </w:hyperlink>
    </w:p>
    <w:p w14:paraId="10D96612" w14:textId="1B59689B" w:rsidR="00C54BE0" w:rsidRDefault="00D677D7">
      <w:pPr>
        <w:pStyle w:val="TOC2"/>
        <w:rPr>
          <w:rFonts w:asciiTheme="minorHAnsi" w:eastAsiaTheme="minorEastAsia" w:hAnsiTheme="minorHAnsi" w:cstheme="minorBidi"/>
          <w:b w:val="0"/>
          <w:smallCaps w:val="0"/>
          <w:sz w:val="22"/>
          <w:lang w:eastAsia="hu-HU"/>
        </w:rPr>
      </w:pPr>
      <w:hyperlink w:anchor="_Toc116039888" w:history="1">
        <w:r w:rsidR="00C54BE0" w:rsidRPr="00112933">
          <w:rPr>
            <w:rStyle w:val="Hyperlink"/>
            <w:rFonts w:ascii="Times New Roman" w:hAnsi="Times New Roman"/>
          </w:rPr>
          <w:t>1.6.2.1.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_Toc116039888 \h </w:instrText>
        </w:r>
        <w:r w:rsidR="00C54BE0">
          <w:rPr>
            <w:webHidden/>
          </w:rPr>
        </w:r>
        <w:r w:rsidR="00C54BE0">
          <w:rPr>
            <w:webHidden/>
          </w:rPr>
          <w:fldChar w:fldCharType="separate"/>
        </w:r>
        <w:r>
          <w:rPr>
            <w:webHidden/>
          </w:rPr>
          <w:t>62</w:t>
        </w:r>
        <w:r w:rsidR="00C54BE0">
          <w:rPr>
            <w:webHidden/>
          </w:rPr>
          <w:fldChar w:fldCharType="end"/>
        </w:r>
      </w:hyperlink>
    </w:p>
    <w:p w14:paraId="7F2D6AF2" w14:textId="5DCC7140" w:rsidR="00C54BE0" w:rsidRDefault="00D677D7">
      <w:pPr>
        <w:pStyle w:val="TOC2"/>
        <w:rPr>
          <w:rFonts w:asciiTheme="minorHAnsi" w:eastAsiaTheme="minorEastAsia" w:hAnsiTheme="minorHAnsi" w:cstheme="minorBidi"/>
          <w:b w:val="0"/>
          <w:smallCaps w:val="0"/>
          <w:sz w:val="22"/>
          <w:lang w:eastAsia="hu-HU"/>
        </w:rPr>
      </w:pPr>
      <w:hyperlink w:anchor="_Toc116039889" w:history="1">
        <w:r w:rsidR="00C54BE0" w:rsidRPr="00112933">
          <w:rPr>
            <w:rStyle w:val="Hyperlink"/>
            <w:rFonts w:ascii="Times New Roman" w:hAnsi="Times New Roman"/>
          </w:rPr>
          <w:t>1.6.3.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05.02 – SZERZETT JOGOK ALAPJÁN FIGYELEMBE VETT TŐKEINSTRUMENTUMOK: ÁLLAMI TÁMOGATÁSNAK NEM MINŐSÜLŐ INSTRUMENTUMOK (CA5.2)</w:t>
        </w:r>
        <w:r w:rsidR="00C54BE0">
          <w:rPr>
            <w:webHidden/>
          </w:rPr>
          <w:tab/>
        </w:r>
        <w:r w:rsidR="00C54BE0">
          <w:rPr>
            <w:webHidden/>
          </w:rPr>
          <w:fldChar w:fldCharType="begin"/>
        </w:r>
        <w:r w:rsidR="00C54BE0">
          <w:rPr>
            <w:webHidden/>
          </w:rPr>
          <w:instrText xml:space="preserve"> PAGEREF _Toc116039889 \h </w:instrText>
        </w:r>
        <w:r w:rsidR="00C54BE0">
          <w:rPr>
            <w:webHidden/>
          </w:rPr>
        </w:r>
        <w:r w:rsidR="00C54BE0">
          <w:rPr>
            <w:webHidden/>
          </w:rPr>
          <w:fldChar w:fldCharType="separate"/>
        </w:r>
        <w:r>
          <w:rPr>
            <w:webHidden/>
          </w:rPr>
          <w:t>67</w:t>
        </w:r>
        <w:r w:rsidR="00C54BE0">
          <w:rPr>
            <w:webHidden/>
          </w:rPr>
          <w:fldChar w:fldCharType="end"/>
        </w:r>
      </w:hyperlink>
    </w:p>
    <w:p w14:paraId="0C6CBEC7" w14:textId="0F7CE9A2" w:rsidR="00C54BE0" w:rsidRDefault="00D677D7">
      <w:pPr>
        <w:pStyle w:val="TOC2"/>
        <w:rPr>
          <w:rFonts w:asciiTheme="minorHAnsi" w:eastAsiaTheme="minorEastAsia" w:hAnsiTheme="minorHAnsi" w:cstheme="minorBidi"/>
          <w:b w:val="0"/>
          <w:smallCaps w:val="0"/>
          <w:sz w:val="22"/>
          <w:lang w:eastAsia="hu-HU"/>
        </w:rPr>
      </w:pPr>
      <w:hyperlink w:anchor="_Toc116039890" w:history="1">
        <w:r w:rsidR="00C54BE0" w:rsidRPr="00112933">
          <w:rPr>
            <w:rStyle w:val="Hyperlink"/>
            <w:rFonts w:ascii="Times New Roman" w:hAnsi="Times New Roman"/>
          </w:rPr>
          <w:t>1.6.3.1.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_Toc116039890 \h </w:instrText>
        </w:r>
        <w:r w:rsidR="00C54BE0">
          <w:rPr>
            <w:webHidden/>
          </w:rPr>
        </w:r>
        <w:r w:rsidR="00C54BE0">
          <w:rPr>
            <w:webHidden/>
          </w:rPr>
          <w:fldChar w:fldCharType="separate"/>
        </w:r>
        <w:r>
          <w:rPr>
            <w:webHidden/>
          </w:rPr>
          <w:t>67</w:t>
        </w:r>
        <w:r w:rsidR="00C54BE0">
          <w:rPr>
            <w:webHidden/>
          </w:rPr>
          <w:fldChar w:fldCharType="end"/>
        </w:r>
      </w:hyperlink>
    </w:p>
    <w:p w14:paraId="42DF8B52" w14:textId="4C15E536" w:rsidR="00C54BE0" w:rsidRDefault="00D677D7">
      <w:pPr>
        <w:pStyle w:val="TOC2"/>
        <w:rPr>
          <w:rFonts w:asciiTheme="minorHAnsi" w:eastAsiaTheme="minorEastAsia" w:hAnsiTheme="minorHAnsi" w:cstheme="minorBidi"/>
          <w:b w:val="0"/>
          <w:smallCaps w:val="0"/>
          <w:sz w:val="22"/>
          <w:lang w:eastAsia="hu-HU"/>
        </w:rPr>
      </w:pPr>
      <w:hyperlink w:anchor="_Toc116039891" w:history="1">
        <w:r w:rsidR="00C54BE0" w:rsidRPr="00112933">
          <w:rPr>
            <w:rStyle w:val="Hyperlink"/>
            <w:rFonts w:ascii="Times New Roman" w:hAnsi="Times New Roman"/>
          </w:rPr>
          <w:t>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CSOPORTSZINTŰ SZAVATOLÓTŐKE-MEGFELELÉS: INFORMÁCIÓK A CSOPORTBA TARTOZÓ SZERVEZETEKRŐL (GS)</w:t>
        </w:r>
        <w:r w:rsidR="00C54BE0">
          <w:rPr>
            <w:webHidden/>
          </w:rPr>
          <w:tab/>
        </w:r>
        <w:r w:rsidR="00C54BE0">
          <w:rPr>
            <w:webHidden/>
          </w:rPr>
          <w:fldChar w:fldCharType="begin"/>
        </w:r>
        <w:r w:rsidR="00C54BE0">
          <w:rPr>
            <w:webHidden/>
          </w:rPr>
          <w:instrText xml:space="preserve"> PAGEREF _Toc116039891 \h </w:instrText>
        </w:r>
        <w:r w:rsidR="00C54BE0">
          <w:rPr>
            <w:webHidden/>
          </w:rPr>
        </w:r>
        <w:r w:rsidR="00C54BE0">
          <w:rPr>
            <w:webHidden/>
          </w:rPr>
          <w:fldChar w:fldCharType="separate"/>
        </w:r>
        <w:r>
          <w:rPr>
            <w:webHidden/>
          </w:rPr>
          <w:t>71</w:t>
        </w:r>
        <w:r w:rsidR="00C54BE0">
          <w:rPr>
            <w:webHidden/>
          </w:rPr>
          <w:fldChar w:fldCharType="end"/>
        </w:r>
      </w:hyperlink>
    </w:p>
    <w:p w14:paraId="14F09704" w14:textId="358497A6" w:rsidR="00C54BE0" w:rsidRDefault="00D677D7">
      <w:pPr>
        <w:pStyle w:val="TOC2"/>
        <w:rPr>
          <w:rFonts w:asciiTheme="minorHAnsi" w:eastAsiaTheme="minorEastAsia" w:hAnsiTheme="minorHAnsi" w:cstheme="minorBidi"/>
          <w:b w:val="0"/>
          <w:smallCaps w:val="0"/>
          <w:sz w:val="22"/>
          <w:lang w:eastAsia="hu-HU"/>
        </w:rPr>
      </w:pPr>
      <w:hyperlink w:anchor="_Toc116039892" w:history="1">
        <w:r w:rsidR="00C54BE0" w:rsidRPr="00112933">
          <w:rPr>
            <w:rStyle w:val="Hyperlink"/>
            <w:rFonts w:ascii="Times New Roman" w:hAnsi="Times New Roman"/>
          </w:rPr>
          <w:t>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_Toc116039892 \h </w:instrText>
        </w:r>
        <w:r w:rsidR="00C54BE0">
          <w:rPr>
            <w:webHidden/>
          </w:rPr>
        </w:r>
        <w:r w:rsidR="00C54BE0">
          <w:rPr>
            <w:webHidden/>
          </w:rPr>
          <w:fldChar w:fldCharType="separate"/>
        </w:r>
        <w:r>
          <w:rPr>
            <w:webHidden/>
          </w:rPr>
          <w:t>71</w:t>
        </w:r>
        <w:r w:rsidR="00C54BE0">
          <w:rPr>
            <w:webHidden/>
          </w:rPr>
          <w:fldChar w:fldCharType="end"/>
        </w:r>
      </w:hyperlink>
    </w:p>
    <w:p w14:paraId="6CDE4034" w14:textId="425A1E66" w:rsidR="00C54BE0" w:rsidRDefault="00D677D7">
      <w:pPr>
        <w:pStyle w:val="TOC2"/>
        <w:rPr>
          <w:rFonts w:asciiTheme="minorHAnsi" w:eastAsiaTheme="minorEastAsia" w:hAnsiTheme="minorHAnsi" w:cstheme="minorBidi"/>
          <w:b w:val="0"/>
          <w:smallCaps w:val="0"/>
          <w:sz w:val="22"/>
          <w:lang w:eastAsia="hu-HU"/>
        </w:rPr>
      </w:pPr>
      <w:hyperlink w:anchor="_Toc116039893" w:history="1">
        <w:r w:rsidR="00C54BE0" w:rsidRPr="00112933">
          <w:rPr>
            <w:rStyle w:val="Hyperlink"/>
            <w:rFonts w:ascii="Times New Roman" w:hAnsi="Times New Roman"/>
          </w:rPr>
          <w:t>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Részletes információk a csoportszintű szavatolótőke-megfelelésről</w:t>
        </w:r>
        <w:r w:rsidR="00C54BE0">
          <w:rPr>
            <w:webHidden/>
          </w:rPr>
          <w:tab/>
        </w:r>
        <w:r w:rsidR="00C54BE0">
          <w:rPr>
            <w:webHidden/>
          </w:rPr>
          <w:fldChar w:fldCharType="begin"/>
        </w:r>
        <w:r w:rsidR="00C54BE0">
          <w:rPr>
            <w:webHidden/>
          </w:rPr>
          <w:instrText xml:space="preserve"> PAGEREF _Toc116039893 \h </w:instrText>
        </w:r>
        <w:r w:rsidR="00C54BE0">
          <w:rPr>
            <w:webHidden/>
          </w:rPr>
        </w:r>
        <w:r w:rsidR="00C54BE0">
          <w:rPr>
            <w:webHidden/>
          </w:rPr>
          <w:fldChar w:fldCharType="separate"/>
        </w:r>
        <w:r>
          <w:rPr>
            <w:webHidden/>
          </w:rPr>
          <w:t>71</w:t>
        </w:r>
        <w:r w:rsidR="00C54BE0">
          <w:rPr>
            <w:webHidden/>
          </w:rPr>
          <w:fldChar w:fldCharType="end"/>
        </w:r>
      </w:hyperlink>
    </w:p>
    <w:p w14:paraId="2551FD3C" w14:textId="0721950D" w:rsidR="00C54BE0" w:rsidRDefault="00D677D7">
      <w:pPr>
        <w:pStyle w:val="TOC2"/>
        <w:rPr>
          <w:rFonts w:asciiTheme="minorHAnsi" w:eastAsiaTheme="minorEastAsia" w:hAnsiTheme="minorHAnsi" w:cstheme="minorBidi"/>
          <w:b w:val="0"/>
          <w:smallCaps w:val="0"/>
          <w:sz w:val="22"/>
          <w:lang w:eastAsia="hu-HU"/>
        </w:rPr>
      </w:pPr>
      <w:hyperlink w:anchor="_Toc116039894" w:history="1">
        <w:r w:rsidR="00C54BE0" w:rsidRPr="00112933">
          <w:rPr>
            <w:rStyle w:val="Hyperlink"/>
            <w:rFonts w:ascii="Times New Roman" w:hAnsi="Times New Roman"/>
          </w:rPr>
          <w:t>2.3.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szervezeteknek a csoportszintű szavatolótőke-megfeleléshez való hozzájárulásával kapcsolatos információk</w:t>
        </w:r>
        <w:r w:rsidR="00C54BE0">
          <w:rPr>
            <w:webHidden/>
          </w:rPr>
          <w:tab/>
        </w:r>
        <w:r w:rsidR="00C54BE0">
          <w:rPr>
            <w:webHidden/>
          </w:rPr>
          <w:fldChar w:fldCharType="begin"/>
        </w:r>
        <w:r w:rsidR="00C54BE0">
          <w:rPr>
            <w:webHidden/>
          </w:rPr>
          <w:instrText xml:space="preserve"> PAGEREF _Toc116039894 \h </w:instrText>
        </w:r>
        <w:r w:rsidR="00C54BE0">
          <w:rPr>
            <w:webHidden/>
          </w:rPr>
        </w:r>
        <w:r w:rsidR="00C54BE0">
          <w:rPr>
            <w:webHidden/>
          </w:rPr>
          <w:fldChar w:fldCharType="separate"/>
        </w:r>
        <w:r>
          <w:rPr>
            <w:webHidden/>
          </w:rPr>
          <w:t>72</w:t>
        </w:r>
        <w:r w:rsidR="00C54BE0">
          <w:rPr>
            <w:webHidden/>
          </w:rPr>
          <w:fldChar w:fldCharType="end"/>
        </w:r>
      </w:hyperlink>
    </w:p>
    <w:p w14:paraId="556CA177" w14:textId="5C502EBD" w:rsidR="00C54BE0" w:rsidRDefault="00D677D7">
      <w:pPr>
        <w:pStyle w:val="TOC2"/>
        <w:rPr>
          <w:rFonts w:asciiTheme="minorHAnsi" w:eastAsiaTheme="minorEastAsia" w:hAnsiTheme="minorHAnsi" w:cstheme="minorBidi"/>
          <w:b w:val="0"/>
          <w:smallCaps w:val="0"/>
          <w:sz w:val="22"/>
          <w:lang w:eastAsia="hu-HU"/>
        </w:rPr>
      </w:pPr>
      <w:hyperlink w:anchor="_Toc116039895" w:history="1">
        <w:r w:rsidR="00C54BE0" w:rsidRPr="00112933">
          <w:rPr>
            <w:rStyle w:val="Hyperlink"/>
            <w:rFonts w:ascii="Times New Roman" w:hAnsi="Times New Roman"/>
          </w:rPr>
          <w:t>2.4.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06.01 – CSOPORTSZINTŰ SZAVATOLÓTŐKE-MEGFELELÉS: INFORMÁCIÓK A CSOPORTBA TARTOZÓ SZERVEZETEKRŐL – ÖSSZESEN (GS Total)</w:t>
        </w:r>
        <w:r w:rsidR="00C54BE0">
          <w:rPr>
            <w:webHidden/>
          </w:rPr>
          <w:tab/>
        </w:r>
        <w:r w:rsidR="00C54BE0">
          <w:rPr>
            <w:webHidden/>
          </w:rPr>
          <w:fldChar w:fldCharType="begin"/>
        </w:r>
        <w:r w:rsidR="00C54BE0">
          <w:rPr>
            <w:webHidden/>
          </w:rPr>
          <w:instrText xml:space="preserve"> PAGEREF _Toc116039895 \h </w:instrText>
        </w:r>
        <w:r w:rsidR="00C54BE0">
          <w:rPr>
            <w:webHidden/>
          </w:rPr>
        </w:r>
        <w:r w:rsidR="00C54BE0">
          <w:rPr>
            <w:webHidden/>
          </w:rPr>
          <w:fldChar w:fldCharType="separate"/>
        </w:r>
        <w:r>
          <w:rPr>
            <w:webHidden/>
          </w:rPr>
          <w:t>73</w:t>
        </w:r>
        <w:r w:rsidR="00C54BE0">
          <w:rPr>
            <w:webHidden/>
          </w:rPr>
          <w:fldChar w:fldCharType="end"/>
        </w:r>
      </w:hyperlink>
    </w:p>
    <w:p w14:paraId="437B34B0" w14:textId="60DE3978" w:rsidR="00C54BE0" w:rsidRDefault="00D677D7">
      <w:pPr>
        <w:pStyle w:val="TOC2"/>
        <w:rPr>
          <w:rFonts w:asciiTheme="minorHAnsi" w:eastAsiaTheme="minorEastAsia" w:hAnsiTheme="minorHAnsi" w:cstheme="minorBidi"/>
          <w:b w:val="0"/>
          <w:smallCaps w:val="0"/>
          <w:sz w:val="22"/>
          <w:lang w:eastAsia="hu-HU"/>
        </w:rPr>
      </w:pPr>
      <w:hyperlink w:anchor="_Toc116039896" w:history="1">
        <w:r w:rsidR="00C54BE0" w:rsidRPr="00112933">
          <w:rPr>
            <w:rStyle w:val="Hyperlink"/>
            <w:rFonts w:ascii="Times New Roman" w:hAnsi="Times New Roman"/>
          </w:rPr>
          <w:t>2.5.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06.02 – CSOPORTSZINTŰ SZAVATOLÓTŐKE-MEGFELELÉS: INFORMÁCIÓK A CSOPORTBA TARTOZÓ SZERVEZETEKRŐL (GS)</w:t>
        </w:r>
        <w:r w:rsidR="00C54BE0">
          <w:rPr>
            <w:webHidden/>
          </w:rPr>
          <w:tab/>
        </w:r>
        <w:r w:rsidR="00C54BE0">
          <w:rPr>
            <w:webHidden/>
          </w:rPr>
          <w:fldChar w:fldCharType="begin"/>
        </w:r>
        <w:r w:rsidR="00C54BE0">
          <w:rPr>
            <w:webHidden/>
          </w:rPr>
          <w:instrText xml:space="preserve"> PAGEREF _Toc116039896 \h </w:instrText>
        </w:r>
        <w:r w:rsidR="00C54BE0">
          <w:rPr>
            <w:webHidden/>
          </w:rPr>
        </w:r>
        <w:r w:rsidR="00C54BE0">
          <w:rPr>
            <w:webHidden/>
          </w:rPr>
          <w:fldChar w:fldCharType="separate"/>
        </w:r>
        <w:r>
          <w:rPr>
            <w:webHidden/>
          </w:rPr>
          <w:t>73</w:t>
        </w:r>
        <w:r w:rsidR="00C54BE0">
          <w:rPr>
            <w:webHidden/>
          </w:rPr>
          <w:fldChar w:fldCharType="end"/>
        </w:r>
      </w:hyperlink>
    </w:p>
    <w:p w14:paraId="68A11156" w14:textId="52EEC274" w:rsidR="00C54BE0" w:rsidRDefault="00D677D7">
      <w:pPr>
        <w:pStyle w:val="TOC2"/>
        <w:rPr>
          <w:rFonts w:asciiTheme="minorHAnsi" w:eastAsiaTheme="minorEastAsia" w:hAnsiTheme="minorHAnsi" w:cstheme="minorBidi"/>
          <w:b w:val="0"/>
          <w:smallCaps w:val="0"/>
          <w:sz w:val="22"/>
          <w:lang w:eastAsia="hu-HU"/>
        </w:rPr>
      </w:pPr>
      <w:hyperlink w:anchor="_Toc116039897" w:history="1">
        <w:r w:rsidR="00C54BE0" w:rsidRPr="00112933">
          <w:rPr>
            <w:rStyle w:val="Hyperlink"/>
            <w:rFonts w:ascii="Times New Roman" w:hAnsi="Times New Roman"/>
          </w:rPr>
          <w:t>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Hitelkockázati táblacsoport</w:t>
        </w:r>
        <w:r w:rsidR="00C54BE0">
          <w:rPr>
            <w:webHidden/>
          </w:rPr>
          <w:tab/>
        </w:r>
        <w:r w:rsidR="00C54BE0">
          <w:rPr>
            <w:webHidden/>
          </w:rPr>
          <w:fldChar w:fldCharType="begin"/>
        </w:r>
        <w:r w:rsidR="00C54BE0">
          <w:rPr>
            <w:webHidden/>
          </w:rPr>
          <w:instrText xml:space="preserve"> PAGEREF _Toc116039897 \h </w:instrText>
        </w:r>
        <w:r w:rsidR="00C54BE0">
          <w:rPr>
            <w:webHidden/>
          </w:rPr>
        </w:r>
        <w:r w:rsidR="00C54BE0">
          <w:rPr>
            <w:webHidden/>
          </w:rPr>
          <w:fldChar w:fldCharType="separate"/>
        </w:r>
        <w:r>
          <w:rPr>
            <w:webHidden/>
          </w:rPr>
          <w:t>82</w:t>
        </w:r>
        <w:r w:rsidR="00C54BE0">
          <w:rPr>
            <w:webHidden/>
          </w:rPr>
          <w:fldChar w:fldCharType="end"/>
        </w:r>
      </w:hyperlink>
    </w:p>
    <w:p w14:paraId="06230270" w14:textId="050AB003" w:rsidR="00C54BE0" w:rsidRDefault="00D677D7">
      <w:pPr>
        <w:pStyle w:val="TOC2"/>
        <w:rPr>
          <w:rFonts w:asciiTheme="minorHAnsi" w:eastAsiaTheme="minorEastAsia" w:hAnsiTheme="minorHAnsi" w:cstheme="minorBidi"/>
          <w:b w:val="0"/>
          <w:smallCaps w:val="0"/>
          <w:sz w:val="22"/>
          <w:lang w:eastAsia="hu-HU"/>
        </w:rPr>
      </w:pPr>
      <w:hyperlink w:anchor="_Toc116039898" w:history="1">
        <w:r w:rsidR="00C54BE0" w:rsidRPr="00112933">
          <w:rPr>
            <w:rStyle w:val="Hyperlink"/>
            <w:rFonts w:ascii="Times New Roman" w:hAnsi="Times New Roman"/>
          </w:rPr>
          <w:t>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_Toc116039898 \h </w:instrText>
        </w:r>
        <w:r w:rsidR="00C54BE0">
          <w:rPr>
            <w:webHidden/>
          </w:rPr>
        </w:r>
        <w:r w:rsidR="00C54BE0">
          <w:rPr>
            <w:webHidden/>
          </w:rPr>
          <w:fldChar w:fldCharType="separate"/>
        </w:r>
        <w:r>
          <w:rPr>
            <w:webHidden/>
          </w:rPr>
          <w:t>82</w:t>
        </w:r>
        <w:r w:rsidR="00C54BE0">
          <w:rPr>
            <w:webHidden/>
          </w:rPr>
          <w:fldChar w:fldCharType="end"/>
        </w:r>
      </w:hyperlink>
    </w:p>
    <w:p w14:paraId="08212F46" w14:textId="0830B6FD" w:rsidR="00C54BE0" w:rsidRDefault="00D677D7">
      <w:pPr>
        <w:pStyle w:val="TOC2"/>
        <w:rPr>
          <w:rFonts w:asciiTheme="minorHAnsi" w:eastAsiaTheme="minorEastAsia" w:hAnsiTheme="minorHAnsi" w:cstheme="minorBidi"/>
          <w:b w:val="0"/>
          <w:smallCaps w:val="0"/>
          <w:sz w:val="22"/>
          <w:lang w:eastAsia="hu-HU"/>
        </w:rPr>
      </w:pPr>
      <w:hyperlink w:anchor="_Toc116039899" w:history="1">
        <w:r w:rsidR="00C54BE0" w:rsidRPr="00112933">
          <w:rPr>
            <w:rStyle w:val="Hyperlink"/>
            <w:rFonts w:ascii="Times New Roman" w:hAnsi="Times New Roman"/>
          </w:rPr>
          <w:t>3.1.1.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Helyettesítési hatással járó hitelkockázat-mérséklési (CRM) technikák</w:t>
        </w:r>
        <w:r w:rsidR="00C54BE0">
          <w:rPr>
            <w:webHidden/>
          </w:rPr>
          <w:tab/>
        </w:r>
        <w:r w:rsidR="00C54BE0">
          <w:rPr>
            <w:webHidden/>
          </w:rPr>
          <w:fldChar w:fldCharType="begin"/>
        </w:r>
        <w:r w:rsidR="00C54BE0">
          <w:rPr>
            <w:webHidden/>
          </w:rPr>
          <w:instrText xml:space="preserve"> PAGEREF _Toc116039899 \h </w:instrText>
        </w:r>
        <w:r w:rsidR="00C54BE0">
          <w:rPr>
            <w:webHidden/>
          </w:rPr>
        </w:r>
        <w:r w:rsidR="00C54BE0">
          <w:rPr>
            <w:webHidden/>
          </w:rPr>
          <w:fldChar w:fldCharType="separate"/>
        </w:r>
        <w:r>
          <w:rPr>
            <w:webHidden/>
          </w:rPr>
          <w:t>82</w:t>
        </w:r>
        <w:r w:rsidR="00C54BE0">
          <w:rPr>
            <w:webHidden/>
          </w:rPr>
          <w:fldChar w:fldCharType="end"/>
        </w:r>
      </w:hyperlink>
    </w:p>
    <w:p w14:paraId="7C1F46D3" w14:textId="144F69E2" w:rsidR="00C54BE0" w:rsidRDefault="00D677D7">
      <w:pPr>
        <w:pStyle w:val="TOC2"/>
        <w:rPr>
          <w:rFonts w:asciiTheme="minorHAnsi" w:eastAsiaTheme="minorEastAsia" w:hAnsiTheme="minorHAnsi" w:cstheme="minorBidi"/>
          <w:b w:val="0"/>
          <w:smallCaps w:val="0"/>
          <w:sz w:val="22"/>
          <w:lang w:eastAsia="hu-HU"/>
        </w:rPr>
      </w:pPr>
      <w:hyperlink w:anchor="_Toc116039900" w:history="1">
        <w:r w:rsidR="00C54BE0" w:rsidRPr="00112933">
          <w:rPr>
            <w:rStyle w:val="Hyperlink"/>
            <w:rFonts w:ascii="Times New Roman" w:hAnsi="Times New Roman"/>
          </w:rPr>
          <w:t>3.1.2.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partnerkockázattal kapcsolatos adatszolgáltatás</w:t>
        </w:r>
        <w:r w:rsidR="00C54BE0">
          <w:rPr>
            <w:webHidden/>
          </w:rPr>
          <w:tab/>
        </w:r>
        <w:r w:rsidR="00C54BE0">
          <w:rPr>
            <w:webHidden/>
          </w:rPr>
          <w:fldChar w:fldCharType="begin"/>
        </w:r>
        <w:r w:rsidR="00C54BE0">
          <w:rPr>
            <w:webHidden/>
          </w:rPr>
          <w:instrText xml:space="preserve"> PAGEREF _Toc116039900 \h </w:instrText>
        </w:r>
        <w:r w:rsidR="00C54BE0">
          <w:rPr>
            <w:webHidden/>
          </w:rPr>
        </w:r>
        <w:r w:rsidR="00C54BE0">
          <w:rPr>
            <w:webHidden/>
          </w:rPr>
          <w:fldChar w:fldCharType="separate"/>
        </w:r>
        <w:r>
          <w:rPr>
            <w:webHidden/>
          </w:rPr>
          <w:t>83</w:t>
        </w:r>
        <w:r w:rsidR="00C54BE0">
          <w:rPr>
            <w:webHidden/>
          </w:rPr>
          <w:fldChar w:fldCharType="end"/>
        </w:r>
      </w:hyperlink>
    </w:p>
    <w:p w14:paraId="56ED07E9" w14:textId="129AD871" w:rsidR="00C54BE0" w:rsidRDefault="00D677D7">
      <w:pPr>
        <w:pStyle w:val="TOC2"/>
        <w:rPr>
          <w:rFonts w:asciiTheme="minorHAnsi" w:eastAsiaTheme="minorEastAsia" w:hAnsiTheme="minorHAnsi" w:cstheme="minorBidi"/>
          <w:b w:val="0"/>
          <w:smallCaps w:val="0"/>
          <w:sz w:val="22"/>
          <w:lang w:eastAsia="hu-HU"/>
        </w:rPr>
      </w:pPr>
      <w:hyperlink w:anchor="_Toc116039901" w:history="1">
        <w:r w:rsidR="00C54BE0" w:rsidRPr="00112933">
          <w:rPr>
            <w:rStyle w:val="Hyperlink"/>
            <w:rFonts w:ascii="Times New Roman" w:hAnsi="Times New Roman"/>
          </w:rPr>
          <w:t>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07.00 – Hitelkockázat, partnerkockázat és nyitva szállítások: a sztenderd módszer szerinti tőkekövetelmény (CR SA)</w:t>
        </w:r>
        <w:r w:rsidR="00C54BE0">
          <w:rPr>
            <w:webHidden/>
          </w:rPr>
          <w:tab/>
        </w:r>
        <w:r w:rsidR="00C54BE0">
          <w:rPr>
            <w:webHidden/>
          </w:rPr>
          <w:fldChar w:fldCharType="begin"/>
        </w:r>
        <w:r w:rsidR="00C54BE0">
          <w:rPr>
            <w:webHidden/>
          </w:rPr>
          <w:instrText xml:space="preserve"> PAGEREF _Toc116039901 \h </w:instrText>
        </w:r>
        <w:r w:rsidR="00C54BE0">
          <w:rPr>
            <w:webHidden/>
          </w:rPr>
        </w:r>
        <w:r w:rsidR="00C54BE0">
          <w:rPr>
            <w:webHidden/>
          </w:rPr>
          <w:fldChar w:fldCharType="separate"/>
        </w:r>
        <w:r>
          <w:rPr>
            <w:webHidden/>
          </w:rPr>
          <w:t>83</w:t>
        </w:r>
        <w:r w:rsidR="00C54BE0">
          <w:rPr>
            <w:webHidden/>
          </w:rPr>
          <w:fldChar w:fldCharType="end"/>
        </w:r>
      </w:hyperlink>
    </w:p>
    <w:p w14:paraId="5E5547D7" w14:textId="269951A2" w:rsidR="00C54BE0" w:rsidRDefault="00D677D7">
      <w:pPr>
        <w:pStyle w:val="TOC2"/>
        <w:rPr>
          <w:rFonts w:asciiTheme="minorHAnsi" w:eastAsiaTheme="minorEastAsia" w:hAnsiTheme="minorHAnsi" w:cstheme="minorBidi"/>
          <w:b w:val="0"/>
          <w:smallCaps w:val="0"/>
          <w:sz w:val="22"/>
          <w:lang w:eastAsia="hu-HU"/>
        </w:rPr>
      </w:pPr>
      <w:hyperlink w:anchor="_Toc116039902" w:history="1">
        <w:r w:rsidR="00C54BE0" w:rsidRPr="00112933">
          <w:rPr>
            <w:rStyle w:val="Hyperlink"/>
            <w:rFonts w:ascii="Times New Roman" w:hAnsi="Times New Roman"/>
          </w:rPr>
          <w:t>3.2.1.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_Toc116039902 \h </w:instrText>
        </w:r>
        <w:r w:rsidR="00C54BE0">
          <w:rPr>
            <w:webHidden/>
          </w:rPr>
        </w:r>
        <w:r w:rsidR="00C54BE0">
          <w:rPr>
            <w:webHidden/>
          </w:rPr>
          <w:fldChar w:fldCharType="separate"/>
        </w:r>
        <w:r>
          <w:rPr>
            <w:webHidden/>
          </w:rPr>
          <w:t>83</w:t>
        </w:r>
        <w:r w:rsidR="00C54BE0">
          <w:rPr>
            <w:webHidden/>
          </w:rPr>
          <w:fldChar w:fldCharType="end"/>
        </w:r>
      </w:hyperlink>
    </w:p>
    <w:p w14:paraId="08B1E6EA" w14:textId="20ACCB6C" w:rsidR="00C54BE0" w:rsidRDefault="00D677D7">
      <w:pPr>
        <w:pStyle w:val="TOC2"/>
        <w:rPr>
          <w:rFonts w:asciiTheme="minorHAnsi" w:eastAsiaTheme="minorEastAsia" w:hAnsiTheme="minorHAnsi" w:cstheme="minorBidi"/>
          <w:b w:val="0"/>
          <w:smallCaps w:val="0"/>
          <w:sz w:val="22"/>
          <w:lang w:eastAsia="hu-HU"/>
        </w:rPr>
      </w:pPr>
      <w:hyperlink w:anchor="_Toc116039903" w:history="1">
        <w:r w:rsidR="00C54BE0" w:rsidRPr="00112933">
          <w:rPr>
            <w:rStyle w:val="Hyperlink"/>
            <w:rFonts w:ascii="Times New Roman" w:hAnsi="Times New Roman"/>
          </w:rPr>
          <w:t>3.2.2.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CR SA tábla alkalmazási köre</w:t>
        </w:r>
        <w:r w:rsidR="00C54BE0">
          <w:rPr>
            <w:webHidden/>
          </w:rPr>
          <w:tab/>
        </w:r>
        <w:r w:rsidR="00C54BE0">
          <w:rPr>
            <w:webHidden/>
          </w:rPr>
          <w:fldChar w:fldCharType="begin"/>
        </w:r>
        <w:r w:rsidR="00C54BE0">
          <w:rPr>
            <w:webHidden/>
          </w:rPr>
          <w:instrText xml:space="preserve"> PAGEREF _Toc116039903 \h </w:instrText>
        </w:r>
        <w:r w:rsidR="00C54BE0">
          <w:rPr>
            <w:webHidden/>
          </w:rPr>
        </w:r>
        <w:r w:rsidR="00C54BE0">
          <w:rPr>
            <w:webHidden/>
          </w:rPr>
          <w:fldChar w:fldCharType="separate"/>
        </w:r>
        <w:r>
          <w:rPr>
            <w:webHidden/>
          </w:rPr>
          <w:t>83</w:t>
        </w:r>
        <w:r w:rsidR="00C54BE0">
          <w:rPr>
            <w:webHidden/>
          </w:rPr>
          <w:fldChar w:fldCharType="end"/>
        </w:r>
      </w:hyperlink>
    </w:p>
    <w:p w14:paraId="2BF45063" w14:textId="44180DB6" w:rsidR="00C54BE0" w:rsidRDefault="00D677D7">
      <w:pPr>
        <w:pStyle w:val="TOC2"/>
        <w:rPr>
          <w:rFonts w:asciiTheme="minorHAnsi" w:eastAsiaTheme="minorEastAsia" w:hAnsiTheme="minorHAnsi" w:cstheme="minorBidi"/>
          <w:b w:val="0"/>
          <w:smallCaps w:val="0"/>
          <w:sz w:val="22"/>
          <w:lang w:eastAsia="hu-HU"/>
        </w:rPr>
      </w:pPr>
      <w:hyperlink w:anchor="_Toc116039904" w:history="1">
        <w:r w:rsidR="00C54BE0" w:rsidRPr="00112933">
          <w:rPr>
            <w:rStyle w:val="Hyperlink"/>
            <w:rFonts w:ascii="Times New Roman" w:hAnsi="Times New Roman"/>
          </w:rPr>
          <w:t>3.2.3.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 xml:space="preserve"> A kitettségek kitettségi osztályba sorolása a sztenderd módszerrel</w:t>
        </w:r>
        <w:r w:rsidR="00C54BE0">
          <w:rPr>
            <w:webHidden/>
          </w:rPr>
          <w:tab/>
        </w:r>
        <w:r w:rsidR="00C54BE0">
          <w:rPr>
            <w:webHidden/>
          </w:rPr>
          <w:fldChar w:fldCharType="begin"/>
        </w:r>
        <w:r w:rsidR="00C54BE0">
          <w:rPr>
            <w:webHidden/>
          </w:rPr>
          <w:instrText xml:space="preserve"> PAGEREF _Toc116039904 \h </w:instrText>
        </w:r>
        <w:r w:rsidR="00C54BE0">
          <w:rPr>
            <w:webHidden/>
          </w:rPr>
        </w:r>
        <w:r w:rsidR="00C54BE0">
          <w:rPr>
            <w:webHidden/>
          </w:rPr>
          <w:fldChar w:fldCharType="separate"/>
        </w:r>
        <w:r>
          <w:rPr>
            <w:webHidden/>
          </w:rPr>
          <w:t>85</w:t>
        </w:r>
        <w:r w:rsidR="00C54BE0">
          <w:rPr>
            <w:webHidden/>
          </w:rPr>
          <w:fldChar w:fldCharType="end"/>
        </w:r>
      </w:hyperlink>
    </w:p>
    <w:p w14:paraId="56BCB457" w14:textId="1AA75FCF" w:rsidR="00C54BE0" w:rsidRDefault="00D677D7">
      <w:pPr>
        <w:pStyle w:val="TOC2"/>
        <w:rPr>
          <w:rFonts w:asciiTheme="minorHAnsi" w:eastAsiaTheme="minorEastAsia" w:hAnsiTheme="minorHAnsi" w:cstheme="minorBidi"/>
          <w:b w:val="0"/>
          <w:smallCaps w:val="0"/>
          <w:sz w:val="22"/>
          <w:lang w:eastAsia="hu-HU"/>
        </w:rPr>
      </w:pPr>
      <w:hyperlink w:anchor="_Toc116039905" w:history="1">
        <w:r w:rsidR="00C54BE0" w:rsidRPr="00112933">
          <w:rPr>
            <w:rStyle w:val="Hyperlink"/>
            <w:rFonts w:ascii="Times New Roman" w:hAnsi="Times New Roman"/>
          </w:rPr>
          <w:t>3.2.4.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575/2013/EU rendelet 112. cikkében említett egyes kitettségi osztályok alkalmazási körének magyarázata</w:t>
        </w:r>
        <w:r w:rsidR="00C54BE0">
          <w:rPr>
            <w:webHidden/>
          </w:rPr>
          <w:tab/>
        </w:r>
        <w:r w:rsidR="00C54BE0">
          <w:rPr>
            <w:webHidden/>
          </w:rPr>
          <w:fldChar w:fldCharType="begin"/>
        </w:r>
        <w:r w:rsidR="00C54BE0">
          <w:rPr>
            <w:webHidden/>
          </w:rPr>
          <w:instrText xml:space="preserve"> PAGEREF _Toc116039905 \h </w:instrText>
        </w:r>
        <w:r w:rsidR="00C54BE0">
          <w:rPr>
            <w:webHidden/>
          </w:rPr>
        </w:r>
        <w:r w:rsidR="00C54BE0">
          <w:rPr>
            <w:webHidden/>
          </w:rPr>
          <w:fldChar w:fldCharType="separate"/>
        </w:r>
        <w:r>
          <w:rPr>
            <w:webHidden/>
          </w:rPr>
          <w:t>91</w:t>
        </w:r>
        <w:r w:rsidR="00C54BE0">
          <w:rPr>
            <w:webHidden/>
          </w:rPr>
          <w:fldChar w:fldCharType="end"/>
        </w:r>
      </w:hyperlink>
    </w:p>
    <w:p w14:paraId="205F474C" w14:textId="2D233B79" w:rsidR="00C54BE0" w:rsidRDefault="00D677D7">
      <w:pPr>
        <w:pStyle w:val="TOC2"/>
        <w:rPr>
          <w:rFonts w:asciiTheme="minorHAnsi" w:eastAsiaTheme="minorEastAsia" w:hAnsiTheme="minorHAnsi" w:cstheme="minorBidi"/>
          <w:b w:val="0"/>
          <w:smallCaps w:val="0"/>
          <w:sz w:val="22"/>
          <w:lang w:eastAsia="hu-HU"/>
        </w:rPr>
      </w:pPr>
      <w:hyperlink w:anchor="_Toc116039906" w:history="1">
        <w:r w:rsidR="00C54BE0" w:rsidRPr="00112933">
          <w:rPr>
            <w:rStyle w:val="Hyperlink"/>
            <w:rFonts w:ascii="Times New Roman" w:hAnsi="Times New Roman"/>
          </w:rPr>
          <w:t>3.2.4.1.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„intézmények” kitettségi osztály</w:t>
        </w:r>
        <w:r w:rsidR="00C54BE0">
          <w:rPr>
            <w:webHidden/>
          </w:rPr>
          <w:tab/>
        </w:r>
        <w:r w:rsidR="00C54BE0">
          <w:rPr>
            <w:webHidden/>
          </w:rPr>
          <w:fldChar w:fldCharType="begin"/>
        </w:r>
        <w:r w:rsidR="00C54BE0">
          <w:rPr>
            <w:webHidden/>
          </w:rPr>
          <w:instrText xml:space="preserve"> PAGEREF _Toc116039906 \h </w:instrText>
        </w:r>
        <w:r w:rsidR="00C54BE0">
          <w:rPr>
            <w:webHidden/>
          </w:rPr>
        </w:r>
        <w:r w:rsidR="00C54BE0">
          <w:rPr>
            <w:webHidden/>
          </w:rPr>
          <w:fldChar w:fldCharType="separate"/>
        </w:r>
        <w:r>
          <w:rPr>
            <w:webHidden/>
          </w:rPr>
          <w:t>91</w:t>
        </w:r>
        <w:r w:rsidR="00C54BE0">
          <w:rPr>
            <w:webHidden/>
          </w:rPr>
          <w:fldChar w:fldCharType="end"/>
        </w:r>
      </w:hyperlink>
    </w:p>
    <w:p w14:paraId="023EF259" w14:textId="0AC76BD3" w:rsidR="00C54BE0" w:rsidRDefault="00D677D7">
      <w:pPr>
        <w:pStyle w:val="TOC2"/>
        <w:rPr>
          <w:rFonts w:asciiTheme="minorHAnsi" w:eastAsiaTheme="minorEastAsia" w:hAnsiTheme="minorHAnsi" w:cstheme="minorBidi"/>
          <w:b w:val="0"/>
          <w:smallCaps w:val="0"/>
          <w:sz w:val="22"/>
          <w:lang w:eastAsia="hu-HU"/>
        </w:rPr>
      </w:pPr>
      <w:hyperlink w:anchor="_Toc116039907" w:history="1">
        <w:r w:rsidR="00C54BE0" w:rsidRPr="00112933">
          <w:rPr>
            <w:rStyle w:val="Hyperlink"/>
            <w:rFonts w:ascii="Times New Roman" w:hAnsi="Times New Roman"/>
          </w:rPr>
          <w:t>3.2.4.2.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„fedezett kötvények” kitettségi osztály</w:t>
        </w:r>
        <w:r w:rsidR="00C54BE0">
          <w:rPr>
            <w:webHidden/>
          </w:rPr>
          <w:tab/>
        </w:r>
        <w:r w:rsidR="00C54BE0">
          <w:rPr>
            <w:webHidden/>
          </w:rPr>
          <w:fldChar w:fldCharType="begin"/>
        </w:r>
        <w:r w:rsidR="00C54BE0">
          <w:rPr>
            <w:webHidden/>
          </w:rPr>
          <w:instrText xml:space="preserve"> PAGEREF _Toc116039907 \h </w:instrText>
        </w:r>
        <w:r w:rsidR="00C54BE0">
          <w:rPr>
            <w:webHidden/>
          </w:rPr>
        </w:r>
        <w:r w:rsidR="00C54BE0">
          <w:rPr>
            <w:webHidden/>
          </w:rPr>
          <w:fldChar w:fldCharType="separate"/>
        </w:r>
        <w:r>
          <w:rPr>
            <w:webHidden/>
          </w:rPr>
          <w:t>91</w:t>
        </w:r>
        <w:r w:rsidR="00C54BE0">
          <w:rPr>
            <w:webHidden/>
          </w:rPr>
          <w:fldChar w:fldCharType="end"/>
        </w:r>
      </w:hyperlink>
    </w:p>
    <w:p w14:paraId="43E3FB9A" w14:textId="1E17FBA5" w:rsidR="00C54BE0" w:rsidRDefault="00D677D7">
      <w:pPr>
        <w:pStyle w:val="TOC2"/>
        <w:rPr>
          <w:rFonts w:asciiTheme="minorHAnsi" w:eastAsiaTheme="minorEastAsia" w:hAnsiTheme="minorHAnsi" w:cstheme="minorBidi"/>
          <w:b w:val="0"/>
          <w:smallCaps w:val="0"/>
          <w:sz w:val="22"/>
          <w:lang w:eastAsia="hu-HU"/>
        </w:rPr>
      </w:pPr>
      <w:hyperlink w:anchor="_Toc116039908" w:history="1">
        <w:r w:rsidR="00C54BE0" w:rsidRPr="00112933">
          <w:rPr>
            <w:rStyle w:val="Hyperlink"/>
            <w:rFonts w:ascii="Times New Roman" w:hAnsi="Times New Roman"/>
          </w:rPr>
          <w:t>3.2.4.3.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„kollektív befektetési formák” kitettségi osztály</w:t>
        </w:r>
        <w:r w:rsidR="00C54BE0">
          <w:rPr>
            <w:webHidden/>
          </w:rPr>
          <w:tab/>
        </w:r>
        <w:r w:rsidR="00C54BE0">
          <w:rPr>
            <w:webHidden/>
          </w:rPr>
          <w:fldChar w:fldCharType="begin"/>
        </w:r>
        <w:r w:rsidR="00C54BE0">
          <w:rPr>
            <w:webHidden/>
          </w:rPr>
          <w:instrText xml:space="preserve"> PAGEREF _Toc116039908 \h </w:instrText>
        </w:r>
        <w:r w:rsidR="00C54BE0">
          <w:rPr>
            <w:webHidden/>
          </w:rPr>
        </w:r>
        <w:r w:rsidR="00C54BE0">
          <w:rPr>
            <w:webHidden/>
          </w:rPr>
          <w:fldChar w:fldCharType="separate"/>
        </w:r>
        <w:r>
          <w:rPr>
            <w:webHidden/>
          </w:rPr>
          <w:t>91</w:t>
        </w:r>
        <w:r w:rsidR="00C54BE0">
          <w:rPr>
            <w:webHidden/>
          </w:rPr>
          <w:fldChar w:fldCharType="end"/>
        </w:r>
      </w:hyperlink>
    </w:p>
    <w:p w14:paraId="1C38106D" w14:textId="08308123" w:rsidR="00C54BE0" w:rsidRDefault="00D677D7">
      <w:pPr>
        <w:pStyle w:val="TOC2"/>
        <w:rPr>
          <w:rFonts w:asciiTheme="minorHAnsi" w:eastAsiaTheme="minorEastAsia" w:hAnsiTheme="minorHAnsi" w:cstheme="minorBidi"/>
          <w:b w:val="0"/>
          <w:smallCaps w:val="0"/>
          <w:sz w:val="22"/>
          <w:lang w:eastAsia="hu-HU"/>
        </w:rPr>
      </w:pPr>
      <w:hyperlink w:anchor="_Toc116039909" w:history="1">
        <w:r w:rsidR="00C54BE0" w:rsidRPr="00112933">
          <w:rPr>
            <w:rStyle w:val="Hyperlink"/>
            <w:rFonts w:ascii="Times New Roman" w:hAnsi="Times New Roman"/>
          </w:rPr>
          <w:t>3.2.5.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_Toc116039909 \h </w:instrText>
        </w:r>
        <w:r w:rsidR="00C54BE0">
          <w:rPr>
            <w:webHidden/>
          </w:rPr>
        </w:r>
        <w:r w:rsidR="00C54BE0">
          <w:rPr>
            <w:webHidden/>
          </w:rPr>
          <w:fldChar w:fldCharType="separate"/>
        </w:r>
        <w:r>
          <w:rPr>
            <w:webHidden/>
          </w:rPr>
          <w:t>92</w:t>
        </w:r>
        <w:r w:rsidR="00C54BE0">
          <w:rPr>
            <w:webHidden/>
          </w:rPr>
          <w:fldChar w:fldCharType="end"/>
        </w:r>
      </w:hyperlink>
    </w:p>
    <w:p w14:paraId="2DDAE909" w14:textId="4531CC8E" w:rsidR="00C54BE0" w:rsidRDefault="00D677D7">
      <w:pPr>
        <w:pStyle w:val="TOC2"/>
        <w:rPr>
          <w:rFonts w:asciiTheme="minorHAnsi" w:eastAsiaTheme="minorEastAsia" w:hAnsiTheme="minorHAnsi" w:cstheme="minorBidi"/>
          <w:b w:val="0"/>
          <w:smallCaps w:val="0"/>
          <w:sz w:val="22"/>
          <w:lang w:eastAsia="hu-HU"/>
        </w:rPr>
      </w:pPr>
      <w:hyperlink w:anchor="_Toc116039910" w:history="1">
        <w:r w:rsidR="00C54BE0" w:rsidRPr="00112933">
          <w:rPr>
            <w:rStyle w:val="Hyperlink"/>
            <w:rFonts w:ascii="Times New Roman" w:hAnsi="Times New Roman"/>
          </w:rPr>
          <w:t>3.3.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Hitelkockázat, partnerkockázat és nyitva szállítások: az IRB módszer szerinti szavatolótőke-követelmény (CR IRB)</w:t>
        </w:r>
        <w:r w:rsidR="00C54BE0">
          <w:rPr>
            <w:webHidden/>
          </w:rPr>
          <w:tab/>
        </w:r>
        <w:r w:rsidR="00C54BE0">
          <w:rPr>
            <w:webHidden/>
          </w:rPr>
          <w:fldChar w:fldCharType="begin"/>
        </w:r>
        <w:r w:rsidR="00C54BE0">
          <w:rPr>
            <w:webHidden/>
          </w:rPr>
          <w:instrText xml:space="preserve"> PAGEREF _Toc116039910 \h </w:instrText>
        </w:r>
        <w:r w:rsidR="00C54BE0">
          <w:rPr>
            <w:webHidden/>
          </w:rPr>
        </w:r>
        <w:r w:rsidR="00C54BE0">
          <w:rPr>
            <w:webHidden/>
          </w:rPr>
          <w:fldChar w:fldCharType="separate"/>
        </w:r>
        <w:r>
          <w:rPr>
            <w:webHidden/>
          </w:rPr>
          <w:t>101</w:t>
        </w:r>
        <w:r w:rsidR="00C54BE0">
          <w:rPr>
            <w:webHidden/>
          </w:rPr>
          <w:fldChar w:fldCharType="end"/>
        </w:r>
      </w:hyperlink>
    </w:p>
    <w:p w14:paraId="422AC407" w14:textId="7A6C556B" w:rsidR="00C54BE0" w:rsidRDefault="00D677D7">
      <w:pPr>
        <w:pStyle w:val="TOC2"/>
        <w:rPr>
          <w:rFonts w:asciiTheme="minorHAnsi" w:eastAsiaTheme="minorEastAsia" w:hAnsiTheme="minorHAnsi" w:cstheme="minorBidi"/>
          <w:b w:val="0"/>
          <w:smallCaps w:val="0"/>
          <w:sz w:val="22"/>
          <w:lang w:eastAsia="hu-HU"/>
        </w:rPr>
      </w:pPr>
      <w:hyperlink w:anchor="_Toc116039911" w:history="1">
        <w:r w:rsidR="00C54BE0" w:rsidRPr="00112933">
          <w:rPr>
            <w:rStyle w:val="Hyperlink"/>
            <w:rFonts w:ascii="Times New Roman" w:hAnsi="Times New Roman"/>
          </w:rPr>
          <w:t>3.3.1.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CR IRB tábla alkalmazási köre</w:t>
        </w:r>
        <w:r w:rsidR="00C54BE0">
          <w:rPr>
            <w:webHidden/>
          </w:rPr>
          <w:tab/>
        </w:r>
        <w:r w:rsidR="00C54BE0">
          <w:rPr>
            <w:webHidden/>
          </w:rPr>
          <w:fldChar w:fldCharType="begin"/>
        </w:r>
        <w:r w:rsidR="00C54BE0">
          <w:rPr>
            <w:webHidden/>
          </w:rPr>
          <w:instrText xml:space="preserve"> PAGEREF _Toc116039911 \h </w:instrText>
        </w:r>
        <w:r w:rsidR="00C54BE0">
          <w:rPr>
            <w:webHidden/>
          </w:rPr>
        </w:r>
        <w:r w:rsidR="00C54BE0">
          <w:rPr>
            <w:webHidden/>
          </w:rPr>
          <w:fldChar w:fldCharType="separate"/>
        </w:r>
        <w:r>
          <w:rPr>
            <w:webHidden/>
          </w:rPr>
          <w:t>101</w:t>
        </w:r>
        <w:r w:rsidR="00C54BE0">
          <w:rPr>
            <w:webHidden/>
          </w:rPr>
          <w:fldChar w:fldCharType="end"/>
        </w:r>
      </w:hyperlink>
    </w:p>
    <w:p w14:paraId="7DAF1E80" w14:textId="74783053" w:rsidR="00C54BE0" w:rsidRDefault="00D677D7">
      <w:pPr>
        <w:pStyle w:val="TOC2"/>
        <w:rPr>
          <w:rFonts w:asciiTheme="minorHAnsi" w:eastAsiaTheme="minorEastAsia" w:hAnsiTheme="minorHAnsi" w:cstheme="minorBidi"/>
          <w:b w:val="0"/>
          <w:smallCaps w:val="0"/>
          <w:sz w:val="22"/>
          <w:lang w:eastAsia="hu-HU"/>
        </w:rPr>
      </w:pPr>
      <w:hyperlink w:anchor="_Toc116039912" w:history="1">
        <w:r w:rsidR="00C54BE0" w:rsidRPr="00112933">
          <w:rPr>
            <w:rStyle w:val="Hyperlink"/>
            <w:rFonts w:ascii="Times New Roman" w:hAnsi="Times New Roman"/>
          </w:rPr>
          <w:t>3.3.2.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CR IRB táblacsoport felosztása</w:t>
        </w:r>
        <w:r w:rsidR="00C54BE0">
          <w:rPr>
            <w:webHidden/>
          </w:rPr>
          <w:tab/>
        </w:r>
        <w:r w:rsidR="00C54BE0">
          <w:rPr>
            <w:webHidden/>
          </w:rPr>
          <w:fldChar w:fldCharType="begin"/>
        </w:r>
        <w:r w:rsidR="00C54BE0">
          <w:rPr>
            <w:webHidden/>
          </w:rPr>
          <w:instrText xml:space="preserve"> PAGEREF _Toc116039912 \h </w:instrText>
        </w:r>
        <w:r w:rsidR="00C54BE0">
          <w:rPr>
            <w:webHidden/>
          </w:rPr>
        </w:r>
        <w:r w:rsidR="00C54BE0">
          <w:rPr>
            <w:webHidden/>
          </w:rPr>
          <w:fldChar w:fldCharType="separate"/>
        </w:r>
        <w:r>
          <w:rPr>
            <w:webHidden/>
          </w:rPr>
          <w:t>102</w:t>
        </w:r>
        <w:r w:rsidR="00C54BE0">
          <w:rPr>
            <w:webHidden/>
          </w:rPr>
          <w:fldChar w:fldCharType="end"/>
        </w:r>
      </w:hyperlink>
    </w:p>
    <w:p w14:paraId="42320C29" w14:textId="7A8E5129" w:rsidR="00C54BE0" w:rsidRDefault="00D677D7">
      <w:pPr>
        <w:pStyle w:val="TOC2"/>
        <w:rPr>
          <w:rFonts w:asciiTheme="minorHAnsi" w:eastAsiaTheme="minorEastAsia" w:hAnsiTheme="minorHAnsi" w:cstheme="minorBidi"/>
          <w:b w:val="0"/>
          <w:smallCaps w:val="0"/>
          <w:sz w:val="22"/>
          <w:lang w:eastAsia="hu-HU"/>
        </w:rPr>
      </w:pPr>
      <w:hyperlink w:anchor="_Toc116039913" w:history="1">
        <w:r w:rsidR="00C54BE0" w:rsidRPr="00112933">
          <w:rPr>
            <w:rStyle w:val="Hyperlink"/>
            <w:rFonts w:ascii="Times New Roman" w:hAnsi="Times New Roman"/>
          </w:rPr>
          <w:t>3.3.3.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08.01 – Hitelkockázat, partnerkockázat és nyitva szállítások: IRB módszer szerinti tőkekövetelmény (CR IRB 1)</w:t>
        </w:r>
        <w:r w:rsidR="00C54BE0">
          <w:rPr>
            <w:webHidden/>
          </w:rPr>
          <w:tab/>
        </w:r>
        <w:r w:rsidR="00C54BE0">
          <w:rPr>
            <w:webHidden/>
          </w:rPr>
          <w:fldChar w:fldCharType="begin"/>
        </w:r>
        <w:r w:rsidR="00C54BE0">
          <w:rPr>
            <w:webHidden/>
          </w:rPr>
          <w:instrText xml:space="preserve"> PAGEREF _Toc116039913 \h </w:instrText>
        </w:r>
        <w:r w:rsidR="00C54BE0">
          <w:rPr>
            <w:webHidden/>
          </w:rPr>
        </w:r>
        <w:r w:rsidR="00C54BE0">
          <w:rPr>
            <w:webHidden/>
          </w:rPr>
          <w:fldChar w:fldCharType="separate"/>
        </w:r>
        <w:r>
          <w:rPr>
            <w:webHidden/>
          </w:rPr>
          <w:t>103</w:t>
        </w:r>
        <w:r w:rsidR="00C54BE0">
          <w:rPr>
            <w:webHidden/>
          </w:rPr>
          <w:fldChar w:fldCharType="end"/>
        </w:r>
      </w:hyperlink>
    </w:p>
    <w:p w14:paraId="15095DE2" w14:textId="0175802E" w:rsidR="00C54BE0" w:rsidRDefault="00D677D7">
      <w:pPr>
        <w:pStyle w:val="TOC2"/>
        <w:rPr>
          <w:rFonts w:asciiTheme="minorHAnsi" w:eastAsiaTheme="minorEastAsia" w:hAnsiTheme="minorHAnsi" w:cstheme="minorBidi"/>
          <w:b w:val="0"/>
          <w:smallCaps w:val="0"/>
          <w:sz w:val="22"/>
          <w:lang w:eastAsia="hu-HU"/>
        </w:rPr>
      </w:pPr>
      <w:hyperlink w:anchor="_Toc116039914" w:history="1">
        <w:r w:rsidR="00C54BE0" w:rsidRPr="00112933">
          <w:rPr>
            <w:rStyle w:val="Hyperlink"/>
            <w:rFonts w:ascii="Times New Roman" w:hAnsi="Times New Roman"/>
          </w:rPr>
          <w:t>3.3.3.1.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_Toc116039914 \h </w:instrText>
        </w:r>
        <w:r w:rsidR="00C54BE0">
          <w:rPr>
            <w:webHidden/>
          </w:rPr>
        </w:r>
        <w:r w:rsidR="00C54BE0">
          <w:rPr>
            <w:webHidden/>
          </w:rPr>
          <w:fldChar w:fldCharType="separate"/>
        </w:r>
        <w:r>
          <w:rPr>
            <w:webHidden/>
          </w:rPr>
          <w:t>103</w:t>
        </w:r>
        <w:r w:rsidR="00C54BE0">
          <w:rPr>
            <w:webHidden/>
          </w:rPr>
          <w:fldChar w:fldCharType="end"/>
        </w:r>
      </w:hyperlink>
    </w:p>
    <w:p w14:paraId="23636A8A" w14:textId="475EE0DE" w:rsidR="00C54BE0" w:rsidRDefault="00D677D7">
      <w:pPr>
        <w:pStyle w:val="TOC2"/>
        <w:rPr>
          <w:rFonts w:asciiTheme="minorHAnsi" w:eastAsiaTheme="minorEastAsia" w:hAnsiTheme="minorHAnsi" w:cstheme="minorBidi"/>
          <w:b w:val="0"/>
          <w:smallCaps w:val="0"/>
          <w:sz w:val="22"/>
          <w:lang w:eastAsia="hu-HU"/>
        </w:rPr>
      </w:pPr>
      <w:hyperlink w:anchor="_Toc116039915" w:history="1">
        <w:r w:rsidR="00C54BE0" w:rsidRPr="00112933">
          <w:rPr>
            <w:rStyle w:val="Hyperlink"/>
            <w:rFonts w:ascii="Times New Roman" w:hAnsi="Times New Roman"/>
          </w:rPr>
          <w:t>3.3.4.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08.02 – Hitelkockázat, partnerkockázat és nyitva szállítások: IRB módszer szerinti tőkekövetelmény: ügyfélkategória vagy -halmaz (pool) szerint (CR IRB 2 tábla)</w:t>
        </w:r>
        <w:r w:rsidR="00C54BE0">
          <w:rPr>
            <w:webHidden/>
          </w:rPr>
          <w:tab/>
        </w:r>
        <w:r w:rsidR="00C54BE0">
          <w:rPr>
            <w:webHidden/>
          </w:rPr>
          <w:fldChar w:fldCharType="begin"/>
        </w:r>
        <w:r w:rsidR="00C54BE0">
          <w:rPr>
            <w:webHidden/>
          </w:rPr>
          <w:instrText xml:space="preserve"> PAGEREF _Toc116039915 \h </w:instrText>
        </w:r>
        <w:r w:rsidR="00C54BE0">
          <w:rPr>
            <w:webHidden/>
          </w:rPr>
        </w:r>
        <w:r w:rsidR="00C54BE0">
          <w:rPr>
            <w:webHidden/>
          </w:rPr>
          <w:fldChar w:fldCharType="separate"/>
        </w:r>
        <w:r>
          <w:rPr>
            <w:webHidden/>
          </w:rPr>
          <w:t>114</w:t>
        </w:r>
        <w:r w:rsidR="00C54BE0">
          <w:rPr>
            <w:webHidden/>
          </w:rPr>
          <w:fldChar w:fldCharType="end"/>
        </w:r>
      </w:hyperlink>
    </w:p>
    <w:p w14:paraId="37FAF5E4" w14:textId="5C0CF19A" w:rsidR="00C54BE0" w:rsidRDefault="00D677D7">
      <w:pPr>
        <w:pStyle w:val="TOC2"/>
        <w:rPr>
          <w:rFonts w:asciiTheme="minorHAnsi" w:eastAsiaTheme="minorEastAsia" w:hAnsiTheme="minorHAnsi" w:cstheme="minorBidi"/>
          <w:b w:val="0"/>
          <w:smallCaps w:val="0"/>
          <w:sz w:val="22"/>
          <w:lang w:eastAsia="hu-HU"/>
        </w:rPr>
      </w:pPr>
      <w:hyperlink w:anchor="_Toc116039916" w:history="1">
        <w:r w:rsidR="00C54BE0" w:rsidRPr="00112933">
          <w:rPr>
            <w:rStyle w:val="Hyperlink"/>
            <w:rFonts w:ascii="Times New Roman" w:hAnsi="Times New Roman"/>
          </w:rPr>
          <w:t>3.3.1.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08.03 – Hitelkockázat és nyitva szállítások: IRB módszer szerinti tőkekövetelmény: PD-sávok szerinti bontás (CR IRB 3)</w:t>
        </w:r>
        <w:r w:rsidR="00C54BE0">
          <w:rPr>
            <w:webHidden/>
          </w:rPr>
          <w:tab/>
        </w:r>
        <w:r w:rsidR="00C54BE0">
          <w:rPr>
            <w:webHidden/>
          </w:rPr>
          <w:fldChar w:fldCharType="begin"/>
        </w:r>
        <w:r w:rsidR="00C54BE0">
          <w:rPr>
            <w:webHidden/>
          </w:rPr>
          <w:instrText xml:space="preserve"> PAGEREF _Toc116039916 \h </w:instrText>
        </w:r>
        <w:r w:rsidR="00C54BE0">
          <w:rPr>
            <w:webHidden/>
          </w:rPr>
        </w:r>
        <w:r w:rsidR="00C54BE0">
          <w:rPr>
            <w:webHidden/>
          </w:rPr>
          <w:fldChar w:fldCharType="separate"/>
        </w:r>
        <w:r>
          <w:rPr>
            <w:webHidden/>
          </w:rPr>
          <w:t>115</w:t>
        </w:r>
        <w:r w:rsidR="00C54BE0">
          <w:rPr>
            <w:webHidden/>
          </w:rPr>
          <w:fldChar w:fldCharType="end"/>
        </w:r>
      </w:hyperlink>
    </w:p>
    <w:p w14:paraId="31B809CA" w14:textId="438F6E8C" w:rsidR="00C54BE0" w:rsidRDefault="00D677D7">
      <w:pPr>
        <w:pStyle w:val="TOC2"/>
        <w:rPr>
          <w:rFonts w:asciiTheme="minorHAnsi" w:eastAsiaTheme="minorEastAsia" w:hAnsiTheme="minorHAnsi" w:cstheme="minorBidi"/>
          <w:b w:val="0"/>
          <w:smallCaps w:val="0"/>
          <w:sz w:val="22"/>
          <w:lang w:eastAsia="hu-HU"/>
        </w:rPr>
      </w:pPr>
      <w:hyperlink w:anchor="_Toc116039917" w:history="1">
        <w:r w:rsidR="00C54BE0" w:rsidRPr="00112933">
          <w:rPr>
            <w:rStyle w:val="Hyperlink"/>
            <w:rFonts w:ascii="Times New Roman" w:hAnsi="Times New Roman"/>
          </w:rPr>
          <w:t>3.3.1.1.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_Toc116039917 \h </w:instrText>
        </w:r>
        <w:r w:rsidR="00C54BE0">
          <w:rPr>
            <w:webHidden/>
          </w:rPr>
        </w:r>
        <w:r w:rsidR="00C54BE0">
          <w:rPr>
            <w:webHidden/>
          </w:rPr>
          <w:fldChar w:fldCharType="separate"/>
        </w:r>
        <w:r>
          <w:rPr>
            <w:webHidden/>
          </w:rPr>
          <w:t>115</w:t>
        </w:r>
        <w:r w:rsidR="00C54BE0">
          <w:rPr>
            <w:webHidden/>
          </w:rPr>
          <w:fldChar w:fldCharType="end"/>
        </w:r>
      </w:hyperlink>
    </w:p>
    <w:p w14:paraId="7C5C5BAD" w14:textId="6B3837A1" w:rsidR="00C54BE0" w:rsidRDefault="00D677D7">
      <w:pPr>
        <w:pStyle w:val="TOC2"/>
        <w:rPr>
          <w:rFonts w:asciiTheme="minorHAnsi" w:eastAsiaTheme="minorEastAsia" w:hAnsiTheme="minorHAnsi" w:cstheme="minorBidi"/>
          <w:b w:val="0"/>
          <w:smallCaps w:val="0"/>
          <w:sz w:val="22"/>
          <w:lang w:eastAsia="hu-HU"/>
        </w:rPr>
      </w:pPr>
      <w:hyperlink w:anchor="_Toc116039918" w:history="1">
        <w:r w:rsidR="00C54BE0" w:rsidRPr="00112933">
          <w:rPr>
            <w:rStyle w:val="Hyperlink"/>
            <w:rFonts w:ascii="Times New Roman" w:hAnsi="Times New Roman"/>
          </w:rPr>
          <w:t>3.3.1.2.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_Toc116039918 \h </w:instrText>
        </w:r>
        <w:r w:rsidR="00C54BE0">
          <w:rPr>
            <w:webHidden/>
          </w:rPr>
        </w:r>
        <w:r w:rsidR="00C54BE0">
          <w:rPr>
            <w:webHidden/>
          </w:rPr>
          <w:fldChar w:fldCharType="separate"/>
        </w:r>
        <w:r>
          <w:rPr>
            <w:webHidden/>
          </w:rPr>
          <w:t>115</w:t>
        </w:r>
        <w:r w:rsidR="00C54BE0">
          <w:rPr>
            <w:webHidden/>
          </w:rPr>
          <w:fldChar w:fldCharType="end"/>
        </w:r>
      </w:hyperlink>
    </w:p>
    <w:p w14:paraId="7E35FF1E" w14:textId="5DC11D87" w:rsidR="00C54BE0" w:rsidRDefault="00D677D7">
      <w:pPr>
        <w:pStyle w:val="TOC2"/>
        <w:rPr>
          <w:rFonts w:asciiTheme="minorHAnsi" w:eastAsiaTheme="minorEastAsia" w:hAnsiTheme="minorHAnsi" w:cstheme="minorBidi"/>
          <w:b w:val="0"/>
          <w:smallCaps w:val="0"/>
          <w:sz w:val="22"/>
          <w:lang w:eastAsia="hu-HU"/>
        </w:rPr>
      </w:pPr>
      <w:hyperlink w:anchor="_Toc116039919" w:history="1">
        <w:r w:rsidR="00C54BE0" w:rsidRPr="00112933">
          <w:rPr>
            <w:rStyle w:val="Hyperlink"/>
            <w:rFonts w:ascii="Times New Roman" w:hAnsi="Times New Roman"/>
          </w:rPr>
          <w:t>3.3.2.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08.04 – Hitelkockázat és nyitva szállítások: IRB módszer szerinti tőkekövetelmény: a kockázattal súlyozott kitettségérték változásának kimutatása (CR IRB 4)</w:t>
        </w:r>
        <w:r w:rsidR="00C54BE0">
          <w:rPr>
            <w:webHidden/>
          </w:rPr>
          <w:tab/>
        </w:r>
        <w:r w:rsidR="00C54BE0">
          <w:rPr>
            <w:webHidden/>
          </w:rPr>
          <w:fldChar w:fldCharType="begin"/>
        </w:r>
        <w:r w:rsidR="00C54BE0">
          <w:rPr>
            <w:webHidden/>
          </w:rPr>
          <w:instrText xml:space="preserve"> PAGEREF _Toc116039919 \h </w:instrText>
        </w:r>
        <w:r w:rsidR="00C54BE0">
          <w:rPr>
            <w:webHidden/>
          </w:rPr>
        </w:r>
        <w:r w:rsidR="00C54BE0">
          <w:rPr>
            <w:webHidden/>
          </w:rPr>
          <w:fldChar w:fldCharType="separate"/>
        </w:r>
        <w:r>
          <w:rPr>
            <w:webHidden/>
          </w:rPr>
          <w:t>118</w:t>
        </w:r>
        <w:r w:rsidR="00C54BE0">
          <w:rPr>
            <w:webHidden/>
          </w:rPr>
          <w:fldChar w:fldCharType="end"/>
        </w:r>
      </w:hyperlink>
    </w:p>
    <w:p w14:paraId="78892B17" w14:textId="52D6A55D" w:rsidR="00C54BE0" w:rsidRDefault="00D677D7">
      <w:pPr>
        <w:pStyle w:val="TOC2"/>
        <w:rPr>
          <w:rFonts w:asciiTheme="minorHAnsi" w:eastAsiaTheme="minorEastAsia" w:hAnsiTheme="minorHAnsi" w:cstheme="minorBidi"/>
          <w:b w:val="0"/>
          <w:smallCaps w:val="0"/>
          <w:sz w:val="22"/>
          <w:lang w:eastAsia="hu-HU"/>
        </w:rPr>
      </w:pPr>
      <w:hyperlink w:anchor="_Toc116039920" w:history="1">
        <w:r w:rsidR="00C54BE0" w:rsidRPr="00112933">
          <w:rPr>
            <w:rStyle w:val="Hyperlink"/>
            <w:rFonts w:ascii="Times New Roman" w:hAnsi="Times New Roman"/>
          </w:rPr>
          <w:t>3.3.2.1.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_Toc116039920 \h </w:instrText>
        </w:r>
        <w:r w:rsidR="00C54BE0">
          <w:rPr>
            <w:webHidden/>
          </w:rPr>
        </w:r>
        <w:r w:rsidR="00C54BE0">
          <w:rPr>
            <w:webHidden/>
          </w:rPr>
          <w:fldChar w:fldCharType="separate"/>
        </w:r>
        <w:r>
          <w:rPr>
            <w:webHidden/>
          </w:rPr>
          <w:t>118</w:t>
        </w:r>
        <w:r w:rsidR="00C54BE0">
          <w:rPr>
            <w:webHidden/>
          </w:rPr>
          <w:fldChar w:fldCharType="end"/>
        </w:r>
      </w:hyperlink>
    </w:p>
    <w:p w14:paraId="414701AC" w14:textId="2AEF279F" w:rsidR="00C54BE0" w:rsidRDefault="00D677D7">
      <w:pPr>
        <w:pStyle w:val="TOC2"/>
        <w:rPr>
          <w:rFonts w:asciiTheme="minorHAnsi" w:eastAsiaTheme="minorEastAsia" w:hAnsiTheme="minorHAnsi" w:cstheme="minorBidi"/>
          <w:b w:val="0"/>
          <w:smallCaps w:val="0"/>
          <w:sz w:val="22"/>
          <w:lang w:eastAsia="hu-HU"/>
        </w:rPr>
      </w:pPr>
      <w:hyperlink w:anchor="_Toc116039921" w:history="1">
        <w:r w:rsidR="00C54BE0" w:rsidRPr="00112933">
          <w:rPr>
            <w:rStyle w:val="Hyperlink"/>
            <w:rFonts w:ascii="Times New Roman" w:hAnsi="Times New Roman"/>
          </w:rPr>
          <w:t>3.3.2.2.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_Toc116039921 \h </w:instrText>
        </w:r>
        <w:r w:rsidR="00C54BE0">
          <w:rPr>
            <w:webHidden/>
          </w:rPr>
        </w:r>
        <w:r w:rsidR="00C54BE0">
          <w:rPr>
            <w:webHidden/>
          </w:rPr>
          <w:fldChar w:fldCharType="separate"/>
        </w:r>
        <w:r>
          <w:rPr>
            <w:webHidden/>
          </w:rPr>
          <w:t>118</w:t>
        </w:r>
        <w:r w:rsidR="00C54BE0">
          <w:rPr>
            <w:webHidden/>
          </w:rPr>
          <w:fldChar w:fldCharType="end"/>
        </w:r>
      </w:hyperlink>
    </w:p>
    <w:p w14:paraId="5C18081D" w14:textId="396D9A49" w:rsidR="00C54BE0" w:rsidRDefault="00D677D7">
      <w:pPr>
        <w:pStyle w:val="TOC2"/>
        <w:rPr>
          <w:rFonts w:asciiTheme="minorHAnsi" w:eastAsiaTheme="minorEastAsia" w:hAnsiTheme="minorHAnsi" w:cstheme="minorBidi"/>
          <w:b w:val="0"/>
          <w:smallCaps w:val="0"/>
          <w:sz w:val="22"/>
          <w:lang w:eastAsia="hu-HU"/>
        </w:rPr>
      </w:pPr>
      <w:hyperlink w:anchor="_Toc116039922" w:history="1">
        <w:r w:rsidR="00C54BE0" w:rsidRPr="00112933">
          <w:rPr>
            <w:rStyle w:val="Hyperlink"/>
            <w:rFonts w:ascii="Times New Roman" w:hAnsi="Times New Roman"/>
          </w:rPr>
          <w:t>3.3.3.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08.05 – Hitelkockázat és nyitva szállítások: IRB módszer szerinti tőkekövetelmény: PD utótesztelése (CR IRB 5)</w:t>
        </w:r>
        <w:r w:rsidR="00C54BE0">
          <w:rPr>
            <w:webHidden/>
          </w:rPr>
          <w:tab/>
        </w:r>
        <w:r w:rsidR="00C54BE0">
          <w:rPr>
            <w:webHidden/>
          </w:rPr>
          <w:fldChar w:fldCharType="begin"/>
        </w:r>
        <w:r w:rsidR="00C54BE0">
          <w:rPr>
            <w:webHidden/>
          </w:rPr>
          <w:instrText xml:space="preserve"> PAGEREF _Toc116039922 \h </w:instrText>
        </w:r>
        <w:r w:rsidR="00C54BE0">
          <w:rPr>
            <w:webHidden/>
          </w:rPr>
        </w:r>
        <w:r w:rsidR="00C54BE0">
          <w:rPr>
            <w:webHidden/>
          </w:rPr>
          <w:fldChar w:fldCharType="separate"/>
        </w:r>
        <w:r>
          <w:rPr>
            <w:webHidden/>
          </w:rPr>
          <w:t>120</w:t>
        </w:r>
        <w:r w:rsidR="00C54BE0">
          <w:rPr>
            <w:webHidden/>
          </w:rPr>
          <w:fldChar w:fldCharType="end"/>
        </w:r>
      </w:hyperlink>
    </w:p>
    <w:p w14:paraId="20FC1834" w14:textId="242B7C8F" w:rsidR="00C54BE0" w:rsidRDefault="00D677D7">
      <w:pPr>
        <w:pStyle w:val="TOC2"/>
        <w:rPr>
          <w:rFonts w:asciiTheme="minorHAnsi" w:eastAsiaTheme="minorEastAsia" w:hAnsiTheme="minorHAnsi" w:cstheme="minorBidi"/>
          <w:b w:val="0"/>
          <w:smallCaps w:val="0"/>
          <w:sz w:val="22"/>
          <w:lang w:eastAsia="hu-HU"/>
        </w:rPr>
      </w:pPr>
      <w:hyperlink w:anchor="_Toc116039923" w:history="1">
        <w:r w:rsidR="00C54BE0" w:rsidRPr="00112933">
          <w:rPr>
            <w:rStyle w:val="Hyperlink"/>
            <w:rFonts w:ascii="Times New Roman" w:hAnsi="Times New Roman"/>
          </w:rPr>
          <w:t>3.3.3.1.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_Toc116039923 \h </w:instrText>
        </w:r>
        <w:r w:rsidR="00C54BE0">
          <w:rPr>
            <w:webHidden/>
          </w:rPr>
        </w:r>
        <w:r w:rsidR="00C54BE0">
          <w:rPr>
            <w:webHidden/>
          </w:rPr>
          <w:fldChar w:fldCharType="separate"/>
        </w:r>
        <w:r>
          <w:rPr>
            <w:webHidden/>
          </w:rPr>
          <w:t>120</w:t>
        </w:r>
        <w:r w:rsidR="00C54BE0">
          <w:rPr>
            <w:webHidden/>
          </w:rPr>
          <w:fldChar w:fldCharType="end"/>
        </w:r>
      </w:hyperlink>
    </w:p>
    <w:p w14:paraId="02394A4D" w14:textId="3337C0AF" w:rsidR="00C54BE0" w:rsidRDefault="00D677D7">
      <w:pPr>
        <w:pStyle w:val="TOC2"/>
        <w:rPr>
          <w:rFonts w:asciiTheme="minorHAnsi" w:eastAsiaTheme="minorEastAsia" w:hAnsiTheme="minorHAnsi" w:cstheme="minorBidi"/>
          <w:b w:val="0"/>
          <w:smallCaps w:val="0"/>
          <w:sz w:val="22"/>
          <w:lang w:eastAsia="hu-HU"/>
        </w:rPr>
      </w:pPr>
      <w:hyperlink w:anchor="_Toc116039924" w:history="1">
        <w:r w:rsidR="00C54BE0" w:rsidRPr="00112933">
          <w:rPr>
            <w:rStyle w:val="Hyperlink"/>
            <w:rFonts w:ascii="Times New Roman" w:hAnsi="Times New Roman"/>
          </w:rPr>
          <w:t>3.3.3.2.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_Toc116039924 \h </w:instrText>
        </w:r>
        <w:r w:rsidR="00C54BE0">
          <w:rPr>
            <w:webHidden/>
          </w:rPr>
        </w:r>
        <w:r w:rsidR="00C54BE0">
          <w:rPr>
            <w:webHidden/>
          </w:rPr>
          <w:fldChar w:fldCharType="separate"/>
        </w:r>
        <w:r>
          <w:rPr>
            <w:webHidden/>
          </w:rPr>
          <w:t>120</w:t>
        </w:r>
        <w:r w:rsidR="00C54BE0">
          <w:rPr>
            <w:webHidden/>
          </w:rPr>
          <w:fldChar w:fldCharType="end"/>
        </w:r>
      </w:hyperlink>
    </w:p>
    <w:p w14:paraId="6AE4236B" w14:textId="100C713B" w:rsidR="00C54BE0" w:rsidRDefault="00D677D7">
      <w:pPr>
        <w:pStyle w:val="TOC2"/>
        <w:rPr>
          <w:rFonts w:asciiTheme="minorHAnsi" w:eastAsiaTheme="minorEastAsia" w:hAnsiTheme="minorHAnsi" w:cstheme="minorBidi"/>
          <w:b w:val="0"/>
          <w:smallCaps w:val="0"/>
          <w:sz w:val="22"/>
          <w:lang w:eastAsia="hu-HU"/>
        </w:rPr>
      </w:pPr>
      <w:hyperlink w:anchor="_Toc116039925" w:history="1">
        <w:r w:rsidR="00C54BE0" w:rsidRPr="00112933">
          <w:rPr>
            <w:rStyle w:val="Hyperlink"/>
            <w:rFonts w:ascii="Times New Roman" w:hAnsi="Times New Roman"/>
          </w:rPr>
          <w:t>3.3.4.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08.05.1 – Hitelkockázat és nyitva szállítások: IRB módszer szerinti tőkekövetelmény: A PD utótesztelése – az 575/2013/EU rendelet 180. cikke (1) bekezdése f) pontjának megfelelően (CR IRB 5B)</w:t>
        </w:r>
        <w:r w:rsidR="00C54BE0">
          <w:rPr>
            <w:webHidden/>
          </w:rPr>
          <w:tab/>
        </w:r>
        <w:r w:rsidR="00C54BE0">
          <w:rPr>
            <w:webHidden/>
          </w:rPr>
          <w:fldChar w:fldCharType="begin"/>
        </w:r>
        <w:r w:rsidR="00C54BE0">
          <w:rPr>
            <w:webHidden/>
          </w:rPr>
          <w:instrText xml:space="preserve"> PAGEREF _Toc116039925 \h </w:instrText>
        </w:r>
        <w:r w:rsidR="00C54BE0">
          <w:rPr>
            <w:webHidden/>
          </w:rPr>
        </w:r>
        <w:r w:rsidR="00C54BE0">
          <w:rPr>
            <w:webHidden/>
          </w:rPr>
          <w:fldChar w:fldCharType="separate"/>
        </w:r>
        <w:r>
          <w:rPr>
            <w:webHidden/>
          </w:rPr>
          <w:t>121</w:t>
        </w:r>
        <w:r w:rsidR="00C54BE0">
          <w:rPr>
            <w:webHidden/>
          </w:rPr>
          <w:fldChar w:fldCharType="end"/>
        </w:r>
      </w:hyperlink>
    </w:p>
    <w:p w14:paraId="4D2FA999" w14:textId="1AEE9ED4" w:rsidR="00C54BE0" w:rsidRDefault="00D677D7">
      <w:pPr>
        <w:pStyle w:val="TOC2"/>
        <w:rPr>
          <w:rFonts w:asciiTheme="minorHAnsi" w:eastAsiaTheme="minorEastAsia" w:hAnsiTheme="minorHAnsi" w:cstheme="minorBidi"/>
          <w:b w:val="0"/>
          <w:smallCaps w:val="0"/>
          <w:sz w:val="22"/>
          <w:lang w:eastAsia="hu-HU"/>
        </w:rPr>
      </w:pPr>
      <w:hyperlink w:anchor="_Toc116039926" w:history="1">
        <w:r w:rsidR="00C54BE0" w:rsidRPr="00112933">
          <w:rPr>
            <w:rStyle w:val="Hyperlink"/>
            <w:rFonts w:ascii="Times New Roman" w:hAnsi="Times New Roman"/>
          </w:rPr>
          <w:t>3.3.4.1.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_Toc116039926 \h </w:instrText>
        </w:r>
        <w:r w:rsidR="00C54BE0">
          <w:rPr>
            <w:webHidden/>
          </w:rPr>
        </w:r>
        <w:r w:rsidR="00C54BE0">
          <w:rPr>
            <w:webHidden/>
          </w:rPr>
          <w:fldChar w:fldCharType="separate"/>
        </w:r>
        <w:r>
          <w:rPr>
            <w:webHidden/>
          </w:rPr>
          <w:t>121</w:t>
        </w:r>
        <w:r w:rsidR="00C54BE0">
          <w:rPr>
            <w:webHidden/>
          </w:rPr>
          <w:fldChar w:fldCharType="end"/>
        </w:r>
      </w:hyperlink>
    </w:p>
    <w:p w14:paraId="388A2860" w14:textId="102C99D9" w:rsidR="00C54BE0" w:rsidRDefault="00D677D7">
      <w:pPr>
        <w:pStyle w:val="TOC2"/>
        <w:rPr>
          <w:rFonts w:asciiTheme="minorHAnsi" w:eastAsiaTheme="minorEastAsia" w:hAnsiTheme="minorHAnsi" w:cstheme="minorBidi"/>
          <w:b w:val="0"/>
          <w:smallCaps w:val="0"/>
          <w:sz w:val="22"/>
          <w:lang w:eastAsia="hu-HU"/>
        </w:rPr>
      </w:pPr>
      <w:hyperlink w:anchor="_Toc116039927" w:history="1">
        <w:r w:rsidR="00C54BE0" w:rsidRPr="00112933">
          <w:rPr>
            <w:rStyle w:val="Hyperlink"/>
            <w:rFonts w:ascii="Times New Roman" w:hAnsi="Times New Roman"/>
          </w:rPr>
          <w:t>3.3.5.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08.06 – Hitelkockázat és nyitva szállítások: IRB módszer szerinti tőkekövetelmény: slotting módszer szerinti speciális hitelezési kitettségek (CR IRB 6)</w:t>
        </w:r>
        <w:r w:rsidR="00C54BE0">
          <w:rPr>
            <w:webHidden/>
          </w:rPr>
          <w:tab/>
        </w:r>
        <w:r w:rsidR="00C54BE0">
          <w:rPr>
            <w:webHidden/>
          </w:rPr>
          <w:fldChar w:fldCharType="begin"/>
        </w:r>
        <w:r w:rsidR="00C54BE0">
          <w:rPr>
            <w:webHidden/>
          </w:rPr>
          <w:instrText xml:space="preserve"> PAGEREF _Toc116039927 \h </w:instrText>
        </w:r>
        <w:r w:rsidR="00C54BE0">
          <w:rPr>
            <w:webHidden/>
          </w:rPr>
        </w:r>
        <w:r w:rsidR="00C54BE0">
          <w:rPr>
            <w:webHidden/>
          </w:rPr>
          <w:fldChar w:fldCharType="separate"/>
        </w:r>
        <w:r>
          <w:rPr>
            <w:webHidden/>
          </w:rPr>
          <w:t>122</w:t>
        </w:r>
        <w:r w:rsidR="00C54BE0">
          <w:rPr>
            <w:webHidden/>
          </w:rPr>
          <w:fldChar w:fldCharType="end"/>
        </w:r>
      </w:hyperlink>
    </w:p>
    <w:p w14:paraId="273BC3E4" w14:textId="26C91405" w:rsidR="00C54BE0" w:rsidRDefault="00D677D7">
      <w:pPr>
        <w:pStyle w:val="TOC2"/>
        <w:rPr>
          <w:rFonts w:asciiTheme="minorHAnsi" w:eastAsiaTheme="minorEastAsia" w:hAnsiTheme="minorHAnsi" w:cstheme="minorBidi"/>
          <w:b w:val="0"/>
          <w:smallCaps w:val="0"/>
          <w:sz w:val="22"/>
          <w:lang w:eastAsia="hu-HU"/>
        </w:rPr>
      </w:pPr>
      <w:hyperlink w:anchor="_Toc116039928" w:history="1">
        <w:r w:rsidR="00C54BE0" w:rsidRPr="00112933">
          <w:rPr>
            <w:rStyle w:val="Hyperlink"/>
            <w:rFonts w:ascii="Times New Roman" w:hAnsi="Times New Roman"/>
          </w:rPr>
          <w:t>3.3.5.1.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_Toc116039928 \h </w:instrText>
        </w:r>
        <w:r w:rsidR="00C54BE0">
          <w:rPr>
            <w:webHidden/>
          </w:rPr>
        </w:r>
        <w:r w:rsidR="00C54BE0">
          <w:rPr>
            <w:webHidden/>
          </w:rPr>
          <w:fldChar w:fldCharType="separate"/>
        </w:r>
        <w:r>
          <w:rPr>
            <w:webHidden/>
          </w:rPr>
          <w:t>122</w:t>
        </w:r>
        <w:r w:rsidR="00C54BE0">
          <w:rPr>
            <w:webHidden/>
          </w:rPr>
          <w:fldChar w:fldCharType="end"/>
        </w:r>
      </w:hyperlink>
    </w:p>
    <w:p w14:paraId="3AD6D393" w14:textId="623BF645" w:rsidR="00C54BE0" w:rsidRDefault="00D677D7">
      <w:pPr>
        <w:pStyle w:val="TOC2"/>
        <w:rPr>
          <w:rFonts w:asciiTheme="minorHAnsi" w:eastAsiaTheme="minorEastAsia" w:hAnsiTheme="minorHAnsi" w:cstheme="minorBidi"/>
          <w:b w:val="0"/>
          <w:smallCaps w:val="0"/>
          <w:sz w:val="22"/>
          <w:lang w:eastAsia="hu-HU"/>
        </w:rPr>
      </w:pPr>
      <w:hyperlink w:anchor="_Toc116039929" w:history="1">
        <w:r w:rsidR="00C54BE0" w:rsidRPr="00112933">
          <w:rPr>
            <w:rStyle w:val="Hyperlink"/>
            <w:rFonts w:ascii="Times New Roman" w:hAnsi="Times New Roman"/>
          </w:rPr>
          <w:t>3.3.5.2.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_Toc116039929 \h </w:instrText>
        </w:r>
        <w:r w:rsidR="00C54BE0">
          <w:rPr>
            <w:webHidden/>
          </w:rPr>
        </w:r>
        <w:r w:rsidR="00C54BE0">
          <w:rPr>
            <w:webHidden/>
          </w:rPr>
          <w:fldChar w:fldCharType="separate"/>
        </w:r>
        <w:r>
          <w:rPr>
            <w:webHidden/>
          </w:rPr>
          <w:t>122</w:t>
        </w:r>
        <w:r w:rsidR="00C54BE0">
          <w:rPr>
            <w:webHidden/>
          </w:rPr>
          <w:fldChar w:fldCharType="end"/>
        </w:r>
      </w:hyperlink>
    </w:p>
    <w:p w14:paraId="5E7F8EC2" w14:textId="3262FE7F" w:rsidR="00C54BE0" w:rsidRDefault="00D677D7">
      <w:pPr>
        <w:pStyle w:val="TOC2"/>
        <w:rPr>
          <w:rFonts w:asciiTheme="minorHAnsi" w:eastAsiaTheme="minorEastAsia" w:hAnsiTheme="minorHAnsi" w:cstheme="minorBidi"/>
          <w:b w:val="0"/>
          <w:smallCaps w:val="0"/>
          <w:sz w:val="22"/>
          <w:lang w:eastAsia="hu-HU"/>
        </w:rPr>
      </w:pPr>
      <w:hyperlink w:anchor="_Toc116039930" w:history="1">
        <w:r w:rsidR="00C54BE0" w:rsidRPr="00112933">
          <w:rPr>
            <w:rStyle w:val="Hyperlink"/>
            <w:rFonts w:ascii="Times New Roman" w:hAnsi="Times New Roman"/>
          </w:rPr>
          <w:t>3.3.6.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08.07 – Hitelkockázat és nyitva szállítások: IRB módszer szerinti tőkekövetelmény: az IRB módszer és a sztenderd módszer alkalmazási köre (CR IRB 7)</w:t>
        </w:r>
        <w:r w:rsidR="00C54BE0">
          <w:rPr>
            <w:webHidden/>
          </w:rPr>
          <w:tab/>
        </w:r>
        <w:r w:rsidR="00C54BE0">
          <w:rPr>
            <w:webHidden/>
          </w:rPr>
          <w:fldChar w:fldCharType="begin"/>
        </w:r>
        <w:r w:rsidR="00C54BE0">
          <w:rPr>
            <w:webHidden/>
          </w:rPr>
          <w:instrText xml:space="preserve"> PAGEREF _Toc116039930 \h </w:instrText>
        </w:r>
        <w:r w:rsidR="00C54BE0">
          <w:rPr>
            <w:webHidden/>
          </w:rPr>
        </w:r>
        <w:r w:rsidR="00C54BE0">
          <w:rPr>
            <w:webHidden/>
          </w:rPr>
          <w:fldChar w:fldCharType="separate"/>
        </w:r>
        <w:r>
          <w:rPr>
            <w:webHidden/>
          </w:rPr>
          <w:t>123</w:t>
        </w:r>
        <w:r w:rsidR="00C54BE0">
          <w:rPr>
            <w:webHidden/>
          </w:rPr>
          <w:fldChar w:fldCharType="end"/>
        </w:r>
      </w:hyperlink>
    </w:p>
    <w:p w14:paraId="5E9498F1" w14:textId="0D6BD85F" w:rsidR="00C54BE0" w:rsidRDefault="00D677D7">
      <w:pPr>
        <w:pStyle w:val="TOC2"/>
        <w:rPr>
          <w:rFonts w:asciiTheme="minorHAnsi" w:eastAsiaTheme="minorEastAsia" w:hAnsiTheme="minorHAnsi" w:cstheme="minorBidi"/>
          <w:b w:val="0"/>
          <w:smallCaps w:val="0"/>
          <w:sz w:val="22"/>
          <w:lang w:eastAsia="hu-HU"/>
        </w:rPr>
      </w:pPr>
      <w:hyperlink w:anchor="_Toc116039931" w:history="1">
        <w:r w:rsidR="00C54BE0" w:rsidRPr="00112933">
          <w:rPr>
            <w:rStyle w:val="Hyperlink"/>
            <w:rFonts w:ascii="Times New Roman" w:hAnsi="Times New Roman"/>
          </w:rPr>
          <w:t>3.3.6.1.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_Toc116039931 \h </w:instrText>
        </w:r>
        <w:r w:rsidR="00C54BE0">
          <w:rPr>
            <w:webHidden/>
          </w:rPr>
        </w:r>
        <w:r w:rsidR="00C54BE0">
          <w:rPr>
            <w:webHidden/>
          </w:rPr>
          <w:fldChar w:fldCharType="separate"/>
        </w:r>
        <w:r>
          <w:rPr>
            <w:webHidden/>
          </w:rPr>
          <w:t>123</w:t>
        </w:r>
        <w:r w:rsidR="00C54BE0">
          <w:rPr>
            <w:webHidden/>
          </w:rPr>
          <w:fldChar w:fldCharType="end"/>
        </w:r>
      </w:hyperlink>
    </w:p>
    <w:p w14:paraId="05BC480C" w14:textId="1B99ADA4" w:rsidR="00C54BE0" w:rsidRDefault="00D677D7">
      <w:pPr>
        <w:pStyle w:val="TOC2"/>
        <w:rPr>
          <w:rFonts w:asciiTheme="minorHAnsi" w:eastAsiaTheme="minorEastAsia" w:hAnsiTheme="minorHAnsi" w:cstheme="minorBidi"/>
          <w:b w:val="0"/>
          <w:smallCaps w:val="0"/>
          <w:sz w:val="22"/>
          <w:lang w:eastAsia="hu-HU"/>
        </w:rPr>
      </w:pPr>
      <w:hyperlink w:anchor="_Toc116039932" w:history="1">
        <w:r w:rsidR="00C54BE0" w:rsidRPr="00112933">
          <w:rPr>
            <w:rStyle w:val="Hyperlink"/>
            <w:rFonts w:ascii="Times New Roman" w:hAnsi="Times New Roman"/>
          </w:rPr>
          <w:t>3.3.6.2.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_Toc116039932 \h </w:instrText>
        </w:r>
        <w:r w:rsidR="00C54BE0">
          <w:rPr>
            <w:webHidden/>
          </w:rPr>
        </w:r>
        <w:r w:rsidR="00C54BE0">
          <w:rPr>
            <w:webHidden/>
          </w:rPr>
          <w:fldChar w:fldCharType="separate"/>
        </w:r>
        <w:r>
          <w:rPr>
            <w:webHidden/>
          </w:rPr>
          <w:t>124</w:t>
        </w:r>
        <w:r w:rsidR="00C54BE0">
          <w:rPr>
            <w:webHidden/>
          </w:rPr>
          <w:fldChar w:fldCharType="end"/>
        </w:r>
      </w:hyperlink>
    </w:p>
    <w:p w14:paraId="23249674" w14:textId="4C0CAAF7" w:rsidR="00C54BE0" w:rsidRDefault="00D677D7">
      <w:pPr>
        <w:pStyle w:val="TOC2"/>
        <w:rPr>
          <w:rFonts w:asciiTheme="minorHAnsi" w:eastAsiaTheme="minorEastAsia" w:hAnsiTheme="minorHAnsi" w:cstheme="minorBidi"/>
          <w:b w:val="0"/>
          <w:smallCaps w:val="0"/>
          <w:sz w:val="22"/>
          <w:lang w:eastAsia="hu-HU"/>
        </w:rPr>
      </w:pPr>
      <w:hyperlink w:anchor="_Toc116039933" w:history="1">
        <w:r w:rsidR="00C54BE0" w:rsidRPr="00112933">
          <w:rPr>
            <w:rStyle w:val="Hyperlink"/>
            <w:rFonts w:ascii="Times New Roman" w:hAnsi="Times New Roman"/>
          </w:rPr>
          <w:t>3.4.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Hitelkockázat, partnerkockázat és nyitva szállítások: földrajzi megoszlás</w:t>
        </w:r>
        <w:r w:rsidR="00C54BE0">
          <w:rPr>
            <w:webHidden/>
          </w:rPr>
          <w:tab/>
        </w:r>
        <w:r w:rsidR="00C54BE0">
          <w:rPr>
            <w:webHidden/>
          </w:rPr>
          <w:fldChar w:fldCharType="begin"/>
        </w:r>
        <w:r w:rsidR="00C54BE0">
          <w:rPr>
            <w:webHidden/>
          </w:rPr>
          <w:instrText xml:space="preserve"> PAGEREF _Toc116039933 \h </w:instrText>
        </w:r>
        <w:r w:rsidR="00C54BE0">
          <w:rPr>
            <w:webHidden/>
          </w:rPr>
        </w:r>
        <w:r w:rsidR="00C54BE0">
          <w:rPr>
            <w:webHidden/>
          </w:rPr>
          <w:fldChar w:fldCharType="separate"/>
        </w:r>
        <w:r>
          <w:rPr>
            <w:webHidden/>
          </w:rPr>
          <w:t>125</w:t>
        </w:r>
        <w:r w:rsidR="00C54BE0">
          <w:rPr>
            <w:webHidden/>
          </w:rPr>
          <w:fldChar w:fldCharType="end"/>
        </w:r>
      </w:hyperlink>
    </w:p>
    <w:p w14:paraId="4DACAC6B" w14:textId="1D4A7C61" w:rsidR="00C54BE0" w:rsidRDefault="00D677D7">
      <w:pPr>
        <w:pStyle w:val="TOC2"/>
        <w:rPr>
          <w:rFonts w:asciiTheme="minorHAnsi" w:eastAsiaTheme="minorEastAsia" w:hAnsiTheme="minorHAnsi" w:cstheme="minorBidi"/>
          <w:b w:val="0"/>
          <w:smallCaps w:val="0"/>
          <w:sz w:val="22"/>
          <w:lang w:eastAsia="hu-HU"/>
        </w:rPr>
      </w:pPr>
      <w:hyperlink w:anchor="_Toc116039934" w:history="1">
        <w:r w:rsidR="00C54BE0" w:rsidRPr="00112933">
          <w:rPr>
            <w:rStyle w:val="Hyperlink"/>
            <w:rFonts w:ascii="Times New Roman" w:hAnsi="Times New Roman"/>
          </w:rPr>
          <w:t>3.4.1.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09.01 – Kitettségek földrajzi bontása a kötelezett illetősége szerint: SA-kitettségek (CR GB 1)</w:t>
        </w:r>
        <w:r w:rsidR="00C54BE0">
          <w:rPr>
            <w:webHidden/>
          </w:rPr>
          <w:tab/>
        </w:r>
        <w:r w:rsidR="00C54BE0">
          <w:rPr>
            <w:webHidden/>
          </w:rPr>
          <w:fldChar w:fldCharType="begin"/>
        </w:r>
        <w:r w:rsidR="00C54BE0">
          <w:rPr>
            <w:webHidden/>
          </w:rPr>
          <w:instrText xml:space="preserve"> PAGEREF _Toc116039934 \h </w:instrText>
        </w:r>
        <w:r w:rsidR="00C54BE0">
          <w:rPr>
            <w:webHidden/>
          </w:rPr>
        </w:r>
        <w:r w:rsidR="00C54BE0">
          <w:rPr>
            <w:webHidden/>
          </w:rPr>
          <w:fldChar w:fldCharType="separate"/>
        </w:r>
        <w:r>
          <w:rPr>
            <w:webHidden/>
          </w:rPr>
          <w:t>125</w:t>
        </w:r>
        <w:r w:rsidR="00C54BE0">
          <w:rPr>
            <w:webHidden/>
          </w:rPr>
          <w:fldChar w:fldCharType="end"/>
        </w:r>
      </w:hyperlink>
    </w:p>
    <w:p w14:paraId="745F5B43" w14:textId="754E5DCE" w:rsidR="00C54BE0" w:rsidRDefault="00D677D7">
      <w:pPr>
        <w:pStyle w:val="TOC2"/>
        <w:rPr>
          <w:rFonts w:asciiTheme="minorHAnsi" w:eastAsiaTheme="minorEastAsia" w:hAnsiTheme="minorHAnsi" w:cstheme="minorBidi"/>
          <w:b w:val="0"/>
          <w:smallCaps w:val="0"/>
          <w:sz w:val="22"/>
          <w:lang w:eastAsia="hu-HU"/>
        </w:rPr>
      </w:pPr>
      <w:hyperlink w:anchor="_Toc116039935" w:history="1">
        <w:r w:rsidR="00C54BE0" w:rsidRPr="00112933">
          <w:rPr>
            <w:rStyle w:val="Hyperlink"/>
            <w:rFonts w:ascii="Times New Roman" w:hAnsi="Times New Roman"/>
          </w:rPr>
          <w:t>3.4.1.1.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_Toc116039935 \h </w:instrText>
        </w:r>
        <w:r w:rsidR="00C54BE0">
          <w:rPr>
            <w:webHidden/>
          </w:rPr>
        </w:r>
        <w:r w:rsidR="00C54BE0">
          <w:rPr>
            <w:webHidden/>
          </w:rPr>
          <w:fldChar w:fldCharType="separate"/>
        </w:r>
        <w:r>
          <w:rPr>
            <w:webHidden/>
          </w:rPr>
          <w:t>125</w:t>
        </w:r>
        <w:r w:rsidR="00C54BE0">
          <w:rPr>
            <w:webHidden/>
          </w:rPr>
          <w:fldChar w:fldCharType="end"/>
        </w:r>
      </w:hyperlink>
    </w:p>
    <w:p w14:paraId="093D03BE" w14:textId="071DC019" w:rsidR="00C54BE0" w:rsidRDefault="00D677D7">
      <w:pPr>
        <w:pStyle w:val="TOC2"/>
        <w:rPr>
          <w:rFonts w:asciiTheme="minorHAnsi" w:eastAsiaTheme="minorEastAsia" w:hAnsiTheme="minorHAnsi" w:cstheme="minorBidi"/>
          <w:b w:val="0"/>
          <w:smallCaps w:val="0"/>
          <w:sz w:val="22"/>
          <w:lang w:eastAsia="hu-HU"/>
        </w:rPr>
      </w:pPr>
      <w:hyperlink w:anchor="_Toc116039936" w:history="1">
        <w:r w:rsidR="00C54BE0" w:rsidRPr="00112933">
          <w:rPr>
            <w:rStyle w:val="Hyperlink"/>
            <w:rFonts w:ascii="Times New Roman" w:hAnsi="Times New Roman"/>
          </w:rPr>
          <w:t>3.4.2.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09.02 – Kitettségek földrajzi bontása a kötelezett illetősége szerint: IRB-kitettségek (CR GB 2)</w:t>
        </w:r>
        <w:r w:rsidR="00C54BE0">
          <w:rPr>
            <w:webHidden/>
          </w:rPr>
          <w:tab/>
        </w:r>
        <w:r w:rsidR="00C54BE0">
          <w:rPr>
            <w:webHidden/>
          </w:rPr>
          <w:fldChar w:fldCharType="begin"/>
        </w:r>
        <w:r w:rsidR="00C54BE0">
          <w:rPr>
            <w:webHidden/>
          </w:rPr>
          <w:instrText xml:space="preserve"> PAGEREF _Toc116039936 \h </w:instrText>
        </w:r>
        <w:r w:rsidR="00C54BE0">
          <w:rPr>
            <w:webHidden/>
          </w:rPr>
        </w:r>
        <w:r w:rsidR="00C54BE0">
          <w:rPr>
            <w:webHidden/>
          </w:rPr>
          <w:fldChar w:fldCharType="separate"/>
        </w:r>
        <w:r>
          <w:rPr>
            <w:webHidden/>
          </w:rPr>
          <w:t>129</w:t>
        </w:r>
        <w:r w:rsidR="00C54BE0">
          <w:rPr>
            <w:webHidden/>
          </w:rPr>
          <w:fldChar w:fldCharType="end"/>
        </w:r>
      </w:hyperlink>
    </w:p>
    <w:p w14:paraId="04C540CE" w14:textId="1373CB21" w:rsidR="00C54BE0" w:rsidRDefault="00D677D7">
      <w:pPr>
        <w:pStyle w:val="TOC2"/>
        <w:rPr>
          <w:rFonts w:asciiTheme="minorHAnsi" w:eastAsiaTheme="minorEastAsia" w:hAnsiTheme="minorHAnsi" w:cstheme="minorBidi"/>
          <w:b w:val="0"/>
          <w:smallCaps w:val="0"/>
          <w:sz w:val="22"/>
          <w:lang w:eastAsia="hu-HU"/>
        </w:rPr>
      </w:pPr>
      <w:hyperlink w:anchor="_Toc116039937" w:history="1">
        <w:r w:rsidR="00C54BE0" w:rsidRPr="00112933">
          <w:rPr>
            <w:rStyle w:val="Hyperlink"/>
            <w:rFonts w:ascii="Times New Roman" w:hAnsi="Times New Roman"/>
          </w:rPr>
          <w:t>3.4.2.1.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_Toc116039937 \h </w:instrText>
        </w:r>
        <w:r w:rsidR="00C54BE0">
          <w:rPr>
            <w:webHidden/>
          </w:rPr>
        </w:r>
        <w:r w:rsidR="00C54BE0">
          <w:rPr>
            <w:webHidden/>
          </w:rPr>
          <w:fldChar w:fldCharType="separate"/>
        </w:r>
        <w:r>
          <w:rPr>
            <w:webHidden/>
          </w:rPr>
          <w:t>129</w:t>
        </w:r>
        <w:r w:rsidR="00C54BE0">
          <w:rPr>
            <w:webHidden/>
          </w:rPr>
          <w:fldChar w:fldCharType="end"/>
        </w:r>
      </w:hyperlink>
    </w:p>
    <w:p w14:paraId="1E53DBD4" w14:textId="7F52411C" w:rsidR="00C54BE0" w:rsidRDefault="00D677D7">
      <w:pPr>
        <w:pStyle w:val="TOC2"/>
        <w:rPr>
          <w:rFonts w:asciiTheme="minorHAnsi" w:eastAsiaTheme="minorEastAsia" w:hAnsiTheme="minorHAnsi" w:cstheme="minorBidi"/>
          <w:b w:val="0"/>
          <w:smallCaps w:val="0"/>
          <w:sz w:val="22"/>
          <w:lang w:eastAsia="hu-HU"/>
        </w:rPr>
      </w:pPr>
      <w:hyperlink w:anchor="_Toc116039938" w:history="1">
        <w:r w:rsidR="00C54BE0" w:rsidRPr="00112933">
          <w:rPr>
            <w:rStyle w:val="Hyperlink"/>
            <w:rFonts w:ascii="Times New Roman" w:hAnsi="Times New Roman"/>
          </w:rPr>
          <w:t>3.4.3.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09.04 – A lényeges hitelkockázati kitettségek országonkénti bontása az anticiklikus tőkepuffer és az intézményspecifikus anticiklikus tőkepuffer kiszámításához (CCB)</w:t>
        </w:r>
        <w:r w:rsidR="00C54BE0">
          <w:rPr>
            <w:webHidden/>
          </w:rPr>
          <w:tab/>
        </w:r>
        <w:r w:rsidR="00C54BE0">
          <w:rPr>
            <w:webHidden/>
          </w:rPr>
          <w:fldChar w:fldCharType="begin"/>
        </w:r>
        <w:r w:rsidR="00C54BE0">
          <w:rPr>
            <w:webHidden/>
          </w:rPr>
          <w:instrText xml:space="preserve"> PAGEREF _Toc116039938 \h </w:instrText>
        </w:r>
        <w:r w:rsidR="00C54BE0">
          <w:rPr>
            <w:webHidden/>
          </w:rPr>
        </w:r>
        <w:r w:rsidR="00C54BE0">
          <w:rPr>
            <w:webHidden/>
          </w:rPr>
          <w:fldChar w:fldCharType="separate"/>
        </w:r>
        <w:r>
          <w:rPr>
            <w:webHidden/>
          </w:rPr>
          <w:t>132</w:t>
        </w:r>
        <w:r w:rsidR="00C54BE0">
          <w:rPr>
            <w:webHidden/>
          </w:rPr>
          <w:fldChar w:fldCharType="end"/>
        </w:r>
      </w:hyperlink>
    </w:p>
    <w:p w14:paraId="12252850" w14:textId="6B70490C" w:rsidR="00C54BE0" w:rsidRDefault="00D677D7">
      <w:pPr>
        <w:pStyle w:val="TOC2"/>
        <w:rPr>
          <w:rFonts w:asciiTheme="minorHAnsi" w:eastAsiaTheme="minorEastAsia" w:hAnsiTheme="minorHAnsi" w:cstheme="minorBidi"/>
          <w:b w:val="0"/>
          <w:smallCaps w:val="0"/>
          <w:sz w:val="22"/>
          <w:lang w:eastAsia="hu-HU"/>
        </w:rPr>
      </w:pPr>
      <w:hyperlink w:anchor="_Toc116039939" w:history="1">
        <w:r w:rsidR="00C54BE0" w:rsidRPr="00112933">
          <w:rPr>
            <w:rStyle w:val="Hyperlink"/>
            <w:rFonts w:ascii="Times New Roman" w:hAnsi="Times New Roman"/>
          </w:rPr>
          <w:t>3.4.3.1.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_Toc116039939 \h </w:instrText>
        </w:r>
        <w:r w:rsidR="00C54BE0">
          <w:rPr>
            <w:webHidden/>
          </w:rPr>
        </w:r>
        <w:r w:rsidR="00C54BE0">
          <w:rPr>
            <w:webHidden/>
          </w:rPr>
          <w:fldChar w:fldCharType="separate"/>
        </w:r>
        <w:r>
          <w:rPr>
            <w:webHidden/>
          </w:rPr>
          <w:t>132</w:t>
        </w:r>
        <w:r w:rsidR="00C54BE0">
          <w:rPr>
            <w:webHidden/>
          </w:rPr>
          <w:fldChar w:fldCharType="end"/>
        </w:r>
      </w:hyperlink>
    </w:p>
    <w:p w14:paraId="368845CD" w14:textId="587F4B76" w:rsidR="00C54BE0" w:rsidRDefault="00D677D7">
      <w:pPr>
        <w:pStyle w:val="TOC2"/>
        <w:rPr>
          <w:rFonts w:asciiTheme="minorHAnsi" w:eastAsiaTheme="minorEastAsia" w:hAnsiTheme="minorHAnsi" w:cstheme="minorBidi"/>
          <w:b w:val="0"/>
          <w:smallCaps w:val="0"/>
          <w:sz w:val="22"/>
          <w:lang w:eastAsia="hu-HU"/>
        </w:rPr>
      </w:pPr>
      <w:hyperlink w:anchor="_Toc116039940" w:history="1">
        <w:r w:rsidR="00C54BE0" w:rsidRPr="00112933">
          <w:rPr>
            <w:rStyle w:val="Hyperlink"/>
            <w:rFonts w:ascii="Times New Roman" w:hAnsi="Times New Roman"/>
          </w:rPr>
          <w:t>3.4.3.2.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egyes pozíciókra vonatkozó útmutató</w:t>
        </w:r>
        <w:r w:rsidR="00C54BE0">
          <w:rPr>
            <w:webHidden/>
          </w:rPr>
          <w:tab/>
        </w:r>
        <w:r w:rsidR="00C54BE0">
          <w:rPr>
            <w:webHidden/>
          </w:rPr>
          <w:fldChar w:fldCharType="begin"/>
        </w:r>
        <w:r w:rsidR="00C54BE0">
          <w:rPr>
            <w:webHidden/>
          </w:rPr>
          <w:instrText xml:space="preserve"> PAGEREF _Toc116039940 \h </w:instrText>
        </w:r>
        <w:r w:rsidR="00C54BE0">
          <w:rPr>
            <w:webHidden/>
          </w:rPr>
        </w:r>
        <w:r w:rsidR="00C54BE0">
          <w:rPr>
            <w:webHidden/>
          </w:rPr>
          <w:fldChar w:fldCharType="separate"/>
        </w:r>
        <w:r>
          <w:rPr>
            <w:webHidden/>
          </w:rPr>
          <w:t>132</w:t>
        </w:r>
        <w:r w:rsidR="00C54BE0">
          <w:rPr>
            <w:webHidden/>
          </w:rPr>
          <w:fldChar w:fldCharType="end"/>
        </w:r>
      </w:hyperlink>
    </w:p>
    <w:p w14:paraId="24EAA0EA" w14:textId="5CAB7D3F" w:rsidR="00C54BE0" w:rsidRDefault="00D677D7">
      <w:pPr>
        <w:pStyle w:val="TOC2"/>
        <w:rPr>
          <w:rFonts w:asciiTheme="minorHAnsi" w:eastAsiaTheme="minorEastAsia" w:hAnsiTheme="minorHAnsi" w:cstheme="minorBidi"/>
          <w:b w:val="0"/>
          <w:smallCaps w:val="0"/>
          <w:sz w:val="22"/>
          <w:lang w:eastAsia="hu-HU"/>
        </w:rPr>
      </w:pPr>
      <w:hyperlink w:anchor="_Toc116039941" w:history="1">
        <w:r w:rsidR="00C54BE0" w:rsidRPr="00112933">
          <w:rPr>
            <w:rStyle w:val="Hyperlink"/>
            <w:rFonts w:ascii="Times New Roman" w:hAnsi="Times New Roman"/>
          </w:rPr>
          <w:t>3.5.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10.01 és C 10.02 – A belső minősítésen alapuló módszer szerinti részvényjellegű kitettségek (CR EQU IRB 1 és CR EQU IRB 2)</w:t>
        </w:r>
        <w:r w:rsidR="00C54BE0">
          <w:rPr>
            <w:webHidden/>
          </w:rPr>
          <w:tab/>
        </w:r>
        <w:r w:rsidR="00C54BE0">
          <w:rPr>
            <w:webHidden/>
          </w:rPr>
          <w:fldChar w:fldCharType="begin"/>
        </w:r>
        <w:r w:rsidR="00C54BE0">
          <w:rPr>
            <w:webHidden/>
          </w:rPr>
          <w:instrText xml:space="preserve"> PAGEREF _Toc116039941 \h </w:instrText>
        </w:r>
        <w:r w:rsidR="00C54BE0">
          <w:rPr>
            <w:webHidden/>
          </w:rPr>
        </w:r>
        <w:r w:rsidR="00C54BE0">
          <w:rPr>
            <w:webHidden/>
          </w:rPr>
          <w:fldChar w:fldCharType="separate"/>
        </w:r>
        <w:r>
          <w:rPr>
            <w:webHidden/>
          </w:rPr>
          <w:t>137</w:t>
        </w:r>
        <w:r w:rsidR="00C54BE0">
          <w:rPr>
            <w:webHidden/>
          </w:rPr>
          <w:fldChar w:fldCharType="end"/>
        </w:r>
      </w:hyperlink>
    </w:p>
    <w:p w14:paraId="582C09DF" w14:textId="28574404" w:rsidR="00C54BE0" w:rsidRDefault="00D677D7">
      <w:pPr>
        <w:pStyle w:val="TOC2"/>
        <w:rPr>
          <w:rFonts w:asciiTheme="minorHAnsi" w:eastAsiaTheme="minorEastAsia" w:hAnsiTheme="minorHAnsi" w:cstheme="minorBidi"/>
          <w:b w:val="0"/>
          <w:smallCaps w:val="0"/>
          <w:sz w:val="22"/>
          <w:lang w:eastAsia="hu-HU"/>
        </w:rPr>
      </w:pPr>
      <w:hyperlink w:anchor="_Toc116039942" w:history="1">
        <w:r w:rsidR="00C54BE0" w:rsidRPr="00112933">
          <w:rPr>
            <w:rStyle w:val="Hyperlink"/>
            <w:rFonts w:ascii="Times New Roman" w:hAnsi="Times New Roman"/>
          </w:rPr>
          <w:t>3.5.1.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_Toc116039942 \h </w:instrText>
        </w:r>
        <w:r w:rsidR="00C54BE0">
          <w:rPr>
            <w:webHidden/>
          </w:rPr>
        </w:r>
        <w:r w:rsidR="00C54BE0">
          <w:rPr>
            <w:webHidden/>
          </w:rPr>
          <w:fldChar w:fldCharType="separate"/>
        </w:r>
        <w:r>
          <w:rPr>
            <w:webHidden/>
          </w:rPr>
          <w:t>137</w:t>
        </w:r>
        <w:r w:rsidR="00C54BE0">
          <w:rPr>
            <w:webHidden/>
          </w:rPr>
          <w:fldChar w:fldCharType="end"/>
        </w:r>
      </w:hyperlink>
    </w:p>
    <w:p w14:paraId="2C839A30" w14:textId="204E812D" w:rsidR="00C54BE0" w:rsidRDefault="00D677D7">
      <w:pPr>
        <w:pStyle w:val="TOC2"/>
        <w:rPr>
          <w:rFonts w:asciiTheme="minorHAnsi" w:eastAsiaTheme="minorEastAsia" w:hAnsiTheme="minorHAnsi" w:cstheme="minorBidi"/>
          <w:b w:val="0"/>
          <w:smallCaps w:val="0"/>
          <w:sz w:val="22"/>
          <w:lang w:eastAsia="hu-HU"/>
        </w:rPr>
      </w:pPr>
      <w:hyperlink w:anchor="_Toc116039943" w:history="1">
        <w:r w:rsidR="00C54BE0" w:rsidRPr="00112933">
          <w:rPr>
            <w:rStyle w:val="Hyperlink"/>
            <w:rFonts w:ascii="Times New Roman" w:hAnsi="Times New Roman"/>
          </w:rPr>
          <w:t>3.5.2.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 (mind a CR EQU IRB 1, mind a CR EQU IRB 2 táblára alkalmazandó)</w:t>
        </w:r>
        <w:r w:rsidR="00C54BE0">
          <w:rPr>
            <w:webHidden/>
          </w:rPr>
          <w:tab/>
        </w:r>
        <w:r w:rsidR="00C54BE0">
          <w:rPr>
            <w:webHidden/>
          </w:rPr>
          <w:fldChar w:fldCharType="begin"/>
        </w:r>
        <w:r w:rsidR="00C54BE0">
          <w:rPr>
            <w:webHidden/>
          </w:rPr>
          <w:instrText xml:space="preserve"> PAGEREF _Toc116039943 \h </w:instrText>
        </w:r>
        <w:r w:rsidR="00C54BE0">
          <w:rPr>
            <w:webHidden/>
          </w:rPr>
        </w:r>
        <w:r w:rsidR="00C54BE0">
          <w:rPr>
            <w:webHidden/>
          </w:rPr>
          <w:fldChar w:fldCharType="separate"/>
        </w:r>
        <w:r>
          <w:rPr>
            <w:webHidden/>
          </w:rPr>
          <w:t>139</w:t>
        </w:r>
        <w:r w:rsidR="00C54BE0">
          <w:rPr>
            <w:webHidden/>
          </w:rPr>
          <w:fldChar w:fldCharType="end"/>
        </w:r>
      </w:hyperlink>
    </w:p>
    <w:p w14:paraId="4FBEE5AC" w14:textId="49C61BC1" w:rsidR="00C54BE0" w:rsidRDefault="00D677D7">
      <w:pPr>
        <w:pStyle w:val="TOC2"/>
        <w:rPr>
          <w:rFonts w:asciiTheme="minorHAnsi" w:eastAsiaTheme="minorEastAsia" w:hAnsiTheme="minorHAnsi" w:cstheme="minorBidi"/>
          <w:b w:val="0"/>
          <w:smallCaps w:val="0"/>
          <w:sz w:val="22"/>
          <w:lang w:eastAsia="hu-HU"/>
        </w:rPr>
      </w:pPr>
      <w:hyperlink w:anchor="_Toc116039944" w:history="1">
        <w:r w:rsidR="00C54BE0" w:rsidRPr="00112933">
          <w:rPr>
            <w:rStyle w:val="Hyperlink"/>
            <w:rFonts w:ascii="Times New Roman" w:hAnsi="Times New Roman"/>
          </w:rPr>
          <w:t>3.6.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11.00 – Kiegyenlítési/teljesítési kockázat</w:t>
        </w:r>
        <w:r w:rsidR="00C54BE0" w:rsidRPr="00112933">
          <w:rPr>
            <w:rStyle w:val="Hyperlink"/>
          </w:rPr>
          <w:t xml:space="preserve"> </w:t>
        </w:r>
        <w:r w:rsidR="00C54BE0" w:rsidRPr="00112933">
          <w:rPr>
            <w:rStyle w:val="Hyperlink"/>
            <w:rFonts w:ascii="Times New Roman" w:hAnsi="Times New Roman"/>
          </w:rPr>
          <w:t>(CR SETT)</w:t>
        </w:r>
        <w:r w:rsidR="00C54BE0">
          <w:rPr>
            <w:webHidden/>
          </w:rPr>
          <w:tab/>
        </w:r>
        <w:r w:rsidR="00C54BE0">
          <w:rPr>
            <w:webHidden/>
          </w:rPr>
          <w:fldChar w:fldCharType="begin"/>
        </w:r>
        <w:r w:rsidR="00C54BE0">
          <w:rPr>
            <w:webHidden/>
          </w:rPr>
          <w:instrText xml:space="preserve"> PAGEREF _Toc116039944 \h </w:instrText>
        </w:r>
        <w:r w:rsidR="00C54BE0">
          <w:rPr>
            <w:webHidden/>
          </w:rPr>
        </w:r>
        <w:r w:rsidR="00C54BE0">
          <w:rPr>
            <w:webHidden/>
          </w:rPr>
          <w:fldChar w:fldCharType="separate"/>
        </w:r>
        <w:r>
          <w:rPr>
            <w:webHidden/>
          </w:rPr>
          <w:t>143</w:t>
        </w:r>
        <w:r w:rsidR="00C54BE0">
          <w:rPr>
            <w:webHidden/>
          </w:rPr>
          <w:fldChar w:fldCharType="end"/>
        </w:r>
      </w:hyperlink>
    </w:p>
    <w:p w14:paraId="697DE733" w14:textId="50D1EB62" w:rsidR="00C54BE0" w:rsidRDefault="00D677D7">
      <w:pPr>
        <w:pStyle w:val="TOC2"/>
        <w:rPr>
          <w:rFonts w:asciiTheme="minorHAnsi" w:eastAsiaTheme="minorEastAsia" w:hAnsiTheme="minorHAnsi" w:cstheme="minorBidi"/>
          <w:b w:val="0"/>
          <w:smallCaps w:val="0"/>
          <w:sz w:val="22"/>
          <w:lang w:eastAsia="hu-HU"/>
        </w:rPr>
      </w:pPr>
      <w:hyperlink w:anchor="_Toc116039945" w:history="1">
        <w:r w:rsidR="00C54BE0" w:rsidRPr="00112933">
          <w:rPr>
            <w:rStyle w:val="Hyperlink"/>
            <w:rFonts w:ascii="Times New Roman" w:hAnsi="Times New Roman"/>
          </w:rPr>
          <w:t>3.6.1.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_Toc116039945 \h </w:instrText>
        </w:r>
        <w:r w:rsidR="00C54BE0">
          <w:rPr>
            <w:webHidden/>
          </w:rPr>
        </w:r>
        <w:r w:rsidR="00C54BE0">
          <w:rPr>
            <w:webHidden/>
          </w:rPr>
          <w:fldChar w:fldCharType="separate"/>
        </w:r>
        <w:r>
          <w:rPr>
            <w:webHidden/>
          </w:rPr>
          <w:t>143</w:t>
        </w:r>
        <w:r w:rsidR="00C54BE0">
          <w:rPr>
            <w:webHidden/>
          </w:rPr>
          <w:fldChar w:fldCharType="end"/>
        </w:r>
      </w:hyperlink>
    </w:p>
    <w:p w14:paraId="1E1B8910" w14:textId="1143A874" w:rsidR="00C54BE0" w:rsidRDefault="00D677D7">
      <w:pPr>
        <w:pStyle w:val="TOC2"/>
        <w:rPr>
          <w:rFonts w:asciiTheme="minorHAnsi" w:eastAsiaTheme="minorEastAsia" w:hAnsiTheme="minorHAnsi" w:cstheme="minorBidi"/>
          <w:b w:val="0"/>
          <w:smallCaps w:val="0"/>
          <w:sz w:val="22"/>
          <w:lang w:eastAsia="hu-HU"/>
        </w:rPr>
      </w:pPr>
      <w:hyperlink w:anchor="_Toc116039946" w:history="1">
        <w:r w:rsidR="00C54BE0" w:rsidRPr="00112933">
          <w:rPr>
            <w:rStyle w:val="Hyperlink"/>
            <w:rFonts w:ascii="Times New Roman" w:hAnsi="Times New Roman"/>
          </w:rPr>
          <w:t>3.6.2.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_Toc116039946 \h </w:instrText>
        </w:r>
        <w:r w:rsidR="00C54BE0">
          <w:rPr>
            <w:webHidden/>
          </w:rPr>
        </w:r>
        <w:r w:rsidR="00C54BE0">
          <w:rPr>
            <w:webHidden/>
          </w:rPr>
          <w:fldChar w:fldCharType="separate"/>
        </w:r>
        <w:r>
          <w:rPr>
            <w:webHidden/>
          </w:rPr>
          <w:t>143</w:t>
        </w:r>
        <w:r w:rsidR="00C54BE0">
          <w:rPr>
            <w:webHidden/>
          </w:rPr>
          <w:fldChar w:fldCharType="end"/>
        </w:r>
      </w:hyperlink>
    </w:p>
    <w:p w14:paraId="2165F61E" w14:textId="3660FFA7" w:rsidR="00C54BE0" w:rsidRDefault="00D677D7">
      <w:pPr>
        <w:pStyle w:val="TOC2"/>
        <w:rPr>
          <w:rFonts w:asciiTheme="minorHAnsi" w:eastAsiaTheme="minorEastAsia" w:hAnsiTheme="minorHAnsi" w:cstheme="minorBidi"/>
          <w:b w:val="0"/>
          <w:smallCaps w:val="0"/>
          <w:sz w:val="22"/>
          <w:lang w:eastAsia="hu-HU"/>
        </w:rPr>
      </w:pPr>
      <w:hyperlink w:anchor="_Toc116039947" w:history="1">
        <w:r w:rsidR="00C54BE0" w:rsidRPr="00112933">
          <w:rPr>
            <w:rStyle w:val="Hyperlink"/>
            <w:rFonts w:ascii="Times New Roman" w:hAnsi="Times New Roman"/>
          </w:rPr>
          <w:t>3.7.</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13.01 – Hitelkockázat – Értékpapírosítás (CR SEC)</w:t>
        </w:r>
        <w:r w:rsidR="00C54BE0">
          <w:rPr>
            <w:webHidden/>
          </w:rPr>
          <w:tab/>
        </w:r>
        <w:r w:rsidR="00C54BE0">
          <w:rPr>
            <w:webHidden/>
          </w:rPr>
          <w:fldChar w:fldCharType="begin"/>
        </w:r>
        <w:r w:rsidR="00C54BE0">
          <w:rPr>
            <w:webHidden/>
          </w:rPr>
          <w:instrText xml:space="preserve"> PAGEREF _Toc116039947 \h </w:instrText>
        </w:r>
        <w:r w:rsidR="00C54BE0">
          <w:rPr>
            <w:webHidden/>
          </w:rPr>
        </w:r>
        <w:r w:rsidR="00C54BE0">
          <w:rPr>
            <w:webHidden/>
          </w:rPr>
          <w:fldChar w:fldCharType="separate"/>
        </w:r>
        <w:r>
          <w:rPr>
            <w:webHidden/>
          </w:rPr>
          <w:t>147</w:t>
        </w:r>
        <w:r w:rsidR="00C54BE0">
          <w:rPr>
            <w:webHidden/>
          </w:rPr>
          <w:fldChar w:fldCharType="end"/>
        </w:r>
      </w:hyperlink>
    </w:p>
    <w:p w14:paraId="5F9FA56D" w14:textId="5E09FC5B" w:rsidR="00C54BE0" w:rsidRDefault="00D677D7">
      <w:pPr>
        <w:pStyle w:val="TOC2"/>
        <w:rPr>
          <w:rFonts w:asciiTheme="minorHAnsi" w:eastAsiaTheme="minorEastAsia" w:hAnsiTheme="minorHAnsi" w:cstheme="minorBidi"/>
          <w:b w:val="0"/>
          <w:smallCaps w:val="0"/>
          <w:sz w:val="22"/>
          <w:lang w:eastAsia="hu-HU"/>
        </w:rPr>
      </w:pPr>
      <w:hyperlink w:anchor="_Toc116039948" w:history="1">
        <w:r w:rsidR="00C54BE0" w:rsidRPr="00112933">
          <w:rPr>
            <w:rStyle w:val="Hyperlink"/>
            <w:rFonts w:ascii="Times New Roman" w:hAnsi="Times New Roman"/>
          </w:rPr>
          <w:t>3.7.1.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_Toc116039948 \h </w:instrText>
        </w:r>
        <w:r w:rsidR="00C54BE0">
          <w:rPr>
            <w:webHidden/>
          </w:rPr>
        </w:r>
        <w:r w:rsidR="00C54BE0">
          <w:rPr>
            <w:webHidden/>
          </w:rPr>
          <w:fldChar w:fldCharType="separate"/>
        </w:r>
        <w:r>
          <w:rPr>
            <w:webHidden/>
          </w:rPr>
          <w:t>147</w:t>
        </w:r>
        <w:r w:rsidR="00C54BE0">
          <w:rPr>
            <w:webHidden/>
          </w:rPr>
          <w:fldChar w:fldCharType="end"/>
        </w:r>
      </w:hyperlink>
    </w:p>
    <w:p w14:paraId="0A9A4036" w14:textId="0A6D988A" w:rsidR="00C54BE0" w:rsidRDefault="00D677D7">
      <w:pPr>
        <w:pStyle w:val="TOC2"/>
        <w:rPr>
          <w:rFonts w:asciiTheme="minorHAnsi" w:eastAsiaTheme="minorEastAsia" w:hAnsiTheme="minorHAnsi" w:cstheme="minorBidi"/>
          <w:b w:val="0"/>
          <w:smallCaps w:val="0"/>
          <w:sz w:val="22"/>
          <w:lang w:eastAsia="hu-HU"/>
        </w:rPr>
      </w:pPr>
      <w:hyperlink w:anchor="_Toc116039949" w:history="1">
        <w:r w:rsidR="00C54BE0" w:rsidRPr="00112933">
          <w:rPr>
            <w:rStyle w:val="Hyperlink"/>
            <w:rFonts w:ascii="Times New Roman" w:hAnsi="Times New Roman"/>
          </w:rPr>
          <w:t>3.7.2.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_Toc116039949 \h </w:instrText>
        </w:r>
        <w:r w:rsidR="00C54BE0">
          <w:rPr>
            <w:webHidden/>
          </w:rPr>
        </w:r>
        <w:r w:rsidR="00C54BE0">
          <w:rPr>
            <w:webHidden/>
          </w:rPr>
          <w:fldChar w:fldCharType="separate"/>
        </w:r>
        <w:r>
          <w:rPr>
            <w:webHidden/>
          </w:rPr>
          <w:t>147</w:t>
        </w:r>
        <w:r w:rsidR="00C54BE0">
          <w:rPr>
            <w:webHidden/>
          </w:rPr>
          <w:fldChar w:fldCharType="end"/>
        </w:r>
      </w:hyperlink>
    </w:p>
    <w:p w14:paraId="5A9E0386" w14:textId="18DD24A1" w:rsidR="00C54BE0" w:rsidRDefault="00D677D7">
      <w:pPr>
        <w:pStyle w:val="TOC2"/>
        <w:rPr>
          <w:rFonts w:asciiTheme="minorHAnsi" w:eastAsiaTheme="minorEastAsia" w:hAnsiTheme="minorHAnsi" w:cstheme="minorBidi"/>
          <w:b w:val="0"/>
          <w:smallCaps w:val="0"/>
          <w:sz w:val="22"/>
          <w:lang w:eastAsia="hu-HU"/>
        </w:rPr>
      </w:pPr>
      <w:hyperlink w:anchor="_Toc116039950" w:history="1">
        <w:r w:rsidR="00C54BE0" w:rsidRPr="00112933">
          <w:rPr>
            <w:rStyle w:val="Hyperlink"/>
            <w:rFonts w:ascii="Times New Roman" w:hAnsi="Times New Roman"/>
          </w:rPr>
          <w:t>3.8.</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értékpapírosítással kapcsolatos részletes információk</w:t>
        </w:r>
        <w:r w:rsidR="00C54BE0" w:rsidRPr="00112933">
          <w:rPr>
            <w:rStyle w:val="Hyperlink"/>
          </w:rPr>
          <w:t xml:space="preserve"> </w:t>
        </w:r>
        <w:r w:rsidR="00C54BE0" w:rsidRPr="00112933">
          <w:rPr>
            <w:rStyle w:val="Hyperlink"/>
            <w:rFonts w:ascii="Times New Roman" w:hAnsi="Times New Roman"/>
          </w:rPr>
          <w:t>(SEC DETAILS)</w:t>
        </w:r>
        <w:r w:rsidR="00C54BE0">
          <w:rPr>
            <w:webHidden/>
          </w:rPr>
          <w:tab/>
        </w:r>
        <w:r w:rsidR="00C54BE0">
          <w:rPr>
            <w:webHidden/>
          </w:rPr>
          <w:fldChar w:fldCharType="begin"/>
        </w:r>
        <w:r w:rsidR="00C54BE0">
          <w:rPr>
            <w:webHidden/>
          </w:rPr>
          <w:instrText xml:space="preserve"> PAGEREF _Toc116039950 \h </w:instrText>
        </w:r>
        <w:r w:rsidR="00C54BE0">
          <w:rPr>
            <w:webHidden/>
          </w:rPr>
        </w:r>
        <w:r w:rsidR="00C54BE0">
          <w:rPr>
            <w:webHidden/>
          </w:rPr>
          <w:fldChar w:fldCharType="separate"/>
        </w:r>
        <w:r>
          <w:rPr>
            <w:webHidden/>
          </w:rPr>
          <w:t>161</w:t>
        </w:r>
        <w:r w:rsidR="00C54BE0">
          <w:rPr>
            <w:webHidden/>
          </w:rPr>
          <w:fldChar w:fldCharType="end"/>
        </w:r>
      </w:hyperlink>
    </w:p>
    <w:p w14:paraId="7AFA1673" w14:textId="0347D109" w:rsidR="00C54BE0" w:rsidRDefault="00D677D7">
      <w:pPr>
        <w:pStyle w:val="TOC2"/>
        <w:rPr>
          <w:rFonts w:asciiTheme="minorHAnsi" w:eastAsiaTheme="minorEastAsia" w:hAnsiTheme="minorHAnsi" w:cstheme="minorBidi"/>
          <w:b w:val="0"/>
          <w:smallCaps w:val="0"/>
          <w:sz w:val="22"/>
          <w:lang w:eastAsia="hu-HU"/>
        </w:rPr>
      </w:pPr>
      <w:hyperlink w:anchor="_Toc116039951" w:history="1">
        <w:r w:rsidR="00C54BE0" w:rsidRPr="00112933">
          <w:rPr>
            <w:rStyle w:val="Hyperlink"/>
            <w:rFonts w:ascii="Times New Roman" w:hAnsi="Times New Roman"/>
          </w:rPr>
          <w:t>3.8.1.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SEC DETAILS tábla alkalmazási köre</w:t>
        </w:r>
        <w:r w:rsidR="00C54BE0">
          <w:rPr>
            <w:webHidden/>
          </w:rPr>
          <w:tab/>
        </w:r>
        <w:r w:rsidR="00C54BE0">
          <w:rPr>
            <w:webHidden/>
          </w:rPr>
          <w:fldChar w:fldCharType="begin"/>
        </w:r>
        <w:r w:rsidR="00C54BE0">
          <w:rPr>
            <w:webHidden/>
          </w:rPr>
          <w:instrText xml:space="preserve"> PAGEREF _Toc116039951 \h </w:instrText>
        </w:r>
        <w:r w:rsidR="00C54BE0">
          <w:rPr>
            <w:webHidden/>
          </w:rPr>
        </w:r>
        <w:r w:rsidR="00C54BE0">
          <w:rPr>
            <w:webHidden/>
          </w:rPr>
          <w:fldChar w:fldCharType="separate"/>
        </w:r>
        <w:r>
          <w:rPr>
            <w:webHidden/>
          </w:rPr>
          <w:t>161</w:t>
        </w:r>
        <w:r w:rsidR="00C54BE0">
          <w:rPr>
            <w:webHidden/>
          </w:rPr>
          <w:fldChar w:fldCharType="end"/>
        </w:r>
      </w:hyperlink>
    </w:p>
    <w:p w14:paraId="673C33C2" w14:textId="3D1520C3" w:rsidR="00C54BE0" w:rsidRDefault="00D677D7">
      <w:pPr>
        <w:pStyle w:val="TOC2"/>
        <w:rPr>
          <w:rFonts w:asciiTheme="minorHAnsi" w:eastAsiaTheme="minorEastAsia" w:hAnsiTheme="minorHAnsi" w:cstheme="minorBidi"/>
          <w:b w:val="0"/>
          <w:smallCaps w:val="0"/>
          <w:sz w:val="22"/>
          <w:lang w:eastAsia="hu-HU"/>
        </w:rPr>
      </w:pPr>
      <w:hyperlink w:anchor="_Toc116039952" w:history="1">
        <w:r w:rsidR="00C54BE0" w:rsidRPr="00112933">
          <w:rPr>
            <w:rStyle w:val="Hyperlink"/>
            <w:rFonts w:ascii="Times New Roman" w:hAnsi="Times New Roman"/>
          </w:rPr>
          <w:t>3.8.2. A SEC DETAILS tábla bontása</w:t>
        </w:r>
        <w:r w:rsidR="00C54BE0">
          <w:rPr>
            <w:webHidden/>
          </w:rPr>
          <w:tab/>
        </w:r>
        <w:r w:rsidR="00C54BE0">
          <w:rPr>
            <w:webHidden/>
          </w:rPr>
          <w:fldChar w:fldCharType="begin"/>
        </w:r>
        <w:r w:rsidR="00C54BE0">
          <w:rPr>
            <w:webHidden/>
          </w:rPr>
          <w:instrText xml:space="preserve"> PAGEREF _Toc116039952 \h </w:instrText>
        </w:r>
        <w:r w:rsidR="00C54BE0">
          <w:rPr>
            <w:webHidden/>
          </w:rPr>
        </w:r>
        <w:r w:rsidR="00C54BE0">
          <w:rPr>
            <w:webHidden/>
          </w:rPr>
          <w:fldChar w:fldCharType="separate"/>
        </w:r>
        <w:r>
          <w:rPr>
            <w:webHidden/>
          </w:rPr>
          <w:t>162</w:t>
        </w:r>
        <w:r w:rsidR="00C54BE0">
          <w:rPr>
            <w:webHidden/>
          </w:rPr>
          <w:fldChar w:fldCharType="end"/>
        </w:r>
      </w:hyperlink>
    </w:p>
    <w:p w14:paraId="0B9A8E98" w14:textId="5EE9DA5D" w:rsidR="00C54BE0" w:rsidRDefault="00D677D7">
      <w:pPr>
        <w:pStyle w:val="TOC2"/>
        <w:rPr>
          <w:rFonts w:asciiTheme="minorHAnsi" w:eastAsiaTheme="minorEastAsia" w:hAnsiTheme="minorHAnsi" w:cstheme="minorBidi"/>
          <w:b w:val="0"/>
          <w:smallCaps w:val="0"/>
          <w:sz w:val="22"/>
          <w:lang w:eastAsia="hu-HU"/>
        </w:rPr>
      </w:pPr>
      <w:hyperlink w:anchor="_Toc116039953" w:history="1">
        <w:r w:rsidR="00C54BE0" w:rsidRPr="00112933">
          <w:rPr>
            <w:rStyle w:val="Hyperlink"/>
            <w:rFonts w:ascii="Times New Roman" w:hAnsi="Times New Roman"/>
          </w:rPr>
          <w:t>3.8.3. C 14.00 – Az értékpapírosítással kapcsolatos részletes információk (SEC DETAILS)</w:t>
        </w:r>
        <w:r w:rsidR="00C54BE0">
          <w:rPr>
            <w:webHidden/>
          </w:rPr>
          <w:tab/>
        </w:r>
        <w:r w:rsidR="00C54BE0">
          <w:rPr>
            <w:webHidden/>
          </w:rPr>
          <w:fldChar w:fldCharType="begin"/>
        </w:r>
        <w:r w:rsidR="00C54BE0">
          <w:rPr>
            <w:webHidden/>
          </w:rPr>
          <w:instrText xml:space="preserve"> PAGEREF _Toc116039953 \h </w:instrText>
        </w:r>
        <w:r w:rsidR="00C54BE0">
          <w:rPr>
            <w:webHidden/>
          </w:rPr>
        </w:r>
        <w:r w:rsidR="00C54BE0">
          <w:rPr>
            <w:webHidden/>
          </w:rPr>
          <w:fldChar w:fldCharType="separate"/>
        </w:r>
        <w:r>
          <w:rPr>
            <w:webHidden/>
          </w:rPr>
          <w:t>162</w:t>
        </w:r>
        <w:r w:rsidR="00C54BE0">
          <w:rPr>
            <w:webHidden/>
          </w:rPr>
          <w:fldChar w:fldCharType="end"/>
        </w:r>
      </w:hyperlink>
    </w:p>
    <w:p w14:paraId="435D0D06" w14:textId="2A0C5844" w:rsidR="00C54BE0" w:rsidRDefault="00D677D7">
      <w:pPr>
        <w:pStyle w:val="TOC2"/>
        <w:rPr>
          <w:rFonts w:asciiTheme="minorHAnsi" w:eastAsiaTheme="minorEastAsia" w:hAnsiTheme="minorHAnsi" w:cstheme="minorBidi"/>
          <w:b w:val="0"/>
          <w:smallCaps w:val="0"/>
          <w:sz w:val="22"/>
          <w:lang w:eastAsia="hu-HU"/>
        </w:rPr>
      </w:pPr>
      <w:hyperlink w:anchor="_Toc116039954" w:history="1">
        <w:r w:rsidR="00C54BE0" w:rsidRPr="00112933">
          <w:rPr>
            <w:rStyle w:val="Hyperlink"/>
            <w:rFonts w:ascii="Times New Roman" w:hAnsi="Times New Roman"/>
          </w:rPr>
          <w:t>3.8.4.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14.01 – Az értékpapírosítással kapcsolatos részletes információk (SEC DETAILS 2)</w:t>
        </w:r>
        <w:r w:rsidR="00C54BE0">
          <w:rPr>
            <w:webHidden/>
          </w:rPr>
          <w:tab/>
        </w:r>
        <w:r w:rsidR="00C54BE0">
          <w:rPr>
            <w:webHidden/>
          </w:rPr>
          <w:fldChar w:fldCharType="begin"/>
        </w:r>
        <w:r w:rsidR="00C54BE0">
          <w:rPr>
            <w:webHidden/>
          </w:rPr>
          <w:instrText xml:space="preserve"> PAGEREF _Toc116039954 \h </w:instrText>
        </w:r>
        <w:r w:rsidR="00C54BE0">
          <w:rPr>
            <w:webHidden/>
          </w:rPr>
        </w:r>
        <w:r w:rsidR="00C54BE0">
          <w:rPr>
            <w:webHidden/>
          </w:rPr>
          <w:fldChar w:fldCharType="separate"/>
        </w:r>
        <w:r>
          <w:rPr>
            <w:webHidden/>
          </w:rPr>
          <w:t>179</w:t>
        </w:r>
        <w:r w:rsidR="00C54BE0">
          <w:rPr>
            <w:webHidden/>
          </w:rPr>
          <w:fldChar w:fldCharType="end"/>
        </w:r>
      </w:hyperlink>
    </w:p>
    <w:p w14:paraId="63C974AC" w14:textId="592493C9" w:rsidR="00C54BE0" w:rsidRDefault="00D677D7">
      <w:pPr>
        <w:pStyle w:val="TOC2"/>
        <w:rPr>
          <w:rFonts w:asciiTheme="minorHAnsi" w:eastAsiaTheme="minorEastAsia" w:hAnsiTheme="minorHAnsi" w:cstheme="minorBidi"/>
          <w:b w:val="0"/>
          <w:smallCaps w:val="0"/>
          <w:sz w:val="22"/>
          <w:lang w:eastAsia="hu-HU"/>
        </w:rPr>
      </w:pPr>
      <w:hyperlink w:anchor="_Toc116039955" w:history="1">
        <w:r w:rsidR="00C54BE0" w:rsidRPr="00112933">
          <w:rPr>
            <w:rStyle w:val="Hyperlink"/>
            <w:rFonts w:ascii="Times New Roman" w:hAnsi="Times New Roman"/>
          </w:rPr>
          <w:t>3.9.</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Partnerkockázat</w:t>
        </w:r>
        <w:r w:rsidR="00C54BE0">
          <w:rPr>
            <w:webHidden/>
          </w:rPr>
          <w:tab/>
        </w:r>
        <w:r w:rsidR="00C54BE0">
          <w:rPr>
            <w:webHidden/>
          </w:rPr>
          <w:fldChar w:fldCharType="begin"/>
        </w:r>
        <w:r w:rsidR="00C54BE0">
          <w:rPr>
            <w:webHidden/>
          </w:rPr>
          <w:instrText xml:space="preserve"> PAGEREF _Toc116039955 \h </w:instrText>
        </w:r>
        <w:r w:rsidR="00C54BE0">
          <w:rPr>
            <w:webHidden/>
          </w:rPr>
        </w:r>
        <w:r w:rsidR="00C54BE0">
          <w:rPr>
            <w:webHidden/>
          </w:rPr>
          <w:fldChar w:fldCharType="separate"/>
        </w:r>
        <w:r>
          <w:rPr>
            <w:webHidden/>
          </w:rPr>
          <w:t>183</w:t>
        </w:r>
        <w:r w:rsidR="00C54BE0">
          <w:rPr>
            <w:webHidden/>
          </w:rPr>
          <w:fldChar w:fldCharType="end"/>
        </w:r>
      </w:hyperlink>
    </w:p>
    <w:p w14:paraId="428DCDFD" w14:textId="71B7BB89" w:rsidR="00C54BE0" w:rsidRDefault="00D677D7">
      <w:pPr>
        <w:pStyle w:val="TOC2"/>
        <w:rPr>
          <w:rFonts w:asciiTheme="minorHAnsi" w:eastAsiaTheme="minorEastAsia" w:hAnsiTheme="minorHAnsi" w:cstheme="minorBidi"/>
          <w:b w:val="0"/>
          <w:smallCaps w:val="0"/>
          <w:sz w:val="22"/>
          <w:lang w:eastAsia="hu-HU"/>
        </w:rPr>
      </w:pPr>
      <w:hyperlink w:anchor="_Toc116039956" w:history="1">
        <w:r w:rsidR="00C54BE0" w:rsidRPr="00112933">
          <w:rPr>
            <w:rStyle w:val="Hyperlink"/>
            <w:rFonts w:ascii="Times New Roman" w:hAnsi="Times New Roman"/>
          </w:rPr>
          <w:t>3.9.1.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partnerkockázati táblák alkalmazási köre</w:t>
        </w:r>
        <w:r w:rsidR="00C54BE0">
          <w:rPr>
            <w:webHidden/>
          </w:rPr>
          <w:tab/>
        </w:r>
        <w:r w:rsidR="00C54BE0">
          <w:rPr>
            <w:webHidden/>
          </w:rPr>
          <w:fldChar w:fldCharType="begin"/>
        </w:r>
        <w:r w:rsidR="00C54BE0">
          <w:rPr>
            <w:webHidden/>
          </w:rPr>
          <w:instrText xml:space="preserve"> PAGEREF _Toc116039956 \h </w:instrText>
        </w:r>
        <w:r w:rsidR="00C54BE0">
          <w:rPr>
            <w:webHidden/>
          </w:rPr>
        </w:r>
        <w:r w:rsidR="00C54BE0">
          <w:rPr>
            <w:webHidden/>
          </w:rPr>
          <w:fldChar w:fldCharType="separate"/>
        </w:r>
        <w:r>
          <w:rPr>
            <w:webHidden/>
          </w:rPr>
          <w:t>183</w:t>
        </w:r>
        <w:r w:rsidR="00C54BE0">
          <w:rPr>
            <w:webHidden/>
          </w:rPr>
          <w:fldChar w:fldCharType="end"/>
        </w:r>
      </w:hyperlink>
    </w:p>
    <w:p w14:paraId="55244524" w14:textId="7A616874" w:rsidR="00C54BE0" w:rsidRDefault="00D677D7">
      <w:pPr>
        <w:pStyle w:val="TOC2"/>
        <w:rPr>
          <w:rFonts w:asciiTheme="minorHAnsi" w:eastAsiaTheme="minorEastAsia" w:hAnsiTheme="minorHAnsi" w:cstheme="minorBidi"/>
          <w:b w:val="0"/>
          <w:smallCaps w:val="0"/>
          <w:sz w:val="22"/>
          <w:lang w:eastAsia="hu-HU"/>
        </w:rPr>
      </w:pPr>
      <w:hyperlink w:anchor="_Toc116039957" w:history="1">
        <w:r w:rsidR="00C54BE0" w:rsidRPr="00112933">
          <w:rPr>
            <w:rStyle w:val="Hyperlink"/>
            <w:rFonts w:ascii="Times New Roman" w:hAnsi="Times New Roman"/>
          </w:rPr>
          <w:t>3.9.2.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34.01 – A származtatott ügyleti tevékenység mérete</w:t>
        </w:r>
        <w:r w:rsidR="00C54BE0">
          <w:rPr>
            <w:webHidden/>
          </w:rPr>
          <w:tab/>
        </w:r>
        <w:r w:rsidR="00C54BE0">
          <w:rPr>
            <w:webHidden/>
          </w:rPr>
          <w:fldChar w:fldCharType="begin"/>
        </w:r>
        <w:r w:rsidR="00C54BE0">
          <w:rPr>
            <w:webHidden/>
          </w:rPr>
          <w:instrText xml:space="preserve"> PAGEREF _Toc116039957 \h </w:instrText>
        </w:r>
        <w:r w:rsidR="00C54BE0">
          <w:rPr>
            <w:webHidden/>
          </w:rPr>
        </w:r>
        <w:r w:rsidR="00C54BE0">
          <w:rPr>
            <w:webHidden/>
          </w:rPr>
          <w:fldChar w:fldCharType="separate"/>
        </w:r>
        <w:r>
          <w:rPr>
            <w:webHidden/>
          </w:rPr>
          <w:t>183</w:t>
        </w:r>
        <w:r w:rsidR="00C54BE0">
          <w:rPr>
            <w:webHidden/>
          </w:rPr>
          <w:fldChar w:fldCharType="end"/>
        </w:r>
      </w:hyperlink>
    </w:p>
    <w:p w14:paraId="6B7D54EF" w14:textId="035D9830" w:rsidR="00C54BE0" w:rsidRDefault="00D677D7">
      <w:pPr>
        <w:pStyle w:val="TOC2"/>
        <w:rPr>
          <w:rFonts w:asciiTheme="minorHAnsi" w:eastAsiaTheme="minorEastAsia" w:hAnsiTheme="minorHAnsi" w:cstheme="minorBidi"/>
          <w:b w:val="0"/>
          <w:smallCaps w:val="0"/>
          <w:sz w:val="22"/>
          <w:lang w:eastAsia="hu-HU"/>
        </w:rPr>
      </w:pPr>
      <w:hyperlink w:anchor="_Toc116039958" w:history="1">
        <w:r w:rsidR="00C54BE0" w:rsidRPr="00112933">
          <w:rPr>
            <w:rStyle w:val="Hyperlink"/>
            <w:rFonts w:ascii="Times New Roman" w:hAnsi="Times New Roman"/>
          </w:rPr>
          <w:t>3.9.2.1.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_Toc116039958 \h </w:instrText>
        </w:r>
        <w:r w:rsidR="00C54BE0">
          <w:rPr>
            <w:webHidden/>
          </w:rPr>
        </w:r>
        <w:r w:rsidR="00C54BE0">
          <w:rPr>
            <w:webHidden/>
          </w:rPr>
          <w:fldChar w:fldCharType="separate"/>
        </w:r>
        <w:r>
          <w:rPr>
            <w:webHidden/>
          </w:rPr>
          <w:t>183</w:t>
        </w:r>
        <w:r w:rsidR="00C54BE0">
          <w:rPr>
            <w:webHidden/>
          </w:rPr>
          <w:fldChar w:fldCharType="end"/>
        </w:r>
      </w:hyperlink>
    </w:p>
    <w:p w14:paraId="42305361" w14:textId="6B1FEB4A" w:rsidR="00C54BE0" w:rsidRDefault="00D677D7">
      <w:pPr>
        <w:pStyle w:val="TOC2"/>
        <w:rPr>
          <w:rFonts w:asciiTheme="minorHAnsi" w:eastAsiaTheme="minorEastAsia" w:hAnsiTheme="minorHAnsi" w:cstheme="minorBidi"/>
          <w:b w:val="0"/>
          <w:smallCaps w:val="0"/>
          <w:sz w:val="22"/>
          <w:lang w:eastAsia="hu-HU"/>
        </w:rPr>
      </w:pPr>
      <w:hyperlink w:anchor="_Toc116039959" w:history="1">
        <w:r w:rsidR="00C54BE0" w:rsidRPr="00112933">
          <w:rPr>
            <w:rStyle w:val="Hyperlink"/>
            <w:rFonts w:ascii="Times New Roman" w:hAnsi="Times New Roman"/>
          </w:rPr>
          <w:t>3.9.2.2.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_Toc116039959 \h </w:instrText>
        </w:r>
        <w:r w:rsidR="00C54BE0">
          <w:rPr>
            <w:webHidden/>
          </w:rPr>
        </w:r>
        <w:r w:rsidR="00C54BE0">
          <w:rPr>
            <w:webHidden/>
          </w:rPr>
          <w:fldChar w:fldCharType="separate"/>
        </w:r>
        <w:r>
          <w:rPr>
            <w:webHidden/>
          </w:rPr>
          <w:t>183</w:t>
        </w:r>
        <w:r w:rsidR="00C54BE0">
          <w:rPr>
            <w:webHidden/>
          </w:rPr>
          <w:fldChar w:fldCharType="end"/>
        </w:r>
      </w:hyperlink>
    </w:p>
    <w:p w14:paraId="52FB8222" w14:textId="7B7F2889" w:rsidR="00C54BE0" w:rsidRDefault="00D677D7">
      <w:pPr>
        <w:pStyle w:val="TOC2"/>
        <w:rPr>
          <w:rFonts w:asciiTheme="minorHAnsi" w:eastAsiaTheme="minorEastAsia" w:hAnsiTheme="minorHAnsi" w:cstheme="minorBidi"/>
          <w:b w:val="0"/>
          <w:smallCaps w:val="0"/>
          <w:sz w:val="22"/>
          <w:lang w:eastAsia="hu-HU"/>
        </w:rPr>
      </w:pPr>
      <w:hyperlink w:anchor="_Toc116039960" w:history="1">
        <w:r w:rsidR="00C54BE0" w:rsidRPr="00112933">
          <w:rPr>
            <w:rStyle w:val="Hyperlink"/>
            <w:rFonts w:ascii="Times New Roman" w:hAnsi="Times New Roman"/>
          </w:rPr>
          <w:t>3.9.3.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34.02 – Partnerkockázati kitettségek módszer szerint</w:t>
        </w:r>
        <w:r w:rsidR="00C54BE0">
          <w:rPr>
            <w:webHidden/>
          </w:rPr>
          <w:tab/>
        </w:r>
        <w:r w:rsidR="00C54BE0">
          <w:rPr>
            <w:webHidden/>
          </w:rPr>
          <w:fldChar w:fldCharType="begin"/>
        </w:r>
        <w:r w:rsidR="00C54BE0">
          <w:rPr>
            <w:webHidden/>
          </w:rPr>
          <w:instrText xml:space="preserve"> PAGEREF _Toc116039960 \h </w:instrText>
        </w:r>
        <w:r w:rsidR="00C54BE0">
          <w:rPr>
            <w:webHidden/>
          </w:rPr>
        </w:r>
        <w:r w:rsidR="00C54BE0">
          <w:rPr>
            <w:webHidden/>
          </w:rPr>
          <w:fldChar w:fldCharType="separate"/>
        </w:r>
        <w:r>
          <w:rPr>
            <w:webHidden/>
          </w:rPr>
          <w:t>185</w:t>
        </w:r>
        <w:r w:rsidR="00C54BE0">
          <w:rPr>
            <w:webHidden/>
          </w:rPr>
          <w:fldChar w:fldCharType="end"/>
        </w:r>
      </w:hyperlink>
    </w:p>
    <w:p w14:paraId="15BC40A6" w14:textId="3BD0EF28" w:rsidR="00C54BE0" w:rsidRDefault="00D677D7">
      <w:pPr>
        <w:pStyle w:val="TOC2"/>
        <w:rPr>
          <w:rFonts w:asciiTheme="minorHAnsi" w:eastAsiaTheme="minorEastAsia" w:hAnsiTheme="minorHAnsi" w:cstheme="minorBidi"/>
          <w:b w:val="0"/>
          <w:smallCaps w:val="0"/>
          <w:sz w:val="22"/>
          <w:lang w:eastAsia="hu-HU"/>
        </w:rPr>
      </w:pPr>
      <w:hyperlink w:anchor="_Toc116039961" w:history="1">
        <w:r w:rsidR="00C54BE0" w:rsidRPr="00112933">
          <w:rPr>
            <w:rStyle w:val="Hyperlink"/>
            <w:rFonts w:ascii="Times New Roman" w:hAnsi="Times New Roman"/>
          </w:rPr>
          <w:t>3.9.3.1.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_Toc116039961 \h </w:instrText>
        </w:r>
        <w:r w:rsidR="00C54BE0">
          <w:rPr>
            <w:webHidden/>
          </w:rPr>
        </w:r>
        <w:r w:rsidR="00C54BE0">
          <w:rPr>
            <w:webHidden/>
          </w:rPr>
          <w:fldChar w:fldCharType="separate"/>
        </w:r>
        <w:r>
          <w:rPr>
            <w:webHidden/>
          </w:rPr>
          <w:t>185</w:t>
        </w:r>
        <w:r w:rsidR="00C54BE0">
          <w:rPr>
            <w:webHidden/>
          </w:rPr>
          <w:fldChar w:fldCharType="end"/>
        </w:r>
      </w:hyperlink>
    </w:p>
    <w:p w14:paraId="7208E22A" w14:textId="420A0EF5" w:rsidR="00C54BE0" w:rsidRDefault="00D677D7">
      <w:pPr>
        <w:pStyle w:val="TOC2"/>
        <w:rPr>
          <w:rFonts w:asciiTheme="minorHAnsi" w:eastAsiaTheme="minorEastAsia" w:hAnsiTheme="minorHAnsi" w:cstheme="minorBidi"/>
          <w:b w:val="0"/>
          <w:smallCaps w:val="0"/>
          <w:sz w:val="22"/>
          <w:lang w:eastAsia="hu-HU"/>
        </w:rPr>
      </w:pPr>
      <w:hyperlink w:anchor="_Toc116039962" w:history="1">
        <w:r w:rsidR="00C54BE0" w:rsidRPr="00112933">
          <w:rPr>
            <w:rStyle w:val="Hyperlink"/>
            <w:rFonts w:ascii="Times New Roman" w:hAnsi="Times New Roman"/>
          </w:rPr>
          <w:t>3.9.3.2.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_Toc116039962 \h </w:instrText>
        </w:r>
        <w:r w:rsidR="00C54BE0">
          <w:rPr>
            <w:webHidden/>
          </w:rPr>
        </w:r>
        <w:r w:rsidR="00C54BE0">
          <w:rPr>
            <w:webHidden/>
          </w:rPr>
          <w:fldChar w:fldCharType="separate"/>
        </w:r>
        <w:r>
          <w:rPr>
            <w:webHidden/>
          </w:rPr>
          <w:t>185</w:t>
        </w:r>
        <w:r w:rsidR="00C54BE0">
          <w:rPr>
            <w:webHidden/>
          </w:rPr>
          <w:fldChar w:fldCharType="end"/>
        </w:r>
      </w:hyperlink>
    </w:p>
    <w:p w14:paraId="59D9587F" w14:textId="78F38EEC" w:rsidR="00C54BE0" w:rsidRDefault="00D677D7">
      <w:pPr>
        <w:pStyle w:val="TOC2"/>
        <w:rPr>
          <w:rFonts w:asciiTheme="minorHAnsi" w:eastAsiaTheme="minorEastAsia" w:hAnsiTheme="minorHAnsi" w:cstheme="minorBidi"/>
          <w:b w:val="0"/>
          <w:smallCaps w:val="0"/>
          <w:sz w:val="22"/>
          <w:lang w:eastAsia="hu-HU"/>
        </w:rPr>
      </w:pPr>
      <w:hyperlink w:anchor="_Toc116039963" w:history="1">
        <w:r w:rsidR="00C54BE0" w:rsidRPr="00112933">
          <w:rPr>
            <w:rStyle w:val="Hyperlink"/>
            <w:rFonts w:ascii="Times New Roman" w:hAnsi="Times New Roman"/>
          </w:rPr>
          <w:t>3.9.4.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34.03 – Sztenderd módszerekkel kezelt partnerkockázati kitettségek: SA-CCR vagy egyszerűsített SA-CCR</w:t>
        </w:r>
        <w:r w:rsidR="00C54BE0">
          <w:rPr>
            <w:webHidden/>
          </w:rPr>
          <w:tab/>
        </w:r>
        <w:r w:rsidR="00C54BE0">
          <w:rPr>
            <w:webHidden/>
          </w:rPr>
          <w:fldChar w:fldCharType="begin"/>
        </w:r>
        <w:r w:rsidR="00C54BE0">
          <w:rPr>
            <w:webHidden/>
          </w:rPr>
          <w:instrText xml:space="preserve"> PAGEREF _Toc116039963 \h </w:instrText>
        </w:r>
        <w:r w:rsidR="00C54BE0">
          <w:rPr>
            <w:webHidden/>
          </w:rPr>
        </w:r>
        <w:r w:rsidR="00C54BE0">
          <w:rPr>
            <w:webHidden/>
          </w:rPr>
          <w:fldChar w:fldCharType="separate"/>
        </w:r>
        <w:r>
          <w:rPr>
            <w:webHidden/>
          </w:rPr>
          <w:t>193</w:t>
        </w:r>
        <w:r w:rsidR="00C54BE0">
          <w:rPr>
            <w:webHidden/>
          </w:rPr>
          <w:fldChar w:fldCharType="end"/>
        </w:r>
      </w:hyperlink>
    </w:p>
    <w:p w14:paraId="0224E811" w14:textId="235BF364" w:rsidR="00C54BE0" w:rsidRDefault="00D677D7">
      <w:pPr>
        <w:pStyle w:val="TOC2"/>
        <w:rPr>
          <w:rFonts w:asciiTheme="minorHAnsi" w:eastAsiaTheme="minorEastAsia" w:hAnsiTheme="minorHAnsi" w:cstheme="minorBidi"/>
          <w:b w:val="0"/>
          <w:smallCaps w:val="0"/>
          <w:sz w:val="22"/>
          <w:lang w:eastAsia="hu-HU"/>
        </w:rPr>
      </w:pPr>
      <w:hyperlink w:anchor="_Toc116039964" w:history="1">
        <w:r w:rsidR="00C54BE0" w:rsidRPr="00112933">
          <w:rPr>
            <w:rStyle w:val="Hyperlink"/>
            <w:rFonts w:ascii="Times New Roman" w:hAnsi="Times New Roman"/>
          </w:rPr>
          <w:t>3.9.4.1.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_Toc116039964 \h </w:instrText>
        </w:r>
        <w:r w:rsidR="00C54BE0">
          <w:rPr>
            <w:webHidden/>
          </w:rPr>
        </w:r>
        <w:r w:rsidR="00C54BE0">
          <w:rPr>
            <w:webHidden/>
          </w:rPr>
          <w:fldChar w:fldCharType="separate"/>
        </w:r>
        <w:r>
          <w:rPr>
            <w:webHidden/>
          </w:rPr>
          <w:t>193</w:t>
        </w:r>
        <w:r w:rsidR="00C54BE0">
          <w:rPr>
            <w:webHidden/>
          </w:rPr>
          <w:fldChar w:fldCharType="end"/>
        </w:r>
      </w:hyperlink>
    </w:p>
    <w:p w14:paraId="5CE7852D" w14:textId="4668B9B0" w:rsidR="00C54BE0" w:rsidRDefault="00D677D7">
      <w:pPr>
        <w:pStyle w:val="TOC2"/>
        <w:rPr>
          <w:rFonts w:asciiTheme="minorHAnsi" w:eastAsiaTheme="minorEastAsia" w:hAnsiTheme="minorHAnsi" w:cstheme="minorBidi"/>
          <w:b w:val="0"/>
          <w:smallCaps w:val="0"/>
          <w:sz w:val="22"/>
          <w:lang w:eastAsia="hu-HU"/>
        </w:rPr>
      </w:pPr>
      <w:hyperlink w:anchor="_Toc116039965" w:history="1">
        <w:r w:rsidR="00C54BE0" w:rsidRPr="00112933">
          <w:rPr>
            <w:rStyle w:val="Hyperlink"/>
            <w:rFonts w:ascii="Times New Roman" w:hAnsi="Times New Roman"/>
          </w:rPr>
          <w:t>3.9.4.2.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_Toc116039965 \h </w:instrText>
        </w:r>
        <w:r w:rsidR="00C54BE0">
          <w:rPr>
            <w:webHidden/>
          </w:rPr>
        </w:r>
        <w:r w:rsidR="00C54BE0">
          <w:rPr>
            <w:webHidden/>
          </w:rPr>
          <w:fldChar w:fldCharType="separate"/>
        </w:r>
        <w:r>
          <w:rPr>
            <w:webHidden/>
          </w:rPr>
          <w:t>193</w:t>
        </w:r>
        <w:r w:rsidR="00C54BE0">
          <w:rPr>
            <w:webHidden/>
          </w:rPr>
          <w:fldChar w:fldCharType="end"/>
        </w:r>
      </w:hyperlink>
    </w:p>
    <w:p w14:paraId="38ED079C" w14:textId="7A9B5061" w:rsidR="00C54BE0" w:rsidRDefault="00D677D7">
      <w:pPr>
        <w:pStyle w:val="TOC2"/>
        <w:rPr>
          <w:rFonts w:asciiTheme="minorHAnsi" w:eastAsiaTheme="minorEastAsia" w:hAnsiTheme="minorHAnsi" w:cstheme="minorBidi"/>
          <w:b w:val="0"/>
          <w:smallCaps w:val="0"/>
          <w:sz w:val="22"/>
          <w:lang w:eastAsia="hu-HU"/>
        </w:rPr>
      </w:pPr>
      <w:hyperlink w:anchor="_Toc116039966" w:history="1">
        <w:r w:rsidR="00C54BE0" w:rsidRPr="00112933">
          <w:rPr>
            <w:rStyle w:val="Hyperlink"/>
            <w:rFonts w:ascii="Times New Roman" w:hAnsi="Times New Roman"/>
          </w:rPr>
          <w:t>3.9.5.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34.04 – Az eredeti kitettség szerinti módszerrel (OEM) kezelt partnerkockázati kitettségek</w:t>
        </w:r>
        <w:r w:rsidR="00C54BE0">
          <w:rPr>
            <w:webHidden/>
          </w:rPr>
          <w:tab/>
        </w:r>
        <w:r w:rsidR="00C54BE0">
          <w:rPr>
            <w:webHidden/>
          </w:rPr>
          <w:fldChar w:fldCharType="begin"/>
        </w:r>
        <w:r w:rsidR="00C54BE0">
          <w:rPr>
            <w:webHidden/>
          </w:rPr>
          <w:instrText xml:space="preserve"> PAGEREF _Toc116039966 \h </w:instrText>
        </w:r>
        <w:r w:rsidR="00C54BE0">
          <w:rPr>
            <w:webHidden/>
          </w:rPr>
        </w:r>
        <w:r w:rsidR="00C54BE0">
          <w:rPr>
            <w:webHidden/>
          </w:rPr>
          <w:fldChar w:fldCharType="separate"/>
        </w:r>
        <w:r>
          <w:rPr>
            <w:webHidden/>
          </w:rPr>
          <w:t>195</w:t>
        </w:r>
        <w:r w:rsidR="00C54BE0">
          <w:rPr>
            <w:webHidden/>
          </w:rPr>
          <w:fldChar w:fldCharType="end"/>
        </w:r>
      </w:hyperlink>
    </w:p>
    <w:p w14:paraId="7849CA9A" w14:textId="275555C2" w:rsidR="00C54BE0" w:rsidRDefault="00D677D7">
      <w:pPr>
        <w:pStyle w:val="TOC2"/>
        <w:rPr>
          <w:rFonts w:asciiTheme="minorHAnsi" w:eastAsiaTheme="minorEastAsia" w:hAnsiTheme="minorHAnsi" w:cstheme="minorBidi"/>
          <w:b w:val="0"/>
          <w:smallCaps w:val="0"/>
          <w:sz w:val="22"/>
          <w:lang w:eastAsia="hu-HU"/>
        </w:rPr>
      </w:pPr>
      <w:hyperlink w:anchor="_Toc116039967" w:history="1">
        <w:r w:rsidR="00C54BE0" w:rsidRPr="00112933">
          <w:rPr>
            <w:rStyle w:val="Hyperlink"/>
            <w:rFonts w:ascii="Times New Roman" w:hAnsi="Times New Roman"/>
          </w:rPr>
          <w:t>3.9.5.1.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_Toc116039967 \h </w:instrText>
        </w:r>
        <w:r w:rsidR="00C54BE0">
          <w:rPr>
            <w:webHidden/>
          </w:rPr>
        </w:r>
        <w:r w:rsidR="00C54BE0">
          <w:rPr>
            <w:webHidden/>
          </w:rPr>
          <w:fldChar w:fldCharType="separate"/>
        </w:r>
        <w:r>
          <w:rPr>
            <w:webHidden/>
          </w:rPr>
          <w:t>195</w:t>
        </w:r>
        <w:r w:rsidR="00C54BE0">
          <w:rPr>
            <w:webHidden/>
          </w:rPr>
          <w:fldChar w:fldCharType="end"/>
        </w:r>
      </w:hyperlink>
    </w:p>
    <w:p w14:paraId="41EE7B78" w14:textId="5C192CD4" w:rsidR="00C54BE0" w:rsidRDefault="00D677D7">
      <w:pPr>
        <w:pStyle w:val="TOC2"/>
        <w:rPr>
          <w:rFonts w:asciiTheme="minorHAnsi" w:eastAsiaTheme="minorEastAsia" w:hAnsiTheme="minorHAnsi" w:cstheme="minorBidi"/>
          <w:b w:val="0"/>
          <w:smallCaps w:val="0"/>
          <w:sz w:val="22"/>
          <w:lang w:eastAsia="hu-HU"/>
        </w:rPr>
      </w:pPr>
      <w:hyperlink w:anchor="_Toc116039968" w:history="1">
        <w:r w:rsidR="00C54BE0" w:rsidRPr="00112933">
          <w:rPr>
            <w:rStyle w:val="Hyperlink"/>
            <w:rFonts w:ascii="Times New Roman" w:hAnsi="Times New Roman"/>
          </w:rPr>
          <w:t>3.9.6.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34.05 – A belső modell módszerrel (IMM) kezelt partnerkockázati kitettségek</w:t>
        </w:r>
        <w:r w:rsidR="00C54BE0">
          <w:rPr>
            <w:webHidden/>
          </w:rPr>
          <w:tab/>
        </w:r>
        <w:r w:rsidR="00C54BE0">
          <w:rPr>
            <w:webHidden/>
          </w:rPr>
          <w:fldChar w:fldCharType="begin"/>
        </w:r>
        <w:r w:rsidR="00C54BE0">
          <w:rPr>
            <w:webHidden/>
          </w:rPr>
          <w:instrText xml:space="preserve"> PAGEREF _Toc116039968 \h </w:instrText>
        </w:r>
        <w:r w:rsidR="00C54BE0">
          <w:rPr>
            <w:webHidden/>
          </w:rPr>
        </w:r>
        <w:r w:rsidR="00C54BE0">
          <w:rPr>
            <w:webHidden/>
          </w:rPr>
          <w:fldChar w:fldCharType="separate"/>
        </w:r>
        <w:r>
          <w:rPr>
            <w:webHidden/>
          </w:rPr>
          <w:t>196</w:t>
        </w:r>
        <w:r w:rsidR="00C54BE0">
          <w:rPr>
            <w:webHidden/>
          </w:rPr>
          <w:fldChar w:fldCharType="end"/>
        </w:r>
      </w:hyperlink>
    </w:p>
    <w:p w14:paraId="75037871" w14:textId="57121E8D" w:rsidR="00C54BE0" w:rsidRDefault="00D677D7">
      <w:pPr>
        <w:pStyle w:val="TOC2"/>
        <w:rPr>
          <w:rFonts w:asciiTheme="minorHAnsi" w:eastAsiaTheme="minorEastAsia" w:hAnsiTheme="minorHAnsi" w:cstheme="minorBidi"/>
          <w:b w:val="0"/>
          <w:smallCaps w:val="0"/>
          <w:sz w:val="22"/>
          <w:lang w:eastAsia="hu-HU"/>
        </w:rPr>
      </w:pPr>
      <w:hyperlink w:anchor="_Toc116039969" w:history="1">
        <w:r w:rsidR="00C54BE0" w:rsidRPr="00112933">
          <w:rPr>
            <w:rStyle w:val="Hyperlink"/>
            <w:rFonts w:ascii="Times New Roman" w:hAnsi="Times New Roman"/>
          </w:rPr>
          <w:t>3.9.6.1.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_Toc116039969 \h </w:instrText>
        </w:r>
        <w:r w:rsidR="00C54BE0">
          <w:rPr>
            <w:webHidden/>
          </w:rPr>
        </w:r>
        <w:r w:rsidR="00C54BE0">
          <w:rPr>
            <w:webHidden/>
          </w:rPr>
          <w:fldChar w:fldCharType="separate"/>
        </w:r>
        <w:r>
          <w:rPr>
            <w:webHidden/>
          </w:rPr>
          <w:t>196</w:t>
        </w:r>
        <w:r w:rsidR="00C54BE0">
          <w:rPr>
            <w:webHidden/>
          </w:rPr>
          <w:fldChar w:fldCharType="end"/>
        </w:r>
      </w:hyperlink>
    </w:p>
    <w:p w14:paraId="21307CB1" w14:textId="0EA1E512" w:rsidR="00C54BE0" w:rsidRDefault="00D677D7">
      <w:pPr>
        <w:pStyle w:val="TOC2"/>
        <w:rPr>
          <w:rFonts w:asciiTheme="minorHAnsi" w:eastAsiaTheme="minorEastAsia" w:hAnsiTheme="minorHAnsi" w:cstheme="minorBidi"/>
          <w:b w:val="0"/>
          <w:smallCaps w:val="0"/>
          <w:sz w:val="22"/>
          <w:lang w:eastAsia="hu-HU"/>
        </w:rPr>
      </w:pPr>
      <w:hyperlink w:anchor="_Toc116039970" w:history="1">
        <w:r w:rsidR="00C54BE0" w:rsidRPr="00112933">
          <w:rPr>
            <w:rStyle w:val="Hyperlink"/>
            <w:rFonts w:ascii="Times New Roman" w:hAnsi="Times New Roman"/>
          </w:rPr>
          <w:t>3.9.7.</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34.06 – A húsz legnagyobb partner</w:t>
        </w:r>
        <w:r w:rsidR="00C54BE0">
          <w:rPr>
            <w:webHidden/>
          </w:rPr>
          <w:tab/>
        </w:r>
        <w:r w:rsidR="00C54BE0">
          <w:rPr>
            <w:webHidden/>
          </w:rPr>
          <w:fldChar w:fldCharType="begin"/>
        </w:r>
        <w:r w:rsidR="00C54BE0">
          <w:rPr>
            <w:webHidden/>
          </w:rPr>
          <w:instrText xml:space="preserve"> PAGEREF _Toc116039970 \h </w:instrText>
        </w:r>
        <w:r w:rsidR="00C54BE0">
          <w:rPr>
            <w:webHidden/>
          </w:rPr>
        </w:r>
        <w:r w:rsidR="00C54BE0">
          <w:rPr>
            <w:webHidden/>
          </w:rPr>
          <w:fldChar w:fldCharType="separate"/>
        </w:r>
        <w:r>
          <w:rPr>
            <w:webHidden/>
          </w:rPr>
          <w:t>198</w:t>
        </w:r>
        <w:r w:rsidR="00C54BE0">
          <w:rPr>
            <w:webHidden/>
          </w:rPr>
          <w:fldChar w:fldCharType="end"/>
        </w:r>
      </w:hyperlink>
    </w:p>
    <w:p w14:paraId="5C2C4CAB" w14:textId="73C5FA9C" w:rsidR="00C54BE0" w:rsidRDefault="00D677D7">
      <w:pPr>
        <w:pStyle w:val="TOC2"/>
        <w:rPr>
          <w:rFonts w:asciiTheme="minorHAnsi" w:eastAsiaTheme="minorEastAsia" w:hAnsiTheme="minorHAnsi" w:cstheme="minorBidi"/>
          <w:b w:val="0"/>
          <w:smallCaps w:val="0"/>
          <w:sz w:val="22"/>
          <w:lang w:eastAsia="hu-HU"/>
        </w:rPr>
      </w:pPr>
      <w:hyperlink w:anchor="_Toc116039971" w:history="1">
        <w:r w:rsidR="00C54BE0" w:rsidRPr="00112933">
          <w:rPr>
            <w:rStyle w:val="Hyperlink"/>
            <w:rFonts w:ascii="Times New Roman" w:hAnsi="Times New Roman"/>
          </w:rPr>
          <w:t>3.9.7.1.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_Toc116039971 \h </w:instrText>
        </w:r>
        <w:r w:rsidR="00C54BE0">
          <w:rPr>
            <w:webHidden/>
          </w:rPr>
        </w:r>
        <w:r w:rsidR="00C54BE0">
          <w:rPr>
            <w:webHidden/>
          </w:rPr>
          <w:fldChar w:fldCharType="separate"/>
        </w:r>
        <w:r>
          <w:rPr>
            <w:webHidden/>
          </w:rPr>
          <w:t>198</w:t>
        </w:r>
        <w:r w:rsidR="00C54BE0">
          <w:rPr>
            <w:webHidden/>
          </w:rPr>
          <w:fldChar w:fldCharType="end"/>
        </w:r>
      </w:hyperlink>
    </w:p>
    <w:p w14:paraId="2A862912" w14:textId="53F3EED7" w:rsidR="00C54BE0" w:rsidRDefault="00D677D7">
      <w:pPr>
        <w:pStyle w:val="TOC2"/>
        <w:rPr>
          <w:rFonts w:asciiTheme="minorHAnsi" w:eastAsiaTheme="minorEastAsia" w:hAnsiTheme="minorHAnsi" w:cstheme="minorBidi"/>
          <w:b w:val="0"/>
          <w:smallCaps w:val="0"/>
          <w:sz w:val="22"/>
          <w:lang w:eastAsia="hu-HU"/>
        </w:rPr>
      </w:pPr>
      <w:hyperlink w:anchor="_Toc116039972" w:history="1">
        <w:r w:rsidR="00C54BE0" w:rsidRPr="00112933">
          <w:rPr>
            <w:rStyle w:val="Hyperlink"/>
            <w:rFonts w:ascii="Times New Roman" w:hAnsi="Times New Roman"/>
          </w:rPr>
          <w:t>3.9.7.2.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_Toc116039972 \h </w:instrText>
        </w:r>
        <w:r w:rsidR="00C54BE0">
          <w:rPr>
            <w:webHidden/>
          </w:rPr>
        </w:r>
        <w:r w:rsidR="00C54BE0">
          <w:rPr>
            <w:webHidden/>
          </w:rPr>
          <w:fldChar w:fldCharType="separate"/>
        </w:r>
        <w:r>
          <w:rPr>
            <w:webHidden/>
          </w:rPr>
          <w:t>198</w:t>
        </w:r>
        <w:r w:rsidR="00C54BE0">
          <w:rPr>
            <w:webHidden/>
          </w:rPr>
          <w:fldChar w:fldCharType="end"/>
        </w:r>
      </w:hyperlink>
    </w:p>
    <w:p w14:paraId="77E24F0F" w14:textId="3A6D1473" w:rsidR="00C54BE0" w:rsidRDefault="00D677D7">
      <w:pPr>
        <w:pStyle w:val="TOC2"/>
        <w:rPr>
          <w:rFonts w:asciiTheme="minorHAnsi" w:eastAsiaTheme="minorEastAsia" w:hAnsiTheme="minorHAnsi" w:cstheme="minorBidi"/>
          <w:b w:val="0"/>
          <w:smallCaps w:val="0"/>
          <w:sz w:val="22"/>
          <w:lang w:eastAsia="hu-HU"/>
        </w:rPr>
      </w:pPr>
      <w:hyperlink w:anchor="_Toc116039973" w:history="1">
        <w:r w:rsidR="00C54BE0" w:rsidRPr="00112933">
          <w:rPr>
            <w:rStyle w:val="Hyperlink"/>
            <w:rFonts w:ascii="Times New Roman" w:hAnsi="Times New Roman"/>
          </w:rPr>
          <w:t>3.9.8.</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34.07 – IRB módszer – Partnerkockázati kitettségek kitettségi osztály és PD-skála szerint</w:t>
        </w:r>
        <w:r w:rsidR="00C54BE0">
          <w:rPr>
            <w:webHidden/>
          </w:rPr>
          <w:tab/>
        </w:r>
        <w:r w:rsidR="00C54BE0">
          <w:rPr>
            <w:webHidden/>
          </w:rPr>
          <w:fldChar w:fldCharType="begin"/>
        </w:r>
        <w:r w:rsidR="00C54BE0">
          <w:rPr>
            <w:webHidden/>
          </w:rPr>
          <w:instrText xml:space="preserve"> PAGEREF _Toc116039973 \h </w:instrText>
        </w:r>
        <w:r w:rsidR="00C54BE0">
          <w:rPr>
            <w:webHidden/>
          </w:rPr>
        </w:r>
        <w:r w:rsidR="00C54BE0">
          <w:rPr>
            <w:webHidden/>
          </w:rPr>
          <w:fldChar w:fldCharType="separate"/>
        </w:r>
        <w:r>
          <w:rPr>
            <w:webHidden/>
          </w:rPr>
          <w:t>200</w:t>
        </w:r>
        <w:r w:rsidR="00C54BE0">
          <w:rPr>
            <w:webHidden/>
          </w:rPr>
          <w:fldChar w:fldCharType="end"/>
        </w:r>
      </w:hyperlink>
    </w:p>
    <w:p w14:paraId="3FFFE324" w14:textId="091B4DAF" w:rsidR="00C54BE0" w:rsidRDefault="00D677D7">
      <w:pPr>
        <w:pStyle w:val="TOC2"/>
        <w:rPr>
          <w:rFonts w:asciiTheme="minorHAnsi" w:eastAsiaTheme="minorEastAsia" w:hAnsiTheme="minorHAnsi" w:cstheme="minorBidi"/>
          <w:b w:val="0"/>
          <w:smallCaps w:val="0"/>
          <w:sz w:val="22"/>
          <w:lang w:eastAsia="hu-HU"/>
        </w:rPr>
      </w:pPr>
      <w:hyperlink w:anchor="_Toc116039974" w:history="1">
        <w:r w:rsidR="00C54BE0" w:rsidRPr="00112933">
          <w:rPr>
            <w:rStyle w:val="Hyperlink"/>
            <w:rFonts w:ascii="Times New Roman" w:hAnsi="Times New Roman"/>
          </w:rPr>
          <w:t>3.9.8.1.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_Toc116039974 \h </w:instrText>
        </w:r>
        <w:r w:rsidR="00C54BE0">
          <w:rPr>
            <w:webHidden/>
          </w:rPr>
        </w:r>
        <w:r w:rsidR="00C54BE0">
          <w:rPr>
            <w:webHidden/>
          </w:rPr>
          <w:fldChar w:fldCharType="separate"/>
        </w:r>
        <w:r>
          <w:rPr>
            <w:webHidden/>
          </w:rPr>
          <w:t>200</w:t>
        </w:r>
        <w:r w:rsidR="00C54BE0">
          <w:rPr>
            <w:webHidden/>
          </w:rPr>
          <w:fldChar w:fldCharType="end"/>
        </w:r>
      </w:hyperlink>
    </w:p>
    <w:p w14:paraId="56B9BD1C" w14:textId="1DC17DE0" w:rsidR="00C54BE0" w:rsidRDefault="00D677D7">
      <w:pPr>
        <w:pStyle w:val="TOC2"/>
        <w:rPr>
          <w:rFonts w:asciiTheme="minorHAnsi" w:eastAsiaTheme="minorEastAsia" w:hAnsiTheme="minorHAnsi" w:cstheme="minorBidi"/>
          <w:b w:val="0"/>
          <w:smallCaps w:val="0"/>
          <w:sz w:val="22"/>
          <w:lang w:eastAsia="hu-HU"/>
        </w:rPr>
      </w:pPr>
      <w:hyperlink w:anchor="_Toc116039975" w:history="1">
        <w:r w:rsidR="00C54BE0" w:rsidRPr="00112933">
          <w:rPr>
            <w:rStyle w:val="Hyperlink"/>
            <w:rFonts w:ascii="Times New Roman" w:hAnsi="Times New Roman"/>
          </w:rPr>
          <w:t>3.9.8.2.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_Toc116039975 \h </w:instrText>
        </w:r>
        <w:r w:rsidR="00C54BE0">
          <w:rPr>
            <w:webHidden/>
          </w:rPr>
        </w:r>
        <w:r w:rsidR="00C54BE0">
          <w:rPr>
            <w:webHidden/>
          </w:rPr>
          <w:fldChar w:fldCharType="separate"/>
        </w:r>
        <w:r>
          <w:rPr>
            <w:webHidden/>
          </w:rPr>
          <w:t>201</w:t>
        </w:r>
        <w:r w:rsidR="00C54BE0">
          <w:rPr>
            <w:webHidden/>
          </w:rPr>
          <w:fldChar w:fldCharType="end"/>
        </w:r>
      </w:hyperlink>
    </w:p>
    <w:p w14:paraId="2E98BDA1" w14:textId="0C9AE8E8" w:rsidR="00C54BE0" w:rsidRDefault="00D677D7">
      <w:pPr>
        <w:pStyle w:val="TOC2"/>
        <w:rPr>
          <w:rFonts w:asciiTheme="minorHAnsi" w:eastAsiaTheme="minorEastAsia" w:hAnsiTheme="minorHAnsi" w:cstheme="minorBidi"/>
          <w:b w:val="0"/>
          <w:smallCaps w:val="0"/>
          <w:sz w:val="22"/>
          <w:lang w:eastAsia="hu-HU"/>
        </w:rPr>
      </w:pPr>
      <w:hyperlink w:anchor="_Toc116039976" w:history="1">
        <w:r w:rsidR="00C54BE0" w:rsidRPr="00112933">
          <w:rPr>
            <w:rStyle w:val="Hyperlink"/>
            <w:rFonts w:ascii="Times New Roman" w:hAnsi="Times New Roman"/>
          </w:rPr>
          <w:t>3.9.9.</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34.08 – A partnerkockázati kitettségek biztosítékainak összetétele</w:t>
        </w:r>
        <w:r w:rsidR="00C54BE0">
          <w:rPr>
            <w:webHidden/>
          </w:rPr>
          <w:tab/>
        </w:r>
        <w:r w:rsidR="00C54BE0">
          <w:rPr>
            <w:webHidden/>
          </w:rPr>
          <w:fldChar w:fldCharType="begin"/>
        </w:r>
        <w:r w:rsidR="00C54BE0">
          <w:rPr>
            <w:webHidden/>
          </w:rPr>
          <w:instrText xml:space="preserve"> PAGEREF _Toc116039976 \h </w:instrText>
        </w:r>
        <w:r w:rsidR="00C54BE0">
          <w:rPr>
            <w:webHidden/>
          </w:rPr>
        </w:r>
        <w:r w:rsidR="00C54BE0">
          <w:rPr>
            <w:webHidden/>
          </w:rPr>
          <w:fldChar w:fldCharType="separate"/>
        </w:r>
        <w:r>
          <w:rPr>
            <w:webHidden/>
          </w:rPr>
          <w:t>203</w:t>
        </w:r>
        <w:r w:rsidR="00C54BE0">
          <w:rPr>
            <w:webHidden/>
          </w:rPr>
          <w:fldChar w:fldCharType="end"/>
        </w:r>
      </w:hyperlink>
    </w:p>
    <w:p w14:paraId="34AF96E4" w14:textId="1ABA0271" w:rsidR="00C54BE0" w:rsidRDefault="00D677D7">
      <w:pPr>
        <w:pStyle w:val="TOC2"/>
        <w:rPr>
          <w:rFonts w:asciiTheme="minorHAnsi" w:eastAsiaTheme="minorEastAsia" w:hAnsiTheme="minorHAnsi" w:cstheme="minorBidi"/>
          <w:b w:val="0"/>
          <w:smallCaps w:val="0"/>
          <w:sz w:val="22"/>
          <w:lang w:eastAsia="hu-HU"/>
        </w:rPr>
      </w:pPr>
      <w:hyperlink w:anchor="_Toc116039977" w:history="1">
        <w:r w:rsidR="00C54BE0" w:rsidRPr="00112933">
          <w:rPr>
            <w:rStyle w:val="Hyperlink"/>
            <w:rFonts w:ascii="Times New Roman" w:hAnsi="Times New Roman"/>
          </w:rPr>
          <w:t>3.9.9.1.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_Toc116039977 \h </w:instrText>
        </w:r>
        <w:r w:rsidR="00C54BE0">
          <w:rPr>
            <w:webHidden/>
          </w:rPr>
        </w:r>
        <w:r w:rsidR="00C54BE0">
          <w:rPr>
            <w:webHidden/>
          </w:rPr>
          <w:fldChar w:fldCharType="separate"/>
        </w:r>
        <w:r>
          <w:rPr>
            <w:webHidden/>
          </w:rPr>
          <w:t>203</w:t>
        </w:r>
        <w:r w:rsidR="00C54BE0">
          <w:rPr>
            <w:webHidden/>
          </w:rPr>
          <w:fldChar w:fldCharType="end"/>
        </w:r>
      </w:hyperlink>
    </w:p>
    <w:p w14:paraId="4F3C74A8" w14:textId="7EFFAE28" w:rsidR="00C54BE0" w:rsidRDefault="00D677D7">
      <w:pPr>
        <w:pStyle w:val="TOC2"/>
        <w:rPr>
          <w:rFonts w:asciiTheme="minorHAnsi" w:eastAsiaTheme="minorEastAsia" w:hAnsiTheme="minorHAnsi" w:cstheme="minorBidi"/>
          <w:b w:val="0"/>
          <w:smallCaps w:val="0"/>
          <w:sz w:val="22"/>
          <w:lang w:eastAsia="hu-HU"/>
        </w:rPr>
      </w:pPr>
      <w:hyperlink w:anchor="_Toc116039978" w:history="1">
        <w:r w:rsidR="00C54BE0" w:rsidRPr="00112933">
          <w:rPr>
            <w:rStyle w:val="Hyperlink"/>
            <w:rFonts w:ascii="Times New Roman" w:hAnsi="Times New Roman"/>
          </w:rPr>
          <w:t>3.9.9.2.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_Toc116039978 \h </w:instrText>
        </w:r>
        <w:r w:rsidR="00C54BE0">
          <w:rPr>
            <w:webHidden/>
          </w:rPr>
        </w:r>
        <w:r w:rsidR="00C54BE0">
          <w:rPr>
            <w:webHidden/>
          </w:rPr>
          <w:fldChar w:fldCharType="separate"/>
        </w:r>
        <w:r>
          <w:rPr>
            <w:webHidden/>
          </w:rPr>
          <w:t>203</w:t>
        </w:r>
        <w:r w:rsidR="00C54BE0">
          <w:rPr>
            <w:webHidden/>
          </w:rPr>
          <w:fldChar w:fldCharType="end"/>
        </w:r>
      </w:hyperlink>
    </w:p>
    <w:p w14:paraId="5D5423FA" w14:textId="28739405" w:rsidR="00C54BE0" w:rsidRDefault="00D677D7">
      <w:pPr>
        <w:pStyle w:val="TOC2"/>
        <w:rPr>
          <w:rFonts w:asciiTheme="minorHAnsi" w:eastAsiaTheme="minorEastAsia" w:hAnsiTheme="minorHAnsi" w:cstheme="minorBidi"/>
          <w:b w:val="0"/>
          <w:smallCaps w:val="0"/>
          <w:sz w:val="22"/>
          <w:lang w:eastAsia="hu-HU"/>
        </w:rPr>
      </w:pPr>
      <w:hyperlink w:anchor="_Toc116039979" w:history="1">
        <w:r w:rsidR="00C54BE0" w:rsidRPr="00112933">
          <w:rPr>
            <w:rStyle w:val="Hyperlink"/>
            <w:rFonts w:ascii="Times New Roman" w:hAnsi="Times New Roman"/>
          </w:rPr>
          <w:t>3.9.10.</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34.09 – Hitelderivatíva-kitettségek</w:t>
        </w:r>
        <w:r w:rsidR="00C54BE0">
          <w:rPr>
            <w:webHidden/>
          </w:rPr>
          <w:tab/>
        </w:r>
        <w:r w:rsidR="00C54BE0">
          <w:rPr>
            <w:webHidden/>
          </w:rPr>
          <w:fldChar w:fldCharType="begin"/>
        </w:r>
        <w:r w:rsidR="00C54BE0">
          <w:rPr>
            <w:webHidden/>
          </w:rPr>
          <w:instrText xml:space="preserve"> PAGEREF _Toc116039979 \h </w:instrText>
        </w:r>
        <w:r w:rsidR="00C54BE0">
          <w:rPr>
            <w:webHidden/>
          </w:rPr>
        </w:r>
        <w:r w:rsidR="00C54BE0">
          <w:rPr>
            <w:webHidden/>
          </w:rPr>
          <w:fldChar w:fldCharType="separate"/>
        </w:r>
        <w:r>
          <w:rPr>
            <w:webHidden/>
          </w:rPr>
          <w:t>204</w:t>
        </w:r>
        <w:r w:rsidR="00C54BE0">
          <w:rPr>
            <w:webHidden/>
          </w:rPr>
          <w:fldChar w:fldCharType="end"/>
        </w:r>
      </w:hyperlink>
    </w:p>
    <w:p w14:paraId="7FF50A94" w14:textId="5B39ABBF" w:rsidR="00C54BE0" w:rsidRDefault="00D677D7">
      <w:pPr>
        <w:pStyle w:val="TOC2"/>
        <w:rPr>
          <w:rFonts w:asciiTheme="minorHAnsi" w:eastAsiaTheme="minorEastAsia" w:hAnsiTheme="minorHAnsi" w:cstheme="minorBidi"/>
          <w:b w:val="0"/>
          <w:smallCaps w:val="0"/>
          <w:sz w:val="22"/>
          <w:lang w:eastAsia="hu-HU"/>
        </w:rPr>
      </w:pPr>
      <w:hyperlink w:anchor="_Toc116039980" w:history="1">
        <w:r w:rsidR="00C54BE0" w:rsidRPr="00112933">
          <w:rPr>
            <w:rStyle w:val="Hyperlink"/>
            <w:rFonts w:ascii="Times New Roman" w:hAnsi="Times New Roman"/>
          </w:rPr>
          <w:t>3.9.10.1.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_Toc116039980 \h </w:instrText>
        </w:r>
        <w:r w:rsidR="00C54BE0">
          <w:rPr>
            <w:webHidden/>
          </w:rPr>
        </w:r>
        <w:r w:rsidR="00C54BE0">
          <w:rPr>
            <w:webHidden/>
          </w:rPr>
          <w:fldChar w:fldCharType="separate"/>
        </w:r>
        <w:r>
          <w:rPr>
            <w:webHidden/>
          </w:rPr>
          <w:t>204</w:t>
        </w:r>
        <w:r w:rsidR="00C54BE0">
          <w:rPr>
            <w:webHidden/>
          </w:rPr>
          <w:fldChar w:fldCharType="end"/>
        </w:r>
      </w:hyperlink>
    </w:p>
    <w:p w14:paraId="76A3CB05" w14:textId="1499BF1D" w:rsidR="00C54BE0" w:rsidRDefault="00D677D7">
      <w:pPr>
        <w:pStyle w:val="TOC2"/>
        <w:rPr>
          <w:rFonts w:asciiTheme="minorHAnsi" w:eastAsiaTheme="minorEastAsia" w:hAnsiTheme="minorHAnsi" w:cstheme="minorBidi"/>
          <w:b w:val="0"/>
          <w:smallCaps w:val="0"/>
          <w:sz w:val="22"/>
          <w:lang w:eastAsia="hu-HU"/>
        </w:rPr>
      </w:pPr>
      <w:hyperlink w:anchor="_Toc116039981" w:history="1">
        <w:r w:rsidR="00C54BE0" w:rsidRPr="00112933">
          <w:rPr>
            <w:rStyle w:val="Hyperlink"/>
            <w:rFonts w:ascii="Times New Roman" w:hAnsi="Times New Roman"/>
          </w:rPr>
          <w:t>3.9.11.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34.10 – Központi szerződő felekkel szembeni kitettségek</w:t>
        </w:r>
        <w:r w:rsidR="00C54BE0">
          <w:rPr>
            <w:webHidden/>
          </w:rPr>
          <w:tab/>
        </w:r>
        <w:r w:rsidR="00C54BE0">
          <w:rPr>
            <w:webHidden/>
          </w:rPr>
          <w:fldChar w:fldCharType="begin"/>
        </w:r>
        <w:r w:rsidR="00C54BE0">
          <w:rPr>
            <w:webHidden/>
          </w:rPr>
          <w:instrText xml:space="preserve"> PAGEREF _Toc116039981 \h </w:instrText>
        </w:r>
        <w:r w:rsidR="00C54BE0">
          <w:rPr>
            <w:webHidden/>
          </w:rPr>
        </w:r>
        <w:r w:rsidR="00C54BE0">
          <w:rPr>
            <w:webHidden/>
          </w:rPr>
          <w:fldChar w:fldCharType="separate"/>
        </w:r>
        <w:r>
          <w:rPr>
            <w:webHidden/>
          </w:rPr>
          <w:t>205</w:t>
        </w:r>
        <w:r w:rsidR="00C54BE0">
          <w:rPr>
            <w:webHidden/>
          </w:rPr>
          <w:fldChar w:fldCharType="end"/>
        </w:r>
      </w:hyperlink>
    </w:p>
    <w:p w14:paraId="04B07761" w14:textId="6B19EF84" w:rsidR="00C54BE0" w:rsidRDefault="00D677D7">
      <w:pPr>
        <w:pStyle w:val="TOC2"/>
        <w:rPr>
          <w:rFonts w:asciiTheme="minorHAnsi" w:eastAsiaTheme="minorEastAsia" w:hAnsiTheme="minorHAnsi" w:cstheme="minorBidi"/>
          <w:b w:val="0"/>
          <w:smallCaps w:val="0"/>
          <w:sz w:val="22"/>
          <w:lang w:eastAsia="hu-HU"/>
        </w:rPr>
      </w:pPr>
      <w:hyperlink w:anchor="_Toc116039982" w:history="1">
        <w:r w:rsidR="00C54BE0" w:rsidRPr="00112933">
          <w:rPr>
            <w:rStyle w:val="Hyperlink"/>
            <w:rFonts w:ascii="Times New Roman" w:hAnsi="Times New Roman"/>
          </w:rPr>
          <w:t>3.9.11.1.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_Toc116039982 \h </w:instrText>
        </w:r>
        <w:r w:rsidR="00C54BE0">
          <w:rPr>
            <w:webHidden/>
          </w:rPr>
        </w:r>
        <w:r w:rsidR="00C54BE0">
          <w:rPr>
            <w:webHidden/>
          </w:rPr>
          <w:fldChar w:fldCharType="separate"/>
        </w:r>
        <w:r>
          <w:rPr>
            <w:webHidden/>
          </w:rPr>
          <w:t>205</w:t>
        </w:r>
        <w:r w:rsidR="00C54BE0">
          <w:rPr>
            <w:webHidden/>
          </w:rPr>
          <w:fldChar w:fldCharType="end"/>
        </w:r>
      </w:hyperlink>
    </w:p>
    <w:p w14:paraId="00E081C2" w14:textId="57F0055E" w:rsidR="00C54BE0" w:rsidRDefault="00D677D7">
      <w:pPr>
        <w:pStyle w:val="TOC2"/>
        <w:rPr>
          <w:rFonts w:asciiTheme="minorHAnsi" w:eastAsiaTheme="minorEastAsia" w:hAnsiTheme="minorHAnsi" w:cstheme="minorBidi"/>
          <w:b w:val="0"/>
          <w:smallCaps w:val="0"/>
          <w:sz w:val="22"/>
          <w:lang w:eastAsia="hu-HU"/>
        </w:rPr>
      </w:pPr>
      <w:hyperlink w:anchor="_Toc116039983" w:history="1">
        <w:r w:rsidR="00C54BE0" w:rsidRPr="00112933">
          <w:rPr>
            <w:rStyle w:val="Hyperlink"/>
            <w:rFonts w:ascii="Times New Roman" w:hAnsi="Times New Roman"/>
          </w:rPr>
          <w:t>3.9.11.2.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_Toc116039983 \h </w:instrText>
        </w:r>
        <w:r w:rsidR="00C54BE0">
          <w:rPr>
            <w:webHidden/>
          </w:rPr>
        </w:r>
        <w:r w:rsidR="00C54BE0">
          <w:rPr>
            <w:webHidden/>
          </w:rPr>
          <w:fldChar w:fldCharType="separate"/>
        </w:r>
        <w:r>
          <w:rPr>
            <w:webHidden/>
          </w:rPr>
          <w:t>205</w:t>
        </w:r>
        <w:r w:rsidR="00C54BE0">
          <w:rPr>
            <w:webHidden/>
          </w:rPr>
          <w:fldChar w:fldCharType="end"/>
        </w:r>
      </w:hyperlink>
    </w:p>
    <w:p w14:paraId="3FDEA7D3" w14:textId="2576374D" w:rsidR="00C54BE0" w:rsidRDefault="00D677D7">
      <w:pPr>
        <w:pStyle w:val="TOC2"/>
        <w:rPr>
          <w:rFonts w:asciiTheme="minorHAnsi" w:eastAsiaTheme="minorEastAsia" w:hAnsiTheme="minorHAnsi" w:cstheme="minorBidi"/>
          <w:b w:val="0"/>
          <w:smallCaps w:val="0"/>
          <w:sz w:val="22"/>
          <w:lang w:eastAsia="hu-HU"/>
        </w:rPr>
      </w:pPr>
      <w:hyperlink w:anchor="_Toc116039984" w:history="1">
        <w:r w:rsidR="00C54BE0" w:rsidRPr="00112933">
          <w:rPr>
            <w:rStyle w:val="Hyperlink"/>
            <w:rFonts w:ascii="Times New Roman" w:hAnsi="Times New Roman"/>
          </w:rPr>
          <w:t>3.9.12.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34.11 – A partnerkockázathoz kapcsolódó, belső modell módszer szerint számított, kockázattal súlyozott kitettségérték (RWEA) változásának kimutatása</w:t>
        </w:r>
        <w:r w:rsidR="00C54BE0">
          <w:rPr>
            <w:webHidden/>
          </w:rPr>
          <w:tab/>
        </w:r>
        <w:r w:rsidR="00C54BE0">
          <w:rPr>
            <w:webHidden/>
          </w:rPr>
          <w:fldChar w:fldCharType="begin"/>
        </w:r>
        <w:r w:rsidR="00C54BE0">
          <w:rPr>
            <w:webHidden/>
          </w:rPr>
          <w:instrText xml:space="preserve"> PAGEREF _Toc116039984 \h </w:instrText>
        </w:r>
        <w:r w:rsidR="00C54BE0">
          <w:rPr>
            <w:webHidden/>
          </w:rPr>
        </w:r>
        <w:r w:rsidR="00C54BE0">
          <w:rPr>
            <w:webHidden/>
          </w:rPr>
          <w:fldChar w:fldCharType="separate"/>
        </w:r>
        <w:r>
          <w:rPr>
            <w:webHidden/>
          </w:rPr>
          <w:t>206</w:t>
        </w:r>
        <w:r w:rsidR="00C54BE0">
          <w:rPr>
            <w:webHidden/>
          </w:rPr>
          <w:fldChar w:fldCharType="end"/>
        </w:r>
      </w:hyperlink>
    </w:p>
    <w:p w14:paraId="5BD913E8" w14:textId="3182A0EB" w:rsidR="00C54BE0" w:rsidRDefault="00D677D7">
      <w:pPr>
        <w:pStyle w:val="TOC2"/>
        <w:rPr>
          <w:rFonts w:asciiTheme="minorHAnsi" w:eastAsiaTheme="minorEastAsia" w:hAnsiTheme="minorHAnsi" w:cstheme="minorBidi"/>
          <w:b w:val="0"/>
          <w:smallCaps w:val="0"/>
          <w:sz w:val="22"/>
          <w:lang w:eastAsia="hu-HU"/>
        </w:rPr>
      </w:pPr>
      <w:hyperlink w:anchor="_Toc116039985" w:history="1">
        <w:r w:rsidR="00C54BE0" w:rsidRPr="00112933">
          <w:rPr>
            <w:rStyle w:val="Hyperlink"/>
            <w:rFonts w:ascii="Times New Roman" w:hAnsi="Times New Roman"/>
          </w:rPr>
          <w:t>3.9.12.1.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_Toc116039985 \h </w:instrText>
        </w:r>
        <w:r w:rsidR="00C54BE0">
          <w:rPr>
            <w:webHidden/>
          </w:rPr>
        </w:r>
        <w:r w:rsidR="00C54BE0">
          <w:rPr>
            <w:webHidden/>
          </w:rPr>
          <w:fldChar w:fldCharType="separate"/>
        </w:r>
        <w:r>
          <w:rPr>
            <w:webHidden/>
          </w:rPr>
          <w:t>206</w:t>
        </w:r>
        <w:r w:rsidR="00C54BE0">
          <w:rPr>
            <w:webHidden/>
          </w:rPr>
          <w:fldChar w:fldCharType="end"/>
        </w:r>
      </w:hyperlink>
    </w:p>
    <w:p w14:paraId="31DD90CF" w14:textId="127F370F" w:rsidR="00C54BE0" w:rsidRDefault="00D677D7">
      <w:pPr>
        <w:pStyle w:val="TOC2"/>
        <w:rPr>
          <w:rFonts w:asciiTheme="minorHAnsi" w:eastAsiaTheme="minorEastAsia" w:hAnsiTheme="minorHAnsi" w:cstheme="minorBidi"/>
          <w:b w:val="0"/>
          <w:smallCaps w:val="0"/>
          <w:sz w:val="22"/>
          <w:lang w:eastAsia="hu-HU"/>
        </w:rPr>
      </w:pPr>
      <w:hyperlink w:anchor="_Toc116039986" w:history="1">
        <w:r w:rsidR="00C54BE0" w:rsidRPr="00112933">
          <w:rPr>
            <w:rStyle w:val="Hyperlink"/>
            <w:rFonts w:ascii="Times New Roman" w:hAnsi="Times New Roman"/>
          </w:rPr>
          <w:t>3.9.12.2.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_Toc116039986 \h </w:instrText>
        </w:r>
        <w:r w:rsidR="00C54BE0">
          <w:rPr>
            <w:webHidden/>
          </w:rPr>
        </w:r>
        <w:r w:rsidR="00C54BE0">
          <w:rPr>
            <w:webHidden/>
          </w:rPr>
          <w:fldChar w:fldCharType="separate"/>
        </w:r>
        <w:r>
          <w:rPr>
            <w:webHidden/>
          </w:rPr>
          <w:t>207</w:t>
        </w:r>
        <w:r w:rsidR="00C54BE0">
          <w:rPr>
            <w:webHidden/>
          </w:rPr>
          <w:fldChar w:fldCharType="end"/>
        </w:r>
      </w:hyperlink>
    </w:p>
    <w:p w14:paraId="1C0933C3" w14:textId="6335B33F" w:rsidR="00C54BE0" w:rsidRDefault="00D677D7">
      <w:pPr>
        <w:pStyle w:val="TOC2"/>
        <w:rPr>
          <w:rFonts w:asciiTheme="minorHAnsi" w:eastAsiaTheme="minorEastAsia" w:hAnsiTheme="minorHAnsi" w:cstheme="minorBidi"/>
          <w:b w:val="0"/>
          <w:smallCaps w:val="0"/>
          <w:sz w:val="22"/>
          <w:lang w:eastAsia="hu-HU"/>
        </w:rPr>
      </w:pPr>
      <w:hyperlink w:anchor="_Toc116039987" w:history="1">
        <w:r w:rsidR="00C54BE0" w:rsidRPr="00112933">
          <w:rPr>
            <w:rStyle w:val="Hyperlink"/>
            <w:rFonts w:ascii="Times New Roman" w:hAnsi="Times New Roman"/>
          </w:rPr>
          <w:t>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Működési kockázati táblacsoport</w:t>
        </w:r>
        <w:r w:rsidR="00C54BE0">
          <w:rPr>
            <w:webHidden/>
          </w:rPr>
          <w:tab/>
        </w:r>
        <w:r w:rsidR="00C54BE0">
          <w:rPr>
            <w:webHidden/>
          </w:rPr>
          <w:fldChar w:fldCharType="begin"/>
        </w:r>
        <w:r w:rsidR="00C54BE0">
          <w:rPr>
            <w:webHidden/>
          </w:rPr>
          <w:instrText xml:space="preserve"> PAGEREF _Toc116039987 \h </w:instrText>
        </w:r>
        <w:r w:rsidR="00C54BE0">
          <w:rPr>
            <w:webHidden/>
          </w:rPr>
        </w:r>
        <w:r w:rsidR="00C54BE0">
          <w:rPr>
            <w:webHidden/>
          </w:rPr>
          <w:fldChar w:fldCharType="separate"/>
        </w:r>
        <w:r>
          <w:rPr>
            <w:webHidden/>
          </w:rPr>
          <w:t>208</w:t>
        </w:r>
        <w:r w:rsidR="00C54BE0">
          <w:rPr>
            <w:webHidden/>
          </w:rPr>
          <w:fldChar w:fldCharType="end"/>
        </w:r>
      </w:hyperlink>
    </w:p>
    <w:p w14:paraId="28137C29" w14:textId="4946545B" w:rsidR="00C54BE0" w:rsidRDefault="00D677D7">
      <w:pPr>
        <w:pStyle w:val="TOC2"/>
        <w:rPr>
          <w:rFonts w:asciiTheme="minorHAnsi" w:eastAsiaTheme="minorEastAsia" w:hAnsiTheme="minorHAnsi" w:cstheme="minorBidi"/>
          <w:b w:val="0"/>
          <w:smallCaps w:val="0"/>
          <w:sz w:val="22"/>
          <w:lang w:eastAsia="hu-HU"/>
        </w:rPr>
      </w:pPr>
      <w:hyperlink w:anchor="_Toc116039988" w:history="1">
        <w:r w:rsidR="00C54BE0" w:rsidRPr="00112933">
          <w:rPr>
            <w:rStyle w:val="Hyperlink"/>
            <w:rFonts w:ascii="Times New Roman" w:hAnsi="Times New Roman"/>
          </w:rPr>
          <w:t>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 xml:space="preserve"> C 16.00 – Működési kockázat (OPR)</w:t>
        </w:r>
        <w:r w:rsidR="00C54BE0">
          <w:rPr>
            <w:webHidden/>
          </w:rPr>
          <w:tab/>
        </w:r>
        <w:r w:rsidR="00C54BE0">
          <w:rPr>
            <w:webHidden/>
          </w:rPr>
          <w:fldChar w:fldCharType="begin"/>
        </w:r>
        <w:r w:rsidR="00C54BE0">
          <w:rPr>
            <w:webHidden/>
          </w:rPr>
          <w:instrText xml:space="preserve"> PAGEREF _Toc116039988 \h </w:instrText>
        </w:r>
        <w:r w:rsidR="00C54BE0">
          <w:rPr>
            <w:webHidden/>
          </w:rPr>
        </w:r>
        <w:r w:rsidR="00C54BE0">
          <w:rPr>
            <w:webHidden/>
          </w:rPr>
          <w:fldChar w:fldCharType="separate"/>
        </w:r>
        <w:r>
          <w:rPr>
            <w:webHidden/>
          </w:rPr>
          <w:t>208</w:t>
        </w:r>
        <w:r w:rsidR="00C54BE0">
          <w:rPr>
            <w:webHidden/>
          </w:rPr>
          <w:fldChar w:fldCharType="end"/>
        </w:r>
      </w:hyperlink>
    </w:p>
    <w:p w14:paraId="0E8EECD7" w14:textId="36829E99" w:rsidR="00C54BE0" w:rsidRDefault="00D677D7">
      <w:pPr>
        <w:pStyle w:val="TOC2"/>
        <w:rPr>
          <w:rFonts w:asciiTheme="minorHAnsi" w:eastAsiaTheme="minorEastAsia" w:hAnsiTheme="minorHAnsi" w:cstheme="minorBidi"/>
          <w:b w:val="0"/>
          <w:smallCaps w:val="0"/>
          <w:sz w:val="22"/>
          <w:lang w:eastAsia="hu-HU"/>
        </w:rPr>
      </w:pPr>
      <w:hyperlink w:anchor="_Toc116039989" w:history="1">
        <w:r w:rsidR="00C54BE0" w:rsidRPr="00112933">
          <w:rPr>
            <w:rStyle w:val="Hyperlink"/>
            <w:rFonts w:ascii="Times New Roman" w:hAnsi="Times New Roman"/>
          </w:rPr>
          <w:t>4.1.1.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_Toc116039989 \h </w:instrText>
        </w:r>
        <w:r w:rsidR="00C54BE0">
          <w:rPr>
            <w:webHidden/>
          </w:rPr>
        </w:r>
        <w:r w:rsidR="00C54BE0">
          <w:rPr>
            <w:webHidden/>
          </w:rPr>
          <w:fldChar w:fldCharType="separate"/>
        </w:r>
        <w:r>
          <w:rPr>
            <w:webHidden/>
          </w:rPr>
          <w:t>208</w:t>
        </w:r>
        <w:r w:rsidR="00C54BE0">
          <w:rPr>
            <w:webHidden/>
          </w:rPr>
          <w:fldChar w:fldCharType="end"/>
        </w:r>
      </w:hyperlink>
    </w:p>
    <w:p w14:paraId="1C20B392" w14:textId="5BB8E1A1" w:rsidR="00C54BE0" w:rsidRDefault="00D677D7">
      <w:pPr>
        <w:pStyle w:val="TOC2"/>
        <w:rPr>
          <w:rFonts w:asciiTheme="minorHAnsi" w:eastAsiaTheme="minorEastAsia" w:hAnsiTheme="minorHAnsi" w:cstheme="minorBidi"/>
          <w:b w:val="0"/>
          <w:smallCaps w:val="0"/>
          <w:sz w:val="22"/>
          <w:lang w:eastAsia="hu-HU"/>
        </w:rPr>
      </w:pPr>
      <w:hyperlink w:anchor="_Toc116039990" w:history="1">
        <w:r w:rsidR="00C54BE0" w:rsidRPr="00112933">
          <w:rPr>
            <w:rStyle w:val="Hyperlink"/>
            <w:rFonts w:ascii="Times New Roman" w:hAnsi="Times New Roman"/>
          </w:rPr>
          <w:t>4.1.2.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_Toc116039990 \h </w:instrText>
        </w:r>
        <w:r w:rsidR="00C54BE0">
          <w:rPr>
            <w:webHidden/>
          </w:rPr>
        </w:r>
        <w:r w:rsidR="00C54BE0">
          <w:rPr>
            <w:webHidden/>
          </w:rPr>
          <w:fldChar w:fldCharType="separate"/>
        </w:r>
        <w:r>
          <w:rPr>
            <w:webHidden/>
          </w:rPr>
          <w:t>209</w:t>
        </w:r>
        <w:r w:rsidR="00C54BE0">
          <w:rPr>
            <w:webHidden/>
          </w:rPr>
          <w:fldChar w:fldCharType="end"/>
        </w:r>
      </w:hyperlink>
    </w:p>
    <w:p w14:paraId="2D95BC1C" w14:textId="38167ADB" w:rsidR="00C54BE0" w:rsidRDefault="00D677D7">
      <w:pPr>
        <w:pStyle w:val="TOC2"/>
        <w:rPr>
          <w:rFonts w:asciiTheme="minorHAnsi" w:eastAsiaTheme="minorEastAsia" w:hAnsiTheme="minorHAnsi" w:cstheme="minorBidi"/>
          <w:b w:val="0"/>
          <w:smallCaps w:val="0"/>
          <w:sz w:val="22"/>
          <w:lang w:eastAsia="hu-HU"/>
        </w:rPr>
      </w:pPr>
      <w:hyperlink w:anchor="_Toc116039991" w:history="1">
        <w:r w:rsidR="00C54BE0" w:rsidRPr="00112933">
          <w:rPr>
            <w:rStyle w:val="Hyperlink"/>
            <w:rFonts w:ascii="Times New Roman" w:hAnsi="Times New Roman"/>
          </w:rPr>
          <w:t>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Működési kockázat: az előző évi veszteségekre vonatkozó részletes információk (OPR DETAILS)</w:t>
        </w:r>
        <w:r w:rsidR="00C54BE0">
          <w:rPr>
            <w:webHidden/>
          </w:rPr>
          <w:tab/>
        </w:r>
        <w:r w:rsidR="00C54BE0">
          <w:rPr>
            <w:webHidden/>
          </w:rPr>
          <w:fldChar w:fldCharType="begin"/>
        </w:r>
        <w:r w:rsidR="00C54BE0">
          <w:rPr>
            <w:webHidden/>
          </w:rPr>
          <w:instrText xml:space="preserve"> PAGEREF _Toc116039991 \h </w:instrText>
        </w:r>
        <w:r w:rsidR="00C54BE0">
          <w:rPr>
            <w:webHidden/>
          </w:rPr>
        </w:r>
        <w:r w:rsidR="00C54BE0">
          <w:rPr>
            <w:webHidden/>
          </w:rPr>
          <w:fldChar w:fldCharType="separate"/>
        </w:r>
        <w:r>
          <w:rPr>
            <w:webHidden/>
          </w:rPr>
          <w:t>213</w:t>
        </w:r>
        <w:r w:rsidR="00C54BE0">
          <w:rPr>
            <w:webHidden/>
          </w:rPr>
          <w:fldChar w:fldCharType="end"/>
        </w:r>
      </w:hyperlink>
    </w:p>
    <w:p w14:paraId="645E505E" w14:textId="2E035813" w:rsidR="00C54BE0" w:rsidRDefault="00D677D7">
      <w:pPr>
        <w:pStyle w:val="TOC2"/>
        <w:rPr>
          <w:rFonts w:asciiTheme="minorHAnsi" w:eastAsiaTheme="minorEastAsia" w:hAnsiTheme="minorHAnsi" w:cstheme="minorBidi"/>
          <w:b w:val="0"/>
          <w:smallCaps w:val="0"/>
          <w:sz w:val="22"/>
          <w:lang w:eastAsia="hu-HU"/>
        </w:rPr>
      </w:pPr>
      <w:hyperlink w:anchor="_Toc116039992" w:history="1">
        <w:r w:rsidR="00C54BE0" w:rsidRPr="00112933">
          <w:rPr>
            <w:rStyle w:val="Hyperlink"/>
            <w:rFonts w:ascii="Times New Roman" w:hAnsi="Times New Roman"/>
          </w:rPr>
          <w:t>4.2.1.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_Toc116039992 \h </w:instrText>
        </w:r>
        <w:r w:rsidR="00C54BE0">
          <w:rPr>
            <w:webHidden/>
          </w:rPr>
        </w:r>
        <w:r w:rsidR="00C54BE0">
          <w:rPr>
            <w:webHidden/>
          </w:rPr>
          <w:fldChar w:fldCharType="separate"/>
        </w:r>
        <w:r>
          <w:rPr>
            <w:webHidden/>
          </w:rPr>
          <w:t>213</w:t>
        </w:r>
        <w:r w:rsidR="00C54BE0">
          <w:rPr>
            <w:webHidden/>
          </w:rPr>
          <w:fldChar w:fldCharType="end"/>
        </w:r>
      </w:hyperlink>
    </w:p>
    <w:p w14:paraId="113E09F5" w14:textId="7FE3A58C" w:rsidR="00C54BE0" w:rsidRDefault="00D677D7">
      <w:pPr>
        <w:pStyle w:val="TOC2"/>
        <w:rPr>
          <w:rFonts w:asciiTheme="minorHAnsi" w:eastAsiaTheme="minorEastAsia" w:hAnsiTheme="minorHAnsi" w:cstheme="minorBidi"/>
          <w:b w:val="0"/>
          <w:smallCaps w:val="0"/>
          <w:sz w:val="22"/>
          <w:lang w:eastAsia="hu-HU"/>
        </w:rPr>
      </w:pPr>
      <w:hyperlink w:anchor="_Toc116039993" w:history="1">
        <w:r w:rsidR="00C54BE0" w:rsidRPr="00112933">
          <w:rPr>
            <w:rStyle w:val="Hyperlink"/>
            <w:rFonts w:ascii="Times New Roman" w:hAnsi="Times New Roman"/>
          </w:rPr>
          <w:t>4.2.2.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17.01: Működési kockázat: az előző évi veszteségek és megtérült veszteségek üzletáganként és veszteségesemény-típusonként (OPR DETAILS 1)</w:t>
        </w:r>
        <w:r w:rsidR="00C54BE0">
          <w:rPr>
            <w:webHidden/>
          </w:rPr>
          <w:tab/>
        </w:r>
        <w:r w:rsidR="00C54BE0">
          <w:rPr>
            <w:webHidden/>
          </w:rPr>
          <w:fldChar w:fldCharType="begin"/>
        </w:r>
        <w:r w:rsidR="00C54BE0">
          <w:rPr>
            <w:webHidden/>
          </w:rPr>
          <w:instrText xml:space="preserve"> PAGEREF _Toc116039993 \h </w:instrText>
        </w:r>
        <w:r w:rsidR="00C54BE0">
          <w:rPr>
            <w:webHidden/>
          </w:rPr>
        </w:r>
        <w:r w:rsidR="00C54BE0">
          <w:rPr>
            <w:webHidden/>
          </w:rPr>
          <w:fldChar w:fldCharType="separate"/>
        </w:r>
        <w:r>
          <w:rPr>
            <w:webHidden/>
          </w:rPr>
          <w:t>214</w:t>
        </w:r>
        <w:r w:rsidR="00C54BE0">
          <w:rPr>
            <w:webHidden/>
          </w:rPr>
          <w:fldChar w:fldCharType="end"/>
        </w:r>
      </w:hyperlink>
    </w:p>
    <w:p w14:paraId="1410AD62" w14:textId="0E5731E6" w:rsidR="00C54BE0" w:rsidRDefault="00D677D7">
      <w:pPr>
        <w:pStyle w:val="TOC2"/>
        <w:rPr>
          <w:rFonts w:asciiTheme="minorHAnsi" w:eastAsiaTheme="minorEastAsia" w:hAnsiTheme="minorHAnsi" w:cstheme="minorBidi"/>
          <w:b w:val="0"/>
          <w:smallCaps w:val="0"/>
          <w:sz w:val="22"/>
          <w:lang w:eastAsia="hu-HU"/>
        </w:rPr>
      </w:pPr>
      <w:hyperlink w:anchor="_Toc116039994" w:history="1">
        <w:r w:rsidR="00C54BE0" w:rsidRPr="00112933">
          <w:rPr>
            <w:rStyle w:val="Hyperlink"/>
            <w:rFonts w:ascii="Times New Roman" w:hAnsi="Times New Roman"/>
          </w:rPr>
          <w:t>4.2.2.1.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_Toc116039994 \h </w:instrText>
        </w:r>
        <w:r w:rsidR="00C54BE0">
          <w:rPr>
            <w:webHidden/>
          </w:rPr>
        </w:r>
        <w:r w:rsidR="00C54BE0">
          <w:rPr>
            <w:webHidden/>
          </w:rPr>
          <w:fldChar w:fldCharType="separate"/>
        </w:r>
        <w:r>
          <w:rPr>
            <w:webHidden/>
          </w:rPr>
          <w:t>214</w:t>
        </w:r>
        <w:r w:rsidR="00C54BE0">
          <w:rPr>
            <w:webHidden/>
          </w:rPr>
          <w:fldChar w:fldCharType="end"/>
        </w:r>
      </w:hyperlink>
    </w:p>
    <w:p w14:paraId="5ED856FA" w14:textId="080DBC64" w:rsidR="00C54BE0" w:rsidRDefault="00D677D7">
      <w:pPr>
        <w:pStyle w:val="TOC2"/>
        <w:rPr>
          <w:rFonts w:asciiTheme="minorHAnsi" w:eastAsiaTheme="minorEastAsia" w:hAnsiTheme="minorHAnsi" w:cstheme="minorBidi"/>
          <w:b w:val="0"/>
          <w:smallCaps w:val="0"/>
          <w:sz w:val="22"/>
          <w:lang w:eastAsia="hu-HU"/>
        </w:rPr>
      </w:pPr>
      <w:hyperlink w:anchor="_Toc116039995" w:history="1">
        <w:r w:rsidR="00C54BE0" w:rsidRPr="00112933">
          <w:rPr>
            <w:rStyle w:val="Hyperlink"/>
            <w:rFonts w:ascii="Times New Roman" w:hAnsi="Times New Roman"/>
          </w:rPr>
          <w:t>4.2.2.2.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_Toc116039995 \h </w:instrText>
        </w:r>
        <w:r w:rsidR="00C54BE0">
          <w:rPr>
            <w:webHidden/>
          </w:rPr>
        </w:r>
        <w:r w:rsidR="00C54BE0">
          <w:rPr>
            <w:webHidden/>
          </w:rPr>
          <w:fldChar w:fldCharType="separate"/>
        </w:r>
        <w:r>
          <w:rPr>
            <w:webHidden/>
          </w:rPr>
          <w:t>215</w:t>
        </w:r>
        <w:r w:rsidR="00C54BE0">
          <w:rPr>
            <w:webHidden/>
          </w:rPr>
          <w:fldChar w:fldCharType="end"/>
        </w:r>
      </w:hyperlink>
    </w:p>
    <w:p w14:paraId="2C8D8E83" w14:textId="156B90A9" w:rsidR="00C54BE0" w:rsidRDefault="00D677D7">
      <w:pPr>
        <w:pStyle w:val="TOC2"/>
        <w:rPr>
          <w:rFonts w:asciiTheme="minorHAnsi" w:eastAsiaTheme="minorEastAsia" w:hAnsiTheme="minorHAnsi" w:cstheme="minorBidi"/>
          <w:b w:val="0"/>
          <w:smallCaps w:val="0"/>
          <w:sz w:val="22"/>
          <w:lang w:eastAsia="hu-HU"/>
        </w:rPr>
      </w:pPr>
      <w:hyperlink w:anchor="_Toc116039996" w:history="1">
        <w:r w:rsidR="00C54BE0" w:rsidRPr="00112933">
          <w:rPr>
            <w:rStyle w:val="Hyperlink"/>
            <w:rFonts w:ascii="Times New Roman" w:hAnsi="Times New Roman"/>
          </w:rPr>
          <w:t>4.2.3.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17.02: Működési kockázat: az utolsó évi nagy veszteségeseményekre vonatkozó részletes információk (OPR DETAILS 2)</w:t>
        </w:r>
        <w:r w:rsidR="00C54BE0">
          <w:rPr>
            <w:webHidden/>
          </w:rPr>
          <w:tab/>
        </w:r>
        <w:r w:rsidR="00C54BE0">
          <w:rPr>
            <w:webHidden/>
          </w:rPr>
          <w:fldChar w:fldCharType="begin"/>
        </w:r>
        <w:r w:rsidR="00C54BE0">
          <w:rPr>
            <w:webHidden/>
          </w:rPr>
          <w:instrText xml:space="preserve"> PAGEREF _Toc116039996 \h </w:instrText>
        </w:r>
        <w:r w:rsidR="00C54BE0">
          <w:rPr>
            <w:webHidden/>
          </w:rPr>
        </w:r>
        <w:r w:rsidR="00C54BE0">
          <w:rPr>
            <w:webHidden/>
          </w:rPr>
          <w:fldChar w:fldCharType="separate"/>
        </w:r>
        <w:r>
          <w:rPr>
            <w:webHidden/>
          </w:rPr>
          <w:t>222</w:t>
        </w:r>
        <w:r w:rsidR="00C54BE0">
          <w:rPr>
            <w:webHidden/>
          </w:rPr>
          <w:fldChar w:fldCharType="end"/>
        </w:r>
      </w:hyperlink>
    </w:p>
    <w:p w14:paraId="4DA0FB53" w14:textId="24DBF52B" w:rsidR="00C54BE0" w:rsidRDefault="00D677D7">
      <w:pPr>
        <w:pStyle w:val="TOC2"/>
        <w:rPr>
          <w:rFonts w:asciiTheme="minorHAnsi" w:eastAsiaTheme="minorEastAsia" w:hAnsiTheme="minorHAnsi" w:cstheme="minorBidi"/>
          <w:b w:val="0"/>
          <w:smallCaps w:val="0"/>
          <w:sz w:val="22"/>
          <w:lang w:eastAsia="hu-HU"/>
        </w:rPr>
      </w:pPr>
      <w:hyperlink w:anchor="_Toc116039997" w:history="1">
        <w:r w:rsidR="00C54BE0" w:rsidRPr="00112933">
          <w:rPr>
            <w:rStyle w:val="Hyperlink"/>
            <w:rFonts w:ascii="Times New Roman" w:hAnsi="Times New Roman"/>
          </w:rPr>
          <w:t>4.2.3.1.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_Toc116039997 \h </w:instrText>
        </w:r>
        <w:r w:rsidR="00C54BE0">
          <w:rPr>
            <w:webHidden/>
          </w:rPr>
        </w:r>
        <w:r w:rsidR="00C54BE0">
          <w:rPr>
            <w:webHidden/>
          </w:rPr>
          <w:fldChar w:fldCharType="separate"/>
        </w:r>
        <w:r>
          <w:rPr>
            <w:webHidden/>
          </w:rPr>
          <w:t>222</w:t>
        </w:r>
        <w:r w:rsidR="00C54BE0">
          <w:rPr>
            <w:webHidden/>
          </w:rPr>
          <w:fldChar w:fldCharType="end"/>
        </w:r>
      </w:hyperlink>
    </w:p>
    <w:p w14:paraId="33D680C9" w14:textId="75164765" w:rsidR="00C54BE0" w:rsidRDefault="00D677D7">
      <w:pPr>
        <w:pStyle w:val="TOC2"/>
        <w:rPr>
          <w:rFonts w:asciiTheme="minorHAnsi" w:eastAsiaTheme="minorEastAsia" w:hAnsiTheme="minorHAnsi" w:cstheme="minorBidi"/>
          <w:b w:val="0"/>
          <w:smallCaps w:val="0"/>
          <w:sz w:val="22"/>
          <w:lang w:eastAsia="hu-HU"/>
        </w:rPr>
      </w:pPr>
      <w:hyperlink w:anchor="_Toc116039998" w:history="1">
        <w:r w:rsidR="00C54BE0" w:rsidRPr="00112933">
          <w:rPr>
            <w:rStyle w:val="Hyperlink"/>
            <w:rFonts w:ascii="Times New Roman" w:hAnsi="Times New Roman"/>
          </w:rPr>
          <w:t>4.2.3.2.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_Toc116039998 \h </w:instrText>
        </w:r>
        <w:r w:rsidR="00C54BE0">
          <w:rPr>
            <w:webHidden/>
          </w:rPr>
        </w:r>
        <w:r w:rsidR="00C54BE0">
          <w:rPr>
            <w:webHidden/>
          </w:rPr>
          <w:fldChar w:fldCharType="separate"/>
        </w:r>
        <w:r>
          <w:rPr>
            <w:webHidden/>
          </w:rPr>
          <w:t>223</w:t>
        </w:r>
        <w:r w:rsidR="00C54BE0">
          <w:rPr>
            <w:webHidden/>
          </w:rPr>
          <w:fldChar w:fldCharType="end"/>
        </w:r>
      </w:hyperlink>
    </w:p>
    <w:p w14:paraId="47176C7F" w14:textId="22672D07" w:rsidR="00C54BE0" w:rsidRDefault="00D677D7">
      <w:pPr>
        <w:pStyle w:val="TOC2"/>
        <w:rPr>
          <w:rFonts w:asciiTheme="minorHAnsi" w:eastAsiaTheme="minorEastAsia" w:hAnsiTheme="minorHAnsi" w:cstheme="minorBidi"/>
          <w:b w:val="0"/>
          <w:smallCaps w:val="0"/>
          <w:sz w:val="22"/>
          <w:lang w:eastAsia="hu-HU"/>
        </w:rPr>
      </w:pPr>
      <w:hyperlink w:anchor="_Toc116039999" w:history="1">
        <w:r w:rsidR="00C54BE0" w:rsidRPr="00112933">
          <w:rPr>
            <w:rStyle w:val="Hyperlink"/>
            <w:rFonts w:ascii="Times New Roman" w:hAnsi="Times New Roman"/>
          </w:rPr>
          <w:t>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Piaci kockázati táblacsoport</w:t>
        </w:r>
        <w:r w:rsidR="00C54BE0">
          <w:rPr>
            <w:webHidden/>
          </w:rPr>
          <w:tab/>
        </w:r>
        <w:r w:rsidR="00C54BE0">
          <w:rPr>
            <w:webHidden/>
          </w:rPr>
          <w:fldChar w:fldCharType="begin"/>
        </w:r>
        <w:r w:rsidR="00C54BE0">
          <w:rPr>
            <w:webHidden/>
          </w:rPr>
          <w:instrText xml:space="preserve"> PAGEREF _Toc116039999 \h </w:instrText>
        </w:r>
        <w:r w:rsidR="00C54BE0">
          <w:rPr>
            <w:webHidden/>
          </w:rPr>
        </w:r>
        <w:r w:rsidR="00C54BE0">
          <w:rPr>
            <w:webHidden/>
          </w:rPr>
          <w:fldChar w:fldCharType="separate"/>
        </w:r>
        <w:r>
          <w:rPr>
            <w:webHidden/>
          </w:rPr>
          <w:t>225</w:t>
        </w:r>
        <w:r w:rsidR="00C54BE0">
          <w:rPr>
            <w:webHidden/>
          </w:rPr>
          <w:fldChar w:fldCharType="end"/>
        </w:r>
      </w:hyperlink>
    </w:p>
    <w:p w14:paraId="68AA16EE" w14:textId="27F52F88" w:rsidR="00C54BE0" w:rsidRDefault="00D677D7">
      <w:pPr>
        <w:pStyle w:val="TOC2"/>
        <w:rPr>
          <w:rFonts w:asciiTheme="minorHAnsi" w:eastAsiaTheme="minorEastAsia" w:hAnsiTheme="minorHAnsi" w:cstheme="minorBidi"/>
          <w:b w:val="0"/>
          <w:smallCaps w:val="0"/>
          <w:sz w:val="22"/>
          <w:lang w:eastAsia="hu-HU"/>
        </w:rPr>
      </w:pPr>
      <w:hyperlink w:anchor="_Toc116040000" w:history="1">
        <w:r w:rsidR="00C54BE0" w:rsidRPr="00112933">
          <w:rPr>
            <w:rStyle w:val="Hyperlink"/>
            <w:rFonts w:ascii="Times New Roman" w:hAnsi="Times New Roman"/>
          </w:rPr>
          <w:t>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18.00 – Piaci kockázat: A forgalmazott, hitelviszonyt megtestesítő értékpapírok pozíciókockázatának sztenderd módszere (MKR SA TDI)</w:t>
        </w:r>
        <w:r w:rsidR="00C54BE0">
          <w:rPr>
            <w:webHidden/>
          </w:rPr>
          <w:tab/>
        </w:r>
        <w:r w:rsidR="00C54BE0">
          <w:rPr>
            <w:webHidden/>
          </w:rPr>
          <w:fldChar w:fldCharType="begin"/>
        </w:r>
        <w:r w:rsidR="00C54BE0">
          <w:rPr>
            <w:webHidden/>
          </w:rPr>
          <w:instrText xml:space="preserve"> PAGEREF _Toc116040000 \h </w:instrText>
        </w:r>
        <w:r w:rsidR="00C54BE0">
          <w:rPr>
            <w:webHidden/>
          </w:rPr>
        </w:r>
        <w:r w:rsidR="00C54BE0">
          <w:rPr>
            <w:webHidden/>
          </w:rPr>
          <w:fldChar w:fldCharType="separate"/>
        </w:r>
        <w:r>
          <w:rPr>
            <w:webHidden/>
          </w:rPr>
          <w:t>225</w:t>
        </w:r>
        <w:r w:rsidR="00C54BE0">
          <w:rPr>
            <w:webHidden/>
          </w:rPr>
          <w:fldChar w:fldCharType="end"/>
        </w:r>
      </w:hyperlink>
    </w:p>
    <w:p w14:paraId="603E9DA6" w14:textId="3E6289E0" w:rsidR="00C54BE0" w:rsidRDefault="00D677D7">
      <w:pPr>
        <w:pStyle w:val="TOC2"/>
        <w:rPr>
          <w:rFonts w:asciiTheme="minorHAnsi" w:eastAsiaTheme="minorEastAsia" w:hAnsiTheme="minorHAnsi" w:cstheme="minorBidi"/>
          <w:b w:val="0"/>
          <w:smallCaps w:val="0"/>
          <w:sz w:val="22"/>
          <w:lang w:eastAsia="hu-HU"/>
        </w:rPr>
      </w:pPr>
      <w:hyperlink w:anchor="_Toc116040001" w:history="1">
        <w:r w:rsidR="00C54BE0" w:rsidRPr="00112933">
          <w:rPr>
            <w:rStyle w:val="Hyperlink"/>
            <w:rFonts w:ascii="Times New Roman" w:hAnsi="Times New Roman"/>
          </w:rPr>
          <w:t>5.1.1.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_Toc116040001 \h </w:instrText>
        </w:r>
        <w:r w:rsidR="00C54BE0">
          <w:rPr>
            <w:webHidden/>
          </w:rPr>
        </w:r>
        <w:r w:rsidR="00C54BE0">
          <w:rPr>
            <w:webHidden/>
          </w:rPr>
          <w:fldChar w:fldCharType="separate"/>
        </w:r>
        <w:r>
          <w:rPr>
            <w:webHidden/>
          </w:rPr>
          <w:t>225</w:t>
        </w:r>
        <w:r w:rsidR="00C54BE0">
          <w:rPr>
            <w:webHidden/>
          </w:rPr>
          <w:fldChar w:fldCharType="end"/>
        </w:r>
      </w:hyperlink>
    </w:p>
    <w:p w14:paraId="5D32C670" w14:textId="5E5372BF" w:rsidR="00C54BE0" w:rsidRDefault="00D677D7">
      <w:pPr>
        <w:pStyle w:val="TOC2"/>
        <w:rPr>
          <w:rFonts w:asciiTheme="minorHAnsi" w:eastAsiaTheme="minorEastAsia" w:hAnsiTheme="minorHAnsi" w:cstheme="minorBidi"/>
          <w:b w:val="0"/>
          <w:smallCaps w:val="0"/>
          <w:sz w:val="22"/>
          <w:lang w:eastAsia="hu-HU"/>
        </w:rPr>
      </w:pPr>
      <w:hyperlink w:anchor="_Toc116040002" w:history="1">
        <w:r w:rsidR="00C54BE0" w:rsidRPr="00112933">
          <w:rPr>
            <w:rStyle w:val="Hyperlink"/>
            <w:rFonts w:ascii="Times New Roman" w:hAnsi="Times New Roman"/>
          </w:rPr>
          <w:t>5.1.2.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_Toc116040002 \h </w:instrText>
        </w:r>
        <w:r w:rsidR="00C54BE0">
          <w:rPr>
            <w:webHidden/>
          </w:rPr>
        </w:r>
        <w:r w:rsidR="00C54BE0">
          <w:rPr>
            <w:webHidden/>
          </w:rPr>
          <w:fldChar w:fldCharType="separate"/>
        </w:r>
        <w:r>
          <w:rPr>
            <w:webHidden/>
          </w:rPr>
          <w:t>225</w:t>
        </w:r>
        <w:r w:rsidR="00C54BE0">
          <w:rPr>
            <w:webHidden/>
          </w:rPr>
          <w:fldChar w:fldCharType="end"/>
        </w:r>
      </w:hyperlink>
    </w:p>
    <w:p w14:paraId="7FF3AE6B" w14:textId="46BED8D0" w:rsidR="00C54BE0" w:rsidRDefault="00D677D7">
      <w:pPr>
        <w:pStyle w:val="TOC2"/>
        <w:rPr>
          <w:rFonts w:asciiTheme="minorHAnsi" w:eastAsiaTheme="minorEastAsia" w:hAnsiTheme="minorHAnsi" w:cstheme="minorBidi"/>
          <w:b w:val="0"/>
          <w:smallCaps w:val="0"/>
          <w:sz w:val="22"/>
          <w:lang w:eastAsia="hu-HU"/>
        </w:rPr>
      </w:pPr>
      <w:hyperlink w:anchor="_Toc116040003" w:history="1">
        <w:r w:rsidR="00C54BE0" w:rsidRPr="00112933">
          <w:rPr>
            <w:rStyle w:val="Hyperlink"/>
            <w:rFonts w:ascii="Times New Roman" w:hAnsi="Times New Roman"/>
          </w:rPr>
          <w:t>5.2.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19.00 – PIACI KOCKÁZAT: AZ ÉRTÉKPAPÍROSÍTÁSOK EGYEDI KOCKÁZATÁNAK SZTENDERD MÓDSZERE (MKR SA SEC)</w:t>
        </w:r>
        <w:r w:rsidR="00C54BE0">
          <w:rPr>
            <w:webHidden/>
          </w:rPr>
          <w:tab/>
        </w:r>
        <w:r w:rsidR="00C54BE0">
          <w:rPr>
            <w:webHidden/>
          </w:rPr>
          <w:fldChar w:fldCharType="begin"/>
        </w:r>
        <w:r w:rsidR="00C54BE0">
          <w:rPr>
            <w:webHidden/>
          </w:rPr>
          <w:instrText xml:space="preserve"> PAGEREF _Toc116040003 \h </w:instrText>
        </w:r>
        <w:r w:rsidR="00C54BE0">
          <w:rPr>
            <w:webHidden/>
          </w:rPr>
        </w:r>
        <w:r w:rsidR="00C54BE0">
          <w:rPr>
            <w:webHidden/>
          </w:rPr>
          <w:fldChar w:fldCharType="separate"/>
        </w:r>
        <w:r>
          <w:rPr>
            <w:webHidden/>
          </w:rPr>
          <w:t>228</w:t>
        </w:r>
        <w:r w:rsidR="00C54BE0">
          <w:rPr>
            <w:webHidden/>
          </w:rPr>
          <w:fldChar w:fldCharType="end"/>
        </w:r>
      </w:hyperlink>
    </w:p>
    <w:p w14:paraId="4277491D" w14:textId="75DAB7A5" w:rsidR="00C54BE0" w:rsidRDefault="00D677D7">
      <w:pPr>
        <w:pStyle w:val="TOC2"/>
        <w:rPr>
          <w:rFonts w:asciiTheme="minorHAnsi" w:eastAsiaTheme="minorEastAsia" w:hAnsiTheme="minorHAnsi" w:cstheme="minorBidi"/>
          <w:b w:val="0"/>
          <w:smallCaps w:val="0"/>
          <w:sz w:val="22"/>
          <w:lang w:eastAsia="hu-HU"/>
        </w:rPr>
      </w:pPr>
      <w:hyperlink w:anchor="_Toc116040004" w:history="1">
        <w:r w:rsidR="00C54BE0" w:rsidRPr="00112933">
          <w:rPr>
            <w:rStyle w:val="Hyperlink"/>
            <w:rFonts w:ascii="Times New Roman" w:hAnsi="Times New Roman"/>
          </w:rPr>
          <w:t>5.2.1.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_Toc116040004 \h </w:instrText>
        </w:r>
        <w:r w:rsidR="00C54BE0">
          <w:rPr>
            <w:webHidden/>
          </w:rPr>
        </w:r>
        <w:r w:rsidR="00C54BE0">
          <w:rPr>
            <w:webHidden/>
          </w:rPr>
          <w:fldChar w:fldCharType="separate"/>
        </w:r>
        <w:r>
          <w:rPr>
            <w:webHidden/>
          </w:rPr>
          <w:t>228</w:t>
        </w:r>
        <w:r w:rsidR="00C54BE0">
          <w:rPr>
            <w:webHidden/>
          </w:rPr>
          <w:fldChar w:fldCharType="end"/>
        </w:r>
      </w:hyperlink>
    </w:p>
    <w:p w14:paraId="753CBC51" w14:textId="16AD5428" w:rsidR="00C54BE0" w:rsidRDefault="00D677D7">
      <w:pPr>
        <w:pStyle w:val="TOC2"/>
        <w:rPr>
          <w:rFonts w:asciiTheme="minorHAnsi" w:eastAsiaTheme="minorEastAsia" w:hAnsiTheme="minorHAnsi" w:cstheme="minorBidi"/>
          <w:b w:val="0"/>
          <w:smallCaps w:val="0"/>
          <w:sz w:val="22"/>
          <w:lang w:eastAsia="hu-HU"/>
        </w:rPr>
      </w:pPr>
      <w:hyperlink w:anchor="_Toc116040005" w:history="1">
        <w:r w:rsidR="00C54BE0" w:rsidRPr="00112933">
          <w:rPr>
            <w:rStyle w:val="Hyperlink"/>
            <w:rFonts w:ascii="Times New Roman" w:hAnsi="Times New Roman"/>
          </w:rPr>
          <w:t>5.2.2.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_Toc116040005 \h </w:instrText>
        </w:r>
        <w:r w:rsidR="00C54BE0">
          <w:rPr>
            <w:webHidden/>
          </w:rPr>
        </w:r>
        <w:r w:rsidR="00C54BE0">
          <w:rPr>
            <w:webHidden/>
          </w:rPr>
          <w:fldChar w:fldCharType="separate"/>
        </w:r>
        <w:r>
          <w:rPr>
            <w:webHidden/>
          </w:rPr>
          <w:t>228</w:t>
        </w:r>
        <w:r w:rsidR="00C54BE0">
          <w:rPr>
            <w:webHidden/>
          </w:rPr>
          <w:fldChar w:fldCharType="end"/>
        </w:r>
      </w:hyperlink>
    </w:p>
    <w:p w14:paraId="36116703" w14:textId="1030BFDC" w:rsidR="00C54BE0" w:rsidRDefault="00D677D7">
      <w:pPr>
        <w:pStyle w:val="TOC2"/>
        <w:rPr>
          <w:rFonts w:asciiTheme="minorHAnsi" w:eastAsiaTheme="minorEastAsia" w:hAnsiTheme="minorHAnsi" w:cstheme="minorBidi"/>
          <w:b w:val="0"/>
          <w:smallCaps w:val="0"/>
          <w:sz w:val="22"/>
          <w:lang w:eastAsia="hu-HU"/>
        </w:rPr>
      </w:pPr>
      <w:hyperlink w:anchor="_Toc116040006" w:history="1">
        <w:r w:rsidR="00C54BE0" w:rsidRPr="00112933">
          <w:rPr>
            <w:rStyle w:val="Hyperlink"/>
            <w:rFonts w:ascii="Times New Roman" w:hAnsi="Times New Roman"/>
          </w:rPr>
          <w:t>5.3.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20.00 – PIACI KOCKÁZAT: A KORRELÁCIÓKERESKEDÉSI PORTFÓLIÓBA SOROLT POZÍCIÓK EGYEDI KOCKÁZATÁNAK SZTENDERD MÓDSZERE (MKR SA CTP)</w:t>
        </w:r>
        <w:r w:rsidR="00C54BE0">
          <w:rPr>
            <w:webHidden/>
          </w:rPr>
          <w:tab/>
        </w:r>
        <w:r w:rsidR="00C54BE0">
          <w:rPr>
            <w:webHidden/>
          </w:rPr>
          <w:fldChar w:fldCharType="begin"/>
        </w:r>
        <w:r w:rsidR="00C54BE0">
          <w:rPr>
            <w:webHidden/>
          </w:rPr>
          <w:instrText xml:space="preserve"> PAGEREF _Toc116040006 \h </w:instrText>
        </w:r>
        <w:r w:rsidR="00C54BE0">
          <w:rPr>
            <w:webHidden/>
          </w:rPr>
        </w:r>
        <w:r w:rsidR="00C54BE0">
          <w:rPr>
            <w:webHidden/>
          </w:rPr>
          <w:fldChar w:fldCharType="separate"/>
        </w:r>
        <w:r>
          <w:rPr>
            <w:webHidden/>
          </w:rPr>
          <w:t>231</w:t>
        </w:r>
        <w:r w:rsidR="00C54BE0">
          <w:rPr>
            <w:webHidden/>
          </w:rPr>
          <w:fldChar w:fldCharType="end"/>
        </w:r>
      </w:hyperlink>
    </w:p>
    <w:p w14:paraId="54A9B408" w14:textId="6AD5DAF3" w:rsidR="00C54BE0" w:rsidRDefault="00D677D7">
      <w:pPr>
        <w:pStyle w:val="TOC2"/>
        <w:rPr>
          <w:rFonts w:asciiTheme="minorHAnsi" w:eastAsiaTheme="minorEastAsia" w:hAnsiTheme="minorHAnsi" w:cstheme="minorBidi"/>
          <w:b w:val="0"/>
          <w:smallCaps w:val="0"/>
          <w:sz w:val="22"/>
          <w:lang w:eastAsia="hu-HU"/>
        </w:rPr>
      </w:pPr>
      <w:hyperlink w:anchor="_Toc116040007" w:history="1">
        <w:r w:rsidR="00C54BE0" w:rsidRPr="00112933">
          <w:rPr>
            <w:rStyle w:val="Hyperlink"/>
            <w:rFonts w:ascii="Times New Roman" w:hAnsi="Times New Roman"/>
          </w:rPr>
          <w:t>5.3.1.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_Toc116040007 \h </w:instrText>
        </w:r>
        <w:r w:rsidR="00C54BE0">
          <w:rPr>
            <w:webHidden/>
          </w:rPr>
        </w:r>
        <w:r w:rsidR="00C54BE0">
          <w:rPr>
            <w:webHidden/>
          </w:rPr>
          <w:fldChar w:fldCharType="separate"/>
        </w:r>
        <w:r>
          <w:rPr>
            <w:webHidden/>
          </w:rPr>
          <w:t>231</w:t>
        </w:r>
        <w:r w:rsidR="00C54BE0">
          <w:rPr>
            <w:webHidden/>
          </w:rPr>
          <w:fldChar w:fldCharType="end"/>
        </w:r>
      </w:hyperlink>
    </w:p>
    <w:p w14:paraId="0D6C7DDC" w14:textId="21E5E530" w:rsidR="00C54BE0" w:rsidRDefault="00D677D7">
      <w:pPr>
        <w:pStyle w:val="TOC2"/>
        <w:rPr>
          <w:rFonts w:asciiTheme="minorHAnsi" w:eastAsiaTheme="minorEastAsia" w:hAnsiTheme="minorHAnsi" w:cstheme="minorBidi"/>
          <w:b w:val="0"/>
          <w:smallCaps w:val="0"/>
          <w:sz w:val="22"/>
          <w:lang w:eastAsia="hu-HU"/>
        </w:rPr>
      </w:pPr>
      <w:hyperlink w:anchor="_Toc116040008" w:history="1">
        <w:r w:rsidR="00C54BE0" w:rsidRPr="00112933">
          <w:rPr>
            <w:rStyle w:val="Hyperlink"/>
            <w:rFonts w:ascii="Times New Roman" w:hAnsi="Times New Roman"/>
          </w:rPr>
          <w:t>5.3.2.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_Toc116040008 \h </w:instrText>
        </w:r>
        <w:r w:rsidR="00C54BE0">
          <w:rPr>
            <w:webHidden/>
          </w:rPr>
        </w:r>
        <w:r w:rsidR="00C54BE0">
          <w:rPr>
            <w:webHidden/>
          </w:rPr>
          <w:fldChar w:fldCharType="separate"/>
        </w:r>
        <w:r>
          <w:rPr>
            <w:webHidden/>
          </w:rPr>
          <w:t>231</w:t>
        </w:r>
        <w:r w:rsidR="00C54BE0">
          <w:rPr>
            <w:webHidden/>
          </w:rPr>
          <w:fldChar w:fldCharType="end"/>
        </w:r>
      </w:hyperlink>
    </w:p>
    <w:p w14:paraId="16252A6E" w14:textId="3E15FEF2" w:rsidR="00C54BE0" w:rsidRDefault="00D677D7">
      <w:pPr>
        <w:pStyle w:val="TOC2"/>
        <w:rPr>
          <w:rFonts w:asciiTheme="minorHAnsi" w:eastAsiaTheme="minorEastAsia" w:hAnsiTheme="minorHAnsi" w:cstheme="minorBidi"/>
          <w:b w:val="0"/>
          <w:smallCaps w:val="0"/>
          <w:sz w:val="22"/>
          <w:lang w:eastAsia="hu-HU"/>
        </w:rPr>
      </w:pPr>
      <w:hyperlink w:anchor="_Toc116040009" w:history="1">
        <w:r w:rsidR="00C54BE0" w:rsidRPr="00112933">
          <w:rPr>
            <w:rStyle w:val="Hyperlink"/>
            <w:rFonts w:ascii="Times New Roman" w:hAnsi="Times New Roman"/>
          </w:rPr>
          <w:t>5.4.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21.00 – Piaci kockázat: A részények pozíciókockázatának sztenderd módszere (MKR SA EQU)</w:t>
        </w:r>
        <w:r w:rsidR="00C54BE0">
          <w:rPr>
            <w:webHidden/>
          </w:rPr>
          <w:tab/>
        </w:r>
        <w:r w:rsidR="00C54BE0">
          <w:rPr>
            <w:webHidden/>
          </w:rPr>
          <w:fldChar w:fldCharType="begin"/>
        </w:r>
        <w:r w:rsidR="00C54BE0">
          <w:rPr>
            <w:webHidden/>
          </w:rPr>
          <w:instrText xml:space="preserve"> PAGEREF _Toc116040009 \h </w:instrText>
        </w:r>
        <w:r w:rsidR="00C54BE0">
          <w:rPr>
            <w:webHidden/>
          </w:rPr>
        </w:r>
        <w:r w:rsidR="00C54BE0">
          <w:rPr>
            <w:webHidden/>
          </w:rPr>
          <w:fldChar w:fldCharType="separate"/>
        </w:r>
        <w:r>
          <w:rPr>
            <w:webHidden/>
          </w:rPr>
          <w:t>234</w:t>
        </w:r>
        <w:r w:rsidR="00C54BE0">
          <w:rPr>
            <w:webHidden/>
          </w:rPr>
          <w:fldChar w:fldCharType="end"/>
        </w:r>
      </w:hyperlink>
    </w:p>
    <w:p w14:paraId="2AD978B5" w14:textId="50D7A826" w:rsidR="00C54BE0" w:rsidRDefault="00D677D7">
      <w:pPr>
        <w:pStyle w:val="TOC2"/>
        <w:rPr>
          <w:rFonts w:asciiTheme="minorHAnsi" w:eastAsiaTheme="minorEastAsia" w:hAnsiTheme="minorHAnsi" w:cstheme="minorBidi"/>
          <w:b w:val="0"/>
          <w:smallCaps w:val="0"/>
          <w:sz w:val="22"/>
          <w:lang w:eastAsia="hu-HU"/>
        </w:rPr>
      </w:pPr>
      <w:hyperlink w:anchor="_Toc116040010" w:history="1">
        <w:r w:rsidR="00C54BE0" w:rsidRPr="00112933">
          <w:rPr>
            <w:rStyle w:val="Hyperlink"/>
            <w:rFonts w:ascii="Times New Roman" w:hAnsi="Times New Roman"/>
          </w:rPr>
          <w:t>5.4.1.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_Toc116040010 \h </w:instrText>
        </w:r>
        <w:r w:rsidR="00C54BE0">
          <w:rPr>
            <w:webHidden/>
          </w:rPr>
        </w:r>
        <w:r w:rsidR="00C54BE0">
          <w:rPr>
            <w:webHidden/>
          </w:rPr>
          <w:fldChar w:fldCharType="separate"/>
        </w:r>
        <w:r>
          <w:rPr>
            <w:webHidden/>
          </w:rPr>
          <w:t>234</w:t>
        </w:r>
        <w:r w:rsidR="00C54BE0">
          <w:rPr>
            <w:webHidden/>
          </w:rPr>
          <w:fldChar w:fldCharType="end"/>
        </w:r>
      </w:hyperlink>
    </w:p>
    <w:p w14:paraId="73F87AD0" w14:textId="63BFAFA7" w:rsidR="00C54BE0" w:rsidRDefault="00D677D7">
      <w:pPr>
        <w:pStyle w:val="TOC2"/>
        <w:rPr>
          <w:rFonts w:asciiTheme="minorHAnsi" w:eastAsiaTheme="minorEastAsia" w:hAnsiTheme="minorHAnsi" w:cstheme="minorBidi"/>
          <w:b w:val="0"/>
          <w:smallCaps w:val="0"/>
          <w:sz w:val="22"/>
          <w:lang w:eastAsia="hu-HU"/>
        </w:rPr>
      </w:pPr>
      <w:hyperlink w:anchor="_Toc116040011" w:history="1">
        <w:r w:rsidR="00C54BE0" w:rsidRPr="00112933">
          <w:rPr>
            <w:rStyle w:val="Hyperlink"/>
            <w:rFonts w:ascii="Times New Roman" w:hAnsi="Times New Roman"/>
          </w:rPr>
          <w:t>5.4.2.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_Toc116040011 \h </w:instrText>
        </w:r>
        <w:r w:rsidR="00C54BE0">
          <w:rPr>
            <w:webHidden/>
          </w:rPr>
        </w:r>
        <w:r w:rsidR="00C54BE0">
          <w:rPr>
            <w:webHidden/>
          </w:rPr>
          <w:fldChar w:fldCharType="separate"/>
        </w:r>
        <w:r>
          <w:rPr>
            <w:webHidden/>
          </w:rPr>
          <w:t>234</w:t>
        </w:r>
        <w:r w:rsidR="00C54BE0">
          <w:rPr>
            <w:webHidden/>
          </w:rPr>
          <w:fldChar w:fldCharType="end"/>
        </w:r>
      </w:hyperlink>
    </w:p>
    <w:p w14:paraId="1E8C6D35" w14:textId="12B4346F" w:rsidR="00C54BE0" w:rsidRDefault="00D677D7">
      <w:pPr>
        <w:pStyle w:val="TOC2"/>
        <w:rPr>
          <w:rFonts w:asciiTheme="minorHAnsi" w:eastAsiaTheme="minorEastAsia" w:hAnsiTheme="minorHAnsi" w:cstheme="minorBidi"/>
          <w:b w:val="0"/>
          <w:smallCaps w:val="0"/>
          <w:sz w:val="22"/>
          <w:lang w:eastAsia="hu-HU"/>
        </w:rPr>
      </w:pPr>
      <w:hyperlink w:anchor="_Toc116040012" w:history="1">
        <w:r w:rsidR="00C54BE0" w:rsidRPr="00112933">
          <w:rPr>
            <w:rStyle w:val="Hyperlink"/>
            <w:rFonts w:ascii="Times New Roman" w:hAnsi="Times New Roman"/>
          </w:rPr>
          <w:t>5.5.</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22.00 – Piaci kockázat: a devizaárfolyam-kockázat sztenderd módszerei  (MKR SA FX)</w:t>
        </w:r>
        <w:r w:rsidR="00C54BE0">
          <w:rPr>
            <w:webHidden/>
          </w:rPr>
          <w:tab/>
        </w:r>
        <w:r w:rsidR="00C54BE0">
          <w:rPr>
            <w:webHidden/>
          </w:rPr>
          <w:fldChar w:fldCharType="begin"/>
        </w:r>
        <w:r w:rsidR="00C54BE0">
          <w:rPr>
            <w:webHidden/>
          </w:rPr>
          <w:instrText xml:space="preserve"> PAGEREF _Toc116040012 \h </w:instrText>
        </w:r>
        <w:r w:rsidR="00C54BE0">
          <w:rPr>
            <w:webHidden/>
          </w:rPr>
        </w:r>
        <w:r w:rsidR="00C54BE0">
          <w:rPr>
            <w:webHidden/>
          </w:rPr>
          <w:fldChar w:fldCharType="separate"/>
        </w:r>
        <w:r>
          <w:rPr>
            <w:webHidden/>
          </w:rPr>
          <w:t>236</w:t>
        </w:r>
        <w:r w:rsidR="00C54BE0">
          <w:rPr>
            <w:webHidden/>
          </w:rPr>
          <w:fldChar w:fldCharType="end"/>
        </w:r>
      </w:hyperlink>
    </w:p>
    <w:p w14:paraId="0C46569C" w14:textId="6C511937" w:rsidR="00C54BE0" w:rsidRDefault="00D677D7">
      <w:pPr>
        <w:pStyle w:val="TOC2"/>
        <w:rPr>
          <w:rFonts w:asciiTheme="minorHAnsi" w:eastAsiaTheme="minorEastAsia" w:hAnsiTheme="minorHAnsi" w:cstheme="minorBidi"/>
          <w:b w:val="0"/>
          <w:smallCaps w:val="0"/>
          <w:sz w:val="22"/>
          <w:lang w:eastAsia="hu-HU"/>
        </w:rPr>
      </w:pPr>
      <w:hyperlink w:anchor="_Toc116040013" w:history="1">
        <w:r w:rsidR="00C54BE0" w:rsidRPr="00112933">
          <w:rPr>
            <w:rStyle w:val="Hyperlink"/>
            <w:rFonts w:ascii="Times New Roman" w:hAnsi="Times New Roman"/>
          </w:rPr>
          <w:t>5.5.1.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_Toc116040013 \h </w:instrText>
        </w:r>
        <w:r w:rsidR="00C54BE0">
          <w:rPr>
            <w:webHidden/>
          </w:rPr>
        </w:r>
        <w:r w:rsidR="00C54BE0">
          <w:rPr>
            <w:webHidden/>
          </w:rPr>
          <w:fldChar w:fldCharType="separate"/>
        </w:r>
        <w:r>
          <w:rPr>
            <w:webHidden/>
          </w:rPr>
          <w:t>236</w:t>
        </w:r>
        <w:r w:rsidR="00C54BE0">
          <w:rPr>
            <w:webHidden/>
          </w:rPr>
          <w:fldChar w:fldCharType="end"/>
        </w:r>
      </w:hyperlink>
    </w:p>
    <w:p w14:paraId="017555AC" w14:textId="528F31AB" w:rsidR="00C54BE0" w:rsidRDefault="00D677D7">
      <w:pPr>
        <w:pStyle w:val="TOC2"/>
        <w:rPr>
          <w:rFonts w:asciiTheme="minorHAnsi" w:eastAsiaTheme="minorEastAsia" w:hAnsiTheme="minorHAnsi" w:cstheme="minorBidi"/>
          <w:b w:val="0"/>
          <w:smallCaps w:val="0"/>
          <w:sz w:val="22"/>
          <w:lang w:eastAsia="hu-HU"/>
        </w:rPr>
      </w:pPr>
      <w:hyperlink w:anchor="_Toc116040014" w:history="1">
        <w:r w:rsidR="00C54BE0" w:rsidRPr="00112933">
          <w:rPr>
            <w:rStyle w:val="Hyperlink"/>
            <w:rFonts w:ascii="Times New Roman" w:hAnsi="Times New Roman"/>
          </w:rPr>
          <w:t>5.5.2.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_Toc116040014 \h </w:instrText>
        </w:r>
        <w:r w:rsidR="00C54BE0">
          <w:rPr>
            <w:webHidden/>
          </w:rPr>
        </w:r>
        <w:r w:rsidR="00C54BE0">
          <w:rPr>
            <w:webHidden/>
          </w:rPr>
          <w:fldChar w:fldCharType="separate"/>
        </w:r>
        <w:r>
          <w:rPr>
            <w:webHidden/>
          </w:rPr>
          <w:t>237</w:t>
        </w:r>
        <w:r w:rsidR="00C54BE0">
          <w:rPr>
            <w:webHidden/>
          </w:rPr>
          <w:fldChar w:fldCharType="end"/>
        </w:r>
      </w:hyperlink>
    </w:p>
    <w:p w14:paraId="0D646767" w14:textId="68ECBDF1" w:rsidR="00C54BE0" w:rsidRDefault="00D677D7">
      <w:pPr>
        <w:pStyle w:val="TOC2"/>
        <w:rPr>
          <w:rFonts w:asciiTheme="minorHAnsi" w:eastAsiaTheme="minorEastAsia" w:hAnsiTheme="minorHAnsi" w:cstheme="minorBidi"/>
          <w:b w:val="0"/>
          <w:smallCaps w:val="0"/>
          <w:sz w:val="22"/>
          <w:lang w:eastAsia="hu-HU"/>
        </w:rPr>
      </w:pPr>
      <w:hyperlink w:anchor="_Toc116040015" w:history="1">
        <w:r w:rsidR="00C54BE0" w:rsidRPr="00112933">
          <w:rPr>
            <w:rStyle w:val="Hyperlink"/>
            <w:rFonts w:ascii="Times New Roman" w:hAnsi="Times New Roman"/>
          </w:rPr>
          <w:t>5.6.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23.00 – Piaci kockázat: az árupozíciók sztenderd módszerei  (MKR SA COM)</w:t>
        </w:r>
        <w:r w:rsidR="00C54BE0">
          <w:rPr>
            <w:webHidden/>
          </w:rPr>
          <w:tab/>
        </w:r>
        <w:r w:rsidR="00C54BE0">
          <w:rPr>
            <w:webHidden/>
          </w:rPr>
          <w:fldChar w:fldCharType="begin"/>
        </w:r>
        <w:r w:rsidR="00C54BE0">
          <w:rPr>
            <w:webHidden/>
          </w:rPr>
          <w:instrText xml:space="preserve"> PAGEREF _Toc116040015 \h </w:instrText>
        </w:r>
        <w:r w:rsidR="00C54BE0">
          <w:rPr>
            <w:webHidden/>
          </w:rPr>
        </w:r>
        <w:r w:rsidR="00C54BE0">
          <w:rPr>
            <w:webHidden/>
          </w:rPr>
          <w:fldChar w:fldCharType="separate"/>
        </w:r>
        <w:r>
          <w:rPr>
            <w:webHidden/>
          </w:rPr>
          <w:t>240</w:t>
        </w:r>
        <w:r w:rsidR="00C54BE0">
          <w:rPr>
            <w:webHidden/>
          </w:rPr>
          <w:fldChar w:fldCharType="end"/>
        </w:r>
      </w:hyperlink>
    </w:p>
    <w:p w14:paraId="5FDF8B92" w14:textId="592245F8" w:rsidR="00C54BE0" w:rsidRDefault="00D677D7">
      <w:pPr>
        <w:pStyle w:val="TOC2"/>
        <w:rPr>
          <w:rFonts w:asciiTheme="minorHAnsi" w:eastAsiaTheme="minorEastAsia" w:hAnsiTheme="minorHAnsi" w:cstheme="minorBidi"/>
          <w:b w:val="0"/>
          <w:smallCaps w:val="0"/>
          <w:sz w:val="22"/>
          <w:lang w:eastAsia="hu-HU"/>
        </w:rPr>
      </w:pPr>
      <w:hyperlink w:anchor="_Toc116040016" w:history="1">
        <w:r w:rsidR="00C54BE0" w:rsidRPr="00112933">
          <w:rPr>
            <w:rStyle w:val="Hyperlink"/>
            <w:rFonts w:ascii="Times New Roman" w:hAnsi="Times New Roman"/>
          </w:rPr>
          <w:t>5.6.1.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_Toc116040016 \h </w:instrText>
        </w:r>
        <w:r w:rsidR="00C54BE0">
          <w:rPr>
            <w:webHidden/>
          </w:rPr>
        </w:r>
        <w:r w:rsidR="00C54BE0">
          <w:rPr>
            <w:webHidden/>
          </w:rPr>
          <w:fldChar w:fldCharType="separate"/>
        </w:r>
        <w:r>
          <w:rPr>
            <w:webHidden/>
          </w:rPr>
          <w:t>240</w:t>
        </w:r>
        <w:r w:rsidR="00C54BE0">
          <w:rPr>
            <w:webHidden/>
          </w:rPr>
          <w:fldChar w:fldCharType="end"/>
        </w:r>
      </w:hyperlink>
    </w:p>
    <w:p w14:paraId="1DFA4B60" w14:textId="15D96D30" w:rsidR="00C54BE0" w:rsidRDefault="00D677D7">
      <w:pPr>
        <w:pStyle w:val="TOC2"/>
        <w:rPr>
          <w:rFonts w:asciiTheme="minorHAnsi" w:eastAsiaTheme="minorEastAsia" w:hAnsiTheme="minorHAnsi" w:cstheme="minorBidi"/>
          <w:b w:val="0"/>
          <w:smallCaps w:val="0"/>
          <w:sz w:val="22"/>
          <w:lang w:eastAsia="hu-HU"/>
        </w:rPr>
      </w:pPr>
      <w:hyperlink w:anchor="_Toc116040017" w:history="1">
        <w:r w:rsidR="00C54BE0" w:rsidRPr="00112933">
          <w:rPr>
            <w:rStyle w:val="Hyperlink"/>
            <w:rFonts w:ascii="Times New Roman" w:hAnsi="Times New Roman"/>
          </w:rPr>
          <w:t>5.6.2.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_Toc116040017 \h </w:instrText>
        </w:r>
        <w:r w:rsidR="00C54BE0">
          <w:rPr>
            <w:webHidden/>
          </w:rPr>
        </w:r>
        <w:r w:rsidR="00C54BE0">
          <w:rPr>
            <w:webHidden/>
          </w:rPr>
          <w:fldChar w:fldCharType="separate"/>
        </w:r>
        <w:r>
          <w:rPr>
            <w:webHidden/>
          </w:rPr>
          <w:t>240</w:t>
        </w:r>
        <w:r w:rsidR="00C54BE0">
          <w:rPr>
            <w:webHidden/>
          </w:rPr>
          <w:fldChar w:fldCharType="end"/>
        </w:r>
      </w:hyperlink>
    </w:p>
    <w:p w14:paraId="262A7040" w14:textId="6D9302D6" w:rsidR="00C54BE0" w:rsidRDefault="00D677D7">
      <w:pPr>
        <w:pStyle w:val="TOC2"/>
        <w:rPr>
          <w:rFonts w:asciiTheme="minorHAnsi" w:eastAsiaTheme="minorEastAsia" w:hAnsiTheme="minorHAnsi" w:cstheme="minorBidi"/>
          <w:b w:val="0"/>
          <w:smallCaps w:val="0"/>
          <w:sz w:val="22"/>
          <w:lang w:eastAsia="hu-HU"/>
        </w:rPr>
      </w:pPr>
      <w:hyperlink w:anchor="_Toc116040018" w:history="1">
        <w:r w:rsidR="00C54BE0" w:rsidRPr="00112933">
          <w:rPr>
            <w:rStyle w:val="Hyperlink"/>
            <w:rFonts w:ascii="Times New Roman" w:hAnsi="Times New Roman"/>
          </w:rPr>
          <w:t>5.7.</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24.00 – Piaci kockázat: belső modellek (MKR IM)</w:t>
        </w:r>
        <w:r w:rsidR="00C54BE0">
          <w:rPr>
            <w:webHidden/>
          </w:rPr>
          <w:tab/>
        </w:r>
        <w:r w:rsidR="00C54BE0">
          <w:rPr>
            <w:webHidden/>
          </w:rPr>
          <w:fldChar w:fldCharType="begin"/>
        </w:r>
        <w:r w:rsidR="00C54BE0">
          <w:rPr>
            <w:webHidden/>
          </w:rPr>
          <w:instrText xml:space="preserve"> PAGEREF _Toc116040018 \h </w:instrText>
        </w:r>
        <w:r w:rsidR="00C54BE0">
          <w:rPr>
            <w:webHidden/>
          </w:rPr>
        </w:r>
        <w:r w:rsidR="00C54BE0">
          <w:rPr>
            <w:webHidden/>
          </w:rPr>
          <w:fldChar w:fldCharType="separate"/>
        </w:r>
        <w:r>
          <w:rPr>
            <w:webHidden/>
          </w:rPr>
          <w:t>241</w:t>
        </w:r>
        <w:r w:rsidR="00C54BE0">
          <w:rPr>
            <w:webHidden/>
          </w:rPr>
          <w:fldChar w:fldCharType="end"/>
        </w:r>
      </w:hyperlink>
    </w:p>
    <w:p w14:paraId="452120F0" w14:textId="25AA86E1" w:rsidR="00C54BE0" w:rsidRDefault="00D677D7">
      <w:pPr>
        <w:pStyle w:val="TOC2"/>
        <w:rPr>
          <w:rFonts w:asciiTheme="minorHAnsi" w:eastAsiaTheme="minorEastAsia" w:hAnsiTheme="minorHAnsi" w:cstheme="minorBidi"/>
          <w:b w:val="0"/>
          <w:smallCaps w:val="0"/>
          <w:sz w:val="22"/>
          <w:lang w:eastAsia="hu-HU"/>
        </w:rPr>
      </w:pPr>
      <w:hyperlink w:anchor="_Toc116040019" w:history="1">
        <w:r w:rsidR="00C54BE0" w:rsidRPr="00112933">
          <w:rPr>
            <w:rStyle w:val="Hyperlink"/>
            <w:rFonts w:ascii="Times New Roman" w:hAnsi="Times New Roman"/>
          </w:rPr>
          <w:t>5.7.1.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_Toc116040019 \h </w:instrText>
        </w:r>
        <w:r w:rsidR="00C54BE0">
          <w:rPr>
            <w:webHidden/>
          </w:rPr>
        </w:r>
        <w:r w:rsidR="00C54BE0">
          <w:rPr>
            <w:webHidden/>
          </w:rPr>
          <w:fldChar w:fldCharType="separate"/>
        </w:r>
        <w:r>
          <w:rPr>
            <w:webHidden/>
          </w:rPr>
          <w:t>241</w:t>
        </w:r>
        <w:r w:rsidR="00C54BE0">
          <w:rPr>
            <w:webHidden/>
          </w:rPr>
          <w:fldChar w:fldCharType="end"/>
        </w:r>
      </w:hyperlink>
    </w:p>
    <w:p w14:paraId="22F9814A" w14:textId="3C8D6AAA" w:rsidR="00C54BE0" w:rsidRDefault="00D677D7">
      <w:pPr>
        <w:pStyle w:val="TOC2"/>
        <w:rPr>
          <w:rFonts w:asciiTheme="minorHAnsi" w:eastAsiaTheme="minorEastAsia" w:hAnsiTheme="minorHAnsi" w:cstheme="minorBidi"/>
          <w:b w:val="0"/>
          <w:smallCaps w:val="0"/>
          <w:sz w:val="22"/>
          <w:lang w:eastAsia="hu-HU"/>
        </w:rPr>
      </w:pPr>
      <w:hyperlink w:anchor="_Toc116040020" w:history="1">
        <w:r w:rsidR="00C54BE0" w:rsidRPr="00112933">
          <w:rPr>
            <w:rStyle w:val="Hyperlink"/>
            <w:rFonts w:ascii="Times New Roman" w:hAnsi="Times New Roman"/>
          </w:rPr>
          <w:t>5.7.2.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_Toc116040020 \h </w:instrText>
        </w:r>
        <w:r w:rsidR="00C54BE0">
          <w:rPr>
            <w:webHidden/>
          </w:rPr>
        </w:r>
        <w:r w:rsidR="00C54BE0">
          <w:rPr>
            <w:webHidden/>
          </w:rPr>
          <w:fldChar w:fldCharType="separate"/>
        </w:r>
        <w:r>
          <w:rPr>
            <w:webHidden/>
          </w:rPr>
          <w:t>242</w:t>
        </w:r>
        <w:r w:rsidR="00C54BE0">
          <w:rPr>
            <w:webHidden/>
          </w:rPr>
          <w:fldChar w:fldCharType="end"/>
        </w:r>
      </w:hyperlink>
    </w:p>
    <w:p w14:paraId="58E1AF26" w14:textId="059812EE" w:rsidR="00C54BE0" w:rsidRDefault="00D677D7">
      <w:pPr>
        <w:pStyle w:val="TOC2"/>
        <w:rPr>
          <w:rFonts w:asciiTheme="minorHAnsi" w:eastAsiaTheme="minorEastAsia" w:hAnsiTheme="minorHAnsi" w:cstheme="minorBidi"/>
          <w:b w:val="0"/>
          <w:smallCaps w:val="0"/>
          <w:sz w:val="22"/>
          <w:lang w:eastAsia="hu-HU"/>
        </w:rPr>
      </w:pPr>
      <w:hyperlink w:anchor="_Toc116040021" w:history="1">
        <w:r w:rsidR="00C54BE0" w:rsidRPr="00112933">
          <w:rPr>
            <w:rStyle w:val="Hyperlink"/>
            <w:rFonts w:ascii="Times New Roman" w:hAnsi="Times New Roman"/>
          </w:rPr>
          <w:t>5.8.</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25.00 – HITELÉRTÉKELÉSI KORREKCIÓK KOCKÁZATA (CVA)</w:t>
        </w:r>
        <w:r w:rsidR="00C54BE0">
          <w:rPr>
            <w:webHidden/>
          </w:rPr>
          <w:tab/>
        </w:r>
        <w:r w:rsidR="00C54BE0">
          <w:rPr>
            <w:webHidden/>
          </w:rPr>
          <w:fldChar w:fldCharType="begin"/>
        </w:r>
        <w:r w:rsidR="00C54BE0">
          <w:rPr>
            <w:webHidden/>
          </w:rPr>
          <w:instrText xml:space="preserve"> PAGEREF _Toc116040021 \h </w:instrText>
        </w:r>
        <w:r w:rsidR="00C54BE0">
          <w:rPr>
            <w:webHidden/>
          </w:rPr>
        </w:r>
        <w:r w:rsidR="00C54BE0">
          <w:rPr>
            <w:webHidden/>
          </w:rPr>
          <w:fldChar w:fldCharType="separate"/>
        </w:r>
        <w:r>
          <w:rPr>
            <w:webHidden/>
          </w:rPr>
          <w:t>245</w:t>
        </w:r>
        <w:r w:rsidR="00C54BE0">
          <w:rPr>
            <w:webHidden/>
          </w:rPr>
          <w:fldChar w:fldCharType="end"/>
        </w:r>
      </w:hyperlink>
    </w:p>
    <w:p w14:paraId="650938A4" w14:textId="11C006E0" w:rsidR="00C54BE0" w:rsidRDefault="00D677D7">
      <w:pPr>
        <w:pStyle w:val="TOC2"/>
        <w:rPr>
          <w:rFonts w:asciiTheme="minorHAnsi" w:eastAsiaTheme="minorEastAsia" w:hAnsiTheme="minorHAnsi" w:cstheme="minorBidi"/>
          <w:b w:val="0"/>
          <w:smallCaps w:val="0"/>
          <w:sz w:val="22"/>
          <w:lang w:eastAsia="hu-HU"/>
        </w:rPr>
      </w:pPr>
      <w:hyperlink w:anchor="_Toc116040022" w:history="1">
        <w:r w:rsidR="00C54BE0" w:rsidRPr="00112933">
          <w:rPr>
            <w:rStyle w:val="Hyperlink"/>
            <w:rFonts w:ascii="Times New Roman" w:hAnsi="Times New Roman"/>
          </w:rPr>
          <w:t>5.8.1.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_Toc116040022 \h </w:instrText>
        </w:r>
        <w:r w:rsidR="00C54BE0">
          <w:rPr>
            <w:webHidden/>
          </w:rPr>
        </w:r>
        <w:r w:rsidR="00C54BE0">
          <w:rPr>
            <w:webHidden/>
          </w:rPr>
          <w:fldChar w:fldCharType="separate"/>
        </w:r>
        <w:r>
          <w:rPr>
            <w:webHidden/>
          </w:rPr>
          <w:t>245</w:t>
        </w:r>
        <w:r w:rsidR="00C54BE0">
          <w:rPr>
            <w:webHidden/>
          </w:rPr>
          <w:fldChar w:fldCharType="end"/>
        </w:r>
      </w:hyperlink>
    </w:p>
    <w:p w14:paraId="2DCEE4BD" w14:textId="53C13FCE" w:rsidR="00C54BE0" w:rsidRDefault="00D677D7">
      <w:pPr>
        <w:pStyle w:val="TOC2"/>
        <w:rPr>
          <w:rFonts w:asciiTheme="minorHAnsi" w:eastAsiaTheme="minorEastAsia" w:hAnsiTheme="minorHAnsi" w:cstheme="minorBidi"/>
          <w:b w:val="0"/>
          <w:smallCaps w:val="0"/>
          <w:sz w:val="22"/>
          <w:lang w:eastAsia="hu-HU"/>
        </w:rPr>
      </w:pPr>
      <w:hyperlink w:anchor="_Toc116040023" w:history="1">
        <w:r w:rsidR="00C54BE0" w:rsidRPr="00112933">
          <w:rPr>
            <w:rStyle w:val="Hyperlink"/>
            <w:rFonts w:ascii="Times New Roman" w:hAnsi="Times New Roman"/>
          </w:rPr>
          <w:t>6.</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Prudens értékelés (PruVal)</w:t>
        </w:r>
        <w:r w:rsidR="00C54BE0">
          <w:rPr>
            <w:webHidden/>
          </w:rPr>
          <w:tab/>
        </w:r>
        <w:r w:rsidR="00C54BE0">
          <w:rPr>
            <w:webHidden/>
          </w:rPr>
          <w:fldChar w:fldCharType="begin"/>
        </w:r>
        <w:r w:rsidR="00C54BE0">
          <w:rPr>
            <w:webHidden/>
          </w:rPr>
          <w:instrText xml:space="preserve"> PAGEREF _Toc116040023 \h </w:instrText>
        </w:r>
        <w:r w:rsidR="00C54BE0">
          <w:rPr>
            <w:webHidden/>
          </w:rPr>
        </w:r>
        <w:r w:rsidR="00C54BE0">
          <w:rPr>
            <w:webHidden/>
          </w:rPr>
          <w:fldChar w:fldCharType="separate"/>
        </w:r>
        <w:r>
          <w:rPr>
            <w:webHidden/>
          </w:rPr>
          <w:t>247</w:t>
        </w:r>
        <w:r w:rsidR="00C54BE0">
          <w:rPr>
            <w:webHidden/>
          </w:rPr>
          <w:fldChar w:fldCharType="end"/>
        </w:r>
      </w:hyperlink>
    </w:p>
    <w:p w14:paraId="7529F57B" w14:textId="2553467E" w:rsidR="00C54BE0" w:rsidRDefault="00D677D7">
      <w:pPr>
        <w:pStyle w:val="TOC2"/>
        <w:rPr>
          <w:rFonts w:asciiTheme="minorHAnsi" w:eastAsiaTheme="minorEastAsia" w:hAnsiTheme="minorHAnsi" w:cstheme="minorBidi"/>
          <w:b w:val="0"/>
          <w:smallCaps w:val="0"/>
          <w:sz w:val="22"/>
          <w:lang w:eastAsia="hu-HU"/>
        </w:rPr>
      </w:pPr>
      <w:hyperlink w:anchor="_Toc116040024" w:history="1">
        <w:r w:rsidR="00C54BE0" w:rsidRPr="00112933">
          <w:rPr>
            <w:rStyle w:val="Hyperlink"/>
            <w:rFonts w:ascii="Times New Roman" w:hAnsi="Times New Roman"/>
          </w:rPr>
          <w:t>6.1.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32.01 – Prudens értékelés: valós értéken értékelt eszközök és kötelezettségek (PruVal 1)</w:t>
        </w:r>
        <w:r w:rsidR="00C54BE0">
          <w:rPr>
            <w:webHidden/>
          </w:rPr>
          <w:tab/>
        </w:r>
        <w:r w:rsidR="00C54BE0">
          <w:rPr>
            <w:webHidden/>
          </w:rPr>
          <w:fldChar w:fldCharType="begin"/>
        </w:r>
        <w:r w:rsidR="00C54BE0">
          <w:rPr>
            <w:webHidden/>
          </w:rPr>
          <w:instrText xml:space="preserve"> PAGEREF _Toc116040024 \h </w:instrText>
        </w:r>
        <w:r w:rsidR="00C54BE0">
          <w:rPr>
            <w:webHidden/>
          </w:rPr>
        </w:r>
        <w:r w:rsidR="00C54BE0">
          <w:rPr>
            <w:webHidden/>
          </w:rPr>
          <w:fldChar w:fldCharType="separate"/>
        </w:r>
        <w:r>
          <w:rPr>
            <w:webHidden/>
          </w:rPr>
          <w:t>247</w:t>
        </w:r>
        <w:r w:rsidR="00C54BE0">
          <w:rPr>
            <w:webHidden/>
          </w:rPr>
          <w:fldChar w:fldCharType="end"/>
        </w:r>
      </w:hyperlink>
    </w:p>
    <w:p w14:paraId="65BB732E" w14:textId="43081A01" w:rsidR="00C54BE0" w:rsidRDefault="00D677D7">
      <w:pPr>
        <w:pStyle w:val="TOC2"/>
        <w:rPr>
          <w:rFonts w:asciiTheme="minorHAnsi" w:eastAsiaTheme="minorEastAsia" w:hAnsiTheme="minorHAnsi" w:cstheme="minorBidi"/>
          <w:b w:val="0"/>
          <w:smallCaps w:val="0"/>
          <w:sz w:val="22"/>
          <w:lang w:eastAsia="hu-HU"/>
        </w:rPr>
      </w:pPr>
      <w:hyperlink w:anchor="_Toc116040025" w:history="1">
        <w:r w:rsidR="00C54BE0" w:rsidRPr="00112933">
          <w:rPr>
            <w:rStyle w:val="Hyperlink"/>
            <w:rFonts w:ascii="Times New Roman" w:hAnsi="Times New Roman"/>
          </w:rPr>
          <w:t>6.1.1.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_Toc116040025 \h </w:instrText>
        </w:r>
        <w:r w:rsidR="00C54BE0">
          <w:rPr>
            <w:webHidden/>
          </w:rPr>
        </w:r>
        <w:r w:rsidR="00C54BE0">
          <w:rPr>
            <w:webHidden/>
          </w:rPr>
          <w:fldChar w:fldCharType="separate"/>
        </w:r>
        <w:r>
          <w:rPr>
            <w:webHidden/>
          </w:rPr>
          <w:t>247</w:t>
        </w:r>
        <w:r w:rsidR="00C54BE0">
          <w:rPr>
            <w:webHidden/>
          </w:rPr>
          <w:fldChar w:fldCharType="end"/>
        </w:r>
      </w:hyperlink>
    </w:p>
    <w:p w14:paraId="633EA385" w14:textId="067155F2" w:rsidR="00C54BE0" w:rsidRDefault="00D677D7">
      <w:pPr>
        <w:pStyle w:val="TOC2"/>
        <w:rPr>
          <w:rFonts w:asciiTheme="minorHAnsi" w:eastAsiaTheme="minorEastAsia" w:hAnsiTheme="minorHAnsi" w:cstheme="minorBidi"/>
          <w:b w:val="0"/>
          <w:smallCaps w:val="0"/>
          <w:sz w:val="22"/>
          <w:lang w:eastAsia="hu-HU"/>
        </w:rPr>
      </w:pPr>
      <w:hyperlink w:anchor="_Toc116040026" w:history="1">
        <w:r w:rsidR="00C54BE0" w:rsidRPr="00112933">
          <w:rPr>
            <w:rStyle w:val="Hyperlink"/>
            <w:rFonts w:ascii="Times New Roman" w:hAnsi="Times New Roman"/>
          </w:rPr>
          <w:t>6.1.2.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_Toc116040026 \h </w:instrText>
        </w:r>
        <w:r w:rsidR="00C54BE0">
          <w:rPr>
            <w:webHidden/>
          </w:rPr>
        </w:r>
        <w:r w:rsidR="00C54BE0">
          <w:rPr>
            <w:webHidden/>
          </w:rPr>
          <w:fldChar w:fldCharType="separate"/>
        </w:r>
        <w:r>
          <w:rPr>
            <w:webHidden/>
          </w:rPr>
          <w:t>248</w:t>
        </w:r>
        <w:r w:rsidR="00C54BE0">
          <w:rPr>
            <w:webHidden/>
          </w:rPr>
          <w:fldChar w:fldCharType="end"/>
        </w:r>
      </w:hyperlink>
    </w:p>
    <w:p w14:paraId="75141029" w14:textId="0EEF259A" w:rsidR="00C54BE0" w:rsidRDefault="00D677D7">
      <w:pPr>
        <w:pStyle w:val="TOC2"/>
        <w:rPr>
          <w:rFonts w:asciiTheme="minorHAnsi" w:eastAsiaTheme="minorEastAsia" w:hAnsiTheme="minorHAnsi" w:cstheme="minorBidi"/>
          <w:b w:val="0"/>
          <w:smallCaps w:val="0"/>
          <w:sz w:val="22"/>
          <w:lang w:eastAsia="hu-HU"/>
        </w:rPr>
      </w:pPr>
      <w:hyperlink w:anchor="_Toc116040027" w:history="1">
        <w:r w:rsidR="00C54BE0" w:rsidRPr="00112933">
          <w:rPr>
            <w:rStyle w:val="Hyperlink"/>
            <w:rFonts w:ascii="Times New Roman" w:hAnsi="Times New Roman"/>
          </w:rPr>
          <w:t>6.2.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32.02 – Prudens értékelés: alapvető módszer (PruVal 2)</w:t>
        </w:r>
        <w:r w:rsidR="00C54BE0">
          <w:rPr>
            <w:webHidden/>
          </w:rPr>
          <w:tab/>
        </w:r>
        <w:r w:rsidR="00C54BE0">
          <w:rPr>
            <w:webHidden/>
          </w:rPr>
          <w:fldChar w:fldCharType="begin"/>
        </w:r>
        <w:r w:rsidR="00C54BE0">
          <w:rPr>
            <w:webHidden/>
          </w:rPr>
          <w:instrText xml:space="preserve"> PAGEREF _Toc116040027 \h </w:instrText>
        </w:r>
        <w:r w:rsidR="00C54BE0">
          <w:rPr>
            <w:webHidden/>
          </w:rPr>
        </w:r>
        <w:r w:rsidR="00C54BE0">
          <w:rPr>
            <w:webHidden/>
          </w:rPr>
          <w:fldChar w:fldCharType="separate"/>
        </w:r>
        <w:r>
          <w:rPr>
            <w:webHidden/>
          </w:rPr>
          <w:t>254</w:t>
        </w:r>
        <w:r w:rsidR="00C54BE0">
          <w:rPr>
            <w:webHidden/>
          </w:rPr>
          <w:fldChar w:fldCharType="end"/>
        </w:r>
      </w:hyperlink>
    </w:p>
    <w:p w14:paraId="1DBCF5D9" w14:textId="18C507A7" w:rsidR="00C54BE0" w:rsidRDefault="00D677D7">
      <w:pPr>
        <w:pStyle w:val="TOC2"/>
        <w:rPr>
          <w:rFonts w:asciiTheme="minorHAnsi" w:eastAsiaTheme="minorEastAsia" w:hAnsiTheme="minorHAnsi" w:cstheme="minorBidi"/>
          <w:b w:val="0"/>
          <w:smallCaps w:val="0"/>
          <w:sz w:val="22"/>
          <w:lang w:eastAsia="hu-HU"/>
        </w:rPr>
      </w:pPr>
      <w:hyperlink w:anchor="_Toc116040028" w:history="1">
        <w:r w:rsidR="00C54BE0" w:rsidRPr="00112933">
          <w:rPr>
            <w:rStyle w:val="Hyperlink"/>
            <w:rFonts w:ascii="Times New Roman" w:hAnsi="Times New Roman"/>
          </w:rPr>
          <w:t>6.2.1.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_Toc116040028 \h </w:instrText>
        </w:r>
        <w:r w:rsidR="00C54BE0">
          <w:rPr>
            <w:webHidden/>
          </w:rPr>
        </w:r>
        <w:r w:rsidR="00C54BE0">
          <w:rPr>
            <w:webHidden/>
          </w:rPr>
          <w:fldChar w:fldCharType="separate"/>
        </w:r>
        <w:r>
          <w:rPr>
            <w:webHidden/>
          </w:rPr>
          <w:t>254</w:t>
        </w:r>
        <w:r w:rsidR="00C54BE0">
          <w:rPr>
            <w:webHidden/>
          </w:rPr>
          <w:fldChar w:fldCharType="end"/>
        </w:r>
      </w:hyperlink>
    </w:p>
    <w:p w14:paraId="75305088" w14:textId="06D3B4BA" w:rsidR="00C54BE0" w:rsidRDefault="00D677D7">
      <w:pPr>
        <w:pStyle w:val="TOC2"/>
        <w:rPr>
          <w:rFonts w:asciiTheme="minorHAnsi" w:eastAsiaTheme="minorEastAsia" w:hAnsiTheme="minorHAnsi" w:cstheme="minorBidi"/>
          <w:b w:val="0"/>
          <w:smallCaps w:val="0"/>
          <w:sz w:val="22"/>
          <w:lang w:eastAsia="hu-HU"/>
        </w:rPr>
      </w:pPr>
      <w:hyperlink w:anchor="_Toc116040029" w:history="1">
        <w:r w:rsidR="00C54BE0" w:rsidRPr="00112933">
          <w:rPr>
            <w:rStyle w:val="Hyperlink"/>
            <w:rFonts w:ascii="Times New Roman" w:hAnsi="Times New Roman"/>
          </w:rPr>
          <w:t>6.2.2.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_Toc116040029 \h </w:instrText>
        </w:r>
        <w:r w:rsidR="00C54BE0">
          <w:rPr>
            <w:webHidden/>
          </w:rPr>
        </w:r>
        <w:r w:rsidR="00C54BE0">
          <w:rPr>
            <w:webHidden/>
          </w:rPr>
          <w:fldChar w:fldCharType="separate"/>
        </w:r>
        <w:r>
          <w:rPr>
            <w:webHidden/>
          </w:rPr>
          <w:t>254</w:t>
        </w:r>
        <w:r w:rsidR="00C54BE0">
          <w:rPr>
            <w:webHidden/>
          </w:rPr>
          <w:fldChar w:fldCharType="end"/>
        </w:r>
      </w:hyperlink>
    </w:p>
    <w:p w14:paraId="598E7547" w14:textId="5E75043B" w:rsidR="00C54BE0" w:rsidRDefault="00D677D7">
      <w:pPr>
        <w:pStyle w:val="TOC2"/>
        <w:rPr>
          <w:rFonts w:asciiTheme="minorHAnsi" w:eastAsiaTheme="minorEastAsia" w:hAnsiTheme="minorHAnsi" w:cstheme="minorBidi"/>
          <w:b w:val="0"/>
          <w:smallCaps w:val="0"/>
          <w:sz w:val="22"/>
          <w:lang w:eastAsia="hu-HU"/>
        </w:rPr>
      </w:pPr>
      <w:hyperlink w:anchor="_Toc116040030" w:history="1">
        <w:r w:rsidR="00C54BE0" w:rsidRPr="00112933">
          <w:rPr>
            <w:rStyle w:val="Hyperlink"/>
            <w:rFonts w:ascii="Times New Roman" w:hAnsi="Times New Roman"/>
          </w:rPr>
          <w:t>6.3. C 32.03 – Prudens értékelés: modellkockázat kiegészítő értékelési korrekciója (PruVal 3)</w:t>
        </w:r>
        <w:r w:rsidR="00C54BE0">
          <w:rPr>
            <w:webHidden/>
          </w:rPr>
          <w:tab/>
        </w:r>
        <w:r w:rsidR="00C54BE0">
          <w:rPr>
            <w:webHidden/>
          </w:rPr>
          <w:fldChar w:fldCharType="begin"/>
        </w:r>
        <w:r w:rsidR="00C54BE0">
          <w:rPr>
            <w:webHidden/>
          </w:rPr>
          <w:instrText xml:space="preserve"> PAGEREF _Toc116040030 \h </w:instrText>
        </w:r>
        <w:r w:rsidR="00C54BE0">
          <w:rPr>
            <w:webHidden/>
          </w:rPr>
        </w:r>
        <w:r w:rsidR="00C54BE0">
          <w:rPr>
            <w:webHidden/>
          </w:rPr>
          <w:fldChar w:fldCharType="separate"/>
        </w:r>
        <w:r>
          <w:rPr>
            <w:webHidden/>
          </w:rPr>
          <w:t>265</w:t>
        </w:r>
        <w:r w:rsidR="00C54BE0">
          <w:rPr>
            <w:webHidden/>
          </w:rPr>
          <w:fldChar w:fldCharType="end"/>
        </w:r>
      </w:hyperlink>
    </w:p>
    <w:p w14:paraId="49361902" w14:textId="737C54E7" w:rsidR="00C54BE0" w:rsidRDefault="00D677D7">
      <w:pPr>
        <w:pStyle w:val="TOC2"/>
        <w:rPr>
          <w:rFonts w:asciiTheme="minorHAnsi" w:eastAsiaTheme="minorEastAsia" w:hAnsiTheme="minorHAnsi" w:cstheme="minorBidi"/>
          <w:b w:val="0"/>
          <w:smallCaps w:val="0"/>
          <w:sz w:val="22"/>
          <w:lang w:eastAsia="hu-HU"/>
        </w:rPr>
      </w:pPr>
      <w:hyperlink w:anchor="_Toc116040031" w:history="1">
        <w:r w:rsidR="00C54BE0" w:rsidRPr="00112933">
          <w:rPr>
            <w:rStyle w:val="Hyperlink"/>
            <w:rFonts w:ascii="Times New Roman" w:hAnsi="Times New Roman"/>
          </w:rPr>
          <w:t>6.3.1.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_Toc116040031 \h </w:instrText>
        </w:r>
        <w:r w:rsidR="00C54BE0">
          <w:rPr>
            <w:webHidden/>
          </w:rPr>
        </w:r>
        <w:r w:rsidR="00C54BE0">
          <w:rPr>
            <w:webHidden/>
          </w:rPr>
          <w:fldChar w:fldCharType="separate"/>
        </w:r>
        <w:r>
          <w:rPr>
            <w:webHidden/>
          </w:rPr>
          <w:t>265</w:t>
        </w:r>
        <w:r w:rsidR="00C54BE0">
          <w:rPr>
            <w:webHidden/>
          </w:rPr>
          <w:fldChar w:fldCharType="end"/>
        </w:r>
      </w:hyperlink>
    </w:p>
    <w:p w14:paraId="3B6A3100" w14:textId="6464BB77" w:rsidR="00C54BE0" w:rsidRDefault="00D677D7">
      <w:pPr>
        <w:pStyle w:val="TOC2"/>
        <w:rPr>
          <w:rFonts w:asciiTheme="minorHAnsi" w:eastAsiaTheme="minorEastAsia" w:hAnsiTheme="minorHAnsi" w:cstheme="minorBidi"/>
          <w:b w:val="0"/>
          <w:smallCaps w:val="0"/>
          <w:sz w:val="22"/>
          <w:lang w:eastAsia="hu-HU"/>
        </w:rPr>
      </w:pPr>
      <w:hyperlink w:anchor="_Toc116040032" w:history="1">
        <w:r w:rsidR="00C54BE0" w:rsidRPr="00112933">
          <w:rPr>
            <w:rStyle w:val="Hyperlink"/>
            <w:rFonts w:ascii="Times New Roman" w:hAnsi="Times New Roman"/>
          </w:rPr>
          <w:t>6.3.2.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_Toc116040032 \h </w:instrText>
        </w:r>
        <w:r w:rsidR="00C54BE0">
          <w:rPr>
            <w:webHidden/>
          </w:rPr>
        </w:r>
        <w:r w:rsidR="00C54BE0">
          <w:rPr>
            <w:webHidden/>
          </w:rPr>
          <w:fldChar w:fldCharType="separate"/>
        </w:r>
        <w:r>
          <w:rPr>
            <w:webHidden/>
          </w:rPr>
          <w:t>266</w:t>
        </w:r>
        <w:r w:rsidR="00C54BE0">
          <w:rPr>
            <w:webHidden/>
          </w:rPr>
          <w:fldChar w:fldCharType="end"/>
        </w:r>
      </w:hyperlink>
    </w:p>
    <w:p w14:paraId="73E6AD94" w14:textId="409E7C4B" w:rsidR="00C54BE0" w:rsidRDefault="00D677D7">
      <w:pPr>
        <w:pStyle w:val="TOC2"/>
        <w:rPr>
          <w:rFonts w:asciiTheme="minorHAnsi" w:eastAsiaTheme="minorEastAsia" w:hAnsiTheme="minorHAnsi" w:cstheme="minorBidi"/>
          <w:b w:val="0"/>
          <w:smallCaps w:val="0"/>
          <w:sz w:val="22"/>
          <w:lang w:eastAsia="hu-HU"/>
        </w:rPr>
      </w:pPr>
      <w:hyperlink w:anchor="_Toc116040033" w:history="1">
        <w:r w:rsidR="00C54BE0" w:rsidRPr="00112933">
          <w:rPr>
            <w:rStyle w:val="Hyperlink"/>
            <w:rFonts w:ascii="Times New Roman" w:hAnsi="Times New Roman"/>
          </w:rPr>
          <w:t>6.4 C 32.04 – Prudens értékelés: koncentrált pozíciók kiegészítő értékelési korrekciója (PruVal 4)</w:t>
        </w:r>
        <w:r w:rsidR="00C54BE0">
          <w:rPr>
            <w:webHidden/>
          </w:rPr>
          <w:tab/>
        </w:r>
        <w:r w:rsidR="00C54BE0">
          <w:rPr>
            <w:webHidden/>
          </w:rPr>
          <w:fldChar w:fldCharType="begin"/>
        </w:r>
        <w:r w:rsidR="00C54BE0">
          <w:rPr>
            <w:webHidden/>
          </w:rPr>
          <w:instrText xml:space="preserve"> PAGEREF _Toc116040033 \h </w:instrText>
        </w:r>
        <w:r w:rsidR="00C54BE0">
          <w:rPr>
            <w:webHidden/>
          </w:rPr>
        </w:r>
        <w:r w:rsidR="00C54BE0">
          <w:rPr>
            <w:webHidden/>
          </w:rPr>
          <w:fldChar w:fldCharType="separate"/>
        </w:r>
        <w:r>
          <w:rPr>
            <w:webHidden/>
          </w:rPr>
          <w:t>269</w:t>
        </w:r>
        <w:r w:rsidR="00C54BE0">
          <w:rPr>
            <w:webHidden/>
          </w:rPr>
          <w:fldChar w:fldCharType="end"/>
        </w:r>
      </w:hyperlink>
    </w:p>
    <w:p w14:paraId="739E0C23" w14:textId="157D2081" w:rsidR="00C54BE0" w:rsidRDefault="00D677D7">
      <w:pPr>
        <w:pStyle w:val="TOC2"/>
        <w:rPr>
          <w:rFonts w:asciiTheme="minorHAnsi" w:eastAsiaTheme="minorEastAsia" w:hAnsiTheme="minorHAnsi" w:cstheme="minorBidi"/>
          <w:b w:val="0"/>
          <w:smallCaps w:val="0"/>
          <w:sz w:val="22"/>
          <w:lang w:eastAsia="hu-HU"/>
        </w:rPr>
      </w:pPr>
      <w:hyperlink w:anchor="_Toc116040034" w:history="1">
        <w:r w:rsidR="00C54BE0" w:rsidRPr="00112933">
          <w:rPr>
            <w:rStyle w:val="Hyperlink"/>
            <w:rFonts w:ascii="Times New Roman" w:hAnsi="Times New Roman"/>
          </w:rPr>
          <w:t>6.4.1.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_Toc116040034 \h </w:instrText>
        </w:r>
        <w:r w:rsidR="00C54BE0">
          <w:rPr>
            <w:webHidden/>
          </w:rPr>
        </w:r>
        <w:r w:rsidR="00C54BE0">
          <w:rPr>
            <w:webHidden/>
          </w:rPr>
          <w:fldChar w:fldCharType="separate"/>
        </w:r>
        <w:r>
          <w:rPr>
            <w:webHidden/>
          </w:rPr>
          <w:t>269</w:t>
        </w:r>
        <w:r w:rsidR="00C54BE0">
          <w:rPr>
            <w:webHidden/>
          </w:rPr>
          <w:fldChar w:fldCharType="end"/>
        </w:r>
      </w:hyperlink>
    </w:p>
    <w:p w14:paraId="114480D8" w14:textId="5C175615" w:rsidR="00C54BE0" w:rsidRDefault="00D677D7">
      <w:pPr>
        <w:pStyle w:val="TOC2"/>
        <w:rPr>
          <w:rFonts w:asciiTheme="minorHAnsi" w:eastAsiaTheme="minorEastAsia" w:hAnsiTheme="minorHAnsi" w:cstheme="minorBidi"/>
          <w:b w:val="0"/>
          <w:smallCaps w:val="0"/>
          <w:sz w:val="22"/>
          <w:lang w:eastAsia="hu-HU"/>
        </w:rPr>
      </w:pPr>
      <w:hyperlink w:anchor="_Toc116040035" w:history="1">
        <w:r w:rsidR="00C54BE0" w:rsidRPr="00112933">
          <w:rPr>
            <w:rStyle w:val="Hyperlink"/>
            <w:rFonts w:ascii="Times New Roman" w:hAnsi="Times New Roman"/>
          </w:rPr>
          <w:t>6.4.2.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_Toc116040035 \h </w:instrText>
        </w:r>
        <w:r w:rsidR="00C54BE0">
          <w:rPr>
            <w:webHidden/>
          </w:rPr>
        </w:r>
        <w:r w:rsidR="00C54BE0">
          <w:rPr>
            <w:webHidden/>
          </w:rPr>
          <w:fldChar w:fldCharType="separate"/>
        </w:r>
        <w:r>
          <w:rPr>
            <w:webHidden/>
          </w:rPr>
          <w:t>269</w:t>
        </w:r>
        <w:r w:rsidR="00C54BE0">
          <w:rPr>
            <w:webHidden/>
          </w:rPr>
          <w:fldChar w:fldCharType="end"/>
        </w:r>
      </w:hyperlink>
    </w:p>
    <w:p w14:paraId="0C0FA820" w14:textId="25B22374" w:rsidR="00C54BE0" w:rsidRDefault="00D677D7">
      <w:pPr>
        <w:pStyle w:val="TOC2"/>
        <w:rPr>
          <w:rFonts w:asciiTheme="minorHAnsi" w:eastAsiaTheme="minorEastAsia" w:hAnsiTheme="minorHAnsi" w:cstheme="minorBidi"/>
          <w:b w:val="0"/>
          <w:smallCaps w:val="0"/>
          <w:sz w:val="22"/>
          <w:lang w:eastAsia="hu-HU"/>
        </w:rPr>
      </w:pPr>
      <w:hyperlink w:anchor="_Toc116040036" w:history="1">
        <w:r w:rsidR="00C54BE0" w:rsidRPr="00112933">
          <w:rPr>
            <w:rStyle w:val="Hyperlink"/>
            <w:rFonts w:ascii="Times New Roman" w:hAnsi="Times New Roman"/>
          </w:rPr>
          <w:t>7.</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33.00 – Államháztartásokkal szembeni kitettségek (GOV)</w:t>
        </w:r>
        <w:r w:rsidR="00C54BE0">
          <w:rPr>
            <w:webHidden/>
          </w:rPr>
          <w:tab/>
        </w:r>
        <w:r w:rsidR="00C54BE0">
          <w:rPr>
            <w:webHidden/>
          </w:rPr>
          <w:fldChar w:fldCharType="begin"/>
        </w:r>
        <w:r w:rsidR="00C54BE0">
          <w:rPr>
            <w:webHidden/>
          </w:rPr>
          <w:instrText xml:space="preserve"> PAGEREF _Toc116040036 \h </w:instrText>
        </w:r>
        <w:r w:rsidR="00C54BE0">
          <w:rPr>
            <w:webHidden/>
          </w:rPr>
        </w:r>
        <w:r w:rsidR="00C54BE0">
          <w:rPr>
            <w:webHidden/>
          </w:rPr>
          <w:fldChar w:fldCharType="separate"/>
        </w:r>
        <w:r>
          <w:rPr>
            <w:webHidden/>
          </w:rPr>
          <w:t>271</w:t>
        </w:r>
        <w:r w:rsidR="00C54BE0">
          <w:rPr>
            <w:webHidden/>
          </w:rPr>
          <w:fldChar w:fldCharType="end"/>
        </w:r>
      </w:hyperlink>
    </w:p>
    <w:p w14:paraId="4FB19C4E" w14:textId="105EA6FC" w:rsidR="00C54BE0" w:rsidRDefault="00D677D7">
      <w:pPr>
        <w:pStyle w:val="TOC2"/>
        <w:rPr>
          <w:rFonts w:asciiTheme="minorHAnsi" w:eastAsiaTheme="minorEastAsia" w:hAnsiTheme="minorHAnsi" w:cstheme="minorBidi"/>
          <w:b w:val="0"/>
          <w:smallCaps w:val="0"/>
          <w:sz w:val="22"/>
          <w:lang w:eastAsia="hu-HU"/>
        </w:rPr>
      </w:pPr>
      <w:hyperlink w:anchor="_Toc116040037" w:history="1">
        <w:r w:rsidR="00C54BE0" w:rsidRPr="00112933">
          <w:rPr>
            <w:rStyle w:val="Hyperlink"/>
            <w:rFonts w:ascii="Times New Roman" w:hAnsi="Times New Roman"/>
          </w:rPr>
          <w:t>7.1.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_Toc116040037 \h </w:instrText>
        </w:r>
        <w:r w:rsidR="00C54BE0">
          <w:rPr>
            <w:webHidden/>
          </w:rPr>
        </w:r>
        <w:r w:rsidR="00C54BE0">
          <w:rPr>
            <w:webHidden/>
          </w:rPr>
          <w:fldChar w:fldCharType="separate"/>
        </w:r>
        <w:r>
          <w:rPr>
            <w:webHidden/>
          </w:rPr>
          <w:t>271</w:t>
        </w:r>
        <w:r w:rsidR="00C54BE0">
          <w:rPr>
            <w:webHidden/>
          </w:rPr>
          <w:fldChar w:fldCharType="end"/>
        </w:r>
      </w:hyperlink>
    </w:p>
    <w:p w14:paraId="6BC63D84" w14:textId="18EEF715" w:rsidR="00C54BE0" w:rsidRDefault="00D677D7">
      <w:pPr>
        <w:pStyle w:val="TOC2"/>
        <w:rPr>
          <w:rFonts w:asciiTheme="minorHAnsi" w:eastAsiaTheme="minorEastAsia" w:hAnsiTheme="minorHAnsi" w:cstheme="minorBidi"/>
          <w:b w:val="0"/>
          <w:smallCaps w:val="0"/>
          <w:sz w:val="22"/>
          <w:lang w:eastAsia="hu-HU"/>
        </w:rPr>
      </w:pPr>
      <w:hyperlink w:anchor="_Toc116040038" w:history="1">
        <w:r w:rsidR="00C54BE0" w:rsidRPr="00112933">
          <w:rPr>
            <w:rStyle w:val="Hyperlink"/>
            <w:rFonts w:ascii="Times New Roman" w:hAnsi="Times New Roman"/>
          </w:rPr>
          <w:t>7.2.</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Az államháztartásokkal szembeni kitettségek tábla alkalmazási köre</w:t>
        </w:r>
        <w:r w:rsidR="00C54BE0">
          <w:rPr>
            <w:webHidden/>
          </w:rPr>
          <w:tab/>
        </w:r>
        <w:r w:rsidR="00C54BE0">
          <w:rPr>
            <w:webHidden/>
          </w:rPr>
          <w:fldChar w:fldCharType="begin"/>
        </w:r>
        <w:r w:rsidR="00C54BE0">
          <w:rPr>
            <w:webHidden/>
          </w:rPr>
          <w:instrText xml:space="preserve"> PAGEREF _Toc116040038 \h </w:instrText>
        </w:r>
        <w:r w:rsidR="00C54BE0">
          <w:rPr>
            <w:webHidden/>
          </w:rPr>
        </w:r>
        <w:r w:rsidR="00C54BE0">
          <w:rPr>
            <w:webHidden/>
          </w:rPr>
          <w:fldChar w:fldCharType="separate"/>
        </w:r>
        <w:r>
          <w:rPr>
            <w:webHidden/>
          </w:rPr>
          <w:t>272</w:t>
        </w:r>
        <w:r w:rsidR="00C54BE0">
          <w:rPr>
            <w:webHidden/>
          </w:rPr>
          <w:fldChar w:fldCharType="end"/>
        </w:r>
      </w:hyperlink>
    </w:p>
    <w:p w14:paraId="2F32E159" w14:textId="1E55AC8B" w:rsidR="00C54BE0" w:rsidRDefault="00D677D7">
      <w:pPr>
        <w:pStyle w:val="TOC2"/>
        <w:rPr>
          <w:rFonts w:asciiTheme="minorHAnsi" w:eastAsiaTheme="minorEastAsia" w:hAnsiTheme="minorHAnsi" w:cstheme="minorBidi"/>
          <w:b w:val="0"/>
          <w:smallCaps w:val="0"/>
          <w:sz w:val="22"/>
          <w:lang w:eastAsia="hu-HU"/>
        </w:rPr>
      </w:pPr>
      <w:hyperlink w:anchor="_Toc116040039" w:history="1">
        <w:r w:rsidR="00C54BE0" w:rsidRPr="00112933">
          <w:rPr>
            <w:rStyle w:val="Hyperlink"/>
            <w:rFonts w:ascii="Times New Roman" w:hAnsi="Times New Roman"/>
          </w:rPr>
          <w:t>7.3.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_Toc116040039 \h </w:instrText>
        </w:r>
        <w:r w:rsidR="00C54BE0">
          <w:rPr>
            <w:webHidden/>
          </w:rPr>
        </w:r>
        <w:r w:rsidR="00C54BE0">
          <w:rPr>
            <w:webHidden/>
          </w:rPr>
          <w:fldChar w:fldCharType="separate"/>
        </w:r>
        <w:r>
          <w:rPr>
            <w:webHidden/>
          </w:rPr>
          <w:t>272</w:t>
        </w:r>
        <w:r w:rsidR="00C54BE0">
          <w:rPr>
            <w:webHidden/>
          </w:rPr>
          <w:fldChar w:fldCharType="end"/>
        </w:r>
      </w:hyperlink>
    </w:p>
    <w:p w14:paraId="4DFBD87E" w14:textId="683B909B" w:rsidR="00C54BE0" w:rsidRDefault="00D677D7">
      <w:pPr>
        <w:pStyle w:val="TOC2"/>
        <w:rPr>
          <w:rFonts w:asciiTheme="minorHAnsi" w:eastAsiaTheme="minorEastAsia" w:hAnsiTheme="minorHAnsi" w:cstheme="minorBidi"/>
          <w:b w:val="0"/>
          <w:smallCaps w:val="0"/>
          <w:sz w:val="22"/>
          <w:lang w:eastAsia="hu-HU"/>
        </w:rPr>
      </w:pPr>
      <w:hyperlink w:anchor="_Toc116040040" w:history="1">
        <w:r w:rsidR="00C54BE0" w:rsidRPr="00112933">
          <w:rPr>
            <w:rStyle w:val="Hyperlink"/>
            <w:rFonts w:ascii="Times New Roman" w:hAnsi="Times New Roman"/>
          </w:rPr>
          <w:t>8.</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Nemteljesítő kitettségek veszteségfedezete (NPE LC)</w:t>
        </w:r>
        <w:r w:rsidR="00C54BE0">
          <w:rPr>
            <w:webHidden/>
          </w:rPr>
          <w:tab/>
        </w:r>
        <w:r w:rsidR="00C54BE0">
          <w:rPr>
            <w:webHidden/>
          </w:rPr>
          <w:fldChar w:fldCharType="begin"/>
        </w:r>
        <w:r w:rsidR="00C54BE0">
          <w:rPr>
            <w:webHidden/>
          </w:rPr>
          <w:instrText xml:space="preserve"> PAGEREF _Toc116040040 \h </w:instrText>
        </w:r>
        <w:r w:rsidR="00C54BE0">
          <w:rPr>
            <w:webHidden/>
          </w:rPr>
        </w:r>
        <w:r w:rsidR="00C54BE0">
          <w:rPr>
            <w:webHidden/>
          </w:rPr>
          <w:fldChar w:fldCharType="separate"/>
        </w:r>
        <w:r>
          <w:rPr>
            <w:webHidden/>
          </w:rPr>
          <w:t>284</w:t>
        </w:r>
        <w:r w:rsidR="00C54BE0">
          <w:rPr>
            <w:webHidden/>
          </w:rPr>
          <w:fldChar w:fldCharType="end"/>
        </w:r>
      </w:hyperlink>
    </w:p>
    <w:p w14:paraId="51AD2659" w14:textId="0313E0C4" w:rsidR="00C54BE0" w:rsidRDefault="00D677D7">
      <w:pPr>
        <w:pStyle w:val="TOC2"/>
        <w:rPr>
          <w:rFonts w:asciiTheme="minorHAnsi" w:eastAsiaTheme="minorEastAsia" w:hAnsiTheme="minorHAnsi" w:cstheme="minorBidi"/>
          <w:b w:val="0"/>
          <w:smallCaps w:val="0"/>
          <w:sz w:val="22"/>
          <w:lang w:eastAsia="hu-HU"/>
        </w:rPr>
      </w:pPr>
      <w:hyperlink w:anchor="_Toc116040041" w:history="1">
        <w:r w:rsidR="00C54BE0" w:rsidRPr="00112933">
          <w:rPr>
            <w:rStyle w:val="Hyperlink"/>
            <w:rFonts w:ascii="Times New Roman" w:hAnsi="Times New Roman"/>
          </w:rPr>
          <w:t>8.1.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Általános megjegyzések</w:t>
        </w:r>
        <w:r w:rsidR="00C54BE0">
          <w:rPr>
            <w:webHidden/>
          </w:rPr>
          <w:tab/>
        </w:r>
        <w:r w:rsidR="00C54BE0">
          <w:rPr>
            <w:webHidden/>
          </w:rPr>
          <w:fldChar w:fldCharType="begin"/>
        </w:r>
        <w:r w:rsidR="00C54BE0">
          <w:rPr>
            <w:webHidden/>
          </w:rPr>
          <w:instrText xml:space="preserve"> PAGEREF _Toc116040041 \h </w:instrText>
        </w:r>
        <w:r w:rsidR="00C54BE0">
          <w:rPr>
            <w:webHidden/>
          </w:rPr>
        </w:r>
        <w:r w:rsidR="00C54BE0">
          <w:rPr>
            <w:webHidden/>
          </w:rPr>
          <w:fldChar w:fldCharType="separate"/>
        </w:r>
        <w:r>
          <w:rPr>
            <w:webHidden/>
          </w:rPr>
          <w:t>284</w:t>
        </w:r>
        <w:r w:rsidR="00C54BE0">
          <w:rPr>
            <w:webHidden/>
          </w:rPr>
          <w:fldChar w:fldCharType="end"/>
        </w:r>
      </w:hyperlink>
    </w:p>
    <w:p w14:paraId="7AA51698" w14:textId="738D73AC" w:rsidR="00C54BE0" w:rsidRDefault="00D677D7">
      <w:pPr>
        <w:pStyle w:val="TOC2"/>
        <w:rPr>
          <w:rFonts w:asciiTheme="minorHAnsi" w:eastAsiaTheme="minorEastAsia" w:hAnsiTheme="minorHAnsi" w:cstheme="minorBidi"/>
          <w:b w:val="0"/>
          <w:smallCaps w:val="0"/>
          <w:sz w:val="22"/>
          <w:lang w:eastAsia="hu-HU"/>
        </w:rPr>
      </w:pPr>
      <w:hyperlink w:anchor="_Toc116040042" w:history="1">
        <w:r w:rsidR="00C54BE0" w:rsidRPr="00112933">
          <w:rPr>
            <w:rStyle w:val="Hyperlink"/>
            <w:rFonts w:ascii="Times New Roman" w:hAnsi="Times New Roman"/>
          </w:rPr>
          <w:t>8.2. C 35.01 – A NEMTELJESÍTŐ KITETTSÉGEKHEZ KAPCSOLÓDÓ LEVONÁSOK KISZÁMÍTÁSA (NPE LC1)</w:t>
        </w:r>
        <w:r w:rsidR="00C54BE0">
          <w:rPr>
            <w:webHidden/>
          </w:rPr>
          <w:tab/>
        </w:r>
        <w:r w:rsidR="00C54BE0">
          <w:rPr>
            <w:webHidden/>
          </w:rPr>
          <w:fldChar w:fldCharType="begin"/>
        </w:r>
        <w:r w:rsidR="00C54BE0">
          <w:rPr>
            <w:webHidden/>
          </w:rPr>
          <w:instrText xml:space="preserve"> PAGEREF _Toc116040042 \h </w:instrText>
        </w:r>
        <w:r w:rsidR="00C54BE0">
          <w:rPr>
            <w:webHidden/>
          </w:rPr>
        </w:r>
        <w:r w:rsidR="00C54BE0">
          <w:rPr>
            <w:webHidden/>
          </w:rPr>
          <w:fldChar w:fldCharType="separate"/>
        </w:r>
        <w:r>
          <w:rPr>
            <w:webHidden/>
          </w:rPr>
          <w:t>285</w:t>
        </w:r>
        <w:r w:rsidR="00C54BE0">
          <w:rPr>
            <w:webHidden/>
          </w:rPr>
          <w:fldChar w:fldCharType="end"/>
        </w:r>
      </w:hyperlink>
    </w:p>
    <w:p w14:paraId="2A60C57F" w14:textId="1C138E0C" w:rsidR="00C54BE0" w:rsidRDefault="00D677D7">
      <w:pPr>
        <w:pStyle w:val="TOC2"/>
        <w:rPr>
          <w:rFonts w:asciiTheme="minorHAnsi" w:eastAsiaTheme="minorEastAsia" w:hAnsiTheme="minorHAnsi" w:cstheme="minorBidi"/>
          <w:b w:val="0"/>
          <w:smallCaps w:val="0"/>
          <w:sz w:val="22"/>
          <w:lang w:eastAsia="hu-HU"/>
        </w:rPr>
      </w:pPr>
      <w:hyperlink w:anchor="_Toc116040043" w:history="1">
        <w:r w:rsidR="00C54BE0" w:rsidRPr="00112933">
          <w:rPr>
            <w:rStyle w:val="Hyperlink"/>
            <w:rFonts w:ascii="Times New Roman" w:hAnsi="Times New Roman"/>
          </w:rPr>
          <w:t>8.2.1.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_Toc116040043 \h </w:instrText>
        </w:r>
        <w:r w:rsidR="00C54BE0">
          <w:rPr>
            <w:webHidden/>
          </w:rPr>
        </w:r>
        <w:r w:rsidR="00C54BE0">
          <w:rPr>
            <w:webHidden/>
          </w:rPr>
          <w:fldChar w:fldCharType="separate"/>
        </w:r>
        <w:r>
          <w:rPr>
            <w:webHidden/>
          </w:rPr>
          <w:t>285</w:t>
        </w:r>
        <w:r w:rsidR="00C54BE0">
          <w:rPr>
            <w:webHidden/>
          </w:rPr>
          <w:fldChar w:fldCharType="end"/>
        </w:r>
      </w:hyperlink>
    </w:p>
    <w:p w14:paraId="5D8571C7" w14:textId="750AAD80" w:rsidR="00C54BE0" w:rsidRDefault="00D677D7">
      <w:pPr>
        <w:pStyle w:val="TOC2"/>
        <w:rPr>
          <w:rFonts w:asciiTheme="minorHAnsi" w:eastAsiaTheme="minorEastAsia" w:hAnsiTheme="minorHAnsi" w:cstheme="minorBidi"/>
          <w:b w:val="0"/>
          <w:smallCaps w:val="0"/>
          <w:sz w:val="22"/>
          <w:lang w:eastAsia="hu-HU"/>
        </w:rPr>
      </w:pPr>
      <w:hyperlink w:anchor="_Toc116040044" w:history="1">
        <w:r w:rsidR="00C54BE0" w:rsidRPr="00112933">
          <w:rPr>
            <w:rStyle w:val="Hyperlink"/>
            <w:rFonts w:ascii="Times New Roman" w:hAnsi="Times New Roman"/>
          </w:rPr>
          <w:t>8.3.</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35.02 – A NEMTELJESÍTŐ KITETTSÉGEKRE VONATKOZÓ FEDEZETI MINIMUMKÖVETELMÉNYEK ÉS KITETTSÉGÉRTÉKEK, KIVÉVE AZ 575/2013/EU RENDELET 47c. CIKKE (6) BEKEZDÉSÉNEK HATÁLYA ALÁ TARTOZÓ ÁTSTRUKTURÁLT KITETTSÉGEKET (NPE LC2)</w:t>
        </w:r>
        <w:r w:rsidR="00C54BE0">
          <w:rPr>
            <w:webHidden/>
          </w:rPr>
          <w:tab/>
        </w:r>
        <w:r w:rsidR="00C54BE0">
          <w:rPr>
            <w:webHidden/>
          </w:rPr>
          <w:fldChar w:fldCharType="begin"/>
        </w:r>
        <w:r w:rsidR="00C54BE0">
          <w:rPr>
            <w:webHidden/>
          </w:rPr>
          <w:instrText xml:space="preserve"> PAGEREF _Toc116040044 \h </w:instrText>
        </w:r>
        <w:r w:rsidR="00C54BE0">
          <w:rPr>
            <w:webHidden/>
          </w:rPr>
        </w:r>
        <w:r w:rsidR="00C54BE0">
          <w:rPr>
            <w:webHidden/>
          </w:rPr>
          <w:fldChar w:fldCharType="separate"/>
        </w:r>
        <w:r>
          <w:rPr>
            <w:webHidden/>
          </w:rPr>
          <w:t>287</w:t>
        </w:r>
        <w:r w:rsidR="00C54BE0">
          <w:rPr>
            <w:webHidden/>
          </w:rPr>
          <w:fldChar w:fldCharType="end"/>
        </w:r>
      </w:hyperlink>
    </w:p>
    <w:p w14:paraId="636AB48F" w14:textId="4F78BBDA" w:rsidR="00C54BE0" w:rsidRDefault="00D677D7">
      <w:pPr>
        <w:pStyle w:val="TOC2"/>
        <w:rPr>
          <w:rFonts w:asciiTheme="minorHAnsi" w:eastAsiaTheme="minorEastAsia" w:hAnsiTheme="minorHAnsi" w:cstheme="minorBidi"/>
          <w:b w:val="0"/>
          <w:smallCaps w:val="0"/>
          <w:sz w:val="22"/>
          <w:lang w:eastAsia="hu-HU"/>
        </w:rPr>
      </w:pPr>
      <w:hyperlink w:anchor="_Toc116040045" w:history="1">
        <w:r w:rsidR="00C54BE0" w:rsidRPr="00112933">
          <w:rPr>
            <w:rStyle w:val="Hyperlink"/>
            <w:rFonts w:ascii="Times New Roman" w:hAnsi="Times New Roman"/>
          </w:rPr>
          <w:t>8.3.1.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_Toc116040045 \h </w:instrText>
        </w:r>
        <w:r w:rsidR="00C54BE0">
          <w:rPr>
            <w:webHidden/>
          </w:rPr>
        </w:r>
        <w:r w:rsidR="00C54BE0">
          <w:rPr>
            <w:webHidden/>
          </w:rPr>
          <w:fldChar w:fldCharType="separate"/>
        </w:r>
        <w:r>
          <w:rPr>
            <w:webHidden/>
          </w:rPr>
          <w:t>287</w:t>
        </w:r>
        <w:r w:rsidR="00C54BE0">
          <w:rPr>
            <w:webHidden/>
          </w:rPr>
          <w:fldChar w:fldCharType="end"/>
        </w:r>
      </w:hyperlink>
    </w:p>
    <w:p w14:paraId="0F9DC6EA" w14:textId="776B4A8B" w:rsidR="00C54BE0" w:rsidRDefault="00D677D7">
      <w:pPr>
        <w:pStyle w:val="TOC2"/>
        <w:rPr>
          <w:rFonts w:asciiTheme="minorHAnsi" w:eastAsiaTheme="minorEastAsia" w:hAnsiTheme="minorHAnsi" w:cstheme="minorBidi"/>
          <w:b w:val="0"/>
          <w:smallCaps w:val="0"/>
          <w:sz w:val="22"/>
          <w:lang w:eastAsia="hu-HU"/>
        </w:rPr>
      </w:pPr>
      <w:hyperlink w:anchor="_Toc116040046" w:history="1">
        <w:r w:rsidR="00C54BE0" w:rsidRPr="00112933">
          <w:rPr>
            <w:rStyle w:val="Hyperlink"/>
            <w:rFonts w:ascii="Times New Roman" w:hAnsi="Times New Roman"/>
          </w:rPr>
          <w:t>8.4.</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C 35.03 – AZ 575/2013/EU RENDELET 47C. CIKKE (6) BEKEZDÉSÉNEK HATÁLYA ALÁ TARTOZÓ ÁTSTRUKTURÁLT NEMTELJESÍTŐ KITETTSÉGEKRE VONATKOZÓ FEDEZETI MINIMUMKÖVETELMÉNYEK ÉS KITETTSÉGÉRTÉKEK (NPE LC3)</w:t>
        </w:r>
        <w:r w:rsidR="00C54BE0">
          <w:rPr>
            <w:webHidden/>
          </w:rPr>
          <w:tab/>
        </w:r>
        <w:r w:rsidR="00C54BE0">
          <w:rPr>
            <w:webHidden/>
          </w:rPr>
          <w:fldChar w:fldCharType="begin"/>
        </w:r>
        <w:r w:rsidR="00C54BE0">
          <w:rPr>
            <w:webHidden/>
          </w:rPr>
          <w:instrText xml:space="preserve"> PAGEREF _Toc116040046 \h </w:instrText>
        </w:r>
        <w:r w:rsidR="00C54BE0">
          <w:rPr>
            <w:webHidden/>
          </w:rPr>
        </w:r>
        <w:r w:rsidR="00C54BE0">
          <w:rPr>
            <w:webHidden/>
          </w:rPr>
          <w:fldChar w:fldCharType="separate"/>
        </w:r>
        <w:r>
          <w:rPr>
            <w:webHidden/>
          </w:rPr>
          <w:t>290</w:t>
        </w:r>
        <w:r w:rsidR="00C54BE0">
          <w:rPr>
            <w:webHidden/>
          </w:rPr>
          <w:fldChar w:fldCharType="end"/>
        </w:r>
      </w:hyperlink>
    </w:p>
    <w:p w14:paraId="32E4C73D" w14:textId="4A1D6511" w:rsidR="00C54BE0" w:rsidRDefault="00D677D7">
      <w:pPr>
        <w:pStyle w:val="TOC2"/>
        <w:rPr>
          <w:rFonts w:asciiTheme="minorHAnsi" w:eastAsiaTheme="minorEastAsia" w:hAnsiTheme="minorHAnsi" w:cstheme="minorBidi"/>
          <w:b w:val="0"/>
          <w:smallCaps w:val="0"/>
          <w:sz w:val="22"/>
          <w:lang w:eastAsia="hu-HU"/>
        </w:rPr>
      </w:pPr>
      <w:hyperlink w:anchor="_Toc116040047" w:history="1">
        <w:r w:rsidR="00C54BE0" w:rsidRPr="00112933">
          <w:rPr>
            <w:rStyle w:val="Hyperlink"/>
            <w:rFonts w:ascii="Times New Roman" w:hAnsi="Times New Roman"/>
          </w:rPr>
          <w:t>8.4.1.</w:t>
        </w:r>
        <w:r w:rsidR="00C54BE0">
          <w:rPr>
            <w:rFonts w:asciiTheme="minorHAnsi" w:eastAsiaTheme="minorEastAsia" w:hAnsiTheme="minorHAnsi" w:cstheme="minorBidi"/>
            <w:b w:val="0"/>
            <w:smallCaps w:val="0"/>
            <w:sz w:val="22"/>
            <w:lang w:eastAsia="hu-HU"/>
          </w:rPr>
          <w:tab/>
        </w:r>
        <w:r w:rsidR="00C54BE0" w:rsidRPr="00112933">
          <w:rPr>
            <w:rStyle w:val="Hyperlink"/>
            <w:rFonts w:ascii="Times New Roman" w:hAnsi="Times New Roman"/>
          </w:rPr>
          <w:t>A tábla egyes részeire vonatkozó útmutató</w:t>
        </w:r>
        <w:r w:rsidR="00C54BE0">
          <w:rPr>
            <w:webHidden/>
          </w:rPr>
          <w:tab/>
        </w:r>
        <w:r w:rsidR="00C54BE0">
          <w:rPr>
            <w:webHidden/>
          </w:rPr>
          <w:fldChar w:fldCharType="begin"/>
        </w:r>
        <w:r w:rsidR="00C54BE0">
          <w:rPr>
            <w:webHidden/>
          </w:rPr>
          <w:instrText xml:space="preserve"> PAGEREF _Toc116040047 \h </w:instrText>
        </w:r>
        <w:r w:rsidR="00C54BE0">
          <w:rPr>
            <w:webHidden/>
          </w:rPr>
        </w:r>
        <w:r w:rsidR="00C54BE0">
          <w:rPr>
            <w:webHidden/>
          </w:rPr>
          <w:fldChar w:fldCharType="separate"/>
        </w:r>
        <w:r>
          <w:rPr>
            <w:webHidden/>
          </w:rPr>
          <w:t>290</w:t>
        </w:r>
        <w:r w:rsidR="00C54BE0">
          <w:rPr>
            <w:webHidden/>
          </w:rPr>
          <w:fldChar w:fldCharType="end"/>
        </w:r>
      </w:hyperlink>
    </w:p>
    <w:p w14:paraId="4325A1DC" w14:textId="100C1A7C"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6039869"/>
      <w:r>
        <w:rPr>
          <w:rFonts w:ascii="Times New Roman" w:hAnsi="Times New Roman"/>
        </w:rPr>
        <w:t>I. RÉSZ:</w:t>
      </w:r>
      <w:bookmarkEnd w:id="2"/>
      <w:r>
        <w:rPr>
          <w:rFonts w:ascii="Times New Roman" w:hAnsi="Times New Roman"/>
        </w:rPr>
        <w:t xml:space="preserve"> ÁLTALÁNOS ÚTMUTATÓ</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6039870"/>
      <w:r>
        <w:rPr>
          <w:rFonts w:ascii="Times New Roman" w:hAnsi="Times New Roman"/>
          <w:sz w:val="24"/>
          <w:u w:val="none"/>
        </w:rPr>
        <w:t>1.</w:t>
      </w:r>
      <w:r>
        <w:rPr>
          <w:rFonts w:ascii="Times New Roman" w:hAnsi="Times New Roman"/>
          <w:sz w:val="24"/>
          <w:u w:val="none"/>
        </w:rPr>
        <w:tab/>
        <w:t>SZERKEZET ÉS SZABÁLYOK</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116039871"/>
      <w:bookmarkStart w:id="12" w:name="_Toc264038399"/>
      <w:bookmarkStart w:id="13" w:name="_Toc294018834"/>
      <w:r>
        <w:rPr>
          <w:rFonts w:ascii="Times New Roman" w:hAnsi="Times New Roman"/>
          <w:sz w:val="24"/>
          <w:u w:val="none"/>
        </w:rPr>
        <w:t>1.1.</w:t>
      </w:r>
      <w:r>
        <w:rPr>
          <w:rFonts w:ascii="Times New Roman" w:hAnsi="Times New Roman"/>
          <w:sz w:val="24"/>
          <w:u w:val="none"/>
        </w:rPr>
        <w:tab/>
        <w:t>SZERKEZET</w:t>
      </w:r>
      <w:bookmarkEnd w:id="9"/>
      <w:bookmarkEnd w:id="10"/>
      <w:bookmarkEnd w:id="11"/>
    </w:p>
    <w:p w14:paraId="336D6DE1" w14:textId="0C8E43B0"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624117">
        <w:rPr>
          <w:noProof/>
        </w:rPr>
        <w:t>1</w:t>
      </w:r>
      <w:r>
        <w:rPr>
          <w:noProof/>
        </w:rPr>
        <w:fldChar w:fldCharType="end"/>
      </w:r>
      <w:r w:rsidR="00C3070C">
        <w:t>.</w:t>
      </w:r>
      <w:r w:rsidR="00C3070C">
        <w:tab/>
        <w:t>Összességében a keretrendszer hat témát ölel fel:</w:t>
      </w:r>
    </w:p>
    <w:p w14:paraId="081D30F3" w14:textId="77777777" w:rsidR="002648B0" w:rsidRPr="002A677E" w:rsidRDefault="00125707" w:rsidP="00487A02">
      <w:pPr>
        <w:pStyle w:val="InstructionsText2"/>
        <w:numPr>
          <w:ilvl w:val="0"/>
          <w:numId w:val="0"/>
        </w:numPr>
        <w:ind w:left="1353" w:hanging="360"/>
      </w:pPr>
      <w:r>
        <w:t>a)</w:t>
      </w:r>
      <w:r>
        <w:tab/>
        <w:t>tőkemegfelelés, a szavatolótőke áttekintése; teljes kockázati kitettségérték; prudens értékelés; nemteljesítő kitettségek veszteségfedezete;</w:t>
      </w:r>
    </w:p>
    <w:p w14:paraId="62EB9671" w14:textId="77777777" w:rsidR="00436204" w:rsidRPr="002A677E" w:rsidRDefault="00125707" w:rsidP="00487A02">
      <w:pPr>
        <w:pStyle w:val="InstructionsText2"/>
        <w:numPr>
          <w:ilvl w:val="0"/>
          <w:numId w:val="0"/>
        </w:numPr>
        <w:ind w:left="1353" w:hanging="360"/>
      </w:pPr>
      <w:r>
        <w:t>b)</w:t>
      </w:r>
      <w:r>
        <w:tab/>
        <w:t>csoportszintű szavatolótőke-megfelelés, áttekintés a tőkemegfelelési követelményeknek az adatszolgáltató intézmény konszolidációs körébe bevont valamennyi szervezet általi teljesítéséről;</w:t>
      </w:r>
    </w:p>
    <w:p w14:paraId="02F767CA" w14:textId="77777777" w:rsidR="002648B0" w:rsidRPr="002A677E" w:rsidRDefault="00125707" w:rsidP="00487A02">
      <w:pPr>
        <w:pStyle w:val="InstructionsText2"/>
        <w:numPr>
          <w:ilvl w:val="0"/>
          <w:numId w:val="0"/>
        </w:numPr>
        <w:ind w:left="1353" w:hanging="360"/>
      </w:pPr>
      <w:r>
        <w:t>c)</w:t>
      </w:r>
      <w:r>
        <w:tab/>
        <w:t>hitelkockázat (partner-, felhígulási és elszámolási kockázat);</w:t>
      </w:r>
    </w:p>
    <w:p w14:paraId="685551B9" w14:textId="77777777" w:rsidR="002648B0" w:rsidRPr="002A677E" w:rsidRDefault="00125707" w:rsidP="00487A02">
      <w:pPr>
        <w:pStyle w:val="InstructionsText2"/>
        <w:numPr>
          <w:ilvl w:val="0"/>
          <w:numId w:val="0"/>
        </w:numPr>
        <w:ind w:left="1353" w:hanging="360"/>
      </w:pPr>
      <w:r>
        <w:t>d)</w:t>
      </w:r>
      <w:r>
        <w:tab/>
        <w:t>piaci kockázat (kereskedési könyvi pozíciókockázat, devizaárfolyam-kockázat, árukockázat, CVA-kockázat);</w:t>
      </w:r>
    </w:p>
    <w:p w14:paraId="2C2D1FE5" w14:textId="77777777" w:rsidR="00C44C83" w:rsidRPr="002A677E" w:rsidRDefault="00125707" w:rsidP="00487A02">
      <w:pPr>
        <w:pStyle w:val="InstructionsText2"/>
        <w:numPr>
          <w:ilvl w:val="0"/>
          <w:numId w:val="0"/>
        </w:numPr>
        <w:ind w:left="1353" w:hanging="360"/>
      </w:pPr>
      <w:r>
        <w:t>e)</w:t>
      </w:r>
      <w:r>
        <w:tab/>
        <w:t>működési kockázat;</w:t>
      </w:r>
    </w:p>
    <w:p w14:paraId="5A2D5E12" w14:textId="66F1B60C" w:rsidR="002648B0" w:rsidRPr="002A677E" w:rsidRDefault="00C44C83" w:rsidP="00487A02">
      <w:pPr>
        <w:pStyle w:val="InstructionsText2"/>
        <w:numPr>
          <w:ilvl w:val="0"/>
          <w:numId w:val="0"/>
        </w:numPr>
        <w:ind w:left="1353" w:hanging="360"/>
      </w:pPr>
      <w:r>
        <w:t>f) államháztartásokkal szembeni kitettségek.</w:t>
      </w:r>
    </w:p>
    <w:p w14:paraId="197EB621" w14:textId="0E6A18E0"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w:t>
      </w:r>
      <w:r>
        <w:rPr>
          <w:noProof/>
        </w:rPr>
        <w:fldChar w:fldCharType="end"/>
      </w:r>
      <w:r w:rsidR="00C3070C">
        <w:t>.</w:t>
      </w:r>
      <w:r w:rsidR="00C3070C">
        <w:tab/>
        <w:t>Minden táblánál szerepel jogszabályi hivatkozás. Az egyes táblacsoportok felhasználásával történő adatközlés általános szempontjaival kapcsolatos további részletes információkat, a tábla egyes részeire vonatkozó útmutatót, valamint a validálási szabályokat e végrehajtási rendelet jelen része tartalmazza.</w:t>
      </w:r>
    </w:p>
    <w:p w14:paraId="2D1DBE72" w14:textId="4875670A"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w:t>
      </w:r>
      <w:r>
        <w:rPr>
          <w:noProof/>
        </w:rPr>
        <w:fldChar w:fldCharType="end"/>
      </w:r>
      <w:r w:rsidR="00C3070C">
        <w:t>.</w:t>
      </w:r>
      <w:r w:rsidR="00C3070C">
        <w:tab/>
        <w:t>Az intézményeknek kizárólag azokon a táblákon kell adatot szolgáltatniuk, amelyek a szavatolótőke-követelmények meghatározása során alkalmazott megközelítés szempontjából relevánsak.</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6039872"/>
      <w:r>
        <w:rPr>
          <w:rFonts w:ascii="Times New Roman" w:hAnsi="Times New Roman"/>
          <w:sz w:val="24"/>
          <w:u w:val="none"/>
        </w:rPr>
        <w:t>1.2.</w:t>
      </w:r>
      <w:r>
        <w:rPr>
          <w:rFonts w:ascii="Times New Roman" w:hAnsi="Times New Roman"/>
          <w:sz w:val="24"/>
          <w:u w:val="none"/>
        </w:rPr>
        <w:tab/>
        <w:t>Számozási szabályok</w:t>
      </w:r>
      <w:bookmarkEnd w:id="14"/>
      <w:bookmarkEnd w:id="15"/>
      <w:bookmarkEnd w:id="16"/>
    </w:p>
    <w:p w14:paraId="07DD29A3" w14:textId="77777777"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w:t>
      </w:r>
      <w:r>
        <w:rPr>
          <w:noProof/>
        </w:rPr>
        <w:fldChar w:fldCharType="end"/>
      </w:r>
      <w:r w:rsidR="00C3070C">
        <w:t>.</w:t>
      </w:r>
      <w:r w:rsidR="00C3070C">
        <w:tab/>
        <w:t>A táblák oszlopaira, soraira és celláira való hivatkozáskor a dokumentum az 5–8. pontban meghatározott jelölési szabályokat követi. Ezeket a számkódokat széles körben használják a validálási szabályokban.</w:t>
      </w:r>
    </w:p>
    <w:p w14:paraId="4A930757" w14:textId="77777777"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w:t>
      </w:r>
      <w:r>
        <w:rPr>
          <w:noProof/>
        </w:rPr>
        <w:fldChar w:fldCharType="end"/>
      </w:r>
      <w:r w:rsidR="00C3070C">
        <w:t>.</w:t>
      </w:r>
      <w:r w:rsidR="00C3070C">
        <w:tab/>
        <w:t>Az útmutató a következő általános jelölést követi: {Tábla; Sor; Oszlop}.</w:t>
      </w:r>
    </w:p>
    <w:p w14:paraId="058D6622" w14:textId="77777777"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w:t>
      </w:r>
      <w:r>
        <w:rPr>
          <w:noProof/>
        </w:rPr>
        <w:fldChar w:fldCharType="end"/>
      </w:r>
      <w:r w:rsidR="00C3070C">
        <w:t>.</w:t>
      </w:r>
      <w:r w:rsidR="00C3070C">
        <w:tab/>
        <w:t>Olyan táblán belüli validálás esetén, amelynél az adott táblából csak adatpontokat használunk, a jelölés nem hivatkozik a táblára: {Sor; Oszlop}.</w:t>
      </w:r>
    </w:p>
    <w:p w14:paraId="1C93CB72" w14:textId="77777777"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w:t>
      </w:r>
      <w:r>
        <w:rPr>
          <w:noProof/>
        </w:rPr>
        <w:fldChar w:fldCharType="end"/>
      </w:r>
      <w:r w:rsidR="00C3070C">
        <w:t>.</w:t>
      </w:r>
      <w:r w:rsidR="00C3070C">
        <w:tab/>
        <w:t>Az olyan táblák esetében, amelyek csak egy oszlopot tartalmaznak, a jelölés csak a sorokra hivatkozik. {Tábla; Sor}</w:t>
      </w:r>
    </w:p>
    <w:p w14:paraId="6CF08484" w14:textId="77777777"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w:t>
      </w:r>
      <w:r>
        <w:rPr>
          <w:noProof/>
        </w:rPr>
        <w:fldChar w:fldCharType="end"/>
      </w:r>
      <w:r w:rsidR="00C3070C">
        <w:t>.</w:t>
      </w:r>
      <w:r w:rsidR="00C3070C">
        <w:tab/>
        <w:t>Csillag jelöli, hogy a validálás a korábban meghatározott sorra vagy oszlopra megtörtént.</w:t>
      </w:r>
    </w:p>
    <w:p w14:paraId="6218AD51" w14:textId="31896283"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6039873"/>
      <w:r>
        <w:rPr>
          <w:rFonts w:ascii="Times New Roman" w:hAnsi="Times New Roman"/>
          <w:sz w:val="24"/>
          <w:u w:val="none"/>
        </w:rPr>
        <w:lastRenderedPageBreak/>
        <w:t>1.3.</w:t>
      </w:r>
      <w:r>
        <w:rPr>
          <w:rFonts w:ascii="Times New Roman" w:hAnsi="Times New Roman"/>
          <w:sz w:val="24"/>
          <w:u w:val="none"/>
        </w:rPr>
        <w:tab/>
        <w:t>Előjelre vonatkozó szabályok</w:t>
      </w:r>
      <w:bookmarkEnd w:id="12"/>
      <w:bookmarkEnd w:id="13"/>
      <w:bookmarkEnd w:id="17"/>
      <w:bookmarkEnd w:id="18"/>
      <w:bookmarkEnd w:id="19"/>
    </w:p>
    <w:p w14:paraId="67BDF5E2" w14:textId="77777777"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w:t>
      </w:r>
      <w:r>
        <w:rPr>
          <w:noProof/>
        </w:rPr>
        <w:fldChar w:fldCharType="end"/>
      </w:r>
      <w:r w:rsidR="00C3070C">
        <w:t>.</w:t>
      </w:r>
      <w:r w:rsidR="00C3070C">
        <w:tab/>
        <w:t>A szavatolótőkét vagy a tőkekövetelményeket növelő összegeket pozitív számként kell feltüntetni. Ugyanakkor a szavatolótőke teljes összegét vagy a tőkekövetelményeket csökkentő bármely összeg előjele negatív. Ha egy tétel megnevezése előtt mínuszjel (–) található, akkor az adott tételről nem szolgáltatható pozitív adat.</w:t>
      </w:r>
    </w:p>
    <w:p w14:paraId="69E08A1F" w14:textId="19E7351D" w:rsidR="00304CA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w:t>
      </w:r>
      <w:r>
        <w:rPr>
          <w:noProof/>
        </w:rPr>
        <w:fldChar w:fldCharType="end"/>
      </w:r>
      <w:r w:rsidR="00C3070C">
        <w:t>. . [üres]</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6039874"/>
      <w:r>
        <w:rPr>
          <w:rFonts w:ascii="Times New Roman" w:hAnsi="Times New Roman"/>
        </w:rPr>
        <w:t>II. RÉSZ: A TÁBLÁHOZ KAPCSOLÓDÓ ÚTMUTATÓ</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6039875"/>
      <w:r>
        <w:rPr>
          <w:rFonts w:ascii="Times New Roman" w:hAnsi="Times New Roman"/>
          <w:sz w:val="24"/>
          <w:u w:val="none"/>
        </w:rPr>
        <w:t>1.</w:t>
      </w:r>
      <w:r>
        <w:rPr>
          <w:rFonts w:ascii="Times New Roman" w:hAnsi="Times New Roman"/>
          <w:sz w:val="24"/>
          <w:u w:val="none"/>
        </w:rPr>
        <w:tab/>
        <w:t>Tőkemegfelelési áttekintés</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6039876"/>
      <w:r>
        <w:rPr>
          <w:rFonts w:ascii="Times New Roman" w:hAnsi="Times New Roman"/>
          <w:sz w:val="24"/>
          <w:u w:val="none"/>
        </w:rPr>
        <w:t>1.1.</w:t>
      </w:r>
      <w:r>
        <w:rPr>
          <w:rFonts w:ascii="Times New Roman" w:hAnsi="Times New Roman"/>
          <w:sz w:val="24"/>
          <w:u w:val="none"/>
        </w:rPr>
        <w:tab/>
        <w:t>Általános megjegyzések</w:t>
      </w:r>
      <w:bookmarkEnd w:id="27"/>
      <w:bookmarkEnd w:id="28"/>
      <w:bookmarkEnd w:id="29"/>
      <w:bookmarkEnd w:id="30"/>
    </w:p>
    <w:p w14:paraId="21F1BE9F" w14:textId="55ED64E9"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w:t>
      </w:r>
      <w:r>
        <w:rPr>
          <w:noProof/>
        </w:rPr>
        <w:fldChar w:fldCharType="end"/>
      </w:r>
      <w:r w:rsidR="00C3070C">
        <w:t>.</w:t>
      </w:r>
      <w:r w:rsidR="00C3070C">
        <w:tab/>
        <w:t xml:space="preserve">A CA táblacsoport az I. pillér szerinti mutatók számlálóiban szereplő tőketípusokra (szavatolótőke, alapvető tőke [T1], elsődleges alapvető tőke [CET1]) és nevezőjére (szavatolótőke-követelmény), valamint az 575/2013/EU rendeletben és a 2013/36/EU irányelvben található átmeneti rendelkezések alkalmazására vonatkozó információkat tartalmazza, és öt táblát foglal magában: </w:t>
      </w:r>
    </w:p>
    <w:p w14:paraId="522AAFB4" w14:textId="3E37C8B5" w:rsidR="005643EA" w:rsidRPr="002A677E" w:rsidRDefault="00125707" w:rsidP="00487A02">
      <w:pPr>
        <w:pStyle w:val="InstructionsText2"/>
        <w:numPr>
          <w:ilvl w:val="0"/>
          <w:numId w:val="0"/>
        </w:numPr>
        <w:ind w:left="1353" w:hanging="360"/>
      </w:pPr>
      <w:r>
        <w:t>a)</w:t>
      </w:r>
      <w:r>
        <w:tab/>
        <w:t>A CA1 tábla az egyes intézmények szavatolótőkéjének összegét tartalmazza, az összeg meghatározásához szükséges tételek szerinti bontásban. A szavatolótőke számított értéke magában foglalja az 575/2013/EU rendelet és a 2013/36/EU irányelv egyes tőkeelemekre vonatkozó átmeneti rendelkezései alkalmazásának összesített hatását is.</w:t>
      </w:r>
    </w:p>
    <w:p w14:paraId="4AA37357" w14:textId="7D1B9A3F" w:rsidR="005643EA" w:rsidRPr="002A677E" w:rsidRDefault="00125707" w:rsidP="00487A02">
      <w:pPr>
        <w:pStyle w:val="InstructionsText2"/>
        <w:numPr>
          <w:ilvl w:val="0"/>
          <w:numId w:val="0"/>
        </w:numPr>
        <w:ind w:left="1353" w:hanging="360"/>
      </w:pPr>
      <w:r>
        <w:t>b)</w:t>
      </w:r>
      <w:r>
        <w:tab/>
        <w:t>A CA2 tábla az 575/2013/EU rendelet 92. cikkének (3) bekezdése szerinti teljes kockázati kitettségértékeket foglalja össze.</w:t>
      </w:r>
    </w:p>
    <w:p w14:paraId="7B8CC078" w14:textId="0F453483" w:rsidR="005643EA" w:rsidRPr="002A677E" w:rsidRDefault="00125707" w:rsidP="00487A02">
      <w:pPr>
        <w:pStyle w:val="InstructionsText2"/>
        <w:numPr>
          <w:ilvl w:val="0"/>
          <w:numId w:val="0"/>
        </w:numPr>
        <w:ind w:left="1353" w:hanging="360"/>
      </w:pPr>
      <w:r>
        <w:t>c)</w:t>
      </w:r>
      <w:r>
        <w:tab/>
        <w:t>A CA3 tábla egyrészt azokat a mutatókat tartalmazza, amelyek minimális szintjét az 575/2013/EU rendelet rögzíti, másrészt a II. pillérhez kapcsolódó mutatókat és egyéb kapcsolódó adatokat.</w:t>
      </w:r>
    </w:p>
    <w:p w14:paraId="61C0C310" w14:textId="4CDAA0D3" w:rsidR="005643EA" w:rsidRPr="002A677E" w:rsidRDefault="00125707" w:rsidP="00487A02">
      <w:pPr>
        <w:pStyle w:val="InstructionsText2"/>
        <w:numPr>
          <w:ilvl w:val="0"/>
          <w:numId w:val="0"/>
        </w:numPr>
        <w:ind w:left="1353" w:hanging="360"/>
      </w:pPr>
      <w:r>
        <w:t>d)</w:t>
      </w:r>
      <w:r>
        <w:tab/>
        <w:t xml:space="preserve">A CA4 tábla többek között a CA1 elemeinek kiszámításához szükséges tájékoztató adatokat, valamint a 2013/36/EU irányelv szerinti tőkepufferekkel kapcsolatos információkat tartalmazza. </w:t>
      </w:r>
    </w:p>
    <w:p w14:paraId="3B08263D" w14:textId="6CFC2E59" w:rsidR="005643EA" w:rsidRPr="002A677E" w:rsidRDefault="00125707" w:rsidP="00487A02">
      <w:pPr>
        <w:pStyle w:val="InstructionsText2"/>
        <w:numPr>
          <w:ilvl w:val="0"/>
          <w:numId w:val="0"/>
        </w:numPr>
        <w:ind w:left="1353" w:hanging="360"/>
      </w:pPr>
      <w:r>
        <w:t>e)</w:t>
      </w:r>
      <w:r>
        <w:tab/>
        <w:t>A CA5 tábla az 575/2013/EU rendelet szavatolótőkét érintő átmeneti rendelkezései alkalmazásából eredő hatások kiszámításához szükséges adatokat tartalmazza. A CA5 tábla hatálya az említett átmeneti rendelkezések lejáratát követően megszűnik.</w:t>
      </w:r>
    </w:p>
    <w:p w14:paraId="42AFBB71" w14:textId="6D58C1EE"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w:t>
      </w:r>
      <w:r>
        <w:rPr>
          <w:noProof/>
        </w:rPr>
        <w:fldChar w:fldCharType="end"/>
      </w:r>
      <w:r w:rsidR="00C3070C">
        <w:t>.</w:t>
      </w:r>
      <w:r w:rsidR="00C3070C">
        <w:tab/>
        <w:t>A táblákat az adatszolgáltatásra kötelezett valamennyi intézménynek használnia kell, függetlenül az intézmény nemzeti jog szerint irányadó számvitelétől, azonban a számláló egyes elemei kizárólag az IAS/IFRS típusú értékelési szabályokat alkalmazó intézményekre vonatkoznak. A nevezőben foglalt adatok általában a teljes kockázati kitettségérték kiszámítására szolgáló, kockázati típusonkénti táblákban meghatározott végeredményekhez kapcsolódnak.</w:t>
      </w:r>
    </w:p>
    <w:p w14:paraId="6AB6AA40" w14:textId="77777777"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w:t>
      </w:r>
      <w:r>
        <w:rPr>
          <w:noProof/>
        </w:rPr>
        <w:fldChar w:fldCharType="end"/>
      </w:r>
      <w:r w:rsidR="00C3070C">
        <w:t>.</w:t>
      </w:r>
      <w:r w:rsidR="00C3070C">
        <w:tab/>
        <w:t xml:space="preserve">A szavatolótőke teljes összege különböző tőketípusokból áll: az alapvető tőkéből (T1), amely az elsődleges alapvető tőke (CET1) és a kiegészítő alapvető tőke (AT1) összege, valamint a járulékos tőkéből (T2). </w:t>
      </w:r>
    </w:p>
    <w:p w14:paraId="7CAE4F09" w14:textId="0114B3D0"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w:t>
      </w:r>
      <w:r>
        <w:rPr>
          <w:noProof/>
        </w:rPr>
        <w:fldChar w:fldCharType="end"/>
      </w:r>
      <w:r w:rsidR="00C3070C">
        <w:t>.</w:t>
      </w:r>
      <w:r w:rsidR="00C3070C">
        <w:tab/>
        <w:t>A CA táblák az 575/2013/EU rendelet és a 2013/36/EU irányelv átmeneti rendelkezéseinek alkalmazását az alábbiak szerint kezelik:</w:t>
      </w:r>
    </w:p>
    <w:p w14:paraId="461AFACA" w14:textId="77777777" w:rsidR="00783881" w:rsidRPr="002A677E" w:rsidRDefault="00125707" w:rsidP="00487A02">
      <w:pPr>
        <w:pStyle w:val="InstructionsText2"/>
        <w:numPr>
          <w:ilvl w:val="0"/>
          <w:numId w:val="0"/>
        </w:numPr>
        <w:ind w:left="1353" w:hanging="360"/>
      </w:pPr>
      <w:r>
        <w:lastRenderedPageBreak/>
        <w:t>a)</w:t>
      </w:r>
      <w:r>
        <w:tab/>
        <w:t>A CA1 elemei általában bruttó módon, az átmeneti kiigazítások előtti értéken szerepelnek. Ez azt jelenti, hogy a CA1-elemek adatait – az átmeneti rendelkezések hatását összesítő elemek adatainak kivételével – a végleges rendelkezések alapján úgy kell kiszámítani, mintha nem lennének átmeneti rendelkezések. Mindegyik tőketípus (CET1, AT1 és T2) esetében három olyan különböző elem van, amely magában foglalja az átmeneti rendelkezések miatti kiigazításokat.</w:t>
      </w:r>
    </w:p>
    <w:p w14:paraId="1413EE3A" w14:textId="55A41872" w:rsidR="00113EA5" w:rsidRPr="002A677E" w:rsidRDefault="00125707" w:rsidP="00487A02">
      <w:pPr>
        <w:pStyle w:val="InstructionsText2"/>
        <w:numPr>
          <w:ilvl w:val="0"/>
          <w:numId w:val="0"/>
        </w:numPr>
        <w:ind w:left="1353" w:hanging="360"/>
      </w:pPr>
      <w:r>
        <w:t>b)</w:t>
      </w:r>
      <w:r>
        <w:tab/>
        <w:t>Az átmeneti rendelkezések módosíthatják az AT1 tőke és a T2 tőke hiányát is (az AT1 tőke vagy a T2 tőke azon hiányát, amely az 575/2013/EU rendelet 36. cikke (1) bekezdésének j) pontjában, illetve 56. cikkének e) pontjában leírtak szerint az adott tőketípusokba tartozó tőkeelemek összegét meghaladó levonások többlete miatt keletkezik), és így azokat az elemeket, amelyek az említett átmeneti rendelkezések hatását közvetett módon esetleg tükröző hiányokat tartalmazzák.</w:t>
      </w:r>
    </w:p>
    <w:p w14:paraId="5BA6EE8D" w14:textId="1242D8DB" w:rsidR="005643EA" w:rsidRPr="002A677E" w:rsidRDefault="00125707" w:rsidP="00487A02">
      <w:pPr>
        <w:pStyle w:val="InstructionsText2"/>
        <w:numPr>
          <w:ilvl w:val="0"/>
          <w:numId w:val="0"/>
        </w:numPr>
        <w:ind w:left="1353" w:hanging="360"/>
      </w:pPr>
      <w:r>
        <w:t>c)</w:t>
      </w:r>
      <w:r>
        <w:tab/>
        <w:t xml:space="preserve">A CA5 tábla kizárólag az 575/2013/EU rendelet átmeneti rendelkezéseinek alkalmazásából eredő hatásokkal kapcsolatos adatszolgáltatásra használható. </w:t>
      </w:r>
    </w:p>
    <w:p w14:paraId="2E1A7C01" w14:textId="655B1F5A"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w:t>
      </w:r>
      <w:r>
        <w:rPr>
          <w:noProof/>
        </w:rPr>
        <w:fldChar w:fldCharType="end"/>
      </w:r>
      <w:r w:rsidR="00C3070C">
        <w:t>.</w:t>
      </w:r>
      <w:r w:rsidR="00C3070C">
        <w:tab/>
        <w:t xml:space="preserve">A II. pillér szerinti követelmények kezelése az EU-n belül eltérő lehet (a 2013/36/EU irányelv 104a. cikkének (1) bekezdését át kell ültetni a tagállami szabályozásba). Az 575/2013/EU rendelet alapján teljesített tőkemegfelelési adatszolgáltatás kizárólag a II. pillérben a tőkemegfelelési mutatóra vagy az elérendő arányra vonatkozóan rögzített követelmények hatására terjedhet ki. </w:t>
      </w:r>
    </w:p>
    <w:p w14:paraId="4913F19A" w14:textId="77777777" w:rsidR="005643EA" w:rsidRPr="002A677E" w:rsidRDefault="00125707" w:rsidP="00487A02">
      <w:pPr>
        <w:pStyle w:val="InstructionsText2"/>
        <w:numPr>
          <w:ilvl w:val="0"/>
          <w:numId w:val="0"/>
        </w:numPr>
        <w:ind w:left="1353" w:hanging="360"/>
      </w:pPr>
      <w:r>
        <w:t>a)</w:t>
      </w:r>
      <w:r>
        <w:tab/>
        <w:t>A CA1, CA2 és CA5 tábla kizárólag az I. pillérrel kapcsolatos kérdésekre vonatkozó adatokat tartalmaz.</w:t>
      </w:r>
    </w:p>
    <w:p w14:paraId="1D28867A" w14:textId="77777777" w:rsidR="005643EA" w:rsidRPr="002A677E" w:rsidRDefault="00125707" w:rsidP="00487A02">
      <w:pPr>
        <w:pStyle w:val="InstructionsText2"/>
        <w:numPr>
          <w:ilvl w:val="0"/>
          <w:numId w:val="0"/>
        </w:numPr>
        <w:ind w:left="1353" w:hanging="360"/>
      </w:pPr>
      <w:r>
        <w:t>b)</w:t>
      </w:r>
      <w:r>
        <w:tab/>
        <w:t>A CA3 tábla a II. pillér tőkemegfelelési mutatóra vonatkozó egyéb követelményeinek összesített hatását tartalmazza. Elsősorban magukra a célmutatókra összpontosít. Nincs további kapcsolata a CA1, CA2 vagy CA5 táblákkal.</w:t>
      </w:r>
    </w:p>
    <w:p w14:paraId="36BBAE84" w14:textId="73CEAC43" w:rsidR="005643EA" w:rsidRPr="002A677E" w:rsidRDefault="00125707" w:rsidP="00487A02">
      <w:pPr>
        <w:pStyle w:val="InstructionsText2"/>
        <w:numPr>
          <w:ilvl w:val="0"/>
          <w:numId w:val="0"/>
        </w:numPr>
        <w:ind w:left="1353" w:hanging="360"/>
      </w:pPr>
      <w:r>
        <w:t>c)</w:t>
      </w:r>
      <w:r>
        <w:tab/>
        <w:t>A CA4 tábla egy cellát tartalmaz a II. pillérhez kapcsolódó kiegészítő szavatolótőke-követelményekre vonatkozóan. Az említett cella nem kapcsolódik validálási szabályokon keresztül a CA3 tábla tőkemegfelelési mutatóihoz, és a 2013/36/EU irányelv 104a. cikke (1) bekezdésének felel meg, amely kifejezetten megemlíti a kiegészítő szavatolótőke-követelményeket, mint a II. pillérre vonatkozó döntésekkel kapcsolatos lehetőséget.</w:t>
      </w:r>
    </w:p>
    <w:p w14:paraId="5922E0A2" w14:textId="50753DE5"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116039877"/>
      <w:bookmarkStart w:id="33" w:name="_Toc308175820"/>
      <w:bookmarkStart w:id="34" w:name="_Toc360188325"/>
      <w:r>
        <w:rPr>
          <w:rFonts w:ascii="Times New Roman" w:hAnsi="Times New Roman"/>
          <w:sz w:val="24"/>
          <w:u w:val="none"/>
        </w:rPr>
        <w:t>1.2.</w:t>
      </w:r>
      <w:r>
        <w:rPr>
          <w:rFonts w:ascii="Times New Roman" w:hAnsi="Times New Roman"/>
          <w:sz w:val="24"/>
          <w:u w:val="none"/>
        </w:rPr>
        <w:tab/>
      </w:r>
      <w:r>
        <w:rPr>
          <w:rFonts w:ascii="Times New Roman" w:hAnsi="Times New Roman"/>
          <w:sz w:val="24"/>
        </w:rPr>
        <w:t>C 01.00 – SZAVATOLÓTŐKE (CA1)</w:t>
      </w:r>
      <w:bookmarkEnd w:id="31"/>
      <w:bookmarkEnd w:id="32"/>
      <w:r>
        <w:rPr>
          <w:rFonts w:ascii="Times New Roman" w:hAnsi="Times New Roman"/>
          <w:sz w:val="24"/>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6039878"/>
      <w:r>
        <w:rPr>
          <w:rFonts w:ascii="Times New Roman" w:hAnsi="Times New Roman"/>
          <w:sz w:val="24"/>
          <w:u w:val="none"/>
        </w:rPr>
        <w:t>1.2.1.</w:t>
      </w:r>
      <w:r>
        <w:rPr>
          <w:rFonts w:ascii="Times New Roman" w:hAnsi="Times New Roman"/>
          <w:sz w:val="24"/>
          <w:u w:val="none"/>
        </w:rPr>
        <w:tab/>
      </w:r>
      <w:r>
        <w:rPr>
          <w:rFonts w:ascii="Times New Roman" w:hAnsi="Times New Roman"/>
          <w:sz w:val="24"/>
        </w:rPr>
        <w:t xml:space="preserve">Az egyes pozíciókra vonatkozó </w:t>
      </w:r>
      <w:bookmarkEnd w:id="35"/>
      <w:bookmarkEnd w:id="36"/>
      <w:r>
        <w:rPr>
          <w:rFonts w:ascii="Times New Roman" w:hAnsi="Times New Roman"/>
          <w:sz w:val="24"/>
        </w:rPr>
        <w:t>útmutató</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Szavatolótőke</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 cikke (1) bekezdésének 118. pontja és 72. cikke.</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Egy intézmény szavatolótőkéje az alapvető tőkéjének (T1) és a járulékos tőkéjének (T2) összegéből áll.</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Alapvető tőke (Tier 1 vagy T1 tőke)</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lastRenderedPageBreak/>
              <w:t>Az 575/2013/EU rendelet 25. cikke</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alapvető tőke az elsődleges alapvető tőke (CET1) és a kiegészítő alapvető tőke (AT1) összege.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Elsődleges alapvető tőke (CET1)</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50. cikke.</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CET1 tőkeként figyelembe vehető tőkeinstrumentumok és ázsiók</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26. cikke (1) bekezdésének a) és b) pontja, 27–30. cikke, 36. cikke (1) bekezdésének f) pontja és 42. cikke</w:t>
            </w:r>
            <w:r>
              <w:t>.</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Teljes egészében befizetett tőkeinstrumentumok</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26. cikke (1) bekezdésének a) pontja és 27–31. cikke.</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Magában foglalja a kölcsönös biztosítók, szövetkezeti társaságok és hasonló intézmények tőkeinstrumentumait (az 575/2013/EU rendelet 27. és 29. cikke).</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 foglalhatja magában az instrumentumokhoz kapcsolódó ázsiót.</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t>A veszélyhelyzetekben állami hatóságok által lejegyzett tőkeinstrumentumokat akkor tartalmazza, ha az 575/2013/EU rendelet 31. cikkében foglalt minden feltétel teljesül.</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Ebből: veszélyhelyzetekben állami hatóságok által lejegyzett tőkeinstrumentumok</w:t>
            </w:r>
          </w:p>
          <w:p w14:paraId="46EFD50D" w14:textId="71E789F8" w:rsidR="00216D67" w:rsidRPr="002A677E" w:rsidRDefault="00216D67"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31. cikke.</w:t>
            </w:r>
          </w:p>
          <w:p w14:paraId="79CD2790" w14:textId="44B3A242" w:rsidR="00216D67" w:rsidRPr="002A677E" w:rsidRDefault="00216D67" w:rsidP="00487A02">
            <w:pPr>
              <w:pStyle w:val="InstructionsText"/>
              <w:rPr>
                <w:rStyle w:val="InstructionsTabelleberschrift"/>
                <w:rFonts w:ascii="Times New Roman" w:hAnsi="Times New Roman"/>
                <w:sz w:val="24"/>
              </w:rPr>
            </w:pPr>
            <w:r>
              <w:t>A veszélyhelyzetekben állami hatóságok által lejegyzett tőkeinstrumentumokat a CET1 tőke akkor tartalmazza, ha az 575/2013/EU rendelet 31. cikkében foglalt minden feltétel teljesül.</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Tájékoztató adat: figyelembe nem vehető tőkeinstrumentumok</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28. cikke (1) bekezdésének b), l) és m) pontja.</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Névértéken felüli befizetés (ázsió)</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124. pontja, 26. cikke (1) bekezdésének b) pontja.</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ebben az elemben feltüntetendő érték a „Teljes egészében befizetett tőkeinstrumentumok”-hoz kapcsolódó rész.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Saját CET1 tőkeinstrumentumok</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t>Az 575/2013/EU rendelet 36. cikke (1) bekezdésének f) pontja és 42. cikke.</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intézmény vagy csoport birtokában lévő saját CET1 tőkeinstrumentumok az adatszolgáltatás időpontjában, valamint a 241/2014/EU felhatalmazáson alapuló bizottsági rendelet</w:t>
            </w:r>
            <w:r w:rsidR="003B0B15" w:rsidRPr="002A677E">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28. cikke (2) bekezdésének megfelelően levonandó CET1 tőkeinstrumentumok összege. </w:t>
            </w:r>
            <w:r>
              <w:t>Az 575/2013/EU rendelet 42. cikkében foglalt kivételek figyelembevételével.</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1.1.1.1.4–1.1.1.1.4.3. tételek nem foglalják magukban a saját CET1 tőkeinstrumentumok megvásárlására vonatkozó tényleges vagy függő kötelezettségeket. A saját CET1 tőkeinstrumentumok megvásárlására vonatkozó tényleges vagy függő kötelezettségeket külön kell feltüntetni az 1.1.1.1.5. tételben.</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Közvetlen részesedések CET1 tőkeinstrumentumokban</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t>Az 575/2013/EU rendelet 36. cikke (1) bekezdésének f) pontja és 42. cikke.</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1.1.1.1. tételnél megadott elsődleges alapvető tőkeinstrumentumok, valamint a 241/2014/EU felhatalmazáson alapuló rendelet 28. cikke (2) bekezdésének megfelelően levonandó CET1 tőkeinstrumentumok összege.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t>A feltüntetendő érték magában foglalja a kereskedési könyvben nyilvántartott, a nettó hosszú pozíció alapján az 575/2013/EU rendelet 42. cikkének a) pontja szerint számított részesedéseket.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Közvetett részesedések CET1 tőkeinstrumentumokban</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t>Az 575/2013/EU rendelet 4. cikke (1) bekezdésének 114. pontja, 36. cikke (1) bekezdésének f) pontja és 42. cikke.</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Szintetikus részesedések CET1 tőkeinstrumentumokban</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t>Az 575/2013/EU rendelet 4. cikke (1) bekezdésének 126. pontja, 36. cikke (1) bekezdésének f) pontja és 42. cikke.</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Saját CET1 tőkeinstrumentumok megvásárlására vonatkozó tényleges vagy függő kötelezettségek</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t>Az 575/2013/EU rendelet 36. cikke (1) bekezdésének f) pontja és 42. cikke.</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t xml:space="preserve">Az 575/2013/EU rendelet 36. cikke (1) bekezdésének f) pontja szerint le kell vonni „az olyan elsődleges alapvető tőkeinstrumentumokat […], amelyek </w:t>
            </w:r>
            <w:r>
              <w:lastRenderedPageBreak/>
              <w:t>megvásárlására az intézménynek tényleges vagy függő kötelezettsége van egy hatályos szerződéses kötelezettség értelmében”.</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Eredménytartalék</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t>Az 575/2013/EU rendelet 26. cikke (1) bekezdésének c) pontja és 26. cikkének (2) bekezdése.</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eredménytartalék az előző évi eredménytartalékot és a figyelembe vehető évközi vagy év végi nyereséget vagy veszteséget foglalja magában.</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Előző évek eredménytartaléka</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123. pontja és 26. cikke (1) bekezdésének c) pontja.</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123. pontja szerint az eredménytartalék „az alkalmazandó számviteli szabályozás alapján az eredmény végső alkalmazásának következtében áthozott eredmény”.</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Figyelembe vehető nyereség/veszteség</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121. pontja, 26. cikkének (2) bekezdése és 36. cikke (1) bekezdésének a) pontja.</w:t>
            </w:r>
          </w:p>
          <w:p w14:paraId="49CD03AF" w14:textId="39B259E2" w:rsidR="005643EA" w:rsidRPr="002A677E" w:rsidRDefault="002648B0" w:rsidP="00487A02">
            <w:pPr>
              <w:pStyle w:val="InstructionsText"/>
              <w:rPr>
                <w:rStyle w:val="FormatvorlageInstructionsTabelleText"/>
                <w:rFonts w:ascii="Times New Roman" w:hAnsi="Times New Roman"/>
                <w:sz w:val="24"/>
              </w:rPr>
            </w:pPr>
            <w:r>
              <w:t>Az 575/2013/EU rendelet 26. cikkének (2) bekezdése bizonyos feltételek teljesülése esetén megengedi az évközi vagy év végi nyereségnek az eredménytartalékba történő beszámítását, ha azt az illetékes hatóságok előzetesen engedélyezik.</w:t>
            </w:r>
            <w:r>
              <w:rPr>
                <w:rStyle w:val="FormatvorlageInstructionsTabelleText"/>
                <w:rFonts w:ascii="Times New Roman" w:hAnsi="Times New Roman"/>
                <w:sz w:val="24"/>
              </w:rPr>
              <w:t xml:space="preserve">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t>Ugyanakkor a veszteségeket az 575/2013/EU rendelet 36. cikke (1) bekezdésének a) pontja szerint le kell vonni a CET1 tőkéből.</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Az anyavállalat tulajdonosainak tulajdonítható eredmény</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t>Az 575/2013/EU rendelet 26. cikke (2) bekezdése és 36. cikke (1) bekezdésének a) pontja.</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számviteli eredménykimutatásban szereplő eredmény.</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Az évközi vagy év végi nyereség figyelembe nem vehető része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t>Az 575/2013/EU rendelet 26. cikkének (2) bekezdése.</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szerepelhet adat akkor, ha az intézmény a tárgyidőszakra veszteséget számolt el. Ennek az az oka, hogy a veszteségek teljes összegét le kell vonni a CET1 tőkéből.</w:t>
            </w:r>
          </w:p>
          <w:p w14:paraId="7D9F770C" w14:textId="1A1D3613" w:rsidR="005643EA" w:rsidRPr="002A677E" w:rsidRDefault="002648B0" w:rsidP="00487A02">
            <w:pPr>
              <w:pStyle w:val="InstructionsText"/>
              <w:rPr>
                <w:rStyle w:val="FormatvorlageInstructionsTabelleText"/>
                <w:rFonts w:ascii="Times New Roman" w:hAnsi="Times New Roman"/>
                <w:sz w:val="24"/>
              </w:rPr>
            </w:pPr>
            <w:r>
              <w:t>Ha az intézmény nyereséget számol el, akkor az 575/2013/EU rendelet 26. cikkének (2) bekezdése szerint figyelembe nem vehető részt (vagyis a nem auditált nyereséget és az előre látható terhet vagy osztalékot) kell feltüntetni.</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Ügyelni kell arra, hogy nyereség esetén legalább az osztalékelőleg összege levonandó.</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Halmozott egyéb átfogó jövedelem</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100. pontja és 26. cikke (1) bekezdésének d) pontja.</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 feltüntetendő érték a kiszámítás időpontjában előre látható adóterhek levonásával kapott, a prudenciális szűrők alkalmazása előtti összeg. A feltüntetendő értéket a 241/2014/EU felhatalmazáson alapuló bizottsági rendelet 13. cikke (4) bekezdésének megfelelően kell meghatározni.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Egyéb tartalékok</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117. pontja és 26. cikke (1) bekezdésének e) pontja.</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t>Az 575/2013/EU rendelet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összeg.</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Általános banki kockázatok fedezetére képzett tartalékok</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t>Az 575/2013/EU rendelet 4. cikke (1) bekezdésének 112. pontja és 26. cikke (1) bekezdésének f) pontja.</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A 86/635/EGK tanácsi irányelv 38. cikkének meghatározása szerint az általános banki kockázatok fedezetére képzett tartalékok olyan összegek, „amelyeknek elkülönítéséről a hitelintézet a szóban forgó kockázatok fedezetének biztosítása érdekében dönt, amennyiben ezt a banki ügyletekhez kapcsolódó különleges kockázat megköveteli.”</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összeg.</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Szerzett jogok alapján figyelembe vett CET1 tőkeinstrumentumok miatti átmeneti kiigazítások</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t>Az 575/2013/EU rendelet 483. cikkének (1)–(3) bekezdése és 484–487. cikke.</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CET1 tőkének minősített tőkeinstrumentumok összege. A feltüntetendő értéket közvetlenül a CA5 tábláról kell átvezetni.</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CET1 tőkében megjelenített kisebbségi részesedés</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 cikke (1) bekezdésének 120. pontja és 84. cikke.</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összes kisebbségi részesedésének a konszolidált CET1 tőkébe beszámított összege.</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További kisebbségi részesedések miatti átmeneti kiigazítások</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t>Az 575/2013/EU rendelet 479. és 480. cikke</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kisebbségi részesedésekben az átmeneti rendelkezések miatt végrehajtott kiigazítások. A tételt közvetlenül a CA5 tábláról kell átvezetni.</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Prudenciális szűrők miatt végrehajtott kiigazítások a CET1 tőkében</w:t>
            </w:r>
          </w:p>
          <w:p w14:paraId="235AF992" w14:textId="28951A6A" w:rsidR="005643EA" w:rsidRPr="002A677E" w:rsidRDefault="002648B0" w:rsidP="00487A02">
            <w:pPr>
              <w:pStyle w:val="InstructionsText"/>
              <w:rPr>
                <w:rStyle w:val="FormatvorlageInstructionsTabelleText"/>
                <w:rFonts w:ascii="Times New Roman" w:hAnsi="Times New Roman"/>
                <w:sz w:val="24"/>
              </w:rPr>
            </w:pPr>
            <w:r>
              <w:lastRenderedPageBreak/>
              <w:t xml:space="preserve">Az 575/2013/EU rendelet 32–35. cikke </w:t>
            </w:r>
            <w:r>
              <w:rPr>
                <w:rStyle w:val="FormatvorlageInstructionsTabelleText"/>
                <w:rFonts w:ascii="Times New Roman" w:hAnsi="Times New Roman"/>
                <w:sz w:val="24"/>
              </w:rP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Értékpapírosított eszközökből származó növekedés a saját tőkében</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t>Az 575/2013/EU rendelet 32. cikkének (1) bekezdése.</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az intézmény saját tőkéjének az alkalmazandó számviteli szabályozás szerint az értékpapírosított eszközökből származó növekedése.</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tétel magában foglalja például azt a jövőbeli kamatjövedelmet, amely az intézmény számára értékesítésből származó nyereséget eredményez, vagy az értékpapírosítás kezdeményezője esetében az értékpapírosított eszközökből származó jövőbeni jövedelem tőkésítéséből származó és az értékpapírosítás hitelminőségét javító nettó nyereséget.</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Cash flow-fedezeti ügyletek tartaléka</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t>Az 575/2013/EU rendelet 33. cikke (1) bekezdésének a) pontja.</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cash flow fedezeti ügyleteken veszteség keletkezik (vagyis ha az csökkenti a számviteli tőkét), és fordítva. Ennélfogva előjele ellentétes a számviteli kimutatásokban szereplő tételek előjelével.</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összeg a kiszámítás időpontjában előre látható adóterhek levonásával kapott összeg.</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Valós értéken értékelt kötelezettségekben a saját hitelkockázat változásából származó halmozott nyereség vagy veszteség</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t>Az 575/2013/EU rendelet 33. cikke (1) bekezdésének b) pontja.</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(vagyis ha az csökkenti a számviteli tőkét), és fordítva. Ennélfogva előjele ellentétes a számviteli kimutatásokban szereplő tételek előjelével.</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tétel nem tartalmazhat nem auditált nyereséget.</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Származtatott ügyletekből eredő kötelezettségekhez kapcsolódó, az intézmény saját hitelkockázatából adódó valósérték-növekedés és -csökkenés</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t>Az 575/2013/EU rendelet 33. cikke (1) bekezdésének c) pontja és 33. cikkének (2) bekezdése.</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és fordítva. Ennélfogva előjele ellentétes a számviteli kimutatásokban szereplő tételek előjelével.</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tétel nem tartalmazhat nem auditált nyereséget.</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Prudens értékelés követelményei miatti értékelési korrekció</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t>Az 575/2013/EU rendelet 34. és 105. cikke</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 xml:space="preserve">A kereskedési könyvben vagy a nem kereskedési könyvben nyilvántartott kitettségek valós értékének kiigazításai, amelyekre az 575/2013/EU rendelet </w:t>
            </w:r>
            <w:r>
              <w:lastRenderedPageBreak/>
              <w:t>105. cikkében a prudenciális értékelésre vonatkozóan előírt szigorúbb szabályok miatt kerül sor.</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Cégérték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t>Az 575/2013/EU rendelet 4. cikke (1) bekezdésének 113. pontja, 36. cikke (1) bekezdésének b) pontja és 37. cikke.</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Immateriális eszközök között elszámolt cégérték</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t>Az 575/2013/EU rendelet 4. cikke (1) bekezdésének 113. pontja és 36. cikke (1) bekezdésének b) pontja.</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cégérték jelentése egyezik az alkalmazandó számviteli szabályozás szerinti jelentéssel.</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azonos a mérlegben szerepeltetett összeggel.</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Jelentős befektetések értékelésébe beszámított cégérték</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t>Az 575/2013/EU rendelet 37. cikkének b) pontja és 43. cikke.</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Cégértékhez kapcsolódó halasztott adókötelezettségek</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t>Az 575/2013/EU rendelet 37. cikkének a) pontja.</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 értékvesztést szenvedne el, vagy az alkalmazandó számviteli szabályozás szerint kivezetésre kerülne.</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A leányvállalatok cégértékére vonatkozó, a leányvállalatok konszolidálásából származó, harmadik személyeknek tulajdonítható számviteli átértékelés</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t>Az 575/2013/EU rendelet 37. cikkének c) pontja.</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leányvállalatok immateriális javaira vonatkozó azon számviteli átértékelés összege, amely a leányvállalatok konszolidálásából származik és a konszolidációba az első rész II. címének 2. fejezete szerint bevont vállalkozásoktól eltérő személyeknek tulajdonítható.</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Egyéb immateriális eszközök</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t>Az 575/2013/EU rendelet 4. cikke (1) bekezdésének 115. pontja, 36. cikke (1) bekezdésének b) pontja és 37. cikkének a) és c) pontja.</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eszközök értéke az alkalmazandó számviteli szabályozás szerint immateriális eszköznek minősülő eszközök értéke, amelyet a cégérték az alkalmazandó számviteli szabályozás szerint csökkent.</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Egyéb immateriális eszközök a halasztott adókötelezettségek levonása előtt</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t>Az 575/2013/EU rendelet 4. cikke (1) bekezdésének 115. pontja és 36. cikke (1) bekezdésének b) pontja.</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eszközök értéke az alkalmazandó számviteli szabályozás szerint immateriális eszköznek minősülő eszközök értéke, amelyet a cégérték az alkalmazandó számviteli szabályozás szerint csökkent.</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Az itt feltüntetendő érték az alkalmazandó számviteli standardnak megfelelően a mérlegben szereplő immateriális eszközök összegének felel meg, kivéve a cégértéket és a prudenciális értékelésbe bevont szoftvereszközök azon összegét, amelyet az 575/2013/EU rendelet 36. cikke (1) bekezdése b) pontjának megfelelően nem vontak le a CET1 tőkeelemekből.</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Ebből: immateriális eszközként elszámolt szoftvereszközök a halasztott adókötelezettségek levonása előtt</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t>Az 575/2013/EU rendelet 4. cikke (1) bekezdésének 115. pontja és 36. cikke (1) bekezdésének b) pontja.</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t>Az immateriális eszközként elszámolt szoftvereszközök összege, amelyet az 575/2013/EU rendelet 36. cikke (1) bekezdése b) pontjának és a 241/2014/EU felhatalmazáson alapuló rendelet 13a. cikkének megfelelően a CET1 tőkeelemekből levonnak. A feltüntetett összeg nem veszi figyelembe az 575/2013/EU rendelet 37. cikkének a) pontjában meghatározott kezelés alkalmazásához kapcsolódó hatásokat az említett szoftvereszközökhöz kapcsolódó halasztott adókötelezettségek tekintetében.</w:t>
            </w:r>
          </w:p>
          <w:p w14:paraId="64E4F871" w14:textId="703E537B" w:rsidR="0082014C" w:rsidRPr="002A677E" w:rsidRDefault="0082014C" w:rsidP="004E6AC0">
            <w:pPr>
              <w:pStyle w:val="InstructionsText"/>
              <w:rPr>
                <w:rStyle w:val="InstructionsTabelleberschrift"/>
                <w:rFonts w:ascii="Times New Roman" w:hAnsi="Times New Roman"/>
                <w:sz w:val="24"/>
              </w:rPr>
            </w:pPr>
            <w:r>
              <w:t>Amennyiben egy intézmény úgy dönt, hogy a 241/2014/EU felhatalmazáson alapuló rendelet 13a. cikke szerinti eljárás alkalmazása helyett az 575/2013/EU rendelet 3. cikkének megfelelően teljes mértékben levonja szoftvereszközeit, az ebben a sorban feltüntetett összeg az alkalmazandó számviteli standard szerint immateriális eszközként elszámolt szoftvereszközök összegének felel meg.</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Egyéb immateriális eszközökhöz kapcsolódó halasztott adókötelezettségek</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t>Az 575/2013/EU rendelet 37. cikkének a) pontja.</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megszűnnek, ha az immateriális eszközök – a cégérték és a 241/2014/EU felhatalmazáson alapuló rendelet 13a. cikkével összhangban a CET1 tőkeelemekből való levonás alól mentesített, a prudenciális értékelésbe bevont szoftvereszközök kivételével – értékvesztetté válnak vagy kivezetésre kerülnek a vonatkozó számviteli standard szerint.</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Immateriális eszközként elszámolt szoftvereszközökhöz kapcsolódó halasztott adókötelezettségek</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t>Az 575/2013/EU rendelet 37. cikkének a) pontja.</w:t>
            </w:r>
          </w:p>
          <w:p w14:paraId="7AC299D4" w14:textId="0E299A5B" w:rsidR="00A95150" w:rsidRPr="002A677E" w:rsidRDefault="00A95150" w:rsidP="00A95150">
            <w:pPr>
              <w:pStyle w:val="InstructionsText"/>
              <w:rPr>
                <w:rStyle w:val="InstructionsTabelleberschrift"/>
                <w:rFonts w:ascii="Times New Roman" w:hAnsi="Times New Roman"/>
                <w:sz w:val="24"/>
              </w:rPr>
            </w:pPr>
            <w:r>
              <w:t>A halasztott adókötelezettségek azon része, amely az immateriális eszközként elszámolt szoftvereszközök azon összegéhez kapcsolódik, amelyet az 575/2013/EU rendelet 36. cikke (1) bekezdése b) pontjának és a 241/2014/EU felhatalmazáson alapuló rendelet 13a. cikkének vagy az 575/2013/EU rendelet 3. cikkének megfelelően a CET1 tőkeelemekből levonnak.</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A leányvállalatok cégértéken kívüli immateriális eszközeire vonatkozó, a leányvállalatok konszolidálásából származó, harmadik személyeknek tulajdonítható számviteli átértékelés</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t>Az 575/2013/EU rendelet 37. cikkének c) pontja.</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 leányvállalatok cégértéken kívüli immateriális eszközeire vonatkozó azon számviteli átértékelés összege, amely a leányvállalatok konszolidálásából származik és a konszolidációba az első rész II. címének 2. fejezete szerint bevont vállalkozásoktól eltérő személyeknek tulajdonítható.</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Jövőbeli nyereségtől függően érvényesíthető, nem átmeneti különbözetből eredő halasztott adókövetelések kapcsolódó adókötelezettségek nélkül</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t>Az 575/2013/EU rendelet 36. cikke (1) bekezdésének c) pontja és 38. cikke.</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Hitelkockázati kiigazítások IRB módszerrel számított hiánya a várható veszteséghez viszonyítva</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36. cikke (1) bekezdésének d) pontja, 40. cikke és 158–159. cikke.</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A feltüntetendő összeg nem csökkenhet a jövőbeli nyereségtől függően érvényesíthető halasztott adókövetelések szintjének emelkedésével vagy egyéb kiegészítő adóhatással, amely akkor keletkezhet, ha a céltartalékok a várható veszteségek szintjére emelkednének (az 575/2013/EU rendelet 40. cikke).</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Meghatározott szolgáltatást nyújtó nyugdíjalapban lévő eszközök</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t>Az 575/2013/EU rendelet 4. cikke (1) bekezdésének 109. pontja, 36. cikke (1) bekezdésének e) pontja és 41. cikke.</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Meghatározott szolgáltatást nyújtó nyugdíjalapban lévő eszközök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109. pontja és 36. cikke (1) bekezdésének e) pontja.</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meghatározott szolgáltatást nyújtó nyugdíjalapban lévő eszközök egy meghatározott szolgáltatást nyújtó nyugdíjalap vagy adott esetben konstrukció eszközei, az ugyanazon alap vagy konstrukció kötelezettségeinek összegével csökkentve.</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összeg megegyezik a mérlegben szerepeltetett összeggel, ha ott is külön tüntették fel.</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Meghatározott szolgáltatást nyújtó nyugdíjalapban lévő eszközökhöz kapcsolódó halasztott adókötelezettségek</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108. és 109. pontja, valamint 41. cikke (1) bekezdésének a) pontja.</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meghatározott szolgáltatást nyújtó nyugdíjalapban lévő eszközök értékvesztést szenvednének el, vagy az alkalmazandó számviteli szabályozás szerint kivezetésre kerülnének.</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Meghatározott szolgáltatást nyújtó nyugdíjalapban lévő eszközök, amelyeket az intézmény korlátlanul képes felhasználni</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109. pontja és 41. cikke (1) bekezdésének b) pontja.</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Ennél a tételnél akkor adható meg összeg, ha az illetékes hatóság előzetesen engedélyezte a meghatározott szolgáltatást nyújtó nyugdíjalapban lévő eszközök összegének csökkentését.</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 sorban szereplő eszközökhöz a hitelkockázati követelményeknek megfelelő kockázati súlyt kell rendelni.</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Kölcsönös részesedések CET1 tőkeinstrumentumokban</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122. pontja, 36. cikke (1) bekezdésének g) pontja és 44. cikke.</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CET1 tőkeinstrumentumok állománya olyan kölcsönös részesedés esetében, amelynek célja az illetékes hatóság véleménye szerint az intézmény szavatolótőkéjének mesterséges megemelése.</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1. szintű szavatolótőke-elemeket.</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AT1 tőkeelemek összegét meghaladó AT1 levonások többlete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Az 575/2013/EU rendelet 36. cikke (1) bekezdésének j) pontja.</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„AT1 tőkeelemek összegét meghaladó AT1 levonások többlete” tételéből kell átvezetni. Az összeget a CET1 tőkéből kell levonni.</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A pénzügyi ágazaton kívüli befolyásoló részesedések, amelyekre alternatívaként 1 250 %-os kockázati súly alkalmazható</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36. pontja, 36. cikke (1) bekezdése k) pontjának i. alpontja és 89–91. cikke.</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t>A befolyásoló részesedés olyan „közvetlen vagy közvetett részesedés egy vállalkozásban, amely a tőke vagy a szavazati jogok legalább 10 %-át képviseli, illetve amely lehetővé teszi számottevő befolyás gyakorlását annak a vállalkozásnak az irányítása felett”.</w:t>
            </w:r>
          </w:p>
          <w:p w14:paraId="5D3874CE" w14:textId="752BB599" w:rsidR="0022315F" w:rsidRPr="002A677E" w:rsidRDefault="0022315F" w:rsidP="00487A02">
            <w:pPr>
              <w:pStyle w:val="InstructionsText"/>
              <w:rPr>
                <w:rStyle w:val="FormatvorlageInstructionsTabelleText"/>
                <w:rFonts w:ascii="Times New Roman" w:hAnsi="Times New Roman"/>
                <w:sz w:val="24"/>
              </w:rPr>
            </w:pPr>
            <w:r>
              <w:t>Az 575/2013/EU rendelet 36. cikke (1) bekezdése k) pontjának i. alpontja szerint a befolyásoló részesedés (e tétel alapján) levonható a CET1 tőkéből, vagy arra 1 250 %-os kockázati súly alkalmazható.</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Értékpapírosítási pozíciók, amelyekre alternatívaként 1 250 %-os kockázati súly alkalmazható</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t>Az 575/2013/EU rendelet 244. cikke (1) bekezdésének b) pontja, 245. cikke (1) bekezdésének b) pontja és 253. cikkének (1) bekezdése.</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t>Az olyan értékpapírosítási pozíciókat, amelyekre 1 250 %-os kockázati súly alkalmazható, vagy amelyek levonhatók a CET1 tőkéből (az 575/2013/EU rendelet 36. cikke (1) bekezdése k) pontjának ii. alpontja), ebben a tételben kell feltüntetni.</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Nyitva szállítások, amelyekre alternatívaként 1 250 %-os kockázati súly alkalmazható</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lastRenderedPageBreak/>
              <w:t>Az 575/2013/EU rendelet 36. cikke (1) bekezdése k) pontjának iii. alpontja és 379. cikkének (3) bekezdése.</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t>A nyitva szállításokra a második szerződés szerinti fizetést vagy szállítási szakaszt követő 5. munkanaptól az ügylet megszűntéig 1 250 %-os kockázati súlyt kell alkalmazni az elszámolási kockázatra vonatkozó szavatolótőke-követelményeknek megfelelően.</w:t>
            </w:r>
            <w:r>
              <w:rPr>
                <w:rStyle w:val="FormatvorlageInstructionsTabelleText"/>
                <w:rFonts w:ascii="Times New Roman" w:hAnsi="Times New Roman"/>
                <w:sz w:val="24"/>
              </w:rPr>
              <w:t xml:space="preserve"> </w:t>
            </w:r>
            <w:r>
              <w:t>Alternatívaként az ilyen szállítások levonhatók a CET1 tőkéből (az 575/2013/EU rendelet 36. cikke (1) bekezdése k) pontjának iii. alpontja).</w:t>
            </w:r>
            <w:r>
              <w:rPr>
                <w:rStyle w:val="FormatvorlageInstructionsTabelleText"/>
                <w:rFonts w:ascii="Times New Roman" w:hAnsi="Times New Roman"/>
                <w:sz w:val="24"/>
              </w:rPr>
              <w:t xml:space="preserve"> Ez utóbbi esetben azokat ebben a tételben kell feltüntetni.</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Egy kosárban lévő azon pozíciók, amelyekre az intézmény nem tudja az IRB módszer alapján meghatározni a kockázati súlyt, és amelyekre így alternatívaként 1 250 %-os kockázati súly alkalmazható</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t>Az 575/2013/EU rendelet 36. cikke (1) bekezdése k) pontjának iv. alpontja és 153. cikkének (8) bekezdése.</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t>Az 575/2013/EU rendelet 36. cikke (1) bekezdése k) pontjának iv. alpontja szerint az egy kosárban lévő azon pozíciók, amelyekre az intézmény nem tudja az IRB módszer alapján meghatározni a kockázati súlyt, alternatív módon levonhatók (e tétel alapján) a CET1 tőkéből, vagy azokra 1 250 %-os kockázati súly alkalmazható.</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Belső modelleken alapuló módszer hatálya alá tartozó részvényjellegű kitettségek, amelyekre alternatívaként 1 250 %-os kockázati súly alkalmazható</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t>Az 575/2013/EU rendelet 36. cikke (1) bekezdése k) pontjának v. alpontja és 155. cikkének (4) bekezdése.</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t>Az 575/2013/EU rendelet 36. cikke (1) bekezdése k) pontjának v. alpontja szerint a belső modelleken alapuló módszer hatálya alá tartozó részvényjellegű kitettségek alternatívaként (e tétel alapján) levonhatók a CET1 tőkéből, vagy azokra 1 250 %-os kockázati súly alkalmazható.</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Pénzügyi ágazatbeli szervezetek által kibocsátott CET1 tőkeinstrumentumok, ha az intézmény nem rendelkezik jelentős befektetéssel az említett vállalkozásokban</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pontja, 36. cikke (1) bekezdésének h) pontja, 43–46. cikke, 49. cikke (2) és (3) bekezdése és 79. cikke.</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instrumentumokban lévő intézményi részesedés, ha az intézmény nem rendelkezik a CET1 tőkéből levonandó jelentős befektetéssel.</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49. cikk (2) és (3) bekezdésében leírt alternatívák alkalmazhatók.</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Levonható, jövőbeli nyereségtől függően érvényesíthető, átmeneti különbözetből eredő halasztott adókövetelések</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36. cikke (1) bekezdésének c) pontja; </w:t>
            </w:r>
            <w:r>
              <w:t>38. cikke és 48. cikke (1) bekezdésének a) pontja.</w:t>
            </w:r>
          </w:p>
          <w:p w14:paraId="02E7BEC1" w14:textId="185709EC" w:rsidR="0022315F" w:rsidRPr="002A677E" w:rsidRDefault="0022315F" w:rsidP="00634EC4">
            <w:pPr>
              <w:pStyle w:val="InstructionsText"/>
              <w:rPr>
                <w:rStyle w:val="FormatvorlageInstructionsTabelleText"/>
                <w:rFonts w:ascii="Times New Roman" w:hAnsi="Times New Roman"/>
                <w:sz w:val="24"/>
              </w:rPr>
            </w:pPr>
            <w:r>
              <w:lastRenderedPageBreak/>
              <w:t>Az átmeneti különbözetből eredő, jövőbeli nyereségtől függően érvényesíthető halasztott adókövetelések azon része (a kapcsolódó halasztott adókötelezettségeknek az 575/2013/EU rendelet 38. cikke (5) bekezdésének b) pontja szerint a halasztott adókötelezettségekre jutó, átmeneti különbözetből eredő része nélkül), amelyet az említett rendelet 48. cikke (1) bekezdésének a) pontjában említett 10 %-os küszöbérték alkalmazásával le kell vonni.</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Pénzügyi ágazatbeli olyan szervezetek által kibocsátott elsődleges alapvető (CET1) tőkeinstrumentumok, amelyekben az intézmény jelentős befektetéssel rendelkezik</w:t>
            </w:r>
          </w:p>
          <w:p w14:paraId="6906A14D" w14:textId="5F98B414"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27. pontja, 36. cikke (1) bekezdésének i) pontja, 43., 45., 47. cikke, 48. cikke (2) bekezdésének b) pontja, 49. cikke (1), (2) és (3) bekezdése és 79. cikke.</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CET1 tőkeinstrumentumokban lévő intézményi részesedés, ha az intézmény a CET1 tőkéből az említett rendelet 48. cikke (1) bekezdésének b) pontjában említett 10 %-os küszöbérték alkalmazásával levonandó jelentős befektetéssel rendelkezik.</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Levonás helyett konszolidáció esetén az 575/2013/EU rendelet 49. cikkének (1), (2) és (3) bekezdésében leírt alternatívák alkalmazhatók.</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A 17,65 %-os küszöbértéket meghaladó összeg</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t>Az 575/2013/EU rendelet 48. cikkének (2) bekezdése.</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t>Átmeneti különbözetből eredő, jövőbeli nyereségtől függően érvényesíthető halasztott adókövetelések, valamint az 575/2013/EU rendelet 4. cikke (1) bekezdésének 27. pontjában meghatározott pénzügyi ágazatbeli szervezetek által kibocsátott CET1 tőkeinstrumentumokban lévő közvetlen, közvetett és szintetikus intézményi részesedés, ha az intézmény a CET1 tőkéből az említett rendelet 48. cikkének (2) bekezdése szerinti 17,65 %-os küszöbérték alkalmazásával levonandó jelentős befektetéssel rendelkezik.</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A 17,65 %-os küszöbértéket meghaladó, a pénzügyi ágazatbeli szervezetek által kibocsátott CET1 tőkeinstrumentumokhoz kapcsolódó összeg, ha az intézmény jelentős befektetéssel rendelkezik az említett vállalkozásokban</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A 17,65 %-os küszöbértéket meghaladó, az átmeneti különbözetből adódó halasztott adókövetelésekhez kapcsolódó összeg</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Nemteljesítő kitettségek elégtelen fedezete</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Az 575/2013/EU rendelet 36. cikke (1) bekezdésének m) pontja és 47c. cikke.</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Minimális értékű kötelezettségvállalások hiánya</w:t>
            </w:r>
          </w:p>
          <w:p w14:paraId="1DA8258E" w14:textId="261D7C57" w:rsidR="0022315F" w:rsidRPr="002A677E" w:rsidRDefault="00634EC4" w:rsidP="00487A02">
            <w:pPr>
              <w:pStyle w:val="InstructionsText"/>
              <w:rPr>
                <w:rStyle w:val="InstructionsTabelleberschrift"/>
                <w:rFonts w:ascii="Times New Roman" w:hAnsi="Times New Roman"/>
                <w:sz w:val="24"/>
              </w:rPr>
            </w:pPr>
            <w:r>
              <w:t>Az 575/2013/EU rendelet 36. cikke (1) bekezdésének n) pontja és 132c. cikkének (2) bekezdése.</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Egyéb előre látható adóterhek</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t>Az 575/2013/EU rendelet 36. cikke (1) bekezdésének l) pontja.</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 CET1 tőkeelemekhez kapcsolódó, a számítás időpontjában előre látható adóterhek, kivéve azokat az adóterheket, amelyeket a CET1 tőkeelemeket bemutató bármely más sorban a szóban forgó CET1 tőkeelem összegének csökkentése révén már figyelembe vettek.</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CET1 tőke egyéb átmeneti kiigazításai</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Az 575/2013/EU rendelet 469–478. és 481. cikke</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levonásokban az átmeneti rendelkezések miatt végrehajtott kiigazítások. A feltüntetendő értéket közvetlenül a CA5 tábláról kell átvezetni.</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További levonások a CET1 tőkéből az 575/2013/EU rendelet 3. cikke alapján</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t>Amennyiben egy intézmény úgy dönt, hogy a 241/2014/EU felhatalmazáson alapuló rendelet 13a. cikke szerinti eljárás alkalmazása helyett az 575/2013/EU rendelet 3. cikkének megfelelően teljes mértékben levonja szoftvereszközeit, a többletként levont összeget nem ebben, hanem a 0352-es sorban kell feltüntetni.</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CET1 tőkeelemek vagy levonások – egyéb</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CET1 tőkeelem, vagy egy CET1 tőkeelemet érintő levonás nem szerepeltethető a 020–524-es sorok egyikében sem. </w:t>
            </w:r>
          </w:p>
          <w:p w14:paraId="1A5B3380" w14:textId="4310375A" w:rsidR="0022315F" w:rsidRPr="002A677E" w:rsidRDefault="0022315F" w:rsidP="00487A02">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575/2013/EU rendelet hatályán kívül esnek).</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AT1 TŐKE</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61. cikke.</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AT1 tőkeként figyelembe vehető tőkeinstrumentumok és ázsiók</w:t>
            </w:r>
          </w:p>
          <w:p w14:paraId="72A2A6AF" w14:textId="0FEE8CE3" w:rsidR="0022315F" w:rsidRPr="002A677E" w:rsidRDefault="0022315F" w:rsidP="00634EC4">
            <w:pPr>
              <w:pStyle w:val="InstructionsText"/>
              <w:rPr>
                <w:rStyle w:val="FormatvorlageInstructionsTabelleText"/>
                <w:rFonts w:ascii="Times New Roman" w:hAnsi="Times New Roman"/>
                <w:sz w:val="24"/>
              </w:rPr>
            </w:pPr>
            <w:r>
              <w:t>Az 575/2013/EU rendelet 51. cikkének a) pontja, 52., 53. és 54. cikke, 56. cikkének a) pontja és 57. cikke.</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Teljes egészében befizetett, közvetlenül kibocsátott tőkeinstrumentumok</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t>Az 575/2013/EU rendelet 51. cikkének a) pontja, valamint 52., 53. és 54. cikke.</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összeg nem foglalhatja magában az instrumentumokhoz kapcsolódó ázsiót.</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Tájékoztató adat: figyelembe nem vehető tőkeinstrumentumok</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t>Az 575/2013/EU rendelet 52. cikke (1) bekezdésének c), e) és f) pontja.</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Az e pontokban említett feltételek különböző visszafordítható tőkehelyzeteket tükröznek, így az itt feltüntetett összeg a későbbi időszakokban figyelembe vehető lehet.</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összeg nem foglalhatja magában az instrumentumokhoz kapcsolódó ázsiót.</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Névértéken felüli befizetés (ázsió)</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t>Az 575/2013/EU rendelet 51. cikkének b) pontja.</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ázsió jelentése egyezik az alkalmazandó számviteli szabályozás szerinti jelentéssel.</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Saját AT1 tőkeinstrumentumok</w:t>
            </w:r>
          </w:p>
          <w:p w14:paraId="0E23F695" w14:textId="5B0949D1" w:rsidR="0022315F" w:rsidRPr="002A677E" w:rsidRDefault="00634EC4" w:rsidP="00487A02">
            <w:pPr>
              <w:pStyle w:val="InstructionsText"/>
              <w:rPr>
                <w:rStyle w:val="FormatvorlageInstructionsTabelleText"/>
                <w:rFonts w:ascii="Times New Roman" w:hAnsi="Times New Roman"/>
                <w:sz w:val="24"/>
              </w:rPr>
            </w:pPr>
            <w:r>
              <w:t>Az 575/2013/EU rendelet 52. cikke (1) bekezdésének b) pontja, 56. cikkének a) pontja és 57. cikke.</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adatszolgáltató intézmény vagy csoport birtokában lévő saját AT1 tőkeinstrumentumok az adatszolgáltatás időpontjában, valamint a 241/2014/EU felhatalmazáson alapuló rendelet 28. cikke (2) bekezdésének megfelelően levonandó AT1 tőkeinstrumentumok összege. </w:t>
            </w:r>
            <w:r>
              <w:t>Az 575/2013/EU rendelet 57. cikkében foglalt kivételek figyelembevételével.</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1.1.2.1.4–1.1.2.1.4.3. tételek nem foglalják magukban a saját AT1 tőkeinstrumentumok megvásárlására vonatkozó tényleges vagy függő kötelezettségeket. A saját AT1 tőkeinstrumentumok megvásárlására vonatkozó tényleges vagy függő kötelezettségeket külön kell feltüntetni az 1.1.2.1.5. tételben.</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Közvetlen részesedések AT1 tőkeinstrumentumokban</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144. pontja, 52. cikke (1) bekezdésének b) pontja, 56. cikkének a) pontja és 57. cikke.</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1.1.2.1.1. tételnél megadott kiegészítő alapvető tőkeinstrumentumok, valamint a 241/2014/EU felhatalmazáson alapuló rendelet 28. cikke (2) bekezdésének megfelelően levonandó AT1 tőkeinstrumentumok összege.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Közvetett részesedések AT1 tőkeinstrumentumokban</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t>Az 575/2013/EU rendelet 52. cikke (1) bekezdése b) pontjának ii. pontja, 56. cikkének a) pontja és 57. cikke.</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Szintetikus részesedések AT1 tőkeinstrumentumokban</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Az 575/2013/EU rendelet 4. cikke (1) bekezdésének 126. pontja, 52. cikke (1) bekezdésének b) pontja, 56. cikkének a) pontja és 57. cikke.</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Saját AT1 tőkeinstrumentumok megvásárlására vonatkozó tényleges vagy függő kötelezettségek</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56. cikkének a) pontja és 57. cikke.</w:t>
            </w:r>
          </w:p>
          <w:p w14:paraId="32411320" w14:textId="4DB02C4D" w:rsidR="0022315F" w:rsidRPr="002A677E" w:rsidRDefault="0022315F" w:rsidP="00487A02">
            <w:pPr>
              <w:pStyle w:val="InstructionsText"/>
              <w:rPr>
                <w:rStyle w:val="InstructionsTabelleberschrift"/>
                <w:rFonts w:ascii="Times New Roman" w:hAnsi="Times New Roman"/>
                <w:sz w:val="24"/>
              </w:rPr>
            </w:pPr>
            <w:r>
              <w:t>Az 575/2013/EU rendelet 56. cikkének a) pontja szerint le kell vonni „az olyan saját kiegészítő alapvető tőkeinstrumentumokat […], amelyeket az intézmény hatályos szerződéses kötelezettségekből eredően köteles lehet megvásárolni”.</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Szerzett jogok alapján figyelembe vett AT1 tőkeinstrumentumok miatti átmeneti kiigazítások</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t>Az 575/2013/EU rendelet 483. cikkének (4) és (5) bekezdése, 484–487., 489. és 491. cikke.</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AT1 tőkének minősített tőkeinstrumentumok összege. A feltüntetendő értéket közvetlenül a CA5 tábláról kell átvezetni.</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Leányvállalatok által kibocsátott, AT1 tőkeként megjelenített instrumentumok</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Az 575/2013/EU rendelet 83., 85. és 86. cikke.</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T1 tőkéjébe beszámítható összes tőkeelemnek a konszolidált AT1 tőke részét képező összege.</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Tartalmazza a különleges célú gazdasági egység által kibocsátott, AT1 tőkébe beszámítható tőkeelemeket (az 575/2013/EU rendelet 83. cikke).</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Átmeneti kiigazítások a leányvállalatok által kibocsátott instrumentumok AT1 tőkeként való pótlólagos megjelenítése miatt</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480. cikke.</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T1 tőkébe beszámítható tőkeelemeknek a konszolidált AT1 tőke részét képező összegében az átmeneti rendelkezések miatt végrehajtott kiigazítások. A tételt közvetlenül a CA5 tábláról kell átvezetni.</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Kölcsönös részesedések AT1 tőkeinstrumentumokban</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122. pontja, 56. cikkének b) pontja és 58. cikke.</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AT1 tőkeinstrumentumok állománya olyan kölcsönös részesedés esetében, amelynek célja az illetékes hatóság véleménye szerint az intézmény szavatoló tőkéjének mesterséges megemelése.</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AT1 szavatolótőke-elemeket.</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Pénzügyi ágazatbeli olyan szervezetek által kibocsátott AT1 tőkeinstrumentumok, amelyekben az intézmény nem rendelkezik jelentős befektetéssel</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t>Az 575/2013/EU rendelet 4. cikke (1) bekezdésének 27. pontja, 56. cikkének c) pontja, 59., 60. és 79. cikke.</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lastRenderedPageBreak/>
              <w:t>Az 575/2013/EU rendelet 4. cikke (1) bekezdésének 27. pontjában meghatározott pénzügyi ágazatbeli szervezetek által kibocsátott instrumentumokban lévő intézményi részesedés, ha az intézmény nem rendelkezik az AT1 tőkéből levonandó jelentős befektetéssel.</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Pénzügyi ágazatbeli olyan szervezetek által kibocsátott elsődleges alapvető (AT1) tőkeinstrumentumok, amelyekben az intézmény jelentős befektetéssel rendelkezik</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t>Az 575/2013/EU rendelet 4. cikke (1) bekezdésének 27. pontja, 56. cikkének d) pontja, 59. és 79. cikke.</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t>Az intézménynek az 575/2013/EU rendelet 4. cikke (1) bekezdésének 27. pontjában meghatározott pénzügyi ágazatbeli olyan szervezetek által kibocsátott AT1 tőkeinstrumentumokban lévő részesedést, amelyekben az intézmény jelentős befektetéssel rendelkezik, teljes összegben le kell vonni.</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T2 tőkeelemek összegét meghaladó T2 levonások többlete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Az 575/2013/EU rendelet 56. cikkének e) pontja.</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„T2 tőkeelemek összegét meghaladó T2 levonások többlete” tételéből kell átvezetni (levonás az AT1 tőkében).</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AT1 tőke egyéb átmeneti kiigazításai</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Az 575/2013/EU rendelet 472., 473a., 474., 475., 478. és 481. cikke.</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AT1 tőkeelemek összegét meghaladó AT1 levonások többlete (levonás a CET1 tőkében)</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Az 575/2013/EU rendelet 36. cikke (1) bekezdésének j) pontja.</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 segítségével érhető el, hogy az 1.1.2.1–1.1.2.12. tételek összege egyetlen esetben se lehessen nullánál kisebb. Ha e tétel értéke pozitív, akkor az 1.1.1.16. tételben ezzel megegyező, ellenkező előjelű számot kell feltüntetni.</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További levonások a AT1 tőkéből az 575/2013/EU rendelet 3. cikke alapján</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AT1 tőkeelemek vagy levonások – egyéb</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w:t>
            </w:r>
            <w:r>
              <w:rPr>
                <w:rStyle w:val="InstructionsTabelleberschrift"/>
                <w:rFonts w:ascii="Times New Roman" w:hAnsi="Times New Roman"/>
                <w:b w:val="0"/>
                <w:sz w:val="24"/>
                <w:u w:val="none"/>
              </w:rPr>
              <w:lastRenderedPageBreak/>
              <w:t xml:space="preserve">ha egy AT1 tőkeelem, vagy egy AT1 tőkeelemet érintő levonás nem szerepeltethető az 530–744-es sorok egyikében sem. </w:t>
            </w:r>
          </w:p>
          <w:p w14:paraId="27256754" w14:textId="0C7176B9" w:rsidR="0022315F" w:rsidRPr="002A677E" w:rsidRDefault="0022315F" w:rsidP="00566DB5">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említett rendelet hatályán kívül esnek).</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JÁRULÉKOS TŐKE (T2)</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71. cikke.</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T2 tőkeként figyelembe vehető tőkeinstrumentumok és ázsiók</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t>Az 575/2013/EU rendelet 62. cikkének a) pontja, 63– 65. cikke, 66. cikkének a) pontja és 67. cikke.</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Teljes egészében befizetett, közvetlenül kibocsátott tőkeinstrumentumok</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t>Az 575/2013/EU rendelet 62. cikkének a) pontja, valamint 63. és 65. cikke.</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nem foglalhatja magában az instrumentumokhoz kapcsolódó ázsiót.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figyelembe vehető tőkeelemek és kötelezettségek, többek között alárendelt kölcsönök.</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Tájékoztató adat: Figyelembe nem vehető tőkeinstrumentumok</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t>Az 575/2013/EU rendelet 63. cikkének c), e) és f) pontja, valamint 64. cikke.</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tőkeelemek és kötelezettségek, többek között alárendelt kölcsönök.</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Névértéken felüli befizetés (ázsió)</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t>Az 575/2013/EU rendelet 62. cikkének b) pontja és 65. cikke.</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Saját T2 tőkeinstrumentumok</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63. cikke b) pontjának i. alpontja, 66. cikkének a) pontja és 67. cikke.</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intézmény vagy csoport birtokában lévő saját T2 tőkeinstrumentumok az adatszolgáltatás időpontjában, valamint a 241/2014/EU fel</w:t>
            </w:r>
            <w:r>
              <w:rPr>
                <w:rStyle w:val="FormatvorlageInstructionsTabelleText"/>
                <w:rFonts w:ascii="Times New Roman" w:hAnsi="Times New Roman"/>
                <w:sz w:val="24"/>
              </w:rPr>
              <w:lastRenderedPageBreak/>
              <w:t xml:space="preserve">hatalmazáson alapuló rendelet 28. cikke (2) bekezdésének megfelelően levonandó T2 tőkeinstrumentumok összege. </w:t>
            </w:r>
            <w:r>
              <w:t>Az 575/2013/EU rendelet 67. cikkében foglalt kivételek figyelembevételével.</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1.2.1.4–1.2.1.4.3. tételek nem foglalják magukban a saját T2 tőkeinstrumentumok megvásárlására vonatkozó tényleges vagy függő kötelezettségeket. Saját T2 tőkeinstrumentumok megvásárlására vonatkozó tényleges vagy függő kötelezettségeket külön kell feltüntetni az 1.2.1.5. tételben.</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Közvetlen részesedések T2 tőkeinstrumentumokban</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t>Az 575/2013/EU rendelet 63. cikkének b) pontja, 66. cikkének a) pontja és 67. cikke.</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1.2.1.1. tételnél megadott járulékos tőkeinstrumentumok, valamint a 241/2014/EU felhatalmazáson alapuló rendelet 28. cikke (2) bekezdésének megfelelően levonandó T2 tőkeinstrumentumok összege.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Közvetett részesedések T2 tőkeinstrumentumokban</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114. pontja, 63. cikkének b) pontja, 66. cikkének a) pontja és 67. cikke.</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Szintetikus részesedések T2 tőkeinstrumentumokban</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t>Az 575/2013/EU rendelet 4. cikke (1) bekezdésének 126. pontja, 63. cikkének b) pontja, 66. cikkének a) pontja és 67. cikke.</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Saját T2 tőkeinstrumentumok megvásárlására vonatkozó tényleges vagy függő kötelezettségek</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66. cikkének a) pontja és 67. cikke.</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t>Az 575/2013/EU rendelet 66. cikkének a) pontja szerint le kell vonni „az olyan saját járulékos tőkeinstrumentumokat […], amelyeket az intézmény hatályos szerződéses kötelezettségekből eredően köteles lehet megvásárolni”.</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Szerzett jogok alapján figyelembe vett T2 tőkeinstrumentumok miatti átmeneti kiigazítások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t>Az 575/2013/EU rendelet 483. cikkének (6) és (7) bekezdése, 484., 486., 488., 490. és 491. cikke.</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T2 tőkének minősített tőkeinstrumentumok összege. A feltüntetendő értéket közvetlenül a CA5 tábláról kell átvezetni.</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Leányvállalatok által kibocsátott, T2 tőkeként megjelenített instrumentumok</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Az 575/2013/EU rendelet 83., 87. és 88. cikke.</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leányvállalatok szavatolótőkéjébe beszámítható összes tőkeelemnek a konszolidált T2 tőke részét képező összege.</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t>Tartalmazza a különleges célú gazdasági egység által kibocsátott, T2 tőkébe beszámítható tőkeelemeket (az 575/2013/EU rendelet 83. cikke).</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Átmeneti kiigazítások a leányvállalatok által kibocsátott instrumentumok T2 tőkeként való pótlólagos megjelenítése miatt</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480. cikke.</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szavatolótőkébe beszámítható tőkeelemeknek a konszolidált T2 tőke részét képező összegében az átmeneti rendelkezések miatt végrehajtott kiigazítások. A tételt közvetlenül a CA5 tábláról kell átvezetni.</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Az IRB módszerrel számított céltartalékok többlete a figyelembe vehető várható veszteségekhez viszonyítva</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Az 575/2013/EU rendelet 62. cikkének d) pontja.</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IRB módszerrel számító intézmények esetében ez a tétel a céltartalékok és a T2 tőkeként figyelembe vehető várható veszteségek összehasonlításából adódó pozitív összeget tartalmazza.</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Általános hitelkockázati kiigazítások – sztenderd módszer (SA)</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t>Az 575/2013/EU rendelet 62. cikkének c) pontja.</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sztenderd módszerrel számító intézmények esetében ez a tétel az általános hitelkockázati kiigazításoknak a T2 tőkeként figyelembe vehető összegét tartalmazza.</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Kölcsönös részesedések T2 tőkeinstrumentumokban</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122. pontja, 66. cikkének b) pontja és 68. cikke.</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T2 tőkeinstrumentumok állománya olyan kölcsönös részesedés esetében, amelynek célja az illetékes hatóság véleménye szerint az intézmény szavatoló tőkéjének mesterséges megemelése.</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2. és 3. szintű szavatolótőke-elemeket.</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Pénzügyi ágazatbeli olyan szervezetek által kibocsátott T2 tőkeinstrumentumok, amelyekben az intézmény nem rendelkezik jelentős befektetéssel</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t>Az 575/2013/EU rendelet 4. cikke (1) bekezdésének 27. pontja, 66. cikkének c) pontja, 68–70. és 79. cikke.</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instrumentumokban lévő intézményi részesedés, ha az intézmény nem rendelkezik az T2 tőkéből levonandó jelentős befektetéssel.</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Pénzügyi ágazatbeli olyan szervezetek által kibocsátott elsődleges alapvető (T2) tőkeinstrumentumok, amelyekben az intézmény jelentős befektetéssel rendelkezik</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t>Az 575/2013/EU rendelet 4. cikke (1) bekezdésének 27. pontja, 66. cikkének d) pontja, valamint 68., 69. és 79. cikke.</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t>Az intézménynek az 575/2013/EU rendelet 4. cikke (1) bekezdésének 27. pontjában meghatározott pénzügyi ágazatbeli olyan szervezetek által kibocsátott T2 tőkeinstrumentumokban lévő részesedést, amelyekben az intézmény jelentős befektetéssel rendelkezik, teljes összegben le kell vonni.</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A leírható, illetve átalakítható kötelezettségekből történő levonásoknak a leírható, illetve átalakítható kötelezettségeken felüli összege</w:t>
            </w:r>
          </w:p>
          <w:p w14:paraId="596C4D13" w14:textId="309FACCC" w:rsidR="0022315F" w:rsidRPr="002A677E" w:rsidRDefault="0022315F" w:rsidP="00487A02">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66. cikkének e) pontja.</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T2 tőke egyéb átmeneti kiigazításai</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Az 575/2013/EU rendelet 472., 473a., 476., 477., 478. és 481. cikke.</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T2 tőkeelemek összegét meghaladó T2 levonások többlete (levonás az AT1 tőkében)</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Az 575/2013/EU rendelet 56. cikkének e) pontja.</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tételnek köszönhetően az 1.2.1–1.2.13. tételek összege egyetlen esetben sem kisebb nullánál. Ha e tétel értéke pozitív, akkor az 1.1.2.8. tételben ezzel megegyező, ellenkező előjelű számot kell feltüntetni.</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További levonások a T2 tőkéből az 575/2013/EU rendelet 3. cikke alapján</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T2 tőkeelemek vagy levonások – egyéb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T2 tőkeelem, vagy egy T2 tőkeelemet érintő levonás nem szerepeltethető a 750–974-es sorok egyikében sem. </w:t>
            </w:r>
          </w:p>
          <w:p w14:paraId="4B81AA3E" w14:textId="4B6E45A9" w:rsidR="0022315F" w:rsidRPr="002A677E" w:rsidRDefault="0022315F" w:rsidP="00566DB5">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említett rendelet hatályán kívül esnek).</w:t>
            </w:r>
          </w:p>
        </w:tc>
      </w:tr>
    </w:tbl>
    <w:p w14:paraId="1566A89B" w14:textId="77777777" w:rsidR="005643EA" w:rsidRPr="002A677E" w:rsidRDefault="005643EA" w:rsidP="00487A02">
      <w:pPr>
        <w:pStyle w:val="InstructionsText"/>
      </w:pPr>
    </w:p>
    <w:p w14:paraId="1E5F011A" w14:textId="43B9FA4E"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116039879"/>
      <w:bookmarkStart w:id="42" w:name="_Toc308175823"/>
      <w:bookmarkStart w:id="43" w:name="_Toc360188327"/>
      <w:r>
        <w:rPr>
          <w:rFonts w:ascii="Times New Roman" w:hAnsi="Times New Roman"/>
          <w:sz w:val="24"/>
          <w:u w:val="none"/>
        </w:rPr>
        <w:lastRenderedPageBreak/>
        <w:t>1.3.</w:t>
      </w:r>
      <w:r>
        <w:rPr>
          <w:rFonts w:ascii="Times New Roman" w:hAnsi="Times New Roman"/>
          <w:sz w:val="24"/>
          <w:u w:val="none"/>
        </w:rPr>
        <w:tab/>
      </w:r>
      <w:r>
        <w:rPr>
          <w:rFonts w:ascii="Times New Roman" w:hAnsi="Times New Roman"/>
          <w:sz w:val="24"/>
        </w:rPr>
        <w:t>C 02.00 – SZAVATOLÓTŐKE-KÖVETELMÉNY (CA2)</w:t>
      </w:r>
      <w:bookmarkEnd w:id="40"/>
      <w:bookmarkEnd w:id="41"/>
      <w:r>
        <w:rPr>
          <w:rFonts w:ascii="Times New Roman" w:hAnsi="Times New Roman"/>
          <w:sz w:val="24"/>
        </w:rPr>
        <w:t xml:space="preserve"> </w:t>
      </w:r>
      <w:bookmarkEnd w:id="42"/>
      <w:bookmarkEnd w:id="43"/>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6039880"/>
      <w:r>
        <w:rPr>
          <w:rFonts w:ascii="Times New Roman" w:hAnsi="Times New Roman"/>
          <w:sz w:val="24"/>
          <w:u w:val="none"/>
        </w:rPr>
        <w:t>1.3.1.</w:t>
      </w:r>
      <w:r>
        <w:rPr>
          <w:rFonts w:ascii="Times New Roman" w:hAnsi="Times New Roman"/>
          <w:sz w:val="24"/>
          <w:u w:val="none"/>
        </w:rPr>
        <w:tab/>
      </w:r>
      <w:r>
        <w:rPr>
          <w:rFonts w:ascii="Times New Roman" w:hAnsi="Times New Roman"/>
          <w:sz w:val="24"/>
        </w:rPr>
        <w:t xml:space="preserve">Az egyes pozíciókra vonatkozó </w:t>
      </w:r>
      <w:bookmarkEnd w:id="44"/>
      <w:bookmarkEnd w:id="45"/>
      <w:r>
        <w:rPr>
          <w:rFonts w:ascii="Times New Roman" w:hAnsi="Times New Roman"/>
          <w:sz w:val="24"/>
        </w:rPr>
        <w:t>útmutató</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Sor</w:t>
            </w:r>
          </w:p>
        </w:tc>
        <w:tc>
          <w:tcPr>
            <w:tcW w:w="7274" w:type="dxa"/>
            <w:shd w:val="clear" w:color="auto" w:fill="D9D9D9"/>
          </w:tcPr>
          <w:p w14:paraId="7F3DDF83" w14:textId="77777777" w:rsidR="005643EA" w:rsidRPr="002A677E" w:rsidRDefault="002648B0" w:rsidP="00487A02">
            <w:pPr>
              <w:pStyle w:val="InstructionsText"/>
            </w:pPr>
            <w:r>
              <w:t>Jogszabályi hivatkozások és útmutató</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TELJES KOCKÁZATI KITETTSÉGÉRTÉK</w:t>
            </w:r>
          </w:p>
          <w:p w14:paraId="3E17E533" w14:textId="60733EC2" w:rsidR="002648B0" w:rsidRPr="002A677E" w:rsidRDefault="002648B0" w:rsidP="00487A02">
            <w:pPr>
              <w:pStyle w:val="InstructionsText"/>
            </w:pPr>
            <w:r>
              <w:t>Az 575/2013/EU rendelet 92. cikkének (3) bekezdése, valamint 95., 96. és 98. cikke.</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Ebből: az 575/2013/EU rendelet 95. cikkének (2) bekezdése és 98. cikke szerinti befektetési vállalkozások</w:t>
            </w:r>
          </w:p>
          <w:p w14:paraId="69B39CC9" w14:textId="43F39B38" w:rsidR="005643EA" w:rsidRPr="002A677E" w:rsidRDefault="002648B0" w:rsidP="00487A02">
            <w:pPr>
              <w:pStyle w:val="InstructionsText"/>
            </w:pPr>
            <w:r>
              <w:t>Az 575/2013/EU rendelet 95. cikkének (2) bekezdése és 98. cikke szerinti befektetési vállalkozások.</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Ebből: az 575/2013/EU rendelet 96. cikkének (2) bekezdése és 97. cikke szerinti befektetési vállalkozások</w:t>
            </w:r>
          </w:p>
          <w:p w14:paraId="7E481CD1" w14:textId="705A2543" w:rsidR="005643EA" w:rsidRPr="002A677E" w:rsidRDefault="002648B0" w:rsidP="00487A02">
            <w:pPr>
              <w:pStyle w:val="InstructionsText"/>
            </w:pPr>
            <w:r>
              <w:t>Az 575/2013/EU rendelet 96. cikkének (2) bekezdése és 97. cikke szerinti befektetési vállalkozások.</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HITELKOCKÁZATRA, PARTNERKOCKÁZATRA ÉS FELHÍGULÁSI KOCKÁZATRA, VALAMINT NYITVA SZÁLLÍTÁSOKRA VONATKOZÓ, KOCKÁZATTAL SÚLYOZOTT KITETTSÉGÉRTÉKEK</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92. cikke (3) bekezdésének a) és f) pontja.</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Sztenderd módszer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és SEC SA tábla az összesített kitettség szintjén.</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Ebből: kiegészítő szigorúbb prudenciális követelmények az 575/2013/EU rendelet 124. cikke alapján</w:t>
            </w:r>
          </w:p>
          <w:p w14:paraId="0AC666E0" w14:textId="6BFE981B" w:rsidR="00802958" w:rsidRPr="002A677E" w:rsidRDefault="004852B9" w:rsidP="002A67C8">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124. cikkének (2) és (5) bekezdésével összhangban az EBH-val folytatott konzultációt követően az intézmények számára közzétett, szigorúbb prudenciális követelményeknek való megfeleléshez szükségesek.</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Sztenderd módszer (SA) szerinti kitettségi osztályok értékpapírosítási pozíciók nélkül</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tábla az összesített kitettség szintjén. </w:t>
            </w:r>
            <w:r>
              <w:t>A sztenderd módszer szerinti kitettségi osztályok közé az 575/2013/EU rendelet 112. cikkében felsoroltak tartoznak, az értékpapírosítási pozíciók kivételével.</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Központi kormányzatok vagy központi bankok</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Lásd a CR SA táblát</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Regionális kormányzatok vagy helyi hatóságok</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Közszektorbeli intézmények</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Lásd a CR SA táblát</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Multilaterális fejlesztési bankok</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SA táblát </w:t>
            </w:r>
          </w:p>
        </w:tc>
      </w:tr>
      <w:tr w:rsidR="002648B0" w:rsidRPr="00B44FD0"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Nemzetközi szervezetek</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B44FD0"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Intézmények</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Pr>
                <w:rStyle w:val="InstructionsTabelleberschrift"/>
                <w:rFonts w:ascii="Times New Roman" w:hAnsi="Times New Roman"/>
                <w:sz w:val="24"/>
              </w:rPr>
              <w:tab/>
              <w:t>Vállalkozások</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Lakosság</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Ingatlanra bejegyzett zálogjoggal fedezett kitettségek</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Nemteljesítő kitettségek</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Pr>
                <w:rStyle w:val="InstructionsTabelleberschrift"/>
                <w:rFonts w:ascii="Times New Roman" w:hAnsi="Times New Roman"/>
                <w:sz w:val="24"/>
              </w:rPr>
              <w:tab/>
              <w:t>Kiemelkedően magas kockázatú tételek</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Fedezett kötvények</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Rövid távú hitelminősítéssel rendelkező intézményekkel és vállalkozásokkal szembeni követelések</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Kollektív befektetési formák (KBF)</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Részvényjellegű kitettségek</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Egyéb tételek</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Lásd a CR SA táblát</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Ebből: immateriális eszközként elszámolt szoftvereszközök</w:t>
            </w:r>
          </w:p>
          <w:p w14:paraId="7DDD0154" w14:textId="267417B5" w:rsidR="00A95150" w:rsidRPr="002A677E" w:rsidRDefault="00A95150" w:rsidP="00566DB5">
            <w:pPr>
              <w:pStyle w:val="InstructionsText"/>
              <w:rPr>
                <w:rStyle w:val="InstructionsTabelleberschrift"/>
                <w:rFonts w:ascii="Times New Roman" w:hAnsi="Times New Roman"/>
                <w:sz w:val="24"/>
              </w:rPr>
            </w:pPr>
            <w:r>
              <w:t>A szoftvereszközök immateriális eszközként elszámolt azon részére vonatkozó kockázattal súlyozott kitettségérték, amelyet az 575/2013/EU rendelet 36. cikke (1) bekezdése b) pontjának megfelelően nem vonnak le a CET1 tőkeelemekből, hanem az említett rendelet 113. cikke (5) bekezdésének megfelelően kockázattal súlyoznak.</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Belső minősítésen alapuló módszer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Ebből: kiegészítő szigorúbb prudenciális követelmények az 575/2013/EU rendelet 164. cikke alapján</w:t>
            </w:r>
          </w:p>
          <w:p w14:paraId="600AF80E" w14:textId="02CB175C" w:rsidR="00802958" w:rsidRPr="002A677E" w:rsidRDefault="004852B9" w:rsidP="002A67C8">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164. cikkének (5) és (7) bekezdésével összhangban az EBH értesítését követően az intézmények számára közzétett, szigorúbb prudenciális követelményeknek való megfeleléshez szükségesek.</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Ebből: kiegészítő szigorúbb prudenciális követelmények az 575/2013/EU rendelet 124. cikke alapján</w:t>
            </w:r>
          </w:p>
          <w:p w14:paraId="0110769F" w14:textId="270E37C3" w:rsidR="00802958" w:rsidRPr="002A677E" w:rsidRDefault="004852B9" w:rsidP="002A67C8">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124. cikkének (2) és (5) bekezdésével összhangban az EBH-val folytatott konzultációt követően az intézmények számára közzétett, szigorúbb prudenciális követelményeknek való megfeleléshez szükségesek, és amelyek kapcsolódnak a biztosíték figyelembe vehető piaci értékére vonatkozó, az 575/2013/EU rendelet 126. cikke (2) bekezdésének d) pontjában és 126. cikke (2) bekezdésének d) pontjában meghatározott korlátokhoz.</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módszer a nemteljesítéskori veszteségrátára (LGD) vonatkozó saját becslés és hitel-egyenértékesítési tényező (CCF) mellőzésekor</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vagy CCF mellőzésével)</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Központi kormányzatok és központi bankok</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Intézmények</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Pr>
                <w:rStyle w:val="InstructionsTabelleberschrift"/>
                <w:rFonts w:ascii="Times New Roman" w:hAnsi="Times New Roman"/>
                <w:sz w:val="24"/>
              </w:rPr>
              <w:tab/>
              <w:t>Vállalkozások – kkv</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Vállalkozások – speciális hitelezés</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Vállalkozások – egyéb</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módszer a nemteljesítéskori veszteségrátára (LGD) vonatkozó saját becslés és/vagy hitel-egyenértékesítési tényező (CCF) alkalmazásakor</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és/vagy CCF alkalmazásával)</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Központi kormányzatok és központi bankok</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Pr>
                <w:rStyle w:val="InstructionsTabelleberschrift"/>
                <w:rFonts w:ascii="Times New Roman" w:hAnsi="Times New Roman"/>
                <w:sz w:val="24"/>
              </w:rPr>
              <w:tab/>
              <w:t>Intézmények</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Lásd a CR IRB táblát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Pr>
                <w:rStyle w:val="InstructionsTabelleberschrift"/>
                <w:rFonts w:ascii="Times New Roman" w:hAnsi="Times New Roman"/>
                <w:sz w:val="24"/>
              </w:rPr>
              <w:tab/>
              <w:t>Vállalkozások – kkv</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Vállalkozások – speciális hitelezés</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Vállalkozások – egyéb</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Pr>
                <w:rStyle w:val="InstructionsTabelleberschrift"/>
                <w:rFonts w:ascii="Times New Roman" w:hAnsi="Times New Roman"/>
                <w:sz w:val="24"/>
              </w:rPr>
              <w:tab/>
              <w:t>Lakosság – ingatlannal fedezett (kkv)</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Pr>
                <w:rStyle w:val="InstructionsTabelleberschrift"/>
                <w:rFonts w:ascii="Times New Roman" w:hAnsi="Times New Roman"/>
                <w:sz w:val="24"/>
              </w:rPr>
              <w:tab/>
              <w:t>Lakosság – ingatlannal fedezett (nem kkv)</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Lakosság – a rulírozó állományba beszámítható</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Lakosság – egyéb kkv</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Pr>
                <w:rStyle w:val="InstructionsTabelleberschrift"/>
                <w:rFonts w:ascii="Times New Roman" w:hAnsi="Times New Roman"/>
                <w:sz w:val="24"/>
              </w:rPr>
              <w:tab/>
              <w:t>Lakosság – egyéb nem kkv</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Részvényjellegű kitettségek (IRB)</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EQU IRB táblát</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Egyéb, nem hitelkötelezettséget megtestesítő eszközök</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A feltüntetendő érték az 575/2013/EU rendelet 156. cikke szerint kiszámított, kockázattal súlyozott kitettségérték.</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Ebből: immateriális eszközként elszámolt szoftvereszközök</w:t>
            </w:r>
          </w:p>
          <w:p w14:paraId="2EB2DE5E" w14:textId="4EBE54AB" w:rsidR="00B03CD3" w:rsidRPr="002A677E" w:rsidRDefault="00B03CD3" w:rsidP="00566DB5">
            <w:pPr>
              <w:pStyle w:val="InstructionsText"/>
              <w:rPr>
                <w:rStyle w:val="InstructionsTabelleberschrift"/>
                <w:rFonts w:ascii="Times New Roman" w:hAnsi="Times New Roman"/>
                <w:sz w:val="24"/>
              </w:rPr>
            </w:pPr>
            <w:r>
              <w:t>A szoftvereszközök immateriális eszközként elszámolt azon részére vonatkozó kockázattal súlyozott kitettségérték, amelyet az 575/2013/EU rendelet 36. cikke (1) bekezdése b) pontjának megfelelően nem vonnak le a CET1 tőkeelemekből, hanem az említett rendelet 156. cikkének megfelelően kockázattal súlyoznak.</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Központi szerződő fél garanciaalapjába befizetett hozzájárulások kockázati kitettségértéke</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307., 308. és 309. cikke.</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Értékpapírosítási pozíciók</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SEC táblát</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KIEGYENLÍTÉSI/TELJESÍTÉSI KOCKÁZAT TELJES KOCKÁZATI KITETTSÉGÉRTÉKE</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Az 575/2013/EU rendelet 92. cikke (3) bekezdése c) pontjának ii. alpontja és 92. cikke (4) bekezdésének b) pontja.</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Nem kereskedési könyvi kiegyenlítési/teljesítési kockázat</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Kereskedési könyvi kiegyenlítési/teljesítési kockázat</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POZÍCIÓKOCKÁZAT, DEVIZAÁRFOLYAM-KOCKÁZAT ÉS ÁRUKOCKÁZAT TELJES KOCKÁZATI KITETTSÉGÉRTÉKE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Az 575/2013/EU rendelet 92. cikke (3) bekezdése b) pontjának i. alpontja, c) pontjának i. és iii. alpontja és 92. cikke (4) bekezdésének b) pontja.</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Pozíciókockázat, devizaárfolyam-kockázat és árukockázat sztenderd módszer (SA) szerinti kockázati kitettségértéke</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Pr>
                <w:rStyle w:val="InstructionsTabelleberschrift"/>
                <w:rFonts w:ascii="Times New Roman" w:hAnsi="Times New Roman"/>
                <w:sz w:val="24"/>
              </w:rPr>
              <w:tab/>
              <w:t>Forgalmazott, hitelviszonyt megtestesítő értékpapírok</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tábla az összesített devizanemek szintjén.</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Részvényjellegű kitettségek</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tábla az összesített nemzeti piacok szintjén.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Egyedi módszer a kollektív befektetési formák pozíciókockázatára</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348. cikkének (1) bekezdése, 350. cikke (3) bekezdésének c) pontja és 364. cikke (2) bekezdésének a) pontja.</w:t>
            </w:r>
          </w:p>
          <w:p w14:paraId="667963BD" w14:textId="2AB584BB"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kollektív befektetési formákban lévő pozíciók teljes kockázati kitettségértéke, amennyiben a tőkekövetelményeket az 575/2013/EU rendelet 348. cikke (1) bekezdésének megfelelően számítják ki azonnal vagy az említett rendelet 350. cikke (3) bekezdésének c) pontjában meghatározott felső korlát következményeként.</w:t>
            </w:r>
            <w:r>
              <w:rPr>
                <w:rFonts w:ascii="Times New Roman" w:hAnsi="Times New Roman"/>
                <w:sz w:val="24"/>
              </w:rPr>
              <w:t xml:space="preserve"> Az 575/2013/EU rendelet ezeket a pozíciókat nem rendeli kifejezetten sem kamatlábkockázathoz, sem részvénypiaci kockázathoz.</w:t>
            </w:r>
          </w:p>
          <w:p w14:paraId="59F446CA" w14:textId="740A3E15"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Az 575/2013/EU rendelet 348. cikkének (1) bekezdésének első mondata szerinti egyedi módszer alkalmazásakor a feltüntetendő érték a kérdéses KBF-kitettség nettó pozíciójának 32 %-a, szorozva 12,5-del.</w:t>
            </w:r>
            <w:r>
              <w:rPr>
                <w:rStyle w:val="FormatvorlageInstructionsTabelleText"/>
                <w:rFonts w:ascii="Times New Roman" w:hAnsi="Times New Roman"/>
                <w:sz w:val="24"/>
              </w:rPr>
              <w:t xml:space="preserve"> </w:t>
            </w:r>
          </w:p>
          <w:p w14:paraId="0B4C9A43" w14:textId="3673201B"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Az 575/2013/EU rendelet 348. cikke (1) bekezdésének második mondata szerinti egyedi módszer alkalmazásakor a feltüntetendő érték a kérdéses KBF-kitettség nettó pozíciójának 32 %-a, valamint e nettó pozíció 40 %-a és az adott KBF-kitettséghez kapcsolódó devizaárfolyam-kockázatból eredő szavatolótőke-követelmény különbözete közül az alacsonyabb érték, szorozva 12,5-del.</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Tájékoztató adat: kizárólag forgalmazott, hitelviszonyt megtestesítő értékpapírokba befektetett kollektív befektetési formák</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Kollektív befektetési formákban lévő pozíciók teljes kockázati kitettségértéke, amennyiben a KBF eszközökbe való befektetése kizárólag a kamatlábkockázattól függ.</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kizárólag tulajdoni részesedést megtestesítő instrumentumokba vagy vegyes eszközökbe befektetett kollektív befektetési formák</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KBF-et kizárólag részvénypiaci kockázattól függő instrumentumokba vagy vegyes instrumentumokba fektetik be vagy a KBF összetevői nem ismertek.</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Deviza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MKR SA FX táblát</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Áru</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MKR SA COM táblát</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Pozíciókockázat, devizaárfolyam-kockázat és árukockázat belső modelleken alapuló módszer (IM) szerinti kockázati kitettségértéke</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MKR IM táblát</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MŰKÖDÉSI KOCKÁZAT (OpR) TELJES KOCKÁZATI KITETTSÉGÉRTÉKE</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t>Az 575/2013/EU rendelet 92. cikke (3) bekezdésének e) pontja és 92. cikke (4) bekezdésének b) pontja.</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Az 575/2013/EU rendelet 95. cikkének (2) bekezdése, 96. cikkének (2) bekezdése, valamint 98. cikke szerinti befektetési vállalkozások esetében a feltüntetendő érték nulla.</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Pr>
                <w:rStyle w:val="InstructionsTabelleberschrift"/>
                <w:rFonts w:ascii="Times New Roman" w:hAnsi="Times New Roman"/>
                <w:sz w:val="24"/>
              </w:rPr>
              <w:tab/>
              <w:t>Működési kockázatra vonatkozó alapmutató módszere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Pr>
                <w:rStyle w:val="InstructionsTabelleberschrift"/>
                <w:rFonts w:ascii="Times New Roman" w:hAnsi="Times New Roman"/>
                <w:sz w:val="24"/>
              </w:rPr>
              <w:tab/>
              <w:t>Működési kockázatra vonatkozó sztenderd (TSA)/alternatív sztenderd módszer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Pr>
                <w:rStyle w:val="InstructionsTabelleberschrift"/>
                <w:rFonts w:ascii="Times New Roman" w:hAnsi="Times New Roman"/>
                <w:sz w:val="24"/>
              </w:rPr>
              <w:tab/>
              <w:t>Működési kockázatra vonatkozó fejlett mérési módszerek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FIX ÁLTALÁNOS KÖLTSÉGEKBŐL EREDŐ TOVÁBBI KOCKÁZATI KITETTSÉGÉRTÉK</w:t>
            </w:r>
          </w:p>
          <w:p w14:paraId="25F8DA00" w14:textId="64BA5E94" w:rsidR="00802958" w:rsidRPr="001235ED" w:rsidRDefault="00802958" w:rsidP="00802958">
            <w:pPr>
              <w:rPr>
                <w:rStyle w:val="FormatvorlageInstructionsTabelleText"/>
                <w:rFonts w:ascii="Times New Roman" w:hAnsi="Times New Roman"/>
                <w:sz w:val="24"/>
              </w:rPr>
            </w:pPr>
            <w:r>
              <w:rPr>
                <w:rFonts w:ascii="Times New Roman" w:hAnsi="Times New Roman"/>
                <w:sz w:val="24"/>
              </w:rPr>
              <w:t>Az 575/2013/EU rendelet 95. cikkének (2) bekezdése, 96. cikkének (2) bekezdése, 97. cikke és 98. cikke (1) bekezdésének a) pontja.</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Kizárólag az 575/2013/EU rendelet 95. cikkének (2) bekezdése, 96. cikkének (2) bekezdése, valamint 98. cikke szerinti befektetési vállalkozások esetében.</w:t>
            </w:r>
            <w:r>
              <w:rPr>
                <w:rStyle w:val="FormatvorlageInstructionsTabelleText"/>
                <w:rFonts w:ascii="Times New Roman" w:hAnsi="Times New Roman"/>
                <w:sz w:val="24"/>
              </w:rPr>
              <w:t xml:space="preserve"> </w:t>
            </w:r>
            <w:r>
              <w:rPr>
                <w:rFonts w:ascii="Times New Roman" w:hAnsi="Times New Roman"/>
                <w:sz w:val="24"/>
              </w:rPr>
              <w:t>Lásd az 575/2013/EU rendelet 97. cikkét is.</w:t>
            </w:r>
            <w:r>
              <w:rPr>
                <w:rStyle w:val="FormatvorlageInstructionsTabelleText"/>
                <w:rFonts w:ascii="Times New Roman" w:hAnsi="Times New Roman"/>
                <w:sz w:val="24"/>
              </w:rPr>
              <w:t xml:space="preserve"> </w:t>
            </w:r>
          </w:p>
          <w:p w14:paraId="050A184D" w14:textId="45553A6A" w:rsidR="00802958" w:rsidRPr="002A677E" w:rsidRDefault="00802958" w:rsidP="00802958">
            <w:pPr>
              <w:rPr>
                <w:rStyle w:val="FormatvorlageInstructionsTabelleText"/>
                <w:rFonts w:ascii="Times New Roman" w:hAnsi="Times New Roman"/>
                <w:sz w:val="24"/>
              </w:rPr>
            </w:pPr>
            <w:r>
              <w:rPr>
                <w:rFonts w:ascii="Times New Roman" w:hAnsi="Times New Roman"/>
                <w:sz w:val="24"/>
              </w:rPr>
              <w:lastRenderedPageBreak/>
              <w:t>Az 575/2013/EU rendelet 96. cikke szerinti befektetési vállalkozásoknak a 97. cikkben meghatározott összeg 12,5-szeresét kell feltüntetniük.</w:t>
            </w:r>
          </w:p>
          <w:p w14:paraId="6F52F0CD" w14:textId="71AEBDA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Az 575/2013/EU rendelet 95. cikke szerinti befektetési vállalkozásoknak az alábbi összeget kell feltüntetniük:</w:t>
            </w:r>
          </w:p>
          <w:p w14:paraId="5BECD677" w14:textId="05881CFB"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Ha az 575/2013/EU rendelet 95. cikke (2) bekezdésének a) pontjában említett összeg meghaladja az említett rendelet 95. cikke (2) bekezdésének b) pontjában említett összeget, akkor a feltüntetendő érték nulla.</w:t>
            </w:r>
          </w:p>
          <w:p w14:paraId="27EC85F3" w14:textId="51CC6D13"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Ha az 575/2013/EU rendelet 95. cikke (2) bekezdésének b) pontjában említett összeg meghaladja az említett rendelet 95. cikke (2) bekezdésének a) pontjában említett összeget, akkor a feltüntetendő érték az utóbbi és az előbbi összeg különbözete.</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A HITELÉRTÉKELÉSI KORREKCIÓ TELJES KOCKÁZATI KITETTSÉGÉRTÉKE</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Az 575/2013/EU rendelet 92. cikke (3) bekezdésének d) pontja.</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Lásd a CVA táblát.</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Pr>
                <w:rStyle w:val="InstructionsTabelleberschrift"/>
                <w:rFonts w:ascii="Times New Roman" w:hAnsi="Times New Roman"/>
                <w:sz w:val="24"/>
              </w:rPr>
              <w:tab/>
              <w:t>Fejlett módszer</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A hitelértékelési korrekciós kockázathoz kapcsolódó szavatolótőke-követelmény az 575/2013/EU rendelet 383. cikke szerint.</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CVA táblát.</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Pr>
                <w:rStyle w:val="InstructionsTabelleberschrift"/>
                <w:rFonts w:ascii="Times New Roman" w:hAnsi="Times New Roman"/>
                <w:sz w:val="24"/>
              </w:rPr>
              <w:tab/>
              <w:t>Sztenderd módszer</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A hitelértékelési korrekciós kockázathoz kapcsolódó szavatolótőke-követelmény az 575/2013/EU rendelet 384. cikke szerint.</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CVA táblát.</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Pr>
                <w:rStyle w:val="InstructionsTabelleberschrift"/>
                <w:rFonts w:ascii="Times New Roman" w:hAnsi="Times New Roman"/>
                <w:sz w:val="24"/>
              </w:rPr>
              <w:tab/>
              <w:t>Eredeti kitettség szerinti módszer (OEM) alapján</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A hitelértékelési korrekciós kockázathoz kapcsolódó szavatolótőke-követelmény az 575/2013/EU rendelet 385. cikke szerint.</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Lásd a CVA táblát.</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KERESKEDÉSI KÖNYVBEN NYILVÁNTARTOTT NAGYKOCKÁZATOK TELJES KOCKÁZATI KITETTSÉGÉRTÉKE</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t>Az 575/2013/EU rendelet </w:t>
            </w:r>
            <w:r>
              <w:rPr>
                <w:rStyle w:val="FormatvorlageInstructionsTabelleText"/>
                <w:rFonts w:ascii="Times New Roman" w:hAnsi="Times New Roman"/>
                <w:sz w:val="24"/>
              </w:rPr>
              <w:t>92. cikke (3) bekezdése b) pontjának ii. alpontja és 395–401. cikke.</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EGYÉB KOCKÁZATI KITETTSÉGÉRTÉKEK</w:t>
            </w:r>
          </w:p>
          <w:p w14:paraId="6919B260" w14:textId="2F4B08F9" w:rsidR="00802958" w:rsidRPr="002A677E" w:rsidRDefault="00802958" w:rsidP="00487A02">
            <w:pPr>
              <w:pStyle w:val="InstructionsText"/>
              <w:rPr>
                <w:rStyle w:val="InstructionsTabelleberschrift"/>
                <w:rFonts w:ascii="Times New Roman" w:hAnsi="Times New Roman"/>
                <w:b w:val="0"/>
                <w:bCs w:val="0"/>
                <w:sz w:val="24"/>
                <w:u w:val="none"/>
              </w:rPr>
            </w:pPr>
            <w:r>
              <w:t>Az 575/2013/EU rendelet 3., 458. és 459. cikke szerint, valamint az olyan kockázati kitettségértékek, amelyek az 1.1–1.7. tételek egyikébe sem sorolhatók.</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intézményeknek az alábbi követelmények teljesítéséhez szükséges összegeket kell feltüntetniük:</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a Bizottság által előírt szigorúbb prudenciális követelmények, az 575/2013/EU rendelet 458. és 459. cikkével összhangban;</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lastRenderedPageBreak/>
              <w:t>az 575/2013/EU rendelet 3. cikkéből eredő további kockázati kitettségértékek.</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 tétel nem kapcsolódik részletes kockázati táblához.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Ebből: kiegészítő szigorúbb prudenciális követelmények az 575/2013/EU rendelet 458. cikke alapján</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t xml:space="preserve">Az 575/2013/EU rendelet </w:t>
            </w:r>
            <w:r>
              <w:rPr>
                <w:rStyle w:val="FormatvorlageInstructionsTabelleText"/>
                <w:rFonts w:ascii="Times New Roman" w:hAnsi="Times New Roman"/>
                <w:sz w:val="24"/>
              </w:rPr>
              <w:t>458. cikke.</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nagykockázat-vállalással kapcsolatos követelmények</w:t>
            </w:r>
          </w:p>
          <w:p w14:paraId="7EA664B8" w14:textId="74915159" w:rsidR="00802958" w:rsidRPr="002A677E" w:rsidRDefault="00802958" w:rsidP="00487A02">
            <w:pPr>
              <w:pStyle w:val="InstructionsText"/>
              <w:rPr>
                <w:rStyle w:val="InstructionsTabelleberschrift"/>
                <w:rFonts w:ascii="Times New Roman" w:hAnsi="Times New Roman"/>
                <w:sz w:val="24"/>
              </w:rPr>
            </w:pPr>
            <w:r>
              <w:t>Az 575/2013/EU rendelet 458. cikke.</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a lakóingatlanok és kereskedelmi ingatlanok piacán jelentkező eszközbuborékok kezelését célzó kockázati súlyok módosításából eredő követelmények</w:t>
            </w:r>
          </w:p>
          <w:p w14:paraId="51AF7235" w14:textId="05EABDFE" w:rsidR="00802958" w:rsidRPr="002A677E" w:rsidRDefault="00802958" w:rsidP="00487A02">
            <w:pPr>
              <w:pStyle w:val="InstructionsText"/>
              <w:rPr>
                <w:rStyle w:val="InstructionsTabelleberschrift"/>
                <w:rFonts w:ascii="Times New Roman" w:hAnsi="Times New Roman"/>
                <w:sz w:val="24"/>
              </w:rPr>
            </w:pPr>
            <w:r>
              <w:t>Az 575/2013/EU rendelet 458. cikke.</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a pénzügyi szektoron belüli kitettségekből eredő követelmények</w:t>
            </w:r>
          </w:p>
          <w:p w14:paraId="2F5ADD62" w14:textId="19877A17" w:rsidR="00802958" w:rsidRPr="002A677E" w:rsidRDefault="00802958" w:rsidP="00487A02">
            <w:pPr>
              <w:pStyle w:val="InstructionsText"/>
              <w:rPr>
                <w:rStyle w:val="InstructionsTabelleberschrift"/>
                <w:rFonts w:ascii="Times New Roman" w:hAnsi="Times New Roman"/>
                <w:sz w:val="24"/>
              </w:rPr>
            </w:pPr>
            <w:r>
              <w:t>Az 575/2013/EU rendelet 458. cikke.</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Ebből: kiegészítő szigorúbb prudenciális követelmények az 575/2013/EU rendelet 459. cikke alapján</w:t>
            </w:r>
          </w:p>
          <w:p w14:paraId="705AA238" w14:textId="6CA85029" w:rsidR="00802958" w:rsidRPr="002A677E" w:rsidRDefault="00802958" w:rsidP="00487A02">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459. cikke.</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Ebből: az 575/2013/EU rendelet 3. cikkéből eredő további kockázati kitettségérték</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3. cikke.</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pótlólagos kockázati kitettségértéket kell feltüntetni. </w:t>
            </w:r>
            <w:r>
              <w:t>A feltüntetett pótlólagos kockázati kitettségérték csak a pótlólagos értéket foglalhatja magában (pl. ha 100 egységnyi kitettség kockázati súlya 20 % és az intézmény az 575/2013/EU rendelet 3. cikke alapján 50 %-os kockázati súlyt alkalmaz, akkor a feltüntetendő érték 30).</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116039881"/>
      <w:bookmarkStart w:id="51" w:name="_Toc308175826"/>
      <w:bookmarkStart w:id="52" w:name="_Toc360188329"/>
      <w:r>
        <w:rPr>
          <w:rFonts w:ascii="Times New Roman" w:hAnsi="Times New Roman"/>
          <w:sz w:val="24"/>
          <w:u w:val="none"/>
        </w:rPr>
        <w:t>1.4.</w:t>
      </w:r>
      <w:r>
        <w:rPr>
          <w:rFonts w:ascii="Times New Roman" w:hAnsi="Times New Roman"/>
          <w:sz w:val="24"/>
          <w:u w:val="none"/>
        </w:rPr>
        <w:tab/>
        <w:t>C 03.00 – TŐKEMEGFELELÉSI MUTATÓK ÉS TŐKESZINTEK (CA3)</w:t>
      </w:r>
      <w:bookmarkEnd w:id="49"/>
      <w:bookmarkEnd w:id="50"/>
      <w:r>
        <w:rPr>
          <w:rFonts w:ascii="Times New Roman" w:hAnsi="Times New Roman"/>
          <w:sz w:val="24"/>
          <w:u w:val="none"/>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6039882"/>
      <w:r>
        <w:rPr>
          <w:rFonts w:ascii="Times New Roman" w:hAnsi="Times New Roman"/>
          <w:sz w:val="24"/>
          <w:u w:val="none"/>
        </w:rPr>
        <w:t>1.4.1.</w:t>
      </w:r>
      <w:r>
        <w:rPr>
          <w:rFonts w:ascii="Times New Roman" w:hAnsi="Times New Roman"/>
          <w:sz w:val="24"/>
          <w:u w:val="none"/>
        </w:rPr>
        <w:tab/>
      </w:r>
      <w:r>
        <w:rPr>
          <w:rFonts w:ascii="Times New Roman" w:hAnsi="Times New Roman"/>
          <w:sz w:val="24"/>
        </w:rPr>
        <w:t xml:space="preserve">Az egyes pozíciókra vonatkozó </w:t>
      </w:r>
      <w:bookmarkEnd w:id="53"/>
      <w:bookmarkEnd w:id="54"/>
      <w:r>
        <w:rPr>
          <w:rFonts w:ascii="Times New Roman" w:hAnsi="Times New Roman"/>
          <w:sz w:val="24"/>
        </w:rPr>
        <w:t>útmutató</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Sorok</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CET1 tőkemegfelelési mutató</w:t>
            </w:r>
          </w:p>
          <w:p w14:paraId="3AB50D42" w14:textId="7C933A43" w:rsidR="005643EA" w:rsidRPr="002A677E" w:rsidRDefault="002648B0" w:rsidP="00487A02">
            <w:pPr>
              <w:pStyle w:val="InstructionsText"/>
            </w:pPr>
            <w:r>
              <w:t>Az 575/2013/EU rendelet 92. cikke (2) bekezdésének a) pontja.</w:t>
            </w:r>
          </w:p>
          <w:p w14:paraId="4ECA63DC" w14:textId="77777777" w:rsidR="005643EA" w:rsidRPr="002A677E" w:rsidRDefault="002648B0" w:rsidP="00487A02">
            <w:pPr>
              <w:pStyle w:val="InstructionsText"/>
            </w:pPr>
            <w:r>
              <w:t>A CET1 tőkemegfelelési mutató az intézmény CET1 tőkéje, a teljes kockázati kitettségérték százalékaként kifejezve.</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A CET1 tőke többlete (+)/hiánya (–)</w:t>
            </w:r>
          </w:p>
          <w:p w14:paraId="37188E0C" w14:textId="40D2194D" w:rsidR="005643EA" w:rsidRPr="002A677E" w:rsidRDefault="002648B0" w:rsidP="008B3A5F">
            <w:pPr>
              <w:pStyle w:val="InstructionsText"/>
            </w:pPr>
            <w:r>
              <w:t>A tétel abszolút értéken jeleníti meg a CET1 tőkének az 575/2013/EU rendelet 92. cikke (1) bekezdésének a) pontjában rögzített követelményhez (4,5 %) viszonyított többletét vagy hiányát, vagyis nem veszi figyelembe a tőkepuffereket és a mutatóra vonatkozó átmeneti rendelkezéseket.</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lastRenderedPageBreak/>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T1 tőkemegfelelési mutató</w:t>
            </w:r>
          </w:p>
          <w:p w14:paraId="601A9262" w14:textId="2A814BF8" w:rsidR="005643EA" w:rsidRPr="002A677E" w:rsidRDefault="002648B0" w:rsidP="00487A02">
            <w:pPr>
              <w:pStyle w:val="InstructionsText"/>
            </w:pPr>
            <w:r>
              <w:t>Az 575/2013/EU rendelet 92. cikke (2) bekezdésének b) pontja.</w:t>
            </w:r>
          </w:p>
          <w:p w14:paraId="766E9F5A" w14:textId="77777777" w:rsidR="005643EA" w:rsidRPr="002A677E" w:rsidRDefault="002648B0" w:rsidP="00487A02">
            <w:pPr>
              <w:pStyle w:val="InstructionsText"/>
            </w:pPr>
            <w:r>
              <w:t>A T1 tőkemegfelelési mutató az intézmény T1 tőkéje, a teljes kockázati kitettségérték százalékaként kifejezve.</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A T1 tőke többlete (+)/hiánya (–)</w:t>
            </w:r>
          </w:p>
          <w:p w14:paraId="7F9BAB6C" w14:textId="62F8DD46" w:rsidR="005643EA" w:rsidRPr="002A677E" w:rsidRDefault="002648B0" w:rsidP="008B3A5F">
            <w:pPr>
              <w:pStyle w:val="InstructionsText"/>
            </w:pPr>
            <w:r>
              <w:t>A tétel abszolút értéken jeleníti meg a T1 tőkének az 575/2013/EU rendelet 92. cikke (1) bekezdésének b) pontjában rögzített követelményhez (6 %) viszonyított többletét vagy hiányát, vagyis nem veszi figyelembe a tőkepuffereket és a mutatóra vonatkozó átmeneti rendelkezéseket.</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Teljestőke-megfelelési mutató</w:t>
            </w:r>
          </w:p>
          <w:p w14:paraId="1B806A0B" w14:textId="10B1CB02" w:rsidR="005643EA" w:rsidRPr="002A677E" w:rsidRDefault="002648B0" w:rsidP="00487A02">
            <w:pPr>
              <w:pStyle w:val="InstructionsText"/>
            </w:pPr>
            <w:r>
              <w:t>Az 575/2013/EU rendelet 92. cikke (2) bekezdésének c) pontja.</w:t>
            </w:r>
          </w:p>
          <w:p w14:paraId="2870DB19" w14:textId="77777777" w:rsidR="005643EA" w:rsidRPr="002A677E" w:rsidRDefault="002648B0" w:rsidP="00487A02">
            <w:pPr>
              <w:pStyle w:val="InstructionsText"/>
            </w:pPr>
            <w:r>
              <w:t>A teljestőke-megfelelési mutató az intézmény szavatolótőkéje, a teljes kockázati kitettségérték százalékaként kifejezve.</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A teljes tőke többlete (+)/hiánya (–)</w:t>
            </w:r>
          </w:p>
          <w:p w14:paraId="6F40F6A3" w14:textId="316118CE" w:rsidR="005643EA" w:rsidRPr="002A677E" w:rsidRDefault="002648B0" w:rsidP="008B3A5F">
            <w:pPr>
              <w:pStyle w:val="InstructionsText"/>
            </w:pPr>
            <w:r>
              <w:t>A tétel abszolút értéken jeleníti meg a szavatolótőkének az 575/2013/EU rendelet 92. cikke (1) bekezdésének c) pontjában rögzített követelményhez (8 %) viszonyított többletét vagy hiányát, vagyis nem veszi figyelembe a tőkepuffereket és a mutatóra vonatkozó átmeneti rendelkezéseket.</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Teljes-SREP-tőkekövetelmény-mutató (TSCR-mutató)</w:t>
            </w:r>
          </w:p>
          <w:p w14:paraId="7EB9D06C" w14:textId="77777777" w:rsidR="009C083D" w:rsidRPr="002A677E" w:rsidRDefault="009C083D" w:rsidP="00487A02">
            <w:pPr>
              <w:pStyle w:val="InstructionsText"/>
            </w:pPr>
            <w:r>
              <w:t>Az alábbi i. és ii. összege:</w:t>
            </w:r>
          </w:p>
          <w:p w14:paraId="397DA896" w14:textId="75016728" w:rsidR="009C083D" w:rsidRPr="002A677E" w:rsidRDefault="009C083D" w:rsidP="00487A02">
            <w:pPr>
              <w:pStyle w:val="InstructionsText"/>
              <w:numPr>
                <w:ilvl w:val="0"/>
                <w:numId w:val="20"/>
              </w:numPr>
            </w:pPr>
            <w:r>
              <w:t xml:space="preserve">az 575/2013/EU rendelet 92. cikke (1) bekezdésének c) pontjában meghatározott teljestőke-megfelelési mutató (8 %); </w:t>
            </w:r>
          </w:p>
          <w:p w14:paraId="24B944F5" w14:textId="2230B73B" w:rsidR="009C083D" w:rsidRPr="002A677E" w:rsidRDefault="009C083D" w:rsidP="00487A02">
            <w:pPr>
              <w:pStyle w:val="InstructionsText"/>
              <w:numPr>
                <w:ilvl w:val="0"/>
                <w:numId w:val="20"/>
              </w:numPr>
            </w:pPr>
            <w:r>
              <w:t>a 2013/36/EU irányelv 104. cikke (1) bekezdésének a) pontjában említett kiegészítő szavatolótőke-követelmények (2. pillér szerinti követelmények – P2R), mutatóként meghatározva. Ezeket a felügyeleti felülvizsgálati és értékelési eljárásra vonatkozó egységes eljárásokról és módszerekről és a felügyeleti stressztesztekről szóló EBH-iránymutatásokban (EBA SREP GL) meghatározott kritériumokkal összhangban kell meghatározni.</w:t>
            </w:r>
          </w:p>
          <w:p w14:paraId="729722E6" w14:textId="77777777" w:rsidR="009C083D" w:rsidRPr="002A677E" w:rsidRDefault="009C083D" w:rsidP="00487A02">
            <w:pPr>
              <w:pStyle w:val="InstructionsText"/>
            </w:pPr>
            <w:r>
              <w:t>Ebben a tételben a teljes-SREP-tőkekövetelmény-mutatót (TSCR) kell megjeleníteni, amint azt az illetékes hatóság az intézménnyel közölte. A TSCR fogalommeghatározása az EBA SREP GL 7.4. és 7.5. szakaszában található.</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Ha az illetékes hatóság nem közölt kiegészítő szavatolótőke-követelményeket, akkor csak az i. pontot kell jelenteni.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TSCR: CET1 tőkekövetelmény-mutató </w:t>
            </w:r>
          </w:p>
          <w:p w14:paraId="131D3C90" w14:textId="77777777" w:rsidR="009C083D" w:rsidRPr="002A677E" w:rsidRDefault="009C083D" w:rsidP="00487A02">
            <w:pPr>
              <w:pStyle w:val="InstructionsText"/>
            </w:pPr>
            <w:r>
              <w:t>Az alábbi i. és ii. összege:</w:t>
            </w:r>
          </w:p>
          <w:p w14:paraId="63A912BD" w14:textId="57216674" w:rsidR="009C083D" w:rsidRPr="002A677E" w:rsidRDefault="009C083D" w:rsidP="00487A02">
            <w:pPr>
              <w:pStyle w:val="InstructionsText"/>
              <w:numPr>
                <w:ilvl w:val="0"/>
                <w:numId w:val="21"/>
              </w:numPr>
            </w:pPr>
            <w:r>
              <w:t>az 575/2013/EU rendelet 92. cikke (1) bekezdésének a) pontjában meghatározott CET1 tőkemegfelelési mutató (4,5 %);</w:t>
            </w:r>
          </w:p>
          <w:p w14:paraId="6840BFDD" w14:textId="77777777" w:rsidR="0002157C" w:rsidRPr="002A677E" w:rsidRDefault="009C083D" w:rsidP="00487A02">
            <w:pPr>
              <w:pStyle w:val="InstructionsText"/>
              <w:numPr>
                <w:ilvl w:val="0"/>
                <w:numId w:val="21"/>
              </w:numPr>
              <w:rPr>
                <w:b/>
                <w:bCs/>
                <w:u w:val="single"/>
              </w:rPr>
            </w:pPr>
            <w:r>
              <w:t>a 0130-as sor ii. pontjában említett P2R mutató azon része, amely az illetékes hatóság által előírtak szerint CET1 tőke formájában tartandó.</w:t>
            </w:r>
          </w:p>
          <w:p w14:paraId="170D6E02" w14:textId="77777777" w:rsidR="009C083D" w:rsidRPr="002A677E" w:rsidRDefault="00FF2818" w:rsidP="00487A02">
            <w:pPr>
              <w:pStyle w:val="InstructionsText"/>
              <w:rPr>
                <w:rStyle w:val="InstructionsTabelleberschrift"/>
                <w:rFonts w:ascii="Times New Roman" w:hAnsi="Times New Roman"/>
                <w:sz w:val="24"/>
              </w:rPr>
            </w:pPr>
            <w:r>
              <w:lastRenderedPageBreak/>
              <w:t>Ha az illetékes hatóság nem közölt CET1 tőke formájában fenntartandó kiegészítő szavatolótőke-követelményeket, akkor csak az i. pontot kell jelenteni.</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lastRenderedPageBreak/>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T1 tőkekövetelmény-mutató</w:t>
            </w:r>
          </w:p>
          <w:p w14:paraId="4C3C74C1" w14:textId="77777777" w:rsidR="009C083D" w:rsidRPr="002A677E" w:rsidRDefault="009C083D" w:rsidP="00487A02">
            <w:pPr>
              <w:pStyle w:val="InstructionsText"/>
            </w:pPr>
            <w:r>
              <w:t>Az alábbi i. és ii. összege:</w:t>
            </w:r>
          </w:p>
          <w:p w14:paraId="4657F7D0" w14:textId="313BDB93" w:rsidR="009C083D" w:rsidRPr="002A677E" w:rsidRDefault="009C083D" w:rsidP="00487A02">
            <w:pPr>
              <w:pStyle w:val="InstructionsText"/>
              <w:numPr>
                <w:ilvl w:val="0"/>
                <w:numId w:val="22"/>
              </w:numPr>
            </w:pPr>
            <w:r>
              <w:t>az 575/2013/EU rendelet 92. cikke (1) bekezdésének b) pontjában meghatározott alapvető tőkemegfelelési mutató (T1) (6 %);</w:t>
            </w:r>
          </w:p>
          <w:p w14:paraId="37CACF63" w14:textId="77777777" w:rsidR="009C083D" w:rsidRPr="002A677E" w:rsidRDefault="009C083D" w:rsidP="00487A02">
            <w:pPr>
              <w:pStyle w:val="InstructionsText"/>
              <w:numPr>
                <w:ilvl w:val="0"/>
                <w:numId w:val="22"/>
              </w:numPr>
              <w:rPr>
                <w:bCs/>
                <w:u w:val="single"/>
              </w:rPr>
            </w:pPr>
            <w:r>
              <w:t>a 0130-as sor ii. pontjában említett P2R mutató azon része, amely az illetékes hatóság által előírtak szerint alapvető tőke formájában tartandó.</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Ha az illetékes hatóság nem közölt T1 tőke formájában fenntartandó kiegészítő szavatolótőke-követelményeket, akkor csak az i. pontot kell jelenteni.</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Teljestőkekövetelmény-mutató (OCR-mutató)</w:t>
            </w:r>
          </w:p>
          <w:p w14:paraId="5488678A" w14:textId="77777777" w:rsidR="009C083D" w:rsidRPr="002A677E" w:rsidRDefault="009C083D" w:rsidP="00487A02">
            <w:pPr>
              <w:pStyle w:val="InstructionsText"/>
            </w:pPr>
            <w:r>
              <w:t>Az alábbi i. és ii. összege:</w:t>
            </w:r>
          </w:p>
          <w:p w14:paraId="0FF8F167" w14:textId="77777777" w:rsidR="009C083D" w:rsidRPr="002A677E" w:rsidRDefault="009C083D" w:rsidP="00487A02">
            <w:pPr>
              <w:pStyle w:val="InstructionsText"/>
              <w:numPr>
                <w:ilvl w:val="0"/>
                <w:numId w:val="23"/>
              </w:numPr>
            </w:pPr>
            <w:r>
              <w:t>a 0130-as sorban említett TSCR mutató;</w:t>
            </w:r>
          </w:p>
          <w:p w14:paraId="5C51AED8" w14:textId="4B427B55" w:rsidR="009C083D" w:rsidRPr="002A677E" w:rsidRDefault="009C083D" w:rsidP="00487A02">
            <w:pPr>
              <w:pStyle w:val="InstructionsText"/>
              <w:numPr>
                <w:ilvl w:val="0"/>
                <w:numId w:val="23"/>
              </w:numPr>
            </w:pPr>
            <w:r>
              <w:t>amennyiben jogilag alkalmazható, a 2013/36/EU irányelv 128. cikkének 6. pontjában említett kombinált pufferkövetelmény mutatója.</w:t>
            </w:r>
          </w:p>
          <w:p w14:paraId="44AD77AD" w14:textId="77777777" w:rsidR="005B54BB" w:rsidRPr="002A677E" w:rsidRDefault="009C083D" w:rsidP="00487A02">
            <w:pPr>
              <w:pStyle w:val="InstructionsText"/>
            </w:pPr>
            <w:r>
              <w:t>Ebben a tételben az EBA SREP GL 7.5. szakaszában meghatározott teljestőkekövetelmény-mutatót (OCR) kell megjeleníteni.</w:t>
            </w:r>
          </w:p>
          <w:p w14:paraId="4DD4EE34" w14:textId="77777777" w:rsidR="00645573" w:rsidRPr="002A677E" w:rsidRDefault="00FF2818" w:rsidP="00487A02">
            <w:pPr>
              <w:pStyle w:val="InstructionsText"/>
              <w:rPr>
                <w:rStyle w:val="InstructionsTabelleberschrift"/>
                <w:rFonts w:ascii="Times New Roman" w:hAnsi="Times New Roman"/>
                <w:sz w:val="24"/>
              </w:rPr>
            </w:pPr>
            <w:r>
              <w:t>Ha nem alkalmazandó pufferkövetelmény, csak az i. pontot kell feltüntetni.</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CET1 tőkekövetelmény-mutató </w:t>
            </w:r>
          </w:p>
          <w:p w14:paraId="3190A351" w14:textId="77777777" w:rsidR="009C083D" w:rsidRPr="002A677E" w:rsidRDefault="009C083D" w:rsidP="00487A02">
            <w:pPr>
              <w:pStyle w:val="InstructionsText"/>
            </w:pPr>
            <w:r>
              <w:t>Az alábbi i. és ii. összege:</w:t>
            </w:r>
          </w:p>
          <w:p w14:paraId="14D63B29" w14:textId="77777777" w:rsidR="009C083D" w:rsidRPr="002A677E" w:rsidRDefault="009C083D" w:rsidP="00487A02">
            <w:pPr>
              <w:pStyle w:val="InstructionsText"/>
              <w:numPr>
                <w:ilvl w:val="0"/>
                <w:numId w:val="24"/>
              </w:numPr>
            </w:pPr>
            <w:r>
              <w:t>a 0140-es sorban említett CET1 tőkéből képzendő TSCR mutató;</w:t>
            </w:r>
          </w:p>
          <w:p w14:paraId="79A85A79" w14:textId="7B99ABDA" w:rsidR="009C083D" w:rsidRPr="002A677E" w:rsidRDefault="009C083D" w:rsidP="00487A02">
            <w:pPr>
              <w:pStyle w:val="InstructionsText"/>
              <w:numPr>
                <w:ilvl w:val="0"/>
                <w:numId w:val="24"/>
              </w:numPr>
              <w:rPr>
                <w:bCs/>
                <w:u w:val="single"/>
              </w:rPr>
            </w:pPr>
            <w:r>
              <w:t>amennyiben jogilag alkalmazható, a 2013/36/EU irányelv 128. cikkének 6. pontjában említett kombinált pufferkövetelmény mutatója.</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T1 tőkekövetelmény-mutató</w:t>
            </w:r>
          </w:p>
          <w:p w14:paraId="554AC14C" w14:textId="77777777" w:rsidR="009C083D" w:rsidRPr="002A677E" w:rsidRDefault="009C083D" w:rsidP="00487A02">
            <w:pPr>
              <w:pStyle w:val="InstructionsText"/>
            </w:pPr>
            <w:r>
              <w:t>Az alábbi i. és ii. összege:</w:t>
            </w:r>
          </w:p>
          <w:p w14:paraId="2FE66F48" w14:textId="77777777" w:rsidR="009C083D" w:rsidRPr="002A677E" w:rsidRDefault="009C083D" w:rsidP="00487A02">
            <w:pPr>
              <w:pStyle w:val="InstructionsText"/>
              <w:numPr>
                <w:ilvl w:val="0"/>
                <w:numId w:val="25"/>
              </w:numPr>
            </w:pPr>
            <w:r>
              <w:t>a 0150-es sorban említett alapvető tőkéből képzendő TSCR mutató;</w:t>
            </w:r>
          </w:p>
          <w:p w14:paraId="3647DB7F" w14:textId="55013E6D" w:rsidR="009C083D" w:rsidRPr="002A677E" w:rsidRDefault="009C083D" w:rsidP="00487A02">
            <w:pPr>
              <w:pStyle w:val="InstructionsText"/>
              <w:numPr>
                <w:ilvl w:val="0"/>
                <w:numId w:val="25"/>
              </w:numPr>
              <w:rPr>
                <w:bCs/>
                <w:u w:val="single"/>
              </w:rPr>
            </w:pPr>
            <w:r>
              <w:t>amennyiben jogilag alkalmazható, a 2013/36/EU irányelv 128. cikkének 6. pontjában említett kombinált pufferkövetelmény mutatója.</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és 2. pillér szerinti tőke-iránymutatás (P2G) tőkekövetelmény-mutató</w:t>
            </w:r>
          </w:p>
          <w:p w14:paraId="29A3CC59" w14:textId="77777777" w:rsidR="009C083D" w:rsidRPr="002A677E" w:rsidRDefault="009C083D" w:rsidP="00487A02">
            <w:pPr>
              <w:pStyle w:val="InstructionsText"/>
            </w:pPr>
            <w:r>
              <w:t>Az alábbi i. és ii. összege:</w:t>
            </w:r>
          </w:p>
          <w:p w14:paraId="0BE33E9D" w14:textId="77777777" w:rsidR="009C083D" w:rsidRPr="002A677E" w:rsidRDefault="009C083D" w:rsidP="00487A02">
            <w:pPr>
              <w:pStyle w:val="InstructionsText"/>
              <w:numPr>
                <w:ilvl w:val="0"/>
                <w:numId w:val="26"/>
              </w:numPr>
            </w:pPr>
            <w:r>
              <w:t>a 160-as sorban említett OCR mutató;</w:t>
            </w:r>
          </w:p>
          <w:p w14:paraId="27E5BD11" w14:textId="36A4C203" w:rsidR="009C083D" w:rsidRPr="002A677E" w:rsidRDefault="009C083D" w:rsidP="00487A02">
            <w:pPr>
              <w:pStyle w:val="InstructionsText"/>
              <w:numPr>
                <w:ilvl w:val="0"/>
                <w:numId w:val="26"/>
              </w:numPr>
              <w:rPr>
                <w:bCs/>
                <w:u w:val="single"/>
              </w:rPr>
            </w:pPr>
            <w:r>
              <w:t xml:space="preserve">adott esetben az illetékes hatóság által a kiegészítő szavatolótőkére vonatkozóan közölt, a 2013/36/EU irányelv104b. cikkének (3) bekezdésében említett iránymutatás (2. pillérre vonatkozó iránymutatás – </w:t>
            </w:r>
            <w:r>
              <w:lastRenderedPageBreak/>
              <w:t>P2G), mutatóként meghatározva. Ezeket az EBA SREP GL 7.7.1. szakasza szerint kell meghatározni. A P2G-t csak akkor kell feltüntetni, ha azt az illetékes hatóság közli az intézménnyel.</w:t>
            </w:r>
          </w:p>
          <w:p w14:paraId="3392F936" w14:textId="77777777" w:rsidR="0047693D" w:rsidRPr="002A677E" w:rsidRDefault="00FF2818" w:rsidP="00487A02">
            <w:pPr>
              <w:pStyle w:val="InstructionsText"/>
              <w:rPr>
                <w:rStyle w:val="InstructionsTabelleberschrift"/>
                <w:rFonts w:ascii="Times New Roman" w:hAnsi="Times New Roman"/>
                <w:b w:val="0"/>
                <w:sz w:val="24"/>
              </w:rPr>
            </w:pPr>
            <w:r>
              <w:t xml:space="preserve">Ha az illetékes hatóság nem közölt a 2. pillér szerinti tőke-iránymutatást, akkor csak az i. pontot kell jelenteni. </w:t>
            </w:r>
            <w:r>
              <w:rPr>
                <w:rStyle w:val="InstructionsTabelleberschrift"/>
                <w:rFonts w:ascii="Times New Roman" w:hAnsi="Times New Roman"/>
                <w:b w:val="0"/>
                <w:sz w:val="24"/>
              </w:rPr>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lastRenderedPageBreak/>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és P2G: CET1 tőkekövetelmény-mutató </w:t>
            </w:r>
          </w:p>
          <w:p w14:paraId="20195C97" w14:textId="77777777" w:rsidR="009C083D" w:rsidRPr="002A677E" w:rsidRDefault="009C083D" w:rsidP="00487A02">
            <w:pPr>
              <w:pStyle w:val="InstructionsText"/>
            </w:pPr>
            <w:r>
              <w:t>Az alábbi i. és ii. összege:</w:t>
            </w:r>
          </w:p>
          <w:p w14:paraId="0801BDF0" w14:textId="77777777" w:rsidR="009C083D" w:rsidRPr="002A677E" w:rsidRDefault="009C083D" w:rsidP="00487A02">
            <w:pPr>
              <w:pStyle w:val="InstructionsText"/>
              <w:numPr>
                <w:ilvl w:val="0"/>
                <w:numId w:val="27"/>
              </w:numPr>
            </w:pPr>
            <w:r>
              <w:t>a 0170-es sorban említett CET1 tőkéből képzendő OCR mutató;</w:t>
            </w:r>
          </w:p>
          <w:p w14:paraId="45E052B0" w14:textId="77777777" w:rsidR="009C083D" w:rsidRPr="002A677E" w:rsidRDefault="009C083D" w:rsidP="00487A02">
            <w:pPr>
              <w:pStyle w:val="InstructionsText"/>
              <w:numPr>
                <w:ilvl w:val="0"/>
                <w:numId w:val="27"/>
              </w:numPr>
              <w:rPr>
                <w:bCs/>
                <w:u w:val="single"/>
              </w:rPr>
            </w:pPr>
            <w:r>
              <w:t>adott esetben a 0190. sor ii. pontjában említett P2G azon része, amelyet az illetékes hatóság előírása szerint CET1 tőke formájában kell fenntartani. A P2G-t csak akkor kell feltüntetni, ha azt az illetékes hatóság közli az intézménnyel.</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Ha az illetékes hatóság nem közölt a 2. pillér szerinti tőke-iránymutatást, akkor csak az i. pontot kell jelenteni.</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és P2G: T1 tőkekövetelmény-mutató </w:t>
            </w:r>
          </w:p>
          <w:p w14:paraId="25D7BB7A" w14:textId="77777777" w:rsidR="009C083D" w:rsidRPr="002A677E" w:rsidRDefault="009C083D" w:rsidP="00487A02">
            <w:pPr>
              <w:pStyle w:val="InstructionsText"/>
            </w:pPr>
            <w:r>
              <w:t>Az alábbi i. és ii. összege:</w:t>
            </w:r>
          </w:p>
          <w:p w14:paraId="603FFBBA" w14:textId="77777777" w:rsidR="009C083D" w:rsidRPr="002A677E" w:rsidRDefault="009C083D" w:rsidP="00487A02">
            <w:pPr>
              <w:pStyle w:val="InstructionsText"/>
              <w:numPr>
                <w:ilvl w:val="0"/>
                <w:numId w:val="28"/>
              </w:numPr>
            </w:pPr>
            <w:r>
              <w:t>a 0180-as sorban említett alapvető tőkéből képzendő OCR mutató;</w:t>
            </w:r>
          </w:p>
          <w:p w14:paraId="11A9088F" w14:textId="77777777" w:rsidR="009C083D" w:rsidRPr="002A677E" w:rsidRDefault="009C083D" w:rsidP="00487A02">
            <w:pPr>
              <w:pStyle w:val="InstructionsText"/>
              <w:numPr>
                <w:ilvl w:val="0"/>
                <w:numId w:val="28"/>
              </w:numPr>
            </w:pPr>
            <w:r>
              <w:t>adott esetben a 0190-es sor ii. pontjában említett P2G azon része, amelyet az illetékes hatóság előírása szerint T1 tőke formájában kell fenntartani. A P2G-t csak akkor kell feltüntetni, ha azt az illetékes hatóság közli az intézménnyel.</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Ha az illetékes hatóság nem közölt a 2. pillér szerinti tőke-iránymutatást, akkor csak az i. pontot kell jelenteni.</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többlete (+)/hiánya (–), figyelembe véve az 575/2013/EU rendelet 92. cikkében és a 2013/36/EU irányelv 104a. cikkében foglalt követelményeket</w:t>
            </w:r>
          </w:p>
          <w:p w14:paraId="35245913" w14:textId="376454EC" w:rsidR="00477C45" w:rsidRPr="002A677E" w:rsidRDefault="00477C45" w:rsidP="00487A02">
            <w:pPr>
              <w:pStyle w:val="InstructionsText"/>
            </w:pPr>
            <w:r>
              <w:t>Ez a tétel abszolút számokban mutatja a CET1 tőkének az 575/2013/EU rendelet 92. cikke (1) bekezdésének a) pontjában (4,5 %) és a 2013/36/EU irányelv 104a. cikkében meghatározott követelményhez viszonyított többletét vagy hiányát, kivéve az említett cikk (3) bekezdése szerint a túlzott tőkeáttétel kockázatának kezeléséhez szükséges kiegészítő szavatolótőkét, amennyiben az említett irányelv 104a. cikkében foglalt követelményt CET1 tőkével kell teljesíteni. Amennyiben az intézménynek az 575/2013/EU rendelet 92. cikke (1) bekezdésének b) és/vagy c) pontjában és/vagy a 2013/36/EU irányelv 104a. cikkében foglalt követelmények teljesítéséhez az utóbbi CET1 tőkével való teljesítéséhez szükséges mértéken túl kell CET1 tőkét felhasználnia, a jelentett többletnek vagy hiánynak ezt figyelembe kell vennie.</w:t>
            </w:r>
          </w:p>
          <w:p w14:paraId="4E7A0CC3" w14:textId="77777777" w:rsidR="00477C45" w:rsidRPr="002A677E" w:rsidRDefault="00477C45" w:rsidP="00487A02">
            <w:pPr>
              <w:pStyle w:val="InstructionsText"/>
              <w:rPr>
                <w:rStyle w:val="InstructionsTabelleberschrift"/>
                <w:rFonts w:ascii="Times New Roman" w:hAnsi="Times New Roman"/>
                <w:sz w:val="24"/>
              </w:rPr>
            </w:pPr>
            <w:r>
              <w:t>Ez az összeg a kombinált pufferkövetelmény és az egyéb követelmények teljesítéséhez rendelkezésre álló CET1 tőkét tükrözi.</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t>0300</w:t>
            </w:r>
          </w:p>
        </w:tc>
        <w:tc>
          <w:tcPr>
            <w:tcW w:w="7620" w:type="dxa"/>
          </w:tcPr>
          <w:p w14:paraId="5B2ECFE5" w14:textId="77777777" w:rsidR="00845551" w:rsidRPr="002A677E" w:rsidRDefault="00845551" w:rsidP="00845551">
            <w:pPr>
              <w:pStyle w:val="InstructionsText"/>
            </w:pPr>
            <w:r>
              <w:rPr>
                <w:b/>
              </w:rPr>
              <w:t>CET1 tőkemegfelelési mutató az IFRS 9 standardra vonatkozó átmeneti rendelkezések alkalmazása nélkül</w:t>
            </w:r>
          </w:p>
          <w:p w14:paraId="2DEA708A" w14:textId="1CC23DDA" w:rsidR="00845551" w:rsidRPr="002A677E" w:rsidRDefault="00845551" w:rsidP="00566DB5">
            <w:pPr>
              <w:pStyle w:val="InstructionsText"/>
              <w:rPr>
                <w:rStyle w:val="InstructionsTabelleberschrift"/>
                <w:rFonts w:ascii="Times New Roman" w:hAnsi="Times New Roman"/>
                <w:sz w:val="24"/>
              </w:rPr>
            </w:pPr>
            <w:r>
              <w:lastRenderedPageBreak/>
              <w:t xml:space="preserve">Az 575/2013/EU rendelet 92. cikke (2) bekezdésének a) pontja és </w:t>
            </w:r>
            <w:r>
              <w:rPr>
                <w:rStyle w:val="InstructionsTabelleberschrift"/>
                <w:rFonts w:ascii="Times New Roman" w:hAnsi="Times New Roman"/>
                <w:b w:val="0"/>
                <w:sz w:val="24"/>
              </w:rPr>
              <w:t>473a. cikkének (8) bekezdése.</w:t>
            </w:r>
            <w:r>
              <w:t xml:space="preserve">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lastRenderedPageBreak/>
              <w:t>0310</w:t>
            </w:r>
          </w:p>
        </w:tc>
        <w:tc>
          <w:tcPr>
            <w:tcW w:w="7620" w:type="dxa"/>
          </w:tcPr>
          <w:p w14:paraId="6470B3D6" w14:textId="77777777" w:rsidR="00845551" w:rsidRPr="002A677E" w:rsidRDefault="00845551" w:rsidP="00845551">
            <w:pPr>
              <w:pStyle w:val="InstructionsText"/>
            </w:pPr>
            <w:r>
              <w:rPr>
                <w:b/>
              </w:rPr>
              <w:t>T1 tőkemegfelelési mutató az IFRS 9 standardra vonatkozó átmeneti rendelkezések alkalmazása nélkül</w:t>
            </w:r>
          </w:p>
          <w:p w14:paraId="52B0175F" w14:textId="0D5F16EC" w:rsidR="00845551" w:rsidRPr="002A677E" w:rsidRDefault="00845551" w:rsidP="00566DB5">
            <w:pPr>
              <w:pStyle w:val="InstructionsText"/>
              <w:rPr>
                <w:rStyle w:val="InstructionsTabelleberschrift"/>
                <w:rFonts w:ascii="Times New Roman" w:hAnsi="Times New Roman"/>
                <w:sz w:val="24"/>
              </w:rPr>
            </w:pPr>
            <w:r>
              <w:t xml:space="preserve">Az 575/2013/EU rendelet 92. cikke (2) bekezdésének b) pontja és </w:t>
            </w:r>
            <w:r>
              <w:rPr>
                <w:rStyle w:val="InstructionsTabelleberschrift"/>
                <w:rFonts w:ascii="Times New Roman" w:hAnsi="Times New Roman"/>
                <w:b w:val="0"/>
                <w:sz w:val="24"/>
              </w:rPr>
              <w:t>473a. cikkének (8) bekezdése.</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t>Teljestőke-megfelelési mutató az IFRS 9 standardra vonatkozó átmeneti rendelkezések alkalmazása nélkül</w:t>
            </w:r>
          </w:p>
          <w:p w14:paraId="38305F85" w14:textId="696A66BE" w:rsidR="00845551" w:rsidRPr="002A677E" w:rsidRDefault="00845551" w:rsidP="00566DB5">
            <w:pPr>
              <w:pStyle w:val="InstructionsText"/>
              <w:rPr>
                <w:rStyle w:val="InstructionsTabelleberschrift"/>
                <w:rFonts w:ascii="Times New Roman" w:hAnsi="Times New Roman"/>
                <w:sz w:val="24"/>
              </w:rPr>
            </w:pPr>
            <w:r>
              <w:t xml:space="preserve">Az 575/2013/EU rendelet 92. cikke (2) bekezdésének c) pontja és </w:t>
            </w:r>
            <w:r>
              <w:rPr>
                <w:rStyle w:val="InstructionsTabelleberschrift"/>
                <w:rFonts w:ascii="Times New Roman" w:hAnsi="Times New Roman"/>
                <w:b w:val="0"/>
                <w:sz w:val="24"/>
                <w:u w:val="none"/>
              </w:rPr>
              <w:t>473a. cikkének (8) bekezdése.</w:t>
            </w:r>
          </w:p>
        </w:tc>
      </w:tr>
    </w:tbl>
    <w:p w14:paraId="085054A3" w14:textId="77777777" w:rsidR="005643EA" w:rsidRPr="002A677E" w:rsidRDefault="005643EA" w:rsidP="00487A02">
      <w:pPr>
        <w:pStyle w:val="InstructionsText"/>
      </w:pPr>
    </w:p>
    <w:p w14:paraId="0CCBB7E0" w14:textId="111A4DB4"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116039883"/>
      <w:bookmarkStart w:id="60" w:name="_Toc308175830"/>
      <w:bookmarkStart w:id="61" w:name="_Toc360188331"/>
      <w:r>
        <w:rPr>
          <w:rFonts w:ascii="Times New Roman" w:hAnsi="Times New Roman"/>
          <w:sz w:val="24"/>
          <w:u w:val="none"/>
        </w:rPr>
        <w:t>1.5.</w:t>
      </w:r>
      <w:r>
        <w:rPr>
          <w:rFonts w:ascii="Times New Roman" w:hAnsi="Times New Roman"/>
          <w:sz w:val="24"/>
          <w:u w:val="none"/>
        </w:rPr>
        <w:tab/>
      </w:r>
      <w:r>
        <w:rPr>
          <w:rFonts w:ascii="Times New Roman" w:hAnsi="Times New Roman"/>
          <w:sz w:val="24"/>
        </w:rPr>
        <w:t>C 04.00 – TÁJÉKOZTATÓ ADATOK (CA4)</w:t>
      </w:r>
      <w:bookmarkEnd w:id="58"/>
      <w:bookmarkEnd w:id="59"/>
      <w:r>
        <w:rPr>
          <w:rFonts w:ascii="Times New Roman" w:hAnsi="Times New Roman"/>
          <w:sz w:val="24"/>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6039884"/>
      <w:r>
        <w:rPr>
          <w:rFonts w:ascii="Times New Roman" w:hAnsi="Times New Roman"/>
          <w:sz w:val="24"/>
          <w:u w:val="none"/>
        </w:rPr>
        <w:t>1.5.1.</w:t>
      </w:r>
      <w:r>
        <w:rPr>
          <w:rFonts w:ascii="Times New Roman" w:hAnsi="Times New Roman"/>
          <w:sz w:val="24"/>
          <w:u w:val="none"/>
        </w:rPr>
        <w:tab/>
      </w:r>
      <w:r>
        <w:rPr>
          <w:rFonts w:ascii="Times New Roman" w:hAnsi="Times New Roman"/>
          <w:sz w:val="24"/>
        </w:rPr>
        <w:t xml:space="preserve">Az egyes pozíciókra vonatkozó </w:t>
      </w:r>
      <w:bookmarkEnd w:id="62"/>
      <w:bookmarkEnd w:id="63"/>
      <w:r>
        <w:rPr>
          <w:rFonts w:ascii="Times New Roman" w:hAnsi="Times New Roman"/>
          <w:sz w:val="24"/>
        </w:rPr>
        <w:t>útmutató</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Sorok</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Halasztott adókövetelések összesen</w:t>
            </w:r>
          </w:p>
          <w:p w14:paraId="064512C3" w14:textId="77777777" w:rsidR="005643EA" w:rsidRPr="002A677E" w:rsidRDefault="002648B0" w:rsidP="00487A02">
            <w:pPr>
              <w:pStyle w:val="InstructionsText"/>
            </w:pPr>
            <w:r>
              <w:t>Az e tételben megadott érték megegyezik a legújabb ellenőrzött/hitelesített számviteli mérlegben szereplő összeggel.</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Nem a jövőbeli nyereségtől függően érvényesíthető halasztott adókövetelések</w:t>
            </w:r>
          </w:p>
          <w:p w14:paraId="481999B0" w14:textId="679F3E5B" w:rsidR="005643EA" w:rsidRPr="002A677E" w:rsidRDefault="002648B0" w:rsidP="00487A02">
            <w:pPr>
              <w:pStyle w:val="InstructionsText"/>
            </w:pPr>
            <w:r>
              <w:t>Az 575/2013/EU rendelet 39. cikkének (2) bekezdése.</w:t>
            </w:r>
          </w:p>
          <w:p w14:paraId="1929DFCA" w14:textId="77777777" w:rsidR="005643EA" w:rsidRPr="002A677E" w:rsidRDefault="002648B0" w:rsidP="00487A02">
            <w:pPr>
              <w:pStyle w:val="InstructionsText"/>
            </w:pPr>
            <w:r>
              <w:t>A 2016. november 23. előtt keletkezett és nem a jövőbeli nyereségtől függően érvényesíthető halasztott adókövetelések, amelyekre kockázati súlyt kell alkalmazni.</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Jövőbeli nyereségtől függően érvényesíthető, nem átmeneti különbözetből eredő halasztott adókövetelések</w:t>
            </w:r>
          </w:p>
          <w:p w14:paraId="42A728ED" w14:textId="133D3776" w:rsidR="005643EA" w:rsidRPr="002A677E" w:rsidRDefault="002648B0" w:rsidP="00487A02">
            <w:pPr>
              <w:pStyle w:val="InstructionsText"/>
            </w:pPr>
            <w:r>
              <w:t>Az 575/2013/EU rendelet 36. cikke (1) bekezdésének c) pontja és 38. cikke.</w:t>
            </w:r>
          </w:p>
          <w:p w14:paraId="21D9DB00" w14:textId="77777777" w:rsidR="005643EA" w:rsidRPr="002A677E" w:rsidRDefault="002648B0" w:rsidP="00487A02">
            <w:pPr>
              <w:pStyle w:val="InstructionsText"/>
            </w:pPr>
            <w:r>
              <w:t>Jövőbeli nyereségtől függően érvényesíthető halasztott adókövetelések, amelyek nem átmeneti különbözetből erednek, így küszöbérték nem vonatkozik rájuk, vagyis a CET1 tőkéből teljes összegben levonandók.</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Jövőbeli nyereségtől függően érvényesíthető, átmeneti különbözetből eredő halasztott adókövetelések</w:t>
            </w:r>
          </w:p>
          <w:p w14:paraId="5D01C3C3" w14:textId="62CB8DD1" w:rsidR="005643EA" w:rsidRPr="002A677E" w:rsidRDefault="002648B0" w:rsidP="00487A02">
            <w:pPr>
              <w:pStyle w:val="InstructionsText"/>
            </w:pPr>
            <w:r>
              <w:t>Az 575/2013/EU rendelet 36. cikke (1) bekezdésének c) pontja; Az 575/2013/EU rendelet 38. cikke és 48. cikke (1) bekezdésének a) pontja.</w:t>
            </w:r>
          </w:p>
          <w:p w14:paraId="27BFEBDB" w14:textId="16F9AD1A" w:rsidR="005643EA" w:rsidRPr="002A677E" w:rsidRDefault="002648B0" w:rsidP="00487A02">
            <w:pPr>
              <w:pStyle w:val="InstructionsText"/>
            </w:pPr>
            <w:r>
              <w:lastRenderedPageBreak/>
              <w:t>Jövőbeli nyereségtől függően érvényesíthető halasztott adókövetelések, amelyek átmeneti különbözetből erednek, így a CET1 tőkéből való levonásukkor az 575/2013/EU rendelet 48. cikkében rögzített 10 %, illetve 17,65 %-os küszöbértéket kell alkalmazni.</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lastRenderedPageBreak/>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Halasztott adókötelezettségek összesen</w:t>
            </w:r>
          </w:p>
          <w:p w14:paraId="67FF7D87" w14:textId="77777777" w:rsidR="005643EA" w:rsidRPr="002A677E" w:rsidRDefault="002648B0" w:rsidP="00487A02">
            <w:pPr>
              <w:pStyle w:val="InstructionsText"/>
            </w:pPr>
            <w:r>
              <w:t>Az e tételben megadott érték megegyezik a legutóbbi ellenőrzött/hitelesített számviteli mérlegben szereplő összeggel.</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Jövőbeli nyereségtől függően érvényesíthető, halasztott adókövetelésekhez kapcsolódó, nem levonható halasztott adókötelezettségek</w:t>
            </w:r>
          </w:p>
          <w:p w14:paraId="738C6A5B" w14:textId="4E264CBF" w:rsidR="005643EA" w:rsidRPr="002A677E" w:rsidRDefault="002648B0" w:rsidP="00487A02">
            <w:pPr>
              <w:pStyle w:val="InstructionsText"/>
            </w:pPr>
            <w:r>
              <w:t>Az 575/2013/EU rendelet 38. cikkének (3) és (4) bekezdése.</w:t>
            </w:r>
          </w:p>
          <w:p w14:paraId="6CD92B54" w14:textId="0C8632BB" w:rsidR="005643EA" w:rsidRPr="002A677E" w:rsidRDefault="002648B0" w:rsidP="00F42FE9">
            <w:pPr>
              <w:pStyle w:val="InstructionsText"/>
            </w:pPr>
            <w:r>
              <w:t>Azok a halasztott adókötelezettségek, amelyek esetében az 575/2013/EU rendelet 38. cikkének (3) és (4) bekezdésében foglalt feltételek nem teljesülnek. Így a tétel magában foglalja az olyan halasztott adókötelezettségeket, amelyek csökkentik a levonandó cégérték, egyéb immateriális eszközök vagy meghatározott szolgáltatást nyújtó nyugdíjalapban lévő eszközöknek az 1.1.1.10.3., 1.1.1.11.2., illetve 1.1.1.14.2. CA1-tételben megadott összegét.</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Jövőbeli nyereségtől függően érvényesíthető, halasztott adókövetelésekhez kapcsolódó, levonható halasztott adókötelezettségek</w:t>
            </w:r>
          </w:p>
          <w:p w14:paraId="74A43E2C" w14:textId="1354F76B" w:rsidR="005643EA" w:rsidRPr="002A677E" w:rsidRDefault="002648B0" w:rsidP="00487A02">
            <w:pPr>
              <w:pStyle w:val="InstructionsText"/>
            </w:pPr>
            <w:r>
              <w:t>Az 575/2013/EU rendelet 38. cikke.</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Nem átmeneti különbözetből eredő, jövőbeli nyereségtől függően érvényesíthető, halasztott adókövetelésekhez kapcsolódó, levonható halasztott adókötelezettségek</w:t>
            </w:r>
          </w:p>
          <w:p w14:paraId="322BE481" w14:textId="56FC411A" w:rsidR="005643EA" w:rsidRPr="002A677E" w:rsidRDefault="002648B0" w:rsidP="00487A02">
            <w:pPr>
              <w:pStyle w:val="InstructionsText"/>
            </w:pPr>
            <w:r>
              <w:t>Az 575/2013/EU rendelet 38. cikkének (3), (4) és (5) bekezdése.</w:t>
            </w:r>
          </w:p>
          <w:p w14:paraId="58E9ED0C" w14:textId="63A518DD" w:rsidR="005643EA" w:rsidRPr="002A677E" w:rsidRDefault="002648B0" w:rsidP="00F42FE9">
            <w:pPr>
              <w:pStyle w:val="InstructionsText"/>
            </w:pPr>
            <w:r>
              <w:t>Azon halasztott adókötelezettségek, amelyek az 575/2013/EU rendelet 38. cikkének (3) és (4) bekezdése szerint csökkenthetik a jövőbeli nyereségtől függően érvényesíthető halasztott adókövetelések összegét, és az 575/2013/EU rendelet 38. cikkének (5) bekezdése értelmében nem tartoznak az átmeneti különbözetből eredő, jövőbeli nyereségtől függően érvényesíthető halasztott adókövetelésekhez.</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Átmeneti különbözetből eredő, jövőbeli nyereségtől függően érvényesíthető, halasztott adókövetelésekhez kapcsolódó, levonható halasztott adókötelezettségek</w:t>
            </w:r>
          </w:p>
          <w:p w14:paraId="7363CE15" w14:textId="52BCF912" w:rsidR="005643EA" w:rsidRPr="002A677E" w:rsidRDefault="002648B0" w:rsidP="00487A02">
            <w:pPr>
              <w:pStyle w:val="InstructionsText"/>
            </w:pPr>
            <w:r>
              <w:t>Az 575/2013/EU rendelet 38. cikkének (3), (4) és (5) bekezdése.</w:t>
            </w:r>
          </w:p>
          <w:p w14:paraId="56E5FD8E" w14:textId="7212393D" w:rsidR="005643EA" w:rsidRPr="002A677E" w:rsidRDefault="002648B0" w:rsidP="00F42FE9">
            <w:pPr>
              <w:pStyle w:val="InstructionsText"/>
            </w:pPr>
            <w:r>
              <w:t>Azon halasztott adókötelezettségek, amelyek az 575/2013/EU rendelet 38. cikkének (3) és (4) bekezdése szerint csökkenthetik a jövőbeli nyereségtől függően érvényesíthető halasztott adókövetelések összegét, és az 575/2013/EU rendelet 38. cikkének (5) bekezdése értelmében az átmeneti különbözetből eredő, jövőbeli nyereségtől függően érvényesíthető halasztott adókövetelésekhez tartoznak.</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Adótúlfizetések és negatív adóalaphoz kapcsolódó visszakönyvelések</w:t>
            </w:r>
          </w:p>
          <w:p w14:paraId="1695947D" w14:textId="402ABB2B" w:rsidR="00550113" w:rsidRPr="002A677E" w:rsidRDefault="00201704" w:rsidP="00487A02">
            <w:pPr>
              <w:pStyle w:val="InstructionsText"/>
            </w:pPr>
            <w:r>
              <w:lastRenderedPageBreak/>
              <w:t>Az 575/2013/EU rendelet 39. cikkének (1) bekezdése.</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Az adótúlfizetések és negatív adóalaphoz kapcsolódó visszakönyvelések azon összege, amelyet az 575/2013/EU rendelet 39. cikke (1) bekezdésének megfelelően nem vonnak le a szavatolótőkéből; a feltüntetett összeg a kockázati súlyok alkalmazása előtti összeg.</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lastRenderedPageBreak/>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250 %-os kockázati súlyú halasztott adókövetelések</w:t>
            </w:r>
          </w:p>
          <w:p w14:paraId="3250EE36" w14:textId="3E7D2DF5" w:rsidR="00DF65DF" w:rsidRPr="002A677E" w:rsidRDefault="00201704" w:rsidP="00487A02">
            <w:pPr>
              <w:pStyle w:val="InstructionsText"/>
            </w:pPr>
            <w:r>
              <w:t>Az 575/2013/EU rendelet 48. cikkének (4) bekezdése.</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az 575/2013/EU rendelet 48. cikke (1) bekezdésének megfelelően nem vonnak le, de amelyekre az említett rendelet 48. cikkének (4) bekezdése értelmében 250 %-os kockázati súly alkalmazható, figyelembe véve ugyanezen rendelet 470. cikkének, 473a. cikke (7) bekezdése a) pontjának és 478. cikke (2) bekezdésének a hatását. A feltüntetett összeg a halasztott adókövetelések kockázati súlyok alkalmazása előtti összege.</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0 %-os kockázati súlyú halasztott adókövetelések</w:t>
            </w:r>
          </w:p>
          <w:p w14:paraId="76CA7E3C" w14:textId="13DAD1AF" w:rsidR="00DF65DF" w:rsidRPr="002A677E" w:rsidRDefault="00DF65DF" w:rsidP="00487A02">
            <w:pPr>
              <w:pStyle w:val="InstructionsText"/>
            </w:pPr>
            <w:r>
              <w:t>Az 575/2013/EU rendelet 469. cikke (1) bekezdésének d) pontja, 470. cikke, 472. cikkének (5) bekezdése és 478. cikke.</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az 575/2013/EU rendelet 469. cikke (1) bekezdése d) pontjának, 470. cikkének, 473a. cikke (7) bekezdése a) pontjának és 478. cikke (2) bekezdésének megfelelően nem vonnak le, de amelyekre az 575/2013/EU rendelet 472. cikkének (5) bekezdése értelmében 0 %-os kockázati súly alkalmazható. A feltüntetett összeg a halasztott adókövetelések kockázati súlyok alkalmazása előtti összege.</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 CET1 tőkéből való levonás alól mentesített immateriális eszközként elszámolt szoftvereszközök</w:t>
            </w:r>
          </w:p>
          <w:p w14:paraId="44F69E3F" w14:textId="12F20E44" w:rsidR="00674BF5" w:rsidRPr="002A677E" w:rsidRDefault="00674BF5" w:rsidP="00487A02">
            <w:pPr>
              <w:pStyle w:val="InstructionsText"/>
            </w:pPr>
            <w:r>
              <w:t>Az 575/2013/EU rendelet 36. cikke (1) bekezdésének b) pontja.</w:t>
            </w:r>
          </w:p>
          <w:p w14:paraId="4421B226" w14:textId="053A16CD" w:rsidR="00674BF5" w:rsidRPr="002A677E" w:rsidRDefault="00674BF5" w:rsidP="00487A02">
            <w:pPr>
              <w:pStyle w:val="InstructionsText"/>
              <w:rPr>
                <w:rStyle w:val="InstructionsTabelleberschrift"/>
                <w:rFonts w:ascii="Times New Roman" w:hAnsi="Times New Roman"/>
                <w:sz w:val="24"/>
              </w:rPr>
            </w:pPr>
            <w:r>
              <w:t>Az intézményeknek a 241/2014/EU felhatalmazáson alapuló rendelet 13a. cikkével összhangban a CET1 tőkeelemekből való levonás alól mentesített, a prudenciális értékelésbe bevont szoftvereszközök értékét kell feltüntetniük.</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Az alkalmazandó számviteli szabályozás szerint saját tőkének minősülő AT1 tőkeinstrumentumok és a kapcsolódó ázsió</w:t>
            </w:r>
          </w:p>
          <w:p w14:paraId="30206890" w14:textId="77777777" w:rsidR="00674BF5" w:rsidRPr="002A677E" w:rsidRDefault="00674BF5" w:rsidP="00487A02">
            <w:pPr>
              <w:pStyle w:val="InstructionsText"/>
              <w:rPr>
                <w:rStyle w:val="InstructionsTabelleberschrift"/>
                <w:rFonts w:ascii="Times New Roman" w:hAnsi="Times New Roman"/>
                <w:sz w:val="24"/>
              </w:rPr>
            </w:pPr>
            <w:r>
              <w:t>Az alkalmazandó számviteli szabályozás szerint saját tőkeként besorolt AT1 tőkeinstrumentumok összege, beleértve a kapcsolódó ázsiókat is.</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Az alkalmazandó számviteli szabályozás szerint kötelezettségnek minősülő AT1 tőkeinstrumentumok és a kapcsolódó ázsió</w:t>
            </w:r>
          </w:p>
          <w:p w14:paraId="79E6E78E" w14:textId="77777777" w:rsidR="00674BF5" w:rsidRPr="002A677E" w:rsidRDefault="00674BF5" w:rsidP="00487A02">
            <w:pPr>
              <w:pStyle w:val="InstructionsText"/>
              <w:rPr>
                <w:rStyle w:val="InstructionsTabelleberschrift"/>
                <w:rFonts w:ascii="Times New Roman" w:hAnsi="Times New Roman"/>
                <w:sz w:val="24"/>
              </w:rPr>
            </w:pPr>
            <w:r>
              <w:t>Az alkalmazandó számviteli szabályozás szerint kötelezettségként besorolt AT1 tőkeinstrumentumok összege, beleértve a kapcsolódó ázsiókat is.</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lastRenderedPageBreak/>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Hitelkockázati kiigazítások és a kiegészítő értékelési korrekciók, valamint az egyéb szavatolótőke-csökkentések IRB módszerrel számított többlete (+) vagy hiánya (–) a várható veszteséghez viszonyítva, teljesítő kitettségek esetén</w:t>
            </w:r>
          </w:p>
          <w:p w14:paraId="30E72DCC" w14:textId="0C5B1A18" w:rsidR="00674BF5" w:rsidRPr="002A677E" w:rsidRDefault="00674BF5" w:rsidP="00487A02">
            <w:pPr>
              <w:pStyle w:val="InstructionsText"/>
            </w:pPr>
            <w:r>
              <w:t>Az 575/2013/EU rendelet 36. cikke (1) bekezdésének d) pontja, 62. cikkének d) pontja, 158. és 159. cikke.</w:t>
            </w:r>
          </w:p>
          <w:p w14:paraId="2FD4B9C9" w14:textId="77777777" w:rsidR="00674BF5" w:rsidRPr="002A677E" w:rsidRDefault="00674BF5" w:rsidP="00487A02">
            <w:pPr>
              <w:pStyle w:val="InstructionsText"/>
            </w:pPr>
            <w:r>
              <w:t>A tételt kizárólag az IRB módszert alkalmazó intézményeknek kell megadniuk.</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A hitelkockázati kiigazítások és a kiegészítő értékelési korrekciók, valamint az egyéb szavatolótőke-csökkentések teljes, a várható veszteség kiszámításakor figyelembe vehető összege</w:t>
            </w:r>
          </w:p>
          <w:p w14:paraId="4C89842E" w14:textId="1E04C145" w:rsidR="00674BF5" w:rsidRPr="002A677E" w:rsidRDefault="00674BF5" w:rsidP="00487A02">
            <w:pPr>
              <w:pStyle w:val="InstructionsText"/>
            </w:pPr>
            <w:r>
              <w:t>Az 575/2013/EU rendelet 159. cikke.</w:t>
            </w:r>
          </w:p>
          <w:p w14:paraId="52A0ACC8" w14:textId="77777777" w:rsidR="00674BF5" w:rsidRPr="002A677E" w:rsidRDefault="00674BF5" w:rsidP="00487A02">
            <w:pPr>
              <w:pStyle w:val="InstructionsText"/>
            </w:pPr>
            <w:r>
              <w:t>A tételt kizárólag az IRB módszert alkalmazó intézményeknek kell megadniuk.</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Általános hitelkockázati kiigazítások</w:t>
            </w:r>
          </w:p>
          <w:p w14:paraId="0F1C0767" w14:textId="37773089" w:rsidR="00674BF5" w:rsidRPr="002A677E" w:rsidRDefault="00674BF5" w:rsidP="00487A02">
            <w:pPr>
              <w:pStyle w:val="InstructionsText"/>
            </w:pPr>
            <w:r>
              <w:t>Az 575/2013/EU rendelet 159. cikke.</w:t>
            </w:r>
          </w:p>
          <w:p w14:paraId="4154ADBE" w14:textId="77777777" w:rsidR="00674BF5" w:rsidRPr="002A677E" w:rsidRDefault="00674BF5" w:rsidP="00487A02">
            <w:pPr>
              <w:pStyle w:val="InstructionsText"/>
            </w:pPr>
            <w:r>
              <w:t>A tételt kizárólag az IRB módszert alkalmazó intézményeknek kell megadniuk.</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Egyedi hitelkockázati kiigazítások</w:t>
            </w:r>
          </w:p>
          <w:p w14:paraId="224BBAEC" w14:textId="728DC1A5" w:rsidR="00674BF5" w:rsidRPr="002A677E" w:rsidRDefault="00674BF5" w:rsidP="00487A02">
            <w:pPr>
              <w:pStyle w:val="InstructionsText"/>
            </w:pPr>
            <w:r>
              <w:t>Az 575/2013/EU rendelet 159. cikke.</w:t>
            </w:r>
          </w:p>
          <w:p w14:paraId="4E4EA60F" w14:textId="77777777" w:rsidR="00674BF5" w:rsidRPr="002A677E" w:rsidRDefault="00674BF5" w:rsidP="00487A02">
            <w:pPr>
              <w:pStyle w:val="InstructionsText"/>
            </w:pPr>
            <w:r>
              <w:t>A tételt kizárólag az IRB módszert alkalmazó intézményeknek kell megadniuk.</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Kiegészítő értékelési korrekciók és egyéb szavatolótőke-csökkentések</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Az 575/2013/EU rendelet 34., 110. és 159. cikke.</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Figyelembe vehető várható veszteségek összesen </w:t>
            </w:r>
          </w:p>
          <w:p w14:paraId="4E24DA26" w14:textId="6A6436F3" w:rsidR="00674BF5" w:rsidRPr="002A677E" w:rsidRDefault="00674BF5" w:rsidP="00487A02">
            <w:pPr>
              <w:pStyle w:val="InstructionsText"/>
            </w:pPr>
            <w:r>
              <w:t>Az 575/2013/EU rendelet 158. cikkének (5), (6) és (10) bekezdése és 159. cikke.</w:t>
            </w:r>
          </w:p>
          <w:p w14:paraId="76D1C43C" w14:textId="77777777" w:rsidR="00674BF5" w:rsidRPr="002A677E" w:rsidRDefault="00674BF5" w:rsidP="00487A02">
            <w:pPr>
              <w:pStyle w:val="InstructionsText"/>
            </w:pPr>
            <w:r>
              <w:t>A tételt kizárólag az IRB módszert alkalmazó intézményeknek kell megadniuk. Kizárólag a teljesítő kitettségekhez kapcsolódó várható veszteségek adhatók meg.</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Az egyedi hitelkockázati kiigazítások IRB módszerrel számított többlete (+) vagy hiánya (–) a várható veszteséghez viszonyítva, nemteljesítő kitettségek esetén</w:t>
            </w:r>
          </w:p>
          <w:p w14:paraId="27D461A9" w14:textId="6B30E426" w:rsidR="00674BF5" w:rsidRPr="002A677E" w:rsidRDefault="00674BF5" w:rsidP="00487A02">
            <w:pPr>
              <w:pStyle w:val="InstructionsText"/>
            </w:pPr>
            <w:r>
              <w:t>Az 575/2013/EU rendelet 36. cikke (1) bekezdésének d) pontja, 62. cikkének d) pontja, 158. és 159. cikke.</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lastRenderedPageBreak/>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Hasonló módon kezelt egyedi hitelkockázati kiigazítások és pozíciók</w:t>
            </w:r>
          </w:p>
          <w:p w14:paraId="43A68A00" w14:textId="4DAD7839" w:rsidR="00674BF5" w:rsidRPr="002A677E" w:rsidRDefault="00674BF5" w:rsidP="00487A02">
            <w:pPr>
              <w:pStyle w:val="InstructionsText"/>
            </w:pPr>
            <w:r>
              <w:t>Az 575/2013/EU rendelet 159. cikke.</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Figyelembe vehető várható veszteségek összesen</w:t>
            </w:r>
          </w:p>
          <w:p w14:paraId="13C1AF08" w14:textId="7E12E6AE" w:rsidR="00674BF5" w:rsidRPr="002A677E" w:rsidRDefault="00674BF5" w:rsidP="00487A02">
            <w:pPr>
              <w:pStyle w:val="InstructionsText"/>
              <w:rPr>
                <w:rStyle w:val="InstructionsTabelleberschrift"/>
                <w:rFonts w:ascii="Times New Roman" w:hAnsi="Times New Roman"/>
                <w:sz w:val="24"/>
              </w:rPr>
            </w:pPr>
            <w:r>
              <w:t>Az 575/2013/EU rendelet 158. cikkének (5), (6) és (10) bekezdése és 159. cikke.</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tételt kizárólag az IRB módszert alkalmazó intézményeknek kell megadniuk. Kizárólag a nemteljesítő kitettségekhez kapcsolódó várható veszteségek adhatók meg.</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Kockázattal súlyozott kitettségérték a T2 tőkeként figyelembe vehető céltartaléktöbblet felső határának kiszámításához</w:t>
            </w:r>
          </w:p>
          <w:p w14:paraId="73903EE6" w14:textId="6755FB1C" w:rsidR="00674BF5" w:rsidRPr="002A677E" w:rsidRDefault="00674BF5" w:rsidP="00487A02">
            <w:pPr>
              <w:pStyle w:val="InstructionsText"/>
            </w:pPr>
            <w:r>
              <w:t>Az 575/2013/EU rendelet 62. cikkének d) pontja.</w:t>
            </w:r>
          </w:p>
          <w:p w14:paraId="7FC9FB95" w14:textId="6063557E" w:rsidR="00674BF5" w:rsidRPr="002A677E" w:rsidRDefault="00674BF5" w:rsidP="00487A02">
            <w:pPr>
              <w:pStyle w:val="InstructionsText"/>
            </w:pPr>
            <w:r>
              <w:t>Az IRB módszert alkalmazó intézmények esetében a céltartalékoknak a várható veszteségek feletti összege az IRB módszerrel kiszámított kockázattal súlyozott kitettségértékek legfeljebb 0,6 %-áig számíthatók be a T2 tőkébe az 575/2013/EU rendelet 62. cikke d) pontjának megfelelően.</w:t>
            </w:r>
          </w:p>
          <w:p w14:paraId="02C5710E" w14:textId="5DD39A5D" w:rsidR="00674BF5" w:rsidRPr="002A677E" w:rsidRDefault="00674BF5" w:rsidP="00487A02">
            <w:pPr>
              <w:pStyle w:val="InstructionsText"/>
            </w:pPr>
            <w:r>
              <w:t>Az ebben a tételben feltüntetendő érték a kockázattal súlyozott kitettségérték (a 0,6 %-os szorzó alkalmazása nélkül), amelyen a felső határ számítása alapul.</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A T2 tőkébe beszámítható bruttó céltartalékok összesen</w:t>
            </w:r>
          </w:p>
          <w:p w14:paraId="1E001C6E" w14:textId="31F46F2D" w:rsidR="00674BF5" w:rsidRPr="002A677E" w:rsidRDefault="00674BF5" w:rsidP="00487A02">
            <w:pPr>
              <w:pStyle w:val="InstructionsText"/>
            </w:pPr>
            <w:r>
              <w:t>Az 575/2013/EU rendelet 62. cikkének c) pontja.</w:t>
            </w:r>
          </w:p>
          <w:p w14:paraId="054F6F39" w14:textId="77777777" w:rsidR="00674BF5" w:rsidRPr="002A677E" w:rsidRDefault="00674BF5" w:rsidP="00487A02">
            <w:pPr>
              <w:pStyle w:val="InstructionsText"/>
            </w:pPr>
            <w:r>
              <w:t>A tétel azokat az általános hitelkockázati kiigazításokat foglalja magában, amelyeknek a felső határ alatti része beszámítható a T2 tőkébe.</w:t>
            </w:r>
          </w:p>
          <w:p w14:paraId="536A8737" w14:textId="77777777" w:rsidR="00674BF5" w:rsidRPr="002A677E" w:rsidRDefault="00674BF5" w:rsidP="00487A02">
            <w:pPr>
              <w:pStyle w:val="InstructionsText"/>
            </w:pPr>
            <w:r>
              <w:t>A feltüntetendő értéknek tartalmaznia kell az adóhatásokat is.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Kockázattal súlyozott kitettségérték a T2 tőkeként figyelembe vehető céltartalék felső határának kiszámításához</w:t>
            </w:r>
          </w:p>
          <w:p w14:paraId="4E8EDB11" w14:textId="0959D742" w:rsidR="00674BF5" w:rsidRPr="002A677E" w:rsidRDefault="00674BF5" w:rsidP="00487A02">
            <w:pPr>
              <w:pStyle w:val="InstructionsText"/>
            </w:pPr>
            <w:r>
              <w:t>Az 575/2013/EU rendelet 62. cikkének c) pontja.</w:t>
            </w:r>
          </w:p>
          <w:p w14:paraId="5976FED4" w14:textId="5B9E55FC" w:rsidR="00674BF5" w:rsidRPr="002A677E" w:rsidRDefault="00674BF5" w:rsidP="00487A02">
            <w:pPr>
              <w:pStyle w:val="InstructionsText"/>
            </w:pPr>
            <w:r>
              <w:t>Az 575/2013/EU rendelet 62. cikkének c) pontja alapján a hitelkockázati kiigazítások a kockázattal súlyozott kitettségértékek legfeljebb 1,25 %-áig számíthatók be a T2 tőkébe.</w:t>
            </w:r>
          </w:p>
          <w:p w14:paraId="451AFB2F" w14:textId="6455831B" w:rsidR="00674BF5" w:rsidRPr="002A677E" w:rsidRDefault="00674BF5" w:rsidP="00487A02">
            <w:pPr>
              <w:pStyle w:val="InstructionsText"/>
            </w:pPr>
            <w:r>
              <w:t>Az ebben a tételben feltüntetendő érték a kockázattal súlyozott kitettségérték (az 1,25 %-os szorzó alkalmazása nélkül), amelyen a felső határ számítása alapul.</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Pénzügyi ágazatbeli szervezetekben lévő részesedések nem levonható részének küszöbértéke, ha az intézmény nem rendelkezik jelentős befektetéssel az említett vállalkozásokban</w:t>
            </w:r>
          </w:p>
          <w:p w14:paraId="2577F674" w14:textId="51F693D9" w:rsidR="00674BF5" w:rsidRPr="002A677E" w:rsidRDefault="00674BF5" w:rsidP="00487A02">
            <w:pPr>
              <w:pStyle w:val="InstructionsText"/>
            </w:pPr>
            <w:r>
              <w:t>Az 575/2013/EU rendelet 46. cikke (1) bekezdésének a) pontja.</w:t>
            </w:r>
          </w:p>
          <w:p w14:paraId="063689F3" w14:textId="3A81A5C8" w:rsidR="00674BF5" w:rsidRPr="002A677E" w:rsidRDefault="00674BF5" w:rsidP="00487A02">
            <w:pPr>
              <w:pStyle w:val="InstructionsText"/>
            </w:pPr>
            <w:r>
              <w:lastRenderedPageBreak/>
              <w:t>A tétel azt a küszöbértéket tartalmazza, amely alatt a pénzügyi ágazatbeli szervezetekben lévő részesedések levonására nem kerül sor, ha az intézmény nem rendelkezik jelentős befektetéssel az említett vállalkozásokban. Az érték a küszöbérték számításánál alapul vett értékek összege, szorozva 10 %-kal.</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lastRenderedPageBreak/>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A CET1 tőkére vonatkozóan rögzített 10 %-os küszöbérték </w:t>
            </w:r>
          </w:p>
          <w:p w14:paraId="654AD885" w14:textId="7B92D0FB" w:rsidR="00674BF5" w:rsidRPr="002A677E" w:rsidRDefault="00674BF5" w:rsidP="00487A02">
            <w:pPr>
              <w:pStyle w:val="InstructionsText"/>
            </w:pPr>
            <w:r>
              <w:t>Az 575/2013/EU rendelet 48. cikke (1) bekezdésének a) és b) pontja.</w:t>
            </w:r>
          </w:p>
          <w:p w14:paraId="0361524B" w14:textId="15843BAD" w:rsidR="00674BF5" w:rsidRPr="002A677E" w:rsidRDefault="00674BF5" w:rsidP="00487A02">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10 %-os küszöbértéket tartalmazza.</w:t>
            </w:r>
          </w:p>
          <w:p w14:paraId="479EB0E8" w14:textId="0CF20FC7" w:rsidR="00674BF5" w:rsidRPr="002A677E" w:rsidRDefault="00674BF5" w:rsidP="00487A02">
            <w:pPr>
              <w:pStyle w:val="InstructionsText"/>
            </w:pPr>
            <w:r>
              <w:t>Az érték a küszöbérték számításánál alapul vett értékek összege, szorozva 10 %-kal.</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A CET1 tőkére vonatkozóan rögzített 17,65 %-os küszöbérték </w:t>
            </w:r>
          </w:p>
          <w:p w14:paraId="1D5CF966" w14:textId="41AEB2C7" w:rsidR="00674BF5" w:rsidRPr="002A677E" w:rsidRDefault="00674BF5" w:rsidP="00487A02">
            <w:pPr>
              <w:pStyle w:val="InstructionsText"/>
            </w:pPr>
            <w:r>
              <w:t>Az 575/2013/EU rendelet 48. cikkének (1) bekezdése.</w:t>
            </w:r>
          </w:p>
          <w:p w14:paraId="12D87189" w14:textId="3D53F40C" w:rsidR="00674BF5" w:rsidRPr="002A677E" w:rsidRDefault="00674BF5" w:rsidP="00487A02">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17,65 %-os küszöbértéket tartalmazza, amelyet a 10 %-os küszöbérték után kell alkalmazni.</w:t>
            </w:r>
          </w:p>
          <w:p w14:paraId="14884015" w14:textId="35F6C84F" w:rsidR="00674BF5" w:rsidRPr="002A677E" w:rsidRDefault="00674BF5" w:rsidP="00487A02">
            <w:pPr>
              <w:pStyle w:val="InstructionsText"/>
            </w:pPr>
            <w:r>
              <w:t>A küszöbértéket úgy kell kiszámítani, hogy a két megjelenített tétel összege nem haladja meg az összes levonás után, az átmeneti rendelkezésekből eredő kiigazítások nélkül számított végső elsődleges alapvető tőke, azaz CET1 tőke 15 %-át.</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Pénzügyi ágazaton kívüli befolyásoló részesedés szempontjából figyelembe vehető szavatolótőke</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Az 575/2013/EU rendelet 4. cikke (1) bekezdése 71. pontja a) pontja.</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Pénzügyi ágazatbeli szervezetek CET1 tőkéjében lévő részesedések, ha az intézmény nem rendelkezik jelentős befektetéssel az említett vállalkozásokban, a rövid pozíciók levonásával</w:t>
            </w:r>
          </w:p>
          <w:p w14:paraId="2254EDFA" w14:textId="6ED60496" w:rsidR="00674BF5" w:rsidRPr="002A677E" w:rsidRDefault="00674BF5" w:rsidP="00487A02">
            <w:pPr>
              <w:pStyle w:val="InstructionsText"/>
            </w:pPr>
            <w:r>
              <w:t>Az 575/2013/EU rendelet 44., 45., 46. és 49. cikke.</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Pénzügyi ágazatbeli szervezetek CET1 tőkéjében lévő közvetlen részesedések, ha az intézmény nem rendelkezik jelentős befektetéssel az említett vállalkozásokban</w:t>
            </w:r>
          </w:p>
          <w:p w14:paraId="659E1D80" w14:textId="237AE88D" w:rsidR="00674BF5" w:rsidRPr="002A677E" w:rsidRDefault="00674BF5" w:rsidP="00487A02">
            <w:pPr>
              <w:pStyle w:val="InstructionsText"/>
            </w:pPr>
            <w:r>
              <w:t>Az 575/2013/EU rendelet 44., 45., 46. és 49. cikke.</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Pénzügyi ágazatbeli szervezetek CET1 tőkéjében lévő bruttó közvetlen részesedések, ha az intézmény nem rendelkezik jelentős befektetéssel az említett vállalkozásokban</w:t>
            </w:r>
          </w:p>
          <w:p w14:paraId="13ECC0FA" w14:textId="3D383F04" w:rsidR="00674BF5" w:rsidRPr="002A677E" w:rsidRDefault="00674BF5" w:rsidP="00487A02">
            <w:pPr>
              <w:pStyle w:val="InstructionsText"/>
            </w:pPr>
            <w:r>
              <w:t>Az 575/2013/EU rendelet 44., 46. és 49. cikke.</w:t>
            </w:r>
          </w:p>
          <w:p w14:paraId="7CB3E9B2" w14:textId="77777777" w:rsidR="00674BF5" w:rsidRPr="002A677E" w:rsidRDefault="00674BF5" w:rsidP="00487A02">
            <w:pPr>
              <w:pStyle w:val="InstructionsText"/>
            </w:pPr>
            <w:r>
              <w:lastRenderedPageBreak/>
              <w:t>Pénzügyi ágazatbeli szervezetek elsődleges alapvető tőkéjében (CET1) lévő közvetlen részesedések, ha az intézmény nem rendelkezik jelentős befektetéssel az említett vállalkozásokban, az alábbiak kivételével:</w:t>
            </w:r>
          </w:p>
          <w:p w14:paraId="1D194F52" w14:textId="77777777" w:rsidR="00674BF5" w:rsidRPr="002A677E" w:rsidRDefault="00674BF5" w:rsidP="00487A02">
            <w:pPr>
              <w:pStyle w:val="InstructionsText"/>
            </w:pPr>
            <w:r>
              <w:t>a)</w:t>
            </w:r>
            <w:r>
              <w:tab/>
              <w:t xml:space="preserve">az öt munkanapig vagy annál rövidebb ideig tartott, jegyzési garanciavállalásból eredő pozíciók; </w:t>
            </w:r>
          </w:p>
          <w:p w14:paraId="6F04C7CA" w14:textId="77777777" w:rsidR="00674BF5" w:rsidRPr="002A677E" w:rsidRDefault="00674BF5" w:rsidP="00487A02">
            <w:pPr>
              <w:pStyle w:val="InstructionsText"/>
            </w:pPr>
            <w:r>
              <w:t>b)</w:t>
            </w:r>
            <w:r>
              <w:tab/>
              <w:t xml:space="preserve">olyan befektetéshez kapcsolódó összegek, amelyekre a 49. cikkben felsorolt alternatívák valamelyikét alkalmazzák; valamint </w:t>
            </w:r>
          </w:p>
          <w:p w14:paraId="257189C5" w14:textId="2F9D0145" w:rsidR="00674BF5" w:rsidRPr="002A677E" w:rsidRDefault="00674BF5" w:rsidP="00F42FE9">
            <w:pPr>
              <w:pStyle w:val="InstructionsText"/>
            </w:pPr>
            <w:r>
              <w:t>c)</w:t>
            </w:r>
            <w:r>
              <w:tab/>
              <w:t>az 575/2013/EU rendelet 36. cikke (1) bekezdésének g) pontja alapján kölcsönös részesedésként kezelt részesedések</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lastRenderedPageBreak/>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A fent figyelembe vett bruttó közvetlen részesedésekkel kapcsolatban megengedett kiegyenlítő rövid pozíciók</w:t>
            </w:r>
          </w:p>
          <w:p w14:paraId="75CB2494" w14:textId="7EF123DE" w:rsidR="00674BF5" w:rsidRPr="002A677E" w:rsidRDefault="00674BF5" w:rsidP="00487A02">
            <w:pPr>
              <w:pStyle w:val="InstructionsText"/>
            </w:pPr>
            <w:r>
              <w:t>Az 575/2013/EU rendelet 45. cikke.</w:t>
            </w:r>
          </w:p>
          <w:p w14:paraId="0D472F64" w14:textId="1ADE327D" w:rsidR="00674BF5" w:rsidRPr="002A677E" w:rsidRDefault="00674BF5" w:rsidP="00487A02">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Pénzügyi ágazatbeli szervezetek CET1 tőkéjében lévő közvetett részesedések, ha az intézmény nem rendelkezik jelentős befektetéssel az említett vállalkozásokban</w:t>
            </w:r>
          </w:p>
          <w:p w14:paraId="358D5E9A" w14:textId="1938647C" w:rsidR="00674BF5" w:rsidRPr="002A677E" w:rsidRDefault="00674BF5" w:rsidP="00487A02">
            <w:pPr>
              <w:pStyle w:val="InstructionsText"/>
            </w:pPr>
            <w:r>
              <w:t>Az 575/2013/EU rendelet 4. cikke (1) bekezdésének 114. pontja, valamint 44. és 45. cikke.</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Pénzügyi ágazatbeli szervezetek CET1 tőkéjében lévő bruttó közvetett részesedések, ha az intézmény nem rendelkezik jelentős befektetéssel az említett vállalkozásokban</w:t>
            </w:r>
          </w:p>
          <w:p w14:paraId="2732B6AD" w14:textId="2373A48B" w:rsidR="00674BF5" w:rsidRPr="002A677E" w:rsidRDefault="00674BF5" w:rsidP="00487A02">
            <w:pPr>
              <w:pStyle w:val="InstructionsText"/>
            </w:pPr>
            <w:r>
              <w:t>Az 575/2013/EU rendelet 4. cikke (1) bekezdésének 114. pontja, valamint 44. és 45. cikke.</w:t>
            </w:r>
          </w:p>
          <w:p w14:paraId="5F96C9B6" w14:textId="77777777" w:rsidR="00674BF5" w:rsidRPr="002A677E"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36C5342B" w14:textId="35468E22" w:rsidR="00674BF5" w:rsidRPr="002A677E" w:rsidRDefault="00674BF5" w:rsidP="00F42FE9">
            <w:pPr>
              <w:pStyle w:val="InstructionsText"/>
            </w:pPr>
            <w:r>
              <w:t>Az 575/2013/EU rendelet 36. cikke (1) bekezdésének g) pontja alapján kölcsönös részesedésként kezelt részesedések nem számíthatók be.</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A fent figyelembe vett bruttó közvetett részesedésekkel kapcsolatban megengedett kiegyenlítő rövid pozíciók</w:t>
            </w:r>
          </w:p>
          <w:p w14:paraId="7BD0D59F" w14:textId="267C2484" w:rsidR="00674BF5" w:rsidRPr="002A677E" w:rsidRDefault="00674BF5" w:rsidP="00487A02">
            <w:pPr>
              <w:pStyle w:val="InstructionsText"/>
            </w:pPr>
            <w:r>
              <w:t>Az 575/2013/EU rendelet 4. cikke (1) bekezdésének 114. pontja és 45. cikke.</w:t>
            </w:r>
          </w:p>
          <w:p w14:paraId="15A025FB" w14:textId="4BED0C50" w:rsidR="00674BF5" w:rsidRPr="002A677E" w:rsidRDefault="00674BF5" w:rsidP="00487A02">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lastRenderedPageBreak/>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Pénzügyi ágazatbeli szervezetek CET1 tőkéjében lévő szintetikus részesedések, ha az intézmény nem rendelkezik jelentős befektetéssel az említett vállalkozásokban</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t>Az 575/2013/EU rendelet 4. cikke (1) bekezdésének 126. pontja, valamint 44. és 45. cikke.</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Pénzügyi ágazatbeli szervezetek CET1 tőkéjében lévő bruttó szintetikus részesedések, ha az intézmény nem rendelkezik jelentős befektetéssel az említett vállalkozásokban</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Az 575/2013/EU rendelet 4. cikke (1) bekezdésének 126. pontja, valamint 44. és 45. cikke.</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A fent figyelembe vett bruttó szintetikus részesedésekkel kapcsolatban megengedett kiegyenlítő rövid pozíciók</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4. cikke (1) bekezdésének 126. pontja és 45. cikke.</w:t>
            </w:r>
          </w:p>
          <w:p w14:paraId="2BF58BE0" w14:textId="5FFE44BC" w:rsidR="002D31E5" w:rsidRPr="002A677E" w:rsidRDefault="002D31E5" w:rsidP="00712F56">
            <w:pPr>
              <w:pStyle w:val="InstructionsText"/>
              <w:rPr>
                <w:rStyle w:val="InstructionsTabelleberschrift"/>
                <w:rFonts w:ascii="Times New Roman" w:hAnsi="Times New Roman"/>
                <w:b w:val="0"/>
                <w:sz w:val="24"/>
                <w:u w:val="none"/>
              </w:rPr>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Pénzügyi ágazatbeli szervezetek AT1 tőkéjében lévő részesedések, ha az intézmény nem rendelkezik jelentős befektetéssel az említett vállalkozásokban, a rövid pozíciók levonásával</w:t>
            </w:r>
          </w:p>
          <w:p w14:paraId="3A7268AA" w14:textId="49E10BA0" w:rsidR="00674BF5" w:rsidRPr="002A677E" w:rsidRDefault="00674BF5" w:rsidP="00487A02">
            <w:pPr>
              <w:pStyle w:val="InstructionsText"/>
            </w:pPr>
            <w:r>
              <w:t>Az 575/2013/EU rendelet 58., 59. és 60. cikke.</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Pénzügyi ágazatbeli szervezetek AT1 tőkéjében lévő közvetlen részesedések, ha az intézmény nem rendelkezik jelentős befektetéssel az említett vállalkozásokban</w:t>
            </w:r>
          </w:p>
          <w:p w14:paraId="12F9644D" w14:textId="5987CE2B" w:rsidR="00674BF5" w:rsidRPr="002A677E" w:rsidRDefault="00674BF5" w:rsidP="00487A02">
            <w:pPr>
              <w:pStyle w:val="InstructionsText"/>
            </w:pPr>
            <w:r>
              <w:t>Az 575/2013/EU rendelet 58., 59. cikke és 60. cikkének (2) bekezdése.</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Pénzügyi ágazatbeli szervezetek AT1 tőkéjében lévő bruttó közvetlen részesedések, ha az intézmény nem rendelkezik jelentős befektetéssel az említett vállalkozásokban</w:t>
            </w:r>
          </w:p>
          <w:p w14:paraId="7DF04F57" w14:textId="49FD27AE" w:rsidR="00674BF5" w:rsidRPr="002A677E" w:rsidRDefault="00674BF5" w:rsidP="00487A02">
            <w:pPr>
              <w:pStyle w:val="InstructionsText"/>
            </w:pPr>
            <w:r>
              <w:t>Az 575/2013/EU rendelet 58. cikke és 60. cikkének (2) bekezdése.</w:t>
            </w:r>
          </w:p>
          <w:p w14:paraId="0720C102" w14:textId="77777777" w:rsidR="00674BF5" w:rsidRPr="002A677E" w:rsidRDefault="00674BF5" w:rsidP="00487A02">
            <w:pPr>
              <w:pStyle w:val="InstructionsText"/>
            </w:pPr>
            <w:r>
              <w:t>Pénzügyi ágazatbeli szervezetek elsődleges alapvető tőkéjében (AT1) lévő közvetlen részesedések, ha az intézmény nem rendelkezik jelentős befektetéssel az említett vállalkozásokban, az alábbiak kivételével:</w:t>
            </w:r>
          </w:p>
          <w:p w14:paraId="0E991BB5" w14:textId="77777777" w:rsidR="00674BF5" w:rsidRPr="002A677E" w:rsidRDefault="00674BF5" w:rsidP="00487A02">
            <w:pPr>
              <w:pStyle w:val="InstructionsText"/>
            </w:pPr>
            <w:r>
              <w:t>a)</w:t>
            </w:r>
            <w:r>
              <w:tab/>
              <w:t xml:space="preserve">az öt munkanapig vagy annál rövidebb ideig tartott, jegyzési garanciavállalásból eredő pozíciók; valamint </w:t>
            </w:r>
          </w:p>
          <w:p w14:paraId="22C8A827" w14:textId="6B1A0CC2" w:rsidR="00674BF5" w:rsidRPr="002A677E" w:rsidRDefault="00674BF5" w:rsidP="00F42FE9">
            <w:pPr>
              <w:pStyle w:val="InstructionsText"/>
            </w:pPr>
            <w:r>
              <w:t>b)</w:t>
            </w:r>
            <w:r>
              <w:tab/>
              <w:t>Az 575/2013/EU rendelet 56. cikkének b) pontja alapján kölcsönös részesedésként kezelt részesedések</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A fent figyelembe vett bruttó közvetlen részesedésekkel kapcsolatban megengedett kiegyenlítő rövid pozíciók</w:t>
            </w:r>
          </w:p>
          <w:p w14:paraId="37E8F418" w14:textId="62C37997" w:rsidR="00674BF5" w:rsidRPr="002A677E" w:rsidRDefault="00674BF5" w:rsidP="00487A02">
            <w:pPr>
              <w:pStyle w:val="InstructionsText"/>
            </w:pPr>
            <w:r>
              <w:t>Az 575/2013/EU rendelet 59. cikke.</w:t>
            </w:r>
          </w:p>
          <w:p w14:paraId="7EE8FF1A" w14:textId="389FBAD0" w:rsidR="00674BF5" w:rsidRPr="002A677E" w:rsidRDefault="00674BF5" w:rsidP="00487A02">
            <w:pPr>
              <w:pStyle w:val="InstructionsText"/>
            </w:pPr>
            <w:r>
              <w:t xml:space="preserve">Az 575/2013/EU rendelet 59. cikkének a) pontja megengedi az azonos alapul szolgáló kitettségen belüli kiegyenlítő rövid pozíciókat akkor, ha </w:t>
            </w:r>
            <w:r>
              <w:lastRenderedPageBreak/>
              <w:t>a rövid pozíció lejárata azonos a hosszú pozíció lejáratával vagy annál későbbi, vagy a rövid pozíció hátralévő futamideje legalább egy év.</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lastRenderedPageBreak/>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Pénzügyi ágazatbeli szervezetek AT1 tőkéjében lévő közvetett részesedések, ha az intézmény nem rendelkezik jelentős befektetéssel az említett vállalkozásokban</w:t>
            </w:r>
          </w:p>
          <w:p w14:paraId="59B259D6" w14:textId="42283C0C" w:rsidR="00674BF5" w:rsidRPr="002A677E" w:rsidRDefault="00674BF5" w:rsidP="00487A02">
            <w:pPr>
              <w:pStyle w:val="InstructionsText"/>
            </w:pPr>
            <w:r>
              <w:t>Az 575/2013/EU rendelet 4. cikke (1) bekezdésének 114. pontja, valamint 58. és 59. cikke.</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Pénzügyi ágazatbeli szervezetek AT1 tőkéjében lévő bruttó közvetett részesedések, ha az intézmény nem rendelkezik jelentős befektetéssel az említett vállalkozásokban</w:t>
            </w:r>
          </w:p>
          <w:p w14:paraId="43E165CB" w14:textId="1C9481DC" w:rsidR="00674BF5" w:rsidRPr="002A677E" w:rsidRDefault="00674BF5" w:rsidP="00487A02">
            <w:pPr>
              <w:pStyle w:val="InstructionsText"/>
            </w:pPr>
            <w:r>
              <w:t>Az 575/2013/EU rendelet 4. cikke (1) bekezdésének 114. pontja, valamint 58. és 59. cikke.</w:t>
            </w:r>
          </w:p>
          <w:p w14:paraId="390AEC9F" w14:textId="77777777" w:rsidR="00674BF5" w:rsidRPr="002A677E"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73245B5D" w14:textId="6168684F" w:rsidR="00674BF5" w:rsidRPr="002A677E" w:rsidRDefault="00674BF5" w:rsidP="00F42FE9">
            <w:pPr>
              <w:pStyle w:val="InstructionsText"/>
            </w:pPr>
            <w:r>
              <w:t>Az 575/2013/EU rendelet 56. cikkének b) pontja alapján kölcsönös részesedésként kezelt részesedések nem számíthatók be.</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A fent figyelembe vett bruttó közvetett részesedésekkel kapcsolatban megengedett kiegyenlítő rövid pozíciók</w:t>
            </w:r>
          </w:p>
          <w:p w14:paraId="4C6BA351" w14:textId="7D768606" w:rsidR="00674BF5" w:rsidRPr="002A677E" w:rsidRDefault="00674BF5" w:rsidP="00487A02">
            <w:pPr>
              <w:pStyle w:val="InstructionsText"/>
            </w:pPr>
            <w:r>
              <w:t>Az 575/2013/EU rendelet 4. cikke (1) bekezdésének 114. pontja és 59. cikke.</w:t>
            </w:r>
          </w:p>
          <w:p w14:paraId="5865285A" w14:textId="62CE8139" w:rsidR="00674BF5" w:rsidRPr="002A677E" w:rsidRDefault="00674BF5" w:rsidP="00487A02">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Pénzügyi ágazatbeli szervezetek AT1 tőkéjében lévő szintetikus részesedések, ha az intézmény nem rendelkezik jelentős befektetéssel az említett vállalkozásokban</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Pénzügyi ágazatbeli szervezetek AT1 tőkéjében lévő bruttó szintetikus részesedések, ha az intézmény nem rendelkezik jelentős befektetéssel az említett vállalkozásokban</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A fent figyelembe vett bruttó szintetikus részesedésekkel kapcsolatban megengedett kiegyenlítő rövid pozíciók</w:t>
            </w:r>
          </w:p>
          <w:p w14:paraId="7150C7D0" w14:textId="13A1C8FA" w:rsidR="00674BF5" w:rsidRPr="002A677E" w:rsidRDefault="00674BF5" w:rsidP="00487A02">
            <w:pPr>
              <w:pStyle w:val="InstructionsText"/>
            </w:pPr>
            <w:r>
              <w:t>Az 575/2013/EU rendelet 4. cikke (1) bekezdésének 126. pontja és 59. cikke.</w:t>
            </w:r>
          </w:p>
          <w:p w14:paraId="430E6934" w14:textId="2740425F" w:rsidR="002D31E5" w:rsidRPr="002A677E" w:rsidRDefault="002D31E5" w:rsidP="000D04B6">
            <w:pPr>
              <w:pStyle w:val="InstructionsText"/>
              <w:rPr>
                <w:rStyle w:val="InstructionsTabelleberschrift"/>
                <w:rFonts w:ascii="Times New Roman" w:hAnsi="Times New Roman"/>
                <w:b w:val="0"/>
                <w:bCs w:val="0"/>
                <w:sz w:val="24"/>
                <w:u w:val="none"/>
              </w:rPr>
            </w:pPr>
            <w:r>
              <w:lastRenderedPageBreak/>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lastRenderedPageBreak/>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Pénzügyi ágazatbeli szervezetek T2 tőkéjében lévő részesedések, ha az intézmény nem rendelkezik jelentős befektetéssel az említett vállalkozásokban, a rövid pozíciók levonásával</w:t>
            </w:r>
          </w:p>
          <w:p w14:paraId="224C7B55" w14:textId="04A9F028" w:rsidR="00674BF5" w:rsidRPr="002A677E" w:rsidRDefault="00674BF5" w:rsidP="00487A02">
            <w:pPr>
              <w:pStyle w:val="InstructionsText"/>
            </w:pPr>
            <w:r>
              <w:t>Az 575/2013/EU rendelet 68., 69. és 70. cikke.</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Pénzügyi ágazatbeli szervezetek T2 tőkéjében lévő közvetlen részesedések, ha az intézmény nem rendelkezik jelentős befektetéssel az említett vállalkozásokban</w:t>
            </w:r>
          </w:p>
          <w:p w14:paraId="30F375DF" w14:textId="066ED473" w:rsidR="00674BF5" w:rsidRPr="002A677E" w:rsidRDefault="00674BF5" w:rsidP="00487A02">
            <w:pPr>
              <w:pStyle w:val="InstructionsText"/>
            </w:pPr>
            <w:r>
              <w:t>Az 575/2013/EU rendelet 68., 69. cikke és 70. cikkének (2) bekezdése.</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Pénzügyi ágazatbeli szervezetek T2 tőkéjében lévő bruttó közvetlen részesedések, ha az intézmény nem rendelkezik jelentős befektetéssel az említett vállalkozásokban</w:t>
            </w:r>
          </w:p>
          <w:p w14:paraId="7E8958A2" w14:textId="64D8EFCE" w:rsidR="00674BF5" w:rsidRPr="002A677E" w:rsidRDefault="00674BF5" w:rsidP="00487A02">
            <w:pPr>
              <w:pStyle w:val="InstructionsText"/>
            </w:pPr>
            <w:r>
              <w:t>Az 575/2013/EU rendelet 68. cikke és 70. cikkének (2) bekezdése.</w:t>
            </w:r>
          </w:p>
          <w:p w14:paraId="761A3E27" w14:textId="77777777" w:rsidR="00674BF5" w:rsidRPr="002A677E" w:rsidRDefault="00674BF5" w:rsidP="00487A02">
            <w:pPr>
              <w:pStyle w:val="InstructionsText"/>
            </w:pPr>
            <w:r>
              <w:t>Pénzügyi ágazatbeli szervezetek elsődleges alapvető tőkéjében (T2) lévő közvetlen részesedések, ha az intézmény nem rendelkezik jelentős befektetéssel az említett vállalkozásokban, az alábbiak kivételével:</w:t>
            </w:r>
          </w:p>
          <w:p w14:paraId="67CF4F62" w14:textId="77777777" w:rsidR="00674BF5" w:rsidRPr="002A677E" w:rsidRDefault="00674BF5" w:rsidP="00487A02">
            <w:pPr>
              <w:pStyle w:val="InstructionsText"/>
            </w:pPr>
            <w:r>
              <w:t>a)</w:t>
            </w:r>
            <w:r>
              <w:tab/>
              <w:t xml:space="preserve">az öt munkanapig vagy annál rövidebb ideig tartott, jegyzési garanciavállalásból eredő pozíciók; valamint </w:t>
            </w:r>
          </w:p>
          <w:p w14:paraId="17254E20" w14:textId="47008087" w:rsidR="00674BF5" w:rsidRPr="002A677E" w:rsidRDefault="00674BF5" w:rsidP="0049092A">
            <w:pPr>
              <w:pStyle w:val="InstructionsText"/>
            </w:pPr>
            <w:r>
              <w:t>b)</w:t>
            </w:r>
            <w:r>
              <w:tab/>
              <w:t>Az 575/2013/EU rendelet 66. cikkének b) pontja alapján kölcsönös részesedésként kezelt részesedések</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A fent figyelembe vett bruttó közvetlen részesedésekkel kapcsolatban megengedett kiegyenlítő rövid pozíciók</w:t>
            </w:r>
          </w:p>
          <w:p w14:paraId="7BF2A908" w14:textId="5CFE62B1" w:rsidR="00674BF5" w:rsidRPr="002A677E" w:rsidRDefault="00674BF5" w:rsidP="00487A02">
            <w:pPr>
              <w:pStyle w:val="InstructionsText"/>
            </w:pPr>
            <w:r>
              <w:t>Az 575/2013/EU rendelet 69. cikke.</w:t>
            </w:r>
          </w:p>
          <w:p w14:paraId="274B938A" w14:textId="673F081B" w:rsidR="00674BF5" w:rsidRPr="002A677E" w:rsidRDefault="00674BF5" w:rsidP="00487A02">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Pénzügyi ágazatbeli szervezetek T2 tőkéjében lévő közvetett részesedések, ha az intézmény nem rendelkezik jelentős befektetéssel az említett vállalkozásokban</w:t>
            </w:r>
          </w:p>
          <w:p w14:paraId="43041074" w14:textId="40A7E374" w:rsidR="00674BF5" w:rsidRPr="002A677E" w:rsidRDefault="00674BF5" w:rsidP="0049092A">
            <w:pPr>
              <w:pStyle w:val="InstructionsText"/>
            </w:pPr>
            <w:r>
              <w:t>Az 575/2013/EU rendelet 4. cikke (1) bekezdésének 114. pontja, valamint 68. és 69. cikke.</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Pénzügyi ágazatbeli szervezetek T2 tőkéjében lévő bruttó közvetett részesedések, ha az intézmény nem rendelkezik jelentős befektetéssel az említett vállalkozásokban</w:t>
            </w:r>
          </w:p>
          <w:p w14:paraId="7AA5A636" w14:textId="03CDC1AB" w:rsidR="00674BF5" w:rsidRPr="002A677E" w:rsidRDefault="0049092A" w:rsidP="00487A02">
            <w:pPr>
              <w:pStyle w:val="InstructionsText"/>
            </w:pPr>
            <w:r>
              <w:t>Az 575/2013/EU rendelet 4. cikke (1) bekezdésének 114. pontja, valamint 68. és 69. cikke.</w:t>
            </w:r>
          </w:p>
          <w:p w14:paraId="3FE65871" w14:textId="77777777" w:rsidR="00674BF5" w:rsidRPr="002A677E" w:rsidRDefault="00674BF5" w:rsidP="00487A02">
            <w:pPr>
              <w:pStyle w:val="InstructionsText"/>
            </w:pPr>
            <w:r>
              <w:lastRenderedPageBreak/>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02DBB428" w14:textId="794F87B1" w:rsidR="00674BF5" w:rsidRPr="002A677E" w:rsidRDefault="00674BF5" w:rsidP="00487A02">
            <w:pPr>
              <w:pStyle w:val="InstructionsText"/>
            </w:pPr>
            <w:r>
              <w:t>Az 575/2013/EU rendelet 66. cikkének b) pontja alapján kölcsönös részesedésként kezelt részesedések nem számíthatók be.</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lastRenderedPageBreak/>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A fent figyelembe vett bruttó közvetett részesedésekkel kapcsolatban megengedett kiegyenlítő rövid pozíciók</w:t>
            </w:r>
          </w:p>
          <w:p w14:paraId="6B7BF87B" w14:textId="004DC404" w:rsidR="00674BF5" w:rsidRPr="002A677E" w:rsidRDefault="0049092A" w:rsidP="00487A02">
            <w:pPr>
              <w:pStyle w:val="InstructionsText"/>
            </w:pPr>
            <w:r>
              <w:t>Az 575/2013/EU rendelet 4. cikke (1) bekezdésének 114. pontja és 69. cikke.</w:t>
            </w:r>
          </w:p>
          <w:p w14:paraId="0DF8664C" w14:textId="7826EC97" w:rsidR="00674BF5" w:rsidRPr="002A677E" w:rsidRDefault="00674BF5" w:rsidP="00487A02">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Pénzügyi ágazatbeli szervezetek T2 tőkéjében lévő szintetikus részesedések, ha az intézmény nem rendelkezik jelentős befektetéssel az említett vállalkozásokban</w:t>
            </w:r>
          </w:p>
          <w:p w14:paraId="5911CD95" w14:textId="6AE05024" w:rsidR="00674BF5" w:rsidRPr="002A677E" w:rsidRDefault="00674BF5" w:rsidP="00487A02">
            <w:pPr>
              <w:pStyle w:val="InstructionsText"/>
              <w:rPr>
                <w:rStyle w:val="InstructionsTabelleberschrift"/>
                <w:rFonts w:ascii="Times New Roman" w:hAnsi="Times New Roman"/>
                <w:sz w:val="24"/>
              </w:rPr>
            </w:pPr>
            <w:r>
              <w:t>Az 575/2013/EU rendelet 4. cikke (1) bekezdésének 126. pontja, valamint 68. és 69. cikke.</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Pénzügyi ágazatbeli szervezetek T2 tőkéjében lévő bruttó szintetikus részesedések, ha az intézmény nem rendelkezik jelentős befektetéssel az említett vállalkozásokban</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A fent figyelembe vett bruttó szintetikus részesedésekkel kapcsolatban megengedett kiegyenlítő rövid pozíciók</w:t>
            </w:r>
          </w:p>
          <w:p w14:paraId="28087537" w14:textId="078B7F83" w:rsidR="00674BF5" w:rsidRPr="002A677E" w:rsidRDefault="0049092A" w:rsidP="00487A02">
            <w:pPr>
              <w:pStyle w:val="InstructionsText"/>
            </w:pPr>
            <w:r>
              <w:t>Az 575/2013/EU rendelet 4. cikke (1) bekezdésének 126. pontja és 69. cikke.</w:t>
            </w:r>
          </w:p>
          <w:p w14:paraId="67857B5F" w14:textId="084F5592" w:rsidR="002D31E5" w:rsidRPr="002A677E" w:rsidRDefault="002D31E5" w:rsidP="000D04B6">
            <w:pPr>
              <w:pStyle w:val="InstructionsText"/>
              <w:rPr>
                <w:rStyle w:val="InstructionsTabelleberschrift"/>
                <w:rFonts w:ascii="Times New Roman" w:hAnsi="Times New Roman"/>
                <w:b w:val="0"/>
                <w:bCs w:val="0"/>
                <w:sz w:val="24"/>
                <w:u w:val="none"/>
              </w:rPr>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Pénzügyi ágazatbeli szervezetek CET1 tőkéjében lévő részesedések, ha az intézmény jelentős befektetéssel rendelkezik az említett vállalkozásokban, a rövid pozíciók levonásával</w:t>
            </w:r>
          </w:p>
          <w:p w14:paraId="6B37F020" w14:textId="644EC406" w:rsidR="00674BF5" w:rsidRPr="002A677E" w:rsidRDefault="00674BF5" w:rsidP="00487A02">
            <w:pPr>
              <w:pStyle w:val="InstructionsText"/>
            </w:pPr>
            <w:r>
              <w:t>Az 575/2013/EU rendelet 44., 45., 47. és 49. cikke.</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Pénzügyi ágazatbeli szervezetek CET1 tőkéjében lévő közvetlen részesedések, ha az intézmény jelentős befektetéssel rendelkezik az említett vállalkozásokban</w:t>
            </w:r>
          </w:p>
          <w:p w14:paraId="5F45543E" w14:textId="3CC2FAFD" w:rsidR="00674BF5" w:rsidRPr="002A677E" w:rsidRDefault="00674BF5" w:rsidP="00487A02">
            <w:pPr>
              <w:pStyle w:val="InstructionsText"/>
            </w:pPr>
            <w:r>
              <w:t>Az 575/2013/EU rendelet 44., 45., 47. és 49. cikke.</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lastRenderedPageBreak/>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Pénzügyi ágazatbeli szervezetek CET1 tőkéjében lévő bruttó közvetlen részesedések, ha az intézmény jelentős befektetéssel rendelkezik az említett vállalkozásokban</w:t>
            </w:r>
          </w:p>
          <w:p w14:paraId="6D7C87B8" w14:textId="1F238977" w:rsidR="00674BF5" w:rsidRPr="002A677E" w:rsidRDefault="00674BF5" w:rsidP="00487A02">
            <w:pPr>
              <w:pStyle w:val="InstructionsText"/>
            </w:pPr>
            <w:r>
              <w:t>Az 575/2013/EU rendelet 44., 45., 47. és 49. cikke.</w:t>
            </w:r>
          </w:p>
          <w:p w14:paraId="5D6F7E46" w14:textId="77777777" w:rsidR="00674BF5" w:rsidRPr="002A677E" w:rsidRDefault="00674BF5" w:rsidP="00487A02">
            <w:pPr>
              <w:pStyle w:val="InstructionsText"/>
            </w:pPr>
            <w:r>
              <w:t>Pénzügyi ágazatbeli szervezetek CET1 tőkéjében lévő közvetlen részesedések, ha az intézmény jelentős befektetéssel rendelkezik az említett vállalkozásokban, az alábbiak kivételével:</w:t>
            </w:r>
          </w:p>
          <w:p w14:paraId="194C3AF1" w14:textId="77777777" w:rsidR="00674BF5" w:rsidRPr="002A677E" w:rsidRDefault="00674BF5" w:rsidP="00487A02">
            <w:pPr>
              <w:pStyle w:val="InstructionsText"/>
            </w:pPr>
            <w:r>
              <w:t>a)</w:t>
            </w:r>
            <w:r>
              <w:tab/>
              <w:t xml:space="preserve">az öt munkanapig vagy annál rövidebb ideig tartott, jegyzési garanciavállalásból eredő pozíciók; </w:t>
            </w:r>
          </w:p>
          <w:p w14:paraId="1C7DFE87" w14:textId="77777777" w:rsidR="00674BF5" w:rsidRPr="002A677E" w:rsidRDefault="00674BF5" w:rsidP="00487A02">
            <w:pPr>
              <w:pStyle w:val="InstructionsText"/>
            </w:pPr>
            <w:r>
              <w:t>b)</w:t>
            </w:r>
            <w:r>
              <w:tab/>
              <w:t xml:space="preserve">olyan befektetéshez kapcsolódó összegek, amelyekre a 49. cikkben felsorolt alternatívák valamelyikét alkalmazzák; valamint </w:t>
            </w:r>
          </w:p>
          <w:p w14:paraId="289A45C1" w14:textId="6EC76E90" w:rsidR="00674BF5" w:rsidRPr="002A677E" w:rsidRDefault="00674BF5" w:rsidP="0049092A">
            <w:pPr>
              <w:pStyle w:val="InstructionsText"/>
            </w:pPr>
            <w:r>
              <w:t>c)</w:t>
            </w:r>
            <w:r>
              <w:tab/>
              <w:t>az 575/2013/EU rendelet 36. cikke (1) bekezdésének g) pontja alapján kölcsönös részesedésként kezelt részesedések</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A fent figyelembe vett bruttó közvetlen részesedésekkel kapcsolatban megengedett kiegyenlítő rövid pozíciók</w:t>
            </w:r>
          </w:p>
          <w:p w14:paraId="10FC314D" w14:textId="136D8EAB" w:rsidR="00674BF5" w:rsidRPr="002A677E" w:rsidRDefault="00674BF5" w:rsidP="00487A02">
            <w:pPr>
              <w:pStyle w:val="InstructionsText"/>
            </w:pPr>
            <w:r>
              <w:t>Az 575/2013/EU rendelet 45. cikke.</w:t>
            </w:r>
          </w:p>
          <w:p w14:paraId="35FC1C5B" w14:textId="66926720" w:rsidR="00674BF5" w:rsidRPr="002A677E" w:rsidRDefault="00674BF5" w:rsidP="00487A02">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Pénzügyi ágazatbeli szervezetek CET1 tőkéjében lévő közvetett részesedések, ha az intézmény jelentős befektetéssel rendelkezik az említett vállalkozásokban</w:t>
            </w:r>
          </w:p>
          <w:p w14:paraId="1B562CC7" w14:textId="0DA77585" w:rsidR="00674BF5" w:rsidRPr="002A677E" w:rsidRDefault="00674BF5" w:rsidP="00487A02">
            <w:pPr>
              <w:pStyle w:val="InstructionsText"/>
            </w:pPr>
            <w:r>
              <w:t>Az 575/2013/EU rendelet 4. cikke (1) bekezdésének 114. pontja, valamint 44. és 45. cikke.</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Pénzügyi ágazatbeli szervezetek CET1 tőkéjében lévő bruttó közvetett részesedések, ha az intézmény jelentős befektetéssel rendelkezik az említett vállalkozásokban</w:t>
            </w:r>
          </w:p>
          <w:p w14:paraId="5813E86E" w14:textId="5F8831BD" w:rsidR="00674BF5" w:rsidRPr="002A677E" w:rsidRDefault="0049092A" w:rsidP="00487A02">
            <w:pPr>
              <w:pStyle w:val="InstructionsText"/>
            </w:pPr>
            <w:r>
              <w:t>Az 575/2013/EU rendelet 4. cikke (1) bekezdésének 114. pontja, valamint 44. és 45. cikke.</w:t>
            </w:r>
          </w:p>
          <w:p w14:paraId="0EC89C74" w14:textId="77777777" w:rsidR="00674BF5" w:rsidRPr="002A677E"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4126D579" w14:textId="73E97DB3" w:rsidR="00674BF5" w:rsidRPr="002A677E" w:rsidRDefault="00674BF5" w:rsidP="0049092A">
            <w:pPr>
              <w:pStyle w:val="InstructionsText"/>
            </w:pPr>
            <w:r>
              <w:t>Az 575/2013/EU rendelet 36. cikke (1) bekezdésének g) pontja alapján kölcsönös részesedésként kezelt részesedések nem számíthatók be.</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A fent figyelembe vett bruttó közvetett részesedésekkel kapcsolatban megengedett kiegyenlítő rövid pozíciók</w:t>
            </w:r>
          </w:p>
          <w:p w14:paraId="181DE37A" w14:textId="6C543A3E" w:rsidR="00674BF5" w:rsidRPr="002A677E" w:rsidRDefault="0049092A" w:rsidP="00487A02">
            <w:pPr>
              <w:pStyle w:val="InstructionsText"/>
            </w:pPr>
            <w:r>
              <w:t>Az 575/2013/EU rendelet 4. cikke (1) bekezdésének 114. pontja és 45. cikke.</w:t>
            </w:r>
          </w:p>
          <w:p w14:paraId="4DAC7E7C" w14:textId="198B3375" w:rsidR="00674BF5" w:rsidRPr="002A677E" w:rsidRDefault="0049092A" w:rsidP="00487A02">
            <w:pPr>
              <w:pStyle w:val="InstructionsText"/>
            </w:pPr>
            <w:r>
              <w:lastRenderedPageBreak/>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lastRenderedPageBreak/>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Pénzügyi ágazatbeli szervezetek CET1 tőkéjében lévő szintetikus részesedések, ha az intézmény jelentős befektetéssel rendelkezik az említett vállalkozásokban</w:t>
            </w:r>
          </w:p>
          <w:p w14:paraId="55D438C1" w14:textId="764B4EF0" w:rsidR="00674BF5" w:rsidRPr="002A677E" w:rsidRDefault="00674BF5" w:rsidP="00487A02">
            <w:pPr>
              <w:pStyle w:val="InstructionsText"/>
            </w:pPr>
            <w:r>
              <w:t>Az 575/2013/EU rendelet 4. cikke (1) bekezdésének 126. pontja, valamint 44. és 45. cikke.</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Pénzügyi ágazatbeli szervezetek CET1 tőkéjében lévő bruttó szintetikus részesedések, ha az intézmény jelentős befektetéssel rendelkezik az említett vállalkozásokban</w:t>
            </w:r>
          </w:p>
          <w:p w14:paraId="0CEA3976" w14:textId="4220351D" w:rsidR="00674BF5" w:rsidRPr="002A677E" w:rsidRDefault="0049092A" w:rsidP="00487A02">
            <w:pPr>
              <w:pStyle w:val="InstructionsText"/>
            </w:pPr>
            <w:r>
              <w:t>Az 575/2013/EU rendelet 4. cikke (1) bekezdésének 126. pontja, valamint 44. és 45. cikke.</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A fent figyelembe vett bruttó szintetikus részesedésekkel kapcsolatban megengedett kiegyenlítő rövid pozíciók</w:t>
            </w:r>
          </w:p>
          <w:p w14:paraId="18C7966C" w14:textId="42656B0D" w:rsidR="00674BF5" w:rsidRPr="002A677E" w:rsidRDefault="0049092A" w:rsidP="00487A02">
            <w:pPr>
              <w:pStyle w:val="InstructionsText"/>
            </w:pPr>
            <w:r>
              <w:t>Az 575/2013/EU rendelet 4. cikke (1) bekezdésének 126. pontja és 45. cikke.</w:t>
            </w:r>
          </w:p>
          <w:p w14:paraId="3BE278C3" w14:textId="47C8A1E6" w:rsidR="002D31E5" w:rsidRPr="002A677E" w:rsidRDefault="0049092A" w:rsidP="000D04B6">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ágazatbeli szervezetek CET1 tőkéjében lévő részesedések, ha az intézmény jelentős befektetéssel rendelkezik az említett vállalkozásokban – 250 %-os kockázati súly alkalmazandó</w:t>
            </w:r>
          </w:p>
          <w:p w14:paraId="6A824A8C" w14:textId="17D58578" w:rsidR="00916197" w:rsidRPr="002A677E" w:rsidRDefault="00916197" w:rsidP="00487A02">
            <w:pPr>
              <w:pStyle w:val="InstructionsText"/>
            </w:pPr>
            <w:r>
              <w:t>Az 575/2013/EU rendelet 48. cikkének (4) bekezdése.</w:t>
            </w:r>
          </w:p>
          <w:p w14:paraId="2372BE1E" w14:textId="4C134170" w:rsidR="00916197" w:rsidRPr="002A677E" w:rsidRDefault="00916197" w:rsidP="00487A02">
            <w:pPr>
              <w:pStyle w:val="InstructionsText"/>
            </w:pPr>
            <w:r>
              <w:t>Pénzügyi ágazatbeli szervezetek CET1 tőkéjében lévő jelentős befektetések azon összege, amely az 575/2013/EU rendelet 48. cikkének (1) bekezdése alapján nem kerül levonásra, de amelyre az említett rendelet 48. cikkének (4) bekezdése szerint 250 %-os kockázati súly alkalmazandó.</w:t>
            </w:r>
          </w:p>
          <w:p w14:paraId="03F455E6" w14:textId="77777777" w:rsidR="00916197" w:rsidRPr="002A677E" w:rsidRDefault="00916197" w:rsidP="00487A02">
            <w:pPr>
              <w:pStyle w:val="InstructionsText"/>
              <w:rPr>
                <w:rStyle w:val="InstructionsTabelleberschrift"/>
                <w:rFonts w:ascii="Times New Roman" w:hAnsi="Times New Roman"/>
                <w:sz w:val="24"/>
              </w:rPr>
            </w:pPr>
            <w:r>
              <w:t>A feltüntetett összeg a jelentős befektetések kockázati súlyok alkalmazása előtti összege.</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Pénzügyi ágazatbeli szervezetek AT1 tőkéjében lévő részesedések, ha az intézmény jelentős befektetéssel rendelkezik az említett vállalkozásokban, a rövid pozíciók levonásával</w:t>
            </w:r>
          </w:p>
          <w:p w14:paraId="0CF06C76" w14:textId="793BD00A" w:rsidR="00674BF5" w:rsidRPr="002A677E" w:rsidRDefault="00674BF5" w:rsidP="00487A02">
            <w:pPr>
              <w:pStyle w:val="InstructionsText"/>
            </w:pPr>
            <w:r>
              <w:t>Az 575/2013/EU rendelet 58. és 59. cikke</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Pénzügyi ágazatbeli szervezetek AT1 tőkéjében lévő közvetlen részesedések, ha az intézmény jelentős befektetéssel rendelkezik az említett vállalkozásokban</w:t>
            </w:r>
          </w:p>
          <w:p w14:paraId="328FC504" w14:textId="06A8FC95" w:rsidR="00674BF5" w:rsidRPr="002A677E" w:rsidRDefault="00674BF5" w:rsidP="00487A02">
            <w:pPr>
              <w:pStyle w:val="InstructionsText"/>
            </w:pPr>
            <w:r>
              <w:t>Az 575/2013/EU rendelet 58. és 59. cikke</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lastRenderedPageBreak/>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Pénzügyi ágazatbeli szervezetek AT1 tőkéjében lévő bruttó közvetlen részesedések, ha az intézmény jelentős befektetéssel rendelkezik az említett vállalkozásokban</w:t>
            </w:r>
          </w:p>
          <w:p w14:paraId="2E0EA9D7" w14:textId="1BEE97CE" w:rsidR="00674BF5" w:rsidRPr="002A677E" w:rsidRDefault="00674BF5" w:rsidP="00487A02">
            <w:pPr>
              <w:pStyle w:val="InstructionsText"/>
            </w:pPr>
            <w:r>
              <w:t>Az 575/2013/EU rendelet 58. cikke.</w:t>
            </w:r>
          </w:p>
          <w:p w14:paraId="03966E1B" w14:textId="77777777" w:rsidR="00674BF5" w:rsidRPr="002A677E" w:rsidRDefault="00674BF5" w:rsidP="00487A02">
            <w:pPr>
              <w:pStyle w:val="InstructionsText"/>
            </w:pPr>
            <w:r>
              <w:t>Pénzügyi ágazatbeli szervezetek AT1 tőkéjében lévő közvetlen részesedések, ha az intézmény jelentős befektetéssel rendelkezik az említett vállalkozásokban, az alábbiak kivételével:</w:t>
            </w:r>
          </w:p>
          <w:p w14:paraId="3D0AC2D9" w14:textId="5B5EA22C" w:rsidR="00674BF5" w:rsidRPr="002A677E" w:rsidRDefault="00674BF5" w:rsidP="00487A02">
            <w:pPr>
              <w:pStyle w:val="InstructionsText"/>
            </w:pPr>
            <w:r>
              <w:t>a)</w:t>
            </w:r>
            <w:r>
              <w:tab/>
              <w:t>az öt munkanapig vagy annál rövidebb ideig tartott, jegyzési garanciavállalásból eredő pozíciók (az 575/2013/EU rendelet 56. cikkének d) pontja); valamint</w:t>
            </w:r>
          </w:p>
          <w:p w14:paraId="60E1CBC8" w14:textId="1149D5D1" w:rsidR="00674BF5" w:rsidRPr="002A677E" w:rsidRDefault="00674BF5" w:rsidP="00487A02">
            <w:pPr>
              <w:pStyle w:val="InstructionsText"/>
            </w:pPr>
            <w:r>
              <w:t>b)</w:t>
            </w:r>
            <w:r>
              <w:tab/>
              <w:t>az 575/2013/EU rendelet 56. cikkének b) pontja alapján kölcsönös részesedésként kezelt részesedések.</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A fent figyelembe vett bruttó közvetlen részesedésekkel kapcsolatban megengedett kiegyenlítő rövid pozíciók</w:t>
            </w:r>
          </w:p>
          <w:p w14:paraId="2E52B3A7" w14:textId="4E8493DF" w:rsidR="00674BF5" w:rsidRPr="002A677E" w:rsidRDefault="00674BF5" w:rsidP="00487A02">
            <w:pPr>
              <w:pStyle w:val="InstructionsText"/>
            </w:pPr>
            <w:r>
              <w:t>Az 575/2013/EU rendelet 59. cikke.</w:t>
            </w:r>
          </w:p>
          <w:p w14:paraId="35C2E855" w14:textId="5568803F" w:rsidR="00674BF5" w:rsidRPr="002A677E" w:rsidRDefault="0049092A" w:rsidP="0049092A">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Pénzügyi ágazatbeli szervezetek AT1 tőkéjében lévő közvetett részesedések, ha az intézmény jelentős befektetéssel rendelkezik az említett vállalkozásokban</w:t>
            </w:r>
          </w:p>
          <w:p w14:paraId="19C1DEF8" w14:textId="7A1275FC" w:rsidR="00674BF5" w:rsidRPr="002A677E" w:rsidRDefault="00674BF5" w:rsidP="00487A02">
            <w:pPr>
              <w:pStyle w:val="InstructionsText"/>
            </w:pPr>
            <w:r>
              <w:t>Az 575/2013/EU rendelet 4. cikke (1) bekezdésének 114. pontja, valamint 58. és 59. cikke.</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Pénzügyi ágazatbeli szervezetek AT1 tőkéjében lévő bruttó közvetett részesedések, ha az intézmény jelentős befektetéssel rendelkezik az említett vállalkozásokban</w:t>
            </w:r>
          </w:p>
          <w:p w14:paraId="7DC4C453" w14:textId="76F7C40D" w:rsidR="00674BF5" w:rsidRPr="002A677E" w:rsidRDefault="0049092A" w:rsidP="00487A02">
            <w:pPr>
              <w:pStyle w:val="InstructionsText"/>
            </w:pPr>
            <w:r>
              <w:t>Az 575/2013/EU rendelet 4. cikke (1) bekezdésének 114. pontja, valamint 58. és 59. cikke.</w:t>
            </w:r>
          </w:p>
          <w:p w14:paraId="00AC9B4B" w14:textId="77777777" w:rsidR="00674BF5" w:rsidRPr="002A677E"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78CE3887" w14:textId="589C7071" w:rsidR="00674BF5" w:rsidRPr="002A677E" w:rsidRDefault="00674BF5" w:rsidP="0049092A">
            <w:pPr>
              <w:pStyle w:val="InstructionsText"/>
            </w:pPr>
            <w:r>
              <w:t>Az 575/2013/EU rendelet 56. cikkének b) pontja alapján kölcsönös részesedésként kezelt részesedések nem számíthatók be.</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A fent figyelembe vett bruttó közvetett részesedésekkel kapcsolatban megengedett kiegyenlítő rövid pozíciók</w:t>
            </w:r>
          </w:p>
          <w:p w14:paraId="4204B379" w14:textId="6FB9278C" w:rsidR="00674BF5" w:rsidRPr="002A677E" w:rsidRDefault="0049092A" w:rsidP="00487A02">
            <w:pPr>
              <w:pStyle w:val="InstructionsText"/>
            </w:pPr>
            <w:r>
              <w:t>Az 575/2013/EU rendelet 4. cikke (1) bekezdésének 114. pontja és 59. cikke.</w:t>
            </w:r>
          </w:p>
          <w:p w14:paraId="4965F77B" w14:textId="250CD49E" w:rsidR="00674BF5" w:rsidRPr="002A677E" w:rsidRDefault="00674BF5" w:rsidP="00487A02">
            <w:pPr>
              <w:pStyle w:val="InstructionsText"/>
            </w:pPr>
            <w:r>
              <w:t xml:space="preserve">Az 575/2013/EU rendelet 59. cikkének a) pontja megengedi az azonos alapul szolgáló kitettségen belüli kiegyenlítő rövid pozíciókat akkor, ha </w:t>
            </w:r>
            <w:r>
              <w:lastRenderedPageBreak/>
              <w:t>a rövid pozíció lejárata azonos a hosszú pozíció lejáratával vagy annál későbbi, vagy a rövid pozíció hátralévő futamideje legalább egy év.</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Pénzügyi ágazatbeli szervezetek AT1 tőkéjében lévő szintetikus részesedések, ha az intézmény jelentős befektetéssel rendelkezik az említett vállalkozásokban</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Pénzügyi ágazatbeli szervezetek AT1 tőkéjében lévő bruttó szintetikus részesedések, ha az intézmény jelentős befektetéssel rendelkezik az említett vállalkozásokban</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A fent figyelembe vett bruttó szintetikus részesedésekkel kapcsolatban megengedett kiegyenlítő rövid pozíciók</w:t>
            </w:r>
          </w:p>
          <w:p w14:paraId="01DCC3FD" w14:textId="223BD294" w:rsidR="00674BF5" w:rsidRPr="002A677E" w:rsidRDefault="002E796C" w:rsidP="00487A02">
            <w:pPr>
              <w:pStyle w:val="InstructionsText"/>
            </w:pPr>
            <w:r>
              <w:t>Az 575/2013/EU rendelet 4. cikke (1) bekezdésének 126. pontja és 59. cikke.</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Pénzügyi ágazatbeli szervezetek T2 tőkéjében lévő részesedések, ha az intézmény jelentős befektetéssel rendelkezik az említett vállalkozásokban, a rövid pozíciók levonásával</w:t>
            </w:r>
          </w:p>
          <w:p w14:paraId="1F613CCF" w14:textId="2477AC9C" w:rsidR="00674BF5" w:rsidRPr="002A677E" w:rsidRDefault="00674BF5" w:rsidP="00487A02">
            <w:pPr>
              <w:pStyle w:val="InstructionsText"/>
            </w:pPr>
            <w:r>
              <w:t>Az 575/2013/EU rendelet 68. és 69. cikke</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Pénzügyi ágazatbeli szervezetek T2 tőkéjében lévő közvetlen részesedések, ha az intézmény jelentős befektetéssel rendelkezik az említett vállalkozásokban</w:t>
            </w:r>
          </w:p>
          <w:p w14:paraId="485F6D02" w14:textId="1E25A282" w:rsidR="00674BF5" w:rsidRPr="002A677E" w:rsidRDefault="00674BF5" w:rsidP="00487A02">
            <w:pPr>
              <w:pStyle w:val="InstructionsText"/>
            </w:pPr>
            <w:r>
              <w:t>Az 575/2013/EU rendelet 68. és 69. cikke</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Pénzügyi ágazatbeli szervezetek T2 tőkéjében lévő bruttó közvetlen részesedések, ha az intézmény jelentős befektetéssel rendelkezik az említett vállalkozásokban</w:t>
            </w:r>
          </w:p>
          <w:p w14:paraId="0F5F1DD3" w14:textId="24D813CB" w:rsidR="00674BF5" w:rsidRPr="002A677E" w:rsidRDefault="00674BF5" w:rsidP="00487A02">
            <w:pPr>
              <w:pStyle w:val="InstructionsText"/>
            </w:pPr>
            <w:r>
              <w:t>Az 575/2013/EU rendelet 68. cikke.</w:t>
            </w:r>
          </w:p>
          <w:p w14:paraId="4F07DA01" w14:textId="77777777" w:rsidR="00674BF5" w:rsidRPr="002A677E" w:rsidRDefault="00674BF5" w:rsidP="00487A02">
            <w:pPr>
              <w:pStyle w:val="InstructionsText"/>
            </w:pPr>
            <w:r>
              <w:t>Pénzügyi ágazatbeli szervezetek T2 tőkéjében lévő közvetlen részesedések, ha az intézmény jelentős befektetéssel rendelkezik az említett vállalkozásokban, az alábbiak kivételével:</w:t>
            </w:r>
          </w:p>
          <w:p w14:paraId="7B433499" w14:textId="58805A5C" w:rsidR="00674BF5" w:rsidRPr="002A677E" w:rsidRDefault="00674BF5" w:rsidP="00487A02">
            <w:pPr>
              <w:pStyle w:val="InstructionsText"/>
            </w:pPr>
            <w:r>
              <w:t>a)</w:t>
            </w:r>
            <w:r>
              <w:tab/>
              <w:t xml:space="preserve">az öt munkanapig vagy annál rövidebb ideig tartott, jegyzési garanciavállalásból eredő pozíciók (az 575/2013/EU rendelet 66. cikkének d) pontja); valamint </w:t>
            </w:r>
          </w:p>
          <w:p w14:paraId="5C45C26C" w14:textId="04927DC4" w:rsidR="00674BF5" w:rsidRPr="002A677E" w:rsidRDefault="00674BF5" w:rsidP="00487A02">
            <w:pPr>
              <w:pStyle w:val="InstructionsText"/>
            </w:pPr>
            <w:r>
              <w:t>b)</w:t>
            </w:r>
            <w:r>
              <w:tab/>
              <w:t>Az 575/2013/EU rendelet 66. cikkének b) pontja alapján kölcsönös részesedésként kezelt részesedések</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A fent figyelembe vett bruttó közvetlen részesedésekkel kapcsolatban megengedett kiegyenlítő rövid pozíciók</w:t>
            </w:r>
          </w:p>
          <w:p w14:paraId="3A2E5C60" w14:textId="2693AAEE" w:rsidR="00674BF5" w:rsidRPr="002A677E" w:rsidRDefault="00674BF5" w:rsidP="00487A02">
            <w:pPr>
              <w:pStyle w:val="InstructionsText"/>
            </w:pPr>
            <w:r>
              <w:lastRenderedPageBreak/>
              <w:t>Az 575/2013/EU rendelet 69. cikke.</w:t>
            </w:r>
          </w:p>
          <w:p w14:paraId="1F9A96A9" w14:textId="7845822B" w:rsidR="00674BF5" w:rsidRPr="002A677E" w:rsidRDefault="00674BF5" w:rsidP="00487A02">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lastRenderedPageBreak/>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Pénzügyi ágazatbeli szervezetek T2 tőkéjében lévő közvetett részesedések, ha az intézmény jelentős befektetéssel rendelkezik az említett vállalkozásokban</w:t>
            </w:r>
          </w:p>
          <w:p w14:paraId="046EED40" w14:textId="61BE91EE" w:rsidR="00674BF5" w:rsidRPr="002A677E" w:rsidRDefault="0049092A" w:rsidP="00487A02">
            <w:pPr>
              <w:pStyle w:val="InstructionsText"/>
            </w:pPr>
            <w:r>
              <w:t>Az 575/2013/EU rendelet 4. cikke (1) bekezdésének 114. pontja, valamint 68. és 69. cikke.</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Pénzügyi ágazatbeli szervezetek T2 tőkéjében lévő bruttó közvetett részesedések, ha az intézmény jelentős befektetéssel rendelkezik az említett vállalkozásokban</w:t>
            </w:r>
          </w:p>
          <w:p w14:paraId="3474C99C" w14:textId="66F14621" w:rsidR="00674BF5" w:rsidRPr="002A677E" w:rsidRDefault="0049092A" w:rsidP="00487A02">
            <w:pPr>
              <w:pStyle w:val="InstructionsText"/>
            </w:pPr>
            <w:r>
              <w:t>Az 575/2013/EU rendelet 4. cikke (1) bekezdésének 114. pontja, valamint 68. és 69. cikke.</w:t>
            </w:r>
          </w:p>
          <w:p w14:paraId="7F67225C" w14:textId="77777777" w:rsidR="00674BF5" w:rsidRPr="002A677E"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329E2892" w14:textId="02EF6C19" w:rsidR="00674BF5" w:rsidRPr="002A677E" w:rsidRDefault="00674BF5" w:rsidP="00487A02">
            <w:pPr>
              <w:pStyle w:val="InstructionsText"/>
            </w:pPr>
            <w:r>
              <w:t>Az 575/2013/EU rendelet 66. cikkének b) pontja alapján kölcsönös részesedésként kezelt részesedések nem számíthatók be.</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A fent figyelembe vett bruttó közvetett részesedésekkel kapcsolatban megengedett kiegyenlítő rövid pozíciók</w:t>
            </w:r>
          </w:p>
          <w:p w14:paraId="10889AF5" w14:textId="362C1644" w:rsidR="00674BF5" w:rsidRPr="002A677E" w:rsidRDefault="0049092A" w:rsidP="00487A02">
            <w:pPr>
              <w:pStyle w:val="InstructionsText"/>
            </w:pPr>
            <w:r>
              <w:t>Az 575/2013/EU rendelet 4. cikke (1) bekezdésének 114. pontja és 69. cikke.</w:t>
            </w:r>
          </w:p>
          <w:p w14:paraId="63AD6731" w14:textId="1D9FA47C" w:rsidR="00674BF5" w:rsidRPr="002A677E" w:rsidRDefault="00674BF5" w:rsidP="00487A02">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Pénzügyi ágazatbeli szervezetek T2 tőkéjében lévő szintetikus részesedések, ha az intézmény jelentős befektetéssel rendelkezik az említett vállalkozásokban</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Pénzügyi ágazatbeli szervezetek T2 tőkéjében lévő bruttó szintetikus részesedések, ha az intézmény jelentős befektetéssel rendelkezik az említett vállalkozásokban</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A fent figyelembe vett bruttó szintetikus részesedésekkel kapcsolatban megengedett kiegyenlítő rövid pozíciók</w:t>
            </w:r>
          </w:p>
          <w:p w14:paraId="6446C4C9" w14:textId="3875C46C" w:rsidR="00674BF5" w:rsidRPr="002A677E" w:rsidRDefault="002E796C" w:rsidP="00487A02">
            <w:pPr>
              <w:pStyle w:val="InstructionsText"/>
            </w:pPr>
            <w:r>
              <w:lastRenderedPageBreak/>
              <w:t>Az 575/2013/EU rendelet 4. cikke (1) bekezdésének 126. pontja és 69. cikke.</w:t>
            </w:r>
          </w:p>
          <w:p w14:paraId="09F84D62" w14:textId="1075DC14" w:rsidR="002D31E5" w:rsidRPr="002A677E" w:rsidRDefault="002E796C" w:rsidP="000D04B6">
            <w:pPr>
              <w:pStyle w:val="InstructionsText"/>
              <w:rPr>
                <w:rStyle w:val="InstructionsTabelleberschrift"/>
                <w:rFonts w:ascii="Times New Roman" w:hAnsi="Times New Roman"/>
                <w:b w:val="0"/>
                <w:bCs w:val="0"/>
                <w:sz w:val="24"/>
                <w:u w:val="none"/>
              </w:rPr>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lastRenderedPageBreak/>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Pénzügyi ágazatbeli szervezetek CET1 tőkéjében meglévő olyan részesedések kockázattal súlyozott kitettségei, amelyeket az intézmény CET1 tőkéjéből nem vonnak le</w:t>
            </w:r>
          </w:p>
          <w:p w14:paraId="042A9075" w14:textId="2A8564E9" w:rsidR="00674BF5" w:rsidRPr="002A677E" w:rsidRDefault="00674BF5" w:rsidP="00487A02">
            <w:pPr>
              <w:pStyle w:val="InstructionsText"/>
            </w:pPr>
            <w:r>
              <w:t>Az 575/2013/EU rendelet 46. cikkének (4) bekezdése, 48. cikkének (4) bekezdése és 49. cikkének (4) bekezdése.</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Pénzügyi ágazatbeli szervezetek AT1 tőkéjében meglévő olyan részesedések kockázattal súlyozott kitettségei, amelyeket az intézmény AT1 tőkéjéből nem vonnak le</w:t>
            </w:r>
          </w:p>
          <w:p w14:paraId="22F50EEA" w14:textId="5A7D0E38" w:rsidR="00674BF5" w:rsidRPr="002A677E" w:rsidRDefault="00674BF5" w:rsidP="00487A02">
            <w:pPr>
              <w:pStyle w:val="InstructionsText"/>
            </w:pPr>
            <w:r>
              <w:t>Az 575/2013/EU rendelet 60. cikkének (4) bekezdése.</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Pénzügyi ágazatbeli szervezetek T2 tőkéjében meglévő olyan részesedések kockázattal súlyozott kitettségei, amelyeket az intézmény T2 tőkéjéből nem vonnak le</w:t>
            </w:r>
          </w:p>
          <w:p w14:paraId="6575F047" w14:textId="0A975071" w:rsidR="00674BF5" w:rsidRPr="002A677E" w:rsidRDefault="00674BF5" w:rsidP="00487A02">
            <w:pPr>
              <w:pStyle w:val="InstructionsText"/>
            </w:pPr>
            <w:r>
              <w:t>Az 575/2013/EU rendelet 70. cikkének (4) bekezdése.</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Pénzügyi ágazatbeli szervezetek által kibocsátott CET1 tőkeinstrumentumokban lévő részesedések, ha az intézmény nem rendelkezik átmenetileg mentesülő jelentős befektetéssel az említett vállalkozásokban</w:t>
            </w:r>
          </w:p>
          <w:p w14:paraId="52FE2147" w14:textId="69F5A736" w:rsidR="00674BF5" w:rsidRPr="002A677E" w:rsidRDefault="00674BF5" w:rsidP="00487A02">
            <w:pPr>
              <w:pStyle w:val="InstructionsText"/>
            </w:pPr>
            <w:r>
              <w:t>Az 575/2013/EU rendelet 79. cikke.</w:t>
            </w:r>
          </w:p>
          <w:p w14:paraId="7A4F7070" w14:textId="77777777" w:rsidR="00674BF5" w:rsidRPr="002A677E" w:rsidRDefault="00674BF5" w:rsidP="00487A02">
            <w:pPr>
              <w:pStyle w:val="InstructionsText"/>
            </w:pPr>
            <w:r>
              <w:t>Egy illetékes hatóság átmenetileg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54997C1C" w14:textId="77777777" w:rsidR="00674BF5" w:rsidRPr="002A677E" w:rsidRDefault="00674BF5" w:rsidP="00487A02">
            <w:pPr>
              <w:pStyle w:val="InstructionsText"/>
            </w:pPr>
            <w:r>
              <w:t>Ügyelni kell arra, hogy az ilyen instrumentumokat a 12.1. tételben is szerepeltetni kell.</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Pénzügyi ágazatbeli szervezetek által kibocsátott CET1 tőkeinstrumentumokban lévő részesedések, ha az intézmény átmenetileg mentesülő jelentős befektetéssel rendelkezik az említett vállalkozásokban</w:t>
            </w:r>
          </w:p>
          <w:p w14:paraId="03608A1D" w14:textId="101CAA3F" w:rsidR="00674BF5" w:rsidRPr="002A677E" w:rsidRDefault="00674BF5" w:rsidP="00487A02">
            <w:pPr>
              <w:pStyle w:val="InstructionsText"/>
            </w:pPr>
            <w:r>
              <w:t>Az 575/2013/EU rendelet 79. cikke.</w:t>
            </w:r>
          </w:p>
          <w:p w14:paraId="299F3BCD" w14:textId="77777777" w:rsidR="00674BF5" w:rsidRPr="002A677E" w:rsidRDefault="00674BF5" w:rsidP="00487A02">
            <w:pPr>
              <w:pStyle w:val="InstructionsText"/>
            </w:pPr>
            <w:r>
              <w:t>Egy illetékes hatóság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5CC5E2F7" w14:textId="77777777" w:rsidR="00674BF5" w:rsidRPr="002A677E" w:rsidRDefault="00674BF5" w:rsidP="00487A02">
            <w:pPr>
              <w:pStyle w:val="InstructionsText"/>
            </w:pPr>
            <w:r>
              <w:lastRenderedPageBreak/>
              <w:t>Ügyelni kell arra, hogy az ilyen instrumentumokat a 15.1. tételben is szerepeltetni kell.</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lastRenderedPageBreak/>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Pénzügyi ágazatbeli szervezetek által kibocsátott AT1 tőkeinstrumentumokban lévő részesedések, ha az intézmény nem rendelkezik átmenetileg mentesülő jelentős befektetéssel az említett vállalkozásokban</w:t>
            </w:r>
          </w:p>
          <w:p w14:paraId="5E0DD8A4" w14:textId="36BBEE61" w:rsidR="00674BF5" w:rsidRPr="002A677E" w:rsidRDefault="00674BF5" w:rsidP="00487A02">
            <w:pPr>
              <w:pStyle w:val="InstructionsText"/>
            </w:pPr>
            <w:r>
              <w:t>Az 575/2013/EU rendelet 79. cikke.</w:t>
            </w:r>
          </w:p>
          <w:p w14:paraId="543CF2E7" w14:textId="77777777" w:rsidR="00674BF5" w:rsidRPr="002A677E" w:rsidRDefault="00674BF5" w:rsidP="00487A02">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413F7444" w14:textId="77777777" w:rsidR="00674BF5" w:rsidRPr="002A677E" w:rsidRDefault="00674BF5" w:rsidP="00487A02">
            <w:pPr>
              <w:pStyle w:val="InstructionsText"/>
            </w:pPr>
            <w:r>
              <w:t>Ügyelni kell arra, hogy az ilyen instrumentumokat a 13.1. tételben is szerepeltetni kell.</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Pénzügyi ágazatbeli szervezetek által kibocsátott AT1 tőkeinstrumentumokban lévő részesedések, ha az intézmény átmenetileg mentesülő jelentős befektetéssel rendelkezik az említett vállalkozásokban</w:t>
            </w:r>
          </w:p>
          <w:p w14:paraId="13D7F84D" w14:textId="62B4E19E" w:rsidR="00674BF5" w:rsidRPr="002A677E" w:rsidRDefault="00674BF5" w:rsidP="00487A02">
            <w:pPr>
              <w:pStyle w:val="InstructionsText"/>
            </w:pPr>
            <w:r>
              <w:t>Az 575/2013/EU rendelet 79. cikke.</w:t>
            </w:r>
          </w:p>
          <w:p w14:paraId="5F5D5B71" w14:textId="77777777" w:rsidR="00674BF5" w:rsidRPr="002A677E" w:rsidRDefault="00674BF5" w:rsidP="00487A02">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1B89E41B" w14:textId="77777777" w:rsidR="00674BF5" w:rsidRPr="002A677E" w:rsidRDefault="00674BF5" w:rsidP="00487A02">
            <w:pPr>
              <w:pStyle w:val="InstructionsText"/>
            </w:pPr>
            <w:r>
              <w:t>Ügyelni kell arra, hogy az ilyen instrumentumokat a 16.1. tételben is szerepeltetni kell.</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Pénzügyi ágazatbeli szervezetek által kibocsátott T2 tőkeinstrumentumokban lévő részesedések, ha az intézmény nem rendelkezik átmenetileg mentesülő jelentős befektetéssel az említett vállalkozásokban</w:t>
            </w:r>
          </w:p>
          <w:p w14:paraId="18A36D10" w14:textId="50405732" w:rsidR="00674BF5" w:rsidRPr="002A677E" w:rsidRDefault="00674BF5" w:rsidP="00487A02">
            <w:pPr>
              <w:pStyle w:val="InstructionsText"/>
            </w:pPr>
            <w:r>
              <w:t>Az 575/2013/EU rendelet 79. cikke.</w:t>
            </w:r>
          </w:p>
          <w:p w14:paraId="509BBCB4" w14:textId="77777777" w:rsidR="00674BF5" w:rsidRPr="002A677E" w:rsidRDefault="00674BF5" w:rsidP="00487A02">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01A32095" w14:textId="77777777" w:rsidR="00674BF5" w:rsidRPr="002A677E" w:rsidRDefault="00674BF5" w:rsidP="00487A02">
            <w:pPr>
              <w:pStyle w:val="InstructionsText"/>
            </w:pPr>
            <w:r>
              <w:t>Ügyelni kell arra, hogy az ilyen instrumentumokat a 14.1. tételben is szerepeltetni kell.</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lastRenderedPageBreak/>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Pénzügyi ágazatbeli szervezetek által kibocsátott T2 tőkeinstrumentumokban lévő részesedések, ha az intézmény átmenetileg mentesülő jelentős befektetéssel rendelkezik az említett vállalkozásokban</w:t>
            </w:r>
          </w:p>
          <w:p w14:paraId="1DF87BB9" w14:textId="4F5DE91D" w:rsidR="00674BF5" w:rsidRPr="002A677E" w:rsidRDefault="00674BF5" w:rsidP="00487A02">
            <w:pPr>
              <w:pStyle w:val="InstructionsText"/>
            </w:pPr>
            <w:r>
              <w:t>Az 575/2013/EU rendelet 79. cikke.</w:t>
            </w:r>
          </w:p>
          <w:p w14:paraId="60AF3036" w14:textId="77777777" w:rsidR="00674BF5" w:rsidRPr="002A677E" w:rsidRDefault="00674BF5" w:rsidP="00487A02">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3BD976D0" w14:textId="77777777" w:rsidR="00674BF5" w:rsidRPr="002A677E" w:rsidRDefault="00674BF5" w:rsidP="00487A02">
            <w:pPr>
              <w:pStyle w:val="InstructionsText"/>
            </w:pPr>
            <w:r>
              <w:t>Ügyelni kell arra, hogy az ilyen instrumentumokat a 17.1. tételben is szerepeltetni kell.</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Kombinált pufferkövetelmény</w:t>
            </w:r>
          </w:p>
          <w:p w14:paraId="3532B662" w14:textId="6CBE295A" w:rsidR="00674BF5" w:rsidRPr="002A677E" w:rsidRDefault="00674BF5" w:rsidP="00487A02">
            <w:pPr>
              <w:pStyle w:val="InstructionsText"/>
            </w:pPr>
            <w:r>
              <w:t>A 2013/36/EU irányelv 128. cikkének 6. pontja.</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Tőkefenntartási puffer</w:t>
            </w:r>
          </w:p>
          <w:p w14:paraId="281A5B21" w14:textId="2FF2E7C0" w:rsidR="00674BF5" w:rsidRPr="002A677E" w:rsidRDefault="00674BF5" w:rsidP="00487A02">
            <w:pPr>
              <w:pStyle w:val="InstructionsText"/>
            </w:pPr>
            <w:r>
              <w:t xml:space="preserve">A 2013/36/EU irányelv 128. cikkének 1. pontja és 129. cikke. </w:t>
            </w:r>
          </w:p>
          <w:p w14:paraId="1626DA15" w14:textId="576F52C5" w:rsidR="00674BF5" w:rsidRPr="002A677E" w:rsidRDefault="00674BF5" w:rsidP="00487A02">
            <w:pPr>
              <w:pStyle w:val="InstructionsText"/>
            </w:pPr>
            <w:r>
              <w:t>A 2013/36/EU irányelv 129. cikkének (1) bekezdése szerint a tőkefenntartási puffer CET1 tőkén felüli CET1 tőkeelemekből áll. Mivel a tőkefenntartási puffer 2,5 %-os mértéke állandó, ebben a sorban összeget kell feltüntetni.</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A tagállamok szintjén azonosított makroprudenciális vagy rendszerkockázatokra képzett tőkefenntartási puffer </w:t>
            </w:r>
          </w:p>
          <w:p w14:paraId="3A52B7F6" w14:textId="145A85C4" w:rsidR="00674BF5" w:rsidRPr="002A677E" w:rsidRDefault="00674BF5" w:rsidP="00487A02">
            <w:pPr>
              <w:pStyle w:val="InstructionsText"/>
            </w:pPr>
            <w:r>
              <w:t>Az 575/2013/EU rendelet 458. cikke (2) bekezdése d) pontjának iv. alpontja.</w:t>
            </w:r>
          </w:p>
          <w:p w14:paraId="12681F1A" w14:textId="6FCA67CC" w:rsidR="00674BF5" w:rsidRPr="002A677E" w:rsidRDefault="00674BF5" w:rsidP="00487A02">
            <w:pPr>
              <w:pStyle w:val="InstructionsText"/>
            </w:pPr>
            <w:r>
              <w:t>Ebben a sorban a tagállamok szintjén azonosított makroprudenciális vagy rendszerkockázatokra képzett fenntartási puffer értékét kell feltüntetni, amely az 575/2013/EU rendelet 458. cikkével összhangban a tőkefenntartási pufferen felül kérhető.</w:t>
            </w:r>
          </w:p>
          <w:p w14:paraId="3F7DEDE7" w14:textId="77777777" w:rsidR="00674BF5" w:rsidRPr="002A677E" w:rsidRDefault="00674BF5" w:rsidP="00487A02">
            <w:pPr>
              <w:pStyle w:val="InstructionsText"/>
            </w:pPr>
            <w:r>
              <w:t>A feltüntetett összeg a vonatkozó tőkepuffer-követelményeknek az adatszolgáltatás időpontjában való teljesítéséhez szükséges szavatolótőke összege.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Intézményspecifikus anticiklikus tőkepuffer </w:t>
            </w:r>
          </w:p>
          <w:p w14:paraId="63DAB6ED" w14:textId="7C76B525" w:rsidR="00674BF5" w:rsidRPr="002A677E" w:rsidRDefault="00674BF5" w:rsidP="00487A02">
            <w:pPr>
              <w:pStyle w:val="InstructionsText"/>
            </w:pPr>
            <w:r>
              <w:t xml:space="preserve">A 2013/36/EU irányelv 128. cikkének 2. pontja, 130. cikke, továbbá 135–140. cikke. </w:t>
            </w:r>
          </w:p>
          <w:p w14:paraId="58A89809" w14:textId="77777777" w:rsidR="00674BF5" w:rsidRPr="002A677E" w:rsidRDefault="00674BF5" w:rsidP="00487A02">
            <w:pPr>
              <w:pStyle w:val="InstructionsText"/>
            </w:pPr>
            <w:r>
              <w:t>A feltüntetett összeg a vonatkozó tőkepuffer-követelményeknek az adatszolgáltatás időpontjában való teljesítéséhez szükséges szavatolótőke összege.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Rendszerkockázati tőkepuffer </w:t>
            </w:r>
          </w:p>
          <w:p w14:paraId="775A8901" w14:textId="5A8C166E" w:rsidR="00674BF5" w:rsidRPr="002A677E" w:rsidRDefault="00674BF5" w:rsidP="00487A02">
            <w:pPr>
              <w:pStyle w:val="InstructionsText"/>
            </w:pPr>
            <w:r>
              <w:t xml:space="preserve">A 2013/36/EU irányelv 128. cikkének 5. pontja, 133. és 134. cikke. </w:t>
            </w:r>
          </w:p>
          <w:p w14:paraId="6746F441" w14:textId="77777777" w:rsidR="00674BF5" w:rsidRPr="002A677E" w:rsidRDefault="00674BF5" w:rsidP="00487A02">
            <w:pPr>
              <w:pStyle w:val="InstructionsText"/>
            </w:pPr>
            <w:r>
              <w:lastRenderedPageBreak/>
              <w:t>A feltüntetett összeg a vonatkozó tőkepuffer-követelményeknek az adatszolgáltatás időpontjában való teljesítéséhez szükséges szavatolótőke összege.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A 2013/36/EU irányelv 128. cikkének 3. pontja és 131. cikke.</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Egyéb rendszerszinten jelentős intézményekre vonatkozó tőkepuffer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A 2013/36/EU irányelv 128. cikkének 4. pontja és 131. cikke.</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A II. pillérből eredő kiigazításokhoz kapcsolódó szavatolótőke-követelmények</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A 2013/36/EU irányelv 104a. cikkének (1) bekezdése.</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 az illetékes hatóság döntése szerint egy intézménynek a II. pillérrel összefüggő okból kiegészítő szavatolótőke-követelményt kell számítania, akkor a kiegészítő szavatolótőke-követelményt ebben a sorban kell megadni.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Indulótőke</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t>A 2013/36/EU irányelv 12., 28–31. cikke és az 575/2013/EU rendelet 93. cikke</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Fix általános költségeken alapuló szavatolótőke-követelmény</w:t>
            </w:r>
          </w:p>
          <w:p w14:paraId="5047BBAB" w14:textId="14889321" w:rsidR="00674BF5" w:rsidRDefault="00674BF5" w:rsidP="002E796C">
            <w:pPr>
              <w:pStyle w:val="InstructionsText"/>
            </w:pPr>
            <w:r>
              <w:t>Az 575/2013/EU rendelet 95. cikke (2) bekezdésének b) pontja, 96. cikke (2) bekezdésének b) pontja, 97. cikke és 98. cikke (1) bekezdésének a) pontja.</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A feltüntetett összeg a fent említett cikkek alkalmazásából eredő szavatolótőke-követelmény.</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Nem hazai eredeti kitettségek</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t>A CR GB táblán történő adatszolgáltatásra vonatkozó küszöbértéknek az e végrehajtási rendelet 5. cikkének (5) bekezdése szerinti kiszámításához szükséges információk.</w:t>
            </w:r>
            <w:r>
              <w:rPr>
                <w:rStyle w:val="InstructionsTabelleberschrift"/>
                <w:rFonts w:ascii="Times New Roman" w:hAnsi="Times New Roman"/>
                <w:b w:val="0"/>
                <w:sz w:val="24"/>
                <w:u w:val="none"/>
              </w:rPr>
              <w:t xml:space="preserve"> A küszöbértéket a hitel-egyenértékesítési tényezők előtti eredeti kitettség alapján kell kiszámítani.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 végrehajtási rendelet 21. cikke (1) bekezdésének a) pontjától eltérve ezt a sort mindig ki kell tölteni.</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Teljes eredeti kitettség</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t>A CR GB táblán történő adatszolgáltatásra vonatkozó küszöbértéknek az e végrehajtási rendelet 5. cikkének (5) bekezdése szerinti kiszámításához szükséges információk.</w:t>
            </w:r>
            <w:r>
              <w:rPr>
                <w:rStyle w:val="InstructionsTabelleberschrift"/>
                <w:rFonts w:ascii="Times New Roman" w:hAnsi="Times New Roman"/>
                <w:b w:val="0"/>
                <w:sz w:val="24"/>
                <w:u w:val="none"/>
              </w:rPr>
              <w:t xml:space="preserve"> A küszöbértéket a hitel-egyenértékesítési tényezők előtti eredeti kitettség alapján kell kiszámítani.</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 végrehajtási rendelet 21. cikke (1) bekezdésének a) pontjától eltérve ezt a sort mindig ki kell tölteni.</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116039885"/>
      <w:bookmarkStart w:id="70" w:name="_Toc308175834"/>
      <w:r>
        <w:rPr>
          <w:rFonts w:ascii="Times New Roman" w:hAnsi="Times New Roman"/>
          <w:sz w:val="24"/>
        </w:rPr>
        <w:t>1.6.</w:t>
      </w:r>
      <w:r>
        <w:rPr>
          <w:rFonts w:ascii="Times New Roman" w:hAnsi="Times New Roman"/>
          <w:sz w:val="24"/>
        </w:rPr>
        <w:tab/>
        <w:t>ÁTMENETI RENDELKEZÉSEK ÉS SZERZETT JOGOK ALAPJÁN FIGYELEMBE VETT TŐKEINSTRUMENTUMOK: ÁLLAMI TÁMOGATÁSNAK NEM MINŐSÜLŐ INSTRUMENTUMOK (CA5)</w:t>
      </w:r>
      <w:bookmarkEnd w:id="67"/>
      <w:bookmarkEnd w:id="68"/>
      <w:bookmarkEnd w:id="69"/>
    </w:p>
    <w:p w14:paraId="227A183A" w14:textId="413CB6A0"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6039886"/>
      <w:bookmarkEnd w:id="70"/>
      <w:r>
        <w:rPr>
          <w:rFonts w:ascii="Times New Roman" w:hAnsi="Times New Roman"/>
          <w:sz w:val="24"/>
        </w:rPr>
        <w:t>1.6.1.</w:t>
      </w:r>
      <w:r>
        <w:rPr>
          <w:rFonts w:ascii="Times New Roman" w:hAnsi="Times New Roman"/>
          <w:sz w:val="24"/>
        </w:rPr>
        <w:tab/>
        <w:t>Általános megjegyzések</w:t>
      </w:r>
      <w:bookmarkEnd w:id="71"/>
      <w:bookmarkEnd w:id="72"/>
      <w:bookmarkEnd w:id="73"/>
      <w:bookmarkEnd w:id="74"/>
    </w:p>
    <w:p w14:paraId="41003114" w14:textId="1BBFDDB6"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w:t>
      </w:r>
      <w:r>
        <w:rPr>
          <w:noProof/>
        </w:rPr>
        <w:fldChar w:fldCharType="end"/>
      </w:r>
      <w:r w:rsidR="00C3070C">
        <w:t>.</w:t>
      </w:r>
      <w:r w:rsidR="00C3070C">
        <w:tab/>
        <w:t xml:space="preserve">A CA5 táblák, az 575/2013/EU rendelet 465–491., 494a. és 494b. cikkében foglalt átmeneti rendelkezések hatálya alá eső szavatolótőke-elemek és levonások számítását foglalják össze. </w:t>
      </w:r>
    </w:p>
    <w:p w14:paraId="3F679519" w14:textId="77777777" w:rsidR="00496C53"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w:t>
      </w:r>
      <w:r>
        <w:rPr>
          <w:noProof/>
        </w:rPr>
        <w:fldChar w:fldCharType="end"/>
      </w:r>
      <w:r w:rsidR="00C3070C">
        <w:t>.</w:t>
      </w:r>
      <w:r w:rsidR="00C3070C">
        <w:tab/>
        <w:t>A CA5 az alábbi szerkezetet követi:</w:t>
      </w:r>
    </w:p>
    <w:p w14:paraId="03CFA8D7" w14:textId="77777777" w:rsidR="002648B0" w:rsidRPr="002A677E" w:rsidRDefault="00125707" w:rsidP="00487A02">
      <w:pPr>
        <w:pStyle w:val="InstructionsText2"/>
        <w:numPr>
          <w:ilvl w:val="0"/>
          <w:numId w:val="0"/>
        </w:numPr>
        <w:ind w:left="1353" w:hanging="360"/>
      </w:pPr>
      <w:r>
        <w:t>a)</w:t>
      </w:r>
      <w:r>
        <w:tab/>
        <w:t>A CA5.1. tábla azokat a kiigazításokat foglalja össze, amelyeket a CA1 táblán (a végleges rendelkezésekkel összhangban) megadott szavatolótőke-elemeket érintően az átmeneti rendelkezések alkalmazása miatt kell végrehajtani. E tábla elemei a CA1 táblán szereplő különböző tőkeelemek „kiigazításaként” jelennek meg annak érdekében, hogy tükrözzék az átmeneti rendelkezések hatását a szavatolótőke elemeire.</w:t>
      </w:r>
    </w:p>
    <w:p w14:paraId="508D01E4" w14:textId="77777777" w:rsidR="002648B0" w:rsidRPr="002A677E" w:rsidRDefault="00125707" w:rsidP="00487A02">
      <w:pPr>
        <w:pStyle w:val="InstructionsText2"/>
        <w:numPr>
          <w:ilvl w:val="0"/>
          <w:numId w:val="0"/>
        </w:numPr>
        <w:ind w:left="1353" w:hanging="360"/>
      </w:pPr>
      <w:r>
        <w:t>b)</w:t>
      </w:r>
      <w:r>
        <w:tab/>
        <w:t xml:space="preserve">Az 5.2. tábla a szerzett jogok alapján figyelembe vett, állami támogatásnak nem minősülő instrumentumok kiszámítását mutatja be részletesen. </w:t>
      </w:r>
    </w:p>
    <w:bookmarkStart w:id="75" w:name="_Toc307386943"/>
    <w:p w14:paraId="4C8E7419" w14:textId="77777777" w:rsidR="005643EA"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t>18</w:t>
      </w:r>
      <w:r w:rsidRPr="00624117">
        <w:fldChar w:fldCharType="end"/>
      </w:r>
      <w:r>
        <w:t>.</w:t>
      </w:r>
      <w:r>
        <w:tab/>
        <w:t>Az intézményeknek az első négy oszlopban a CET1 tőke, az AT1 tőke és a T2 tőke kiigazításait, valamint a teljes kockázati kitettségértéket kell megadni. Az intézményeknek ezenkívül meg kell adniuk az átmeneti rendelkezés szerint alkalmazandó százalékos arányt (0050-es oszlop), valamint az átmeneti rendelkezések alkalmazása nélkül figyelembe vehető összeget (0060-as oszlop).</w:t>
      </w:r>
    </w:p>
    <w:p w14:paraId="1008CEFB" w14:textId="62DE236B"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19</w:t>
      </w:r>
      <w:r>
        <w:rPr>
          <w:noProof/>
        </w:rPr>
        <w:fldChar w:fldCharType="end"/>
      </w:r>
      <w:r w:rsidR="00C3070C">
        <w:t>.</w:t>
      </w:r>
      <w:r w:rsidR="00C3070C">
        <w:tab/>
        <w:t>Az intézmények a CA5. táblán kizárólag abban az időszakban szolgáltatnak adatot a tőkeelemekről, amelynek során az 575/2013/EU rendelet tizedik részében meghatározott átmeneti rendelkezéseket alkalmazni kell.</w:t>
      </w:r>
    </w:p>
    <w:p w14:paraId="3CF93C3D" w14:textId="77777777"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20</w:t>
      </w:r>
      <w:r>
        <w:rPr>
          <w:noProof/>
        </w:rPr>
        <w:fldChar w:fldCharType="end"/>
      </w:r>
      <w:r w:rsidR="00C3070C">
        <w:t>.</w:t>
      </w:r>
      <w:r w:rsidR="00C3070C">
        <w:tab/>
        <w:t>Egyes átmeneti rendelkezések a T1 tőkét érintő levonást írnak elő. Ilyenkor a T1 tőkét érintő levonásnak vagy levonásoknak az AT1 tőkén felüli maradványösszegét a CET1 tőkéből kell levonni.</w:t>
      </w:r>
    </w:p>
    <w:p w14:paraId="4088CDD2" w14:textId="4E37DCCA"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116039887"/>
      <w:bookmarkStart w:id="78" w:name="_Toc360188335"/>
      <w:bookmarkStart w:id="79" w:name="_Toc308175836"/>
      <w:bookmarkEnd w:id="75"/>
      <w:r>
        <w:rPr>
          <w:rFonts w:ascii="Times New Roman" w:hAnsi="Times New Roman"/>
          <w:sz w:val="24"/>
        </w:rPr>
        <w:lastRenderedPageBreak/>
        <w:t>1.6.2.</w:t>
      </w:r>
      <w:r>
        <w:rPr>
          <w:rFonts w:ascii="Times New Roman" w:hAnsi="Times New Roman"/>
          <w:sz w:val="24"/>
        </w:rPr>
        <w:tab/>
        <w:t>C 05.01 – ÁTMENETI RENDELKEZÉSEK (CA5.1)</w:t>
      </w:r>
      <w:bookmarkEnd w:id="76"/>
      <w:bookmarkEnd w:id="77"/>
      <w:r>
        <w:rPr>
          <w:rFonts w:ascii="Times New Roman" w:hAnsi="Times New Roman"/>
          <w:sz w:val="24"/>
        </w:rPr>
        <w:t xml:space="preserve"> </w:t>
      </w:r>
      <w:bookmarkEnd w:id="78"/>
      <w:bookmarkEnd w:id="79"/>
    </w:p>
    <w:p w14:paraId="5B4CCD13" w14:textId="3DB20645" w:rsidR="002648B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21</w:t>
      </w:r>
      <w:r>
        <w:rPr>
          <w:noProof/>
        </w:rPr>
        <w:fldChar w:fldCharType="end"/>
      </w:r>
      <w:r w:rsidR="00C3070C">
        <w:t>.</w:t>
      </w:r>
      <w:r w:rsidR="00C3070C">
        <w:tab/>
        <w:t xml:space="preserve">Az intézményeknek a CA5.1 táblában az 575/2013/EU rendelet 465–491., 494a. és 494b. cikkében előírt átmeneti rendelkezéseknek a szavatolótőke-elemeket érintő alkalmazásáról kell adatot szolgáltatniuk, az 575/2013/EU második részének II. címében foglalt végleges rendelkezések alkalmazásához képest. </w:t>
      </w:r>
    </w:p>
    <w:p w14:paraId="2C643F4D" w14:textId="3E638B45"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22</w:t>
      </w:r>
      <w:r>
        <w:rPr>
          <w:noProof/>
        </w:rPr>
        <w:fldChar w:fldCharType="end"/>
      </w:r>
      <w:r w:rsidR="00C3070C">
        <w:t>.</w:t>
      </w:r>
      <w:r w:rsidR="00C3070C">
        <w:tab/>
        <w:t>Az intézmények a 0060–0065-ös sorban az átmeneti rendelkezések értelmében a szerzett jogok alapján figyelembe vett instrumentumokról szolgáltatnak adatot. A CA5.1 tábla 0060-as sorában feltüntetendő adatoknak az 575/2013/EU rendelet 2019. június 26-ig alkalmazandó változatában foglalt átmeneti rendelkezéseket kell tükrözniük, és a CA5.2 tábla megfelelő szakaszaiból származtathatók. A 0061–0065-ös sor az 575/2013/EU rendelet 494a. és 494b. cikkében foglalt átmeneti rendelkezések hatását mutatja be.</w:t>
      </w:r>
    </w:p>
    <w:p w14:paraId="1CDD27F2" w14:textId="0BE2B501" w:rsidR="00496C53"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23</w:t>
      </w:r>
      <w:r>
        <w:rPr>
          <w:noProof/>
        </w:rPr>
        <w:fldChar w:fldCharType="end"/>
      </w:r>
      <w:r w:rsidR="00C3070C">
        <w:t>.</w:t>
      </w:r>
      <w:r w:rsidR="00C3070C">
        <w:tab/>
        <w:t>Az intézmények a 0070–0092-es sorban a kisebbségi részesedésekre, valamint a leányvállalatok által kibocsátott AT1 és T2 tőkeinstrumentumokra vonatkozó átmeneti rendelkezésekről szolgáltatnak adatot az 575/2013/EU rendelet 479. és 480. cikke szerint.</w:t>
      </w:r>
    </w:p>
    <w:p w14:paraId="6B522084" w14:textId="77777777"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24</w:t>
      </w:r>
      <w:r>
        <w:rPr>
          <w:noProof/>
        </w:rPr>
        <w:fldChar w:fldCharType="end"/>
      </w:r>
      <w:r w:rsidR="00C3070C">
        <w:t>.</w:t>
      </w:r>
      <w:r w:rsidR="00C3070C">
        <w:tab/>
        <w:t>A 0100-as sortól kezdődően az intézmények az átmeneti rendelkezéseknek a nem realizált nyereségre és veszteségre, a levonásokra, valamint a további szűrőkre és levonásokra gyakorolt hatásáról, illetve az IFRS 9-hez kapcsolódó átmeneti intézkedések miatti kiigazításokról szolgáltatnak adatot.</w:t>
      </w:r>
    </w:p>
    <w:p w14:paraId="48B64B3C" w14:textId="77777777" w:rsidR="005643EA"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25</w:t>
      </w:r>
      <w:r>
        <w:rPr>
          <w:noProof/>
        </w:rPr>
        <w:fldChar w:fldCharType="end"/>
      </w:r>
      <w:r w:rsidR="00C3070C">
        <w:t>.</w:t>
      </w:r>
      <w:r w:rsidR="00C3070C">
        <w:tab/>
        <w:t xml:space="preserve">Egyes esetekben a CET1 tőke, az AT1 tőke vagy a T2 tőke átmeneti levonásai meghaladják az adott intézmény CET1 tőkéjét, AT1 tőkéjét vagy T2 tőkéjét. Ezt a hatást – ha átmeneti rendelkezések eredménye – a CA1 tábla megfelelő celláiban kell kimutatni. Következésképpen a CA5. tábla oszlopaiban megadott kiigazítások nem foglalhatnak magukban áttételes hatásokat akkor, ha a rendelkezésre álló tőke mennyisége nem elégséges. </w:t>
      </w:r>
    </w:p>
    <w:p w14:paraId="14710A33" w14:textId="56F59E9D"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6039888"/>
      <w:r>
        <w:rPr>
          <w:rFonts w:ascii="Times New Roman" w:hAnsi="Times New Roman"/>
          <w:sz w:val="24"/>
        </w:rPr>
        <w:t>1.6.2.1.</w:t>
      </w:r>
      <w:r>
        <w:rPr>
          <w:rFonts w:ascii="Times New Roman" w:hAnsi="Times New Roman"/>
          <w:sz w:val="24"/>
        </w:rPr>
        <w:tab/>
        <w:t>Az egyes pozíciókra vonatkozó útmutató</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Oszlopok</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kiigazításai</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Az AT1 tőke kiigazításai</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T2 tőke kiigazításai</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kockázattal súlyozott eszközértékekben figyelembe vett kiigazítások</w:t>
            </w:r>
          </w:p>
          <w:p w14:paraId="126FBA33" w14:textId="40E90384" w:rsidR="005643EA" w:rsidRPr="002A677E" w:rsidRDefault="002648B0" w:rsidP="00487A02">
            <w:pPr>
              <w:pStyle w:val="InstructionsText"/>
              <w:rPr>
                <w:rStyle w:val="InstructionsTabelleText"/>
                <w:rFonts w:ascii="Times New Roman" w:hAnsi="Times New Roman"/>
                <w:sz w:val="24"/>
              </w:rPr>
            </w:pPr>
            <w:r>
              <w:t>A 0040-es oszlop tartalmazza azokat a megfelelő összegeket, amelyekkel az 575/2013/EU rendelet 92. cikkének (3) bekezdése szerinti teljes kockázati kitettségértéket az átmeneti rendelkezések miatt kiigazítják.</w:t>
            </w:r>
            <w:r>
              <w:rPr>
                <w:rStyle w:val="InstructionsTabelleText"/>
                <w:rFonts w:ascii="Times New Roman" w:hAnsi="Times New Roman"/>
                <w:sz w:val="24"/>
              </w:rPr>
              <w:t xml:space="preserve"> </w:t>
            </w:r>
            <w:r>
              <w:t>A feltüntetett összegeknél az 575/2013/EU rendelet 92. cikke (4) bekezdésének megfelelően figyelembe kell venni a harmadik rész II. címe 2. vagy 3. fejezetében vagy a harmadik rész IV. címében foglalt rendelkezések alkalmazását.</w:t>
            </w:r>
            <w:r>
              <w:rPr>
                <w:rStyle w:val="InstructionsTabelleText"/>
                <w:rFonts w:ascii="Times New Roman" w:hAnsi="Times New Roman"/>
                <w:sz w:val="24"/>
              </w:rPr>
              <w:t xml:space="preserve"> Ez azt jelenti, hogy a harmadik rész II. címének 2. vagy 3. fejezete szerinti átmeneti összegeket kockázattal súlyozott kitettségértékként kell feltüntetni, </w:t>
            </w:r>
            <w:r>
              <w:rPr>
                <w:rStyle w:val="InstructionsTabelleText"/>
                <w:rFonts w:ascii="Times New Roman" w:hAnsi="Times New Roman"/>
                <w:sz w:val="24"/>
              </w:rPr>
              <w:lastRenderedPageBreak/>
              <w:t>míg a harmadik rész IV. címének hatálya alá tartozó átmeneti összegek a 12,5-del megszorzott szavatolótőke-követelményt jelentik.</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Míg a 0010–0030-as oszlop közvetlenül kapcsolódik a CA1 táblához, a teljes kockázati kitettségérték kiigazításai nem kapcsolódnak közvetlenül a megfelelő hitelkockázati táblákhoz. A teljes kockázati kitettségértékre vonatkozó átmeneti rendelkezésekből eredő kiigazításokat – ha vannak ilyenek – közvetlenül a CR SA, CR IRB, CR EQU IRB, MKR SA TDI, MKR SA EQU illetve MKR IM tartalmazza. Ezenkívül e hatásokat a CA5.1 tábla 0040-es oszlopában is fel kell tüntetni. Ebből adódóan az ilyen értékek kizárólag tájékoztató adatok.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összeg az átmeneti rendelkezések nélkül</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Ez az oszlop az egyes instrumentumoknak az átmeneti rendelkezések alkalmazása előtti értékét, vagyis a kiigazítások kiszámításához használandó alapösszeget tartalmazza.</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Sorok</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Kiigazítások összesen</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Ez a sor az átmeneti kiigazítások általános hatását mutatja az egyes tőketípusokon belül, valamint az említett kiigazításokból eredő, kockázattal súlyozott összegeket.</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Szerzett jogok alapján figyelembe vett tőkeinstrumentumok</w:t>
            </w:r>
          </w:p>
          <w:p w14:paraId="31C271FA" w14:textId="06C8CFEF" w:rsidR="002648B0" w:rsidRPr="001235ED" w:rsidRDefault="002648B0" w:rsidP="007106FB">
            <w:pPr>
              <w:spacing w:before="0"/>
              <w:rPr>
                <w:rStyle w:val="InstructionsTabelleText"/>
                <w:rFonts w:ascii="Times New Roman" w:hAnsi="Times New Roman"/>
                <w:sz w:val="24"/>
              </w:rPr>
            </w:pPr>
            <w:r>
              <w:rPr>
                <w:rFonts w:ascii="Times New Roman" w:hAnsi="Times New Roman"/>
                <w:sz w:val="24"/>
              </w:rPr>
              <w:t>Az 575/2013/EU rendelet 483–491. cikke</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Ez a sor az ideiglenesen a szerzett jogokkal kapcsolatos rendelkezések hatálya alá tartozó instrumentumok általános hatását mutatja az egyes tőketípusokon belül.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Állami támogatásnak nem minősülő instrumentumok</w:t>
            </w:r>
          </w:p>
          <w:p w14:paraId="5434E924" w14:textId="7777777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A feltüntetendő értékeket a CA5.2. tábla 060-as oszlopából kell átvezetni.</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Különleges célú gazdasági egységeken keresztül kibocsátott instrumentumok</w:t>
            </w:r>
          </w:p>
          <w:p w14:paraId="1A210662" w14:textId="60DDB7AC"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Az 575/2013/EU rendelet 494a. cikke.</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2019. június 27. előtt kibocsátott instrumentumok, amelyek nem felelnek meg a 2014/59/EU irányelv 59. cikke szerinti leírási és átalakítási hatáskörökkel kapcsolatos elismerhetőségi kritériumoknak, vagy beszámítási vagy nettósítási megállapodások hatálya alá tartoznak</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575/2013/EU rendelet 494b. cikke</w:t>
            </w:r>
          </w:p>
          <w:p w14:paraId="74949FCE" w14:textId="55AFB8CF"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p), q) és r) pontjában vagy adott esetben az említett rendelet 63. cikkének n), o) és p) pontjában meghatározott egy vagy több elismerhetőségi kritériumnak.</w:t>
            </w:r>
          </w:p>
          <w:p w14:paraId="04C394EE" w14:textId="05CDBA19"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lastRenderedPageBreak/>
              <w:t>Az 575/2013/EU rendelet 494b. cikkének (2) bekezdése szerint figyelembe vehető T2 tőkeinstrumentumok esetében be kell tartani az említett rendelet 64. cikkének amortizációra vonatkozó rendelkezéseit.</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ebből: Instrumentumok, amelyekre nem vonatkozik jogilag vagy szerződésesen kötelező leírás vagy átalakítás 2014/59/EU irányelv 59. cikke szerinti hatáskörök gyakorlásakor</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p) pontja, 63. cikkének n) pontja és 494b. cikke.</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p) pontjában vagy adott esetben az említett rendelet 63. cikkének n) pontjában meghatározott elismerhetőségi kritériumnak.</w:t>
            </w:r>
          </w:p>
          <w:p w14:paraId="1A98A032" w14:textId="4A490561"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q) vagy r) pontjában, illetve adott esetben az említett rendelet 63. cikkének o) vagy p) pontjában meghatározott elismerhetőségi kritériumoknak.</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ebből: Harmadik ország joga által szabályozott instrumentumok, a 2014/59/EU irányelv 59. cikke szerinti hatáskörök tényleges és végrehajtható gyakorlásának lehetősége nélkül</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q) pontja, 63. cikkének o) pontja és 494b. cikke.</w:t>
            </w:r>
          </w:p>
          <w:p w14:paraId="26250647" w14:textId="7F4D575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q) pontjában vagy adott esetben 63. cikkének o) pontjában meghatározott elismerhetőségi kritériumnak.</w:t>
            </w:r>
          </w:p>
          <w:p w14:paraId="756E8B09" w14:textId="79BDEBD3"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p) vagy r) pontjában, illetve adott esetben az említett rendelet 63. cikkének n) vagy p) pontjában meghatározott elismerhetőségi kritériumoknak.</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ebből: Beszámítási vagy nettósítási megállapodások hatálya alá tartozó instrumentumok</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r) pontja, 63. cikkének p) pontja és 494b. cikke.</w:t>
            </w:r>
          </w:p>
          <w:p w14:paraId="228071E2" w14:textId="50985A2F"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r) pontjában vagy adott esetben az említett rendelet 63. cikkének p) pontjában meghatározott elismerhetőségi kritériumnak.</w:t>
            </w:r>
          </w:p>
          <w:p w14:paraId="349DBF3F" w14:textId="060CFE0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p) vagy q) pontjában, illetve adott esetben az említett rendelet 63. cikkének n) vagy o) pontjában meghatározott elismerhetőségi kritériumoknak.</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Kisebbségi részesedések és azok megfelelői</w:t>
            </w:r>
          </w:p>
          <w:p w14:paraId="463F1E68" w14:textId="5BA82046"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Az 575/2013/EU rendelet 479. és 480. cikke</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az átmeneti rendelkezések hatásait mutatja a CET1 tőkeként figyelembe vehető kisebbségi részesedésekben; a konszolidált AT1 tőke részét képező, a T1 tőkébe beszámítható instrumentumokban; valamint a konszolidált T2 tőke részét képező, a szavatolótőkébe beszámítható tőkeelemekben.</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Kisebbségi részesedésnek nem minősülő tőkeinstrumentumok és egyéb tőkeelemek</w:t>
            </w:r>
          </w:p>
          <w:p w14:paraId="29374C1D" w14:textId="5BEB110B" w:rsidR="00BF0637" w:rsidRPr="002A677E" w:rsidRDefault="00BF0637" w:rsidP="00487A02">
            <w:pPr>
              <w:pStyle w:val="InstructionsText"/>
              <w:rPr>
                <w:rStyle w:val="InstructionsTabelleText"/>
                <w:rFonts w:ascii="Times New Roman" w:hAnsi="Times New Roman"/>
                <w:bCs/>
                <w:sz w:val="24"/>
              </w:rPr>
            </w:pPr>
            <w:r>
              <w:t xml:space="preserve">Az 575/2013/EU rendelet </w:t>
            </w:r>
            <w:r>
              <w:rPr>
                <w:rStyle w:val="InstructionsTabelleText"/>
                <w:rFonts w:ascii="Times New Roman" w:hAnsi="Times New Roman"/>
                <w:sz w:val="24"/>
              </w:rPr>
              <w:t>479. cikke.</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 sor 060-as oszlopában feltüntetendő érték a korábbi szabályozás szerint konszolidált tartaléknak minősülő összeg.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A kisebbségi részesedések átmeneti figyelembevétele a konszolidált szavatolótőkében</w:t>
            </w:r>
          </w:p>
          <w:p w14:paraId="768DEBF4" w14:textId="63F9B740" w:rsidR="00BF0637" w:rsidRPr="002A677E" w:rsidRDefault="00BF0637" w:rsidP="00487A02">
            <w:pPr>
              <w:pStyle w:val="InstructionsText"/>
              <w:rPr>
                <w:rStyle w:val="InstructionsTabelleText"/>
                <w:rFonts w:ascii="Times New Roman" w:hAnsi="Times New Roman"/>
                <w:sz w:val="24"/>
              </w:rPr>
            </w:pPr>
            <w:r>
              <w:t>Az 575/2013/EU rendelet 84. és 480. cikke</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Az AT1 tőkébe beszámítható elemek átmeneti figyelembevétele a konszolidált szavatolótőkében</w:t>
            </w:r>
          </w:p>
          <w:p w14:paraId="785C1131" w14:textId="7DF7ED6F" w:rsidR="00BF0637" w:rsidRPr="002A677E" w:rsidRDefault="00BF0637" w:rsidP="00487A02">
            <w:pPr>
              <w:pStyle w:val="InstructionsText"/>
              <w:rPr>
                <w:rStyle w:val="InstructionsTabelleText"/>
                <w:rFonts w:ascii="Times New Roman" w:hAnsi="Times New Roman"/>
                <w:sz w:val="24"/>
              </w:rPr>
            </w:pPr>
            <w:r>
              <w:t>Az 575/2013/EU rendelet 85. és 480. cikke</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A T2 tőkébe beszámítható elemek átmeneti figyelembevétele a konszolidált szavatolótőkében</w:t>
            </w:r>
          </w:p>
          <w:p w14:paraId="5DAEB4D6" w14:textId="2B5CBDB3" w:rsidR="00BF0637" w:rsidRPr="002A677E" w:rsidRDefault="00BF0637" w:rsidP="00487A02">
            <w:pPr>
              <w:pStyle w:val="InstructionsText"/>
              <w:rPr>
                <w:rStyle w:val="InstructionsTabelleText"/>
                <w:rFonts w:ascii="Times New Roman" w:hAnsi="Times New Roman"/>
                <w:sz w:val="24"/>
              </w:rPr>
            </w:pPr>
            <w:r>
              <w:t>Az 575/2013/EU rendelet 87. és 480. cikke</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Egyéb átmeneti kiigazítások</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Az 575/2013/EU rendelet 468–478. és 481. cikke</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az átmeneti kiigazítások általános hatását mutatja az egyes tőketípusokon belüli levonásokban, a nem realizált nyereségben és veszteségben, valamint a további szűrőkben és levonásokban, továbbá a megadott kiigazításokból eredő, kockázattal súlyozott összegeket.</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Központi kormányzatokkal, regionális kormányzatokkal, helyi hatóságokkal és közszektorbeli intézményekkel szembeni egyes hitelviszonyt megtestesítő kitettségekből származó nem realizált nyereség és veszteség</w:t>
            </w:r>
          </w:p>
          <w:p w14:paraId="0C5B0916" w14:textId="62C973B3" w:rsidR="00FA67D6" w:rsidRPr="002A677E" w:rsidRDefault="00FA67D6" w:rsidP="00487A02">
            <w:pPr>
              <w:pStyle w:val="InstructionsText"/>
              <w:rPr>
                <w:rStyle w:val="InstructionsTabelleberschrift"/>
                <w:rFonts w:ascii="Times New Roman" w:hAnsi="Times New Roman"/>
                <w:sz w:val="24"/>
              </w:rPr>
            </w:pPr>
            <w:r>
              <w:t xml:space="preserve">Az 575/2013/EU rendelet </w:t>
            </w:r>
            <w:r>
              <w:rPr>
                <w:rStyle w:val="InstructionsTabelleText"/>
                <w:rFonts w:ascii="Times New Roman" w:hAnsi="Times New Roman"/>
                <w:sz w:val="24"/>
              </w:rPr>
              <w:t>468. cikke.</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ebből: „A” összeg</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lastRenderedPageBreak/>
              <w:t>Az 575/2013/EU rendelet 468. cikkének (1) bekezdésében említett képletnek megfelelően kiszámított „A” összeg.</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Levonások</w:t>
            </w:r>
          </w:p>
          <w:p w14:paraId="01804965" w14:textId="73151E9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Az 575/2013/EU rendelet </w:t>
            </w:r>
            <w:r>
              <w:rPr>
                <w:rStyle w:val="InstructionsTabelleText"/>
                <w:rFonts w:ascii="Times New Roman" w:hAnsi="Times New Roman"/>
                <w:sz w:val="24"/>
              </w:rPr>
              <w:t>36. cikke (1) bekezdése és 469–478. cikke.</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 levonásokra vonatkozó átmeneti rendelkezések általános hatását mutatja.</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Jövőbeli nyereségtől függően érvényesíthető, nem átmeneti különbözetből eredő halasztott adókövetelések</w:t>
            </w:r>
          </w:p>
          <w:p w14:paraId="34284203" w14:textId="2D520E5B" w:rsidR="00BF0637" w:rsidRPr="002A677E" w:rsidRDefault="00BF0637" w:rsidP="00487A02">
            <w:pPr>
              <w:pStyle w:val="InstructionsText"/>
              <w:rPr>
                <w:rStyle w:val="InstructionsTabelleText"/>
                <w:rFonts w:ascii="Times New Roman" w:hAnsi="Times New Roman"/>
                <w:sz w:val="24"/>
              </w:rPr>
            </w:pPr>
            <w:r>
              <w:t>Az 575/2013/EU rendelet 36. cikke (1) bekezdésének c) pontja, 469. cikkének (1) bekezdése, 472. cikkének (5) bekezdése és 478. cikke.</w:t>
            </w:r>
          </w:p>
          <w:p w14:paraId="0779310E" w14:textId="3FFD8795" w:rsidR="00BF0637" w:rsidRPr="002A677E" w:rsidRDefault="00BF0637" w:rsidP="00487A02">
            <w:pPr>
              <w:pStyle w:val="InstructionsText"/>
              <w:rPr>
                <w:rStyle w:val="InstructionsTabelleText"/>
                <w:rFonts w:ascii="Times New Roman" w:hAnsi="Times New Roman"/>
                <w:sz w:val="24"/>
              </w:rPr>
            </w:pPr>
            <w:r>
              <w:t>A halasztott adókövetelések levonandó összegének meghatározásakor az intézményeknek figyelembe kell venniük az 575/2013/EU rendelet 38. cikkének azon rendelkezéseit, amelyek a halasztott adóköveteléseknek a halasztott adókötelezettségekkel való csökkentésére vonatkoznak.</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sor 0060-as oszlopában feltüntetendő érték: </w:t>
            </w:r>
            <w:r>
              <w:t>az 575/2013/EU rendelet 469. cikkének (1) bekezdése szerinti teljes összeg.</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 jövőbeni nyereségtől függően érvényesíthető és átmeneti különbözetekből eredő halasztott adókövetelések, valamint a pénzügyi ágazatbeli szervezetek által kibocsátott CET1 tőkeinstrumentumok, ha az intézmény jelentős befektetéssel rendelkezik az említett vállalkozásokban</w:t>
            </w:r>
          </w:p>
          <w:p w14:paraId="67D916A8" w14:textId="79CA89C9" w:rsidR="00BF0637" w:rsidRPr="002A677E" w:rsidRDefault="00BF0637" w:rsidP="00487A02">
            <w:pPr>
              <w:pStyle w:val="InstructionsText"/>
              <w:rPr>
                <w:rStyle w:val="InstructionsTabelleText"/>
                <w:rFonts w:ascii="Times New Roman" w:hAnsi="Times New Roman"/>
                <w:sz w:val="24"/>
              </w:rPr>
            </w:pPr>
            <w:r>
              <w:t>Az 575/2013/EU rendelet 470. cikkének (2) és (3) bekezdése.</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sor 0060-as oszlopában feltüntetendő érték: </w:t>
            </w:r>
            <w:r>
              <w:t>Az 575/2013/EU rendelet 470. cikkének (1) bekezdése.</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Jövőbeli nyereségtől függően érvényesíthető és átmeneti különbözetből eredő halasztott adókövetelések</w:t>
            </w:r>
          </w:p>
          <w:p w14:paraId="1473C6AA" w14:textId="6D1B258E" w:rsidR="00BF0637" w:rsidRPr="002A677E" w:rsidRDefault="00BF0637" w:rsidP="00487A02">
            <w:pPr>
              <w:pStyle w:val="InstructionsText"/>
              <w:rPr>
                <w:rStyle w:val="InstructionsTabelleText"/>
                <w:rFonts w:ascii="Times New Roman" w:hAnsi="Times New Roman"/>
                <w:bCs/>
                <w:sz w:val="24"/>
              </w:rPr>
            </w:pPr>
            <w:r>
              <w:t>Az 575/2013/EU rendelet 469. cikke (1) bekezdésének c) pontja, 472. cikkének (5) bekezdése és 478. cikke.</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A jövőbeli nyereségtől függően érvényesíthető és átmeneti különbözetből eredő halasztott adókövetelések azon része, amely meghaladja az 575/2013/EU rendelet 470. cikke (2) bekezdésének a) pontja szerinti 10 %-os küszöbértéket.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Mentesség a biztosítókban lévő tulajdoni részesedésnek a CET1 tőkeelemekből történő levonása alól</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471. cikke.</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További szűrők és levonások</w:t>
            </w:r>
          </w:p>
          <w:p w14:paraId="523DF61B" w14:textId="0424F5F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481. cikke.</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Ez a sor a további szűrőkre és levonásokra vonatkozó átmeneti rendelkezések általános hatását mutatja.</w:t>
            </w:r>
          </w:p>
          <w:p w14:paraId="4BED1B99" w14:textId="18FD73FB" w:rsidR="00BF0637" w:rsidRPr="002A677E" w:rsidRDefault="00BF0637" w:rsidP="00487A02">
            <w:pPr>
              <w:pStyle w:val="InstructionsText"/>
              <w:rPr>
                <w:rStyle w:val="InstructionsTabelleText"/>
                <w:rFonts w:ascii="Times New Roman" w:hAnsi="Times New Roman"/>
                <w:sz w:val="24"/>
              </w:rPr>
            </w:pPr>
            <w:r>
              <w:t xml:space="preserve">Az 575/2013/EU rendelet 481. cikkével összhangban az intézmények az 1.3.3. tételben adatot szolgáltatnak a 2006/48/EK irányelv 57. és 66. cikkét, </w:t>
            </w:r>
            <w:r>
              <w:lastRenderedPageBreak/>
              <w:t>valamint a 2006/49/EK irányelv 13. és 16. cikkét átültető nemzeti intézkedések által előírt, az 575/2013/EU rendelet második része szerint azonban nem előírt szűrőkről és levonásokról.</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Pr>
                <w:rStyle w:val="InstructionsTabelleberschrift"/>
                <w:rFonts w:ascii="Times New Roman" w:hAnsi="Times New Roman"/>
                <w:sz w:val="24"/>
              </w:rPr>
              <w:tab/>
              <w:t>Az IFRS 9-hez kapcsolódó átmeneti intézkedések miatti kiigazítások</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t>Az 575/2013/EU rendelet 473a. cikke.</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 az IFRS 9 miatti átmeneti intézkedésekkel összefüggésben szolgáltatnak adatokat az alkalmazandó jogszabályi rendelkezéseknek megfelelően.</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statikus komponens várható hitelezési veszteségre gyakorolt hatása</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Az 575/2013/EU rendelet 473a. cikkének (1) bekezdésében említett A</w:t>
            </w:r>
            <w:r>
              <w:rPr>
                <w:vertAlign w:val="subscript"/>
              </w:rPr>
              <w:t>2,SA</w:t>
            </w:r>
            <w:r>
              <w:t xml:space="preserve"> és A</w:t>
            </w:r>
            <w:r>
              <w:rPr>
                <w:vertAlign w:val="subscript"/>
              </w:rPr>
              <w:t>2, IRB</w:t>
            </w:r>
            <w:r>
              <w:t xml:space="preserve"> összege.</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t>Az A</w:t>
            </w:r>
            <w:r>
              <w:rPr>
                <w:vertAlign w:val="subscript"/>
              </w:rPr>
              <w:t>2, IRB</w:t>
            </w:r>
            <w:r>
              <w:t xml:space="preserve"> esetében a feltüntetett IRB-érték a várható veszteségekkel csökkentett összeg az 575/2013/EU rendelet 473a. cikke (5) bekezdésének a) pontjában előírtak szerint.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dinamikus komponens várható hitelezési veszteségre gyakorolt hatása a 2018. január 1. és 2019. december 31. közötti időszakban</w:t>
            </w:r>
          </w:p>
          <w:p w14:paraId="5CB75D93" w14:textId="607A65B9" w:rsidR="0022311E" w:rsidRPr="002A677E" w:rsidRDefault="0022311E" w:rsidP="00695A63">
            <w:pPr>
              <w:pStyle w:val="InstructionsText"/>
              <w:rPr>
                <w:rStyle w:val="InstructionsTabelleberschrift"/>
                <w:rFonts w:ascii="Times New Roman" w:hAnsi="Times New Roman"/>
                <w:sz w:val="24"/>
              </w:rPr>
            </w:pPr>
            <w:r>
              <w:t xml:space="preserve">Az 575/2013/EU rendelet 473a. cikkének (1) bekezdésében említett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t xml:space="preserve"> és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t xml:space="preserve"> összege. </w:t>
            </w:r>
            <w:r>
              <w:rPr>
                <w:rStyle w:val="InstructionsTabelleberschrift"/>
                <w:rFonts w:ascii="Times New Roman" w:hAnsi="Times New Roman"/>
                <w:b w:val="0"/>
                <w:sz w:val="24"/>
                <w:u w:val="none"/>
              </w:rP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dinamikus komponens várható hitelezési veszteségre gyakorolt hatása a 2020. január 1-jén kezdődő időszakban</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Az 575/2013/EU rendelet 473a. cikkének (1) bekezdésében említett A</w:t>
            </w:r>
            <w:r>
              <w:rPr>
                <w:vertAlign w:val="subscript"/>
              </w:rPr>
              <w:t>4,SA</w:t>
            </w:r>
            <w:r>
              <w:t xml:space="preserve"> és A</w:t>
            </w:r>
            <w:r>
              <w:rPr>
                <w:vertAlign w:val="subscript"/>
              </w:rPr>
              <w:t>4, IRB</w:t>
            </w:r>
            <w:r>
              <w:t xml:space="preserve"> összege.</w:t>
            </w:r>
          </w:p>
          <w:p w14:paraId="568C07D5" w14:textId="3B794C0C" w:rsidR="0022311E" w:rsidRPr="002A677E" w:rsidRDefault="0022311E" w:rsidP="00F217D5">
            <w:pPr>
              <w:pStyle w:val="InstructionsText"/>
              <w:rPr>
                <w:rStyle w:val="InstructionsTabelleberschrift"/>
                <w:rFonts w:ascii="Times New Roman" w:hAnsi="Times New Roman"/>
                <w:sz w:val="24"/>
              </w:rPr>
            </w:pPr>
            <w:r>
              <w:t>Az A</w:t>
            </w:r>
            <w:r>
              <w:rPr>
                <w:vertAlign w:val="subscript"/>
              </w:rPr>
              <w:t>4, IRB</w:t>
            </w:r>
            <w:r>
              <w:t xml:space="preserve"> esetében a feltüntetett IRB-érték a várható veszteségekkel csökkentett összeg az 575/2013/EU rendelet 473a. cikke (5) bekezdésének b) és c) pontjában előírtak szerint.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116039889"/>
      <w:bookmarkStart w:id="87" w:name="_Toc360188337"/>
      <w:bookmarkEnd w:id="83"/>
      <w:r>
        <w:rPr>
          <w:rFonts w:ascii="Times New Roman" w:hAnsi="Times New Roman"/>
          <w:sz w:val="24"/>
          <w:u w:val="none"/>
        </w:rPr>
        <w:t>1.6.3.</w:t>
      </w:r>
      <w:r>
        <w:rPr>
          <w:rFonts w:ascii="Times New Roman" w:hAnsi="Times New Roman"/>
          <w:sz w:val="24"/>
          <w:u w:val="none"/>
        </w:rPr>
        <w:tab/>
      </w:r>
      <w:r>
        <w:rPr>
          <w:rFonts w:ascii="Times New Roman" w:hAnsi="Times New Roman"/>
          <w:sz w:val="24"/>
        </w:rPr>
        <w:t>C 05.02 – SZERZETT JOGOK ALAPJÁN FIGYELEMBE VETT TŐKEINSTRUMENTUMOK: ÁLLAMI TÁMOGATÁSNAK NEM MINŐSÜLŐ INSTRUMENTUMOK (CA5.2)</w:t>
      </w:r>
      <w:bookmarkEnd w:id="84"/>
      <w:bookmarkEnd w:id="85"/>
      <w:bookmarkEnd w:id="86"/>
      <w:r>
        <w:rPr>
          <w:rFonts w:ascii="Times New Roman" w:hAnsi="Times New Roman"/>
          <w:sz w:val="24"/>
          <w:u w:val="none"/>
        </w:rPr>
        <w:t xml:space="preserve"> </w:t>
      </w:r>
      <w:bookmarkEnd w:id="87"/>
    </w:p>
    <w:p w14:paraId="381FD194" w14:textId="6AA73B47" w:rsidR="00783881"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26</w:t>
      </w:r>
      <w:r>
        <w:rPr>
          <w:noProof/>
        </w:rPr>
        <w:fldChar w:fldCharType="end"/>
      </w:r>
      <w:r w:rsidR="00C3070C">
        <w:t>.</w:t>
      </w:r>
      <w:r w:rsidR="00C3070C">
        <w:tab/>
        <w:t>Az intézmények a szerzett jogok alapján figyelembe vett, állami támogatásnak nem minősülő instrumentumokra vonatkozó átmeneti rendelkezésekkel összefüggésben szolgáltatnak adatokat (az 575/2013/EU rendelet 484–491. cikke).</w:t>
      </w:r>
    </w:p>
    <w:p w14:paraId="37B7FB6D" w14:textId="34D04E0A"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6039890"/>
      <w:r>
        <w:rPr>
          <w:rFonts w:ascii="Times New Roman" w:hAnsi="Times New Roman"/>
          <w:sz w:val="24"/>
          <w:u w:val="none"/>
        </w:rPr>
        <w:t>1.6.3.1.</w:t>
      </w:r>
      <w:r>
        <w:rPr>
          <w:rFonts w:ascii="Times New Roman" w:hAnsi="Times New Roman"/>
          <w:sz w:val="24"/>
          <w:u w:val="none"/>
        </w:rPr>
        <w:tab/>
      </w:r>
      <w:r>
        <w:rPr>
          <w:rFonts w:ascii="Times New Roman" w:hAnsi="Times New Roman"/>
          <w:sz w:val="24"/>
        </w:rPr>
        <w:t>Az egyes pozíciókra vonatkozó útmutató</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Oszlopok</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Az instrumentumok kapcsolódó ázsióval növelt értéke</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lastRenderedPageBreak/>
              <w:t>Az 575/2013/EU rendelet 484. cikkének (3), (4) és (5) bekezdése.</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Az egyes sorokban figyelembe vehető instrumentumok a kapcsolódó ázsióval együtt.</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 korlátszámítás alapja</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486. cikkének (2), (3) és (4) bekezdése.</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p w14:paraId="2EF263DA" w14:textId="328DC369"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486. cikkének (5) bekezdése.</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Korlát</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486. cikkének (2)–(5) bekezdése.</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A szerzett jogok figyelembevételének korlátját meghaladó összeg</w:t>
            </w:r>
          </w:p>
          <w:p w14:paraId="243EA3A5" w14:textId="7E3C8B22" w:rsidR="002648B0" w:rsidRPr="002A677E" w:rsidRDefault="00F217D5" w:rsidP="00EE6F6C">
            <w:pPr>
              <w:pStyle w:val="body"/>
              <w:rPr>
                <w:rStyle w:val="InstructionsTabelleText"/>
                <w:rFonts w:ascii="Times New Roman" w:hAnsi="Times New Roman"/>
                <w:sz w:val="24"/>
              </w:rPr>
            </w:pPr>
            <w:r>
              <w:rPr>
                <w:rFonts w:ascii="Times New Roman" w:hAnsi="Times New Roman"/>
                <w:sz w:val="24"/>
              </w:rPr>
              <w:t>Az 575/2013/EU rendelet 486. cikkének (2)–(5) bekezdése.</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 szerzett jogok alapján figyelembe vett teljes összeg</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értékek megegyeznek a CA5.1. tábla 060-as sorának megfelelő oszlopaiban megadott összegekkel.</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Sorok</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A 2006/48/EK irányelv 57. cikkének a) pontja értelmében figyelembe vett instrumentumok</w:t>
            </w:r>
          </w:p>
          <w:p w14:paraId="00D57BCE" w14:textId="5AAA46BD"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484. cikkének (3) bekezdése.</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A 2006/48/EK irányelv 57. cikkének ca) pontja, valamint 154. cikkének (8) és (9) bekezdése értelmében figyelembe vett instrumentumok, az 575/2013/EU rendelet 489. cikkében rögzített korlát alkalmazásával</w:t>
            </w:r>
          </w:p>
          <w:p w14:paraId="237A5DBB" w14:textId="5B2285B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484. cikkének (4) bekezdése.</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Visszavásárlásra nem ösztönző, visszahívási opciót nem tartalmazó instrumentumok összesen</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Az 575/2013/EU rendelet 484. cikkének (4) bekezdése és 489. cikke</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Visszavásárlásra ösztönző, visszahívási opciót tartalmazó, de a szerzett jogok alapján figyelembe vett instrumentumok</w:t>
            </w:r>
          </w:p>
          <w:p w14:paraId="1DEEB56A" w14:textId="112B9A75"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 xml:space="preserve">Az 575/2013/EU rendelet </w:t>
            </w:r>
            <w:r>
              <w:rPr>
                <w:rStyle w:val="InstructionsTabelleText"/>
                <w:rFonts w:ascii="Times New Roman" w:hAnsi="Times New Roman"/>
                <w:sz w:val="24"/>
              </w:rPr>
              <w:t>489. cikke.</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50D13E63"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Az adatszolgáltatás időpontja után érvényesíthető visszahívási opcióval rendelkező, az 575/2013/EU rendelet 52. cikkében foglalt feltételeket a tényleges lejáratot követően teljesítő instrumentumok</w:t>
            </w:r>
          </w:p>
          <w:p w14:paraId="32E1DD3C" w14:textId="094A90DD"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489. cikke (3) bekezdése és 491. cikkének a) pontja.</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Az adatszolgáltatás időpontja után érvényesíthető visszahívási opcióval rendelkező, az 575/2013/EU rendelet 52. cikkében foglalt feltételeket a tényleges lejáratot követően nem teljesítő instrumentumok</w:t>
            </w:r>
          </w:p>
          <w:p w14:paraId="4E10D164" w14:textId="0CA421EA"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Az 575/2013/EU rendelet 489. cikke (5) bekezdése és 491. cikkének a) pontja.</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2011. július 20-ig érvényesíthető visszahívási opcióval rendelkező, az 575/2013/EU rendelet 52. cikkében foglalt feltételeket a tényleges lejáratot követően nem teljesítő instrumentumok</w:t>
            </w:r>
          </w:p>
          <w:p w14:paraId="6CCC8453" w14:textId="63B69EA5"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Az 575/2013/EU rendelet 489. cikkének (6) bekezdése és 491. cikkének c) pontja.</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A szerzett jogok alapján figyelembe vett CET1 tőkeinstrumentumok korlátját meghaladó érték</w:t>
            </w:r>
          </w:p>
          <w:p w14:paraId="0854136B" w14:textId="21F7E37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487. cikkének (1) bekezdése.</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 szerzett jogok alapján figyelembe vett CET1 tőkeinstrumentumok korlátját meghaladó érték olyan eszközként kezelhető, amely az AT1 tőkén belül a szerzett jogok alapján figyelembe vehető.</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A 2006/48/EK irányelv 57. cikkének e), f), g) vagy h) pontja értelmében figyelembe vett tételek, az 575/2013/EU rendelet 490. cikkében rögzített korlát alkalmazásával</w:t>
            </w:r>
          </w:p>
          <w:p w14:paraId="1358C363" w14:textId="6D32BC6E"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Az 575/2013/EU rendelet 484. cikkének (5) bekezdése.</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Visszavásárlásra nem ösztönző tételek összesen</w:t>
            </w:r>
          </w:p>
          <w:p w14:paraId="72F48FE8" w14:textId="4E73AD57"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490. cikke.</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Visszavásárlásra ösztönző, a szerzett jogok alapján figyelembe vett tételek</w:t>
            </w:r>
          </w:p>
          <w:p w14:paraId="02206BE0" w14:textId="46CDB34E"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490. cikke.</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Az adatszolgáltatás időpontja után érvényesíthető visszahívási opcióval rendelkező, az 575/2013/EU rendelet 63. cikkében foglalt feltételeket a tényleges lejáratot követően teljesítő tételek</w:t>
            </w:r>
          </w:p>
          <w:p w14:paraId="404600DF" w14:textId="0FB5D2C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Az 575/2013/EU rendelet 490. cikke (3) bekezdése és 491. cikkének a) pontja.</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41CAF4C9"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Az adatszolgáltatás időpontja után érvényesíthető visszahívási opcióval rendelkező, az 575/2013/EU rendelet 63. cikkében foglalt feltételeket a tényleges lejáratot követően nem teljesítő tételek</w:t>
            </w:r>
          </w:p>
          <w:p w14:paraId="2F07BC15" w14:textId="5619251F"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Az 575/2013/EU rendelet 490. cikke (5) bekezdése és 491. cikkének a) pontja.</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1DB1EA42"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2011. július 20-ig érvényesíthető visszahívási opcióval rendelkező, az 575/2013/EU rendelet 63. cikkében foglalt feltételeket a tényleges lejáratot követően nem teljesítő tételek</w:t>
            </w:r>
          </w:p>
          <w:p w14:paraId="7D73A991" w14:textId="6FF0FD99"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Az 575/2013/EU rendelet 490. cikkének (6) bekezdése és 491. cikkének c) pontja.</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 feltüntetendő érték magában foglalja a kapcsolódó ázsiót.</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A szerzett jogok alapján figyelembe vett AT1 tőkeinstrumentumok korlátját meghaladó érték</w:t>
            </w:r>
          </w:p>
          <w:p w14:paraId="36BAD648" w14:textId="71722B24"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 xml:space="preserve">Az 575/2013/EU rendelet 487. cikkének (2) bekezdése. </w:t>
            </w:r>
            <w:r>
              <w:rPr>
                <w:rStyle w:val="InstructionsTabelleText"/>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szerzett jogok alapján figyelembe vett AT1 tőkeinstrumentumok korlátját meghaladó érték olyan eszközként kezelhető, amely az T2 tőkén belül a szerzett jogok alapján figyelembe vehető.</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6039891"/>
      <w:bookmarkEnd w:id="91"/>
      <w:bookmarkEnd w:id="92"/>
      <w:bookmarkEnd w:id="93"/>
      <w:r>
        <w:rPr>
          <w:rFonts w:ascii="Times New Roman" w:hAnsi="Times New Roman"/>
          <w:sz w:val="24"/>
          <w:u w:val="none"/>
        </w:rPr>
        <w:t>2.</w:t>
      </w:r>
      <w:r>
        <w:rPr>
          <w:rFonts w:ascii="Times New Roman" w:hAnsi="Times New Roman"/>
          <w:sz w:val="24"/>
          <w:u w:val="none"/>
        </w:rPr>
        <w:tab/>
      </w:r>
      <w:r>
        <w:rPr>
          <w:rFonts w:ascii="Times New Roman" w:hAnsi="Times New Roman"/>
          <w:sz w:val="24"/>
        </w:rPr>
        <w:t>CSOPORTSZINTŰ SZAVATOLÓTŐKE-MEGFELELÉS: INFORMÁCIÓK A CSOPORTBA TARTOZÓ SZERVEZETEKRŐL (GS)</w:t>
      </w:r>
      <w:bookmarkEnd w:id="94"/>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6039892"/>
      <w:r>
        <w:rPr>
          <w:rFonts w:ascii="Times New Roman" w:hAnsi="Times New Roman"/>
          <w:sz w:val="24"/>
          <w:u w:val="none"/>
        </w:rPr>
        <w:t>2.1.</w:t>
      </w:r>
      <w:r>
        <w:rPr>
          <w:rFonts w:ascii="Times New Roman" w:hAnsi="Times New Roman"/>
          <w:sz w:val="24"/>
          <w:u w:val="none"/>
        </w:rPr>
        <w:tab/>
      </w:r>
      <w:r>
        <w:rPr>
          <w:rFonts w:ascii="Times New Roman" w:hAnsi="Times New Roman"/>
          <w:sz w:val="24"/>
        </w:rPr>
        <w:t>Általános megjegyzések</w:t>
      </w:r>
      <w:bookmarkEnd w:id="97"/>
      <w:bookmarkEnd w:id="98"/>
      <w:bookmarkEnd w:id="99"/>
      <w:bookmarkEnd w:id="100"/>
      <w:bookmarkEnd w:id="101"/>
      <w:bookmarkEnd w:id="102"/>
      <w:bookmarkEnd w:id="103"/>
    </w:p>
    <w:p w14:paraId="0DE48938"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27</w:t>
      </w:r>
      <w:r>
        <w:rPr>
          <w:noProof/>
        </w:rPr>
        <w:fldChar w:fldCharType="end"/>
      </w:r>
      <w:r w:rsidR="00C3070C">
        <w:t>.</w:t>
      </w:r>
      <w:r w:rsidR="00C3070C">
        <w:tab/>
        <w:t>A C 06.01-es és C 06.02-es táblán a szavatolótőke-követelmények konszolidált alapon történő számítása esetén kell adatot szolgáltatni. A C 06.02 tábla négy részből áll, amelyek célja különböző információk gyűjtése a konszolidációs körbe bevont valamennyi szervezetről, ezen belül az adatot szolgáltató intézményről:</w:t>
      </w:r>
    </w:p>
    <w:p w14:paraId="1370D22F" w14:textId="77777777" w:rsidR="00C93697" w:rsidRPr="002A677E" w:rsidRDefault="00125707" w:rsidP="00487A02">
      <w:pPr>
        <w:pStyle w:val="InstructionsText2"/>
        <w:numPr>
          <w:ilvl w:val="0"/>
          <w:numId w:val="0"/>
        </w:numPr>
        <w:ind w:left="1353" w:hanging="360"/>
      </w:pPr>
      <w:r>
        <w:t>a)</w:t>
      </w:r>
      <w:r>
        <w:tab/>
        <w:t>a konszolidáció körébe bevont szervezetek;</w:t>
      </w:r>
    </w:p>
    <w:p w14:paraId="6A3C0853" w14:textId="77777777" w:rsidR="00C93697" w:rsidRPr="002A677E" w:rsidRDefault="00125707" w:rsidP="00487A02">
      <w:pPr>
        <w:pStyle w:val="InstructionsText2"/>
        <w:numPr>
          <w:ilvl w:val="0"/>
          <w:numId w:val="0"/>
        </w:numPr>
        <w:ind w:left="1353" w:hanging="360"/>
      </w:pPr>
      <w:r>
        <w:t>b)</w:t>
      </w:r>
      <w:r>
        <w:tab/>
        <w:t>részletes információk a csoportszintű szavatolótőke-megfelelésről;</w:t>
      </w:r>
    </w:p>
    <w:p w14:paraId="1C183B49" w14:textId="77777777" w:rsidR="00C93697" w:rsidRPr="002A677E" w:rsidRDefault="00125707" w:rsidP="00487A02">
      <w:pPr>
        <w:pStyle w:val="InstructionsText2"/>
        <w:numPr>
          <w:ilvl w:val="0"/>
          <w:numId w:val="0"/>
        </w:numPr>
        <w:ind w:left="1353" w:hanging="360"/>
      </w:pPr>
      <w:r>
        <w:t>c)</w:t>
      </w:r>
      <w:r>
        <w:tab/>
        <w:t>az egyes szervezeteknek a csoportszintű szavatolótőke-megfeleléshez való hozzájárulásával kapcsolatos információk;</w:t>
      </w:r>
    </w:p>
    <w:p w14:paraId="68A71EE8" w14:textId="77777777" w:rsidR="00C93697" w:rsidRPr="002A677E" w:rsidRDefault="00125707" w:rsidP="00487A02">
      <w:pPr>
        <w:pStyle w:val="InstructionsText2"/>
        <w:numPr>
          <w:ilvl w:val="0"/>
          <w:numId w:val="0"/>
        </w:numPr>
        <w:ind w:left="1353" w:hanging="360"/>
      </w:pPr>
      <w:r>
        <w:t>d)</w:t>
      </w:r>
      <w:r>
        <w:tab/>
        <w:t>a tőkepufferekkel kapcsolatos információk.</w:t>
      </w:r>
    </w:p>
    <w:p w14:paraId="6E599DBE" w14:textId="672E182F"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28</w:t>
      </w:r>
      <w:r>
        <w:rPr>
          <w:noProof/>
        </w:rPr>
        <w:fldChar w:fldCharType="end"/>
      </w:r>
      <w:r w:rsidR="00C3070C">
        <w:t>.</w:t>
      </w:r>
      <w:r w:rsidR="00C3070C">
        <w:tab/>
        <w:t>Az 575/2013/EU rendelet 7. cikke alapján mentesülő intézmények kizárólag a 0010–0060-as és 0250–0400-as oszlopban szolgáltatnak adatot.</w:t>
      </w:r>
    </w:p>
    <w:p w14:paraId="7F057EB3" w14:textId="6E62A767" w:rsidR="004C0508"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29</w:t>
      </w:r>
      <w:r>
        <w:rPr>
          <w:noProof/>
        </w:rPr>
        <w:fldChar w:fldCharType="end"/>
      </w:r>
      <w:r w:rsidR="00C3070C">
        <w:t>.</w:t>
      </w:r>
      <w:r w:rsidR="00C3070C">
        <w:tab/>
        <w:t>A feltüntetett adatoknak figyelembe kell venniük az 575/2013/EU rendelet összes olyan átmeneti rendelkezését, amely az adott adatszolgáltatás időpontjában alkalmazandó volt.</w:t>
      </w:r>
    </w:p>
    <w:p w14:paraId="10DAA2D3" w14:textId="4B3F6E86"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6039893"/>
      <w:r>
        <w:rPr>
          <w:rFonts w:ascii="Times New Roman" w:hAnsi="Times New Roman"/>
          <w:sz w:val="24"/>
          <w:u w:val="none"/>
        </w:rPr>
        <w:t>2.2.</w:t>
      </w:r>
      <w:r>
        <w:rPr>
          <w:rFonts w:ascii="Times New Roman" w:hAnsi="Times New Roman"/>
          <w:sz w:val="24"/>
          <w:u w:val="none"/>
        </w:rPr>
        <w:tab/>
      </w:r>
      <w:r>
        <w:rPr>
          <w:rFonts w:ascii="Times New Roman" w:hAnsi="Times New Roman"/>
          <w:sz w:val="24"/>
        </w:rPr>
        <w:t>Részletes információk a csoportszintű szavatolótőke-megfelelésről</w:t>
      </w:r>
      <w:bookmarkEnd w:id="104"/>
      <w:bookmarkEnd w:id="105"/>
      <w:bookmarkEnd w:id="106"/>
    </w:p>
    <w:p w14:paraId="2EA52DA1"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30</w:t>
      </w:r>
      <w:r>
        <w:rPr>
          <w:noProof/>
        </w:rPr>
        <w:fldChar w:fldCharType="end"/>
      </w:r>
      <w:r w:rsidR="00C3070C">
        <w:t>.</w:t>
      </w:r>
      <w:r w:rsidR="00C3070C">
        <w:tab/>
        <w:t xml:space="preserve">A C 06.02 tábla második része (részletes információk a csoportszintű szavatolótőke-megfelelésről, 0070–0210-es oszlop) célja információk gyűjtése azon hitelintézetekről és egyéb szabályozott pénzügyi vállalkozásokról, amelyek egyedi alapon ténylegesen konkrét tőkemegfelelési követelmények hatálya alá tartoznak. Az adatszolgáltatás körébe tartozó valamennyi szervezetre vonatkozóan rögzíti az egyes kockázati kategóriák szavatolótőke-követelményeit, valamint a tőkemegfelelés megállapításához szükséges szavatolótőke mértékét. </w:t>
      </w:r>
    </w:p>
    <w:p w14:paraId="11D43D14" w14:textId="77777777" w:rsidR="00464F34"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31</w:t>
      </w:r>
      <w:r>
        <w:rPr>
          <w:noProof/>
        </w:rPr>
        <w:fldChar w:fldCharType="end"/>
      </w:r>
      <w:r w:rsidR="00C3070C">
        <w:t>.</w:t>
      </w:r>
      <w:r w:rsidR="00C3070C">
        <w:tab/>
        <w:t>A részesedések arányos konszolidálása esetében a szavatolótőke-követelményekkel és a szavatolótőkével kapcsolatos adatok az adott arányos összegeknek felelnek meg.</w:t>
      </w:r>
    </w:p>
    <w:p w14:paraId="1637D59A" w14:textId="3554CCD1"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6039894"/>
      <w:r>
        <w:rPr>
          <w:rFonts w:ascii="Times New Roman" w:hAnsi="Times New Roman"/>
          <w:sz w:val="24"/>
          <w:u w:val="none"/>
        </w:rPr>
        <w:t>2.3.</w:t>
      </w:r>
      <w:r>
        <w:rPr>
          <w:rFonts w:ascii="Times New Roman" w:hAnsi="Times New Roman"/>
          <w:sz w:val="24"/>
          <w:u w:val="none"/>
        </w:rPr>
        <w:tab/>
      </w:r>
      <w:r>
        <w:rPr>
          <w:rFonts w:ascii="Times New Roman" w:hAnsi="Times New Roman"/>
          <w:sz w:val="24"/>
        </w:rPr>
        <w:t>Az egyes szervezeteknek a csoportszintű szavatolótőke-megfeleléshez való hozzájárulásával kapcsolatos információk</w:t>
      </w:r>
      <w:bookmarkEnd w:id="107"/>
      <w:bookmarkEnd w:id="108"/>
      <w:bookmarkEnd w:id="109"/>
    </w:p>
    <w:p w14:paraId="770A244C" w14:textId="59BCFC93"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32</w:t>
      </w:r>
      <w:r>
        <w:rPr>
          <w:noProof/>
        </w:rPr>
        <w:fldChar w:fldCharType="end"/>
      </w:r>
      <w:r w:rsidR="00C3070C">
        <w:t>.</w:t>
      </w:r>
      <w:r w:rsidR="00C3070C">
        <w:tab/>
        <w:t xml:space="preserve">A C 06.02 tábla harmadik része és a C 06.01 tábla (az 575/2013/EU rendelet szerinti konszolidációs körbe vont egyes szervezeteknek – ezen belül azoknak, amelyekre egyedi alapon nem vonatkoznak konkrét tőkemegfelelési követelmények – a csoportszintű szavatolótőke-megfeleléshez való hozzájárulásával kapcsolatos információk, 0250–0400-as oszlop) meghatározza, hogy a csoporton belül mely szervezetek generálják a kockázatokat és vonnak be szavatolótőkét a piacról, amelyhez a könnyen hozzáférhető vagy könnyen újrafeldolgozható adatokat használja fel a tőkemegfelelési mutató egyedi vagy szubkonszolidált alapon történő rekonstruálása nélkül. A szervezet szintjén a kockázatra és a szavatolótőkére vonatkozó adatok egyaránt a csoportszintű adatokhoz járulnak hozzá, és nem egyedi alapon számított tőkemegfelelési mutató részei, így egymással nem hasonlíthatók össze. </w:t>
      </w:r>
    </w:p>
    <w:p w14:paraId="5B1F7005"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33</w:t>
      </w:r>
      <w:r>
        <w:rPr>
          <w:noProof/>
        </w:rPr>
        <w:fldChar w:fldCharType="end"/>
      </w:r>
      <w:r w:rsidR="00C3070C">
        <w:t>.</w:t>
      </w:r>
      <w:r w:rsidR="00C3070C">
        <w:tab/>
        <w:t>A harmadik rész ezenkívül magában foglalja a konszolidált szavatolótőkében figyelembe vehető, a kisebbségi részesedésekbe, AT1 tőkébe és T2 tőkébe beszámítható elemek összegét is.</w:t>
      </w:r>
    </w:p>
    <w:p w14:paraId="601945C2"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34</w:t>
      </w:r>
      <w:r>
        <w:rPr>
          <w:noProof/>
        </w:rPr>
        <w:fldChar w:fldCharType="end"/>
      </w:r>
      <w:r w:rsidR="00C3070C">
        <w:t>.</w:t>
      </w:r>
      <w:r w:rsidR="00C3070C">
        <w:tab/>
        <w:t>Mivel a tábla harmadik része „hozzájárulásokat” említ, az itt feltüntetendő adatok adott esetben elmaradnak a csoportszintű szavatolótőke-megfeleléssel kapcsolatos részletes információkat tartalmazó oszlopokban megadott adatoktól.</w:t>
      </w:r>
    </w:p>
    <w:p w14:paraId="44960A6E"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35</w:t>
      </w:r>
      <w:r>
        <w:rPr>
          <w:noProof/>
        </w:rPr>
        <w:fldChar w:fldCharType="end"/>
      </w:r>
      <w:r w:rsidR="00C3070C">
        <w:t>.</w:t>
      </w:r>
      <w:r w:rsidR="00C3070C">
        <w:tab/>
        <w:t>A követendő alapelv szerint mind a kockázatok, mind a szavatolótőke szempontjából egységes módon kell kiküszöbölni az azonos csoporton belüli kölcsönös kitettségeket annak érdekében, hogy a csoport konszolidált CA táblában magadott értékek fedezete az egyes szervezetek csoportszintű szavatolótőke-megfelelésre vonatkozó táblában feltüntetett értékek hozzáadásával biztosítható legyen. Azokban az esetekben, amikor az 1 %-os küszöbérték túllépésére nem kerül sor, a CA táblához nem alkalmazható közvetlen kapcsolat.</w:t>
      </w:r>
    </w:p>
    <w:p w14:paraId="4B1AE777"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36</w:t>
      </w:r>
      <w:r>
        <w:rPr>
          <w:noProof/>
        </w:rPr>
        <w:fldChar w:fldCharType="end"/>
      </w:r>
      <w:r w:rsidR="00C3070C">
        <w:t>.</w:t>
      </w:r>
      <w:r w:rsidR="00C3070C">
        <w:tab/>
        <w:t>Az intézményeknek meg kell határozniuk a szervezetek közötti legcélszerűbb felosztási módszert a piaci kockázatot és működési kockázatot érintő esetleges diverzifikációs hatások figyelembevétele céljából.</w:t>
      </w:r>
    </w:p>
    <w:p w14:paraId="622EA156"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37</w:t>
      </w:r>
      <w:r>
        <w:rPr>
          <w:noProof/>
        </w:rPr>
        <w:fldChar w:fldCharType="end"/>
      </w:r>
      <w:r w:rsidR="00C3070C">
        <w:t>.</w:t>
      </w:r>
      <w:r w:rsidR="00C3070C">
        <w:tab/>
        <w:t xml:space="preserve">Egy konszolidált csoport magában foglalhat egy másik konszolidált csoportot. Ez azt jelenti, hogy a részcsoportba tartozó szervezetekről külön-külön kell adatot szolgáltatni a teljes csoport GS tábláján, még akkor is, ha a részcsoportra magára is vonatkoznak adatszolgáltatási követelmények. Az a részcsoport, amelyre adatszolgáltatási követelmények vonatkoznak, szintén benyújtja a GS táblát a csoportot alkotó minden egyes szervezetre vonatkozóan külön-külön, annak ellenére, hogy ezeket az adatokat tartalmazza a magasabb szinten konszolidált csoportra vonatkozó GS tábla. </w:t>
      </w:r>
    </w:p>
    <w:p w14:paraId="31F049AB" w14:textId="53A5E29B"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38</w:t>
      </w:r>
      <w:r>
        <w:rPr>
          <w:noProof/>
        </w:rPr>
        <w:fldChar w:fldCharType="end"/>
      </w:r>
      <w:r w:rsidR="00C3070C">
        <w:t>.</w:t>
      </w:r>
      <w:r w:rsidR="00C3070C">
        <w:tab/>
        <w:t xml:space="preserve">Az intézmény egy szervezetnek a teljes kockázati kitettségértékhez való hozzájárulásáról adatot szolgáltat akkor, ha szervezet teljes kockázati kitettségértéke </w:t>
      </w:r>
      <w:r w:rsidR="00C3070C">
        <w:lastRenderedPageBreak/>
        <w:t>meghaladja a csoport teljes kockázati kitettségértékének 1 %-át, vagy ha a szervezet teljes szavatoló tőkéje meghaladja a csoport teljes szavatoló tőkéjének 1 %-át. Ez a küszöbérték nem alkalmazandó olyan leányvállalatok vagy alcsoportok esetében, amelyek kisebbségi részesedés vagy a szavatolótőke részét képező, az AT1 tőkébe vagy T2 tőkébe beszámítható instrumentumok formájában szavatolótőkét bocsátanak a csoport rendelkezésére.</w:t>
      </w:r>
    </w:p>
    <w:p w14:paraId="6A46EE66" w14:textId="7DB9B3D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6039895"/>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CSOPORTSZINTŰ SZAVATOLÓTŐKE-MEGFELELÉS: INFORMÁCIÓK A CSOPORTBA TARTOZÓ SZERVEZETEKRŐL – ÖSSZESEN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Oszlopok</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Lásd a 06.02 táblához tartozó útmutatót.</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TŐKEPUFFEREK</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Lásd a 06.02 táblához tartozó útmutatót.</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Sorok</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ÖSSZESEN</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Ebben a sorban a C 06.02 tábla soraiban feltüntetett értékek összegét kell szerepeltetni.</w:t>
            </w:r>
          </w:p>
        </w:tc>
      </w:tr>
    </w:tbl>
    <w:p w14:paraId="779AA15D" w14:textId="77777777" w:rsidR="00D85AC7" w:rsidRPr="002A677E" w:rsidRDefault="00D85AC7" w:rsidP="00487A02">
      <w:pPr>
        <w:pStyle w:val="InstructionsText"/>
      </w:pPr>
    </w:p>
    <w:p w14:paraId="022D6905" w14:textId="7FFA09E9"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6039896"/>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CSOPORTSZINTŰ SZAVATOLÓTŐKE-MEGFELELÉS: INFORMÁCIÓK A CSOPORTBA TARTOZÓ SZERVEZETEKRŐL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Oszlopok</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Útmutató</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14:paraId="13B8A121" w14:textId="6ABB2B2D" w:rsidR="00464F34" w:rsidRPr="002A677E" w:rsidRDefault="00464F34" w:rsidP="00975344">
            <w:pPr>
              <w:rPr>
                <w:rStyle w:val="InstructionsTabelleberschrift"/>
                <w:rFonts w:ascii="Times New Roman" w:hAnsi="Times New Roman"/>
                <w:b w:val="0"/>
                <w:bCs w:val="0"/>
                <w:sz w:val="24"/>
              </w:rPr>
            </w:pPr>
            <w:r>
              <w:rPr>
                <w:rFonts w:ascii="Times New Roman" w:hAnsi="Times New Roman"/>
                <w:sz w:val="24"/>
              </w:rPr>
              <w:t>E tábla célja, hogy az 575/2013/EU rendelet első része II. címének 2. fejezete szerinti konszolidációba bevont valamennyi szervezetről egyedileg gyűjtsön információkat.</w:t>
            </w:r>
            <w:r>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NÉV</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A konszolidáció körébe bevont szervezet neve.</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sorazonosító részét képező kódnak minden egyes jelentett jogalany esetében egyedinek kell lennie. Intézmények és biztosítók esetében a kód a LEI-kód. Más jogalanyok esetében a kód a LEI-kód, vagy ha nem áll rendelkezésre, valamely nemzeti kód. A kódnak egyedinek kell lennie, és azt (időben is) következetesen kell használni a táblákban. A kód mezőnek mindig kell tartalmaznia valamilyen értéket.</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KÓDTÍPUS</w:t>
            </w:r>
          </w:p>
          <w:p w14:paraId="50D86DCD" w14:textId="77777777" w:rsidR="00464F34" w:rsidRPr="002A677E" w:rsidRDefault="00BF0637" w:rsidP="00DD2C1E">
            <w:pPr>
              <w:rPr>
                <w:rStyle w:val="InstructionsTabelleberschrift"/>
                <w:rFonts w:ascii="Times New Roman" w:hAnsi="Times New Roman"/>
                <w:sz w:val="24"/>
              </w:rPr>
            </w:pPr>
            <w:r>
              <w:rPr>
                <w:rFonts w:ascii="Times New Roman" w:hAnsi="Times New Roman"/>
                <w:sz w:val="24"/>
              </w:rPr>
              <w:lastRenderedPageBreak/>
              <w:t>Az intézményeknek a 0021-es oszlopban feltüntetett kódtípust „LEI-kód”-ként vagy „Nem-LEI-kód”-ként kell megadniuk.</w:t>
            </w:r>
            <w:r>
              <w:rPr>
                <w:rStyle w:val="FormatvorlageInstructionsTabelleText"/>
                <w:rFonts w:ascii="Times New Roman" w:hAnsi="Times New Roman"/>
                <w:sz w:val="24"/>
              </w:rPr>
              <w:t xml:space="preserve"> A kódtípust mindig meg kell adni.</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NEMZETI KÓD</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Az intézmények akkor is megadhatják a nemzeti kódot, amikor a „Kód” oszlopban a LEI-kódot tüntetik fel azonosítóként.</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INTÉZMÉNY VAGY ANNAK MEGFELELŐ (IGEN / NEM)</w:t>
            </w:r>
          </w:p>
          <w:p w14:paraId="489A5E0D" w14:textId="62D259A6" w:rsidR="00BF0637" w:rsidRPr="002A677E" w:rsidRDefault="00BF0637" w:rsidP="00BF0637">
            <w:pPr>
              <w:rPr>
                <w:rStyle w:val="InstructionsTabelleText"/>
                <w:rFonts w:ascii="Times New Roman" w:hAnsi="Times New Roman"/>
                <w:sz w:val="24"/>
              </w:rPr>
            </w:pPr>
            <w:r>
              <w:rPr>
                <w:rFonts w:ascii="Times New Roman" w:hAnsi="Times New Roman"/>
                <w:sz w:val="24"/>
              </w:rPr>
              <w:t>Az „IGEN” értéket kell megadni akkor, ha a szervezetre az 575/2013/EU rendelet és a 2013/36/EU irányelv szerinti szavatolótőke-követelmények, vagy legalább a Bázel-szabályokkal egyenértékű rendelkezések vonatkoznak.</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Egyéb esetben a „NEM” értéket kell megadni.</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Kisebbségi részesedések:</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az 575/2013/EU rendelet 81. cikke (1) bekezdése a) pontjának ii. alpontja és 82. cikke (1) bekezdése a) pontjának ii. alpontja.</w:t>
            </w:r>
          </w:p>
          <w:p w14:paraId="71B8F9BA" w14:textId="5E9FB5F3" w:rsidR="00BF0637" w:rsidRPr="002A677E" w:rsidRDefault="00BF0637" w:rsidP="00BF0637">
            <w:pPr>
              <w:rPr>
                <w:rStyle w:val="InstructionsTabelleText"/>
                <w:rFonts w:ascii="Times New Roman" w:hAnsi="Times New Roman"/>
                <w:sz w:val="24"/>
              </w:rPr>
            </w:pPr>
            <w:r>
              <w:rPr>
                <w:rFonts w:ascii="Times New Roman" w:hAnsi="Times New Roman"/>
                <w:sz w:val="24"/>
              </w:rPr>
              <w:t>A kisebbségi részesedések, valamint a leányvállalatok által kibocsátott AT1 tőke és T2 tőkeinstrumentumok szempontjából az olyan leányvállalatok instrumentumai vehetők figyelembe, amelyek az alkalmazandó nemzeti jognál fogva az 575/2013/EU rendelet követelményeinek hatálya alá tartozó intézmények vagy vállalkozások.</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SZERVEZET TÍPUSA</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A szervezet típusát a következő kategóriák alapján kell feltüntetni:</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hitelintézet</w:t>
            </w:r>
          </w:p>
          <w:p w14:paraId="748D0214" w14:textId="36C11362"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Az 575/2013/EU rendelet 4. cikke (1) bekezdésének 1. pontja.</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befektetési vállalkozás</w:t>
            </w:r>
          </w:p>
          <w:p w14:paraId="6769CB69" w14:textId="28115CBC"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2. pontja.</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pénzügyi intézmény (egyéb)</w:t>
            </w:r>
          </w:p>
          <w:p w14:paraId="76F51E72" w14:textId="1487306D"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20., 21. és 26. pontja.</w:t>
            </w:r>
          </w:p>
          <w:p w14:paraId="349DF21A" w14:textId="7A817959" w:rsidR="00BF0637" w:rsidRPr="002A677E" w:rsidRDefault="00BF0637" w:rsidP="00BF063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26. pontja szerinti pénzügyi vállalkozások, amelyek a d), f) vagy g) kategória egyikébe sem tartoznak;</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(vegyes) pénzügyi holdingtársaság</w:t>
            </w:r>
          </w:p>
          <w:p w14:paraId="649639D0" w14:textId="0C80AA6F"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20. és 21. pontja.</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kiegészítő szolgáltatásokat nyújtó (járulékos) vállalkozás</w:t>
            </w:r>
          </w:p>
          <w:p w14:paraId="6E8074D3" w14:textId="3F1729EF"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18. pontja.</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különleges célú gazdasági egység</w:t>
            </w:r>
          </w:p>
          <w:p w14:paraId="3D7BA722" w14:textId="76B085D8"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Az 575/2013/EU rendelet 4. cikke (1) bekezdésének 66. pontja.</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fedezettkötvény-társaság</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lastRenderedPageBreak/>
              <w:t>Fedezett kötvények kibocsátása vagy fedezett kötvény fedezetéül szolgáló biztosíték tartása céljából létrehozott szervezet, ha a fenti a), b) vagy d)–f) kategóriák egyikébe sem tartozik.</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egyéb típusú szervezet</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a)–g) pontban említettektől eltérő szervezet.</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Amennyiben valamely szervezet nem tartozik az 575/2013/EU rendelet és a 2013/36/EU irányelv hatálya alá, de a bázeli előírásokkal legalább egyenértékű előírások hatálya alá tartozik, a vonatkozó kategóriát a legnagyobb gondosság elve alapján kell meghatározni.</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AZ ADATOK TERJEDELME: </w:t>
            </w:r>
            <w:r>
              <w:rPr>
                <w:rFonts w:ascii="Times New Roman" w:hAnsi="Times New Roman"/>
                <w:b/>
                <w:caps/>
                <w:sz w:val="24"/>
                <w:u w:val="single"/>
              </w:rPr>
              <w:t>egyedi alapon teljeskörűen konszolidált (SF) vagy egyedi alapon részlegesen konszolidált (SP)</w:t>
            </w:r>
          </w:p>
          <w:p w14:paraId="5E4C77AB" w14:textId="77777777" w:rsidR="00BF0637" w:rsidRPr="002A677E" w:rsidRDefault="00BF0637" w:rsidP="00BF0637">
            <w:pPr>
              <w:rPr>
                <w:rStyle w:val="Heading1Char"/>
                <w:rFonts w:ascii="Times New Roman" w:hAnsi="Times New Roman"/>
                <w:sz w:val="24"/>
                <w:szCs w:val="24"/>
              </w:rPr>
            </w:pPr>
            <w:r>
              <w:rPr>
                <w:rFonts w:ascii="Times New Roman" w:hAnsi="Times New Roman"/>
                <w:sz w:val="24"/>
              </w:rPr>
              <w:t>Teljeskörűen konszolidált egyedi leányvállalatok esetében „SF” értéket kell megadni.</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Fonts w:ascii="Times New Roman" w:hAnsi="Times New Roman"/>
                <w:sz w:val="24"/>
              </w:rPr>
              <w:t>Teljeskörűen konszolidált egyedi leányvállalatok esetében „SP” értéket kell megadni.</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ORSZÁGKÓD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Az intézményeknek a kétbetűs országkódot az ISO 3166-2 szabvány szerint kell megadniuk.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RÉSZESEDÉS ARÁNYA (%)</w:t>
            </w:r>
          </w:p>
          <w:p w14:paraId="5BA3A5B5" w14:textId="338CD48D"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Az anyavállalat által a leányvállalatokban birtokolt tényleges tőkerészesedés. Közvetlen leányvállalat teljes körű konszolidálása esetében a tényleges részesedés pl. 70 %. </w:t>
            </w:r>
            <w:r>
              <w:rPr>
                <w:rFonts w:ascii="Times New Roman" w:hAnsi="Times New Roman"/>
                <w:sz w:val="24"/>
              </w:rPr>
              <w:t>Az 575/2013/EU rendelet 4. cikke (1) bekezdése 16. pontjának megfelelően egy leányvállalatban birtokolt, feltüntetendő részesedés az érintett leányvállalatok közötti részesedések szorzataként adódik.</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SZAVATOLÓTŐKE-KÖVETELMÉNY HATÁLYA ALÁ TARTOZÓ SZERVEZETEKKEL KAPCSOLATOS INFORMÁCIÓK</w:t>
            </w:r>
          </w:p>
          <w:p w14:paraId="78F7BB92" w14:textId="3C953195" w:rsidR="00BF0637" w:rsidRPr="002A677E" w:rsidRDefault="00BF0637" w:rsidP="00BF0637">
            <w:pPr>
              <w:rPr>
                <w:rStyle w:val="InstructionsTabelleText"/>
                <w:rFonts w:ascii="Times New Roman" w:hAnsi="Times New Roman"/>
                <w:sz w:val="24"/>
              </w:rPr>
            </w:pPr>
            <w:r>
              <w:rPr>
                <w:rFonts w:ascii="Times New Roman" w:hAnsi="Times New Roman"/>
                <w:sz w:val="24"/>
              </w:rPr>
              <w:t>A részletes információkat tartalmazó rész (0070–0240-es oszlop) kizárólag az olyan szervezetekről és alcsoportokról gyűjt információkat, amelyekre – mivel az 575/2013/EU rendelet első része II. címének 2. fejezete szerinti konszolidáció körébe tartoznak – az 575/2013/EU rendeletben meghatározott tőkemegfelelési követelmények, vagy legalább a bázeli szabályokkal egyenértékű rendelkezések ténylegesen vonatkoznak (vagyis amelyeknél a 0030-as oszlop értéke „igen”).</w:t>
            </w:r>
            <w:r>
              <w:rPr>
                <w:rStyle w:val="InstructionsTabelleText"/>
                <w:rFonts w:ascii="Times New Roman" w:hAnsi="Times New Roman"/>
                <w:sz w:val="24"/>
              </w:rPr>
              <w:t xml:space="preserve">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Egy konszolidált csoporton belüli valamennyi olyan egyedi intézményről, amelyre szavatolótőke-követelmények vonatkoznak, az intézmény helyétől függetlenül információt kell adni. </w:t>
            </w:r>
          </w:p>
          <w:p w14:paraId="0842D1A7" w14:textId="429BF739" w:rsidR="00BF0637" w:rsidRPr="002A677E" w:rsidRDefault="00BF0637" w:rsidP="00BF0637">
            <w:pPr>
              <w:rPr>
                <w:rFonts w:ascii="Times New Roman" w:hAnsi="Times New Roman"/>
                <w:sz w:val="24"/>
              </w:rPr>
            </w:pPr>
            <w:r>
              <w:rPr>
                <w:rFonts w:ascii="Times New Roman" w:hAnsi="Times New Roman"/>
                <w:sz w:val="24"/>
              </w:rPr>
              <w:t>Az ebben a részben megadott adatoknak tükrözniük kell az intézmény tevékenységének helye szerinti tőkemegfelelési szabályokat (ezért ehhez a táblához nem szükséges egyedi alapon az anyaintézmény szabályai szerinti kettős számítást végezni). Az 575/2013/EU rendelettől eltérő helyi tőkemegfelelési szabályok esetén hasonló felosztás hiányában az információkat akkor kell megadni, ha a megfelelő részletezettségű adatok rendelkezésre állnak. Ez a rész tehát olyan konkrét adatokat tartalmazó tábla, amely a csoport egyedi intézményei által elvégzendő számításokat összegzi, figyelembe véve azt, hogy az intézmények közül egyesekre eltérő tőkemegfelelési szabályok vonatkozhatnak.</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lastRenderedPageBreak/>
              <w:t>Adatszolgáltatás a befektetési vállalkozások fix általános költségeiről:</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A befektetési vállalkozásoknak meg kell adniuk a tőkemegfelelési mutatónak az 575/2013/EU rendelet 95., 96., 97. és 98. cikke szerinti számításában figyelembe vett fix általános költségekkel kapcsolatos szavatolótőke-követelményeket.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teljes kockázati kitettségértéknek a fix általános költségekhez kapcsolódó részét e tábla 0100-as oszlopában kell megadni.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TELJES KOCKÁZATI KITETTSÉGÉRTÉK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0080–0110-es oszlopok összegét kell megadni.</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KIEGYENLÍTÉSI/TELJESÍTÉSI KOCKÁZAT</w:t>
            </w:r>
          </w:p>
          <w:p w14:paraId="6FCE823E"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Az ebben az oszlopban feltüntetendő érték a CA2 tábla 0040-es sorában (HITELKOCKÁZATRA, PARTNERKOCKÁZATRA ÉS FELHÍGULÁSI KOCKÁZATRA, VALAMINT NYITVA SZÁLLÍTÁSOKRA VONATKOZÓ, KOCKÁZATTAL SÚLYOZOTT KITETTSÉGÉRTÉKEK) feltüntetendő értékekkel megegyező vagy egyenértékű kockázattal súlyozott kitettségértékeknek, valamint a 0490-es sorában (A KIEGYENLÍTÉSI/TELJESÍTÉSI KOCKÁZAT TELJES KOCKÁZATI KITETTSÉGÉRTÉKE) feltüntetendő értékekkel megegyező vagy egyenértékű szavatolótőkekövetelmény-összegeknek az összege.</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POZÍCIÓKOCKÁZAT, DEVIZAÁRFOLYAM-KOCKÁZAT ÉS ÁRUKOCKÁZAT</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 tábla 0520-as sorában (A POZÍCIÓKOCKÁZAT, DEVIZAÁRFOLYAM-KOCKÁZAT ÉS ÁRUKOCKÁZAT TELJES KOCKÁZATI KITETTSÉGÉRTÉKE) megadott összeggel megegyező vagy egyenértékű tőkekövetelmény-összeg.</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 tábla 0590-es sorában (MŰKÖDÉSI KOCKÁZAT (OpR) TELJES KOCKÁZATI KITETTSÉGÉRTÉKE) megadott összeggel megegyező vagy egyenértékű kitettségérték.</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Ebben az oszlopban kell megadni a fix általános költségeket, ezen belül a CA2 tábla 0630-as sorának értékét (FIX ÁLTALÁNOS KÖLTSÉGEKBŐL EREDŐ TOVÁBBI KOCKÁZATI KITETTSÉGÉRTÉK).</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az előzőekben külön nem említett kitettségértékeket foglalja magában. A CA2 tábla 0640-es, 0680-as és 0690-es sorában megadott értékek összege.</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RÉSZLETES INFORMÁCIÓK A CSOPORTSZINTŰ SZAVATOLÓTŐKE-MEGFELELÉSRŐL</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Az alábbi oszlopokban feltüntetett információk tükrözik azon tagállam helyi tőkemegfelelési szabályait, ahol a szervezet vagy alcsoport tevékenységi helye van.</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SZAVATOLÓTŐKE</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Az ebben az oszlopban feltüntetendő érték a CA1 tábla 0010-es sorában (SZAVATOLÓTŐKE) megadott összeggel megegyező vagy egyenértékű szavatolótőke-összeg.</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EBBŐL: A SZAVATOLÓ TŐKÉBE BESZÁMÍTHATÓ </w:t>
            </w:r>
          </w:p>
          <w:p w14:paraId="09996C03" w14:textId="57DD030F"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82. cikke.</w:t>
            </w:r>
            <w:r>
              <w:rPr>
                <w:rFonts w:ascii="Times New Roman" w:hAnsi="Times New Roman"/>
                <w:sz w:val="24"/>
              </w:rPr>
              <w:t xml:space="preserve"> </w:t>
            </w:r>
            <w:r>
              <w:rPr>
                <w:rStyle w:val="InstructionsTabelleText"/>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Az oszlop csak az egyedi adatszolgáltatás hatálya alá tartozó, teljes mértékben konszolidált intézményi leányvállalatok adatait tartalmazza. </w:t>
            </w:r>
          </w:p>
          <w:p w14:paraId="42804037" w14:textId="54CB3861" w:rsidR="00BF0637" w:rsidRPr="002A677E" w:rsidRDefault="00BF0637" w:rsidP="00BF0637">
            <w:pPr>
              <w:rPr>
                <w:rStyle w:val="InstructionsTabelleText"/>
                <w:rFonts w:ascii="Times New Roman" w:hAnsi="Times New Roman"/>
                <w:sz w:val="24"/>
              </w:rPr>
            </w:pPr>
            <w:r>
              <w:rPr>
                <w:rFonts w:ascii="Times New Roman" w:hAnsi="Times New Roman"/>
                <w:sz w:val="24"/>
              </w:rPr>
              <w:t>A fenti leányvállalatok esetében befolyásoló részesedésnek minősülnek a vállalkozásokon kívüli és az 575/2013/EU rendelet szerinti konszolidáció körébe bevont személyek tulajdonában álló instrumentumok, valamint az ezekhez kapcsolódó eredménytartalékok, ázsió és egyéb tartalékok.</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SZAVATOLÓTŐKE-INSTRUMENTUMOK, KAPCSOLÓDÓ EREDMÉNYTARTALÉKOK, NÉVÉRTÉKEN FELÜLI BEFIZETÉSEK ÉS EGYÉB TARTALÉKOK</w:t>
            </w:r>
          </w:p>
          <w:p w14:paraId="0E7A59AB" w14:textId="3612AEC9"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Az 575/2013/EU rendelet 87. cikke (1) bekezdésének b) pontja.</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T1 TŐKE ÖSSZESEN</w:t>
            </w:r>
          </w:p>
          <w:p w14:paraId="325080D2" w14:textId="04BF5CF8" w:rsidR="00BF0637" w:rsidRPr="001235ED" w:rsidRDefault="00BF0637" w:rsidP="00BF0637">
            <w:pPr>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 cikke.</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 T1 TŐKÉBE BESZÁMÍTHATÓ</w:t>
            </w:r>
          </w:p>
          <w:p w14:paraId="3617A71D" w14:textId="3C5E3B69"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82. cikke.</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Az oszlop csak az egyedi adatszolgáltatás hatálya alá tartozó, teljes mértékben konszolidált intézményi leányvállalatok adatait tartalmazza.</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A fenti leányvállalatok esetében befolyásoló részesedésnek minősülnek az 575/2013/EU rendelet szerinti konszolidáció körébe bevont vállalkozásokon kívüli személyek tulajdonában álló instrumentumok, valamint az ezekhez kapcsolódó eredménytartalék és ázsió.</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T1 INSTRUMENTUMOK, KAPCSOLÓDÓ EREDMÉNYTARTALÉKOK ÉS NÉVÉRTÉKEN FELÜLI BEFIZETÉSEK</w:t>
            </w:r>
          </w:p>
          <w:p w14:paraId="563BAF9E" w14:textId="05C8153D" w:rsidR="00BF0637" w:rsidRPr="002A677E" w:rsidRDefault="00BF0637" w:rsidP="00B14047">
            <w:pPr>
              <w:rPr>
                <w:rStyle w:val="InstructionsTabelleberschrift"/>
                <w:rFonts w:ascii="Times New Roman" w:hAnsi="Times New Roman"/>
                <w:sz w:val="24"/>
              </w:rPr>
            </w:pPr>
            <w:r>
              <w:rPr>
                <w:rFonts w:ascii="Times New Roman" w:hAnsi="Times New Roman"/>
                <w:sz w:val="24"/>
              </w:rPr>
              <w:t xml:space="preserve">Az 575/2013/EU rendelet 85. cikke (1) bekezdésének b) pontja. </w:t>
            </w:r>
            <w:r>
              <w:rPr>
                <w:rStyle w:val="InstructionsTabelleberschrift"/>
                <w:rFonts w:ascii="Times New Roman" w:hAnsi="Times New Roman"/>
                <w:b w:val="0"/>
                <w:sz w:val="24"/>
                <w:u w:val="none"/>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ELSŐDLEGES ALAPVETŐ TŐKE (CET1)</w:t>
            </w:r>
          </w:p>
          <w:p w14:paraId="24F9DF96" w14:textId="26CD99E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50. cikke.</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KISEBBSÉGI RÉSZESEDÉSEK</w:t>
            </w:r>
          </w:p>
          <w:p w14:paraId="6E57A6CD" w14:textId="38969175"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81. cikke.</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Az oszlop kizárólag a teljeskörűen konszolidált intézményi leányvállalatok adatait tartalmazza, az 575/2013/EU rendelet 84. cikkének (3) bekezdésében említett leányvállalatok kivételével.</w:t>
            </w:r>
            <w:r>
              <w:rPr>
                <w:rStyle w:val="InstructionsTabelleText"/>
                <w:rFonts w:ascii="Times New Roman" w:hAnsi="Times New Roman"/>
                <w:sz w:val="24"/>
              </w:rPr>
              <w:t xml:space="preserve"> </w:t>
            </w:r>
            <w:r>
              <w:rPr>
                <w:rFonts w:ascii="Times New Roman" w:hAnsi="Times New Roman"/>
                <w:sz w:val="24"/>
              </w:rPr>
              <w:t xml:space="preserve">Az 575/2013/EU rendelet 84. cikkében előírt valamennyi számítás szempontjából az egyes leányvállalatokat adott esetben a 84. cikk (2) bekezdésének </w:t>
            </w:r>
            <w:r>
              <w:rPr>
                <w:rFonts w:ascii="Times New Roman" w:hAnsi="Times New Roman"/>
                <w:sz w:val="24"/>
              </w:rPr>
              <w:lastRenderedPageBreak/>
              <w:t>megfelelően szubkonszolidált alapon, egyéb esetekben egyedi alapon kell figyelembe venni.</w:t>
            </w:r>
          </w:p>
          <w:p w14:paraId="2875FB15" w14:textId="17E7E27E" w:rsidR="00BF0637" w:rsidRPr="002A677E" w:rsidRDefault="00BF0637" w:rsidP="00BF0637">
            <w:pPr>
              <w:rPr>
                <w:rStyle w:val="InstructionsTabelleText"/>
                <w:rFonts w:ascii="Times New Roman" w:hAnsi="Times New Roman"/>
                <w:sz w:val="24"/>
              </w:rPr>
            </w:pPr>
            <w:r>
              <w:rPr>
                <w:rFonts w:ascii="Times New Roman" w:hAnsi="Times New Roman"/>
                <w:sz w:val="24"/>
              </w:rPr>
              <w:t>A fenti leányvállalatok esetében kisebbségi részesedésnek minősülnek az 575/2013/EU rendelet szerinti konszolidáció körébe bevont vállalkozásokon kívüli személyek tulajdonában álló CET1 tőkeinstrumentumok, valamint az ezekhez kapcsolódó eredménytartalékok és ázsió.</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SZAVATOLÓTŐKE-INSTRUMENTUMOK, KAPCSOLÓDÓ EREDMÉNYTARTALÉKOK, NÉVÉRTÉKEN FELÜLI BEFIZETÉSEK ÉS EGYÉB TARTALÉKOK</w:t>
            </w:r>
          </w:p>
          <w:p w14:paraId="2FC270C0" w14:textId="67E382D3"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Az 575/2013/EU rendelet 84. cikke (1) bekezdésének b) pontja.</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KIEGÉSZÍTŐ ALAPVETŐ TŐKE 1 (AT1)</w:t>
            </w:r>
          </w:p>
          <w:p w14:paraId="70D8C1C5" w14:textId="485B4D5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61. cikke.</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AZ AT1 TŐKÉBE BESZÁMÍTHATÓ</w:t>
            </w:r>
          </w:p>
          <w:p w14:paraId="49B3C4BB" w14:textId="71B36A48" w:rsidR="00BF0637" w:rsidRPr="002A677E" w:rsidRDefault="00BF0637" w:rsidP="00BF0637">
            <w:pPr>
              <w:rPr>
                <w:rStyle w:val="InstructionsTabelleText"/>
                <w:rFonts w:ascii="Times New Roman" w:hAnsi="Times New Roman"/>
                <w:sz w:val="24"/>
              </w:rPr>
            </w:pPr>
            <w:r>
              <w:rPr>
                <w:rFonts w:ascii="Times New Roman" w:hAnsi="Times New Roman"/>
                <w:sz w:val="24"/>
              </w:rPr>
              <w:t>Az 575/2013/EU rendelet 82. és 83. cikke</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Az oszlop kizárólag a teljeskörűen konszolidált intézményi leányvállalatok adatait tartalmazza, az 575/2013/EU rendelet 85. cikkének (2) bekezdésében említett leányvállalatok kivételével.</w:t>
            </w:r>
            <w:r>
              <w:rPr>
                <w:rStyle w:val="InstructionsTabelleText"/>
                <w:rFonts w:ascii="Times New Roman" w:hAnsi="Times New Roman"/>
                <w:sz w:val="24"/>
              </w:rPr>
              <w:t xml:space="preserve"> </w:t>
            </w:r>
            <w:r>
              <w:rPr>
                <w:rFonts w:ascii="Times New Roman" w:hAnsi="Times New Roman"/>
                <w:sz w:val="24"/>
              </w:rPr>
              <w:t>Az 575/2013/EU rendelet 85. cikkében előírt valamennyi számítás szempontjából az egyes leányvállalatokat adott esetben a 85. cikk (2) bekezdésének megfelelően szubkonszolidált alapon, egyéb esetekben egyedi alapon kell figyelembe venni.</w:t>
            </w:r>
          </w:p>
          <w:p w14:paraId="5C833E43" w14:textId="382A8989" w:rsidR="00BF0637" w:rsidRPr="002A677E" w:rsidRDefault="00BF0637" w:rsidP="00BF0637">
            <w:pPr>
              <w:rPr>
                <w:rStyle w:val="InstructionsTabelleText"/>
                <w:rFonts w:ascii="Times New Roman" w:hAnsi="Times New Roman"/>
                <w:sz w:val="24"/>
              </w:rPr>
            </w:pPr>
            <w:r>
              <w:rPr>
                <w:rFonts w:ascii="Times New Roman" w:hAnsi="Times New Roman"/>
                <w:sz w:val="24"/>
              </w:rPr>
              <w:t>A fenti leányvállalatok esetében kisebbségi részesedésnek minősülnek az 575/2013/EU rendelet szerinti konszolidáció körébe bevont vállalkozásokon kívüli személyek tulajdonában álló AT1 tőkeinstrumentumok, valamint az ezekhez kapcsolódó eredménytartalékok és ázsió.</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JÁRULÉKOS TŐKE (T2)</w:t>
            </w:r>
          </w:p>
          <w:p w14:paraId="26B39E27" w14:textId="52EB1D2B" w:rsidR="00BF0637" w:rsidRPr="002A677E" w:rsidRDefault="00BF0637" w:rsidP="00BF0637">
            <w:pPr>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71. cikke.</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 T2 TŐKÉBE BESZÁMÍTHATÓ</w:t>
            </w:r>
          </w:p>
          <w:p w14:paraId="3F7B6259" w14:textId="20CAD0A4" w:rsidR="00BF0637" w:rsidRPr="002A677E" w:rsidRDefault="00BF0637" w:rsidP="00BF0637">
            <w:pPr>
              <w:rPr>
                <w:rStyle w:val="InstructionsTabelleText"/>
                <w:rFonts w:ascii="Times New Roman" w:hAnsi="Times New Roman"/>
                <w:sz w:val="24"/>
              </w:rPr>
            </w:pPr>
            <w:r>
              <w:rPr>
                <w:rFonts w:ascii="Times New Roman" w:hAnsi="Times New Roman"/>
                <w:sz w:val="24"/>
              </w:rPr>
              <w:t>Az 575/2013/EU rendelet 82. és 83. cikke</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Az oszlop kizárólag a teljeskörűen konszolidált intézményi leányvállalatok adatait tartalmazza, az 575/2013/EU rendelet 87. cikkének (2) bekezdésében említett leányvállalatok kivételével.</w:t>
            </w:r>
            <w:r>
              <w:rPr>
                <w:rStyle w:val="InstructionsTabelleText"/>
                <w:rFonts w:ascii="Times New Roman" w:hAnsi="Times New Roman"/>
                <w:sz w:val="24"/>
              </w:rPr>
              <w:t xml:space="preserve"> </w:t>
            </w:r>
            <w:r>
              <w:rPr>
                <w:rFonts w:ascii="Times New Roman" w:hAnsi="Times New Roman"/>
                <w:sz w:val="24"/>
              </w:rPr>
              <w:t>Az 575/2013/EU rendelet 87. cikkében előírt valamennyi számítás szempontjából az egyes leányvállalatokat adott esetben az említett rendelet 87. cikke (2) bekezdésének megfelelően szubkonszolidált alapon, egyéb esetekben egyedi alapon kell figyelembe venni.</w:t>
            </w:r>
            <w:r>
              <w:rPr>
                <w:rStyle w:val="InstructionsTabelleText"/>
                <w:rFonts w:ascii="Times New Roman" w:hAnsi="Times New Roman"/>
                <w:sz w:val="24"/>
              </w:rPr>
              <w:t xml:space="preserve"> </w:t>
            </w:r>
          </w:p>
          <w:p w14:paraId="650A7EFB" w14:textId="091C5538"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A fenti leányvállalatok esetében kisebbségi részesedésnek minősülnek az 575/2013/EU rendelet szerinti konszolidáció körébe bevont vállalkozásokon kívüli személyek tulajdonában álló T2 tőkeinstrumentumok, valamint az ezekhez kapcsolódó eredménytartalékok és ázsió.</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vonatkozási időpontjában figyelembe vehető összeg.</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AZ EGYES SZERVEZETEKNEK A CSOPORTSZINTŰ SZAVATOLÓTŐKE-MEGFELELÉSHEZ VALÓ HOZZÁJÁRULÁSÁVAL KAPCSOLATOS INFORMÁCIÓK</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KOCKÁZATI HOZZÁJÁRULÁS</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Az alábbi oszlopokban feltüntetett információkat az adatot szolgáltató intézményre vonatkozó tőkemegfelelési szabályok alapján kell megadni.</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TELJES KOCKÁZATI KITETTSÉGÉRTÉK</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 0260–0290-es oszlopok összegét kell megadni.</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KIEGYENLÍTÉSI/TELJESÍTÉSI KOCKÁZAT</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A feltüntetendő érték a kockázattal súlyozott hitelkockázati kitettségérték, valamint a kiegyenlítési/teljesítési kockázatra vonatkozó, az 575/2013/EU rendelet szerinti szavatolótőke-követelmények összege, a más szervezetekkel bonyolított ügyletekhez kapcsolódó, a csoportszintű konszolidált tőkemegfelelési mutató kiszámításakor figyelembe vett összegek nélkül.</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POZÍCIÓKOCKÁZAT, DEVIZAÁRFOLYAM-KOCKÁZAT ÉS ÁRUKOCKÁZAT</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A piaci kockázatra vonatkozó kockázati kitettségértékeket az egyes szervezetek szintjén az 575/2013/EU rendelet szerint kell kiszámítani.</w:t>
            </w:r>
            <w:r>
              <w:rPr>
                <w:rStyle w:val="InstructionsTabelleText"/>
                <w:rFonts w:ascii="Times New Roman" w:hAnsi="Times New Roman"/>
                <w:sz w:val="24"/>
              </w:rPr>
              <w:t xml:space="preserve"> A szervezeteknek a pozíciókockázat, devizaárfolyam-kockázat és árukockázat csoportszintű teljes kockázati kitettségértékéhez való hozzájárulásukat kell megadniuk. </w:t>
            </w:r>
            <w:r>
              <w:rPr>
                <w:rFonts w:ascii="Times New Roman" w:hAnsi="Times New Roman"/>
                <w:sz w:val="24"/>
              </w:rPr>
              <w:t>Az itt feltüntetendő érték megegyezik a konszolidált jelentés 0520-as sorában (A POZÍCIÓKOCKÁZAT, DEVIZAÁRFOLYAM-KOCKÁZAT ÉS ÁRUKOCKÁZAT TELJES KOCKÁZATI KITETTSÉGÉRTÉKE) megadott összeggel.</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Fejlett mérési módszerek (AMA) alkalmazásakor a működési kockázatra vonatkozóan megadott kockázati kitettségértékeknek magukban kell foglalniuk a diverzifikáció hatásait is.</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A fix általános költségeket ebben az oszlopban kell feltüntetni.</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Az ebben az oszlopban feltüntetendő érték a fentiekben felsoroltaktól eltérő kockázatokhoz kapcsolódó kitettségértékeket foglalja magában.</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HOZZÁJÁRULÁS A SZAVATOLÓTŐKÉHEZ</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 tábla e része nem írja elő az intézmények számára, hogy az egyes szervezetek szintjén teljeskörűen kiszámítsák a teljestőke-megfelelési mutatót.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t>A 0300–0350-es oszlopot azon konszolidált szervezetek esetében kell kitölteni, amelyek a szavatolótőkéhez kisebbségi részesedéssel, a T1 tőkébe beszámítható vagy a szavatolótőkébe beszámítható tőkével járulnak hozzá. A II. rész 2.3. fejezetének utolsó bekezdésében említett küszöbérték függvényében a 0360–0400-as oszlopot minden olyan konszolidált szervezetre vonatkozóan ki kell tölteni, amely hozzájárul a konszolidált szavatolótőkéhez.</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Egy szervezet számára az adatszolgáltató intézmény körébe vont egyéb szervezetek által biztosított szavatolótőke nem vehető figyelembe; az oszlopban kizárólag a csoport szavatolótőkéjéhez való nettó hozzájárulás, főként a harmadik felektől és a felhalmozott tartalékokból származó szavatolótőke adható meg.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Az alábbi oszlopokban feltüntetett információkat az adatot szolgáltató intézményre vonatkozó tőkemegfelelési szabályok alapján kell megadni.</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SZAVATOLÓTŐKE RÉSZÉT KÉPEZŐ, A SZAVATOLÓTŐKÉBE BESZÁMÍTHATÓ TŐKE</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A „KONSZOLIDÁLT SZAVATOLÓTŐKE RÉSZÉT KÉPEZŐ, A SZAVATOLÓTŐKÉBE BESZÁMÍTHATÓ TŐKE” alatt feltüntetendő érték az 575/2013/EU rendelet második részének II. címéből származó összeg, a csoport más szervezetei által rendelkezésre bocsátott források nélkül.</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SZAVATOLÓTŐKE RÉSZÉT KÉPEZŐ, A SZAVATOLÓTŐKÉBE BESZÁMÍTHATÓ TŐKE</w:t>
            </w:r>
          </w:p>
          <w:p w14:paraId="1633436E" w14:textId="5B33D718"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87. cikke.</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T1 TŐKE RÉSZÉT KÉPEZŐ, A T1 TŐKÉBE BESZÁMÍTHATÓ INSTRUMENTUMOK</w:t>
            </w:r>
          </w:p>
          <w:p w14:paraId="494A052C" w14:textId="6ECF9D4A"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85. cikke.</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A KONSZOLIDÁLT CET1 TŐKE RÉSZÉT KÉPEZŐ KISEBBSÉGI RÉSZESEDÉSEK</w:t>
            </w:r>
          </w:p>
          <w:p w14:paraId="3911EDD5" w14:textId="2DD21D77"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84. cikke.</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A feltüntetendő érték a leányvállalat kisebbségi részesedésének az 575/2013/EU rendelet szerint a konszolidált CET1 tőkébe beszámított összege.</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A KONSZOLIDÁLT AT1 TŐKE RÉSZÉT KÉPEZŐ, A T1 TŐKÉBE BESZÁMÍTHATÓ INSTRUMENTUMOK</w:t>
            </w:r>
          </w:p>
          <w:p w14:paraId="45D53AAB" w14:textId="6B0C1515"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86. cikke.</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A feltüntetendő érték a leányvállalat T1 tőkébe beszámítható tőkéjének az 575/2013/EU rendelet szerint a konszolidált AT1 tőkébe beszámított összege.</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T2 TŐKE RÉSZÉT KÉPEZŐ, A SZAVATOLÓTŐKÉBE BESZÁMÍTHATÓ INSTRUMENTUMOK</w:t>
            </w:r>
          </w:p>
          <w:p w14:paraId="4291CA19" w14:textId="73F97F93"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 xml:space="preserve">Az 575/2013/EU rendelet </w:t>
            </w:r>
            <w:r>
              <w:rPr>
                <w:rStyle w:val="InstructionsTabelleText"/>
                <w:rFonts w:ascii="Times New Roman" w:hAnsi="Times New Roman"/>
                <w:sz w:val="24"/>
              </w:rPr>
              <w:t>88. cikke.</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t>A feltüntetendő érték a leányvállalat szavatolótőkébe beszámítható tőkéjének az 575/2013/EU rendelet szerint a konszolidált T2 tőkébe beszámított összege.</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TÁJÉKOZTATÓ ADAT: (–) CÉGÉRTÉK / (+) NEGATÍV CÉGÉRTÉK</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KONSZOLIDÁLT SZAVATOLÓTŐKE</w:t>
            </w:r>
          </w:p>
          <w:p w14:paraId="36D104D8" w14:textId="2BBD7793"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18. cikke.</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A „KONSZOLIDÁLT SZAVATOLÓTŐKE” alatt feltüntetendő érték a mérlegből származó összeg, a csoport más szervezetei által rendelkezésre bocsátott források nélkül.</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KONSZOLIDÁLT SZAVATOLÓTŐKE</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CET1 TŐKE</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AT1 TŐKE</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EBBŐL: HOZZÁJÁRULÁS A KONSZOLIDÁLT EREDMÉNYHEZ</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Itt az egyes szervezeteknek a konszolidált eredményhez való hozzájárulását (nyereség vagy (–) veszteség) kell feltüntetni. Ez magában foglalja a kisebbségi részesedéseknek tulajdonítható eredményt is.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 CÉGÉRTÉK / (+) NEGATÍV CÉGÉRTÉK</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Itt az adatszolgáltató intézménynek a leányvállalatban meglévő cégértékét vagy negatív cégértékét kell feltüntetni.</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TŐKEPUFFEREK</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GS táblában a tőkepufferekkel kapcsolatos adatszolgáltatás szerkezete a CA4 tábla általános felépítését követi, és azzal azonos adatszolgáltatási fogalmakat alkalmaz. A GS táblában a tőkepufferekkel kapcsolatos adatszolgáltatás során a megfelelő összegeket a csoport konszolidált helyzetére vonatkozó pufferkövetelmény meghatározására alkalmazandó rendelkezéseknek megfelelően kell feltüntetni. Ezért a tőkepufferek feltüntetett összegei az egyes szervezeteknek a csoportszintű tőkepufferekhez való hozzájárulását jelentik. </w:t>
            </w:r>
            <w:r>
              <w:rPr>
                <w:rFonts w:ascii="Times New Roman" w:hAnsi="Times New Roman"/>
                <w:sz w:val="24"/>
              </w:rPr>
              <w:t>A feltüntetett összegek a 2013/36/EU irányelvet átültető nemzeti intézkedéseken és az 575/2013/EU rendeleten alapulnak, beleértve minden azokban foglalt átmeneti rendelkezést is.</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KOMBINÁLT PUFFERKÖVETELMÉNY</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 2013/36/EU irányelv 128. cikkének 6. pontja.</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TŐKEFENNTARTÁSI PUFFER</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A 2013/36/EU irányelv 128. cikkének 1. pontja és 129. cikke.</w:t>
            </w:r>
          </w:p>
          <w:p w14:paraId="6BAB745B" w14:textId="64C721C3" w:rsidR="00BF0637" w:rsidRPr="002A677E" w:rsidRDefault="00BF0637" w:rsidP="00487A02">
            <w:pPr>
              <w:pStyle w:val="InstructionsText"/>
              <w:rPr>
                <w:rStyle w:val="InstructionsTabelleText"/>
                <w:rFonts w:ascii="Times New Roman" w:hAnsi="Times New Roman"/>
                <w:sz w:val="24"/>
              </w:rPr>
            </w:pPr>
            <w:r>
              <w:t>A 2013/36/EU irányelv 129. cikkének (1) bekezdése szerint a tőkefenntartási puffer CET1 tőkén felüli CET1 tőkeelemekből áll. Mivel a tőkefenntartási puffer 2,5 %-os mértéke állandó, ebben a cellában összeget kell feltüntetni.</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INTÉZMÉNYSPECIFIKUS ANTICIKLIKUS TŐKEPUFFER</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A 2013/36/EU irányelv 128. cikkének 2. pontja, 130. cikke, valamint 135–140. cikke.</w:t>
            </w:r>
          </w:p>
          <w:p w14:paraId="13C2D32F" w14:textId="77777777" w:rsidR="00BF0637" w:rsidRPr="002A677E" w:rsidRDefault="001B43BD" w:rsidP="00487A02">
            <w:pPr>
              <w:pStyle w:val="InstructionsText"/>
              <w:rPr>
                <w:rStyle w:val="InstructionsTabelleText"/>
                <w:rFonts w:ascii="Times New Roman" w:hAnsi="Times New Roman"/>
                <w:sz w:val="24"/>
              </w:rPr>
            </w:pPr>
            <w:r>
              <w:t>Ebben a cellában az anticiklikus puffer konkrét összegét kell megadni.</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TAGÁLLAMOK SZINTJÉN AZONOSÍTOTT MAKROPRUDENCIÁLIS VAGY RENDSZERKOCKÁZATOKRA KÉPZETT FENNTARTÁSI PUFFER</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Az 575/2013/EU rendelet 458. cikke (2) bekezdése d) pontjának iv. alpontja.</w:t>
            </w:r>
          </w:p>
          <w:p w14:paraId="4670889D" w14:textId="4BECAEBA" w:rsidR="00BF0637" w:rsidRPr="002A677E" w:rsidRDefault="001B43BD" w:rsidP="00487A02">
            <w:pPr>
              <w:pStyle w:val="InstructionsText"/>
              <w:rPr>
                <w:rStyle w:val="InstructionsTabelleberschrift"/>
                <w:rFonts w:ascii="Times New Roman" w:hAnsi="Times New Roman"/>
                <w:sz w:val="24"/>
              </w:rPr>
            </w:pPr>
            <w:r>
              <w:t>Ebben a cellában a tagállamok szintjén azonosított makroprudenciális vagy rendszerkockázatokra képzett fenntartási puffer értékét kell feltüntetni, amely az 575/2013/EU rendelet 458. cikkével összhangban a tőkefenntartási pufferen felül kérhető.</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RENDSZERKOCKÁZATI TŐKEPUFFER</w:t>
            </w:r>
          </w:p>
          <w:p w14:paraId="1EC2BAA7" w14:textId="0181C20C" w:rsidR="00BF0637" w:rsidRPr="002A677E" w:rsidRDefault="00BF0637" w:rsidP="00487A02">
            <w:pPr>
              <w:pStyle w:val="InstructionsText"/>
            </w:pPr>
            <w:r>
              <w:t xml:space="preserve">A 2013/36/EU irányelv 128. cikkének 5. pontja, 133. és 134. cikke.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Ebben a cellában a rendszerkockázati tőkepuffer összegét kell feltüntetni.</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r>
              <w:rPr>
                <w:rStyle w:val="InstructionsTabelleberschrift"/>
                <w:rFonts w:ascii="Times New Roman" w:hAnsi="Times New Roman"/>
                <w:sz w:val="24"/>
              </w:rP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A 2013/36/EU irányelv 128. cikkének 3. pontja és 131. cikke.</w:t>
            </w:r>
          </w:p>
          <w:p w14:paraId="231ADF38" w14:textId="77777777" w:rsidR="00BF0637" w:rsidRPr="002A677E" w:rsidRDefault="001B43BD" w:rsidP="00487A02">
            <w:pPr>
              <w:pStyle w:val="InstructionsText"/>
              <w:rPr>
                <w:rStyle w:val="InstructionsTabelleberschrift"/>
                <w:rFonts w:ascii="Times New Roman" w:hAnsi="Times New Roman"/>
                <w:sz w:val="24"/>
              </w:rPr>
            </w:pPr>
            <w:r>
              <w:t>Ebben a cellában a globálisan rendszerszinten jelentős intézményekre vonatkozó tőkepuffer összegét kell megadni.</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EGYÉB RENDSZERSZINTEN JELENTŐS INTÉZMÉNYEKRE VONATKOZÓ TŐKEPUFFER</w:t>
            </w:r>
            <w:r>
              <w:rPr>
                <w:rStyle w:val="InstructionsTabelleberschrift"/>
                <w:rFonts w:ascii="Times New Roman" w:hAnsi="Times New Roman"/>
                <w:sz w:val="24"/>
              </w:rPr>
              <w:tab/>
            </w:r>
          </w:p>
          <w:p w14:paraId="3BE461F6" w14:textId="343A0FC1" w:rsidR="00BF0637" w:rsidRPr="002A677E" w:rsidRDefault="00BF0637" w:rsidP="00487A02">
            <w:pPr>
              <w:pStyle w:val="InstructionsText"/>
            </w:pPr>
            <w:r>
              <w:t>A 2013/36/EU irányelv 128. cikkének 4. pontja és 131. cikke.</w:t>
            </w:r>
          </w:p>
          <w:p w14:paraId="438EEBF7" w14:textId="77777777" w:rsidR="00BF0637" w:rsidRPr="002A677E" w:rsidRDefault="001B43BD" w:rsidP="00487A02">
            <w:pPr>
              <w:pStyle w:val="InstructionsText"/>
              <w:rPr>
                <w:rStyle w:val="InstructionsTabelleberschrift"/>
                <w:rFonts w:ascii="Times New Roman" w:hAnsi="Times New Roman"/>
                <w:sz w:val="24"/>
              </w:rPr>
            </w:pPr>
            <w:r>
              <w:t>Ebben a cellában az egyéb rendszerszinten jelentős intézményekre vonatkozó tőkepuffer összegét kell megadni.</w:t>
            </w:r>
          </w:p>
        </w:tc>
      </w:tr>
    </w:tbl>
    <w:p w14:paraId="45A6EB84" w14:textId="77777777" w:rsidR="00FC1030" w:rsidRPr="002A677E" w:rsidRDefault="00FC1030" w:rsidP="00487A02">
      <w:pPr>
        <w:pStyle w:val="InstructionsText"/>
      </w:pPr>
    </w:p>
    <w:p w14:paraId="2FA5F255" w14:textId="2A2557C0"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6039897"/>
      <w:r>
        <w:rPr>
          <w:rFonts w:ascii="Times New Roman" w:hAnsi="Times New Roman"/>
          <w:sz w:val="24"/>
          <w:u w:val="none"/>
        </w:rPr>
        <w:t>3.</w:t>
      </w:r>
      <w:r>
        <w:rPr>
          <w:rFonts w:ascii="Times New Roman" w:hAnsi="Times New Roman"/>
          <w:sz w:val="24"/>
          <w:u w:val="none"/>
        </w:rPr>
        <w:tab/>
      </w:r>
      <w:r>
        <w:rPr>
          <w:rFonts w:ascii="Times New Roman" w:hAnsi="Times New Roman"/>
          <w:sz w:val="24"/>
        </w:rPr>
        <w:t>Hitelkockázati táblacsoport</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116039898"/>
      <w:bookmarkStart w:id="121" w:name="_Toc262568022"/>
      <w:bookmarkStart w:id="122" w:name="_Toc295829848"/>
      <w:bookmarkStart w:id="123"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Általános megjegyzések</w:t>
      </w:r>
      <w:bookmarkEnd w:id="118"/>
      <w:bookmarkEnd w:id="119"/>
      <w:bookmarkEnd w:id="120"/>
      <w:r>
        <w:rPr>
          <w:rFonts w:ascii="Times New Roman" w:hAnsi="Times New Roman"/>
          <w:sz w:val="24"/>
        </w:rPr>
        <w:t xml:space="preserve"> </w:t>
      </w:r>
      <w:bookmarkEnd w:id="121"/>
      <w:bookmarkEnd w:id="122"/>
      <w:bookmarkEnd w:id="123"/>
    </w:p>
    <w:p w14:paraId="3920365D"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39</w:t>
      </w:r>
      <w:r>
        <w:rPr>
          <w:noProof/>
        </w:rPr>
        <w:fldChar w:fldCharType="end"/>
      </w:r>
      <w:r w:rsidR="00C3070C">
        <w:t>.</w:t>
      </w:r>
      <w:r w:rsidR="00C3070C">
        <w:tab/>
        <w:t xml:space="preserve">A hitelkockázat kiszámításakor alkalmazott sztenderd módszerhez és IRB módszerhez külön táblacsoport tartozik. Emellett az ezen végrehajtási rendelet 5. cikkének (5) bekezdésében rögzített küszöbérték túllépése esetén a hitelkockázattal érintett pozíciók földrajzi bontásához külön táblákon kell adatot szolgáltatni. </w:t>
      </w:r>
    </w:p>
    <w:p w14:paraId="23D2606F" w14:textId="24E22679"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6039899"/>
      <w:r>
        <w:rPr>
          <w:rFonts w:ascii="Times New Roman" w:hAnsi="Times New Roman"/>
          <w:sz w:val="24"/>
          <w:u w:val="none"/>
        </w:rPr>
        <w:t>3.1.1.</w:t>
      </w:r>
      <w:r>
        <w:rPr>
          <w:rFonts w:ascii="Times New Roman" w:hAnsi="Times New Roman"/>
          <w:sz w:val="24"/>
          <w:u w:val="none"/>
        </w:rPr>
        <w:tab/>
      </w:r>
      <w:r>
        <w:rPr>
          <w:rFonts w:ascii="Times New Roman" w:hAnsi="Times New Roman"/>
          <w:sz w:val="24"/>
        </w:rPr>
        <w:t>Helyettesítési hatással járó hitelkockázat-mérséklési (CRM) technikák</w:t>
      </w:r>
      <w:bookmarkEnd w:id="124"/>
      <w:bookmarkEnd w:id="125"/>
      <w:bookmarkEnd w:id="126"/>
      <w:bookmarkEnd w:id="127"/>
      <w:bookmarkEnd w:id="128"/>
      <w:bookmarkEnd w:id="129"/>
    </w:p>
    <w:p w14:paraId="58CA4336"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40</w:t>
      </w:r>
      <w:r>
        <w:rPr>
          <w:noProof/>
        </w:rPr>
        <w:fldChar w:fldCharType="end"/>
      </w:r>
      <w:r w:rsidR="00C3070C">
        <w:t>.</w:t>
      </w:r>
      <w:r w:rsidR="00C3070C">
        <w:tab/>
        <w:t>Az azonos kitettségi osztályba tartozó kötelezettekkel (közvetlen partnerekkel) és garantőrökkel szembeni kitettségek adatszolgáltatásának tartalmaznia kell az adott kitettségi osztályt érintő be- és kiáramlásokat egyaránt.</w:t>
      </w:r>
    </w:p>
    <w:p w14:paraId="628153FE"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41</w:t>
      </w:r>
      <w:r>
        <w:rPr>
          <w:noProof/>
        </w:rPr>
        <w:fldChar w:fldCharType="end"/>
      </w:r>
      <w:r w:rsidR="00C3070C">
        <w:t>.</w:t>
      </w:r>
      <w:r w:rsidR="00C3070C">
        <w:tab/>
        <w:t>Az előre nem rendelkezésre bocsátott hitelkockázati fedezet miatt a kitettség típusa nem változik.</w:t>
      </w:r>
    </w:p>
    <w:p w14:paraId="16802E43"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42</w:t>
      </w:r>
      <w:r>
        <w:rPr>
          <w:noProof/>
        </w:rPr>
        <w:fldChar w:fldCharType="end"/>
      </w:r>
      <w:r w:rsidR="00C3070C">
        <w:t>.</w:t>
      </w:r>
      <w:r w:rsidR="00C3070C">
        <w:tab/>
        <w:t xml:space="preserve">Az előre nem rendelkezésre bocsátott hitelkockázati fedezettel rendelkező kitettség esetében a fedezett részt kiáramlásként kell figyelembe venni pl. a kötelezett </w:t>
      </w:r>
      <w:r w:rsidR="00C3070C">
        <w:lastRenderedPageBreak/>
        <w:t>kitettségi osztályában, és beáramlásként a garantőr kitettségi osztályában. A kitettség típusa azonban a kitettségi osztály változása következtében nem módosul.</w:t>
      </w:r>
    </w:p>
    <w:p w14:paraId="4E7B84E6"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43</w:t>
      </w:r>
      <w:r>
        <w:rPr>
          <w:noProof/>
        </w:rPr>
        <w:fldChar w:fldCharType="end"/>
      </w:r>
      <w:r w:rsidR="00C3070C">
        <w:t>.</w:t>
      </w:r>
      <w:r w:rsidR="00C3070C">
        <w:tab/>
        <w:t xml:space="preserve">A COREP adatszolgáltatási rendszerben megjelenő helyettesítési hatás a kitettség fedezett részére ténylegesen alkalmazandó kockázati súlyozást tükrözi. Így a kitettségek fedezett részének kockázati súlyozása a sztenderd módszer szerint történik, és arról a CR SA táblán kell adatot szolgáltatni. </w:t>
      </w:r>
    </w:p>
    <w:p w14:paraId="73A64D1C" w14:textId="4E236C92"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6039900"/>
      <w:r>
        <w:rPr>
          <w:rFonts w:ascii="Times New Roman" w:hAnsi="Times New Roman"/>
          <w:sz w:val="24"/>
          <w:u w:val="none"/>
        </w:rPr>
        <w:t>3.1.2.</w:t>
      </w:r>
      <w:r>
        <w:rPr>
          <w:rFonts w:ascii="Times New Roman" w:hAnsi="Times New Roman"/>
          <w:sz w:val="24"/>
          <w:u w:val="none"/>
        </w:rPr>
        <w:tab/>
      </w:r>
      <w:r>
        <w:rPr>
          <w:rFonts w:ascii="Times New Roman" w:hAnsi="Times New Roman"/>
          <w:sz w:val="24"/>
        </w:rPr>
        <w:t>A partnerkockázattal kapcsolatos adatszolgáltatás</w:t>
      </w:r>
      <w:bookmarkEnd w:id="130"/>
      <w:bookmarkEnd w:id="131"/>
      <w:bookmarkEnd w:id="132"/>
      <w:bookmarkEnd w:id="133"/>
      <w:bookmarkEnd w:id="134"/>
      <w:bookmarkEnd w:id="135"/>
    </w:p>
    <w:p w14:paraId="4DE9180B"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44</w:t>
      </w:r>
      <w:r>
        <w:rPr>
          <w:noProof/>
        </w:rPr>
        <w:fldChar w:fldCharType="end"/>
      </w:r>
      <w:r w:rsidR="00C3070C">
        <w:t>.</w:t>
      </w:r>
      <w:r w:rsidR="00C3070C">
        <w:tab/>
        <w:t xml:space="preserve">A partnerkockázati pozíciókból eredő kitettségeket a CR SA vagy CR IRB táblákon kell feltüntetni attól függetlenül, hogy azokat a banki könyvben vagy a kereskedési könyvben tartják nyilván. </w:t>
      </w:r>
    </w:p>
    <w:p w14:paraId="024C34FE" w14:textId="2F30C019"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6039901"/>
      <w:r>
        <w:rPr>
          <w:rFonts w:ascii="Times New Roman" w:hAnsi="Times New Roman"/>
          <w:sz w:val="24"/>
          <w:u w:val="none"/>
        </w:rPr>
        <w:t>3.2.</w:t>
      </w:r>
      <w:r>
        <w:rPr>
          <w:rFonts w:ascii="Times New Roman" w:hAnsi="Times New Roman"/>
          <w:sz w:val="24"/>
          <w:u w:val="none"/>
        </w:rPr>
        <w:tab/>
      </w:r>
      <w:r>
        <w:rPr>
          <w:rFonts w:ascii="Times New Roman" w:hAnsi="Times New Roman"/>
          <w:sz w:val="24"/>
        </w:rPr>
        <w:t>C 07.00 – Hitelkockázat, partnerkockázat és nyitva szállítások: a sztenderd módszer szerinti tőkekövetelmény (CR SA)</w:t>
      </w:r>
      <w:bookmarkEnd w:id="136"/>
      <w:bookmarkEnd w:id="137"/>
      <w:bookmarkEnd w:id="138"/>
      <w:bookmarkEnd w:id="139"/>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6039902"/>
      <w:r>
        <w:rPr>
          <w:rFonts w:ascii="Times New Roman" w:hAnsi="Times New Roman"/>
          <w:sz w:val="24"/>
          <w:u w:val="none"/>
        </w:rPr>
        <w:t>3.2.1.</w:t>
      </w:r>
      <w:r>
        <w:rPr>
          <w:rFonts w:ascii="Times New Roman" w:hAnsi="Times New Roman"/>
          <w:sz w:val="24"/>
          <w:u w:val="none"/>
        </w:rPr>
        <w:tab/>
      </w:r>
      <w:r>
        <w:rPr>
          <w:rFonts w:ascii="Times New Roman" w:hAnsi="Times New Roman"/>
          <w:sz w:val="24"/>
        </w:rPr>
        <w:t>Általános megjegyzések</w:t>
      </w:r>
      <w:bookmarkEnd w:id="142"/>
      <w:bookmarkEnd w:id="143"/>
      <w:bookmarkEnd w:id="144"/>
      <w:bookmarkEnd w:id="145"/>
      <w:bookmarkEnd w:id="146"/>
      <w:bookmarkEnd w:id="147"/>
      <w:bookmarkEnd w:id="148"/>
      <w:bookmarkEnd w:id="149"/>
    </w:p>
    <w:p w14:paraId="611BAA0D"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45</w:t>
      </w:r>
      <w:r>
        <w:rPr>
          <w:noProof/>
        </w:rPr>
        <w:fldChar w:fldCharType="end"/>
      </w:r>
      <w:r w:rsidR="00C3070C">
        <w:t>.</w:t>
      </w:r>
      <w:r w:rsidR="00C3070C">
        <w:tab/>
        <w:t>A CR SA táblák a hitelkockázat szavatolótőke-követelményének sztenderd módszer szerinti kiszámításához szükséges információkat tartalmazzák. Különösen az alábbiakról tartalmaznak részletes információkat:</w:t>
      </w:r>
    </w:p>
    <w:p w14:paraId="7D57B213" w14:textId="77777777" w:rsidR="00464F34" w:rsidRPr="002A677E" w:rsidRDefault="00125707" w:rsidP="00487A02">
      <w:pPr>
        <w:pStyle w:val="InstructionsText2"/>
        <w:numPr>
          <w:ilvl w:val="0"/>
          <w:numId w:val="0"/>
        </w:numPr>
        <w:ind w:left="1353" w:hanging="360"/>
      </w:pPr>
      <w:r>
        <w:t>a)</w:t>
      </w:r>
      <w:r>
        <w:tab/>
        <w:t>a kitettségértékek különböző kitettségtípusok, kockázati súlyok és kitettségi osztályok szerinti megoszlása;</w:t>
      </w:r>
    </w:p>
    <w:p w14:paraId="28577EB0" w14:textId="77777777" w:rsidR="00464F34" w:rsidRPr="002A677E" w:rsidRDefault="00125707" w:rsidP="00487A02">
      <w:pPr>
        <w:pStyle w:val="InstructionsText2"/>
        <w:numPr>
          <w:ilvl w:val="0"/>
          <w:numId w:val="0"/>
        </w:numPr>
        <w:ind w:left="1353" w:hanging="360"/>
      </w:pPr>
      <w:r>
        <w:t>b)</w:t>
      </w:r>
      <w:r>
        <w:tab/>
        <w:t xml:space="preserve">a kockázatok mérséklésére alkalmazott hitelkockázat-mérséklési technikák mértéke és típusa. </w:t>
      </w:r>
    </w:p>
    <w:p w14:paraId="3FA3DC1C" w14:textId="63A2544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6039903"/>
      <w:r>
        <w:rPr>
          <w:rFonts w:ascii="Times New Roman" w:hAnsi="Times New Roman"/>
          <w:sz w:val="24"/>
          <w:u w:val="none"/>
        </w:rPr>
        <w:t>3.2.2.</w:t>
      </w:r>
      <w:r>
        <w:rPr>
          <w:rFonts w:ascii="Times New Roman" w:hAnsi="Times New Roman"/>
          <w:sz w:val="24"/>
          <w:u w:val="none"/>
        </w:rPr>
        <w:tab/>
      </w:r>
      <w:r>
        <w:rPr>
          <w:rFonts w:ascii="Times New Roman" w:hAnsi="Times New Roman"/>
          <w:sz w:val="24"/>
        </w:rPr>
        <w:t>A CR SA tábla alkalmazási köre</w:t>
      </w:r>
      <w:bookmarkEnd w:id="150"/>
      <w:bookmarkEnd w:id="151"/>
      <w:bookmarkEnd w:id="152"/>
      <w:bookmarkEnd w:id="153"/>
      <w:bookmarkEnd w:id="154"/>
      <w:bookmarkEnd w:id="155"/>
      <w:bookmarkEnd w:id="156"/>
      <w:bookmarkEnd w:id="157"/>
    </w:p>
    <w:p w14:paraId="0C400487" w14:textId="327B2579"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46</w:t>
      </w:r>
      <w:r>
        <w:rPr>
          <w:noProof/>
        </w:rPr>
        <w:fldChar w:fldCharType="end"/>
      </w:r>
      <w:r w:rsidR="00C3070C">
        <w:t>.</w:t>
      </w:r>
      <w:r w:rsidR="00C3070C">
        <w:tab/>
        <w:t>Az 575/2013/EU rendelet 112. cikke szerint minden SA kitettséget a 16 SA kitettségi osztály valamelyikébe kell sorolni a szavatolótőke-követelmény kiszámításához.</w:t>
      </w:r>
    </w:p>
    <w:p w14:paraId="0EFA672B"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47</w:t>
      </w:r>
      <w:r>
        <w:rPr>
          <w:noProof/>
        </w:rPr>
        <w:fldChar w:fldCharType="end"/>
      </w:r>
      <w:r w:rsidR="00C3070C">
        <w:t>.</w:t>
      </w:r>
      <w:r w:rsidR="00C3070C">
        <w:tab/>
        <w:t xml:space="preserve">A CR SA táblán feltüntetett adatokra a kitettségi osztályok összegzésében, valamint a sztenderd módszer szerint meghatározott egyes kitettségi osztályokban van szükség. Az összesített adatokat és az egyes kitettségi osztályokban szereplő információkat külön dimenzióban kell megadni. </w:t>
      </w:r>
    </w:p>
    <w:p w14:paraId="375491F9"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48</w:t>
      </w:r>
      <w:r>
        <w:rPr>
          <w:noProof/>
        </w:rPr>
        <w:fldChar w:fldCharType="end"/>
      </w:r>
      <w:r w:rsidR="00C3070C">
        <w:t>.</w:t>
      </w:r>
      <w:r w:rsidR="00C3070C">
        <w:tab/>
        <w:t>Az alábbi pozíciók azonban nem tartoznak a CR SA alkalmazási körébe:</w:t>
      </w:r>
    </w:p>
    <w:p w14:paraId="4270BD85" w14:textId="7F62CBAC" w:rsidR="00464F34" w:rsidRPr="002A677E" w:rsidRDefault="00125707" w:rsidP="00487A02">
      <w:pPr>
        <w:pStyle w:val="InstructionsText2"/>
        <w:numPr>
          <w:ilvl w:val="0"/>
          <w:numId w:val="0"/>
        </w:numPr>
        <w:ind w:left="1353" w:hanging="360"/>
      </w:pPr>
      <w:r>
        <w:t>a)</w:t>
      </w:r>
      <w:r>
        <w:tab/>
        <w:t>az 575/2013/EU rendelet 112. cikkének m) pontjában említett „értékpapírosítási pozíciókat megtestesítő tételek” kitettségi osztályba sorolt kitettségek, amelyekről a CR SEC táblákon kell adatot szolgáltatni;</w:t>
      </w:r>
    </w:p>
    <w:p w14:paraId="7A237CC4" w14:textId="77777777" w:rsidR="00464F34" w:rsidRPr="002A677E" w:rsidRDefault="00125707" w:rsidP="00487A02">
      <w:pPr>
        <w:pStyle w:val="InstructionsText2"/>
        <w:numPr>
          <w:ilvl w:val="0"/>
          <w:numId w:val="0"/>
        </w:numPr>
        <w:ind w:left="1353" w:hanging="360"/>
      </w:pPr>
      <w:r>
        <w:t>b)</w:t>
      </w:r>
      <w:r>
        <w:tab/>
        <w:t>a szavatolótőkéből levont kitettségek.</w:t>
      </w:r>
    </w:p>
    <w:p w14:paraId="3E766928"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49</w:t>
      </w:r>
      <w:r>
        <w:rPr>
          <w:noProof/>
        </w:rPr>
        <w:fldChar w:fldCharType="end"/>
      </w:r>
      <w:r w:rsidR="00C3070C">
        <w:t>.</w:t>
      </w:r>
      <w:r w:rsidR="00C3070C">
        <w:tab/>
        <w:t>A CR SA tábla alkalmazási köre az alábbi szavatolótőke-követelményekre terjed ki:</w:t>
      </w:r>
    </w:p>
    <w:p w14:paraId="5FAD0A68" w14:textId="0F4991B1" w:rsidR="00464F34" w:rsidRPr="002A677E" w:rsidRDefault="00125707" w:rsidP="00487A02">
      <w:pPr>
        <w:pStyle w:val="InstructionsText2"/>
        <w:numPr>
          <w:ilvl w:val="0"/>
          <w:numId w:val="0"/>
        </w:numPr>
        <w:ind w:left="1353" w:hanging="360"/>
      </w:pPr>
      <w:r>
        <w:lastRenderedPageBreak/>
        <w:t>a)</w:t>
      </w:r>
      <w:r>
        <w:tab/>
        <w:t>a banki könyvben nyilvántartott, az 575/2013/EU rendelet harmadik része II. címének 2. fejezete (Sztenderd módszer) szerinti hitelkockázat, ezen belül a banki könyvben nyilvántartott, az 575/2013/EU rendelet harmadik része II. címének 4. és 6. fejezete (Partnerkockázat) szerinti partnerkockázat;</w:t>
      </w:r>
    </w:p>
    <w:p w14:paraId="0C7520AF" w14:textId="5265E5C0" w:rsidR="00464F34" w:rsidRPr="002A677E" w:rsidRDefault="00125707" w:rsidP="00487A02">
      <w:pPr>
        <w:pStyle w:val="InstructionsText2"/>
        <w:numPr>
          <w:ilvl w:val="0"/>
          <w:numId w:val="0"/>
        </w:numPr>
        <w:ind w:left="1353" w:hanging="360"/>
      </w:pPr>
      <w:r>
        <w:t>b)</w:t>
      </w:r>
      <w:r>
        <w:tab/>
        <w:t>a kereskedési könyvben nyilvántartott, az 575/2013/EU rendelet harmadik része II. címének 4. és 6. fejezete (Partnerkockázat) szerinti partnerkockázat;</w:t>
      </w:r>
    </w:p>
    <w:p w14:paraId="04739871" w14:textId="74F6DD51" w:rsidR="00464F34" w:rsidRPr="002A677E" w:rsidRDefault="00125707" w:rsidP="00487A02">
      <w:pPr>
        <w:pStyle w:val="InstructionsText2"/>
        <w:numPr>
          <w:ilvl w:val="0"/>
          <w:numId w:val="0"/>
        </w:numPr>
        <w:ind w:left="1353" w:hanging="360"/>
      </w:pPr>
      <w:r>
        <w:t>c)</w:t>
      </w:r>
      <w:r>
        <w:tab/>
        <w:t>az 575/2013/EU rendelet 379. cikke szerinti nyitva szállításokból eredő kiegyenlítési kockázat az üzleti tevékenységek teljes körére vonatkozóan.</w:t>
      </w:r>
    </w:p>
    <w:p w14:paraId="61ABE9BC" w14:textId="1E1EC54D"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50</w:t>
      </w:r>
      <w:r>
        <w:rPr>
          <w:noProof/>
        </w:rPr>
        <w:fldChar w:fldCharType="end"/>
      </w:r>
      <w:r w:rsidR="00C3070C">
        <w:t>.</w:t>
      </w:r>
      <w:r w:rsidR="00C3070C">
        <w:tab/>
        <w:t>A tábla alkalmazási köre minden olyan kitettségre kiterjed, amelynek szavatolótőke-követelményét az 575/2013/EU rendelet harmadik része II. címe 4. és 6. fejezetével együttesen értelmezve, az 575/2013/EU rendelet harmadik része II. címének 2. fejezetével összhangban kell kiszámítani. Az 575/2013/EU rendelet 94. cikkének (1) bekezdését alkalmazó intézményeknek az említett rendelet 92. cikke (3) bekezdésének b) pontjában említett kereskedési könyvi pozícióikról is ezen a táblán kell adatot szolgáltatniuk akkor, ha az azokra vonatkozó szavatolótőke-követelményeket (az említett rendelet harmadik része II. címének 2. és 6. fejezete és V. címe) az említett rendelet harmadik része II. címének 2. fejezete alapján számítják ki. Ebből adódóan a tábla nem csupán a kitettség típusáról nyújt részletes tájékoztatást (pl. mérlegen belüli/kívüli tételek), hanem a kockázati súlyoknak az adott kitettségi osztályon belüli eloszlásáról is.</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t>51</w:t>
      </w:r>
      <w:r w:rsidRPr="00624117">
        <w:fldChar w:fldCharType="end"/>
      </w:r>
      <w:r>
        <w:t>.</w:t>
      </w:r>
      <w:r>
        <w:tab/>
        <w:t xml:space="preserve">Ezenkívül a CR SA táblában a 0290–0320. sorok további tájékoztató adatokat tartalmaznak az ingatlanra bejegyzett zálogjoggal fedezett kitettségekről, valamint a nemteljesítő kitettségekről. </w:t>
      </w:r>
    </w:p>
    <w:p w14:paraId="05A7C3AE"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52</w:t>
      </w:r>
      <w:r>
        <w:rPr>
          <w:noProof/>
        </w:rPr>
        <w:fldChar w:fldCharType="end"/>
      </w:r>
      <w:r w:rsidR="00C3070C">
        <w:t>.</w:t>
      </w:r>
      <w:r w:rsidR="00C3070C">
        <w:tab/>
        <w:t xml:space="preserve">Ezeket a tájékoztató adatokat kizárólag az alábbi kitettségi osztályokra vonatkozóan kell megadni: </w:t>
      </w:r>
    </w:p>
    <w:p w14:paraId="100A9167" w14:textId="4D6315E9" w:rsidR="00464F34" w:rsidRPr="002A677E" w:rsidRDefault="00125707" w:rsidP="00487A02">
      <w:pPr>
        <w:pStyle w:val="InstructionsText2"/>
        <w:numPr>
          <w:ilvl w:val="0"/>
          <w:numId w:val="0"/>
        </w:numPr>
        <w:ind w:left="1353" w:hanging="360"/>
      </w:pPr>
      <w:r>
        <w:t>a)</w:t>
      </w:r>
      <w:r>
        <w:tab/>
        <w:t>központi kormányzatok vagy központi bankok (az 575/2013/EU rendelet 112. cikkének a) pontja);</w:t>
      </w:r>
    </w:p>
    <w:p w14:paraId="0078CFD3" w14:textId="1D83DCFD" w:rsidR="00464F34" w:rsidRPr="002A677E" w:rsidRDefault="00125707" w:rsidP="00487A02">
      <w:pPr>
        <w:pStyle w:val="InstructionsText2"/>
        <w:numPr>
          <w:ilvl w:val="0"/>
          <w:numId w:val="0"/>
        </w:numPr>
        <w:ind w:left="1353" w:hanging="360"/>
      </w:pPr>
      <w:r>
        <w:t>b)</w:t>
      </w:r>
      <w:r>
        <w:tab/>
        <w:t>regionális kormányzatok vagy helyi hatóságok (az 575/2013/EU rendelet 112. cikkének b) pontja);</w:t>
      </w:r>
    </w:p>
    <w:p w14:paraId="35C975FE" w14:textId="66C18A5C" w:rsidR="00464F34" w:rsidRPr="002A677E" w:rsidRDefault="00125707" w:rsidP="00487A02">
      <w:pPr>
        <w:pStyle w:val="InstructionsText2"/>
        <w:numPr>
          <w:ilvl w:val="0"/>
          <w:numId w:val="0"/>
        </w:numPr>
        <w:ind w:left="1353" w:hanging="360"/>
      </w:pPr>
      <w:r>
        <w:t>c)</w:t>
      </w:r>
      <w:r>
        <w:tab/>
        <w:t>közszektorbeli intézmények (az 575/2013/EU rendelet 112. cikkének c) pontja);</w:t>
      </w:r>
    </w:p>
    <w:p w14:paraId="0CC06ECA" w14:textId="29E5CAF5" w:rsidR="00464F34" w:rsidRPr="002A677E" w:rsidRDefault="00125707" w:rsidP="00487A02">
      <w:pPr>
        <w:pStyle w:val="InstructionsText2"/>
        <w:numPr>
          <w:ilvl w:val="0"/>
          <w:numId w:val="0"/>
        </w:numPr>
        <w:ind w:left="1353" w:hanging="360"/>
      </w:pPr>
      <w:r>
        <w:t>d)</w:t>
      </w:r>
      <w:r>
        <w:tab/>
        <w:t>intézmények (az 575/2013/EU rendelet 112. cikkének f) pontja);</w:t>
      </w:r>
    </w:p>
    <w:p w14:paraId="4D66EE55" w14:textId="6FA7E32E" w:rsidR="00464F34" w:rsidRPr="002A677E" w:rsidRDefault="00125707" w:rsidP="00487A02">
      <w:pPr>
        <w:pStyle w:val="InstructionsText2"/>
        <w:numPr>
          <w:ilvl w:val="0"/>
          <w:numId w:val="0"/>
        </w:numPr>
        <w:ind w:left="1353" w:hanging="360"/>
      </w:pPr>
      <w:r>
        <w:t>e)</w:t>
      </w:r>
      <w:r>
        <w:tab/>
        <w:t>vállalkozások (az 575/2013/EU rendelet 112. cikkének g) pontja);</w:t>
      </w:r>
    </w:p>
    <w:p w14:paraId="00D22081" w14:textId="16C3552C" w:rsidR="00464F34" w:rsidRPr="002A677E" w:rsidRDefault="00125707" w:rsidP="00487A02">
      <w:pPr>
        <w:pStyle w:val="InstructionsText2"/>
        <w:numPr>
          <w:ilvl w:val="0"/>
          <w:numId w:val="0"/>
        </w:numPr>
        <w:ind w:left="1353" w:hanging="360"/>
      </w:pPr>
      <w:r>
        <w:t>f)</w:t>
      </w:r>
      <w:r>
        <w:tab/>
        <w:t>lakosság (az 575/2013/EU rendelet 112. cikkének h) pontja).</w:t>
      </w:r>
    </w:p>
    <w:p w14:paraId="18359E60" w14:textId="7453ABBF"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53</w:t>
      </w:r>
      <w:r>
        <w:rPr>
          <w:noProof/>
        </w:rPr>
        <w:fldChar w:fldCharType="end"/>
      </w:r>
      <w:r w:rsidR="00C3070C">
        <w:t>.</w:t>
      </w:r>
      <w:r w:rsidR="00C3070C">
        <w:tab/>
        <w:t xml:space="preserve">A tájékoztató adatok megadása sem az 575/2013/EU rendelet 112. cikkének a)–c) és f)–h) pontjában említett kitettségi osztályok, sem pedig a CR SA táblán feltüntetett, az említett rendelet 112. cikkének i) és j) pontjában említett kitettségi osztályok kockázattal súlyozott kitettségértékének kiszámítását nem érinti. </w:t>
      </w:r>
    </w:p>
    <w:p w14:paraId="5C09947A" w14:textId="77777777" w:rsidR="00464F34"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54</w:t>
      </w:r>
      <w:r>
        <w:rPr>
          <w:noProof/>
        </w:rPr>
        <w:fldChar w:fldCharType="end"/>
      </w:r>
      <w:r w:rsidR="00C3070C">
        <w:t>.</w:t>
      </w:r>
      <w:r w:rsidR="00C3070C">
        <w:tab/>
        <w:t>A tájékoztató sorok kiegészítő információkat nyújtanak a „nemteljesítő” és „ingatlanra bejegyzett zálogjoggal fedezett” kitettségi osztályok kötelezetti struktúrájáról. E sorokban azokat a kitettségeket kell megadni, amelyeknél a kötelezetteket a CR SA tábla „központi kormányzatok vagy központi bankok”, „regionális kormányzatok vagy helyi hatóságok”, „közszektorbeli intézmények”, „intézmények”, „vállalkozások” és „lakosság” kitettségi osztályaiba kellene sorolni akkor, ha a kitettségek nem a „nemteljesítő” vagy „ingatlanra bejegyzett zálogjoggal fedezett” kitettségi osztályba tartoznának. Mindazonáltal a megadott számadatoknak meg kell egyezniük a „nemteljesítő” és „ingatlanra bejegyzett zálogjoggal fedezett” kitettségi osztályok kockázattal súlyozott kitettségértékeinek számításához használt adatokkal.</w:t>
      </w:r>
    </w:p>
    <w:p w14:paraId="7691FC39" w14:textId="4C84AA48"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55</w:t>
      </w:r>
      <w:r>
        <w:rPr>
          <w:noProof/>
        </w:rPr>
        <w:fldChar w:fldCharType="end"/>
      </w:r>
      <w:r w:rsidR="00C3070C">
        <w:t>.</w:t>
      </w:r>
      <w:r w:rsidR="00C3070C">
        <w:tab/>
        <w:t>Pl. egy olyan kitettség esetében, amelynek kitettségértékeit az 575/2013/EU rendelet 127. cikke alapján számítják ki 20 % alatti értékelési korrekció mellett, ezt az információt a CR SA 0320-as sorában az összesített adatok között, valamint a „nemteljesítő” kitettségi osztályban kell feltüntetni. Ha ugyanez a kitettség a nemteljesítést megelőzően intézménnyel szembeni kitettség volt, akkor ezt az információt az „intézmények” kitettségi osztály 0320. sorában is fel kell tüntetni.</w:t>
      </w:r>
    </w:p>
    <w:p w14:paraId="59860E71" w14:textId="5CEB677F"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6039904"/>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A kitettségek kitettségi osztályba sorolása a sztenderd módszerrel</w:t>
      </w:r>
      <w:bookmarkEnd w:id="182"/>
      <w:bookmarkEnd w:id="183"/>
      <w:bookmarkEnd w:id="184"/>
      <w:bookmarkEnd w:id="185"/>
      <w:bookmarkEnd w:id="186"/>
      <w:bookmarkEnd w:id="187"/>
      <w:bookmarkEnd w:id="188"/>
      <w:bookmarkEnd w:id="189"/>
    </w:p>
    <w:p w14:paraId="06E4E915" w14:textId="29343BA3"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56</w:t>
      </w:r>
      <w:r>
        <w:rPr>
          <w:noProof/>
        </w:rPr>
        <w:fldChar w:fldCharType="end"/>
      </w:r>
      <w:r w:rsidR="00C3070C">
        <w:t>.</w:t>
      </w:r>
      <w:r w:rsidR="00C3070C">
        <w:tab/>
        <w:t xml:space="preserve">A kitettségeknek az 575/2013/EU rendelet 112. cikkében említett különböző kitettségi osztályokba történő következetes besorolása érdekében az alábbi lépcsőzetes módszert kell alkalmazni: </w:t>
      </w:r>
    </w:p>
    <w:p w14:paraId="16CE90EA" w14:textId="53E09D7A" w:rsidR="00464F34" w:rsidRPr="002A677E" w:rsidRDefault="00125707" w:rsidP="00487A02">
      <w:pPr>
        <w:pStyle w:val="InstructionsText2"/>
        <w:numPr>
          <w:ilvl w:val="0"/>
          <w:numId w:val="0"/>
        </w:numPr>
        <w:ind w:left="1353" w:hanging="360"/>
      </w:pPr>
      <w:r>
        <w:t>a)</w:t>
      </w:r>
      <w:r>
        <w:tab/>
        <w:t>első lépésben a hitel-egyenértékesítési tényezők előtti eredeti kitettséget az 575/2013/EU rendelet 112. cikkében említettek közül a megfelelő (eredeti) kitettségi osztályba kell sorolni attól függetlenül, hogy az egyes kitettségek a besorolásuk szerinti kitettségi osztályban milyen kockázati súlyt kapnak;</w:t>
      </w:r>
    </w:p>
    <w:p w14:paraId="0D9A2306" w14:textId="77777777" w:rsidR="00464F34" w:rsidRPr="002A677E" w:rsidRDefault="00125707" w:rsidP="00487A02">
      <w:pPr>
        <w:pStyle w:val="InstructionsText2"/>
        <w:numPr>
          <w:ilvl w:val="0"/>
          <w:numId w:val="0"/>
        </w:numPr>
        <w:ind w:left="1353" w:hanging="360"/>
      </w:pPr>
      <w:r>
        <w:t>b)</w:t>
      </w:r>
      <w:r>
        <w:tab/>
        <w:t>második lépésben a kitettségek a rájuk helyettesítési hatást kifejtő hitelkockázat-mérséklési (CRM) technikák (garanciák, hitelderivatívák, a pénzügyi biztosítékok egyszerű módszere) be- és kiáramlás formájában történő alkalmazásából eredően átsorolhatók más kitettségi osztályokba.</w:t>
      </w:r>
    </w:p>
    <w:p w14:paraId="6D3E51A1"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57</w:t>
      </w:r>
      <w:r>
        <w:rPr>
          <w:noProof/>
        </w:rPr>
        <w:fldChar w:fldCharType="end"/>
      </w:r>
      <w:r w:rsidR="00C3070C">
        <w:t>.</w:t>
      </w:r>
      <w:r w:rsidR="00C3070C">
        <w:tab/>
        <w:t>A hitel-egyenértékesítési tényezők előtti eredeti kitettségnek a különböző kitettségi osztályokba sorolására (első lépés) – függetlenül a kitettségre helyettesítési hatással járó hitelkockázat-mérséklési technikák alkalmazása miatti későbbi átsorolástól, valamint attól, hogy az egyes kitettségek a besorolásuk szerinti kitettségi osztályban milyen kockázati súlyt kapnak – az alábbi kritériumok vonatkoznak.</w:t>
      </w:r>
    </w:p>
    <w:p w14:paraId="0ACE6D07" w14:textId="679076AF"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58</w:t>
      </w:r>
      <w:r>
        <w:rPr>
          <w:noProof/>
        </w:rPr>
        <w:fldChar w:fldCharType="end"/>
      </w:r>
      <w:r w:rsidR="00C3070C">
        <w:t>.</w:t>
      </w:r>
      <w:r w:rsidR="00C3070C">
        <w:tab/>
        <w:t>A hitel-egyenértékesítési tényezők előtti eredeti kitettségnek az első lépésben történő besorolása céljából a kitettséghez kapcsolódó hitelkockázat-mérséklési technikák nem vehetők figyelembe (részletes vizsgálatukra a második lépésben kerül sor), kivéve akkor, ha a fedezeti hatást a kitettségi osztály meghatározása magában foglalja, mint az 575/2013/EU rendelet 112. cikkének i) pontjában említett kitettségi osztály esetében (ingatlanra bejegyzett zálogjoggal fedezett kitettségek).</w:t>
      </w:r>
    </w:p>
    <w:p w14:paraId="2C39496F" w14:textId="20C15D54" w:rsidR="00464F34"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59</w:t>
      </w:r>
      <w:r>
        <w:rPr>
          <w:noProof/>
        </w:rPr>
        <w:fldChar w:fldCharType="end"/>
      </w:r>
      <w:r w:rsidR="00C3070C">
        <w:t>.</w:t>
      </w:r>
      <w:r w:rsidR="00C3070C">
        <w:tab/>
        <w:t>Az 575/2013/EU rendelet 112. cikke nem rögzíti a kitettségi osztályok különválasztásának kritériumait. Ez azt jelentheti, hogy egy adott kitettség különböző kitettségi osztályokba lenne esetleg sorolható akkor, ha a besorolásra vonatkozó értékelési kritériumokat nem rangsorolják. Ennek legnyilvánvalóbb esete a rövid távú hitelminősítéssel rendelkező intézményekkel és vállalkozásokkal szembeni kitettségek (az 575/2013/EU rendelet 112. cikkének n) pontja), illetve az intézményekkel szembeni kitettségek (az 575/2013/EU rendelet 112. cikkének f) pontja) vagy vállalkozásokkal szembeni kitettségek (az 575/2013/EU rendelet 112. cikkének g) pontja) besorolása. Ebben az esetben egyértelmű, hogy az említett rendelet burkoltan rangsorol, mivel először annak értékelésére kerül sor, hogy egy bizonyos kitettség az intézményekkel és vállalkozásokkal szembeni rövid távú kitettségek közé sorolható-e, és csak ezután értékelhető, hogy a kitettség intézményekkel vagy vállalkozásokkal szemben áll-e fenn. Magától értetődik, hogy egyébként az 575/2013/EU rendelet 112. cikkének n) pontjában említett kitettségi osztályba egyetlen esetben sem lenne sorolható kitettség. A példa a legnyilvánvalóbbak közé tartozik, de nem az egyetlen. Érdemes megjegyezni, hogy a sztenderd módszer keretében a kitettségi osztályok meghatározása különböző kritériumok mentén történik (intézményi besorolás, a kitettség időtartama, késedelmes státusz stb.), ezért a besoroláskor alkalmazott csoportok nem különállóak (nem diszjunkt halmazok).</w:t>
      </w:r>
    </w:p>
    <w:p w14:paraId="2CC30164" w14:textId="0ED48D50"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60</w:t>
      </w:r>
      <w:r>
        <w:rPr>
          <w:noProof/>
        </w:rPr>
        <w:fldChar w:fldCharType="end"/>
      </w:r>
      <w:r w:rsidR="00C3070C">
        <w:t>.</w:t>
      </w:r>
      <w:r w:rsidR="00C3070C">
        <w:tab/>
        <w:t>A homogén és összehasonlítható adatszolgáltatáshoz rangsorolási célú értékelési kritériumok meghatározása szükséges annak érdekében, hogy a hitel-egyenértékesítési tényezők előtti eredeti kitettséget kitettségi osztályba lehessen sorolni attól függetlenül, hogy az egyes kitettségek a besorolásuk szerinti kitettségi osztályban milyen kockázati súlyt kapnak. Az alábbiakban bemutatott, döntési fába rendezett rangsorolási kritériumok azon feltételek értékelésére épülnek, amelyeket az 575/2013/EU rendelet egyértelműen rögzít arra vonatkozóan, hogy egy adott kitettség besorolható-e egy bizonyos kitettségi osztályba, és ha igen, akkor az adatot szolgáltató intézménynek vagy a felügyeleti hatóságnak milyen döntéseket kell hoznia az egyes kitettségi osztályok alkalmazhatóságával kapcsolatban. Következésképpen a kitettségek adatszolgáltatási célú besorolási folyamatának eredménye megfelel az 575/2013/EU rendelet rendelkezéseinek. Ez nem tiltja meg, hogy az intézmények egyéb olyan belső besorolási eljárásokat alkalmazzanak, amelyek szintén megfelelnek az 575/2013/EU rendelet valamennyi vonatkozó rendelkezésének, valamint az említett rendelet megfelelő fórumokon közzétett értelmezéseinek.</w:t>
      </w:r>
    </w:p>
    <w:p w14:paraId="5019198B"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61</w:t>
      </w:r>
      <w:r>
        <w:rPr>
          <w:noProof/>
        </w:rPr>
        <w:fldChar w:fldCharType="end"/>
      </w:r>
      <w:r w:rsidR="00C3070C">
        <w:t>.</w:t>
      </w:r>
      <w:r w:rsidR="00C3070C">
        <w:tab/>
        <w:t>Egy kitettségi osztály a döntési fán belüli értékelési rangsorban elsőbbséget élvez (tehát először annak értékelésére kerül sor, hogy egy adott kitettség abba a kitettségi osztályba sorolható-e, függetlenül az értékelés eredményétől), ha egyébként abba az osztályba nem lehetne kitettséget sorolni. Ez a helyzet akkor, ha rangsorolási kritériumok hiányában egy kitettségi osztály egy másiknak a részhalmaza. Következésképpen az alábbi döntési fán grafikusan ábrázolt kritériumok lépcsőzetes folyamatot alkotnának.</w:t>
      </w:r>
    </w:p>
    <w:p w14:paraId="6DF5B685"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62</w:t>
      </w:r>
      <w:r>
        <w:rPr>
          <w:noProof/>
        </w:rPr>
        <w:fldChar w:fldCharType="end"/>
      </w:r>
      <w:r w:rsidR="00C3070C">
        <w:t>.</w:t>
      </w:r>
      <w:r w:rsidR="00C3070C">
        <w:tab/>
        <w:t>Ennek alapján a döntési fán belüli értékelési rangsorolásnak az alábbi sorrendet kell követnie:</w:t>
      </w:r>
    </w:p>
    <w:p w14:paraId="06680208" w14:textId="77777777" w:rsidR="00464F34" w:rsidRPr="002A677E" w:rsidRDefault="00464F34" w:rsidP="00487A02">
      <w:pPr>
        <w:pStyle w:val="InstructionsText"/>
      </w:pPr>
      <w:r>
        <w:t>1. értékpapírosítási pozíciók;</w:t>
      </w:r>
    </w:p>
    <w:p w14:paraId="5F22AE2B" w14:textId="77777777" w:rsidR="00464F34" w:rsidRPr="002A677E" w:rsidRDefault="00464F34" w:rsidP="00487A02">
      <w:pPr>
        <w:pStyle w:val="InstructionsText"/>
      </w:pPr>
      <w:r>
        <w:lastRenderedPageBreak/>
        <w:t>2. kiemelkedően magas kockázatú tételek;</w:t>
      </w:r>
    </w:p>
    <w:p w14:paraId="5080897A" w14:textId="77777777" w:rsidR="00464F34" w:rsidRPr="002A677E" w:rsidRDefault="00464F34" w:rsidP="00487A02">
      <w:pPr>
        <w:pStyle w:val="InstructionsText"/>
      </w:pPr>
      <w:r>
        <w:t>3. részvényjellegű kitettségek;</w:t>
      </w:r>
    </w:p>
    <w:p w14:paraId="6E26EFB3" w14:textId="77777777" w:rsidR="00464F34" w:rsidRPr="002A677E" w:rsidRDefault="00464F34" w:rsidP="00487A02">
      <w:pPr>
        <w:pStyle w:val="InstructionsText"/>
      </w:pPr>
      <w:r>
        <w:t>4. nemteljesítő kitettségek;</w:t>
      </w:r>
    </w:p>
    <w:p w14:paraId="66C692D2" w14:textId="77777777" w:rsidR="00464F34" w:rsidRPr="002A677E" w:rsidRDefault="00464F34" w:rsidP="00487A02">
      <w:pPr>
        <w:pStyle w:val="InstructionsText"/>
      </w:pPr>
      <w:r>
        <w:t>5. kollektív befektetési formák (KBF-ek) befektetési jegyeinek vagy részvényeinek formájában fennálló kitettségek/fedezett kötvények formájában fennálló kitettségek (diszjunkt kitettségi osztályok);</w:t>
      </w:r>
    </w:p>
    <w:p w14:paraId="6AFB7899" w14:textId="77777777" w:rsidR="00464F34" w:rsidRPr="002A677E" w:rsidRDefault="00464F34" w:rsidP="00487A02">
      <w:pPr>
        <w:pStyle w:val="InstructionsText"/>
      </w:pPr>
      <w:r>
        <w:t>6. ingatlanra bejegyzett zálogjoggal fedezett kitettségek;</w:t>
      </w:r>
    </w:p>
    <w:p w14:paraId="4C4E7E84" w14:textId="77777777" w:rsidR="00464F34" w:rsidRPr="002A677E" w:rsidRDefault="00464F34" w:rsidP="00487A02">
      <w:pPr>
        <w:pStyle w:val="InstructionsText"/>
      </w:pPr>
      <w:r>
        <w:t>7. egyéb tételek;</w:t>
      </w:r>
    </w:p>
    <w:p w14:paraId="7A586E62" w14:textId="77777777" w:rsidR="00464F34" w:rsidRPr="002A677E" w:rsidRDefault="00464F34" w:rsidP="00487A02">
      <w:pPr>
        <w:pStyle w:val="InstructionsText"/>
      </w:pPr>
      <w:r>
        <w:t>8. rövid távú hitelminősítéssel rendelkező intézményekkel és vállalkozásokkal szembeni kitettségek;</w:t>
      </w:r>
    </w:p>
    <w:p w14:paraId="2D8F9D0A" w14:textId="77777777" w:rsidR="00464F34" w:rsidRPr="002A677E" w:rsidRDefault="00464F34" w:rsidP="00487A02">
      <w:pPr>
        <w:pStyle w:val="InstructionsText"/>
      </w:pPr>
      <w:r>
        <w:t>9. valamennyi egyéb kitettségi osztály (diszjunkt kitettségi osztályok): központi kormányzattal vagy központi bankkal szembeni kitettségek; regionális kormányzatokkal vagy helyi hatóságokkal szembeni kitettségek; közszektorbeli intézményekkel szembeni kitettségek; multilaterális fejlesztési bankokkal szembeni kitettségek; nemzetközi szervezetekkel szembeni kitettségek; intézményekkel szembeni kitettségek; vállalkozásokkal és lakossággal szembeni kitettségek.</w:t>
      </w:r>
    </w:p>
    <w:p w14:paraId="798850C9" w14:textId="48F0AF4E"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63</w:t>
      </w:r>
      <w:r>
        <w:rPr>
          <w:noProof/>
        </w:rPr>
        <w:fldChar w:fldCharType="end"/>
      </w:r>
      <w:r w:rsidR="00C3070C">
        <w:t>.</w:t>
      </w:r>
      <w:r w:rsidR="00C3070C">
        <w:tab/>
        <w:t>Kollektív befektetési vállalkozások befektetési jegyeinek vagy részvényeinek formájában fennálló kitettségek esetében, és amennyiben az áttekintésen alapuló módszert vagy a megbízatáson alapuló módszert (az 575/2013/EU rendelet 132a. cikkének 1. és 2. pontja) alkalmazzák, az alapul szolgáló egyedi kitettséget (az áttekintésen alapuló módszer esetében) és egyedi kitettségcsoportot (a megbízatáson alapuló módszer esetében) kell figyelembe venni, és azokhoz a kezelésüknek megfelelő kockázati súlyt kell rendelni. Ugyanakkor valamennyi egyedi kitettséget a kollektív befektetési formák (KBF) befektetési jegyeinek vagy részvényeinek formájában fennálló kitettségek kitettségi osztályába kell besorolni.</w:t>
      </w:r>
    </w:p>
    <w:p w14:paraId="7D902C25" w14:textId="1F7A3CC0"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64</w:t>
      </w:r>
      <w:r>
        <w:rPr>
          <w:noProof/>
        </w:rPr>
        <w:fldChar w:fldCharType="end"/>
      </w:r>
      <w:r w:rsidR="00C3070C">
        <w:t>.</w:t>
      </w:r>
      <w:r w:rsidR="00C3070C">
        <w:tab/>
        <w:t xml:space="preserve"> Az 575/2013/EU rendelet 134. cikkének (6) bekezdésében meghatározott, n-edik nemteljesítéskor lehívható hitelderivatívákat minősítésük esetén közvetlenül az értékpapírosítási pozíciók közé kell sorolni. Minősítés hiányában az „egyéb tételek” kitettségi osztályban kell figyelembe venni ezeket. Ez utóbbi esetben a szerződés névértékét hitel-egyenértékesítési tényezők előtti eredeti kitettségként kell feltüntetni az „egyéb kockázati súlyok” sorban (az alkalmazott kockázati súly az 575/2013/EU rendelet 134. cikkének (6) bekezdésében megadott összeg). </w:t>
      </w:r>
    </w:p>
    <w:p w14:paraId="1EFA94D5"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65</w:t>
      </w:r>
      <w:r>
        <w:rPr>
          <w:noProof/>
        </w:rPr>
        <w:fldChar w:fldCharType="end"/>
      </w:r>
      <w:r w:rsidR="00C3070C">
        <w:t>.</w:t>
      </w:r>
      <w:r w:rsidR="00C3070C">
        <w:tab/>
        <w:t>A második lépésben a helyettesítési hatással járó hitelkockázat-mérséklési technikák következtében a kitettségeket a fedezetnyújtó kitettségi osztályába kell átsorolni.</w:t>
      </w:r>
    </w:p>
    <w:p w14:paraId="0E2C7FEE" w14:textId="4EED7399" w:rsidR="00464F34" w:rsidRPr="002A677E" w:rsidRDefault="00464F34" w:rsidP="00487A02">
      <w:pPr>
        <w:pStyle w:val="InstructionsText"/>
      </w:pPr>
      <w:r>
        <w:br w:type="page"/>
      </w:r>
      <w:r>
        <w:lastRenderedPageBreak/>
        <w:t xml:space="preserve">DÖNTÉSI FA A HITEL-EGYENÉRTÉKESÍTÉSI TÉNYEZŐK ELŐTTI EREDETI KITETTSÉGNEK AZ 575/2013/EU RENDELET SZERINTI SZTENDERD MÓDSZER KITETTSÉGI OSZTÁLYAIBA SOROLÁSÁHOZ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Hitel-egyenértékesítési tényezők előtti eredeti kitettség</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Az 575/2013/EU rendelet 112. cikkének m) pontja szerinti kitettségi osztályba sorolható?</w:t>
            </w:r>
          </w:p>
        </w:tc>
        <w:tc>
          <w:tcPr>
            <w:tcW w:w="1417" w:type="dxa"/>
            <w:shd w:val="clear" w:color="auto" w:fill="auto"/>
          </w:tcPr>
          <w:p w14:paraId="7A5DB446" w14:textId="77777777" w:rsidR="00BD52C3" w:rsidRPr="002A677E" w:rsidRDefault="00BD52C3" w:rsidP="00487A02">
            <w:pPr>
              <w:pStyle w:val="InstructionsText"/>
            </w:pPr>
            <w:r>
              <w:t xml:space="preserve">IGEN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Értékpapírosítási pozíciók</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NEM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Az 575/2013/EU rendelet 112. cikkének k) pontja szerinti kitettségi osztályba sorolható?</w:t>
            </w:r>
          </w:p>
        </w:tc>
        <w:tc>
          <w:tcPr>
            <w:tcW w:w="1417" w:type="dxa"/>
            <w:shd w:val="clear" w:color="auto" w:fill="auto"/>
          </w:tcPr>
          <w:p w14:paraId="18E67292" w14:textId="77777777" w:rsidR="00AC3054" w:rsidRPr="002A677E" w:rsidRDefault="00974E3F" w:rsidP="00487A02">
            <w:pPr>
              <w:pStyle w:val="InstructionsText"/>
            </w:pPr>
            <w:r>
              <w:t xml:space="preserve">IGEN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Kiemelkedően magas kockázatú tételek (lásd még az 575/2013/EU rendelet 128. cikkét)</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NEM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Az 575/2013/EU rendelet 112. cikkének p) pontja szerinti kitettségi osztályba sorolható?</w:t>
            </w:r>
          </w:p>
        </w:tc>
        <w:tc>
          <w:tcPr>
            <w:tcW w:w="1417" w:type="dxa"/>
            <w:shd w:val="clear" w:color="auto" w:fill="auto"/>
          </w:tcPr>
          <w:p w14:paraId="17E9AA8D" w14:textId="77777777" w:rsidR="00BD52C3" w:rsidRPr="002A677E" w:rsidRDefault="00BD52C3" w:rsidP="00487A02">
            <w:pPr>
              <w:pStyle w:val="InstructionsText"/>
            </w:pPr>
            <w:r>
              <w:t xml:space="preserve">IGEN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Részvényjellegű kitettségek (lásd még az 575/2013/EU rendelet 133. cikkét)</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NEM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Az 575/2013/EU rendelet 112. cikkének j) pontja szerinti kitettségi osztályba sorolható?</w:t>
            </w:r>
          </w:p>
        </w:tc>
        <w:tc>
          <w:tcPr>
            <w:tcW w:w="1417" w:type="dxa"/>
            <w:shd w:val="clear" w:color="auto" w:fill="auto"/>
          </w:tcPr>
          <w:p w14:paraId="4E3778AB" w14:textId="77777777" w:rsidR="00BD52C3" w:rsidRPr="002A677E" w:rsidRDefault="00BD52C3" w:rsidP="00487A02">
            <w:pPr>
              <w:pStyle w:val="InstructionsText"/>
            </w:pPr>
            <w:r>
              <w:t xml:space="preserve">IGEN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Nemteljesítő kitettségek</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NEM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Az 575/2013/EU rendelet 112. cikkének l) és o) pontja szerinti kitettségi osztályba sorolható?</w:t>
            </w:r>
          </w:p>
        </w:tc>
        <w:tc>
          <w:tcPr>
            <w:tcW w:w="1417" w:type="dxa"/>
            <w:shd w:val="clear" w:color="auto" w:fill="auto"/>
          </w:tcPr>
          <w:p w14:paraId="08B1C985" w14:textId="77777777" w:rsidR="00BD52C3" w:rsidRPr="002A677E" w:rsidRDefault="00BD52C3" w:rsidP="00487A02">
            <w:pPr>
              <w:pStyle w:val="InstructionsText"/>
            </w:pPr>
            <w:r>
              <w:t xml:space="preserve">IGEN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Kollektív befektetési formák (KBF-ek) befektetési jegyeinek vagy részvényeinek formájában fennálló kitettségek</w:t>
            </w:r>
          </w:p>
          <w:p w14:paraId="55A5CB19" w14:textId="601E97D3" w:rsidR="00581FA5" w:rsidRPr="002A677E" w:rsidRDefault="00581FA5" w:rsidP="00487A02">
            <w:pPr>
              <w:pStyle w:val="InstructionsText"/>
            </w:pPr>
            <w:r>
              <w:t>Fedezett kötvények formájában fennálló kitettségek (lásd még az 575/2013/EU rendelet 129. cikkét)</w:t>
            </w:r>
          </w:p>
          <w:p w14:paraId="546D5260" w14:textId="77777777" w:rsidR="00581FA5" w:rsidRPr="002A677E" w:rsidRDefault="00581FA5" w:rsidP="00487A02">
            <w:pPr>
              <w:pStyle w:val="InstructionsText"/>
            </w:pPr>
            <w:r>
              <w:lastRenderedPageBreak/>
              <w:t>E két kitettségi osztály diszjunkt (lásd a fenti válaszban az alapul szolgáló eszközök vizsgálatának módszerével kapcsolatos megjegyzéseket). Ennélfogva a kitettség egyértelműen besorolható az egyik osztályba.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NEM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Az 575/2013/EU rendelet 112. cikkének i) pontja szerinti kitettségi osztályba sorolható?</w:t>
            </w:r>
          </w:p>
        </w:tc>
        <w:tc>
          <w:tcPr>
            <w:tcW w:w="1417" w:type="dxa"/>
            <w:shd w:val="clear" w:color="auto" w:fill="auto"/>
          </w:tcPr>
          <w:p w14:paraId="21935E41" w14:textId="77777777" w:rsidR="00BD52C3" w:rsidRPr="002A677E" w:rsidRDefault="00BD52C3" w:rsidP="00487A02">
            <w:pPr>
              <w:pStyle w:val="InstructionsText"/>
            </w:pPr>
            <w:r>
              <w:t xml:space="preserve">IGEN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Ingatlanra bejegyzett zálogjoggal fedezett kitettségek (lásd még az 575/2013/EU rendelet 124. cikkét)</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NEM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Az 575/2013/EU rendelet 112. cikkének q) pontja szerinti kitettségi osztályba sorolható?</w:t>
            </w:r>
          </w:p>
        </w:tc>
        <w:tc>
          <w:tcPr>
            <w:tcW w:w="1417" w:type="dxa"/>
            <w:shd w:val="clear" w:color="auto" w:fill="auto"/>
          </w:tcPr>
          <w:p w14:paraId="1D317502" w14:textId="77777777" w:rsidR="00BD52C3" w:rsidRPr="002A677E" w:rsidRDefault="00BD52C3" w:rsidP="00487A02">
            <w:pPr>
              <w:pStyle w:val="InstructionsText"/>
            </w:pPr>
            <w:r>
              <w:t xml:space="preserve">IGEN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Egyéb tételek</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NEM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Az 575/2013/EU rendelet 112. cikkének n) pontja szerinti kitettségi osztályba sorolható?</w:t>
            </w:r>
          </w:p>
        </w:tc>
        <w:tc>
          <w:tcPr>
            <w:tcW w:w="1417" w:type="dxa"/>
            <w:shd w:val="clear" w:color="auto" w:fill="auto"/>
          </w:tcPr>
          <w:p w14:paraId="3AAC30A2" w14:textId="77777777" w:rsidR="0063493E" w:rsidRPr="002A677E" w:rsidRDefault="0063493E" w:rsidP="00487A02">
            <w:pPr>
              <w:pStyle w:val="InstructionsText"/>
            </w:pPr>
            <w:r>
              <w:t xml:space="preserve">IGEN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Rövid távú hitelminősítéssel rendelkező intézményekkel és vállalkozásokkal szembeni kitettségek</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NEM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Az alábbi kitettségi osztályok diszjunktak. Ennélfogva a kitettség egyértelműen besorolható az egyik osztályba.</w:t>
            </w:r>
          </w:p>
          <w:p w14:paraId="078366A0" w14:textId="77777777" w:rsidR="00581FA5" w:rsidRPr="002A677E" w:rsidRDefault="00581FA5" w:rsidP="00487A02">
            <w:pPr>
              <w:pStyle w:val="InstructionsText"/>
            </w:pPr>
            <w:r>
              <w:t>Központi kormányzatokkal vagy központi bankokkal szembeni kitettségek</w:t>
            </w:r>
          </w:p>
          <w:p w14:paraId="5704C1AB" w14:textId="77777777" w:rsidR="00581FA5" w:rsidRPr="002A677E" w:rsidRDefault="00581FA5" w:rsidP="00487A02">
            <w:pPr>
              <w:pStyle w:val="InstructionsText"/>
            </w:pPr>
            <w:r>
              <w:t>Regionális kormányzatokkal vagy helyi hatóságokkal szembeni kitettségek</w:t>
            </w:r>
          </w:p>
          <w:p w14:paraId="6C86AA24" w14:textId="77777777" w:rsidR="00581FA5" w:rsidRPr="002A677E" w:rsidRDefault="00581FA5" w:rsidP="00487A02">
            <w:pPr>
              <w:pStyle w:val="InstructionsText"/>
            </w:pPr>
            <w:r>
              <w:t>Közszektorbeli intézményekkel szembeni kitettségek</w:t>
            </w:r>
          </w:p>
          <w:p w14:paraId="053A0BEF" w14:textId="77777777" w:rsidR="00581FA5" w:rsidRPr="002A677E" w:rsidRDefault="00581FA5" w:rsidP="00487A02">
            <w:pPr>
              <w:pStyle w:val="InstructionsText"/>
            </w:pPr>
            <w:r>
              <w:t>Multilaterális fejlesztési bankokkal szembeni kitettségek</w:t>
            </w:r>
          </w:p>
          <w:p w14:paraId="1EE8962F" w14:textId="77777777" w:rsidR="00581FA5" w:rsidRPr="002A677E" w:rsidRDefault="00581FA5" w:rsidP="00487A02">
            <w:pPr>
              <w:pStyle w:val="InstructionsText"/>
            </w:pPr>
            <w:r>
              <w:t>Nemzetközi szervezetekkel szembeni kitettségek</w:t>
            </w:r>
          </w:p>
          <w:p w14:paraId="5BD6520E" w14:textId="77777777" w:rsidR="00581FA5" w:rsidRPr="002A677E" w:rsidRDefault="00581FA5" w:rsidP="00487A02">
            <w:pPr>
              <w:pStyle w:val="InstructionsText"/>
            </w:pPr>
            <w:r>
              <w:t>Intézményekkel szembeni kitettségek</w:t>
            </w:r>
          </w:p>
          <w:p w14:paraId="4816B9C7" w14:textId="77777777" w:rsidR="00581FA5" w:rsidRPr="002A677E" w:rsidRDefault="00581FA5" w:rsidP="00487A02">
            <w:pPr>
              <w:pStyle w:val="InstructionsText"/>
            </w:pPr>
            <w:r>
              <w:t>Vállalkozásokkal szembeni kitettségek</w:t>
            </w:r>
          </w:p>
          <w:p w14:paraId="2AE1E734" w14:textId="77777777" w:rsidR="00581FA5" w:rsidRPr="002A677E" w:rsidRDefault="00581FA5" w:rsidP="00487A02">
            <w:pPr>
              <w:pStyle w:val="InstructionsText"/>
            </w:pPr>
            <w:r>
              <w:lastRenderedPageBreak/>
              <w:t>Lakossággal szembeni kitettségek</w:t>
            </w:r>
          </w:p>
        </w:tc>
      </w:tr>
    </w:tbl>
    <w:p w14:paraId="0275EE59" w14:textId="77777777" w:rsidR="0073242B" w:rsidRPr="002A677E" w:rsidRDefault="0073242B">
      <w:pPr>
        <w:spacing w:before="0" w:after="0"/>
        <w:jc w:val="left"/>
        <w:rPr>
          <w:rFonts w:ascii="Times New Roman" w:hAnsi="Times New Roman"/>
          <w:bCs/>
          <w:sz w:val="24"/>
        </w:rPr>
      </w:pPr>
      <w:r>
        <w:lastRenderedPageBreak/>
        <w:br w:type="page"/>
      </w:r>
    </w:p>
    <w:p w14:paraId="014584E8" w14:textId="77777777" w:rsidR="00464F34" w:rsidRPr="002A677E" w:rsidRDefault="00464F34" w:rsidP="00487A02">
      <w:pPr>
        <w:pStyle w:val="InstructionsText"/>
      </w:pPr>
    </w:p>
    <w:p w14:paraId="63087114" w14:textId="30B1CBF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5829859"/>
      <w:bookmarkStart w:id="193" w:name="_Toc310415023"/>
      <w:bookmarkStart w:id="194" w:name="_Toc360188352"/>
      <w:bookmarkStart w:id="195" w:name="_Toc473560901"/>
      <w:bookmarkStart w:id="196" w:name="_Toc292456208"/>
      <w:bookmarkStart w:id="197" w:name="_Toc116039905"/>
      <w:r>
        <w:rPr>
          <w:rFonts w:ascii="Times New Roman" w:hAnsi="Times New Roman"/>
          <w:sz w:val="24"/>
          <w:u w:val="none"/>
        </w:rPr>
        <w:t>3.2.4.</w:t>
      </w:r>
      <w:r>
        <w:rPr>
          <w:rFonts w:ascii="Times New Roman" w:hAnsi="Times New Roman"/>
          <w:sz w:val="24"/>
          <w:u w:val="none"/>
        </w:rPr>
        <w:tab/>
      </w:r>
      <w:r>
        <w:rPr>
          <w:rFonts w:ascii="Times New Roman" w:hAnsi="Times New Roman"/>
          <w:sz w:val="24"/>
        </w:rPr>
        <w:t>Az 575/2013/EU rendelet 112. cikkében említett egyes kitettségi osztályok alkalmazási</w:t>
      </w:r>
      <w:bookmarkEnd w:id="190"/>
      <w:r>
        <w:rPr>
          <w:rFonts w:ascii="Times New Roman" w:hAnsi="Times New Roman"/>
          <w:sz w:val="24"/>
        </w:rPr>
        <w:t xml:space="preserve"> körének magyarázata</w:t>
      </w:r>
      <w:bookmarkEnd w:id="191"/>
      <w:bookmarkEnd w:id="192"/>
      <w:bookmarkEnd w:id="193"/>
      <w:bookmarkEnd w:id="194"/>
      <w:bookmarkEnd w:id="195"/>
      <w:bookmarkEnd w:id="196"/>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6039906"/>
      <w:r>
        <w:rPr>
          <w:rFonts w:ascii="Times New Roman" w:hAnsi="Times New Roman"/>
          <w:sz w:val="24"/>
          <w:u w:val="none"/>
        </w:rPr>
        <w:t>3.2.4.1.</w:t>
      </w:r>
      <w:r>
        <w:rPr>
          <w:rFonts w:ascii="Times New Roman" w:hAnsi="Times New Roman"/>
          <w:sz w:val="24"/>
          <w:u w:val="none"/>
        </w:rPr>
        <w:tab/>
      </w:r>
      <w:r>
        <w:rPr>
          <w:rFonts w:ascii="Times New Roman" w:hAnsi="Times New Roman"/>
          <w:sz w:val="24"/>
        </w:rPr>
        <w:t>Az „intézmények” kitettségi osztály</w:t>
      </w:r>
      <w:bookmarkEnd w:id="198"/>
      <w:bookmarkEnd w:id="199"/>
      <w:bookmarkEnd w:id="200"/>
    </w:p>
    <w:p w14:paraId="17B6FF43" w14:textId="1E392584"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66</w:t>
      </w:r>
      <w:r>
        <w:rPr>
          <w:noProof/>
        </w:rPr>
        <w:fldChar w:fldCharType="end"/>
      </w:r>
      <w:r w:rsidR="00C3070C">
        <w:t>.</w:t>
      </w:r>
      <w:r w:rsidR="00C3070C">
        <w:tab/>
        <w:t>Az 575/2013/EU rendelet 113. cikkének (6)–(7) bekezdésében említett, csoporton belüli kitettségekre vonatkozó adatszolgáltatás módja:</w:t>
      </w:r>
    </w:p>
    <w:p w14:paraId="626B6469" w14:textId="11610A54"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67</w:t>
      </w:r>
      <w:r>
        <w:rPr>
          <w:noProof/>
        </w:rPr>
        <w:fldChar w:fldCharType="end"/>
      </w:r>
      <w:r w:rsidR="00C3070C">
        <w:t>.</w:t>
      </w:r>
      <w:r w:rsidR="00C3070C">
        <w:tab/>
        <w:t>Az 575/2013/EU rendelet 113. cikkének (7) bekezdésében rögzített követelményeket teljesítő kitettségeket azokba a kitettségi osztályokba kell besorolni, amelyekbe akkor tartoznának, ha nem minősülnének csoporton belüli kitettségnek.</w:t>
      </w:r>
    </w:p>
    <w:p w14:paraId="4CF7FD64" w14:textId="19E0C662"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68</w:t>
      </w:r>
      <w:r>
        <w:rPr>
          <w:noProof/>
        </w:rPr>
        <w:fldChar w:fldCharType="end"/>
      </w:r>
      <w:r w:rsidR="00C3070C">
        <w:t>.</w:t>
      </w:r>
      <w:r w:rsidR="00C3070C">
        <w:tab/>
        <w:t>Az 575/2013/EU rendelet 113. cikkének (6) és (7) bekezdése szerint „az intézmények az illetékes hatóságok általi előzetes engedélyezés függvényében dönthetnek úgy, hogy nem alkalmazzák e cikk (1) bekezdésének követelményeit az adott intézmény olyan partnerrel szembeni kitettségeire, amely az anyavállalata, leányvállalata, anyavállalatának leányvállalata vagy olyan vállalat, amely vele a 83/349/EGK irányelv 12. cikkének (1) bekezdése szerinti kapcsolatban áll.” Ez azt jelenti, hogy a csoporton belüli partnerek nem feltétlenül intézmények, hanem lehetnek egyéb kitettségi osztályba sorolt vállalkozások, pl. kiegészítő szolgáltatásokat nyújtó vállalkozások vagy a 83/349/EGK tanácsi irányelv 12. cikkének (1) bekezdésében meghatározott vállalkozások is</w:t>
      </w:r>
      <w:r w:rsidR="00D21B29" w:rsidRPr="002A677E">
        <w:footnoteReference w:id="3"/>
      </w:r>
      <w:r w:rsidR="00C3070C">
        <w:t>. A csoporton belüli kitettségekről ezért a megfelelő kitettségi osztályban kell adatot szolgáltatni.</w:t>
      </w:r>
    </w:p>
    <w:p w14:paraId="60C0B8B9" w14:textId="31FC5849"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6039907"/>
      <w:r>
        <w:rPr>
          <w:rFonts w:ascii="Times New Roman" w:hAnsi="Times New Roman"/>
          <w:sz w:val="24"/>
          <w:u w:val="none"/>
        </w:rPr>
        <w:t>3.2.4.2.</w:t>
      </w:r>
      <w:r>
        <w:rPr>
          <w:rFonts w:ascii="Times New Roman" w:hAnsi="Times New Roman"/>
          <w:sz w:val="24"/>
          <w:u w:val="none"/>
        </w:rPr>
        <w:tab/>
      </w:r>
      <w:r>
        <w:rPr>
          <w:rFonts w:ascii="Times New Roman" w:hAnsi="Times New Roman"/>
          <w:sz w:val="24"/>
        </w:rPr>
        <w:t>A „fedezett kötvények” kitettségi osztály</w:t>
      </w:r>
      <w:bookmarkEnd w:id="201"/>
      <w:bookmarkEnd w:id="202"/>
      <w:bookmarkEnd w:id="203"/>
    </w:p>
    <w:p w14:paraId="5C7B716A" w14:textId="77777777"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69</w:t>
      </w:r>
      <w:r>
        <w:rPr>
          <w:noProof/>
        </w:rPr>
        <w:fldChar w:fldCharType="end"/>
      </w:r>
      <w:r w:rsidR="00C3070C">
        <w:t>.</w:t>
      </w:r>
      <w:r w:rsidR="00C3070C">
        <w:tab/>
        <w:t>Az SA-kitettségek az alábbiak szerint sorolhatók a „fedezett kötvények” kitettségi osztályba:</w:t>
      </w:r>
    </w:p>
    <w:p w14:paraId="06BAD20B" w14:textId="662373C3"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70</w:t>
      </w:r>
      <w:r>
        <w:rPr>
          <w:noProof/>
        </w:rPr>
        <w:fldChar w:fldCharType="end"/>
      </w:r>
      <w:r w:rsidR="00C3070C">
        <w:t>.</w:t>
      </w:r>
      <w:r w:rsidR="00C3070C">
        <w:tab/>
        <w:t>A 2009/65/EK európai parlamenti és tanácsi irányelv</w:t>
      </w:r>
      <w:r w:rsidR="00D21B29" w:rsidRPr="002A677E">
        <w:footnoteReference w:id="4"/>
      </w:r>
      <w:r w:rsidR="00C3070C">
        <w:t xml:space="preserve"> 52. cikkének (4) bekezdésében említett kötvényeknek a „fedezett kötvények” kitettségi osztályba történő besoroláshoz teljesíteniük kell az 575/2013/EU rendelet 129. cikkének (1) és (2) bekezdésében előírt követelményeket. A követelmények teljesülését minden esetben ellenőrizni kell. Ettől függetlenül a 2009/65/EK irányelv 52. cikkének (4) bekezdésében említett, 2007. december 31. előtt kibocsátott kötvények az 575/2013/EU rendelet 129. cikkének (6) bekezdése alapján is a „fedezett kötvények” kitettségi osztályba sorolandók.</w:t>
      </w:r>
    </w:p>
    <w:p w14:paraId="48189E00" w14:textId="28B448D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6039908"/>
      <w:r>
        <w:rPr>
          <w:rFonts w:ascii="Times New Roman" w:hAnsi="Times New Roman"/>
          <w:sz w:val="24"/>
          <w:u w:val="none"/>
        </w:rPr>
        <w:t>3.2.4.3.</w:t>
      </w:r>
      <w:r>
        <w:rPr>
          <w:rFonts w:ascii="Times New Roman" w:hAnsi="Times New Roman"/>
          <w:sz w:val="24"/>
          <w:u w:val="none"/>
        </w:rPr>
        <w:tab/>
      </w:r>
      <w:r>
        <w:rPr>
          <w:rFonts w:ascii="Times New Roman" w:hAnsi="Times New Roman"/>
          <w:sz w:val="24"/>
        </w:rPr>
        <w:t>A „kollektív befektetési formák” kitettségi osztály</w:t>
      </w:r>
      <w:bookmarkEnd w:id="204"/>
      <w:bookmarkEnd w:id="205"/>
      <w:bookmarkEnd w:id="206"/>
    </w:p>
    <w:p w14:paraId="73725411" w14:textId="63B2300D" w:rsidR="00464F34"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71</w:t>
      </w:r>
      <w:r>
        <w:rPr>
          <w:noProof/>
        </w:rPr>
        <w:fldChar w:fldCharType="end"/>
      </w:r>
      <w:r w:rsidR="00C3070C">
        <w:t>.</w:t>
      </w:r>
      <w:r w:rsidR="00C3070C">
        <w:tab/>
        <w:t xml:space="preserve">Az 575/2013/EU rendelet 132a. cikkének (2) bekezdésében említett lehetőség kihasználásakor a kollektív befektetési formák befektetési jegyeinek vagy részvényeinek formájában fennálló kitettségeket az 575/2013/EU rendelet 111. cikke </w:t>
      </w:r>
      <w:r w:rsidR="00C3070C">
        <w:lastRenderedPageBreak/>
        <w:t xml:space="preserve">(1) bekezdésének első mondatával összhangban mérlegen belüli tételként kell feltüntetni. </w:t>
      </w:r>
    </w:p>
    <w:p w14:paraId="041009DD" w14:textId="47C159F9"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6039909"/>
      <w:r>
        <w:rPr>
          <w:rFonts w:ascii="Times New Roman" w:hAnsi="Times New Roman"/>
          <w:sz w:val="24"/>
          <w:u w:val="none"/>
        </w:rPr>
        <w:t>3.2.5.</w:t>
      </w:r>
      <w:r>
        <w:rPr>
          <w:rFonts w:ascii="Times New Roman" w:hAnsi="Times New Roman"/>
          <w:sz w:val="24"/>
          <w:u w:val="none"/>
        </w:rPr>
        <w:tab/>
      </w:r>
      <w:r>
        <w:rPr>
          <w:rFonts w:ascii="Times New Roman" w:hAnsi="Times New Roman"/>
          <w:sz w:val="24"/>
        </w:rPr>
        <w:t>Az egyes pozíciókra vonatkozó útmutató</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Oszlopok</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14:paraId="70FC71B9" w14:textId="4AE4FB26" w:rsidR="00464F34" w:rsidRPr="002A677E" w:rsidRDefault="00464F34" w:rsidP="00487A02">
            <w:pPr>
              <w:pStyle w:val="InstructionsText"/>
            </w:pPr>
            <w:r>
              <w:t>Az értékelési korrekció, a céltartalékok, a levonások, a hitel-egyenértékesítési tényezők és a hitelkockázat-mérséklési technikák hatásának figyelembevétele nélküli, az 575/2013/EU rendelet 111. cikkének megfelelően kiszámított kitettségérték, az 575/2013/EU rendelet 111. cikkének (2) bekezdésén alapuló alábbi rendelkezéseknek megfelelően:</w:t>
            </w:r>
          </w:p>
          <w:p w14:paraId="1FA3C4C3" w14:textId="3EEE96A6" w:rsidR="00464F34" w:rsidRPr="002A677E" w:rsidRDefault="00464F34" w:rsidP="00487A02">
            <w:pPr>
              <w:pStyle w:val="InstructionsText"/>
              <w:numPr>
                <w:ilvl w:val="0"/>
                <w:numId w:val="32"/>
              </w:numPr>
            </w:pPr>
            <w:r>
              <w:t xml:space="preserve">A partnerkockázattal érintett származtatott ügyletek, repoügyletek, értékpapír- és áru-kölcsönbeadási, illetve kölcsönvételi ügyletek, hosszú kiegyenlítési idejű ügyletek és értékpapírügylethez kapcsolódó hitelek esetében (az 575/2013/EU rendelet harmadik része II. címének 4. vagy 6. fejezete) az eredeti kitettségérték a partnerkockázati kitettség értéke (lásd a 0210-es oszlophoz tartozó útmutatót). </w:t>
            </w:r>
          </w:p>
          <w:p w14:paraId="68C03EBC" w14:textId="621633CC" w:rsidR="00464F34" w:rsidRPr="002A677E" w:rsidRDefault="00464F34" w:rsidP="00487A02">
            <w:pPr>
              <w:pStyle w:val="InstructionsText"/>
              <w:numPr>
                <w:ilvl w:val="0"/>
                <w:numId w:val="32"/>
              </w:numPr>
            </w:pPr>
            <w:r>
              <w:t>A lízing kitettségértékét az 575/2013/EU rendelet 134. cikkének (7) bekezdése szabályozza. A maradványértéket annak könyv szerinti értékén (azaz a lízingfutamidő végén fennálló diszkontált becsült maradványértéken) kell feltüntetni.</w:t>
            </w:r>
          </w:p>
          <w:p w14:paraId="3233A098" w14:textId="08CDFC9E" w:rsidR="00464F34" w:rsidRPr="002A677E" w:rsidRDefault="00464F34" w:rsidP="00487A02">
            <w:pPr>
              <w:pStyle w:val="InstructionsText"/>
              <w:numPr>
                <w:ilvl w:val="0"/>
                <w:numId w:val="32"/>
              </w:numPr>
            </w:pPr>
            <w:r>
              <w:t>Az 575/2013/EU rendelet 219. cikke szerinti mérlegen belüli nettósítás esetében a kitettségértékeket a kapott készpénzbiztosíték figyelembevételével kell feltüntetni.</w:t>
            </w:r>
          </w:p>
          <w:p w14:paraId="01A4A916" w14:textId="18857848" w:rsidR="00464F34" w:rsidRPr="002A677E" w:rsidRDefault="00520B00" w:rsidP="00487A02">
            <w:pPr>
              <w:pStyle w:val="InstructionsText"/>
            </w:pPr>
            <w:r>
              <w:t>Amennyiben az intézmények élnek az 575/2013/EU rendelet 473a. cikkének (7a) bekezdésében foglalt eltéréssel, az „egyéb tételek” kitettségi osztályban 100 %-os kockázati súllyal szereplő AB</w:t>
            </w:r>
            <w:r>
              <w:rPr>
                <w:vertAlign w:val="subscript"/>
              </w:rPr>
              <w:t>SA</w:t>
            </w:r>
            <w:r>
              <w:t xml:space="preserve"> összeget kell megadniuk ebben az oszlopban.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Az eredeti kitettséggel összefüggő értékelési korrekciók és céltartalékok</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Az 575/2013/EU rendelet 24. és 111. cikke</w:t>
            </w:r>
          </w:p>
          <w:p w14:paraId="073F201E" w14:textId="12220AE7" w:rsidR="00464F34" w:rsidRPr="002A677E" w:rsidRDefault="00464F34" w:rsidP="00880E92">
            <w:pPr>
              <w:pStyle w:val="InstructionsText"/>
            </w:pPr>
            <w:r>
              <w:t>Az adatszolgáltató intézményre alkalmazandó számviteli szabályozásnak megfelelő értékelési korrekciók és hitelveszteségekre képzett céltartalékok (a 110. cikknek megfelelő hitelkockázati kiigazítások), valamint a prudenciális értékelési korrekciók (a 34. és 105. cikknek megfelelően végrehajtott kiegészítő értékelési korrekciók, a 36. cikk (1) bekezdése m) pontjának megfelelően levont összegek és az eszköztételhez kapcsolódó egyéb szavatolótőke-csökkentések).</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Értékelési korrekciókkal és céltartalékokkal csökkentett kitettség</w:t>
            </w:r>
          </w:p>
          <w:p w14:paraId="1214FF21" w14:textId="77777777" w:rsidR="00464F34" w:rsidRPr="002A677E" w:rsidRDefault="00464F34" w:rsidP="00487A02">
            <w:pPr>
              <w:pStyle w:val="InstructionsText"/>
            </w:pPr>
            <w:r>
              <w:t>A 0010-es és 0030-as oszlop összege.</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14:paraId="0968A397" w14:textId="3CC2EF1B" w:rsidR="00464F34" w:rsidRPr="002A677E" w:rsidRDefault="00464F34" w:rsidP="00487A02">
            <w:pPr>
              <w:pStyle w:val="InstructionsText"/>
            </w:pPr>
            <w:r>
              <w:t>Az 575/2013/EU rendelet 4. cikke (1) bekezdésének 57. pontjában meghatározott hitelkockázat-mérséklési technikák, amelyek egy vagy több kitettség hitelkockázatát csökkentik a kitettségeknek az alább „A kitettség hitelkockázat-mérséklés miatti helyettesítése” részben ismertetett helyettesítésével.</w:t>
            </w:r>
          </w:p>
          <w:p w14:paraId="0E58880A" w14:textId="77777777" w:rsidR="00464F34" w:rsidRPr="002A677E" w:rsidRDefault="00D21B29" w:rsidP="00487A02">
            <w:pPr>
              <w:pStyle w:val="InstructionsText"/>
            </w:pPr>
            <w:r>
              <w:lastRenderedPageBreak/>
              <w:t>A kitettségértéket befolyásoló biztosíték (pl. ha azt a kitettségre helyettesítési hatással járó hitelkockázat-mérséklési technikákhoz használják fel) értéke legfeljebb a kitettségérték lehet.</w:t>
            </w:r>
          </w:p>
          <w:p w14:paraId="7567933D" w14:textId="77777777" w:rsidR="00464F34" w:rsidRPr="002A677E" w:rsidRDefault="00464F34" w:rsidP="00487A02">
            <w:pPr>
              <w:pStyle w:val="InstructionsText"/>
            </w:pPr>
            <w:r>
              <w:t>Itt az alábbi tételeket kell feltüntetni:</w:t>
            </w:r>
          </w:p>
          <w:p w14:paraId="2188806D" w14:textId="77777777" w:rsidR="00464F34" w:rsidRPr="002A677E" w:rsidRDefault="00125707" w:rsidP="00487A02">
            <w:pPr>
              <w:pStyle w:val="InstructionsText"/>
            </w:pPr>
            <w:r>
              <w:rPr>
                <w:rFonts w:ascii="Arial" w:hAnsi="Arial"/>
              </w:rPr>
              <w:t>-</w:t>
            </w:r>
            <w:r>
              <w:rPr>
                <w:rFonts w:ascii="Arial" w:hAnsi="Arial"/>
              </w:rPr>
              <w:tab/>
            </w:r>
            <w:r>
              <w:t>a pénzügyi biztosítékok egyszerű módszerével képzett biztosíték;</w:t>
            </w:r>
          </w:p>
          <w:p w14:paraId="0CB3936B" w14:textId="77777777" w:rsidR="00464F34" w:rsidRPr="002A677E" w:rsidRDefault="00125707" w:rsidP="00487A02">
            <w:pPr>
              <w:pStyle w:val="InstructionsText"/>
            </w:pPr>
            <w:r>
              <w:rPr>
                <w:rFonts w:ascii="Arial" w:hAnsi="Arial"/>
              </w:rPr>
              <w:t>-</w:t>
            </w:r>
            <w:r>
              <w:rPr>
                <w:rFonts w:ascii="Arial" w:hAnsi="Arial"/>
              </w:rPr>
              <w:tab/>
            </w:r>
            <w:r>
              <w:t>figyelembe vehető, előre nem rendelkezésre bocsátott hitelkockázati fedezet.</w:t>
            </w:r>
          </w:p>
          <w:p w14:paraId="602B1DBA" w14:textId="77777777" w:rsidR="00464F34" w:rsidRPr="002A677E" w:rsidRDefault="00464F34" w:rsidP="00487A02">
            <w:pPr>
              <w:pStyle w:val="InstructionsText"/>
            </w:pPr>
            <w:r>
              <w:t>Lásd még a 3.1.1. pontban található útmutatót.</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 korrigált értékek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Az 575/2013/EU rendelet 235. cikke.</w:t>
            </w:r>
          </w:p>
          <w:p w14:paraId="59592411" w14:textId="49F34342" w:rsidR="00464F34" w:rsidRPr="002A677E" w:rsidRDefault="00464F34" w:rsidP="00487A02">
            <w:pPr>
              <w:pStyle w:val="InstructionsText"/>
            </w:pPr>
            <w:r>
              <w:t>Az 575/2013/EU rendelet 239. cikkének (3) bekezdése tartalmazza az előre nem rendelkezésre bocsátott hitelkockázati fedezet GA korrigált értékének kiszámításához használandó képletet.</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Garanciák</w:t>
            </w:r>
          </w:p>
          <w:p w14:paraId="5C81EB19" w14:textId="146827B3" w:rsidR="00464F34" w:rsidRPr="002A677E" w:rsidRDefault="00464F34" w:rsidP="00487A02">
            <w:pPr>
              <w:pStyle w:val="InstructionsText"/>
            </w:pPr>
            <w:r>
              <w:t>Az 575/2013/EU rendelet 203. cikke.</w:t>
            </w:r>
          </w:p>
          <w:p w14:paraId="7F24FA9D" w14:textId="1D5BA189" w:rsidR="00464F34" w:rsidRPr="002A677E" w:rsidRDefault="00464F34" w:rsidP="00880E92">
            <w:pPr>
              <w:pStyle w:val="InstructionsText"/>
              <w:rPr>
                <w:b/>
                <w:u w:val="single"/>
              </w:rPr>
            </w:pPr>
            <w:r>
              <w:t>Az 575/2013/EU rendelet 4. cikke (1) bekezdésének 59. pontjában meghatározott, a hitelderivatívákat nem tartalmazó előre nem rendelkezésre bocsátott hitelkockázati fedezet.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Hitelderivatívák</w:t>
            </w:r>
          </w:p>
          <w:p w14:paraId="2BEDC770" w14:textId="433557C8" w:rsidR="00464F34" w:rsidRPr="002A677E" w:rsidRDefault="00464F34" w:rsidP="00487A02">
            <w:pPr>
              <w:pStyle w:val="InstructionsText"/>
              <w:rPr>
                <w:b/>
                <w:u w:val="single"/>
              </w:rPr>
            </w:pPr>
            <w:r>
              <w:t>Az 575/2013/EU rendelet 204. cikke.</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rendelkezésre bocsátott hitelkockázati fedezet</w:t>
            </w:r>
          </w:p>
          <w:p w14:paraId="7B8B9DDE" w14:textId="5F50C1E9" w:rsidR="00464F34" w:rsidRPr="002A677E" w:rsidRDefault="009C44E7" w:rsidP="00487A02">
            <w:pPr>
              <w:pStyle w:val="InstructionsText"/>
            </w:pPr>
            <w:r>
              <w:t>Ezek az oszlopok az 575/2013/EU rendelet 4. cikke (1) bekezdésének 58. pontjában meghatározott és az említett rendelet 196., 197. és 200. cikke szerinti szabályok hatálya alá tartozó, előre rendelkezésre bocsátott hitelkockázati fedezetre vonatkoznak Az összegek nem foglalják magukban a nettósítási keretmegállapodásokat, mivel azok értékét a hitel-egyenértékesítési tényezők előtti eredeti kitettség már tartalmazza.</w:t>
            </w:r>
          </w:p>
          <w:p w14:paraId="36344E73" w14:textId="3C2AD3AC" w:rsidR="00464F34" w:rsidRPr="002A677E" w:rsidRDefault="00167619" w:rsidP="00487A02">
            <w:pPr>
              <w:pStyle w:val="InstructionsText"/>
            </w:pPr>
            <w:r>
              <w:t>Az 575/2013/EU rendelet 218. cikkében említett, hitelkockázati eseményhez kapcsolt értékpapírokba történő befektetéseket és az 575/2013/EU rendelet 219. cikkében említett, figyelembe vehető mérlegen belüli nettósítási megállapodásokból eredő mérlegen belüli nettósítási pozíciókat készpénzbiztosítékként kell kezelni.</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Pénzügyi biztosítékok: egyszerű módszer</w:t>
            </w:r>
          </w:p>
          <w:p w14:paraId="3CED9ED4" w14:textId="77CD1B0F" w:rsidR="00464F34" w:rsidRPr="002A677E" w:rsidRDefault="00464F34" w:rsidP="00487A02">
            <w:pPr>
              <w:pStyle w:val="InstructionsText"/>
            </w:pPr>
            <w:r>
              <w:t>Az 575/2013/EU rendelet 222. cikkének (1) és (2) bekezdése.</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előre rendelkezésre bocsátott hitelkockázati fedezet</w:t>
            </w:r>
          </w:p>
          <w:p w14:paraId="2B609CD6" w14:textId="1293F51B" w:rsidR="00464F34" w:rsidRPr="002A677E" w:rsidRDefault="00464F34" w:rsidP="00487A02">
            <w:pPr>
              <w:pStyle w:val="InstructionsText"/>
            </w:pPr>
            <w:r>
              <w:t>Az 575/2013/EU rendelet 232. cikke.</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HELYETTESÍTÉSE</w:t>
            </w:r>
          </w:p>
          <w:p w14:paraId="1197E4D0" w14:textId="44BCB940" w:rsidR="00464F34" w:rsidRPr="002A677E" w:rsidRDefault="00464F34" w:rsidP="00487A02">
            <w:pPr>
              <w:pStyle w:val="InstructionsText"/>
            </w:pPr>
            <w:r>
              <w:t>Az 575/2013/EU rendelet 222. cikkének (3) bekezdése, 235. cikkének (1) és (2) bekezdése és 236. cikke.</w:t>
            </w:r>
          </w:p>
          <w:p w14:paraId="0B31BCA2" w14:textId="77777777" w:rsidR="00464F34" w:rsidRPr="002A677E" w:rsidRDefault="00464F34" w:rsidP="00487A02">
            <w:pPr>
              <w:pStyle w:val="InstructionsText"/>
            </w:pPr>
            <w:r>
              <w:t xml:space="preserve">A kiáramlások értéke megegyezik a hitel-egyenértékesítési tényezők előtti eredeti kitettség fedezett részével, amelyet a kötelezett kitettségi osztályából való levonást követően </w:t>
            </w:r>
            <w:r>
              <w:lastRenderedPageBreak/>
              <w:t>a fedezetnyújtó kitettségi osztályába kell sorolni. Ezt az összeget a fedezetnyújtó kitettségi osztályába irányuló beáramlásnak kell tekinteni.</w:t>
            </w:r>
          </w:p>
          <w:p w14:paraId="0E1E47C1" w14:textId="77777777" w:rsidR="00464F34" w:rsidRPr="002A677E" w:rsidRDefault="00464F34" w:rsidP="00487A02">
            <w:pPr>
              <w:pStyle w:val="InstructionsText"/>
              <w:rPr>
                <w:b/>
              </w:rPr>
            </w:pPr>
            <w:r>
              <w:t>Az azonos kitettségi osztályba tartozó be- és kiáramlásokat szintén fel kell tüntetni.</w:t>
            </w:r>
          </w:p>
          <w:p w14:paraId="3AB373BB" w14:textId="77777777" w:rsidR="00464F34" w:rsidRPr="002A677E" w:rsidRDefault="00464F34" w:rsidP="00487A02">
            <w:pPr>
              <w:pStyle w:val="InstructionsText"/>
            </w:pPr>
            <w:r>
              <w:t>Figyelembe kell venni az egyéb táblákhoz kapcsolódó esetleges ki- és beáramlásokból eredő kitettségeket is.</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lastRenderedPageBreak/>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14:paraId="2BB7B7FF" w14:textId="77777777" w:rsidR="00464F34" w:rsidRPr="002A677E" w:rsidRDefault="00464F34" w:rsidP="00487A02">
            <w:pPr>
              <w:pStyle w:val="InstructionsText"/>
            </w:pPr>
            <w:r>
              <w:t>Az értékelési korrekció nélküli kitettségérték A KITETTSÉGRE HELYETTESÍTÉSI HATÁSSAL JÁRÓ HITELKOCKÁZAT-MÉRSÉKLÉSI TECHNIKÁK miatti ki- és beáramlások figyelembevétele után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A KITETTSÉGÉRTÉKET ÉRINTŐ HITELKOCKÁZAT-MÉRSÉKLÉSI TECHNIKÁK. ELŐRE RENDELKEZÉSRE BOCSÁTOTT HITELKOCKÁZATI FEDEZET, A PÉNZÜGYI BIZTOSÍTÉKOK ÖSSZETETT MÓDSZERE</w:t>
            </w:r>
          </w:p>
          <w:p w14:paraId="2E94B8BA" w14:textId="1D6313A3" w:rsidR="00464F34" w:rsidRPr="002A677E" w:rsidRDefault="00464F34" w:rsidP="00487A02">
            <w:pPr>
              <w:pStyle w:val="InstructionsText"/>
            </w:pPr>
            <w:r>
              <w:t>Az 575/2013/EU rendelet 223–228. cikke Magukban foglalják az 575/2013/EU rendelet 218. cikke szerinti hitelkockázati eseményhez kapcsolt értékpapírokat is.</w:t>
            </w:r>
          </w:p>
          <w:p w14:paraId="1A7F7A69" w14:textId="29BFDC44" w:rsidR="00464F34" w:rsidRPr="002A677E" w:rsidRDefault="00464F34" w:rsidP="00487A02">
            <w:pPr>
              <w:pStyle w:val="InstructionsText"/>
            </w:pPr>
            <w:r>
              <w:t>Az 575/2013/EU rendelet 218. cikkében említett, hitelkockázati eseményhez kapcsolt értékpapírokat és a rendelet 219. cikkében említett, figyelembe vehető mérlegen belüli nettósítási megállapodásokból eredő mérlegen belüli nettósítási pozíciókat készpénzbiztosítékként kell kezelni.</w:t>
            </w:r>
          </w:p>
          <w:p w14:paraId="2787C285" w14:textId="4071E72F" w:rsidR="00464F34" w:rsidRPr="002A677E" w:rsidRDefault="00464F34" w:rsidP="00487A02">
            <w:pPr>
              <w:pStyle w:val="InstructionsText"/>
            </w:pPr>
            <w:r>
              <w:t xml:space="preserve">Ha a pénzügyi biztosítékok összetett módszerét egy figyelembe vehető pénzügyi biztosítékkal fedezett kitettségre alkalmazzák, akkor az e módszer szerinti fedezettség hatását az 575/2013/EU rendelet 223–228. cikkének megfelelően kell kiszámítani.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volatilitási korrekciós tényezője</w:t>
            </w:r>
          </w:p>
          <w:p w14:paraId="3FFA72EF" w14:textId="1B8493BE" w:rsidR="00464F34" w:rsidRPr="002A677E" w:rsidRDefault="00464F34" w:rsidP="00487A02">
            <w:pPr>
              <w:pStyle w:val="InstructionsText"/>
            </w:pPr>
            <w:r>
              <w:t>Az 575/2013/EU rendelet 223. cikkének (2) és (3) bekezdése.</w:t>
            </w:r>
          </w:p>
          <w:p w14:paraId="06181C16" w14:textId="77777777" w:rsidR="00464F34" w:rsidRPr="002A677E" w:rsidRDefault="00464F34" w:rsidP="00487A02">
            <w:pPr>
              <w:pStyle w:val="InstructionsText"/>
            </w:pPr>
            <w:r>
              <w:t>A feltüntetendő érték a kitettség volatilitási korrekciós tényezőjének hatása: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biztosíték korrigált értéke (Cvam)</w:t>
            </w:r>
          </w:p>
          <w:p w14:paraId="34C0DD05" w14:textId="4824960C" w:rsidR="00464F34" w:rsidRPr="002A677E" w:rsidRDefault="00464F34" w:rsidP="00487A02">
            <w:pPr>
              <w:pStyle w:val="InstructionsText"/>
            </w:pPr>
            <w:r>
              <w:t>Az 575/2013/EU rendelet 239. cikkének (2) bekezdése.</w:t>
            </w:r>
          </w:p>
          <w:p w14:paraId="65EBCE20" w14:textId="1D1F2A9C" w:rsidR="00464F34" w:rsidRPr="002A677E" w:rsidRDefault="00464F34" w:rsidP="00487A02">
            <w:pPr>
              <w:pStyle w:val="InstructionsText"/>
            </w:pPr>
            <w:r>
              <w:t xml:space="preserve">Kereskedési könyvben nyilvántartott műveletek esetében a tétel az 575/2013/EU rendelet 299. cikke (2) bekezdésének c)–f) pontja alapján a kereskedési könyvi kitettségekre vonatkozóan figyelembe vehető pénzügyi biztosítékokat és árukat foglalja magában. </w:t>
            </w:r>
          </w:p>
          <w:p w14:paraId="224F7C24" w14:textId="4689BE4B" w:rsidR="00464F34" w:rsidRPr="002A677E" w:rsidRDefault="00464F34" w:rsidP="00F37BEE">
            <w:pPr>
              <w:pStyle w:val="InstructionsText"/>
            </w:pPr>
            <w:r>
              <w:t>A feltüntetendő érték kiszámítása: Cvam = C*(1–Hc–Hfx)*(t–t*)/(T–t*). A C, Hc, Hfx, t, T és t* értékek meghatározását az 575/2013/EU rendelet harmadik része II. címe 4. fejezetének 4. és 5. szakasza tartalmazza.</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volatilitási és lejárati korrekció</w:t>
            </w:r>
          </w:p>
          <w:p w14:paraId="2BEC8E2C" w14:textId="593F8257" w:rsidR="00464F34" w:rsidRPr="002A677E" w:rsidRDefault="00464F34" w:rsidP="00487A02">
            <w:pPr>
              <w:pStyle w:val="InstructionsText"/>
            </w:pPr>
            <w:r>
              <w:t xml:space="preserve">Az 575/2013/EU rendelet 223. cikkének (1) bekezdése és 239. cikkének (2) bekezdése. </w:t>
            </w:r>
          </w:p>
          <w:p w14:paraId="2D170055" w14:textId="77777777" w:rsidR="00464F34" w:rsidRPr="002A677E" w:rsidRDefault="00464F34" w:rsidP="00487A02">
            <w:pPr>
              <w:pStyle w:val="InstructionsText"/>
            </w:pPr>
            <w:r>
              <w:t>A feltüntetendő érték a volatilitási és lejárati korrekció együttes hatása: (Cvam–C) = C*[(1–Hc–Hfx)*(t–t*)/(T–t*)–1], ahol a volatilitási korrekció hatása (Cva–C) = C*[(1–Hc–Hfx)–1], a lejárati korrekció hatása pedig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Teljes mértékben korrigált kitettségérték (E*)</w:t>
            </w:r>
          </w:p>
          <w:p w14:paraId="4953760F" w14:textId="74781C8B" w:rsidR="00464F34" w:rsidRPr="001235ED" w:rsidRDefault="00464F34" w:rsidP="00487A02">
            <w:pPr>
              <w:pStyle w:val="InstructionsText"/>
              <w:rPr>
                <w:b/>
                <w:u w:val="single"/>
              </w:rPr>
            </w:pPr>
            <w:r>
              <w:lastRenderedPageBreak/>
              <w:t>Az 575/2013/EU rendelet 220. cikkének (4) bekezdése, 223. cikkének (2)–(5) bekezdése és 228. cikkének (1) bekezdése.</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lastRenderedPageBreak/>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mérlegen kívüli tételek teljes mértékben korrigált kitettségértéke hitel-egyenértékesítési tényezők szerinti bontásban</w:t>
            </w:r>
          </w:p>
          <w:p w14:paraId="7931F456" w14:textId="382BE9E0" w:rsidR="00464F34" w:rsidRPr="002A677E" w:rsidRDefault="00464F34" w:rsidP="00487A02">
            <w:pPr>
              <w:pStyle w:val="InstructionsText"/>
            </w:pPr>
            <w:r>
              <w:t>Az 575/2013/EU rendelet 111. cikkének (1) bekezdése és 4. cikke (1) bekezdésének 56. pontja. Az 575/2013/EU rendelet 222. cikkének (3) bekezdése és 228. cikkének (1) bekezdése.</w:t>
            </w:r>
          </w:p>
          <w:p w14:paraId="0C778F2A" w14:textId="77777777" w:rsidR="000A4C10" w:rsidRPr="002A677E" w:rsidRDefault="000A4C10" w:rsidP="00487A02">
            <w:pPr>
              <w:pStyle w:val="InstructionsText"/>
              <w:rPr>
                <w:b/>
                <w:u w:val="single"/>
              </w:rPr>
            </w:pPr>
            <w:r>
              <w:t>A feltüntetett adatoknak a hitel-egyenértékesítési tényező alkalmazása előtti, teljes mértékben korrigált kitettségértékeknek kell lenniük.</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Kitettségérték</w:t>
            </w:r>
          </w:p>
          <w:p w14:paraId="6DF8082E" w14:textId="008DF90F" w:rsidR="00464F34" w:rsidRPr="002A677E" w:rsidRDefault="00531FC9" w:rsidP="00487A02">
            <w:pPr>
              <w:pStyle w:val="InstructionsText"/>
            </w:pPr>
            <w:r>
              <w:t>Az 575/2013/EU rendelet 111. cikke és harmadik része II. címe 4. fejezetének 4. szakasza.</w:t>
            </w:r>
          </w:p>
          <w:p w14:paraId="5F5EABA5" w14:textId="2FD4B564" w:rsidR="00464F34" w:rsidRPr="002A677E" w:rsidRDefault="00464F34" w:rsidP="00487A02">
            <w:pPr>
              <w:pStyle w:val="InstructionsText"/>
            </w:pPr>
            <w:r>
              <w:t>Az értékelési korrekciók, valamint az összes hitelkockázat-mérséklő eszköz és hitel-egyenértékesítési tényező figyelembevétele utáni kitettségérték, amelyhez az 575/2013/EU rendelet 113. cikke, valamint harmadik része II. címe 2. fejezetének 2. szakaszával összhangban kockázati súlyt kell rendelni.</w:t>
            </w:r>
          </w:p>
          <w:p w14:paraId="4DEBB82D" w14:textId="0E3F90CD" w:rsidR="0029630E" w:rsidRPr="002A677E" w:rsidRDefault="0029630E" w:rsidP="00487A02">
            <w:pPr>
              <w:pStyle w:val="InstructionsText"/>
            </w:pPr>
            <w:r>
              <w:t>A lízing kitettségértékét az 575/2013/EU rendelet 134. cikkének (7) bekezdése szabályozza. A maradványértéket diszkontált maradványértékként kell figyelembe venni, figyelembe véve az értékelési korrekciókat, valamint az összes hitelkockázat-mérséklő tényezőt és hitel-egyenértékesítési tényezőt.</w:t>
            </w:r>
          </w:p>
          <w:p w14:paraId="67056B04" w14:textId="77777777" w:rsidR="007C64F7" w:rsidRPr="002A677E" w:rsidRDefault="007C64F7" w:rsidP="00487A02">
            <w:pPr>
              <w:pStyle w:val="InstructionsText"/>
            </w:pPr>
            <w:r>
              <w:t>A partnerkockázattal érintett kitettségek értékeinek meg kell egyezniük a 0210-es oszlopban megadott értékekkel.</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származó</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A partnerkockázattal érintett kitettségek érteke az 575/2013/EU rendelet harmadik része II. címének 4. és 6. fejezetében meghatározott módszereknek megfelelően, azaz az 575/2013/EU rendelet harmadik része II. címének 4. és 6. fejezetével összhangban alkalmazandó hitelkockázat-mérséklési technikák alkalmazásával és a CVA-veszteségnek az említett rendelet 273. cikkének (6) bekezdésében említett levonásával számított kitettségérték, amely a kockázattal súlyozott kitettségérték kiszámítása tekintetében a releváns összeg. </w:t>
            </w:r>
          </w:p>
          <w:p w14:paraId="28D8090D" w14:textId="18955836" w:rsidR="007C64F7" w:rsidRPr="002A677E" w:rsidRDefault="007C64F7" w:rsidP="007C64F7">
            <w:pPr>
              <w:rPr>
                <w:rFonts w:ascii="Times New Roman" w:hAnsi="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6454696E" w14:textId="3465BEAC" w:rsidR="00464F34" w:rsidRPr="002A677E" w:rsidRDefault="007C64F7" w:rsidP="00F47CA5">
            <w:pPr>
              <w:pStyle w:val="InstructionsText"/>
            </w:pPr>
            <w:r>
              <w:t>Azokban az esetekben, amikor egy partnerre egynél több partnerkockázat-számítási módszert alkalmaznak, a partner szintjén levont, felmerült CVA-veszteséget a 0090–0130-as sorban szereplő egyes nettósítási halmazok kitettségértékéhez kell hozzárendelni, tükrözve az adott nettósítási halmazok hitelkockázat-mérséklés utáni kitettségértékének a partner hitelkockázat-mérséklés utáni teljes kitettségértékéhez viszonyított arányát. E célból a C 34.02 tábla 0160-as oszlopához tartozó útmutató szerinti hitelkockázat-mérséklés utáni kitettségértéket kell használni.</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eredő, kivéve a központi szerződő félen keresztül elszámolt kitettségeket</w:t>
            </w:r>
          </w:p>
          <w:p w14:paraId="41D6EC24" w14:textId="37710B2B" w:rsidR="00E46AC0" w:rsidRPr="002A677E" w:rsidRDefault="00E46AC0" w:rsidP="00F37BEE">
            <w:pPr>
              <w:pStyle w:val="InstructionsText"/>
              <w:rPr>
                <w:rStyle w:val="InstructionsTabelleberschrift"/>
                <w:rFonts w:ascii="Times New Roman" w:hAnsi="Times New Roman"/>
                <w:sz w:val="24"/>
              </w:rPr>
            </w:pPr>
            <w:r>
              <w:t xml:space="preserve">A 0210-es oszlopban feltüntetett kitettségek, kivéve az 575/2013/EU rendelet 301. cikkének (1) bekezdésében felsorolt szerződésekből és ügyletekből eredő kitettségeket, </w:t>
            </w:r>
            <w:r>
              <w:lastRenderedPageBreak/>
              <w:t>amennyiben azok központi szerződő féllel (CCP) szemben állnak fenn, beleértve az említett rendelet 300. cikkének 2. pontjában meghatározott központi szerződő félhez kapcsolódó ügyleteket is.</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lastRenderedPageBreak/>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előtti, kockázattal súlyozott kitettségérték</w:t>
            </w:r>
          </w:p>
          <w:p w14:paraId="3E955300" w14:textId="5E4EFC98" w:rsidR="00696434" w:rsidRPr="002A677E" w:rsidRDefault="00E46AC0" w:rsidP="001A217F">
            <w:pPr>
              <w:pStyle w:val="InstructionsText"/>
            </w:pPr>
            <w:r>
              <w:t>Az 575/2013/EU rendelet 113. cikkének (1)–(5) bekezdése, az említett rendelet 501. és 501a. cikke szerinti kkv-szorzó és infrastruktúra-szorzó figyelembevétele nélkül.</w:t>
            </w:r>
          </w:p>
          <w:p w14:paraId="019E027E" w14:textId="536419C1" w:rsidR="00E46AC0" w:rsidRPr="002A677E" w:rsidRDefault="007D1F12" w:rsidP="00696434">
            <w:pPr>
              <w:pStyle w:val="InstructionsText"/>
              <w:rPr>
                <w:b/>
                <w:u w:val="single"/>
              </w:rPr>
            </w:pPr>
            <w:r>
              <w:t>A lízingeszközök maradványértékének kockázattal súlyozott kitettségértékére a 134. cikk (7) bekezdésének ötödik mondata vonatkozik, és azt az „1/t * 100 % * maradványérték” képlet szerint kell kiszámítani. A maradványérték nem diszkontált becsült maradványérték a lízingfutamidő végén, amelyet a folyamatos megfelelőség biztosítása érdekében rendszeresen újra kell értékelni.</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kkv-szorzó miatti korrekciója</w:t>
            </w:r>
          </w:p>
          <w:p w14:paraId="46953D7E" w14:textId="3819F1D8" w:rsidR="00E46AC0" w:rsidRPr="002A677E" w:rsidRDefault="00E46AC0" w:rsidP="00F37BEE">
            <w:pPr>
              <w:pStyle w:val="InstructionsText"/>
              <w:rPr>
                <w:rStyle w:val="InstructionsTabelleberschrift"/>
                <w:rFonts w:ascii="Times New Roman" w:hAnsi="Times New Roman"/>
                <w:sz w:val="24"/>
              </w:rPr>
            </w:pPr>
            <w:r>
              <w:t>A kkv-kel szembeni teljesítő kitettségeknek az 575/2013/EU rendelet harmadik része II. címének 2. fejezetével összhangban számított, kockázattal súlyozott kitettségértéke (RWEA) és az 575/2013/EU rendelet 501. cikkének (1) bekezdése szerinti RWEA* különbségének levonása.</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infrastruktúra-szorzó miatti korrekciója</w:t>
            </w:r>
          </w:p>
          <w:p w14:paraId="59D0B96E" w14:textId="245D7844" w:rsidR="00E46AC0" w:rsidRPr="002A677E" w:rsidRDefault="00E46AC0" w:rsidP="00E7205D">
            <w:pPr>
              <w:pStyle w:val="InstructionsText"/>
              <w:rPr>
                <w:rStyle w:val="InstructionsTabelleberschrift"/>
                <w:rFonts w:ascii="Times New Roman" w:hAnsi="Times New Roman"/>
                <w:sz w:val="24"/>
              </w:rPr>
            </w:pPr>
            <w:r>
              <w:t>Az 575/2013/EU rendelet harmadik része II. címének megfelelően kiszámított kockázattal súlyozott kitettségértékek, valamint az említett rendelet 501a. cikke szerinti, alapvető közszolgáltatásokat nyújtó vagy támogató fizikai struktúrákat vagy létesítményeket, rendszereket és hálózatokat működtető vagy finanszírozó szervezetekkel szembeni kitettségek hitelkockázatára vonatkozó kiigazított RWEA-érték különbségének levonása.</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utáni, kockázattal súlyozott kitettségérték</w:t>
            </w:r>
          </w:p>
          <w:p w14:paraId="6A0EF6D2" w14:textId="2B28D707" w:rsidR="00696434" w:rsidRPr="002A677E" w:rsidRDefault="00E46AC0" w:rsidP="00E50750">
            <w:pPr>
              <w:pStyle w:val="InstructionsText"/>
            </w:pPr>
            <w:r>
              <w:t xml:space="preserve">Az 575/2013/EU rendelet 113. cikkének (1)–(5) bekezdése, az említett rendelet 501. és 501a. cikke szerinti kkv-szorzó és infrastruktúra-szorzó figyelembevételével. </w:t>
            </w:r>
          </w:p>
          <w:p w14:paraId="5B1FB659" w14:textId="423CD269" w:rsidR="00E46AC0" w:rsidRPr="002A677E" w:rsidRDefault="007D1F12" w:rsidP="00E50750">
            <w:pPr>
              <w:pStyle w:val="InstructionsText"/>
              <w:rPr>
                <w:b/>
                <w:u w:val="single"/>
              </w:rPr>
            </w:pPr>
            <w:r>
              <w:t>A lízingeszközök maradványértékének kockázattal súlyozott kitettségértékére a 134. cikk (7) bekezdésének ötödik mondata vonatkozik, és azt az „1/t * 100 % * maradványérték” képlet szerint kell kiszámítani. A maradványérték nem diszkontált becsült maradványérték a lízingfutamidő végén, amelyet a folyamatos megfelelőség biztosítása érdekében rendszeresen újra kell értékelni.</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kijelölt khmi által készített hitelminősítéssel</w:t>
            </w:r>
          </w:p>
          <w:p w14:paraId="17D63445" w14:textId="4FB26D13" w:rsidR="00E46AC0" w:rsidRPr="002A677E" w:rsidRDefault="00E46AC0" w:rsidP="00487A02">
            <w:pPr>
              <w:pStyle w:val="InstructionsText"/>
            </w:pPr>
            <w:r>
              <w:t>Az 575/2013/EU rendelet 112. cikkének a)–d), f), g), l), n), o) és q) pontja.</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központi kormányzatéból eredő hitelminősítéssel</w:t>
            </w:r>
          </w:p>
          <w:p w14:paraId="1A2BE267" w14:textId="0B0F59E8" w:rsidR="00E46AC0" w:rsidRPr="002A677E" w:rsidRDefault="00E46AC0" w:rsidP="00487A02">
            <w:pPr>
              <w:pStyle w:val="InstructionsText"/>
            </w:pPr>
            <w:r>
              <w:t>Az 575/2013/EU rendelet 112. cikkének b)–d), f), g), l), és o) pontja.</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Sorok</w:t>
            </w:r>
          </w:p>
        </w:tc>
        <w:tc>
          <w:tcPr>
            <w:tcW w:w="8701" w:type="dxa"/>
            <w:shd w:val="clear" w:color="auto" w:fill="CCCCCC"/>
          </w:tcPr>
          <w:p w14:paraId="5101E780" w14:textId="77777777" w:rsidR="00464F34" w:rsidRPr="002A677E" w:rsidRDefault="00464F34" w:rsidP="00487A02">
            <w:pPr>
              <w:pStyle w:val="InstructionsText"/>
            </w:pPr>
            <w:r>
              <w:t>Útmutató</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Teljes kitettség</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 a „Kiemelkedően magas kockázatú tételek” és a „Részvényjellegű kitettségek” kitettségi osztályokban</w:t>
            </w:r>
          </w:p>
          <w:p w14:paraId="0CD31563" w14:textId="497F1A0E" w:rsidR="00610B56" w:rsidRPr="002A677E" w:rsidRDefault="00610B56" w:rsidP="00487A02">
            <w:pPr>
              <w:pStyle w:val="InstructionsText"/>
            </w:pPr>
            <w:r>
              <w:t>Az 575/2013/EU rendelet 127. cikke.</w:t>
            </w:r>
          </w:p>
          <w:p w14:paraId="18E81DC8" w14:textId="77777777" w:rsidR="00610B56" w:rsidRPr="002A677E" w:rsidRDefault="00610B56" w:rsidP="00487A02">
            <w:pPr>
              <w:pStyle w:val="InstructionsText"/>
            </w:pPr>
            <w:r>
              <w:lastRenderedPageBreak/>
              <w:t>Ezt a sort csak a „Kiemelkedően magas kockázatú tételek” és a „Részvényjellegű kitettségek” kitettségi osztályokban kell jelenteni.</w:t>
            </w:r>
          </w:p>
          <w:p w14:paraId="1BCB3895" w14:textId="160D6810" w:rsidR="00761891" w:rsidRPr="002A677E" w:rsidRDefault="00167619" w:rsidP="00487A02">
            <w:pPr>
              <w:pStyle w:val="InstructionsText"/>
            </w:pPr>
            <w:r>
              <w:t>Egy olyan kitettséget, amely az 575/2013/EU rendelet 128. cikkének (2) bekezdésében felsorolt, vagy teljesíti az 575/2013/EU rendelet 128. cikkének (3) bekezdésében vagy 133. cikkében meghatározott kritériumokat, a „Kiemelkedően magas kockázatú tételek” vagy a „Részvényjellegű kitettségek” kitettségi osztályba kell sorolni. Következésképpen más besorolás nem lehetséges, még akkor sem, ha az 575/2013/EU rendelet 127. cikkében említett nemteljesítő kitettségről van szó.</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lastRenderedPageBreak/>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Kkv</w:t>
            </w:r>
          </w:p>
          <w:p w14:paraId="29C2106E" w14:textId="77777777" w:rsidR="00464F34" w:rsidRPr="002A677E" w:rsidRDefault="00464F34" w:rsidP="00487A02">
            <w:pPr>
              <w:pStyle w:val="InstructionsText"/>
            </w:pPr>
            <w:r>
              <w:t xml:space="preserve">Itt a kkv-kal szembeni összes kitettséget fel kell tüntetni.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 kkv-szorzó alkalmazásával</w:t>
            </w:r>
          </w:p>
          <w:p w14:paraId="552F2982" w14:textId="1B5DF213" w:rsidR="00464F34" w:rsidRPr="002A677E" w:rsidRDefault="00464F34" w:rsidP="00487A02">
            <w:pPr>
              <w:pStyle w:val="InstructionsText"/>
            </w:pPr>
            <w:r>
              <w:t xml:space="preserve">Itt csak azokat a kkv-kal szembeni kitettségeket kell feltüntetni, amelyek teljesítik az 575/2013/EU rendelet 501. cikkében előírt követelményeket.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az infrastruktúra-szorzó alkalmazásával</w:t>
            </w:r>
          </w:p>
          <w:p w14:paraId="29B9E5EA" w14:textId="7E1C8895" w:rsidR="001B1F77" w:rsidRPr="002A677E" w:rsidRDefault="001B1F77" w:rsidP="00487A02">
            <w:pPr>
              <w:pStyle w:val="InstructionsText"/>
              <w:rPr>
                <w:rStyle w:val="InstructionsTabelleberschrift"/>
                <w:rFonts w:ascii="Times New Roman" w:hAnsi="Times New Roman"/>
                <w:sz w:val="24"/>
              </w:rPr>
            </w:pPr>
            <w:r>
              <w:t>Itt csak azokat a kkv-kal szembeni kitettségeket kell feltüntetni, amelyek teljesítik az 575/2013/EU rendelet 501a. cikkében előírt követelményeket.</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Ingatlanra bejegyzett zálogjoggal fedezett – lakóingatlan</w:t>
            </w:r>
          </w:p>
          <w:p w14:paraId="43C1D306" w14:textId="27B0B97C" w:rsidR="001B1F77" w:rsidRPr="002A677E" w:rsidRDefault="001B1F77" w:rsidP="00487A02">
            <w:pPr>
              <w:pStyle w:val="InstructionsText"/>
            </w:pPr>
            <w:r>
              <w:t>Az 575/2013/EU rendelet 125. cikke.</w:t>
            </w:r>
          </w:p>
          <w:p w14:paraId="7DC976D3" w14:textId="77777777" w:rsidR="001B1F77" w:rsidRPr="002A677E" w:rsidRDefault="001B1F77" w:rsidP="00487A02">
            <w:pPr>
              <w:pStyle w:val="InstructionsText"/>
              <w:rPr>
                <w:b/>
                <w:u w:val="single"/>
              </w:rPr>
            </w:pPr>
            <w:r>
              <w:t>Csak az „ingatlanra bejegyzett zálogjoggal fedezett” kitettségi osztályban kell jelenteni.</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Tartós mentesítés alapján a sztenderd módszerrel kezelt kitettségek</w:t>
            </w:r>
          </w:p>
          <w:p w14:paraId="1A2C5988" w14:textId="41C89F8A" w:rsidR="001B1F77" w:rsidRPr="002A677E" w:rsidRDefault="001B1F77" w:rsidP="00487A02">
            <w:pPr>
              <w:pStyle w:val="InstructionsText"/>
            </w:pPr>
            <w:r>
              <w:t>Olyan kitettségek, amelyekre az az 575/2013/EU rendelet 150. cikke (1) bekezdésének megfelelően a sztenderd módszert alkalmazták.</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IRB módszer fokozatos bevezetésére vonatkozó előzetes felügyeleti engedély alapján sztenderd módszerrel kezelt kitettségek</w:t>
            </w:r>
          </w:p>
          <w:p w14:paraId="133C6C49" w14:textId="489D54A3" w:rsidR="001B1F77" w:rsidRPr="002A677E" w:rsidRDefault="001B1F77" w:rsidP="00487A02">
            <w:pPr>
              <w:pStyle w:val="InstructionsText"/>
            </w:pPr>
            <w:r>
              <w:t xml:space="preserve">Az 575/2013/EU rendelet 148. cikkének (1) bekezdése.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TELJES KITETTSÉG KITETTSÉGTÍPUS SZERINTI BONTÁSA</w:t>
            </w:r>
          </w:p>
          <w:p w14:paraId="17A71539" w14:textId="77777777" w:rsidR="001B1F77" w:rsidRPr="002A677E" w:rsidRDefault="001B1F77" w:rsidP="00487A02">
            <w:pPr>
              <w:pStyle w:val="InstructionsText"/>
            </w:pPr>
            <w:r>
              <w:t xml:space="preserve">Az adatot szolgáltató intézmény banki könyvben nyilvántartott pozícióit az alábbiakban megadott kritériumok szerint hitelkockázattal érintett mérlegen belüli kitettségekre, hitelkockázattal érintett mérlegen kívüli kitettségekre, valamint partnerkockázattal érintett kitettségekre kell bontani. </w:t>
            </w:r>
          </w:p>
          <w:p w14:paraId="7FE5F80E" w14:textId="5EA73D64" w:rsidR="001B1F77" w:rsidRPr="002A677E" w:rsidRDefault="001B1F77" w:rsidP="00E7205D">
            <w:pPr>
              <w:pStyle w:val="InstructionsText"/>
            </w:pPr>
            <w:r>
              <w:t>Az intézmény kereskedési könyvi tevékenységéből származó, az 575/2013/EU rendelet 92. cikke (3) bekezdésének f) pontjában, valamint 299. cikkének (2) bekezdésében említett partnerkockázati kitettségeit a partnerkockázattal érintett kitettségek közé kell sorolni. Az 575/2013/EU rendelet 94. cikkének (1) bekezdését alkalmazó intézményeknek ezenkívül az említett rendelet 92. cikke (3) bekezdésének b) pontjában említett kereskedési könyvi pozícióikat az alábbiakban megadott kritériumok szerint hitelkockázattal érintett mérlegen belüli kitettségekre, hitelkockázattal érintett mérlegen kívüli kitettségekre, valamint partnerkockázattal érintett kitettségekre kell bontaniuk.</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Hitelkockázattal érintett mérlegen belüli kitettségek </w:t>
            </w:r>
          </w:p>
          <w:p w14:paraId="624F8F5B" w14:textId="439CA126" w:rsidR="001B1F77" w:rsidRPr="002A677E" w:rsidRDefault="001B1F77" w:rsidP="00487A02">
            <w:pPr>
              <w:pStyle w:val="InstructionsText"/>
            </w:pPr>
            <w:r>
              <w:t>Az 575/2013/EU rendelet 24. cikkében említett, más kategóriába nem sorolt eszközök.</w:t>
            </w:r>
          </w:p>
          <w:p w14:paraId="213B7CDD" w14:textId="77777777" w:rsidR="001B1F77" w:rsidRPr="002A677E" w:rsidRDefault="001B1F77" w:rsidP="00487A02">
            <w:pPr>
              <w:pStyle w:val="InstructionsText"/>
            </w:pPr>
            <w:r>
              <w:lastRenderedPageBreak/>
              <w:t>A partnerkockázattal érintett kitettségeket nem ebben a sorban, hanem a 0090–0130-as sorban kell feltüntetni.</w:t>
            </w:r>
          </w:p>
          <w:p w14:paraId="0231E5DB" w14:textId="6ADF02F2" w:rsidR="001B1F77" w:rsidRPr="002A677E" w:rsidRDefault="001B1F77" w:rsidP="00487A02">
            <w:pPr>
              <w:pStyle w:val="InstructionsText"/>
            </w:pPr>
            <w:r>
              <w:t>Az 575/2013/EU rendelet 379. cikkének (1) bekezdésében említett nyitva szállítások (amennyiben nem vonták le azokat) nem minősülnek mérlegen belüli tételnek, azonban azokat ebben a sorban fel kell tüntetni.</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lastRenderedPageBreak/>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Hitelkockázattal érintett mérlegen kívüli kitettségek</w:t>
            </w:r>
          </w:p>
          <w:p w14:paraId="0B80ACDD" w14:textId="0880FD72" w:rsidR="001B1F77" w:rsidRPr="002A677E" w:rsidRDefault="001B1F77" w:rsidP="00487A02">
            <w:pPr>
              <w:pStyle w:val="InstructionsText"/>
            </w:pPr>
            <w:r>
              <w:t>A mérlegen kívüli pozíciók közé az 575/2013/EU rendelet I. mellékletében felsorolt tételek tartoznak.</w:t>
            </w:r>
          </w:p>
          <w:p w14:paraId="62745F38" w14:textId="77777777" w:rsidR="001B1F77" w:rsidRPr="002A677E" w:rsidRDefault="001B1F77" w:rsidP="00487A02">
            <w:pPr>
              <w:pStyle w:val="InstructionsText"/>
            </w:pPr>
            <w:r>
              <w:t>A partnerkockázattal érintett kitettségeket nem ebben a sorban, hanem a 0090–0130-as sorban kell feltüntetni.</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14:paraId="2EC00BBC" w14:textId="77777777" w:rsidR="00E86B98" w:rsidRPr="002A677E" w:rsidRDefault="00E86B98" w:rsidP="00487A02">
            <w:pPr>
              <w:pStyle w:val="InstructionsText"/>
            </w:pPr>
            <w:r>
              <w:t>Partnerkockázattal érintett ügyletek, úgy mint származtatott ügyletek, repoügyletek, értékpapír- vagy áru-kölcsönbeadási vagy -kölcsönvételi ügyletek, hosszú kiegyenlítési idejű ügyletek és értékpapírügylethez kapcsolódó hitelek.</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Értékpapír-finanszírozási ügyletek nettósítási halmazai</w:t>
            </w:r>
          </w:p>
          <w:p w14:paraId="06C22FAA" w14:textId="07B8153D" w:rsidR="00E86B98" w:rsidRPr="002A677E" w:rsidRDefault="00E86B98" w:rsidP="00487A02">
            <w:pPr>
              <w:pStyle w:val="InstructionsText"/>
            </w:pPr>
            <w:r>
              <w:t>A kizárólag az 575/2013/EU rendelet 4. cikke (1) bekezdésének 139. pontjában meghatározott értékpapír-finanszírozási ügyleteket tartalmazó nettósítási halmazok.</w:t>
            </w:r>
          </w:p>
          <w:p w14:paraId="60729C75" w14:textId="02300C70" w:rsidR="001B1F77" w:rsidRPr="002A677E" w:rsidRDefault="00E86B98" w:rsidP="00487A02">
            <w:pPr>
              <w:pStyle w:val="InstructionsText"/>
            </w:pPr>
            <w:r>
              <w:t>Nem tüntethetők fel ebben a sorban azok az értékpapír-finanszírozási ügyletek, amelyek eltérő termékkategóriák közötti nettósításról szóló szerződéses megállapodásból származó nettósítási halmazok részét képezik és ennélfogva a 0130-as sorban szerepelnek.</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elfogadott központi szerződő félen keresztül központilag elszámolt</w:t>
            </w:r>
          </w:p>
          <w:p w14:paraId="4ED364CF" w14:textId="0859DB9D" w:rsidR="001B1F77" w:rsidRPr="002A677E" w:rsidRDefault="00E86B98" w:rsidP="00487A02">
            <w:pPr>
              <w:pStyle w:val="InstructionsText"/>
            </w:pPr>
            <w:r>
              <w:t>Az 575/2013/EU rendelet 301. cikkének (1) bekezdésében felsorolt, az említett rendelet 4. cikke (1) bekezdésének 88. pontjában meghatározott elfogadott központi szerződő féllel (QCCP) szemben fennálló és elfogadott központi szerződő félhez kapcsolódó szerződések és ügyletek, amelyek esetében a kockázattal súlyozott kitettségértéket az említett rendelet harmadik része II. címe 6. fejezetének 9. szakasza szerint számítják ki. Az elfogadott központi szerződő félhez kapcsolódó ügylet jelentése megegyezik a központi szerződő félhez kapcsolódó ügyletnek az 575/2013/EU rendelet 300. cikkének 2. pontja szerinti jelentésével, amennyiben a központi szerződő fél elfogadott központi szerződő fél.</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és hosszú kiegyenlítési idejű ügyletek nettósítási halmazai</w:t>
            </w:r>
          </w:p>
          <w:p w14:paraId="6CF5B359" w14:textId="767432F1" w:rsidR="00E86B98" w:rsidRPr="002A677E" w:rsidRDefault="00E86B98" w:rsidP="00487A02">
            <w:pPr>
              <w:pStyle w:val="InstructionsText"/>
            </w:pPr>
            <w:r>
              <w:t>A kizárólag az 575/2013/EU rendelet II. mellékletében felsorolt származtatott ügyleteket és az említett rendelet 272. cikkének (2) bekezdésében meghatározott hosszú kiegyenlítési idejű ügyleteket tartalmazó nettósítási halmazok.</w:t>
            </w:r>
          </w:p>
          <w:p w14:paraId="28EE41AA" w14:textId="77777777" w:rsidR="001B1F77" w:rsidRPr="002A677E" w:rsidRDefault="001B1F77" w:rsidP="00487A02">
            <w:pPr>
              <w:pStyle w:val="InstructionsText"/>
            </w:pPr>
            <w: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0130-as sorban szerepelnek.</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Ebből: elfogadott központi szerződő félen keresztül központilag elszámolt</w:t>
            </w:r>
          </w:p>
          <w:p w14:paraId="7CDEC702" w14:textId="7A4ACEFB" w:rsidR="001B1F77" w:rsidRPr="002A677E" w:rsidRDefault="00E86B98" w:rsidP="00487A02">
            <w:pPr>
              <w:pStyle w:val="InstructionsText"/>
            </w:pPr>
            <w:r>
              <w:t>Lásd a 0100-as sorra vonatkozó útmutatót.</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lastRenderedPageBreak/>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megállapodásból származó nettósítási halmazok</w:t>
            </w:r>
          </w:p>
          <w:p w14:paraId="04F5BFB5" w14:textId="22F365D1" w:rsidR="001B1F77" w:rsidRPr="002A677E" w:rsidRDefault="00E86B98" w:rsidP="00487A02">
            <w:pPr>
              <w:pStyle w:val="InstructionsText"/>
            </w:pPr>
            <w:r>
              <w:t>Különböző termékkategóriákhoz sorolt ügyleteket, úgy mint származtatott ügyleteket és értékpapír-finanszírozási ügyleteket tartalmazó azon nettósítási halmazok (az 575/2013/EU rendelet 272. cikkének 11. pontja), amelyekre az 575/2013/EU rendelet 272. cikkének 25. pontjában meghatározott eltérő termékkategóriák közötti nettósításról szóló szerződéses megállapodás vonatkozik.</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KITETTSÉGEK KOCKÁZATI SÚLY SZERINTI BONTÁSA</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Az 575/2013/EU rendelet 306. cikkének (1) bekezdése.</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Az 575/2013/EU rendelet 305. cikkének (3) bekezdése.</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Az 575/2013/EU rendelet 232. cikke (3) bekezdésének c) pontja.</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Az 575/2013/EU rendelet 133. cikkének (2) bekezdése és 48. cikkének (4) bekezdése.</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Az 575/2013/EU rendelet 471. cikke.</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Az 575/2013/EU rendelet 133. cikkének (2) bekezdése és 379. cikke.</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kockázati súlyok</w:t>
            </w:r>
          </w:p>
          <w:p w14:paraId="417334B0" w14:textId="77777777" w:rsidR="001B1F77" w:rsidRPr="002A677E" w:rsidRDefault="001B1F77" w:rsidP="00487A02">
            <w:pPr>
              <w:pStyle w:val="InstructionsText"/>
            </w:pPr>
            <w:r>
              <w:t>Ez a sor a „kormányzat”, „vállalkozások”, „intézmények” és „lakosság” kitettségi osztályok esetében nem tölthető ki.</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Itt olyan kitettségek adhatók meg, amelyekre nem vonatkoznak a táblán felsorolt kockázati súlyok.</w:t>
            </w:r>
          </w:p>
          <w:p w14:paraId="2DC925E8" w14:textId="77E036D7" w:rsidR="001B1F77" w:rsidRPr="002A677E" w:rsidRDefault="001B1F77" w:rsidP="00487A02">
            <w:pPr>
              <w:pStyle w:val="InstructionsText"/>
            </w:pPr>
            <w:r>
              <w:t xml:space="preserve">Az 575/2013/EU rendelet 113. cikkének (1)–(5) bekezdése.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A nem minősített, a sztenderd módszer szerinti n-edik nemteljesítéskor lehívható hitelderivatívákat (az 575/2013/EU rendelet 134. cikkének (6) bekezdése) ebben a sorban az „egyéb tételek” kitettségi osztályban kell feltüntetni.</w:t>
            </w:r>
          </w:p>
          <w:p w14:paraId="4839EA0F" w14:textId="60CE17BA" w:rsidR="001B1F77" w:rsidRPr="002A677E" w:rsidRDefault="001B1F77" w:rsidP="0014209A">
            <w:pPr>
              <w:pStyle w:val="InstructionsText"/>
            </w:pPr>
            <w:r>
              <w:t xml:space="preserve">Lásd még az 575/2013/EU rendelet 124. cikkének (2) bekezdését és 152. cikke (2) bekezdésének b) pontját.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lastRenderedPageBreak/>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 MÓDSZER SZERINTI BONTÁSA (KBF)</w:t>
            </w:r>
          </w:p>
          <w:p w14:paraId="2BAD7DF7" w14:textId="309BCA76" w:rsidR="00E86B98" w:rsidRPr="002A677E" w:rsidRDefault="00E86B98" w:rsidP="00487A02">
            <w:pPr>
              <w:pStyle w:val="InstructionsText"/>
              <w:rPr>
                <w:rStyle w:val="InstructionsTabelleberschrift"/>
                <w:rFonts w:ascii="Times New Roman" w:hAnsi="Times New Roman"/>
                <w:sz w:val="24"/>
              </w:rPr>
            </w:pPr>
            <w:r>
              <w:t>Ezen sorok esetében az 575/2013/EU rendelet 132., 132a., 132b. és 132c. cikkével összhangban csak a kollektív befektetési formák (KBF) kitettségi osztálya tekintetében kell adatot szolgáltatni.</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Az áttekintés elve</w:t>
            </w:r>
          </w:p>
          <w:p w14:paraId="6B60464B" w14:textId="63B2D041" w:rsidR="00E86B98" w:rsidRPr="002A677E" w:rsidRDefault="00E86B98" w:rsidP="00487A02">
            <w:pPr>
              <w:pStyle w:val="InstructionsText"/>
              <w:rPr>
                <w:rStyle w:val="InstructionsTabelleberschrift"/>
                <w:rFonts w:ascii="Times New Roman" w:hAnsi="Times New Roman"/>
                <w:sz w:val="24"/>
              </w:rPr>
            </w:pPr>
            <w:r>
              <w:t>Az 575/2013/EU rendelet 132a. cikkének (1) bekezdése.</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megbízatáson alapuló módszer</w:t>
            </w:r>
          </w:p>
          <w:p w14:paraId="56185E49" w14:textId="5DEC4114" w:rsidR="00E86B98" w:rsidRPr="002A677E" w:rsidRDefault="00E86B98" w:rsidP="00487A02">
            <w:pPr>
              <w:pStyle w:val="InstructionsText"/>
              <w:rPr>
                <w:rStyle w:val="InstructionsTabelleberschrift"/>
                <w:rFonts w:ascii="Times New Roman" w:hAnsi="Times New Roman"/>
                <w:sz w:val="24"/>
              </w:rPr>
            </w:pPr>
            <w:r>
              <w:t>Az 575/2013/EU rendelet 132a. cikkének (2) bekezdése.</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Tartalékmódszer (Fall-back approach)</w:t>
            </w:r>
          </w:p>
          <w:p w14:paraId="78735693" w14:textId="4B897295" w:rsidR="00E86B98" w:rsidRPr="002A677E" w:rsidRDefault="00E86B98" w:rsidP="00487A02">
            <w:pPr>
              <w:pStyle w:val="InstructionsText"/>
              <w:rPr>
                <w:rStyle w:val="InstructionsTabelleberschrift"/>
                <w:rFonts w:ascii="Times New Roman" w:hAnsi="Times New Roman"/>
                <w:sz w:val="24"/>
              </w:rPr>
            </w:pPr>
            <w:r>
              <w:t>Az 575/2013/EU rendelet 132. cikkének (2) bekezdése.</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p w14:paraId="40A38B29" w14:textId="77777777" w:rsidR="00E86B98" w:rsidRPr="002A677E" w:rsidRDefault="00E86B98" w:rsidP="00487A02">
            <w:pPr>
              <w:pStyle w:val="InstructionsText"/>
              <w:rPr>
                <w:b/>
                <w:u w:val="single"/>
              </w:rPr>
            </w:pPr>
            <w:r>
              <w:t>A 0290–0320-as sorok tekintetében lásd még a tájékoztató adatok céljának ismertetését a CR SA általános szakaszában.</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Kereskedelmi ingatlanra bejegyzett zálogjoggal fedezett kitettségek</w:t>
            </w:r>
          </w:p>
          <w:p w14:paraId="082BF5F4" w14:textId="471E3C02" w:rsidR="00E86B98" w:rsidRPr="002A677E" w:rsidRDefault="00E86B98" w:rsidP="00487A02">
            <w:pPr>
              <w:pStyle w:val="InstructionsText"/>
            </w:pPr>
            <w:r>
              <w:t>Az 575/2013/EU rendelet 112. cikkének i) pontja.</w:t>
            </w:r>
          </w:p>
          <w:p w14:paraId="19873995" w14:textId="0A05DA08" w:rsidR="00E86B98" w:rsidRPr="002A677E" w:rsidRDefault="00E86B98" w:rsidP="00487A02">
            <w:pPr>
              <w:pStyle w:val="InstructionsText"/>
            </w:pPr>
            <w:r>
              <w:t>Kizárólag tájékoztató adat. Az 575/2013/EU rendelet 124. és 126. cikkében említetteknek megfelelően kereskedelmi ingatlannal fedezett kitettséghez kapcsolódó kockázati kitettségértékek számításától függetlenül a kitettségeket ebben a sorban kell megbontani és feltüntetni, ha azokra kereskedelmi ingatlan nyújt fedezetet.</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100 %-os kockázati súlyú nemteljesítő kitettségek</w:t>
            </w:r>
          </w:p>
          <w:p w14:paraId="6A941F3C" w14:textId="17FFB607" w:rsidR="00E86B98" w:rsidRPr="002A677E" w:rsidRDefault="00E86B98" w:rsidP="00487A02">
            <w:pPr>
              <w:pStyle w:val="InstructionsText"/>
            </w:pPr>
            <w:r>
              <w:t>Az 575/2013/EU rendelet 112. cikkének j) pontja.</w:t>
            </w:r>
          </w:p>
          <w:p w14:paraId="4F7F2414" w14:textId="77777777" w:rsidR="00E86B98" w:rsidRPr="002A677E" w:rsidRDefault="00E86B98" w:rsidP="00487A02">
            <w:pPr>
              <w:pStyle w:val="InstructionsText"/>
            </w:pPr>
            <w:r>
              <w:t>A „nemteljesítő kitettségek” kitettségi osztályba sorolt kitettségek, amelyeket teljesítésük esetén ebbe a kitettségi osztályba kellene sorolni.</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Lakóingatlanra bejegyzett jelzáloggal fedezett kitettségek </w:t>
            </w:r>
          </w:p>
          <w:p w14:paraId="5BDAA36A" w14:textId="6DF0E6B9" w:rsidR="00E86B98" w:rsidRPr="002A677E" w:rsidRDefault="00887929" w:rsidP="00487A02">
            <w:pPr>
              <w:pStyle w:val="InstructionsText"/>
            </w:pPr>
            <w:r>
              <w:t>Az 575/2013/EU rendelet 112. cikkének i) pontja.</w:t>
            </w:r>
          </w:p>
          <w:p w14:paraId="6DBBFFDB" w14:textId="0CFBB02F" w:rsidR="00E86B98" w:rsidRPr="002A677E" w:rsidRDefault="00E86B98" w:rsidP="00487A02">
            <w:pPr>
              <w:pStyle w:val="InstructionsText"/>
              <w:rPr>
                <w:b/>
                <w:u w:val="single"/>
              </w:rPr>
            </w:pPr>
            <w:r>
              <w:t>Kizárólag tájékoztató adat. Az 575/2013/EU rendelet 124. és 125. cikkének megfelelően lakóingatlannal fedezett kitettséghez kapcsolódó kockázati kitettségértékek számításától függetlenül a kitettségeket ebben a sorban kell megbontani és feltüntetni, ha azokra ingatlan nyújt fedezetet.</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150 %-os kockázati súlyú nemteljesítő kitettségek </w:t>
            </w:r>
          </w:p>
          <w:p w14:paraId="0681B1E0" w14:textId="51A62820" w:rsidR="00E86B98" w:rsidRPr="002A677E" w:rsidRDefault="00887929" w:rsidP="00487A02">
            <w:pPr>
              <w:pStyle w:val="InstructionsText"/>
            </w:pPr>
            <w:r>
              <w:t>Az 575/2013/EU rendelet 112. cikkének j) pontja.</w:t>
            </w:r>
          </w:p>
          <w:p w14:paraId="38918FFA" w14:textId="77777777" w:rsidR="00E86B98" w:rsidRPr="002A677E" w:rsidRDefault="00E86B98" w:rsidP="00487A02">
            <w:pPr>
              <w:pStyle w:val="InstructionsText"/>
            </w:pPr>
            <w:r>
              <w:t>A „nemteljesítő kitettségek” kitettségi osztályba sorolt kitettségek, amelyeket teljesítésük esetén ebbe a kitettségi osztályba kellene sorolni.</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6039910"/>
      <w:r>
        <w:rPr>
          <w:rFonts w:ascii="Times New Roman" w:hAnsi="Times New Roman"/>
          <w:sz w:val="24"/>
          <w:u w:val="none"/>
        </w:rPr>
        <w:t>3.3.</w:t>
      </w:r>
      <w:r>
        <w:rPr>
          <w:rFonts w:ascii="Times New Roman" w:hAnsi="Times New Roman"/>
          <w:sz w:val="24"/>
          <w:u w:val="none"/>
        </w:rPr>
        <w:tab/>
      </w:r>
      <w:r>
        <w:rPr>
          <w:rFonts w:ascii="Times New Roman" w:hAnsi="Times New Roman"/>
          <w:sz w:val="24"/>
        </w:rPr>
        <w:t>Hitelkockázat, partnerkockázat és nyitva szállítások: az IRB módszer szerinti szavatolótőke-követelmény</w:t>
      </w:r>
      <w:bookmarkEnd w:id="215"/>
      <w:r>
        <w:rPr>
          <w:rFonts w:ascii="Times New Roman" w:hAnsi="Times New Roman"/>
          <w:sz w:val="24"/>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6039911"/>
      <w:r>
        <w:rPr>
          <w:rFonts w:ascii="Times New Roman" w:hAnsi="Times New Roman"/>
          <w:sz w:val="24"/>
          <w:u w:val="none"/>
        </w:rPr>
        <w:t>3.3.1.</w:t>
      </w:r>
      <w:r>
        <w:rPr>
          <w:rFonts w:ascii="Times New Roman" w:hAnsi="Times New Roman"/>
          <w:sz w:val="24"/>
          <w:u w:val="none"/>
        </w:rPr>
        <w:tab/>
      </w:r>
      <w:r>
        <w:rPr>
          <w:rFonts w:ascii="Times New Roman" w:hAnsi="Times New Roman"/>
          <w:sz w:val="24"/>
        </w:rPr>
        <w:t>A CR IRB tábla alkalmazási köre</w:t>
      </w:r>
      <w:bookmarkEnd w:id="218"/>
      <w:bookmarkEnd w:id="219"/>
      <w:bookmarkEnd w:id="220"/>
    </w:p>
    <w:p w14:paraId="0D6B8B2B" w14:textId="77777777" w:rsidR="001C7AB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72</w:t>
      </w:r>
      <w:r>
        <w:rPr>
          <w:noProof/>
        </w:rPr>
        <w:fldChar w:fldCharType="end"/>
      </w:r>
      <w:r w:rsidR="00C3070C">
        <w:t>.</w:t>
      </w:r>
      <w:r w:rsidR="00C3070C">
        <w:tab/>
        <w:t>A CR IRB tábla a következőkre alkalmazandó:</w:t>
      </w:r>
    </w:p>
    <w:p w14:paraId="71C6A2AC" w14:textId="77777777" w:rsidR="001C7AB7" w:rsidRPr="002A677E" w:rsidRDefault="00125707" w:rsidP="00487A02">
      <w:pPr>
        <w:pStyle w:val="InstructionsText2"/>
        <w:numPr>
          <w:ilvl w:val="0"/>
          <w:numId w:val="0"/>
        </w:numPr>
        <w:ind w:left="1353" w:hanging="360"/>
      </w:pPr>
      <w:r>
        <w:t>i.</w:t>
      </w:r>
      <w:r>
        <w:tab/>
        <w:t>banki könyvben nyilvántartott hitelkockázat, ezen belül:</w:t>
      </w:r>
    </w:p>
    <w:p w14:paraId="6C5B8735" w14:textId="77777777" w:rsidR="001C7AB7" w:rsidRPr="002A677E" w:rsidRDefault="001C7AB7" w:rsidP="00487A02">
      <w:pPr>
        <w:pStyle w:val="InstructionsText2"/>
        <w:numPr>
          <w:ilvl w:val="0"/>
          <w:numId w:val="49"/>
        </w:numPr>
      </w:pPr>
      <w:r>
        <w:t>banki könyvben nyilvántartott partnerkockázat;</w:t>
      </w:r>
    </w:p>
    <w:p w14:paraId="0E5EFDA9" w14:textId="77777777" w:rsidR="001C7AB7" w:rsidRPr="002A677E" w:rsidRDefault="001C7AB7" w:rsidP="00487A02">
      <w:pPr>
        <w:pStyle w:val="InstructionsText2"/>
        <w:numPr>
          <w:ilvl w:val="0"/>
          <w:numId w:val="49"/>
        </w:numPr>
      </w:pPr>
      <w:r>
        <w:t>vásárolt követelések felhígulási kockázata;</w:t>
      </w:r>
    </w:p>
    <w:p w14:paraId="6D35E42E" w14:textId="77777777" w:rsidR="001C7AB7" w:rsidRPr="002A677E" w:rsidRDefault="00125707" w:rsidP="00487A02">
      <w:pPr>
        <w:pStyle w:val="InstructionsText2"/>
        <w:numPr>
          <w:ilvl w:val="0"/>
          <w:numId w:val="0"/>
        </w:numPr>
        <w:ind w:left="1353" w:hanging="360"/>
      </w:pPr>
      <w:r>
        <w:t>ii.</w:t>
      </w:r>
      <w:r>
        <w:tab/>
        <w:t>kereskedési könyvben nyilvántartott partnerkockázat;</w:t>
      </w:r>
    </w:p>
    <w:p w14:paraId="477FA3DC" w14:textId="77777777" w:rsidR="001C7AB7" w:rsidRPr="002A677E" w:rsidRDefault="00125707" w:rsidP="00487A02">
      <w:pPr>
        <w:pStyle w:val="InstructionsText2"/>
        <w:numPr>
          <w:ilvl w:val="0"/>
          <w:numId w:val="0"/>
        </w:numPr>
        <w:ind w:left="1353" w:hanging="360"/>
      </w:pPr>
      <w:r>
        <w:t>iii.</w:t>
      </w:r>
      <w:r>
        <w:tab/>
        <w:t>az összes üzleti tevékenységből származó nyitva szállítások.</w:t>
      </w:r>
    </w:p>
    <w:p w14:paraId="06BDFF2D" w14:textId="46379919" w:rsidR="001C7AB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73</w:t>
      </w:r>
      <w:r>
        <w:rPr>
          <w:noProof/>
        </w:rPr>
        <w:fldChar w:fldCharType="end"/>
      </w:r>
      <w:r w:rsidR="00C3070C">
        <w:t>.</w:t>
      </w:r>
      <w:r w:rsidR="00C3070C">
        <w:tab/>
        <w:t xml:space="preserve">A tábla alkalmazási köre azokra a kitettségekre terjed ki, amelyeknek kockázattal súlyozott kitettségértékét az 575/2013/EU rendelet harmadik része II. címe 3. fejezetének 151–157. cikke alapján (IRB módszerrel) számítják ki. </w:t>
      </w:r>
    </w:p>
    <w:p w14:paraId="41F30311" w14:textId="77777777" w:rsidR="001C7AB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74</w:t>
      </w:r>
      <w:r>
        <w:rPr>
          <w:noProof/>
        </w:rPr>
        <w:fldChar w:fldCharType="end"/>
      </w:r>
      <w:r w:rsidR="00C3070C">
        <w:t>.</w:t>
      </w:r>
      <w:r w:rsidR="00C3070C">
        <w:tab/>
        <w:t xml:space="preserve">A CR IRB tábla alkalmazási köre nem terjed ki a következő adatokra: </w:t>
      </w:r>
    </w:p>
    <w:p w14:paraId="22C972FA" w14:textId="77777777" w:rsidR="001C7AB7" w:rsidRPr="002A677E" w:rsidRDefault="00125707" w:rsidP="00487A02">
      <w:pPr>
        <w:pStyle w:val="InstructionsText2"/>
        <w:numPr>
          <w:ilvl w:val="0"/>
          <w:numId w:val="0"/>
        </w:numPr>
        <w:ind w:left="1353" w:hanging="360"/>
      </w:pPr>
      <w:r>
        <w:t>i.</w:t>
      </w:r>
      <w:r>
        <w:tab/>
        <w:t xml:space="preserve">a CR EQU IRB táblán feltüntetett részvényjellegű kitettségek; </w:t>
      </w:r>
    </w:p>
    <w:p w14:paraId="254CA575" w14:textId="77777777" w:rsidR="001C7AB7" w:rsidRPr="002A677E" w:rsidRDefault="00125707" w:rsidP="00487A02">
      <w:pPr>
        <w:pStyle w:val="InstructionsText2"/>
        <w:numPr>
          <w:ilvl w:val="0"/>
          <w:numId w:val="0"/>
        </w:numPr>
        <w:ind w:left="1353" w:hanging="360"/>
      </w:pPr>
      <w:r>
        <w:t>ii.</w:t>
      </w:r>
      <w:r>
        <w:tab/>
        <w:t>a CR SEC és/vagy a CR SEC Details táblán feltüntetett értékpapírosítási pozíciók;</w:t>
      </w:r>
    </w:p>
    <w:p w14:paraId="08743BAB" w14:textId="7EFFC068" w:rsidR="001C7AB7" w:rsidRPr="002A677E" w:rsidRDefault="00125707" w:rsidP="00487A02">
      <w:pPr>
        <w:pStyle w:val="InstructionsText2"/>
        <w:numPr>
          <w:ilvl w:val="0"/>
          <w:numId w:val="0"/>
        </w:numPr>
        <w:ind w:left="1353" w:hanging="360"/>
      </w:pPr>
      <w:r>
        <w:t>iii.</w:t>
      </w:r>
      <w:r>
        <w:tab/>
        <w:t xml:space="preserve"> az 575/2013/EU rendelet 147. cikke (2) bekezdésének g) pontjában említett „egyéb, nem hitelkötelezettséget megtestesítő eszközök”. E kitettségi osztály kockázati súlya minden esetben 100 %, kivéve a készpénzállományt és az azzal egyenértékű készpénztételeket, valamint a lízingelt eszközök maradványértékét az 575/2013/EU rendelet 156. cikke szerint. Az ehhez a kitettségi osztályhoz tartozó, kockázattal súlyozott kitettségértékeket közvetlenül a CA táblán kell feltüntetni;</w:t>
      </w:r>
    </w:p>
    <w:p w14:paraId="6E21D181" w14:textId="77777777" w:rsidR="001C7AB7" w:rsidRPr="002A677E" w:rsidRDefault="00125707" w:rsidP="00487A02">
      <w:pPr>
        <w:pStyle w:val="InstructionsText2"/>
        <w:numPr>
          <w:ilvl w:val="0"/>
          <w:numId w:val="0"/>
        </w:numPr>
        <w:ind w:left="1353" w:hanging="360"/>
      </w:pPr>
      <w:r>
        <w:t>iv.</w:t>
      </w:r>
      <w:r>
        <w:tab/>
        <w:t>a CVA-kockázat tábláján feltüntetett hitelértékelési korrekciós kockázatra;</w:t>
      </w:r>
    </w:p>
    <w:p w14:paraId="226F3F85" w14:textId="77777777" w:rsidR="001C7AB7" w:rsidRPr="002A677E" w:rsidRDefault="001C7AB7" w:rsidP="001235ED">
      <w:pPr>
        <w:pStyle w:val="InstructionsText2"/>
        <w:numPr>
          <w:ilvl w:val="0"/>
          <w:numId w:val="0"/>
        </w:numPr>
        <w:ind w:left="1418"/>
      </w:pPr>
      <w:r>
        <w:t xml:space="preserve">A CR IRB táblán nem szükséges az IRB kitettségeket a partner székhelye szerinti földrajzi bontásban megadni. Az így csoportosított adatok a CR GB táblán szerepelnek.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Az i. és a iii. tétel nem vonatkozik a CR IRB 7 táblára.</w:t>
      </w:r>
    </w:p>
    <w:p w14:paraId="7D4DC8CE" w14:textId="77777777" w:rsidR="001C7AB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75</w:t>
      </w:r>
      <w:r>
        <w:rPr>
          <w:noProof/>
        </w:rPr>
        <w:fldChar w:fldCharType="end"/>
      </w:r>
      <w:r w:rsidR="00C3070C">
        <w:t>.</w:t>
      </w:r>
      <w:r w:rsidR="00C3070C">
        <w:tab/>
        <w:t>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NEM = az LGD és a hitel-egyenértékesítési tényezők felügyeleti becslése esetén (IRB alapmódszer);</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IGEN = az LGD és a hitel-egyenértékesítési tényezők saját becslése esetén (fejlett IRB módszer). Ez minden lakossági portfóliót magában foglal.</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Ha egy intézmény az IRB kitettségek egy részére vonatkozó kockázattal súlyozott kitettségértékeket saját LGD-értékek alapján, az IRB kitettségek fennmaradó részére vonatkozó kockázattal súlyozott kitettségértékeket pedig felügyeleti LGD-értékek alapján számítja ki, akkor egy CR IRB Összesen táblát kell jelenteni az F-IRB pozíciókra és egy külön CR IRB Összesen táblát az A-IRB pozíciókra vonatkozóan.</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6039912"/>
      <w:r>
        <w:rPr>
          <w:rFonts w:ascii="Times New Roman" w:hAnsi="Times New Roman"/>
          <w:sz w:val="24"/>
          <w:u w:val="none"/>
        </w:rPr>
        <w:t>3.3.2.</w:t>
      </w:r>
      <w:r>
        <w:rPr>
          <w:rFonts w:ascii="Times New Roman" w:hAnsi="Times New Roman"/>
          <w:sz w:val="24"/>
          <w:u w:val="none"/>
        </w:rPr>
        <w:tab/>
      </w:r>
      <w:r>
        <w:rPr>
          <w:rFonts w:ascii="Times New Roman" w:hAnsi="Times New Roman"/>
          <w:sz w:val="24"/>
        </w:rPr>
        <w:t>A CR IRB táblacsoport felosztása</w:t>
      </w:r>
      <w:bookmarkEnd w:id="221"/>
      <w:bookmarkEnd w:id="222"/>
      <w:bookmarkEnd w:id="223"/>
      <w:bookmarkEnd w:id="224"/>
      <w:bookmarkEnd w:id="225"/>
      <w:bookmarkEnd w:id="226"/>
      <w:bookmarkEnd w:id="227"/>
      <w:bookmarkEnd w:id="228"/>
    </w:p>
    <w:p w14:paraId="4A3FF0C6" w14:textId="77777777" w:rsidR="001C7AB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76</w:t>
      </w:r>
      <w:r>
        <w:rPr>
          <w:noProof/>
        </w:rPr>
        <w:fldChar w:fldCharType="end"/>
      </w:r>
      <w:r w:rsidR="00C3070C">
        <w:t>.</w:t>
      </w:r>
      <w:r w:rsidR="00C3070C">
        <w:tab/>
        <w:t>A CR IRB táblacsoport hét táblából áll. A CR IRB 1 általános áttekintést nyújt az IRB-kitettségekről és a kockázattal súlyozott kitettségértékek különböző számítási módszereiről, továbbá kitettségtípusok szerint csoportosítja a teljes kitettségállományt. A CR IRB 2 a teljes kitettségállományt ügyfélkategóriák vagy -halmazok (pool) szerinti bontásban mutatja be (a CR IRB 1 0070-es sorában feltüntetett kitettségek). A CR IRB 3 mutatja be az IRB-modellek hitelkockázati tőkekövetelményének kiszámításához használt összes releváns paramétert. A CR IRB 4 az IRB módszer szerint meghatározott, kockázattal súlyozott hitelkockázati kitettségértékek változásait magyarázó kimutatást tartalmaz. A CR IRB 5 a jelentett modellekre vonatkozóan a PD-k utótesztelésének eredményeiről nyújt információt. A CR IRB 6 tartalmazza a slotting módszer szerinti speciális hitelezési kitettségek esetében a hitelkockázati tőkekövetelmények kiszámításához használt releváns paramétereket. A CR IRB 7 áttekintést nyújt a sztenderd módszer vagy az IRB módszer hatálya alá tartozó kitettségérték százalékos arányáról minden egyes releváns kitettségi osztály tekintetében. Az alábbi kitettségi osztályokra és alosztályokra vonatkozóan a CR IRB 1, CR IRB 2, CR IRB 3 és CR IRB 5 táblán külön kell adatot szolgáltatni:</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Pr>
          <w:rFonts w:ascii="Times New Roman" w:hAnsi="Times New Roman"/>
          <w:sz w:val="24"/>
        </w:rPr>
        <w:tab/>
        <w:t>Összesen</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ab/>
        <w:t>(Az Összesen táblát külön ki kell tölteni az IRB alapmódszer és a fejlett IRB módszer szerint is)</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Pr>
          <w:rFonts w:ascii="Times New Roman" w:hAnsi="Times New Roman"/>
          <w:sz w:val="24"/>
        </w:rPr>
        <w:tab/>
        <w:t xml:space="preserve">Központi kormányzatok és központi bankok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bekezdésének a) pontja.)</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Pr>
          <w:rFonts w:ascii="Times New Roman" w:hAnsi="Times New Roman"/>
          <w:sz w:val="24"/>
        </w:rPr>
        <w:tab/>
        <w:t>Intézmények</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(Az 575/2013/EU rendelet 147. cikke (2) bekezdésének b) pontja.)</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Pr>
          <w:rFonts w:ascii="Times New Roman" w:hAnsi="Times New Roman"/>
          <w:sz w:val="24"/>
        </w:rPr>
        <w:tab/>
        <w:t>Vállalkozások – kkv</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(Az 575/2013/EU rendelet 147. cikke (2) bekezdésének c) pontja.) Az ebbe az alkategóriába történő besorolás céljából az adatot szolgáltató jogalanyok a kkv-nak a belső kockázatkezelési folyamatokban alkalmazott belső fogalommeghatározását kötelesek használni.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Pr>
          <w:rFonts w:ascii="Times New Roman" w:hAnsi="Times New Roman"/>
          <w:sz w:val="24"/>
        </w:rPr>
        <w:tab/>
        <w:t>Vállalkozások – speciális hitelezés</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cikkének (8) bekezdése.)</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Pr>
          <w:rFonts w:ascii="Times New Roman" w:hAnsi="Times New Roman"/>
          <w:sz w:val="24"/>
        </w:rPr>
        <w:tab/>
        <w:t xml:space="preserve">Vállalkozások – egyéb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(Az 575/2013/EU rendelet 147. cikke (2) bekezdésének c) pontjában említett, a 4.1. és 4.2. pontban nem szereplő vállalkozásokkal szembeni kitettségek.)</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Pr>
          <w:rFonts w:ascii="Times New Roman" w:hAnsi="Times New Roman"/>
          <w:sz w:val="24"/>
        </w:rPr>
        <w:tab/>
        <w:t>Lakosság – ingatlannal fedezett (kkv)</w:t>
      </w:r>
    </w:p>
    <w:p w14:paraId="41CDE7BA" w14:textId="1935E5B6"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(Lakossággal szembeni, ingatlannal fedezett kitettségek az 575/2013/EU rendelet 147. cikke (2) bekezdésének d) pontjában említetteknek megfelelően, összefüggésben az említett rendelet 154. cikkének (3) bekezdésével.) Az ebbe az alkategóriába történő besorolás céljából az adatot szolgáltató jogalanyok a kkv-nak a belső kockázatkezelési folyamatokban alkalmazott belső fogalommeghatározását kötelesek használni.</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Pr>
          <w:rFonts w:ascii="Times New Roman" w:hAnsi="Times New Roman"/>
          <w:sz w:val="24"/>
        </w:rPr>
        <w:tab/>
        <w:t>Lakosság – ingatlannal fedezett (nem kkv)</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ingatlannal fedezett kitettségek az 575/2013/EU rendelet 147. cikke (2) bekezdésének d) pontjában említetteknek megfelelően, amelyek nem szerepelnek az 5.1. pontban.)</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 5.1. és 5.2. pontban ingatlannal fedezett lakossággal szembeni kitettségnek kell tekinteni minden biztosítékként elismert ingatlannal fedezett, lakossággal szembeni kitettséget, függetlenül a biztosíték értékének a kitettséghez viszonyított arányától vagy a hitel céljától.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Pr>
          <w:rFonts w:ascii="Times New Roman" w:hAnsi="Times New Roman"/>
          <w:sz w:val="24"/>
        </w:rPr>
        <w:tab/>
        <w:t>Lakosság – a rulírozó állományba beszámítható</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(Lakossággal szembeni kitettségek az 575/2013/EU rendelet 147. cikke (2) bekezdésének d) pontjában említetteknek megfelelően, összefüggésben az említett rendelet 154. cikkének (4) bekezdésével),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Pr>
          <w:rFonts w:ascii="Times New Roman" w:hAnsi="Times New Roman"/>
          <w:sz w:val="24"/>
        </w:rPr>
        <w:tab/>
        <w:t>Lakosság – egyéb kkv</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kitettségek az 575/2013/EU rendelet 147. cikke (2) bekezdésének d) pontjában említetteknek megfelelően, amelyek nem szerepelnek az 5.1. és az 5.3. pontban.) Az ebbe az alkategóriába történő besorolás céljából az adatot szolgáltató jogalanyok a kkv-nak a belső kockázatkezelési folyamatokban alkalmazott belső fogalommeghatározását kötelesek használni.</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Pr>
          <w:rFonts w:ascii="Times New Roman" w:hAnsi="Times New Roman"/>
          <w:sz w:val="24"/>
        </w:rPr>
        <w:tab/>
        <w:t>Lakosság – egyéb nem kkv</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kitettségek az 575/2013/EU rendelet 147. cikke (2) bekezdésének d) pontjában említetteknek megfelelően, amelyek nem szerepelnek az 5.2. és az 5.3. pontban.)</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116039913"/>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r>
        <w:rPr>
          <w:rFonts w:ascii="Times New Roman" w:hAnsi="Times New Roman"/>
          <w:sz w:val="24"/>
          <w:u w:val="none"/>
        </w:rPr>
        <w:t>3.3.3.</w:t>
      </w:r>
      <w:r>
        <w:rPr>
          <w:rFonts w:ascii="Times New Roman" w:hAnsi="Times New Roman"/>
          <w:sz w:val="24"/>
          <w:u w:val="none"/>
        </w:rPr>
        <w:tab/>
      </w:r>
      <w:r>
        <w:rPr>
          <w:rFonts w:ascii="Times New Roman" w:hAnsi="Times New Roman"/>
          <w:sz w:val="24"/>
        </w:rPr>
        <w:t>C 08.01 – Hitelkockázat, partnerkockázat és nyitva szállítások: IRB módszer szerinti tőkekövetelmény (CR IRB 1)</w:t>
      </w:r>
      <w:bookmarkEnd w:id="229"/>
      <w:bookmarkEnd w:id="230"/>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6039914"/>
      <w:r>
        <w:rPr>
          <w:rFonts w:ascii="Times New Roman" w:hAnsi="Times New Roman"/>
          <w:sz w:val="24"/>
          <w:u w:val="none"/>
        </w:rPr>
        <w:t>3.3.3.1.</w:t>
      </w:r>
      <w:r>
        <w:rPr>
          <w:rFonts w:ascii="Times New Roman" w:hAnsi="Times New Roman"/>
          <w:sz w:val="24"/>
          <w:u w:val="none"/>
        </w:rPr>
        <w:tab/>
      </w:r>
      <w:r>
        <w:rPr>
          <w:rFonts w:ascii="Times New Roman" w:hAnsi="Times New Roman"/>
          <w:sz w:val="24"/>
        </w:rPr>
        <w:t>Az egyes pozíciókra vonatkozó útmutató</w:t>
      </w:r>
      <w:bookmarkEnd w:id="231"/>
      <w:bookmarkEnd w:id="232"/>
      <w:bookmarkEnd w:id="233"/>
      <w:bookmarkEnd w:id="234"/>
      <w:bookmarkEnd w:id="235"/>
      <w:bookmarkEnd w:id="236"/>
      <w:bookmarkEnd w:id="237"/>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Oszlopok</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Útmutató</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BELSŐ MINŐSÍTÉSI SKÁLA / AZ ÜGYFÉLKATEGÓRIÁHOZ VAGY -HALMAZHOZ (POOLHOZ) RENDELT NEMTELJESÍTÉSI VALÓSZÍNŰSÉG (%)</w:t>
            </w:r>
          </w:p>
          <w:p w14:paraId="091A6478" w14:textId="05A6154C" w:rsidR="001C7AB7" w:rsidRPr="002A677E" w:rsidRDefault="001C7AB7" w:rsidP="001C7AB7">
            <w:pPr>
              <w:rPr>
                <w:rFonts w:ascii="Times New Roman" w:hAnsi="Times New Roman"/>
                <w:sz w:val="24"/>
              </w:rPr>
            </w:pPr>
            <w:r>
              <w:rPr>
                <w:rFonts w:ascii="Times New Roman" w:hAnsi="Times New Roman"/>
                <w:sz w:val="24"/>
              </w:rPr>
              <w:t>Az ügyfélkategóriához vagy -halmazhoz rendelt, feltüntetendő PD-értéket az 575/2013/EU rendelet 180. cikkében foglalt rendelkezések alapján kell megállapítani.</w:t>
            </w:r>
            <w:r>
              <w:rPr>
                <w:rStyle w:val="InstructionsTabelleText"/>
                <w:rFonts w:ascii="Times New Roman" w:hAnsi="Times New Roman"/>
                <w:sz w:val="24"/>
              </w:rPr>
              <w:t xml:space="preserve"> Az egyes ügyfélkategóriákhoz vagy -halmazokhoz rendelt PD-értéket kell feltüntetni. Az ügyfélkategóriák vagy -halmazok összesítő adataira (pl. a teljes kitettségre) vonatkozóan az összesítésbe beszámított ügyfélkategóriákhoz vagy -halmazokhoz rendelt PD-értékek kitettséggel súlyozott átlagát kell feltüntetni. </w:t>
            </w:r>
            <w:r>
              <w:rPr>
                <w:rFonts w:ascii="Times New Roman" w:hAnsi="Times New Roman"/>
                <w:sz w:val="24"/>
              </w:rPr>
              <w:t>A kitettségérték (0110-es oszlop) alapján kell kiszámítani a kitettséggel súlyozott átlagos PD értéket.</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Az egyes ügyfélkategóriákhoz vagy -halmazokhoz rendelt PD-értéket kell feltüntetni. A feltüntetett kockázati paramétereket az adott illetékes hatóság által jóváhagyott belső minősítési skálában alkalmazott kockázati paraméterekből kell származtatni.</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 xml:space="preserve">Irányadó felügyeleti skála alkalmazása nem előírás, és nem is szükséges. Ha az adatot szolgáltató intézmény egyedi minősítési skálát alkalmaz, vagy az adatszolgáltatást irányadó belső skála alapján tudja teljesíteni, akkor azt a skálát kell alkalmazni.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Egyébként a különböző minősítési skálákat a következő kritériumok alapján kell összevonni és rangsorolni: a különböző minősítési skálák ügyfélkategóriáit össze kell vonni, majd az egyes ügyfélkategóriákhoz rendelt PD-érték alapján növekvő sorrendbe kell állítani. Ha az intézmény nagyszámú ügyfélkategóriát vagy -halmazt alkalmaz, akkor adatszolgáltatási célból a kategóriák vagy -halmazok csökkentett számáról állapodhat meg az illetékes hatóságokkal. Ugyanez vonatkozik a folyamatos minősítési skálákra: esetükben is meg kell állapodni az illetékes hatóságokkal arról, hogy adatszolgáltatási célból a kategóriák száma csökkenthető.</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intézményeknek előzetesen meg kell keresniük az illetékes hatóságot akkor, ha a belső kategóriák számától eltérő számú kategóriában kívánnak adatot szolgáltatni.</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Az utolsó minősítési kategóriát vagy kategóriákat a nemteljesítő kitettségekre kell alkalmazni, melyek PD-értéke 100 %.</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Az átlagos PD-értéket a 110-es oszlopban feltüntetett kitettségértékkel kell súlyozni. A kitettséggel súlyozott átlagos PD-értéket az adott sorban feltüntetett összes kitettség figyelembevételével kell kiszámítani. Abban a sorban, ahol csak a nemteljesítő kitettségeket kell feltüntetni, az átlagos PD-érték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HITEL-EGYENÉRTÉKESÍTÉSI TÉNYEZŐK ELŐTTI EREDETI KITETTSÉG</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Az intézményeknek az értékelési korrekciók, céltartalékok, hitelkockázat-mérséklési technikákból eredő hatások és hitel-egyenértékesítési tényezők figyelembevétele előtti kitettségértéket kell feltüntetniük. </w:t>
            </w:r>
          </w:p>
          <w:p w14:paraId="62E2DA78" w14:textId="1A415447" w:rsidR="001C7AB7" w:rsidRPr="002A677E" w:rsidRDefault="001C7AB7" w:rsidP="001C7AB7">
            <w:pPr>
              <w:rPr>
                <w:rFonts w:ascii="Times New Roman" w:hAnsi="Times New Roman"/>
                <w:sz w:val="24"/>
              </w:rPr>
            </w:pPr>
            <w:r>
              <w:rPr>
                <w:rFonts w:ascii="Times New Roman" w:hAnsi="Times New Roman"/>
                <w:sz w:val="24"/>
              </w:rPr>
              <w:t>Az eredeti kitettségértéket az 575/2013/EU rendelet 24. cikkével, valamint 166. cikkének (1), (2), (4), (5), (6) és (7) bekezdésével összhangban kell megadni.</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Az 575/2013/EU rendelet 166. cikkének (3) bekezdéséből eredő hatást (mérlegen belüli nettósítás alá eső kölcsönök és betétek hatása) előre rendelkezésre bocsátott hitelkockázati fedezetként külön kell feltüntetni, így az az eredeti kitettséget nem csökkenti. </w:t>
            </w:r>
          </w:p>
          <w:p w14:paraId="500087D9" w14:textId="3FC8294F" w:rsidR="001C7AB7" w:rsidRPr="002A677E" w:rsidRDefault="006C35BA" w:rsidP="00F34382">
            <w:pPr>
              <w:rPr>
                <w:rFonts w:ascii="Times New Roman" w:hAnsi="Times New Roman"/>
                <w:sz w:val="24"/>
              </w:rPr>
            </w:pPr>
            <w:r>
              <w:rPr>
                <w:rFonts w:ascii="Times New Roman" w:hAnsi="Times New Roman"/>
                <w:sz w:val="24"/>
              </w:rPr>
              <w:t>A partnerkockázattal érintett származtatott ügyletek, repoügyletek, értékpapír- és áru-kölcsönbeadási, illetve kölcsönvételi ügyletek, hosszú kiegyenlítési idejű ügyletek és értékpapírügylethez kapcsolódó hitelek esetében (az 575/2013/EU rendelet harmadik része II. címének 4. vagy 6. fejezete) az eredeti kitettségérték a partnerkockázati kitettség értéke (lásd a 0130-as oszlophoz tartozó útmutatót).</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A hitel-egyenértékesítési tényezők előtti eredeti kitettség felosztása az 575/2013/EU rendelet 142. cikke (1) bekezdésének 4. és 5. pontjában említett szervezetek összes azon kitettségére, amelyre az említett rendelet 153. cikkének (2) bekezdése szerinti magasabb korrelációs együttható alkalmazandó.</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14:paraId="1AE12741" w14:textId="51C899BB" w:rsidR="001C7AB7" w:rsidRPr="002A677E" w:rsidRDefault="001C7AB7" w:rsidP="001C7AB7">
            <w:pPr>
              <w:rPr>
                <w:rFonts w:ascii="Times New Roman" w:hAnsi="Times New Roman"/>
                <w:sz w:val="24"/>
              </w:rPr>
            </w:pPr>
            <w:r>
              <w:rPr>
                <w:rFonts w:ascii="Times New Roman" w:hAnsi="Times New Roman"/>
                <w:sz w:val="24"/>
              </w:rPr>
              <w:lastRenderedPageBreak/>
              <w:t>Az 575/2013/EU rendelet 4. cikke (1) bekezdésének 57. pontjában meghatározott hitelkockázat-mérséklés, amely egy vagy több kitettség hitelkockázatát csökkenti a kitettségeknek az alább „A KITETTSÉG HITELKOCKÁZAT-MÉRSÉKLÉS MIATTI HELYETTESÍTÉSE” részben ismertetett helyettesítésével.</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ELŐRE NEM RENDELKEZÉSRE BOCSÁTOTT HITELKOCKÁZATI FEDEZET</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Előre nem rendelkezésre bocsátott hitelkockázati fedezet az 575/2013/EU rendelet 4. cikke (1) bekezdésének 59. pontjában meghatározottaknak megfelelően.</w:t>
            </w:r>
          </w:p>
          <w:p w14:paraId="11CF1FB5" w14:textId="77777777" w:rsidR="001C7AB7" w:rsidRPr="002A677E" w:rsidRDefault="005474CB" w:rsidP="00BD6DB9">
            <w:pPr>
              <w:rPr>
                <w:rFonts w:ascii="Times New Roman" w:hAnsi="Times New Roman"/>
                <w:sz w:val="24"/>
              </w:rPr>
            </w:pPr>
            <w:r>
              <w:rPr>
                <w:rFonts w:ascii="Times New Roman" w:hAnsi="Times New Roman"/>
                <w:sz w:val="24"/>
              </w:rPr>
              <w:t>A kitettséget befolyásoló előre nem rendelkezésre bocsátott hitelkockázati fedezet (pl. ha azt a kitettségre helyettesítési hatással járó hitelkockázat-mérséklési technikákhoz használják fel) értéke legfeljebb a kitettségérték lehet.</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GARANCIÁK:</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Ha az intézmény nem alkalmaz saját LGD-becslést: az 575/2013/EU rendelet 236. cikkének (3) bekezdésében meghatározott korrigált értéket (G</w:t>
            </w:r>
            <w:r>
              <w:rPr>
                <w:rFonts w:ascii="Times New Roman" w:hAnsi="Times New Roman"/>
                <w:sz w:val="24"/>
                <w:vertAlign w:val="subscript"/>
              </w:rPr>
              <w:t>A</w:t>
            </w:r>
            <w:r>
              <w:rPr>
                <w:rFonts w:ascii="Times New Roman" w:hAnsi="Times New Roman"/>
                <w:sz w:val="24"/>
              </w:rPr>
              <w:t>) kell megadni.</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Ha az intézmény saját LGD-becslést alkalmaz az 575/2013/EU rendelet 183. cikkének megfelelően (de e cikk (3) bekezdésének kivételével), akkor a belső modellben használt releváns értéket kell feltüntetni.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t>A garanciákat a 0040-es oszlopban kell feltüntetni akkor, ha a kiigazítás nem az LGD értékében történik. Ha a kiigazítás az LGD értékében történik, akkor a garancia összegét a 0150-es oszlopban kell feltüntetni.</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Az együttes nemteljesítésre vonatkozó eljárással érintett kitettségekre esetében az előre nem rendelkezésre bocsátott hitelkockázati fedezet értékét a 0220-as oszlopban kell megadni.</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HITELDERIVATÍVÁK:</w:t>
            </w:r>
          </w:p>
          <w:p w14:paraId="507ED484" w14:textId="1DB1C124" w:rsidR="001C7AB7" w:rsidRPr="002A677E" w:rsidRDefault="001C7AB7" w:rsidP="001C7AB7">
            <w:pPr>
              <w:rPr>
                <w:rFonts w:ascii="Times New Roman" w:hAnsi="Times New Roman"/>
                <w:sz w:val="24"/>
              </w:rPr>
            </w:pPr>
            <w:r>
              <w:rPr>
                <w:rFonts w:ascii="Times New Roman" w:hAnsi="Times New Roman"/>
                <w:sz w:val="24"/>
              </w:rPr>
              <w:t>Ha az intézmény nem alkalmaz saját LGD-becslést: az 575/2013/EU rendelet 236. cikkének (3) bekezdésében meghatározott korrigált értéket (G</w:t>
            </w:r>
            <w:r>
              <w:rPr>
                <w:rFonts w:ascii="Times New Roman" w:hAnsi="Times New Roman"/>
                <w:sz w:val="24"/>
                <w:vertAlign w:val="subscript"/>
              </w:rPr>
              <w:t>A</w:t>
            </w:r>
            <w:r>
              <w:rPr>
                <w:rFonts w:ascii="Times New Roman" w:hAnsi="Times New Roman"/>
                <w:sz w:val="24"/>
              </w:rPr>
              <w:t xml:space="preserve">) kell megadni. </w:t>
            </w:r>
          </w:p>
          <w:p w14:paraId="2CABAFD6" w14:textId="7B9012EC" w:rsidR="00785F3E" w:rsidRPr="002A677E" w:rsidRDefault="00785F3E" w:rsidP="001C7AB7">
            <w:pPr>
              <w:rPr>
                <w:rFonts w:ascii="Times New Roman" w:hAnsi="Times New Roman"/>
                <w:sz w:val="24"/>
              </w:rPr>
            </w:pPr>
            <w:r>
              <w:rPr>
                <w:rFonts w:ascii="Times New Roman" w:hAnsi="Times New Roman"/>
                <w:sz w:val="24"/>
              </w:rPr>
              <w:t>Ha az intézmény saját LGD-becslést alkalmaz az 575/2013/EU rendelet 183. cikke (3) bekezdésének megfelelően, akkor a belső modellben használt releváns értéket kell feltüntetni.</w:t>
            </w:r>
          </w:p>
          <w:p w14:paraId="51855D16" w14:textId="77777777" w:rsidR="001C7AB7" w:rsidRPr="002A677E" w:rsidRDefault="001C7AB7" w:rsidP="001C7AB7">
            <w:pPr>
              <w:rPr>
                <w:rFonts w:ascii="Times New Roman" w:hAnsi="Times New Roman"/>
                <w:sz w:val="24"/>
              </w:rPr>
            </w:pPr>
            <w:r>
              <w:rPr>
                <w:rFonts w:ascii="Times New Roman" w:hAnsi="Times New Roman"/>
                <w:sz w:val="24"/>
              </w:rPr>
              <w:t>Ha az LGD értékében kiigazítás történik, akkor a hitelderivatívák összegét a 0160-as oszlopban kell feltüntetni.</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Az együttes nemteljesítésre vonatkozó eljárással érintett kitettségekre esetében az előre nem rendelkezésre bocsátott hitelkockázati fedezet értékét a 0220-as oszlopban kell megadni.</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EGYÉB ELŐRE RENDELKEZÉSRE BOCSÁTOTT HITELKOCKÁZATI FEDEZET</w:t>
            </w:r>
          </w:p>
          <w:p w14:paraId="529EBDC4" w14:textId="77777777" w:rsidR="00785F3E" w:rsidRPr="002A677E" w:rsidRDefault="00BD6DB9" w:rsidP="001C7AB7">
            <w:pPr>
              <w:rPr>
                <w:rStyle w:val="InstructionsTabelleText"/>
                <w:rFonts w:ascii="Times New Roman" w:hAnsi="Times New Roman"/>
                <w:sz w:val="24"/>
              </w:rPr>
            </w:pPr>
            <w:r>
              <w:rPr>
                <w:rFonts w:ascii="Times New Roman" w:hAnsi="Times New Roman"/>
                <w:sz w:val="24"/>
              </w:rPr>
              <w:t>A kitettség PD-értékére hatást gyakorló biztosítékot az eredeti kitettség hitel-egyenértékesítési tényezők előtti értékében kell maximálni.</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lastRenderedPageBreak/>
              <w:t>Ha az intézmény nem alkalmaz saját LGD-becslést, akkor az 575/2013/EU rendelet 232. cikkének (1) bekezdése alkalmazandó.</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Ha az intézmény saját LGD-becslést alkalmaz, akkor a PD-re hatást gyakorló hitelkockázat-mérséklési technikákat kell megadni. A vonatkozó névértéket vagy piaci értéket kell feltüntetni.</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Ha az LGD értékében kiigazítás történik, akkor az összeget a 170-es oszlopban kell feltüntetni.</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 KITETTSÉG HITELKOCKÁZAT-MÉRSÉKLÉS MIATTI HELYETTESÍTÉSE</w:t>
            </w:r>
          </w:p>
          <w:p w14:paraId="47306796" w14:textId="77777777" w:rsidR="001C7AB7" w:rsidRPr="002A677E" w:rsidRDefault="001C7AB7" w:rsidP="001C7AB7">
            <w:pPr>
              <w:rPr>
                <w:rFonts w:ascii="Times New Roman" w:hAnsi="Times New Roman"/>
                <w:sz w:val="24"/>
              </w:rPr>
            </w:pPr>
            <w:r>
              <w:rPr>
                <w:rFonts w:ascii="Times New Roman" w:hAnsi="Times New Roman"/>
                <w:sz w:val="24"/>
              </w:rPr>
              <w:t>A kiáramlások értéke megegyezik a hitel-egyenértékesítési tényezők előtti eredeti kitettség fedezett részével, amelyet a kötelezett kitettségi osztályából, illetve adott esetben ügyfélkategóriájából vagy -halmazából való levonást követően a garantőr kitettségi osztályába, illetve adott esetben ügyfélkategóriájába vagy -halmazába kell sorolni. Ezt az összeget a garantőr kitettségi osztályába, illetve adott esetben ügyfélkategóriájába vagy -halmazába irányuló beáramlásnak kell tekinteni.</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Az azonos kitettségi osztályba, illetve adott esetben ügyfélkategóriába vagy -halmazba tartozó be- és kiáramlásokat szintén figyelembe kell venni.</w:t>
            </w:r>
          </w:p>
          <w:p w14:paraId="2EAF7A59" w14:textId="77777777" w:rsidR="001C7AB7" w:rsidRPr="002A677E" w:rsidRDefault="001C7AB7" w:rsidP="001C7AB7">
            <w:pPr>
              <w:rPr>
                <w:rFonts w:ascii="Times New Roman" w:hAnsi="Times New Roman"/>
                <w:sz w:val="24"/>
              </w:rPr>
            </w:pPr>
            <w:r>
              <w:rPr>
                <w:rFonts w:ascii="Times New Roman" w:hAnsi="Times New Roman"/>
                <w:sz w:val="24"/>
              </w:rPr>
              <w:t>Figyelembe kell venni az egyéb táblákhoz kapcsolódó esetleges ki- és beáramlásokból eredő kitettségeket is.</w:t>
            </w:r>
          </w:p>
          <w:p w14:paraId="1CF5670D" w14:textId="7A3AA572" w:rsidR="006C35BA" w:rsidRPr="002A677E" w:rsidRDefault="006C35BA" w:rsidP="009A4399">
            <w:pPr>
              <w:rPr>
                <w:rFonts w:ascii="Times New Roman" w:hAnsi="Times New Roman"/>
                <w:sz w:val="24"/>
              </w:rPr>
            </w:pPr>
            <w:r>
              <w:rPr>
                <w:rFonts w:ascii="Times New Roman" w:hAnsi="Times New Roman"/>
                <w:sz w:val="24"/>
              </w:rPr>
              <w:t>Ezek az oszlopok csak akkor használhatók, ha az intézmények engedélyt kaptak az illetékes hatóságuktól arra, hogy ezeket a fedezett kitettségeket az 575/2013/EU rendelet 150. cikkével összhangban a tartós mentesítés alapján a sztenderd módszerrel kezeljék, vagy hogy a kitettségeket a garantőr jellemzői szerint sorolják be a kitettségi osztályokba.</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14:paraId="2832BD0C" w14:textId="77777777" w:rsidR="001C7AB7" w:rsidRPr="002A677E" w:rsidRDefault="001C7AB7" w:rsidP="001C7AB7">
            <w:pPr>
              <w:rPr>
                <w:rFonts w:ascii="Times New Roman" w:hAnsi="Times New Roman"/>
                <w:sz w:val="24"/>
              </w:rPr>
            </w:pPr>
            <w:r>
              <w:rPr>
                <w:rFonts w:ascii="Times New Roman" w:hAnsi="Times New Roman"/>
                <w:sz w:val="24"/>
              </w:rPr>
              <w:t>A megfelelő ügyfélkategóriába vagy -halmazba, illetve kitettségi osztályba sorolt kitettségérték a kitettségre helyettesítési hatással járó hitelkockázat-mérséklési technikák miatti ki- és beáramlások figyelembevétele után.</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Ebből: Mérlegen kívüli tételek </w:t>
            </w:r>
          </w:p>
          <w:p w14:paraId="6C35CF48" w14:textId="77777777" w:rsidR="001C7AB7" w:rsidRPr="002A677E" w:rsidRDefault="001C7AB7" w:rsidP="001C7AB7">
            <w:pPr>
              <w:rPr>
                <w:rFonts w:ascii="Times New Roman" w:hAnsi="Times New Roman"/>
                <w:sz w:val="24"/>
              </w:rPr>
            </w:pPr>
            <w:r>
              <w:rPr>
                <w:rFonts w:ascii="Times New Roman" w:hAnsi="Times New Roman"/>
                <w:sz w:val="24"/>
              </w:rPr>
              <w:t>Lásd a CR SA táblához tartozó útmutatót.</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KITETTSÉGÉRTÉK</w:t>
            </w:r>
          </w:p>
          <w:p w14:paraId="53CB4935" w14:textId="55E582E8" w:rsidR="001C7AB7" w:rsidRPr="002A677E" w:rsidRDefault="001C7AB7" w:rsidP="001C7AB7">
            <w:pPr>
              <w:rPr>
                <w:rFonts w:ascii="Times New Roman" w:hAnsi="Times New Roman"/>
                <w:sz w:val="24"/>
              </w:rPr>
            </w:pPr>
            <w:r>
              <w:rPr>
                <w:rFonts w:ascii="Times New Roman" w:hAnsi="Times New Roman"/>
                <w:sz w:val="24"/>
              </w:rPr>
              <w:t>Az 575/2013/EU rendelet 166. cikkének, valamint 230. cikke (1) bekezdése második mondatának megfelelően meghatározott kitettségértékeket kell feltüntetni.</w:t>
            </w:r>
          </w:p>
          <w:p w14:paraId="38C4611A" w14:textId="05973175" w:rsidR="001C7AB7" w:rsidRPr="002A677E" w:rsidRDefault="001C7AB7" w:rsidP="001C7AB7">
            <w:pPr>
              <w:rPr>
                <w:rFonts w:ascii="Times New Roman" w:hAnsi="Times New Roman"/>
                <w:sz w:val="24"/>
              </w:rPr>
            </w:pPr>
            <w:r>
              <w:rPr>
                <w:rFonts w:ascii="Times New Roman" w:hAnsi="Times New Roman"/>
                <w:sz w:val="24"/>
              </w:rPr>
              <w:t>Az I. mellékletben említett instrumentumok esetében az 575/2013/EU rendelet 166. cikkének (8)–(10) bekezdése szerinti hitel-egyenértékesítési tényezőket és százalékos arányokat kell alkalmazni, függetlenül az intézmény által választott módszertől.</w:t>
            </w:r>
          </w:p>
          <w:p w14:paraId="60CDFD08" w14:textId="77777777" w:rsidR="001C7AB7" w:rsidRPr="002A677E" w:rsidRDefault="008D24A6" w:rsidP="00BD6DB9">
            <w:pPr>
              <w:rPr>
                <w:rFonts w:ascii="Times New Roman" w:hAnsi="Times New Roman"/>
                <w:sz w:val="24"/>
              </w:rPr>
            </w:pPr>
            <w:r>
              <w:rPr>
                <w:rFonts w:ascii="Times New Roman" w:hAnsi="Times New Roman"/>
                <w:sz w:val="24"/>
              </w:rPr>
              <w:t>A partnerkockázattal érintett kitettségek értékeinek meg kell egyezniük a 0130-es oszlopban megadott értékekkel.</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Ebből: Partnerkockázatból származó </w:t>
            </w:r>
          </w:p>
          <w:p w14:paraId="50E90EFC" w14:textId="77777777" w:rsidR="001C7AB7" w:rsidRPr="002A677E" w:rsidRDefault="001C7AB7" w:rsidP="00FD6CCB">
            <w:pPr>
              <w:rPr>
                <w:rFonts w:ascii="Times New Roman" w:hAnsi="Times New Roman"/>
                <w:sz w:val="24"/>
              </w:rPr>
            </w:pPr>
            <w:r>
              <w:rPr>
                <w:rFonts w:ascii="Times New Roman" w:hAnsi="Times New Roman"/>
                <w:sz w:val="24"/>
              </w:rPr>
              <w:t>Lásd a megfelelő CR SA útmutatást a 0210-es oszlopban.</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lastRenderedPageBreak/>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Az 575/2013/EU rendelet 142. cikke (1) bekezdésének 4. és 5. pontjában említett szervezetekkel szembeni összes azon kitettség értékének bontása, amelyre az említett rendelet 153. cikkének (2) bekezdése szerint meghatározott magasabb korrelációs együttható alkalmazandó.</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AZ LGD-BECSLÉSEK SORÁN FIGYELEMBE VETT HITELKOCKÁZAT-MÉRSÉKLÉSI TECHNIKÁK, KIVÉVE AZ EGYÜTTES NEMTELJESÍTÉSRE VONATKOZÓ ELJÁRÁST</w:t>
            </w:r>
          </w:p>
          <w:p w14:paraId="4FF0DBDD" w14:textId="5588DE12" w:rsidR="001C7AB7" w:rsidRDefault="001C7AB7" w:rsidP="001C7AB7">
            <w:pPr>
              <w:rPr>
                <w:rFonts w:ascii="Times New Roman" w:hAnsi="Times New Roman"/>
                <w:sz w:val="24"/>
              </w:rPr>
            </w:pPr>
            <w:r>
              <w:rPr>
                <w:rFonts w:ascii="Times New Roman" w:hAnsi="Times New Roman"/>
                <w:sz w:val="24"/>
              </w:rPr>
              <w:t>Ezekben az oszlopokban nem tüntethetők fel azok a hitelkockázat-mérséklési technikák, amelyek e technikák helyettesítési hatásának alkalmazásából adódóan befolyásolják az LGD-becsléseket.</w:t>
            </w:r>
          </w:p>
          <w:p w14:paraId="7EBC4781" w14:textId="1CF04A4B" w:rsidR="004D4BDB" w:rsidRPr="002A677E" w:rsidRDefault="004D4BDB" w:rsidP="001C7AB7">
            <w:pPr>
              <w:rPr>
                <w:rFonts w:ascii="Times New Roman" w:hAnsi="Times New Roman"/>
                <w:sz w:val="24"/>
              </w:rPr>
            </w:pPr>
            <w:r>
              <w:rPr>
                <w:rFonts w:ascii="Times New Roman" w:hAnsi="Times New Roman"/>
                <w:sz w:val="24"/>
              </w:rPr>
              <w:t>A feltüntetett biztosítéki értéket a kitettségértékben kell maximálni.</w:t>
            </w:r>
          </w:p>
          <w:p w14:paraId="662F81E1" w14:textId="700B78EC" w:rsidR="001C7AB7" w:rsidRPr="002A677E" w:rsidRDefault="00C61FF5" w:rsidP="001C7AB7">
            <w:pPr>
              <w:rPr>
                <w:rFonts w:ascii="Times New Roman" w:hAnsi="Times New Roman"/>
                <w:sz w:val="24"/>
              </w:rPr>
            </w:pPr>
            <w:r>
              <w:rPr>
                <w:rFonts w:ascii="Times New Roman" w:hAnsi="Times New Roman"/>
                <w:sz w:val="24"/>
              </w:rPr>
              <w:t>Ha az intézmény nem alkalmaz saját LGD-becslést: az 575/2013/EU rendelet 228. cikkének (2) bekezdését, 230. cikkének (1) és (2) bekezdését, valamint 231. cikkét kell figyelembe venni.</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Ha az intézmény saját LGD-becslést alkalmaz: </w:t>
            </w:r>
          </w:p>
          <w:p w14:paraId="718750A6" w14:textId="21523390" w:rsidR="001C7AB7" w:rsidRPr="002A677E" w:rsidRDefault="001C7AB7" w:rsidP="001C7AB7">
            <w:pPr>
              <w:rPr>
                <w:rFonts w:ascii="Times New Roman" w:hAnsi="Times New Roman"/>
                <w:sz w:val="24"/>
              </w:rPr>
            </w:pPr>
            <w:r>
              <w:rPr>
                <w:rFonts w:ascii="Times New Roman" w:hAnsi="Times New Roman"/>
                <w:sz w:val="24"/>
              </w:rPr>
              <w:t>Az előre nem rendelkezésre bocsátott hitelkockázati fedezetet illetően a központi kormányzattal, központi bankkal, intézményekkel és vállalkozásokkal szembeni kitettségek esetében az 575/2013/EU rendelet 161. cikkének (3) bekezdését kell figyelembe venni. Lakossággal szembeni kitettségek esetében az 575/2013/EU rendelet 164. cikkének (2) bekezdését kell figyelembe venni.</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Az előre rendelkezésre bocsátott hitelkockázati fedezetet illetően az LGD-becslés során az 575/2013/EU rendelet 181. cikke (1) bekezdésének e) és f) pontjának megfelelően a biztosítékot kell figyelembe venni.</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GARANCIÁK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Lásd a 0040-es oszlopra vonatkozó útmutatást.</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HITELDERIVATÍVÁK </w:t>
            </w:r>
          </w:p>
          <w:p w14:paraId="33CD18C5" w14:textId="77777777" w:rsidR="001C7AB7" w:rsidRPr="002A677E" w:rsidRDefault="001C7AB7" w:rsidP="001C7AB7">
            <w:pPr>
              <w:rPr>
                <w:rFonts w:ascii="Times New Roman" w:hAnsi="Times New Roman"/>
                <w:sz w:val="24"/>
              </w:rPr>
            </w:pPr>
            <w:r>
              <w:rPr>
                <w:rFonts w:ascii="Times New Roman" w:hAnsi="Times New Roman"/>
                <w:sz w:val="24"/>
              </w:rPr>
              <w:t>Lásd a 0050-es oszlopra vonatkozó útmutatást.</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SAJÁT LGD-BECSLÉS ALKALMAZÁSA: EGYÉB ELŐRE RENDELKEZÉSRE BOCSÁTOTT HITELKOCKÁZATI FEDEZET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 belső modelljében alkalmazott vonatkozó érték.</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Az 575/2013/EU rendelet 212. cikkében megadott kritériumokat teljesítő hitelkockázat-mérséklő eszközök.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KÉSZPÉNZLETÉT</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Az 575/2013/EU rendelet 200. cikkének a) pontja.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Harmadik fél intézménynél nem letétkezelői megállapodás révén, a hitelnyújtó intézmény zálogjogával terhelten elhelyezett készpénzbetét vagy készpénzjellegű instrumentum. A </w:t>
            </w:r>
            <w:r>
              <w:rPr>
                <w:rFonts w:ascii="Times New Roman" w:hAnsi="Times New Roman"/>
                <w:sz w:val="24"/>
              </w:rPr>
              <w:lastRenderedPageBreak/>
              <w:t>biztosíték feltüntetett értéke nem haladhatja meg az egyedi kitettség szintjén fennálló kitettség értékét.</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lastRenderedPageBreak/>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ÉLETBIZTOSÍTÁSI KÖTVÉNYEK</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Az 575/2013/EU rendelet 200. cikkének b) pontja.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A biztosíték feltüntetett értéke nem haladhatja meg az egyedi kitettség szintjén fennálló kitettség értékét.</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HARMADIK FÉL ÁLTAL BIRTOKOLT INSTRUMENTUMOK</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Az 575/2013/EU rendelet 200. cikkének c) pontja.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Ez magában foglalja egy harmadik fél intézmény által kibocsátott értékpapírokat, amelyeket felszólításra az adott intézmény visszavásárol. A biztosíték feltüntetett értéke nem haladhatja meg az egyedi kitettség szintjén fennálló kitettség értékét. Ebbe az oszlopba nem tartoznak bele azok a harmadik fél által tartott instrumentumokkal fedezett kitettségek, amelyek esetében az intézmények az 575/2013/EU rendelet 232. cikkének (4) bekezdésével összhangban az említett rendelet 200. cikkének c) pontja szerint elismert, felszólításra visszavásárolt instrumentumokat a kibocsátó intézmény garanciájaként kezelik.</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ELISMERT PÉNZÜGYI BIZTOSÍTÉKOK</w:t>
            </w:r>
          </w:p>
          <w:p w14:paraId="23BB1AF5" w14:textId="5AC997A1" w:rsidR="008D24A6" w:rsidRPr="002A677E" w:rsidRDefault="008D24A6" w:rsidP="008D24A6">
            <w:pPr>
              <w:rPr>
                <w:rFonts w:ascii="Times New Roman" w:hAnsi="Times New Roman"/>
                <w:sz w:val="24"/>
              </w:rPr>
            </w:pPr>
            <w:r>
              <w:rPr>
                <w:rFonts w:ascii="Times New Roman" w:hAnsi="Times New Roman"/>
                <w:sz w:val="24"/>
              </w:rPr>
              <w:t>Kereskedési könyvben nyilvántartott műveletek esetében a tétel az 575/2013/EU rendelet 299. cikke (2) bekezdésének c)–f) pontja alapján a kereskedési könyvi kitettségekre vonatkozóan elismert pénzügyi instrumentumokat és árukat foglalja magában. A hitelkockázati eseményhez kapcsolt értékpapírokat és mérlegen belüli nettósítási pozíciókat az 575/2013/EU rendelet harmadik része II. címe 4. fejezetének 4. szakasza alapján készpénzbiztosítékként kell kezelni.</w:t>
            </w:r>
          </w:p>
          <w:p w14:paraId="5C05E9AA" w14:textId="279E5F64" w:rsidR="008D24A6" w:rsidRPr="002A677E" w:rsidRDefault="008D24A6" w:rsidP="008D24A6">
            <w:pPr>
              <w:rPr>
                <w:rFonts w:ascii="Times New Roman" w:hAnsi="Times New Roman"/>
                <w:sz w:val="24"/>
              </w:rPr>
            </w:pPr>
            <w:r>
              <w:rPr>
                <w:rFonts w:ascii="Times New Roman" w:hAnsi="Times New Roman"/>
                <w:sz w:val="24"/>
              </w:rPr>
              <w:t>Amennyiben az intézmény nem alkalmaz saját LGD-becslést, az 575/2013/EU rendelet 197. cikke szerinti elismert pénzügyi biztosíték esetében az említett rendelet 223. cikkének (2) bekezdése szerinti kiigazított értéket (Cvam) kell feltüntetni.</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Ha az intézmény saját LGD-becslést alkalmaz, az LGD-becslés során a pénzügyi biztosítékot az 575/2013/EU rendelet 181. cikke (1) bekezdésének e) és f) pontja szerint kell figyelembe venni. A feltüntetendő érték a biztosíték becsült piaci értéke.</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EGYÉB ELISMERT BIZTOSÍTÉK</w:t>
            </w:r>
          </w:p>
          <w:p w14:paraId="399B667C" w14:textId="61D58B7E" w:rsidR="008D24A6" w:rsidRPr="002A677E" w:rsidRDefault="008D24A6" w:rsidP="008D24A6">
            <w:pPr>
              <w:rPr>
                <w:rFonts w:ascii="Times New Roman" w:hAnsi="Times New Roman"/>
                <w:sz w:val="24"/>
              </w:rPr>
            </w:pPr>
            <w:r>
              <w:rPr>
                <w:rFonts w:ascii="Times New Roman" w:hAnsi="Times New Roman"/>
                <w:sz w:val="24"/>
              </w:rPr>
              <w:t>Ha az intézmény nem alkalmaz saját LGD-becslést, az értékeket az 575/2013/EU rendelet 199. cikkének (1)–(8) bekezdése, valamint 229. cikke szerint kell meghatározni.</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Ha az intézmény saját LGD-becslést alkalmaz, az LGD-becslés során az egyéb biztosítékot az 575/2013/EU rendelet 181. cikke (1) bekezdésének e) és f) pontja szerint kell figyelembe venni.</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INGATLAN</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Ha az intézmény nem alkalmaz saját LGD-becslést, az értékeket az 575/2013/EU rendelet 199. cikkének (2)–(4) bekezdése szerint kell meghatározni és ebben az oszlopban kell feltüntetni. Be kell számítani az ingatlan lízingbe adását is (lásd az 575/2013/EU rendelet 199. cikkének (7) bekezdését). Lásd az 575/2013/EU rendelet 229. cikkét is.</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Ha az intézmény saját LGD-becslést alkalmaz, akkor a feltüntetendő érték a becsült piaci érték.</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lastRenderedPageBreak/>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EGYÉB DOLOGI BIZTOSÍTÉKOK</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Ha az intézmény nem alkalmaz saját LGD-becslést, az értékeket az 575/2013/EU rendelet 199. cikkének (6)–(8) bekezdése szerint kell meghatározni és ebben az oszlopban kell feltüntetni. Be kell számítani az ingatlanon kívüli vagyontárgyak lízingbe adását is (lásd az 575/2013/EU rendelet 199. cikkének (7) bekezdését). Lásd még az 575/2013/EU rendelet 229. cikkének (3) bekezdését.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KÖVETELÉSEK</w:t>
            </w:r>
          </w:p>
          <w:p w14:paraId="70D4F809" w14:textId="1687C377" w:rsidR="008D24A6" w:rsidRPr="002A677E" w:rsidRDefault="008D24A6" w:rsidP="008D24A6">
            <w:pPr>
              <w:rPr>
                <w:rFonts w:ascii="Times New Roman" w:hAnsi="Times New Roman"/>
                <w:sz w:val="24"/>
              </w:rPr>
            </w:pPr>
            <w:r>
              <w:rPr>
                <w:rFonts w:ascii="Times New Roman" w:hAnsi="Times New Roman"/>
                <w:sz w:val="24"/>
              </w:rPr>
              <w:t>Ha az intézmény nem alkalmaz saját LGD-becslést, az értékeket az 575/2013/EU rendelet 199. cikkének (5) bekezdése és 229. cikke (2) bekezdése szerint kell meghatározni és ebben az oszlopban kell feltüntetni.</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EGYÜTTES NEMTELJESÍTÉSRE VONATKOZÓ ELJÁRÁS: ELŐRE NEM RENDELKEZÉSRE BOCSÁTOTT HITELKOCKÁZATI FEDEZET</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Az együttes nemteljesítésre vonatkozó eljárással érintett kitettségeket fedező garanciák és hitelderivatívák az 575/2013/EU rendelet 153. cikke (3) bekezdésének megfelelően, valamint az említett rendelet 202. cikkének és 217. cikke (1) bekezdésének figyelembevételével. </w:t>
            </w:r>
          </w:p>
          <w:p w14:paraId="5DA498E9" w14:textId="77777777" w:rsidR="008D24A6" w:rsidRPr="002A677E" w:rsidRDefault="008D24A6" w:rsidP="008D24A6">
            <w:pPr>
              <w:rPr>
                <w:rFonts w:ascii="Times New Roman" w:hAnsi="Times New Roman"/>
                <w:b/>
                <w:sz w:val="24"/>
                <w:u w:val="single"/>
              </w:rPr>
            </w:pPr>
            <w:r>
              <w:rPr>
                <w:rFonts w:ascii="Times New Roman" w:hAnsi="Times New Roman"/>
                <w:sz w:val="24"/>
              </w:rPr>
              <w:t xml:space="preserve">A feltüntetendő értékek nem haladhatják meg a megfelelő kitettségek értékét.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KITETTSÉGGEL SÚLYOZOTT ÁTLAGOS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Figyelembe kell venni a hitelkockázat-mérséklési technikáknak az LGD-értékekre gyakorolt, az 575/2013/EU rendelet harmadik része II. címe 3. és 4. fejezetében meghatározott teljes hatását. Az együttes nemteljesítésre vonatkozó eljárással érintett kitettségek esetében a feltüntetendő LGD az 575/2013/EU rendelet 161. cikkének (4) bekezdése alapján kiválasztott LGD-nek felel meg.</w:t>
            </w:r>
          </w:p>
          <w:p w14:paraId="5CB58587" w14:textId="34854C18" w:rsidR="008D24A6" w:rsidRPr="002A677E" w:rsidRDefault="008D24A6" w:rsidP="008D24A6">
            <w:pPr>
              <w:rPr>
                <w:rFonts w:ascii="Times New Roman" w:hAnsi="Times New Roman"/>
                <w:sz w:val="24"/>
              </w:rPr>
            </w:pPr>
            <w:r>
              <w:rPr>
                <w:rFonts w:ascii="Times New Roman" w:hAnsi="Times New Roman"/>
                <w:sz w:val="24"/>
              </w:rPr>
              <w:t>Nemteljesítő kitettségek esetében az 575/2013/EU rendelet 181. cikke (1) bekezdésének h) pontját kell figyelembe venni.</w:t>
            </w:r>
          </w:p>
          <w:p w14:paraId="3AD06EE0" w14:textId="77777777" w:rsidR="008D24A6" w:rsidRPr="002A677E" w:rsidRDefault="008D24A6" w:rsidP="008D24A6">
            <w:pPr>
              <w:rPr>
                <w:rFonts w:ascii="Times New Roman" w:hAnsi="Times New Roman"/>
                <w:sz w:val="24"/>
              </w:rPr>
            </w:pPr>
            <w:r>
              <w:rPr>
                <w:rFonts w:ascii="Times New Roman" w:hAnsi="Times New Roman"/>
                <w:sz w:val="24"/>
              </w:rPr>
              <w:t>A 0110-es oszlopban említett kitettségérték alapján kell kiszámítani a kitettséggel súlyozott átlagokat.</w:t>
            </w:r>
          </w:p>
          <w:p w14:paraId="693A5141" w14:textId="396DE32D" w:rsidR="008D24A6" w:rsidRPr="002A677E" w:rsidRDefault="008D24A6" w:rsidP="008D24A6">
            <w:pPr>
              <w:rPr>
                <w:rFonts w:ascii="Times New Roman" w:hAnsi="Times New Roman"/>
                <w:sz w:val="24"/>
              </w:rPr>
            </w:pPr>
            <w:r>
              <w:rPr>
                <w:rFonts w:ascii="Times New Roman" w:hAnsi="Times New Roman"/>
                <w:sz w:val="24"/>
              </w:rPr>
              <w:t>Minden hatást figyelembe kell venni (így az 575/2013/EU rendelet 164. cikkének (4) bekezdésével összhangban az ingatlannal fedezett kitettségekre alkalmazandó alsó korlát hatásait bele kell foglalni az adatszolgáltatásba).</w:t>
            </w:r>
          </w:p>
          <w:p w14:paraId="7D4C0832" w14:textId="47B10BBD" w:rsidR="008D24A6" w:rsidRPr="002A677E" w:rsidRDefault="008D24A6" w:rsidP="008D24A6">
            <w:pPr>
              <w:rPr>
                <w:rFonts w:ascii="Times New Roman" w:hAnsi="Times New Roman"/>
                <w:sz w:val="24"/>
              </w:rPr>
            </w:pPr>
            <w:r>
              <w:rPr>
                <w:rFonts w:ascii="Times New Roman" w:hAnsi="Times New Roman"/>
                <w:sz w:val="24"/>
              </w:rPr>
              <w:t>Az IRB módszert alkalmazó, de saját LGD-becslést nem használó intézményeknél a pénzügyi biztosítékok kockázatmérséklő hatásait a kitettség teljes mértékben korrigált értéke (E*) tükrözi, majd azok az 575/2013/EU rendelet 228. cikkének (2) bekezdésében említett LGD*-értékben is megjelennek.</w:t>
            </w:r>
          </w:p>
          <w:p w14:paraId="68E36158" w14:textId="77777777" w:rsidR="008D24A6" w:rsidRPr="002A677E" w:rsidRDefault="008D24A6" w:rsidP="008D24A6">
            <w:pPr>
              <w:rPr>
                <w:rFonts w:ascii="Times New Roman" w:hAnsi="Times New Roman"/>
                <w:sz w:val="24"/>
              </w:rPr>
            </w:pPr>
            <w:r>
              <w:rPr>
                <w:rFonts w:ascii="Times New Roman" w:hAnsi="Times New Roman"/>
                <w:sz w:val="24"/>
              </w:rPr>
              <w:t>Az egyes PD-ügyfélkategóriákhoz vagy -halmazokhoz tartozó, kitettséggel súlyozott átlagos LGD az adott PD-kategóriához vagy -halmazhoz kapcsolt prudenciális LGD-értékeknek a 0110-es oszlop vonatkozó kitettségértékével súlyozott átlaga.</w:t>
            </w:r>
          </w:p>
          <w:p w14:paraId="761A5E7B" w14:textId="31F4A8A3" w:rsidR="008D24A6" w:rsidRPr="002A677E" w:rsidRDefault="008D24A6" w:rsidP="008D24A6">
            <w:pPr>
              <w:rPr>
                <w:rFonts w:ascii="Times New Roman" w:hAnsi="Times New Roman"/>
                <w:sz w:val="24"/>
              </w:rPr>
            </w:pPr>
            <w:r>
              <w:rPr>
                <w:rFonts w:ascii="Times New Roman" w:hAnsi="Times New Roman"/>
                <w:sz w:val="24"/>
              </w:rPr>
              <w:lastRenderedPageBreak/>
              <w:t>Ha az intézmény saját LGD-becslést alkalmaz, akkor figyelembe kell venni az 575/2013/EU rendelet 175. cikkét, valamint 181. cikkének (1) és (2) bekezdését.</w:t>
            </w:r>
          </w:p>
          <w:p w14:paraId="6CA79C00" w14:textId="11F64D09" w:rsidR="008D24A6" w:rsidRPr="002A677E" w:rsidRDefault="008D24A6" w:rsidP="008D24A6">
            <w:pPr>
              <w:rPr>
                <w:rFonts w:ascii="Times New Roman" w:hAnsi="Times New Roman"/>
                <w:sz w:val="24"/>
              </w:rPr>
            </w:pPr>
            <w:r>
              <w:rPr>
                <w:rFonts w:ascii="Times New Roman" w:hAnsi="Times New Roman"/>
                <w:sz w:val="24"/>
              </w:rPr>
              <w:t>Az együttes nemteljesítésre vonatkozó eljárással érintett kitettségek esetében a feltüntetendő LGD az 575/2013/EU rendelet 161. cikkének (4) bekezdése alapján kiválasztott LGD-nek felel meg.</w:t>
            </w:r>
          </w:p>
          <w:p w14:paraId="7518ADFF" w14:textId="77777777" w:rsidR="008D24A6" w:rsidRPr="002A677E" w:rsidRDefault="008D24A6" w:rsidP="008D24A6">
            <w:pPr>
              <w:rPr>
                <w:rFonts w:ascii="Times New Roman" w:hAnsi="Times New Roman"/>
                <w:sz w:val="24"/>
              </w:rPr>
            </w:pPr>
            <w:r>
              <w:rPr>
                <w:rFonts w:ascii="Times New Roman" w:hAnsi="Times New Roman"/>
                <w:sz w:val="24"/>
              </w:rPr>
              <w:t>A kitettséggel súlyozott átlagos LGD-értéket az adott illetékes hatóság által jóváhagyott belső minősítési skálában ténylegesen alkalmazott kockázati paraméterekből kell származtatni.</w:t>
            </w:r>
          </w:p>
          <w:p w14:paraId="4ED81588" w14:textId="30F60140" w:rsidR="008D24A6" w:rsidRPr="002A677E" w:rsidRDefault="008D24A6" w:rsidP="008D24A6">
            <w:pPr>
              <w:rPr>
                <w:rFonts w:ascii="Times New Roman" w:hAnsi="Times New Roman"/>
                <w:sz w:val="24"/>
              </w:rPr>
            </w:pPr>
            <w:r>
              <w:rPr>
                <w:rFonts w:ascii="Times New Roman" w:hAnsi="Times New Roman"/>
                <w:sz w:val="24"/>
              </w:rPr>
              <w:t>Az adatszolgáltatás nem terjed ki az 575/2013/EU rendelet 153. cikkének (5) bekezdésében említett speciális hitelezési kitettségekre. Amennyiben a PD-értéket speciális hitelezési kitettségekre becsülik, az adatokat az LGD-kre vonatkozó saját becslések vagy a szabályozói LGD-k alapján kell megadni.</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A 0230-as oszlop számításakor nem vehetők figyelembe a nagy méretű szabályozott pénzügyi ágazatbeli szervezetek, valamint a nem szabályozott pénzügyi ágazatbeli szervezetek kitettségei és az azokhoz kapcsolódó LGD-értékek, ezek kizárólag a 0240-es oszlop kiszámításánál vehetők figyelembe.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NAGY MÉRETŰ PÉNZÜGYI ÁGAZATBELI SZERVEZETEK ÉS NEM SZABÁLYOZOTT PÉNZÜGYI ÁGAZATBELI SZERVEZETEK KITETTSÉGGEL SÚLYOZOTT ÁTLAGOS LGD-ÉRTÉKE (%)</w:t>
            </w:r>
          </w:p>
          <w:p w14:paraId="67234E4F" w14:textId="3B5F16CF" w:rsidR="008D24A6" w:rsidRPr="002A677E" w:rsidRDefault="008D24A6" w:rsidP="00AD7567">
            <w:pPr>
              <w:rPr>
                <w:rFonts w:ascii="Times New Roman" w:hAnsi="Times New Roman"/>
                <w:sz w:val="24"/>
              </w:rPr>
            </w:pPr>
            <w:r>
              <w:rPr>
                <w:rFonts w:ascii="Times New Roman" w:hAnsi="Times New Roman"/>
                <w:sz w:val="24"/>
              </w:rPr>
              <w:t>Kitettséggel súlyozott átlagos LGD-érték (%) az 575/2013/EU rendelet 142. cikke (1) bekezdésének 4. pontjában meghatározott nagy méretű pénzügyi ágazatbeli szervezetekkel, valamint az 575/2013/EU rendelet 142. cikke (1) bekezdése 5. pontjában meghatározott nem szabályozott pénzügyi ágazatbeli szervezetekkel szembeni összes azon kitettségre vonatkozóan, amelyre az az 575/2013/EU rendelet 153. cikkének (2) bekezdése szerint meghatározott magasabb korrelációs együttható alkalmazandó.</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KITETTSÉGGEL SÚLYOZOTT ÁTLAGOS LEJÁRATI ÉRTÉK (NAP)</w:t>
            </w:r>
          </w:p>
          <w:p w14:paraId="1C9B3946" w14:textId="49FAD5EB" w:rsidR="008D24A6" w:rsidRPr="002A677E" w:rsidRDefault="008D24A6" w:rsidP="008D24A6">
            <w:pPr>
              <w:rPr>
                <w:rFonts w:ascii="Times New Roman" w:hAnsi="Times New Roman"/>
                <w:sz w:val="24"/>
              </w:rPr>
            </w:pPr>
            <w:r>
              <w:rPr>
                <w:rFonts w:ascii="Times New Roman" w:hAnsi="Times New Roman"/>
                <w:sz w:val="24"/>
              </w:rPr>
              <w:t>A feltüntetendő értéket az 575/2013/EU rendelet 162. cikkének megfelelően kell meghatározni. A kitettségérték (0110-es oszlop) alapján kell kiszámítani a kitettséggel súlyozott átlagokat. Az átlagos lejáratot napban kell megadni.</w:t>
            </w:r>
          </w:p>
          <w:p w14:paraId="09F102FB" w14:textId="77777777" w:rsidR="008D24A6" w:rsidRPr="002A677E" w:rsidRDefault="008D24A6" w:rsidP="008D24A6">
            <w:pPr>
              <w:rPr>
                <w:rFonts w:ascii="Times New Roman" w:hAnsi="Times New Roman"/>
                <w:sz w:val="24"/>
              </w:rPr>
            </w:pPr>
            <w:r>
              <w:rPr>
                <w:rFonts w:ascii="Times New Roman" w:hAnsi="Times New Roman"/>
                <w:sz w:val="24"/>
              </w:rPr>
              <w:t>Ez az adat nem adható meg olyan kitettségérték esetén, amelynél a lejáratot nem veszik figyelembe a kockázattal súlyozott kitettségérték kiszámításakor. Ez azt jelenti, hogy az oszlop a „lakosság” kitettségi osztályra vonatkozóan nem tölthető ki.</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 SZORZÓK ELŐTTI, KOCKÁZATTAL SÚLYOZOTT KITETTSÉGÉRTÉK</w:t>
            </w:r>
          </w:p>
          <w:p w14:paraId="2749A426" w14:textId="5A696F8C" w:rsidR="008D24A6" w:rsidRPr="002A677E" w:rsidRDefault="008D24A6" w:rsidP="008D24A6">
            <w:pPr>
              <w:rPr>
                <w:rFonts w:ascii="Times New Roman" w:hAnsi="Times New Roman"/>
                <w:sz w:val="24"/>
              </w:rPr>
            </w:pPr>
            <w:r>
              <w:rPr>
                <w:rFonts w:ascii="Times New Roman" w:hAnsi="Times New Roman"/>
                <w:sz w:val="24"/>
              </w:rPr>
              <w:t xml:space="preserve">A központi kormányzatok és központi bankok, a vállalkozások és az intézmények kitettségi osztályra vonatkozóan lásd az 575/2013/EU rendelet 153. cikkének (1), (2), (3) és (4) bekezdését. A lakossági kitettségi osztályra vonatkozóan lásd az 575/2013/EU rendelet 154. cikkének (1) bekezdését.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Az 575/2013/EU rendelet 501. és 501a. cikkében említett kkv-szorzót és infrastruktúra-szorzót nem kell figyelembe venni.</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t>0256</w:t>
            </w:r>
          </w:p>
        </w:tc>
        <w:tc>
          <w:tcPr>
            <w:tcW w:w="8843" w:type="dxa"/>
          </w:tcPr>
          <w:p w14:paraId="2B61A7CC"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 KOCKÁZATTAL SÚLYOZOTT KITETTSÉGÉRTÉK KKV-SZORZÓ MIATTI KORREKCIÓJA</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lastRenderedPageBreak/>
              <w:t>A kkv-kel szembeni teljesítő kitettségeknek az 575/2013/EU rendelet harmadik része II. címének 3. fejezetével összhangban számított, kockázattal súlyozott kitettségértéke (RWEA) és az 575/2013/EU rendelet 501. cikke szerinti RWEA* különbségének levonása.</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A KOCKÁZATTAL SÚLYOZOTT KITETTSÉGÉRTÉK INFRASTRUKTÚRA-SZORZÓ MIATTI KORREKCIÓJA</w:t>
            </w:r>
          </w:p>
          <w:p w14:paraId="551B54F5" w14:textId="4B4C7DCC" w:rsidR="008D24A6" w:rsidRPr="002A677E" w:rsidRDefault="008D24A6" w:rsidP="002F11F3">
            <w:pPr>
              <w:rPr>
                <w:rFonts w:ascii="Times New Roman" w:hAnsi="Times New Roman"/>
                <w:b/>
                <w:sz w:val="24"/>
                <w:u w:val="single"/>
              </w:rPr>
            </w:pPr>
            <w:r>
              <w:rPr>
                <w:rFonts w:ascii="Times New Roman" w:hAnsi="Times New Roman"/>
                <w:sz w:val="24"/>
              </w:rPr>
              <w:t xml:space="preserve">Az 575/2013/EU rendelet harmadik része II. címének megfelelően kiszámított kockázattal súlyozott kitettségértékek, valamint az említett rendelet 501a. cikke szerinti, alapvető közszolgáltatásokat nyújtó vagy támogató fizikai struktúrákat vagy létesítményeket, rendszereket és hálózatokat működtető vagy finanszírozó szervezetekkel szembeni kitettségek hitelkockázatára vonatkozó kiigazított RWEA-érték különbségének levonása.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A SZORZÓK UTÁNI, KOCKÁZATTAL SÚLYOZOTT KITETTSÉGÉRTÉK</w:t>
            </w:r>
          </w:p>
          <w:p w14:paraId="01882A55" w14:textId="36B61719" w:rsidR="008D24A6" w:rsidRPr="002A677E" w:rsidRDefault="008D24A6" w:rsidP="008D24A6">
            <w:pPr>
              <w:rPr>
                <w:rFonts w:ascii="Times New Roman" w:hAnsi="Times New Roman"/>
                <w:sz w:val="24"/>
              </w:rPr>
            </w:pPr>
            <w:r>
              <w:rPr>
                <w:rFonts w:ascii="Times New Roman" w:hAnsi="Times New Roman"/>
                <w:sz w:val="24"/>
              </w:rPr>
              <w:t>A központi kormányzatok és központi bankok, a vállalkozások és az intézmények kitettségi osztályra vonatkozóan lásd az 575/2013/EU rendelet 153. cikkének (1), (2), (3) és (4) bekezdését. A lakossági kitettségi osztályra vonatkozóan lásd az 575/2013/EU rendelet 154. cikkének (1) bekezdését.</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Az 575/2013/EU rendelet 501. és 501a. cikkében említett kkv-szorzót és infrastruktúra-szorzót figyelembe kell venni.</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EBBŐL: NAGY MÉRETŰ PÉNZÜGYI ÁGAZATBELI SZERVEZETEK ÉS NEM SZABÁLYOZOTT PÉNZÜGYI ÁGAZATBELI SZERVEZETEK</w:t>
            </w:r>
          </w:p>
          <w:p w14:paraId="3A1A0D19" w14:textId="470764D5" w:rsidR="008D24A6" w:rsidRPr="002A677E" w:rsidDel="005A2363" w:rsidRDefault="008D24A6" w:rsidP="002F11F3">
            <w:pPr>
              <w:rPr>
                <w:rFonts w:ascii="Times New Roman" w:hAnsi="Times New Roman"/>
                <w:sz w:val="24"/>
              </w:rPr>
            </w:pPr>
            <w:r>
              <w:rPr>
                <w:rFonts w:ascii="Times New Roman" w:hAnsi="Times New Roman"/>
                <w:sz w:val="24"/>
              </w:rPr>
              <w:t>A kkv-szorzó utáni, kockázattal súlyozott kitettségérték lebontása az 575/2013/EU rendelet 142. cikke (1) bekezdésének 4. pontjában meghatározott nagy méretű pénzügyi ágazatbeli szervezetekkel és az 575/2013/EU rendelet 142. cikke (1) bekezdésének 5. pontjában meghatározott nem szabályozott pénzügyi ágazatbeli szervezetekkel szembeni összes azon kitettségre, amelyre az említett rendelet 153. cikkének (2) bekezdése szerint meghatározott magasabb korrelációs együttható alkalmazandó.</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VÁRHATÓ VESZTESÉGÉRTÉK</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A várható veszteség meghatározását az 575/2013/EU rendelet 5. cikkének (3) bekezdése, a várható veszteség összegének kiszámítását az említett rendelet 158. cikke tartalmazza. A nemteljesítő kitettségekkel kapcsolatban lásd az 575/2013/EU rendelet 181. cikke (1) bekezdésének h) pontját. A várható veszteség feltüntetendő értékét az adott illetékes hatóság által jóváhagyott belső minősítési skálában ténylegesen alkalmazott kockázati paraméterek alapján kell kiszámítani.</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ÉRTÉKELÉSI KORREKCIÓK ÉS CÉLTARTALÉKOK</w:t>
            </w:r>
          </w:p>
          <w:p w14:paraId="5D650089" w14:textId="6CF597D9" w:rsidR="008D24A6" w:rsidRPr="002A677E" w:rsidRDefault="008D24A6" w:rsidP="008D24A6">
            <w:pPr>
              <w:rPr>
                <w:rFonts w:ascii="Times New Roman" w:hAnsi="Times New Roman"/>
                <w:sz w:val="24"/>
              </w:rPr>
            </w:pPr>
            <w:r>
              <w:rPr>
                <w:rFonts w:ascii="Times New Roman" w:hAnsi="Times New Roman"/>
                <w:sz w:val="24"/>
              </w:rPr>
              <w:t>Az értékelési korrekciót, valamint az 575/2013/EU rendelet 159. cikke szerinti egyedi és általános hitelkockázati kiigazításokat kell feltüntetni. Az általános hitelkockázati kiigazításokat az egyes ügyfélkategóriák várható vesztesége alapján arányosítva kell megadni.</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KÖTELEZETTEK SZÁMA</w:t>
            </w:r>
          </w:p>
          <w:p w14:paraId="23192B69" w14:textId="427C33F9" w:rsidR="008D24A6" w:rsidRPr="002A677E" w:rsidRDefault="008D24A6" w:rsidP="008D24A6">
            <w:pPr>
              <w:rPr>
                <w:rFonts w:ascii="Times New Roman" w:hAnsi="Times New Roman"/>
                <w:sz w:val="24"/>
              </w:rPr>
            </w:pPr>
            <w:r>
              <w:rPr>
                <w:rFonts w:ascii="Times New Roman" w:hAnsi="Times New Roman"/>
                <w:sz w:val="24"/>
              </w:rPr>
              <w:t>Az 575/2013/EU rendelet 172. cikkének (1) és (2) bekezdése.</w:t>
            </w:r>
          </w:p>
          <w:p w14:paraId="17A31D89" w14:textId="2B490D67" w:rsidR="008D24A6" w:rsidRPr="002A677E" w:rsidRDefault="008D24A6" w:rsidP="008D24A6">
            <w:pPr>
              <w:rPr>
                <w:rFonts w:ascii="Times New Roman" w:hAnsi="Times New Roman"/>
                <w:sz w:val="24"/>
              </w:rPr>
            </w:pPr>
            <w:r>
              <w:rPr>
                <w:rFonts w:ascii="Times New Roman" w:hAnsi="Times New Roman"/>
                <w:sz w:val="24"/>
              </w:rPr>
              <w:lastRenderedPageBreak/>
              <w:t xml:space="preserve">A lakossági kitettségi osztály, valamint az 575/2013/EU rendelet 172. cikke (1) bekezdése e) pontjának második mondatában említett esetek kivételével az intézmény valamennyi kitettségi osztályra vonatkozóan a külön minősített jogi személyek/kötelezettek számát adja meg a különböző fennálló hitelek vagy kitettségek számától függetlenül. </w:t>
            </w:r>
          </w:p>
          <w:p w14:paraId="67B0C1B2" w14:textId="2C93EC4E" w:rsidR="008D24A6" w:rsidRPr="002A677E" w:rsidRDefault="008D24A6" w:rsidP="008D24A6">
            <w:pPr>
              <w:rPr>
                <w:rFonts w:ascii="Times New Roman" w:hAnsi="Times New Roman"/>
                <w:sz w:val="24"/>
              </w:rPr>
            </w:pPr>
            <w:r>
              <w:rPr>
                <w:rFonts w:ascii="Times New Roman" w:hAnsi="Times New Roman"/>
                <w:sz w:val="24"/>
              </w:rPr>
              <w:t>A lakossági kitettségi osztályon belül, vagy ha más kitettségi osztályokban ugyanazon kötelezettel szembeni külön kitettségeket különböző ügyfélkategóriákhoz rendelnek az 575/2013/EU rendelet 172. cikke (1) bekezdése e) pontjának második mondatával összhangban, az intézmény azon kitettségek számát adja meg, amelyeket külön soroltak be egy bizonyos minősítési kategóriába vagy -halmazba. Az 575/2013/EU rendelet 172. cikke (2) bekezdésének alkalmazásakor egy kötelezett egynél több kategóriában is figyelembe vehető.</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Mivel ez az oszlop a minősítési skálák egyik szerkezeti elemét érinti, az egyes ügyfélkategóriákba vagy -halmazokba sorolt hitel-egyenértékesítési tényezők előtti eredeti kitettséghez kapcsolódik, a hitelkockázat-mérséklési technikák hatásainak (különösen a redisztribúciós hatás) figyelembevétele nélkül.</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HITELDERIVATÍVÁK ELŐTTI, KOCKÁZATTAL SÚLYOZOTT KITETTSÉGÉRTÉK</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Az intézményeknek a kockázattal súlyozott hipotetikus kitettségértéket RWEA-ként kell kiszámítaniuk anélkül, hogy az elismert hitelderivatívát az 575/2013/EU rendelet 204. cikkében meghatározott hitelkockázat-mérséklési technikaként vennék számításba.</w:t>
            </w:r>
            <w:r>
              <w:rPr>
                <w:rStyle w:val="InstructionsTabelleText"/>
                <w:rFonts w:ascii="Times New Roman" w:hAnsi="Times New Roman"/>
                <w:sz w:val="24"/>
              </w:rPr>
              <w:t xml:space="preserve"> Az összegeket az eredeti kötelezettel szembeni kitettségekre vonatkozó kitettségi osztályokban kell feltüntetni.</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Sorok</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Útmutató</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TELJES KITETTSÉG</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ebből: Kitettség a kkv-szorzó alkalmazásával</w:t>
            </w:r>
          </w:p>
          <w:p w14:paraId="5011AC41" w14:textId="0AF1DD2C" w:rsidR="00785F3E" w:rsidRPr="002A677E" w:rsidRDefault="00785F3E" w:rsidP="00785F3E">
            <w:pPr>
              <w:rPr>
                <w:rFonts w:ascii="Times New Roman" w:hAnsi="Times New Roman"/>
                <w:sz w:val="24"/>
              </w:rPr>
            </w:pPr>
            <w:r>
              <w:rPr>
                <w:rFonts w:ascii="Times New Roman" w:hAnsi="Times New Roman"/>
                <w:sz w:val="24"/>
              </w:rPr>
              <w:t>Itt csak azokat a kkv-kal szembeni kitettségeket kell feltüntetni, amelyek teljesítik az 575/2013/EU rendelet 501. cikkében előírt követelményeket.</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ebből: Kitettség az infrastruktúra-szorzó alkalmazásával</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Itt csak azokat a kkv-kal szembeni kitettségeket kell feltüntetni, amelyek teljesítik az 575/2013/EU rendelet 501a. cikkében előírt követelményeket.</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A TELJES KITETTSÉG KITETTSÉGTÍPUS SZERINTI BONTÁSA</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Hitelkockázattal érintett mérlegen belüli tételek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Az 575/2013/EU rendelet 24. cikkében említett eszközök más kategóriába nem sorolhatók.</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 partnerkockázattal érintett kitettségeket nem ebben a sorban, hanem a 0040–0060-as sorban kell feltüntetni.</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lastRenderedPageBreak/>
              <w:t>Az 575/2013/EU rendelet 379. cikkének (1) bekezdésében említett nyitva szállítások (amennyiben nem vonták le azokat) nem minősülnek mérlegen belüli tételnek, azonban azokat ebben a sorban fel kell tüntetni.</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Hitelkockázattal érintett mérlegen kívüli tételek</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A mérlegen kívüli tételek közé tartoznak az 575/2013/EU rendelet 166. cikkének (8) bekezdése szerinti tételek, valamint az említett rendelet I. mellékletében felsorolt tételek.</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A partnerkockázattal érintett kitettségeket nem ebben a sorban, hanem a 0040–0060-as sorban kell feltüntetni.</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Lásd a megfelelő CR SA útmutatást a 0090–0130-as sorban.</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 nettósítási halmazai</w:t>
            </w:r>
          </w:p>
          <w:p w14:paraId="5DB6E99C" w14:textId="77777777" w:rsidR="004D45AA" w:rsidRPr="002A677E" w:rsidRDefault="004D45AA" w:rsidP="00393FF2">
            <w:pPr>
              <w:rPr>
                <w:rFonts w:ascii="Times New Roman" w:hAnsi="Times New Roman"/>
                <w:sz w:val="24"/>
              </w:rPr>
            </w:pPr>
            <w:r>
              <w:rPr>
                <w:rFonts w:ascii="Times New Roman" w:hAnsi="Times New Roman"/>
                <w:sz w:val="24"/>
              </w:rPr>
              <w:t>Lásd a megfelelő CR SA útmutatást a 0090-es sorban.</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Származtatott és hosszú kiegyenlítési idejű ügyletek nettósítási halmazai</w:t>
            </w:r>
          </w:p>
          <w:p w14:paraId="3566F3CC" w14:textId="77777777" w:rsidR="004D45AA" w:rsidRPr="002A677E" w:rsidRDefault="004D45AA" w:rsidP="00393FF2">
            <w:pPr>
              <w:rPr>
                <w:rFonts w:ascii="Times New Roman" w:hAnsi="Times New Roman"/>
                <w:sz w:val="24"/>
              </w:rPr>
            </w:pPr>
            <w:r>
              <w:rPr>
                <w:rFonts w:ascii="Times New Roman" w:hAnsi="Times New Roman"/>
                <w:sz w:val="24"/>
              </w:rPr>
              <w:t>Lásd a megfelelő CR SA útmutatást a 0110-es sorban.</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Eltérő termékkategóriák közötti nettósításról szóló szerződéses megállapodásból származó nettósítási halmazok</w:t>
            </w:r>
          </w:p>
          <w:p w14:paraId="7A725958" w14:textId="77777777" w:rsidR="004D45AA" w:rsidRPr="002A677E" w:rsidRDefault="004D45AA" w:rsidP="004D45AA">
            <w:pPr>
              <w:rPr>
                <w:rFonts w:ascii="Times New Roman" w:hAnsi="Times New Roman"/>
                <w:sz w:val="24"/>
              </w:rPr>
            </w:pPr>
            <w:r>
              <w:rPr>
                <w:rFonts w:ascii="Times New Roman" w:hAnsi="Times New Roman"/>
                <w:sz w:val="24"/>
              </w:rPr>
              <w:t>Lásd a megfelelő CR SA útmutatást a 0130-es sorban.</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ÜGYFÉLKATEGÓRIÁKBA VAGY –HALMAZOKBA (POOLOKBA) SOROLT KITETTSÉGEK: ÖSSZESEN</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Vállalkozásokkal, intézményekkel és központi kormányzatokkal, valamint központi bankokkal szembeni kitettségekkel kapcsolatban lásd az 575/2013/EU rendelet 142. cikke (1) bekezdésének 6. pontját, valamint 170. cikke (1) bekezdésének c) pontját.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A lakossági kitettségekkel kapcsolatban lásd az 575/2013/EU rendelet 170. cikke (3) bekezdésének b) pontját. A vásárolt követelésekből eredő kitettségekkel kapcsolatban lásd az 575/2013/EU rendelet 166. cikkének (6) bekezdését. </w:t>
            </w:r>
          </w:p>
          <w:p w14:paraId="279A6335" w14:textId="77777777" w:rsidR="004D45AA" w:rsidRPr="002A677E" w:rsidRDefault="004D45AA" w:rsidP="004D45AA">
            <w:pPr>
              <w:rPr>
                <w:rFonts w:ascii="Times New Roman" w:hAnsi="Times New Roman"/>
                <w:sz w:val="24"/>
              </w:rPr>
            </w:pPr>
            <w:r>
              <w:rPr>
                <w:rFonts w:ascii="Times New Roman" w:hAnsi="Times New Roman"/>
                <w:sz w:val="24"/>
              </w:rPr>
              <w:t>A vásárolt követelések felhígulási kockázatával összefüggő kitettségeket nem kell ügyfélkategóriák és -halmazok szerint jelenteni, így az ilyen kitettségeket a 0180-as sorban kell feltüntetni.</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Ha az intézmény nagyszámú ügyfélkategóriát vagy -halmazt alkalmaz, akkor adatszolgáltatási célból a kategóriák vagy -halmazok csökkentett számáról állapodhat meg az illetékes hatóságokkal.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Nincs irányadó felügyeleti skála. Ehelyett az intézmények az alkalmazni kívánt skálát saját maguk határozzák meg.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SLOTTING MÓDSZER SZERINTI SPECIÁLIS HITELEZÉSI KITETTSÉGEK: ÖSSZESEN</w:t>
            </w:r>
          </w:p>
          <w:p w14:paraId="2E4D8D67" w14:textId="6AB84990" w:rsidR="004D45AA" w:rsidRPr="002A677E" w:rsidRDefault="004D45AA" w:rsidP="00AC6619">
            <w:pPr>
              <w:rPr>
                <w:rFonts w:ascii="Times New Roman" w:hAnsi="Times New Roman"/>
                <w:sz w:val="24"/>
              </w:rPr>
            </w:pPr>
            <w:r>
              <w:rPr>
                <w:rFonts w:ascii="Times New Roman" w:hAnsi="Times New Roman"/>
                <w:sz w:val="24"/>
              </w:rPr>
              <w:t xml:space="preserve">Az 575/2013/EU rendelet 153. cikkének (5) bekezdése. Ez csak a „vállalati – speciális hitelezés” kitettségi osztályára vonatkozik.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ALTERNATÍV KEZELÉS: INGATLANNAL FEDEZETT</w:t>
            </w:r>
          </w:p>
          <w:p w14:paraId="6131F39B" w14:textId="6E1869D7" w:rsidR="004D45AA" w:rsidRPr="002A677E" w:rsidRDefault="004D45AA" w:rsidP="004D45AA">
            <w:pPr>
              <w:rPr>
                <w:rFonts w:ascii="Times New Roman" w:hAnsi="Times New Roman"/>
                <w:sz w:val="24"/>
              </w:rPr>
            </w:pPr>
            <w:r>
              <w:rPr>
                <w:rFonts w:ascii="Times New Roman" w:hAnsi="Times New Roman"/>
                <w:sz w:val="24"/>
              </w:rPr>
              <w:t>Az 575/2013/EU rendelet 193. cikkének (1) és (2) bekezdése, 194. cikkének (1)–(7) bekezdése és 230. cikkének (3) bekezdése.</w:t>
            </w:r>
          </w:p>
          <w:p w14:paraId="545B7E96" w14:textId="77777777" w:rsidR="004D45AA" w:rsidRPr="002A677E" w:rsidRDefault="004D45AA" w:rsidP="004D45AA">
            <w:pPr>
              <w:rPr>
                <w:rFonts w:ascii="Times New Roman" w:hAnsi="Times New Roman"/>
                <w:sz w:val="24"/>
              </w:rPr>
            </w:pPr>
            <w:r>
              <w:rPr>
                <w:rFonts w:ascii="Times New Roman" w:hAnsi="Times New Roman"/>
                <w:sz w:val="24"/>
              </w:rPr>
              <w:t>Ez az alternatíva csak az IRB alapmódszert alkalmazó intézmények számára áll rendelkezésre.</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NYITVA SZÁLLÍTÁSBÓL EREDŐ, ALTERNATÍV KEZELÉS ALAPJÁN MEGÁLLAPÍTOTT VAGY 100 %-OS KOCKÁZATI SÚLYÚ KITETTSÉGEK, VALAMINT EGYÉB, KOCKÁZATI SÚLYOZÁS ALÁ TARTOZÓ KITETTSÉGEK</w:t>
            </w:r>
          </w:p>
          <w:p w14:paraId="0783F043" w14:textId="77311876" w:rsidR="004D45AA" w:rsidRPr="002A677E" w:rsidRDefault="004D45AA" w:rsidP="00E1685B">
            <w:pPr>
              <w:rPr>
                <w:rFonts w:ascii="Times New Roman" w:hAnsi="Times New Roman"/>
                <w:sz w:val="24"/>
              </w:rPr>
            </w:pPr>
            <w:r>
              <w:rPr>
                <w:rFonts w:ascii="Times New Roman" w:hAnsi="Times New Roman"/>
                <w:sz w:val="24"/>
              </w:rPr>
              <w:t>Olyan nyitva szállításokból eredő kitettségek, amelyek az 575/2013/EU rendelet 379. cikke (2) bekezdése első albekezdésének utolsó mondatában említett alternatív kezelés körébe tartoznak, vagy amelyek az 575/2013/EU rendelet 379. cikke (2) bekezdésének utolsó albekezdése alapján 100 %-os kockázati súlyt kapnak. A nem minősített, az 575/2013/EU rendelet 153. cikkének (8) bekezdése szerinti n-edik nemteljesítéskor lehívható hitelderivatívákat, valamint a máshová nem sorolt, kockázati súlyozás alá tartozó egyéb kitettségeket ebben a sorban kell feltüntetni.</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FELHÍGULÁSI KOCKÁZAT: VÁSÁROLT KÖVETELÉSEK ÖSSZESEN</w:t>
            </w:r>
          </w:p>
          <w:p w14:paraId="52C8CBD1" w14:textId="02980A54" w:rsidR="004D45AA" w:rsidRPr="002A677E" w:rsidRDefault="004D45AA" w:rsidP="004D45AA">
            <w:pPr>
              <w:rPr>
                <w:rFonts w:ascii="Times New Roman" w:hAnsi="Times New Roman"/>
                <w:sz w:val="24"/>
              </w:rPr>
            </w:pPr>
            <w:r>
              <w:rPr>
                <w:rFonts w:ascii="Times New Roman" w:hAnsi="Times New Roman"/>
                <w:sz w:val="24"/>
              </w:rPr>
              <w:t>A felhígulási kockázat meghatározását az 575/2013/EU rendelet 4. cikke (1) bekezdésének 53. pontja tartalmazza. A felhígulási kockázatra vonatkozó kockázattal súlyozott kitettségértékek kiszámításával kapcsolatban lásd az 575/2013/EU rendelet 157. cikkét. A felhígulási kockázatról a vállalati és lakossági vásárolt követelések esetében kell adatot szolgáltatni.</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6039915"/>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Hitelkockázat, partnerkockázat és nyitva szállítások: IRB módszer szerinti tőkekövetelmény: ügyfélkategória vagy -halmaz (pool) szerint (CR IRB 2 tábla)</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Oszlop</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Útmutató</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Ügyfélkategória (sorazonosító)</w:t>
            </w:r>
          </w:p>
          <w:p w14:paraId="3F34567F" w14:textId="77777777" w:rsidR="00E97CD2" w:rsidRPr="002A677E" w:rsidRDefault="00E97CD2" w:rsidP="00133396">
            <w:pPr>
              <w:rPr>
                <w:rFonts w:ascii="Times New Roman" w:hAnsi="Times New Roman"/>
                <w:sz w:val="24"/>
              </w:rPr>
            </w:pPr>
            <w:r>
              <w:rPr>
                <w:rFonts w:ascii="Times New Roman" w:hAnsi="Times New Roman"/>
                <w:sz w:val="24"/>
              </w:rPr>
              <w:t>Ez egy sorazonosító, amely a tábla egyes lapjainak minden sorát egyedileg azonosítja. Sorrendje: 1, 2, 3 stb.</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A feltüntetendő első kategória (vagy halmaz) a legjobb, a következő a második legjobb és így tovább. Az utolsó kategória (vagy halmaz) a nemteljesítő kitettségeket tartalmazza.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Az itt található oszlopokra vonatkozó útmutató azonos a CR IRB 1 tábla megfelelő számú oszlopaira vonatkozó útmutatóval.</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Sor</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Útmutató</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Az e sorokban feltüntetett értékeket az adott ügyfélkategóriához vagy -halmazhoz tartozó PD-értéknek megfelelő sorrendben kell megadni. A nemteljesítő ügyfelekhez tartozó PD-érték 100 %. Az ingatlanbiztosíték alternatív kezelési körébe vont kitettségek (ez kizárólag akkor lehetséges, ha az intézmény nem alkalmaz saját LGD-becslést) nem sorolhatók be a kötelezett PD-értéke alapján, így ezek adatai nem tüntethetők fel ebben a táblában.</w:t>
            </w:r>
          </w:p>
        </w:tc>
      </w:tr>
    </w:tbl>
    <w:p w14:paraId="04D08AB4" w14:textId="77777777" w:rsidR="004357B9" w:rsidRPr="002A677E" w:rsidRDefault="004357B9" w:rsidP="00487A02">
      <w:pPr>
        <w:pStyle w:val="InstructionsText"/>
      </w:pPr>
    </w:p>
    <w:p w14:paraId="4F65BD1C" w14:textId="0DB722DF"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6039916"/>
      <w:r>
        <w:rPr>
          <w:rFonts w:ascii="Times New Roman" w:hAnsi="Times New Roman"/>
          <w:sz w:val="24"/>
        </w:rPr>
        <w:t>C 08.03 – Hitelkockázat és nyitva szállítások: IRB módszer szerinti tőkekövetelmény: PD-sávok szerinti bontás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6039917"/>
      <w:r>
        <w:rPr>
          <w:rFonts w:ascii="Times New Roman" w:hAnsi="Times New Roman"/>
          <w:sz w:val="24"/>
        </w:rPr>
        <w:t>Általános megjegyzések</w:t>
      </w:r>
      <w:bookmarkEnd w:id="324"/>
      <w:bookmarkEnd w:id="325"/>
    </w:p>
    <w:p w14:paraId="6CEFD717" w14:textId="357000AA"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77</w:t>
      </w:r>
      <w:r>
        <w:rPr>
          <w:noProof/>
        </w:rPr>
        <w:fldChar w:fldCharType="end"/>
      </w:r>
      <w:r w:rsidR="00C3070C">
        <w:t>. Az intézményeknek az ebben a táblában szereplő információkat az 575/2013/EU rendelet 452. cikke g) pontjának i–v. alpontja alkalmazásában kell megadniuk annak érdekében, hogy információt szolgáltassanak az IRB módszerhez kapcsolódó tőkekövetelmények kiszámításához használt fő paraméterekről. Az ebben a táblában feltüntetett információk nem tartalmazhatnak az 575/2013/EU rendelet 153. cikkének (5) bekezdésében említett speciális hitelezésre vonatkozó adatokat, amelyek a C 08.06. táblában szerepelnek. Ez a tábla nem tartalmazza a partnerkockázati kitettségeket (az 575/2013/EU rendelet harmadik része II. címének 6. fejezete).</w:t>
      </w:r>
    </w:p>
    <w:p w14:paraId="481B75E1" w14:textId="570A2A1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6039918"/>
      <w:r>
        <w:rPr>
          <w:rFonts w:ascii="Times New Roman" w:hAnsi="Times New Roman"/>
          <w:sz w:val="24"/>
        </w:rPr>
        <w:t>Az egyes pozíciókra vonatkozó útmutató</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Oszlopok</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MÉRLEGEN BELÜLI KITETTSÉGEK</w:t>
            </w:r>
          </w:p>
          <w:p w14:paraId="4A8FAFE3" w14:textId="66012EBB" w:rsidR="008151A6" w:rsidRPr="002A677E" w:rsidRDefault="008151A6" w:rsidP="00A44410">
            <w:pPr>
              <w:rPr>
                <w:rFonts w:ascii="Times New Roman" w:hAnsi="Times New Roman"/>
                <w:sz w:val="24"/>
              </w:rPr>
            </w:pPr>
            <w:r>
              <w:rPr>
                <w:rFonts w:ascii="Times New Roman" w:hAnsi="Times New Roman"/>
                <w:sz w:val="24"/>
              </w:rPr>
              <w:t>Az 575/2013/EU rendelet 166. cikkének (1)–(7) bekezdése szerint számított kitettségérték az esetleges hitelkockázati kiigazítások figyelembevétele nélkül.</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MÉRLEGEN KÍVÜLI KITETTSÉGEK HITEL-EGYENÉRTÉKESÍTÉSI TÉNYEZŐK ELŐTT</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Az 575/2013/EU rendelet 166. cikkének (1)–(7) bekezdése szerinti kitettségérték, az esetleges hitelkockázati kiigazítások és hitel-egyenértékesítési tényezők, az 575/2013/EU rendelet 166. cikkének (8) bekezdésében meghatározott saját becslések és hitel-egyenértékesítési tényezők, illetve az említett rendelet 166. cikkének (10) bekezdésében meghatározott százalékos arányok figyelembevétele nélkül. </w:t>
            </w:r>
          </w:p>
          <w:p w14:paraId="0EF7359E" w14:textId="1DDFF139" w:rsidR="008151A6" w:rsidRPr="002A677E" w:rsidRDefault="008151A6" w:rsidP="00664874">
            <w:pPr>
              <w:rPr>
                <w:rFonts w:ascii="Times New Roman" w:hAnsi="Times New Roman"/>
                <w:sz w:val="24"/>
              </w:rPr>
            </w:pPr>
            <w:r>
              <w:rPr>
                <w:rFonts w:ascii="Times New Roman" w:hAnsi="Times New Roman"/>
                <w:sz w:val="24"/>
              </w:rPr>
              <w:t>A mérlegen kívüli kitettségek magukban foglalják az összes lekötött, de le nem hívott összeget és az összes mérlegen kívüli tételt, az 575/2013/EU rendelet I. mellékletében felsoroltak szerint.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KITETTSÉGGEL SÚLYOZOTT ÁTLAGOS HITEL-EGYENÉRTÉKESÍTÉSI TÉNYEZŐK</w:t>
            </w:r>
          </w:p>
          <w:p w14:paraId="7D88A5C8" w14:textId="77777777" w:rsidR="008151A6" w:rsidRPr="002A677E" w:rsidRDefault="008151A6" w:rsidP="00A44410">
            <w:pPr>
              <w:rPr>
                <w:rFonts w:ascii="Times New Roman" w:hAnsi="Times New Roman"/>
                <w:sz w:val="24"/>
              </w:rPr>
            </w:pPr>
            <w:r>
              <w:rPr>
                <w:rFonts w:ascii="Times New Roman" w:hAnsi="Times New Roman"/>
                <w:sz w:val="24"/>
              </w:rPr>
              <w:lastRenderedPageBreak/>
              <w:t xml:space="preserve">A rögzített PD-sáv egyes kategóriáiba tartozó valamennyi kitettség esetében az intézmények által a kockázattal súlyozott kitettségérték kiszámításához használt átlagos hitel-egyenértékesítési tényező, súlyozva a 0020-as oszlopban feltüntetett, mérlegen kívüli, hitel-egyenértékesítési tényezők előtti kitettséggel.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HITEL-EGYENÉRTÉKESÍTÉSI TÉNYEZŐK ÉS HITELKOCKÁZAT-MÉRSÉKLÉS UTÁNI KITETTSÉGÉRTÉK</w:t>
            </w:r>
          </w:p>
          <w:p w14:paraId="2389923D" w14:textId="3335E615" w:rsidR="008151A6" w:rsidRPr="002A677E" w:rsidRDefault="008151A6" w:rsidP="00664874">
            <w:pPr>
              <w:rPr>
                <w:rFonts w:ascii="Times New Roman" w:hAnsi="Times New Roman"/>
                <w:sz w:val="24"/>
              </w:rPr>
            </w:pPr>
            <w:r>
              <w:rPr>
                <w:rFonts w:ascii="Times New Roman" w:hAnsi="Times New Roman"/>
                <w:sz w:val="24"/>
              </w:rPr>
              <w:t>Az 575/2013/EU rendelet 166. cikke szerinti kitettségérték.</w:t>
            </w:r>
          </w:p>
          <w:p w14:paraId="6FBBE395" w14:textId="57B966ED" w:rsidR="008151A6" w:rsidRPr="002A677E" w:rsidRDefault="008151A6" w:rsidP="00E1685B">
            <w:pPr>
              <w:rPr>
                <w:rFonts w:ascii="Times New Roman" w:hAnsi="Times New Roman"/>
                <w:sz w:val="24"/>
              </w:rPr>
            </w:pPr>
            <w:r>
              <w:rPr>
                <w:rFonts w:ascii="Times New Roman" w:hAnsi="Times New Roman"/>
                <w:sz w:val="24"/>
              </w:rPr>
              <w:t>Ez az oszlop a mérlegen belüli kitettségeknek és a mérlegen kívüli kitettségeknek az 575/2013/EU rendelet 166. cikkének (8)–(10) bekezdése szerinti hitel-egyenértékesítési tényezők utáni és hitelkockázat-mérséklés utáni összegét tartalmazza.</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KITETTSÉGGEL SÚLYOZOTT ÁTLAGOS PD (%)</w:t>
            </w:r>
          </w:p>
          <w:p w14:paraId="56D6AA16" w14:textId="77777777" w:rsidR="008151A6" w:rsidRDefault="008151A6" w:rsidP="00A44410">
            <w:pPr>
              <w:rPr>
                <w:rFonts w:ascii="Times New Roman" w:hAnsi="Times New Roman"/>
                <w:sz w:val="24"/>
              </w:rPr>
            </w:pPr>
            <w:r>
              <w:rPr>
                <w:rFonts w:ascii="Times New Roman" w:hAnsi="Times New Roman"/>
                <w:sz w:val="24"/>
              </w:rPr>
              <w:t>A rögzített PD-sáv egyes kategóriáiba tartozó valamennyi kitettség esetében az egyes kötelezettek átlagos PD-becslése, súlyozva a hitel-egyenértékesítési tényezők és hitelkockázat-mérséklés utáni, a 0040-es oszlopban megadott kitettségértékkel.</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Ezt az oszlopot nem kell kitölteni az összes kitettségi osztály egészére vonatkozóan.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KÖTELEZETTEK SZÁMA</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A rögzített PD-sáv egyes kategóriáihoz rendelt jogi személyek vagy kötelezettek száma. </w:t>
            </w:r>
          </w:p>
          <w:p w14:paraId="1C88C53C" w14:textId="77777777" w:rsidR="001A370B" w:rsidRPr="002A677E" w:rsidRDefault="001A370B" w:rsidP="001A370B">
            <w:pPr>
              <w:rPr>
                <w:rFonts w:ascii="Times New Roman" w:hAnsi="Times New Roman"/>
                <w:sz w:val="24"/>
              </w:rPr>
            </w:pPr>
            <w:r>
              <w:rPr>
                <w:rFonts w:ascii="Times New Roman" w:hAnsi="Times New Roman"/>
                <w:sz w:val="24"/>
              </w:rPr>
              <w:t>A kötelezettek számát a C 08.01. tábla 0300-as oszlopára vonatkozó útmutatónak megfelelően kell számba venni. A közös kötelezetteket ugyanúgy kell kezelni, mint a PD-kalibráció alkalmazásában.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KITETTSÉGGEL SÚLYOZOTT ÁTLAGOS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A rögzített PD-sáv egyes kategóriáiba tartozó valamennyi kitettség esetében az egyes kitettségek átlagos LGD-becslése, súlyozva a hitel-egyenértékesítési tényezők és hitelkockázat-mérséklés utáni, a 0040-es oszlopban megadott kitettségértékkel.</w:t>
            </w:r>
          </w:p>
          <w:p w14:paraId="7E28335D" w14:textId="7EAE8748" w:rsidR="008151A6" w:rsidRPr="002A677E" w:rsidRDefault="008151A6" w:rsidP="00664874">
            <w:pPr>
              <w:rPr>
                <w:rFonts w:ascii="Times New Roman" w:hAnsi="Times New Roman"/>
                <w:sz w:val="24"/>
              </w:rPr>
            </w:pPr>
            <w:r>
              <w:rPr>
                <w:rFonts w:ascii="Times New Roman" w:hAnsi="Times New Roman"/>
                <w:sz w:val="24"/>
              </w:rPr>
              <w:t>A feltüntetett LGD-nek meg kell felelnie a kockázattal súlyozott összegek kiszámításához használt, az esetleges hitelkockázat-mérséklési hatások és adott esetben gazdasági dekonjunkturális feltételek figyelembevételével kapott végső LGD-becslésnek. Az ingatlannal fedezett, lakossággal szembeni kitettségek esetében a feltüntetett LGD-nek figyelembe kell vennie az 575/2013/EU rendelet 164. cikkének (4) bekezdésében meghatározott alsó határokat.</w:t>
            </w:r>
          </w:p>
          <w:p w14:paraId="67477FD4" w14:textId="0888D8A9" w:rsidR="008151A6" w:rsidRPr="002A677E" w:rsidRDefault="008151A6" w:rsidP="00664874">
            <w:pPr>
              <w:rPr>
                <w:rFonts w:ascii="Times New Roman" w:hAnsi="Times New Roman"/>
                <w:sz w:val="24"/>
              </w:rPr>
            </w:pPr>
            <w:r>
              <w:rPr>
                <w:rFonts w:ascii="Times New Roman" w:hAnsi="Times New Roman"/>
                <w:sz w:val="24"/>
              </w:rPr>
              <w:t>Az együttes nemteljesítésre vonatkozó eljárással érintett kitettségek esetében a feltüntetendő LGD az 575/2013/EU rendelet 161. cikkének (4) bekezdése alapján kiválasztottnak felel meg.</w:t>
            </w:r>
          </w:p>
          <w:p w14:paraId="697FA337" w14:textId="39B86209" w:rsidR="008151A6" w:rsidRDefault="008151A6" w:rsidP="00E1685B">
            <w:pPr>
              <w:rPr>
                <w:rFonts w:ascii="Times New Roman" w:hAnsi="Times New Roman"/>
                <w:sz w:val="24"/>
              </w:rPr>
            </w:pPr>
            <w:r>
              <w:rPr>
                <w:rFonts w:ascii="Times New Roman" w:hAnsi="Times New Roman"/>
                <w:sz w:val="24"/>
              </w:rPr>
              <w:t>Az A-IRB módszer szerinti nemteljesítő kitettségek esetében figyelembe kell venni az 575/2013/EU rendelet 181. cikke (1) bekezdésének h) pontjában foglalt rendelkezéseket. A feltüntetett LGD-nek meg kell felelnie az alkalmazandó becslési módszerek szerinti nemteljesítéskori LGD-becslésnek.</w:t>
            </w:r>
          </w:p>
          <w:p w14:paraId="3CFFCA66" w14:textId="60A573D5" w:rsidR="00121BFD" w:rsidRPr="002A677E" w:rsidRDefault="00121BFD" w:rsidP="00E1685B">
            <w:pPr>
              <w:rPr>
                <w:rFonts w:ascii="Times New Roman" w:hAnsi="Times New Roman"/>
                <w:sz w:val="24"/>
              </w:rPr>
            </w:pPr>
            <w:r>
              <w:rPr>
                <w:rFonts w:ascii="Times New Roman" w:hAnsi="Times New Roman"/>
                <w:sz w:val="24"/>
              </w:rPr>
              <w:t>Ezt az oszlopot nem kell kitölteni az összes kitettségi osztály egészére vonatkozóan.</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KITETTSÉGGEL SÚLYOZOTT ÁTLAGOS LEJÁRAT (ÉV)</w:t>
            </w:r>
          </w:p>
          <w:p w14:paraId="78A0978E" w14:textId="77777777" w:rsidR="008151A6" w:rsidRPr="002A677E" w:rsidRDefault="008151A6" w:rsidP="00664874">
            <w:pPr>
              <w:rPr>
                <w:rFonts w:ascii="Times New Roman" w:hAnsi="Times New Roman"/>
                <w:sz w:val="24"/>
              </w:rPr>
            </w:pPr>
            <w:r>
              <w:rPr>
                <w:rFonts w:ascii="Times New Roman" w:hAnsi="Times New Roman"/>
                <w:sz w:val="24"/>
              </w:rPr>
              <w:lastRenderedPageBreak/>
              <w:t>A rögzített PD-sáv egyes kategóriáiba tartozó valamennyi kitettség esetében az egyes kitettségek átlagos lejárata, súlyozva a hitel-egyenértékesítési tényezők utáni, a 0040-es oszlopban megadott kitettségértékkel.</w:t>
            </w:r>
          </w:p>
          <w:p w14:paraId="43E30C16" w14:textId="1613DAEE" w:rsidR="008151A6" w:rsidRPr="002A677E" w:rsidRDefault="008151A6" w:rsidP="00664874">
            <w:pPr>
              <w:rPr>
                <w:rFonts w:ascii="Times New Roman" w:hAnsi="Times New Roman"/>
                <w:sz w:val="24"/>
              </w:rPr>
            </w:pPr>
            <w:r>
              <w:rPr>
                <w:rFonts w:ascii="Times New Roman" w:hAnsi="Times New Roman"/>
                <w:sz w:val="24"/>
              </w:rPr>
              <w:t xml:space="preserve">A feltüntetendő lejárati értéket az 575/2013/EU rendelet 162. cikkének megfelelően kell meghatározni. </w:t>
            </w:r>
          </w:p>
          <w:p w14:paraId="7853783D" w14:textId="77777777" w:rsidR="008151A6" w:rsidRPr="002A677E" w:rsidRDefault="008151A6" w:rsidP="00664874">
            <w:pPr>
              <w:rPr>
                <w:rFonts w:ascii="Times New Roman" w:hAnsi="Times New Roman"/>
                <w:sz w:val="24"/>
              </w:rPr>
            </w:pPr>
            <w:r>
              <w:rPr>
                <w:rFonts w:ascii="Times New Roman" w:hAnsi="Times New Roman"/>
                <w:sz w:val="24"/>
              </w:rPr>
              <w:t>Az átlagos lejáratot években kell megadni.</w:t>
            </w:r>
          </w:p>
          <w:p w14:paraId="3538AA9B" w14:textId="4E1B7038" w:rsidR="008151A6" w:rsidRPr="002A677E" w:rsidRDefault="008151A6" w:rsidP="002F11F3">
            <w:pPr>
              <w:rPr>
                <w:rFonts w:ascii="Times New Roman" w:hAnsi="Times New Roman"/>
                <w:sz w:val="24"/>
              </w:rPr>
            </w:pPr>
            <w:r>
              <w:rPr>
                <w:rFonts w:ascii="Times New Roman" w:hAnsi="Times New Roman"/>
                <w:sz w:val="24"/>
              </w:rPr>
              <w:t>Ez az adat nem adható meg olyan kitettségérték esetén, amelynél a lejáratot nem veszik figyelembe a kockázattal súlyozott kitettségértéknek az 575/2013/EU rendelet harmadik része II. címének 3. fejezete szerinti kiszámításakor. Ez azt jelenti, hogy az oszlop a „lakosság” kitettségi osztályra vonatkozóan nem töltendő ki.</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 SZORZÓK UTÁNI, KOCKÁZATTAL SÚLYOZOTT KITETTSÉGÉRTÉK</w:t>
            </w:r>
          </w:p>
          <w:p w14:paraId="3D40BF94" w14:textId="03A118D9" w:rsidR="008151A6" w:rsidRPr="002A677E" w:rsidRDefault="008151A6" w:rsidP="00664874">
            <w:pPr>
              <w:rPr>
                <w:rFonts w:ascii="Times New Roman" w:hAnsi="Times New Roman"/>
                <w:sz w:val="24"/>
              </w:rPr>
            </w:pPr>
            <w:r>
              <w:rPr>
                <w:rFonts w:ascii="Times New Roman" w:hAnsi="Times New Roman"/>
                <w:sz w:val="24"/>
              </w:rPr>
              <w:t>Központi kormányzatokkal és központi bankokkal, intézményekkel és vállalatokkal szembeni kitettségek esetében az 575/2013/EU rendelet 153. cikke (1)–(4) bekezdésének megfelelően kiszámított, kockázattal súlyozott kitettségérték; a lakossággal szembeni kitettségek esetében az említett rendelet 154. cikke szerint kiszámított, kockázattal súlyozott kitettségérték.</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Az 575/2013/EU rendelet 501. és 501a. cikkében említett kkv-szorzót és infrastruktúra-szorzót figyelembe kell venni.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VÁRHATÓ VESZTESÉGÉRTÉK</w:t>
            </w:r>
          </w:p>
          <w:p w14:paraId="4832D8CA" w14:textId="62C1A495" w:rsidR="008151A6" w:rsidRPr="002A677E" w:rsidRDefault="008151A6" w:rsidP="00664874">
            <w:pPr>
              <w:rPr>
                <w:rFonts w:ascii="Times New Roman" w:hAnsi="Times New Roman"/>
                <w:sz w:val="24"/>
              </w:rPr>
            </w:pPr>
            <w:r>
              <w:rPr>
                <w:rFonts w:ascii="Times New Roman" w:hAnsi="Times New Roman"/>
                <w:sz w:val="24"/>
              </w:rPr>
              <w:t>Az 575/2013/EU rendelet 158. cikke szerint kiszámított várható veszteségérték.</w:t>
            </w:r>
          </w:p>
          <w:p w14:paraId="61B3A6E1" w14:textId="77777777" w:rsidR="008151A6" w:rsidRPr="002A677E" w:rsidRDefault="008151A6" w:rsidP="00664874">
            <w:pPr>
              <w:rPr>
                <w:rFonts w:ascii="Times New Roman" w:hAnsi="Times New Roman"/>
                <w:sz w:val="24"/>
              </w:rPr>
            </w:pPr>
            <w:r>
              <w:rPr>
                <w:rFonts w:ascii="Times New Roman" w:hAnsi="Times New Roman"/>
                <w:sz w:val="24"/>
              </w:rPr>
              <w:t>A várható veszteség feltüntetendő értékét az adott illetékes hatóság által jóváhagyott belső minősítési skálában ténylegesen alkalmazott kockázati paraméterek alapján kell kiszámítani.</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ÉRTÉKELÉSI KORREKCIÓK ÉS CÉLTARTALÉKOK</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A 183/2014/EU felhatalmazáson alapuló bizottsági rendelet szerinti egyedi és általános hitelkockázati kiigazítások, az 575/2013/EU rendelet 34. és 110. cikke szerinti kiegészítő értékelési korrekciók, valamint a rögzített PD-sáv egyes kategóriáihoz rendelt kitettségekhez kapcsolódó egyéb szavatolótőke-csökkentések. </w:t>
            </w:r>
          </w:p>
          <w:p w14:paraId="10E77039" w14:textId="0EF2942B" w:rsidR="008151A6" w:rsidRPr="002A677E" w:rsidRDefault="008151A6" w:rsidP="00664874">
            <w:pPr>
              <w:rPr>
                <w:rFonts w:ascii="Times New Roman" w:hAnsi="Times New Roman"/>
                <w:sz w:val="24"/>
              </w:rPr>
            </w:pPr>
            <w:r>
              <w:rPr>
                <w:rFonts w:ascii="Times New Roman" w:hAnsi="Times New Roman"/>
                <w:sz w:val="24"/>
              </w:rPr>
              <w:t>Ezek az értékelési korrekciók és céltartalékok azok, amelyeket figyelembe kell venni az 575/2013/EU rendelet 159. cikkének végrehajtásakor.</w:t>
            </w:r>
          </w:p>
          <w:p w14:paraId="19C8FD19" w14:textId="77777777" w:rsidR="008151A6" w:rsidRPr="002A677E" w:rsidRDefault="008151A6" w:rsidP="00664874">
            <w:pPr>
              <w:rPr>
                <w:rFonts w:ascii="Times New Roman" w:hAnsi="Times New Roman"/>
                <w:sz w:val="24"/>
              </w:rPr>
            </w:pPr>
            <w:r>
              <w:rPr>
                <w:rFonts w:ascii="Times New Roman" w:hAnsi="Times New Roman"/>
                <w:sz w:val="24"/>
              </w:rPr>
              <w:t xml:space="preserve">Az általános céltartalékokat az egyes ügyfélkategóriák várható vesztesége alapján arányosítva kell megadni.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Sorok</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PD-SÁV</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becsült PD-értéke alapján (a hitelkockázat-mérséklésből eredő helyettesítési hatások figyelembevétele nélkül). Az intézményeknek minden kitettséget egyenként kell a táblában megadott PD-sávhoz hozzárendelniük, figyelembe véve a folyamatos skálaértékeket is. Valamennyi nemteljesítő kitettséget a 100 %-os PD-t képviselő kategóriának kell tartalmaznia.</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Az {r0170, c0050} és az {r0170, c0070} mezőt az összes kitettségi osztályra vonatkozóan meg kell adni, de nem kell megadni az összes kitettségi osztály egészére vonatkozó összesített értéket.</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6039919"/>
      <w:r>
        <w:rPr>
          <w:rFonts w:ascii="Times New Roman" w:hAnsi="Times New Roman"/>
          <w:sz w:val="24"/>
        </w:rPr>
        <w:lastRenderedPageBreak/>
        <w:t>C 08.04 – Hitelkockázat és nyitva szállítások: IRB módszer szerinti tőkekövetelmény: a kockázattal súlyozott kitettségérték változásának kimutatása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6039920"/>
      <w:r>
        <w:rPr>
          <w:rFonts w:ascii="Times New Roman" w:hAnsi="Times New Roman"/>
          <w:sz w:val="24"/>
        </w:rPr>
        <w:t>Általános megjegyzések</w:t>
      </w:r>
      <w:bookmarkEnd w:id="330"/>
      <w:bookmarkEnd w:id="331"/>
    </w:p>
    <w:p w14:paraId="51E67014" w14:textId="7195D8CB"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78</w:t>
      </w:r>
      <w:r>
        <w:rPr>
          <w:noProof/>
        </w:rPr>
        <w:fldChar w:fldCharType="end"/>
      </w:r>
      <w:r w:rsidR="00C3070C">
        <w:t>. Az intézményeknek az ebben a táblában szereplő információkat az 575/2013/EU rendelet 438. cikke h) pontjának alkalmazásában kell megadniuk. Ez a tábla nem tartalmazza a partnerkockázati kitettségeket (az 575/2013/EU rendelet harmadik része II. címének 6. fejezete).</w:t>
      </w:r>
    </w:p>
    <w:p w14:paraId="10667F98" w14:textId="77777777" w:rsidR="002F29AF" w:rsidRPr="002A677E" w:rsidRDefault="002F29AF"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79</w:t>
      </w:r>
      <w:r w:rsidRPr="00624117">
        <w:fldChar w:fldCharType="end"/>
      </w:r>
      <w:r>
        <w:t xml:space="preserve">. Az intézményeknek az RWEA változását a vonatkozási időpont szerinti kockázattal súlyozott kitettségérték és az előző vonatkozási időpont szerinti kockázattal súlyozott kitettségérték közötti változásként kell megadniuk. Negyedéves adatszolgáltatás esetén az adatszolgáltatási vonatkozási időpont negyedéve előtti negyedév végét kell használni. </w:t>
      </w:r>
    </w:p>
    <w:p w14:paraId="473992E8" w14:textId="39E857A2"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6039921"/>
      <w:r>
        <w:rPr>
          <w:rFonts w:ascii="Times New Roman" w:hAnsi="Times New Roman"/>
          <w:sz w:val="24"/>
        </w:rPr>
        <w:t>Az egyes pozíciókra vonatkozó útmutató</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Oszlop</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KOCKÁZATTAL SÚLYOZOTT KITETTSÉGÉRTÉK</w:t>
            </w:r>
          </w:p>
          <w:p w14:paraId="1B8885D3" w14:textId="5E9FA64B" w:rsidR="008151A6" w:rsidRPr="002A677E" w:rsidRDefault="008151A6" w:rsidP="00AC6619">
            <w:pPr>
              <w:rPr>
                <w:rFonts w:ascii="Times New Roman" w:hAnsi="Times New Roman"/>
                <w:sz w:val="24"/>
              </w:rPr>
            </w:pPr>
            <w:r>
              <w:rPr>
                <w:rFonts w:ascii="Times New Roman" w:hAnsi="Times New Roman"/>
                <w:sz w:val="24"/>
              </w:rPr>
              <w:t>A hitelkockázatra vonatkozó, kockázattal súlyozott teljes kitettségérték az IRB módszer szerint kiszámítva, figyelembe véve az 575/2013/EU rendelet 501. és 501a. cikke szerinti szorzókat.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Sorok</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KOCKÁZATTAL SÚLYOZOTT KITETTSÉGÉRTÉK AZ ELŐZŐ ADATSZOLGÁLTATÁSI IDŐSZAK VÉGÉN</w:t>
            </w:r>
          </w:p>
          <w:p w14:paraId="22828C6F" w14:textId="2DBB68FC" w:rsidR="008151A6" w:rsidRPr="002A677E" w:rsidRDefault="008151A6" w:rsidP="00F66DFB">
            <w:pPr>
              <w:rPr>
                <w:rFonts w:ascii="Times New Roman" w:hAnsi="Times New Roman"/>
                <w:sz w:val="24"/>
              </w:rPr>
            </w:pPr>
            <w:r>
              <w:rPr>
                <w:rFonts w:ascii="Times New Roman" w:hAnsi="Times New Roman"/>
                <w:sz w:val="24"/>
              </w:rPr>
              <w:t>Kockázattal súlyozott kitettségérték az előző adatszolgáltatási időszak végén, az 575/2013/EU rendelet 501. és 501a. cikkében meghatározott kkv-szorzó és infrastruktúra-szorzó alkalmazását követően</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ESZKÖZNAGYSÁG (+/–)</w:t>
            </w:r>
          </w:p>
          <w:p w14:paraId="12B2D7D1"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az eszközök nagysága miatt az előző adatszolgáltatási időszak vége és a folyó adatszolgáltatási időszak vége között bekövetkezett változás. Ide értendők a könyv nagyságát és összetételét érintő szerves változások (beleértve az új tevékenységek indítását és a lejáró hiteleket), de nem számítva a könyv nagyságában a gazdálkodó egységek akvizíciója és elidegenítése miatt bekövetkezett változásokat.</w:t>
            </w:r>
          </w:p>
          <w:p w14:paraId="720E19CE"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ESZKÖZMINŐSÉG (+/–)</w:t>
            </w:r>
          </w:p>
          <w:p w14:paraId="6A88FF18"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az eszközminőség miatt az előző adatszolgáltatási időszak vége és a jelenlegi adatszolgáltatási időszak vége között bekövetkezett változás. Ide értendők az intézmény eszközeinek értékelt minőségében a hitelfelvevői kockázat változásai, például a minősítési kategória módosulása vagy hasonló hatások miatt bekövetkezett változások.</w:t>
            </w:r>
          </w:p>
          <w:p w14:paraId="24AF3901"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MODELLFRISSÍTÉSEK (+/–)</w:t>
            </w:r>
          </w:p>
          <w:p w14:paraId="1E1E2DE0"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a modellek frissítései miatt az előző adatszolgáltatási időszak vége és a jelenlegi adatszolgáltatási időszak vége között bekövetkezett változás. Ide értendők az új modellek bevezetése, a modellek változásai, a modell alkalmazási körének változásai vagy a modell hiányosságainak orvoslását célzó bármely egyéb változás miatt bekövetkezett változások.</w:t>
            </w:r>
          </w:p>
          <w:p w14:paraId="06D2AE7D"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MÓDSZERTAN ÉS POLITIKA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Ide értendők a számításokban a szabályozási politika változásai, így például a meglévő szabályok módosítása és új szabályok bevezetése miatt bekövetkezett módszertani változások, de nem tartoznak ide a modellek azon változásai, amelyeket a 0040-es sor tartalmaz. </w:t>
            </w:r>
          </w:p>
          <w:p w14:paraId="471E350E"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AKVIZÍCIÓK ÉS ELIDEGENÍTÉSEK (+/–)</w:t>
            </w:r>
          </w:p>
          <w:p w14:paraId="5F2DE967"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a felvásárlások és értékesítések miatt az előző adatszolgáltatási időszak vége és a jelenlegi adatszolgáltatási időszak vége között bekövetkezett változás, azaz a könyv nagyságában a gazdálkodó egységek felvásárlása és eladása miatt bekövetkezett változások.</w:t>
            </w:r>
          </w:p>
          <w:p w14:paraId="7F5FFA64"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DEVIZAÁRFOLYAM-MOZGÁSOK (+/–)</w:t>
            </w:r>
          </w:p>
          <w:p w14:paraId="018AAA5D"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a devizaárfolyam-mozgások miatt az előző beszámolási időszak vége és a folyó beszámolási időszak vége között bekövetkezett változások, azaz a devizaátszámítási mozgásokból eredő változások.</w:t>
            </w:r>
          </w:p>
          <w:p w14:paraId="3FB6626A"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EGYÉB (+/–)</w:t>
            </w:r>
          </w:p>
          <w:p w14:paraId="051040A7" w14:textId="77777777" w:rsidR="008151A6" w:rsidRPr="002A677E" w:rsidRDefault="008151A6" w:rsidP="00664874">
            <w:pPr>
              <w:rPr>
                <w:rFonts w:ascii="Times New Roman" w:hAnsi="Times New Roman"/>
                <w:sz w:val="24"/>
              </w:rPr>
            </w:pPr>
            <w:r>
              <w:rPr>
                <w:rFonts w:ascii="Times New Roman" w:hAnsi="Times New Roman"/>
                <w:sz w:val="24"/>
              </w:rPr>
              <w:t>A kockázattal súlyozott kitettségértékben egyéb tényezők miatt az előző adatszolgáltatási időszak vége és a jelenlegi adatszolgáltatási időszak vége között bekövetkezett változás.</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Ezt a kategóriát a más kategóriába nem sorolható változások kimutatására kell használni. </w:t>
            </w:r>
          </w:p>
          <w:p w14:paraId="4B3705AC" w14:textId="77777777" w:rsidR="008151A6" w:rsidRPr="002A677E" w:rsidRDefault="008151A6" w:rsidP="0044539D">
            <w:pPr>
              <w:rPr>
                <w:rFonts w:ascii="Times New Roman" w:hAnsi="Times New Roman"/>
                <w:sz w:val="24"/>
              </w:rPr>
            </w:pPr>
            <w:r>
              <w:rPr>
                <w:rFonts w:ascii="Times New Roman" w:hAnsi="Times New Roman"/>
                <w:sz w:val="24"/>
              </w:rPr>
              <w:lastRenderedPageBreak/>
              <w:t>A kockázattal súlyozott kitettségértékek növekedését pozitív összegként, a kockázattal súlyozott kitettségértékek csökkenését pedig negatív összegként kell feltüntetni.</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KOCKÁZATTAL SÚLYOZOTT KITETTSÉGÉRTÉK AZ ADATSZOLGÁLTATÁSI IDŐSZAK VÉGÉN</w:t>
            </w:r>
          </w:p>
          <w:p w14:paraId="35E1C96E" w14:textId="09B747F1" w:rsidR="008151A6" w:rsidRPr="002A677E" w:rsidRDefault="008151A6" w:rsidP="003F19BA">
            <w:pPr>
              <w:pStyle w:val="CommentText"/>
            </w:pPr>
            <w:r>
              <w:rPr>
                <w:rFonts w:ascii="Times New Roman" w:hAnsi="Times New Roman"/>
                <w:sz w:val="24"/>
              </w:rPr>
              <w:t>Kockázattal súlyozott kitettségérték az adatszolgáltatási időszakban, az 575/2013/EU rendelet 501. és 501a. cikkében meghatározott kkv-szorzó és infrastruktúra-szorzó alkalmazását követően.</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6039922"/>
      <w:r>
        <w:rPr>
          <w:rFonts w:ascii="Times New Roman" w:hAnsi="Times New Roman"/>
          <w:sz w:val="24"/>
        </w:rPr>
        <w:t>C 08.05 – Hitelkockázat és nyitva szállítások: IRB módszer szerinti tőkekövetelmény: PD utótesztelése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6039923"/>
      <w:r>
        <w:rPr>
          <w:rFonts w:ascii="Times New Roman" w:hAnsi="Times New Roman"/>
          <w:sz w:val="24"/>
        </w:rPr>
        <w:t>Általános megjegyzések</w:t>
      </w:r>
      <w:bookmarkEnd w:id="336"/>
      <w:bookmarkEnd w:id="337"/>
    </w:p>
    <w:p w14:paraId="687EBF72" w14:textId="1CAAE8AC"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80</w:t>
      </w:r>
      <w:r>
        <w:rPr>
          <w:noProof/>
        </w:rPr>
        <w:fldChar w:fldCharType="end"/>
      </w:r>
      <w:r w:rsidR="00C3070C">
        <w:t>. Az intézményeknek az ebben a táblában szereplő információkat az 575/2013/EU rendelet 452. cikke h) pontjának alkalmazásában kell megadniuk. Az intézménynek az egyes kitettségi osztályokon belül figyelembe kell vennie az alkalmazott modelleket, és be kell mutatnia az azon modellek hatálya alá tartozó releváns kitettségi osztály kockázattal súlyozott kitettségértékének százalékos arányát, amelyekre vonatkozóan itt az utótesztelés eredményeit kell feltüntetni. Ez a tábla nem tartalmazza a partnerkockázati kitettségeket (az 575/2013/EU rendelet harmadik része II. címének 6. fejezete).</w:t>
      </w:r>
    </w:p>
    <w:p w14:paraId="61836475" w14:textId="3C42119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6039924"/>
      <w:r>
        <w:rPr>
          <w:rFonts w:ascii="Times New Roman" w:hAnsi="Times New Roman"/>
          <w:sz w:val="24"/>
        </w:rPr>
        <w:t>Az egyes pozíciókra vonatkozó útmutató</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Oszlopok</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PD SZÁMTANI ÁTLAGA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A rögzített PD-sávba tartozó és a 0020-as oszlopban összegzett kötelezettek PD-értékének számtani átlaga az adatszolgáltatási időszak kezdetén (a kötelezettek számával súlyozott átlag).</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KÖTELEZETTEK SZÁMA AZ ELŐZŐ ÉV VÉGÉN</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Az adatszolgáltatásban feltüntetendő kötelezettek száma az előző év végén.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Minden olyan kötelezettet figyelembe kell venni, aki az adott időpontban hitelkötelezettséget vállalt. </w:t>
            </w:r>
          </w:p>
          <w:p w14:paraId="21BC54D4" w14:textId="77777777" w:rsidR="008151A6" w:rsidRPr="002A677E" w:rsidRDefault="008A0983" w:rsidP="008A0983">
            <w:pPr>
              <w:rPr>
                <w:rFonts w:ascii="Times New Roman" w:hAnsi="Times New Roman"/>
                <w:sz w:val="24"/>
              </w:rPr>
            </w:pPr>
            <w:r>
              <w:rPr>
                <w:rFonts w:ascii="Times New Roman" w:hAnsi="Times New Roman"/>
                <w:sz w:val="24"/>
              </w:rPr>
              <w:t>A kötelezettek számát a C 08.01. tábla 0300-as oszlopára vonatkozó útmutatónak megfelelően kell számba venni. A közös kötelezetteket ugyanúgy kell kezelni, mint a PD-kalibráció alkalmazásában.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EBBŐL: AZ ÉV SORÁN NEM TELJESÍTETT</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Az év (azaz a nemteljesítési arány számításának megfigyelési időszaka) során nemteljesítővé vált kötelezettek száma.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nemteljesítést az 575/2013/EU rendelet 178. cikkével összhangban kell megállapítani.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lastRenderedPageBreak/>
              <w:t>Minden egyes nemteljesítő kötelezettet csak egyszer kell figyelembe venni az egyéves nemteljesítési arány számításának számlálójában és nevezőjében, még akkor is, ha a kötelezett a vonatkozó egyéves időszak alatt egynél többször vált nemteljesítővé.</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MEGFIGYELT ÁTLAGOS NEMTELJESÍTÉSI ARÁNY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Az 575/2013/EU rendelet 4. cikke (1) bekezdésének 78. pontjában említett egyéves nemteljesítési arány.</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Az intézmények biztosítják, hogy:</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a) a nevező az egyéves megfigyelési időszak kezdetén (azaz az adatszolgáltatási vonatkozási időpontot megelőző év elején) bármely hitelkötelezettséggel rendelkező teljesítő kötelezettek számából áll; ebben az összefüggésben a hitelkötelezettség a következők mindegyikére vonatkozik: i. bármely mérlegen belüli tétel, beleértve a tőkeösszeget, a kamatot és a díjakat; ii. bármely mérlegen kívüli tétel, beleértve az intézmény mint garantőr által kibocsátott garanciákat;</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a számláló magában foglal minden olyan, a nevezőben figyelembe vett kötelezettet, amelynek az egyéves megfigyelési időszakban (az adatszolgáltatási vonatkozási időpontot megelőző évben) legalább egy nemteljesítési eseménye volt.</w:t>
            </w:r>
          </w:p>
          <w:p w14:paraId="2A4BCFA4" w14:textId="77777777" w:rsidR="008151A6" w:rsidRPr="002A677E" w:rsidRDefault="008151A6" w:rsidP="00851278">
            <w:pPr>
              <w:rPr>
                <w:rFonts w:ascii="Times New Roman" w:hAnsi="Times New Roman"/>
                <w:sz w:val="24"/>
              </w:rPr>
            </w:pPr>
            <w:r>
              <w:rPr>
                <w:rFonts w:ascii="Times New Roman" w:hAnsi="Times New Roman"/>
                <w:sz w:val="24"/>
              </w:rPr>
              <w:t>A kötelezettek számának kiszámításával kapcsolatban lásd a C 08.01. tábla 0300. oszlopát.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ÁTLAGOS MÚLTBELI ÉVES NEMTELJESÍTÉSI ARÁNY (%)</w:t>
            </w:r>
          </w:p>
          <w:p w14:paraId="3A64B738" w14:textId="77777777" w:rsidR="008151A6" w:rsidRPr="002A677E" w:rsidRDefault="00A5427A" w:rsidP="008E0688">
            <w:pPr>
              <w:rPr>
                <w:rFonts w:ascii="Times New Roman" w:hAnsi="Times New Roman"/>
                <w:sz w:val="24"/>
              </w:rPr>
            </w:pPr>
            <w:r>
              <w:rPr>
                <w:rFonts w:ascii="Times New Roman" w:hAnsi="Times New Roman"/>
                <w:sz w:val="24"/>
              </w:rPr>
              <w:t>Legalább a legutóbbi öt év éves nemteljesítési arányának egyszerű átlaga (az adott évben nemteljesítő kötelezettek száma minden év elején/az év elején meglévő összes kötelezett). Az intézmény figyelembe vehet olyan hosszabb időszakot is, amely összhangban van tényleges kockázatkezelési gyakorlatával.</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Sorok</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PD-SÁV</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adatszolgáltatási időszak elején becsült PD-értéke alapján (a hitelkockázat-mérséklésből eredő helyettesítési hatások figyelembevétele nélkül). Az intézményeknek minden kitettséget egyenként kell a táblában megadott PD-sávhoz hozzárendelniük, figyelembe véve a folyamatos skálaértékeket is. Valamennyi nemteljesítő kitettséget a 100 %-os PD-t képviselő kategóriának kell tartalmaznia.</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6039925"/>
      <w:r>
        <w:rPr>
          <w:rFonts w:ascii="Times New Roman" w:hAnsi="Times New Roman"/>
          <w:sz w:val="24"/>
        </w:rPr>
        <w:t>C 08.05.1 – Hitelkockázat és nyitva szállítások: IRB módszer szerinti tőkekövetelmény: A PD utótesztelése – az 575/2013/EU rendelet 180. cikke (1) bekezdése f) pontjának megfelelően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6039926"/>
      <w:r>
        <w:rPr>
          <w:rFonts w:ascii="Times New Roman" w:hAnsi="Times New Roman"/>
          <w:sz w:val="24"/>
        </w:rPr>
        <w:t>Az egyes pozíciókra vonatkozó útmutató</w:t>
      </w:r>
      <w:bookmarkEnd w:id="342"/>
      <w:bookmarkEnd w:id="343"/>
    </w:p>
    <w:p w14:paraId="126E5E9F" w14:textId="457F97C2"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81</w:t>
      </w:r>
      <w:r>
        <w:rPr>
          <w:noProof/>
        </w:rPr>
        <w:fldChar w:fldCharType="end"/>
      </w:r>
      <w:r w:rsidR="00C3070C">
        <w:t>. A C 08.05. táblán túlmenően az intézményeknek a C 08.05.1. táblában szereplő információkat is meg kell adniuk, amennyiben a PD-becslésre az 575/2013/EU rendelet 180. cikke (1) bekezdésének f) pontját alkalmazzák. Csak az e cikk szerinti PD-becslésekre kell információt szolgáltatni. A kitöltési útmutató megegyezik a C 08.05 táblához tartozókkal, a következő kivételekkel:</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lastRenderedPageBreak/>
              <w:t>Oszlopok</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PD-SÁV</w:t>
            </w:r>
          </w:p>
          <w:p w14:paraId="475EE092" w14:textId="77777777" w:rsidR="008151A6" w:rsidRPr="002A677E" w:rsidRDefault="008151A6" w:rsidP="00664874">
            <w:pPr>
              <w:rPr>
                <w:rFonts w:ascii="Times New Roman" w:hAnsi="Times New Roman"/>
                <w:sz w:val="24"/>
              </w:rPr>
            </w:pPr>
            <w:r>
              <w:rPr>
                <w:rFonts w:ascii="Times New Roman" w:hAnsi="Times New Roman"/>
                <w:sz w:val="24"/>
              </w:rPr>
              <w:t>Az intézményeknek a rögzített külső PD-sáv helyett a belső besorolásuknak megfelelően kell megadniuk a PD-sávokat, amelyeket hozzárendelnek a külső hitelminősítő intézmény által használt skálához.</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KÜLSŐ MINŐSÍTÉSBEN SZEREPLŐ MEGFELELŐ ÉRTÉK</w:t>
            </w:r>
          </w:p>
          <w:p w14:paraId="7891F0E7" w14:textId="4AEDBED9" w:rsidR="008151A6" w:rsidRPr="002A677E" w:rsidRDefault="00B7583B" w:rsidP="00E1685B">
            <w:pPr>
              <w:rPr>
                <w:rFonts w:ascii="Times New Roman" w:hAnsi="Times New Roman"/>
                <w:sz w:val="24"/>
              </w:rPr>
            </w:pPr>
            <w:r>
              <w:rPr>
                <w:rFonts w:ascii="Times New Roman" w:hAnsi="Times New Roman"/>
                <w:sz w:val="24"/>
              </w:rPr>
              <w:t>Az intézményeknek az 575/2013/EU rendelet 180. cikke (1) bekezdésének f) pontja szerint figyelembe vett külső hitelminősítő intézmények mindegyikére vonatkozóan egy-egy oszlopot kell megadniuk. Az intézményeknek ezekben az oszlopokban fel kell tüntetniük azt a külső minősítést, amelyhez a belső PD-sávjaikat hozzárendelték.</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6039927"/>
      <w:r>
        <w:rPr>
          <w:rFonts w:ascii="Times New Roman" w:hAnsi="Times New Roman"/>
          <w:sz w:val="24"/>
        </w:rPr>
        <w:t>C 08.06 – Hitelkockázat és nyitva szállítások: IRB módszer szerinti tőkekövetelmény: slotting módszer szerinti speciális hitelezési kitettségek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6039928"/>
      <w:r>
        <w:rPr>
          <w:rFonts w:ascii="Times New Roman" w:hAnsi="Times New Roman"/>
          <w:sz w:val="24"/>
        </w:rPr>
        <w:t>Általános megjegyzések</w:t>
      </w:r>
      <w:bookmarkEnd w:id="346"/>
      <w:bookmarkEnd w:id="347"/>
    </w:p>
    <w:p w14:paraId="281DDF45" w14:textId="04E30B7C"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82</w:t>
      </w:r>
      <w:r>
        <w:rPr>
          <w:noProof/>
        </w:rPr>
        <w:fldChar w:fldCharType="end"/>
      </w:r>
      <w:r w:rsidR="00C3070C">
        <w:t>. Az intézményeknek az ebben a táblában szereplő információkat az 575/2013/EU rendelet 438. cikke e) pontjának alkalmazásában kell megadniuk. Az intézményeknek a 153. cikk (5) bekezdésének 1. táblázatában említett speciális hitelezési kitettségek következő típusairól kell adatot szolgáltatniuk:</w:t>
      </w:r>
    </w:p>
    <w:p w14:paraId="1D0B1AA8" w14:textId="77777777" w:rsidR="008151A6" w:rsidRPr="002A677E" w:rsidRDefault="008151A6" w:rsidP="00CA5C85">
      <w:pPr>
        <w:pStyle w:val="InstructionsText2"/>
        <w:numPr>
          <w:ilvl w:val="1"/>
          <w:numId w:val="58"/>
        </w:numPr>
      </w:pPr>
      <w:r>
        <w:t>Projektfinanszírozás</w:t>
      </w:r>
      <w:bookmarkStart w:id="348" w:name="_GoBack"/>
      <w:bookmarkEnd w:id="348"/>
    </w:p>
    <w:p w14:paraId="4E0A6889" w14:textId="77777777" w:rsidR="008151A6" w:rsidRPr="002A677E" w:rsidRDefault="008151A6" w:rsidP="00CA5C85">
      <w:pPr>
        <w:pStyle w:val="InstructionsText2"/>
        <w:numPr>
          <w:ilvl w:val="1"/>
          <w:numId w:val="58"/>
        </w:numPr>
      </w:pPr>
      <w:r>
        <w:t>Jövedelemtermelő ingatlanok és magas volatilitású kereskedelmi ingatlanok</w:t>
      </w:r>
    </w:p>
    <w:p w14:paraId="005930E1" w14:textId="77777777" w:rsidR="008151A6" w:rsidRPr="002A677E" w:rsidRDefault="008151A6" w:rsidP="00CA5C85">
      <w:pPr>
        <w:pStyle w:val="InstructionsText2"/>
        <w:numPr>
          <w:ilvl w:val="1"/>
          <w:numId w:val="58"/>
        </w:numPr>
      </w:pPr>
      <w:r>
        <w:t>Tárgyieszköz-finanszírozás</w:t>
      </w:r>
    </w:p>
    <w:p w14:paraId="78B4EACC" w14:textId="77777777" w:rsidR="008151A6" w:rsidRPr="002A677E" w:rsidRDefault="008151A6" w:rsidP="00CA5C85">
      <w:pPr>
        <w:pStyle w:val="InstructionsText2"/>
        <w:numPr>
          <w:ilvl w:val="1"/>
          <w:numId w:val="58"/>
        </w:numPr>
      </w:pPr>
      <w:r>
        <w:t>Árufinanszírozás</w:t>
      </w:r>
    </w:p>
    <w:p w14:paraId="4FA083C1" w14:textId="3E267B04"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116039929"/>
      <w:r>
        <w:rPr>
          <w:rFonts w:ascii="Times New Roman" w:hAnsi="Times New Roman"/>
          <w:sz w:val="24"/>
        </w:rPr>
        <w:t>Az egyes pozíciókra vonatkozó útmutató</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Oszlopok</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HITEL-EGYENÉRTÉKESÍTÉSI TÉNYEZŐK ELŐTTI EREDETI KITETTSÉG</w:t>
            </w:r>
          </w:p>
          <w:p w14:paraId="32A139DA" w14:textId="77777777" w:rsidR="008151A6" w:rsidRPr="002A677E"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14:paraId="3A653499" w14:textId="77777777" w:rsidR="008151A6" w:rsidRPr="002A677E"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MÉRLEGEN KÍVÜLI TÉTELEK </w:t>
            </w:r>
          </w:p>
          <w:p w14:paraId="4ABA7FFD" w14:textId="77777777" w:rsidR="008151A6" w:rsidRPr="002A677E" w:rsidRDefault="008151A6" w:rsidP="00664874">
            <w:pPr>
              <w:rPr>
                <w:rFonts w:ascii="Times New Roman" w:hAnsi="Times New Roman"/>
                <w:sz w:val="24"/>
              </w:rPr>
            </w:pPr>
            <w:r>
              <w:rPr>
                <w:rFonts w:ascii="Times New Roman" w:hAnsi="Times New Roman"/>
                <w:sz w:val="24"/>
              </w:rPr>
              <w:t>Lásd a CR SA táblához tartozó útmutatót.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KITETTSÉGÉRTÉK</w:t>
            </w:r>
          </w:p>
          <w:p w14:paraId="1609B101" w14:textId="77777777" w:rsidR="008151A6" w:rsidRPr="002A677E"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EBBŐL: PARTNER-HITELKOCKÁZATBÓL SZÁRMAZÓ </w:t>
            </w:r>
          </w:p>
          <w:p w14:paraId="016DCD4A" w14:textId="77777777" w:rsidR="008151A6" w:rsidRPr="002A677E" w:rsidRDefault="008151A6" w:rsidP="00664874">
            <w:pPr>
              <w:rPr>
                <w:rFonts w:ascii="Times New Roman" w:hAnsi="Times New Roman"/>
                <w:sz w:val="24"/>
              </w:rPr>
            </w:pPr>
            <w:r>
              <w:rPr>
                <w:rFonts w:ascii="Times New Roman" w:hAnsi="Times New Roman"/>
                <w:sz w:val="24"/>
              </w:rPr>
              <w:t>Lásd a CR SA táblához tartozó útmutatót.</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KOCKÁZATI SÚLY:</w:t>
            </w:r>
          </w:p>
          <w:p w14:paraId="2750035C" w14:textId="6DBC2F7B" w:rsidR="002771C5" w:rsidRPr="002A677E" w:rsidRDefault="0044539D" w:rsidP="00664874">
            <w:pPr>
              <w:rPr>
                <w:rFonts w:ascii="Times New Roman" w:hAnsi="Times New Roman"/>
                <w:sz w:val="24"/>
              </w:rPr>
            </w:pPr>
            <w:r>
              <w:rPr>
                <w:rFonts w:ascii="Times New Roman" w:hAnsi="Times New Roman"/>
                <w:sz w:val="24"/>
              </w:rPr>
              <w:t>Az 575/2013/EU rendelet 153. cikkének (5) bekezdése.</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Ez egy információs célú, rögzített oszlop. Tartalma nem változtatható meg.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 SZORZÓK UTÁNI, KOCKÁZATTAL SÚLYOZOTT KITETTSÉGÉRTÉK</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Lásd a CR IRB táblához tartozó útmutatót.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VÁRHATÓ VESZTESÉGÉRTÉK</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t>Lásd a CR IRB táblához tartozó útmutatót.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ÉRTÉKELÉSI KORREKCIÓK ÉS CÉLTARTALÉKOK</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Lásd a CR IRB táblához tartozó útmutatót.</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Sorok</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A kitettségeket az 575/2013/EU rendelet 153. cikke (5) bekezdésében található 1. táblázat szerint a megfelelő kategóriába és lejárathoz kell hozzárendelni.</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2" w:name="_Toc116039930"/>
      <w:r>
        <w:rPr>
          <w:rFonts w:ascii="Times New Roman" w:hAnsi="Times New Roman"/>
          <w:sz w:val="24"/>
        </w:rPr>
        <w:t>C 08.07 – Hitelkockázat és nyitva szállítások: IRB módszer szerinti tőkekövetelmény: az IRB módszer és a sztenderd módszer alkalmazási köre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116039931"/>
      <w:r>
        <w:rPr>
          <w:rFonts w:ascii="Times New Roman" w:hAnsi="Times New Roman"/>
          <w:sz w:val="24"/>
        </w:rPr>
        <w:t>Általános megjegyzések</w:t>
      </w:r>
      <w:bookmarkEnd w:id="353"/>
      <w:bookmarkEnd w:id="354"/>
    </w:p>
    <w:p w14:paraId="5F11BD1F" w14:textId="5752E606"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83</w:t>
      </w:r>
      <w:r>
        <w:rPr>
          <w:noProof/>
        </w:rPr>
        <w:fldChar w:fldCharType="end"/>
      </w:r>
      <w:r w:rsidR="00C3070C">
        <w:t>. E tábla alkalmazásában a kockázattal súlyozott kitettségértéket a hitelkockázatra vonatkozó IRB módszer szerint számító intézmények feltüntetik az 575/2013/EU rendelet harmadik része II. címének 2. fejezetében meghatározott sztenderd módszer vagy az említett rendelet harmadik része II. címének 3. fejezetében meghatározott IRB módszer alá tartozó kitettségeiket, valamint az egyes kitettségi osztályoknak a fokozatos bevezetésre vonatkozó ütemezési terv hatálya alá tartozó részét. Az intézményeknek az ebben a táblában szereplő információkat kitettségi osztályok szerint kell megadniuk, a tábla soraiban szereplő kitettségi osztályok szerinti bontásban.</w:t>
      </w:r>
    </w:p>
    <w:p w14:paraId="4691373C" w14:textId="1FFDE600" w:rsidR="008151A6"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84</w:t>
      </w:r>
      <w:r>
        <w:rPr>
          <w:noProof/>
        </w:rPr>
        <w:fldChar w:fldCharType="end"/>
      </w:r>
      <w:r w:rsidR="00C3070C">
        <w:t>. A 0030–0050-es oszlopnak a kitettségek teljes spektrumát le kell fednie, így e három oszlop minden egyes sorának összege az összes kitettségi osztály értékpapírosítási pozíciók és levont pozíciók nélkül számított 100 %-a.</w:t>
      </w:r>
    </w:p>
    <w:p w14:paraId="4C00E4FE" w14:textId="0DCB5524"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116039932"/>
      <w:r>
        <w:rPr>
          <w:rFonts w:ascii="Times New Roman" w:hAnsi="Times New Roman"/>
          <w:sz w:val="24"/>
        </w:rPr>
        <w:lastRenderedPageBreak/>
        <w:t>Az egyes pozíciókra vonatkozó útmutató</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Oszlopok</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AZ 575/2013/EU RENDELET 166. CIKKÉBEN MEGHATÁROZOTT TELJES KITETTSÉGÉRTÉK</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Az intézmények az 575/2013/EU rendelet 166. cikke szerint számított, hitelkockázat-mérséklés előtti kitettségértéket tüntetik fel.</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 SZTENDERD MÓDSZER ÉS AZ IRB MÓDSZER HATÁLYA ALÁ TARTOZÓ TELJES KITETTSÉGÉRTÉK</w:t>
            </w:r>
          </w:p>
          <w:p w14:paraId="65EB5759" w14:textId="79462CE9" w:rsidR="008151A6" w:rsidRPr="002A677E" w:rsidRDefault="008151A6" w:rsidP="00EE6F6C">
            <w:pPr>
              <w:rPr>
                <w:rFonts w:ascii="Times New Roman" w:hAnsi="Times New Roman"/>
                <w:sz w:val="24"/>
              </w:rPr>
            </w:pPr>
            <w:r>
              <w:rPr>
                <w:rFonts w:ascii="Times New Roman" w:hAnsi="Times New Roman"/>
                <w:sz w:val="24"/>
              </w:rPr>
              <w:t>Az intézmények az 575/2013/EU rendelet 429. cikkének (4) bekezdése szerinti, a hitelkockázat-mérséklés előtti kitettségértéket használják a teljes kitettségérték meghatározásához, amely tartalmazza mind a sztenderd módszer szerinti kitettségeket, mind az IRB módszer szerinti kitettségeket.</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TARTÓS MENTESÍTÉS ALAPJÁN A SZTENDERD MÓDSZERREL KEZELT TELJES KITETTSÉGÉRTÉK SZÁZALÉKOS ARÁNYA (%)</w:t>
            </w:r>
          </w:p>
          <w:p w14:paraId="468D6087" w14:textId="1435E341" w:rsidR="008151A6" w:rsidRPr="002A677E" w:rsidRDefault="008151A6" w:rsidP="00EE6F6C">
            <w:pPr>
              <w:rPr>
                <w:rFonts w:ascii="Times New Roman" w:hAnsi="Times New Roman"/>
                <w:sz w:val="24"/>
              </w:rPr>
            </w:pPr>
            <w:r>
              <w:rPr>
                <w:rFonts w:ascii="Times New Roman" w:hAnsi="Times New Roman"/>
                <w:sz w:val="24"/>
              </w:rPr>
              <w:t>Az egyes kitettségi osztályokhoz tartozó kitettségeknek a sztenderd módszer hatálya alá tartozó része (a sztenderd módszer hatálya alá tartozó, hitelkockázat-mérséklés előtti kitettség a 0020-as oszlopban szereplő kitettségi osztály teljes kitettségén belül), figyelembe véve a sztenderd módszer tartós mentesítés alapján történő alkalmazására vonatkozó, az 575/2013/EU rendelet 150. cikkével összhangban az illetékes hatóságtól kapott engedély hatókörét.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 FOKOZATOS BEVEZETÉSRE VONATKOZÓ ÜTEMEZÉSI TERV HATÁLYA ALÁ TARTOZÓ TELJES KITETTSÉGÉRTÉK SZÁZALÉKOS ARÁNYA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Az egyes kitettségi osztályokhoz tartozó kitettségeknek az 575/2013/EU rendelet 148. cikke szerinti, az IRB módszer fokozatos bevezetésének hatálya alá tartozó része. Ezek közé tartoznak a következők: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azon kitettségek, ahol az intézmények az IRB módszer alkalmazását tervezik az LGD és a hitel-egyenértékesítési tényezők saját becslésével vagy anélkül (F-IRB és A-IRB);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a 0020-as vagy 0040-es oszlopban nem szereplő immateriális részvénykitettségek;</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az F-IRB hatálya alá tartozó azon kitettségek, amelyek esetében az intézmény a jövőben A-IRB alkalmazását tervezi;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a felügyeleti slotting módszer szerinti azon speciális hitelezési kitettségek, amelyek nem szerepelnek a 0040-es oszlopban.</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AZ IRB MÓDSZER HATÁLYA ALÁ TARTOZÓ TELJES KITETTSÉGÉRTÉK SZÁZALÉKOS ARÁNYA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 xml:space="preserve">Az egyes kitettségi osztályokhoz tartozó kitettségeknek az IRB módszer hatálya alá tartozó része (az IRB módszer hatálya alá tartozó, hitelkockázat-mérséklés előtti kitettség az adott kitettségi osztály teljes kitettségén belül), figyelembe véve az IRB módszer alkalmazására vonatkozó, az 575/2013/EU rendelet 143. cikkével összhangban az illetékes hatóságtól kapott engedély hatókörét. Ez magában foglalja azokat a kitettségeket, amelyek esetében az </w:t>
            </w:r>
            <w:r>
              <w:rPr>
                <w:rFonts w:ascii="Times New Roman" w:hAnsi="Times New Roman"/>
                <w:sz w:val="24"/>
              </w:rPr>
              <w:lastRenderedPageBreak/>
              <w:t>intézmények engedélyt kaptak az LGD és a hitel-egyenértékesítési tényezők saját becslésének alkalmazására, és azokat, amelyek esetében nem kaptak ilyen engedélyt (F-IRB és A-IRB), a felügyeleti slotting módszer hatálya alá tartozó speciális hitelezési kitettségeket és az egyszerű kockázati súlyozású részvényjellegű kitettségeket, valamint a C 08.01. tábla 0170. sorában feltüntetett kitettségeket.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Sorok</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Útmutató</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KITETTSÉGI OSZTÁLYOK</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Az intézményeknek az ebben a táblában szereplő információkat kitettségi osztályok szerint kell megadniuk, a tábla soraiban szereplő kitettségi osztályok szerinti bontásban.</w:t>
            </w:r>
          </w:p>
        </w:tc>
      </w:tr>
    </w:tbl>
    <w:p w14:paraId="666E7F64" w14:textId="77777777" w:rsidR="008151A6" w:rsidRPr="002A677E" w:rsidRDefault="008151A6" w:rsidP="00487A02">
      <w:pPr>
        <w:pStyle w:val="InstructionsText"/>
      </w:pPr>
    </w:p>
    <w:p w14:paraId="381A08C1" w14:textId="7266360F"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116039933"/>
      <w:r>
        <w:rPr>
          <w:rFonts w:ascii="Times New Roman" w:hAnsi="Times New Roman"/>
          <w:sz w:val="24"/>
          <w:u w:val="none"/>
        </w:rPr>
        <w:t>3.4.</w:t>
      </w:r>
      <w:r>
        <w:rPr>
          <w:rFonts w:ascii="Times New Roman" w:hAnsi="Times New Roman"/>
          <w:sz w:val="24"/>
          <w:u w:val="none"/>
        </w:rPr>
        <w:tab/>
      </w:r>
      <w:r>
        <w:rPr>
          <w:rFonts w:ascii="Times New Roman" w:hAnsi="Times New Roman"/>
          <w:sz w:val="24"/>
        </w:rPr>
        <w:t>Hitelkockázat, partnerkockázat és nyitva szállítások: földrajzi megoszlás</w:t>
      </w:r>
      <w:bookmarkEnd w:id="357"/>
      <w:bookmarkEnd w:id="358"/>
      <w:bookmarkEnd w:id="359"/>
    </w:p>
    <w:p w14:paraId="59CE9D64" w14:textId="77777777" w:rsidR="004357B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85</w:t>
      </w:r>
      <w:r>
        <w:rPr>
          <w:noProof/>
        </w:rPr>
        <w:fldChar w:fldCharType="end"/>
      </w:r>
      <w:r w:rsidR="00C3070C">
        <w:t>.</w:t>
      </w:r>
      <w:r w:rsidR="00C3070C">
        <w:tab/>
        <w:t>Minden intézménynek összesített szinten aggregált információkat kell benyújtania. Emellett az e végrehajtási rendelet 5. cikke (5) bekezdésében rögzített küszöbértéket elérő intézményeknek belföldre és külföldre vonatkozóan egyaránt, országonkénti bontásban adatot kell szolgáltatniuk. A küszöbérték kizárólag a CR GB 1 és a CR GB 2 táblára vonatkozik. A szupranacionális szervezetekkel szembeni kitettségeket az „Egyéb országok” földrajzi területhez kell sorolni.</w:t>
      </w:r>
    </w:p>
    <w:p w14:paraId="6678F7E4" w14:textId="77777777" w:rsidR="004357B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86</w:t>
      </w:r>
      <w:r>
        <w:rPr>
          <w:noProof/>
        </w:rPr>
        <w:fldChar w:fldCharType="end"/>
      </w:r>
      <w:r w:rsidR="00C3070C">
        <w:t>.</w:t>
      </w:r>
      <w:r w:rsidR="00C3070C">
        <w:tab/>
        <w:t>A kötelezett székhelye a kötelezett bejegyzése szerinti országot jelenti. A fogalom a közvetlen kötelezett és a végső kockázatviselő alapján is alkalmazható. A helyettesítési hatással járó hitelkockázat-mérséklési technikákkal módosítható egy kitettség ország szerinti besorolása. A szupranacionális szervezetekkel szembeni kitettségeket nem az intézmény székhelye szerinti országhoz, hanem az „Egyéb országok” földrajzi területhez kell sorolni, a szupranacionális szervezettel szembeni kitettség kitettségosztályától függetlenül.</w:t>
      </w:r>
    </w:p>
    <w:p w14:paraId="49CADB9D" w14:textId="77777777" w:rsidR="0096378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87</w:t>
      </w:r>
      <w:r>
        <w:rPr>
          <w:noProof/>
        </w:rPr>
        <w:fldChar w:fldCharType="end"/>
      </w:r>
      <w:r w:rsidR="00C3070C">
        <w:t>.</w:t>
      </w:r>
      <w:r w:rsidR="00C3070C">
        <w:tab/>
        <w:t>A hitel-egyenértékesítési tényezők előtti eredeti kitettségre vonatkozó adatokat a közvetlen kötelezett székhelye szerint kell feltüntetni. A kitettségértékre és kockázattal súlyozott kitettségértékre vonatkozó adatokat a végső kötelezett székhelye szerint kell feltüntetni.</w:t>
      </w:r>
    </w:p>
    <w:p w14:paraId="0658048F" w14:textId="2D1643E8"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116039934"/>
      <w:r>
        <w:rPr>
          <w:rFonts w:ascii="Times New Roman" w:hAnsi="Times New Roman"/>
          <w:sz w:val="24"/>
          <w:u w:val="none"/>
        </w:rPr>
        <w:t>3.4.1.</w:t>
      </w:r>
      <w:r>
        <w:rPr>
          <w:rFonts w:ascii="Times New Roman" w:hAnsi="Times New Roman"/>
          <w:sz w:val="24"/>
          <w:u w:val="none"/>
        </w:rPr>
        <w:tab/>
      </w:r>
      <w:r>
        <w:rPr>
          <w:rFonts w:ascii="Times New Roman" w:hAnsi="Times New Roman"/>
          <w:sz w:val="24"/>
        </w:rPr>
        <w:t>C 09.01 – Kitettségek földrajzi bontása a kötelezett illetősége szerint: SA-kitettségek (CR GB 1)</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116039935"/>
      <w:r>
        <w:rPr>
          <w:rFonts w:ascii="Times New Roman" w:hAnsi="Times New Roman"/>
          <w:sz w:val="24"/>
          <w:u w:val="none"/>
        </w:rPr>
        <w:t>3.4.1.1.</w:t>
      </w:r>
      <w:r>
        <w:rPr>
          <w:rFonts w:ascii="Times New Roman" w:hAnsi="Times New Roman"/>
          <w:sz w:val="24"/>
          <w:u w:val="none"/>
        </w:rPr>
        <w:tab/>
      </w:r>
      <w:r>
        <w:rPr>
          <w:rFonts w:ascii="Times New Roman" w:hAnsi="Times New Roman"/>
          <w:sz w:val="24"/>
        </w:rPr>
        <w:t>Az egyes pozíciókra vonatkozó útmutató</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Oszlopok</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HITEL-EGYENÉRTÉKESÍTÉSI TÉNYEZŐK ELŐTTI EREDETI KITETTSÉG</w:t>
            </w:r>
          </w:p>
          <w:p w14:paraId="00A439B8" w14:textId="77777777" w:rsidR="004357B9" w:rsidRPr="002A677E" w:rsidRDefault="004357B9" w:rsidP="004357B9">
            <w:pPr>
              <w:rPr>
                <w:rFonts w:ascii="Times New Roman" w:hAnsi="Times New Roman"/>
                <w:sz w:val="24"/>
              </w:rPr>
            </w:pPr>
            <w:r>
              <w:rPr>
                <w:rFonts w:ascii="Times New Roman" w:hAnsi="Times New Roman"/>
                <w:sz w:val="24"/>
              </w:rPr>
              <w:t>A CR SA tábla 0010-es oszlopával azonos meghatározás.</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Nemteljesítő kitettségek</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A nemteljesítő kitettségként besorolt kitettségek, valamint a „kiemelkedően magas kockázatú tételek” vagy a „részvényjellegű kitettségek” kitettségi osztályba sorolt nemteljesítő kitettségek hitel-egyenértékesítési tényezők előtti eredeti kitettsége.</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Ez a tájékoztató adat kiegészítő információt nyújt a nemteljesítő kitettségek kötelezetti struktúrájáról. </w:t>
            </w:r>
            <w:r>
              <w:rPr>
                <w:rFonts w:ascii="Times New Roman" w:hAnsi="Times New Roman"/>
                <w:sz w:val="24"/>
              </w:rPr>
              <w:t>Az 575/2013/EU rendelet 112. cikkének j) pontjában említett „nemteljesítő kitettségekhez” sorolt kitettségeket kell megadni, amelyeknél a kötelezettekről adatot kellett volna szolgáltatni, ha a kitettségek nem a „nemteljesítő kitettségek” kitettségi osztályba tartoznának.</w:t>
            </w:r>
            <w:r>
              <w:rPr>
                <w:rStyle w:val="InstructionsTabelleText"/>
                <w:rFonts w:ascii="Times New Roman" w:hAnsi="Times New Roman"/>
                <w:sz w:val="24"/>
              </w:rPr>
              <w:t xml:space="preserve"> </w:t>
            </w:r>
          </w:p>
          <w:p w14:paraId="2561BB51" w14:textId="24D64D14" w:rsidR="004357B9" w:rsidRPr="002A677E" w:rsidRDefault="004357B9" w:rsidP="00E1685B">
            <w:pPr>
              <w:rPr>
                <w:rFonts w:ascii="Times New Roman" w:hAnsi="Times New Roman"/>
                <w:sz w:val="24"/>
              </w:rPr>
            </w:pPr>
            <w:r>
              <w:rPr>
                <w:rFonts w:ascii="Times New Roman" w:hAnsi="Times New Roman"/>
                <w:sz w:val="24"/>
              </w:rPr>
              <w:t>A megadott érték tájékoztató adat, így nem érinti az 575/2013/EU rendelet 112. cikkének j), k), és p) pontjában említett „nemteljesítő kitettségek”, „kiemelkedően magas kockázatú tételek” vagy „részvényjellegű kitettségek” kitettségi osztályba sorolt, kockázattal súlyozott kitettségértékek kiszámítását.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abban a kitettségi osztályban kell feltüntetni, amelybe a kötelezett eredetileg tartozott.</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Az 575/2013/EU rendelet 110. cikkében és a 183/2014/EU rendeletben említett hitelkockázati kiigazítások. </w:t>
            </w:r>
          </w:p>
          <w:p w14:paraId="2551B30E" w14:textId="15F90C07" w:rsidR="00D95045" w:rsidRPr="002A677E" w:rsidRDefault="00D95045" w:rsidP="00D95045">
            <w:pPr>
              <w:rPr>
                <w:rFonts w:ascii="Times New Roman" w:hAnsi="Times New Roman"/>
                <w:sz w:val="24"/>
              </w:rPr>
            </w:pPr>
            <w:r>
              <w:rPr>
                <w:rFonts w:ascii="Times New Roman" w:hAnsi="Times New Roman"/>
                <w:sz w:val="24"/>
              </w:rPr>
              <w:t>A tétel azokat az általános hitelkockázati kiigazításokat foglalja magában, amelyek beszámíthatók a T2 tőkébe, az 575/2013/EU rendelet 62. cikkének c) pontjában említett felső határ alkalmazása előtt.</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A feltüntetendő értéknek tartalmaznia kell az adóhatásokat is.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Az 575/2013/EU rendelet 110. cikkében és a 183/2014/EU rendeletben említett hitelkockázati kiigazítások.</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Leírások</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Az IFRS 9 5.4.4. bekezdésében és B5.4.9. bekezdésében említett leírások.</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Kiegészítő értékelési korrekciók és egyéb szavatolótőke-csökkentések</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Az 575/2013/EU rendelet 111. cikkével összhangban.</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 összege.</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Kitettségérték</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SA tábla 0200-es oszlopával azonos meghatározás.</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SZORZÓK ELŐTTI, KOCKÁZATTAL SÚLYOZOTT KITETTSÉGÉRTÉK</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A CR SA tábla 0215-es oszlopával azonos meghatározás.</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 KOCKÁZATTAL SÚLYOZOTT KITETTSÉGÉRTÉK KKV-SZORZÓ MIATTI KORREKCIÓJA</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A CR SA tábla 0216-es oszlopával azonos meghatározás.</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 KOCKÁZATTAL SÚLYOZOTT KITETTSÉGÉRTÉK INFRASTRUKTÚRA-SZORZÓ MIATTI KORREKCIÓJA</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A CR SA tábla 0217-es oszlopával azonos meghatározás.</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SZORZÓK UTÁNI, KOCKÁZATTAL SÚLYOZOTT KITETTSÉGÉRTÉK</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t>A CR SA tábla 0220-es oszlopával azonos meghatározás.</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Sorok</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Központi kormányzatok vagy központi bankok</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Az 575/2013/EU rendelet 112. cikkének a) pontja.</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Regionális kormányzatok vagy helyi hatóságok</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b) pontja.</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Közszektorbeli intézmények</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c) pontja.</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Multilaterális fejlesztési bankok</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d) pontja.</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Nemzetközi szervezetek</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e) pontja.</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Intézmények</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f) pontja.</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Vállalkozások</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g) pontja.</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Lakosság</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h) pontja.</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Ingatlanra bejegyzett zálogjoggal fedezett kitettségek</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Az 575/2013/EU rendelet 112. cikkének i) pontja.</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Nemteljesítő kitettségek</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j) pontja.</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Kiemelkedően magas kockázatú tételek</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Az 575/2013/EU rendelet 112. cikkének k) pontja.</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Fedezett kötvények</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Az 575/2013/EU rendelet 112. cikkének l) pontja.</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Rövid távú hitelminősítéssel rendelkező intézményekkel és vállalkozásokkal szembeni követelések</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Az 575/2013/EU rendelet 112. cikkének n) pontja.</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Kollektív befektetési formák (KBF)</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Az 575/2013/EU rendelet 112. cikkének o) pontja.</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A 0141–0143-as sorok összege</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Az áttekintés elve</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0281. sorával azonos meghatározás</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 megbízatáson alapuló módszer</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0282. sorával azonos meghatározás</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Tartalékmódszer (Fall-back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0283. sorával azonos meghatározás</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Részvényjellegű kitettségek</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p) pontja.</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Egyéb kitettségek</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Az 575/2013/EU rendelet 112. cikkének q) pontja.</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Teljes kitettség</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4"/>
      <w:bookmarkStart w:id="368" w:name="_Toc473560915"/>
      <w:bookmarkStart w:id="369" w:name="_Toc116039936"/>
      <w:r>
        <w:rPr>
          <w:rFonts w:ascii="Times New Roman" w:hAnsi="Times New Roman"/>
          <w:sz w:val="24"/>
          <w:u w:val="none"/>
        </w:rPr>
        <w:lastRenderedPageBreak/>
        <w:t>3.4.2.</w:t>
      </w:r>
      <w:r>
        <w:rPr>
          <w:rFonts w:ascii="Times New Roman" w:hAnsi="Times New Roman"/>
          <w:sz w:val="24"/>
          <w:u w:val="none"/>
        </w:rPr>
        <w:tab/>
      </w:r>
      <w:r>
        <w:rPr>
          <w:rFonts w:ascii="Times New Roman" w:hAnsi="Times New Roman"/>
          <w:sz w:val="24"/>
        </w:rPr>
        <w:t xml:space="preserve">C 09.02 – Kitettségek földrajzi bontása a kötelezett illetősége szerint: IRB-kitettségek </w:t>
      </w:r>
      <w:bookmarkEnd w:id="367"/>
      <w:r>
        <w:rPr>
          <w:rFonts w:ascii="Times New Roman" w:hAnsi="Times New Roman"/>
          <w:sz w:val="24"/>
        </w:rPr>
        <w:t>(CR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116039937"/>
      <w:r>
        <w:rPr>
          <w:rFonts w:ascii="Times New Roman" w:hAnsi="Times New Roman"/>
          <w:sz w:val="24"/>
          <w:u w:val="none"/>
        </w:rPr>
        <w:t>3.4.2.1.</w:t>
      </w:r>
      <w:r>
        <w:rPr>
          <w:rFonts w:ascii="Times New Roman" w:hAnsi="Times New Roman"/>
          <w:sz w:val="24"/>
          <w:u w:val="none"/>
        </w:rPr>
        <w:tab/>
      </w:r>
      <w:r>
        <w:rPr>
          <w:rFonts w:ascii="Times New Roman" w:hAnsi="Times New Roman"/>
          <w:sz w:val="24"/>
        </w:rPr>
        <w:t>Az egyes pozíciókra vonatkozó útmutató</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Oszlopok</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 CR IRB tábla 0020-es oszlopával azonos meghatározás.</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Ebből: nemteljesítő</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Az 575/2013/EU rendelet 178. cikke szerint nemteljesítő kitettségként besorolt kitettségek eredeti kitettségértéke.</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t xml:space="preserve">A legutóbbi adatszolgáltatási vonatkozási időpont óta eltelt 3 hónap során a „nemteljesítő kitettségek” közé sorolt eredeti kitettségek összegét abban a kitettségi osztályban kell feltüntetni, amelybe a kötelezett eredetileg tartozott.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Az 575/2013/EU rendelet 110. cikkében és a 183/2014/EU rendeletben említett hitelkockázati kiigazítások.</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Az 575/2013/EU rendelet 110. cikkében és a 183/2014/EU rendeletben említett hitelkockázati kiigazítások.</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Leírások</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Az IFRS 9 5.4.4. bekezdésében és B5.4.9. bekezdésében említett leírások.</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BELSŐ MINŐSÍTÉSI SKÁLA / AZ ÜGYFÉLKATEGÓRIÁHOZ VAGY -HALMAZHOZ (POOLHOZ) RENDELT NEMTELJESÍTÉSI VALÓSZÍNŰSÉG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IRB tábla 0010-es oszlopával azonos meghatározás.</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KITETTSÉGGEL SÚLYOZOTT ÁTLAGOS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A CR IRB tábla 0230-as és 0240-es oszlopára vonatkozóval azonos meghatározás: a kitettséggel súlyozott átlagos LGD-érték (%) minden kitettségre utal, beleértve a nagy méretű pénzügyi ágazatbeli szervezetekkel és a nem szabályozott pénzügyi ágazatbeli szervezetekkel szembeni kitettségeket. </w:t>
            </w:r>
            <w:r>
              <w:rPr>
                <w:rFonts w:ascii="Times New Roman" w:hAnsi="Times New Roman"/>
                <w:sz w:val="24"/>
              </w:rPr>
              <w:t>Az 575/2013/EU rendelet 181. cikke (1) bekezdésének h) pontját kell alkalmazni.</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 xml:space="preserve">Olyan speciális hitelezési kitettségek esetében, amelyeknél a PD becsült érték, a jelentett értéknek vagy a becsült vagy a szabályozói LGD-értéknek kell lennie. Az 575/2013/EU </w:t>
            </w:r>
            <w:r>
              <w:rPr>
                <w:rFonts w:ascii="Times New Roman" w:hAnsi="Times New Roman"/>
                <w:sz w:val="24"/>
              </w:rPr>
              <w:lastRenderedPageBreak/>
              <w:t>rendelet 153. cikkének (5) bekezdésében említett speciális hitelezési kitettségek esetében nem lehet adatot szolgáltatni, mivel nem áll rendelkezésre adat.</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Ebből: nemteljesítő</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Az 575/2013/EU rendelet 178. cikke szerint nemteljesítő kitettségként besorolt kitettségek kitettséggel súlyozott LGD-értéke.</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Kitettségérték</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IRB tábla 0110-es oszlopával azonos meghatározás.</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SZORZÓK ELŐTTI, KOCKÁZATTAL SÚLYOZOTT KITETTSÉGÉRTÉK</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IRB tábla 0255-es oszlopával azonos meghatározás.</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Ebből: nemteljesítő</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t>Az 575/2013/EU rendelet 178. cikkének (1) bekezdése szerint nemteljesítő kitettségként besorolt kitettségek kockázattal súlyozott kitettségértéke.</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t>0121</w:t>
            </w:r>
          </w:p>
        </w:tc>
        <w:tc>
          <w:tcPr>
            <w:tcW w:w="8640" w:type="dxa"/>
          </w:tcPr>
          <w:p w14:paraId="6EC25E55"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 KOCKÁZATTAL SÚLYOZOTT KITETTSÉGÉRTÉK KKV-SZORZÓ MIATTI KORREKCIÓJA</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 CR IRB tábla 0256-es oszlopával azonos meghatározás.</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A KOCKÁZATTAL SÚLYOZOTT KITETTSÉGÉRTÉK INFRASTRUKTÚRA-SZORZÓ MIATTI KORREKCIÓJA</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A CR IRB tábla 0257-es oszlopával azonos meghatározás.</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 SZORZÓK UTÁNI, KOCKÁZATTAL SÚLYOZOTT KITETTSÉGÉRTÉK</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IRB tábla 0260-es oszlopával azonos meghatározás.</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VÁRHATÓ VESZTESÉGÉRTÉK</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A CR IRB tábla 0280-es oszlopával azonos meghatározás.</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Sorok</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Központi kormányzatok és központi bankok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Az 575/2013/EU rendelet 147. cikke (2) bekezdésének a) pontja.</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Intézmények</w:t>
            </w:r>
          </w:p>
          <w:p w14:paraId="001901B2" w14:textId="0C01B792" w:rsidR="004357B9" w:rsidRPr="002A677E" w:rsidRDefault="000737D3" w:rsidP="00D21B29">
            <w:pPr>
              <w:rPr>
                <w:rFonts w:ascii="Times New Roman" w:hAnsi="Times New Roman"/>
                <w:sz w:val="24"/>
              </w:rPr>
            </w:pPr>
            <w:r>
              <w:rPr>
                <w:rFonts w:ascii="Times New Roman" w:hAnsi="Times New Roman"/>
                <w:sz w:val="24"/>
              </w:rPr>
              <w:t>Az 575/2013/EU rendelet 147. cikke (2) bekezdésének b) pontja.</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Vállalkozások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Az 575/2013/EU rendelet 147. cikke (2) bekezdésének c) pontjában említett, vállalkozásokkal szembeni valamennyi kitettség.</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Ebből: speciális hitelezés (kivéve a slotting módszer szerinti speciális hitelezést)</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lastRenderedPageBreak/>
              <w:t>Az 575/2013/EU rendelet 147. cikke (8) bekezdésének a) pontja.</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Az adatszolgáltatás nem terjed ki az 575/2013/EU rendelet 153. cikkének (5) bekezdésében említett speciális hitelezési kitettségekre.</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lastRenderedPageBreak/>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Ebből: slotting módszer alá tartozó speciális hitelezés</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Az 575/2013/EU rendelet 147. cikke (8) bekezdésének a) pontja és 153. cikkének (5) bekezdése.</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Ebből: kkv</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Az 575/2013/EU rendelet 147. cikke (2) bekezdésének c) pontja.</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Az IRB módszer alkalmazásában az adatot szolgáltató intézmények a kkv-nak a belső kockázatkezelési folyamatokban alkalmazott belső fogalommeghatározását kötelesek használni.</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Lakosság</w:t>
            </w:r>
          </w:p>
          <w:p w14:paraId="2CC05E0F" w14:textId="4F17563C" w:rsidR="004357B9" w:rsidRPr="002A677E" w:rsidRDefault="004357B9" w:rsidP="003B2712">
            <w:pPr>
              <w:rPr>
                <w:rFonts w:ascii="Times New Roman" w:hAnsi="Times New Roman"/>
                <w:sz w:val="24"/>
              </w:rPr>
            </w:pPr>
            <w:r>
              <w:rPr>
                <w:rFonts w:ascii="Times New Roman" w:hAnsi="Times New Roman"/>
                <w:sz w:val="24"/>
              </w:rPr>
              <w:t>Az 575/2013/EU rendelet 147. cikke (2) bekezdésének d) pontjában említett valamennyi lakossági kitettség.</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Lakosság – ingatlannal fedezett kitettségek</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Ingatlannal fedezett, lakossággal szembeni kitettségek az 575/2013/EU rendelet 147. cikke (2) bekezdésének d) pontjában említetteknek megfelelően.</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Ingatlannal fedezett, lakossággal szembeni kitettségnek kell tekinteni minden biztosítékként elismert ingatlannal fedezett, lakossággal szembeni kitettséget, függetlenül a biztosíték értékének a kitettséghez viszonyított arányától vagy a hitel céljától.</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Kkv</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Ingatlannal fedezett, lakossággal szembeni kitettségek az 575/2013/EU rendelet 147. cikke (2) bekezdésének d) pontjában és a 154. cikkének (3) bekezdésében említetteknek megfelelően.</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Nem kkv</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Ingatlannal fedezett, lakossággal szembeni kitettségek az 575/2013/EU rendelet 147. cikke (2) bekezdésének d) pontjában említetteknek megfelelően.</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Lakosság – a rulírozó állományba beszámítható</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Lakossággal szembeni kitettségek az 575/2013/EU rendelet 147. cikke (2) bekezdésének d) pontja és a 154. cikk (4) bekezdése együttes alkalmazásával.</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Egyéb lakossági</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Az 575/2013/EU rendelet 147. cikke (2) bekezdésének d) pontjában említett, a 0070–0100-as sorban nem szereplő, egyéb lakossággal szembeni kitettségek.</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Kkv</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Az 575/2013/EU rendelet 147. cikke (2) bekezdésének d) pontjában említett, egyéb lakossággal szembeni, kkv-kal szembeni kitettségek.</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Nem kkv</w:t>
            </w:r>
          </w:p>
          <w:p w14:paraId="1538F6BF" w14:textId="5C4E7DD0" w:rsidR="004357B9" w:rsidRPr="002A677E" w:rsidRDefault="004357B9" w:rsidP="00DF4FF2">
            <w:pPr>
              <w:rPr>
                <w:rFonts w:ascii="Times New Roman" w:hAnsi="Times New Roman"/>
                <w:sz w:val="24"/>
              </w:rPr>
            </w:pPr>
            <w:r>
              <w:rPr>
                <w:rFonts w:ascii="Times New Roman" w:hAnsi="Times New Roman"/>
                <w:sz w:val="24"/>
              </w:rPr>
              <w:t>Az 575/2013/EU rendelet 147. cikke (2) bekezdésének d) pontjában említett, egyéb lakossággal szembeni, egyéni ügyfelekkel szembeni kitettségek</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Részvényjellegű kitettségek</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Az 575/2013/EU rendelet 147. cikke (2) bekezdésének e) pontjában említett részvényjellegű kitettségek.</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Teljes kitettség</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6"/>
      <w:bookmarkStart w:id="374" w:name="_Toc473560917"/>
      <w:bookmarkStart w:id="375" w:name="_Toc116039938"/>
      <w:r>
        <w:rPr>
          <w:rFonts w:ascii="Times New Roman" w:hAnsi="Times New Roman"/>
          <w:sz w:val="24"/>
          <w:u w:val="none"/>
        </w:rPr>
        <w:t>3.4.3.</w:t>
      </w:r>
      <w:r>
        <w:rPr>
          <w:rFonts w:ascii="Times New Roman" w:hAnsi="Times New Roman"/>
          <w:sz w:val="24"/>
          <w:u w:val="none"/>
        </w:rPr>
        <w:tab/>
      </w:r>
      <w:r>
        <w:rPr>
          <w:rFonts w:ascii="Times New Roman" w:hAnsi="Times New Roman"/>
          <w:sz w:val="24"/>
        </w:rPr>
        <w:t>C 09.04 – A lényeges hitelkockázati kitettségek országonkénti bontása az anticiklikus tőkepuffer és az intézményspecifikus anticiklikus tőkepuffer kiszámításához</w:t>
      </w:r>
      <w:bookmarkEnd w:id="373"/>
      <w:r>
        <w:rPr>
          <w:rFonts w:ascii="Times New Roman" w:hAnsi="Times New Roman"/>
          <w:sz w:val="24"/>
        </w:rPr>
        <w:t xml:space="preserve"> (CCB)</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116039939"/>
      <w:r>
        <w:rPr>
          <w:rFonts w:ascii="Times New Roman" w:hAnsi="Times New Roman"/>
          <w:sz w:val="24"/>
          <w:u w:val="none"/>
        </w:rPr>
        <w:t>3.4.3.1.</w:t>
      </w:r>
      <w:r>
        <w:rPr>
          <w:rFonts w:ascii="Times New Roman" w:hAnsi="Times New Roman"/>
          <w:sz w:val="24"/>
          <w:u w:val="none"/>
        </w:rPr>
        <w:tab/>
      </w:r>
      <w:r>
        <w:rPr>
          <w:rFonts w:ascii="Times New Roman" w:hAnsi="Times New Roman"/>
          <w:sz w:val="24"/>
        </w:rPr>
        <w:t>Általános megjegyzések</w:t>
      </w:r>
      <w:bookmarkEnd w:id="376"/>
      <w:bookmarkEnd w:id="377"/>
      <w:bookmarkEnd w:id="378"/>
    </w:p>
    <w:p w14:paraId="31C3185E" w14:textId="65479B1C" w:rsidR="00430F6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88</w:t>
      </w:r>
      <w:r>
        <w:rPr>
          <w:noProof/>
        </w:rPr>
        <w:fldChar w:fldCharType="end"/>
      </w:r>
      <w:r w:rsidR="00C3070C">
        <w:t>.</w:t>
      </w:r>
      <w:r w:rsidR="00C3070C">
        <w:tab/>
        <w:t xml:space="preserve">A tábla célja bővebb információ gyűjtése az intézményspecifikus anticiklikus tőkepuffer elemeiről. Az előírt információ az 575/2013/EU rendelet harmadik része II. és IV. címének megfelelően meghatározott szavatolótőke-követelményre, a hitelkockázati kitettségek földrajzi helyére, az intézményspecifikus anticiklikus tőkepuffernek a 2013/36/EU irányelv140. cikke szerinti (lényeges hitelkockázati kitettség) számításához releváns értékpapírosítási kitettségekre és kereskedési könyvi kitettségekre vonatkozik. </w:t>
      </w:r>
    </w:p>
    <w:p w14:paraId="248A8B84" w14:textId="77777777" w:rsidR="00430F6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89</w:t>
      </w:r>
      <w:r>
        <w:rPr>
          <w:noProof/>
        </w:rPr>
        <w:fldChar w:fldCharType="end"/>
      </w:r>
      <w:r w:rsidR="00C3070C">
        <w:t>.</w:t>
      </w:r>
      <w:r w:rsidR="00C3070C">
        <w:tab/>
        <w:t xml:space="preserve">A C 09.04. táblában meg kell adni a lényeges hitelkockázati kitettségekre vonatkozó összesített („Összesen”) adatot e kitettségek helye szerinti valamennyi joghatóság tekintetében, továbbá egyedileg az egyes olyan joghatóságokra vonatkozóan, ahol a lényeges hitelkockázati kitettségek elhelyezkednek. Az összesített adatokat és az egyes joghatóságokra vonatkozó információkat külön dimenzióban kell megadni. </w:t>
      </w:r>
    </w:p>
    <w:p w14:paraId="721717B9" w14:textId="77777777" w:rsidR="007463E2"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90</w:t>
      </w:r>
      <w:r>
        <w:rPr>
          <w:noProof/>
        </w:rPr>
        <w:fldChar w:fldCharType="end"/>
      </w:r>
      <w:r w:rsidR="00C3070C">
        <w:t>.</w:t>
      </w:r>
      <w:r w:rsidR="00C3070C">
        <w:tab/>
        <w:t>Az e végrehajtási rendelet 5. cikke (5) bekezdésében rögzített küszöbérték az e megoszlás szerinti adatszolgáltatás szempontjából nem alkalmazandó.</w:t>
      </w:r>
    </w:p>
    <w:p w14:paraId="7AF60D10" w14:textId="77777777" w:rsidR="005A7CA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91</w:t>
      </w:r>
      <w:r>
        <w:rPr>
          <w:noProof/>
        </w:rPr>
        <w:fldChar w:fldCharType="end"/>
      </w:r>
      <w:r w:rsidR="00C3070C">
        <w:t>.</w:t>
      </w:r>
      <w:r w:rsidR="00C3070C">
        <w:tab/>
        <w:t>A földrajzi hely meghatározásához a kitettségek hozzárendelése az 1152/2014/EU felhatalmazáson alapuló bizottsági rendeletben előírtaknak megfelelően közvetlen kötelezetti alapon történik</w:t>
      </w:r>
      <w:r w:rsidR="003B2712" w:rsidRPr="002A677E">
        <w:footnoteReference w:id="5"/>
      </w:r>
      <w:r w:rsidR="00C3070C">
        <w:t>. Ezért a hitelkockázat-mérséklési technikák nem változtatják meg egy kitettség földrajzi helyhez való hozzárendelését az e táblában meghatározott információ megadása céljából.</w:t>
      </w:r>
    </w:p>
    <w:p w14:paraId="4C601E91" w14:textId="5694BF39"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116039940"/>
      <w:r>
        <w:rPr>
          <w:rFonts w:ascii="Times New Roman" w:hAnsi="Times New Roman"/>
          <w:sz w:val="24"/>
          <w:u w:val="none"/>
        </w:rPr>
        <w:t>3.4.3.2.</w:t>
      </w:r>
      <w:r>
        <w:rPr>
          <w:rFonts w:ascii="Times New Roman" w:hAnsi="Times New Roman"/>
          <w:sz w:val="24"/>
          <w:u w:val="none"/>
        </w:rPr>
        <w:tab/>
      </w:r>
      <w:r>
        <w:rPr>
          <w:rFonts w:ascii="Times New Roman" w:hAnsi="Times New Roman"/>
          <w:sz w:val="24"/>
        </w:rPr>
        <w:t>Az egyes pozíciókra vonatkozó útmutató</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Oszlopok</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lastRenderedPageBreak/>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Összeg</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A lényeges hitelkockázati kitettségek értéke és a kapcsolódó szavatolótőke-követelmények az adott sorra vonatkozó útmutatónak megfelelően meghatározva.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Százalék</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Kvalitatív információk</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Ezt az információt csak az intézmény székhelye szerinti országra vonatkozóan kell megadni (az intézmény székhelye szerinti tagállamnak megfelelő joghatóság), és meg kell adni az „Összesen” adatot az összes országra vonatkozóan.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Az intézménynek {y} vagy {n} adatot kell megadnia a megfelelő sorra vonatkozó útmutatóval összhangban.</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Sorok</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Lényeges hitelkockázati kitettségek – hitelkockázat</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A 2013/36/EU irányelv 140. cikke (4) bekezdésének a) pontjában említett lényeges hitelkockázati kitettségek.</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Kitettségérték a sztenderd módszer szerint</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 2013/36/EU irányelv 140. cikke (4) bekezdése a) pontjában említett lényeges hitelkockázati kitettségekre vonatkozó, az 575/2013/EU rendelet 111. cikkének megfelelően kiszámított kitettségérték.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A banki könyvi értékpapírosítási pozíciók kitettségértékét ebben a sorban nem kell megadni, hanem az 0055-ös sorban kell jelenteni.</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Kitettségérték az IRB módszer szerint</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 2013/36/EU irányelv 140. cikke (4) bekezdése a) pontjában említett lényeges hitelkockázati kitettségekre vonatkozó, az 575/2013/EU rendelet 166. cikkének megfelelően kiszámított kitettségérték.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A banki könyvi értékpapírosítási pozíciók kitettségértékét ebben a sorban nem kell megadni, hanem az 0055-ös sorban kell jelenteni.</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Lényeges hitelkockázati kitettségek – piaci kockázat</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A 2013/36/EU irányelv 140. cikke (4) bekezdésének b) pontjában említett lényeges hitelkockázati kitettségek.</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Kereskedési könyvi kitettségek hosszú és rövid pozícióinak összege a sztenderd módszer szerint</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A 2013/36/EU irányelv 140. cikke (4) bekezdésének b) pontjában említett, az 575/2013/EU rendelet harmadik része IV. címe 2. fejezetében előírt szavatolótőke-követelmények hatálya alá tartozó lényeges hitelkockázati kitettségek nettó hosszú és rövid pozícióinak összege az 575/2013/EU rendelet 327. cikkének megfelelően: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lastRenderedPageBreak/>
              <w:t>-</w:t>
            </w:r>
            <w:r>
              <w:rPr>
                <w:rFonts w:ascii="Times New Roman" w:hAnsi="Times New Roman"/>
                <w:sz w:val="24"/>
              </w:rPr>
              <w:tab/>
              <w:t>hitelviszonyt megtestesítő instrumentumokkal szembeni, értékpapírosítástól eltérő kitettségek,</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kereskedési könyvi értékpapírosítási pozíciókkal szembeni kitettségek,</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korrelációkereskedési portfóliókkal szembeni kitettségek,</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tulajdonviszonyt megtestesítő instrumentumokkal szembeni kitettségek,</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kollektív befektetési formákkal szembeni kitettségek, ha a tőkekövetelmény kiszámítása az 575/2013/EU rendelet 348. cikke szerint történik.</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Kereskedési könyvi kitettségek értéke a belső modellek szerint</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 2013/36/EU irányelv 140. cikke (4) bekezdésének b) pontjában említett, az 575/2013/EU rendelet harmadik része IV. címe 2. és 5. fejezetében előírt szavatolótőke-követelmények hatálya alá tartozó lényeges hitelkockázati kitettségek esetében a következők összegét kell jelenteni:</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olyan nem származtatott pozícióknak az 575/2013/EU rendelet 104. cikkével összhangban meghatározott valós értéke, amelyek a 2013/36/EU irányelv 140. cikke (4) bekezdésének b) pontjában említett lényeges hitelkockázati kitettségeket jelentenek;</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olyan származtatott ügyletek névleges értéke, amelyek a 2013/36/EU irányelv 140. cikke (4) bekezdésének b) pontjában említett lényeges hitelkockázati kitettségeket jelentenek.</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Lényeges hitelkockázati kitettségek – banki könyvi értékpapírosítási pozíciók</w:t>
            </w:r>
          </w:p>
          <w:p w14:paraId="34F2C8C1" w14:textId="0B7A02EC" w:rsidR="00BD5485" w:rsidRPr="002A677E" w:rsidRDefault="00C44421" w:rsidP="00A37A04">
            <w:pPr>
              <w:rPr>
                <w:rFonts w:ascii="Times New Roman" w:hAnsi="Times New Roman"/>
                <w:sz w:val="24"/>
              </w:rPr>
            </w:pPr>
            <w:r>
              <w:rPr>
                <w:rFonts w:ascii="Times New Roman" w:hAnsi="Times New Roman"/>
                <w:sz w:val="24"/>
              </w:rPr>
              <w:t>A 2013/36/EU irányelv 140. cikke (4) bekezdése c) pontjában említett lényeges hitelkockázati kitettségekre vonatkozó, az 575/2013/EU rendelet 248. cikkének megfelelően kiszámított kitettségérték.</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Szavatolótőke-követelmények és súlyok</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Az anticiklikus tőkepufferre vonatkozó teljes szavatolótőke-követelmény</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A 0080-as, 0090-es és 0100-as sorok összege.</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A lényeges hitelkockázati kitettségekre vonatkozó szavatolótőke-követelmény – hitelkockázat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 2013/36/EU irányelv 140. cikke (4) bekezdésének a) pontjában említett lényeges hitelkockázati kitettségekre vonatkozó, az 575/2013/EU rendelet harmadik része II. címe 1–4. és 6. fejezete szerint kiszámított szavatolótőke-követelmények a szóban forgó országban.</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 banki könyvi értékpapírosítási pozíciókra vonatkozó szavatolótőke-követelményeket ebben a sorban nem kell megadni, hanem a 0100-as sorban kell jelenteni.</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A szavatolótőke-követelmény az 575/2013/EU rendelet harmadik része II. címe 1–4. és 6. fejezete szerint meghatározott kockázattal súlyozott kitettségérték 8 %-a.</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A lényeges hitelkockázati kitettségekre vonatkozó szavatolótőke-követelmény – piaci kockázat </w:t>
            </w:r>
          </w:p>
          <w:p w14:paraId="7806E83A" w14:textId="00A9040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 2013/36/EU irányelv 140. cikke (4) bekezdése b) pontjában említett lényeges hitelkockázati kitettségekre vonatkozó, az egyedi kockázat esetében az 575/2013/EU rendelet harmadik része IV. címe 2. fejezetének megfelelően kiszámított szavato</w:t>
            </w:r>
            <w:r>
              <w:rPr>
                <w:rFonts w:ascii="Times New Roman" w:hAnsi="Times New Roman"/>
                <w:sz w:val="24"/>
              </w:rPr>
              <w:lastRenderedPageBreak/>
              <w:t xml:space="preserve">lótőke-követelmény, vagy a járulékos nemteljesítési és átminősítési kockázat esetében az 575/2013/EU rendelet harmadik része IV. címének 5. fejezete szerint kiszámított szavatolótőke-követelmény a szóban forgó országban.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A lényeges hitelkockázati kitettségekre vonatkozó szavatolótőke-követelmények a piaci kockázati szabályok értelmében többek között magukban foglalják az értékpapírosítási pozíciókra vonatkozó, az 575/2013/EU rendelet harmadik része IV. címe 2. fejezete szerint kiszámított szavatolótőke-követelményeket, továbbá a kollektív befektetési formákkal szembeni kitettségekre vonatkozó, az említett rendelet 348. cikkének megfelelően meghatározott szavatolótőke-követelményeket.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A lényeges hitelkockázati kitettségekre vonatkozó szavatolótőke-követelmény – banki könyvi értékpapírosítási pozíciók</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A 2013/36/EU irányelv 140. cikke (4) bekezdésének c) pontjában említett lényeges hitelkockázati kitettségekre vonatkozó, az 575/2013/EU rendelet harmadik része II. címe 5. fejezete szerint kiszámított szavatolótőke-követelmények a szóban forgó országban.</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A szavatolótőke-követelmény az 575/2013/EU rendelet harmadik része II. címe 5. fejezete szerint meghatározott kockázattal súlyozott kitettségérték 8 %-a.</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Szavatolótőke-követelmények súlyai</w:t>
            </w:r>
          </w:p>
          <w:p w14:paraId="21DBAB49" w14:textId="77777777" w:rsidR="00966663" w:rsidRPr="002A677E" w:rsidRDefault="00966663" w:rsidP="00966663">
            <w:pPr>
              <w:rPr>
                <w:rFonts w:ascii="Times New Roman" w:hAnsi="Times New Roman"/>
                <w:sz w:val="24"/>
              </w:rPr>
            </w:pPr>
            <w:r>
              <w:rPr>
                <w:rFonts w:ascii="Times New Roman" w:hAnsi="Times New Roman"/>
                <w:sz w:val="24"/>
              </w:rPr>
              <w:t>Az egyes országokban az anticiklikustőkepuffer-rátára alkalmazott súly a következőképpen meghatározott szavatolótőke-követelmény arányában kerül kiszámításra:</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rPr>
                <w:rFonts w:ascii="Times New Roman" w:hAnsi="Times New Roman"/>
                <w:sz w:val="24"/>
              </w:rPr>
              <w:tab/>
              <w:t xml:space="preserve">Számláló: A szóban forgó országban a lényeges hitelkockázati kitettségekhez kapcsolódó teljes szavatolótőke-követelmény [r0070; c0010; országadatlap],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t>2.</w:t>
            </w:r>
            <w:r>
              <w:rPr>
                <w:rFonts w:ascii="Times New Roman" w:hAnsi="Times New Roman"/>
                <w:sz w:val="24"/>
              </w:rPr>
              <w:tab/>
              <w:t>Nevező: A 2013/36/EU irányelv 140. cikkének (4) bekezdésében említett anticiklikus puffer kiszámításához releváns valamennyi hitelkockázati kitettséghez kapcsolódó teljes szavatolótőke-követelmény [r0070; c0010; „Összesen”].</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A szavatolótőke-követelményekhez tartozó súlyokra vonatkozó adatokat nem kell megadni az összes országra vonatkozó összesített („Összesen”) adatban.</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Anticiklikustőkepuffer-ráták</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A kijelölt hatóság által meghatározott anticiklikustőkepuffer-ráta</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országra vonatkozóan az adott ország kijelölt hatósága által megállapított anticiklikustőkepuffer-ráta a 2013/36/EU irányelv 136., 137., 139. cikkének, 140. cikke (2) bekezdése a) és c) pontjának, valamint 140. cikke (3) bekezdése b) pontjának megfelelően.</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Ezt a sort üresen kell hagyni, amennyiben a kijelölt hatóság nem állapított meg anticiklikustőkepuffer-rátát a szóban forgó országra vonatkozóan.</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 kijelölt hatóság által megállapított, de az adatszolgáltatás vonatkozási időpontjában a szóban forgó országban még nem alkalmazandó anticiklikustőkepuffer-rátát nem kell jelenteni.</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A kijelölt hatóság által megállapított anticiklikustőkepuffer-rátára vonatkozó adatot nem kell jelenteni az összes országra vonatkozó összesített („Összesen”) adatban.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Az intézmény helye szerinti országban alkalmazandó anticiklikustőkepuffer-ráta</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országban alkalmazandó anticiklikustőkepuffer-ráta, amelyet az intézmény székhelye szerinti ország kijelölt hatósága állapított meg a 2013/36/EU irányelv 137., 138., 139. cikkének és 140. cikke (2) bekezdése b) pontjának, valamint 140. cikke (3) bekezdése a) pontjának megfelelően. Az adatszolgáltatás vonatkozási időpontjában még nem alkalmazandó anticiklikustőkepuffer-rátákat nem kell jelenteni.</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Az intézmény országában alkalmazandó anticiklikustőkepuffer-rátára vonatkozó adatot nem kell jelenteni az összes országra vonatkozó összesített („Összesen”) adatban.</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Intézményspecifikus anticiklikustőkepuffer-ráta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A 2013/36/EU irányelv 140. cikke (1) bekezdésének megfelelően kiszámított intézményspecifikus anticiklikustőkepuffer-ráta.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Az intézményspecifikus anticiklikustőkepuffer-ráta az azon joghatóságokban alkalmazandó anticiklikustőkepuffer-ráták súlyozott átlaga, amelyekben az intézmény lényeges hitelkockázati kitettségei elhelyezkednek vagy amelyeket a 140. cikk céljából alkalmaznak a 2013/36/EU irányelv 139. cikkének (2) vagy (3) bekezdése értelmében. A releváns anticiklikustőkepuffer-rátát az [r0120; c0020; országadatlap] mezőben vagy adott esetben az [r0130; c0020; országadatlap] mezőben kell megadni.</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Az anticiklikustőkepuffer-rátára vonatkozóan az egyes országokban alkalmazandó súly a szavatolótőke-követelménynek a teljes szavatolótőke-követelményhez viszonyított aránya, és az [r0110; c0020; országadatlap] mezőben kell megadni.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Az intézményspecifikus anticiklikustőkepuffer-rátára vonatkozó adatot csak az összes országra vonatkozó összesített („Összesen”) adatban kell jelenteni, az egyes országokra vonatkozóan nem.</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t>0150–0160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2 %-os küszöbérték alkalmazása</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2 %-os küszöbérték alkalmazása az általános hitelkockázati kitettségekre</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2. cikke (5) bekezdése b) pontjának megfelelően azok a külföldi általános hitelkockázati kitettségek, amelyek együttesen nem haladják meg az adott intézmény összesített általános hitelkockázati, kereskedési könyvi és értékpapírosítási kitettségének 2 %-át, hozzárendelhetők az intézmény székhelye szerinti tagállamhoz. Az összesített általános hitelkockázati, kereskedési könyvi és értékpapírosítási kitettségeket az 1152/2014/EU felhatalmazáson alapuló bizottsági rendelet 2. cikke (5) bekezdése a) pontjának és 2. cikke (4) bekezdésének megfelelően lokalizált általános hitelkockázati kitettség kizárásával kell kiszámítani.</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Ha egy intézmény alkalmazza ezt az eltérést, a táblában a székhelye szerinti tagállamnak megfelelő joghatóság és az összes országra vonatkozó összesített („Összesen”) adat tekintetében „y”-t kell megadnia.</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Ha egy intézmény nem alkalmazza ezt az eltérést, a megfelelő cellában „n”-t kell megadnia.</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2 %-os küszöbérték alkalmazása a kereskedési könyvi kitettségekre</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3. cikke (3) bekezdésének megfelelően az intézmények a székhelyük szerinti tagállamhoz rendelhetik a kereskedési könyvi kitettségeket, amennyiben a teljes kereskedési könyvi kitettség nem haladja meg teljes általános hitelkockázati, kereskedési könyvi és értékpapírosítási kitettségük 2 %-át.</w:t>
            </w:r>
          </w:p>
          <w:p w14:paraId="035A6DB1" w14:textId="77777777" w:rsidR="006A3A82" w:rsidRPr="002A677E" w:rsidRDefault="006A3A82" w:rsidP="006A3A82">
            <w:pPr>
              <w:rPr>
                <w:rFonts w:ascii="Times New Roman" w:hAnsi="Times New Roman"/>
                <w:sz w:val="24"/>
              </w:rPr>
            </w:pPr>
            <w:r>
              <w:rPr>
                <w:rFonts w:ascii="Times New Roman" w:hAnsi="Times New Roman"/>
                <w:sz w:val="24"/>
              </w:rPr>
              <w:t>Ha egy intézmény alkalmazza ezt az eltérést, a táblában a székhelye szerinti tagállamnak megfelelő joghatóság és az összes országra vonatkozó összesített („Összesen”) adat tekintetében „y”-t kell megadnia.</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Ha egy intézmény nem alkalmazza ezt az eltérést, a megfelelő cellában „n”-t kell megadnia.</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2" w:name="_Toc295829919"/>
      <w:bookmarkStart w:id="383" w:name="_Toc310415031"/>
      <w:bookmarkStart w:id="384" w:name="_Toc360188369"/>
      <w:bookmarkStart w:id="385" w:name="_Toc473560920"/>
      <w:bookmarkStart w:id="386" w:name="_Toc116039941"/>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és C 10.02 – A belső minősítésen alapuló módszer szerinti részvényjellegű kitettségek</w:t>
      </w:r>
      <w:bookmarkEnd w:id="382"/>
      <w:r>
        <w:rPr>
          <w:rFonts w:ascii="Times New Roman" w:hAnsi="Times New Roman"/>
          <w:sz w:val="24"/>
        </w:rPr>
        <w:t xml:space="preserve"> </w:t>
      </w:r>
      <w:bookmarkEnd w:id="383"/>
      <w:bookmarkEnd w:id="384"/>
      <w:r>
        <w:rPr>
          <w:rFonts w:ascii="Times New Roman" w:hAnsi="Times New Roman"/>
          <w:sz w:val="24"/>
        </w:rPr>
        <w:t>(CR EQU IRB 1 és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116039942"/>
      <w:r>
        <w:rPr>
          <w:rFonts w:ascii="Times New Roman" w:hAnsi="Times New Roman"/>
          <w:sz w:val="24"/>
          <w:u w:val="none"/>
        </w:rPr>
        <w:t>3.5.1.</w:t>
      </w:r>
      <w:r>
        <w:rPr>
          <w:rFonts w:ascii="Times New Roman" w:hAnsi="Times New Roman"/>
          <w:sz w:val="24"/>
          <w:u w:val="none"/>
        </w:rPr>
        <w:tab/>
      </w:r>
      <w:r>
        <w:rPr>
          <w:rFonts w:ascii="Times New Roman" w:hAnsi="Times New Roman"/>
          <w:sz w:val="24"/>
        </w:rPr>
        <w:t>Általános megjegyzések</w:t>
      </w:r>
      <w:bookmarkEnd w:id="387"/>
      <w:bookmarkEnd w:id="388"/>
      <w:bookmarkEnd w:id="389"/>
      <w:bookmarkEnd w:id="390"/>
      <w:bookmarkEnd w:id="391"/>
      <w:bookmarkEnd w:id="392"/>
    </w:p>
    <w:p w14:paraId="76937939" w14:textId="77777777"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92</w:t>
      </w:r>
      <w:r>
        <w:rPr>
          <w:noProof/>
        </w:rPr>
        <w:fldChar w:fldCharType="end"/>
      </w:r>
      <w:r w:rsidR="00C3070C">
        <w:t>.</w:t>
      </w:r>
      <w:r w:rsidR="00C3070C">
        <w:tab/>
        <w:t>A CR EQU IRB két táblából áll: A CR EQU IRB 1 általános áttekintést nyújt a részvényjellegű kitettségi osztályba sorolt IRB kitettségekről, valamint a teljes kockázati kitettségértékek különböző számítási módszereiről. A CR EQU IRB 2 a teljes kitettségállományt ügyfélkategóriák szerinti bontásban mutatja be a PD/LGD-módszerrel összefüggésben. Az alábbi útmutatóban a CR EQU IRB megjelölés a CR EQU IRB 1 és CR EQU IRB 2 táblára egyaránt vonatkozik a helyzettől függően.</w:t>
      </w:r>
    </w:p>
    <w:p w14:paraId="129E6696" w14:textId="153C3578"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93</w:t>
      </w:r>
      <w:r>
        <w:rPr>
          <w:noProof/>
        </w:rPr>
        <w:fldChar w:fldCharType="end"/>
      </w:r>
      <w:r w:rsidR="00C3070C">
        <w:t>.</w:t>
      </w:r>
      <w:r w:rsidR="00C3070C">
        <w:tab/>
        <w:t>A CR EQU IRB tábla a kockázattal súlyozott hitelkockázati kitettségértékeknek (az 575/2013/EU rendelet 92. cikke (3) bekezdésének a) pontja) az 575/2013/EU rendelet harmadik része II. címének 3. fejezete szerinti kiszámításával kapcsolatos információkat nyújt az említett rendelet 147. cikke (2) bekezdésének e) pontjában említett részvényjellegű kitettségekre vonatkozóan.</w:t>
      </w:r>
    </w:p>
    <w:p w14:paraId="61D24B1A" w14:textId="3361430C"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94</w:t>
      </w:r>
      <w:r>
        <w:rPr>
          <w:noProof/>
        </w:rPr>
        <w:fldChar w:fldCharType="end"/>
      </w:r>
      <w:r w:rsidR="00C3070C">
        <w:t>.</w:t>
      </w:r>
      <w:r w:rsidR="00C3070C">
        <w:tab/>
        <w:t>Az 575/2013/EU rendelet 147. cikkének (6) bekezdése szerint a következő kitettségeket a részvényjellegű kitettségi osztályba kell sorolni:</w:t>
      </w:r>
    </w:p>
    <w:p w14:paraId="5B9810A4" w14:textId="77777777" w:rsidR="00C61FF5" w:rsidRPr="002A677E" w:rsidRDefault="00125707" w:rsidP="00487A02">
      <w:pPr>
        <w:pStyle w:val="InstructionsText2"/>
        <w:numPr>
          <w:ilvl w:val="0"/>
          <w:numId w:val="0"/>
        </w:numPr>
        <w:ind w:left="1353" w:hanging="360"/>
      </w:pPr>
      <w:r>
        <w:t>a)</w:t>
      </w:r>
      <w:r>
        <w:tab/>
        <w:t>nem hitelviszonyt megtestesítő kitettségek, amelyek a kibocsátó eszközeivel vagy jövedelmével szembeni hátrasorolt maradványkövetelést testesítenek meg;</w:t>
      </w:r>
    </w:p>
    <w:p w14:paraId="73C34881" w14:textId="3555FA5A" w:rsidR="00C61FF5" w:rsidRPr="002A677E" w:rsidRDefault="00125707" w:rsidP="00487A02">
      <w:pPr>
        <w:pStyle w:val="InstructionsText2"/>
        <w:numPr>
          <w:ilvl w:val="0"/>
          <w:numId w:val="0"/>
        </w:numPr>
        <w:ind w:left="1353" w:hanging="360"/>
      </w:pPr>
      <w:r>
        <w:t>b)</w:t>
      </w:r>
      <w:r>
        <w:tab/>
        <w:t>hitelviszonyt megtestesítő kitettségek és egyéb értékpapírok, partnerségek, származtatott ügyletek és egyéb eszközök, amelyek gazdasági tartalma hasonló az a) pontban ismertetett kitettségekhez.</w:t>
      </w:r>
    </w:p>
    <w:p w14:paraId="25C17068" w14:textId="25040343"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95</w:t>
      </w:r>
      <w:r>
        <w:rPr>
          <w:noProof/>
        </w:rPr>
        <w:fldChar w:fldCharType="end"/>
      </w:r>
      <w:r w:rsidR="00C3070C">
        <w:t>.</w:t>
      </w:r>
      <w:r w:rsidR="00C3070C">
        <w:tab/>
        <w:t>A CR EQU IRB táblán kell feltüntetni továbbá az 575/2013/EU rendelet 152. cikke (4) bekezdésének a) pontjában említett egyszerű kockázati súlyozási módszerrel kezelt vagy az említett rendelet 152. cikke (6) bekezdése szerinti tartalékmódszerrel kezelt kollektív befektetési formákat is.</w:t>
      </w:r>
    </w:p>
    <w:p w14:paraId="0901FCDB" w14:textId="26601DE5" w:rsidR="00C61FF5"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96</w:t>
      </w:r>
      <w:r>
        <w:rPr>
          <w:noProof/>
        </w:rPr>
        <w:fldChar w:fldCharType="end"/>
      </w:r>
      <w:r w:rsidR="00C3070C">
        <w:t>.</w:t>
      </w:r>
      <w:r w:rsidR="00C3070C">
        <w:tab/>
        <w:t xml:space="preserve">Az 575/2013/EU rendelet 151. cikkének (1) bekezdése szerint az intézményeknek ki kell tölteniük a CR EQU IRB táblát akkor, ha az 575/2013/EU rendelet 155. cikkében említett három módszer valamelyikét alkalmazzák: </w:t>
      </w:r>
    </w:p>
    <w:p w14:paraId="2C4E2471" w14:textId="77777777" w:rsidR="00C61FF5" w:rsidRPr="002A677E" w:rsidRDefault="00C61FF5" w:rsidP="00487A02">
      <w:pPr>
        <w:pStyle w:val="InstructionsText"/>
      </w:pPr>
      <w:r>
        <w:t>– egyszerű kockázati súlyozási módszer;</w:t>
      </w:r>
    </w:p>
    <w:p w14:paraId="4CD8D672" w14:textId="77777777" w:rsidR="00C61FF5" w:rsidRPr="002A677E" w:rsidRDefault="00C61FF5" w:rsidP="00487A02">
      <w:pPr>
        <w:pStyle w:val="InstructionsText"/>
      </w:pPr>
      <w:r>
        <w:t>– PD/LGD-módszer;</w:t>
      </w:r>
    </w:p>
    <w:p w14:paraId="35A7B39F" w14:textId="5F994C21" w:rsidR="00C61FF5" w:rsidRDefault="00C61FF5" w:rsidP="00487A02">
      <w:pPr>
        <w:pStyle w:val="InstructionsText"/>
      </w:pPr>
      <w:r>
        <w:t>– belső modelleken alapuló módszer.</w:t>
      </w:r>
    </w:p>
    <w:p w14:paraId="170A8607" w14:textId="79E9B9CD" w:rsidR="00BB1DFE" w:rsidRPr="002A677E" w:rsidRDefault="00BB1DFE" w:rsidP="001235ED">
      <w:pPr>
        <w:pStyle w:val="InstructionsText"/>
        <w:ind w:left="1386"/>
      </w:pPr>
      <w:r>
        <w:t>Az 575/2013/EU rendelet 155. cikke szerint az intézmények a különböző portfóliók esetében különböző módszereket (egyszerű kockázati súlyozási módszere, PD/LGD-módszer, belső modelleken alapuló módszer) alkalmazhatnak, ha ezeket a módszereket a szervezeten belül alkalmazzák.</w:t>
      </w:r>
    </w:p>
    <w:p w14:paraId="7DA2BD4A" w14:textId="7C111B84" w:rsidR="00C61FF5" w:rsidRPr="002A677E" w:rsidRDefault="00C61FF5" w:rsidP="00487A02">
      <w:pPr>
        <w:pStyle w:val="InstructionsText"/>
        <w:ind w:left="1353"/>
      </w:pPr>
      <w:r>
        <w:t>Ezenfelül az IRB módszert alkalmazó intézményeknek a CR EQU IRB táblán adatot kell szolgáltatniuk az olyan részvényjellegű kitettségekre vonatkozó kockázattal súlyozott kitettségértékekről is, amelyekre fix kockázati súly vonatkozik (azonban az egyszerű kockázati súlyozási módszer kifejezett alkalmazása, vagy a hitelkockázati sztenderd módszer átmeneti vagy tartós mentesítés alapján történő alkalmazása nélkül; például az 575/2013/EU rendelet 48. cikkének (4) bekezdése szerint 250 %-os, a rendelet 471. cikkének (2) bekezdése szerint 370 %-os kockázati súllyal kezelt részvényjellegű kitettségek esetében).</w:t>
      </w:r>
    </w:p>
    <w:p w14:paraId="6744BA9D" w14:textId="77777777"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97</w:t>
      </w:r>
      <w:r>
        <w:rPr>
          <w:noProof/>
        </w:rPr>
        <w:fldChar w:fldCharType="end"/>
      </w:r>
      <w:r w:rsidR="00C3070C">
        <w:t>.</w:t>
      </w:r>
      <w:r w:rsidR="00C3070C">
        <w:tab/>
        <w:t>A CR EQU IRB táblán nem tüntethetők fel az alábbi részvényjellegű követelések:</w:t>
      </w:r>
    </w:p>
    <w:p w14:paraId="52B80741" w14:textId="295CAC5C" w:rsidR="00C61FF5" w:rsidRPr="002A677E" w:rsidRDefault="00C61FF5" w:rsidP="00487A02">
      <w:pPr>
        <w:pStyle w:val="InstructionsText"/>
        <w:ind w:left="1353"/>
      </w:pPr>
      <w:r>
        <w:t xml:space="preserve">– a kereskedési könyvben nyilvántartott részvényjellegű kitettségek (ha az intézmények nem mentesülnek a kereskedési könyvi pozíciókra vonatkozó szavatolótőke-követelmények kiszámítása alól (az 575/2013/EU rendelet 94. cikke)); </w:t>
      </w:r>
    </w:p>
    <w:p w14:paraId="78FB29DE" w14:textId="634D0482" w:rsidR="00C61FF5" w:rsidRPr="002A677E" w:rsidRDefault="00C61FF5" w:rsidP="00487A02">
      <w:pPr>
        <w:pStyle w:val="InstructionsText"/>
        <w:ind w:left="1353"/>
      </w:pPr>
      <w:r>
        <w:t>– a mentesítés alapján a sztenderd módszerrel kezelt részvényjellegű kitettségek (az 575/2013/EU rendelet 150. cikke), ezen belül:</w:t>
      </w:r>
    </w:p>
    <w:p w14:paraId="56822102" w14:textId="1CB2ED2F" w:rsidR="00C61FF5" w:rsidRPr="002A677E" w:rsidRDefault="00C61FF5" w:rsidP="00487A02">
      <w:pPr>
        <w:pStyle w:val="InstructionsText"/>
        <w:ind w:left="1353"/>
      </w:pPr>
      <w:r>
        <w:t>– az 575/2013/EU rendelet 495. cikkének (1) bekezdése szerint a szerzett jogok alapján figyelembe vett részvényjellegű kitettségek;</w:t>
      </w:r>
    </w:p>
    <w:p w14:paraId="59393134" w14:textId="0195DC0A" w:rsidR="00C61FF5" w:rsidRPr="002A677E" w:rsidRDefault="00C61FF5" w:rsidP="00487A02">
      <w:pPr>
        <w:pStyle w:val="InstructionsText"/>
        <w:ind w:left="1353"/>
      </w:pPr>
      <w:r>
        <w:t>– az olyan szervezetekkel szembeni részvényjellegű kitettségek, amelyek hitelkötelezettségei a sztenderd módszer alapján 0 %-os kockázati súlyt kapnak, ideértve azokat a köztámogatásban részesülő szervezeteket is, amelyeknél alkalmazható a 0 %-os kockázati súly (az 575/2013/EU rendelet 150. cikke (1) bekezdésének g) pontja);</w:t>
      </w:r>
    </w:p>
    <w:p w14:paraId="02216BD0" w14:textId="593717E7" w:rsidR="00C61FF5" w:rsidRPr="002A677E" w:rsidRDefault="00C61FF5" w:rsidP="00487A02">
      <w:pPr>
        <w:pStyle w:val="InstructionsText"/>
        <w:ind w:left="1353"/>
      </w:pPr>
      <w:r>
        <w:t>– a gazdaság meghatározott ágazatainak előmozdítására irányuló olyan állami programok keretében felmerült részvényjellegű kitettségek, amelyek esetében az intézmény jelentős támogatást kap a befektetésre, és amelyekre a kormányzati felvigyázás bizonyos formája és a tőkerészesedés-befektetések korlátozása vonatkozik (az 575/2013/EU rendelet 150. cikke (1) bekezdésének h) pontja);</w:t>
      </w:r>
    </w:p>
    <w:p w14:paraId="5731CED2" w14:textId="0B282E6D" w:rsidR="00C61FF5" w:rsidRPr="002A677E" w:rsidRDefault="00C61FF5" w:rsidP="00487A02">
      <w:pPr>
        <w:pStyle w:val="InstructionsText"/>
        <w:ind w:left="1353"/>
      </w:pPr>
      <w:r>
        <w:t>– az olyan járulékos vállalkozásokkal szembeni részvényjellegű kitettségek, amelyek kockázattal súlyozott kitettségértéke az egyéb, nem hitelkötelezettséget megtestesítő eszközök kezelésének megfelelő módon számítható ki (az 575/2013/EU rendelet 155. cikkének (1) bekezdése szerint);</w:t>
      </w:r>
    </w:p>
    <w:p w14:paraId="2CD83A57" w14:textId="1F89BB08" w:rsidR="00C61FF5" w:rsidRPr="002A677E" w:rsidRDefault="00C61FF5" w:rsidP="00487A02">
      <w:pPr>
        <w:pStyle w:val="InstructionsText"/>
        <w:ind w:left="1353"/>
      </w:pPr>
      <w:r>
        <w:t>– a szavatolótőkéből az 575/2013/EU rendelet 46. és 48. cikkével összhangban levont részvényjellegű követelések.</w:t>
      </w:r>
    </w:p>
    <w:p w14:paraId="7E42E33C" w14:textId="77777777" w:rsidR="00C61FF5" w:rsidRPr="002A677E" w:rsidRDefault="00C61FF5" w:rsidP="00487A02">
      <w:pPr>
        <w:pStyle w:val="InstructionsText"/>
        <w:ind w:left="1353"/>
      </w:pPr>
    </w:p>
    <w:p w14:paraId="67146783" w14:textId="02EE5FD5"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3" w:name="_Toc295829921"/>
      <w:bookmarkStart w:id="394" w:name="_Toc310415033"/>
      <w:bookmarkStart w:id="395" w:name="_Toc360188371"/>
      <w:bookmarkStart w:id="396" w:name="_Toc473560922"/>
      <w:bookmarkStart w:id="397" w:name="_Toc116039943"/>
      <w:r>
        <w:rPr>
          <w:rFonts w:ascii="Times New Roman" w:hAnsi="Times New Roman"/>
          <w:sz w:val="24"/>
          <w:u w:val="none"/>
        </w:rPr>
        <w:t>3.5.2.</w:t>
      </w:r>
      <w:r>
        <w:rPr>
          <w:rFonts w:ascii="Times New Roman" w:hAnsi="Times New Roman"/>
          <w:sz w:val="24"/>
          <w:u w:val="none"/>
        </w:rPr>
        <w:tab/>
      </w:r>
      <w:r>
        <w:rPr>
          <w:rFonts w:ascii="Times New Roman" w:hAnsi="Times New Roman"/>
          <w:sz w:val="24"/>
        </w:rPr>
        <w:t>A tábla egyes részeire vonatkozó útmutató</w:t>
      </w:r>
      <w:bookmarkEnd w:id="393"/>
      <w:bookmarkEnd w:id="394"/>
      <w:r>
        <w:rPr>
          <w:rFonts w:ascii="Times New Roman" w:hAnsi="Times New Roman"/>
          <w:sz w:val="24"/>
        </w:rPr>
        <w:t xml:space="preserve"> (mind a CR EQU IRB 1, mind a CR EQU IRB 2 táblára alkalmazandó)</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Oszlopok</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ÜGYFÉLKATEGÓRIA (SORAZONOSÍTÓ)</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ügyfélkategória egy sorazonosító, amely a tábla egyes lapjainak minden sorát egyedileg azonosítja. </w:t>
            </w:r>
            <w:r>
              <w:rPr>
                <w:rFonts w:ascii="Times New Roman" w:hAnsi="Times New Roman"/>
                <w:sz w:val="24"/>
              </w:rPr>
              <w:t>Sorrendje: 1, 2, 3 stb.</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BELSŐ MINŐSÍTÉSI SKÁLA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AZ ÜGYFÉLKATEGÓRIÁHOZ RENDELT NEMTELJESÍTÉSI VALÓSZÍNŰSÉG (PD,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0010-es oszlopban az 575/2013/EU rendelet 165. cikkének (1) bekezdése szerint kiszámított nemteljesítési valószínűséget (PD) tüntetik fel.</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ügyfélkategóriához vagy -halmazhoz rendelt, feltüntetendő PD-értéket az 575/2013/EU rendelet harmadik része II. címe 3. fejezetének 6. szakaszában foglalt minimumkövetelményeknek megfelelően kell megállapítani. Az egyes ügyfélkategóriákhoz vagy -halmazokhoz rendelt PD-értéket kell feltüntetni. A feltüntetett kockázati paramétereket az adott illetékes hatóság által jóváhagyott belső minősítési skálában alkalmazott kockázati paraméterekből kell származtatni.</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ügyfélkategóriák vagy -halmazok összesítő adataira (pl. a teljes kitettségre) vonatkozóan az összesítésbe beszámított ügyfélkategóriákhoz vagy -halmazokhoz rendelt PD-értékek kitettséggel súlyozott átlagát kell feltüntetni. A kitettséggel súlyozott átlagos PD kiszámításakor valamennyi kitettséget figyelembe kell venni, ideértve a nemteljesítő kitettségeket is. A kitettséggel súlyozott átlagos PD érték kiszámításánál a súlyozást az előre nem rendelkezésre bocsátott hitelkockázati fedezet (0060-as oszlop) figyelembevételével megállapított kitettségérték alapján kell végezni.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Az intézmények a 0020-as sorban a hitel-egyenértékesítési tényezők előtti eredeti kitettségértéket tüntetik fel. Az 575/2013/EU rendelet 167. cikke szerint a részvényjellegű kitettségekhez tartozó kitettségérték az egyedi hitelkockázati kiigazítások alkalmazását követően fennmaradó könyv szerinti értéknek felel meg. </w:t>
            </w:r>
            <w:r>
              <w:rPr>
                <w:rFonts w:ascii="Times New Roman" w:hAnsi="Times New Roman"/>
                <w:sz w:val="24"/>
              </w:rPr>
              <w:t>A mérlegen kívüli részvényjellegű kitettségekhez tartozó kitettségérték az egyedi hitelkockázati kiigazításokkal csökkentett névérték.</w:t>
            </w:r>
          </w:p>
          <w:p w14:paraId="10F33268" w14:textId="4ABBFF16"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t>Az intézmények ezenkívül a 0020-as oszlopban tüntetik fel az 575/2013/EU rendelet I. mellékletében említett, a részvényjellegű kitettségi osztályba sorolt mérlegen kívüli tételeket (pl. a részben kifizetett részvények és értékpapírok kifizetetlen részét).</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Az egyszerű kockázati súlyozási módszert vagy az 575/2013/EU rendelet 165. cikkének (1) bekezdésében említett PD/LGD-módszert alkalmazó intézményeknek figyelembe kell venniük az 575/2013/EU rendelet 155. cikke (2) bekezdésének második albekezdésében említett beszámítást (offset) is.</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GARANCIÁK</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HITELDERIVATÍVÁK</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A részvényjellegű kitettségekre vonatkozó kockázattal súlyozott kitettségértékek kiszámításához alkalmazott módszertől függetlenül az intézmények a részvényjellegű kitettségek előre nem rendelkezésre bocsátott hitelkockázati fedezetét is elismerhetik (az 575/2013/EU rendelet 155. cikkének (2), (3) és (4) bekezdése).</w:t>
            </w:r>
            <w:r>
              <w:rPr>
                <w:rStyle w:val="InstructionsTabelleText"/>
                <w:rFonts w:ascii="Times New Roman" w:hAnsi="Times New Roman"/>
                <w:sz w:val="24"/>
              </w:rPr>
              <w:t xml:space="preserve"> </w:t>
            </w:r>
            <w:r>
              <w:rPr>
                <w:rFonts w:ascii="Times New Roman" w:hAnsi="Times New Roman"/>
                <w:sz w:val="24"/>
              </w:rPr>
              <w:t>Az egyszerű kockázati súlyozási módszert vagy a PD/LGD-módszert alkalmazó intézmények a 0030-as és 0040-es oszlopban az 575/2013/EU rendelet harmadik része II. címének 4. fejezetében foglalt módszerek szerint elismert, előre nem rendelkezésre bocsátott hitelkockázati fedezet összegét garanciák (0030-as oszlop) vagy hitelderivatívák (0040-es oszlop) formájában tüntetik fel.</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HELYETTESÍTÉSE</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KIÁRAMLÁSOK ÖSSZESEN</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Az intézmények az 0050-es oszlopban tüntetik fel a hitel-egyenértékesítési tényezők előtti eredeti kitettségnek azt a részét, amely az 575/2013/EU rendelet harmadik része II. címének 4. fejezetében foglalt módszerek szerint megjelenített, előre nem rendelkezésre bocsátott hitelkockázati fedezettel rendelkezik.</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KITETTSÉGÉRTÉK</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Az egyszerű kockázati súlyozási módszert vagy a PD/LGD-módszert alkalmazó intézmények a 0060-as oszlopban a kitettségértéket tüntetik fel az előre nem rendelkezésre bocsátott hitelkockázati fedezetből eredő helyettesítési hatások figyelembevételével (az 575/2013/EU rendelet 155. cikkének (2) és (3) bekezdése, valamint 167. cikke).</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A mérlegen kívüli részvényjellegű kitettségek esetében a kitettségérték az egyedi hitelkockázati kiigazításokkal csökkentett névérték (az 575/2013/EU rendelet 167. cikke).</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MÉRLEGEN KÍVÜLI TÉTELEK</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Lásd a CR SA táblához tartozó útmutatót.</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az összesítésben szereplő ügyfélkategóriákba vagy -halmazokba sorolt LGD-értékek kitettséggel súlyozott átlagát tüntetik fel.</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 kitettséggel súlyozott átlagos LGD-értéket az előre nem rendelkezésre bocsátott hitelkockázati fedezet figyelembevételével meghatározott kitettségérték (0060-as oszlop) alapján kell kiszámítani.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Az intézményeknek figyelembe kell venniük az 575/2013/EU rendelet 165. cikkének (2) bekezdésében foglalt rendelkezéseket.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Az intézményeknek adatot kell szolgáltatniuk a részvényjellegű kitettségekre vonatkozó, az 575/2013/EU rendelet 155. cikke szerint kiszámított kockázattal súlyozott kitettségértékekről.</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Ha a PD/LGD-módszert alkalmazó intézmények nem rendelkeznek elegendő információval a nemteljesítés az 575/2013/EU rendelet 178. cikkében meghatározott fogalmának használatához, akkor a kockázattal súlyozott kitettségértékek kiszámításakor a kockázati súlyokra 1,5-es szorzót kell alkalmazni (az 575/2013/EU rendelet 155. cikkének (3) bekezdése).</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A kockázatisúly-függvény M (lejárat) bemenő paramétere tekintetében a részvényjellegű kitettségekhez rendelt lejárat 5 év (az 575/2013/EU rendelet 165. cikkének (3) bekezdése).</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TÁJÉKOZTATÓ ADAT: VÁRHATÓ VESZTESÉGÉRTÉK</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Az intézmények a 0090-es oszlopban tüntetik fel a részvényjellegű kitettségekre vonatkozó várható veszteségértéket, amelyeket az 575/2013/EU rendelet 158. cikkének (4), (7), (8) és (9) bekezdése szerint kell kiszámítani.</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98</w:t>
      </w:r>
      <w:r>
        <w:rPr>
          <w:noProof/>
        </w:rPr>
        <w:fldChar w:fldCharType="end"/>
      </w:r>
      <w:r w:rsidR="00C3070C">
        <w:t>.</w:t>
      </w:r>
      <w:r w:rsidR="00C3070C">
        <w:tab/>
        <w:t>[Törölve]</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Sorok</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0020-as sor</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PD/LGD-MÓDSZER: ÖSSZESEN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A PD/LGD-módszert alkalmazó intézmények (az 575/2013/EU rendelet 155. cikkének (3) pontja) a kért információkat a CR EQU IRB 1 tábla 0020-as sorában tüntetik fel.</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0050–0090-es sor</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EGYSZERŰ KOCKÁZATI SÚLYOZÁSI MÓDSZER: ÖSSZESEN</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 TELJES KITETTSÉG KOCKÁZATI SÚLY SZERINTI BONTÁSA AZ EGYSZERŰ KOCKÁZATI SÚLYOZÁSI MÓDSZER ALAPJÁN:</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lastRenderedPageBreak/>
              <w:t>Az egyszerű kockázati súlyozási módszert alkalmazó intézmények (az 575/2013/EU rendelet 155. cikkének (2) bekezdése) a kért információkat az alapul szolgáló kitettségek jellemzőinek megfelelően a 0050–0090-es sorban adják meg.</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0100-as sor</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BELSŐ MODELLEKEN ALAPULÓ MÓDSZER</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A belső modelleken alapuló módszert alkalmazó intézmények (az 575/2013/EU rendelet 155. cikkének (4) bekezdése) a kért információkat a 0100-as sorban tüntetik fel.</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0110-es sor</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KOCKÁZATI SÚLYOZÁS ALÁ TARTOZÓ RÉSZVÉNYJELLEGŰ KITETTSÉGEK</w:t>
            </w:r>
          </w:p>
          <w:p w14:paraId="0D6FAD77" w14:textId="0016E915" w:rsidR="005C7A65" w:rsidRPr="002A677E" w:rsidRDefault="00C61FF5" w:rsidP="005C7A65">
            <w:pPr>
              <w:rPr>
                <w:rFonts w:ascii="Times New Roman" w:hAnsi="Times New Roman"/>
                <w:sz w:val="24"/>
              </w:rPr>
            </w:pPr>
            <w:r>
              <w:rPr>
                <w:rFonts w:ascii="Times New Roman" w:hAnsi="Times New Roman"/>
                <w:sz w:val="24"/>
              </w:rPr>
              <w:t>Az IRB módszert alkalmazó intézményeknek adatot kell szolgáltatniuk az olyan részvényjellegű kitettségekre vonatkozó kockázattal súlyozott kitettségértékekről, amelyekre fix kockázati súly alkalmazandó (azonban az egyszerű kockázati súlyozási módszer kifejezett alkalmazása, vagy a hitelkockázati sztenderd módszer átmeneti vagy tartós mentesítés alapján történő alkalmazása nélkül), ideértve a következő kitettségeket:</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a pénzügyi ágazatbeli szervezetekkel szemben fennálló, az 575/2013/EU rendelet 48. cikkének (4) bekezdése szerint kezelt részvényjellegű pozíciók kockázattal súlyozott kitettségértékét, valamint</w:t>
            </w:r>
          </w:p>
          <w:p w14:paraId="5D0336DA" w14:textId="6D272720" w:rsidR="005C7A65" w:rsidRPr="002A677E" w:rsidRDefault="00C61FF5" w:rsidP="0033476C">
            <w:pPr>
              <w:rPr>
                <w:rStyle w:val="FormatvorlageInstructionsTabelleText"/>
                <w:rFonts w:ascii="Times New Roman" w:hAnsi="Times New Roman"/>
                <w:sz w:val="24"/>
              </w:rPr>
            </w:pPr>
            <w:r>
              <w:rPr>
                <w:rFonts w:ascii="Times New Roman" w:hAnsi="Times New Roman"/>
                <w:sz w:val="24"/>
              </w:rPr>
              <w:t>– az 575/2013/EU rendelet 471. cikkének (2) bekezdése szerint 370 %-os kockázati súlyú részvényjellegű pozíciókat, amelyeket a 0110-es sorban kell feltüntetni.</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0120-as sor</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A TARTALÉKMÓDSZER (FALL-BACK APPROACH) HATÁLYA ALÁ TARTOZÓ KBF-KITETTSÉGEK</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A kollektív befektetési formák befektetési jegyeinek vagy részvényeinek formájában fennálló, az 575/2013/EU rendelet 152. cikkének (6) bekezdése szerinti tartalékmódszernek megfelelően kezelt kitettségeket is ebben a sorban kell feltüntetni.</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TELJES KITETTSÉG ÜGYFÉLKATEGÓRIA SZERINTI BONTÁSA A PD/LGD-MÓDSZER ALAPJÁN</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A PD/LGD-módszert alkalmazó intézmények (az 575/2013/EU rendelet 155. cikkének (3) bekezdése) a kért információkat a CR EQU IRB 2 táblán tüntetik fel.</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Annak a PD/LGD-módszert alkalmazó intézménynek, amely egyedi minősítési skálát alkalmaz, vagy az adatszolgáltatást irányadó belső skála alapján tudja teljesíteni, a CR EQU IRB 2 táblán az egyedi minősítési skála/irányadó skála szerinti minősítési kategóriákat vagy halmazokat kell megadnia. Minden más esetben a különböző minősítési skálákat a következő kritériumok alapján kell összevonni és rangsorolni: a különböző minősítési skálák ügyfélkategóriáit vagy -halmazait össze kell vonni, majd az egyes ügyfélkategóriákhoz vagy -halmazokhoz rendelt PD-érték alapján növekvő sorrendbe kell állítani.</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8" w:name="_Toc310415035"/>
      <w:bookmarkStart w:id="399" w:name="_Toc360188372"/>
      <w:bookmarkStart w:id="400" w:name="_Toc473560923"/>
      <w:bookmarkStart w:id="401" w:name="_Toc116039944"/>
      <w:r>
        <w:rPr>
          <w:rFonts w:ascii="Times New Roman" w:hAnsi="Times New Roman"/>
          <w:sz w:val="24"/>
          <w:u w:val="none"/>
        </w:rPr>
        <w:lastRenderedPageBreak/>
        <w:t>3.6.</w:t>
      </w:r>
      <w:r>
        <w:rPr>
          <w:rFonts w:ascii="Times New Roman" w:hAnsi="Times New Roman"/>
          <w:sz w:val="24"/>
          <w:u w:val="none"/>
        </w:rPr>
        <w:tab/>
      </w:r>
      <w:r>
        <w:rPr>
          <w:rFonts w:ascii="Times New Roman" w:hAnsi="Times New Roman"/>
          <w:sz w:val="24"/>
        </w:rPr>
        <w:t>C 11.00 – Kiegyenlítési/teljesítési kockázat</w:t>
      </w:r>
      <w:bookmarkEnd w:id="398"/>
      <w:r>
        <w:t xml:space="preserve"> </w:t>
      </w:r>
      <w:r>
        <w:rPr>
          <w:rFonts w:ascii="Times New Roman" w:hAnsi="Times New Roman"/>
          <w:sz w:val="24"/>
        </w:rPr>
        <w:t>(CR SETT)</w:t>
      </w:r>
      <w:bookmarkEnd w:id="399"/>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116039945"/>
      <w:r>
        <w:rPr>
          <w:rFonts w:ascii="Times New Roman" w:hAnsi="Times New Roman"/>
          <w:sz w:val="24"/>
          <w:u w:val="none"/>
        </w:rPr>
        <w:t>3.6.1.</w:t>
      </w:r>
      <w:r>
        <w:rPr>
          <w:rFonts w:ascii="Times New Roman" w:hAnsi="Times New Roman"/>
          <w:sz w:val="24"/>
          <w:u w:val="none"/>
        </w:rPr>
        <w:tab/>
      </w:r>
      <w:r>
        <w:rPr>
          <w:rFonts w:ascii="Times New Roman" w:hAnsi="Times New Roman"/>
          <w:sz w:val="24"/>
        </w:rPr>
        <w:t>Általános megjegyzések</w:t>
      </w:r>
      <w:bookmarkEnd w:id="402"/>
      <w:bookmarkEnd w:id="403"/>
      <w:bookmarkEnd w:id="404"/>
      <w:bookmarkEnd w:id="405"/>
      <w:bookmarkEnd w:id="406"/>
      <w:bookmarkEnd w:id="407"/>
    </w:p>
    <w:p w14:paraId="2EF1780C" w14:textId="14014A44"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99</w:t>
      </w:r>
      <w:r>
        <w:rPr>
          <w:noProof/>
        </w:rPr>
        <w:fldChar w:fldCharType="end"/>
      </w:r>
      <w:r w:rsidR="00C3070C">
        <w:t>.</w:t>
      </w:r>
      <w:r w:rsidR="00C3070C">
        <w:tab/>
        <w:t xml:space="preserve">A táblában a kereskedési könyvben és a nem kereskedési könyvben nyilvántartott olyan ügyletekről kell információt szolgáltatni, amelyek kiegyenlítése a teljesítési határidejükig nem történt meg, továbbá a kiegyenlítési kockázat kapcsolódó szavatolótőke-követelményéről az 575/2013/EU rendelet 92. cikke (3) bekezdése c) pontjának ii. alpontjában, valamint 378. cikkében említetteknek megfelelően. </w:t>
      </w:r>
    </w:p>
    <w:p w14:paraId="0097294C" w14:textId="77777777"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100</w:t>
      </w:r>
      <w:r>
        <w:rPr>
          <w:noProof/>
        </w:rPr>
        <w:fldChar w:fldCharType="end"/>
      </w:r>
      <w:r w:rsidR="00C3070C">
        <w:t>.</w:t>
      </w:r>
      <w:r w:rsidR="00C3070C">
        <w:tab/>
        <w:t xml:space="preserve">Az intézmények a CR SETT táblán a kiegyenlítési/teljesítési kockázattal kapcsolatos információkat adnak meg a kereskedési könyvben és a nem kereskedési könyvben nyilvántartott hitelviszonyt megtestesítő értékpapírokra, részvényekre, külföldi pénznemekre és árukra vonatkozóan. </w:t>
      </w:r>
    </w:p>
    <w:p w14:paraId="42180048" w14:textId="382395E6"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101</w:t>
      </w:r>
      <w:r>
        <w:rPr>
          <w:noProof/>
        </w:rPr>
        <w:fldChar w:fldCharType="end"/>
      </w:r>
      <w:r w:rsidR="00C3070C">
        <w:t>.</w:t>
      </w:r>
      <w:r w:rsidR="00C3070C">
        <w:tab/>
        <w:t>Az 575/2013/EU rendelet 378. cikke szerint a kiegyenlítési/teljesítési kockázatra vonatkozó szavatolótőke-követelmény nem érinti a repoügyleteket, valamint a hitelviszonyt megtestesítő értékpapírokkal, részvényekkel, külföldi pénznemekkel vagy áruval kapcsolatos értékpapír- és áru-kölcsönbeadási, illetve -kölcsönvételi ügyleteket. Ügyelni kell azonban arra, hogy a teljesítési határidőig ki nem egyenlített származtatott ügyletek és hosszú kiegyenlítési idejű ügyletek ettől függetlenül az 575/2013/EU rendelet 378. cikke szerint meghatározott, a kiegyenlítési/teljesítési kockázatra vonatkozó szavatolótőke-követelmény hatálya alá esnek.</w:t>
      </w:r>
    </w:p>
    <w:p w14:paraId="2DCFA26D" w14:textId="77777777"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102</w:t>
      </w:r>
      <w:r>
        <w:rPr>
          <w:noProof/>
        </w:rPr>
        <w:fldChar w:fldCharType="end"/>
      </w:r>
      <w:r w:rsidR="00C3070C">
        <w:t>.</w:t>
      </w:r>
      <w:r w:rsidR="00C3070C">
        <w:tab/>
        <w:t xml:space="preserve">A teljesítési határidőig ki nem egyenlített ügyletek esetében az intézményeknek ki kell számítaniuk a felmerült árkülönbözetet. Ez az adott hitelviszonyt megtestesítő értékpapír, részvény, külföldi pénznem vagy áru kikötött teljesítési ára és aktuális piaci értéke közötti különbözet, ahol a különbözet veszteséget is jelenthet az intézmény számára. </w:t>
      </w:r>
    </w:p>
    <w:p w14:paraId="1196ED7E" w14:textId="58898E2E"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103</w:t>
      </w:r>
      <w:r>
        <w:rPr>
          <w:noProof/>
        </w:rPr>
        <w:fldChar w:fldCharType="end"/>
      </w:r>
      <w:r w:rsidR="00C3070C">
        <w:t>.</w:t>
      </w:r>
      <w:r w:rsidR="00C3070C">
        <w:tab/>
        <w:t>Az intézmények a különbözetet az 575/2013/EU rendelet 378. cikkében található 1. táblázat megfelelő szorzójával megszorozva határozzák meg a vonatkozó szavatolótőke-követelményt.</w:t>
      </w:r>
    </w:p>
    <w:p w14:paraId="6621AF99" w14:textId="3020560D"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104</w:t>
      </w:r>
      <w:r>
        <w:rPr>
          <w:noProof/>
        </w:rPr>
        <w:fldChar w:fldCharType="end"/>
      </w:r>
      <w:r w:rsidR="00C3070C">
        <w:t>.</w:t>
      </w:r>
      <w:r w:rsidR="00C3070C">
        <w:tab/>
        <w:t>Az 575/2013/EU rendelet 92. cikke (4) bekezdésének b) pontja szerint a kockázati kitettség összegének kiszámításához a kiegyenlítési/teljesítési kockázatra vonatkozó szavatolótőke-követelményt 12,5-del kell megszorozni.</w:t>
      </w:r>
    </w:p>
    <w:p w14:paraId="355A5C98" w14:textId="71564E64" w:rsidR="00612780"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105</w:t>
      </w:r>
      <w:r>
        <w:rPr>
          <w:noProof/>
        </w:rPr>
        <w:fldChar w:fldCharType="end"/>
      </w:r>
      <w:r w:rsidR="00C3070C">
        <w:t>.</w:t>
      </w:r>
      <w:r w:rsidR="00C3070C">
        <w:tab/>
        <w:t>Ügyelni kell arra, hogy a CR SETT tábla alkalmazási köre nem terjed ki a nyitva szállításokra vonatkozó, az 575/2013/EU rendelet 379. cikkében rögzített szavatolótőke-követelményre; azt a hitelkockázati táblacsoporton (CR SA, CR IRB) kell feltüntetni.</w:t>
      </w:r>
    </w:p>
    <w:p w14:paraId="669F0F27" w14:textId="1C0EC32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116039946"/>
      <w:r>
        <w:rPr>
          <w:rFonts w:ascii="Times New Roman" w:hAnsi="Times New Roman"/>
          <w:sz w:val="24"/>
          <w:u w:val="none"/>
        </w:rPr>
        <w:t>3.6.2.</w:t>
      </w:r>
      <w:r>
        <w:rPr>
          <w:rFonts w:ascii="Times New Roman" w:hAnsi="Times New Roman"/>
          <w:sz w:val="24"/>
          <w:u w:val="none"/>
        </w:rPr>
        <w:tab/>
      </w:r>
      <w:r>
        <w:rPr>
          <w:rFonts w:ascii="Times New Roman" w:hAnsi="Times New Roman"/>
          <w:sz w:val="24"/>
        </w:rPr>
        <w:t>A tábla egyes részeire vonatkozó útmutató</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Oszlop</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 NEM EGYENLÍTETT ÜGYLETEK TELJESÍTÉSI ÁRA</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Az 575/2013/EU rendelet 378. cikkében említetteknek megfelelően az intézmények a teljesítési határidőig ki nem egyenlített ügyleteket azok elfogadott teljesítési árán tüntetik fel.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Ebben az oszlopban minden ki nem egyenlített ügyletet fel kell tüntetni attól függetlenül, hogy a teljesítési határidőt követően nyereséget vagy veszteséget mutatnak.</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 NEM EGYENLÍTETT ÜGYLETEKBŐL EREDŐ ÁRKÜLÖNBÖZETI KITETTSÉG</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Az intézmények feltüntetik az adott hitelviszonyt megtestesítő értékpapír, részvény, külföldi pénznem vagy áru kikötött teljesítési ára és aktuális piaci értéke közötti különbözetet, ahol a különbözet veszteséget is jelenthet az intézmény számára, az 575/2013/EU rendelet 378. cikkében említetteknek megfelelően.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Ebben az oszlopban kizárólag azokat a ki nem egyenlített ügyleteket kell feltüntetni, amelyek a teljesítési határidőt követően veszteséget mutatnak.</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SZAVATOLÓTŐKE-KÖVETELMÉNYEK</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Az intézmények feltüntetik az 575/2013/EU rendelet 378. cikke szerint kiszámított szavatolótőke-követelményt.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KIEGYENLÍTÉSI KOCKÁZAT TELJES KOCKÁZATI KITETTSÉGÉRTÉKE</w:t>
            </w:r>
          </w:p>
          <w:p w14:paraId="74FAF790" w14:textId="6A1EEA82"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Az 575/2013/EU rendelet 92. cikke (4) bekezdésének b) pontja szerint az intézmények a kiegyenlítési kockázati kitettség összegének kiszámításához a 0030-as oszlopban feltüntetett szavatolótőke-követelményt 12,5-del szorozzák meg.</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Sor</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nem kereskedési könyvi ki nem egyenlített ügyletek összesen</w:t>
            </w:r>
          </w:p>
          <w:p w14:paraId="3E8F5041" w14:textId="4B1BBC5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Az intézmények összesített információkat közölnek a nem kereskedési könyvi pozíciók kiegyenlítési/teljesítési kockázatával kapcsolatban (az 575/2013/EU rendelet 92. cikke (3) bekezdése c) pontjának ii. alpontjában, valamint 378. cikkében említetteknek megfelelően).</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Az intézmények az {r0010;c0010} cellában a teljesítési határidőig ki nem egyenlített ügyletek összesített értékét tüntetik fel azok elfogadott teljesítési árfolyamán.</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Az intézmények az {r0010;c0020} cellában a nem teljesített, veszteséges ügyletekből eredő árkülönbözeti kitettségre vonatkozó összesített információkat tüntetik fel.</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 xml:space="preserve">Az intézmények az {r0010;c0030] cellában az összesített szavatolótőke-követelményt tüntetik fel, amely a teljesítési határidő után eltelt munkanapok száma szerinti szorzó és a 0020-as oszlopban megadott árkülönbözet szorzatából adódó, a ki nem egyenlített ügyletekre vonatkozó szavatolótőke-követelmény (az </w:t>
            </w:r>
            <w:r>
              <w:rPr>
                <w:rFonts w:ascii="Times New Roman" w:hAnsi="Times New Roman"/>
                <w:sz w:val="24"/>
              </w:rPr>
              <w:lastRenderedPageBreak/>
              <w:t>575/2013/EU rendelet 378. cikkében található 1. táblázatban említett kategóriáknak megfelelően).</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Legfeljebb 4 napig ki nem egyenlített ügyletek</w:t>
            </w:r>
            <w:r>
              <w:t xml:space="preserve"> </w:t>
            </w:r>
            <w:r>
              <w:rPr>
                <w:rStyle w:val="InstructionsTabelleberschrift"/>
                <w:rFonts w:ascii="Times New Roman" w:hAnsi="Times New Roman"/>
                <w:sz w:val="24"/>
              </w:rPr>
              <w:t xml:space="preserve">(0 %-os szorzó)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Az intézmények a 0020–0060-as sorban a nem kereskedési könyvi pozíciókra vonatkozó kiegyenlítési/teljesítési kockázattal kapcsolatos információkat az 575/2013/EU rendelet 378. cikkében található 1. táblázatban említett kategóriák szerint tüntetik fel.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 teljesítési határidőt követően 5 munkanapnál rövidebb ideig ki nem egyenlített ügyletek esetében a kiegyenlítési/teljesítési kockázatra nem vonatkozik szavatolótőke-követelmény.</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kereskedési könyvi ki nem egyenlített ügyletek összesen</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Az intézmények összesített információkat közölnek a kereskedési könyvi pozíciók kiegyenlítési/teljesítési kockázatával kapcsolatban (az 575/2013/EU rendelet 92. cikke (3) bekezdése c) pontjának ii. alpontjában, valamint 378. cikkében említetteknek megfelelően).</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Az intézmények az {r0070;c0010} cellában a teljesítési határidőig ki nem egyenlített ügyletek összesített értékét tüntetik fel azok elfogadott teljesítési árfolyamán.</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Az intézmények az {r0070;c0020} cellában a nem teljesített, veszteséges ügyletekből eredő árkülönbözeti kitettségre vonatkozó összesített információkat tüntetik fel.</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Az intézmények az {r0070;c0030] cellában az összesített szavatolótőke-követelményt tüntetik fel, amely a teljesítési határidő után eltelt munkanapok száma szerinti szorzó és a 0020-as oszlopban megadott árkülönbözet szorzatából adódó, a ki nem egyenlített ügyletekre vonatkozó szavatolótőke-követelmény (az 575/2013/EU rendelet 378. cikkében található 1. táblázatban említett kategóriáknak megfelelően).</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Legfeljebb 4 napig ki nem egyenlített ügyletek</w:t>
            </w:r>
            <w:r>
              <w:t xml:space="preserve"> </w:t>
            </w:r>
            <w:r>
              <w:rPr>
                <w:rStyle w:val="InstructionsTabelleberschrift"/>
                <w:rFonts w:ascii="Times New Roman" w:hAnsi="Times New Roman"/>
                <w:sz w:val="24"/>
              </w:rPr>
              <w:t xml:space="preserve">(0 %-os szorzó)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Az intézmények a 0080–0120-as sorban a kereskedési könyvi pozíciókra vonatkozó kiegyenlítési/teljesítési kockázattal kapcsolatos információkat az </w:t>
            </w:r>
            <w:r>
              <w:rPr>
                <w:rFonts w:ascii="Times New Roman" w:hAnsi="Times New Roman"/>
                <w:sz w:val="24"/>
              </w:rPr>
              <w:lastRenderedPageBreak/>
              <w:t xml:space="preserve">575/2013/EU rendelet 378. cikkében található 1. táblázatban említett kategóriák szerint tüntetik fel.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A teljesítési határidőt követően 5 munkanapnál rövidebb ideig ki nem egyenlített ügyletek esetében a kiegyenlítési/teljesítési kockázatra nem vonatkozik szavatolótőke-követelmény.</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116039947"/>
      <w:r>
        <w:rPr>
          <w:rFonts w:ascii="Times New Roman" w:hAnsi="Times New Roman"/>
          <w:sz w:val="24"/>
          <w:u w:val="none"/>
        </w:rPr>
        <w:t>3.7.</w:t>
      </w:r>
      <w:r>
        <w:rPr>
          <w:rFonts w:ascii="Times New Roman" w:hAnsi="Times New Roman"/>
          <w:sz w:val="24"/>
          <w:u w:val="none"/>
        </w:rPr>
        <w:tab/>
      </w:r>
      <w:r>
        <w:rPr>
          <w:rFonts w:ascii="Times New Roman" w:hAnsi="Times New Roman"/>
          <w:sz w:val="24"/>
        </w:rPr>
        <w:t>C 13.01 – Hitelkockázat – Értékpapírosítás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116039948"/>
      <w:r>
        <w:rPr>
          <w:rFonts w:ascii="Times New Roman" w:hAnsi="Times New Roman"/>
          <w:sz w:val="24"/>
          <w:u w:val="none"/>
        </w:rPr>
        <w:t>3.7.1.</w:t>
      </w:r>
      <w:r>
        <w:rPr>
          <w:rFonts w:ascii="Times New Roman" w:hAnsi="Times New Roman"/>
          <w:sz w:val="24"/>
          <w:u w:val="none"/>
        </w:rPr>
        <w:tab/>
      </w:r>
      <w:r>
        <w:rPr>
          <w:rFonts w:ascii="Times New Roman" w:hAnsi="Times New Roman"/>
          <w:sz w:val="24"/>
        </w:rPr>
        <w:t>Általános megjegyzések</w:t>
      </w:r>
      <w:bookmarkEnd w:id="414"/>
      <w:bookmarkEnd w:id="415"/>
    </w:p>
    <w:p w14:paraId="484A60BF" w14:textId="77777777" w:rsidR="00E026FB"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106</w:t>
      </w:r>
      <w:r>
        <w:rPr>
          <w:noProof/>
        </w:rPr>
        <w:fldChar w:fldCharType="end"/>
      </w:r>
      <w:r w:rsidR="00C3070C">
        <w:t xml:space="preserve">. Amennyiben az intézmény értékpapírosítást kezdeményezőként jár el, ezt a táblát minden olyan értékpapírosításra vonatkozóan ki kell tölteni, amely jelentős kockázatátruházás elismerésével jár. Amennyiben az intézmény befektetőként jár el, minden kitettséget fel kell tüntetni. </w:t>
      </w:r>
    </w:p>
    <w:p w14:paraId="686E6583" w14:textId="77777777" w:rsidR="00E026FB"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107</w:t>
      </w:r>
      <w:r>
        <w:rPr>
          <w:noProof/>
        </w:rPr>
        <w:fldChar w:fldCharType="end"/>
      </w:r>
      <w:r w:rsidR="00C3070C">
        <w:t>.</w:t>
      </w:r>
      <w:r w:rsidR="00C3070C">
        <w:tab/>
        <w:t xml:space="preserve"> A feltüntetendő információk az intézménynek az értékpapírosítási folyamatban betöltött szerepétől függnek. Így külön adatszolgáltatási tételek vonatkoznak az értékpapírosítást kezdeményezőkre, a szponzorokra és a befektetőkre.</w:t>
      </w:r>
    </w:p>
    <w:p w14:paraId="6E394288" w14:textId="77777777" w:rsidR="00E026FB"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108</w:t>
      </w:r>
      <w:r>
        <w:rPr>
          <w:noProof/>
        </w:rPr>
        <w:fldChar w:fldCharType="end"/>
      </w:r>
      <w:r w:rsidR="00C3070C">
        <w:t xml:space="preserve">. Ez a tábla összesített információkat gyűjt a banki könyvben nyilvántartott hagyományos és szintetikus értékpapírosításokról. </w:t>
      </w:r>
    </w:p>
    <w:p w14:paraId="25BA437C" w14:textId="1DE51071"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116039949"/>
      <w:r>
        <w:rPr>
          <w:rFonts w:ascii="Times New Roman" w:hAnsi="Times New Roman"/>
          <w:sz w:val="24"/>
          <w:u w:val="none"/>
        </w:rPr>
        <w:t>3.7.2.</w:t>
      </w:r>
      <w:r>
        <w:rPr>
          <w:rFonts w:ascii="Times New Roman" w:hAnsi="Times New Roman"/>
          <w:sz w:val="24"/>
          <w:u w:val="none"/>
        </w:rPr>
        <w:tab/>
      </w:r>
      <w:r>
        <w:rPr>
          <w:rFonts w:ascii="Times New Roman" w:hAnsi="Times New Roman"/>
          <w:sz w:val="24"/>
        </w:rPr>
        <w:t>A tábla egyes részeire vonatkozó útmutató</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ÉRTÉKPAPÍROSÍTÁSRA KERÜLŐ KITETTSÉGEK ÖSSZÉRTÉKE</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értékpapírosítást kezdeményező intézményeknek a pozíciót tartó személyétől függetlenül az értékpapírosítási ügyletből eredő valamennyi aktuális értékpapírosítási kitettségre vonatkozóan jelenteniük kell az adatszolgáltatás időpontjában fennálló összeget. Így fel kell tüntetni az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Azoknál a hagyományos értékpapírosításoknál, amelyeknél az értékpapírosítást kezdeményező nem rendelkezik pozícióval, az értékpapírosítást kezdeményező az értékpapírosítást nem veheti figyelembe az e táblán történő adatszolgáltatás során. E tekintetben az értékpapírosítást kezdeményező értékpapírosítási pozíciói magukban foglalják rulírozó kitettség értékpapírosítására vonatkozóan az 575/2013/EU rendelet 242. cikkének 16. pontjában meghatározott gyorsított visszafizetést biztosító rendelkezéseket.</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SZINTETIKUS ÉRTÉKPAPÍROSÍTÁS: ÉRTÉKPAPÍROSÍTOTT KITETTSÉGEK HITELKOCKÁZATI FEDEZETE</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Az 575/2013/EU rendelet 251. és 252. cikke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Az értékpapírosítási struktúrában foglalt hitelkockázat-mérséklési technikák korrigált értékében a lejárati eltérések nem vehetők figyelembe.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ELŐRE RENDELKEZÉSRE BOCSÁTOTT HITELKOCKÁZATI FEDEZET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biztosítéknak az ebben az oszlopban feltüntetendő volatilitással korrigált értékére (C</w:t>
            </w:r>
            <w:r>
              <w:rPr>
                <w:rFonts w:ascii="Times New Roman" w:hAnsi="Times New Roman"/>
                <w:sz w:val="24"/>
                <w:vertAlign w:val="subscript"/>
              </w:rPr>
              <w:t>VA</w:t>
            </w:r>
            <w:r>
              <w:rPr>
                <w:rFonts w:ascii="Times New Roman" w:hAnsi="Times New Roman"/>
                <w:sz w:val="24"/>
              </w:rPr>
              <w:t>) vonatkozó részletes számítási eljárást az 575/2013/EU rendelet 223. cikkének (2) bekezdése határozza meg.</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KIÁRAMLÁSOK ÖSSZESEN: ELŐRE NEM RENDELKEZÉSRE BOCSÁTOTT HITELKOCKÁZATI FEDEZET: KORRIGÁLT ÉRTÉKEK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A be- és kiáramlások általános szabálya szerint az ebben az oszlopban feltüntetett összegek a megfelelő hitelkockázati táblán (CR SA vagy CR IRB), valamint az adatszolgáltató szervezet által a fedezetnyújtóhoz (vagyis ahhoz a harmadik félhez, amelynek az ügyletrészsorozatot az előre nem rendelkezésre bocsátott hitelkockázati fedezet útján átadják) hozzárendelt kitettségi osztályban beáramlásként jelennek meg.</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hitelkockázati fedezet devizaárfolyam-kockázattal korrigált értékére (G*) vonatkozó részletes számítási eljárást az 575/2013/EU rendelet 233. cikkének (3) bekezdése határozza meg.</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 VISSZATARTOTT VAGY VISSZAVÁSÁROLT HITELKOCKÁZATI FEDEZET NÉVLEGES ÖSSZEGE</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Valamennyi visszatartott vagy visszavásárolt ügyletrészsorozatot, pl. a visszatartott, első veszteségviselő kategóriába tartozó pozíciókat névleges összegen kell feltüntetni.</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hitelkockázati fedezet visszatartott vagy visszavásárolt összegének kiszámításakor nem vehető figyelembe a hitelkockázati fedezetben végrehajtott felügyeleti korrekció hatása.</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ÉRTÉKPAPÍROSÍTÁSI POZÍCIÓK: HITEL-EGYENÉRTÉKESÍTÉSI TÉNYEZŐK ELŐTTI EREDETI KITETTSÉG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Ez az oszlop tartalmazza az adatszolgáltató intézmény által tartott értékpapírosítási pozíciók 575/2013/EU rendelet 248. cikkének (1) és (2) bekezdése alapján számított kitettségértékeit hitel-egyenértékesítési tényezők alkalmazása nélkül, az értékelési korrekciók és a céltartalékok, valamint az értékpapírosított kitettségekre vonatkozó, az 575/2013/EU rendelet 248. cikke (1) bekezdésének d) pontjában említett vissza nem fizetendő árengedmények levonása nélkül, továbbá az értékpapírosítási pozíciókra vonatkozó értékelési korrekciók és céltartalékok levonása nélkül.</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Nettósítás kizárólag akkor alkalmazható, ha egy különleges célú gazdasági egységnek (SSPE) egy elismert nettósítási megállapodás keretében több származtatott ügylete áll fenn.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 szintetikus értékpapírosításoknál az értékpapírosítást kezdeményező által mérlegen belüli tételek és/vagy befektetői érdekeltség formájában tartott pozíciók értéke a 0010–0040. oszlopok összesítéséből adódik.</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ÉRTÉKELÉSI KORREKCIÓK ÉS CÉLTARTALÉKOK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Az 575/2013/EU rendelet 248. cikke Az ebben az oszlopban feltüntetendő értékelési korrekciók és céltartalékok kizárólag az értékpapírosítási pozíciókra vonatkoznak. Az értékpapírosított kitettségek értékelési korrekciója nem vehető figyelembe.</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ÉRTÉKELÉSI KORREKCIÓKKAL ÉS CÉLTARTALÉKOKKAL CSÖKKENTETT KITETTSÉG</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 tartalmazza az értékpapírosítási pozíciók 575/2013/EU rendelet 248. cikkének (1) és (2) bekezdése alapján számított kitettségértékeit az értékelési korrekciók és a céltartalékok levonásával, valamint hitel-egyenértékesítési tényezők alkalmazása nélkül, továbbá az értékpapírosított kitettségekre vonatkozó, az 575/2013/EU rendelet 248. cikke (1) bekezdésének d) pontjában említett vissza nem fizetendő árengedmények levonása nélkül, valamint az értékpapírosítási pozíciókra alkalmazott értékelési korrekciók és a céltartalékok levonásával.</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Az 575/2013/EU rendelet 4. cikke (1) bekezdésének 57. pontja, harmadik része II. címének 4. fejezete és 249. cikke</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Az intézmények ezekben az oszlopokban az olyan hitelkockázat-mérséklési technikákra vonatkozóan szolgáltatnak adatot, amelyek egy vagy több kitettség hitelkockázatát csökkentik a kitettségeknek az alább a be- és kiáramlásokra vonatkozóan meghatározott helyettesítésével.</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A kitettségértéket befolyásoló biztosíték (pl. ha azt a kitettségre helyettesítési hatással járó hitelkockázat-mérséklési technikákhoz használják fel) értéke legfeljebb a kitettségérték lehet.</w:t>
            </w:r>
          </w:p>
          <w:p w14:paraId="466A5A4F" w14:textId="77777777" w:rsidR="00E026FB" w:rsidRPr="002A677E" w:rsidRDefault="00E026FB" w:rsidP="00487A02">
            <w:pPr>
              <w:pStyle w:val="InstructionsText"/>
            </w:pPr>
            <w:r>
              <w:t>Itt az alábbi tételeket kell feltüntetni:</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Az 575/2013/EU rendelet 222. cikkének megfelelően a pénzügyi biztosítékok egyszerű módszerével képzett biztosíték;</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figyelembe vehető, előre nem rendelkezésre bocsátott hitelkockázati fedezet.</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ELŐRE NEM RENDELKEZÉSRE BOCSÁTOTT HITELKOCKÁZATI FEDEZET: KORRIGÁLT ÉRTÉKEK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Előre nem rendelkezésre bocsátott hitelkockázati fedezet az 575/2013/EU rendelet 4. cikke (1) bekezdésének 59. pontjában, valamint 234–236. cikkében meghatározottak szerint.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ELŐRE RENDELKEZÉSRE BOCSÁTOTT HITELKOCKÁZATI FEDEZET</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Előre rendelkezésre bocsátott hitelkockázati fedezet az 575/2013/EU rendelet 4. cikke (1) bekezdésének 58. pontjában, az említett rendelet 249. cikke (2) bekezdésének első albekezdésében említetteknek megfelelően, valamint a 195., 197. és 200 cikkében előírtaknak megfelelően.</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t>Az 575/2013/EU rendelet 218. és 219. cikkében említett, hitelkockázati eseményhez kapcsolt értékpapírokat és mérlegen belüli nettósítási pozíciókat készpénzbiztosítékként kell kezelni.</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KITETTSÉG HITELKOCKÁZAT-MÉRSÉKLÉS MIATTI HELYETTESÍTÉSE</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Fel kell tüntetni az azonos kitettségi osztályba, illetve adott esetben kockázatisúly- vagy ügyfélkategóriába tartozó be- és kiáramlásokat.</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KIÁRAMLÁSOK ÖSSZESEN</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222. cikkének (3) bekezdése, 235. cikkének (1)–(2) bekezdése, valamint 236. cikke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kiáramlások értéke megegyezik az értékelési korrekciókkal és céltartalékokkal csökkentett kitettség fedezett részével, amelyet a kötelezett kitettségi osztályából, illetve adott esetben kockázatisúly- vagy ügyfél-kategóriájából való levonást követően a fedezetnyújtó kitettségi osztályába, illetve adott esetben kockázatisúly- vagy ügyfél-kategóriájába kell sorolni.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Ezt az összeget a fedezetnyújtó kitettségi osztályába, illetve adott esetben kockázatisúly- vagy ügyfél-kategóriájába irányuló beáramlásnak kell tekinteni.</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BEÁRAMLÁSOK ÖSSZESEN</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2A677E" w:rsidRDefault="00E026FB" w:rsidP="00E10B85">
            <w:pPr>
              <w:spacing w:before="0" w:after="0"/>
              <w:rPr>
                <w:rFonts w:ascii="Times New Roman" w:hAnsi="Times New Roman"/>
                <w:sz w:val="24"/>
              </w:rPr>
            </w:pPr>
            <w:r>
              <w:rPr>
                <w:rFonts w:ascii="Times New Roman" w:hAnsi="Times New Roman"/>
                <w:sz w:val="24"/>
              </w:rPr>
              <w:t>Az olyan értékpapírosítási pozíciókat, amelyek hitelviszonyt megtestesítő értékpapírnak minősülnek és az 575/2013/EU rendelet 197. cikkének (1) bekezdése szerint elismert pénzügyi biztosítékként kerülnek felhasználásra, továbbá amelyekre a pénzügyi biztosítékok egyszerű módszerét alkalmazzák, ebben az oszlopban beáramlásként kell feltüntetni.</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Ez az oszlop tartalmazza a megfelelő kockázatisúly-kategóriába, illetve kitettségi osztályba sorolt kitettségeket a kitettségre helyettesítési hatással járó hitelkockázat-mérséklési (CRM) technikák miatti ki- és beáramlások figyelembevétele után.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KITETTSÉGÉRTÉKET ÉRINTŐ HITELKOCKÁZAT-MÉRSÉKLÉSI TECHNIKÁK: ELŐRE RENDELKEZÉSRE BOCSÁTOTT HITELKOCKÁZATI FEDEZET, A PÉNZÜGYI BIZTOSÍTÉKOK ÖSSZETETT MÓDSZERE, KORRIGÁLT ÉRTÉK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AF7CAF0" w:rsidR="001E0C80" w:rsidRPr="002A677E" w:rsidRDefault="00E026FB" w:rsidP="00487A02">
            <w:pPr>
              <w:pStyle w:val="InstructionsText"/>
            </w:pPr>
            <w:r>
              <w:t xml:space="preserve">Az 575/2013/EU rendelet 223–228. cikke  </w:t>
            </w:r>
          </w:p>
          <w:p w14:paraId="0046A2D9" w14:textId="3F315173" w:rsidR="00E026FB" w:rsidRPr="002A677E" w:rsidRDefault="00A16FFF" w:rsidP="00487A02">
            <w:pPr>
              <w:pStyle w:val="InstructionsText"/>
            </w:pPr>
            <w:r>
              <w:t>A feltüntetett összeg magában foglalja az 575/2013/EU rendelet 218. cikke szerinti hitelkockázati eseményhez kapcsolt értékpapírokat is.</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TELJES MÉRTÉKBEN KORRIGÁLT KITETTSÉGÉRTÉK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3F175D5C"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értékpapírosítási pozíciók 575/2013/EU rendelet 248. cikkének megfelelően kiszámított kitettségértéke az említett rendelet 248. cikke (1) bekezdésének b) pontjában meghatározott hitel-egyenértékesítési tényezők alkalmazása nélkül.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EBBŐL: 0 %-OS HITEL-EGYENÉRTÉKESÍTÉSI TÉNYEZŐ (CCF) ALÁ</w:t>
            </w:r>
            <w:r>
              <w:t xml:space="preserve"> </w:t>
            </w:r>
            <w:r>
              <w:rPr>
                <w:rFonts w:ascii="Times New Roman" w:hAnsi="Times New Roman"/>
                <w:b/>
                <w:sz w:val="24"/>
                <w:u w:val="single"/>
              </w:rPr>
              <w:t>TARTOZÓ</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7E656DFB"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248. cikke (1) bekezdésének b) pontja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3D4ECD5D"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Erre vonatkozóan a hitel-egyenértékesítési tényezőt az 575/2013/EU rendelet 4. cikke (1) bekezdésének 56. pontja határozza meg.</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Az adatszolgáltatás során a 0 %-os hitel-egyenértékesítési tényezőre vonatkozóan teljes mértékben korrigált</w:t>
            </w:r>
            <w:r>
              <w:t xml:space="preserve"> </w:t>
            </w:r>
            <w:r>
              <w:rPr>
                <w:rFonts w:ascii="Times New Roman" w:hAnsi="Times New Roman"/>
                <w:sz w:val="24"/>
              </w:rPr>
              <w:t>kitettségértéket (E*) kell megadni.</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VISSZA NEM FIZETENDŐ ÁRENGEDMÉNY</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Az 575/2013/EU rendelet 248. cikke (1) bekezdésének d) pontja szerint az értékpapírosítást kezdeményező intézmény az olyan értékpapírosítási pozíciók esetében, amelyekhez 1 250 %-os kockázati súlyt rendeltek, levonhatja az értékpapírosítási pozíció kitettségértékéből az ilyen alapul szolgáló kitettségekhez kapcsolódó vissza nem fizetendő árengedményeket, amennyiben ezek az árengedmények a szavatolótőke csökkenését eredményezték.</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AZ ALAPUL SZOLGÁLÓ KITETTSÉGEK EGYEDI HITELKOCKÁZATI KIIGAZÍTÁSA</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Az 575/2013/EU rendelet 248. cikke (1) bekezdésének d) pontja szerint az értékpapírosítást kezdeményező intézmény az olyan értékpapírosítási pozíció esetében, amelyekhez 1 250 %-os kockázati súlyt rendeltek, vagy amely levonásra került az elsődleges alapvető tőkéből, az 575/2013/EU rendelet 110. cikkének megfelelően levonhatja a kitettségértékből az alapul szolgáló kitettségekre vonatkozó egyedi hitelkockázati kiigazításokat.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KITETTSÉGÉRTÉK</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Az értékpapírosítási pozíciók 575/2013/EU rendelet 248. cikke szerint kiszámított kitettségértéke.</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 SZAVATOLÓTŐKÉBŐL LEVONT KITETTSÉGÉRTÉK</w:t>
            </w:r>
          </w:p>
          <w:p w14:paraId="272C3315" w14:textId="77777777" w:rsidR="00E026FB" w:rsidRPr="002A677E" w:rsidRDefault="00E026FB" w:rsidP="00E10B85">
            <w:pPr>
              <w:spacing w:before="0" w:after="0"/>
              <w:jc w:val="left"/>
              <w:rPr>
                <w:rFonts w:ascii="Times New Roman" w:hAnsi="Times New Roman"/>
                <w:sz w:val="24"/>
              </w:rPr>
            </w:pPr>
          </w:p>
          <w:p w14:paraId="65B07FF2" w14:textId="2866D859" w:rsidR="00E026FB" w:rsidRPr="002A677E" w:rsidRDefault="00BB22D4" w:rsidP="00E10B85">
            <w:pPr>
              <w:spacing w:before="0" w:after="0"/>
              <w:rPr>
                <w:rFonts w:ascii="Times New Roman" w:hAnsi="Times New Roman"/>
                <w:sz w:val="24"/>
              </w:rPr>
            </w:pPr>
            <w:r>
              <w:rPr>
                <w:rFonts w:ascii="Times New Roman" w:hAnsi="Times New Roman"/>
                <w:sz w:val="24"/>
              </w:rPr>
              <w:t>Az 575/2013/EU rendelet 244. cikke (1) bekezdésének b) pontja, 245. cikke (1) bekezdésének b) pontja és 253. cikkének (1) bekezdése szerint az intézmények az olyan értékpapírosítási pozíciók esetében, amelyekhez 1 250 %-os kockázati súlyt rendeltek, a pozícióknak a kockázattal súlyozott kitettségérték kiszámításánál történő figyelembevétele helyett a pozíciók kitettségértékét levonhatják szavatolótőkéjükből.</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 SÚLYOZÁS ALÁ TARTOZÓ KITETTSÉGÉRTÉK</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A szavatolótőkéből levont kitettségértékkel csökkentett kitettségérték.</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Az 575/2013/EU rendelet 254. cikke (1) bekezdésének a) pontja</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SEC-IRBA kitettségek kockázatisúly-sávok szerinti bontásban.</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EBBŐL: A 255. CIKK (4) BEKEZDÉSE SZERINT SZÁMÍTVA (VÁSÁROLT KÖVETELÉSEK)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Az 575/2013/EU rendelet 255. cikkének (4) bekezdése</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Ezzel az oszloppal összefüggésben a lakossági kitettségeket vásárolt lakossági követelésként, a nem lakossági kitettségeket pedig vásárolt vállalati követelésként kell kezelni.</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Az 575/2013/EU rendelet 254. cikke (1) bekezdésének b) pontja</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SEC-SA kitettségek kockázatisúly-sávok szerinti bontásban.</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0C8688B4" w:rsidR="00E026FB" w:rsidRPr="002A677E" w:rsidRDefault="00E026FB" w:rsidP="00E10B85">
            <w:pPr>
              <w:spacing w:before="0" w:after="0"/>
              <w:jc w:val="left"/>
              <w:rPr>
                <w:rFonts w:ascii="Times New Roman" w:hAnsi="Times New Roman"/>
                <w:sz w:val="24"/>
              </w:rPr>
            </w:pPr>
            <w:r>
              <w:rPr>
                <w:rFonts w:ascii="Times New Roman" w:hAnsi="Times New Roman"/>
                <w:sz w:val="24"/>
              </w:rPr>
              <w:t>Amennyiben a kockázati súly = 1 250 % (W ismeretlen),</w:t>
            </w:r>
            <w:r>
              <w:t xml:space="preserve"> </w:t>
            </w:r>
            <w:r>
              <w:rPr>
                <w:rFonts w:ascii="Times New Roman" w:hAnsi="Times New Roman"/>
                <w:sz w:val="24"/>
              </w:rPr>
              <w:t xml:space="preserve"> az 575/2013/EU rendelet 261. cikke (2) bekezdése b) pontjának negyedik bekezdése előírja, hogy az értékpapírosítási pozícióra 1 250 %-os kockázati súlyt kell alkalmazni, ha az intézmény a halmaz alapul szolgáló kitettségeinek több mint 5 %-a esetében nem ismeri a késedelmi státuszt.</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3536872F"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Az 575/2013/EU rendelet 254. cikke (1) bekezdésének c) pontja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HITELMINŐSÉGI BESOROLÁSOK SZERINTI BONTÁS (RÖVID / HOSSZÚ TÁVÚ HITELMINŐSÉGI BESOROLÁSOK)</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Az 575/2013/EU rendelet 263. cikke</w:t>
            </w:r>
          </w:p>
          <w:p w14:paraId="174293CA" w14:textId="77777777" w:rsidR="00E026FB" w:rsidRPr="002A677E" w:rsidRDefault="00E026FB" w:rsidP="00E10B85">
            <w:pPr>
              <w:spacing w:before="0" w:after="0"/>
              <w:rPr>
                <w:rFonts w:ascii="Times New Roman" w:hAnsi="Times New Roman"/>
                <w:sz w:val="24"/>
              </w:rPr>
            </w:pPr>
          </w:p>
          <w:p w14:paraId="702C7A75" w14:textId="7B527775" w:rsidR="00E026FB" w:rsidRPr="002A677E" w:rsidRDefault="00E026FB" w:rsidP="00E10B85">
            <w:pPr>
              <w:spacing w:before="0" w:after="0"/>
              <w:rPr>
                <w:rFonts w:ascii="Times New Roman" w:hAnsi="Times New Roman"/>
                <w:sz w:val="24"/>
              </w:rPr>
            </w:pPr>
            <w:r>
              <w:rPr>
                <w:rFonts w:ascii="Times New Roman" w:hAnsi="Times New Roman"/>
                <w:sz w:val="24"/>
              </w:rPr>
              <w:t>Az 575/2013/EU rendelet 254. cikkének (2) bekezdésében említett származtatott hitelminősítéssel rendelkező SEC-ERBA értékpapírosítási pozíciókat minősített pozícióként kell feltüntetni.</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kockázati súlyozás alá tartozó kitettségértékeket az 575/2013/EU rendelet 263. cikkének 1. és 2. táblázatában, valamint 264. cikkének 3. és 4. táblázatában meghatározott rövid és hosszú lejárat és hitelminőségi besorolások (CQS) szerint kell csoportosítani.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A SEC-ERBA ALKALMAZÁSÁNAK INDOKAI SZERINTI BONTÁS</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Az intézményeknek minden egyes értékpapírosítási pozíció esetében az alábbi opciók egyikét kell figyelembe venniük a 0580–0620-as oszlopban.</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GÉPJÁRMŰHITELEK, GÉPJÁRMŰ- ÉS ESZKÖZLÍZINGEK</w:t>
            </w:r>
          </w:p>
          <w:p w14:paraId="6E88BBA0" w14:textId="77777777" w:rsidR="00E026FB" w:rsidRPr="002A677E" w:rsidRDefault="00E026FB" w:rsidP="00E10B85">
            <w:pPr>
              <w:spacing w:before="0" w:after="0"/>
              <w:rPr>
                <w:rFonts w:ascii="Times New Roman" w:hAnsi="Times New Roman"/>
                <w:b/>
                <w:sz w:val="24"/>
                <w:u w:val="single"/>
              </w:rPr>
            </w:pPr>
          </w:p>
          <w:p w14:paraId="0E92DEB1" w14:textId="07ECDC49" w:rsidR="001E0C80" w:rsidRPr="002A677E" w:rsidRDefault="001E0C80" w:rsidP="00E10B85">
            <w:pPr>
              <w:spacing w:before="0" w:after="0"/>
              <w:rPr>
                <w:rFonts w:ascii="Times New Roman" w:hAnsi="Times New Roman"/>
                <w:sz w:val="24"/>
              </w:rPr>
            </w:pPr>
            <w:r>
              <w:rPr>
                <w:rFonts w:ascii="Times New Roman" w:hAnsi="Times New Roman"/>
                <w:sz w:val="24"/>
              </w:rPr>
              <w:t xml:space="preserve"> Az 575/2013/EU rendelet 254. cikke (2) bekezdésének c) pontja  </w:t>
            </w:r>
          </w:p>
          <w:p w14:paraId="3375DFA1" w14:textId="77777777" w:rsidR="001E0C80" w:rsidRPr="002A677E" w:rsidRDefault="001E0C80" w:rsidP="00E10B85">
            <w:pPr>
              <w:spacing w:before="0" w:after="0"/>
              <w:rPr>
                <w:rFonts w:ascii="Times New Roman" w:hAnsi="Times New Roman"/>
                <w:sz w:val="24"/>
              </w:rPr>
            </w:pPr>
          </w:p>
          <w:p w14:paraId="4C10E739" w14:textId="2A43CE4F" w:rsidR="00E026FB" w:rsidRPr="002A677E" w:rsidRDefault="00FC5515" w:rsidP="00247193">
            <w:pPr>
              <w:spacing w:before="0" w:after="0"/>
              <w:rPr>
                <w:rFonts w:ascii="Times New Roman" w:hAnsi="Times New Roman"/>
                <w:b/>
                <w:sz w:val="24"/>
                <w:u w:val="single"/>
              </w:rPr>
            </w:pPr>
            <w:r>
              <w:rPr>
                <w:rFonts w:ascii="Times New Roman" w:hAnsi="Times New Roman"/>
                <w:sz w:val="24"/>
              </w:rPr>
              <w:t>Ebben az oszlopban kell feltüntetni minden gépjárműhitelt, gépjármű- és eszközlízinget, akkor is, ha az 575/2013/EU rendelet 254. cikke (2) bekezdésének a) vagy b) pontja alkalmazható rájuk.</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SEC-ERBA OPCIÓ</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Az 575/2013/EU rendelet 254. cikkének (3) bekezdése</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AZ 575/2013/EU RENDELET 254. CIKKE (2) BEKEZDÉSÉNEK a) PONTJA SZERINTI POZÍCIÓK</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Az 575/2013/EU rendelet 254. cikke (2) bekezdésének a) pontja</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6CEFB7C1"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AZ 575/2013/EU RENDELET 254. CIKKE (2) BEKEZDÉSÉNEK b) PONTJA SZERINTI POZÍCIÓK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Az 575/2013/EU rendelet 254. cikke (2) bekezdésének b) pontja</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AZ 575/2013/EU RENDELET 254. CIKKE (4) BEKEZDÉSE VAGY 258. CIKKE (2) BEKEZDÉSE SZERINTI POZÍCIÓK</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A SEC-ERBA hatálya alá tartozó értékpapírosítási pozíciók, amennyiben az illetékes hatóságok az 575/2013/EU rendelet 254. cikkének (4) bekezdésével vagy 258. cikkének (2) bekezdésével összhangban kizárták a SEC-IRBA vagy a SEC-SA alkalmazását.</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A MÓDSZEREK HIERARCHIÁJÁT KÖVETVE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Értékpapírosítási pozíciók, amelyek esetében a SEC-ERBA-t a módszerek 575/2013/EU rendelet 254. cikkének (1) bekezdésében meghatározott hierarchiáját követve alkalmazzák.</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BELSŐ ÉRTÉKELÉSI MÓDSZER</w:t>
            </w:r>
          </w:p>
          <w:p w14:paraId="61F8B33A" w14:textId="77777777" w:rsidR="00E026FB" w:rsidRPr="002A677E" w:rsidRDefault="00E026FB" w:rsidP="00E10B85">
            <w:pPr>
              <w:spacing w:before="0" w:after="0"/>
              <w:jc w:val="left"/>
              <w:rPr>
                <w:rFonts w:ascii="Times New Roman" w:hAnsi="Times New Roman"/>
                <w:sz w:val="24"/>
              </w:rPr>
            </w:pPr>
          </w:p>
          <w:p w14:paraId="1D009A27" w14:textId="5971F70A" w:rsidR="00E026FB" w:rsidRPr="002A677E" w:rsidRDefault="008F2C6B" w:rsidP="00E10B85">
            <w:pPr>
              <w:spacing w:before="0" w:after="0"/>
              <w:rPr>
                <w:rFonts w:ascii="Times New Roman" w:hAnsi="Times New Roman"/>
                <w:sz w:val="24"/>
              </w:rPr>
            </w:pPr>
            <w:r>
              <w:rPr>
                <w:rFonts w:ascii="Times New Roman" w:hAnsi="Times New Roman"/>
                <w:sz w:val="24"/>
              </w:rPr>
              <w:t>Az 575/2013/EU rendelet</w:t>
            </w:r>
            <w:r>
              <w:t xml:space="preserve"> </w:t>
            </w:r>
            <w:bookmarkStart w:id="418" w:name="_Hlk73564575"/>
            <w:r>
              <w:rPr>
                <w:rFonts w:ascii="Times New Roman" w:hAnsi="Times New Roman"/>
                <w:sz w:val="24"/>
              </w:rPr>
              <w:t>254. cikkének (5) bekezdése az ABCP-programokon</w:t>
            </w:r>
            <w:bookmarkEnd w:id="418"/>
            <w:r>
              <w:t xml:space="preserve"> </w:t>
            </w:r>
            <w:r>
              <w:rPr>
                <w:rFonts w:ascii="Times New Roman" w:hAnsi="Times New Roman"/>
                <w:sz w:val="24"/>
              </w:rPr>
              <w:t>belüli pozíciókra vonatkozóan a belső értékelési módszerről (IAA).</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A belső értékelési módszer szerinti kitettségek kockázatisúly-sávok szerinti bontásban</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ÉRTÉKPAPÍROSÍTÁSÁNAK ELŐRESOROLT ÜGYLETRÉSZSOROZATAINAK EGYEDI KEZELÉSE</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Az 575/2013/EU rendelet 269a. cikkének (3) bekezdése</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Amennyiben az előző módszerek egyikét sem alkalmazzák, az 575/2013/EU rendelet 254. cikkének (7) bekezdésével összhangban az értékpapírosítási pozíciókhoz 1 250 %-os kockázati súlyt kell rendelni.</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Teljes kockázattal súlyozott kitettségérték az 575/2013/EU rendelet harmadik része II. címe 5. fejezetének 3. szakasza szerinti számítás alapján, a lejárati eltérések vagy az előzetes vizsgálatra vonatkozó rendelkezések megsértése miatti kiigazítások előtt, a más táblára irányuló kiáramlás útján átcsoportosított kitettségeknek megfelelő, kockázattal súlyozott kitettségértékek nélkül.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ÁTLAGOS KOCKÁZATI SÚLY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Ebben az oszlopban az értékpapírosítási pozíciók kitettséggel súlyozott átlagos kockázati súlyait kell feltüntetni.</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KOCKÁZATTAL SÚLYOZOTT KITETTSÉGÉRTÉK, EBBŐL: SZINTETIKUS ÉRTÉKPAPÍROSÍTÁS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A lejárati eltéréssel rendelkező szintetikus értékpapírosításokra vonatkozóan az ebben az oszlopban feltüntetendő érték nem foglalja magában a lejárati eltéréseket.</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 KOCKÁZATTAL SÚLYOZOTT KITETTSÉGÉRTÉK LEJÁRATI ELTÉRÉS MIATTI KORREKCIÓJA</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A szintetikus értékpapírosításokban megjelenő, az 575/2013/EU rendelet 252. cikke szerint kiszámított RW*–RW(SP) lejárati eltéréseket be kell számítani,</w:t>
            </w:r>
            <w:r>
              <w:t xml:space="preserve"> </w:t>
            </w:r>
            <w:r>
              <w:rPr>
                <w:rFonts w:ascii="Times New Roman" w:hAnsi="Times New Roman"/>
                <w:sz w:val="24"/>
              </w:rPr>
              <w:t>kivéve az 1 250 %-os kockázati súlyú ügyletrészsorozatokat, amelyeknél a feltüntetendő érték nulla. Az RW(SP) nemcsak a 0650-es oszlopban feltüntetett kockázattal súlyozott kitettségértékeket foglalja magában, hanem a más táblára irányuló kiáramlás útján átcsoportosított kitettségeknek megfelelő, kockázattal súlyozott kitettségértékeket is.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AZ (EU) 2017/2402 RENDELET 2. FEJEZETÉNEK MEGSÉRTÉSE MIATTI ÁLTALÁNOS HATÁS (KORREKCIÓ)</w:t>
            </w:r>
            <w:r w:rsidR="002409C1" w:rsidRPr="002A677E">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Az 575/2013/EU rendelet 270a. cikkének megfelelően, ha egy intézmény bizonyos követelményeknek nem tesz eleget, az illetékes hatóságok arányos addicionális kockázati súlyt szabnak ki,</w:t>
            </w:r>
            <w:r>
              <w:t xml:space="preserve"> </w:t>
            </w:r>
            <w:r>
              <w:rPr>
                <w:rFonts w:ascii="Times New Roman" w:hAnsi="Times New Roman"/>
                <w:sz w:val="24"/>
              </w:rPr>
              <w:t>amely annak a kockázati súlynak legalább 250 %-a (de legfeljebb 1 250 %-a),</w:t>
            </w:r>
            <w:r>
              <w:t xml:space="preserve"> </w:t>
            </w:r>
            <w:r>
              <w:rPr>
                <w:rFonts w:ascii="Times New Roman" w:hAnsi="Times New Roman"/>
                <w:sz w:val="24"/>
              </w:rPr>
              <w:t xml:space="preserve">amely az 575/2013/EU rendelet harmadik része II. címe 5. fejezetének 3. szakaszában meghatározott módon alkalmazandó az érintett értékpapírosított pozíciókra.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FELSŐ KORLÁT FIGYELEMBEVÉTELE ELŐTT</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Az 575/2013/EU rendelet harmadik része II. címe 5. fejezetének 3. szakasza szerint számított teljes kockázattal súlyozott kitettségérték az említett rendelet 267. és 268. cikkében meghatározott határértékek alkalmazása előtt, vagy figyelembe vehető nemteljesítő kitettségek hagyományos értékpapírosítása esetén az 575/2013/EU rendelet 269a. cikkének alkalmazása előtt.</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 KOCKÁZATI SÚLYRA VONATKOZÓ FELSŐ KORLÁT MIATTI CSÖKKENTÉS</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Az 575/2013/EU rendelet 267. cikkének megfelelően az az intézmény, amely mindenkor ismeri az alapul szolgáló kitettségek összetételét, az előresorolt értékpapírosítási pozícióhoz olyan maximális kockázati súlyt rendelhet, amely egyenlő az alapul szolgáló kitettségekre alkalmazandó, kitettséggel súlyozott azon átlagos kockázati súllyal, amely akkor lenne alkalmazandó az alapul szolgáló kitettségekre, ha azokat nem értékpapírosí</w:t>
            </w:r>
            <w:r>
              <w:rPr>
                <w:rFonts w:ascii="Times New Roman" w:hAnsi="Times New Roman"/>
                <w:sz w:val="24"/>
              </w:rPr>
              <w:lastRenderedPageBreak/>
              <w:t>tották volna. Figyelembe vehető nemteljesítő kitettségek hagyományos értékpapírosítása esetén az 575/2013/EU rendelet 269a. cikke, és különösen annak (6) és (7) bekezdése alkalmazandó.</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AZ ÁLTALÁNOS FELSŐ KORLÁT MIATTI CSÖKKENTÉS</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F8EF880" w:rsidR="00E026FB" w:rsidRPr="002A677E" w:rsidRDefault="00BB22D4" w:rsidP="00E10B85">
            <w:pPr>
              <w:spacing w:before="0" w:after="0"/>
              <w:jc w:val="left"/>
              <w:rPr>
                <w:rFonts w:ascii="Times New Roman" w:hAnsi="Times New Roman"/>
                <w:sz w:val="24"/>
              </w:rPr>
            </w:pPr>
            <w:r>
              <w:rPr>
                <w:rFonts w:ascii="Times New Roman" w:hAnsi="Times New Roman"/>
                <w:sz w:val="24"/>
              </w:rPr>
              <w:t>Az 575/2013/EU rendelet 268. cikkével összhangban a SEC-IRBA-t használó értékpapírosítást kezdeményező intézmény, szponzor vagy más intézmény, vagy a SEC-SA-t, illetőleg a SEC-ERBA-t használó értékpapírosítást kezdeményező vagy szponzor intézmény az általa tartott értékpapírosítási pozícióra azzal a tőkekövetelménnyel egyenlő maximális tőkekövetelményt alkalmazhat, amelyet az 575/2013/EU rendelet harmadik része II. címe 2. vagy 3. fejezetének megfelelően úgy számítanának ki az alapul szolgáló kitettségekre, mintha azokat nem értékpapírosították volna. Figyelembe vehető nemteljesítő kitettségek hagyományos értékpapírosítása esetén az 575/2013/EU rendelet 269a. cikke, és különösen annak (5) és (7) bekezdése alkalmazandó.</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Az 575/2013/EU rendelet harmadik része II. címe 5. fejezetének 3. szakasza szerint számított teljes kockázattal súlyozott kitettségérték, figyelembe véve az említett rendelet 247. cikkének (6) bekezdésében meghatározott teljes kockázati súlyt.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TÁJÉKOZTATÓ ADAT: AZ ÉRTÉKPAPÍROSÍTÁSBÓL MÁS KITETTSÉGI OSZTÁLYOKBA IRÁNYULÓ KIÁRAMLÁSNAK MEGFELELŐ KOCKÁZATTAL SÚLYOZOTT KITETTSÉGÉRTÉK</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A hitelkockázat-mérséklő eszközök nyújtójához átcsoportosított, így a megfelelő táblán számított, az értékpapírosítási pozíciók felső korlátjának kiszámításánál figyelembe vett kitettségekből eredő, kockázattal súlyozott kitettségérték.</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109</w:t>
      </w:r>
      <w:r>
        <w:rPr>
          <w:noProof/>
        </w:rPr>
        <w:fldChar w:fldCharType="end"/>
      </w:r>
      <w:r w:rsidR="00C3070C">
        <w:t>.</w:t>
      </w:r>
      <w:r w:rsidR="00C3070C">
        <w:tab/>
        <w:t xml:space="preserve"> A tábla három fő sorcsoportból áll, amelyek a kezdeményezett, szponzorált, illetve visszatartott vagy visszavásárolt kitettségekről gyűjtenek adatokat értékpapírosítást kezdeményező, befektető és szponzor szerint. Ezek mindegyikére vonatkozóan az adatok mérlegen belüli tételek, mérlegen kívüli tételek és származtatott ügyletek, valamint aszerint oszlanak meg, hogy sor kerül-e differenciált tőkekövetelmény-megállapításra.</w:t>
      </w:r>
    </w:p>
    <w:p w14:paraId="3E41D4CD" w14:textId="77777777" w:rsidR="00E026FB"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110</w:t>
      </w:r>
      <w:r>
        <w:rPr>
          <w:noProof/>
        </w:rPr>
        <w:fldChar w:fldCharType="end"/>
      </w:r>
      <w:r w:rsidR="00C3070C">
        <w:t>. A SEC-ERBA szerint kezelt pozíciókat és a nem minősített pozíciókat (az adatszolgáltatás időpontjában fennálló kitettség) fel kell tüntetni a kezdeti hitelminőségi besorolás szerinti bontásban (az utolsó sorcsoport). Ezeket az információkat az értékpapírosítást kezdeményezőknek, a szponzoroknak és a befektetőknek is meg kell adniuk.</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Sor</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TELJES KITETTSÉG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teljes kitettség a fennálló értékpapírosítások és az újra-értékpapírosítások teljes összegét jelenti. Ez a sor összesíti a későbbi sorokban az értékpapírosítást kezdeményezők, a szponzorok és a befektetők által megadott valamennyi információt.</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ÉRTÉKPAPÍROSÍTÁSI POZÍCIÓK</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4. cikke (1) bekezdésének 62. pontjában meghatározott olyan fennálló értékpapírosítási pozíciók teljes összege, amelyek nem az 575/2013/EU rendelet 4. cikke (1) bekezdésének 63. pontja szerinti újra-értékpapírosítások.</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az 575/2013/EU rendelet 243., 270. vagy 494c. cikkében foglalt kritériumoknak, és ezért differenciált tőkekövetelmény-megállapításra jogosultak.</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KITETTSÉGEK STS ABCP ÉS NEM ABCP HAGYOMÁNYOS ÉRTÉKPAPÍROSÍTÁSOKBAN</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STS értékpapírosítási pozíciók teljes összege, amelyek megfelelnek az 575/2013/EU rendelet 243. cikkében foglalt kritériumoknak.</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SZERZETT JOGOK ALAPJÁN FIGYELEMBE VETT ELŐRESOROLT POZÍCIÓ SZINTETIKUS KKV-ÉRTÉKPAPÍROSÍTÁSBAN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szerzett jogok alapján figyelembe vett, előresorolt szintetikus kkv-értékpapírosítási pozíciók teljes összege, amelyek megfelelnek az 575/2013/EU rendelet 494c. cikkében foglalt kritériumoknak.</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ELŐRESOROLT POZÍCIÓK MÉRLEGEN BELÜLI STS ÉRTÉKPAPÍROSÍTÁSOKBAN</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Azon előresorolt mérlegen belüli STS értékpapírosítási pozíciók teljes összege, amelyek megfelelnek az 575/2013/EU rendelet 270. cikkében foglalt kritériumoknak.</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0060, 0120, 0170, 0240, 0290, </w:t>
            </w:r>
            <w:r>
              <w:rPr>
                <w:rFonts w:ascii="Times New Roman" w:hAnsi="Times New Roman"/>
                <w:sz w:val="24"/>
              </w:rPr>
              <w:lastRenderedPageBreak/>
              <w:t>0360 és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DIFFERENCIÁLT TŐKEKÖVETELMÉNY-MEGÁLLAPÍTÁSRA NEM JOGOSULT ÉRTÉKPAPÍROSÍTÁS</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254. cikkének (1), (4), (5) és (6) bekezdése, 259., 261., 263., 265., 266. és 269. cikke</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Azon értékpapírosítási pozíciók teljes összege, amelyek nem jogosultak differenciált tőkekövetelmény-megállapításra.</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és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ÚJRA-ÉRTÉKPAPÍROSÍTÁSI POZÍCIÓK</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Az 575/2013/EU rendelet 4. cikke (1) bekezdésének 64. pontjában meghatározott, fennálló újra-értékpapírosítási pozíciók összértéke.</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ÉRTÉKPAPÍROSÍTÁST KEZDEMÉNYEZŐ: TELJES KITETTSÉG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és újra-értékpapírosítási pozíciókkal kapcsolatos mérlegen belüli tételekre, mérlegen kívüli tételekre és származtatott ügyletekre vonatkozó információkat, amelyeknél az intézmény az 575/2013/EU rendelet 4. cikke (1) bekezdésének 13. pontja szerinti értékpapírosítást kezdeményező szerepét tölti be.</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0090–0136, 0210–0250 és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ÉRTÉKPAPÍROSÍTÁSI POZÍCIÓK: MÉRLEGEN BELÜLI TÉTELEK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18320885"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Az 575/2013/EU rendelet 248. cikke (1) bekezdése a) pontjának megfelelően a mérlegen belüli értékpapírosítási pozíció kitettségértéke az egyedi hitelkockázati kiigazításoknak az értékpapírosítási pozícióra történő, az 575/2013/EU rendelet 110. cikkének megfelelő alkalmazását követően fennmaradó számviteli értéke.</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mérlegen belüli tételeket a 0100-as és a 0120-as sorban az 575/2013/EU rendelet 243. cikkében említett differenciált tőkekövetelmény alkalmazására vonatkozó információk, a 0110-es és a 0130-as sorban pedig az említett rendelet 242. cikkének 6. pontjában meghatározott előresorolt értékpapírosítási pozíciók teljes összegére vonatkozó információk figyelembevétele érdekében kell lebontani.</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és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az 575/2013/EU rendelet 243. cikkében foglalt kritériumoknak, és ezért differenciált tőkekövetelmény-megállapításra jogosultak.</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és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EBBŐL: ELŐRESOROLT KITETTSÉGEK</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 előresorolt értékpapírosítási pozíciók teljes összege az 575/2013/EU rendelet 242. cikke 6. pontjának megfelelően.</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és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KITETTSÉGEK NEM NPE ÉRTÉKPAPÍROSÍTÁSBAN</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Azon kitettségek teljes összege, amelyek nem felelnek meg az 575/2013/EU rendelet 269a. cikke (1) bekezdésének a) pontjában foglalt kritériumoknak. </w:t>
            </w:r>
            <w:r>
              <w:rPr>
                <w:rFonts w:ascii="Times New Roman" w:hAnsi="Times New Roman"/>
                <w:b/>
                <w:sz w:val="24"/>
                <w:u w:val="single"/>
              </w:rPr>
              <w:t xml:space="preserve"> </w:t>
            </w:r>
          </w:p>
          <w:p w14:paraId="1AEC65F1" w14:textId="09C51B87" w:rsidR="00F530D8" w:rsidRPr="00C54BE0"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és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KITETTSÉGEK NPE ÉRTÉKPAPÍROSÍTÁSBAN</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Azon kitettségek teljes összege, amelyek megfelelnek az 575/2013/EU rendelet 269a. cikke (1) bekezdésének a) pontjában foglalt kritériumoknak.</w:t>
            </w:r>
            <w:r>
              <w:rPr>
                <w:rFonts w:ascii="Times New Roman" w:hAnsi="Times New Roman"/>
                <w:b/>
                <w:sz w:val="24"/>
                <w:u w:val="single"/>
              </w:rPr>
              <w:t xml:space="preserve"> </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és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EBBŐL: ELŐRESOROLT KITETTSÉGEK FIGYELEMBE VEHETŐ NEMTELJESÍTŐ KITETTSÉGEK HAGYOMÁNYOS ÉRTÉKPAPÍROSÍTÁSÁBAN</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 xml:space="preserve">Azon kitettségek teljes összege, amelyek megfelelnek az 575/2013/EU rendelet 269a. cikke (1) bekezdésének b) pontjában foglalt kritériumoknak. </w:t>
            </w:r>
            <w:r>
              <w:rPr>
                <w:rFonts w:ascii="Times New Roman" w:hAnsi="Times New Roman"/>
                <w:b/>
                <w:sz w:val="24"/>
                <w:u w:val="single"/>
              </w:rPr>
              <w:t xml:space="preserve"> </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t>0135, 0255 és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EBBŐL: ELŐRESOROLT KITETTSÉGEK NEM FIGYELEMBE VEHETŐ NEMTELJESÍTŐ KITETTSÉGEK HAGYOMÁNYOS ÉRTÉKPAPÍROSÍTÁSÁBAN</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Azon kitettségek teljes összege, amelyek nem felelnek meg az 575/2013/EU rendelet 269a. cikke (1) bekezdésének b) pontjában foglalt kritériumoknak.</w:t>
            </w:r>
          </w:p>
          <w:p w14:paraId="5A2408D0" w14:textId="31DBB1E9" w:rsidR="00F530D8" w:rsidRPr="00C54BE0"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és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EBBŐL: NEM ELŐRESOROLT KITETTSÉGEK FIGYELEMBE VEHETŐ NEMTELJESÍTŐ KITETTSÉGEK HAGYOMÁNYOS ÉRTÉKPAPÍROSÍTÁSÁBAN</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Az 575/2013/EU rendelet 269a. cikke</w:t>
            </w:r>
            <w:r>
              <w:rPr>
                <w:rFonts w:ascii="Times New Roman" w:hAnsi="Times New Roman"/>
                <w:b/>
                <w:sz w:val="24"/>
                <w:u w:val="single"/>
              </w:rPr>
              <w:t xml:space="preserve"> </w:t>
            </w:r>
            <w:r>
              <w:rPr>
                <w:rFonts w:ascii="Times New Roman" w:hAnsi="Times New Roman"/>
                <w:sz w:val="24"/>
              </w:rPr>
              <w:t>(1) bekezdésének a) pontjában meghatározott feltételeket teljesítő azon kitettségek teljes összege, amelyek nem teljesítik az 575/2013/EU rendelet 269a. cikke (1) bekezdésének b) pontjában meghatározott feltételeket</w:t>
            </w:r>
            <w:r>
              <w:rPr>
                <w:rFonts w:ascii="Times New Roman" w:hAnsi="Times New Roman"/>
                <w:b/>
                <w:sz w:val="24"/>
                <w:u w:val="single"/>
              </w:rPr>
              <w:t xml:space="preserve"> </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és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ÉRTÉKPAPÍROSÍTÁSI POZÍCIÓK: MÉRLEGEN KÍVÜLI TÉTELEK ÉS SZÁRMAZTATOTT ÜGYLETEK</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Ezek a sorok az olyan mérlegen kívüli tételnek és származtatott ügyletnek minősülő értékpapírosítási pozíciókkal kapcsolatos információkat gyűjtenek, amelyekre az értékpapírosítás keretében hitel-egyenértékesítési tényezőt kell alkalmazni. A mérlegen kívüli értékpapírosítási pozíció kitettségértéke az adott értékpapírosítási pozíciónak az esetleges egyedi hitelkockázati kiigazítások levonásával számított névértéke, egyéb rendelkezés hiányában 100</w:t>
            </w:r>
            <w:r>
              <w:t> </w:t>
            </w:r>
            <w:r>
              <w:rPr>
                <w:rFonts w:ascii="Times New Roman" w:hAnsi="Times New Roman"/>
                <w:sz w:val="24"/>
              </w:rPr>
              <w:t>%-os hitel-egyenértékesítési tényezővel megszorozva.</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II. mellékletében felsorolt származtatott ügyletekből eredő mérlegen kívüli értékpapírosítási pozíciókat az 575/2013/EU rendelet harmadik része II. címének 6. fejezete alapján kell megállapítani. Az 575/2013/EU rendelet II. mellékletében felsorolt származtatott ügyletek partnerkockázatához kapcsolódó kitettségértéket az 575/2013/EU rendelet harmadik része II. címének 6. fejezete alapján kell megállapítani.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likviditási hitelkeretek, hitelkeretek és hitelgondozók által biztosított készpénzelőlegek esetében az intézményeknek a le nem hívott összeget kell megadniuk.</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Kamatcsereügyletek és deviza-csereügyletek esetében az 575/2013/EU rendelet 248. cikkének (1) bekezdése szerint kiszámított kitettségértéket kell feltüntetni.</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mérlegen kívüli tételeket és a származtatott ügyleteket a 0150-es és a 0170-es sorban az 575/2013/EU rendelet 270. cikkében említett differenciált tőkekövetelmény alkalmazására vonatkozó információk, a 0160-as és a 0180-as sorban pedig az 575/2013/EU rendelet 242. cikkének 6. pontjában meghatározott előresorolt értékpapírosítási pozíciók teljes összegére vonatkozó információk figyelembevétele érdekében kell lebontani. Ugyanazok a jogi hivatkozások alkalmazandók, mint a 0100–0130-as sorok esetében.</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és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az 575/2013/EU rendelet 243. cikkében, vagy – csak értékpapírosítást kezdeményezők esetében – az 575/2013/EU rendelet 270. vagy 494c. cikkében foglalt kritériumoknak, és ezért differenciált tőkekövetelmény-megállapításra jogosultak.</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BEFEKTETŐ: TELJES KITETTSÉG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Ez a sor összefoglalja az olyan értékpapírosítási és újra-értékpapírosítási pozíciókkal kapcsolatos mérlegen belüli tételekre, mérlegen kívüli tételekre és származtatott ügyletekre</w:t>
            </w:r>
            <w:r>
              <w:rPr>
                <w:rFonts w:ascii="Times New Roman" w:hAnsi="Times New Roman"/>
                <w:sz w:val="24"/>
              </w:rPr>
              <w:t xml:space="preserve"> vonatkozó </w:t>
            </w:r>
            <w:r>
              <w:rPr>
                <w:rStyle w:val="FormatvorlageInstructionsTabelleText"/>
                <w:rFonts w:ascii="Times New Roman" w:hAnsi="Times New Roman"/>
                <w:sz w:val="24"/>
              </w:rPr>
              <w:t xml:space="preserve">információkat, amelyeknél az intézmény a befektető szerepét tölti be.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 táblával összefüggésben a befektető olyan intézmény, amely értékpapírosítási pozícióval rendelkezik egy olyan értékpapírosítási ügyletben, amelyben sem az értékpapírosítást kezdeményező, sem a szponzor szerepét nem tölti be.</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SZPONZOR: TELJES KITETTSÉG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és újra-értékpapírosítási pozíciókkal kapcsolatos mérlegen belüli tételekre, mérlegen kívüli tételekre és származtatott ügyletekre vonatkozó információkat, amelyeknél az intézmény az 575/2013/EU rendelet 4. cikke (1) bekezdésének 14. pontja szerinti szponzor szerepét tölti be. Ha egy szponzor saját eszközt is értékpapírosít, akkor a saját értékpapírosított eszközökkel kapcsolatos információkat az értékpapírosítást kezdeményezőre vonatkozó sorokban kell megadnia.</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FENNÁLLÓ POZÍCIÓK KEZDETI HITELMINŐSÉGI BESOROLÁS SZERINTI BONTÁSA</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Ezek a sorok az adatszolgáltatás időpontjában fennálló olyan pozíciókra vonatkozóan gyűjtenek információkat, amelyekre vonatkozóan a kezdeményezésük (keletkezésük) időpontjában meghatározták az 575/2013/EU rendelet 263. cikkének 1. és 2. táblázatában, valamint 264. cikkének 3. és 4. táblázatában megadott hitelminőségi besorolásokat. Az IAA szerint kezelt értékpapírosítási pozíciók esetében a hitelminőségi besorolás az IAA-minősítés első kibocsátásakor érvényes hitelminőségi besorolás. Ezen adatok hiányában a hitelminőségi besorolásnak megfelelő, rendelkezésre álló adatok közül a legkorábbiakat kell megadni.</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Ezeket a sorokat kizárólag a 0180–0210-es, 0280-as, 0350–0640-es, 0700–0720-as, 0740-es, 0760–0830-as és 0850-es oszlopban kell kitölteni.</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116039950"/>
      <w:r>
        <w:rPr>
          <w:rFonts w:ascii="Times New Roman" w:hAnsi="Times New Roman"/>
          <w:sz w:val="24"/>
          <w:u w:val="none"/>
        </w:rPr>
        <w:t>3.8.</w:t>
      </w:r>
      <w:r>
        <w:rPr>
          <w:rFonts w:ascii="Times New Roman" w:hAnsi="Times New Roman"/>
          <w:sz w:val="24"/>
          <w:u w:val="none"/>
        </w:rPr>
        <w:tab/>
      </w:r>
      <w:bookmarkEnd w:id="419"/>
      <w:r>
        <w:rPr>
          <w:rFonts w:ascii="Times New Roman" w:hAnsi="Times New Roman"/>
          <w:sz w:val="24"/>
        </w:rPr>
        <w:t>Az értékpapírosítással kapcsolatos részletes információk</w:t>
      </w:r>
      <w:bookmarkEnd w:id="420"/>
      <w:bookmarkEnd w:id="421"/>
      <w:r>
        <w:t xml:space="preserve"> </w:t>
      </w:r>
      <w:r>
        <w:rPr>
          <w:rFonts w:ascii="Times New Roman" w:hAnsi="Times New Roman"/>
          <w:sz w:val="24"/>
        </w:rPr>
        <w:t>(SEC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116039951"/>
      <w:r>
        <w:rPr>
          <w:rFonts w:ascii="Times New Roman" w:hAnsi="Times New Roman"/>
          <w:sz w:val="24"/>
          <w:u w:val="none"/>
        </w:rPr>
        <w:t>3.8.1.</w:t>
      </w:r>
      <w:r>
        <w:rPr>
          <w:rFonts w:ascii="Times New Roman" w:hAnsi="Times New Roman"/>
          <w:sz w:val="24"/>
          <w:u w:val="none"/>
        </w:rPr>
        <w:tab/>
        <w:t>A SEC DETAILS tábla alkalmazási köre</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111</w:t>
      </w:r>
      <w:r w:rsidRPr="00624117">
        <w:fldChar w:fldCharType="end"/>
      </w:r>
      <w:r>
        <w:t>.</w:t>
      </w:r>
      <w:r>
        <w:tab/>
        <w:t xml:space="preserve"> Ez a tábla – a CR SEC SA, MKR SA SEC, MKR SA CTP, CA1 és CA2 tábla összesített információival szemben – ügyletenkénti információkat gyűjt valamennyi olyan értékpapírosításról, amelyben az adatot szolgáltató intézmény érintett. Meg kell adni az egyes értékpapírosítások főbb jellemzőit, például az alapul szolgáló halmaz jellegét és a szavatolótőke-követelményt. </w:t>
      </w:r>
    </w:p>
    <w:p w14:paraId="5BAA1CFA" w14:textId="77777777" w:rsidR="00062A1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112</w:t>
      </w:r>
      <w:r>
        <w:rPr>
          <w:noProof/>
        </w:rPr>
        <w:fldChar w:fldCharType="end"/>
      </w:r>
      <w:r w:rsidR="00C3070C">
        <w:t>.</w:t>
      </w:r>
      <w:r w:rsidR="00C3070C">
        <w:tab/>
        <w:t xml:space="preserve"> Ezeket a táblákat az alábbi esetekben kell kitölteni:</w:t>
      </w:r>
    </w:p>
    <w:p w14:paraId="2826783E" w14:textId="0EBDBC54" w:rsidR="002409C1" w:rsidRPr="002A677E" w:rsidRDefault="00062A1F" w:rsidP="00487A02">
      <w:pPr>
        <w:pStyle w:val="InstructionsText2"/>
        <w:numPr>
          <w:ilvl w:val="0"/>
          <w:numId w:val="0"/>
        </w:numPr>
        <w:ind w:left="1353" w:hanging="360"/>
      </w:pPr>
      <w:r>
        <w:t>a)</w:t>
      </w:r>
      <w:r>
        <w:tab/>
        <w:t>Az adatszolgáltató intézmény által kezdeményezett vagy szponzorált értékpapírosítások esetében, beleértve azt is, amikor az intézmény nem rendelkezik pozícióval az értékpapírosításban. Abban az esetben, ha az intézmény legalább egy pozícióval rendelkezik az értékpapírosításban – attól függetlenül, hogy jelentős kockázat átruházására sor került-e vagy sem –, az intézményeknek az általuk – akár a banki könyvben, akár a kereskedési könyvben – tartott valamennyi pozícióról adatot kell szolgáltatniuk. A tartott pozíciók magukban foglalják az (EU) 2017/2402 rendelet 6. cikke szerint megtartott pozíciókat, és – amennyiben az említett rendelet 43. cikkének (6) bekezdése alkalmazandó – az 575/2013/EU rendelet 2018. december 31-én hatályos változatának 405. cikke alapján megtartott pozíciókat.</w:t>
      </w:r>
    </w:p>
    <w:p w14:paraId="66DF98B2" w14:textId="77777777" w:rsidR="00062A1F" w:rsidRPr="002A677E" w:rsidRDefault="00062A1F" w:rsidP="00487A02">
      <w:pPr>
        <w:pStyle w:val="InstructionsText2"/>
        <w:numPr>
          <w:ilvl w:val="0"/>
          <w:numId w:val="0"/>
        </w:numPr>
        <w:ind w:left="1353" w:hanging="360"/>
      </w:pPr>
      <w:r>
        <w:t>b)</w:t>
      </w:r>
      <w:r>
        <w:tab/>
        <w:t>Olyan értékpapírosítások, amelyek végső alapeszköze eredetileg az adatszolgáltató intézmény által kibocsátott és az értékpapírosítási eszköz által (részben) megszerzett pénzügyi kötelezettség. Ez az alapeszköz fedezett kötvény vagy más kötelezettség is lehet, amelyet ilyenként a 0160-as oszlopban fel kell tüntetni.</w:t>
      </w:r>
    </w:p>
    <w:p w14:paraId="2AF1CB05" w14:textId="3C10AFDB" w:rsidR="00062A1F" w:rsidRPr="002A677E" w:rsidRDefault="002409C1" w:rsidP="00487A02">
      <w:pPr>
        <w:pStyle w:val="InstructionsText2"/>
        <w:numPr>
          <w:ilvl w:val="0"/>
          <w:numId w:val="0"/>
        </w:numPr>
        <w:ind w:left="1353" w:hanging="360"/>
      </w:pPr>
      <w:r>
        <w:t>c)</w:t>
      </w:r>
      <w:r>
        <w:tab/>
        <w:t>Az értékpapírosításokban meglévő olyan pozíciók, amelyeknél az adatszolgáltató intézmény nem értékpapírosítást kezdeményező és nem szponzor (tehát befektetők és eredeti hitelezők esetében).</w:t>
      </w:r>
    </w:p>
    <w:p w14:paraId="67373E52" w14:textId="1FEEA6B4" w:rsidR="00B814CA" w:rsidRPr="002A677E" w:rsidRDefault="00B814CA" w:rsidP="001235ED">
      <w:pPr>
        <w:pStyle w:val="InstructionsText2"/>
        <w:numPr>
          <w:ilvl w:val="0"/>
          <w:numId w:val="0"/>
        </w:numPr>
        <w:ind w:left="1353"/>
      </w:pPr>
      <w:r>
        <w:t>A C 14.01-es táblát csak az értékpapírosítási keret alapján kezelt értékpapírosítási pozíciókra vonatkozóan kell kitölteni.</w:t>
      </w:r>
    </w:p>
    <w:p w14:paraId="190636F1" w14:textId="77777777" w:rsidR="00062A1F"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113</w:t>
      </w:r>
      <w:r>
        <w:rPr>
          <w:noProof/>
        </w:rPr>
        <w:fldChar w:fldCharType="end"/>
      </w:r>
      <w:r w:rsidR="00C3070C">
        <w:t>.</w:t>
      </w:r>
      <w:r w:rsidR="00C3070C">
        <w:tab/>
        <w:t xml:space="preserve"> Ezeket a táblákat kizárólag az abban az országban található konszolidált csoportok és önálló intézmények</w:t>
      </w:r>
      <w:r w:rsidR="00062A1F" w:rsidRPr="001235ED">
        <w:rPr>
          <w:rStyle w:val="FootnoteReference"/>
        </w:rPr>
        <w:footnoteReference w:id="7"/>
      </w:r>
      <w:r w:rsidR="00C3070C">
        <w:t xml:space="preserve"> alkalmazhatják, ahol szavatolótőke-követelmény hatálya alá esnek. Ha egy értékpapírosításban egy konszolidált csoporton belül több intézmény is részt vesz, akkor az adatokat intézményenkénti részletes bontásban kell megadni. </w:t>
      </w:r>
    </w:p>
    <w:p w14:paraId="1E7670E7" w14:textId="77777777" w:rsidR="00062A1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114</w:t>
      </w:r>
      <w:r>
        <w:rPr>
          <w:noProof/>
        </w:rPr>
        <w:fldChar w:fldCharType="end"/>
      </w:r>
      <w:r w:rsidR="00C3070C">
        <w:t>.</w:t>
      </w:r>
      <w:r w:rsidR="00C3070C">
        <w:tab/>
        <w:t xml:space="preserve"> Az (EU) 2017/2402 rendelet 5. cikke alapján, amely szerint az értékpapírosítási pozíciókba fektető intézményi befektetők az ilyen pozíciókról nagy mennyiségű információt kell beszerezniük az előzetes vizsgálatra vonatkozó követelmények teljesítéséhez, a tábla alkalmazási köre bizonyos mértékig a befektetőkre is kiterjed. Nekik a 0010–0040-es, 0070–0110-es, 0160-as, 0190-es, 0290–0300-as, 0310–0470-es oszlopokat kell kitölteniük.</w:t>
      </w:r>
    </w:p>
    <w:p w14:paraId="40D60DFB" w14:textId="77777777" w:rsidR="00062A1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115</w:t>
      </w:r>
      <w:r>
        <w:rPr>
          <w:noProof/>
        </w:rPr>
        <w:fldChar w:fldCharType="end"/>
      </w:r>
      <w:r w:rsidR="00C3070C">
        <w:t>.</w:t>
      </w:r>
      <w:r w:rsidR="00C3070C">
        <w:tab/>
        <w:t xml:space="preserve"> Az eredeti hitelező szerepét betöltő intézményeknek (amelyek ugyanabban az értékpapírosításban nem értékpapírosítást kezdeményezők vagy szponzorok) a táblát általában a befektetőkkel azonos terjedelemben kell kitölteniük.</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116039952"/>
      <w:r>
        <w:rPr>
          <w:rFonts w:ascii="Times New Roman" w:hAnsi="Times New Roman"/>
          <w:sz w:val="24"/>
          <w:u w:val="none"/>
        </w:rPr>
        <w:t>3.8.2. A SEC DETAILS tábla bontása</w:t>
      </w:r>
      <w:bookmarkEnd w:id="431"/>
      <w:bookmarkEnd w:id="432"/>
    </w:p>
    <w:p w14:paraId="1E73B3CF" w14:textId="42D876C7" w:rsidR="00062A1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116</w:t>
      </w:r>
      <w:r>
        <w:rPr>
          <w:noProof/>
        </w:rPr>
        <w:fldChar w:fldCharType="end"/>
      </w:r>
      <w:r w:rsidR="00C3070C">
        <w:t xml:space="preserve">. A SEC DETAILS táblacsoport két táblából áll. A SEC DETAILS általános áttekintést nyújt az értékpapírosításokról, a SEC DETAILS 2 pedig az 575/2013/EU rendelet harmadik része II. címe 5. fejezetének 3. szakasza szerint szavatolótőke-követelmény alá tartozó értékpapírosítási pozíciók alkalmazott módszer szerinti bontását tartalmazza. </w:t>
      </w:r>
    </w:p>
    <w:p w14:paraId="57C5CCB6" w14:textId="0551906E" w:rsidR="00062A1F"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117</w:t>
      </w:r>
      <w:r>
        <w:rPr>
          <w:noProof/>
        </w:rPr>
        <w:fldChar w:fldCharType="end"/>
      </w:r>
      <w:r w:rsidR="00C3070C">
        <w:t xml:space="preserve">. A kereskedési könyvben szereplő értékpapírosítási pozíciókat csak a 0010–0020-as, 0420-as, 0430-as, 0431-es, 0432-es, 0440-es és 0450–0470-es oszlopban kell feltüntetni. A 0420-as, 0430-as és 0440-es oszlop esetében az intézményeknek a nettó pozíció szavatolótőke-követelményének megfelelő kockázati súlyt kell figyelembe venniük. </w:t>
      </w:r>
    </w:p>
    <w:p w14:paraId="5A4B4B04" w14:textId="5CF3BB0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3" w:name="_Toc116039953"/>
      <w:r>
        <w:rPr>
          <w:rFonts w:ascii="Times New Roman" w:hAnsi="Times New Roman"/>
          <w:sz w:val="24"/>
          <w:u w:val="none"/>
        </w:rPr>
        <w:t>3.8.3. C 14.00 – Az értékpapírosítással kapcsolatos részletes információk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BELSŐ KÓD</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Az intézmény által az értékpapírosítás azonosítására használt belső (alfanumerikus) kód.</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A belső kódot az értékpapírosítási ügylet azonosítójához kell hozzárendelni.</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 AZONOSÍTÓJA</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értékpapírosítási ügylet jogszabályban előírt nyilvántartásba vételéhez használt kód, vagy ha ilyen nincs, akkor az a név, amelyen az értékpapírosítási ügylet </w:t>
            </w:r>
            <w:r>
              <w:rPr>
                <w:rFonts w:ascii="Times New Roman" w:hAnsi="Times New Roman"/>
                <w:sz w:val="24"/>
              </w:rPr>
              <w:lastRenderedPageBreak/>
              <w:t xml:space="preserve">a piacon vagy – belső, illetve magán értékpapírosítás esetén – az intézményen belül ismert.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 van nemzetközi értékpapír-azonosító szám (ISIN) – nyilvános ügyletnél –, akkor az oszlopban az értékpapírosítás valamennyi ügyletrészsorozatában közös karaktereket kell megadni.</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CSOPORTON BELÜLI, MAGÁN VAGY NYILVÁNOS ÉRTÉKPAPÍROSÍTÁS?</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Ebben az oszlopban azt kell feltüntetni, hogy az értékpapírosítás csoporton belüli, magán- vagy nyilvános értékpapírosítás-e.</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Az intézményeknek a következők egyikét kell feltüntetniük:</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zárt körű kibocsátás,</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csoporton belüli,</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nyilvános kibocsátás.</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AZ INTÉZMÉNY SZEREPE: (ÉRTÉKPAPÍROSÍTÁST KEZDEMÉNYEZŐ/SZPONZOR/EREDETI HITELEZŐ/BEFEKTETŐ)</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intézményeknek a következők egyikét kell feltüntetniük: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értékpapírosítást kezdeményező,</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szponzor,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befektető,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eredeti hitelező.</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4. cikke (1) bekezdésének 13. pontja szerinti értékpapírosítást kezdeményező és az említett rendelet 4. cikke (1) bekezdésének 14. pontja szerinti szponzor. Befektetőknek azok az intézmények tekinthetők, amelyekre az (EU) 2017/2402 rendelet 5. cikke alkalmazandó. Amennyiben az (EU) 2017/2402 rendelet 43. cikkének (5) bekezdése alkalmazandó, az 575/2013/EU rendelet 2018. december 31-én hatályos változatának 406. és 407. cikkét kell alkalmazni.</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ÉRTÉKPAPÍROSÍTÁST KEZDEMÉNYEZŐ AZONOSÍTÓJA</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oszlopban az értékpapírosítást kezdeményezőre alkalmazandó LEI-kódot, vagy ha az nem áll rendelkezésre, az értékpapírosítást kezdeményező részére a felügyeleti hatóság által megállapított kódot, vagy ha ilyen nincs, akkor az intézmény nevét kell megadni.</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Több eladó részvételével végrehajtott olyan értékpapírosítás esetén, amelyben az intézmény mint értékpapírosítást kezdeményező, szponzor vagy eredeti hitelező vesz részt, az adatszolgáltató intézménynek meg kell adnia a konszolidált csoportján belüli valamennyi olyan intézmény azonosítóját, amely az ügyletben (mint kezdeményező, szponzor vagy eredeti hitelező) részt vesz. Ha kód nem áll rendelkezésre, vagy azt az adatszolgáltató intézmény nem ismeri, akkor az intézmény nevét kell megadni.</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Több eladó részvételével végrehajtott olyan értékpapírosítás esetén, amelyben az adatszolgáltató intézmény befektetőként pozícióval rendelkezik, az adatszolgáltató intézménynek meg kell adnia az értékpapírosításban részt vevő összes különböző értékpapírosítást kezdeményező azonosítóját, vagy ha az nem áll rendelkezésre, az értékpapírosítást kezdeményezők nevét. Amennyiben az adatszolgáltató intézmény nem ismeri a neveket, az adatszolgáltató intézménynek azt kell feltüntetnie, hogy az értékpapírosítás „több eladó részvételével végrehajtott”.</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ÉRTÉKPAPÍROSÍTÁS TÍPUSA: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Az intézményeknek a következők egyikét kell feltüntetniük:</w:t>
            </w:r>
            <w:r>
              <w:rPr>
                <w:rFonts w:ascii="Times New Roman" w:hAnsi="Times New Roman"/>
                <w:sz w:val="24"/>
              </w:rPr>
              <w:br/>
              <w:t>– ABCP-program,</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ABCP-ügylet,</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nemteljesítő kitettségek értékpapírosításától eltérő hagyományos értékpapírosítás,</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figyelembe nem vehető nemteljesítő kitettségek értékpapírosítása,</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figyelembe vehető nemteljesítő kitettségek értékpapírosítása,</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szintetikus ügylet.</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„eszközfedezetű kereskedelmiértékpapír-kibocsátási program”, az „eszközfedezetű kereskedelmiértékpapír-ügylet”, a „hagyományos értékpapírosítás” és a „szintetikus értékpapírosítás” meghatározását az 575/2013/EU rendelet 242. cikkének 11–14. pontja tartalmazza; a figyelembe vehető nemteljesítő kitettségek hagyományos értékpapírosításának és a nemteljesítő kitettségek értékpapírosításának meghatározását pedig az 575/2013/EU rendelet 269a. cikkének (1) bekezdése tartalmazza.</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ELSZÁMOLÁSI MÓD: AZ ÉRTÉKPAPÍROSÍTOTT KITETTSÉGEK A MÉRLEGBEN MARADNAK, VAGY KIVEZETÉSRE KERÜLNEK?</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Az értékpapírosítást kezdeményezőként, szponzorként vagy eredeti hitelezőként eljáró intézmények a következők egyikét kötelesek feltüntetni:</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teljes megjelenítés, amennyiben az értékpapírosított kitettségek teljes mértékben megjelenítve maradnak;</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részleges kivezetés, amennyiben az értékpapírosított kitettségeket részben kivezetik;</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teljes kivezetés, amennyiben az értékpapírosított kitettségeket teljes mértékben kivezetik;</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nem alkalmazható, amennyiben ezek egyike sem alkalmazható.</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oszlop az ügylet elszámolási módját foglalja össze. Az 575/2013/EU rendelet 244. és 245. cikke szerinti jelentős kockázat átruházása nem befolyásolja az ügylet vonatkozó számviteli szabályozás szerinti elszámolását.</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„P” (részleges kivezetés) értéket kell megadni akkor, ha az értékpapírosított eszközöket a mérlegben az adatszolgáltató intézménynek az IFRS 9 3.2.16–3.2.21. bekezdése szerinti folytatódó részvétele mértékéig jelenítik meg.</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A FIZETŐKÉPESSÉG KEZELÉSE: AZ ÉRTÉKPAPÍROSÍTÁSI POZÍCIÓKRA SZAVATOLÓTŐKE-KÖVETELMÉNY VONATKOZIK?</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Az 575/2013/EU rendelet 109., 244. és 245. cikke</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Kizárólag az értékpapírosítást kezdeményezőknek a következők egyikét kell megadniuk: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nincs vonatkozó szavatolótőke-követelmény;</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banki könyv;</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kereskedési könyv;</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részben mindkét könyv.</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 azt foglalja össze, hogy az értékpapírosítási programot az értékpapírosítást kezdeményező hogyan kezeli a szavatolótőke-megfelelés szempontjából. Azt mutatja, hogy a szavatolótőke-követelmény számítása az értékpapírosított kitettségek vagy az értékpapírosítási pozíciók alapján (banki könyv/kereskedési könyv) történik-e.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Ha a szavatolótőke-követelmény alapját </w:t>
            </w:r>
            <w:r>
              <w:rPr>
                <w:rFonts w:ascii="Times New Roman" w:hAnsi="Times New Roman"/>
                <w:i/>
                <w:sz w:val="24"/>
              </w:rPr>
              <w:t>értékpapírosított kitettségek</w:t>
            </w:r>
            <w:r>
              <w:rPr>
                <w:rFonts w:ascii="Times New Roman" w:hAnsi="Times New Roman"/>
                <w:sz w:val="24"/>
              </w:rPr>
              <w:t xml:space="preserve"> képezik (vagyis jelentős kockázat átruházására nem kerül sor), akkor a hitelkockázat szavatolótőke-követelményének kiszámítását az intézmény a CR SA táblán tünteti fel azon értékpapírosított kitettségek esetén, amelyeknél a sztenderd módszert alkalmazza, a CR IRB táblán pedig azon értékpapírosított kitettségek esetén, amelyeknél a belső minősítésen alapuló módszert alkalmazza.</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Ugyanakkor, ha a szavatolótőke-követelmény alapját </w:t>
            </w:r>
            <w:r>
              <w:rPr>
                <w:rFonts w:ascii="Times New Roman" w:hAnsi="Times New Roman"/>
                <w:i/>
                <w:sz w:val="24"/>
              </w:rPr>
              <w:t>a banki könyvben nyilvántartott értékpapírosítási pozíciók</w:t>
            </w:r>
            <w:r>
              <w:rPr>
                <w:rFonts w:ascii="Times New Roman" w:hAnsi="Times New Roman"/>
                <w:sz w:val="24"/>
              </w:rPr>
              <w:t xml:space="preserve"> képezik (jelentős kockázat átruházására kerül sor), akkor a hitelkockázat szavatolótőke-követelményének kiszámítására vonatkozó információt az intézmény a CR SEC táblán adja meg. A </w:t>
            </w:r>
            <w:r>
              <w:rPr>
                <w:rFonts w:ascii="Times New Roman" w:hAnsi="Times New Roman"/>
                <w:i/>
                <w:sz w:val="24"/>
              </w:rPr>
              <w:t>kereskedési könyvben nyilvántartott értékpapírosítási pozíciók</w:t>
            </w:r>
            <w:r>
              <w:rPr>
                <w:rFonts w:ascii="Times New Roman" w:hAnsi="Times New Roman"/>
                <w:sz w:val="24"/>
              </w:rPr>
              <w:t xml:space="preserve"> esetében a piaci kockázat szavatolótőke-követelményének kiszámítására vonatkozó információt az MKR SA TDI (sztenderd módszer szerinti általános pozíciókockázat), az MKR SA SEC vagy MKR SA CTP (sztenderd módszer szerinti egyedi pozíciókockázat), vagy az MKR IM (belső modellek) táblán kell feltüntetni.</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JELENTŐS KOCKÁZATÁTRUHÁZÁS</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Kizárólag az értékpapírosítást kezdeményezőknek a következők egyikét kell megadniuk:</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jelentős kockázatátruházásra nem alkalmazandó – az adatszolgáltató intézmény kockázati súlyt alkalmaz az értékpapírosított kitettségeire;</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megvalósított SRT az 575/2013/EU rendelet 244. cikke (2) bekezdésének a) pontja vagy 245. cikke (2) bekezdésének a) pontja szerint;</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megvalósított SRT az 575/2013/EU rendelet 244. cikke (2) bekezdésének b) pontja vagy 245. cikke (2) bekezdésének b) pontja szerint;</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megvalósított SRT az 575/2013/EU rendelet 244. cikke (3) bekezdésének a) pontja vagy 245. cikke (3) bekezdésének a) pontja szerint;</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1 250 %-os kockázati súly alkalmazása vagy a megtartott pozíciók levonása</w:t>
            </w:r>
            <w:r>
              <w:t xml:space="preserve"> </w:t>
            </w:r>
            <w:r>
              <w:rPr>
                <w:rFonts w:ascii="Times New Roman" w:hAnsi="Times New Roman"/>
                <w:sz w:val="24"/>
              </w:rPr>
              <w:t>az 575/2013/EU rendelet 244. cikke (1) bekezdésének b) pontjával vagy 245. cikke (1) bekezdésének b) pontjával összhangban.</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 összefoglalja, hogy történt-e jelentős átruházás, és ha igen, milyen módon. A megvalósított jelentős kockázatátruházás meghatározza az értékpapírosítást kezdeményező megfelelő fizetőképesség-kezelését.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 VAGY ÚJRA-ÉRTÉKPAPÍROSÍTÁS?</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73B9E2C8"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Az értékpapírosítás fogalmának az 575/2013/EU rendelet 4. cikke (1) bekezdésének 61. és az újra-értékpapírosítás fogalmának az 575/2013/EU rendelet 4. cikke (1) bekezdésének 63. pontjában foglalt meghatározásával összhangban az alábbi rövidítésekkel meg kell adni az értékpapírok típusát:</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értékpapírosítás;</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újra-értékpapírosítás.</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ÉRTÉKPAPÍROSÍTÁS</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Az (EU) 2017/2402 rendelet 18. cikke</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Az intézményeknek a következő rövidítések egyikét kell feltüntetniük:</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igen;</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nem.</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 ÉRTÉKPAPÍROSÍTÁS</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Az 575/2013/EU rendelet 243., 270. és 494c. cikke</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Az intézményeknek a következő rövidítések egyikét kell feltüntetniük:</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igen;</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nem.</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„Igen”-t a következő esetekben kell feltüntetni:</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az 575/2013/EU rendelet 243. cikke szerint differenciált tőkekövetelmény-megállapításra jogosult STS-értékpapírosítások.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az 575/2013/EU rendelet 270. cikke szerint erre a kezelésre jogosult, mérlegen belüli STS-értékpapírosításokban levő előresorolt pozíciók</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az 575/2013/EU rendelet 494c. cikke szerint szerzett jogok alapján figyelembe vett szintetikus kkv-értékpapírosítás.</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AZ ÉRTÉKPAPÍROSÍTÁSI FELÁR TÍPUSA</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Az (EU) 2017/2402/EU rendelet 2. cikkének 29. pontja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Az intézményeknek a következők egyikét kell feltüntetniük:</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Nincs értékpapírosítási felár</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Értékpapírosítási felár, rögzített összeg – „használd vagy elveszíted” mechanizmus</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Értékpapírosítási felár, rögzített összeg – „visszatartási” mechanizmus</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Értékpapírosítási felár, változó összeg – „használd vagy elveszíted” mechanizmus</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Értékpapírosítási felár, változó összeg – „visszatartási” mechanizmus</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AMORTIZÁCIÓS RENDSZER</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Az intézményeknek a következők egyikét kell feltüntetniük:</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Egymást követő amortizáció</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Arányos amortizáció</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Arányos amortizáció, amely egymást követő amortizációra változik. Megfelel az eszközök mérlegen belüli értékpapírosítására vonatkozó STS kritériumoknak </w:t>
            </w:r>
            <w:r>
              <w:rPr>
                <w:rFonts w:ascii="Times New Roman" w:hAnsi="Times New Roman"/>
                <w:sz w:val="24"/>
              </w:rPr>
              <w:br/>
              <w:t xml:space="preserve">(az (EU) 2017/2402 rendelet 26c. cikkének (5) bekezdése)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Arányos amortizáció, amely egymást követő amortizációra változik. Megfelel a nem ABCP-ügyletekre vonatkozó STS kritériumoknak </w:t>
            </w:r>
            <w:r>
              <w:rPr>
                <w:rFonts w:ascii="Times New Roman" w:hAnsi="Times New Roman"/>
                <w:sz w:val="24"/>
              </w:rPr>
              <w:br/>
              <w:t>(Iránymutatás a nem ABCP-ügyletekre vonatkozó STS-kritériumokról és az (EU) 2017/2402 rendelet 21. cikkének (5) bekezdése)</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Arányos amortizáció, amely egymást követő amortizációra változik. Nem felel meg</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Egyéb amortizációs rendszer</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BIZTOSÍTÉKI FEDEZETI OPCIÓK</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Az (EU) 2017/2402 rendelet 26e. cikke</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Az intézményeknek a hitelkockázati fedezeti megállapodás biztosítéki fedezetére vonatkozó alábbi opciók egyikét kell feltüntetniük:</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0 %-os kockázati súlyozású, hitelviszonyt megtestesítő értékpapírok formájában nyújtott biztosíték </w:t>
            </w:r>
            <w:r>
              <w:rPr>
                <w:rFonts w:ascii="Times New Roman" w:hAnsi="Times New Roman"/>
                <w:sz w:val="24"/>
              </w:rPr>
              <w:br/>
              <w:t>Az (EU) 2017/2402 rendelet 26e. cikke (10) bekezdése első albekezdésének a) pontja</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3. vagy annál magasabb hitelminőségi besorolású, harmadik fél hitelintézetnél tartott, készpénz formájában nyújtott biztosíték</w:t>
            </w:r>
            <w:r>
              <w:rPr>
                <w:rFonts w:ascii="Times New Roman" w:hAnsi="Times New Roman"/>
                <w:sz w:val="24"/>
              </w:rPr>
              <w:br/>
              <w:t>Az (EU) 2017/2402 rendelet 26e. cikke (10) bekezdése első albekezdésének b) pontja</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Az értékpapírosítást kezdeményezőnél vagy annak egyik kapcsolt vállalkozásánál elhelyezett készpénzletét formájában nyújtott biztosíték, ha az értékpapírosítást kezdeményező vagy annak egyik kapcsolt vállalkozása legalább a 2. hitelminőségi besorolásúnak minősül</w:t>
            </w:r>
            <w:r>
              <w:rPr>
                <w:rFonts w:ascii="Times New Roman" w:hAnsi="Times New Roman"/>
                <w:sz w:val="24"/>
              </w:rPr>
              <w:br/>
              <w:t>Az (EU) 2017/2402 rendelet 26e. cikke (10) bekezdésének második albekezdése</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Az értékpapírosítást kezdeményezőnél vagy annak egyik kapcsolt vállalkozásánál elhelyezett készpénzletét formájában nyújtott biztosíték, ha az értékpapírosítást kezdeményező vagy annak egyik kapcsolt vállalkozása legalább a 3. hitelminőségi besorolásúnak minősül</w:t>
            </w:r>
            <w:r>
              <w:rPr>
                <w:rFonts w:ascii="Times New Roman" w:hAnsi="Times New Roman"/>
                <w:sz w:val="24"/>
              </w:rPr>
              <w:br/>
              <w:t>Az (EU) 2017/2402 rendelet 26e. cikke (10) bekezdésének harmadik albekezdése</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Teljesített követelmény az értékpapírosítást kezdeményező által kibocsátott, hitelkockázati eseményhez kapcsolt értékpapírokba történő befektetések esetén</w:t>
            </w:r>
            <w:r>
              <w:rPr>
                <w:rFonts w:ascii="Times New Roman" w:hAnsi="Times New Roman"/>
                <w:sz w:val="24"/>
              </w:rPr>
              <w:br/>
              <w:t>Az (EU) 2017/2402 rendelet 26e. cikke (10) bekezdésének negyedik albekezdése</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Nincs biztosíték, a befektető jogosult 0 %-os kockázati súly</w:t>
            </w:r>
            <w:r>
              <w:t xml:space="preserve"> </w:t>
            </w:r>
            <w:r>
              <w:rPr>
                <w:rFonts w:ascii="Times New Roman" w:hAnsi="Times New Roman"/>
                <w:sz w:val="24"/>
              </w:rPr>
              <w:t>alkalmazására</w:t>
            </w:r>
            <w:r>
              <w:rPr>
                <w:rFonts w:ascii="Times New Roman" w:hAnsi="Times New Roman"/>
                <w:sz w:val="24"/>
              </w:rPr>
              <w:br/>
              <w:t>Az (EU) 2017/2402 rendelet 26e. cikke (8) bekezdésének a) pontja</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Nincs biztosíték, a befektető számára olyan szervezet nyújt viszontgaranciát,</w:t>
            </w:r>
            <w:r>
              <w:t xml:space="preserve"> </w:t>
            </w:r>
            <w:r>
              <w:rPr>
                <w:rFonts w:ascii="Times New Roman" w:hAnsi="Times New Roman"/>
                <w:sz w:val="24"/>
              </w:rPr>
              <w:t>amely jogosult 0 %-os kockázati súly alkalmazására.</w:t>
            </w:r>
            <w:r>
              <w:rPr>
                <w:rFonts w:ascii="Times New Roman" w:hAnsi="Times New Roman"/>
                <w:sz w:val="24"/>
              </w:rPr>
              <w:br/>
              <w:t>Az (EU) 2017/2402 rendelet 26e. cikke (8) bekezdésének b) pontja</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Egyéb típusú biztosítékok: az (EU) 2017/2402 rendelet 26e. cikkének meg nem felelő hitelviszonyt megtestesítő értékpapírok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Egyéb típusú biztosítékok: az (EU) 2017/2402 rendelet 26e. cikkének meg nem felelő készpénz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Nincs biztosíték, a biztosíték nem felel meg a mérlegen belüli értékpapírosításra vonatkozó STS kritériumoknak</w:t>
            </w:r>
            <w:r>
              <w:rPr>
                <w:rFonts w:ascii="Times New Roman" w:hAnsi="Times New Roman"/>
                <w:sz w:val="24"/>
              </w:rPr>
              <w:br/>
              <w:t>A biztosíték hiányától eltérő esetek, de a befektető 0 %-os kockázati súlyra jogosult,</w:t>
            </w:r>
            <w:r>
              <w:t xml:space="preserve"> </w:t>
            </w:r>
            <w:r>
              <w:rPr>
                <w:rFonts w:ascii="Times New Roman" w:hAnsi="Times New Roman"/>
                <w:sz w:val="24"/>
              </w:rPr>
              <w:t>vagy olyan szervezet nyújt számára viszontgaranciát, amely jogosult 0 %-os kockázati súly alkalmazására</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Ezt az oszlopot csak akkor kell kitölteni, ha a 0040-es oszlopban „szintetikus ügylet” szerepel.</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MEGTARTOTT ÉRDEKELTSÉGEK</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Az (EU) 2017/2402 rendelet 6. cikke; amennyiben az (EU) 2017/2402 rendelet 43. cikkének (6) bekezdése alkalmazandó, az 575/2013/EU rendelet 2018. december 31-én hatályos változatának 405. cikkét kell alkalmazni.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ÉRDEKELTSÉG MEGTARTÁSÁNAK MÓDJA</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Minden egyes kezdeményezett értékpapírosítási programnál fel kell tüntetni a nettó gazdasági érdekeltség megtartásának módját az (EU) 2017/2402 rendelet 6. cikke alapján:</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Függőleges szelet (értékpapírosítási pozíciók): </w:t>
            </w:r>
            <w:r>
              <w:rPr>
                <w:rFonts w:ascii="Times New Roman" w:hAnsi="Times New Roman"/>
                <w:i/>
                <w:sz w:val="24"/>
              </w:rPr>
              <w:t>„a befektetőknek eladott vagy a befektetőkre átruházott minden egyes ügyletrészsorozat névértéke legalább 5 %-ának megtartása;”</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t>V – Függőleges szelet (értékpapírosított kitettségek): legalább 5 % megtartása</w:t>
            </w:r>
            <w:r>
              <w:rPr>
                <w:rFonts w:ascii="Times New Roman" w:hAnsi="Times New Roman"/>
                <w:i/>
                <w:sz w:val="24"/>
              </w:rPr>
              <w:t xml:space="preserve"> </w:t>
            </w:r>
            <w:r>
              <w:rPr>
                <w:rFonts w:ascii="Times New Roman" w:hAnsi="Times New Roman"/>
                <w:sz w:val="24"/>
              </w:rPr>
              <w:t xml:space="preserve">az egyes értékpapírosított kitettségek hitelkockázatából akkor, ha az értékpapírosított kitettségek így megtartott hitelkockázatának besorolása minden esetben </w:t>
            </w:r>
            <w:r>
              <w:rPr>
                <w:rFonts w:ascii="Times New Roman" w:hAnsi="Times New Roman"/>
                <w:sz w:val="24"/>
              </w:rPr>
              <w:lastRenderedPageBreak/>
              <w:t>megegyezik (pari passu) az ugyanazon kitettségekre vonatkozóan értékpapírosított hitelkockázatéval, vagy annál alacsonyabb;</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Rulírozó kitettségek: </w:t>
            </w:r>
            <w:r>
              <w:rPr>
                <w:rFonts w:ascii="Times New Roman" w:hAnsi="Times New Roman"/>
                <w:i/>
                <w:sz w:val="24"/>
              </w:rPr>
              <w:t>„rulírozó kitettségek értékpapírosítása esetén az értékpapírosított kitettségek névértékének legalább 5 %-a mértékéig az értékpapírosítást kezdeményező érdekeltségének megtartása;”</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C – Mérlegen belüli: „</w:t>
            </w:r>
            <w:r>
              <w:rPr>
                <w:rFonts w:ascii="Times New Roman" w:hAnsi="Times New Roman"/>
                <w:i/>
                <w:sz w:val="24"/>
              </w:rPr>
              <w:t>„véletlenszerűen kiválasztott – legalább az értékpapírosított kitettségek névértékének 5 %-ával egyenértékű – kitettségek megtartása, amennyiben ezeket az értékpapírosítás során egyébként értékpapírosították volna, feltéve hogy a potenciálisan értékpapírosítandó kitettségek száma az értékpapírosítás kezdeményezésekor legalább 100;”</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 xml:space="preserve">D – Első veszteségviselő: </w:t>
            </w:r>
            <w:r>
              <w:rPr>
                <w:rFonts w:ascii="Times New Roman" w:hAnsi="Times New Roman"/>
                <w:i/>
                <w:sz w:val="24"/>
              </w:rPr>
              <w:t>„az első veszteségviselő ügyletrészsorozat és szükség esetén a befektetőkre átruházott vagy a befektetőknek eladott ügyletrészsorozatokkal azonos vagy magasabb kockázati profilú, és a befektetőkre átruházott vagy a befektetőknek eladott ügyletrészsorozatoknál nem korábbi lejáratú ügyletrészsorozatok megtartása úgy, hogy a megtartott rész összesen legalább az értékpapírosított kitettségek névértékének 5 %-ával egyenlő;”</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Mentesül. Ezt a kódot az (EU) 2017/2402 rendelet 6. cikke (6) bekezdésének alkalmazása által érintett értékpapírosításoknál kell megadni.</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Nem megfelelő vagy ismeretlen. Ezt a kódot akkor kell megadni, ha az adatszolgáltató intézmény nem tudja biztosan, hogy a megtartás melyik módját alkalmazzák, vagy az nem felel meg a szabályoknak.</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 MEGTARTOTT ÉRDEKELTSÉGEK ARÁNYA AZ ADATSZOLGÁLTATÁS IDŐPONTJÁBAN (%)</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i/>
                <w:sz w:val="24"/>
              </w:rPr>
              <w:t>Az értékpapírosítást kezdeményező, a szponzor vagy az eredeti hitelező által megtartott jelentős mértékű nettó gazdasági érdekeltség</w:t>
            </w:r>
            <w:r>
              <w:rPr>
                <w:rFonts w:ascii="Times New Roman" w:hAnsi="Times New Roman"/>
                <w:sz w:val="24"/>
              </w:rPr>
              <w:t xml:space="preserve"> aránya a kezdeményezés időpontjában legalább 5 %.</w:t>
            </w:r>
          </w:p>
          <w:p w14:paraId="70B4B89A" w14:textId="77777777" w:rsidR="007421F4" w:rsidRPr="002A677E" w:rsidRDefault="007421F4" w:rsidP="007421F4">
            <w:pPr>
              <w:spacing w:before="0" w:after="0"/>
              <w:rPr>
                <w:rFonts w:ascii="Times New Roman" w:hAnsi="Times New Roman"/>
                <w:i/>
                <w:sz w:val="24"/>
              </w:rPr>
            </w:pPr>
          </w:p>
          <w:p w14:paraId="601AD4B2" w14:textId="741F4F8D"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0080-as oszlopban (Az érdekeltség megtartásának módja) az „E” (Mentesül) kód szerepel.</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 MEGTARTÁSI KÖVETELMÉNY TELJESÜL?</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Az intézményeknek a következő rövidítéseket kell feltüntetniük:</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igen;</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nem.</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0080-as oszlopban (Az érdekeltség megtartásának módja) az „E” (Mentesül) kód szerepel.</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NEM ABCP-PROGRAMOK</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Az ABCP-programok speciális jellegéből adódóan, ami azzal függ össze, hogy több egyedi értékpapírosítási pozíciót foglalnak magukban, az 575/2013/EU rendelet 242. cikkének 11. pontjában meghatározott ABCP-programokról a 0120-as, 0121-es és 0130-as oszlopban nem kell adatot szolgáltatni.</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KEZDEMÉNYEZÉS IDŐPONTJA (éééé-hh-nn)</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Az értékpapírosítás kezdeményezésének időpontjában (a halmazra [poolra] vonatkozó határidőben vagy záró dátumban) a hónapot és az évet a „hh/éééé” formában kell megadni.</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Az egyes értékpapírosítási programok kezdeményezésének időpontja az adatszolgáltatás időpontjai között nem változhat. A nyitott halmazokkal fedezett értékpapírosítási programok esetében a kezdeményezés napja az értékpapírok első kibocsátásának napja.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 LEGUTOLSÓ KIBOCSÁTÁS IDŐPONTJA (éééé-hh-nn)</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Az értékpapírosítás keretében az értékpapírok legutóbbi kibocsátásának időpontjában a hónapot és az évet „éééé-hh-nn” formában kell megadni.</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Az (EU) 2017/2402 rendeletet csak azon értékpapírosításokra kell alkalmazni, amelyek értékpapírjait 2019. január 1-jén vagy azt követően bocsátották ki. Az értékpapírok legutolsó kibocsátásának időpontja határozza meg, hogy az egyes értékpapírosítási programok az (EU) 2017/2402 rendelet hatálya alá tartoznak-e.</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ÉRTÉKPAPÍROSÍTOTT KITETTSÉGEK ÖSSZÉRTÉKE A KEZDEMÉNYEZÉS IDŐPONTJÁBAN</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Ez az oszlop az értékpapírosított portfóliónak a kezdeményezés időpontjában érvényes (a hitel-egyenértékesítési tényezők előtti eredeti kitettség alapján kiszámított) értékét összesíti.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nyitott halmazokkal fedezett értékpapírosítási programok esetében az értékpapírok első kibocsátásának napjára vonatkozó értéket kell megadni.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Kötelezettségek értékpapírosítása esetében kizárólag az adatszolgáltató intézmény által kibocsátott összeget kell megadni.</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Ezt az információt akkor is fel kell tüntetni, ha az adatszolgáltató intézmény nem rendelkezik pozícióval az értékpapírosításban.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ÉRTÉKPAPÍROSÍTOTT KITETTSÉGEK</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0140–0225-ös oszlopban az adatszolgáltató intézménynek az értékpapírosított portfólió több jellemzőjére vonatkozó információkat kell feltüntetnie.</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ÖSSZÉRTÉK</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Az intézményeknek az értékpapírosított portfóliónak az adatszolgáltatás időpontjában érvényes értékét, vagyis a fennálló értékpapírosított kitettségek összegét kell megadniuk.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A zárt halmazzal fedezett értékpapírosítási programoknál (vagyis ahol az értékpapírosított eszközportfólió a kezdeményezés napját követően nem bővíthető) az értéket fokozatosan csökkenteni kell.</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INTÉZMÉNY RÉSZESEDÉSE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Az intézménynek az értékpapírosított portfólióban az adatszolgáltatás időpontjában meglévő részesedését kell megadni (százalékban, két tizedesjegy pontossággal). Az ebben az oszlopban feltüntetendő érték alapértelmezés szerint 100 %,</w:t>
            </w:r>
            <w:r>
              <w:t xml:space="preserve"> </w:t>
            </w:r>
            <w:r>
              <w:rPr>
                <w:rFonts w:ascii="Times New Roman" w:hAnsi="Times New Roman"/>
                <w:sz w:val="24"/>
              </w:rPr>
              <w:t>kivéve a több eladó részvételével működő értékpapírosítási programokat. Az utóbbi esetben az adatszolgáltató intézménynek az értékpapírosított portfólióban meglévő aktuális hozzájárulását kell megadnia (arányát tekintve a 0140-es oszlopnak felel meg).</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TÍPUS</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portfólióban lévő eszközökről (lakóingatlant terhelő jelzálog – egyéb nem lakossági kitettségek) és kötelezettségekről (fedezett kötvények és egyéb kötelezettségek) gyűjt információkat. Az intézménynek a következő opciók egyikét kell feltüntetnie a legmagasabb EAD figyelembevételével:</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Lakosság:</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lakóingatlant terhelő jelzálog;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hitelkártya-követelés;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fogyasztási hitel;</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kkv-knak nyújtott hitel (lakosságiként kezelt);</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egyéb lakossággal szembeni kitettségek.</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Nem lakosság:</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kereskedelmi ingatlant terhelő jelzálog;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lízing;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vállalatoknak nyújtott hitelek;</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kkv-knak nyújtott hitel (vállalatiként kezelt);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kereskedelemfinanszírozás;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egyéb nem lakossági kitettségek.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Kötelezettségek:</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fedezett kötvények;</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egyéb kötelezettségek.</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Ha az értékpapírosított kitettségek halmaza a fent felsorolt típusokat vegyesen tartalmazza, akkor az intézménynek a legfontosabb típust kell feltüntetnie. Újra-értékpapírosítás esetén az intézménynek a végső alapul szolgáló eszközhalmazt kell megjelölnie.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zárt halmazzal fedezett értékpapírosítási programoknál a típus az adatszolgáltatás időpontjai között nem változhat.</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Kötelezettségek alatt az eredetileg az adatszolgáltató intézmény által kibocsátott kötelezettségek értendők (lásd e melléklet 3.2.1. szakasza 112. pontjának b) alpontját).</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IRB %-OS ARÁNYA AZ ALKALMAZOTT MÓDSZEREK KÖZÖTT</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 az oszlop arról a módszerről (azokról a módszerekről) gyűjt információkat, amelye(ke)t az intézmény az adatszolgáltatás időpontjában alkalmazna az értékpapírosított kitettségekre.</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intézményeknek azon értékpapírosított kitettségek kitettségértékkel mért százalékos arányát kell megadniuk, amelyekre az adatszolgáltatás időpontjában a belső minősítésen alapuló módszer alkalmazandó.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Ezt az információt akkor is fel kell tüntetni, ha az adatszolgáltató intézmény nem rendelkezik pozícióval az értékpapírosításban. Ez az oszlop azonban nem vonatkozik a kötelezettségek értékpapírosítására.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 KITETTSÉGEK SZÁMA</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259. cikkének (4) bekezdése</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oszlopot azoknak az intézményeknek kötelező kitölteniük, amelyek az értékpapírosítási pozíciókra a SEC-IRBA-módszert alkalmazzák (és ennek megfelelően a 171-es oszlopban 95 %-nál nagyobb értéket adnak meg). Az intézmény a kitettségek tényleges számáról szolgáltat adatot.</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Az oszlop nem töltendő ki kötelezettségek értékpapírosítása esetén, valamint akkor, ha a szavatolótőke-követelmény az értékpapírosított kitettségeken alapul (eszközök értékpapírosítása esetén). Az oszlop nem töltendő ki, ha az adatszolgáltató intézmény nem rendelkezik pozícióval az értékpapírosításban. Az oszlopot a befektetők nem töltik ki.</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NEMTELJESÍTŐ KITETTSÉGEK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Az 575/2013/EU rendelet 261. cikkének (2) bekezdése</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Az intézménynek meg kell adnia az 575/2013/EU rendelet 261. cikkének (2) bekezdése szerint kiszámított W-t (a nemteljesítő alapul szolgáló kitettségekre), még abban az esetben is, ha nem alkalmazza a SEC-SA módszert az értékpapírosítási pozíciókra.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ORSZÁG</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Az intézmény az ISO 3166-1 alpha-2 szabvány szerinti kód alapján az ügylet végső alapul szolgáló eszközeinek származási országát adja meg, vagyis az eredeti értékpapírosított kitettségek közvetlen kötelezettjének az országát (alapul szolgáló eszközök vizsgálata). Ha az értékpapírosítás halmaza több országot tartalmaz, akkor az intézménynek a legfontosabb országot kell feltüntetnie. Ha az eszközök és kötelezettségek összege alapján számított 20 %-os küszöböt egyik ország sem lépi túl, akkor az „egyéb országok” értéket kell feltüntetni.</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 kitettséggel súlyozott átlagos LGD értékét csak azok az intézmények adják meg, amelyek a SEC-IRBA-t alkalmazzák (és ennek megfelelően a 0170-es oszlopban legalább 95 %-os értéket tüntetnek fel). Az LGD értékét az 575/2013/EU rendelet 259. cikkének (5) bekezdése alapján kell kiszámítani.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Az oszlop nem töltendő ki kötelezettségek értékpapírosítása esetén, valamint akkor, ha a szavatolótőke-követelmény az értékpapírosított kitettségeken alapul (eszközök értékpapírosítása esetén).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Az értékpapírosított eszközök kitettséggel súlyozott átlagos várható veszteségének (EL) értékét csak azok az intézmények adják meg, amelyek a SEC-IRBA-t alkalmazzák (és ennek megfelelően a 0171-es oszlopban legalább 95 %-os értéket tüntetnek fel). SA értékpapírosított eszközök esetében a feltüntetendő EL az 575/2013/EU rendelet 111. cikkében említett egyedi hitelkockázati kiigazítás. Az EL értékét az 575/2013/EU rendelet harmadik része II. címe 3. fejezetének 3. szakasza alapján kell kiszámítani. Az oszlop nem töltendő ki kötelezettségek értékpapírosítása esetén, valamint akkor, ha a szavatolótőke-követelmény az értékpapírosított kitettségeken alapul (eszközök értékpapírosítása esetén).</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Az értékpapírosított eszközök kitettséggel súlyozott átlagos nem várható veszteségének (UL) értékét csak azok az intézmények adják meg, amelyek a SEC-IRBA-t alkalmazzák (és ennek megfelelően a 0170-es oszlopban legalább 95 %-os értéket tüntetnek fel). Az eszközök UL-értéke a kockázattal súlyozott kitettségérték (RWEA) szorozva 8 %-kal. A kockázattal súlyozott kitettségértéket az 575/2013/EU rendelet harmadik része II. címe 3. fejezetének 2. szakaszában meghatározottaknak megfelelően kell kiszámítani. Az oszlop nem töltendő ki kötelezettségek értékpapírosítása esetén, valamint akkor, ha a szavatolótőke-követelmény az értékpapírosított kitettségeken alapul (eszközök értékpapírosítása esetén).</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ESZKÖZÖK KITETTSÉGGEL SÚLYOZOTT ÁTLAGOS LEJÁRATA</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45E7EC81"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Minden intézménynek meg kell adnia az értékpapírosított eszközök adatszolgáltatás időpontjára vonatkozó, kitettséggel súlyozott átlagos lejáratát (WAM), függetlenül a tőkekövetelmények kiszámításához használt módszertől. Az intézményeknek az egyes eszközök lejáratát az 575/2013/EU rendelet 162. cikke (2) bekezdésének a) és f) pontja szerint, az ötéves felső korlát alkalmazása nélkül kell kiszámítaniuk.</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ÉRTÉKELÉSI KORREKCIÓK ÉS CÉLTARTALÉKOK</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adatszolgáltató intézményre alkalmazandó számviteli szabályozásnak megfelelő értékelési korrekciók és hitelveszteségre képzett céltartalékok (az 575/2013/EU rendelet 159. cikke). Az értékelési korrekciók magukban foglalják a pénzügyi eszközökön a mérlegben történő kezdeti megjelenítésük óta keletkezett hitelveszteségnek az eredményben elszámolt összegét (ideértve a valós értéken értékelt pénzügyi eszközök hitelkockázatából eredő, a kitettségértékből nem levonható veszteségeket), valamint az 575/2013/EU rendelet 166. cikkének (1) bekezdésében említetteknek megfelelően nemteljesítőként megvásárolt eszközökre kapott kedvezményeket. A céltartalékok a mérlegen kívüli tételeken keletkezett hitelveszteségek halmozott összegét foglalják magukban.</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kitettségekre alkalmazott értékelési korrekciókról és céltartalékokról gyűjt információkat. Az oszlop nem töltendő ki kötelezettségek értékpapírosítása esetén.</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Ezt az információt akkor is fel kell tüntetni, ha az adatszolgáltató intézmény nem rendelkezik pozícióval az értékpapírosításban.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ÉRTÉKPAPÍROSÍTÁS ELŐTTI SZAVATOLÓTŐKE-KÖVETELMÉNY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Ezt az oszlopot csak a SEC-IRBA-t alkalmazó (és ezért az 171-es oszlopban legalább 95 %-ot feltüntető) intézmények töltik ki, és ebben az oszlopban az 575/2013/EU rendelet 255. cikkében említettek szerint a K</w:t>
            </w:r>
            <w:r>
              <w:rPr>
                <w:rFonts w:ascii="Times New Roman" w:hAnsi="Times New Roman"/>
                <w:sz w:val="24"/>
                <w:vertAlign w:val="subscript"/>
              </w:rPr>
              <w:t>IRB</w:t>
            </w:r>
            <w:r>
              <w:rPr>
                <w:rFonts w:ascii="Times New Roman" w:hAnsi="Times New Roman"/>
                <w:sz w:val="24"/>
              </w:rPr>
              <w:t>-re vonatkozó adatokat kell megadni. A K</w:t>
            </w:r>
            <w:r>
              <w:rPr>
                <w:rFonts w:ascii="Times New Roman" w:hAnsi="Times New Roman"/>
                <w:sz w:val="24"/>
                <w:vertAlign w:val="subscript"/>
              </w:rPr>
              <w:t>IRB</w:t>
            </w:r>
            <w:r>
              <w:rPr>
                <w:rFonts w:ascii="Times New Roman" w:hAnsi="Times New Roman"/>
                <w:sz w:val="24"/>
              </w:rPr>
              <w:t xml:space="preserve"> értékét százalékban (két tizedesjegy pontossággal) kell kifejezni.</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LAKOSSÁGGAL SZEMBENI KITETTSÉGEK %-OS ARÁNYA AZ IRB HALMAZOKBAN</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242. cikkének 7. pontjában meghatározott IRB-halmazok, feltéve, hogy az intézmény az 575/2013/EU rendelet harmadik része II. címe 6. fejezetének 3. szakaszával összhangban az alapul szolgáló kitettségérték legalább 95 %-ára ki tudja számítani a K</w:t>
            </w:r>
            <w:r>
              <w:rPr>
                <w:rFonts w:ascii="Times New Roman" w:hAnsi="Times New Roman"/>
                <w:sz w:val="24"/>
                <w:vertAlign w:val="subscript"/>
              </w:rPr>
              <w:t>IRB</w:t>
            </w:r>
            <w:r>
              <w:rPr>
                <w:rFonts w:ascii="Times New Roman" w:hAnsi="Times New Roman"/>
                <w:sz w:val="24"/>
              </w:rPr>
              <w:t xml:space="preserve"> értékét (az 575/2013/EU rendelet 259. cikkének (2) bekezdése).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 ELŐTTI SZAVATOLÓTŐKE-KÖVETELMÉNY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Az intézménynek abban az esetben is ki kell töltenie ezt az oszlopot, ha nem alkalmazza a SEC-SA módszert az értékpapírosítási pozíciókra. Ebben az oszlopban a K</w:t>
            </w:r>
            <w:r>
              <w:rPr>
                <w:rFonts w:ascii="Times New Roman" w:hAnsi="Times New Roman"/>
                <w:sz w:val="24"/>
                <w:vertAlign w:val="subscript"/>
              </w:rPr>
              <w:t>SA</w:t>
            </w:r>
            <w:r>
              <w:rPr>
                <w:rFonts w:ascii="Times New Roman" w:hAnsi="Times New Roman"/>
                <w:sz w:val="24"/>
              </w:rPr>
              <w:t xml:space="preserve"> értékére vonatkozó információkat kell megadni az 575/2013/EU rendelet 255. cikke (6) bekezdésének megfelelően. A K</w:t>
            </w:r>
            <w:r>
              <w:rPr>
                <w:rFonts w:ascii="Times New Roman" w:hAnsi="Times New Roman"/>
                <w:sz w:val="24"/>
                <w:vertAlign w:val="subscript"/>
              </w:rPr>
              <w:t>SA</w:t>
            </w:r>
            <w:r>
              <w:rPr>
                <w:rFonts w:ascii="Times New Roman" w:hAnsi="Times New Roman"/>
                <w:sz w:val="24"/>
              </w:rPr>
              <w:t xml:space="preserve"> értékét százalékban (két tizedesjegy pontossággal) kell kifejezni.</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TÁJÉKOZTATÓ ADATOK: HITELKOCKÁZATI KIIGAZÍTÁSOK A TÁRGYIDŐSZAKBAN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110. cikke</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ÉRTÉKPAPÍROSÍTÁSI STRUKTÚRA</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Az oszlopcsoport az értékpapírosítás struktúrájáról gyűjt adatokat mérlegen belüli/kívüli pozíciók, ügyletrészsorozatok (előresorolt, köztes, első veszteségviselő), valamint az adatszolgáltatás időpontjában érvényes lejárat alapján.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Több eladó részvételével végrehajtott értékpapírosítás esetén kizárólag az adatot szolgáltató intézménynek megfelelő, vagy annak tulajdonított összeget kell feltüntetni.</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MÉRLEGEN BELÜLI TÉTELEK</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mérlegen belüli tételekről gyűjt információkat ügyletrészsorozatok szerinti bontásban (előresorolt, köztes, első veszteségviselő).</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ELŐRESOROLT</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Az előresorolt értékpapírosítási pozíciók teljes összege az 575/2013/EU rendelet 242. cikke 6. pontjának megfelelően.</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ALSÓ VESZTESÉGVISELÉSI HATÁR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256. cikkének (1) bekezdésében említett alsó veszteségviselési határ (%)</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és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A SEC-ERBA-t alkalmazó intézmények esetében előirányzott hitelminőségi besorolások (az 575/2013/EU rendelet 263. cikkének 1. és 2. táblázata, valamint 264. cikkének 3. és 4. táblázata). Ezeket az oszlopokat az alkalmazott módszertől függetlenül valamennyi minősített ügyletre vonatkozóan meg kell adni.</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KÖZTES</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 feltüntetendő érték magában foglalja:</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242. cikkének 18. pontja szerinti köztes értékpapírosítási pozíciót;</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további értékpapírosítási pozíciókat, amelyek nem az 575/2013/EU rendelet 242. cikkének 6., 17. vagy 18. pontjában meghatározott pozíciók.</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ÜGYLETRÉSZSOROZATOK SZÁMA</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 köztes ügyletrészsorozatok száma.</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LEGINKÁBB ALÁRENDELT ÜGYLETRÉSZSOROZAT HITELMINŐSÉGI BESOROLÁSA</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 leginkább alárendelt köztes ügyletrészsorozatnak az 575/2013/EU rendelet 263. cikkében található 2. táblázat és 264. cikkében található 3. táblázat szerint meghatározott hitelminőségi besorolása.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ELSŐ VESZTESÉGVISELŐ</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Az első veszteségviselő ügyletrészsorozat összege az 575/2013/EU rendelet 242. cikke 17. pontjának megfelelően.</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FELSŐ VESZTESÉGVISELÉSI HATÁR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256. cikkének (2) bekezdésében említett felső veszteségviselési határ (%)</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TÚLFEDEZET ÉS ELŐRE RENDELKEZÉSRE BOCSÁTOTT TARTALÉKSZÁMLÁK</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256. cikkének (3) és (4) bekezdése</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 biztosítékkal fedezett és az előre rendelkezésre bocsátott tartalékszámlák összegei, amelyek nem felelnek meg az „ügyletrészsorozat” (EU) 2017/2402 rendelet 2. cikkének 6. pontjában levő fogalommeghatározásának, de az alsó és felső veszteségviselési határ céljából ügyletrészsorozatnak minősülnek az 575/2013/EU rendelet 256. cikke (3) bekezdésének megfelelően.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EBBŐL: VISSZA NEM FIZETENDŐ ÁRENGEDMÉNYEK</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(EU) 2017/2402 rendelet 2. cikkének 31. pontja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Az 575/2013/EU rendelet 269a. cikke (7) bekezdésének megfelelően az intézményeknek meg kell adniuk az adatszolgáltatás időpontja szerinti vissza nem fizetendő árengedményt, amelyet a második albekezdésben foglaltaknak megfelelően a realizált veszteségek figyelembevételével lefelé kell kiigazítani. Ezt az oszlopot csak akkor kell kitölteni, ha a 0040-es oszlopban „figyelembe vehető nemteljesítő kitettségek értékpapírosítása” vagy „nem figyelembe vehető nemteljesítő kitettségek értékpapírosítása” szerepel,</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MÉRLEGEN KÍVÜLI TÉTELEK ÉS SZÁRMAZTATOTT ÜGYLETEK</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mérlegen kívüli tételekről és hitel-egyenértékesítési tényező alkalmazása előtti származtatott ügyletekről gyűjt információkat ügyletrészsorozatok szerinti bontásban (előresorolt, köztes, első veszteségviselő).</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ELŐRESOROLT / KÖZTES / ELSŐ VESZTESÉGVISELŐ</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Itt azonos kritériumokat kell alkalmazni az ügyletrészsorozatok közötti besorolás és az alsó veszteségviselési határ meghatározása, az ügyletrészsorozatok száma és a mérlegen belüli tételekhez használt felső veszteségviselési határ tekintetében (lásd a 0230–0252-es oszlopra vonatkozó útmutatót).</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SZINTETIKUS ÉRTÉKPAPÍROSÍTÁSI FELÁR</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575/2013/EU rendelet 242. cikkének 20. pontja, 248. cikke (1) bekezdésének e) pontja és 256. cikkének (6) bekezdése </w:t>
            </w:r>
          </w:p>
          <w:p w14:paraId="2177D346" w14:textId="77777777" w:rsidR="00512CC7" w:rsidRPr="00C54BE0"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Ezt az oszlopot csak akkor kell kitölteni, ha a 0110-es oszlopban „Értékpapírosítást kezdeményező” szerepel.</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LEJÁRAT</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 FELMONDÁS VÁRHATÓ LEGKORÁBBI IDŐPONTJA</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A teljes értékpapírosítás felmondásának valószínű időpontja a szerződési feltételek és a jelenleg várható pénzügyi feltételek alapján. Általában az alábbiak közül a legkorábbi időpont: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az a nap, amelyen az 575/2013/EU rendelet 242. cikkének 1. pontjában meghatározott maradék pozíciókra vonatkozó visszavásárlási jog az alapul szolgáló kitettségek lejáratát, valamint azok előtörlesztési rátáit és esetleges újratárgyalását figyelembe véve először gyakorolható;</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az a nap, amelyen az értékpapírosítást kezdeményező először érvényesíthet az értékpapírosítás szerződési feltételeiben foglalt olyan egyéb lehívási opciót, amely az értékpapírosítás teljes visszaváltását eredményezi.</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felmondás várható legkorábbi időpontja tekintetében a napot, a hónapot és az évet kell megadni.</w:t>
            </w:r>
            <w:r>
              <w:rPr>
                <w:rFonts w:ascii="Times New Roman" w:hAnsi="Times New Roman"/>
              </w:rPr>
              <w:t xml:space="preserve"> </w:t>
            </w:r>
            <w:r>
              <w:rPr>
                <w:rFonts w:ascii="Times New Roman" w:hAnsi="Times New Roman"/>
                <w:sz w:val="24"/>
              </w:rPr>
              <w:t>Amennyiben ismert, a pontos napot kell feltüntetni, egyéb esetben a hónap első napját.</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ÉRTÉKPAPÍROSÍTÁST KEZDEMÉNYEZŐ ÜGYLETBE FOGLALT VISSZAVÁSÁRLÁSI JOGA</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 felmondás várható legkorábbi időpontja szempontjából releváns visszavásárlási jog típusa:</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maradék pozíciókra vonatkozó visszavásárlási jog, amely megfelel az 575/2013/EU rendelet 244. cikke (4) bekezdése g) pontjának;</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maradék pozíciókra vonatkozó egyéb visszavásárlási jog;</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egyéb típusú visszavásárlási jog.</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JOGSZERŰ VÉGSŐ LEJÁRATI IDŐPONT</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Az a nap, amelyen az értékpapírosítás teljes tőke- és kamatrészét jogszerűen vissza kell fizetni (az ügylet dokumentációja alapján).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A jogszerű végső lejárati időpont tekintetében a napot, a hónapot és az évet kell megadni.</w:t>
            </w:r>
            <w:r>
              <w:rPr>
                <w:rFonts w:ascii="Times New Roman" w:hAnsi="Times New Roman"/>
              </w:rPr>
              <w:t xml:space="preserve"> </w:t>
            </w:r>
            <w:r>
              <w:rPr>
                <w:rFonts w:ascii="Times New Roman" w:hAnsi="Times New Roman"/>
                <w:sz w:val="24"/>
              </w:rPr>
              <w:t>Amennyiben ismert, a pontos napot kell feltüntetni, egyéb esetben a hónap első napját.</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TÁJÉKOZTATÓ ADATOK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ELADOTT KOCKÁZAT ALSÓ VESZTESÉGVISELÉSI HATÁRA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Kizárólag az értékpapírosítást kezdeményezőknek kell megadniuk a hagyományos értékpapírosítások esetében harmadik feleknek eladott, vagy szintetikus értékpapírosítások esetében harmadik fél általi hitelkockázati fedezetben részesülő leginkább alárendelt ügyletrészsorozat alsó veszteségviselési határát.</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ELADOTT KOCKÁZAT FELSŐ VESZTESÉGVISELÉSI HATÁRA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Kizárólag az értékpapírosítást kezdeményezőknek kell megadniuk a hagyományos értékpapírosítások esetében harmadik feleknek eladott, vagy szintetikus értékpapírosítások esetében harmadik fél általi hitelkockázati fedezetben részesülő leginkább előresorolt ügyletrészsorozat felső veszteségviselési határát.</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AZ ÉRTÉKPAPÍROSÍTÁST KEZDEMÉNYEZŐ ÁLTAL MEGÁLLAPÍTOTT KOCKÁZATÁTRUHÁZÁS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Kizárólag az értékpapírosítást kezdeményezőknek kell megadniuk az értékpapírosított eszközök harmadik felekre átruházott, nem várható veszteséggel (UL) növelt várható veszteségét (EL) a teljes várható veszteség és nem várható veszteség összegének százalékos arányában kifejezve. Meg kell adni az alapul szolgáló kitettségek EL- és UL-értékét, amelyeket ezt követően a többlépcsős értékpapírosítási veszteségviselés szerint hozzá kell rendelni az értékpapírosítás megfelelő ügyletrészsorozataihoz. SA bankok esetében az EL az értékpapírosított eszközök egyedi hitelkockázati kiigazítása, az UL pedig az értékpapírosított kitettségek tőkekövetelménye.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6039954"/>
      <w:r>
        <w:rPr>
          <w:rFonts w:ascii="Times New Roman" w:hAnsi="Times New Roman"/>
          <w:sz w:val="24"/>
          <w:u w:val="none"/>
        </w:rPr>
        <w:t>3.8.4.</w:t>
      </w:r>
      <w:r>
        <w:rPr>
          <w:rFonts w:ascii="Times New Roman" w:hAnsi="Times New Roman"/>
          <w:sz w:val="24"/>
          <w:u w:val="none"/>
        </w:rPr>
        <w:tab/>
      </w:r>
      <w:r>
        <w:rPr>
          <w:rFonts w:ascii="Times New Roman" w:hAnsi="Times New Roman"/>
          <w:sz w:val="24"/>
        </w:rPr>
        <w:t>C 14.01 – Az értékpapírosítással kapcsolatos részletes információk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118</w:t>
      </w:r>
      <w:r w:rsidRPr="00624117">
        <w:fldChar w:fldCharType="end"/>
      </w:r>
      <w:r>
        <w:t>. Az alábbi módszerekre vonatkozóan a SEC DETAILS 2 táblán külön kell adatot szolgáltatni:</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belső értékelési módszer;</w:t>
      </w:r>
    </w:p>
    <w:p w14:paraId="1F10A4FD" w14:textId="4DA46199" w:rsidR="00855EAC" w:rsidRPr="002A677E" w:rsidRDefault="00B12E10" w:rsidP="00487A02">
      <w:pPr>
        <w:pStyle w:val="InstructionsText2"/>
        <w:numPr>
          <w:ilvl w:val="0"/>
          <w:numId w:val="0"/>
        </w:numPr>
        <w:ind w:left="1353" w:hanging="360"/>
      </w:pPr>
      <w:r>
        <w:t>6. a figyelembe vehető nemteljesítő kitettségek értékpapírosításának előresorolt ügyletrészsorozatainak egyedi kezelése.</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BELSŐ KÓD</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Belső (alfanumerikus) kód, amelyet az intézmény az értékpapírosítás azonosítására használ. A belső kódot az értékpapírosítási ügylet azonosítójához kell hozzárendelni.</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 AZONOSÍTÓJA</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 vagy – amennyiben ugyanabban a sorban több pozíció megadható – az ügylet jogszabályban előírt nyilvántartásba vételéhez használt kód, </w:t>
            </w:r>
            <w:r>
              <w:rPr>
                <w:rFonts w:ascii="Times New Roman" w:hAnsi="Times New Roman"/>
                <w:sz w:val="24"/>
              </w:rPr>
              <w:lastRenderedPageBreak/>
              <w:t>vagy ha ilyen nincs, akkor az a név, amelyen az értékpapírosítás vagy az ügylet a piacon, illetőleg belső vagy magán értékpapírosítás esetében az intézményen belül ismert. Ha van nemzetközi értékpapír-azonosító szám (ISIN) – nyilvános ügyletnél –, akkor az oszlopban az értékpapírosítás valamennyi ügyletrészsorozatában közös karaktereket kell megadni.</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ÉRTÉKPAPÍROSÍTÁSI POZÍCIÓK: HITEL-EGYENÉRTÉKESÍTÉSI TÉNYEZŐK ELŐTTI EREDETI KITETTSÉG</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Az oszlopcsoport az értékpapírosítási pozíciókról gyűjt adatokat az adatszolgáltatás időpontjában fennálló mérlegen belüli/kívüli pozíciók, valamint ügyletrészsorozatok (előresorolt, köztes, első veszteségviselő) szerinti bontásban.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MÉRLEGEN BELÜLI TÉTELEK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C 14.00 tábla 0230-as, 0240-es és 0250-es oszlopa esetében.</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MÉRLEGEN KÍVÜLI TÉTELEK ÉS SZÁRMAZTATOTT ÜGYLETEK</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C 14.00 tábla 0260–0287-es oszlopa esetében.</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és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FEDEZETNYÚJTÓNAK / INSTRUMENTUMNAK MEGFELELŐ KOCKÁZATI SÚLY</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Az elismert garanciavállaló %-os kockázati súlya vagy az 575/2013/EU rendelet 249. cikke szerinti hitelkockázati fedezetet nyújtó megfelelő instrumentum %-os kockázati súlya.</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SZINTETIKUS ÉRTÉKPAPÍROSÍTÁSI FELÁR</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10A8466A"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575/2013/EU rendelet 242. cikkének 20. pontja, 248. cikke (1) bekezdésének e) pontja és 256. cikkének (6) bekezdése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Ezt az oszlopot csak akkor kell kitölteni, ha a 0110-es oszlopban „Értékpapírosítást kezdeményező” szerepel.</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TÁJÉKOZTATÓ ADATOK: MÉRLEGEN KÍVÜLI TÉTELEK ÉS SZÁRMAZTATOTT ÜGYLETEK HITEL-EGYENÉRTÉKESÍTÉSI TÉNYEZŐK ELŐTT</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Ez az oszlopcsoport a 0340–0361-es oszlopban más bontásban már megadott mérlegen kívüli tételekről és származtatott ügyletekről gyűjt kiegészítő információkat.</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KÖZVETLEN HITELHELYETTESÍTŐK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Ez az oszlop az értékpapírosítást kezdeményező által tartott és közvetlen hitelhelyettesítőkkel garantált értékpapírosítási pozíciókra vonatkozik.</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Az 575/2013/EU rendelet I. melléklete szerint közvetlen hitelhelyettesítőnek az alábbi teljes kockázatú mérlegen kívüli tételek minősülnek:</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a hitelhelyettesítő jellegű garanciák;</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a hitelhelyettesítő jellegű visszavonhatatlan készenléti hitellevelek.</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Az IRS a kamatcsereügyletek, a CRS a deviza-csereügyletek rövidítése. Ezeket a származtatott ügyleteket az 575/2013/EU rendelet II. melléklete sorolja fel.</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LIKVIDITÁSI KERETEK</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Az 575/2013/EU rendelet 242. cikkének 3. pontjában meghatározott likviditási hitelkeretek.</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EGYÉB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Fennmaradó mérlegen kívüli tételek.</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KITETTSÉGÉRTÉK</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Ez az információ szorosan kapcsolódik a CR SEC tábla 0180-as oszlopához.</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A SZAVATOLÓTŐKÉBŐL LEVONT KITETTSÉGÉRTÉK</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Ez az információ szorosan kapcsolódik a CR SEC tábla 0190-es oszlopához.</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Ebben az oszlopban negatív értéket kell megadni.</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FELSŐ KORLÁT FIGYELEMBEVÉTELE ELŐTT</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t>Ebben az oszlopban az 575/2013/EU rendelet harmadik része II. címe 5. fejezetének 3. szakasza szerint kiszámított, az értékpapírosítási pozíciókra alkalmazandó felső korlát figyelembevétele előtti kockázattal súlyozott kitettségértékre vonatkozó adatokat kell megadni.</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 kereskedési könyvi értékpapírosítások esetében az egyedi kockázatra vonatkozó RWEA-t kell feltüntetni. Lásd az MKR SA SEC 0570-es oszlopát, illetve az MKR SA CTP 0410-es és 0420-as oszlopát (amennyiben a szavatolótőke-követelmény szempontjából releváns).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A KOCKÁZATI SÚLYRA VONATKOZÓ FELSŐ KORLÁT MIATTI CSÖKKENTÉS</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Az 575/2013/EU rendelet 267. és 269a. cikke</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AZ ÁLTALÁNOS FELSŐ KORLÁT MIATTI CSÖKKENTÉS</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Az 575/2013/EU rendelet 268. és 269a. cikke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FELSŐ KORLÁT FIGYELEMBEVÉTELE UTÁN</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Ebben az oszlopban az 575/2013/EU rendelet harmadik része II. címe 5. fejezetének 3. szakasza szerint kiszámított, az értékpapírosítási pozíciókra alkalmazandó felső korlát figyelembevétele utáni kockázattal súlyozott kitettségértékre vonatkozó adatokat kell megadni.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A kereskedési könyvi értékpapírosítások esetében az egyedi kockázatra vonatkozó RWEA-t kell feltüntetni. Lásd az MKR SA SEC 0601-es, illetve az MKR SA CTP 0450-es oszlopát.</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TÁJÉKOZTATÓ ADATOK</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 A SEC-ERBA SZERINT</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Az 575/2013/EU rendelet 263. és 264. cikke Ezt az oszlopot csak a felső korlát alkalmazása előtti minősített ügyletek esetében kell kitölteni, és nem kell megadni a SEC-ERBA szerinti ügyletek esetében.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 A SEC-SA SZERINT</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Az 575/2013/EU rendelet 261. és 262. cikke Ezt az oszlopot a felső korlát alkalmazása előtt kell megadni, és nem kell megadni a SEC-SA szerinti ügyletek esetében.</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ÉRTÉKPAPÍROSÍTÁSI POZÍCIÓK – KERESKEDÉSI KÖNYV</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CTP/NEM 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Az intézményeknek a következők egyikét kell feltüntetniük:</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korrelációkereskedési portfólió,</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nem CTP.</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NETTÓ POZÍCIÓK – HOSSZÚ/RÖVID</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Lásd az MKR SA SEC, illetve MKR SA CTP 0050-es és 0060-as oszlopát.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6039955"/>
      <w:r>
        <w:rPr>
          <w:rFonts w:ascii="Times New Roman" w:hAnsi="Times New Roman"/>
          <w:sz w:val="24"/>
        </w:rPr>
        <w:lastRenderedPageBreak/>
        <w:t>Partnerkockázat</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6039956"/>
      <w:bookmarkEnd w:id="439"/>
      <w:bookmarkEnd w:id="440"/>
      <w:bookmarkEnd w:id="441"/>
      <w:bookmarkEnd w:id="442"/>
      <w:bookmarkEnd w:id="443"/>
      <w:bookmarkEnd w:id="444"/>
      <w:r>
        <w:rPr>
          <w:rFonts w:ascii="Times New Roman" w:hAnsi="Times New Roman"/>
          <w:sz w:val="24"/>
        </w:rPr>
        <w:t>A partnerkockázati táblák alkalmazási köre</w:t>
      </w:r>
      <w:bookmarkEnd w:id="445"/>
      <w:bookmarkEnd w:id="446"/>
      <w:bookmarkEnd w:id="447"/>
    </w:p>
    <w:p w14:paraId="16DF9742" w14:textId="4190127D"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119</w:t>
      </w:r>
      <w:r>
        <w:rPr>
          <w:noProof/>
        </w:rPr>
        <w:fldChar w:fldCharType="end"/>
      </w:r>
      <w:r w:rsidR="00C3070C">
        <w:t>. A partnerkockázati táblák az 575/2013/EU rendelet harmadik része II. címének 4. és 6. fejezete alkalmazásában partnerkockázattal érintett kitettségekre vonatkozó információkat tartalmazzák.</w:t>
      </w:r>
    </w:p>
    <w:p w14:paraId="1ABA71A1" w14:textId="1723F452"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120</w:t>
      </w:r>
      <w:r>
        <w:rPr>
          <w:noProof/>
        </w:rPr>
        <w:fldChar w:fldCharType="end"/>
      </w:r>
      <w:r w:rsidR="00C3070C">
        <w:t xml:space="preserve">. A táblák nem tartalmazzák a CVA-kockázathoz (az 575/2013/EU rendelet 92. cikke (3) bekezdésének d) pontja és harmadik részének VI. címe) kapcsolódó szavatolótőke-követelményeket, amelyek a CVA-kockázatra vonatkozó táblában szerepelnek. </w:t>
      </w:r>
    </w:p>
    <w:p w14:paraId="7DA5FF3B" w14:textId="2D6597E3"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121</w:t>
      </w:r>
      <w:r>
        <w:rPr>
          <w:noProof/>
        </w:rPr>
        <w:fldChar w:fldCharType="end"/>
      </w:r>
      <w:r w:rsidR="00C3070C">
        <w:t>. Eltérő rendelkezés hiányában a központi szerződő felekkel szembeni partnerkockázati kitettségeket (az 575/2013/EU rendelet harmadik része II. címének 4. fejezete és 6. fejezetének 9. szakasza) bele kell foglalni a partnerkockázati számadatokba. Az 575/2013/EU rendelet 307–310. cikkének megfelelően kiszámított garanciaalap-hozzájárulásokat azonban nem kell feltüntetni a partnerkockázati táblákban, kivéve a C 34.10-es táblát, különösen a megfelelő sorokat. Rendes esetben a garanciaalaphoz való hozzájárulások kockázattal súlyozott kitettségértékeit közvetlenül a C 02.00-es tábla 0460-as sorában kell feltüntetni.</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116039957"/>
      <w:bookmarkStart w:id="450" w:name="_Toc516210659"/>
      <w:r>
        <w:rPr>
          <w:rFonts w:ascii="Times New Roman" w:hAnsi="Times New Roman"/>
          <w:sz w:val="24"/>
        </w:rPr>
        <w:t>C 34.01 – A származtatott ügyleti tevékenység mérete</w:t>
      </w:r>
      <w:bookmarkEnd w:id="448"/>
      <w:bookmarkEnd w:id="449"/>
    </w:p>
    <w:p w14:paraId="2690A5C9" w14:textId="7498282C"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6039958"/>
      <w:r>
        <w:rPr>
          <w:rFonts w:ascii="Times New Roman" w:hAnsi="Times New Roman"/>
          <w:sz w:val="24"/>
        </w:rPr>
        <w:t>Általános megjegyzések</w:t>
      </w:r>
      <w:bookmarkEnd w:id="450"/>
      <w:bookmarkEnd w:id="451"/>
      <w:bookmarkEnd w:id="452"/>
    </w:p>
    <w:p w14:paraId="1634EA16" w14:textId="5DAA6C2F"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122</w:t>
      </w:r>
      <w:r>
        <w:rPr>
          <w:noProof/>
        </w:rPr>
        <w:fldChar w:fldCharType="end"/>
      </w:r>
      <w:r w:rsidR="00C3070C">
        <w:t>. Az 575/2013/EU rendelet 273a. cikkével összhangban az intézmények származtatott pozícióik kitettségértékét az 575/2013/EU rendelet harmadik része II. címe 6. fejezetének 4. vagy 5. szakaszában meghatározott módszerrel is kiszámíthatják, feltéve, hogy mérlegen belüli és mérlegen kívüli származtatott ügyleti tevékenységük nagyságrendje nem haladja meg az előre meghatározott küszöbértékeket. A vonatkozó értékelést havonta, a hónap utolsó napján érvényes adatok felhasználásával kell elvégezni. Ez a tábla az említett küszöbértékeknek való megfelelésre vonatkozó információkat, és általánosabban a származtatott üzletág méretére vonatkozó fontos információkat tartalmazza.</w:t>
      </w:r>
    </w:p>
    <w:p w14:paraId="07050E36" w14:textId="77777777"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123</w:t>
      </w:r>
      <w:r>
        <w:rPr>
          <w:noProof/>
        </w:rPr>
        <w:fldChar w:fldCharType="end"/>
      </w:r>
      <w:r w:rsidR="00C3070C">
        <w:t>. Az 1. hónap, 2. hónap, 3. hónap a jelentett negyedév első, második, illetve utolsó hónapjára vonatkozik. Az információkat csak a 2021. június 28. utáni hónapvégekre vonatkozóan kell jelenteni.</w:t>
      </w:r>
    </w:p>
    <w:p w14:paraId="67FED447" w14:textId="580D46B2"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6039959"/>
      <w:r>
        <w:rPr>
          <w:rFonts w:ascii="Times New Roman" w:hAnsi="Times New Roman"/>
          <w:sz w:val="24"/>
        </w:rPr>
        <w:t>A tábla egyes részeire vonatkozó útmutató</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Oszlop</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HOSSZÚ SZÁRMAZTATOTT POZÍCIÓK</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Az 575/2013/EU rendelet 273 a. cikkének (3) bekezdése</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A hosszú származtatott pozíciók abszolút piaci értékének a hónap utolsó napján érvényes összegét kell megadni.</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RÖVID SZÁRMAZTATOTT POZÍCIÓK</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Az 575/2013/EU rendelet 273 a. cikkének (3) bekezdése</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A rövid származtatott pozíciók abszolút piaci értékének a hónap utolsó napján érvényes összegét kell megadni.</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ÖSSZESEN</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b) pontja</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A hosszú származtatott pozíciók abszolút értékének és a rövid származtatott pozíciók abszolút értékének összege.</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Sor</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származtatott ügyleti tevékenység mérete</w:t>
            </w:r>
          </w:p>
          <w:p w14:paraId="1B0B6D13" w14:textId="75509C69" w:rsidR="00595FAD" w:rsidRPr="002A677E"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(3) bekezdése</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Minden mérlegen belüli és mérlegen kívüli származtatott ügyletet figyelembe kell venni, kivéve a nem kereskedési könyvi hitelkockázati kitettségekkel szembeni belső fedezeti ügyletként megjelenített hitelderivatívákat.</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Mérlegen belüli és mérlegen kívüli származtatott ügyletek</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a) és b) pontja</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mérlegen belüli és kívüli származtatott pozícióknak a hónap utolsó napján érvényes teljes piaci értékét kell megadni.</w:t>
            </w:r>
            <w:r>
              <w:rPr>
                <w:rFonts w:ascii="Times New Roman" w:hAnsi="Times New Roman"/>
                <w:sz w:val="24"/>
              </w:rPr>
              <w:t xml:space="preserve"> Amennyiben a pozíció adott napi piaci értéke nem áll rendelkezésre, az intézménynek a pozíció adott napi valós értékét kell figyelembe vennie; amennyiben sem a pozíció valós, sem piaci értéke nem áll rendelkezésre az adott napra vonatkozóan, az intézménynek az érintett pozíció legutóbbi valós vagy piaci értékét kell figyelembe vennie.</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A nem kereskedési könyvi hitelkockázati kitettségekkel szembeni belső fedezeti ügyletként megjelenített hitelderivatívák</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c) pontja</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A nem kereskedési könyvi hitelkockázati kitettségekkel szembeni belső fedezeti ügyletként megjelenített hitelderivatívák teljes piaci értéke.</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Eszközök összesen</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mérlegfőösszeg az alkalmazandó számviteli szabályozásnak megfelelően.</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Konszolidált adatszolgáltatás esetében az intézménynek a mérlegfőösszeget az 575/2013/EU rendelet első része II. címe 2. fejezetének 2. szakaszával összhangban, a prudenciális konszolidáció hatókörét</w:t>
            </w:r>
            <w:r>
              <w:rPr>
                <w:rFonts w:ascii="Times New Roman" w:hAnsi="Times New Roman"/>
                <w:sz w:val="24"/>
              </w:rPr>
              <w:t xml:space="preserve"> követve kell megadnia</w:t>
            </w:r>
            <w:r>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Származtatott ügyleti tevékenység az összes eszköz százalékos arányában</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 xml:space="preserve">A mutatót úgy kell kiszámítani, hogy a származtatott ügyleti tevékenység méretét (0010-es sor) el kell osztani az összes eszközzel (0040-es sor).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ELTÉRÉS AZ 575/2013/EU RENDELET 273a. CIKKÉNEK (4) BEKEZDÉSÉVEL ÖSSZHANGBAN</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Teljesülnek-e az 575/2013/EU rendelet </w:t>
            </w:r>
            <w:r>
              <w:rPr>
                <w:rStyle w:val="InstructionsTabelleberschrift"/>
                <w:rFonts w:ascii="Times New Roman" w:hAnsi="Times New Roman"/>
                <w:sz w:val="24"/>
              </w:rPr>
              <w:t>273a. cikkének (4) bekezdésében foglalt feltételek, beleértve az illetékes hatóság jóváhagyását?</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(4) bekezdése</w:t>
            </w:r>
          </w:p>
          <w:p w14:paraId="177FD8A4" w14:textId="2533381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Azoknak az intézményeknek, amelyek túllépik a partnerkockázatra vonatkozó egyszerűsített módszer alkalmazásához szükséges küszöbértékeket, de az 575/2013/EU rendelet 273a. cikkének (4) bekezdése</w:t>
            </w:r>
            <w:r>
              <w:rPr>
                <w:rFonts w:ascii="Times New Roman" w:hAnsi="Times New Roman"/>
                <w:sz w:val="24"/>
              </w:rPr>
              <w:t xml:space="preserve"> alapján </w:t>
            </w:r>
            <w:r>
              <w:rPr>
                <w:rStyle w:val="InstructionsTabelleberschrift"/>
                <w:rFonts w:ascii="Times New Roman" w:hAnsi="Times New Roman"/>
                <w:b w:val="0"/>
                <w:sz w:val="24"/>
                <w:u w:val="none"/>
              </w:rPr>
              <w:t>még alkalmazzák valamelyiket, fel kell tüntetniük (igen/nemmel), hogy teljesítik-e az említett cikkben foglalt valamennyi feltételt.</w:t>
            </w:r>
          </w:p>
          <w:p w14:paraId="1EA6D1CA" w14:textId="38FB20EC"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Ezt az információt csak az 575/2013/EU rendelet 273a. cikkének</w:t>
            </w:r>
            <w:r>
              <w:rPr>
                <w:rFonts w:ascii="Times New Roman" w:hAnsi="Times New Roman"/>
                <w:sz w:val="24"/>
              </w:rPr>
              <w:t xml:space="preserve"> (4) bekezdése szerinti eltérést alkalmazó intézmények tüntethetik fel</w:t>
            </w:r>
            <w:r>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kitettségértékek kiszámításának módszere konszolidált szinten</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(4) bekezdése</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származtatott pozíciók kitettségértékének konszolidált alapon történő kiszámítására szolgáló módszer, amelyet az 575/2013/EU rendelet 273a. cikkének (4) bekezdésével összhangban az egyes jogalanyok</w:t>
            </w:r>
            <w:r>
              <w:rPr>
                <w:rFonts w:ascii="Times New Roman" w:hAnsi="Times New Roman"/>
                <w:sz w:val="24"/>
              </w:rPr>
              <w:t xml:space="preserve"> szintjén is alkalmaznak</w:t>
            </w:r>
            <w:r>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az eredeti kitettség szerinti módszer</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egyszerűsített SA-CCR: a partnerkockázatra alkalmazandó egyszerűsített sztenderd módszer </w:t>
            </w:r>
          </w:p>
          <w:p w14:paraId="09C704BF" w14:textId="264F9D55"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Ezt az információt csak az 575/2013/EU rendelet 273a. cikkének (4) bekezdése szerinti eltérést alkalmazó intézmények</w:t>
            </w:r>
            <w:r>
              <w:rPr>
                <w:rFonts w:ascii="Times New Roman" w:hAnsi="Times New Roman"/>
                <w:sz w:val="24"/>
              </w:rPr>
              <w:t xml:space="preserve"> tüntethetik fel</w:t>
            </w:r>
            <w:r>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6039960"/>
      <w:r>
        <w:rPr>
          <w:rFonts w:ascii="Times New Roman" w:hAnsi="Times New Roman"/>
          <w:sz w:val="24"/>
        </w:rPr>
        <w:t>C 34.02 – Partnerkockázati kitettségek módszer szerint</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6039961"/>
      <w:r>
        <w:rPr>
          <w:rFonts w:ascii="Times New Roman" w:hAnsi="Times New Roman"/>
          <w:sz w:val="24"/>
        </w:rPr>
        <w:t>Általános megjegyzések</w:t>
      </w:r>
      <w:bookmarkEnd w:id="458"/>
      <w:bookmarkEnd w:id="459"/>
    </w:p>
    <w:p w14:paraId="3C9ADBCC" w14:textId="77777777"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124</w:t>
      </w:r>
      <w:r>
        <w:rPr>
          <w:noProof/>
        </w:rPr>
        <w:fldChar w:fldCharType="end"/>
      </w:r>
      <w:r w:rsidR="00C3070C">
        <w:t>. Az intézményeknek a C 34.10-es tábla alkalmazásában meghatározott valamennyi partnerkockázati kitettségre, illetve valamennyi, a központi szerződő felekkel szembeni kitettségeken kívüli partnerkockázati kitettségre vonatkozóan külön kell kitölteniük a táblát.</w:t>
      </w:r>
    </w:p>
    <w:p w14:paraId="1BEEF9D4" w14:textId="7BC003A8"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6039962"/>
      <w:r>
        <w:rPr>
          <w:rFonts w:ascii="Times New Roman" w:hAnsi="Times New Roman"/>
          <w:sz w:val="24"/>
        </w:rPr>
        <w:t>A tábla egyes részeire vonatkozó útmutató</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PARTNEREK SZÁMA</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Azon egyedi partnerek száma, amelyekkel szemben az intézmény partnerkockázati kitettséggel rendelkezik.</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lastRenderedPageBreak/>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A partnerkockázatnak kitett ügyletek száma az adatszolgáltatás időpontjában. Megjegyzendő, hogy a központi szerződő féllel szembeni tevékenységre vonatkozó adatok nem tartalmazhatnak be- és kiáramlásokat, hanem a CCR-portfólióban az adatszolgáltatás időpontjában meglévő összes pozíciót tartalmazzák. Továbbá azokat a származtatott eszközöket vagy értékpapír-finanszírozási ügyleteket, amelyeket modellezés céljából (legalább) két vagy több szakaszra osztanak, továbbra is egyetlen ügyletnek kell tekinteni.</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A származtatott ügyletek és az értékpapír-finanszírozási ügyletek névleges értékének összege nettósítás és az 575/2013/EU rendelet 279b. cikke szerinti kiigazítás nélkül.</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272. cikkének 12. pontja</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Az 575/2013/EU rendelet 272. cikkének 12. pontjában meghatározott pozitív aktuális piaci értékkel (CMV) rendelkező összes nettósítási halmaz aktuális piaci értékének összege.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272. cikkének 12. pontja</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Az 575/2013/EU rendelet 272. cikkének 12. pontjában meghatározott negatív aktuális piaci értékkel (CMV) rendelkező összes nettósítási halmaz aktuális abszolút piaci értékének összege.</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KAPOTT</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275. cikkének (2) és (3) bekezdése és 276. cikke</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A letéti megállapodások alapján kapott változó letét (VM) összege, az 575/2013/EU rendelet 276. cikkének megfelelően számítva.</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KIHELYEZETT</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275. cikkének (2) és (3) bekezdése és 276. cikke</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A letéti megállapodások alapján kihelyezett változó letét (VM) összege, az 575/2013/EU rendelet 276. cikkének megfelelően számítva.</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KAPOTT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272. cikkének (12a) bekezdése, 275. cikkének (3) bekezdése és 276. cikke</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A letéti megállapodások alapján kapott nettó független biztosítékok (NICA) összege, az 575/2013/EU rendelet 276. cikkének megfelelően számítva.</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KIHELYEZETT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Az 575/2013/EU rendelet 272. cikkének 12a. pontja, 275. cikkének (3) bekezdése és 276. cikke</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 letéti megállapodások alapján kihelyezett nettó független biztosítékok (NICA) összege, az 575/2013/EU rendelet 276. cikkének megfelelően számítva.</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PÓTLÁSI KÖLTSÉG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Az 575/2013/EU rendelet 275., 281. és 282. cikke</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Az egyes nettósítási halmazok pótlási költségét (RC) a következőkkel összhangban kell kiszámítani: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az 575/2013/EU rendelet 282. cikkének (3) bekezdése az eredeti kitettség szerinti módszer esetében;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az 575/2013/EU rendelet 281. cikke az egyszerűsített SA-CCR esetében;</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az 575/2013/EU rendelet 275. cikke az SA-CCR esetében.</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Az intézmény a nettósítási halmazok pótlási költségeinek összegét a megfelelő sorban köteles feltüntetni.</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Az 575/2013/EU rendelet 278., 281. és 282. cikke</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Az egyes nettósítási halmazok potenciális jövőbeli kitettségét (PFE) a következőkkel összhangban kell kiszámítani: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az 575/2013/EU rendelet 282. cikkének (4) bekezdése az eredeti kitettség szerinti módszer esetében;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az 575/2013/EU rendelet 281. cikke az egyszerűsített SA-CCR esetében;</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az 575/2013/EU rendelet 278. cikke az SA-CCR esetében.</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Az intézmény a nettósítási halmazok potenciális jövőbeli kitettségeinek összegét a megfelelő sorban köteles feltüntetni.</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Az 575/2013/EU rendelet 272. cikkének 17. pontja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A nettósítási halmazonkénti aktuális kitettség az 575/2013/EU rendelet 272. cikkének 17. pontjában meghatározott érték.</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Az intézmény a nettósítási halmazok aktuális kitettségeinek összegét a megfelelő sorban köteles feltüntetni.</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Az 575/2013/EU rendelet 272. cikkének 22. pontja és 284. cikkének (3) és (6) bekezdése</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A nettósítási halmazonkénti EEPE-t az 575/2013/EU rendelet 272. cikkének 22. pontja határozza meg, és azt az 575/2013/EU rendelet 284. cikkének (6) bekezdése szerint kell kiszámítani.</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t xml:space="preserve">Az intézménynek a szavatolótőke-követelménynek az 575/2013/EU rendelet 284. cikkének (3) bekezdése szerinti meghatározásához alkalmazott EEPE-k </w:t>
            </w:r>
            <w:r>
              <w:rPr>
                <w:rFonts w:ascii="Times New Roman" w:hAnsi="Times New Roman"/>
                <w:sz w:val="24"/>
              </w:rPr>
              <w:lastRenderedPageBreak/>
              <w:t>összegét kell megadnia, azaz az aktuális piaci adatok alapján kiszámított EEPE-t vagy a stresszkalibrációval kiszámított EEPE-t, attól függően, hogy melyik eredményezi a magasabb szavatolótőke-követelményt.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 SZABÁLYOZÓI KITETTSÉGÉRTÉK KISZÁMÍTÁSÁHOZ HASZNÁLT ALFA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Az 575/2013/EU rendelet 274. cikkének (2) bekezdése, 282. cikkének (2) bekezdése, 281. cikkének (1) bekezdése, 284. cikkének (4) és (9) bekezdése</w:t>
            </w:r>
          </w:p>
          <w:p w14:paraId="4C241D56" w14:textId="75283ABE" w:rsidR="00595FAD" w:rsidRPr="002A677E" w:rsidRDefault="00595FAD" w:rsidP="007172B2">
            <w:pPr>
              <w:spacing w:before="60"/>
              <w:rPr>
                <w:rFonts w:ascii="Times New Roman" w:eastAsia="Calibri" w:hAnsi="Times New Roman"/>
                <w:i/>
                <w:sz w:val="24"/>
              </w:rPr>
            </w:pPr>
            <w:r>
              <w:rPr>
                <w:rFonts w:ascii="Times New Roman" w:hAnsi="Times New Roman"/>
                <w:sz w:val="24"/>
              </w:rPr>
              <w:t>Az α értéke az 575/2013/EU rendelet 282. cikkének (2) bekezdésével, 281. cikkének (1) bekezdésével és 274. cikkének (2) bekezdésével összhangban az eredeti kitettség szerinti módszerre, az egyszerűsített SA-CCR-re és az SA-CCR-re vonatkozó sorokban 1,4.  A belső modell módszer alkalmazásában az α értéke lehet az alapértelmezett 1,4, vagy lehet más érték, amennyiben az illetékes hatóságok az 575/2013/EU rendelet 284. cikkének (4) bekezdésével összhangban magasabb α értéket írnak elő, vagy engedélyezik az intézmények számára, hogy az említett rendelet 284. cikkének (9) bekezdésével összhangban saját becsléseiket alkalmazzák.</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KITETTSÉGÉRTÉK HITELKOCKÁZAT-MÉRSÉKLÉS ELŐTT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 partnerkockázati nettósítási halmazok hitelkockázat-mérséklés előtti kitettségértékét az 575/2013/EU rendelet harmadik része II. címének 4. és 6. fejezetében meghatározott módszerekkel összhangban kell kiszámítani, figyelembe véve a nettósítás hatását, de figyelmen kívül hagyva minden más hitelkockázat-mérséklési technikát (pl. letéti biztosíték).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Értékpapír-finanszírozási ügyletek esetében az értékpapíroldalt nem kell figyelembe venni a hitelkockázat-mérséklés előtti kitettségérték meghatározása során, ha van kapott biztosíték, ezért az nem csökkentheti a kitettségértéket. Ezzel szemben az értékpapír-finanszírozási ügyletek értékpapíroldalát a hitelkockázat-mérséklés előtti kitettségérték meghatározásakor a szokásos módon figyelembe kell venni, ha biztosíték kerül kihelyezésre. </w:t>
            </w:r>
          </w:p>
          <w:p w14:paraId="72AB2A91"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Továbbá a biztosítékkal fedezett üzleti tevékenységet biztosítékkal nem fedezettként kell kezelni, azaz nem alkalmazandó letéti hatás.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Azon ügyletek hitelkockázat-mérséklés előtti kitettségértékét, amelyeknél egyedi rossz irányú kockázatot azonosítottak, az 575/2013/EU rendelet 291. cikkével összhangban kell meghatározni.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A hitelkockázat-mérséklés előtti kitettségértéknél nem vehető figyelembe a felmerült CVA-veszteség 575/2013/EU rendelet 273. cikkének (6) bekezdése szerinti levonása.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Az intézmény a hitelkockázat-mérséklés előtti kitettségértékek összegét a megfelelő sorban köteles feltüntetni.</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KITETTSÉGÉRTÉK HITELKOCKÁZAT-MÉRSÉKLÉS UTÁN </w:t>
            </w:r>
          </w:p>
          <w:p w14:paraId="796EAF43" w14:textId="399B5B2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A partnerkockázati nettósítási halmazok hitelkockázat-mérséklés utáni kitettségértékét az 575/2013/EU rendelet harmadik része II. címének 4. és 6. feje</w:t>
            </w:r>
            <w:r>
              <w:rPr>
                <w:rFonts w:ascii="Times New Roman" w:hAnsi="Times New Roman"/>
                <w:sz w:val="24"/>
              </w:rPr>
              <w:lastRenderedPageBreak/>
              <w:t>zetében meghatározott módszerekkel összhangban kell kiszámítani, figyelembe véve az említett rendelet harmadik része II. címe 4. és 6. fejezetének megfelelően alkalmazandó hitelkockázat-mérséklési technikák hatását.</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Azon ügyletek hitelkockázat-mérséklés utáni kitettségértékét, amelyeknél egyedi rossz irányú kockázatot azonosítottak, az 575/2013/EU rendelet 291. cikkével összhangban kell meghatározni.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A hitelkockázat-mérséklés utáni kitettségértéknél nem vehető figyelembe a felmerült CVA-veszteség 575/2013/EU rendelet 273. cikkének (6) bekezdése szerinti levonása.</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Az intézmény a hitelkockázat-mérséklés utáni kitettségértékek összegét a megfelelő sorban köteles feltüntetni.</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KITETTSÉGÉRTÉK</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 partnerkockázati nettósítási halmazokhoz kapcsolódó, az 575/2013/EU rendelet harmadik része II. címének 4. és 6. fejezetében meghatározott módszereknek megfelelően, azaz az 575/2013/EU rendelet harmadik része II. címének 4. és 6. fejezetével összhangban alkalmazandó hitelkockázat-mérséklési technikák alkalmazásával és a CVA-veszteségnek az 575/2013/EU rendelet 273. cikkének (6) bekezdésében említett levonásával számított kitettségérték, amely a kockázattal súlyozott kitettségérték kiszámítása tekintetében a releváns összeg. </w:t>
            </w:r>
          </w:p>
          <w:p w14:paraId="15F03715" w14:textId="435BB0E2" w:rsidR="00595FAD" w:rsidRPr="002A677E" w:rsidRDefault="00595FAD" w:rsidP="00FF15C6">
            <w:pPr>
              <w:rPr>
                <w:rFonts w:ascii="Times New Roman" w:hAnsi="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Azokban az esetekben, amikor egy partnerre egynél több partnerkockázati módszert alkalmaznak, a partner szintjén levont, felmerült CVA-veszteséget hozzá kell rendelni az egyes partnerkockázati módszerek szerinti egyes nettósítási halmazok kitettségértékéhez, tükrözve az adott nettósítási halmazok hitelkockázat-mérséklés utáni kitettségértékének a partner hitelkockázat-mérséklés utáni teljes kitettségértékéhez viszonyított arányát.</w:t>
            </w:r>
          </w:p>
          <w:p w14:paraId="69695180" w14:textId="77777777" w:rsidR="00595FAD" w:rsidRPr="002A677E" w:rsidRDefault="00595FAD" w:rsidP="00FF15C6">
            <w:r>
              <w:rPr>
                <w:rFonts w:ascii="Times New Roman" w:hAnsi="Times New Roman"/>
                <w:sz w:val="24"/>
              </w:rPr>
              <w:t>Az intézmény a kitettségértékek összegét a megfelelő sorban köteles feltüntetni.</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sztenderd módszerrel kezelt pozíciók</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Az 575/2013/EU rendelet harmadik része II. címének 2. fejezetével összhangban a hitelkockázat sztenderd módszerével kezelt pozíciók partnerkockázati kitettségértéke.</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IRB módszerrel kezelt pozíciók</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A hitelkockázatra vonatkozó IRB módszerrel kezelt pozíciók partnerkockázati kitettségértéke az 575/2013/EU rendelet harmadik része II. címének 3. fejezetével összhangban.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KOCKÁZATTAL SÚLYOZOTT KITETTSÉGÉRTÉK</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Az 575/2013/EU rendelet 92. cikkének (3) és (4) bekezdésében meghatározott partnerkockázatra vonatkozó kockázattal súlyozott kitettségértékek, amelyeket a harmadik rész II. címének 2. és 3. fejezetében meghatározott módszereknek megfelelően kell kiszámítani.</w:t>
            </w:r>
          </w:p>
          <w:p w14:paraId="3D3B43D7" w14:textId="6DBD9931" w:rsidR="00595FAD" w:rsidRPr="002A677E" w:rsidRDefault="00595FAD" w:rsidP="003F19BA">
            <w:pPr>
              <w:rPr>
                <w:rFonts w:ascii="Times New Roman" w:hAnsi="Times New Roman"/>
                <w:sz w:val="24"/>
              </w:rPr>
            </w:pPr>
            <w:r>
              <w:rPr>
                <w:rFonts w:ascii="Times New Roman" w:hAnsi="Times New Roman"/>
                <w:sz w:val="24"/>
              </w:rPr>
              <w:t xml:space="preserve">Az 575/2013/EU rendelet 501. cikkében és 501a. cikkében említett kkv-szorzót és infrastruktúra-szorzót figyelembe kell venni.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sztenderd módszerrel kezelt pozíciók</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Az 575/2013/EU rendelet harmadik része II. címének 2. fejezetével összhangban a hitelkockázat sztenderd módszerével kezelt partnerkockázati kitettségek  kockázattal súlyozott kitettségértéke. </w:t>
            </w:r>
          </w:p>
          <w:p w14:paraId="2E9EC43C" w14:textId="77777777" w:rsidR="00595FAD" w:rsidRPr="002A677E" w:rsidRDefault="00595FAD" w:rsidP="00FF15C6">
            <w:pPr>
              <w:rPr>
                <w:rFonts w:ascii="Times New Roman" w:hAnsi="Times New Roman"/>
                <w:sz w:val="24"/>
              </w:rPr>
            </w:pPr>
            <w:r>
              <w:rPr>
                <w:rFonts w:ascii="Times New Roman" w:hAnsi="Times New Roman"/>
                <w:sz w:val="24"/>
              </w:rPr>
              <w:t>Az összeg a C 07.00-es tábla 0220-as oszlopában a partnerkockázati pozíciókra vonatkozóan feltüntetendő összegnek felel meg.</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IRB módszerrel kezelt pozíciók</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A hitelkockázatra vonatkozó IRB módszerrel kezelt partnerkockázati kitettségek kockázattal súlyozott kitettségértéke az 575/2013/EU rendelet harmadik része II. címének 3. fejezetével összhangban.</w:t>
            </w:r>
          </w:p>
          <w:p w14:paraId="35ED3B64" w14:textId="77777777" w:rsidR="00595FAD" w:rsidRPr="002A677E" w:rsidRDefault="00595FAD" w:rsidP="00FF15C6">
            <w:pPr>
              <w:rPr>
                <w:rFonts w:ascii="Times New Roman" w:hAnsi="Times New Roman"/>
                <w:sz w:val="24"/>
              </w:rPr>
            </w:pPr>
            <w:r>
              <w:rPr>
                <w:rFonts w:ascii="Times New Roman" w:hAnsi="Times New Roman"/>
                <w:sz w:val="24"/>
              </w:rPr>
              <w:t>Az összeg a C 08.01-es tábla 0260-as oszlopában a partnerkockázati pozíciókra vonatkozóan feltüntetendő összegnek felel meg.</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Sor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EREDETI KITETTSÉG MÓDSZERE (SZÁRMAZTATOTT ÜGYLETEK ESETÉBEN)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Olyan származtatott ügyletek és hosszú kiegyenlítési idejű ügyletek, amelyek kitettségértékét az intézmény az 575/2013/EU rendelet harmadik része II. címe 6. fejezetének 5. szakasza szerint számítja ki. A kitettségérték kiszámításához ezt az egyszerűsített módszert csak az 575/2013/EU rendelet 273a. cikkének (2) bekezdésében vagy 273a. cikkének (4) bekezdésében meghatározott feltételeket teljesítő intézmények alkalmazhatják.</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PARTNERKOCKÁZATRA VONATKOZÓ EGYSZERŰSÍTETT SZTENDERD MÓDSZER (EGYSZERŰSÍTETT SA-CCR SZÁRMAZTATOTT ÜGYLETEK ESETÉBEN)</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Olyan származtatott ügyletek és hosszú kiegyenlítési idejű ügyletek, amelyek kitettségértékét az intézmény az 575/2013/EU rendelet harmadik része II. címe 6. fejezetének 4. szakasza szerint számítja ki. A kitettségérték kiszámításához ezt az egyszerűsített sztenderd módszert csak az 575/2013/EU rendelet 273a. cikkének (1) bekezdésében vagy 273a. cikkének (4) bekezdésében meghatározott feltételeket teljesítő intézmények alkalmazhatják.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PARTNERKOCKÁZATRA VONATKOZÓ SZTENDERD MÓDSZER (SA-CCR SZÁRMAZTATOTT ÜGYLETEK ESETÉBEN)</w:t>
            </w:r>
          </w:p>
          <w:p w14:paraId="598AFC1F" w14:textId="0CE5CAFB"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lastRenderedPageBreak/>
              <w:t>Olyan származtatott ügyletek és hosszú kiegyenlítési idejű ügyletek, amelyek kitettségértékét az intézmény az 575/2013/EU rendelet harmadik része II. címe 6. fejezetének 3. szakasza szerint számítja ki.</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BELSŐ MODELL MÓDSZER (IMM) (SZÁRMAZTATOTT ÜGYLETEK ÉS ÉRTÉKPAPÍR-FINANSZÍROZÁSI ÜGYLETEK ESETÉBEN)</w:t>
            </w:r>
          </w:p>
          <w:p w14:paraId="12D47B35" w14:textId="7BF17232"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Származtatott ügyletek, hosszú kiegyenlítési idejű ügyletek és értékpapír-finanszírozási ügyletek, amelyek esetében az intézmény számára engedélyezték, hogy a kitettségértéket a belső modell módszer (IMM) alkalmazásával számítsa ki az 575/2013/EU rendelet harmadik része II. címe 6. fejezetének 6. szakaszával összhangban.</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Értékpapír-finanszírozási ügyletek nettósítási halmazai</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Olyan, kizárólag az 575/2013/EU rendelet 4. cikkének 139. pontjában meghatározott értékpapír-finanszírozási ügyleteket tartalmazó nettósítási halmazok, amelyekre vonatkozóan az intézmény számára engedélyezték a kitettségérték belső modell módszer alkalmazásával történő meghatározását.</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Nem tüntethetők fel ebben a sorban azok az értékpapír-finanszírozási ügyletek, amelyek eltérő termékkategóriák közötti nettósításról szóló szerződéses megállapodásból származó nettósítási halmazok részét képezik és ennélfogva a 0070-es sorban szerepelnek.</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Származtatott és hosszú kiegyenlítési idejű ügyletek nettósítási halmazai</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Nettósítási halmazok, amelyek kizárólag az 575/2013/EU rendelet II. mellékletében felsorolt származtatott ügyleteket és az 575/2013/EU rendelet 272. cikkének 2. pontjában meghatározott hosszú kiegyenlítési idejű ügyleteket tartalmaznak, és amelyekre vonatkozóan az intézmény számára engedélyezték, hogy a belső modell módszer alkalmazásával határozza meg a kitettségértéket.</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0070-es sorban szerepelnek.</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Eltérő termékkategóriák közötti nettósításról szóló szerződéses megállapodásból származó nettósítási halmazok</w:t>
            </w:r>
          </w:p>
          <w:p w14:paraId="3081A4FE" w14:textId="758D5ED3" w:rsidR="00595FAD" w:rsidRPr="002A677E" w:rsidRDefault="00595FAD" w:rsidP="00FF15C6">
            <w:pPr>
              <w:rPr>
                <w:rFonts w:ascii="Times New Roman" w:hAnsi="Times New Roman"/>
                <w:sz w:val="24"/>
              </w:rPr>
            </w:pPr>
            <w:r>
              <w:rPr>
                <w:rFonts w:ascii="Times New Roman" w:hAnsi="Times New Roman"/>
                <w:sz w:val="24"/>
              </w:rPr>
              <w:t>Az 575/2013/EU rendelet 272. cikkének 11. és 25. pontja</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Különböző termékkategóriákhoz sorolt ügyleteket, úgy mint származtatott ügyleteket és értékpapír-finanszírozási ügyleteket tartalmazó azon nettósítási halmazok (az 575/2013/EU rendelet 272. cikkének 11. pontja), amelyekre az 575/2013/EU rendelet 272. cikkének 25. pontjában meghatározott eltérő termékkategóriák közötti nettósításról szóló szerződéses megállapodás vonatkozik, és amelyek esetében az intézmény számára engedélyezték a kitettségérték belső modell módszer szerinti meghatározását.</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PÉNZÜGYI BIZTOSÍTÉKOK EGYSZERŰ MÓDSZERE (ÉRTÉKPAPÍR-FINANSZÍROZÁSI ÜGYLETEK ESETÉBEN)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Az 575/2013/EU rendelet 222. cikke</w:t>
            </w:r>
          </w:p>
          <w:p w14:paraId="437C0FD9" w14:textId="3798F280"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Repoügyletek, értékpapír- és áru-kölcsönbeadási, illetve kölcsönvételi ügyletek, hosszú kiegyenlítési idejű ügyletek és értékpapírügylethez kapcsolódó hitelek, amelyek esetében az intézmény úgy döntött, hogy a kitettségértéket az 575/2013/EU rendelet 222. cikke szerint határozza meg, szemben az említett rendelet harmadik része II. címének 6. fejezetével, ugyanezen rendelet 271. cikkének (2) bekezdésével összhangban.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PÉNZÜGYI BIZTOSÍTÉKOK ÖSSZETETT MÓDSZERE (ÉRTÉKPAPÍR-FINANSZÍROZÁSI ÜGYLETEK ESETÉBEN)</w:t>
            </w:r>
          </w:p>
          <w:p w14:paraId="33716D0C" w14:textId="019BF318" w:rsidR="00595FAD" w:rsidRPr="002A677E" w:rsidRDefault="00595FAD" w:rsidP="00FF15C6">
            <w:pPr>
              <w:rPr>
                <w:rFonts w:ascii="Times New Roman" w:hAnsi="Times New Roman"/>
                <w:sz w:val="24"/>
              </w:rPr>
            </w:pPr>
            <w:r>
              <w:rPr>
                <w:rFonts w:ascii="Times New Roman" w:hAnsi="Times New Roman"/>
                <w:sz w:val="24"/>
              </w:rPr>
              <w:t>Az 575/2013/EU rendelet 220. és 223. cikke</w:t>
            </w:r>
          </w:p>
          <w:p w14:paraId="21713DED" w14:textId="263D1CC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Repoügyletek, értékpapír- és áru-kölcsönbeadási, illetve kölcsönvételi ügyletek, hosszú kiegyenlítési idejű ügyletek és értékpapírügylethez kapcsolódó hitelek, amelyek esetében az intézmény úgy döntött, hogy a kitettségértéket az 575/2013/EU rendelet 223. cikke szerint határozza meg, szemben az említett rendelet harmadik része II. címének 6. fejezetével, ugyanezen rendelet 271. cikkének (2) bekezdésével összhangban.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KOCKÁZTATOTT ÉRTÉK (VaR) AZ ÉRTÉKPAPÍR-FINANSZÍROZÁSI ÜGYLETEK ESETÉBEN</w:t>
            </w:r>
          </w:p>
          <w:p w14:paraId="55681F10" w14:textId="11865EA2" w:rsidR="00595FAD" w:rsidRPr="002A677E" w:rsidRDefault="00595FAD" w:rsidP="00FF15C6">
            <w:pPr>
              <w:rPr>
                <w:rFonts w:ascii="Times New Roman" w:hAnsi="Times New Roman"/>
                <w:sz w:val="24"/>
              </w:rPr>
            </w:pPr>
            <w:r>
              <w:rPr>
                <w:rFonts w:ascii="Times New Roman" w:hAnsi="Times New Roman"/>
                <w:sz w:val="24"/>
              </w:rPr>
              <w:t>Az 575/2013/EU rendelet 221. cikke</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Repoügyletek, értékpapír- és áru-kölcsönbeadási, illetve kölcsönvételi ügyletek, értékpapírügylethez kapcsolódó hitelek vagy egyéb tőkepiac-vezérelt ügyletek, kivéve a származtatott ügyleteket, amelyek esetében a kitettségértéket az 575/2013/EU rendelet 221. cikkével összhangban és az illetékes hatóság engedélyével olyan belső modellen alapuló módszerrel számítják ki, amely figyelembe veszi a nettósítási keretmegállapodás hatálya alá tartozó értékpapír-pozíciók közötti korrelációs hatásokat, valamint az érintett eszközök likviditását.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ÖSSZESEN</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 xml:space="preserve">Az 575/2013/EU rendelet </w:t>
            </w:r>
            <w:r>
              <w:rPr>
                <w:rStyle w:val="InstructionsTabelleberschrift"/>
                <w:rFonts w:ascii="Times New Roman" w:hAnsi="Times New Roman"/>
                <w:b w:val="0"/>
                <w:sz w:val="24"/>
                <w:u w:val="none"/>
              </w:rPr>
              <w:t>291. cikke</w:t>
            </w:r>
          </w:p>
          <w:p w14:paraId="46E07203" w14:textId="1AC1603C" w:rsidR="00595FAD" w:rsidRPr="002A677E"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Olyan partnerkockázati kitettségek, amelyek esetében az 575/2013/EU rendelet 291. cikkével</w:t>
            </w:r>
            <w:r>
              <w:rPr>
                <w:rFonts w:ascii="Times New Roman" w:hAnsi="Times New Roman"/>
                <w:sz w:val="24"/>
              </w:rPr>
              <w:t xml:space="preserve"> összhangban egyedi rossz irányú kockázatot (SWWR) azonosítottak</w:t>
            </w:r>
            <w:r>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fedezett ügyletek</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 xml:space="preserve">Az 575/2013/EU rendelet </w:t>
            </w:r>
            <w:r>
              <w:rPr>
                <w:rStyle w:val="InstructionsTabelleberschrift"/>
                <w:rFonts w:ascii="Times New Roman" w:hAnsi="Times New Roman"/>
                <w:b w:val="0"/>
                <w:sz w:val="24"/>
                <w:u w:val="none"/>
              </w:rPr>
              <w:t>272. cikkének 7. pontja</w:t>
            </w:r>
          </w:p>
          <w:p w14:paraId="6CB57CF2" w14:textId="0F21258C" w:rsidR="00595FAD" w:rsidRPr="002A677E"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Biztosítékkal fedezett partnerkockázati kitettségek, azaz az 575/2013/EU rendelet 272. cikkének 7. pontja szerinti</w:t>
            </w:r>
            <w:r>
              <w:rPr>
                <w:rFonts w:ascii="Times New Roman" w:hAnsi="Times New Roman"/>
                <w:sz w:val="24"/>
              </w:rPr>
              <w:t xml:space="preserve"> letéti megállapodás hatálya alá tartozó nettósítási halmazok</w:t>
            </w:r>
            <w:r>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lastRenderedPageBreak/>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nem fedezett ügyletek</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A 0130-as sorban nem szereplő partnerkockázati kitettségek.</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6039963"/>
      <w:r>
        <w:rPr>
          <w:rFonts w:ascii="Times New Roman" w:hAnsi="Times New Roman"/>
          <w:sz w:val="24"/>
        </w:rPr>
        <w:t>C 34.03 – Sztenderd módszerekkel kezelt partnerkockázati kitettségek: SA-CCR vagy egyszerűsített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6039964"/>
      <w:r>
        <w:rPr>
          <w:rFonts w:ascii="Times New Roman" w:hAnsi="Times New Roman"/>
          <w:sz w:val="24"/>
        </w:rPr>
        <w:t>Általános megjegyzések</w:t>
      </w:r>
      <w:bookmarkEnd w:id="464"/>
      <w:bookmarkEnd w:id="465"/>
    </w:p>
    <w:p w14:paraId="0771AD5D" w14:textId="77777777"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125</w:t>
      </w:r>
      <w:r>
        <w:rPr>
          <w:noProof/>
        </w:rPr>
        <w:fldChar w:fldCharType="end"/>
      </w:r>
      <w:r w:rsidR="00C3070C">
        <w:t>. Ebben a táblában külön kell adatot szolgáltatni az SA-CCR-rel vagy adott esetben az egyszerűsített SA-CCR-rel kiszámított partnerkockázati kitettségekről.</w:t>
      </w:r>
    </w:p>
    <w:p w14:paraId="2F14828E" w14:textId="330E1C91"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6039965"/>
      <w:r>
        <w:rPr>
          <w:rFonts w:ascii="Times New Roman" w:hAnsi="Times New Roman"/>
          <w:sz w:val="24"/>
        </w:rPr>
        <w:t>A tábla egyes részeire vonatkozó útmutató</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PÉNZNEM</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kamatlábkockázati kategóriába sorolt ügyletek esetében az ügylet devizanemét kell feltüntetni.</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 devizaárfolyam-kockázati kategóriába sorolt ügyletek esetében az ügylet két ága egyikének devizanemét kell feltüntetni. Az intézményeknek a pénznempárban a pénznemeket ábécésorrendben kell megadniuk, pl. USA-dollár/euró esetében ebben az oszlopban az EUR-t, a 0020-as oszlopban pedig az USD-t kell feltüntetni. </w:t>
            </w:r>
          </w:p>
          <w:p w14:paraId="06A18930"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A pénznemeket az </w:t>
            </w:r>
            <w:hyperlink r:id="rId13" w:history="1">
              <w:r>
                <w:rPr>
                  <w:rFonts w:ascii="Times New Roman" w:hAnsi="Times New Roman"/>
                  <w:sz w:val="24"/>
                </w:rPr>
                <w:t>ISO-kódok</w:t>
              </w:r>
            </w:hyperlink>
            <w:r>
              <w:rPr>
                <w:rFonts w:ascii="Times New Roman" w:hAnsi="Times New Roman"/>
                <w:sz w:val="24"/>
              </w:rPr>
              <w:t xml:space="preserve"> szerint kell feltüntetni.</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ELLENOLDALI PÉNZNEM</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devizaárfolyam-kockázati kategóriába sorolt ügyletek esetében az ügylet másik ágának devizanemét kell feltüntetni (a 0010-es oszlopban szereplőhöz képest). Az intézményeknek a pénznempárban a pénznemeket ábécésorrendben kell megadniuk, pl. USA-dollár/euró esetében ebben az oszlopban az USD-t, a 0010-es oszlopban pedig az EUR-t kell feltüntetni.</w:t>
            </w:r>
          </w:p>
          <w:p w14:paraId="51FADFB6"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 xml:space="preserve">A pénznemeket az </w:t>
            </w:r>
            <w:hyperlink r:id="rId14" w:history="1">
              <w:r>
                <w:rPr>
                  <w:rFonts w:ascii="Times New Roman" w:hAnsi="Times New Roman"/>
                  <w:sz w:val="24"/>
                </w:rPr>
                <w:t>ISO-kódok</w:t>
              </w:r>
            </w:hyperlink>
            <w:r>
              <w:rPr>
                <w:rFonts w:ascii="Times New Roman" w:hAnsi="Times New Roman"/>
                <w:sz w:val="24"/>
              </w:rPr>
              <w:t xml:space="preserve"> szerint kell feltüntetni.</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Lásd a C 34.02-es tábla 0020-as oszlopához tartozó útmutatót.</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Lásd a C 34.02-es tábla 0030-as oszlopához tartozó útmutatót.</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lastRenderedPageBreak/>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fedezeti halmaz aktuális piaci értékének összege.</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fedezeti halmaz szintjén a CMV-t az egy fedezeti halmazon belüli ügyletek pozitív és negatív piaci értékének nettósításával kell meghatározni, a tartott vagy nyújtott biztosítékokkal együtt.</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Az adott kockázati kategóriában a negatív aktuális piaci értékkel (CMV) rendelkező összes fedezeti halmaz aktuális piaci értékének összege.</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 fedezeti halmaz szintjén a CMV-t az egy fedezeti halmazon belüli ügyletek pozitív és negatív piaci értékének nettósításával kell meghatározni, a tartott vagy nyújtott biztosítékokkal együtt.</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TÖBBLET</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280a–280f. cikke, valamint 281. cikkének (2) bekezdése</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Az intézménynek az adott fedezeti halmaz/kockázati kategória többleteinek együttes összegét kell megadnia.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A nettósítási halmaz potenciális jövőbeli kitettségének az 575/2013/EU rendelet 278. cikke (1) bekezdésének vagy 281. cikke (2) bekezdése f) pontjának megfelelően történő meghatározásához használt kockázati kategóriánkénti többletet az említett rendelet 280a–280f. cikkének megfelelően kell kiszámítani. Az egyszerűsített SA-CCR-re az 575/2013/EU rendelet 281. cikkének (2) bekezdésében meghatározott rendelkezések alkalmazandók.</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Sor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277. és 277a. cikke</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Az ügyleteket azon kockázati kategóriába kell besorolni, amelyhez az 575/2013/EU rendelet 277. cikkének (1)–(4) bekezdésével összhangban tartoznak.</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A fedezeti halmazokhoz a kockázati kategória szerint történő hozzárendelést az 575/2013/EU rendelet 277a. cikkével összhangban kell végrehajtani.</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Az egyszerűsített SA-CCR-re az 575/2013/EU rendelet 281. cikkének (2) bekezdésében meghatározott rendelkezések alkalmazandók.</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mint egy kockázati kategóriához hozzárendelt</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277. cikkének (3) bekezdése</w:t>
            </w:r>
          </w:p>
          <w:p w14:paraId="44A31AAB" w14:textId="3027E788"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 xml:space="preserve">Több lényeges kockázati tényezővel rendelkező származtatott ügyletek, amelyeket az 575/2013/EU rendelet 277. cikkének (3) bekezdésével és az említett </w:t>
            </w:r>
            <w:r>
              <w:rPr>
                <w:rFonts w:ascii="Times New Roman" w:hAnsi="Times New Roman"/>
                <w:sz w:val="24"/>
              </w:rPr>
              <w:lastRenderedPageBreak/>
              <w:t>rendelet 277. cikkének (5) bekezdése szerinti EBH szabályozástechnikai standardtervezetekkel összhangban az egyes kockázati kategóriákban a kockázati tényezők közül a leglényegesebb alapján kettő (0020), három (0030) vagy több mint három (0040) kockázati kategóriához kell hozzárendelni.</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lastRenderedPageBreak/>
              <w:t>0070–0110 és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Legnagyobb pénznem és devizapár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Ezt a besorolást az intézmény SA-CCR, illetve adott esetben az egyszerűsített SA-CCR hatálya alá tartozó portfóliójának aktuális piaci értéke (CMV) alapján kell elvégezni a kamatlábkockázati, illetve a devizaárfolyam-kockázati kategóriába sorolt ügyletek esetében.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A besorolás céljából össze kell adni a pozíciók abszolút CMV értékét.</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Kizárólagos hozzárendelés</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277. cikkének (1) és (2) bekezdése</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Az 575/2013/EU rendelet 277. cikkének (1) és (2) bekezdésével összhangban kizárólag egy kockázati kategóriába sorolt származtatott ügyletek.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Nem tüntethetők fel itt az 575/2013/EU rendelet 277. cikkének (3) bekezdésével összhangban különböző kockázati kategóriákba sorolt ügyletek.</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Egy alaptermékes ügyletek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 hitelkockázati és részvénypiaci kockázati kategóriához rendelt egy alaptermékes ügyletek.</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alaptermékes ügyletek</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A hitelkockázati és részvénypiaci kockázati kategóriához rendelt több alaptermékes ügyletek.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Árukockázati fedezeti halmazok</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Az 575/2013/EU rendelet 277a. cikke (1) bekezdésének e) pontjában felsorolt árukockázati fedezeti halmazokba sorolt származtatott ügyletek.</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6039966"/>
      <w:r>
        <w:rPr>
          <w:rFonts w:ascii="Times New Roman" w:hAnsi="Times New Roman"/>
          <w:sz w:val="24"/>
        </w:rPr>
        <w:t>C 34.04 – Az eredeti kitettség szerinti módszerrel (OEM) kezelt partnerkockázati kitettségek</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6039967"/>
      <w:r>
        <w:rPr>
          <w:rFonts w:ascii="Times New Roman" w:hAnsi="Times New Roman"/>
          <w:sz w:val="24"/>
        </w:rPr>
        <w:t>A tábla egyes részeire vonatkozó útmutató</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0010-es és 0020-as oszlophoz tartozó kitöltési útmutató megegyezik a C 34.02-es tábla megfelelő oszlopaihoz tartozó kitöltési útmutatóval.</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ügylet aktuális piaci értékének összege.</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lastRenderedPageBreak/>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Az adott kockázati kategóriában a negatív aktuális piaci értékkel (CMV) rendelkező összes ügylet aktuális piaci értékének összege.</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Az intézménynek az azonos kockázati kategóriába tartozó valamennyi ügyletre vonatkozóan meg kell adnia a potenciális jövőbeli kitettség együttes összegét.</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Sor</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t>0020–0070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14:paraId="1FE53BE2" w14:textId="184A69C7" w:rsidR="00595FAD" w:rsidRPr="002A677E" w:rsidRDefault="00595FAD" w:rsidP="00070518">
            <w:pPr>
              <w:keepNext/>
              <w:spacing w:before="60"/>
              <w:rPr>
                <w:rFonts w:ascii="Times New Roman" w:hAnsi="Times New Roman"/>
                <w:sz w:val="24"/>
              </w:rPr>
            </w:pPr>
            <w:r>
              <w:rPr>
                <w:rFonts w:ascii="Times New Roman" w:hAnsi="Times New Roman"/>
                <w:sz w:val="24"/>
              </w:rPr>
              <w:t>Az 575/2013/EU rendelet 282. cikke (4) bekezdésének b) pontjában felsorolt kockázati kategóriákba sorolt származtatott ügyletek.</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6039968"/>
      <w:r>
        <w:rPr>
          <w:rFonts w:ascii="Times New Roman" w:hAnsi="Times New Roman"/>
          <w:sz w:val="24"/>
        </w:rPr>
        <w:t>C 34.05 – A belső modell módszerrel (IMM) kezelt partnerkockázati kitettségek</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6039969"/>
      <w:r>
        <w:rPr>
          <w:rFonts w:ascii="Times New Roman" w:hAnsi="Times New Roman"/>
          <w:sz w:val="24"/>
        </w:rPr>
        <w:t>A tábla egyes részeire vonatkozó útmutató</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LETÉTTEL FEDEZETT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Lásd a C 34.02-es tábla 0130-as sorához tartozó útmutatót.</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LETÉTTEL NEM FEDEZETT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Lásd a C 34.02-es tábla 0140-es sorához tartozó útmutatót.</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ÜGYLETEK SZÁMA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Lásd a C 34.02-es tábla 0020-as oszlopához tartozó útmutatót.</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NÉVLEGES ÖSSZEG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Lásd a C 34.02-es tábla 0030-as oszlopához tartozó útmutatót.</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Az adott eszközosztályhoz tartozó, pozitív aktuális piaci értékkel (CMV) rendelkező összes ügylet aktuális piaci értékének összege.</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Az adott eszközosztályhoz tartozó, negatív aktuális piaci értékkel (CMV) rendelkező összes ügylet aktuális piaci értékének összege.</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Lásd a C 34.02-es tábla 0120-as oszlopához tartozó útmutatót.</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Lásd a C 34.02-es tábla 0130-as oszlopához tartozó útmutatót.</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lastRenderedPageBreak/>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STRESSZHELYZETI EEPE</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284. cikkének (6) bekezdése és 292. cikkének (2) bekezdése</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A stresszhelyzeti tényleges várható pozitív kitettség kiszámítása a tényleges várható pozitív kitettség kiszámításának analógiájára történik (az 575/2013/EU rendelet 284. cikkének (6) bekezdése), de az 575/2013/EU rendelet 292. cikkének (2) bekezdése szerinti stresszkalibráció alkalmazásával.</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KITETTSÉGÉRTÉK</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Lásd a C 34.02-es tábla 0170-es oszlopához tartozó útmutatót.</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Sor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Magyarázat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ÖSSZESEN </w:t>
            </w:r>
          </w:p>
          <w:p w14:paraId="34B799AD" w14:textId="61B9642D" w:rsidR="00595FAD" w:rsidRPr="002A677E" w:rsidRDefault="00595FAD" w:rsidP="00FF15C6">
            <w:pPr>
              <w:keepNext/>
              <w:spacing w:before="60"/>
              <w:rPr>
                <w:sz w:val="24"/>
              </w:rPr>
            </w:pPr>
            <w:r>
              <w:rPr>
                <w:rFonts w:ascii="Times New Roman" w:hAnsi="Times New Roman"/>
                <w:sz w:val="24"/>
              </w:rPr>
              <w:t>Az 575/2013/EU rendelet 283. cikke</w:t>
            </w:r>
          </w:p>
          <w:p w14:paraId="028F40CB" w14:textId="2044F0AF" w:rsidR="00595FAD" w:rsidRPr="002A677E" w:rsidRDefault="00595FAD" w:rsidP="00FF15C6">
            <w:pPr>
              <w:rPr>
                <w:sz w:val="24"/>
              </w:rPr>
            </w:pPr>
            <w:r>
              <w:rPr>
                <w:rFonts w:ascii="Times New Roman" w:hAnsi="Times New Roman"/>
                <w:sz w:val="24"/>
              </w:rPr>
              <w:t>Az intézménynek meg kell adnia az azon származtatott ügyletekkel, hosszú kiegyenlítési idejű ügyletekkel és értékpapír-finanszírozási ügyletekkel kapcsolatos releváns információkat, amelyek esetében az 575/2013/EU rendelet 283. cikkével összhangban engedélyezték számára a belső modell módszerével kiszámított kitettségérték meghatározását.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14:paraId="6B266C36" w14:textId="77777777" w:rsidR="00595FAD" w:rsidRPr="002A677E" w:rsidRDefault="00595FAD" w:rsidP="00FF15C6">
            <w:pPr>
              <w:rPr>
                <w:rFonts w:ascii="Times New Roman" w:hAnsi="Times New Roman"/>
                <w:sz w:val="24"/>
              </w:rPr>
            </w:pPr>
            <w:r>
              <w:rPr>
                <w:rFonts w:ascii="Times New Roman" w:hAnsi="Times New Roman"/>
                <w:sz w:val="24"/>
              </w:rPr>
              <w:t>Lásd a C 34.02. 0120-as sorához tartozó útmutatót.</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sztenderd módszerrel kezelt nettósítási halmazok</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Lásd a C 34.02. 0180-as oszlopához tartozó útmutatót.</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IRB módszerrel kezelt nettósítási halmazok</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Lásd a C 34.02. 0190-es oszlopához tartozó útmutatót.</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TŐZSDÉN KÍVÜLI SZÁRMAZTATOTT ÜGYLETEK</w:t>
            </w:r>
          </w:p>
          <w:p w14:paraId="0977FBD8" w14:textId="77777777" w:rsidR="00595FAD" w:rsidRPr="002A677E" w:rsidRDefault="00595FAD" w:rsidP="00FF15C6">
            <w:pPr>
              <w:rPr>
                <w:rFonts w:ascii="Times New Roman" w:hAnsi="Times New Roman"/>
                <w:sz w:val="24"/>
              </w:rPr>
            </w:pPr>
            <w:r>
              <w:rPr>
                <w:rFonts w:ascii="Times New Roman" w:hAnsi="Times New Roman"/>
                <w:sz w:val="24"/>
              </w:rPr>
              <w:t>Az intézmény kizárólag azon tőzsdén kívüli származtatott ügyleteket vagy hosszú teljesítési idejű ügyleteket tartalmazó nettósítási halmazokra vonatkozó releváns információkat tüntetheti itt fel az alapul szolgáló eszköz tekintetében a különböző eszközosztályok (kamatláb, deviza, hitel, részvény, áru vagy egyéb) szerinti bontásban, amelyek esetében engedélyezték számára a kitettségérték belső modell módszer alkalmazásával történő meghatározását.</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TŐZSDÉN FORGALMAZOTT DERIVATÍVÁK</w:t>
            </w:r>
          </w:p>
          <w:p w14:paraId="555913AF" w14:textId="77777777" w:rsidR="00595FAD" w:rsidRPr="002A677E" w:rsidRDefault="00595FAD" w:rsidP="00FF15C6">
            <w:pPr>
              <w:rPr>
                <w:rFonts w:ascii="Times New Roman" w:hAnsi="Times New Roman"/>
                <w:sz w:val="24"/>
              </w:rPr>
            </w:pPr>
            <w:r>
              <w:rPr>
                <w:rFonts w:ascii="Times New Roman" w:hAnsi="Times New Roman"/>
                <w:sz w:val="24"/>
              </w:rPr>
              <w:t xml:space="preserve">Az intézmény kizárólag azon tőzsdén forgalmazott derivatívákat vagy hosszú teljesítési idejű ügyleteket tartalmazó nettósítási halmazokra vonatkozó releváns információkat tüntetheti itt fel az alapul szolgáló eszköz tekintetében a különböző eszközosztályok (kamatláb, deviza, hitel, részvény, áru vagy </w:t>
            </w:r>
            <w:r>
              <w:rPr>
                <w:rFonts w:ascii="Times New Roman" w:hAnsi="Times New Roman"/>
                <w:sz w:val="24"/>
              </w:rPr>
              <w:lastRenderedPageBreak/>
              <w:t>egyéb) szerinti bontásban, amelyek esetében engedélyezték számára a kitettségérték belső modell módszer alkalmazásával történő meghatározását.</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lastRenderedPageBreak/>
              <w:t>0190–0220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w:t>
            </w:r>
          </w:p>
          <w:p w14:paraId="36B18F3F" w14:textId="77777777" w:rsidR="00595FAD" w:rsidRPr="002A677E" w:rsidRDefault="00595FAD" w:rsidP="00FF15C6">
            <w:pPr>
              <w:rPr>
                <w:rFonts w:ascii="Times New Roman" w:hAnsi="Times New Roman"/>
                <w:sz w:val="24"/>
              </w:rPr>
            </w:pPr>
            <w:r>
              <w:rPr>
                <w:rFonts w:ascii="Times New Roman" w:hAnsi="Times New Roman"/>
                <w:sz w:val="24"/>
              </w:rPr>
              <w:t>Az intézmény kizárólag azon értékpapír-finanszírozási ügyleteket tartalmazó nettósítási halmazokra vonatkozó releváns információkat tüntetheti itt fel az alaptermék típusa szerinti bontásban, amelyek esetében engedélyezték számára a kitettségérték belső modell módszer alkalmazásával történő meghatározását.</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MEGÁLLAPODÁSON ALAPULÓ NETTÓSÍTÁSI HALMAZOK</w:t>
            </w:r>
          </w:p>
          <w:p w14:paraId="0239B755" w14:textId="77777777" w:rsidR="00595FAD" w:rsidRPr="002A677E" w:rsidRDefault="00595FAD" w:rsidP="00FF15C6">
            <w:pPr>
              <w:rPr>
                <w:rFonts w:ascii="Times New Roman" w:hAnsi="Times New Roman"/>
                <w:sz w:val="24"/>
              </w:rPr>
            </w:pPr>
            <w:r>
              <w:rPr>
                <w:rFonts w:ascii="Times New Roman" w:hAnsi="Times New Roman"/>
                <w:sz w:val="24"/>
              </w:rPr>
              <w:t>Lásd a C 34.02. 0070-es sorához tartozó útmutatót.</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6039970"/>
      <w:r>
        <w:rPr>
          <w:rFonts w:ascii="Times New Roman" w:hAnsi="Times New Roman"/>
          <w:sz w:val="24"/>
        </w:rPr>
        <w:t>C 34.06 – A húsz legnagyobb partner</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6039971"/>
      <w:r>
        <w:rPr>
          <w:rFonts w:ascii="Times New Roman" w:hAnsi="Times New Roman"/>
          <w:sz w:val="24"/>
        </w:rPr>
        <w:t>Általános megjegyzések</w:t>
      </w:r>
      <w:bookmarkEnd w:id="478"/>
      <w:bookmarkEnd w:id="479"/>
    </w:p>
    <w:p w14:paraId="0CFF0B63" w14:textId="0FD2375A"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126</w:t>
      </w:r>
      <w:r>
        <w:rPr>
          <w:noProof/>
        </w:rPr>
        <w:fldChar w:fldCharType="end"/>
      </w:r>
      <w:r w:rsidR="00C3070C">
        <w:t>. Az intézményeknek azon 20 legfontosabb partnerről kell adatot szolgáltatniuk, amelyek tekintetében a legmagasabb partnerkockázati kitettséggel rendelkeznek. A rangsorolást az érintett partnerek összes nettósítási halmazára vonatkozó, e tábla 0120-as oszlopában megadott partnerkockázati kitettségértékek alkalmazásával kell elvégezni. A 20 legnagyobb partner listájának meghatározásakor figyelembe kell venni a csoporton belüli kitettségeket és más olyan kitettségeket is, amelyek partnerkockázatot idéznek elő, de amelyekre az intézmény a tőkekövetelmény-számításhoz az 575/2013/EU rendelet 113. cikkének (6) és (7) bekezdésével összhangban nulla kockázati súlyt rendel.</w:t>
      </w:r>
    </w:p>
    <w:p w14:paraId="2F649BA0" w14:textId="0B358BD5"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127</w:t>
      </w:r>
      <w:r>
        <w:rPr>
          <w:noProof/>
        </w:rPr>
        <w:fldChar w:fldCharType="end"/>
      </w:r>
      <w:r w:rsidR="00C3070C">
        <w:t xml:space="preserve">. A partnerkockázati kitettségek kiszámításához az 575/2013/EU rendelet harmadik része II. címe 6. fejezetének 3. és 6. szakasza alapján a sztenderd módszert (SA-CCR) vagy a belső modell módszert (IMM) alkalmazó intézményeknek negyedévente kell kitölteniük ezt a táblát. A partnerkockázati kitettségek kiszámításához az 575/2013/EU rendelet harmadik része II. címe 6. fejezetének 4. és 5. szakasza alapján az egyszerűsített sztenderd módszert vagy az eredeti kitettség szerinti módszert (OEM) alkalmazó intézményeknek félévente kell kitölteniük ezt a táblát. </w:t>
      </w:r>
      <w:bookmarkStart w:id="480" w:name="_Toc19715818"/>
      <w:r w:rsidR="00C3070C">
        <w:t>A tábla egyes részeire vonatkozó útmutató</w:t>
      </w:r>
      <w:bookmarkEnd w:id="480"/>
      <w:r w:rsidR="00C3070C">
        <w:t>.</w:t>
      </w:r>
    </w:p>
    <w:p w14:paraId="41B3079E" w14:textId="0AE1E3CF"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6039972"/>
      <w:r>
        <w:rPr>
          <w:rFonts w:ascii="Times New Roman" w:hAnsi="Times New Roman"/>
          <w:sz w:val="24"/>
        </w:rPr>
        <w:t>A tábla egyes részeire vonatkozó útmutató</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lastRenderedPageBreak/>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A partner neve</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KÓD</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A sorazonosító részét képező kódnak minden egyes jelentett szervezet esetében egyedinek kell lennie. Intézmények és biztosítók esetében a kód a LEI-kód. Más szervezetek esetében a kód a LEI-kód, vagy ha nem áll rendelkezésre, valamely egyéb kód. A kódnak egyedinek kell lennie, és azt következetesen kell használni a táblákban és az egymást követő adatszolgáltatási időszakokban. A kód mezőnek mindig kell tartalmaznia valamilyen értéket.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KÓDTÍPUS</w:t>
            </w:r>
          </w:p>
          <w:p w14:paraId="3137A1E3" w14:textId="77777777" w:rsidR="00595FAD" w:rsidRPr="002A677E" w:rsidRDefault="00595FAD" w:rsidP="00FF15C6">
            <w:pPr>
              <w:rPr>
                <w:rStyle w:val="FormatvorlageInstructionsTabelleText"/>
                <w:rFonts w:ascii="Calibri" w:hAnsi="Calibri" w:cs="Calibri"/>
              </w:rPr>
            </w:pPr>
            <w:r>
              <w:rPr>
                <w:rStyle w:val="FormatvorlageInstructionsTabelleText"/>
                <w:rFonts w:ascii="Times New Roman" w:hAnsi="Times New Roman"/>
                <w:sz w:val="24"/>
              </w:rPr>
              <w:t>Az intézményeknek a 0020-as oszlopban feltüntetett kódtípust „LEI-kód”-ként vagy „nemzeti kód”-ként kell megadniuk.</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A kód típusát mindig jelenteni kell.</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NEMZETI KÓD</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Az intézmények kiegészítésként akkor is megadhatják a nemzeti kódot, amikor a 0020-as „Kód” oszlopban a LEI-kódot tüntetik fel azonosítóként.</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PARTNER SZEKTORA</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Minden partner esetében egy szektort kell kiválasztani a FINREP következő gazdasági ágazati osztályai alapján (lásd e végrehajtási rendelet V. mellékletének 3. részét):</w:t>
            </w:r>
          </w:p>
          <w:p w14:paraId="71D9AFB9" w14:textId="77777777" w:rsidR="00595FAD" w:rsidRPr="002A677E" w:rsidRDefault="00595FAD" w:rsidP="00FF15C6">
            <w:pPr>
              <w:keepNext/>
              <w:spacing w:before="60"/>
              <w:rPr>
                <w:rFonts w:ascii="Times New Roman" w:hAnsi="Times New Roman"/>
                <w:sz w:val="24"/>
              </w:rPr>
            </w:pPr>
            <w:r>
              <w:rPr>
                <w:rFonts w:ascii="Times New Roman" w:hAnsi="Times New Roman"/>
                <w:sz w:val="24"/>
              </w:rPr>
              <w:t>i. központi bankok;</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államháztartások;</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hitelintézetek;</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befektetési vállalkozások az 575/2013/EU rendelet 4. cikke (1) bekezdésének 2. pontjában meghatározottaknak megfelelően;</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egyéb pénzügyi vállalatok (a befektetési vállalkozások kivételével);</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nem pénzügyi vállalatok.</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PARTNER TÍPUSA</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Az intézménynek meg kell jelölnie a partner típusát, amely a következő lehet:</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ha a partner elfogadott központi szerződő fél;</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nem QCCP: ha a partner nem elfogadott központi szerződő fél;</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nem CCP: ha a partner nem központi szerződő fél.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PARTNER SZÉKHELYE</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A partner bejegyzés szerinti országának ISO 3166-1-alfa-2 kódját kell használni (ideértve a nemzetközi szervezetekre vonatkozó pszeudo-ISO-kódokat is, amelyek az Eurostat fizetési mérleggel foglalkozó vademecumának [Balance of Payments Vademecum] aktuális változatában találhatók meg).</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lastRenderedPageBreak/>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ÜGYLETEK SZÁMA</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Lásd a C 34.02-es tábla 0020-as oszlopához tartozó útmutatót.</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NÉVLEGES ÖSSZEG</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Lásd a C 34.02-es tábla 0030-as oszlopához tartozó útmutatót.</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AKTUÁLIS PIACI ÉRTÉK (CMV), POZITÍV</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Lásd a C 34.02-es tábla 0040-es oszlopához tartozó útmutatót.</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Az intézménynek a pozitív CMV-vel rendelkező nettósítási halmazok összegét kell megadnia, ha ugyanannak a partnernek több nettósítási halmaza van.</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AKTUÁLIS PIACI ÉRTÉK (CMV), NEGATÍV</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Lásd a C 34.02-es tábla 0040-es oszlopához tartozó útmutatót.</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Az intézménynek a negatív CMV-vel rendelkező nettósítási halmazok összegének abszolút értékét kell megadnia, ha ugyanannak a partnernek több nettósítási halmaza van.</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KITETTSÉGÉRTÉK HITELKOCKÁZAT-MÉRSÉKLÉS UTÁN</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Lásd a C 34.02-es tábla 0160-as oszlopához tartozó útmutatót.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Az intézménynek a nettósítási halmazok hitelkockázat-mérséklés utáni kitettségértékét kell megadnia, ha ugyanannak a partnernek több nettósítási halmaza van.</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KITETTSÉGÉRTÉK</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Lásd a C 34.02-es tábla 0170-es oszlopához tartozó útmutatót.</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KOCKÁZATTAL SÚLYOZOTT KITETTSÉGÉRTÉK</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Lásd a C 34.02-es tábla 0200-as oszlopához tartozó útmutatót.</w:t>
            </w:r>
          </w:p>
        </w:tc>
      </w:tr>
    </w:tbl>
    <w:p w14:paraId="146A1A16" w14:textId="77777777" w:rsidR="00595FAD" w:rsidRPr="00C54BE0"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6039973"/>
      <w:r>
        <w:rPr>
          <w:rFonts w:ascii="Times New Roman" w:hAnsi="Times New Roman"/>
          <w:sz w:val="24"/>
        </w:rPr>
        <w:t>C 34.07 – IRB módszer – Partnerkockázati kitettségek kitettségi osztály és PD-skála szerint</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6039974"/>
      <w:r>
        <w:rPr>
          <w:rFonts w:ascii="Times New Roman" w:hAnsi="Times New Roman"/>
          <w:sz w:val="24"/>
        </w:rPr>
        <w:t>Általános megjegyzések</w:t>
      </w:r>
      <w:bookmarkEnd w:id="484"/>
      <w:bookmarkEnd w:id="485"/>
    </w:p>
    <w:p w14:paraId="682CD351" w14:textId="484B0C59"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128</w:t>
      </w:r>
      <w:r>
        <w:rPr>
          <w:noProof/>
        </w:rPr>
        <w:fldChar w:fldCharType="end"/>
      </w:r>
      <w:r w:rsidR="00C3070C">
        <w:t xml:space="preserve">. Ezt a táblát azon intézményeknek kell kitölteniük, amelyek a fejlett IRB módszert vagy az IRB alapmódszert alkalmazzák a partnerkockázati kitettségeik egészére vagy egy részére vonatkozó kockázattal súlyozott kitettségértékeknek az 575/2013/EU rendelet 107. cikke szerinti kiszámításához, függetlenül a partnerkockázati kitettségértékeknek az 575/2013/EU rendelet harmadik része II. címének 4. és 6. fejezete szerinti meghatározásához használt módszertől. </w:t>
      </w:r>
    </w:p>
    <w:p w14:paraId="1AB3B979" w14:textId="022591DF"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129</w:t>
      </w:r>
      <w:r>
        <w:rPr>
          <w:noProof/>
        </w:rPr>
        <w:fldChar w:fldCharType="end"/>
      </w:r>
      <w:r w:rsidR="00C3070C">
        <w:t xml:space="preserve">. A táblát az összes kitettségi osztály összegére, valamint az 575/2013/EU rendelet 147. cikkében felsorolt minden egyes kitettségi osztályra vonatkozóan külön-külön is ki kell tölteni. Ez a tábla nem tartalmazza a központi szerződő félen keresztül elszámolt kitettségeket. </w:t>
      </w:r>
    </w:p>
    <w:p w14:paraId="7BDF11C6" w14:textId="77777777" w:rsidR="00595FAD"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130</w:t>
      </w:r>
      <w:r>
        <w:rPr>
          <w:noProof/>
        </w:rPr>
        <w:fldChar w:fldCharType="end"/>
      </w:r>
      <w:r w:rsidR="00C3070C">
        <w:t>. 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NEM = az LGD és a hitel-egyenértékesítési tényezők felügyeleti becslése esetén (IRB alapmódszer);</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IGEN = az LGD és a hitel-egyenértékesítési tényezők saját becslése esetén (fejlett IRB módszer).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6039975"/>
      <w:r>
        <w:rPr>
          <w:rFonts w:ascii="Times New Roman" w:hAnsi="Times New Roman"/>
          <w:sz w:val="24"/>
        </w:rPr>
        <w:t>A tábla egyes részeire vonatkozó útmutató</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Kitettségérték (lásd a C 34.02-es tábla 0170-es oszlopához tartozó útmutatót), az adott PD-skála szerinti bontásban</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Az egyes ügyfélkategóriák PD-értékeinek átlaga, a 0010-es oszlopban meghatározott megfelelő kitettségértékkel súlyozva.</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Kötelezettek száma </w:t>
            </w:r>
          </w:p>
          <w:p w14:paraId="4A437284" w14:textId="77777777" w:rsidR="00595FAD" w:rsidRPr="002A677E" w:rsidRDefault="00595FAD" w:rsidP="00FF15C6">
            <w:pPr>
              <w:rPr>
                <w:rFonts w:ascii="Times New Roman" w:hAnsi="Times New Roman"/>
                <w:sz w:val="24"/>
              </w:rPr>
            </w:pPr>
            <w:r>
              <w:rPr>
                <w:rFonts w:ascii="Times New Roman" w:hAnsi="Times New Roman"/>
                <w:sz w:val="24"/>
              </w:rPr>
              <w:t>A rögzített PD-skála egyes kategóriáihoz rendelt, külön minősített jogi személyek vagy ügyfelek száma, függetlenül a nyújtott különböző hitelek vagy kitettségek számától.</w:t>
            </w:r>
          </w:p>
          <w:p w14:paraId="188D1310" w14:textId="3314C154" w:rsidR="00595FAD" w:rsidRPr="002A677E" w:rsidRDefault="00595FAD" w:rsidP="00070518">
            <w:pPr>
              <w:rPr>
                <w:rFonts w:ascii="Times New Roman" w:hAnsi="Times New Roman"/>
                <w:sz w:val="24"/>
              </w:rPr>
            </w:pPr>
            <w:r>
              <w:rPr>
                <w:rFonts w:ascii="Times New Roman" w:hAnsi="Times New Roman"/>
                <w:sz w:val="24"/>
              </w:rPr>
              <w:t>Amennyiben az ugyanazon ügyféllel szembeni különböző kitettségeket külön minősítették, azokat külön kell számba venni. Ez a helyzet akkor állhat elő, ha az azonos ügyféllel szembeni egyes kitettségeket az 575/2013/EU rendelet 172. cikke (1) bekezdése e) pontjának második mondatával összhangban különböző ügyfélkategóriákba sorolják.</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Az egyes ügyfélkategóriák LGD-értékeinek átlaga, a 0010-es oszlopban meghatározott megfelelő kitettségértékkel súlyozva.</w:t>
            </w:r>
          </w:p>
          <w:p w14:paraId="06DF21CC" w14:textId="001B4CB2" w:rsidR="00595FAD" w:rsidRPr="002A677E" w:rsidRDefault="00595FAD" w:rsidP="00FF15C6">
            <w:pPr>
              <w:rPr>
                <w:rFonts w:ascii="Times New Roman" w:hAnsi="Times New Roman"/>
                <w:sz w:val="24"/>
              </w:rPr>
            </w:pPr>
            <w:r>
              <w:rPr>
                <w:rFonts w:ascii="Times New Roman" w:hAnsi="Times New Roman"/>
                <w:sz w:val="24"/>
              </w:rPr>
              <w:t xml:space="preserve">A feltüntetett LGD-nek meg kell felelnie a kockázattal súlyozott kitettségértékek kiszámításához használt, az esetleges hitelkockázat-mérséklési hatások és adott esetben gazdasági dekonjunkturális feltételek figyelembevételével kapott, az 575/2013/EU rendelet harmadik része II. címe 3. és 4. fejezetében meghatározott végső LGD-becslésnek. Az IRB módszert alkalmazó, de saját LGD-becslést nem használó intézményeknél a pénzügyi biztosítékok kockázatmérséklő hatásait a kitettség teljes mértékben korrigált értéke (E*) tükrözi, majd azok az 575/2013/EU rendelet 228. cikkének (2) bekezdése szerinti </w:t>
            </w:r>
            <w:r>
              <w:rPr>
                <w:rFonts w:ascii="Times New Roman" w:hAnsi="Times New Roman"/>
                <w:sz w:val="24"/>
              </w:rPr>
              <w:lastRenderedPageBreak/>
              <w:t>LGD*-értékben is megjelennek. Ha az intézmény saját LGD-becslést alkalmaz, akkor figyelembe kell venni az 575/2013/EU rendelet 175. cikkét, valamint 181. cikkének (1) és (2) bekezdését.</w:t>
            </w:r>
          </w:p>
          <w:p w14:paraId="39204E33" w14:textId="3259F8C5" w:rsidR="00595FAD" w:rsidRPr="002A677E" w:rsidRDefault="00595FAD" w:rsidP="00FF15C6">
            <w:pPr>
              <w:rPr>
                <w:rFonts w:ascii="Times New Roman" w:hAnsi="Times New Roman"/>
                <w:sz w:val="24"/>
              </w:rPr>
            </w:pPr>
            <w:r>
              <w:rPr>
                <w:rFonts w:ascii="Times New Roman" w:hAnsi="Times New Roman"/>
                <w:sz w:val="24"/>
              </w:rPr>
              <w:t>Az együttes nemteljesítésre vonatkozó eljárással érintett kitettségek esetében a feltüntetendő LGD az 575/2013/EU rendelet 161. cikkének (4) bekezdése alapján kiválasztott LGD-nek felel meg.</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Az A-IRB módszer szerinti nemteljesítő kitettségek esetében figyelembe kell venni az 575/2013/EU rendelet 181. cikke (1) bekezdésének h) pontjában foglalt rendelkezéseket. A feltüntetett LGD a nemteljesítéskori LGD becslésének felel meg.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Kitettséggel súlyozott átlagos lejárat (év)</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Az</w:t>
            </w:r>
            <w:r>
              <w:rPr>
                <w:rFonts w:ascii="Times New Roman" w:hAnsi="Times New Roman"/>
                <w:sz w:val="24"/>
              </w:rPr>
              <w:t xml:space="preserve"> egyes ügyfélkategóriák lejárati értékeinek átlaga, a 0010-es oszlopban meghatározott megfelelő kitettségértékkel súlyozva.</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A feltüntetendő lejárati értéket az 575/2013/EU rendelet 162. cikkével összhangban kell meghatározni.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Kockázattal súlyozott kitettségérték</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Az 575/2013/EU rendelet 92. cikkének (3) és (4) bekezdésében meghatározott kockázattal súlyozott kitettségértékek azon pozíciók esetében, amelyek kockázati súlyát az 575/2013/EU rendelet harmadik része II. címének 3. fejezetében meghatározott követelmények alapján állapítják meg, és amelyek esetében a partnerkockázattal érintett kitettségek értékét az említett rendelet harmadik része II. címének 4. és 6. fejezetével összhangban számítják ki.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Az 575/2013/EU rendelet 501. cikkében és 501a. cikkében említett kkv-szorzót és infrastruktúra-szorzót figyelembe kell venni.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Kockázattal súlyozott kitettségértékek sűrűsége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A (0060-as oszlopban feltüntetett) kockázattal súlyozott teljes kitettségérték és a (0010-es oszlopban feltüntetett) kitettségérték aránya.</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PD-skála</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A (partnerek szintjén meghatározott) partnerkockázati kitettségeket a rögzített PD-skála megfelelő kategóriájához kell rendelni az ebbe a kitettségi osztályba sorolt egyes kötelezettek becsült PD-értéke alapján (az esetleges garanciából vagy hitelderivatívából eredő helyettesítési hatások figyelembevétele nélkül). Az intézményeknek minden kitettséget egyenként kell a táblában megadott PD-skálához hozzárendelniük, figyelembe véve a folyamatos skálaértékeket is. Valamennyi nemteljesítő kitettséget a 100 %-os PD-t képviselő kategóriának kell</w:t>
            </w:r>
            <w:r>
              <w:t xml:space="preserve"> </w:t>
            </w:r>
            <w:r>
              <w:rPr>
                <w:rFonts w:ascii="Times New Roman" w:hAnsi="Times New Roman"/>
                <w:sz w:val="24"/>
              </w:rPr>
              <w:t>tartalmaznia.</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6039976"/>
      <w:r>
        <w:rPr>
          <w:rFonts w:ascii="Times New Roman" w:hAnsi="Times New Roman"/>
          <w:sz w:val="24"/>
        </w:rPr>
        <w:lastRenderedPageBreak/>
        <w:t>C 34.08 – A partnerkockázati kitettségek biztosítékainak összetétele</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6039977"/>
      <w:r>
        <w:rPr>
          <w:rFonts w:ascii="Times New Roman" w:hAnsi="Times New Roman"/>
          <w:sz w:val="24"/>
        </w:rPr>
        <w:t>Általános megjegyzések</w:t>
      </w:r>
      <w:bookmarkEnd w:id="490"/>
      <w:bookmarkEnd w:id="491"/>
    </w:p>
    <w:p w14:paraId="3A799621" w14:textId="77777777"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131</w:t>
      </w:r>
      <w:r>
        <w:rPr>
          <w:noProof/>
        </w:rPr>
        <w:fldChar w:fldCharType="end"/>
      </w:r>
      <w:r w:rsidR="00C3070C">
        <w:t xml:space="preserve">. Ebben a táblában a származtatott ügyletekhez, hosszú kiegyenlítési idejű ügyletekhez vagy értékpapír-finanszírozási ügyletekhez kapcsolódó partnerkockázati kitettségek esetében használt (adott vagy kapott) biztosíték valós értékét kell feltüntetni, függetlenül attól, hogy az ügyleteket központi szerződő félen keresztül számolják-e el, és hogy nyújtottak-e biztosítékot egy központi szerződő félnek. </w:t>
      </w:r>
    </w:p>
    <w:p w14:paraId="6581525E" w14:textId="7F24BBC3"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6039978"/>
      <w:r>
        <w:rPr>
          <w:rFonts w:ascii="Times New Roman" w:hAnsi="Times New Roman"/>
          <w:sz w:val="24"/>
        </w:rPr>
        <w:t>A tábla egyes részeire vonatkozó útmutató</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Oszlop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Származtatott ügyletekben felhasznált biztosíték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amelyet az 575/2013/EU rendelet II. mellékletében felsorolt bármely származtatott ügylethez vagy az említett rendelet 272. cikkének 2. pontja szerinti, értékpapír-finanszírozási ügyletnek nem minősülő hosszú kiegyenlítési idejű ügylethez kapcsolódó partnerkockázati kitettségek esetében használnak.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Értékpapír-finanszírozási ügyletekben felhasznált biztosíték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valamint az értékpapír-finanszírozási ügyletben biztosítékként megjelenő értékpapírt), amelyet értékpapír-finanszírozási ügylethez vagy származtatott ügyletnek nem minősülő hosszú teljesítési idejű ügylethez kapcsolódó partnerkockázati kitettségek esetében használnak. </w:t>
            </w:r>
          </w:p>
        </w:tc>
      </w:tr>
      <w:tr w:rsidR="00595FAD" w:rsidRPr="002A677E" w14:paraId="0361EF62" w14:textId="77777777" w:rsidTr="00FF15C6">
        <w:trPr>
          <w:trHeight w:val="416"/>
        </w:trPr>
        <w:tc>
          <w:tcPr>
            <w:tcW w:w="1384" w:type="dxa"/>
          </w:tcPr>
          <w:p w14:paraId="571AB129" w14:textId="77777777" w:rsidR="00595FAD" w:rsidRPr="002A677E" w:rsidRDefault="00595FAD" w:rsidP="00D768D3">
            <w:pPr>
              <w:pStyle w:val="Applicationdirecte"/>
              <w:spacing w:before="60" w:after="0"/>
            </w:pPr>
            <w:r>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Elkülönített</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Az 575/2013/EU rendelet 300. cikkének 1. pontja</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Az intézményeknek az 575/2013/EU rendelet 300. cikkének 1. pontjában meghatározott, fizetésképtelenségi eljárásba nem bevonható biztosíték értékét kell megadniuk alapletét vagy változó letét formájában megjelenő biztosítékok szerinti bontásban.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El nem különített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Az 575/2013/EU rendelet 300. cikkének 1. pontja</w:t>
            </w:r>
          </w:p>
          <w:p w14:paraId="47277071" w14:textId="025AD9FE" w:rsidR="00595FAD" w:rsidRPr="002A677E" w:rsidRDefault="00CF4C30" w:rsidP="00CF4C30">
            <w:pPr>
              <w:rPr>
                <w:rFonts w:ascii="Times New Roman" w:hAnsi="Times New Roman"/>
                <w:sz w:val="24"/>
              </w:rPr>
            </w:pPr>
            <w:r>
              <w:rPr>
                <w:rFonts w:ascii="Times New Roman" w:hAnsi="Times New Roman"/>
                <w:sz w:val="24"/>
              </w:rPr>
              <w:t>Az intézményeknek az 575/2013/EU rendelet 300. cikkének 1. pontjában meghatározott, fizetésképtelenségi eljárásba bevonható biztosíték értékét kell megadniuk alapletét vagy változó letét formájában megjelenő biztosítékok szerinti bontásban.</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Alapletét</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Az 575/2013/EU rendelet 4. cikke (1) bekezdésének 140. pontja</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lastRenderedPageBreak/>
              <w:t>Az intézményeknek az 575/2013/EU rendelet 4. cikke (1) bekezdésének 140. pontjában meghatározottak szerinti alapletétként kapott vagy nyújtott biztosíték valós értékét kell megadniuk.</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lastRenderedPageBreak/>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Változó letét</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Az intézményeknek a változó letétként kapott vagy nyújtott biztosíték valós értékét kell megadniuk.</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 értékpapír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Az intézményeknek az értékpapír-finanszírozási ügyletekben értékpapírként megjelenő biztosítékok (pl. az értékpapír-finanszírozási ügylet értékpapíroldalán kapott [0130-as oszlop] vagy adott [0180-as oszlop] értékpapírok) valós értékét kell megadniuk.</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Biztosítéktípus</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Különböző biztosítéktípusok szerinti bontás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6039979"/>
      <w:r>
        <w:rPr>
          <w:rFonts w:ascii="Times New Roman" w:hAnsi="Times New Roman"/>
          <w:sz w:val="24"/>
        </w:rPr>
        <w:t>C 34.09 – Hitelderivatíva-kitettségek</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6039980"/>
      <w:r>
        <w:rPr>
          <w:rFonts w:ascii="Times New Roman" w:hAnsi="Times New Roman"/>
          <w:sz w:val="24"/>
        </w:rPr>
        <w:t>A tábla egyes részeire vonatkozó útmutató</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Oszlop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HITELDERIVATÍVA-FEDEZET</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Vásárolt vagy eladott hitelderivatíva-fedezet</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NÉVLEGES ÖSSZEG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A származtatott ügyletek nettósítás előtti névleges összege, terméktípus szerinti bontásban</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VALÓS ÉRTÉK</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A valós értékek összege vásárolt és eladott fedezet szerinti bontásban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Terméktípus</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Hitelderivatíva-típusok szerinti bontás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Összesen</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terméktípusok összege</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Valós érték</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A valós értékek terméktípus szerinti bontásban, valamint eszközök (pozitív valós értékek) és kötelezettségek (negatív valós értékek) szerint.</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6039981"/>
      <w:r>
        <w:rPr>
          <w:rFonts w:ascii="Times New Roman" w:hAnsi="Times New Roman"/>
          <w:sz w:val="24"/>
        </w:rPr>
        <w:t>C 34.10 – Központi szerződő felekkel szembeni kitettségek</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6039982"/>
      <w:r>
        <w:rPr>
          <w:rFonts w:ascii="Times New Roman" w:hAnsi="Times New Roman"/>
          <w:sz w:val="24"/>
        </w:rPr>
        <w:t>Általános megjegyzések</w:t>
      </w:r>
      <w:bookmarkEnd w:id="500"/>
      <w:bookmarkEnd w:id="501"/>
    </w:p>
    <w:p w14:paraId="1E6FD5A9" w14:textId="04E0D433"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132</w:t>
      </w:r>
      <w:r>
        <w:rPr>
          <w:noProof/>
        </w:rPr>
        <w:fldChar w:fldCharType="end"/>
      </w:r>
      <w:r w:rsidR="00C3070C">
        <w:t xml:space="preserve">. Az intézményeknek a központi szerződő felekkel szembeni kitettségekre – azaz az 575/2013/EU rendelet 301. cikkének (1) bekezdésében felsorolt fennálló szerződésekre és folyamatban lévő ügyletekre –, valamint az említett rendelet 300. cikkének 2. pontja szerinti központi félhez kapcsolódó ügyletekből származó kitettségekre vonatkozó információkat kell jelenteniük, amelyek tekintetében a szavatolótőke-követelményt az említett rendelet harmadik része II. címe 6. fejezetének 9. szakasza szerint kell kiszámítani. </w:t>
      </w:r>
    </w:p>
    <w:p w14:paraId="43647881" w14:textId="3388A273"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6039983"/>
      <w:r>
        <w:rPr>
          <w:rFonts w:ascii="Times New Roman" w:hAnsi="Times New Roman"/>
          <w:sz w:val="24"/>
        </w:rPr>
        <w:t>A tábla egyes részeire vonatkozó útmutató</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Oszlop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14:paraId="008FB3E7" w14:textId="202F7661" w:rsidR="00595FAD" w:rsidRPr="002A677E" w:rsidRDefault="00595FAD" w:rsidP="00FF15C6">
            <w:pPr>
              <w:keepNext/>
              <w:spacing w:before="60"/>
              <w:rPr>
                <w:rFonts w:ascii="Times New Roman" w:hAnsi="Times New Roman"/>
                <w:sz w:val="24"/>
              </w:rPr>
            </w:pPr>
            <w:r>
              <w:rPr>
                <w:rFonts w:ascii="Times New Roman" w:hAnsi="Times New Roman"/>
                <w:sz w:val="24"/>
              </w:rPr>
              <w:t>Az 575/2013/EU rendelet harmadik része II. címe 6. fejezete 9. szakaszának hatálya alá tartozó ügyleteknek az említett fejezetben és különösen annak 9. szakaszában meghatározott vonatkozó módszerekkel számított kitettségértéke.</w:t>
            </w:r>
          </w:p>
          <w:p w14:paraId="23F54896" w14:textId="4F3D9F4B" w:rsidR="00595FAD" w:rsidRPr="002A677E" w:rsidRDefault="00595FAD" w:rsidP="00FF15C6">
            <w:pPr>
              <w:keepNext/>
              <w:spacing w:before="60"/>
              <w:rPr>
                <w:rFonts w:ascii="Times New Roman" w:hAnsi="Times New Roman"/>
                <w:sz w:val="24"/>
              </w:rPr>
            </w:pPr>
            <w:r>
              <w:rPr>
                <w:rFonts w:ascii="Times New Roman" w:hAnsi="Times New Roman"/>
                <w:sz w:val="24"/>
              </w:rPr>
              <w:t>A feltüntetett kitettségérték a szavatolótőke-követelménynek az 575/2013/EU rendelet harmadik része II. címe 6. fejezetének 9. szakasza szerinti kiszámítása szempontjából releváns összeg, figyelembe véve az említett rendelet 497. cikkében meghatározott követelményeket az említett cikkben meghatározott átmeneti időszakban.</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A kitettség lehet az 575/2013/EU rendelet 4. cikke (1) bekezdésének 91. pontjában meghatározott kereskedési kitettség.</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14:paraId="1C095850" w14:textId="79B48C71" w:rsidR="00595FAD" w:rsidRPr="002A677E" w:rsidRDefault="00595FAD" w:rsidP="00070518">
            <w:pPr>
              <w:keepNext/>
              <w:spacing w:before="60"/>
              <w:rPr>
                <w:rFonts w:ascii="Times New Roman" w:hAnsi="Times New Roman"/>
                <w:strike/>
                <w:sz w:val="24"/>
              </w:rPr>
            </w:pPr>
            <w:r>
              <w:rPr>
                <w:rFonts w:ascii="Times New Roman" w:hAnsi="Times New Roman"/>
                <w:sz w:val="24"/>
              </w:rPr>
              <w:t>Az 575/2013/EU rendelet harmadik része II. címe 6. fejezetének 9. szakaszával összhangban meghatározott kockázattal súlyozott kitettségértékek, figyelembe véve az említett rendelet 497. cikkében foglalt követelményeket az említett cikkben előírt átmeneti időszakban.</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lastRenderedPageBreak/>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Elfogadott központi szerződő fél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Az 575/2013/EU rendelet 4. cikke (1) bekezdésének 88. pontja szerinti elfogadott központi szerződő fél (QCCP).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Alapletét</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Lásd a C 34.08-as táblához tartozó útmutatót.</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E tábla alkalmazásában az alapletét nem tartalmazhatja a közös veszteségviselési megállapodások keretében a központi szerződő félnek nyújtott hozzájárulásokat (azaz azokban az esetekben, amikor a központi szerződő fél alapletétet alkalmaz a veszteségek klíringtagok közötti megosztására, azt garanciaalaphoz kapcsolódó kitettségként kell kezelni).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befizetett garanciaalapi hozzájárulások</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Az 575/2013/EU rendelet 308. és 309. cikke; az 575/2013/EU rendelet 4. cikke (1) bekezdésének 89. pontjában meghatározott garanciaalap; a központi szerződő fél garanciaalapjához való, az intézmény által befizetett hozzájárulás.</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 nem fizetett garanciaalapi hozzájárulások</w:t>
            </w:r>
          </w:p>
          <w:p w14:paraId="085CBB74" w14:textId="2E0C810A"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Az 575/2013/EU rendelet 309. és 310. cikke; az 575/2013/EU rendelet 4. cikke (1) bekezdésének 89. pontjában meghatározott garanciaalap</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Olyan hozzájárulások, amelyekre vonatkozóan valamely, klíringtagként eljáró intézmény szerződéses kötelezettséget vállalt, hogy azt a központi szerződő fél rendelkezésére bocsátja, miután az adott központi szerződő fél az egy vagy több klíringtagja nemteljesítését követően felmerült veszteségei fedezésére már kimerítette garanciaalapját.</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Elkülönített</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Lásd a C 34.08-as táblához tartozó útmutatót.</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 nem különített</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Lásd a C 34.08-as táblához tartozó útmutatót.</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6039984"/>
      <w:r>
        <w:rPr>
          <w:rFonts w:ascii="Times New Roman" w:hAnsi="Times New Roman"/>
          <w:sz w:val="24"/>
        </w:rPr>
        <w:t>C 34.11 – A partnerkockázathoz kapcsolódó, belső modell módszer szerint számított, kockázattal súlyozott kitettségérték (RWEA) változásának kimutatása</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6039985"/>
      <w:r>
        <w:rPr>
          <w:rFonts w:ascii="Times New Roman" w:hAnsi="Times New Roman"/>
          <w:sz w:val="24"/>
        </w:rPr>
        <w:t>Általános megjegyzések</w:t>
      </w:r>
      <w:bookmarkEnd w:id="506"/>
      <w:bookmarkEnd w:id="507"/>
    </w:p>
    <w:p w14:paraId="301F1925" w14:textId="6AF6AA9F"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133</w:t>
      </w:r>
      <w:r>
        <w:rPr>
          <w:noProof/>
        </w:rPr>
        <w:fldChar w:fldCharType="end"/>
      </w:r>
      <w:r w:rsidR="00C3070C">
        <w:t>. Azok az intézmények, amelyek a belső modell módszer alkalmazásával az 575/2013/EU rendelet harmadik része II. címének 6. fejezete szerint számítják ki partnerkockázati kitettségeik egészének vagy egy részének kockázattal súlyozott kitettségértékét, a megfelelő kockázati súlyok meghatározásához használt hitelkockázati módszertől függetlenül ebben a táblában jelentik a belső modell módszer alkalmazási körébe tartozó származtatott ügyletek és értékpapír-finanszírozási ügyletek kockázattal súlyozott kitettségértékeinek változásait a változásokat magyarázó, fő tényezők szerinti bontásban és észszerű becsléseket alkalmazva.</w:t>
      </w:r>
    </w:p>
    <w:p w14:paraId="34147E07" w14:textId="77777777" w:rsidR="00595FAD" w:rsidRPr="002A677E" w:rsidRDefault="00C54BE0"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sidRPr="002A677E">
        <w:rPr>
          <w:noProof/>
        </w:rPr>
        <w:t>134</w:t>
      </w:r>
      <w:r>
        <w:rPr>
          <w:noProof/>
        </w:rPr>
        <w:fldChar w:fldCharType="end"/>
      </w:r>
      <w:r w:rsidR="00C3070C">
        <w:t xml:space="preserve">. Azoknak az intézményeknek, amelyeknek ezt a táblát negyedéves gyakorisággal kell jelenteniük, csak a 0010-es oszlopot kell kitölteniük. Azoknak az intézményeknek, amelyeknek ezt a táblát évente kell jelenteniük, csak a 0020-as oszlopot kell kitölteniük. </w:t>
      </w:r>
    </w:p>
    <w:p w14:paraId="1133A75D" w14:textId="5BCCF994" w:rsidR="00595FAD"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135</w:t>
      </w:r>
      <w:r>
        <w:rPr>
          <w:noProof/>
        </w:rPr>
        <w:fldChar w:fldCharType="end"/>
      </w:r>
      <w:r w:rsidR="00C3070C">
        <w:t>. Ez a tábla nem tartalmazza a központi szerződő féllel szembeni kitettségek kockázattal súlyozott kitettségértékeit (az 575/2013/EU rendelet harmadik része II. címe 6. fejezetének 9. szakasza).</w:t>
      </w:r>
    </w:p>
    <w:p w14:paraId="05A865F1" w14:textId="052DAE67"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6039986"/>
      <w:r>
        <w:rPr>
          <w:rFonts w:ascii="Times New Roman" w:hAnsi="Times New Roman"/>
          <w:sz w:val="24"/>
        </w:rPr>
        <w:t>A tábla egyes részeire vonatkozó útmutató</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Oszlop</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Az 575/2013/EU rendelet 92. cikkének (3) és (4) bekezdésében meghatározott kockázattal súlyozott kitettségértékek azon pozíciók esetében, amelyek kockázati súlyát az említett rendelet harmadik része II. címének 2. és 3. fejezetében meghatározott követelmények alapján állapítják meg, és amelyek esetében az intézmény engedélyt kapott arra, hogy a kitettségek értékét belső modellen alapuló módszer alkalmazásával, az említett rendelet harmadik része II. címe 6. fejezetének 6. szakaszával összhangban számítsa ki.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Az 575/2013/EU rendelet 501. cikkében és 501a. cikkében említett kkv-szorzót és infrastruktúra-szorzót figyelembe kell venni.</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t>Sor</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az előző adatszolgáltatási időszak végén</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A belső modellen alapuló módszer hatálya alá tartozó partnerkockázati kitettségek kockázattal súlyozott kitettségértéke az előző adatszolgáltatási időszak végén.</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Eszközérték</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A kockázattal súlyozott kitettségérték változásai (pozitív vagy negatív) a könyv méretében és összetételében a szokásos üzleti tevékenység eredményeként bekövetkezett változások miatt (beleértve az új tevékenységek indítását és a lejáró kitettségeket), de nem számítva a gazdálkodó egységek akvizíciója és elidegenítése miatt a könyv méretében bekövetkezett változásokat.</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Partnerek hitelminősége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 kockázattal súlyozott kitettségérték azon változása (pozitív vagy negatív), amelynek oka az intézmény partnereinek minőségében bekövetkező változás, függetlenül attól, hogy milyen módszert használ az intézmény a partner minőségének a hitelkockázati keretrendszerben történő értékelésére. Amennyiben </w:t>
            </w:r>
            <w:r>
              <w:rPr>
                <w:rFonts w:ascii="Times New Roman" w:hAnsi="Times New Roman"/>
                <w:sz w:val="24"/>
              </w:rPr>
              <w:lastRenderedPageBreak/>
              <w:t>az intézmény IRB módszert alkalmaz, ez a sor tartalmazza a kockázattal súlyozott kitettségértéknek az IRB modellek miatti esetleges változásait is.</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Modellfrissítések (csak IMM)</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modell implementálásának, a modell alkalmazási körében bekövetkező változásnak vagy a modell hiányosságainak orvoslását célzó bármely változtatásnak tudható be.</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Ez a sor csak az IMM modellben bekövetkező változásokkal foglalkozik.</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Módszertan és politika (csak IMM)</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számításokban a szabályozási politika változásainak, például új rendeletek miatt bekövetkezett módszertani változásoknak tudható be (csak az IMM modellen belül).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Akvizíciók és elidegenítések</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gazdálkodó egységek akvizíciója és elidegenítése miatt a könyv méretében bekövetkezett változásoknak tudható be.</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Devizaárfolyam-mozgások</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A kockázattal súlyozott kitettségérték azon változása (pozitív vagy negatív), amely a devizaárfolyam-mozgásoknak tudható be.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Egyéb</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t xml:space="preserve">Ezt a kategóriát kell használni a kockázattal súlyozott kitettségérték azon (pozitív vagy negatív) változásainak kimutatására, amelyek nem rendelhetők hozzá a fenti kategóriák egyikéhez sem.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 folyó adatszolgáltatási időszak végén</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A belső modellen alapuló módszer hatálya alá tartozó partnerkockázati kitettségek kockázattal súlyozott kitettségértéke az aktuális adatszolgáltatási időszak végén.</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116039987"/>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t>4.</w:t>
      </w:r>
      <w:r>
        <w:rPr>
          <w:rFonts w:ascii="Times New Roman" w:hAnsi="Times New Roman"/>
          <w:sz w:val="24"/>
        </w:rPr>
        <w:tab/>
        <w:t>Működési kockázati táblacsoport</w:t>
      </w:r>
      <w:bookmarkEnd w:id="510"/>
      <w:bookmarkEnd w:id="511"/>
      <w:bookmarkEnd w:id="512"/>
      <w:bookmarkEnd w:id="513"/>
      <w:bookmarkEnd w:id="514"/>
      <w:bookmarkEnd w:id="515"/>
      <w:bookmarkEnd w:id="516"/>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6039988"/>
      <w:r>
        <w:rPr>
          <w:rFonts w:ascii="Times New Roman" w:hAnsi="Times New Roman"/>
          <w:sz w:val="24"/>
        </w:rPr>
        <w:t>4.1.</w:t>
      </w:r>
      <w:r>
        <w:rPr>
          <w:rFonts w:ascii="Times New Roman" w:hAnsi="Times New Roman"/>
          <w:sz w:val="24"/>
        </w:rPr>
        <w:tab/>
      </w:r>
      <w:r>
        <w:rPr>
          <w:rFonts w:ascii="Times New Roman" w:hAnsi="Times New Roman"/>
          <w:sz w:val="24"/>
        </w:rPr>
        <w:tab/>
        <w:t>C 16.00 – Működési kockázat (OPR)</w:t>
      </w:r>
      <w:bookmarkEnd w:id="517"/>
      <w:bookmarkEnd w:id="518"/>
      <w:bookmarkEnd w:id="519"/>
      <w:bookmarkEnd w:id="520"/>
      <w:bookmarkEnd w:id="521"/>
      <w:bookmarkEnd w:id="522"/>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6039989"/>
      <w:r>
        <w:rPr>
          <w:rFonts w:ascii="Times New Roman" w:hAnsi="Times New Roman"/>
          <w:sz w:val="24"/>
          <w:u w:val="none"/>
        </w:rPr>
        <w:t>4.1.1.</w:t>
      </w:r>
      <w:r>
        <w:rPr>
          <w:rFonts w:ascii="Times New Roman" w:hAnsi="Times New Roman"/>
          <w:sz w:val="24"/>
          <w:u w:val="none"/>
        </w:rPr>
        <w:tab/>
        <w:t>Általános megjegyzések</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136</w:t>
      </w:r>
      <w:r>
        <w:rPr>
          <w:noProof/>
        </w:rPr>
        <w:fldChar w:fldCharType="end"/>
      </w:r>
      <w:r w:rsidR="00C3070C">
        <w:t>.</w:t>
      </w:r>
      <w:r w:rsidR="00C3070C">
        <w:tab/>
        <w:t xml:space="preserve"> Ez a tábla a működési kockázat szavatolótőke-követelményének az 575/2013/EU rendelet 312–324. cikke szerinti, az alapmutató módszere (BIA), a sztenderd módszer (TSA), az alternatív sztenderd módszer (ASA), valamint a </w:t>
      </w:r>
      <w:r w:rsidR="00C3070C">
        <w:lastRenderedPageBreak/>
        <w:t>fejlett mérési módszerek (AMA) alkalmazásával történő kiszámításával kapcsolatos információkat nyújt. Egy intézmény egyedi alapon nem alkalmazhatja egyidejűleg a sztenderd módszert és az alternatív sztenderd módszert „lakossági banki tevékenység” és „kereskedelmi banki tevékenység” üzletágára.</w:t>
      </w:r>
    </w:p>
    <w:p w14:paraId="4904781C" w14:textId="77777777"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137</w:t>
      </w:r>
      <w:r>
        <w:rPr>
          <w:noProof/>
        </w:rPr>
        <w:fldChar w:fldCharType="end"/>
      </w:r>
      <w:r w:rsidR="00C3070C">
        <w:t xml:space="preserve">. Az alapmutató módszerét, a sztenderd módszert vagy alternatív sztenderd módszert alkalmazó intézmények a szavatolótőke-követelményt a pénzügyi év végén rendelkezésre álló információk alapján számítják ki. Ha nem állnak rendelkezésre auditált adatok, az intézmények használhatnak üzleti becsléseket. Ha auditált adatokat használnak, akkor az intézményeknek a várhatóan változatlan auditált adatokat kell feltüntetniük. A változtatás nélküli adatszolgáltatás elvétől az intézmények eltérhetnek például akkor, ha az adott időszakban rendkívüli körülmények merülnek fel, például szervezetekben vagy tevékenységekben részesedésszerzés, illetve -elidegenítés történik. </w:t>
      </w:r>
    </w:p>
    <w:p w14:paraId="4B809D6B" w14:textId="0F1CF0AC"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138</w:t>
      </w:r>
      <w:r>
        <w:rPr>
          <w:noProof/>
        </w:rPr>
        <w:fldChar w:fldCharType="end"/>
      </w:r>
      <w:r w:rsidR="00C3070C">
        <w:t>.</w:t>
      </w:r>
      <w:r w:rsidR="00C3070C">
        <w:tab/>
        <w:t xml:space="preserve"> Amennyiben az intézmény bizonyítani tudja az illetékes hatóság számára, hogy – rendkívüli körülmény, például egyesülés vagy bizonyos egységek vagy tevékenységek megszűnése miatt – a hároméves átlagnak az irányadó mutató kiszámítása céljára való felhasználása a működési kockázathoz kapcsolódó szavatolótőke-követelmény torz becslését eredményezné, az illetékes hatóság engedélyezheti az intézmény számára a számítás olyan módon történő módosítását, amely figyelembe veszi az említett eseményeket. Az illetékes hatóság saját kezdeményezésre is előírhatja az intézmény számára a számítás módosítását. Az az intézmény, amely három évnél rövidebb ideje működik, az irányadó mutató kiszámításához a jövőre vonatkozó üzleti becsléseket is felhasználhat, feltéve, hogy amint a tényleges múltbeli adatok legkorábban rendelkezésre állnak, attól az időponttól azokra támaszkodik.</w:t>
      </w:r>
    </w:p>
    <w:p w14:paraId="2023E425" w14:textId="77777777"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139</w:t>
      </w:r>
      <w:r>
        <w:rPr>
          <w:noProof/>
        </w:rPr>
        <w:fldChar w:fldCharType="end"/>
      </w:r>
      <w:r w:rsidR="00C3070C">
        <w:t>.</w:t>
      </w:r>
      <w:r w:rsidR="00C3070C">
        <w:tab/>
        <w:t xml:space="preserve"> A tábla oszlopai a legutóbbi három évre vonatkozóan mutatják be a működési kockázattal érintett banki tevékenységek irányadó mutatójának értékével, valamint a hitelek és előlegek összegével kapcsolatos információkat (az utóbbi csak az alternatív sztenderd módszer esetében alkalmazható). Ezután kell feltüntetni a működési kockázathoz kapcsolódó szavatolótőke-követelmény értékével kapcsolatos információkat. Adott esetben részletezni kell, hogy az összeg mely része származik allokációs eljárásból. A fejlett mérési módszerekkel kapcsolatban további tájékoztató adatok mutatják be a várható veszteségnek, a diverzifikációnak és a mérséklési technikáknak a működési kockázathoz kapcsolódó szavatolótőke-követelményre gyakorolt hatását.</w:t>
      </w:r>
    </w:p>
    <w:p w14:paraId="1BF423DA" w14:textId="77777777"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140</w:t>
      </w:r>
      <w:r>
        <w:rPr>
          <w:noProof/>
        </w:rPr>
        <w:fldChar w:fldCharType="end"/>
      </w:r>
      <w:r w:rsidR="00C3070C">
        <w:t>.</w:t>
      </w:r>
      <w:r w:rsidR="00C3070C">
        <w:tab/>
        <w:t xml:space="preserve"> Az egyes sorokban a működési kockázathoz kapcsolódó szavatolótőke-követelmény számítási módszerére vonatkozó információk találhatók, üzletáganként a sztenderd módszer és alternatív sztenderd módszer szerinti részletezésben.</w:t>
      </w:r>
    </w:p>
    <w:p w14:paraId="001035D2" w14:textId="77777777" w:rsidR="00AC625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141</w:t>
      </w:r>
      <w:r>
        <w:rPr>
          <w:noProof/>
        </w:rPr>
        <w:fldChar w:fldCharType="end"/>
      </w:r>
      <w:r w:rsidR="00C3070C">
        <w:t>.</w:t>
      </w:r>
      <w:r w:rsidR="00C3070C">
        <w:tab/>
        <w:t xml:space="preserve"> A táblát minden olyan intézménynek be kell nyújtania, amelyre a működési kockázathoz kapcsolódó szavatolótőke-követelmény vonatkozik.</w:t>
      </w:r>
    </w:p>
    <w:p w14:paraId="08ED61AE" w14:textId="20B4A064"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6039990"/>
      <w:r>
        <w:rPr>
          <w:rFonts w:ascii="Times New Roman" w:hAnsi="Times New Roman"/>
          <w:sz w:val="24"/>
          <w:u w:val="none"/>
        </w:rPr>
        <w:t>4.1.2.</w:t>
      </w:r>
      <w:r>
        <w:rPr>
          <w:rFonts w:ascii="Times New Roman" w:hAnsi="Times New Roman"/>
          <w:sz w:val="24"/>
          <w:u w:val="none"/>
        </w:rPr>
        <w:tab/>
      </w:r>
      <w:r>
        <w:rPr>
          <w:rFonts w:ascii="Times New Roman" w:hAnsi="Times New Roman"/>
          <w:sz w:val="24"/>
        </w:rPr>
        <w:t>A tábla egyes részeire vonatkozó útmutató</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Oszlop</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IRÁNYADÓ MUTATÓ</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működési kockázathoz kapcsolódó szavatolótőke-követelményt az irányadó mutató segítségével (az alapmutató módszerével, a sztenderd módszerrel vagy az alternatív sztenderd módszerrel) számító intézmények a megfelelő évekre vonatkozó irányadó mutatót a 0010–0030-as oszlopban tüntetik fel. Ezenkívül a különböző módszerek együttes, az 575/2013/EU rendelet 314. cikkében említett alkalmazása esetén az intézmények tájékoztató jelleggel megadják a fejlett mérési módszerek alkalmazási körébe tartozó tevékenységekre vonatkozó irányadó mutatót is. Ugyanígy kell eljárni a fejlett mérési módszereket alkalmazó egyéb bankokkal is.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 továbbiakban az irányadó mutató az 575/2013/EU rendelet 316. cikke 1. táblázatának 1. pontjában említett elemek pénzügyi év végén mért értékének az összege.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Ha az intézmény az irányadó mutatóról 3 évnél rövidebb időszakra vonatkozóan rendelkezik adatokkal, akkor a rendelkezésre álló historikus (auditált) adatokat kell a tábla megfelelő oszlopaiban szerepeltetni. Ha például korábbi adatok csak egy évről állnak rendelkezésre, akkor azokat a 0030-as oszlopban kell feltüntetni. Indokolt esetben a jövőre vonatkozó becsléseket a 0020-as oszlopban (a t+1 évre vonatkozó becslés), valamint a 0010-es oszlopban (a t+2 évre vonatkozó becslés) kell feltüntetni.</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Ha az irányadó mutatóra vonatkozóan korábbi adatok nem állnak rendelkezésre, akkor az intézmény a jövőre vonatkozó üzleti becslést is alkalmazhat.</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HITELEK ÉS ELŐLEGEK (AZ ALTERNATÍV SZTENDERD MÓDSZER ALKALMAZÁSA ESETÉN)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79C8B614"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Ezekben az oszlopokban az 575/2013/EU rendelet 319. cikke (1) bekezdésének b) pontjában említett „kereskedelmi banki tevékenység” és „lakossági banki tevékenység” üzletágban nyújtott hitelek és előlegek állományát kell feltüntetni. Ezen állományok alapján számítható ki az alternatív irányadó mutató, amelyből megállapítható az alternatív sztenderd módszer alkalmazási körébe tartozó tevékenységek szavatolótőke-követelménye (az 575/2013/EU rendelet 319. cikke (1) bekezdésének a) pontja).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 „kereskedelmi banki tevékenység” üzletág esetében a nem kereskedési könyvben szereplő értékpapírokat is meg kell adni.</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SZAVATOLÓTŐKE-KÖVETELMÉNY</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A szavatolótőke-követelményt az alkalmazott módszerekkel, az 575/2013/EU rendelet 312–324. cikkének megfelelően kell kiszámítani. Az eredményül kapott összeget a 0070-es oszlopban kell feltüntetni.</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TELJES MŰKÖDÉSI KOCKÁZATI KITETTSÉGÉRTÉK</w:t>
            </w:r>
          </w:p>
          <w:p w14:paraId="46354D72" w14:textId="6A57B78F" w:rsidR="00454CFC" w:rsidRPr="002A677E" w:rsidRDefault="00AC6255" w:rsidP="0002267E">
            <w:pPr>
              <w:rPr>
                <w:rFonts w:ascii="Times New Roman" w:hAnsi="Times New Roman"/>
                <w:sz w:val="24"/>
              </w:rPr>
            </w:pPr>
            <w:r>
              <w:rPr>
                <w:rFonts w:ascii="Times New Roman" w:hAnsi="Times New Roman"/>
                <w:sz w:val="24"/>
              </w:rPr>
              <w:t>Az 575/2013/EU rendelet</w:t>
            </w:r>
            <w:r>
              <w:t xml:space="preserve"> </w:t>
            </w:r>
            <w:r>
              <w:rPr>
                <w:rFonts w:ascii="Times New Roman" w:hAnsi="Times New Roman"/>
                <w:sz w:val="24"/>
              </w:rPr>
              <w:t>92. cikkének 4. pontja</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A 0070-es oszlopban megadott szavatolótőke-követelmény szorozva 12,5-del.</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EBBŐL: ALLOKÁCIÓS ELJÁRÁSBÓL SZÁRMAZÓ</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Ha az intézmény az 575/2013/EU rendelet 312. cikke (2) bekezdésének megfelelően engedélyt kapott a fejlett mérési módszer konszolidált szintű alkalmazására (az említett rendelet 18. cikkének (1) bekezdése), akkor a működési kockázati tőkének a csoporthoz tartozó különböző szervezetek közötti allokálása az intézmények által arra alkalmazott módszer alapján történik, amely alapján figyelembe veszik az EU-szintű hitelintézeti anyavállalat és leányvállalatai, vagy egy EU-szintű pénzügyi holdingtársaság anyavállalat vagy egy EU-szintű vegyes pénzügyi holdingtársaság anyavállalat leányvállalatai által együttesen használt kockázatmérési rendszerben a diverzifikációs hatásokat. Az említett allokáció eredményét ebben az oszlopban kell feltüntetni.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TÁJÉKOZTATÓ ADATOK A FEJLETT MÉRÉSI MÓDSZEREK ALKALMAZÁSÁRÓL, ADOTT ESETBEN SZOLGÁLTATANDÓ</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SZAVATOLÓTŐKE-KÖVETELMÉNY A VÁRHATÓ VESZTESÉG, A DIVERZIFIKÁCIÓ ÉS A KOCKÁZATMÉRSÉKLÉSI TECHNIKÁK MIATTI MÉRSÉKLÉS ELŐTT</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090-es oszlopban feltüntetett szavatolótőke-követelmény megegyezik a 070-es oszlopban szereplő adatnak a várható veszteség, a diverzifikáció és a kockázatmérséklési technikák miatti mérséklő hatás figyelembevétele előtt számított értékével (lásd lejjebb).</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SZAVATOLÓTŐKE-KÖVETELMÉNY MÉRSÉKLÉSE A BELSŐ ÜZLETVITELI GYAKORLATBAN FIGYELEMBE VETT VÁRHATÓ VESZTESÉG MIATT</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100-as oszlopban a szavatolótőke-követelménynek a belső üzletviteli gyakorlatban figyelembe vett várható veszteség miatti mérséklését kell megadni az 575/2013/EU rendelet 322 cikke (2) bekezdésének a) pontjában említetteknek megfelelően.</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SZAVATOLÓTŐKE-KÖVETELMÉNY MÉRSÉKLÉSE DIVERZIFIKÁCIÓ MIATT</w:t>
            </w:r>
          </w:p>
          <w:p w14:paraId="44264EC0" w14:textId="56A72B95" w:rsidR="00AC6255" w:rsidRPr="002A677E" w:rsidRDefault="00AC6255" w:rsidP="000B0B09">
            <w:pPr>
              <w:rPr>
                <w:rFonts w:ascii="Times New Roman" w:hAnsi="Times New Roman"/>
                <w:sz w:val="24"/>
              </w:rPr>
            </w:pPr>
            <w:r>
              <w:rPr>
                <w:rFonts w:ascii="Times New Roman" w:hAnsi="Times New Roman"/>
                <w:sz w:val="24"/>
              </w:rPr>
              <w:t>Az ezen oszlopban szereplő diverzifikációs hatás az egyes működésikockázat-osztályokra vonatkozóan külön számított szavatolótőke-követelmények összegének (tökéletes függőségi helyzet), valamint a függőségi és korrelációs hatások figyelembevételével számított diverzifikált szavatolótőke-követelménynek (a kockázati osztályok között feltételezett nem tökéletes függőségi helyzet) a különbsége. Tökéletes függőségi helyzet az alapesetben áll fenn, vagyis amikor az intézmény nem alkalmaz kifejezetten a kockázati osztályok közötti korrelációt mérő struktúrát, így a fejlett mérési módszerrel megállapított tőke a választott kockázati osztályok egyedi működési kockázati mérőszámainak az összegeként számítható ki. Ilyenkor a kockázati osztályok között 100 %-os korrelációt kell feltételezni,</w:t>
            </w:r>
            <w:r>
              <w:t xml:space="preserve"> </w:t>
            </w:r>
            <w:r>
              <w:rPr>
                <w:rFonts w:ascii="Times New Roman" w:hAnsi="Times New Roman"/>
                <w:sz w:val="24"/>
              </w:rPr>
              <w:t xml:space="preserve">és az oszlopban a nulla értéket kell megadni. Ezzel szemben akkor, ha az intézmény kifejezetten a kockázati osztályok közötti korrelációt mérő struktúrát alkalmaz, akkor ebben az oszlopban az alapesetből eredő, fejlett mérési módszerrel megállapított tőke és a kockázati osztályok közötti korrelációt mérő struktúra alkalmazása után kapott érték különbözetét kell feltüntetnie. Ez </w:t>
            </w:r>
            <w:r>
              <w:rPr>
                <w:rFonts w:ascii="Times New Roman" w:hAnsi="Times New Roman"/>
                <w:sz w:val="24"/>
              </w:rPr>
              <w:lastRenderedPageBreak/>
              <w:t>az érték a fejlett mérési módszerre épülő modell diverzifikációs kapacitását mutatja, vagyis a modell azon képességét, hogy a működési kockázatból eredő súlyos veszteséget okozó, nem egyidejű veszteségesemények előfordulását figyelembe vegye. A 110-es oszlopban azt az összeget kell feltüntetni, amellyel a feltételezett korrelációs struktúra a fejlett mérési módszerrel</w:t>
            </w:r>
            <w:r>
              <w:t xml:space="preserve"> </w:t>
            </w:r>
            <w:r>
              <w:rPr>
                <w:rFonts w:ascii="Times New Roman" w:hAnsi="Times New Roman"/>
                <w:sz w:val="24"/>
              </w:rPr>
              <w:t>megállapított tőkét csökkenti a 100 %-os feltételezéshez képest.</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 SZAVATOLÓTŐKE-KÖVETELMÉNY MÉRSÉKLÉSE KOCKÁZATMÉRSÉKLÉSI TECHNIKÁK (BIZTOSÍTÁS ÉS EGYÉB KOCKÁZATÁTRUHÁZÁSI MECHANIZMUSOK) MIATT</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Ebben az oszlopban az 575/2013/EU rendelet 323. cikkében említett biztosítás és más kockázatátruházási mechanizmusok hatását kell feltüntetni.</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C54BE0"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Sor</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AZ ALAPMUTATÓ-MÓDSZER (BIA) SZERINTI BANKI TEVÉKENYSÉGEK</w:t>
            </w:r>
          </w:p>
          <w:p w14:paraId="75BE6738" w14:textId="77777777" w:rsidR="00AC6255" w:rsidRPr="00C54BE0"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Ez a sor az alapmutató módszerének alkalmazási körébe tartozó banki tevékenységekre vonatkozó összegeket mutatja be a működési kockázathoz kapcsolódó szavatolótőke-követelmény kiszámítása céljából (az 575/2013/EU rendelet 315. és 316. cikke).</w:t>
            </w:r>
          </w:p>
          <w:p w14:paraId="7C5D1EC6" w14:textId="77777777" w:rsidR="00AC6255" w:rsidRPr="00C54BE0"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SZTENDERD (TSA)/ALTERNATÍV SZTENDERD MÓDSZER (ASA) SZERINTI BANKI TEVÉKENYSÉGEK</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sztenderd módszerrel és alternatív sztenderd módszerrel (az 575/2013/EU rendelet 317–319. cikke alapján) kiszámított szavatolótőke-követelményt kell feltüntetni.</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A SZTENDERD MÓDSZER SZERINT</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A sztenderd módszer alkalmazása esetén az adott évekre vonatkozó irányadó mutatót a 0030–0100-as sorban az 575/2013/EU rendelet 317. cikkében található 2. táblázatban említett üzletágak között kell felosztani. A tevékenységek üzletág szerinti besorolásakor az 575/2013/EU rendelet 318. cikkében foglalt elveket kell követni.</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AZ ALTERNATÍV SZTENDERD MÓDSZER SZERINT</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Az 575/2013/EU rendelet 319. cikke szerinti alternatív sztenderd módszert alkalmazó intézményeknek a vonatkozó évekre az irányadó mutatót üzletáganként elkülönítve kell megadniuk a 0030–0050-es és 0080–0100-as sorban, valamint a „kereskedelmi banki tevékenység” és „lakossági banki tevékenység” üzletágra vonatkozóan a 0110-es és 0120-as sorban.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lastRenderedPageBreak/>
              <w:t>A 110-es és 120-as sor az alternatív sztenderd módszer alkalmazási körébe</w:t>
            </w:r>
            <w:r>
              <w:rPr>
                <w:rFonts w:ascii="Times New Roman" w:hAnsi="Times New Roman"/>
                <w:sz w:val="24"/>
              </w:rPr>
              <w:t xml:space="preserve"> </w:t>
            </w:r>
            <w:r>
              <w:rPr>
                <w:rStyle w:val="InstructionsTabelleText"/>
                <w:rFonts w:ascii="Times New Roman" w:hAnsi="Times New Roman"/>
                <w:sz w:val="24"/>
              </w:rPr>
              <w:t>tartozó tevékenységekre vonatkozóan mutatja az irányadó mutató értékét, megkülönböztetve a „kereskedelmi banki tevékenység” üzletágba és a „lakossági banki tevékenység” üzletágba tartozó tevékenységeknek megfelelő összegeket</w:t>
            </w:r>
            <w:r>
              <w:rPr>
                <w:rFonts w:ascii="Times New Roman" w:hAnsi="Times New Roman"/>
                <w:sz w:val="24"/>
              </w:rPr>
              <w:t xml:space="preserve"> (az 575/2013/EU rendelet 319. cikke)</w:t>
            </w:r>
            <w:r>
              <w:rPr>
                <w:rStyle w:val="InstructionsTabelleText"/>
                <w:rFonts w:ascii="Times New Roman" w:hAnsi="Times New Roman"/>
                <w:sz w:val="24"/>
              </w:rPr>
              <w:t>. Egyszerre szerepelhet érték a „kereskedelmi banki tevékenység” és „lakossági banki tevékenység” üzletágaknak a sztenderd módszer szerinti 0060-as és 0070-es sorában és az alternatív sztenderd módszer szerinti 0110-es és 0120-as sorában, pl. ha egy leányvállalat a sztenderd módszer, míg anyavállalata az alternatív sztenderd módszer alkalmazási körébe tartozik.</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FEJLETT MÉRÉSI MÓDSZEREK (AMA) SZERINTI BANKI TEVÉKENYSÉGEK</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Ebben a sorban az 575/2013/EU rendelet 312. cikkének (2) bekezdése, valamint 321–323. cikke szerint a fejlett mérési módszerek alkalmazási körébe tartozó intézmények vonatkozó adatait kell megadni.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 különböző módszerek együttes (az 575/2013/EU rendelet 314. cikkében említett) alkalmazása esetén ebben a sorban kell megadni a fejlett mérési módszerek szerinti tevékenységek irányadó mutatójával kapcsolatos információkat. Ugyanígy kell eljárni a fejlett mérési módszereket alkalmazó egyéb bankokkal is.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C54BE0"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603999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Pr>
          <w:rFonts w:ascii="Times New Roman" w:hAnsi="Times New Roman"/>
          <w:sz w:val="24"/>
          <w:u w:val="none"/>
        </w:rPr>
        <w:tab/>
      </w:r>
      <w:r>
        <w:rPr>
          <w:rFonts w:ascii="Times New Roman" w:hAnsi="Times New Roman"/>
          <w:sz w:val="24"/>
        </w:rPr>
        <w:t>Működési kockázat: az előző évi veszteségekre vonatkozó részletes információk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6039992"/>
      <w:r>
        <w:rPr>
          <w:rFonts w:ascii="Times New Roman" w:hAnsi="Times New Roman"/>
          <w:sz w:val="24"/>
          <w:u w:val="none"/>
        </w:rPr>
        <w:t>4.2.1.</w:t>
      </w:r>
      <w:r>
        <w:rPr>
          <w:rFonts w:ascii="Times New Roman" w:hAnsi="Times New Roman"/>
          <w:sz w:val="24"/>
          <w:u w:val="none"/>
        </w:rPr>
        <w:tab/>
      </w:r>
      <w:r>
        <w:rPr>
          <w:rFonts w:ascii="Times New Roman" w:hAnsi="Times New Roman"/>
          <w:sz w:val="24"/>
        </w:rPr>
        <w:t>Általános megjegyzések</w:t>
      </w:r>
      <w:bookmarkEnd w:id="578"/>
      <w:bookmarkEnd w:id="579"/>
    </w:p>
    <w:p w14:paraId="2C97A2C8"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142</w:t>
      </w:r>
      <w:r>
        <w:rPr>
          <w:noProof/>
        </w:rPr>
        <w:fldChar w:fldCharType="end"/>
      </w:r>
      <w:r w:rsidR="00C3070C">
        <w:t>.</w:t>
      </w:r>
      <w:r w:rsidR="00C3070C">
        <w:tab/>
        <w:t xml:space="preserve"> A C 17.01-es (OPR DETAILS 1) tábla az intézmény által az előző évben elkönyvelt bruttó veszteséggel és megtérült veszteséggel kapcsolatos információkat összesíti eseménytípusonként és üzletáganként. A C 17.02-es (OPR DETAILS 2) tábla az előző évi legnagyobb veszteségeseményekről ad részletes információkat. </w:t>
      </w:r>
    </w:p>
    <w:p w14:paraId="504CA18E"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143</w:t>
      </w:r>
      <w:r>
        <w:rPr>
          <w:noProof/>
        </w:rPr>
        <w:fldChar w:fldCharType="end"/>
      </w:r>
      <w:r w:rsidR="00C3070C">
        <w:t>. A hitelkockázathoz kapcsolódó és a hitelkockázatra vonatkozó szavatolótőke-követelmény hatálya alá tartozó működési kockázati veszteségeket (határhelyzetű hitelvonatkozású működési kockázati események) sem a C 17.01-es sem a C 17.02-es táblában nem kell figyelembe venni.</w:t>
      </w:r>
    </w:p>
    <w:p w14:paraId="26DEA8B1" w14:textId="7E7524B0"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144</w:t>
      </w:r>
      <w:r>
        <w:rPr>
          <w:noProof/>
        </w:rPr>
        <w:fldChar w:fldCharType="end"/>
      </w:r>
      <w:r w:rsidR="00C3070C">
        <w:t>. Amennyiben az 575/2013/EU rendelet 314. cikkének megfelelően a működési kockázat szavatolótőke-követelményének kiszámítása különböző módszerek együttes alkalmazásával történik, az intézmény által regisztrált veszteségeket és a megtérült veszteségeket jelenteni kell a C 17.01-es és C 17.02-es táblában, tekintet nélkül a szavatolótőke-követelmény kiszámításához használt módszerre.</w:t>
      </w:r>
    </w:p>
    <w:p w14:paraId="46FA5B8D" w14:textId="23FE25B6"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145</w:t>
      </w:r>
      <w:r>
        <w:rPr>
          <w:noProof/>
        </w:rPr>
        <w:fldChar w:fldCharType="end"/>
      </w:r>
      <w:r w:rsidR="00C3070C">
        <w:t xml:space="preserve">. A „bruttó veszteség” az 575/2013/EU rendelet 322. cikke (3) bekezdésének b) pontjában említetteknek megfelelően a működési kockázati eseményből vagy </w:t>
      </w:r>
      <w:r w:rsidR="00C3070C">
        <w:lastRenderedPageBreak/>
        <w:t xml:space="preserve">veszteségesemény-típusból adódó, az esetleges megtérült veszteség előtti veszteség, az alább definiált „gyorsan megtérült veszteségesemények” sérelme nélkül. </w:t>
      </w:r>
    </w:p>
    <w:p w14:paraId="0D97147B"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146</w:t>
      </w:r>
      <w:r>
        <w:rPr>
          <w:noProof/>
        </w:rPr>
        <w:fldChar w:fldCharType="end"/>
      </w:r>
      <w:r w:rsidR="00C3070C">
        <w:t>. A „megtérült veszteség” az eredeti működési kockázati veszteséggel összefüggő, attól időben elkülönülő, független esemény, amelynek során az intézményhez első vagy harmadik felektől – például biztosítóktól vagy más felektől – pénz vagy gazdasági előny folyik be. A megtérült veszteségeket biztosításból és más kockázatátruházási mechanizmusokból származó megtérült veszteségekre és közvetlenül megtérült veszteségekre kell bontani.</w:t>
      </w:r>
    </w:p>
    <w:p w14:paraId="77F96781"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147</w:t>
      </w:r>
      <w:r>
        <w:rPr>
          <w:noProof/>
        </w:rPr>
        <w:fldChar w:fldCharType="end"/>
      </w:r>
      <w:r w:rsidR="00C3070C">
        <w:t>.</w:t>
      </w:r>
      <w:r w:rsidR="00C3070C">
        <w:tab/>
        <w:t xml:space="preserve"> A „gyorsan megtérült veszteségesemény” olyan működési kockázati esemény, amelynek veszteségei részben vagy egészben öt munkanapon belül megtérülnek. Gyorsan megtérült veszteségesemény esetében a bruttó veszteségnek csak a maradéktalanul meg nem térült veszteségrész (a gyorsan megtérült veszteségrész levonásával képzett veszteség) képezi részét. Következésképpen sem a bruttó veszteség meghatározása, sem az OPR DETAILS adatszolgáltatás egyéb elemei nem tartalmazzák az öt munkanapon belül teljes mértékben megtérült veszteségekhez vezető veszteségeseményeket.</w:t>
      </w:r>
    </w:p>
    <w:p w14:paraId="3604C23D"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148</w:t>
      </w:r>
      <w:r>
        <w:rPr>
          <w:noProof/>
        </w:rPr>
        <w:fldChar w:fldCharType="end"/>
      </w:r>
      <w:r w:rsidR="00C3070C">
        <w:t>.</w:t>
      </w:r>
      <w:r w:rsidR="00C3070C">
        <w:tab/>
        <w:t xml:space="preserve"> Az „elszámolás napja” az a nap, amikor a veszteség vagy tartalék/céltartalék először került megjelenítésre az eredménykimutatásban a működési kockázati veszteséggel szemben. Logikus módon, ez a nap későbbi, mint az „esemény napja” (az a nap, amikor a működési kockázati esemény bekövetkezett vagy kezdetét vette) és a „felismerés napja” (az a nap, amikor a működési kockázati esemény az intézmény tudomására jutott). </w:t>
      </w:r>
    </w:p>
    <w:p w14:paraId="6F9C7A18"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149</w:t>
      </w:r>
      <w:r>
        <w:rPr>
          <w:noProof/>
        </w:rPr>
        <w:fldChar w:fldCharType="end"/>
      </w:r>
      <w:r w:rsidR="00C3070C">
        <w:t>.</w:t>
      </w:r>
      <w:r w:rsidR="00C3070C">
        <w:tab/>
        <w:t xml:space="preserve"> A közös működési kockázati esemény vagy eseményeket/veszteségeket generáló egyetlen eredeti működési kockázati eseményhez („alapesemény”) kapcsolódó több esemény által okozott veszteségeket össze kell vonni. Az összevont eseményeket egy eseményként kell figyelembe venni és jelenteni, így a vonatkozó bruttó veszteségeket, illetve a veszteségkorrekciókat összegezni kell.</w:t>
      </w:r>
    </w:p>
    <w:p w14:paraId="6104E60D"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150</w:t>
      </w:r>
      <w:r>
        <w:rPr>
          <w:noProof/>
        </w:rPr>
        <w:fldChar w:fldCharType="end"/>
      </w:r>
      <w:r w:rsidR="00C3070C">
        <w:t>.</w:t>
      </w:r>
      <w:r w:rsidR="00C3070C">
        <w:tab/>
        <w:t xml:space="preserve"> Az adott év júniusában jelentett adatok köztes adatok; a végleges adatokat decemberben jelentik az intézmények. Így a júniusban jelentett adatok hat hónapos referencia-időszakra vonatkoznak (január 1-től június 30-ig), míg a decemberben jelentett adatok tizenkét hónapos referencia-időszakra vonatkoznak (január 1-től december 31-ig). A „korábbi adatszolgáltatási referencia-időszakok” kifejezés mind a júniusban, mind a decemberben jelentett adatok esetében a megelőző naptári év végéig lezárult összes adatszolgáltatási referencia-időszakot jelöli (beleértve tehát azt is, amely a megelőző naptári év végén zárul).</w:t>
      </w:r>
    </w:p>
    <w:p w14:paraId="13FA59F7" w14:textId="77777777" w:rsidR="00FD54FC" w:rsidRPr="002A677E" w:rsidRDefault="00FD54FC" w:rsidP="00487A02">
      <w:pPr>
        <w:pStyle w:val="InstructionsText2"/>
        <w:numPr>
          <w:ilvl w:val="0"/>
          <w:numId w:val="0"/>
        </w:numPr>
        <w:ind w:left="1353" w:hanging="360"/>
      </w:pPr>
    </w:p>
    <w:p w14:paraId="065A1906" w14:textId="2C5654A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6039993"/>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Működési kockázat: az előző évi veszteségek és megtérült veszteségek üzletáganként és veszteségesemény-típusonként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6039994"/>
      <w:r>
        <w:rPr>
          <w:rFonts w:ascii="Times New Roman" w:hAnsi="Times New Roman"/>
          <w:sz w:val="24"/>
          <w:u w:val="none"/>
        </w:rPr>
        <w:t>4.2.2.1.</w:t>
      </w:r>
      <w:r>
        <w:rPr>
          <w:rFonts w:ascii="Times New Roman" w:hAnsi="Times New Roman"/>
          <w:sz w:val="24"/>
          <w:u w:val="none"/>
        </w:rPr>
        <w:tab/>
      </w:r>
      <w:r>
        <w:rPr>
          <w:rFonts w:ascii="Times New Roman" w:hAnsi="Times New Roman"/>
          <w:sz w:val="24"/>
        </w:rPr>
        <w:t>Általános megjegyzések</w:t>
      </w:r>
      <w:bookmarkEnd w:id="582"/>
      <w:bookmarkEnd w:id="583"/>
    </w:p>
    <w:p w14:paraId="1B1EFECB" w14:textId="67F9881D"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151</w:t>
      </w:r>
      <w:r>
        <w:rPr>
          <w:noProof/>
        </w:rPr>
        <w:fldChar w:fldCharType="end"/>
      </w:r>
      <w:r w:rsidR="00C3070C">
        <w:t xml:space="preserve">. A C 17.01-es táblában az információkat a belső küszöbértékeket meghaladó veszteségek és megtérült veszteségek üzletágak (az 575/2013/EU rendelet 317. cikkében található 2. táblázatban meghatározott üzletágak, valamint az </w:t>
      </w:r>
      <w:r w:rsidR="00C3070C">
        <w:lastRenderedPageBreak/>
        <w:t>575/2013/EU rendelet 322. cikke (3) bekezdésének b) pontjában említett „társasági szintű tételek” üzletág) és (az 575/2013/EU rendelet 324. cikkében meghatározott) veszteségesemény-típusok közötti felosztásával kell bemutatni. Lehetséges, hogy egy adott eseményhez tartozó veszteségek több üzletág között kerülnek felosztásra.</w:t>
      </w:r>
    </w:p>
    <w:p w14:paraId="0F217350"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152</w:t>
      </w:r>
      <w:r>
        <w:rPr>
          <w:noProof/>
        </w:rPr>
        <w:fldChar w:fldCharType="end"/>
      </w:r>
      <w:r w:rsidR="00C3070C">
        <w:t>. Az oszlopok a különböző veszteségesemény-típusokat és az egyes üzletágakra vonatkozó összértéket jelenítik meg egy tájékoztató adattal együtt, amely a veszteségekre vonatkozó adatgyűjtés során alkalmazott legalacsonyabb belső küszöbértéket mutatja, amelyből egynél több küszöbérték esetén az egyes üzletágakon belül megállapítható a legalacsonyabb és legmagasabb küszöbérték.</w:t>
      </w:r>
    </w:p>
    <w:p w14:paraId="11517512"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153</w:t>
      </w:r>
      <w:r>
        <w:rPr>
          <w:noProof/>
        </w:rPr>
        <w:fldChar w:fldCharType="end"/>
      </w:r>
      <w:r w:rsidR="00C3070C">
        <w:t>.</w:t>
      </w:r>
      <w:r w:rsidR="00C3070C">
        <w:tab/>
        <w:t xml:space="preserve"> A sorok az üzletágakat jelenítik meg, valamint az egyes üzletágakon belül a veszteségesemények számára (új veszteségesemények), a bruttó veszteségértékre (új veszteségesemények), a veszteségkorrekcióval érintett veszteségesemények számára, a korábbi adatszolgáltatási időszakokhoz kapcsolódó veszteségkorrekciókra, a legnagyobb egyedi veszteségre, az öt legnagyobb veszteség összegére és a teljes megtérült veszteségre (közvetlen megtérült veszteség és biztosításból és más kockázatátruházási mechanizmusokból származó megtérülés) vonatkozó információkat tartalmaznak.</w:t>
      </w:r>
    </w:p>
    <w:p w14:paraId="7D04DF12"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154</w:t>
      </w:r>
      <w:r>
        <w:rPr>
          <w:noProof/>
        </w:rPr>
        <w:fldChar w:fldCharType="end"/>
      </w:r>
      <w:r w:rsidR="00C3070C">
        <w:t>. Az „üzletágak összesen” sorokban a veszteségesemények számát és a bruttó veszteségértéket megadott küszöbértékek (10 000, 20 000, 100 000 és 1 000 000) szerint rendezett tartományokba sorolva kell megadni. A küszöbértékek EUR-ban vannak megadva, és céljuk a megadott veszteségértékek intézmények közötti összehasonlíthatóságának biztosítása. Az említett küszöbértékek ezért nem szükségképpen felelnek meg a veszteségadatok belső gyűjtésekor használt, a tábla más szakaszában megadott alsó küszöbértékeknek.</w:t>
      </w:r>
    </w:p>
    <w:p w14:paraId="3EEEA3D5" w14:textId="642466A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6039995"/>
      <w:r>
        <w:rPr>
          <w:rFonts w:ascii="Times New Roman" w:hAnsi="Times New Roman"/>
          <w:sz w:val="24"/>
          <w:u w:val="none"/>
        </w:rPr>
        <w:t>4.2.2.2.</w:t>
      </w:r>
      <w:r>
        <w:rPr>
          <w:rFonts w:ascii="Times New Roman" w:hAnsi="Times New Roman"/>
          <w:sz w:val="24"/>
          <w:u w:val="none"/>
        </w:rPr>
        <w:tab/>
      </w:r>
      <w:r>
        <w:rPr>
          <w:rFonts w:ascii="Times New Roman" w:hAnsi="Times New Roman"/>
          <w:sz w:val="24"/>
        </w:rPr>
        <w:t>A tábla egyes részeire vonatkozó útmutató</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Oszlop</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ESEMÉNYTÍPUSOK</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Az intézmények a veszteségeket a 0010–0070-es oszlopban az 575/2013/EU rendelet 324. cikkében említett veszteségesemény-típusoknak megfelelően tüntetik fel.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A szavatolótőke-követelményt az alapmutató módszere szerint számító intézmények a felsorolt veszteségesemény-típusokba nem sorolható veszteségeket csak a 080-as oszlopban adhatják meg.</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VESZTESÉGESEMÉNY-TÍPUSOK ÖSSZESEN</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 0080-as oszlopban az egyes üzletágakra vonatkozóan az intézmények a veszteségesemények száma (új veszteségesemények) sor összesített értékét, a bruttó veszteségérték (új veszteségesemények) sor összesített értékét, a veszteségkorrekcióval érintett veszteségesemények száma sor összesített értékét, a korábbi adatszolgáltatási időszakokhoz kapcsolódó veszteségkorrekciók sor összesített értékét, a legnagyobb egyedi veszteséget, az öt legnagyobb veszteség összegét, valamint a teljes közvetlen megtérült veszteség sor összesített értékét és a biztosításból és más </w:t>
            </w:r>
            <w:r>
              <w:rPr>
                <w:rStyle w:val="InstructionsTabelleText"/>
                <w:rFonts w:ascii="Times New Roman" w:hAnsi="Times New Roman"/>
                <w:sz w:val="24"/>
              </w:rPr>
              <w:lastRenderedPageBreak/>
              <w:t>kockázatátruházási mechanizmusokból származó teljes megtérülés sor összesített értékét jelentik.</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080-as oszlopban a 0010–0070-es oszlopban megadott eseményszámok, teljes bruttó veszteségértékek, teljes megtérült veszteségek és korábbi adatszolgáltatási időszakokhoz kapcsolódó veszteségkorrekciók egyszerű összegét tüntetik fel.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0080-as oszlopban feltüntetendő legnagyobb egyedi veszteség a 0010–0070-es oszlopokban feltüntetett legnagyobb egyedi veszteségek közül a legnagyobb.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Az öt legnagyobb veszteség összegénél a 0080-as oszlopban az egy üzletágon belüli öt legnagyobb veszteség összegét kell megadni.</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TÁJÉKOZTATÓ ADAT: AZ ADATGYŰJTÉS SORÁN ALKALMAZOTT KÜSZÖBÉRTÉK</w:t>
            </w:r>
          </w:p>
          <w:p w14:paraId="6C9949A4" w14:textId="31824E3F"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 0090-es és 0100-as oszlopban az intézmények azokat az alsó küszöbértékeket tüntetik fel, amelyeket az 575/2013/EU rendelet 322. cikke (3) bekezdése c) pontjának utolsó mondata</w:t>
            </w:r>
            <w:r>
              <w:rPr>
                <w:rFonts w:ascii="Times New Roman" w:hAnsi="Times New Roman"/>
                <w:sz w:val="24"/>
              </w:rPr>
              <w:t xml:space="preserve"> alapján a veszteségadatok belső gyűjtésekor alkalmaznak</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Ha az intézmény az egyes üzletágakon belül csak egy küszöbértéket alkalmaz, akkor csak a 0090-es oszlopot kell kitölteni.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Ha az intézmény azonos üzletágon belül több különböző küszöbértéket alkalmaz, akkor a legmagasabb alkalmazott küszöbértéket is meg kell adni (0100-as oszlop).</w:t>
            </w:r>
          </w:p>
        </w:tc>
      </w:tr>
    </w:tbl>
    <w:p w14:paraId="7D438528" w14:textId="77777777" w:rsidR="00FD54FC" w:rsidRPr="00C54BE0"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Sor</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VÁLLALATI PÉNZÜGYEK, KERESKEDÉS ÉS ÉRTÉKESÍTÉS, LAKOSSÁGI KÖZVETÍTŐI TEVÉKENYSÉG, KERESKEDELMI BANKI TEVÉKENYSÉG, LAKOSSÁGI BANKI TEVÉKENYSÉG, FIZETÉSI ÉS KIEGYENLÍTÉSI SZOLGÁLTATÁSOK, ÜGYNÖKI SZOLGÁLTATÁSOK, VAGYONKEZELÉS, TÁRSASÁGI SZINTŰ TÉTELEK</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Az 575/2013/EU rendelet 317. cikke (4) bekezdésének 2. táblázatában említett üzletágakra, ideértve a 322. cikk (3) bekezdésének b) pontjában említett „társasági szintű tételek” üzletágat, valamint az egyes veszteségesemény-típusokra vonatkozóan az intézmény a belső küszöbértékeknek megfelelően a következő információkat tünteti fel: a veszteségesemények száma (új veszteségesemények), a bruttó veszteségérték (új veszteségesemények), a veszteségkorrekcióval érintett veszteségesemények száma, a korábbi adatszolgáltatási időszakokhoz kapcsolódó veszteségkorrekciók, a legnagyobb egyedi veszteség, az öt legnagyobb veszteség összege, teljes közvetlen megtérült veszteség és a biztosításból és más kockázatátruházási mechanizmusokból származó teljes megtérülés).</w:t>
            </w:r>
          </w:p>
          <w:p w14:paraId="598C709E" w14:textId="77777777" w:rsidR="00FD54FC" w:rsidRPr="002A677E" w:rsidRDefault="00FD54FC" w:rsidP="00FD54FC">
            <w:pPr>
              <w:rPr>
                <w:rFonts w:ascii="Times New Roman" w:hAnsi="Times New Roman"/>
                <w:sz w:val="24"/>
              </w:rPr>
            </w:pPr>
            <w:r>
              <w:rPr>
                <w:rFonts w:ascii="Times New Roman" w:hAnsi="Times New Roman"/>
                <w:sz w:val="24"/>
              </w:rPr>
              <w:t>Az olyan veszteséget okozó eseménynél, amely több üzletágat érint, a bruttó veszteségértéket fel kell osztani az összes érintett üzletág között.</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lastRenderedPageBreak/>
              <w:t>A szavatolótőke-követelményt az alapmutató módszere szerint számító intézmények az üzletághoz nem sorolt veszteségeket csak a 0910-0980-as oszlopban vehetik figyelembe.</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 (új veszteségesemények)</w:t>
            </w:r>
          </w:p>
          <w:p w14:paraId="0A87F437" w14:textId="77777777" w:rsidR="00FD54FC" w:rsidRPr="002A677E" w:rsidRDefault="00FD54FC" w:rsidP="00FD54FC">
            <w:pPr>
              <w:rPr>
                <w:rFonts w:ascii="Times New Roman" w:hAnsi="Times New Roman"/>
                <w:sz w:val="24"/>
              </w:rPr>
            </w:pPr>
            <w:r>
              <w:rPr>
                <w:rFonts w:ascii="Times New Roman" w:hAnsi="Times New Roman"/>
                <w:sz w:val="24"/>
              </w:rPr>
              <w:t>A „veszteségesemények száma” azon veszteségesemények száma, amelyek vonatkozásában az aktuális adatszolgáltatási vonatkozási időszakban bruttó veszteség elszámolására került sor.</w:t>
            </w:r>
          </w:p>
          <w:p w14:paraId="1CB08978" w14:textId="77777777" w:rsidR="00FD54FC" w:rsidRPr="002A677E" w:rsidRDefault="00FD54FC" w:rsidP="00FD54FC">
            <w:pPr>
              <w:rPr>
                <w:rFonts w:ascii="Times New Roman" w:hAnsi="Times New Roman"/>
                <w:sz w:val="24"/>
              </w:rPr>
            </w:pPr>
            <w:r>
              <w:rPr>
                <w:rFonts w:ascii="Times New Roman" w:hAnsi="Times New Roman"/>
                <w:sz w:val="24"/>
              </w:rPr>
              <w:t>Az itt megadott veszteségesemények „új események”, azaz olyan működési kockázati események, amelyeket</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először az adatszolgáltatási vonatkozási időszakban számoltak el, vagy</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először egy korábbi adatszolgáltatási vonatkozási időszakban számoltak el, amikor a veszteségeseményről korábbi felügyeleti jelentésben nem számolt be az intézmény, például azért, mert az eseményt csak a jelenlegi adatszolgáltatási vonatkozási időszakban minősítették működési kockázati eseménynek, vagy mert az adott veszteségeseménynek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Az „új veszteségesemények” nem tartalmazzák az először egy korábbi adatszolgáltatási vonatkozási időszakban elszámolt azon veszteségeseményeket, amelyekről korábbi felügyeleti jelentésekben már jelentett az intézmény.</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14:paraId="2E85E133" w14:textId="76506552" w:rsidR="00FD54FC" w:rsidRPr="002A677E" w:rsidRDefault="00FD54FC" w:rsidP="00FD54FC">
            <w:pPr>
              <w:rPr>
                <w:rFonts w:ascii="Times New Roman" w:hAnsi="Times New Roman"/>
                <w:sz w:val="24"/>
              </w:rPr>
            </w:pPr>
            <w:r>
              <w:rPr>
                <w:rFonts w:ascii="Times New Roman" w:hAnsi="Times New Roman"/>
                <w:sz w:val="24"/>
              </w:rPr>
              <w:t>A bruttó veszteségérték a működési kockázati veszteségeseményekkel összefüggő bruttó veszteség értéke (pl. közvetlen díjfizetések, céltartalékok, elszámolások). Az egy adott veszteségeseményhez kapcsolódó minden, az adatszolgáltatási vonatkozási időszakban elszámolt veszteséget össze kell adni, és ez képezi az adott adatszolgáltatási vonatkozási időszakban az adott veszteségeseményhez tartozó bruttó veszteséget.</w:t>
            </w:r>
          </w:p>
          <w:p w14:paraId="611D2B8E" w14:textId="77777777" w:rsidR="00FD54FC" w:rsidRPr="002A677E" w:rsidRDefault="00FD54FC" w:rsidP="00FD54FC">
            <w:pPr>
              <w:rPr>
                <w:rFonts w:ascii="Times New Roman" w:hAnsi="Times New Roman"/>
                <w:sz w:val="24"/>
              </w:rPr>
            </w:pPr>
            <w:r>
              <w:rPr>
                <w:rFonts w:ascii="Times New Roman" w:hAnsi="Times New Roman"/>
                <w:sz w:val="24"/>
              </w:rPr>
              <w:t>A feltüntetett bruttó veszteségérték az e táblázat fenti sorában meghatározott „új veszteségeseményekre” vonatkozik. Az először egy korábbi adatszolgáltatási vonatkozási időszakban elszámolt azon veszteségesemények esetében, amelyekről korábbi felügyeleti jelentésekben még nem jelentett az intézmény, az adatszolgáltatási vonatkozási időpontban bruttó veszteségként az adatszolgáltatási vonatkozási időpontig felhalmozott teljes veszteségértéket kell feltüntetni (azaz az eredeti veszteséget +/– a korábbi adatszolgáltatási vonatkozási időszakokban eszközölt veszteségkorrekciók eredőjét).</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A jelentett értékben nem vehető figyelembe a már megtérült veszteség.</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0030, 0130, 0230, 0330, 0430, 0530, 0630, </w:t>
            </w:r>
            <w:r>
              <w:rPr>
                <w:rFonts w:ascii="Times New Roman" w:hAnsi="Times New Roman"/>
                <w:sz w:val="24"/>
              </w:rPr>
              <w:lastRenderedPageBreak/>
              <w:t>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Veszteségkorrekcióval érintett veszteségesemények száma</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A veszteségkorrekcióval érintett veszteségesemények száma az először egy korábbi adatszolgáltatási vonatkozási időszakban elszámolt és korábbi jelentésekben már jelentett azon működési kockázati események száma, amelyek tekintetében az aktuális adatszolgáltatási vonatkozási időszakban veszteségkorrekciót eszközöltek. </w:t>
            </w:r>
          </w:p>
          <w:p w14:paraId="35A5D3D6" w14:textId="77777777" w:rsidR="00FD54FC" w:rsidRPr="002A677E" w:rsidRDefault="001F6487" w:rsidP="005F1EB8">
            <w:pPr>
              <w:rPr>
                <w:b/>
                <w:sz w:val="24"/>
              </w:rPr>
            </w:pPr>
            <w:r>
              <w:rPr>
                <w:rFonts w:ascii="Times New Roman" w:hAnsi="Times New Roman"/>
                <w:sz w:val="24"/>
              </w:rPr>
              <w:lastRenderedPageBreak/>
              <w:t>Amennyiben az adatszolgáltatási vonatkozási időszakban egy veszteségeseményre vonatkozóan több veszteségkorrekció történt, ezek összegét egy korrekciónak kell tekinteni az időszakban.</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14:paraId="13788219" w14:textId="77777777" w:rsidR="00FD54FC" w:rsidRPr="002A677E" w:rsidRDefault="00FD54FC" w:rsidP="00FD54FC">
            <w:pPr>
              <w:rPr>
                <w:rFonts w:ascii="Times New Roman" w:hAnsi="Times New Roman"/>
                <w:sz w:val="24"/>
              </w:rPr>
            </w:pPr>
            <w:r>
              <w:rPr>
                <w:rFonts w:ascii="Times New Roman" w:hAnsi="Times New Roman"/>
                <w:sz w:val="24"/>
              </w:rPr>
              <w:t>A korábbi adatszolgáltatási vonatkozási időszakokhoz kapcsolódó veszteségkorrekciókat a következő (pozitív vagy negatív) elemek összegeként kell kiszámolni:</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azon működési kockázati események aktuális adatszolgáltatási vonatkozási időszakban végrehajtott pozitív veszteségkorrekcióival (pl. céltartalék-emelés, kapcsolódó veszteségesemények, kiegészítő elszámolások) összefüggő bruttó veszteség, amelyeket korábbi adatszolgáltatási vonatkozási időszakban számolt el és jelentett először az intézmény;</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azon működési kockázati veszteségesemények aktuális adatszolgáltatási vonatkozási időszakban végrehajtott negatív veszteségkorrekcióival (pl. céltartalék-csökkentés) összefüggő bruttó veszteség, amelyeket korábbi adatszolgáltatási vonatkozási időszakban számolt el és jelentett először az intézmény. </w:t>
            </w:r>
          </w:p>
          <w:p w14:paraId="6796D1A0" w14:textId="77777777" w:rsidR="00FD54FC" w:rsidRPr="002A677E" w:rsidRDefault="001F6487" w:rsidP="00FD54FC">
            <w:pPr>
              <w:rPr>
                <w:rFonts w:ascii="Times New Roman" w:hAnsi="Times New Roman"/>
                <w:sz w:val="24"/>
              </w:rPr>
            </w:pPr>
            <w:r>
              <w:rPr>
                <w:rFonts w:ascii="Times New Roman" w:hAnsi="Times New Roman"/>
                <w:sz w:val="24"/>
              </w:rPr>
              <w:t>Amennyiben az adatszolgáltatási vonatkozási időszakban egy veszteségeseményre vonatkozóan több veszteségkorrekció történt, ezek értékét összegezni kell, figyelembe véve a korrekció előjelét (pozitív vagy negatív). Az adott veszteségesemény és adatszolgáltatási vonatkozási időszak tekintetében ez az összeg tekintendő a veszteségkorrekciónak.</w:t>
            </w:r>
          </w:p>
          <w:p w14:paraId="1FF4DC2A" w14:textId="77777777" w:rsidR="00FD54FC" w:rsidRPr="002A677E" w:rsidRDefault="001F6487" w:rsidP="00FD54FC">
            <w:pPr>
              <w:rPr>
                <w:rFonts w:ascii="Times New Roman" w:hAnsi="Times New Roman"/>
                <w:sz w:val="24"/>
              </w:rPr>
            </w:pPr>
            <w:r>
              <w:rPr>
                <w:rFonts w:ascii="Times New Roman" w:hAnsi="Times New Roman"/>
                <w:sz w:val="24"/>
              </w:rPr>
              <w:t>Amennyiben negatív veszteségkorrekció miatt a veszteségeseménynek tulajdonítható kiigazított veszteségérték az intézmény belső adatgyűjtési küszöbértéke alá csökken, az intézménynek nem magát a negatív veszteségkorrekciót kell jelentenie, hanem negatív előjellel a veszteségeseményhez kapcsolódó, az esemény legutóbbi decemberi referencia-időponttal történő jelentéséig felhalmozott teljes veszteségértéket (az eredeti veszteség +/– a korábbi adatszolgáltatási vonatkozási időszakokban eszközölt veszteségkorrekciók eredője).</w:t>
            </w:r>
          </w:p>
          <w:p w14:paraId="0FAF0676" w14:textId="77777777" w:rsidR="00FD54FC" w:rsidRPr="002A677E" w:rsidRDefault="00FD54FC" w:rsidP="00EB62C2">
            <w:pPr>
              <w:rPr>
                <w:b/>
                <w:sz w:val="24"/>
              </w:rPr>
            </w:pPr>
            <w:r>
              <w:rPr>
                <w:rFonts w:ascii="Times New Roman" w:hAnsi="Times New Roman"/>
                <w:sz w:val="24"/>
              </w:rPr>
              <w:t>A jelentett értékben nem vehető figyelembe a már megtérült veszteség.</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14:paraId="388ADCDC" w14:textId="77777777" w:rsidR="00FD54FC" w:rsidRPr="002A677E" w:rsidRDefault="00FD54FC" w:rsidP="00FD54FC">
            <w:pPr>
              <w:rPr>
                <w:rFonts w:ascii="Times New Roman" w:hAnsi="Times New Roman"/>
                <w:sz w:val="24"/>
              </w:rPr>
            </w:pPr>
            <w:r>
              <w:rPr>
                <w:rFonts w:ascii="Times New Roman" w:hAnsi="Times New Roman"/>
                <w:sz w:val="24"/>
              </w:rPr>
              <w:t>A legnagyobb egyedi veszteség</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az adatszolgáltatási vonatkozási időszakban először jelentett valamely veszteségeseményhez kapcsolódó legnagyobb bruttó veszteségérték; és</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egy korábbi adatszolgáltatási vonatkozási időszakban először jelentett valamely veszteségeseményhez kapcsolódó (a fenti 0040-es, 0140-es, …, 0840-es sorokban említett) legnagyobb pozitív veszteségkorrekció.</w:t>
            </w:r>
          </w:p>
          <w:p w14:paraId="1AFA00C9" w14:textId="77777777" w:rsidR="00FD54FC" w:rsidRPr="002A677E" w:rsidRDefault="00FD54FC" w:rsidP="00F52FC6">
            <w:pPr>
              <w:rPr>
                <w:sz w:val="24"/>
              </w:rPr>
            </w:pPr>
            <w:r>
              <w:rPr>
                <w:rFonts w:ascii="Times New Roman" w:hAnsi="Times New Roman"/>
                <w:sz w:val="24"/>
              </w:rPr>
              <w:t>A jelentett értékben nem vehető figyelembe a már megtérült veszteség.</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0060, 0160, 0260, 0360, 0460, 0560, 0660, </w:t>
            </w:r>
            <w:r>
              <w:rPr>
                <w:rFonts w:ascii="Times New Roman" w:hAnsi="Times New Roman"/>
                <w:sz w:val="24"/>
              </w:rPr>
              <w:lastRenderedPageBreak/>
              <w:t>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Az öt legnagyobb veszteség összege</w:t>
            </w:r>
          </w:p>
          <w:p w14:paraId="3D9655C2" w14:textId="77777777" w:rsidR="00FD54FC" w:rsidRPr="002A677E" w:rsidRDefault="00FD54FC" w:rsidP="00FD54FC">
            <w:pPr>
              <w:rPr>
                <w:rFonts w:ascii="Times New Roman" w:hAnsi="Times New Roman"/>
                <w:sz w:val="24"/>
              </w:rPr>
            </w:pPr>
            <w:r>
              <w:rPr>
                <w:rFonts w:ascii="Times New Roman" w:hAnsi="Times New Roman"/>
                <w:sz w:val="24"/>
              </w:rPr>
              <w:t>Az öt legnagyobb veszteség összege az alábbiak közüli öt legmagasabb érték összege:</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az adatszolgáltatási vonatkozási időszakban első alkalommal bejelentett veszteségeseményekhez kapcsolódó legnagyobb bruttó veszteségértékek; valamint</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rPr>
                <w:rFonts w:ascii="Times New Roman" w:hAnsi="Times New Roman"/>
                <w:sz w:val="24"/>
              </w:rPr>
              <w:tab/>
              <w:t>egy korábbi adatszolgáltatási vonatkozási időszakban először jelentett veszteségeseményekhez kapcsolódó (a fenti 0040-es, 0140-es, …, 0840-es sorokban meghatározott) pozitív veszteségkorrekciók. Az öt legmagasabb összeg között csak maga a veszteségkorrekció összege vehető számításba, nem pedig az adott eseményhez kapcsolódó, a korrekció előtti vagy utáni teljes veszteségérték.</w:t>
            </w:r>
          </w:p>
          <w:p w14:paraId="00CACAFA" w14:textId="77777777" w:rsidR="00FD54FC" w:rsidRPr="002A677E" w:rsidRDefault="00FD54FC" w:rsidP="00F52FC6">
            <w:pPr>
              <w:rPr>
                <w:sz w:val="24"/>
              </w:rPr>
            </w:pPr>
            <w:r>
              <w:rPr>
                <w:rFonts w:ascii="Times New Roman" w:hAnsi="Times New Roman"/>
                <w:sz w:val="24"/>
              </w:rPr>
              <w:t>A jelentett értékben nem vehető figyelembe a már megtérült veszteség.</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Teljes közvetlen megtérült veszteség</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A közvetlen megtérült veszteség valamennyi megtérült veszteség az 575/2013/EU rendelet 323. cikkének hatálya alá tartozó, az e tábla alábbi sorában jelentett megtérülések kivételével. </w:t>
            </w:r>
          </w:p>
          <w:p w14:paraId="05060BFF" w14:textId="77777777" w:rsidR="00FD54FC" w:rsidRPr="002A677E" w:rsidRDefault="00FD54FC" w:rsidP="00FD54FC">
            <w:pPr>
              <w:rPr>
                <w:b/>
                <w:sz w:val="24"/>
              </w:rPr>
            </w:pPr>
            <w:r>
              <w:rPr>
                <w:rFonts w:ascii="Times New Roman" w:hAnsi="Times New Roman"/>
                <w:sz w:val="24"/>
              </w:rPr>
              <w:t>A teljes közvetlen megtérült veszteség az aktuális vagy a korábbi adatszolgáltatási vonatkozási időszakban először elszámolt működési kockázati eseményekkel összefüggő, az aktuális adatszolgáltatási időszakban elszámolt közvetlen megtérült veszteségek és ezek korrekcióinak összege.</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Biztosításból és más kockázatátruházási mechanizmusokból származó teljes megtérülés</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Az 575/2013/EU rendelet 323. cikkének hatálya alá tartozó megtérülések tartoznak ide. </w:t>
            </w:r>
          </w:p>
          <w:p w14:paraId="6F9286F3" w14:textId="77777777" w:rsidR="00FD54FC" w:rsidRPr="002A677E" w:rsidRDefault="00FD54FC" w:rsidP="00070AF9">
            <w:pPr>
              <w:rPr>
                <w:sz w:val="24"/>
              </w:rPr>
            </w:pPr>
            <w:r>
              <w:rPr>
                <w:rFonts w:ascii="Times New Roman" w:hAnsi="Times New Roman"/>
                <w:sz w:val="24"/>
              </w:rPr>
              <w:t>A biztosításból és más kockázatátruházási mechanizmusokból származó teljes megtérülés az aktuális vagy a korábbi adatszolgáltatási vonatkozási időszakban először elszámolt működési kockázati veszteségeseményekkel összefüggő, az aktuális adatszolgáltatási időszakban elszámolt, biztosításból és más kockázatátruházási mechanizmusokból származó megtérülések és ezek korrekcióinak összege.</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ÖSSZESEN</w:t>
            </w:r>
          </w:p>
          <w:p w14:paraId="62DF7EDA" w14:textId="77777777" w:rsidR="00FD54FC" w:rsidRPr="002A677E" w:rsidRDefault="00FD54FC" w:rsidP="00F114E6">
            <w:pPr>
              <w:rPr>
                <w:rFonts w:ascii="Times New Roman" w:hAnsi="Times New Roman"/>
                <w:sz w:val="24"/>
              </w:rPr>
            </w:pPr>
            <w:r>
              <w:rPr>
                <w:rFonts w:ascii="Times New Roman" w:hAnsi="Times New Roman"/>
                <w:sz w:val="24"/>
              </w:rPr>
              <w:t>Az üzletágak összesen sorokon az összesítő információkat kell feltüntetni az egyes veszteségesemény-típusok (0010–0080. oszlop) szerint.</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w:t>
            </w:r>
          </w:p>
          <w:p w14:paraId="34FAAF76" w14:textId="77777777" w:rsidR="00FD54FC" w:rsidRPr="002A677E" w:rsidRDefault="00FD54FC" w:rsidP="00FD54FC">
            <w:pPr>
              <w:rPr>
                <w:rFonts w:ascii="Times New Roman" w:hAnsi="Times New Roman"/>
                <w:sz w:val="24"/>
              </w:rPr>
            </w:pPr>
            <w:r>
              <w:rPr>
                <w:rFonts w:ascii="Times New Roman" w:hAnsi="Times New Roman"/>
                <w:sz w:val="24"/>
              </w:rPr>
              <w:t>A 0910-es sorban kell feltüntetni a belső küszöbértéket meghaladó veszteségesemények számát veszteségesemény-típusonként az összes üzletágra összesítve. Lehetséges, hogy ez az érték alacsonyabb az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14:paraId="1029FFB0" w14:textId="77777777" w:rsidR="00FD54FC" w:rsidRPr="002A677E" w:rsidRDefault="00FD54FC" w:rsidP="00FD54FC">
            <w:pPr>
              <w:rPr>
                <w:rFonts w:ascii="Times New Roman" w:hAnsi="Times New Roman"/>
                <w:sz w:val="24"/>
              </w:rPr>
            </w:pPr>
            <w:r>
              <w:rPr>
                <w:rFonts w:ascii="Times New Roman" w:hAnsi="Times New Roman"/>
                <w:sz w:val="24"/>
              </w:rPr>
              <w:t>A 0911–0914-es sorban azon veszteségesemények száma jelentendő, amelyek bruttó veszteségértéke a tábla vonatkozó sorában megadott tartományba esik.</w:t>
            </w:r>
          </w:p>
          <w:p w14:paraId="3642B0CB" w14:textId="54226F23" w:rsidR="00FD54FC" w:rsidRPr="002A677E" w:rsidRDefault="00FD54FC" w:rsidP="00FD54FC">
            <w:pPr>
              <w:rPr>
                <w:rFonts w:ascii="Times New Roman" w:hAnsi="Times New Roman"/>
                <w:sz w:val="24"/>
              </w:rPr>
            </w:pPr>
            <w:r>
              <w:rPr>
                <w:rFonts w:ascii="Times New Roman" w:hAnsi="Times New Roman"/>
                <w:sz w:val="24"/>
              </w:rPr>
              <w:t xml:space="preserve">Feltéve, hogy az intézmény valamennyi veszteségét hozzárendelte az 575/2013/EU rendelet 317. cikke (4) bekezdésében szereplő 2. táblázatban felsorolt üzletágak valamelyikéhez vagy az említett rendelet 322. cikke (3) bekezdésének b) pontjában említett „társasági szintű tételek” üzletághoz, illetve hogy </w:t>
            </w:r>
            <w:r>
              <w:rPr>
                <w:rFonts w:ascii="Times New Roman" w:hAnsi="Times New Roman"/>
                <w:sz w:val="24"/>
              </w:rPr>
              <w:lastRenderedPageBreak/>
              <w:t>minden veszteség esetében azonosította a veszteségesemény-típust, a 0080-as oszlopra a következők vonatkoznak, értelemszerűen:</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A 0910–0914-es sorban jelentett teljes veszteségesemény-szám megegyezik a megfelelő sorban szereplő veszteségesemény-számok vízszintes összegével, mivel ezen adatok között a több üzletágat érintő veszteségeseményeket már egy veszteségeseményként számították be.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A 0910-es sor 0080-as oszlopban feltüntetett adata nem feltétlenül egyezik meg a 0080-as oszlopban szereplő veszteségesemény-számok függőleges összegével, mivel egy veszteségesemény egyszerre több üzletágat is érinthet.</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Feltéve, hogy az intézmény valamennyi veszteségét hozzárendelte az 575/2013/EU rendelet 317. cikke (4) bekezdésében szereplő 2. táblázatban felsorolt üzletágak valamelyikéhez vagy az említett rendelet 322. cikke (3) bekezdésének b) pontjában említett „társasági szintű tételek” üzletághoz, a 0920-as sorban jelentett bruttó veszteségérték (új veszteségesemények) az új veszteségesemények egyes üzletágak szerinti bruttó veszteségértékeinek összege.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 0921–0924-es sorban azon veszteségesemények bruttó veszteségértéke jelentendő, amelyek bruttó veszteségértéke a vonatkozó sorban megadott tartományba esik.</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Veszteségkorrekcióval érintett veszteségesemények száma</w:t>
            </w:r>
          </w:p>
          <w:p w14:paraId="7C0FBBBE" w14:textId="77777777" w:rsidR="00FD54FC" w:rsidRPr="002A677E" w:rsidRDefault="00FD54FC" w:rsidP="00FD54FC">
            <w:pPr>
              <w:rPr>
                <w:rFonts w:ascii="Times New Roman" w:hAnsi="Times New Roman"/>
                <w:sz w:val="24"/>
              </w:rPr>
            </w:pPr>
            <w:r>
              <w:rPr>
                <w:rFonts w:ascii="Times New Roman" w:hAnsi="Times New Roman"/>
                <w:sz w:val="24"/>
              </w:rPr>
              <w:t>A 0930-as sorban a 0030, 0130, …, 0830-as sorokban megadott, veszteségkorrekcióval érintett veszteségesemények teljes száma jelentendő. Lehetséges, hogy ez az érték alacsonyabb a veszteségkorrekcióval érintett,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 veszteségkorrekcióval érintett veszteségesemények számát le kell bontani az adatszolgáltatási vonatkozási időszakban pozitív veszteségkorrekcióval érintett veszteségesemények száma és az adatszolgáltatási időszakban negatív veszteségkorrekcióval érintett események száma szerint (mindkettőt pozitív előjellel kell feltüntetni).</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14:paraId="3A4A4FF4" w14:textId="6F65D40B" w:rsidR="00FD54FC" w:rsidRPr="002A677E" w:rsidRDefault="00FD54FC" w:rsidP="00FD54FC">
            <w:pPr>
              <w:rPr>
                <w:rFonts w:ascii="Times New Roman" w:hAnsi="Times New Roman"/>
                <w:sz w:val="24"/>
              </w:rPr>
            </w:pPr>
            <w:r>
              <w:rPr>
                <w:rFonts w:ascii="Times New Roman" w:hAnsi="Times New Roman"/>
                <w:sz w:val="24"/>
              </w:rPr>
              <w:t>A 0940-es sorban az üzletáganként a 0040, 0140, …, 0840-es sorokban megadott, korábbi adatszolgáltatási időszakokhoz kapcsolódó veszteségkorrekciók teljes összege jelentendő. Feltéve, hogy az intézmény valamennyi veszteségét hozzárendelte az 575/2013/EU rendelet 317. cikke (4) bekezdésében szereplő 2. táblázatban felsorolt üzletágak valamelyikéhez vagy az említett rendelet 322. cikke (3) bekezdésének b) pontjában említett „társasági szintű tételek” üzletághoz, a 0940-es sorban jelentett összeg a korábbi adatszolgáltatási időszakokhoz kapcsolódó veszteségkorrekciók egyes üzletágak szerinti értékeinek összege.</w:t>
            </w:r>
          </w:p>
          <w:p w14:paraId="4FEA0713" w14:textId="77777777" w:rsidR="00FD54FC" w:rsidRPr="002A677E" w:rsidRDefault="00FD54FC" w:rsidP="00EB6FC2">
            <w:pPr>
              <w:rPr>
                <w:rFonts w:ascii="Times New Roman" w:hAnsi="Times New Roman"/>
                <w:sz w:val="24"/>
              </w:rPr>
            </w:pPr>
            <w:r>
              <w:rPr>
                <w:rFonts w:ascii="Times New Roman" w:hAnsi="Times New Roman"/>
                <w:sz w:val="24"/>
              </w:rPr>
              <w:lastRenderedPageBreak/>
              <w:t>A veszteségkorrekciók összegét le kell bontani az adatszolgáltatási vonatkozási időszakban pozitív veszteségkorrekcióval érintett eseményekhez kapcsolódó összeg (0945-ös sor, pozitív előjellel) és az adatszolgáltatási időszakban negatív veszteségkorrekcióval érintett veszteségeseményekhez kapcsolódó összeg szerint (0946-os sor, negatív előjellel). Amennyiben negatív veszteségkorrekció miatt a veszteségeseménynek tulajdonítható kiigazított veszteségérték az intézmény belső adatgyűjtési küszöbértéke alá csökken, az intézménynek nem magát a negatív veszteségkorrekciót kell jelentenie, hanem a 0946-os sorban negatív előjellel az eseményhez kapcsolódó, az esemény legutóbbi decemberi referencia-időponttal történő jelentéséig felhalmozott teljes veszteségértéket (az eredeti veszteség +/– a korábbi adatszolgáltatási vonatkozási időszakokban eszközölt veszteségkorrekciók eredője).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14:paraId="475751C9" w14:textId="3084A6C1" w:rsidR="00FD54FC" w:rsidRPr="002A677E" w:rsidRDefault="00FD54FC" w:rsidP="00FD54FC">
            <w:pPr>
              <w:rPr>
                <w:rFonts w:ascii="Times New Roman" w:hAnsi="Times New Roman"/>
                <w:sz w:val="24"/>
              </w:rPr>
            </w:pPr>
            <w:r>
              <w:rPr>
                <w:rFonts w:ascii="Times New Roman" w:hAnsi="Times New Roman"/>
                <w:sz w:val="24"/>
              </w:rPr>
              <w:t>Feltéve, hogy az intézmény valamennyi veszteségét hozzárendelte az 575/2013/EU rendelet 317. cikke (4) bekezdésében szereplő 2. táblázatban felsorolt üzletágak valamelyikéhez vagy az említett rendelet 322. cikke (3) bekezdésének b) pontjában említett „társasági szintű tételek” üzletághoz, a legnagyobb egyedi veszteség a belső küszöbértéket meghaladó legnagyobb veszteség az egyes veszteségesemény-típusokon belül, minden üzletágra vonatkozóan. Abban az esetben, ha egy veszteségesemény több üzletágat is érint, ez az adat magasabb lehet, mint az egyes üzletágaknál rögzített legmagasabb egyedi veszteség értéke.</w:t>
            </w:r>
          </w:p>
          <w:p w14:paraId="7BE96ED9" w14:textId="6BFDFE39" w:rsidR="00FD54FC" w:rsidRPr="002A677E" w:rsidRDefault="00FD54FC" w:rsidP="00FD54FC">
            <w:pPr>
              <w:rPr>
                <w:rFonts w:ascii="Times New Roman" w:hAnsi="Times New Roman"/>
                <w:sz w:val="24"/>
              </w:rPr>
            </w:pPr>
            <w:r>
              <w:rPr>
                <w:rFonts w:ascii="Times New Roman" w:hAnsi="Times New Roman"/>
                <w:sz w:val="24"/>
              </w:rPr>
              <w:t>Feltéve, hogy az intézmény valamennyi veszteségét hozzárendelte vagy az 575/2013/EU rendelet 317. cikke (4) bekezdésében szereplő 2. táblázatban felsorolt üzletágak valamelyikéhez vagy az említett rendelet 322. cikke (3) bekezdésének b) pontjában említett „társasági szintű tételek” üzletághoz, illetve hogy minden veszteség esetében azonosította a veszteségesemény-típust, a 0080-as oszlopra a következők vonatkoznak:</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Az itt jelentett legnagyobb egyedi veszteség az e sor 0010–0070-es oszlopában jelentett értékek közül a legnagyobb.</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Amennyiben vannak olyan veszteségesemények, amelyek több üzletágra is hatnak, a {r0950, c0080} cellában jelentett összeg magasabb lehet, mint a 0080-as oszlop más soraiban jelentett üzletágankénti legnagyobb egyedi veszteség.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Az egyes üzletágakon belüli öt legnagyobb bruttó veszteség összegét kell megadni az egyes veszteségesemény-típusokra és minden üzletágra vonatkozóan. Lehetséges, hogy ez az összeg magasabb, mint az egyes üzletágaknál rögzített öt legnagyobb egyedi veszteség összege. Az összeget a veszteségek számától függetlenül meg kell adni.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Feltéve, hogy az intézmény valamennyi veszteségét hozzárendelte az 575/2013/EU rendelet 317. cikke (4) bekezdésében szereplő 2. táblázatban felsorolt üzletágak valamelyikéhez vagy az 575/2013/EU rendelet 322. cikke (3) bekezdésének b) pontjában említett „társasági szintű tételek” üzletághoz, illetve hogy minden veszteség esetében azonosította a veszteségesemény-típust, a 0080-as oszlopra vonatkozóan az öt legnagyobb veszteség összege a teljes mátrixban </w:t>
            </w:r>
            <w:r>
              <w:rPr>
                <w:rFonts w:ascii="Times New Roman" w:hAnsi="Times New Roman"/>
                <w:sz w:val="24"/>
              </w:rPr>
              <w:lastRenderedPageBreak/>
              <w:t>szereplő öt legnagyobb veszteség összege, ami azt jelenti, hogy ez nem szükségképpen egyenlő sem a 0960-as „Az öt legnagyobb veszteség összege” sor maximális értékével, sem a 0080-as oszlopban feltüntetett „Az öt legnagyobb veszteség összege” maximális értékével.</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Teljes közvetlen megtérült veszteség</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Feltéve, hogy az intézmény valamennyi veszteségét hozzárendelte az 575/2013/EU rendelet 317. cikke (4) bekezdésében szereplő 2. táblázatban felsorolt üzletágak valamelyikéhez vagy az 575/2013/EU rendelet 322. cikke (3) bekezdésének b) pontjában említett „társasági szintű tételek” üzletághoz, a teljes közvetlen megtérült veszteség az üzletáganként megadott teljes közvetlen megtérült veszteségek összege.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Biztosításból és más kockázatátruházási mechanizmusokból származó teljes megtérülés</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Feltéve, hogy az intézmény valamennyi veszteségét hozzárendelte az 575/2013/EU rendelet 317. cikke (4) bekezdésében szereplő 2. táblázatban felsorolt üzletágak valamelyikéhez vagy az említett rendelet 322. cikke (3) bekezdésének b) pontjában említett „társasági szintű tételek” üzletághoz, a biztosításból és más kockázatátruházási mechanizmusokból származó teljes megtérülés az üzletáganként megadott biztosításból és más kockázat-átruházási mechanizmusokból származó teljes megtérült veszteségek összege.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6039996"/>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Működési kockázat: az utolsó évi nagy veszteségeseményekre vonatkozó részletes információk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6039997"/>
      <w:r>
        <w:rPr>
          <w:rFonts w:ascii="Times New Roman" w:hAnsi="Times New Roman"/>
          <w:sz w:val="24"/>
          <w:u w:val="none"/>
        </w:rPr>
        <w:t>4.2.3.1.</w:t>
      </w:r>
      <w:r>
        <w:rPr>
          <w:rFonts w:ascii="Times New Roman" w:hAnsi="Times New Roman"/>
          <w:sz w:val="24"/>
          <w:u w:val="none"/>
        </w:rPr>
        <w:tab/>
      </w:r>
      <w:r>
        <w:rPr>
          <w:rFonts w:ascii="Times New Roman" w:hAnsi="Times New Roman"/>
          <w:sz w:val="24"/>
        </w:rPr>
        <w:t>Általános megjegyzések</w:t>
      </w:r>
      <w:bookmarkEnd w:id="588"/>
      <w:bookmarkEnd w:id="589"/>
    </w:p>
    <w:p w14:paraId="06D9B602"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155</w:t>
      </w:r>
      <w:r>
        <w:rPr>
          <w:noProof/>
        </w:rPr>
        <w:fldChar w:fldCharType="end"/>
      </w:r>
      <w:r w:rsidR="00C3070C">
        <w:t>. A C 17.02-es táblában egyedi veszteségeseményekre vonatkozó információkat kell közölni (soronként egy veszteségesemény).</w:t>
      </w:r>
    </w:p>
    <w:p w14:paraId="6928228C" w14:textId="77777777" w:rsidR="00FD54F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156</w:t>
      </w:r>
      <w:r>
        <w:rPr>
          <w:noProof/>
        </w:rPr>
        <w:fldChar w:fldCharType="end"/>
      </w:r>
      <w:r w:rsidR="00C3070C">
        <w:t>.</w:t>
      </w:r>
      <w:r w:rsidR="00C3070C">
        <w:tab/>
        <w:t xml:space="preserve"> Az ebben a táblában megadott információk „új veszteségeseményekre”, azaz olyan működési kockázati eseményekre vonatkoznak, amelyeket</w:t>
      </w:r>
    </w:p>
    <w:p w14:paraId="43C23B10" w14:textId="77777777" w:rsidR="00FD54FC" w:rsidRPr="002A677E" w:rsidRDefault="00125707" w:rsidP="00487A02">
      <w:pPr>
        <w:pStyle w:val="InstructionsText2"/>
        <w:numPr>
          <w:ilvl w:val="0"/>
          <w:numId w:val="0"/>
        </w:numPr>
        <w:ind w:left="1353" w:hanging="360"/>
      </w:pPr>
      <w:r>
        <w:t>a)</w:t>
      </w:r>
      <w:r>
        <w:tab/>
        <w:t>először az adatszolgáltatási vonatkozási időszakban számoltak el, vagy</w:t>
      </w:r>
    </w:p>
    <w:p w14:paraId="0D60A55D" w14:textId="77777777" w:rsidR="00FD54FC" w:rsidRPr="002A677E" w:rsidRDefault="00125707" w:rsidP="00487A02">
      <w:pPr>
        <w:pStyle w:val="InstructionsText2"/>
        <w:numPr>
          <w:ilvl w:val="0"/>
          <w:numId w:val="0"/>
        </w:numPr>
        <w:ind w:left="1353" w:hanging="360"/>
      </w:pPr>
      <w:r>
        <w:t>b)</w:t>
      </w:r>
      <w:r>
        <w:tab/>
        <w:t>először egy korábbi adatszolgáltatási vonatkozási időszakban számoltak el, amikor a veszteségeseményről korábbi felügyeleti jelentésben nem számolt be az intézmény, például azért, mert a veszteségeseményt csak a jelenlegi adatszolgáltatási vonatkozási időszakban minősítették működési kockázati eseménynek, vagy mert az adott 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14:paraId="4FB49E60" w14:textId="2BE99FE5" w:rsidR="00F41508"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157</w:t>
      </w:r>
      <w:r>
        <w:rPr>
          <w:noProof/>
        </w:rPr>
        <w:fldChar w:fldCharType="end"/>
      </w:r>
      <w:r w:rsidR="00C3070C">
        <w:t>. Csak a legalább 100 000 EUR bruttó veszteségértéket magukban foglaló veszteségeseményeket kell itt jelenteni.</w:t>
      </w:r>
    </w:p>
    <w:p w14:paraId="5F2CAE8D" w14:textId="77777777" w:rsidR="00FD54FC" w:rsidRPr="002A677E" w:rsidRDefault="00FD54FC" w:rsidP="00487A02">
      <w:pPr>
        <w:pStyle w:val="InstructionsText2"/>
        <w:numPr>
          <w:ilvl w:val="0"/>
          <w:numId w:val="0"/>
        </w:numPr>
        <w:ind w:left="1353" w:hanging="360"/>
      </w:pPr>
      <w:r>
        <w:t>E küszöbértéktől függően:</w:t>
      </w:r>
    </w:p>
    <w:p w14:paraId="503143B8" w14:textId="1D0A0564" w:rsidR="00FD54FC" w:rsidRPr="002A677E" w:rsidRDefault="00125707" w:rsidP="00487A02">
      <w:pPr>
        <w:pStyle w:val="InstructionsText2"/>
        <w:numPr>
          <w:ilvl w:val="0"/>
          <w:numId w:val="0"/>
        </w:numPr>
        <w:ind w:left="1353" w:hanging="360"/>
      </w:pPr>
      <w:r>
        <w:lastRenderedPageBreak/>
        <w:t>a)</w:t>
      </w:r>
      <w:r>
        <w:tab/>
        <w:t>A táblában fel kell tüntetni minden egyes eseménytípus legnagyobb veszteségeseményét, amennyiben az intézmény a veszteséget eseménytípushoz rendelte, valamint</w:t>
      </w:r>
    </w:p>
    <w:p w14:paraId="0CFFC449" w14:textId="77777777" w:rsidR="00FD54FC" w:rsidRPr="002A677E" w:rsidRDefault="00125707" w:rsidP="00487A02">
      <w:pPr>
        <w:pStyle w:val="InstructionsText2"/>
        <w:numPr>
          <w:ilvl w:val="0"/>
          <w:numId w:val="0"/>
        </w:numPr>
        <w:ind w:left="1353" w:hanging="360"/>
      </w:pPr>
      <w:r>
        <w:t>b)</w:t>
      </w:r>
      <w:r>
        <w:tab/>
        <w:t>a fennmaradó veszteségesemények közül a tíz legnagyobb bruttó veszteséget okozó veszteségeseményt, függetlenül attól, hogy ezeket az intézmény eseménytípushoz rendelte-e vagy sem.</w:t>
      </w:r>
    </w:p>
    <w:p w14:paraId="4B19E136" w14:textId="77777777" w:rsidR="00FD54FC" w:rsidRPr="002A677E" w:rsidRDefault="00125707" w:rsidP="00487A02">
      <w:pPr>
        <w:pStyle w:val="InstructionsText2"/>
        <w:numPr>
          <w:ilvl w:val="0"/>
          <w:numId w:val="0"/>
        </w:numPr>
        <w:ind w:left="1353" w:hanging="360"/>
      </w:pPr>
      <w:r>
        <w:t>c)</w:t>
      </w:r>
      <w:r>
        <w:tab/>
        <w:t>A veszteségeseményeket a hozzájuk rendelt bruttó veszteség szerinti sorrendben kell feltüntetni.</w:t>
      </w:r>
    </w:p>
    <w:p w14:paraId="3AE1B367" w14:textId="77777777" w:rsidR="00FD54FC" w:rsidRPr="002A677E" w:rsidRDefault="00125707" w:rsidP="00487A02">
      <w:pPr>
        <w:pStyle w:val="InstructionsText2"/>
        <w:numPr>
          <w:ilvl w:val="0"/>
          <w:numId w:val="0"/>
        </w:numPr>
        <w:ind w:left="1353" w:hanging="360"/>
      </w:pPr>
      <w:r>
        <w:t>d)</w:t>
      </w:r>
      <w:r>
        <w:tab/>
        <w:t>Egy veszteségesemény csak egyszer vehető figyelembe.</w:t>
      </w:r>
    </w:p>
    <w:p w14:paraId="7FAC47A3" w14:textId="3DA1BEC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6039998"/>
      <w:r>
        <w:rPr>
          <w:rFonts w:ascii="Times New Roman" w:hAnsi="Times New Roman"/>
          <w:sz w:val="24"/>
          <w:u w:val="none"/>
        </w:rPr>
        <w:t>4.2.3.2.</w:t>
      </w:r>
      <w:r>
        <w:rPr>
          <w:rFonts w:ascii="Times New Roman" w:hAnsi="Times New Roman"/>
          <w:sz w:val="24"/>
          <w:u w:val="none"/>
        </w:rPr>
        <w:tab/>
      </w:r>
      <w:r>
        <w:rPr>
          <w:rFonts w:ascii="Times New Roman" w:hAnsi="Times New Roman"/>
          <w:sz w:val="24"/>
        </w:rPr>
        <w:t>A tábla egyes részeire vonatkozó útmutató</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Oszlop</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Eseményazonosító</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Az eseményazonosító egy sorazonosító, amely a tábla minden sorát egyedileg azonosítja. </w:t>
            </w:r>
          </w:p>
          <w:p w14:paraId="0801D83B" w14:textId="77777777" w:rsidR="00FD54FC" w:rsidRPr="002A677E" w:rsidRDefault="00FD54FC" w:rsidP="00FD54FC">
            <w:pPr>
              <w:rPr>
                <w:rFonts w:ascii="Times New Roman" w:hAnsi="Times New Roman"/>
                <w:sz w:val="24"/>
              </w:rPr>
            </w:pPr>
            <w:r>
              <w:rPr>
                <w:rFonts w:ascii="Times New Roman" w:hAnsi="Times New Roman"/>
                <w:sz w:val="24"/>
              </w:rPr>
              <w:t>Amennyiben létezik belső azonosító, az intézmények ezt adják meg. Másként a természetes számok sorrendjét kell követni (1, 2, 3 stb.).</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Elszámolás napja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Az elszámolás napja az a nap, amikor a veszteség vagy tartalék/céltartalék először került megjelenítésre az eredménykimutatásban a működési kockázati veszteséggel szemben.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 napja</w:t>
            </w:r>
          </w:p>
          <w:p w14:paraId="49262D6C" w14:textId="77777777" w:rsidR="00FD54FC" w:rsidRPr="002A677E" w:rsidRDefault="00FD54FC" w:rsidP="00871877">
            <w:pPr>
              <w:rPr>
                <w:rFonts w:ascii="Times New Roman" w:hAnsi="Times New Roman"/>
                <w:sz w:val="24"/>
              </w:rPr>
            </w:pPr>
            <w:r>
              <w:rPr>
                <w:rFonts w:ascii="Times New Roman" w:hAnsi="Times New Roman"/>
                <w:sz w:val="24"/>
              </w:rPr>
              <w:t>Az esemény napja az a nap, amikor a működési kockázati veszteségesemény bekövetkezett vagy kezdetét vette.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Felismerés napja</w:t>
            </w:r>
          </w:p>
          <w:p w14:paraId="520821A8" w14:textId="77777777" w:rsidR="00FD54FC" w:rsidRPr="002A677E" w:rsidRDefault="00FD54FC" w:rsidP="00FD54FC">
            <w:pPr>
              <w:rPr>
                <w:rFonts w:ascii="Times New Roman" w:hAnsi="Times New Roman"/>
                <w:sz w:val="24"/>
              </w:rPr>
            </w:pPr>
            <w:r>
              <w:rPr>
                <w:rFonts w:ascii="Times New Roman" w:hAnsi="Times New Roman"/>
                <w:sz w:val="24"/>
              </w:rPr>
              <w:t>A felismerés napja az a nap, amikor a működési kockázati veszteségesemény az intézmény tudomására jutott.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Veszteségesemény-típus</w:t>
            </w:r>
          </w:p>
          <w:p w14:paraId="73A75C19" w14:textId="247D93B0" w:rsidR="00FD54FC" w:rsidRPr="002A677E" w:rsidRDefault="00F41508" w:rsidP="00EB6FC2">
            <w:pPr>
              <w:rPr>
                <w:rFonts w:ascii="Times New Roman" w:hAnsi="Times New Roman"/>
                <w:sz w:val="24"/>
              </w:rPr>
            </w:pPr>
            <w:r>
              <w:rPr>
                <w:rFonts w:ascii="Times New Roman" w:hAnsi="Times New Roman"/>
                <w:sz w:val="24"/>
              </w:rPr>
              <w:t>Az 575/2013/EU rendelet 324. cikkében említett veszteségesemény-típusok.</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w:t>
            </w:r>
          </w:p>
          <w:p w14:paraId="5E868659" w14:textId="77777777" w:rsidR="00FD54FC" w:rsidRPr="002A677E" w:rsidRDefault="00FD54FC" w:rsidP="0023276A">
            <w:pPr>
              <w:rPr>
                <w:rFonts w:ascii="Times New Roman" w:hAnsi="Times New Roman"/>
                <w:sz w:val="24"/>
              </w:rPr>
            </w:pPr>
            <w:r>
              <w:rPr>
                <w:rFonts w:ascii="Times New Roman" w:hAnsi="Times New Roman"/>
                <w:sz w:val="24"/>
              </w:rPr>
              <w:t>A 17.01-es tábla 0020-as, 0120-as stb. sorában megadott, a veszteségeseményhez kapcsolódó bruttó veszteség.</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a közvetlen megtérülések levonásával</w:t>
            </w:r>
          </w:p>
          <w:p w14:paraId="371DD3AD" w14:textId="77777777" w:rsidR="00FD54FC" w:rsidRPr="002A677E" w:rsidRDefault="00FD54FC" w:rsidP="0023276A">
            <w:pPr>
              <w:rPr>
                <w:rFonts w:ascii="Times New Roman" w:hAnsi="Times New Roman"/>
                <w:sz w:val="24"/>
              </w:rPr>
            </w:pPr>
            <w:r>
              <w:rPr>
                <w:rFonts w:ascii="Times New Roman" w:hAnsi="Times New Roman"/>
                <w:sz w:val="24"/>
              </w:rPr>
              <w:t>A 17.01-es tábla 0020-as, 0120-as stb. sorában megadott, a veszteségeseményhez kapcsolódó bruttó veszteség az adott veszteségeseményhez kapcsolódó közvetlen megtérülések levonásával.</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lastRenderedPageBreak/>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üzletáganként</w:t>
            </w:r>
          </w:p>
          <w:p w14:paraId="15FC08A2" w14:textId="6E4192C4" w:rsidR="00FD54FC" w:rsidRPr="002A677E" w:rsidRDefault="00FD54FC" w:rsidP="007062FD">
            <w:pPr>
              <w:rPr>
                <w:rFonts w:ascii="Times New Roman" w:hAnsi="Times New Roman"/>
                <w:sz w:val="24"/>
              </w:rPr>
            </w:pPr>
            <w:r>
              <w:rPr>
                <w:rFonts w:ascii="Times New Roman" w:hAnsi="Times New Roman"/>
                <w:sz w:val="24"/>
              </w:rPr>
              <w:t>A 0060-as oszlopban feltüntetett bruttó veszteséget az 575/2013/EU rendelet 317. cikke (4) bekezdésének 2. táblázatában és 322. cikke (3) bekezdésének b) pontjában említett megfelelő üzletágba kell sorolni.</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Jogalany neve</w:t>
            </w:r>
          </w:p>
          <w:p w14:paraId="196BBE73" w14:textId="7342A187" w:rsidR="00FD54FC" w:rsidRPr="002A677E" w:rsidRDefault="00FD54FC" w:rsidP="00FD54FC">
            <w:pPr>
              <w:rPr>
                <w:rFonts w:ascii="Times New Roman" w:hAnsi="Times New Roman"/>
                <w:sz w:val="24"/>
              </w:rPr>
            </w:pPr>
            <w:r>
              <w:rPr>
                <w:rFonts w:ascii="Times New Roman" w:hAnsi="Times New Roman"/>
                <w:sz w:val="24"/>
              </w:rPr>
              <w:t>Annak a jogalanynak a C 06.02-es tábla 0011-es oszlopában jelentett neve, amelynél a veszteség – vagy ha több jogalany is érintett volt, a veszteség legnagyobb része – felmerült.</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Kód</w:t>
            </w:r>
          </w:p>
          <w:p w14:paraId="2B51325F" w14:textId="351ACEFF" w:rsidR="000D0A23" w:rsidRPr="002A677E" w:rsidRDefault="0062362F" w:rsidP="009B627A">
            <w:pPr>
              <w:rPr>
                <w:rFonts w:ascii="Times New Roman" w:hAnsi="Times New Roman"/>
                <w:sz w:val="24"/>
              </w:rPr>
            </w:pPr>
            <w:r>
              <w:rPr>
                <w:rFonts w:ascii="Times New Roman" w:hAnsi="Times New Roman"/>
                <w:sz w:val="24"/>
              </w:rPr>
              <w:t>Annak a jogalanynak a C 06.02-es tábla 0021-es oszlopában jelentett jogalany-azonosítója (LEI), amelynél a veszteség – vagy ha több jogalany is érintett volt, a veszteség legnagyobb része – felmerült.</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KÓDTÍPUS</w:t>
            </w:r>
          </w:p>
          <w:p w14:paraId="13D1F0E6" w14:textId="3C50A8F9" w:rsidR="000D0A23" w:rsidRPr="002A677E" w:rsidRDefault="000D0A23" w:rsidP="009B627A">
            <w:pPr>
              <w:rPr>
                <w:rStyle w:val="InstructionsTabelleberschrift"/>
                <w:rFonts w:ascii="Times New Roman" w:hAnsi="Times New Roman"/>
                <w:sz w:val="24"/>
              </w:rPr>
            </w:pPr>
            <w:r>
              <w:rPr>
                <w:rFonts w:ascii="Times New Roman" w:hAnsi="Times New Roman"/>
                <w:sz w:val="24"/>
              </w:rPr>
              <w:t>Az intézményeknek a 0181-es oszlopban feltüntetett kódtípust „LEI-kód”-ként vagy Nem-LEI-kód”-ként kell megadniuk, összhangban a C 06.02 0026-os oszlopával is. A kód típusát mindig jelenteni kell.</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Üzleti egység</w:t>
            </w:r>
          </w:p>
          <w:p w14:paraId="7468F598" w14:textId="77777777" w:rsidR="00FD54FC" w:rsidRPr="002A677E" w:rsidRDefault="00FD54FC" w:rsidP="00FD54FC">
            <w:pPr>
              <w:rPr>
                <w:rFonts w:ascii="Times New Roman" w:hAnsi="Times New Roman"/>
                <w:sz w:val="24"/>
              </w:rPr>
            </w:pPr>
            <w:r>
              <w:rPr>
                <w:rFonts w:ascii="Times New Roman" w:hAnsi="Times New Roman"/>
                <w:sz w:val="24"/>
              </w:rPr>
              <w:t>Az intézmény azon üzleti egysége vagy vállalati divíziója, amelynél a veszteség – vagy ha több egység vagy divízió is érintett volt, a veszteség legnagyobb része – felmerült.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Leírás</w:t>
            </w:r>
          </w:p>
          <w:p w14:paraId="5B222555" w14:textId="77777777" w:rsidR="00FD54FC" w:rsidRPr="002A677E" w:rsidRDefault="00FD54FC" w:rsidP="00FD239F">
            <w:pPr>
              <w:rPr>
                <w:rFonts w:ascii="Times New Roman" w:hAnsi="Times New Roman"/>
                <w:sz w:val="24"/>
              </w:rPr>
            </w:pPr>
            <w:r>
              <w:rPr>
                <w:rFonts w:ascii="Times New Roman" w:hAnsi="Times New Roman"/>
                <w:sz w:val="24"/>
              </w:rPr>
              <w:t>A veszteségesemény szöveges ismertetése, szükség esetén általános vagy anonimizált módon, amelynek ki kell terjednie legalább magára az eseményre és – amennyiben ismertek – a veszteségesemény okaira vonatkozó információkra.</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6039999"/>
      <w:r>
        <w:rPr>
          <w:rFonts w:ascii="Times New Roman" w:hAnsi="Times New Roman"/>
          <w:sz w:val="24"/>
          <w:u w:val="none"/>
        </w:rPr>
        <w:lastRenderedPageBreak/>
        <w:t>5.</w:t>
      </w:r>
      <w:r>
        <w:rPr>
          <w:rFonts w:ascii="Times New Roman" w:hAnsi="Times New Roman"/>
          <w:sz w:val="24"/>
          <w:u w:val="none"/>
        </w:rPr>
        <w:tab/>
      </w:r>
      <w:r>
        <w:rPr>
          <w:rFonts w:ascii="Times New Roman" w:hAnsi="Times New Roman"/>
          <w:sz w:val="24"/>
        </w:rPr>
        <w:t>Piaci kockázati táblacsoport</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158</w:t>
      </w:r>
      <w:r w:rsidRPr="00624117">
        <w:fldChar w:fldCharType="end"/>
      </w:r>
      <w:r>
        <w:t>.</w:t>
      </w:r>
      <w:r>
        <w:tab/>
        <w:t xml:space="preserve"> Az itt megadott útmutató a devizaárfolyam-kockázathoz (MKR SA FX), árukockázathoz (MKR SA COM), kamatlábkockázathoz (MKR SA TDI, MKR SA SEC, MKR SA CTP) és részvénypiaci kockázathoz (MKR SA EQU) kapcsolódó szavatolótőke-követelmény sztenderd módszer szerinti kiszámításáról történő adatszolgáltatáshoz használt táblákra terjed ki. Ebben a részben útmutató található továbbá a szavatolótőke-követelmény belső modelleken alapuló módszer szerinti kiszámításáról történő adatszolgáltatáshoz használt táblára vonatkozóan (MKR IM) is. </w:t>
      </w:r>
    </w:p>
    <w:p w14:paraId="43A205D1" w14:textId="29D81B04"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159</w:t>
      </w:r>
      <w:r>
        <w:rPr>
          <w:noProof/>
        </w:rPr>
        <w:fldChar w:fldCharType="end"/>
      </w:r>
      <w:r w:rsidR="00C3070C">
        <w:t>.</w:t>
      </w:r>
      <w:r w:rsidR="00C3070C">
        <w:tab/>
        <w:t xml:space="preserve"> A forgalmazott, hitelviszonyt megtestesítő értékpapírok vagy tulajdoni részesedést megtestesítő instrumentumok, illetve ezek származtatott eszközének pozíciókockázatát tőkeszükségletük kiszámítása céljából két összetevőre kell bontani. Az első elem az egyedi kockázati összetevő – azaz az adott eszköz árváltozásának kockázata, ami a kibocsátójával, illetve, származtatott eszköz esetében, az alapul szolgáló eszköz kibocsátójával kapcsolatos tényezőkből adódik. A második elem az általános kockázatot foglalja magában: az eszköz árváltozásának azt a kockázatát, amely forgalmazott, hitelviszonyt megtestesítő értékpapírok vagy azok származtatott eszköze esetében a kamatszintek változásából, tőkeinstrumentum vagy annak származtatott eszköze esetében az egyes értékpapírok sajátos tulajdonságaival kapcsolatban nem lévő, általános részvénypiaci mozgásokból adódik. </w:t>
      </w:r>
      <w:bookmarkEnd w:id="599"/>
      <w:r w:rsidR="00C3070C">
        <w:t xml:space="preserve">Az egyes instrumentumok és nettósítási eljárások általános kezelését az 575/2013/EU rendelet 326–333. cikke ismerteti. </w:t>
      </w:r>
    </w:p>
    <w:p w14:paraId="39C5FEA4" w14:textId="574DE006"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6040000"/>
      <w:r>
        <w:rPr>
          <w:rFonts w:ascii="Times New Roman" w:hAnsi="Times New Roman"/>
          <w:sz w:val="24"/>
          <w:u w:val="none"/>
        </w:rPr>
        <w:t>5.1.</w:t>
      </w:r>
      <w:r>
        <w:rPr>
          <w:rFonts w:ascii="Times New Roman" w:hAnsi="Times New Roman"/>
          <w:sz w:val="24"/>
          <w:u w:val="none"/>
        </w:rPr>
        <w:tab/>
      </w:r>
      <w:r>
        <w:rPr>
          <w:rFonts w:ascii="Times New Roman" w:hAnsi="Times New Roman"/>
          <w:sz w:val="24"/>
        </w:rPr>
        <w:t>C 18.00 – Piaci kockázat: A forgalmazott, hitelviszonyt megtestesítő értékpapírok pozíciókockázatának sztenderd módszere</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6040001"/>
      <w:r>
        <w:rPr>
          <w:rFonts w:ascii="Times New Roman" w:hAnsi="Times New Roman"/>
          <w:sz w:val="24"/>
          <w:u w:val="none"/>
        </w:rPr>
        <w:t>5.1.1.</w:t>
      </w:r>
      <w:r>
        <w:rPr>
          <w:rFonts w:ascii="Times New Roman" w:hAnsi="Times New Roman"/>
          <w:sz w:val="24"/>
          <w:u w:val="none"/>
        </w:rPr>
        <w:tab/>
      </w:r>
      <w:r>
        <w:rPr>
          <w:rFonts w:ascii="Times New Roman" w:hAnsi="Times New Roman"/>
          <w:sz w:val="24"/>
        </w:rPr>
        <w:t>Általános megjegyzések</w:t>
      </w:r>
      <w:bookmarkEnd w:id="608"/>
      <w:bookmarkEnd w:id="609"/>
      <w:bookmarkEnd w:id="610"/>
      <w:bookmarkEnd w:id="611"/>
      <w:bookmarkEnd w:id="612"/>
      <w:bookmarkEnd w:id="613"/>
      <w:bookmarkEnd w:id="614"/>
    </w:p>
    <w:p w14:paraId="0D010E09" w14:textId="2E6F4BCD"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160</w:t>
      </w:r>
      <w:r>
        <w:rPr>
          <w:noProof/>
        </w:rPr>
        <w:fldChar w:fldCharType="end"/>
      </w:r>
      <w:r w:rsidR="00C3070C">
        <w:t>.</w:t>
      </w:r>
      <w:r w:rsidR="00C3070C">
        <w:tab/>
        <w:t xml:space="preserve"> Ez a tábla a forgalmazott, hitelviszonyt megtestesítő értékpapírok sztenderd módszer szerinti pozíciókockázatát érintő pozíciókat és az azokhoz kapcsolódó szavatolótőke-követelményt rögzíti (az 575/2013/EU rendelet 325. cikke (2) bekezdésének a) pontja). A különböző kockázatok és az 575/2013/EU rendelet alapján alkalmazható módszerek az egyes sorokban vehetők figyelembe. Az MKR SA SEC és MKR SA CTP táblán szereplő kitettségekkel összefüggő egyedi kockázatok kizárólag az MKR SA TDI Total táblán tüntethetők fel. Az említett táblákon feltüntetett szavatolótőke-követelményt át kell vinni a {0325;0060} (értékpapírosítások), illetve {0330;0060} (CTP) cellába.</w:t>
      </w:r>
    </w:p>
    <w:p w14:paraId="7C8420A5" w14:textId="1C91E400"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161</w:t>
      </w:r>
      <w:r>
        <w:rPr>
          <w:noProof/>
        </w:rPr>
        <w:fldChar w:fldCharType="end"/>
      </w:r>
      <w:r w:rsidR="00C3070C">
        <w:t>.</w:t>
      </w:r>
      <w:r w:rsidR="00C3070C">
        <w:tab/>
        <w:t xml:space="preserve"> A táblát külön ki kell tölteni az „Összesen” értékre vonatkozóan, valamint az alábbi előre meghatározott felsorolásban szereplő pénznemekre vonatkozóan: </w:t>
      </w:r>
      <w:bookmarkStart w:id="615" w:name="OLE_LINK1"/>
      <w:r w:rsidR="00C3070C">
        <w:t>EUR, ALL, BGN, CZK, DKK, EGP, GBP, HRK, HUF, ISK, JPY, MKD, NOK, PLN, RON, RUB, RSD, SEK, CHF, TRY, UAH, USD</w:t>
      </w:r>
      <w:bookmarkEnd w:id="615"/>
      <w:r w:rsidR="00C3070C">
        <w:t xml:space="preserve">, továbbá egy táblát minden egyéb pénznemre összevontan. </w:t>
      </w:r>
    </w:p>
    <w:p w14:paraId="73E54EAD" w14:textId="0504450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6040002"/>
      <w:r>
        <w:rPr>
          <w:rFonts w:ascii="Times New Roman" w:hAnsi="Times New Roman"/>
          <w:sz w:val="24"/>
          <w:u w:val="none"/>
        </w:rPr>
        <w:t>5.1.2.</w:t>
      </w:r>
      <w:r>
        <w:rPr>
          <w:rFonts w:ascii="Times New Roman" w:hAnsi="Times New Roman"/>
          <w:sz w:val="24"/>
          <w:u w:val="none"/>
        </w:rPr>
        <w:tab/>
      </w:r>
      <w:r>
        <w:rPr>
          <w:rFonts w:ascii="Times New Roman" w:hAnsi="Times New Roman"/>
          <w:sz w:val="24"/>
        </w:rPr>
        <w:t>A tábla egyes részeire vonatkozó útmutató</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0C799784" w14:textId="11C18BEB" w:rsidR="000B0B09" w:rsidRPr="002A677E" w:rsidRDefault="000B0B09" w:rsidP="00D24331">
            <w:pPr>
              <w:rPr>
                <w:rFonts w:ascii="Times New Roman" w:hAnsi="Times New Roman"/>
                <w:sz w:val="24"/>
              </w:rPr>
            </w:pPr>
            <w:r>
              <w:rPr>
                <w:rFonts w:ascii="Times New Roman" w:hAnsi="Times New Roman"/>
                <w:sz w:val="24"/>
              </w:rPr>
              <w:t>Az 575/2013/EU rendelet 102. cikke, valamint 105. cikkének (1) bekezdése. Bruttó, instrumentumonként nem nettósított pozíciók azon jegyzési pozíciók levonásával, amelyeket harmadik fél az intézménytől lejegyzett, vagy amelyekre jegyzési garanciát vállal az 575/2013/EU rendelet 345. cikke (1) bekezdése, első albekezdése második mondatának megfelelően. A hosszú és rövid pozícióknak az említett bruttó pozíciókra is alkalmazandó megkülönböztetésével kapcsolatban lásd az 575/2013/EU rendelet 328. cikkének (2) bekezdését.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38649486" w14:textId="21B59DB4" w:rsidR="000B0B09" w:rsidRPr="002A677E" w:rsidRDefault="000B0B09" w:rsidP="005B04C9">
            <w:pPr>
              <w:rPr>
                <w:rFonts w:ascii="Times New Roman" w:hAnsi="Times New Roman"/>
                <w:sz w:val="24"/>
              </w:rPr>
            </w:pPr>
            <w:r>
              <w:rPr>
                <w:rFonts w:ascii="Times New Roman" w:hAnsi="Times New Roman"/>
                <w:sz w:val="24"/>
              </w:rPr>
              <w:t>Az 575/2013/EU rendelet 327–329., valamint 334. cikke. A hosszú és rövid pozíciók megkülönböztetésével kapcsolatban lásd az 575/2013/EU rendelet 328. cikkének (2) bekezdését.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Azok a nettó pozíciók, amelyekre az 575/2013/EU rendelet harmadik része IV. címének 2. fejezetében foglalt különböző módszerek szerint tőkekövetelmény vonatkozik.</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4F1F61F" w14:textId="3372EBD0" w:rsidR="000B0B09" w:rsidRPr="002A677E" w:rsidRDefault="000B0B09" w:rsidP="005B04C9">
            <w:pPr>
              <w:rPr>
                <w:rFonts w:ascii="Times New Roman" w:hAnsi="Times New Roman"/>
                <w:b/>
                <w:bCs/>
                <w:sz w:val="24"/>
                <w:u w:val="single"/>
              </w:rPr>
            </w:pPr>
            <w:r>
              <w:rPr>
                <w:rFonts w:ascii="Times New Roman" w:hAnsi="Times New Roman"/>
                <w:sz w:val="24"/>
              </w:rPr>
              <w:t>Az 575/2013/EU rendelet harmadik része IV. címének 2. fejezete szerinti releváns pozíciók tőkekövetelménye.</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Az 575/2013/EU rendelet 92. cikke (4) bekezdésének b) pontja. A szavatolótőke-követelmény 12,5-del való szorzásának az eredménye.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FORGALMAZOTT, HITELVISZONYT MEGTESTESÍTŐ ÉRTÉKPAPÍROK</w:t>
            </w:r>
          </w:p>
          <w:p w14:paraId="12C841B7" w14:textId="2F841DD3" w:rsidR="000B0B09" w:rsidRPr="002A677E" w:rsidRDefault="000B0B09" w:rsidP="00D24331">
            <w:pPr>
              <w:rPr>
                <w:rFonts w:ascii="Times New Roman" w:hAnsi="Times New Roman"/>
                <w:sz w:val="24"/>
              </w:rPr>
            </w:pPr>
            <w:r>
              <w:rPr>
                <w:rFonts w:ascii="Times New Roman" w:hAnsi="Times New Roman"/>
                <w:sz w:val="24"/>
              </w:rPr>
              <w:t>A forgalmazott, hitelviszonyt megtestesítő értékpapírokban meglévő, kereskedési könyvben nyilvántartott pozíciókat és az azoknak megfelelő, az 575/2013/EU rendelet 92. cikke (3) bekezdése b) pontjának i. alpontja, valamint az 575/2013/EU rendelet harmadik része IV. címének 2. fejezete szerinti pozíciókockázathoz kapcsolódó szavatolótőke-követelményt a kockázati kategóriától, a lejárattól és az alkalmazott módszertől függően kell feltüntetni.</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ÁLTALÁNOS KOCKÁZAT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Származtatott termékek</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A kereskedési könyvi pozíciók kamatlábkockázatának számítása során figyelembe vett származtatott ügyletek, az 575/2013/EU rendelet 328–331. cikkének figyelembevételével, ha e cikkek alkalmazhatók.</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eszközök és kötelezettségek</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A kereskedési könyvi pozíciók kamatlábkockázatának számítása során figyelembe vett származtatott ügyleteken kívüli instrumentumok.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LEJÁRATON ALAPULÓ MÓDSZER</w:t>
            </w:r>
          </w:p>
          <w:p w14:paraId="644A7531" w14:textId="55810ADC" w:rsidR="000B0B09" w:rsidRPr="002A677E"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575/2013/EU rendelet 339. cikkének (1)–(8) bekezdésében említett, lejáraton alapuló módszer, valamint az annak megfelelő, az 575/2013/EU rendelet 339. cikkének (9) bekezdése szerint kiszámított szavatolótőke-követelmények alkalmazási körébe tartoznak. A pozíciót 1., 2. és 3. zónára, ezeket pedig az instrumentumok lejárata szerint kell felosztani.</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ÁLTALÁNOS KOCKÁZAT. AZ ÁTLAGOS HÁTRALÉVŐ FUTAMIDŐN ALAPULÓ MÓDSZER</w:t>
            </w:r>
          </w:p>
          <w:p w14:paraId="08171DB1" w14:textId="252E1402" w:rsidR="000B0B09" w:rsidRPr="002A677E"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575/2013/EU rendelet 340. cikkének (1)–(6) bekezdésében említett, hátralévő futamidőn alapuló módszer, valamint az annak megfelelő, az 575/2013/EU rendelet 340. cikkének (7) bekezdése szerint kiszámított szavatolótőke-követelmények alkalmazási körébe tartoznak. A pozíciót 1., 2. és 3. zónára kell felosztani.</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A 0251-es, 0325-ös és 0330-as sorban megadott értékek összege.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egyedi kockázathoz kapcsolódó tőkekövetelmény hatálya alá tartoznak, valamint a rájuk vonatkozó tőkekövetelmények az 575/2013/EU rendelet 92. cikke (3) bekezdésének b) pontja és 335. cikke, 336. cikkének (1)–(3) bekezdése, valamint 337. és 338. cikke szerint. Figyelembe kell venni továbbá az 575/2013/EU rendelet 327. cikke (1) bekezdésének utolsó mondatát.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nem értékpapírosítási pozíciót jelentő, hitelviszonyt megtestesítő értékpapírok szavatolótőke-követelménye</w:t>
            </w:r>
          </w:p>
          <w:p w14:paraId="19437B35" w14:textId="77777777" w:rsidR="000B0B09" w:rsidRPr="002A677E" w:rsidRDefault="000B0B09" w:rsidP="007B2F85">
            <w:pPr>
              <w:rPr>
                <w:rFonts w:ascii="Times New Roman" w:hAnsi="Times New Roman"/>
                <w:sz w:val="24"/>
              </w:rPr>
            </w:pPr>
            <w:r>
              <w:rPr>
                <w:rFonts w:ascii="Times New Roman" w:hAnsi="Times New Roman"/>
                <w:sz w:val="24"/>
              </w:rPr>
              <w:t>A 260–321-es sorokban megadott értékek összege.</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A külső minősítéssel nem rendelkező, n-edik nemteljesítéskor lehívható hitelderivatívák szavatolótőke-követelményét az alaptermék-kibocsátók kockázati súlyainak összeadásával kell kiszámítani (az 575/2013/EU rendelet 332. cikke (1) bekezdésének e) pontja és az 575/2013/EU rendelet 332. cikke (1) bekezdésének második albekezdése – az alapul szolgáló eszközök vizsgálata). A külső minősítéssel rendelkező, n-edik nemteljesítéskor lehívható hitelderivatívákat (az 575/2013/EU rendelet 332. cikke (1) bekezdésének harmadik albekezdése) külön kell feltüntetni a 321-es sorban. </w:t>
            </w:r>
          </w:p>
          <w:p w14:paraId="7051ED04" w14:textId="663FE04C" w:rsidR="000B0B09" w:rsidRPr="002A677E" w:rsidRDefault="000B0B09" w:rsidP="00BD2FE7">
            <w:pPr>
              <w:rPr>
                <w:rFonts w:ascii="Times New Roman" w:hAnsi="Times New Roman"/>
                <w:sz w:val="24"/>
              </w:rPr>
            </w:pPr>
            <w:r>
              <w:rPr>
                <w:rFonts w:ascii="Times New Roman" w:hAnsi="Times New Roman"/>
                <w:sz w:val="24"/>
              </w:rPr>
              <w:t>Az 575/2013/EU rendelet 336. cikkének (3) bekezdése szerinti pozíciókkal kapcsolatos adatszolgáltatás: Az 575/2013/EU rendelet 129. cikkének (3) bekezdése szerint speciálisan kezelendők</w:t>
            </w:r>
            <w:r>
              <w:t xml:space="preserve"> </w:t>
            </w:r>
            <w:r>
              <w:rPr>
                <w:rFonts w:ascii="Times New Roman" w:hAnsi="Times New Roman"/>
                <w:sz w:val="24"/>
              </w:rPr>
              <w:t>azok a kötvények, amelyek a banki könyvben 10 %-ot elérő kockázati súlyt képviselnek (fedezett kötvények). Az egyedi szavatolótőke-követelmény az 575/2013/EU rendelet 336. cikke 1. táblázatának második kategóriájában említett százalékos arány fele. Ezeket a pozíciókat a végső lejáratig hátralévő idő alapján kell a 0280–0300-as sorokban feltüntetni.</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Ha a kamatláb-pozíciók általános kockázatát hitelderivatíva fedezi, akkor az 575/2013/EU rendelet 346. és 347. cikkét kell alkalmazni.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értékpapírosított eszközök szavatolótőke-követelménye</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lastRenderedPageBreak/>
              <w:t>Az MKR SA SEC tábla 0601-es oszlopában feltüntetett teljes szavatolótőke-követelmény. Az említett teljes szavatolótőke-követelményt csak az MKR SA TDI „Összesen” sorában kell megadni.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korrelációkereskedési portfólió szavatolótőke-követelménye</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Az MKR SA CTP tábla 0450-es oszlopában feltüntetett teljes szavatolótőke-követelmény. Az említett teljes szavatolótőke-követelményt csak az MKR SA TDI „Összesen” sorában kell megadni.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OPCIÓKRA VONATKOZÓ TOVÁBBI KÖVETELMÉNYEK (NEM DELTA KOCKÁZATOK)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Az 575/2013/EU rendelet 329. cikkének (3) bekezdése.</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A nem delta kockázatokkal kapcsolatos, opciókra vonatkozó további követelményeket a kiszámításukhoz használt módszer szerinti bontásban kell feltüntetni.</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6040003"/>
      <w:r>
        <w:rPr>
          <w:rFonts w:ascii="Times New Roman" w:hAnsi="Times New Roman"/>
          <w:sz w:val="24"/>
          <w:u w:val="none"/>
        </w:rPr>
        <w:t>5.2.</w:t>
      </w:r>
      <w:r>
        <w:rPr>
          <w:rFonts w:ascii="Times New Roman" w:hAnsi="Times New Roman"/>
          <w:sz w:val="24"/>
          <w:u w:val="none"/>
        </w:rPr>
        <w:tab/>
      </w:r>
      <w:r>
        <w:rPr>
          <w:rFonts w:ascii="Times New Roman" w:hAnsi="Times New Roman"/>
          <w:sz w:val="24"/>
        </w:rPr>
        <w:t>C 19.00 – PIACI KOCKÁZAT: AZ ÉRTÉKPAPÍROSÍTÁSOK EGYEDI KOCKÁZATÁNAK SZTENDERD MÓDSZERE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6040004"/>
      <w:r>
        <w:rPr>
          <w:rFonts w:ascii="Times New Roman" w:hAnsi="Times New Roman"/>
          <w:sz w:val="24"/>
          <w:u w:val="none"/>
        </w:rPr>
        <w:t>5.2.1.</w:t>
      </w:r>
      <w:r>
        <w:rPr>
          <w:rFonts w:ascii="Times New Roman" w:hAnsi="Times New Roman"/>
          <w:sz w:val="24"/>
          <w:u w:val="none"/>
        </w:rPr>
        <w:tab/>
      </w:r>
      <w:r>
        <w:rPr>
          <w:rFonts w:ascii="Times New Roman" w:hAnsi="Times New Roman"/>
          <w:sz w:val="24"/>
        </w:rPr>
        <w:t>Általános megjegyzések</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162</w:t>
      </w:r>
      <w:r w:rsidRPr="00624117">
        <w:fldChar w:fldCharType="end"/>
      </w:r>
      <w:r>
        <w:t>.</w:t>
      </w:r>
      <w:r>
        <w:tab/>
        <w:t xml:space="preserve"> Ezen a táblán a sztenderd módszer alkalmazási körébe tartozó pozíciókról (összes/nettó, hosszú/rövid), valamint az ezekhez kapcsolódóan a kereskedési könyvben nyilvántartott (a korrelációkereskedési portfólióban figyelembe nem vehető) értékpapírosítások és újra-értékpapírosítások pozíciókockázatán belüli egyedi kockázatra vonatkozó szavatolótőke-követelményről kell adatot szolgáltatni. </w:t>
      </w:r>
    </w:p>
    <w:p w14:paraId="2729DF95" w14:textId="41C1A18B" w:rsidR="00FC627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163</w:t>
      </w:r>
      <w:r>
        <w:rPr>
          <w:noProof/>
        </w:rPr>
        <w:fldChar w:fldCharType="end"/>
      </w:r>
      <w:r w:rsidR="00C3070C">
        <w:t>.</w:t>
      </w:r>
      <w:r w:rsidR="00C3070C">
        <w:tab/>
        <w:t xml:space="preserve"> Az MKR SA SEC tábla kizárólag az 575/2013/EU rendelet 335. cikke, valamint azzal összefüggésben az említett rendelet 337. cikke szerinti értékpapírosítási pozíciók egyedi kockázatához kapcsolódó szavatolótőke-követelményt adja meg. Ha a kereskedési könyvben nyilvántartott értékpapírosítási pozíciókat hitelderivatívákkal fedezik, akkor az 575/2013/EU rendelet 346. és 347. cikkét kell alkalmazni. Valamennyi kereskedési könyvi pozícióról egy táblán kell adatot szolgáltatni attól függetlenül, hogy az intézmény melyik módszert alkalmazza az 575/2013/EU rendelet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14:paraId="0C732A14" w14:textId="3CA7EEB5" w:rsidR="00FC6275"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164</w:t>
      </w:r>
      <w:r>
        <w:rPr>
          <w:noProof/>
        </w:rPr>
        <w:fldChar w:fldCharType="end"/>
      </w:r>
      <w:r w:rsidR="00C3070C">
        <w:t>. Az 1 250 %-os kockázati súlyú pozíciók az elsődleges alapvető tőkéből (CET1) is levonhatók (lásd az 575/2013/EU rendelet 244. cikke (1) bekezdésének b) pontját, 245. cikke (1) bekezdésének b) pontját és 253. cikkét). Ebben az esetben a pozícióról a CA1 tábla 0460-as sorában kell adatot szolgáltatni.</w:t>
      </w:r>
    </w:p>
    <w:p w14:paraId="3921F7AA" w14:textId="02A3CD3A"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6040005"/>
      <w:r>
        <w:rPr>
          <w:rFonts w:ascii="Times New Roman" w:hAnsi="Times New Roman"/>
          <w:sz w:val="24"/>
          <w:u w:val="none"/>
        </w:rPr>
        <w:t>5.2.2.</w:t>
      </w:r>
      <w:r>
        <w:rPr>
          <w:rFonts w:ascii="Times New Roman" w:hAnsi="Times New Roman"/>
          <w:sz w:val="24"/>
          <w:u w:val="none"/>
        </w:rPr>
        <w:tab/>
      </w:r>
      <w:r>
        <w:rPr>
          <w:rFonts w:ascii="Times New Roman" w:hAnsi="Times New Roman"/>
          <w:sz w:val="24"/>
        </w:rPr>
        <w:t>A tábla egyes részeire vonatkozó útmutató</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503F4241" w14:textId="5A1E85D7" w:rsidR="00C55547" w:rsidRPr="002A677E" w:rsidRDefault="00C55547" w:rsidP="007062FD">
            <w:pPr>
              <w:rPr>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102. cikke, valamint 105. cikkének (1) bekezdése</w:t>
            </w:r>
            <w:r>
              <w:rPr>
                <w:rFonts w:ascii="Times New Roman" w:hAnsi="Times New Roman"/>
                <w:sz w:val="24"/>
              </w:rPr>
              <w:t xml:space="preserve"> az említett rendelet </w:t>
            </w:r>
            <w:r>
              <w:rPr>
                <w:rStyle w:val="InstructionsTabelleText"/>
                <w:rFonts w:ascii="Times New Roman" w:hAnsi="Times New Roman"/>
                <w:sz w:val="24"/>
              </w:rPr>
              <w:t>337. cikkével összefüggésben</w:t>
            </w:r>
            <w:r>
              <w:rPr>
                <w:rFonts w:ascii="Times New Roman" w:hAnsi="Times New Roman"/>
                <w:sz w:val="24"/>
              </w:rPr>
              <w:t xml:space="preserve"> </w:t>
            </w:r>
            <w:r>
              <w:rPr>
                <w:rStyle w:val="InstructionsTabelleText"/>
                <w:rFonts w:ascii="Times New Roman" w:hAnsi="Times New Roman"/>
                <w:sz w:val="24"/>
              </w:rPr>
              <w:t>(értékpapírosítási pozíciók). A hosszú és rövid pozícióknak az említett bruttó pozíciókra is alkalmazandó megkülönböztetésével kapcsolatban lásd az 575/2013/EU rendelet 328. cikkének</w:t>
            </w:r>
            <w:r>
              <w:rPr>
                <w:rFonts w:ascii="Times New Roman" w:hAnsi="Times New Roman"/>
                <w:sz w:val="24"/>
              </w:rPr>
              <w:t xml:space="preserve"> (2) bekezdését</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w:t>
            </w:r>
            <w:r>
              <w:rPr>
                <w:rFonts w:ascii="Times New Roman" w:hAnsi="Times New Roman"/>
                <w:sz w:val="24"/>
              </w:rPr>
              <w:t xml:space="preserve"> </w:t>
            </w:r>
            <w:r>
              <w:rPr>
                <w:rFonts w:ascii="Times New Roman" w:hAnsi="Times New Roman"/>
                <w:b/>
                <w:sz w:val="24"/>
                <w:u w:val="single"/>
              </w:rPr>
              <w:t>POZÍCIÓK (HOSSZÚ ÉS RÖVID)</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Az 575/2013/EU rendelet 244. cikke (1) bekezdésének b) pontja,</w:t>
            </w:r>
            <w:r>
              <w:rPr>
                <w:rFonts w:ascii="Times New Roman" w:hAnsi="Times New Roman"/>
                <w:sz w:val="24"/>
              </w:rPr>
              <w:t xml:space="preserve"> 245. cikke (1) bekezdésének b) pontja, valamint 253. cikke</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w:t>
            </w:r>
            <w:r>
              <w:rPr>
                <w:rFonts w:ascii="Times New Roman" w:hAnsi="Times New Roman"/>
                <w:b/>
                <w:sz w:val="24"/>
                <w:u w:val="single"/>
              </w:rPr>
              <w:t xml:space="preserve"> (HOSSZÚ ÉS RÖVID)</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 xml:space="preserve">Az </w:t>
            </w:r>
            <w:r>
              <w:rPr>
                <w:rStyle w:val="InstructionsTabelleText"/>
                <w:rFonts w:ascii="Times New Roman" w:hAnsi="Times New Roman"/>
                <w:sz w:val="24"/>
              </w:rPr>
              <w:t>575/2013/EU rendelet 327., 328., 329</w:t>
            </w:r>
            <w:r>
              <w:rPr>
                <w:rFonts w:ascii="Times New Roman" w:hAnsi="Times New Roman"/>
                <w:sz w:val="24"/>
              </w:rPr>
              <w:t xml:space="preserve"> és 334. cikke</w:t>
            </w:r>
            <w:r>
              <w:rPr>
                <w:rStyle w:val="InstructionsTabelleText"/>
                <w:rFonts w:ascii="Times New Roman" w:hAnsi="Times New Roman"/>
                <w:sz w:val="24"/>
              </w:rPr>
              <w:t>. A hosszú és rövid pozíciók megkülönböztetésével kapcsolatban lásd az 575/2013/EU rendelet</w:t>
            </w:r>
            <w:r>
              <w:rPr>
                <w:rFonts w:ascii="Times New Roman" w:hAnsi="Times New Roman"/>
                <w:sz w:val="24"/>
              </w:rPr>
              <w:t xml:space="preserve"> 328. cikkének (2) bekezdését</w:t>
            </w:r>
            <w:r>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KOCKÁZATI SÚLY SZERINTI BONTÁSA</w:t>
            </w:r>
          </w:p>
          <w:p w14:paraId="3ECFC065" w14:textId="41D71775" w:rsidR="00C3548F"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Az 575/2013/EU rendelet 259–262. cikke, 263. cikkének 1. és 2. táblázata, 264. cikkének 3. és 4. táblázata, valamint</w:t>
            </w:r>
            <w:r>
              <w:rPr>
                <w:rFonts w:ascii="Times New Roman" w:hAnsi="Times New Roman"/>
                <w:sz w:val="24"/>
              </w:rPr>
              <w:t xml:space="preserve"> 266. cikke</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A hosszú és rövid pozíciókat külön kell csoportosítani.</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w:t>
            </w:r>
            <w:r>
              <w:rPr>
                <w:rFonts w:ascii="Times New Roman" w:hAnsi="Times New Roman"/>
                <w:sz w:val="24"/>
              </w:rPr>
              <w:t xml:space="preserve"> cikke</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259. és 260.</w:t>
            </w:r>
            <w:r>
              <w:rPr>
                <w:rFonts w:ascii="Times New Roman" w:hAnsi="Times New Roman"/>
                <w:sz w:val="24"/>
              </w:rPr>
              <w:t xml:space="preserve"> cikke</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261. és 262.</w:t>
            </w:r>
            <w:r>
              <w:rPr>
                <w:rFonts w:ascii="Times New Roman" w:hAnsi="Times New Roman"/>
                <w:sz w:val="24"/>
              </w:rPr>
              <w:t xml:space="preserve"> cikke</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263. és 264.</w:t>
            </w:r>
            <w:r>
              <w:rPr>
                <w:rFonts w:ascii="Times New Roman" w:hAnsi="Times New Roman"/>
                <w:sz w:val="24"/>
              </w:rPr>
              <w:t xml:space="preserve"> cikke</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5354C48C" w14:textId="67E47F49" w:rsidR="00C55547" w:rsidRPr="002A677E" w:rsidRDefault="00C55547" w:rsidP="007062FD">
            <w:pPr>
              <w:rPr>
                <w:rFonts w:ascii="Times New Roman" w:hAnsi="Times New Roman"/>
                <w:bCs/>
                <w:sz w:val="24"/>
                <w:u w:val="single"/>
              </w:rPr>
            </w:pPr>
            <w:r>
              <w:rPr>
                <w:rStyle w:val="InstructionsTabelleText"/>
                <w:rFonts w:ascii="Times New Roman" w:hAnsi="Times New Roman"/>
                <w:sz w:val="24"/>
              </w:rPr>
              <w:t>Az 575/2013/EU rendelet 254. és 265. cikke,</w:t>
            </w:r>
            <w:r>
              <w:rPr>
                <w:rFonts w:ascii="Times New Roman" w:hAnsi="Times New Roman"/>
                <w:sz w:val="24"/>
              </w:rPr>
              <w:t xml:space="preserve"> valamint 266. cikkének (5) bekezdése</w:t>
            </w:r>
            <w:r>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ÉRTÉKPAPÍROSÍTÁSÁNAK ELŐRESOROLT ÜGYLETRÉSZSOROZATAINAK EGYEDI KEZELÉSE</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Az 575/2013/EU rendelet 269a. cikkének (3) bekezdése</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p>
          <w:p w14:paraId="1684F52F" w14:textId="43F3FE5E" w:rsidR="00C55547" w:rsidRPr="002A677E"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(EU) 2017/2402 RENDELET 2. FEJEZETÉNEK MEGSÉRTÉSE MIATTI ÁLTALÁNOS HATÁS (KORREKCIÓ)</w:t>
            </w:r>
          </w:p>
          <w:p w14:paraId="3FBEAE4C" w14:textId="027236BE" w:rsidR="00C55547" w:rsidRPr="002A677E"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270a. cikke</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ELŐTT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Az 575/2013/EU rendelet 337. cikke, figyelmen kívül hagyva a CRR 335. cikkében biztosított jogosultságot, amely alapján egy intézmény a nemteljesítési kockázathoz kapcsolódó veszteség lehetséges maximális összegében korlátozhatja a súly és a nettó pozíció szorzatát.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UTÁN/TELJES SZAVATOLÓTŐKE-KÖVETELMÉNY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 xml:space="preserve">Az 575/2013/EU rendelet 337. cikke, </w:t>
            </w:r>
            <w:r>
              <w:rPr>
                <w:rStyle w:val="InstructionsTabelleText"/>
                <w:rFonts w:ascii="Times New Roman" w:hAnsi="Times New Roman"/>
                <w:sz w:val="24"/>
              </w:rPr>
              <w:t>figyelembe véve</w:t>
            </w:r>
            <w:r>
              <w:rPr>
                <w:rFonts w:ascii="Times New Roman" w:hAnsi="Times New Roman"/>
                <w:sz w:val="24"/>
              </w:rPr>
              <w:t xml:space="preserve"> az említett rendelet 335. cikkében biztosított jogosultságot.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TELJES KITETTSÉG</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A kereskedési könyvben nyilvántartott, fennálló értékpapírosítások és újra-értékpapírosítások összértéke az értékpapírosítást kezdeményező vagy befektető vagy szponzor szerepét betöltő intézmény adatszolgáltatása szerint.</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és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Az 575/2013/EU rendelet 4. cikke (1) bekezdésének 62. pontja</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és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ÚJRA-ÉRTÉKPAPÍROSÍTÁSI POZÍCIÓK</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64. pontja</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és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EBBŐL: DIFFERENCIÁLT TŐKEKÖVETELMÉNY-MEGÁLLAPÍTÁSRA JOGOSULT</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Azon értékpapírosítási pozíciók teljes összege, amelyek megfelelnek az 575/2013/EU rendelet 243. vagy 270. cikkében foglalt kritériumoknak, és ezért differenciált tőkekövetelmény-megállapításra jogosultak.</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13. pontja</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sem az eredeti hitelező szerepét nem tölti be.</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Az 575/2013/EU rendelet 4. cikke (1) bekezdésének 14. pontja</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6040006"/>
      <w:r>
        <w:rPr>
          <w:rFonts w:ascii="Times New Roman" w:hAnsi="Times New Roman"/>
          <w:sz w:val="24"/>
          <w:u w:val="none"/>
        </w:rPr>
        <w:t>5.3.</w:t>
      </w:r>
      <w:r>
        <w:rPr>
          <w:rFonts w:ascii="Times New Roman" w:hAnsi="Times New Roman"/>
          <w:sz w:val="24"/>
          <w:u w:val="none"/>
        </w:rPr>
        <w:tab/>
      </w:r>
      <w:r>
        <w:rPr>
          <w:rFonts w:ascii="Times New Roman" w:hAnsi="Times New Roman"/>
          <w:sz w:val="24"/>
        </w:rPr>
        <w:t>C 20.00 – PIACI KOCKÁZAT: A KORRELÁCIÓKERESKEDÉSI PORTFÓLIÓBA SOROLT POZÍCIÓK EGYEDI KOCKÁZATÁNAK SZTENDERD MÓDSZERE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6040007"/>
      <w:r>
        <w:rPr>
          <w:rFonts w:ascii="Times New Roman" w:hAnsi="Times New Roman"/>
          <w:sz w:val="24"/>
          <w:u w:val="none"/>
        </w:rPr>
        <w:t>5.3.1.</w:t>
      </w:r>
      <w:r>
        <w:rPr>
          <w:rFonts w:ascii="Times New Roman" w:hAnsi="Times New Roman"/>
          <w:sz w:val="24"/>
          <w:u w:val="none"/>
        </w:rPr>
        <w:tab/>
      </w:r>
      <w:r>
        <w:rPr>
          <w:rFonts w:ascii="Times New Roman" w:hAnsi="Times New Roman"/>
          <w:sz w:val="24"/>
        </w:rPr>
        <w:t>Általános megjegyzések</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t>165</w:t>
      </w:r>
      <w:r w:rsidRPr="00624117">
        <w:fldChar w:fldCharType="end"/>
      </w:r>
      <w:r>
        <w:t>. Ezen a táblán a sztenderd módszer alkalmazási körébe tartozó korrelációkereskedési portfólióban (CTP) levő pozíciókról (értékpapírosításokról, n-edik nemteljesítéskor lehívható hitelderivatívákról és az 575/2013/EU rendelet 338. cikkének (3) bekezdése alapján besorolt egyéb CTP-pozíciókról), valamint az ezekhez kapcsolódó szavatolótőke-követelményről kell adatot szolgáltatni.</w:t>
      </w:r>
    </w:p>
    <w:p w14:paraId="7D9D9B10" w14:textId="4644204E" w:rsidR="00C5554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166</w:t>
      </w:r>
      <w:r>
        <w:rPr>
          <w:noProof/>
        </w:rPr>
        <w:fldChar w:fldCharType="end"/>
      </w:r>
      <w:r w:rsidR="00C3070C">
        <w:t>.</w:t>
      </w:r>
      <w:r w:rsidR="00C3070C">
        <w:tab/>
        <w:t xml:space="preserve"> Az MKR SA CTP tábla kizárólag az 575/2013/EU rendelet 335. cikke, valamint azzal összefüggésben az említett rendelet 338. cikkének (2) és (3) bekezdése szerint a CTP-be sorolt pozíciók egyedi kockázatához kapcsolódó szavatolótőke-követelményt mutatja be. Ha a kereskedési könyvben nyilvántartott CTP-pozíciókat hitelderivatívákkal fedezik, akkor az 575/2013/EU rendelet 346. és 347. cikkét kell alkalmazni. Valamennyi kereskedési könyvi CTP-pozícióról egy táblán kell adatot szolgáltatni attól függetlenül, hogy az intézmény melyik módszert alkalmazza az 575/2013/EU rendelet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14:paraId="2252BE4F" w14:textId="3E983CC2" w:rsidR="00C5554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167</w:t>
      </w:r>
      <w:r>
        <w:rPr>
          <w:noProof/>
        </w:rPr>
        <w:fldChar w:fldCharType="end"/>
      </w:r>
      <w:r w:rsidR="00C3070C">
        <w:t>.</w:t>
      </w:r>
      <w:r w:rsidR="00C3070C">
        <w:tab/>
        <w:t xml:space="preserve"> A tábla elkülöníti az értékpapírosítási pozíciókat, az n-edik nemteljesítéskor lehívható hitelderivatívákat, valamint az egyéb CTP-pozíciókat. Az értékpapírosítási pozíciókat minden esetben a 0030-as, 0060-as vagy 0090-es sorban kell feltüntetni az intézmény által az értékpapírosításban betöltött szereptől függően. Az n-edik nemteljesítéskor lehívható hitelderivatívákat minden esetben a 0110-es sorban kell feltüntetni. Az „egyéb CTP-pozíciók” nem értékpapírosítási pozíciók és nem az n-edik nemteljesítéskor lehívható hitelderivatívák (lásd az 575/2013/EU rendelet 338. cikkének (3) bekezdését), de a fedezési szándék miatt egyértelműen kapcsolódnak e két pozíció egyikéhez. </w:t>
      </w:r>
    </w:p>
    <w:p w14:paraId="5B5B9C2A" w14:textId="20924476" w:rsidR="00C55547"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168</w:t>
      </w:r>
      <w:r>
        <w:rPr>
          <w:noProof/>
        </w:rPr>
        <w:fldChar w:fldCharType="end"/>
      </w:r>
      <w:r w:rsidR="00C3070C">
        <w:t>.</w:t>
      </w:r>
      <w:r w:rsidR="00C3070C">
        <w:tab/>
        <w:t xml:space="preserve"> Az 1 250 %-os kockázati súlyú pozíciók az elsődleges alapvető tőkéből (CET1) is levonhatók (lásd az 575/2013/EU rendelet 244. cikke (1) bekezdésének b) pontját, 245. cikke (1) bekezdésének b) pontját és 253. cikkét). Ebben az esetben a pozícióról a CA1 tábla 0460-as sorában kell adatot szolgáltatni.</w:t>
      </w:r>
    </w:p>
    <w:p w14:paraId="6482CB53" w14:textId="757DD63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6040008"/>
      <w:r>
        <w:rPr>
          <w:rFonts w:ascii="Times New Roman" w:hAnsi="Times New Roman"/>
          <w:sz w:val="24"/>
          <w:u w:val="none"/>
        </w:rPr>
        <w:t>5.3.2.</w:t>
      </w:r>
      <w:r>
        <w:rPr>
          <w:rFonts w:ascii="Times New Roman" w:hAnsi="Times New Roman"/>
          <w:sz w:val="24"/>
          <w:u w:val="none"/>
        </w:rPr>
        <w:tab/>
      </w:r>
      <w:r>
        <w:rPr>
          <w:rFonts w:ascii="Times New Roman" w:hAnsi="Times New Roman"/>
          <w:sz w:val="24"/>
        </w:rPr>
        <w:t>A tábla egyes részeire vonatkozó útmutató</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ÖSSZES POZÍCIÓ (HOSSZÚ ÉS RÖVID)</w:t>
            </w:r>
          </w:p>
          <w:p w14:paraId="4F3CF7CB" w14:textId="017BAB06" w:rsidR="005C14B0" w:rsidRPr="002A677E" w:rsidRDefault="00C55547" w:rsidP="00E10B85">
            <w:pPr>
              <w:rPr>
                <w:rFonts w:ascii="Times New Roman" w:hAnsi="Times New Roman"/>
                <w:sz w:val="24"/>
              </w:rPr>
            </w:pPr>
            <w:r>
              <w:rPr>
                <w:rFonts w:ascii="Times New Roman" w:hAnsi="Times New Roman"/>
                <w:sz w:val="24"/>
              </w:rPr>
              <w:t>Az 575/2013/EU rendelet 102. cikke, valamint 105. cikkének (1) bekezdése az említett rendelet 338. cikke (2) és (3) bekezdésével összefüggésben (a korrelációkereskedési portfólióba sorolt pozíciókkal)</w:t>
            </w:r>
          </w:p>
          <w:p w14:paraId="70FB0860" w14:textId="005CBA75" w:rsidR="00C55547" w:rsidRPr="002A677E" w:rsidRDefault="00C55547" w:rsidP="0002267E">
            <w:pPr>
              <w:rPr>
                <w:rFonts w:ascii="Times New Roman" w:hAnsi="Times New Roman"/>
                <w:sz w:val="24"/>
              </w:rPr>
            </w:pPr>
            <w:r>
              <w:rPr>
                <w:rFonts w:ascii="Times New Roman" w:hAnsi="Times New Roman"/>
                <w:sz w:val="24"/>
              </w:rPr>
              <w:lastRenderedPageBreak/>
              <w:t>A hosszú és rövid pozícióknak az említett bruttó pozíciókra is alkalmazandó megkülönböztetésével kapcsolatban lásd az 575/2013/EU rendelet 328. cikkének (2) bekezdését.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 POZÍCIÓK (HOSSZÚ ÉS RÖVID)</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Az 575/2013/EU rendelet 253. cikke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 (HOSSZÚ ÉS RÖVID)</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Az 575/2013/EU rendelet 327., 328., 329 és 334. cikke. </w:t>
            </w:r>
          </w:p>
          <w:p w14:paraId="6C03F093" w14:textId="2B98C3C7" w:rsidR="00C55547" w:rsidRPr="002A677E" w:rsidRDefault="00C55547" w:rsidP="00E64BFE">
            <w:pPr>
              <w:rPr>
                <w:rFonts w:ascii="Times New Roman" w:hAnsi="Times New Roman"/>
                <w:sz w:val="24"/>
              </w:rPr>
            </w:pPr>
            <w:r>
              <w:rPr>
                <w:rFonts w:ascii="Times New Roman" w:hAnsi="Times New Roman"/>
                <w:sz w:val="24"/>
              </w:rPr>
              <w:t>A hosszú és rövid pozíciók megkülönböztetésével kapcsolatban lásd az 575/2013/EU rendelet 328. cikkének (2) bekezdését.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 NETTÓ POZÍCIÓK KOCKÁZATI SÚLY SZERINTI BONTÁSA</w:t>
            </w:r>
          </w:p>
          <w:p w14:paraId="691F4414" w14:textId="030DE019" w:rsidR="00C55547" w:rsidRPr="002A677E" w:rsidRDefault="00133396" w:rsidP="001F2389">
            <w:pPr>
              <w:rPr>
                <w:rFonts w:ascii="Times New Roman" w:hAnsi="Times New Roman"/>
                <w:sz w:val="24"/>
              </w:rPr>
            </w:pPr>
            <w:r>
              <w:rPr>
                <w:rStyle w:val="InstructionsTabelleText"/>
                <w:rFonts w:ascii="Times New Roman" w:hAnsi="Times New Roman"/>
                <w:sz w:val="24"/>
              </w:rPr>
              <w:t>Az 575/2013/EU rendelet 259–262. cikke, 263. cikkének 1. és 2. táblázata, 264. cikkének 3. és 4. táblázata, valamint</w:t>
            </w:r>
            <w:r>
              <w:rPr>
                <w:rFonts w:ascii="Times New Roman" w:hAnsi="Times New Roman"/>
                <w:sz w:val="24"/>
              </w:rPr>
              <w:t xml:space="preserve"> 266. cikke</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 xml:space="preserve">254. cikke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259. és 260.</w:t>
            </w:r>
            <w:r>
              <w:rPr>
                <w:rFonts w:ascii="Times New Roman" w:hAnsi="Times New Roman"/>
                <w:sz w:val="24"/>
              </w:rPr>
              <w:t xml:space="preserve"> cikke</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261. és 262.</w:t>
            </w:r>
            <w:r>
              <w:rPr>
                <w:rFonts w:ascii="Times New Roman" w:hAnsi="Times New Roman"/>
                <w:sz w:val="24"/>
              </w:rPr>
              <w:t xml:space="preserve"> cikke</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263. és 264.</w:t>
            </w:r>
            <w:r>
              <w:rPr>
                <w:rFonts w:ascii="Times New Roman" w:hAnsi="Times New Roman"/>
                <w:sz w:val="24"/>
              </w:rPr>
              <w:t xml:space="preserve"> cikke</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Az 575/2013/EU rendelet 254. és 265. cikke, valamint 266. cikkének (5)</w:t>
            </w:r>
            <w:r>
              <w:rPr>
                <w:rFonts w:ascii="Times New Roman" w:hAnsi="Times New Roman"/>
                <w:sz w:val="24"/>
              </w:rPr>
              <w:t xml:space="preserve"> bekezdése</w:t>
            </w:r>
            <w:r>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ÉRTÉKPAPÍROSÍTÁSÁNAK ELŐRESOROLT ÜGYLETRÉSZSOROZATAINAK EGYEDI KEZELÉSE</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269a.</w:t>
            </w:r>
            <w:r>
              <w:rPr>
                <w:rFonts w:ascii="Times New Roman" w:hAnsi="Times New Roman"/>
                <w:sz w:val="24"/>
              </w:rPr>
              <w:t xml:space="preserve"> cikkének (3) bekezdése</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ELŐTT – SÚLYOZOTT NETTÓ HOSSZÚ ÉS RÖVID POZÍCIÓK</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Az 575/2013/EU rendelet 338. cikke, figyelmen kívül hagyva az említett rendelet 335. cikkében biztosított jogosultságot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UTÁN – SÚLYOZOTT NETTÓ HOSSZÚ ÉS RÖVID POZÍCIÓK</w:t>
            </w:r>
          </w:p>
          <w:p w14:paraId="3304B399" w14:textId="1538540C" w:rsidR="00C55547" w:rsidRPr="002A677E" w:rsidRDefault="00C55547" w:rsidP="007062FD">
            <w:pPr>
              <w:rPr>
                <w:rFonts w:ascii="Times New Roman" w:hAnsi="Times New Roman"/>
                <w:sz w:val="24"/>
              </w:rPr>
            </w:pPr>
            <w:r>
              <w:rPr>
                <w:rFonts w:ascii="Times New Roman" w:hAnsi="Times New Roman"/>
                <w:sz w:val="24"/>
              </w:rPr>
              <w:lastRenderedPageBreak/>
              <w:t xml:space="preserve">Az 575/2013/EU rendelet 338. cikke, figyelembe véve az említett rendelet 335. cikkében biztosított jogosultságot.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lastRenderedPageBreak/>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SZAVATOLÓTŐKE-KÖVETELMÉNY</w:t>
            </w:r>
          </w:p>
          <w:p w14:paraId="7DEA5D32" w14:textId="77777777" w:rsidR="00C55547" w:rsidRPr="002A677E" w:rsidRDefault="00C55547" w:rsidP="00E10B85">
            <w:pPr>
              <w:rPr>
                <w:rFonts w:ascii="Times New Roman" w:hAnsi="Times New Roman"/>
                <w:sz w:val="24"/>
              </w:rPr>
            </w:pPr>
            <w:r>
              <w:rPr>
                <w:rFonts w:ascii="Times New Roman" w:hAnsi="Times New Roman"/>
                <w:sz w:val="24"/>
              </w:rPr>
              <w:t>A szavatolótőke-követelmény az i. kizárólag a nettó hosszú pozíciók egyedi kockázatához kapcsolódó szavatolótőke-követelmény (0430-as oszlop), valamint ii. kizárólag a nettó rövid pozíciók egyedi kockázatához kapcsolódó szavatolótőke-követelmény (0440-es oszlop) közül a nagyobb érték.</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KITETTSÉG</w:t>
            </w:r>
          </w:p>
          <w:p w14:paraId="47BDA358" w14:textId="77777777" w:rsidR="00C55547" w:rsidRPr="002A677E" w:rsidRDefault="00C55547" w:rsidP="00E10B85">
            <w:pPr>
              <w:rPr>
                <w:rFonts w:ascii="Times New Roman" w:hAnsi="Times New Roman"/>
                <w:sz w:val="24"/>
              </w:rPr>
            </w:pPr>
            <w:r>
              <w:rPr>
                <w:rFonts w:ascii="Times New Roman" w:hAnsi="Times New Roman"/>
                <w:sz w:val="24"/>
              </w:rPr>
              <w:t>A korrelációkereskedési portfólióban nyilvántartott, fennálló pozíciók összértéke az értékpapírosítást kezdeményező, befektető vagy szponzor szerepét betöltő intézmény adatszolgáltatása szerint.</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Az 575/2013/EU rendelet 4. cikke (1) bekezdésének 13. pontja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14:paraId="5507389D" w14:textId="77777777" w:rsidR="00C55547" w:rsidRPr="002A677E" w:rsidRDefault="00C55547">
            <w:pPr>
              <w:rPr>
                <w:rFonts w:ascii="Times New Roman" w:hAnsi="Times New Roman"/>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sem az eredeti hitelező szerepét nem tölti be.</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14:paraId="65D6B605" w14:textId="002B3FBA" w:rsidR="005C14B0" w:rsidRPr="002A677E" w:rsidRDefault="00E64BFE" w:rsidP="001E0C80">
            <w:pPr>
              <w:rPr>
                <w:rFonts w:ascii="Times New Roman" w:hAnsi="Times New Roman"/>
                <w:sz w:val="24"/>
              </w:rPr>
            </w:pPr>
            <w:r>
              <w:rPr>
                <w:rFonts w:ascii="Times New Roman" w:hAnsi="Times New Roman"/>
                <w:sz w:val="24"/>
              </w:rPr>
              <w:t xml:space="preserve"> Az 575/2013/EU rendelet 4. cikke (1) bekezdésének 14. pontja </w:t>
            </w:r>
          </w:p>
          <w:p w14:paraId="7911CCA2" w14:textId="77777777" w:rsidR="00C55547" w:rsidRPr="002A677E" w:rsidRDefault="005F3BBE" w:rsidP="005F3BBE">
            <w:pPr>
              <w:rPr>
                <w:rFonts w:ascii="Times New Roman" w:hAnsi="Times New Roman"/>
                <w:sz w:val="24"/>
              </w:rPr>
            </w:pPr>
            <w:r>
              <w:rPr>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és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3E2839F4" w14:textId="4835C00E" w:rsidR="00C55547" w:rsidRPr="002A677E" w:rsidRDefault="00C55547" w:rsidP="00E10B85">
            <w:pPr>
              <w:rPr>
                <w:rFonts w:ascii="Times New Roman" w:hAnsi="Times New Roman"/>
                <w:sz w:val="24"/>
              </w:rPr>
            </w:pPr>
            <w:r>
              <w:rPr>
                <w:rFonts w:ascii="Times New Roman" w:hAnsi="Times New Roman"/>
                <w:sz w:val="24"/>
              </w:rPr>
              <w:t>A korrelációkereskedési portfólió értékpapírosításokat, n-edik nemteljesítéskor lehívható hitelderivatívákat, valamint esetlegesen az 575/2013/EU rendelet 338. cikkének (2) és (3) bekezdésében előírt kritériumokat teljesítő egyéb fedezeti pozíciókat foglal magában.</w:t>
            </w:r>
          </w:p>
          <w:p w14:paraId="284429BF" w14:textId="77777777" w:rsidR="00C55547" w:rsidRPr="002A677E" w:rsidRDefault="00C55547" w:rsidP="00E10B85">
            <w:pPr>
              <w:rPr>
                <w:rFonts w:ascii="Times New Roman" w:hAnsi="Times New Roman"/>
                <w:sz w:val="24"/>
              </w:rPr>
            </w:pPr>
            <w:r>
              <w:rPr>
                <w:rFonts w:ascii="Times New Roman" w:hAnsi="Times New Roman"/>
                <w:sz w:val="24"/>
              </w:rPr>
              <w:t>Az értékpapírosítási kitettségek arányos részesedést biztosító származtatott ügyleteit, valamint a CTP-pozíciókat fedező pozíciókat az „Egyéb CTP-pozíciók” sorban kell feltüntetni.</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N-EDIK NEMTELJESÍTÉSKOR LEHÍVHATÓ HITELDERIVATÍVÁK</w:t>
            </w:r>
          </w:p>
          <w:p w14:paraId="298FC0AB" w14:textId="5115C116" w:rsidR="00C55547" w:rsidRPr="002A677E" w:rsidRDefault="00C55547" w:rsidP="00E10B85">
            <w:pPr>
              <w:rPr>
                <w:rFonts w:ascii="Times New Roman" w:hAnsi="Times New Roman"/>
                <w:sz w:val="24"/>
              </w:rPr>
            </w:pPr>
            <w:r>
              <w:rPr>
                <w:rFonts w:ascii="Times New Roman" w:hAnsi="Times New Roman"/>
                <w:sz w:val="24"/>
              </w:rPr>
              <w:t>Itt az n-edik nemteljesítéskor lehívható hitelderivatívákat, valamint az azokat az 575/2013/EU rendelet 347. cikke szerint fedező n-edik nemteljesítéskor lehívható hitelderivatívákat kell megadni.</w:t>
            </w:r>
          </w:p>
          <w:p w14:paraId="0ADF3C10" w14:textId="77777777" w:rsidR="00C55547" w:rsidRPr="002A677E" w:rsidRDefault="00C55547" w:rsidP="00E10B85">
            <w:pPr>
              <w:rPr>
                <w:rFonts w:ascii="Times New Roman" w:hAnsi="Times New Roman"/>
                <w:sz w:val="24"/>
              </w:rPr>
            </w:pPr>
            <w:r>
              <w:rPr>
                <w:rFonts w:ascii="Times New Roman" w:hAnsi="Times New Roman"/>
                <w:sz w:val="24"/>
              </w:rPr>
              <w:lastRenderedPageBreak/>
              <w:t>Az értékpapírosítást kezdeményező, a befektető és szponzor pozíciói az n-edik nemteljesítéskor lehívható hitelderivatívákkal nem egyeztethetők össze. Emiatt az értékpapírosítási pozícióknál alkalmazott megbontás az n-edik nemteljesítéskor lehívható hitelderivatívák esetében nem alkalmazható.</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és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EGYÉB CTP-POZÍCIÓK</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Az alábbi pozíciók tartoznak ide: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rPr>
                <w:sz w:val="24"/>
              </w:rPr>
              <w:tab/>
            </w:r>
            <w:r>
              <w:rPr>
                <w:rFonts w:ascii="Times New Roman" w:hAnsi="Times New Roman"/>
              </w:rPr>
              <w:t>az értékpapírosítási kitettségek arányos részesedést biztosító származtatott ügyletei, valamint a CTP-pozíciókat fedező pozíciók;</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az 575/2013/EU rendelet 346. cikke szerint hitelderivatívákkal fedezett CTP-pozíciók;</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rPr>
                <w:rFonts w:ascii="Times New Roman" w:hAnsi="Times New Roman"/>
                <w:sz w:val="24"/>
              </w:rPr>
              <w:tab/>
              <w:t>Az 575/2013/EU rendelet 338. cikkének (3) bekezdése szerinti egyéb pozíciók.</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6040009"/>
      <w:r>
        <w:rPr>
          <w:rFonts w:ascii="Times New Roman" w:hAnsi="Times New Roman"/>
          <w:sz w:val="24"/>
          <w:u w:val="none"/>
        </w:rPr>
        <w:t>5.4.</w:t>
      </w:r>
      <w:r>
        <w:rPr>
          <w:rFonts w:ascii="Times New Roman" w:hAnsi="Times New Roman"/>
          <w:sz w:val="24"/>
          <w:u w:val="none"/>
        </w:rPr>
        <w:tab/>
      </w:r>
      <w:r>
        <w:rPr>
          <w:rFonts w:ascii="Times New Roman" w:hAnsi="Times New Roman"/>
          <w:sz w:val="24"/>
        </w:rPr>
        <w:t>C 21.00 – Piaci kockázat: A részények pozíciókockázatának sztenderd módszere</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6040010"/>
      <w:r>
        <w:rPr>
          <w:rFonts w:ascii="Times New Roman" w:hAnsi="Times New Roman"/>
          <w:sz w:val="24"/>
          <w:u w:val="none"/>
        </w:rPr>
        <w:t>5.4.1.</w:t>
      </w:r>
      <w:r>
        <w:rPr>
          <w:rFonts w:ascii="Times New Roman" w:hAnsi="Times New Roman"/>
          <w:sz w:val="24"/>
          <w:u w:val="none"/>
        </w:rPr>
        <w:tab/>
      </w:r>
      <w:r>
        <w:rPr>
          <w:rFonts w:ascii="Times New Roman" w:hAnsi="Times New Roman"/>
          <w:sz w:val="24"/>
        </w:rPr>
        <w:t>Általános megjegyzések</w:t>
      </w:r>
      <w:bookmarkEnd w:id="672"/>
      <w:bookmarkEnd w:id="673"/>
      <w:bookmarkEnd w:id="674"/>
      <w:bookmarkEnd w:id="675"/>
      <w:bookmarkEnd w:id="676"/>
      <w:bookmarkEnd w:id="677"/>
      <w:bookmarkEnd w:id="678"/>
    </w:p>
    <w:p w14:paraId="1BA8EF6D" w14:textId="77777777"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169</w:t>
      </w:r>
      <w:r>
        <w:rPr>
          <w:noProof/>
        </w:rPr>
        <w:fldChar w:fldCharType="end"/>
      </w:r>
      <w:r w:rsidR="00C3070C">
        <w:t>.</w:t>
      </w:r>
      <w:r w:rsidR="00C3070C">
        <w:tab/>
        <w:t xml:space="preserve"> Ezen a táblán a sztenderd módszer alkalmazási körébe tartozó pozíciókról, valamint az ezekhez kapcsolódóan a kereskedési könyvben nyilvántartott részvények pozíciókockázatára vonatkozó szavatolótőke-követelményről kell adatot szolgáltatni.</w:t>
      </w:r>
    </w:p>
    <w:p w14:paraId="3AF5EC7C" w14:textId="2700379B" w:rsidR="00B828CC"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170</w:t>
      </w:r>
      <w:r>
        <w:rPr>
          <w:noProof/>
        </w:rPr>
        <w:fldChar w:fldCharType="end"/>
      </w:r>
      <w:r w:rsidR="00C3070C">
        <w:t>.</w:t>
      </w:r>
      <w:r w:rsidR="00C3070C">
        <w:tab/>
        <w:t xml:space="preserve"> A táblát külön ki kell tölteni összesítve, valamint az alábbi előre meghatározott felsorolásban szereplő piacokra vonatkozóan: Albánia, Bulgária, Csehország, Dánia, Egyesült Államok, Egyesült Királyság, Egyiptom, Horvátország, Izland, Japán, Lengyelország, Liechtenstein, Macedónia, Magyarország, Norvégia, Oroszország, Románia, Svájc, Svédország, Szerbia, Törökország, Ukrajna, az euróövezet, továbbá egy tábla az összes többi piacra összesítve. Ezen adatszolgáltatási kötelezettség alkalmazásában piac alatt országot kell érteni (kivéve az euróövezethez tartozó országokat, lásd az 525/2014/EU felhatalmazáson alapuló bizottsági rendeletet</w:t>
      </w:r>
      <w:r w:rsidR="00B828CC" w:rsidRPr="002A677E">
        <w:rPr>
          <w:rStyle w:val="FootnoteReference"/>
        </w:rPr>
        <w:footnoteReference w:id="8"/>
      </w:r>
      <w:r w:rsidR="00C3070C">
        <w:t>).</w:t>
      </w:r>
    </w:p>
    <w:p w14:paraId="077E1A41" w14:textId="4DD71D4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6040011"/>
      <w:r>
        <w:rPr>
          <w:rFonts w:ascii="Times New Roman" w:hAnsi="Times New Roman"/>
          <w:sz w:val="24"/>
          <w:u w:val="none"/>
        </w:rPr>
        <w:t>5.4.2.</w:t>
      </w:r>
      <w:r>
        <w:rPr>
          <w:rFonts w:ascii="Times New Roman" w:hAnsi="Times New Roman"/>
          <w:sz w:val="24"/>
          <w:u w:val="none"/>
        </w:rPr>
        <w:tab/>
      </w:r>
      <w:r>
        <w:rPr>
          <w:rFonts w:ascii="Times New Roman" w:hAnsi="Times New Roman"/>
          <w:sz w:val="24"/>
        </w:rPr>
        <w:t>A tábla egyes részeire vonatkozó útmutató</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ÖSSZES POZÍCIÓ (HOSSZÚ ÉS RÖVID)</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Az 575/2013/EU rendelet 102. cikke, valamint 105. cikkének (1) bekezdése.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Bruttó, instrumentumonként nem nettósított pozíciók azon jegyzési pozíciók levonásával, amelyeket harmadik fél az intézménytől lejegyzett, vagy amelyekre </w:t>
            </w:r>
            <w:r>
              <w:rPr>
                <w:rFonts w:ascii="Times New Roman" w:hAnsi="Times New Roman"/>
                <w:sz w:val="24"/>
              </w:rPr>
              <w:lastRenderedPageBreak/>
              <w:t xml:space="preserve">jegyzési garanciát vállalt az 575/2013/EU rendelet 345. cikke (1) bekezdése első albekezdésének második mondatában említettek szerint.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Az 575/2013/EU rendelet 327., 329., 332., 341. és 345. cikke.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Azok a nettó pozíciók, amelyekre az 575/2013/EU rendelet harmadik része IV. címének 2. fejezetében foglalt különböző módszerek szerint tőkekövetelmény vonatkozik. A tőkekövetelményt az egyes nemzeti piacokra külön kell kiszámítani. Az 575/2013/EU rendelet 344. cikke (4) bekezdésének második mondatában említett tőzsdei határidős részvényindex-ügyletekben levő pozíciókat nem kell feltüntetni ebben az oszlopban.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Az 575/2013/EU rendelet harmadik része IV. címe 2. fejezete szerint megállapított, bármely releváns pozícióra vonatkozó szavatolótőke-követelmény.</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Az 575/2013/EU rendelet 92. cikke (4) bekezdésének b) pontja.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A szavatolótőke-követelmény 12,5-del való szorzásának az eredménye.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RÉSZVÉNYEK</w:t>
            </w:r>
          </w:p>
          <w:p w14:paraId="030F1935" w14:textId="1853362A"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Az 575/2013/EU rendelet 92. cikke (3) bekezdése b) pontjának i. alpontjában, valamint az említett rendelet harmadik része IV. címe 2. fejezetének 3. szakaszában említett pozíciókockázathoz kapcsolódó szavatolótőke-követelmény.</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Az általános kockázattal érintett részvényekben lévő pozíciók (az 575/2013/EU rendelet 343. cikke), valamint az azoknak megfelelő, az említett rendelet harmadik része IV. címe 2. fejezetének 3. szakasza szerinti szavatolótőke-követelmény.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Mindkét felosztás (0021/0022-es sorok és 0030/0040-es sorok) valamennyi olyan pozícióhoz kapcsolódik, amelyet általános kockázat érint.</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 0021-es és 0022-es sorban az információkat eszközönkénti bontásban kell megadni.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 szavatolótőke-követelmény számításakor kizárólag a 0030-as és 0040-es sorban csoportosított adatok vehetők figyelembe.</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Származtatott termékek</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A kereskedési könyvi pozíciók részvénypiaci kockázatának számítása során figyelembe vett származtatott ügyletek, az 575/2013/EU rendelet 329. és 332. cikkének figyelembevételével, ha e cikkek alkalmazhatók.</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Egyéb eszközök és kötelezettségek</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A kereskedési könyvi pozíciók részvénypiaci kockázatának számítása során figyelembe vett származtatott ügyleteken kívüli instrumentumok.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Tőzsdei forgalomban szereplő, megfelelően diverzifikált, egyedi módszer alkalmazási körébe tartozó határidős részvényindex-ügyletek</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Tőzsdei forgalomban szereplő, megfelelően diverzifikált, egyedi módszer alkalmazási körébe tartozó határidős részvényindex-ügyletek a 945/2014/EU bizottsági végrehajtási rendelet szerint</w:t>
            </w:r>
            <w:r w:rsidR="00A11C6E" w:rsidRPr="002A677E">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Ezeknél a pozícióknál csak általános kockázat áll fenn, így azok a 0050-es sorban nem tüntethetők fel.</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tőzsdei forgalomban szereplő, megfelelően diverzifikált határidős részvényindex-ügyleteken kívüli részvények</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Az egyedi kockázattal érintett részvényekben lévő egyéb pozíciók, valamint az azoknak megfelelő szavatolótőke-követelmények az 575/2013/EU rendelet 343. cikkének megfelelően, ideértve az említett rendelet 344. cikke (3) bekezdésének megfelelően kezelt tőzsdei határidős részvényindex-ügyletekben lévő pozíciókat.</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Az egyedi kockázattal érintett részvényekben lévő pozíciók, valamint az azoknak megfelelő szavatolótőke-követelmények az 575/2013/EU rendelet 342. cikkének megfelelően, kivéve az említett rendelet 344. cikke (4) bekezdése második mondatának megfelelően kezelt tőzsdei határidős részvényindex-ügyletekben lévő pozíciókat.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Az 575/2013/EU rendelet 329. cikkének (2) és (3) bekezdése.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6040012"/>
      <w:r>
        <w:rPr>
          <w:rFonts w:ascii="Times New Roman" w:hAnsi="Times New Roman"/>
          <w:sz w:val="24"/>
          <w:u w:val="none"/>
        </w:rPr>
        <w:t>5.5.</w:t>
      </w:r>
      <w:r>
        <w:rPr>
          <w:rFonts w:ascii="Times New Roman" w:hAnsi="Times New Roman"/>
          <w:sz w:val="24"/>
          <w:u w:val="none"/>
        </w:rPr>
        <w:tab/>
      </w:r>
      <w:r>
        <w:rPr>
          <w:rFonts w:ascii="Times New Roman" w:hAnsi="Times New Roman"/>
          <w:sz w:val="24"/>
        </w:rPr>
        <w:t xml:space="preserve">C 22.00 – Piaci kockázat: a devizaárfolyam-kockázat sztenderd módszerei </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6040013"/>
      <w:r>
        <w:rPr>
          <w:rFonts w:ascii="Times New Roman" w:hAnsi="Times New Roman"/>
          <w:sz w:val="24"/>
          <w:u w:val="none"/>
        </w:rPr>
        <w:t>5.5.1.</w:t>
      </w:r>
      <w:r>
        <w:rPr>
          <w:rFonts w:ascii="Times New Roman" w:hAnsi="Times New Roman"/>
          <w:sz w:val="24"/>
          <w:u w:val="none"/>
        </w:rPr>
        <w:tab/>
      </w:r>
      <w:r>
        <w:rPr>
          <w:rFonts w:ascii="Times New Roman" w:hAnsi="Times New Roman"/>
          <w:sz w:val="24"/>
        </w:rPr>
        <w:t>Általános megjegyzések</w:t>
      </w:r>
      <w:bookmarkEnd w:id="693"/>
      <w:bookmarkEnd w:id="694"/>
      <w:bookmarkEnd w:id="695"/>
      <w:bookmarkEnd w:id="696"/>
      <w:bookmarkEnd w:id="697"/>
      <w:bookmarkEnd w:id="698"/>
      <w:bookmarkEnd w:id="699"/>
    </w:p>
    <w:p w14:paraId="3B4750B2" w14:textId="77777777" w:rsidR="00F71DF2"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171</w:t>
      </w:r>
      <w:r>
        <w:rPr>
          <w:noProof/>
        </w:rPr>
        <w:fldChar w:fldCharType="end"/>
      </w:r>
      <w:r w:rsidR="00C3070C">
        <w:t>. Ezen a táblán az egyes devizákban lévő pozíciókról (ideértve a beszámoló pénznemét is), valamint ezekhez kapcsolódóan a devizaárfolyam-kockázatra vonatkozó, sztenderd módszer szerinti szavatolótőke-követelményről kell az intézményeknek adatot szolgáltatniuk. A pozíciót az egyes pénznemekre (ideértve az EUR-t is), aranyra, valamint a kollektív befektetési formákra is ki kell számítani.</w:t>
      </w:r>
    </w:p>
    <w:p w14:paraId="39EF826C" w14:textId="74BF82B9"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172</w:t>
      </w:r>
      <w:r>
        <w:rPr>
          <w:noProof/>
        </w:rPr>
        <w:fldChar w:fldCharType="end"/>
      </w:r>
      <w:r w:rsidR="00C3070C">
        <w:t>.</w:t>
      </w:r>
      <w:r w:rsidR="00C3070C">
        <w:tab/>
        <w:t xml:space="preserve"> A tábla 0100–0480-as sorában akkor is adatot kell szolgáltatni, ha az intézmény nem köteles szavatolótőke-követelményt számolni a devizaárfolyam-kockázatra az 575/2013/EU rendelet 351. cikke szerint. E tájékoztató adatok körében a beszámoló pénznemében lévő összes pozíciót is jelenteni kell, függetlenül attól, </w:t>
      </w:r>
      <w:r w:rsidR="00C3070C">
        <w:lastRenderedPageBreak/>
        <w:t>hogy ezeket figyelembe veszik-e az 575/2013/EU rendelet 354. cikkének alkalmazásában. A tábla tájékoztató adatainak 0130–0480-as sorát külön-külön ki kell tölteni az Unió tagállamaiban használt valamennyi pénznemre, a következő GBP, USD, CHF, JPY, RUB, TRY, AUD, CAD, RSD, ALL, UAH, MKD, EGP, ARS, BRL, MXN, HKD, ICK, TWD, NZD, NOK, SGD, KRW, CNY, valamint minden egyéb pénznemre.</w:t>
      </w:r>
    </w:p>
    <w:p w14:paraId="346B4732" w14:textId="275B823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6040014"/>
      <w:r>
        <w:rPr>
          <w:rFonts w:ascii="Times New Roman" w:hAnsi="Times New Roman"/>
          <w:sz w:val="24"/>
          <w:u w:val="none"/>
        </w:rPr>
        <w:t>5.5.2.</w:t>
      </w:r>
      <w:r>
        <w:rPr>
          <w:rFonts w:ascii="Times New Roman" w:hAnsi="Times New Roman"/>
          <w:sz w:val="24"/>
          <w:u w:val="none"/>
        </w:rPr>
        <w:tab/>
      </w:r>
      <w:r>
        <w:rPr>
          <w:rFonts w:ascii="Times New Roman" w:hAnsi="Times New Roman"/>
          <w:sz w:val="24"/>
        </w:rPr>
        <w:t>A tábla egyes részeire vonatkozó útmutató</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Az eszközökből, a jövőben befolyó összegekből és az 575/2013/EU rendelet 352. cikkének (1) bekezdésében említett egyéb tételekből eredő bruttó pozíciók.</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Az 575/2013/EU rendelet 352. cikkének (2) bekezdése alapján és az illetékes hatóságok engedélyének függvényében nem tüntetendők fel azok a pozíciók, amelyeket az intézmény kifejezetten azért vállal, hogy ezzel a devizaárfolyamnak az említett rendelet 92. cikkének (1) bekezdése szerinti tőkemegfelelési mutatókra gyakorolt negatív hatását fedezze, és az olyan tételekhez kapcsolódó pozíciók sem, amelyeket a szavatolótőke-számítás során már levontak.</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Az 575/2013/EU rendelet 352. cikkének (3) bekezdése, 352. cikke (4) bekezdésének első két mondata, valamint 353. cikke.</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nettó pozíciókat pénznemenként kell kiszámítani az 575/2013/EU rendelet 352. cikkének (1) bekezdése szerint. Következésképpen a hosszú és a rövid pozíciókat egyszerre lehet jelenteni.</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352. cikke (4) bekezdésének harmadik mondata, valamint 353. és 354. cikke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TŐKEKÖVETELMÉNNYEL ÉRINTETT POZÍCIÓK (HOSSZÚ ÉS RÖVID)</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Az egyes pénznemekben lévő nettó hosszú és rövid pozíciókat a rövid pozíciók összegének a hosszú pozíciók összegéből való kivonásával kell kiszámítani.</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hosszú pozíció az adott pénznemben végrehajtott műveletekhez tartozó nettó hosszú pozíciók összeadásával számítható ki.</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rövid pozíció az adott pénznemben végrehajtott műveletekhez tartozó nettó rövid pozíciók összeadásával számítható ki.</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rövidek vagy hosszúak.</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 (KIEGYENLÍTETT)</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Egymással nagymértékben korreláló pénznemekben lévő kiegyenlített pozíciók.</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harmadik része IV. címének 3. fejezete szerinti releváns pozíciók tőkekövetelménye.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Az 575/2013/EU rendelet 92. cikke (4) bekezdésének b) pontja.</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 szavatolótőke-követelmény 12,5-del való szorzásának az eredménye.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nem a beszámoló pénznemében meglévő összes pozíció és a beszámoló pénznemében lévő azon pozíciók, amelyeket figyelembe vesznek az 575/2013/EU rendelet 354. cikke alkalmazásában, valamint az ezekhez kapcsolódó, a devizaárfolyam-kockázatra vonatkozó szavatolótőke-követelmény a 92. cikk (3) bekezdés c) pontjának i. alpontjában említettek szerint, figyelembe véve az 575/2013/EU rendelet 352. cikkének (2) és (4) bekezdését (a beszámoló pénznemére történő átváltás tekintetében).</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EGYMÁSSAL NAGYMÉRTÉKBEN KORRELÁLÓ PÉNZNEMEK</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354. cikkében említett, egymással nagymértékben korreláló pénznemekben lévő pozíciók, valamint az ezekhez kapcsolódó szavatolótőke-követelmény.</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Egymással nagymértékben korreláló pénznemek: ebből: a beszámoló pénzneme</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beszámoló pénznemében lévő pozíciók, amelyeket figyelembe vesznek a szavatolótőke-követelmény 575/2013/EU rendelet 354. cikke szerinti kiszámítása során.</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MINDEN EGYÉB PÉNZNEM (a kollektív befektetési formákat külön pénznemként kezelve)</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351. cikkében, valamint 352. cikkének (2) és (4) bekezdésében említett általános eljárás alkalmazási körébe tartozó pénznemekben lévő pozíciók, valamint az ezekhez kapcsolódó szavatolótőke-követelmény.</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lastRenderedPageBreak/>
              <w:t>Az 575/2013/EU rendelet 353. cikke szerint külön pénznemként kezelt kollektív befektetési formákka</w:t>
            </w:r>
            <w:r>
              <w:rPr>
                <w:rFonts w:ascii="Times New Roman" w:hAnsi="Times New Roman"/>
                <w:sz w:val="24"/>
              </w:rPr>
              <w:t>l kapcsolatos adatszolgáltatás</w:t>
            </w:r>
            <w:r>
              <w:rPr>
                <w:rFonts w:ascii="Times New Roman" w:hAnsi="Times New Roman"/>
                <w:sz w:val="24"/>
                <w:u w:val="singl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külön pénznemként kezelt kollektív befektetési formák tőkekövetelménye kétféle módszerrel számítható ki:</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a módosított aranymódszerrel, ha a KBF-ek befektetésének az iránya nem ismert (az ilyen KBF-eket az intézmény teljes nettó devizapozíciójához kell hozzáadni);</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ha a KBF-ek befektetésének az iránya ismert, akkor a KBF-eket a teljes nyitott devizapozícióhoz kell hozzáadni (hosszú vagy rövid, az egyes KBF-ek irányától függően).</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Az érintett KBF-ekről a tőkekövetelmény számításának megfelelően kell adatot szolgáltatni.</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ARANY</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351. cikkében, valamint 352. cikkének (2) és (4) bekezdésében említett általános eljárás alkalmazási körébe tartozó pénznemekben lévő pozíciók, valamint az ezekhez kapcsolódó szavatolótőke-követelmény.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Az 575/2013/EU rendelet 352. cikkének (5) és (6) bekezdése.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nem delta kockázatokkal kapcsolatos, opciókra vonatkozó további követelményeket a kiszámításukhoz használt módszer szerinti bontásban kell feltüntetni.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beszámoló pénznemével együtt számított összes pozíció kitettségtípus szerinti bontása</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összes pozíciót származtatott ügyletek, egyéb eszközök és kötelezettségek, valamint mérlegen kívüli tételek szerint kell felosztani.</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tételnek és származtatott ügyletnek nem minősülő egyéb eszközök és kötelezettségek</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0110-es vagy 0120-as sorban nem szerepeltetett pozíciókat itt kell megadni.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tételek</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352. cikkének hatályába tartozó tételek, tekintet nélkül a denomináció pénznemére, amely tételek az említett rendelet I. mellékletében szerepelnek az értékpapír-finanszírozási ügyletként vagy hosszú teljesítési idejű ügyletként beszámított, vagy eltérő termékkategóriák közötti nettósításról szóló szerződéses megállapodásból eredő tételek kivételével.</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Származtatott termékek</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352. cikkének megfelelően értékelt pozíciók</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TÁJÉKOZTATÓ ADATOK: DEVIZAPOZÍCIÓK</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A tábla tájékoztató adatait külön-külön meg kell adni az Unió tagállamaiban használt valamennyi pénznemre, a következő pénznemekre: GBP, USD, CHF, JPY, RUB, TRY, AUD, CAD, RSD, ALL, UAH, MKD, EGP, ARS, BRL, MXN, HKD, ICK, TWD, NZD, NOK, SGD, KRW, CNY, valamint összevontan minden egyéb pénznemre.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6040015"/>
      <w:r>
        <w:rPr>
          <w:rFonts w:ascii="Times New Roman" w:hAnsi="Times New Roman"/>
          <w:sz w:val="24"/>
          <w:u w:val="none"/>
        </w:rPr>
        <w:t>5.6.</w:t>
      </w:r>
      <w:r>
        <w:rPr>
          <w:rFonts w:ascii="Times New Roman" w:hAnsi="Times New Roman"/>
          <w:sz w:val="24"/>
          <w:u w:val="none"/>
        </w:rPr>
        <w:tab/>
      </w:r>
      <w:r>
        <w:rPr>
          <w:rFonts w:ascii="Times New Roman" w:hAnsi="Times New Roman"/>
          <w:sz w:val="24"/>
        </w:rPr>
        <w:t xml:space="preserve">C 23.00 – Piaci kockázat: az árupozíciók sztenderd módszerei </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6040016"/>
      <w:r>
        <w:rPr>
          <w:rFonts w:ascii="Times New Roman" w:hAnsi="Times New Roman"/>
          <w:sz w:val="24"/>
          <w:u w:val="none"/>
        </w:rPr>
        <w:t>5.6.1.</w:t>
      </w:r>
      <w:r>
        <w:rPr>
          <w:rFonts w:ascii="Times New Roman" w:hAnsi="Times New Roman"/>
          <w:sz w:val="24"/>
          <w:u w:val="none"/>
        </w:rPr>
        <w:tab/>
      </w:r>
      <w:r>
        <w:rPr>
          <w:rFonts w:ascii="Times New Roman" w:hAnsi="Times New Roman"/>
          <w:sz w:val="24"/>
        </w:rPr>
        <w:t>Általános megjegyzések</w:t>
      </w:r>
      <w:bookmarkEnd w:id="714"/>
      <w:bookmarkEnd w:id="715"/>
      <w:bookmarkEnd w:id="716"/>
      <w:bookmarkEnd w:id="717"/>
      <w:bookmarkEnd w:id="718"/>
      <w:bookmarkEnd w:id="719"/>
      <w:bookmarkEnd w:id="720"/>
    </w:p>
    <w:p w14:paraId="441FA19A" w14:textId="77777777" w:rsidR="000B0B09" w:rsidRPr="002A677E" w:rsidRDefault="00C54BE0" w:rsidP="00487A02">
      <w:pPr>
        <w:pStyle w:val="InstructionsText2"/>
        <w:numPr>
          <w:ilvl w:val="0"/>
          <w:numId w:val="0"/>
        </w:numPr>
        <w:ind w:left="1353" w:hanging="360"/>
      </w:pPr>
      <w:r>
        <w:fldChar w:fldCharType="begin"/>
      </w:r>
      <w:r>
        <w:instrText xml:space="preserve"> seq paragraphs </w:instrText>
      </w:r>
      <w:r>
        <w:fldChar w:fldCharType="separate"/>
      </w:r>
      <w:r w:rsidR="00771068" w:rsidRPr="002A677E">
        <w:rPr>
          <w:noProof/>
        </w:rPr>
        <w:t>173</w:t>
      </w:r>
      <w:r>
        <w:rPr>
          <w:noProof/>
        </w:rPr>
        <w:fldChar w:fldCharType="end"/>
      </w:r>
      <w:r w:rsidR="00C3070C">
        <w:t>.</w:t>
      </w:r>
      <w:r w:rsidR="00C3070C">
        <w:tab/>
        <w:t xml:space="preserve"> Ezen a táblán a sztenderd módszer alkalmazási körébe tartozó árupozíciókról, valamint a rájuk vonatkozó szavatolótőke-követelményről kell adatot szolgáltatni.</w:t>
      </w:r>
    </w:p>
    <w:p w14:paraId="0C8765B1" w14:textId="145C860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6040017"/>
      <w:r>
        <w:rPr>
          <w:rFonts w:ascii="Times New Roman" w:hAnsi="Times New Roman"/>
          <w:sz w:val="24"/>
          <w:u w:val="none"/>
        </w:rPr>
        <w:t>5.6.2.</w:t>
      </w:r>
      <w:r>
        <w:rPr>
          <w:rFonts w:ascii="Times New Roman" w:hAnsi="Times New Roman"/>
          <w:sz w:val="24"/>
          <w:u w:val="none"/>
        </w:rPr>
        <w:tab/>
      </w:r>
      <w:r>
        <w:rPr>
          <w:rFonts w:ascii="Times New Roman" w:hAnsi="Times New Roman"/>
          <w:sz w:val="24"/>
        </w:rPr>
        <w:t>A tábla egyes részeire vonatkozó útmutató</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357. cikkének (4) bekezdése szerint azonos áruban lévő pozícióknak minősülő bruttó hosszú/rövid pozíciók (lásd még az 575/2013/EU rendelet 359. cikkének (1) bekezdését).</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Az 575/2013/EU rendelet 357. cikkének (3) bekezdésében található meghatározás szerint.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Azok a nettó pozíciók, amelyekre az 575/2013/EU rendelet harmadik része IV. címének 4. fejezetében foglalt különböző módszerek szerint tőkekövetelmény vonatkozik.</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Az 575/2013/EU rendelet harmadik része IV. címének 4. fejezete szerint számított szavatolótőke-követelmény bármely releváns pozícióra vonatkozóan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Az 575/2013/EU rendelet 92. cikke (4) bekezdésének b) pontja.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A szavatolótőke-követelmény 12,5-del való szorzásának az eredménye.</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Sor</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ÁRUPOZÍCIÓK ÖSSZESEN</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Árupozíciók és a rájuk vonatkozó piaci kockázat szavatolótőke-követelménye az 575/2013/EU rendelet 92. cikke (3) bekezdése c) pontjának iii. alpontja, valamint az 575/2013/EU rendelet harmadik része IV. címének 4. fejezete szerint.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ÁRUKATEGÓRIA SZERINT</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Adatszolgáltatás céljából az árukat az 575/2013/EU rendelet 361. cikkében található 2. táblázatban említett négy árucsoportba kell sorolni.</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LEJÁRATI TÁBLÁS MÓDSZER</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359. cikkében említett lejárati táblás módszer alkalmazási körébe tartozó árupozíciók.</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KITERJESZTETT LEJÁRATI TÁBLÁS MÓDSZER</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361. cikkében említett kiterjesztett lejárati táblás módszer alkalmazási körébe tartozó árupozíciók.</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EGYSZERŰSÍTETT MÓDSZER</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360. cikkében említett egyszerűsített módszer alkalmazási körébe tartozó árupozíciók.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Az 575/2013/EU rendelet 358. cikkének (4) bekezdése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6040018"/>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Piaci kockázat: belső modellek</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6040019"/>
      <w:r>
        <w:rPr>
          <w:rFonts w:ascii="Times New Roman" w:hAnsi="Times New Roman"/>
          <w:sz w:val="24"/>
          <w:u w:val="none"/>
        </w:rPr>
        <w:t>5.7.1.</w:t>
      </w:r>
      <w:r>
        <w:rPr>
          <w:rFonts w:ascii="Times New Roman" w:hAnsi="Times New Roman"/>
          <w:sz w:val="24"/>
          <w:u w:val="none"/>
        </w:rPr>
        <w:tab/>
      </w:r>
      <w:r>
        <w:rPr>
          <w:rFonts w:ascii="Times New Roman" w:hAnsi="Times New Roman"/>
          <w:sz w:val="24"/>
        </w:rPr>
        <w:t>Általános megjegyzések</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174</w:t>
      </w:r>
      <w:r w:rsidRPr="005B57EC">
        <w:fldChar w:fldCharType="end"/>
      </w:r>
      <w:r>
        <w:t>.</w:t>
      </w:r>
      <w:r>
        <w:tab/>
        <w:t xml:space="preserve"> Ez a tábla a kockáztatott érték (VaR) és a stresszhelyzeti kockáztatott érték (sVaR) adatait mutatja be különböző (adósságinstrumentumokkal, részvényekkel, külföldi pénznemekkel vagy áruval kapcsolatos) piaci kockázatok szerinti bontásban, továbbá a szavatolótőke-követelmény számítása szempontjából lényeges egyéb információkat.</w:t>
      </w:r>
    </w:p>
    <w:p w14:paraId="3DD1046B"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175</w:t>
      </w:r>
      <w:r w:rsidRPr="005B57EC">
        <w:fldChar w:fldCharType="end"/>
      </w:r>
      <w:r>
        <w:t>.</w:t>
      </w:r>
      <w:r>
        <w:tab/>
        <w:t xml:space="preserve"> Általában az intézményi modell felépítésétől függ, hogy az általános és egyedi kockázatra vonatkozó adatokat elkülönítve vagy csak összesítve lehet-e meghatározni és feltüntetni. Ugyanez vonatkozik a VaR/Stress-VaR értékek kockázati kategóriák (kamatlábkockázat, részvénypiaci kockázat, árukockázat, valamint </w:t>
      </w:r>
      <w:r>
        <w:lastRenderedPageBreak/>
        <w:t xml:space="preserve">devizaárfolyam-kockázat) szerinti bontására is. Az intézmény eltekinthet a fenti bontásban történő adatszolgáltatástól, ha bizonyítani tudja, hogy az indokolatlan terhet jelentene számára. </w:t>
      </w:r>
    </w:p>
    <w:p w14:paraId="16A354D7" w14:textId="54D87B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6040020"/>
      <w:r>
        <w:rPr>
          <w:rFonts w:ascii="Times New Roman" w:hAnsi="Times New Roman"/>
          <w:sz w:val="24"/>
          <w:u w:val="none"/>
        </w:rPr>
        <w:t>5.7.2.</w:t>
      </w:r>
      <w:r>
        <w:rPr>
          <w:rFonts w:ascii="Times New Roman" w:hAnsi="Times New Roman"/>
          <w:sz w:val="24"/>
          <w:u w:val="none"/>
        </w:rPr>
        <w:tab/>
      </w:r>
      <w:r>
        <w:rPr>
          <w:rFonts w:ascii="Times New Roman" w:hAnsi="Times New Roman"/>
          <w:sz w:val="24"/>
        </w:rPr>
        <w:t>A tábla egyes részeire vonatkozó útmutató</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Oszlop</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Kockáztatott érték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Egy adott valószínűséggel, meghatározott időtávon bekövetkező árváltozásból származó veszteség maximális lehetséges mértéke.</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(mc) x Előző 60 munkanap átalagos kockáztatott értéke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Az 575/2013/EU rendelet 364. cikke (1) bekezdése a) pontjának ii. alpontja, valamint 365. cikkének (1) bekezdése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Előző napi kockáztatott érték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a) pontjának i. alpontja, valamint 365. cikkének (1) bekezdése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Stresszhelyzeti kockáztatott érték</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Egy adott valószínűséggel, meghatározott időtávon bekövetkező árváltozásból származó veszteség maximális lehetséges mértéke, amelynek kiszámításához a bemeneti adatokat az intézmény portfóliója szempontjából lényeges, számottevő pénzügyi stresszhelyzetet jelentő, folyamatos 12 hónapos időszak történeti adatai alapján kell kalibrálni.</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(ms) x Előző 60 munkanap átlaga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Az 575/2013/EU rendelet 364. cikke (1) bekezdése b) pontjának ii. alpontja, valamint 365. cikkének (1) bekezdése</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b) pontjának i. alpontja, valamint 365. cikkének (1) bekezdése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JÁRULÉKOS NEMTELJESÍTÉSI ÉS ÁTMINŐSÍTÉSI KOCKÁZATRA VONATKOZÓ TŐKEKÖVETELMÉNY</w:t>
            </w:r>
          </w:p>
          <w:p w14:paraId="1E7EA146" w14:textId="6FE23A74" w:rsidR="000B0B09" w:rsidRPr="002A677E" w:rsidRDefault="0016282F" w:rsidP="001B17E6">
            <w:pPr>
              <w:rPr>
                <w:rFonts w:ascii="Times New Roman" w:hAnsi="Times New Roman"/>
                <w:b/>
                <w:bCs/>
                <w:sz w:val="24"/>
                <w:u w:val="single"/>
              </w:rPr>
            </w:pPr>
            <w:r>
              <w:rPr>
                <w:rFonts w:ascii="Times New Roman" w:hAnsi="Times New Roman"/>
                <w:sz w:val="24"/>
              </w:rPr>
              <w:t xml:space="preserve">A járulékos nemteljesítési és átminősítési kockázatra vonatkozó tőkekövetelmény a nemteljesítési és átminősítési kockázatokkal összefüggésben bekövetkező árváltozásból származó veszteség maximális lehetséges mértéke, amelynek kiszámítása az 575/2013/EU rendelet harmadik része IV. címe 5. fejezetének 4. szakaszával összefüggésben a rendelet 364. cikke (2) bekezdésének b) pontja alapján történik.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Az 575/2013/EU rendelet 364. cikke (2) bekezdése b) pontjának ii. alpontja, a rendelet harmadik része IV. címe 5. fejezetének 4. szakaszával összefüggésben</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mérőszám</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364. cikke (2) bekezdése b) pontjának i. alpontja, a rendelet harmadik része IV. címe 5. fejezetének 4. szakaszával összefüggésben</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ÁRKOCKÁZATI TŐKEKÖVETELMÉNY A CTP-RE VONATKOZÓAN</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ALSÓ KORLÁT</w:t>
            </w:r>
          </w:p>
          <w:p w14:paraId="08424932" w14:textId="6F00A60B" w:rsidR="000B0B09" w:rsidRPr="002A677E" w:rsidRDefault="000B0B09" w:rsidP="000B0B09">
            <w:pPr>
              <w:rPr>
                <w:rFonts w:ascii="Times New Roman" w:hAnsi="Times New Roman"/>
                <w:sz w:val="24"/>
              </w:rPr>
            </w:pPr>
            <w:r>
              <w:rPr>
                <w:rFonts w:ascii="Times New Roman" w:hAnsi="Times New Roman"/>
                <w:sz w:val="24"/>
              </w:rPr>
              <w:t>Az 575/2013/EU rendelet 364. cikke (3) bekezdésének c) pontja</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azon tőkekövetelmény 8 %-a, amely az 575/2013/EU rendelet 338. cikkének (1) bekezdése szerint került volna kiszámításra a teljes árkockázati tőkekövetelménnyel érintett valamennyi pozíció tekintetében.</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 ÉS LEGFRISSEBB MÉRŐSZÁM</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Az 575/2013/EU rendelet 364. cikke (3) bekezdésének b) pontja</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LEGFRISSEBB MÉRŐSZÁM</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Az 575/2013/EU rendelet 364. cikke (3) bekezdésének a) pontja</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364. cikkében említett szavatolótőke-követelmények az összes kockázati tényezőre vonatkozóan, adott esetben figyelembe véve a korrelációs hatásokat, valamint a járulékos nemteljesítési és átminősítési kockázatot és a CTP-ben árazott valamennyi kockázatot, figyelmen kívül hagyva azonban az 575/2013/EU rendelet 364. cikkének (2) bekezdése szerinti, az értékpapírosításhoz és az n-edik nemteljesítéskor lehívható hitelderivatívákhoz kapcsolódó tőkekövetelményt.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92. cikke (4) bekezdésének b) pontja.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szavatolótőke-követelmény 12,5-del való szorzásának az eredménye.</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Túllépések száma az előző 250 munkanap során</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Azon túllépések számát kell feltüntetni, amelyek alapján a kiegészítő tétel meghatározásra kerül. Amennyiben az intézmények az 575/2013/EU rendelet 500c. cikke szerint kizárhatnak bizonyos túllépéseket a kiegészítő tételek számításából, az ebben az oszlopban feltüntetett túllépések száma nem tartalmazhatja e kizárt túllépéseket.</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 szorzó (mc) és SVaR szorzó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lastRenderedPageBreak/>
              <w:t>A szavatolótőke-követelmények kiszámításához ténylegesen alkalmazandó szorzókat kell megadni, adott esetben az 575/2013/EU rendelet 500c. cikkének alkalmazása után.</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CTP-TŐKEKÖVETELMÉNY FELTÉTELEZETT ALSÓ KORLÁTJA – SÚLYOZOTT NETTÓ HOSSZÚ/RÖVID POZÍCIÓK A FELSŐ KORLÁT FIGYELEMBEVÉTELÉVEL</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A feltüntetett és a teljes árkockázati tőkekövetelményre vonatkozó, az 575/2013/EU rendelet 364. cikke (3) bekezdésének c) pontja szerinti alsó határ kiszámításához felhasznált összeg figyelembe veszi az említett rendelet 335. cikkében biztosított jogosultságot, amely előírja, hogy egy intézmény a nemteljesítési kockázathoz kapcsolódó veszteség lehetséges maximális összegében korlátozhatja a súly és a nettó pozíció szorzatát.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Az 575/2013/EU rendelet 363. cikkének (1) bekezdésében említett pozíció-, devizaárfolyam- és árukockázatnak az a része, amely az említett rendelet 367. cikkének (2) bekezdésében meghatározott kockázati tényezőkhöz kapcsolódik.</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 0030–0060-as oszlop VaR és Stress-VaR értékeit illetően az összesítő sorban szereplő adatok nem egyeznek meg a vonatkozó kockázati elemek szerint lebontott VaR és Stress-VaR értékekkel.</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FORGALMAZOTT, HITELVISZONYT MEGTESTESÍTŐ ÉRTÉKPAPÍROK</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Az 575/2013/EU rendelet 363. cikkének (1) bekezdésében említett pozíciókockázatnak az a része, amely a CRR 367. cikke (2) bekezdésének a) pontjában meghatározott kamatláb-kockázati tényezőkhöz kapcsolódik.</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ÁLTALÁNOS KOCKÁZAT</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Az 575/2013/EU rendelet 362. cikkében említett általános kockázati elem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EGYEDI KOCKÁZAT</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362. cikkében említett egyedi kockázati elem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363. cikkének (1) bekezdésében említett pozíciókockázatnak az a része, amely az említett rendelet 367. cikke (2) bekezdésének c) pontjában meghatározott részvénypiaci kockázati tényezőkhöz kapcsolódik.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ÁLTALÁNOS KOCKÁZAT</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Az 575/2013/EU rendelet 362. cikkében említett általános kockázati elem</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EGYEDI KOCKÁZAT</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Az 575/2013/EU rendelet 362. cikkében említett egyedi kockázati elem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DEVIZAÁRFOLYAM-KOCKÁZAT</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Az 575/2013/EU rendelet 363. cikkének (1) bekezdése, valamint 367. cikke (2) bekezdésének b) pontja.</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ÁRUKOCKÁZAT</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363. cikkének (1) bekezdése, valamint 367. cikke (2) bekezdésének d) pontja.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 ÖSSZESEN</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77777777"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A forgalmazott, hitelviszonyt megtestesítő értékpapírok, részvények, külföldi pénznemek és áruk általános piaci mozgásaiból eredő piaci kockázat. Az összes kockázati tényező általános kockázatára vonatkozó VaR érték (az esetleges korrelációs hatások figyelembevételével). </w:t>
            </w:r>
            <w:r>
              <w:rPr>
                <w:rFonts w:ascii="Times New Roman" w:hAnsi="Times New Roman"/>
                <w:b/>
                <w:sz w:val="24"/>
                <w:u w:val="single"/>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 ÖSSZESEN</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A forgalmazott, hitelviszonyt megtestesítő értékpapírok és részvények egyedi kockázati eleme. A kereskedési könyvben nyilvántartott, forgalmazott, hitelviszonyt megtestesítő értékpapírok és részvények egyedi kockázatára vonatkozó VaR érték (az esetleges korrelációs hatások figyelembevételével).</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6040021"/>
      <w:r>
        <w:rPr>
          <w:rFonts w:ascii="Times New Roman" w:hAnsi="Times New Roman"/>
          <w:sz w:val="24"/>
          <w:u w:val="none"/>
        </w:rPr>
        <w:t>5.8.</w:t>
      </w:r>
      <w:r>
        <w:rPr>
          <w:rFonts w:ascii="Times New Roman" w:hAnsi="Times New Roman"/>
          <w:sz w:val="24"/>
          <w:u w:val="none"/>
        </w:rPr>
        <w:tab/>
      </w:r>
      <w:r>
        <w:rPr>
          <w:rFonts w:ascii="Times New Roman" w:hAnsi="Times New Roman"/>
          <w:sz w:val="24"/>
        </w:rPr>
        <w:t>C 25.00 – HITELÉRTÉKELÉSI KORREKCIÓK KOCKÁZATA</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116040022"/>
      <w:bookmarkStart w:id="755"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A tábla egyes részeire vonatkozó útmutató</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Oszlop</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Kitettségérték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Az 575/2013/EU rendelet 271. cikke, összefüggésben 382. cikkével.</w:t>
            </w:r>
          </w:p>
          <w:p w14:paraId="66E2ABF7" w14:textId="77777777" w:rsidR="000B0B09" w:rsidRPr="002A677E" w:rsidRDefault="000B0B09" w:rsidP="000B0B09">
            <w:pPr>
              <w:rPr>
                <w:rFonts w:ascii="Times New Roman" w:hAnsi="Times New Roman"/>
                <w:sz w:val="24"/>
              </w:rPr>
            </w:pPr>
            <w:r>
              <w:rPr>
                <w:rFonts w:ascii="Times New Roman" w:hAnsi="Times New Roman"/>
                <w:sz w:val="24"/>
              </w:rPr>
              <w:t>A CVA-tőkekövetelménnyel érintett összes ügyletből eredő teljes nemteljesítéskori kitettség (EAD).</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Ebből: tőzsdén kívüli származtatott ügyletek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Az 575/2013/EU rendelet 271. cikke, összefüggésben 382. cikkének (1) bekezdésével.</w:t>
            </w:r>
          </w:p>
          <w:p w14:paraId="119058D1" w14:textId="77777777" w:rsidR="000B0B09" w:rsidRPr="002A677E" w:rsidRDefault="000B0B09" w:rsidP="000B0B09">
            <w:pPr>
              <w:rPr>
                <w:rFonts w:ascii="Times New Roman" w:hAnsi="Times New Roman"/>
                <w:sz w:val="24"/>
              </w:rPr>
            </w:pPr>
            <w:r>
              <w:rPr>
                <w:rFonts w:ascii="Times New Roman" w:hAnsi="Times New Roman"/>
                <w:sz w:val="24"/>
              </w:rPr>
              <w:t>A teljes partnerkockázati kitettségnek az a része, amely kizárólag tőzsdén kívüli származtatott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Ebből: értékpapír-finanszírozási ügylet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Az 575/2013/EU rendelet 271. cikke, összefüggésben 382. cikkének (2) bekezdésével.</w:t>
            </w:r>
          </w:p>
          <w:p w14:paraId="7D919192" w14:textId="77777777" w:rsidR="000B0B09" w:rsidRPr="002A677E" w:rsidRDefault="000B0B09">
            <w:pPr>
              <w:rPr>
                <w:rFonts w:ascii="Times New Roman" w:hAnsi="Times New Roman"/>
                <w:sz w:val="24"/>
              </w:rPr>
            </w:pPr>
            <w:r>
              <w:rPr>
                <w:rFonts w:ascii="Times New Roman" w:hAnsi="Times New Roman"/>
                <w:sz w:val="24"/>
              </w:rPr>
              <w:lastRenderedPageBreak/>
              <w:t>A teljes partnerkockázati kitettségnek az a része, amely kizárólag származtatott értékpapír-finanszírozási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SZORZÓ (mc) x ELŐZŐ 60 MUNKANAP ÁTALAGA (VaRavg)</w:t>
            </w:r>
          </w:p>
          <w:p w14:paraId="1C0DECA9" w14:textId="1A3CCD81" w:rsidR="004F6B6B" w:rsidRPr="002A677E" w:rsidRDefault="000B0B09">
            <w:pPr>
              <w:rPr>
                <w:rFonts w:ascii="Times New Roman" w:hAnsi="Times New Roman"/>
                <w:sz w:val="24"/>
              </w:rPr>
            </w:pPr>
            <w:r>
              <w:rPr>
                <w:rFonts w:ascii="Times New Roman" w:hAnsi="Times New Roman"/>
                <w:sz w:val="24"/>
              </w:rPr>
              <w:t xml:space="preserve">Az 575/2013/EU rendelet 383. cikke, összefüggésben 363. cikke (1) bekezdésének d) pontjával.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A VaR kiszámítása a piaci kockázatra vonatkozó belső modell alapján.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ELŐZŐ NAPI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Lásd a 0040-es oszlopra vonatkozó útmutatást.</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SZORZÓ (ms) X ELŐZŐ 60 MUNKANAP ÁTLAGA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Lásd a 0040-es oszlopra vonatkozó útmutatást.</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LEGFRISSEBB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Lásd a 0040-es oszlopra vonatkozó útmutatót.</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SZAVATOLÓTŐKE-KÖVETELMÉNY</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Az 575/2013/EU rendelet 92. cikke (3) bekezdésének d) pontja. </w:t>
            </w:r>
          </w:p>
          <w:p w14:paraId="2FF110DA" w14:textId="77777777" w:rsidR="000B0B09" w:rsidRPr="002A677E" w:rsidRDefault="000B0B09">
            <w:pPr>
              <w:rPr>
                <w:rFonts w:ascii="Times New Roman" w:hAnsi="Times New Roman"/>
                <w:sz w:val="24"/>
              </w:rPr>
            </w:pPr>
            <w:r>
              <w:rPr>
                <w:rFonts w:ascii="Times New Roman" w:hAnsi="Times New Roman"/>
                <w:sz w:val="24"/>
              </w:rPr>
              <w:t>A CVA-kockázathoz kapcsolódó szavatolótőke-követelmény kiszámítása a választott modell alapján.</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TELJES KOCKÁZATI KITETTSÉGÉRTÉK</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Az 575/2013/EU rendelet 92. cikke (4) bekezdésének b) pontja.</w:t>
            </w:r>
          </w:p>
          <w:p w14:paraId="02A2EC20" w14:textId="77777777" w:rsidR="000B0B09" w:rsidRPr="002A677E" w:rsidRDefault="000B0B09" w:rsidP="00787733">
            <w:pPr>
              <w:rPr>
                <w:rFonts w:ascii="Times New Roman" w:hAnsi="Times New Roman"/>
                <w:sz w:val="24"/>
              </w:rPr>
            </w:pPr>
            <w:r>
              <w:rPr>
                <w:rFonts w:ascii="Times New Roman" w:hAnsi="Times New Roman"/>
                <w:sz w:val="24"/>
              </w:rPr>
              <w:t>A szavatolótőke-követelmény 12,5-del szorozva.</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Tájékoztató adatok</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Partnerek száma</w:t>
            </w:r>
          </w:p>
          <w:p w14:paraId="3F3B385C" w14:textId="4BEBB0AB" w:rsidR="000B0B09" w:rsidRPr="002A677E" w:rsidRDefault="000B0B09" w:rsidP="000B0B09">
            <w:pPr>
              <w:rPr>
                <w:rFonts w:ascii="Times New Roman" w:hAnsi="Times New Roman"/>
                <w:sz w:val="24"/>
              </w:rPr>
            </w:pPr>
            <w:r>
              <w:rPr>
                <w:rFonts w:ascii="Times New Roman" w:hAnsi="Times New Roman"/>
                <w:sz w:val="24"/>
              </w:rPr>
              <w:t>Az 575/2013/EU rendelet 382. cikke</w:t>
            </w:r>
          </w:p>
          <w:p w14:paraId="5DEE078C" w14:textId="77777777" w:rsidR="000B0B09" w:rsidRPr="002A677E" w:rsidRDefault="000B0B09" w:rsidP="000B0B09">
            <w:pPr>
              <w:rPr>
                <w:rFonts w:ascii="Times New Roman" w:hAnsi="Times New Roman"/>
                <w:sz w:val="24"/>
              </w:rPr>
            </w:pPr>
            <w:r>
              <w:rPr>
                <w:rFonts w:ascii="Times New Roman" w:hAnsi="Times New Roman"/>
                <w:sz w:val="24"/>
              </w:rPr>
              <w:t>A CVA-kockázathoz kapcsolódó szavatolótőke kiszámításánál figyelembe vett partnerek száma.</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A partnerek a kötelezettek részhalmazát képezik. Kizárólag származtatott ügyletek vagy értékpapír-finanszírozási ügyletek esetében léteznek, ahol a másik szerződő felet jelentik.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Ebből: közelítő érték alapján meghatározott hitelkockázati felár</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Az olyan partnerek száma, amelyeknél a hitelkockázati felárat a közvetlenül észlelt piaci adatok helyett közelítő érték alapján határozták meg.</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VISELT CVA-KOCKÁZAT</w:t>
            </w:r>
          </w:p>
          <w:p w14:paraId="0115819A" w14:textId="77777777" w:rsidR="000B0B09" w:rsidRPr="002A677E" w:rsidRDefault="000B0B09" w:rsidP="000B0B09">
            <w:pPr>
              <w:rPr>
                <w:rFonts w:ascii="Times New Roman" w:hAnsi="Times New Roman"/>
                <w:sz w:val="24"/>
              </w:rPr>
            </w:pPr>
            <w:r>
              <w:rPr>
                <w:rFonts w:ascii="Times New Roman" w:hAnsi="Times New Roman"/>
                <w:sz w:val="24"/>
              </w:rPr>
              <w:lastRenderedPageBreak/>
              <w:t>A származtatott ügyletekben részes partnerek romló hitelképességére képzett számviteli céltartalék.</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EGY ALAPTERMÉKES CDS</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Az 575/2013/EU rendelet 386. cikke (1) bekezdésének a) pontja </w:t>
            </w:r>
          </w:p>
          <w:p w14:paraId="6FA18F8B" w14:textId="77777777" w:rsidR="000B0B09" w:rsidRPr="002A677E" w:rsidRDefault="000B0B09" w:rsidP="000B0B09">
            <w:pPr>
              <w:rPr>
                <w:rFonts w:ascii="Times New Roman" w:hAnsi="Times New Roman"/>
                <w:sz w:val="24"/>
              </w:rPr>
            </w:pPr>
            <w:r>
              <w:rPr>
                <w:rFonts w:ascii="Times New Roman" w:hAnsi="Times New Roman"/>
                <w:sz w:val="24"/>
              </w:rPr>
              <w:t>A CVA-kockázatot fedező egy alaptermékes hitel-nemteljesítési csereügylet teljes névleges összege.</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INDEX CDS</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Az 575/2013/EU rendelet 386. cikke (1) bekezdésének b) pontja</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t>A CVA-kockázatot fedező index CDS teljes névleges összege.</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Sor</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CVA-kockázat összesen</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A 0020–0040-es sorok összege</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Fejlett módszer szerint</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Fejlett CVA-kockázati módszer az 575/2013/EU rendelet 383. cikkének előírásai szerint.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Sztenderd módszer szerint</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Sztenderd CVA-kockázati módszer az 575/2013/EU rendelet 384. cikkének előírásai szerint.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Eredeti kitettség szerinti módszer (OEM) alapján</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Az 575/2013/EU rendelet 385. cikkének alkalmazási körébe tartozó összegek.</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6040023"/>
      <w:r>
        <w:rPr>
          <w:rFonts w:ascii="Times New Roman" w:hAnsi="Times New Roman"/>
          <w:sz w:val="24"/>
          <w:u w:val="none"/>
        </w:rPr>
        <w:t>6.</w:t>
      </w:r>
      <w:r>
        <w:rPr>
          <w:rFonts w:ascii="Times New Roman" w:hAnsi="Times New Roman"/>
          <w:sz w:val="24"/>
          <w:u w:val="none"/>
        </w:rPr>
        <w:tab/>
      </w:r>
      <w:r>
        <w:rPr>
          <w:rFonts w:ascii="Times New Roman" w:hAnsi="Times New Roman"/>
          <w:sz w:val="24"/>
        </w:rPr>
        <w:t>Prudens értékelés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6040024"/>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Prudens értékelés: valós értéken értékelt eszközök és kötelezettségek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6040025"/>
      <w:r>
        <w:rPr>
          <w:rFonts w:ascii="Times New Roman" w:hAnsi="Times New Roman"/>
          <w:sz w:val="24"/>
          <w:u w:val="none"/>
        </w:rPr>
        <w:t>6.1.1.</w:t>
      </w:r>
      <w:r>
        <w:rPr>
          <w:rFonts w:ascii="Times New Roman" w:hAnsi="Times New Roman"/>
          <w:sz w:val="24"/>
          <w:u w:val="none"/>
        </w:rPr>
        <w:tab/>
      </w:r>
      <w:r>
        <w:rPr>
          <w:rFonts w:ascii="Times New Roman" w:hAnsi="Times New Roman"/>
          <w:sz w:val="24"/>
        </w:rPr>
        <w:t>Általános megjegyzések</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176</w:t>
      </w:r>
      <w:r w:rsidRPr="005B57EC">
        <w:fldChar w:fldCharType="end"/>
      </w:r>
      <w:r>
        <w:t>. Ezt a táblát minden intézménynek ki kell töltenie függetlenül attól, hogy a kiegészítő értékelési korrekciók (AVA) meghatározásához az egyszerűsített módszert alkalmazza-e. Ebben a táblában a valós értéken értékelt eszközök és kötele</w:t>
      </w:r>
      <w:r>
        <w:lastRenderedPageBreak/>
        <w:t>zettségek abszolút értékét kell feltüntetni annak meghatározásához, hogy teljesülnek-e az (EU) 2016/101 felhatalmazáson alapuló bizottsági rendelet</w:t>
      </w:r>
      <w:r w:rsidR="00B828CC" w:rsidRPr="002A677E">
        <w:rPr>
          <w:rStyle w:val="FootnoteReference"/>
        </w:rPr>
        <w:footnoteReference w:id="10"/>
      </w:r>
      <w:r>
        <w:t xml:space="preserve"> 4. cikkében meghatározott azon feltételek, amelyek alapján a kiegészítő értékelési korrekciók meghatározásához az egyszerűsített módszer alkalmazható.</w:t>
      </w:r>
    </w:p>
    <w:p w14:paraId="490DD67C" w14:textId="04AF6476" w:rsidR="00995A7F"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177</w:t>
      </w:r>
      <w:r w:rsidRPr="005B57EC">
        <w:fldChar w:fldCharType="end"/>
      </w:r>
      <w:r>
        <w:t>. Az egyszerűsített módszert alkalmazó intézmények tekintetében ebben a táblában az 575/2013/EU rendelet 34. és 105. cikke szerint a szavatolótőkéből levonandó kiegészítő értékelési korrekciók teljes összegét kell megadni, az (EU) 2016/101 felhatalmazáson alapuló rendelet 5. cikkében meghatározottak szerint, és az adatot a C 01.00 tábla 0290-es sorában fel kell tüntetni.</w:t>
      </w:r>
    </w:p>
    <w:p w14:paraId="32EA25B2" w14:textId="52D00982"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6040026"/>
      <w:r>
        <w:rPr>
          <w:rFonts w:ascii="Times New Roman" w:hAnsi="Times New Roman"/>
          <w:sz w:val="24"/>
          <w:u w:val="none"/>
        </w:rPr>
        <w:t>6.1.2.</w:t>
      </w:r>
      <w:r>
        <w:rPr>
          <w:rFonts w:ascii="Times New Roman" w:hAnsi="Times New Roman"/>
          <w:sz w:val="24"/>
          <w:u w:val="none"/>
        </w:rPr>
        <w:tab/>
      </w:r>
      <w:r>
        <w:rPr>
          <w:rFonts w:ascii="Times New Roman" w:hAnsi="Times New Roman"/>
          <w:sz w:val="24"/>
        </w:rPr>
        <w:t>A tábla egyes részeire vonatkozó útmutató</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Oszlop</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VALÓS ÉRTÉKEN ÉRTÉKELT ESZKÖZÖK ÉS KÖTELEZETTSÉGEK</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 valós értéken értékelt eszközök és kötelezettségek abszolút értéke, ahogy az az intézmény alkalmazandó számviteli keret szerint elkészített pénzügyi kimutatásában szerepel, az (EU) 2016/101 felhatalmazáson alapuló rendelet 4. cikkének (1) bekezdésében említettek szerint, az (EU) 2016/101 felhatalmazáson alapuló rendelet 4. cikkének (2) bekezdése szerinti kizárások végrehajtása előtt.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 valós értéken értékelt eszközök és kötelezettségek 010-es oszlopban feltüntetett abszolút értéke, a kereskedési könyvben lévő pozícióknak megfelelően.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 CET1 TŐKÉRE GYAKOROLT RÉSZLEGES HATÁS MIATT KIZÁRT, VALÓS ÉRTÉKEN ÉRTÉKELT ESZKÖZÖK ÉS KÖTELEZETTSÉGEK</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Az (EU) 2016/101 felhatalmazáson alapuló rendelet 4. cikkének (2) bekezdése szerint kizárt valós értéken értékelt eszközök és kötelezettségek abszolút értéke.</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Pontosan megegyező</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Az (EU) 2016/101 felhatalmazáson alapuló rendelet 4. cikkének (2) bekezdése szerint kizárt, pontosan megegyező, valós értéken értékelt kiegyenlítő eszközök és kötelezettségek.</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Fedezeti elszámolások</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Az alkalmazandó számviteli keret szerint fedezeti elszámolás alá tartozó pozíciók esetében az (EU) 2016/101 felhatalmazáson alapuló rendelet 4. cikke (2) bekezdésének megfelelően a CET1 tőkét befolyásoló értékváltozás hatásának mértékéig kizárt, valós értéken értékelt eszközök és kötelezettségek abszolút értéke.</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PRUDENCIÁLIS szűrők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lastRenderedPageBreak/>
              <w:t>Az (EU) 2016/101 felhatalmazáson alapuló rendelet 4. cikke (2) bekezdésének megfelelően az 575/2013/EU rendelet 467. és 468. cikkében említett prudenciális szűrők átmeneti alkalmazása miatt kizárt, valós értéken értékelt eszközök és kötelezettségek abszolút értéke.</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Egyéb</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4. cikke (2) bekezdésének megfelelően a számviteli értéküknek a CET1 tőkét csak részben befolyásoló kiigazítása miatt kizárt egyéb pozíciók.</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Ezt a sort azokban a ritka esetekben kell csak kitölteni, amikor az (EU) 2016/101 felhatalmazáson alapuló rendelet 4. cikke (2) bekezdésének megfelelően kizárt elemek nem rendelhetők hozzá a tábla 0030-as, 0040-es vagy 0050-es oszlopához.</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Az „Egyéb” tételre vonatkozó megjegyzések</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Meg kell adni a 0060-as oszlopban feltüntetett pozíciók kizárásának fő okait.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 4. CIKK (1) BEKEZDÉSE SZERINTI KÜSZÖBÉRTÉKBE BELETARTOZÓ VALÓS ÉRTÉKEN ÉRTÉKELT ESZKÖZÖK ÉS KÖTELEZETTSÉGEK</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Az (EU) 2016/101 felhatalmazáson alapuló rendelet 4. cikke (1) bekezdésének megfelelően a küszöbérték számításába ténylegesen bevont valós értéken értékelt eszközök és kötelezettségek abszolút értéke.</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 valós értéken értékelt eszközök és kötelezettségek 0080-as oszlopban feltüntetett abszolút értéke, a kereskedési könyvben lévő pozícióknak megfelelően.</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Sor</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E kategóriák definícióinak illeszkedniük kell az 1.1. és 1.2. FINREP tábla megfelelő sorainak definícióihoz.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VALÓS ÉRTÉKEN ÉRTÉKELT ESZKÖZÖK ÉS KÖTELEZETTSÉGEK ÖSSZESEN</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A 0020–0210-es sorban feltüntetett valós értéken értékelt eszközök és kötelezettségek teljes összege.</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VALÓS ÉRTÉKEN ÉRTÉKELT ESZKÖZÖK ÖSSZESEN</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 0030–0140-es sorban feltüntetett valós értéken értékelt eszközök teljes összege.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 0030–0130-as sorok releváns mezőit az e végrehajtási rendelet III. és IV. mellékletének FINREP F 01.01. táblájával összhangban kell kitölteni, az intézmény alkalmazandó standardjai függvényében:</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az 1606/2002/EK európai parlamenti és tanácsi rendelet alkalmazásában az Unió által jóváhagyott IFRS („EU IFRS”)</w:t>
            </w:r>
            <w:r w:rsidR="0016282F" w:rsidRPr="002A677E">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az EU IFRS standardokkal kompatibilis nemzeti számviteli standardok („IFRS-kompatibilis nemzeti GAAP”); vagy</w:t>
            </w:r>
          </w:p>
          <w:p w14:paraId="6778B4B1" w14:textId="28D692A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 86/635/EGK tanácsi irányelven alapuló nemzeti GAAP (FINREP „A 86/635/EGK tanácsi irányelv alapján kidolgozott nemzeti GAAP”).</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KERESKEDÉSI CÉLLAL TARTOTT PÉNZÜGYI ESZKÖZÖK</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A. függelék.</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0050-es sorának.</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KERESKEDÉSI CÉLÚ PÉNZÜGYI ESZKÖZÖK</w:t>
            </w:r>
          </w:p>
          <w:p w14:paraId="230FCF67" w14:textId="4AC453FA"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 86/635/EGK tanácsi irányelv 32. és 33. cikke, e végrehajtási rendelet V. mellékletének 1.17. része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Az ebben a sorban feltüntetett információ az eszközök valós értékének felel meg, amelyet az e végrehajtási rendelet III. és IV. melléklete F 01.01. táblája 0091-es sorában feltüntetett érték tartalmaz.</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KÖTELEZŐEN AZ EREDMÉNNYEL SZEMBEN VALÓS ÉRTÉKEN ÉRTÉKELT, NEM KERESKEDÉSI CÉLÚ PÉNZÜGYI ESZKÖZÖK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Az IFRS 7 8. bekezdése a) pontjának ii. alpontja; az IFRS 9 4.1.4. bekezdése.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0096-os sorának.</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AZ EREDMÉNNYEL SZEMBEN VALÓS ÉRTÉKEN ÉRTÉKELTNEK MEGJELÖLT PÉNZÜGYI ESZKÖZÖK</w:t>
            </w:r>
          </w:p>
          <w:p w14:paraId="3F5C780D" w14:textId="05FBA89B"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IFRS 7 8. bekezdése a) pontjának i. alpontja; az IFRS 9 4.1.5. bekezdése; a 2013/34/EU irányelv 8. cikke (1) bekezdésének a) pontja, valamint 8. cikkének (6) bekezdése</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0100-as sorának.</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AZ EGYÉB ÁTFOGÓ JÖVEDELEMMEL SZEMBEN VALÓS ÉRTÉKEN ÉRTÉKELT PÉNZÜGYI ESZKÖZÖK</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IFRS 7 8. bekezdésének h) pontja; az IFRS 9 4.1.2A. bekezdése.</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0141-es sorának.</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EREDMÉNNYEL SZEMBEN VALÓS ÉRTÉKEN ÉRTÉKELT, NEM KERESKEDÉSI CÉLÚ, NEM SZÁRMAZTATOTT PÉNZÜGYI ESZKÖZÖK</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 86/635/EGK tanácsi irányelv 36. cikkének (2) bekezdése. Az ebben a sorban feltüntetett információ megfelel az e végrehajtási rendelet III. és IV. melléklete F 01.01. táblája 0171-es sorának.</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 SAJÁT TŐKÉVEL SZEMBEN VALÓS ÉRTÉKEN ÉRTÉKELT, NEM KERESKEDÉSI CÉLÚ, NEM SZÁRMAZTATOTT PÉNZÜGYI ESZKÖZÖK</w:t>
            </w:r>
          </w:p>
          <w:p w14:paraId="7C1FCAF2" w14:textId="7F4998A2"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 2013/34/EU irányelv 8. cikke (1) bekezdésének a) pontja, valamint 8. cikkének (8) bekezdése.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0175-ös sorának.</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EGYÉB NEM KERESKEDÉSI CÉLÚ, NEM SZÁRMAZTATOTT PÉNZÜGYI ESZKÖZÖK</w:t>
            </w:r>
          </w:p>
          <w:p w14:paraId="21863DB3" w14:textId="2DEA906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 86/635/EGK tanácsi irányelv 37. cikke, a 2013/34/EU irányelv 12. cikkének (7) bekezdése, e végrehajtási rendelet V. mellékletének 1.20. része.</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Az ebben a sorban feltüntetett információ az eszközök valós értékének felel meg, amelyet az e végrehajtási rendelet III. és IV. melléklete F 01.01. táblája 0234-es sorában feltüntetett érték tartalmaz.</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SZÁRMAZTATOTT ÜGYLETEK – FEDEZETI ELSZÁMOLÁSOK</w:t>
            </w:r>
          </w:p>
          <w:p w14:paraId="26336693" w14:textId="48E47A35"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IFRS 9 6.2.1. bekezdése; e végrehajtási rendelet V. mellékletének 1.22. része,  a 2013/34/EU irányelv 8. cikke (1) bekezdésének a) pontja, valamint 8. cikkének (6) és (8) bekezdése, az IAS 39 9. bekezdése.</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0240-es sorának.</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KAMATLÁBKOCKÁZATRA VONATKOZÓ PORTFÓLIÓFEDEZETI ÜGYLET SORÁN FEDEZETT TÉTELEK VALÓS ÉRTÉKÉNEK VÁLTOZÁSA</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Az IAS 39 89A. bekezdésének a) pontja; az IFRS 9 6.5.8. bekezdése; a 2013/34/EU európai parlamenti és tanácsi irányelv</w:t>
            </w:r>
            <w:r w:rsidR="00AB7835" w:rsidRPr="002A677E">
              <w:rPr>
                <w:vertAlign w:val="superscript"/>
              </w:rPr>
              <w:footnoteReference w:id="12"/>
            </w:r>
            <w:r>
              <w:rPr>
                <w:rFonts w:ascii="Times New Roman" w:hAnsi="Times New Roman"/>
                <w:sz w:val="24"/>
              </w:rPr>
              <w:t xml:space="preserve"> 8. cikkének (5) és (6) bekezdése. Az ebben a sorban feltüntetett információ megfelel az e végrehajtási rendelet III. és IV. melléklete F 01.01. táblája 0250-es sorának.</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LEÁNYVÁLLALATOKBAN, KÖZÖS VÁLLALKOZÁSOKBAN ÉS TÁRSULT VÁLLALKOZÁSOKBAN LÉVŐ BEFEKTETÉSEK</w:t>
            </w:r>
          </w:p>
          <w:p w14:paraId="4186901D" w14:textId="6A339E40"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Az IAS 1 54. bekezdésének e) pontja; e végrehajtási rendelet V. mellékletének 1.21. és 2.4. része; a 86/635/EGK tanácsi irányelv 4. cikkének 7. és 8. pontja; a 2013/34/EU irányelv 2. cikkének (2) bekezdése.</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0260-as sorának.</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VALÓS ÉRTÉKEN ÉRTÉKELT, KERESKEDÉSI CÉLÚ ESZKÖZÖKRE VONATKOZÓ HAIRCUTOK</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E végrehajtási rendelet V. mellékletének 1.29. része</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0375-ös sorának.</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EGYÉB ESZKÖZÖK</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Az e végrehajtási rendelet V. melléklete 2. részének 5. és 6. pontjában említett eszközök, amennyiben azokat valós értéken értékelik.</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ÉRTÉKESÍTÉSRE TARTOTTÁ MINŐSÍTETT BEFEKTETETT ESZKÖZÖK ÉS ELIDEGENÍTÉSI CSOPORTOK</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Az e végrehajtási rendelet V. melléklete 2. részének 7. pontjában említett eszközök, amennyiben azokat valós értéken értékelik.</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5D25F56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VALÓS ÉRTÉKEN ÉRTÉKELT KÖTELEZETTSÉGEK ÖSSZESEN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 0160–0210-es sorban feltüntetett valós értéken értékelt kötelezettségek teljes összege.</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 0150–0190-es sorok releváns mezőit az e végrehajtási rendelet III. és IV. mellékletének FINREP F 01.02. táblájával összhangban kell kitölteni, az intézmény alkalmazandó standardjai függvényében: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az 1606/2002/EK rendelet alkalmazásában az Unió által jóváhagyott IFRS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az EU IFRS standardokkal kompatibilis nemzeti számviteli standardok („IFRS-kompatibilis nemzeti GAAP”)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Vagy a 86/635/EGK tanácsi irányelv alapján kidolgozott nemzeti GAAP (FINREP „a 86/635/EGK tanácsi irányelv alapján kidolgozott nemzeti GAAP”).</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KERESKEDÉSI CÉLLAL TARTOTT PÉNZÜGYI ESZKÖZÖK</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IFRS 7 8. bekezdése e) pontjának ii. alpontja; az IFRS 9 BA.6 bekezdése.</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0010-es sorának.</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KERESKEDÉSI CÉLÚ PÉNZÜGYI KÖTELEZETTSÉGEK</w:t>
            </w:r>
          </w:p>
          <w:p w14:paraId="4891C92A" w14:textId="7347C224"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 2013/34/EU irányelv 8. cikke (1) bekezdésének a) pontja, valamint 8. cikkének (3) és (6) bekezdése.</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lastRenderedPageBreak/>
              <w:t>Az ebben a sorban feltüntetett információ megfelel az e végrehajtási rendelet III. és IV. melléklete F 01.02. táblája 0061-es sorának.</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AZ EREDMÉNNYEL SZEMBEN VALÓS ÉRTÉKEN ÉRTÉKELTNEK MEGJELÖLT PÉNZÜGYI KÖTELEZETTSÉGEK</w:t>
            </w:r>
          </w:p>
          <w:p w14:paraId="14ED5A66" w14:textId="11A09AF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Az IFRS 7 8. bekezdése e) pontjának i. alpontja, az IFRS 9 4.2.2. bekezdése; a 2013/34/EU irányelv 8. cikke (1) bekezdésének a) pontja, valamint 8. cikkének (6) bekezdése, az IAS 39 9. bekezdése.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0070-es sorának.</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SZÁRMAZTATOTT ÜGYLETEK – FEDEZETI ELSZÁMOLÁSOK</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IFRS 9 6.2.1. bekezdése; e végrehajtási rendelet V. mellékletének 1.26. része, a 2013/34/EU irányelv 8. cikke (1) bekezdésének a) pontja, (6) és (8) bekezdésének a) pontja.</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0150-es sorának.</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KAMATLÁBKOCKÁZATRA VONATKOZÓ PORTFÓLIÓFEDEZETI ÜGYLET SORÁN FEDEZETT TÉTELEK VALÓS ÉRTÉKÉNEK VÁLTOZÁSA</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Az IAS 39 89A. bekezdésének b) pontja, az IFRS 9 6.5.8. bekezdése; a 2013/34/EU irányelv 8. cikkének (5) és (6) bekezdése, e végrehajtási rendelet V. mellékletének 2.8. része.</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01.02. táblája 0160-as sorának.</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VALÓS ÉRTÉKEN ÉRTÉKELT, KERESKEDÉSI CÉLÚ KÖTELEZETTSÉGEKRE VONATKOZÓ HAIRCUTOK</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E végrehajtási rendelet V. mellékletének 1.29. része</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01.02. táblája 0295-ös sorának.</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EGYÉB KÖTELEZETTSÉGEK</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Az e végrehajtási rendelet V. melléklete 2. részének 13. pontjában említett kötelezettségek, amennyiben azokat valós értéken értékelik.</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ÉRTÉKESÍTÉSRE TARTOTTÁ MINŐSÍTETT ELIDEGENÍTÉSI CSOPORTBA TARTOZÓ KÖTELEZETTSÉGEK</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Az e végrehajtási rendelet V. melléklete 2. részének 14. pontjában említett kötelezettségek, amennyiben azokat valós értéken értékelik.</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6040027"/>
      <w:r>
        <w:rPr>
          <w:rFonts w:ascii="Times New Roman" w:hAnsi="Times New Roman"/>
          <w:sz w:val="24"/>
          <w:u w:val="none"/>
        </w:rPr>
        <w:lastRenderedPageBreak/>
        <w:t>6.2.</w:t>
      </w:r>
      <w:r>
        <w:rPr>
          <w:rFonts w:ascii="Times New Roman" w:hAnsi="Times New Roman"/>
          <w:sz w:val="24"/>
          <w:u w:val="none"/>
        </w:rPr>
        <w:tab/>
      </w:r>
      <w:r>
        <w:rPr>
          <w:rFonts w:ascii="Times New Roman" w:hAnsi="Times New Roman"/>
          <w:sz w:val="24"/>
        </w:rPr>
        <w:t>C 32.02 – Prudens értékelés: alapvető módszer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6040028"/>
      <w:r>
        <w:rPr>
          <w:rFonts w:ascii="Times New Roman" w:hAnsi="Times New Roman"/>
          <w:sz w:val="24"/>
          <w:u w:val="none"/>
        </w:rPr>
        <w:t>6.2.1.</w:t>
      </w:r>
      <w:r>
        <w:rPr>
          <w:rFonts w:ascii="Times New Roman" w:hAnsi="Times New Roman"/>
          <w:sz w:val="24"/>
          <w:u w:val="none"/>
        </w:rPr>
        <w:tab/>
      </w:r>
      <w:r>
        <w:rPr>
          <w:rFonts w:ascii="Times New Roman" w:hAnsi="Times New Roman"/>
          <w:sz w:val="24"/>
        </w:rPr>
        <w:t>Általános megjegyzések</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178</w:t>
      </w:r>
      <w:r w:rsidRPr="005B57EC">
        <w:fldChar w:fldCharType="end"/>
      </w:r>
      <w:r>
        <w:t>. E tábla célja az 575/2013/EU rendelet 34. és 105. cikke szerint a szavatolótőkéből levonandó kiegészítő értékelési korrekciók teljes összegének összetételére vonatkozó információt nyújtani, a kiegészítő értékelési korrekciók meghatározását indokolttá tevő pozíciók számviteli értékelésére vonatkozó releváns információk mellett.</w:t>
      </w:r>
    </w:p>
    <w:p w14:paraId="2436765C" w14:textId="77777777"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179</w:t>
      </w:r>
      <w:r w:rsidRPr="005B57EC">
        <w:fldChar w:fldCharType="end"/>
      </w:r>
      <w:r>
        <w:t xml:space="preserve">. Ezt a táblát minden olyan intézménynek ki kell töltenie, amely: </w:t>
      </w:r>
    </w:p>
    <w:p w14:paraId="586760F7" w14:textId="77777777" w:rsidR="00B93FA1" w:rsidRPr="002A677E" w:rsidRDefault="00B93FA1" w:rsidP="00487A02">
      <w:pPr>
        <w:pStyle w:val="InstructionsText2"/>
        <w:numPr>
          <w:ilvl w:val="0"/>
          <w:numId w:val="0"/>
        </w:numPr>
        <w:ind w:left="1353" w:hanging="360"/>
      </w:pPr>
      <w:r>
        <w:t>a) az alapvető módszert köteles használni az (EU) 2016/101 felhatalmazáson alapuló rendelet 4. cikkének (1) bekezdésében említett értékhatár akár egyedi, akár konszolidált alapon történő meghaladása miatt, az említett rendelet 4. cikkének (3) bekezdésében meghatározottak szerint, vagy</w:t>
      </w:r>
    </w:p>
    <w:p w14:paraId="10FFD0C1" w14:textId="77777777" w:rsidR="00B93FA1" w:rsidRPr="002A677E" w:rsidRDefault="00973707" w:rsidP="00487A02">
      <w:pPr>
        <w:pStyle w:val="InstructionsText2"/>
        <w:numPr>
          <w:ilvl w:val="0"/>
          <w:numId w:val="0"/>
        </w:numPr>
        <w:ind w:left="1353" w:hanging="360"/>
      </w:pPr>
      <w:r>
        <w:t xml:space="preserve">b) annak ellenére, hogy nem haladja meg az értékhatárt, az alapvető módszer alkalmazása mellett döntött. </w:t>
      </w:r>
    </w:p>
    <w:p w14:paraId="40F83A9B" w14:textId="595D7823" w:rsidR="00973707"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180</w:t>
      </w:r>
      <w:r w:rsidRPr="005B57EC">
        <w:fldChar w:fldCharType="end"/>
      </w:r>
      <w:r>
        <w:t>. E tábla alkalmazásában a „felső bizonytalansági érték” a következő: Az (EU) 2016/101 felhatalmazáson alapuló rendelet 8. cikke (2) bekezdésének meghatározása alapján a kiegészítő értékelési korrekciók kiszámítása a valós érték és egy olyan 90 %-os konfidenciaszinten meghatározott prudens érték különbözeteként történik, miszerint az intézmények a valószerű értékek névleges tartományán belül az adott ponton vagy annál jobb ponton tudnak kilépni a kitettségből. A felső érték vagy „felső bizonytalansági érték” a valószerű értékek eloszlásában az az ellenpont, amelynél az intézményeknek csak 10 %-os a konfidenciaszintjük azt illetően, hogy az adott ponton vagy annál jobb ponton tudnak kilépni a pozícióból. A felső bizonytalansági érték kiszámításának és aggregálásának alapja ugyanaz, mint a kiegészítő értékelési korrekció teljes összegéé, de a kiegészítő értékelési korrekció teljes összegének meghatározásakor használt 90 %-ot fel kell váltani egy 10 %-os bizonyossági szinttel.</w:t>
      </w:r>
    </w:p>
    <w:p w14:paraId="0DED1285" w14:textId="1FF0AB9B"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6040029"/>
      <w:r>
        <w:rPr>
          <w:rFonts w:ascii="Times New Roman" w:hAnsi="Times New Roman"/>
          <w:sz w:val="24"/>
          <w:u w:val="none"/>
        </w:rPr>
        <w:t>6.2.2.</w:t>
      </w:r>
      <w:r>
        <w:rPr>
          <w:rFonts w:ascii="Times New Roman" w:hAnsi="Times New Roman"/>
          <w:sz w:val="24"/>
          <w:u w:val="none"/>
        </w:rPr>
        <w:tab/>
        <w:t>A tábla egyes részeire vonatkozó útmutató</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Oszlop</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KATEGÓRIASZINTŰ KIEGÉSZÍTŐ ÉRTÉKELÉSI KORREKCIÓ</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9–11. cikkében, illetve 14–17. cikkében leírtak szerint kell kiszámítani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piaci ár bizonytalansága, a pozíciózárási költségek és a modellkockázat kategóriák esetében, amelyekre az (EU) 2016/101 felhatalmazáson alapuló rendelet 9. cikkének (6) bekezdésében, 10. cikkének (7) bekezdésében illetve 11. cikkének (7) bekezdésében meghatározottak szerint diverzifikációs előny vonatkozik, a kategória</w:t>
            </w:r>
            <w:r>
              <w:rPr>
                <w:rFonts w:ascii="Times New Roman" w:hAnsi="Times New Roman"/>
                <w:sz w:val="24"/>
              </w:rPr>
              <w:lastRenderedPageBreak/>
              <w:t xml:space="preserve">szintű kiegészítő értékelési korrekciókat eltérő rendelkezés hiányában úgy kell feltüntetni, mint az egyedi kiegészítő értékelési korrekciók egyszerű összege a diverzifikációs előny előtt [mivel az (EU) 2016/101 felhatalmazáson alapuló rendelet mellékletében szereplő 1. módszer vagy a 2. módszer használatával számított diverzifikációs nyereséget a tábla 1.1.2., 1.1.2.1. és 1.1.2.2. tételében kell feltüntetni].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A piaci ár bizonytalansága, a pozíciózárási költségek és a modellkockázat kategóriák esetében az (EU) 2016/101 felhatalmazáson alapuló rendelet 9. cikke (5) bekezdésének b) pontjában, 10. cikke (6) bekezdésének b) pontjában és 11. cikkének (4) bekezdésében említettek szerint a szakértői módszerrel kiszámított összegeket elkülönítve, a 0020-as, 0040-es és 0060-as oszlopban kell feltüntetni.</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ÁR BIZONYTALANSÁGA</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Az 575/2013/EU rendelet 105. cikkének (10) bekezdése.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9. cikkének megfelelően számított, a piaci ár bizonytalanságához kapcsolódó kiegészítő értékelési korrekciók.</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9. cikke (5) bekezdése b) pontjának megfelelően számított, a piaci ár bizonytalanságához kapcsolódó kiegészítő értékelési korrekciók.</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Az 575/2013/EU rendelet 105. cikkének (10) bekezdése.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10. cikkének megfelelően számított, a pozíciózárási költségekhez kapcsolódó kiegészítő értékelési korrekciók.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Az (EU) 2016/101 felhatalmazáson alapuló rendelet 10. cikke (6) bekezdése b) pontjának megfelelően számított, a pozíciózárási költségekhez kapcsolódó kiegészítő értékelési korrekciók.</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(10) bekezdése</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11. cikkének megfelelően számított, a modellkockázathoz kapcsolódó kiegészítő értékelési korrekciók.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11. cikkének (4) bekezdése szerint számított, a modellkockázathoz kapcsolódó kiegészítő értékelési korrekciók.</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(11) bekezdése</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Az (EU) 2016/101 felhatalmazáson alapuló rendelet 14. cikkének megfelelően számított, a koncentrált pozíciókhoz kapcsolódó kiegészítő értékelési korrekciók.</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(10) bekezdése</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15. cikkének megfelelően számított, a jövőbeli adminisztratív költségekhez kapcsolódó kiegészítő értékelési korrekciók.</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(10) bekezdése</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16. cikkének megfelelően számított, a lejárat előtti visszaváltáshoz kapcsolódó kiegészítő értékelési korrekciók.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(10) bekezdése</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17. cikkének megfelelően számított, működési kockázathoz kapcsolódó kiegészítő értékelési korrekciók.</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KIEGÉSZÍTŐ ÉRTÉKELÉSI KORREKCIÓ ÖSSZESEN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0010-es sor: az 575/2013/EU rendelet 34. és 105. cikke szerint a szavatolótőkéből levonandó kiegészítő értékelési korrekciók teljes összege, amelyet</w:t>
            </w:r>
            <w:r>
              <w:rPr>
                <w:rFonts w:ascii="Times New Roman" w:hAnsi="Times New Roman"/>
                <w:sz w:val="24"/>
              </w:rPr>
              <w:t xml:space="preserve"> </w:t>
            </w:r>
            <w:r>
              <w:rPr>
                <w:rStyle w:val="InstructionsTabelleberschrift"/>
                <w:rFonts w:ascii="Times New Roman" w:hAnsi="Times New Roman"/>
                <w:b w:val="0"/>
                <w:sz w:val="24"/>
                <w:u w:val="none"/>
              </w:rPr>
              <w:t xml:space="preserve">megfelelően a C 01.00 tábla 0290-es sorában kell feltüntetni. A kiegészítő értékelési korrekciók teljes összege a 0030-as és a 0180-as sor összege.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0020-as sor: A 0010-es sorban feltüntetett kiegészítő értékelési korrekciók teljes összegének a kereskedési könyvi pozíciókból eredő része (abszolút érték).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0030–0160-as sor: A 0010-es, 0030-as, 0050-es és a 0070–0100-as sor összege.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0180–0210-as sor: A tartalékmódszer (fall-back-approach) szerinti portfóliókból eredő kiegészítő értékelési korrekciók teljes összege.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FELSŐ BIZONYTALANSÁGI ÉRTÉK</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Az (EU) 2016/101 felhatalmazáson alapuló rendelet </w:t>
            </w:r>
            <w:r>
              <w:rPr>
                <w:rStyle w:val="InstructionsTabelleberschrift"/>
                <w:rFonts w:ascii="Times New Roman" w:hAnsi="Times New Roman"/>
                <w:b w:val="0"/>
                <w:sz w:val="24"/>
                <w:u w:val="none"/>
              </w:rPr>
              <w:t>8. cikkének (2) bekezdése</w:t>
            </w:r>
            <w:r>
              <w:rPr>
                <w:rFonts w:ascii="Times New Roman" w:hAnsi="Times New Roman"/>
                <w:sz w:val="24"/>
              </w:rPr>
              <w:t>.</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felső bizonytalansági érték kiszámításának és aggregálásának alapja ugyanaz, mint a kiegészítő értékelési korrekció 0110-es oszlopban számított teljes összegéé, de a kiegészítő értékelési korrekció teljes összegének meghatározásakor használt 90 %-ot fel kell váltani egy 10 %-os bizonyossági szinttel.</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 ÉS KÖTELEZETTSÉGEK</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valós értéken értékelt eszközöknek és kötelezettségeknek a kiegészítő értékelési korrekciók 0010–0130-as és 0180-as sorban feltüntetett értékeinek megfelelő abszolút értéke. Néhány sor, különösen a 0090–0130-as sor esetében előfordulhat, hogy ezeket az összegeket szakértői megítélés alapján közelíteni vagy allokálni kell.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lastRenderedPageBreak/>
              <w:t xml:space="preserve">0010-es sor: Az (EU) 2016/101 felhatalmazáson alapuló rendelet 4. cikkének (1) bekezdése szerinti küszöbérték-számításba bevont valós értéken értékelt eszközök és kötelezettségek teljes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A 0010-es sor a 0030-as és a 0180-as sor összege.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0020-as sor: a 0010-es sorban feltüntetett valós értéken értékelt eszközök és kötelezettségek teljes abszolút értékének a kereskedési könyvi pozíciókból eredő része (abszolút érték).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0030-as sor: az (EU) 2016/101 felhatalmazáson alapuló rendelet 9–17. cikkében említett portfólióknak megfelelő, valós értéken értékelt eszközök és kötelezettségek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 A 0030-as sor a 0090–0130-as sor összege.</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0050-es sor: Nem realizált hitelkockázati felárral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0060-as sor: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0070-es sor: Az (EU) 2016/101 felhatalmazáson alapuló rendelet 9. cikkének (2) bekezdésében említett nulla kiegészítő értékelési korrekcióval rendelkezőnek értékelt értékelési kitettségnek megfelelő, valós értéken értékelt eszközök és kötelezettségek abszolút értéke.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0080-as sor: Az (EU) 2016/101 felhatalmazáson alapuló rendelet 10. cikkének (2) és (3) bekezdésében említett nulla kiegészítő értékelési korrekcióval rendelkezőnek értékelt értékelési kitettségnek megfelelő, valós értéken értékelt eszközök és kötelezettségek abszolút értéke.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0090–0130-as sor: Az alábbiakban meghatározottak szerint (lásd a kapcsolódó sorokhoz tartozó útmutatót) allokált valós értéken értékelt eszközök és kötelezettségek abszolút értéke a következő kockázati kategóriáknak megfelelően: kamatláb, devizaárfolyam, hitel, részvény, áru. Ez magában foglalja azon valós értéken értékelt </w:t>
            </w:r>
            <w:r>
              <w:rPr>
                <w:rFonts w:ascii="Times New Roman" w:hAnsi="Times New Roman"/>
                <w:sz w:val="24"/>
              </w:rPr>
              <w:lastRenderedPageBreak/>
              <w:t>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0180-as sor: A tartalékmódszer (fall-back approach) szerinti portfólióknak megfelelő valós értéken értékelt eszközök és kötelezettségek abszolút értéke.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A 0130–0140-es oszlopra vonatkozó fenti útmutatóban kifejtettek szerint a különböző soroknak megfelelő valós értéken értékelt eszközök</w:t>
            </w:r>
            <w:r>
              <w:rPr>
                <w:rFonts w:ascii="Times New Roman" w:hAnsi="Times New Roman"/>
                <w:sz w:val="24"/>
              </w:rPr>
              <w:t xml:space="preserve"> abszolút értéke.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0130–0140-es oszlopra vonatkozó fenti útmutatóban kifejtettek szerint a különböző soroknak megfelelő valós értéken értékelt kötelezettségek</w:t>
            </w:r>
            <w:r>
              <w:rPr>
                <w:rFonts w:ascii="Times New Roman" w:hAnsi="Times New Roman"/>
                <w:sz w:val="24"/>
              </w:rPr>
              <w:t xml:space="preserve"> abszolút értéke.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BEVÉTEL</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0130–0140-es oszlopra vonatkozó fenti útmutatóban kifejtettek szerint a különböző soroknak megfelelő valós értéken értékelt eszközökhöz és kötelezettségekhez</w:t>
            </w:r>
            <w:r>
              <w:rPr>
                <w:rStyle w:val="InstructionsTabelleberschrift"/>
                <w:rFonts w:ascii="Times New Roman" w:hAnsi="Times New Roman"/>
                <w:b w:val="0"/>
                <w:sz w:val="24"/>
                <w:u w:val="none"/>
              </w:rPr>
              <w:t xml:space="preserve"> rendelt, az utolsó adatszolgáltatási időpont óta keletkezett, aktuális negyedévi bevételek (QTD bevétel), adott esetben szakértői megítélés alapján allokálva vagy közelítve.</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105. cikke (8) bekezdésének megfelelően végrehajtott független árfelülvizsgálat keretében az adatszolgáltatási időponthoz legközelebb eső hónap végén kiszámított ki nem igazított különbözetek („IPV különbözet”)</w:t>
            </w:r>
            <w:r>
              <w:rPr>
                <w:rFonts w:ascii="Times New Roman" w:hAnsi="Times New Roman"/>
                <w:sz w:val="24"/>
              </w:rPr>
              <w:t xml:space="preserve"> </w:t>
            </w:r>
            <w:r>
              <w:rPr>
                <w:rStyle w:val="InstructionsTabelleberschrift"/>
                <w:rFonts w:ascii="Times New Roman" w:hAnsi="Times New Roman"/>
                <w:b w:val="0"/>
                <w:sz w:val="24"/>
                <w:u w:val="none"/>
              </w:rPr>
              <w:t xml:space="preserve">összes pozíciójának és kockázati tényezőjének összege, a releváns pozícióra vagy kockázati tényezőre vonatkozóan elérhető legjobb független adatok figyelembevételével.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ki nem igazított különbözetek a kereskedési rendszerek által generált értékelések és a havi IPV folyamat során értékelt értékelések közötti ki nem igazított különbözeteket jelentik.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 számviteli valós értékében potenciálisan alkalmazott, néha „tartalékok”-ként hivatkozott korrekciók, amelyekre a könyv szerinti értékek generálásához használt értékelési modellen kívül kerül sor (kivéve az első napi nyereség és veszteség elhalasztását), és amely korrekciókról megállapítható, hogy ugyanarra az értékelési bizonytalansági forrásra vonatkozik, mint a releváns kiegészítő értékelési korrekció. Tükrözhetik az értékelési technikán belül figyelembe nem vett, kockázati </w:t>
            </w:r>
            <w:r>
              <w:rPr>
                <w:rStyle w:val="InstructionsTabelleberschrift"/>
                <w:rFonts w:ascii="Times New Roman" w:hAnsi="Times New Roman"/>
                <w:b w:val="0"/>
                <w:sz w:val="24"/>
                <w:u w:val="none"/>
              </w:rPr>
              <w:lastRenderedPageBreak/>
              <w:t>prémium vagy kilépési költség formájában lévő kockázati tényezőket, és megfelelnek a valós érték definíciójának. Mindazonáltal a piaci szereplőknek az árképzéskor figyelembe kell venniük ezeket a korrekciókat. (IFRS 13 9. bekezdése és IFRS 13 88. bekezdése)</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PIACI ÁR BIZONYTALANSÁGA</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 valós értékében abból a célból alkalmazott korrekció, hogy tükrözze egyenértékű eszközök, vagy – az értékelési modellhez való piaciparaméter-input tekintetében –az input kalibrálásához felhasznált eszközök megfigyelt ártartományának meglétéből eredő kockázati prémiumot, és amely korrekcióról így megállapítható, hogy ugyanarra az értékelési bizonytalansági forrásra vonatkozik, mint a piaci ár bizonytalanságával kapcsolatos kiegészítő értékelési korrekció.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tény figyelembevétele érdekében alkalmazott korrekció, hogy a pozíciószintű értékelések nem tükrözik a pozícióra vagy portfólióra vonatkozó kilépési árat, különösen, ha az ilyen értékeléseket piaci középárfolyamra kalibrálják, és amely korrekcióról így megállapítható, hogy ugyanarra az értékelési bizonytalansági forrásra vonatkozik,</w:t>
            </w:r>
            <w:r>
              <w:rPr>
                <w:rFonts w:ascii="Times New Roman" w:hAnsi="Times New Roman"/>
                <w:sz w:val="24"/>
              </w:rPr>
              <w:t xml:space="preserve"> mint a pozíciózárási költségekkel kapcsolatos kiegészítő értékelési korrekció</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abból a célból alkalmazott korrekció, hogy tükrözzön olyan piaci vagy terméktényezőket, amelyeket a napi pozícióértékek és -kockázatok kiszámításához használt modell (értékelési modell) nem vesz figyelembe, vagy hogy megfelelő szintű óvatosságot tükrözzön, tekintettel különböző alternatív érvényes modellek és modellkalibrációk meglétéből eredő bizonytalanságra, és amely korrekcióról így megállapítható, hogy ugyanarra az értékelési bizonytalansági forrásra vonatkozik,</w:t>
            </w:r>
            <w:r>
              <w:rPr>
                <w:rFonts w:ascii="Times New Roman" w:hAnsi="Times New Roman"/>
                <w:sz w:val="24"/>
              </w:rPr>
              <w:t xml:space="preserve"> mint a modellkockázattal kapcsolatos kiegészítő értékelési korrekció</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tény tükrözése céljából alkalmazott korrekció, hogy az intézménynél lévő aggregált pozíció nagyobb, mint a normál kereskedett volumen, vagy nagyobb azon pozícióméreteknél, amelyeken az értékelési modell által használt árak vagy inputok kalibrálásához használt megfigyelhető árjegyzések vagy ügyletek alapulnak, és amely korrekcióról így megállapítható, hogy ugyanarra az értékelési bizonytalansági forrásra vonatkozik,</w:t>
            </w:r>
            <w:r>
              <w:rPr>
                <w:rFonts w:ascii="Times New Roman" w:hAnsi="Times New Roman"/>
                <w:sz w:val="24"/>
              </w:rPr>
              <w:t xml:space="preserve"> mint a koncentrált pozíciókkal kapcsolatos kiegészítő értékelési korrekció</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 REALIZÁLT HITELKOCKÁZATI FELÁR</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 származtatott pozíciók partner általi nemteljesítéséből fakadó várható veszteségek fedezése céljából alkalmazott korrekció (azaz teljes hitelértékelési korrekció (CVA) intézményi szinten).</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BEFEKTETÉSI ÉS FINANSZÍROZÁSI KÖLTSÉGEK</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intézmény valós értékében a kompenzálás érdekében alkalmazott korrekció, amennyiben az értékelési modellek nem tükrözik teljes mértékben a finanszírozási költséget, amelyet a piaci szereplők egy pozíció vagy portfólió kilépési árában figyelembe vennének (azaz a finanszírozási értékelési korrekció intézményi szinten, ha az intézmény ilyen, vagy esetleg egyenértékű korrekciót számít).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adminisztratív költségek tükrözése céljából alkalmazott korrekció, amelyek a portfólió vagy pozíció kapcsán felmerülnek, de amelyeket nem vesz figyelembe az értékelési modell vagy a modell inputjainak kalibrálásához használt árak, és amely korrekcióról így megállapítható, hogy ugyanarra az értékelési bizonytalansági forrásra vonatkozik, mint a jövőbeli adminisztratív költségekkel kapcsolatos kiegészítő értékelési korrekció.</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szerződéses vagy nem szerződéses lejárat előtti visszaváltásra vonatkozó várakozások tükrözése érdekében alkalmazott korrekció, amelyeket nem vesz figyelembe az értékelési modell, és amely korrekcióról így megállapítható, hogy ugyanarra az értékelési bizonytalansági forrásra vonatkozik, mint a lejárat előtti visszaváltással kapcsolatos kiegészítő értékelési korrekció.</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azon kockázati prémium tükrözése érdekében alkalmazott korrekció, amelyet a piaci szereplők felszámítanának a portfólióban lévő szerződések fedezéséből, adminisztrációjából és elszámolásából eredő működési kockázatok kompenzációja céljából, és amely korrekcióról így megállapítható, hogy ugyanarra az értékelési bizonytalansági forrásra vonatkozik, mint a működési kockázattal kapcsolatos kiegészítő értékelési korrekció.</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esetek tükrözése céljából alkalmazott korrekciók, amelyekben az értékelési modell plusz a pozícióra vagy portfólióra alkalmazandó összes többi releváns valósérték-korrekció nem vette figyelembe az első napi megjelenítéskor fizetett vagy kapott árat, azaz az első napi nyereségek és veszteségek elhalasztását (IFRS 9 B5.1.2A. bekezdés).</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MAGYARÁZAT LEÍRÁS</w:t>
            </w:r>
          </w:p>
          <w:p w14:paraId="3876DC74" w14:textId="025BA035"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Az (EU) 2016/101 felhatalmazáson alapuló rendelet 7. cikke (2) bekezdésének b) pontja szerint kezelt pozíciók leírása, és annak magyarázata, hogy miért nem volt lehetséges a rendelet 9–17. cikkének az alkalmazása.</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Sor</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ALAPVETŐ MÓDSZER ÖSSZESEN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Az (EU) 2016/101 felhatalmazáson alapuló rendelet 7. cikkének (2) bekezdése.</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 0010–0110-es oszlopban említett kiegészítő értékelési korrekciók minden egyes releváns kategóriájára vonatkozóan az (EU) 2016/101 felhatalmazáson alapuló rendelet 3. fejezetében meghatározott alapvető módszer szerint kiszámított kiegészítő értékelési korrekciók teljes összege az említett rendelet 4. cikkének (1) bekezdése szerinti értékhatár-számításba bevont valós értéken értékelt eszközökre és kötelezettségekre vonatkozóan. Ez magában foglalja az (EU) 2016/101 felhatalmazáson alapuló rendelet 9. cikkének (6) bekezdésével, 10. cikkének (7) bekezdésével és 11. cikkének (7) bekezdésével összhangban a 0140-es sorban feltüntetett diverzifikációs nyereséget.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KERESKEDÉSI KÖNYV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cikkének (2) bekezdése.</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A 0010–0110-es oszlopban említett kiegészítő értékelési korrekciók minden egyes releváns kategóriájára vonatkozóan a 0010-es sorban feltüntetett kiegészítő értékelési korrekciók teljes összegének a kereskedési könyvi pozíciókból eredő része (abszolút érték).</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AZ (EU) 2016/101 FELHATALMAZÁSON ALAPULÓ BIZOTTSÁGI RENDELET 9–17. CIKKE SZERINTI PORTFÓLIÓK – KATEGÓRIASZINTŰ ÖSSZESÍTÉS DIVERZIFIKÁCIÓ UTÁN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bekezdésének a) pontja.</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0010–0110-es oszlopban említett kiegészítő értékelési korrekciók minden egyes releváns kategóriájára vonatkozóan az (EU) 2016/101 felhatalmazáson alapuló rendelet 9–17. cikke szerint számított kiegészítő értékelési korrekciók teljes összege az említett rendelet 4. cikkének (1) bekezdése szerinti értékhatár-számításba bevont valós értéken értékelt eszközökre és kötelezettségekre vonatkozóan, kivéve az (EU) 2016/101 felhatalmazáson alapuló rendelet 7. cikke (2) bekezdésének b) pontjában leírt kezelés alá tartozó valós értéken értékelt eszközöket és kötelezettségeket.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Ez magában foglalja az (EU) 2016/101 felhatalmazáson alapuló rendelet 12. és 13. cikke szerint számított, a 0050-es és 0060-as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Ez magában foglalja az (EU) 2016/101 felhatalmazáson alapuló rendelet 9. cikkének (6) bekezdésével, 10. cikkének (7) bekezdésével és 11. cikkének (7) bekezdésével összhangban a 0140-es sorban feltüntetett diverzifikációs nyereséget.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A 0030-as sornak a 0040-es és 0140-es sor különbözetének kell lennie.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KATEGÓRIASZINTŰ ÖSSZESÍTÉS DIVERZIFIKÁCIÓ ELŐTT</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0090–0130-as sor esetében az intézményeknek az (EU) 2016/101 felhatalmazáson alapuló rendelet 4. cikkének (1) bekezdése szerinti értékhatár-számításba </w:t>
            </w:r>
            <w:r>
              <w:rPr>
                <w:rFonts w:ascii="Times New Roman" w:hAnsi="Times New Roman"/>
                <w:sz w:val="24"/>
              </w:rPr>
              <w:lastRenderedPageBreak/>
              <w:t xml:space="preserve">bevont (kereskedési könyvi és nem kereskedési könyvi) valós értéken értékelt eszközeiket és kötelezettségeiket a következő kockázati kategóriákhoz kell allokálniuk: kamatláb, devizaárfolyam, hitel, részvény, áru.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Az intézmények e célból belső kockázatkezelési struktúrájukra támaszkodnak, és a szakértői megítélés alapján kidolgozott hozzárendelést követve üzletágaikat vagy kereskedési egységeiket a legmegfelelőbb kockázati kategóriához rendelik. Az allokált üzletágaknak vagy kereskedési egységeknek megfelelő kiegészítő értékelési korrekciókat, valósérték-korrekciókat és egyéb előírt információkat ugyanazon releváns kockázati kategóriába kell allokálni, hogy a sorok szintjén minden egyes kockázati kategória esetében biztosított legyen mind a prudenciális célból, mind a számviteli célból végrehajtott korrekciók következetes áttekintése, valamint az érintett pozíciók nagyságának megjelölése (a valós értéken értékelt eszközök és kötelezettségek szempontjából). Amennyiben a kiegészítő értékelési korrekciókat vagy egyéb korrekciókat eltérő aggregálási szinten számítják, mindenekelőtt a vállalkozás szintjén, az intézményeknek ki kell dolgozniuk egy allokációs módszert a kiegészítő értékelési korrekcióknak a releváns pozícióhalmazokhoz való rendeléséhez. Az allokációs módszernek azt kell eredményeznie, hogy a 0040-es sor a 0050–0130-as sorok összege legyen a 0010–0100-as oszlop esetében.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Az alkalmazott módszertől függetlenül a feltüntetett információknak a lehető legnagyobb mértékben következetesnek kell lenniük a sorok szintjén, mivel a megadott információk ezen a szinten kerülnek összehasonlításra (kiegészítő értékelési korrekciók összegei, felső bizonytalansági érték, valósérték-összegek és potenciális valósérték-korrekciók).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0090–0130-as sor szerinti bontás nem foglalja magában az (EU) 2016/101 felhatalmazáson alapuló rendelet 12. és 13. cikke alapján számított, a 0050-es és 0060-as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 diverzifikációs nyereségek az (EU) 2016/101 felhatalmazáson alapuló rendelet 9. cikkének (6) bekezdésével, 10. cikkének (7) bekezdésével és 11. cikkének (7) bekezdésével összhangban a 0140-es sorban vannak feltüntetve, ezért nem szerepelnek a 0040–0130-as sorban.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EBBŐL: NEM REALIZÁLT HITELKOCKÁZATI FELÁR KIEGÉSZÍTŐ ÉRTÉKELÉSI KORREKCIÓJA</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Az 575/2013/EU rendelet 105. cikkének (10) bekezdése, az (EU) 2016/101 felhatalmazáson alapuló rendelet 12. cikke.</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nem realizált hitelkockázati felárra vonatkozóan kiszámított kiegészítő értékelési korrekció teljes összege, és az (EU) 2016/101 felhatalmazáson alapuló rendelet 12. cikke szerinti allokációja a piaci ár bizonytalanságával, a pozíciózárási költségekkel és a modellkockázattal kapcsolatos kiegészítő értékelési korrekciók között.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0110-es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0130-as és 0140-es oszlop: nem realizált hitelkockázati felárral kapcsolatos kiegészítő értékelési korrekciók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BEFEKTETÉSI ÉS FINANSZÍROZÁSI KÖLTSÉGEK KIEGÉSZÍTŐ ÉRTÉKELÉSI KORREKCIÓJA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Az 575/2013/EU rendelet 105. cikkének (10) bekezdése, az (EU) 2016/101 felhatalmazáson alapuló rendelet 17. cikke.</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 befektetési és finanszírozási költségekre vonatkozóan kiszámított kiegészítő értékelési korrekció teljes összege, és az (EU) 2016/101 felhatalmazáson alapuló rendelet 13. cikk szerinti allokációja a piaci ár bizonytalanságával, a pozíciózárási költségekkel és a modellkockázattal kapcsolatos kiegészítő értékelési korrekciók között.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0110-es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0130-as és 0140-es oszlop: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w:t>
            </w:r>
            <w:r>
              <w:rPr>
                <w:rFonts w:ascii="Times New Roman" w:hAnsi="Times New Roman"/>
                <w:b/>
                <w:caps/>
                <w:sz w:val="24"/>
              </w:rPr>
              <w:t>AZ (EU) 2016/101 felhatalmazáson alapuló rendelet</w:t>
            </w:r>
            <w:r>
              <w:rPr>
                <w:rFonts w:ascii="Times New Roman" w:hAnsi="Times New Roman"/>
                <w:b/>
                <w:sz w:val="24"/>
                <w:u w:val="single"/>
              </w:rPr>
              <w:t xml:space="preserve"> 9. CIKKÉNEK (2) BEKEZDÉSE SZERINT NULLA ÉRTÉKKEL ÉRTÉKELT KIEGÉSZÍTŐ ÉRTÉKELÉSI KORREKCIÓ</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Az (EU) 2016/101 felhatalmazáson alapuló rendelet 9. cikkének (2) bekezdése szerint nulla kiegészítő értékelési korrekcióval rendelkezőnek értékelt értékelési kitettségnek megfelelő, valós értéken értékelt eszközök és kötelezettségek abszolút értéke.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w:t>
            </w:r>
            <w:r>
              <w:rPr>
                <w:rFonts w:ascii="Times New Roman" w:hAnsi="Times New Roman"/>
                <w:sz w:val="24"/>
              </w:rPr>
              <w:t xml:space="preserve">AZ </w:t>
            </w:r>
            <w:r>
              <w:rPr>
                <w:rFonts w:ascii="Times New Roman" w:hAnsi="Times New Roman"/>
                <w:b/>
                <w:caps/>
                <w:sz w:val="24"/>
              </w:rPr>
              <w:t>(EU) 2016/101 felhatalmazáson alapuló rendelet</w:t>
            </w:r>
            <w:r>
              <w:rPr>
                <w:rFonts w:ascii="Times New Roman" w:hAnsi="Times New Roman"/>
                <w:sz w:val="24"/>
              </w:rPr>
              <w:t xml:space="preserve"> </w:t>
            </w:r>
            <w:r>
              <w:rPr>
                <w:rFonts w:ascii="Times New Roman" w:hAnsi="Times New Roman"/>
                <w:b/>
                <w:sz w:val="24"/>
                <w:u w:val="single"/>
              </w:rPr>
              <w:t>10. CIKKÉNEK (2) és (3) BEKEZDÉSE SZERINT NULLA ÉRTÉKKEL ÉRTÉKELT KIEGÉSZÍTŐ ÉRTÉKELÉSI KORREKCIÓ</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Az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KAMATOK</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DEVIZA</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HITEL</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RÉSZVÉNYEK</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ÁRUK</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Diverzifikációs előnyök</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 diverzifikációs nyereség teljes összege. A 0150-es és 0160-as sor összege.</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Az 1. módszerrel számított diverzifikációs előny</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9. cikkének (6) bekezdésével, 10. cikkének (7) bekezdésével és 11. cikkének (6) bekezdésével összhangban a kiegészítő értékelési korrekciók 1.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 2. módszerrel számított diverzifikációs előny</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9. cikkének (6) bekezdésével, 10. cikkének (7) bekezdésével és 11. cikkének (6) bekezdésével összhangban a kiegészítő értékelési korrekciók 2.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Tájékoztató adat: diverzifikáció előtti kiegészítő értékelési korrekciók, amelyek 90 %-ot meghaladó</w:t>
            </w:r>
            <w:r>
              <w:t xml:space="preserve"> </w:t>
            </w:r>
            <w:r>
              <w:rPr>
                <w:rFonts w:ascii="Times New Roman" w:hAnsi="Times New Roman"/>
                <w:b/>
                <w:caps/>
                <w:sz w:val="24"/>
                <w:u w:val="single"/>
              </w:rPr>
              <w:t>mértékben csökkennek a 2. módszer szerinti diverzifikációval</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A 2. módszer terminológiájában a FV – PV összege minden értékelési kitettség esetében,</w:t>
            </w:r>
            <w:r>
              <w:t xml:space="preserve"> </w:t>
            </w:r>
            <w:r>
              <w:rPr>
                <w:rFonts w:ascii="Times New Roman" w:hAnsi="Times New Roman"/>
                <w:sz w:val="24"/>
              </w:rPr>
              <w:t>amelyeknél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A tartalékmódszer (fall-back approach) szerinti portfóliók</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Az (EU) 2016/101 felhatalmazáson alapuló rendelet 7. cikke (2) bekezdésének b) pontja.</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Az (EU) 2016/101 felhatalmazáson alapuló rendelet 7. cikke (2) bekezdésének b) pontja szerinti tartalékmódszer alá tartozó portfóliók esetében a teljes kiegészítő értékelési korrekciót a 0190-es, 0200-as és a 0210-es sor összegeként kell kiszámítani.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A vonatkozó mérleg- és egyéb háttérinformációkat a 0130–0260-as oszlopban kell megadni. A pozíciók leírását és annak magyarázatát, hogy miért nem volt lehetséges az (EU) 2016/101 felhatalmazáson alapuló rendelet 9–17. cikkének alkalmazása, a 0270-es oszlopban kell megadni.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Tartalékmódszer (fall-back approach); a nem realizált nyereség</w:t>
            </w:r>
            <w:r>
              <w:t xml:space="preserve"> </w:t>
            </w:r>
            <w:r>
              <w:rPr>
                <w:rFonts w:ascii="Times New Roman" w:hAnsi="Times New Roman"/>
                <w:b/>
                <w:caps/>
                <w:sz w:val="24"/>
                <w:u w:val="single"/>
              </w:rPr>
              <w:t>100 %-a</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 alpontja.</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Tartalékmódszer (fall-back approach); a névleges érték</w:t>
            </w:r>
            <w:r>
              <w:t xml:space="preserve"> </w:t>
            </w:r>
            <w:r>
              <w:rPr>
                <w:rFonts w:ascii="Times New Roman" w:hAnsi="Times New Roman"/>
                <w:b/>
                <w:caps/>
                <w:sz w:val="24"/>
                <w:u w:val="single"/>
              </w:rPr>
              <w:t>10 %-a</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ii. alpontja.</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Tartalékmódszer (fall-back approach); a kezdeti érték 25 %-a</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iii. alpontja.</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6040030"/>
      <w:r>
        <w:rPr>
          <w:rFonts w:ascii="Times New Roman" w:hAnsi="Times New Roman"/>
          <w:sz w:val="24"/>
          <w:u w:val="none"/>
        </w:rPr>
        <w:t xml:space="preserve">6.3. </w:t>
      </w:r>
      <w:r>
        <w:rPr>
          <w:rFonts w:ascii="Times New Roman" w:hAnsi="Times New Roman"/>
          <w:sz w:val="24"/>
        </w:rPr>
        <w:t>C 32.03 – Prudens értékelés: modellkockázat kiegészítő értékelési korrekciója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6040031"/>
      <w:r>
        <w:rPr>
          <w:rFonts w:ascii="Times New Roman" w:hAnsi="Times New Roman"/>
          <w:sz w:val="24"/>
          <w:u w:val="none"/>
        </w:rPr>
        <w:t>6.3.1.</w:t>
      </w:r>
      <w:r>
        <w:rPr>
          <w:rFonts w:ascii="Times New Roman" w:hAnsi="Times New Roman"/>
          <w:sz w:val="24"/>
          <w:u w:val="none"/>
        </w:rPr>
        <w:tab/>
      </w:r>
      <w:r>
        <w:rPr>
          <w:rFonts w:ascii="Times New Roman" w:hAnsi="Times New Roman"/>
          <w:sz w:val="24"/>
        </w:rPr>
        <w:t>Általános megjegyzések</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181</w:t>
      </w:r>
      <w:r w:rsidRPr="005B57EC">
        <w:fldChar w:fldCharType="end"/>
      </w:r>
      <w:r>
        <w:t>. Ezt a táblát kizárólag olyan intézményeknek kell kitölteniük, amelyek saját szintjükön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14:paraId="04DED855"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182</w:t>
      </w:r>
      <w:r w:rsidRPr="005B57EC">
        <w:fldChar w:fldCharType="end"/>
      </w:r>
      <w:r>
        <w:t>. Ebben a táblában az (EU) 2016/101 felhatalmazáson alapuló rendelet 11. cikkével összhangban kiszámított teljes kategóriaszintű, modellkockázattal kapcsolatos kiegészítő értékelési korrekcióhoz hozzájáruló, a kiegészítő értékelési korrekció összegét tekintve első 20 egyedi, modellkockázattal kapcsolatos kiegészítő értékelési korrekció részleteit kell feltüntetni. Ez az információ megfelel a C 32.02. tábla 0050-es oszlopában megadott információknak.</w:t>
      </w:r>
    </w:p>
    <w:p w14:paraId="741DDBB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183</w:t>
      </w:r>
      <w:r w:rsidRPr="005B57EC">
        <w:fldChar w:fldCharType="end"/>
      </w:r>
      <w:r>
        <w:t xml:space="preserve">. Az első 20 egyedi, modellkockázattal kapcsolatos kiegészítő értékelési korrekciót és a kapcsolódó termékinformációkat csökkenő sorrendben, a legnagyobb </w:t>
      </w:r>
      <w:r>
        <w:lastRenderedPageBreak/>
        <w:t xml:space="preserve">egyedi, modellkockázattal kapcsolatos kiegészítő értékelési korrekcióval kezdve kell feltüntetni. </w:t>
      </w:r>
    </w:p>
    <w:p w14:paraId="3881F296" w14:textId="77D0618A"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184</w:t>
      </w:r>
      <w:r w:rsidRPr="005B57EC">
        <w:fldChar w:fldCharType="end"/>
      </w:r>
      <w:r>
        <w:t xml:space="preserve">. Az ezen legnagyobb egyedi, modellkockázattal kapcsolatos kiegészítő értékelési korrekcióknak megfelelő termékeket az (EU) 2016/101 felhatalmazáson alapuló rendelet 19. cikke (3) bekezdésének a) pontjában előírt termékleltár használatával kell feltüntetni. </w:t>
      </w:r>
    </w:p>
    <w:p w14:paraId="6C4443E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185</w:t>
      </w:r>
      <w:r w:rsidRPr="005B57EC">
        <w:fldChar w:fldCharType="end"/>
      </w:r>
      <w:r>
        <w:t>. Amennyiben a termékek az értékelési modell és a modellkockázattal kapcsolatos kiegészítő értékelési korrekció tekintetében kellően homogének, össze kell vonni és egyetlen soron kell bemutatni őket, hogy az intézmény teljes kategóriaszintű, modellkockázattal kapcsolatos kiegészítő értékelési korrekciójára vonatkozóan maximalizálni lehessen e tábla lefedettségét.</w:t>
      </w:r>
    </w:p>
    <w:p w14:paraId="11ECCAFC" w14:textId="2E08641E"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6040032"/>
      <w:r>
        <w:rPr>
          <w:rFonts w:ascii="Times New Roman" w:hAnsi="Times New Roman"/>
          <w:sz w:val="24"/>
          <w:u w:val="none"/>
        </w:rPr>
        <w:t>6.3.2.</w:t>
      </w:r>
      <w:r>
        <w:rPr>
          <w:rFonts w:ascii="Times New Roman" w:hAnsi="Times New Roman"/>
          <w:sz w:val="24"/>
          <w:u w:val="none"/>
        </w:rPr>
        <w:tab/>
      </w:r>
      <w:r>
        <w:rPr>
          <w:rFonts w:ascii="Times New Roman" w:hAnsi="Times New Roman"/>
          <w:sz w:val="24"/>
        </w:rPr>
        <w:t>A tábla egyes részeire vonatkozó útmutató</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Oszlop</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modellkockázattal kapcsolatos kiegészítő értékelési korrekcióhoz kell rendelni, a 2-t a második legnagyobbhoz, és így tovább.</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A modell belső neve (alfanumerikus), amelyet az intézmény a modell azonosítására használ.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 modellkockázattal kapcsolatos értékelési korrekcióhoz vezető terméket vagy termékcsoportot leginkább jellemző kockázati kategória (kamat, devizaárfolyam, hitel, részvény, áru).</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devizaárfolyam</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áru</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TERMÉK</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A modell használatával értékelt termék vagy termékcsoport belső neve (alfanumerikus), az (EU) 2016/101 felhatalmazáson alapuló rendelet 19. cikke (3) bekezdésének a) pontjában előírt termékleltárral összhangban.</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MEGFIGYELHETŐSÉG</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A termékkel vagy termékcsoporttal kapcsolatos olyan ármegfigyelések száma az elmúlt tizenkét hónapban, amelyek teljesítik a következő kritériumok valamelyikét:</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Az ármegfigyelés olyan ár, amelyen az intézmény ügyletet hajtott végre,</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Harmadik felek közötti tényleges ügylet ellenőrizhető ára,</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Az ár kötelező érvényű jegyzésből származik.</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Az intézményeknek a következő értékek egyikét kell feltüntetniük: „nincs”,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 KIEGÉSZÍTŐ ÉRTÉKELÉSI KORREKCIÓJA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Az (EU) 2016/101 felhatalmazáson alapuló rendelet </w:t>
            </w:r>
            <w:r>
              <w:rPr>
                <w:rStyle w:val="InstructionsTabelleberschrift"/>
                <w:rFonts w:ascii="Times New Roman" w:hAnsi="Times New Roman"/>
                <w:b w:val="0"/>
                <w:sz w:val="24"/>
                <w:u w:val="none"/>
              </w:rPr>
              <w:t>11. cikkének (1) bekezdése</w:t>
            </w:r>
            <w:r>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Egyedi modellkockázattal kapcsolatos kiegészítő értékelési korrekció a diverzifikációs nyereség előtt, de adott esetben a portfóliónettósítás után.</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SZAKÉRTŐI MÓDSZER HASZNÁLATÁVAL</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Az (EU) 2016/101 felhatalmazáson alapuló rendelet 11. cikkének (4) bekezdésében említett szakértői módszer szerint kiszámított, a 0050-es oszlopban szereplő összegek.</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2. MÓDSZER HASZNÁLATÁVAL ÖSSZESÍTVE</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mellékletében található 2. módszer szerint összesített, a 0050-es oszlopban szereplő összegek. Ezek az összegek a melléklet terminológiájában az FV – PV-nek felelnek meg.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2. MÓDSZER SZERINT SZÁMÍTOTT ÖSSZESÍTETT KIEGÉSZÍTŐ ÉRTÉKELÉSI KORREKCIÓ</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(EU) 2016/101 felhatalmazáson alapuló rendelet mellékletében található 2. módszer használatával összesített egyedi,</w:t>
            </w:r>
            <w:r>
              <w:rPr>
                <w:rFonts w:ascii="Times New Roman" w:hAnsi="Times New Roman"/>
                <w:sz w:val="24"/>
              </w:rPr>
              <w:t xml:space="preserve"> modellkockázattal kapcsolatos </w:t>
            </w:r>
            <w:r>
              <w:rPr>
                <w:rStyle w:val="InstructionsTabelleberschrift"/>
                <w:rFonts w:ascii="Times New Roman" w:hAnsi="Times New Roman"/>
                <w:b w:val="0"/>
                <w:sz w:val="24"/>
                <w:u w:val="none"/>
              </w:rPr>
              <w:t>kiegészítő értékelési korrekcióknak az említett rendelet 11. cikkének (7) bekezdése szerint számított</w:t>
            </w:r>
            <w:r>
              <w:rPr>
                <w:rFonts w:ascii="Times New Roman" w:hAnsi="Times New Roman"/>
                <w:sz w:val="24"/>
              </w:rPr>
              <w:t>, modellkockázattal kapcsolatos, teljes kategóriaszintű kiegészítő értékelési korrekcióhoz való hozzájárulása</w:t>
            </w:r>
            <w:r>
              <w:rPr>
                <w:rStyle w:val="InstructionsTabelleberschrift"/>
                <w:rFonts w:ascii="Times New Roman" w:hAnsi="Times New Roman"/>
                <w:b w:val="0"/>
                <w:sz w:val="24"/>
                <w:u w:val="none"/>
              </w:rPr>
              <w:t xml:space="preserve">. </w:t>
            </w:r>
            <w:r>
              <w:rPr>
                <w:rFonts w:ascii="Times New Roman" w:hAnsi="Times New Roman"/>
                <w:sz w:val="24"/>
              </w:rPr>
              <w:t>Ezek az összegek a melléklet terminológiájában az APVA-nak felelnek meg.</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 ÉS KÖTELEZETTSÉGEK</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 0010-es oszlopban feltüntetett modell használatával valós értéken értékelt eszközök és kötelezettségek abszolút értéke, ahogy az az alkalmazandó számviteli keret szerint elkészített pénzügyi kimutatásban szerepel.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 0010-es oszlopban feltüntetett modell használatával valós értéken értékelt eszközök abszolút értéke, ahogy az az alkalmazandó számviteli keret szerint elkészített pénzügyi kimutatásban szerepel</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 0010-es oszlopban feltüntetett modell használatával értékelt, valós értéken értékelt kötelezettségek abszolút értéke, ahogy az az alkalmazandó számviteli keret szerint elkészített pénzügyi kimutatásban szerepel.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 (OUTPUT TESZTELÉS)</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105. cikke (8) bekezdésének megfelelően végrehajtott független árfelülvizsgálat keretében az adatszolgáltatási időponthoz legközelebb eső hónap végén kiszámított ki nem igazított különbözetek („IPV különbözet”) összege,</w:t>
            </w:r>
            <w:r>
              <w:rPr>
                <w:rFonts w:ascii="Times New Roman" w:hAnsi="Times New Roman"/>
                <w:sz w:val="24"/>
              </w:rPr>
              <w:t xml:space="preserve"> </w:t>
            </w:r>
            <w:r>
              <w:rPr>
                <w:rStyle w:val="InstructionsTabelleberschrift"/>
                <w:rFonts w:ascii="Times New Roman" w:hAnsi="Times New Roman"/>
                <w:b w:val="0"/>
                <w:sz w:val="24"/>
                <w:u w:val="none"/>
              </w:rPr>
              <w:t xml:space="preserve">a kapcsolódó termékre vagy termékcsoportra vonatkozóan elérhető legjobb független adatok figyelembevételével.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Csak azokat az eredményeket kell feltüntetni, amelyeket olyan eszközök árainak használatával kalibráltak, amelyeket ugyanazon termékhez rendelnének (output tesztelés). Nem szabad feltüntetni az olyan piaci adatok inputjából származó input tesztelési eredményeket, amelyeket különböző termékekből kalibrált szintek alapján tesztelnek.</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FEDEZET (OUTPUT TESZTELÉS)</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modellkockázattal kapcsolatos kiegészítő értékelési korrekcióval súlyozott, a modellhez rendelt pozíciók százalékos aránya, amelyet a 0110-es oszlopban megadott IPV output tesztelési eredmények fedeznek.</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 32.02. tábla 0190-es és 0240-es oszlopában említett valósérték-korrekciók, amelyeket a 0010-es oszlopban megadott</w:t>
            </w:r>
            <w:r>
              <w:rPr>
                <w:rFonts w:ascii="Times New Roman" w:hAnsi="Times New Roman"/>
                <w:sz w:val="24"/>
              </w:rPr>
              <w:t xml:space="preserve"> modellhez rendelt pozíciókra alkalmaznak</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C 32.02. tábla 0260-as oszlopában meghatározott korrekciók, amelyeket a 0010-es oszlopban megadott</w:t>
            </w:r>
            <w:r>
              <w:rPr>
                <w:rFonts w:ascii="Times New Roman" w:hAnsi="Times New Roman"/>
                <w:sz w:val="24"/>
              </w:rPr>
              <w:t xml:space="preserve"> modellhez rendelt pozíciókra alkalmaznak</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6040033"/>
      <w:r>
        <w:rPr>
          <w:rFonts w:ascii="Times New Roman" w:hAnsi="Times New Roman"/>
          <w:sz w:val="24"/>
          <w:u w:val="none"/>
        </w:rPr>
        <w:lastRenderedPageBreak/>
        <w:t xml:space="preserve">6.4 </w:t>
      </w:r>
      <w:r>
        <w:rPr>
          <w:rFonts w:ascii="Times New Roman" w:hAnsi="Times New Roman"/>
          <w:sz w:val="24"/>
        </w:rPr>
        <w:t>C 32.04 – Prudens értékelés: koncentrált pozíciók kiegészítő értékelési korrekciója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6040034"/>
      <w:r>
        <w:rPr>
          <w:rFonts w:ascii="Times New Roman" w:hAnsi="Times New Roman"/>
          <w:sz w:val="24"/>
          <w:u w:val="none"/>
        </w:rPr>
        <w:t>6.4.1.</w:t>
      </w:r>
      <w:r>
        <w:rPr>
          <w:rFonts w:ascii="Times New Roman" w:hAnsi="Times New Roman"/>
          <w:sz w:val="24"/>
          <w:u w:val="none"/>
        </w:rPr>
        <w:tab/>
      </w:r>
      <w:r>
        <w:rPr>
          <w:rFonts w:ascii="Times New Roman" w:hAnsi="Times New Roman"/>
          <w:sz w:val="24"/>
        </w:rPr>
        <w:t>Általános megjegyzések</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186</w:t>
      </w:r>
      <w:r w:rsidRPr="005B57EC">
        <w:fldChar w:fldCharType="end"/>
      </w:r>
      <w:r>
        <w:t>. Ezt a táblát kizárólag olyan intézményeknek kell kitölteniük, amelyek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14:paraId="17836AA9"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187</w:t>
      </w:r>
      <w:r w:rsidRPr="005B57EC">
        <w:fldChar w:fldCharType="end"/>
      </w:r>
      <w:r>
        <w:t xml:space="preserve">. Ebben a táblában az (EU) 2016/101 felhatalmazáson alapuló rendelet 14. cikkével összhangban kiszámított teljes kategóriaszintű, koncentrált pozíciókkal kapcsolatos kiegészítő értékelési korrekcióhoz hozzájáruló, a kiegészítő értékelési korrekció összegét tekintve első 20 egyedi, koncentrált pozíciókkal kapcsolatos kiegészítő értékelési korrekció részleteit kell feltüntetni. Ez az információ megfelel a C 32.02. tábla 0070-es oszlopában megadott információknak. </w:t>
      </w:r>
    </w:p>
    <w:p w14:paraId="279F8B1F"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188</w:t>
      </w:r>
      <w:r w:rsidRPr="005B57EC">
        <w:fldChar w:fldCharType="end"/>
      </w:r>
      <w:r>
        <w:t>. Az első 20 egyedi, koncentrált pozíciókkal kapcsolatos kiegészítő értékelési korrekciót és a kapcsolódó termékinformációkat csökkenő sorrendben, a legnagyobb egyedi, koncentrált pozíciókkal kapcsolatos kiegészítő értékelési korrekcióval kezdve kell feltüntetni.</w:t>
      </w:r>
    </w:p>
    <w:p w14:paraId="2EA8E0CE" w14:textId="3EF2F8F5"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189</w:t>
      </w:r>
      <w:r w:rsidRPr="005B57EC">
        <w:fldChar w:fldCharType="end"/>
      </w:r>
      <w:r>
        <w:t>. Az ezen legnagyobb egyedi, koncentrált pozíciókkal kapcsolatos kiegészítő értékelési korrekcióknak megfelelő termékeket az (EU) 2016/101 felhatalmazáson alapuló rendelet 19. cikke (3) bekezdésének a) pontjában előírt termékleltár használatával kell feltüntetni.</w:t>
      </w:r>
    </w:p>
    <w:p w14:paraId="1FC50FB0"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190</w:t>
      </w:r>
      <w:r w:rsidRPr="005B57EC">
        <w:fldChar w:fldCharType="end"/>
      </w:r>
      <w:r>
        <w:t>. A kiegészítő értékelési korrekciók kiszámítási módszere szempontjából homogén pozíciókat lehetőség szerint összesíteni kell, e tábla lefedettségének maximalizálása céljából.</w:t>
      </w:r>
    </w:p>
    <w:p w14:paraId="65F78609" w14:textId="6B0B3486"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6040035"/>
      <w:r>
        <w:rPr>
          <w:rFonts w:ascii="Times New Roman" w:hAnsi="Times New Roman"/>
          <w:sz w:val="24"/>
          <w:u w:val="none"/>
        </w:rPr>
        <w:t>6.4.2.</w:t>
      </w:r>
      <w:r>
        <w:rPr>
          <w:rFonts w:ascii="Times New Roman" w:hAnsi="Times New Roman"/>
          <w:sz w:val="24"/>
          <w:u w:val="none"/>
        </w:rPr>
        <w:tab/>
      </w:r>
      <w:r>
        <w:rPr>
          <w:rFonts w:ascii="Times New Roman" w:hAnsi="Times New Roman"/>
          <w:sz w:val="24"/>
        </w:rPr>
        <w:t>A tábla egyes részeire vonatkozó útmutató</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Oszlop</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koncentrált pozíciókkal kapcsolatos kiegészítő értékelési korrekcióhoz kell rendelni, a 2-t a második legnagyobbhoz, és így tovább.</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 pozíciót leginkább jellemző kockázati kategória (kamat, devizaárfolyam, hitel, részvény, áru).</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FX – devizaárfolyam</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áru</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TERMÉK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A termék vagy termékcsoport belső neve, az (EU) 2016/101 felhatalmazáson alapuló rendelet</w:t>
            </w:r>
            <w:r>
              <w:t xml:space="preserve"> 19. cikke (3) bekezdésének a) pontjában </w:t>
            </w:r>
            <w:r>
              <w:rPr>
                <w:rFonts w:ascii="Times New Roman" w:hAnsi="Times New Roman"/>
                <w:sz w:val="24"/>
              </w:rPr>
              <w:t>előírt termékleltárral összhangban.</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MÖGÖTTES</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A mögöttes eszköz vagy eszközök belső neve származtatott ügyletek esetében, vagy az instrumentumok neve nem származtatott ügyletek esetében.</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KONCENTRÁLT POZÍCIÓK MÉRETE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14. cikke (1) bekezdésének a) pontja szerint meghatározott egyedi koncentrált értékelési pozíció mérete, a 0050-es oszlopban leírt egységben kifejezve.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MÉRTÉKEGYSÉG</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A 0040-es oszlopban említett koncentrált pozícióméret kiszámítása céljából a koncentrált értékelési pozíció meghatározása részeként belsőleg használt mértékegység.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Kötvényekben vagy részvényekben lévő pozíciók esetében a belső kockázatkezeléshez</w:t>
            </w:r>
            <w:r>
              <w:rPr>
                <w:rFonts w:ascii="Times New Roman" w:hAnsi="Times New Roman"/>
                <w:sz w:val="24"/>
              </w:rPr>
              <w:t xml:space="preserve"> használt mértékegységet kell megadni, </w:t>
            </w:r>
            <w:r>
              <w:rPr>
                <w:rStyle w:val="InstructionsTabelleberschrift"/>
                <w:rFonts w:ascii="Times New Roman" w:hAnsi="Times New Roman"/>
                <w:b w:val="0"/>
                <w:sz w:val="24"/>
                <w:u w:val="none"/>
              </w:rPr>
              <w:t xml:space="preserve">például „kötvények száma”, részvények száma” vagy „piaci érték”.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Származtatott ügyletekben lévő pozíciók esetében a belső kockázatkezeléshez használt mértékegységet kell megadni, például „PV01; EUR/1 bázispontos párhuzamos hozamgörbe eltolódás”.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ÉRTÉK</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pozíció piaci értéke.</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PRUDENS KILÉPÉSI IDŐSZAK</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(EU) 2016/101 felhatalmazáson alapuló rendelet 14. cikke (1) bekezdésének b) pontja</w:t>
            </w:r>
            <w:r>
              <w:rPr>
                <w:rFonts w:ascii="Times New Roman" w:hAnsi="Times New Roman"/>
                <w:sz w:val="24"/>
              </w:rPr>
              <w:t xml:space="preserve"> </w:t>
            </w:r>
            <w:r>
              <w:rPr>
                <w:rStyle w:val="InstructionsTabelleberschrift"/>
                <w:rFonts w:ascii="Times New Roman" w:hAnsi="Times New Roman"/>
                <w:b w:val="0"/>
                <w:sz w:val="24"/>
                <w:u w:val="none"/>
              </w:rPr>
              <w:t>szerint becsült napok</w:t>
            </w:r>
            <w:r>
              <w:rPr>
                <w:rFonts w:ascii="Times New Roman" w:hAnsi="Times New Roman"/>
                <w:sz w:val="24"/>
              </w:rPr>
              <w:t xml:space="preserve"> számában megadott prudens kilépési időszak</w:t>
            </w:r>
            <w:r>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KIEGÉSZÍTŐ ÉRTÉKELÉSI KORREKCIÓJA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érintett egyedi koncentrált értékelési pozíciókra vonatkozóan</w:t>
            </w:r>
            <w:r>
              <w:rPr>
                <w:rFonts w:ascii="Times New Roman" w:hAnsi="Times New Roman"/>
                <w:sz w:val="24"/>
              </w:rPr>
              <w:t xml:space="preserve"> az (EU) 2016/101 felhatalmazáson alapuló rendelet 14. cikkének (1) bekezdésével összhangban kiszámított </w:t>
            </w:r>
            <w:r>
              <w:rPr>
                <w:rStyle w:val="InstructionsTabelleberschrift"/>
                <w:rFonts w:ascii="Times New Roman" w:hAnsi="Times New Roman"/>
                <w:b w:val="0"/>
                <w:sz w:val="24"/>
                <w:u w:val="none"/>
              </w:rPr>
              <w:t>koncentrált pozíciókkal kapcsolatos kiegészítő értékelési korrekció.</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VALÓSÉRTÉK-KORREKCIÓJA</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tény tükrözése céljából alkalmazott valósérték-korrekciók összege, hogy az intézménynél lévő aggregált pozíció nagyobb, mint a normál kereskedett volumen, vagy nagyobb a pozícióméreteknél, és amelyeken az értékelési modell által használt árak vagy inputok kalibrálásához alkalmazott árjegyzések vagy ügyletek alapulnak.</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feltüntetett összegnek meg kell egyeznie az érintett egyedi koncentrált értékelési pozícióra alkalmazott összeggel.</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Az 575/2013/EU rendelet </w:t>
            </w:r>
            <w:r>
              <w:rPr>
                <w:rStyle w:val="InstructionsTabelleberschrift"/>
                <w:rFonts w:ascii="Times New Roman" w:hAnsi="Times New Roman"/>
                <w:b w:val="0"/>
                <w:sz w:val="24"/>
                <w:u w:val="none"/>
              </w:rPr>
              <w:t>105. cikke (8) bekezdésének megfelelően végrehajtott független árfelülvizsgálat keretében az adatszolgáltatási időponthoz legközelebb eső hónap végén kiszámított ki nem igazított különbözetek („IPV különbözet”)</w:t>
            </w:r>
            <w:r>
              <w:rPr>
                <w:rFonts w:ascii="Times New Roman" w:hAnsi="Times New Roman"/>
                <w:sz w:val="24"/>
              </w:rPr>
              <w:t xml:space="preserve"> összege, </w:t>
            </w:r>
            <w:r>
              <w:rPr>
                <w:rStyle w:val="InstructionsTabelleberschrift"/>
                <w:rFonts w:ascii="Times New Roman" w:hAnsi="Times New Roman"/>
                <w:b w:val="0"/>
                <w:sz w:val="24"/>
                <w:u w:val="none"/>
              </w:rPr>
              <w:t xml:space="preserve">az érintett egyedi koncentrált értékelési pozícióra vonatkozóan elérhető legjobb független adatok figyelembevételével.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6040036"/>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Államháztartásokkal szembeni kitettségek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6040037"/>
      <w:r>
        <w:rPr>
          <w:rFonts w:ascii="Times New Roman" w:hAnsi="Times New Roman"/>
          <w:sz w:val="24"/>
          <w:u w:val="none"/>
        </w:rPr>
        <w:t>7.1.</w:t>
      </w:r>
      <w:r>
        <w:rPr>
          <w:rFonts w:ascii="Times New Roman" w:hAnsi="Times New Roman"/>
          <w:sz w:val="24"/>
          <w:u w:val="none"/>
        </w:rPr>
        <w:tab/>
      </w:r>
      <w:r>
        <w:rPr>
          <w:rFonts w:ascii="Times New Roman" w:hAnsi="Times New Roman"/>
          <w:sz w:val="24"/>
        </w:rPr>
        <w:t>Általános megjegyzések</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191</w:t>
      </w:r>
      <w:r w:rsidRPr="005B57EC">
        <w:fldChar w:fldCharType="end"/>
      </w:r>
      <w:r>
        <w:t>.</w:t>
      </w:r>
      <w:r>
        <w:tab/>
        <w:t xml:space="preserve"> A C 33.00 táblában az e végrehajtási rendelet V. mellékletének 42. b) pontjában említett „államháztartásokkal” szembeni kitettségeket kell jelenteni.</w:t>
      </w:r>
    </w:p>
    <w:p w14:paraId="08288A06" w14:textId="1833F87D"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192</w:t>
      </w:r>
      <w:r w:rsidRPr="005B57EC">
        <w:fldChar w:fldCharType="end"/>
      </w:r>
      <w:r>
        <w:t>.</w:t>
      </w:r>
      <w:r>
        <w:tab/>
        <w:t xml:space="preserve"> Amennyiben az „államháztartásokkal” szembeni kitettségekre az 575/2013/EU rendelet harmadik része II. címének megfelelően szavatolótőke-követelmények vonatkoznak, az államháztartásokkal szembeni kitettségek különböző kitettségi osztályokba tartoznak az említett rendelet 112. cikkének és 147. cikkének megfelelően, a C 07.00, C 08.01 és a C 08.02 táblához tartozó kitöltési útmutatóban meghatározottak szerint. </w:t>
      </w:r>
    </w:p>
    <w:p w14:paraId="1643CBEB" w14:textId="1CD097BF"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193</w:t>
      </w:r>
      <w:r w:rsidRPr="005B57EC">
        <w:fldChar w:fldCharType="end"/>
      </w:r>
      <w:r>
        <w:t>.</w:t>
      </w:r>
      <w:r>
        <w:tab/>
        <w:t xml:space="preserve"> Az 575/2013/EU rendelet szerinti tőkekövetelmények kiszámításához használt kitettségi osztályok „államháztartások” partnerszektorhoz való hozzárendelésekor az e végrehajtási rendelet V. mellékletének 3. részében található 2. táblázatot („Sztenderd módszer”) és a 3. táblázatot („Belső minősítésen alapuló módszer”) kell figyelembe venni. </w:t>
      </w:r>
    </w:p>
    <w:p w14:paraId="41F2B1A4"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194</w:t>
      </w:r>
      <w:r w:rsidRPr="005B57EC">
        <w:fldChar w:fldCharType="end"/>
      </w:r>
      <w:r>
        <w:t xml:space="preserve">. Az adatokat a teljes aggregált kitettségre (azaz valamennyi olyan ország „összesen” adatára, ahol a banknak kormányzatokkal szembeni kitettsége van) és a partner székhelye szerint országonként kell jelenteni, a közvetlen hitelfelvevővel szembeni kitettségek alapján. </w:t>
      </w:r>
    </w:p>
    <w:p w14:paraId="1695AE0F" w14:textId="77777777" w:rsidR="00FD54FC"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t>195</w:t>
      </w:r>
      <w:r w:rsidRPr="005B57EC">
        <w:fldChar w:fldCharType="end"/>
      </w:r>
      <w:r>
        <w:t>.</w:t>
      </w:r>
      <w:r>
        <w:tab/>
        <w:t xml:space="preserve"> A kitettségek kitettségi osztályokba vagy joghatóságokba sorolása során nem kell figyelembe venni sem a hitelkockázat-mérséklési módszereket, sem különösen a helyettesítési hatásokat. Ugyanakkor az egyes kitettségi osztályokba és joghatóságokba sorolt kitettségértékek és kockázattal súlyozott kitettségértékek kiszámítása során figyelembe kell venni a hitelkockázat-mérséklési módszerek előfordulását és a helyettesítési hatásokat. </w:t>
      </w:r>
    </w:p>
    <w:p w14:paraId="074321E3"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196</w:t>
      </w:r>
      <w:r w:rsidRPr="005B57EC">
        <w:fldChar w:fldCharType="end"/>
      </w:r>
      <w:r>
        <w:t>.</w:t>
      </w:r>
      <w:r>
        <w:tab/>
        <w:t xml:space="preserve"> Az államháztartásokkal szembeni kitettségekre vonatkozó információkat a közvetlen partner székhelye szerinti minden olyan joghatóság esetében, amely nem az adatszolgáltató intézmény belföldi joghatósága, csak az e végrehajtási rendelet 6. cikke 3) pontjának alpontjában meghatározott küszöbértékek meghaladása esetén kell jelenteni.</w:t>
      </w:r>
    </w:p>
    <w:p w14:paraId="3577A9ED" w14:textId="37009D4B"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6040038"/>
      <w:r>
        <w:rPr>
          <w:rFonts w:ascii="Times New Roman" w:hAnsi="Times New Roman"/>
          <w:sz w:val="24"/>
          <w:u w:val="none"/>
        </w:rPr>
        <w:t>7.2.</w:t>
      </w:r>
      <w:r>
        <w:rPr>
          <w:rFonts w:ascii="Times New Roman" w:hAnsi="Times New Roman"/>
          <w:sz w:val="24"/>
          <w:u w:val="none"/>
        </w:rPr>
        <w:tab/>
      </w:r>
      <w:r>
        <w:rPr>
          <w:rFonts w:ascii="Times New Roman" w:hAnsi="Times New Roman"/>
          <w:sz w:val="24"/>
        </w:rPr>
        <w:t>Az államháztartásokkal szembeni kitettségek tábla alkalmazási köre</w:t>
      </w:r>
      <w:bookmarkEnd w:id="774"/>
      <w:bookmarkEnd w:id="775"/>
      <w:bookmarkEnd w:id="776"/>
    </w:p>
    <w:p w14:paraId="4ABEC63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197</w:t>
      </w:r>
      <w:r w:rsidRPr="005B57EC">
        <w:fldChar w:fldCharType="end"/>
      </w:r>
      <w:r>
        <w:t>.</w:t>
      </w:r>
      <w:r>
        <w:tab/>
        <w:t xml:space="preserve"> A GOV táblában egyaránt fel kell tüntetni a banki és a kereskedési könyvben szereplő, államháztartásokkal szembeni mérlegen belüli, mérlegen kívüli és származtatott közvetlen kitettségeket. Tájékoztató adatként jelenteni kell továbbá az államháztartásokkal szembeni kitettségekre eladott hitelderivatívák formáját öltő közvetett kitettségeket.</w:t>
      </w:r>
    </w:p>
    <w:p w14:paraId="13C7BD2C" w14:textId="3AEE5050"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198</w:t>
      </w:r>
      <w:r w:rsidRPr="005B57EC">
        <w:fldChar w:fldCharType="end"/>
      </w:r>
      <w:r>
        <w:t>.</w:t>
      </w:r>
      <w:r>
        <w:tab/>
        <w:t xml:space="preserve"> Valamely kitettség akkor tekintendő közvetlen kitettségnek, ha a közvetlen partner az „államháztartások” fogalommeghatározása alá tartozik, az e végrehajtási rendelet V. melléklete 42. bekezdésének b) pontjában említettek szerint. </w:t>
      </w:r>
    </w:p>
    <w:p w14:paraId="70B0FE7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199</w:t>
      </w:r>
      <w:r w:rsidRPr="005B57EC">
        <w:fldChar w:fldCharType="end"/>
      </w:r>
      <w:r>
        <w:t>.</w:t>
      </w:r>
      <w:r>
        <w:tab/>
        <w:t xml:space="preserve"> A tábla két részre oszlik. Az első részben a kitettségeket kockázat, szabályozási módszerek és kitettségi osztály szerinti bontásban kell bemutatni; a második részben a kitettségeket hátralévő futamidő szerinti bontásban kell feltüntetni.</w:t>
      </w:r>
    </w:p>
    <w:p w14:paraId="51205335" w14:textId="295092C8"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6040039"/>
      <w:r>
        <w:rPr>
          <w:rFonts w:ascii="Times New Roman" w:hAnsi="Times New Roman"/>
          <w:sz w:val="24"/>
          <w:u w:val="none"/>
        </w:rPr>
        <w:t>7.3.</w:t>
      </w:r>
      <w:r>
        <w:rPr>
          <w:rFonts w:ascii="Times New Roman" w:hAnsi="Times New Roman"/>
          <w:sz w:val="24"/>
          <w:u w:val="none"/>
        </w:rPr>
        <w:tab/>
      </w:r>
      <w:r>
        <w:rPr>
          <w:rFonts w:ascii="Times New Roman" w:hAnsi="Times New Roman"/>
          <w:sz w:val="24"/>
        </w:rPr>
        <w:t>A tábla egyes részeire vonatkozó útmutató</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Oszlop</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Útmutató</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KÖZVETLEN KITETTSÉGEK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MÉRLEGEN BELÜLI KITETTSÉGEK</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Nem származtatott pénzügyi eszközök bruttó könyv szerinti értéke összesen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Az államháztartásokkal szembeni kitettségnek minősülő nem származtatott pénzügyi eszközök az e végrehajtási rendelet V. melléklete 1. részének 34. pontja szerint meghatározott bruttó könyv szerinti értékének aggregált értéke valamennyi IFRS szerinti és a 86/635/EGK tanácsi irányelv alapján kidolgozott nemzeti GAAP szerinti, az e végrehajtási rendelet V. melléklete 1. részének 15–22. pontjában meghatározott, a 0030–0120-as oszlopban felsorolt számviteli portfólió esetében.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prudens értékelési korrekciók nem csökkenthetik a valós értéken értékelt kereskedési és nem kereskedési célú kitettségek bruttó könyv szerinti értékét.</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 származtatott pénzügyi eszközök könyv szerinti értéke összesen (a rövid pozíciók levonásával)</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kitettségnek minősülő nem származtatott pénzügyi eszközök az e végrehajtási rendelet V. melléklete 1. részének 27. pontjában említett könyv szerinti értékének a rövid pozíciók nélküli aggregált értéke valamennyi IFRS szerinti és a 86/635/EGK tanácsi irányelv alapján kidolgozott nemzeti GAAP szerinti, az e végrehajtási rendelet V. melléklete 1. részének 15–22. pontjában meghatározott, a 0030–0120-as oszlopban felsorolt számviteli portfólió esetében.</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Amennyiben az intézmény ugyanazon hátralévő futamidőre és ugyanazon közvetlen partner vonatkozásában, ugyanazon pénznemben denominált rövid pozícióval rendelkezik, a rövid pozíció könyv szerinti értékét és a közvetlen pozíció könyv szerinti értékét nettósítani kell. Amennyiben az így kapott érték negatív, a nettó értéket nullának kell tekinteni. Amennyiben egy intézmény olyan rövid pozícióval rendelkezik, amelynek nincs egyező közvetlen pozíciója, ezen oszlop alkalmazásában a rövid pozíció összegét nullának kell tekinteni.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 SZÁRMAZTATOTT PÉNZÜGYI ESZKÖZÖK SZÁMVITELI PORTFÓLIÓK SZERINT</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kitettségnek minősülő nem származtatott pénzügyi eszközök az e táblázat fenti sorában meghatározott könyv szerinti értékének aggregált értéke az alkalmazandó számviteli szabályozásnak megfelelő számviteli portfóliók szerint lebontva.</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Kereskedési céllal tartott pénzügyi eszközök</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Az IFRS 7 8. bekezdése a) pontjának ii. alpontja; az IFRS 9 A. függeléke</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Kereskedési célú pénzügyi eszközök</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 86/635/EGK tanácsi irányelv 32. és 33. cikke, e végrehajtási rendelet V. melléklete 1. részének 16. pontja, a 2013/34/EU irányelv 8. cikke (1) bekezdésének a) pontja.</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 (GAAP) hatálya alá tartozó intézmények által jelentendő.</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Kötelezően az eredménnyel szemben valós értéken értékelt, nem kereskedési célú pénzügyi eszközök</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7 8. bekezdése a) pontjának ii. alpontja, az IFRS 9 4.1.4. bekezdése</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Az eredménnyel szemben valós értéken értékeltnek megjelölt pénzügyi eszközök</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7 8. bekezdése a) pontjának i. alpontja, az IFRS 9 4.1.5. bekezdése, a 2013/34/EU irányelv 8. cikke (1) bekezdésének a) pontja, valamint 8. cikkének (6) bekezdése</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Eredménnyel szemben valós értéken értékelt, nem kereskedési célú, nem származtatott pénzügyi eszközök</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lastRenderedPageBreak/>
              <w:t>A 86/635/EGK tanácsi irányelv 36. cikkének (2) bekezdése, a 2013/34/EU irányelv 8. cikke (1) bekezdésének a) pontja.</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 (GAAP) hatálya alá tartozó intézmények által jelentendő.</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Az egyéb átfogó jövedelemmel szemben valós értéken értékelt pénzügyi eszközök</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7 8. bekezdésének d) pontja; az IFRS 9 4.1.2A. bekezdése</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 saját tőkével szemben valós értéken értékelt, nem kereskedési célú, nem származtatott pénzügyi eszközök</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 2013/34/EU irányelv 8. cikke (1) bekezdésének a) pontja, valamint 8. cikkének (8) bekezdése.</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 (GAAP) hatálya alá tartozó intézmények által jelentendő.</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Amortizált bekerülési értéken értékelt pénzügyi eszközök</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Az IFRS 7 8. bekezdésének f) pontja, az IFRS 9 4.1.2. bekezdése, e végrehajtási rendelet V. melléklete 1. részének 15. pontja</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Bekerülésiérték-módszerrel értékelt nem kereskedési célú, nem származtatott pénzügyi eszközök</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313AB11C" w:rsidR="00FD54FC" w:rsidRPr="002A677E" w:rsidRDefault="002F78EA" w:rsidP="00FD54FC">
            <w:pPr>
              <w:spacing w:before="0" w:after="0"/>
              <w:ind w:left="33"/>
              <w:rPr>
                <w:rFonts w:ascii="Times New Roman" w:hAnsi="Times New Roman"/>
                <w:bCs/>
                <w:sz w:val="24"/>
              </w:rPr>
            </w:pPr>
            <w:r>
              <w:rPr>
                <w:rFonts w:ascii="Times New Roman" w:hAnsi="Times New Roman"/>
                <w:sz w:val="24"/>
              </w:rPr>
              <w:t>A 86/635/EGK tanácsi irányelv 35. cikke,  a 2013/34/EU irányelv 6. cikke (1) bekezdésének i) pontja, valamint 8. cikkének (2) bekezdése,  e végrehajtási rendelet V. melléklete 1. részének 16. pontja</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 (GAAP) hatálya alá tartozó intézmények által jelentendő.</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Egyéb nem kereskedési célú, nem származtatott pénzügyi eszközök</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 86/635/EGK tanácsi irányelv 37. cikke, a 2013/34/EU irányelv 12. cikkének (7) bekezdése, e végrehajtási rendelet V. melléklete 1. részének 16. pontja</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Csak az általánosan elfogadott nemzeti számviteli elvek (GAAP) hatálya alá tartozó intézmények által jelentendő.</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Rövid pozíciók</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9 BA.7 bekezdésének b) pontjában meghatározott azon rövid pozíciók könyv szerinti értéke, ahol a közvetlen partner államháztartás az e melléklet 155–160. pontjában meghatározottaknak megfelelően.</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Rövid pozíció akkor keletkezik, ha az intézmény fordított visszavásárlási hitelek keretében szerzett vagy értékpapírkölcsön-ügylet keretében kölcsönvett értékpapírokat ad el.</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könyv szerinti érték a rövid pozíció valós értéke.</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A rövid pozíciókat a 0170–0230-as sorban felsorolt hátralévő futamidő szerinti, valamint közvetlen partner szerinti bontásban kell jelenteni.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Az ebben az oszlopban feltüntetett rövid pozíciók a 0020-as oszlopban feltüntetett nettó pozíció megállapításához nettósíthatók az azonos hátralevő futamidővel és közvetlen partnerrel rendelkező, ugyanabban a pénznemben denominált, a 0030-0120-as oszlopban feltüntetett pozíciókkal.</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Ebből: kereskedési céllal tartott vagy kereskedési célú pénzügyi eszközként besorolt, fordított visszavásárlási hitelekből származó rövid pozíciók</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9 BA.7 bekezdése b) pontjában meghatározott azon kereskedési céllal tartott vagy kereskedési célú pénzügyi eszközök számviteli portfóliójába (0030-as és 0040-es oszlop) besorolt rövid pozíciók könyv szerinti értéke, amelyek visszavásárlási hitelek keretében szerzett értékpapírok intézmény általi eladásával keletkeztek, ahol az említett értékpapírok esetében a közvetlen partner államháztartás.</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Az értékpapírkölcsön-ügylet keretében kölcsönvett értékpapírok eladásával keletkező rövid pozíciók nem szerepelhetnek ebben az oszlopban.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Halmozott értékvesztés</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0080–0120-as oszlopban jelentett nem származtatott pénzügyi eszközökkel kapcsolatos összes halmozott értékvesztés (e végrehajtási rendelet V. melléklete 2. részének 70. és 71. pontja).</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Halmozott értékvesztés – ebből: egyéb átfogó jövedelemmel szemben valós értéken értékelt pénzügyi eszközökből vagy saját tőkével szemben valós értéken értékelt, nem kereskedési célú, nem származtatott pénzügyi eszközökből</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0080–0090-es oszlopban jelentett nem származtatott pénzügyi eszközökkel kapcsolatos összes halmozott értékvesztés.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 hitelkockázat változásából származó negatív valósérték-változás halmozott összege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A 0050–0090-es oszlopban jelentett pozíciókhoz kapcsolódó, hitelkockázat-változásból származó negatív valósérték-változás halmozott összege (e végrehajtási rendelet V. melléklete 2. részének 69. pontja).</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összege – ebből: kötelezően az eredménnyel szemben valós értéken értékelt, nem kereskedési célú pénzügyi eszközökből, az eredménnyel szemben valós értéken értékeltnek megjelölt pénzügyi eszközökből vagy eredménnyel szemben valós értéken értékelt nem kereskedési célú pénzügyi eszközökből</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Az 0050–0070-es oszlopban jelentett pozíciókhoz kapcsolódó, hitelkockázat-változásból származó negatív valósérték-változás halmozott összege.</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 hitelkockázat változásából származó negatív valósérték-változás halmozott összege – ebből: egyéb átfogó jövedelemmel szemben valós értéken értékelt pénzügyi eszközökből vagy saját tőkével szemben valós értéken értékelt, nem kereskedési célú, nem származtatott pénzügyi eszközökből</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0080–0090-es oszlopban jelentett pozíciókhoz kapcsolódó, hitelkockázat-változásból származó negatív valósérték-változás halmozott összege.</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közvetlen származtatott pozíciókat a 0200–0230-as oszlopban kell jelenteni.</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Azon származtatott ügyletekkel kapcsolatban, amelyekre partnerkockázati és piaci kockázati tőkekövetelmény egyaránt vonatkozik, lásd a sorokra vonatkozó útmutatót.</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Államháztartással mint partnerrel szembeni, az adatszolgáltatás időpontjában az intézmény számára pozitív valós értékkel rendelkező származtatott eszközök, függetlenül attól, hogy azokat minősített fedezeti kapcsolatban használják, vagy a kereskedési céllal tartott vagy kereskedési célú eszközök portfóliójába sorolják az IFRS, illetve a 86/635/EGK tanácsi irányelv alapján kidolgozott nemzeti GAAP szerint.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Származtatott ügyletek pozitív valós értékkel: Könyv szerinti érték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pénzügyi eszközként elszámolt származtatott ügyletek könyv szerinti értéke az adatszolgáltatási vonatkozási időpontban.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86/635/EGK tanácsi irányelv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 Névleges összeg</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Az IFRS szerinti és a 86/635/EGK tanácsi irányelv alapján kidolgozott nemzeti GAAP szerinti elszámolás esetén a megkötött, de az adatszolgáltatási vonatkozási időpontban még nem elszámolt azon származtatott ügyletek e végrehajtási rendelet V. melléklete 2. részének 133–135. pontja szerinti névleges összege, amelyek esetében a partner az e </w:t>
            </w:r>
            <w:r>
              <w:rPr>
                <w:rFonts w:ascii="Times New Roman" w:hAnsi="Times New Roman"/>
                <w:sz w:val="24"/>
              </w:rPr>
              <w:lastRenderedPageBreak/>
              <w:t>melléklet 191–196. pontjában meghatározott államháztartás, amennyiben a származtatott ügylet valós értéke az adatszolgáltatási vonatkozási időpontban az intézmény számára pozitív.</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negatív valós értékkel</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Államháztartással mint partnerrel szembeni, az adatszolgáltatási vonatkozási időpontban az intézmény számára negatív valós értékkel rendelkező származtatott eszközök, függetlenül attól, hogy azokat minősített fedezeti kapcsolatban használják, vagy a kereskedési céllal tartott vagy kereskedési célú eszközök portfóliójába sorolják az IFRS szerint, illetve a 86/635/EGK tanácsi irányelv alapján kidolgozott nemzeti GAAP szerint.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Származtatott ügyletek negatív valós értékkel: könyv szerinti érték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pénzügyi kötelezettségként elszámolt származtatott ügyletek könyv szerinti értéke az adatszolgáltatási vonatkozási időpontban.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86/635/EGK tanácsi irányelv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Származtatott ügyletek negatív valós értékkel: névleges összeg</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szerinti és a 86/635/EGK tanácsi irányelv alapján kidolgozott nemzeti GAAP szerinti elszámolás esetén a megkötött, de a vonatkozási időpontban még nem elszámolt azon származtatott ügyletek e végrehajtási rendelet V. melléklete 2. részének 133–135. pontja szerinti névleges összege, amelyek esetében a partner az e melléklet 191–196. pontjában meghatározott államháztartás, amennyiben a származtatott ügylet valós értéke az adatszolgáltatási vonatkozási időpontban az intézmény számára negatív.</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MÉRLEGEN KÍVÜLI KITETTSÉGEK</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Névleges összeg</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Amennyiben a mérlegen kívüli tétel esetében a közvetlen partner az e melléklet 155–160. pontja szerinti államháztartás, az IFRS szerint és a 86/635/EGK tanácsi irányelv alapján kidolgozott nemzeti GAAP szerint nem származtatott ügyletnek minősülő elkötelezettségek és pénzügyi garanciák névleges összege (e végrehajtási rendelet V. melléklete 2. részének 102–119. pontja).</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E végrehajtási rendelet V. melléklete 2. részének 43–44. pontja értelmében az államháztartás közvetlen partner: a) adott pénzügyi garancia vonatkozásában akkor, ha a garantált </w:t>
            </w:r>
            <w:r>
              <w:rPr>
                <w:rFonts w:ascii="Times New Roman" w:hAnsi="Times New Roman"/>
                <w:sz w:val="24"/>
              </w:rPr>
              <w:lastRenderedPageBreak/>
              <w:t xml:space="preserve">hitelviszonyt megtestesítő instrumentum közvetlen partnere; és b) adott hitelnyújtási elkötelezettségek és az egyéb adott elkötelezettségek vonatkozásában akkor, ha az a fél, amelynek a hitelkockázatát az adatszolgáltató intézmény viseli.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Céltartalékok</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 86/635/EGK tanácsi irányelv 4. cikkének „Kötelezettségek” 6.c) pontja és a 4. cikk szerinti „Mérlegen kívüli tételek”, 27. cikkének (11) bekezdése, 28. cikkének (8) bekezdése és 33. cikke; Az IFRS 9 4.2.1. bekezdése c) pontjának ii. alpontja, d) pontjának ii. alpontja, 5.5.20. bekezdése; az IAS 37, az IFRS 4, e végrehajtási rendelet V. melléklete 2. részének 11. pontja.</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értékelés módjától függetlenül valamennyi mérlegen kívüli kitettségre képzett céltartalék, kivéve az IFRS 9 szerint az eredménnyel szemben valós értéken értékelt kitettségekre képzett céltartalékokat.</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szerinti elszámolás esetén az adott hitelnyújtási elkötelezettségekre elszámolt értékvesztést a 150-es oszlopban kell jelenteni, ha az intézmény nem képes külön azonosítani a hitelviszonyt megtestesítő instrumentum lehívott és le nem hívott összegéhez kapcsolódó várható hitelezési veszteséget. Amennyiben az adott pénzügyi eszközre vonatkozó várható együttes hitelezési veszteség meghaladja az eszköz hitelkomponensének bruttó könyv szerinti értékét, a várható hitelezési veszteség fennmaradó egyenlegét a 0250-es oszlopban kell jelenteni céltartalékként.</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 hitelkockázat változásából származó negatív valósérték-változás halmozott összege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9 szerint az eredménnyel szemben valós értéken értékelt mérlegen kívüli tételek esetében a hitelkockázat változásából származó negatív valósérték-változás halmozott összege (e végrehajtási rendelet V. melléklete 2. részének 110. pontja).</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Tájékoztató adat: államháztartásokkal szembeni kitettségekre értékesített hitelderivatívák</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Itt azokat a pénzügyi garanciák fogalmába (V. melléklet 2. részének 58. pontja) nem sorolható hitelderivatívákat kell jelenteni, amelyeket az intézmény nem államháztartási partnerekkel kötött, és amelyek referenciakitettsége államháztartás.</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Ezeket az oszlopokat nem kell jelenteni kockázat, szabályozási módszer és kitettségi osztály szerinti bontásban (0020–0160).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pozitív valós értékkel – könyv szerinti érték</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kitettségekre értékesített, az adatszolgáltatási vonatkozási időpontban az intézmény számára pozitív valós értékkel rendelkező hitelderivatívák összesített könyv szerinti értéke prudens értékelési korrekciók nélkül.</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IFRS szerint elszámolt származtatott ügyletek esetében az ezen oszlopban jelentendő érték a pénzügyi eszközök közé sorolt derivatívák könyv szerinti értéke az adatszolgáltatás időpontjában.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A 86/635/EGK tanácsi irányelv alapján kidolgozott nemzeti GAAP szerint elszámolt származtatott ügyletek esetében az ezen oszlopban jelentendő érték a pozitív valós értékkel rendelkező derivatívák valós értéke az adatszolgáltatási vonatkozási időpontban, az elszámolás módjától függetlenül.</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Származtatott ügyletek negatív valós értékkel – könyv szerinti érték</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kitettségekre értékesített, az adatszolgáltatási vonatkozási időpontban az intézmény számára negatív valós értékkel rendelkező hitelderivatívák összesített könyv szerinti értéke prudens értékelési korrekciók nélkül.</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Az IFRS szerint elszámolt származtatott ügyletek esetében az ezen oszlopban jelentendő érték a pénzügyi kötelezettségek közé sorolt derivatívák könyv szerinti értéke az adatszolgáltatás időpontjában.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A 86/635/EGK tanácsi irányelv alapján kidolgozott nemzeti GAAP szerint elszámolt származtatott ügyletek esetében az ezen oszlopban jelentendő érték a negatív valós értékkel rendelkező derivatívák valós értéke az adatszolgáltatási vonatkozási időpontban, az elszámolás módjától függetlenül.</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Kitettségérték</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hitelkockázati módszerek alapján értékelt kitettségek kitettségértéke.</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A sztenderd módszer szerint értékelt kitettségek esetében: lásd az 575/2013/EU rendelet 111. cikkét. A belső minősítésen alapuló módszer szerint értékelt kitettségek esetében: lásd az 575/2013/EU rendelet 166. cikkét és 230. cikke (1) bekezdésének második mondatát.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Azon származtatott ügyletekkel kapcsolatban, amelyekre partnerkockázati és piaci kockázati tőkekövetelmény egyaránt vonatkozik, lásd a sorokra vonatkozó útmutatót.</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A 0270-es és 0280-as oszlopban feltüntetett kitettségeket ezen oszlop alkalmazásában nem kell figyelembe venni, mivel az ebben az oszlopban szereplő érték kizárólag a közvetlen kitettségeken alapul.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Kockázattal súlyozott kitettségérték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 hitelkockázati módszerek alapján értékelt kitettségek kockázattal súlyozott kitettségértéke.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D5EE32D" w:rsidR="00FD54FC" w:rsidRPr="002A677E" w:rsidRDefault="00FD54FC" w:rsidP="00FD54FC">
            <w:pPr>
              <w:spacing w:before="0" w:after="0"/>
              <w:ind w:left="33"/>
              <w:rPr>
                <w:rFonts w:ascii="Times New Roman" w:hAnsi="Times New Roman"/>
                <w:bCs/>
                <w:sz w:val="24"/>
              </w:rPr>
            </w:pPr>
            <w:r>
              <w:rPr>
                <w:rFonts w:ascii="Times New Roman" w:hAnsi="Times New Roman"/>
                <w:sz w:val="24"/>
              </w:rPr>
              <w:t>A sztenderd módszer szerint értékelt kitettségek esetében: lásd az 575/2013/EU rendelet 113. cikkének (1)–(5) bekezdését. A belső minősítésen alapuló módszer szerint értékelt kitettségek esetében: lásd az 575/2013/EU rendelet 153. cikkének (1) és (3) bekezdését.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Az 575/2013/EU rendelet 271. cikkének hatálya alá tartozó azon közvetlen kitettségek adatszolgáltatásával kapcsolatban, amelyekre partnerkockázati és piaci kockázati szavatolótőke-követelmény egyaránt vonatkozik, lásd a sorokra vonatkozó útmutatót.</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lastRenderedPageBreak/>
              <w:t xml:space="preserve">A 0270-es és 0280-as oszlopban feltüntetett kitettségeket ezen oszlop alkalmazásában nem kell figyelembe venni, mivel az ebben az oszlopban szereplő érték kizárólag a közvetlen kitettségeken alapul.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Sor</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Útmutató</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KITETTSÉGEK SZABÁLYOZÁSI MÓDSZER SZERINTI BONTÁSA</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Teljes kitettség</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Az e melléklet 191–196. pontjában meghatározott államháztartásokkal szembeni összes kitettség.</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Kitettségek a hitelkockázati módszerek alapján</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Az államháztartásokkal szembeni, az 575/2013/EU rendelet harmadik részének II. címe szerint kockázattal súlyozott összes kitettség. A hitelkockázati módszerek alapján értékelt kitettségek közé tartoznak a partnerkockázati tőkekövetelmények hatálya alá tartozó kereskedési könyvi és nem kereskedési könyvi kitettségek.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Az 575/2013/EU rendelet 271. cikkének hatálya alá tartozó azon közvetlen kitettségeket, amelyekre partnerkockázati és piaci kockázati szavatolótőke-követelmény egyaránt vonatkozik, a hitelkockázati sorokban (0020–0155) és a piaci kockázati sorban (0160) egyaránt meg kell adni: a partnerkockázatból származó kitettségértéket a hitelkockázati sorokban, míg a piaci kockázatból származó kitettségértéket a piaci kockázati sorban kell jelenteni.</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Sztenderd módszer</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t>Az 575/2013/EU rendelet harmadik része II. címének 2. fejezete szerint kockázattal súlyozott államháztartással szembeni kitettségek, ideértve azokat a nem kereskedési könyvi kitettségeket is, amelyek említett fejezet szerinti kockázati súlyozása a partnerkockázattal is számol.</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Központi kormányzatok</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központi kormányzati alrendszereivel szembeni kitettségek. Ezeket a kitettségeket a C 07.00 tábla útmutatójának értelmében az 575/2013/EU rendelet 112. és 114. cikkének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Az államháztartások regionális kormányzati vagy helyi hatósági alrendszereivel szembeni kitettségek. Ezeket a kitettségeket a C 07.00 tábla útmutatójának értelmében az 575/2013/EU rendelet 112. és 115. cikkének megfelelően a „regionális kormányzatok vagy helyi hatóságok” kitettségi osztályba kell sorolni. Nem alkalmazandók ugyanakkor </w:t>
            </w:r>
            <w:r>
              <w:rPr>
                <w:rFonts w:ascii="Times New Roman" w:hAnsi="Times New Roman"/>
                <w:sz w:val="24"/>
              </w:rPr>
              <w:lastRenderedPageBreak/>
              <w:t>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közszektorbeli intézményi alrendszerével szembeni kitettségek. Ezeket a kitettségeket a C 07.00 tábla útmutatójának értelmében az 575/2013/EU rendelet 112. és 116. cikkének megfelelően a „közszektorbeli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Nemzetközi szervezetek</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Az államháztartásokhoz sorolt nemzetközi szervezetekkel szembeni kitettségek. Ezeket a kitettségeket a C 07.00 tábla útmutatójának értelmében az 575/2013/EU rendelet 112. és 118. cikkének megfelelően a „nemzetközi szervezetek”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Államháztartásokkal szembeni egyéb kitettségek a sztenderd módszer szerint</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A fenti 0040–0070-es sorban szereplőktől eltérő államháztartással szembeni kitettségek, amelyeket az 575/2013/EU rendelet 112. cikkével összhangban a szavatolótőke-követelmény kiszámítása céljából az SA kitettségi osztályokba kell sorolni.</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 módszer</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t>Az 575/2013/EU rendelet harmadik része II. címének 3. fejezete szerint kockázattal súlyozott államháztartással szembeni kitettségek, ideértve azokat a nem kereskedési könyvi kitettségeket is, amelyek említett fejezet szerinti kockázati súlyozása a partnerkockázattal is számol.</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Központi kormányzatok</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központi kormányzati alrendszereivel szembeni azon kitettségek, amelyeket a C 08.01 és C 08.02 tábla útmutatójának értelmében az 575/2013/EU rendelet 147. cikke (3) bekezdése a)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 [Központi kormányzatok és központi bankok]</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Az államháztartások regionális kormányzati vagy helyi hatósági alrendszereivel szembeni azon kitettségek, amelyeket a C 08.01 és C 08.02 tábla útmutatójának értelmében az 575/2013/EU rendelet 147. cikke (3) bekezdése a)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Regionális kormányzatok vagy helyi hatóságok [Intézmények]</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regionális kormányzati vagy helyi hatósági alrendszereivel szembeni azon kitettségek, amelyeket a C 08.01 és C 08.02 tábla útmutatójának értelmében az 575/2013/EU rendelet 147. cikke (4) bekezdése a) pontjának megfelelően az „intézmények”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 [Központi kormányzatok és központi bankok]</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az 575/2013/EU rendelet 4. cikkének (8) bekezdése szerinti közszektorbeli intézmények alrendszerével szembeni azon kitettségek, amelyeket a C 08.01 és C 08.02 tábla útmutatójának értelmében az említett rendelet 147. cikke (3) bekezdése a)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Közszektorbeli intézmények [Intézmények]</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 az 575/2013/EU rendelet 4. cikkének (8) bekezdése szerinti közszektorbeli intézmények alrendszerével szembeni azon kitettségek, amelyeket a C 08.01 és C 08.02 tábla útmutatójának értelmében az említett rendelet 147. cikke (4) bekezdése b) pontjának megfelelően az „intézmények”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Nemzetközi szervezetek [Központi kormányzatok és központi bankok]</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államháztartásokhoz sorolt nemzetközi szervezetekkel szembeni azon kitettségek, amelyeket a C 08.01 és C 08.02 tábla útmutatójának értelmében az 575/2013/EU rendelet 147. cikke (3) bekezdése c)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Államháztartásokkal szembeni egyéb kitettségek az IRB módszer szerint</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A fenti 0090–0140-es sorban szereplőktől eltérő, államháztartásokkal szembeni kitettségek, amelyeket az 575/2013/EU rendelet 147. cikkével összhangban a szavatolótőke-követelmény kiszámítása céljából az IRB kitettségi osztályokba kell sorolni.</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Kitettségek a piaci kockázati módszer alapján</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Ez a sor azokat a pozíciókat tartalmazza, amelyekre az 575/2013/EU rendelet harmadik része IV. címében meghatározott alábbi szavatolótőke-követelmények egyikét számítják ki:</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pozíciókockázathoz kapcsolódó szavatolótőke-követelmény az 575/2013/EU rendelet 326. cikke szerint;</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egyedi vagy általános kockázathoz kapcsolódó szavatolótőke-követelmény az 575/2013/EU rendelet harmadik része IV. címének 5. fejezete szerint.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Az 575/2013/EU rendelet 271. cikkének hatálya alá tartozó azon közvetlen kitettségeket, amelyekre partnerkockázati és piaci kockázati szavatolótőke-követelmény egyaránt vonatkozik, a hitelkockázati sorokban (0020–0155) és a piaci kockázati sorban (0160) egyaránt meg kell adni: a partnerkockázatból származó kitettségértéket a hitelkockázati sorokban, míg a piaci kockázatból származó kitettségértéket a piaci kockázati sorban kell jelenteni.</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KITETTSÉGEK HÁTRALÉVŐ FUTAMIDŐ SZERINTI BONTÁSA</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 hátralévő futamidő az összes pozíció esetében a szerződéses lejárati nap és az adatszolgáltatási vonatkozási időpont közötti napok száma.</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Az államháztartásokkal szembeni kitettségeket hátralévő futamidő szerinti bontásban a következő szegmensekbe kell sorolni:</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[ 0 – 3 HÓNAP ]</w:t>
            </w:r>
            <w:r>
              <w:rPr>
                <w:rFonts w:ascii="Times New Roman" w:hAnsi="Times New Roman"/>
                <w:sz w:val="24"/>
              </w:rPr>
              <w:t xml:space="preserve"> : 90 napnál kevesebb;</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 HÓNAP – 1 ÉV ]</w:t>
            </w:r>
            <w:r>
              <w:rPr>
                <w:rFonts w:ascii="Times New Roman" w:hAnsi="Times New Roman"/>
                <w:sz w:val="24"/>
              </w:rPr>
              <w:t xml:space="preserve"> : 90 nap vagy több, de 365 napnál kevesebb;</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 ÉV – 2 ÉV ]</w:t>
            </w:r>
            <w:r>
              <w:rPr>
                <w:rFonts w:ascii="Times New Roman" w:hAnsi="Times New Roman"/>
                <w:sz w:val="24"/>
              </w:rPr>
              <w:t xml:space="preserve"> : 365 nap vagy több, de 730 napnál kevesebb;</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[ 2 ÉV – 3 ÉV ]</w:t>
            </w:r>
            <w:r>
              <w:rPr>
                <w:rFonts w:ascii="Times New Roman" w:hAnsi="Times New Roman"/>
                <w:sz w:val="24"/>
              </w:rPr>
              <w:t xml:space="preserve"> : 730 nap vagy több, de 1 095 napnál kevesebb;</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 ÉV – 5 ÉV ]</w:t>
            </w:r>
            <w:r>
              <w:rPr>
                <w:rFonts w:ascii="Times New Roman" w:hAnsi="Times New Roman"/>
                <w:sz w:val="24"/>
              </w:rPr>
              <w:t xml:space="preserve"> : 1 095 nap vagy több, de 1 825 napnál kevesebb;</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[ 5 ÉV – 10 ÉV ]</w:t>
            </w:r>
            <w:r>
              <w:rPr>
                <w:rFonts w:ascii="Times New Roman" w:hAnsi="Times New Roman"/>
                <w:sz w:val="24"/>
              </w:rPr>
              <w:t xml:space="preserve"> : 1 825 nap vagy több, de 3 650 napnál kevesebb;</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[10 ÉV – hosszabb ]</w:t>
            </w:r>
            <w:r>
              <w:rPr>
                <w:rFonts w:ascii="Times New Roman" w:hAnsi="Times New Roman"/>
                <w:sz w:val="24"/>
              </w:rPr>
              <w:t xml:space="preserve"> : 3 650 nap vagy több.</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t>Amennyiben a szerződés szerinti lejárati időpont korábbi, mint az adatszolgáltatási vonatkozási időpont (azaz az adatszolgáltatási vonatkozási időpont és a lejárati időpont közötti különbség negatív érték), a kitettséget a [0–3 HÓNAP] kategóriába kell sorolni.</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77777777" w:rsidR="00FD54FC" w:rsidRPr="002A677E" w:rsidRDefault="00E1421C" w:rsidP="00FD54FC">
            <w:pPr>
              <w:spacing w:before="0" w:after="0"/>
              <w:ind w:left="33"/>
              <w:rPr>
                <w:rFonts w:ascii="Times New Roman" w:hAnsi="Times New Roman"/>
                <w:bCs/>
                <w:sz w:val="24"/>
              </w:rPr>
            </w:pPr>
            <w:r>
              <w:rPr>
                <w:rFonts w:ascii="Times New Roman" w:hAnsi="Times New Roman"/>
                <w:sz w:val="24"/>
              </w:rPr>
              <w:t>A hátralévő futamidővel nem rendelkező kitettségeket a felmondási idejük vagy a lejáratra vonatkozó egyéb szerződéses utalások alapján kell hozzárendelni a hátralévő futamidő szerinti kategóriához.  Ha nincs előre meghatározott felmondási idő vagy a lejáratra vonatkozó egyéb szerződéses utalás, a kitettségeket a [10 ÉV – hosszabb] csoportba kell sorolni.</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116040040"/>
      <w:bookmarkStart w:id="781" w:name="_Toc522019774"/>
      <w:r>
        <w:rPr>
          <w:rFonts w:ascii="Times New Roman" w:hAnsi="Times New Roman"/>
          <w:sz w:val="24"/>
          <w:u w:val="none"/>
        </w:rPr>
        <w:lastRenderedPageBreak/>
        <w:t>8.</w:t>
      </w:r>
      <w:r>
        <w:rPr>
          <w:rFonts w:ascii="Times New Roman" w:hAnsi="Times New Roman"/>
          <w:sz w:val="24"/>
          <w:u w:val="none"/>
        </w:rPr>
        <w:tab/>
        <w:t>Nemteljesítő kitettségek veszteségfedezete (NPE LC)</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6040041"/>
      <w:r>
        <w:rPr>
          <w:rFonts w:ascii="Times New Roman" w:hAnsi="Times New Roman"/>
          <w:sz w:val="24"/>
          <w:u w:val="none"/>
        </w:rPr>
        <w:t>8.1.</w:t>
      </w:r>
      <w:r>
        <w:rPr>
          <w:rFonts w:ascii="Times New Roman" w:hAnsi="Times New Roman"/>
          <w:sz w:val="24"/>
          <w:u w:val="none"/>
        </w:rPr>
        <w:tab/>
        <w:t>Általános megjegyzések</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r w:rsidRPr="005B57EC">
        <w:fldChar w:fldCharType="begin"/>
      </w:r>
      <w:r w:rsidRPr="002A677E">
        <w:instrText xml:space="preserve"> seq paragraphs </w:instrText>
      </w:r>
      <w:r w:rsidRPr="005B57EC">
        <w:fldChar w:fldCharType="separate"/>
      </w:r>
      <w:r w:rsidR="00771068" w:rsidRPr="002A677E">
        <w:t>200</w:t>
      </w:r>
      <w:r w:rsidRPr="005B57EC">
        <w:fldChar w:fldCharType="end"/>
      </w:r>
      <w:r>
        <w:t>. A nemteljesítő kitettségek veszteségfedezeti táblái a nemteljesítő kitettségekre vonatkozó, az 575/2013/EU rendelet 47a., 47b. és 47c. cikkében meghatározott minimális veszteségfedezeti követelmény kiszámítása céljából információkat tartalmaznak a nemteljesítő kitettségekről.</w:t>
      </w:r>
    </w:p>
    <w:p w14:paraId="35A02FEC" w14:textId="7777777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201</w:t>
      </w:r>
      <w:r w:rsidRPr="005B57EC">
        <w:fldChar w:fldCharType="end"/>
      </w:r>
      <w:r>
        <w:t>. A táblacsoport három táblából áll:</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A nemteljesítő kitettségekhez kapcsolódó levonások kiszámítása (C 35.01): ez egy áttekintő tábla, amely feltünteti az elégtelen fedezet alkalmazandó összegét, amelyet a nemteljesítő kitettségekre vonatkozó teljes fedezeti minimumkövetelmény és a céltartalékok, valamint a már elvégzett kiigazítások vagy levonások összegének különbségeként kell kiszámítani. A tábla tartalmazza mindazokat a nemteljesítő kitettségeket, amelyek átstrukturálására nem került sor, mind pedig a nemteljesítő átstrukturált kitettségeket.</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A nemteljesítő kitettségekre vonatkozó fedezeti minimumkövetelmények és kitettségértékek, kivéve az 575/2013/EU rendelet 47c. cikke (6) bekezdésének hatálya alá tartozó átstrukturált kitettségeket (C 35.02): a tábla az 575/2013/EU rendelet 47c. cikke (6) bekezdésének hatálya alá tartozó nemteljesítő átstrukturált kitettségeknek nem minősülő nemteljesítő kitettségekre vonatkozó teljes fedezeti minimumkövetelmény számítására szolgál, feltüntetve az e számítás céljából a kitettségértékekre alkalmazandó szorzókat, figyelembe véve, hogy a kitettség fedezett vagy fedezetlen-e, valamint azt az időtartamot, ami a kitettség nemteljesítővé történő besorolása óta eltelt.</w:t>
      </w:r>
    </w:p>
    <w:p w14:paraId="2B5F79D0" w14:textId="0E7C7FDF"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Az 575/2013/EU rendelet 47c. cikke (6) bekezdésének hatálya alá tartozó átstrukturált nemteljesítő kitettségekre vonatkozó fedezeti minimumkövetelmények és kitettségértékek (C 35.03): a tábla az 575/2013/EU rendelet 47c. cikke (6) bekezdésének hatálya alá tartozó nemteljesítő átstrukturált kitettségekre vonatkozó teljes fedezeti minimumkövetelmények számítására szolgál, feltüntetve az e számítás céljából a kitettségértékekre alkalmazandó szorzókat, és figyelembe véve, hogy a kitettség fedezett vagy fedezetlen-e, valamint azt az időtartamot, ami a kitettség nemteljesítővé történő besorolása óta eltelt.  </w:t>
      </w:r>
    </w:p>
    <w:p w14:paraId="08D0E4C0" w14:textId="5942527F"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202</w:t>
      </w:r>
      <w:r w:rsidRPr="005B57EC">
        <w:fldChar w:fldCharType="end"/>
      </w:r>
      <w:r>
        <w:t>.  A nemteljesítő kitettségekre vonatkozó veszteségfedezeti minimumkövetelmény a következő kitettségekre vonatkozik: i. a 2019. április 26-án vagy azt követően keletkeztetett, nemteljesítővé vált kitettségek és ii. a 2019. április 26. előtt keletkeztetett, nemteljesítővé vált kitettségek, amennyiben azokat az említett időpontot követően oly módon módosítják, hogy az növeli az intézmény kötelezettel szembeni kitettségét (az 575/2013/EU rendelet 469a. cikke).</w:t>
      </w:r>
    </w:p>
    <w:p w14:paraId="50E45877" w14:textId="4E7D7BCC"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203</w:t>
      </w:r>
      <w:r w:rsidRPr="005B57EC">
        <w:fldChar w:fldCharType="end"/>
      </w:r>
      <w:r>
        <w:t>. Az intézményeknek a nemteljesítő kitettségekhez kapcsolódó levonásokat, beleértve a minimális fedezeti követelményeket, valamint a céltartalékok, a kiigazítások vagy levonások összegét, az 575/2013/EU rendelet 47c. cikke (1) bekezdésének a) és b) pontja szerint kell kiszámítaniuk az egyedi kitettségek szintjén („tranzakciós alapon”), nem pedig az adós vagy a portfólió szintjén.</w:t>
      </w:r>
    </w:p>
    <w:p w14:paraId="6322A857" w14:textId="6C1ECA67" w:rsidR="00DD00B4"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t>204</w:t>
      </w:r>
      <w:r w:rsidRPr="005B57EC">
        <w:fldChar w:fldCharType="end"/>
      </w:r>
      <w:r>
        <w:t>. A nemteljesítő kitettségekhez kapcsolódó levonások kiszámítása céljából az intézményeknek az 575/2013/EU rendelet 47c. cikkének (1) bekezdésével összhangban különbséget kell tenniük a nemteljesítő kitettségek fedezetlen és fedezett része között. E célból az intézményeknek külön kell feltüntetniük a kitettségértékeket és a fedezeti minimumkövetelményeket a nemteljesítő kitettségek fedezetlen és fedezett részére vonatkozóan.</w:t>
      </w:r>
    </w:p>
    <w:p w14:paraId="43A10D03" w14:textId="7447C56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205</w:t>
      </w:r>
      <w:r w:rsidRPr="005B57EC">
        <w:fldChar w:fldCharType="end"/>
      </w:r>
      <w:r>
        <w:t xml:space="preserve">. A releváns alkalmazandó szorzók hozzárendelése és a fedezeti minimumkövetelmények kiszámítása céljából az intézményeknek a nemteljesítő kitettségek fedezett részét a hitelkockázati fedezet típusától függően az 575/2013/EU rendelet 47c. cikkének (3) bekezdésével összhangban a következőképpen kell besorolniuk: i. „ingatlannal fedezett vagy a 201. cikkben említett elismert fedezetnyújtó által garantált lakáshitel”, ii. „egyéb előre rendelkezésre bocsátott vagy előre nem rendelkezésre bocsátott hitelkockázati fedezettel fedezett” vagy iii. „hivatalos exporthitel-ügynökség által garantált vagy biztosított”. Ha a nemteljesítő kitettséget egynél több típusú hitelkockázati fedezet fedezi, kitettségértékét a hitelkockázati fedezet minősége szerint kell felosztani, a legjobb minőségűtől kezdve.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6040042"/>
      <w:r>
        <w:rPr>
          <w:rFonts w:ascii="Times New Roman" w:hAnsi="Times New Roman"/>
          <w:sz w:val="24"/>
          <w:u w:val="none"/>
        </w:rPr>
        <w:t xml:space="preserve">8.2. C 35.01 – </w:t>
      </w:r>
      <w:bookmarkEnd w:id="781"/>
      <w:r>
        <w:rPr>
          <w:rFonts w:ascii="Times New Roman" w:hAnsi="Times New Roman"/>
          <w:sz w:val="24"/>
          <w:u w:val="none"/>
        </w:rPr>
        <w:t>A NEMTELJESÍTŐ KITETTSÉGEKHEZ KAPCSOLÓDÓ LEVONÁSOK KISZÁMÍTÁSA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6040043"/>
      <w:r>
        <w:rPr>
          <w:rFonts w:ascii="Times New Roman" w:hAnsi="Times New Roman"/>
          <w:sz w:val="24"/>
        </w:rPr>
        <w:t>A tábla egyes részeire vonatkozó útmutató</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A „kitettségek nemteljesítőként történő besorolása óta eltelt idő” a kitettség nemteljesítőként való besorolása és a vonatkozási időpont között eltelt időt jelenti években kifejezve. Vásárolt nemteljesítő kitettségek esetében az években kifejezett időtartam attól az időponttól kezdődik, amikor a kitettségeket eredetileg nemteljesítőként sorolták be, nem pedig a vásárlás időpontjától. </w:t>
            </w:r>
          </w:p>
          <w:p w14:paraId="3CACD559" w14:textId="77777777" w:rsidR="00DD00B4" w:rsidRPr="002A677E" w:rsidRDefault="00DD00B4" w:rsidP="00DD00B4">
            <w:pPr>
              <w:rPr>
                <w:rFonts w:ascii="Times New Roman" w:hAnsi="Times New Roman"/>
                <w:sz w:val="24"/>
              </w:rPr>
            </w:pPr>
            <w:r>
              <w:rPr>
                <w:rFonts w:ascii="Times New Roman" w:hAnsi="Times New Roman"/>
                <w:sz w:val="24"/>
              </w:rPr>
              <w:t>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4D817EF7" w14:textId="77777777" w:rsidR="00DD00B4" w:rsidRPr="002A677E" w:rsidRDefault="00DD00B4" w:rsidP="00DD00B4">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Y-adik év első és utolsó napja közötti időszakba esik.</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Összesen</w:t>
            </w:r>
          </w:p>
          <w:p w14:paraId="195DD8B3" w14:textId="77777777" w:rsidR="00DD00B4" w:rsidRPr="002A677E" w:rsidRDefault="00DD00B4" w:rsidP="00DD00B4">
            <w:pPr>
              <w:rPr>
                <w:rFonts w:ascii="Times New Roman" w:hAnsi="Times New Roman"/>
                <w:sz w:val="24"/>
              </w:rPr>
            </w:pPr>
            <w:r>
              <w:rPr>
                <w:rFonts w:ascii="Times New Roman" w:hAnsi="Times New Roman"/>
                <w:sz w:val="24"/>
              </w:rPr>
              <w:t>Az intézményeknek a 0010-es és 0100-as közötti oszlopok összegét kell megadniuk.</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Sor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Az elégtelen fedezet alkalmazandó összege</w:t>
            </w:r>
          </w:p>
          <w:p w14:paraId="51563B67" w14:textId="343DC59D" w:rsidR="00DD00B4" w:rsidRPr="002A677E" w:rsidRDefault="002327CE" w:rsidP="00DD00B4">
            <w:pPr>
              <w:rPr>
                <w:rFonts w:ascii="Times New Roman" w:hAnsi="Times New Roman"/>
                <w:sz w:val="24"/>
              </w:rPr>
            </w:pPr>
            <w:r>
              <w:rPr>
                <w:rFonts w:ascii="Times New Roman" w:hAnsi="Times New Roman"/>
                <w:sz w:val="24"/>
              </w:rPr>
              <w:t>Az 575/2013/EU rendelet 47c. cikkének (1) bekezdése</w:t>
            </w:r>
          </w:p>
          <w:p w14:paraId="7431B28F" w14:textId="77777777" w:rsidR="00DD00B4" w:rsidRPr="002A677E" w:rsidRDefault="00DD00B4" w:rsidP="00DD00B4">
            <w:pPr>
              <w:rPr>
                <w:rFonts w:ascii="Times New Roman" w:hAnsi="Times New Roman"/>
                <w:sz w:val="24"/>
              </w:rPr>
            </w:pPr>
            <w:r>
              <w:rPr>
                <w:rFonts w:ascii="Times New Roman" w:hAnsi="Times New Roman"/>
                <w:sz w:val="24"/>
              </w:rPr>
              <w:t>Az elégtelen fedezet alkalmazandó összegének kiszámításához az intézményeknek a nemteljesítő kitettségekre vonatkozó teljes fedezeti minimumkövetelményből (0020-as sor) le kell vonniuk a céltartalékok, kiigazítások vagy levonások (felső korlátos) összegét (0080-as sor).</w:t>
            </w:r>
          </w:p>
          <w:p w14:paraId="319C177A" w14:textId="77777777" w:rsidR="00DD00B4" w:rsidRPr="002A677E" w:rsidRDefault="00DD00B4" w:rsidP="00DD00B4">
            <w:pPr>
              <w:rPr>
                <w:rFonts w:ascii="Times New Roman" w:hAnsi="Times New Roman"/>
                <w:sz w:val="24"/>
              </w:rPr>
            </w:pPr>
            <w:r>
              <w:rPr>
                <w:rFonts w:ascii="Times New Roman" w:hAnsi="Times New Roman"/>
                <w:sz w:val="24"/>
              </w:rPr>
              <w:t>Az elégtelen fedezet alkalmazandó összege (azaz a nemteljesítő kitettségekre vonatkozó teljes fedezeti minimumkövetelmény hiányzó része) nem lehet kisebb nullánál.</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nemteljesítő kitettségekre vonatkozó teljes fedezeti minimumkövetelmény</w:t>
            </w:r>
          </w:p>
          <w:p w14:paraId="79CCC5B2" w14:textId="35068447" w:rsidR="00DD00B4" w:rsidRPr="002A677E" w:rsidRDefault="002327CE" w:rsidP="00DD00B4">
            <w:pPr>
              <w:rPr>
                <w:rFonts w:ascii="Times New Roman" w:hAnsi="Times New Roman"/>
                <w:sz w:val="24"/>
              </w:rPr>
            </w:pPr>
            <w:r>
              <w:rPr>
                <w:rFonts w:ascii="Times New Roman" w:hAnsi="Times New Roman"/>
                <w:sz w:val="24"/>
              </w:rPr>
              <w:t>Az 575/2013/EU rendelet 47c. cikke (1) bekezdésének a) pontja</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A nemteljesítő kitettségekre vonatkozó teljes fedezeti minimumkövetelmény kiszámításához az intézményeknek össze kell adniuk a nemteljesítő kitettségek fedezetlen részére (0030-as sor) és a nemteljesítő kitettségek fedezett részére (0040-es sor) vonatkozó fedezeti minimumkövetelményt.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Az 575/2013/EU rendelet 47c. cikke (1) bekezdése a) pontjának i. alpontja, 47c. cikkének (2) és (6) bekezdése</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Az intézményeknek a nemteljesítő kitettségek fedezetlen részére vonatkozó teljes fedezeti minimumkövetelményt, azaz a kitettségek szintjén végzett számítások összesítését kell megadniuk.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Az egyes oszlopokban feltüntetett összeg megegyezik a C 35.02 tábla 0020-as sorában és (adott esetben) a C 35.03 tábla 0020-as sorában a megfelelő oszlopokban megadott értékek összegével.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fedezett része</w:t>
            </w:r>
          </w:p>
          <w:p w14:paraId="00F4CCB6" w14:textId="560D6425" w:rsidR="00DD00B4" w:rsidRPr="002A677E" w:rsidRDefault="003B09EA" w:rsidP="00DD00B4">
            <w:pPr>
              <w:rPr>
                <w:rFonts w:ascii="Times New Roman" w:hAnsi="Times New Roman"/>
                <w:sz w:val="24"/>
              </w:rPr>
            </w:pPr>
            <w:r>
              <w:rPr>
                <w:rFonts w:ascii="Times New Roman" w:hAnsi="Times New Roman"/>
                <w:sz w:val="24"/>
              </w:rPr>
              <w:t>Az 575/2013/EU rendelet 47c. cikke (1) bekezdése a) pontjának ii. alpontja, 47c. cikkének (3), (4) és (6) bekezdése.</w:t>
            </w:r>
          </w:p>
          <w:p w14:paraId="4A5E1811" w14:textId="77777777" w:rsidR="00DD00B4" w:rsidRPr="002A677E" w:rsidRDefault="00A532F5" w:rsidP="00DD00B4">
            <w:pPr>
              <w:rPr>
                <w:rFonts w:ascii="Times New Roman" w:hAnsi="Times New Roman"/>
                <w:sz w:val="24"/>
              </w:rPr>
            </w:pPr>
            <w:r>
              <w:rPr>
                <w:rFonts w:ascii="Times New Roman" w:hAnsi="Times New Roman"/>
                <w:sz w:val="24"/>
              </w:rPr>
              <w:t>Az intézményeknek a nemteljesítő kitettségek fedezett részére vonatkozó teljes fedezeti minimumkövetelményt, azaz a kitettségek szintjén végzett számítások összesítését kell megadniuk.</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Az egyes oszlopokban feltüntetett összeg megegyezik a C 35.02 tábla 0030–0050-es sorában és (adott esetben) a C 35.03 tábla 0030–0040-es sorában a megfelelő oszlopokban megadott értékek összegével.</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Kitettségérték</w:t>
            </w:r>
          </w:p>
          <w:p w14:paraId="6171E166" w14:textId="047A39FF" w:rsidR="00DD00B4" w:rsidRPr="002A677E" w:rsidRDefault="00DD00B4" w:rsidP="00DD00B4">
            <w:pPr>
              <w:rPr>
                <w:rFonts w:ascii="Times New Roman" w:hAnsi="Times New Roman"/>
                <w:sz w:val="24"/>
              </w:rPr>
            </w:pPr>
            <w:r>
              <w:rPr>
                <w:rFonts w:ascii="Times New Roman" w:hAnsi="Times New Roman"/>
                <w:sz w:val="24"/>
              </w:rPr>
              <w:t>Az 575/2013/EU rendelet 47 a. cikkének (2) bekezdése</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Az intézményeknek a nemteljesítő kitettségek teljes kitettségértékét kell megadniuk, beleértve a fedezetlen és a fedezett kitettségeket is. Ez a 0060-as és a 0070-es sor összege.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Az 575/2013/EU rendelet 47a. cikkének (2) bekezdése és 47c. cikkének (1) bekezdése</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fedezett része</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t>Az 575/2013/EU rendelet 47a. cikkének (2) bekezdése és 47c. cikkének (1) bekezdése</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Céltartalékok és kiigazítások vagy levonások összesen (felső korláttal)</w:t>
            </w:r>
          </w:p>
          <w:p w14:paraId="135CD7AC" w14:textId="3F03170D" w:rsidR="00DD00B4" w:rsidRPr="002A677E" w:rsidRDefault="00DD00B4" w:rsidP="00DD00B4">
            <w:pPr>
              <w:rPr>
                <w:rFonts w:ascii="Times New Roman" w:hAnsi="Times New Roman"/>
                <w:sz w:val="24"/>
              </w:rPr>
            </w:pPr>
            <w:r>
              <w:rPr>
                <w:rFonts w:ascii="Times New Roman" w:hAnsi="Times New Roman"/>
                <w:sz w:val="24"/>
              </w:rPr>
              <w:t>Az 575/2013/EU rendelet 47c. cikke (1) bekezdése b) pontjának megfelelően az intézményeknek a 0100–0150-es sorban felsorolt tételek felső korlátos összegét kell megadniuk. A céltartalékok és kiigazítások vagy levonások felső korlátja a kitettségi szinten számított fedezeti minimumkövetelmény.</w:t>
            </w:r>
          </w:p>
          <w:p w14:paraId="6BCA9662" w14:textId="77777777" w:rsidR="00DD00B4" w:rsidRPr="002A677E" w:rsidRDefault="00DD00B4" w:rsidP="00DD00B4">
            <w:pPr>
              <w:rPr>
                <w:rFonts w:ascii="Times New Roman" w:hAnsi="Times New Roman"/>
                <w:sz w:val="24"/>
              </w:rPr>
            </w:pPr>
            <w:r>
              <w:rPr>
                <w:rFonts w:ascii="Times New Roman" w:hAnsi="Times New Roman"/>
                <w:sz w:val="24"/>
              </w:rPr>
              <w:t>A felső korlátos összeget az egyes kitettségekre külön-külön kell kiszámítani, és az az adott kitettségre vonatkozó fedezeti minimumkövetelmény, illetve az ugyanazon kitettségre képzett céltartalékok, kiigazítások vagy levonások összege közül az alacsonyabb összeg.</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Céltartalékok és kiigazítások vagy levonások összesen (felső korlát nélkül)</w:t>
            </w:r>
          </w:p>
          <w:p w14:paraId="389D4B70" w14:textId="749834AC" w:rsidR="00DD00B4" w:rsidRPr="002A677E" w:rsidRDefault="00DD00B4" w:rsidP="00DD00B4">
            <w:pPr>
              <w:jc w:val="left"/>
              <w:rPr>
                <w:rFonts w:ascii="Times New Roman" w:hAnsi="Times New Roman"/>
                <w:sz w:val="24"/>
              </w:rPr>
            </w:pPr>
            <w:r>
              <w:rPr>
                <w:rFonts w:ascii="Times New Roman" w:hAnsi="Times New Roman"/>
                <w:sz w:val="24"/>
              </w:rPr>
              <w:t xml:space="preserve">Az 575/2013/EU rendelet 47c. cikke (1) bekezdése b) pontjának megfelelően az intézményeknek a 0100–0150-es sorban felsorolt tételek felső korlát nélküli összegét kell megadniuk. A felső korlát nélküli céltartalékok és kiigazítások vagy levonások nem korlátozódnak a kitettségi szinten számított fedezeti minimumkövetelmény összegére.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Egyedi hitelkockázati kiigazítások</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Az 575/2013/EU rendelet 47c. cikke (1) bekezdése b) pontjának i. alpontja</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További értékelési korrekciók</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Az 575/2013/EU rendelet 47c. cikke (1) bekezdése b) pontjának ii. alpontja</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Egyéb szavatolótőke-csökkentések</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Az 575/2013/EU rendelet 47c. cikke (1) bekezdése b) pontjának iii. alpontja</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IRB szerinti hiány</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Az 575/2013/EU rendelet 47c. cikke (1) bekezdése b) pontjának iv. alpontja</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vételár és az adós tartozásának összege közötti különbség</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Az 575/2013/EU rendelet 47c. cikke (1) bekezdése b) pontjának v. alpontja</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Az intézmény által a kitettség nemteljesítőként való besorolása óta leírt összegek</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Az 575/2013/EU rendelet 47c. cikke (1) bekezdése b) pontjának vi. alpontja</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6040044"/>
      <w:r>
        <w:rPr>
          <w:rFonts w:ascii="Times New Roman" w:hAnsi="Times New Roman"/>
          <w:sz w:val="24"/>
        </w:rPr>
        <w:t>C 35.02 – A NEMTELJESÍTŐ KITETTSÉGEKRE VONATKOZÓ FEDEZETI MINIMUMKÖVETELMÉNYEK ÉS KITETTSÉGÉRTÉKEK, KIVÉVE AZ 575/2013/EU RENDELET 47c. CIKKE (6) BEKEZDÉSÉNEK HATÁLYA ALÁ TARTOZÓ ÁTSTRUKTURÁLT KITETTSÉGEKET (NPE LC2)</w:t>
      </w:r>
      <w:bookmarkStart w:id="790" w:name="_Toc19715891"/>
      <w:bookmarkEnd w:id="788"/>
      <w:bookmarkEnd w:id="789"/>
      <w:bookmarkEnd w:id="790"/>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6040045"/>
      <w:r>
        <w:rPr>
          <w:rFonts w:ascii="Times New Roman" w:hAnsi="Times New Roman"/>
          <w:sz w:val="24"/>
        </w:rPr>
        <w:t>A tábla egyes részeire vonatkozó útmutató</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6F1F73EA" w14:textId="77777777" w:rsidR="00DD00B4" w:rsidRPr="002A677E" w:rsidRDefault="00DD00B4" w:rsidP="00DD00B4">
            <w:pPr>
              <w:rPr>
                <w:rFonts w:ascii="Times New Roman" w:hAnsi="Times New Roman"/>
                <w:sz w:val="24"/>
              </w:rPr>
            </w:pPr>
            <w:r>
              <w:rPr>
                <w:rFonts w:ascii="Times New Roman" w:hAnsi="Times New Roman"/>
                <w:sz w:val="24"/>
              </w:rPr>
              <w:t>A „kitettségek nemteljesítőként történő besorolása óta eltelt idő” a kitettség nemteljesítőként való besorolása óta eltelt időt jelenti években kifejezve. 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24AECEC5" w14:textId="77777777" w:rsidR="00DD00B4" w:rsidRPr="002A677E" w:rsidRDefault="00DD00B4" w:rsidP="00DD00B4">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Y-adik év első és utolsó napja közötti időszakba esik.</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Összesen</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Az intézményeknek a 0010-es és 0100-as közötti oszlopok összegét kell megadniuk.</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Sor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Teljes fedezeti minimumkövetelmény</w:t>
            </w:r>
          </w:p>
          <w:p w14:paraId="3A476185" w14:textId="53F8D1FE" w:rsidR="00DD00B4" w:rsidRPr="002A677E" w:rsidRDefault="00FC223C" w:rsidP="00DD00B4">
            <w:pPr>
              <w:rPr>
                <w:rFonts w:ascii="Times New Roman" w:hAnsi="Times New Roman"/>
                <w:sz w:val="24"/>
              </w:rPr>
            </w:pPr>
            <w:r>
              <w:rPr>
                <w:rFonts w:ascii="Times New Roman" w:hAnsi="Times New Roman"/>
                <w:sz w:val="24"/>
              </w:rPr>
              <w:t>Az 575/2013/EU rendelet 47c. cikke (1) bekezdésének a) pontja</w:t>
            </w:r>
          </w:p>
          <w:p w14:paraId="5F74FB1D" w14:textId="381749C8" w:rsidR="00DD00B4" w:rsidRPr="002A677E" w:rsidRDefault="00DD00B4" w:rsidP="00DD00B4">
            <w:pPr>
              <w:rPr>
                <w:rFonts w:ascii="Times New Roman" w:hAnsi="Times New Roman"/>
                <w:sz w:val="24"/>
              </w:rPr>
            </w:pPr>
            <w:r>
              <w:rPr>
                <w:rFonts w:ascii="Times New Roman" w:hAnsi="Times New Roman"/>
                <w:sz w:val="24"/>
              </w:rPr>
              <w:t>Az 575/2013/EU rendelet 47c. cikke (6) bekezdésének hatálya alá tartozó átstrukturált kitettségeket nem tartalmazó nemteljesítő kitettségekre vonatkozó teljes fedezeti minimumkövetelmény kiszámításához az intézményeknek össze kell adniuk a nemteljesítő kitettségek fedezetlen részére (0020-as sor) és a nemteljesítő kitettségek fedezett részére (0030–0050-es sor) vonatkozó fedezeti minimumkövetelményt.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14:paraId="24BFE0E9" w14:textId="763167B7" w:rsidR="00DD00B4" w:rsidRPr="002A677E" w:rsidRDefault="00DD00B4" w:rsidP="00DD00B4">
            <w:pPr>
              <w:rPr>
                <w:rFonts w:ascii="Times New Roman" w:hAnsi="Times New Roman"/>
                <w:sz w:val="24"/>
              </w:rPr>
            </w:pPr>
            <w:r>
              <w:rPr>
                <w:rFonts w:ascii="Times New Roman" w:hAnsi="Times New Roman"/>
                <w:sz w:val="24"/>
              </w:rPr>
              <w:t>Az 575/2013/EU rendelet 47c. cikke (1) bekezdése a) pontjának i. alpontja és 47c. cikkének (2) bekezdése</w:t>
            </w:r>
          </w:p>
          <w:p w14:paraId="70241592" w14:textId="77777777" w:rsidR="00DD00B4" w:rsidRPr="002A677E" w:rsidRDefault="00DD00B4" w:rsidP="00EA2AFF">
            <w:pPr>
              <w:rPr>
                <w:rFonts w:ascii="Times New Roman" w:hAnsi="Times New Roman"/>
                <w:sz w:val="24"/>
              </w:rPr>
            </w:pPr>
            <w:r>
              <w:rPr>
                <w:rFonts w:ascii="Times New Roman" w:hAnsi="Times New Roman"/>
                <w:sz w:val="24"/>
              </w:rPr>
              <w:t>A fedezeti minimumkövetelményt úgy kell kiszámítani, hogy a 0070-es sorban feltüntetett összesített kitettségértékeket meg kell szorozni az adott oszlophoz tartozó szorzóval.</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A nemteljesítő kitettségek ingatlannal fedezett része vagy elismert fedezetnyújtó által garantált lakáshitel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Az 575/2013/EU rendelet 47c. cikke (1) bekezdése a) pontjának ii. alpontja, valamint 47c. cikke (3) bekezdésének a), b), c), d), f), h) és i) pontja</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A fedezeti minimumkövetelményt úgy kell kiszámítani, hogy a 0080-as sorban feltüntetett összesített kitettségértékeket meg kell szorozni az adott oszlophoz tartozó szorzóval.</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7260657F" w14:textId="3BA2EAC0" w:rsidR="00DD00B4" w:rsidRPr="002A677E" w:rsidRDefault="003B09EA" w:rsidP="00DD00B4">
            <w:pPr>
              <w:rPr>
                <w:rFonts w:ascii="Times New Roman" w:hAnsi="Times New Roman"/>
                <w:sz w:val="24"/>
              </w:rPr>
            </w:pPr>
            <w:r>
              <w:rPr>
                <w:rFonts w:ascii="Times New Roman" w:hAnsi="Times New Roman"/>
                <w:sz w:val="24"/>
              </w:rPr>
              <w:t>Az 575/2013/EU rendelet 47c. cikke (1) bekezdése a) pontjának ii. alpontja, valamint 47c. cikke (3) bekezdésének a), b), c), e) és g) pontja</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A fedezeti minimumkövetelményt úgy kell kiszámítani, hogy a 0090-es sorban feltüntetett összesített kitettségértékeket meg kell szorozni az adott oszlophoz tartozó szorzóval.</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nemteljesítő kitettségek hivatalos exporthitel-ügynökség által garantált vagy biztosított része</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Az 575/2013/EU rendelet 47c. cikkének (4) bekezdése</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t>A fedezeti minimumkövetelményt úgy kell kiszámítani, hogy a 0100-as sorban feltüntetett összesített kitettségértékeket meg kell szorozni az adott oszlophoz tartozó szorzóval.</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Kitettségérték</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Az 575/2013/EU rendelet 47 a. cikkének (2) bekezdése</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A 0060-as sor kiszámításához az intézményeknek össze kell adniuk a nemteljesítő kitettségek fedezetlen részére (0070-es sor), a nemteljesítő kitettségek ingatlannal fedezett részére vagy elismert fedezetnyújtó által garantált lakáshitelre (0080-as sor), a nemteljesítő kitettségek egyéb előre rendelkezésre bocsátott vagy előre nem rendelkezésre bocsátott hitelkockázati fedezettel fedezett részére (0090-es sor) és a hivatalos exporthitel-ügynökség által garantált vagy biztosított nemteljesítő kitettségekre (0100-as sor) vonatkozóan megadott kitettségértékeket.</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Az 575/2013/EU rendelet 47a. cikkének (2) bekezdése és 47c. cikkének (1) és (2) bekezdése</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Az intézmények a nemteljesítő kitettségek fedezetlen részének teljes kitettségértékét kötelesek megadni a kitettségek nemteljesítőként való besorolása óta eltelt idő szerinti bontásban.</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56630187" w14:textId="74149F43" w:rsidR="00DD00B4" w:rsidRPr="002A677E" w:rsidRDefault="00DD00B4" w:rsidP="00DD00B4">
            <w:pPr>
              <w:rPr>
                <w:rFonts w:ascii="Times New Roman" w:hAnsi="Times New Roman"/>
                <w:sz w:val="24"/>
              </w:rPr>
            </w:pPr>
            <w:r>
              <w:rPr>
                <w:rFonts w:ascii="Times New Roman" w:hAnsi="Times New Roman"/>
                <w:sz w:val="24"/>
              </w:rPr>
              <w:t>Az 575/2013/EU rendelet 47a. cikkének (2) bekezdése, 47c. cikkének (1) bekezdése és 47c. cikke (3) bekezdésének a), b), c), d), f), h) és i) pontja</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Az intézményeknek a nemteljesítő kitettségek azon részeinek teljes kitettségértékét kell megadniuk, amelyek az 575/2013/EU rendelet harmadik része II. címének megfelelően ingatlannal fedezettek, vagy amelyek az említett rendelet 201. cikkében említett elismert fedezetnyújtó által garantált lakáshitelek.</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Az 575/2013/EU rendelet 47a. cikkének (2) bekezdése, 47c. cikkének (1) bekezdése, 47c. cikke (3) bekezdésének a), b), c), e) és g) pontja </w:t>
            </w:r>
          </w:p>
          <w:p w14:paraId="1AFC29A6" w14:textId="2BB354A7" w:rsidR="00DD00B4" w:rsidRPr="002A677E" w:rsidRDefault="00441F78" w:rsidP="00E67B4A">
            <w:pPr>
              <w:jc w:val="left"/>
              <w:rPr>
                <w:rFonts w:ascii="Times New Roman" w:hAnsi="Times New Roman"/>
                <w:sz w:val="24"/>
              </w:rPr>
            </w:pPr>
            <w:r>
              <w:rPr>
                <w:rFonts w:ascii="Times New Roman" w:hAnsi="Times New Roman"/>
                <w:sz w:val="24"/>
              </w:rPr>
              <w:t>Az intézményeknek a nemteljesítő kitettségek azon részeinek teljes kitettségértékét kell megadniuk, amelyeket az 575/2013/EU rendelet harmadik része II. címének megfelelően egyéb előre rendelkezésre bocsátott vagy előre nem rendelkezésre bocsátott hitelkockázati fedezettel fedeznek.</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nemteljesítő kitettségek hivatalos exporthitel-ügynökség által garantált vagy biztosított része</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Az 575/2013/EU rendelet 47a. cikkének (2) bekezdése és 47c. cikkének (4) bekezdése</w:t>
            </w:r>
          </w:p>
          <w:p w14:paraId="36FE7597" w14:textId="76A62FE6" w:rsidR="00DD00B4" w:rsidRPr="002A677E" w:rsidRDefault="00441F78" w:rsidP="00441F78">
            <w:pPr>
              <w:jc w:val="left"/>
              <w:rPr>
                <w:rFonts w:ascii="Times New Roman" w:hAnsi="Times New Roman"/>
                <w:b/>
                <w:sz w:val="24"/>
                <w:u w:val="single"/>
              </w:rPr>
            </w:pPr>
            <w:r>
              <w:rPr>
                <w:rFonts w:ascii="Times New Roman" w:hAnsi="Times New Roman"/>
                <w:sz w:val="24"/>
              </w:rPr>
              <w:lastRenderedPageBreak/>
              <w:t>Az intézményeknek a nemteljesítő kitettségek hivatalos exporthitel-ügynökség által garantált vagy biztosított, vagy egy, az 575/2013/EU rendelet 47c. cikkének (4) bekezdésében említett elismert fedezetnyújtó által garantált vagy viszontgarantált részeinek teljes kitettségértékét kell megadniuk.</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6040046"/>
      <w:r>
        <w:rPr>
          <w:rFonts w:ascii="Times New Roman" w:hAnsi="Times New Roman"/>
          <w:sz w:val="24"/>
        </w:rPr>
        <w:t>C 35.03 – AZ 575/2013/EU RENDELET 47C. CIKKE (6) BEKEZDÉSÉNEK HATÁLYA ALÁ TARTOZÓ ÁTSTRUKTURÁLT NEMTELJESÍTŐ KITETTSÉGEKRE VONATKOZÓ FEDEZETI MINIMUMKÖVETELMÉNYEK ÉS KITETTSÉGÉRTÉKEK (NPE LC3)</w:t>
      </w:r>
      <w:bookmarkStart w:id="795" w:name="_Toc19715894"/>
      <w:bookmarkEnd w:id="793"/>
      <w:bookmarkEnd w:id="794"/>
      <w:bookmarkEnd w:id="795"/>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6040047"/>
      <w:r>
        <w:rPr>
          <w:rFonts w:ascii="Times New Roman" w:hAnsi="Times New Roman"/>
          <w:sz w:val="24"/>
        </w:rPr>
        <w:t>A tábla egyes részeire vonatkozó útmutató</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3D3EBC38" w14:textId="77777777" w:rsidR="00DD00B4" w:rsidRPr="002A677E" w:rsidRDefault="00DD00B4" w:rsidP="00DD00B4">
            <w:pPr>
              <w:rPr>
                <w:rFonts w:ascii="Times New Roman" w:hAnsi="Times New Roman"/>
                <w:sz w:val="24"/>
              </w:rPr>
            </w:pPr>
            <w:r>
              <w:rPr>
                <w:rFonts w:ascii="Times New Roman" w:hAnsi="Times New Roman"/>
                <w:sz w:val="24"/>
              </w:rPr>
              <w:t>A „kitettségek nemteljesítőként történő besorolása óta eltelt idő” a kitettség nemteljesítőként való besorolása óta eltelt időt jelenti években kifejezve. 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2AC789BC" w14:textId="77777777" w:rsidR="00DD00B4" w:rsidRPr="002A677E" w:rsidRDefault="00DD00B4" w:rsidP="00DD00B4">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Y-adik év első és utolsó napja közötti időszakba esik.</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Összesen</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Az intézményeknek a 0010-es és 0100-as közötti oszlopok összegét kell megadniuk.</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Sor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Útmutató</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Teljes fedezeti minimumkövetelmény</w:t>
            </w:r>
          </w:p>
          <w:p w14:paraId="3C6F9C3C" w14:textId="21FBC49A" w:rsidR="00DD00B4" w:rsidRPr="002A677E" w:rsidRDefault="00DD00B4" w:rsidP="00DD00B4">
            <w:pPr>
              <w:rPr>
                <w:rFonts w:ascii="Times New Roman" w:hAnsi="Times New Roman"/>
                <w:sz w:val="24"/>
              </w:rPr>
            </w:pPr>
            <w:r>
              <w:rPr>
                <w:rFonts w:ascii="Times New Roman" w:hAnsi="Times New Roman"/>
                <w:sz w:val="24"/>
              </w:rPr>
              <w:t>Az 575/2013/EU rendelet 47c. cikke (1) bekezdésének a) pontja és 47c. cikkének (6) bekezdése</w:t>
            </w:r>
          </w:p>
          <w:p w14:paraId="20C972EE" w14:textId="5126B749" w:rsidR="00DD00B4" w:rsidRPr="002A677E" w:rsidRDefault="00DD00B4" w:rsidP="00A648C2">
            <w:pPr>
              <w:rPr>
                <w:rFonts w:ascii="Times New Roman" w:hAnsi="Times New Roman"/>
                <w:sz w:val="24"/>
              </w:rPr>
            </w:pPr>
            <w:r>
              <w:rPr>
                <w:rFonts w:ascii="Times New Roman" w:hAnsi="Times New Roman"/>
                <w:sz w:val="24"/>
              </w:rPr>
              <w:t>Az 575/2013/EU rendelet 47c. cikke (6) bekezdésének hatálya alá tartozó átstrukturált nemteljesítő kitettségekre vonatkozó teljes fedezeti minimumkövetelmény kiszámításához az intézményeknek össze kell adniuk az átstrukturált nemteljesítő kitettségek fedezetlen részére (0020-as sor), az átstrukturált nemteljesítő kitettségek ingatlannal fedezett részére vagy elismert fedezetnyújtó által garantált lakáshitelre (0030-as sor) és az átstrukturált nemteljesítő kitettségek egyéb előre rendelkezésre bocsátott vagy előre nem rendelkezésre bocsátott hitelkockázati fedezettel fedezett részére (0040-es sor) vonatkozóan megadott kitettségértékeket.</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14:paraId="4099803A" w14:textId="46D5FF84" w:rsidR="00DD00B4" w:rsidRPr="002A677E" w:rsidRDefault="00A648C2" w:rsidP="00DD00B4">
            <w:pPr>
              <w:rPr>
                <w:rFonts w:ascii="Times New Roman" w:hAnsi="Times New Roman"/>
                <w:sz w:val="24"/>
              </w:rPr>
            </w:pPr>
            <w:r>
              <w:rPr>
                <w:rFonts w:ascii="Times New Roman" w:hAnsi="Times New Roman"/>
                <w:sz w:val="24"/>
              </w:rPr>
              <w:lastRenderedPageBreak/>
              <w:t>Az 575/2013/EU rendelet 47c. cikke (1) bekezdése a) pontjának i. alpontja, 47c. cikkének (2) és (6) bekezdése</w:t>
            </w:r>
          </w:p>
          <w:p w14:paraId="5BD9128D" w14:textId="1AB83AE7" w:rsidR="00DD00B4" w:rsidRPr="002A677E" w:rsidRDefault="00303974" w:rsidP="00303974">
            <w:pPr>
              <w:rPr>
                <w:rFonts w:ascii="Times New Roman" w:hAnsi="Times New Roman"/>
                <w:sz w:val="24"/>
              </w:rPr>
            </w:pPr>
            <w:r>
              <w:rPr>
                <w:rFonts w:ascii="Times New Roman" w:hAnsi="Times New Roman"/>
                <w:sz w:val="24"/>
              </w:rPr>
              <w:t>Az intézmények az 575/2013/EU rendelet 47c. cikke (6) bekezdésének hatálya alá tartozó átstrukturált nemteljesítő kitettségek fedezetlen részére vonatkozó teljes fedezeti minimumkövetelményt, azaz a kitettségek szintjén végzett számítások összesítését kötelesek megadni.</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3D9FC58F" w14:textId="0A7A9BAF" w:rsidR="00DD00B4" w:rsidRPr="002A677E" w:rsidRDefault="003B09EA" w:rsidP="00DD00B4">
            <w:pPr>
              <w:rPr>
                <w:rFonts w:ascii="Times New Roman" w:hAnsi="Times New Roman"/>
                <w:sz w:val="24"/>
              </w:rPr>
            </w:pPr>
            <w:r>
              <w:rPr>
                <w:rFonts w:ascii="Times New Roman" w:hAnsi="Times New Roman"/>
                <w:sz w:val="24"/>
              </w:rPr>
              <w:t>Az 575/2013/EU rendelet 47c. cikke (1) bekezdése a) pontjának ii. alpontja, valamint 47c. cikke (3) bekezdésének a), b), c), d), f), h) és i) pontja, valamint 47c. cikkének (6) bekezdése</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 xml:space="preserve">Az intézmények az 575/2013/EU rendelet 47c. cikke (6) bekezdésének hatálya alá tartozó átstrukturált nemteljesítő kitettségek azon részeire vonatkozó teljes fedezeti minimumkövetelményt – azaz a kitettségek szintjén végzett számítások összesítését – kötelesek megadni, amelyek az említett rendelet harmadik része II. címének megfelelően ingatlannal fedezettek, vagy amelyek a CRR 201. cikkében említett elismert fedezetnyújtó által garantált lakáshitelek.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3D8A5075" w14:textId="4E66820E" w:rsidR="00DD00B4" w:rsidRPr="002A677E" w:rsidRDefault="003B09EA" w:rsidP="00DD00B4">
            <w:pPr>
              <w:rPr>
                <w:rFonts w:ascii="Times New Roman" w:hAnsi="Times New Roman"/>
                <w:sz w:val="24"/>
              </w:rPr>
            </w:pPr>
            <w:r>
              <w:rPr>
                <w:rFonts w:ascii="Times New Roman" w:hAnsi="Times New Roman"/>
                <w:sz w:val="24"/>
              </w:rPr>
              <w:t>Az 575/2013/EU rendelet 47c. cikke (1) bekezdése a) pontjának ii. alpontja, valamint 47c. cikke (3) bekezdésének a), b), c), e) és g) pontja, 47c. cikkének (6) bekezdése</w:t>
            </w:r>
          </w:p>
          <w:p w14:paraId="7E3D68AC" w14:textId="4D98347E" w:rsidR="00DD00B4" w:rsidRPr="002A677E" w:rsidRDefault="00303974" w:rsidP="00303974">
            <w:pPr>
              <w:rPr>
                <w:rFonts w:ascii="Times New Roman" w:hAnsi="Times New Roman"/>
                <w:sz w:val="24"/>
              </w:rPr>
            </w:pPr>
            <w:r>
              <w:rPr>
                <w:rFonts w:ascii="Times New Roman" w:hAnsi="Times New Roman"/>
                <w:sz w:val="24"/>
              </w:rPr>
              <w:t>Az intézmények az 575/2013/EU rendelet 47c. cikke (6) bekezdésének hatálya alá tartozó átstrukturált nemteljesítő kitettségek egyéb előre rendelkezésre bocsátott vagy előre nem rendelkezésre bocsátott hitelkockázati fedezettel fedezett részére vonatkozó teljes fedezeti minimumkövetelményt, azaz a kitettségek szintjén végzett számítások összesítését kötelesek megadni.</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Kitettségérték</w:t>
            </w:r>
          </w:p>
          <w:p w14:paraId="37B9F3D5" w14:textId="6322A4B5" w:rsidR="00DD00B4" w:rsidRPr="002A677E" w:rsidRDefault="00233577" w:rsidP="00DD00B4">
            <w:pPr>
              <w:rPr>
                <w:rFonts w:ascii="Times New Roman" w:hAnsi="Times New Roman"/>
                <w:sz w:val="24"/>
              </w:rPr>
            </w:pPr>
            <w:r>
              <w:rPr>
                <w:rFonts w:ascii="Times New Roman" w:hAnsi="Times New Roman"/>
                <w:sz w:val="24"/>
              </w:rPr>
              <w:t>Az 575/2013/EU rendelet 47a. cikkének (2) bekezdése és 47c. cikkének (6) bekezdése</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A kitettségérték kiszámításához az intézményeknek össze kell adniuk a nemteljesítő kitettségek fedezetlen részére (0060-as sor), a nemteljesítő kitettségek ingatlannal fedezett részére vagy elismert fedezetnyújtó által garantált lakáshitelre (0070-es sor) és adott esetben a nemteljesítő kitettségek egyéb előre rendelkezésre bocsátott vagy előre nem rendelkezésre bocsátott hitelkockázati fedezettel fedezett részére (0120-as sor) vonatkozóan megadott kitettségértékeket.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Az 575/2013/EU rendelet 47a. cikkének (2) bekezdése és 47c. cikkének (1), (2) és (6) bekezdése</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Az intézmények az 575/2013/EU rendelet 47c. cikke (6) bekezdésének hatálya alá tartozó átstrukturált nemteljesítő kitettségek fedezetlen részének teljes kitettségértékét kötelesek megadni, ha az első átstrukturálásra a kitettség nemteljesítőként való besorolását követő második év első és utolsó napja között került sor (&gt;1 év és ≤ 2 év).</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2F389D69" w14:textId="35F83915" w:rsidR="00DD00B4" w:rsidRPr="002A677E" w:rsidRDefault="006C0EF3" w:rsidP="00DD00B4">
            <w:pPr>
              <w:rPr>
                <w:rFonts w:ascii="Times New Roman" w:hAnsi="Times New Roman"/>
                <w:sz w:val="24"/>
              </w:rPr>
            </w:pPr>
            <w:r>
              <w:rPr>
                <w:rFonts w:ascii="Times New Roman" w:hAnsi="Times New Roman"/>
                <w:sz w:val="24"/>
              </w:rPr>
              <w:t>Az 575/2013/EU rendelet 47a. cikkének (2) bekezdése, 47c. cikkének (1) bekezdése és (3) bekezdésének a), b), c), d), f), h) és i) pontja, valamint 47c. cikkének (6) bekezdése</w:t>
            </w:r>
          </w:p>
          <w:p w14:paraId="29FB8F53" w14:textId="4D346DCC" w:rsidR="00DD00B4" w:rsidRPr="002A677E" w:rsidRDefault="00303974" w:rsidP="00F75233">
            <w:pPr>
              <w:rPr>
                <w:rFonts w:ascii="Times New Roman" w:hAnsi="Times New Roman"/>
                <w:b/>
                <w:sz w:val="24"/>
                <w:u w:val="single"/>
              </w:rPr>
            </w:pPr>
            <w:r>
              <w:rPr>
                <w:rFonts w:ascii="Times New Roman" w:hAnsi="Times New Roman"/>
                <w:sz w:val="24"/>
              </w:rPr>
              <w:t>Az intézmények az 575/2013/EU rendelet 47c. cikke (6) bekezdésének hatálya alá tartozó átstrukturált nemteljesítő kitettségek azon részeinek teljes kitettségértékét kötelesek megadni, amelyek az említett rendelet harmadik része II. címének megfelelően ingatlannal fedezettek, vagy amelyek az említett rendelet 201. cikkében említett elismert fedezetnyújtó által garantált lakáshitelek.</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14:paraId="37E8AA50" w14:textId="6F65155B" w:rsidR="00DD00B4" w:rsidRPr="002A677E" w:rsidRDefault="00DD00B4" w:rsidP="00DD00B4">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harmadik év első és utolsó napja között került sor.</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14:paraId="0932C52B" w14:textId="13F133A1" w:rsidR="00DD00B4" w:rsidRPr="002A677E" w:rsidRDefault="00DD00B4" w:rsidP="00DD00B4">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negyedik év első és utolsó napja között került sor.</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14:paraId="6D3F8794" w14:textId="27566CCC" w:rsidR="00DD00B4" w:rsidRPr="002A677E" w:rsidRDefault="00DD00B4" w:rsidP="008D0D6A">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ötödik év első és utolsó napja között került sor.</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14:paraId="74ECA5C1" w14:textId="3998A8A0" w:rsidR="00DD00B4" w:rsidRPr="002A677E" w:rsidRDefault="00DD00B4" w:rsidP="008D0D6A">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hatodik év első és utolsó napja között került sor.</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A nemteljesítő kitettségek egyéb előre rendelkezésre bocsátott vagy előre nem rendelkezésre bocsátott hitelkockázati fedezettel fedezett része</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Az 575/2013/EU rendelet 47c. cikkének (1) bekezdése, 47c. cikke (3) bekezdésének a), b), c), e) és g) pontja, valamint 47c. cikkének (6) bekezdése</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 xml:space="preserve">Az intézmények az 575/2013/EU rendelet 47c. cikke (6) bekezdésének hatálya alá tartozó átstrukturált nemteljesítő kitettségek azon részeinek teljes kitettségértékét kötelesek megadni, amelyeket az 575/2013/EU rendelet harmadik része II. címének megfelelően egyéb </w:t>
            </w:r>
            <w:r>
              <w:rPr>
                <w:rFonts w:ascii="Times New Roman" w:hAnsi="Times New Roman"/>
                <w:sz w:val="24"/>
              </w:rPr>
              <w:lastRenderedPageBreak/>
              <w:t>előre rendelkezésre bocsátott vagy előre nem rendelkezésre bocsátott hitelkockázati fedezettel fedeznek.</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14:paraId="0775FEE8" w14:textId="2080806E" w:rsidR="00DD00B4" w:rsidRPr="002A677E" w:rsidRDefault="00DD00B4" w:rsidP="008D0D6A">
            <w:pPr>
              <w:rPr>
                <w:rFonts w:ascii="Times New Roman" w:hAnsi="Times New Roman"/>
                <w:b/>
                <w:sz w:val="24"/>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harmadik év első és utolsó napja között került sor.</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14:paraId="166EB0FC" w14:textId="7CCBCE9A" w:rsidR="00DD00B4" w:rsidRPr="002A677E" w:rsidRDefault="00DD00B4" w:rsidP="008D0D6A">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negyedik év első és utolsó napja között került sor.</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ötödik év első és utolsó napja között került sor.</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hatodik év első és utolsó napja között került sor.</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6F329" w14:textId="77777777" w:rsidR="00DE56E4" w:rsidRDefault="00DE56E4" w:rsidP="00D946DB">
      <w:pPr>
        <w:spacing w:before="0" w:after="0"/>
      </w:pPr>
      <w:r>
        <w:separator/>
      </w:r>
    </w:p>
  </w:endnote>
  <w:endnote w:type="continuationSeparator" w:id="0">
    <w:p w14:paraId="6321384B" w14:textId="77777777" w:rsidR="00DE56E4" w:rsidRDefault="00DE56E4" w:rsidP="00D946DB">
      <w:pPr>
        <w:spacing w:before="0" w:after="0"/>
      </w:pPr>
      <w:r>
        <w:continuationSeparator/>
      </w:r>
    </w:p>
  </w:endnote>
  <w:endnote w:type="continuationNotice" w:id="1">
    <w:p w14:paraId="2ECED54E" w14:textId="77777777" w:rsidR="00DE56E4" w:rsidRDefault="00DE56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2306FE24" w:rsidR="00074ADD" w:rsidRPr="00ED1956" w:rsidRDefault="00074ADD">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CA5C85">
      <w:rPr>
        <w:rFonts w:ascii="Times New Roman" w:hAnsi="Times New Roman"/>
        <w:noProof/>
        <w:sz w:val="22"/>
      </w:rPr>
      <w:t>8</w:t>
    </w:r>
    <w:r w:rsidRPr="00ED1956">
      <w:rPr>
        <w:rFonts w:ascii="Times New Roman" w:hAnsi="Times New Roman"/>
        <w:sz w:val="22"/>
      </w:rPr>
      <w:fldChar w:fldCharType="end"/>
    </w:r>
  </w:p>
  <w:p w14:paraId="4D97BBA9" w14:textId="77777777" w:rsidR="00074ADD" w:rsidRDefault="00074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285971B6" w:rsidR="00074ADD" w:rsidRPr="00E85358" w:rsidRDefault="00074ADD">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CA5C85">
      <w:rPr>
        <w:noProof/>
        <w:sz w:val="22"/>
      </w:rPr>
      <w:t>1</w:t>
    </w:r>
    <w:r w:rsidRPr="00E85358">
      <w:rPr>
        <w:sz w:val="22"/>
      </w:rPr>
      <w:fldChar w:fldCharType="end"/>
    </w:r>
  </w:p>
  <w:p w14:paraId="0503D57B" w14:textId="77777777" w:rsidR="00074ADD" w:rsidRDefault="00074A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074ADD" w:rsidRDefault="00074ADD">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074ADD" w:rsidRDefault="00074AD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1ABBC05C" w:rsidR="00074ADD" w:rsidRPr="00ED1956" w:rsidRDefault="00074ADD">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CA5C85">
      <w:rPr>
        <w:rFonts w:ascii="Times New Roman" w:hAnsi="Times New Roman"/>
        <w:noProof/>
        <w:sz w:val="20"/>
      </w:rPr>
      <w:t>278</w:t>
    </w:r>
    <w:r w:rsidRPr="00ED1956">
      <w:rPr>
        <w:rFonts w:ascii="Times New Roman" w:hAnsi="Times New Roman"/>
        <w:sz w:val="20"/>
      </w:rPr>
      <w:fldChar w:fldCharType="end"/>
    </w:r>
  </w:p>
  <w:p w14:paraId="416ED6B6" w14:textId="77777777" w:rsidR="00074ADD" w:rsidRPr="00A772B4" w:rsidRDefault="00074ADD"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72FB3" w14:textId="77777777" w:rsidR="00DE56E4" w:rsidRDefault="00DE56E4" w:rsidP="00D946DB">
      <w:pPr>
        <w:spacing w:before="0" w:after="0"/>
      </w:pPr>
      <w:r>
        <w:separator/>
      </w:r>
    </w:p>
  </w:footnote>
  <w:footnote w:type="continuationSeparator" w:id="0">
    <w:p w14:paraId="78BB5701" w14:textId="77777777" w:rsidR="00DE56E4" w:rsidRDefault="00DE56E4" w:rsidP="00D946DB">
      <w:pPr>
        <w:spacing w:before="0" w:after="0"/>
      </w:pPr>
      <w:r>
        <w:continuationSeparator/>
      </w:r>
    </w:p>
  </w:footnote>
  <w:footnote w:type="continuationNotice" w:id="1">
    <w:p w14:paraId="672FFA37" w14:textId="77777777" w:rsidR="00DE56E4" w:rsidRDefault="00DE56E4">
      <w:pPr>
        <w:spacing w:before="0" w:after="0"/>
      </w:pPr>
    </w:p>
  </w:footnote>
  <w:footnote w:id="2">
    <w:p w14:paraId="46598FF6" w14:textId="09F46216" w:rsidR="00074ADD" w:rsidRPr="005B592F" w:rsidRDefault="00074ADD"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rPr>
        <w:t>A Bizottság 241/2014/EU felhatalmazáson alapuló rendelete (2014. január 7.) az 575/2013/EU európai parlamenti és tanácsi rendeletnek az intézményekre vonatkozó tőkekövetelményekre alkalmazandó szabályozástechnikai standardok tekintetében való kiegészítéséről (HL L 74., 2014.3.14., 8. o.).</w:t>
      </w:r>
    </w:p>
  </w:footnote>
  <w:footnote w:id="3">
    <w:p w14:paraId="005D3DD6" w14:textId="2AF8ECF5" w:rsidR="00074ADD" w:rsidRPr="005B592F" w:rsidRDefault="00074ADD"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t>A Tanács 83/349/EGK hetedik irányelve (1983. június 13.) a Szerződés 54. cikke (3) bekezdésének g) pontja alapján az összevont (konszolidált) éves beszámolóról (HL L 193., 1983.7.18., 1. o.).</w:t>
      </w:r>
    </w:p>
  </w:footnote>
  <w:footnote w:id="4">
    <w:p w14:paraId="1419F291" w14:textId="2AA747D3" w:rsidR="00074ADD" w:rsidRPr="005B592F" w:rsidRDefault="00074ADD"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5">
    <w:p w14:paraId="427B6484" w14:textId="6E7B34CE" w:rsidR="00074ADD" w:rsidRPr="0002267E" w:rsidRDefault="00074ADD"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A Bizottság 1152/2014/EU felhatalmazáson alapuló rendelete (2014. június 4.) a 2013/36/EU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(HL L 309., 2014.10.30., 5. o.).</w:t>
      </w:r>
    </w:p>
  </w:footnote>
  <w:footnote w:id="6">
    <w:p w14:paraId="12CBFADF" w14:textId="07A5A3CC" w:rsidR="00074ADD" w:rsidRPr="0002267E" w:rsidRDefault="00074ADD"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(HL L 347., 2017.12.28., 35. o.).</w:t>
      </w:r>
    </w:p>
  </w:footnote>
  <w:footnote w:id="7">
    <w:p w14:paraId="3663FDAD" w14:textId="77777777" w:rsidR="00074ADD" w:rsidRPr="002409C1" w:rsidRDefault="00074ADD"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ab/>
      </w:r>
      <w:r>
        <w:rPr>
          <w:rFonts w:ascii="Times New Roman" w:hAnsi="Times New Roman"/>
          <w:sz w:val="20"/>
        </w:rPr>
        <w:t>Az önálló intézmények nem tartoznak csoporthoz, és nem tartoznak konszolidációs körbe abban az országban, ahol szavatolótőke-követelmény hatálya alá esnek.</w:t>
      </w:r>
    </w:p>
  </w:footnote>
  <w:footnote w:id="8">
    <w:p w14:paraId="3507A652" w14:textId="78897E61" w:rsidR="00074ADD" w:rsidRPr="00B828CC" w:rsidRDefault="00074ADD">
      <w:pPr>
        <w:pStyle w:val="FootnoteText"/>
      </w:pPr>
      <w:r>
        <w:rPr>
          <w:rStyle w:val="FootnoteReference"/>
        </w:rPr>
        <w:footnoteRef/>
      </w:r>
      <w:r>
        <w:t xml:space="preserve"> </w:t>
      </w:r>
      <w:r>
        <w:rPr>
          <w:rFonts w:ascii="Times New Roman" w:hAnsi="Times New Roman"/>
          <w:sz w:val="20"/>
        </w:rPr>
        <w:t>A Bizottság 525/2014/EU felhatalmazáson alapuló rendelete (2014. március 12.) az 575/2013/EU európai parlamenti és tanácsi rendeletnek a piac fogalmát meghatározó szabályozástechnikai standardok tekintetében való kiegészítéséről (HL L 148., 2014.5.20., 15. o.).</w:t>
      </w:r>
    </w:p>
  </w:footnote>
  <w:footnote w:id="9">
    <w:p w14:paraId="018474C7" w14:textId="77777777" w:rsidR="00074ADD" w:rsidRPr="00A11C6E" w:rsidRDefault="00074ADD">
      <w:pPr>
        <w:pStyle w:val="FootnoteText"/>
      </w:pPr>
      <w:r>
        <w:rPr>
          <w:rStyle w:val="FootnoteReference"/>
        </w:rPr>
        <w:footnoteRef/>
      </w:r>
      <w:r>
        <w:t xml:space="preserve"> A Bizottság 945/2014/EU végrehajtási rendelete (2014. szeptember 4.) az 575/2013/EU európai parlamenti és tanácsi rendelet szerinti releváns, megfelelően diverzifikált indexek tekintetében végrehajtás-technikai standardok megállapításáról.</w:t>
      </w:r>
    </w:p>
  </w:footnote>
  <w:footnote w:id="10">
    <w:p w14:paraId="5180B9BA" w14:textId="4DC2550F" w:rsidR="00074ADD" w:rsidRPr="00B828CC" w:rsidRDefault="00074ADD">
      <w:pPr>
        <w:pStyle w:val="FootnoteText"/>
      </w:pPr>
      <w:r>
        <w:rPr>
          <w:rStyle w:val="FootnoteReference"/>
        </w:rPr>
        <w:footnoteRef/>
      </w:r>
      <w:r>
        <w:t xml:space="preserve"> 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 w:id="11">
    <w:p w14:paraId="526200B1" w14:textId="33460A2D" w:rsidR="00074ADD" w:rsidRPr="009B688D" w:rsidRDefault="00074ADD"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ab/>
        <w:t xml:space="preserve">Az Európai Parlament és a Tanács 1606/2002/EK rendelete (2002. július 19.) a nemzetközi számviteli standardok alkalmazásáról </w:t>
      </w:r>
      <w:r>
        <w:rPr>
          <w:rStyle w:val="Emphasis"/>
          <w:i w:val="0"/>
          <w:sz w:val="20"/>
        </w:rPr>
        <w:t>(HL L 243., 2002.9.11., 1. o.)</w:t>
      </w:r>
      <w:r>
        <w:rPr>
          <w:sz w:val="20"/>
        </w:rPr>
        <w:t>.</w:t>
      </w:r>
    </w:p>
    <w:p w14:paraId="14C16FBA" w14:textId="77777777" w:rsidR="00074ADD" w:rsidRPr="0016282F" w:rsidRDefault="00074ADD" w:rsidP="0016282F">
      <w:pPr>
        <w:pStyle w:val="FootnoteText"/>
        <w:ind w:left="567" w:hanging="567"/>
      </w:pPr>
    </w:p>
  </w:footnote>
  <w:footnote w:id="12">
    <w:p w14:paraId="3B6054DF" w14:textId="77777777" w:rsidR="00074ADD" w:rsidRPr="00535792" w:rsidRDefault="00074ADD"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Az Európai Parlament és a Tanács 2013/34/EU irányelve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074ADD" w:rsidRDefault="00074ADD">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u+LAIAAFMEAAAOAAAAZHJzL2Uyb0RvYy54bWysVMtu2zAQvBfoPxC817LzMALBcuAkdVHA&#10;SILYQc40RdkC+AJJW3K/vkNKctq0p6IXerW7nOXO7Hp22ypJjsL52uiCTkZjSoTmpqz1rqCvm+WX&#10;G0p8YLpk0mhR0JPw9Hb++dOssbm4MHsjS+EIQLTPG1vQfQg2zzLP90IxPzJWaAQr4xQL+HS7rHSs&#10;AbqS2cV4PM0a40rrDBfew/vQBek84VeV4OGpqrwIRBYUbwvpdOncxjObz1i+c8zua94/g/3DKxSr&#10;NYqeoR5YYOTg6j+gVM2d8aYKI25UZqqq5iL1gG4m4w/drPfMitQLyPH2TJP/f7D88fjsSF1COyil&#10;mYJGG9EGcmdaEl2l8Bx8fb1bkBexO0jmyKsXkbfG+hzX1xYAoUU+MAa/hzPS0VZOxV80ShCHAqcz&#10;67EKh/Pq6vJmek0JR6i3gZ69X7bOh2/CKBKNgjqImrhmx5UPXeqQEmtps6ylTMJK/ZsDmNGTxZd3&#10;L4xWaLdt387WlCd040w3J97yZY2aK+bDM3MYDDSAYQ9POCppmoKa3qJkb9yPv/ljPvRClJIGg1ZQ&#10;jU2gRH7X0HF6eT2Oc5k+YLjB2A6GPqh7g+mdYJEsT2bMC3IwK2fUG7ZgEesgxDRHtYKGwbwP3cBj&#10;i7hYLFISps+ysNJryyN0pClyuGnfmLM90QEKPZphCFn+ge8uN970dnEIYD2JESnteOyZxuQmOfst&#10;i6vx63fKev8vmP8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Avnnu+LAIAAFMEAAAOAAAAAAAAAAAAAAAAAC4CAABkcnMvZTJv&#10;RG9jLnhtbFBLAQItABQABgAIAAAAIQA0gToW2gAAAAMBAAAPAAAAAAAAAAAAAAAAAIYEAABkcnMv&#10;ZG93bnJldi54bWxQSwUGAAAAAAQABADzAAAAjQUAAAAA&#10;" filled="f" stroked="f">
              <v:textbox style="mso-fit-shape-to-text:t" inset="5pt,0,0,0">
                <w:txbxContent>
                  <w:p w14:paraId="65175392" w14:textId="4AEDF1D6"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074ADD" w:rsidRDefault="00074ADD">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BaLwIAAFoEAAAOAAAAZHJzL2Uyb0RvYy54bWysVMtu2zAQvBfoPxC817KdxAgEy4GT1EUB&#10;IwkSBznTFGUJ4Askbcn9+g4py2nTnopeqOXuch8zu5rfdEqSg3C+Mbqgk9GYEqG5KRu9K+jrZvXl&#10;mhIfmC6ZNFoU9Cg8vVl8/jRvbS6mpjayFI4giPZ5awtah2DzLPO8For5kbFCw1gZp1jA1e2y0rEW&#10;0ZXMpuPxLGuNK60zXHgP7X1vpIsUv6oED49V5UUgsqCoLaTTpXMbz2wxZ/nOMVs3/FQG+4cqFGs0&#10;kp5D3bPAyN41f4RSDXfGmyqMuFGZqaqGi9QDupmMP3TzUjMrUi8Ax9szTP7/heUPhydHmrKg0wkl&#10;milwtBFdILemI1FVCs+B19fbJXkWu71kjrx6EXFrrc/x/MUiQOjgD/4HvYcywtFVTsUvGiWwg4Hj&#10;GfWYhUN5eXlxPbuihMN0khE9e39snQ/fhFEkCgV1IDVhzQ5rH3rXwSXm0mbVSJmIlfo3BWJGTRYr&#10;7yuMUui2XULgXP3WlEc05Uw/Lt7yVYPUa+bDE3OYD/SBmQ+POCpp2oKak0RJbdyPv+mjP2iDlZIW&#10;81ZQjYWgRH7XoHN2cTWO45kuENwgbAdB79WdwRCDEtSTxOgX5CBWzqg3LMMy5oGJaY5sBQ2DeBf6&#10;uccycbFcJicMoWVhrV8sj6EjWhHKTffGnD3hHUDUgxlmkeUfYO9940tvl/sA8BMnEdkexxPgGODE&#10;6mnZ4ob8ek9e77+ExU8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An49BaLwIAAFoEAAAOAAAAAAAAAAAAAAAAAC4CAABkcnMv&#10;ZTJvRG9jLnhtbFBLAQItABQABgAIAAAAIQA0gToW2gAAAAMBAAAPAAAAAAAAAAAAAAAAAIkEAABk&#10;cnMvZG93bnJldi54bWxQSwUGAAAAAAQABADzAAAAkAUAAAAA&#10;" filled="f" stroked="f">
              <v:textbox style="mso-fit-shape-to-text:t" inset="5pt,0,0,0">
                <w:txbxContent>
                  <w:p w14:paraId="5E3DFA35" w14:textId="0AB4BE24"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074ADD" w:rsidRDefault="00074ADD">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2F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YfAU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rxQ9hT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074ADD" w:rsidRDefault="00074ADD">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uuMAIAAFoEAAAOAAAAZHJzL2Uyb0RvYy54bWysVE1v2zAMvQ/YfxB0X5yPNiiMOEXaLsOA&#10;oC2aFD0rshwbkCVBUmJnv35Psp1u3U7DLjJFUo/kI+nFbVtLchLWVVpldDIaUyIU13mlDhl93a2/&#10;3FDiPFM5k1qJjJ6Fo7fLz58WjUnFVJda5sISgCiXNiajpfcmTRLHS1EzN9JGKBgLbWvmcbWHJLes&#10;AXotk+l4PE8abXNjNRfOQfvQGeky4heF4P6pKJzwRGYUufl42njuw5ksFyw9WGbKivdpsH/IomaV&#10;QtAL1APzjBxt9QdUXXGrnS78iOs60UVRcRFrQDWT8YdqtiUzItYCcpy50OT+Hyx/PD1bUuUZnYIe&#10;xWr0aCdaT+50S4IqF46Dr693K/IiDkfJLHl1IvDWGJfi+dYAwLfwR/8HvYMy0NEWtg5fFEpgB975&#10;wnqIwqG8uprdzK8p4TD1MtCT98fGOv9N6JoEIaMWTY1cs9PG+c51cAmxlF5XUsbGSvWbAphBk4TM&#10;uwyD5Nt9GxmYDdnvdX5GUVZ34+IMX1cIvWHOPzOL+UAdmHn/hKOQusmo7iVKSm1//E0f/NE2WClp&#10;MG8ZVVgISuR3hXbOZ9djgPp4gWAHYT8I6ljfawzxBPtkeBSDn5eDWFhdv2EZViEOTExxRMuoH8R7&#10;3809lomL1So6YQgN8xu1NTxAB7YClbv2jVnT8+3RqEc9zCJLP9De+YaXzqyOHuTHngRmOx57wjHA&#10;sav9soUN+fUevd5/Ccuf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8IALrjACAABaBAAADgAAAAAAAAAAAAAAAAAuAgAAZHJz&#10;L2Uyb0RvYy54bWxQSwECLQAUAAYACAAAACEANIE6FtoAAAADAQAADwAAAAAAAAAAAAAAAACKBAAA&#10;ZHJzL2Rvd25yZXYueG1sUEsFBgAAAAAEAAQA8wAAAJEFAAAAAA==&#10;" filled="f" stroked="f">
              <v:textbox style="mso-fit-shape-to-text:t" inset="5pt,0,0,0">
                <w:txbxContent>
                  <w:p w14:paraId="338E9168" w14:textId="7F6D1353" w:rsidR="00074ADD" w:rsidRPr="003B6094" w:rsidRDefault="00074AD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1B1C22"/>
    <w:multiLevelType w:val="hybridMultilevel"/>
    <w:tmpl w:val="17D4898E"/>
    <w:lvl w:ilvl="0" w:tplc="236EA62C">
      <w:start w:val="1"/>
      <w:numFmt w:val="decimal"/>
      <w:lvlText w:val="%1."/>
      <w:lvlJc w:val="left"/>
      <w:pPr>
        <w:ind w:left="1353" w:hanging="360"/>
      </w:pPr>
      <w:rPr>
        <w:rFonts w:cs="Times New Roman"/>
      </w:rPr>
    </w:lvl>
    <w:lvl w:ilvl="1" w:tplc="08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9"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5"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F7D7F02"/>
    <w:multiLevelType w:val="multilevel"/>
    <w:tmpl w:val="0407001D"/>
    <w:numStyleLink w:val="Formatvorlage3"/>
  </w:abstractNum>
  <w:abstractNum w:abstractNumId="2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5"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51"/>
  </w:num>
  <w:num w:numId="4">
    <w:abstractNumId w:val="31"/>
  </w:num>
  <w:num w:numId="5">
    <w:abstractNumId w:val="44"/>
  </w:num>
  <w:num w:numId="6">
    <w:abstractNumId w:val="26"/>
  </w:num>
  <w:num w:numId="7">
    <w:abstractNumId w:val="50"/>
  </w:num>
  <w:num w:numId="8">
    <w:abstractNumId w:val="13"/>
  </w:num>
  <w:num w:numId="9">
    <w:abstractNumId w:val="42"/>
  </w:num>
  <w:num w:numId="10">
    <w:abstractNumId w:val="22"/>
  </w:num>
  <w:num w:numId="11">
    <w:abstractNumId w:val="33"/>
  </w:num>
  <w:num w:numId="12">
    <w:abstractNumId w:val="16"/>
  </w:num>
  <w:num w:numId="13">
    <w:abstractNumId w:val="43"/>
  </w:num>
  <w:num w:numId="14">
    <w:abstractNumId w:val="38"/>
  </w:num>
  <w:num w:numId="15">
    <w:abstractNumId w:val="20"/>
  </w:num>
  <w:num w:numId="16">
    <w:abstractNumId w:val="32"/>
  </w:num>
  <w:num w:numId="17">
    <w:abstractNumId w:val="19"/>
  </w:num>
  <w:num w:numId="18">
    <w:abstractNumId w:val="45"/>
  </w:num>
  <w:num w:numId="19">
    <w:abstractNumId w:val="8"/>
  </w:num>
  <w:num w:numId="20">
    <w:abstractNumId w:val="11"/>
  </w:num>
  <w:num w:numId="21">
    <w:abstractNumId w:val="21"/>
  </w:num>
  <w:num w:numId="22">
    <w:abstractNumId w:val="29"/>
  </w:num>
  <w:num w:numId="23">
    <w:abstractNumId w:val="37"/>
  </w:num>
  <w:num w:numId="24">
    <w:abstractNumId w:val="46"/>
  </w:num>
  <w:num w:numId="25">
    <w:abstractNumId w:val="12"/>
  </w:num>
  <w:num w:numId="26">
    <w:abstractNumId w:val="27"/>
  </w:num>
  <w:num w:numId="27">
    <w:abstractNumId w:val="35"/>
  </w:num>
  <w:num w:numId="28">
    <w:abstractNumId w:val="9"/>
  </w:num>
  <w:num w:numId="29">
    <w:abstractNumId w:val="10"/>
  </w:num>
  <w:num w:numId="30">
    <w:abstractNumId w:val="40"/>
  </w:num>
  <w:num w:numId="31">
    <w:abstractNumId w:val="53"/>
  </w:num>
  <w:num w:numId="32">
    <w:abstractNumId w:val="15"/>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54"/>
  </w:num>
  <w:num w:numId="36">
    <w:abstractNumId w:val="4"/>
  </w:num>
  <w:num w:numId="37">
    <w:abstractNumId w:val="48"/>
  </w:num>
  <w:num w:numId="38">
    <w:abstractNumId w:val="52"/>
  </w:num>
  <w:num w:numId="39">
    <w:abstractNumId w:val="28"/>
  </w:num>
  <w:num w:numId="40">
    <w:abstractNumId w:val="2"/>
  </w:num>
  <w:num w:numId="41">
    <w:abstractNumId w:val="23"/>
  </w:num>
  <w:num w:numId="42">
    <w:abstractNumId w:val="49"/>
  </w:num>
  <w:num w:numId="43">
    <w:abstractNumId w:val="1"/>
  </w:num>
  <w:num w:numId="44">
    <w:abstractNumId w:val="47"/>
  </w:num>
  <w:num w:numId="45">
    <w:abstractNumId w:val="34"/>
  </w:num>
  <w:num w:numId="46">
    <w:abstractNumId w:val="0"/>
  </w:num>
  <w:num w:numId="47">
    <w:abstractNumId w:val="17"/>
  </w:num>
  <w:num w:numId="48">
    <w:abstractNumId w:val="30"/>
  </w:num>
  <w:num w:numId="49">
    <w:abstractNumId w:val="24"/>
  </w:num>
  <w:num w:numId="50">
    <w:abstractNumId w:val="43"/>
  </w:num>
  <w:num w:numId="51">
    <w:abstractNumId w:val="20"/>
  </w:num>
  <w:num w:numId="52">
    <w:abstractNumId w:val="6"/>
  </w:num>
  <w:num w:numId="53">
    <w:abstractNumId w:val="36"/>
  </w:num>
  <w:num w:numId="54">
    <w:abstractNumId w:val="25"/>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num>
  <w:num w:numId="57">
    <w:abstractNumId w:val="14"/>
  </w:num>
  <w:num w:numId="58">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4ADD"/>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22E2"/>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142"/>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4BE0"/>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5C85"/>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677D7"/>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6E4"/>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4AD1"/>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3C07D-B463-4519-B22C-24282752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293</Pages>
  <Words>103848</Words>
  <Characters>575323</Characters>
  <Application>Microsoft Office Word</Application>
  <DocSecurity>0</DocSecurity>
  <Lines>13698</Lines>
  <Paragraphs>7225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671946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5</cp:revision>
  <dcterms:created xsi:type="dcterms:W3CDTF">2022-10-04T08:37:00Z</dcterms:created>
  <dcterms:modified xsi:type="dcterms:W3CDTF">2022-10-07T13:10:00Z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