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CS</w:t>
      </w:r>
      <w:r>
        <w:t xml:space="preserve"> </w:t>
      </w:r>
      <w:r>
        <w:br/>
      </w:r>
      <w:r>
        <w:rPr>
          <w:rFonts w:ascii="Times New Roman" w:hAnsi="Times New Roman"/>
          <w:b/>
          <w:sz w:val="24"/>
        </w:rPr>
        <w:t>PŘÍLOHA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„PŘÍLOHA XIX</w:t>
      </w:r>
    </w:p>
    <w:p w14:paraId="1796FE74" w14:textId="29CC78AB" w:rsidR="007F5684" w:rsidRPr="00E37FBE" w:rsidRDefault="007F5684" w:rsidP="00F30436">
      <w:pPr>
        <w:jc w:val="center"/>
        <w:rPr>
          <w:b/>
          <w:szCs w:val="20"/>
        </w:rPr>
      </w:pPr>
      <w:r>
        <w:rPr>
          <w:b/>
        </w:rPr>
        <w:t>POKYNY K VYPLNĚNÍ ŠABLONY PRO DODATEČNÉ MONITOROVACÍ NÁSTROJE PŘÍLOHY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Dodatečné monitorovací nástroje</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Obecné pokyny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[prázdné] </w:t>
      </w:r>
    </w:p>
    <w:p w14:paraId="39998106" w14:textId="1169C0B2" w:rsidR="00A344AA" w:rsidRPr="00E37FBE" w:rsidRDefault="00A344AA" w:rsidP="00CC3091">
      <w:pPr>
        <w:pStyle w:val="InstructionsText2"/>
        <w:numPr>
          <w:ilvl w:val="0"/>
          <w:numId w:val="4"/>
        </w:numPr>
        <w:rPr>
          <w:u w:val="none"/>
        </w:rPr>
      </w:pPr>
      <w:r>
        <w:rPr>
          <w:u w:val="none"/>
        </w:rPr>
        <w:t>Celkovým financováním jsou veškeré finanční závazky kromě derivátů a krátkých pozic.</w:t>
      </w:r>
    </w:p>
    <w:p w14:paraId="50F797C6" w14:textId="18A1D5E6" w:rsidR="00A344AA" w:rsidRPr="00E37FBE" w:rsidRDefault="00A344AA" w:rsidP="00927DCB">
      <w:pPr>
        <w:pStyle w:val="InstructionsText2"/>
        <w:numPr>
          <w:ilvl w:val="0"/>
          <w:numId w:val="4"/>
        </w:numPr>
        <w:rPr>
          <w:u w:val="none"/>
        </w:rPr>
      </w:pPr>
      <w:r>
        <w:rPr>
          <w:u w:val="none"/>
        </w:rPr>
        <w:t xml:space="preserve">Financování jakéhokoli typu s otevřenou splatností včetně vkladů na viděnou se považuje za financování se splatností do druhého dne. </w:t>
      </w:r>
    </w:p>
    <w:p w14:paraId="4586638B" w14:textId="7C96029D" w:rsidR="00A344AA" w:rsidRPr="00E37FBE" w:rsidRDefault="00A344AA" w:rsidP="00927DCB">
      <w:pPr>
        <w:pStyle w:val="InstructionsText2"/>
        <w:numPr>
          <w:ilvl w:val="0"/>
          <w:numId w:val="4"/>
        </w:numPr>
        <w:rPr>
          <w:u w:val="none"/>
        </w:rPr>
      </w:pPr>
      <w:r>
        <w:rPr>
          <w:u w:val="none"/>
        </w:rPr>
        <w:t xml:space="preserve">Původní splatnost představuje doba mezi datem vzniku a datem splatnosti financování. Datum splatnosti financování se stanoví v souladu s bodem 12 přílohy XXIII. To znamená, že v případě možnosti volby, třeba v případě bodu 12 přílohy XXIII, může být původní splatnost položky financování kratší než doba, která uplynula od jejího vzniku. </w:t>
      </w:r>
    </w:p>
    <w:p w14:paraId="4FA59274" w14:textId="21EF3C98" w:rsidR="00A344AA" w:rsidRPr="00E37FBE" w:rsidRDefault="00A344AA" w:rsidP="00927DCB">
      <w:pPr>
        <w:pStyle w:val="InstructionsText2"/>
        <w:numPr>
          <w:ilvl w:val="0"/>
          <w:numId w:val="4"/>
        </w:numPr>
        <w:rPr>
          <w:u w:val="none"/>
        </w:rPr>
      </w:pPr>
      <w:r>
        <w:rPr>
          <w:u w:val="none"/>
        </w:rPr>
        <w:t>Zbytkovou splatnost představuje doba mezi koncem vykazovaného období a datem splatnosti financování. Datum splatnosti financování se stanoví v souladu s bodem 12 přílohy XXIII.</w:t>
      </w:r>
    </w:p>
    <w:p w14:paraId="1DF04682" w14:textId="743926F7" w:rsidR="007462FE" w:rsidRPr="00E37FBE" w:rsidRDefault="007462FE" w:rsidP="00927DCB">
      <w:pPr>
        <w:pStyle w:val="InstructionsText2"/>
        <w:numPr>
          <w:ilvl w:val="0"/>
          <w:numId w:val="4"/>
        </w:numPr>
        <w:rPr>
          <w:u w:val="none"/>
        </w:rPr>
      </w:pPr>
      <w:r>
        <w:rPr>
          <w:u w:val="none"/>
        </w:rPr>
        <w:t>Pro účely výpočtu původní nebo zbytkové vážené průměrné splatnosti se vklady se splatností do druhého dne nebo financování jakéhokoli typu s otevřenou splatností považují za vklady s jednodenní splatností.</w:t>
      </w:r>
    </w:p>
    <w:p w14:paraId="25CD9EF4" w14:textId="173EC59C" w:rsidR="007462FE" w:rsidRPr="00E37FBE" w:rsidRDefault="007462FE" w:rsidP="00927DCB">
      <w:pPr>
        <w:pStyle w:val="InstructionsText2"/>
        <w:numPr>
          <w:ilvl w:val="0"/>
          <w:numId w:val="4"/>
        </w:numPr>
        <w:rPr>
          <w:u w:val="none"/>
        </w:rPr>
      </w:pPr>
      <w:r>
        <w:rPr>
          <w:u w:val="none"/>
        </w:rPr>
        <w:t>Pro účely výpočtu původní a zbytkové splatnosti, pokud se jedná o financování s výpovědní lhůtou nebo s doložkou o zrušení nebo o předčasném odstoupení u protistrany instituce, se předpokládá odstoupení k prvnímu možnému datu.</w:t>
      </w:r>
    </w:p>
    <w:p w14:paraId="2B81E2EC" w14:textId="4651096B" w:rsidR="00A344AA" w:rsidRPr="00E37FBE" w:rsidRDefault="00A344AA" w:rsidP="00927DCB">
      <w:pPr>
        <w:pStyle w:val="InstructionsText2"/>
        <w:numPr>
          <w:ilvl w:val="0"/>
          <w:numId w:val="4"/>
        </w:numPr>
        <w:rPr>
          <w:u w:val="none"/>
        </w:rPr>
      </w:pPr>
      <w:r>
        <w:rPr>
          <w:u w:val="none"/>
        </w:rPr>
        <w:t>U časově neomezených závazků s výjimkou případů spadajících pod možnost volby podle bodu 12 přílohy XXIII se předpokládá pevná dvacetiletá původní i zbytková splatnost.</w:t>
      </w:r>
    </w:p>
    <w:p w14:paraId="30EB5133" w14:textId="4F98CC63" w:rsidR="00A344AA" w:rsidRPr="00E37FBE" w:rsidRDefault="00A344AA" w:rsidP="00927DCB">
      <w:pPr>
        <w:pStyle w:val="InstructionsText2"/>
        <w:numPr>
          <w:ilvl w:val="0"/>
          <w:numId w:val="4"/>
        </w:numPr>
        <w:rPr>
          <w:u w:val="none"/>
        </w:rPr>
      </w:pPr>
      <w:r>
        <w:rPr>
          <w:u w:val="none"/>
        </w:rPr>
        <w:t>Pro výpočet procentní prahové hodnoty uvedené v šabloně C 67.00 podle významných měn použijí instituce prahovou hodnotu ve výši 1 % celkových závazků ve všech měnách.</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protistrany (C 67.00)</w:t>
      </w:r>
    </w:p>
    <w:p w14:paraId="322C1A75" w14:textId="2DE3271D" w:rsidR="00A344AA" w:rsidRPr="00E37FBE" w:rsidRDefault="00490B62" w:rsidP="00CC3091">
      <w:pPr>
        <w:pStyle w:val="InstructionsText2"/>
        <w:numPr>
          <w:ilvl w:val="0"/>
          <w:numId w:val="6"/>
        </w:numPr>
        <w:rPr>
          <w:u w:val="none"/>
        </w:rPr>
      </w:pPr>
      <w:r>
        <w:rPr>
          <w:u w:val="none"/>
        </w:rPr>
        <w:t>V zájmu shromáždění informací o vykazujících institucích týkajících se koncentrace financování podle protistrany v šabloně C 67.00 použijí instituce pokyny v tomto oddíle.</w:t>
      </w:r>
    </w:p>
    <w:p w14:paraId="52091F90" w14:textId="0B7A17FD" w:rsidR="00A344AA" w:rsidRPr="00E37FBE" w:rsidRDefault="00A344AA" w:rsidP="00CC3091">
      <w:pPr>
        <w:pStyle w:val="InstructionsText2"/>
        <w:numPr>
          <w:ilvl w:val="0"/>
          <w:numId w:val="6"/>
        </w:numPr>
        <w:rPr>
          <w:u w:val="none"/>
        </w:rPr>
      </w:pPr>
      <w:r>
        <w:rPr>
          <w:u w:val="none"/>
        </w:rPr>
        <w:t>Instituce vykážou deset největších protistran nebo ekonomicky spjatou skupinu klientů ve smyslu čl. 4 odst. 1 bodu 39 nařízení (EU) č. 575/2013, přesáhne-li objem financování získaný od každé z protistran nebo od ekonomicky spjaté skupiny klientů hranici 1 % celkového objemu závazků v řádcích 020 až 110 oddílu 1 této šablony. Protistrana vykázaná v položce 1.01 bude představovat největší částku financování získaného od jedné protistrany nebo od ekonomicky spjaté skupiny klientů, která k datu vykazování přesahuje 1 % prahovou hodnotu. Položka 1.02 bude představovat druhou největší částku financování nad úrovní 1 % prahové hodnoty a obdobně je tomu s ostatními položkami.</w:t>
      </w:r>
    </w:p>
    <w:p w14:paraId="430CAED4" w14:textId="50CE1DA6" w:rsidR="00A344AA" w:rsidRPr="00E37FBE" w:rsidRDefault="00A344AA" w:rsidP="00CC3091">
      <w:pPr>
        <w:pStyle w:val="InstructionsText2"/>
        <w:numPr>
          <w:ilvl w:val="0"/>
          <w:numId w:val="6"/>
        </w:numPr>
        <w:rPr>
          <w:u w:val="none"/>
        </w:rPr>
      </w:pPr>
      <w:r>
        <w:rPr>
          <w:u w:val="none"/>
        </w:rPr>
        <w:t>Pokud protistrana náleží k několika ekonomicky spjatým skupinám klientů, vykazuje se pouze jednou ve skupině s nejvyšší</w:t>
      </w:r>
      <w:r w:rsidR="008506D7">
        <w:rPr>
          <w:u w:val="none"/>
        </w:rPr>
        <w:t>m</w:t>
      </w:r>
      <w:r>
        <w:rPr>
          <w:u w:val="none"/>
        </w:rPr>
        <w:t xml:space="preserve"> objemem financování. </w:t>
      </w:r>
    </w:p>
    <w:p w14:paraId="589BDAD9" w14:textId="65F70951" w:rsidR="00A344AA" w:rsidRPr="00E37FBE" w:rsidRDefault="00A344AA" w:rsidP="00381AA0">
      <w:pPr>
        <w:pStyle w:val="InstructionsText2"/>
        <w:numPr>
          <w:ilvl w:val="0"/>
          <w:numId w:val="6"/>
        </w:numPr>
        <w:rPr>
          <w:u w:val="none"/>
        </w:rPr>
      </w:pPr>
      <w:r>
        <w:rPr>
          <w:u w:val="none"/>
        </w:rPr>
        <w:lastRenderedPageBreak/>
        <w:t>Celkový objem veškerého ostatního financování vykážou instituce v oddíle 2.</w:t>
      </w:r>
    </w:p>
    <w:p w14:paraId="6E279CE2" w14:textId="1CC30DEB" w:rsidR="00A344AA" w:rsidRPr="00E37FBE" w:rsidRDefault="00A344AA" w:rsidP="00927DCB">
      <w:pPr>
        <w:pStyle w:val="InstructionsText2"/>
        <w:numPr>
          <w:ilvl w:val="0"/>
          <w:numId w:val="6"/>
        </w:numPr>
        <w:rPr>
          <w:u w:val="none"/>
        </w:rPr>
      </w:pPr>
      <w:r>
        <w:rPr>
          <w:u w:val="none"/>
        </w:rPr>
        <w:t>Součet oddílu 1 (deset největších protistran) a oddílu 2 (veškeré ostatní financování) se rovná celkovému financování instituce, které je uvedeno v její rozvaze vykázané na základě rámce pro finanční vykazování (FINREP – představuje finanční závazky upravené o vynětí derivátů a krátkých pozic v souladu s bodem 2 oddílu 1.1) za ta vykazovaná období, pro něž jsou k dispozici obě zprávy (např. Finrep za první čtvrtletí a C 67.00 březen / první čtvrtletí).</w:t>
      </w:r>
    </w:p>
    <w:p w14:paraId="00BA7315" w14:textId="5EBAC99F" w:rsidR="00A344AA" w:rsidRPr="00E37FBE" w:rsidRDefault="00A344AA" w:rsidP="00927DCB">
      <w:pPr>
        <w:pStyle w:val="InstructionsText2"/>
        <w:numPr>
          <w:ilvl w:val="0"/>
          <w:numId w:val="6"/>
        </w:numPr>
        <w:rPr>
          <w:u w:val="none"/>
        </w:rPr>
      </w:pPr>
      <w:r>
        <w:rPr>
          <w:u w:val="none"/>
        </w:rPr>
        <w:t>U každé protistrany vykážou instituce všechny sloupce 0010 až 0080.</w:t>
      </w:r>
    </w:p>
    <w:p w14:paraId="3425ECF0" w14:textId="65ED6564" w:rsidR="00A344AA" w:rsidRPr="00E37FBE" w:rsidRDefault="00A344AA" w:rsidP="00927DCB">
      <w:pPr>
        <w:pStyle w:val="InstructionsText2"/>
        <w:numPr>
          <w:ilvl w:val="0"/>
          <w:numId w:val="6"/>
        </w:numPr>
        <w:rPr>
          <w:u w:val="none"/>
        </w:rPr>
      </w:pPr>
      <w:r>
        <w:rPr>
          <w:u w:val="none"/>
        </w:rPr>
        <w:t>Obdrží-li instituce prostředky na financování v rámci více než jednoho druhu produktu, vykáže jako druh ten produkt, v rámci něhož obdržela největší podíl financování. Při určování totožnosti faktického držitele cenných papírů se lze řídit zásadou vynaložení nejvyššího úsilí. Má-li instituce informace týkající se držitele cenných papírů z titulu své úlohy jakožto spravující banky, vykáže jejich objem v rámci vykazování koncentrace protistran. Nejsou-li informace o držiteli cenných papírů k dispozici, nemusí být odpovídající objem vykazován.</w:t>
      </w:r>
    </w:p>
    <w:p w14:paraId="2DFF75CD" w14:textId="77777777" w:rsidR="00A344AA" w:rsidRPr="00E37FBE" w:rsidRDefault="00A344AA" w:rsidP="00927DCB">
      <w:pPr>
        <w:pStyle w:val="InstructionsText2"/>
        <w:numPr>
          <w:ilvl w:val="0"/>
          <w:numId w:val="6"/>
        </w:numPr>
        <w:rPr>
          <w:u w:val="none"/>
        </w:rPr>
      </w:pPr>
      <w:r>
        <w:rPr>
          <w:u w:val="none"/>
        </w:rPr>
        <w:t>Pokyny týkající se konkrétních sloupců:</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Sloupec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Odkazy na právní předpisy a pokyny</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Název protistrany</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Název každé protistrany, která poskytla financování přesahující 1 % celkového objemu závazků, se vykáže ve sloupci 0010 v sestupném pořadí, tzn. podle pořadí daného objemem poskytnutého financování.</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Vykáže se název protistrany bez ohledu na to, zda se jedná o právnickou, nebo fyzickou osobu. Je-li protistrana právnickou osobou, vykázaným názvem protistrany musí být úplný název právnické osoby, od níž pochází financování, včetně případných odkazů na druh společnosti v souladu s vnitrostátním právem obchodních společností.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090A499" w:rsidR="00E8757D" w:rsidRPr="00E37FBE" w:rsidRDefault="00E8757D" w:rsidP="00490B62">
            <w:pPr>
              <w:spacing w:before="0" w:after="0"/>
              <w:rPr>
                <w:rFonts w:ascii="Times New Roman" w:hAnsi="Times New Roman"/>
                <w:szCs w:val="20"/>
              </w:rPr>
            </w:pPr>
            <w:r>
              <w:rPr>
                <w:rFonts w:ascii="Times New Roman" w:hAnsi="Times New Roman"/>
              </w:rPr>
              <w:t xml:space="preserve">V případech, kdy ekonomicky spjatá skupina klientů nemá mateřský podnik, je vykazovanou protistranou jednotlivý subjekt, který instituce považuje za nejvýznamnější subjekt v ekonomicky spjaté skupině klientů. V ostatních případech je vykazovanou protistranou jednotlivá protistrana.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Kód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Tento kód je identifikátorem řádku a je pro každou protistranu jedinečný. V případě institucí a pojišťoven se použije identifikační kód právnické osoby (kód LEI.) U jiných subjektů se použije kód LEI, nebo případně vnitrostátní kód, není-li kód LEI k dispozici. Kód je jedinečný a používá se trvale a ve všech šablonách konzistentně. V poli pro kód musí být vždy nějaká hodnota.</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Typ kódu</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Instituce určí typ kódu uvedeného ve sloupci 0015 jako „LEI“ nebo „jiný než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Typ kódu se uvádí vždy.</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Vnitrostátní kód</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Instituce mohou doplňkově uvést vnitrostátní kód, pokud ve sloupci „Kód“ uvedly jako identifikátor kód LEI.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Odvětví protistrany</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Každé protistraně bude přiděleno jedno odvětví na základě následujících tříd hospodářských odvětví dle [FINREP] (část 1 přílohy V tohoto prováděcího nařízení):</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centrální banky; ii) vládní instituce; iii) úvěrové instituce; iv) ostatní finanční podniky; v) nefinanční podniky; vi) domácnosti.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 ekonomicky spjatých skupin klientů se odvětví nevykazuje.</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Sídlo protistrany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Použije se kód ISO 3166-1-alfa-2 země registrace protistrany, včetně pseudo-ISO kódů pro mezinárodní organizace,</w:t>
            </w:r>
            <w:r>
              <w:rPr>
                <w:u w:val="none"/>
              </w:rPr>
              <w:t xml:space="preserve"> které jsou k dispozici v nejnovějším vydání příručky Eurostatu „Balance of Payments Vademecum“.</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U ekonomicky spjatých skupin klientů se země nevykazuje.</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Druh produktu</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U protistran vykázaných ve sloupci 0010 se uvede druh produktu odpovídající vydanému produktu, v jehož rámci bylo financování přijato (nebo v případě kombinace různých druhů produktů druh produktu, v jehož rámci byl přijat největší podíl financování), a to za použití následujících tučně vytištěných kódů:</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(nezajištěné velkoobchodní financování získané od finančních zákazníků včetně mezibankovních peněžních prostředků)</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(nezajištěné velkoobchodní financování získané od nefinančních zákazníků)</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(financování získané na základě rep ve smyslu čl. 4 odst. 82 bodu 1 nařízení (EU) č.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(financování získané z emise krytých dluhopisů ve smyslu čl. 129 odst. 4 nebo 5 nařízení (EU) č. 575/2013 nebo ve smyslu čl. 52 odst. 4 směrnice 2009/65/ES)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(financování získané z emise cenných papírů zajištěných aktivy včetně obchodních cenných papírů zajištěných aktivy)</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(financování centrální bankou v souvislosti s operacemi měnové politiky)</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(nezajištěné velkoobchodní financování získané od protistran ve skupině)</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(zajištěné velkoobchodní financování získané od protistran ve skupině)</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(jiné zajištěné velkoobchodní financování)</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(jiné produkty financování, např. retailové financování)</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Přijatá částka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Ve sloupci 0060 se vykáže celková částka financování obdrženého od protistran vykázaných ve sloupci 0010, přičemž instituce zde vykáží účetní hodnoty.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Vážený průměr původní splatnosti</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U částky financování, která byla vykázána ve sloupci 0060, získaného od protistrany vykázané ve sloupci 0010 se k tomuto financování vykáže ve sloupci 0070 vážený průměr původní splatnosti (v dnech).</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V případě časově neomezených závazků instituce předpokládají pevnou dvacetiletou splatnost a u vkladů splatných na požádání jednodenní splatnost.</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Vážený průměr zbytkové splatnosti</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U částky financování, která byla vykázána ve sloupci 0060, získaného od protistrany vykázané ve sloupci 0010 se k tomuto financování vykáže ve sloupci 0080 vážený průměr zbytkové splatnosti (v dnech).</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Vážený průměr zbytkové splatnosti se vypočítá jako průměrná splatnost (ve zbývajících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V případě časově neomezených závazků instituce předpokládají pevnou dvacetiletou splatnost a u vkladů splatných na požádání jednodenní splatnost.</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druhu produktu (C 68.00)</w:t>
      </w:r>
    </w:p>
    <w:p w14:paraId="5B6DFC15" w14:textId="3E2FC327" w:rsidR="00A344AA" w:rsidRPr="00E37FBE" w:rsidRDefault="00A344AA" w:rsidP="00CC3091">
      <w:pPr>
        <w:pStyle w:val="InstructionsText2"/>
        <w:numPr>
          <w:ilvl w:val="0"/>
          <w:numId w:val="13"/>
        </w:numPr>
        <w:rPr>
          <w:u w:val="none"/>
        </w:rPr>
      </w:pPr>
      <w:r>
        <w:rPr>
          <w:u w:val="none"/>
        </w:rPr>
        <w:t>V této šabloně se od vykazujících institucí shromažďují informace o koncentraci financování podle druhu produktu, rozepsané do typů financování podle následujících pokynů pro jednotlivé řádky: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Řádek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Odkazy na právní předpisy a pokyny</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Retailové financování</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Retailové vklady ve smyslu čl. 411 bodu 2 nařízení (EU) 575/2013 a retailové dluhopisy ve smyslu čl. 28 odst. 6 nařízení Komise v přenesené pravomoci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z toho vklady na viděnou;</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Z retailového financování v řádku 0010 vklady na viděnou.</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z toho jiné termínované vklady než vyplatitelné během následujících 30 dnů;</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Z retailového financování v řádku 0010 jiné termínované vklady než vyplatitelné během následujících 30 dnů.</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z toho termínované vklady vyplatitelné během následujících 30 dnů;</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Z retailového financování v řádku 0010 termínované vklady vyplatitelné během následujících 30 dnů.</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Spořicí účty</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Z retailového financování v řádku 0010 spořicí účty s některým z následujících znaků:</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s výpovědní lhůtou pro výběr delší než 30 dnů</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bez výpovědní lhůty pro výběr delší než 30 dnů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Tento řádek se nevyplňuje.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s výpovědní lhůtou pro výběr delší než 30 dnů</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Z retailového financování v řádku 0010 spořicí účty s výpovědní lhůtou pro výběr delší než 30 dnů</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bez výpovědní lhůty pro výběr delší než 30 dnů</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Z retailového financování v řádku 0010 spořicí účty bez výpovědní lhůty pro výběr delší než 30 dnů.</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Velkoobchodní financování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Veškeré jiné protistrany než u retailových vkladů ve smyslu čl. 411 bodu 2 nařízení (EU)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Tento řádek se nevyplňuje.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Nezajištěné velkoobchodní financování;</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Veškeré jiné protistrany než u retailových vkladů ve smyslu čl. 411 bodu 2 nařízení (EU) 575/2013, kde je financování nezajištěné</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z toho úvěry a vklady od finančních zákazníků;</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Z financování v řádku 0110 úvěry a vklady od finančních zákazníků.</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Financování od centrálních bank je z tohoto řádku vyloučeno.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z toho úvěry a vklady od nefinančních zákazníků;</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Z financování v řádku 0110 úvěry a vklady od nefinančních zákazníků.</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Financování od centrálních bank je z tohoto řádku vyloučeno.</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z toho úvěry a vklady od subjektů v rámci skupiny;</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Z financování v řádku 0110 úvěry a vklady od subjektů v rámci skupiny, pokud je protistranou mateřská nebo dceřiná instituce nebo jiná dceřiná společnost téže mateřské společnosti nebo pokud je protistrana spjata s úvěrovou institucí vztahem ve smyslu čl. 22 odst. 7 směrnice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Velkoobchodní financování od subjektů uvnitř skupiny se vykazuje pouze na individuálním nebo subkonsolidovaném základě.</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Zajištěné velkoobchodní financování: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Veškeré jiné protistrany než u retailových vkladů ve smyslu čl. 411 bodu 2 nařízení (EU) 575/2013, kde je financování zajištěné.</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z toho obchody zajišťující financování (securities financing transactions, SFT)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Z financování v řádku 0150 financování získané na základě rep ve smyslu čl. 4 odst. 82 bodu 1 nařízení (EU) č.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z toho emise krytých dluhopisů;</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Z financování v řádku 0150 financování získané z emise krytých dluhopisů ve smyslu čl. 129 odst. 4 nebo 5 nařízení (EU) č. 575/2013 nebo ve smyslu čl. 52 odst. 4 směrnice 2009/65/ES.</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z toho emise cenných papírů zajištěných aktivy;</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Z financování v řádku 0150 financování získané z emise cenných papírů zajištěných aktivy včetně obchodních cenných papírů zajištěných aktivy.</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z toho finanční závazky kromě derivátů a krátkých pozic od subjektů uvnitř skupiny;</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Z financování v řádku 0150 financování získané od subjektů v rámci skupiny, pokud je protistranou mateřská nebo dceřiná instituce nebo jiná dceřiná společnost téže mateřské společnosti nebo pokud je protistrana spjata s úvěrovou institucí vztahem ve smyslu čl. 22 odst. 7 směrnice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Velkoobchodní financování od subjektů uvnitř skupiny se vykazuje pouze na individuálním nebo subkonsolidovaném základě.</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U každého druhu produktu vykážou instituce všechny sloupce 0010 až 0050.</w:t>
      </w:r>
    </w:p>
    <w:p w14:paraId="2935E76B" w14:textId="7C96738C" w:rsidR="00792E65" w:rsidRPr="00E37FBE" w:rsidRDefault="00792E65" w:rsidP="00927DCB">
      <w:pPr>
        <w:pStyle w:val="InstructionsText2"/>
        <w:numPr>
          <w:ilvl w:val="0"/>
          <w:numId w:val="13"/>
        </w:numPr>
        <w:rPr>
          <w:u w:val="none"/>
        </w:rPr>
      </w:pPr>
      <w:r>
        <w:rPr>
          <w:u w:val="none"/>
        </w:rPr>
        <w:t xml:space="preserve">Číselné údaje vykázané v řádcích 1. „retailové financování“, 2.1 „nezajištěné velkoobchodní financování“ a 2.2 „zajištěné velkoobchodní financování“ mohou zahrnovat širší škálu druhů produktů, než jsou položky uvedené pod „z toho“. </w:t>
      </w:r>
    </w:p>
    <w:p w14:paraId="5C94FB4A" w14:textId="649B48DC" w:rsidR="008E720B" w:rsidRPr="00E37FBE" w:rsidRDefault="008E720B" w:rsidP="008E720B">
      <w:pPr>
        <w:pStyle w:val="InstructionsText2"/>
        <w:numPr>
          <w:ilvl w:val="0"/>
          <w:numId w:val="13"/>
        </w:numPr>
        <w:rPr>
          <w:u w:val="none"/>
        </w:rPr>
      </w:pPr>
      <w:r>
        <w:rPr>
          <w:u w:val="none"/>
        </w:rPr>
        <w:t>Vlastní kapitál se v této šabloně nevykazuje.</w:t>
      </w:r>
    </w:p>
    <w:p w14:paraId="2FED639D" w14:textId="77777777" w:rsidR="00A344AA" w:rsidRPr="00E37FBE" w:rsidRDefault="00A344AA" w:rsidP="00927DCB">
      <w:pPr>
        <w:pStyle w:val="InstructionsText2"/>
        <w:numPr>
          <w:ilvl w:val="0"/>
          <w:numId w:val="13"/>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Sloupec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Odkazy na právní předpisy a pokyny</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Přijatá účetní hodnota</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32DBCBF4" w:rsidR="00A344AA" w:rsidRPr="00E37FBE" w:rsidRDefault="00A344AA" w:rsidP="00476C32">
            <w:pPr>
              <w:spacing w:before="0" w:after="0"/>
              <w:rPr>
                <w:szCs w:val="20"/>
              </w:rPr>
            </w:pPr>
            <w:r>
              <w:rPr>
                <w:rFonts w:ascii="Times New Roman" w:hAnsi="Times New Roman"/>
              </w:rPr>
              <w:t xml:space="preserve">Účetní hodnota financování obdrženého v rámci jednotlivých typů produktů uvedených ve sloupci „Název produktu“ se vykáže ve sloupci 0010 šablony. </w:t>
            </w:r>
            <w: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Částka, která je kryta systémem pojištění vkladů podle směrnice 2014/49/EU nebo rovnocenným systémem pojištění vkladů ve třetí zemi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Z celkové částky prostředků získaných v rámci jednotlivých typů produktů, které jsou uvedeny ve sloupci „Název produktu“, vykázané ve sloupci 0010 se vykáže částka, která je krytá systémem pojištění vkladů podle směrnice 2014/49/EU nebo rovnocenným systémem pojištění vkladů ve třetí zemi.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Poznámka: částky vykázané ve sloupci 0020 a ve sloupci 0030 u jednotlivých typů produktů uvedených ve sloupci „Název produktu“ se musí rovnat celkové přijaté částce vykázané ve sloupci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Částka, která není kryta systémem pojištění vkladů podle směrnice 2014/49/EU nebo rovnocenným systémem pojištění vkladů ve třetí zemi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Z celkové částky prostředků získaných v rámci jednotlivých typů produktů, které jsou uvedeny ve sloupci „Název produktu“, vykázané ve sloupci 0010 se vykáže částka, která </w:t>
            </w:r>
            <w:r>
              <w:rPr>
                <w:rFonts w:ascii="Times New Roman" w:hAnsi="Times New Roman"/>
                <w:u w:val="single"/>
              </w:rPr>
              <w:t>není</w:t>
            </w:r>
            <w:r>
              <w:rPr>
                <w:rFonts w:ascii="Times New Roman" w:hAnsi="Times New Roman"/>
              </w:rPr>
              <w:t xml:space="preserve"> krytá systémem pojištění vkladů podle směrnice 2014/49/EU nebo rovnocenným systémem pojištění vkladů ve třetí zemi.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Poznámka: částky vykázané ve sloupci 0020 a ve sloupci 0030 u jednotlivých typů produktů uvedených ve sloupci „Název produktu“ se musí rovnat celkové přijaté částce vykázané ve sloupci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Vážený průměr původní splatnosti</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0010, se v rámci jednotlivých typů produktů, které jsou uvedeny ve sloupci „Název produktu“, k tomuto financování vykáže ve sloupci 0040 vážený průměr původní splatnosti (v dnech).</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Vážený průměr zbytkové splatnosti</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0010, se v rámci jednotlivých typů produktů, které jsou uvedeny ve sloupci „Název produktu“, k tomuto financování vykáže ve sloupci 0050 vážený průměr zbytkové splatnosti (v dnech).</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Vážený průměr zbytkové splatnosti se vypočítá jako průměrná splatnost (v dnech) zbývající u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Ceny za různé doby trvání financování (C 69.00)</w:t>
      </w:r>
    </w:p>
    <w:p w14:paraId="691ACAEA" w14:textId="381B9664" w:rsidR="002C154A" w:rsidRPr="00E37FBE" w:rsidRDefault="00DD76F0" w:rsidP="00927DCB">
      <w:pPr>
        <w:pStyle w:val="InstructionsText2"/>
        <w:numPr>
          <w:ilvl w:val="0"/>
          <w:numId w:val="7"/>
        </w:numPr>
        <w:rPr>
          <w:u w:val="none"/>
        </w:rPr>
      </w:pPr>
      <w:r>
        <w:rPr>
          <w:u w:val="none"/>
        </w:rPr>
        <w:t>Instituce vykazují v šabloně C 69.00 údaje o objemu transakcí a cenách, které zaplatily za financování získané během vykazovaného období a stále existující na konci tohoto vykazovaného období, v souladu s tímto rozdělením původní splatnosti:</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do druhého dne ve sloupcích 0010 a 0020;</w:t>
      </w:r>
    </w:p>
    <w:p w14:paraId="20A63704" w14:textId="215042ED" w:rsidR="0019013A" w:rsidRPr="00E37FBE" w:rsidRDefault="00325582" w:rsidP="00927DCB">
      <w:pPr>
        <w:pStyle w:val="InstructionsText2"/>
        <w:numPr>
          <w:ilvl w:val="0"/>
          <w:numId w:val="0"/>
        </w:numPr>
        <w:ind w:left="714"/>
        <w:rPr>
          <w:u w:val="none"/>
        </w:rPr>
      </w:pPr>
      <w:r>
        <w:rPr>
          <w:u w:val="none"/>
        </w:rPr>
        <w:t>b)</w:t>
      </w:r>
      <w:r>
        <w:tab/>
      </w:r>
      <w:r>
        <w:rPr>
          <w:u w:val="none"/>
        </w:rPr>
        <w:t>delší než do druhého dne a nejvýše 1 týden ve sloupcích 0030 a 0040;</w:t>
      </w:r>
    </w:p>
    <w:p w14:paraId="23995DF6" w14:textId="5ED92FC7" w:rsidR="0019013A" w:rsidRPr="00E37FBE" w:rsidRDefault="00325582" w:rsidP="00927DCB">
      <w:pPr>
        <w:pStyle w:val="InstructionsText2"/>
        <w:numPr>
          <w:ilvl w:val="0"/>
          <w:numId w:val="0"/>
        </w:numPr>
        <w:ind w:left="714"/>
        <w:rPr>
          <w:u w:val="none"/>
        </w:rPr>
      </w:pPr>
      <w:r>
        <w:rPr>
          <w:u w:val="none"/>
        </w:rPr>
        <w:t>c)</w:t>
      </w:r>
      <w:r>
        <w:tab/>
      </w:r>
      <w:r>
        <w:rPr>
          <w:u w:val="none"/>
        </w:rPr>
        <w:t>delší než 1 týden a nejvýše 1 měsíc ve sloupcích 0050 a 0060;</w:t>
      </w:r>
    </w:p>
    <w:p w14:paraId="4DB6611C" w14:textId="459C7F5D" w:rsidR="0019013A" w:rsidRPr="00E37FBE" w:rsidRDefault="00325582" w:rsidP="00927DCB">
      <w:pPr>
        <w:pStyle w:val="InstructionsText2"/>
        <w:numPr>
          <w:ilvl w:val="0"/>
          <w:numId w:val="0"/>
        </w:numPr>
        <w:ind w:left="714"/>
        <w:rPr>
          <w:u w:val="none"/>
        </w:rPr>
      </w:pPr>
      <w:r>
        <w:rPr>
          <w:u w:val="none"/>
        </w:rPr>
        <w:t>d)</w:t>
      </w:r>
      <w:r>
        <w:tab/>
      </w:r>
      <w:r>
        <w:rPr>
          <w:u w:val="none"/>
        </w:rPr>
        <w:t>delší než 1 měsíc a nejvýše 3 měsíce ve sloupcích 0070 a 0080;</w:t>
      </w:r>
    </w:p>
    <w:p w14:paraId="68B85898" w14:textId="7209A964" w:rsidR="0019013A" w:rsidRPr="00E37FBE" w:rsidRDefault="00325582" w:rsidP="00927DCB">
      <w:pPr>
        <w:pStyle w:val="InstructionsText2"/>
        <w:numPr>
          <w:ilvl w:val="0"/>
          <w:numId w:val="0"/>
        </w:numPr>
        <w:ind w:left="714"/>
        <w:rPr>
          <w:u w:val="none"/>
        </w:rPr>
      </w:pPr>
      <w:r>
        <w:rPr>
          <w:u w:val="none"/>
        </w:rPr>
        <w:t>e)</w:t>
      </w:r>
      <w:r>
        <w:tab/>
      </w:r>
      <w:r>
        <w:rPr>
          <w:u w:val="none"/>
        </w:rPr>
        <w:t>delší než 3 měsíce a nejvýše 6 měsíců ve sloupcích 0090 a 0100;</w:t>
      </w:r>
    </w:p>
    <w:p w14:paraId="032BAEDE" w14:textId="28ACEB9C" w:rsidR="00172727" w:rsidRPr="00E37FBE" w:rsidRDefault="00325582" w:rsidP="00927DCB">
      <w:pPr>
        <w:pStyle w:val="InstructionsText2"/>
        <w:numPr>
          <w:ilvl w:val="0"/>
          <w:numId w:val="0"/>
        </w:numPr>
        <w:ind w:left="714"/>
        <w:rPr>
          <w:u w:val="none"/>
        </w:rPr>
      </w:pPr>
      <w:r>
        <w:rPr>
          <w:u w:val="none"/>
        </w:rPr>
        <w:t>f)</w:t>
      </w:r>
      <w:r>
        <w:tab/>
      </w:r>
      <w:r>
        <w:rPr>
          <w:u w:val="none"/>
        </w:rPr>
        <w:t>delší než 6 měsíců a nejvýše 1 rok ve sloupcích 0110 a 0120;</w:t>
      </w:r>
    </w:p>
    <w:p w14:paraId="3DE0207D" w14:textId="4293226F" w:rsidR="0019013A" w:rsidRPr="00E37FBE" w:rsidRDefault="00325582" w:rsidP="00927DCB">
      <w:pPr>
        <w:pStyle w:val="InstructionsText2"/>
        <w:numPr>
          <w:ilvl w:val="0"/>
          <w:numId w:val="0"/>
        </w:numPr>
        <w:ind w:left="714"/>
        <w:rPr>
          <w:u w:val="none"/>
        </w:rPr>
      </w:pPr>
      <w:r>
        <w:rPr>
          <w:u w:val="none"/>
        </w:rPr>
        <w:t>g)</w:t>
      </w:r>
      <w:r>
        <w:tab/>
      </w:r>
      <w:r>
        <w:rPr>
          <w:u w:val="none"/>
        </w:rPr>
        <w:t>delší než 1 rok a nejvýše 2 roky ve sloupcích 0130 a 0140;</w:t>
      </w:r>
    </w:p>
    <w:p w14:paraId="5A4B2AD6" w14:textId="735BD35C" w:rsidR="0019013A" w:rsidRPr="00E37FBE" w:rsidRDefault="00325582" w:rsidP="00927DCB">
      <w:pPr>
        <w:pStyle w:val="InstructionsText2"/>
        <w:numPr>
          <w:ilvl w:val="0"/>
          <w:numId w:val="0"/>
        </w:numPr>
        <w:ind w:left="714"/>
        <w:rPr>
          <w:u w:val="none"/>
        </w:rPr>
      </w:pPr>
      <w:r>
        <w:rPr>
          <w:u w:val="none"/>
        </w:rPr>
        <w:t>h)</w:t>
      </w:r>
      <w:r>
        <w:tab/>
      </w:r>
      <w:r>
        <w:rPr>
          <w:u w:val="none"/>
        </w:rPr>
        <w:t>delší než 2 roky a nejvýše 5 let ve sloupcích 0150 a 0160;</w:t>
      </w:r>
    </w:p>
    <w:p w14:paraId="10B732E8" w14:textId="28F9DAA4" w:rsidR="0019013A" w:rsidRPr="00E37FBE" w:rsidRDefault="00325582" w:rsidP="00927DCB">
      <w:pPr>
        <w:pStyle w:val="InstructionsText2"/>
        <w:numPr>
          <w:ilvl w:val="0"/>
          <w:numId w:val="0"/>
        </w:numPr>
        <w:ind w:left="714"/>
        <w:rPr>
          <w:u w:val="none"/>
        </w:rPr>
      </w:pPr>
      <w:r>
        <w:rPr>
          <w:u w:val="none"/>
        </w:rPr>
        <w:t>i)</w:t>
      </w:r>
      <w:r>
        <w:tab/>
      </w:r>
      <w:r>
        <w:rPr>
          <w:u w:val="none"/>
        </w:rPr>
        <w:t>delší než 5 let a nejvýše 10 let ve sloupcích 0170 a 0180.</w:t>
      </w:r>
    </w:p>
    <w:p w14:paraId="6F09AB94" w14:textId="32C85D80" w:rsidR="003B2555" w:rsidRPr="00E37FBE" w:rsidRDefault="003B2555" w:rsidP="00927DCB">
      <w:pPr>
        <w:pStyle w:val="InstructionsText2"/>
        <w:numPr>
          <w:ilvl w:val="0"/>
          <w:numId w:val="0"/>
        </w:numPr>
        <w:ind w:left="714"/>
        <w:rPr>
          <w:u w:val="none"/>
        </w:rPr>
      </w:pPr>
      <w:r>
        <w:rPr>
          <w:u w:val="none"/>
        </w:rPr>
        <w:t>Při měnovém zhodnocení nedochází k získání nového financování v původní měně a vykazující instituce neuhradila více než původní cenu při počátečním složení prostředků. Kladný přírůstek způsobený měnovým zhodnocením se tedy v této šabloně nevykazuje.</w:t>
      </w:r>
    </w:p>
    <w:p w14:paraId="4BB7D4B6" w14:textId="0E2FDCDB" w:rsidR="00A156BF" w:rsidRPr="00E37FBE" w:rsidRDefault="00A156BF" w:rsidP="00927DCB">
      <w:pPr>
        <w:pStyle w:val="InstructionsText2"/>
        <w:numPr>
          <w:ilvl w:val="0"/>
          <w:numId w:val="0"/>
        </w:numPr>
        <w:ind w:left="714"/>
        <w:rPr>
          <w:u w:val="none"/>
        </w:rPr>
      </w:pPr>
      <w:r>
        <w:rPr>
          <w:u w:val="none"/>
        </w:rPr>
        <w:t>Zdroje financování s původní splatností nad 10 let se v této šabloně nevykazují.</w:t>
      </w:r>
    </w:p>
    <w:p w14:paraId="5F28959E" w14:textId="0A765413" w:rsidR="0019013A" w:rsidRPr="00E37FBE" w:rsidRDefault="0019013A" w:rsidP="00927DCB">
      <w:pPr>
        <w:pStyle w:val="InstructionsText2"/>
        <w:numPr>
          <w:ilvl w:val="0"/>
          <w:numId w:val="20"/>
        </w:numPr>
        <w:rPr>
          <w:u w:val="none"/>
        </w:rPr>
      </w:pPr>
      <w:r>
        <w:rPr>
          <w:u w:val="none"/>
        </w:rPr>
        <w:lastRenderedPageBreak/>
        <w:t>Při stanovení splatnosti získaného financování neberou instituce v úvahu období mezi datem realizace obchodu a datem vypořádání, např. tříměsíční závazek s vypořádáním ve dvoutýdenní lhůtě se vykáže jako závazek s tříměsíční splatností (sloupce 0070 a 0080).</w:t>
      </w:r>
    </w:p>
    <w:p w14:paraId="3300B61A" w14:textId="6083998F" w:rsidR="00A211F3" w:rsidRPr="00E37FBE" w:rsidRDefault="002C154A" w:rsidP="009077D3">
      <w:pPr>
        <w:pStyle w:val="InstructionsText2"/>
        <w:numPr>
          <w:ilvl w:val="0"/>
          <w:numId w:val="20"/>
        </w:numPr>
        <w:rPr>
          <w:u w:val="none"/>
        </w:rPr>
      </w:pPr>
      <w:r>
        <w:rPr>
          <w:u w:val="none"/>
        </w:rPr>
        <w:t>U každého koše splatnosti je v levém sloupci vykázáno jedno z následujících rozpětí:</w:t>
      </w:r>
    </w:p>
    <w:p w14:paraId="3D56C5E8" w14:textId="20EB86DD" w:rsidR="0050708F" w:rsidRPr="00E37FBE" w:rsidRDefault="0050708F" w:rsidP="00AE6A00">
      <w:pPr>
        <w:pStyle w:val="InstructionsText2"/>
        <w:numPr>
          <w:ilvl w:val="0"/>
          <w:numId w:val="20"/>
        </w:numPr>
        <w:rPr>
          <w:u w:val="none"/>
        </w:rPr>
      </w:pPr>
      <w:r>
        <w:rPr>
          <w:u w:val="none"/>
        </w:rPr>
        <w:t xml:space="preserve">rozpětí vztahující se na závazky s roční nebo kratší splatností, splatné danou institucí, pokud by se staly předmětem derivátového obchodování při uplatnění jednodenního referenčního indexu příslušné měny, a to nejpozději k okamžiku ukončení obchodování v den uskutečnění transakce; </w:t>
      </w:r>
    </w:p>
    <w:p w14:paraId="44F3338B" w14:textId="6511E8C7" w:rsidR="0050708F" w:rsidRPr="00E37FBE" w:rsidRDefault="0050708F" w:rsidP="00AE6A00">
      <w:pPr>
        <w:pStyle w:val="InstructionsText2"/>
        <w:numPr>
          <w:ilvl w:val="0"/>
          <w:numId w:val="20"/>
        </w:numPr>
        <w:rPr>
          <w:u w:val="none"/>
        </w:rPr>
      </w:pPr>
      <w:r>
        <w:rPr>
          <w:u w:val="none"/>
        </w:rPr>
        <w:t>rozpětí vztahující se na závazky s původní splatností delší než jeden rok, splatné daným podnikem při emisi, pokud by se staly předmětem derivátového obchodování při uplatnění příslušného referenčního tříměsíčního indexu příslušné měny (např. tříměsíční referenční sazby EURIBOR v případě EUR), a to nejpozději k okamžiku ukončení obchodování v den uskutečnění transakce.</w:t>
      </w:r>
    </w:p>
    <w:p w14:paraId="0C9A9801" w14:textId="00966EBC" w:rsidR="006661EC" w:rsidRPr="00E37FBE" w:rsidRDefault="006661EC" w:rsidP="00AE6A00">
      <w:pPr>
        <w:pStyle w:val="InstructionsText2"/>
        <w:numPr>
          <w:ilvl w:val="0"/>
          <w:numId w:val="20"/>
        </w:numPr>
        <w:rPr>
          <w:u w:val="none"/>
        </w:rPr>
      </w:pPr>
      <w:r>
        <w:rPr>
          <w:u w:val="none"/>
        </w:rPr>
        <w:t>Pouze pro účely výpočtu rozpětí podle písmen a) a b) výše na základě historických zkušeností může instituce určit původní splatnost se zohledněním možnosti volby, případně bez tohoto zohlednění.</w:t>
      </w:r>
    </w:p>
    <w:p w14:paraId="5EBCC42F" w14:textId="5EFA09B4" w:rsidR="00A211F3" w:rsidRPr="00E37FBE" w:rsidRDefault="0019013A" w:rsidP="006000AE">
      <w:pPr>
        <w:pStyle w:val="InstructionsText2"/>
        <w:numPr>
          <w:ilvl w:val="0"/>
          <w:numId w:val="20"/>
        </w:numPr>
        <w:rPr>
          <w:u w:val="none"/>
        </w:rPr>
      </w:pPr>
      <w:r>
        <w:rPr>
          <w:u w:val="none"/>
        </w:rPr>
        <w:t xml:space="preserve">Rozpětí se vykazují v bazických bodech se záporným znaménkem v případě, že nové financování je levnější než podle příslušné referenční sazby. Vypočítají se na základě váženého průměru. </w:t>
      </w:r>
    </w:p>
    <w:p w14:paraId="0ABF1B64" w14:textId="48812B4E" w:rsidR="0050708F" w:rsidRPr="00E37FBE" w:rsidRDefault="0050708F" w:rsidP="00927DCB">
      <w:pPr>
        <w:pStyle w:val="InstructionsText2"/>
        <w:numPr>
          <w:ilvl w:val="0"/>
          <w:numId w:val="20"/>
        </w:numPr>
        <w:rPr>
          <w:u w:val="none"/>
        </w:rPr>
      </w:pPr>
      <w:r>
        <w:rPr>
          <w:u w:val="none"/>
        </w:rPr>
        <w:t>Pro účely výpočtu průměrného splatného rozpětí napříč vícenásobným emisím/vkladům/úvěrům vypočítají instituce celkové náklady v emisní měně, kdy nechají stranou veškeré měnové swapy, avšak započítají veškeré prémie či diskonty a poplatky dlužné či jim splatné, přičemž jako základ použijí termín jakéhokoli teoretického či skutečného swapu úrokových sazeb, jenž odpovídá termínu závazku. Rozpětí je rozdílem sazby u daného závazku a sazby swapu.</w:t>
      </w:r>
    </w:p>
    <w:p w14:paraId="608A7669" w14:textId="7761DC23" w:rsidR="00DD5897" w:rsidRPr="00E37FBE" w:rsidRDefault="0019013A" w:rsidP="00927DCB">
      <w:pPr>
        <w:pStyle w:val="InstructionsText2"/>
        <w:numPr>
          <w:ilvl w:val="0"/>
          <w:numId w:val="20"/>
        </w:numPr>
        <w:rPr>
          <w:u w:val="none"/>
        </w:rPr>
      </w:pPr>
      <w:r>
        <w:rPr>
          <w:u w:val="none"/>
        </w:rPr>
        <w:t xml:space="preserve">Objem financování získaného v rámci jednotlivých kategorií financování uvedených ve sloupci „Položka“ se vykáže ve sloupci „objem“ v příslušném časovém koši. </w:t>
      </w:r>
    </w:p>
    <w:p w14:paraId="3AED84FE" w14:textId="5EE87A4E" w:rsidR="004B3AC2" w:rsidRPr="00E37FBE" w:rsidRDefault="004B3AC2" w:rsidP="00927DCB">
      <w:pPr>
        <w:pStyle w:val="InstructionsText2"/>
        <w:numPr>
          <w:ilvl w:val="0"/>
          <w:numId w:val="20"/>
        </w:numPr>
        <w:rPr>
          <w:u w:val="none"/>
        </w:rPr>
      </w:pPr>
      <w:r>
        <w:rPr>
          <w:u w:val="none"/>
        </w:rPr>
        <w:t>Ve sloupci „objem“ uvedou instituce částky představující účetní hodnotu nového financování získaného v příslušném časovém koši podle původní doby splatnosti.</w:t>
      </w:r>
    </w:p>
    <w:p w14:paraId="4513DEDD" w14:textId="0E5B70C9" w:rsidR="004B3AC2" w:rsidRPr="00E37FBE" w:rsidRDefault="00144FB8" w:rsidP="00927DCB">
      <w:pPr>
        <w:pStyle w:val="InstructionsText2"/>
        <w:numPr>
          <w:ilvl w:val="0"/>
          <w:numId w:val="20"/>
        </w:numPr>
        <w:rPr>
          <w:u w:val="none"/>
        </w:rPr>
      </w:pPr>
      <w:r>
        <w:rPr>
          <w:u w:val="none"/>
        </w:rPr>
        <w:t xml:space="preserve">Jako u všech položek i u podrozvahových příslibů vykazují instituce pouze související částky zohledněné v rozvaze. Podrozvahový příslib poskytnutý instituci se v šabloně C 69.00 vykazuje až po čerpání. V případě čerpání jsou objemem a rozpětím, které se vykazují, čerpaná částka a použitelné rozpětí na konci vykazovaného období. V případě, že čerpání nelze refinancovat dle uvážení instituce, vykáže se skutečná splatnost čerpání. Pokud instituce z facility čerpala již ke konci předchozího vykazovaného období a následně této facility využije ještě více, vykáže se pouze dodatečná čerpaná částka. </w:t>
      </w:r>
    </w:p>
    <w:p w14:paraId="26598EEA" w14:textId="2CB5C3FB" w:rsidR="00473407" w:rsidRPr="00E37FBE" w:rsidRDefault="00473407" w:rsidP="00927DCB">
      <w:pPr>
        <w:pStyle w:val="InstructionsText2"/>
        <w:numPr>
          <w:ilvl w:val="0"/>
          <w:numId w:val="20"/>
        </w:numPr>
        <w:rPr>
          <w:u w:val="none"/>
        </w:rPr>
      </w:pPr>
      <w:r>
        <w:rPr>
          <w:u w:val="none"/>
        </w:rPr>
        <w:t>Vklady uložené retailovými zákazníky sestávají z vkladů ve smyslu čl. 411 bodu 2 nařízení (EU) 575/2013.</w:t>
      </w:r>
    </w:p>
    <w:p w14:paraId="54CC7D8D" w14:textId="0023FC80" w:rsidR="00B96CA8" w:rsidRPr="00E37FBE" w:rsidRDefault="00287BD7" w:rsidP="00927DCB">
      <w:pPr>
        <w:pStyle w:val="InstructionsText2"/>
        <w:numPr>
          <w:ilvl w:val="0"/>
          <w:numId w:val="20"/>
        </w:numPr>
        <w:rPr>
          <w:u w:val="none"/>
        </w:rPr>
      </w:pPr>
      <w:r>
        <w:rPr>
          <w:u w:val="none"/>
        </w:rPr>
        <w:t>U financování, které bylo v průběhu vykazovaného období refinancováno a které je na konci vykazovaného období stále otevřeno, se vykáže průměrné rozpětí použitelné v té době (tj. na konci vykazovaného období). Pro účely šablony C 69.00 se financování, které bylo refinancováno a na konci vykazovaného období dosud existuje, považuje za nové financování.</w:t>
      </w:r>
    </w:p>
    <w:p w14:paraId="43F95C32" w14:textId="71E535F8" w:rsidR="00BB3757" w:rsidRPr="00E37FBE" w:rsidRDefault="00CD20D9" w:rsidP="00927DCB">
      <w:pPr>
        <w:pStyle w:val="InstructionsText2"/>
        <w:numPr>
          <w:ilvl w:val="0"/>
          <w:numId w:val="20"/>
        </w:numPr>
        <w:rPr>
          <w:u w:val="none"/>
        </w:rPr>
      </w:pPr>
      <w:r>
        <w:rPr>
          <w:u w:val="none"/>
        </w:rPr>
        <w:t xml:space="preserve">Odchylně od zbytku oddílu 1.4 platí, že objem a rozpětí vkladů na viděnou se vykazují pouze v případě, že vkladatel v předchozím vykazovaném období vklad na viděnou neměl nebo že dochází ke zvýšení částky vkladu oproti předchozímu referenčnímu datu, a v takovém případě se se zvýšením zachází jako s novým financováním. Rozpětím je rozpětí na konci období. </w:t>
      </w:r>
    </w:p>
    <w:p w14:paraId="10927EEB" w14:textId="01546635" w:rsidR="00270986" w:rsidRPr="00E37FBE" w:rsidRDefault="00270986" w:rsidP="00927DCB">
      <w:pPr>
        <w:pStyle w:val="InstructionsText2"/>
        <w:numPr>
          <w:ilvl w:val="0"/>
          <w:numId w:val="20"/>
        </w:numPr>
        <w:rPr>
          <w:u w:val="none"/>
        </w:rPr>
      </w:pPr>
      <w:r>
        <w:rPr>
          <w:u w:val="none"/>
        </w:rPr>
        <w:t>Pokud není co vykazovat, ponechají se buňky týkající se rozpětí prázdné.</w:t>
      </w:r>
    </w:p>
    <w:p w14:paraId="5031E50C" w14:textId="2A8C8C44" w:rsidR="00A156BF" w:rsidRPr="00E37FBE" w:rsidRDefault="00A156BF" w:rsidP="00A156BF">
      <w:pPr>
        <w:pStyle w:val="InstructionsText2"/>
        <w:numPr>
          <w:ilvl w:val="0"/>
          <w:numId w:val="20"/>
        </w:numPr>
        <w:rPr>
          <w:u w:val="none"/>
        </w:rPr>
      </w:pPr>
      <w:r>
        <w:rPr>
          <w:u w:val="none"/>
        </w:rPr>
        <w:lastRenderedPageBreak/>
        <w:t xml:space="preserve">Vlastní kapitál se v této šabloně nevykazuje. </w:t>
      </w:r>
    </w:p>
    <w:p w14:paraId="5F1BCA9F" w14:textId="77777777" w:rsidR="002C154A" w:rsidRPr="00E37FBE" w:rsidRDefault="002C154A" w:rsidP="00927DCB">
      <w:pPr>
        <w:pStyle w:val="InstructionsText2"/>
        <w:numPr>
          <w:ilvl w:val="0"/>
          <w:numId w:val="20"/>
        </w:numPr>
        <w:rPr>
          <w:u w:val="none"/>
        </w:rPr>
      </w:pPr>
      <w:r>
        <w:rPr>
          <w:u w:val="none"/>
        </w:rPr>
        <w:t>Pokyny ke konkrétním řádkům:</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Řádek</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Odkazy na právní předpisy a pokyny</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Celkový objem financování</w:t>
            </w:r>
          </w:p>
          <w:p w14:paraId="25D6D292" w14:textId="1DE19D27" w:rsidR="002C154A" w:rsidRPr="00E37FBE" w:rsidRDefault="00E42487" w:rsidP="008E1558">
            <w:pPr>
              <w:rPr>
                <w:rFonts w:ascii="Times New Roman" w:hAnsi="Times New Roman"/>
                <w:szCs w:val="20"/>
              </w:rPr>
            </w:pPr>
            <w:r>
              <w:rPr>
                <w:rFonts w:ascii="Times New Roman" w:hAnsi="Times New Roman"/>
              </w:rPr>
              <w:t>Celkový objem a vážený průměr rozpětí veškerého financování se vykáže u všech těchto dob trvání takto:</w:t>
            </w:r>
          </w:p>
          <w:p w14:paraId="3D5903C1" w14:textId="71E515AA" w:rsidR="007778A0" w:rsidRPr="00E37FBE" w:rsidRDefault="00CD20D9" w:rsidP="009A0FFE">
            <w:pPr>
              <w:pStyle w:val="InstructionsText2"/>
              <w:numPr>
                <w:ilvl w:val="1"/>
                <w:numId w:val="47"/>
              </w:numPr>
              <w:rPr>
                <w:u w:val="none"/>
              </w:rPr>
            </w:pPr>
            <w:r>
              <w:rPr>
                <w:u w:val="none"/>
              </w:rPr>
              <w:t>do druhého dne ve sloupcích 0010 a 0020;</w:t>
            </w:r>
          </w:p>
          <w:p w14:paraId="1AF1DF5A" w14:textId="197B262D" w:rsidR="007778A0" w:rsidRPr="00E37FBE" w:rsidRDefault="00CD20D9" w:rsidP="009A0FFE">
            <w:pPr>
              <w:pStyle w:val="InstructionsText2"/>
              <w:numPr>
                <w:ilvl w:val="1"/>
                <w:numId w:val="47"/>
              </w:numPr>
              <w:rPr>
                <w:u w:val="none"/>
              </w:rPr>
            </w:pPr>
            <w:r>
              <w:rPr>
                <w:u w:val="none"/>
              </w:rPr>
              <w:t>delší než do druhého dne a nejvýše 1 týden ve sloupcích 0030 a 0040;</w:t>
            </w:r>
          </w:p>
          <w:p w14:paraId="4C124A2C" w14:textId="40AAE739" w:rsidR="007778A0" w:rsidRPr="00E37FBE" w:rsidRDefault="00CD20D9" w:rsidP="009A0FFE">
            <w:pPr>
              <w:pStyle w:val="InstructionsText2"/>
              <w:numPr>
                <w:ilvl w:val="1"/>
                <w:numId w:val="47"/>
              </w:numPr>
              <w:rPr>
                <w:u w:val="none"/>
              </w:rPr>
            </w:pPr>
            <w:r>
              <w:rPr>
                <w:u w:val="none"/>
              </w:rPr>
              <w:t>delší než 1 týden a nejvýše 1 měsíc ve sloupcích 0050 a 0060;</w:t>
            </w:r>
          </w:p>
          <w:p w14:paraId="74B468F3" w14:textId="3C21BB5E" w:rsidR="007778A0" w:rsidRPr="00E37FBE" w:rsidRDefault="00CD20D9" w:rsidP="009A0FFE">
            <w:pPr>
              <w:pStyle w:val="InstructionsText2"/>
              <w:numPr>
                <w:ilvl w:val="1"/>
                <w:numId w:val="47"/>
              </w:numPr>
              <w:rPr>
                <w:u w:val="none"/>
              </w:rPr>
            </w:pPr>
            <w:r>
              <w:rPr>
                <w:u w:val="none"/>
              </w:rPr>
              <w:t>delší než 1 měsíc a nejvýše 3 měsíce ve sloupcích 0070 a 0080;</w:t>
            </w:r>
          </w:p>
          <w:p w14:paraId="482B32DB" w14:textId="0BE23448" w:rsidR="007778A0" w:rsidRPr="00E37FBE" w:rsidRDefault="00CD20D9" w:rsidP="009A0FFE">
            <w:pPr>
              <w:pStyle w:val="InstructionsText2"/>
              <w:numPr>
                <w:ilvl w:val="1"/>
                <w:numId w:val="47"/>
              </w:numPr>
              <w:rPr>
                <w:u w:val="none"/>
              </w:rPr>
            </w:pPr>
            <w:r>
              <w:rPr>
                <w:u w:val="none"/>
              </w:rPr>
              <w:t>delší než 3 měsíce a nejvýše 6 měsíců ve sloupcích 0090 a 0100;</w:t>
            </w:r>
          </w:p>
          <w:p w14:paraId="3C4AC9B6" w14:textId="7E09F360" w:rsidR="007778A0" w:rsidRPr="00E37FBE" w:rsidRDefault="00CD20D9" w:rsidP="009A0FFE">
            <w:pPr>
              <w:pStyle w:val="InstructionsText2"/>
              <w:numPr>
                <w:ilvl w:val="1"/>
                <w:numId w:val="47"/>
              </w:numPr>
              <w:rPr>
                <w:u w:val="none"/>
              </w:rPr>
            </w:pPr>
            <w:r>
              <w:rPr>
                <w:u w:val="none"/>
              </w:rPr>
              <w:t>delší než 6 měsíců a nejvýše 1 rok ve sloupcích 0110 a 0120;</w:t>
            </w:r>
          </w:p>
          <w:p w14:paraId="1C290FE7" w14:textId="4E5B0810" w:rsidR="007778A0" w:rsidRPr="00E37FBE" w:rsidRDefault="00CD20D9" w:rsidP="009A0FFE">
            <w:pPr>
              <w:pStyle w:val="InstructionsText2"/>
              <w:numPr>
                <w:ilvl w:val="1"/>
                <w:numId w:val="47"/>
              </w:numPr>
              <w:rPr>
                <w:u w:val="none"/>
              </w:rPr>
            </w:pPr>
            <w:r>
              <w:rPr>
                <w:u w:val="none"/>
              </w:rPr>
              <w:t>delší než 1 rok a nejvýše 2 roky ve sloupcích 0130 a 0140;</w:t>
            </w:r>
          </w:p>
          <w:p w14:paraId="6E53E104" w14:textId="03252B84" w:rsidR="007778A0" w:rsidRPr="00E37FBE" w:rsidRDefault="00CD20D9" w:rsidP="009A0FFE">
            <w:pPr>
              <w:pStyle w:val="InstructionsText2"/>
              <w:numPr>
                <w:ilvl w:val="1"/>
                <w:numId w:val="47"/>
              </w:numPr>
              <w:rPr>
                <w:u w:val="none"/>
              </w:rPr>
            </w:pPr>
            <w:r>
              <w:rPr>
                <w:u w:val="none"/>
              </w:rPr>
              <w:t>delší než 2 roky a nejvýše 5 let ve sloupcích 0150 a 0160;</w:t>
            </w:r>
          </w:p>
          <w:p w14:paraId="22EC36F6" w14:textId="5EE6B232" w:rsidR="00CE333E" w:rsidRPr="00E37FBE" w:rsidRDefault="00CD20D9" w:rsidP="009A0FFE">
            <w:pPr>
              <w:pStyle w:val="InstructionsText2"/>
              <w:numPr>
                <w:ilvl w:val="1"/>
                <w:numId w:val="47"/>
              </w:numPr>
            </w:pPr>
            <w:r>
              <w:rPr>
                <w:u w:val="none"/>
              </w:rPr>
              <w:t>delší než 5 let a nejvýše 10 let ve sloupcích 0170 a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Retailové financování</w:t>
            </w:r>
          </w:p>
          <w:p w14:paraId="2F60C8D8" w14:textId="1F37D31E" w:rsidR="002C154A" w:rsidRPr="00E37FBE" w:rsidRDefault="00CE333E" w:rsidP="005E4F4B">
            <w:pPr>
              <w:rPr>
                <w:rFonts w:ascii="Times New Roman" w:hAnsi="Times New Roman"/>
                <w:szCs w:val="20"/>
              </w:rPr>
            </w:pPr>
            <w:r>
              <w:rPr>
                <w:rFonts w:ascii="Times New Roman" w:hAnsi="Times New Roman"/>
              </w:rPr>
              <w:t>Z celkového objemu financování vykázaného v položce 1 se uvede celkový objem a vážený průměr rozpětí získaného retailového financování.</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Nezajištěné velkoobchodní financování</w:t>
            </w:r>
          </w:p>
          <w:p w14:paraId="49C52367" w14:textId="3BAAFA1E" w:rsidR="00AF1439" w:rsidRPr="00E37FBE" w:rsidRDefault="00AF1439" w:rsidP="001C1BA1">
            <w:pPr>
              <w:rPr>
                <w:rFonts w:ascii="Times New Roman" w:hAnsi="Times New Roman"/>
                <w:szCs w:val="20"/>
              </w:rPr>
            </w:pPr>
            <w:r>
              <w:rPr>
                <w:rFonts w:ascii="Times New Roman" w:hAnsi="Times New Roman"/>
              </w:rPr>
              <w:t>Z celkového objemu financování vykázaného v položce 1 se uvede celkový objem a vážený průměr rozpětí získaného nezajištěného velkoobchodního financování.</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z toho: prioritní nezajištěné cenné papíry</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Z objemu nezajištěného velkoobchodního financování vykázaného v položce 1.2 se uvede celkový objem a vážený průměr sazby rozpětí získaných prioritních nezajištěných cenných papírů.</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Zajištěné financování (ne centrální bankou)</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Z celkového objemu financování vykázaného v položce 1 se uvede celkový objem a vážený průměr rozpětí získaného zajištěného financování od protistrany, která není centrální bankou.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z toho: kryté dluhopisy</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Z objemu zajištěného financování vykázaného v položce 1.3 se uvede celkový objem a vážený průměr rozpětí celkové emise krytých dluhopisů zatěžujících vlastní aktiva dané instituce.</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z toho: cenné papíry zajištěné aktivy včetně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Z objemu zajištěného financování vykázaného v položce 1,3 se uvede celkový objem a vážený průměr rozpětí cenných papírů zajištěných aktivy včetně obchodních papírů zajištěných aktivy.</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Ostatní financování</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financování nezařazeného v položkách 1.1 až 1.3, včetně zajištěného financování centrálními bankami.</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Refinancování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Tato šablona shromažďuje informace o objemu prostředků splatných a nově získaných, tj. refinancovaných (roll-over), v průběhu jednotlivých dní během měsíce předcházejícího datu vykazování.</w:t>
      </w:r>
    </w:p>
    <w:p w14:paraId="180EF408" w14:textId="4710199E" w:rsidR="00DB3C37" w:rsidRPr="00E37FBE" w:rsidRDefault="00DB3C37" w:rsidP="00927DCB">
      <w:pPr>
        <w:pStyle w:val="InstructionsText2"/>
        <w:numPr>
          <w:ilvl w:val="0"/>
          <w:numId w:val="8"/>
        </w:numPr>
        <w:rPr>
          <w:u w:val="none"/>
        </w:rPr>
      </w:pPr>
      <w:r>
        <w:rPr>
          <w:u w:val="none"/>
        </w:rPr>
        <w:t>Instituce vykazují financování, jehož splatnost nastává, v kalendářních dnech podle těchto časových košů vycházejících z původní splatnosti:</w:t>
      </w:r>
    </w:p>
    <w:p w14:paraId="10B482AB" w14:textId="35902522" w:rsidR="00DB3C37" w:rsidRPr="00E37FBE" w:rsidRDefault="00237D15" w:rsidP="009A0FFE">
      <w:pPr>
        <w:pStyle w:val="InstructionsText2"/>
        <w:numPr>
          <w:ilvl w:val="1"/>
          <w:numId w:val="48"/>
        </w:numPr>
        <w:rPr>
          <w:u w:val="none"/>
        </w:rPr>
      </w:pPr>
      <w:bookmarkStart w:id="4" w:name="_GoBack"/>
      <w:r>
        <w:rPr>
          <w:u w:val="none"/>
        </w:rPr>
        <w:t>do druhého dne ve sloupcích 0010 až 0040;</w:t>
      </w:r>
    </w:p>
    <w:p w14:paraId="78059097" w14:textId="75ED6B94" w:rsidR="00DB3C37" w:rsidRPr="00E37FBE" w:rsidRDefault="00237D15" w:rsidP="009A0FFE">
      <w:pPr>
        <w:pStyle w:val="InstructionsText2"/>
        <w:numPr>
          <w:ilvl w:val="1"/>
          <w:numId w:val="48"/>
        </w:numPr>
        <w:rPr>
          <w:u w:val="none"/>
        </w:rPr>
      </w:pPr>
      <w:r>
        <w:rPr>
          <w:u w:val="none"/>
        </w:rPr>
        <w:t>v rozmezí 1 dne a 7 dnů ve sloupcích 0050 až 0080;</w:t>
      </w:r>
    </w:p>
    <w:p w14:paraId="0888F316" w14:textId="304511FD" w:rsidR="00DB3C37" w:rsidRPr="00E37FBE" w:rsidRDefault="00237D15" w:rsidP="009A0FFE">
      <w:pPr>
        <w:pStyle w:val="InstructionsText2"/>
        <w:numPr>
          <w:ilvl w:val="1"/>
          <w:numId w:val="48"/>
        </w:numPr>
        <w:rPr>
          <w:u w:val="none"/>
        </w:rPr>
      </w:pPr>
      <w:r>
        <w:rPr>
          <w:u w:val="none"/>
        </w:rPr>
        <w:t>v rozmezí 7 a 14 dnů ve sloupcích 0090 až 0120;</w:t>
      </w:r>
    </w:p>
    <w:p w14:paraId="08E23AA2" w14:textId="64CFEF40" w:rsidR="00DB3C37" w:rsidRPr="00E37FBE" w:rsidRDefault="00237D15" w:rsidP="009A0FFE">
      <w:pPr>
        <w:pStyle w:val="InstructionsText2"/>
        <w:numPr>
          <w:ilvl w:val="1"/>
          <w:numId w:val="48"/>
        </w:numPr>
        <w:rPr>
          <w:u w:val="none"/>
        </w:rPr>
      </w:pPr>
      <w:r>
        <w:rPr>
          <w:u w:val="none"/>
        </w:rPr>
        <w:t>v rozmezí 14 dnů a 1 měsíce ve sloupcích 0130 až 0160;</w:t>
      </w:r>
    </w:p>
    <w:p w14:paraId="69F00FB2" w14:textId="181A4A03" w:rsidR="00DB3C37" w:rsidRPr="00E37FBE" w:rsidRDefault="00237D15" w:rsidP="009A0FFE">
      <w:pPr>
        <w:pStyle w:val="InstructionsText2"/>
        <w:numPr>
          <w:ilvl w:val="1"/>
          <w:numId w:val="48"/>
        </w:numPr>
        <w:rPr>
          <w:u w:val="none"/>
        </w:rPr>
      </w:pPr>
      <w:r>
        <w:rPr>
          <w:u w:val="none"/>
        </w:rPr>
        <w:t>v rozmezí 1 měsíce a 3 měsíců ve sloupcích 0170 až 0200;</w:t>
      </w:r>
    </w:p>
    <w:p w14:paraId="39971E5E" w14:textId="43960DD0" w:rsidR="00DB3C37" w:rsidRPr="00E37FBE" w:rsidRDefault="00237D15" w:rsidP="009A0FFE">
      <w:pPr>
        <w:pStyle w:val="InstructionsText2"/>
        <w:numPr>
          <w:ilvl w:val="1"/>
          <w:numId w:val="48"/>
        </w:numPr>
        <w:rPr>
          <w:u w:val="none"/>
        </w:rPr>
      </w:pPr>
      <w:r>
        <w:rPr>
          <w:u w:val="none"/>
        </w:rPr>
        <w:t>v rozmezí 3 a 6 měsíců ve sloupcích 0210 až 0240;</w:t>
      </w:r>
    </w:p>
    <w:p w14:paraId="7574DBE7" w14:textId="6E9CAB4B" w:rsidR="009A329A" w:rsidRPr="00E37FBE" w:rsidRDefault="00144FB8" w:rsidP="009A0FFE">
      <w:pPr>
        <w:pStyle w:val="InstructionsText2"/>
        <w:numPr>
          <w:ilvl w:val="1"/>
          <w:numId w:val="48"/>
        </w:numPr>
        <w:rPr>
          <w:u w:val="none"/>
        </w:rPr>
      </w:pPr>
      <w:r>
        <w:rPr>
          <w:u w:val="none"/>
        </w:rPr>
        <w:t>delší než 6 měsíců ve sloupcích 0250 až 0280.</w:t>
      </w:r>
    </w:p>
    <w:bookmarkEnd w:id="4"/>
    <w:p w14:paraId="1F25325E" w14:textId="62618E1F" w:rsidR="00DB3C37" w:rsidRPr="00E37FBE" w:rsidRDefault="00DB3C37" w:rsidP="00927DCB">
      <w:pPr>
        <w:pStyle w:val="InstructionsText2"/>
        <w:numPr>
          <w:ilvl w:val="0"/>
          <w:numId w:val="8"/>
        </w:numPr>
        <w:rPr>
          <w:u w:val="none"/>
        </w:rPr>
      </w:pPr>
      <w:r>
        <w:rPr>
          <w:u w:val="none"/>
        </w:rPr>
        <w:t>U všech časových košů uvedených v bodě 2 se splatná částka vykáže v levém sloupci, refinancované prostředky se vykážou ve sloupci „Refinancování“, nově získané prostředky se vykážou ve sloupci „Nové prostředky“ a čistý rozdíl mezi novými prostředky na jedné straně a refinancováním minus splatnou částkou na straně druhé se vykáže v pravém sloupci.</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Celkový čistý objem peněžních toků se vykáže ve sloupci 290 a bude roven součtu všech sloupců obsahujících čisté položky, tj. sloupců očíslovaných 0040, 0080, 0120, 0160, 0200, 0240 a 0280.</w:t>
      </w:r>
    </w:p>
    <w:p w14:paraId="28B9B16F" w14:textId="7EEE4811" w:rsidR="00BD24C1" w:rsidRPr="00E37FBE" w:rsidRDefault="00DB3C37" w:rsidP="00927DCB">
      <w:pPr>
        <w:pStyle w:val="InstructionsText2"/>
        <w:numPr>
          <w:ilvl w:val="0"/>
          <w:numId w:val="8"/>
        </w:numPr>
        <w:rPr>
          <w:u w:val="none"/>
        </w:rPr>
      </w:pPr>
      <w:r>
        <w:rPr>
          <w:u w:val="none"/>
        </w:rPr>
        <w:t>U splatných termínovaných prostředků financování se průměrná doba financování vykáže (v dnech) ve sloupci 0300.</w:t>
      </w:r>
    </w:p>
    <w:p w14:paraId="76D8AD49" w14:textId="73AC67C3" w:rsidR="003E371A" w:rsidRPr="00E37FBE" w:rsidRDefault="003E371A" w:rsidP="00927DCB">
      <w:pPr>
        <w:pStyle w:val="InstructionsText2"/>
        <w:numPr>
          <w:ilvl w:val="0"/>
          <w:numId w:val="8"/>
        </w:numPr>
        <w:rPr>
          <w:u w:val="none"/>
        </w:rPr>
      </w:pPr>
      <w:r>
        <w:rPr>
          <w:u w:val="none"/>
        </w:rPr>
        <w:t>U refinancovaných prostředků se průměrná doba financování vykáže (v dnech) ve sloupci 0310.</w:t>
      </w:r>
    </w:p>
    <w:p w14:paraId="717CD209" w14:textId="41C8DEE3" w:rsidR="00BD24C1" w:rsidRPr="00E37FBE" w:rsidRDefault="00DB3C37" w:rsidP="00927DCB">
      <w:pPr>
        <w:pStyle w:val="InstructionsText2"/>
        <w:numPr>
          <w:ilvl w:val="0"/>
          <w:numId w:val="8"/>
        </w:numPr>
        <w:rPr>
          <w:u w:val="none"/>
        </w:rPr>
      </w:pPr>
      <w:r>
        <w:rPr>
          <w:u w:val="none"/>
        </w:rPr>
        <w:t xml:space="preserve"> U nových termínovaných prostředků financování se průměrná doba financování vykáže (v dnech) ve sloupci 0320.</w:t>
      </w:r>
    </w:p>
    <w:p w14:paraId="5C92A186" w14:textId="6F4BC0FE" w:rsidR="00A7751A" w:rsidRPr="00E37FBE" w:rsidRDefault="00A7751A" w:rsidP="00927DCB">
      <w:pPr>
        <w:pStyle w:val="InstructionsText2"/>
        <w:numPr>
          <w:ilvl w:val="0"/>
          <w:numId w:val="8"/>
        </w:numPr>
        <w:rPr>
          <w:u w:val="none"/>
        </w:rPr>
      </w:pPr>
      <w:r>
        <w:rPr>
          <w:u w:val="none"/>
        </w:rPr>
        <w:t>Částka „splatné“ zahrnuje veškeré závazky, které byly smluvně vyplatitelné poskytovateli financování nebo splatné v rozhodný den vykazovaného období. Musí být vykázána vždy s kladným znaménkem.</w:t>
      </w:r>
    </w:p>
    <w:p w14:paraId="004B6E12" w14:textId="539634DF" w:rsidR="00A7751A" w:rsidRPr="00E37FBE" w:rsidRDefault="00A7751A" w:rsidP="00927DCB">
      <w:pPr>
        <w:pStyle w:val="InstructionsText2"/>
        <w:numPr>
          <w:ilvl w:val="0"/>
          <w:numId w:val="8"/>
        </w:numPr>
        <w:rPr>
          <w:u w:val="none"/>
        </w:rPr>
      </w:pPr>
      <w:r>
        <w:rPr>
          <w:u w:val="none"/>
        </w:rPr>
        <w:t>Částka „refinancování“ zahrnuje splatnou částku ve smyslu bodů 2 a 3, jež zůstává u instituce v rozhodný den vykazovaného období. Vykazuje se vždy s kladným znaménkem. Pokud se v důsledku refinancování změnila splatnost financování, vykáže se částka „refinancování“ v časovém koši podle nové splatnosti.</w:t>
      </w:r>
    </w:p>
    <w:p w14:paraId="68CA5A97" w14:textId="694BA31F" w:rsidR="00A7751A" w:rsidRPr="00E37FBE" w:rsidRDefault="00A7751A" w:rsidP="00927DCB">
      <w:pPr>
        <w:pStyle w:val="InstructionsText2"/>
        <w:numPr>
          <w:ilvl w:val="0"/>
          <w:numId w:val="8"/>
        </w:numPr>
        <w:rPr>
          <w:u w:val="none"/>
        </w:rPr>
      </w:pPr>
      <w:r>
        <w:rPr>
          <w:u w:val="none"/>
        </w:rPr>
        <w:t>Částka „nové prostředky“ zahrnuje skutečné přítoky financování v rozhodný den vykazovaného období. Musí být vykázána vždy s kladným znaménkem.</w:t>
      </w:r>
    </w:p>
    <w:p w14:paraId="36023996" w14:textId="52F7601E" w:rsidR="00A7751A" w:rsidRPr="00E37FBE" w:rsidRDefault="00A7751A" w:rsidP="00927DCB">
      <w:pPr>
        <w:pStyle w:val="InstructionsText2"/>
        <w:numPr>
          <w:ilvl w:val="0"/>
          <w:numId w:val="8"/>
        </w:numPr>
        <w:rPr>
          <w:u w:val="none"/>
        </w:rPr>
      </w:pPr>
      <w:r>
        <w:rPr>
          <w:u w:val="none"/>
        </w:rPr>
        <w:lastRenderedPageBreak/>
        <w:t xml:space="preserve">Částka „čistá hodnota“ se považuje za změnu financování v rámci konkrétního pásma původní splatnosti v rozhodný den vykazovaného období a vypočítá se tak, že do sloupce „čistá hodnota“ se připočtou nové finanční prostředky plus prostředky refinancování minus splatné finanční prostředky.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7002"/>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Sloupec</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Odkazy na právní předpisy a pokyny</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až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Jednodenní</w:t>
            </w:r>
          </w:p>
          <w:p w14:paraId="0D011271" w14:textId="46252F0C" w:rsidR="00B83BF9" w:rsidRPr="00E37FBE" w:rsidRDefault="00ED41A4" w:rsidP="00193B6D">
            <w:pPr>
              <w:rPr>
                <w:rFonts w:ascii="Times New Roman" w:hAnsi="Times New Roman"/>
                <w:szCs w:val="20"/>
              </w:rPr>
            </w:pPr>
            <w:r>
              <w:rPr>
                <w:rFonts w:ascii="Times New Roman" w:hAnsi="Times New Roman"/>
              </w:rPr>
              <w:t>Celkový objem financování se splatností k rozhodnému dni vykazovaného období s původní jednodenní splatností se vykáže ve sloupci 0010 řádkových položek 1.1–1.31. U měsíců, které mají méně než 31 dní, jakož i u víkendů se přebytečné řádky ponechají prázdné.</w:t>
            </w:r>
          </w:p>
          <w:p w14:paraId="7D2D26D4" w14:textId="79E1BEFF"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jednodenní splatností se vykáže ve sloupci 0020 řádkových položek 1.1–1.31.</w:t>
            </w:r>
          </w:p>
          <w:p w14:paraId="4837928B" w14:textId="6B449134" w:rsidR="00ED41A4" w:rsidRPr="00E37FBE" w:rsidRDefault="00ED41A4" w:rsidP="00193B6D">
            <w:pPr>
              <w:rPr>
                <w:rFonts w:ascii="Times New Roman" w:hAnsi="Times New Roman"/>
                <w:szCs w:val="20"/>
              </w:rPr>
            </w:pPr>
            <w:r>
              <w:rPr>
                <w:rFonts w:ascii="Times New Roman" w:hAnsi="Times New Roman"/>
              </w:rPr>
              <w:t>Celkový objem nového financování získaného k rozhodnému dni vykazovaného období s původní jednodenní splatností se vykáže ve sloupci 0030 řádkových položek 1.1–1.31.</w:t>
            </w:r>
          </w:p>
          <w:p w14:paraId="16FDBE2F" w14:textId="01510436" w:rsidR="00ED41A4" w:rsidRPr="00E37FBE" w:rsidRDefault="00ED41A4" w:rsidP="00193B6D">
            <w:pPr>
              <w:rPr>
                <w:rFonts w:ascii="Times New Roman" w:hAnsi="Times New Roman"/>
                <w:szCs w:val="20"/>
              </w:rPr>
            </w:pPr>
            <w:r>
              <w:rPr>
                <w:rFonts w:ascii="Times New Roman" w:hAnsi="Times New Roman"/>
              </w:rPr>
              <w:t>Čistý rozdíl mezi (na jedné straně) splatnými prostředky financování s denní splatností a (na straně druhé) refinancováním a nově získanými prostředky financování s denní splatností se vykáže ve sloupci 0040 řádkových položek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až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den ≤ 7 dní</w:t>
            </w:r>
          </w:p>
          <w:p w14:paraId="456405B1" w14:textId="7B9BDFAD" w:rsidR="00ED41A4" w:rsidRPr="00E37FBE" w:rsidRDefault="00ED41A4"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dne a jednoho týdne se vykáže ve sloupci 0050 řádkových položek 1.1–1.31. U měsíců, které mají méně než 31 dní, jakož i u víkendů se přebytečné řádky ponechají prázdné.</w:t>
            </w:r>
          </w:p>
          <w:p w14:paraId="293B2767" w14:textId="378670DE"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jednoho dne a jednoho týdne se vykáže ve sloupci 0060 řádkových položek 1.1–1.31.</w:t>
            </w:r>
          </w:p>
          <w:p w14:paraId="5D635490" w14:textId="2D826550" w:rsidR="00ED41A4" w:rsidRPr="00E37FBE" w:rsidRDefault="00ED41A4"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dne a jednoho týdne se vykáže ve sloupci 0070 řádkových položek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0080 řádkových položek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až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dní ≤ 14 dní</w:t>
            </w:r>
          </w:p>
          <w:p w14:paraId="01B280B0" w14:textId="5023F473"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týdne a dvou týdnů se vykáže ve sloupci 0090 řádkových položek 1.1–1.31. U měsíců, které mají méně než 31 dní, jakož i u víkendů se přebytečné řádky ponechají prázdné.</w:t>
            </w:r>
          </w:p>
          <w:p w14:paraId="37FF815B" w14:textId="5B38CB82" w:rsidR="003E371A" w:rsidRPr="00E37FBE" w:rsidRDefault="003E371A" w:rsidP="00193B6D">
            <w:pPr>
              <w:rPr>
                <w:rFonts w:ascii="Times New Roman" w:hAnsi="Times New Roman"/>
                <w:szCs w:val="20"/>
              </w:rPr>
            </w:pPr>
            <w:r>
              <w:rPr>
                <w:rFonts w:ascii="Times New Roman" w:hAnsi="Times New Roman"/>
              </w:rPr>
              <w:t>Celkový objem refinancování se splatností k rozhodnému dni vykazovaného období s původní splatností v rozmezí jednoho týdne a dvou týdnů se vykáže ve sloupci 0100 řádkových položek 1.1–1.31.</w:t>
            </w:r>
          </w:p>
          <w:p w14:paraId="60125A59" w14:textId="19085EB9"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týdne a dvou týdnů se vykáže ve sloupci 0110 řádkových položek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0120 řádkových položek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 až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dní ≤ 1 měsíc</w:t>
            </w:r>
          </w:p>
          <w:p w14:paraId="6DFCCE86" w14:textId="3B483DEE"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dvou týdnů a jednoho měsíce se vykáže ve sloupci 0130 řádkových položek 1.1–1.31. U měsíců, které mají méně než 31 dní, jakož i u víkendů se přebytečné řádky ponechají prázdné.</w:t>
            </w:r>
          </w:p>
          <w:p w14:paraId="168BD6CE" w14:textId="7007C9B1"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dvou týdnů a jednoho měsíce se vykáže ve sloupci 0140 řádkových položek 1.1–1.31.</w:t>
            </w:r>
          </w:p>
          <w:p w14:paraId="0DBC5483" w14:textId="6B45A083"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dvou týdnů a jednoho měsíce se vykáže ve sloupci 0150 řádkových položek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0160 řádkových položek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až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měsíc ≤ 3 měsíce</w:t>
            </w:r>
          </w:p>
          <w:p w14:paraId="1C6BB1D5" w14:textId="757F683B"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měsíce a tří měsíců se vykáže ve sloupci 0170 řádkových položek 1.1–1.31. U měsíců, které mají méně než 31 dní, jakož i u víkendů se přebytečné řádky ponechají prázdné.</w:t>
            </w:r>
          </w:p>
          <w:p w14:paraId="6A91E8B5" w14:textId="5A7B6811"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jednoho měsíce a tří měsíců se vykáže ve sloupci 0180 řádkových položek 1.1–1.31.</w:t>
            </w:r>
          </w:p>
          <w:p w14:paraId="7A9947A9" w14:textId="1B33C53B"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měsíce a tří měsíců se vykáže ve sloupci 0190 řádkových položek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0200 řádkových položek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až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měsíce ≤ 6 měsíců</w:t>
            </w:r>
          </w:p>
          <w:p w14:paraId="0260CA5A" w14:textId="01087905" w:rsidR="006044FF" w:rsidRPr="00E37FBE" w:rsidRDefault="005A40BE"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tří měsíců a šesti měsíců se vykáže ve sloupci 0210 řádkových položek 1.1–1.31. U měsíců, které mají méně než 31 dní, jakož i u víkendů se přebytečné řádky ponechají prázdné.</w:t>
            </w:r>
          </w:p>
          <w:p w14:paraId="563F93F8" w14:textId="263DC9E2"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tří měsíců a šesti měsíců se vykáže ve sloupci 0220 řádkových položek 1.1–1.31.</w:t>
            </w:r>
          </w:p>
          <w:p w14:paraId="601C708E" w14:textId="48140626" w:rsidR="005A40BE" w:rsidRPr="00E37FBE" w:rsidRDefault="005A40BE"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tří měsíců a šesti měsíců se vykáže ve sloupci 0230 řádkových položek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0240 řádkových položek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až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měsíců</w:t>
            </w:r>
          </w:p>
          <w:p w14:paraId="3C7C589B" w14:textId="433DBEBB"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nad šest měsíců se vykáže ve sloupci 0250 řádkových položek 1.1–1.31. U měsíců, které mají méně než 31 dní, jakož i u víkendů se přebytečné řádky ponechají prázdné.</w:t>
            </w:r>
          </w:p>
          <w:p w14:paraId="09601152" w14:textId="25476A9D" w:rsidR="003E371A" w:rsidRPr="00E37FBE" w:rsidRDefault="003E371A" w:rsidP="00193B6D">
            <w:pPr>
              <w:rPr>
                <w:rFonts w:ascii="Times New Roman" w:hAnsi="Times New Roman"/>
                <w:szCs w:val="20"/>
              </w:rPr>
            </w:pPr>
            <w:r>
              <w:rPr>
                <w:rFonts w:ascii="Times New Roman" w:hAnsi="Times New Roman"/>
              </w:rPr>
              <w:lastRenderedPageBreak/>
              <w:t>Celkový objem refinancování k rozhodnému dni vykazovaného období s původní splatností nad šest měsíců se vykáže ve sloupci 0260 řádkových položek 1.1–1.31.</w:t>
            </w:r>
          </w:p>
          <w:p w14:paraId="4585368E" w14:textId="58DDCB2B"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nad šest měsíců se vykáže ve sloupci 0270 řádkových položek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0280 řádkových položek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Celkový čistý objem peněžních toků</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Celkový čistý objem peněžních toků je roven součtu všech sloupců obsahujících „čisté“ položky, tj. sloupců 0040, 0080, 0120, 0160, 0200, 0240 a 0280, a vykáže se ve sloupci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až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Průměrná doba financování (v dnech)</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Vážený průměr doby financování (v dnech) všech splatných prostředků financování se vykáže ve sloupci 0300. Vážený průměr doby financování (v dnech) všech refinancovaných prostředků se vykáže ve sloupci 0310, vážený průměr doby financování (v dnech) všech nově získaných prostředků se vykáže ve sloupci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21440B4" w:rsidR="004963F1" w:rsidRDefault="004963F1">
        <w:pPr>
          <w:pStyle w:val="Footer"/>
          <w:jc w:val="center"/>
        </w:pPr>
        <w:r>
          <w:fldChar w:fldCharType="begin"/>
        </w:r>
        <w:r>
          <w:instrText xml:space="preserve"> PAGE   \* MERGEFORMAT </w:instrText>
        </w:r>
        <w:r>
          <w:fldChar w:fldCharType="separate"/>
        </w:r>
        <w:r w:rsidR="009A0FFE">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25E2C93D" w:rsidR="004963F1" w:rsidRDefault="004963F1">
        <w:pPr>
          <w:pStyle w:val="Footer"/>
          <w:jc w:val="center"/>
        </w:pPr>
        <w:r>
          <w:fldChar w:fldCharType="begin"/>
        </w:r>
        <w:r>
          <w:instrText xml:space="preserve"> PAGE   \* MERGEFORMAT </w:instrText>
        </w:r>
        <w:r>
          <w:fldChar w:fldCharType="separate"/>
        </w:r>
        <w:r w:rsidR="009A0FFE">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6E38DF"/>
    <w:multiLevelType w:val="multilevel"/>
    <w:tmpl w:val="0A3AD1F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C29681E"/>
    <w:multiLevelType w:val="multilevel"/>
    <w:tmpl w:val="85D2619A"/>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3"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6"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46C140E"/>
    <w:multiLevelType w:val="multilevel"/>
    <w:tmpl w:val="22987A6E"/>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2"/>
  </w:num>
  <w:num w:numId="2">
    <w:abstractNumId w:val="31"/>
  </w:num>
  <w:num w:numId="3">
    <w:abstractNumId w:val="24"/>
  </w:num>
  <w:num w:numId="4">
    <w:abstractNumId w:val="41"/>
  </w:num>
  <w:num w:numId="5">
    <w:abstractNumId w:val="39"/>
  </w:num>
  <w:num w:numId="6">
    <w:abstractNumId w:val="27"/>
  </w:num>
  <w:num w:numId="7">
    <w:abstractNumId w:val="14"/>
  </w:num>
  <w:num w:numId="8">
    <w:abstractNumId w:val="25"/>
  </w:num>
  <w:num w:numId="9">
    <w:abstractNumId w:val="21"/>
  </w:num>
  <w:num w:numId="10">
    <w:abstractNumId w:val="36"/>
  </w:num>
  <w:num w:numId="11">
    <w:abstractNumId w:val="28"/>
  </w:num>
  <w:num w:numId="12">
    <w:abstractNumId w:val="19"/>
  </w:num>
  <w:num w:numId="13">
    <w:abstractNumId w:val="22"/>
  </w:num>
  <w:num w:numId="14">
    <w:abstractNumId w:val="35"/>
  </w:num>
  <w:num w:numId="15">
    <w:abstractNumId w:val="12"/>
  </w:num>
  <w:num w:numId="16">
    <w:abstractNumId w:val="18"/>
  </w:num>
  <w:num w:numId="17">
    <w:abstractNumId w:val="30"/>
  </w:num>
  <w:num w:numId="18">
    <w:abstractNumId w:val="37"/>
  </w:num>
  <w:num w:numId="19">
    <w:abstractNumId w:val="40"/>
  </w:num>
  <w:num w:numId="20">
    <w:abstractNumId w:val="33"/>
  </w:num>
  <w:num w:numId="21">
    <w:abstractNumId w:val="34"/>
  </w:num>
  <w:num w:numId="22">
    <w:abstractNumId w:val="15"/>
  </w:num>
  <w:num w:numId="23">
    <w:abstractNumId w:val="23"/>
  </w:num>
  <w:num w:numId="24">
    <w:abstractNumId w:val="26"/>
  </w:num>
  <w:num w:numId="25">
    <w:abstractNumId w:val="24"/>
  </w:num>
  <w:num w:numId="26">
    <w:abstractNumId w:val="24"/>
  </w:num>
  <w:num w:numId="27">
    <w:abstractNumId w:val="24"/>
  </w:num>
  <w:num w:numId="28">
    <w:abstractNumId w:val="20"/>
  </w:num>
  <w:num w:numId="29">
    <w:abstractNumId w:val="29"/>
  </w:num>
  <w:num w:numId="30">
    <w:abstractNumId w:val="24"/>
  </w:num>
  <w:num w:numId="31">
    <w:abstractNumId w:val="11"/>
  </w:num>
  <w:num w:numId="32">
    <w:abstractNumId w:val="10"/>
  </w:num>
  <w:num w:numId="33">
    <w:abstractNumId w:val="17"/>
  </w:num>
  <w:num w:numId="34">
    <w:abstractNumId w:val="1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4"/>
  </w:num>
  <w:num w:numId="47">
    <w:abstractNumId w:val="13"/>
  </w:num>
  <w:num w:numId="48">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6D7"/>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0FF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cs-CZ"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cs-CZ" w:eastAsia="de-AT"/>
    </w:rPr>
  </w:style>
  <w:style w:type="character" w:customStyle="1" w:styleId="BalloonTextChar">
    <w:name w:val="Balloon Text Char"/>
    <w:link w:val="BalloonText"/>
    <w:semiHidden/>
    <w:rsid w:val="00167536"/>
    <w:rPr>
      <w:rFonts w:ascii="Tahoma" w:hAnsi="Tahoma" w:cs="Tahoma"/>
      <w:sz w:val="16"/>
      <w:szCs w:val="16"/>
      <w:lang w:val="cs-CZ" w:eastAsia="en-US"/>
    </w:rPr>
  </w:style>
  <w:style w:type="character" w:customStyle="1" w:styleId="PlainTextChar">
    <w:name w:val="Plain Text Char"/>
    <w:link w:val="PlainText"/>
    <w:semiHidden/>
    <w:rsid w:val="00167536"/>
    <w:rPr>
      <w:rFonts w:ascii="Consolas" w:hAnsi="Consolas"/>
      <w:sz w:val="21"/>
      <w:szCs w:val="21"/>
      <w:lang w:val="cs-CZ"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en-US"/>
    </w:rPr>
  </w:style>
  <w:style w:type="character" w:customStyle="1" w:styleId="FooterCoverPageChar">
    <w:name w:val="Footer Cover Page Char"/>
    <w:link w:val="FooterCoverPage"/>
    <w:rsid w:val="00167536"/>
    <w:rPr>
      <w:color w:val="4F81BD"/>
      <w:sz w:val="24"/>
      <w:szCs w:val="24"/>
      <w:lang w:val="cs-CZ"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DE8F7-7857-429C-B461-DEFEBA0A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4875</Words>
  <Characters>27641</Characters>
  <Application>Microsoft Office Word</Application>
  <DocSecurity>0</DocSecurity>
  <Lines>628</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2022-09-09T15:44:00Z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