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NL</w:t>
      </w:r>
      <w:r>
        <w:t xml:space="preserve"> </w:t>
      </w:r>
      <w:r>
        <w:br/>
      </w:r>
      <w:r>
        <w:rPr>
          <w:rFonts w:ascii="Times New Roman" w:hAnsi="Times New Roman"/>
          <w:b/>
          <w:sz w:val="24"/>
        </w:rPr>
        <w:t>ANNEX VIII</w:t>
      </w:r>
    </w:p>
    <w:p w14:paraId="7586364F" w14:textId="77777777" w:rsidR="00923A16" w:rsidRPr="00E6089C" w:rsidRDefault="00923A16" w:rsidP="00845EB1">
      <w:pPr>
        <w:jc w:val="center"/>
        <w:rPr>
          <w:rFonts w:ascii="Times New Roman" w:hAnsi="Times New Roman"/>
          <w:b/>
          <w:sz w:val="24"/>
        </w:rPr>
      </w:pPr>
    </w:p>
    <w:p w14:paraId="38DE6923" w14:textId="77777777" w:rsidR="00923A16" w:rsidRPr="00E6089C" w:rsidRDefault="00923A16" w:rsidP="00845EB1">
      <w:pPr>
        <w:jc w:val="center"/>
        <w:rPr>
          <w:rFonts w:ascii="Times New Roman" w:hAnsi="Times New Roman"/>
          <w:b/>
          <w:sz w:val="24"/>
        </w:rPr>
      </w:pPr>
    </w:p>
    <w:p w14:paraId="60311301" w14:textId="6E170F77" w:rsidR="0040604D" w:rsidRPr="0068244B" w:rsidRDefault="00515147" w:rsidP="00845EB1">
      <w:pPr>
        <w:jc w:val="center"/>
        <w:rPr>
          <w:b/>
          <w:u w:val="single"/>
        </w:rPr>
      </w:pPr>
      <w:r>
        <w:rPr>
          <w:b/>
          <w:u w:val="single"/>
        </w:rPr>
        <w:t>“BIJLAGE XXI</w:t>
      </w:r>
    </w:p>
    <w:p w14:paraId="55B2E7E1" w14:textId="45F1B4D9" w:rsidR="0040604D" w:rsidRPr="0068244B" w:rsidRDefault="0040604D" w:rsidP="00D02291">
      <w:pPr>
        <w:jc w:val="center"/>
        <w:rPr>
          <w:b/>
        </w:rPr>
      </w:pPr>
      <w:r>
        <w:rPr>
          <w:b/>
        </w:rPr>
        <w:t>INSTRUCTIES VOOR HET INVULLEN VAN DE TEMPLATE INZAKE CONCENTRATIE VAN NEUTRALISERENDE CAPACITEIT (C 71.00) VAN BIJLAGE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Concentratie van neutraliserende capaciteit per uitgevende instelling/tegenpartij (CCC)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Om aan de hand van template C 71.00 over de concentratie van neutraliserende capaciteit (</w:t>
      </w:r>
      <w:proofErr w:type="spellStart"/>
      <w:r>
        <w:rPr>
          <w:rFonts w:ascii="Times New Roman" w:hAnsi="Times New Roman"/>
          <w:sz w:val="24"/>
        </w:rPr>
        <w:t>Counterbalancing</w:t>
      </w:r>
      <w:proofErr w:type="spellEnd"/>
      <w:r>
        <w:rPr>
          <w:rFonts w:ascii="Times New Roman" w:hAnsi="Times New Roman"/>
          <w:sz w:val="24"/>
        </w:rPr>
        <w:t xml:space="preserve"> </w:t>
      </w:r>
      <w:proofErr w:type="spellStart"/>
      <w:r>
        <w:rPr>
          <w:rFonts w:ascii="Times New Roman" w:hAnsi="Times New Roman"/>
          <w:sz w:val="24"/>
        </w:rPr>
        <w:t>Capacity</w:t>
      </w:r>
      <w:proofErr w:type="spellEnd"/>
      <w:r>
        <w:rPr>
          <w:rFonts w:ascii="Times New Roman" w:hAnsi="Times New Roman"/>
          <w:sz w:val="24"/>
        </w:rPr>
        <w:t>) van de rapporterende instellingen informatie te verzamelen aan de hand van de tien grootse portefeuilles van activa of voor dit doeleinde aan de instelling toegekende liquiditeitslijnen, volgen de instellingen de in deze bijlage opgenomen instructies.</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Indien een uitgevende instelling of tegenpartij bij meer dan één productsoort, valuta of kredietkwaliteitscategorie wordt ingedeeld, wordt het totale bedrag gerapporteerd. De productsoort, valuta of kredietkwaliteitscategorie wordt gerapporteerd die relevant is voor het grootste gedeelte van de concentratie van neutraliserende capaciteit.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De neutraliserende capaciteit in C 71.00 is dezelfde als die in C 66.01, met dien verstande dat de activa die als neutraliserende capaciteit voor C 71.00 worden gerapporteerd, onbezwaard zijn, zodat de instelling er op de rapportagereferentiedatum over kan beschikken om ze te gelde te maken.</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Voor de berekening van de concentraties voor rapportagetemplate C 71.00 per significante valuta gebruiken de instellingen de concentraties in alle valuta.</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Indien een uitgevende instelling of tegenpartij tot verschillende groepen verbonden cliënten behoort, wordt deze slechts één keer gerapporteerd in de groep met de hoogste concentratie van neutraliserende capaciteit.</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Behalve in rij 0120 worden in deze template geen concentraties van neutraliserende capaciteit met een centrale bank als uitgevende instelling of tegenpartij gerapporteerd. In geval bij een centrale bank “prepositioning” van activa door een instelling heeft plaatsgevonden voor normale liquiditeitsoperaties en voor zover deze activa tot de tien grootste uitgevende instellingen of tegenpartijen van onbezwaarde neutraliserende capaciteit behoren, rapporteert de instelling de oorspronkelijke uitgevende instelling en de oorspronkelijke productsoort.</w:t>
      </w:r>
    </w:p>
    <w:p w14:paraId="423289FA" w14:textId="77777777" w:rsidR="00E05204" w:rsidRPr="00E6089C"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Kolom</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Verwijzingen naar wetgeving en instructies</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Naam uitgevende instelling</w:t>
            </w:r>
          </w:p>
          <w:p w14:paraId="36B02E7E" w14:textId="3FDFB966" w:rsidR="00E05204" w:rsidRPr="0068244B" w:rsidRDefault="00E05204" w:rsidP="00D665FC">
            <w:pPr>
              <w:rPr>
                <w:rFonts w:ascii="Times New Roman" w:hAnsi="Times New Roman"/>
                <w:sz w:val="24"/>
              </w:rPr>
            </w:pPr>
            <w:r>
              <w:rPr>
                <w:rFonts w:ascii="Times New Roman" w:hAnsi="Times New Roman"/>
                <w:sz w:val="24"/>
              </w:rPr>
              <w:t xml:space="preserve">De naam van de tien grootste uitgevende instellingen van onbezwaarde activa of tegenpartijen van aan de instelling toegekende onbenutte </w:t>
            </w:r>
            <w:r>
              <w:rPr>
                <w:rFonts w:ascii="Times New Roman" w:hAnsi="Times New Roman"/>
                <w:sz w:val="24"/>
              </w:rPr>
              <w:lastRenderedPageBreak/>
              <w:t>gecommitteerde liquiditeitslijnen wordt in afnemende grootte vermeld in kolom 0010. De grootste post wordt vermeld in 1.01, de op één na grootste in 1.02, enzovoort.</w:t>
            </w:r>
            <w:r>
              <w:t xml:space="preserve"> </w:t>
            </w:r>
            <w:r>
              <w:rPr>
                <w:rFonts w:ascii="Times New Roman" w:hAnsi="Times New Roman"/>
                <w:sz w:val="24"/>
              </w:rPr>
              <w:t>Uitgevende instellingen en tegenpartijen die een groep verbonden cliënten vormen, worden als één concentratie gerapporteerd.</w:t>
            </w:r>
          </w:p>
          <w:p w14:paraId="4E01B5DA" w14:textId="4F0E946D" w:rsidR="00E05204" w:rsidRPr="0068244B" w:rsidRDefault="00E05204" w:rsidP="00C05CCA">
            <w:pPr>
              <w:rPr>
                <w:rFonts w:ascii="Times New Roman" w:hAnsi="Times New Roman"/>
                <w:sz w:val="24"/>
              </w:rPr>
            </w:pPr>
            <w:r>
              <w:rPr>
                <w:rFonts w:ascii="Times New Roman" w:hAnsi="Times New Roman"/>
                <w:sz w:val="24"/>
              </w:rPr>
              <w:t>De naam van de uitgevende instelling of tegenpartij die wordt vermeld, is de volledige naam van de rechtspersoon die de activa heeft uitgegeven of de liquiditeitslijnen heeft toegekend, inclusief de aanduiding van de ondernemingsvorm overeenkomstig het nationale vennootschapsrecht.</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LEI-code</w:t>
            </w:r>
          </w:p>
          <w:p w14:paraId="7861A1B2" w14:textId="0A8A8B52" w:rsidR="00E05204" w:rsidRPr="0068244B" w:rsidRDefault="00E05204" w:rsidP="00C05CCA">
            <w:pPr>
              <w:rPr>
                <w:b/>
                <w:sz w:val="24"/>
              </w:rPr>
            </w:pPr>
            <w:r>
              <w:rPr>
                <w:rFonts w:ascii="Times New Roman" w:hAnsi="Times New Roman"/>
                <w:sz w:val="24"/>
              </w:rPr>
              <w:t xml:space="preserve">De identificatiecode voor juridische entiteiten (LEI) van de tegenpartij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Sector uitgevende instelling</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Iedere uitgevende instelling of tegenpartij krijgt één sector toegewezen op basis van de volgende FINREP-indeling van economische sectoren (zie deel 1 van bijlage V bij deze uitvoeringsverordening):</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algemene overheden; ii) kredietinstellingen; iii) overige financiële vennootschappen; iv) niet-financiële vennootschappen; v) huishoudens. </w:t>
            </w:r>
          </w:p>
          <w:p w14:paraId="3E53ACDF" w14:textId="14712E31" w:rsidR="00E05204" w:rsidRPr="0068244B" w:rsidRDefault="00E05204" w:rsidP="008C0F1F">
            <w:pPr>
              <w:rPr>
                <w:rFonts w:ascii="Times New Roman" w:hAnsi="Times New Roman"/>
                <w:sz w:val="24"/>
              </w:rPr>
            </w:pPr>
            <w:r>
              <w:rPr>
                <w:rFonts w:ascii="Times New Roman" w:hAnsi="Times New Roman"/>
                <w:sz w:val="24"/>
              </w:rPr>
              <w:t>Voor groepen verbonden cliënten wordt geen sector gerapporteerd.</w:t>
            </w:r>
            <w:r>
              <w:rPr>
                <w:rStyle w:val="FormatvorlageInstructionsTabelleText"/>
                <w:rFonts w:ascii="Times New Roman" w:hAnsi="Times New Roman"/>
                <w:sz w:val="24"/>
              </w:rPr>
              <w:t xml:space="preserve">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5BB1A0C4"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Vestigingsplaats uitgevende instelling </w:t>
            </w:r>
            <w:bookmarkStart w:id="0" w:name="_GoBack"/>
            <w:bookmarkEnd w:id="0"/>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w:t>
            </w:r>
            <w:proofErr w:type="spellStart"/>
            <w:r>
              <w:rPr>
                <w:rStyle w:val="FormatvorlageInstructionsTabelleText"/>
                <w:rFonts w:ascii="Times New Roman" w:hAnsi="Times New Roman"/>
                <w:sz w:val="24"/>
              </w:rPr>
              <w:t>tweeletterige</w:t>
            </w:r>
            <w:proofErr w:type="spellEnd"/>
            <w:r>
              <w:rPr>
                <w:rStyle w:val="FormatvorlageInstructionsTabelleText"/>
                <w:rFonts w:ascii="Times New Roman" w:hAnsi="Times New Roman"/>
                <w:sz w:val="24"/>
              </w:rPr>
              <w:t xml:space="preserve"> ISO-3166-1-code van het land van oprichting van de uitgevende instelling of tegenpartij wordt gebruikt, inclusief pseudo-ISO-codes voor internationale organisaties; zie de meest recente uitgave van het “Balance of </w:t>
            </w:r>
            <w:proofErr w:type="spellStart"/>
            <w:r>
              <w:rPr>
                <w:rStyle w:val="FormatvorlageInstructionsTabelleText"/>
                <w:rFonts w:ascii="Times New Roman" w:hAnsi="Times New Roman"/>
                <w:sz w:val="24"/>
              </w:rPr>
              <w:t>Payments</w:t>
            </w:r>
            <w:proofErr w:type="spellEnd"/>
            <w:r>
              <w:rPr>
                <w:rStyle w:val="FormatvorlageInstructionsTabelleText"/>
                <w:rFonts w:ascii="Times New Roman" w:hAnsi="Times New Roman"/>
                <w:sz w:val="24"/>
              </w:rPr>
              <w:t xml:space="preserve"> Vademecum” van Eurostat.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Voor groepen verbonden cliënten wordt geen land gerapporteerd.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Productsoort</w:t>
            </w:r>
          </w:p>
          <w:p w14:paraId="7DC48699" w14:textId="4D5DEEF0" w:rsidR="00E05204" w:rsidRPr="0068244B" w:rsidRDefault="00E05204" w:rsidP="00D665FC">
            <w:pPr>
              <w:rPr>
                <w:rFonts w:ascii="Times New Roman" w:hAnsi="Times New Roman"/>
                <w:sz w:val="24"/>
              </w:rPr>
            </w:pPr>
            <w:r>
              <w:rPr>
                <w:rFonts w:ascii="Times New Roman" w:hAnsi="Times New Roman"/>
                <w:sz w:val="24"/>
              </w:rPr>
              <w:t>In kolom 0010 gerapporteerde uitgevende instellingen/tegenpartijen krijgen een productsoort toegewezen die overeenstemt met het uitgegeven product waarin het activum wordt gehouden of de stand-by liquiditeitsfaciliteit is ontvangen. Daarbij worden de volgende vetgedrukte codes gebruikt:</w:t>
            </w:r>
          </w:p>
          <w:p w14:paraId="1CB9AEA2" w14:textId="77777777" w:rsidR="00E05204" w:rsidRPr="0068244B" w:rsidRDefault="00E05204" w:rsidP="00D665FC">
            <w:pPr>
              <w:rPr>
                <w:rFonts w:ascii="Times New Roman" w:hAnsi="Times New Roman"/>
                <w:sz w:val="24"/>
              </w:rPr>
            </w:pPr>
            <w:bookmarkStart w:id="1" w:name="OLE_LINK1"/>
            <w:proofErr w:type="spellStart"/>
            <w:r>
              <w:rPr>
                <w:rFonts w:ascii="Times New Roman" w:hAnsi="Times New Roman"/>
                <w:b/>
                <w:sz w:val="24"/>
              </w:rPr>
              <w:t>SrB</w:t>
            </w:r>
            <w:proofErr w:type="spellEnd"/>
            <w:r>
              <w:rPr>
                <w:rFonts w:ascii="Times New Roman" w:hAnsi="Times New Roman"/>
                <w:sz w:val="24"/>
              </w:rPr>
              <w:t xml:space="preserve"> (senior obligatie); </w:t>
            </w:r>
          </w:p>
          <w:p w14:paraId="6ADB0D10" w14:textId="77777777" w:rsidR="00E05204" w:rsidRPr="0068244B" w:rsidRDefault="00E05204" w:rsidP="00D665FC">
            <w:pPr>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sz w:val="24"/>
              </w:rPr>
              <w:t xml:space="preserve"> (achtergestelde obligatie);</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(commercial paper);</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(gedekte obligaties);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(icbe-effect, d.w.z. financiële instrumenten die een aandeel in of een door een instelling voor collectieve belegging in effecten uitgegeven effect vertegenwoordigen);</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(door activa gedekt effect);</w:t>
            </w:r>
          </w:p>
          <w:p w14:paraId="47B806DE" w14:textId="77777777" w:rsidR="00E05204" w:rsidRPr="0068244B" w:rsidRDefault="00E05204">
            <w:pPr>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sz w:val="24"/>
              </w:rPr>
              <w:t xml:space="preserve"> (kredietvordering);</w:t>
            </w:r>
          </w:p>
          <w:p w14:paraId="77F497F4" w14:textId="77777777" w:rsidR="00E05204" w:rsidRPr="0068244B" w:rsidRDefault="00E05204">
            <w:pPr>
              <w:rPr>
                <w:rFonts w:ascii="Times New Roman" w:hAnsi="Times New Roman"/>
                <w:sz w:val="24"/>
              </w:rPr>
            </w:pPr>
            <w:proofErr w:type="spellStart"/>
            <w:r>
              <w:rPr>
                <w:rFonts w:ascii="Times New Roman" w:hAnsi="Times New Roman"/>
                <w:b/>
                <w:sz w:val="24"/>
              </w:rPr>
              <w:t>Eq</w:t>
            </w:r>
            <w:proofErr w:type="spellEnd"/>
            <w:r>
              <w:rPr>
                <w:rFonts w:ascii="Times New Roman" w:hAnsi="Times New Roman"/>
                <w:sz w:val="24"/>
              </w:rPr>
              <w:t xml:space="preserve"> (aandelen);</w:t>
            </w:r>
          </w:p>
          <w:p w14:paraId="3F4E3AAB" w14:textId="396B9AF6" w:rsidR="00E05204" w:rsidRPr="0068244B" w:rsidRDefault="00E05204">
            <w:pPr>
              <w:rPr>
                <w:rFonts w:ascii="Times New Roman" w:hAnsi="Times New Roman"/>
                <w:b/>
                <w:sz w:val="24"/>
              </w:rPr>
            </w:pPr>
            <w:r>
              <w:rPr>
                <w:rFonts w:ascii="Times New Roman" w:hAnsi="Times New Roman"/>
                <w:b/>
                <w:sz w:val="24"/>
              </w:rPr>
              <w:lastRenderedPageBreak/>
              <w:t>Goud (indien fysiek goud, dat als één tegenpartij kan worden behandeld);</w:t>
            </w:r>
          </w:p>
          <w:p w14:paraId="6AE61C73" w14:textId="77777777" w:rsidR="00E05204" w:rsidRPr="0068244B" w:rsidRDefault="00E05204">
            <w:pPr>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sz w:val="24"/>
              </w:rPr>
              <w:t xml:space="preserve"> (aan de instelling toegekende niet-opgenomen toegezegde kredietlijn);</w:t>
            </w:r>
          </w:p>
          <w:p w14:paraId="23B5C30F" w14:textId="77777777" w:rsidR="00E05204" w:rsidRPr="0068244B" w:rsidRDefault="00E05204">
            <w:pPr>
              <w:rPr>
                <w:rFonts w:ascii="Times New Roman" w:hAnsi="Times New Roman"/>
                <w:b/>
                <w:sz w:val="24"/>
              </w:rPr>
            </w:pPr>
            <w:r>
              <w:rPr>
                <w:rFonts w:ascii="Times New Roman" w:hAnsi="Times New Roman"/>
                <w:b/>
                <w:sz w:val="24"/>
              </w:rPr>
              <w:t>OPT</w:t>
            </w:r>
            <w:r>
              <w:rPr>
                <w:rFonts w:ascii="Times New Roman" w:hAnsi="Times New Roman"/>
                <w:sz w:val="24"/>
              </w:rPr>
              <w:t xml:space="preserve"> (andere productsoort).</w:t>
            </w:r>
            <w:bookmarkEnd w:id="1"/>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Valuta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Bij de in kolom 0010 vermelde uitgevende instellingen of tegenpartijen wordt in kolom 0060 een valuta-ISO-code vermeld die overeenstemt met de valuta van het ontvangen activum of van de aan de instelling toegekende onbenutte gecommitteerde liquiditeitslijnen. Hier wordt de </w:t>
            </w:r>
            <w:proofErr w:type="spellStart"/>
            <w:r>
              <w:rPr>
                <w:rFonts w:ascii="Times New Roman" w:hAnsi="Times New Roman"/>
                <w:sz w:val="24"/>
              </w:rPr>
              <w:t>drieletterige</w:t>
            </w:r>
            <w:proofErr w:type="spellEnd"/>
            <w:r>
              <w:rPr>
                <w:rFonts w:ascii="Times New Roman" w:hAnsi="Times New Roman"/>
                <w:sz w:val="24"/>
              </w:rPr>
              <w:t xml:space="preserve"> ISO 4217-valutacode vermeld. </w:t>
            </w:r>
          </w:p>
          <w:p w14:paraId="74611C9A" w14:textId="7CC928F5" w:rsidR="00774708" w:rsidRPr="0068244B" w:rsidRDefault="00047ECB" w:rsidP="00BC5835">
            <w:pPr>
              <w:rPr>
                <w:rFonts w:ascii="Times New Roman" w:hAnsi="Times New Roman"/>
                <w:sz w:val="24"/>
              </w:rPr>
            </w:pPr>
            <w:r>
              <w:rPr>
                <w:rFonts w:ascii="Times New Roman" w:hAnsi="Times New Roman"/>
                <w:sz w:val="24"/>
              </w:rPr>
              <w:t>Wanneer een lijn in meerdere valuta deel uitmaakt van een concentratie van neutraliserende capaciteit, wordt deze lijn vermeld in de valuta die in de rest van de concentratie overheerst. Wat betreft de afzonderlijke rapportage in significante valuta zoals bepaald onder artikel 415, lid 2, van Verordening (EU) nr. 575/2013, maken instellingen een beoordeling van de valuta waarin de stroom waarschijnlijk zal plaatsvinden en rapporteren zij de post alleen in die significante valuta, in lijn met de instructies voor de afzonderlijke rapportage van significante valuta met betrekking tot de liquiditeitsdekkingsvereisten (LCR), in overeenstemming met Verordening (EU)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Kredietkwaliteitscategorie</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De passende kredietkwaliteitscategorie wordt toegekend overeenkomstig Verordening (EU) nr. 575/2013 en is dezelfde als die van de in de looptijdklassen gerapporteerde posten. Indien er geen rating is, wordt de vermelding “zonder rating” gebruikt.</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Marktwaarde/nominale waarde</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De marktwaarde of de reële waarde van de activa of, indien toepasselijk, de nominale waarde van de aan de instelling toegekende niet-opgenomen toegezegde kredietlijn.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Voor centrale bank toelaatbare waarde van zekerheden</w:t>
            </w:r>
          </w:p>
          <w:p w14:paraId="507C4FE8" w14:textId="2A6E5839" w:rsidR="00E05204" w:rsidRPr="0068244B" w:rsidRDefault="00E05204" w:rsidP="00047ECB">
            <w:pPr>
              <w:rPr>
                <w:rFonts w:ascii="Times New Roman" w:hAnsi="Times New Roman"/>
                <w:sz w:val="24"/>
              </w:rPr>
            </w:pPr>
            <w:r>
              <w:rPr>
                <w:rFonts w:ascii="Times New Roman" w:hAnsi="Times New Roman"/>
                <w:sz w:val="24"/>
              </w:rPr>
              <w:t>De waarde van zekerheden volgens de regels van de centrale bank voor permanente faciliteiten voor de specifieke activa.</w:t>
            </w:r>
          </w:p>
          <w:p w14:paraId="4C124B93" w14:textId="47121B94" w:rsidR="00BA0551" w:rsidRPr="0068244B" w:rsidRDefault="00B457F4" w:rsidP="00515147">
            <w:pPr>
              <w:rPr>
                <w:rFonts w:ascii="Times New Roman" w:hAnsi="Times New Roman"/>
                <w:sz w:val="24"/>
              </w:rPr>
            </w:pPr>
            <w:r>
              <w:rPr>
                <w:rFonts w:ascii="Times New Roman" w:hAnsi="Times New Roman"/>
                <w:sz w:val="24"/>
              </w:rPr>
              <w:t>Voor activa in een valuta die in de bijlage bij Uitvoeringsverordening (EU) 2015/233 van de Commissie is opgenomen als een valuta waarvoor de centrale bank zeer nauw omschreven toelaatbaarheidscriteria hanteert, laten de instellingen dit veld open.</w:t>
            </w:r>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w:t>
      </w:r>
      <w:r>
        <w:t xml:space="preserve"> Uitvoeringsverordening (EU) 2015/233 van de Commissie van 13 februari 2015 tot vaststelling van technische uitvoeringsnormen met betrekking tot valuta waarin de centrale bank zeer nauw omschreven toelaatbaarheidscriteria hanteert ingevolge </w:t>
      </w:r>
      <w:r>
        <w:lastRenderedPageBreak/>
        <w:t xml:space="preserve">Verordening (EU) nr. 575/2013 van het Europees Parlement en de Raad (PB L 39 van 14.2.2015, blz.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479F715B" w:rsidR="008E3ABF" w:rsidRDefault="008E3ABF">
        <w:pPr>
          <w:pStyle w:val="Footer"/>
          <w:jc w:val="center"/>
        </w:pPr>
        <w:r>
          <w:fldChar w:fldCharType="begin"/>
        </w:r>
        <w:r>
          <w:instrText xml:space="preserve"> PAGE   \* MERGEFORMAT </w:instrText>
        </w:r>
        <w:r>
          <w:fldChar w:fldCharType="separate"/>
        </w:r>
        <w:r w:rsidR="0088554F">
          <w:rPr>
            <w:noProof/>
          </w:rPr>
          <w:t>4</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24DAC770" w:rsidR="009B3D8D" w:rsidRDefault="009B3D8D">
        <w:pPr>
          <w:pStyle w:val="Footer"/>
          <w:jc w:val="center"/>
        </w:pPr>
        <w:r>
          <w:fldChar w:fldCharType="begin"/>
        </w:r>
        <w:r>
          <w:instrText xml:space="preserve"> PAGE   \* MERGEFORMAT </w:instrText>
        </w:r>
        <w:r>
          <w:fldChar w:fldCharType="separate"/>
        </w:r>
        <w:r w:rsidR="0088554F">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554F"/>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89C"/>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6783"/>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nl-N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nl-NL"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nl-NL"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nl-NL" w:eastAsia="en-US" w:bidi="ar-SA"/>
    </w:rPr>
  </w:style>
  <w:style w:type="character" w:customStyle="1" w:styleId="FunoteChar">
    <w:name w:val="Fußnote Char"/>
    <w:aliases w:val=" Char Char Char"/>
    <w:semiHidden/>
    <w:rsid w:val="009D253B"/>
    <w:rPr>
      <w:rFonts w:ascii="Arial" w:hAnsi="Arial"/>
      <w:sz w:val="18"/>
      <w:lang w:val="nl-N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nl-N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nl-N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nl-NL"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nl-NL"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nl-NL"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nl-NL"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EBB5F-8CEC-449F-A947-CF09E694E516}">
  <ds:schemaRefs>
    <ds:schemaRef ds:uri="http://schemas.openxmlformats.org/officeDocument/2006/bibliography"/>
  </ds:schemaRefs>
</ds:datastoreItem>
</file>

<file path=customXml/itemProps2.xml><?xml version="1.0" encoding="utf-8"?>
<ds:datastoreItem xmlns:ds="http://schemas.openxmlformats.org/officeDocument/2006/customXml" ds:itemID="{17302D1B-0AB5-45DC-ACFF-D33794989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926</Words>
  <Characters>6083</Characters>
  <Application>Microsoft Office Word</Application>
  <DocSecurity>0</DocSecurity>
  <Lines>144</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2022-02-23T12:23:00Z</dcterms:created>
  <dcterms:modified xsi:type="dcterms:W3CDTF">2022-11-11T13:49:00Z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