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68244B" w:rsidRDefault="00845EB1" w:rsidP="00845EB1">
      <w:pPr>
        <w:jc w:val="center"/>
        <w:rPr>
          <w:rFonts w:ascii="Times New Roman" w:hAnsi="Times New Roman"/>
          <w:b/>
          <w:sz w:val="24"/>
        </w:rPr>
      </w:pPr>
      <w:bookmarkStart w:id="0" w:name="_GoBack"/>
      <w:bookmarkEnd w:id="0"/>
      <w:r>
        <w:rPr>
          <w:rFonts w:ascii="Times New Roman" w:hAnsi="Times New Roman"/>
          <w:b/>
          <w:sz w:val="24"/>
        </w:rPr>
        <w:t>PL</w:t>
      </w:r>
      <w:r>
        <w:t xml:space="preserve"> </w:t>
      </w:r>
      <w:r>
        <w:br/>
      </w:r>
      <w:r>
        <w:rPr>
          <w:rFonts w:ascii="Times New Roman" w:hAnsi="Times New Roman"/>
          <w:b/>
          <w:sz w:val="24"/>
        </w:rPr>
        <w:t>ZAŁĄCZNIK VIII</w:t>
      </w:r>
    </w:p>
    <w:p w14:paraId="7586364F" w14:textId="77777777" w:rsidR="00923A16" w:rsidRPr="00855CFA" w:rsidRDefault="00923A16" w:rsidP="00845EB1">
      <w:pPr>
        <w:jc w:val="center"/>
        <w:rPr>
          <w:rFonts w:ascii="Times New Roman" w:hAnsi="Times New Roman"/>
          <w:b/>
          <w:sz w:val="24"/>
        </w:rPr>
      </w:pPr>
    </w:p>
    <w:p w14:paraId="38DE6923" w14:textId="77777777" w:rsidR="00923A16" w:rsidRPr="00855CFA" w:rsidRDefault="00923A16" w:rsidP="00845EB1">
      <w:pPr>
        <w:jc w:val="center"/>
        <w:rPr>
          <w:rFonts w:ascii="Times New Roman" w:hAnsi="Times New Roman"/>
          <w:b/>
          <w:sz w:val="24"/>
        </w:rPr>
      </w:pPr>
    </w:p>
    <w:p w14:paraId="60311301" w14:textId="6E170F77" w:rsidR="0040604D" w:rsidRPr="0068244B" w:rsidRDefault="00515147" w:rsidP="00845EB1">
      <w:pPr>
        <w:jc w:val="center"/>
        <w:rPr>
          <w:b/>
          <w:u w:val="single"/>
        </w:rPr>
      </w:pPr>
      <w:r>
        <w:rPr>
          <w:b/>
          <w:u w:val="single"/>
        </w:rPr>
        <w:t>„ZAŁĄCZNIK XXI</w:t>
      </w:r>
    </w:p>
    <w:p w14:paraId="55B2E7E1" w14:textId="45F1B4D9" w:rsidR="0040604D" w:rsidRPr="0068244B" w:rsidRDefault="0040604D" w:rsidP="00D02291">
      <w:pPr>
        <w:jc w:val="center"/>
        <w:rPr>
          <w:b/>
        </w:rPr>
      </w:pPr>
      <w:r>
        <w:rPr>
          <w:b/>
        </w:rPr>
        <w:t>INSTRUKCJE WYPEŁNIANIA WZORU DOTYCZĄCEGO KONCENTRACJI ZDOLNOŚCI RÓWNOWAŻENIA PŁYNNOŚCI (C 71.00) ZAWARTEGO W ZAŁĄCZNIKU XX</w:t>
      </w:r>
    </w:p>
    <w:p w14:paraId="4B767D67" w14:textId="77777777" w:rsidR="0040604D" w:rsidRPr="0068244B" w:rsidRDefault="0040604D" w:rsidP="00845EB1">
      <w:pPr>
        <w:pStyle w:val="InstructionsText"/>
      </w:pPr>
    </w:p>
    <w:p w14:paraId="1BB5AA04" w14:textId="77777777" w:rsidR="00E05204" w:rsidRPr="0068244B" w:rsidRDefault="00E05204" w:rsidP="00E05204">
      <w:pPr>
        <w:rPr>
          <w:rFonts w:ascii="Times New Roman" w:hAnsi="Times New Roman"/>
          <w:sz w:val="24"/>
          <w:u w:val="single"/>
        </w:rPr>
      </w:pPr>
      <w:r>
        <w:rPr>
          <w:rFonts w:ascii="Times New Roman" w:hAnsi="Times New Roman"/>
          <w:sz w:val="24"/>
          <w:u w:val="single"/>
        </w:rPr>
        <w:t>Koncentracja zdolności równoważenia płynności według emitenta/kontrahenta (CCC) (C 71.00)</w:t>
      </w:r>
    </w:p>
    <w:p w14:paraId="23482DE0" w14:textId="77777777" w:rsidR="00111A31" w:rsidRPr="0068244B" w:rsidRDefault="00111A31" w:rsidP="00845EB1">
      <w:pPr>
        <w:pStyle w:val="InstructionsText"/>
      </w:pPr>
    </w:p>
    <w:p w14:paraId="2314BCB9" w14:textId="6ED2F86D" w:rsidR="00B1719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rPr>
        <w:t>1.</w:t>
      </w:r>
      <w:r>
        <w:tab/>
      </w:r>
      <w:r>
        <w:rPr>
          <w:rFonts w:ascii="Times New Roman" w:hAnsi="Times New Roman"/>
          <w:sz w:val="24"/>
        </w:rPr>
        <w:t>W celu zebrania we wzorze C 71.00 informacji</w:t>
      </w:r>
      <w:r w:rsidR="00C12A6F">
        <w:rPr>
          <w:rFonts w:ascii="Times New Roman" w:hAnsi="Times New Roman"/>
          <w:sz w:val="24"/>
        </w:rPr>
        <w:t xml:space="preserve"> o kon</w:t>
      </w:r>
      <w:r>
        <w:rPr>
          <w:rFonts w:ascii="Times New Roman" w:hAnsi="Times New Roman"/>
          <w:sz w:val="24"/>
        </w:rPr>
        <w:t>centracji zdolności równoważenia płynności instytucji sprawozdającej</w:t>
      </w:r>
      <w:r w:rsidR="00C12A6F">
        <w:rPr>
          <w:rFonts w:ascii="Times New Roman" w:hAnsi="Times New Roman"/>
          <w:sz w:val="24"/>
        </w:rPr>
        <w:t xml:space="preserve"> w odn</w:t>
      </w:r>
      <w:r>
        <w:rPr>
          <w:rFonts w:ascii="Times New Roman" w:hAnsi="Times New Roman"/>
          <w:sz w:val="24"/>
        </w:rPr>
        <w:t>iesieniu do dziesięciu największych posiadanych pakietów aktywów lub instrumentów płynnościowych przyznanych instytucji</w:t>
      </w:r>
      <w:r w:rsidR="00C12A6F">
        <w:rPr>
          <w:rFonts w:ascii="Times New Roman" w:hAnsi="Times New Roman"/>
          <w:sz w:val="24"/>
        </w:rPr>
        <w:t xml:space="preserve"> w tym</w:t>
      </w:r>
      <w:r>
        <w:rPr>
          <w:rFonts w:ascii="Times New Roman" w:hAnsi="Times New Roman"/>
          <w:sz w:val="24"/>
        </w:rPr>
        <w:t xml:space="preserve"> celu, instytucje stosują instrukcje zawarte</w:t>
      </w:r>
      <w:r w:rsidR="00C12A6F">
        <w:rPr>
          <w:rFonts w:ascii="Times New Roman" w:hAnsi="Times New Roman"/>
          <w:sz w:val="24"/>
        </w:rPr>
        <w:t xml:space="preserve"> w nin</w:t>
      </w:r>
      <w:r>
        <w:rPr>
          <w:rFonts w:ascii="Times New Roman" w:hAnsi="Times New Roman"/>
          <w:sz w:val="24"/>
        </w:rPr>
        <w:t>iejszym załączniku.</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 xml:space="preserve">Jeżeli emitent lub kontrahent jest przypisany do więcej niż jednego rodzaju produktu, więcej niż jednej waluty lub więcej niż jednego stopnia jakości kredytowej, zgłasza się pełną kwotę. Rodzaj produktu, waluta lub stopień jakości kredytowej, które należy zgłosić, muszą się odnosić do największej części koncentracji zdolności równoważenia płynności. </w:t>
      </w:r>
    </w:p>
    <w:p w14:paraId="1A86D9FE" w14:textId="1F862E1F" w:rsidR="00FF4741"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3.</w:t>
      </w:r>
      <w:r>
        <w:tab/>
      </w:r>
      <w:r>
        <w:rPr>
          <w:rFonts w:ascii="Times New Roman" w:hAnsi="Times New Roman"/>
          <w:sz w:val="24"/>
        </w:rPr>
        <w:t>Zdolność równoważenia płynności we wzorze C 71.00 musi być taka sama jak podana we wzorze C 66.01,</w:t>
      </w:r>
      <w:r w:rsidR="00C12A6F">
        <w:rPr>
          <w:rFonts w:ascii="Times New Roman" w:hAnsi="Times New Roman"/>
          <w:sz w:val="24"/>
        </w:rPr>
        <w:t xml:space="preserve"> z zas</w:t>
      </w:r>
      <w:r>
        <w:rPr>
          <w:rFonts w:ascii="Times New Roman" w:hAnsi="Times New Roman"/>
          <w:sz w:val="24"/>
        </w:rPr>
        <w:t>trzeżeniem że aktywa zgłoszone jako zdolność równoważenia płynności do celów wzoru C</w:t>
      </w:r>
      <w:r>
        <w:t xml:space="preserve"> </w:t>
      </w:r>
      <w:r>
        <w:rPr>
          <w:rFonts w:ascii="Times New Roman" w:hAnsi="Times New Roman"/>
          <w:sz w:val="24"/>
        </w:rPr>
        <w:t>71.00 muszą być nieobciążone, tak aby były dostępne dla instytucji</w:t>
      </w:r>
      <w:r w:rsidR="00C12A6F">
        <w:rPr>
          <w:rFonts w:ascii="Times New Roman" w:hAnsi="Times New Roman"/>
          <w:sz w:val="24"/>
        </w:rPr>
        <w:t xml:space="preserve"> w cel</w:t>
      </w:r>
      <w:r>
        <w:rPr>
          <w:rFonts w:ascii="Times New Roman" w:hAnsi="Times New Roman"/>
          <w:sz w:val="24"/>
        </w:rPr>
        <w:t>u ich zamiany na środki pieniężne na sprawozdawczy dzień odniesienia.</w:t>
      </w:r>
    </w:p>
    <w:p w14:paraId="52C95F92" w14:textId="2D684A78" w:rsidR="00EF029F"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W celu obliczenia koncentracji</w:t>
      </w:r>
      <w:r w:rsidR="00C12A6F">
        <w:rPr>
          <w:rFonts w:ascii="Times New Roman" w:hAnsi="Times New Roman"/>
          <w:sz w:val="24"/>
        </w:rPr>
        <w:t xml:space="preserve"> w pod</w:t>
      </w:r>
      <w:r>
        <w:rPr>
          <w:rFonts w:ascii="Times New Roman" w:hAnsi="Times New Roman"/>
          <w:sz w:val="24"/>
        </w:rPr>
        <w:t>ziale na waluty znaczące na potrzeby wzoru C 71.00 instytucje stosują koncentracje we wszystkich walutach.</w:t>
      </w:r>
    </w:p>
    <w:p w14:paraId="5D592CDE" w14:textId="4AA8E147" w:rsidR="0005633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Jeżeli emitent lub kontrahent należy do więcej niż jednej grupy powiązanych klientów, zgłasza się go tylko raz</w:t>
      </w:r>
      <w:r w:rsidR="00C12A6F">
        <w:rPr>
          <w:rFonts w:ascii="Times New Roman" w:hAnsi="Times New Roman"/>
          <w:sz w:val="24"/>
        </w:rPr>
        <w:t xml:space="preserve"> w gru</w:t>
      </w:r>
      <w:r>
        <w:rPr>
          <w:rFonts w:ascii="Times New Roman" w:hAnsi="Times New Roman"/>
          <w:sz w:val="24"/>
        </w:rPr>
        <w:t>pie</w:t>
      </w:r>
      <w:r w:rsidR="00C12A6F">
        <w:rPr>
          <w:rFonts w:ascii="Times New Roman" w:hAnsi="Times New Roman"/>
          <w:sz w:val="24"/>
        </w:rPr>
        <w:t xml:space="preserve"> o naj</w:t>
      </w:r>
      <w:r>
        <w:rPr>
          <w:rFonts w:ascii="Times New Roman" w:hAnsi="Times New Roman"/>
          <w:sz w:val="24"/>
        </w:rPr>
        <w:t>większej koncentracji zdolności równoważenia płynności.</w:t>
      </w:r>
    </w:p>
    <w:p w14:paraId="2C0B2260" w14:textId="582B4171" w:rsidR="00CB05F9" w:rsidRPr="0068244B" w:rsidRDefault="00292B75" w:rsidP="008C0F1F">
      <w:pPr>
        <w:widowControl w:val="0"/>
        <w:spacing w:before="0" w:after="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Z wyjątkiem wiersza 0120 w tym wzorze nie zgłasza się koncentracji zdolności równoważenia płynności</w:t>
      </w:r>
      <w:r w:rsidR="00C12A6F">
        <w:rPr>
          <w:rFonts w:ascii="Times New Roman" w:hAnsi="Times New Roman"/>
          <w:sz w:val="24"/>
        </w:rPr>
        <w:t xml:space="preserve"> z ban</w:t>
      </w:r>
      <w:r>
        <w:rPr>
          <w:rFonts w:ascii="Times New Roman" w:hAnsi="Times New Roman"/>
          <w:sz w:val="24"/>
        </w:rPr>
        <w:t>kiem centralnym jako emitentem lub kontrahentem</w:t>
      </w:r>
      <w:r w:rsidR="00C12A6F">
        <w:rPr>
          <w:rFonts w:ascii="Times New Roman" w:hAnsi="Times New Roman"/>
          <w:sz w:val="24"/>
        </w:rPr>
        <w:t>. W prz</w:t>
      </w:r>
      <w:r>
        <w:rPr>
          <w:rFonts w:ascii="Times New Roman" w:hAnsi="Times New Roman"/>
          <w:sz w:val="24"/>
        </w:rPr>
        <w:t>ypadku gdy instytucja posiada ulokowane wcześniej aktywa</w:t>
      </w:r>
      <w:r w:rsidR="00C12A6F">
        <w:rPr>
          <w:rFonts w:ascii="Times New Roman" w:hAnsi="Times New Roman"/>
          <w:sz w:val="24"/>
        </w:rPr>
        <w:t xml:space="preserve"> w ban</w:t>
      </w:r>
      <w:r>
        <w:rPr>
          <w:rFonts w:ascii="Times New Roman" w:hAnsi="Times New Roman"/>
          <w:sz w:val="24"/>
        </w:rPr>
        <w:t>ku centralnym na potrzeby standardowych operacji</w:t>
      </w:r>
      <w:r w:rsidR="00C12A6F">
        <w:rPr>
          <w:rFonts w:ascii="Times New Roman" w:hAnsi="Times New Roman"/>
          <w:sz w:val="24"/>
        </w:rPr>
        <w:t xml:space="preserve"> w zak</w:t>
      </w:r>
      <w:r>
        <w:rPr>
          <w:rFonts w:ascii="Times New Roman" w:hAnsi="Times New Roman"/>
          <w:sz w:val="24"/>
        </w:rPr>
        <w:t>resie płynności oraz</w:t>
      </w:r>
      <w:r w:rsidR="00C12A6F">
        <w:rPr>
          <w:rFonts w:ascii="Times New Roman" w:hAnsi="Times New Roman"/>
          <w:sz w:val="24"/>
        </w:rPr>
        <w:t xml:space="preserve"> o ile</w:t>
      </w:r>
      <w:r>
        <w:rPr>
          <w:rFonts w:ascii="Times New Roman" w:hAnsi="Times New Roman"/>
          <w:sz w:val="24"/>
        </w:rPr>
        <w:t xml:space="preserve"> aktywa te przypisane są do dziesięciu największych emitentów lub kontrahentów nieobciążonej zdolności równoważenia płynności, instytucja zgłasza pierwotnego emitenta</w:t>
      </w:r>
      <w:r w:rsidR="00C12A6F">
        <w:rPr>
          <w:rFonts w:ascii="Times New Roman" w:hAnsi="Times New Roman"/>
          <w:sz w:val="24"/>
        </w:rPr>
        <w:t xml:space="preserve"> i pie</w:t>
      </w:r>
      <w:r>
        <w:rPr>
          <w:rFonts w:ascii="Times New Roman" w:hAnsi="Times New Roman"/>
          <w:sz w:val="24"/>
        </w:rPr>
        <w:t>rwotny rodzaj produktu.</w:t>
      </w:r>
    </w:p>
    <w:p w14:paraId="423289FA" w14:textId="77777777" w:rsidR="00E05204" w:rsidRPr="00855CFA"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1110"/>
        <w:gridCol w:w="718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rPr>
            </w:pPr>
            <w:r>
              <w:rPr>
                <w:rFonts w:ascii="Times New Roman" w:hAnsi="Times New Roman"/>
                <w:sz w:val="24"/>
              </w:rPr>
              <w:t>Kolumna</w:t>
            </w:r>
          </w:p>
        </w:tc>
        <w:tc>
          <w:tcPr>
            <w:tcW w:w="7306" w:type="dxa"/>
            <w:shd w:val="clear" w:color="auto" w:fill="EEECE1" w:themeFill="background2"/>
          </w:tcPr>
          <w:p w14:paraId="7398AC24" w14:textId="789BA5F3" w:rsidR="00E05204" w:rsidRPr="0068244B" w:rsidRDefault="00E05204" w:rsidP="00E31CAF">
            <w:pPr>
              <w:rPr>
                <w:rFonts w:ascii="Times New Roman" w:hAnsi="Times New Roman"/>
                <w:sz w:val="24"/>
              </w:rPr>
            </w:pPr>
            <w:r>
              <w:rPr>
                <w:rFonts w:ascii="Times New Roman" w:hAnsi="Times New Roman"/>
                <w:sz w:val="24"/>
              </w:rPr>
              <w:t>Odniesienia prawne</w:t>
            </w:r>
            <w:r w:rsidR="00C12A6F">
              <w:rPr>
                <w:rFonts w:ascii="Times New Roman" w:hAnsi="Times New Roman"/>
                <w:sz w:val="24"/>
              </w:rPr>
              <w:t xml:space="preserve"> i ins</w:t>
            </w:r>
            <w:r>
              <w:rPr>
                <w:rFonts w:ascii="Times New Roman" w:hAnsi="Times New Roman"/>
                <w:sz w:val="24"/>
              </w:rPr>
              <w:t>trukcje</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rPr>
            </w:pPr>
            <w:r>
              <w:rPr>
                <w:rFonts w:ascii="Times New Roman" w:hAnsi="Times New Roman"/>
                <w:sz w:val="24"/>
              </w:rPr>
              <w:t>0010</w:t>
            </w:r>
          </w:p>
        </w:tc>
        <w:tc>
          <w:tcPr>
            <w:tcW w:w="7306" w:type="dxa"/>
          </w:tcPr>
          <w:p w14:paraId="20597254" w14:textId="73E89BCB" w:rsidR="00E05204" w:rsidRPr="0068244B" w:rsidRDefault="004C1638" w:rsidP="00D665FC">
            <w:pPr>
              <w:rPr>
                <w:rFonts w:ascii="Times New Roman" w:hAnsi="Times New Roman"/>
                <w:b/>
                <w:sz w:val="24"/>
                <w:u w:val="single"/>
              </w:rPr>
            </w:pPr>
            <w:r>
              <w:rPr>
                <w:rFonts w:ascii="Times New Roman" w:hAnsi="Times New Roman"/>
                <w:b/>
                <w:sz w:val="24"/>
                <w:u w:val="single"/>
              </w:rPr>
              <w:t>Nazwa emitenta</w:t>
            </w:r>
          </w:p>
          <w:p w14:paraId="36B02E7E" w14:textId="20CFDF47" w:rsidR="00E05204" w:rsidRPr="0068244B" w:rsidRDefault="00E05204" w:rsidP="00D665FC">
            <w:pPr>
              <w:rPr>
                <w:rFonts w:ascii="Times New Roman" w:hAnsi="Times New Roman"/>
                <w:sz w:val="24"/>
              </w:rPr>
            </w:pPr>
            <w:r>
              <w:rPr>
                <w:rFonts w:ascii="Times New Roman" w:hAnsi="Times New Roman"/>
                <w:sz w:val="24"/>
              </w:rPr>
              <w:t xml:space="preserve">Nazwy dziesięciu największych emitentów nieobciążonych aktywów lub kontrahentów niewykorzystanych instrumentów płynnościowych </w:t>
            </w:r>
            <w:r>
              <w:rPr>
                <w:rFonts w:ascii="Times New Roman" w:hAnsi="Times New Roman"/>
                <w:sz w:val="24"/>
              </w:rPr>
              <w:lastRenderedPageBreak/>
              <w:t>przyznanych instytucji zgłasza się</w:t>
            </w:r>
            <w:r w:rsidR="00C12A6F">
              <w:rPr>
                <w:rFonts w:ascii="Times New Roman" w:hAnsi="Times New Roman"/>
                <w:sz w:val="24"/>
              </w:rPr>
              <w:t xml:space="preserve"> w kol</w:t>
            </w:r>
            <w:r>
              <w:rPr>
                <w:rFonts w:ascii="Times New Roman" w:hAnsi="Times New Roman"/>
                <w:sz w:val="24"/>
              </w:rPr>
              <w:t>umnie 0010 w porządku malejącym. Pozycję największą należy zapisać</w:t>
            </w:r>
            <w:r w:rsidR="00C12A6F">
              <w:rPr>
                <w:rFonts w:ascii="Times New Roman" w:hAnsi="Times New Roman"/>
                <w:sz w:val="24"/>
              </w:rPr>
              <w:t xml:space="preserve"> w </w:t>
            </w:r>
            <w:r w:rsidR="00C12A6F" w:rsidRPr="00C12A6F">
              <w:rPr>
                <w:rFonts w:ascii="Times New Roman" w:hAnsi="Times New Roman"/>
                <w:sz w:val="24"/>
              </w:rPr>
              <w:t>pkt </w:t>
            </w:r>
            <w:r w:rsidRPr="00C12A6F">
              <w:rPr>
                <w:rFonts w:ascii="Times New Roman" w:hAnsi="Times New Roman"/>
                <w:sz w:val="24"/>
              </w:rPr>
              <w:t>1</w:t>
            </w:r>
            <w:r>
              <w:rPr>
                <w:rFonts w:ascii="Times New Roman" w:hAnsi="Times New Roman"/>
                <w:sz w:val="24"/>
              </w:rPr>
              <w:t>.01, pozycję drugą pod względem wielkości</w:t>
            </w:r>
            <w:r w:rsidR="00C12A6F">
              <w:rPr>
                <w:rFonts w:ascii="Times New Roman" w:hAnsi="Times New Roman"/>
                <w:sz w:val="24"/>
              </w:rPr>
              <w:t xml:space="preserve"> w </w:t>
            </w:r>
            <w:r w:rsidR="00C12A6F" w:rsidRPr="00C12A6F">
              <w:rPr>
                <w:rFonts w:ascii="Times New Roman" w:hAnsi="Times New Roman"/>
                <w:sz w:val="24"/>
              </w:rPr>
              <w:t>pkt </w:t>
            </w:r>
            <w:r w:rsidRPr="00C12A6F">
              <w:rPr>
                <w:rFonts w:ascii="Times New Roman" w:hAnsi="Times New Roman"/>
                <w:sz w:val="24"/>
              </w:rPr>
              <w:t>1</w:t>
            </w:r>
            <w:r>
              <w:rPr>
                <w:rFonts w:ascii="Times New Roman" w:hAnsi="Times New Roman"/>
                <w:sz w:val="24"/>
              </w:rPr>
              <w:t>.02</w:t>
            </w:r>
            <w:r w:rsidR="00C12A6F">
              <w:rPr>
                <w:rFonts w:ascii="Times New Roman" w:hAnsi="Times New Roman"/>
                <w:sz w:val="24"/>
              </w:rPr>
              <w:t xml:space="preserve"> i tak</w:t>
            </w:r>
            <w:r>
              <w:rPr>
                <w:rFonts w:ascii="Times New Roman" w:hAnsi="Times New Roman"/>
                <w:sz w:val="24"/>
              </w:rPr>
              <w:t xml:space="preserve"> dalej.</w:t>
            </w:r>
            <w:r>
              <w:t xml:space="preserve"> </w:t>
            </w:r>
            <w:r>
              <w:rPr>
                <w:rFonts w:ascii="Times New Roman" w:hAnsi="Times New Roman"/>
                <w:sz w:val="24"/>
              </w:rPr>
              <w:t>Emitentów</w:t>
            </w:r>
            <w:r w:rsidR="00C12A6F">
              <w:rPr>
                <w:rFonts w:ascii="Times New Roman" w:hAnsi="Times New Roman"/>
                <w:sz w:val="24"/>
              </w:rPr>
              <w:t xml:space="preserve"> i kon</w:t>
            </w:r>
            <w:r>
              <w:rPr>
                <w:rFonts w:ascii="Times New Roman" w:hAnsi="Times New Roman"/>
                <w:sz w:val="24"/>
              </w:rPr>
              <w:t>trahentów tworzących grupę powiązanych klientów zgłasza się jako pojedynczą koncentrację.</w:t>
            </w:r>
          </w:p>
          <w:p w14:paraId="4E01B5DA" w14:textId="16DAED22" w:rsidR="00E05204" w:rsidRPr="0068244B" w:rsidRDefault="00E05204" w:rsidP="00C05CCA">
            <w:pPr>
              <w:rPr>
                <w:rFonts w:ascii="Times New Roman" w:hAnsi="Times New Roman"/>
                <w:sz w:val="24"/>
              </w:rPr>
            </w:pPr>
            <w:r>
              <w:rPr>
                <w:rFonts w:ascii="Times New Roman" w:hAnsi="Times New Roman"/>
                <w:sz w:val="24"/>
              </w:rPr>
              <w:t>Zgłoszona nazwa emitenta lub kontrahenta jest pełną nazwą podmiotu prawnego, który wyemitował aktywa lub przyznał instrument płynnościowy, obejmującą wszelkie oznaczenia rodzaju przedsiębiorstwa zgodnie</w:t>
            </w:r>
            <w:r w:rsidR="00C12A6F">
              <w:rPr>
                <w:rFonts w:ascii="Times New Roman" w:hAnsi="Times New Roman"/>
                <w:sz w:val="24"/>
              </w:rPr>
              <w:t xml:space="preserve"> z kra</w:t>
            </w:r>
            <w:r>
              <w:rPr>
                <w:rFonts w:ascii="Times New Roman" w:hAnsi="Times New Roman"/>
                <w:sz w:val="24"/>
              </w:rPr>
              <w:t>jowym prawem spółek.</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rPr>
            </w:pPr>
            <w:r>
              <w:rPr>
                <w:rFonts w:ascii="Times New Roman" w:hAnsi="Times New Roman"/>
                <w:sz w:val="24"/>
              </w:rPr>
              <w:lastRenderedPageBreak/>
              <w:t>0020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Pr>
                <w:rStyle w:val="InstructionsTabelleberschrift"/>
                <w:rFonts w:ascii="Times New Roman" w:hAnsi="Times New Roman"/>
                <w:sz w:val="24"/>
              </w:rPr>
              <w:t>Kod LEI</w:t>
            </w:r>
          </w:p>
          <w:p w14:paraId="7861A1B2" w14:textId="0A8A8B52" w:rsidR="00E05204" w:rsidRPr="0068244B" w:rsidRDefault="00E05204" w:rsidP="00C05CCA">
            <w:pPr>
              <w:rPr>
                <w:b/>
                <w:sz w:val="24"/>
              </w:rPr>
            </w:pPr>
            <w:r>
              <w:rPr>
                <w:rFonts w:ascii="Times New Roman" w:hAnsi="Times New Roman"/>
                <w:sz w:val="24"/>
              </w:rPr>
              <w:t xml:space="preserve">Identyfikator podmiotu prawnego kontrahenta.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rPr>
            </w:pPr>
            <w:r>
              <w:rPr>
                <w:rFonts w:ascii="Times New Roman" w:hAnsi="Times New Roman"/>
                <w:sz w:val="24"/>
              </w:rPr>
              <w:t>0030</w:t>
            </w:r>
          </w:p>
        </w:tc>
        <w:tc>
          <w:tcPr>
            <w:tcW w:w="7306" w:type="dxa"/>
          </w:tcPr>
          <w:p w14:paraId="6DAF3DB3" w14:textId="4B8E1486" w:rsidR="00E05204" w:rsidRPr="0068244B" w:rsidRDefault="004C1638" w:rsidP="00D665FC">
            <w:pPr>
              <w:rPr>
                <w:rFonts w:ascii="Times New Roman" w:hAnsi="Times New Roman"/>
                <w:b/>
                <w:sz w:val="24"/>
                <w:u w:val="single"/>
              </w:rPr>
            </w:pPr>
            <w:r>
              <w:rPr>
                <w:rFonts w:ascii="Times New Roman" w:hAnsi="Times New Roman"/>
                <w:b/>
                <w:sz w:val="24"/>
                <w:u w:val="single"/>
              </w:rPr>
              <w:t>Sektor działalności emitenta</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Każdemu emitentowi lub kontrahentowi przypisuje się jeden sektor na podstawie następujących klas sektorów gospodarki według sprawozdawczości finansowej FINREP (załącznik V część 1 do niniejszego rozporządzenia wykonawczego):</w:t>
            </w:r>
          </w:p>
          <w:p w14:paraId="563180C8" w14:textId="3A3A789A"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sektor instytucji rządowych</w:t>
            </w:r>
            <w:r w:rsidR="00C12A6F">
              <w:rPr>
                <w:rStyle w:val="FormatvorlageInstructionsTabelleText"/>
                <w:rFonts w:ascii="Times New Roman" w:hAnsi="Times New Roman"/>
                <w:sz w:val="24"/>
              </w:rPr>
              <w:t xml:space="preserve"> i sam</w:t>
            </w:r>
            <w:r>
              <w:rPr>
                <w:rStyle w:val="FormatvorlageInstructionsTabelleText"/>
                <w:rFonts w:ascii="Times New Roman" w:hAnsi="Times New Roman"/>
                <w:sz w:val="24"/>
              </w:rPr>
              <w:t xml:space="preserve">orządowych; (ii) instytucje kredytowe; (iii) inne instytucje finansowe; (iv) przedsiębiorstwa niefinansowe; (v) gospodarstwa domowe. </w:t>
            </w:r>
          </w:p>
          <w:p w14:paraId="3E53ACDF" w14:textId="14712E31" w:rsidR="00E05204" w:rsidRPr="0068244B" w:rsidRDefault="00E05204" w:rsidP="008C0F1F">
            <w:pPr>
              <w:rPr>
                <w:rFonts w:ascii="Times New Roman" w:hAnsi="Times New Roman"/>
                <w:sz w:val="24"/>
              </w:rPr>
            </w:pPr>
            <w:r>
              <w:rPr>
                <w:rStyle w:val="FormatvorlageInstructionsTabelleText"/>
                <w:rFonts w:ascii="Times New Roman" w:hAnsi="Times New Roman"/>
                <w:sz w:val="24"/>
              </w:rPr>
              <w:t>W przypadku</w:t>
            </w:r>
            <w:r>
              <w:rPr>
                <w:rFonts w:ascii="Times New Roman" w:hAnsi="Times New Roman"/>
                <w:sz w:val="24"/>
              </w:rPr>
              <w:t xml:space="preserve"> grup </w:t>
            </w:r>
            <w:r>
              <w:rPr>
                <w:rStyle w:val="FormatvorlageInstructionsTabelleText"/>
                <w:rFonts w:ascii="Times New Roman" w:hAnsi="Times New Roman"/>
                <w:sz w:val="24"/>
              </w:rPr>
              <w:t xml:space="preserve">powiązanych klientów nie zgłasza się żadnego sektora.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rPr>
            </w:pPr>
            <w:r>
              <w:rPr>
                <w:rFonts w:ascii="Times New Roman" w:hAnsi="Times New Roman"/>
                <w:sz w:val="24"/>
              </w:rPr>
              <w:t>0040</w:t>
            </w:r>
          </w:p>
        </w:tc>
        <w:tc>
          <w:tcPr>
            <w:tcW w:w="7306" w:type="dxa"/>
          </w:tcPr>
          <w:p w14:paraId="6EC1C162" w14:textId="488287EA" w:rsidR="00E05204" w:rsidRPr="0068244B" w:rsidRDefault="00E05204" w:rsidP="00D665FC">
            <w:pPr>
              <w:rPr>
                <w:rFonts w:ascii="Times New Roman" w:hAnsi="Times New Roman"/>
                <w:b/>
                <w:sz w:val="24"/>
                <w:u w:val="single"/>
              </w:rPr>
            </w:pPr>
            <w:r>
              <w:rPr>
                <w:rFonts w:ascii="Times New Roman" w:hAnsi="Times New Roman"/>
                <w:b/>
                <w:sz w:val="24"/>
                <w:u w:val="single"/>
              </w:rPr>
              <w:t xml:space="preserve">Siedziba emitenta </w:t>
            </w:r>
          </w:p>
          <w:p w14:paraId="0F33DF35" w14:textId="39516048" w:rsidR="00E05204" w:rsidRPr="0068244B" w:rsidRDefault="00E05204" w:rsidP="00C05CCA">
            <w:pPr>
              <w:rPr>
                <w:rStyle w:val="FormatvorlageInstructionsTabelleText"/>
                <w:rFonts w:ascii="Times New Roman" w:hAnsi="Times New Roman"/>
                <w:sz w:val="24"/>
              </w:rPr>
            </w:pPr>
            <w:r>
              <w:rPr>
                <w:rStyle w:val="FormatvorlageInstructionsTabelleText"/>
                <w:rFonts w:ascii="Times New Roman" w:hAnsi="Times New Roman"/>
                <w:sz w:val="24"/>
              </w:rPr>
              <w:t>Należy wykorzystać kod ISO 3166-1-alpha-2 kraju założenia emitenta lub kontrahenta,</w:t>
            </w:r>
            <w:r w:rsidR="00C12A6F">
              <w:rPr>
                <w:rStyle w:val="FormatvorlageInstructionsTabelleText"/>
                <w:rFonts w:ascii="Times New Roman" w:hAnsi="Times New Roman"/>
                <w:sz w:val="24"/>
              </w:rPr>
              <w:t xml:space="preserve"> w tym</w:t>
            </w:r>
            <w:r>
              <w:rPr>
                <w:rStyle w:val="FormatvorlageInstructionsTabelleText"/>
                <w:rFonts w:ascii="Times New Roman" w:hAnsi="Times New Roman"/>
                <w:sz w:val="24"/>
              </w:rPr>
              <w:t xml:space="preserve"> kody pseudo-ISO dla organizacji</w:t>
            </w:r>
            <w:r>
              <w:rPr>
                <w:rFonts w:ascii="Times New Roman" w:hAnsi="Times New Roman"/>
                <w:sz w:val="24"/>
              </w:rPr>
              <w:t xml:space="preserve"> międzynarodowych dostępne</w:t>
            </w:r>
            <w:r w:rsidR="00C12A6F">
              <w:rPr>
                <w:rFonts w:ascii="Times New Roman" w:hAnsi="Times New Roman"/>
                <w:sz w:val="24"/>
              </w:rPr>
              <w:t xml:space="preserve"> w ost</w:t>
            </w:r>
            <w:r>
              <w:rPr>
                <w:rFonts w:ascii="Times New Roman" w:hAnsi="Times New Roman"/>
                <w:sz w:val="24"/>
              </w:rPr>
              <w:t>atnim wydaniu publikowanego przez Eurostat „Vademecum bilansu płatności”</w:t>
            </w:r>
            <w:r>
              <w:rPr>
                <w:rStyle w:val="FormatvorlageInstructionsTabelleText"/>
                <w:rFonts w:ascii="Times New Roman" w:hAnsi="Times New Roman"/>
                <w:sz w:val="24"/>
              </w:rPr>
              <w:t xml:space="preserve">. </w:t>
            </w:r>
          </w:p>
          <w:p w14:paraId="60598FF1" w14:textId="5505D19C" w:rsidR="00E05204" w:rsidRPr="0068244B" w:rsidRDefault="00E05204" w:rsidP="00C05CCA">
            <w:pPr>
              <w:rPr>
                <w:rFonts w:ascii="Times New Roman" w:hAnsi="Times New Roman"/>
                <w:sz w:val="24"/>
              </w:rPr>
            </w:pPr>
            <w:r>
              <w:rPr>
                <w:rStyle w:val="FormatvorlageInstructionsTabelleText"/>
                <w:rFonts w:ascii="Times New Roman" w:hAnsi="Times New Roman"/>
                <w:sz w:val="24"/>
              </w:rPr>
              <w:t xml:space="preserve">W przypadku grup powiązanych klientów nie zgłasza się żadnego kraju.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rPr>
            </w:pPr>
            <w:r>
              <w:rPr>
                <w:rFonts w:ascii="Times New Roman" w:hAnsi="Times New Roman"/>
                <w:sz w:val="24"/>
              </w:rPr>
              <w:t>0050</w:t>
            </w:r>
          </w:p>
        </w:tc>
        <w:tc>
          <w:tcPr>
            <w:tcW w:w="7306" w:type="dxa"/>
          </w:tcPr>
          <w:p w14:paraId="016C0789"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Rodzaj produktu</w:t>
            </w:r>
          </w:p>
          <w:p w14:paraId="7DC48699" w14:textId="0074BFF4" w:rsidR="00E05204" w:rsidRPr="0068244B" w:rsidRDefault="00E05204" w:rsidP="00D665FC">
            <w:pPr>
              <w:rPr>
                <w:rFonts w:ascii="Times New Roman" w:hAnsi="Times New Roman"/>
                <w:sz w:val="24"/>
              </w:rPr>
            </w:pPr>
            <w:r>
              <w:rPr>
                <w:rFonts w:ascii="Times New Roman" w:hAnsi="Times New Roman"/>
                <w:sz w:val="24"/>
              </w:rPr>
              <w:t>Każdemu emitentowi/kontrahentowi zgłoszonemu</w:t>
            </w:r>
            <w:r w:rsidR="00C12A6F">
              <w:rPr>
                <w:rFonts w:ascii="Times New Roman" w:hAnsi="Times New Roman"/>
                <w:sz w:val="24"/>
              </w:rPr>
              <w:t xml:space="preserve"> w kol</w:t>
            </w:r>
            <w:r>
              <w:rPr>
                <w:rFonts w:ascii="Times New Roman" w:hAnsi="Times New Roman"/>
                <w:sz w:val="24"/>
              </w:rPr>
              <w:t xml:space="preserve">umnie 0010 przypisuje się rodzaj produktu </w:t>
            </w:r>
            <w:r>
              <w:rPr>
                <w:rStyle w:val="FormatvorlageInstructionsTabelleText"/>
                <w:rFonts w:ascii="Times New Roman" w:hAnsi="Times New Roman"/>
                <w:sz w:val="24"/>
              </w:rPr>
              <w:t>odpowiadający</w:t>
            </w:r>
            <w:r>
              <w:rPr>
                <w:rFonts w:ascii="Times New Roman" w:hAnsi="Times New Roman"/>
                <w:sz w:val="24"/>
              </w:rPr>
              <w:t xml:space="preserve"> produktowi,</w:t>
            </w:r>
            <w:r w:rsidR="00C12A6F">
              <w:rPr>
                <w:rFonts w:ascii="Times New Roman" w:hAnsi="Times New Roman"/>
                <w:sz w:val="24"/>
              </w:rPr>
              <w:t xml:space="preserve"> w ram</w:t>
            </w:r>
            <w:r>
              <w:rPr>
                <w:rFonts w:ascii="Times New Roman" w:hAnsi="Times New Roman"/>
                <w:sz w:val="24"/>
              </w:rPr>
              <w:t>ach którego posiada on dane aktywa lub otrzymał dostępny instrument wsparcia płynności, przy użyciu następujących kodów zaznaczonych pogrubioną czcionką:</w:t>
            </w:r>
          </w:p>
          <w:p w14:paraId="1CB9AEA2" w14:textId="77777777" w:rsidR="00E05204" w:rsidRPr="0068244B" w:rsidRDefault="00E05204" w:rsidP="00D665FC">
            <w:pPr>
              <w:rPr>
                <w:rFonts w:ascii="Times New Roman" w:hAnsi="Times New Roman"/>
                <w:sz w:val="24"/>
              </w:rPr>
            </w:pPr>
            <w:bookmarkStart w:id="1" w:name="OLE_LINK1"/>
            <w:proofErr w:type="spellStart"/>
            <w:r>
              <w:rPr>
                <w:rFonts w:ascii="Times New Roman" w:hAnsi="Times New Roman"/>
                <w:b/>
                <w:sz w:val="24"/>
              </w:rPr>
              <w:t>SrB</w:t>
            </w:r>
            <w:proofErr w:type="spellEnd"/>
            <w:r>
              <w:rPr>
                <w:rFonts w:ascii="Times New Roman" w:hAnsi="Times New Roman"/>
                <w:sz w:val="24"/>
              </w:rPr>
              <w:t xml:space="preserve"> (</w:t>
            </w:r>
            <w:r>
              <w:rPr>
                <w:rStyle w:val="FormatvorlageInstructionsTabelleText"/>
                <w:rFonts w:ascii="Times New Roman" w:hAnsi="Times New Roman"/>
                <w:sz w:val="24"/>
              </w:rPr>
              <w:t>Senior</w:t>
            </w:r>
            <w:r>
              <w:rPr>
                <w:rFonts w:ascii="Times New Roman" w:hAnsi="Times New Roman"/>
                <w:sz w:val="24"/>
              </w:rPr>
              <w:t xml:space="preserve"> Bond – obligacja uprzywilejowana) </w:t>
            </w:r>
          </w:p>
          <w:p w14:paraId="6ADB0D10" w14:textId="77777777" w:rsidR="00E05204" w:rsidRPr="0068244B" w:rsidRDefault="00E05204" w:rsidP="00D665FC">
            <w:pPr>
              <w:rPr>
                <w:rFonts w:ascii="Times New Roman" w:hAnsi="Times New Roman"/>
                <w:sz w:val="24"/>
              </w:rPr>
            </w:pPr>
            <w:proofErr w:type="spellStart"/>
            <w:r>
              <w:rPr>
                <w:rFonts w:ascii="Times New Roman" w:hAnsi="Times New Roman"/>
                <w:b/>
                <w:sz w:val="24"/>
              </w:rPr>
              <w:t>SubB</w:t>
            </w:r>
            <w:proofErr w:type="spellEnd"/>
            <w:r>
              <w:rPr>
                <w:rFonts w:ascii="Times New Roman" w:hAnsi="Times New Roman"/>
                <w:sz w:val="24"/>
              </w:rPr>
              <w:t xml:space="preserve"> </w:t>
            </w:r>
            <w:r>
              <w:rPr>
                <w:rStyle w:val="FormatvorlageInstructionsTabelleText"/>
                <w:rFonts w:ascii="Times New Roman" w:hAnsi="Times New Roman"/>
                <w:sz w:val="24"/>
              </w:rPr>
              <w:t>(</w:t>
            </w:r>
            <w:proofErr w:type="spellStart"/>
            <w:r>
              <w:rPr>
                <w:rStyle w:val="FormatvorlageInstructionsTabelleText"/>
                <w:rFonts w:ascii="Times New Roman" w:hAnsi="Times New Roman"/>
                <w:sz w:val="24"/>
              </w:rPr>
              <w:t>Subordinated</w:t>
            </w:r>
            <w:proofErr w:type="spellEnd"/>
            <w:r>
              <w:rPr>
                <w:rFonts w:ascii="Times New Roman" w:hAnsi="Times New Roman"/>
                <w:sz w:val="24"/>
              </w:rPr>
              <w:t xml:space="preserve"> Bond – obligacja podporządkowana)</w:t>
            </w:r>
          </w:p>
          <w:p w14:paraId="08EFBEC2" w14:textId="77777777" w:rsidR="00E05204" w:rsidRPr="0068244B" w:rsidRDefault="00E05204" w:rsidP="00A36F2D">
            <w:pPr>
              <w:rPr>
                <w:rFonts w:ascii="Times New Roman" w:hAnsi="Times New Roman"/>
                <w:sz w:val="24"/>
              </w:rPr>
            </w:pPr>
            <w:r>
              <w:rPr>
                <w:rFonts w:ascii="Times New Roman" w:hAnsi="Times New Roman"/>
                <w:b/>
                <w:sz w:val="24"/>
              </w:rPr>
              <w:t>CP</w:t>
            </w:r>
            <w:r>
              <w:rPr>
                <w:rFonts w:ascii="Times New Roman" w:hAnsi="Times New Roman"/>
                <w:sz w:val="24"/>
              </w:rPr>
              <w:t xml:space="preserve"> (</w:t>
            </w:r>
            <w:r>
              <w:rPr>
                <w:rStyle w:val="FormatvorlageInstructionsTabelleText"/>
                <w:rFonts w:ascii="Times New Roman" w:hAnsi="Times New Roman"/>
                <w:sz w:val="24"/>
              </w:rPr>
              <w:t>Commercial</w:t>
            </w:r>
            <w:r>
              <w:rPr>
                <w:rFonts w:ascii="Times New Roman" w:hAnsi="Times New Roman"/>
                <w:sz w:val="24"/>
              </w:rPr>
              <w:t xml:space="preserve"> Paper – papier komercyjny)</w:t>
            </w:r>
          </w:p>
          <w:p w14:paraId="71AB267C" w14:textId="77777777" w:rsidR="00E05204" w:rsidRPr="0068244B" w:rsidRDefault="00E05204">
            <w:pPr>
              <w:rPr>
                <w:rFonts w:ascii="Times New Roman" w:hAnsi="Times New Roman"/>
                <w:sz w:val="24"/>
              </w:rPr>
            </w:pPr>
            <w:r>
              <w:rPr>
                <w:rFonts w:ascii="Times New Roman" w:hAnsi="Times New Roman"/>
                <w:b/>
                <w:sz w:val="24"/>
              </w:rPr>
              <w:t>CB</w:t>
            </w:r>
            <w:r>
              <w:rPr>
                <w:rFonts w:ascii="Times New Roman" w:hAnsi="Times New Roman"/>
                <w:sz w:val="24"/>
              </w:rPr>
              <w:t xml:space="preserve"> (</w:t>
            </w:r>
            <w:proofErr w:type="spellStart"/>
            <w:r>
              <w:rPr>
                <w:rFonts w:ascii="Times New Roman" w:hAnsi="Times New Roman"/>
                <w:sz w:val="24"/>
              </w:rPr>
              <w:t>Covered</w:t>
            </w:r>
            <w:proofErr w:type="spellEnd"/>
            <w:r>
              <w:rPr>
                <w:rFonts w:ascii="Times New Roman" w:hAnsi="Times New Roman"/>
                <w:sz w:val="24"/>
              </w:rPr>
              <w:t xml:space="preserve"> </w:t>
            </w:r>
            <w:proofErr w:type="spellStart"/>
            <w:r>
              <w:rPr>
                <w:rStyle w:val="FormatvorlageInstructionsTabelleText"/>
                <w:rFonts w:ascii="Times New Roman" w:hAnsi="Times New Roman"/>
                <w:sz w:val="24"/>
              </w:rPr>
              <w:t>Bonds</w:t>
            </w:r>
            <w:proofErr w:type="spellEnd"/>
            <w:r>
              <w:rPr>
                <w:rFonts w:ascii="Times New Roman" w:hAnsi="Times New Roman"/>
                <w:sz w:val="24"/>
              </w:rPr>
              <w:t xml:space="preserve"> – obligacje zabezpieczone) </w:t>
            </w:r>
          </w:p>
          <w:p w14:paraId="16004F55" w14:textId="3709C8E0" w:rsidR="00E05204" w:rsidRPr="0068244B" w:rsidRDefault="00E05204">
            <w:pPr>
              <w:rPr>
                <w:rFonts w:ascii="Times New Roman" w:hAnsi="Times New Roman"/>
                <w:sz w:val="24"/>
              </w:rPr>
            </w:pPr>
            <w:r>
              <w:rPr>
                <w:rFonts w:ascii="Times New Roman" w:hAnsi="Times New Roman"/>
                <w:b/>
                <w:sz w:val="24"/>
              </w:rPr>
              <w:t>US</w:t>
            </w:r>
            <w:r>
              <w:rPr>
                <w:rFonts w:ascii="Times New Roman" w:hAnsi="Times New Roman"/>
                <w:sz w:val="24"/>
              </w:rPr>
              <w:t xml:space="preserve"> (</w:t>
            </w:r>
            <w:r>
              <w:rPr>
                <w:rStyle w:val="FormatvorlageInstructionsTabelleText"/>
                <w:rFonts w:ascii="Times New Roman" w:hAnsi="Times New Roman"/>
                <w:sz w:val="24"/>
              </w:rPr>
              <w:t>UCITS</w:t>
            </w:r>
            <w:r>
              <w:rPr>
                <w:rFonts w:ascii="Times New Roman" w:hAnsi="Times New Roman"/>
                <w:sz w:val="24"/>
              </w:rPr>
              <w:t xml:space="preserve"> </w:t>
            </w:r>
            <w:proofErr w:type="spellStart"/>
            <w:r>
              <w:rPr>
                <w:rFonts w:ascii="Times New Roman" w:hAnsi="Times New Roman"/>
                <w:sz w:val="24"/>
              </w:rPr>
              <w:t>security</w:t>
            </w:r>
            <w:proofErr w:type="spellEnd"/>
            <w:r>
              <w:rPr>
                <w:rFonts w:ascii="Times New Roman" w:hAnsi="Times New Roman"/>
                <w:sz w:val="24"/>
              </w:rPr>
              <w:t xml:space="preserve"> – papier wartościowy UCITS, tj. instrument finansowy stanowiący udział</w:t>
            </w:r>
            <w:r w:rsidR="00C12A6F">
              <w:rPr>
                <w:rFonts w:ascii="Times New Roman" w:hAnsi="Times New Roman"/>
                <w:sz w:val="24"/>
              </w:rPr>
              <w:t xml:space="preserve"> w prz</w:t>
            </w:r>
            <w:r>
              <w:rPr>
                <w:rFonts w:ascii="Times New Roman" w:hAnsi="Times New Roman"/>
                <w:sz w:val="24"/>
              </w:rPr>
              <w:t>edsiębiorstwie zbiorowego inwestowania</w:t>
            </w:r>
            <w:r w:rsidR="00C12A6F">
              <w:rPr>
                <w:rFonts w:ascii="Times New Roman" w:hAnsi="Times New Roman"/>
                <w:sz w:val="24"/>
              </w:rPr>
              <w:t xml:space="preserve"> w zby</w:t>
            </w:r>
            <w:r>
              <w:rPr>
                <w:rFonts w:ascii="Times New Roman" w:hAnsi="Times New Roman"/>
                <w:sz w:val="24"/>
              </w:rPr>
              <w:t>walne papiery wartościowe (UCITS))</w:t>
            </w:r>
          </w:p>
          <w:p w14:paraId="2E54EB88" w14:textId="77777777" w:rsidR="00E05204" w:rsidRPr="0068244B" w:rsidRDefault="00E05204">
            <w:pPr>
              <w:rPr>
                <w:rFonts w:ascii="Times New Roman" w:hAnsi="Times New Roman"/>
                <w:sz w:val="24"/>
              </w:rPr>
            </w:pPr>
            <w:r>
              <w:rPr>
                <w:rFonts w:ascii="Times New Roman" w:hAnsi="Times New Roman"/>
                <w:b/>
                <w:sz w:val="24"/>
              </w:rPr>
              <w:lastRenderedPageBreak/>
              <w:t>ABS</w:t>
            </w:r>
            <w:r>
              <w:rPr>
                <w:rFonts w:ascii="Times New Roman" w:hAnsi="Times New Roman"/>
                <w:sz w:val="24"/>
              </w:rPr>
              <w:t xml:space="preserve"> (</w:t>
            </w:r>
            <w:proofErr w:type="spellStart"/>
            <w:r>
              <w:rPr>
                <w:rFonts w:ascii="Times New Roman" w:hAnsi="Times New Roman"/>
                <w:sz w:val="24"/>
              </w:rPr>
              <w:t>Asset</w:t>
            </w:r>
            <w:proofErr w:type="spellEnd"/>
            <w:r>
              <w:rPr>
                <w:rFonts w:ascii="Times New Roman" w:hAnsi="Times New Roman"/>
                <w:sz w:val="24"/>
              </w:rPr>
              <w:t xml:space="preserve"> </w:t>
            </w:r>
            <w:proofErr w:type="spellStart"/>
            <w:r>
              <w:rPr>
                <w:rFonts w:ascii="Times New Roman" w:hAnsi="Times New Roman"/>
                <w:sz w:val="24"/>
              </w:rPr>
              <w:t>Backed</w:t>
            </w:r>
            <w:proofErr w:type="spellEnd"/>
            <w:r>
              <w:rPr>
                <w:rFonts w:ascii="Times New Roman" w:hAnsi="Times New Roman"/>
                <w:sz w:val="24"/>
              </w:rPr>
              <w:t xml:space="preserve"> Security – papier wartościowy zabezpieczony aktywami)</w:t>
            </w:r>
          </w:p>
          <w:p w14:paraId="47B806DE" w14:textId="77777777" w:rsidR="00E05204" w:rsidRPr="0068244B" w:rsidRDefault="00E05204">
            <w:pPr>
              <w:rPr>
                <w:rFonts w:ascii="Times New Roman" w:hAnsi="Times New Roman"/>
                <w:sz w:val="24"/>
              </w:rPr>
            </w:pPr>
            <w:proofErr w:type="spellStart"/>
            <w:r>
              <w:rPr>
                <w:rFonts w:ascii="Times New Roman" w:hAnsi="Times New Roman"/>
                <w:b/>
                <w:sz w:val="24"/>
              </w:rPr>
              <w:t>CrCl</w:t>
            </w:r>
            <w:proofErr w:type="spellEnd"/>
            <w:r>
              <w:rPr>
                <w:rFonts w:ascii="Times New Roman" w:hAnsi="Times New Roman"/>
                <w:sz w:val="24"/>
              </w:rPr>
              <w:t xml:space="preserve"> (</w:t>
            </w:r>
            <w:proofErr w:type="spellStart"/>
            <w:r>
              <w:rPr>
                <w:rFonts w:ascii="Times New Roman" w:hAnsi="Times New Roman"/>
                <w:sz w:val="24"/>
              </w:rPr>
              <w:t>Credit</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Claim</w:t>
            </w:r>
            <w:proofErr w:type="spellEnd"/>
            <w:r>
              <w:rPr>
                <w:rFonts w:ascii="Times New Roman" w:hAnsi="Times New Roman"/>
                <w:sz w:val="24"/>
              </w:rPr>
              <w:t xml:space="preserve"> – należność kredytowa)</w:t>
            </w:r>
          </w:p>
          <w:p w14:paraId="77F497F4" w14:textId="77777777" w:rsidR="00E05204" w:rsidRPr="0068244B" w:rsidRDefault="00E05204">
            <w:pPr>
              <w:rPr>
                <w:rFonts w:ascii="Times New Roman" w:hAnsi="Times New Roman"/>
                <w:sz w:val="24"/>
              </w:rPr>
            </w:pPr>
            <w:proofErr w:type="spellStart"/>
            <w:r>
              <w:rPr>
                <w:rFonts w:ascii="Times New Roman" w:hAnsi="Times New Roman"/>
                <w:b/>
                <w:sz w:val="24"/>
              </w:rPr>
              <w:t>Eq</w:t>
            </w:r>
            <w:proofErr w:type="spellEnd"/>
            <w:r>
              <w:rPr>
                <w:rFonts w:ascii="Times New Roman" w:hAnsi="Times New Roman"/>
                <w:sz w:val="24"/>
              </w:rPr>
              <w:t xml:space="preserve"> (</w:t>
            </w:r>
            <w:r>
              <w:rPr>
                <w:rStyle w:val="FormatvorlageInstructionsTabelleText"/>
                <w:rFonts w:ascii="Times New Roman" w:hAnsi="Times New Roman"/>
                <w:sz w:val="24"/>
              </w:rPr>
              <w:t>Equity</w:t>
            </w:r>
            <w:r>
              <w:rPr>
                <w:rFonts w:ascii="Times New Roman" w:hAnsi="Times New Roman"/>
                <w:sz w:val="24"/>
              </w:rPr>
              <w:t xml:space="preserve"> – papier kapitałowy)</w:t>
            </w:r>
          </w:p>
          <w:p w14:paraId="3F4E3AAB" w14:textId="07A6E263" w:rsidR="00E05204" w:rsidRPr="0068244B" w:rsidRDefault="00E05204">
            <w:pPr>
              <w:rPr>
                <w:rFonts w:ascii="Times New Roman" w:hAnsi="Times New Roman"/>
                <w:b/>
                <w:sz w:val="24"/>
              </w:rPr>
            </w:pPr>
            <w:r>
              <w:rPr>
                <w:rFonts w:ascii="Times New Roman" w:hAnsi="Times New Roman"/>
                <w:b/>
                <w:sz w:val="24"/>
              </w:rPr>
              <w:t>Złoto (w przypadku złota</w:t>
            </w:r>
            <w:r w:rsidR="00C12A6F">
              <w:rPr>
                <w:rFonts w:ascii="Times New Roman" w:hAnsi="Times New Roman"/>
                <w:b/>
                <w:sz w:val="24"/>
              </w:rPr>
              <w:t xml:space="preserve"> w pos</w:t>
            </w:r>
            <w:r>
              <w:rPr>
                <w:rFonts w:ascii="Times New Roman" w:hAnsi="Times New Roman"/>
                <w:b/>
                <w:sz w:val="24"/>
              </w:rPr>
              <w:t>taci kruszcu, które może być traktowane jako pojedynczy kontrahent)</w:t>
            </w:r>
          </w:p>
          <w:p w14:paraId="6AE61C73" w14:textId="77777777" w:rsidR="00E05204" w:rsidRPr="0068244B" w:rsidRDefault="00E05204">
            <w:pPr>
              <w:rPr>
                <w:rFonts w:ascii="Times New Roman" w:hAnsi="Times New Roman"/>
                <w:sz w:val="24"/>
              </w:rPr>
            </w:pPr>
            <w:proofErr w:type="spellStart"/>
            <w:r>
              <w:rPr>
                <w:rFonts w:ascii="Times New Roman" w:hAnsi="Times New Roman"/>
                <w:b/>
                <w:sz w:val="24"/>
              </w:rPr>
              <w:t>LiqL</w:t>
            </w:r>
            <w:proofErr w:type="spellEnd"/>
            <w:r>
              <w:rPr>
                <w:rFonts w:ascii="Times New Roman" w:hAnsi="Times New Roman"/>
                <w:sz w:val="24"/>
              </w:rPr>
              <w:t xml:space="preserve"> (</w:t>
            </w:r>
            <w:proofErr w:type="spellStart"/>
            <w:r>
              <w:rPr>
                <w:rStyle w:val="FormatvorlageInstructionsTabelleText"/>
                <w:rFonts w:ascii="Times New Roman" w:hAnsi="Times New Roman"/>
                <w:sz w:val="24"/>
              </w:rPr>
              <w:t>Undrawn</w:t>
            </w:r>
            <w:proofErr w:type="spellEnd"/>
            <w:r>
              <w:rPr>
                <w:rFonts w:ascii="Times New Roman" w:hAnsi="Times New Roman"/>
                <w:sz w:val="24"/>
              </w:rPr>
              <w:t xml:space="preserve"> </w:t>
            </w:r>
            <w:proofErr w:type="spellStart"/>
            <w:r>
              <w:rPr>
                <w:rFonts w:ascii="Times New Roman" w:hAnsi="Times New Roman"/>
                <w:sz w:val="24"/>
              </w:rPr>
              <w:t>committed</w:t>
            </w:r>
            <w:proofErr w:type="spellEnd"/>
            <w:r>
              <w:rPr>
                <w:rFonts w:ascii="Times New Roman" w:hAnsi="Times New Roman"/>
                <w:sz w:val="24"/>
              </w:rPr>
              <w:t xml:space="preserve"> </w:t>
            </w:r>
            <w:proofErr w:type="spellStart"/>
            <w:r>
              <w:rPr>
                <w:rFonts w:ascii="Times New Roman" w:hAnsi="Times New Roman"/>
                <w:sz w:val="24"/>
              </w:rPr>
              <w:t>liquidity</w:t>
            </w:r>
            <w:proofErr w:type="spellEnd"/>
            <w:r>
              <w:rPr>
                <w:rFonts w:ascii="Times New Roman" w:hAnsi="Times New Roman"/>
                <w:sz w:val="24"/>
              </w:rPr>
              <w:t xml:space="preserve"> </w:t>
            </w:r>
            <w:proofErr w:type="spellStart"/>
            <w:r>
              <w:rPr>
                <w:rFonts w:ascii="Times New Roman" w:hAnsi="Times New Roman"/>
                <w:sz w:val="24"/>
              </w:rPr>
              <w:t>line</w:t>
            </w:r>
            <w:proofErr w:type="spellEnd"/>
            <w:r>
              <w:rPr>
                <w:rFonts w:ascii="Times New Roman" w:hAnsi="Times New Roman"/>
                <w:sz w:val="24"/>
              </w:rPr>
              <w:t xml:space="preserve"> </w:t>
            </w:r>
            <w:proofErr w:type="spellStart"/>
            <w:r>
              <w:rPr>
                <w:rFonts w:ascii="Times New Roman" w:hAnsi="Times New Roman"/>
                <w:sz w:val="24"/>
              </w:rPr>
              <w:t>granted</w:t>
            </w:r>
            <w:proofErr w:type="spellEnd"/>
            <w:r>
              <w:rPr>
                <w:rFonts w:ascii="Times New Roman" w:hAnsi="Times New Roman"/>
                <w:sz w:val="24"/>
              </w:rPr>
              <w:t xml:space="preserve"> to the </w:t>
            </w:r>
            <w:proofErr w:type="spellStart"/>
            <w:r>
              <w:rPr>
                <w:rFonts w:ascii="Times New Roman" w:hAnsi="Times New Roman"/>
                <w:sz w:val="24"/>
              </w:rPr>
              <w:t>institution</w:t>
            </w:r>
            <w:proofErr w:type="spellEnd"/>
            <w:r>
              <w:rPr>
                <w:rFonts w:ascii="Times New Roman" w:hAnsi="Times New Roman"/>
                <w:sz w:val="24"/>
              </w:rPr>
              <w:t xml:space="preserve"> – niewykorzystany instrument płynnościowy przyznany instytucji)</w:t>
            </w:r>
          </w:p>
          <w:p w14:paraId="23B5C30F" w14:textId="77777777" w:rsidR="00E05204" w:rsidRPr="0068244B" w:rsidRDefault="00E05204">
            <w:pPr>
              <w:rPr>
                <w:rFonts w:ascii="Times New Roman" w:hAnsi="Times New Roman"/>
                <w:b/>
                <w:sz w:val="24"/>
              </w:rPr>
            </w:pPr>
            <w:r>
              <w:rPr>
                <w:rFonts w:ascii="Times New Roman" w:hAnsi="Times New Roman"/>
                <w:b/>
                <w:sz w:val="24"/>
              </w:rPr>
              <w:t>OPT</w:t>
            </w:r>
            <w:r>
              <w:rPr>
                <w:rFonts w:ascii="Times New Roman" w:hAnsi="Times New Roman"/>
                <w:sz w:val="24"/>
              </w:rPr>
              <w:t xml:space="preserve"> (</w:t>
            </w:r>
            <w:proofErr w:type="spellStart"/>
            <w:r>
              <w:rPr>
                <w:rStyle w:val="FormatvorlageInstructionsTabelleText"/>
                <w:rFonts w:ascii="Times New Roman" w:hAnsi="Times New Roman"/>
                <w:sz w:val="24"/>
              </w:rPr>
              <w:t>Other</w:t>
            </w:r>
            <w:proofErr w:type="spellEnd"/>
            <w:r>
              <w:rPr>
                <w:rFonts w:ascii="Times New Roman" w:hAnsi="Times New Roman"/>
                <w:sz w:val="24"/>
              </w:rPr>
              <w:t xml:space="preserve"> </w:t>
            </w:r>
            <w:proofErr w:type="spellStart"/>
            <w:r>
              <w:rPr>
                <w:rFonts w:ascii="Times New Roman" w:hAnsi="Times New Roman"/>
                <w:sz w:val="24"/>
              </w:rPr>
              <w:t>product</w:t>
            </w:r>
            <w:proofErr w:type="spellEnd"/>
            <w:r>
              <w:rPr>
                <w:rFonts w:ascii="Times New Roman" w:hAnsi="Times New Roman"/>
                <w:sz w:val="24"/>
              </w:rPr>
              <w:t xml:space="preserve"> </w:t>
            </w:r>
            <w:proofErr w:type="spellStart"/>
            <w:r>
              <w:rPr>
                <w:rFonts w:ascii="Times New Roman" w:hAnsi="Times New Roman"/>
                <w:sz w:val="24"/>
              </w:rPr>
              <w:t>type</w:t>
            </w:r>
            <w:proofErr w:type="spellEnd"/>
            <w:r>
              <w:rPr>
                <w:rFonts w:ascii="Times New Roman" w:hAnsi="Times New Roman"/>
                <w:sz w:val="24"/>
              </w:rPr>
              <w:t xml:space="preserve"> – inny rodzaj produktu)</w:t>
            </w:r>
            <w:bookmarkEnd w:id="1"/>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rPr>
            </w:pPr>
            <w:r>
              <w:rPr>
                <w:rFonts w:ascii="Times New Roman" w:hAnsi="Times New Roman"/>
                <w:sz w:val="24"/>
              </w:rPr>
              <w:lastRenderedPageBreak/>
              <w:t>0060</w:t>
            </w:r>
          </w:p>
        </w:tc>
        <w:tc>
          <w:tcPr>
            <w:tcW w:w="7306" w:type="dxa"/>
          </w:tcPr>
          <w:p w14:paraId="361DF87B"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Waluta</w:t>
            </w:r>
          </w:p>
          <w:p w14:paraId="1D458B95" w14:textId="728CBF4E" w:rsidR="00C05CCA" w:rsidRPr="0068244B" w:rsidRDefault="004C1638" w:rsidP="00D665FC">
            <w:pPr>
              <w:rPr>
                <w:rFonts w:ascii="Times New Roman" w:hAnsi="Times New Roman"/>
                <w:sz w:val="24"/>
              </w:rPr>
            </w:pPr>
            <w:r>
              <w:rPr>
                <w:rFonts w:ascii="Times New Roman" w:hAnsi="Times New Roman"/>
                <w:sz w:val="24"/>
              </w:rPr>
              <w:t>Emitentowi lub kontrahentowi zgłoszonemu</w:t>
            </w:r>
            <w:r w:rsidR="00C12A6F">
              <w:rPr>
                <w:rFonts w:ascii="Times New Roman" w:hAnsi="Times New Roman"/>
                <w:sz w:val="24"/>
              </w:rPr>
              <w:t xml:space="preserve"> w kol</w:t>
            </w:r>
            <w:r>
              <w:rPr>
                <w:rFonts w:ascii="Times New Roman" w:hAnsi="Times New Roman"/>
                <w:sz w:val="24"/>
              </w:rPr>
              <w:t>umnie 0010 przypisuje się</w:t>
            </w:r>
            <w:r w:rsidR="00C12A6F">
              <w:rPr>
                <w:rFonts w:ascii="Times New Roman" w:hAnsi="Times New Roman"/>
                <w:sz w:val="24"/>
              </w:rPr>
              <w:t xml:space="preserve"> w kol</w:t>
            </w:r>
            <w:r>
              <w:rPr>
                <w:rFonts w:ascii="Times New Roman" w:hAnsi="Times New Roman"/>
                <w:sz w:val="24"/>
              </w:rPr>
              <w:t>umnie 0060 kod ISO waluty odpowiadający walucie otrzymanych aktywów lub niewykorzystanych instrumentów płynnościowych przyznanych instytucji. Zgłasza się trzyliterowy kod jednostki waluty zgodnie</w:t>
            </w:r>
            <w:r w:rsidR="00C12A6F">
              <w:rPr>
                <w:rFonts w:ascii="Times New Roman" w:hAnsi="Times New Roman"/>
                <w:sz w:val="24"/>
              </w:rPr>
              <w:t xml:space="preserve"> z nor</w:t>
            </w:r>
            <w:r>
              <w:rPr>
                <w:rFonts w:ascii="Times New Roman" w:hAnsi="Times New Roman"/>
                <w:sz w:val="24"/>
              </w:rPr>
              <w:t xml:space="preserve">mą ISO 4217. </w:t>
            </w:r>
          </w:p>
          <w:p w14:paraId="74611C9A" w14:textId="0F7D7266" w:rsidR="00774708" w:rsidRPr="0068244B" w:rsidRDefault="00047ECB" w:rsidP="00BC5835">
            <w:pPr>
              <w:rPr>
                <w:rFonts w:ascii="Times New Roman" w:hAnsi="Times New Roman"/>
                <w:sz w:val="24"/>
              </w:rPr>
            </w:pPr>
            <w:r>
              <w:rPr>
                <w:rFonts w:ascii="Times New Roman" w:hAnsi="Times New Roman"/>
                <w:sz w:val="24"/>
              </w:rPr>
              <w:t>Jeżeli część koncentracji zdolności równoważenia płynności stanowi instrument wielowalutowy, instrument ten należy uwzględnić</w:t>
            </w:r>
            <w:r w:rsidR="00C12A6F">
              <w:rPr>
                <w:rFonts w:ascii="Times New Roman" w:hAnsi="Times New Roman"/>
                <w:sz w:val="24"/>
              </w:rPr>
              <w:t xml:space="preserve"> w wal</w:t>
            </w:r>
            <w:r>
              <w:rPr>
                <w:rFonts w:ascii="Times New Roman" w:hAnsi="Times New Roman"/>
                <w:sz w:val="24"/>
              </w:rPr>
              <w:t>ucie, która dominuje</w:t>
            </w:r>
            <w:r w:rsidR="00C12A6F">
              <w:rPr>
                <w:rFonts w:ascii="Times New Roman" w:hAnsi="Times New Roman"/>
                <w:sz w:val="24"/>
              </w:rPr>
              <w:t xml:space="preserve"> w poz</w:t>
            </w:r>
            <w:r>
              <w:rPr>
                <w:rFonts w:ascii="Times New Roman" w:hAnsi="Times New Roman"/>
                <w:sz w:val="24"/>
              </w:rPr>
              <w:t>ostałej części koncentracji</w:t>
            </w:r>
            <w:r w:rsidR="00C12A6F">
              <w:rPr>
                <w:rFonts w:ascii="Times New Roman" w:hAnsi="Times New Roman"/>
                <w:sz w:val="24"/>
              </w:rPr>
              <w:t>. W odn</w:t>
            </w:r>
            <w:r>
              <w:rPr>
                <w:rFonts w:ascii="Times New Roman" w:hAnsi="Times New Roman"/>
                <w:sz w:val="24"/>
              </w:rPr>
              <w:t>iesieniu do oddzielnego zgłaszania pozycji denominowanych</w:t>
            </w:r>
            <w:r w:rsidR="00C12A6F">
              <w:rPr>
                <w:rFonts w:ascii="Times New Roman" w:hAnsi="Times New Roman"/>
                <w:sz w:val="24"/>
              </w:rPr>
              <w:t xml:space="preserve"> w wal</w:t>
            </w:r>
            <w:r>
              <w:rPr>
                <w:rFonts w:ascii="Times New Roman" w:hAnsi="Times New Roman"/>
                <w:sz w:val="24"/>
              </w:rPr>
              <w:t>utach znaczących, jak określono</w:t>
            </w:r>
            <w:r w:rsidR="00C12A6F">
              <w:rPr>
                <w:rFonts w:ascii="Times New Roman" w:hAnsi="Times New Roman"/>
                <w:sz w:val="24"/>
              </w:rPr>
              <w:t xml:space="preserve"> w art</w:t>
            </w:r>
            <w:r>
              <w:rPr>
                <w:rFonts w:ascii="Times New Roman" w:hAnsi="Times New Roman"/>
                <w:sz w:val="24"/>
              </w:rPr>
              <w:t xml:space="preserve">. 415 ust. 2 rozporządzenia (UE) </w:t>
            </w:r>
            <w:r w:rsidRPr="00C12A6F">
              <w:rPr>
                <w:rFonts w:ascii="Times New Roman" w:hAnsi="Times New Roman"/>
                <w:sz w:val="24"/>
              </w:rPr>
              <w:t>nr</w:t>
            </w:r>
            <w:r w:rsidR="00C12A6F" w:rsidRPr="00C12A6F">
              <w:rPr>
                <w:rFonts w:ascii="Times New Roman" w:hAnsi="Times New Roman"/>
                <w:sz w:val="24"/>
              </w:rPr>
              <w:t> </w:t>
            </w:r>
            <w:r w:rsidRPr="00C12A6F">
              <w:rPr>
                <w:rFonts w:ascii="Times New Roman" w:hAnsi="Times New Roman"/>
                <w:sz w:val="24"/>
              </w:rPr>
              <w:t>5</w:t>
            </w:r>
            <w:r>
              <w:rPr>
                <w:rFonts w:ascii="Times New Roman" w:hAnsi="Times New Roman"/>
                <w:sz w:val="24"/>
              </w:rPr>
              <w:t>75/2013, instytucje dokonują oceny tego,</w:t>
            </w:r>
            <w:r w:rsidR="00C12A6F">
              <w:rPr>
                <w:rFonts w:ascii="Times New Roman" w:hAnsi="Times New Roman"/>
                <w:sz w:val="24"/>
              </w:rPr>
              <w:t xml:space="preserve"> w jak</w:t>
            </w:r>
            <w:r>
              <w:rPr>
                <w:rFonts w:ascii="Times New Roman" w:hAnsi="Times New Roman"/>
                <w:sz w:val="24"/>
              </w:rPr>
              <w:t>iej walucie najprawdopodobniej nastąpi przepływ,</w:t>
            </w:r>
            <w:r w:rsidR="00C12A6F">
              <w:rPr>
                <w:rFonts w:ascii="Times New Roman" w:hAnsi="Times New Roman"/>
                <w:sz w:val="24"/>
              </w:rPr>
              <w:t xml:space="preserve"> i zgł</w:t>
            </w:r>
            <w:r>
              <w:rPr>
                <w:rFonts w:ascii="Times New Roman" w:hAnsi="Times New Roman"/>
                <w:sz w:val="24"/>
              </w:rPr>
              <w:t>aszają daną pozycję wyłącznie</w:t>
            </w:r>
            <w:r w:rsidR="00C12A6F">
              <w:rPr>
                <w:rFonts w:ascii="Times New Roman" w:hAnsi="Times New Roman"/>
                <w:sz w:val="24"/>
              </w:rPr>
              <w:t xml:space="preserve"> w tej</w:t>
            </w:r>
            <w:r>
              <w:rPr>
                <w:rFonts w:ascii="Times New Roman" w:hAnsi="Times New Roman"/>
                <w:sz w:val="24"/>
              </w:rPr>
              <w:t xml:space="preserve"> walucie znaczącej według instrukcji dotyczących oddzielnego zgłaszania walut znaczących</w:t>
            </w:r>
            <w:r w:rsidR="00C12A6F">
              <w:rPr>
                <w:rFonts w:ascii="Times New Roman" w:hAnsi="Times New Roman"/>
                <w:sz w:val="24"/>
              </w:rPr>
              <w:t xml:space="preserve"> w ram</w:t>
            </w:r>
            <w:r>
              <w:rPr>
                <w:rFonts w:ascii="Times New Roman" w:hAnsi="Times New Roman"/>
                <w:sz w:val="24"/>
              </w:rPr>
              <w:t>ach wymogów pokrycia wypływów netto zgodnie</w:t>
            </w:r>
            <w:r w:rsidR="00C12A6F">
              <w:rPr>
                <w:rFonts w:ascii="Times New Roman" w:hAnsi="Times New Roman"/>
                <w:sz w:val="24"/>
              </w:rPr>
              <w:t xml:space="preserve"> z roz</w:t>
            </w:r>
            <w:r>
              <w:rPr>
                <w:rFonts w:ascii="Times New Roman" w:hAnsi="Times New Roman"/>
                <w:sz w:val="24"/>
              </w:rPr>
              <w:t>porządzeniem (UE) 2021/451.</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rPr>
            </w:pPr>
            <w:r>
              <w:rPr>
                <w:rFonts w:ascii="Times New Roman" w:hAnsi="Times New Roman"/>
                <w:sz w:val="24"/>
              </w:rPr>
              <w:t>0070</w:t>
            </w:r>
          </w:p>
        </w:tc>
        <w:tc>
          <w:tcPr>
            <w:tcW w:w="7306" w:type="dxa"/>
          </w:tcPr>
          <w:p w14:paraId="48AA6E4F"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Stopień jakości kredytowej</w:t>
            </w:r>
          </w:p>
          <w:p w14:paraId="692CB839" w14:textId="210DD369" w:rsidR="00E05204" w:rsidRPr="0068244B" w:rsidRDefault="00966F82" w:rsidP="00C05CCA">
            <w:pPr>
              <w:rPr>
                <w:rFonts w:ascii="Times New Roman" w:hAnsi="Times New Roman"/>
                <w:sz w:val="24"/>
                <w:u w:val="single"/>
              </w:rPr>
            </w:pPr>
            <w:r>
              <w:rPr>
                <w:rFonts w:ascii="Times New Roman" w:hAnsi="Times New Roman"/>
                <w:sz w:val="24"/>
              </w:rPr>
              <w:t>Odpowiedni stopień jakości kredytowej przypisuje się zgodnie</w:t>
            </w:r>
            <w:r w:rsidR="00C12A6F">
              <w:rPr>
                <w:rFonts w:ascii="Times New Roman" w:hAnsi="Times New Roman"/>
                <w:sz w:val="24"/>
              </w:rPr>
              <w:t xml:space="preserve"> z roz</w:t>
            </w:r>
            <w:r>
              <w:rPr>
                <w:rFonts w:ascii="Times New Roman" w:hAnsi="Times New Roman"/>
                <w:sz w:val="24"/>
              </w:rPr>
              <w:t xml:space="preserve">porządzeniem (UE) </w:t>
            </w:r>
            <w:r w:rsidRPr="00C12A6F">
              <w:rPr>
                <w:rFonts w:ascii="Times New Roman" w:hAnsi="Times New Roman"/>
                <w:sz w:val="24"/>
              </w:rPr>
              <w:t>nr</w:t>
            </w:r>
            <w:r w:rsidR="00C12A6F" w:rsidRPr="00C12A6F">
              <w:rPr>
                <w:rFonts w:ascii="Times New Roman" w:hAnsi="Times New Roman"/>
                <w:sz w:val="24"/>
              </w:rPr>
              <w:t> </w:t>
            </w:r>
            <w:r w:rsidRPr="00C12A6F">
              <w:rPr>
                <w:rFonts w:ascii="Times New Roman" w:hAnsi="Times New Roman"/>
                <w:sz w:val="24"/>
              </w:rPr>
              <w:t>5</w:t>
            </w:r>
            <w:r>
              <w:rPr>
                <w:rFonts w:ascii="Times New Roman" w:hAnsi="Times New Roman"/>
                <w:sz w:val="24"/>
              </w:rPr>
              <w:t>75/2013, który musi być taki sam jak</w:t>
            </w:r>
            <w:r w:rsidR="00C12A6F">
              <w:rPr>
                <w:rFonts w:ascii="Times New Roman" w:hAnsi="Times New Roman"/>
                <w:sz w:val="24"/>
              </w:rPr>
              <w:t xml:space="preserve"> w prz</w:t>
            </w:r>
            <w:r>
              <w:rPr>
                <w:rFonts w:ascii="Times New Roman" w:hAnsi="Times New Roman"/>
                <w:sz w:val="24"/>
              </w:rPr>
              <w:t>ypadku pozycji zgłoszonych</w:t>
            </w:r>
            <w:r w:rsidR="00C12A6F">
              <w:rPr>
                <w:rFonts w:ascii="Times New Roman" w:hAnsi="Times New Roman"/>
                <w:sz w:val="24"/>
              </w:rPr>
              <w:t xml:space="preserve"> w ram</w:t>
            </w:r>
            <w:r>
              <w:rPr>
                <w:rFonts w:ascii="Times New Roman" w:hAnsi="Times New Roman"/>
                <w:sz w:val="24"/>
              </w:rPr>
              <w:t>ach sprawozdawczości</w:t>
            </w:r>
            <w:r w:rsidR="00C12A6F">
              <w:rPr>
                <w:rFonts w:ascii="Times New Roman" w:hAnsi="Times New Roman"/>
                <w:sz w:val="24"/>
              </w:rPr>
              <w:t xml:space="preserve"> w zak</w:t>
            </w:r>
            <w:r>
              <w:rPr>
                <w:rFonts w:ascii="Times New Roman" w:hAnsi="Times New Roman"/>
                <w:sz w:val="24"/>
              </w:rPr>
              <w:t>resie niedopasowania terminów zapadalności</w:t>
            </w:r>
            <w:r w:rsidR="00C12A6F">
              <w:rPr>
                <w:rFonts w:ascii="Times New Roman" w:hAnsi="Times New Roman"/>
                <w:sz w:val="24"/>
              </w:rPr>
              <w:t>. W prz</w:t>
            </w:r>
            <w:r>
              <w:rPr>
                <w:rFonts w:ascii="Times New Roman" w:hAnsi="Times New Roman"/>
                <w:sz w:val="24"/>
              </w:rPr>
              <w:t>ypadku braku ratingu przypisuje się stopień „bez ratingu”.</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rPr>
            </w:pPr>
            <w:r>
              <w:rPr>
                <w:rFonts w:ascii="Times New Roman" w:hAnsi="Times New Roman"/>
                <w:sz w:val="24"/>
              </w:rPr>
              <w:t>0080</w:t>
            </w:r>
          </w:p>
        </w:tc>
        <w:tc>
          <w:tcPr>
            <w:tcW w:w="7306" w:type="dxa"/>
          </w:tcPr>
          <w:p w14:paraId="3B1CC0D3"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Wycena według wartości rynkowej / wartość nominalna</w:t>
            </w:r>
          </w:p>
          <w:p w14:paraId="78CE7B68" w14:textId="713222A3" w:rsidR="00E05204" w:rsidRPr="0068244B" w:rsidRDefault="00E05204" w:rsidP="00047ECB">
            <w:pPr>
              <w:rPr>
                <w:rFonts w:ascii="Times New Roman" w:hAnsi="Times New Roman"/>
                <w:sz w:val="24"/>
              </w:rPr>
            </w:pPr>
            <w:r>
              <w:rPr>
                <w:rFonts w:ascii="Times New Roman" w:hAnsi="Times New Roman"/>
                <w:sz w:val="24"/>
              </w:rPr>
              <w:t>Wartość rynkowa lub wartość godziwa aktywów lub,</w:t>
            </w:r>
            <w:r w:rsidR="00C12A6F">
              <w:rPr>
                <w:rFonts w:ascii="Times New Roman" w:hAnsi="Times New Roman"/>
                <w:sz w:val="24"/>
              </w:rPr>
              <w:t xml:space="preserve"> w sto</w:t>
            </w:r>
            <w:r>
              <w:rPr>
                <w:rFonts w:ascii="Times New Roman" w:hAnsi="Times New Roman"/>
                <w:sz w:val="24"/>
              </w:rPr>
              <w:t xml:space="preserve">sownych przypadkach, wartość nominalna niewykorzystanych instrumentów płynnościowych przyznanych instytucji.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rPr>
            </w:pPr>
            <w:r>
              <w:rPr>
                <w:rFonts w:ascii="Times New Roman" w:hAnsi="Times New Roman"/>
                <w:sz w:val="24"/>
              </w:rPr>
              <w:t>0090</w:t>
            </w:r>
          </w:p>
        </w:tc>
        <w:tc>
          <w:tcPr>
            <w:tcW w:w="7306" w:type="dxa"/>
          </w:tcPr>
          <w:p w14:paraId="5F665131"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Wartość zabezpieczenia uznawanego przez bank centralny</w:t>
            </w:r>
          </w:p>
          <w:p w14:paraId="507C4FE8" w14:textId="70DE410C" w:rsidR="00E05204" w:rsidRPr="0068244B" w:rsidRDefault="00E05204" w:rsidP="00047ECB">
            <w:pPr>
              <w:rPr>
                <w:rFonts w:ascii="Times New Roman" w:hAnsi="Times New Roman"/>
                <w:sz w:val="24"/>
              </w:rPr>
            </w:pPr>
            <w:r>
              <w:rPr>
                <w:rFonts w:ascii="Times New Roman" w:hAnsi="Times New Roman"/>
                <w:sz w:val="24"/>
              </w:rPr>
              <w:t xml:space="preserve">Wartość </w:t>
            </w:r>
            <w:r>
              <w:rPr>
                <w:rStyle w:val="FormatvorlageInstructionsTabelleText"/>
                <w:rFonts w:ascii="Times New Roman" w:hAnsi="Times New Roman"/>
                <w:sz w:val="24"/>
              </w:rPr>
              <w:t>zabezpieczenia</w:t>
            </w:r>
            <w:r>
              <w:rPr>
                <w:rFonts w:ascii="Times New Roman" w:hAnsi="Times New Roman"/>
                <w:sz w:val="24"/>
              </w:rPr>
              <w:t xml:space="preserve"> zgodnie</w:t>
            </w:r>
            <w:r w:rsidR="00C12A6F">
              <w:rPr>
                <w:rFonts w:ascii="Times New Roman" w:hAnsi="Times New Roman"/>
                <w:sz w:val="24"/>
              </w:rPr>
              <w:t xml:space="preserve"> z prz</w:t>
            </w:r>
            <w:r>
              <w:rPr>
                <w:rFonts w:ascii="Times New Roman" w:hAnsi="Times New Roman"/>
                <w:sz w:val="24"/>
              </w:rPr>
              <w:t>episami banku centralnego dotyczącymi operacji kredytowo-depozytowych</w:t>
            </w:r>
            <w:r w:rsidR="00C12A6F">
              <w:rPr>
                <w:rFonts w:ascii="Times New Roman" w:hAnsi="Times New Roman"/>
                <w:sz w:val="24"/>
              </w:rPr>
              <w:t xml:space="preserve"> w odn</w:t>
            </w:r>
            <w:r>
              <w:rPr>
                <w:rFonts w:ascii="Times New Roman" w:hAnsi="Times New Roman"/>
                <w:sz w:val="24"/>
              </w:rPr>
              <w:t>iesieniu do konkretnych aktywów.</w:t>
            </w:r>
          </w:p>
          <w:p w14:paraId="4C124B93" w14:textId="562CB930" w:rsidR="00BA0551" w:rsidRPr="0068244B" w:rsidRDefault="00B457F4" w:rsidP="00515147">
            <w:pPr>
              <w:rPr>
                <w:rFonts w:ascii="Times New Roman" w:hAnsi="Times New Roman"/>
                <w:sz w:val="24"/>
              </w:rPr>
            </w:pPr>
            <w:r>
              <w:rPr>
                <w:rFonts w:ascii="Times New Roman" w:hAnsi="Times New Roman"/>
                <w:sz w:val="24"/>
              </w:rPr>
              <w:t>W przypadku aktywów denominowanych</w:t>
            </w:r>
            <w:r w:rsidR="00C12A6F">
              <w:rPr>
                <w:rFonts w:ascii="Times New Roman" w:hAnsi="Times New Roman"/>
                <w:sz w:val="24"/>
              </w:rPr>
              <w:t xml:space="preserve"> w wal</w:t>
            </w:r>
            <w:r>
              <w:rPr>
                <w:rFonts w:ascii="Times New Roman" w:hAnsi="Times New Roman"/>
                <w:sz w:val="24"/>
              </w:rPr>
              <w:t>ucie ujętej</w:t>
            </w:r>
            <w:r w:rsidR="00C12A6F">
              <w:rPr>
                <w:rFonts w:ascii="Times New Roman" w:hAnsi="Times New Roman"/>
                <w:sz w:val="24"/>
              </w:rPr>
              <w:t xml:space="preserve"> w roz</w:t>
            </w:r>
            <w:r>
              <w:rPr>
                <w:rFonts w:ascii="Times New Roman" w:hAnsi="Times New Roman"/>
                <w:sz w:val="24"/>
              </w:rPr>
              <w:t>porządzeniu wykonawczym Komisji (UE) 2015/233</w:t>
            </w:r>
            <w:r>
              <w:rPr>
                <w:rFonts w:ascii="Times New Roman" w:hAnsi="Times New Roman"/>
                <w:sz w:val="24"/>
                <w:vertAlign w:val="superscript"/>
              </w:rPr>
              <w:t>*</w:t>
            </w:r>
            <w:r>
              <w:rPr>
                <w:rFonts w:ascii="Times New Roman" w:hAnsi="Times New Roman"/>
                <w:sz w:val="24"/>
              </w:rPr>
              <w:t xml:space="preserve"> jako waluta,</w:t>
            </w:r>
            <w:r w:rsidR="00C12A6F">
              <w:rPr>
                <w:rFonts w:ascii="Times New Roman" w:hAnsi="Times New Roman"/>
                <w:sz w:val="24"/>
              </w:rPr>
              <w:t xml:space="preserve"> </w:t>
            </w:r>
            <w:r w:rsidR="00C12A6F">
              <w:rPr>
                <w:rFonts w:ascii="Times New Roman" w:hAnsi="Times New Roman"/>
                <w:sz w:val="24"/>
              </w:rPr>
              <w:lastRenderedPageBreak/>
              <w:t>w prz</w:t>
            </w:r>
            <w:r>
              <w:rPr>
                <w:rFonts w:ascii="Times New Roman" w:hAnsi="Times New Roman"/>
                <w:sz w:val="24"/>
              </w:rPr>
              <w:t>ypadku której definicja aktywów uznawanych przez bank centralny jako zabezpieczenie jest bardzo wąska, instytucje pozostawiają to pole niewypełnione.”</w:t>
            </w:r>
          </w:p>
        </w:tc>
      </w:tr>
    </w:tbl>
    <w:p w14:paraId="2BD524BD" w14:textId="77777777" w:rsidR="00515147" w:rsidRPr="0068244B" w:rsidRDefault="00515147" w:rsidP="00845EB1">
      <w:pPr>
        <w:pStyle w:val="InstructionsText"/>
      </w:pPr>
      <w:r>
        <w:lastRenderedPageBreak/>
        <w:t>______________</w:t>
      </w:r>
    </w:p>
    <w:p w14:paraId="56E0854E" w14:textId="5385197B" w:rsidR="00D02FE4" w:rsidRPr="00845EB1" w:rsidRDefault="00515147" w:rsidP="00515147">
      <w:pPr>
        <w:pStyle w:val="InstructionsText"/>
        <w:rPr>
          <w:rStyle w:val="InstructionsTabelleText"/>
          <w:b/>
        </w:rPr>
      </w:pPr>
      <w:r>
        <w:rPr>
          <w:vertAlign w:val="superscript"/>
        </w:rPr>
        <w:t>*</w:t>
      </w:r>
      <w:r>
        <w:t xml:space="preserve"> Rozporządzenie wykonawcze Komisji (UE) 2015/233</w:t>
      </w:r>
      <w:r w:rsidR="00C12A6F">
        <w:t xml:space="preserve"> z dni</w:t>
      </w:r>
      <w:r>
        <w:t>a 13 lutego 20</w:t>
      </w:r>
      <w:r w:rsidRPr="00C12A6F">
        <w:t>15</w:t>
      </w:r>
      <w:r w:rsidR="00C12A6F" w:rsidRPr="00C12A6F">
        <w:t> </w:t>
      </w:r>
      <w:r w:rsidRPr="00C12A6F">
        <w:t>r.</w:t>
      </w:r>
      <w:r>
        <w:t xml:space="preserve"> ustanawiające wykonawcze standardy techniczne</w:t>
      </w:r>
      <w:r w:rsidR="00C12A6F">
        <w:t xml:space="preserve"> w odn</w:t>
      </w:r>
      <w:r>
        <w:t>iesieniu do walut,</w:t>
      </w:r>
      <w:r w:rsidR="00C12A6F">
        <w:t xml:space="preserve"> w prz</w:t>
      </w:r>
      <w:r>
        <w:t>ypadku których definicja aktywów przyjmowanych przez bank centralny jako zabezpieczenie jest bardzo wąska zgodnie</w:t>
      </w:r>
      <w:r w:rsidR="00C12A6F">
        <w:t xml:space="preserve"> z roz</w:t>
      </w:r>
      <w:r>
        <w:t>porządzeniem Parlamentu Europejskiego</w:t>
      </w:r>
      <w:r w:rsidR="00C12A6F">
        <w:t xml:space="preserve"> i Rad</w:t>
      </w:r>
      <w:r>
        <w:t xml:space="preserve">y (UE) </w:t>
      </w:r>
      <w:r w:rsidRPr="00C12A6F">
        <w:t>nr</w:t>
      </w:r>
      <w:r w:rsidR="00C12A6F" w:rsidRPr="00C12A6F">
        <w:t> </w:t>
      </w:r>
      <w:r w:rsidRPr="00C12A6F">
        <w:t>5</w:t>
      </w:r>
      <w:r>
        <w:t>75/2013 (Dz.U. L 39</w:t>
      </w:r>
      <w:r w:rsidR="00C12A6F">
        <w:t xml:space="preserve"> z 1</w:t>
      </w:r>
      <w:r>
        <w:t xml:space="preserve">4.2.2015, s. 11).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2737312C" w:rsidR="008E3ABF" w:rsidRDefault="008E3ABF">
        <w:pPr>
          <w:pStyle w:val="Footer"/>
          <w:jc w:val="center"/>
        </w:pPr>
        <w:r>
          <w:fldChar w:fldCharType="begin"/>
        </w:r>
        <w:r>
          <w:instrText xml:space="preserve"> PAGE   \* MERGEFORMAT </w:instrText>
        </w:r>
        <w:r>
          <w:fldChar w:fldCharType="separate"/>
        </w:r>
        <w:r w:rsidR="00C12A6F">
          <w:rPr>
            <w:noProof/>
          </w:rPr>
          <w:t>4</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5F3DA8D1" w:rsidR="009B3D8D" w:rsidRDefault="009B3D8D">
        <w:pPr>
          <w:pStyle w:val="Footer"/>
          <w:jc w:val="center"/>
        </w:pPr>
        <w:r>
          <w:fldChar w:fldCharType="begin"/>
        </w:r>
        <w:r>
          <w:instrText xml:space="preserve"> PAGE   \* MERGEFORMAT </w:instrText>
        </w:r>
        <w:r>
          <w:fldChar w:fldCharType="separate"/>
        </w:r>
        <w:r w:rsidR="00C12A6F">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5CFA"/>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2A6F"/>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pl-PL"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pl-PL"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pl-PL"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pl-PL" w:eastAsia="en-US" w:bidi="ar-SA"/>
    </w:rPr>
  </w:style>
  <w:style w:type="character" w:customStyle="1" w:styleId="FunoteChar">
    <w:name w:val="Fußnote Char"/>
    <w:aliases w:val=" Char Char Char"/>
    <w:semiHidden/>
    <w:rsid w:val="009D253B"/>
    <w:rPr>
      <w:rFonts w:ascii="Arial" w:hAnsi="Arial"/>
      <w:sz w:val="18"/>
      <w:lang w:val="pl-PL"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pl-PL"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pl-PL"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pl-PL"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pl-PL"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pl-PL"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pl-PL"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B53C6-8D46-42BE-9CFE-9E6EEFB5F32E}">
  <ds:schemaRefs>
    <ds:schemaRef ds:uri="http://schemas.openxmlformats.org/officeDocument/2006/bibliography"/>
  </ds:schemaRefs>
</ds:datastoreItem>
</file>

<file path=customXml/itemProps2.xml><?xml version="1.0" encoding="utf-8"?>
<ds:datastoreItem xmlns:ds="http://schemas.openxmlformats.org/officeDocument/2006/customXml" ds:itemID="{3BFCE4FD-A898-47AA-8A0D-F1941A5ED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895</Words>
  <Characters>6218</Characters>
  <Application>Microsoft Office Word</Application>
  <DocSecurity>0</DocSecurity>
  <Lines>148</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2022-11-11T13:33:00Z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ies>
</file>