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RO</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ANEXA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„ANEXA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INSTRUCȚIUNI DE RAPORTARE ÎN SCOPUL IDENTIFICĂRII G-SII ȘI AL ATRIBUIRII RATELOR AMORTIZORULUI G-SII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Cuprins</w:t>
      </w:r>
    </w:p>
    <w:p w14:paraId="48F68911" w14:textId="5FA34DC5" w:rsidR="008160F8"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5711" w:history="1">
        <w:r w:rsidR="008160F8" w:rsidRPr="00B42958">
          <w:rPr>
            <w:rStyle w:val="Hyperlink"/>
          </w:rPr>
          <w:t>PARTEA I: INSTRUCȚIUNI GENERALE</w:t>
        </w:r>
        <w:r w:rsidR="008160F8">
          <w:rPr>
            <w:webHidden/>
          </w:rPr>
          <w:tab/>
        </w:r>
        <w:r w:rsidR="008160F8">
          <w:rPr>
            <w:webHidden/>
          </w:rPr>
          <w:fldChar w:fldCharType="begin"/>
        </w:r>
        <w:r w:rsidR="008160F8">
          <w:rPr>
            <w:webHidden/>
          </w:rPr>
          <w:instrText xml:space="preserve"> PAGEREF _Toc119075711 \h </w:instrText>
        </w:r>
        <w:r w:rsidR="008160F8">
          <w:rPr>
            <w:webHidden/>
          </w:rPr>
        </w:r>
        <w:r w:rsidR="008160F8">
          <w:rPr>
            <w:webHidden/>
          </w:rPr>
          <w:fldChar w:fldCharType="separate"/>
        </w:r>
        <w:r w:rsidR="008160F8">
          <w:rPr>
            <w:webHidden/>
          </w:rPr>
          <w:t>2</w:t>
        </w:r>
        <w:r w:rsidR="008160F8">
          <w:rPr>
            <w:webHidden/>
          </w:rPr>
          <w:fldChar w:fldCharType="end"/>
        </w:r>
      </w:hyperlink>
    </w:p>
    <w:p w14:paraId="34F529BE" w14:textId="18AD688A" w:rsidR="008160F8" w:rsidRDefault="008160F8">
      <w:pPr>
        <w:pStyle w:val="TOC2"/>
        <w:rPr>
          <w:rFonts w:asciiTheme="minorHAnsi" w:eastAsiaTheme="minorEastAsia" w:hAnsiTheme="minorHAnsi" w:cstheme="minorBidi"/>
          <w:b w:val="0"/>
          <w:smallCaps w:val="0"/>
          <w:sz w:val="22"/>
          <w:lang w:val="en-US"/>
        </w:rPr>
      </w:pPr>
      <w:hyperlink w:anchor="_Toc119075712" w:history="1">
        <w:r w:rsidRPr="00B42958">
          <w:rPr>
            <w:rStyle w:val="Hyperlink"/>
          </w:rPr>
          <w:t>1.</w:t>
        </w:r>
        <w:r>
          <w:rPr>
            <w:rFonts w:asciiTheme="minorHAnsi" w:eastAsiaTheme="minorEastAsia" w:hAnsiTheme="minorHAnsi" w:cstheme="minorBidi"/>
            <w:b w:val="0"/>
            <w:smallCaps w:val="0"/>
            <w:sz w:val="22"/>
            <w:lang w:val="en-US"/>
          </w:rPr>
          <w:tab/>
        </w:r>
        <w:r w:rsidRPr="00B42958">
          <w:rPr>
            <w:rStyle w:val="Hyperlink"/>
          </w:rPr>
          <w:t>Structură și convenții</w:t>
        </w:r>
        <w:r>
          <w:rPr>
            <w:webHidden/>
          </w:rPr>
          <w:tab/>
        </w:r>
        <w:r>
          <w:rPr>
            <w:webHidden/>
          </w:rPr>
          <w:fldChar w:fldCharType="begin"/>
        </w:r>
        <w:r>
          <w:rPr>
            <w:webHidden/>
          </w:rPr>
          <w:instrText xml:space="preserve"> PAGEREF _Toc119075712 \h </w:instrText>
        </w:r>
        <w:r>
          <w:rPr>
            <w:webHidden/>
          </w:rPr>
        </w:r>
        <w:r>
          <w:rPr>
            <w:webHidden/>
          </w:rPr>
          <w:fldChar w:fldCharType="separate"/>
        </w:r>
        <w:r>
          <w:rPr>
            <w:webHidden/>
          </w:rPr>
          <w:t>2</w:t>
        </w:r>
        <w:r>
          <w:rPr>
            <w:webHidden/>
          </w:rPr>
          <w:fldChar w:fldCharType="end"/>
        </w:r>
      </w:hyperlink>
    </w:p>
    <w:p w14:paraId="3C4F2C53" w14:textId="5BCAA618" w:rsidR="008160F8" w:rsidRDefault="008160F8">
      <w:pPr>
        <w:pStyle w:val="TOC2"/>
        <w:rPr>
          <w:rFonts w:asciiTheme="minorHAnsi" w:eastAsiaTheme="minorEastAsia" w:hAnsiTheme="minorHAnsi" w:cstheme="minorBidi"/>
          <w:b w:val="0"/>
          <w:smallCaps w:val="0"/>
          <w:sz w:val="22"/>
          <w:lang w:val="en-US"/>
        </w:rPr>
      </w:pPr>
      <w:hyperlink w:anchor="_Toc119075713" w:history="1">
        <w:r w:rsidRPr="00B42958">
          <w:rPr>
            <w:rStyle w:val="Hyperlink"/>
          </w:rPr>
          <w:t>1.1.</w:t>
        </w:r>
        <w:r>
          <w:rPr>
            <w:rFonts w:asciiTheme="minorHAnsi" w:eastAsiaTheme="minorEastAsia" w:hAnsiTheme="minorHAnsi" w:cstheme="minorBidi"/>
            <w:b w:val="0"/>
            <w:smallCaps w:val="0"/>
            <w:sz w:val="22"/>
            <w:lang w:val="en-US"/>
          </w:rPr>
          <w:tab/>
        </w:r>
        <w:r w:rsidRPr="00B42958">
          <w:rPr>
            <w:rStyle w:val="Hyperlink"/>
          </w:rPr>
          <w:t>Structură</w:t>
        </w:r>
        <w:r>
          <w:rPr>
            <w:webHidden/>
          </w:rPr>
          <w:tab/>
        </w:r>
        <w:r>
          <w:rPr>
            <w:webHidden/>
          </w:rPr>
          <w:fldChar w:fldCharType="begin"/>
        </w:r>
        <w:r>
          <w:rPr>
            <w:webHidden/>
          </w:rPr>
          <w:instrText xml:space="preserve"> PAGEREF _Toc119075713 \h </w:instrText>
        </w:r>
        <w:r>
          <w:rPr>
            <w:webHidden/>
          </w:rPr>
        </w:r>
        <w:r>
          <w:rPr>
            <w:webHidden/>
          </w:rPr>
          <w:fldChar w:fldCharType="separate"/>
        </w:r>
        <w:r>
          <w:rPr>
            <w:webHidden/>
          </w:rPr>
          <w:t>2</w:t>
        </w:r>
        <w:r>
          <w:rPr>
            <w:webHidden/>
          </w:rPr>
          <w:fldChar w:fldCharType="end"/>
        </w:r>
      </w:hyperlink>
    </w:p>
    <w:p w14:paraId="44643EE0" w14:textId="444B11EA" w:rsidR="008160F8" w:rsidRDefault="008160F8">
      <w:pPr>
        <w:pStyle w:val="TOC2"/>
        <w:rPr>
          <w:rFonts w:asciiTheme="minorHAnsi" w:eastAsiaTheme="minorEastAsia" w:hAnsiTheme="minorHAnsi" w:cstheme="minorBidi"/>
          <w:b w:val="0"/>
          <w:smallCaps w:val="0"/>
          <w:sz w:val="22"/>
          <w:lang w:val="en-US"/>
        </w:rPr>
      </w:pPr>
      <w:hyperlink w:anchor="_Toc119075714" w:history="1">
        <w:r w:rsidRPr="00B42958">
          <w:rPr>
            <w:rStyle w:val="Hyperlink"/>
          </w:rPr>
          <w:t>1.2.</w:t>
        </w:r>
        <w:r>
          <w:rPr>
            <w:rFonts w:asciiTheme="minorHAnsi" w:eastAsiaTheme="minorEastAsia" w:hAnsiTheme="minorHAnsi" w:cstheme="minorBidi"/>
            <w:b w:val="0"/>
            <w:smallCaps w:val="0"/>
            <w:sz w:val="22"/>
            <w:lang w:val="en-US"/>
          </w:rPr>
          <w:tab/>
        </w:r>
        <w:r w:rsidRPr="00B42958">
          <w:rPr>
            <w:rStyle w:val="Hyperlink"/>
          </w:rPr>
          <w:t>Convenția de numerotare</w:t>
        </w:r>
        <w:r>
          <w:rPr>
            <w:webHidden/>
          </w:rPr>
          <w:tab/>
        </w:r>
        <w:r>
          <w:rPr>
            <w:webHidden/>
          </w:rPr>
          <w:fldChar w:fldCharType="begin"/>
        </w:r>
        <w:r>
          <w:rPr>
            <w:webHidden/>
          </w:rPr>
          <w:instrText xml:space="preserve"> PAGEREF _Toc119075714 \h </w:instrText>
        </w:r>
        <w:r>
          <w:rPr>
            <w:webHidden/>
          </w:rPr>
        </w:r>
        <w:r>
          <w:rPr>
            <w:webHidden/>
          </w:rPr>
          <w:fldChar w:fldCharType="separate"/>
        </w:r>
        <w:r>
          <w:rPr>
            <w:webHidden/>
          </w:rPr>
          <w:t>2</w:t>
        </w:r>
        <w:r>
          <w:rPr>
            <w:webHidden/>
          </w:rPr>
          <w:fldChar w:fldCharType="end"/>
        </w:r>
      </w:hyperlink>
    </w:p>
    <w:p w14:paraId="54CCDF3B" w14:textId="327C012C" w:rsidR="008160F8" w:rsidRDefault="008160F8">
      <w:pPr>
        <w:pStyle w:val="TOC2"/>
        <w:rPr>
          <w:rFonts w:asciiTheme="minorHAnsi" w:eastAsiaTheme="minorEastAsia" w:hAnsiTheme="minorHAnsi" w:cstheme="minorBidi"/>
          <w:b w:val="0"/>
          <w:smallCaps w:val="0"/>
          <w:sz w:val="22"/>
          <w:lang w:val="en-US"/>
        </w:rPr>
      </w:pPr>
      <w:hyperlink w:anchor="_Toc119075715" w:history="1">
        <w:r w:rsidRPr="00B42958">
          <w:rPr>
            <w:rStyle w:val="Hyperlink"/>
          </w:rPr>
          <w:t>1.3.</w:t>
        </w:r>
        <w:r>
          <w:rPr>
            <w:rFonts w:asciiTheme="minorHAnsi" w:eastAsiaTheme="minorEastAsia" w:hAnsiTheme="minorHAnsi" w:cstheme="minorBidi"/>
            <w:b w:val="0"/>
            <w:smallCaps w:val="0"/>
            <w:sz w:val="22"/>
            <w:lang w:val="en-US"/>
          </w:rPr>
          <w:tab/>
        </w:r>
        <w:r w:rsidRPr="00B42958">
          <w:rPr>
            <w:rStyle w:val="Hyperlink"/>
          </w:rPr>
          <w:t>Convenția privind semnul</w:t>
        </w:r>
        <w:r>
          <w:rPr>
            <w:webHidden/>
          </w:rPr>
          <w:tab/>
        </w:r>
        <w:r>
          <w:rPr>
            <w:webHidden/>
          </w:rPr>
          <w:fldChar w:fldCharType="begin"/>
        </w:r>
        <w:r>
          <w:rPr>
            <w:webHidden/>
          </w:rPr>
          <w:instrText xml:space="preserve"> PAGEREF _Toc119075715 \h </w:instrText>
        </w:r>
        <w:r>
          <w:rPr>
            <w:webHidden/>
          </w:rPr>
        </w:r>
        <w:r>
          <w:rPr>
            <w:webHidden/>
          </w:rPr>
          <w:fldChar w:fldCharType="separate"/>
        </w:r>
        <w:r>
          <w:rPr>
            <w:webHidden/>
          </w:rPr>
          <w:t>2</w:t>
        </w:r>
        <w:r>
          <w:rPr>
            <w:webHidden/>
          </w:rPr>
          <w:fldChar w:fldCharType="end"/>
        </w:r>
      </w:hyperlink>
    </w:p>
    <w:p w14:paraId="529CBBB1" w14:textId="243FBCF2" w:rsidR="008160F8" w:rsidRDefault="008160F8">
      <w:pPr>
        <w:pStyle w:val="TOC2"/>
        <w:rPr>
          <w:rFonts w:asciiTheme="minorHAnsi" w:eastAsiaTheme="minorEastAsia" w:hAnsiTheme="minorHAnsi" w:cstheme="minorBidi"/>
          <w:b w:val="0"/>
          <w:smallCaps w:val="0"/>
          <w:sz w:val="22"/>
          <w:lang w:val="en-US"/>
        </w:rPr>
      </w:pPr>
      <w:hyperlink w:anchor="_Toc119075716" w:history="1">
        <w:r w:rsidRPr="00B42958">
          <w:rPr>
            <w:rStyle w:val="Hyperlink"/>
          </w:rPr>
          <w:t>PARTEA II: INSTRUCȚIUNI AFERENTE FORMULARULUI</w:t>
        </w:r>
        <w:r>
          <w:rPr>
            <w:webHidden/>
          </w:rPr>
          <w:tab/>
        </w:r>
        <w:r>
          <w:rPr>
            <w:webHidden/>
          </w:rPr>
          <w:fldChar w:fldCharType="begin"/>
        </w:r>
        <w:r>
          <w:rPr>
            <w:webHidden/>
          </w:rPr>
          <w:instrText xml:space="preserve"> PAGEREF _Toc119075716 \h </w:instrText>
        </w:r>
        <w:r>
          <w:rPr>
            <w:webHidden/>
          </w:rPr>
        </w:r>
        <w:r>
          <w:rPr>
            <w:webHidden/>
          </w:rPr>
          <w:fldChar w:fldCharType="separate"/>
        </w:r>
        <w:r>
          <w:rPr>
            <w:webHidden/>
          </w:rPr>
          <w:t>3</w:t>
        </w:r>
        <w:r>
          <w:rPr>
            <w:webHidden/>
          </w:rPr>
          <w:fldChar w:fldCharType="end"/>
        </w:r>
      </w:hyperlink>
    </w:p>
    <w:p w14:paraId="61D9464C" w14:textId="4C21849B" w:rsidR="008160F8" w:rsidRDefault="008160F8">
      <w:pPr>
        <w:pStyle w:val="TOC2"/>
        <w:rPr>
          <w:rFonts w:asciiTheme="minorHAnsi" w:eastAsiaTheme="minorEastAsia" w:hAnsiTheme="minorHAnsi" w:cstheme="minorBidi"/>
          <w:b w:val="0"/>
          <w:smallCaps w:val="0"/>
          <w:sz w:val="22"/>
          <w:lang w:val="en-US"/>
        </w:rPr>
      </w:pPr>
      <w:hyperlink w:anchor="_Toc119075717" w:history="1">
        <w:r w:rsidRPr="00B42958">
          <w:rPr>
            <w:rStyle w:val="Hyperlink"/>
          </w:rPr>
          <w:t>1.</w:t>
        </w:r>
        <w:r>
          <w:rPr>
            <w:rFonts w:asciiTheme="minorHAnsi" w:eastAsiaTheme="minorEastAsia" w:hAnsiTheme="minorHAnsi" w:cstheme="minorBidi"/>
            <w:b w:val="0"/>
            <w:smallCaps w:val="0"/>
            <w:sz w:val="22"/>
            <w:lang w:val="en-US"/>
          </w:rPr>
          <w:tab/>
        </w:r>
        <w:r w:rsidRPr="00B42958">
          <w:rPr>
            <w:rStyle w:val="Hyperlink"/>
          </w:rPr>
          <w:t>Observații generale</w:t>
        </w:r>
        <w:r>
          <w:rPr>
            <w:webHidden/>
          </w:rPr>
          <w:tab/>
        </w:r>
        <w:r>
          <w:rPr>
            <w:webHidden/>
          </w:rPr>
          <w:fldChar w:fldCharType="begin"/>
        </w:r>
        <w:r>
          <w:rPr>
            <w:webHidden/>
          </w:rPr>
          <w:instrText xml:space="preserve"> PAGEREF _Toc119075717 \h </w:instrText>
        </w:r>
        <w:r>
          <w:rPr>
            <w:webHidden/>
          </w:rPr>
        </w:r>
        <w:r>
          <w:rPr>
            <w:webHidden/>
          </w:rPr>
          <w:fldChar w:fldCharType="separate"/>
        </w:r>
        <w:r>
          <w:rPr>
            <w:webHidden/>
          </w:rPr>
          <w:t>3</w:t>
        </w:r>
        <w:r>
          <w:rPr>
            <w:webHidden/>
          </w:rPr>
          <w:fldChar w:fldCharType="end"/>
        </w:r>
      </w:hyperlink>
    </w:p>
    <w:p w14:paraId="676AB902" w14:textId="1133BD5C" w:rsidR="008160F8" w:rsidRDefault="008160F8">
      <w:pPr>
        <w:pStyle w:val="TOC2"/>
        <w:rPr>
          <w:rFonts w:asciiTheme="minorHAnsi" w:eastAsiaTheme="minorEastAsia" w:hAnsiTheme="minorHAnsi" w:cstheme="minorBidi"/>
          <w:b w:val="0"/>
          <w:smallCaps w:val="0"/>
          <w:sz w:val="22"/>
          <w:lang w:val="en-US"/>
        </w:rPr>
      </w:pPr>
      <w:hyperlink w:anchor="_Toc119075718" w:history="1">
        <w:r w:rsidRPr="00B42958">
          <w:rPr>
            <w:rStyle w:val="Hyperlink"/>
          </w:rPr>
          <w:t>2.</w:t>
        </w:r>
        <w:r>
          <w:rPr>
            <w:rFonts w:asciiTheme="minorHAnsi" w:eastAsiaTheme="minorEastAsia" w:hAnsiTheme="minorHAnsi" w:cstheme="minorBidi"/>
            <w:b w:val="0"/>
            <w:smallCaps w:val="0"/>
            <w:sz w:val="22"/>
            <w:lang w:val="en-US"/>
          </w:rPr>
          <w:tab/>
        </w:r>
        <w:r w:rsidRPr="00B42958">
          <w:rPr>
            <w:rStyle w:val="Hyperlink"/>
          </w:rPr>
          <w:t>Instrucțiuni privind anumite poziții</w:t>
        </w:r>
        <w:r>
          <w:rPr>
            <w:webHidden/>
          </w:rPr>
          <w:tab/>
        </w:r>
        <w:r>
          <w:rPr>
            <w:webHidden/>
          </w:rPr>
          <w:fldChar w:fldCharType="begin"/>
        </w:r>
        <w:r>
          <w:rPr>
            <w:webHidden/>
          </w:rPr>
          <w:instrText xml:space="preserve"> PAGEREF _Toc119075718 \h </w:instrText>
        </w:r>
        <w:r>
          <w:rPr>
            <w:webHidden/>
          </w:rPr>
        </w:r>
        <w:r>
          <w:rPr>
            <w:webHidden/>
          </w:rPr>
          <w:fldChar w:fldCharType="separate"/>
        </w:r>
        <w:r>
          <w:rPr>
            <w:webHidden/>
          </w:rPr>
          <w:t>3</w:t>
        </w:r>
        <w:r>
          <w:rPr>
            <w:webHidden/>
          </w:rPr>
          <w:fldChar w:fldCharType="end"/>
        </w:r>
      </w:hyperlink>
    </w:p>
    <w:p w14:paraId="7AC7042C" w14:textId="1FF65A6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9075711"/>
      <w:r>
        <w:lastRenderedPageBreak/>
        <w:t>PARTEA I:</w:t>
      </w:r>
      <w:bookmarkEnd w:id="2"/>
      <w:r>
        <w:t xml:space="preserve"> INSTRUCȚIUNI GENERALE</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9075712"/>
      <w:r>
        <w:rPr>
          <w:sz w:val="24"/>
        </w:rPr>
        <w:t>1.</w:t>
      </w:r>
      <w:r>
        <w:tab/>
      </w:r>
      <w:r>
        <w:rPr>
          <w:sz w:val="24"/>
        </w:rPr>
        <w:t>Structură și convenții</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19075713"/>
      <w:r>
        <w:rPr>
          <w:sz w:val="24"/>
        </w:rPr>
        <w:t>1.1.</w:t>
      </w:r>
      <w:r>
        <w:tab/>
      </w:r>
      <w:r>
        <w:rPr>
          <w:sz w:val="24"/>
        </w:rPr>
        <w:t>Structură</w:t>
      </w:r>
      <w:bookmarkEnd w:id="9"/>
      <w:bookmarkEnd w:id="10"/>
      <w:bookmarkEnd w:id="13"/>
    </w:p>
    <w:p w14:paraId="6C67B776" w14:textId="4E28F620" w:rsidR="005643EA" w:rsidRPr="00B74E74" w:rsidRDefault="00125707" w:rsidP="00B26332">
      <w:pPr>
        <w:pStyle w:val="InstructionsText2"/>
        <w:ind w:left="993"/>
      </w:pPr>
      <w:r>
        <w:t>1.</w:t>
      </w:r>
      <w:r>
        <w:tab/>
        <w:t>Prezentele cerințe de raportare menite să sprijine identificarea instituțiilor de importanță sistemică globală (G-SII) și atribuirea ratelor corespunzătoare ale amortizorului G-SII constau  într-un formular care cuprinde informații privind indicatorii de importanță sistemică globală și elementele specifice necesare pentru aplicarea metodologiei Uniunii de identificare a G-SII și de atribuire a ratelor corespunzătoare ale amortizorului G-SII.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9075714"/>
      <w:r>
        <w:rPr>
          <w:sz w:val="24"/>
        </w:rPr>
        <w:t>1.2.</w:t>
      </w:r>
      <w:r>
        <w:tab/>
      </w:r>
      <w:r>
        <w:rPr>
          <w:sz w:val="24"/>
        </w:rPr>
        <w:t>Convenția de numerotare</w:t>
      </w:r>
      <w:bookmarkEnd w:id="14"/>
      <w:bookmarkEnd w:id="15"/>
      <w:bookmarkEnd w:id="16"/>
    </w:p>
    <w:p w14:paraId="3C0F0268" w14:textId="5212C39C" w:rsidR="002648B0" w:rsidRPr="00B74E74" w:rsidRDefault="006137FD" w:rsidP="00AB7C07">
      <w:pPr>
        <w:pStyle w:val="InstructionsText2"/>
        <w:ind w:left="993"/>
      </w:pPr>
      <w:r>
        <w:t>2.</w:t>
      </w:r>
      <w:r>
        <w:tab/>
        <w:t>În ceea ce privește referințele la coloanele, rândurile și celulele formularelor, documentul respectă convenția de etichetare stabilită la punctele 3-5. Aceste coduri numerice sunt utilizate pe scară largă în normele de validare.</w:t>
      </w:r>
    </w:p>
    <w:p w14:paraId="26DC2799" w14:textId="2C43513E" w:rsidR="005643EA" w:rsidRPr="00B74E74" w:rsidRDefault="006137FD" w:rsidP="00AB7C07">
      <w:pPr>
        <w:pStyle w:val="InstructionsText2"/>
        <w:ind w:left="993"/>
      </w:pPr>
      <w:r>
        <w:t>3.</w:t>
      </w:r>
      <w:r>
        <w:tab/>
        <w:t>În instrucțiuni se utilizează următoarea notație generală: {formular; rând; coloană}.</w:t>
      </w:r>
    </w:p>
    <w:p w14:paraId="6A9F72AA" w14:textId="632C824C" w:rsidR="005643EA" w:rsidRPr="00B74E74" w:rsidRDefault="006137FD" w:rsidP="00AB7C07">
      <w:pPr>
        <w:pStyle w:val="InstructionsText2"/>
        <w:ind w:left="993"/>
      </w:pPr>
      <w:r>
        <w:t>4.</w:t>
      </w:r>
      <w:r>
        <w:tab/>
        <w:t>În cazul în care se fac trimiteri în interiorul unui formular și, prin urmare, se utilizează numai punctele de date din formularul respectiv, notația nu include un formular: {rând; coloană}. În cazul în care formularele au o singură coloană, sunt menționate numai rândurile {formular; rând}.</w:t>
      </w:r>
    </w:p>
    <w:p w14:paraId="01FECE3C" w14:textId="482B71E1" w:rsidR="002648B0" w:rsidRPr="00B74E74" w:rsidRDefault="006137FD" w:rsidP="00AB7C07">
      <w:pPr>
        <w:pStyle w:val="InstructionsText2"/>
        <w:ind w:left="993"/>
      </w:pPr>
      <w:r>
        <w:t>5.</w:t>
      </w:r>
      <w:r>
        <w:tab/>
        <w:t>Se utilizează un asterisc pentru a se indica faptul că referințele fac trimitere la rândurile sau coloanele menționate anterior.</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9075715"/>
      <w:r>
        <w:rPr>
          <w:sz w:val="24"/>
        </w:rPr>
        <w:t>1.3.</w:t>
      </w:r>
      <w:r>
        <w:tab/>
      </w:r>
      <w:r>
        <w:rPr>
          <w:sz w:val="24"/>
        </w:rPr>
        <w:t>Convenția privind semnul</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Orice cuantum care duce la creșterea valorii indicatorului, a activelor, a datoriilor sau a expunerilor se raportează ca valoare pozitivă. Orice cuantum care reduce valoarea indicatorului, a activelor, a datoriilor sau a expunerilor se raportează ca valoare negativă. Atunci când există un semn negativ (-) în fața denumirii unui element, se presupune că pentru elementul respectiv nu se va raporta nicio valoare pozitivă.</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9075716"/>
      <w:r>
        <w:lastRenderedPageBreak/>
        <w:t>PARTEA II: INSTRUCȚIUNI AFERENTE FORMULARULUI</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9075717"/>
      <w:r>
        <w:rPr>
          <w:sz w:val="24"/>
        </w:rPr>
        <w:t>1.</w:t>
      </w:r>
      <w:r>
        <w:tab/>
      </w:r>
      <w:bookmarkStart w:id="27" w:name="_Toc308175819"/>
      <w:bookmarkStart w:id="28" w:name="_Toc360188324"/>
      <w:bookmarkStart w:id="29" w:name="_Toc473560872"/>
      <w:bookmarkEnd w:id="24"/>
      <w:bookmarkEnd w:id="25"/>
      <w:r>
        <w:rPr>
          <w:sz w:val="24"/>
        </w:rPr>
        <w:t>Observații generale</w:t>
      </w:r>
      <w:bookmarkEnd w:id="27"/>
      <w:bookmarkEnd w:id="28"/>
      <w:bookmarkEnd w:id="29"/>
      <w:bookmarkEnd w:id="26"/>
    </w:p>
    <w:p w14:paraId="410557ED" w14:textId="58FCFFD9" w:rsidR="006137FD" w:rsidRPr="00B74E74" w:rsidRDefault="00004542" w:rsidP="00AB7C07">
      <w:pPr>
        <w:pStyle w:val="InstructionsText2"/>
        <w:ind w:left="993"/>
      </w:pPr>
      <w:r>
        <w:t>8.</w:t>
      </w:r>
      <w:r>
        <w:tab/>
        <w:t>Formularul este împărțit în două secțiuni. Secțiunea superioară privind indicatorii G-SII include indicatorii de identificare a instituțiilor de importanță sistemică globală, astfel cum sunt definiți în metodologia elaborată de Comitetul de la Basel pentru supraveghere bancară. Secțiunea inferioară conține o serie de elemente necesare pentru calcularea indicatorilor relevanți în conformitate cu metodologia definită în temeiul articolului 131 alineatul (18) din Directiva 2013/36/UE</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Dacă este cazul, informațiile furnizate în acest formular trebuie să fie consecvente cu informațiile furnizate autorităților relevante în scopul colectării de către autoritățile relevante a valorilor indicatorilor, astfel cum se prevede la articolul 3 alineatul (2) din Regulamentul delegat (UE) nr. 1222/2014 al Comisiei</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9075718"/>
      <w:r>
        <w:rPr>
          <w:sz w:val="24"/>
        </w:rPr>
        <w:t>2.</w:t>
      </w:r>
      <w:r>
        <w:tab/>
      </w:r>
      <w:r>
        <w:rPr>
          <w:sz w:val="24"/>
        </w:rPr>
        <w:t>Instrucțiuni privind anumite</w:t>
      </w:r>
      <w:bookmarkEnd w:id="30"/>
      <w:r>
        <w:t xml:space="preserve"> </w:t>
      </w:r>
      <w:bookmarkEnd w:id="31"/>
      <w:r>
        <w:rPr>
          <w:sz w:val="24"/>
        </w:rPr>
        <w:t>poziții</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Indicatorii G-SII</w:t>
            </w:r>
          </w:p>
          <w:p w14:paraId="71B4C248" w14:textId="231EAF12"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Definiția indicatorilor trebuie să fie aceeași cu definiția aplicată în scopul stabilirii informațiilor enumerate în anexa l</w:t>
            </w:r>
            <w:r w:rsidR="008160F8">
              <w:rPr>
                <w:rStyle w:val="FormatvorlageInstructionsTabelleText"/>
                <w:rFonts w:ascii="Times New Roman" w:hAnsi="Times New Roman"/>
                <w:sz w:val="24"/>
              </w:rPr>
              <w:t>a Regulamentul delegat (UE) nr. </w:t>
            </w:r>
            <w:r>
              <w:rPr>
                <w:rStyle w:val="FormatvorlageInstructionsTabelleText"/>
                <w:rFonts w:ascii="Times New Roman" w:hAnsi="Times New Roman"/>
                <w:sz w:val="24"/>
              </w:rPr>
              <w:t>1222/2014 al Comisiei.</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În cazul în care se aduc modificări definițiilor din metodologia respectivă, definițiile modificate din metodologia aplicabilă pentru determinarea valorilor indicatorilor la sfârșitul exercițiului financiar («metodologia aplicabilă la sfârșitul exercițiului financiar») trebuie utilizate și în scopul raportării informațiilor la sfârșitul primului, celui de-al doilea și celui de-al treilea trimestru al aceluiași exercițiu financiar. În cazul în care formularul din anexa XXVI face obiectul unor modificări în cursul exercițiului financiar în cauză, metodologia aplicabilă la sfârșitul exercițiului financiar se aplică de la primele date de referință aplicabile după intrarea în vigoare a regulamentului de modificare.</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Indicatorii care măsoară fluxuri se raportează pe bază cumulativă de la începutul anului calendaristic sau, după caz, al exercițiului financiar.</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totale, inclusiv filialele de asigurări</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Active la nivelul sistemului financiar, inclusiv filialele de asigurări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Datorii la nivelul sistemului financiar, inclusiv filialele de asigurări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Titluri de valoare în circulație, inclusiv titluri de valoare emise de filialele de asigurări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Activitatea de plăți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Active în custodie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Activitatea de subscriere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Volumul tranzacțiilor – cu venit fix</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Volumul tranzacțiilor – titluri de capital și alte titluri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Valoarea noțională a instrumentelor financiare derivate extrabursiere, inclusiv filialele de asigurări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Titluri de valoare deținute în vederea tranzacționării și disponibile pentru vânzare</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Active de nivel 3, inclusiv filialele de asigurări</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Creanțe interjurisdicționale</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Obligații de plată interjurisdicționale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Elemente pentru uniunea bancară europeană considerată drept o singură jurisdicție</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În scopul stabilirii elementelor specificate mai jos și în absența unor precizări în instrucțiunile de mai jos, definițiile și conceptele aplicate se aliniază, pe cât posibil, la definițiile și conceptele incluse în Orientările pentru raportarea statisticilor bancare internaționale BIS (</w:t>
            </w:r>
            <w:r>
              <w:rPr>
                <w:rStyle w:val="FormatvorlageInstructionsTabelleText"/>
                <w:rFonts w:ascii="Times New Roman" w:hAnsi="Times New Roman"/>
                <w:i/>
                <w:sz w:val="24"/>
              </w:rPr>
              <w:t>Guidelines for reporting the BIS international banking statistics</w:t>
            </w:r>
            <w:r>
              <w:rPr>
                <w:rStyle w:val="FormatvorlageInstructionsTabelleText"/>
                <w:rFonts w:ascii="Times New Roman" w:hAnsi="Times New Roman"/>
                <w:sz w:val="24"/>
              </w:rPr>
              <w:t>).</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Prin derogare de la aceste orientări, activitățile entităților raportoare în statele membre participante, astfel cum sunt menționate la articolul 4 din Regulamentul (UE) nr. 806/2014 al Parlamentului European și al Consiliului</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sunt excluse, cu alte cuvinte, statele membre participante sunt considerate ca fiind o singură jurisdicție.</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Creanțe externe totale evaluate pe baza riscului final</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externe totale reprezintă suma creanțelor transfrontaliere și a creanțelor locale ale filialelor străine în monedă locală sau străină. Se exclud creanțele din poziții pe contracte derivate. «Creanțe», «creanțe transfrontaliere», «creanțe locale ale filialelor străine în monedă străină și locală» au același înțeles ca cel definit în Orientările pentru raportarea statisticilor bancare internaționale BIS.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 baza riscului final» înseamnă că, pentru a stabili dacă o creanță este creanță transfrontalieră sau creanță locală, poziția este alocată unei părți terțe </w:t>
            </w:r>
            <w:r>
              <w:rPr>
                <w:rStyle w:val="FormatvorlageInstructionsTabelleText"/>
                <w:rFonts w:ascii="Times New Roman" w:hAnsi="Times New Roman"/>
                <w:sz w:val="24"/>
              </w:rPr>
              <w:lastRenderedPageBreak/>
              <w:t>care și-a asumat prin contract să preia datoriile sau obligațiile contrapărții primare dacă aceasta nu își îndeplinește obligațiile, în cazul în care există o astfel de parte terță. Această alocare se face în conformitate cu dispozițiile privind transferurile de risc prevăzute în Orientările pentru raportarea statisticilor bancare internaționale BIS.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Creanțe externe din instrumente financiare derivate evaluate pe baza riscului final</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Valoarea justă pozitivă a tuturor creanțelor din instrumente financiare derivate care sunt creanțe transfrontaliere sau creanțe locale ale filialelor străine în moneda locală sau străină.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financiare derivate includ contractele forward, swap-urile și opțiunile legate de cursul de schimb, rata dobânzii, capitaluri proprii, mărfuri și instrumente de credit. Acestea includ instrumentele financiare derivate de credit achiziționate care acoperă împotriva riscurilor sau compensează protecția creditului vândută sau care sunt deținute în scopul tranzacționării.</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unor astfel de instrumente financiare derivate de credit achiziționate, valoarea nu se limitează la valoarea creanței imediate pentru garantarea căreia au fost achiziționate.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Valorile juste pozitive ale contractelor derivate pot fi compensate cu valori juste negative numai dacă pozițiile au fost executate cu aceeași contraparte în temeiul unui acord de compensare executoriu din punct de vedere juridic. Numai seturile de compensare cu o valoare pozitivă sunt incluse în acest element.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din instrumente financiare derivate se raportează în forma brută în ceea ce privește eventualele garanții în numerar.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scopul raportării informațiilor pe baza riscului final, se aplică următoarele: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riscul final îi revine contrapărții, un instrument financiar derivat este considerat străin în cazul în care contrapartea nu se află în jurisdicția de origine a entităților raportoare;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atunci când riscul final îi revine garantului, un instrument financiar derivat este considerat străin în cazul în care garantul nu se află în jurisdicția de origine a entităților raportoare.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Datorii externe pe baza riscului imediat, inclusiv instrumentele financiare derivate</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externe, inclusiv instrumentele financiare derivate, reprezintă suma datoriilor externe și a datoriilor externe care rezultă din instrumente financiare derivate. Datoriile aferente titlurilor de valoare care sunt active financiare tranzacționabile emise de instituția raportoare sunt excluse din acest element.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Definiția instrumentelor financiare derivate este aceeași cu cea aplicată pentru rândul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Valorile juste negative ale contractelor derivate pot fi compensate cu valori juste pozitive numai dacă pozițiile au fost executate cu aceeași contraparte în temeiul unui acord de compensare executoriu din punct de vedere juridic. </w:t>
            </w:r>
            <w:r>
              <w:rPr>
                <w:rStyle w:val="FormatvorlageInstructionsTabelleText"/>
                <w:rFonts w:ascii="Times New Roman" w:hAnsi="Times New Roman"/>
                <w:sz w:val="24"/>
              </w:rPr>
              <w:lastRenderedPageBreak/>
              <w:t xml:space="preserve">Datoriile aferente instrumentelor financiare derivate se raportează în forma brută în ceea ce privește eventualele garanții reale (în numerar și nemonetare).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 baza riscului imediat» înseamnă că, pentru a stabili dacă o creanță este creanță transfrontalieră sau creanță locală, poziția este alocată contrapărții directe la contract.”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F8B86F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8160F8">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89D1371"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8160F8">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BB41352"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8160F8">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55E74395"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w:t>
      </w:r>
      <w:r w:rsidR="008160F8">
        <w:rPr>
          <w:rFonts w:ascii="Times New Roman" w:hAnsi="Times New Roman"/>
          <w:color w:val="444444"/>
          <w:sz w:val="20"/>
        </w:rPr>
        <w:t>/49/CE (JO L 176, 27.6.2013, p. </w:t>
      </w:r>
      <w:r>
        <w:rPr>
          <w:rFonts w:ascii="Times New Roman" w:hAnsi="Times New Roman"/>
          <w:color w:val="444444"/>
          <w:sz w:val="20"/>
        </w:rPr>
        <w:t>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Regulamentul delegat (UE) nr. 1222/2014 al Comisiei din 8 octombrie 2014 de completare a Directivei 2013/36/UE a Parlamentului European și a Consiliului în ceea ce privește standardele tehnice de reglementare pentru precizarea metodologiei pentru identificarea instituțiilor globale de importanță sistemică și pentru definirea de subcategorii ale instituțiilor globale de importanță sistemică (</w:t>
      </w:r>
      <w:r>
        <w:rPr>
          <w:rFonts w:ascii="Times New Roman" w:hAnsi="Times New Roman"/>
          <w:sz w:val="20"/>
        </w:rPr>
        <w:t>JO L 330, 15.11.2014, p. 27).</w:t>
      </w:r>
    </w:p>
  </w:footnote>
  <w:footnote w:id="4">
    <w:p w14:paraId="7E81C75F" w14:textId="7AFAACB8" w:rsidR="00461B95" w:rsidRPr="00EF0DDB" w:rsidRDefault="00461B95">
      <w:pPr>
        <w:pStyle w:val="FootnoteText"/>
      </w:pPr>
      <w:r>
        <w:rPr>
          <w:rStyle w:val="FootnoteReference"/>
        </w:rPr>
        <w:footnoteRef/>
      </w:r>
      <w:r>
        <w:t xml:space="preserve"> </w:t>
      </w:r>
      <w:r>
        <w:t xml:space="preserve">Regulamentul (UE) nr. 806/2014 al Parlamentului European și al Consiliului din 15 iulie 2014 de stabilire a unor norme uniforme și a unei proceduri uniforme de rezoluție a instituțiilor de credit și a anumitor firme de investiții în cadrul unui mecanism unic de rezoluție și al unui fond unic de rezoluție și de modificare a </w:t>
      </w:r>
      <w:bookmarkStart w:id="35" w:name="_GoBack"/>
      <w:bookmarkEnd w:id="35"/>
      <w:r>
        <w:t>Regulamentului (UE) nr. 1093/2010 (JO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0F8"/>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5FF92-B958-4666-9034-7CC52C7B4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1313</Words>
  <Characters>8311</Characters>
  <Application>Microsoft Office Word</Application>
  <DocSecurity>0</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2022-11-11T15:17:00Z</dcterms:modified>
</cp:coreProperties>
</file>