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5D43D0F4" w:rsidR="009E7D0C" w:rsidRDefault="00A75C39" w:rsidP="00A33695">
      <w:pPr>
        <w:jc w:val="center"/>
        <w:rPr>
          <w:rFonts w:ascii="Times New Roman" w:hAnsi="Times New Roman"/>
          <w:sz w:val="24"/>
        </w:rPr>
      </w:pPr>
      <w:bookmarkStart w:id="0" w:name="_Toc262568021"/>
      <w:bookmarkStart w:id="1" w:name="_Toc295829847"/>
      <w:r>
        <w:rPr>
          <w:rFonts w:ascii="Times New Roman" w:hAnsi="Times New Roman"/>
          <w:sz w:val="24"/>
        </w:rPr>
        <w:t>CS</w:t>
      </w:r>
    </w:p>
    <w:p w14:paraId="2704A83C" w14:textId="77777777" w:rsidR="009E7D0C" w:rsidRDefault="009E7D0C" w:rsidP="00A33695">
      <w:pPr>
        <w:jc w:val="center"/>
        <w:rPr>
          <w:rFonts w:ascii="Times New Roman" w:hAnsi="Times New Roman"/>
          <w:sz w:val="24"/>
        </w:rPr>
      </w:pPr>
    </w:p>
    <w:p w14:paraId="24333E7A" w14:textId="39913090" w:rsidR="008D696E" w:rsidRDefault="00A75C39" w:rsidP="00A33695">
      <w:pPr>
        <w:jc w:val="center"/>
        <w:rPr>
          <w:rFonts w:ascii="Times New Roman" w:hAnsi="Times New Roman"/>
          <w:sz w:val="24"/>
        </w:rPr>
      </w:pPr>
      <w:r>
        <w:rPr>
          <w:rFonts w:ascii="Times New Roman" w:hAnsi="Times New Roman"/>
          <w:sz w:val="24"/>
          <w:lang w:val="cs-CZ"/>
        </w:rPr>
        <w:t>PŘÍLOHA</w:t>
      </w:r>
      <w:r w:rsidR="008D696E">
        <w:rPr>
          <w:rFonts w:ascii="Times New Roman" w:hAnsi="Times New Roman"/>
          <w:sz w:val="24"/>
        </w:rPr>
        <w:t xml:space="preserve"> II</w:t>
      </w:r>
    </w:p>
    <w:p w14:paraId="37362007" w14:textId="759A87D8" w:rsidR="002648B0" w:rsidRPr="002A677E" w:rsidRDefault="00A75C39" w:rsidP="00A33695">
      <w:pPr>
        <w:jc w:val="center"/>
        <w:rPr>
          <w:rFonts w:ascii="Times New Roman" w:hAnsi="Times New Roman"/>
          <w:sz w:val="24"/>
        </w:rPr>
      </w:pPr>
      <w:r>
        <w:rPr>
          <w:rFonts w:ascii="Times New Roman" w:hAnsi="Times New Roman"/>
          <w:sz w:val="24"/>
        </w:rPr>
        <w:t xml:space="preserve"> </w:t>
      </w:r>
      <w:r>
        <w:rPr>
          <w:rFonts w:ascii="Times New Roman" w:hAnsi="Times New Roman"/>
          <w:sz w:val="24"/>
        </w:rPr>
        <w:t>„</w:t>
      </w:r>
      <w:r>
        <w:rPr>
          <w:rFonts w:ascii="Times New Roman" w:hAnsi="Times New Roman"/>
          <w:sz w:val="24"/>
        </w:rPr>
        <w:t>PŘÍLOHA</w:t>
      </w:r>
      <w:r w:rsidR="002648B0" w:rsidRPr="002A677E">
        <w:rPr>
          <w:rFonts w:ascii="Times New Roman" w:hAnsi="Times New Roman"/>
          <w:sz w:val="24"/>
        </w:rPr>
        <w:t xml:space="preserve"> II</w:t>
      </w:r>
    </w:p>
    <w:p w14:paraId="327777EC" w14:textId="60A93826" w:rsidR="002648B0" w:rsidRPr="002A677E" w:rsidRDefault="00A75C39" w:rsidP="00C87CEE">
      <w:pPr>
        <w:jc w:val="center"/>
        <w:rPr>
          <w:rFonts w:ascii="Times New Roman" w:hAnsi="Times New Roman"/>
          <w:b/>
          <w:sz w:val="24"/>
          <w:lang w:eastAsia="de-DE"/>
        </w:rPr>
      </w:pPr>
      <w:r>
        <w:rPr>
          <w:rFonts w:ascii="Times New Roman" w:hAnsi="Times New Roman"/>
          <w:b/>
          <w:sz w:val="24"/>
        </w:rPr>
        <w:t>POKYNY PRO PODÁVÁNÍ ZPRÁV O KAPITÁLU A KAPITÁLOVÝ</w:t>
      </w:r>
      <w:bookmarkStart w:id="2" w:name="_GoBack"/>
      <w:bookmarkEnd w:id="2"/>
      <w:r>
        <w:rPr>
          <w:rFonts w:ascii="Times New Roman" w:hAnsi="Times New Roman"/>
          <w:b/>
          <w:sz w:val="24"/>
        </w:rPr>
        <w:t>CH POŽADAVCÍCH</w:t>
      </w:r>
    </w:p>
    <w:p w14:paraId="2C40683C" w14:textId="77777777" w:rsidR="00436204" w:rsidRPr="002A677E" w:rsidRDefault="00436204" w:rsidP="00C87CEE">
      <w:pPr>
        <w:jc w:val="center"/>
        <w:rPr>
          <w:rFonts w:ascii="Times New Roman" w:hAnsi="Times New Roman"/>
          <w:b/>
          <w:sz w:val="24"/>
          <w:lang w:eastAsia="de-DE"/>
        </w:rPr>
      </w:pPr>
    </w:p>
    <w:p w14:paraId="3DEB94EC" w14:textId="62FB4837" w:rsidR="00783881" w:rsidRPr="002A677E" w:rsidRDefault="00A75C39" w:rsidP="00487A02">
      <w:pPr>
        <w:pStyle w:val="InstructionsText"/>
      </w:pPr>
      <w:r>
        <w:t>Obsah</w:t>
      </w:r>
    </w:p>
    <w:p w14:paraId="7E396F2A" w14:textId="7A9467BD" w:rsidR="00A75C39" w:rsidRDefault="00745369">
      <w:pPr>
        <w:pStyle w:val="TOC2"/>
        <w:rPr>
          <w:rFonts w:asciiTheme="minorHAnsi" w:eastAsiaTheme="minorEastAsia" w:hAnsiTheme="minorHAnsi" w:cstheme="minorBidi"/>
          <w:b w:val="0"/>
          <w:smallCaps w:val="0"/>
          <w:sz w:val="22"/>
          <w:lang w:val="en-US"/>
        </w:rPr>
      </w:pPr>
      <w:r w:rsidRPr="002A677E">
        <w:rPr>
          <w:rFonts w:ascii="Times New Roman" w:hAnsi="Times New Roman"/>
          <w:noProof w:val="0"/>
          <w:sz w:val="24"/>
          <w:szCs w:val="24"/>
        </w:rPr>
        <w:fldChar w:fldCharType="begin"/>
      </w:r>
      <w:r w:rsidR="002648B0" w:rsidRPr="002A677E">
        <w:rPr>
          <w:rFonts w:ascii="Times New Roman" w:hAnsi="Times New Roman"/>
          <w:noProof w:val="0"/>
          <w:sz w:val="24"/>
          <w:szCs w:val="24"/>
        </w:rPr>
        <w:instrText xml:space="preserve"> TOC \o "1-3" \h \z \u </w:instrText>
      </w:r>
      <w:r w:rsidRPr="002A677E">
        <w:rPr>
          <w:rFonts w:ascii="Times New Roman" w:hAnsi="Times New Roman"/>
          <w:noProof w:val="0"/>
          <w:sz w:val="24"/>
          <w:szCs w:val="24"/>
        </w:rPr>
        <w:fldChar w:fldCharType="separate"/>
      </w:r>
      <w:hyperlink w:anchor="_Toc119077859" w:history="1">
        <w:r w:rsidR="00A75C39" w:rsidRPr="00B15381">
          <w:rPr>
            <w:rStyle w:val="Hyperlink"/>
            <w:rFonts w:ascii="Times New Roman" w:hAnsi="Times New Roman"/>
          </w:rPr>
          <w:t>ČÁST I: OBECNÉ POKYNY</w:t>
        </w:r>
        <w:r w:rsidR="00A75C39">
          <w:rPr>
            <w:webHidden/>
          </w:rPr>
          <w:tab/>
        </w:r>
        <w:r w:rsidR="00A75C39">
          <w:rPr>
            <w:webHidden/>
          </w:rPr>
          <w:fldChar w:fldCharType="begin"/>
        </w:r>
        <w:r w:rsidR="00A75C39">
          <w:rPr>
            <w:webHidden/>
          </w:rPr>
          <w:instrText xml:space="preserve"> PAGEREF _Toc119077859 \h </w:instrText>
        </w:r>
        <w:r w:rsidR="00A75C39">
          <w:rPr>
            <w:webHidden/>
          </w:rPr>
        </w:r>
        <w:r w:rsidR="00A75C39">
          <w:rPr>
            <w:webHidden/>
          </w:rPr>
          <w:fldChar w:fldCharType="separate"/>
        </w:r>
        <w:r w:rsidR="00A75C39">
          <w:rPr>
            <w:webHidden/>
          </w:rPr>
          <w:t>7</w:t>
        </w:r>
        <w:r w:rsidR="00A75C39">
          <w:rPr>
            <w:webHidden/>
          </w:rPr>
          <w:fldChar w:fldCharType="end"/>
        </w:r>
      </w:hyperlink>
    </w:p>
    <w:p w14:paraId="7C6AAAA2" w14:textId="3D51B2CD" w:rsidR="00A75C39" w:rsidRDefault="00A75C39">
      <w:pPr>
        <w:pStyle w:val="TOC2"/>
        <w:rPr>
          <w:rFonts w:asciiTheme="minorHAnsi" w:eastAsiaTheme="minorEastAsia" w:hAnsiTheme="minorHAnsi" w:cstheme="minorBidi"/>
          <w:b w:val="0"/>
          <w:smallCaps w:val="0"/>
          <w:sz w:val="22"/>
          <w:lang w:val="en-US"/>
        </w:rPr>
      </w:pPr>
      <w:hyperlink w:anchor="_Toc119077860" w:history="1">
        <w:r w:rsidRPr="00B15381">
          <w:rPr>
            <w:rStyle w:val="Hyperlink"/>
            <w:rFonts w:ascii="Times New Roman" w:hAnsi="Times New Roman"/>
          </w:rPr>
          <w:t>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STRUKTURA A KONVENCE</w:t>
        </w:r>
        <w:r>
          <w:rPr>
            <w:webHidden/>
          </w:rPr>
          <w:tab/>
        </w:r>
        <w:r>
          <w:rPr>
            <w:webHidden/>
          </w:rPr>
          <w:fldChar w:fldCharType="begin"/>
        </w:r>
        <w:r>
          <w:rPr>
            <w:webHidden/>
          </w:rPr>
          <w:instrText xml:space="preserve"> PAGEREF _Toc119077860 \h </w:instrText>
        </w:r>
        <w:r>
          <w:rPr>
            <w:webHidden/>
          </w:rPr>
        </w:r>
        <w:r>
          <w:rPr>
            <w:webHidden/>
          </w:rPr>
          <w:fldChar w:fldCharType="separate"/>
        </w:r>
        <w:r>
          <w:rPr>
            <w:webHidden/>
          </w:rPr>
          <w:t>7</w:t>
        </w:r>
        <w:r>
          <w:rPr>
            <w:webHidden/>
          </w:rPr>
          <w:fldChar w:fldCharType="end"/>
        </w:r>
      </w:hyperlink>
    </w:p>
    <w:p w14:paraId="23210190" w14:textId="52467C5B" w:rsidR="00A75C39" w:rsidRDefault="00A75C39">
      <w:pPr>
        <w:pStyle w:val="TOC2"/>
        <w:rPr>
          <w:rFonts w:asciiTheme="minorHAnsi" w:eastAsiaTheme="minorEastAsia" w:hAnsiTheme="minorHAnsi" w:cstheme="minorBidi"/>
          <w:b w:val="0"/>
          <w:smallCaps w:val="0"/>
          <w:sz w:val="22"/>
          <w:lang w:val="en-US"/>
        </w:rPr>
      </w:pPr>
      <w:hyperlink w:anchor="_Toc119077861" w:history="1">
        <w:r w:rsidRPr="00B15381">
          <w:rPr>
            <w:rStyle w:val="Hyperlink"/>
            <w:rFonts w:ascii="Times New Roman" w:hAnsi="Times New Roman"/>
          </w:rPr>
          <w:t>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STRUKTURA</w:t>
        </w:r>
        <w:r>
          <w:rPr>
            <w:webHidden/>
          </w:rPr>
          <w:tab/>
        </w:r>
        <w:r>
          <w:rPr>
            <w:webHidden/>
          </w:rPr>
          <w:fldChar w:fldCharType="begin"/>
        </w:r>
        <w:r>
          <w:rPr>
            <w:webHidden/>
          </w:rPr>
          <w:instrText xml:space="preserve"> PAGEREF _Toc119077861 \h </w:instrText>
        </w:r>
        <w:r>
          <w:rPr>
            <w:webHidden/>
          </w:rPr>
        </w:r>
        <w:r>
          <w:rPr>
            <w:webHidden/>
          </w:rPr>
          <w:fldChar w:fldCharType="separate"/>
        </w:r>
        <w:r>
          <w:rPr>
            <w:webHidden/>
          </w:rPr>
          <w:t>7</w:t>
        </w:r>
        <w:r>
          <w:rPr>
            <w:webHidden/>
          </w:rPr>
          <w:fldChar w:fldCharType="end"/>
        </w:r>
      </w:hyperlink>
    </w:p>
    <w:p w14:paraId="4445BCC4" w14:textId="7CC94868" w:rsidR="00A75C39" w:rsidRDefault="00A75C39">
      <w:pPr>
        <w:pStyle w:val="TOC2"/>
        <w:rPr>
          <w:rFonts w:asciiTheme="minorHAnsi" w:eastAsiaTheme="minorEastAsia" w:hAnsiTheme="minorHAnsi" w:cstheme="minorBidi"/>
          <w:b w:val="0"/>
          <w:smallCaps w:val="0"/>
          <w:sz w:val="22"/>
          <w:lang w:val="en-US"/>
        </w:rPr>
      </w:pPr>
      <w:hyperlink w:anchor="_Toc119077862" w:history="1">
        <w:r w:rsidRPr="00B15381">
          <w:rPr>
            <w:rStyle w:val="Hyperlink"/>
            <w:rFonts w:ascii="Times New Roman" w:hAnsi="Times New Roman"/>
          </w:rPr>
          <w:t>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Konvence v oblasti číslování</w:t>
        </w:r>
        <w:r>
          <w:rPr>
            <w:webHidden/>
          </w:rPr>
          <w:tab/>
        </w:r>
        <w:r>
          <w:rPr>
            <w:webHidden/>
          </w:rPr>
          <w:fldChar w:fldCharType="begin"/>
        </w:r>
        <w:r>
          <w:rPr>
            <w:webHidden/>
          </w:rPr>
          <w:instrText xml:space="preserve"> PAGEREF _Toc119077862 \h </w:instrText>
        </w:r>
        <w:r>
          <w:rPr>
            <w:webHidden/>
          </w:rPr>
        </w:r>
        <w:r>
          <w:rPr>
            <w:webHidden/>
          </w:rPr>
          <w:fldChar w:fldCharType="separate"/>
        </w:r>
        <w:r>
          <w:rPr>
            <w:webHidden/>
          </w:rPr>
          <w:t>7</w:t>
        </w:r>
        <w:r>
          <w:rPr>
            <w:webHidden/>
          </w:rPr>
          <w:fldChar w:fldCharType="end"/>
        </w:r>
      </w:hyperlink>
    </w:p>
    <w:p w14:paraId="426781AC" w14:textId="53B1DB15" w:rsidR="00A75C39" w:rsidRDefault="00A75C39">
      <w:pPr>
        <w:pStyle w:val="TOC2"/>
        <w:rPr>
          <w:rFonts w:asciiTheme="minorHAnsi" w:eastAsiaTheme="minorEastAsia" w:hAnsiTheme="minorHAnsi" w:cstheme="minorBidi"/>
          <w:b w:val="0"/>
          <w:smallCaps w:val="0"/>
          <w:sz w:val="22"/>
          <w:lang w:val="en-US"/>
        </w:rPr>
      </w:pPr>
      <w:hyperlink w:anchor="_Toc119077863" w:history="1">
        <w:r w:rsidRPr="00B15381">
          <w:rPr>
            <w:rStyle w:val="Hyperlink"/>
            <w:rFonts w:ascii="Times New Roman" w:hAnsi="Times New Roman"/>
          </w:rPr>
          <w:t>1.3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Konvence v oblasti znamének</w:t>
        </w:r>
        <w:r>
          <w:rPr>
            <w:webHidden/>
          </w:rPr>
          <w:tab/>
        </w:r>
        <w:r>
          <w:rPr>
            <w:webHidden/>
          </w:rPr>
          <w:fldChar w:fldCharType="begin"/>
        </w:r>
        <w:r>
          <w:rPr>
            <w:webHidden/>
          </w:rPr>
          <w:instrText xml:space="preserve"> PAGEREF _Toc119077863 \h </w:instrText>
        </w:r>
        <w:r>
          <w:rPr>
            <w:webHidden/>
          </w:rPr>
        </w:r>
        <w:r>
          <w:rPr>
            <w:webHidden/>
          </w:rPr>
          <w:fldChar w:fldCharType="separate"/>
        </w:r>
        <w:r>
          <w:rPr>
            <w:webHidden/>
          </w:rPr>
          <w:t>8</w:t>
        </w:r>
        <w:r>
          <w:rPr>
            <w:webHidden/>
          </w:rPr>
          <w:fldChar w:fldCharType="end"/>
        </w:r>
      </w:hyperlink>
    </w:p>
    <w:p w14:paraId="17E66E7E" w14:textId="3C0203D3" w:rsidR="00A75C39" w:rsidRDefault="00A75C39">
      <w:pPr>
        <w:pStyle w:val="TOC2"/>
        <w:rPr>
          <w:rFonts w:asciiTheme="minorHAnsi" w:eastAsiaTheme="minorEastAsia" w:hAnsiTheme="minorHAnsi" w:cstheme="minorBidi"/>
          <w:b w:val="0"/>
          <w:smallCaps w:val="0"/>
          <w:sz w:val="22"/>
          <w:lang w:val="en-US"/>
        </w:rPr>
      </w:pPr>
      <w:hyperlink w:anchor="_Toc119077864" w:history="1">
        <w:r w:rsidRPr="00B15381">
          <w:rPr>
            <w:rStyle w:val="Hyperlink"/>
            <w:rFonts w:ascii="Times New Roman" w:hAnsi="Times New Roman"/>
          </w:rPr>
          <w:t>ČÁST II: POKYNY K ŠABLONÁM</w:t>
        </w:r>
        <w:r>
          <w:rPr>
            <w:webHidden/>
          </w:rPr>
          <w:tab/>
        </w:r>
        <w:r>
          <w:rPr>
            <w:webHidden/>
          </w:rPr>
          <w:fldChar w:fldCharType="begin"/>
        </w:r>
        <w:r>
          <w:rPr>
            <w:webHidden/>
          </w:rPr>
          <w:instrText xml:space="preserve"> PAGEREF _Toc119077864 \h </w:instrText>
        </w:r>
        <w:r>
          <w:rPr>
            <w:webHidden/>
          </w:rPr>
        </w:r>
        <w:r>
          <w:rPr>
            <w:webHidden/>
          </w:rPr>
          <w:fldChar w:fldCharType="separate"/>
        </w:r>
        <w:r>
          <w:rPr>
            <w:webHidden/>
          </w:rPr>
          <w:t>9</w:t>
        </w:r>
        <w:r>
          <w:rPr>
            <w:webHidden/>
          </w:rPr>
          <w:fldChar w:fldCharType="end"/>
        </w:r>
      </w:hyperlink>
    </w:p>
    <w:p w14:paraId="7E29846D" w14:textId="5DDC83CB" w:rsidR="00A75C39" w:rsidRDefault="00A75C39">
      <w:pPr>
        <w:pStyle w:val="TOC2"/>
        <w:rPr>
          <w:rFonts w:asciiTheme="minorHAnsi" w:eastAsiaTheme="minorEastAsia" w:hAnsiTheme="minorHAnsi" w:cstheme="minorBidi"/>
          <w:b w:val="0"/>
          <w:smallCaps w:val="0"/>
          <w:sz w:val="22"/>
          <w:lang w:val="en-US"/>
        </w:rPr>
      </w:pPr>
      <w:hyperlink w:anchor="_Toc119077865" w:history="1">
        <w:r w:rsidRPr="00B15381">
          <w:rPr>
            <w:rStyle w:val="Hyperlink"/>
            <w:rFonts w:ascii="Times New Roman" w:hAnsi="Times New Roman"/>
          </w:rPr>
          <w:t>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Přehled kapitálové přiměřenosti</w:t>
        </w:r>
        <w:r w:rsidRPr="00B15381">
          <w:rPr>
            <w:rStyle w:val="Hyperlink"/>
          </w:rPr>
          <w:t xml:space="preserve"> </w:t>
        </w:r>
        <w:r w:rsidRPr="00B15381">
          <w:rPr>
            <w:rStyle w:val="Hyperlink"/>
            <w:rFonts w:ascii="Times New Roman" w:hAnsi="Times New Roman"/>
          </w:rPr>
          <w:t>(CA)</w:t>
        </w:r>
        <w:r>
          <w:rPr>
            <w:webHidden/>
          </w:rPr>
          <w:tab/>
        </w:r>
        <w:r>
          <w:rPr>
            <w:webHidden/>
          </w:rPr>
          <w:fldChar w:fldCharType="begin"/>
        </w:r>
        <w:r>
          <w:rPr>
            <w:webHidden/>
          </w:rPr>
          <w:instrText xml:space="preserve"> PAGEREF _Toc119077865 \h </w:instrText>
        </w:r>
        <w:r>
          <w:rPr>
            <w:webHidden/>
          </w:rPr>
        </w:r>
        <w:r>
          <w:rPr>
            <w:webHidden/>
          </w:rPr>
          <w:fldChar w:fldCharType="separate"/>
        </w:r>
        <w:r>
          <w:rPr>
            <w:webHidden/>
          </w:rPr>
          <w:t>9</w:t>
        </w:r>
        <w:r>
          <w:rPr>
            <w:webHidden/>
          </w:rPr>
          <w:fldChar w:fldCharType="end"/>
        </w:r>
      </w:hyperlink>
    </w:p>
    <w:p w14:paraId="19CA53B1" w14:textId="5ADAE8EE" w:rsidR="00A75C39" w:rsidRDefault="00A75C39">
      <w:pPr>
        <w:pStyle w:val="TOC2"/>
        <w:rPr>
          <w:rFonts w:asciiTheme="minorHAnsi" w:eastAsiaTheme="minorEastAsia" w:hAnsiTheme="minorHAnsi" w:cstheme="minorBidi"/>
          <w:b w:val="0"/>
          <w:smallCaps w:val="0"/>
          <w:sz w:val="22"/>
          <w:lang w:val="en-US"/>
        </w:rPr>
      </w:pPr>
      <w:hyperlink w:anchor="_Toc119077867" w:history="1">
        <w:r w:rsidRPr="00B15381">
          <w:rPr>
            <w:rStyle w:val="Hyperlink"/>
            <w:rFonts w:ascii="Times New Roman" w:hAnsi="Times New Roman"/>
          </w:rPr>
          <w:t>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_Toc119077867 \h </w:instrText>
        </w:r>
        <w:r>
          <w:rPr>
            <w:webHidden/>
          </w:rPr>
        </w:r>
        <w:r>
          <w:rPr>
            <w:webHidden/>
          </w:rPr>
          <w:fldChar w:fldCharType="separate"/>
        </w:r>
        <w:r>
          <w:rPr>
            <w:webHidden/>
          </w:rPr>
          <w:t>9</w:t>
        </w:r>
        <w:r>
          <w:rPr>
            <w:webHidden/>
          </w:rPr>
          <w:fldChar w:fldCharType="end"/>
        </w:r>
      </w:hyperlink>
    </w:p>
    <w:p w14:paraId="01F97E27" w14:textId="744B7B00" w:rsidR="00A75C39" w:rsidRDefault="00A75C39">
      <w:pPr>
        <w:pStyle w:val="TOC2"/>
        <w:rPr>
          <w:rFonts w:asciiTheme="minorHAnsi" w:eastAsiaTheme="minorEastAsia" w:hAnsiTheme="minorHAnsi" w:cstheme="minorBidi"/>
          <w:b w:val="0"/>
          <w:smallCaps w:val="0"/>
          <w:sz w:val="22"/>
          <w:lang w:val="en-US"/>
        </w:rPr>
      </w:pPr>
      <w:hyperlink w:anchor="_Toc119077868" w:history="1">
        <w:r w:rsidRPr="00B15381">
          <w:rPr>
            <w:rStyle w:val="Hyperlink"/>
            <w:rFonts w:ascii="Times New Roman" w:hAnsi="Times New Roman"/>
          </w:rPr>
          <w:t>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01.00 – KAPITÁL (CA1)</w:t>
        </w:r>
        <w:r>
          <w:rPr>
            <w:webHidden/>
          </w:rPr>
          <w:tab/>
        </w:r>
        <w:r>
          <w:rPr>
            <w:webHidden/>
          </w:rPr>
          <w:fldChar w:fldCharType="begin"/>
        </w:r>
        <w:r>
          <w:rPr>
            <w:webHidden/>
          </w:rPr>
          <w:instrText xml:space="preserve"> PAGEREF _Toc119077868 \h </w:instrText>
        </w:r>
        <w:r>
          <w:rPr>
            <w:webHidden/>
          </w:rPr>
        </w:r>
        <w:r>
          <w:rPr>
            <w:webHidden/>
          </w:rPr>
          <w:fldChar w:fldCharType="separate"/>
        </w:r>
        <w:r>
          <w:rPr>
            <w:webHidden/>
          </w:rPr>
          <w:t>10</w:t>
        </w:r>
        <w:r>
          <w:rPr>
            <w:webHidden/>
          </w:rPr>
          <w:fldChar w:fldCharType="end"/>
        </w:r>
      </w:hyperlink>
    </w:p>
    <w:p w14:paraId="5B695145" w14:textId="3286157C" w:rsidR="00A75C39" w:rsidRDefault="00A75C39">
      <w:pPr>
        <w:pStyle w:val="TOC2"/>
        <w:rPr>
          <w:rFonts w:asciiTheme="minorHAnsi" w:eastAsiaTheme="minorEastAsia" w:hAnsiTheme="minorHAnsi" w:cstheme="minorBidi"/>
          <w:b w:val="0"/>
          <w:smallCaps w:val="0"/>
          <w:sz w:val="22"/>
          <w:lang w:val="en-US"/>
        </w:rPr>
      </w:pPr>
      <w:hyperlink w:anchor="_Toc119077869" w:history="1">
        <w:r w:rsidRPr="00B15381">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w:t>
        </w:r>
        <w:r w:rsidRPr="00B15381">
          <w:rPr>
            <w:rStyle w:val="Hyperlink"/>
          </w:rPr>
          <w:t xml:space="preserve"> </w:t>
        </w:r>
        <w:r w:rsidRPr="00B15381">
          <w:rPr>
            <w:rStyle w:val="Hyperlink"/>
            <w:rFonts w:ascii="Times New Roman" w:hAnsi="Times New Roman"/>
          </w:rPr>
          <w:t>pozice</w:t>
        </w:r>
        <w:r>
          <w:rPr>
            <w:webHidden/>
          </w:rPr>
          <w:tab/>
        </w:r>
        <w:r>
          <w:rPr>
            <w:webHidden/>
          </w:rPr>
          <w:fldChar w:fldCharType="begin"/>
        </w:r>
        <w:r>
          <w:rPr>
            <w:webHidden/>
          </w:rPr>
          <w:instrText xml:space="preserve"> PAGEREF _Toc119077869 \h </w:instrText>
        </w:r>
        <w:r>
          <w:rPr>
            <w:webHidden/>
          </w:rPr>
        </w:r>
        <w:r>
          <w:rPr>
            <w:webHidden/>
          </w:rPr>
          <w:fldChar w:fldCharType="separate"/>
        </w:r>
        <w:r>
          <w:rPr>
            <w:webHidden/>
          </w:rPr>
          <w:t>10</w:t>
        </w:r>
        <w:r>
          <w:rPr>
            <w:webHidden/>
          </w:rPr>
          <w:fldChar w:fldCharType="end"/>
        </w:r>
      </w:hyperlink>
    </w:p>
    <w:p w14:paraId="725F9942" w14:textId="1A6ED165" w:rsidR="00A75C39" w:rsidRDefault="00A75C39">
      <w:pPr>
        <w:pStyle w:val="TOC2"/>
        <w:rPr>
          <w:rFonts w:asciiTheme="minorHAnsi" w:eastAsiaTheme="minorEastAsia" w:hAnsiTheme="minorHAnsi" w:cstheme="minorBidi"/>
          <w:b w:val="0"/>
          <w:smallCaps w:val="0"/>
          <w:sz w:val="22"/>
          <w:lang w:val="en-US"/>
        </w:rPr>
      </w:pPr>
      <w:hyperlink w:anchor="_Toc119077870" w:history="1">
        <w:r w:rsidRPr="00B15381">
          <w:rPr>
            <w:rStyle w:val="Hyperlink"/>
            <w:rFonts w:ascii="Times New Roman" w:hAnsi="Times New Roman"/>
          </w:rPr>
          <w:t>1.3.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02.00 – KAPITÁLOVÉ POŽADAVKY (CA2)</w:t>
        </w:r>
        <w:r>
          <w:rPr>
            <w:webHidden/>
          </w:rPr>
          <w:tab/>
        </w:r>
        <w:r>
          <w:rPr>
            <w:webHidden/>
          </w:rPr>
          <w:fldChar w:fldCharType="begin"/>
        </w:r>
        <w:r>
          <w:rPr>
            <w:webHidden/>
          </w:rPr>
          <w:instrText xml:space="preserve"> PAGEREF _Toc119077870 \h </w:instrText>
        </w:r>
        <w:r>
          <w:rPr>
            <w:webHidden/>
          </w:rPr>
        </w:r>
        <w:r>
          <w:rPr>
            <w:webHidden/>
          </w:rPr>
          <w:fldChar w:fldCharType="separate"/>
        </w:r>
        <w:r>
          <w:rPr>
            <w:webHidden/>
          </w:rPr>
          <w:t>29</w:t>
        </w:r>
        <w:r>
          <w:rPr>
            <w:webHidden/>
          </w:rPr>
          <w:fldChar w:fldCharType="end"/>
        </w:r>
      </w:hyperlink>
    </w:p>
    <w:p w14:paraId="58877DF9" w14:textId="63612AA3" w:rsidR="00A75C39" w:rsidRDefault="00A75C39">
      <w:pPr>
        <w:pStyle w:val="TOC2"/>
        <w:rPr>
          <w:rFonts w:asciiTheme="minorHAnsi" w:eastAsiaTheme="minorEastAsia" w:hAnsiTheme="minorHAnsi" w:cstheme="minorBidi"/>
          <w:b w:val="0"/>
          <w:smallCaps w:val="0"/>
          <w:sz w:val="22"/>
          <w:lang w:val="en-US"/>
        </w:rPr>
      </w:pPr>
      <w:hyperlink w:anchor="_Toc119077871" w:history="1">
        <w:r w:rsidRPr="00B15381">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w:t>
        </w:r>
        <w:r w:rsidRPr="00B15381">
          <w:rPr>
            <w:rStyle w:val="Hyperlink"/>
          </w:rPr>
          <w:t xml:space="preserve"> </w:t>
        </w:r>
        <w:r w:rsidRPr="00B15381">
          <w:rPr>
            <w:rStyle w:val="Hyperlink"/>
            <w:rFonts w:ascii="Times New Roman" w:hAnsi="Times New Roman"/>
          </w:rPr>
          <w:t>pozice</w:t>
        </w:r>
        <w:r>
          <w:rPr>
            <w:webHidden/>
          </w:rPr>
          <w:tab/>
        </w:r>
        <w:r>
          <w:rPr>
            <w:webHidden/>
          </w:rPr>
          <w:fldChar w:fldCharType="begin"/>
        </w:r>
        <w:r>
          <w:rPr>
            <w:webHidden/>
          </w:rPr>
          <w:instrText xml:space="preserve"> PAGEREF _Toc119077871 \h </w:instrText>
        </w:r>
        <w:r>
          <w:rPr>
            <w:webHidden/>
          </w:rPr>
        </w:r>
        <w:r>
          <w:rPr>
            <w:webHidden/>
          </w:rPr>
          <w:fldChar w:fldCharType="separate"/>
        </w:r>
        <w:r>
          <w:rPr>
            <w:webHidden/>
          </w:rPr>
          <w:t>29</w:t>
        </w:r>
        <w:r>
          <w:rPr>
            <w:webHidden/>
          </w:rPr>
          <w:fldChar w:fldCharType="end"/>
        </w:r>
      </w:hyperlink>
    </w:p>
    <w:p w14:paraId="60F8A32E" w14:textId="02C9FA05" w:rsidR="00A75C39" w:rsidRDefault="00A75C39">
      <w:pPr>
        <w:pStyle w:val="TOC2"/>
        <w:rPr>
          <w:rFonts w:asciiTheme="minorHAnsi" w:eastAsiaTheme="minorEastAsia" w:hAnsiTheme="minorHAnsi" w:cstheme="minorBidi"/>
          <w:b w:val="0"/>
          <w:smallCaps w:val="0"/>
          <w:sz w:val="22"/>
          <w:lang w:val="en-US"/>
        </w:rPr>
      </w:pPr>
      <w:hyperlink w:anchor="_Toc119077872" w:history="1">
        <w:r w:rsidRPr="00B15381">
          <w:rPr>
            <w:rStyle w:val="Hyperlink"/>
            <w:rFonts w:ascii="Times New Roman" w:hAnsi="Times New Roman"/>
          </w:rPr>
          <w:t>1.4.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03.00 – KAPITÁLOVÉ POMĚRY A ÚROVNĚ KAPITÁLU (CA3)</w:t>
        </w:r>
        <w:r>
          <w:rPr>
            <w:webHidden/>
          </w:rPr>
          <w:tab/>
        </w:r>
        <w:r>
          <w:rPr>
            <w:webHidden/>
          </w:rPr>
          <w:fldChar w:fldCharType="begin"/>
        </w:r>
        <w:r>
          <w:rPr>
            <w:webHidden/>
          </w:rPr>
          <w:instrText xml:space="preserve"> PAGEREF _Toc119077872 \h </w:instrText>
        </w:r>
        <w:r>
          <w:rPr>
            <w:webHidden/>
          </w:rPr>
        </w:r>
        <w:r>
          <w:rPr>
            <w:webHidden/>
          </w:rPr>
          <w:fldChar w:fldCharType="separate"/>
        </w:r>
        <w:r>
          <w:rPr>
            <w:webHidden/>
          </w:rPr>
          <w:t>36</w:t>
        </w:r>
        <w:r>
          <w:rPr>
            <w:webHidden/>
          </w:rPr>
          <w:fldChar w:fldCharType="end"/>
        </w:r>
      </w:hyperlink>
    </w:p>
    <w:p w14:paraId="3D9900DD" w14:textId="0C513F75" w:rsidR="00A75C39" w:rsidRDefault="00A75C39">
      <w:pPr>
        <w:pStyle w:val="TOC2"/>
        <w:rPr>
          <w:rFonts w:asciiTheme="minorHAnsi" w:eastAsiaTheme="minorEastAsia" w:hAnsiTheme="minorHAnsi" w:cstheme="minorBidi"/>
          <w:b w:val="0"/>
          <w:smallCaps w:val="0"/>
          <w:sz w:val="22"/>
          <w:lang w:val="en-US"/>
        </w:rPr>
      </w:pPr>
      <w:hyperlink w:anchor="_Toc119077873" w:history="1">
        <w:r w:rsidRPr="00B15381">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w:t>
        </w:r>
        <w:r w:rsidRPr="00B15381">
          <w:rPr>
            <w:rStyle w:val="Hyperlink"/>
          </w:rPr>
          <w:t xml:space="preserve"> </w:t>
        </w:r>
        <w:r w:rsidRPr="00B15381">
          <w:rPr>
            <w:rStyle w:val="Hyperlink"/>
            <w:rFonts w:ascii="Times New Roman" w:hAnsi="Times New Roman"/>
          </w:rPr>
          <w:t>pozice</w:t>
        </w:r>
        <w:r>
          <w:rPr>
            <w:webHidden/>
          </w:rPr>
          <w:tab/>
        </w:r>
        <w:r>
          <w:rPr>
            <w:webHidden/>
          </w:rPr>
          <w:fldChar w:fldCharType="begin"/>
        </w:r>
        <w:r>
          <w:rPr>
            <w:webHidden/>
          </w:rPr>
          <w:instrText xml:space="preserve"> PAGEREF _Toc119077873 \h </w:instrText>
        </w:r>
        <w:r>
          <w:rPr>
            <w:webHidden/>
          </w:rPr>
        </w:r>
        <w:r>
          <w:rPr>
            <w:webHidden/>
          </w:rPr>
          <w:fldChar w:fldCharType="separate"/>
        </w:r>
        <w:r>
          <w:rPr>
            <w:webHidden/>
          </w:rPr>
          <w:t>36</w:t>
        </w:r>
        <w:r>
          <w:rPr>
            <w:webHidden/>
          </w:rPr>
          <w:fldChar w:fldCharType="end"/>
        </w:r>
      </w:hyperlink>
    </w:p>
    <w:p w14:paraId="31C3005E" w14:textId="56F16204" w:rsidR="00A75C39" w:rsidRDefault="00A75C39">
      <w:pPr>
        <w:pStyle w:val="TOC2"/>
        <w:rPr>
          <w:rFonts w:asciiTheme="minorHAnsi" w:eastAsiaTheme="minorEastAsia" w:hAnsiTheme="minorHAnsi" w:cstheme="minorBidi"/>
          <w:b w:val="0"/>
          <w:smallCaps w:val="0"/>
          <w:sz w:val="22"/>
          <w:lang w:val="en-US"/>
        </w:rPr>
      </w:pPr>
      <w:hyperlink w:anchor="_Toc119077874" w:history="1">
        <w:r w:rsidRPr="00B15381">
          <w:rPr>
            <w:rStyle w:val="Hyperlink"/>
            <w:rFonts w:ascii="Times New Roman" w:hAnsi="Times New Roman"/>
          </w:rPr>
          <w:t>1.5.</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04.00 – DOPLŇKOVÉ POLOŽKY (CA4)</w:t>
        </w:r>
        <w:r>
          <w:rPr>
            <w:webHidden/>
          </w:rPr>
          <w:tab/>
        </w:r>
        <w:r>
          <w:rPr>
            <w:webHidden/>
          </w:rPr>
          <w:fldChar w:fldCharType="begin"/>
        </w:r>
        <w:r>
          <w:rPr>
            <w:webHidden/>
          </w:rPr>
          <w:instrText xml:space="preserve"> PAGEREF _Toc119077874 \h </w:instrText>
        </w:r>
        <w:r>
          <w:rPr>
            <w:webHidden/>
          </w:rPr>
        </w:r>
        <w:r>
          <w:rPr>
            <w:webHidden/>
          </w:rPr>
          <w:fldChar w:fldCharType="separate"/>
        </w:r>
        <w:r>
          <w:rPr>
            <w:webHidden/>
          </w:rPr>
          <w:t>40</w:t>
        </w:r>
        <w:r>
          <w:rPr>
            <w:webHidden/>
          </w:rPr>
          <w:fldChar w:fldCharType="end"/>
        </w:r>
      </w:hyperlink>
    </w:p>
    <w:p w14:paraId="20F1E713" w14:textId="0673D0D0" w:rsidR="00A75C39" w:rsidRDefault="00A75C39">
      <w:pPr>
        <w:pStyle w:val="TOC2"/>
        <w:rPr>
          <w:rFonts w:asciiTheme="minorHAnsi" w:eastAsiaTheme="minorEastAsia" w:hAnsiTheme="minorHAnsi" w:cstheme="minorBidi"/>
          <w:b w:val="0"/>
          <w:smallCaps w:val="0"/>
          <w:sz w:val="22"/>
          <w:lang w:val="en-US"/>
        </w:rPr>
      </w:pPr>
      <w:hyperlink w:anchor="_Toc119077875" w:history="1">
        <w:r w:rsidRPr="00B15381">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w:t>
        </w:r>
        <w:r w:rsidRPr="00B15381">
          <w:rPr>
            <w:rStyle w:val="Hyperlink"/>
          </w:rPr>
          <w:t xml:space="preserve"> </w:t>
        </w:r>
        <w:r w:rsidRPr="00B15381">
          <w:rPr>
            <w:rStyle w:val="Hyperlink"/>
            <w:rFonts w:ascii="Times New Roman" w:hAnsi="Times New Roman"/>
          </w:rPr>
          <w:t>pozice</w:t>
        </w:r>
        <w:r>
          <w:rPr>
            <w:webHidden/>
          </w:rPr>
          <w:tab/>
        </w:r>
        <w:r>
          <w:rPr>
            <w:webHidden/>
          </w:rPr>
          <w:fldChar w:fldCharType="begin"/>
        </w:r>
        <w:r>
          <w:rPr>
            <w:webHidden/>
          </w:rPr>
          <w:instrText xml:space="preserve"> PAGEREF _Toc119077875 \h </w:instrText>
        </w:r>
        <w:r>
          <w:rPr>
            <w:webHidden/>
          </w:rPr>
        </w:r>
        <w:r>
          <w:rPr>
            <w:webHidden/>
          </w:rPr>
          <w:fldChar w:fldCharType="separate"/>
        </w:r>
        <w:r>
          <w:rPr>
            <w:webHidden/>
          </w:rPr>
          <w:t>40</w:t>
        </w:r>
        <w:r>
          <w:rPr>
            <w:webHidden/>
          </w:rPr>
          <w:fldChar w:fldCharType="end"/>
        </w:r>
      </w:hyperlink>
    </w:p>
    <w:p w14:paraId="7B3A7DF8" w14:textId="596E3CAC" w:rsidR="00A75C39" w:rsidRDefault="00A75C39">
      <w:pPr>
        <w:pStyle w:val="TOC2"/>
        <w:rPr>
          <w:rFonts w:asciiTheme="minorHAnsi" w:eastAsiaTheme="minorEastAsia" w:hAnsiTheme="minorHAnsi" w:cstheme="minorBidi"/>
          <w:b w:val="0"/>
          <w:smallCaps w:val="0"/>
          <w:sz w:val="22"/>
          <w:lang w:val="en-US"/>
        </w:rPr>
      </w:pPr>
      <w:hyperlink w:anchor="_Toc119077876" w:history="1">
        <w:r w:rsidRPr="00B15381">
          <w:rPr>
            <w:rStyle w:val="Hyperlink"/>
            <w:rFonts w:ascii="Times New Roman" w:hAnsi="Times New Roman"/>
          </w:rPr>
          <w:t>1.6.</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PŘECHODNÁ USTANOVENÍ a NÁSTROJE, PRO NĚŽ PLATÍ ZACHOVÁNÍ PRÁVNÍCH ÚČINKŮ: NÁSTROJE NEPŘEDSTAVUJÍCÍ STÁTNÍ PODPORU (CA5)</w:t>
        </w:r>
        <w:r>
          <w:rPr>
            <w:webHidden/>
          </w:rPr>
          <w:tab/>
        </w:r>
        <w:r>
          <w:rPr>
            <w:webHidden/>
          </w:rPr>
          <w:fldChar w:fldCharType="begin"/>
        </w:r>
        <w:r>
          <w:rPr>
            <w:webHidden/>
          </w:rPr>
          <w:instrText xml:space="preserve"> PAGEREF _Toc119077876 \h </w:instrText>
        </w:r>
        <w:r>
          <w:rPr>
            <w:webHidden/>
          </w:rPr>
        </w:r>
        <w:r>
          <w:rPr>
            <w:webHidden/>
          </w:rPr>
          <w:fldChar w:fldCharType="separate"/>
        </w:r>
        <w:r>
          <w:rPr>
            <w:webHidden/>
          </w:rPr>
          <w:t>59</w:t>
        </w:r>
        <w:r>
          <w:rPr>
            <w:webHidden/>
          </w:rPr>
          <w:fldChar w:fldCharType="end"/>
        </w:r>
      </w:hyperlink>
    </w:p>
    <w:p w14:paraId="0DFF8A88" w14:textId="4F775DBA" w:rsidR="00A75C39" w:rsidRDefault="00A75C39">
      <w:pPr>
        <w:pStyle w:val="TOC2"/>
        <w:rPr>
          <w:rFonts w:asciiTheme="minorHAnsi" w:eastAsiaTheme="minorEastAsia" w:hAnsiTheme="minorHAnsi" w:cstheme="minorBidi"/>
          <w:b w:val="0"/>
          <w:smallCaps w:val="0"/>
          <w:sz w:val="22"/>
          <w:lang w:val="en-US"/>
        </w:rPr>
      </w:pPr>
      <w:hyperlink w:anchor="_Toc119077877" w:history="1">
        <w:r w:rsidRPr="00B15381">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_Toc119077877 \h </w:instrText>
        </w:r>
        <w:r>
          <w:rPr>
            <w:webHidden/>
          </w:rPr>
        </w:r>
        <w:r>
          <w:rPr>
            <w:webHidden/>
          </w:rPr>
          <w:fldChar w:fldCharType="separate"/>
        </w:r>
        <w:r>
          <w:rPr>
            <w:webHidden/>
          </w:rPr>
          <w:t>59</w:t>
        </w:r>
        <w:r>
          <w:rPr>
            <w:webHidden/>
          </w:rPr>
          <w:fldChar w:fldCharType="end"/>
        </w:r>
      </w:hyperlink>
    </w:p>
    <w:p w14:paraId="1F724B91" w14:textId="7B109C78" w:rsidR="00A75C39" w:rsidRDefault="00A75C39">
      <w:pPr>
        <w:pStyle w:val="TOC2"/>
        <w:rPr>
          <w:rFonts w:asciiTheme="minorHAnsi" w:eastAsiaTheme="minorEastAsia" w:hAnsiTheme="minorHAnsi" w:cstheme="minorBidi"/>
          <w:b w:val="0"/>
          <w:smallCaps w:val="0"/>
          <w:sz w:val="22"/>
          <w:lang w:val="en-US"/>
        </w:rPr>
      </w:pPr>
      <w:hyperlink w:anchor="_Toc119077878" w:history="1">
        <w:r w:rsidRPr="00B15381">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05.01 – PŘECHODNÁ USTANOVENÍ (CA5.1)</w:t>
        </w:r>
        <w:r>
          <w:rPr>
            <w:webHidden/>
          </w:rPr>
          <w:tab/>
        </w:r>
        <w:r>
          <w:rPr>
            <w:webHidden/>
          </w:rPr>
          <w:fldChar w:fldCharType="begin"/>
        </w:r>
        <w:r>
          <w:rPr>
            <w:webHidden/>
          </w:rPr>
          <w:instrText xml:space="preserve"> PAGEREF _Toc119077878 \h </w:instrText>
        </w:r>
        <w:r>
          <w:rPr>
            <w:webHidden/>
          </w:rPr>
        </w:r>
        <w:r>
          <w:rPr>
            <w:webHidden/>
          </w:rPr>
          <w:fldChar w:fldCharType="separate"/>
        </w:r>
        <w:r>
          <w:rPr>
            <w:webHidden/>
          </w:rPr>
          <w:t>60</w:t>
        </w:r>
        <w:r>
          <w:rPr>
            <w:webHidden/>
          </w:rPr>
          <w:fldChar w:fldCharType="end"/>
        </w:r>
      </w:hyperlink>
    </w:p>
    <w:p w14:paraId="7EC9AA13" w14:textId="3992A33F" w:rsidR="00A75C39" w:rsidRDefault="00A75C39">
      <w:pPr>
        <w:pStyle w:val="TOC2"/>
        <w:rPr>
          <w:rFonts w:asciiTheme="minorHAnsi" w:eastAsiaTheme="minorEastAsia" w:hAnsiTheme="minorHAnsi" w:cstheme="minorBidi"/>
          <w:b w:val="0"/>
          <w:smallCaps w:val="0"/>
          <w:sz w:val="22"/>
          <w:lang w:val="en-US"/>
        </w:rPr>
      </w:pPr>
      <w:hyperlink w:anchor="_Toc119077879" w:history="1">
        <w:r w:rsidRPr="00B15381">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_Toc119077879 \h </w:instrText>
        </w:r>
        <w:r>
          <w:rPr>
            <w:webHidden/>
          </w:rPr>
        </w:r>
        <w:r>
          <w:rPr>
            <w:webHidden/>
          </w:rPr>
          <w:fldChar w:fldCharType="separate"/>
        </w:r>
        <w:r>
          <w:rPr>
            <w:webHidden/>
          </w:rPr>
          <w:t>60</w:t>
        </w:r>
        <w:r>
          <w:rPr>
            <w:webHidden/>
          </w:rPr>
          <w:fldChar w:fldCharType="end"/>
        </w:r>
      </w:hyperlink>
    </w:p>
    <w:p w14:paraId="198EA825" w14:textId="4882E52A" w:rsidR="00A75C39" w:rsidRDefault="00A75C39">
      <w:pPr>
        <w:pStyle w:val="TOC2"/>
        <w:rPr>
          <w:rFonts w:asciiTheme="minorHAnsi" w:eastAsiaTheme="minorEastAsia" w:hAnsiTheme="minorHAnsi" w:cstheme="minorBidi"/>
          <w:b w:val="0"/>
          <w:smallCaps w:val="0"/>
          <w:sz w:val="22"/>
          <w:lang w:val="en-US"/>
        </w:rPr>
      </w:pPr>
      <w:hyperlink w:anchor="_Toc119077880" w:history="1">
        <w:r w:rsidRPr="00B15381">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05.02 – NÁSTROJE SE ZACHOVÁNÍM PRÁVNÍCH ÚČINKŮ: NÁSTROJE NEPŘEDSTAVUJÍCÍ STÁTNÍ PODPORU (CA5.2)</w:t>
        </w:r>
        <w:r>
          <w:rPr>
            <w:webHidden/>
          </w:rPr>
          <w:tab/>
        </w:r>
        <w:r>
          <w:rPr>
            <w:webHidden/>
          </w:rPr>
          <w:fldChar w:fldCharType="begin"/>
        </w:r>
        <w:r>
          <w:rPr>
            <w:webHidden/>
          </w:rPr>
          <w:instrText xml:space="preserve"> PAGEREF _Toc119077880 \h </w:instrText>
        </w:r>
        <w:r>
          <w:rPr>
            <w:webHidden/>
          </w:rPr>
        </w:r>
        <w:r>
          <w:rPr>
            <w:webHidden/>
          </w:rPr>
          <w:fldChar w:fldCharType="separate"/>
        </w:r>
        <w:r>
          <w:rPr>
            <w:webHidden/>
          </w:rPr>
          <w:t>65</w:t>
        </w:r>
        <w:r>
          <w:rPr>
            <w:webHidden/>
          </w:rPr>
          <w:fldChar w:fldCharType="end"/>
        </w:r>
      </w:hyperlink>
    </w:p>
    <w:p w14:paraId="10D5560E" w14:textId="5CAE3AFF" w:rsidR="00A75C39" w:rsidRDefault="00A75C39">
      <w:pPr>
        <w:pStyle w:val="TOC2"/>
        <w:rPr>
          <w:rFonts w:asciiTheme="minorHAnsi" w:eastAsiaTheme="minorEastAsia" w:hAnsiTheme="minorHAnsi" w:cstheme="minorBidi"/>
          <w:b w:val="0"/>
          <w:smallCaps w:val="0"/>
          <w:sz w:val="22"/>
          <w:lang w:val="en-US"/>
        </w:rPr>
      </w:pPr>
      <w:hyperlink w:anchor="_Toc119077881" w:history="1">
        <w:r w:rsidRPr="00B15381">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_Toc119077881 \h </w:instrText>
        </w:r>
        <w:r>
          <w:rPr>
            <w:webHidden/>
          </w:rPr>
        </w:r>
        <w:r>
          <w:rPr>
            <w:webHidden/>
          </w:rPr>
          <w:fldChar w:fldCharType="separate"/>
        </w:r>
        <w:r>
          <w:rPr>
            <w:webHidden/>
          </w:rPr>
          <w:t>65</w:t>
        </w:r>
        <w:r>
          <w:rPr>
            <w:webHidden/>
          </w:rPr>
          <w:fldChar w:fldCharType="end"/>
        </w:r>
      </w:hyperlink>
    </w:p>
    <w:p w14:paraId="63531CEB" w14:textId="66AF4DF8" w:rsidR="00A75C39" w:rsidRDefault="00A75C39">
      <w:pPr>
        <w:pStyle w:val="TOC2"/>
        <w:rPr>
          <w:rFonts w:asciiTheme="minorHAnsi" w:eastAsiaTheme="minorEastAsia" w:hAnsiTheme="minorHAnsi" w:cstheme="minorBidi"/>
          <w:b w:val="0"/>
          <w:smallCaps w:val="0"/>
          <w:sz w:val="22"/>
          <w:lang w:val="en-US"/>
        </w:rPr>
      </w:pPr>
      <w:hyperlink w:anchor="_Toc119077882" w:history="1">
        <w:r w:rsidRPr="00B15381">
          <w:rPr>
            <w:rStyle w:val="Hyperlink"/>
            <w:rFonts w:ascii="Times New Roman" w:hAnsi="Times New Roman"/>
            <w:lang w:val="fr-FR"/>
          </w:rPr>
          <w:t>2.</w:t>
        </w:r>
        <w:r>
          <w:rPr>
            <w:rFonts w:asciiTheme="minorHAnsi" w:eastAsiaTheme="minorEastAsia" w:hAnsiTheme="minorHAnsi" w:cstheme="minorBidi"/>
            <w:b w:val="0"/>
            <w:smallCaps w:val="0"/>
            <w:sz w:val="22"/>
            <w:lang w:val="en-US"/>
          </w:rPr>
          <w:tab/>
        </w:r>
        <w:r w:rsidRPr="00B15381">
          <w:rPr>
            <w:rStyle w:val="Hyperlink"/>
            <w:rFonts w:ascii="Times New Roman" w:hAnsi="Times New Roman"/>
            <w:lang w:val="fr-FR"/>
          </w:rPr>
          <w:t>SKUPINOVÁ SOLVENTNOST: ÚDAJE O PŘIDRUŽENÝCH SUBJEKTECH (GS)</w:t>
        </w:r>
        <w:r>
          <w:rPr>
            <w:webHidden/>
          </w:rPr>
          <w:tab/>
        </w:r>
        <w:r>
          <w:rPr>
            <w:webHidden/>
          </w:rPr>
          <w:fldChar w:fldCharType="begin"/>
        </w:r>
        <w:r>
          <w:rPr>
            <w:webHidden/>
          </w:rPr>
          <w:instrText xml:space="preserve"> PAGEREF _Toc119077882 \h </w:instrText>
        </w:r>
        <w:r>
          <w:rPr>
            <w:webHidden/>
          </w:rPr>
        </w:r>
        <w:r>
          <w:rPr>
            <w:webHidden/>
          </w:rPr>
          <w:fldChar w:fldCharType="separate"/>
        </w:r>
        <w:r>
          <w:rPr>
            <w:webHidden/>
          </w:rPr>
          <w:t>69</w:t>
        </w:r>
        <w:r>
          <w:rPr>
            <w:webHidden/>
          </w:rPr>
          <w:fldChar w:fldCharType="end"/>
        </w:r>
      </w:hyperlink>
    </w:p>
    <w:p w14:paraId="0689484E" w14:textId="1C9B99D7" w:rsidR="00A75C39" w:rsidRDefault="00A75C39">
      <w:pPr>
        <w:pStyle w:val="TOC2"/>
        <w:rPr>
          <w:rFonts w:asciiTheme="minorHAnsi" w:eastAsiaTheme="minorEastAsia" w:hAnsiTheme="minorHAnsi" w:cstheme="minorBidi"/>
          <w:b w:val="0"/>
          <w:smallCaps w:val="0"/>
          <w:sz w:val="22"/>
          <w:lang w:val="en-US"/>
        </w:rPr>
      </w:pPr>
      <w:hyperlink w:anchor="_Toc119077883" w:history="1">
        <w:r w:rsidRPr="00B15381">
          <w:rPr>
            <w:rStyle w:val="Hyperlink"/>
            <w:rFonts w:ascii="Times New Roman" w:hAnsi="Times New Roman"/>
          </w:rPr>
          <w:t>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_Toc119077883 \h </w:instrText>
        </w:r>
        <w:r>
          <w:rPr>
            <w:webHidden/>
          </w:rPr>
        </w:r>
        <w:r>
          <w:rPr>
            <w:webHidden/>
          </w:rPr>
          <w:fldChar w:fldCharType="separate"/>
        </w:r>
        <w:r>
          <w:rPr>
            <w:webHidden/>
          </w:rPr>
          <w:t>69</w:t>
        </w:r>
        <w:r>
          <w:rPr>
            <w:webHidden/>
          </w:rPr>
          <w:fldChar w:fldCharType="end"/>
        </w:r>
      </w:hyperlink>
    </w:p>
    <w:p w14:paraId="5BA77F26" w14:textId="56C306BE" w:rsidR="00A75C39" w:rsidRDefault="00A75C39">
      <w:pPr>
        <w:pStyle w:val="TOC2"/>
        <w:rPr>
          <w:rFonts w:asciiTheme="minorHAnsi" w:eastAsiaTheme="minorEastAsia" w:hAnsiTheme="minorHAnsi" w:cstheme="minorBidi"/>
          <w:b w:val="0"/>
          <w:smallCaps w:val="0"/>
          <w:sz w:val="22"/>
          <w:lang w:val="en-US"/>
        </w:rPr>
      </w:pPr>
      <w:hyperlink w:anchor="_Toc119077884" w:history="1">
        <w:r w:rsidRPr="00B15381">
          <w:rPr>
            <w:rStyle w:val="Hyperlink"/>
            <w:rFonts w:ascii="Times New Roman" w:hAnsi="Times New Roman"/>
          </w:rPr>
          <w:t>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Podrobné údaje týkající se skupinové solventnosti</w:t>
        </w:r>
        <w:r>
          <w:rPr>
            <w:webHidden/>
          </w:rPr>
          <w:tab/>
        </w:r>
        <w:r>
          <w:rPr>
            <w:webHidden/>
          </w:rPr>
          <w:fldChar w:fldCharType="begin"/>
        </w:r>
        <w:r>
          <w:rPr>
            <w:webHidden/>
          </w:rPr>
          <w:instrText xml:space="preserve"> PAGEREF _Toc119077884 \h </w:instrText>
        </w:r>
        <w:r>
          <w:rPr>
            <w:webHidden/>
          </w:rPr>
        </w:r>
        <w:r>
          <w:rPr>
            <w:webHidden/>
          </w:rPr>
          <w:fldChar w:fldCharType="separate"/>
        </w:r>
        <w:r>
          <w:rPr>
            <w:webHidden/>
          </w:rPr>
          <w:t>69</w:t>
        </w:r>
        <w:r>
          <w:rPr>
            <w:webHidden/>
          </w:rPr>
          <w:fldChar w:fldCharType="end"/>
        </w:r>
      </w:hyperlink>
    </w:p>
    <w:p w14:paraId="43C5B217" w14:textId="078EC061" w:rsidR="00A75C39" w:rsidRDefault="00A75C39">
      <w:pPr>
        <w:pStyle w:val="TOC2"/>
        <w:rPr>
          <w:rFonts w:asciiTheme="minorHAnsi" w:eastAsiaTheme="minorEastAsia" w:hAnsiTheme="minorHAnsi" w:cstheme="minorBidi"/>
          <w:b w:val="0"/>
          <w:smallCaps w:val="0"/>
          <w:sz w:val="22"/>
          <w:lang w:val="en-US"/>
        </w:rPr>
      </w:pPr>
      <w:hyperlink w:anchor="_Toc119077885" w:history="1">
        <w:r w:rsidRPr="00B15381">
          <w:rPr>
            <w:rStyle w:val="Hyperlink"/>
            <w:rFonts w:ascii="Times New Roman" w:hAnsi="Times New Roman"/>
          </w:rPr>
          <w:t>2.3.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Údaje týkající se příspěvku jednotlivých subjektů ke skupinové solventnosti</w:t>
        </w:r>
        <w:r>
          <w:rPr>
            <w:webHidden/>
          </w:rPr>
          <w:tab/>
        </w:r>
        <w:r>
          <w:rPr>
            <w:webHidden/>
          </w:rPr>
          <w:fldChar w:fldCharType="begin"/>
        </w:r>
        <w:r>
          <w:rPr>
            <w:webHidden/>
          </w:rPr>
          <w:instrText xml:space="preserve"> PAGEREF _Toc119077885 \h </w:instrText>
        </w:r>
        <w:r>
          <w:rPr>
            <w:webHidden/>
          </w:rPr>
        </w:r>
        <w:r>
          <w:rPr>
            <w:webHidden/>
          </w:rPr>
          <w:fldChar w:fldCharType="separate"/>
        </w:r>
        <w:r>
          <w:rPr>
            <w:webHidden/>
          </w:rPr>
          <w:t>69</w:t>
        </w:r>
        <w:r>
          <w:rPr>
            <w:webHidden/>
          </w:rPr>
          <w:fldChar w:fldCharType="end"/>
        </w:r>
      </w:hyperlink>
    </w:p>
    <w:p w14:paraId="124DFBAB" w14:textId="27844A9E" w:rsidR="00A75C39" w:rsidRDefault="00A75C39">
      <w:pPr>
        <w:pStyle w:val="TOC2"/>
        <w:rPr>
          <w:rFonts w:asciiTheme="minorHAnsi" w:eastAsiaTheme="minorEastAsia" w:hAnsiTheme="minorHAnsi" w:cstheme="minorBidi"/>
          <w:b w:val="0"/>
          <w:smallCaps w:val="0"/>
          <w:sz w:val="22"/>
          <w:lang w:val="en-US"/>
        </w:rPr>
      </w:pPr>
      <w:hyperlink w:anchor="_Toc119077886" w:history="1">
        <w:r w:rsidRPr="00B15381">
          <w:rPr>
            <w:rStyle w:val="Hyperlink"/>
            <w:rFonts w:ascii="Times New Roman" w:hAnsi="Times New Roman"/>
          </w:rPr>
          <w:t>2.4.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06.01 – SKUPINOVÁ SOLVENTNOST: ÚDAJE O PŘIDRUŽENÝCH SUBJEKTECH – celkem (GS Total)</w:t>
        </w:r>
        <w:r>
          <w:rPr>
            <w:webHidden/>
          </w:rPr>
          <w:tab/>
        </w:r>
        <w:r>
          <w:rPr>
            <w:webHidden/>
          </w:rPr>
          <w:fldChar w:fldCharType="begin"/>
        </w:r>
        <w:r>
          <w:rPr>
            <w:webHidden/>
          </w:rPr>
          <w:instrText xml:space="preserve"> PAGEREF _Toc119077886 \h </w:instrText>
        </w:r>
        <w:r>
          <w:rPr>
            <w:webHidden/>
          </w:rPr>
        </w:r>
        <w:r>
          <w:rPr>
            <w:webHidden/>
          </w:rPr>
          <w:fldChar w:fldCharType="separate"/>
        </w:r>
        <w:r>
          <w:rPr>
            <w:webHidden/>
          </w:rPr>
          <w:t>70</w:t>
        </w:r>
        <w:r>
          <w:rPr>
            <w:webHidden/>
          </w:rPr>
          <w:fldChar w:fldCharType="end"/>
        </w:r>
      </w:hyperlink>
    </w:p>
    <w:p w14:paraId="54BC8465" w14:textId="2B1D6F01" w:rsidR="00A75C39" w:rsidRDefault="00A75C39">
      <w:pPr>
        <w:pStyle w:val="TOC2"/>
        <w:rPr>
          <w:rFonts w:asciiTheme="minorHAnsi" w:eastAsiaTheme="minorEastAsia" w:hAnsiTheme="minorHAnsi" w:cstheme="minorBidi"/>
          <w:b w:val="0"/>
          <w:smallCaps w:val="0"/>
          <w:sz w:val="22"/>
          <w:lang w:val="en-US"/>
        </w:rPr>
      </w:pPr>
      <w:hyperlink w:anchor="_Toc119077887" w:history="1">
        <w:r w:rsidRPr="00B15381">
          <w:rPr>
            <w:rStyle w:val="Hyperlink"/>
            <w:rFonts w:ascii="Times New Roman" w:hAnsi="Times New Roman"/>
          </w:rPr>
          <w:t>2.5.</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06.02 – SKUPINOVÁ SOLVENTNOST: ÚDAJE O PŘIDRUŽENÝCH SUBJEKTECH (GS)</w:t>
        </w:r>
        <w:r>
          <w:rPr>
            <w:webHidden/>
          </w:rPr>
          <w:tab/>
        </w:r>
        <w:r>
          <w:rPr>
            <w:webHidden/>
          </w:rPr>
          <w:fldChar w:fldCharType="begin"/>
        </w:r>
        <w:r>
          <w:rPr>
            <w:webHidden/>
          </w:rPr>
          <w:instrText xml:space="preserve"> PAGEREF _Toc119077887 \h </w:instrText>
        </w:r>
        <w:r>
          <w:rPr>
            <w:webHidden/>
          </w:rPr>
        </w:r>
        <w:r>
          <w:rPr>
            <w:webHidden/>
          </w:rPr>
          <w:fldChar w:fldCharType="separate"/>
        </w:r>
        <w:r>
          <w:rPr>
            <w:webHidden/>
          </w:rPr>
          <w:t>71</w:t>
        </w:r>
        <w:r>
          <w:rPr>
            <w:webHidden/>
          </w:rPr>
          <w:fldChar w:fldCharType="end"/>
        </w:r>
      </w:hyperlink>
    </w:p>
    <w:p w14:paraId="5F2FF626" w14:textId="4DB13ADD" w:rsidR="00A75C39" w:rsidRDefault="00A75C39">
      <w:pPr>
        <w:pStyle w:val="TOC2"/>
        <w:rPr>
          <w:rFonts w:asciiTheme="minorHAnsi" w:eastAsiaTheme="minorEastAsia" w:hAnsiTheme="minorHAnsi" w:cstheme="minorBidi"/>
          <w:b w:val="0"/>
          <w:smallCaps w:val="0"/>
          <w:sz w:val="22"/>
          <w:lang w:val="en-US"/>
        </w:rPr>
      </w:pPr>
      <w:hyperlink w:anchor="_Toc119077888" w:history="1">
        <w:r w:rsidRPr="00B15381">
          <w:rPr>
            <w:rStyle w:val="Hyperlink"/>
            <w:rFonts w:ascii="Times New Roman" w:hAnsi="Times New Roman"/>
          </w:rPr>
          <w:t>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Šablony zaměřené na úvěrové riziko</w:t>
        </w:r>
        <w:r>
          <w:rPr>
            <w:webHidden/>
          </w:rPr>
          <w:tab/>
        </w:r>
        <w:r>
          <w:rPr>
            <w:webHidden/>
          </w:rPr>
          <w:fldChar w:fldCharType="begin"/>
        </w:r>
        <w:r>
          <w:rPr>
            <w:webHidden/>
          </w:rPr>
          <w:instrText xml:space="preserve"> PAGEREF _Toc119077888 \h </w:instrText>
        </w:r>
        <w:r>
          <w:rPr>
            <w:webHidden/>
          </w:rPr>
        </w:r>
        <w:r>
          <w:rPr>
            <w:webHidden/>
          </w:rPr>
          <w:fldChar w:fldCharType="separate"/>
        </w:r>
        <w:r>
          <w:rPr>
            <w:webHidden/>
          </w:rPr>
          <w:t>79</w:t>
        </w:r>
        <w:r>
          <w:rPr>
            <w:webHidden/>
          </w:rPr>
          <w:fldChar w:fldCharType="end"/>
        </w:r>
      </w:hyperlink>
    </w:p>
    <w:p w14:paraId="4E02F961" w14:textId="723C5A25" w:rsidR="00A75C39" w:rsidRDefault="00A75C39">
      <w:pPr>
        <w:pStyle w:val="TOC2"/>
        <w:rPr>
          <w:rFonts w:asciiTheme="minorHAnsi" w:eastAsiaTheme="minorEastAsia" w:hAnsiTheme="minorHAnsi" w:cstheme="minorBidi"/>
          <w:b w:val="0"/>
          <w:smallCaps w:val="0"/>
          <w:sz w:val="22"/>
          <w:lang w:val="en-US"/>
        </w:rPr>
      </w:pPr>
      <w:hyperlink w:anchor="_Toc119077889" w:history="1">
        <w:r w:rsidRPr="00B15381">
          <w:rPr>
            <w:rStyle w:val="Hyperlink"/>
            <w:rFonts w:ascii="Times New Roman" w:hAnsi="Times New Roman"/>
          </w:rPr>
          <w:t>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_Toc119077889 \h </w:instrText>
        </w:r>
        <w:r>
          <w:rPr>
            <w:webHidden/>
          </w:rPr>
        </w:r>
        <w:r>
          <w:rPr>
            <w:webHidden/>
          </w:rPr>
          <w:fldChar w:fldCharType="separate"/>
        </w:r>
        <w:r>
          <w:rPr>
            <w:webHidden/>
          </w:rPr>
          <w:t>79</w:t>
        </w:r>
        <w:r>
          <w:rPr>
            <w:webHidden/>
          </w:rPr>
          <w:fldChar w:fldCharType="end"/>
        </w:r>
      </w:hyperlink>
    </w:p>
    <w:p w14:paraId="6325D574" w14:textId="29E9AED9" w:rsidR="00A75C39" w:rsidRDefault="00A75C39">
      <w:pPr>
        <w:pStyle w:val="TOC2"/>
        <w:rPr>
          <w:rFonts w:asciiTheme="minorHAnsi" w:eastAsiaTheme="minorEastAsia" w:hAnsiTheme="minorHAnsi" w:cstheme="minorBidi"/>
          <w:b w:val="0"/>
          <w:smallCaps w:val="0"/>
          <w:sz w:val="22"/>
          <w:lang w:val="en-US"/>
        </w:rPr>
      </w:pPr>
      <w:hyperlink w:anchor="_Toc119077890" w:history="1">
        <w:r w:rsidRPr="00B15381">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Vykazování technik snižování úvěrového rizika se substitučním vlivem</w:t>
        </w:r>
        <w:r>
          <w:rPr>
            <w:webHidden/>
          </w:rPr>
          <w:tab/>
        </w:r>
        <w:r>
          <w:rPr>
            <w:webHidden/>
          </w:rPr>
          <w:fldChar w:fldCharType="begin"/>
        </w:r>
        <w:r>
          <w:rPr>
            <w:webHidden/>
          </w:rPr>
          <w:instrText xml:space="preserve"> PAGEREF _Toc119077890 \h </w:instrText>
        </w:r>
        <w:r>
          <w:rPr>
            <w:webHidden/>
          </w:rPr>
        </w:r>
        <w:r>
          <w:rPr>
            <w:webHidden/>
          </w:rPr>
          <w:fldChar w:fldCharType="separate"/>
        </w:r>
        <w:r>
          <w:rPr>
            <w:webHidden/>
          </w:rPr>
          <w:t>80</w:t>
        </w:r>
        <w:r>
          <w:rPr>
            <w:webHidden/>
          </w:rPr>
          <w:fldChar w:fldCharType="end"/>
        </w:r>
      </w:hyperlink>
    </w:p>
    <w:p w14:paraId="3D7AAD77" w14:textId="742438E4" w:rsidR="00A75C39" w:rsidRDefault="00A75C39">
      <w:pPr>
        <w:pStyle w:val="TOC2"/>
        <w:rPr>
          <w:rFonts w:asciiTheme="minorHAnsi" w:eastAsiaTheme="minorEastAsia" w:hAnsiTheme="minorHAnsi" w:cstheme="minorBidi"/>
          <w:b w:val="0"/>
          <w:smallCaps w:val="0"/>
          <w:sz w:val="22"/>
          <w:lang w:val="en-US"/>
        </w:rPr>
      </w:pPr>
      <w:hyperlink w:anchor="_Toc119077891" w:history="1">
        <w:r w:rsidRPr="00B15381">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Vykazování úvěrového rizika protistrany</w:t>
        </w:r>
        <w:r>
          <w:rPr>
            <w:webHidden/>
          </w:rPr>
          <w:tab/>
        </w:r>
        <w:r>
          <w:rPr>
            <w:webHidden/>
          </w:rPr>
          <w:fldChar w:fldCharType="begin"/>
        </w:r>
        <w:r>
          <w:rPr>
            <w:webHidden/>
          </w:rPr>
          <w:instrText xml:space="preserve"> PAGEREF _Toc119077891 \h </w:instrText>
        </w:r>
        <w:r>
          <w:rPr>
            <w:webHidden/>
          </w:rPr>
        </w:r>
        <w:r>
          <w:rPr>
            <w:webHidden/>
          </w:rPr>
          <w:fldChar w:fldCharType="separate"/>
        </w:r>
        <w:r>
          <w:rPr>
            <w:webHidden/>
          </w:rPr>
          <w:t>80</w:t>
        </w:r>
        <w:r>
          <w:rPr>
            <w:webHidden/>
          </w:rPr>
          <w:fldChar w:fldCharType="end"/>
        </w:r>
      </w:hyperlink>
    </w:p>
    <w:p w14:paraId="265D7E68" w14:textId="4EFFE4A0" w:rsidR="00A75C39" w:rsidRDefault="00A75C39">
      <w:pPr>
        <w:pStyle w:val="TOC2"/>
        <w:rPr>
          <w:rFonts w:asciiTheme="minorHAnsi" w:eastAsiaTheme="minorEastAsia" w:hAnsiTheme="minorHAnsi" w:cstheme="minorBidi"/>
          <w:b w:val="0"/>
          <w:smallCaps w:val="0"/>
          <w:sz w:val="22"/>
          <w:lang w:val="en-US"/>
        </w:rPr>
      </w:pPr>
      <w:hyperlink w:anchor="_Toc119077892" w:history="1">
        <w:r w:rsidRPr="00B15381">
          <w:rPr>
            <w:rStyle w:val="Hyperlink"/>
            <w:rFonts w:ascii="Times New Roman" w:hAnsi="Times New Roman"/>
          </w:rPr>
          <w:t>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07.00 – Úvěrové riziko a úvěrové riziko protistrany a volné dodávky: Standardizovaný přístup ke kapitálovým požadavkům(CR SA)</w:t>
        </w:r>
        <w:r>
          <w:rPr>
            <w:webHidden/>
          </w:rPr>
          <w:tab/>
        </w:r>
        <w:r>
          <w:rPr>
            <w:webHidden/>
          </w:rPr>
          <w:fldChar w:fldCharType="begin"/>
        </w:r>
        <w:r>
          <w:rPr>
            <w:webHidden/>
          </w:rPr>
          <w:instrText xml:space="preserve"> PAGEREF _Toc119077892 \h </w:instrText>
        </w:r>
        <w:r>
          <w:rPr>
            <w:webHidden/>
          </w:rPr>
        </w:r>
        <w:r>
          <w:rPr>
            <w:webHidden/>
          </w:rPr>
          <w:fldChar w:fldCharType="separate"/>
        </w:r>
        <w:r>
          <w:rPr>
            <w:webHidden/>
          </w:rPr>
          <w:t>80</w:t>
        </w:r>
        <w:r>
          <w:rPr>
            <w:webHidden/>
          </w:rPr>
          <w:fldChar w:fldCharType="end"/>
        </w:r>
      </w:hyperlink>
    </w:p>
    <w:p w14:paraId="6BC71CE4" w14:textId="3DF4460A" w:rsidR="00A75C39" w:rsidRDefault="00A75C39">
      <w:pPr>
        <w:pStyle w:val="TOC2"/>
        <w:rPr>
          <w:rFonts w:asciiTheme="minorHAnsi" w:eastAsiaTheme="minorEastAsia" w:hAnsiTheme="minorHAnsi" w:cstheme="minorBidi"/>
          <w:b w:val="0"/>
          <w:smallCaps w:val="0"/>
          <w:sz w:val="22"/>
          <w:lang w:val="en-US"/>
        </w:rPr>
      </w:pPr>
      <w:hyperlink w:anchor="_Toc119077893" w:history="1">
        <w:r w:rsidRPr="00B15381">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_Toc119077893 \h </w:instrText>
        </w:r>
        <w:r>
          <w:rPr>
            <w:webHidden/>
          </w:rPr>
        </w:r>
        <w:r>
          <w:rPr>
            <w:webHidden/>
          </w:rPr>
          <w:fldChar w:fldCharType="separate"/>
        </w:r>
        <w:r>
          <w:rPr>
            <w:webHidden/>
          </w:rPr>
          <w:t>80</w:t>
        </w:r>
        <w:r>
          <w:rPr>
            <w:webHidden/>
          </w:rPr>
          <w:fldChar w:fldCharType="end"/>
        </w:r>
      </w:hyperlink>
    </w:p>
    <w:p w14:paraId="50AC511C" w14:textId="7B821FC7" w:rsidR="00A75C39" w:rsidRDefault="00A75C39">
      <w:pPr>
        <w:pStyle w:val="TOC2"/>
        <w:rPr>
          <w:rFonts w:asciiTheme="minorHAnsi" w:eastAsiaTheme="minorEastAsia" w:hAnsiTheme="minorHAnsi" w:cstheme="minorBidi"/>
          <w:b w:val="0"/>
          <w:smallCaps w:val="0"/>
          <w:sz w:val="22"/>
          <w:lang w:val="en-US"/>
        </w:rPr>
      </w:pPr>
      <w:hyperlink w:anchor="_Toc119077894" w:history="1">
        <w:r w:rsidRPr="00B15381">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Oblast působnosti šablony CR SA</w:t>
        </w:r>
        <w:r>
          <w:rPr>
            <w:webHidden/>
          </w:rPr>
          <w:tab/>
        </w:r>
        <w:r>
          <w:rPr>
            <w:webHidden/>
          </w:rPr>
          <w:fldChar w:fldCharType="begin"/>
        </w:r>
        <w:r>
          <w:rPr>
            <w:webHidden/>
          </w:rPr>
          <w:instrText xml:space="preserve"> PAGEREF _Toc119077894 \h </w:instrText>
        </w:r>
        <w:r>
          <w:rPr>
            <w:webHidden/>
          </w:rPr>
        </w:r>
        <w:r>
          <w:rPr>
            <w:webHidden/>
          </w:rPr>
          <w:fldChar w:fldCharType="separate"/>
        </w:r>
        <w:r>
          <w:rPr>
            <w:webHidden/>
          </w:rPr>
          <w:t>80</w:t>
        </w:r>
        <w:r>
          <w:rPr>
            <w:webHidden/>
          </w:rPr>
          <w:fldChar w:fldCharType="end"/>
        </w:r>
      </w:hyperlink>
    </w:p>
    <w:p w14:paraId="7DB089CB" w14:textId="69FF6C37" w:rsidR="00A75C39" w:rsidRDefault="00A75C39">
      <w:pPr>
        <w:pStyle w:val="TOC2"/>
        <w:rPr>
          <w:rFonts w:asciiTheme="minorHAnsi" w:eastAsiaTheme="minorEastAsia" w:hAnsiTheme="minorHAnsi" w:cstheme="minorBidi"/>
          <w:b w:val="0"/>
          <w:smallCaps w:val="0"/>
          <w:sz w:val="22"/>
          <w:lang w:val="en-US"/>
        </w:rPr>
      </w:pPr>
      <w:hyperlink w:anchor="_Toc119077895" w:history="1">
        <w:r w:rsidRPr="00B15381">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Zařazení expozic do kategorií expozic v rámci standardizovaného přístupu</w:t>
        </w:r>
        <w:r>
          <w:rPr>
            <w:webHidden/>
          </w:rPr>
          <w:tab/>
        </w:r>
        <w:r>
          <w:rPr>
            <w:webHidden/>
          </w:rPr>
          <w:fldChar w:fldCharType="begin"/>
        </w:r>
        <w:r>
          <w:rPr>
            <w:webHidden/>
          </w:rPr>
          <w:instrText xml:space="preserve"> PAGEREF _Toc119077895 \h </w:instrText>
        </w:r>
        <w:r>
          <w:rPr>
            <w:webHidden/>
          </w:rPr>
        </w:r>
        <w:r>
          <w:rPr>
            <w:webHidden/>
          </w:rPr>
          <w:fldChar w:fldCharType="separate"/>
        </w:r>
        <w:r>
          <w:rPr>
            <w:webHidden/>
          </w:rPr>
          <w:t>82</w:t>
        </w:r>
        <w:r>
          <w:rPr>
            <w:webHidden/>
          </w:rPr>
          <w:fldChar w:fldCharType="end"/>
        </w:r>
      </w:hyperlink>
    </w:p>
    <w:p w14:paraId="78A31CCA" w14:textId="00710752" w:rsidR="00A75C39" w:rsidRDefault="00A75C39">
      <w:pPr>
        <w:pStyle w:val="TOC2"/>
        <w:rPr>
          <w:rFonts w:asciiTheme="minorHAnsi" w:eastAsiaTheme="minorEastAsia" w:hAnsiTheme="minorHAnsi" w:cstheme="minorBidi"/>
          <w:b w:val="0"/>
          <w:smallCaps w:val="0"/>
          <w:sz w:val="22"/>
          <w:lang w:val="en-US"/>
        </w:rPr>
      </w:pPr>
      <w:hyperlink w:anchor="_Toc119077896" w:history="1">
        <w:r w:rsidRPr="00B15381">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Vyjasnění rozsahu některých zvláštních kategorií expozic uvedených v článku 112 nařízení (EU) č. 575/2013</w:t>
        </w:r>
        <w:r>
          <w:rPr>
            <w:webHidden/>
          </w:rPr>
          <w:tab/>
        </w:r>
        <w:r>
          <w:rPr>
            <w:webHidden/>
          </w:rPr>
          <w:fldChar w:fldCharType="begin"/>
        </w:r>
        <w:r>
          <w:rPr>
            <w:webHidden/>
          </w:rPr>
          <w:instrText xml:space="preserve"> PAGEREF _Toc119077896 \h </w:instrText>
        </w:r>
        <w:r>
          <w:rPr>
            <w:webHidden/>
          </w:rPr>
        </w:r>
        <w:r>
          <w:rPr>
            <w:webHidden/>
          </w:rPr>
          <w:fldChar w:fldCharType="separate"/>
        </w:r>
        <w:r>
          <w:rPr>
            <w:webHidden/>
          </w:rPr>
          <w:t>87</w:t>
        </w:r>
        <w:r>
          <w:rPr>
            <w:webHidden/>
          </w:rPr>
          <w:fldChar w:fldCharType="end"/>
        </w:r>
      </w:hyperlink>
    </w:p>
    <w:p w14:paraId="24946EE4" w14:textId="5C5263B3" w:rsidR="00A75C39" w:rsidRDefault="00A75C39">
      <w:pPr>
        <w:pStyle w:val="TOC2"/>
        <w:rPr>
          <w:rFonts w:asciiTheme="minorHAnsi" w:eastAsiaTheme="minorEastAsia" w:hAnsiTheme="minorHAnsi" w:cstheme="minorBidi"/>
          <w:b w:val="0"/>
          <w:smallCaps w:val="0"/>
          <w:sz w:val="22"/>
          <w:lang w:val="en-US"/>
        </w:rPr>
      </w:pPr>
      <w:hyperlink w:anchor="_Toc119077897" w:history="1">
        <w:r w:rsidRPr="00B15381">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Kategorie expozic „instituce“</w:t>
        </w:r>
        <w:r>
          <w:rPr>
            <w:webHidden/>
          </w:rPr>
          <w:tab/>
        </w:r>
        <w:r>
          <w:rPr>
            <w:webHidden/>
          </w:rPr>
          <w:fldChar w:fldCharType="begin"/>
        </w:r>
        <w:r>
          <w:rPr>
            <w:webHidden/>
          </w:rPr>
          <w:instrText xml:space="preserve"> PAGEREF _Toc119077897 \h </w:instrText>
        </w:r>
        <w:r>
          <w:rPr>
            <w:webHidden/>
          </w:rPr>
        </w:r>
        <w:r>
          <w:rPr>
            <w:webHidden/>
          </w:rPr>
          <w:fldChar w:fldCharType="separate"/>
        </w:r>
        <w:r>
          <w:rPr>
            <w:webHidden/>
          </w:rPr>
          <w:t>87</w:t>
        </w:r>
        <w:r>
          <w:rPr>
            <w:webHidden/>
          </w:rPr>
          <w:fldChar w:fldCharType="end"/>
        </w:r>
      </w:hyperlink>
    </w:p>
    <w:p w14:paraId="6D6EDDE4" w14:textId="4DE01071" w:rsidR="00A75C39" w:rsidRDefault="00A75C39">
      <w:pPr>
        <w:pStyle w:val="TOC2"/>
        <w:rPr>
          <w:rFonts w:asciiTheme="minorHAnsi" w:eastAsiaTheme="minorEastAsia" w:hAnsiTheme="minorHAnsi" w:cstheme="minorBidi"/>
          <w:b w:val="0"/>
          <w:smallCaps w:val="0"/>
          <w:sz w:val="22"/>
          <w:lang w:val="en-US"/>
        </w:rPr>
      </w:pPr>
      <w:hyperlink w:anchor="_Toc119077898" w:history="1">
        <w:r w:rsidRPr="00B15381">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Kategorie expozic „kryté dluhopisy“</w:t>
        </w:r>
        <w:r>
          <w:rPr>
            <w:webHidden/>
          </w:rPr>
          <w:tab/>
        </w:r>
        <w:r>
          <w:rPr>
            <w:webHidden/>
          </w:rPr>
          <w:fldChar w:fldCharType="begin"/>
        </w:r>
        <w:r>
          <w:rPr>
            <w:webHidden/>
          </w:rPr>
          <w:instrText xml:space="preserve"> PAGEREF _Toc119077898 \h </w:instrText>
        </w:r>
        <w:r>
          <w:rPr>
            <w:webHidden/>
          </w:rPr>
        </w:r>
        <w:r>
          <w:rPr>
            <w:webHidden/>
          </w:rPr>
          <w:fldChar w:fldCharType="separate"/>
        </w:r>
        <w:r>
          <w:rPr>
            <w:webHidden/>
          </w:rPr>
          <w:t>87</w:t>
        </w:r>
        <w:r>
          <w:rPr>
            <w:webHidden/>
          </w:rPr>
          <w:fldChar w:fldCharType="end"/>
        </w:r>
      </w:hyperlink>
    </w:p>
    <w:p w14:paraId="51437574" w14:textId="6E8D10F1" w:rsidR="00A75C39" w:rsidRDefault="00A75C39">
      <w:pPr>
        <w:pStyle w:val="TOC2"/>
        <w:rPr>
          <w:rFonts w:asciiTheme="minorHAnsi" w:eastAsiaTheme="minorEastAsia" w:hAnsiTheme="minorHAnsi" w:cstheme="minorBidi"/>
          <w:b w:val="0"/>
          <w:smallCaps w:val="0"/>
          <w:sz w:val="22"/>
          <w:lang w:val="en-US"/>
        </w:rPr>
      </w:pPr>
      <w:hyperlink w:anchor="_Toc119077899" w:history="1">
        <w:r w:rsidRPr="00B15381">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Kategorie expozic „subjekty kolektivního investování“</w:t>
        </w:r>
        <w:r>
          <w:rPr>
            <w:webHidden/>
          </w:rPr>
          <w:tab/>
        </w:r>
        <w:r>
          <w:rPr>
            <w:webHidden/>
          </w:rPr>
          <w:fldChar w:fldCharType="begin"/>
        </w:r>
        <w:r>
          <w:rPr>
            <w:webHidden/>
          </w:rPr>
          <w:instrText xml:space="preserve"> PAGEREF _Toc119077899 \h </w:instrText>
        </w:r>
        <w:r>
          <w:rPr>
            <w:webHidden/>
          </w:rPr>
        </w:r>
        <w:r>
          <w:rPr>
            <w:webHidden/>
          </w:rPr>
          <w:fldChar w:fldCharType="separate"/>
        </w:r>
        <w:r>
          <w:rPr>
            <w:webHidden/>
          </w:rPr>
          <w:t>87</w:t>
        </w:r>
        <w:r>
          <w:rPr>
            <w:webHidden/>
          </w:rPr>
          <w:fldChar w:fldCharType="end"/>
        </w:r>
      </w:hyperlink>
    </w:p>
    <w:p w14:paraId="23FDC646" w14:textId="0C7104F0" w:rsidR="00A75C39" w:rsidRDefault="00A75C39">
      <w:pPr>
        <w:pStyle w:val="TOC2"/>
        <w:rPr>
          <w:rFonts w:asciiTheme="minorHAnsi" w:eastAsiaTheme="minorEastAsia" w:hAnsiTheme="minorHAnsi" w:cstheme="minorBidi"/>
          <w:b w:val="0"/>
          <w:smallCaps w:val="0"/>
          <w:sz w:val="22"/>
          <w:lang w:val="en-US"/>
        </w:rPr>
      </w:pPr>
      <w:hyperlink w:anchor="_Toc119077900" w:history="1">
        <w:r w:rsidRPr="00B15381">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_Toc119077900 \h </w:instrText>
        </w:r>
        <w:r>
          <w:rPr>
            <w:webHidden/>
          </w:rPr>
        </w:r>
        <w:r>
          <w:rPr>
            <w:webHidden/>
          </w:rPr>
          <w:fldChar w:fldCharType="separate"/>
        </w:r>
        <w:r>
          <w:rPr>
            <w:webHidden/>
          </w:rPr>
          <w:t>88</w:t>
        </w:r>
        <w:r>
          <w:rPr>
            <w:webHidden/>
          </w:rPr>
          <w:fldChar w:fldCharType="end"/>
        </w:r>
      </w:hyperlink>
    </w:p>
    <w:p w14:paraId="59AC2AD1" w14:textId="612FC1B9" w:rsidR="00A75C39" w:rsidRDefault="00A75C39">
      <w:pPr>
        <w:pStyle w:val="TOC2"/>
        <w:rPr>
          <w:rFonts w:asciiTheme="minorHAnsi" w:eastAsiaTheme="minorEastAsia" w:hAnsiTheme="minorHAnsi" w:cstheme="minorBidi"/>
          <w:b w:val="0"/>
          <w:smallCaps w:val="0"/>
          <w:sz w:val="22"/>
          <w:lang w:val="en-US"/>
        </w:rPr>
      </w:pPr>
      <w:hyperlink w:anchor="_Toc119077901" w:history="1">
        <w:r w:rsidRPr="00B15381">
          <w:rPr>
            <w:rStyle w:val="Hyperlink"/>
            <w:rFonts w:ascii="Times New Roman" w:hAnsi="Times New Roman"/>
          </w:rPr>
          <w:t>3.3.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Úvěrové riziko a úvěrové riziko protistrany a volné dodávky: přístup IRB ke kapitálovým požadavkům (CR IRB)</w:t>
        </w:r>
        <w:r>
          <w:rPr>
            <w:webHidden/>
          </w:rPr>
          <w:tab/>
        </w:r>
        <w:r>
          <w:rPr>
            <w:webHidden/>
          </w:rPr>
          <w:fldChar w:fldCharType="begin"/>
        </w:r>
        <w:r>
          <w:rPr>
            <w:webHidden/>
          </w:rPr>
          <w:instrText xml:space="preserve"> PAGEREF _Toc119077901 \h </w:instrText>
        </w:r>
        <w:r>
          <w:rPr>
            <w:webHidden/>
          </w:rPr>
        </w:r>
        <w:r>
          <w:rPr>
            <w:webHidden/>
          </w:rPr>
          <w:fldChar w:fldCharType="separate"/>
        </w:r>
        <w:r>
          <w:rPr>
            <w:webHidden/>
          </w:rPr>
          <w:t>96</w:t>
        </w:r>
        <w:r>
          <w:rPr>
            <w:webHidden/>
          </w:rPr>
          <w:fldChar w:fldCharType="end"/>
        </w:r>
      </w:hyperlink>
    </w:p>
    <w:p w14:paraId="3CF38764" w14:textId="761991D2" w:rsidR="00A75C39" w:rsidRDefault="00A75C39">
      <w:pPr>
        <w:pStyle w:val="TOC2"/>
        <w:rPr>
          <w:rFonts w:asciiTheme="minorHAnsi" w:eastAsiaTheme="minorEastAsia" w:hAnsiTheme="minorHAnsi" w:cstheme="minorBidi"/>
          <w:b w:val="0"/>
          <w:smallCaps w:val="0"/>
          <w:sz w:val="22"/>
          <w:lang w:val="en-US"/>
        </w:rPr>
      </w:pPr>
      <w:hyperlink w:anchor="_Toc119077902" w:history="1">
        <w:r w:rsidRPr="00B15381">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Oblast působnosti šablony CR IRB</w:t>
        </w:r>
        <w:r>
          <w:rPr>
            <w:webHidden/>
          </w:rPr>
          <w:tab/>
        </w:r>
        <w:r>
          <w:rPr>
            <w:webHidden/>
          </w:rPr>
          <w:fldChar w:fldCharType="begin"/>
        </w:r>
        <w:r>
          <w:rPr>
            <w:webHidden/>
          </w:rPr>
          <w:instrText xml:space="preserve"> PAGEREF _Toc119077902 \h </w:instrText>
        </w:r>
        <w:r>
          <w:rPr>
            <w:webHidden/>
          </w:rPr>
        </w:r>
        <w:r>
          <w:rPr>
            <w:webHidden/>
          </w:rPr>
          <w:fldChar w:fldCharType="separate"/>
        </w:r>
        <w:r>
          <w:rPr>
            <w:webHidden/>
          </w:rPr>
          <w:t>96</w:t>
        </w:r>
        <w:r>
          <w:rPr>
            <w:webHidden/>
          </w:rPr>
          <w:fldChar w:fldCharType="end"/>
        </w:r>
      </w:hyperlink>
    </w:p>
    <w:p w14:paraId="659DDDA5" w14:textId="0C9AEEB7" w:rsidR="00A75C39" w:rsidRDefault="00A75C39">
      <w:pPr>
        <w:pStyle w:val="TOC2"/>
        <w:rPr>
          <w:rFonts w:asciiTheme="minorHAnsi" w:eastAsiaTheme="minorEastAsia" w:hAnsiTheme="minorHAnsi" w:cstheme="minorBidi"/>
          <w:b w:val="0"/>
          <w:smallCaps w:val="0"/>
          <w:sz w:val="22"/>
          <w:lang w:val="en-US"/>
        </w:rPr>
      </w:pPr>
      <w:hyperlink w:anchor="_Toc119077903" w:history="1">
        <w:r w:rsidRPr="00B15381">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Struktura šablony CR IRB</w:t>
        </w:r>
        <w:r>
          <w:rPr>
            <w:webHidden/>
          </w:rPr>
          <w:tab/>
        </w:r>
        <w:r>
          <w:rPr>
            <w:webHidden/>
          </w:rPr>
          <w:fldChar w:fldCharType="begin"/>
        </w:r>
        <w:r>
          <w:rPr>
            <w:webHidden/>
          </w:rPr>
          <w:instrText xml:space="preserve"> PAGEREF _Toc119077903 \h </w:instrText>
        </w:r>
        <w:r>
          <w:rPr>
            <w:webHidden/>
          </w:rPr>
        </w:r>
        <w:r>
          <w:rPr>
            <w:webHidden/>
          </w:rPr>
          <w:fldChar w:fldCharType="separate"/>
        </w:r>
        <w:r>
          <w:rPr>
            <w:webHidden/>
          </w:rPr>
          <w:t>97</w:t>
        </w:r>
        <w:r>
          <w:rPr>
            <w:webHidden/>
          </w:rPr>
          <w:fldChar w:fldCharType="end"/>
        </w:r>
      </w:hyperlink>
    </w:p>
    <w:p w14:paraId="744CE65E" w14:textId="442D62E9" w:rsidR="00A75C39" w:rsidRDefault="00A75C39">
      <w:pPr>
        <w:pStyle w:val="TOC2"/>
        <w:rPr>
          <w:rFonts w:asciiTheme="minorHAnsi" w:eastAsiaTheme="minorEastAsia" w:hAnsiTheme="minorHAnsi" w:cstheme="minorBidi"/>
          <w:b w:val="0"/>
          <w:smallCaps w:val="0"/>
          <w:sz w:val="22"/>
          <w:lang w:val="en-US"/>
        </w:rPr>
      </w:pPr>
      <w:hyperlink w:anchor="_Toc119077904" w:history="1">
        <w:r w:rsidRPr="00B15381">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08.01 – Úvěrové riziko a úvěrové riziko protistrany a volné dodávky: přístup IRB ke kapitálovým požadavkům (CR IRB 1)</w:t>
        </w:r>
        <w:r>
          <w:rPr>
            <w:webHidden/>
          </w:rPr>
          <w:tab/>
        </w:r>
        <w:r>
          <w:rPr>
            <w:webHidden/>
          </w:rPr>
          <w:fldChar w:fldCharType="begin"/>
        </w:r>
        <w:r>
          <w:rPr>
            <w:webHidden/>
          </w:rPr>
          <w:instrText xml:space="preserve"> PAGEREF _Toc119077904 \h </w:instrText>
        </w:r>
        <w:r>
          <w:rPr>
            <w:webHidden/>
          </w:rPr>
        </w:r>
        <w:r>
          <w:rPr>
            <w:webHidden/>
          </w:rPr>
          <w:fldChar w:fldCharType="separate"/>
        </w:r>
        <w:r>
          <w:rPr>
            <w:webHidden/>
          </w:rPr>
          <w:t>99</w:t>
        </w:r>
        <w:r>
          <w:rPr>
            <w:webHidden/>
          </w:rPr>
          <w:fldChar w:fldCharType="end"/>
        </w:r>
      </w:hyperlink>
    </w:p>
    <w:p w14:paraId="452EA5C6" w14:textId="308E651E" w:rsidR="00A75C39" w:rsidRDefault="00A75C39">
      <w:pPr>
        <w:pStyle w:val="TOC2"/>
        <w:rPr>
          <w:rFonts w:asciiTheme="minorHAnsi" w:eastAsiaTheme="minorEastAsia" w:hAnsiTheme="minorHAnsi" w:cstheme="minorBidi"/>
          <w:b w:val="0"/>
          <w:smallCaps w:val="0"/>
          <w:sz w:val="22"/>
          <w:lang w:val="en-US"/>
        </w:rPr>
      </w:pPr>
      <w:hyperlink w:anchor="_Toc119077905" w:history="1">
        <w:r w:rsidRPr="00B15381">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_Toc119077905 \h </w:instrText>
        </w:r>
        <w:r>
          <w:rPr>
            <w:webHidden/>
          </w:rPr>
        </w:r>
        <w:r>
          <w:rPr>
            <w:webHidden/>
          </w:rPr>
          <w:fldChar w:fldCharType="separate"/>
        </w:r>
        <w:r>
          <w:rPr>
            <w:webHidden/>
          </w:rPr>
          <w:t>99</w:t>
        </w:r>
        <w:r>
          <w:rPr>
            <w:webHidden/>
          </w:rPr>
          <w:fldChar w:fldCharType="end"/>
        </w:r>
      </w:hyperlink>
    </w:p>
    <w:p w14:paraId="299A8010" w14:textId="0E2D57FB" w:rsidR="00A75C39" w:rsidRDefault="00A75C39">
      <w:pPr>
        <w:pStyle w:val="TOC2"/>
        <w:rPr>
          <w:rFonts w:asciiTheme="minorHAnsi" w:eastAsiaTheme="minorEastAsia" w:hAnsiTheme="minorHAnsi" w:cstheme="minorBidi"/>
          <w:b w:val="0"/>
          <w:smallCaps w:val="0"/>
          <w:sz w:val="22"/>
          <w:lang w:val="en-US"/>
        </w:rPr>
      </w:pPr>
      <w:hyperlink w:anchor="_Toc119077906" w:history="1">
        <w:r w:rsidRPr="00B15381">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08.02 – Úvěrové riziko a úvěrové riziko protistrany a volné dodávky: Přístup ke kapitálovým požadavkům založený na interním ratingu (IRB): rozčlenění podle stupňů nebo seskupení dlužníků (šablona CR IRB 2)</w:t>
        </w:r>
        <w:r>
          <w:rPr>
            <w:webHidden/>
          </w:rPr>
          <w:tab/>
        </w:r>
        <w:r>
          <w:rPr>
            <w:webHidden/>
          </w:rPr>
          <w:fldChar w:fldCharType="begin"/>
        </w:r>
        <w:r>
          <w:rPr>
            <w:webHidden/>
          </w:rPr>
          <w:instrText xml:space="preserve"> PAGEREF _Toc119077906 \h </w:instrText>
        </w:r>
        <w:r>
          <w:rPr>
            <w:webHidden/>
          </w:rPr>
        </w:r>
        <w:r>
          <w:rPr>
            <w:webHidden/>
          </w:rPr>
          <w:fldChar w:fldCharType="separate"/>
        </w:r>
        <w:r>
          <w:rPr>
            <w:webHidden/>
          </w:rPr>
          <w:t>109</w:t>
        </w:r>
        <w:r>
          <w:rPr>
            <w:webHidden/>
          </w:rPr>
          <w:fldChar w:fldCharType="end"/>
        </w:r>
      </w:hyperlink>
    </w:p>
    <w:p w14:paraId="272FA534" w14:textId="52EFE173" w:rsidR="00A75C39" w:rsidRDefault="00A75C39">
      <w:pPr>
        <w:pStyle w:val="TOC2"/>
        <w:rPr>
          <w:rFonts w:asciiTheme="minorHAnsi" w:eastAsiaTheme="minorEastAsia" w:hAnsiTheme="minorHAnsi" w:cstheme="minorBidi"/>
          <w:b w:val="0"/>
          <w:smallCaps w:val="0"/>
          <w:sz w:val="22"/>
          <w:lang w:val="en-US"/>
        </w:rPr>
      </w:pPr>
      <w:hyperlink w:anchor="_Toc119077907" w:history="1">
        <w:r w:rsidRPr="00B15381">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08.03 – Úvěrové riziko a volné dodávky: přístup IRB ke kapitálovým požadavkům (rozčlenění podle rozmezí PD (CR IRB 3))</w:t>
        </w:r>
        <w:r>
          <w:rPr>
            <w:webHidden/>
          </w:rPr>
          <w:tab/>
        </w:r>
        <w:r>
          <w:rPr>
            <w:webHidden/>
          </w:rPr>
          <w:fldChar w:fldCharType="begin"/>
        </w:r>
        <w:r>
          <w:rPr>
            <w:webHidden/>
          </w:rPr>
          <w:instrText xml:space="preserve"> PAGEREF _Toc119077907 \h </w:instrText>
        </w:r>
        <w:r>
          <w:rPr>
            <w:webHidden/>
          </w:rPr>
        </w:r>
        <w:r>
          <w:rPr>
            <w:webHidden/>
          </w:rPr>
          <w:fldChar w:fldCharType="separate"/>
        </w:r>
        <w:r>
          <w:rPr>
            <w:webHidden/>
          </w:rPr>
          <w:t>109</w:t>
        </w:r>
        <w:r>
          <w:rPr>
            <w:webHidden/>
          </w:rPr>
          <w:fldChar w:fldCharType="end"/>
        </w:r>
      </w:hyperlink>
    </w:p>
    <w:p w14:paraId="69E188FD" w14:textId="33DA239A" w:rsidR="00A75C39" w:rsidRDefault="00A75C39">
      <w:pPr>
        <w:pStyle w:val="TOC2"/>
        <w:rPr>
          <w:rFonts w:asciiTheme="minorHAnsi" w:eastAsiaTheme="minorEastAsia" w:hAnsiTheme="minorHAnsi" w:cstheme="minorBidi"/>
          <w:b w:val="0"/>
          <w:smallCaps w:val="0"/>
          <w:sz w:val="22"/>
          <w:lang w:val="en-US"/>
        </w:rPr>
      </w:pPr>
      <w:hyperlink w:anchor="_Toc119077908" w:history="1">
        <w:r w:rsidRPr="00B15381">
          <w:rPr>
            <w:rStyle w:val="Hyperlink"/>
            <w:rFonts w:ascii="Times New Roman" w:hAnsi="Times New Roman"/>
          </w:rPr>
          <w:t>3.3.1.1.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_Toc119077908 \h </w:instrText>
        </w:r>
        <w:r>
          <w:rPr>
            <w:webHidden/>
          </w:rPr>
        </w:r>
        <w:r>
          <w:rPr>
            <w:webHidden/>
          </w:rPr>
          <w:fldChar w:fldCharType="separate"/>
        </w:r>
        <w:r>
          <w:rPr>
            <w:webHidden/>
          </w:rPr>
          <w:t>109</w:t>
        </w:r>
        <w:r>
          <w:rPr>
            <w:webHidden/>
          </w:rPr>
          <w:fldChar w:fldCharType="end"/>
        </w:r>
      </w:hyperlink>
    </w:p>
    <w:p w14:paraId="0C514E98" w14:textId="0EE84C5B" w:rsidR="00A75C39" w:rsidRDefault="00A75C39">
      <w:pPr>
        <w:pStyle w:val="TOC2"/>
        <w:rPr>
          <w:rFonts w:asciiTheme="minorHAnsi" w:eastAsiaTheme="minorEastAsia" w:hAnsiTheme="minorHAnsi" w:cstheme="minorBidi"/>
          <w:b w:val="0"/>
          <w:smallCaps w:val="0"/>
          <w:sz w:val="22"/>
          <w:lang w:val="en-US"/>
        </w:rPr>
      </w:pPr>
      <w:hyperlink w:anchor="_Toc119077909" w:history="1">
        <w:r w:rsidRPr="00B15381">
          <w:rPr>
            <w:rStyle w:val="Hyperlink"/>
            <w:rFonts w:ascii="Times New Roman" w:hAnsi="Times New Roman"/>
          </w:rPr>
          <w:t>3.3.1.2.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_Toc119077909 \h </w:instrText>
        </w:r>
        <w:r>
          <w:rPr>
            <w:webHidden/>
          </w:rPr>
        </w:r>
        <w:r>
          <w:rPr>
            <w:webHidden/>
          </w:rPr>
          <w:fldChar w:fldCharType="separate"/>
        </w:r>
        <w:r>
          <w:rPr>
            <w:webHidden/>
          </w:rPr>
          <w:t>110</w:t>
        </w:r>
        <w:r>
          <w:rPr>
            <w:webHidden/>
          </w:rPr>
          <w:fldChar w:fldCharType="end"/>
        </w:r>
      </w:hyperlink>
    </w:p>
    <w:p w14:paraId="2640DA4A" w14:textId="75900F13" w:rsidR="00A75C39" w:rsidRDefault="00A75C39">
      <w:pPr>
        <w:pStyle w:val="TOC2"/>
        <w:rPr>
          <w:rFonts w:asciiTheme="minorHAnsi" w:eastAsiaTheme="minorEastAsia" w:hAnsiTheme="minorHAnsi" w:cstheme="minorBidi"/>
          <w:b w:val="0"/>
          <w:smallCaps w:val="0"/>
          <w:sz w:val="22"/>
          <w:lang w:val="en-US"/>
        </w:rPr>
      </w:pPr>
      <w:hyperlink w:anchor="_Toc119077910" w:history="1">
        <w:r w:rsidRPr="00B15381">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08.04 – Úvěrové riziko a volné dodávky: přístup IRB ke kapitálovým požadavkům (výkazy toků RWEA (CR IRB 4))</w:t>
        </w:r>
        <w:r>
          <w:rPr>
            <w:webHidden/>
          </w:rPr>
          <w:tab/>
        </w:r>
        <w:r>
          <w:rPr>
            <w:webHidden/>
          </w:rPr>
          <w:fldChar w:fldCharType="begin"/>
        </w:r>
        <w:r>
          <w:rPr>
            <w:webHidden/>
          </w:rPr>
          <w:instrText xml:space="preserve"> PAGEREF _Toc119077910 \h </w:instrText>
        </w:r>
        <w:r>
          <w:rPr>
            <w:webHidden/>
          </w:rPr>
        </w:r>
        <w:r>
          <w:rPr>
            <w:webHidden/>
          </w:rPr>
          <w:fldChar w:fldCharType="separate"/>
        </w:r>
        <w:r>
          <w:rPr>
            <w:webHidden/>
          </w:rPr>
          <w:t>112</w:t>
        </w:r>
        <w:r>
          <w:rPr>
            <w:webHidden/>
          </w:rPr>
          <w:fldChar w:fldCharType="end"/>
        </w:r>
      </w:hyperlink>
    </w:p>
    <w:p w14:paraId="2102FDC9" w14:textId="6F05DB16" w:rsidR="00A75C39" w:rsidRDefault="00A75C39">
      <w:pPr>
        <w:pStyle w:val="TOC2"/>
        <w:rPr>
          <w:rFonts w:asciiTheme="minorHAnsi" w:eastAsiaTheme="minorEastAsia" w:hAnsiTheme="minorHAnsi" w:cstheme="minorBidi"/>
          <w:b w:val="0"/>
          <w:smallCaps w:val="0"/>
          <w:sz w:val="22"/>
          <w:lang w:val="en-US"/>
        </w:rPr>
      </w:pPr>
      <w:hyperlink w:anchor="_Toc119077911" w:history="1">
        <w:r w:rsidRPr="00B15381">
          <w:rPr>
            <w:rStyle w:val="Hyperlink"/>
            <w:rFonts w:ascii="Times New Roman" w:hAnsi="Times New Roman"/>
          </w:rPr>
          <w:t>3.3.2.1.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_Toc119077911 \h </w:instrText>
        </w:r>
        <w:r>
          <w:rPr>
            <w:webHidden/>
          </w:rPr>
        </w:r>
        <w:r>
          <w:rPr>
            <w:webHidden/>
          </w:rPr>
          <w:fldChar w:fldCharType="separate"/>
        </w:r>
        <w:r>
          <w:rPr>
            <w:webHidden/>
          </w:rPr>
          <w:t>112</w:t>
        </w:r>
        <w:r>
          <w:rPr>
            <w:webHidden/>
          </w:rPr>
          <w:fldChar w:fldCharType="end"/>
        </w:r>
      </w:hyperlink>
    </w:p>
    <w:p w14:paraId="0ACEC4A4" w14:textId="729D453B" w:rsidR="00A75C39" w:rsidRDefault="00A75C39">
      <w:pPr>
        <w:pStyle w:val="TOC2"/>
        <w:rPr>
          <w:rFonts w:asciiTheme="minorHAnsi" w:eastAsiaTheme="minorEastAsia" w:hAnsiTheme="minorHAnsi" w:cstheme="minorBidi"/>
          <w:b w:val="0"/>
          <w:smallCaps w:val="0"/>
          <w:sz w:val="22"/>
          <w:lang w:val="en-US"/>
        </w:rPr>
      </w:pPr>
      <w:hyperlink w:anchor="_Toc119077912" w:history="1">
        <w:r w:rsidRPr="00B15381">
          <w:rPr>
            <w:rStyle w:val="Hyperlink"/>
            <w:rFonts w:ascii="Times New Roman" w:hAnsi="Times New Roman"/>
          </w:rPr>
          <w:t>3.3.2.2.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_Toc119077912 \h </w:instrText>
        </w:r>
        <w:r>
          <w:rPr>
            <w:webHidden/>
          </w:rPr>
        </w:r>
        <w:r>
          <w:rPr>
            <w:webHidden/>
          </w:rPr>
          <w:fldChar w:fldCharType="separate"/>
        </w:r>
        <w:r>
          <w:rPr>
            <w:webHidden/>
          </w:rPr>
          <w:t>112</w:t>
        </w:r>
        <w:r>
          <w:rPr>
            <w:webHidden/>
          </w:rPr>
          <w:fldChar w:fldCharType="end"/>
        </w:r>
      </w:hyperlink>
    </w:p>
    <w:p w14:paraId="395A7908" w14:textId="5C20CE3B" w:rsidR="00A75C39" w:rsidRDefault="00A75C39">
      <w:pPr>
        <w:pStyle w:val="TOC2"/>
        <w:rPr>
          <w:rFonts w:asciiTheme="minorHAnsi" w:eastAsiaTheme="minorEastAsia" w:hAnsiTheme="minorHAnsi" w:cstheme="minorBidi"/>
          <w:b w:val="0"/>
          <w:smallCaps w:val="0"/>
          <w:sz w:val="22"/>
          <w:lang w:val="en-US"/>
        </w:rPr>
      </w:pPr>
      <w:hyperlink w:anchor="_Toc119077913" w:history="1">
        <w:r w:rsidRPr="00B15381">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08.05 – Úvěrové riziko a volné dodávky: přístup IRB ke kapitálovým požadavkům (zpětné testování PD (CR IRB 5))</w:t>
        </w:r>
        <w:r>
          <w:rPr>
            <w:webHidden/>
          </w:rPr>
          <w:tab/>
        </w:r>
        <w:r>
          <w:rPr>
            <w:webHidden/>
          </w:rPr>
          <w:fldChar w:fldCharType="begin"/>
        </w:r>
        <w:r>
          <w:rPr>
            <w:webHidden/>
          </w:rPr>
          <w:instrText xml:space="preserve"> PAGEREF _Toc119077913 \h </w:instrText>
        </w:r>
        <w:r>
          <w:rPr>
            <w:webHidden/>
          </w:rPr>
        </w:r>
        <w:r>
          <w:rPr>
            <w:webHidden/>
          </w:rPr>
          <w:fldChar w:fldCharType="separate"/>
        </w:r>
        <w:r>
          <w:rPr>
            <w:webHidden/>
          </w:rPr>
          <w:t>114</w:t>
        </w:r>
        <w:r>
          <w:rPr>
            <w:webHidden/>
          </w:rPr>
          <w:fldChar w:fldCharType="end"/>
        </w:r>
      </w:hyperlink>
    </w:p>
    <w:p w14:paraId="5EE1FD3F" w14:textId="362AFAF6" w:rsidR="00A75C39" w:rsidRDefault="00A75C39">
      <w:pPr>
        <w:pStyle w:val="TOC2"/>
        <w:rPr>
          <w:rFonts w:asciiTheme="minorHAnsi" w:eastAsiaTheme="minorEastAsia" w:hAnsiTheme="minorHAnsi" w:cstheme="minorBidi"/>
          <w:b w:val="0"/>
          <w:smallCaps w:val="0"/>
          <w:sz w:val="22"/>
          <w:lang w:val="en-US"/>
        </w:rPr>
      </w:pPr>
      <w:hyperlink w:anchor="_Toc119077914" w:history="1">
        <w:r w:rsidRPr="00B15381">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_Toc119077914 \h </w:instrText>
        </w:r>
        <w:r>
          <w:rPr>
            <w:webHidden/>
          </w:rPr>
        </w:r>
        <w:r>
          <w:rPr>
            <w:webHidden/>
          </w:rPr>
          <w:fldChar w:fldCharType="separate"/>
        </w:r>
        <w:r>
          <w:rPr>
            <w:webHidden/>
          </w:rPr>
          <w:t>114</w:t>
        </w:r>
        <w:r>
          <w:rPr>
            <w:webHidden/>
          </w:rPr>
          <w:fldChar w:fldCharType="end"/>
        </w:r>
      </w:hyperlink>
    </w:p>
    <w:p w14:paraId="1EBD55D2" w14:textId="1B788591" w:rsidR="00A75C39" w:rsidRDefault="00A75C39">
      <w:pPr>
        <w:pStyle w:val="TOC2"/>
        <w:rPr>
          <w:rFonts w:asciiTheme="minorHAnsi" w:eastAsiaTheme="minorEastAsia" w:hAnsiTheme="minorHAnsi" w:cstheme="minorBidi"/>
          <w:b w:val="0"/>
          <w:smallCaps w:val="0"/>
          <w:sz w:val="22"/>
          <w:lang w:val="en-US"/>
        </w:rPr>
      </w:pPr>
      <w:hyperlink w:anchor="_Toc119077915" w:history="1">
        <w:r w:rsidRPr="00B15381">
          <w:rPr>
            <w:rStyle w:val="Hyperlink"/>
            <w:rFonts w:ascii="Times New Roman" w:hAnsi="Times New Roman"/>
          </w:rPr>
          <w:t>3.3.3.2.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_Toc119077915 \h </w:instrText>
        </w:r>
        <w:r>
          <w:rPr>
            <w:webHidden/>
          </w:rPr>
        </w:r>
        <w:r>
          <w:rPr>
            <w:webHidden/>
          </w:rPr>
          <w:fldChar w:fldCharType="separate"/>
        </w:r>
        <w:r>
          <w:rPr>
            <w:webHidden/>
          </w:rPr>
          <w:t>114</w:t>
        </w:r>
        <w:r>
          <w:rPr>
            <w:webHidden/>
          </w:rPr>
          <w:fldChar w:fldCharType="end"/>
        </w:r>
      </w:hyperlink>
    </w:p>
    <w:p w14:paraId="60921D66" w14:textId="1B954760" w:rsidR="00A75C39" w:rsidRDefault="00A75C39">
      <w:pPr>
        <w:pStyle w:val="TOC2"/>
        <w:rPr>
          <w:rFonts w:asciiTheme="minorHAnsi" w:eastAsiaTheme="minorEastAsia" w:hAnsiTheme="minorHAnsi" w:cstheme="minorBidi"/>
          <w:b w:val="0"/>
          <w:smallCaps w:val="0"/>
          <w:sz w:val="22"/>
          <w:lang w:val="en-US"/>
        </w:rPr>
      </w:pPr>
      <w:hyperlink w:anchor="_Toc119077916" w:history="1">
        <w:r w:rsidRPr="00B15381">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08.05.1 – Úvěrové riziko a volné dodávky: Přístup ke kapitálovým požadavkům založený na interním ratingu (IRB): Zpětné testování PD podle čl. 180 odst. 1 písm. f) nařízení (EU) č. 575/2013 (CR IRB 5B)</w:t>
        </w:r>
        <w:r>
          <w:rPr>
            <w:webHidden/>
          </w:rPr>
          <w:tab/>
        </w:r>
        <w:r>
          <w:rPr>
            <w:webHidden/>
          </w:rPr>
          <w:fldChar w:fldCharType="begin"/>
        </w:r>
        <w:r>
          <w:rPr>
            <w:webHidden/>
          </w:rPr>
          <w:instrText xml:space="preserve"> PAGEREF _Toc119077916 \h </w:instrText>
        </w:r>
        <w:r>
          <w:rPr>
            <w:webHidden/>
          </w:rPr>
        </w:r>
        <w:r>
          <w:rPr>
            <w:webHidden/>
          </w:rPr>
          <w:fldChar w:fldCharType="separate"/>
        </w:r>
        <w:r>
          <w:rPr>
            <w:webHidden/>
          </w:rPr>
          <w:t>116</w:t>
        </w:r>
        <w:r>
          <w:rPr>
            <w:webHidden/>
          </w:rPr>
          <w:fldChar w:fldCharType="end"/>
        </w:r>
      </w:hyperlink>
    </w:p>
    <w:p w14:paraId="607EB02A" w14:textId="13EAA411" w:rsidR="00A75C39" w:rsidRDefault="00A75C39">
      <w:pPr>
        <w:pStyle w:val="TOC2"/>
        <w:rPr>
          <w:rFonts w:asciiTheme="minorHAnsi" w:eastAsiaTheme="minorEastAsia" w:hAnsiTheme="minorHAnsi" w:cstheme="minorBidi"/>
          <w:b w:val="0"/>
          <w:smallCaps w:val="0"/>
          <w:sz w:val="22"/>
          <w:lang w:val="en-US"/>
        </w:rPr>
      </w:pPr>
      <w:hyperlink w:anchor="_Toc119077917" w:history="1">
        <w:r w:rsidRPr="00B15381">
          <w:rPr>
            <w:rStyle w:val="Hyperlink"/>
            <w:rFonts w:ascii="Times New Roman" w:hAnsi="Times New Roman"/>
          </w:rPr>
          <w:t>3.3.4.1.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_Toc119077917 \h </w:instrText>
        </w:r>
        <w:r>
          <w:rPr>
            <w:webHidden/>
          </w:rPr>
        </w:r>
        <w:r>
          <w:rPr>
            <w:webHidden/>
          </w:rPr>
          <w:fldChar w:fldCharType="separate"/>
        </w:r>
        <w:r>
          <w:rPr>
            <w:webHidden/>
          </w:rPr>
          <w:t>116</w:t>
        </w:r>
        <w:r>
          <w:rPr>
            <w:webHidden/>
          </w:rPr>
          <w:fldChar w:fldCharType="end"/>
        </w:r>
      </w:hyperlink>
    </w:p>
    <w:p w14:paraId="77391A7D" w14:textId="46296000" w:rsidR="00A75C39" w:rsidRDefault="00A75C39">
      <w:pPr>
        <w:pStyle w:val="TOC2"/>
        <w:rPr>
          <w:rFonts w:asciiTheme="minorHAnsi" w:eastAsiaTheme="minorEastAsia" w:hAnsiTheme="minorHAnsi" w:cstheme="minorBidi"/>
          <w:b w:val="0"/>
          <w:smallCaps w:val="0"/>
          <w:sz w:val="22"/>
          <w:lang w:val="en-US"/>
        </w:rPr>
      </w:pPr>
      <w:hyperlink w:anchor="_Toc119077918" w:history="1">
        <w:r w:rsidRPr="00B15381">
          <w:rPr>
            <w:rStyle w:val="Hyperlink"/>
            <w:rFonts w:ascii="Times New Roman" w:hAnsi="Times New Roman"/>
          </w:rPr>
          <w:t>3.3.5.</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08.06 – Úvěrové riziko a volné dodávky: přístup IRB ke kapitálovým požadavkům (postup rozřazování pro specializované úvěry (CR IRB 6))</w:t>
        </w:r>
        <w:r>
          <w:rPr>
            <w:webHidden/>
          </w:rPr>
          <w:tab/>
        </w:r>
        <w:r>
          <w:rPr>
            <w:webHidden/>
          </w:rPr>
          <w:fldChar w:fldCharType="begin"/>
        </w:r>
        <w:r>
          <w:rPr>
            <w:webHidden/>
          </w:rPr>
          <w:instrText xml:space="preserve"> PAGEREF _Toc119077918 \h </w:instrText>
        </w:r>
        <w:r>
          <w:rPr>
            <w:webHidden/>
          </w:rPr>
        </w:r>
        <w:r>
          <w:rPr>
            <w:webHidden/>
          </w:rPr>
          <w:fldChar w:fldCharType="separate"/>
        </w:r>
        <w:r>
          <w:rPr>
            <w:webHidden/>
          </w:rPr>
          <w:t>116</w:t>
        </w:r>
        <w:r>
          <w:rPr>
            <w:webHidden/>
          </w:rPr>
          <w:fldChar w:fldCharType="end"/>
        </w:r>
      </w:hyperlink>
    </w:p>
    <w:p w14:paraId="64BA2871" w14:textId="6128E5B3" w:rsidR="00A75C39" w:rsidRDefault="00A75C39">
      <w:pPr>
        <w:pStyle w:val="TOC2"/>
        <w:rPr>
          <w:rFonts w:asciiTheme="minorHAnsi" w:eastAsiaTheme="minorEastAsia" w:hAnsiTheme="minorHAnsi" w:cstheme="minorBidi"/>
          <w:b w:val="0"/>
          <w:smallCaps w:val="0"/>
          <w:sz w:val="22"/>
          <w:lang w:val="en-US"/>
        </w:rPr>
      </w:pPr>
      <w:hyperlink w:anchor="_Toc119077919" w:history="1">
        <w:r w:rsidRPr="00B15381">
          <w:rPr>
            <w:rStyle w:val="Hyperlink"/>
            <w:rFonts w:ascii="Times New Roman" w:hAnsi="Times New Roman"/>
          </w:rPr>
          <w:t>3.3.5.1.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_Toc119077919 \h </w:instrText>
        </w:r>
        <w:r>
          <w:rPr>
            <w:webHidden/>
          </w:rPr>
        </w:r>
        <w:r>
          <w:rPr>
            <w:webHidden/>
          </w:rPr>
          <w:fldChar w:fldCharType="separate"/>
        </w:r>
        <w:r>
          <w:rPr>
            <w:webHidden/>
          </w:rPr>
          <w:t>116</w:t>
        </w:r>
        <w:r>
          <w:rPr>
            <w:webHidden/>
          </w:rPr>
          <w:fldChar w:fldCharType="end"/>
        </w:r>
      </w:hyperlink>
    </w:p>
    <w:p w14:paraId="54AE5AC8" w14:textId="32451AF5" w:rsidR="00A75C39" w:rsidRDefault="00A75C39">
      <w:pPr>
        <w:pStyle w:val="TOC2"/>
        <w:rPr>
          <w:rFonts w:asciiTheme="minorHAnsi" w:eastAsiaTheme="minorEastAsia" w:hAnsiTheme="minorHAnsi" w:cstheme="minorBidi"/>
          <w:b w:val="0"/>
          <w:smallCaps w:val="0"/>
          <w:sz w:val="22"/>
          <w:lang w:val="en-US"/>
        </w:rPr>
      </w:pPr>
      <w:hyperlink w:anchor="_Toc119077920" w:history="1">
        <w:r w:rsidRPr="00B15381">
          <w:rPr>
            <w:rStyle w:val="Hyperlink"/>
            <w:rFonts w:ascii="Times New Roman" w:hAnsi="Times New Roman"/>
          </w:rPr>
          <w:t>3.3.5.2.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_Toc119077920 \h </w:instrText>
        </w:r>
        <w:r>
          <w:rPr>
            <w:webHidden/>
          </w:rPr>
        </w:r>
        <w:r>
          <w:rPr>
            <w:webHidden/>
          </w:rPr>
          <w:fldChar w:fldCharType="separate"/>
        </w:r>
        <w:r>
          <w:rPr>
            <w:webHidden/>
          </w:rPr>
          <w:t>116</w:t>
        </w:r>
        <w:r>
          <w:rPr>
            <w:webHidden/>
          </w:rPr>
          <w:fldChar w:fldCharType="end"/>
        </w:r>
      </w:hyperlink>
    </w:p>
    <w:p w14:paraId="3FDD7B6E" w14:textId="15060F27" w:rsidR="00A75C39" w:rsidRDefault="00A75C39">
      <w:pPr>
        <w:pStyle w:val="TOC2"/>
        <w:rPr>
          <w:rFonts w:asciiTheme="minorHAnsi" w:eastAsiaTheme="minorEastAsia" w:hAnsiTheme="minorHAnsi" w:cstheme="minorBidi"/>
          <w:b w:val="0"/>
          <w:smallCaps w:val="0"/>
          <w:sz w:val="22"/>
          <w:lang w:val="en-US"/>
        </w:rPr>
      </w:pPr>
      <w:hyperlink w:anchor="_Toc119077921" w:history="1">
        <w:r w:rsidRPr="00B15381">
          <w:rPr>
            <w:rStyle w:val="Hyperlink"/>
            <w:rFonts w:ascii="Times New Roman" w:hAnsi="Times New Roman"/>
          </w:rPr>
          <w:t>3.3.6.</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08.07 – Úvěrové riziko a volné dodávky: přístup IRB ke kapitálovým požadavkům (rozsah použití přístupu IRB a standardizovaného přístupu (CR IRB 7))</w:t>
        </w:r>
        <w:r>
          <w:rPr>
            <w:webHidden/>
          </w:rPr>
          <w:tab/>
        </w:r>
        <w:r>
          <w:rPr>
            <w:webHidden/>
          </w:rPr>
          <w:fldChar w:fldCharType="begin"/>
        </w:r>
        <w:r>
          <w:rPr>
            <w:webHidden/>
          </w:rPr>
          <w:instrText xml:space="preserve"> PAGEREF _Toc119077921 \h </w:instrText>
        </w:r>
        <w:r>
          <w:rPr>
            <w:webHidden/>
          </w:rPr>
        </w:r>
        <w:r>
          <w:rPr>
            <w:webHidden/>
          </w:rPr>
          <w:fldChar w:fldCharType="separate"/>
        </w:r>
        <w:r>
          <w:rPr>
            <w:webHidden/>
          </w:rPr>
          <w:t>117</w:t>
        </w:r>
        <w:r>
          <w:rPr>
            <w:webHidden/>
          </w:rPr>
          <w:fldChar w:fldCharType="end"/>
        </w:r>
      </w:hyperlink>
    </w:p>
    <w:p w14:paraId="2ED4FD75" w14:textId="68335D92" w:rsidR="00A75C39" w:rsidRDefault="00A75C39">
      <w:pPr>
        <w:pStyle w:val="TOC2"/>
        <w:rPr>
          <w:rFonts w:asciiTheme="minorHAnsi" w:eastAsiaTheme="minorEastAsia" w:hAnsiTheme="minorHAnsi" w:cstheme="minorBidi"/>
          <w:b w:val="0"/>
          <w:smallCaps w:val="0"/>
          <w:sz w:val="22"/>
          <w:lang w:val="en-US"/>
        </w:rPr>
      </w:pPr>
      <w:hyperlink w:anchor="_Toc119077922" w:history="1">
        <w:r w:rsidRPr="00B15381">
          <w:rPr>
            <w:rStyle w:val="Hyperlink"/>
            <w:rFonts w:ascii="Times New Roman" w:hAnsi="Times New Roman"/>
          </w:rPr>
          <w:t>3.3.6.1.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_Toc119077922 \h </w:instrText>
        </w:r>
        <w:r>
          <w:rPr>
            <w:webHidden/>
          </w:rPr>
        </w:r>
        <w:r>
          <w:rPr>
            <w:webHidden/>
          </w:rPr>
          <w:fldChar w:fldCharType="separate"/>
        </w:r>
        <w:r>
          <w:rPr>
            <w:webHidden/>
          </w:rPr>
          <w:t>117</w:t>
        </w:r>
        <w:r>
          <w:rPr>
            <w:webHidden/>
          </w:rPr>
          <w:fldChar w:fldCharType="end"/>
        </w:r>
      </w:hyperlink>
    </w:p>
    <w:p w14:paraId="3C0C4AD2" w14:textId="1FABD1E6" w:rsidR="00A75C39" w:rsidRDefault="00A75C39">
      <w:pPr>
        <w:pStyle w:val="TOC2"/>
        <w:rPr>
          <w:rFonts w:asciiTheme="minorHAnsi" w:eastAsiaTheme="minorEastAsia" w:hAnsiTheme="minorHAnsi" w:cstheme="minorBidi"/>
          <w:b w:val="0"/>
          <w:smallCaps w:val="0"/>
          <w:sz w:val="22"/>
          <w:lang w:val="en-US"/>
        </w:rPr>
      </w:pPr>
      <w:hyperlink w:anchor="_Toc119077923" w:history="1">
        <w:r w:rsidRPr="00B15381">
          <w:rPr>
            <w:rStyle w:val="Hyperlink"/>
            <w:rFonts w:ascii="Times New Roman" w:hAnsi="Times New Roman"/>
          </w:rPr>
          <w:t>3.3.6.2.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_Toc119077923 \h </w:instrText>
        </w:r>
        <w:r>
          <w:rPr>
            <w:webHidden/>
          </w:rPr>
        </w:r>
        <w:r>
          <w:rPr>
            <w:webHidden/>
          </w:rPr>
          <w:fldChar w:fldCharType="separate"/>
        </w:r>
        <w:r>
          <w:rPr>
            <w:webHidden/>
          </w:rPr>
          <w:t>118</w:t>
        </w:r>
        <w:r>
          <w:rPr>
            <w:webHidden/>
          </w:rPr>
          <w:fldChar w:fldCharType="end"/>
        </w:r>
      </w:hyperlink>
    </w:p>
    <w:p w14:paraId="3E9F218C" w14:textId="182C0A8B" w:rsidR="00A75C39" w:rsidRDefault="00A75C39">
      <w:pPr>
        <w:pStyle w:val="TOC2"/>
        <w:rPr>
          <w:rFonts w:asciiTheme="minorHAnsi" w:eastAsiaTheme="minorEastAsia" w:hAnsiTheme="minorHAnsi" w:cstheme="minorBidi"/>
          <w:b w:val="0"/>
          <w:smallCaps w:val="0"/>
          <w:sz w:val="22"/>
          <w:lang w:val="en-US"/>
        </w:rPr>
      </w:pPr>
      <w:hyperlink w:anchor="_Toc119077924" w:history="1">
        <w:r w:rsidRPr="00B15381">
          <w:rPr>
            <w:rStyle w:val="Hyperlink"/>
            <w:rFonts w:ascii="Times New Roman" w:hAnsi="Times New Roman"/>
          </w:rPr>
          <w:t>3.4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Úvěrové riziko a úvěrové riziko protistrany a volné dodávky: údaje týkající se zeměpisného rozčlenění</w:t>
        </w:r>
        <w:r>
          <w:rPr>
            <w:webHidden/>
          </w:rPr>
          <w:tab/>
        </w:r>
        <w:r>
          <w:rPr>
            <w:webHidden/>
          </w:rPr>
          <w:fldChar w:fldCharType="begin"/>
        </w:r>
        <w:r>
          <w:rPr>
            <w:webHidden/>
          </w:rPr>
          <w:instrText xml:space="preserve"> PAGEREF _Toc119077924 \h </w:instrText>
        </w:r>
        <w:r>
          <w:rPr>
            <w:webHidden/>
          </w:rPr>
        </w:r>
        <w:r>
          <w:rPr>
            <w:webHidden/>
          </w:rPr>
          <w:fldChar w:fldCharType="separate"/>
        </w:r>
        <w:r>
          <w:rPr>
            <w:webHidden/>
          </w:rPr>
          <w:t>119</w:t>
        </w:r>
        <w:r>
          <w:rPr>
            <w:webHidden/>
          </w:rPr>
          <w:fldChar w:fldCharType="end"/>
        </w:r>
      </w:hyperlink>
    </w:p>
    <w:p w14:paraId="79D6C7BB" w14:textId="2DBA50B8" w:rsidR="00A75C39" w:rsidRDefault="00A75C39">
      <w:pPr>
        <w:pStyle w:val="TOC2"/>
        <w:rPr>
          <w:rFonts w:asciiTheme="minorHAnsi" w:eastAsiaTheme="minorEastAsia" w:hAnsiTheme="minorHAnsi" w:cstheme="minorBidi"/>
          <w:b w:val="0"/>
          <w:smallCaps w:val="0"/>
          <w:sz w:val="22"/>
          <w:lang w:val="en-US"/>
        </w:rPr>
      </w:pPr>
      <w:hyperlink w:anchor="_Toc119077925" w:history="1">
        <w:r w:rsidRPr="00B15381">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09.01 – Zeměpisné rozčlenění expozic podle sídla dlužníka: expozice v rámci standardizovaného přístupu (CR GB 1)</w:t>
        </w:r>
        <w:r>
          <w:rPr>
            <w:webHidden/>
          </w:rPr>
          <w:tab/>
        </w:r>
        <w:r>
          <w:rPr>
            <w:webHidden/>
          </w:rPr>
          <w:fldChar w:fldCharType="begin"/>
        </w:r>
        <w:r>
          <w:rPr>
            <w:webHidden/>
          </w:rPr>
          <w:instrText xml:space="preserve"> PAGEREF _Toc119077925 \h </w:instrText>
        </w:r>
        <w:r>
          <w:rPr>
            <w:webHidden/>
          </w:rPr>
        </w:r>
        <w:r>
          <w:rPr>
            <w:webHidden/>
          </w:rPr>
          <w:fldChar w:fldCharType="separate"/>
        </w:r>
        <w:r>
          <w:rPr>
            <w:webHidden/>
          </w:rPr>
          <w:t>119</w:t>
        </w:r>
        <w:r>
          <w:rPr>
            <w:webHidden/>
          </w:rPr>
          <w:fldChar w:fldCharType="end"/>
        </w:r>
      </w:hyperlink>
    </w:p>
    <w:p w14:paraId="3FB942E6" w14:textId="763868E8" w:rsidR="00A75C39" w:rsidRDefault="00A75C39">
      <w:pPr>
        <w:pStyle w:val="TOC2"/>
        <w:rPr>
          <w:rFonts w:asciiTheme="minorHAnsi" w:eastAsiaTheme="minorEastAsia" w:hAnsiTheme="minorHAnsi" w:cstheme="minorBidi"/>
          <w:b w:val="0"/>
          <w:smallCaps w:val="0"/>
          <w:sz w:val="22"/>
          <w:lang w:val="en-US"/>
        </w:rPr>
      </w:pPr>
      <w:hyperlink w:anchor="_Toc119077926" w:history="1">
        <w:r w:rsidRPr="00B15381">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_Toc119077926 \h </w:instrText>
        </w:r>
        <w:r>
          <w:rPr>
            <w:webHidden/>
          </w:rPr>
        </w:r>
        <w:r>
          <w:rPr>
            <w:webHidden/>
          </w:rPr>
          <w:fldChar w:fldCharType="separate"/>
        </w:r>
        <w:r>
          <w:rPr>
            <w:webHidden/>
          </w:rPr>
          <w:t>119</w:t>
        </w:r>
        <w:r>
          <w:rPr>
            <w:webHidden/>
          </w:rPr>
          <w:fldChar w:fldCharType="end"/>
        </w:r>
      </w:hyperlink>
    </w:p>
    <w:p w14:paraId="41485609" w14:textId="5653A8C2" w:rsidR="00A75C39" w:rsidRDefault="00A75C39">
      <w:pPr>
        <w:pStyle w:val="TOC2"/>
        <w:rPr>
          <w:rFonts w:asciiTheme="minorHAnsi" w:eastAsiaTheme="minorEastAsia" w:hAnsiTheme="minorHAnsi" w:cstheme="minorBidi"/>
          <w:b w:val="0"/>
          <w:smallCaps w:val="0"/>
          <w:sz w:val="22"/>
          <w:lang w:val="en-US"/>
        </w:rPr>
      </w:pPr>
      <w:hyperlink w:anchor="_Toc119077927" w:history="1">
        <w:r w:rsidRPr="00B15381">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09.02 – Zeměpisné rozčlenění expozic podle sídla dlužníka: expozice v rámci přístupu IRB</w:t>
        </w:r>
        <w:r w:rsidRPr="00B15381">
          <w:rPr>
            <w:rStyle w:val="Hyperlink"/>
          </w:rPr>
          <w:t xml:space="preserve"> </w:t>
        </w:r>
        <w:r w:rsidRPr="00B15381">
          <w:rPr>
            <w:rStyle w:val="Hyperlink"/>
            <w:rFonts w:ascii="Times New Roman" w:hAnsi="Times New Roman"/>
          </w:rPr>
          <w:t>(CR GB 2)</w:t>
        </w:r>
        <w:r>
          <w:rPr>
            <w:webHidden/>
          </w:rPr>
          <w:tab/>
        </w:r>
        <w:r>
          <w:rPr>
            <w:webHidden/>
          </w:rPr>
          <w:fldChar w:fldCharType="begin"/>
        </w:r>
        <w:r>
          <w:rPr>
            <w:webHidden/>
          </w:rPr>
          <w:instrText xml:space="preserve"> PAGEREF _Toc119077927 \h </w:instrText>
        </w:r>
        <w:r>
          <w:rPr>
            <w:webHidden/>
          </w:rPr>
        </w:r>
        <w:r>
          <w:rPr>
            <w:webHidden/>
          </w:rPr>
          <w:fldChar w:fldCharType="separate"/>
        </w:r>
        <w:r>
          <w:rPr>
            <w:webHidden/>
          </w:rPr>
          <w:t>123</w:t>
        </w:r>
        <w:r>
          <w:rPr>
            <w:webHidden/>
          </w:rPr>
          <w:fldChar w:fldCharType="end"/>
        </w:r>
      </w:hyperlink>
    </w:p>
    <w:p w14:paraId="0F196101" w14:textId="4B50FF17" w:rsidR="00A75C39" w:rsidRDefault="00A75C39">
      <w:pPr>
        <w:pStyle w:val="TOC2"/>
        <w:rPr>
          <w:rFonts w:asciiTheme="minorHAnsi" w:eastAsiaTheme="minorEastAsia" w:hAnsiTheme="minorHAnsi" w:cstheme="minorBidi"/>
          <w:b w:val="0"/>
          <w:smallCaps w:val="0"/>
          <w:sz w:val="22"/>
          <w:lang w:val="en-US"/>
        </w:rPr>
      </w:pPr>
      <w:hyperlink w:anchor="_Toc119077928" w:history="1">
        <w:r w:rsidRPr="00B15381">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_Toc119077928 \h </w:instrText>
        </w:r>
        <w:r>
          <w:rPr>
            <w:webHidden/>
          </w:rPr>
        </w:r>
        <w:r>
          <w:rPr>
            <w:webHidden/>
          </w:rPr>
          <w:fldChar w:fldCharType="separate"/>
        </w:r>
        <w:r>
          <w:rPr>
            <w:webHidden/>
          </w:rPr>
          <w:t>123</w:t>
        </w:r>
        <w:r>
          <w:rPr>
            <w:webHidden/>
          </w:rPr>
          <w:fldChar w:fldCharType="end"/>
        </w:r>
      </w:hyperlink>
    </w:p>
    <w:p w14:paraId="5BAB0CA6" w14:textId="1A4D4FF6" w:rsidR="00A75C39" w:rsidRDefault="00A75C39">
      <w:pPr>
        <w:pStyle w:val="TOC2"/>
        <w:rPr>
          <w:rFonts w:asciiTheme="minorHAnsi" w:eastAsiaTheme="minorEastAsia" w:hAnsiTheme="minorHAnsi" w:cstheme="minorBidi"/>
          <w:b w:val="0"/>
          <w:smallCaps w:val="0"/>
          <w:sz w:val="22"/>
          <w:lang w:val="en-US"/>
        </w:rPr>
      </w:pPr>
      <w:hyperlink w:anchor="_Toc119077929" w:history="1">
        <w:r w:rsidRPr="00B15381">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09.04 – Rozčlenění úvěrových expozic relevantních pro výpočet proticyklické kapitálové rezervy podle zemí a sazby proticyklické rezervy specifické pro danou instituci</w:t>
        </w:r>
        <w:r w:rsidRPr="00B15381">
          <w:rPr>
            <w:rStyle w:val="Hyperlink"/>
          </w:rPr>
          <w:t xml:space="preserve"> </w:t>
        </w:r>
        <w:r w:rsidRPr="00B15381">
          <w:rPr>
            <w:rStyle w:val="Hyperlink"/>
            <w:rFonts w:ascii="Times New Roman" w:hAnsi="Times New Roman"/>
          </w:rPr>
          <w:t>(CCB)</w:t>
        </w:r>
        <w:r>
          <w:rPr>
            <w:webHidden/>
          </w:rPr>
          <w:tab/>
        </w:r>
        <w:r>
          <w:rPr>
            <w:webHidden/>
          </w:rPr>
          <w:fldChar w:fldCharType="begin"/>
        </w:r>
        <w:r>
          <w:rPr>
            <w:webHidden/>
          </w:rPr>
          <w:instrText xml:space="preserve"> PAGEREF _Toc119077929 \h </w:instrText>
        </w:r>
        <w:r>
          <w:rPr>
            <w:webHidden/>
          </w:rPr>
        </w:r>
        <w:r>
          <w:rPr>
            <w:webHidden/>
          </w:rPr>
          <w:fldChar w:fldCharType="separate"/>
        </w:r>
        <w:r>
          <w:rPr>
            <w:webHidden/>
          </w:rPr>
          <w:t>126</w:t>
        </w:r>
        <w:r>
          <w:rPr>
            <w:webHidden/>
          </w:rPr>
          <w:fldChar w:fldCharType="end"/>
        </w:r>
      </w:hyperlink>
    </w:p>
    <w:p w14:paraId="4C11195D" w14:textId="0730D3DE" w:rsidR="00A75C39" w:rsidRDefault="00A75C39">
      <w:pPr>
        <w:pStyle w:val="TOC2"/>
        <w:rPr>
          <w:rFonts w:asciiTheme="minorHAnsi" w:eastAsiaTheme="minorEastAsia" w:hAnsiTheme="minorHAnsi" w:cstheme="minorBidi"/>
          <w:b w:val="0"/>
          <w:smallCaps w:val="0"/>
          <w:sz w:val="22"/>
          <w:lang w:val="en-US"/>
        </w:rPr>
      </w:pPr>
      <w:hyperlink w:anchor="_Toc119077930" w:history="1">
        <w:r w:rsidRPr="00B15381">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_Toc119077930 \h </w:instrText>
        </w:r>
        <w:r>
          <w:rPr>
            <w:webHidden/>
          </w:rPr>
        </w:r>
        <w:r>
          <w:rPr>
            <w:webHidden/>
          </w:rPr>
          <w:fldChar w:fldCharType="separate"/>
        </w:r>
        <w:r>
          <w:rPr>
            <w:webHidden/>
          </w:rPr>
          <w:t>126</w:t>
        </w:r>
        <w:r>
          <w:rPr>
            <w:webHidden/>
          </w:rPr>
          <w:fldChar w:fldCharType="end"/>
        </w:r>
      </w:hyperlink>
    </w:p>
    <w:p w14:paraId="4706F58D" w14:textId="2EEB382F" w:rsidR="00A75C39" w:rsidRDefault="00A75C39">
      <w:pPr>
        <w:pStyle w:val="TOC2"/>
        <w:rPr>
          <w:rFonts w:asciiTheme="minorHAnsi" w:eastAsiaTheme="minorEastAsia" w:hAnsiTheme="minorHAnsi" w:cstheme="minorBidi"/>
          <w:b w:val="0"/>
          <w:smallCaps w:val="0"/>
          <w:sz w:val="22"/>
          <w:lang w:val="en-US"/>
        </w:rPr>
      </w:pPr>
      <w:hyperlink w:anchor="_Toc119077931" w:history="1">
        <w:r w:rsidRPr="00B15381">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_Toc119077931 \h </w:instrText>
        </w:r>
        <w:r>
          <w:rPr>
            <w:webHidden/>
          </w:rPr>
        </w:r>
        <w:r>
          <w:rPr>
            <w:webHidden/>
          </w:rPr>
          <w:fldChar w:fldCharType="separate"/>
        </w:r>
        <w:r>
          <w:rPr>
            <w:webHidden/>
          </w:rPr>
          <w:t>126</w:t>
        </w:r>
        <w:r>
          <w:rPr>
            <w:webHidden/>
          </w:rPr>
          <w:fldChar w:fldCharType="end"/>
        </w:r>
      </w:hyperlink>
    </w:p>
    <w:p w14:paraId="71070A38" w14:textId="20A2A129" w:rsidR="00A75C39" w:rsidRDefault="00A75C39">
      <w:pPr>
        <w:pStyle w:val="TOC2"/>
        <w:rPr>
          <w:rFonts w:asciiTheme="minorHAnsi" w:eastAsiaTheme="minorEastAsia" w:hAnsiTheme="minorHAnsi" w:cstheme="minorBidi"/>
          <w:b w:val="0"/>
          <w:smallCaps w:val="0"/>
          <w:sz w:val="22"/>
          <w:lang w:val="en-US"/>
        </w:rPr>
      </w:pPr>
      <w:hyperlink w:anchor="_Toc119077932" w:history="1">
        <w:r w:rsidRPr="00B15381">
          <w:rPr>
            <w:rStyle w:val="Hyperlink"/>
            <w:rFonts w:ascii="Times New Roman" w:hAnsi="Times New Roman"/>
          </w:rPr>
          <w:t>3.5.</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10.01 a C 10.02 – Akciové expozice v rámci přístupu založeného na interním ratingu (CR EQU IRB 1 a CR EQU IRB 2)</w:t>
        </w:r>
        <w:r>
          <w:rPr>
            <w:webHidden/>
          </w:rPr>
          <w:tab/>
        </w:r>
        <w:r>
          <w:rPr>
            <w:webHidden/>
          </w:rPr>
          <w:fldChar w:fldCharType="begin"/>
        </w:r>
        <w:r>
          <w:rPr>
            <w:webHidden/>
          </w:rPr>
          <w:instrText xml:space="preserve"> PAGEREF _Toc119077932 \h </w:instrText>
        </w:r>
        <w:r>
          <w:rPr>
            <w:webHidden/>
          </w:rPr>
        </w:r>
        <w:r>
          <w:rPr>
            <w:webHidden/>
          </w:rPr>
          <w:fldChar w:fldCharType="separate"/>
        </w:r>
        <w:r>
          <w:rPr>
            <w:webHidden/>
          </w:rPr>
          <w:t>130</w:t>
        </w:r>
        <w:r>
          <w:rPr>
            <w:webHidden/>
          </w:rPr>
          <w:fldChar w:fldCharType="end"/>
        </w:r>
      </w:hyperlink>
    </w:p>
    <w:p w14:paraId="36200B0B" w14:textId="5BCE53AB" w:rsidR="00A75C39" w:rsidRDefault="00A75C39">
      <w:pPr>
        <w:pStyle w:val="TOC2"/>
        <w:rPr>
          <w:rFonts w:asciiTheme="minorHAnsi" w:eastAsiaTheme="minorEastAsia" w:hAnsiTheme="minorHAnsi" w:cstheme="minorBidi"/>
          <w:b w:val="0"/>
          <w:smallCaps w:val="0"/>
          <w:sz w:val="22"/>
          <w:lang w:val="en-US"/>
        </w:rPr>
      </w:pPr>
      <w:hyperlink w:anchor="_Toc119077933" w:history="1">
        <w:r w:rsidRPr="00B15381">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_Toc119077933 \h </w:instrText>
        </w:r>
        <w:r>
          <w:rPr>
            <w:webHidden/>
          </w:rPr>
        </w:r>
        <w:r>
          <w:rPr>
            <w:webHidden/>
          </w:rPr>
          <w:fldChar w:fldCharType="separate"/>
        </w:r>
        <w:r>
          <w:rPr>
            <w:webHidden/>
          </w:rPr>
          <w:t>130</w:t>
        </w:r>
        <w:r>
          <w:rPr>
            <w:webHidden/>
          </w:rPr>
          <w:fldChar w:fldCharType="end"/>
        </w:r>
      </w:hyperlink>
    </w:p>
    <w:p w14:paraId="065472DA" w14:textId="2BF220F1" w:rsidR="00A75C39" w:rsidRDefault="00A75C39">
      <w:pPr>
        <w:pStyle w:val="TOC2"/>
        <w:rPr>
          <w:rFonts w:asciiTheme="minorHAnsi" w:eastAsiaTheme="minorEastAsia" w:hAnsiTheme="minorHAnsi" w:cstheme="minorBidi"/>
          <w:b w:val="0"/>
          <w:smallCaps w:val="0"/>
          <w:sz w:val="22"/>
          <w:lang w:val="en-US"/>
        </w:rPr>
      </w:pPr>
      <w:hyperlink w:anchor="_Toc119077934" w:history="1">
        <w:r w:rsidRPr="00B15381">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týkající se specifických pozic</w:t>
        </w:r>
        <w:r w:rsidRPr="00B15381">
          <w:rPr>
            <w:rStyle w:val="Hyperlink"/>
          </w:rPr>
          <w:t xml:space="preserve"> </w:t>
        </w:r>
        <w:r w:rsidRPr="00B15381">
          <w:rPr>
            <w:rStyle w:val="Hyperlink"/>
            <w:rFonts w:ascii="Times New Roman" w:hAnsi="Times New Roman"/>
          </w:rPr>
          <w:t>(vztahující se k šabloně CR EQU IRB1 i CR EQU IRB 2)</w:t>
        </w:r>
        <w:r>
          <w:rPr>
            <w:webHidden/>
          </w:rPr>
          <w:tab/>
        </w:r>
        <w:r>
          <w:rPr>
            <w:webHidden/>
          </w:rPr>
          <w:fldChar w:fldCharType="begin"/>
        </w:r>
        <w:r>
          <w:rPr>
            <w:webHidden/>
          </w:rPr>
          <w:instrText xml:space="preserve"> PAGEREF _Toc119077934 \h </w:instrText>
        </w:r>
        <w:r>
          <w:rPr>
            <w:webHidden/>
          </w:rPr>
        </w:r>
        <w:r>
          <w:rPr>
            <w:webHidden/>
          </w:rPr>
          <w:fldChar w:fldCharType="separate"/>
        </w:r>
        <w:r>
          <w:rPr>
            <w:webHidden/>
          </w:rPr>
          <w:t>132</w:t>
        </w:r>
        <w:r>
          <w:rPr>
            <w:webHidden/>
          </w:rPr>
          <w:fldChar w:fldCharType="end"/>
        </w:r>
      </w:hyperlink>
    </w:p>
    <w:p w14:paraId="70C6BE1A" w14:textId="13288278" w:rsidR="00A75C39" w:rsidRDefault="00A75C39">
      <w:pPr>
        <w:pStyle w:val="TOC2"/>
        <w:rPr>
          <w:rFonts w:asciiTheme="minorHAnsi" w:eastAsiaTheme="minorEastAsia" w:hAnsiTheme="minorHAnsi" w:cstheme="minorBidi"/>
          <w:b w:val="0"/>
          <w:smallCaps w:val="0"/>
          <w:sz w:val="22"/>
          <w:lang w:val="en-US"/>
        </w:rPr>
      </w:pPr>
      <w:hyperlink w:anchor="_Toc119077935" w:history="1">
        <w:r w:rsidRPr="00B15381">
          <w:rPr>
            <w:rStyle w:val="Hyperlink"/>
            <w:rFonts w:ascii="Times New Roman" w:hAnsi="Times New Roman"/>
          </w:rPr>
          <w:t>3.6.</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11.00 – Vypořádací riziko / riziko dodání</w:t>
        </w:r>
        <w:r w:rsidRPr="00B15381">
          <w:rPr>
            <w:rStyle w:val="Hyperlink"/>
          </w:rPr>
          <w:t xml:space="preserve"> </w:t>
        </w:r>
        <w:r w:rsidRPr="00B15381">
          <w:rPr>
            <w:rStyle w:val="Hyperlink"/>
            <w:rFonts w:ascii="Times New Roman" w:hAnsi="Times New Roman"/>
          </w:rPr>
          <w:t>(CR SETT)</w:t>
        </w:r>
        <w:r>
          <w:rPr>
            <w:webHidden/>
          </w:rPr>
          <w:tab/>
        </w:r>
        <w:r>
          <w:rPr>
            <w:webHidden/>
          </w:rPr>
          <w:fldChar w:fldCharType="begin"/>
        </w:r>
        <w:r>
          <w:rPr>
            <w:webHidden/>
          </w:rPr>
          <w:instrText xml:space="preserve"> PAGEREF _Toc119077935 \h </w:instrText>
        </w:r>
        <w:r>
          <w:rPr>
            <w:webHidden/>
          </w:rPr>
        </w:r>
        <w:r>
          <w:rPr>
            <w:webHidden/>
          </w:rPr>
          <w:fldChar w:fldCharType="separate"/>
        </w:r>
        <w:r>
          <w:rPr>
            <w:webHidden/>
          </w:rPr>
          <w:t>136</w:t>
        </w:r>
        <w:r>
          <w:rPr>
            <w:webHidden/>
          </w:rPr>
          <w:fldChar w:fldCharType="end"/>
        </w:r>
      </w:hyperlink>
    </w:p>
    <w:p w14:paraId="1377F265" w14:textId="4BD83B9B" w:rsidR="00A75C39" w:rsidRDefault="00A75C39">
      <w:pPr>
        <w:pStyle w:val="TOC2"/>
        <w:rPr>
          <w:rFonts w:asciiTheme="minorHAnsi" w:eastAsiaTheme="minorEastAsia" w:hAnsiTheme="minorHAnsi" w:cstheme="minorBidi"/>
          <w:b w:val="0"/>
          <w:smallCaps w:val="0"/>
          <w:sz w:val="22"/>
          <w:lang w:val="en-US"/>
        </w:rPr>
      </w:pPr>
      <w:hyperlink w:anchor="_Toc119077936" w:history="1">
        <w:r w:rsidRPr="00B15381">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_Toc119077936 \h </w:instrText>
        </w:r>
        <w:r>
          <w:rPr>
            <w:webHidden/>
          </w:rPr>
        </w:r>
        <w:r>
          <w:rPr>
            <w:webHidden/>
          </w:rPr>
          <w:fldChar w:fldCharType="separate"/>
        </w:r>
        <w:r>
          <w:rPr>
            <w:webHidden/>
          </w:rPr>
          <w:t>136</w:t>
        </w:r>
        <w:r>
          <w:rPr>
            <w:webHidden/>
          </w:rPr>
          <w:fldChar w:fldCharType="end"/>
        </w:r>
      </w:hyperlink>
    </w:p>
    <w:p w14:paraId="7B9AC569" w14:textId="7E7291CC" w:rsidR="00A75C39" w:rsidRDefault="00A75C39">
      <w:pPr>
        <w:pStyle w:val="TOC2"/>
        <w:rPr>
          <w:rFonts w:asciiTheme="minorHAnsi" w:eastAsiaTheme="minorEastAsia" w:hAnsiTheme="minorHAnsi" w:cstheme="minorBidi"/>
          <w:b w:val="0"/>
          <w:smallCaps w:val="0"/>
          <w:sz w:val="22"/>
          <w:lang w:val="en-US"/>
        </w:rPr>
      </w:pPr>
      <w:hyperlink w:anchor="_Toc119077937" w:history="1">
        <w:r w:rsidRPr="00B15381">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_Toc119077937 \h </w:instrText>
        </w:r>
        <w:r>
          <w:rPr>
            <w:webHidden/>
          </w:rPr>
        </w:r>
        <w:r>
          <w:rPr>
            <w:webHidden/>
          </w:rPr>
          <w:fldChar w:fldCharType="separate"/>
        </w:r>
        <w:r>
          <w:rPr>
            <w:webHidden/>
          </w:rPr>
          <w:t>136</w:t>
        </w:r>
        <w:r>
          <w:rPr>
            <w:webHidden/>
          </w:rPr>
          <w:fldChar w:fldCharType="end"/>
        </w:r>
      </w:hyperlink>
    </w:p>
    <w:p w14:paraId="7B943A3D" w14:textId="63F6DC45" w:rsidR="00A75C39" w:rsidRDefault="00A75C39">
      <w:pPr>
        <w:pStyle w:val="TOC2"/>
        <w:rPr>
          <w:rFonts w:asciiTheme="minorHAnsi" w:eastAsiaTheme="minorEastAsia" w:hAnsiTheme="minorHAnsi" w:cstheme="minorBidi"/>
          <w:b w:val="0"/>
          <w:smallCaps w:val="0"/>
          <w:sz w:val="22"/>
          <w:lang w:val="en-US"/>
        </w:rPr>
      </w:pPr>
      <w:hyperlink w:anchor="_Toc119077938" w:history="1">
        <w:r w:rsidRPr="00B15381">
          <w:rPr>
            <w:rStyle w:val="Hyperlink"/>
            <w:rFonts w:ascii="Times New Roman" w:hAnsi="Times New Roman"/>
          </w:rPr>
          <w:t>3.7.</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13.01 – Úvěrové riziko – sekuritizace (CR SEC)</w:t>
        </w:r>
        <w:r>
          <w:rPr>
            <w:webHidden/>
          </w:rPr>
          <w:tab/>
        </w:r>
        <w:r>
          <w:rPr>
            <w:webHidden/>
          </w:rPr>
          <w:fldChar w:fldCharType="begin"/>
        </w:r>
        <w:r>
          <w:rPr>
            <w:webHidden/>
          </w:rPr>
          <w:instrText xml:space="preserve"> PAGEREF _Toc119077938 \h </w:instrText>
        </w:r>
        <w:r>
          <w:rPr>
            <w:webHidden/>
          </w:rPr>
        </w:r>
        <w:r>
          <w:rPr>
            <w:webHidden/>
          </w:rPr>
          <w:fldChar w:fldCharType="separate"/>
        </w:r>
        <w:r>
          <w:rPr>
            <w:webHidden/>
          </w:rPr>
          <w:t>139</w:t>
        </w:r>
        <w:r>
          <w:rPr>
            <w:webHidden/>
          </w:rPr>
          <w:fldChar w:fldCharType="end"/>
        </w:r>
      </w:hyperlink>
    </w:p>
    <w:p w14:paraId="008B21FC" w14:textId="25587572" w:rsidR="00A75C39" w:rsidRDefault="00A75C39">
      <w:pPr>
        <w:pStyle w:val="TOC2"/>
        <w:rPr>
          <w:rFonts w:asciiTheme="minorHAnsi" w:eastAsiaTheme="minorEastAsia" w:hAnsiTheme="minorHAnsi" w:cstheme="minorBidi"/>
          <w:b w:val="0"/>
          <w:smallCaps w:val="0"/>
          <w:sz w:val="22"/>
          <w:lang w:val="en-US"/>
        </w:rPr>
      </w:pPr>
      <w:hyperlink w:anchor="_Toc119077939" w:history="1">
        <w:r w:rsidRPr="00B15381">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_Toc119077939 \h </w:instrText>
        </w:r>
        <w:r>
          <w:rPr>
            <w:webHidden/>
          </w:rPr>
        </w:r>
        <w:r>
          <w:rPr>
            <w:webHidden/>
          </w:rPr>
          <w:fldChar w:fldCharType="separate"/>
        </w:r>
        <w:r>
          <w:rPr>
            <w:webHidden/>
          </w:rPr>
          <w:t>139</w:t>
        </w:r>
        <w:r>
          <w:rPr>
            <w:webHidden/>
          </w:rPr>
          <w:fldChar w:fldCharType="end"/>
        </w:r>
      </w:hyperlink>
    </w:p>
    <w:p w14:paraId="74A382B5" w14:textId="6A00D43C" w:rsidR="00A75C39" w:rsidRDefault="00A75C39">
      <w:pPr>
        <w:pStyle w:val="TOC2"/>
        <w:rPr>
          <w:rFonts w:asciiTheme="minorHAnsi" w:eastAsiaTheme="minorEastAsia" w:hAnsiTheme="minorHAnsi" w:cstheme="minorBidi"/>
          <w:b w:val="0"/>
          <w:smallCaps w:val="0"/>
          <w:sz w:val="22"/>
          <w:lang w:val="en-US"/>
        </w:rPr>
      </w:pPr>
      <w:hyperlink w:anchor="_Toc119077940" w:history="1">
        <w:r w:rsidRPr="00B15381">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_Toc119077940 \h </w:instrText>
        </w:r>
        <w:r>
          <w:rPr>
            <w:webHidden/>
          </w:rPr>
        </w:r>
        <w:r>
          <w:rPr>
            <w:webHidden/>
          </w:rPr>
          <w:fldChar w:fldCharType="separate"/>
        </w:r>
        <w:r>
          <w:rPr>
            <w:webHidden/>
          </w:rPr>
          <w:t>139</w:t>
        </w:r>
        <w:r>
          <w:rPr>
            <w:webHidden/>
          </w:rPr>
          <w:fldChar w:fldCharType="end"/>
        </w:r>
      </w:hyperlink>
    </w:p>
    <w:p w14:paraId="3FDA4281" w14:textId="56A00BE1" w:rsidR="00A75C39" w:rsidRDefault="00A75C39">
      <w:pPr>
        <w:pStyle w:val="TOC2"/>
        <w:rPr>
          <w:rFonts w:asciiTheme="minorHAnsi" w:eastAsiaTheme="minorEastAsia" w:hAnsiTheme="minorHAnsi" w:cstheme="minorBidi"/>
          <w:b w:val="0"/>
          <w:smallCaps w:val="0"/>
          <w:sz w:val="22"/>
          <w:lang w:val="en-US"/>
        </w:rPr>
      </w:pPr>
      <w:hyperlink w:anchor="_Toc119077941" w:history="1">
        <w:r w:rsidRPr="00B15381">
          <w:rPr>
            <w:rStyle w:val="Hyperlink"/>
            <w:rFonts w:ascii="Times New Roman" w:hAnsi="Times New Roman"/>
          </w:rPr>
          <w:t>3.8.</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Podrobné údaje o sekuritizacích</w:t>
        </w:r>
        <w:r w:rsidRPr="00B15381">
          <w:rPr>
            <w:rStyle w:val="Hyperlink"/>
          </w:rPr>
          <w:t xml:space="preserve"> </w:t>
        </w:r>
        <w:r w:rsidRPr="00B15381">
          <w:rPr>
            <w:rStyle w:val="Hyperlink"/>
            <w:rFonts w:ascii="Times New Roman" w:hAnsi="Times New Roman"/>
          </w:rPr>
          <w:t>(SEC DETAILS)</w:t>
        </w:r>
        <w:r>
          <w:rPr>
            <w:webHidden/>
          </w:rPr>
          <w:tab/>
        </w:r>
        <w:r>
          <w:rPr>
            <w:webHidden/>
          </w:rPr>
          <w:fldChar w:fldCharType="begin"/>
        </w:r>
        <w:r>
          <w:rPr>
            <w:webHidden/>
          </w:rPr>
          <w:instrText xml:space="preserve"> PAGEREF _Toc119077941 \h </w:instrText>
        </w:r>
        <w:r>
          <w:rPr>
            <w:webHidden/>
          </w:rPr>
        </w:r>
        <w:r>
          <w:rPr>
            <w:webHidden/>
          </w:rPr>
          <w:fldChar w:fldCharType="separate"/>
        </w:r>
        <w:r>
          <w:rPr>
            <w:webHidden/>
          </w:rPr>
          <w:t>152</w:t>
        </w:r>
        <w:r>
          <w:rPr>
            <w:webHidden/>
          </w:rPr>
          <w:fldChar w:fldCharType="end"/>
        </w:r>
      </w:hyperlink>
    </w:p>
    <w:p w14:paraId="333631B2" w14:textId="69C71D97" w:rsidR="00A75C39" w:rsidRDefault="00A75C39">
      <w:pPr>
        <w:pStyle w:val="TOC2"/>
        <w:rPr>
          <w:rFonts w:asciiTheme="minorHAnsi" w:eastAsiaTheme="minorEastAsia" w:hAnsiTheme="minorHAnsi" w:cstheme="minorBidi"/>
          <w:b w:val="0"/>
          <w:smallCaps w:val="0"/>
          <w:sz w:val="22"/>
          <w:lang w:val="en-US"/>
        </w:rPr>
      </w:pPr>
      <w:hyperlink w:anchor="_Toc119077942" w:history="1">
        <w:r w:rsidRPr="00B15381">
          <w:rPr>
            <w:rStyle w:val="Hyperlink"/>
            <w:rFonts w:ascii="Times New Roman" w:hAnsi="Times New Roman"/>
          </w:rPr>
          <w:t>3.8.1.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Oblast působnosti šablony SEC DETAILS</w:t>
        </w:r>
        <w:r>
          <w:rPr>
            <w:webHidden/>
          </w:rPr>
          <w:tab/>
        </w:r>
        <w:r>
          <w:rPr>
            <w:webHidden/>
          </w:rPr>
          <w:fldChar w:fldCharType="begin"/>
        </w:r>
        <w:r>
          <w:rPr>
            <w:webHidden/>
          </w:rPr>
          <w:instrText xml:space="preserve"> PAGEREF _Toc119077942 \h </w:instrText>
        </w:r>
        <w:r>
          <w:rPr>
            <w:webHidden/>
          </w:rPr>
        </w:r>
        <w:r>
          <w:rPr>
            <w:webHidden/>
          </w:rPr>
          <w:fldChar w:fldCharType="separate"/>
        </w:r>
        <w:r>
          <w:rPr>
            <w:webHidden/>
          </w:rPr>
          <w:t>152</w:t>
        </w:r>
        <w:r>
          <w:rPr>
            <w:webHidden/>
          </w:rPr>
          <w:fldChar w:fldCharType="end"/>
        </w:r>
      </w:hyperlink>
    </w:p>
    <w:p w14:paraId="411D438B" w14:textId="222F17EA" w:rsidR="00A75C39" w:rsidRDefault="00A75C39">
      <w:pPr>
        <w:pStyle w:val="TOC2"/>
        <w:rPr>
          <w:rFonts w:asciiTheme="minorHAnsi" w:eastAsiaTheme="minorEastAsia" w:hAnsiTheme="minorHAnsi" w:cstheme="minorBidi"/>
          <w:b w:val="0"/>
          <w:smallCaps w:val="0"/>
          <w:sz w:val="22"/>
          <w:lang w:val="en-US"/>
        </w:rPr>
      </w:pPr>
      <w:hyperlink w:anchor="_Toc119077943" w:history="1">
        <w:r w:rsidRPr="00B15381">
          <w:rPr>
            <w:rStyle w:val="Hyperlink"/>
            <w:rFonts w:ascii="Times New Roman" w:hAnsi="Times New Roman"/>
          </w:rPr>
          <w:t>3.8.2 Členění šablony SEC DETAILS</w:t>
        </w:r>
        <w:r>
          <w:rPr>
            <w:webHidden/>
          </w:rPr>
          <w:tab/>
        </w:r>
        <w:r>
          <w:rPr>
            <w:webHidden/>
          </w:rPr>
          <w:fldChar w:fldCharType="begin"/>
        </w:r>
        <w:r>
          <w:rPr>
            <w:webHidden/>
          </w:rPr>
          <w:instrText xml:space="preserve"> PAGEREF _Toc119077943 \h </w:instrText>
        </w:r>
        <w:r>
          <w:rPr>
            <w:webHidden/>
          </w:rPr>
        </w:r>
        <w:r>
          <w:rPr>
            <w:webHidden/>
          </w:rPr>
          <w:fldChar w:fldCharType="separate"/>
        </w:r>
        <w:r>
          <w:rPr>
            <w:webHidden/>
          </w:rPr>
          <w:t>153</w:t>
        </w:r>
        <w:r>
          <w:rPr>
            <w:webHidden/>
          </w:rPr>
          <w:fldChar w:fldCharType="end"/>
        </w:r>
      </w:hyperlink>
    </w:p>
    <w:p w14:paraId="1AB50916" w14:textId="7C93BE8B" w:rsidR="00A75C39" w:rsidRDefault="00A75C39">
      <w:pPr>
        <w:pStyle w:val="TOC2"/>
        <w:rPr>
          <w:rFonts w:asciiTheme="minorHAnsi" w:eastAsiaTheme="minorEastAsia" w:hAnsiTheme="minorHAnsi" w:cstheme="minorBidi"/>
          <w:b w:val="0"/>
          <w:smallCaps w:val="0"/>
          <w:sz w:val="22"/>
          <w:lang w:val="en-US"/>
        </w:rPr>
      </w:pPr>
      <w:hyperlink w:anchor="_Toc119077944" w:history="1">
        <w:r w:rsidRPr="00B15381">
          <w:rPr>
            <w:rStyle w:val="Hyperlink"/>
            <w:rFonts w:ascii="Times New Roman" w:hAnsi="Times New Roman"/>
          </w:rPr>
          <w:t>3.8.3 C 14.00 – Podrobné údaje o sekuritizacích (SEC DETAILS)</w:t>
        </w:r>
        <w:r>
          <w:rPr>
            <w:webHidden/>
          </w:rPr>
          <w:tab/>
        </w:r>
        <w:r>
          <w:rPr>
            <w:webHidden/>
          </w:rPr>
          <w:fldChar w:fldCharType="begin"/>
        </w:r>
        <w:r>
          <w:rPr>
            <w:webHidden/>
          </w:rPr>
          <w:instrText xml:space="preserve"> PAGEREF _Toc119077944 \h </w:instrText>
        </w:r>
        <w:r>
          <w:rPr>
            <w:webHidden/>
          </w:rPr>
        </w:r>
        <w:r>
          <w:rPr>
            <w:webHidden/>
          </w:rPr>
          <w:fldChar w:fldCharType="separate"/>
        </w:r>
        <w:r>
          <w:rPr>
            <w:webHidden/>
          </w:rPr>
          <w:t>153</w:t>
        </w:r>
        <w:r>
          <w:rPr>
            <w:webHidden/>
          </w:rPr>
          <w:fldChar w:fldCharType="end"/>
        </w:r>
      </w:hyperlink>
    </w:p>
    <w:p w14:paraId="2E2A3F73" w14:textId="1C749A39" w:rsidR="00A75C39" w:rsidRDefault="00A75C39">
      <w:pPr>
        <w:pStyle w:val="TOC2"/>
        <w:rPr>
          <w:rFonts w:asciiTheme="minorHAnsi" w:eastAsiaTheme="minorEastAsia" w:hAnsiTheme="minorHAnsi" w:cstheme="minorBidi"/>
          <w:b w:val="0"/>
          <w:smallCaps w:val="0"/>
          <w:sz w:val="22"/>
          <w:lang w:val="en-US"/>
        </w:rPr>
      </w:pPr>
      <w:hyperlink w:anchor="_Toc119077945" w:history="1">
        <w:r w:rsidRPr="00B15381">
          <w:rPr>
            <w:rStyle w:val="Hyperlink"/>
            <w:rFonts w:ascii="Times New Roman" w:hAnsi="Times New Roman"/>
          </w:rPr>
          <w:t>3.8.4.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14.01 – Podrobné údaje o sekuritizacích (SEC DETAILS 2)</w:t>
        </w:r>
        <w:r>
          <w:rPr>
            <w:webHidden/>
          </w:rPr>
          <w:tab/>
        </w:r>
        <w:r>
          <w:rPr>
            <w:webHidden/>
          </w:rPr>
          <w:fldChar w:fldCharType="begin"/>
        </w:r>
        <w:r>
          <w:rPr>
            <w:webHidden/>
          </w:rPr>
          <w:instrText xml:space="preserve"> PAGEREF _Toc119077945 \h </w:instrText>
        </w:r>
        <w:r>
          <w:rPr>
            <w:webHidden/>
          </w:rPr>
        </w:r>
        <w:r>
          <w:rPr>
            <w:webHidden/>
          </w:rPr>
          <w:fldChar w:fldCharType="separate"/>
        </w:r>
        <w:r>
          <w:rPr>
            <w:webHidden/>
          </w:rPr>
          <w:t>168</w:t>
        </w:r>
        <w:r>
          <w:rPr>
            <w:webHidden/>
          </w:rPr>
          <w:fldChar w:fldCharType="end"/>
        </w:r>
      </w:hyperlink>
    </w:p>
    <w:p w14:paraId="25D0E9EF" w14:textId="53F5CC7A" w:rsidR="00A75C39" w:rsidRDefault="00A75C39">
      <w:pPr>
        <w:pStyle w:val="TOC2"/>
        <w:rPr>
          <w:rFonts w:asciiTheme="minorHAnsi" w:eastAsiaTheme="minorEastAsia" w:hAnsiTheme="minorHAnsi" w:cstheme="minorBidi"/>
          <w:b w:val="0"/>
          <w:smallCaps w:val="0"/>
          <w:sz w:val="22"/>
          <w:lang w:val="en-US"/>
        </w:rPr>
      </w:pPr>
      <w:hyperlink w:anchor="_Toc119077946" w:history="1">
        <w:r w:rsidRPr="00B15381">
          <w:rPr>
            <w:rStyle w:val="Hyperlink"/>
            <w:rFonts w:ascii="Times New Roman" w:hAnsi="Times New Roman"/>
          </w:rPr>
          <w:t>3.9.</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Úvěrové riziko protistrany</w:t>
        </w:r>
        <w:r>
          <w:rPr>
            <w:webHidden/>
          </w:rPr>
          <w:tab/>
        </w:r>
        <w:r>
          <w:rPr>
            <w:webHidden/>
          </w:rPr>
          <w:fldChar w:fldCharType="begin"/>
        </w:r>
        <w:r>
          <w:rPr>
            <w:webHidden/>
          </w:rPr>
          <w:instrText xml:space="preserve"> PAGEREF _Toc119077946 \h </w:instrText>
        </w:r>
        <w:r>
          <w:rPr>
            <w:webHidden/>
          </w:rPr>
        </w:r>
        <w:r>
          <w:rPr>
            <w:webHidden/>
          </w:rPr>
          <w:fldChar w:fldCharType="separate"/>
        </w:r>
        <w:r>
          <w:rPr>
            <w:webHidden/>
          </w:rPr>
          <w:t>172</w:t>
        </w:r>
        <w:r>
          <w:rPr>
            <w:webHidden/>
          </w:rPr>
          <w:fldChar w:fldCharType="end"/>
        </w:r>
      </w:hyperlink>
    </w:p>
    <w:p w14:paraId="5AAB306B" w14:textId="33F74064" w:rsidR="00A75C39" w:rsidRDefault="00A75C39">
      <w:pPr>
        <w:pStyle w:val="TOC2"/>
        <w:rPr>
          <w:rFonts w:asciiTheme="minorHAnsi" w:eastAsiaTheme="minorEastAsia" w:hAnsiTheme="minorHAnsi" w:cstheme="minorBidi"/>
          <w:b w:val="0"/>
          <w:smallCaps w:val="0"/>
          <w:sz w:val="22"/>
          <w:lang w:val="en-US"/>
        </w:rPr>
      </w:pPr>
      <w:hyperlink w:anchor="_Toc119077947" w:history="1">
        <w:r w:rsidRPr="00B15381">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Oblast působnosti šablon pro úvěrové riziko protistrany</w:t>
        </w:r>
        <w:r>
          <w:rPr>
            <w:webHidden/>
          </w:rPr>
          <w:tab/>
        </w:r>
        <w:r>
          <w:rPr>
            <w:webHidden/>
          </w:rPr>
          <w:fldChar w:fldCharType="begin"/>
        </w:r>
        <w:r>
          <w:rPr>
            <w:webHidden/>
          </w:rPr>
          <w:instrText xml:space="preserve"> PAGEREF _Toc119077947 \h </w:instrText>
        </w:r>
        <w:r>
          <w:rPr>
            <w:webHidden/>
          </w:rPr>
        </w:r>
        <w:r>
          <w:rPr>
            <w:webHidden/>
          </w:rPr>
          <w:fldChar w:fldCharType="separate"/>
        </w:r>
        <w:r>
          <w:rPr>
            <w:webHidden/>
          </w:rPr>
          <w:t>172</w:t>
        </w:r>
        <w:r>
          <w:rPr>
            <w:webHidden/>
          </w:rPr>
          <w:fldChar w:fldCharType="end"/>
        </w:r>
      </w:hyperlink>
    </w:p>
    <w:p w14:paraId="746D545B" w14:textId="45281684" w:rsidR="00A75C39" w:rsidRDefault="00A75C39">
      <w:pPr>
        <w:pStyle w:val="TOC2"/>
        <w:rPr>
          <w:rFonts w:asciiTheme="minorHAnsi" w:eastAsiaTheme="minorEastAsia" w:hAnsiTheme="minorHAnsi" w:cstheme="minorBidi"/>
          <w:b w:val="0"/>
          <w:smallCaps w:val="0"/>
          <w:sz w:val="22"/>
          <w:lang w:val="en-US"/>
        </w:rPr>
      </w:pPr>
      <w:hyperlink w:anchor="_Toc119077948" w:history="1">
        <w:r w:rsidRPr="00B15381">
          <w:rPr>
            <w:rStyle w:val="Hyperlink"/>
            <w:rFonts w:ascii="Times New Roman" w:hAnsi="Times New Roman"/>
          </w:rPr>
          <w:t>3.9.2.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34.01 – Objem derivátových obchodů</w:t>
        </w:r>
        <w:r>
          <w:rPr>
            <w:webHidden/>
          </w:rPr>
          <w:tab/>
        </w:r>
        <w:r>
          <w:rPr>
            <w:webHidden/>
          </w:rPr>
          <w:fldChar w:fldCharType="begin"/>
        </w:r>
        <w:r>
          <w:rPr>
            <w:webHidden/>
          </w:rPr>
          <w:instrText xml:space="preserve"> PAGEREF _Toc119077948 \h </w:instrText>
        </w:r>
        <w:r>
          <w:rPr>
            <w:webHidden/>
          </w:rPr>
        </w:r>
        <w:r>
          <w:rPr>
            <w:webHidden/>
          </w:rPr>
          <w:fldChar w:fldCharType="separate"/>
        </w:r>
        <w:r>
          <w:rPr>
            <w:webHidden/>
          </w:rPr>
          <w:t>172</w:t>
        </w:r>
        <w:r>
          <w:rPr>
            <w:webHidden/>
          </w:rPr>
          <w:fldChar w:fldCharType="end"/>
        </w:r>
      </w:hyperlink>
    </w:p>
    <w:p w14:paraId="214A1EF2" w14:textId="1458067F" w:rsidR="00A75C39" w:rsidRDefault="00A75C39">
      <w:pPr>
        <w:pStyle w:val="TOC2"/>
        <w:rPr>
          <w:rFonts w:asciiTheme="minorHAnsi" w:eastAsiaTheme="minorEastAsia" w:hAnsiTheme="minorHAnsi" w:cstheme="minorBidi"/>
          <w:b w:val="0"/>
          <w:smallCaps w:val="0"/>
          <w:sz w:val="22"/>
          <w:lang w:val="en-US"/>
        </w:rPr>
      </w:pPr>
      <w:hyperlink w:anchor="_Toc119077949" w:history="1">
        <w:r w:rsidRPr="00B15381">
          <w:rPr>
            <w:rStyle w:val="Hyperlink"/>
            <w:rFonts w:ascii="Times New Roman" w:hAnsi="Times New Roman"/>
          </w:rPr>
          <w:t>3.9.2.1.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_Toc119077949 \h </w:instrText>
        </w:r>
        <w:r>
          <w:rPr>
            <w:webHidden/>
          </w:rPr>
        </w:r>
        <w:r>
          <w:rPr>
            <w:webHidden/>
          </w:rPr>
          <w:fldChar w:fldCharType="separate"/>
        </w:r>
        <w:r>
          <w:rPr>
            <w:webHidden/>
          </w:rPr>
          <w:t>172</w:t>
        </w:r>
        <w:r>
          <w:rPr>
            <w:webHidden/>
          </w:rPr>
          <w:fldChar w:fldCharType="end"/>
        </w:r>
      </w:hyperlink>
    </w:p>
    <w:p w14:paraId="3391F55E" w14:textId="0CBC9418" w:rsidR="00A75C39" w:rsidRDefault="00A75C39">
      <w:pPr>
        <w:pStyle w:val="TOC2"/>
        <w:rPr>
          <w:rFonts w:asciiTheme="minorHAnsi" w:eastAsiaTheme="minorEastAsia" w:hAnsiTheme="minorHAnsi" w:cstheme="minorBidi"/>
          <w:b w:val="0"/>
          <w:smallCaps w:val="0"/>
          <w:sz w:val="22"/>
          <w:lang w:val="en-US"/>
        </w:rPr>
      </w:pPr>
      <w:hyperlink w:anchor="_Toc119077950" w:history="1">
        <w:r w:rsidRPr="00B15381">
          <w:rPr>
            <w:rStyle w:val="Hyperlink"/>
            <w:rFonts w:ascii="Times New Roman" w:hAnsi="Times New Roman"/>
          </w:rPr>
          <w:t>3.9.2.2.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_Toc119077950 \h </w:instrText>
        </w:r>
        <w:r>
          <w:rPr>
            <w:webHidden/>
          </w:rPr>
        </w:r>
        <w:r>
          <w:rPr>
            <w:webHidden/>
          </w:rPr>
          <w:fldChar w:fldCharType="separate"/>
        </w:r>
        <w:r>
          <w:rPr>
            <w:webHidden/>
          </w:rPr>
          <w:t>172</w:t>
        </w:r>
        <w:r>
          <w:rPr>
            <w:webHidden/>
          </w:rPr>
          <w:fldChar w:fldCharType="end"/>
        </w:r>
      </w:hyperlink>
    </w:p>
    <w:p w14:paraId="017EED9F" w14:textId="0DF628A0" w:rsidR="00A75C39" w:rsidRDefault="00A75C39">
      <w:pPr>
        <w:pStyle w:val="TOC2"/>
        <w:rPr>
          <w:rFonts w:asciiTheme="minorHAnsi" w:eastAsiaTheme="minorEastAsia" w:hAnsiTheme="minorHAnsi" w:cstheme="minorBidi"/>
          <w:b w:val="0"/>
          <w:smallCaps w:val="0"/>
          <w:sz w:val="22"/>
          <w:lang w:val="en-US"/>
        </w:rPr>
      </w:pPr>
      <w:hyperlink w:anchor="_Toc119077951" w:history="1">
        <w:r w:rsidRPr="00B15381">
          <w:rPr>
            <w:rStyle w:val="Hyperlink"/>
            <w:rFonts w:ascii="Times New Roman" w:hAnsi="Times New Roman"/>
          </w:rPr>
          <w:t>3.9.3.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34.02 – Expozice s CCR podle přístupu</w:t>
        </w:r>
        <w:r>
          <w:rPr>
            <w:webHidden/>
          </w:rPr>
          <w:tab/>
        </w:r>
        <w:r>
          <w:rPr>
            <w:webHidden/>
          </w:rPr>
          <w:fldChar w:fldCharType="begin"/>
        </w:r>
        <w:r>
          <w:rPr>
            <w:webHidden/>
          </w:rPr>
          <w:instrText xml:space="preserve"> PAGEREF _Toc119077951 \h </w:instrText>
        </w:r>
        <w:r>
          <w:rPr>
            <w:webHidden/>
          </w:rPr>
        </w:r>
        <w:r>
          <w:rPr>
            <w:webHidden/>
          </w:rPr>
          <w:fldChar w:fldCharType="separate"/>
        </w:r>
        <w:r>
          <w:rPr>
            <w:webHidden/>
          </w:rPr>
          <w:t>174</w:t>
        </w:r>
        <w:r>
          <w:rPr>
            <w:webHidden/>
          </w:rPr>
          <w:fldChar w:fldCharType="end"/>
        </w:r>
      </w:hyperlink>
    </w:p>
    <w:p w14:paraId="7D6E9166" w14:textId="1B128719" w:rsidR="00A75C39" w:rsidRDefault="00A75C39">
      <w:pPr>
        <w:pStyle w:val="TOC2"/>
        <w:rPr>
          <w:rFonts w:asciiTheme="minorHAnsi" w:eastAsiaTheme="minorEastAsia" w:hAnsiTheme="minorHAnsi" w:cstheme="minorBidi"/>
          <w:b w:val="0"/>
          <w:smallCaps w:val="0"/>
          <w:sz w:val="22"/>
          <w:lang w:val="en-US"/>
        </w:rPr>
      </w:pPr>
      <w:hyperlink w:anchor="_Toc119077952" w:history="1">
        <w:r w:rsidRPr="00B15381">
          <w:rPr>
            <w:rStyle w:val="Hyperlink"/>
            <w:rFonts w:ascii="Times New Roman" w:hAnsi="Times New Roman"/>
          </w:rPr>
          <w:t>3.9.3.1.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_Toc119077952 \h </w:instrText>
        </w:r>
        <w:r>
          <w:rPr>
            <w:webHidden/>
          </w:rPr>
        </w:r>
        <w:r>
          <w:rPr>
            <w:webHidden/>
          </w:rPr>
          <w:fldChar w:fldCharType="separate"/>
        </w:r>
        <w:r>
          <w:rPr>
            <w:webHidden/>
          </w:rPr>
          <w:t>174</w:t>
        </w:r>
        <w:r>
          <w:rPr>
            <w:webHidden/>
          </w:rPr>
          <w:fldChar w:fldCharType="end"/>
        </w:r>
      </w:hyperlink>
    </w:p>
    <w:p w14:paraId="15CCEF71" w14:textId="033BEFE8" w:rsidR="00A75C39" w:rsidRDefault="00A75C39">
      <w:pPr>
        <w:pStyle w:val="TOC2"/>
        <w:rPr>
          <w:rFonts w:asciiTheme="minorHAnsi" w:eastAsiaTheme="minorEastAsia" w:hAnsiTheme="minorHAnsi" w:cstheme="minorBidi"/>
          <w:b w:val="0"/>
          <w:smallCaps w:val="0"/>
          <w:sz w:val="22"/>
          <w:lang w:val="en-US"/>
        </w:rPr>
      </w:pPr>
      <w:hyperlink w:anchor="_Toc119077953" w:history="1">
        <w:r w:rsidRPr="00B15381">
          <w:rPr>
            <w:rStyle w:val="Hyperlink"/>
            <w:rFonts w:ascii="Times New Roman" w:hAnsi="Times New Roman"/>
          </w:rPr>
          <w:t>3.9.3.2.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_Toc119077953 \h </w:instrText>
        </w:r>
        <w:r>
          <w:rPr>
            <w:webHidden/>
          </w:rPr>
        </w:r>
        <w:r>
          <w:rPr>
            <w:webHidden/>
          </w:rPr>
          <w:fldChar w:fldCharType="separate"/>
        </w:r>
        <w:r>
          <w:rPr>
            <w:webHidden/>
          </w:rPr>
          <w:t>174</w:t>
        </w:r>
        <w:r>
          <w:rPr>
            <w:webHidden/>
          </w:rPr>
          <w:fldChar w:fldCharType="end"/>
        </w:r>
      </w:hyperlink>
    </w:p>
    <w:p w14:paraId="720A8AF4" w14:textId="18F610FF" w:rsidR="00A75C39" w:rsidRDefault="00A75C39">
      <w:pPr>
        <w:pStyle w:val="TOC2"/>
        <w:rPr>
          <w:rFonts w:asciiTheme="minorHAnsi" w:eastAsiaTheme="minorEastAsia" w:hAnsiTheme="minorHAnsi" w:cstheme="minorBidi"/>
          <w:b w:val="0"/>
          <w:smallCaps w:val="0"/>
          <w:sz w:val="22"/>
          <w:lang w:val="en-US"/>
        </w:rPr>
      </w:pPr>
      <w:hyperlink w:anchor="_Toc119077954" w:history="1">
        <w:r w:rsidRPr="00B15381">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34.03 – Expozice s CCR, s nimiž se zachází standardizovanými přístupy: přístupem SA-CCR a zjednodušeným přístupem SA-CCR</w:t>
        </w:r>
        <w:r>
          <w:rPr>
            <w:webHidden/>
          </w:rPr>
          <w:tab/>
        </w:r>
        <w:r>
          <w:rPr>
            <w:webHidden/>
          </w:rPr>
          <w:fldChar w:fldCharType="begin"/>
        </w:r>
        <w:r>
          <w:rPr>
            <w:webHidden/>
          </w:rPr>
          <w:instrText xml:space="preserve"> PAGEREF _Toc119077954 \h </w:instrText>
        </w:r>
        <w:r>
          <w:rPr>
            <w:webHidden/>
          </w:rPr>
        </w:r>
        <w:r>
          <w:rPr>
            <w:webHidden/>
          </w:rPr>
          <w:fldChar w:fldCharType="separate"/>
        </w:r>
        <w:r>
          <w:rPr>
            <w:webHidden/>
          </w:rPr>
          <w:t>181</w:t>
        </w:r>
        <w:r>
          <w:rPr>
            <w:webHidden/>
          </w:rPr>
          <w:fldChar w:fldCharType="end"/>
        </w:r>
      </w:hyperlink>
    </w:p>
    <w:p w14:paraId="1981A8BB" w14:textId="3078F39A" w:rsidR="00A75C39" w:rsidRDefault="00A75C39">
      <w:pPr>
        <w:pStyle w:val="TOC2"/>
        <w:rPr>
          <w:rFonts w:asciiTheme="minorHAnsi" w:eastAsiaTheme="minorEastAsia" w:hAnsiTheme="minorHAnsi" w:cstheme="minorBidi"/>
          <w:b w:val="0"/>
          <w:smallCaps w:val="0"/>
          <w:sz w:val="22"/>
          <w:lang w:val="en-US"/>
        </w:rPr>
      </w:pPr>
      <w:hyperlink w:anchor="_Toc119077955" w:history="1">
        <w:r w:rsidRPr="00B15381">
          <w:rPr>
            <w:rStyle w:val="Hyperlink"/>
            <w:rFonts w:ascii="Times New Roman" w:hAnsi="Times New Roman"/>
          </w:rPr>
          <w:t>3.9.4.1.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_Toc119077955 \h </w:instrText>
        </w:r>
        <w:r>
          <w:rPr>
            <w:webHidden/>
          </w:rPr>
        </w:r>
        <w:r>
          <w:rPr>
            <w:webHidden/>
          </w:rPr>
          <w:fldChar w:fldCharType="separate"/>
        </w:r>
        <w:r>
          <w:rPr>
            <w:webHidden/>
          </w:rPr>
          <w:t>181</w:t>
        </w:r>
        <w:r>
          <w:rPr>
            <w:webHidden/>
          </w:rPr>
          <w:fldChar w:fldCharType="end"/>
        </w:r>
      </w:hyperlink>
    </w:p>
    <w:p w14:paraId="1E32CB9A" w14:textId="19914498" w:rsidR="00A75C39" w:rsidRDefault="00A75C39">
      <w:pPr>
        <w:pStyle w:val="TOC2"/>
        <w:rPr>
          <w:rFonts w:asciiTheme="minorHAnsi" w:eastAsiaTheme="minorEastAsia" w:hAnsiTheme="minorHAnsi" w:cstheme="minorBidi"/>
          <w:b w:val="0"/>
          <w:smallCaps w:val="0"/>
          <w:sz w:val="22"/>
          <w:lang w:val="en-US"/>
        </w:rPr>
      </w:pPr>
      <w:hyperlink w:anchor="_Toc119077956" w:history="1">
        <w:r w:rsidRPr="00B15381">
          <w:rPr>
            <w:rStyle w:val="Hyperlink"/>
            <w:rFonts w:ascii="Times New Roman" w:hAnsi="Times New Roman"/>
          </w:rPr>
          <w:t>3.9.4.2.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_Toc119077956 \h </w:instrText>
        </w:r>
        <w:r>
          <w:rPr>
            <w:webHidden/>
          </w:rPr>
        </w:r>
        <w:r>
          <w:rPr>
            <w:webHidden/>
          </w:rPr>
          <w:fldChar w:fldCharType="separate"/>
        </w:r>
        <w:r>
          <w:rPr>
            <w:webHidden/>
          </w:rPr>
          <w:t>181</w:t>
        </w:r>
        <w:r>
          <w:rPr>
            <w:webHidden/>
          </w:rPr>
          <w:fldChar w:fldCharType="end"/>
        </w:r>
      </w:hyperlink>
    </w:p>
    <w:p w14:paraId="1DB9993B" w14:textId="4C4356B1" w:rsidR="00A75C39" w:rsidRDefault="00A75C39">
      <w:pPr>
        <w:pStyle w:val="TOC2"/>
        <w:rPr>
          <w:rFonts w:asciiTheme="minorHAnsi" w:eastAsiaTheme="minorEastAsia" w:hAnsiTheme="minorHAnsi" w:cstheme="minorBidi"/>
          <w:b w:val="0"/>
          <w:smallCaps w:val="0"/>
          <w:sz w:val="22"/>
          <w:lang w:val="en-US"/>
        </w:rPr>
      </w:pPr>
      <w:hyperlink w:anchor="_Toc119077957" w:history="1">
        <w:r w:rsidRPr="00B15381">
          <w:rPr>
            <w:rStyle w:val="Hyperlink"/>
            <w:rFonts w:ascii="Times New Roman" w:hAnsi="Times New Roman"/>
          </w:rPr>
          <w:t>3.9.5.</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34.04 – Expozice s CCR, s nimiž se zachází metodou původní expozice (OEM)</w:t>
        </w:r>
        <w:r>
          <w:rPr>
            <w:webHidden/>
          </w:rPr>
          <w:tab/>
        </w:r>
        <w:r>
          <w:rPr>
            <w:webHidden/>
          </w:rPr>
          <w:fldChar w:fldCharType="begin"/>
        </w:r>
        <w:r>
          <w:rPr>
            <w:webHidden/>
          </w:rPr>
          <w:instrText xml:space="preserve"> PAGEREF _Toc119077957 \h </w:instrText>
        </w:r>
        <w:r>
          <w:rPr>
            <w:webHidden/>
          </w:rPr>
        </w:r>
        <w:r>
          <w:rPr>
            <w:webHidden/>
          </w:rPr>
          <w:fldChar w:fldCharType="separate"/>
        </w:r>
        <w:r>
          <w:rPr>
            <w:webHidden/>
          </w:rPr>
          <w:t>184</w:t>
        </w:r>
        <w:r>
          <w:rPr>
            <w:webHidden/>
          </w:rPr>
          <w:fldChar w:fldCharType="end"/>
        </w:r>
      </w:hyperlink>
    </w:p>
    <w:p w14:paraId="74382E71" w14:textId="4CCB3AD8" w:rsidR="00A75C39" w:rsidRDefault="00A75C39">
      <w:pPr>
        <w:pStyle w:val="TOC2"/>
        <w:rPr>
          <w:rFonts w:asciiTheme="minorHAnsi" w:eastAsiaTheme="minorEastAsia" w:hAnsiTheme="minorHAnsi" w:cstheme="minorBidi"/>
          <w:b w:val="0"/>
          <w:smallCaps w:val="0"/>
          <w:sz w:val="22"/>
          <w:lang w:val="en-US"/>
        </w:rPr>
      </w:pPr>
      <w:hyperlink w:anchor="_Toc119077958" w:history="1">
        <w:r w:rsidRPr="00B15381">
          <w:rPr>
            <w:rStyle w:val="Hyperlink"/>
            <w:rFonts w:ascii="Times New Roman" w:hAnsi="Times New Roman"/>
          </w:rPr>
          <w:t>3.9.5.1.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_Toc119077958 \h </w:instrText>
        </w:r>
        <w:r>
          <w:rPr>
            <w:webHidden/>
          </w:rPr>
        </w:r>
        <w:r>
          <w:rPr>
            <w:webHidden/>
          </w:rPr>
          <w:fldChar w:fldCharType="separate"/>
        </w:r>
        <w:r>
          <w:rPr>
            <w:webHidden/>
          </w:rPr>
          <w:t>184</w:t>
        </w:r>
        <w:r>
          <w:rPr>
            <w:webHidden/>
          </w:rPr>
          <w:fldChar w:fldCharType="end"/>
        </w:r>
      </w:hyperlink>
    </w:p>
    <w:p w14:paraId="2A5AA63B" w14:textId="3D03825E" w:rsidR="00A75C39" w:rsidRDefault="00A75C39">
      <w:pPr>
        <w:pStyle w:val="TOC2"/>
        <w:rPr>
          <w:rFonts w:asciiTheme="minorHAnsi" w:eastAsiaTheme="minorEastAsia" w:hAnsiTheme="minorHAnsi" w:cstheme="minorBidi"/>
          <w:b w:val="0"/>
          <w:smallCaps w:val="0"/>
          <w:sz w:val="22"/>
          <w:lang w:val="en-US"/>
        </w:rPr>
      </w:pPr>
      <w:hyperlink w:anchor="_Toc119077959" w:history="1">
        <w:r w:rsidRPr="00B15381">
          <w:rPr>
            <w:rStyle w:val="Hyperlink"/>
            <w:rFonts w:ascii="Times New Roman" w:hAnsi="Times New Roman"/>
          </w:rPr>
          <w:t>3.9.6.</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34.05 – Expozice s CCR, s nimiž se zachází metodou interního modelu</w:t>
        </w:r>
        <w:r>
          <w:rPr>
            <w:webHidden/>
          </w:rPr>
          <w:tab/>
        </w:r>
        <w:r>
          <w:rPr>
            <w:webHidden/>
          </w:rPr>
          <w:fldChar w:fldCharType="begin"/>
        </w:r>
        <w:r>
          <w:rPr>
            <w:webHidden/>
          </w:rPr>
          <w:instrText xml:space="preserve"> PAGEREF _Toc119077959 \h </w:instrText>
        </w:r>
        <w:r>
          <w:rPr>
            <w:webHidden/>
          </w:rPr>
        </w:r>
        <w:r>
          <w:rPr>
            <w:webHidden/>
          </w:rPr>
          <w:fldChar w:fldCharType="separate"/>
        </w:r>
        <w:r>
          <w:rPr>
            <w:webHidden/>
          </w:rPr>
          <w:t>184</w:t>
        </w:r>
        <w:r>
          <w:rPr>
            <w:webHidden/>
          </w:rPr>
          <w:fldChar w:fldCharType="end"/>
        </w:r>
      </w:hyperlink>
    </w:p>
    <w:p w14:paraId="72A7DE9A" w14:textId="7D560D03" w:rsidR="00A75C39" w:rsidRDefault="00A75C39">
      <w:pPr>
        <w:pStyle w:val="TOC2"/>
        <w:rPr>
          <w:rFonts w:asciiTheme="minorHAnsi" w:eastAsiaTheme="minorEastAsia" w:hAnsiTheme="minorHAnsi" w:cstheme="minorBidi"/>
          <w:b w:val="0"/>
          <w:smallCaps w:val="0"/>
          <w:sz w:val="22"/>
          <w:lang w:val="en-US"/>
        </w:rPr>
      </w:pPr>
      <w:hyperlink w:anchor="_Toc119077960" w:history="1">
        <w:r w:rsidRPr="00B15381">
          <w:rPr>
            <w:rStyle w:val="Hyperlink"/>
            <w:rFonts w:ascii="Times New Roman" w:hAnsi="Times New Roman"/>
          </w:rPr>
          <w:t>3.9.6.1.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_Toc119077960 \h </w:instrText>
        </w:r>
        <w:r>
          <w:rPr>
            <w:webHidden/>
          </w:rPr>
        </w:r>
        <w:r>
          <w:rPr>
            <w:webHidden/>
          </w:rPr>
          <w:fldChar w:fldCharType="separate"/>
        </w:r>
        <w:r>
          <w:rPr>
            <w:webHidden/>
          </w:rPr>
          <w:t>184</w:t>
        </w:r>
        <w:r>
          <w:rPr>
            <w:webHidden/>
          </w:rPr>
          <w:fldChar w:fldCharType="end"/>
        </w:r>
      </w:hyperlink>
    </w:p>
    <w:p w14:paraId="2D13AA7D" w14:textId="5A95150B" w:rsidR="00A75C39" w:rsidRDefault="00A75C39">
      <w:pPr>
        <w:pStyle w:val="TOC2"/>
        <w:rPr>
          <w:rFonts w:asciiTheme="minorHAnsi" w:eastAsiaTheme="minorEastAsia" w:hAnsiTheme="minorHAnsi" w:cstheme="minorBidi"/>
          <w:b w:val="0"/>
          <w:smallCaps w:val="0"/>
          <w:sz w:val="22"/>
          <w:lang w:val="en-US"/>
        </w:rPr>
      </w:pPr>
      <w:hyperlink w:anchor="_Toc119077961" w:history="1">
        <w:r w:rsidRPr="00B15381">
          <w:rPr>
            <w:rStyle w:val="Hyperlink"/>
            <w:rFonts w:ascii="Times New Roman" w:hAnsi="Times New Roman"/>
          </w:rPr>
          <w:t>3.9.7.</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34.06 – Dvacet nejvýznamnějších protistran</w:t>
        </w:r>
        <w:r>
          <w:rPr>
            <w:webHidden/>
          </w:rPr>
          <w:tab/>
        </w:r>
        <w:r>
          <w:rPr>
            <w:webHidden/>
          </w:rPr>
          <w:fldChar w:fldCharType="begin"/>
        </w:r>
        <w:r>
          <w:rPr>
            <w:webHidden/>
          </w:rPr>
          <w:instrText xml:space="preserve"> PAGEREF _Toc119077961 \h </w:instrText>
        </w:r>
        <w:r>
          <w:rPr>
            <w:webHidden/>
          </w:rPr>
        </w:r>
        <w:r>
          <w:rPr>
            <w:webHidden/>
          </w:rPr>
          <w:fldChar w:fldCharType="separate"/>
        </w:r>
        <w:r>
          <w:rPr>
            <w:webHidden/>
          </w:rPr>
          <w:t>186</w:t>
        </w:r>
        <w:r>
          <w:rPr>
            <w:webHidden/>
          </w:rPr>
          <w:fldChar w:fldCharType="end"/>
        </w:r>
      </w:hyperlink>
    </w:p>
    <w:p w14:paraId="668050A7" w14:textId="1C1DDAB5" w:rsidR="00A75C39" w:rsidRDefault="00A75C39">
      <w:pPr>
        <w:pStyle w:val="TOC2"/>
        <w:rPr>
          <w:rFonts w:asciiTheme="minorHAnsi" w:eastAsiaTheme="minorEastAsia" w:hAnsiTheme="minorHAnsi" w:cstheme="minorBidi"/>
          <w:b w:val="0"/>
          <w:smallCaps w:val="0"/>
          <w:sz w:val="22"/>
          <w:lang w:val="en-US"/>
        </w:rPr>
      </w:pPr>
      <w:hyperlink w:anchor="_Toc119077962" w:history="1">
        <w:r w:rsidRPr="00B15381">
          <w:rPr>
            <w:rStyle w:val="Hyperlink"/>
            <w:rFonts w:ascii="Times New Roman" w:hAnsi="Times New Roman"/>
          </w:rPr>
          <w:t>3.9.7.1.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_Toc119077962 \h </w:instrText>
        </w:r>
        <w:r>
          <w:rPr>
            <w:webHidden/>
          </w:rPr>
        </w:r>
        <w:r>
          <w:rPr>
            <w:webHidden/>
          </w:rPr>
          <w:fldChar w:fldCharType="separate"/>
        </w:r>
        <w:r>
          <w:rPr>
            <w:webHidden/>
          </w:rPr>
          <w:t>186</w:t>
        </w:r>
        <w:r>
          <w:rPr>
            <w:webHidden/>
          </w:rPr>
          <w:fldChar w:fldCharType="end"/>
        </w:r>
      </w:hyperlink>
    </w:p>
    <w:p w14:paraId="63A30F4D" w14:textId="1461DAF7" w:rsidR="00A75C39" w:rsidRDefault="00A75C39">
      <w:pPr>
        <w:pStyle w:val="TOC2"/>
        <w:rPr>
          <w:rFonts w:asciiTheme="minorHAnsi" w:eastAsiaTheme="minorEastAsia" w:hAnsiTheme="minorHAnsi" w:cstheme="minorBidi"/>
          <w:b w:val="0"/>
          <w:smallCaps w:val="0"/>
          <w:sz w:val="22"/>
          <w:lang w:val="en-US"/>
        </w:rPr>
      </w:pPr>
      <w:hyperlink w:anchor="_Toc119077963" w:history="1">
        <w:r w:rsidRPr="00B15381">
          <w:rPr>
            <w:rStyle w:val="Hyperlink"/>
            <w:rFonts w:ascii="Times New Roman" w:hAnsi="Times New Roman"/>
          </w:rPr>
          <w:t>3.9.7.2.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_Toc119077963 \h </w:instrText>
        </w:r>
        <w:r>
          <w:rPr>
            <w:webHidden/>
          </w:rPr>
        </w:r>
        <w:r>
          <w:rPr>
            <w:webHidden/>
          </w:rPr>
          <w:fldChar w:fldCharType="separate"/>
        </w:r>
        <w:r>
          <w:rPr>
            <w:webHidden/>
          </w:rPr>
          <w:t>187</w:t>
        </w:r>
        <w:r>
          <w:rPr>
            <w:webHidden/>
          </w:rPr>
          <w:fldChar w:fldCharType="end"/>
        </w:r>
      </w:hyperlink>
    </w:p>
    <w:p w14:paraId="018EE7C0" w14:textId="493422E1" w:rsidR="00A75C39" w:rsidRDefault="00A75C39">
      <w:pPr>
        <w:pStyle w:val="TOC2"/>
        <w:rPr>
          <w:rFonts w:asciiTheme="minorHAnsi" w:eastAsiaTheme="minorEastAsia" w:hAnsiTheme="minorHAnsi" w:cstheme="minorBidi"/>
          <w:b w:val="0"/>
          <w:smallCaps w:val="0"/>
          <w:sz w:val="22"/>
          <w:lang w:val="en-US"/>
        </w:rPr>
      </w:pPr>
      <w:hyperlink w:anchor="_Toc119077964" w:history="1">
        <w:r w:rsidRPr="00B15381">
          <w:rPr>
            <w:rStyle w:val="Hyperlink"/>
            <w:rFonts w:ascii="Times New Roman" w:hAnsi="Times New Roman"/>
          </w:rPr>
          <w:t>3.9.8.</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34.07 – Přístup IRB – expozice s CCR podle kategorie expozic a stupnice PD</w:t>
        </w:r>
        <w:r>
          <w:rPr>
            <w:webHidden/>
          </w:rPr>
          <w:tab/>
        </w:r>
        <w:r>
          <w:rPr>
            <w:webHidden/>
          </w:rPr>
          <w:fldChar w:fldCharType="begin"/>
        </w:r>
        <w:r>
          <w:rPr>
            <w:webHidden/>
          </w:rPr>
          <w:instrText xml:space="preserve"> PAGEREF _Toc119077964 \h </w:instrText>
        </w:r>
        <w:r>
          <w:rPr>
            <w:webHidden/>
          </w:rPr>
        </w:r>
        <w:r>
          <w:rPr>
            <w:webHidden/>
          </w:rPr>
          <w:fldChar w:fldCharType="separate"/>
        </w:r>
        <w:r>
          <w:rPr>
            <w:webHidden/>
          </w:rPr>
          <w:t>188</w:t>
        </w:r>
        <w:r>
          <w:rPr>
            <w:webHidden/>
          </w:rPr>
          <w:fldChar w:fldCharType="end"/>
        </w:r>
      </w:hyperlink>
    </w:p>
    <w:p w14:paraId="625D5E01" w14:textId="513E3ACC" w:rsidR="00A75C39" w:rsidRDefault="00A75C39">
      <w:pPr>
        <w:pStyle w:val="TOC2"/>
        <w:rPr>
          <w:rFonts w:asciiTheme="minorHAnsi" w:eastAsiaTheme="minorEastAsia" w:hAnsiTheme="minorHAnsi" w:cstheme="minorBidi"/>
          <w:b w:val="0"/>
          <w:smallCaps w:val="0"/>
          <w:sz w:val="22"/>
          <w:lang w:val="en-US"/>
        </w:rPr>
      </w:pPr>
      <w:hyperlink w:anchor="_Toc119077965" w:history="1">
        <w:r w:rsidRPr="00B15381">
          <w:rPr>
            <w:rStyle w:val="Hyperlink"/>
            <w:rFonts w:ascii="Times New Roman" w:hAnsi="Times New Roman"/>
          </w:rPr>
          <w:t>3.9.8.1.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_Toc119077965 \h </w:instrText>
        </w:r>
        <w:r>
          <w:rPr>
            <w:webHidden/>
          </w:rPr>
        </w:r>
        <w:r>
          <w:rPr>
            <w:webHidden/>
          </w:rPr>
          <w:fldChar w:fldCharType="separate"/>
        </w:r>
        <w:r>
          <w:rPr>
            <w:webHidden/>
          </w:rPr>
          <w:t>188</w:t>
        </w:r>
        <w:r>
          <w:rPr>
            <w:webHidden/>
          </w:rPr>
          <w:fldChar w:fldCharType="end"/>
        </w:r>
      </w:hyperlink>
    </w:p>
    <w:p w14:paraId="32EC417A" w14:textId="3C07490B" w:rsidR="00A75C39" w:rsidRDefault="00A75C39">
      <w:pPr>
        <w:pStyle w:val="TOC2"/>
        <w:rPr>
          <w:rFonts w:asciiTheme="minorHAnsi" w:eastAsiaTheme="minorEastAsia" w:hAnsiTheme="minorHAnsi" w:cstheme="minorBidi"/>
          <w:b w:val="0"/>
          <w:smallCaps w:val="0"/>
          <w:sz w:val="22"/>
          <w:lang w:val="en-US"/>
        </w:rPr>
      </w:pPr>
      <w:hyperlink w:anchor="_Toc119077966" w:history="1">
        <w:r w:rsidRPr="00B15381">
          <w:rPr>
            <w:rStyle w:val="Hyperlink"/>
            <w:rFonts w:ascii="Times New Roman" w:hAnsi="Times New Roman"/>
          </w:rPr>
          <w:t>3.9.8.2.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_Toc119077966 \h </w:instrText>
        </w:r>
        <w:r>
          <w:rPr>
            <w:webHidden/>
          </w:rPr>
        </w:r>
        <w:r>
          <w:rPr>
            <w:webHidden/>
          </w:rPr>
          <w:fldChar w:fldCharType="separate"/>
        </w:r>
        <w:r>
          <w:rPr>
            <w:webHidden/>
          </w:rPr>
          <w:t>189</w:t>
        </w:r>
        <w:r>
          <w:rPr>
            <w:webHidden/>
          </w:rPr>
          <w:fldChar w:fldCharType="end"/>
        </w:r>
      </w:hyperlink>
    </w:p>
    <w:p w14:paraId="2C98C6F4" w14:textId="4EFCC519" w:rsidR="00A75C39" w:rsidRDefault="00A75C39">
      <w:pPr>
        <w:pStyle w:val="TOC2"/>
        <w:rPr>
          <w:rFonts w:asciiTheme="minorHAnsi" w:eastAsiaTheme="minorEastAsia" w:hAnsiTheme="minorHAnsi" w:cstheme="minorBidi"/>
          <w:b w:val="0"/>
          <w:smallCaps w:val="0"/>
          <w:sz w:val="22"/>
          <w:lang w:val="en-US"/>
        </w:rPr>
      </w:pPr>
      <w:hyperlink w:anchor="_Toc119077967" w:history="1">
        <w:r w:rsidRPr="00B15381">
          <w:rPr>
            <w:rStyle w:val="Hyperlink"/>
            <w:rFonts w:ascii="Times New Roman" w:hAnsi="Times New Roman"/>
          </w:rPr>
          <w:t>3.9.9.</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34.08 – Složení kolaterálu pro expozice s CCR</w:t>
        </w:r>
        <w:r>
          <w:rPr>
            <w:webHidden/>
          </w:rPr>
          <w:tab/>
        </w:r>
        <w:r>
          <w:rPr>
            <w:webHidden/>
          </w:rPr>
          <w:fldChar w:fldCharType="begin"/>
        </w:r>
        <w:r>
          <w:rPr>
            <w:webHidden/>
          </w:rPr>
          <w:instrText xml:space="preserve"> PAGEREF _Toc119077967 \h </w:instrText>
        </w:r>
        <w:r>
          <w:rPr>
            <w:webHidden/>
          </w:rPr>
        </w:r>
        <w:r>
          <w:rPr>
            <w:webHidden/>
          </w:rPr>
          <w:fldChar w:fldCharType="separate"/>
        </w:r>
        <w:r>
          <w:rPr>
            <w:webHidden/>
          </w:rPr>
          <w:t>190</w:t>
        </w:r>
        <w:r>
          <w:rPr>
            <w:webHidden/>
          </w:rPr>
          <w:fldChar w:fldCharType="end"/>
        </w:r>
      </w:hyperlink>
    </w:p>
    <w:p w14:paraId="7C154C1D" w14:textId="4CA9BDFF" w:rsidR="00A75C39" w:rsidRDefault="00A75C39">
      <w:pPr>
        <w:pStyle w:val="TOC2"/>
        <w:rPr>
          <w:rFonts w:asciiTheme="minorHAnsi" w:eastAsiaTheme="minorEastAsia" w:hAnsiTheme="minorHAnsi" w:cstheme="minorBidi"/>
          <w:b w:val="0"/>
          <w:smallCaps w:val="0"/>
          <w:sz w:val="22"/>
          <w:lang w:val="en-US"/>
        </w:rPr>
      </w:pPr>
      <w:hyperlink w:anchor="_Toc119077968" w:history="1">
        <w:r w:rsidRPr="00B15381">
          <w:rPr>
            <w:rStyle w:val="Hyperlink"/>
            <w:rFonts w:ascii="Times New Roman" w:hAnsi="Times New Roman"/>
          </w:rPr>
          <w:t>3.9.9.1.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_Toc119077968 \h </w:instrText>
        </w:r>
        <w:r>
          <w:rPr>
            <w:webHidden/>
          </w:rPr>
        </w:r>
        <w:r>
          <w:rPr>
            <w:webHidden/>
          </w:rPr>
          <w:fldChar w:fldCharType="separate"/>
        </w:r>
        <w:r>
          <w:rPr>
            <w:webHidden/>
          </w:rPr>
          <w:t>190</w:t>
        </w:r>
        <w:r>
          <w:rPr>
            <w:webHidden/>
          </w:rPr>
          <w:fldChar w:fldCharType="end"/>
        </w:r>
      </w:hyperlink>
    </w:p>
    <w:p w14:paraId="5815EDB1" w14:textId="495FCB32" w:rsidR="00A75C39" w:rsidRDefault="00A75C39">
      <w:pPr>
        <w:pStyle w:val="TOC2"/>
        <w:rPr>
          <w:rFonts w:asciiTheme="minorHAnsi" w:eastAsiaTheme="minorEastAsia" w:hAnsiTheme="minorHAnsi" w:cstheme="minorBidi"/>
          <w:b w:val="0"/>
          <w:smallCaps w:val="0"/>
          <w:sz w:val="22"/>
          <w:lang w:val="en-US"/>
        </w:rPr>
      </w:pPr>
      <w:hyperlink w:anchor="_Toc119077969" w:history="1">
        <w:r w:rsidRPr="00B15381">
          <w:rPr>
            <w:rStyle w:val="Hyperlink"/>
            <w:rFonts w:ascii="Times New Roman" w:hAnsi="Times New Roman"/>
          </w:rPr>
          <w:t>3.9.9.2.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_Toc119077969 \h </w:instrText>
        </w:r>
        <w:r>
          <w:rPr>
            <w:webHidden/>
          </w:rPr>
        </w:r>
        <w:r>
          <w:rPr>
            <w:webHidden/>
          </w:rPr>
          <w:fldChar w:fldCharType="separate"/>
        </w:r>
        <w:r>
          <w:rPr>
            <w:webHidden/>
          </w:rPr>
          <w:t>191</w:t>
        </w:r>
        <w:r>
          <w:rPr>
            <w:webHidden/>
          </w:rPr>
          <w:fldChar w:fldCharType="end"/>
        </w:r>
      </w:hyperlink>
    </w:p>
    <w:p w14:paraId="5C4C9490" w14:textId="632AF898" w:rsidR="00A75C39" w:rsidRDefault="00A75C39">
      <w:pPr>
        <w:pStyle w:val="TOC2"/>
        <w:rPr>
          <w:rFonts w:asciiTheme="minorHAnsi" w:eastAsiaTheme="minorEastAsia" w:hAnsiTheme="minorHAnsi" w:cstheme="minorBidi"/>
          <w:b w:val="0"/>
          <w:smallCaps w:val="0"/>
          <w:sz w:val="22"/>
          <w:lang w:val="en-US"/>
        </w:rPr>
      </w:pPr>
      <w:hyperlink w:anchor="_Toc119077970" w:history="1">
        <w:r w:rsidRPr="00B15381">
          <w:rPr>
            <w:rStyle w:val="Hyperlink"/>
            <w:rFonts w:ascii="Times New Roman" w:hAnsi="Times New Roman"/>
          </w:rPr>
          <w:t>3.9.10.</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34.09 – Expozice úvěrových derivátů</w:t>
        </w:r>
        <w:r>
          <w:rPr>
            <w:webHidden/>
          </w:rPr>
          <w:tab/>
        </w:r>
        <w:r>
          <w:rPr>
            <w:webHidden/>
          </w:rPr>
          <w:fldChar w:fldCharType="begin"/>
        </w:r>
        <w:r>
          <w:rPr>
            <w:webHidden/>
          </w:rPr>
          <w:instrText xml:space="preserve"> PAGEREF _Toc119077970 \h </w:instrText>
        </w:r>
        <w:r>
          <w:rPr>
            <w:webHidden/>
          </w:rPr>
        </w:r>
        <w:r>
          <w:rPr>
            <w:webHidden/>
          </w:rPr>
          <w:fldChar w:fldCharType="separate"/>
        </w:r>
        <w:r>
          <w:rPr>
            <w:webHidden/>
          </w:rPr>
          <w:t>192</w:t>
        </w:r>
        <w:r>
          <w:rPr>
            <w:webHidden/>
          </w:rPr>
          <w:fldChar w:fldCharType="end"/>
        </w:r>
      </w:hyperlink>
    </w:p>
    <w:p w14:paraId="00EC3C6C" w14:textId="53CA3328" w:rsidR="00A75C39" w:rsidRDefault="00A75C39">
      <w:pPr>
        <w:pStyle w:val="TOC2"/>
        <w:rPr>
          <w:rFonts w:asciiTheme="minorHAnsi" w:eastAsiaTheme="minorEastAsia" w:hAnsiTheme="minorHAnsi" w:cstheme="minorBidi"/>
          <w:b w:val="0"/>
          <w:smallCaps w:val="0"/>
          <w:sz w:val="22"/>
          <w:lang w:val="en-US"/>
        </w:rPr>
      </w:pPr>
      <w:hyperlink w:anchor="_Toc119077971" w:history="1">
        <w:r w:rsidRPr="00B15381">
          <w:rPr>
            <w:rStyle w:val="Hyperlink"/>
            <w:rFonts w:ascii="Times New Roman" w:hAnsi="Times New Roman"/>
          </w:rPr>
          <w:t>3.9.10.1.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_Toc119077971 \h </w:instrText>
        </w:r>
        <w:r>
          <w:rPr>
            <w:webHidden/>
          </w:rPr>
        </w:r>
        <w:r>
          <w:rPr>
            <w:webHidden/>
          </w:rPr>
          <w:fldChar w:fldCharType="separate"/>
        </w:r>
        <w:r>
          <w:rPr>
            <w:webHidden/>
          </w:rPr>
          <w:t>192</w:t>
        </w:r>
        <w:r>
          <w:rPr>
            <w:webHidden/>
          </w:rPr>
          <w:fldChar w:fldCharType="end"/>
        </w:r>
      </w:hyperlink>
    </w:p>
    <w:p w14:paraId="01D6A220" w14:textId="0C87C638" w:rsidR="00A75C39" w:rsidRDefault="00A75C39">
      <w:pPr>
        <w:pStyle w:val="TOC2"/>
        <w:rPr>
          <w:rFonts w:asciiTheme="minorHAnsi" w:eastAsiaTheme="minorEastAsia" w:hAnsiTheme="minorHAnsi" w:cstheme="minorBidi"/>
          <w:b w:val="0"/>
          <w:smallCaps w:val="0"/>
          <w:sz w:val="22"/>
          <w:lang w:val="en-US"/>
        </w:rPr>
      </w:pPr>
      <w:hyperlink w:anchor="_Toc119077972" w:history="1">
        <w:r w:rsidRPr="00B15381">
          <w:rPr>
            <w:rStyle w:val="Hyperlink"/>
            <w:rFonts w:ascii="Times New Roman" w:hAnsi="Times New Roman"/>
          </w:rPr>
          <w:t>3.9.11.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34.10 – Expozice vůči ústředním protistranám</w:t>
        </w:r>
        <w:r>
          <w:rPr>
            <w:webHidden/>
          </w:rPr>
          <w:tab/>
        </w:r>
        <w:r>
          <w:rPr>
            <w:webHidden/>
          </w:rPr>
          <w:fldChar w:fldCharType="begin"/>
        </w:r>
        <w:r>
          <w:rPr>
            <w:webHidden/>
          </w:rPr>
          <w:instrText xml:space="preserve"> PAGEREF _Toc119077972 \h </w:instrText>
        </w:r>
        <w:r>
          <w:rPr>
            <w:webHidden/>
          </w:rPr>
        </w:r>
        <w:r>
          <w:rPr>
            <w:webHidden/>
          </w:rPr>
          <w:fldChar w:fldCharType="separate"/>
        </w:r>
        <w:r>
          <w:rPr>
            <w:webHidden/>
          </w:rPr>
          <w:t>193</w:t>
        </w:r>
        <w:r>
          <w:rPr>
            <w:webHidden/>
          </w:rPr>
          <w:fldChar w:fldCharType="end"/>
        </w:r>
      </w:hyperlink>
    </w:p>
    <w:p w14:paraId="22166385" w14:textId="7F06A591" w:rsidR="00A75C39" w:rsidRDefault="00A75C39">
      <w:pPr>
        <w:pStyle w:val="TOC2"/>
        <w:rPr>
          <w:rFonts w:asciiTheme="minorHAnsi" w:eastAsiaTheme="minorEastAsia" w:hAnsiTheme="minorHAnsi" w:cstheme="minorBidi"/>
          <w:b w:val="0"/>
          <w:smallCaps w:val="0"/>
          <w:sz w:val="22"/>
          <w:lang w:val="en-US"/>
        </w:rPr>
      </w:pPr>
      <w:hyperlink w:anchor="_Toc119077973" w:history="1">
        <w:r w:rsidRPr="00B15381">
          <w:rPr>
            <w:rStyle w:val="Hyperlink"/>
            <w:rFonts w:ascii="Times New Roman" w:hAnsi="Times New Roman"/>
          </w:rPr>
          <w:t>3.9.11.1.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_Toc119077973 \h </w:instrText>
        </w:r>
        <w:r>
          <w:rPr>
            <w:webHidden/>
          </w:rPr>
        </w:r>
        <w:r>
          <w:rPr>
            <w:webHidden/>
          </w:rPr>
          <w:fldChar w:fldCharType="separate"/>
        </w:r>
        <w:r>
          <w:rPr>
            <w:webHidden/>
          </w:rPr>
          <w:t>193</w:t>
        </w:r>
        <w:r>
          <w:rPr>
            <w:webHidden/>
          </w:rPr>
          <w:fldChar w:fldCharType="end"/>
        </w:r>
      </w:hyperlink>
    </w:p>
    <w:p w14:paraId="4FF4A5A4" w14:textId="5C9E1266" w:rsidR="00A75C39" w:rsidRDefault="00A75C39">
      <w:pPr>
        <w:pStyle w:val="TOC2"/>
        <w:rPr>
          <w:rFonts w:asciiTheme="minorHAnsi" w:eastAsiaTheme="minorEastAsia" w:hAnsiTheme="minorHAnsi" w:cstheme="minorBidi"/>
          <w:b w:val="0"/>
          <w:smallCaps w:val="0"/>
          <w:sz w:val="22"/>
          <w:lang w:val="en-US"/>
        </w:rPr>
      </w:pPr>
      <w:hyperlink w:anchor="_Toc119077974" w:history="1">
        <w:r w:rsidRPr="00B15381">
          <w:rPr>
            <w:rStyle w:val="Hyperlink"/>
            <w:rFonts w:ascii="Times New Roman" w:hAnsi="Times New Roman"/>
          </w:rPr>
          <w:t>3.9.11.2.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_Toc119077974 \h </w:instrText>
        </w:r>
        <w:r>
          <w:rPr>
            <w:webHidden/>
          </w:rPr>
        </w:r>
        <w:r>
          <w:rPr>
            <w:webHidden/>
          </w:rPr>
          <w:fldChar w:fldCharType="separate"/>
        </w:r>
        <w:r>
          <w:rPr>
            <w:webHidden/>
          </w:rPr>
          <w:t>193</w:t>
        </w:r>
        <w:r>
          <w:rPr>
            <w:webHidden/>
          </w:rPr>
          <w:fldChar w:fldCharType="end"/>
        </w:r>
      </w:hyperlink>
    </w:p>
    <w:p w14:paraId="7783583C" w14:textId="0DF2BADA" w:rsidR="00A75C39" w:rsidRDefault="00A75C39">
      <w:pPr>
        <w:pStyle w:val="TOC2"/>
        <w:rPr>
          <w:rFonts w:asciiTheme="minorHAnsi" w:eastAsiaTheme="minorEastAsia" w:hAnsiTheme="minorHAnsi" w:cstheme="minorBidi"/>
          <w:b w:val="0"/>
          <w:smallCaps w:val="0"/>
          <w:sz w:val="22"/>
          <w:lang w:val="en-US"/>
        </w:rPr>
      </w:pPr>
      <w:hyperlink w:anchor="_Toc119077975" w:history="1">
        <w:r w:rsidRPr="00B15381">
          <w:rPr>
            <w:rStyle w:val="Hyperlink"/>
            <w:rFonts w:ascii="Times New Roman" w:hAnsi="Times New Roman"/>
          </w:rPr>
          <w:t>3.9.12.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34.11 – Výkazy toků objemů rizikově vážených expozic (RWEA) pro expozice s CCR podle metody interního modelu</w:t>
        </w:r>
        <w:r>
          <w:rPr>
            <w:webHidden/>
          </w:rPr>
          <w:tab/>
        </w:r>
        <w:r>
          <w:rPr>
            <w:webHidden/>
          </w:rPr>
          <w:fldChar w:fldCharType="begin"/>
        </w:r>
        <w:r>
          <w:rPr>
            <w:webHidden/>
          </w:rPr>
          <w:instrText xml:space="preserve"> PAGEREF _Toc119077975 \h </w:instrText>
        </w:r>
        <w:r>
          <w:rPr>
            <w:webHidden/>
          </w:rPr>
        </w:r>
        <w:r>
          <w:rPr>
            <w:webHidden/>
          </w:rPr>
          <w:fldChar w:fldCharType="separate"/>
        </w:r>
        <w:r>
          <w:rPr>
            <w:webHidden/>
          </w:rPr>
          <w:t>194</w:t>
        </w:r>
        <w:r>
          <w:rPr>
            <w:webHidden/>
          </w:rPr>
          <w:fldChar w:fldCharType="end"/>
        </w:r>
      </w:hyperlink>
    </w:p>
    <w:p w14:paraId="04DCDB41" w14:textId="28BB857A" w:rsidR="00A75C39" w:rsidRDefault="00A75C39">
      <w:pPr>
        <w:pStyle w:val="TOC2"/>
        <w:rPr>
          <w:rFonts w:asciiTheme="minorHAnsi" w:eastAsiaTheme="minorEastAsia" w:hAnsiTheme="minorHAnsi" w:cstheme="minorBidi"/>
          <w:b w:val="0"/>
          <w:smallCaps w:val="0"/>
          <w:sz w:val="22"/>
          <w:lang w:val="en-US"/>
        </w:rPr>
      </w:pPr>
      <w:hyperlink w:anchor="_Toc119077976" w:history="1">
        <w:r w:rsidRPr="00B15381">
          <w:rPr>
            <w:rStyle w:val="Hyperlink"/>
            <w:rFonts w:ascii="Times New Roman" w:hAnsi="Times New Roman"/>
          </w:rPr>
          <w:t>3.9.12.1.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_Toc119077976 \h </w:instrText>
        </w:r>
        <w:r>
          <w:rPr>
            <w:webHidden/>
          </w:rPr>
        </w:r>
        <w:r>
          <w:rPr>
            <w:webHidden/>
          </w:rPr>
          <w:fldChar w:fldCharType="separate"/>
        </w:r>
        <w:r>
          <w:rPr>
            <w:webHidden/>
          </w:rPr>
          <w:t>194</w:t>
        </w:r>
        <w:r>
          <w:rPr>
            <w:webHidden/>
          </w:rPr>
          <w:fldChar w:fldCharType="end"/>
        </w:r>
      </w:hyperlink>
    </w:p>
    <w:p w14:paraId="27D3FDFE" w14:textId="0FA6B00A" w:rsidR="00A75C39" w:rsidRDefault="00A75C39">
      <w:pPr>
        <w:pStyle w:val="TOC2"/>
        <w:rPr>
          <w:rFonts w:asciiTheme="minorHAnsi" w:eastAsiaTheme="minorEastAsia" w:hAnsiTheme="minorHAnsi" w:cstheme="minorBidi"/>
          <w:b w:val="0"/>
          <w:smallCaps w:val="0"/>
          <w:sz w:val="22"/>
          <w:lang w:val="en-US"/>
        </w:rPr>
      </w:pPr>
      <w:hyperlink w:anchor="_Toc119077977" w:history="1">
        <w:r w:rsidRPr="00B15381">
          <w:rPr>
            <w:rStyle w:val="Hyperlink"/>
            <w:rFonts w:ascii="Times New Roman" w:hAnsi="Times New Roman"/>
          </w:rPr>
          <w:t>3.9.12.2.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_Toc119077977 \h </w:instrText>
        </w:r>
        <w:r>
          <w:rPr>
            <w:webHidden/>
          </w:rPr>
        </w:r>
        <w:r>
          <w:rPr>
            <w:webHidden/>
          </w:rPr>
          <w:fldChar w:fldCharType="separate"/>
        </w:r>
        <w:r>
          <w:rPr>
            <w:webHidden/>
          </w:rPr>
          <w:t>194</w:t>
        </w:r>
        <w:r>
          <w:rPr>
            <w:webHidden/>
          </w:rPr>
          <w:fldChar w:fldCharType="end"/>
        </w:r>
      </w:hyperlink>
    </w:p>
    <w:p w14:paraId="0AC3C7A7" w14:textId="2AF56E67" w:rsidR="00A75C39" w:rsidRDefault="00A75C39">
      <w:pPr>
        <w:pStyle w:val="TOC2"/>
        <w:rPr>
          <w:rFonts w:asciiTheme="minorHAnsi" w:eastAsiaTheme="minorEastAsia" w:hAnsiTheme="minorHAnsi" w:cstheme="minorBidi"/>
          <w:b w:val="0"/>
          <w:smallCaps w:val="0"/>
          <w:sz w:val="22"/>
          <w:lang w:val="en-US"/>
        </w:rPr>
      </w:pPr>
      <w:hyperlink w:anchor="_Toc119077978" w:history="1">
        <w:r w:rsidRPr="00B15381">
          <w:rPr>
            <w:rStyle w:val="Hyperlink"/>
            <w:rFonts w:ascii="Times New Roman" w:hAnsi="Times New Roman"/>
          </w:rPr>
          <w:t>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Šablony zaměřené na operační riziko</w:t>
        </w:r>
        <w:r>
          <w:rPr>
            <w:webHidden/>
          </w:rPr>
          <w:tab/>
        </w:r>
        <w:r>
          <w:rPr>
            <w:webHidden/>
          </w:rPr>
          <w:fldChar w:fldCharType="begin"/>
        </w:r>
        <w:r>
          <w:rPr>
            <w:webHidden/>
          </w:rPr>
          <w:instrText xml:space="preserve"> PAGEREF _Toc119077978 \h </w:instrText>
        </w:r>
        <w:r>
          <w:rPr>
            <w:webHidden/>
          </w:rPr>
        </w:r>
        <w:r>
          <w:rPr>
            <w:webHidden/>
          </w:rPr>
          <w:fldChar w:fldCharType="separate"/>
        </w:r>
        <w:r>
          <w:rPr>
            <w:webHidden/>
          </w:rPr>
          <w:t>196</w:t>
        </w:r>
        <w:r>
          <w:rPr>
            <w:webHidden/>
          </w:rPr>
          <w:fldChar w:fldCharType="end"/>
        </w:r>
      </w:hyperlink>
    </w:p>
    <w:p w14:paraId="13CF04FF" w14:textId="63008C8F" w:rsidR="00A75C39" w:rsidRDefault="00A75C39">
      <w:pPr>
        <w:pStyle w:val="TOC2"/>
        <w:rPr>
          <w:rFonts w:asciiTheme="minorHAnsi" w:eastAsiaTheme="minorEastAsia" w:hAnsiTheme="minorHAnsi" w:cstheme="minorBidi"/>
          <w:b w:val="0"/>
          <w:smallCaps w:val="0"/>
          <w:sz w:val="22"/>
          <w:lang w:val="en-US"/>
        </w:rPr>
      </w:pPr>
      <w:hyperlink w:anchor="_Toc119077979" w:history="1">
        <w:r w:rsidRPr="00B15381">
          <w:rPr>
            <w:rStyle w:val="Hyperlink"/>
            <w:rFonts w:ascii="Times New Roman" w:hAnsi="Times New Roman"/>
          </w:rPr>
          <w:t>4.1</w:t>
        </w:r>
        <w:r>
          <w:rPr>
            <w:rFonts w:asciiTheme="minorHAnsi" w:eastAsiaTheme="minorEastAsia" w:hAnsiTheme="minorHAnsi" w:cstheme="minorBidi"/>
            <w:b w:val="0"/>
            <w:smallCaps w:val="0"/>
            <w:sz w:val="22"/>
            <w:lang w:val="en-US"/>
          </w:rPr>
          <w:tab/>
        </w:r>
        <w:r w:rsidRPr="00B15381">
          <w:rPr>
            <w:rStyle w:val="Hyperlink"/>
          </w:rPr>
          <w:t xml:space="preserve"> </w:t>
        </w:r>
        <w:r w:rsidRPr="00B15381">
          <w:rPr>
            <w:rStyle w:val="Hyperlink"/>
            <w:rFonts w:ascii="Times New Roman" w:hAnsi="Times New Roman"/>
          </w:rPr>
          <w:t>C 16.00 – Operační riziko</w:t>
        </w:r>
        <w:r w:rsidRPr="00B15381">
          <w:rPr>
            <w:rStyle w:val="Hyperlink"/>
          </w:rPr>
          <w:t xml:space="preserve"> </w:t>
        </w:r>
        <w:r w:rsidRPr="00B15381">
          <w:rPr>
            <w:rStyle w:val="Hyperlink"/>
            <w:rFonts w:ascii="Times New Roman" w:hAnsi="Times New Roman"/>
          </w:rPr>
          <w:t>(OPR)</w:t>
        </w:r>
        <w:r>
          <w:rPr>
            <w:webHidden/>
          </w:rPr>
          <w:tab/>
        </w:r>
        <w:r>
          <w:rPr>
            <w:webHidden/>
          </w:rPr>
          <w:fldChar w:fldCharType="begin"/>
        </w:r>
        <w:r>
          <w:rPr>
            <w:webHidden/>
          </w:rPr>
          <w:instrText xml:space="preserve"> PAGEREF _Toc119077979 \h </w:instrText>
        </w:r>
        <w:r>
          <w:rPr>
            <w:webHidden/>
          </w:rPr>
        </w:r>
        <w:r>
          <w:rPr>
            <w:webHidden/>
          </w:rPr>
          <w:fldChar w:fldCharType="separate"/>
        </w:r>
        <w:r>
          <w:rPr>
            <w:webHidden/>
          </w:rPr>
          <w:t>196</w:t>
        </w:r>
        <w:r>
          <w:rPr>
            <w:webHidden/>
          </w:rPr>
          <w:fldChar w:fldCharType="end"/>
        </w:r>
      </w:hyperlink>
    </w:p>
    <w:p w14:paraId="07FF6E60" w14:textId="1D899901" w:rsidR="00A75C39" w:rsidRDefault="00A75C39">
      <w:pPr>
        <w:pStyle w:val="TOC2"/>
        <w:rPr>
          <w:rFonts w:asciiTheme="minorHAnsi" w:eastAsiaTheme="minorEastAsia" w:hAnsiTheme="minorHAnsi" w:cstheme="minorBidi"/>
          <w:b w:val="0"/>
          <w:smallCaps w:val="0"/>
          <w:sz w:val="22"/>
          <w:lang w:val="en-US"/>
        </w:rPr>
      </w:pPr>
      <w:hyperlink w:anchor="_Toc119077980" w:history="1">
        <w:r w:rsidRPr="00B15381">
          <w:rPr>
            <w:rStyle w:val="Hyperlink"/>
            <w:rFonts w:ascii="Times New Roman" w:hAnsi="Times New Roman"/>
          </w:rPr>
          <w:t>4.4.1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_Toc119077980 \h </w:instrText>
        </w:r>
        <w:r>
          <w:rPr>
            <w:webHidden/>
          </w:rPr>
        </w:r>
        <w:r>
          <w:rPr>
            <w:webHidden/>
          </w:rPr>
          <w:fldChar w:fldCharType="separate"/>
        </w:r>
        <w:r>
          <w:rPr>
            <w:webHidden/>
          </w:rPr>
          <w:t>196</w:t>
        </w:r>
        <w:r>
          <w:rPr>
            <w:webHidden/>
          </w:rPr>
          <w:fldChar w:fldCharType="end"/>
        </w:r>
      </w:hyperlink>
    </w:p>
    <w:p w14:paraId="6D3A1424" w14:textId="5BF059AF" w:rsidR="00A75C39" w:rsidRDefault="00A75C39">
      <w:pPr>
        <w:pStyle w:val="TOC2"/>
        <w:rPr>
          <w:rFonts w:asciiTheme="minorHAnsi" w:eastAsiaTheme="minorEastAsia" w:hAnsiTheme="minorHAnsi" w:cstheme="minorBidi"/>
          <w:b w:val="0"/>
          <w:smallCaps w:val="0"/>
          <w:sz w:val="22"/>
          <w:lang w:val="en-US"/>
        </w:rPr>
      </w:pPr>
      <w:hyperlink w:anchor="_Toc119077981" w:history="1">
        <w:r w:rsidRPr="00B15381">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_Toc119077981 \h </w:instrText>
        </w:r>
        <w:r>
          <w:rPr>
            <w:webHidden/>
          </w:rPr>
        </w:r>
        <w:r>
          <w:rPr>
            <w:webHidden/>
          </w:rPr>
          <w:fldChar w:fldCharType="separate"/>
        </w:r>
        <w:r>
          <w:rPr>
            <w:webHidden/>
          </w:rPr>
          <w:t>197</w:t>
        </w:r>
        <w:r>
          <w:rPr>
            <w:webHidden/>
          </w:rPr>
          <w:fldChar w:fldCharType="end"/>
        </w:r>
      </w:hyperlink>
    </w:p>
    <w:p w14:paraId="68239CEA" w14:textId="5D223875" w:rsidR="00A75C39" w:rsidRDefault="00A75C39">
      <w:pPr>
        <w:pStyle w:val="TOC2"/>
        <w:rPr>
          <w:rFonts w:asciiTheme="minorHAnsi" w:eastAsiaTheme="minorEastAsia" w:hAnsiTheme="minorHAnsi" w:cstheme="minorBidi"/>
          <w:b w:val="0"/>
          <w:smallCaps w:val="0"/>
          <w:sz w:val="22"/>
          <w:lang w:val="en-US"/>
        </w:rPr>
      </w:pPr>
      <w:hyperlink w:anchor="_Toc119077982" w:history="1">
        <w:r w:rsidRPr="00B15381">
          <w:rPr>
            <w:rStyle w:val="Hyperlink"/>
            <w:rFonts w:ascii="Times New Roman" w:hAnsi="Times New Roman"/>
          </w:rPr>
          <w:t>4.2.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Operační riziko: Podrobné informace o ztrátách v minulém roce (OPR DETAILS)</w:t>
        </w:r>
        <w:r>
          <w:rPr>
            <w:webHidden/>
          </w:rPr>
          <w:tab/>
        </w:r>
        <w:r>
          <w:rPr>
            <w:webHidden/>
          </w:rPr>
          <w:fldChar w:fldCharType="begin"/>
        </w:r>
        <w:r>
          <w:rPr>
            <w:webHidden/>
          </w:rPr>
          <w:instrText xml:space="preserve"> PAGEREF _Toc119077982 \h </w:instrText>
        </w:r>
        <w:r>
          <w:rPr>
            <w:webHidden/>
          </w:rPr>
        </w:r>
        <w:r>
          <w:rPr>
            <w:webHidden/>
          </w:rPr>
          <w:fldChar w:fldCharType="separate"/>
        </w:r>
        <w:r>
          <w:rPr>
            <w:webHidden/>
          </w:rPr>
          <w:t>200</w:t>
        </w:r>
        <w:r>
          <w:rPr>
            <w:webHidden/>
          </w:rPr>
          <w:fldChar w:fldCharType="end"/>
        </w:r>
      </w:hyperlink>
    </w:p>
    <w:p w14:paraId="3947B651" w14:textId="4AFBAD28" w:rsidR="00A75C39" w:rsidRDefault="00A75C39">
      <w:pPr>
        <w:pStyle w:val="TOC2"/>
        <w:rPr>
          <w:rFonts w:asciiTheme="minorHAnsi" w:eastAsiaTheme="minorEastAsia" w:hAnsiTheme="minorHAnsi" w:cstheme="minorBidi"/>
          <w:b w:val="0"/>
          <w:smallCaps w:val="0"/>
          <w:sz w:val="22"/>
          <w:lang w:val="en-US"/>
        </w:rPr>
      </w:pPr>
      <w:hyperlink w:anchor="_Toc119077983" w:history="1">
        <w:r w:rsidRPr="00B15381">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_Toc119077983 \h </w:instrText>
        </w:r>
        <w:r>
          <w:rPr>
            <w:webHidden/>
          </w:rPr>
        </w:r>
        <w:r>
          <w:rPr>
            <w:webHidden/>
          </w:rPr>
          <w:fldChar w:fldCharType="separate"/>
        </w:r>
        <w:r>
          <w:rPr>
            <w:webHidden/>
          </w:rPr>
          <w:t>200</w:t>
        </w:r>
        <w:r>
          <w:rPr>
            <w:webHidden/>
          </w:rPr>
          <w:fldChar w:fldCharType="end"/>
        </w:r>
      </w:hyperlink>
    </w:p>
    <w:p w14:paraId="0F2A1E31" w14:textId="64F504C7" w:rsidR="00A75C39" w:rsidRDefault="00A75C39">
      <w:pPr>
        <w:pStyle w:val="TOC2"/>
        <w:rPr>
          <w:rFonts w:asciiTheme="minorHAnsi" w:eastAsiaTheme="minorEastAsia" w:hAnsiTheme="minorHAnsi" w:cstheme="minorBidi"/>
          <w:b w:val="0"/>
          <w:smallCaps w:val="0"/>
          <w:sz w:val="22"/>
          <w:lang w:val="en-US"/>
        </w:rPr>
      </w:pPr>
      <w:hyperlink w:anchor="_Toc119077984" w:history="1">
        <w:r w:rsidRPr="00B15381">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17.01: Operační riziko: ztráty a výtěžky podle linií podnikání a druhů ztrátových událostí v minulém roce (OPR DETAILS 1)</w:t>
        </w:r>
        <w:r>
          <w:rPr>
            <w:webHidden/>
          </w:rPr>
          <w:tab/>
        </w:r>
        <w:r>
          <w:rPr>
            <w:webHidden/>
          </w:rPr>
          <w:fldChar w:fldCharType="begin"/>
        </w:r>
        <w:r>
          <w:rPr>
            <w:webHidden/>
          </w:rPr>
          <w:instrText xml:space="preserve"> PAGEREF _Toc119077984 \h </w:instrText>
        </w:r>
        <w:r>
          <w:rPr>
            <w:webHidden/>
          </w:rPr>
        </w:r>
        <w:r>
          <w:rPr>
            <w:webHidden/>
          </w:rPr>
          <w:fldChar w:fldCharType="separate"/>
        </w:r>
        <w:r>
          <w:rPr>
            <w:webHidden/>
          </w:rPr>
          <w:t>202</w:t>
        </w:r>
        <w:r>
          <w:rPr>
            <w:webHidden/>
          </w:rPr>
          <w:fldChar w:fldCharType="end"/>
        </w:r>
      </w:hyperlink>
    </w:p>
    <w:p w14:paraId="5DD4EC54" w14:textId="27DE28DA" w:rsidR="00A75C39" w:rsidRDefault="00A75C39">
      <w:pPr>
        <w:pStyle w:val="TOC2"/>
        <w:rPr>
          <w:rFonts w:asciiTheme="minorHAnsi" w:eastAsiaTheme="minorEastAsia" w:hAnsiTheme="minorHAnsi" w:cstheme="minorBidi"/>
          <w:b w:val="0"/>
          <w:smallCaps w:val="0"/>
          <w:sz w:val="22"/>
          <w:lang w:val="en-US"/>
        </w:rPr>
      </w:pPr>
      <w:hyperlink w:anchor="_Toc119077985" w:history="1">
        <w:r w:rsidRPr="00B15381">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_Toc119077985 \h </w:instrText>
        </w:r>
        <w:r>
          <w:rPr>
            <w:webHidden/>
          </w:rPr>
        </w:r>
        <w:r>
          <w:rPr>
            <w:webHidden/>
          </w:rPr>
          <w:fldChar w:fldCharType="separate"/>
        </w:r>
        <w:r>
          <w:rPr>
            <w:webHidden/>
          </w:rPr>
          <w:t>202</w:t>
        </w:r>
        <w:r>
          <w:rPr>
            <w:webHidden/>
          </w:rPr>
          <w:fldChar w:fldCharType="end"/>
        </w:r>
      </w:hyperlink>
    </w:p>
    <w:p w14:paraId="4C7B4B00" w14:textId="78D2281B" w:rsidR="00A75C39" w:rsidRDefault="00A75C39">
      <w:pPr>
        <w:pStyle w:val="TOC2"/>
        <w:rPr>
          <w:rFonts w:asciiTheme="minorHAnsi" w:eastAsiaTheme="minorEastAsia" w:hAnsiTheme="minorHAnsi" w:cstheme="minorBidi"/>
          <w:b w:val="0"/>
          <w:smallCaps w:val="0"/>
          <w:sz w:val="22"/>
          <w:lang w:val="en-US"/>
        </w:rPr>
      </w:pPr>
      <w:hyperlink w:anchor="_Toc119077986" w:history="1">
        <w:r w:rsidRPr="00B15381">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_Toc119077986 \h </w:instrText>
        </w:r>
        <w:r>
          <w:rPr>
            <w:webHidden/>
          </w:rPr>
        </w:r>
        <w:r>
          <w:rPr>
            <w:webHidden/>
          </w:rPr>
          <w:fldChar w:fldCharType="separate"/>
        </w:r>
        <w:r>
          <w:rPr>
            <w:webHidden/>
          </w:rPr>
          <w:t>202</w:t>
        </w:r>
        <w:r>
          <w:rPr>
            <w:webHidden/>
          </w:rPr>
          <w:fldChar w:fldCharType="end"/>
        </w:r>
      </w:hyperlink>
    </w:p>
    <w:p w14:paraId="30F91BD6" w14:textId="4A6FBA61" w:rsidR="00A75C39" w:rsidRDefault="00A75C39">
      <w:pPr>
        <w:pStyle w:val="TOC2"/>
        <w:rPr>
          <w:rFonts w:asciiTheme="minorHAnsi" w:eastAsiaTheme="minorEastAsia" w:hAnsiTheme="minorHAnsi" w:cstheme="minorBidi"/>
          <w:b w:val="0"/>
          <w:smallCaps w:val="0"/>
          <w:sz w:val="22"/>
          <w:lang w:val="en-US"/>
        </w:rPr>
      </w:pPr>
      <w:hyperlink w:anchor="_Toc119077987" w:history="1">
        <w:r w:rsidRPr="00B15381">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17.02: Operační riziko: Podrobné informace o největších ztrátových událostech v minulém roce (OPR DETAILS 2)</w:t>
        </w:r>
        <w:r>
          <w:rPr>
            <w:webHidden/>
          </w:rPr>
          <w:tab/>
        </w:r>
        <w:r>
          <w:rPr>
            <w:webHidden/>
          </w:rPr>
          <w:fldChar w:fldCharType="begin"/>
        </w:r>
        <w:r>
          <w:rPr>
            <w:webHidden/>
          </w:rPr>
          <w:instrText xml:space="preserve"> PAGEREF _Toc119077987 \h </w:instrText>
        </w:r>
        <w:r>
          <w:rPr>
            <w:webHidden/>
          </w:rPr>
        </w:r>
        <w:r>
          <w:rPr>
            <w:webHidden/>
          </w:rPr>
          <w:fldChar w:fldCharType="separate"/>
        </w:r>
        <w:r>
          <w:rPr>
            <w:webHidden/>
          </w:rPr>
          <w:t>209</w:t>
        </w:r>
        <w:r>
          <w:rPr>
            <w:webHidden/>
          </w:rPr>
          <w:fldChar w:fldCharType="end"/>
        </w:r>
      </w:hyperlink>
    </w:p>
    <w:p w14:paraId="5FADBC9A" w14:textId="3BA0D6B7" w:rsidR="00A75C39" w:rsidRDefault="00A75C39">
      <w:pPr>
        <w:pStyle w:val="TOC2"/>
        <w:rPr>
          <w:rFonts w:asciiTheme="minorHAnsi" w:eastAsiaTheme="minorEastAsia" w:hAnsiTheme="minorHAnsi" w:cstheme="minorBidi"/>
          <w:b w:val="0"/>
          <w:smallCaps w:val="0"/>
          <w:sz w:val="22"/>
          <w:lang w:val="en-US"/>
        </w:rPr>
      </w:pPr>
      <w:hyperlink w:anchor="_Toc119077988" w:history="1">
        <w:r w:rsidRPr="00B15381">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_Toc119077988 \h </w:instrText>
        </w:r>
        <w:r>
          <w:rPr>
            <w:webHidden/>
          </w:rPr>
        </w:r>
        <w:r>
          <w:rPr>
            <w:webHidden/>
          </w:rPr>
          <w:fldChar w:fldCharType="separate"/>
        </w:r>
        <w:r>
          <w:rPr>
            <w:webHidden/>
          </w:rPr>
          <w:t>209</w:t>
        </w:r>
        <w:r>
          <w:rPr>
            <w:webHidden/>
          </w:rPr>
          <w:fldChar w:fldCharType="end"/>
        </w:r>
      </w:hyperlink>
    </w:p>
    <w:p w14:paraId="27295450" w14:textId="13D25109" w:rsidR="00A75C39" w:rsidRDefault="00A75C39">
      <w:pPr>
        <w:pStyle w:val="TOC2"/>
        <w:rPr>
          <w:rFonts w:asciiTheme="minorHAnsi" w:eastAsiaTheme="minorEastAsia" w:hAnsiTheme="minorHAnsi" w:cstheme="minorBidi"/>
          <w:b w:val="0"/>
          <w:smallCaps w:val="0"/>
          <w:sz w:val="22"/>
          <w:lang w:val="en-US"/>
        </w:rPr>
      </w:pPr>
      <w:hyperlink w:anchor="_Toc119077989" w:history="1">
        <w:r w:rsidRPr="00B15381">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_Toc119077989 \h </w:instrText>
        </w:r>
        <w:r>
          <w:rPr>
            <w:webHidden/>
          </w:rPr>
        </w:r>
        <w:r>
          <w:rPr>
            <w:webHidden/>
          </w:rPr>
          <w:fldChar w:fldCharType="separate"/>
        </w:r>
        <w:r>
          <w:rPr>
            <w:webHidden/>
          </w:rPr>
          <w:t>209</w:t>
        </w:r>
        <w:r>
          <w:rPr>
            <w:webHidden/>
          </w:rPr>
          <w:fldChar w:fldCharType="end"/>
        </w:r>
      </w:hyperlink>
    </w:p>
    <w:p w14:paraId="779437E8" w14:textId="5496EA5B" w:rsidR="00A75C39" w:rsidRDefault="00A75C39">
      <w:pPr>
        <w:pStyle w:val="TOC2"/>
        <w:rPr>
          <w:rFonts w:asciiTheme="minorHAnsi" w:eastAsiaTheme="minorEastAsia" w:hAnsiTheme="minorHAnsi" w:cstheme="minorBidi"/>
          <w:b w:val="0"/>
          <w:smallCaps w:val="0"/>
          <w:sz w:val="22"/>
          <w:lang w:val="en-US"/>
        </w:rPr>
      </w:pPr>
      <w:hyperlink w:anchor="_Toc119077990" w:history="1">
        <w:r w:rsidRPr="00B15381">
          <w:rPr>
            <w:rStyle w:val="Hyperlink"/>
            <w:rFonts w:ascii="Times New Roman" w:hAnsi="Times New Roman"/>
          </w:rPr>
          <w:t>5.</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Šablony zaměřené na tržní riziko</w:t>
        </w:r>
        <w:r>
          <w:rPr>
            <w:webHidden/>
          </w:rPr>
          <w:tab/>
        </w:r>
        <w:r>
          <w:rPr>
            <w:webHidden/>
          </w:rPr>
          <w:fldChar w:fldCharType="begin"/>
        </w:r>
        <w:r>
          <w:rPr>
            <w:webHidden/>
          </w:rPr>
          <w:instrText xml:space="preserve"> PAGEREF _Toc119077990 \h </w:instrText>
        </w:r>
        <w:r>
          <w:rPr>
            <w:webHidden/>
          </w:rPr>
        </w:r>
        <w:r>
          <w:rPr>
            <w:webHidden/>
          </w:rPr>
          <w:fldChar w:fldCharType="separate"/>
        </w:r>
        <w:r>
          <w:rPr>
            <w:webHidden/>
          </w:rPr>
          <w:t>212</w:t>
        </w:r>
        <w:r>
          <w:rPr>
            <w:webHidden/>
          </w:rPr>
          <w:fldChar w:fldCharType="end"/>
        </w:r>
      </w:hyperlink>
    </w:p>
    <w:p w14:paraId="0C31BDFD" w14:textId="0F8FF913" w:rsidR="00A75C39" w:rsidRDefault="00A75C39">
      <w:pPr>
        <w:pStyle w:val="TOC2"/>
        <w:rPr>
          <w:rFonts w:asciiTheme="minorHAnsi" w:eastAsiaTheme="minorEastAsia" w:hAnsiTheme="minorHAnsi" w:cstheme="minorBidi"/>
          <w:b w:val="0"/>
          <w:smallCaps w:val="0"/>
          <w:sz w:val="22"/>
          <w:lang w:val="en-US"/>
        </w:rPr>
      </w:pPr>
      <w:hyperlink w:anchor="_Toc119077991" w:history="1">
        <w:r w:rsidRPr="00B15381">
          <w:rPr>
            <w:rStyle w:val="Hyperlink"/>
            <w:rFonts w:ascii="Times New Roman" w:hAnsi="Times New Roman"/>
          </w:rPr>
          <w:t>5.1.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18.00 – Tržní riziko: Standardizovaný přístup k pozičním rizikům v obchodovaných dluhových nástrojích (MKR SA TDI)</w:t>
        </w:r>
        <w:r>
          <w:rPr>
            <w:webHidden/>
          </w:rPr>
          <w:tab/>
        </w:r>
        <w:r>
          <w:rPr>
            <w:webHidden/>
          </w:rPr>
          <w:fldChar w:fldCharType="begin"/>
        </w:r>
        <w:r>
          <w:rPr>
            <w:webHidden/>
          </w:rPr>
          <w:instrText xml:space="preserve"> PAGEREF _Toc119077991 \h </w:instrText>
        </w:r>
        <w:r>
          <w:rPr>
            <w:webHidden/>
          </w:rPr>
        </w:r>
        <w:r>
          <w:rPr>
            <w:webHidden/>
          </w:rPr>
          <w:fldChar w:fldCharType="separate"/>
        </w:r>
        <w:r>
          <w:rPr>
            <w:webHidden/>
          </w:rPr>
          <w:t>212</w:t>
        </w:r>
        <w:r>
          <w:rPr>
            <w:webHidden/>
          </w:rPr>
          <w:fldChar w:fldCharType="end"/>
        </w:r>
      </w:hyperlink>
    </w:p>
    <w:p w14:paraId="6B524C61" w14:textId="585DE44F" w:rsidR="00A75C39" w:rsidRDefault="00A75C39">
      <w:pPr>
        <w:pStyle w:val="TOC2"/>
        <w:rPr>
          <w:rFonts w:asciiTheme="minorHAnsi" w:eastAsiaTheme="minorEastAsia" w:hAnsiTheme="minorHAnsi" w:cstheme="minorBidi"/>
          <w:b w:val="0"/>
          <w:smallCaps w:val="0"/>
          <w:sz w:val="22"/>
          <w:lang w:val="en-US"/>
        </w:rPr>
      </w:pPr>
      <w:hyperlink w:anchor="_Toc119077992" w:history="1">
        <w:r w:rsidRPr="00B15381">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_Toc119077992 \h </w:instrText>
        </w:r>
        <w:r>
          <w:rPr>
            <w:webHidden/>
          </w:rPr>
        </w:r>
        <w:r>
          <w:rPr>
            <w:webHidden/>
          </w:rPr>
          <w:fldChar w:fldCharType="separate"/>
        </w:r>
        <w:r>
          <w:rPr>
            <w:webHidden/>
          </w:rPr>
          <w:t>212</w:t>
        </w:r>
        <w:r>
          <w:rPr>
            <w:webHidden/>
          </w:rPr>
          <w:fldChar w:fldCharType="end"/>
        </w:r>
      </w:hyperlink>
    </w:p>
    <w:p w14:paraId="4F490B4A" w14:textId="23EE5E9D" w:rsidR="00A75C39" w:rsidRDefault="00A75C39">
      <w:pPr>
        <w:pStyle w:val="TOC2"/>
        <w:rPr>
          <w:rFonts w:asciiTheme="minorHAnsi" w:eastAsiaTheme="minorEastAsia" w:hAnsiTheme="minorHAnsi" w:cstheme="minorBidi"/>
          <w:b w:val="0"/>
          <w:smallCaps w:val="0"/>
          <w:sz w:val="22"/>
          <w:lang w:val="en-US"/>
        </w:rPr>
      </w:pPr>
      <w:hyperlink w:anchor="_Toc119077993" w:history="1">
        <w:r w:rsidRPr="00B15381">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_Toc119077993 \h </w:instrText>
        </w:r>
        <w:r>
          <w:rPr>
            <w:webHidden/>
          </w:rPr>
        </w:r>
        <w:r>
          <w:rPr>
            <w:webHidden/>
          </w:rPr>
          <w:fldChar w:fldCharType="separate"/>
        </w:r>
        <w:r>
          <w:rPr>
            <w:webHidden/>
          </w:rPr>
          <w:t>212</w:t>
        </w:r>
        <w:r>
          <w:rPr>
            <w:webHidden/>
          </w:rPr>
          <w:fldChar w:fldCharType="end"/>
        </w:r>
      </w:hyperlink>
    </w:p>
    <w:p w14:paraId="4042FF02" w14:textId="1653363A" w:rsidR="00A75C39" w:rsidRDefault="00A75C39">
      <w:pPr>
        <w:pStyle w:val="TOC2"/>
        <w:rPr>
          <w:rFonts w:asciiTheme="minorHAnsi" w:eastAsiaTheme="minorEastAsia" w:hAnsiTheme="minorHAnsi" w:cstheme="minorBidi"/>
          <w:b w:val="0"/>
          <w:smallCaps w:val="0"/>
          <w:sz w:val="22"/>
          <w:lang w:val="en-US"/>
        </w:rPr>
      </w:pPr>
      <w:hyperlink w:anchor="_Toc119077994" w:history="1">
        <w:r w:rsidRPr="00B15381">
          <w:rPr>
            <w:rStyle w:val="Hyperlink"/>
            <w:rFonts w:ascii="Times New Roman" w:hAnsi="Times New Roman"/>
            <w:lang w:val="fr-FR"/>
          </w:rPr>
          <w:t>5.2.</w:t>
        </w:r>
        <w:r>
          <w:rPr>
            <w:rFonts w:asciiTheme="minorHAnsi" w:eastAsiaTheme="minorEastAsia" w:hAnsiTheme="minorHAnsi" w:cstheme="minorBidi"/>
            <w:b w:val="0"/>
            <w:smallCaps w:val="0"/>
            <w:sz w:val="22"/>
            <w:lang w:val="en-US"/>
          </w:rPr>
          <w:tab/>
        </w:r>
        <w:r w:rsidRPr="00B15381">
          <w:rPr>
            <w:rStyle w:val="Hyperlink"/>
            <w:rFonts w:ascii="Times New Roman" w:hAnsi="Times New Roman"/>
            <w:lang w:val="fr-FR"/>
          </w:rPr>
          <w:t>C 19.00 – TRŽNÍ RIZIKO: STANDARDIZOVANÝ PŘÍSTUP KE SPECIFICKÉMU RIZIKU V SEKURITIZACÍCH (MKR SA SEC)</w:t>
        </w:r>
        <w:r>
          <w:rPr>
            <w:webHidden/>
          </w:rPr>
          <w:tab/>
        </w:r>
        <w:r>
          <w:rPr>
            <w:webHidden/>
          </w:rPr>
          <w:fldChar w:fldCharType="begin"/>
        </w:r>
        <w:r>
          <w:rPr>
            <w:webHidden/>
          </w:rPr>
          <w:instrText xml:space="preserve"> PAGEREF _Toc119077994 \h </w:instrText>
        </w:r>
        <w:r>
          <w:rPr>
            <w:webHidden/>
          </w:rPr>
        </w:r>
        <w:r>
          <w:rPr>
            <w:webHidden/>
          </w:rPr>
          <w:fldChar w:fldCharType="separate"/>
        </w:r>
        <w:r>
          <w:rPr>
            <w:webHidden/>
          </w:rPr>
          <w:t>215</w:t>
        </w:r>
        <w:r>
          <w:rPr>
            <w:webHidden/>
          </w:rPr>
          <w:fldChar w:fldCharType="end"/>
        </w:r>
      </w:hyperlink>
    </w:p>
    <w:p w14:paraId="653DC37F" w14:textId="38C229E6" w:rsidR="00A75C39" w:rsidRDefault="00A75C39">
      <w:pPr>
        <w:pStyle w:val="TOC2"/>
        <w:rPr>
          <w:rFonts w:asciiTheme="minorHAnsi" w:eastAsiaTheme="minorEastAsia" w:hAnsiTheme="minorHAnsi" w:cstheme="minorBidi"/>
          <w:b w:val="0"/>
          <w:smallCaps w:val="0"/>
          <w:sz w:val="22"/>
          <w:lang w:val="en-US"/>
        </w:rPr>
      </w:pPr>
      <w:hyperlink w:anchor="_Toc119077995" w:history="1">
        <w:r w:rsidRPr="00B15381">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_Toc119077995 \h </w:instrText>
        </w:r>
        <w:r>
          <w:rPr>
            <w:webHidden/>
          </w:rPr>
        </w:r>
        <w:r>
          <w:rPr>
            <w:webHidden/>
          </w:rPr>
          <w:fldChar w:fldCharType="separate"/>
        </w:r>
        <w:r>
          <w:rPr>
            <w:webHidden/>
          </w:rPr>
          <w:t>215</w:t>
        </w:r>
        <w:r>
          <w:rPr>
            <w:webHidden/>
          </w:rPr>
          <w:fldChar w:fldCharType="end"/>
        </w:r>
      </w:hyperlink>
    </w:p>
    <w:p w14:paraId="0D81BBD4" w14:textId="6A17CF59" w:rsidR="00A75C39" w:rsidRDefault="00A75C39">
      <w:pPr>
        <w:pStyle w:val="TOC2"/>
        <w:rPr>
          <w:rFonts w:asciiTheme="minorHAnsi" w:eastAsiaTheme="minorEastAsia" w:hAnsiTheme="minorHAnsi" w:cstheme="minorBidi"/>
          <w:b w:val="0"/>
          <w:smallCaps w:val="0"/>
          <w:sz w:val="22"/>
          <w:lang w:val="en-US"/>
        </w:rPr>
      </w:pPr>
      <w:hyperlink w:anchor="_Toc119077996" w:history="1">
        <w:r w:rsidRPr="00B15381">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_Toc119077996 \h </w:instrText>
        </w:r>
        <w:r>
          <w:rPr>
            <w:webHidden/>
          </w:rPr>
        </w:r>
        <w:r>
          <w:rPr>
            <w:webHidden/>
          </w:rPr>
          <w:fldChar w:fldCharType="separate"/>
        </w:r>
        <w:r>
          <w:rPr>
            <w:webHidden/>
          </w:rPr>
          <w:t>215</w:t>
        </w:r>
        <w:r>
          <w:rPr>
            <w:webHidden/>
          </w:rPr>
          <w:fldChar w:fldCharType="end"/>
        </w:r>
      </w:hyperlink>
    </w:p>
    <w:p w14:paraId="450F5B94" w14:textId="49535797" w:rsidR="00A75C39" w:rsidRDefault="00A75C39">
      <w:pPr>
        <w:pStyle w:val="TOC2"/>
        <w:rPr>
          <w:rFonts w:asciiTheme="minorHAnsi" w:eastAsiaTheme="minorEastAsia" w:hAnsiTheme="minorHAnsi" w:cstheme="minorBidi"/>
          <w:b w:val="0"/>
          <w:smallCaps w:val="0"/>
          <w:sz w:val="22"/>
          <w:lang w:val="en-US"/>
        </w:rPr>
      </w:pPr>
      <w:hyperlink w:anchor="_Toc119077997" w:history="1">
        <w:r w:rsidRPr="00B15381">
          <w:rPr>
            <w:rStyle w:val="Hyperlink"/>
            <w:rFonts w:ascii="Times New Roman" w:hAnsi="Times New Roman"/>
          </w:rPr>
          <w:t>5.3.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20.00 – TRŽNÍ RIZIKO: STANDARDIZOVANÝ PŘÍSTUP KE SPECIFICKÉMU RIZIKU V PŘÍPADĚ POZIC ZAŘAZENÝCH DO PORTFOLIA OBCHODOVÁNÍ S KORELACÍ (MKR SA CTP)</w:t>
        </w:r>
        <w:r>
          <w:rPr>
            <w:webHidden/>
          </w:rPr>
          <w:tab/>
        </w:r>
        <w:r>
          <w:rPr>
            <w:webHidden/>
          </w:rPr>
          <w:fldChar w:fldCharType="begin"/>
        </w:r>
        <w:r>
          <w:rPr>
            <w:webHidden/>
          </w:rPr>
          <w:instrText xml:space="preserve"> PAGEREF _Toc119077997 \h </w:instrText>
        </w:r>
        <w:r>
          <w:rPr>
            <w:webHidden/>
          </w:rPr>
        </w:r>
        <w:r>
          <w:rPr>
            <w:webHidden/>
          </w:rPr>
          <w:fldChar w:fldCharType="separate"/>
        </w:r>
        <w:r>
          <w:rPr>
            <w:webHidden/>
          </w:rPr>
          <w:t>217</w:t>
        </w:r>
        <w:r>
          <w:rPr>
            <w:webHidden/>
          </w:rPr>
          <w:fldChar w:fldCharType="end"/>
        </w:r>
      </w:hyperlink>
    </w:p>
    <w:p w14:paraId="79391301" w14:textId="3044B6F7" w:rsidR="00A75C39" w:rsidRDefault="00A75C39">
      <w:pPr>
        <w:pStyle w:val="TOC2"/>
        <w:rPr>
          <w:rFonts w:asciiTheme="minorHAnsi" w:eastAsiaTheme="minorEastAsia" w:hAnsiTheme="minorHAnsi" w:cstheme="minorBidi"/>
          <w:b w:val="0"/>
          <w:smallCaps w:val="0"/>
          <w:sz w:val="22"/>
          <w:lang w:val="en-US"/>
        </w:rPr>
      </w:pPr>
      <w:hyperlink w:anchor="_Toc119077998" w:history="1">
        <w:r w:rsidRPr="00B15381">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_Toc119077998 \h </w:instrText>
        </w:r>
        <w:r>
          <w:rPr>
            <w:webHidden/>
          </w:rPr>
        </w:r>
        <w:r>
          <w:rPr>
            <w:webHidden/>
          </w:rPr>
          <w:fldChar w:fldCharType="separate"/>
        </w:r>
        <w:r>
          <w:rPr>
            <w:webHidden/>
          </w:rPr>
          <w:t>217</w:t>
        </w:r>
        <w:r>
          <w:rPr>
            <w:webHidden/>
          </w:rPr>
          <w:fldChar w:fldCharType="end"/>
        </w:r>
      </w:hyperlink>
    </w:p>
    <w:p w14:paraId="1D9B1031" w14:textId="74A3BB6C" w:rsidR="00A75C39" w:rsidRDefault="00A75C39">
      <w:pPr>
        <w:pStyle w:val="TOC2"/>
        <w:rPr>
          <w:rFonts w:asciiTheme="minorHAnsi" w:eastAsiaTheme="minorEastAsia" w:hAnsiTheme="minorHAnsi" w:cstheme="minorBidi"/>
          <w:b w:val="0"/>
          <w:smallCaps w:val="0"/>
          <w:sz w:val="22"/>
          <w:lang w:val="en-US"/>
        </w:rPr>
      </w:pPr>
      <w:hyperlink w:anchor="_Toc119077999" w:history="1">
        <w:r w:rsidRPr="00B15381">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_Toc119077999 \h </w:instrText>
        </w:r>
        <w:r>
          <w:rPr>
            <w:webHidden/>
          </w:rPr>
        </w:r>
        <w:r>
          <w:rPr>
            <w:webHidden/>
          </w:rPr>
          <w:fldChar w:fldCharType="separate"/>
        </w:r>
        <w:r>
          <w:rPr>
            <w:webHidden/>
          </w:rPr>
          <w:t>218</w:t>
        </w:r>
        <w:r>
          <w:rPr>
            <w:webHidden/>
          </w:rPr>
          <w:fldChar w:fldCharType="end"/>
        </w:r>
      </w:hyperlink>
    </w:p>
    <w:p w14:paraId="60C8E0F8" w14:textId="49A81999" w:rsidR="00A75C39" w:rsidRDefault="00A75C39">
      <w:pPr>
        <w:pStyle w:val="TOC2"/>
        <w:rPr>
          <w:rFonts w:asciiTheme="minorHAnsi" w:eastAsiaTheme="minorEastAsia" w:hAnsiTheme="minorHAnsi" w:cstheme="minorBidi"/>
          <w:b w:val="0"/>
          <w:smallCaps w:val="0"/>
          <w:sz w:val="22"/>
          <w:lang w:val="en-US"/>
        </w:rPr>
      </w:pPr>
      <w:hyperlink w:anchor="_Toc119078000" w:history="1">
        <w:r w:rsidRPr="00B15381">
          <w:rPr>
            <w:rStyle w:val="Hyperlink"/>
            <w:rFonts w:ascii="Times New Roman" w:hAnsi="Times New Roman"/>
          </w:rPr>
          <w:t>5.4.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21.00 – Tržní riziko: Standardizovaný přístup k pozičnímu riziku v případě akcií</w:t>
        </w:r>
        <w:r w:rsidRPr="00B15381">
          <w:rPr>
            <w:rStyle w:val="Hyperlink"/>
          </w:rPr>
          <w:t xml:space="preserve"> </w:t>
        </w:r>
        <w:r w:rsidRPr="00B15381">
          <w:rPr>
            <w:rStyle w:val="Hyperlink"/>
            <w:rFonts w:ascii="Times New Roman" w:hAnsi="Times New Roman"/>
          </w:rPr>
          <w:t>(MKR SA EQU)</w:t>
        </w:r>
        <w:r>
          <w:rPr>
            <w:webHidden/>
          </w:rPr>
          <w:tab/>
        </w:r>
        <w:r>
          <w:rPr>
            <w:webHidden/>
          </w:rPr>
          <w:fldChar w:fldCharType="begin"/>
        </w:r>
        <w:r>
          <w:rPr>
            <w:webHidden/>
          </w:rPr>
          <w:instrText xml:space="preserve"> PAGEREF _Toc119078000 \h </w:instrText>
        </w:r>
        <w:r>
          <w:rPr>
            <w:webHidden/>
          </w:rPr>
        </w:r>
        <w:r>
          <w:rPr>
            <w:webHidden/>
          </w:rPr>
          <w:fldChar w:fldCharType="separate"/>
        </w:r>
        <w:r>
          <w:rPr>
            <w:webHidden/>
          </w:rPr>
          <w:t>220</w:t>
        </w:r>
        <w:r>
          <w:rPr>
            <w:webHidden/>
          </w:rPr>
          <w:fldChar w:fldCharType="end"/>
        </w:r>
      </w:hyperlink>
    </w:p>
    <w:p w14:paraId="156B7AA4" w14:textId="522D4630" w:rsidR="00A75C39" w:rsidRDefault="00A75C39">
      <w:pPr>
        <w:pStyle w:val="TOC2"/>
        <w:rPr>
          <w:rFonts w:asciiTheme="minorHAnsi" w:eastAsiaTheme="minorEastAsia" w:hAnsiTheme="minorHAnsi" w:cstheme="minorBidi"/>
          <w:b w:val="0"/>
          <w:smallCaps w:val="0"/>
          <w:sz w:val="22"/>
          <w:lang w:val="en-US"/>
        </w:rPr>
      </w:pPr>
      <w:hyperlink w:anchor="_Toc119078001" w:history="1">
        <w:r w:rsidRPr="00B15381">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_Toc119078001 \h </w:instrText>
        </w:r>
        <w:r>
          <w:rPr>
            <w:webHidden/>
          </w:rPr>
        </w:r>
        <w:r>
          <w:rPr>
            <w:webHidden/>
          </w:rPr>
          <w:fldChar w:fldCharType="separate"/>
        </w:r>
        <w:r>
          <w:rPr>
            <w:webHidden/>
          </w:rPr>
          <w:t>220</w:t>
        </w:r>
        <w:r>
          <w:rPr>
            <w:webHidden/>
          </w:rPr>
          <w:fldChar w:fldCharType="end"/>
        </w:r>
      </w:hyperlink>
    </w:p>
    <w:p w14:paraId="574C924F" w14:textId="31B7BA87" w:rsidR="00A75C39" w:rsidRDefault="00A75C39">
      <w:pPr>
        <w:pStyle w:val="TOC2"/>
        <w:rPr>
          <w:rFonts w:asciiTheme="minorHAnsi" w:eastAsiaTheme="minorEastAsia" w:hAnsiTheme="minorHAnsi" w:cstheme="minorBidi"/>
          <w:b w:val="0"/>
          <w:smallCaps w:val="0"/>
          <w:sz w:val="22"/>
          <w:lang w:val="en-US"/>
        </w:rPr>
      </w:pPr>
      <w:hyperlink w:anchor="_Toc119078002" w:history="1">
        <w:r w:rsidRPr="00B15381">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_Toc119078002 \h </w:instrText>
        </w:r>
        <w:r>
          <w:rPr>
            <w:webHidden/>
          </w:rPr>
        </w:r>
        <w:r>
          <w:rPr>
            <w:webHidden/>
          </w:rPr>
          <w:fldChar w:fldCharType="separate"/>
        </w:r>
        <w:r>
          <w:rPr>
            <w:webHidden/>
          </w:rPr>
          <w:t>221</w:t>
        </w:r>
        <w:r>
          <w:rPr>
            <w:webHidden/>
          </w:rPr>
          <w:fldChar w:fldCharType="end"/>
        </w:r>
      </w:hyperlink>
    </w:p>
    <w:p w14:paraId="2F95CB66" w14:textId="15F524B9" w:rsidR="00A75C39" w:rsidRDefault="00A75C39">
      <w:pPr>
        <w:pStyle w:val="TOC2"/>
        <w:rPr>
          <w:rFonts w:asciiTheme="minorHAnsi" w:eastAsiaTheme="minorEastAsia" w:hAnsiTheme="minorHAnsi" w:cstheme="minorBidi"/>
          <w:b w:val="0"/>
          <w:smallCaps w:val="0"/>
          <w:sz w:val="22"/>
          <w:lang w:val="en-US"/>
        </w:rPr>
      </w:pPr>
      <w:hyperlink w:anchor="_Toc119078003" w:history="1">
        <w:r w:rsidRPr="00B15381">
          <w:rPr>
            <w:rStyle w:val="Hyperlink"/>
            <w:rFonts w:ascii="Times New Roman" w:hAnsi="Times New Roman"/>
          </w:rPr>
          <w:t>5.5.</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22.00 – Tržní riziko: Standardizované přístupy k měnovému riziku</w:t>
        </w:r>
        <w:r w:rsidRPr="00B15381">
          <w:rPr>
            <w:rStyle w:val="Hyperlink"/>
          </w:rPr>
          <w:t xml:space="preserve"> </w:t>
        </w:r>
        <w:r w:rsidRPr="00B15381">
          <w:rPr>
            <w:rStyle w:val="Hyperlink"/>
            <w:rFonts w:ascii="Times New Roman" w:hAnsi="Times New Roman"/>
          </w:rPr>
          <w:t>(MKR SA FX)</w:t>
        </w:r>
        <w:r>
          <w:rPr>
            <w:webHidden/>
          </w:rPr>
          <w:tab/>
        </w:r>
        <w:r>
          <w:rPr>
            <w:webHidden/>
          </w:rPr>
          <w:fldChar w:fldCharType="begin"/>
        </w:r>
        <w:r>
          <w:rPr>
            <w:webHidden/>
          </w:rPr>
          <w:instrText xml:space="preserve"> PAGEREF _Toc119078003 \h </w:instrText>
        </w:r>
        <w:r>
          <w:rPr>
            <w:webHidden/>
          </w:rPr>
        </w:r>
        <w:r>
          <w:rPr>
            <w:webHidden/>
          </w:rPr>
          <w:fldChar w:fldCharType="separate"/>
        </w:r>
        <w:r>
          <w:rPr>
            <w:webHidden/>
          </w:rPr>
          <w:t>223</w:t>
        </w:r>
        <w:r>
          <w:rPr>
            <w:webHidden/>
          </w:rPr>
          <w:fldChar w:fldCharType="end"/>
        </w:r>
      </w:hyperlink>
    </w:p>
    <w:p w14:paraId="20A8D4B5" w14:textId="04FF04A1" w:rsidR="00A75C39" w:rsidRDefault="00A75C39">
      <w:pPr>
        <w:pStyle w:val="TOC2"/>
        <w:rPr>
          <w:rFonts w:asciiTheme="minorHAnsi" w:eastAsiaTheme="minorEastAsia" w:hAnsiTheme="minorHAnsi" w:cstheme="minorBidi"/>
          <w:b w:val="0"/>
          <w:smallCaps w:val="0"/>
          <w:sz w:val="22"/>
          <w:lang w:val="en-US"/>
        </w:rPr>
      </w:pPr>
      <w:hyperlink w:anchor="_Toc119078004" w:history="1">
        <w:r w:rsidRPr="00B15381">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_Toc119078004 \h </w:instrText>
        </w:r>
        <w:r>
          <w:rPr>
            <w:webHidden/>
          </w:rPr>
        </w:r>
        <w:r>
          <w:rPr>
            <w:webHidden/>
          </w:rPr>
          <w:fldChar w:fldCharType="separate"/>
        </w:r>
        <w:r>
          <w:rPr>
            <w:webHidden/>
          </w:rPr>
          <w:t>223</w:t>
        </w:r>
        <w:r>
          <w:rPr>
            <w:webHidden/>
          </w:rPr>
          <w:fldChar w:fldCharType="end"/>
        </w:r>
      </w:hyperlink>
    </w:p>
    <w:p w14:paraId="07F4F6A1" w14:textId="30A02790" w:rsidR="00A75C39" w:rsidRDefault="00A75C39">
      <w:pPr>
        <w:pStyle w:val="TOC2"/>
        <w:rPr>
          <w:rFonts w:asciiTheme="minorHAnsi" w:eastAsiaTheme="minorEastAsia" w:hAnsiTheme="minorHAnsi" w:cstheme="minorBidi"/>
          <w:b w:val="0"/>
          <w:smallCaps w:val="0"/>
          <w:sz w:val="22"/>
          <w:lang w:val="en-US"/>
        </w:rPr>
      </w:pPr>
      <w:hyperlink w:anchor="_Toc119078005" w:history="1">
        <w:r w:rsidRPr="00B15381">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_Toc119078005 \h </w:instrText>
        </w:r>
        <w:r>
          <w:rPr>
            <w:webHidden/>
          </w:rPr>
        </w:r>
        <w:r>
          <w:rPr>
            <w:webHidden/>
          </w:rPr>
          <w:fldChar w:fldCharType="separate"/>
        </w:r>
        <w:r>
          <w:rPr>
            <w:webHidden/>
          </w:rPr>
          <w:t>223</w:t>
        </w:r>
        <w:r>
          <w:rPr>
            <w:webHidden/>
          </w:rPr>
          <w:fldChar w:fldCharType="end"/>
        </w:r>
      </w:hyperlink>
    </w:p>
    <w:p w14:paraId="5BA62DEB" w14:textId="797C0311" w:rsidR="00A75C39" w:rsidRDefault="00A75C39">
      <w:pPr>
        <w:pStyle w:val="TOC2"/>
        <w:rPr>
          <w:rFonts w:asciiTheme="minorHAnsi" w:eastAsiaTheme="minorEastAsia" w:hAnsiTheme="minorHAnsi" w:cstheme="minorBidi"/>
          <w:b w:val="0"/>
          <w:smallCaps w:val="0"/>
          <w:sz w:val="22"/>
          <w:lang w:val="en-US"/>
        </w:rPr>
      </w:pPr>
      <w:hyperlink w:anchor="_Toc119078006" w:history="1">
        <w:r w:rsidRPr="00B15381">
          <w:rPr>
            <w:rStyle w:val="Hyperlink"/>
            <w:rFonts w:ascii="Times New Roman" w:hAnsi="Times New Roman"/>
          </w:rPr>
          <w:t>5.6.</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23.00 – Tržní riziko: Standardizované přístupy pro komodity</w:t>
        </w:r>
        <w:r w:rsidRPr="00B15381">
          <w:rPr>
            <w:rStyle w:val="Hyperlink"/>
          </w:rPr>
          <w:t xml:space="preserve"> </w:t>
        </w:r>
        <w:r w:rsidRPr="00B15381">
          <w:rPr>
            <w:rStyle w:val="Hyperlink"/>
            <w:rFonts w:ascii="Times New Roman" w:hAnsi="Times New Roman"/>
          </w:rPr>
          <w:t>(MKR SA COM)</w:t>
        </w:r>
        <w:r>
          <w:rPr>
            <w:webHidden/>
          </w:rPr>
          <w:tab/>
        </w:r>
        <w:r>
          <w:rPr>
            <w:webHidden/>
          </w:rPr>
          <w:fldChar w:fldCharType="begin"/>
        </w:r>
        <w:r>
          <w:rPr>
            <w:webHidden/>
          </w:rPr>
          <w:instrText xml:space="preserve"> PAGEREF _Toc119078006 \h </w:instrText>
        </w:r>
        <w:r>
          <w:rPr>
            <w:webHidden/>
          </w:rPr>
        </w:r>
        <w:r>
          <w:rPr>
            <w:webHidden/>
          </w:rPr>
          <w:fldChar w:fldCharType="separate"/>
        </w:r>
        <w:r>
          <w:rPr>
            <w:webHidden/>
          </w:rPr>
          <w:t>226</w:t>
        </w:r>
        <w:r>
          <w:rPr>
            <w:webHidden/>
          </w:rPr>
          <w:fldChar w:fldCharType="end"/>
        </w:r>
      </w:hyperlink>
    </w:p>
    <w:p w14:paraId="113C6964" w14:textId="4007D640" w:rsidR="00A75C39" w:rsidRDefault="00A75C39">
      <w:pPr>
        <w:pStyle w:val="TOC2"/>
        <w:rPr>
          <w:rFonts w:asciiTheme="minorHAnsi" w:eastAsiaTheme="minorEastAsia" w:hAnsiTheme="minorHAnsi" w:cstheme="minorBidi"/>
          <w:b w:val="0"/>
          <w:smallCaps w:val="0"/>
          <w:sz w:val="22"/>
          <w:lang w:val="en-US"/>
        </w:rPr>
      </w:pPr>
      <w:hyperlink w:anchor="_Toc119078007" w:history="1">
        <w:r w:rsidRPr="00B15381">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_Toc119078007 \h </w:instrText>
        </w:r>
        <w:r>
          <w:rPr>
            <w:webHidden/>
          </w:rPr>
        </w:r>
        <w:r>
          <w:rPr>
            <w:webHidden/>
          </w:rPr>
          <w:fldChar w:fldCharType="separate"/>
        </w:r>
        <w:r>
          <w:rPr>
            <w:webHidden/>
          </w:rPr>
          <w:t>226</w:t>
        </w:r>
        <w:r>
          <w:rPr>
            <w:webHidden/>
          </w:rPr>
          <w:fldChar w:fldCharType="end"/>
        </w:r>
      </w:hyperlink>
    </w:p>
    <w:p w14:paraId="55A3CCB6" w14:textId="4C18057E" w:rsidR="00A75C39" w:rsidRDefault="00A75C39">
      <w:pPr>
        <w:pStyle w:val="TOC2"/>
        <w:rPr>
          <w:rFonts w:asciiTheme="minorHAnsi" w:eastAsiaTheme="minorEastAsia" w:hAnsiTheme="minorHAnsi" w:cstheme="minorBidi"/>
          <w:b w:val="0"/>
          <w:smallCaps w:val="0"/>
          <w:sz w:val="22"/>
          <w:lang w:val="en-US"/>
        </w:rPr>
      </w:pPr>
      <w:hyperlink w:anchor="_Toc119078008" w:history="1">
        <w:r w:rsidRPr="00B15381">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_Toc119078008 \h </w:instrText>
        </w:r>
        <w:r>
          <w:rPr>
            <w:webHidden/>
          </w:rPr>
        </w:r>
        <w:r>
          <w:rPr>
            <w:webHidden/>
          </w:rPr>
          <w:fldChar w:fldCharType="separate"/>
        </w:r>
        <w:r>
          <w:rPr>
            <w:webHidden/>
          </w:rPr>
          <w:t>226</w:t>
        </w:r>
        <w:r>
          <w:rPr>
            <w:webHidden/>
          </w:rPr>
          <w:fldChar w:fldCharType="end"/>
        </w:r>
      </w:hyperlink>
    </w:p>
    <w:p w14:paraId="07F1427B" w14:textId="252977B8" w:rsidR="00A75C39" w:rsidRDefault="00A75C39">
      <w:pPr>
        <w:pStyle w:val="TOC2"/>
        <w:rPr>
          <w:rFonts w:asciiTheme="minorHAnsi" w:eastAsiaTheme="minorEastAsia" w:hAnsiTheme="minorHAnsi" w:cstheme="minorBidi"/>
          <w:b w:val="0"/>
          <w:smallCaps w:val="0"/>
          <w:sz w:val="22"/>
          <w:lang w:val="en-US"/>
        </w:rPr>
      </w:pPr>
      <w:hyperlink w:anchor="_Toc119078009" w:history="1">
        <w:r w:rsidRPr="00B15381">
          <w:rPr>
            <w:rStyle w:val="Hyperlink"/>
            <w:rFonts w:ascii="Times New Roman" w:hAnsi="Times New Roman"/>
          </w:rPr>
          <w:t>5.7.</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24.00 – Interní model pro tržní riziko</w:t>
        </w:r>
        <w:r w:rsidRPr="00B15381">
          <w:rPr>
            <w:rStyle w:val="Hyperlink"/>
          </w:rPr>
          <w:t xml:space="preserve"> </w:t>
        </w:r>
        <w:r w:rsidRPr="00B15381">
          <w:rPr>
            <w:rStyle w:val="Hyperlink"/>
            <w:rFonts w:ascii="Times New Roman" w:hAnsi="Times New Roman"/>
          </w:rPr>
          <w:t>(MKR IM)</w:t>
        </w:r>
        <w:r>
          <w:rPr>
            <w:webHidden/>
          </w:rPr>
          <w:tab/>
        </w:r>
        <w:r>
          <w:rPr>
            <w:webHidden/>
          </w:rPr>
          <w:fldChar w:fldCharType="begin"/>
        </w:r>
        <w:r>
          <w:rPr>
            <w:webHidden/>
          </w:rPr>
          <w:instrText xml:space="preserve"> PAGEREF _Toc119078009 \h </w:instrText>
        </w:r>
        <w:r>
          <w:rPr>
            <w:webHidden/>
          </w:rPr>
        </w:r>
        <w:r>
          <w:rPr>
            <w:webHidden/>
          </w:rPr>
          <w:fldChar w:fldCharType="separate"/>
        </w:r>
        <w:r>
          <w:rPr>
            <w:webHidden/>
          </w:rPr>
          <w:t>227</w:t>
        </w:r>
        <w:r>
          <w:rPr>
            <w:webHidden/>
          </w:rPr>
          <w:fldChar w:fldCharType="end"/>
        </w:r>
      </w:hyperlink>
    </w:p>
    <w:p w14:paraId="4D900C6D" w14:textId="2212A88D" w:rsidR="00A75C39" w:rsidRDefault="00A75C39">
      <w:pPr>
        <w:pStyle w:val="TOC2"/>
        <w:rPr>
          <w:rFonts w:asciiTheme="minorHAnsi" w:eastAsiaTheme="minorEastAsia" w:hAnsiTheme="minorHAnsi" w:cstheme="minorBidi"/>
          <w:b w:val="0"/>
          <w:smallCaps w:val="0"/>
          <w:sz w:val="22"/>
          <w:lang w:val="en-US"/>
        </w:rPr>
      </w:pPr>
      <w:hyperlink w:anchor="_Toc119078010" w:history="1">
        <w:r w:rsidRPr="00B15381">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_Toc119078010 \h </w:instrText>
        </w:r>
        <w:r>
          <w:rPr>
            <w:webHidden/>
          </w:rPr>
        </w:r>
        <w:r>
          <w:rPr>
            <w:webHidden/>
          </w:rPr>
          <w:fldChar w:fldCharType="separate"/>
        </w:r>
        <w:r>
          <w:rPr>
            <w:webHidden/>
          </w:rPr>
          <w:t>227</w:t>
        </w:r>
        <w:r>
          <w:rPr>
            <w:webHidden/>
          </w:rPr>
          <w:fldChar w:fldCharType="end"/>
        </w:r>
      </w:hyperlink>
    </w:p>
    <w:p w14:paraId="2A397DBA" w14:textId="10D14E3A" w:rsidR="00A75C39" w:rsidRDefault="00A75C39">
      <w:pPr>
        <w:pStyle w:val="TOC2"/>
        <w:rPr>
          <w:rFonts w:asciiTheme="minorHAnsi" w:eastAsiaTheme="minorEastAsia" w:hAnsiTheme="minorHAnsi" w:cstheme="minorBidi"/>
          <w:b w:val="0"/>
          <w:smallCaps w:val="0"/>
          <w:sz w:val="22"/>
          <w:lang w:val="en-US"/>
        </w:rPr>
      </w:pPr>
      <w:hyperlink w:anchor="_Toc119078011" w:history="1">
        <w:r w:rsidRPr="00B15381">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_Toc119078011 \h </w:instrText>
        </w:r>
        <w:r>
          <w:rPr>
            <w:webHidden/>
          </w:rPr>
        </w:r>
        <w:r>
          <w:rPr>
            <w:webHidden/>
          </w:rPr>
          <w:fldChar w:fldCharType="separate"/>
        </w:r>
        <w:r>
          <w:rPr>
            <w:webHidden/>
          </w:rPr>
          <w:t>228</w:t>
        </w:r>
        <w:r>
          <w:rPr>
            <w:webHidden/>
          </w:rPr>
          <w:fldChar w:fldCharType="end"/>
        </w:r>
      </w:hyperlink>
    </w:p>
    <w:p w14:paraId="7A991106" w14:textId="6426FB74" w:rsidR="00A75C39" w:rsidRDefault="00A75C39">
      <w:pPr>
        <w:pStyle w:val="TOC2"/>
        <w:rPr>
          <w:rFonts w:asciiTheme="minorHAnsi" w:eastAsiaTheme="minorEastAsia" w:hAnsiTheme="minorHAnsi" w:cstheme="minorBidi"/>
          <w:b w:val="0"/>
          <w:smallCaps w:val="0"/>
          <w:sz w:val="22"/>
          <w:lang w:val="en-US"/>
        </w:rPr>
      </w:pPr>
      <w:hyperlink w:anchor="_Toc119078012" w:history="1">
        <w:r w:rsidRPr="00B15381">
          <w:rPr>
            <w:rStyle w:val="Hyperlink"/>
            <w:rFonts w:ascii="Times New Roman" w:hAnsi="Times New Roman"/>
          </w:rPr>
          <w:t>5.8.</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25.00 – RIZIKO ÚVĚROVÝCH ÚPRAV V OCENĚNÍ</w:t>
        </w:r>
        <w:r w:rsidRPr="00B15381">
          <w:rPr>
            <w:rStyle w:val="Hyperlink"/>
          </w:rPr>
          <w:t xml:space="preserve"> </w:t>
        </w:r>
        <w:r w:rsidRPr="00B15381">
          <w:rPr>
            <w:rStyle w:val="Hyperlink"/>
            <w:rFonts w:ascii="Times New Roman" w:hAnsi="Times New Roman"/>
          </w:rPr>
          <w:t>(CVA)</w:t>
        </w:r>
        <w:r>
          <w:rPr>
            <w:webHidden/>
          </w:rPr>
          <w:tab/>
        </w:r>
        <w:r>
          <w:rPr>
            <w:webHidden/>
          </w:rPr>
          <w:fldChar w:fldCharType="begin"/>
        </w:r>
        <w:r>
          <w:rPr>
            <w:webHidden/>
          </w:rPr>
          <w:instrText xml:space="preserve"> PAGEREF _Toc119078012 \h </w:instrText>
        </w:r>
        <w:r>
          <w:rPr>
            <w:webHidden/>
          </w:rPr>
        </w:r>
        <w:r>
          <w:rPr>
            <w:webHidden/>
          </w:rPr>
          <w:fldChar w:fldCharType="separate"/>
        </w:r>
        <w:r>
          <w:rPr>
            <w:webHidden/>
          </w:rPr>
          <w:t>231</w:t>
        </w:r>
        <w:r>
          <w:rPr>
            <w:webHidden/>
          </w:rPr>
          <w:fldChar w:fldCharType="end"/>
        </w:r>
      </w:hyperlink>
    </w:p>
    <w:p w14:paraId="5D2F05D2" w14:textId="4A7FF315" w:rsidR="00A75C39" w:rsidRDefault="00A75C39">
      <w:pPr>
        <w:pStyle w:val="TOC2"/>
        <w:rPr>
          <w:rFonts w:asciiTheme="minorHAnsi" w:eastAsiaTheme="minorEastAsia" w:hAnsiTheme="minorHAnsi" w:cstheme="minorBidi"/>
          <w:b w:val="0"/>
          <w:smallCaps w:val="0"/>
          <w:sz w:val="22"/>
          <w:lang w:val="en-US"/>
        </w:rPr>
      </w:pPr>
      <w:hyperlink w:anchor="_Toc119078013" w:history="1">
        <w:r w:rsidRPr="00B15381">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_Toc119078013 \h </w:instrText>
        </w:r>
        <w:r>
          <w:rPr>
            <w:webHidden/>
          </w:rPr>
        </w:r>
        <w:r>
          <w:rPr>
            <w:webHidden/>
          </w:rPr>
          <w:fldChar w:fldCharType="separate"/>
        </w:r>
        <w:r>
          <w:rPr>
            <w:webHidden/>
          </w:rPr>
          <w:t>231</w:t>
        </w:r>
        <w:r>
          <w:rPr>
            <w:webHidden/>
          </w:rPr>
          <w:fldChar w:fldCharType="end"/>
        </w:r>
      </w:hyperlink>
    </w:p>
    <w:p w14:paraId="6FFF1FD4" w14:textId="316393D5" w:rsidR="00A75C39" w:rsidRDefault="00A75C39">
      <w:pPr>
        <w:pStyle w:val="TOC2"/>
        <w:rPr>
          <w:rFonts w:asciiTheme="minorHAnsi" w:eastAsiaTheme="minorEastAsia" w:hAnsiTheme="minorHAnsi" w:cstheme="minorBidi"/>
          <w:b w:val="0"/>
          <w:smallCaps w:val="0"/>
          <w:sz w:val="22"/>
          <w:lang w:val="en-US"/>
        </w:rPr>
      </w:pPr>
      <w:hyperlink w:anchor="_Toc119078014" w:history="1">
        <w:r w:rsidRPr="00B15381">
          <w:rPr>
            <w:rStyle w:val="Hyperlink"/>
            <w:rFonts w:ascii="Times New Roman" w:hAnsi="Times New Roman"/>
          </w:rPr>
          <w:t>6.</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Obezřetné oceňování (PruVal)</w:t>
        </w:r>
        <w:r>
          <w:rPr>
            <w:webHidden/>
          </w:rPr>
          <w:tab/>
        </w:r>
        <w:r>
          <w:rPr>
            <w:webHidden/>
          </w:rPr>
          <w:fldChar w:fldCharType="begin"/>
        </w:r>
        <w:r>
          <w:rPr>
            <w:webHidden/>
          </w:rPr>
          <w:instrText xml:space="preserve"> PAGEREF _Toc119078014 \h </w:instrText>
        </w:r>
        <w:r>
          <w:rPr>
            <w:webHidden/>
          </w:rPr>
        </w:r>
        <w:r>
          <w:rPr>
            <w:webHidden/>
          </w:rPr>
          <w:fldChar w:fldCharType="separate"/>
        </w:r>
        <w:r>
          <w:rPr>
            <w:webHidden/>
          </w:rPr>
          <w:t>233</w:t>
        </w:r>
        <w:r>
          <w:rPr>
            <w:webHidden/>
          </w:rPr>
          <w:fldChar w:fldCharType="end"/>
        </w:r>
      </w:hyperlink>
    </w:p>
    <w:p w14:paraId="2975005A" w14:textId="4CA17DC3" w:rsidR="00A75C39" w:rsidRDefault="00A75C39">
      <w:pPr>
        <w:pStyle w:val="TOC2"/>
        <w:rPr>
          <w:rFonts w:asciiTheme="minorHAnsi" w:eastAsiaTheme="minorEastAsia" w:hAnsiTheme="minorHAnsi" w:cstheme="minorBidi"/>
          <w:b w:val="0"/>
          <w:smallCaps w:val="0"/>
          <w:sz w:val="22"/>
          <w:lang w:val="en-US"/>
        </w:rPr>
      </w:pPr>
      <w:hyperlink w:anchor="_Toc119078015" w:history="1">
        <w:r w:rsidRPr="00B15381">
          <w:rPr>
            <w:rStyle w:val="Hyperlink"/>
            <w:rFonts w:ascii="Times New Roman" w:hAnsi="Times New Roman"/>
          </w:rPr>
          <w:t>6.1.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32.01 – Obezřetné oceňování: Aktiva a závazky oceňované reálnou hodnotou (PruVal 1)</w:t>
        </w:r>
        <w:r>
          <w:rPr>
            <w:webHidden/>
          </w:rPr>
          <w:tab/>
        </w:r>
        <w:r>
          <w:rPr>
            <w:webHidden/>
          </w:rPr>
          <w:fldChar w:fldCharType="begin"/>
        </w:r>
        <w:r>
          <w:rPr>
            <w:webHidden/>
          </w:rPr>
          <w:instrText xml:space="preserve"> PAGEREF _Toc119078015 \h </w:instrText>
        </w:r>
        <w:r>
          <w:rPr>
            <w:webHidden/>
          </w:rPr>
        </w:r>
        <w:r>
          <w:rPr>
            <w:webHidden/>
          </w:rPr>
          <w:fldChar w:fldCharType="separate"/>
        </w:r>
        <w:r>
          <w:rPr>
            <w:webHidden/>
          </w:rPr>
          <w:t>233</w:t>
        </w:r>
        <w:r>
          <w:rPr>
            <w:webHidden/>
          </w:rPr>
          <w:fldChar w:fldCharType="end"/>
        </w:r>
      </w:hyperlink>
    </w:p>
    <w:p w14:paraId="089B4BC0" w14:textId="1189419B" w:rsidR="00A75C39" w:rsidRDefault="00A75C39">
      <w:pPr>
        <w:pStyle w:val="TOC2"/>
        <w:rPr>
          <w:rFonts w:asciiTheme="minorHAnsi" w:eastAsiaTheme="minorEastAsia" w:hAnsiTheme="minorHAnsi" w:cstheme="minorBidi"/>
          <w:b w:val="0"/>
          <w:smallCaps w:val="0"/>
          <w:sz w:val="22"/>
          <w:lang w:val="en-US"/>
        </w:rPr>
      </w:pPr>
      <w:hyperlink w:anchor="_Toc119078016" w:history="1">
        <w:r w:rsidRPr="00B15381">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_Toc119078016 \h </w:instrText>
        </w:r>
        <w:r>
          <w:rPr>
            <w:webHidden/>
          </w:rPr>
        </w:r>
        <w:r>
          <w:rPr>
            <w:webHidden/>
          </w:rPr>
          <w:fldChar w:fldCharType="separate"/>
        </w:r>
        <w:r>
          <w:rPr>
            <w:webHidden/>
          </w:rPr>
          <w:t>233</w:t>
        </w:r>
        <w:r>
          <w:rPr>
            <w:webHidden/>
          </w:rPr>
          <w:fldChar w:fldCharType="end"/>
        </w:r>
      </w:hyperlink>
    </w:p>
    <w:p w14:paraId="48B5AA10" w14:textId="328D53A9" w:rsidR="00A75C39" w:rsidRDefault="00A75C39">
      <w:pPr>
        <w:pStyle w:val="TOC2"/>
        <w:rPr>
          <w:rFonts w:asciiTheme="minorHAnsi" w:eastAsiaTheme="minorEastAsia" w:hAnsiTheme="minorHAnsi" w:cstheme="minorBidi"/>
          <w:b w:val="0"/>
          <w:smallCaps w:val="0"/>
          <w:sz w:val="22"/>
          <w:lang w:val="en-US"/>
        </w:rPr>
      </w:pPr>
      <w:hyperlink w:anchor="_Toc119078017" w:history="1">
        <w:r w:rsidRPr="00B15381">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_Toc119078017 \h </w:instrText>
        </w:r>
        <w:r>
          <w:rPr>
            <w:webHidden/>
          </w:rPr>
        </w:r>
        <w:r>
          <w:rPr>
            <w:webHidden/>
          </w:rPr>
          <w:fldChar w:fldCharType="separate"/>
        </w:r>
        <w:r>
          <w:rPr>
            <w:webHidden/>
          </w:rPr>
          <w:t>234</w:t>
        </w:r>
        <w:r>
          <w:rPr>
            <w:webHidden/>
          </w:rPr>
          <w:fldChar w:fldCharType="end"/>
        </w:r>
      </w:hyperlink>
    </w:p>
    <w:p w14:paraId="7C4A132E" w14:textId="6F44E158" w:rsidR="00A75C39" w:rsidRDefault="00A75C39">
      <w:pPr>
        <w:pStyle w:val="TOC2"/>
        <w:rPr>
          <w:rFonts w:asciiTheme="minorHAnsi" w:eastAsiaTheme="minorEastAsia" w:hAnsiTheme="minorHAnsi" w:cstheme="minorBidi"/>
          <w:b w:val="0"/>
          <w:smallCaps w:val="0"/>
          <w:sz w:val="22"/>
          <w:lang w:val="en-US"/>
        </w:rPr>
      </w:pPr>
      <w:hyperlink w:anchor="_Toc119078018" w:history="1">
        <w:r w:rsidRPr="00B15381">
          <w:rPr>
            <w:rStyle w:val="Hyperlink"/>
            <w:rFonts w:ascii="Times New Roman" w:hAnsi="Times New Roman"/>
          </w:rPr>
          <w:t>6.2.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32.02 – Obezřetné oceňování Základní postup (PruVal 2)</w:t>
        </w:r>
        <w:r>
          <w:rPr>
            <w:webHidden/>
          </w:rPr>
          <w:tab/>
        </w:r>
        <w:r>
          <w:rPr>
            <w:webHidden/>
          </w:rPr>
          <w:fldChar w:fldCharType="begin"/>
        </w:r>
        <w:r>
          <w:rPr>
            <w:webHidden/>
          </w:rPr>
          <w:instrText xml:space="preserve"> PAGEREF _Toc119078018 \h </w:instrText>
        </w:r>
        <w:r>
          <w:rPr>
            <w:webHidden/>
          </w:rPr>
        </w:r>
        <w:r>
          <w:rPr>
            <w:webHidden/>
          </w:rPr>
          <w:fldChar w:fldCharType="separate"/>
        </w:r>
        <w:r>
          <w:rPr>
            <w:webHidden/>
          </w:rPr>
          <w:t>239</w:t>
        </w:r>
        <w:r>
          <w:rPr>
            <w:webHidden/>
          </w:rPr>
          <w:fldChar w:fldCharType="end"/>
        </w:r>
      </w:hyperlink>
    </w:p>
    <w:p w14:paraId="40CED714" w14:textId="59224677" w:rsidR="00A75C39" w:rsidRDefault="00A75C39">
      <w:pPr>
        <w:pStyle w:val="TOC2"/>
        <w:rPr>
          <w:rFonts w:asciiTheme="minorHAnsi" w:eastAsiaTheme="minorEastAsia" w:hAnsiTheme="minorHAnsi" w:cstheme="minorBidi"/>
          <w:b w:val="0"/>
          <w:smallCaps w:val="0"/>
          <w:sz w:val="22"/>
          <w:lang w:val="en-US"/>
        </w:rPr>
      </w:pPr>
      <w:hyperlink w:anchor="_Toc119078019" w:history="1">
        <w:r w:rsidRPr="00B15381">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_Toc119078019 \h </w:instrText>
        </w:r>
        <w:r>
          <w:rPr>
            <w:webHidden/>
          </w:rPr>
        </w:r>
        <w:r>
          <w:rPr>
            <w:webHidden/>
          </w:rPr>
          <w:fldChar w:fldCharType="separate"/>
        </w:r>
        <w:r>
          <w:rPr>
            <w:webHidden/>
          </w:rPr>
          <w:t>239</w:t>
        </w:r>
        <w:r>
          <w:rPr>
            <w:webHidden/>
          </w:rPr>
          <w:fldChar w:fldCharType="end"/>
        </w:r>
      </w:hyperlink>
    </w:p>
    <w:p w14:paraId="5A1DEE69" w14:textId="145ACBA7" w:rsidR="00A75C39" w:rsidRDefault="00A75C39">
      <w:pPr>
        <w:pStyle w:val="TOC2"/>
        <w:rPr>
          <w:rFonts w:asciiTheme="minorHAnsi" w:eastAsiaTheme="minorEastAsia" w:hAnsiTheme="minorHAnsi" w:cstheme="minorBidi"/>
          <w:b w:val="0"/>
          <w:smallCaps w:val="0"/>
          <w:sz w:val="22"/>
          <w:lang w:val="en-US"/>
        </w:rPr>
      </w:pPr>
      <w:hyperlink w:anchor="_Toc119078020" w:history="1">
        <w:r w:rsidRPr="00B15381">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_Toc119078020 \h </w:instrText>
        </w:r>
        <w:r>
          <w:rPr>
            <w:webHidden/>
          </w:rPr>
        </w:r>
        <w:r>
          <w:rPr>
            <w:webHidden/>
          </w:rPr>
          <w:fldChar w:fldCharType="separate"/>
        </w:r>
        <w:r>
          <w:rPr>
            <w:webHidden/>
          </w:rPr>
          <w:t>240</w:t>
        </w:r>
        <w:r>
          <w:rPr>
            <w:webHidden/>
          </w:rPr>
          <w:fldChar w:fldCharType="end"/>
        </w:r>
      </w:hyperlink>
    </w:p>
    <w:p w14:paraId="49500B4F" w14:textId="0127006F" w:rsidR="00A75C39" w:rsidRDefault="00A75C39">
      <w:pPr>
        <w:pStyle w:val="TOC2"/>
        <w:rPr>
          <w:rFonts w:asciiTheme="minorHAnsi" w:eastAsiaTheme="minorEastAsia" w:hAnsiTheme="minorHAnsi" w:cstheme="minorBidi"/>
          <w:b w:val="0"/>
          <w:smallCaps w:val="0"/>
          <w:sz w:val="22"/>
          <w:lang w:val="en-US"/>
        </w:rPr>
      </w:pPr>
      <w:hyperlink w:anchor="_Toc119078021" w:history="1">
        <w:r w:rsidRPr="00B15381">
          <w:rPr>
            <w:rStyle w:val="Hyperlink"/>
            <w:rFonts w:ascii="Times New Roman" w:hAnsi="Times New Roman"/>
          </w:rPr>
          <w:t>6.3 C 32.03 – Obezřetné oceňování AVA zohledňující riziko modelů (PruVal 3)</w:t>
        </w:r>
        <w:r>
          <w:rPr>
            <w:webHidden/>
          </w:rPr>
          <w:tab/>
        </w:r>
        <w:r>
          <w:rPr>
            <w:webHidden/>
          </w:rPr>
          <w:fldChar w:fldCharType="begin"/>
        </w:r>
        <w:r>
          <w:rPr>
            <w:webHidden/>
          </w:rPr>
          <w:instrText xml:space="preserve"> PAGEREF _Toc119078021 \h </w:instrText>
        </w:r>
        <w:r>
          <w:rPr>
            <w:webHidden/>
          </w:rPr>
        </w:r>
        <w:r>
          <w:rPr>
            <w:webHidden/>
          </w:rPr>
          <w:fldChar w:fldCharType="separate"/>
        </w:r>
        <w:r>
          <w:rPr>
            <w:webHidden/>
          </w:rPr>
          <w:t>249</w:t>
        </w:r>
        <w:r>
          <w:rPr>
            <w:webHidden/>
          </w:rPr>
          <w:fldChar w:fldCharType="end"/>
        </w:r>
      </w:hyperlink>
    </w:p>
    <w:p w14:paraId="1ECEB563" w14:textId="10205CF9" w:rsidR="00A75C39" w:rsidRDefault="00A75C39">
      <w:pPr>
        <w:pStyle w:val="TOC2"/>
        <w:rPr>
          <w:rFonts w:asciiTheme="minorHAnsi" w:eastAsiaTheme="minorEastAsia" w:hAnsiTheme="minorHAnsi" w:cstheme="minorBidi"/>
          <w:b w:val="0"/>
          <w:smallCaps w:val="0"/>
          <w:sz w:val="22"/>
          <w:lang w:val="en-US"/>
        </w:rPr>
      </w:pPr>
      <w:hyperlink w:anchor="_Toc119078022" w:history="1">
        <w:r w:rsidRPr="00B15381">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_Toc119078022 \h </w:instrText>
        </w:r>
        <w:r>
          <w:rPr>
            <w:webHidden/>
          </w:rPr>
        </w:r>
        <w:r>
          <w:rPr>
            <w:webHidden/>
          </w:rPr>
          <w:fldChar w:fldCharType="separate"/>
        </w:r>
        <w:r>
          <w:rPr>
            <w:webHidden/>
          </w:rPr>
          <w:t>249</w:t>
        </w:r>
        <w:r>
          <w:rPr>
            <w:webHidden/>
          </w:rPr>
          <w:fldChar w:fldCharType="end"/>
        </w:r>
      </w:hyperlink>
    </w:p>
    <w:p w14:paraId="7B1148B7" w14:textId="01A62815" w:rsidR="00A75C39" w:rsidRDefault="00A75C39">
      <w:pPr>
        <w:pStyle w:val="TOC2"/>
        <w:rPr>
          <w:rFonts w:asciiTheme="minorHAnsi" w:eastAsiaTheme="minorEastAsia" w:hAnsiTheme="minorHAnsi" w:cstheme="minorBidi"/>
          <w:b w:val="0"/>
          <w:smallCaps w:val="0"/>
          <w:sz w:val="22"/>
          <w:lang w:val="en-US"/>
        </w:rPr>
      </w:pPr>
      <w:hyperlink w:anchor="_Toc119078023" w:history="1">
        <w:r w:rsidRPr="00B15381">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_Toc119078023 \h </w:instrText>
        </w:r>
        <w:r>
          <w:rPr>
            <w:webHidden/>
          </w:rPr>
        </w:r>
        <w:r>
          <w:rPr>
            <w:webHidden/>
          </w:rPr>
          <w:fldChar w:fldCharType="separate"/>
        </w:r>
        <w:r>
          <w:rPr>
            <w:webHidden/>
          </w:rPr>
          <w:t>250</w:t>
        </w:r>
        <w:r>
          <w:rPr>
            <w:webHidden/>
          </w:rPr>
          <w:fldChar w:fldCharType="end"/>
        </w:r>
      </w:hyperlink>
    </w:p>
    <w:p w14:paraId="611F85B2" w14:textId="080A0989" w:rsidR="00A75C39" w:rsidRDefault="00A75C39">
      <w:pPr>
        <w:pStyle w:val="TOC2"/>
        <w:rPr>
          <w:rFonts w:asciiTheme="minorHAnsi" w:eastAsiaTheme="minorEastAsia" w:hAnsiTheme="minorHAnsi" w:cstheme="minorBidi"/>
          <w:b w:val="0"/>
          <w:smallCaps w:val="0"/>
          <w:sz w:val="22"/>
          <w:lang w:val="en-US"/>
        </w:rPr>
      </w:pPr>
      <w:hyperlink w:anchor="_Toc119078024" w:history="1">
        <w:r w:rsidRPr="00B15381">
          <w:rPr>
            <w:rStyle w:val="Hyperlink"/>
            <w:rFonts w:ascii="Times New Roman" w:hAnsi="Times New Roman"/>
          </w:rPr>
          <w:t>6.4 C 32.04 - Obezřetné oceňování: AVA zohledňující koncentrované pozice (PruVal 4)</w:t>
        </w:r>
        <w:r>
          <w:rPr>
            <w:webHidden/>
          </w:rPr>
          <w:tab/>
        </w:r>
        <w:r>
          <w:rPr>
            <w:webHidden/>
          </w:rPr>
          <w:fldChar w:fldCharType="begin"/>
        </w:r>
        <w:r>
          <w:rPr>
            <w:webHidden/>
          </w:rPr>
          <w:instrText xml:space="preserve"> PAGEREF _Toc119078024 \h </w:instrText>
        </w:r>
        <w:r>
          <w:rPr>
            <w:webHidden/>
          </w:rPr>
        </w:r>
        <w:r>
          <w:rPr>
            <w:webHidden/>
          </w:rPr>
          <w:fldChar w:fldCharType="separate"/>
        </w:r>
        <w:r>
          <w:rPr>
            <w:webHidden/>
          </w:rPr>
          <w:t>252</w:t>
        </w:r>
        <w:r>
          <w:rPr>
            <w:webHidden/>
          </w:rPr>
          <w:fldChar w:fldCharType="end"/>
        </w:r>
      </w:hyperlink>
    </w:p>
    <w:p w14:paraId="1158E930" w14:textId="2F590621" w:rsidR="00A75C39" w:rsidRDefault="00A75C39">
      <w:pPr>
        <w:pStyle w:val="TOC2"/>
        <w:rPr>
          <w:rFonts w:asciiTheme="minorHAnsi" w:eastAsiaTheme="minorEastAsia" w:hAnsiTheme="minorHAnsi" w:cstheme="minorBidi"/>
          <w:b w:val="0"/>
          <w:smallCaps w:val="0"/>
          <w:sz w:val="22"/>
          <w:lang w:val="en-US"/>
        </w:rPr>
      </w:pPr>
      <w:hyperlink w:anchor="_Toc119078025" w:history="1">
        <w:r w:rsidRPr="00B15381">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_Toc119078025 \h </w:instrText>
        </w:r>
        <w:r>
          <w:rPr>
            <w:webHidden/>
          </w:rPr>
        </w:r>
        <w:r>
          <w:rPr>
            <w:webHidden/>
          </w:rPr>
          <w:fldChar w:fldCharType="separate"/>
        </w:r>
        <w:r>
          <w:rPr>
            <w:webHidden/>
          </w:rPr>
          <w:t>252</w:t>
        </w:r>
        <w:r>
          <w:rPr>
            <w:webHidden/>
          </w:rPr>
          <w:fldChar w:fldCharType="end"/>
        </w:r>
      </w:hyperlink>
    </w:p>
    <w:p w14:paraId="1AF6A304" w14:textId="1FE62A9D" w:rsidR="00A75C39" w:rsidRDefault="00A75C39">
      <w:pPr>
        <w:pStyle w:val="TOC2"/>
        <w:rPr>
          <w:rFonts w:asciiTheme="minorHAnsi" w:eastAsiaTheme="minorEastAsia" w:hAnsiTheme="minorHAnsi" w:cstheme="minorBidi"/>
          <w:b w:val="0"/>
          <w:smallCaps w:val="0"/>
          <w:sz w:val="22"/>
          <w:lang w:val="en-US"/>
        </w:rPr>
      </w:pPr>
      <w:hyperlink w:anchor="_Toc119078026" w:history="1">
        <w:r w:rsidRPr="00B15381">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_Toc119078026 \h </w:instrText>
        </w:r>
        <w:r>
          <w:rPr>
            <w:webHidden/>
          </w:rPr>
        </w:r>
        <w:r>
          <w:rPr>
            <w:webHidden/>
          </w:rPr>
          <w:fldChar w:fldCharType="separate"/>
        </w:r>
        <w:r>
          <w:rPr>
            <w:webHidden/>
          </w:rPr>
          <w:t>253</w:t>
        </w:r>
        <w:r>
          <w:rPr>
            <w:webHidden/>
          </w:rPr>
          <w:fldChar w:fldCharType="end"/>
        </w:r>
      </w:hyperlink>
    </w:p>
    <w:p w14:paraId="02D89C5C" w14:textId="15BC0D59" w:rsidR="00A75C39" w:rsidRDefault="00A75C39">
      <w:pPr>
        <w:pStyle w:val="TOC2"/>
        <w:rPr>
          <w:rFonts w:asciiTheme="minorHAnsi" w:eastAsiaTheme="minorEastAsia" w:hAnsiTheme="minorHAnsi" w:cstheme="minorBidi"/>
          <w:b w:val="0"/>
          <w:smallCaps w:val="0"/>
          <w:sz w:val="22"/>
          <w:lang w:val="en-US"/>
        </w:rPr>
      </w:pPr>
      <w:hyperlink w:anchor="_Toc119078027" w:history="1">
        <w:r w:rsidRPr="00B15381">
          <w:rPr>
            <w:rStyle w:val="Hyperlink"/>
            <w:rFonts w:ascii="Times New Roman" w:hAnsi="Times New Roman"/>
          </w:rPr>
          <w:t>7.</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33.00 – Expozice vůči vládním institucím (GOV)</w:t>
        </w:r>
        <w:r>
          <w:rPr>
            <w:webHidden/>
          </w:rPr>
          <w:tab/>
        </w:r>
        <w:r>
          <w:rPr>
            <w:webHidden/>
          </w:rPr>
          <w:fldChar w:fldCharType="begin"/>
        </w:r>
        <w:r>
          <w:rPr>
            <w:webHidden/>
          </w:rPr>
          <w:instrText xml:space="preserve"> PAGEREF _Toc119078027 \h </w:instrText>
        </w:r>
        <w:r>
          <w:rPr>
            <w:webHidden/>
          </w:rPr>
        </w:r>
        <w:r>
          <w:rPr>
            <w:webHidden/>
          </w:rPr>
          <w:fldChar w:fldCharType="separate"/>
        </w:r>
        <w:r>
          <w:rPr>
            <w:webHidden/>
          </w:rPr>
          <w:t>255</w:t>
        </w:r>
        <w:r>
          <w:rPr>
            <w:webHidden/>
          </w:rPr>
          <w:fldChar w:fldCharType="end"/>
        </w:r>
      </w:hyperlink>
    </w:p>
    <w:p w14:paraId="4AF328F9" w14:textId="07468744" w:rsidR="00A75C39" w:rsidRDefault="00A75C39">
      <w:pPr>
        <w:pStyle w:val="TOC2"/>
        <w:rPr>
          <w:rFonts w:asciiTheme="minorHAnsi" w:eastAsiaTheme="minorEastAsia" w:hAnsiTheme="minorHAnsi" w:cstheme="minorBidi"/>
          <w:b w:val="0"/>
          <w:smallCaps w:val="0"/>
          <w:sz w:val="22"/>
          <w:lang w:val="en-US"/>
        </w:rPr>
      </w:pPr>
      <w:hyperlink w:anchor="_Toc119078028" w:history="1">
        <w:r w:rsidRPr="00B15381">
          <w:rPr>
            <w:rStyle w:val="Hyperlink"/>
            <w:rFonts w:ascii="Times New Roman" w:hAnsi="Times New Roman"/>
          </w:rPr>
          <w:t>7.1.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_Toc119078028 \h </w:instrText>
        </w:r>
        <w:r>
          <w:rPr>
            <w:webHidden/>
          </w:rPr>
        </w:r>
        <w:r>
          <w:rPr>
            <w:webHidden/>
          </w:rPr>
          <w:fldChar w:fldCharType="separate"/>
        </w:r>
        <w:r>
          <w:rPr>
            <w:webHidden/>
          </w:rPr>
          <w:t>255</w:t>
        </w:r>
        <w:r>
          <w:rPr>
            <w:webHidden/>
          </w:rPr>
          <w:fldChar w:fldCharType="end"/>
        </w:r>
      </w:hyperlink>
    </w:p>
    <w:p w14:paraId="6D77B119" w14:textId="27A53B08" w:rsidR="00A75C39" w:rsidRDefault="00A75C39">
      <w:pPr>
        <w:pStyle w:val="TOC2"/>
        <w:rPr>
          <w:rFonts w:asciiTheme="minorHAnsi" w:eastAsiaTheme="minorEastAsia" w:hAnsiTheme="minorHAnsi" w:cstheme="minorBidi"/>
          <w:b w:val="0"/>
          <w:smallCaps w:val="0"/>
          <w:sz w:val="22"/>
          <w:lang w:val="en-US"/>
        </w:rPr>
      </w:pPr>
      <w:hyperlink w:anchor="_Toc119078029" w:history="1">
        <w:r w:rsidRPr="00B15381">
          <w:rPr>
            <w:rStyle w:val="Hyperlink"/>
            <w:rFonts w:ascii="Times New Roman" w:hAnsi="Times New Roman"/>
          </w:rPr>
          <w:t>7.2.</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Oblast působnosti šablony</w:t>
        </w:r>
        <w:r w:rsidRPr="00B15381">
          <w:rPr>
            <w:rStyle w:val="Hyperlink"/>
          </w:rPr>
          <w:t xml:space="preserve"> </w:t>
        </w:r>
        <w:r w:rsidRPr="00B15381">
          <w:rPr>
            <w:rStyle w:val="Hyperlink"/>
            <w:rFonts w:ascii="Times New Roman" w:hAnsi="Times New Roman"/>
          </w:rPr>
          <w:t>pro expozice vůči „vládním institucím“</w:t>
        </w:r>
        <w:r>
          <w:rPr>
            <w:webHidden/>
          </w:rPr>
          <w:tab/>
        </w:r>
        <w:r>
          <w:rPr>
            <w:webHidden/>
          </w:rPr>
          <w:fldChar w:fldCharType="begin"/>
        </w:r>
        <w:r>
          <w:rPr>
            <w:webHidden/>
          </w:rPr>
          <w:instrText xml:space="preserve"> PAGEREF _Toc119078029 \h </w:instrText>
        </w:r>
        <w:r>
          <w:rPr>
            <w:webHidden/>
          </w:rPr>
        </w:r>
        <w:r>
          <w:rPr>
            <w:webHidden/>
          </w:rPr>
          <w:fldChar w:fldCharType="separate"/>
        </w:r>
        <w:r>
          <w:rPr>
            <w:webHidden/>
          </w:rPr>
          <w:t>255</w:t>
        </w:r>
        <w:r>
          <w:rPr>
            <w:webHidden/>
          </w:rPr>
          <w:fldChar w:fldCharType="end"/>
        </w:r>
      </w:hyperlink>
    </w:p>
    <w:p w14:paraId="23D1F85B" w14:textId="26F19C50" w:rsidR="00A75C39" w:rsidRDefault="00A75C39">
      <w:pPr>
        <w:pStyle w:val="TOC2"/>
        <w:rPr>
          <w:rFonts w:asciiTheme="minorHAnsi" w:eastAsiaTheme="minorEastAsia" w:hAnsiTheme="minorHAnsi" w:cstheme="minorBidi"/>
          <w:b w:val="0"/>
          <w:smallCaps w:val="0"/>
          <w:sz w:val="22"/>
          <w:lang w:val="en-US"/>
        </w:rPr>
      </w:pPr>
      <w:hyperlink w:anchor="_Toc119078030" w:history="1">
        <w:r w:rsidRPr="00B15381">
          <w:rPr>
            <w:rStyle w:val="Hyperlink"/>
            <w:rFonts w:ascii="Times New Roman" w:hAnsi="Times New Roman"/>
          </w:rPr>
          <w:t>7.3.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_Toc119078030 \h </w:instrText>
        </w:r>
        <w:r>
          <w:rPr>
            <w:webHidden/>
          </w:rPr>
        </w:r>
        <w:r>
          <w:rPr>
            <w:webHidden/>
          </w:rPr>
          <w:fldChar w:fldCharType="separate"/>
        </w:r>
        <w:r>
          <w:rPr>
            <w:webHidden/>
          </w:rPr>
          <w:t>255</w:t>
        </w:r>
        <w:r>
          <w:rPr>
            <w:webHidden/>
          </w:rPr>
          <w:fldChar w:fldCharType="end"/>
        </w:r>
      </w:hyperlink>
    </w:p>
    <w:p w14:paraId="493180AB" w14:textId="3D0FD888" w:rsidR="00A75C39" w:rsidRDefault="00A75C39">
      <w:pPr>
        <w:pStyle w:val="TOC2"/>
        <w:rPr>
          <w:rFonts w:asciiTheme="minorHAnsi" w:eastAsiaTheme="minorEastAsia" w:hAnsiTheme="minorHAnsi" w:cstheme="minorBidi"/>
          <w:b w:val="0"/>
          <w:smallCaps w:val="0"/>
          <w:sz w:val="22"/>
          <w:lang w:val="en-US"/>
        </w:rPr>
      </w:pPr>
      <w:hyperlink w:anchor="_Toc119078031" w:history="1">
        <w:r w:rsidRPr="00B15381">
          <w:rPr>
            <w:rStyle w:val="Hyperlink"/>
            <w:rFonts w:ascii="Times New Roman" w:hAnsi="Times New Roman"/>
          </w:rPr>
          <w:t>8.</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Krytí ztrát z nevýkonných expozic (NPE LC)</w:t>
        </w:r>
        <w:r>
          <w:rPr>
            <w:webHidden/>
          </w:rPr>
          <w:tab/>
        </w:r>
        <w:r>
          <w:rPr>
            <w:webHidden/>
          </w:rPr>
          <w:fldChar w:fldCharType="begin"/>
        </w:r>
        <w:r>
          <w:rPr>
            <w:webHidden/>
          </w:rPr>
          <w:instrText xml:space="preserve"> PAGEREF _Toc119078031 \h </w:instrText>
        </w:r>
        <w:r>
          <w:rPr>
            <w:webHidden/>
          </w:rPr>
        </w:r>
        <w:r>
          <w:rPr>
            <w:webHidden/>
          </w:rPr>
          <w:fldChar w:fldCharType="separate"/>
        </w:r>
        <w:r>
          <w:rPr>
            <w:webHidden/>
          </w:rPr>
          <w:t>266</w:t>
        </w:r>
        <w:r>
          <w:rPr>
            <w:webHidden/>
          </w:rPr>
          <w:fldChar w:fldCharType="end"/>
        </w:r>
      </w:hyperlink>
    </w:p>
    <w:p w14:paraId="0B21F026" w14:textId="1A757F44" w:rsidR="00A75C39" w:rsidRDefault="00A75C39">
      <w:pPr>
        <w:pStyle w:val="TOC2"/>
        <w:rPr>
          <w:rFonts w:asciiTheme="minorHAnsi" w:eastAsiaTheme="minorEastAsia" w:hAnsiTheme="minorHAnsi" w:cstheme="minorBidi"/>
          <w:b w:val="0"/>
          <w:smallCaps w:val="0"/>
          <w:sz w:val="22"/>
          <w:lang w:val="en-US"/>
        </w:rPr>
      </w:pPr>
      <w:hyperlink w:anchor="_Toc119078032" w:history="1">
        <w:r w:rsidRPr="00B15381">
          <w:rPr>
            <w:rStyle w:val="Hyperlink"/>
            <w:rFonts w:ascii="Times New Roman" w:hAnsi="Times New Roman"/>
          </w:rPr>
          <w:t>8.1.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Obecné poznámky</w:t>
        </w:r>
        <w:r>
          <w:rPr>
            <w:webHidden/>
          </w:rPr>
          <w:tab/>
        </w:r>
        <w:r>
          <w:rPr>
            <w:webHidden/>
          </w:rPr>
          <w:fldChar w:fldCharType="begin"/>
        </w:r>
        <w:r>
          <w:rPr>
            <w:webHidden/>
          </w:rPr>
          <w:instrText xml:space="preserve"> PAGEREF _Toc119078032 \h </w:instrText>
        </w:r>
        <w:r>
          <w:rPr>
            <w:webHidden/>
          </w:rPr>
        </w:r>
        <w:r>
          <w:rPr>
            <w:webHidden/>
          </w:rPr>
          <w:fldChar w:fldCharType="separate"/>
        </w:r>
        <w:r>
          <w:rPr>
            <w:webHidden/>
          </w:rPr>
          <w:t>266</w:t>
        </w:r>
        <w:r>
          <w:rPr>
            <w:webHidden/>
          </w:rPr>
          <w:fldChar w:fldCharType="end"/>
        </w:r>
      </w:hyperlink>
    </w:p>
    <w:p w14:paraId="300694FB" w14:textId="48888D2B" w:rsidR="00A75C39" w:rsidRDefault="00A75C39">
      <w:pPr>
        <w:pStyle w:val="TOC2"/>
        <w:rPr>
          <w:rFonts w:asciiTheme="minorHAnsi" w:eastAsiaTheme="minorEastAsia" w:hAnsiTheme="minorHAnsi" w:cstheme="minorBidi"/>
          <w:b w:val="0"/>
          <w:smallCaps w:val="0"/>
          <w:sz w:val="22"/>
          <w:lang w:val="en-US"/>
        </w:rPr>
      </w:pPr>
      <w:hyperlink w:anchor="_Toc119078033" w:history="1">
        <w:r w:rsidRPr="00B15381">
          <w:rPr>
            <w:rStyle w:val="Hyperlink"/>
            <w:rFonts w:ascii="Times New Roman" w:hAnsi="Times New Roman"/>
          </w:rPr>
          <w:t>8.2 C 35.01 – VÝPOČET ODPOČTŮ U NEVÝKONNÝCH EXPOZIC (NPE LC1)</w:t>
        </w:r>
        <w:r>
          <w:rPr>
            <w:webHidden/>
          </w:rPr>
          <w:tab/>
        </w:r>
        <w:r>
          <w:rPr>
            <w:webHidden/>
          </w:rPr>
          <w:fldChar w:fldCharType="begin"/>
        </w:r>
        <w:r>
          <w:rPr>
            <w:webHidden/>
          </w:rPr>
          <w:instrText xml:space="preserve"> PAGEREF _Toc119078033 \h </w:instrText>
        </w:r>
        <w:r>
          <w:rPr>
            <w:webHidden/>
          </w:rPr>
        </w:r>
        <w:r>
          <w:rPr>
            <w:webHidden/>
          </w:rPr>
          <w:fldChar w:fldCharType="separate"/>
        </w:r>
        <w:r>
          <w:rPr>
            <w:webHidden/>
          </w:rPr>
          <w:t>267</w:t>
        </w:r>
        <w:r>
          <w:rPr>
            <w:webHidden/>
          </w:rPr>
          <w:fldChar w:fldCharType="end"/>
        </w:r>
      </w:hyperlink>
    </w:p>
    <w:p w14:paraId="078E3D59" w14:textId="37CF7F5B" w:rsidR="00A75C39" w:rsidRDefault="00A75C39">
      <w:pPr>
        <w:pStyle w:val="TOC2"/>
        <w:rPr>
          <w:rFonts w:asciiTheme="minorHAnsi" w:eastAsiaTheme="minorEastAsia" w:hAnsiTheme="minorHAnsi" w:cstheme="minorBidi"/>
          <w:b w:val="0"/>
          <w:smallCaps w:val="0"/>
          <w:sz w:val="22"/>
          <w:lang w:val="en-US"/>
        </w:rPr>
      </w:pPr>
      <w:hyperlink w:anchor="_Toc119078034" w:history="1">
        <w:r w:rsidRPr="00B15381">
          <w:rPr>
            <w:rStyle w:val="Hyperlink"/>
            <w:rFonts w:ascii="Times New Roman" w:hAnsi="Times New Roman"/>
          </w:rPr>
          <w:t>8.2.1.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_Toc119078034 \h </w:instrText>
        </w:r>
        <w:r>
          <w:rPr>
            <w:webHidden/>
          </w:rPr>
        </w:r>
        <w:r>
          <w:rPr>
            <w:webHidden/>
          </w:rPr>
          <w:fldChar w:fldCharType="separate"/>
        </w:r>
        <w:r>
          <w:rPr>
            <w:webHidden/>
          </w:rPr>
          <w:t>267</w:t>
        </w:r>
        <w:r>
          <w:rPr>
            <w:webHidden/>
          </w:rPr>
          <w:fldChar w:fldCharType="end"/>
        </w:r>
      </w:hyperlink>
    </w:p>
    <w:p w14:paraId="76D442D7" w14:textId="507D4292" w:rsidR="00A75C39" w:rsidRDefault="00A75C39">
      <w:pPr>
        <w:pStyle w:val="TOC2"/>
        <w:rPr>
          <w:rFonts w:asciiTheme="minorHAnsi" w:eastAsiaTheme="minorEastAsia" w:hAnsiTheme="minorHAnsi" w:cstheme="minorBidi"/>
          <w:b w:val="0"/>
          <w:smallCaps w:val="0"/>
          <w:sz w:val="22"/>
          <w:lang w:val="en-US"/>
        </w:rPr>
      </w:pPr>
      <w:hyperlink w:anchor="_Toc119078035" w:history="1">
        <w:r w:rsidRPr="00B15381">
          <w:rPr>
            <w:rStyle w:val="Hyperlink"/>
            <w:rFonts w:ascii="Times New Roman" w:hAnsi="Times New Roman"/>
          </w:rPr>
          <w:t>8.3.</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35.02 – MINIMÁLNÍ POŽADAVKY NA KRYTÍ A HODNOTY EXPOZIC NEVÝKONNÝCH EXPOZIC S VÝJIMKOU EXPOZIC S ÚLEVOU, NA NĚŽ SE VZTAHUJE ČL. 47C ODST. 6 NAŘÍZENÍ (EU) Č. 575/2013 (NPE LC2)</w:t>
        </w:r>
        <w:r>
          <w:rPr>
            <w:webHidden/>
          </w:rPr>
          <w:tab/>
        </w:r>
        <w:r>
          <w:rPr>
            <w:webHidden/>
          </w:rPr>
          <w:fldChar w:fldCharType="begin"/>
        </w:r>
        <w:r>
          <w:rPr>
            <w:webHidden/>
          </w:rPr>
          <w:instrText xml:space="preserve"> PAGEREF _Toc119078035 \h </w:instrText>
        </w:r>
        <w:r>
          <w:rPr>
            <w:webHidden/>
          </w:rPr>
        </w:r>
        <w:r>
          <w:rPr>
            <w:webHidden/>
          </w:rPr>
          <w:fldChar w:fldCharType="separate"/>
        </w:r>
        <w:r>
          <w:rPr>
            <w:webHidden/>
          </w:rPr>
          <w:t>270</w:t>
        </w:r>
        <w:r>
          <w:rPr>
            <w:webHidden/>
          </w:rPr>
          <w:fldChar w:fldCharType="end"/>
        </w:r>
      </w:hyperlink>
    </w:p>
    <w:p w14:paraId="48152532" w14:textId="0791C3BE" w:rsidR="00A75C39" w:rsidRDefault="00A75C39">
      <w:pPr>
        <w:pStyle w:val="TOC2"/>
        <w:rPr>
          <w:rFonts w:asciiTheme="minorHAnsi" w:eastAsiaTheme="minorEastAsia" w:hAnsiTheme="minorHAnsi" w:cstheme="minorBidi"/>
          <w:b w:val="0"/>
          <w:smallCaps w:val="0"/>
          <w:sz w:val="22"/>
          <w:lang w:val="en-US"/>
        </w:rPr>
      </w:pPr>
      <w:hyperlink w:anchor="_Toc119078036" w:history="1">
        <w:r w:rsidRPr="00B15381">
          <w:rPr>
            <w:rStyle w:val="Hyperlink"/>
            <w:rFonts w:ascii="Times New Roman" w:hAnsi="Times New Roman"/>
          </w:rPr>
          <w:t>8.3.1.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_Toc119078036 \h </w:instrText>
        </w:r>
        <w:r>
          <w:rPr>
            <w:webHidden/>
          </w:rPr>
        </w:r>
        <w:r>
          <w:rPr>
            <w:webHidden/>
          </w:rPr>
          <w:fldChar w:fldCharType="separate"/>
        </w:r>
        <w:r>
          <w:rPr>
            <w:webHidden/>
          </w:rPr>
          <w:t>270</w:t>
        </w:r>
        <w:r>
          <w:rPr>
            <w:webHidden/>
          </w:rPr>
          <w:fldChar w:fldCharType="end"/>
        </w:r>
      </w:hyperlink>
    </w:p>
    <w:p w14:paraId="6E40C900" w14:textId="3B384DAA" w:rsidR="00A75C39" w:rsidRDefault="00A75C39">
      <w:pPr>
        <w:pStyle w:val="TOC2"/>
        <w:rPr>
          <w:rFonts w:asciiTheme="minorHAnsi" w:eastAsiaTheme="minorEastAsia" w:hAnsiTheme="minorHAnsi" w:cstheme="minorBidi"/>
          <w:b w:val="0"/>
          <w:smallCaps w:val="0"/>
          <w:sz w:val="22"/>
          <w:lang w:val="en-US"/>
        </w:rPr>
      </w:pPr>
      <w:hyperlink w:anchor="_Toc119078037" w:history="1">
        <w:r w:rsidRPr="00B15381">
          <w:rPr>
            <w:rStyle w:val="Hyperlink"/>
            <w:rFonts w:ascii="Times New Roman" w:hAnsi="Times New Roman"/>
          </w:rPr>
          <w:t>8.4.</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C 35.03 – MINIMÁLNÍ POŽADAVKY NA KRYTÍ A HODNOTY EXPOZIC NEVÝKONNÝCH EXPOZIC S ÚLEVOU, NA NĚŽ SE VZTAHUJE ČL. 47C ODST. 6 NAŘÍZENÍ (EU) Č. 575/2013 (NPE LC3)</w:t>
        </w:r>
        <w:r>
          <w:rPr>
            <w:webHidden/>
          </w:rPr>
          <w:tab/>
        </w:r>
        <w:r>
          <w:rPr>
            <w:webHidden/>
          </w:rPr>
          <w:fldChar w:fldCharType="begin"/>
        </w:r>
        <w:r>
          <w:rPr>
            <w:webHidden/>
          </w:rPr>
          <w:instrText xml:space="preserve"> PAGEREF _Toc119078037 \h </w:instrText>
        </w:r>
        <w:r>
          <w:rPr>
            <w:webHidden/>
          </w:rPr>
        </w:r>
        <w:r>
          <w:rPr>
            <w:webHidden/>
          </w:rPr>
          <w:fldChar w:fldCharType="separate"/>
        </w:r>
        <w:r>
          <w:rPr>
            <w:webHidden/>
          </w:rPr>
          <w:t>272</w:t>
        </w:r>
        <w:r>
          <w:rPr>
            <w:webHidden/>
          </w:rPr>
          <w:fldChar w:fldCharType="end"/>
        </w:r>
      </w:hyperlink>
    </w:p>
    <w:p w14:paraId="466BFD09" w14:textId="289DE830" w:rsidR="00A75C39" w:rsidRDefault="00A75C39">
      <w:pPr>
        <w:pStyle w:val="TOC2"/>
        <w:rPr>
          <w:rFonts w:asciiTheme="minorHAnsi" w:eastAsiaTheme="minorEastAsia" w:hAnsiTheme="minorHAnsi" w:cstheme="minorBidi"/>
          <w:b w:val="0"/>
          <w:smallCaps w:val="0"/>
          <w:sz w:val="22"/>
          <w:lang w:val="en-US"/>
        </w:rPr>
      </w:pPr>
      <w:hyperlink w:anchor="_Toc119078038" w:history="1">
        <w:r w:rsidRPr="00B15381">
          <w:rPr>
            <w:rStyle w:val="Hyperlink"/>
            <w:rFonts w:ascii="Times New Roman" w:hAnsi="Times New Roman"/>
          </w:rPr>
          <w:t>8.4.1.</w:t>
        </w:r>
        <w:r>
          <w:rPr>
            <w:rFonts w:asciiTheme="minorHAnsi" w:eastAsiaTheme="minorEastAsia" w:hAnsiTheme="minorHAnsi" w:cstheme="minorBidi"/>
            <w:b w:val="0"/>
            <w:smallCaps w:val="0"/>
            <w:sz w:val="22"/>
            <w:lang w:val="en-US"/>
          </w:rPr>
          <w:tab/>
        </w:r>
        <w:r w:rsidRPr="00B15381">
          <w:rPr>
            <w:rStyle w:val="Hyperlink"/>
            <w:rFonts w:ascii="Times New Roman" w:hAnsi="Times New Roman"/>
          </w:rPr>
          <w:t>Pokyny pro konkrétní pozice</w:t>
        </w:r>
        <w:r>
          <w:rPr>
            <w:webHidden/>
          </w:rPr>
          <w:tab/>
        </w:r>
        <w:r>
          <w:rPr>
            <w:webHidden/>
          </w:rPr>
          <w:fldChar w:fldCharType="begin"/>
        </w:r>
        <w:r>
          <w:rPr>
            <w:webHidden/>
          </w:rPr>
          <w:instrText xml:space="preserve"> PAGEREF _Toc119078038 \h </w:instrText>
        </w:r>
        <w:r>
          <w:rPr>
            <w:webHidden/>
          </w:rPr>
        </w:r>
        <w:r>
          <w:rPr>
            <w:webHidden/>
          </w:rPr>
          <w:fldChar w:fldCharType="separate"/>
        </w:r>
        <w:r>
          <w:rPr>
            <w:webHidden/>
          </w:rPr>
          <w:t>272</w:t>
        </w:r>
        <w:r>
          <w:rPr>
            <w:webHidden/>
          </w:rPr>
          <w:fldChar w:fldCharType="end"/>
        </w:r>
      </w:hyperlink>
    </w:p>
    <w:p w14:paraId="4325A1DC" w14:textId="16BD7B8C"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2A677E">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5D973DB8" w14:textId="77777777" w:rsidR="007266CF" w:rsidRPr="002A677E" w:rsidRDefault="007266CF" w:rsidP="007266CF">
      <w:pPr>
        <w:pStyle w:val="Heading2"/>
        <w:rPr>
          <w:rFonts w:ascii="Times New Roman" w:hAnsi="Times New Roman"/>
        </w:rPr>
      </w:pPr>
      <w:bookmarkStart w:id="3" w:name="_Toc116026702"/>
      <w:bookmarkStart w:id="4" w:name="_Toc119077859"/>
      <w:r>
        <w:rPr>
          <w:rFonts w:ascii="Times New Roman" w:hAnsi="Times New Roman"/>
        </w:rPr>
        <w:t>ČÁST I: OBECNÉ POKYNY</w:t>
      </w:r>
      <w:bookmarkEnd w:id="3"/>
      <w:bookmarkEnd w:id="4"/>
    </w:p>
    <w:p w14:paraId="0E27A56C" w14:textId="77777777" w:rsidR="007266CF" w:rsidRPr="002A677E" w:rsidRDefault="007266CF" w:rsidP="00A75C39">
      <w:pPr>
        <w:pStyle w:val="Instructionsberschrift2"/>
        <w:numPr>
          <w:ilvl w:val="0"/>
          <w:numId w:val="41"/>
        </w:numPr>
        <w:rPr>
          <w:rFonts w:ascii="Times New Roman" w:hAnsi="Times New Roman" w:cs="Times New Roman"/>
          <w:sz w:val="24"/>
          <w:u w:val="none"/>
        </w:rPr>
      </w:pPr>
      <w:bookmarkStart w:id="5" w:name="_Toc116026703"/>
      <w:bookmarkStart w:id="6" w:name="_Toc119077860"/>
      <w:r>
        <w:rPr>
          <w:rFonts w:ascii="Times New Roman" w:hAnsi="Times New Roman"/>
          <w:sz w:val="24"/>
          <w:u w:val="none"/>
        </w:rPr>
        <w:t>STRUKTURA A KONVENCE</w:t>
      </w:r>
      <w:bookmarkEnd w:id="5"/>
      <w:bookmarkEnd w:id="6"/>
    </w:p>
    <w:p w14:paraId="2201D117" w14:textId="77777777" w:rsidR="007266CF" w:rsidRPr="002A677E" w:rsidRDefault="007266CF" w:rsidP="00A75C39">
      <w:pPr>
        <w:pStyle w:val="Instructionsberschrift2"/>
        <w:numPr>
          <w:ilvl w:val="1"/>
          <w:numId w:val="42"/>
        </w:numPr>
        <w:ind w:hanging="150"/>
        <w:rPr>
          <w:rFonts w:ascii="Times New Roman" w:hAnsi="Times New Roman" w:cs="Times New Roman"/>
          <w:sz w:val="24"/>
          <w:u w:val="none"/>
        </w:rPr>
      </w:pPr>
      <w:bookmarkStart w:id="7" w:name="_Toc116026704"/>
      <w:bookmarkStart w:id="8" w:name="_Toc119077861"/>
      <w:r>
        <w:rPr>
          <w:rFonts w:ascii="Times New Roman" w:hAnsi="Times New Roman"/>
          <w:sz w:val="24"/>
          <w:u w:val="none"/>
        </w:rPr>
        <w:t>STRUKTURA</w:t>
      </w:r>
      <w:bookmarkEnd w:id="7"/>
      <w:bookmarkEnd w:id="8"/>
    </w:p>
    <w:p w14:paraId="3ABF2351" w14:textId="77777777" w:rsidR="007266CF" w:rsidRPr="002A677E" w:rsidRDefault="007266CF" w:rsidP="007266CF">
      <w:pPr>
        <w:pStyle w:val="InstructionsText2"/>
        <w:numPr>
          <w:ilvl w:val="0"/>
          <w:numId w:val="0"/>
        </w:numPr>
        <w:ind w:left="1353" w:hanging="360"/>
      </w:pPr>
      <w:fldSimple w:instr=" seq paragraphs ">
        <w:r>
          <w:t>1</w:t>
        </w:r>
      </w:fldSimple>
      <w:r>
        <w:t>.</w:t>
      </w:r>
      <w:r>
        <w:tab/>
        <w:t>Rámec pokrývá celkem šest témat, kterými jsou:</w:t>
      </w:r>
    </w:p>
    <w:p w14:paraId="51BAAA99" w14:textId="77777777" w:rsidR="007266CF" w:rsidRPr="002A677E" w:rsidRDefault="007266CF" w:rsidP="007266CF">
      <w:pPr>
        <w:pStyle w:val="InstructionsText2"/>
        <w:numPr>
          <w:ilvl w:val="0"/>
          <w:numId w:val="0"/>
        </w:numPr>
        <w:ind w:left="1353" w:hanging="360"/>
      </w:pPr>
      <w:r>
        <w:t>a)</w:t>
      </w:r>
      <w:r>
        <w:tab/>
        <w:t>kapitálová přiměřenost, přehled regulatorního kapitálu, celkový objem rizikové expozice, obezřetné oceňování, krytí ztrát z nevýkonných expozic;</w:t>
      </w:r>
    </w:p>
    <w:p w14:paraId="012F9710" w14:textId="77777777" w:rsidR="007266CF" w:rsidRPr="002A677E" w:rsidRDefault="007266CF" w:rsidP="007266CF">
      <w:pPr>
        <w:pStyle w:val="InstructionsText2"/>
        <w:numPr>
          <w:ilvl w:val="0"/>
          <w:numId w:val="0"/>
        </w:numPr>
        <w:ind w:left="1353" w:hanging="360"/>
      </w:pPr>
      <w:r>
        <w:t>b)</w:t>
      </w:r>
      <w:r>
        <w:tab/>
        <w:t>skupinová solventnost, přehled plnění solventnostních požadavků všemi subjekty, které jsou zahrnuty do konsolidace vykazujícího subjektu;</w:t>
      </w:r>
    </w:p>
    <w:p w14:paraId="19C2EE5F" w14:textId="77777777" w:rsidR="007266CF" w:rsidRPr="002A677E" w:rsidRDefault="007266CF" w:rsidP="007266CF">
      <w:pPr>
        <w:pStyle w:val="InstructionsText2"/>
        <w:numPr>
          <w:ilvl w:val="0"/>
          <w:numId w:val="0"/>
        </w:numPr>
        <w:ind w:left="1353" w:hanging="360"/>
      </w:pPr>
      <w:r>
        <w:t>c)</w:t>
      </w:r>
      <w:r>
        <w:tab/>
        <w:t>úvěrové riziko (včetně rizika protistrany, rizika rozmělnění a vypořádacího rizika);</w:t>
      </w:r>
    </w:p>
    <w:p w14:paraId="663F76C5" w14:textId="77777777" w:rsidR="007266CF" w:rsidRPr="002A677E" w:rsidRDefault="007266CF" w:rsidP="007266CF">
      <w:pPr>
        <w:pStyle w:val="InstructionsText2"/>
        <w:numPr>
          <w:ilvl w:val="0"/>
          <w:numId w:val="0"/>
        </w:numPr>
        <w:ind w:left="1353" w:hanging="360"/>
      </w:pPr>
      <w:r>
        <w:t>d)</w:t>
      </w:r>
      <w:r>
        <w:tab/>
        <w:t>tržní riziko (včetně pozičního rizika v obchodním portfoliu, měnového rizika, komoditního rizika a rizika souvisejícího s úvěrovou úpravou v ocenění);</w:t>
      </w:r>
    </w:p>
    <w:p w14:paraId="2BBC5B1E" w14:textId="77777777" w:rsidR="007266CF" w:rsidRPr="002A677E" w:rsidRDefault="007266CF" w:rsidP="007266CF">
      <w:pPr>
        <w:pStyle w:val="InstructionsText2"/>
        <w:numPr>
          <w:ilvl w:val="0"/>
          <w:numId w:val="0"/>
        </w:numPr>
        <w:ind w:left="1353" w:hanging="360"/>
      </w:pPr>
      <w:r>
        <w:t>e)</w:t>
      </w:r>
      <w:r>
        <w:tab/>
        <w:t>operační riziko;</w:t>
      </w:r>
    </w:p>
    <w:p w14:paraId="74004D23" w14:textId="77777777" w:rsidR="007266CF" w:rsidRPr="002A677E" w:rsidRDefault="007266CF" w:rsidP="007266CF">
      <w:pPr>
        <w:pStyle w:val="InstructionsText2"/>
        <w:numPr>
          <w:ilvl w:val="0"/>
          <w:numId w:val="0"/>
        </w:numPr>
        <w:ind w:left="1353" w:hanging="360"/>
      </w:pPr>
      <w:r>
        <w:t>f) expozice vůči vládním institucím.</w:t>
      </w:r>
    </w:p>
    <w:p w14:paraId="4A9C1D3E" w14:textId="77777777" w:rsidR="007266CF" w:rsidRPr="002A677E" w:rsidRDefault="007266CF" w:rsidP="007266CF">
      <w:pPr>
        <w:pStyle w:val="InstructionsText2"/>
        <w:numPr>
          <w:ilvl w:val="0"/>
          <w:numId w:val="0"/>
        </w:numPr>
        <w:ind w:left="1353" w:hanging="360"/>
      </w:pPr>
      <w:fldSimple w:instr=" seq paragraphs ">
        <w:r>
          <w:t>2</w:t>
        </w:r>
      </w:fldSimple>
      <w:r>
        <w:t>.</w:t>
      </w:r>
      <w:r>
        <w:tab/>
        <w:t>Ke každé šabloně jsou uvedeny odkazy na právní předpisy. V této části tohoto prováděcího nařízení jsou obsaženy další podrobné informace o obecnějších aspektech podávání zpráv ke každé skupině šablon, pokyny ohledně specifických pozic a také pravidla pro ověřování.</w:t>
      </w:r>
    </w:p>
    <w:p w14:paraId="621AB228" w14:textId="77777777" w:rsidR="007266CF" w:rsidRPr="002A677E" w:rsidRDefault="007266CF" w:rsidP="007266CF">
      <w:pPr>
        <w:pStyle w:val="InstructionsText2"/>
        <w:numPr>
          <w:ilvl w:val="0"/>
          <w:numId w:val="0"/>
        </w:numPr>
        <w:ind w:left="1353" w:hanging="360"/>
      </w:pPr>
      <w:fldSimple w:instr=" seq paragraphs ">
        <w:r>
          <w:t>3</w:t>
        </w:r>
      </w:fldSimple>
      <w:r>
        <w:t>.</w:t>
      </w:r>
      <w:r>
        <w:tab/>
        <w:t>Instituce mají předkládat pouze relevantní šablony, a to v závislosti na přístupu používaném pro určení kapitálových požadavků.</w:t>
      </w:r>
    </w:p>
    <w:p w14:paraId="3531922E" w14:textId="77777777" w:rsidR="007266CF" w:rsidRPr="002A677E" w:rsidRDefault="007266CF" w:rsidP="00A75C39">
      <w:pPr>
        <w:pStyle w:val="Instructionsberschrift2"/>
        <w:numPr>
          <w:ilvl w:val="1"/>
          <w:numId w:val="42"/>
        </w:numPr>
        <w:rPr>
          <w:rFonts w:ascii="Times New Roman" w:hAnsi="Times New Roman" w:cs="Times New Roman"/>
          <w:sz w:val="24"/>
          <w:u w:val="none"/>
        </w:rPr>
      </w:pPr>
      <w:bookmarkStart w:id="9" w:name="_Toc116026705"/>
      <w:bookmarkStart w:id="10" w:name="_Toc119077862"/>
      <w:r>
        <w:rPr>
          <w:rFonts w:ascii="Times New Roman" w:hAnsi="Times New Roman"/>
          <w:sz w:val="24"/>
          <w:u w:val="none"/>
        </w:rPr>
        <w:t>Konvence v oblasti číslování</w:t>
      </w:r>
      <w:bookmarkEnd w:id="9"/>
      <w:bookmarkEnd w:id="10"/>
    </w:p>
    <w:p w14:paraId="49C1CCE5" w14:textId="77777777" w:rsidR="007266CF" w:rsidRPr="002A677E" w:rsidRDefault="007266CF" w:rsidP="007266CF">
      <w:pPr>
        <w:pStyle w:val="InstructionsText2"/>
        <w:numPr>
          <w:ilvl w:val="0"/>
          <w:numId w:val="0"/>
        </w:numPr>
        <w:ind w:left="1353" w:hanging="360"/>
      </w:pPr>
      <w:fldSimple w:instr=" seq paragraphs ">
        <w:r>
          <w:t>4</w:t>
        </w:r>
      </w:fldSimple>
      <w:r>
        <w:t>.</w:t>
      </w:r>
      <w:r>
        <w:tab/>
        <w:t>Jestliže dokument odkazuje na sloupce, řádky a buňky šablon, řídí se označováním, které je stanoveno v bodech 5 až 8. Uvedené číselné kódy se běžně používají v pravidlech pro ověřování.</w:t>
      </w:r>
    </w:p>
    <w:p w14:paraId="2ADE5365" w14:textId="77777777" w:rsidR="007266CF" w:rsidRPr="002A677E" w:rsidRDefault="007266CF" w:rsidP="007266CF">
      <w:pPr>
        <w:pStyle w:val="InstructionsText2"/>
        <w:numPr>
          <w:ilvl w:val="0"/>
          <w:numId w:val="0"/>
        </w:numPr>
        <w:ind w:left="1353" w:hanging="360"/>
      </w:pPr>
      <w:fldSimple w:instr=" seq paragraphs ">
        <w:r>
          <w:t>5</w:t>
        </w:r>
      </w:fldSimple>
      <w:r>
        <w:t>.</w:t>
      </w:r>
      <w:r>
        <w:tab/>
        <w:t>V pokynech se používá tento obecný zápis: {šablona; řádek; sloupec}.</w:t>
      </w:r>
    </w:p>
    <w:p w14:paraId="2E321A3E" w14:textId="77777777" w:rsidR="007266CF" w:rsidRPr="002A677E" w:rsidRDefault="007266CF" w:rsidP="007266CF">
      <w:pPr>
        <w:pStyle w:val="InstructionsText2"/>
        <w:numPr>
          <w:ilvl w:val="0"/>
          <w:numId w:val="0"/>
        </w:numPr>
        <w:ind w:left="1353" w:hanging="360"/>
      </w:pPr>
      <w:fldSimple w:instr=" seq paragraphs ">
        <w:r>
          <w:t>6</w:t>
        </w:r>
      </w:fldSimple>
      <w:r>
        <w:t>.</w:t>
      </w:r>
      <w:r>
        <w:tab/>
        <w:t>V případě validací v rámci šablony, ve které jsou užity pouze údaje z této šablony, zápisy neodkazují na šablonu: {řádek; sloupec}.</w:t>
      </w:r>
    </w:p>
    <w:p w14:paraId="53257A1D" w14:textId="77777777" w:rsidR="007266CF" w:rsidRPr="002A677E" w:rsidRDefault="007266CF" w:rsidP="007266CF">
      <w:pPr>
        <w:pStyle w:val="InstructionsText2"/>
        <w:numPr>
          <w:ilvl w:val="0"/>
          <w:numId w:val="0"/>
        </w:numPr>
        <w:ind w:left="1353" w:hanging="360"/>
      </w:pPr>
      <w:fldSimple w:instr=" seq paragraphs ">
        <w:r>
          <w:t>7</w:t>
        </w:r>
      </w:fldSimple>
      <w:r>
        <w:t>.</w:t>
      </w:r>
      <w:r>
        <w:tab/>
        <w:t>Má-li šablona pouze jeden sloupec, odkazuje se pouze na řádky: {šablona; řádek}</w:t>
      </w:r>
    </w:p>
    <w:p w14:paraId="5FCA9036" w14:textId="77777777" w:rsidR="007266CF" w:rsidRPr="002A677E" w:rsidRDefault="007266CF" w:rsidP="007266CF">
      <w:pPr>
        <w:pStyle w:val="InstructionsText2"/>
        <w:numPr>
          <w:ilvl w:val="0"/>
          <w:numId w:val="0"/>
        </w:numPr>
        <w:ind w:left="1353" w:hanging="360"/>
      </w:pPr>
      <w:fldSimple w:instr=" seq paragraphs ">
        <w:r>
          <w:t>8</w:t>
        </w:r>
      </w:fldSimple>
      <w:r>
        <w:t>.</w:t>
      </w:r>
      <w:r>
        <w:tab/>
        <w:t>Hvězdičkou se označuje skutečnost, že u předem specifikovaných řádků či sloupců byla provedena validace.</w:t>
      </w:r>
    </w:p>
    <w:p w14:paraId="790B541C" w14:textId="77777777" w:rsidR="007266CF" w:rsidRPr="002A677E" w:rsidRDefault="007266CF" w:rsidP="00A75C39">
      <w:pPr>
        <w:pStyle w:val="Instructionsberschrift2"/>
        <w:numPr>
          <w:ilvl w:val="1"/>
          <w:numId w:val="42"/>
        </w:numPr>
        <w:rPr>
          <w:rFonts w:ascii="Times New Roman" w:hAnsi="Times New Roman" w:cs="Times New Roman"/>
          <w:sz w:val="24"/>
          <w:u w:val="none"/>
        </w:rPr>
      </w:pPr>
      <w:bookmarkStart w:id="11" w:name="_Toc116026706"/>
      <w:bookmarkStart w:id="12" w:name="_Toc119077863"/>
      <w:r>
        <w:rPr>
          <w:rFonts w:ascii="Times New Roman" w:hAnsi="Times New Roman"/>
          <w:sz w:val="24"/>
          <w:u w:val="none"/>
        </w:rPr>
        <w:lastRenderedPageBreak/>
        <w:t>Konvence v oblasti znamének</w:t>
      </w:r>
      <w:bookmarkEnd w:id="11"/>
      <w:bookmarkEnd w:id="12"/>
    </w:p>
    <w:p w14:paraId="42A6B6F9" w14:textId="77777777" w:rsidR="007266CF" w:rsidRPr="002A677E" w:rsidRDefault="007266CF" w:rsidP="007266CF">
      <w:pPr>
        <w:pStyle w:val="InstructionsText2"/>
        <w:numPr>
          <w:ilvl w:val="0"/>
          <w:numId w:val="0"/>
        </w:numPr>
        <w:ind w:left="1353" w:hanging="360"/>
      </w:pPr>
      <w:fldSimple w:instr=" seq paragraphs ">
        <w:r>
          <w:t>9</w:t>
        </w:r>
      </w:fldSimple>
      <w:r>
        <w:t>.</w:t>
      </w:r>
      <w:r>
        <w:tab/>
        <w:t>Jakákoli částka, která zvyšuje kapitál nebo kapitálové požadavky, se zapisuje jako kladné číslo. Naopak jakákoli částka, která celkový kapitál nebo kapitálové požadavky snižuje, se zapisuje jako záporné číslo. Je-li před označením položky uvedeno záporné znaménko (−), předpokládá se, že u této položky nebude uvedeno žádné kladné číslo.</w:t>
      </w:r>
    </w:p>
    <w:p w14:paraId="10C65197" w14:textId="77777777" w:rsidR="007266CF" w:rsidRPr="002A677E" w:rsidRDefault="007266CF" w:rsidP="007266CF">
      <w:pPr>
        <w:pStyle w:val="InstructionsText2"/>
        <w:numPr>
          <w:ilvl w:val="0"/>
          <w:numId w:val="0"/>
        </w:numPr>
        <w:ind w:left="1353" w:hanging="360"/>
      </w:pPr>
      <w:fldSimple w:instr=" seq paragraphs ">
        <w:r>
          <w:t>10</w:t>
        </w:r>
      </w:fldSimple>
      <w:r>
        <w:t>. [prázdný]</w:t>
      </w:r>
    </w:p>
    <w:p w14:paraId="2334CD3F" w14:textId="77777777" w:rsidR="007266CF" w:rsidRPr="002A677E" w:rsidRDefault="007266CF" w:rsidP="007266CF">
      <w:pPr>
        <w:pStyle w:val="InstructionsText2"/>
        <w:numPr>
          <w:ilvl w:val="0"/>
          <w:numId w:val="0"/>
        </w:numPr>
        <w:ind w:left="1353" w:hanging="360"/>
      </w:pPr>
    </w:p>
    <w:p w14:paraId="3BB2B6FD" w14:textId="77777777" w:rsidR="007266CF" w:rsidRPr="002A677E" w:rsidRDefault="007266CF" w:rsidP="007266CF">
      <w:pPr>
        <w:pStyle w:val="InstructionsText2"/>
        <w:sectPr w:rsidR="007266CF" w:rsidRPr="002A677E" w:rsidSect="00A801A9">
          <w:endnotePr>
            <w:numFmt w:val="decimal"/>
          </w:endnotePr>
          <w:pgSz w:w="11906" w:h="16838"/>
          <w:pgMar w:top="1417" w:right="1417" w:bottom="1134" w:left="1417" w:header="708" w:footer="708" w:gutter="0"/>
          <w:cols w:space="708"/>
          <w:rtlGutter/>
          <w:docGrid w:linePitch="360"/>
        </w:sectPr>
      </w:pPr>
    </w:p>
    <w:p w14:paraId="5222DE3A" w14:textId="77777777" w:rsidR="007266CF" w:rsidRPr="002A677E" w:rsidRDefault="007266CF" w:rsidP="007266CF">
      <w:pPr>
        <w:rPr>
          <w:rFonts w:ascii="Times New Roman" w:hAnsi="Times New Roman"/>
          <w:sz w:val="24"/>
        </w:rPr>
      </w:pPr>
    </w:p>
    <w:p w14:paraId="1EB43A81" w14:textId="77777777" w:rsidR="007266CF" w:rsidRPr="002A677E" w:rsidRDefault="007266CF" w:rsidP="007266CF">
      <w:pPr>
        <w:pStyle w:val="Heading2"/>
        <w:rPr>
          <w:rFonts w:ascii="Times New Roman" w:hAnsi="Times New Roman"/>
        </w:rPr>
      </w:pPr>
      <w:bookmarkStart w:id="13" w:name="_Toc116026707"/>
      <w:bookmarkStart w:id="14" w:name="_Toc119077864"/>
      <w:r>
        <w:rPr>
          <w:rFonts w:ascii="Times New Roman" w:hAnsi="Times New Roman"/>
        </w:rPr>
        <w:t>ČÁST II: POKYNY K ŠABLONÁM</w:t>
      </w:r>
      <w:bookmarkEnd w:id="13"/>
      <w:bookmarkEnd w:id="14"/>
    </w:p>
    <w:p w14:paraId="03351BC4" w14:textId="77777777" w:rsidR="007266CF" w:rsidRPr="002A677E" w:rsidRDefault="007266CF" w:rsidP="00A75C39">
      <w:pPr>
        <w:pStyle w:val="Instructionsberschrift2"/>
        <w:numPr>
          <w:ilvl w:val="0"/>
          <w:numId w:val="43"/>
        </w:numPr>
        <w:rPr>
          <w:rFonts w:ascii="Times New Roman" w:hAnsi="Times New Roman" w:cs="Times New Roman"/>
          <w:sz w:val="24"/>
          <w:u w:val="none"/>
        </w:rPr>
      </w:pPr>
      <w:bookmarkStart w:id="15" w:name="_Toc116026708"/>
      <w:bookmarkStart w:id="16" w:name="_Toc119077865"/>
      <w:r>
        <w:rPr>
          <w:rFonts w:ascii="Times New Roman" w:hAnsi="Times New Roman"/>
          <w:sz w:val="24"/>
          <w:u w:val="none"/>
        </w:rPr>
        <w:t>Přehled kapitálové přiměřenosti</w:t>
      </w:r>
      <w:r>
        <w:t xml:space="preserve"> </w:t>
      </w:r>
      <w:r>
        <w:rPr>
          <w:rFonts w:ascii="Times New Roman" w:hAnsi="Times New Roman"/>
          <w:sz w:val="24"/>
          <w:u w:val="none"/>
        </w:rPr>
        <w:t>(CA)</w:t>
      </w:r>
      <w:bookmarkEnd w:id="15"/>
      <w:bookmarkEnd w:id="16"/>
    </w:p>
    <w:p w14:paraId="2776EAD2" w14:textId="77777777" w:rsidR="007266CF" w:rsidRPr="00D93094" w:rsidRDefault="007266CF" w:rsidP="00A75C39">
      <w:pPr>
        <w:pStyle w:val="ListParagraph"/>
        <w:keepNext/>
        <w:numPr>
          <w:ilvl w:val="0"/>
          <w:numId w:val="44"/>
        </w:numPr>
        <w:spacing w:before="240" w:after="240"/>
        <w:outlineLvl w:val="1"/>
        <w:rPr>
          <w:rFonts w:ascii="Times New Roman" w:eastAsia="Arial" w:hAnsi="Times New Roman" w:cs="Arial"/>
          <w:vanish/>
          <w:sz w:val="24"/>
          <w:lang w:eastAsia="x-none"/>
        </w:rPr>
      </w:pPr>
      <w:bookmarkStart w:id="17" w:name="_Toc115949296"/>
      <w:bookmarkStart w:id="18" w:name="_Toc115949520"/>
      <w:bookmarkStart w:id="19" w:name="_Toc115949706"/>
      <w:bookmarkStart w:id="20" w:name="_Toc115950118"/>
      <w:bookmarkStart w:id="21" w:name="_Toc115959629"/>
      <w:bookmarkStart w:id="22" w:name="_Toc115959809"/>
      <w:bookmarkStart w:id="23" w:name="_Toc116026709"/>
      <w:bookmarkStart w:id="24" w:name="_Toc119077866"/>
      <w:bookmarkEnd w:id="17"/>
      <w:bookmarkEnd w:id="18"/>
      <w:bookmarkEnd w:id="19"/>
      <w:bookmarkEnd w:id="20"/>
      <w:bookmarkEnd w:id="21"/>
      <w:bookmarkEnd w:id="22"/>
      <w:bookmarkEnd w:id="23"/>
      <w:bookmarkEnd w:id="24"/>
    </w:p>
    <w:p w14:paraId="181B521C" w14:textId="77777777" w:rsidR="007266CF" w:rsidRPr="002A677E" w:rsidRDefault="007266CF" w:rsidP="00A75C39">
      <w:pPr>
        <w:pStyle w:val="Instructionsberschrift2"/>
        <w:numPr>
          <w:ilvl w:val="1"/>
          <w:numId w:val="44"/>
        </w:numPr>
        <w:rPr>
          <w:rFonts w:ascii="Times New Roman" w:hAnsi="Times New Roman" w:cs="Times New Roman"/>
          <w:sz w:val="24"/>
          <w:u w:val="none"/>
        </w:rPr>
      </w:pPr>
      <w:bookmarkStart w:id="25" w:name="_Toc116026710"/>
      <w:bookmarkStart w:id="26" w:name="_Toc119077867"/>
      <w:r>
        <w:rPr>
          <w:rFonts w:ascii="Times New Roman" w:hAnsi="Times New Roman"/>
          <w:sz w:val="24"/>
          <w:u w:val="none"/>
        </w:rPr>
        <w:t>Obecné poznámky</w:t>
      </w:r>
      <w:bookmarkEnd w:id="25"/>
      <w:bookmarkEnd w:id="26"/>
    </w:p>
    <w:p w14:paraId="6B29C227" w14:textId="77777777" w:rsidR="007266CF" w:rsidRPr="002A677E" w:rsidRDefault="007266CF" w:rsidP="007266CF">
      <w:pPr>
        <w:pStyle w:val="InstructionsText2"/>
        <w:numPr>
          <w:ilvl w:val="0"/>
          <w:numId w:val="0"/>
        </w:numPr>
        <w:ind w:left="1353" w:hanging="360"/>
      </w:pPr>
      <w:fldSimple w:instr=" seq paragraphs ">
        <w:r>
          <w:t>11</w:t>
        </w:r>
      </w:fldSimple>
      <w:r>
        <w:t>.</w:t>
      </w:r>
      <w:r>
        <w:tab/>
        <w:t xml:space="preserve">Šablony CA obsahují informace o čitatelích (kapitál, kapitál tier 1, kmenový kapitál tier 1), jmenovateli (kapitálové požadavky) a použití přechodných ustanovení nařízení (EU) č. 575/2013 a směrnice 2013/36/EU v rámci pilíře 1 a jsou rozděleny do pěti šablon: </w:t>
      </w:r>
    </w:p>
    <w:p w14:paraId="3C0A4509" w14:textId="77777777" w:rsidR="007266CF" w:rsidRPr="002A677E" w:rsidRDefault="007266CF" w:rsidP="007266CF">
      <w:pPr>
        <w:pStyle w:val="InstructionsText2"/>
        <w:numPr>
          <w:ilvl w:val="0"/>
          <w:numId w:val="0"/>
        </w:numPr>
        <w:ind w:left="1353" w:hanging="360"/>
      </w:pPr>
      <w:r>
        <w:t>a)</w:t>
      </w:r>
      <w:r>
        <w:tab/>
        <w:t>šablona CA1 obsahuje výši kapitálu institucí rozdělenou na položky, jejichž součtem se získá uvedená částka. Dosažená výše kapitálu zahrnuje souhrnný dopad použití přechodných ustanovení nařízení (EU) č. 575/2013 a směrnice 2013/36/EU podle druhu kapitálu;</w:t>
      </w:r>
    </w:p>
    <w:p w14:paraId="71072F47" w14:textId="77777777" w:rsidR="007266CF" w:rsidRPr="002A677E" w:rsidRDefault="007266CF" w:rsidP="007266CF">
      <w:pPr>
        <w:pStyle w:val="InstructionsText2"/>
        <w:numPr>
          <w:ilvl w:val="0"/>
          <w:numId w:val="0"/>
        </w:numPr>
        <w:ind w:left="1353" w:hanging="360"/>
      </w:pPr>
      <w:r>
        <w:t>b)</w:t>
      </w:r>
      <w:r>
        <w:tab/>
        <w:t>šablona CA2 rekapituluje celkové objemy rizikových expozic (jak jsou definovány v čl. 92 odst. 3 nařízení (EU) č. 575/2013;</w:t>
      </w:r>
    </w:p>
    <w:p w14:paraId="3BAD9BCC" w14:textId="77777777" w:rsidR="007266CF" w:rsidRPr="002A677E" w:rsidRDefault="007266CF" w:rsidP="007266CF">
      <w:pPr>
        <w:pStyle w:val="InstructionsText2"/>
        <w:numPr>
          <w:ilvl w:val="0"/>
          <w:numId w:val="0"/>
        </w:numPr>
        <w:ind w:left="1353" w:hanging="360"/>
      </w:pPr>
      <w:r>
        <w:t>c)</w:t>
      </w:r>
      <w:r>
        <w:tab/>
        <w:t>v šabloně CA3 se uvádí poměry, jejichž minimální úroveň je stanovena v nařízení (EU) č. 575/2013, poměry v rámci pilíře 2 a některé další související údaje;</w:t>
      </w:r>
    </w:p>
    <w:p w14:paraId="0E3EB542" w14:textId="77777777" w:rsidR="007266CF" w:rsidRPr="002A677E" w:rsidRDefault="007266CF" w:rsidP="007266CF">
      <w:pPr>
        <w:pStyle w:val="InstructionsText2"/>
        <w:numPr>
          <w:ilvl w:val="0"/>
          <w:numId w:val="0"/>
        </w:numPr>
        <w:ind w:left="1353" w:hanging="360"/>
      </w:pPr>
      <w:r>
        <w:t>d)</w:t>
      </w:r>
      <w:r>
        <w:tab/>
        <w:t xml:space="preserve">šablona CA4 obsahuje doplňkové položky potřebné mimo jiné pro výpočet položek v šabloně CA1 a také informace týkající se kapitálových rezerv podle směrnice 2013/36/EU; </w:t>
      </w:r>
    </w:p>
    <w:p w14:paraId="16BC57C8" w14:textId="77777777" w:rsidR="007266CF" w:rsidRPr="002A677E" w:rsidRDefault="007266CF" w:rsidP="007266CF">
      <w:pPr>
        <w:pStyle w:val="InstructionsText2"/>
        <w:numPr>
          <w:ilvl w:val="0"/>
          <w:numId w:val="0"/>
        </w:numPr>
        <w:ind w:left="1353" w:hanging="360"/>
      </w:pPr>
      <w:r>
        <w:t>e)</w:t>
      </w:r>
      <w:r>
        <w:tab/>
        <w:t>šablona CA5 obsahuje údaje potřebné pro výpočet dopadu použití přechodných ustanovení nařízení (EU) č. 575/2013 na kapitál. Jakmile vyprší platnost uvedených přechodných ustanovení, šablona CA5 zanikne.</w:t>
      </w:r>
    </w:p>
    <w:p w14:paraId="52804CFA" w14:textId="77777777" w:rsidR="007266CF" w:rsidRPr="002A677E" w:rsidRDefault="007266CF" w:rsidP="007266CF">
      <w:pPr>
        <w:pStyle w:val="InstructionsText2"/>
        <w:numPr>
          <w:ilvl w:val="0"/>
          <w:numId w:val="0"/>
        </w:numPr>
        <w:ind w:left="1353" w:hanging="360"/>
      </w:pPr>
      <w:fldSimple w:instr=" seq paragraphs ">
        <w:r>
          <w:t>12</w:t>
        </w:r>
      </w:fldSimple>
      <w:r>
        <w:t>.</w:t>
      </w:r>
      <w:r>
        <w:tab/>
        <w:t>Šablony mají používat všechny vykazující subjekty bez ohledu na to, jakými účetními standardy se řídí, přestože některé položky v čitateli jsou charakteristické pro subjekty uplatňující pravidla oceňování typu IAS/IFRS. Údaj udávaný ve jmenovateli obecně souvisí s konečnými výsledky uvedenými v odpovídajících šablonách pro výpočet celkového objemu rizikové expozice.</w:t>
      </w:r>
    </w:p>
    <w:p w14:paraId="1F15EAF0" w14:textId="77777777" w:rsidR="007266CF" w:rsidRPr="002A677E" w:rsidRDefault="007266CF" w:rsidP="007266CF">
      <w:pPr>
        <w:pStyle w:val="InstructionsText2"/>
        <w:numPr>
          <w:ilvl w:val="0"/>
          <w:numId w:val="0"/>
        </w:numPr>
        <w:ind w:left="1353" w:hanging="360"/>
      </w:pPr>
      <w:fldSimple w:instr=" seq paragraphs ">
        <w:r>
          <w:t>13</w:t>
        </w:r>
      </w:fldSimple>
      <w:r>
        <w:t>.</w:t>
      </w:r>
      <w:r>
        <w:tab/>
        <w:t xml:space="preserve">Celkový kapitál se skládá z různých druhů kapitálu: z kapitálu tier 1 (T1), který je součtem kmenového kapitálu tier 1 (CET1) a vedlejšího kapitálu tier 1 (AT1), a z kapitálu tier 2 (T2). </w:t>
      </w:r>
    </w:p>
    <w:p w14:paraId="26E2C40B" w14:textId="77777777" w:rsidR="007266CF" w:rsidRPr="002A677E" w:rsidRDefault="007266CF" w:rsidP="007266CF">
      <w:pPr>
        <w:pStyle w:val="InstructionsText2"/>
        <w:numPr>
          <w:ilvl w:val="0"/>
          <w:numId w:val="0"/>
        </w:numPr>
        <w:ind w:left="1353" w:hanging="360"/>
      </w:pPr>
      <w:fldSimple w:instr=" seq paragraphs ">
        <w:r>
          <w:t>14</w:t>
        </w:r>
      </w:fldSimple>
      <w:r>
        <w:t>.</w:t>
      </w:r>
      <w:r>
        <w:tab/>
        <w:t>Použití přechodných ustanovení nařízení (EU) č. 575/2013 a směrnice 2013/36/EU se v šablonách CA zohledňuje takto:</w:t>
      </w:r>
    </w:p>
    <w:p w14:paraId="64879F14" w14:textId="77777777" w:rsidR="007266CF" w:rsidRPr="002A677E" w:rsidRDefault="007266CF" w:rsidP="007266CF">
      <w:pPr>
        <w:pStyle w:val="InstructionsText2"/>
        <w:numPr>
          <w:ilvl w:val="0"/>
          <w:numId w:val="0"/>
        </w:numPr>
        <w:ind w:left="1353" w:hanging="360"/>
      </w:pPr>
      <w:r>
        <w:t>a)</w:t>
      </w:r>
      <w:r>
        <w:tab/>
        <w:t>položky v šabloně CA1 se obecně uvádějí bez přechodných úprav. Znamená to, že číselné hodnoty v položkách šablony CA1 se vypočítávají podle závěrečných ustanovení (tj. jako kdyby neexistovala přechodná ustanovení) s výjimkou položek, které shrnují dopad těchto přechodných ustanovení. U každého druhu kapitálu (tj. kmenový kapitál tier 1, vedlejší kapitál tier 1 a kapitál tier 2) jsou tři různé položky, v nichž jsou zohledněny všechny úpravy vyplývající z těchto přechodných ustanovení;</w:t>
      </w:r>
    </w:p>
    <w:p w14:paraId="41EEAE3D" w14:textId="77777777" w:rsidR="007266CF" w:rsidRPr="002A677E" w:rsidRDefault="007266CF" w:rsidP="007266CF">
      <w:pPr>
        <w:pStyle w:val="InstructionsText2"/>
        <w:numPr>
          <w:ilvl w:val="0"/>
          <w:numId w:val="0"/>
        </w:numPr>
        <w:ind w:left="1353" w:hanging="360"/>
      </w:pPr>
      <w:r>
        <w:lastRenderedPageBreak/>
        <w:t>b)</w:t>
      </w:r>
      <w:r>
        <w:tab/>
        <w:t>přechodná ustanovení mohou způsobit rovněž nedostatek vedlejšího kapitálu tier 1 a kapitálu tier 2 (tj. odpočty nad rámec vedlejšího kapitálu tier 1 a kapitálu tier 2 upravené v uvedeném pořadí v čl. 36 odst. 1 písm. j) a čl. 56 písm. e) nařízení (EU) č. 575/2013), a proto mohou položky, které zahrnují tyto nedostatky, nepřímo odrážet dopad přechodných ustanovení;</w:t>
      </w:r>
    </w:p>
    <w:p w14:paraId="7C9F2A2E" w14:textId="77777777" w:rsidR="007266CF" w:rsidRPr="002A677E" w:rsidRDefault="007266CF" w:rsidP="007266CF">
      <w:pPr>
        <w:pStyle w:val="InstructionsText2"/>
        <w:numPr>
          <w:ilvl w:val="0"/>
          <w:numId w:val="0"/>
        </w:numPr>
        <w:ind w:left="1353" w:hanging="360"/>
      </w:pPr>
      <w:r>
        <w:t>c)</w:t>
      </w:r>
      <w:r>
        <w:tab/>
        <w:t xml:space="preserve">šablona CA5 se používá výhradně pro podávání zpráv o dopadu použití přechodných ustanovení nařízení (EU) č. 575/2013. </w:t>
      </w:r>
    </w:p>
    <w:p w14:paraId="0122269E" w14:textId="77777777" w:rsidR="007266CF" w:rsidRPr="002A677E" w:rsidRDefault="007266CF" w:rsidP="007266CF">
      <w:pPr>
        <w:pStyle w:val="InstructionsText2"/>
        <w:numPr>
          <w:ilvl w:val="0"/>
          <w:numId w:val="0"/>
        </w:numPr>
        <w:ind w:left="1353" w:hanging="360"/>
      </w:pPr>
      <w:fldSimple w:instr=" seq paragraphs ">
        <w:r>
          <w:t>15</w:t>
        </w:r>
      </w:fldSimple>
      <w:r>
        <w:t>.</w:t>
      </w:r>
      <w:r>
        <w:tab/>
        <w:t xml:space="preserve">Postup v případě požadavků v rámci pilíře II se může v rámci Unie lišit (ustanovení čl. 104a odst. 1 směrnice 2013/36/EU musí být provedeno ve vnitrostátních právních předpisech). Do vykazování solventnosti vyžadovaného podle nařízení (EU) č. 575/2013 se zahrne pouze dopad požadavků v rámci pilíře II na solventnostní poměr nebo cílový poměr. </w:t>
      </w:r>
    </w:p>
    <w:p w14:paraId="16303146" w14:textId="77777777" w:rsidR="007266CF" w:rsidRPr="002A677E" w:rsidRDefault="007266CF" w:rsidP="007266CF">
      <w:pPr>
        <w:pStyle w:val="InstructionsText2"/>
        <w:numPr>
          <w:ilvl w:val="0"/>
          <w:numId w:val="0"/>
        </w:numPr>
        <w:ind w:left="1353" w:hanging="360"/>
      </w:pPr>
      <w:r>
        <w:t>a)</w:t>
      </w:r>
      <w:r>
        <w:tab/>
        <w:t>Šablony CA1, CA2 nebo CA5 obsahují pouze údaje týkající se otázek v rámci pilíře I.</w:t>
      </w:r>
    </w:p>
    <w:p w14:paraId="51DF14E9" w14:textId="77777777" w:rsidR="007266CF" w:rsidRPr="002A677E" w:rsidRDefault="007266CF" w:rsidP="007266CF">
      <w:pPr>
        <w:pStyle w:val="InstructionsText2"/>
        <w:numPr>
          <w:ilvl w:val="0"/>
          <w:numId w:val="0"/>
        </w:numPr>
        <w:ind w:left="1353" w:hanging="360"/>
      </w:pPr>
      <w:r>
        <w:t>b)</w:t>
      </w:r>
      <w:r>
        <w:tab/>
        <w:t>Šablona CA3 zahrnuje souhrnný dopad dodatečných požadavků dle pilíře II, které se týkají solventnostního poměru. Soustředí se zejména na samotné cílové poměry. Nemá žádnou další vazbu na šablony CA1, CA2 nebo CA5.</w:t>
      </w:r>
    </w:p>
    <w:p w14:paraId="763202C0" w14:textId="77777777" w:rsidR="007266CF" w:rsidRPr="002A677E" w:rsidRDefault="007266CF" w:rsidP="007266CF">
      <w:pPr>
        <w:pStyle w:val="InstructionsText2"/>
        <w:numPr>
          <w:ilvl w:val="0"/>
          <w:numId w:val="0"/>
        </w:numPr>
        <w:ind w:left="1353" w:hanging="360"/>
      </w:pPr>
      <w:r>
        <w:t>c)</w:t>
      </w:r>
      <w:r>
        <w:tab/>
        <w:t>Šablona CA4 obsahuje jednu buňku týkající se dodatečných kapitálových požadavků vztahujících se k pilíři II. Tato buňka nemá přes pravidla pro ověřování žádnou vazbu na kapitálové poměry uváděné v šabloně CA3 a odráží čl. 104a odst. 1 směrnice 2013/36/EU, v němž jsou výslovně uvedeny dodatečné kapitálové požadavky jako jedna z možností pro rozhodnutí v rámci pilíře II.</w:t>
      </w:r>
    </w:p>
    <w:p w14:paraId="77A068A6" w14:textId="77777777" w:rsidR="007266CF" w:rsidRPr="00911499" w:rsidRDefault="007266CF" w:rsidP="00A75C39">
      <w:pPr>
        <w:pStyle w:val="Instructionsberschrift2"/>
        <w:numPr>
          <w:ilvl w:val="1"/>
          <w:numId w:val="44"/>
        </w:numPr>
        <w:ind w:left="426"/>
        <w:rPr>
          <w:rFonts w:ascii="Times New Roman" w:hAnsi="Times New Roman" w:cs="Times New Roman"/>
          <w:sz w:val="24"/>
        </w:rPr>
      </w:pPr>
      <w:bookmarkStart w:id="27" w:name="_Toc116026711"/>
      <w:bookmarkStart w:id="28" w:name="_Toc119077868"/>
      <w:r>
        <w:rPr>
          <w:rFonts w:ascii="Times New Roman" w:hAnsi="Times New Roman"/>
          <w:sz w:val="24"/>
        </w:rPr>
        <w:t>C 01.00 – KAPITÁL (CA1)</w:t>
      </w:r>
      <w:bookmarkEnd w:id="27"/>
      <w:bookmarkEnd w:id="28"/>
      <w:r>
        <w:rPr>
          <w:rFonts w:ascii="Times New Roman" w:hAnsi="Times New Roman"/>
          <w:sz w:val="24"/>
        </w:rPr>
        <w:t xml:space="preserve"> </w:t>
      </w:r>
      <w:bookmarkStart w:id="29" w:name="_Toc115949299"/>
      <w:bookmarkStart w:id="30" w:name="_Toc115949523"/>
      <w:bookmarkStart w:id="31" w:name="_Toc115949709"/>
      <w:bookmarkStart w:id="32" w:name="_Toc115949301"/>
      <w:bookmarkStart w:id="33" w:name="_Toc115949525"/>
      <w:bookmarkStart w:id="34" w:name="_Toc115949711"/>
      <w:bookmarkEnd w:id="29"/>
      <w:bookmarkEnd w:id="30"/>
      <w:bookmarkEnd w:id="31"/>
      <w:bookmarkEnd w:id="32"/>
      <w:bookmarkEnd w:id="33"/>
      <w:bookmarkEnd w:id="34"/>
    </w:p>
    <w:p w14:paraId="5FDB8D88" w14:textId="77777777" w:rsidR="007266CF" w:rsidRPr="002A677E" w:rsidRDefault="007266CF" w:rsidP="00A75C39">
      <w:pPr>
        <w:pStyle w:val="Instructionsberschrift2"/>
        <w:numPr>
          <w:ilvl w:val="2"/>
          <w:numId w:val="45"/>
        </w:numPr>
        <w:ind w:left="709" w:hanging="709"/>
        <w:rPr>
          <w:rFonts w:ascii="Times New Roman" w:hAnsi="Times New Roman" w:cs="Times New Roman"/>
          <w:sz w:val="24"/>
        </w:rPr>
      </w:pPr>
      <w:bookmarkStart w:id="35" w:name="_Toc116026712"/>
      <w:bookmarkStart w:id="36" w:name="_Toc119077869"/>
      <w:r>
        <w:rPr>
          <w:rFonts w:ascii="Times New Roman" w:hAnsi="Times New Roman"/>
          <w:sz w:val="24"/>
        </w:rPr>
        <w:t>Pokyny pro konkrétní</w:t>
      </w:r>
      <w:r>
        <w:t xml:space="preserve"> </w:t>
      </w:r>
      <w:r>
        <w:rPr>
          <w:rFonts w:ascii="Times New Roman" w:hAnsi="Times New Roman"/>
          <w:sz w:val="24"/>
        </w:rPr>
        <w:t>pozice</w:t>
      </w:r>
      <w:bookmarkEnd w:id="35"/>
      <w:bookmarkEnd w:id="36"/>
    </w:p>
    <w:p w14:paraId="04D18389" w14:textId="77777777" w:rsidR="007266CF" w:rsidRPr="002A677E" w:rsidRDefault="007266CF" w:rsidP="007266CF">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266CF" w:rsidRPr="002A677E" w14:paraId="75D2A244" w14:textId="77777777" w:rsidTr="007266CF">
        <w:tc>
          <w:tcPr>
            <w:tcW w:w="1129" w:type="dxa"/>
            <w:shd w:val="clear" w:color="auto" w:fill="D9D9D9"/>
          </w:tcPr>
          <w:p w14:paraId="74AFCC2C" w14:textId="77777777" w:rsidR="007266CF" w:rsidRPr="002A677E" w:rsidRDefault="007266CF" w:rsidP="007266CF">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0" w:type="dxa"/>
            <w:shd w:val="clear" w:color="auto" w:fill="D9D9D9"/>
          </w:tcPr>
          <w:p w14:paraId="1738B709" w14:textId="77777777" w:rsidR="007266CF" w:rsidRPr="002A677E" w:rsidRDefault="007266CF" w:rsidP="007266CF">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7266CF" w:rsidRPr="006223CC" w14:paraId="6D2E69B5" w14:textId="77777777" w:rsidTr="007266CF">
        <w:tc>
          <w:tcPr>
            <w:tcW w:w="1129" w:type="dxa"/>
          </w:tcPr>
          <w:p w14:paraId="2CA80E4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4638922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Kapitál</w:t>
            </w:r>
          </w:p>
          <w:p w14:paraId="034B021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118 a článku 72 </w:t>
            </w:r>
            <w:r>
              <w:t>nařízení (EU) č. 575/2013</w:t>
            </w:r>
          </w:p>
          <w:p w14:paraId="6F9CCB41"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FormatvorlageInstructionsTabelleText"/>
                <w:rFonts w:ascii="Times New Roman" w:hAnsi="Times New Roman"/>
                <w:sz w:val="24"/>
                <w:lang w:val="fr-FR"/>
              </w:rPr>
              <w:t>Kapitál instituce je součtem jejího kapitálu tier 1 a tier 2.</w:t>
            </w:r>
          </w:p>
        </w:tc>
      </w:tr>
      <w:tr w:rsidR="007266CF" w:rsidRPr="002A677E" w14:paraId="5B0FC734" w14:textId="77777777" w:rsidTr="007266CF">
        <w:tc>
          <w:tcPr>
            <w:tcW w:w="1129" w:type="dxa"/>
          </w:tcPr>
          <w:p w14:paraId="289A47A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1BBB818"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Kapitál tier 1</w:t>
            </w:r>
          </w:p>
          <w:p w14:paraId="5992562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25 </w:t>
            </w:r>
            <w:r>
              <w:t>nařízení (EU) č. 575/2013</w:t>
            </w:r>
          </w:p>
          <w:p w14:paraId="5E00AD93"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Kapitál tier 1 je součtem kmenového kapitálu tier 1 a vedlejšího kapitálu tier 1. </w:t>
            </w:r>
          </w:p>
        </w:tc>
      </w:tr>
      <w:tr w:rsidR="007266CF" w:rsidRPr="002A677E" w14:paraId="7D8BD826" w14:textId="77777777" w:rsidTr="007266CF">
        <w:tc>
          <w:tcPr>
            <w:tcW w:w="1129" w:type="dxa"/>
          </w:tcPr>
          <w:p w14:paraId="0759F7D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1851CA4"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Kmenový kapitál tier 1</w:t>
            </w:r>
          </w:p>
          <w:p w14:paraId="0AA881E5"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50 </w:t>
            </w:r>
            <w:r>
              <w:t>nařízení (EU) č. 575/2013</w:t>
            </w:r>
          </w:p>
        </w:tc>
      </w:tr>
      <w:tr w:rsidR="007266CF" w:rsidRPr="002A677E" w14:paraId="1EB1CA34" w14:textId="77777777" w:rsidTr="007266CF">
        <w:tc>
          <w:tcPr>
            <w:tcW w:w="1129" w:type="dxa"/>
          </w:tcPr>
          <w:p w14:paraId="78F01F3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EEA7319" w14:textId="77777777" w:rsidR="007266CF" w:rsidRPr="001235ED"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Kapitálové nástroje a emisní ážio způsobilé jako kmenový kapitál tier 1</w:t>
            </w:r>
          </w:p>
          <w:p w14:paraId="734E522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Ustanovení čl. 26 odst. 1 písm. a) a b), článků 27 až 30, čl. 36 odst. 1 písm. f) a článku 42 </w:t>
            </w:r>
            <w:r>
              <w:t>nařízení (EU) č. 575/2013.</w:t>
            </w:r>
          </w:p>
        </w:tc>
      </w:tr>
      <w:tr w:rsidR="007266CF" w:rsidRPr="002A677E" w14:paraId="73B48D5A" w14:textId="77777777" w:rsidTr="007266CF">
        <w:tc>
          <w:tcPr>
            <w:tcW w:w="1129" w:type="dxa"/>
          </w:tcPr>
          <w:p w14:paraId="25A6FD7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25595A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Zcela splacené kapitálové nástroje</w:t>
            </w:r>
          </w:p>
          <w:p w14:paraId="785A9A4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1 písm. a) a článků 27 až 31</w:t>
            </w:r>
            <w:r>
              <w:t xml:space="preserve"> nařízení (EU) č. 575/2013</w:t>
            </w:r>
          </w:p>
          <w:p w14:paraId="46DC9C1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Zahrnují se kapitálové nástroje vzájemných institucí, družstev nebo podobných institucí (články 27 a 29 </w:t>
            </w:r>
            <w:r>
              <w:t>nařízení (EU) č. 575/2013</w:t>
            </w:r>
            <w:r>
              <w:rPr>
                <w:rStyle w:val="FormatvorlageInstructionsTabelleText"/>
                <w:rFonts w:ascii="Times New Roman" w:hAnsi="Times New Roman"/>
                <w:sz w:val="24"/>
              </w:rPr>
              <w:t>)</w:t>
            </w:r>
            <w:r>
              <w:t>.</w:t>
            </w:r>
          </w:p>
          <w:p w14:paraId="185DB89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Emisní ážio související s těmito nástroji není zahrnuto.</w:t>
            </w:r>
          </w:p>
          <w:p w14:paraId="5E801BB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Zahrnují se kapitálové nástroje upsané veřejnými orgány v mimořádných situacích, jsou-li splněny všechny podmínky článku 31 </w:t>
            </w:r>
            <w:r>
              <w:t>nařízení (EU) č. 575/2013</w:t>
            </w:r>
            <w:r>
              <w:rPr>
                <w:rStyle w:val="FormatvorlageInstructionsTabelleText"/>
                <w:rFonts w:ascii="Times New Roman" w:hAnsi="Times New Roman"/>
                <w:sz w:val="24"/>
              </w:rPr>
              <w:t>.</w:t>
            </w:r>
          </w:p>
        </w:tc>
      </w:tr>
      <w:tr w:rsidR="007266CF" w:rsidRPr="002A677E" w14:paraId="08AD03EE" w14:textId="77777777" w:rsidTr="007266CF">
        <w:tc>
          <w:tcPr>
            <w:tcW w:w="1129" w:type="dxa"/>
          </w:tcPr>
          <w:p w14:paraId="709FAD4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38C7791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Z toho: kapitálové nástroje upsané veřejnými orgány v mimořádných situacích</w:t>
            </w:r>
          </w:p>
          <w:p w14:paraId="577D9B1B"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31</w:t>
            </w:r>
            <w:r>
              <w:t xml:space="preserve"> nařízení (EU) č. 575/2013</w:t>
            </w:r>
          </w:p>
          <w:p w14:paraId="08B451A6"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 kmenovém kapitálu tier 1 se zahrnují kapitálové nástroje upsané veřejnými orgány v mimořádných situacích, jsou-li splněny všechny podmínky článku 31 </w:t>
            </w:r>
            <w:r>
              <w:t>nařízení (EU) č. 575/2013</w:t>
            </w:r>
            <w:r>
              <w:rPr>
                <w:rStyle w:val="InstructionsTabelleberschrift"/>
                <w:rFonts w:ascii="Times New Roman" w:hAnsi="Times New Roman"/>
                <w:b w:val="0"/>
                <w:sz w:val="24"/>
                <w:u w:val="none"/>
              </w:rPr>
              <w:t>.</w:t>
            </w:r>
          </w:p>
        </w:tc>
      </w:tr>
      <w:tr w:rsidR="007266CF" w:rsidRPr="002A677E" w14:paraId="003CDC5D" w14:textId="77777777" w:rsidTr="007266CF">
        <w:tc>
          <w:tcPr>
            <w:tcW w:w="1129" w:type="dxa"/>
          </w:tcPr>
          <w:p w14:paraId="707C84E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7403314F"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Doplňková položka: nezpůsobilé kapitálové nástroje</w:t>
            </w:r>
          </w:p>
          <w:p w14:paraId="3987A81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28 odst. 1 písm. b), l) a m) </w:t>
            </w:r>
            <w:r>
              <w:t>nařízení (EU) č. 575/2013.</w:t>
            </w:r>
          </w:p>
          <w:p w14:paraId="24489F6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1118D1F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7266CF" w:rsidRPr="002A677E" w14:paraId="1F882BB2" w14:textId="77777777" w:rsidTr="007266CF">
        <w:tc>
          <w:tcPr>
            <w:tcW w:w="1129" w:type="dxa"/>
          </w:tcPr>
          <w:p w14:paraId="39DE7C2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74DCFFE"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Emisní ážio</w:t>
            </w:r>
          </w:p>
          <w:p w14:paraId="6F3113B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124, čl. 26 odst. 1 písm. b) </w:t>
            </w:r>
            <w:r>
              <w:t>nařízení (EU) č. 575/2013</w:t>
            </w:r>
          </w:p>
          <w:p w14:paraId="48CF635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Emisní ážio má stejný význam jako v použitelném účetním standardu. </w:t>
            </w:r>
          </w:p>
          <w:p w14:paraId="57241D6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v této položce, je částí vztahující se k položce „Zcela splacené kapitálové nástroje“. </w:t>
            </w:r>
          </w:p>
        </w:tc>
      </w:tr>
      <w:tr w:rsidR="007266CF" w:rsidRPr="002A677E" w14:paraId="2B07A167" w14:textId="77777777" w:rsidTr="007266CF">
        <w:tc>
          <w:tcPr>
            <w:tcW w:w="1129" w:type="dxa"/>
          </w:tcPr>
          <w:p w14:paraId="4600FF2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2F48D9C0"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Vlastní nástroje zahrnované do kmenového kapitálu tier 1</w:t>
            </w:r>
          </w:p>
          <w:p w14:paraId="18D6742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f) a článku 42 </w:t>
            </w:r>
            <w:r>
              <w:t>nařízení (EU) č. 575/2013</w:t>
            </w:r>
          </w:p>
          <w:p w14:paraId="7632574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Vlastní nástroje zahrnované do kmenového kapitálu tier 1 držené vykazující institucí nebo skupinou k datu vykazování a hodnoty nástrojů zahrnovaných do kmenového kapitálu tier 1, které mají být odečteny v souladu s čl. 28 </w:t>
            </w:r>
            <w:r>
              <w:rPr>
                <w:rStyle w:val="FormatvorlageInstructionsTabelleText"/>
                <w:rFonts w:ascii="Times New Roman" w:hAnsi="Times New Roman"/>
                <w:sz w:val="24"/>
              </w:rPr>
              <w:lastRenderedPageBreak/>
              <w:t>odst. 2 nařízení Komise v přenesené pravomoci (EU) č. 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S výhradou výjimek uvedených v článku 42 </w:t>
            </w:r>
            <w:r>
              <w:t>nařízení (EU) č. 575/2013</w:t>
            </w:r>
            <w:r>
              <w:rPr>
                <w:rStyle w:val="FormatvorlageInstructionsTabelleText"/>
                <w:rFonts w:ascii="Times New Roman" w:hAnsi="Times New Roman"/>
                <w:sz w:val="24"/>
              </w:rPr>
              <w:t>.</w:t>
            </w:r>
          </w:p>
          <w:p w14:paraId="044C171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14:paraId="761E996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14:paraId="0EF012A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1.1.1.1.4 až 1.1.1.1.4.3 nezahrnují skutečné nebo podmíněné závazky odkoupit vlastní nástroje zahrnované do kmenového kapitálu tier 1. Skutečné nebo podmíněné závazky odkoupit vlastní nástroje zahrnované do kmenového kapitálu tier 1 se vykazují samostatně v položce 1.1.1.1.5.</w:t>
            </w:r>
          </w:p>
        </w:tc>
      </w:tr>
      <w:tr w:rsidR="007266CF" w:rsidRPr="002A677E" w14:paraId="362A7061" w14:textId="77777777" w:rsidTr="007266CF">
        <w:tc>
          <w:tcPr>
            <w:tcW w:w="1129" w:type="dxa"/>
          </w:tcPr>
          <w:p w14:paraId="5EC7AA0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2CD1F468"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Přímé kapitálové investice do nástrojů zahrnovaných do kmenového kapitálu tier 1</w:t>
            </w:r>
          </w:p>
          <w:p w14:paraId="0D99FFE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f) a článku 42 </w:t>
            </w:r>
            <w:r>
              <w:t>nařízení (EU) č. 575/2013</w:t>
            </w:r>
          </w:p>
          <w:p w14:paraId="67FB8E7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zahrnované do kmenového kapitálu tier 1 uvedené v položce 1.1.1.1 držené institucemi v rámci konsolidované skupiny a hodnoty nástrojů zahrnovaných do kmenového kapitálu tier 1, které mají být odečteny v souladu s čl. 28 odst. 2 nařízení Komise v přenesené pravomoci (EU) č. 241/2014. </w:t>
            </w:r>
          </w:p>
          <w:p w14:paraId="38948E7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Objem, který má být vykázán, zahrnuje kapitálové investice v obchodním portfoliu vypočítané na základě čisté dlouhé pozice, jak je uvedeno v čl. 42 písm. a)</w:t>
            </w:r>
            <w:r>
              <w:t xml:space="preserve"> nařízení (EU) č. 575/2013</w:t>
            </w:r>
            <w:r>
              <w:rPr>
                <w:rStyle w:val="FormatvorlageInstructionsTabelleText"/>
                <w:rFonts w:ascii="Times New Roman" w:hAnsi="Times New Roman"/>
                <w:sz w:val="24"/>
              </w:rPr>
              <w:t>.</w:t>
            </w:r>
          </w:p>
        </w:tc>
      </w:tr>
      <w:tr w:rsidR="007266CF" w:rsidRPr="002A677E" w14:paraId="2D0733D3" w14:textId="77777777" w:rsidTr="007266CF">
        <w:tc>
          <w:tcPr>
            <w:tcW w:w="1129" w:type="dxa"/>
          </w:tcPr>
          <w:p w14:paraId="15260A7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6F6C26CF"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Nepřímé kapitálové investice do nástrojů zahrnovaných do kmenového kapitálu tier 1</w:t>
            </w:r>
          </w:p>
          <w:p w14:paraId="2319BA2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114, čl. 36 odst. 1 písm. f) a článku 42 </w:t>
            </w:r>
            <w:r>
              <w:t>nařízení (EU) č. 575/2013</w:t>
            </w:r>
          </w:p>
        </w:tc>
      </w:tr>
      <w:tr w:rsidR="007266CF" w:rsidRPr="002A677E" w14:paraId="6929EAA0" w14:textId="77777777" w:rsidTr="007266CF">
        <w:tc>
          <w:tcPr>
            <w:tcW w:w="1129" w:type="dxa"/>
          </w:tcPr>
          <w:p w14:paraId="085BEE56"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49D31410"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Syntetické kapitálové investice do nástrojů zahrnovaných do kmenového kapitálu tier 1</w:t>
            </w:r>
          </w:p>
          <w:p w14:paraId="41B573D8"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Ustanovení čl. 4 odst. 1 bodu 126, čl. 36 odst. 1 písm. f) a článku 42 </w:t>
            </w:r>
            <w:r>
              <w:t>nařízení (EU) č. 575/2013</w:t>
            </w:r>
          </w:p>
        </w:tc>
      </w:tr>
      <w:tr w:rsidR="007266CF" w:rsidRPr="002A677E" w14:paraId="192D32F7" w14:textId="77777777" w:rsidTr="007266CF">
        <w:tc>
          <w:tcPr>
            <w:tcW w:w="1129" w:type="dxa"/>
          </w:tcPr>
          <w:p w14:paraId="081AEF1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C522B1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Skutečné nebo podmíněné závazky odkoupit vlastní nástroje zahrnované do kmenového kapitálu tier 1</w:t>
            </w:r>
          </w:p>
          <w:p w14:paraId="474B782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f) a článku 42 </w:t>
            </w:r>
            <w:r>
              <w:t>nařízení (EU) č. 575/2013</w:t>
            </w:r>
          </w:p>
          <w:p w14:paraId="354E555A" w14:textId="77777777" w:rsidR="007266CF" w:rsidRPr="002A677E" w:rsidRDefault="007266CF" w:rsidP="007266C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Podle čl. 36 odst. 1 </w:t>
            </w:r>
            <w:r>
              <w:rPr>
                <w:rStyle w:val="FormatvorlageInstructionsTabelleText"/>
                <w:rFonts w:ascii="Times New Roman" w:hAnsi="Times New Roman"/>
                <w:sz w:val="24"/>
              </w:rPr>
              <w:t xml:space="preserve">písm. f) </w:t>
            </w:r>
            <w:r>
              <w:t>nařízení (EU) č. 575/2013</w:t>
            </w:r>
            <w:r>
              <w:rPr>
                <w:rStyle w:val="InstructionsTabelleberschrift"/>
                <w:rFonts w:ascii="Times New Roman" w:hAnsi="Times New Roman"/>
                <w:b w:val="0"/>
                <w:sz w:val="24"/>
                <w:u w:val="none"/>
              </w:rPr>
              <w:t xml:space="preserve"> se provede </w:t>
            </w:r>
            <w:r>
              <w:t>odpočet „vlastních nástrojů zahrnovaných do kmenového kapitálu tier 1, které je instituce povinna odkoupit na základě skutečného nebo podmíněného závazku plynoucího z existující smlouvy“.</w:t>
            </w:r>
          </w:p>
        </w:tc>
      </w:tr>
      <w:tr w:rsidR="007266CF" w:rsidRPr="002A677E" w14:paraId="28C1098C" w14:textId="77777777" w:rsidTr="007266CF">
        <w:tc>
          <w:tcPr>
            <w:tcW w:w="1129" w:type="dxa"/>
          </w:tcPr>
          <w:p w14:paraId="7608FC5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1C5111C"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Nerozdělený zisk</w:t>
            </w:r>
          </w:p>
          <w:p w14:paraId="102E3CE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26 odst. 1 písm. c) a čl. 26 odst. 2 </w:t>
            </w:r>
            <w:r>
              <w:t>nařízení (EU) č. 575/2013</w:t>
            </w:r>
          </w:p>
          <w:p w14:paraId="58E3730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Nerozdělený zisk zahrnuje nerozdělený zisk z předchozího roku, k němuž se přičte způsobilý mezitímní zisk nebo zisk ke konci roku.</w:t>
            </w:r>
          </w:p>
        </w:tc>
      </w:tr>
      <w:tr w:rsidR="007266CF" w:rsidRPr="002A677E" w14:paraId="2D01E7A8" w14:textId="77777777" w:rsidTr="007266CF">
        <w:tc>
          <w:tcPr>
            <w:tcW w:w="1129" w:type="dxa"/>
          </w:tcPr>
          <w:p w14:paraId="1097FB3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14:paraId="318CCE5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Nerozdělený zisk z předchozích let</w:t>
            </w:r>
          </w:p>
          <w:p w14:paraId="01D487E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123 a čl. 26 odst. 1 písm. c) </w:t>
            </w:r>
            <w:r>
              <w:t>nařízení (EU) č. 575/2013</w:t>
            </w:r>
          </w:p>
          <w:p w14:paraId="516F119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čl. 4 odst. 1 bodu 123 </w:t>
            </w:r>
            <w:r>
              <w:t xml:space="preserve">nařízení (EU) č. 575/2013 </w:t>
            </w:r>
            <w:r>
              <w:rPr>
                <w:rStyle w:val="FormatvorlageInstructionsTabelleText"/>
                <w:rFonts w:ascii="Times New Roman" w:hAnsi="Times New Roman"/>
                <w:sz w:val="24"/>
              </w:rPr>
              <w:t>je nerozdělený zisk definován jako „zisky a ztráty z předchozích období po započtení hospodářského výsledku podle použitelného účetního rámce“.</w:t>
            </w:r>
          </w:p>
        </w:tc>
      </w:tr>
      <w:tr w:rsidR="007266CF" w:rsidRPr="002A677E" w14:paraId="42B27908" w14:textId="77777777" w:rsidTr="007266CF">
        <w:tc>
          <w:tcPr>
            <w:tcW w:w="1129" w:type="dxa"/>
          </w:tcPr>
          <w:p w14:paraId="3D20EBCD"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302F429"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Způsobilý zisk nebo ztráta</w:t>
            </w:r>
          </w:p>
          <w:p w14:paraId="135D96D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121, čl. 26 odst. 2 a čl. 36 odst. 1 písm. a) </w:t>
            </w:r>
            <w:r>
              <w:t>nařízení (EU) č. 575/2013</w:t>
            </w:r>
          </w:p>
          <w:p w14:paraId="086FCC8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Podle čl. 26 odst. 2 </w:t>
            </w:r>
            <w:r>
              <w:t>nařízení (EU) č. 575/2013</w:t>
            </w:r>
            <w:r>
              <w:rPr>
                <w:rStyle w:val="FormatvorlageInstructionsTabelleText"/>
                <w:rFonts w:ascii="Times New Roman" w:hAnsi="Times New Roman"/>
                <w:sz w:val="24"/>
              </w:rPr>
              <w:t xml:space="preserve"> je možno zahrnout do nerozděleného zisku mezitímní zisk nebo zisk ke konci roku, a to s předchozím svolením příslušného orgánu, pokud jsou splněny určité podmínky. </w:t>
            </w:r>
          </w:p>
          <w:p w14:paraId="440659D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Naopak ztráty se odečtou od kmenového kapitálu tier 1, jak je uvedeno v čl. 36 odst. 1 písm. a) </w:t>
            </w:r>
            <w:r>
              <w:t>nařízení (EU) č. 575/2013</w:t>
            </w:r>
            <w:r>
              <w:rPr>
                <w:rStyle w:val="FormatvorlageInstructionsTabelleText"/>
                <w:rFonts w:ascii="Times New Roman" w:hAnsi="Times New Roman"/>
                <w:sz w:val="24"/>
              </w:rPr>
              <w:t>.</w:t>
            </w:r>
          </w:p>
        </w:tc>
      </w:tr>
      <w:tr w:rsidR="007266CF" w:rsidRPr="006223CC" w14:paraId="52EBC28B" w14:textId="77777777" w:rsidTr="007266CF">
        <w:tc>
          <w:tcPr>
            <w:tcW w:w="1129" w:type="dxa"/>
          </w:tcPr>
          <w:p w14:paraId="53DA0A8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ED21EED"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Zisk nebo ztráta připadající vlastníkům mateřského podniku</w:t>
            </w:r>
          </w:p>
          <w:p w14:paraId="0DF9540D" w14:textId="77777777" w:rsidR="007266CF" w:rsidRPr="006223CC" w:rsidRDefault="007266CF" w:rsidP="007266CF">
            <w:pPr>
              <w:pStyle w:val="InstructionsText"/>
              <w:rPr>
                <w:rStyle w:val="FormatvorlageInstructionsTabelleText"/>
                <w:rFonts w:ascii="Times New Roman" w:hAnsi="Times New Roman"/>
                <w:sz w:val="24"/>
                <w:lang w:val="fr-FR"/>
              </w:rPr>
            </w:pPr>
            <w:r>
              <w:rPr>
                <w:rStyle w:val="FormatvorlageInstructionsTabelleText"/>
                <w:rFonts w:ascii="Times New Roman" w:hAnsi="Times New Roman"/>
                <w:sz w:val="24"/>
              </w:rPr>
              <w:t>Ustanovení čl. 26 odst. 2 a čl. 36 odst. </w:t>
            </w:r>
            <w:r w:rsidRPr="006223CC">
              <w:rPr>
                <w:rStyle w:val="FormatvorlageInstructionsTabelleText"/>
                <w:rFonts w:ascii="Times New Roman" w:hAnsi="Times New Roman"/>
                <w:sz w:val="24"/>
                <w:lang w:val="fr-FR"/>
              </w:rPr>
              <w:t xml:space="preserve">1 písm. a) </w:t>
            </w:r>
            <w:r w:rsidRPr="006223CC">
              <w:rPr>
                <w:lang w:val="fr-FR"/>
              </w:rPr>
              <w:t>nařízení (EU) č. 575/2013</w:t>
            </w:r>
          </w:p>
          <w:p w14:paraId="311A2435"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Částka, která má být vykázána, představuje zisk nebo ztrátu uvedenou ve výkazu zisků a ztrát.</w:t>
            </w:r>
          </w:p>
        </w:tc>
      </w:tr>
      <w:tr w:rsidR="007266CF" w:rsidRPr="006223CC" w14:paraId="1ECD86AD" w14:textId="77777777" w:rsidTr="007266CF">
        <w:tc>
          <w:tcPr>
            <w:tcW w:w="1129" w:type="dxa"/>
          </w:tcPr>
          <w:p w14:paraId="39933EA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0D7D66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Část mezitímního zisku nebo zisku ke konci roku, která není způsobilá</w:t>
            </w:r>
          </w:p>
          <w:p w14:paraId="5347F9D0"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Ustanovení čl. 26 odst. 2 </w:t>
            </w:r>
            <w:r w:rsidRPr="006223CC">
              <w:rPr>
                <w:lang w:val="fr-FR"/>
              </w:rPr>
              <w:t>nařízení (EU) č. 575/2013</w:t>
            </w:r>
          </w:p>
          <w:p w14:paraId="0B4791B5"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 tomto řádku se neuvede žádná číselná hodnota, pokud instituce pro dané referenční období vykázala ztráty, neboť tyto ztráty se v plném rozsahu odečtou od kmenového kapitálu tier 1.</w:t>
            </w:r>
          </w:p>
          <w:p w14:paraId="53AD8ADE"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Vykáže-li instituce zisky, vykáže se ta část, která není způsobilá podle čl. 26 odst. 2 </w:t>
            </w:r>
            <w:r w:rsidRPr="006223CC">
              <w:rPr>
                <w:lang w:val="fr-FR"/>
              </w:rPr>
              <w:t xml:space="preserve">nařízení (EU) č. 575/2013 </w:t>
            </w:r>
            <w:r w:rsidRPr="006223CC">
              <w:rPr>
                <w:rStyle w:val="FormatvorlageInstructionsTabelleText"/>
                <w:rFonts w:ascii="Times New Roman" w:hAnsi="Times New Roman"/>
                <w:sz w:val="24"/>
                <w:lang w:val="fr-FR"/>
              </w:rPr>
              <w:t>(tj. neauditované zisky a předvídatelné výplaty nebo dividendy).</w:t>
            </w:r>
          </w:p>
          <w:p w14:paraId="43B556BE"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Je třeba mít na zřeteli, že v případě zisků je třeba odvodit minimálně výši záloh na dividendy.</w:t>
            </w:r>
          </w:p>
        </w:tc>
      </w:tr>
      <w:tr w:rsidR="007266CF" w:rsidRPr="002A677E" w14:paraId="74EFD253" w14:textId="77777777" w:rsidTr="007266CF">
        <w:tc>
          <w:tcPr>
            <w:tcW w:w="1129" w:type="dxa"/>
          </w:tcPr>
          <w:p w14:paraId="4DB4518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19A93244"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Kumulovaný ostatní úplný výsledek</w:t>
            </w:r>
          </w:p>
          <w:p w14:paraId="0AFA1C5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100 a čl. 26 odst. 1 písm. d) </w:t>
            </w:r>
            <w:r>
              <w:t>nařízení (EU) č. 575/2013</w:t>
            </w:r>
          </w:p>
          <w:p w14:paraId="381E13F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musí být očištěna o veškeré daňové platby předvídatelné v době výpočtu a před použitím obezřetnostních filtrů. Částka, která má být vykázána, se stanoví v souladu s čl. 13 odst. 4 nařízení Komise v přenesené pravomoci (EU) č. 241/2014. </w:t>
            </w:r>
          </w:p>
        </w:tc>
      </w:tr>
      <w:tr w:rsidR="007266CF" w:rsidRPr="002A677E" w14:paraId="547BDE62" w14:textId="77777777" w:rsidTr="007266CF">
        <w:tc>
          <w:tcPr>
            <w:tcW w:w="1129" w:type="dxa"/>
          </w:tcPr>
          <w:p w14:paraId="2F64A8D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43AD6511"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Ostatní fondy</w:t>
            </w:r>
          </w:p>
          <w:p w14:paraId="6E0B22C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Ustanovení čl. 4 odst. 1 bodu 117 a čl. 26 odst. 1 písm. e) </w:t>
            </w:r>
            <w:r>
              <w:t>nařízení (EU) č. 575/2013</w:t>
            </w:r>
          </w:p>
          <w:p w14:paraId="3C4211D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Ostatní fondy jsou v </w:t>
            </w:r>
            <w:r>
              <w:t>nařízení (EU) č. 575/2013</w:t>
            </w:r>
            <w:r>
              <w:rPr>
                <w:rStyle w:val="FormatvorlageInstructionsTabelleText"/>
                <w:rFonts w:ascii="Times New Roman" w:hAnsi="Times New Roman"/>
                <w:sz w:val="24"/>
              </w:rPr>
              <w:t xml:space="preserve"> definovány jako „fondy ve smyslu použitelného účetního rámce, které musí být zveřejněny podle tohoto použitelného účetního rámce a nezahrnují částky již zahrnuté do kumulovaného ostatního úplného výsledku hospodaření nebo nerozděleného zisku“.</w:t>
            </w:r>
          </w:p>
          <w:p w14:paraId="4DB283E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musí být očištěna o veškeré daňové platby předvídatelné v době výpočtu.</w:t>
            </w:r>
          </w:p>
        </w:tc>
      </w:tr>
      <w:tr w:rsidR="007266CF" w:rsidRPr="002A677E" w14:paraId="5A816F15" w14:textId="77777777" w:rsidTr="007266CF">
        <w:tc>
          <w:tcPr>
            <w:tcW w:w="1129" w:type="dxa"/>
          </w:tcPr>
          <w:p w14:paraId="2F0F33C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75428C38"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Rezervní fondy na všeobecná bankovní rizika</w:t>
            </w:r>
          </w:p>
          <w:p w14:paraId="150A374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112 a čl. 26 odst. 1 písm. f) </w:t>
            </w:r>
            <w:r>
              <w:t>nařízení (EU) č. 575/2013</w:t>
            </w:r>
          </w:p>
          <w:p w14:paraId="43F69CA5"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38</w:t>
            </w:r>
            <w:r>
              <w:t xml:space="preserve"> směrnice Rady 86/635/EHS </w:t>
            </w:r>
            <w:r>
              <w:rPr>
                <w:rStyle w:val="FormatvorlageInstructionsTabelleText"/>
                <w:rFonts w:ascii="Times New Roman" w:hAnsi="Times New Roman"/>
                <w:sz w:val="24"/>
              </w:rPr>
              <w:t>definuje fondy všeobecných bankovních rizik jako „částky, o kterých úvěrová instituce rozhodne, že budou vyčleněny na pokrytí takových rizik, pokud je to žádoucí z hlediska obezřetnosti s ohledem na zvláštní rizika spojená s bankovnictvím“.</w:t>
            </w:r>
          </w:p>
          <w:p w14:paraId="66E42C3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musí být očištěna o veškeré daňové platby předvídatelné v době výpočtu.</w:t>
            </w:r>
          </w:p>
        </w:tc>
      </w:tr>
      <w:tr w:rsidR="007266CF" w:rsidRPr="002A677E" w14:paraId="32AFDA77" w14:textId="77777777" w:rsidTr="007266CF">
        <w:tc>
          <w:tcPr>
            <w:tcW w:w="1129" w:type="dxa"/>
          </w:tcPr>
          <w:p w14:paraId="328F537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3F80F59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Přechodné úpravy provedené v důsledku nástrojů zahrnovaných do kmenového kapitálu tier 1, pro něž platí zachování právních účinků</w:t>
            </w:r>
          </w:p>
          <w:p w14:paraId="515A45A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483 odst. 1, 2 a 3 a článků 484 až 487 </w:t>
            </w:r>
            <w:r>
              <w:t>nařízení (EU) č. 575/2013</w:t>
            </w:r>
          </w:p>
          <w:p w14:paraId="0F2FAA95"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kmenovému kapitálu tier 1. Částka, která má být vykázána, se přímo přejímá ze šablony CA5.</w:t>
            </w:r>
          </w:p>
        </w:tc>
      </w:tr>
      <w:tr w:rsidR="007266CF" w:rsidRPr="002A677E" w14:paraId="66623B73" w14:textId="77777777" w:rsidTr="007266CF">
        <w:tc>
          <w:tcPr>
            <w:tcW w:w="1129" w:type="dxa"/>
          </w:tcPr>
          <w:p w14:paraId="1F5CD3E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73957F9"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Menšinový podíl uznaný v kmenovém kapitálu tier 1</w:t>
            </w:r>
          </w:p>
          <w:p w14:paraId="7DF0C13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120 a článku 84 </w:t>
            </w:r>
            <w:r>
              <w:t>nařízení (EU) č. 575/2013</w:t>
            </w:r>
          </w:p>
          <w:p w14:paraId="18328D4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menšinových podílů dceřiných podniků, který se zahrne do konsolidovaného kmenového kapitálu tier 1.</w:t>
            </w:r>
          </w:p>
        </w:tc>
      </w:tr>
      <w:tr w:rsidR="007266CF" w:rsidRPr="002A677E" w14:paraId="784456CA" w14:textId="77777777" w:rsidTr="007266CF">
        <w:tc>
          <w:tcPr>
            <w:tcW w:w="1129" w:type="dxa"/>
          </w:tcPr>
          <w:p w14:paraId="618F8B2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5AD987D1"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Přechodné úpravy provedené v důsledku dodatečných menšinových podílů</w:t>
            </w:r>
          </w:p>
          <w:p w14:paraId="663C4F6A"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Články 479 a 480 </w:t>
            </w:r>
            <w:r w:rsidRPr="006223CC">
              <w:rPr>
                <w:lang w:val="fr-FR"/>
              </w:rPr>
              <w:t>nařízení (EU) č. 575/2013</w:t>
            </w:r>
          </w:p>
          <w:p w14:paraId="32BF8454" w14:textId="77777777" w:rsidR="007266CF" w:rsidRPr="002A677E" w:rsidRDefault="007266CF" w:rsidP="007266CF">
            <w:pPr>
              <w:pStyle w:val="InstructionsText"/>
              <w:rPr>
                <w:rStyle w:val="FormatvorlageInstructionsTabelleText"/>
                <w:rFonts w:ascii="Times New Roman" w:hAnsi="Times New Roman"/>
                <w:sz w:val="24"/>
              </w:rPr>
            </w:pPr>
            <w:r w:rsidRPr="006223CC">
              <w:rPr>
                <w:rStyle w:val="FormatvorlageInstructionsTabelleText"/>
                <w:rFonts w:ascii="Times New Roman" w:hAnsi="Times New Roman"/>
                <w:sz w:val="24"/>
                <w:lang w:val="fr-FR"/>
              </w:rPr>
              <w:t xml:space="preserve">Úpravy menšinových podílů provedené v důsledku přechodných ustanovení. </w:t>
            </w:r>
            <w:r>
              <w:rPr>
                <w:rStyle w:val="FormatvorlageInstructionsTabelleText"/>
                <w:rFonts w:ascii="Times New Roman" w:hAnsi="Times New Roman"/>
                <w:sz w:val="24"/>
              </w:rPr>
              <w:t>Tato položka se přejímá přímo ze šablony CA5.</w:t>
            </w:r>
          </w:p>
        </w:tc>
      </w:tr>
      <w:tr w:rsidR="007266CF" w:rsidRPr="002A677E" w14:paraId="53FBDE0A" w14:textId="77777777" w:rsidTr="007266CF">
        <w:tc>
          <w:tcPr>
            <w:tcW w:w="1129" w:type="dxa"/>
          </w:tcPr>
          <w:p w14:paraId="70C2802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0BAA92F"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Úpravy kmenového kapitálu tier 1 v důsledku obezřetnostních filtrů</w:t>
            </w:r>
          </w:p>
          <w:p w14:paraId="43F9749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32 až 35 </w:t>
            </w:r>
            <w:r>
              <w:t xml:space="preserve">nařízení (EU) č. 575/2013 </w:t>
            </w:r>
            <w:r>
              <w:rPr>
                <w:rStyle w:val="FormatvorlageInstructionsTabelleText"/>
                <w:rFonts w:ascii="Times New Roman" w:hAnsi="Times New Roman"/>
                <w:sz w:val="24"/>
              </w:rPr>
              <w:t xml:space="preserve"> </w:t>
            </w:r>
          </w:p>
        </w:tc>
      </w:tr>
      <w:tr w:rsidR="007266CF" w:rsidRPr="006223CC" w14:paraId="05682815" w14:textId="77777777" w:rsidTr="007266CF">
        <w:tc>
          <w:tcPr>
            <w:tcW w:w="1129" w:type="dxa"/>
          </w:tcPr>
          <w:p w14:paraId="0081FD2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5D97AA4"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Zvýšení vlastního kapitálu plynoucí ze sekuritizovaných aktiv</w:t>
            </w:r>
          </w:p>
          <w:p w14:paraId="5342A544"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Ustanovení čl. 32 odst. 1 </w:t>
            </w:r>
            <w:r w:rsidRPr="006223CC">
              <w:rPr>
                <w:lang w:val="fr-FR"/>
              </w:rPr>
              <w:t>nařízení (EU) č. 575/2013</w:t>
            </w:r>
          </w:p>
          <w:p w14:paraId="3ECB162E"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lastRenderedPageBreak/>
              <w:t>Částka, která má být vykázána, je zvýšením vlastního kapitálu instituce plynoucím ze sekuritizovaných aktiv, a to v souladu s použitelným účetním standardem.</w:t>
            </w:r>
          </w:p>
          <w:p w14:paraId="101EB73C"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Tato položka zahrnuje např. budoucí maržový příjem, který pro instituce znamená zisk z prodeje, nebo jedná-li se o původce sekuritizace, čistý zisk plynoucí z kapitalizace budoucího příjmu ze sekuritizovaných aktiv, která zajišťují úvěrové posílení pozic v sekuritizaci.</w:t>
            </w:r>
          </w:p>
        </w:tc>
      </w:tr>
      <w:tr w:rsidR="007266CF" w:rsidRPr="006223CC" w14:paraId="32CC326F" w14:textId="77777777" w:rsidTr="007266CF">
        <w:tc>
          <w:tcPr>
            <w:tcW w:w="1129" w:type="dxa"/>
          </w:tcPr>
          <w:p w14:paraId="07D6525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4421D3F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Zajištění peněžních toků</w:t>
            </w:r>
          </w:p>
          <w:p w14:paraId="60CD3D9C" w14:textId="77777777" w:rsidR="007266CF" w:rsidRPr="006223CC" w:rsidRDefault="007266CF" w:rsidP="007266CF">
            <w:pPr>
              <w:pStyle w:val="InstructionsText"/>
              <w:rPr>
                <w:rStyle w:val="FormatvorlageInstructionsTabelleText"/>
                <w:rFonts w:ascii="Times New Roman" w:hAnsi="Times New Roman"/>
                <w:sz w:val="24"/>
                <w:lang w:val="fr-FR"/>
              </w:rPr>
            </w:pPr>
            <w:r>
              <w:rPr>
                <w:rStyle w:val="FormatvorlageInstructionsTabelleText"/>
                <w:rFonts w:ascii="Times New Roman" w:hAnsi="Times New Roman"/>
                <w:sz w:val="24"/>
              </w:rPr>
              <w:t>Ustanovení čl. 33 odst. </w:t>
            </w:r>
            <w:r w:rsidRPr="006223CC">
              <w:rPr>
                <w:rStyle w:val="FormatvorlageInstructionsTabelleText"/>
                <w:rFonts w:ascii="Times New Roman" w:hAnsi="Times New Roman"/>
                <w:sz w:val="24"/>
                <w:lang w:val="fr-FR"/>
              </w:rPr>
              <w:t xml:space="preserve">1 písm. a) </w:t>
            </w:r>
            <w:r w:rsidRPr="006223CC">
              <w:rPr>
                <w:lang w:val="fr-FR"/>
              </w:rPr>
              <w:t>nařízení (EU) č. 575/2013</w:t>
            </w:r>
          </w:p>
          <w:p w14:paraId="3CC1812F"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Částka, která má být vykázána, může být kladná, nebo záporná. Částka je kladná, jestliže má zajištění peněžních toků za následek ztrátu (tj. snižuje vlastní kapitál), a naopak. Uvede se tedy opačné znaménko než to, které je použito v účetních výkazech.</w:t>
            </w:r>
          </w:p>
          <w:p w14:paraId="6685B70C"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Částka musí být očištěna o veškeré daňové platby očekávané v době výpočtu.</w:t>
            </w:r>
          </w:p>
        </w:tc>
      </w:tr>
      <w:tr w:rsidR="007266CF" w:rsidRPr="002A677E" w14:paraId="74DF59C0" w14:textId="77777777" w:rsidTr="007266CF">
        <w:tc>
          <w:tcPr>
            <w:tcW w:w="1129" w:type="dxa"/>
          </w:tcPr>
          <w:p w14:paraId="5EB7957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43ED67C5"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Kumulativní zisky a ztráty ze závazků oceněných reálnou hodnotou, které vyplývají ze změn ve vlastním úvěrovém riziku</w:t>
            </w:r>
          </w:p>
          <w:p w14:paraId="05B2C83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33 odst. 1 písm. b) </w:t>
            </w:r>
            <w:r>
              <w:t>nařízení (EU) č. 575/2013</w:t>
            </w:r>
          </w:p>
          <w:p w14:paraId="36B86D3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(tj. ke snížení vlastního kapitálu), a naopak. Uvede se tedy opačné znaménko než to, které je použito v účetních výkazech.</w:t>
            </w:r>
          </w:p>
          <w:p w14:paraId="5C4241B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Neauditovaný zisk se do této položky nezahrnuje.</w:t>
            </w:r>
          </w:p>
        </w:tc>
      </w:tr>
      <w:tr w:rsidR="007266CF" w:rsidRPr="002A677E" w14:paraId="446C6E68" w14:textId="77777777" w:rsidTr="007266CF">
        <w:tc>
          <w:tcPr>
            <w:tcW w:w="1129" w:type="dxa"/>
          </w:tcPr>
          <w:p w14:paraId="3782FFE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37A0232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V reálné hodnotě vyjádřené zisky a ztráty, které vyplývají z vlastního úvěrového rizika instituce v souvislosti s derivátovými závazky</w:t>
            </w:r>
          </w:p>
          <w:p w14:paraId="157147A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33 odst. 1 písm. c) a čl. 33 odst. 2 </w:t>
            </w:r>
            <w:r>
              <w:t>nařízení (EU) č. 575/2013</w:t>
            </w:r>
          </w:p>
          <w:p w14:paraId="35D71CF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a naopak. Uvede se tedy opačné znaménko než to, které je použito v účetních výkazech.</w:t>
            </w:r>
          </w:p>
          <w:p w14:paraId="187E681A"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Neauditovaný zisk se do této položky nezahrnuje.</w:t>
            </w:r>
          </w:p>
        </w:tc>
      </w:tr>
      <w:tr w:rsidR="007266CF" w:rsidRPr="006223CC" w14:paraId="012E0AA7" w14:textId="77777777" w:rsidTr="007266CF">
        <w:tc>
          <w:tcPr>
            <w:tcW w:w="1129" w:type="dxa"/>
          </w:tcPr>
          <w:p w14:paraId="0ED4782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0811567E"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Úpravy ocenění plynoucí z požadavků obezřetného oceňování</w:t>
            </w:r>
          </w:p>
          <w:p w14:paraId="1C2FE4B6"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Články 34 a 105 </w:t>
            </w:r>
            <w:r w:rsidRPr="006223CC">
              <w:rPr>
                <w:lang w:val="fr-FR"/>
              </w:rPr>
              <w:t>nařízení (EU) č. 575/2013</w:t>
            </w:r>
          </w:p>
          <w:p w14:paraId="7465D1C9"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Úpravy reálné hodnoty expozic zahrnutých do obchodního nebo do investičního portfolia vyplývající z přísnějších standardů obezřetného oceňování, které je stanoveno v článku 105 </w:t>
            </w:r>
            <w:r w:rsidRPr="006223CC">
              <w:rPr>
                <w:lang w:val="fr-FR"/>
              </w:rPr>
              <w:t>nařízení (EU) č. 575/2013</w:t>
            </w:r>
          </w:p>
        </w:tc>
      </w:tr>
      <w:tr w:rsidR="007266CF" w:rsidRPr="002A677E" w14:paraId="1695FA41" w14:textId="77777777" w:rsidTr="007266CF">
        <w:tc>
          <w:tcPr>
            <w:tcW w:w="1129" w:type="dxa"/>
          </w:tcPr>
          <w:p w14:paraId="5E5B5B3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71C84AAA"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14:paraId="2BE54BB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113, čl. 36 odst. 1 písm. b) a článku 37 </w:t>
            </w:r>
            <w:r>
              <w:t>nařízení (EU) č. 575/2013</w:t>
            </w:r>
          </w:p>
        </w:tc>
      </w:tr>
      <w:tr w:rsidR="007266CF" w:rsidRPr="002A677E" w14:paraId="72018E94" w14:textId="77777777" w:rsidTr="007266CF">
        <w:tc>
          <w:tcPr>
            <w:tcW w:w="1129" w:type="dxa"/>
          </w:tcPr>
          <w:p w14:paraId="12AE5C7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461F0F30"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účtovaný jako nehmotné aktivum</w:t>
            </w:r>
          </w:p>
          <w:p w14:paraId="30966DD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Ustanovení čl. 4 odst. 1 bodu 113 a čl. 36 odst. 1 písm. b) </w:t>
            </w:r>
            <w:r>
              <w:t>nařízení (EU) č. 575/2013</w:t>
            </w:r>
          </w:p>
          <w:p w14:paraId="1601B7C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má stejný význam jako v použitelném účetním standardu.</w:t>
            </w:r>
          </w:p>
          <w:p w14:paraId="5AF48790"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musí být totožná s částkou uvedenou v rozvaze.</w:t>
            </w:r>
          </w:p>
        </w:tc>
      </w:tr>
      <w:tr w:rsidR="007266CF" w:rsidRPr="002A677E" w14:paraId="13578413" w14:textId="77777777" w:rsidTr="007266CF">
        <w:tc>
          <w:tcPr>
            <w:tcW w:w="1129" w:type="dxa"/>
          </w:tcPr>
          <w:p w14:paraId="40C7B9D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4931C43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zahrnutý v ocenění významných investic</w:t>
            </w:r>
          </w:p>
          <w:p w14:paraId="1541AB5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b) a článku 43 </w:t>
            </w:r>
            <w:r>
              <w:t>nařízení (EU) č. 575/2013</w:t>
            </w:r>
          </w:p>
        </w:tc>
      </w:tr>
      <w:tr w:rsidR="007266CF" w:rsidRPr="002A677E" w14:paraId="094114B1" w14:textId="77777777" w:rsidTr="007266CF">
        <w:tc>
          <w:tcPr>
            <w:tcW w:w="1129" w:type="dxa"/>
          </w:tcPr>
          <w:p w14:paraId="1F72815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06D9393C"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Odložené daňové závazky související s goodwillem</w:t>
            </w:r>
          </w:p>
          <w:p w14:paraId="5675569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a) </w:t>
            </w:r>
            <w:r>
              <w:t>nařízení (EU) č. 575/2013</w:t>
            </w:r>
          </w:p>
          <w:p w14:paraId="6E88982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znehodnocení goodwillu nebo jeho odúčtování podle příslušného účetního standardu.</w:t>
            </w:r>
          </w:p>
        </w:tc>
      </w:tr>
      <w:tr w:rsidR="007266CF" w:rsidRPr="002A677E" w14:paraId="3D54FE38" w14:textId="77777777" w:rsidTr="007266CF">
        <w:tc>
          <w:tcPr>
            <w:tcW w:w="1129" w:type="dxa"/>
          </w:tcPr>
          <w:p w14:paraId="20C3709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04C323B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Účetní přecenění goodwillu dceřiných podniků odvozeného z konsolidace dceřiných podniků a přiřaditelného třetím osobám</w:t>
            </w:r>
          </w:p>
          <w:p w14:paraId="4D3E6C5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c) </w:t>
            </w:r>
            <w:r>
              <w:t>nařízení (EU) č. 575/2013</w:t>
            </w:r>
          </w:p>
          <w:p w14:paraId="6ED004CC"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Částka účetního přecenění goodwillu dceřiných podniků odvozeného z konsolidace dceřiných podniků a přiřaditelného osobám jiným než podnikům zahrnutým do konsolidace podle části první hlavy II kapitoly 2.</w:t>
            </w:r>
          </w:p>
        </w:tc>
      </w:tr>
      <w:tr w:rsidR="007266CF" w:rsidRPr="002A677E" w14:paraId="2D4B4FCD" w14:textId="77777777" w:rsidTr="007266CF">
        <w:tc>
          <w:tcPr>
            <w:tcW w:w="1129" w:type="dxa"/>
          </w:tcPr>
          <w:p w14:paraId="00A98AC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33DC55F"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Jiná nehmotná aktiva</w:t>
            </w:r>
          </w:p>
          <w:p w14:paraId="73C96F2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115, čl. 36 odst. 1 písm. b) a čl. 37 písm. a) a c) </w:t>
            </w:r>
            <w:r>
              <w:t>nařízení (EU) č. 575/2013</w:t>
            </w:r>
          </w:p>
          <w:p w14:paraId="11BA25D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standardu.</w:t>
            </w:r>
          </w:p>
        </w:tc>
      </w:tr>
      <w:tr w:rsidR="007266CF" w:rsidRPr="002A677E" w14:paraId="79D77808" w14:textId="77777777" w:rsidTr="007266CF">
        <w:tc>
          <w:tcPr>
            <w:tcW w:w="1129" w:type="dxa"/>
          </w:tcPr>
          <w:p w14:paraId="3D412E0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88EE7F5"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Jiná nehmotná aktiva před odpočtem odložených daňových závazků</w:t>
            </w:r>
          </w:p>
          <w:p w14:paraId="6D6564B0"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115 a čl. 36 odst. 1 písm. b) </w:t>
            </w:r>
            <w:r>
              <w:t>nařízení (EU) č. 575/2013</w:t>
            </w:r>
          </w:p>
          <w:p w14:paraId="65D4A71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standardu.</w:t>
            </w:r>
          </w:p>
          <w:p w14:paraId="2A1B715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odpovídá objemu nehmotných aktiv zahrnutých do rozvahy v souladu s použitelným účetním standardem bez goodwillu a objemu obezřetně oceněných aktiv v podobě softwaru, která nejsou odečtena od položek kmenového kapitálu tier 1 podle čl. 36 odst. 1 písm. b) nařízení (EU) č. 575/2013.</w:t>
            </w:r>
          </w:p>
        </w:tc>
      </w:tr>
      <w:tr w:rsidR="007266CF" w:rsidRPr="002A677E" w14:paraId="2FDEC289" w14:textId="77777777" w:rsidTr="007266CF">
        <w:tc>
          <w:tcPr>
            <w:tcW w:w="1129" w:type="dxa"/>
          </w:tcPr>
          <w:p w14:paraId="5A24C6E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4FEFCA29"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Z toho: aktiva v podobě softwaru zaúčtovaná jako jiná nehmotná aktiva před odpočtem odložených daňových závazků</w:t>
            </w:r>
          </w:p>
          <w:p w14:paraId="3D2B67D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115 </w:t>
            </w:r>
            <w:r>
              <w:t xml:space="preserve">nařízení (EU) č. 575/2013 </w:t>
            </w:r>
            <w:r>
              <w:rPr>
                <w:rStyle w:val="FormatvorlageInstructionsTabelleText"/>
                <w:rFonts w:ascii="Times New Roman" w:hAnsi="Times New Roman"/>
                <w:sz w:val="24"/>
              </w:rPr>
              <w:t xml:space="preserve">a čl. 36 odst. 1 písm. b) </w:t>
            </w:r>
            <w:r>
              <w:t>nařízení (EU) č. 575/2013</w:t>
            </w:r>
          </w:p>
          <w:p w14:paraId="453BF1A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Objem aktiv v podobě softwaru zaúčtovaných jako nehmotná aktiva, který je odečten od položek kmenového kapitálu tier 1 podle čl. 36 odst. 1 písm. b) nařízení (EU) č. 575/2013 a článku 13a nařízení v přenesené pravomoci (EU) č. 241/2014</w:t>
            </w:r>
            <w:r>
              <w:t xml:space="preserve">. </w:t>
            </w:r>
            <w:r>
              <w:rPr>
                <w:rStyle w:val="FormatvorlageInstructionsTabelleText"/>
                <w:rFonts w:ascii="Times New Roman" w:hAnsi="Times New Roman"/>
                <w:sz w:val="24"/>
              </w:rPr>
              <w:t xml:space="preserve">Vykázaná částka nezohledňuje dopady spojené s použitím postupu stanoveného v čl. 37 písm. a) </w:t>
            </w:r>
            <w:r>
              <w:t>nařízení (EU) č. 575/2013</w:t>
            </w:r>
            <w:r>
              <w:rPr>
                <w:rStyle w:val="FormatvorlageInstructionsTabelleText"/>
                <w:rFonts w:ascii="Times New Roman" w:hAnsi="Times New Roman"/>
                <w:sz w:val="24"/>
              </w:rPr>
              <w:t xml:space="preserve"> s ohledem na odložené daňové závazky související s těmito aktivy v podobě softwaru.</w:t>
            </w:r>
          </w:p>
          <w:p w14:paraId="27B39819"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Pokud se instituce rozhodne odečíst tato aktiva v podobě softwaru v plném rozsahu v souladu s článkem 3 </w:t>
            </w:r>
            <w:r>
              <w:t>nařízení (EU) č. 575/2013</w:t>
            </w:r>
            <w:r>
              <w:rPr>
                <w:rStyle w:val="FormatvorlageInstructionsTabelleText"/>
                <w:rFonts w:ascii="Times New Roman" w:hAnsi="Times New Roman"/>
                <w:sz w:val="24"/>
              </w:rPr>
              <w:t xml:space="preserve"> namísto použití postupu stanoveného v článku 13a nařízení v přenesené pravomoci (EU) č. 241/2014, odpovídá částka vykázaná v tomto řádku objemu aktiv v podobě softwaru zaúčtovaných jako nehmotná aktiva podle použitelného účetního standardu.</w:t>
            </w:r>
          </w:p>
        </w:tc>
      </w:tr>
      <w:tr w:rsidR="007266CF" w:rsidRPr="002A677E" w14:paraId="6FC68173" w14:textId="77777777" w:rsidTr="007266CF">
        <w:tc>
          <w:tcPr>
            <w:tcW w:w="1129" w:type="dxa"/>
          </w:tcPr>
          <w:p w14:paraId="0FD9D83D"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3349672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Odložené daňové závazky související s jinými nehmotnými aktivy</w:t>
            </w:r>
          </w:p>
          <w:p w14:paraId="2207894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a) </w:t>
            </w:r>
            <w:r>
              <w:t>nařízení (EU) č. 575/2013</w:t>
            </w:r>
          </w:p>
          <w:p w14:paraId="162A4C8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odložených daňových závazků, které by zanikly, kdyby došlo ke znehodnocení nehmotných aktiv jiných než goodwill a obezřetně oceněných aktiv v podobě softwaru vyňatých z odpočtu od položek kmenového kapitálu tier 1 podle článku 13a nařízení v přenesené pravomoci (EU) č. 241/2014 nebo jejich odúčtování podle příslušného účetního standardu.</w:t>
            </w:r>
          </w:p>
        </w:tc>
      </w:tr>
      <w:tr w:rsidR="007266CF" w:rsidRPr="002A677E" w14:paraId="5C408EBB" w14:textId="77777777" w:rsidTr="007266CF">
        <w:tc>
          <w:tcPr>
            <w:tcW w:w="1129" w:type="dxa"/>
          </w:tcPr>
          <w:p w14:paraId="2D6111A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7FEE739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Odložené daňové pohledávky související s aktivy v podobě softwaru zaúčtovanými jako nehmotná aktiva</w:t>
            </w:r>
          </w:p>
          <w:p w14:paraId="79D5CF8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a) </w:t>
            </w:r>
            <w:r>
              <w:t>nařízení (EU) č. 575/2013</w:t>
            </w:r>
          </w:p>
          <w:p w14:paraId="1A878686"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Část odložených daňových závazků, které souvisejí s objemem aktiv v podobě softwaru zaúčtovaných jako nehmotná aktiva, který je odečten od položek kmenového kapitálu tier 1 podle čl. 36 odst. 1 písm. b) </w:t>
            </w:r>
            <w:r>
              <w:t xml:space="preserve">nařízení (EU) č. 575/2013 a </w:t>
            </w:r>
            <w:r>
              <w:rPr>
                <w:rStyle w:val="FormatvorlageInstructionsTabelleText"/>
                <w:rFonts w:ascii="Times New Roman" w:hAnsi="Times New Roman"/>
                <w:sz w:val="24"/>
              </w:rPr>
              <w:t xml:space="preserve">článku 13a nařízení v přenesené pravomoci (EU) č. 241/2014 nebo článku 3 </w:t>
            </w:r>
            <w:r>
              <w:t>nařízení (EU) č. 575/2013</w:t>
            </w:r>
            <w:r>
              <w:rPr>
                <w:rStyle w:val="FormatvorlageInstructionsTabelleText"/>
                <w:rFonts w:ascii="Times New Roman" w:hAnsi="Times New Roman"/>
                <w:sz w:val="24"/>
              </w:rPr>
              <w:t>.</w:t>
            </w:r>
          </w:p>
        </w:tc>
      </w:tr>
      <w:tr w:rsidR="007266CF" w:rsidRPr="002A677E" w14:paraId="5604716C" w14:textId="77777777" w:rsidTr="007266CF">
        <w:tc>
          <w:tcPr>
            <w:tcW w:w="1129" w:type="dxa"/>
          </w:tcPr>
          <w:p w14:paraId="33B083C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5BC866C"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Účetní přecenění jiných nehmotných aktiv dceřiných podniků odvozených z konsolidace dceřiných podniků a přiřaditelných třetím osobám</w:t>
            </w:r>
          </w:p>
          <w:p w14:paraId="7C7D8CE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c) </w:t>
            </w:r>
            <w:r>
              <w:t>nařízení (EU) č. 575/2013</w:t>
            </w:r>
          </w:p>
          <w:p w14:paraId="7792CE62"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Částka účetního přecenění nehmotných aktiv dceřiných podniků jiných než goodwill odvozených z konsolidace dceřiných podniků a přiřaditelných osobám jiným než podnikům zahrnutým do konsolidace podle části první hlavy II kapitoly 2.</w:t>
            </w:r>
          </w:p>
        </w:tc>
      </w:tr>
      <w:tr w:rsidR="007266CF" w:rsidRPr="002A677E" w14:paraId="1502E9B7" w14:textId="77777777" w:rsidTr="007266CF">
        <w:tc>
          <w:tcPr>
            <w:tcW w:w="1129" w:type="dxa"/>
          </w:tcPr>
          <w:p w14:paraId="038024C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660F0F39"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Odložené daňové pohledávky, které jsou závislé na budoucím zisku a nevyplývají z přechodných rozdílů, po zohlednění souvisejících daňových závazků</w:t>
            </w:r>
          </w:p>
          <w:p w14:paraId="6AC7FB5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c) a článku 38 </w:t>
            </w:r>
            <w:r>
              <w:t>nařízení (EU) č. 575/2013</w:t>
            </w:r>
          </w:p>
        </w:tc>
      </w:tr>
      <w:tr w:rsidR="007266CF" w:rsidRPr="002A677E" w14:paraId="54F67EB1" w14:textId="77777777" w:rsidTr="007266CF">
        <w:tc>
          <w:tcPr>
            <w:tcW w:w="1129" w:type="dxa"/>
          </w:tcPr>
          <w:p w14:paraId="2BCCDD8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D5B9241"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Nedostatek v krytí očekávaných ztrát úpravami o úvěrové riziko při přístupu založeném na interním ratingu (IRB)</w:t>
            </w:r>
          </w:p>
          <w:p w14:paraId="6D06BE5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Ustanovení čl. 36 odst. 1 písm. d), článků 40, 158 a 159 </w:t>
            </w:r>
            <w:r>
              <w:t>nařízení (EU) č. 575/2013</w:t>
            </w:r>
          </w:p>
          <w:p w14:paraId="36C23EF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se „nesnižuje o nárůst odložených daňových pohledávek závislých na budoucím zisku nebo o jiné dodatečné daňové účinky, které by mohly vzniknout, pokud by se rezervy měly zvýšit na úroveň očekávaných ztrát“ (článek 40 </w:t>
            </w:r>
            <w:r>
              <w:t>nařízení (EU) č. 575/2013</w:t>
            </w:r>
            <w:r>
              <w:rPr>
                <w:rStyle w:val="FormatvorlageInstructionsTabelleText"/>
                <w:rFonts w:ascii="Times New Roman" w:hAnsi="Times New Roman"/>
                <w:sz w:val="24"/>
              </w:rPr>
              <w:t>).</w:t>
            </w:r>
          </w:p>
        </w:tc>
      </w:tr>
      <w:tr w:rsidR="007266CF" w:rsidRPr="002A677E" w14:paraId="6A3BE278" w14:textId="77777777" w:rsidTr="007266CF">
        <w:tc>
          <w:tcPr>
            <w:tcW w:w="1129" w:type="dxa"/>
          </w:tcPr>
          <w:p w14:paraId="0F673AE6"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620" w:type="dxa"/>
          </w:tcPr>
          <w:p w14:paraId="064B40EE"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Aktiva penzijního fondu definovaných požitků</w:t>
            </w:r>
          </w:p>
          <w:p w14:paraId="1006A6D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109, čl. 36 odst. 1 písm. e) a článku 41 </w:t>
            </w:r>
            <w:r>
              <w:t>nařízení (EU) č. 575/2013</w:t>
            </w:r>
          </w:p>
        </w:tc>
      </w:tr>
      <w:tr w:rsidR="007266CF" w:rsidRPr="002A677E" w14:paraId="018193F3" w14:textId="77777777" w:rsidTr="007266CF">
        <w:tc>
          <w:tcPr>
            <w:tcW w:w="1129" w:type="dxa"/>
          </w:tcPr>
          <w:p w14:paraId="166BF74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46FB196B"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Aktiva penzijního fondu definovaných požitků </w:t>
            </w:r>
          </w:p>
          <w:p w14:paraId="2A0AEC8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109 a čl. 36 odst. 1 písm. e) </w:t>
            </w:r>
            <w:r>
              <w:t>nařízení (EU) č. 575/2013</w:t>
            </w:r>
          </w:p>
          <w:p w14:paraId="00218610"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Aktiva penzijního fondu definovaných požitků jsou vymezena jako „aktiva penzijního fondu definovaných požitků, případně plánu, po snížení o částku závazků tohoto fondu nebo plánu“.</w:t>
            </w:r>
          </w:p>
          <w:p w14:paraId="2120C71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odpovídá částce uvedené v rozvaze (předkládá-li se samostatně).</w:t>
            </w:r>
          </w:p>
        </w:tc>
      </w:tr>
      <w:tr w:rsidR="007266CF" w:rsidRPr="006223CC" w14:paraId="7ADD2E20" w14:textId="77777777" w:rsidTr="007266CF">
        <w:tc>
          <w:tcPr>
            <w:tcW w:w="1129" w:type="dxa"/>
          </w:tcPr>
          <w:p w14:paraId="631578B0"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49C3E69C"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Odložené daňové závazky související s aktivy penzijního fondu definovaných požitků</w:t>
            </w:r>
          </w:p>
          <w:p w14:paraId="7B72B879" w14:textId="77777777" w:rsidR="007266CF" w:rsidRPr="006223CC" w:rsidRDefault="007266CF" w:rsidP="007266CF">
            <w:pPr>
              <w:pStyle w:val="InstructionsText"/>
              <w:rPr>
                <w:rStyle w:val="FormatvorlageInstructionsTabelleText"/>
                <w:rFonts w:ascii="Times New Roman" w:hAnsi="Times New Roman"/>
                <w:sz w:val="24"/>
                <w:lang w:val="fr-FR"/>
              </w:rPr>
            </w:pPr>
            <w:r>
              <w:rPr>
                <w:rStyle w:val="FormatvorlageInstructionsTabelleText"/>
                <w:rFonts w:ascii="Times New Roman" w:hAnsi="Times New Roman"/>
                <w:sz w:val="24"/>
              </w:rPr>
              <w:t>Ustanovení čl. 4 odst. 1 bodů 108 a 109 a čl. 41 odst. </w:t>
            </w:r>
            <w:r w:rsidRPr="006223CC">
              <w:rPr>
                <w:rStyle w:val="FormatvorlageInstructionsTabelleText"/>
                <w:rFonts w:ascii="Times New Roman" w:hAnsi="Times New Roman"/>
                <w:sz w:val="24"/>
                <w:lang w:val="fr-FR"/>
              </w:rPr>
              <w:t xml:space="preserve">1 písm. a) </w:t>
            </w:r>
            <w:r w:rsidRPr="006223CC">
              <w:rPr>
                <w:lang w:val="fr-FR"/>
              </w:rPr>
              <w:t>nařízení (EU) č. 575/2013</w:t>
            </w:r>
          </w:p>
          <w:p w14:paraId="7B1BF6EF"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Výše odložených daňových závazků, které by zanikly, kdyby došlo ke znehodnocení aktiv penzijního fondu definovaných požitků nebo jejich odúčtování podle příslušného účetního standardu.</w:t>
            </w:r>
          </w:p>
        </w:tc>
      </w:tr>
      <w:tr w:rsidR="007266CF" w:rsidRPr="002A677E" w14:paraId="6E536859" w14:textId="77777777" w:rsidTr="007266CF">
        <w:tc>
          <w:tcPr>
            <w:tcW w:w="1129" w:type="dxa"/>
          </w:tcPr>
          <w:p w14:paraId="123F72D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27258DA1"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Aktiva penzijního fondu definovaných požitků, jež instituce může bez omezení používat</w:t>
            </w:r>
          </w:p>
          <w:p w14:paraId="66B72610"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109 a čl. 41 odst. 1 písm. b) </w:t>
            </w:r>
            <w:r>
              <w:t>nařízení (EU) č. 575/2013</w:t>
            </w:r>
          </w:p>
          <w:p w14:paraId="1B3C2615"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Tato položka se vyplňuje pouze tehdy, pokud příslušný orgán vydá předchozí souhlas se snížením hodnoty aktiv penzijního fondu definovaných požitků, jež má být odečtena.</w:t>
            </w:r>
          </w:p>
          <w:p w14:paraId="6D8DA72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Aktiva uvedená na tomto řádku obdrží rizikovou váhu na požadavky k úvěrovému riziku.</w:t>
            </w:r>
          </w:p>
        </w:tc>
      </w:tr>
      <w:tr w:rsidR="007266CF" w:rsidRPr="002A677E" w14:paraId="07B9DEC5" w14:textId="77777777" w:rsidTr="007266CF">
        <w:tc>
          <w:tcPr>
            <w:tcW w:w="1129" w:type="dxa"/>
          </w:tcPr>
          <w:p w14:paraId="10D71A0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70EC747"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Vzájemná účast na kmenovém kapitálu tier 1</w:t>
            </w:r>
          </w:p>
          <w:p w14:paraId="7CFFB9D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122, čl. 36 odst. 1 písm. g) a článku 44 </w:t>
            </w:r>
            <w:r>
              <w:t>nařízení (EU) č. 575/2013</w:t>
            </w:r>
          </w:p>
          <w:p w14:paraId="798A79F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Účasti subjektů finančního sektoru (ve smyslu čl. 4 odst. 1 bodu 27 </w:t>
            </w:r>
            <w:r>
              <w:t>nařízení (EU) č. 575/2013</w:t>
            </w:r>
            <w:r>
              <w:rPr>
                <w:rStyle w:val="FormatvorlageInstructionsTabelleText"/>
                <w:rFonts w:ascii="Times New Roman" w:hAnsi="Times New Roman"/>
                <w:sz w:val="24"/>
              </w:rPr>
              <w:t>) v nástrojích kmenového kapitálu tier 1, jedná-li se o vztah vzájemné účasti a příslušné orgány se domnívají, že jeho účelem je uměle zvýšit kapitál instituce.</w:t>
            </w:r>
          </w:p>
          <w:p w14:paraId="507731A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kapitálu tier 1 pojišťovny.</w:t>
            </w:r>
          </w:p>
        </w:tc>
      </w:tr>
      <w:tr w:rsidR="007266CF" w:rsidRPr="002A677E" w14:paraId="403A0B62" w14:textId="77777777" w:rsidTr="007266CF">
        <w:tc>
          <w:tcPr>
            <w:tcW w:w="1129" w:type="dxa"/>
          </w:tcPr>
          <w:p w14:paraId="00A3D70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287CE882"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Odpočet od položek vedlejšího kapitálu tier 1, který přesahuje výši vedlejšího kapitálu tier 1 </w:t>
            </w:r>
          </w:p>
          <w:p w14:paraId="5AF08936"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j) </w:t>
            </w:r>
            <w:r>
              <w:t>nařízení (EU) č. 575/2013</w:t>
            </w:r>
          </w:p>
          <w:p w14:paraId="58CCB49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přímo přejímá z položky šablony CA1 nazvané „Odpočet od položek vedlejšího kapitálu tier 1, který přesahuje výši vedlejšího kapitálu tier 1“. Částka musí být odečtena od kmenového kapitálu tier 1.</w:t>
            </w:r>
          </w:p>
        </w:tc>
      </w:tr>
      <w:tr w:rsidR="007266CF" w:rsidRPr="002A677E" w14:paraId="15139378" w14:textId="77777777" w:rsidTr="007266CF">
        <w:tc>
          <w:tcPr>
            <w:tcW w:w="1129" w:type="dxa"/>
          </w:tcPr>
          <w:p w14:paraId="0DD37D5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057CBBDE"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Kvalifikované účasti mimo finanční sektor, na něž se alternativně může uplatnit riziková váha 1 250 %</w:t>
            </w:r>
          </w:p>
          <w:p w14:paraId="1D3FE2C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36, čl. 36 odst. 1 písm. k) bodu i) a článků 89 až 91 </w:t>
            </w:r>
            <w:r>
              <w:t>nařízení (EU) č. 575/2013</w:t>
            </w:r>
          </w:p>
          <w:p w14:paraId="36EBCFC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Kvalifikovaná účast je definována jako „přímá nebo nepřímá kapitálová investice do podniku, která představuje 10</w:t>
            </w:r>
            <w:r>
              <w:t> </w:t>
            </w:r>
            <w:r>
              <w:rPr>
                <w:rStyle w:val="FormatvorlageInstructionsTabelleText"/>
                <w:rFonts w:ascii="Times New Roman" w:hAnsi="Times New Roman"/>
                <w:sz w:val="24"/>
              </w:rPr>
              <w:t>% či více kapitálu nebo hlasovacích práv nebo která dává možnost podstatně ovlivňovat řízení tohoto podniku“.</w:t>
            </w:r>
          </w:p>
          <w:p w14:paraId="0F8FA75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souladu s čl. 36 odst. 1 písm. k) bodem i) </w:t>
            </w:r>
            <w:r>
              <w:t xml:space="preserve">nařízení (EU) č. 575/2013 </w:t>
            </w:r>
            <w:r>
              <w:rPr>
                <w:rStyle w:val="FormatvorlageInstructionsTabelleText"/>
                <w:rFonts w:ascii="Times New Roman" w:hAnsi="Times New Roman"/>
                <w:sz w:val="24"/>
              </w:rPr>
              <w:t>mohou být kvalifikované účasti alternativně odečteny od kmenového kapitálu tier 1 (za využití této položky), nebo na ně může být uplatněna riziková váha</w:t>
            </w:r>
            <w:r>
              <w:t xml:space="preserve"> 1 250</w:t>
            </w:r>
            <w:r>
              <w:rPr>
                <w:rStyle w:val="FormatvorlageInstructionsTabelleText"/>
                <w:rFonts w:ascii="Times New Roman" w:hAnsi="Times New Roman"/>
                <w:sz w:val="24"/>
              </w:rPr>
              <w:t> %.</w:t>
            </w:r>
          </w:p>
        </w:tc>
      </w:tr>
      <w:tr w:rsidR="007266CF" w:rsidRPr="002A677E" w14:paraId="73520F46" w14:textId="77777777" w:rsidTr="007266CF">
        <w:tc>
          <w:tcPr>
            <w:tcW w:w="1129" w:type="dxa"/>
          </w:tcPr>
          <w:p w14:paraId="2B0D146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FD5450F"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Sekuritizované pozice, na něž se alternativně může uplatnit</w:t>
            </w:r>
            <w:r>
              <w:t xml:space="preserve"> </w:t>
            </w:r>
            <w:r>
              <w:rPr>
                <w:rStyle w:val="InstructionsTabelleberschrift"/>
                <w:rFonts w:ascii="Times New Roman" w:hAnsi="Times New Roman"/>
                <w:sz w:val="24"/>
              </w:rPr>
              <w:t>riziková váha 1 250 %</w:t>
            </w:r>
          </w:p>
          <w:p w14:paraId="23C7116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244 odst. 1 písm. b), čl. 245 odst. 1 písm. b) a čl. 253 odst. 1 </w:t>
            </w:r>
            <w:r>
              <w:t>nařízení (EU) č. 575/2013</w:t>
            </w:r>
            <w:r>
              <w:rPr>
                <w:rStyle w:val="FormatvorlageInstructionsTabelleText"/>
                <w:rFonts w:ascii="Times New Roman" w:hAnsi="Times New Roman"/>
                <w:sz w:val="24"/>
              </w:rPr>
              <w:t xml:space="preserve">. </w:t>
            </w:r>
          </w:p>
          <w:p w14:paraId="26F3D57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Sekuritizační pozice, na něž se uplatní riziková váha 1 250</w:t>
            </w:r>
            <w:r>
              <w:t> </w:t>
            </w:r>
            <w:r>
              <w:rPr>
                <w:rStyle w:val="FormatvorlageInstructionsTabelleText"/>
                <w:rFonts w:ascii="Times New Roman" w:hAnsi="Times New Roman"/>
                <w:sz w:val="24"/>
              </w:rPr>
              <w:t xml:space="preserve">%, avšak alternativně je lze odečíst od kmenového kapitálu tier 1 (čl. 36 odst. 1 písm. k) bod ii) </w:t>
            </w:r>
            <w:r>
              <w:t>nařízení (EU) č. 575/2013</w:t>
            </w:r>
            <w:r>
              <w:rPr>
                <w:rStyle w:val="FormatvorlageInstructionsTabelleText"/>
                <w:rFonts w:ascii="Times New Roman" w:hAnsi="Times New Roman"/>
                <w:sz w:val="24"/>
              </w:rPr>
              <w:t>), se vykazují v této položce.</w:t>
            </w:r>
          </w:p>
        </w:tc>
      </w:tr>
      <w:tr w:rsidR="007266CF" w:rsidRPr="002A677E" w14:paraId="65FF3901" w14:textId="77777777" w:rsidTr="007266CF">
        <w:tc>
          <w:tcPr>
            <w:tcW w:w="1129" w:type="dxa"/>
          </w:tcPr>
          <w:p w14:paraId="2E20DBB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D9A4C9B"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Volné dodávky, na které může být alternativně uplatněna riziková váha 1 250</w:t>
            </w:r>
            <w:r>
              <w:t> </w:t>
            </w:r>
            <w:r>
              <w:rPr>
                <w:rStyle w:val="InstructionsTabelleberschrift"/>
                <w:rFonts w:ascii="Times New Roman" w:hAnsi="Times New Roman"/>
                <w:sz w:val="24"/>
              </w:rPr>
              <w:t>%</w:t>
            </w:r>
          </w:p>
          <w:p w14:paraId="6379AE9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k) bodu iii) a čl. 379 odst. 3 </w:t>
            </w:r>
            <w:r>
              <w:t>nařízení (EU) č. 575/2013</w:t>
            </w:r>
          </w:p>
          <w:p w14:paraId="4E2B163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volné dodávky se uplatní riziková váha 1 250</w:t>
            </w:r>
            <w:r>
              <w:t> </w:t>
            </w:r>
            <w:r>
              <w:rPr>
                <w:rStyle w:val="FormatvorlageInstructionsTabelleText"/>
                <w:rFonts w:ascii="Times New Roman" w:hAnsi="Times New Roman"/>
                <w:sz w:val="24"/>
              </w:rPr>
              <w:t xml:space="preserve">% po uplynutí pěti dnů po druhé smluvní platbě nebo dodávce až do zániku transakce, a to v souladu s kapitálovými požadavky k vypořádacímu riziku. Alternativně je lze odečíst od kmenového kapitálu tier 1 (čl. 36 odst. 1 písm. k) bod iii) </w:t>
            </w:r>
            <w:r>
              <w:t>nařízení (EU) č. 575/2013</w:t>
            </w:r>
            <w:r>
              <w:rPr>
                <w:rStyle w:val="FormatvorlageInstructionsTabelleText"/>
                <w:rFonts w:ascii="Times New Roman" w:hAnsi="Times New Roman"/>
                <w:sz w:val="24"/>
              </w:rPr>
              <w:t>). V posledním uvedeném případě se vykazují v této položce.</w:t>
            </w:r>
          </w:p>
        </w:tc>
      </w:tr>
      <w:tr w:rsidR="007266CF" w:rsidRPr="002A677E" w14:paraId="10FE2B24" w14:textId="77777777" w:rsidTr="007266CF">
        <w:tc>
          <w:tcPr>
            <w:tcW w:w="1129" w:type="dxa"/>
          </w:tcPr>
          <w:p w14:paraId="0B3AC816"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691ABCF8"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Pozice v koši, pro které instituce nemůže určit rizikovou váhu v rámci přístupu IRB a na které se alternativně může uplatnit riziková váha 1 250 %</w:t>
            </w:r>
          </w:p>
          <w:p w14:paraId="41D07326"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36 odst. 1 písm. k) bodu iv) a čl. 153 odst. 8 </w:t>
            </w:r>
            <w:r>
              <w:t>nařízení (EU) č. 575/2013</w:t>
            </w:r>
          </w:p>
          <w:p w14:paraId="74DE58B6"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Podle </w:t>
            </w:r>
            <w:r>
              <w:rPr>
                <w:rStyle w:val="InstructionsTabelleberschrift"/>
                <w:rFonts w:ascii="Times New Roman" w:hAnsi="Times New Roman"/>
                <w:b w:val="0"/>
                <w:sz w:val="24"/>
                <w:u w:val="none"/>
              </w:rPr>
              <w:t xml:space="preserve">čl. 36 odst. 1 písm. k) bodu iv) </w:t>
            </w:r>
            <w:r>
              <w:t>nařízení (EU) č.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mohou být pozice v koši, pro které instituce nemůže určit rizikovou váhu v rámci přístupu IRB</w:t>
            </w:r>
            <w:r>
              <w:rPr>
                <w:rStyle w:val="FormatvorlageInstructionsTabelleText"/>
                <w:rFonts w:ascii="Times New Roman" w:hAnsi="Times New Roman"/>
                <w:sz w:val="24"/>
              </w:rPr>
              <w:t>, alternativně odečteny od kmenového kapitálu tier 1 (za využití této položky), nebo na ně může být uplatněna riziková váha 1 250 %.</w:t>
            </w:r>
          </w:p>
        </w:tc>
      </w:tr>
      <w:tr w:rsidR="007266CF" w:rsidRPr="006223CC" w14:paraId="200C468A" w14:textId="77777777" w:rsidTr="007266CF">
        <w:tc>
          <w:tcPr>
            <w:tcW w:w="1129" w:type="dxa"/>
          </w:tcPr>
          <w:p w14:paraId="01C9C2A6"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343D011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Akciové expozice v rámci přístupu založeného na interních modelech, na které se alternativně může uplatnit riziková váha 1 250</w:t>
            </w:r>
            <w:r>
              <w:t> </w:t>
            </w:r>
            <w:r>
              <w:rPr>
                <w:rStyle w:val="InstructionsTabelleberschrift"/>
                <w:rFonts w:ascii="Times New Roman" w:hAnsi="Times New Roman"/>
                <w:sz w:val="24"/>
              </w:rPr>
              <w:t>%</w:t>
            </w:r>
          </w:p>
          <w:p w14:paraId="2360B930" w14:textId="77777777" w:rsidR="007266CF" w:rsidRPr="006223CC" w:rsidRDefault="007266CF" w:rsidP="007266CF">
            <w:pPr>
              <w:pStyle w:val="InstructionsText"/>
              <w:rPr>
                <w:rStyle w:val="InstructionsTabelleberschrift"/>
                <w:rFonts w:ascii="Times New Roman" w:hAnsi="Times New Roman"/>
                <w:b w:val="0"/>
                <w:sz w:val="24"/>
                <w:u w:val="none"/>
                <w:lang w:val="fr-FR"/>
              </w:rPr>
            </w:pPr>
            <w:r>
              <w:rPr>
                <w:rStyle w:val="InstructionsTabelleberschrift"/>
                <w:rFonts w:ascii="Times New Roman" w:hAnsi="Times New Roman"/>
                <w:b w:val="0"/>
                <w:sz w:val="24"/>
                <w:u w:val="none"/>
              </w:rPr>
              <w:t>Ustanovení čl. 36 odst. 1 písm. k) bodu v) a čl. 155 odst. </w:t>
            </w:r>
            <w:r w:rsidRPr="006223CC">
              <w:rPr>
                <w:rStyle w:val="InstructionsTabelleberschrift"/>
                <w:rFonts w:ascii="Times New Roman" w:hAnsi="Times New Roman"/>
                <w:b w:val="0"/>
                <w:sz w:val="24"/>
                <w:u w:val="none"/>
                <w:lang w:val="fr-FR"/>
              </w:rPr>
              <w:t xml:space="preserve">4 </w:t>
            </w:r>
            <w:r w:rsidRPr="006223CC">
              <w:rPr>
                <w:lang w:val="fr-FR"/>
              </w:rPr>
              <w:t>nařízení (EU) č. 575/2013</w:t>
            </w:r>
          </w:p>
          <w:p w14:paraId="50AD3663" w14:textId="77777777" w:rsidR="007266CF" w:rsidRPr="006223CC" w:rsidRDefault="007266CF" w:rsidP="007266CF">
            <w:pPr>
              <w:pStyle w:val="InstructionsText"/>
              <w:rPr>
                <w:rStyle w:val="InstructionsTabelleberschrift"/>
                <w:rFonts w:ascii="Times New Roman" w:hAnsi="Times New Roman"/>
                <w:b w:val="0"/>
                <w:sz w:val="24"/>
                <w:u w:val="none"/>
                <w:lang w:val="fr-FR"/>
              </w:rPr>
            </w:pPr>
            <w:r w:rsidRPr="006223CC">
              <w:rPr>
                <w:rStyle w:val="FormatvorlageInstructionsTabelleText"/>
                <w:rFonts w:ascii="Times New Roman" w:hAnsi="Times New Roman"/>
                <w:sz w:val="24"/>
                <w:lang w:val="fr-FR"/>
              </w:rPr>
              <w:t xml:space="preserve">V souladu s čl. 36 odst. 1 písm. k) bodem v) </w:t>
            </w:r>
            <w:r w:rsidRPr="006223CC">
              <w:rPr>
                <w:lang w:val="fr-FR"/>
              </w:rPr>
              <w:t>nařízení (EU) č. 575/2013</w:t>
            </w:r>
            <w:r w:rsidRPr="006223CC">
              <w:rPr>
                <w:rStyle w:val="FormatvorlageInstructionsTabelleText"/>
                <w:rFonts w:ascii="Times New Roman" w:hAnsi="Times New Roman"/>
                <w:sz w:val="24"/>
                <w:lang w:val="fr-FR"/>
              </w:rPr>
              <w:t xml:space="preserve"> </w:t>
            </w:r>
            <w:r w:rsidRPr="006223CC">
              <w:rPr>
                <w:rStyle w:val="InstructionsTabelleberschrift"/>
                <w:rFonts w:ascii="Times New Roman" w:hAnsi="Times New Roman"/>
                <w:b w:val="0"/>
                <w:sz w:val="24"/>
                <w:u w:val="none"/>
                <w:lang w:val="fr-FR"/>
              </w:rPr>
              <w:t>mohou být akciové expozice v rámci přístupu založeného na interních modelech</w:t>
            </w:r>
            <w:r w:rsidRPr="006223CC">
              <w:rPr>
                <w:rStyle w:val="FormatvorlageInstructionsTabelleText"/>
                <w:rFonts w:ascii="Times New Roman" w:hAnsi="Times New Roman"/>
                <w:sz w:val="24"/>
                <w:lang w:val="fr-FR"/>
              </w:rPr>
              <w:t xml:space="preserve"> alternativně odečteny od kmenového kapitálu tier 1 (za využití této položky), nebo na ně může být uplatněna riziková váha 1 250</w:t>
            </w:r>
            <w:r w:rsidRPr="006223CC">
              <w:rPr>
                <w:lang w:val="fr-FR"/>
              </w:rPr>
              <w:t> </w:t>
            </w:r>
            <w:r w:rsidRPr="006223CC">
              <w:rPr>
                <w:rStyle w:val="FormatvorlageInstructionsTabelleText"/>
                <w:rFonts w:ascii="Times New Roman" w:hAnsi="Times New Roman"/>
                <w:sz w:val="24"/>
                <w:lang w:val="fr-FR"/>
              </w:rPr>
              <w:t>%.</w:t>
            </w:r>
          </w:p>
        </w:tc>
      </w:tr>
      <w:tr w:rsidR="007266CF" w:rsidRPr="002A677E" w14:paraId="3D673262" w14:textId="77777777" w:rsidTr="007266CF">
        <w:tc>
          <w:tcPr>
            <w:tcW w:w="1129" w:type="dxa"/>
          </w:tcPr>
          <w:p w14:paraId="11FAD60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5EF29A38"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Nástroje zahrnované do kmenového kapitálu tier 1 subjektů finančního sektoru, v nichž instituce nemá významnou investici</w:t>
            </w:r>
          </w:p>
          <w:p w14:paraId="1C134CF5"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36 odst. 1 písm. h), článků 43 až 46, čl. 49 odst. 2 a 3 a článku 79 </w:t>
            </w:r>
            <w:r>
              <w:t>nařízení (EU) č. 575/2013</w:t>
            </w:r>
          </w:p>
          <w:p w14:paraId="2B7C1B16"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kapitálových investic instituce do nástrojů subjektů finančního sektoru (ve smyslu čl. 4 odst. 1 bodu 27 </w:t>
            </w:r>
            <w:r>
              <w:t>nařízení (EU) č. 575/2013</w:t>
            </w:r>
            <w:r>
              <w:rPr>
                <w:rStyle w:val="FormatvorlageInstructionsTabelleText"/>
                <w:rFonts w:ascii="Times New Roman" w:hAnsi="Times New Roman"/>
                <w:sz w:val="24"/>
              </w:rPr>
              <w:t>), v nichž instituce nemá významnou investici, která musí být odečtena od kmenového kapitálu tier 1.</w:t>
            </w:r>
          </w:p>
          <w:p w14:paraId="5327EAC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Vezměte na vědomí alternativní postupy k odpočtu v případě, že se použije konsolidace (čl. 49 odst. 2 a 3).</w:t>
            </w:r>
          </w:p>
        </w:tc>
      </w:tr>
      <w:tr w:rsidR="007266CF" w:rsidRPr="002A677E" w14:paraId="43736C59" w14:textId="77777777" w:rsidTr="007266CF">
        <w:tc>
          <w:tcPr>
            <w:tcW w:w="1129" w:type="dxa"/>
          </w:tcPr>
          <w:p w14:paraId="3B049BC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3AD87097"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Odpočitatelné odložené daňové pohledávky, které jsou závislé na budoucím zisku a vyplývají z přechodných rozdílů</w:t>
            </w:r>
          </w:p>
          <w:p w14:paraId="1C642826" w14:textId="77777777" w:rsidR="007266CF" w:rsidRPr="006223CC" w:rsidRDefault="007266CF" w:rsidP="007266CF">
            <w:pPr>
              <w:pStyle w:val="InstructionsText"/>
              <w:rPr>
                <w:rStyle w:val="FormatvorlageInstructionsTabelleText"/>
                <w:rFonts w:ascii="Times New Roman" w:hAnsi="Times New Roman"/>
                <w:sz w:val="24"/>
                <w:lang w:val="fr-FR"/>
              </w:rPr>
            </w:pPr>
            <w:r>
              <w:rPr>
                <w:rStyle w:val="FormatvorlageInstructionsTabelleText"/>
                <w:rFonts w:ascii="Times New Roman" w:hAnsi="Times New Roman"/>
                <w:sz w:val="24"/>
              </w:rPr>
              <w:t>Ustanovení čl. 36 odst. 1 písm. c), článku 38 a čl. 48 odst. </w:t>
            </w:r>
            <w:r w:rsidRPr="006223CC">
              <w:rPr>
                <w:rStyle w:val="FormatvorlageInstructionsTabelleText"/>
                <w:rFonts w:ascii="Times New Roman" w:hAnsi="Times New Roman"/>
                <w:sz w:val="24"/>
                <w:lang w:val="fr-FR"/>
              </w:rPr>
              <w:t xml:space="preserve">1 písm. a) </w:t>
            </w:r>
            <w:r w:rsidRPr="006223CC">
              <w:rPr>
                <w:lang w:val="fr-FR"/>
              </w:rPr>
              <w:t>nařízení (EU) č. 575/2013</w:t>
            </w:r>
          </w:p>
          <w:p w14:paraId="496504BC" w14:textId="77777777" w:rsidR="007266CF" w:rsidRPr="002A677E" w:rsidRDefault="007266CF" w:rsidP="007266CF">
            <w:pPr>
              <w:pStyle w:val="InstructionsText"/>
              <w:rPr>
                <w:rStyle w:val="FormatvorlageInstructionsTabelleText"/>
                <w:rFonts w:ascii="Times New Roman" w:hAnsi="Times New Roman"/>
                <w:sz w:val="24"/>
              </w:rPr>
            </w:pPr>
            <w:r w:rsidRPr="006223CC">
              <w:rPr>
                <w:rStyle w:val="FormatvorlageInstructionsTabelleText"/>
                <w:rFonts w:ascii="Times New Roman" w:hAnsi="Times New Roman"/>
                <w:sz w:val="24"/>
                <w:lang w:val="fr-FR"/>
              </w:rPr>
              <w:t xml:space="preserve">Část odložených daňových pohledávek, které jsou závislé na budoucím zisku a vyplývají z přechodných rozdílů (bez části souvisejících odložených daňových závazků přiřazených k odloženým daňovým pohledávkám, které vyplývají z přechodných rozdílů), jež musí být podle čl. 38 odst. 5 písm. b) </w:t>
            </w:r>
            <w:r w:rsidRPr="006223CC">
              <w:rPr>
                <w:lang w:val="fr-FR"/>
              </w:rPr>
              <w:t xml:space="preserve">nařízení (EU) č. 575/2013 </w:t>
            </w:r>
            <w:r w:rsidRPr="006223CC">
              <w:rPr>
                <w:rStyle w:val="FormatvorlageInstructionsTabelleText"/>
                <w:rFonts w:ascii="Times New Roman" w:hAnsi="Times New Roman"/>
                <w:sz w:val="24"/>
                <w:lang w:val="fr-FR"/>
              </w:rPr>
              <w:t>odečtena, a to při uplatnění 10% prahové hodnoty stanovené v čl. 48 odst. </w:t>
            </w:r>
            <w:r>
              <w:rPr>
                <w:rStyle w:val="FormatvorlageInstructionsTabelleText"/>
                <w:rFonts w:ascii="Times New Roman" w:hAnsi="Times New Roman"/>
                <w:sz w:val="24"/>
              </w:rPr>
              <w:t xml:space="preserve">1 písm. a) </w:t>
            </w:r>
            <w:r>
              <w:t>uvedeného nařízení</w:t>
            </w:r>
            <w:r>
              <w:rPr>
                <w:rStyle w:val="FormatvorlageInstructionsTabelleText"/>
                <w:rFonts w:ascii="Times New Roman" w:hAnsi="Times New Roman"/>
                <w:sz w:val="24"/>
              </w:rPr>
              <w:t>.</w:t>
            </w:r>
          </w:p>
        </w:tc>
      </w:tr>
      <w:tr w:rsidR="007266CF" w:rsidRPr="002A677E" w14:paraId="769B493E" w14:textId="77777777" w:rsidTr="007266CF">
        <w:tc>
          <w:tcPr>
            <w:tcW w:w="1129" w:type="dxa"/>
          </w:tcPr>
          <w:p w14:paraId="3E107A2F"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192C2D7A"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Nástroje zahrnované do kmenového kapitálu tier 1 subjektů finančního sektoru, v nichž má instituce významnou investici</w:t>
            </w:r>
          </w:p>
          <w:p w14:paraId="4ED950F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4 odst. 1 bodu 27, čl. 36 odst. 1 písm. i), článků 43, 45, 47, čl. 48 odst. 2 písm. b), čl. 49 odst. 1, 2 a 3 a článku 79 </w:t>
            </w:r>
            <w:r>
              <w:t>nařízení (EU) č. 575/2013</w:t>
            </w:r>
          </w:p>
          <w:p w14:paraId="02044E6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kapitálových investic instituce do nástrojů zahrnovaných do kmenového kapitálu tier 1 subjektů finančního sektoru (ve smyslu čl. 4 odst. 1 bodu 27 </w:t>
            </w:r>
            <w:r>
              <w:t>nařízení (EU) č. 575/2013</w:t>
            </w:r>
            <w:r>
              <w:rPr>
                <w:rStyle w:val="FormatvorlageInstructionsTabelleText"/>
                <w:rFonts w:ascii="Times New Roman" w:hAnsi="Times New Roman"/>
                <w:sz w:val="24"/>
              </w:rPr>
              <w:t xml:space="preserve">), v nichž má instituce významnou investici, která musí být odečtena, a to při uplatnění 10% prahové hodnoty stanovené v čl. 48 odst. 1 písm. b) </w:t>
            </w:r>
            <w:r>
              <w:t>uvedeného nařízení</w:t>
            </w:r>
            <w:r>
              <w:rPr>
                <w:rStyle w:val="FormatvorlageInstructionsTabelleText"/>
                <w:rFonts w:ascii="Times New Roman" w:hAnsi="Times New Roman"/>
                <w:sz w:val="24"/>
              </w:rPr>
              <w:t>.</w:t>
            </w:r>
          </w:p>
          <w:p w14:paraId="7A3FA49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Vezměte na vědomí alternativní postupy k odpočtu v případě, že se použije konsolidace (čl. 49 odst. 1, 2 a 3 </w:t>
            </w:r>
            <w:r>
              <w:t>nařízení (EU) č. 575/2013</w:t>
            </w:r>
            <w:r>
              <w:rPr>
                <w:rStyle w:val="FormatvorlageInstructionsTabelleText"/>
                <w:rFonts w:ascii="Times New Roman" w:hAnsi="Times New Roman"/>
                <w:sz w:val="24"/>
              </w:rPr>
              <w:t>).</w:t>
            </w:r>
          </w:p>
        </w:tc>
      </w:tr>
      <w:tr w:rsidR="007266CF" w:rsidRPr="002A677E" w14:paraId="2EE3C742" w14:textId="77777777" w:rsidTr="007266CF">
        <w:tc>
          <w:tcPr>
            <w:tcW w:w="1129" w:type="dxa"/>
          </w:tcPr>
          <w:p w14:paraId="3E55CC6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7C906A01"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Částka přesahující 17,65 % prahovou hodnotu</w:t>
            </w:r>
          </w:p>
          <w:p w14:paraId="4B3FA49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48 odst. 2 </w:t>
            </w:r>
            <w:r>
              <w:t>nařízení (EU) č. 575/2013</w:t>
            </w:r>
          </w:p>
          <w:p w14:paraId="639A3B5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Část odložených daňových pohledávek, které jsou závislé na budoucím zisku a vyplývají z přechodných rozdílů, a přímých, nepřímých a syntetických kapitálových investic instituce do nástrojů zahrnovaných do kmenového kapitálu tier 1 subjektů finančního sektoru (ve smyslu čl. 4 odst. 1 bodu 27 </w:t>
            </w:r>
            <w:r>
              <w:t xml:space="preserve">nařízení (EU) č. 575/2013), </w:t>
            </w:r>
            <w:r>
              <w:rPr>
                <w:rStyle w:val="FormatvorlageInstructionsTabelleText"/>
                <w:rFonts w:ascii="Times New Roman" w:hAnsi="Times New Roman"/>
                <w:sz w:val="24"/>
              </w:rPr>
              <w:t xml:space="preserve">v nichž má instituce významnou investici, která musí být odečtena, a to při uplatnění 17,65% prahové hodnoty stanovené v čl. 48 odst. 2 </w:t>
            </w:r>
            <w:r>
              <w:t>uvedeného nařízení</w:t>
            </w:r>
            <w:r>
              <w:rPr>
                <w:rStyle w:val="FormatvorlageInstructionsTabelleText"/>
                <w:rFonts w:ascii="Times New Roman" w:hAnsi="Times New Roman"/>
                <w:sz w:val="24"/>
              </w:rPr>
              <w:t>.</w:t>
            </w:r>
          </w:p>
        </w:tc>
      </w:tr>
      <w:tr w:rsidR="007266CF" w:rsidRPr="002A677E" w14:paraId="3AB953F1" w14:textId="77777777" w:rsidTr="007266CF">
        <w:tc>
          <w:tcPr>
            <w:tcW w:w="1129" w:type="dxa"/>
          </w:tcPr>
          <w:p w14:paraId="7360077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14:paraId="460B4DE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Částka přesahující 17,65 % prahovou hodnotu vztahující se k nástrojům zahrnovaným do kmenového kapitálu tier 1 subjektů finančního sektoru, v nichž má instituce významnou investici</w:t>
            </w:r>
          </w:p>
        </w:tc>
      </w:tr>
      <w:tr w:rsidR="007266CF" w:rsidRPr="002A677E" w14:paraId="2B9AE641" w14:textId="77777777" w:rsidTr="007266CF">
        <w:tc>
          <w:tcPr>
            <w:tcW w:w="1129" w:type="dxa"/>
          </w:tcPr>
          <w:p w14:paraId="72D60C0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189873B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Částka přesahující 17,65 % prahovou hodnotu vztahující se k odloženým daňovým pohledávkám vyplývajícím z přechodných rozdílů</w:t>
            </w:r>
          </w:p>
        </w:tc>
      </w:tr>
      <w:tr w:rsidR="007266CF" w:rsidRPr="002A677E" w14:paraId="1129117D" w14:textId="77777777" w:rsidTr="007266CF">
        <w:tc>
          <w:tcPr>
            <w:tcW w:w="1129" w:type="dxa"/>
          </w:tcPr>
          <w:p w14:paraId="708011B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C35A6D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Nedostatečné krytí pro nevýkonné expozice</w:t>
            </w:r>
          </w:p>
          <w:p w14:paraId="314DCFC9"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Ustanovení čl. 36 odst. 1 písm. m) a článku 47c </w:t>
            </w:r>
            <w:r>
              <w:t>nařízení (EU) č. 575/2013</w:t>
            </w:r>
          </w:p>
        </w:tc>
      </w:tr>
      <w:tr w:rsidR="007266CF" w:rsidRPr="002A677E" w14:paraId="1FF15F4B" w14:textId="77777777" w:rsidTr="007266CF">
        <w:tc>
          <w:tcPr>
            <w:tcW w:w="1129" w:type="dxa"/>
          </w:tcPr>
          <w:p w14:paraId="6F90961D"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18DBCF1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Nedostatky týkající se příslibu minimální hodnoty</w:t>
            </w:r>
          </w:p>
          <w:p w14:paraId="43A4AF99"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Ustanovení čl. 36 odst. 1 písm. n) a čl. 132c odst. 2 </w:t>
            </w:r>
            <w:r>
              <w:t>nařízení (EU) č. 575/2013</w:t>
            </w:r>
          </w:p>
        </w:tc>
      </w:tr>
      <w:tr w:rsidR="007266CF" w:rsidRPr="006223CC" w14:paraId="7192F7E8" w14:textId="77777777" w:rsidTr="007266CF">
        <w:tc>
          <w:tcPr>
            <w:tcW w:w="1129" w:type="dxa"/>
          </w:tcPr>
          <w:p w14:paraId="09E18A8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2C8B2A91"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Ostatní předvídatelné daňové platby</w:t>
            </w:r>
          </w:p>
          <w:p w14:paraId="71ECBCE3" w14:textId="77777777" w:rsidR="007266CF" w:rsidRPr="006223CC" w:rsidRDefault="007266CF" w:rsidP="007266CF">
            <w:pPr>
              <w:pStyle w:val="InstructionsText"/>
              <w:rPr>
                <w:rStyle w:val="FormatvorlageInstructionsTabelleText"/>
                <w:rFonts w:ascii="Times New Roman" w:hAnsi="Times New Roman"/>
                <w:b/>
                <w:sz w:val="24"/>
                <w:lang w:val="fr-FR"/>
              </w:rPr>
            </w:pPr>
            <w:r>
              <w:rPr>
                <w:rStyle w:val="FormatvorlageInstructionsTabelleText"/>
                <w:rFonts w:ascii="Times New Roman" w:hAnsi="Times New Roman"/>
                <w:sz w:val="24"/>
              </w:rPr>
              <w:t>Ustanovení čl. 36 odst. </w:t>
            </w:r>
            <w:r w:rsidRPr="006223CC">
              <w:rPr>
                <w:rStyle w:val="FormatvorlageInstructionsTabelleText"/>
                <w:rFonts w:ascii="Times New Roman" w:hAnsi="Times New Roman"/>
                <w:sz w:val="24"/>
                <w:lang w:val="fr-FR"/>
              </w:rPr>
              <w:t xml:space="preserve">1 písm. l) </w:t>
            </w:r>
            <w:r w:rsidRPr="006223CC">
              <w:rPr>
                <w:lang w:val="fr-FR"/>
              </w:rPr>
              <w:t>nařízení (EU) č. 575/2013</w:t>
            </w:r>
          </w:p>
          <w:p w14:paraId="221743DB"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FormatvorlageInstructionsTabelleText"/>
                <w:rFonts w:ascii="Times New Roman" w:hAnsi="Times New Roman"/>
                <w:sz w:val="24"/>
                <w:lang w:val="fr-FR"/>
              </w:rPr>
              <w:t>Daňové platby vztahující se k položkám kmenového kapitálu tier 1, které lze předvídat v okamžiku výpočtu, jiné než daňové platby, které již byly zohledněny v kterémkoli z ostatních řádků odrážejících položky kmenového kapitálu tier 1 snížením částky dotyčné položky kmenového kapitálu tier 1.</w:t>
            </w:r>
          </w:p>
        </w:tc>
      </w:tr>
      <w:tr w:rsidR="007266CF" w:rsidRPr="002A677E" w14:paraId="6E381EF0" w14:textId="77777777" w:rsidTr="007266CF">
        <w:tc>
          <w:tcPr>
            <w:tcW w:w="1129" w:type="dxa"/>
          </w:tcPr>
          <w:p w14:paraId="2E3D66D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49ED46C"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Ostatní přechodné úpravy kmenového kapitálu tier 1</w:t>
            </w:r>
          </w:p>
          <w:p w14:paraId="5C47DAF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469 až 478 a článek 481 </w:t>
            </w:r>
            <w:r>
              <w:t>nařízení (EU) č. 575/2013</w:t>
            </w:r>
          </w:p>
          <w:p w14:paraId="4BA75A1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odpočtů v důsledku přechodných ustanovení. Částka, která má být vykázána, se přímo přejímá ze šablony CA5.</w:t>
            </w:r>
          </w:p>
        </w:tc>
      </w:tr>
      <w:tr w:rsidR="007266CF" w:rsidRPr="002A677E" w14:paraId="05FDF181" w14:textId="77777777" w:rsidTr="007266CF">
        <w:tc>
          <w:tcPr>
            <w:tcW w:w="1129" w:type="dxa"/>
          </w:tcPr>
          <w:p w14:paraId="7A07BD5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15F6CE6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Dodatečné odpočty od kmenového kapitálu tier 1 v důsledku článku 3 nařízení (EU) č. 575/2013</w:t>
            </w:r>
          </w:p>
          <w:p w14:paraId="385A0B22"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3 </w:t>
            </w:r>
            <w:r>
              <w:t>nařízení (EU) č. 575/2013</w:t>
            </w:r>
          </w:p>
          <w:p w14:paraId="7169E187"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Pokud se instituce rozhodne odečíst tato aktiva v podobě softwaru v plném rozsahu v souladu s článkem 3 </w:t>
            </w:r>
            <w:r>
              <w:t>nařízení (EU) č. 575/2013</w:t>
            </w:r>
            <w:r>
              <w:rPr>
                <w:rStyle w:val="InstructionsTabelleberschrift"/>
                <w:rFonts w:ascii="Times New Roman" w:hAnsi="Times New Roman"/>
                <w:b w:val="0"/>
                <w:sz w:val="24"/>
                <w:u w:val="none"/>
              </w:rPr>
              <w:t xml:space="preserve"> namísto použití postupu stanoveného v článku 13a nařízení v přenesené pravomoci (EU) č. 241/2014, nevykazuje se dodatečná odečtená částka v tomto řádku, nýbrž v řádku 0352.</w:t>
            </w:r>
          </w:p>
        </w:tc>
      </w:tr>
      <w:tr w:rsidR="007266CF" w:rsidRPr="002A677E" w14:paraId="38485D1E" w14:textId="77777777" w:rsidTr="007266CF">
        <w:tc>
          <w:tcPr>
            <w:tcW w:w="1129" w:type="dxa"/>
          </w:tcPr>
          <w:p w14:paraId="7A26A64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37C59F0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Položky nebo odpočty od kmenového kapitálu tier 1 – jiné</w:t>
            </w:r>
          </w:p>
          <w:p w14:paraId="33738479"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kmenového kapitálu tier 1 nebo odpočet od této položky nelze přiřadit do jednoho z řádků 020 až 524. </w:t>
            </w:r>
          </w:p>
          <w:p w14:paraId="71ADEC1F"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Tento řádek neslouží k zahrnutí kapitálových položek či odpočtů od kapitálu, na něž se </w:t>
            </w:r>
            <w:r>
              <w:t xml:space="preserve">nařízení (EU) č. 575/2013 </w:t>
            </w:r>
            <w:r>
              <w:rPr>
                <w:rStyle w:val="InstructionsTabelleberschrift"/>
                <w:rFonts w:ascii="Times New Roman" w:hAnsi="Times New Roman"/>
                <w:b w:val="0"/>
                <w:sz w:val="24"/>
                <w:u w:val="none"/>
              </w:rPr>
              <w:t xml:space="preserve">nevztahuje, do výpočtu solventnostního poměru (např. sem nelze zařadit položky či odpočty státního kapitálu, které nespadají do oblasti působnosti </w:t>
            </w:r>
            <w:r>
              <w:t>nařízení (EU) č. 575/2013</w:t>
            </w:r>
            <w:r>
              <w:rPr>
                <w:rStyle w:val="InstructionsTabelleberschrift"/>
                <w:rFonts w:ascii="Times New Roman" w:hAnsi="Times New Roman"/>
                <w:b w:val="0"/>
                <w:sz w:val="24"/>
                <w:u w:val="none"/>
              </w:rPr>
              <w:t>).</w:t>
            </w:r>
          </w:p>
        </w:tc>
      </w:tr>
      <w:tr w:rsidR="007266CF" w:rsidRPr="002A677E" w14:paraId="47DE46A7" w14:textId="77777777" w:rsidTr="007266CF">
        <w:tc>
          <w:tcPr>
            <w:tcW w:w="1129" w:type="dxa"/>
          </w:tcPr>
          <w:p w14:paraId="4B292B7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14:paraId="0575D08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VEDLEJŠÍ KAPITÁL TIER 1</w:t>
            </w:r>
          </w:p>
          <w:p w14:paraId="13CD590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61 </w:t>
            </w:r>
            <w:r>
              <w:t>nařízení (EU) č. 575/2013</w:t>
            </w:r>
          </w:p>
        </w:tc>
      </w:tr>
      <w:tr w:rsidR="007266CF" w:rsidRPr="002A677E" w14:paraId="772F14E9" w14:textId="77777777" w:rsidTr="007266CF">
        <w:tc>
          <w:tcPr>
            <w:tcW w:w="1129" w:type="dxa"/>
          </w:tcPr>
          <w:p w14:paraId="354942F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69AF6D0"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Kapitálové nástroje a emisní ážio způsobilé jako vedlejší kapitál tier 1</w:t>
            </w:r>
          </w:p>
          <w:p w14:paraId="11FB77C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51 písm. a), článků 52, 53 a 54, čl. 56 písm. a) a článku 57 </w:t>
            </w:r>
            <w:r>
              <w:t>nařízení (EU) č. 575/2013</w:t>
            </w:r>
          </w:p>
        </w:tc>
      </w:tr>
      <w:tr w:rsidR="007266CF" w:rsidRPr="002A677E" w14:paraId="2FFEE785" w14:textId="77777777" w:rsidTr="007266CF">
        <w:tc>
          <w:tcPr>
            <w:tcW w:w="1129" w:type="dxa"/>
          </w:tcPr>
          <w:p w14:paraId="6442260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58B8DBD7"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Plně uhrazené přímo vydané kapitálové nástroje</w:t>
            </w:r>
          </w:p>
          <w:p w14:paraId="46D69B06"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51 písm. a) a článků 52, 53 a 54 </w:t>
            </w:r>
            <w:r>
              <w:t>nařízení (EU) č. 575/2013</w:t>
            </w:r>
          </w:p>
          <w:p w14:paraId="32061FC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7266CF" w:rsidRPr="002A677E" w14:paraId="504942AA" w14:textId="77777777" w:rsidTr="007266CF">
        <w:tc>
          <w:tcPr>
            <w:tcW w:w="1129" w:type="dxa"/>
          </w:tcPr>
          <w:p w14:paraId="6104B04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0BEC9C1F"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Doplňková položka: nezpůsobilé kapitálové nástroje</w:t>
            </w:r>
          </w:p>
          <w:p w14:paraId="0F2E0770"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52 odst. 1 písm. c), e) a f) </w:t>
            </w:r>
            <w:r>
              <w:t>nařízení (EU) č. 575/2013</w:t>
            </w:r>
          </w:p>
          <w:p w14:paraId="73E013A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765FB25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7266CF" w:rsidRPr="002A677E" w14:paraId="0FA9A124" w14:textId="77777777" w:rsidTr="007266CF">
        <w:tc>
          <w:tcPr>
            <w:tcW w:w="1129" w:type="dxa"/>
          </w:tcPr>
          <w:p w14:paraId="258F613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0891D660"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Emisní ážio</w:t>
            </w:r>
          </w:p>
          <w:p w14:paraId="5DD9CE5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51 písm. b) </w:t>
            </w:r>
            <w:r>
              <w:t>nařízení (EU) č. 575/2013</w:t>
            </w:r>
          </w:p>
          <w:p w14:paraId="07CE5CB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Emisní ážio má stejný význam jako v použitelném účetním standardu.</w:t>
            </w:r>
          </w:p>
          <w:p w14:paraId="12C7A24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v této položce, je částí vztahující se k položce „Plně uhrazené přímo vydané kapitálové nástroje“.</w:t>
            </w:r>
          </w:p>
        </w:tc>
      </w:tr>
      <w:tr w:rsidR="007266CF" w:rsidRPr="002A677E" w14:paraId="2B96AECB" w14:textId="77777777" w:rsidTr="007266CF">
        <w:tc>
          <w:tcPr>
            <w:tcW w:w="1129" w:type="dxa"/>
          </w:tcPr>
          <w:p w14:paraId="799794A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472EBBCF"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Vlastní nástroje zahrnované do vedlejšího kapitálu tier 1</w:t>
            </w:r>
          </w:p>
          <w:p w14:paraId="66E7D8D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52 odst. 1 písm. b), čl. 56 písm. a) a článku 57 </w:t>
            </w:r>
            <w:r>
              <w:t>nařízení (EU) č. 575/2013</w:t>
            </w:r>
          </w:p>
          <w:p w14:paraId="677614A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Vlastní nástroje zahrnované do vedlejšího kapitálu tier 1 držené vykazující institucí nebo skupinou k datu vykazování a hodnoty nástrojů zahrnovaných do vedlejšího kapitálu tier 1, jež mají být odečteny podle čl. 28 odst. 2 nařízení v přenesené pravomoci (EU) č. 241/2014. S výhradou výjimek uvedených v článku 57 </w:t>
            </w:r>
            <w:r>
              <w:t>nařízení (EU) č. 575/2013</w:t>
            </w:r>
            <w:r>
              <w:rPr>
                <w:rStyle w:val="FormatvorlageInstructionsTabelleText"/>
                <w:rFonts w:ascii="Times New Roman" w:hAnsi="Times New Roman"/>
                <w:sz w:val="24"/>
              </w:rPr>
              <w:t>.</w:t>
            </w:r>
          </w:p>
          <w:p w14:paraId="380444F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14:paraId="16D72EF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14:paraId="5832AFF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Položky 1.1.2.1.4 až 1.1.2.1.4.3 nezahrnují skutečné nebo podmíněné závazky odkoupit vlastní nástroje zahrnované do vedlejšího kapitálu tier 1. Skutečné </w:t>
            </w:r>
            <w:r>
              <w:rPr>
                <w:rStyle w:val="FormatvorlageInstructionsTabelleText"/>
                <w:rFonts w:ascii="Times New Roman" w:hAnsi="Times New Roman"/>
                <w:sz w:val="24"/>
              </w:rPr>
              <w:lastRenderedPageBreak/>
              <w:t>nebo podmíněné závazky odkoupit vlastní nástroje zahrnované do vedlejšího kapitálu tier 1 se vykazují samostatně v položce 1.1.2.1.5.</w:t>
            </w:r>
          </w:p>
        </w:tc>
      </w:tr>
      <w:tr w:rsidR="007266CF" w:rsidRPr="002A677E" w14:paraId="231C5BD3" w14:textId="77777777" w:rsidTr="007266CF">
        <w:tc>
          <w:tcPr>
            <w:tcW w:w="1129" w:type="dxa"/>
          </w:tcPr>
          <w:p w14:paraId="4EBC5D7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2B5A6F28"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Přímé kapitálové investice do nástrojů zahrnovaných do vedlejšího kapitálu tier 1</w:t>
            </w:r>
          </w:p>
          <w:p w14:paraId="47670B9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4 odst. 1 bodu 144, čl. 52 odst. 1 písm. b), čl. 56 písm. a) a článku 57 </w:t>
            </w:r>
            <w:r>
              <w:t>nařízení (EU) č. 575/2013</w:t>
            </w:r>
          </w:p>
          <w:p w14:paraId="5734E40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zahrnované do vedlejšího kapitálu tier 1 uvedené v položce 1.1.2.1.1 držené institucemi v rámci konsolidované skupiny k datu vykazování a hodnoty nástrojů zahrnovaných do vedlejšího kapitálu tier 1, jež mají být odečteny podle čl. 28 odst. 2 nařízení v přenesené pravomoci (EU) č. 241/2014. </w:t>
            </w:r>
          </w:p>
        </w:tc>
      </w:tr>
      <w:tr w:rsidR="007266CF" w:rsidRPr="002A677E" w14:paraId="5A20332F" w14:textId="77777777" w:rsidTr="007266CF">
        <w:tc>
          <w:tcPr>
            <w:tcW w:w="1129" w:type="dxa"/>
          </w:tcPr>
          <w:p w14:paraId="11FB767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76FD3BCD"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Nepřímé kapitálové investice do nástrojů zahrnovaných do vedlejšího kapitálu tier 1</w:t>
            </w:r>
          </w:p>
          <w:p w14:paraId="6BEC0F9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52 odst. 1 písm. b) bodu ii), čl. 56 písm. a) a článku 57 </w:t>
            </w:r>
            <w:r>
              <w:t>nařízení (EU) č. 575/2013</w:t>
            </w:r>
          </w:p>
        </w:tc>
      </w:tr>
      <w:tr w:rsidR="007266CF" w:rsidRPr="002A677E" w14:paraId="6109D636" w14:textId="77777777" w:rsidTr="007266CF">
        <w:tc>
          <w:tcPr>
            <w:tcW w:w="1129" w:type="dxa"/>
          </w:tcPr>
          <w:p w14:paraId="2058659F"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7A3F4C8A" w14:textId="77777777" w:rsidR="007266CF" w:rsidRPr="002A677E" w:rsidRDefault="007266CF" w:rsidP="007266C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Syntetické kapitálové investice do nástrojů zahrnovaných do vedlejšího kapitálu tier 1</w:t>
            </w:r>
          </w:p>
          <w:p w14:paraId="69684AC8" w14:textId="77777777" w:rsidR="007266CF" w:rsidRPr="002A677E" w:rsidRDefault="007266CF" w:rsidP="007266CF">
            <w:pPr>
              <w:pStyle w:val="InstructionsText"/>
              <w:rPr>
                <w:rStyle w:val="InstructionsTabelleberschrift"/>
                <w:rFonts w:ascii="Times New Roman" w:hAnsi="Times New Roman"/>
                <w:b w:val="0"/>
                <w:bCs w:val="0"/>
                <w:sz w:val="24"/>
                <w:u w:val="none"/>
              </w:rPr>
            </w:pPr>
            <w:r>
              <w:t xml:space="preserve"> Ustanovení čl. 4 odst. 1 bodu 126, čl. 52 odst. 1 písm. b), </w:t>
            </w:r>
            <w:r>
              <w:rPr>
                <w:rStyle w:val="FormatvorlageInstructionsTabelleText"/>
                <w:rFonts w:ascii="Times New Roman" w:hAnsi="Times New Roman"/>
                <w:sz w:val="24"/>
              </w:rPr>
              <w:t xml:space="preserve">čl. 56 písm. a) </w:t>
            </w:r>
            <w:r>
              <w:t>a článku 57 nařízení (EU) č. 575/2013</w:t>
            </w:r>
          </w:p>
        </w:tc>
      </w:tr>
      <w:tr w:rsidR="007266CF" w:rsidRPr="002A677E" w14:paraId="04F8EE7B" w14:textId="77777777" w:rsidTr="007266CF">
        <w:tc>
          <w:tcPr>
            <w:tcW w:w="1129" w:type="dxa"/>
          </w:tcPr>
          <w:p w14:paraId="516BC39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2E3C2A63"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Skutečné nebo podmíněné závazky odkoupit vlastní nástroje zahrnované do vedlejšího kapitálu tier 1</w:t>
            </w:r>
          </w:p>
          <w:p w14:paraId="5532F55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56 písm. a) a článku 57 </w:t>
            </w:r>
            <w:r>
              <w:t>nařízení (EU) č. 575/2013</w:t>
            </w:r>
          </w:p>
          <w:p w14:paraId="1EFA576F"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Podle </w:t>
            </w:r>
            <w:r>
              <w:rPr>
                <w:rStyle w:val="FormatvorlageInstructionsTabelleText"/>
                <w:rFonts w:ascii="Times New Roman" w:hAnsi="Times New Roman"/>
                <w:sz w:val="24"/>
              </w:rPr>
              <w:t xml:space="preserve">čl. 56 písm. a) </w:t>
            </w:r>
            <w:r>
              <w:t>nařízení (EU) č. 575/2013</w:t>
            </w:r>
            <w:r>
              <w:rPr>
                <w:rStyle w:val="InstructionsTabelleberschrift"/>
                <w:rFonts w:ascii="Times New Roman" w:hAnsi="Times New Roman"/>
                <w:b w:val="0"/>
                <w:sz w:val="24"/>
                <w:u w:val="none"/>
              </w:rPr>
              <w:t xml:space="preserve"> </w:t>
            </w:r>
            <w:r>
              <w:t>se provede odpočet „vlastních nástrojů zahrnovaných do vedlejšího kapitálu tier 1, které by instituce mohla být povinna odkoupit na základě stávajících smluvních závazků“.</w:t>
            </w:r>
          </w:p>
        </w:tc>
      </w:tr>
      <w:tr w:rsidR="007266CF" w:rsidRPr="002A677E" w14:paraId="3C9D54B1" w14:textId="77777777" w:rsidTr="007266CF">
        <w:tc>
          <w:tcPr>
            <w:tcW w:w="1129" w:type="dxa"/>
          </w:tcPr>
          <w:p w14:paraId="5CE19E2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567D2438"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Přechodné úpravy provedené v důsledku nástrojů zahrnovaných do vedlejšího kapitálu tier 1, pro něž platí zachování právních účinků</w:t>
            </w:r>
          </w:p>
          <w:p w14:paraId="19E3615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483 odst. 4 a 5, článků 484 až 487, článků 489 a 491 </w:t>
            </w:r>
            <w:r>
              <w:t>nařízení (EU) č. 575/2013</w:t>
            </w:r>
          </w:p>
          <w:p w14:paraId="43194C9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vedlejšímu kapitálu tier 1. Částka, která má být vykázána, se přímo přejímá ze šablony CA5.</w:t>
            </w:r>
          </w:p>
        </w:tc>
      </w:tr>
      <w:tr w:rsidR="007266CF" w:rsidRPr="006223CC" w14:paraId="0349BF5A" w14:textId="77777777" w:rsidTr="007266CF">
        <w:tc>
          <w:tcPr>
            <w:tcW w:w="1129" w:type="dxa"/>
          </w:tcPr>
          <w:p w14:paraId="7AC6D77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3945409B"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Nástroje vydané dceřinými společnostmi a uznané ve vedlejším kapitálu tier 1</w:t>
            </w:r>
          </w:p>
          <w:p w14:paraId="30CC59B2"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Články 83, 85 a 86 </w:t>
            </w:r>
            <w:r w:rsidRPr="006223CC">
              <w:rPr>
                <w:lang w:val="fr-FR"/>
              </w:rPr>
              <w:t>nařízení (EU) č. 575/2013</w:t>
            </w:r>
          </w:p>
          <w:p w14:paraId="2A99BDE8"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Součet všech částek kvalifikovaného kapitálu tier 1 dceřiných podniků, který se zahrne do konsolidovaného vedlejšího kapitálu tier 1.</w:t>
            </w:r>
          </w:p>
          <w:p w14:paraId="6717489E"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Je zahrnut kvalifikovaný vedlejší kapitál tier 1 vydaný jednotkou pro speciální účel (článek 83 </w:t>
            </w:r>
            <w:r w:rsidRPr="006223CC">
              <w:rPr>
                <w:lang w:val="fr-FR"/>
              </w:rPr>
              <w:t>nařízení (EU) č. 575/2013</w:t>
            </w:r>
            <w:r w:rsidRPr="006223CC">
              <w:rPr>
                <w:rStyle w:val="FormatvorlageInstructionsTabelleText"/>
                <w:rFonts w:ascii="Times New Roman" w:hAnsi="Times New Roman"/>
                <w:sz w:val="24"/>
                <w:lang w:val="fr-FR"/>
              </w:rPr>
              <w:t>).</w:t>
            </w:r>
          </w:p>
        </w:tc>
      </w:tr>
      <w:tr w:rsidR="007266CF" w:rsidRPr="002A677E" w14:paraId="2A0D29CC" w14:textId="77777777" w:rsidTr="007266CF">
        <w:tc>
          <w:tcPr>
            <w:tcW w:w="1129" w:type="dxa"/>
          </w:tcPr>
          <w:p w14:paraId="3F3E8D0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5DB51B43"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Přechodné úpravy v důsledku dodatečného uznání nástrojů, které jsou vydány dceřinými společnostmi, ve vedlejším kapitálu tier 1</w:t>
            </w:r>
          </w:p>
          <w:p w14:paraId="07E3C265"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Článek 480 </w:t>
            </w:r>
            <w:r>
              <w:t>nařízení (EU) č. 575/2013</w:t>
            </w:r>
          </w:p>
          <w:p w14:paraId="47A5432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kvalifikovaného kapitálu tier 1 zahrnutého v konsolidovaném vedlejším kapitálu tier 1 provedené v důsledku přechodných ustanovení. Tato položka se přejímá přímo ze šablony CA5.</w:t>
            </w:r>
          </w:p>
        </w:tc>
      </w:tr>
      <w:tr w:rsidR="007266CF" w:rsidRPr="002A677E" w14:paraId="32157D50" w14:textId="77777777" w:rsidTr="007266CF">
        <w:tc>
          <w:tcPr>
            <w:tcW w:w="1129" w:type="dxa"/>
          </w:tcPr>
          <w:p w14:paraId="560944A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0690</w:t>
            </w:r>
          </w:p>
        </w:tc>
        <w:tc>
          <w:tcPr>
            <w:tcW w:w="7620" w:type="dxa"/>
          </w:tcPr>
          <w:p w14:paraId="3C9BE129"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Vzájemná účast na vedlejším kapitálu tier 1</w:t>
            </w:r>
          </w:p>
          <w:p w14:paraId="4319AC9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4 odst. 1 bodu 122, čl. 56 písm. b) a článku 58 </w:t>
            </w:r>
            <w:r>
              <w:t>nařízení (EU) č. 575/2013</w:t>
            </w:r>
          </w:p>
          <w:p w14:paraId="4AFF471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Účasti subjektů finančního sektoru (ve smyslu čl. 4 odst. 1 bodu 27 </w:t>
            </w:r>
            <w:r>
              <w:t>nařízení (EU) č. 575/2013)</w:t>
            </w:r>
            <w:r>
              <w:rPr>
                <w:rStyle w:val="FormatvorlageInstructionsTabelleText"/>
                <w:rFonts w:ascii="Times New Roman" w:hAnsi="Times New Roman"/>
                <w:sz w:val="24"/>
              </w:rPr>
              <w:t xml:space="preserve"> v nástrojích zahrnovaných do vedlejšího kapitálu tier 1, jedná-li se o vztah vzájemné účasti a příslušné orgány se domnívají, že jeho účelem je uměle zvýšit kapitál instituce</w:t>
            </w:r>
            <w:r>
              <w:t>.</w:t>
            </w:r>
          </w:p>
          <w:p w14:paraId="3E57319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vedlejšího kapitálu tier 1 pojišťovny.</w:t>
            </w:r>
          </w:p>
        </w:tc>
      </w:tr>
      <w:tr w:rsidR="007266CF" w:rsidRPr="002A677E" w14:paraId="26AF2280" w14:textId="77777777" w:rsidTr="007266CF">
        <w:tc>
          <w:tcPr>
            <w:tcW w:w="1129" w:type="dxa"/>
          </w:tcPr>
          <w:p w14:paraId="7D7546A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172406F4"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Nástroje zahrnované do vedlejšího kapitálu tier 1 subjektů finančního sektoru, v nichž instituce nemá významnou investici</w:t>
            </w:r>
          </w:p>
          <w:p w14:paraId="5C2B7E6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56, písm. c), článků 59, 60 a 79 </w:t>
            </w:r>
            <w:r>
              <w:t>nařízení (EU) č. 575/2013</w:t>
            </w:r>
          </w:p>
          <w:p w14:paraId="0B9D255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kapitálových investic instituce do nástrojů subjektů finančního sektoru (ve smyslu čl. 4 odst. 1 bodu 27 </w:t>
            </w:r>
            <w:r>
              <w:t>nařízení (EU) č. 575/2013</w:t>
            </w:r>
            <w:r>
              <w:rPr>
                <w:rStyle w:val="FormatvorlageInstructionsTabelleText"/>
                <w:rFonts w:ascii="Times New Roman" w:hAnsi="Times New Roman"/>
                <w:sz w:val="24"/>
              </w:rPr>
              <w:t>), v nichž instituce nemá významnou investici, která musí být odečtena od vedlejšího kapitálu tier 1.</w:t>
            </w:r>
          </w:p>
        </w:tc>
      </w:tr>
      <w:tr w:rsidR="007266CF" w:rsidRPr="002A677E" w14:paraId="44C29341" w14:textId="77777777" w:rsidTr="007266CF">
        <w:tc>
          <w:tcPr>
            <w:tcW w:w="1129" w:type="dxa"/>
          </w:tcPr>
          <w:p w14:paraId="27CB477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3C8083B5"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Nástroje zahrnované do vedlejšího kapitálu tier 1 subjektů finančního sektoru, v nichž má instituce významnou investici</w:t>
            </w:r>
          </w:p>
          <w:p w14:paraId="29497F70"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56 písm. d), článků 59 a 79 </w:t>
            </w:r>
            <w:r>
              <w:t>nařízení (EU) č. 575/2013</w:t>
            </w:r>
          </w:p>
          <w:p w14:paraId="03AAA68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investice instituce do nástrojů kapitálu tier 1 subjektů finančního sektoru (ve smyslu čl. 4 odst. 1 bodu 27 </w:t>
            </w:r>
            <w:r>
              <w:t>nařízení (EU) č. 575/2013</w:t>
            </w:r>
            <w:r>
              <w:rPr>
                <w:rStyle w:val="FormatvorlageInstructionsTabelleText"/>
                <w:rFonts w:ascii="Times New Roman" w:hAnsi="Times New Roman"/>
                <w:sz w:val="24"/>
              </w:rPr>
              <w:t>), v nichž má instituce významnou investici, se odečítají v plném rozsahu.</w:t>
            </w:r>
          </w:p>
        </w:tc>
      </w:tr>
      <w:tr w:rsidR="007266CF" w:rsidRPr="002A677E" w14:paraId="4C1F1644" w14:textId="77777777" w:rsidTr="007266CF">
        <w:tc>
          <w:tcPr>
            <w:tcW w:w="1129" w:type="dxa"/>
          </w:tcPr>
          <w:p w14:paraId="7798102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1FAFDB4B"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Odpočet od položek kapitálu tier 2, který přesahuje výši kapitálu tier 2 </w:t>
            </w:r>
          </w:p>
          <w:p w14:paraId="387C984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56 písm e) </w:t>
            </w:r>
            <w:r>
              <w:t>nařízení (EU) č. 575/2013</w:t>
            </w:r>
          </w:p>
          <w:p w14:paraId="1EEB8376"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přímo přejímá z položky šablony CA1 nazvané „Odpočet od položek kapitálu tier 2, který přesahuje výši kapitálu tier 2 (odečítá se od vedlejšího kapitálu tier 1)“.</w:t>
            </w:r>
          </w:p>
        </w:tc>
      </w:tr>
      <w:tr w:rsidR="007266CF" w:rsidRPr="002A677E" w14:paraId="112C0D1B" w14:textId="77777777" w:rsidTr="007266CF">
        <w:tc>
          <w:tcPr>
            <w:tcW w:w="1129" w:type="dxa"/>
          </w:tcPr>
          <w:p w14:paraId="5FA604B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F0FF4C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Ostatní přechodné úpravy vedlejšího kapitálu tier 1</w:t>
            </w:r>
          </w:p>
          <w:p w14:paraId="222DC89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472, 473a, 474, 475, 478 a 481 </w:t>
            </w:r>
            <w:r>
              <w:t>nařízení (EU) č. 575/2013</w:t>
            </w:r>
          </w:p>
          <w:p w14:paraId="5175041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7266CF" w:rsidRPr="002A677E" w14:paraId="68455B61" w14:textId="77777777" w:rsidTr="007266CF">
        <w:tc>
          <w:tcPr>
            <w:tcW w:w="1129" w:type="dxa"/>
          </w:tcPr>
          <w:p w14:paraId="61FF713D"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1FA8265A"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Odpočet od položek vedlejšího kapitálu tier 1, který přesahuje výši vedlejšího kapitálu tier 1 (odečítá se od kmenového kapitálu tier 1)</w:t>
            </w:r>
          </w:p>
          <w:p w14:paraId="10D4017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Ustanovení čl. 36 odst. 1 písm. j) </w:t>
            </w:r>
            <w:r>
              <w:t>nařízení (EU) č. 575/2013</w:t>
            </w:r>
          </w:p>
          <w:p w14:paraId="304929F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Vedlejší kapitál tier 1 nemůže být záporný, ale je možné, že odpočty od vedlejšího kapitálu tier 1 převyšují součet vedlejšího kapitálu tier 1 a souvisejícího emisního ážia. Pokud taková situace nastane, vedlejší kapitál tier 1 musí být roven nule a odpočty převyšující vedlejší kapitál tier 1 musí být odečteny od kmenového kapitálu tier 1.</w:t>
            </w:r>
          </w:p>
          <w:p w14:paraId="01DBCC9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základě této položky se dosáhne toho, že součet položek 1.1.2.1 až 1.1.2.12 není nikdy menší než nula. Pokud je v této položce uvedeno kladné číslo, položka 1.1.1.16 bude zápornou hodnotou tohoto čísla.</w:t>
            </w:r>
          </w:p>
        </w:tc>
      </w:tr>
      <w:tr w:rsidR="007266CF" w:rsidRPr="002A677E" w14:paraId="6DE65010" w14:textId="77777777" w:rsidTr="007266CF">
        <w:tc>
          <w:tcPr>
            <w:tcW w:w="1129" w:type="dxa"/>
          </w:tcPr>
          <w:p w14:paraId="47CF88D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7FC22A9F"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Dodatečné odpočty vedlejšího kapitálu tier 1 v důsledku článku 3 nařízení (EU) č. 575/2013</w:t>
            </w:r>
          </w:p>
          <w:p w14:paraId="56EA19A2"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3 </w:t>
            </w:r>
            <w:r>
              <w:t>nařízení (EU) č. 575/2013</w:t>
            </w:r>
          </w:p>
        </w:tc>
      </w:tr>
      <w:tr w:rsidR="007266CF" w:rsidRPr="002A677E" w14:paraId="2D6C456B" w14:textId="77777777" w:rsidTr="007266CF">
        <w:tc>
          <w:tcPr>
            <w:tcW w:w="1129" w:type="dxa"/>
          </w:tcPr>
          <w:p w14:paraId="379A6B7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3A18FB83"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Položky nebo odpočty od vedlejšího kapitálu tier 1 – jiné</w:t>
            </w:r>
          </w:p>
          <w:p w14:paraId="6B75972C"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vedlejšího kapitálu tier 1 nebo odpočet od této položky nelze přiřadit do jednoho z řádků 530 až 744. </w:t>
            </w:r>
          </w:p>
          <w:p w14:paraId="193550DF"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neslouží k zahrnutí kapitálových položek či odpočtů od kapitálu, na něž se </w:t>
            </w:r>
            <w:r>
              <w:t xml:space="preserve">nařízení (EU) č. 575/2013 </w:t>
            </w:r>
            <w:r>
              <w:rPr>
                <w:rStyle w:val="InstructionsTabelleberschrift"/>
                <w:rFonts w:ascii="Times New Roman" w:hAnsi="Times New Roman"/>
                <w:b w:val="0"/>
                <w:sz w:val="24"/>
                <w:u w:val="none"/>
              </w:rPr>
              <w:t xml:space="preserve">nevztahuje, do výpočtu solventnostního poměru (např. sem nelze zařadit položky či odpočty státního kapitálu, které nespadají do oblasti působnosti </w:t>
            </w:r>
            <w:r>
              <w:t>uvedeného nařízení</w:t>
            </w:r>
            <w:r>
              <w:rPr>
                <w:rStyle w:val="InstructionsTabelleberschrift"/>
                <w:rFonts w:ascii="Times New Roman" w:hAnsi="Times New Roman"/>
                <w:b w:val="0"/>
                <w:sz w:val="24"/>
                <w:u w:val="none"/>
              </w:rPr>
              <w:t>).</w:t>
            </w:r>
          </w:p>
        </w:tc>
      </w:tr>
      <w:tr w:rsidR="007266CF" w:rsidRPr="002A677E" w14:paraId="6EBBFCA9" w14:textId="77777777" w:rsidTr="007266CF">
        <w:tc>
          <w:tcPr>
            <w:tcW w:w="1129" w:type="dxa"/>
          </w:tcPr>
          <w:p w14:paraId="2DAFDB8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E84E890"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KAPITÁL TIER 2</w:t>
            </w:r>
          </w:p>
          <w:p w14:paraId="5BDAAA16"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71 </w:t>
            </w:r>
            <w:r>
              <w:t>nařízení (EU) č. 575/2013</w:t>
            </w:r>
          </w:p>
        </w:tc>
      </w:tr>
      <w:tr w:rsidR="007266CF" w:rsidRPr="002A677E" w14:paraId="31CD272D" w14:textId="77777777" w:rsidTr="007266CF">
        <w:tc>
          <w:tcPr>
            <w:tcW w:w="1129" w:type="dxa"/>
          </w:tcPr>
          <w:p w14:paraId="3CD8C41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2E7D1B7"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Kapitálové nástroje a emisní ážio způsobilé jako kapitál tier 2</w:t>
            </w:r>
          </w:p>
          <w:p w14:paraId="72654320"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a), článků 63 až 65, čl. 66 písm. a) a článku 67 </w:t>
            </w:r>
            <w:r>
              <w:t>nařízení (EU) č. 575/2013</w:t>
            </w:r>
          </w:p>
        </w:tc>
      </w:tr>
      <w:tr w:rsidR="007266CF" w:rsidRPr="002A677E" w14:paraId="56ABE4DA" w14:textId="77777777" w:rsidTr="007266CF">
        <w:tc>
          <w:tcPr>
            <w:tcW w:w="1129" w:type="dxa"/>
          </w:tcPr>
          <w:p w14:paraId="2664A94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7EBE46DA"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Plně uhrazené přímo vydané kapitálové nástroje</w:t>
            </w:r>
          </w:p>
          <w:p w14:paraId="64B11F6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a), článků 63 a 65 </w:t>
            </w:r>
            <w:r>
              <w:t>nařízení (EU) č. 575/2013</w:t>
            </w:r>
          </w:p>
          <w:p w14:paraId="7A0E257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nezahrnuje emisní ážio související s těmito nástroji. </w:t>
            </w:r>
          </w:p>
          <w:p w14:paraId="0BBFC316"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nástroje mohou zahrnovat vlastní kapitál nebo závazky, včetně podřízených úvěrů, které splňují kritéria způsobilosti.</w:t>
            </w:r>
          </w:p>
        </w:tc>
      </w:tr>
      <w:tr w:rsidR="007266CF" w:rsidRPr="002A677E" w14:paraId="3CF97E7C" w14:textId="77777777" w:rsidTr="007266CF">
        <w:tc>
          <w:tcPr>
            <w:tcW w:w="1129" w:type="dxa"/>
          </w:tcPr>
          <w:p w14:paraId="1B777270"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06DF419"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Doplňková položka: Nezpůsobilé</w:t>
            </w:r>
            <w:r>
              <w:t xml:space="preserve"> </w:t>
            </w:r>
            <w:r>
              <w:rPr>
                <w:rStyle w:val="InstructionsTabelleberschrift"/>
                <w:rFonts w:ascii="Times New Roman" w:hAnsi="Times New Roman"/>
                <w:sz w:val="24"/>
              </w:rPr>
              <w:t>kapitálové nástroje</w:t>
            </w:r>
          </w:p>
          <w:p w14:paraId="253A52E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63 písm. c), e) a f) a článku 64 </w:t>
            </w:r>
            <w:r>
              <w:t>nařízení (EU) č. 575/2013</w:t>
            </w:r>
          </w:p>
          <w:p w14:paraId="498A358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5633D02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p w14:paraId="1CC4979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Kapitálové nástroje mohou zahrnovat vlastní kapitál nebo závazky, včetně podřízených úvěrů.</w:t>
            </w:r>
          </w:p>
        </w:tc>
      </w:tr>
      <w:tr w:rsidR="007266CF" w:rsidRPr="002A677E" w14:paraId="273F2A6F" w14:textId="77777777" w:rsidTr="007266CF">
        <w:tc>
          <w:tcPr>
            <w:tcW w:w="1129" w:type="dxa"/>
          </w:tcPr>
          <w:p w14:paraId="4A763F1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55EA88D"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Emisní ážio</w:t>
            </w:r>
          </w:p>
          <w:p w14:paraId="0B74EB3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b) a článku 65 </w:t>
            </w:r>
            <w:r>
              <w:t>nařízení (EU) č. 575/2013</w:t>
            </w:r>
          </w:p>
          <w:p w14:paraId="1F71379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Emisní ážio má stejný význam jako v použitelném účetním standardu. </w:t>
            </w:r>
          </w:p>
          <w:p w14:paraId="556F3B3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v této položce, je částí vztahující se k položce „Plně uhrazené přímo vydané kapitálové nástroje“.</w:t>
            </w:r>
          </w:p>
        </w:tc>
      </w:tr>
      <w:tr w:rsidR="007266CF" w:rsidRPr="002A677E" w14:paraId="2C52F1C6" w14:textId="77777777" w:rsidTr="007266CF">
        <w:tc>
          <w:tcPr>
            <w:tcW w:w="1129" w:type="dxa"/>
          </w:tcPr>
          <w:p w14:paraId="3D4BB76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CC86E92"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Vlastní nástroje zahrnované do kapitálu tier 2</w:t>
            </w:r>
          </w:p>
          <w:p w14:paraId="5046A3B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63 písm. b) bodu i), čl. 66 písm. a) a článku 67 </w:t>
            </w:r>
            <w:r>
              <w:t>nařízení (EU) č. 575/2013</w:t>
            </w:r>
          </w:p>
          <w:p w14:paraId="4102902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Vlastní nástroje zahrnované do kapitálu tier 2 držené vykazující institucí nebo skupinou k datu vykazování a hodnoty nástrojů zahrnovaných do kapitálu tier 2, které mají být odečteny podle čl. 28 odst. 2 nařízení v přenesené pravomoci (EU) č. 241/2014. S výhradou výjimek uvedených v článku 67 </w:t>
            </w:r>
            <w:r>
              <w:t>nařízení (EU) č. 575/2013</w:t>
            </w:r>
            <w:r>
              <w:rPr>
                <w:rStyle w:val="FormatvorlageInstructionsTabelleText"/>
                <w:rFonts w:ascii="Times New Roman" w:hAnsi="Times New Roman"/>
                <w:sz w:val="24"/>
              </w:rPr>
              <w:t>.</w:t>
            </w:r>
          </w:p>
          <w:p w14:paraId="1A61BDC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14:paraId="32BA544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14:paraId="31412C7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1.2.1.4 až 1.2.1.4.3 nezahrnují skutečné nebo podmíněné závazky odkoupit vlastní nástroje zahrnované do kapitálu tier 2. Skutečné nebo podmíněné závazky k odkupu vlastních nástrojů kapitálu tier 2 se vykazují samostatně v položce 1.2.1.5.</w:t>
            </w:r>
          </w:p>
        </w:tc>
      </w:tr>
      <w:tr w:rsidR="007266CF" w:rsidRPr="002A677E" w14:paraId="4CD2390A" w14:textId="77777777" w:rsidTr="007266CF">
        <w:tc>
          <w:tcPr>
            <w:tcW w:w="1129" w:type="dxa"/>
          </w:tcPr>
          <w:p w14:paraId="0512030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1F0B3C6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Přímé kapitálové investice do nástrojů zahrnovaných do kapitálu tier 2</w:t>
            </w:r>
          </w:p>
          <w:p w14:paraId="0D18DD84"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63 písm. b), čl. 66 písm. a) a článku 67 </w:t>
            </w:r>
            <w:r>
              <w:t>nařízení (EU) č. 575/2013</w:t>
            </w:r>
          </w:p>
          <w:p w14:paraId="0DF6B6D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zahrnované do kapitálu tier 2 uvedené v položce 1.2.1.1 držené institucemi v rámci konsolidované skupiny a hodnoty nástrojů zahrnovaných do kapitálu tier 2, které mají být odečteny v souladu s čl. 28 odst. 2 nařízení v přenesené pravomoci (EU) č. 241/2014. </w:t>
            </w:r>
          </w:p>
        </w:tc>
      </w:tr>
      <w:tr w:rsidR="007266CF" w:rsidRPr="002A677E" w14:paraId="438748C6" w14:textId="77777777" w:rsidTr="007266CF">
        <w:tc>
          <w:tcPr>
            <w:tcW w:w="1129" w:type="dxa"/>
          </w:tcPr>
          <w:p w14:paraId="37E31F0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1F2A4D0D"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Nepřímé kapitálové investice do nástrojů zahrnovaných do kapitálu tier 2</w:t>
            </w:r>
          </w:p>
          <w:p w14:paraId="34DAA8B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4 odst. 1 bodu 114, čl. 63 písm. b), čl. 66 písm. a) a článku 67 </w:t>
            </w:r>
            <w:r>
              <w:t>nařízení (EU) č. 575/2013</w:t>
            </w:r>
          </w:p>
        </w:tc>
      </w:tr>
      <w:tr w:rsidR="007266CF" w:rsidRPr="002A677E" w14:paraId="6B0FFC56" w14:textId="77777777" w:rsidTr="007266CF">
        <w:tc>
          <w:tcPr>
            <w:tcW w:w="1129" w:type="dxa"/>
          </w:tcPr>
          <w:p w14:paraId="37FFBB0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8B6F958"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Syntetické kapitálové investice do nástrojů zahrnovaných do kapitálu tier 2</w:t>
            </w:r>
          </w:p>
          <w:p w14:paraId="4E88A432"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Ustanovení čl. 4 odst. 1 bodu 126, čl. 63 písm. b), čl. 66 písm. a) a článku 67 </w:t>
            </w:r>
            <w:r>
              <w:t>nařízení (EU) č. 575/2013</w:t>
            </w:r>
          </w:p>
        </w:tc>
      </w:tr>
      <w:tr w:rsidR="007266CF" w:rsidRPr="002A677E" w14:paraId="7D2D2788" w14:textId="77777777" w:rsidTr="007266CF">
        <w:tc>
          <w:tcPr>
            <w:tcW w:w="1129" w:type="dxa"/>
          </w:tcPr>
          <w:p w14:paraId="5F5057D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2846C2D3" w14:textId="77777777" w:rsidR="007266CF" w:rsidRPr="002A677E" w:rsidRDefault="007266CF" w:rsidP="007266C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Skutečné nebo podmíněné závazky odkoupit vlastní nástroje zahrnované do kapitálu tier 2</w:t>
            </w:r>
          </w:p>
          <w:p w14:paraId="3DACEBD3"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Ustanovení čl. 66 písm. a) a článku 67 </w:t>
            </w:r>
            <w:r>
              <w:t>nařízení (EU) č. 575/2013</w:t>
            </w:r>
          </w:p>
          <w:p w14:paraId="2DDFC8F5" w14:textId="77777777" w:rsidR="007266CF" w:rsidRPr="002A677E" w:rsidRDefault="007266CF" w:rsidP="007266C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Podle </w:t>
            </w:r>
            <w:r>
              <w:rPr>
                <w:rStyle w:val="FormatvorlageInstructionsTabelleText"/>
                <w:rFonts w:ascii="Times New Roman" w:hAnsi="Times New Roman"/>
                <w:sz w:val="24"/>
              </w:rPr>
              <w:t xml:space="preserve">čl. 66 písm. a) </w:t>
            </w:r>
            <w:r>
              <w:t>nařízení (EU) č. 575/2013</w:t>
            </w:r>
            <w:r>
              <w:rPr>
                <w:rStyle w:val="InstructionsTabelleberschrift"/>
                <w:rFonts w:ascii="Times New Roman" w:hAnsi="Times New Roman"/>
                <w:b w:val="0"/>
                <w:sz w:val="24"/>
                <w:u w:val="none"/>
              </w:rPr>
              <w:t xml:space="preserve"> se provede </w:t>
            </w:r>
            <w:r>
              <w:t>odpočet „vlastních nástrojů zahrnovaných do kapitálu tier 2, které by instituce mohla být povinna odkoupit na základě stávajících smluvních závazků“.</w:t>
            </w:r>
          </w:p>
        </w:tc>
      </w:tr>
      <w:tr w:rsidR="007266CF" w:rsidRPr="002A677E" w14:paraId="1FCE25CA" w14:textId="77777777" w:rsidTr="007266CF">
        <w:tc>
          <w:tcPr>
            <w:tcW w:w="1129" w:type="dxa"/>
          </w:tcPr>
          <w:p w14:paraId="4852860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14:paraId="20EC19CD"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Přechodné úpravy provedené v důsledku nástrojů zahrnovaných do kapitálu tier 2, pro něž platí zachování právních účinků </w:t>
            </w:r>
          </w:p>
          <w:p w14:paraId="1CA698D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483 odst. 6 a 7, článků 484, 486, 488, 490 a 491 </w:t>
            </w:r>
            <w:r>
              <w:t>nařízení (EU) č. 575/2013</w:t>
            </w:r>
          </w:p>
          <w:p w14:paraId="3E42B2B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kapitálu tier 2. Částka, která má být vykázána, se přímo přejímá ze šablony CA5.</w:t>
            </w:r>
          </w:p>
        </w:tc>
      </w:tr>
      <w:tr w:rsidR="007266CF" w:rsidRPr="006223CC" w14:paraId="0CCC3EC2" w14:textId="77777777" w:rsidTr="007266CF">
        <w:tc>
          <w:tcPr>
            <w:tcW w:w="1129" w:type="dxa"/>
          </w:tcPr>
          <w:p w14:paraId="428C890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471B8CC"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Nástroje vydané dceřinými podniky a uznané v kapitálu tier 2</w:t>
            </w:r>
          </w:p>
          <w:p w14:paraId="39CB2920"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Články 83, 87 a 88 </w:t>
            </w:r>
            <w:r w:rsidRPr="006223CC">
              <w:rPr>
                <w:lang w:val="fr-FR"/>
              </w:rPr>
              <w:t>nařízení (EU) č. 575/2013</w:t>
            </w:r>
          </w:p>
          <w:p w14:paraId="41F58140"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Součet všech částek kvalifikovaného kapitálu dceřiných podniků, který se zahrne do konsolidovaného kapitálu tier 2.</w:t>
            </w:r>
          </w:p>
          <w:p w14:paraId="026C38D0"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Je zahrnut kvalifikovaný kapitál tier 2 vydaný jednotkou pro speciální účel (článek 83 </w:t>
            </w:r>
            <w:r w:rsidRPr="006223CC">
              <w:rPr>
                <w:lang w:val="fr-FR"/>
              </w:rPr>
              <w:t>nařízení (EU) č. 575/2013</w:t>
            </w:r>
            <w:r w:rsidRPr="006223CC">
              <w:rPr>
                <w:rStyle w:val="FormatvorlageInstructionsTabelleText"/>
                <w:rFonts w:ascii="Times New Roman" w:hAnsi="Times New Roman"/>
                <w:sz w:val="24"/>
                <w:lang w:val="fr-FR"/>
              </w:rPr>
              <w:t>).</w:t>
            </w:r>
          </w:p>
        </w:tc>
      </w:tr>
      <w:tr w:rsidR="007266CF" w:rsidRPr="002A677E" w14:paraId="74AC0E05" w14:textId="77777777" w:rsidTr="007266CF">
        <w:tc>
          <w:tcPr>
            <w:tcW w:w="1129" w:type="dxa"/>
          </w:tcPr>
          <w:p w14:paraId="12905EFD"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798D775"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Přechodné úpravy v důsledku dodatečného uznání nástrojů, které byly vydány dceřinými podniky, v kapitálu tier 2</w:t>
            </w:r>
          </w:p>
          <w:p w14:paraId="4D8E800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480 </w:t>
            </w:r>
            <w:r>
              <w:t>nařízení (EU) č. 575/2013</w:t>
            </w:r>
          </w:p>
          <w:p w14:paraId="6ED17616"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kvalifikovaného kapitálu zahrnutého v konsolidovaném kapitálu tier 2 provedené v důsledku přechodných ustanovení. Tato položka se přejímá přímo ze šablony CA5.</w:t>
            </w:r>
          </w:p>
        </w:tc>
      </w:tr>
      <w:tr w:rsidR="007266CF" w:rsidRPr="002A677E" w14:paraId="6372A00B" w14:textId="77777777" w:rsidTr="007266CF">
        <w:tc>
          <w:tcPr>
            <w:tcW w:w="1129" w:type="dxa"/>
          </w:tcPr>
          <w:p w14:paraId="07A2C28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0A0DF131"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Přebytek rezerv v porovnání se způsobilými očekávanými ztrátami při přístupu IRB</w:t>
            </w:r>
          </w:p>
          <w:p w14:paraId="53EA9C1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d) </w:t>
            </w:r>
            <w:r>
              <w:t>nařízení (EU) č. 575/2013</w:t>
            </w:r>
          </w:p>
          <w:p w14:paraId="6A7346D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institucí, které vypočítávají objemy rizikově vážených expozic v souladu s přístupem IRB, tato položka musí obsahovat kladné částky vyplývající z porovnání rezerv a očekávaných ztrát, které jsou způsobilé jako kapitál tier 2.</w:t>
            </w:r>
          </w:p>
        </w:tc>
      </w:tr>
      <w:tr w:rsidR="007266CF" w:rsidRPr="002A677E" w14:paraId="17CC0750" w14:textId="77777777" w:rsidTr="007266CF">
        <w:tc>
          <w:tcPr>
            <w:tcW w:w="1129" w:type="dxa"/>
          </w:tcPr>
          <w:p w14:paraId="3F72A75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2C8A197C"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Obecné úpravy o úvěrové riziko v rámci standardizovaného přístupu</w:t>
            </w:r>
          </w:p>
          <w:p w14:paraId="490066F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c) </w:t>
            </w:r>
            <w:r>
              <w:t>nařízení (EU) č. 575/2013</w:t>
            </w:r>
          </w:p>
          <w:p w14:paraId="2F7ADF0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institucí, které vypočítávají objemy rizikově vážených expozic podle standardizovaného přístupu, tato položka musí obsahovat obecné úpravy o úvěrové riziko, které jsou způsobilé jako kapitál tier 2.</w:t>
            </w:r>
          </w:p>
        </w:tc>
      </w:tr>
      <w:tr w:rsidR="007266CF" w:rsidRPr="002A677E" w14:paraId="6180A018" w14:textId="77777777" w:rsidTr="007266CF">
        <w:tc>
          <w:tcPr>
            <w:tcW w:w="1129" w:type="dxa"/>
          </w:tcPr>
          <w:p w14:paraId="094138C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62B9397"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Vzájemná účast na kapitálu tier 2</w:t>
            </w:r>
          </w:p>
          <w:p w14:paraId="70C9E045"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122, čl. 66 písm. b) a článku 68 </w:t>
            </w:r>
            <w:r>
              <w:t>nařízení (EU) č. 575/2013</w:t>
            </w:r>
          </w:p>
          <w:p w14:paraId="0BAD9DC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Účasti subjektů finančního sektoru (ve smyslu čl. 4 odst. 1 bodu 27 </w:t>
            </w:r>
            <w:r>
              <w:t>nařízení (EU) č. 575/2013</w:t>
            </w:r>
            <w:r>
              <w:rPr>
                <w:rStyle w:val="FormatvorlageInstructionsTabelleText"/>
                <w:rFonts w:ascii="Times New Roman" w:hAnsi="Times New Roman"/>
                <w:sz w:val="24"/>
              </w:rPr>
              <w:t xml:space="preserve">) v nástrojích zahrnovaných do kapitálu tier 2, jedná-li se o </w:t>
            </w:r>
            <w:r>
              <w:rPr>
                <w:rStyle w:val="FormatvorlageInstructionsTabelleText"/>
                <w:rFonts w:ascii="Times New Roman" w:hAnsi="Times New Roman"/>
                <w:sz w:val="24"/>
              </w:rPr>
              <w:lastRenderedPageBreak/>
              <w:t>vztah vzájemné účasti a příslušný orgán se domnívá, že jeho účelem je uměle zvýšit kapitál instituce.</w:t>
            </w:r>
          </w:p>
          <w:p w14:paraId="1E8B4FC9"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kapitálu tier 2 a tier 3 pojišťovny.</w:t>
            </w:r>
          </w:p>
        </w:tc>
      </w:tr>
      <w:tr w:rsidR="007266CF" w:rsidRPr="002A677E" w14:paraId="6481975D" w14:textId="77777777" w:rsidTr="007266CF">
        <w:tc>
          <w:tcPr>
            <w:tcW w:w="1129" w:type="dxa"/>
          </w:tcPr>
          <w:p w14:paraId="1E8A9CE6"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46B1F7C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Nástroje zahrnované do kapitálu tier 2 subjektů finančního sektoru, v nichž instituce nemá významnou investici</w:t>
            </w:r>
          </w:p>
          <w:p w14:paraId="347B4710"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66 písm. c), článků 68 až 70 a článku 79 </w:t>
            </w:r>
            <w:r>
              <w:t>nařízení (EU) č. 575/2013</w:t>
            </w:r>
          </w:p>
          <w:p w14:paraId="78620C5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kapitálových investic instituce do nástrojů subjektů finančního sektoru (ve smyslu čl. 4 odst. 1 bodu 27 </w:t>
            </w:r>
            <w:r>
              <w:t>nařízení (EU) č. 575/2013</w:t>
            </w:r>
            <w:r>
              <w:rPr>
                <w:rStyle w:val="FormatvorlageInstructionsTabelleText"/>
                <w:rFonts w:ascii="Times New Roman" w:hAnsi="Times New Roman"/>
                <w:sz w:val="24"/>
              </w:rPr>
              <w:t>), v nichž instituce nemá významnou investici, která musí být odečtena od kapitálu tier 2.</w:t>
            </w:r>
          </w:p>
        </w:tc>
      </w:tr>
      <w:tr w:rsidR="007266CF" w:rsidRPr="002A677E" w14:paraId="484EDD7A" w14:textId="77777777" w:rsidTr="007266CF">
        <w:tc>
          <w:tcPr>
            <w:tcW w:w="1129" w:type="dxa"/>
          </w:tcPr>
          <w:p w14:paraId="5A98B88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2FECFD6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Nástroje zahrnované do kapitálu tier 2 subjektů finančního sektoru, v nichž má instituce významnou investici</w:t>
            </w:r>
          </w:p>
          <w:p w14:paraId="31C1F56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66 písm. d), článků 68, 69 a 79 </w:t>
            </w:r>
            <w:r>
              <w:t>nařízení (EU) č. 575/2013</w:t>
            </w:r>
          </w:p>
          <w:p w14:paraId="78F0C8A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investice instituce do nástrojů kapitálu tier 2 subjektů finančního sektoru (ve smyslu čl. 4 odst. 1 bodu 27 </w:t>
            </w:r>
            <w:r>
              <w:t>nařízení (EU) č. 575/2013</w:t>
            </w:r>
            <w:r>
              <w:rPr>
                <w:rStyle w:val="FormatvorlageInstructionsTabelleText"/>
                <w:rFonts w:ascii="Times New Roman" w:hAnsi="Times New Roman"/>
                <w:sz w:val="24"/>
              </w:rPr>
              <w:t>), v nichž má instituce významnou investici, se odečítají v plném rozsahu.</w:t>
            </w:r>
          </w:p>
        </w:tc>
      </w:tr>
      <w:tr w:rsidR="007266CF" w:rsidRPr="002A677E" w14:paraId="2264638D" w14:textId="77777777" w:rsidTr="007266CF">
        <w:tc>
          <w:tcPr>
            <w:tcW w:w="1129" w:type="dxa"/>
          </w:tcPr>
          <w:p w14:paraId="1493625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752FA4D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Odpočty od způsobilých závazků, které převyšují způsobilé závazky</w:t>
            </w:r>
          </w:p>
          <w:p w14:paraId="3FD325F8"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Ustanovení čl. 66 písm. e) </w:t>
            </w:r>
            <w:r>
              <w:t>nařízení (EU) č. 575/2013</w:t>
            </w:r>
            <w:r>
              <w:rPr>
                <w:rStyle w:val="FormatvorlageInstructionsTabelleText"/>
                <w:rFonts w:ascii="Times New Roman" w:hAnsi="Times New Roman"/>
                <w:sz w:val="24"/>
              </w:rPr>
              <w:t>.</w:t>
            </w:r>
          </w:p>
        </w:tc>
      </w:tr>
      <w:tr w:rsidR="007266CF" w:rsidRPr="002A677E" w14:paraId="0928FF25" w14:textId="77777777" w:rsidTr="007266CF">
        <w:tc>
          <w:tcPr>
            <w:tcW w:w="1129" w:type="dxa"/>
          </w:tcPr>
          <w:p w14:paraId="004BE48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A89D8E4"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Ostatní přechodné úpravy kapitálu tier 2</w:t>
            </w:r>
          </w:p>
          <w:p w14:paraId="15528D3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472, 473a, 476, 477, 478 a 481 </w:t>
            </w:r>
            <w:r>
              <w:t>nařízení (EU) č. 575/2013</w:t>
            </w:r>
          </w:p>
          <w:p w14:paraId="1B00CF9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7266CF" w:rsidRPr="002A677E" w14:paraId="50828686" w14:textId="77777777" w:rsidTr="007266CF">
        <w:tc>
          <w:tcPr>
            <w:tcW w:w="1129" w:type="dxa"/>
          </w:tcPr>
          <w:p w14:paraId="04D0EAC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5DCAF6C8"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Odpočet od položek kapitálu tier 2, který přesahuje výši kapitálu tier 2 (odečítá se od vedlejšího kapitálu tier 1)</w:t>
            </w:r>
          </w:p>
          <w:p w14:paraId="4E6A3C7C"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56 písm. e) </w:t>
            </w:r>
            <w:r>
              <w:t>nařízení (EU) č. 575/2013</w:t>
            </w:r>
          </w:p>
          <w:p w14:paraId="5C9F351D"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 tier 2 nemůže být záporný, ale je možné, že odpočty od kapitálu tier 2 převyšují součet kapitálu tier 2 a souvisejícího emisního ážia. Pokud taková situace nastane, kapitál tier 2 musí být roven nule a odpočty převyšující kapitál tier 2 musí být odečteny od vedlejšího kapitálu tier 1.</w:t>
            </w:r>
          </w:p>
          <w:p w14:paraId="62C5921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základě této položky není součet položek 1.2.1 až 1.2.13 nikdy menší než nula. Pokud je v této položce uvedeno kladné číslo, položka 1.1.2.8 bude zápornou hodnotou tohoto čísla.</w:t>
            </w:r>
          </w:p>
        </w:tc>
      </w:tr>
      <w:tr w:rsidR="007266CF" w:rsidRPr="002A677E" w14:paraId="0DE96C86" w14:textId="77777777" w:rsidTr="007266CF">
        <w:tc>
          <w:tcPr>
            <w:tcW w:w="1129" w:type="dxa"/>
          </w:tcPr>
          <w:p w14:paraId="3A6F9A6C" w14:textId="77777777" w:rsidR="007266CF" w:rsidRPr="001235ED" w:rsidDel="00BD687C"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6683EF9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Dodatečné odpočty od kapitálu tier 2 v důsledku článku 3 nařízení (EU) č. 575/2013</w:t>
            </w:r>
          </w:p>
          <w:p w14:paraId="6E8C0D5C"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3 </w:t>
            </w:r>
            <w:r>
              <w:t>nařízení (EU) č. 575/2013</w:t>
            </w:r>
          </w:p>
        </w:tc>
      </w:tr>
      <w:tr w:rsidR="007266CF" w:rsidRPr="002A677E" w14:paraId="356049BB" w14:textId="77777777" w:rsidTr="007266CF">
        <w:tc>
          <w:tcPr>
            <w:tcW w:w="1129" w:type="dxa"/>
          </w:tcPr>
          <w:p w14:paraId="4EF50BF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29D836C1"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Položky nebo odpočty od kapitálu tier 2 – jiné </w:t>
            </w:r>
          </w:p>
          <w:p w14:paraId="66B95CE8"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w:t>
            </w:r>
            <w:r>
              <w:rPr>
                <w:rStyle w:val="InstructionsTabelleberschrift"/>
                <w:rFonts w:ascii="Times New Roman" w:hAnsi="Times New Roman"/>
                <w:b w:val="0"/>
                <w:sz w:val="24"/>
                <w:u w:val="none"/>
              </w:rPr>
              <w:lastRenderedPageBreak/>
              <w:t xml:space="preserve">konečné rozhodnutí týkající se vykazování zvláštních kapitálových položek či odpočtů od kapitálu v aktuální šabloně CA1. Tento řádek se tedy vyplňuje pouze v případě, že položku kapitálu tier 2 nebo odpočet od položky kapitálu tier 2 nelze přiřadit do jednoho z řádků 750 až 974. </w:t>
            </w:r>
          </w:p>
          <w:p w14:paraId="702E2577"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neslouží k zahrnutí kapitálových položek či odpočtů od kapitálu, na něž se </w:t>
            </w:r>
            <w:r>
              <w:t xml:space="preserve">nařízení (EU) č. 575/2013 </w:t>
            </w:r>
            <w:r>
              <w:rPr>
                <w:rStyle w:val="InstructionsTabelleberschrift"/>
                <w:rFonts w:ascii="Times New Roman" w:hAnsi="Times New Roman"/>
                <w:b w:val="0"/>
                <w:sz w:val="24"/>
                <w:u w:val="none"/>
              </w:rPr>
              <w:t xml:space="preserve">nevztahuje, do výpočtu solventnostního poměru (např. sem nelze zařadit položky či odpočty státního kapitálu, které nespadají do oblasti působnosti </w:t>
            </w:r>
            <w:r>
              <w:t>uvedeného nařízení</w:t>
            </w:r>
            <w:r>
              <w:rPr>
                <w:rStyle w:val="InstructionsTabelleberschrift"/>
                <w:rFonts w:ascii="Times New Roman" w:hAnsi="Times New Roman"/>
                <w:b w:val="0"/>
                <w:sz w:val="24"/>
                <w:u w:val="none"/>
              </w:rPr>
              <w:t>).</w:t>
            </w:r>
          </w:p>
        </w:tc>
      </w:tr>
    </w:tbl>
    <w:p w14:paraId="49F95C61" w14:textId="77777777" w:rsidR="007266CF" w:rsidRPr="002A677E" w:rsidRDefault="007266CF" w:rsidP="007266CF">
      <w:pPr>
        <w:pStyle w:val="InstructionsText"/>
      </w:pPr>
    </w:p>
    <w:p w14:paraId="7E59E015" w14:textId="77777777" w:rsidR="007266CF" w:rsidRPr="002A677E" w:rsidRDefault="007266CF" w:rsidP="00A75C39">
      <w:pPr>
        <w:pStyle w:val="Instructionsberschrift2"/>
        <w:numPr>
          <w:ilvl w:val="1"/>
          <w:numId w:val="45"/>
        </w:numPr>
        <w:ind w:hanging="792"/>
        <w:rPr>
          <w:rFonts w:ascii="Times New Roman" w:hAnsi="Times New Roman" w:cs="Times New Roman"/>
          <w:sz w:val="24"/>
        </w:rPr>
      </w:pPr>
      <w:bookmarkStart w:id="37" w:name="_Toc116026713"/>
      <w:bookmarkStart w:id="38" w:name="_Toc119077870"/>
      <w:r>
        <w:rPr>
          <w:rFonts w:ascii="Times New Roman" w:hAnsi="Times New Roman"/>
          <w:sz w:val="24"/>
        </w:rPr>
        <w:t>C 02.00 – KAPITÁLOVÉ POŽADAVKY (CA2)</w:t>
      </w:r>
      <w:bookmarkEnd w:id="37"/>
      <w:bookmarkEnd w:id="38"/>
      <w:r>
        <w:rPr>
          <w:rFonts w:ascii="Times New Roman" w:hAnsi="Times New Roman"/>
          <w:sz w:val="24"/>
        </w:rPr>
        <w:t xml:space="preserve"> </w:t>
      </w:r>
    </w:p>
    <w:p w14:paraId="58F68694" w14:textId="77777777" w:rsidR="007266CF" w:rsidRPr="002A677E" w:rsidRDefault="007266CF" w:rsidP="00A75C39">
      <w:pPr>
        <w:pStyle w:val="Instructionsberschrift2"/>
        <w:numPr>
          <w:ilvl w:val="2"/>
          <w:numId w:val="46"/>
        </w:numPr>
        <w:ind w:left="567"/>
        <w:rPr>
          <w:rFonts w:ascii="Times New Roman" w:hAnsi="Times New Roman" w:cs="Times New Roman"/>
          <w:sz w:val="24"/>
        </w:rPr>
      </w:pPr>
      <w:bookmarkStart w:id="39" w:name="_Toc115949304"/>
      <w:bookmarkStart w:id="40" w:name="_Toc115949528"/>
      <w:bookmarkStart w:id="41" w:name="_Toc115949714"/>
      <w:bookmarkStart w:id="42" w:name="_Toc116026714"/>
      <w:bookmarkStart w:id="43" w:name="_Toc119077871"/>
      <w:bookmarkEnd w:id="39"/>
      <w:bookmarkEnd w:id="40"/>
      <w:bookmarkEnd w:id="41"/>
      <w:r>
        <w:rPr>
          <w:rFonts w:ascii="Times New Roman" w:hAnsi="Times New Roman"/>
          <w:sz w:val="24"/>
        </w:rPr>
        <w:t>Pokyny pro konkrétní</w:t>
      </w:r>
      <w:r>
        <w:t xml:space="preserve"> </w:t>
      </w:r>
      <w:r>
        <w:rPr>
          <w:rFonts w:ascii="Times New Roman" w:hAnsi="Times New Roman"/>
          <w:sz w:val="24"/>
        </w:rPr>
        <w:t>pozice</w:t>
      </w:r>
      <w:bookmarkEnd w:id="42"/>
      <w:bookmarkEnd w:id="43"/>
    </w:p>
    <w:p w14:paraId="0495CCD6" w14:textId="77777777" w:rsidR="007266CF" w:rsidRPr="002A677E" w:rsidRDefault="007266CF" w:rsidP="007266CF">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7266CF" w:rsidRPr="002A677E" w14:paraId="5424FE7D" w14:textId="77777777" w:rsidTr="007266CF">
        <w:tc>
          <w:tcPr>
            <w:tcW w:w="1591" w:type="dxa"/>
            <w:shd w:val="clear" w:color="auto" w:fill="D9D9D9"/>
          </w:tcPr>
          <w:p w14:paraId="01DFE4E5" w14:textId="77777777" w:rsidR="007266CF" w:rsidRPr="002A677E" w:rsidRDefault="007266CF" w:rsidP="007266CF">
            <w:pPr>
              <w:pStyle w:val="InstructionsText"/>
            </w:pPr>
            <w:r>
              <w:t>Řádek</w:t>
            </w:r>
          </w:p>
        </w:tc>
        <w:tc>
          <w:tcPr>
            <w:tcW w:w="7274" w:type="dxa"/>
            <w:shd w:val="clear" w:color="auto" w:fill="D9D9D9"/>
          </w:tcPr>
          <w:p w14:paraId="055CCCAF" w14:textId="77777777" w:rsidR="007266CF" w:rsidRPr="002A677E" w:rsidRDefault="007266CF" w:rsidP="007266CF">
            <w:pPr>
              <w:pStyle w:val="InstructionsText"/>
            </w:pPr>
            <w:r>
              <w:t>Odkazy na právní předpisy a pokyny</w:t>
            </w:r>
          </w:p>
        </w:tc>
      </w:tr>
      <w:tr w:rsidR="007266CF" w:rsidRPr="006223CC" w14:paraId="6D7E8ACC" w14:textId="77777777" w:rsidTr="007266CF">
        <w:tc>
          <w:tcPr>
            <w:tcW w:w="1591" w:type="dxa"/>
          </w:tcPr>
          <w:p w14:paraId="2A43D2A0" w14:textId="77777777" w:rsidR="007266CF" w:rsidRPr="002A677E" w:rsidRDefault="007266CF" w:rsidP="007266CF">
            <w:pPr>
              <w:pStyle w:val="InstructionsText"/>
            </w:pPr>
            <w:r>
              <w:t>0010</w:t>
            </w:r>
          </w:p>
        </w:tc>
        <w:tc>
          <w:tcPr>
            <w:tcW w:w="7274" w:type="dxa"/>
          </w:tcPr>
          <w:p w14:paraId="06F40AC9" w14:textId="77777777" w:rsidR="007266CF" w:rsidRPr="002A677E" w:rsidRDefault="007266CF" w:rsidP="007266C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CELKOVÝ OBJEM RIZIKOVÉ EXPOZICE</w:t>
            </w:r>
          </w:p>
          <w:p w14:paraId="5B4E7F82" w14:textId="77777777" w:rsidR="007266CF" w:rsidRPr="006223CC" w:rsidRDefault="007266CF" w:rsidP="007266CF">
            <w:pPr>
              <w:pStyle w:val="InstructionsText"/>
              <w:rPr>
                <w:lang w:val="fr-FR"/>
              </w:rPr>
            </w:pPr>
            <w:r>
              <w:t>Ustanovení čl. 92 odst. </w:t>
            </w:r>
            <w:r w:rsidRPr="006223CC">
              <w:rPr>
                <w:lang w:val="fr-FR"/>
              </w:rPr>
              <w:t>3 a článků 95, 96 a 98 nařízení (EU) č. 575/2013</w:t>
            </w:r>
          </w:p>
        </w:tc>
      </w:tr>
      <w:tr w:rsidR="007266CF" w:rsidRPr="006223CC" w14:paraId="02957DD4" w14:textId="77777777" w:rsidTr="007266CF">
        <w:tc>
          <w:tcPr>
            <w:tcW w:w="1591" w:type="dxa"/>
          </w:tcPr>
          <w:p w14:paraId="2A9F9585" w14:textId="77777777" w:rsidR="007266CF" w:rsidRPr="002A677E" w:rsidRDefault="007266CF" w:rsidP="007266CF">
            <w:pPr>
              <w:pStyle w:val="InstructionsText"/>
            </w:pPr>
            <w:r>
              <w:t>0020</w:t>
            </w:r>
          </w:p>
        </w:tc>
        <w:tc>
          <w:tcPr>
            <w:tcW w:w="7274" w:type="dxa"/>
          </w:tcPr>
          <w:p w14:paraId="4737C7E3" w14:textId="77777777" w:rsidR="007266CF" w:rsidRPr="006223CC" w:rsidRDefault="007266CF" w:rsidP="007266CF">
            <w:pPr>
              <w:pStyle w:val="InstructionsText"/>
              <w:rPr>
                <w:lang w:val="fr-FR"/>
              </w:rPr>
            </w:pPr>
            <w:r>
              <w:rPr>
                <w:rStyle w:val="InstructionsTabelleberschrift"/>
                <w:rFonts w:ascii="Times New Roman" w:hAnsi="Times New Roman"/>
                <w:sz w:val="24"/>
              </w:rPr>
              <w:t>1*</w:t>
            </w:r>
            <w:r>
              <w:tab/>
            </w:r>
            <w:r>
              <w:rPr>
                <w:rStyle w:val="InstructionsTabelleberschrift"/>
                <w:rFonts w:ascii="Times New Roman" w:hAnsi="Times New Roman"/>
                <w:sz w:val="24"/>
              </w:rPr>
              <w:t>Z toho: investiční podniky podle čl. 95 odst. </w:t>
            </w:r>
            <w:r w:rsidRPr="006223CC">
              <w:rPr>
                <w:rStyle w:val="InstructionsTabelleberschrift"/>
                <w:rFonts w:ascii="Times New Roman" w:hAnsi="Times New Roman"/>
                <w:sz w:val="24"/>
                <w:lang w:val="fr-FR"/>
              </w:rPr>
              <w:t>2 a článku 98 nařízení (EU) č. 575/2013</w:t>
            </w:r>
          </w:p>
          <w:p w14:paraId="41FC2EA0" w14:textId="77777777" w:rsidR="007266CF" w:rsidRPr="006223CC" w:rsidRDefault="007266CF" w:rsidP="007266CF">
            <w:pPr>
              <w:pStyle w:val="InstructionsText"/>
              <w:rPr>
                <w:lang w:val="fr-FR"/>
              </w:rPr>
            </w:pPr>
            <w:r>
              <w:t xml:space="preserve">Týká se investičních podniků podle čl. 95 </w:t>
            </w:r>
            <w:r>
              <w:rPr>
                <w:rStyle w:val="FormatvorlageInstructionsTabelleText"/>
                <w:rFonts w:ascii="Times New Roman" w:hAnsi="Times New Roman"/>
                <w:sz w:val="24"/>
              </w:rPr>
              <w:t>odst. </w:t>
            </w:r>
            <w:r w:rsidRPr="006223CC">
              <w:rPr>
                <w:rStyle w:val="FormatvorlageInstructionsTabelleText"/>
                <w:rFonts w:ascii="Times New Roman" w:hAnsi="Times New Roman"/>
                <w:sz w:val="24"/>
                <w:lang w:val="fr-FR"/>
              </w:rPr>
              <w:t xml:space="preserve">2 </w:t>
            </w:r>
            <w:r w:rsidRPr="006223CC">
              <w:rPr>
                <w:lang w:val="fr-FR"/>
              </w:rPr>
              <w:t>a článku 98 nařízení (EU) č. 575/2013</w:t>
            </w:r>
          </w:p>
        </w:tc>
      </w:tr>
      <w:tr w:rsidR="007266CF" w:rsidRPr="006223CC" w14:paraId="1AF680DF" w14:textId="77777777" w:rsidTr="007266CF">
        <w:tc>
          <w:tcPr>
            <w:tcW w:w="1591" w:type="dxa"/>
          </w:tcPr>
          <w:p w14:paraId="3C08EF5B" w14:textId="77777777" w:rsidR="007266CF" w:rsidRPr="002A677E" w:rsidRDefault="007266CF" w:rsidP="007266CF">
            <w:pPr>
              <w:pStyle w:val="InstructionsText"/>
            </w:pPr>
            <w:r>
              <w:t>0030</w:t>
            </w:r>
          </w:p>
        </w:tc>
        <w:tc>
          <w:tcPr>
            <w:tcW w:w="7274" w:type="dxa"/>
          </w:tcPr>
          <w:p w14:paraId="3DD33886" w14:textId="77777777" w:rsidR="007266CF" w:rsidRPr="006223CC" w:rsidRDefault="007266CF" w:rsidP="007266CF">
            <w:pPr>
              <w:pStyle w:val="InstructionsText"/>
              <w:rPr>
                <w:lang w:val="fr-FR"/>
              </w:rPr>
            </w:pPr>
            <w:r>
              <w:rPr>
                <w:rStyle w:val="InstructionsTabelleberschrift"/>
                <w:rFonts w:ascii="Times New Roman" w:hAnsi="Times New Roman"/>
                <w:sz w:val="24"/>
              </w:rPr>
              <w:t>1**</w:t>
            </w:r>
            <w:r>
              <w:tab/>
            </w:r>
            <w:r>
              <w:rPr>
                <w:rStyle w:val="InstructionsTabelleberschrift"/>
                <w:rFonts w:ascii="Times New Roman" w:hAnsi="Times New Roman"/>
                <w:sz w:val="24"/>
              </w:rPr>
              <w:t>Z toho: investiční podniky podle čl. 96 odst. </w:t>
            </w:r>
            <w:r w:rsidRPr="006223CC">
              <w:rPr>
                <w:rStyle w:val="InstructionsTabelleberschrift"/>
                <w:rFonts w:ascii="Times New Roman" w:hAnsi="Times New Roman"/>
                <w:sz w:val="24"/>
                <w:lang w:val="fr-FR"/>
              </w:rPr>
              <w:t>2 a článku 97 nařízení (EU) č. 575/2013</w:t>
            </w:r>
          </w:p>
          <w:p w14:paraId="6B2C3B94" w14:textId="77777777" w:rsidR="007266CF" w:rsidRPr="006223CC" w:rsidRDefault="007266CF" w:rsidP="007266CF">
            <w:pPr>
              <w:pStyle w:val="InstructionsText"/>
              <w:rPr>
                <w:lang w:val="fr-FR"/>
              </w:rPr>
            </w:pPr>
            <w:r>
              <w:t xml:space="preserve">Týká se investičních podniků podle čl. 96 </w:t>
            </w:r>
            <w:r>
              <w:rPr>
                <w:rStyle w:val="FormatvorlageInstructionsTabelleText"/>
                <w:rFonts w:ascii="Times New Roman" w:hAnsi="Times New Roman"/>
                <w:sz w:val="24"/>
              </w:rPr>
              <w:t>odst. </w:t>
            </w:r>
            <w:r w:rsidRPr="006223CC">
              <w:rPr>
                <w:rStyle w:val="FormatvorlageInstructionsTabelleText"/>
                <w:rFonts w:ascii="Times New Roman" w:hAnsi="Times New Roman"/>
                <w:sz w:val="24"/>
                <w:lang w:val="fr-FR"/>
              </w:rPr>
              <w:t xml:space="preserve">2 </w:t>
            </w:r>
            <w:r w:rsidRPr="006223CC">
              <w:rPr>
                <w:lang w:val="fr-FR"/>
              </w:rPr>
              <w:t>a článku 97 nařízení (EU) č. 575/2013</w:t>
            </w:r>
          </w:p>
        </w:tc>
      </w:tr>
      <w:tr w:rsidR="007266CF" w:rsidRPr="002A677E" w14:paraId="023C819D" w14:textId="77777777" w:rsidTr="007266CF">
        <w:tc>
          <w:tcPr>
            <w:tcW w:w="1591" w:type="dxa"/>
          </w:tcPr>
          <w:p w14:paraId="7DBAB84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7F3BC697"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OBJEMY RIZIKOVĚ VÁŽENÝCH EXPOZIC PRO ÚVĚROVÉ RIZIKO, ÚVĚROVÉ RIZIKO PROTISTRANY A RIZIKO ROZMĚLNĚNÍ A VOLNÉ DODÁVKY</w:t>
            </w:r>
          </w:p>
          <w:p w14:paraId="333E908F"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92 odst. 3 písm. a) a f) </w:t>
            </w:r>
            <w:r>
              <w:t>nařízení (EU) č. 575/2013</w:t>
            </w:r>
          </w:p>
        </w:tc>
      </w:tr>
      <w:tr w:rsidR="007266CF" w:rsidRPr="006223CC" w14:paraId="7C97F3AF" w14:textId="77777777" w:rsidTr="007266CF">
        <w:tc>
          <w:tcPr>
            <w:tcW w:w="1591" w:type="dxa"/>
          </w:tcPr>
          <w:p w14:paraId="6645185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03C36CD8"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1.1.1</w:t>
            </w:r>
            <w:r w:rsidRPr="006223CC">
              <w:rPr>
                <w:lang w:val="fr-FR"/>
              </w:rPr>
              <w:tab/>
            </w:r>
            <w:r w:rsidRPr="006223CC">
              <w:rPr>
                <w:rStyle w:val="InstructionsTabelleberschrift"/>
                <w:rFonts w:ascii="Times New Roman" w:hAnsi="Times New Roman"/>
                <w:sz w:val="24"/>
                <w:lang w:val="fr-FR"/>
              </w:rPr>
              <w:t>Standardizovaný přístup (SA)</w:t>
            </w:r>
          </w:p>
          <w:p w14:paraId="7B335D87"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InstructionsTabelleberschrift"/>
                <w:rFonts w:ascii="Times New Roman" w:hAnsi="Times New Roman"/>
                <w:b w:val="0"/>
                <w:sz w:val="24"/>
                <w:u w:val="none"/>
                <w:lang w:val="fr-FR"/>
              </w:rPr>
              <w:t>Šablony CR SA a SEC SA na úrovni celkových expozic.</w:t>
            </w:r>
          </w:p>
        </w:tc>
      </w:tr>
      <w:tr w:rsidR="007266CF" w:rsidRPr="002A677E" w14:paraId="4D8D1CC0" w14:textId="77777777" w:rsidTr="007266CF">
        <w:tc>
          <w:tcPr>
            <w:tcW w:w="1591" w:type="dxa"/>
          </w:tcPr>
          <w:p w14:paraId="6C6C734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178FBB5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Z toho: dodatečné přísnější obezřetnostní požadavky podle článku 124 nařízení (EU) č. 575/2013</w:t>
            </w:r>
          </w:p>
          <w:p w14:paraId="0011FFC0" w14:textId="77777777" w:rsidR="007266CF" w:rsidRPr="002A677E" w:rsidRDefault="007266CF" w:rsidP="007266CF">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sdělených institucím poté, co byly konzultovány s orgánem EBA, v souladu s čl. 124 odst. 2 a 5 nařízení (EU) č. 575/2013.</w:t>
            </w:r>
          </w:p>
        </w:tc>
      </w:tr>
      <w:tr w:rsidR="007266CF" w:rsidRPr="006223CC" w14:paraId="5F98DBBB" w14:textId="77777777" w:rsidTr="007266CF">
        <w:tc>
          <w:tcPr>
            <w:tcW w:w="1591" w:type="dxa"/>
          </w:tcPr>
          <w:p w14:paraId="3994CDD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1CA97B49" w14:textId="77777777" w:rsidR="007266CF" w:rsidRPr="00D768D3"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Kategorie expozic, na něž se vztahuje standardizovaný přístup, s výjimkou sekuritizovaných pozic</w:t>
            </w:r>
          </w:p>
          <w:p w14:paraId="2CEB729E"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Šablona CR SA na úrovni celkových expozic. Kategorie expozic, na něž se vztahuje standardizovaný přístup, </w:t>
            </w:r>
            <w:r w:rsidRPr="006223CC">
              <w:rPr>
                <w:rStyle w:val="InstructionsTabelleberschrift"/>
                <w:rFonts w:ascii="Times New Roman" w:hAnsi="Times New Roman"/>
                <w:b w:val="0"/>
                <w:sz w:val="24"/>
                <w:u w:val="none"/>
                <w:lang w:val="fr-FR"/>
              </w:rPr>
              <w:t>jsou uvedeny</w:t>
            </w:r>
            <w:r w:rsidRPr="006223CC">
              <w:rPr>
                <w:rStyle w:val="FormatvorlageInstructionsTabelleText"/>
                <w:rFonts w:ascii="Times New Roman" w:hAnsi="Times New Roman"/>
                <w:sz w:val="24"/>
                <w:lang w:val="fr-FR"/>
              </w:rPr>
              <w:t xml:space="preserve"> v článku 112 </w:t>
            </w:r>
            <w:r w:rsidRPr="006223CC">
              <w:rPr>
                <w:lang w:val="fr-FR"/>
              </w:rPr>
              <w:t>nařízení (EU) č. 575/2013</w:t>
            </w:r>
            <w:r w:rsidRPr="006223CC">
              <w:rPr>
                <w:rStyle w:val="FormatvorlageInstructionsTabelleText"/>
                <w:rFonts w:ascii="Times New Roman" w:hAnsi="Times New Roman"/>
                <w:sz w:val="24"/>
                <w:lang w:val="fr-FR"/>
              </w:rPr>
              <w:t>, přičemž výjimku představují sekuritizační pozice.</w:t>
            </w:r>
          </w:p>
        </w:tc>
      </w:tr>
      <w:tr w:rsidR="007266CF" w:rsidRPr="002A677E" w14:paraId="450F5999" w14:textId="77777777" w:rsidTr="007266CF">
        <w:tc>
          <w:tcPr>
            <w:tcW w:w="1591" w:type="dxa"/>
          </w:tcPr>
          <w:p w14:paraId="063287F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274" w:type="dxa"/>
          </w:tcPr>
          <w:p w14:paraId="5B96482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Ústřední vlády nebo centrální banky</w:t>
            </w:r>
          </w:p>
          <w:p w14:paraId="2F5AAF99"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Viz šablona CR SA.</w:t>
            </w:r>
          </w:p>
        </w:tc>
      </w:tr>
      <w:tr w:rsidR="007266CF" w:rsidRPr="002A677E" w14:paraId="09DB138E" w14:textId="77777777" w:rsidTr="007266CF">
        <w:tc>
          <w:tcPr>
            <w:tcW w:w="1591" w:type="dxa"/>
          </w:tcPr>
          <w:p w14:paraId="78ED145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3A31BAE0"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Regionální vlády nebo místní orgány</w:t>
            </w:r>
          </w:p>
          <w:p w14:paraId="20DAEDA2"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7266CF" w:rsidRPr="002A677E" w14:paraId="59586862" w14:textId="77777777" w:rsidTr="007266CF">
        <w:tc>
          <w:tcPr>
            <w:tcW w:w="1591" w:type="dxa"/>
          </w:tcPr>
          <w:p w14:paraId="3489EECD"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2A9AFB80" w14:textId="77777777" w:rsidR="007266CF" w:rsidRPr="002A677E" w:rsidRDefault="007266CF" w:rsidP="007266C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Subjekty veřejného sektoru</w:t>
            </w:r>
          </w:p>
          <w:p w14:paraId="16AF2CDA"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7266CF" w:rsidRPr="002A677E" w14:paraId="266B7DA6" w14:textId="77777777" w:rsidTr="007266CF">
        <w:tc>
          <w:tcPr>
            <w:tcW w:w="1591" w:type="dxa"/>
          </w:tcPr>
          <w:p w14:paraId="2FA9527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DCE6BEA"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Mezinárodní rozvojové banky</w:t>
            </w:r>
          </w:p>
          <w:p w14:paraId="430EB611"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SA. </w:t>
            </w:r>
          </w:p>
        </w:tc>
      </w:tr>
      <w:tr w:rsidR="007266CF" w:rsidRPr="006223CC" w14:paraId="6F512F99" w14:textId="77777777" w:rsidTr="007266CF">
        <w:tc>
          <w:tcPr>
            <w:tcW w:w="1591" w:type="dxa"/>
          </w:tcPr>
          <w:p w14:paraId="04C00A1F"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5650FF4F" w14:textId="77777777" w:rsidR="007266CF" w:rsidRPr="006223CC" w:rsidRDefault="007266CF" w:rsidP="007266CF">
            <w:pPr>
              <w:pStyle w:val="InstructionsText"/>
              <w:rPr>
                <w:rStyle w:val="FormatvorlageInstructionsTabelleText"/>
                <w:rFonts w:ascii="Times New Roman" w:hAnsi="Times New Roman"/>
                <w:b/>
                <w:sz w:val="24"/>
                <w:u w:val="single"/>
                <w:lang w:val="fr-FR"/>
              </w:rPr>
            </w:pPr>
            <w:r w:rsidRPr="006223CC">
              <w:rPr>
                <w:rStyle w:val="InstructionsTabelleberschrift"/>
                <w:rFonts w:ascii="Times New Roman" w:hAnsi="Times New Roman"/>
                <w:sz w:val="24"/>
                <w:lang w:val="fr-FR"/>
              </w:rPr>
              <w:t>1.1.1.1.05</w:t>
            </w:r>
            <w:r w:rsidRPr="006223CC">
              <w:rPr>
                <w:lang w:val="fr-FR"/>
              </w:rPr>
              <w:tab/>
            </w:r>
            <w:r w:rsidRPr="006223CC">
              <w:rPr>
                <w:rStyle w:val="InstructionsTabelleberschrift"/>
                <w:rFonts w:ascii="Times New Roman" w:hAnsi="Times New Roman"/>
                <w:sz w:val="24"/>
                <w:lang w:val="fr-FR"/>
              </w:rPr>
              <w:t>Mezinárodní organizace</w:t>
            </w:r>
          </w:p>
          <w:p w14:paraId="7C5F4E71"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CR SA.</w:t>
            </w:r>
          </w:p>
        </w:tc>
      </w:tr>
      <w:tr w:rsidR="007266CF" w:rsidRPr="006223CC" w14:paraId="0E76E86D" w14:textId="77777777" w:rsidTr="007266CF">
        <w:tc>
          <w:tcPr>
            <w:tcW w:w="1591" w:type="dxa"/>
          </w:tcPr>
          <w:p w14:paraId="189BE5D0"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FCC1F53" w14:textId="77777777" w:rsidR="007266CF" w:rsidRPr="006223CC" w:rsidRDefault="007266CF" w:rsidP="007266CF">
            <w:pPr>
              <w:pStyle w:val="InstructionsText"/>
              <w:rPr>
                <w:rStyle w:val="FormatvorlageInstructionsTabelleText"/>
                <w:rFonts w:ascii="Times New Roman" w:hAnsi="Times New Roman"/>
                <w:b/>
                <w:sz w:val="24"/>
                <w:u w:val="single"/>
                <w:lang w:val="fr-FR"/>
              </w:rPr>
            </w:pPr>
            <w:r w:rsidRPr="006223CC">
              <w:rPr>
                <w:rStyle w:val="InstructionsTabelleberschrift"/>
                <w:rFonts w:ascii="Times New Roman" w:hAnsi="Times New Roman"/>
                <w:sz w:val="24"/>
                <w:lang w:val="fr-FR"/>
              </w:rPr>
              <w:t>1.1.1.1.06</w:t>
            </w:r>
            <w:r w:rsidRPr="006223CC">
              <w:rPr>
                <w:lang w:val="fr-FR"/>
              </w:rPr>
              <w:tab/>
            </w:r>
            <w:r w:rsidRPr="006223CC">
              <w:rPr>
                <w:rStyle w:val="InstructionsTabelleberschrift"/>
                <w:rFonts w:ascii="Times New Roman" w:hAnsi="Times New Roman"/>
                <w:sz w:val="24"/>
                <w:lang w:val="fr-FR"/>
              </w:rPr>
              <w:t>Instituce</w:t>
            </w:r>
          </w:p>
          <w:p w14:paraId="44DA86EC"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CR SA.</w:t>
            </w:r>
          </w:p>
        </w:tc>
      </w:tr>
      <w:tr w:rsidR="007266CF" w:rsidRPr="006223CC" w14:paraId="0583EFD0" w14:textId="77777777" w:rsidTr="007266CF">
        <w:tc>
          <w:tcPr>
            <w:tcW w:w="1591" w:type="dxa"/>
          </w:tcPr>
          <w:p w14:paraId="02BF452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ECD0C22" w14:textId="77777777" w:rsidR="007266CF" w:rsidRPr="006223CC" w:rsidRDefault="007266CF" w:rsidP="007266CF">
            <w:pPr>
              <w:pStyle w:val="InstructionsText"/>
              <w:rPr>
                <w:rStyle w:val="FormatvorlageInstructionsTabelleText"/>
                <w:rFonts w:ascii="Times New Roman" w:hAnsi="Times New Roman"/>
                <w:b/>
                <w:sz w:val="24"/>
                <w:u w:val="single"/>
                <w:lang w:val="fr-FR"/>
              </w:rPr>
            </w:pPr>
            <w:r w:rsidRPr="006223CC">
              <w:rPr>
                <w:rStyle w:val="InstructionsTabelleberschrift"/>
                <w:rFonts w:ascii="Times New Roman" w:hAnsi="Times New Roman"/>
                <w:sz w:val="24"/>
                <w:lang w:val="fr-FR"/>
              </w:rPr>
              <w:t>1.1.1.1.07</w:t>
            </w:r>
            <w:r w:rsidRPr="006223CC">
              <w:rPr>
                <w:lang w:val="fr-FR"/>
              </w:rPr>
              <w:tab/>
            </w:r>
            <w:r w:rsidRPr="006223CC">
              <w:rPr>
                <w:rStyle w:val="InstructionsTabelleberschrift"/>
                <w:rFonts w:ascii="Times New Roman" w:hAnsi="Times New Roman"/>
                <w:sz w:val="24"/>
                <w:lang w:val="fr-FR"/>
              </w:rPr>
              <w:t>Podniky</w:t>
            </w:r>
          </w:p>
          <w:p w14:paraId="1B57772E"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CR SA.</w:t>
            </w:r>
          </w:p>
        </w:tc>
      </w:tr>
      <w:tr w:rsidR="007266CF" w:rsidRPr="006223CC" w14:paraId="0CED67D8" w14:textId="77777777" w:rsidTr="007266CF">
        <w:tc>
          <w:tcPr>
            <w:tcW w:w="1591" w:type="dxa"/>
          </w:tcPr>
          <w:p w14:paraId="3193B8B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0B21CFCC" w14:textId="77777777" w:rsidR="007266CF" w:rsidRPr="006223CC" w:rsidRDefault="007266CF" w:rsidP="007266CF">
            <w:pPr>
              <w:pStyle w:val="InstructionsText"/>
              <w:rPr>
                <w:rStyle w:val="FormatvorlageInstructionsTabelleText"/>
                <w:rFonts w:ascii="Times New Roman" w:hAnsi="Times New Roman"/>
                <w:b/>
                <w:bCs w:val="0"/>
                <w:sz w:val="24"/>
                <w:u w:val="single"/>
                <w:lang w:val="fr-FR"/>
              </w:rPr>
            </w:pPr>
            <w:r w:rsidRPr="006223CC">
              <w:rPr>
                <w:rStyle w:val="InstructionsTabelleberschrift"/>
                <w:rFonts w:ascii="Times New Roman" w:hAnsi="Times New Roman"/>
                <w:sz w:val="24"/>
                <w:lang w:val="fr-FR"/>
              </w:rPr>
              <w:t>1.1.1.1.08</w:t>
            </w:r>
            <w:r w:rsidRPr="006223CC">
              <w:rPr>
                <w:lang w:val="fr-FR"/>
              </w:rPr>
              <w:tab/>
            </w:r>
            <w:r w:rsidRPr="006223CC">
              <w:rPr>
                <w:rStyle w:val="InstructionsTabelleberschrift"/>
                <w:rFonts w:ascii="Times New Roman" w:hAnsi="Times New Roman"/>
                <w:sz w:val="24"/>
                <w:lang w:val="fr-FR"/>
              </w:rPr>
              <w:t>Retailové expozice</w:t>
            </w:r>
          </w:p>
          <w:p w14:paraId="2B2D88FF"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CR SA.</w:t>
            </w:r>
          </w:p>
        </w:tc>
      </w:tr>
      <w:tr w:rsidR="007266CF" w:rsidRPr="002A677E" w14:paraId="3671FC88" w14:textId="77777777" w:rsidTr="007266CF">
        <w:tc>
          <w:tcPr>
            <w:tcW w:w="1591" w:type="dxa"/>
          </w:tcPr>
          <w:p w14:paraId="0AB58EB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723062EF"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Expozice zajištěné nemovitostmi</w:t>
            </w:r>
          </w:p>
          <w:p w14:paraId="455058F8"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7266CF" w:rsidRPr="006223CC" w14:paraId="0226E0C6" w14:textId="77777777" w:rsidTr="007266CF">
        <w:tc>
          <w:tcPr>
            <w:tcW w:w="1591" w:type="dxa"/>
          </w:tcPr>
          <w:p w14:paraId="4DF1D076"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50D71DA7" w14:textId="77777777" w:rsidR="007266CF" w:rsidRPr="006223CC" w:rsidRDefault="007266CF" w:rsidP="007266CF">
            <w:pPr>
              <w:pStyle w:val="InstructionsText"/>
              <w:rPr>
                <w:rStyle w:val="InstructionsTabelleberschrift"/>
                <w:rFonts w:ascii="Times New Roman" w:hAnsi="Times New Roman"/>
                <w:bCs w:val="0"/>
                <w:sz w:val="24"/>
                <w:lang w:val="fr-FR"/>
              </w:rPr>
            </w:pPr>
            <w:r w:rsidRPr="006223CC">
              <w:rPr>
                <w:rStyle w:val="InstructionsTabelleberschrift"/>
                <w:rFonts w:ascii="Times New Roman" w:hAnsi="Times New Roman"/>
                <w:sz w:val="24"/>
                <w:lang w:val="fr-FR"/>
              </w:rPr>
              <w:t>1.1.1.1.10</w:t>
            </w:r>
            <w:r w:rsidRPr="006223CC">
              <w:rPr>
                <w:lang w:val="fr-FR"/>
              </w:rPr>
              <w:tab/>
            </w:r>
            <w:r w:rsidRPr="006223CC">
              <w:rPr>
                <w:rStyle w:val="InstructionsTabelleberschrift"/>
                <w:rFonts w:ascii="Times New Roman" w:hAnsi="Times New Roman"/>
                <w:sz w:val="24"/>
                <w:lang w:val="fr-FR"/>
              </w:rPr>
              <w:t>Expozice v selhání</w:t>
            </w:r>
          </w:p>
          <w:p w14:paraId="679960E3"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CR SA.</w:t>
            </w:r>
          </w:p>
        </w:tc>
      </w:tr>
      <w:tr w:rsidR="007266CF" w:rsidRPr="002A677E" w14:paraId="25BC846A" w14:textId="77777777" w:rsidTr="007266CF">
        <w:tc>
          <w:tcPr>
            <w:tcW w:w="1591" w:type="dxa"/>
          </w:tcPr>
          <w:p w14:paraId="2889CC8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4977D3D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Položky spojené s obzvlášť vysokým rizikem</w:t>
            </w:r>
          </w:p>
          <w:p w14:paraId="1506176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7266CF" w:rsidRPr="006223CC" w14:paraId="2DA76AC3" w14:textId="77777777" w:rsidTr="007266CF">
        <w:tc>
          <w:tcPr>
            <w:tcW w:w="1591" w:type="dxa"/>
          </w:tcPr>
          <w:p w14:paraId="4C30A09D"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008E732B" w14:textId="77777777" w:rsidR="007266CF" w:rsidRPr="006223CC" w:rsidRDefault="007266CF" w:rsidP="007266CF">
            <w:pPr>
              <w:pStyle w:val="InstructionsText"/>
              <w:rPr>
                <w:rStyle w:val="InstructionsTabelleberschrift"/>
                <w:rFonts w:ascii="Times New Roman" w:hAnsi="Times New Roman"/>
                <w:bCs w:val="0"/>
                <w:sz w:val="24"/>
                <w:lang w:val="fr-FR"/>
              </w:rPr>
            </w:pPr>
            <w:r w:rsidRPr="006223CC">
              <w:rPr>
                <w:rStyle w:val="InstructionsTabelleberschrift"/>
                <w:rFonts w:ascii="Times New Roman" w:hAnsi="Times New Roman"/>
                <w:sz w:val="24"/>
                <w:lang w:val="fr-FR"/>
              </w:rPr>
              <w:t>1.1.1.1.12</w:t>
            </w:r>
            <w:r w:rsidRPr="006223CC">
              <w:rPr>
                <w:lang w:val="fr-FR"/>
              </w:rPr>
              <w:tab/>
            </w:r>
            <w:r w:rsidRPr="006223CC">
              <w:rPr>
                <w:rStyle w:val="InstructionsTabelleberschrift"/>
                <w:rFonts w:ascii="Times New Roman" w:hAnsi="Times New Roman"/>
                <w:sz w:val="24"/>
                <w:lang w:val="fr-FR"/>
              </w:rPr>
              <w:t>Kryté dluhopisy</w:t>
            </w:r>
          </w:p>
          <w:p w14:paraId="73E4DAB6" w14:textId="77777777" w:rsidR="007266CF" w:rsidRPr="006223CC" w:rsidRDefault="007266CF" w:rsidP="007266CF">
            <w:pPr>
              <w:pStyle w:val="InstructionsText"/>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CR SA.</w:t>
            </w:r>
          </w:p>
        </w:tc>
      </w:tr>
      <w:tr w:rsidR="007266CF" w:rsidRPr="002A677E" w14:paraId="76E68114" w14:textId="77777777" w:rsidTr="007266CF">
        <w:tc>
          <w:tcPr>
            <w:tcW w:w="1591" w:type="dxa"/>
          </w:tcPr>
          <w:p w14:paraId="0AB7766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465D22"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Pohledávky vůči institucím a podnikům s krátkodobým úvěrovým hodnocením</w:t>
            </w:r>
          </w:p>
          <w:p w14:paraId="156FA3AB"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7266CF" w:rsidRPr="002A677E" w14:paraId="106A96A4" w14:textId="77777777" w:rsidTr="007266CF">
        <w:tc>
          <w:tcPr>
            <w:tcW w:w="1591" w:type="dxa"/>
          </w:tcPr>
          <w:p w14:paraId="03F2D1AF"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1562CBF7"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Subjekty kolektivního investování</w:t>
            </w:r>
          </w:p>
          <w:p w14:paraId="0A378EB6"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7266CF" w:rsidRPr="002A677E" w14:paraId="5528C6A0" w14:textId="77777777" w:rsidTr="007266CF">
        <w:tc>
          <w:tcPr>
            <w:tcW w:w="1591" w:type="dxa"/>
          </w:tcPr>
          <w:p w14:paraId="6421BFB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7DC564F0"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Vlastní kapitál</w:t>
            </w:r>
          </w:p>
          <w:p w14:paraId="18BE3CA2"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7266CF" w:rsidRPr="006223CC" w14:paraId="7D6D62C0" w14:textId="77777777" w:rsidTr="007266CF">
        <w:tc>
          <w:tcPr>
            <w:tcW w:w="1591" w:type="dxa"/>
          </w:tcPr>
          <w:p w14:paraId="1858D5A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2309F064" w14:textId="77777777" w:rsidR="007266CF" w:rsidRPr="006223CC" w:rsidRDefault="007266CF" w:rsidP="007266CF">
            <w:pPr>
              <w:pStyle w:val="InstructionsText"/>
              <w:rPr>
                <w:rStyle w:val="InstructionsTabelleberschrift"/>
                <w:rFonts w:ascii="Times New Roman" w:hAnsi="Times New Roman"/>
                <w:bCs w:val="0"/>
                <w:sz w:val="24"/>
                <w:lang w:val="fr-FR"/>
              </w:rPr>
            </w:pPr>
            <w:r w:rsidRPr="006223CC">
              <w:rPr>
                <w:rStyle w:val="InstructionsTabelleberschrift"/>
                <w:rFonts w:ascii="Times New Roman" w:hAnsi="Times New Roman"/>
                <w:sz w:val="24"/>
                <w:lang w:val="fr-FR"/>
              </w:rPr>
              <w:t>1.1.1.1.16</w:t>
            </w:r>
            <w:r w:rsidRPr="006223CC">
              <w:rPr>
                <w:lang w:val="fr-FR"/>
              </w:rPr>
              <w:tab/>
            </w:r>
            <w:r w:rsidRPr="006223CC">
              <w:rPr>
                <w:rStyle w:val="InstructionsTabelleberschrift"/>
                <w:rFonts w:ascii="Times New Roman" w:hAnsi="Times New Roman"/>
                <w:sz w:val="24"/>
                <w:lang w:val="fr-FR"/>
              </w:rPr>
              <w:t>Další položky</w:t>
            </w:r>
          </w:p>
          <w:p w14:paraId="4F57FC0D" w14:textId="77777777" w:rsidR="007266CF" w:rsidRPr="006223CC" w:rsidRDefault="007266CF" w:rsidP="007266CF">
            <w:pPr>
              <w:pStyle w:val="InstructionsText"/>
              <w:rPr>
                <w:rStyle w:val="InstructionsTabelleberschrift"/>
                <w:rFonts w:ascii="Times New Roman" w:hAnsi="Times New Roman"/>
                <w:bCs w:val="0"/>
                <w:sz w:val="24"/>
                <w:lang w:val="fr-FR"/>
              </w:rPr>
            </w:pPr>
            <w:r w:rsidRPr="006223CC">
              <w:rPr>
                <w:rStyle w:val="FormatvorlageInstructionsTabelleText"/>
                <w:rFonts w:ascii="Times New Roman" w:hAnsi="Times New Roman"/>
                <w:sz w:val="24"/>
                <w:lang w:val="fr-FR"/>
              </w:rPr>
              <w:t>Viz šablona CR SA.</w:t>
            </w:r>
          </w:p>
        </w:tc>
      </w:tr>
      <w:tr w:rsidR="007266CF" w:rsidRPr="002A677E" w14:paraId="413ACA3A" w14:textId="77777777" w:rsidTr="007266CF">
        <w:tc>
          <w:tcPr>
            <w:tcW w:w="1591" w:type="dxa"/>
          </w:tcPr>
          <w:p w14:paraId="68724C6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3E9A738"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Z toho: aktiva v podobě softwaru zaúčtovaná jako nehmotná aktiva</w:t>
            </w:r>
          </w:p>
          <w:p w14:paraId="35C0D1BB"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Objem rizikově vážených expozic týkající se části aktiv v podobě softwaru zaúčtovaných jako nehmotná aktiva, který není odečten od položek kmenového kapitálu tier 1 podle čl. 36 odst. 1 písm. b) </w:t>
            </w:r>
            <w:r>
              <w:t>nařízení (EU) č. 575/2013</w:t>
            </w:r>
            <w:r>
              <w:rPr>
                <w:rStyle w:val="FormatvorlageInstructionsTabelleText"/>
                <w:rFonts w:ascii="Times New Roman" w:hAnsi="Times New Roman"/>
                <w:sz w:val="24"/>
              </w:rPr>
              <w:t xml:space="preserve">, nýbrž se mu přidělí riziková váha v souladu s čl. 113 odst. 5 </w:t>
            </w:r>
            <w:r>
              <w:t>uvedeného nařízení</w:t>
            </w:r>
            <w:r>
              <w:rPr>
                <w:rStyle w:val="FormatvorlageInstructionsTabelleText"/>
                <w:rFonts w:ascii="Times New Roman" w:hAnsi="Times New Roman"/>
                <w:sz w:val="24"/>
              </w:rPr>
              <w:t>.</w:t>
            </w:r>
          </w:p>
        </w:tc>
      </w:tr>
      <w:tr w:rsidR="007266CF" w:rsidRPr="002A677E" w14:paraId="2B5D4493" w14:textId="77777777" w:rsidTr="007266CF">
        <w:tc>
          <w:tcPr>
            <w:tcW w:w="1591" w:type="dxa"/>
          </w:tcPr>
          <w:p w14:paraId="076CDE0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274" w:type="dxa"/>
          </w:tcPr>
          <w:p w14:paraId="768D720D" w14:textId="77777777" w:rsidR="007266CF" w:rsidRPr="002A677E" w:rsidRDefault="007266CF" w:rsidP="007266C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Přístup založený na interním ratingu (IRB) </w:t>
            </w:r>
          </w:p>
        </w:tc>
      </w:tr>
      <w:tr w:rsidR="007266CF" w:rsidRPr="002A677E" w14:paraId="0077BCAC" w14:textId="77777777" w:rsidTr="007266CF">
        <w:tc>
          <w:tcPr>
            <w:tcW w:w="1591" w:type="dxa"/>
          </w:tcPr>
          <w:p w14:paraId="341C8BF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4631CD3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Z toho: dodatečné přísnější obezřetnostní požadavky podle článku 164 nařízení (EU) č. 575/2013</w:t>
            </w:r>
          </w:p>
          <w:p w14:paraId="7F9B361C" w14:textId="77777777" w:rsidR="007266CF" w:rsidRPr="002A677E" w:rsidRDefault="007266CF" w:rsidP="007266CF">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sdělených institucím poté, co byly oznámeny orgánu EBA, v souladu s čl. 164 odst. 5 a 7 nařízení (EU) č. 575/2013.</w:t>
            </w:r>
          </w:p>
        </w:tc>
      </w:tr>
      <w:tr w:rsidR="007266CF" w:rsidRPr="002A677E" w14:paraId="25780737" w14:textId="77777777" w:rsidTr="007266CF">
        <w:tc>
          <w:tcPr>
            <w:tcW w:w="1591" w:type="dxa"/>
          </w:tcPr>
          <w:p w14:paraId="0C8DC690"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36073F0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Z toho: dodatečné přísnější obezřetnostní požadavky podle článku 124 nařízení (EU) č. 575/2013</w:t>
            </w:r>
          </w:p>
          <w:p w14:paraId="4F08F3A6" w14:textId="77777777" w:rsidR="007266CF" w:rsidRPr="002A677E" w:rsidRDefault="007266CF" w:rsidP="007266CF">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stanovených příslušnými orgány poté, co byly konzultovány s orgánem EBA podle čl. 124 odst. 2 a 5 nařízení (EU) č. 575/2013, a které souvisí s limity způsobilé tržní hodnoty kolaterálu podle čl. 125 odst. 2 písm. d) a čl. 126 odst. 2 písm. d) uvedeného nařízení.</w:t>
            </w:r>
          </w:p>
        </w:tc>
      </w:tr>
      <w:tr w:rsidR="007266CF" w:rsidRPr="002A677E" w14:paraId="47C745CB" w14:textId="77777777" w:rsidTr="007266CF">
        <w:tc>
          <w:tcPr>
            <w:tcW w:w="1591" w:type="dxa"/>
          </w:tcPr>
          <w:p w14:paraId="08B98FA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51C84511"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Přístupy založené na interním ratingu, pokud se nepoužívají vlastní odhady LGD ani konverzní faktory</w:t>
            </w:r>
          </w:p>
          <w:p w14:paraId="0B0E89C0"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Šablona CR IRB na úrovni celkových expozic (pokud se nepoužívají vlastní odhady LGD nebo úvěrové konverzní faktory).</w:t>
            </w:r>
          </w:p>
        </w:tc>
      </w:tr>
      <w:tr w:rsidR="007266CF" w:rsidRPr="002A677E" w14:paraId="55BC6A51" w14:textId="77777777" w:rsidTr="007266CF">
        <w:tc>
          <w:tcPr>
            <w:tcW w:w="1591" w:type="dxa"/>
          </w:tcPr>
          <w:p w14:paraId="42CD5BA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5B43015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Ústřední vlády a centrální banky</w:t>
            </w:r>
          </w:p>
          <w:p w14:paraId="34986737"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6223CC" w14:paraId="73AA807B" w14:textId="77777777" w:rsidTr="007266CF">
        <w:tc>
          <w:tcPr>
            <w:tcW w:w="1591" w:type="dxa"/>
          </w:tcPr>
          <w:p w14:paraId="38478E40"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2C290B83" w14:textId="77777777" w:rsidR="007266CF" w:rsidRPr="006223CC" w:rsidRDefault="007266CF" w:rsidP="007266CF">
            <w:pPr>
              <w:pStyle w:val="InstructionsText"/>
              <w:rPr>
                <w:rStyle w:val="InstructionsTabelleberschrift"/>
                <w:rFonts w:ascii="Times New Roman" w:hAnsi="Times New Roman"/>
                <w:bCs w:val="0"/>
                <w:sz w:val="24"/>
                <w:lang w:val="fr-FR"/>
              </w:rPr>
            </w:pPr>
            <w:r w:rsidRPr="006223CC">
              <w:rPr>
                <w:rStyle w:val="InstructionsTabelleberschrift"/>
                <w:rFonts w:ascii="Times New Roman" w:hAnsi="Times New Roman"/>
                <w:sz w:val="24"/>
                <w:lang w:val="fr-FR"/>
              </w:rPr>
              <w:t>1.1.2.1.02</w:t>
            </w:r>
            <w:r w:rsidRPr="006223CC">
              <w:rPr>
                <w:lang w:val="fr-FR"/>
              </w:rPr>
              <w:tab/>
            </w:r>
            <w:r w:rsidRPr="006223CC">
              <w:rPr>
                <w:rStyle w:val="InstructionsTabelleberschrift"/>
                <w:rFonts w:ascii="Times New Roman" w:hAnsi="Times New Roman"/>
                <w:sz w:val="24"/>
                <w:lang w:val="fr-FR"/>
              </w:rPr>
              <w:t>Instituce</w:t>
            </w:r>
          </w:p>
          <w:p w14:paraId="3DAB6766" w14:textId="77777777" w:rsidR="007266CF" w:rsidRPr="006223CC" w:rsidRDefault="007266CF" w:rsidP="007266CF">
            <w:pPr>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CR IRB.</w:t>
            </w:r>
          </w:p>
        </w:tc>
      </w:tr>
      <w:tr w:rsidR="007266CF" w:rsidRPr="002A677E" w14:paraId="209BFC5E" w14:textId="77777777" w:rsidTr="007266CF">
        <w:tc>
          <w:tcPr>
            <w:tcW w:w="1591" w:type="dxa"/>
          </w:tcPr>
          <w:p w14:paraId="6F0FD30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4D1EFC52"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Podniky – malé a střední podniky</w:t>
            </w:r>
          </w:p>
          <w:p w14:paraId="38C2B4B9"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5E2A8EB1" w14:textId="77777777" w:rsidTr="007266CF">
        <w:tc>
          <w:tcPr>
            <w:tcW w:w="1591" w:type="dxa"/>
          </w:tcPr>
          <w:p w14:paraId="1B2D6FD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3928BF89"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Podniky – specializované úvěry</w:t>
            </w:r>
          </w:p>
          <w:p w14:paraId="6B48AD3B"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IRB. </w:t>
            </w:r>
          </w:p>
        </w:tc>
      </w:tr>
      <w:tr w:rsidR="007266CF" w:rsidRPr="002A677E" w14:paraId="281B9F06" w14:textId="77777777" w:rsidTr="007266CF">
        <w:tc>
          <w:tcPr>
            <w:tcW w:w="1591" w:type="dxa"/>
          </w:tcPr>
          <w:p w14:paraId="21B109A0"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1FCAF321"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Podniky – ostatní</w:t>
            </w:r>
          </w:p>
          <w:p w14:paraId="47DDEEB6"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4B551A71" w14:textId="77777777" w:rsidTr="007266CF">
        <w:tc>
          <w:tcPr>
            <w:tcW w:w="1591" w:type="dxa"/>
          </w:tcPr>
          <w:p w14:paraId="46B07A0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B463801"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Přístupy IRB, při nichž se používají vlastní odhady LGD a/nebo konverzní faktory</w:t>
            </w:r>
          </w:p>
          <w:p w14:paraId="4FDF79EB"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Šablona CR IRB na úrovni celkových expozic (pokud se používají vlastní odhady LGD a/nebo úvěrové konverzní faktory).</w:t>
            </w:r>
          </w:p>
        </w:tc>
      </w:tr>
      <w:tr w:rsidR="007266CF" w:rsidRPr="002A677E" w14:paraId="45A1406A" w14:textId="77777777" w:rsidTr="007266CF">
        <w:tc>
          <w:tcPr>
            <w:tcW w:w="1591" w:type="dxa"/>
          </w:tcPr>
          <w:p w14:paraId="1AE43460"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3FB9F9C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Ústřední vlády a centrální banky</w:t>
            </w:r>
          </w:p>
          <w:p w14:paraId="5CAF2166"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6223CC" w14:paraId="708199CC" w14:textId="77777777" w:rsidTr="007266CF">
        <w:tc>
          <w:tcPr>
            <w:tcW w:w="1591" w:type="dxa"/>
          </w:tcPr>
          <w:p w14:paraId="5630EDB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274" w:type="dxa"/>
          </w:tcPr>
          <w:p w14:paraId="2E1D2D39" w14:textId="77777777" w:rsidR="007266CF" w:rsidRPr="006223CC" w:rsidRDefault="007266CF" w:rsidP="007266CF">
            <w:pPr>
              <w:pStyle w:val="InstructionsText"/>
              <w:rPr>
                <w:rStyle w:val="InstructionsTabelleberschrift"/>
                <w:rFonts w:ascii="Times New Roman" w:hAnsi="Times New Roman"/>
                <w:bCs w:val="0"/>
                <w:sz w:val="24"/>
                <w:lang w:val="fr-FR"/>
              </w:rPr>
            </w:pPr>
            <w:r w:rsidRPr="006223CC">
              <w:rPr>
                <w:rStyle w:val="InstructionsTabelleberschrift"/>
                <w:rFonts w:ascii="Times New Roman" w:hAnsi="Times New Roman"/>
                <w:sz w:val="24"/>
                <w:lang w:val="fr-FR"/>
              </w:rPr>
              <w:t>1.1.2.2.02</w:t>
            </w:r>
            <w:r w:rsidRPr="006223CC">
              <w:rPr>
                <w:lang w:val="fr-FR"/>
              </w:rPr>
              <w:tab/>
            </w:r>
            <w:r w:rsidRPr="006223CC">
              <w:rPr>
                <w:rStyle w:val="InstructionsTabelleberschrift"/>
                <w:rFonts w:ascii="Times New Roman" w:hAnsi="Times New Roman"/>
                <w:sz w:val="24"/>
                <w:lang w:val="fr-FR"/>
              </w:rPr>
              <w:t>Instituce</w:t>
            </w:r>
          </w:p>
          <w:p w14:paraId="305CBB13" w14:textId="77777777" w:rsidR="007266CF" w:rsidRPr="006223CC" w:rsidRDefault="007266CF" w:rsidP="007266CF">
            <w:pPr>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 xml:space="preserve">Viz šablona CR IRB. </w:t>
            </w:r>
          </w:p>
        </w:tc>
      </w:tr>
      <w:tr w:rsidR="007266CF" w:rsidRPr="002A677E" w14:paraId="4A639FB3" w14:textId="77777777" w:rsidTr="007266CF">
        <w:tc>
          <w:tcPr>
            <w:tcW w:w="1591" w:type="dxa"/>
          </w:tcPr>
          <w:p w14:paraId="36F6156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199FF8A5"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Podniky – malé a střední podniky</w:t>
            </w:r>
          </w:p>
          <w:p w14:paraId="29129ED2"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36A3864B" w14:textId="77777777" w:rsidTr="007266CF">
        <w:tc>
          <w:tcPr>
            <w:tcW w:w="1591" w:type="dxa"/>
          </w:tcPr>
          <w:p w14:paraId="6AF285D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7504A36D"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Podniky – specializované úvěry</w:t>
            </w:r>
          </w:p>
          <w:p w14:paraId="4DFE7A38"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2550E15D" w14:textId="77777777" w:rsidTr="007266CF">
        <w:tc>
          <w:tcPr>
            <w:tcW w:w="1591" w:type="dxa"/>
          </w:tcPr>
          <w:p w14:paraId="3A63BDD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F75DB36"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Podniky – ostatní</w:t>
            </w:r>
          </w:p>
          <w:p w14:paraId="076769C2"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0E009CAC" w14:textId="77777777" w:rsidTr="007266CF">
        <w:tc>
          <w:tcPr>
            <w:tcW w:w="1591" w:type="dxa"/>
          </w:tcPr>
          <w:p w14:paraId="2AE274D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4CAA3872"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Retailová oblast – malé a střední podniky se zajištěním nemovitostmi</w:t>
            </w:r>
          </w:p>
          <w:p w14:paraId="3944586A"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388D81C2" w14:textId="77777777" w:rsidTr="007266CF">
        <w:tc>
          <w:tcPr>
            <w:tcW w:w="1591" w:type="dxa"/>
          </w:tcPr>
          <w:p w14:paraId="488734DF"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0604264F"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Retailová oblast – podniky se zajištěním nemovitostmi jiné než malé a střední</w:t>
            </w:r>
          </w:p>
          <w:p w14:paraId="683E4943"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3BECA049" w14:textId="77777777" w:rsidTr="007266CF">
        <w:tc>
          <w:tcPr>
            <w:tcW w:w="1591" w:type="dxa"/>
          </w:tcPr>
          <w:p w14:paraId="27B7B0F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4D0CC421"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Retailová oblast – kvalifikované revolvingové expozice</w:t>
            </w:r>
          </w:p>
          <w:p w14:paraId="7DCCFC01"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2D0F37FD" w14:textId="77777777" w:rsidTr="007266CF">
        <w:tc>
          <w:tcPr>
            <w:tcW w:w="1591" w:type="dxa"/>
          </w:tcPr>
          <w:p w14:paraId="7FCDD5F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1696C046"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Retailová oblast – ostatní malé a střední podniky</w:t>
            </w:r>
          </w:p>
          <w:p w14:paraId="305AF900"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1B4B95AF" w14:textId="77777777" w:rsidTr="007266CF">
        <w:tc>
          <w:tcPr>
            <w:tcW w:w="1591" w:type="dxa"/>
          </w:tcPr>
          <w:p w14:paraId="3BE3A73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7930608"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Retailová oblast – ostatní podniky jiné než malé a střední</w:t>
            </w:r>
          </w:p>
          <w:p w14:paraId="4E5B2FF4"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266CF" w:rsidRPr="002A677E" w14:paraId="1A41F94E" w14:textId="77777777" w:rsidTr="007266CF">
        <w:tc>
          <w:tcPr>
            <w:tcW w:w="1591" w:type="dxa"/>
          </w:tcPr>
          <w:p w14:paraId="3DBA1F95"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285A7C22"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Vlastní kapitál podle IRB</w:t>
            </w:r>
          </w:p>
          <w:p w14:paraId="3258F87F"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EQU IRB.</w:t>
            </w:r>
          </w:p>
        </w:tc>
      </w:tr>
      <w:tr w:rsidR="007266CF" w:rsidRPr="002A677E" w14:paraId="0C5D677B" w14:textId="77777777" w:rsidTr="007266CF">
        <w:tc>
          <w:tcPr>
            <w:tcW w:w="1591" w:type="dxa"/>
          </w:tcPr>
          <w:p w14:paraId="7005DEA7"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2C3BAB26"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Ostatní aktiva nemající povahu úvěrového závazku</w:t>
            </w:r>
          </w:p>
          <w:p w14:paraId="08219BA9"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je objemem rizikově vážených expozic, který se vypočítává v souladu s článkem 156 </w:t>
            </w:r>
            <w:r>
              <w:rPr>
                <w:rFonts w:ascii="Times New Roman" w:hAnsi="Times New Roman"/>
                <w:sz w:val="24"/>
              </w:rPr>
              <w:t>nařízení (EU) č. 575/2013</w:t>
            </w:r>
            <w:r>
              <w:rPr>
                <w:rStyle w:val="FormatvorlageInstructionsTabelleText"/>
                <w:rFonts w:ascii="Times New Roman" w:hAnsi="Times New Roman"/>
                <w:sz w:val="24"/>
              </w:rPr>
              <w:t xml:space="preserve">. </w:t>
            </w:r>
          </w:p>
        </w:tc>
      </w:tr>
      <w:tr w:rsidR="007266CF" w:rsidRPr="002A677E" w14:paraId="6F19D678" w14:textId="77777777" w:rsidTr="007266CF">
        <w:tc>
          <w:tcPr>
            <w:tcW w:w="1591" w:type="dxa"/>
          </w:tcPr>
          <w:p w14:paraId="76579F4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1A86D046"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Z toho aktiva v podobě softwaru zaúčtovaná jako nehmotná aktiva</w:t>
            </w:r>
          </w:p>
          <w:p w14:paraId="40F0C09B"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Objem rizikově vážených expozic týkající se části aktiv v podobě softwaru zaúčtovaných jako nehmotná aktiva, který není odečten od položek kmenového kapitálu tier 1 podle čl. 36 odst. 1 písm. b) </w:t>
            </w:r>
            <w:r>
              <w:t>nařízení (EU) č. 575/2013</w:t>
            </w:r>
            <w:r>
              <w:rPr>
                <w:rStyle w:val="FormatvorlageInstructionsTabelleText"/>
                <w:rFonts w:ascii="Times New Roman" w:hAnsi="Times New Roman"/>
                <w:sz w:val="24"/>
              </w:rPr>
              <w:t xml:space="preserve">, nýbrž se mu přidělí riziková váha v souladu s článkem 156 </w:t>
            </w:r>
            <w:r>
              <w:t>uvedeného nařízení</w:t>
            </w:r>
            <w:r>
              <w:rPr>
                <w:rStyle w:val="FormatvorlageInstructionsTabelleText"/>
                <w:rFonts w:ascii="Times New Roman" w:hAnsi="Times New Roman"/>
                <w:sz w:val="24"/>
              </w:rPr>
              <w:t>.</w:t>
            </w:r>
          </w:p>
        </w:tc>
      </w:tr>
      <w:tr w:rsidR="007266CF" w:rsidRPr="006223CC" w14:paraId="1C464A0E" w14:textId="77777777" w:rsidTr="007266CF">
        <w:tc>
          <w:tcPr>
            <w:tcW w:w="1591" w:type="dxa"/>
          </w:tcPr>
          <w:p w14:paraId="4D45A37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039CFF66"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Objem rizikových expozic u příspěvků do fondu pro riziko selhání ústřední protistrany</w:t>
            </w:r>
          </w:p>
          <w:p w14:paraId="38FEA680" w14:textId="77777777" w:rsidR="007266CF" w:rsidRPr="006223CC" w:rsidRDefault="007266CF" w:rsidP="007266CF">
            <w:pPr>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Články 307, 308 a 309 nařízení (EU) č. 575/2013</w:t>
            </w:r>
          </w:p>
        </w:tc>
      </w:tr>
      <w:tr w:rsidR="007266CF" w:rsidRPr="006223CC" w14:paraId="61D3D435" w14:textId="77777777" w:rsidTr="007266CF">
        <w:tc>
          <w:tcPr>
            <w:tcW w:w="1591" w:type="dxa"/>
          </w:tcPr>
          <w:p w14:paraId="4F93AE7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F99BC1C"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1.1.4 Sekuritizované pozice</w:t>
            </w:r>
          </w:p>
          <w:p w14:paraId="77D2820B"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FormatvorlageInstructionsTabelleText"/>
                <w:rFonts w:ascii="Times New Roman" w:hAnsi="Times New Roman"/>
                <w:sz w:val="24"/>
                <w:lang w:val="fr-FR"/>
              </w:rPr>
              <w:lastRenderedPageBreak/>
              <w:t>Viz šablona CR SEC</w:t>
            </w:r>
          </w:p>
        </w:tc>
      </w:tr>
      <w:tr w:rsidR="007266CF" w:rsidRPr="002A677E" w14:paraId="04289281" w14:textId="77777777" w:rsidTr="007266CF">
        <w:tc>
          <w:tcPr>
            <w:tcW w:w="1591" w:type="dxa"/>
          </w:tcPr>
          <w:p w14:paraId="1680EAF8"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274" w:type="dxa"/>
          </w:tcPr>
          <w:p w14:paraId="6AC2ED47" w14:textId="77777777" w:rsidR="007266CF" w:rsidRPr="002A677E" w:rsidRDefault="007266CF" w:rsidP="007266CF">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CELKOVÝ OBJEM RIZIKOVÉ EXPOZICE TÝKAJÍCÍ SE VYPOŘÁDÁNÍ/DODÁNÍ</w:t>
            </w:r>
          </w:p>
          <w:p w14:paraId="5315BE0B"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Ustanovení čl. 92 odst. 3 písm. c) bodu ii) a čl. 92 odst. 4 písm. b) nařízení (EU) č. 575/2013</w:t>
            </w:r>
          </w:p>
        </w:tc>
      </w:tr>
      <w:tr w:rsidR="007266CF" w:rsidRPr="002A677E" w14:paraId="6930D9C4" w14:textId="77777777" w:rsidTr="007266CF">
        <w:tc>
          <w:tcPr>
            <w:tcW w:w="1591" w:type="dxa"/>
          </w:tcPr>
          <w:p w14:paraId="2388FE8F"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599A876B"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Vypořádací riziko/riziko dodání v investičním portfoliu</w:t>
            </w:r>
          </w:p>
          <w:p w14:paraId="1849FB0D"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SETT.</w:t>
            </w:r>
          </w:p>
        </w:tc>
      </w:tr>
      <w:tr w:rsidR="007266CF" w:rsidRPr="002A677E" w14:paraId="432D33D8" w14:textId="77777777" w:rsidTr="007266CF">
        <w:tc>
          <w:tcPr>
            <w:tcW w:w="1591" w:type="dxa"/>
          </w:tcPr>
          <w:p w14:paraId="121F2F50"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5166D43F"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Vypořádací riziko/riziko dodání v obchodním portfoliu</w:t>
            </w:r>
          </w:p>
          <w:p w14:paraId="70E959F6"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CR SETT.</w:t>
            </w:r>
          </w:p>
        </w:tc>
      </w:tr>
      <w:tr w:rsidR="007266CF" w:rsidRPr="002A677E" w14:paraId="6381A32A" w14:textId="77777777" w:rsidTr="007266CF">
        <w:tc>
          <w:tcPr>
            <w:tcW w:w="1591" w:type="dxa"/>
          </w:tcPr>
          <w:p w14:paraId="382ABA8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5A4213A6"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CELKOVÝ OBJEM RIZIKOVÉ EXPOZICE PRO POZIČNÍ, MĚNOVÉ A KOMODITNÍ RIZIKO </w:t>
            </w:r>
          </w:p>
          <w:p w14:paraId="33F89BE6"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Ustanovení čl. 92 odst. 3 písm. b) bodu i), písm. c) bodů i) a iii) a odst. 4 písm. b) </w:t>
            </w:r>
            <w:r>
              <w:t>nařízení (EU) č. 575/2013</w:t>
            </w:r>
          </w:p>
        </w:tc>
      </w:tr>
      <w:tr w:rsidR="007266CF" w:rsidRPr="002A677E" w14:paraId="764ADD39" w14:textId="77777777" w:rsidTr="007266CF">
        <w:tc>
          <w:tcPr>
            <w:tcW w:w="1591" w:type="dxa"/>
          </w:tcPr>
          <w:p w14:paraId="7F5D6F9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E8E5B21"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Objem rizikové expozice pro poziční, měnové a komoditní riziko podle standardizovaných přístupů (SA)</w:t>
            </w:r>
          </w:p>
        </w:tc>
      </w:tr>
      <w:tr w:rsidR="007266CF" w:rsidRPr="002A677E" w14:paraId="26A4015E" w14:textId="77777777" w:rsidTr="007266CF">
        <w:tc>
          <w:tcPr>
            <w:tcW w:w="1591" w:type="dxa"/>
          </w:tcPr>
          <w:p w14:paraId="3115C48D"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B221DFB"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Obchodované dluhové nástroje (TDI)</w:t>
            </w:r>
          </w:p>
          <w:p w14:paraId="56E4E7F8"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Šablona MKR SA TDI na úrovni celého souboru měn.</w:t>
            </w:r>
          </w:p>
        </w:tc>
      </w:tr>
      <w:tr w:rsidR="007266CF" w:rsidRPr="002A677E" w14:paraId="3D3E5D77" w14:textId="77777777" w:rsidTr="007266CF">
        <w:tc>
          <w:tcPr>
            <w:tcW w:w="1591" w:type="dxa"/>
          </w:tcPr>
          <w:p w14:paraId="7CD538A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1AEC5AA2"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Akcie a ostatní účasti</w:t>
            </w:r>
          </w:p>
          <w:p w14:paraId="785DB038"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Šablona MKR SA EQU na úrovni všech vnitrostátních trhů. </w:t>
            </w:r>
          </w:p>
        </w:tc>
      </w:tr>
      <w:tr w:rsidR="007266CF" w:rsidRPr="002A677E" w14:paraId="2897330D" w14:textId="77777777" w:rsidTr="007266CF">
        <w:tc>
          <w:tcPr>
            <w:tcW w:w="1591" w:type="dxa"/>
          </w:tcPr>
          <w:p w14:paraId="1C94614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3654388"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Zvláštní přístup pro poziční riziko u subjektů kolektivního investování</w:t>
            </w:r>
          </w:p>
          <w:p w14:paraId="5EDC5E3E"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Ustanovení čl. 348 odst. 1, čl. 350 odst. 3 písm. c) a čl. 364 odst. 2 písm. a) nařízení (EU) č. 575/2013</w:t>
            </w:r>
          </w:p>
          <w:p w14:paraId="47186650" w14:textId="77777777" w:rsidR="007266CF" w:rsidRPr="002A677E"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Celkový objem rizikové expozice u pozic v subjektech kolektivního investování, pokud se kapitálové požadavky vypočtou podle čl. 348 odst. 1 </w:t>
            </w:r>
            <w:r>
              <w:rPr>
                <w:rFonts w:ascii="Times New Roman" w:hAnsi="Times New Roman"/>
                <w:sz w:val="24"/>
              </w:rPr>
              <w:t>nařízení (EU) č. 575/2013</w:t>
            </w:r>
            <w:r>
              <w:t xml:space="preserve"> </w:t>
            </w:r>
            <w:r>
              <w:rPr>
                <w:rStyle w:val="FormatvorlageInstructionsTabelleText"/>
                <w:rFonts w:ascii="Times New Roman" w:hAnsi="Times New Roman"/>
                <w:sz w:val="24"/>
              </w:rPr>
              <w:t>buďto ihned, nebo v důsledku stropu stanoveného v čl. 350 odst. 3 písm. c) uvedeného nařízení.</w:t>
            </w:r>
            <w:r>
              <w:rPr>
                <w:rFonts w:ascii="Times New Roman" w:hAnsi="Times New Roman"/>
                <w:sz w:val="24"/>
              </w:rPr>
              <w:t xml:space="preserve"> V nařízení (EU) č. 575/2013 </w:t>
            </w:r>
            <w:r>
              <w:rPr>
                <w:rStyle w:val="FormatvorlageInstructionsTabelleText"/>
                <w:rFonts w:ascii="Times New Roman" w:hAnsi="Times New Roman"/>
                <w:sz w:val="24"/>
              </w:rPr>
              <w:t>není výslovně stanoveno zařazení těchto pozic k úrokovému riziku, nebo akciovému riziku.</w:t>
            </w:r>
          </w:p>
          <w:p w14:paraId="0E19D339" w14:textId="77777777" w:rsidR="007266CF" w:rsidRPr="002A677E"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Uplatňuje-li se zvláštní přístup podle první věty čl. 348 odst. 1 </w:t>
            </w:r>
            <w:r>
              <w:rPr>
                <w:rFonts w:ascii="Times New Roman" w:hAnsi="Times New Roman"/>
                <w:sz w:val="24"/>
              </w:rPr>
              <w:t>nařízení (EU) č. 575/2013</w:t>
            </w:r>
            <w:r>
              <w:rPr>
                <w:rStyle w:val="FormatvorlageInstructionsTabelleText"/>
                <w:rFonts w:ascii="Times New Roman" w:hAnsi="Times New Roman"/>
                <w:sz w:val="24"/>
              </w:rPr>
              <w:t xml:space="preserve">, vykazuje se částka ve výši 32 % čisté pozice dotčené expozice subjektů kolektivního investování vynásobené 12,5. </w:t>
            </w:r>
          </w:p>
          <w:p w14:paraId="0FC8E21D" w14:textId="77777777" w:rsidR="007266CF" w:rsidRPr="002A677E" w:rsidRDefault="007266CF" w:rsidP="007266CF">
            <w:pPr>
              <w:rPr>
                <w:rStyle w:val="InstructionsTabelleberschrift"/>
                <w:rFonts w:ascii="Times New Roman" w:hAnsi="Times New Roman"/>
                <w:sz w:val="24"/>
              </w:rPr>
            </w:pPr>
            <w:r>
              <w:rPr>
                <w:rStyle w:val="FormatvorlageInstructionsTabelleText"/>
                <w:rFonts w:ascii="Times New Roman" w:hAnsi="Times New Roman"/>
                <w:sz w:val="24"/>
              </w:rPr>
              <w:t xml:space="preserve">Uplatňuje-li se zvláštní přístup podle druhé věty čl. 348 odst. 1 </w:t>
            </w:r>
            <w:r>
              <w:rPr>
                <w:rFonts w:ascii="Times New Roman" w:hAnsi="Times New Roman"/>
                <w:sz w:val="24"/>
              </w:rPr>
              <w:t xml:space="preserve">nařízení (EU) č. 575/2013 </w:t>
            </w:r>
            <w:r>
              <w:rPr>
                <w:rStyle w:val="FormatvorlageInstructionsTabelleText"/>
                <w:rFonts w:ascii="Times New Roman" w:hAnsi="Times New Roman"/>
                <w:sz w:val="24"/>
              </w:rPr>
              <w:t>, vykazuje se nižší z těchto dvou hodnot: 32 % čisté pozice příslušné expozice subjektů kolektivního investování vynásobené 12,5 a rozdíl mezi 40 % této čisté pozice a kapitálovými požadavky vyplývajícími z měnového rizika, které souvisí s expozicí subjektů kolektivního investování, vynásobený 12,5.</w:t>
            </w:r>
          </w:p>
        </w:tc>
      </w:tr>
      <w:tr w:rsidR="007266CF" w:rsidRPr="002A677E" w14:paraId="1F37EE5B" w14:textId="77777777" w:rsidTr="007266CF">
        <w:tc>
          <w:tcPr>
            <w:tcW w:w="1591" w:type="dxa"/>
          </w:tcPr>
          <w:p w14:paraId="4B8E3C42"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AAA953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Doplňková položka: Subjekty kolektivního investování, které investovaly výhradně do obchodovaných dluhových nástrojů</w:t>
            </w:r>
          </w:p>
          <w:p w14:paraId="6D2AD4F0" w14:textId="77777777" w:rsidR="007266CF" w:rsidRPr="001235ED" w:rsidRDefault="007266CF" w:rsidP="007266CF">
            <w:pPr>
              <w:rPr>
                <w:rStyle w:val="InstructionsTabelleberschrift"/>
                <w:rFonts w:ascii="Times New Roman" w:hAnsi="Times New Roman"/>
                <w:sz w:val="24"/>
              </w:rPr>
            </w:pPr>
            <w:r>
              <w:rPr>
                <w:rStyle w:val="FormatvorlageInstructionsTabelleText"/>
                <w:rFonts w:ascii="Times New Roman" w:hAnsi="Times New Roman"/>
                <w:sz w:val="24"/>
              </w:rPr>
              <w:lastRenderedPageBreak/>
              <w:t>Celkový objem rizikové expozice pro pozice v subjektech kolektivního investování, jestliže subjekt kolektivního investování investoval výhradně do nástrojů podléhajících úrokovému riziku.</w:t>
            </w:r>
          </w:p>
        </w:tc>
      </w:tr>
      <w:tr w:rsidR="007266CF" w:rsidRPr="002A677E" w14:paraId="23A7B557" w14:textId="77777777" w:rsidTr="007266CF">
        <w:tc>
          <w:tcPr>
            <w:tcW w:w="1591" w:type="dxa"/>
          </w:tcPr>
          <w:p w14:paraId="3FBFD39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3D24A94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Subjekty kolektivního investování, které investovaly výhradně do nástrojů vlastního kapitálu nebo smíšených nástrojů</w:t>
            </w:r>
          </w:p>
          <w:p w14:paraId="427F2B2A" w14:textId="77777777" w:rsidR="007266CF" w:rsidRPr="001235ED" w:rsidRDefault="007266CF" w:rsidP="007266CF">
            <w:pPr>
              <w:rPr>
                <w:rStyle w:val="InstructionsTabelleberschrift"/>
                <w:rFonts w:ascii="Times New Roman" w:hAnsi="Times New Roman"/>
                <w:sz w:val="24"/>
              </w:rPr>
            </w:pPr>
            <w:r>
              <w:rPr>
                <w:rStyle w:val="FormatvorlageInstructionsTabelleText"/>
                <w:rFonts w:ascii="Times New Roman" w:hAnsi="Times New Roman"/>
                <w:sz w:val="24"/>
              </w:rPr>
              <w:t>Celkový objem rizikové expozice pro pozice v subjektech kolektivního investování, jestliže subjekt kolektivního investování investoval výhradně do nástrojů podléhajících akciovému riziku nebo do smíšených nástrojů nebo jestliže jsou složky v subjektu kolektivního investování neznámé.</w:t>
            </w:r>
          </w:p>
        </w:tc>
      </w:tr>
      <w:tr w:rsidR="007266CF" w:rsidRPr="006223CC" w14:paraId="0A0BBA6B" w14:textId="77777777" w:rsidTr="007266CF">
        <w:tc>
          <w:tcPr>
            <w:tcW w:w="1591" w:type="dxa"/>
          </w:tcPr>
          <w:p w14:paraId="73E47E3A"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FCB7D0B" w14:textId="77777777" w:rsidR="007266CF" w:rsidRPr="006223CC" w:rsidRDefault="007266CF" w:rsidP="007266CF">
            <w:pPr>
              <w:pStyle w:val="InstructionsText"/>
              <w:rPr>
                <w:rStyle w:val="InstructionsTabelleberschrift"/>
                <w:rFonts w:ascii="Times New Roman" w:hAnsi="Times New Roman"/>
                <w:bCs w:val="0"/>
                <w:sz w:val="24"/>
                <w:lang w:val="fr-FR"/>
              </w:rPr>
            </w:pPr>
            <w:r w:rsidRPr="006223CC">
              <w:rPr>
                <w:rStyle w:val="InstructionsTabelleberschrift"/>
                <w:rFonts w:ascii="Times New Roman" w:hAnsi="Times New Roman"/>
                <w:sz w:val="24"/>
                <w:lang w:val="fr-FR"/>
              </w:rPr>
              <w:t>1.3.1.4</w:t>
            </w:r>
            <w:r w:rsidRPr="006223CC">
              <w:rPr>
                <w:lang w:val="fr-FR"/>
              </w:rPr>
              <w:tab/>
            </w:r>
            <w:r w:rsidRPr="006223CC">
              <w:rPr>
                <w:rStyle w:val="InstructionsTabelleberschrift"/>
                <w:rFonts w:ascii="Times New Roman" w:hAnsi="Times New Roman"/>
                <w:sz w:val="24"/>
                <w:lang w:val="fr-FR"/>
              </w:rPr>
              <w:t>Cizí měna</w:t>
            </w:r>
          </w:p>
          <w:p w14:paraId="5C88E024" w14:textId="77777777" w:rsidR="007266CF" w:rsidRPr="006223CC" w:rsidRDefault="007266CF" w:rsidP="007266CF">
            <w:pPr>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MKR SA FX.</w:t>
            </w:r>
          </w:p>
        </w:tc>
      </w:tr>
      <w:tr w:rsidR="007266CF" w:rsidRPr="006223CC" w14:paraId="5C3659F9" w14:textId="77777777" w:rsidTr="007266CF">
        <w:tc>
          <w:tcPr>
            <w:tcW w:w="1591" w:type="dxa"/>
          </w:tcPr>
          <w:p w14:paraId="7EFB5F9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0C8EA043" w14:textId="77777777" w:rsidR="007266CF" w:rsidRPr="006223CC" w:rsidRDefault="007266CF" w:rsidP="007266CF">
            <w:pPr>
              <w:pStyle w:val="InstructionsText"/>
              <w:rPr>
                <w:rStyle w:val="InstructionsTabelleberschrift"/>
                <w:rFonts w:ascii="Times New Roman" w:hAnsi="Times New Roman"/>
                <w:bCs w:val="0"/>
                <w:sz w:val="24"/>
                <w:lang w:val="fr-FR"/>
              </w:rPr>
            </w:pPr>
            <w:r w:rsidRPr="006223CC">
              <w:rPr>
                <w:rStyle w:val="InstructionsTabelleberschrift"/>
                <w:rFonts w:ascii="Times New Roman" w:hAnsi="Times New Roman"/>
                <w:sz w:val="24"/>
                <w:lang w:val="fr-FR"/>
              </w:rPr>
              <w:t>1.3.1.5</w:t>
            </w:r>
            <w:r w:rsidRPr="006223CC">
              <w:rPr>
                <w:lang w:val="fr-FR"/>
              </w:rPr>
              <w:tab/>
            </w:r>
            <w:r w:rsidRPr="006223CC">
              <w:rPr>
                <w:rStyle w:val="InstructionsTabelleberschrift"/>
                <w:rFonts w:ascii="Times New Roman" w:hAnsi="Times New Roman"/>
                <w:sz w:val="24"/>
                <w:lang w:val="fr-FR"/>
              </w:rPr>
              <w:t>Komodity</w:t>
            </w:r>
          </w:p>
          <w:p w14:paraId="56A6E89B" w14:textId="77777777" w:rsidR="007266CF" w:rsidRPr="006223CC" w:rsidRDefault="007266CF" w:rsidP="007266CF">
            <w:pPr>
              <w:rPr>
                <w:rStyle w:val="FormatvorlageInstructionsTabelleText"/>
                <w:rFonts w:ascii="Times New Roman" w:hAnsi="Times New Roman"/>
                <w:sz w:val="24"/>
                <w:lang w:val="fr-FR"/>
              </w:rPr>
            </w:pPr>
            <w:r w:rsidRPr="006223CC">
              <w:rPr>
                <w:rStyle w:val="FormatvorlageInstructionsTabelleText"/>
                <w:rFonts w:ascii="Times New Roman" w:hAnsi="Times New Roman"/>
                <w:sz w:val="24"/>
                <w:lang w:val="fr-FR"/>
              </w:rPr>
              <w:t>Viz šablona MKR SA COM.</w:t>
            </w:r>
          </w:p>
        </w:tc>
      </w:tr>
      <w:tr w:rsidR="007266CF" w:rsidRPr="002A677E" w14:paraId="2F506E06" w14:textId="77777777" w:rsidTr="007266CF">
        <w:tc>
          <w:tcPr>
            <w:tcW w:w="1591" w:type="dxa"/>
          </w:tcPr>
          <w:p w14:paraId="2C26933A"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5EEAF5E1"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Objem rizikové expozice pro poziční, měnové a komoditní riziko podle interních modelů (IM)</w:t>
            </w:r>
          </w:p>
          <w:p w14:paraId="76E7A276"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MKR IM.</w:t>
            </w:r>
          </w:p>
        </w:tc>
      </w:tr>
      <w:tr w:rsidR="007266CF" w:rsidRPr="006223CC" w14:paraId="00DD6830" w14:textId="77777777" w:rsidTr="007266CF">
        <w:tc>
          <w:tcPr>
            <w:tcW w:w="1591" w:type="dxa"/>
          </w:tcPr>
          <w:p w14:paraId="3B99980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0E6AE339"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CELKOVÝ OBJEM RIZIKOVÉ EXPOZICE PRO OPERAČNÍ RIZIKO (OpR)</w:t>
            </w:r>
          </w:p>
          <w:p w14:paraId="359BB389"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Ustanovení čl. 92 odst. 3 písm. e) a odst. 4 písm. b) </w:t>
            </w:r>
            <w:r>
              <w:t>nařízení (EU) č. 575/2013</w:t>
            </w:r>
          </w:p>
          <w:p w14:paraId="31436098" w14:textId="77777777" w:rsidR="007266CF" w:rsidRPr="006223CC" w:rsidRDefault="007266CF" w:rsidP="007266CF">
            <w:pPr>
              <w:rPr>
                <w:rStyle w:val="FormatvorlageInstructionsTabelleText"/>
                <w:rFonts w:ascii="Times New Roman" w:hAnsi="Times New Roman"/>
                <w:sz w:val="24"/>
                <w:lang w:val="fr-FR"/>
              </w:rPr>
            </w:pPr>
            <w:r>
              <w:rPr>
                <w:rStyle w:val="FormatvorlageInstructionsTabelleText"/>
                <w:rFonts w:ascii="Times New Roman" w:hAnsi="Times New Roman"/>
                <w:sz w:val="24"/>
              </w:rPr>
              <w:t>V případě investičních podniků podle čl. 95 odst. </w:t>
            </w:r>
            <w:r w:rsidRPr="006223CC">
              <w:rPr>
                <w:rStyle w:val="FormatvorlageInstructionsTabelleText"/>
                <w:rFonts w:ascii="Times New Roman" w:hAnsi="Times New Roman"/>
                <w:sz w:val="24"/>
                <w:lang w:val="fr-FR"/>
              </w:rPr>
              <w:t xml:space="preserve">2, čl. 96 odst. 2 a článku 98 </w:t>
            </w:r>
            <w:r w:rsidRPr="006223CC">
              <w:rPr>
                <w:rFonts w:ascii="Times New Roman" w:hAnsi="Times New Roman"/>
                <w:sz w:val="24"/>
                <w:lang w:val="fr-FR"/>
              </w:rPr>
              <w:t>nařízení (EU) č. 575/2013</w:t>
            </w:r>
            <w:r w:rsidRPr="006223CC">
              <w:rPr>
                <w:rStyle w:val="FormatvorlageInstructionsTabelleText"/>
                <w:rFonts w:ascii="Times New Roman" w:hAnsi="Times New Roman"/>
                <w:sz w:val="24"/>
                <w:lang w:val="fr-FR"/>
              </w:rPr>
              <w:t xml:space="preserve"> je tato položka nulová.</w:t>
            </w:r>
          </w:p>
        </w:tc>
      </w:tr>
      <w:tr w:rsidR="007266CF" w:rsidRPr="002A677E" w14:paraId="6E9832A6" w14:textId="77777777" w:rsidTr="007266CF">
        <w:tc>
          <w:tcPr>
            <w:tcW w:w="1591" w:type="dxa"/>
          </w:tcPr>
          <w:p w14:paraId="48F2990F"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1DE6A0F4"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Operační riziko podle přístupu základního ukazatele (BIA)</w:t>
            </w:r>
          </w:p>
          <w:p w14:paraId="33B9810A"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7266CF" w:rsidRPr="002A677E" w14:paraId="285EF88E" w14:textId="77777777" w:rsidTr="007266CF">
        <w:tc>
          <w:tcPr>
            <w:tcW w:w="1591" w:type="dxa"/>
          </w:tcPr>
          <w:p w14:paraId="5FDBF83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CE8E88"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Operační riziko podle standardizovaného přístupu (TSA) / alternativního standardizovaného přístupu (ASA)</w:t>
            </w:r>
          </w:p>
          <w:p w14:paraId="533EB97E"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7266CF" w:rsidRPr="002A677E" w14:paraId="215F16FD" w14:textId="77777777" w:rsidTr="007266CF">
        <w:tc>
          <w:tcPr>
            <w:tcW w:w="1591" w:type="dxa"/>
          </w:tcPr>
          <w:p w14:paraId="5E723AFF"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5F4E398D"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podle pokročilých přístupů k měření (AMA)</w:t>
            </w:r>
          </w:p>
          <w:p w14:paraId="5702CC29"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7266CF" w:rsidRPr="002A677E" w14:paraId="0634EA13" w14:textId="77777777" w:rsidTr="007266CF">
        <w:tc>
          <w:tcPr>
            <w:tcW w:w="1591" w:type="dxa"/>
          </w:tcPr>
          <w:p w14:paraId="5801B66F"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54C0A7F3"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OBJEM DALŠÍ RIZIKOVÉ EXPOZICE NA ZÁKLADĚ FIXNÍCH REŽIJNÍCH NÁKLADŮ</w:t>
            </w:r>
          </w:p>
          <w:p w14:paraId="7DF7F721"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95 odst. 2 a čl. 96 odst. 2, článku 97 a čl. 98 odst. 1 písm. a) </w:t>
            </w:r>
            <w:r>
              <w:rPr>
                <w:rFonts w:ascii="Times New Roman" w:hAnsi="Times New Roman"/>
                <w:sz w:val="24"/>
              </w:rPr>
              <w:t>nařízení (EU) č. 575/2013</w:t>
            </w:r>
          </w:p>
          <w:p w14:paraId="2CD0B5BC" w14:textId="77777777" w:rsidR="007266CF" w:rsidRPr="002A677E"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Týká se pouze investičních podniků podle čl. 95 odst. 2, čl. 96 odst. 2 a článku 98 </w:t>
            </w:r>
            <w:r>
              <w:rPr>
                <w:rFonts w:ascii="Times New Roman" w:hAnsi="Times New Roman"/>
                <w:sz w:val="24"/>
              </w:rPr>
              <w:t>nařízení (EU) č. 575/2013</w:t>
            </w:r>
            <w:r>
              <w:rPr>
                <w:rStyle w:val="FormatvorlageInstructionsTabelleText"/>
                <w:rFonts w:ascii="Times New Roman" w:hAnsi="Times New Roman"/>
                <w:sz w:val="24"/>
              </w:rPr>
              <w:t xml:space="preserve">. Viz rovněž článek 97 </w:t>
            </w:r>
            <w:r>
              <w:rPr>
                <w:rFonts w:ascii="Times New Roman" w:hAnsi="Times New Roman"/>
                <w:sz w:val="24"/>
              </w:rPr>
              <w:t>nařízení (EU) č. 575/2013</w:t>
            </w:r>
            <w:r>
              <w:rPr>
                <w:rStyle w:val="FormatvorlageInstructionsTabelleText"/>
                <w:rFonts w:ascii="Times New Roman" w:hAnsi="Times New Roman"/>
                <w:sz w:val="24"/>
              </w:rPr>
              <w:t xml:space="preserve">. </w:t>
            </w:r>
          </w:p>
          <w:p w14:paraId="5DD8B3CE" w14:textId="77777777" w:rsidR="007266CF" w:rsidRPr="002A677E"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Investiční podniky podle článku 96 </w:t>
            </w:r>
            <w:r>
              <w:rPr>
                <w:rFonts w:ascii="Times New Roman" w:hAnsi="Times New Roman"/>
                <w:sz w:val="24"/>
              </w:rPr>
              <w:t>nařízení (EU) č. 575/2013</w:t>
            </w:r>
            <w:r>
              <w:rPr>
                <w:rStyle w:val="FormatvorlageInstructionsTabelleText"/>
                <w:rFonts w:ascii="Times New Roman" w:hAnsi="Times New Roman"/>
                <w:sz w:val="24"/>
              </w:rPr>
              <w:t xml:space="preserve"> vykazují hodnotu, na niž odkazuje článek 97, vynásobenou faktorem 12,5.</w:t>
            </w:r>
          </w:p>
          <w:p w14:paraId="5D76BCC0" w14:textId="77777777" w:rsidR="007266CF" w:rsidRPr="002A677E"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Investiční podniky podle článku 95 </w:t>
            </w:r>
            <w:r>
              <w:rPr>
                <w:rFonts w:ascii="Times New Roman" w:hAnsi="Times New Roman"/>
                <w:sz w:val="24"/>
              </w:rPr>
              <w:t>nařízení (EU) č. 575/2013</w:t>
            </w:r>
            <w:r>
              <w:rPr>
                <w:rStyle w:val="FormatvorlageInstructionsTabelleText"/>
                <w:rFonts w:ascii="Times New Roman" w:hAnsi="Times New Roman"/>
                <w:sz w:val="24"/>
              </w:rPr>
              <w:t xml:space="preserve"> vykazují takto:</w:t>
            </w:r>
          </w:p>
          <w:p w14:paraId="2F34069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tab/>
            </w:r>
            <w:r>
              <w:rPr>
                <w:rStyle w:val="FormatvorlageInstructionsTabelleText"/>
                <w:rFonts w:ascii="Times New Roman" w:hAnsi="Times New Roman"/>
                <w:sz w:val="24"/>
              </w:rPr>
              <w:t xml:space="preserve">Pokud </w:t>
            </w:r>
            <w:r>
              <w:t>částka</w:t>
            </w:r>
            <w:r>
              <w:rPr>
                <w:rStyle w:val="FormatvorlageInstructionsTabelleText"/>
                <w:rFonts w:ascii="Times New Roman" w:hAnsi="Times New Roman"/>
                <w:sz w:val="24"/>
              </w:rPr>
              <w:t xml:space="preserve"> podle čl. 95 odst. 2 písm. a) </w:t>
            </w:r>
            <w:r>
              <w:t xml:space="preserve">nařízení (EU) č. 575/2013 </w:t>
            </w:r>
            <w:r>
              <w:rPr>
                <w:rStyle w:val="FormatvorlageInstructionsTabelleText"/>
                <w:rFonts w:ascii="Times New Roman" w:hAnsi="Times New Roman"/>
                <w:sz w:val="24"/>
              </w:rPr>
              <w:t xml:space="preserve">převyšuje částku podle čl. 95 odst. 2 písm. b) </w:t>
            </w:r>
            <w:r>
              <w:t>uvedeného nařízení</w:t>
            </w:r>
            <w:r>
              <w:rPr>
                <w:rStyle w:val="FormatvorlageInstructionsTabelleText"/>
                <w:rFonts w:ascii="Times New Roman" w:hAnsi="Times New Roman"/>
                <w:sz w:val="24"/>
              </w:rPr>
              <w:t>, vykáže se nulová hodnota.</w:t>
            </w:r>
          </w:p>
          <w:p w14:paraId="79ECA2F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Pokud </w:t>
            </w:r>
            <w:r>
              <w:t>částka</w:t>
            </w:r>
            <w:r>
              <w:rPr>
                <w:rStyle w:val="FormatvorlageInstructionsTabelleText"/>
                <w:rFonts w:ascii="Times New Roman" w:hAnsi="Times New Roman"/>
                <w:sz w:val="24"/>
              </w:rPr>
              <w:t xml:space="preserve"> podle čl. 95 odst. 2 písm. b) </w:t>
            </w:r>
            <w:r>
              <w:t xml:space="preserve">nařízení (EU) č. 575/2013 </w:t>
            </w:r>
            <w:r>
              <w:rPr>
                <w:rStyle w:val="FormatvorlageInstructionsTabelleText"/>
                <w:rFonts w:ascii="Times New Roman" w:hAnsi="Times New Roman"/>
                <w:sz w:val="24"/>
              </w:rPr>
              <w:t xml:space="preserve">převyšuje částku podle čl. 95 odst. 2 písm. a) </w:t>
            </w:r>
            <w:r>
              <w:t>uvedeného nařízení</w:t>
            </w:r>
            <w:r>
              <w:rPr>
                <w:rStyle w:val="FormatvorlageInstructionsTabelleText"/>
                <w:rFonts w:ascii="Times New Roman" w:hAnsi="Times New Roman"/>
                <w:sz w:val="24"/>
              </w:rPr>
              <w:t xml:space="preserve">, vykáže se částka, která je výsledkem odečtení této nižší částky od vyšší. </w:t>
            </w:r>
          </w:p>
        </w:tc>
      </w:tr>
      <w:tr w:rsidR="007266CF" w:rsidRPr="002A677E" w14:paraId="4E121D7A" w14:textId="77777777" w:rsidTr="007266CF">
        <w:tc>
          <w:tcPr>
            <w:tcW w:w="1591" w:type="dxa"/>
          </w:tcPr>
          <w:p w14:paraId="3704969F"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461322AF"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CELKOVÝ OBJEM RIZIKOVÉ EXPOZICE PRO ÚVĚROVOU ÚPRAVU V OCENĚNÍ</w:t>
            </w:r>
          </w:p>
          <w:p w14:paraId="67267401"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92 odst. 3 písm. d) </w:t>
            </w:r>
            <w:r>
              <w:t>nařízení (EU) č. 575/2013</w:t>
            </w:r>
          </w:p>
          <w:p w14:paraId="493D41CC"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Viz šablona CVA.</w:t>
            </w:r>
            <w:r>
              <w:rPr>
                <w:rStyle w:val="FormatvorlageInstructionsTabelleText"/>
                <w:rFonts w:ascii="Times New Roman" w:hAnsi="Times New Roman"/>
                <w:sz w:val="24"/>
              </w:rPr>
              <w:t xml:space="preserve"> </w:t>
            </w:r>
          </w:p>
        </w:tc>
      </w:tr>
      <w:tr w:rsidR="007266CF" w:rsidRPr="002A677E" w14:paraId="283E4E56" w14:textId="77777777" w:rsidTr="007266CF">
        <w:tc>
          <w:tcPr>
            <w:tcW w:w="1591" w:type="dxa"/>
          </w:tcPr>
          <w:p w14:paraId="2801C08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664350B5"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Pokročilá metoda</w:t>
            </w:r>
          </w:p>
          <w:p w14:paraId="3F7C17E8"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požadavky k riziku úvěrové úpravy v ocenění podle článku 383 </w:t>
            </w:r>
            <w:r>
              <w:rPr>
                <w:rFonts w:ascii="Times New Roman" w:hAnsi="Times New Roman"/>
                <w:sz w:val="24"/>
              </w:rPr>
              <w:t>nařízení (EU) č. 575/2013</w:t>
            </w:r>
            <w:r>
              <w:rPr>
                <w:rStyle w:val="FormatvorlageInstructionsTabelleText"/>
                <w:rFonts w:ascii="Times New Roman" w:hAnsi="Times New Roman"/>
                <w:sz w:val="24"/>
              </w:rPr>
              <w:t>.</w:t>
            </w:r>
          </w:p>
          <w:p w14:paraId="16ADE531" w14:textId="77777777" w:rsidR="007266CF" w:rsidRPr="002A677E"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CVA.</w:t>
            </w:r>
          </w:p>
        </w:tc>
      </w:tr>
      <w:tr w:rsidR="007266CF" w:rsidRPr="002A677E" w14:paraId="5751B6F8" w14:textId="77777777" w:rsidTr="007266CF">
        <w:tc>
          <w:tcPr>
            <w:tcW w:w="1591" w:type="dxa"/>
          </w:tcPr>
          <w:p w14:paraId="7950024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0D74FB46"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Standardizovaná metoda</w:t>
            </w:r>
          </w:p>
          <w:p w14:paraId="5BD86201" w14:textId="77777777" w:rsidR="007266CF" w:rsidRPr="001235ED"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požadavky k riziku úvěrové úpravy v ocenění podle článku 384 </w:t>
            </w:r>
            <w:r>
              <w:rPr>
                <w:rFonts w:ascii="Times New Roman" w:hAnsi="Times New Roman"/>
                <w:sz w:val="24"/>
              </w:rPr>
              <w:t>nařízení (EU) č. 575/2013</w:t>
            </w:r>
            <w:r>
              <w:rPr>
                <w:rStyle w:val="FormatvorlageInstructionsTabelleText"/>
                <w:rFonts w:ascii="Times New Roman" w:hAnsi="Times New Roman"/>
                <w:sz w:val="24"/>
              </w:rPr>
              <w:t xml:space="preserve">. </w:t>
            </w:r>
          </w:p>
          <w:p w14:paraId="17349556" w14:textId="77777777" w:rsidR="007266CF" w:rsidRPr="002A677E"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Viz šablona CVA.</w:t>
            </w:r>
          </w:p>
        </w:tc>
      </w:tr>
      <w:tr w:rsidR="007266CF" w:rsidRPr="002A677E" w14:paraId="6845F72C" w14:textId="77777777" w:rsidTr="007266CF">
        <w:tc>
          <w:tcPr>
            <w:tcW w:w="1591" w:type="dxa"/>
          </w:tcPr>
          <w:p w14:paraId="74E520CE"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15288170"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Na základě metody původní expozice</w:t>
            </w:r>
          </w:p>
          <w:p w14:paraId="4DFA703E"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požadavky k riziku úvěrové úpravy v ocenění podle článku 385 </w:t>
            </w:r>
            <w:r>
              <w:t>nařízení (EU) č. 575/2013</w:t>
            </w:r>
            <w:r>
              <w:rPr>
                <w:rStyle w:val="FormatvorlageInstructionsTabelleText"/>
                <w:rFonts w:ascii="Times New Roman" w:hAnsi="Times New Roman"/>
                <w:sz w:val="24"/>
              </w:rPr>
              <w:t xml:space="preserve">. </w:t>
            </w:r>
          </w:p>
          <w:p w14:paraId="1BB0CA1A" w14:textId="77777777" w:rsidR="007266CF" w:rsidRPr="002A677E" w:rsidRDefault="007266CF" w:rsidP="007266CF">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Viz šablona CVA.</w:t>
            </w:r>
          </w:p>
        </w:tc>
      </w:tr>
      <w:tr w:rsidR="007266CF" w:rsidRPr="002A677E" w14:paraId="11810CEC" w14:textId="77777777" w:rsidTr="007266CF">
        <w:tc>
          <w:tcPr>
            <w:tcW w:w="1591" w:type="dxa"/>
          </w:tcPr>
          <w:p w14:paraId="5F2847DF" w14:textId="77777777" w:rsidR="007266CF" w:rsidRPr="001235ED"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275A1DA4" w14:textId="77777777" w:rsidR="007266CF" w:rsidRPr="002A677E" w:rsidRDefault="007266CF" w:rsidP="007266C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CELKOVÝ OBJEM RIZIKOVÉ EXPOZICE SOUVISEJÍCÍ S VELKÝMI EXPOZICEMI V OBCHODNÍM PORTFOLIU</w:t>
            </w:r>
          </w:p>
          <w:p w14:paraId="472FD812"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Ustanovení čl. 92 odst. 3 písm. b) bodu ii) a článků 395 až 401 </w:t>
            </w:r>
            <w:r>
              <w:t>nařízení (EU) č. 575/2013</w:t>
            </w:r>
          </w:p>
        </w:tc>
      </w:tr>
      <w:tr w:rsidR="007266CF" w:rsidRPr="002A677E" w14:paraId="69F7B261" w14:textId="77777777" w:rsidTr="007266CF">
        <w:tc>
          <w:tcPr>
            <w:tcW w:w="1591" w:type="dxa"/>
          </w:tcPr>
          <w:p w14:paraId="1ED9802B"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1916C19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OSTATNÍ OBJEMY RIZIKOVÉ EXPOZICE</w:t>
            </w:r>
          </w:p>
          <w:p w14:paraId="190CD09D" w14:textId="77777777" w:rsidR="007266CF" w:rsidRPr="002A677E" w:rsidRDefault="007266CF" w:rsidP="007266C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Články 3, 458 a 459 </w:t>
            </w:r>
            <w:r>
              <w:t>nařízení (EU) č. 575/2013</w:t>
            </w:r>
            <w:r>
              <w:rPr>
                <w:rStyle w:val="InstructionsTabelleberschrift"/>
                <w:rFonts w:ascii="Times New Roman" w:hAnsi="Times New Roman"/>
                <w:b w:val="0"/>
                <w:sz w:val="24"/>
                <w:u w:val="none"/>
              </w:rPr>
              <w:t xml:space="preserve"> a objemy rizikové expozice, které nelze zařadit do jedné z položek 1.1 až 1.7. </w:t>
            </w:r>
          </w:p>
          <w:p w14:paraId="1BABD0F5" w14:textId="77777777" w:rsidR="007266CF" w:rsidRPr="002A677E" w:rsidRDefault="007266CF" w:rsidP="007266C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Instituce vykazují částky, které musí splňovat následující podmínky:</w:t>
            </w:r>
          </w:p>
          <w:p w14:paraId="297C0A24" w14:textId="77777777" w:rsidR="007266CF" w:rsidRPr="002A677E" w:rsidRDefault="007266CF" w:rsidP="007266C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Přísnější obezřetnostní požadavky, které ukládá Komise, a to v souladu s články 458 a 459 </w:t>
            </w:r>
            <w:r>
              <w:t>nařízení (EU) č. 575/2013</w:t>
            </w:r>
            <w:r>
              <w:rPr>
                <w:rStyle w:val="InstructionsTabelleberschrift"/>
                <w:rFonts w:ascii="Times New Roman" w:hAnsi="Times New Roman"/>
                <w:b w:val="0"/>
                <w:sz w:val="24"/>
                <w:u w:val="none"/>
              </w:rPr>
              <w:t xml:space="preserve">. </w:t>
            </w:r>
          </w:p>
          <w:p w14:paraId="169DD754" w14:textId="77777777" w:rsidR="007266CF" w:rsidRPr="002A677E" w:rsidRDefault="007266CF" w:rsidP="007266CF">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Objemy dodatečné rizikové expozice na základě článku 3</w:t>
            </w:r>
            <w:r>
              <w:t xml:space="preserve"> nařízení (EU) č. 575/2013</w:t>
            </w:r>
            <w:r>
              <w:rPr>
                <w:rStyle w:val="InstructionsTabelleberschrift"/>
                <w:rFonts w:ascii="Times New Roman" w:hAnsi="Times New Roman"/>
                <w:b w:val="0"/>
                <w:sz w:val="24"/>
                <w:u w:val="none"/>
              </w:rPr>
              <w:t>.</w:t>
            </w:r>
          </w:p>
          <w:p w14:paraId="405A7999" w14:textId="77777777" w:rsidR="007266CF" w:rsidRPr="002A677E" w:rsidRDefault="007266CF" w:rsidP="007266CF">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Tato položka není vázána na podrobnou šablonu. </w:t>
            </w:r>
          </w:p>
        </w:tc>
      </w:tr>
      <w:tr w:rsidR="007266CF" w:rsidRPr="002A677E" w14:paraId="3BB3DB6D" w14:textId="77777777" w:rsidTr="007266CF">
        <w:tc>
          <w:tcPr>
            <w:tcW w:w="1591" w:type="dxa"/>
          </w:tcPr>
          <w:p w14:paraId="5E831E3C"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672BCC5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Z toho: dodatečné přísnější obezřetnostní požadavky podle článku 458 nařízení (EU) č. 575/2013</w:t>
            </w:r>
          </w:p>
          <w:p w14:paraId="164A4E8B"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Článek 458 </w:t>
            </w:r>
            <w:r>
              <w:t>nařízení (EU) č. 575/2013</w:t>
            </w:r>
          </w:p>
        </w:tc>
      </w:tr>
      <w:tr w:rsidR="007266CF" w:rsidRPr="002A677E" w14:paraId="6EC1FB4E" w14:textId="77777777" w:rsidTr="007266CF">
        <w:tc>
          <w:tcPr>
            <w:tcW w:w="1591" w:type="dxa"/>
          </w:tcPr>
          <w:p w14:paraId="7DF5AF86"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274" w:type="dxa"/>
          </w:tcPr>
          <w:p w14:paraId="555B9A18" w14:textId="77777777" w:rsidR="007266CF" w:rsidRPr="002A677E" w:rsidRDefault="007266CF" w:rsidP="007266C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požadavky pro velké expozice</w:t>
            </w:r>
          </w:p>
          <w:p w14:paraId="363372A5" w14:textId="77777777" w:rsidR="007266CF" w:rsidRPr="002A677E" w:rsidRDefault="007266CF" w:rsidP="007266CF">
            <w:pPr>
              <w:pStyle w:val="InstructionsText"/>
              <w:rPr>
                <w:rStyle w:val="InstructionsTabelleberschrift"/>
                <w:rFonts w:ascii="Times New Roman" w:hAnsi="Times New Roman"/>
                <w:sz w:val="24"/>
              </w:rPr>
            </w:pPr>
            <w:r>
              <w:t>Článek 458 nařízení (EU) č. 575/2013</w:t>
            </w:r>
          </w:p>
        </w:tc>
      </w:tr>
      <w:tr w:rsidR="007266CF" w:rsidRPr="002A677E" w14:paraId="0A5A9DB2" w14:textId="77777777" w:rsidTr="007266CF">
        <w:tc>
          <w:tcPr>
            <w:tcW w:w="1591" w:type="dxa"/>
          </w:tcPr>
          <w:p w14:paraId="22D2D799"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0DA5D097" w14:textId="77777777" w:rsidR="007266CF" w:rsidRPr="002A677E" w:rsidRDefault="007266CF" w:rsidP="007266C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v důsledku upravených rizikových vah pro ošetření bublin v odvětví obytných a obchodních nemovitostí</w:t>
            </w:r>
          </w:p>
          <w:p w14:paraId="2D3FF9B0" w14:textId="77777777" w:rsidR="007266CF" w:rsidRPr="002A677E" w:rsidRDefault="007266CF" w:rsidP="007266CF">
            <w:pPr>
              <w:pStyle w:val="InstructionsText"/>
              <w:rPr>
                <w:rStyle w:val="InstructionsTabelleberschrift"/>
                <w:rFonts w:ascii="Times New Roman" w:hAnsi="Times New Roman"/>
                <w:sz w:val="24"/>
              </w:rPr>
            </w:pPr>
            <w:r>
              <w:t>Článek 458 nařízení (EU) č. 575/2013</w:t>
            </w:r>
          </w:p>
        </w:tc>
      </w:tr>
      <w:tr w:rsidR="007266CF" w:rsidRPr="002A677E" w14:paraId="0DCF4009" w14:textId="77777777" w:rsidTr="007266CF">
        <w:tc>
          <w:tcPr>
            <w:tcW w:w="1591" w:type="dxa"/>
          </w:tcPr>
          <w:p w14:paraId="51607773"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CD3630C" w14:textId="77777777" w:rsidR="007266CF" w:rsidRPr="002A677E" w:rsidRDefault="007266CF" w:rsidP="007266CF">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v důsledku expozic uvnitř finančního sektoru</w:t>
            </w:r>
          </w:p>
          <w:p w14:paraId="548BAF41" w14:textId="77777777" w:rsidR="007266CF" w:rsidRPr="002A677E" w:rsidRDefault="007266CF" w:rsidP="007266CF">
            <w:pPr>
              <w:pStyle w:val="InstructionsText"/>
              <w:rPr>
                <w:rStyle w:val="InstructionsTabelleberschrift"/>
                <w:rFonts w:ascii="Times New Roman" w:hAnsi="Times New Roman"/>
                <w:sz w:val="24"/>
              </w:rPr>
            </w:pPr>
            <w:r>
              <w:t>Článek 458 nařízení (EU) č. 575/2013</w:t>
            </w:r>
          </w:p>
        </w:tc>
      </w:tr>
      <w:tr w:rsidR="007266CF" w:rsidRPr="002A677E" w14:paraId="1DFCEDAD" w14:textId="77777777" w:rsidTr="007266CF">
        <w:tc>
          <w:tcPr>
            <w:tcW w:w="1591" w:type="dxa"/>
          </w:tcPr>
          <w:p w14:paraId="62D85091"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1F97A677"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Z toho: dodatečné přísnější obezřetnostní požadavky podle článku 459 nařízení (EU) č. 575/2013</w:t>
            </w:r>
          </w:p>
          <w:p w14:paraId="17D9EA44" w14:textId="77777777" w:rsidR="007266CF" w:rsidRPr="002A677E" w:rsidRDefault="007266CF" w:rsidP="007266C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Článek 459 </w:t>
            </w:r>
            <w:r>
              <w:t>nařízení (EU) č. 575/2013</w:t>
            </w:r>
          </w:p>
        </w:tc>
      </w:tr>
      <w:tr w:rsidR="007266CF" w:rsidRPr="002A677E" w14:paraId="42BCF83C" w14:textId="77777777" w:rsidTr="007266CF">
        <w:tc>
          <w:tcPr>
            <w:tcW w:w="1591" w:type="dxa"/>
            <w:shd w:val="clear" w:color="auto" w:fill="auto"/>
          </w:tcPr>
          <w:p w14:paraId="0B36B774" w14:textId="77777777" w:rsidR="007266CF" w:rsidRPr="001235ED"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4D289A0F"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Z toho: objem dodatečné rizikové expozice na základě článku 3 nařízení (EU) č. 575/2013</w:t>
            </w:r>
          </w:p>
          <w:p w14:paraId="29AAFEC7" w14:textId="77777777" w:rsidR="007266CF" w:rsidRPr="002A677E" w:rsidRDefault="007266CF" w:rsidP="007266C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3 </w:t>
            </w:r>
            <w:r>
              <w:t>nařízení (EU) č. 575/2013</w:t>
            </w:r>
          </w:p>
          <w:p w14:paraId="1FFCDD28"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Vykáže se objem dodatečné rizikové expozice. Patří sem pouze dodatečné objemy (např. váže-li se na expozici s hodnotou 100 riziková váha ve výši 20</w:t>
            </w:r>
            <w:r>
              <w:t> </w:t>
            </w:r>
            <w:r>
              <w:rPr>
                <w:rStyle w:val="InstructionsTabelleberschrift"/>
                <w:rFonts w:ascii="Times New Roman" w:hAnsi="Times New Roman"/>
                <w:b w:val="0"/>
                <w:sz w:val="24"/>
                <w:u w:val="none"/>
              </w:rPr>
              <w:t>% a instituce uplatňuje na</w:t>
            </w:r>
            <w:r>
              <w:t xml:space="preserve"> </w:t>
            </w:r>
            <w:r>
              <w:rPr>
                <w:rStyle w:val="InstructionsTabelleberschrift"/>
                <w:rFonts w:ascii="Times New Roman" w:hAnsi="Times New Roman"/>
                <w:b w:val="0"/>
                <w:sz w:val="24"/>
                <w:u w:val="none"/>
              </w:rPr>
              <w:t xml:space="preserve">základě článku 3 </w:t>
            </w:r>
            <w:r>
              <w:t>nařízení (EU) č. 575/2013</w:t>
            </w:r>
            <w:r>
              <w:rPr>
                <w:rStyle w:val="InstructionsTabelleberschrift"/>
                <w:rFonts w:ascii="Times New Roman" w:hAnsi="Times New Roman"/>
                <w:b w:val="0"/>
                <w:sz w:val="24"/>
                <w:u w:val="none"/>
              </w:rPr>
              <w:t xml:space="preserve"> rizikovou váhu 50 %, vykáže se hodnota 30). </w:t>
            </w:r>
          </w:p>
        </w:tc>
      </w:tr>
    </w:tbl>
    <w:p w14:paraId="668BF22E" w14:textId="77777777" w:rsidR="007266CF" w:rsidRPr="002A677E" w:rsidRDefault="007266CF" w:rsidP="00A75C39">
      <w:pPr>
        <w:pStyle w:val="Instructionsberschrift2"/>
        <w:numPr>
          <w:ilvl w:val="1"/>
          <w:numId w:val="47"/>
        </w:numPr>
        <w:rPr>
          <w:rFonts w:ascii="Times New Roman" w:hAnsi="Times New Roman" w:cs="Times New Roman"/>
          <w:sz w:val="24"/>
          <w:u w:val="none"/>
        </w:rPr>
      </w:pPr>
      <w:bookmarkStart w:id="44" w:name="_Toc116026715"/>
      <w:bookmarkStart w:id="45" w:name="_Toc119077872"/>
      <w:r>
        <w:rPr>
          <w:rFonts w:ascii="Times New Roman" w:hAnsi="Times New Roman"/>
          <w:sz w:val="24"/>
          <w:u w:val="none"/>
        </w:rPr>
        <w:t>C 03.00 – KAPITÁLOVÉ POMĚRY A ÚROVNĚ KAPITÁLU (CA3)</w:t>
      </w:r>
      <w:bookmarkEnd w:id="44"/>
      <w:bookmarkEnd w:id="45"/>
      <w:r>
        <w:rPr>
          <w:rFonts w:ascii="Times New Roman" w:hAnsi="Times New Roman"/>
          <w:sz w:val="24"/>
          <w:u w:val="none"/>
        </w:rPr>
        <w:t xml:space="preserve"> </w:t>
      </w:r>
    </w:p>
    <w:p w14:paraId="21D6CD7E" w14:textId="77777777" w:rsidR="007266CF" w:rsidRPr="002A677E" w:rsidRDefault="007266CF" w:rsidP="00A75C39">
      <w:pPr>
        <w:pStyle w:val="Instructionsberschrift2"/>
        <w:numPr>
          <w:ilvl w:val="0"/>
          <w:numId w:val="48"/>
        </w:numPr>
        <w:rPr>
          <w:rFonts w:ascii="Times New Roman" w:hAnsi="Times New Roman" w:cs="Times New Roman"/>
          <w:sz w:val="24"/>
        </w:rPr>
      </w:pPr>
      <w:bookmarkStart w:id="46" w:name="_Toc116026716"/>
      <w:bookmarkStart w:id="47" w:name="_Toc119077873"/>
      <w:r>
        <w:rPr>
          <w:rFonts w:ascii="Times New Roman" w:hAnsi="Times New Roman"/>
          <w:sz w:val="24"/>
        </w:rPr>
        <w:t>Pokyny pro konkrétní</w:t>
      </w:r>
      <w:r>
        <w:t xml:space="preserve"> </w:t>
      </w:r>
      <w:r>
        <w:rPr>
          <w:rFonts w:ascii="Times New Roman" w:hAnsi="Times New Roman"/>
          <w:sz w:val="24"/>
        </w:rPr>
        <w:t>pozice</w:t>
      </w:r>
      <w:bookmarkEnd w:id="46"/>
      <w:bookmarkEnd w:id="4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7266CF" w:rsidRPr="002A677E" w14:paraId="419BE8AE" w14:textId="77777777" w:rsidTr="007266CF">
        <w:tc>
          <w:tcPr>
            <w:tcW w:w="8783" w:type="dxa"/>
            <w:gridSpan w:val="2"/>
            <w:shd w:val="clear" w:color="auto" w:fill="D9D9D9"/>
          </w:tcPr>
          <w:p w14:paraId="48961B23" w14:textId="77777777" w:rsidR="007266CF" w:rsidRPr="002A677E" w:rsidRDefault="007266CF" w:rsidP="007266CF">
            <w:pPr>
              <w:pStyle w:val="InstructionsText"/>
            </w:pPr>
            <w:r>
              <w:t>Řádky</w:t>
            </w:r>
          </w:p>
        </w:tc>
      </w:tr>
      <w:tr w:rsidR="007266CF" w:rsidRPr="002A677E" w14:paraId="474266EF" w14:textId="77777777" w:rsidTr="007266CF">
        <w:tc>
          <w:tcPr>
            <w:tcW w:w="1163" w:type="dxa"/>
          </w:tcPr>
          <w:p w14:paraId="153A2252" w14:textId="77777777" w:rsidR="007266CF" w:rsidRPr="002A677E" w:rsidRDefault="007266CF" w:rsidP="007266CF">
            <w:pPr>
              <w:pStyle w:val="InstructionsText"/>
            </w:pPr>
            <w:r>
              <w:t>0010</w:t>
            </w:r>
          </w:p>
        </w:tc>
        <w:tc>
          <w:tcPr>
            <w:tcW w:w="7620" w:type="dxa"/>
          </w:tcPr>
          <w:p w14:paraId="724365B9" w14:textId="77777777" w:rsidR="007266CF" w:rsidRPr="002A677E" w:rsidRDefault="007266CF" w:rsidP="007266C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Poměr kmenového kapitálu tier 1</w:t>
            </w:r>
          </w:p>
          <w:p w14:paraId="1EA2646B" w14:textId="77777777" w:rsidR="007266CF" w:rsidRPr="002A677E" w:rsidRDefault="007266CF" w:rsidP="007266CF">
            <w:pPr>
              <w:pStyle w:val="InstructionsText"/>
            </w:pPr>
            <w:r>
              <w:t>Ustanovení čl. 92 odst. 2 písm. a) nařízení (EU) č. 575/2013</w:t>
            </w:r>
          </w:p>
          <w:p w14:paraId="56F31A3C" w14:textId="77777777" w:rsidR="007266CF" w:rsidRPr="002A677E" w:rsidRDefault="007266CF" w:rsidP="007266CF">
            <w:pPr>
              <w:pStyle w:val="InstructionsText"/>
            </w:pPr>
            <w:r>
              <w:t>Poměr kmenového kapitálu tier 1 je kmenový kapitál tier 1 instituce vyjádřený jako procentní podíl celkového objemu rizikové expozice.</w:t>
            </w:r>
          </w:p>
        </w:tc>
      </w:tr>
      <w:tr w:rsidR="007266CF" w:rsidRPr="002A677E" w14:paraId="669BF30C" w14:textId="77777777" w:rsidTr="007266CF">
        <w:tc>
          <w:tcPr>
            <w:tcW w:w="1163" w:type="dxa"/>
          </w:tcPr>
          <w:p w14:paraId="5973B152" w14:textId="77777777" w:rsidR="007266CF" w:rsidRPr="002A677E" w:rsidRDefault="007266CF" w:rsidP="007266CF">
            <w:pPr>
              <w:pStyle w:val="InstructionsText"/>
            </w:pPr>
            <w:r>
              <w:t>0020</w:t>
            </w:r>
          </w:p>
        </w:tc>
        <w:tc>
          <w:tcPr>
            <w:tcW w:w="7620" w:type="dxa"/>
          </w:tcPr>
          <w:p w14:paraId="4666701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Přebytek (+)/nedostatek (−) kmenového kapitálu tier 1</w:t>
            </w:r>
          </w:p>
          <w:p w14:paraId="62E78310" w14:textId="77777777" w:rsidR="007266CF" w:rsidRPr="002A677E" w:rsidRDefault="007266CF" w:rsidP="007266CF">
            <w:pPr>
              <w:pStyle w:val="InstructionsText"/>
            </w:pPr>
            <w:r>
              <w:t>V této položce se v absolutní hodnotě uvádí částka přebytku nebo nedostatku kmenového kapitálu tier 1 vztahující se k požadavku, který je stanoven v čl. 92 odst. 1 písm. a) nařízení (EU) č. 575/2013 (4,5 %), což znamená, že v kapitálovém poměru nejsou zohledněny kapitálové rezervy a přechodná ustanovení.</w:t>
            </w:r>
          </w:p>
        </w:tc>
      </w:tr>
      <w:tr w:rsidR="007266CF" w:rsidRPr="002A677E" w14:paraId="492B5F27" w14:textId="77777777" w:rsidTr="007266CF">
        <w:tc>
          <w:tcPr>
            <w:tcW w:w="1163" w:type="dxa"/>
          </w:tcPr>
          <w:p w14:paraId="07C80554" w14:textId="77777777" w:rsidR="007266CF" w:rsidRPr="002A677E" w:rsidRDefault="007266CF" w:rsidP="007266CF">
            <w:pPr>
              <w:pStyle w:val="InstructionsText"/>
            </w:pPr>
            <w:r>
              <w:t>0030</w:t>
            </w:r>
          </w:p>
        </w:tc>
        <w:tc>
          <w:tcPr>
            <w:tcW w:w="7620" w:type="dxa"/>
          </w:tcPr>
          <w:p w14:paraId="1F81258F" w14:textId="77777777" w:rsidR="007266CF" w:rsidRPr="002A677E" w:rsidRDefault="007266CF" w:rsidP="007266C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Kapitálový poměr tier 1</w:t>
            </w:r>
          </w:p>
          <w:p w14:paraId="388AA1B6" w14:textId="77777777" w:rsidR="007266CF" w:rsidRPr="002A677E" w:rsidRDefault="007266CF" w:rsidP="007266CF">
            <w:pPr>
              <w:pStyle w:val="InstructionsText"/>
            </w:pPr>
            <w:r>
              <w:t>Ustanovení čl. 92 odst. 2 písm. b) nařízení (EU) č. 575/2013</w:t>
            </w:r>
          </w:p>
          <w:p w14:paraId="396A96E3" w14:textId="77777777" w:rsidR="007266CF" w:rsidRPr="002A677E" w:rsidRDefault="007266CF" w:rsidP="007266CF">
            <w:pPr>
              <w:pStyle w:val="InstructionsText"/>
            </w:pPr>
            <w:r>
              <w:t>Kapitálový poměr tier 1 je kapitál tier 1 instituce vyjádřený jako procentní podíl celkového objemu rizikové expozice.</w:t>
            </w:r>
          </w:p>
        </w:tc>
      </w:tr>
      <w:tr w:rsidR="007266CF" w:rsidRPr="002A677E" w14:paraId="4B7E0466" w14:textId="77777777" w:rsidTr="007266CF">
        <w:tc>
          <w:tcPr>
            <w:tcW w:w="1163" w:type="dxa"/>
          </w:tcPr>
          <w:p w14:paraId="1FEE2918" w14:textId="77777777" w:rsidR="007266CF" w:rsidRPr="002A677E" w:rsidRDefault="007266CF" w:rsidP="007266CF">
            <w:pPr>
              <w:pStyle w:val="InstructionsText"/>
            </w:pPr>
            <w:r>
              <w:t>0040</w:t>
            </w:r>
          </w:p>
        </w:tc>
        <w:tc>
          <w:tcPr>
            <w:tcW w:w="7620" w:type="dxa"/>
          </w:tcPr>
          <w:p w14:paraId="0EAB53F7" w14:textId="77777777" w:rsidR="007266CF" w:rsidRPr="002A677E" w:rsidRDefault="007266CF" w:rsidP="007266C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Přebytek (+)/nedostatek (−) kapitálu tier 1</w:t>
            </w:r>
          </w:p>
          <w:p w14:paraId="5DC0E0D4" w14:textId="77777777" w:rsidR="007266CF" w:rsidRPr="002A677E" w:rsidRDefault="007266CF" w:rsidP="007266CF">
            <w:pPr>
              <w:pStyle w:val="InstructionsText"/>
            </w:pPr>
            <w:r>
              <w:t xml:space="preserve">V této položce se v absolutní hodnotě uvádí částka přebytku nebo nedostatku kapitálu tier 1 vztahující se k požadavku, který je stanoven v čl. 92 odst. 1 </w:t>
            </w:r>
            <w:r>
              <w:lastRenderedPageBreak/>
              <w:t>písm. b) nařízení (EU) č. 575/2013 (6 %), což znamená, že v kapitálovém poměru nejsou zohledněny kapitálové rezervy a přechodná ustanovení.</w:t>
            </w:r>
          </w:p>
        </w:tc>
      </w:tr>
      <w:tr w:rsidR="007266CF" w:rsidRPr="006223CC" w14:paraId="0998D093" w14:textId="77777777" w:rsidTr="007266CF">
        <w:tc>
          <w:tcPr>
            <w:tcW w:w="1163" w:type="dxa"/>
          </w:tcPr>
          <w:p w14:paraId="3C7B9FA9" w14:textId="77777777" w:rsidR="007266CF" w:rsidRPr="002A677E" w:rsidRDefault="007266CF" w:rsidP="007266CF">
            <w:pPr>
              <w:pStyle w:val="InstructionsText"/>
            </w:pPr>
            <w:r>
              <w:lastRenderedPageBreak/>
              <w:t>0050</w:t>
            </w:r>
          </w:p>
        </w:tc>
        <w:tc>
          <w:tcPr>
            <w:tcW w:w="7620" w:type="dxa"/>
          </w:tcPr>
          <w:p w14:paraId="6DA8F1BB" w14:textId="77777777" w:rsidR="007266CF" w:rsidRPr="002A677E" w:rsidRDefault="007266CF" w:rsidP="007266C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Celkový kapitálový poměr</w:t>
            </w:r>
          </w:p>
          <w:p w14:paraId="054E7CE3" w14:textId="77777777" w:rsidR="007266CF" w:rsidRPr="006223CC" w:rsidRDefault="007266CF" w:rsidP="007266CF">
            <w:pPr>
              <w:pStyle w:val="InstructionsText"/>
              <w:rPr>
                <w:lang w:val="fr-FR"/>
              </w:rPr>
            </w:pPr>
            <w:r>
              <w:t>Ustanovení čl. 92 odst. </w:t>
            </w:r>
            <w:r w:rsidRPr="006223CC">
              <w:rPr>
                <w:lang w:val="fr-FR"/>
              </w:rPr>
              <w:t>2 písm. c) nařízení (EU) č. 575/2013</w:t>
            </w:r>
          </w:p>
          <w:p w14:paraId="2F19BDF3" w14:textId="77777777" w:rsidR="007266CF" w:rsidRPr="006223CC" w:rsidRDefault="007266CF" w:rsidP="007266CF">
            <w:pPr>
              <w:pStyle w:val="InstructionsText"/>
              <w:rPr>
                <w:lang w:val="fr-FR"/>
              </w:rPr>
            </w:pPr>
            <w:r w:rsidRPr="006223CC">
              <w:rPr>
                <w:lang w:val="fr-FR"/>
              </w:rPr>
              <w:t>Celkový kapitálový poměr je kapitál instituce vyjádřený jako procentní podíl celkového objemu rizikové expozice.</w:t>
            </w:r>
          </w:p>
        </w:tc>
      </w:tr>
      <w:tr w:rsidR="007266CF" w:rsidRPr="002A677E" w14:paraId="22F46E9B" w14:textId="77777777" w:rsidTr="007266CF">
        <w:tc>
          <w:tcPr>
            <w:tcW w:w="1163" w:type="dxa"/>
          </w:tcPr>
          <w:p w14:paraId="46863AD8" w14:textId="77777777" w:rsidR="007266CF" w:rsidRPr="002A677E" w:rsidRDefault="007266CF" w:rsidP="007266CF">
            <w:pPr>
              <w:pStyle w:val="InstructionsText"/>
            </w:pPr>
            <w:r>
              <w:t>0060</w:t>
            </w:r>
          </w:p>
        </w:tc>
        <w:tc>
          <w:tcPr>
            <w:tcW w:w="7620" w:type="dxa"/>
          </w:tcPr>
          <w:p w14:paraId="268C4716" w14:textId="77777777" w:rsidR="007266CF" w:rsidRPr="002A677E" w:rsidRDefault="007266CF" w:rsidP="007266C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Přebytek (+)/nedostatek (−) celkového kapitálu</w:t>
            </w:r>
          </w:p>
          <w:p w14:paraId="6E8FEFEE" w14:textId="77777777" w:rsidR="007266CF" w:rsidRPr="002A677E" w:rsidRDefault="007266CF" w:rsidP="007266CF">
            <w:pPr>
              <w:pStyle w:val="InstructionsText"/>
            </w:pPr>
            <w:r>
              <w:t>V této položce se v absolutní hodnotě uvádí částka přebytku nebo nedostatku kapitálu vztahující se k požadavku, který je stanoven v čl. 92 odst. 1 písm. c) nařízení (EU) č. 575/2013 (8 %), což znamená, že v kapitálovém poměru nejsou zohledněny kapitálové rezervy a přechodná ustanovení.</w:t>
            </w:r>
          </w:p>
        </w:tc>
      </w:tr>
      <w:tr w:rsidR="007266CF" w:rsidRPr="002A677E" w14:paraId="6F1E28D2" w14:textId="77777777" w:rsidTr="007266CF">
        <w:tc>
          <w:tcPr>
            <w:tcW w:w="1163" w:type="dxa"/>
          </w:tcPr>
          <w:p w14:paraId="1643EE94" w14:textId="77777777" w:rsidR="007266CF" w:rsidRPr="002A677E" w:rsidRDefault="007266CF" w:rsidP="007266CF">
            <w:pPr>
              <w:pStyle w:val="InstructionsText"/>
            </w:pPr>
            <w:r>
              <w:t>0130</w:t>
            </w:r>
          </w:p>
        </w:tc>
        <w:tc>
          <w:tcPr>
            <w:tcW w:w="7620" w:type="dxa"/>
          </w:tcPr>
          <w:p w14:paraId="47245511"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Poměr celkového kapitálového požadavku procesu přezkumu a hodnocení v rámci dohledu (TSCR)</w:t>
            </w:r>
          </w:p>
          <w:p w14:paraId="57E05AF2" w14:textId="77777777" w:rsidR="007266CF" w:rsidRPr="002A677E" w:rsidRDefault="007266CF" w:rsidP="007266CF">
            <w:pPr>
              <w:pStyle w:val="InstructionsText"/>
            </w:pPr>
            <w:r>
              <w:t>Součet i) a ii):</w:t>
            </w:r>
          </w:p>
          <w:p w14:paraId="550DD3B9" w14:textId="77777777" w:rsidR="007266CF" w:rsidRPr="002A677E" w:rsidRDefault="007266CF" w:rsidP="007266CF">
            <w:pPr>
              <w:pStyle w:val="InstructionsText"/>
            </w:pPr>
            <w:r>
              <w:t xml:space="preserve">i) </w:t>
            </w:r>
            <w:r>
              <w:tab/>
              <w:t xml:space="preserve">celkový kapitálový poměr (8 %), jak je uvedeno v čl. 92 odst. 1 </w:t>
            </w:r>
            <w:r>
              <w:tab/>
              <w:t xml:space="preserve">písm. c) nařízení (EU) č. 575/2013; </w:t>
            </w:r>
          </w:p>
          <w:p w14:paraId="0E8049EF" w14:textId="77777777" w:rsidR="007266CF" w:rsidRPr="002A677E" w:rsidRDefault="007266CF" w:rsidP="007266CF">
            <w:pPr>
              <w:pStyle w:val="InstructionsText"/>
            </w:pPr>
            <w:r>
              <w:t xml:space="preserve">ii) </w:t>
            </w:r>
            <w:r>
              <w:tab/>
              <w:t xml:space="preserve">poměr dodatečných kapitálových požadavků (požadavky pilíře 2 – </w:t>
            </w:r>
            <w:r>
              <w:tab/>
              <w:t>P2R) podle čl. 104 odst. 1 písm. a) směrnice 2013/36/EU. Tento po</w:t>
            </w:r>
            <w:r>
              <w:tab/>
              <w:t xml:space="preserve">měr se určí podle kritérií stanovených v pokynech EBA o společných </w:t>
            </w:r>
            <w:r>
              <w:tab/>
              <w:t xml:space="preserve">postupech a metodikách pro proces přezkumu a hodnocení a zátěžové </w:t>
            </w:r>
            <w:r>
              <w:tab/>
              <w:t>testování v rámci dohledu (</w:t>
            </w:r>
            <w:r>
              <w:rPr>
                <w:i/>
              </w:rPr>
              <w:t xml:space="preserve">EBA Guidelines on common procedures </w:t>
            </w:r>
            <w:r>
              <w:tab/>
            </w:r>
            <w:r>
              <w:rPr>
                <w:i/>
              </w:rPr>
              <w:t xml:space="preserve">and methodologies for the supervisory review and evaluation process </w:t>
            </w:r>
            <w:r>
              <w:tab/>
            </w:r>
            <w:r>
              <w:rPr>
                <w:i/>
              </w:rPr>
              <w:t>and supervisory stress testing</w:t>
            </w:r>
            <w:r>
              <w:t xml:space="preserve"> (EBA SREP GL)).</w:t>
            </w:r>
          </w:p>
          <w:p w14:paraId="6AA1149D" w14:textId="77777777" w:rsidR="007266CF" w:rsidRPr="002A677E" w:rsidRDefault="007266CF" w:rsidP="007266CF">
            <w:pPr>
              <w:pStyle w:val="InstructionsText"/>
            </w:pPr>
            <w:r>
              <w:t>Tento bod vyjadřuje poměr celkového kapitálového požadavku procesu přezkumu a hodnocení v rámci dohledu (TSCR), který instituci sdělil příslušný orgán. TSCR je vymezen v oddílech 7.4 a 7.5 EBA SREP GL.</w:t>
            </w:r>
          </w:p>
          <w:p w14:paraId="40A0AD1E" w14:textId="77777777" w:rsidR="007266CF" w:rsidRPr="002A677E" w:rsidRDefault="007266CF" w:rsidP="007266CF">
            <w:pPr>
              <w:pStyle w:val="InstructionsText"/>
              <w:rPr>
                <w:rStyle w:val="InstructionsTabelleberschrift"/>
                <w:rFonts w:ascii="Times New Roman" w:hAnsi="Times New Roman"/>
                <w:b w:val="0"/>
                <w:bCs w:val="0"/>
                <w:sz w:val="24"/>
                <w:u w:val="none"/>
              </w:rPr>
            </w:pPr>
            <w:r>
              <w:t xml:space="preserve">Jestliže příslušný orgán nesdělil žádné dodatečné kapitálové požadavky, uvádí se pouze bod i). </w:t>
            </w:r>
          </w:p>
        </w:tc>
      </w:tr>
      <w:tr w:rsidR="007266CF" w:rsidRPr="006223CC" w14:paraId="338E2145" w14:textId="77777777" w:rsidTr="007266CF">
        <w:tc>
          <w:tcPr>
            <w:tcW w:w="1163" w:type="dxa"/>
          </w:tcPr>
          <w:p w14:paraId="7310E0B8" w14:textId="77777777" w:rsidR="007266CF" w:rsidRPr="002A677E" w:rsidRDefault="007266CF" w:rsidP="007266CF">
            <w:pPr>
              <w:pStyle w:val="InstructionsText"/>
            </w:pPr>
            <w:r>
              <w:t>0140</w:t>
            </w:r>
          </w:p>
        </w:tc>
        <w:tc>
          <w:tcPr>
            <w:tcW w:w="7620" w:type="dxa"/>
          </w:tcPr>
          <w:p w14:paraId="6989EA5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složený z kmenového kapitálu tier 1 </w:t>
            </w:r>
          </w:p>
          <w:p w14:paraId="6AF0741B" w14:textId="77777777" w:rsidR="007266CF" w:rsidRPr="002A677E" w:rsidRDefault="007266CF" w:rsidP="007266CF">
            <w:pPr>
              <w:pStyle w:val="InstructionsText"/>
            </w:pPr>
            <w:r>
              <w:t>Součet i) a ii):</w:t>
            </w:r>
          </w:p>
          <w:p w14:paraId="25A321DA" w14:textId="77777777" w:rsidR="007266CF" w:rsidRPr="006223CC" w:rsidRDefault="007266CF" w:rsidP="007266CF">
            <w:pPr>
              <w:pStyle w:val="InstructionsText"/>
              <w:rPr>
                <w:lang w:val="fr-FR"/>
              </w:rPr>
            </w:pPr>
            <w:r>
              <w:t xml:space="preserve">i) </w:t>
            </w:r>
            <w:r>
              <w:tab/>
              <w:t>poměr kmenového kapitálu tier 1 (4,5 %) podle čl. 92 odst. </w:t>
            </w:r>
            <w:r w:rsidRPr="006223CC">
              <w:rPr>
                <w:lang w:val="fr-FR"/>
              </w:rPr>
              <w:t xml:space="preserve">1 písm. a) </w:t>
            </w:r>
            <w:r w:rsidRPr="006223CC">
              <w:rPr>
                <w:lang w:val="fr-FR"/>
              </w:rPr>
              <w:tab/>
              <w:t>nařízení (EU) č. 575/2013;</w:t>
            </w:r>
          </w:p>
          <w:p w14:paraId="7E566D5A" w14:textId="77777777" w:rsidR="007266CF" w:rsidRPr="006223CC" w:rsidRDefault="007266CF" w:rsidP="007266CF">
            <w:pPr>
              <w:pStyle w:val="InstructionsText"/>
              <w:rPr>
                <w:lang w:val="fr-FR"/>
              </w:rPr>
            </w:pPr>
            <w:r w:rsidRPr="006223CC">
              <w:rPr>
                <w:lang w:val="fr-FR"/>
              </w:rPr>
              <w:t xml:space="preserve">ii) </w:t>
            </w:r>
            <w:r w:rsidRPr="006223CC">
              <w:rPr>
                <w:lang w:val="fr-FR"/>
              </w:rPr>
              <w:tab/>
              <w:t>část poměru P2R podle bodu ii) řádku 0130, která musí být podle po</w:t>
            </w:r>
            <w:r w:rsidRPr="006223CC">
              <w:rPr>
                <w:lang w:val="fr-FR"/>
              </w:rPr>
              <w:tab/>
              <w:t xml:space="preserve">žadavku příslušného orgánu držena ve formě kmenového kapitálu </w:t>
            </w:r>
            <w:r w:rsidRPr="006223CC">
              <w:rPr>
                <w:lang w:val="fr-FR"/>
              </w:rPr>
              <w:tab/>
              <w:t>tier 1.</w:t>
            </w:r>
          </w:p>
          <w:p w14:paraId="54AE08A2"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lang w:val="fr-FR"/>
              </w:rPr>
              <w:t>Pokud příslušný orgán nesdělil žádné dodatečné požadavky na kapitál, který má být udržován ve formě kmenového kapitálu tier 1, uvádí se pouze bod i).</w:t>
            </w:r>
            <w:r w:rsidRPr="006223CC">
              <w:rPr>
                <w:rStyle w:val="InstructionsTabelleberschrift"/>
                <w:rFonts w:ascii="Times New Roman" w:hAnsi="Times New Roman"/>
                <w:b w:val="0"/>
                <w:sz w:val="24"/>
                <w:lang w:val="fr-FR"/>
              </w:rPr>
              <w:t xml:space="preserve"> </w:t>
            </w:r>
          </w:p>
        </w:tc>
      </w:tr>
      <w:tr w:rsidR="007266CF" w:rsidRPr="002A677E" w14:paraId="4D7BE939" w14:textId="77777777" w:rsidTr="007266CF">
        <w:tc>
          <w:tcPr>
            <w:tcW w:w="1163" w:type="dxa"/>
          </w:tcPr>
          <w:p w14:paraId="6E9F158D" w14:textId="77777777" w:rsidR="007266CF" w:rsidRPr="002A677E" w:rsidRDefault="007266CF" w:rsidP="007266CF">
            <w:pPr>
              <w:pStyle w:val="InstructionsText"/>
            </w:pPr>
            <w:r>
              <w:t>0150</w:t>
            </w:r>
          </w:p>
        </w:tc>
        <w:tc>
          <w:tcPr>
            <w:tcW w:w="7620" w:type="dxa"/>
          </w:tcPr>
          <w:p w14:paraId="680AB8F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složený z kapitálu tier 1</w:t>
            </w:r>
          </w:p>
          <w:p w14:paraId="7E6771A3" w14:textId="77777777" w:rsidR="007266CF" w:rsidRPr="002A677E" w:rsidRDefault="007266CF" w:rsidP="007266CF">
            <w:pPr>
              <w:pStyle w:val="InstructionsText"/>
            </w:pPr>
            <w:r>
              <w:t>Součet i) a ii):</w:t>
            </w:r>
          </w:p>
          <w:p w14:paraId="617F6F1A" w14:textId="77777777" w:rsidR="007266CF" w:rsidRPr="002A677E" w:rsidRDefault="007266CF" w:rsidP="007266CF">
            <w:pPr>
              <w:pStyle w:val="InstructionsText"/>
            </w:pPr>
            <w:r>
              <w:t xml:space="preserve">i) </w:t>
            </w:r>
            <w:r>
              <w:tab/>
              <w:t xml:space="preserve">poměr kmenového kapitálu tier 1 (6 %) podle čl. 92 odst. 1 písm. b) </w:t>
            </w:r>
            <w:r>
              <w:tab/>
              <w:t>nařízení (EU) č. 575/2013;</w:t>
            </w:r>
          </w:p>
          <w:p w14:paraId="70D62012" w14:textId="77777777" w:rsidR="007266CF" w:rsidRPr="002A677E" w:rsidRDefault="007266CF" w:rsidP="007266CF">
            <w:pPr>
              <w:pStyle w:val="InstructionsText"/>
              <w:rPr>
                <w:bCs/>
                <w:u w:val="single"/>
              </w:rPr>
            </w:pPr>
            <w:r>
              <w:lastRenderedPageBreak/>
              <w:t xml:space="preserve">ii) </w:t>
            </w:r>
            <w:r>
              <w:tab/>
              <w:t>část poměru P2R podle bodu ii) řádku 0130, která musí být podle po</w:t>
            </w:r>
            <w:r>
              <w:tab/>
              <w:t>žadavku příslušného orgánu držena ve formě kapitálu tier 1.</w:t>
            </w:r>
          </w:p>
          <w:p w14:paraId="61993465" w14:textId="77777777" w:rsidR="007266CF" w:rsidRPr="002A677E" w:rsidRDefault="007266CF" w:rsidP="007266CF">
            <w:pPr>
              <w:pStyle w:val="InstructionsText"/>
              <w:rPr>
                <w:rStyle w:val="InstructionsTabelleberschrift"/>
                <w:rFonts w:ascii="Times New Roman" w:hAnsi="Times New Roman"/>
                <w:b w:val="0"/>
                <w:sz w:val="24"/>
              </w:rPr>
            </w:pPr>
            <w:r>
              <w:t>Jestliže příslušný orgán nesdělil žádné dodatečné požadavky na kapitál, který má být udržován ve formě kapitálu tier 1, uvádí se pouze bod i).</w:t>
            </w:r>
          </w:p>
        </w:tc>
      </w:tr>
      <w:tr w:rsidR="007266CF" w:rsidRPr="002A677E" w14:paraId="3FC5DA81" w14:textId="77777777" w:rsidTr="007266CF">
        <w:tc>
          <w:tcPr>
            <w:tcW w:w="1163" w:type="dxa"/>
          </w:tcPr>
          <w:p w14:paraId="25AF0414" w14:textId="77777777" w:rsidR="007266CF" w:rsidRPr="002A677E" w:rsidRDefault="007266CF" w:rsidP="007266CF">
            <w:pPr>
              <w:pStyle w:val="InstructionsText"/>
            </w:pPr>
            <w:r>
              <w:lastRenderedPageBreak/>
              <w:t>0160</w:t>
            </w:r>
          </w:p>
        </w:tc>
        <w:tc>
          <w:tcPr>
            <w:tcW w:w="7620" w:type="dxa"/>
          </w:tcPr>
          <w:p w14:paraId="463C3AF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Poměr celkového kapitálového požadavku (OCR)</w:t>
            </w:r>
          </w:p>
          <w:p w14:paraId="0FAF35C8" w14:textId="77777777" w:rsidR="007266CF" w:rsidRPr="002A677E" w:rsidRDefault="007266CF" w:rsidP="007266CF">
            <w:pPr>
              <w:pStyle w:val="InstructionsText"/>
            </w:pPr>
            <w:r>
              <w:t>Součet i) a ii):</w:t>
            </w:r>
          </w:p>
          <w:p w14:paraId="4FAEEC88" w14:textId="77777777" w:rsidR="007266CF" w:rsidRPr="002A677E" w:rsidRDefault="007266CF" w:rsidP="007266CF">
            <w:pPr>
              <w:pStyle w:val="InstructionsText"/>
            </w:pPr>
            <w:r>
              <w:t xml:space="preserve">i) </w:t>
            </w:r>
            <w:r>
              <w:tab/>
              <w:t>poměr TSCR uvedený v řádku 0130;</w:t>
            </w:r>
          </w:p>
          <w:p w14:paraId="04B50410" w14:textId="77777777" w:rsidR="007266CF" w:rsidRPr="002A677E" w:rsidRDefault="007266CF" w:rsidP="007266CF">
            <w:pPr>
              <w:pStyle w:val="InstructionsText"/>
            </w:pPr>
            <w:r>
              <w:t xml:space="preserve">ii) </w:t>
            </w:r>
            <w:r>
              <w:tab/>
              <w:t xml:space="preserve">pokud je to v souladu s platnými právními předpisy, poměr požadavku </w:t>
            </w:r>
            <w:r>
              <w:tab/>
              <w:t>kombinovaných kapitálových rezerv uvedený v čl. 128 bodě 6 směr</w:t>
            </w:r>
            <w:r>
              <w:tab/>
              <w:t>nice 2013/36/EU.</w:t>
            </w:r>
          </w:p>
          <w:p w14:paraId="2F698772" w14:textId="77777777" w:rsidR="007266CF" w:rsidRPr="002A677E" w:rsidRDefault="007266CF" w:rsidP="007266CF">
            <w:pPr>
              <w:pStyle w:val="InstructionsText"/>
            </w:pPr>
            <w:r>
              <w:t>Tento bod vyjadřuje poměr celkového kapitálového požadavku (OCR) vymezeného v oddíle 7.5 EBA SREP GL.</w:t>
            </w:r>
          </w:p>
          <w:p w14:paraId="7E7DEBA3" w14:textId="77777777" w:rsidR="007266CF" w:rsidRPr="002A677E" w:rsidRDefault="007266CF" w:rsidP="007266CF">
            <w:pPr>
              <w:pStyle w:val="InstructionsText"/>
              <w:rPr>
                <w:rStyle w:val="InstructionsTabelleberschrift"/>
                <w:rFonts w:ascii="Times New Roman" w:hAnsi="Times New Roman"/>
                <w:sz w:val="24"/>
              </w:rPr>
            </w:pPr>
            <w:r>
              <w:t>Nepoužije-li se žádný požadavek rezerv, vykazuje se pouze bod i).</w:t>
            </w:r>
          </w:p>
        </w:tc>
      </w:tr>
      <w:tr w:rsidR="007266CF" w:rsidRPr="002A677E" w14:paraId="125994D4" w14:textId="77777777" w:rsidTr="007266CF">
        <w:tc>
          <w:tcPr>
            <w:tcW w:w="1163" w:type="dxa"/>
          </w:tcPr>
          <w:p w14:paraId="245C5E4E" w14:textId="77777777" w:rsidR="007266CF" w:rsidRPr="002A677E" w:rsidRDefault="007266CF" w:rsidP="007266CF">
            <w:pPr>
              <w:pStyle w:val="InstructionsText"/>
            </w:pPr>
            <w:r>
              <w:t>0170</w:t>
            </w:r>
          </w:p>
        </w:tc>
        <w:tc>
          <w:tcPr>
            <w:tcW w:w="7620" w:type="dxa"/>
          </w:tcPr>
          <w:p w14:paraId="069AAF34"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Celkový kapitálový požadavek: složený z kmenového kapitálu tier 1 </w:t>
            </w:r>
          </w:p>
          <w:p w14:paraId="774021B3" w14:textId="77777777" w:rsidR="007266CF" w:rsidRPr="002A677E" w:rsidRDefault="007266CF" w:rsidP="007266CF">
            <w:pPr>
              <w:pStyle w:val="InstructionsText"/>
            </w:pPr>
            <w:r>
              <w:t>Součet i) a ii):</w:t>
            </w:r>
          </w:p>
          <w:p w14:paraId="7259B8A0" w14:textId="77777777" w:rsidR="007266CF" w:rsidRPr="002A677E" w:rsidRDefault="007266CF" w:rsidP="007266CF">
            <w:pPr>
              <w:pStyle w:val="InstructionsText"/>
            </w:pPr>
            <w:r>
              <w:t xml:space="preserve">i) </w:t>
            </w:r>
            <w:r>
              <w:tab/>
              <w:t>poměr TSCR z kmenového kapitálu tier 1 uvedený v řádku 0140;</w:t>
            </w:r>
          </w:p>
          <w:p w14:paraId="770CC1D7" w14:textId="77777777" w:rsidR="007266CF" w:rsidRPr="002A677E" w:rsidRDefault="007266CF" w:rsidP="007266CF">
            <w:pPr>
              <w:pStyle w:val="InstructionsText"/>
              <w:rPr>
                <w:bCs/>
                <w:u w:val="single"/>
              </w:rPr>
            </w:pPr>
            <w:r>
              <w:t xml:space="preserve">ii) </w:t>
            </w:r>
            <w:r>
              <w:tab/>
              <w:t xml:space="preserve">pokud je to v souladu s platnými právními předpisy, poměr požadavku </w:t>
            </w:r>
            <w:r>
              <w:tab/>
              <w:t>kombinovaných kapitálových rezerv uvedený v čl. 128 bodě 6 směr</w:t>
            </w:r>
            <w:r>
              <w:tab/>
              <w:t>nice 2013/36/EU.</w:t>
            </w:r>
          </w:p>
          <w:p w14:paraId="3F754EB7" w14:textId="77777777" w:rsidR="007266CF" w:rsidRPr="002A677E" w:rsidRDefault="007266CF" w:rsidP="007266CF">
            <w:pPr>
              <w:pStyle w:val="InstructionsText"/>
              <w:rPr>
                <w:rStyle w:val="InstructionsTabelleberschrift"/>
                <w:rFonts w:ascii="Times New Roman" w:hAnsi="Times New Roman"/>
                <w:b w:val="0"/>
                <w:sz w:val="24"/>
              </w:rPr>
            </w:pPr>
            <w:r>
              <w:t>Nepoužije-li se žádný požadavek rezerv, vykazuje se pouze bod i).</w:t>
            </w:r>
          </w:p>
        </w:tc>
      </w:tr>
      <w:tr w:rsidR="007266CF" w:rsidRPr="002A677E" w14:paraId="7B6D81A3" w14:textId="77777777" w:rsidTr="007266CF">
        <w:tc>
          <w:tcPr>
            <w:tcW w:w="1163" w:type="dxa"/>
          </w:tcPr>
          <w:p w14:paraId="11AF5466" w14:textId="77777777" w:rsidR="007266CF" w:rsidRPr="002A677E" w:rsidRDefault="007266CF" w:rsidP="007266CF">
            <w:pPr>
              <w:pStyle w:val="InstructionsText"/>
            </w:pPr>
            <w:r>
              <w:t>0180</w:t>
            </w:r>
          </w:p>
        </w:tc>
        <w:tc>
          <w:tcPr>
            <w:tcW w:w="7620" w:type="dxa"/>
          </w:tcPr>
          <w:p w14:paraId="0E45763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Celkový kapitálový požadavek: složený z kapitálu tier 1</w:t>
            </w:r>
          </w:p>
          <w:p w14:paraId="19D404ED" w14:textId="77777777" w:rsidR="007266CF" w:rsidRPr="002A677E" w:rsidRDefault="007266CF" w:rsidP="007266CF">
            <w:pPr>
              <w:pStyle w:val="InstructionsText"/>
            </w:pPr>
            <w:r>
              <w:t>Součet i) a ii):</w:t>
            </w:r>
          </w:p>
          <w:p w14:paraId="75CDCABE" w14:textId="77777777" w:rsidR="007266CF" w:rsidRPr="002A677E" w:rsidRDefault="007266CF" w:rsidP="007266CF">
            <w:pPr>
              <w:pStyle w:val="InstructionsText"/>
            </w:pPr>
            <w:r>
              <w:t xml:space="preserve">i) </w:t>
            </w:r>
            <w:r>
              <w:tab/>
              <w:t>poměr TSCR z kapitálu tier 1 uvedený v řádku 0150;</w:t>
            </w:r>
          </w:p>
          <w:p w14:paraId="72E7C246" w14:textId="77777777" w:rsidR="007266CF" w:rsidRPr="002A677E" w:rsidRDefault="007266CF" w:rsidP="007266CF">
            <w:pPr>
              <w:pStyle w:val="InstructionsText"/>
              <w:rPr>
                <w:bCs/>
                <w:u w:val="single"/>
              </w:rPr>
            </w:pPr>
            <w:r>
              <w:t xml:space="preserve">ii) </w:t>
            </w:r>
            <w:r>
              <w:tab/>
              <w:t xml:space="preserve">pokud je to v souladu s platnými právními předpisy, poměr požadavku </w:t>
            </w:r>
            <w:r>
              <w:tab/>
              <w:t>kombinovaných kapitálových rezerv uvedený v čl. 128 bodě 6 směr</w:t>
            </w:r>
            <w:r>
              <w:tab/>
              <w:t>nice 2013/36/EU.</w:t>
            </w:r>
          </w:p>
          <w:p w14:paraId="4014DCF5" w14:textId="77777777" w:rsidR="007266CF" w:rsidRPr="002A677E" w:rsidRDefault="007266CF" w:rsidP="007266CF">
            <w:pPr>
              <w:pStyle w:val="InstructionsText"/>
              <w:rPr>
                <w:rStyle w:val="InstructionsTabelleberschrift"/>
                <w:rFonts w:ascii="Times New Roman" w:hAnsi="Times New Roman"/>
                <w:b w:val="0"/>
                <w:sz w:val="24"/>
              </w:rPr>
            </w:pPr>
            <w:r>
              <w:t>Nepoužije-li se žádný požadavek rezerv, vykazuje se pouze bod i).</w:t>
            </w:r>
          </w:p>
        </w:tc>
      </w:tr>
      <w:tr w:rsidR="007266CF" w:rsidRPr="002A677E" w14:paraId="5A9AD073" w14:textId="77777777" w:rsidTr="007266CF">
        <w:tc>
          <w:tcPr>
            <w:tcW w:w="1163" w:type="dxa"/>
          </w:tcPr>
          <w:p w14:paraId="331333DD" w14:textId="77777777" w:rsidR="007266CF" w:rsidRPr="002A677E" w:rsidRDefault="007266CF" w:rsidP="007266CF">
            <w:pPr>
              <w:pStyle w:val="InstructionsText"/>
            </w:pPr>
            <w:r>
              <w:t>0190</w:t>
            </w:r>
          </w:p>
        </w:tc>
        <w:tc>
          <w:tcPr>
            <w:tcW w:w="7620" w:type="dxa"/>
          </w:tcPr>
          <w:p w14:paraId="02B983A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Poměr celkového kapitálového požadavku (OCR) a kapitálového pokynu podle pilíře 2 (P2G)</w:t>
            </w:r>
          </w:p>
          <w:p w14:paraId="21FB388A" w14:textId="77777777" w:rsidR="007266CF" w:rsidRPr="002A677E" w:rsidRDefault="007266CF" w:rsidP="007266CF">
            <w:pPr>
              <w:pStyle w:val="InstructionsText"/>
            </w:pPr>
            <w:r>
              <w:t>Součet i) a ii):</w:t>
            </w:r>
          </w:p>
          <w:p w14:paraId="3DB4CE71" w14:textId="77777777" w:rsidR="007266CF" w:rsidRPr="002A677E" w:rsidRDefault="007266CF" w:rsidP="007266CF">
            <w:pPr>
              <w:pStyle w:val="InstructionsText"/>
            </w:pPr>
            <w:r>
              <w:t xml:space="preserve">i) </w:t>
            </w:r>
            <w:r>
              <w:tab/>
              <w:t xml:space="preserve">poměr celkového kapitálového požadavku (OCR) uvedený v řádku </w:t>
            </w:r>
            <w:r>
              <w:tab/>
              <w:t>160;</w:t>
            </w:r>
          </w:p>
          <w:p w14:paraId="5C609A65" w14:textId="77777777" w:rsidR="007266CF" w:rsidRPr="002A677E" w:rsidRDefault="007266CF" w:rsidP="007266CF">
            <w:pPr>
              <w:pStyle w:val="InstructionsText"/>
              <w:rPr>
                <w:bCs/>
                <w:u w:val="single"/>
              </w:rPr>
            </w:pPr>
            <w:r>
              <w:t xml:space="preserve">ii) </w:t>
            </w:r>
            <w:r>
              <w:tab/>
              <w:t xml:space="preserve">v příslušných případech pokyn ohledně poměru dodatečného kapitálu </w:t>
            </w:r>
            <w:r>
              <w:tab/>
              <w:t xml:space="preserve">sdělený příslušným orgánem (kapitálový pokyn podle pilíře 2 – P2G) </w:t>
            </w:r>
            <w:r>
              <w:tab/>
              <w:t>podle čl. 104b odst. 3 směrnice 2013/36/EU. Dodatečný kapitál je vy</w:t>
            </w:r>
            <w:r>
              <w:tab/>
              <w:t xml:space="preserve">mezen v souladu s oddílem 7.7.1 EBA SREP GL. P2G se zahrnuje </w:t>
            </w:r>
            <w:r>
              <w:tab/>
              <w:t>pouze tehdy, pokud ho instituci sdělí příslušný orgán.</w:t>
            </w:r>
          </w:p>
          <w:p w14:paraId="010FEA44" w14:textId="77777777" w:rsidR="007266CF" w:rsidRPr="002A677E" w:rsidRDefault="007266CF" w:rsidP="007266CF">
            <w:pPr>
              <w:pStyle w:val="InstructionsText"/>
              <w:rPr>
                <w:rStyle w:val="InstructionsTabelleberschrift"/>
                <w:rFonts w:ascii="Times New Roman" w:hAnsi="Times New Roman"/>
                <w:b w:val="0"/>
                <w:sz w:val="24"/>
              </w:rPr>
            </w:pPr>
            <w:r>
              <w:t xml:space="preserve">Pokud příslušný orgán nesdělil žádné požadavky podle kapitálového pokynu podle pilíře 2, uvádí se pouze bod i). </w:t>
            </w:r>
            <w:r>
              <w:rPr>
                <w:rStyle w:val="InstructionsTabelleberschrift"/>
                <w:rFonts w:ascii="Times New Roman" w:hAnsi="Times New Roman"/>
                <w:b w:val="0"/>
                <w:sz w:val="24"/>
              </w:rPr>
              <w:t xml:space="preserve"> </w:t>
            </w:r>
          </w:p>
        </w:tc>
      </w:tr>
      <w:tr w:rsidR="007266CF" w:rsidRPr="002A677E" w14:paraId="47846F3B" w14:textId="77777777" w:rsidTr="007266CF">
        <w:tc>
          <w:tcPr>
            <w:tcW w:w="1163" w:type="dxa"/>
          </w:tcPr>
          <w:p w14:paraId="003BA9E5" w14:textId="77777777" w:rsidR="007266CF" w:rsidRPr="002A677E" w:rsidRDefault="007266CF" w:rsidP="007266CF">
            <w:pPr>
              <w:pStyle w:val="InstructionsText"/>
            </w:pPr>
            <w:r>
              <w:lastRenderedPageBreak/>
              <w:t>0200</w:t>
            </w:r>
          </w:p>
        </w:tc>
        <w:tc>
          <w:tcPr>
            <w:tcW w:w="7620" w:type="dxa"/>
          </w:tcPr>
          <w:p w14:paraId="0BF1542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 P2G: složený z kmenového kapitálu tier 1 </w:t>
            </w:r>
          </w:p>
          <w:p w14:paraId="44369BE9" w14:textId="77777777" w:rsidR="007266CF" w:rsidRPr="002A677E" w:rsidRDefault="007266CF" w:rsidP="007266CF">
            <w:pPr>
              <w:pStyle w:val="InstructionsText"/>
            </w:pPr>
            <w:r>
              <w:t>Součet i) a ii):</w:t>
            </w:r>
          </w:p>
          <w:p w14:paraId="7E081AE3" w14:textId="77777777" w:rsidR="007266CF" w:rsidRPr="002A677E" w:rsidRDefault="007266CF" w:rsidP="007266CF">
            <w:pPr>
              <w:pStyle w:val="InstructionsText"/>
            </w:pPr>
            <w:r>
              <w:t xml:space="preserve">i) </w:t>
            </w:r>
            <w:r>
              <w:tab/>
              <w:t>poměr OCR z kmenového kapitálu tier 1 uvedený v řádku 0170;</w:t>
            </w:r>
          </w:p>
          <w:p w14:paraId="17FC84E8" w14:textId="77777777" w:rsidR="007266CF" w:rsidRPr="002A677E" w:rsidRDefault="007266CF" w:rsidP="007266CF">
            <w:pPr>
              <w:pStyle w:val="InstructionsText"/>
              <w:rPr>
                <w:bCs/>
                <w:u w:val="single"/>
              </w:rPr>
            </w:pPr>
            <w:r>
              <w:t xml:space="preserve">ii) </w:t>
            </w:r>
            <w:r>
              <w:tab/>
              <w:t xml:space="preserve">v příslušném případě část P2G podle bodu ii) řádku 0190, která musí </w:t>
            </w:r>
            <w:r>
              <w:tab/>
              <w:t xml:space="preserve">být podle požadavku příslušného orgánu držena ve formě kmenového </w:t>
            </w:r>
            <w:r>
              <w:tab/>
              <w:t xml:space="preserve">kapitálu tier 1. P2G se zahrne pouze tehdy, pokud ho instituci sdělí </w:t>
            </w:r>
            <w:r>
              <w:tab/>
              <w:t>příslušný orgán.</w:t>
            </w:r>
          </w:p>
          <w:p w14:paraId="4D83774C" w14:textId="77777777" w:rsidR="007266CF" w:rsidRPr="002A677E" w:rsidRDefault="007266CF" w:rsidP="007266CF">
            <w:pPr>
              <w:pStyle w:val="InstructionsText"/>
              <w:rPr>
                <w:rStyle w:val="InstructionsTabelleberschrift"/>
                <w:rFonts w:ascii="Times New Roman" w:hAnsi="Times New Roman"/>
                <w:b w:val="0"/>
                <w:sz w:val="24"/>
              </w:rPr>
            </w:pPr>
            <w:r>
              <w:t>Pokud příslušný orgán nesdělil žádné požadavky podle kapitálového pokynu podle pilíře 2, uvádí se pouze bod i).</w:t>
            </w:r>
          </w:p>
        </w:tc>
      </w:tr>
      <w:tr w:rsidR="007266CF" w:rsidRPr="002A677E" w14:paraId="2CF1764D" w14:textId="77777777" w:rsidTr="007266CF">
        <w:tc>
          <w:tcPr>
            <w:tcW w:w="1163" w:type="dxa"/>
          </w:tcPr>
          <w:p w14:paraId="3EAC155B" w14:textId="77777777" w:rsidR="007266CF" w:rsidRPr="002A677E" w:rsidRDefault="007266CF" w:rsidP="007266CF">
            <w:pPr>
              <w:pStyle w:val="InstructionsText"/>
            </w:pPr>
            <w:r>
              <w:t>0210</w:t>
            </w:r>
          </w:p>
        </w:tc>
        <w:tc>
          <w:tcPr>
            <w:tcW w:w="7620" w:type="dxa"/>
          </w:tcPr>
          <w:p w14:paraId="6ABC259D"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15**</w:t>
            </w:r>
            <w:r w:rsidRPr="006223CC">
              <w:rPr>
                <w:lang w:val="fr-FR"/>
              </w:rPr>
              <w:tab/>
            </w:r>
            <w:r w:rsidRPr="006223CC">
              <w:rPr>
                <w:rStyle w:val="InstructionsTabelleberschrift"/>
                <w:rFonts w:ascii="Times New Roman" w:hAnsi="Times New Roman"/>
                <w:sz w:val="24"/>
                <w:lang w:val="fr-FR"/>
              </w:rPr>
              <w:t xml:space="preserve">OCR a P2G: složený z kapitálu tier 1 </w:t>
            </w:r>
          </w:p>
          <w:p w14:paraId="4EFBE4E8" w14:textId="77777777" w:rsidR="007266CF" w:rsidRPr="002A677E" w:rsidRDefault="007266CF" w:rsidP="007266CF">
            <w:pPr>
              <w:pStyle w:val="InstructionsText"/>
            </w:pPr>
            <w:r>
              <w:t>Součet i) a ii):</w:t>
            </w:r>
          </w:p>
          <w:p w14:paraId="30896F33" w14:textId="77777777" w:rsidR="007266CF" w:rsidRPr="002A677E" w:rsidRDefault="007266CF" w:rsidP="007266CF">
            <w:pPr>
              <w:pStyle w:val="InstructionsText"/>
            </w:pPr>
            <w:r>
              <w:t xml:space="preserve">i) </w:t>
            </w:r>
            <w:r>
              <w:tab/>
              <w:t>poměr OCR z kapitálu tier 1 uvedený v řádku 0180;</w:t>
            </w:r>
          </w:p>
          <w:p w14:paraId="237BC5FB" w14:textId="77777777" w:rsidR="007266CF" w:rsidRPr="002A677E" w:rsidRDefault="007266CF" w:rsidP="007266CF">
            <w:pPr>
              <w:pStyle w:val="InstructionsText"/>
            </w:pPr>
            <w:r>
              <w:t xml:space="preserve">ii) </w:t>
            </w:r>
            <w:r>
              <w:tab/>
              <w:t xml:space="preserve">v příslušných případech část P2R podle bodu ii) řádku 0190, která </w:t>
            </w:r>
            <w:r>
              <w:tab/>
              <w:t>musí být podle požadavku příslušného orgánu držena ve formě kapi</w:t>
            </w:r>
            <w:r>
              <w:tab/>
              <w:t>tálu tier 1. P2G se zahrne pouze tehdy, pokud ho instituci sdělí pří</w:t>
            </w:r>
            <w:r>
              <w:tab/>
              <w:t>slušný orgán.</w:t>
            </w:r>
          </w:p>
          <w:p w14:paraId="5E66E87A" w14:textId="77777777" w:rsidR="007266CF" w:rsidRPr="002A677E" w:rsidRDefault="007266CF" w:rsidP="007266CF">
            <w:pPr>
              <w:pStyle w:val="InstructionsText"/>
              <w:rPr>
                <w:rStyle w:val="InstructionsTabelleberschrift"/>
                <w:rFonts w:ascii="Times New Roman" w:hAnsi="Times New Roman"/>
                <w:b w:val="0"/>
                <w:bCs w:val="0"/>
                <w:sz w:val="24"/>
                <w:u w:val="none"/>
              </w:rPr>
            </w:pPr>
            <w:r>
              <w:t>Pokud příslušný orgán nesdělil žádné požadavky podle kapitálového pokynu podle pilíře 2, uvádí se pouze bod i).</w:t>
            </w:r>
            <w:r>
              <w:rPr>
                <w:rStyle w:val="InstructionsTabelleberschrift"/>
                <w:rFonts w:ascii="Times New Roman" w:hAnsi="Times New Roman"/>
                <w:b w:val="0"/>
                <w:sz w:val="24"/>
              </w:rPr>
              <w:t xml:space="preserve"> </w:t>
            </w:r>
          </w:p>
        </w:tc>
      </w:tr>
      <w:tr w:rsidR="007266CF" w:rsidRPr="002A677E" w14:paraId="2465AFCF" w14:textId="77777777" w:rsidTr="007266CF">
        <w:tc>
          <w:tcPr>
            <w:tcW w:w="1163" w:type="dxa"/>
          </w:tcPr>
          <w:p w14:paraId="4654239E" w14:textId="77777777" w:rsidR="007266CF" w:rsidRPr="002A677E" w:rsidRDefault="007266CF" w:rsidP="007266CF">
            <w:pPr>
              <w:pStyle w:val="InstructionsText"/>
            </w:pPr>
            <w:r>
              <w:t>0220</w:t>
            </w:r>
          </w:p>
        </w:tc>
        <w:tc>
          <w:tcPr>
            <w:tcW w:w="7620" w:type="dxa"/>
          </w:tcPr>
          <w:p w14:paraId="24E72E5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Přebytek (+) / nedostatek (−) kmenového kapitálu tier 1 s ohledem na požadavky uvedené v článku 92 nařízení (EU) č. 575/2013 a článku 104a směrnice 2013/36/EU</w:t>
            </w:r>
          </w:p>
          <w:p w14:paraId="53EA1740" w14:textId="77777777" w:rsidR="007266CF" w:rsidRPr="002A677E" w:rsidRDefault="007266CF" w:rsidP="007266CF">
            <w:pPr>
              <w:pStyle w:val="InstructionsText"/>
            </w:pPr>
            <w:r>
              <w:t>V této položce se v absolutní hodnotě uvádí částka přebytku nebo nedostatku kmenového kapitálu tier 1 vztahující se k požadavku, který je stanoven v čl. 92 odst. 1 písm. a) nařízení (EU) č. 575/2013 (4,5 %) a článku 104a směrnice 2013/36/EU – s výjimkou dodatečného kapitálu za účelem řešení rizika nadměrné páky podle odstavce 3 zmíněného článku –, v rozsahu, v jakém musí být požadavek článku 104a uvedené směrnice splněn kmenovým kapitálem tier 1. Pokud instituce musí svůj kmenový kapitál tier 1 použít ke splnění požadavků čl. 92 odst. 1 písm. b) a/nebo c) nařízení (EU) č. 575/2013 a/nebo článku 104a směrnice 2013/36/EU nad rámec toho, do jaké míry musí být požadavek článku 104a uvedené směrnice splněn kmenovým kapitálem tier 1, vykázaný přebytek nebo schodek tuto skutečnost zohlední.</w:t>
            </w:r>
          </w:p>
          <w:p w14:paraId="568AC2F2" w14:textId="77777777" w:rsidR="007266CF" w:rsidRPr="002A677E" w:rsidRDefault="007266CF" w:rsidP="007266CF">
            <w:pPr>
              <w:pStyle w:val="InstructionsText"/>
              <w:rPr>
                <w:rStyle w:val="InstructionsTabelleberschrift"/>
                <w:rFonts w:ascii="Times New Roman" w:hAnsi="Times New Roman"/>
                <w:sz w:val="24"/>
              </w:rPr>
            </w:pPr>
            <w:r>
              <w:t>Tato částka odráží kmenový kapitál tier 1, který je k dispozici ke splnění požadavku kombinovaných kapitálových rezerv a dalších požadavků.</w:t>
            </w:r>
          </w:p>
        </w:tc>
      </w:tr>
      <w:tr w:rsidR="007266CF" w:rsidRPr="002A677E" w14:paraId="77A7A773" w14:textId="77777777" w:rsidTr="007266CF">
        <w:tc>
          <w:tcPr>
            <w:tcW w:w="1163" w:type="dxa"/>
          </w:tcPr>
          <w:p w14:paraId="6C164F45" w14:textId="77777777" w:rsidR="007266CF" w:rsidRPr="002A677E" w:rsidRDefault="007266CF" w:rsidP="007266CF">
            <w:pPr>
              <w:pStyle w:val="InstructionsText"/>
            </w:pPr>
            <w:r>
              <w:t>0300</w:t>
            </w:r>
          </w:p>
        </w:tc>
        <w:tc>
          <w:tcPr>
            <w:tcW w:w="7620" w:type="dxa"/>
          </w:tcPr>
          <w:p w14:paraId="2EEBF750" w14:textId="77777777" w:rsidR="007266CF" w:rsidRPr="002A677E" w:rsidRDefault="007266CF" w:rsidP="007266CF">
            <w:pPr>
              <w:pStyle w:val="InstructionsText"/>
            </w:pPr>
            <w:r>
              <w:rPr>
                <w:b/>
              </w:rPr>
              <w:t>Poměr kmenového kapitálu tier 1 bez uplatnění přechodných ustanovení na IFRS 9</w:t>
            </w:r>
          </w:p>
          <w:p w14:paraId="2D7B8B9C" w14:textId="77777777" w:rsidR="007266CF" w:rsidRPr="002A677E" w:rsidRDefault="007266CF" w:rsidP="007266CF">
            <w:pPr>
              <w:pStyle w:val="InstructionsText"/>
              <w:rPr>
                <w:rStyle w:val="InstructionsTabelleberschrift"/>
                <w:rFonts w:ascii="Times New Roman" w:hAnsi="Times New Roman"/>
                <w:sz w:val="24"/>
              </w:rPr>
            </w:pPr>
            <w:r>
              <w:t xml:space="preserve">Ustanovení čl. 92 odst. 2 písm. a) nařízení (EU) č. 575/2013, </w:t>
            </w:r>
            <w:r>
              <w:rPr>
                <w:rStyle w:val="InstructionsTabelleberschrift"/>
                <w:rFonts w:ascii="Times New Roman" w:hAnsi="Times New Roman"/>
                <w:b w:val="0"/>
                <w:sz w:val="24"/>
              </w:rPr>
              <w:t xml:space="preserve">čl. 473a odst. 8 </w:t>
            </w:r>
            <w:r>
              <w:t xml:space="preserve">uvedeného nařízení </w:t>
            </w:r>
          </w:p>
        </w:tc>
      </w:tr>
      <w:tr w:rsidR="007266CF" w:rsidRPr="002A677E" w14:paraId="36A5017B" w14:textId="77777777" w:rsidTr="007266CF">
        <w:tc>
          <w:tcPr>
            <w:tcW w:w="1163" w:type="dxa"/>
          </w:tcPr>
          <w:p w14:paraId="75CFE76D" w14:textId="77777777" w:rsidR="007266CF" w:rsidRPr="002A677E" w:rsidRDefault="007266CF" w:rsidP="007266CF">
            <w:pPr>
              <w:pStyle w:val="InstructionsText"/>
            </w:pPr>
            <w:r>
              <w:t>0310</w:t>
            </w:r>
          </w:p>
        </w:tc>
        <w:tc>
          <w:tcPr>
            <w:tcW w:w="7620" w:type="dxa"/>
          </w:tcPr>
          <w:p w14:paraId="43EE3C28" w14:textId="77777777" w:rsidR="007266CF" w:rsidRPr="002A677E" w:rsidRDefault="007266CF" w:rsidP="007266CF">
            <w:pPr>
              <w:pStyle w:val="InstructionsText"/>
            </w:pPr>
            <w:r>
              <w:rPr>
                <w:b/>
              </w:rPr>
              <w:t>Kapitálový poměr tier 1 bez uplatnění přechodných ustanovení na IFRS 9</w:t>
            </w:r>
          </w:p>
          <w:p w14:paraId="2586923D" w14:textId="77777777" w:rsidR="007266CF" w:rsidRPr="002A677E" w:rsidRDefault="007266CF" w:rsidP="007266CF">
            <w:pPr>
              <w:pStyle w:val="InstructionsText"/>
              <w:rPr>
                <w:rStyle w:val="InstructionsTabelleberschrift"/>
                <w:rFonts w:ascii="Times New Roman" w:hAnsi="Times New Roman"/>
                <w:sz w:val="24"/>
              </w:rPr>
            </w:pPr>
            <w:r>
              <w:t xml:space="preserve">Ustanovení čl. 92 odst. 2 písm. b) nařízení (EU) č. 575/2013, </w:t>
            </w:r>
            <w:r>
              <w:rPr>
                <w:rStyle w:val="InstructionsTabelleberschrift"/>
                <w:rFonts w:ascii="Times New Roman" w:hAnsi="Times New Roman"/>
                <w:b w:val="0"/>
                <w:sz w:val="24"/>
              </w:rPr>
              <w:t xml:space="preserve">čl. 473a odst. 8 </w:t>
            </w:r>
            <w:r>
              <w:t>uvedeného nařízení</w:t>
            </w:r>
          </w:p>
        </w:tc>
      </w:tr>
      <w:tr w:rsidR="007266CF" w:rsidRPr="002A677E" w14:paraId="62A46556" w14:textId="77777777" w:rsidTr="007266CF">
        <w:tc>
          <w:tcPr>
            <w:tcW w:w="1163" w:type="dxa"/>
          </w:tcPr>
          <w:p w14:paraId="7336A4EC" w14:textId="77777777" w:rsidR="007266CF" w:rsidRPr="002A677E" w:rsidRDefault="007266CF" w:rsidP="007266CF">
            <w:pPr>
              <w:pStyle w:val="InstructionsText"/>
            </w:pPr>
            <w:r>
              <w:lastRenderedPageBreak/>
              <w:t>0320</w:t>
            </w:r>
          </w:p>
        </w:tc>
        <w:tc>
          <w:tcPr>
            <w:tcW w:w="7620" w:type="dxa"/>
          </w:tcPr>
          <w:p w14:paraId="1261D864" w14:textId="77777777" w:rsidR="007266CF" w:rsidRPr="002A677E" w:rsidRDefault="007266CF" w:rsidP="007266CF">
            <w:pPr>
              <w:pStyle w:val="InstructionsText"/>
            </w:pPr>
            <w:r>
              <w:rPr>
                <w:b/>
              </w:rPr>
              <w:t>Celkový kapitálový poměr bez uplatnění přechodných ustanovení na IFRS 9</w:t>
            </w:r>
          </w:p>
          <w:p w14:paraId="4EB7221C" w14:textId="77777777" w:rsidR="007266CF" w:rsidRPr="002A677E" w:rsidRDefault="007266CF" w:rsidP="007266CF">
            <w:pPr>
              <w:pStyle w:val="InstructionsText"/>
              <w:rPr>
                <w:rStyle w:val="InstructionsTabelleberschrift"/>
                <w:rFonts w:ascii="Times New Roman" w:hAnsi="Times New Roman"/>
                <w:sz w:val="24"/>
              </w:rPr>
            </w:pPr>
            <w:r>
              <w:t xml:space="preserve">Ustanovení čl. 92 odst. 2 písm. c) nařízení (EU) č. 575/2013, </w:t>
            </w:r>
            <w:r>
              <w:rPr>
                <w:rStyle w:val="InstructionsTabelleberschrift"/>
                <w:rFonts w:ascii="Times New Roman" w:hAnsi="Times New Roman"/>
                <w:b w:val="0"/>
                <w:sz w:val="24"/>
                <w:u w:val="none"/>
              </w:rPr>
              <w:t xml:space="preserve">čl. 473a odst. 8 </w:t>
            </w:r>
            <w:r>
              <w:t>uvedeného nařízení</w:t>
            </w:r>
          </w:p>
        </w:tc>
      </w:tr>
    </w:tbl>
    <w:p w14:paraId="57D073ED" w14:textId="77777777" w:rsidR="007266CF" w:rsidRPr="002A677E" w:rsidRDefault="007266CF" w:rsidP="007266CF">
      <w:pPr>
        <w:pStyle w:val="InstructionsText"/>
      </w:pPr>
    </w:p>
    <w:p w14:paraId="72FC2336" w14:textId="77777777" w:rsidR="007266CF" w:rsidRPr="002A677E" w:rsidRDefault="007266CF" w:rsidP="00A75C39">
      <w:pPr>
        <w:pStyle w:val="Instructionsberschrift2"/>
        <w:numPr>
          <w:ilvl w:val="1"/>
          <w:numId w:val="49"/>
        </w:numPr>
        <w:rPr>
          <w:rFonts w:ascii="Times New Roman" w:hAnsi="Times New Roman" w:cs="Times New Roman"/>
          <w:sz w:val="24"/>
        </w:rPr>
      </w:pPr>
      <w:bookmarkStart w:id="48" w:name="_Toc116026717"/>
      <w:bookmarkStart w:id="49" w:name="_Toc119077874"/>
      <w:r>
        <w:rPr>
          <w:rFonts w:ascii="Times New Roman" w:hAnsi="Times New Roman"/>
          <w:sz w:val="24"/>
        </w:rPr>
        <w:t>C 04.00 – DOPLŇKOVÉ POLOŽKY (CA4)</w:t>
      </w:r>
      <w:bookmarkEnd w:id="48"/>
      <w:bookmarkEnd w:id="49"/>
      <w:r>
        <w:rPr>
          <w:rFonts w:ascii="Times New Roman" w:hAnsi="Times New Roman"/>
          <w:sz w:val="24"/>
        </w:rPr>
        <w:t xml:space="preserve"> </w:t>
      </w:r>
    </w:p>
    <w:p w14:paraId="4DDFBFD5" w14:textId="77777777" w:rsidR="007266CF" w:rsidRPr="002A677E" w:rsidRDefault="007266CF" w:rsidP="00A75C39">
      <w:pPr>
        <w:pStyle w:val="Instructionsberschrift2"/>
        <w:numPr>
          <w:ilvl w:val="0"/>
          <w:numId w:val="50"/>
        </w:numPr>
        <w:rPr>
          <w:rFonts w:ascii="Times New Roman" w:hAnsi="Times New Roman" w:cs="Times New Roman"/>
          <w:sz w:val="24"/>
        </w:rPr>
      </w:pPr>
      <w:bookmarkStart w:id="50" w:name="_Toc116026718"/>
      <w:bookmarkStart w:id="51" w:name="_Toc119077875"/>
      <w:r>
        <w:rPr>
          <w:rFonts w:ascii="Times New Roman" w:hAnsi="Times New Roman"/>
          <w:sz w:val="24"/>
        </w:rPr>
        <w:t>Pokyny pro konkrétní</w:t>
      </w:r>
      <w:r>
        <w:t xml:space="preserve"> </w:t>
      </w:r>
      <w:r>
        <w:rPr>
          <w:rFonts w:ascii="Times New Roman" w:hAnsi="Times New Roman"/>
          <w:sz w:val="24"/>
        </w:rPr>
        <w:t>pozice</w:t>
      </w:r>
      <w:bookmarkEnd w:id="50"/>
      <w:bookmarkEnd w:id="51"/>
    </w:p>
    <w:p w14:paraId="1BCF39E7" w14:textId="77777777" w:rsidR="007266CF" w:rsidRPr="002A677E" w:rsidRDefault="007266CF" w:rsidP="007266C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7266CF" w:rsidRPr="002A677E" w14:paraId="5EDE170A" w14:textId="77777777" w:rsidTr="007266CF">
        <w:tc>
          <w:tcPr>
            <w:tcW w:w="8523" w:type="dxa"/>
            <w:gridSpan w:val="2"/>
            <w:shd w:val="clear" w:color="auto" w:fill="D9D9D9"/>
          </w:tcPr>
          <w:p w14:paraId="77ED1F7E" w14:textId="77777777" w:rsidR="007266CF" w:rsidRPr="002A677E" w:rsidRDefault="007266CF" w:rsidP="007266CF">
            <w:pPr>
              <w:pStyle w:val="InstructionsText"/>
            </w:pPr>
            <w:r>
              <w:t>Řádky</w:t>
            </w:r>
          </w:p>
        </w:tc>
      </w:tr>
      <w:tr w:rsidR="007266CF" w:rsidRPr="002A677E" w14:paraId="3340EA5F" w14:textId="77777777" w:rsidTr="007266CF">
        <w:tc>
          <w:tcPr>
            <w:tcW w:w="1474" w:type="dxa"/>
          </w:tcPr>
          <w:p w14:paraId="0926B4A0" w14:textId="77777777" w:rsidR="007266CF" w:rsidRPr="002A677E" w:rsidRDefault="007266CF" w:rsidP="007266CF">
            <w:pPr>
              <w:pStyle w:val="InstructionsText"/>
            </w:pPr>
            <w:r>
              <w:t>0010</w:t>
            </w:r>
          </w:p>
        </w:tc>
        <w:tc>
          <w:tcPr>
            <w:tcW w:w="7049" w:type="dxa"/>
          </w:tcPr>
          <w:p w14:paraId="2CEC175F" w14:textId="77777777" w:rsidR="007266CF" w:rsidRPr="002A677E" w:rsidRDefault="007266CF" w:rsidP="007266C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Odložené daňové pohledávky celkem</w:t>
            </w:r>
          </w:p>
          <w:p w14:paraId="784968A8" w14:textId="77777777" w:rsidR="007266CF" w:rsidRPr="002A677E" w:rsidRDefault="007266CF" w:rsidP="007266CF">
            <w:pPr>
              <w:pStyle w:val="InstructionsText"/>
            </w:pPr>
            <w:r>
              <w:t>Částka, která má být vykázána v této položce, se rovná částce uvedené v nejnovější ověřené/auditované účetní rozvaze.</w:t>
            </w:r>
          </w:p>
        </w:tc>
      </w:tr>
      <w:tr w:rsidR="007266CF" w:rsidRPr="006223CC" w14:paraId="7AB4D6DA" w14:textId="77777777" w:rsidTr="007266CF">
        <w:tc>
          <w:tcPr>
            <w:tcW w:w="1474" w:type="dxa"/>
          </w:tcPr>
          <w:p w14:paraId="5C6C035F" w14:textId="77777777" w:rsidR="007266CF" w:rsidRPr="002A677E" w:rsidRDefault="007266CF" w:rsidP="007266CF">
            <w:pPr>
              <w:pStyle w:val="InstructionsText"/>
            </w:pPr>
            <w:r>
              <w:t>0020</w:t>
            </w:r>
          </w:p>
        </w:tc>
        <w:tc>
          <w:tcPr>
            <w:tcW w:w="7049" w:type="dxa"/>
          </w:tcPr>
          <w:p w14:paraId="36CA2A94" w14:textId="77777777" w:rsidR="007266CF" w:rsidRPr="002A677E" w:rsidRDefault="007266CF" w:rsidP="007266C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Odložené daňové pohledávky, které nejsou závislé na budoucím zisku</w:t>
            </w:r>
          </w:p>
          <w:p w14:paraId="04D04C28" w14:textId="77777777" w:rsidR="007266CF" w:rsidRPr="006223CC" w:rsidRDefault="007266CF" w:rsidP="007266CF">
            <w:pPr>
              <w:pStyle w:val="InstructionsText"/>
              <w:rPr>
                <w:lang w:val="fr-FR"/>
              </w:rPr>
            </w:pPr>
            <w:r w:rsidRPr="006223CC">
              <w:rPr>
                <w:lang w:val="fr-FR"/>
              </w:rPr>
              <w:t>Ustanovení čl. 39 odst. 2 nařízení (EU) č. 575/2013</w:t>
            </w:r>
          </w:p>
          <w:p w14:paraId="46064C95" w14:textId="77777777" w:rsidR="007266CF" w:rsidRPr="006223CC" w:rsidRDefault="007266CF" w:rsidP="007266CF">
            <w:pPr>
              <w:pStyle w:val="InstructionsText"/>
              <w:rPr>
                <w:lang w:val="fr-FR"/>
              </w:rPr>
            </w:pPr>
            <w:r w:rsidRPr="006223CC">
              <w:rPr>
                <w:lang w:val="fr-FR"/>
              </w:rPr>
              <w:t>Odložené daňové pohledávky, které byly vytvořeny před 23. listopadem 2016 a nejsou závislé na budoucím zisku, a tudíž se na ně uplatní riziková váha.</w:t>
            </w:r>
          </w:p>
        </w:tc>
      </w:tr>
      <w:tr w:rsidR="007266CF" w:rsidRPr="002A677E" w14:paraId="24EAA3EA" w14:textId="77777777" w:rsidTr="007266CF">
        <w:tc>
          <w:tcPr>
            <w:tcW w:w="1474" w:type="dxa"/>
          </w:tcPr>
          <w:p w14:paraId="06A36A86" w14:textId="77777777" w:rsidR="007266CF" w:rsidRPr="002A677E" w:rsidRDefault="007266CF" w:rsidP="007266CF">
            <w:pPr>
              <w:pStyle w:val="InstructionsText"/>
            </w:pPr>
            <w:r>
              <w:t>0030</w:t>
            </w:r>
          </w:p>
        </w:tc>
        <w:tc>
          <w:tcPr>
            <w:tcW w:w="7049" w:type="dxa"/>
          </w:tcPr>
          <w:p w14:paraId="463A5DF0" w14:textId="77777777" w:rsidR="007266CF" w:rsidRPr="002A677E" w:rsidRDefault="007266CF" w:rsidP="007266C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Odložené daňové pohledávky, které jsou závislé na budoucím zisku a nevyplývají z přechodných rozdílů</w:t>
            </w:r>
          </w:p>
          <w:p w14:paraId="48329010" w14:textId="77777777" w:rsidR="007266CF" w:rsidRPr="002A677E" w:rsidRDefault="007266CF" w:rsidP="007266CF">
            <w:pPr>
              <w:pStyle w:val="InstructionsText"/>
            </w:pPr>
            <w:r>
              <w:t>Ustanovení čl. 36 odst. 1 písm. c) a článku 38 nařízení (EU) č. 575/2013</w:t>
            </w:r>
          </w:p>
          <w:p w14:paraId="56CD816A" w14:textId="77777777" w:rsidR="007266CF" w:rsidRPr="002A677E" w:rsidRDefault="007266CF" w:rsidP="007266CF">
            <w:pPr>
              <w:pStyle w:val="InstructionsText"/>
            </w:pPr>
            <w:r>
              <w:t>Odložené daňové pohledávky, které jsou závislé na budoucím zisku, ale nevyplývají z přechodných rozdílů, a tudíž se na ně nevztahují žádné prahové hodnoty (tj. v plném rozsahu se odečítají od kmenového kapitálu tier 1).</w:t>
            </w:r>
          </w:p>
        </w:tc>
      </w:tr>
      <w:tr w:rsidR="007266CF" w:rsidRPr="006223CC" w14:paraId="06FA2236" w14:textId="77777777" w:rsidTr="007266CF">
        <w:tc>
          <w:tcPr>
            <w:tcW w:w="1474" w:type="dxa"/>
          </w:tcPr>
          <w:p w14:paraId="589F0AC5" w14:textId="77777777" w:rsidR="007266CF" w:rsidRPr="002A677E" w:rsidRDefault="007266CF" w:rsidP="007266CF">
            <w:pPr>
              <w:pStyle w:val="InstructionsText"/>
            </w:pPr>
            <w:r>
              <w:t>0040</w:t>
            </w:r>
          </w:p>
        </w:tc>
        <w:tc>
          <w:tcPr>
            <w:tcW w:w="7049" w:type="dxa"/>
          </w:tcPr>
          <w:p w14:paraId="686CFB56" w14:textId="77777777" w:rsidR="007266CF" w:rsidRPr="002A677E" w:rsidRDefault="007266CF" w:rsidP="007266C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Odložené daňové pohledávky, které jsou závislé na budoucím zisku a vyplývají z přechodných rozdílů</w:t>
            </w:r>
          </w:p>
          <w:p w14:paraId="37F2EEEE" w14:textId="77777777" w:rsidR="007266CF" w:rsidRPr="006223CC" w:rsidRDefault="007266CF" w:rsidP="007266CF">
            <w:pPr>
              <w:pStyle w:val="InstructionsText"/>
              <w:rPr>
                <w:lang w:val="fr-FR"/>
              </w:rPr>
            </w:pPr>
            <w:r>
              <w:t>Ustanovení čl. 36 odst. 1 písm. c), článku 38 a čl. 48 odst. </w:t>
            </w:r>
            <w:r w:rsidRPr="006223CC">
              <w:rPr>
                <w:lang w:val="fr-FR"/>
              </w:rPr>
              <w:t>1 písm. a) nařízení (EU) č. 575/2013</w:t>
            </w:r>
          </w:p>
          <w:p w14:paraId="7DC4EE62" w14:textId="77777777" w:rsidR="007266CF" w:rsidRPr="006223CC" w:rsidRDefault="007266CF" w:rsidP="007266CF">
            <w:pPr>
              <w:pStyle w:val="InstructionsText"/>
              <w:rPr>
                <w:lang w:val="fr-FR"/>
              </w:rPr>
            </w:pPr>
            <w:r w:rsidRPr="006223CC">
              <w:rPr>
                <w:lang w:val="fr-FR"/>
              </w:rPr>
              <w:t>Odložené daňové pohledávky, které jsou závislé na budoucím zisku a vyplývají z přechodných rozdílů, takže na jejich odpočet od kmenového kapitálu tier 1 se vztahují prahové hodnoty ve výši 10 % a 17,65 % podle článku 48 nařízení (EU) č. 575/2013.</w:t>
            </w:r>
          </w:p>
        </w:tc>
      </w:tr>
      <w:tr w:rsidR="007266CF" w:rsidRPr="002A677E" w14:paraId="2DA6FC5F" w14:textId="77777777" w:rsidTr="007266CF">
        <w:tc>
          <w:tcPr>
            <w:tcW w:w="1474" w:type="dxa"/>
          </w:tcPr>
          <w:p w14:paraId="44FF27CA" w14:textId="77777777" w:rsidR="007266CF" w:rsidRPr="002A677E" w:rsidRDefault="007266CF" w:rsidP="007266CF">
            <w:pPr>
              <w:pStyle w:val="InstructionsText"/>
            </w:pPr>
            <w:r>
              <w:t>0050</w:t>
            </w:r>
          </w:p>
        </w:tc>
        <w:tc>
          <w:tcPr>
            <w:tcW w:w="7049" w:type="dxa"/>
          </w:tcPr>
          <w:p w14:paraId="0BA656BD" w14:textId="77777777" w:rsidR="007266CF" w:rsidRPr="002A677E" w:rsidRDefault="007266CF" w:rsidP="007266CF">
            <w:pPr>
              <w:pStyle w:val="InstructionsText"/>
            </w:pPr>
            <w:r>
              <w:rPr>
                <w:rStyle w:val="InstructionsTabelleberschrift"/>
                <w:rFonts w:ascii="Times New Roman" w:hAnsi="Times New Roman"/>
                <w:sz w:val="24"/>
              </w:rPr>
              <w:t>2. Celkové odložené daňové závazky</w:t>
            </w:r>
          </w:p>
          <w:p w14:paraId="075A48C9" w14:textId="77777777" w:rsidR="007266CF" w:rsidRPr="002A677E" w:rsidRDefault="007266CF" w:rsidP="007266CF">
            <w:pPr>
              <w:pStyle w:val="InstructionsText"/>
            </w:pPr>
            <w:r>
              <w:t>Částka, která má být vykázána v této položce, se rovná částce uvedené v nejnovější ověřené/auditované účetní rozvaze.</w:t>
            </w:r>
          </w:p>
        </w:tc>
      </w:tr>
      <w:tr w:rsidR="007266CF" w:rsidRPr="002A677E" w14:paraId="30C27D2C" w14:textId="77777777" w:rsidTr="007266CF">
        <w:tc>
          <w:tcPr>
            <w:tcW w:w="1474" w:type="dxa"/>
          </w:tcPr>
          <w:p w14:paraId="7A2C8892" w14:textId="77777777" w:rsidR="007266CF" w:rsidRPr="002A677E" w:rsidRDefault="007266CF" w:rsidP="007266CF">
            <w:pPr>
              <w:pStyle w:val="InstructionsText"/>
            </w:pPr>
            <w:r>
              <w:t>0060</w:t>
            </w:r>
          </w:p>
        </w:tc>
        <w:tc>
          <w:tcPr>
            <w:tcW w:w="7049" w:type="dxa"/>
          </w:tcPr>
          <w:p w14:paraId="198054DC" w14:textId="77777777" w:rsidR="007266CF" w:rsidRPr="002A677E" w:rsidRDefault="007266CF" w:rsidP="007266C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Odložené daňové závazky, které nelze odečíst od odložených daňových pohledávek závislých na budoucím zisku</w:t>
            </w:r>
          </w:p>
          <w:p w14:paraId="6B442D4C" w14:textId="77777777" w:rsidR="007266CF" w:rsidRPr="002A677E" w:rsidRDefault="007266CF" w:rsidP="007266CF">
            <w:pPr>
              <w:pStyle w:val="InstructionsText"/>
            </w:pPr>
            <w:r>
              <w:t>Ustanovení čl. 38 odst. 3 a 4 nařízení (EU) č. 575/2013</w:t>
            </w:r>
          </w:p>
          <w:p w14:paraId="318AB159" w14:textId="77777777" w:rsidR="007266CF" w:rsidRPr="002A677E" w:rsidRDefault="007266CF" w:rsidP="007266CF">
            <w:pPr>
              <w:pStyle w:val="InstructionsText"/>
            </w:pPr>
            <w:r>
              <w:lastRenderedPageBreak/>
              <w:t>Odložené daňové závazky, pro něž nejsou splněny podmínky uvedené v čl. 38 odst. 3 a 4 nařízení (EU) č. 575/2013. Do této položky tedy patří odložené daňové závazky snižující hodnotu goodwillu, jiných nehmotných aktiv nebo aktiv penzijního fondu definovaných požitků (uvedených ve stejném pořadí v položkách 1.1.1.10.3, 1.1.1.11.2 a 1.1.1.14.2 tabulky CA1), která má být odečtena.</w:t>
            </w:r>
          </w:p>
        </w:tc>
      </w:tr>
      <w:tr w:rsidR="007266CF" w:rsidRPr="002A677E" w14:paraId="0AF933A0" w14:textId="77777777" w:rsidTr="007266CF">
        <w:tc>
          <w:tcPr>
            <w:tcW w:w="1474" w:type="dxa"/>
          </w:tcPr>
          <w:p w14:paraId="3048D2A8" w14:textId="77777777" w:rsidR="007266CF" w:rsidRPr="002A677E" w:rsidRDefault="007266CF" w:rsidP="007266CF">
            <w:pPr>
              <w:pStyle w:val="InstructionsText"/>
            </w:pPr>
            <w:r>
              <w:lastRenderedPageBreak/>
              <w:t>0070</w:t>
            </w:r>
          </w:p>
        </w:tc>
        <w:tc>
          <w:tcPr>
            <w:tcW w:w="7049" w:type="dxa"/>
          </w:tcPr>
          <w:p w14:paraId="74C6506B" w14:textId="77777777" w:rsidR="007266CF" w:rsidRPr="002A677E" w:rsidRDefault="007266CF" w:rsidP="007266C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Odložené daňové závazky, které lze odečíst od odložených daňových pohledávek závislých na budoucím zisku</w:t>
            </w:r>
          </w:p>
          <w:p w14:paraId="77080D75" w14:textId="77777777" w:rsidR="007266CF" w:rsidRPr="002A677E" w:rsidRDefault="007266CF" w:rsidP="007266CF">
            <w:pPr>
              <w:pStyle w:val="InstructionsText"/>
            </w:pPr>
            <w:r>
              <w:t>Článek 38 nařízení (EU) č. 575/2013</w:t>
            </w:r>
          </w:p>
        </w:tc>
      </w:tr>
      <w:tr w:rsidR="007266CF" w:rsidRPr="002A677E" w14:paraId="0BEC6A88" w14:textId="77777777" w:rsidTr="007266CF">
        <w:tc>
          <w:tcPr>
            <w:tcW w:w="1474" w:type="dxa"/>
          </w:tcPr>
          <w:p w14:paraId="153E26D1" w14:textId="77777777" w:rsidR="007266CF" w:rsidRPr="002A677E" w:rsidRDefault="007266CF" w:rsidP="007266CF">
            <w:pPr>
              <w:pStyle w:val="InstructionsText"/>
            </w:pPr>
            <w:r>
              <w:t>0080</w:t>
            </w:r>
          </w:p>
        </w:tc>
        <w:tc>
          <w:tcPr>
            <w:tcW w:w="7049" w:type="dxa"/>
          </w:tcPr>
          <w:p w14:paraId="0C63E16B" w14:textId="77777777" w:rsidR="007266CF" w:rsidRPr="002A677E" w:rsidRDefault="007266CF" w:rsidP="007266C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Odpočitatelné odložené daňové závazky související s odloženými daňovými pohledávkami, které jsou závislé na budoucím zisku a nevyplývají z přechodných rozdílů</w:t>
            </w:r>
          </w:p>
          <w:p w14:paraId="6ECB6FE7" w14:textId="77777777" w:rsidR="007266CF" w:rsidRPr="002A677E" w:rsidRDefault="007266CF" w:rsidP="007266CF">
            <w:pPr>
              <w:pStyle w:val="InstructionsText"/>
            </w:pPr>
            <w:r>
              <w:t>Ustanovení čl. 38 odst. 3, 4 a 5 nařízení (EU) č. 575/2013</w:t>
            </w:r>
          </w:p>
          <w:p w14:paraId="0D90ED4D" w14:textId="77777777" w:rsidR="007266CF" w:rsidRPr="002A677E" w:rsidRDefault="007266CF" w:rsidP="007266CF">
            <w:pPr>
              <w:pStyle w:val="InstructionsText"/>
            </w:pPr>
            <w:r>
              <w:t xml:space="preserve">Odložené daňové závazky, které mohou snižovat částku odložených daňových pohledávek závislých na budoucím zisku </w:t>
            </w:r>
            <w:r>
              <w:rPr>
                <w:rStyle w:val="FormatvorlageInstructionsTabelleText"/>
                <w:rFonts w:ascii="Times New Roman" w:hAnsi="Times New Roman"/>
                <w:sz w:val="24"/>
              </w:rPr>
              <w:t>podle</w:t>
            </w:r>
            <w:r>
              <w:t xml:space="preserve"> čl. 38 odst. 3 a 4 nařízení (EU) č. 575/2013 a které nelze přiřadit k odloženým daňovým pohledávkám, jež jsou závislé na budoucím zisku, vyplývají z přechodných rozdílů a jsou vymezeny v čl. 38 odst. 5 nařízení (EU) č. 575/2013.</w:t>
            </w:r>
          </w:p>
        </w:tc>
      </w:tr>
      <w:tr w:rsidR="007266CF" w:rsidRPr="002A677E" w14:paraId="36DC7C65" w14:textId="77777777" w:rsidTr="007266CF">
        <w:tc>
          <w:tcPr>
            <w:tcW w:w="1474" w:type="dxa"/>
          </w:tcPr>
          <w:p w14:paraId="07BFA8CB" w14:textId="77777777" w:rsidR="007266CF" w:rsidRPr="002A677E" w:rsidRDefault="007266CF" w:rsidP="007266CF">
            <w:pPr>
              <w:pStyle w:val="InstructionsText"/>
            </w:pPr>
            <w:r>
              <w:t>0090</w:t>
            </w:r>
          </w:p>
        </w:tc>
        <w:tc>
          <w:tcPr>
            <w:tcW w:w="7049" w:type="dxa"/>
          </w:tcPr>
          <w:p w14:paraId="5EBB2EDD" w14:textId="77777777" w:rsidR="007266CF" w:rsidRPr="002A677E" w:rsidRDefault="007266CF" w:rsidP="007266C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Odpočitatelné odložené daňové závazky související s odloženými daňovými pohledávkami, které jsou závislé na budoucím zisku a vyplývají z přechodných rozdílů</w:t>
            </w:r>
          </w:p>
          <w:p w14:paraId="4E01BA30" w14:textId="77777777" w:rsidR="007266CF" w:rsidRPr="002A677E" w:rsidRDefault="007266CF" w:rsidP="007266CF">
            <w:pPr>
              <w:pStyle w:val="InstructionsText"/>
            </w:pPr>
            <w:r>
              <w:t>Ustanovení čl. 38 odst. 3, 4 a 5 nařízení (EU) č. 575/2013</w:t>
            </w:r>
          </w:p>
          <w:p w14:paraId="33509E7A" w14:textId="77777777" w:rsidR="007266CF" w:rsidRPr="002A677E" w:rsidRDefault="007266CF" w:rsidP="007266CF">
            <w:pPr>
              <w:pStyle w:val="InstructionsText"/>
            </w:pPr>
            <w:r>
              <w:t xml:space="preserve">Odložené daňové závazky, které mohou snižovat částku odložených daňových pohledávek závislých na budoucím zisku </w:t>
            </w:r>
            <w:r>
              <w:rPr>
                <w:rStyle w:val="FormatvorlageInstructionsTabelleText"/>
                <w:rFonts w:ascii="Times New Roman" w:hAnsi="Times New Roman"/>
                <w:sz w:val="24"/>
              </w:rPr>
              <w:t>podle</w:t>
            </w:r>
            <w:r>
              <w:t xml:space="preserve"> čl. 38 odst. 3 a 4 nařízení (EU) č. 575/2013 a které se přiřazují k odloženým daňovým pohledávkám, jež jsou závislé na budoucím zisku, vyplývají z přechodných rozdílů a jsou vymezeny v čl. 38 odst. 5 nařízení (EU) č. 575/2013.</w:t>
            </w:r>
          </w:p>
        </w:tc>
      </w:tr>
      <w:tr w:rsidR="007266CF" w:rsidRPr="006223CC" w14:paraId="29ADF686" w14:textId="77777777" w:rsidTr="007266CF">
        <w:tc>
          <w:tcPr>
            <w:tcW w:w="1474" w:type="dxa"/>
          </w:tcPr>
          <w:p w14:paraId="439D12DF" w14:textId="77777777" w:rsidR="007266CF" w:rsidRPr="002A677E" w:rsidRDefault="007266CF" w:rsidP="007266CF">
            <w:pPr>
              <w:pStyle w:val="InstructionsText"/>
            </w:pPr>
            <w:r>
              <w:t>0093</w:t>
            </w:r>
          </w:p>
        </w:tc>
        <w:tc>
          <w:tcPr>
            <w:tcW w:w="7049" w:type="dxa"/>
          </w:tcPr>
          <w:p w14:paraId="7BE9C93A" w14:textId="77777777" w:rsidR="007266CF" w:rsidRPr="002A677E" w:rsidRDefault="007266CF" w:rsidP="007266C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Přeplatky daně a zpětně použité daňové ztráty</w:t>
            </w:r>
          </w:p>
          <w:p w14:paraId="52D9BC91" w14:textId="77777777" w:rsidR="007266CF" w:rsidRPr="006223CC" w:rsidRDefault="007266CF" w:rsidP="007266CF">
            <w:pPr>
              <w:pStyle w:val="InstructionsText"/>
              <w:rPr>
                <w:lang w:val="fr-FR"/>
              </w:rPr>
            </w:pPr>
            <w:r w:rsidRPr="006223CC">
              <w:rPr>
                <w:lang w:val="fr-FR"/>
              </w:rPr>
              <w:t>Ustanovení čl. 39 odst. 1 nařízení (EU) č. 575/2013</w:t>
            </w:r>
          </w:p>
          <w:p w14:paraId="0623E251" w14:textId="77777777" w:rsidR="007266CF" w:rsidRPr="006223CC" w:rsidRDefault="007266CF" w:rsidP="007266CF">
            <w:pPr>
              <w:pStyle w:val="InstructionsText"/>
              <w:rPr>
                <w:rStyle w:val="InstructionsTabelleberschrift"/>
                <w:rFonts w:ascii="Times New Roman" w:hAnsi="Times New Roman"/>
                <w:b w:val="0"/>
                <w:bCs w:val="0"/>
                <w:sz w:val="24"/>
                <w:u w:val="none"/>
                <w:lang w:val="fr-FR"/>
              </w:rPr>
            </w:pPr>
            <w:r w:rsidRPr="006223CC">
              <w:rPr>
                <w:lang w:val="fr-FR"/>
              </w:rPr>
              <w:t>Částka přeplatků daně a zpětně použitých daňových ztrát, která není odečtena od kapitálu podle čl. 39 odst. 1 nařízení (EU) č. 575/2013; vykázanou částkou je částka před použitím rizikových vah.</w:t>
            </w:r>
          </w:p>
        </w:tc>
      </w:tr>
      <w:tr w:rsidR="007266CF" w:rsidRPr="006223CC" w14:paraId="4A4538D8" w14:textId="77777777" w:rsidTr="007266CF">
        <w:tc>
          <w:tcPr>
            <w:tcW w:w="1474" w:type="dxa"/>
          </w:tcPr>
          <w:p w14:paraId="11D735E5" w14:textId="77777777" w:rsidR="007266CF" w:rsidRPr="002A677E" w:rsidRDefault="007266CF" w:rsidP="007266CF">
            <w:pPr>
              <w:pStyle w:val="InstructionsText"/>
            </w:pPr>
            <w:r>
              <w:t>0096</w:t>
            </w:r>
          </w:p>
        </w:tc>
        <w:tc>
          <w:tcPr>
            <w:tcW w:w="7049" w:type="dxa"/>
          </w:tcPr>
          <w:p w14:paraId="083B430C" w14:textId="77777777" w:rsidR="007266CF" w:rsidRPr="002A677E" w:rsidRDefault="007266CF" w:rsidP="007266C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Odložené daňové pohledávky, které podléhají rizikové váze ve výši 250</w:t>
            </w:r>
            <w:r>
              <w:t> </w:t>
            </w:r>
            <w:r>
              <w:rPr>
                <w:rStyle w:val="InstructionsTabelleberschrift"/>
                <w:rFonts w:ascii="Times New Roman" w:hAnsi="Times New Roman"/>
                <w:sz w:val="24"/>
              </w:rPr>
              <w:t>%</w:t>
            </w:r>
          </w:p>
          <w:p w14:paraId="6487E751" w14:textId="77777777" w:rsidR="007266CF" w:rsidRPr="006223CC" w:rsidRDefault="007266CF" w:rsidP="007266CF">
            <w:pPr>
              <w:pStyle w:val="InstructionsText"/>
              <w:rPr>
                <w:lang w:val="fr-FR"/>
              </w:rPr>
            </w:pPr>
            <w:r w:rsidRPr="006223CC">
              <w:rPr>
                <w:lang w:val="fr-FR"/>
              </w:rPr>
              <w:t>Ustanovení čl. 48 odst. 4 nařízení (EU) č. 575/2013</w:t>
            </w:r>
          </w:p>
          <w:p w14:paraId="4CC204F6" w14:textId="77777777" w:rsidR="007266CF" w:rsidRPr="006223CC" w:rsidRDefault="007266CF" w:rsidP="007266CF">
            <w:pPr>
              <w:pStyle w:val="InstructionsText"/>
              <w:rPr>
                <w:rStyle w:val="InstructionsTabelleberschrift"/>
                <w:rFonts w:ascii="Times New Roman" w:hAnsi="Times New Roman"/>
                <w:b w:val="0"/>
                <w:bCs w:val="0"/>
                <w:sz w:val="24"/>
                <w:u w:val="none"/>
                <w:lang w:val="fr-FR"/>
              </w:rPr>
            </w:pPr>
            <w:r w:rsidRPr="006223CC">
              <w:rPr>
                <w:lang w:val="fr-FR"/>
              </w:rPr>
              <w:t xml:space="preserve">Částka odložených daňových pohledávek, které jsou závislé na budoucím zisku a vyplývají z přechodných rozdílů, které nejsou odečteny podle čl. 48 odst. 1 nařízení (EU) č. 575/2013, avšak podléhají rizikové váze 250 % podle čl. 48 odst. 4 uvedeného nařízení, při zohlednění dopadu článku 470, čl. 478 odst. 2 a čl. 473a odst. 7 písm. a) téhož </w:t>
            </w:r>
            <w:r w:rsidRPr="006223CC">
              <w:rPr>
                <w:lang w:val="fr-FR"/>
              </w:rPr>
              <w:lastRenderedPageBreak/>
              <w:t>nařízení. Vykázanou částkou je částka odložených daňových pohledávek před použitím rizikové váhy.</w:t>
            </w:r>
          </w:p>
        </w:tc>
      </w:tr>
      <w:tr w:rsidR="007266CF" w:rsidRPr="006223CC" w14:paraId="36D9720B" w14:textId="77777777" w:rsidTr="007266CF">
        <w:tc>
          <w:tcPr>
            <w:tcW w:w="1474" w:type="dxa"/>
          </w:tcPr>
          <w:p w14:paraId="5CA28A63" w14:textId="77777777" w:rsidR="007266CF" w:rsidRPr="002A677E" w:rsidRDefault="007266CF" w:rsidP="007266CF">
            <w:pPr>
              <w:pStyle w:val="InstructionsText"/>
            </w:pPr>
            <w:r>
              <w:lastRenderedPageBreak/>
              <w:t>0097</w:t>
            </w:r>
          </w:p>
        </w:tc>
        <w:tc>
          <w:tcPr>
            <w:tcW w:w="7049" w:type="dxa"/>
          </w:tcPr>
          <w:p w14:paraId="62A3E296" w14:textId="77777777" w:rsidR="007266CF" w:rsidRPr="002A677E" w:rsidRDefault="007266CF" w:rsidP="007266CF">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Odložené daňové pohledávky, které podléhají rizikové váze ve výši 0</w:t>
            </w:r>
            <w:r>
              <w:t> </w:t>
            </w:r>
            <w:r>
              <w:rPr>
                <w:rStyle w:val="InstructionsTabelleberschrift"/>
                <w:rFonts w:ascii="Times New Roman" w:hAnsi="Times New Roman"/>
                <w:sz w:val="24"/>
              </w:rPr>
              <w:t>%</w:t>
            </w:r>
          </w:p>
          <w:p w14:paraId="4438808A" w14:textId="77777777" w:rsidR="007266CF" w:rsidRPr="006223CC" w:rsidRDefault="007266CF" w:rsidP="007266CF">
            <w:pPr>
              <w:pStyle w:val="InstructionsText"/>
              <w:rPr>
                <w:lang w:val="fr-FR"/>
              </w:rPr>
            </w:pPr>
            <w:r>
              <w:t>Ustanovení čl. 469 odst. 1 písm. d), článku 470, čl. 472 odst. </w:t>
            </w:r>
            <w:r w:rsidRPr="006223CC">
              <w:rPr>
                <w:lang w:val="fr-FR"/>
              </w:rPr>
              <w:t>5 a článku 478 nařízení (EU) č. 575/2013</w:t>
            </w:r>
          </w:p>
          <w:p w14:paraId="46A80520" w14:textId="77777777" w:rsidR="007266CF" w:rsidRPr="006223CC" w:rsidRDefault="007266CF" w:rsidP="007266CF">
            <w:pPr>
              <w:pStyle w:val="InstructionsText"/>
              <w:rPr>
                <w:rStyle w:val="InstructionsTabelleberschrift"/>
                <w:rFonts w:ascii="Times New Roman" w:hAnsi="Times New Roman"/>
                <w:b w:val="0"/>
                <w:bCs w:val="0"/>
                <w:sz w:val="24"/>
                <w:u w:val="none"/>
                <w:lang w:val="fr-FR"/>
              </w:rPr>
            </w:pPr>
            <w:r w:rsidRPr="006223CC">
              <w:rPr>
                <w:lang w:val="fr-FR"/>
              </w:rPr>
              <w:t>Částka odložených daňových pohledávek, které jsou závislé na budoucím zisku a vyplývají z přechodných rozdílů, které nejsou odečteny podle čl. 469 odst. 1 písm. d), článku 470 nařízení (EU) č. 575/2013, čl. 478 odst. 2 a čl. 473a odst. 7 písm. a) uvedeného nařízení, avšak podléhají rizikové váze 0 % podle čl. 472 odst. 5 zmíněného nařízení. Vykázanou částkou je částka odložených daňových pohledávek před použitím rizikové váhy.</w:t>
            </w:r>
          </w:p>
        </w:tc>
      </w:tr>
      <w:tr w:rsidR="007266CF" w:rsidRPr="002A677E" w14:paraId="63FE99B1" w14:textId="77777777" w:rsidTr="007266CF">
        <w:tc>
          <w:tcPr>
            <w:tcW w:w="1474" w:type="dxa"/>
          </w:tcPr>
          <w:p w14:paraId="4EF8EC88" w14:textId="77777777" w:rsidR="007266CF" w:rsidRPr="002A677E" w:rsidRDefault="007266CF" w:rsidP="007266CF">
            <w:pPr>
              <w:pStyle w:val="InstructionsText"/>
            </w:pPr>
            <w:r>
              <w:t>0901</w:t>
            </w:r>
          </w:p>
        </w:tc>
        <w:tc>
          <w:tcPr>
            <w:tcW w:w="7049" w:type="dxa"/>
          </w:tcPr>
          <w:p w14:paraId="3E9703C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2W Aktiva v podobě softwaru zaúčtovaná jako nehmotná aktiva vyňatá z odpočtu od kmenového kapitálu tier 1</w:t>
            </w:r>
          </w:p>
          <w:p w14:paraId="427807F6" w14:textId="77777777" w:rsidR="007266CF" w:rsidRPr="002A677E" w:rsidRDefault="007266CF" w:rsidP="007266CF">
            <w:pPr>
              <w:pStyle w:val="InstructionsText"/>
            </w:pPr>
            <w:r>
              <w:t>Ustanovení čl. 36 odst. 1 písm. b) nařízení (EU) č. 575/2013</w:t>
            </w:r>
          </w:p>
          <w:p w14:paraId="11D64415" w14:textId="77777777" w:rsidR="007266CF" w:rsidRPr="002A677E" w:rsidRDefault="007266CF" w:rsidP="007266CF">
            <w:pPr>
              <w:pStyle w:val="InstructionsText"/>
              <w:rPr>
                <w:rStyle w:val="InstructionsTabelleberschrift"/>
                <w:rFonts w:ascii="Times New Roman" w:hAnsi="Times New Roman"/>
                <w:sz w:val="24"/>
              </w:rPr>
            </w:pPr>
            <w:r>
              <w:t>Instituce vykazují částku obezřetně oceněných aktiv v podobě softwaru vyňatých z odpočtu od položek kmenového kapitálu tier 1 podle článku 13a nařízení v přenesené pravomoci (EU) č. 241/2014.</w:t>
            </w:r>
          </w:p>
        </w:tc>
      </w:tr>
      <w:tr w:rsidR="007266CF" w:rsidRPr="002A677E" w14:paraId="4058B4BB" w14:textId="77777777" w:rsidTr="007266CF">
        <w:tc>
          <w:tcPr>
            <w:tcW w:w="1474" w:type="dxa"/>
          </w:tcPr>
          <w:p w14:paraId="395B00C1" w14:textId="77777777" w:rsidR="007266CF" w:rsidRPr="002A677E" w:rsidRDefault="007266CF" w:rsidP="007266CF">
            <w:pPr>
              <w:pStyle w:val="InstructionsText"/>
            </w:pPr>
            <w:r>
              <w:t>0905</w:t>
            </w:r>
          </w:p>
        </w:tc>
        <w:tc>
          <w:tcPr>
            <w:tcW w:w="7049" w:type="dxa"/>
          </w:tcPr>
          <w:p w14:paraId="7338C3B4"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2Y Nástroje zahrnované do vedlejšího kapitálu tier 1 a související emisní ážio klasifikované podle platných účetních standardů jako vlastní kapitál</w:t>
            </w:r>
          </w:p>
          <w:p w14:paraId="63B8B731" w14:textId="77777777" w:rsidR="007266CF" w:rsidRPr="002A677E" w:rsidRDefault="007266CF" w:rsidP="007266CF">
            <w:pPr>
              <w:pStyle w:val="InstructionsText"/>
              <w:rPr>
                <w:rStyle w:val="InstructionsTabelleberschrift"/>
                <w:rFonts w:ascii="Times New Roman" w:hAnsi="Times New Roman"/>
                <w:sz w:val="24"/>
              </w:rPr>
            </w:pPr>
            <w:r>
              <w:t>Hodnota nástrojů zahrnovaných do vedlejšího kapitálu tier 1, jež jsou podle platného účetního standardu klasifikovány jako vlastní kapitál, včetně souvisejícího emisního ážia</w:t>
            </w:r>
          </w:p>
        </w:tc>
      </w:tr>
      <w:tr w:rsidR="007266CF" w:rsidRPr="002A677E" w14:paraId="688A1870" w14:textId="77777777" w:rsidTr="007266CF">
        <w:tc>
          <w:tcPr>
            <w:tcW w:w="1474" w:type="dxa"/>
          </w:tcPr>
          <w:p w14:paraId="261A5349" w14:textId="77777777" w:rsidR="007266CF" w:rsidRPr="002A677E" w:rsidRDefault="007266CF" w:rsidP="007266CF">
            <w:pPr>
              <w:pStyle w:val="InstructionsText"/>
            </w:pPr>
            <w:r>
              <w:t>0906</w:t>
            </w:r>
          </w:p>
        </w:tc>
        <w:tc>
          <w:tcPr>
            <w:tcW w:w="7049" w:type="dxa"/>
          </w:tcPr>
          <w:p w14:paraId="5AF9D9D4"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2Z Nástroje zahrnované do vedlejšího kapitálu tier 1 a související emisní ážio klasifikované podle platných účetních standardů jako závazky</w:t>
            </w:r>
          </w:p>
          <w:p w14:paraId="3E2690B4" w14:textId="77777777" w:rsidR="007266CF" w:rsidRPr="002A677E" w:rsidRDefault="007266CF" w:rsidP="007266CF">
            <w:pPr>
              <w:pStyle w:val="InstructionsText"/>
              <w:rPr>
                <w:rStyle w:val="InstructionsTabelleberschrift"/>
                <w:rFonts w:ascii="Times New Roman" w:hAnsi="Times New Roman"/>
                <w:sz w:val="24"/>
              </w:rPr>
            </w:pPr>
            <w:r>
              <w:t>Hodnota nástrojů zahrnovaných do vedlejšího kapitálu tier 1, jež jsou podle platného účetního standardu klasifikovány jako závazky, včetně souvisejícího emisního ážia</w:t>
            </w:r>
          </w:p>
        </w:tc>
      </w:tr>
      <w:tr w:rsidR="007266CF" w:rsidRPr="002A677E" w14:paraId="4AB24419" w14:textId="77777777" w:rsidTr="007266CF">
        <w:tc>
          <w:tcPr>
            <w:tcW w:w="1474" w:type="dxa"/>
          </w:tcPr>
          <w:p w14:paraId="14D872BB" w14:textId="77777777" w:rsidR="007266CF" w:rsidRPr="002A677E" w:rsidRDefault="007266CF" w:rsidP="007266CF">
            <w:pPr>
              <w:pStyle w:val="InstructionsText"/>
            </w:pPr>
            <w:r>
              <w:t>0100</w:t>
            </w:r>
          </w:p>
        </w:tc>
        <w:tc>
          <w:tcPr>
            <w:tcW w:w="7049" w:type="dxa"/>
          </w:tcPr>
          <w:p w14:paraId="4EB634F1"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Přebytek (+) nebo schodek (−) podle IRB plynoucí z úprav o úvěrové riziko, dodatečných úprav ocenění a dalšího snížení kapitálu o očekávané ztráty z expozic, které nejsou v selhání</w:t>
            </w:r>
          </w:p>
          <w:p w14:paraId="3F19E68E" w14:textId="77777777" w:rsidR="007266CF" w:rsidRPr="002A677E" w:rsidRDefault="007266CF" w:rsidP="007266CF">
            <w:pPr>
              <w:pStyle w:val="InstructionsText"/>
            </w:pPr>
            <w:r>
              <w:t>Ustanovení čl. 36 odst. 1 písm. d), čl. 62 písm. d), článků 158 a 159 nařízení (EU) č. 575/2013</w:t>
            </w:r>
          </w:p>
          <w:p w14:paraId="5FAEA9BB" w14:textId="77777777" w:rsidR="007266CF" w:rsidRPr="002A677E" w:rsidRDefault="007266CF" w:rsidP="007266CF">
            <w:pPr>
              <w:pStyle w:val="InstructionsText"/>
            </w:pPr>
            <w:r>
              <w:t>Tuto položku uvádí pouze instituce používající přístup IRB.</w:t>
            </w:r>
          </w:p>
        </w:tc>
      </w:tr>
      <w:tr w:rsidR="007266CF" w:rsidRPr="002A677E" w14:paraId="67E2AE4D" w14:textId="77777777" w:rsidTr="007266CF">
        <w:tc>
          <w:tcPr>
            <w:tcW w:w="1474" w:type="dxa"/>
          </w:tcPr>
          <w:p w14:paraId="33EB52C4" w14:textId="77777777" w:rsidR="007266CF" w:rsidRPr="002A677E" w:rsidRDefault="007266CF" w:rsidP="007266CF">
            <w:pPr>
              <w:pStyle w:val="InstructionsText"/>
            </w:pPr>
            <w:r>
              <w:t>0110</w:t>
            </w:r>
          </w:p>
        </w:tc>
        <w:tc>
          <w:tcPr>
            <w:tcW w:w="7049" w:type="dxa"/>
          </w:tcPr>
          <w:p w14:paraId="65D30151" w14:textId="77777777" w:rsidR="007266CF" w:rsidRPr="002A677E" w:rsidRDefault="007266CF" w:rsidP="007266C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Celkové úpravy o úvěrové riziko, dodatečné úpravy ocenění a další snížení kapitálu, které lze začlenit do výpočtu výše očekávaných ztrát</w:t>
            </w:r>
          </w:p>
          <w:p w14:paraId="6AE671A4" w14:textId="77777777" w:rsidR="007266CF" w:rsidRPr="002A677E" w:rsidRDefault="007266CF" w:rsidP="007266CF">
            <w:pPr>
              <w:pStyle w:val="InstructionsText"/>
            </w:pPr>
            <w:r>
              <w:t>Článek 159 nařízení (EU) č. 575/2013</w:t>
            </w:r>
          </w:p>
          <w:p w14:paraId="25A28C07" w14:textId="77777777" w:rsidR="007266CF" w:rsidRPr="002A677E" w:rsidRDefault="007266CF" w:rsidP="007266CF">
            <w:pPr>
              <w:pStyle w:val="InstructionsText"/>
            </w:pPr>
            <w:r>
              <w:t>Tuto položku uvádí pouze instituce používající přístup IRB.</w:t>
            </w:r>
          </w:p>
        </w:tc>
      </w:tr>
      <w:tr w:rsidR="007266CF" w:rsidRPr="002A677E" w14:paraId="34DE40B2" w14:textId="77777777" w:rsidTr="007266CF">
        <w:tc>
          <w:tcPr>
            <w:tcW w:w="1474" w:type="dxa"/>
          </w:tcPr>
          <w:p w14:paraId="7E459DEE" w14:textId="77777777" w:rsidR="007266CF" w:rsidRPr="002A677E" w:rsidRDefault="007266CF" w:rsidP="007266CF">
            <w:pPr>
              <w:pStyle w:val="InstructionsText"/>
            </w:pPr>
            <w:r>
              <w:lastRenderedPageBreak/>
              <w:t>0120</w:t>
            </w:r>
          </w:p>
        </w:tc>
        <w:tc>
          <w:tcPr>
            <w:tcW w:w="7049" w:type="dxa"/>
          </w:tcPr>
          <w:p w14:paraId="4FC8AB1F" w14:textId="77777777" w:rsidR="007266CF" w:rsidRPr="002A677E" w:rsidRDefault="007266CF" w:rsidP="007266C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Obecné úpravy o úvěrové riziko</w:t>
            </w:r>
          </w:p>
          <w:p w14:paraId="6059A13F" w14:textId="77777777" w:rsidR="007266CF" w:rsidRPr="002A677E" w:rsidRDefault="007266CF" w:rsidP="007266CF">
            <w:pPr>
              <w:pStyle w:val="InstructionsText"/>
            </w:pPr>
            <w:r>
              <w:t>Článek 159 nařízení (EU) č. 575/2013</w:t>
            </w:r>
          </w:p>
          <w:p w14:paraId="698BD7AF" w14:textId="77777777" w:rsidR="007266CF" w:rsidRPr="002A677E" w:rsidRDefault="007266CF" w:rsidP="007266CF">
            <w:pPr>
              <w:pStyle w:val="InstructionsText"/>
            </w:pPr>
            <w:r>
              <w:t>Tuto položku uvádí pouze instituce používající přístup IRB.</w:t>
            </w:r>
          </w:p>
        </w:tc>
      </w:tr>
      <w:tr w:rsidR="007266CF" w:rsidRPr="002A677E" w14:paraId="70A68A4E" w14:textId="77777777" w:rsidTr="007266CF">
        <w:tc>
          <w:tcPr>
            <w:tcW w:w="1474" w:type="dxa"/>
          </w:tcPr>
          <w:p w14:paraId="4D64CAA0" w14:textId="77777777" w:rsidR="007266CF" w:rsidRPr="002A677E" w:rsidRDefault="007266CF" w:rsidP="007266CF">
            <w:pPr>
              <w:pStyle w:val="InstructionsText"/>
            </w:pPr>
            <w:r>
              <w:t>0130</w:t>
            </w:r>
          </w:p>
        </w:tc>
        <w:tc>
          <w:tcPr>
            <w:tcW w:w="7049" w:type="dxa"/>
          </w:tcPr>
          <w:p w14:paraId="2EBE2D6C" w14:textId="77777777" w:rsidR="007266CF" w:rsidRPr="002A677E" w:rsidRDefault="007266CF" w:rsidP="007266C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Specifické úpravy o úvěrové riziko</w:t>
            </w:r>
          </w:p>
          <w:p w14:paraId="50E16525" w14:textId="77777777" w:rsidR="007266CF" w:rsidRPr="002A677E" w:rsidRDefault="007266CF" w:rsidP="007266CF">
            <w:pPr>
              <w:pStyle w:val="InstructionsText"/>
            </w:pPr>
            <w:r>
              <w:t>Článek 159 nařízení (EU) č. 575/2013</w:t>
            </w:r>
          </w:p>
          <w:p w14:paraId="71F21F45" w14:textId="77777777" w:rsidR="007266CF" w:rsidRPr="002A677E" w:rsidRDefault="007266CF" w:rsidP="007266CF">
            <w:pPr>
              <w:pStyle w:val="InstructionsText"/>
            </w:pPr>
            <w:r>
              <w:t>Tuto položku uvádí pouze instituce používající přístup IRB.</w:t>
            </w:r>
          </w:p>
        </w:tc>
      </w:tr>
      <w:tr w:rsidR="007266CF" w:rsidRPr="006223CC" w14:paraId="3447867F" w14:textId="77777777" w:rsidTr="007266CF">
        <w:tc>
          <w:tcPr>
            <w:tcW w:w="1474" w:type="dxa"/>
          </w:tcPr>
          <w:p w14:paraId="4014D66F" w14:textId="77777777" w:rsidR="007266CF" w:rsidRPr="002A677E" w:rsidRDefault="007266CF" w:rsidP="007266CF">
            <w:pPr>
              <w:pStyle w:val="InstructionsText"/>
            </w:pPr>
            <w:r>
              <w:t>0131</w:t>
            </w:r>
          </w:p>
        </w:tc>
        <w:tc>
          <w:tcPr>
            <w:tcW w:w="7049" w:type="dxa"/>
          </w:tcPr>
          <w:p w14:paraId="7A734327"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Dodatečné úpravy ocenění a další snížení kapitálu</w:t>
            </w:r>
          </w:p>
          <w:p w14:paraId="32E41F69" w14:textId="77777777" w:rsidR="007266CF" w:rsidRPr="006223CC" w:rsidRDefault="007266CF" w:rsidP="007266CF">
            <w:pPr>
              <w:pStyle w:val="InstructionsText"/>
              <w:rPr>
                <w:rStyle w:val="InstructionsTabelleberschrift"/>
                <w:rFonts w:ascii="Times New Roman" w:hAnsi="Times New Roman"/>
                <w:b w:val="0"/>
                <w:sz w:val="24"/>
                <w:u w:val="none"/>
                <w:lang w:val="fr-FR"/>
              </w:rPr>
            </w:pPr>
            <w:r w:rsidRPr="006223CC">
              <w:rPr>
                <w:rStyle w:val="InstructionsTabelleberschrift"/>
                <w:rFonts w:ascii="Times New Roman" w:hAnsi="Times New Roman"/>
                <w:b w:val="0"/>
                <w:sz w:val="24"/>
                <w:u w:val="none"/>
                <w:lang w:val="fr-FR"/>
              </w:rPr>
              <w:t xml:space="preserve">Články 34, 110 a 159 </w:t>
            </w:r>
            <w:r w:rsidRPr="006223CC">
              <w:rPr>
                <w:lang w:val="fr-FR"/>
              </w:rPr>
              <w:t>nařízení (EU) č. 575/2013</w:t>
            </w:r>
          </w:p>
          <w:p w14:paraId="7495DCE0" w14:textId="77777777" w:rsidR="007266CF" w:rsidRPr="006223CC" w:rsidRDefault="007266CF" w:rsidP="007266CF">
            <w:pPr>
              <w:pStyle w:val="InstructionsText"/>
              <w:rPr>
                <w:rStyle w:val="InstructionsTabelleberschrift"/>
                <w:rFonts w:ascii="Times New Roman" w:hAnsi="Times New Roman"/>
                <w:b w:val="0"/>
                <w:bCs w:val="0"/>
                <w:sz w:val="24"/>
                <w:u w:val="none"/>
                <w:lang w:val="fr-FR"/>
              </w:rPr>
            </w:pPr>
            <w:r w:rsidRPr="006223CC">
              <w:rPr>
                <w:lang w:val="fr-FR"/>
              </w:rPr>
              <w:t>Tuto položku uvádí pouze instituce používající přístup IRB.</w:t>
            </w:r>
          </w:p>
        </w:tc>
      </w:tr>
      <w:tr w:rsidR="007266CF" w:rsidRPr="006223CC" w14:paraId="6726C69E" w14:textId="77777777" w:rsidTr="007266CF">
        <w:tc>
          <w:tcPr>
            <w:tcW w:w="1474" w:type="dxa"/>
          </w:tcPr>
          <w:p w14:paraId="36FF7933" w14:textId="77777777" w:rsidR="007266CF" w:rsidRPr="002A677E" w:rsidRDefault="007266CF" w:rsidP="007266CF">
            <w:pPr>
              <w:pStyle w:val="InstructionsText"/>
            </w:pPr>
            <w:r>
              <w:t>0140</w:t>
            </w:r>
          </w:p>
        </w:tc>
        <w:tc>
          <w:tcPr>
            <w:tcW w:w="7049" w:type="dxa"/>
          </w:tcPr>
          <w:p w14:paraId="01D962D0" w14:textId="77777777" w:rsidR="007266CF" w:rsidRPr="002A677E" w:rsidRDefault="007266CF" w:rsidP="007266C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Celkové způsobilé očekávané ztráty </w:t>
            </w:r>
          </w:p>
          <w:p w14:paraId="0BB06B68" w14:textId="77777777" w:rsidR="007266CF" w:rsidRPr="006223CC" w:rsidRDefault="007266CF" w:rsidP="007266CF">
            <w:pPr>
              <w:pStyle w:val="InstructionsText"/>
              <w:rPr>
                <w:lang w:val="fr-FR"/>
              </w:rPr>
            </w:pPr>
            <w:r>
              <w:t>Ustanovení čl. 158 odst. </w:t>
            </w:r>
            <w:r w:rsidRPr="006223CC">
              <w:rPr>
                <w:lang w:val="fr-FR"/>
              </w:rPr>
              <w:t>5, 6 a 10 a článku 159 nařízení (EU) č. 575/2013</w:t>
            </w:r>
          </w:p>
          <w:p w14:paraId="0A151DD9" w14:textId="77777777" w:rsidR="007266CF" w:rsidRPr="006223CC" w:rsidRDefault="007266CF" w:rsidP="007266CF">
            <w:pPr>
              <w:pStyle w:val="InstructionsText"/>
              <w:rPr>
                <w:lang w:val="fr-FR"/>
              </w:rPr>
            </w:pPr>
            <w:r w:rsidRPr="006223CC">
              <w:rPr>
                <w:lang w:val="fr-FR"/>
              </w:rPr>
              <w:t>Tuto položku uvádí pouze instituce používající přístup IRB. Vykazuje se pouze očekávaná ztráta související s expozicemi, u nichž nedošlo k selhání.</w:t>
            </w:r>
          </w:p>
        </w:tc>
      </w:tr>
      <w:tr w:rsidR="007266CF" w:rsidRPr="002A677E" w14:paraId="009E3F2A" w14:textId="77777777" w:rsidTr="007266CF">
        <w:tc>
          <w:tcPr>
            <w:tcW w:w="1474" w:type="dxa"/>
          </w:tcPr>
          <w:p w14:paraId="559E8034" w14:textId="77777777" w:rsidR="007266CF" w:rsidRPr="002A677E" w:rsidRDefault="007266CF" w:rsidP="007266CF">
            <w:pPr>
              <w:pStyle w:val="InstructionsText"/>
            </w:pPr>
            <w:r>
              <w:t>0145</w:t>
            </w:r>
          </w:p>
        </w:tc>
        <w:tc>
          <w:tcPr>
            <w:tcW w:w="7049" w:type="dxa"/>
          </w:tcPr>
          <w:p w14:paraId="3CA937E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4 Přebytek (+) či nedostatek (−) v krytí očekávaných ztrát specifickými úpravami o úvěrové riziko u expozic, u nichž došlo k selhání, při přístupu IRB</w:t>
            </w:r>
          </w:p>
          <w:p w14:paraId="42D2CA80" w14:textId="77777777" w:rsidR="007266CF" w:rsidRPr="002A677E" w:rsidRDefault="007266CF" w:rsidP="007266CF">
            <w:pPr>
              <w:pStyle w:val="InstructionsText"/>
            </w:pPr>
            <w:r>
              <w:t>Ustanovení čl. 36 odst. 1 písm. d), čl. 62 písm. d), článků 158 a 159 nařízení (EU) č. 575/2013</w:t>
            </w:r>
          </w:p>
          <w:p w14:paraId="2BAF56B6" w14:textId="77777777" w:rsidR="007266CF" w:rsidRPr="002A677E" w:rsidRDefault="007266CF" w:rsidP="007266CF">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7266CF" w:rsidRPr="002A677E" w14:paraId="7A66BB8B" w14:textId="77777777" w:rsidTr="007266CF">
        <w:tc>
          <w:tcPr>
            <w:tcW w:w="1474" w:type="dxa"/>
          </w:tcPr>
          <w:p w14:paraId="51E9E6D4" w14:textId="77777777" w:rsidR="007266CF" w:rsidRPr="002A677E" w:rsidRDefault="007266CF" w:rsidP="007266CF">
            <w:pPr>
              <w:pStyle w:val="InstructionsText"/>
            </w:pPr>
            <w:r>
              <w:t>0150</w:t>
            </w:r>
          </w:p>
        </w:tc>
        <w:tc>
          <w:tcPr>
            <w:tcW w:w="7049" w:type="dxa"/>
          </w:tcPr>
          <w:p w14:paraId="1549322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Specifické úpravy z titulu úvěrového rizika a pozice, s nimiž se zachází obdobně</w:t>
            </w:r>
          </w:p>
          <w:p w14:paraId="3416C183" w14:textId="77777777" w:rsidR="007266CF" w:rsidRPr="002A677E" w:rsidRDefault="007266CF" w:rsidP="007266CF">
            <w:pPr>
              <w:pStyle w:val="InstructionsText"/>
            </w:pPr>
            <w:r>
              <w:t>Článek 159 nařízení (EU) č. 575/2013</w:t>
            </w:r>
          </w:p>
          <w:p w14:paraId="680A9E45" w14:textId="77777777" w:rsidR="007266CF" w:rsidRPr="002A677E" w:rsidRDefault="007266CF" w:rsidP="007266CF">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7266CF" w:rsidRPr="006223CC" w14:paraId="4D7FE70E" w14:textId="77777777" w:rsidTr="007266CF">
        <w:tc>
          <w:tcPr>
            <w:tcW w:w="1474" w:type="dxa"/>
          </w:tcPr>
          <w:p w14:paraId="5235B4B6" w14:textId="77777777" w:rsidR="007266CF" w:rsidRPr="002A677E" w:rsidRDefault="007266CF" w:rsidP="007266CF">
            <w:pPr>
              <w:pStyle w:val="InstructionsText"/>
            </w:pPr>
            <w:r>
              <w:t>0155</w:t>
            </w:r>
          </w:p>
        </w:tc>
        <w:tc>
          <w:tcPr>
            <w:tcW w:w="7049" w:type="dxa"/>
          </w:tcPr>
          <w:p w14:paraId="716295A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Celkové způsobilé očekávané ztráty</w:t>
            </w:r>
          </w:p>
          <w:p w14:paraId="6E138127" w14:textId="77777777" w:rsidR="007266CF" w:rsidRPr="006223CC" w:rsidRDefault="007266CF" w:rsidP="007266CF">
            <w:pPr>
              <w:pStyle w:val="InstructionsText"/>
              <w:rPr>
                <w:rStyle w:val="InstructionsTabelleberschrift"/>
                <w:rFonts w:ascii="Times New Roman" w:hAnsi="Times New Roman"/>
                <w:sz w:val="24"/>
                <w:lang w:val="fr-FR"/>
              </w:rPr>
            </w:pPr>
            <w:r>
              <w:t>Ustanovení čl. 158 odst. </w:t>
            </w:r>
            <w:r w:rsidRPr="006223CC">
              <w:rPr>
                <w:lang w:val="fr-FR"/>
              </w:rPr>
              <w:t>5, 6 a 10 a článku 159 nařízení (EU) č. 575/2013</w:t>
            </w:r>
          </w:p>
          <w:p w14:paraId="7D4EA794" w14:textId="77777777" w:rsidR="007266CF" w:rsidRPr="006223CC" w:rsidRDefault="007266CF" w:rsidP="007266CF">
            <w:pPr>
              <w:pStyle w:val="InstructionsText"/>
              <w:rPr>
                <w:rStyle w:val="InstructionsTabelleberschrift"/>
                <w:rFonts w:ascii="Times New Roman" w:hAnsi="Times New Roman"/>
                <w:b w:val="0"/>
                <w:bCs w:val="0"/>
                <w:sz w:val="24"/>
                <w:u w:val="none"/>
                <w:lang w:val="fr-FR"/>
              </w:rPr>
            </w:pPr>
            <w:r w:rsidRPr="006223CC">
              <w:rPr>
                <w:lang w:val="fr-FR"/>
              </w:rPr>
              <w:t>Tuto položku uvádí pouze instituce používající přístup IRB. Vykazuje se pouze očekávaná ztráta související s expozicemi, u nichž došlo k selhání.</w:t>
            </w:r>
          </w:p>
        </w:tc>
      </w:tr>
      <w:tr w:rsidR="007266CF" w:rsidRPr="002A677E" w14:paraId="22141869" w14:textId="77777777" w:rsidTr="007266CF">
        <w:tc>
          <w:tcPr>
            <w:tcW w:w="1474" w:type="dxa"/>
          </w:tcPr>
          <w:p w14:paraId="3ECFDB87" w14:textId="77777777" w:rsidR="007266CF" w:rsidRPr="002A677E" w:rsidRDefault="007266CF" w:rsidP="007266CF">
            <w:pPr>
              <w:pStyle w:val="InstructionsText"/>
            </w:pPr>
            <w:r>
              <w:t>0160</w:t>
            </w:r>
          </w:p>
        </w:tc>
        <w:tc>
          <w:tcPr>
            <w:tcW w:w="7049" w:type="dxa"/>
          </w:tcPr>
          <w:p w14:paraId="4725A2E8" w14:textId="77777777" w:rsidR="007266CF" w:rsidRPr="002A677E" w:rsidRDefault="007266CF" w:rsidP="007266C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Objemy rizikově vážených expozic pro výpočet stropu přebytku rezerv způsobilého jako kapitál tier 2</w:t>
            </w:r>
          </w:p>
          <w:p w14:paraId="09E78875" w14:textId="77777777" w:rsidR="007266CF" w:rsidRPr="002A677E" w:rsidRDefault="007266CF" w:rsidP="007266CF">
            <w:pPr>
              <w:pStyle w:val="InstructionsText"/>
            </w:pPr>
            <w:r>
              <w:t>Ustanovení čl. 62 písm. d) nařízení (EU) č. 575/2013</w:t>
            </w:r>
          </w:p>
          <w:p w14:paraId="126AB2BE" w14:textId="77777777" w:rsidR="007266CF" w:rsidRPr="002A677E" w:rsidRDefault="007266CF" w:rsidP="007266CF">
            <w:pPr>
              <w:pStyle w:val="InstructionsText"/>
            </w:pPr>
            <w:r>
              <w:t xml:space="preserve">U institucí </w:t>
            </w:r>
            <w:r>
              <w:rPr>
                <w:rStyle w:val="FormatvorlageInstructionsTabelleText"/>
                <w:rFonts w:ascii="Times New Roman" w:hAnsi="Times New Roman"/>
                <w:sz w:val="24"/>
              </w:rPr>
              <w:t>podle</w:t>
            </w:r>
            <w:r>
              <w:t xml:space="preserve"> čl. 62 písm. d) nařízení (EU) č. 575/2013 používajících přístup IRB je přebytek rezerv (ke krytí očekávaných ztrát), který lze zahrnout do kapitálu tier 2, omezen stropem ve výši 0,6 % objemů rizikově vážených expozic vypočítaných podle přístupu IRB.</w:t>
            </w:r>
          </w:p>
          <w:p w14:paraId="2257EC61" w14:textId="77777777" w:rsidR="007266CF" w:rsidRPr="002A677E" w:rsidRDefault="007266CF" w:rsidP="007266CF">
            <w:pPr>
              <w:pStyle w:val="InstructionsText"/>
            </w:pPr>
            <w:r>
              <w:lastRenderedPageBreak/>
              <w:t>Údaj, který má být vykázán v této položce, představuje objemy rizikově vážených expozic (tedy nikoli částku vynásobenou hodnotou 0,6 %), jež jsou základem pro výpočet stropu.</w:t>
            </w:r>
          </w:p>
        </w:tc>
      </w:tr>
      <w:tr w:rsidR="007266CF" w:rsidRPr="002A677E" w14:paraId="24378374" w14:textId="77777777" w:rsidTr="007266CF">
        <w:tc>
          <w:tcPr>
            <w:tcW w:w="1474" w:type="dxa"/>
          </w:tcPr>
          <w:p w14:paraId="77F93F72" w14:textId="77777777" w:rsidR="007266CF" w:rsidRPr="002A677E" w:rsidRDefault="007266CF" w:rsidP="007266CF">
            <w:pPr>
              <w:pStyle w:val="InstructionsText"/>
            </w:pPr>
            <w:r>
              <w:lastRenderedPageBreak/>
              <w:t>0170</w:t>
            </w:r>
          </w:p>
        </w:tc>
        <w:tc>
          <w:tcPr>
            <w:tcW w:w="7049" w:type="dxa"/>
          </w:tcPr>
          <w:p w14:paraId="3003E74F" w14:textId="77777777" w:rsidR="007266CF" w:rsidRPr="002A677E" w:rsidRDefault="007266CF" w:rsidP="007266C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Celkové hrubé rezervy způsobilé k zařazení do kapitálu tier 2</w:t>
            </w:r>
          </w:p>
          <w:p w14:paraId="20CD94F2" w14:textId="77777777" w:rsidR="007266CF" w:rsidRPr="002A677E" w:rsidRDefault="007266CF" w:rsidP="007266CF">
            <w:pPr>
              <w:pStyle w:val="InstructionsText"/>
            </w:pPr>
            <w:r>
              <w:t>Ustanovení čl. 62 písm. c) nařízení (EU) č. 575/2013</w:t>
            </w:r>
          </w:p>
          <w:p w14:paraId="09D7DA30" w14:textId="77777777" w:rsidR="007266CF" w:rsidRPr="002A677E" w:rsidRDefault="007266CF" w:rsidP="007266CF">
            <w:pPr>
              <w:pStyle w:val="InstructionsText"/>
            </w:pPr>
            <w:r>
              <w:t>V této položce se uvádí obecné úpravy o úvěrové riziko, které lze zahrnout do kapitálu tier 2, před stanovením stropu.</w:t>
            </w:r>
          </w:p>
          <w:p w14:paraId="38DA27D9" w14:textId="77777777" w:rsidR="007266CF" w:rsidRPr="002A677E" w:rsidRDefault="007266CF" w:rsidP="007266CF">
            <w:pPr>
              <w:pStyle w:val="InstructionsText"/>
            </w:pPr>
            <w:r>
              <w:t>Částka, která má být vykázána, se uvádí bez zohlednění daňových účinků.</w:t>
            </w:r>
          </w:p>
        </w:tc>
      </w:tr>
      <w:tr w:rsidR="007266CF" w:rsidRPr="002A677E" w14:paraId="22F3FB82" w14:textId="77777777" w:rsidTr="007266CF">
        <w:tc>
          <w:tcPr>
            <w:tcW w:w="1474" w:type="dxa"/>
          </w:tcPr>
          <w:p w14:paraId="00BAC7E5" w14:textId="77777777" w:rsidR="007266CF" w:rsidRPr="002A677E" w:rsidRDefault="007266CF" w:rsidP="007266CF">
            <w:pPr>
              <w:pStyle w:val="InstructionsText"/>
            </w:pPr>
            <w:r>
              <w:t>0180</w:t>
            </w:r>
          </w:p>
        </w:tc>
        <w:tc>
          <w:tcPr>
            <w:tcW w:w="7049" w:type="dxa"/>
          </w:tcPr>
          <w:p w14:paraId="18934C00" w14:textId="77777777" w:rsidR="007266CF" w:rsidRPr="002A677E" w:rsidRDefault="007266CF" w:rsidP="007266C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Objemy rizikově vážených expozic pro výpočet stropu rezervy způsobilé jako kapitál tier 2</w:t>
            </w:r>
          </w:p>
          <w:p w14:paraId="65D74B21" w14:textId="77777777" w:rsidR="007266CF" w:rsidRPr="002A677E" w:rsidRDefault="007266CF" w:rsidP="007266CF">
            <w:pPr>
              <w:pStyle w:val="InstructionsText"/>
            </w:pPr>
            <w:r>
              <w:t>Ustanovení čl. 62 písm. c) nařízení (EU) č. 575/2013</w:t>
            </w:r>
          </w:p>
          <w:p w14:paraId="0F6A1FFF" w14:textId="77777777" w:rsidR="007266CF" w:rsidRPr="002A677E" w:rsidRDefault="007266CF" w:rsidP="007266CF">
            <w:pPr>
              <w:pStyle w:val="InstructionsText"/>
            </w:pPr>
            <w:r>
              <w:t>Podle čl. 62 písm. c) nařízení (EU) č. 575/2013 jsou úpravy o úvěrové riziko, které lze zahrnout do kapitálu tier 2, omezeny stropem ve výši 1,25 % rizikově vážených expozic.</w:t>
            </w:r>
          </w:p>
          <w:p w14:paraId="755A441D" w14:textId="77777777" w:rsidR="007266CF" w:rsidRPr="002A677E" w:rsidRDefault="007266CF" w:rsidP="007266CF">
            <w:pPr>
              <w:pStyle w:val="InstructionsText"/>
            </w:pPr>
            <w:r>
              <w:t>Údaj, který má být vykázán v této položce, představuje objemy rizikově vážených expozic (tedy nikoli částku vynásobenou hodnotou 1,25 %), jež jsou základem pro výpočet stropu.</w:t>
            </w:r>
          </w:p>
        </w:tc>
      </w:tr>
      <w:tr w:rsidR="007266CF" w:rsidRPr="002A677E" w14:paraId="12DD46DF" w14:textId="77777777" w:rsidTr="007266CF">
        <w:tc>
          <w:tcPr>
            <w:tcW w:w="1474" w:type="dxa"/>
          </w:tcPr>
          <w:p w14:paraId="05045E28" w14:textId="77777777" w:rsidR="007266CF" w:rsidRPr="002A677E" w:rsidRDefault="007266CF" w:rsidP="007266CF">
            <w:pPr>
              <w:pStyle w:val="InstructionsText"/>
            </w:pPr>
            <w:r>
              <w:t>0190</w:t>
            </w:r>
          </w:p>
        </w:tc>
        <w:tc>
          <w:tcPr>
            <w:tcW w:w="7049" w:type="dxa"/>
          </w:tcPr>
          <w:p w14:paraId="139CD34A" w14:textId="77777777" w:rsidR="007266CF" w:rsidRPr="002A677E" w:rsidRDefault="007266CF" w:rsidP="007266C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Prahová hodnota neodečitatelná od kapitálových investic do subjektů finančního sektoru, v nichž instituce nemá významnou investici</w:t>
            </w:r>
          </w:p>
          <w:p w14:paraId="02627E8D" w14:textId="77777777" w:rsidR="007266CF" w:rsidRPr="002A677E" w:rsidRDefault="007266CF" w:rsidP="007266CF">
            <w:pPr>
              <w:pStyle w:val="InstructionsText"/>
            </w:pPr>
            <w:r>
              <w:t>Ustanovení čl. 46 odst. 1 písm. a) nařízení (EU) č. 575/2013</w:t>
            </w:r>
          </w:p>
          <w:p w14:paraId="179D9156" w14:textId="77777777" w:rsidR="007266CF" w:rsidRPr="002A677E" w:rsidRDefault="007266CF" w:rsidP="007266CF">
            <w:pPr>
              <w:pStyle w:val="InstructionsText"/>
            </w:pPr>
            <w:r>
              <w:t>Tato položka obsahuje prahovou hodnotu, do jejíž výše nelze odečíst kapitálové investice do subjektů finančního sektoru, v nichž instituce nemá významnou investici. Částka je získána součtem všech položek, které jsou základem prahové hodnoty, a vynásobením tohoto součtu 10 %.</w:t>
            </w:r>
          </w:p>
        </w:tc>
      </w:tr>
      <w:tr w:rsidR="007266CF" w:rsidRPr="002A677E" w14:paraId="1D15E7FB" w14:textId="77777777" w:rsidTr="007266CF">
        <w:tc>
          <w:tcPr>
            <w:tcW w:w="1474" w:type="dxa"/>
          </w:tcPr>
          <w:p w14:paraId="4DF48D16" w14:textId="77777777" w:rsidR="007266CF" w:rsidRPr="002A677E" w:rsidRDefault="007266CF" w:rsidP="007266CF">
            <w:pPr>
              <w:pStyle w:val="InstructionsText"/>
            </w:pPr>
            <w:r>
              <w:t>0200</w:t>
            </w:r>
          </w:p>
        </w:tc>
        <w:tc>
          <w:tcPr>
            <w:tcW w:w="7049" w:type="dxa"/>
          </w:tcPr>
          <w:p w14:paraId="39D5680C" w14:textId="77777777" w:rsidR="007266CF" w:rsidRPr="002A677E" w:rsidRDefault="007266CF" w:rsidP="007266C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Prahová hodnota</w:t>
            </w:r>
            <w:r>
              <w:t xml:space="preserve"> </w:t>
            </w:r>
            <w:r>
              <w:rPr>
                <w:rStyle w:val="InstructionsTabelleberschrift"/>
                <w:rFonts w:ascii="Times New Roman" w:hAnsi="Times New Roman"/>
                <w:sz w:val="24"/>
              </w:rPr>
              <w:t xml:space="preserve">kmenového kapitálu tier 1 ve výši 10 % </w:t>
            </w:r>
          </w:p>
          <w:p w14:paraId="4B057325" w14:textId="77777777" w:rsidR="007266CF" w:rsidRPr="002A677E" w:rsidRDefault="007266CF" w:rsidP="007266CF">
            <w:pPr>
              <w:pStyle w:val="InstructionsText"/>
            </w:pPr>
            <w:r>
              <w:t>Ustanovení čl. 48 odst. 1 písm. a) a b) nařízení (EU) č. 575/2013</w:t>
            </w:r>
          </w:p>
          <w:p w14:paraId="2B1F23AA" w14:textId="77777777" w:rsidR="007266CF" w:rsidRPr="002A677E" w:rsidRDefault="007266CF" w:rsidP="007266CF">
            <w:pPr>
              <w:pStyle w:val="InstructionsText"/>
            </w:pPr>
            <w:r>
              <w:t>V této položce se uvádí 10 % prahová hodnota pro kapitálové investice do subjektů finančního sektoru, v nichž má instituce významnou investici, a pro odložené daňové pohledávky, které jsou závislé na budoucím zisku a vyplývají z přechodných rozdílů.</w:t>
            </w:r>
          </w:p>
          <w:p w14:paraId="64A806B3" w14:textId="77777777" w:rsidR="007266CF" w:rsidRPr="002A677E" w:rsidRDefault="007266CF" w:rsidP="007266CF">
            <w:pPr>
              <w:pStyle w:val="InstructionsText"/>
            </w:pPr>
            <w:r>
              <w:t>Částka je získána součtem všech položek, které jsou základem prahové hodnoty, a vynásobením tohoto součtu 10 %.</w:t>
            </w:r>
          </w:p>
        </w:tc>
      </w:tr>
      <w:tr w:rsidR="007266CF" w:rsidRPr="006223CC" w14:paraId="054F22F6" w14:textId="77777777" w:rsidTr="007266CF">
        <w:tc>
          <w:tcPr>
            <w:tcW w:w="1474" w:type="dxa"/>
          </w:tcPr>
          <w:p w14:paraId="6C7151B0" w14:textId="77777777" w:rsidR="007266CF" w:rsidRPr="002A677E" w:rsidRDefault="007266CF" w:rsidP="007266CF">
            <w:pPr>
              <w:pStyle w:val="InstructionsText"/>
            </w:pPr>
            <w:r>
              <w:t>0210</w:t>
            </w:r>
          </w:p>
        </w:tc>
        <w:tc>
          <w:tcPr>
            <w:tcW w:w="7049" w:type="dxa"/>
          </w:tcPr>
          <w:p w14:paraId="5257AE0B" w14:textId="77777777" w:rsidR="007266CF" w:rsidRPr="002A677E" w:rsidRDefault="007266CF" w:rsidP="007266C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Prahová hodnota kmenového kapitálu tier 1 ve výši 17,65 % </w:t>
            </w:r>
          </w:p>
          <w:p w14:paraId="08BCC56D" w14:textId="77777777" w:rsidR="007266CF" w:rsidRPr="006223CC" w:rsidRDefault="007266CF" w:rsidP="007266CF">
            <w:pPr>
              <w:pStyle w:val="InstructionsText"/>
              <w:rPr>
                <w:lang w:val="fr-FR"/>
              </w:rPr>
            </w:pPr>
            <w:r w:rsidRPr="006223CC">
              <w:rPr>
                <w:lang w:val="fr-FR"/>
              </w:rPr>
              <w:t>Ustanovení čl. 48 odst. 1 nařízení (EU) č. 575/2013</w:t>
            </w:r>
          </w:p>
          <w:p w14:paraId="4CEE8984" w14:textId="77777777" w:rsidR="007266CF" w:rsidRPr="006223CC" w:rsidRDefault="007266CF" w:rsidP="007266CF">
            <w:pPr>
              <w:pStyle w:val="InstructionsText"/>
              <w:rPr>
                <w:lang w:val="fr-FR"/>
              </w:rPr>
            </w:pPr>
            <w:r w:rsidRPr="006223CC">
              <w:rPr>
                <w:lang w:val="fr-FR"/>
              </w:rPr>
              <w:t xml:space="preserve">V této položce se uvádí 17,65 % prahová hodnota pro kapitálové investice do subjektů finančního sektoru, v nichž má instituce významnou investici, a pro odložené daňové pohledávky, které jsou závislé na </w:t>
            </w:r>
            <w:r w:rsidRPr="006223CC">
              <w:rPr>
                <w:lang w:val="fr-FR"/>
              </w:rPr>
              <w:lastRenderedPageBreak/>
              <w:t>budoucím zisku a vyplývají z přechodných rozdílů, přičemž tato prahová hodnota se použije po uplatnění 10 % prahové hodnoty.</w:t>
            </w:r>
          </w:p>
          <w:p w14:paraId="761E5927" w14:textId="77777777" w:rsidR="007266CF" w:rsidRPr="006223CC" w:rsidRDefault="007266CF" w:rsidP="007266CF">
            <w:pPr>
              <w:pStyle w:val="InstructionsText"/>
              <w:rPr>
                <w:lang w:val="fr-FR"/>
              </w:rPr>
            </w:pPr>
            <w:r w:rsidRPr="006223CC">
              <w:rPr>
                <w:lang w:val="fr-FR"/>
              </w:rPr>
              <w:t>Prahová hodnota se musí vypočítat tak, aby zjištěná hodnota těchto dvou položek nebyla vyšší než 15 % konečného kmenového kapitálu tier 1, tj. kmenového kapitálu tier 1 vypočteného po všech odpočtech a bez zohlednění úprav v důsledku přechodných ustanovení.</w:t>
            </w:r>
          </w:p>
        </w:tc>
      </w:tr>
      <w:tr w:rsidR="007266CF" w:rsidRPr="002A677E" w14:paraId="7B44A1F6" w14:textId="77777777" w:rsidTr="007266CF">
        <w:tc>
          <w:tcPr>
            <w:tcW w:w="1474" w:type="dxa"/>
          </w:tcPr>
          <w:p w14:paraId="47FCD929" w14:textId="77777777" w:rsidR="007266CF" w:rsidRPr="002A677E" w:rsidRDefault="007266CF" w:rsidP="007266CF">
            <w:pPr>
              <w:pStyle w:val="InstructionsText"/>
            </w:pPr>
            <w:r>
              <w:lastRenderedPageBreak/>
              <w:t>0225</w:t>
            </w:r>
          </w:p>
        </w:tc>
        <w:tc>
          <w:tcPr>
            <w:tcW w:w="7049" w:type="dxa"/>
          </w:tcPr>
          <w:p w14:paraId="4A23D0A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Způsobilý kapitál pro účely kvalifikovaných účastí mimo finanční sektor</w:t>
            </w:r>
          </w:p>
          <w:p w14:paraId="5B08CA4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Ustanovení čl. 4 odst. 1 bodu 71 písm. a) </w:t>
            </w:r>
            <w:r>
              <w:t>nařízení (EU) č. 575/2013</w:t>
            </w:r>
          </w:p>
        </w:tc>
      </w:tr>
      <w:tr w:rsidR="007266CF" w:rsidRPr="006223CC" w14:paraId="0DFB1951" w14:textId="77777777" w:rsidTr="007266CF">
        <w:tc>
          <w:tcPr>
            <w:tcW w:w="1474" w:type="dxa"/>
          </w:tcPr>
          <w:p w14:paraId="130665F6" w14:textId="77777777" w:rsidR="007266CF" w:rsidRPr="002A677E" w:rsidRDefault="007266CF" w:rsidP="007266CF">
            <w:pPr>
              <w:pStyle w:val="InstructionsText"/>
            </w:pPr>
            <w:r>
              <w:t>0230</w:t>
            </w:r>
          </w:p>
        </w:tc>
        <w:tc>
          <w:tcPr>
            <w:tcW w:w="7049" w:type="dxa"/>
          </w:tcPr>
          <w:p w14:paraId="77825120" w14:textId="77777777" w:rsidR="007266CF" w:rsidRPr="002A677E" w:rsidRDefault="007266CF" w:rsidP="007266C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Investice do kmenového kapitálu tier 1 subjektů finančního sektoru, v nichž instituce nemá významnou investici, očištěné o krátké pozice</w:t>
            </w:r>
          </w:p>
          <w:p w14:paraId="5D6F32C2" w14:textId="77777777" w:rsidR="007266CF" w:rsidRPr="006223CC" w:rsidRDefault="007266CF" w:rsidP="007266CF">
            <w:pPr>
              <w:pStyle w:val="InstructionsText"/>
              <w:rPr>
                <w:lang w:val="fr-FR"/>
              </w:rPr>
            </w:pPr>
            <w:r w:rsidRPr="006223CC">
              <w:rPr>
                <w:lang w:val="fr-FR"/>
              </w:rPr>
              <w:t>Články 44, 45, 46 a 49 nařízení (EU) č. 575/2013</w:t>
            </w:r>
          </w:p>
        </w:tc>
      </w:tr>
      <w:tr w:rsidR="007266CF" w:rsidRPr="006223CC" w14:paraId="2410A476" w14:textId="77777777" w:rsidTr="007266CF">
        <w:tc>
          <w:tcPr>
            <w:tcW w:w="1474" w:type="dxa"/>
          </w:tcPr>
          <w:p w14:paraId="7506EDEC" w14:textId="77777777" w:rsidR="007266CF" w:rsidRPr="002A677E" w:rsidRDefault="007266CF" w:rsidP="007266CF">
            <w:pPr>
              <w:pStyle w:val="InstructionsText"/>
            </w:pPr>
            <w:r>
              <w:t>0240</w:t>
            </w:r>
          </w:p>
        </w:tc>
        <w:tc>
          <w:tcPr>
            <w:tcW w:w="7049" w:type="dxa"/>
          </w:tcPr>
          <w:p w14:paraId="25E26B1A" w14:textId="77777777" w:rsidR="007266CF" w:rsidRPr="002A677E" w:rsidRDefault="007266CF" w:rsidP="007266C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Přímé investice do kmenového kapitálu tier 1 subjektů finančního sektoru, v nichž instituce nemá významnou investici</w:t>
            </w:r>
          </w:p>
          <w:p w14:paraId="7A337B5D" w14:textId="77777777" w:rsidR="007266CF" w:rsidRPr="006223CC" w:rsidRDefault="007266CF" w:rsidP="007266CF">
            <w:pPr>
              <w:pStyle w:val="InstructionsText"/>
              <w:rPr>
                <w:lang w:val="fr-FR"/>
              </w:rPr>
            </w:pPr>
            <w:r w:rsidRPr="006223CC">
              <w:rPr>
                <w:lang w:val="fr-FR"/>
              </w:rPr>
              <w:t>Články 44, 45, 46 a 49 nařízení (EU) č. 575/2013</w:t>
            </w:r>
          </w:p>
        </w:tc>
      </w:tr>
      <w:tr w:rsidR="007266CF" w:rsidRPr="002A677E" w14:paraId="04B7984D" w14:textId="77777777" w:rsidTr="007266CF">
        <w:tc>
          <w:tcPr>
            <w:tcW w:w="1474" w:type="dxa"/>
          </w:tcPr>
          <w:p w14:paraId="2D81F825" w14:textId="77777777" w:rsidR="007266CF" w:rsidRPr="002A677E" w:rsidRDefault="007266CF" w:rsidP="007266CF">
            <w:pPr>
              <w:pStyle w:val="InstructionsText"/>
            </w:pPr>
            <w:r>
              <w:t>0250</w:t>
            </w:r>
          </w:p>
        </w:tc>
        <w:tc>
          <w:tcPr>
            <w:tcW w:w="7049" w:type="dxa"/>
          </w:tcPr>
          <w:p w14:paraId="6E195C89" w14:textId="77777777" w:rsidR="007266CF" w:rsidRPr="002A677E" w:rsidRDefault="007266CF" w:rsidP="007266C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Hrubé přímé kapitálové investice do nástrojů zahrnovaných do kmenového kapitálu tier 1 subjektů finančního sektoru, v nichž instituce nemá významnou investici</w:t>
            </w:r>
          </w:p>
          <w:p w14:paraId="5DFFDD58" w14:textId="77777777" w:rsidR="007266CF" w:rsidRPr="006223CC" w:rsidRDefault="007266CF" w:rsidP="007266CF">
            <w:pPr>
              <w:pStyle w:val="InstructionsText"/>
              <w:rPr>
                <w:lang w:val="fr-FR"/>
              </w:rPr>
            </w:pPr>
            <w:r w:rsidRPr="006223CC">
              <w:rPr>
                <w:lang w:val="fr-FR"/>
              </w:rPr>
              <w:t>Články 44, 46 a 49 nařízení (EU) č. 575/2013</w:t>
            </w:r>
          </w:p>
          <w:p w14:paraId="3BDB5043" w14:textId="77777777" w:rsidR="007266CF" w:rsidRPr="006223CC" w:rsidRDefault="007266CF" w:rsidP="007266CF">
            <w:pPr>
              <w:pStyle w:val="InstructionsText"/>
              <w:rPr>
                <w:lang w:val="fr-FR"/>
              </w:rPr>
            </w:pPr>
            <w:r w:rsidRPr="006223CC">
              <w:rPr>
                <w:lang w:val="fr-FR"/>
              </w:rPr>
              <w:t>Přímé kapitálové investice do nástrojů zahrnovaných do kmenového kapitálu tier 1 subjektů finančního sektoru, v nichž instituce nemá významnou investici, s výjimkou:</w:t>
            </w:r>
          </w:p>
          <w:p w14:paraId="67A2E544" w14:textId="77777777" w:rsidR="007266CF" w:rsidRPr="006223CC" w:rsidRDefault="007266CF" w:rsidP="007266CF">
            <w:pPr>
              <w:pStyle w:val="InstructionsText"/>
              <w:rPr>
                <w:lang w:val="fr-FR"/>
              </w:rPr>
            </w:pPr>
            <w:r w:rsidRPr="006223CC">
              <w:rPr>
                <w:lang w:val="fr-FR"/>
              </w:rPr>
              <w:t>a)</w:t>
            </w:r>
            <w:r w:rsidRPr="006223CC">
              <w:rPr>
                <w:lang w:val="fr-FR"/>
              </w:rPr>
              <w:tab/>
              <w:t xml:space="preserve">pozic z upisování držených po dobu pěti nebo méně pracovních dnů; </w:t>
            </w:r>
          </w:p>
          <w:p w14:paraId="6F42541E" w14:textId="77777777" w:rsidR="007266CF" w:rsidRPr="006223CC" w:rsidRDefault="007266CF" w:rsidP="007266CF">
            <w:pPr>
              <w:pStyle w:val="InstructionsText"/>
              <w:rPr>
                <w:lang w:val="fr-FR"/>
              </w:rPr>
            </w:pPr>
            <w:r w:rsidRPr="006223CC">
              <w:rPr>
                <w:lang w:val="fr-FR"/>
              </w:rPr>
              <w:t>b)</w:t>
            </w:r>
            <w:r w:rsidRPr="006223CC">
              <w:rPr>
                <w:lang w:val="fr-FR"/>
              </w:rPr>
              <w:tab/>
              <w:t xml:space="preserve">částek souvisejících s investicemi, na něž se vztahuje některá z alternativ uvedených v článku 49, a </w:t>
            </w:r>
          </w:p>
          <w:p w14:paraId="5EA1EABF" w14:textId="77777777" w:rsidR="007266CF" w:rsidRPr="002A677E" w:rsidRDefault="007266CF" w:rsidP="007266CF">
            <w:pPr>
              <w:pStyle w:val="InstructionsText"/>
            </w:pPr>
            <w:r w:rsidRPr="006223CC">
              <w:rPr>
                <w:lang w:val="fr-FR"/>
              </w:rPr>
              <w:t>c)</w:t>
            </w:r>
            <w:r w:rsidRPr="006223CC">
              <w:rPr>
                <w:lang w:val="fr-FR"/>
              </w:rPr>
              <w:tab/>
              <w:t>kapitálových investic, s nimiž se zachází jako se vzájemnými účastmi podle čl. 36 odst. </w:t>
            </w:r>
            <w:r>
              <w:t>1 písm. g) nařízení (EU) č. 575/2013.</w:t>
            </w:r>
          </w:p>
        </w:tc>
      </w:tr>
      <w:tr w:rsidR="007266CF" w:rsidRPr="002A677E" w14:paraId="30210966" w14:textId="77777777" w:rsidTr="007266CF">
        <w:tc>
          <w:tcPr>
            <w:tcW w:w="1474" w:type="dxa"/>
          </w:tcPr>
          <w:p w14:paraId="125A7F91" w14:textId="77777777" w:rsidR="007266CF" w:rsidRPr="002A677E" w:rsidRDefault="007266CF" w:rsidP="007266CF">
            <w:pPr>
              <w:pStyle w:val="InstructionsText"/>
            </w:pPr>
            <w:r>
              <w:t>0260</w:t>
            </w:r>
          </w:p>
        </w:tc>
        <w:tc>
          <w:tcPr>
            <w:tcW w:w="7049" w:type="dxa"/>
          </w:tcPr>
          <w:p w14:paraId="34DC9CFE" w14:textId="77777777" w:rsidR="007266CF" w:rsidRPr="002A677E" w:rsidRDefault="007266CF" w:rsidP="007266CF">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Krátké pozice s povolenou kompenzací vztahující se k hrubým přímým kapitálovým investicím uvedeným výše</w:t>
            </w:r>
          </w:p>
          <w:p w14:paraId="0E7F8269" w14:textId="77777777" w:rsidR="007266CF" w:rsidRPr="002A677E" w:rsidRDefault="007266CF" w:rsidP="007266CF">
            <w:pPr>
              <w:pStyle w:val="InstructionsText"/>
            </w:pPr>
            <w:r>
              <w:t>Článek 45 nařízení (EU) č. 575/2013</w:t>
            </w:r>
          </w:p>
          <w:p w14:paraId="4CBAAA38" w14:textId="77777777" w:rsidR="007266CF" w:rsidRPr="002A677E" w:rsidRDefault="007266CF" w:rsidP="007266CF">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66FFD874" w14:textId="77777777" w:rsidTr="007266CF">
        <w:tc>
          <w:tcPr>
            <w:tcW w:w="1474" w:type="dxa"/>
          </w:tcPr>
          <w:p w14:paraId="7E726CD6" w14:textId="77777777" w:rsidR="007266CF" w:rsidRPr="002A677E" w:rsidRDefault="007266CF" w:rsidP="007266CF">
            <w:pPr>
              <w:pStyle w:val="InstructionsText"/>
            </w:pPr>
            <w:r>
              <w:t>0270</w:t>
            </w:r>
          </w:p>
        </w:tc>
        <w:tc>
          <w:tcPr>
            <w:tcW w:w="7049" w:type="dxa"/>
          </w:tcPr>
          <w:p w14:paraId="06C64555" w14:textId="77777777" w:rsidR="007266CF" w:rsidRPr="002A677E" w:rsidRDefault="007266CF" w:rsidP="007266C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Nepřímé kapitálové investice do nástrojů zahrnovaných do kmenového kapitálu tier 1 subjektů finančního sektoru, v nichž instituce nemá významnou investici</w:t>
            </w:r>
          </w:p>
          <w:p w14:paraId="7F5E7D74" w14:textId="77777777" w:rsidR="007266CF" w:rsidRPr="002A677E" w:rsidRDefault="007266CF" w:rsidP="007266CF">
            <w:pPr>
              <w:pStyle w:val="InstructionsText"/>
            </w:pPr>
            <w:r>
              <w:t>Ustanovení čl. 4 odst. 1 bodu 114 a článků 44 a 45 nařízení (EU) č. 575/2013</w:t>
            </w:r>
          </w:p>
        </w:tc>
      </w:tr>
      <w:tr w:rsidR="007266CF" w:rsidRPr="002A677E" w14:paraId="3D88AFB1" w14:textId="77777777" w:rsidTr="007266CF">
        <w:tc>
          <w:tcPr>
            <w:tcW w:w="1474" w:type="dxa"/>
          </w:tcPr>
          <w:p w14:paraId="001FCA2A" w14:textId="77777777" w:rsidR="007266CF" w:rsidRPr="002A677E" w:rsidRDefault="007266CF" w:rsidP="007266CF">
            <w:pPr>
              <w:pStyle w:val="InstructionsText"/>
            </w:pPr>
            <w:r>
              <w:lastRenderedPageBreak/>
              <w:t>0280</w:t>
            </w:r>
          </w:p>
        </w:tc>
        <w:tc>
          <w:tcPr>
            <w:tcW w:w="7049" w:type="dxa"/>
          </w:tcPr>
          <w:p w14:paraId="5E9B4F93" w14:textId="77777777" w:rsidR="007266CF" w:rsidRPr="002A677E" w:rsidRDefault="007266CF" w:rsidP="007266C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Hrubé nepřímé kapitálové investice do nástrojů zahrnovaných do kmenového kapitálu tier 1 subjektů finančního sektoru, v nichž instituce nemá významnou investici</w:t>
            </w:r>
          </w:p>
          <w:p w14:paraId="07489B97" w14:textId="77777777" w:rsidR="007266CF" w:rsidRPr="002A677E" w:rsidRDefault="007266CF" w:rsidP="007266CF">
            <w:pPr>
              <w:pStyle w:val="InstructionsText"/>
            </w:pPr>
            <w:r>
              <w:t>Ustanovení čl. 4 odst. 1 bodu 114 a článků 44 a 45 nařízení (EU) č. 575/2013</w:t>
            </w:r>
          </w:p>
          <w:p w14:paraId="0785A1E9" w14:textId="77777777" w:rsidR="007266CF" w:rsidRPr="002A677E" w:rsidRDefault="007266CF" w:rsidP="007266CF">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2CA12802" w14:textId="77777777" w:rsidR="007266CF" w:rsidRPr="002A677E" w:rsidRDefault="007266CF" w:rsidP="007266CF">
            <w:pPr>
              <w:pStyle w:val="InstructionsText"/>
            </w:pPr>
            <w:r>
              <w:t>Kapitálové investice, s nimiž se zachází jako se vzájemnými účastmi podle čl. 36 odst. 1 písm. g) nařízení (EU) č. 575/2013, se zde nezohledňují.</w:t>
            </w:r>
          </w:p>
        </w:tc>
      </w:tr>
      <w:tr w:rsidR="007266CF" w:rsidRPr="002A677E" w14:paraId="6AA3F8D6" w14:textId="77777777" w:rsidTr="007266CF">
        <w:trPr>
          <w:trHeight w:val="850"/>
        </w:trPr>
        <w:tc>
          <w:tcPr>
            <w:tcW w:w="1474" w:type="dxa"/>
          </w:tcPr>
          <w:p w14:paraId="3FC8E068" w14:textId="77777777" w:rsidR="007266CF" w:rsidRPr="002A677E" w:rsidRDefault="007266CF" w:rsidP="007266CF">
            <w:pPr>
              <w:pStyle w:val="InstructionsText"/>
            </w:pPr>
            <w:r>
              <w:t>0290</w:t>
            </w:r>
          </w:p>
        </w:tc>
        <w:tc>
          <w:tcPr>
            <w:tcW w:w="7049" w:type="dxa"/>
          </w:tcPr>
          <w:p w14:paraId="1855DE16" w14:textId="77777777" w:rsidR="007266CF" w:rsidRPr="002A677E" w:rsidRDefault="007266CF" w:rsidP="007266C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31359F7A" w14:textId="77777777" w:rsidR="007266CF" w:rsidRPr="002A677E" w:rsidRDefault="007266CF" w:rsidP="007266CF">
            <w:pPr>
              <w:pStyle w:val="InstructionsText"/>
            </w:pPr>
            <w:r>
              <w:t>Ustanovení čl. 4 odst. 1 bodu 114 a článku 45 nařízení (EU) č. 575/2013</w:t>
            </w:r>
          </w:p>
          <w:p w14:paraId="7133C89C" w14:textId="77777777" w:rsidR="007266CF" w:rsidRPr="002A677E" w:rsidRDefault="007266CF" w:rsidP="007266CF">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34A9F4E3" w14:textId="77777777" w:rsidTr="007266CF">
        <w:tc>
          <w:tcPr>
            <w:tcW w:w="1474" w:type="dxa"/>
          </w:tcPr>
          <w:p w14:paraId="2F8E26CD" w14:textId="77777777" w:rsidR="007266CF" w:rsidRPr="002A677E" w:rsidRDefault="007266CF" w:rsidP="007266CF">
            <w:pPr>
              <w:pStyle w:val="InstructionsText"/>
            </w:pPr>
            <w:r>
              <w:t>0291</w:t>
            </w:r>
          </w:p>
        </w:tc>
        <w:tc>
          <w:tcPr>
            <w:tcW w:w="7049" w:type="dxa"/>
            <w:vAlign w:val="center"/>
          </w:tcPr>
          <w:p w14:paraId="7B734004"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Syntetické kapitálové investice do nástrojů zahrnovaných do kmenového kapitálu tier 1 subjektů finančního sektoru, v nichž instituce nemá významnou investici</w:t>
            </w:r>
          </w:p>
          <w:p w14:paraId="0F6BC67A"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4 odst. 1 bodu 126 a článků 44 a 45 </w:t>
            </w:r>
            <w:r>
              <w:t>nařízení (EU) č. 575/2013</w:t>
            </w:r>
          </w:p>
        </w:tc>
      </w:tr>
      <w:tr w:rsidR="007266CF" w:rsidRPr="002A677E" w14:paraId="109CA4BB" w14:textId="77777777" w:rsidTr="007266CF">
        <w:tc>
          <w:tcPr>
            <w:tcW w:w="1474" w:type="dxa"/>
          </w:tcPr>
          <w:p w14:paraId="772475A3" w14:textId="77777777" w:rsidR="007266CF" w:rsidRPr="002A677E" w:rsidRDefault="007266CF" w:rsidP="007266CF">
            <w:pPr>
              <w:pStyle w:val="InstructionsText"/>
            </w:pPr>
            <w:r>
              <w:t>0292</w:t>
            </w:r>
          </w:p>
        </w:tc>
        <w:tc>
          <w:tcPr>
            <w:tcW w:w="7049" w:type="dxa"/>
            <w:vAlign w:val="center"/>
          </w:tcPr>
          <w:p w14:paraId="4CC1F1DD"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Hrubé syntetické kapitálové investice do nástrojů zahrnovaných do kmenového kapitálu tier 1 subjektů finančního sektoru, v nichž instituce nemá významnou investici</w:t>
            </w:r>
          </w:p>
          <w:p w14:paraId="47688AAB"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4 odst. 1 bodu 126 a článků 44 a 45 </w:t>
            </w:r>
            <w:r>
              <w:t>nařízení (EU) č. 575/2013</w:t>
            </w:r>
          </w:p>
        </w:tc>
      </w:tr>
      <w:tr w:rsidR="007266CF" w:rsidRPr="002A677E" w14:paraId="4ED193CD" w14:textId="77777777" w:rsidTr="007266CF">
        <w:tc>
          <w:tcPr>
            <w:tcW w:w="1474" w:type="dxa"/>
          </w:tcPr>
          <w:p w14:paraId="64684EE8" w14:textId="77777777" w:rsidR="007266CF" w:rsidRPr="002A677E" w:rsidRDefault="007266CF" w:rsidP="007266CF">
            <w:pPr>
              <w:pStyle w:val="InstructionsText"/>
            </w:pPr>
            <w:r>
              <w:t>0293</w:t>
            </w:r>
          </w:p>
        </w:tc>
        <w:tc>
          <w:tcPr>
            <w:tcW w:w="7049" w:type="dxa"/>
            <w:vAlign w:val="center"/>
          </w:tcPr>
          <w:p w14:paraId="10A8043C"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18B71F22"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4 odst. 1 bodu 126 a článku 45 </w:t>
            </w:r>
            <w:r>
              <w:t>nařízení (EU) č. 575/2013</w:t>
            </w:r>
            <w:r>
              <w:rPr>
                <w:rStyle w:val="InstructionsTabelleberschrift"/>
                <w:rFonts w:ascii="Times New Roman" w:hAnsi="Times New Roman"/>
                <w:b w:val="0"/>
                <w:sz w:val="24"/>
                <w:u w:val="none"/>
              </w:rPr>
              <w:t>.</w:t>
            </w:r>
          </w:p>
          <w:p w14:paraId="44320AB5" w14:textId="77777777" w:rsidR="007266CF" w:rsidRPr="002A677E" w:rsidRDefault="007266CF" w:rsidP="007266CF">
            <w:pPr>
              <w:pStyle w:val="InstructionsText"/>
              <w:rPr>
                <w:rStyle w:val="InstructionsTabelleberschrift"/>
                <w:rFonts w:ascii="Times New Roman" w:hAnsi="Times New Roman"/>
                <w:b w:val="0"/>
                <w:sz w:val="24"/>
                <w:u w:val="none"/>
              </w:rPr>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6223CC" w14:paraId="1CB6FF6B" w14:textId="77777777" w:rsidTr="007266CF">
        <w:tc>
          <w:tcPr>
            <w:tcW w:w="1474" w:type="dxa"/>
          </w:tcPr>
          <w:p w14:paraId="591FF557" w14:textId="77777777" w:rsidR="007266CF" w:rsidRPr="002A677E" w:rsidRDefault="007266CF" w:rsidP="007266CF">
            <w:pPr>
              <w:pStyle w:val="InstructionsText"/>
            </w:pPr>
            <w:r>
              <w:lastRenderedPageBreak/>
              <w:t>0300</w:t>
            </w:r>
          </w:p>
        </w:tc>
        <w:tc>
          <w:tcPr>
            <w:tcW w:w="7049" w:type="dxa"/>
          </w:tcPr>
          <w:p w14:paraId="3A13EA97"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Investice do vedlejšího kapitálu tier 1 subjektů finančního sektoru, v nichž instituce nemá významnou investici, očištěné o krátké pozice</w:t>
            </w:r>
          </w:p>
          <w:p w14:paraId="291B707C" w14:textId="77777777" w:rsidR="007266CF" w:rsidRPr="006223CC" w:rsidRDefault="007266CF" w:rsidP="007266CF">
            <w:pPr>
              <w:pStyle w:val="InstructionsText"/>
              <w:rPr>
                <w:lang w:val="fr-FR"/>
              </w:rPr>
            </w:pPr>
            <w:r w:rsidRPr="006223CC">
              <w:rPr>
                <w:lang w:val="fr-FR"/>
              </w:rPr>
              <w:t>Články 58, 59 a 60 nařízení (EU) č. 575/2013</w:t>
            </w:r>
          </w:p>
        </w:tc>
      </w:tr>
      <w:tr w:rsidR="007266CF" w:rsidRPr="002A677E" w14:paraId="7540840A" w14:textId="77777777" w:rsidTr="007266CF">
        <w:tc>
          <w:tcPr>
            <w:tcW w:w="1474" w:type="dxa"/>
          </w:tcPr>
          <w:p w14:paraId="33717274" w14:textId="77777777" w:rsidR="007266CF" w:rsidRPr="002A677E" w:rsidRDefault="007266CF" w:rsidP="007266CF">
            <w:pPr>
              <w:pStyle w:val="InstructionsText"/>
            </w:pPr>
            <w:r>
              <w:t>0310</w:t>
            </w:r>
          </w:p>
        </w:tc>
        <w:tc>
          <w:tcPr>
            <w:tcW w:w="7049" w:type="dxa"/>
          </w:tcPr>
          <w:p w14:paraId="2240AA07" w14:textId="77777777" w:rsidR="007266CF" w:rsidRPr="002A677E" w:rsidRDefault="007266CF" w:rsidP="007266C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Přímé kapitálové investice do nástrojů zahrnovaných do vedlejšího kapitálu tier 1 subjektů finančního sektoru, v nichž instituce nemá významnou investici</w:t>
            </w:r>
          </w:p>
          <w:p w14:paraId="25C798E0" w14:textId="77777777" w:rsidR="007266CF" w:rsidRPr="002A677E" w:rsidRDefault="007266CF" w:rsidP="007266CF">
            <w:pPr>
              <w:pStyle w:val="InstructionsText"/>
            </w:pPr>
            <w:r>
              <w:t>Články 58, 59 a čl. 60 odst. 2 nařízení (EU) č. 575/2013</w:t>
            </w:r>
          </w:p>
        </w:tc>
      </w:tr>
      <w:tr w:rsidR="007266CF" w:rsidRPr="002A677E" w14:paraId="6C6F0FB8" w14:textId="77777777" w:rsidTr="007266CF">
        <w:tc>
          <w:tcPr>
            <w:tcW w:w="1474" w:type="dxa"/>
          </w:tcPr>
          <w:p w14:paraId="47167C74" w14:textId="77777777" w:rsidR="007266CF" w:rsidRPr="002A677E" w:rsidRDefault="007266CF" w:rsidP="007266CF">
            <w:pPr>
              <w:pStyle w:val="InstructionsText"/>
            </w:pPr>
            <w:r>
              <w:t>0320</w:t>
            </w:r>
          </w:p>
        </w:tc>
        <w:tc>
          <w:tcPr>
            <w:tcW w:w="7049" w:type="dxa"/>
          </w:tcPr>
          <w:p w14:paraId="44B13BB1" w14:textId="77777777" w:rsidR="007266CF" w:rsidRPr="002A677E" w:rsidRDefault="007266CF" w:rsidP="007266C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Hrubé přímé kapitálové investice do nástrojů zahrnovaných do vedlejšího kapitálu tier 1 subjektů finančního sektoru, v nichž instituce nemá významnou investici</w:t>
            </w:r>
          </w:p>
          <w:p w14:paraId="5E4BCF10" w14:textId="77777777" w:rsidR="007266CF" w:rsidRPr="002A677E" w:rsidRDefault="007266CF" w:rsidP="007266CF">
            <w:pPr>
              <w:pStyle w:val="InstructionsText"/>
            </w:pPr>
            <w:r>
              <w:t>Článek 58 a čl. 60 odst. 2 nařízení (EU) č. 575/2013</w:t>
            </w:r>
          </w:p>
          <w:p w14:paraId="1D5389E2" w14:textId="77777777" w:rsidR="007266CF" w:rsidRPr="002A677E" w:rsidRDefault="007266CF" w:rsidP="007266CF">
            <w:pPr>
              <w:pStyle w:val="InstructionsText"/>
            </w:pPr>
            <w:r>
              <w:t>Přímé kapitálové investice do nástrojů zahrnovaných do vedlejšího kapitálu tier 1 subjektů finančního sektoru, v nichž instituce nemá významnou investici, s výjimkou:</w:t>
            </w:r>
          </w:p>
          <w:p w14:paraId="28DD5A40" w14:textId="77777777" w:rsidR="007266CF" w:rsidRPr="002A677E" w:rsidRDefault="007266CF" w:rsidP="007266CF">
            <w:pPr>
              <w:pStyle w:val="InstructionsText"/>
            </w:pPr>
            <w:r>
              <w:t>a)</w:t>
            </w:r>
            <w:r>
              <w:tab/>
              <w:t xml:space="preserve">pozic z upisování držených po dobu pěti nebo méně pracovních dnů a </w:t>
            </w:r>
          </w:p>
          <w:p w14:paraId="4EDC171A" w14:textId="77777777" w:rsidR="007266CF" w:rsidRPr="002A677E" w:rsidRDefault="007266CF" w:rsidP="007266CF">
            <w:pPr>
              <w:pStyle w:val="InstructionsText"/>
            </w:pPr>
            <w:r>
              <w:t>b)</w:t>
            </w:r>
            <w:r>
              <w:tab/>
              <w:t>Kapitálové investice, s nimiž se zachází jako se vzájemnými účastmi podle čl. 56 písm. b) nařízení (EU) č. 575/2013, se zde nezohledňují.</w:t>
            </w:r>
          </w:p>
        </w:tc>
      </w:tr>
      <w:tr w:rsidR="007266CF" w:rsidRPr="002A677E" w14:paraId="4F62C6DF" w14:textId="77777777" w:rsidTr="007266CF">
        <w:tc>
          <w:tcPr>
            <w:tcW w:w="1474" w:type="dxa"/>
          </w:tcPr>
          <w:p w14:paraId="7BBAE66C" w14:textId="77777777" w:rsidR="007266CF" w:rsidRPr="002A677E" w:rsidRDefault="007266CF" w:rsidP="007266CF">
            <w:pPr>
              <w:pStyle w:val="InstructionsText"/>
            </w:pPr>
            <w:r>
              <w:t>0330</w:t>
            </w:r>
          </w:p>
        </w:tc>
        <w:tc>
          <w:tcPr>
            <w:tcW w:w="7049" w:type="dxa"/>
          </w:tcPr>
          <w:p w14:paraId="4C26C2AE" w14:textId="77777777" w:rsidR="007266CF" w:rsidRPr="002A677E" w:rsidRDefault="007266CF" w:rsidP="007266C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Krátké pozice s povolenou kompenzací vztahující se k hrubým přímým kapitálovým investicím uvedeným výše</w:t>
            </w:r>
          </w:p>
          <w:p w14:paraId="06077A63" w14:textId="77777777" w:rsidR="007266CF" w:rsidRPr="002A677E" w:rsidRDefault="007266CF" w:rsidP="007266CF">
            <w:pPr>
              <w:pStyle w:val="InstructionsText"/>
            </w:pPr>
            <w:r>
              <w:t>Článek 59 nařízení (EU) č. 575/2013</w:t>
            </w:r>
          </w:p>
          <w:p w14:paraId="67EECE07" w14:textId="77777777" w:rsidR="007266CF" w:rsidRPr="002A677E" w:rsidRDefault="007266CF" w:rsidP="007266CF">
            <w:pPr>
              <w:pStyle w:val="InstructionsText"/>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36F1505E" w14:textId="77777777" w:rsidTr="007266CF">
        <w:tc>
          <w:tcPr>
            <w:tcW w:w="1474" w:type="dxa"/>
          </w:tcPr>
          <w:p w14:paraId="1B743B2C" w14:textId="77777777" w:rsidR="007266CF" w:rsidRPr="002A677E" w:rsidRDefault="007266CF" w:rsidP="007266CF">
            <w:pPr>
              <w:pStyle w:val="InstructionsText"/>
            </w:pPr>
            <w:r>
              <w:t>0340</w:t>
            </w:r>
          </w:p>
        </w:tc>
        <w:tc>
          <w:tcPr>
            <w:tcW w:w="7049" w:type="dxa"/>
          </w:tcPr>
          <w:p w14:paraId="550EB883" w14:textId="77777777" w:rsidR="007266CF" w:rsidRPr="002A677E" w:rsidRDefault="007266CF" w:rsidP="007266C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Nepřímé kapitálové investice do nástrojů zahrnovaných do vedlejšího kapitálu tier 1 subjektů finančního sektoru, v nichž instituce nemá významnou investici</w:t>
            </w:r>
          </w:p>
          <w:p w14:paraId="30C955E7" w14:textId="77777777" w:rsidR="007266CF" w:rsidRPr="002A677E" w:rsidRDefault="007266CF" w:rsidP="007266CF">
            <w:pPr>
              <w:pStyle w:val="InstructionsText"/>
            </w:pPr>
            <w:r>
              <w:t>Ustanovení čl. 4 odst. 1 bodu 114 a článků 58 a 59 nařízení (EU) č. 575/2013</w:t>
            </w:r>
          </w:p>
        </w:tc>
      </w:tr>
      <w:tr w:rsidR="007266CF" w:rsidRPr="002A677E" w14:paraId="7D3841E3" w14:textId="77777777" w:rsidTr="007266CF">
        <w:tc>
          <w:tcPr>
            <w:tcW w:w="1474" w:type="dxa"/>
          </w:tcPr>
          <w:p w14:paraId="62A4EAA2" w14:textId="77777777" w:rsidR="007266CF" w:rsidRPr="002A677E" w:rsidRDefault="007266CF" w:rsidP="007266CF">
            <w:pPr>
              <w:pStyle w:val="InstructionsText"/>
            </w:pPr>
            <w:r>
              <w:t>0350</w:t>
            </w:r>
          </w:p>
        </w:tc>
        <w:tc>
          <w:tcPr>
            <w:tcW w:w="7049" w:type="dxa"/>
          </w:tcPr>
          <w:p w14:paraId="6BCA2370" w14:textId="77777777" w:rsidR="007266CF" w:rsidRPr="002A677E" w:rsidRDefault="007266CF" w:rsidP="007266C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Hrubé nepřímé kapitálové investice do nástrojů zahrnovaných do vedlejšího kapitálu tier 1 subjektů finančního sektoru, v nichž instituce nemá významnou investici</w:t>
            </w:r>
          </w:p>
          <w:p w14:paraId="44BE70AE" w14:textId="77777777" w:rsidR="007266CF" w:rsidRPr="002A677E" w:rsidRDefault="007266CF" w:rsidP="007266CF">
            <w:pPr>
              <w:pStyle w:val="InstructionsText"/>
            </w:pPr>
            <w:r>
              <w:t>Ustanovení čl. 4 odst. 1 bodu 114 a článků 58 a 59 nařízení (EU) č. 575/2013</w:t>
            </w:r>
          </w:p>
          <w:p w14:paraId="58F599C0" w14:textId="77777777" w:rsidR="007266CF" w:rsidRPr="002A677E" w:rsidRDefault="007266CF" w:rsidP="007266CF">
            <w:pPr>
              <w:pStyle w:val="InstructionsText"/>
            </w:pPr>
            <w:r>
              <w:t xml:space="preserve">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w:t>
            </w:r>
            <w:r>
              <w:lastRenderedPageBreak/>
              <w:t>vůči kapitálovým nástrojům subjektů finančního sektoru zahrnutým do těchto indexů.</w:t>
            </w:r>
          </w:p>
          <w:p w14:paraId="61185315" w14:textId="77777777" w:rsidR="007266CF" w:rsidRPr="002A677E" w:rsidRDefault="007266CF" w:rsidP="007266CF">
            <w:pPr>
              <w:pStyle w:val="InstructionsText"/>
            </w:pPr>
            <w:r>
              <w:t>Kapitálové investice, s nimiž se zachází jako se vzájemnými účastmi podle čl. 56 písm. b) nařízení (EU) č. 575/2013, se zde nezohledňují.</w:t>
            </w:r>
          </w:p>
        </w:tc>
      </w:tr>
      <w:tr w:rsidR="007266CF" w:rsidRPr="002A677E" w14:paraId="14A1C3C0" w14:textId="77777777" w:rsidTr="007266CF">
        <w:tc>
          <w:tcPr>
            <w:tcW w:w="1474" w:type="dxa"/>
          </w:tcPr>
          <w:p w14:paraId="7244ABEE" w14:textId="77777777" w:rsidR="007266CF" w:rsidRPr="002A677E" w:rsidRDefault="007266CF" w:rsidP="007266CF">
            <w:pPr>
              <w:pStyle w:val="InstructionsText"/>
            </w:pPr>
            <w:r>
              <w:lastRenderedPageBreak/>
              <w:t>0360</w:t>
            </w:r>
          </w:p>
        </w:tc>
        <w:tc>
          <w:tcPr>
            <w:tcW w:w="7049" w:type="dxa"/>
          </w:tcPr>
          <w:p w14:paraId="4F84BD13" w14:textId="77777777" w:rsidR="007266CF" w:rsidRPr="002A677E" w:rsidRDefault="007266CF" w:rsidP="007266C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3256663C" w14:textId="77777777" w:rsidR="007266CF" w:rsidRPr="002A677E" w:rsidRDefault="007266CF" w:rsidP="007266CF">
            <w:pPr>
              <w:pStyle w:val="InstructionsText"/>
            </w:pPr>
            <w:r>
              <w:t>Ustanovení čl. 4 odst. 1 bodu 114 a článku 59 nařízení (EU) č. 575/2013</w:t>
            </w:r>
          </w:p>
          <w:p w14:paraId="379CC797" w14:textId="77777777" w:rsidR="007266CF" w:rsidRPr="002A677E" w:rsidRDefault="007266CF" w:rsidP="007266CF">
            <w:pPr>
              <w:pStyle w:val="InstructionsText"/>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21DB736D" w14:textId="77777777" w:rsidTr="007266CF">
        <w:tc>
          <w:tcPr>
            <w:tcW w:w="1474" w:type="dxa"/>
          </w:tcPr>
          <w:p w14:paraId="1CDF52B3" w14:textId="77777777" w:rsidR="007266CF" w:rsidRPr="002A677E" w:rsidRDefault="007266CF" w:rsidP="007266CF">
            <w:pPr>
              <w:pStyle w:val="InstructionsText"/>
            </w:pPr>
            <w:r>
              <w:t>0361</w:t>
            </w:r>
          </w:p>
        </w:tc>
        <w:tc>
          <w:tcPr>
            <w:tcW w:w="7049" w:type="dxa"/>
            <w:vAlign w:val="center"/>
          </w:tcPr>
          <w:p w14:paraId="3E746E7A" w14:textId="77777777" w:rsidR="007266CF" w:rsidRPr="002A677E" w:rsidRDefault="007266CF" w:rsidP="007266C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Syntetické kapitálové investice do nástrojů zahrnovaných do vedlejšího kapitálu tier 1 subjektů finančního sektoru, v nichž instituce nemá významnou investici</w:t>
            </w:r>
          </w:p>
          <w:p w14:paraId="13BF02CF"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4 odst. 1 bodu 126 a článků 58 a 59 nařízení (EU) č. 575/2013</w:t>
            </w:r>
          </w:p>
        </w:tc>
      </w:tr>
      <w:tr w:rsidR="007266CF" w:rsidRPr="002A677E" w14:paraId="360BD27F" w14:textId="77777777" w:rsidTr="007266CF">
        <w:tc>
          <w:tcPr>
            <w:tcW w:w="1474" w:type="dxa"/>
          </w:tcPr>
          <w:p w14:paraId="7AE7E739" w14:textId="77777777" w:rsidR="007266CF" w:rsidRPr="002A677E" w:rsidRDefault="007266CF" w:rsidP="007266CF">
            <w:pPr>
              <w:pStyle w:val="InstructionsText"/>
            </w:pPr>
            <w:r>
              <w:t>0362</w:t>
            </w:r>
          </w:p>
        </w:tc>
        <w:tc>
          <w:tcPr>
            <w:tcW w:w="7049" w:type="dxa"/>
            <w:vAlign w:val="center"/>
          </w:tcPr>
          <w:p w14:paraId="2D9E729D" w14:textId="77777777" w:rsidR="007266CF" w:rsidRPr="002A677E" w:rsidRDefault="007266CF" w:rsidP="007266C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Hrubé syntetické kapitálové investice do nástrojů zahrnovaných do vedlejšího kapitálu tier 1 subjektů finančního sektoru, v nichž instituce nemá významnou investici</w:t>
            </w:r>
          </w:p>
          <w:p w14:paraId="329FC315"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4 odst. 1 bodu 126 a článků 58 a 59 nařízení (EU) č. 575/2013</w:t>
            </w:r>
          </w:p>
        </w:tc>
      </w:tr>
      <w:tr w:rsidR="007266CF" w:rsidRPr="002A677E" w14:paraId="5835C80E" w14:textId="77777777" w:rsidTr="007266CF">
        <w:tc>
          <w:tcPr>
            <w:tcW w:w="1474" w:type="dxa"/>
          </w:tcPr>
          <w:p w14:paraId="7E97321E" w14:textId="77777777" w:rsidR="007266CF" w:rsidRPr="002A677E" w:rsidRDefault="007266CF" w:rsidP="007266CF">
            <w:pPr>
              <w:pStyle w:val="InstructionsText"/>
            </w:pPr>
            <w:r>
              <w:t>0363</w:t>
            </w:r>
          </w:p>
        </w:tc>
        <w:tc>
          <w:tcPr>
            <w:tcW w:w="7049" w:type="dxa"/>
            <w:vAlign w:val="center"/>
          </w:tcPr>
          <w:p w14:paraId="096A9CE4" w14:textId="77777777" w:rsidR="007266CF" w:rsidRPr="002A677E" w:rsidRDefault="007266CF" w:rsidP="007266C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5A119132" w14:textId="77777777" w:rsidR="007266CF" w:rsidRPr="002A677E" w:rsidRDefault="007266CF" w:rsidP="007266CF">
            <w:pPr>
              <w:pStyle w:val="InstructionsText"/>
            </w:pPr>
            <w:r>
              <w:t>Ustanovení čl. 4 odst. 1 bodu 126 a článku 59 nařízení (EU) č. 575/2013.</w:t>
            </w:r>
          </w:p>
          <w:p w14:paraId="6EFC181B"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6223CC" w14:paraId="79304846" w14:textId="77777777" w:rsidTr="007266CF">
        <w:tc>
          <w:tcPr>
            <w:tcW w:w="1474" w:type="dxa"/>
          </w:tcPr>
          <w:p w14:paraId="2248B1DB" w14:textId="77777777" w:rsidR="007266CF" w:rsidRPr="002A677E" w:rsidRDefault="007266CF" w:rsidP="007266CF">
            <w:pPr>
              <w:pStyle w:val="InstructionsText"/>
            </w:pPr>
            <w:r>
              <w:t>0370</w:t>
            </w:r>
          </w:p>
        </w:tc>
        <w:tc>
          <w:tcPr>
            <w:tcW w:w="7049" w:type="dxa"/>
          </w:tcPr>
          <w:p w14:paraId="59DBE032" w14:textId="77777777" w:rsidR="007266CF" w:rsidRPr="002A677E" w:rsidRDefault="007266CF" w:rsidP="007266C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Investice do kapitálu tier 2 subjektů finančního sektoru, v nichž instituce nemá významnou investici, očištěné o krátké pozice</w:t>
            </w:r>
          </w:p>
          <w:p w14:paraId="6334BC7F" w14:textId="77777777" w:rsidR="007266CF" w:rsidRPr="006223CC" w:rsidRDefault="007266CF" w:rsidP="007266CF">
            <w:pPr>
              <w:pStyle w:val="InstructionsText"/>
              <w:rPr>
                <w:lang w:val="fr-FR"/>
              </w:rPr>
            </w:pPr>
            <w:r w:rsidRPr="006223CC">
              <w:rPr>
                <w:lang w:val="fr-FR"/>
              </w:rPr>
              <w:t>Články 68, 69 a 70 nařízení (EU) č. 575/2013</w:t>
            </w:r>
          </w:p>
        </w:tc>
      </w:tr>
      <w:tr w:rsidR="007266CF" w:rsidRPr="002A677E" w14:paraId="24372236" w14:textId="77777777" w:rsidTr="007266CF">
        <w:tc>
          <w:tcPr>
            <w:tcW w:w="1474" w:type="dxa"/>
          </w:tcPr>
          <w:p w14:paraId="4C519419" w14:textId="77777777" w:rsidR="007266CF" w:rsidRPr="002A677E" w:rsidRDefault="007266CF" w:rsidP="007266CF">
            <w:pPr>
              <w:pStyle w:val="InstructionsText"/>
            </w:pPr>
            <w:r>
              <w:t>0380</w:t>
            </w:r>
          </w:p>
        </w:tc>
        <w:tc>
          <w:tcPr>
            <w:tcW w:w="7049" w:type="dxa"/>
          </w:tcPr>
          <w:p w14:paraId="70AB67DC" w14:textId="77777777" w:rsidR="007266CF" w:rsidRPr="002A677E" w:rsidRDefault="007266CF" w:rsidP="007266C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Přímé kapitálové investice do nástrojů zahrnovaných do kapitálu tier 2 subjektů finančního sektoru, v nichž instituce nemá významnou investici</w:t>
            </w:r>
          </w:p>
          <w:p w14:paraId="7ABC4885" w14:textId="77777777" w:rsidR="007266CF" w:rsidRPr="002A677E" w:rsidRDefault="007266CF" w:rsidP="007266CF">
            <w:pPr>
              <w:pStyle w:val="InstructionsText"/>
            </w:pPr>
            <w:r>
              <w:t>Články 68 a 69 a čl. 70 odst. 2 nařízení (EU) č. 575/2013</w:t>
            </w:r>
          </w:p>
        </w:tc>
      </w:tr>
      <w:tr w:rsidR="007266CF" w:rsidRPr="002A677E" w14:paraId="27CEC029" w14:textId="77777777" w:rsidTr="007266CF">
        <w:tc>
          <w:tcPr>
            <w:tcW w:w="1474" w:type="dxa"/>
          </w:tcPr>
          <w:p w14:paraId="722829E3" w14:textId="77777777" w:rsidR="007266CF" w:rsidRPr="002A677E" w:rsidRDefault="007266CF" w:rsidP="007266CF">
            <w:pPr>
              <w:pStyle w:val="InstructionsText"/>
            </w:pPr>
            <w:r>
              <w:t>0390</w:t>
            </w:r>
          </w:p>
        </w:tc>
        <w:tc>
          <w:tcPr>
            <w:tcW w:w="7049" w:type="dxa"/>
          </w:tcPr>
          <w:p w14:paraId="09DBD31E" w14:textId="77777777" w:rsidR="007266CF" w:rsidRPr="002A677E" w:rsidRDefault="007266CF" w:rsidP="007266C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Hrubé přímé kapitálové investice do nástrojů zahrnovaných do kapitálu tier 2 subjektů finančního sektoru, v nichž instituce nemá významnou investici</w:t>
            </w:r>
          </w:p>
          <w:p w14:paraId="513EDDDF" w14:textId="77777777" w:rsidR="007266CF" w:rsidRPr="002A677E" w:rsidRDefault="007266CF" w:rsidP="007266CF">
            <w:pPr>
              <w:pStyle w:val="InstructionsText"/>
            </w:pPr>
            <w:r>
              <w:lastRenderedPageBreak/>
              <w:t>Článek 68 a čl. 70 odst. 2 nařízení (EU) č. 575/2013</w:t>
            </w:r>
          </w:p>
          <w:p w14:paraId="73D281C9" w14:textId="77777777" w:rsidR="007266CF" w:rsidRPr="002A677E" w:rsidRDefault="007266CF" w:rsidP="007266CF">
            <w:pPr>
              <w:pStyle w:val="InstructionsText"/>
            </w:pPr>
            <w:r>
              <w:t>Přímé kapitálové investice do nástrojů zahrnovaných do kapitálu tier 2 subjektů finančního sektoru, v nichž instituce nemá významnou investici s výjimkou:</w:t>
            </w:r>
          </w:p>
          <w:p w14:paraId="6DC9EAB0" w14:textId="77777777" w:rsidR="007266CF" w:rsidRPr="002A677E" w:rsidRDefault="007266CF" w:rsidP="007266CF">
            <w:pPr>
              <w:pStyle w:val="InstructionsText"/>
            </w:pPr>
            <w:r>
              <w:t>a)</w:t>
            </w:r>
            <w:r>
              <w:tab/>
              <w:t xml:space="preserve">pozic z upisování držených po dobu pěti nebo méně pracovních dnů a </w:t>
            </w:r>
          </w:p>
          <w:p w14:paraId="763D46B7" w14:textId="77777777" w:rsidR="007266CF" w:rsidRPr="002A677E" w:rsidRDefault="007266CF" w:rsidP="007266CF">
            <w:pPr>
              <w:pStyle w:val="InstructionsText"/>
            </w:pPr>
            <w:r>
              <w:t>b)</w:t>
            </w:r>
            <w:r>
              <w:tab/>
              <w:t>Kapitálové investice, s nimiž se zachází jako se vzájemnými účastmi podle čl. 66 písm. b) nařízení (EU) č. 575/2013, se zde nezohledňují.</w:t>
            </w:r>
          </w:p>
        </w:tc>
      </w:tr>
      <w:tr w:rsidR="007266CF" w:rsidRPr="002A677E" w14:paraId="1B9F3F82" w14:textId="77777777" w:rsidTr="007266CF">
        <w:tc>
          <w:tcPr>
            <w:tcW w:w="1474" w:type="dxa"/>
          </w:tcPr>
          <w:p w14:paraId="41AEAB1A" w14:textId="77777777" w:rsidR="007266CF" w:rsidRPr="002A677E" w:rsidRDefault="007266CF" w:rsidP="007266CF">
            <w:pPr>
              <w:pStyle w:val="InstructionsText"/>
            </w:pPr>
            <w:r>
              <w:lastRenderedPageBreak/>
              <w:t>0400</w:t>
            </w:r>
          </w:p>
        </w:tc>
        <w:tc>
          <w:tcPr>
            <w:tcW w:w="7049" w:type="dxa"/>
          </w:tcPr>
          <w:p w14:paraId="64E6E5DA" w14:textId="77777777" w:rsidR="007266CF" w:rsidRPr="002A677E" w:rsidRDefault="007266CF" w:rsidP="007266CF">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Krátké pozice s povolenou kompenzací vztahující se k hrubým přímým kapitálovým investicím uvedeným výše</w:t>
            </w:r>
          </w:p>
          <w:p w14:paraId="090CBB22" w14:textId="77777777" w:rsidR="007266CF" w:rsidRPr="002A677E" w:rsidRDefault="007266CF" w:rsidP="007266CF">
            <w:pPr>
              <w:pStyle w:val="InstructionsText"/>
            </w:pPr>
            <w:r>
              <w:t>Článek 69 nařízení (EU) č. 575/2013</w:t>
            </w:r>
          </w:p>
          <w:p w14:paraId="4873C026" w14:textId="77777777" w:rsidR="007266CF" w:rsidRPr="002A677E" w:rsidRDefault="007266CF" w:rsidP="007266CF">
            <w:pPr>
              <w:pStyle w:val="InstructionsText"/>
            </w:pPr>
            <w:r>
              <w:t>Ustanovení čl. 69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522829A1" w14:textId="77777777" w:rsidTr="007266CF">
        <w:tc>
          <w:tcPr>
            <w:tcW w:w="1474" w:type="dxa"/>
          </w:tcPr>
          <w:p w14:paraId="47541F90" w14:textId="77777777" w:rsidR="007266CF" w:rsidRPr="002A677E" w:rsidRDefault="007266CF" w:rsidP="007266CF">
            <w:pPr>
              <w:pStyle w:val="InstructionsText"/>
            </w:pPr>
            <w:r>
              <w:t>0410</w:t>
            </w:r>
          </w:p>
        </w:tc>
        <w:tc>
          <w:tcPr>
            <w:tcW w:w="7049" w:type="dxa"/>
          </w:tcPr>
          <w:p w14:paraId="014BC024" w14:textId="77777777" w:rsidR="007266CF" w:rsidRPr="002A677E" w:rsidRDefault="007266CF" w:rsidP="007266C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Nepřímé kapitálové investice do nástrojů zahrnovaných do kapitálu tier 2 subjektů finančního sektoru, v nichž instituce nemá významnou investici</w:t>
            </w:r>
          </w:p>
          <w:p w14:paraId="5216DCF9" w14:textId="77777777" w:rsidR="007266CF" w:rsidRPr="002A677E" w:rsidRDefault="007266CF" w:rsidP="007266CF">
            <w:pPr>
              <w:pStyle w:val="InstructionsText"/>
            </w:pPr>
            <w:r>
              <w:t>Ustanovení čl. 4 odst. 1 bodu 114 a článků 68 a 69 nařízení (EU) č. 575/2013</w:t>
            </w:r>
          </w:p>
        </w:tc>
      </w:tr>
      <w:tr w:rsidR="007266CF" w:rsidRPr="002A677E" w14:paraId="396459F2" w14:textId="77777777" w:rsidTr="007266CF">
        <w:tc>
          <w:tcPr>
            <w:tcW w:w="1474" w:type="dxa"/>
          </w:tcPr>
          <w:p w14:paraId="69D1DD60" w14:textId="77777777" w:rsidR="007266CF" w:rsidRPr="002A677E" w:rsidRDefault="007266CF" w:rsidP="007266CF">
            <w:pPr>
              <w:pStyle w:val="InstructionsText"/>
            </w:pPr>
            <w:r>
              <w:t>0420</w:t>
            </w:r>
          </w:p>
        </w:tc>
        <w:tc>
          <w:tcPr>
            <w:tcW w:w="7049" w:type="dxa"/>
          </w:tcPr>
          <w:p w14:paraId="3326AE8D" w14:textId="77777777" w:rsidR="007266CF" w:rsidRPr="002A677E" w:rsidRDefault="007266CF" w:rsidP="007266C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Hrubé nepřímé kapitálové investice do nástrojů zahrnovaných do kapitálu tier 2 subjektů finančního sektoru, v nichž instituce nemá významnou investici</w:t>
            </w:r>
          </w:p>
          <w:p w14:paraId="6E0328AB" w14:textId="77777777" w:rsidR="007266CF" w:rsidRPr="002A677E" w:rsidRDefault="007266CF" w:rsidP="007266CF">
            <w:pPr>
              <w:pStyle w:val="InstructionsText"/>
            </w:pPr>
            <w:r>
              <w:t>Ustanovení čl. 4 odst. 1 bodu 114 a článků 68 a 69 nařízení (EU) č. 575/2013</w:t>
            </w:r>
          </w:p>
          <w:p w14:paraId="0A3C12F9" w14:textId="77777777" w:rsidR="007266CF" w:rsidRPr="002A677E" w:rsidRDefault="007266CF" w:rsidP="007266CF">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3DB08ED5" w14:textId="77777777" w:rsidR="007266CF" w:rsidRPr="002A677E" w:rsidRDefault="007266CF" w:rsidP="007266CF">
            <w:pPr>
              <w:pStyle w:val="InstructionsText"/>
            </w:pPr>
            <w:r>
              <w:t>Kapitálové investice, s nimiž se zachází jako se vzájemnými účastmi podle čl. 66 písm. b) nařízení (EU) č. 575/2013, se zde nezohledňují.</w:t>
            </w:r>
          </w:p>
        </w:tc>
      </w:tr>
      <w:tr w:rsidR="007266CF" w:rsidRPr="002A677E" w14:paraId="1B871697" w14:textId="77777777" w:rsidTr="007266CF">
        <w:tc>
          <w:tcPr>
            <w:tcW w:w="1474" w:type="dxa"/>
          </w:tcPr>
          <w:p w14:paraId="59DB6736" w14:textId="77777777" w:rsidR="007266CF" w:rsidRPr="002A677E" w:rsidRDefault="007266CF" w:rsidP="007266CF">
            <w:pPr>
              <w:pStyle w:val="InstructionsText"/>
            </w:pPr>
            <w:r>
              <w:t>0430</w:t>
            </w:r>
          </w:p>
        </w:tc>
        <w:tc>
          <w:tcPr>
            <w:tcW w:w="7049" w:type="dxa"/>
          </w:tcPr>
          <w:p w14:paraId="51137BB3" w14:textId="77777777" w:rsidR="007266CF" w:rsidRPr="002A677E" w:rsidRDefault="007266CF" w:rsidP="007266C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737D703E" w14:textId="77777777" w:rsidR="007266CF" w:rsidRPr="002A677E" w:rsidRDefault="007266CF" w:rsidP="007266CF">
            <w:pPr>
              <w:pStyle w:val="InstructionsText"/>
            </w:pPr>
            <w:r>
              <w:t>Ustanovení čl. 4 odst. 1 bodu 114 a článku 69 nařízení (EU) č. 575/2013</w:t>
            </w:r>
          </w:p>
          <w:p w14:paraId="2E480225" w14:textId="77777777" w:rsidR="007266CF" w:rsidRPr="002A677E" w:rsidRDefault="007266CF" w:rsidP="007266CF">
            <w:pPr>
              <w:pStyle w:val="InstructionsText"/>
            </w:pPr>
            <w:r>
              <w:t xml:space="preserve">Ustanovení čl. 69 písm. a) nařízení (EU) č. 575/2013 povoluje kompenzaci krátkých pozic v téže podkladové expozici za předpokladu, že datum splatnosti krátké pozice je buď stejné nebo pozdější než datum </w:t>
            </w:r>
            <w:r>
              <w:lastRenderedPageBreak/>
              <w:t>splatnosti dlouhé pozice, nebo v případě, že zbytková splatnost krátké pozice činí nejméně jeden rok.</w:t>
            </w:r>
          </w:p>
        </w:tc>
      </w:tr>
      <w:tr w:rsidR="007266CF" w:rsidRPr="002A677E" w14:paraId="435939AD" w14:textId="77777777" w:rsidTr="007266CF">
        <w:tc>
          <w:tcPr>
            <w:tcW w:w="1474" w:type="dxa"/>
          </w:tcPr>
          <w:p w14:paraId="287A6DD5" w14:textId="77777777" w:rsidR="007266CF" w:rsidRPr="002A677E" w:rsidRDefault="007266CF" w:rsidP="007266CF">
            <w:pPr>
              <w:pStyle w:val="InstructionsText"/>
            </w:pPr>
            <w:r>
              <w:lastRenderedPageBreak/>
              <w:t>0431</w:t>
            </w:r>
          </w:p>
        </w:tc>
        <w:tc>
          <w:tcPr>
            <w:tcW w:w="7049" w:type="dxa"/>
          </w:tcPr>
          <w:p w14:paraId="7BD44916" w14:textId="77777777" w:rsidR="007266CF" w:rsidRPr="002A677E" w:rsidRDefault="007266CF" w:rsidP="007266C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Syntetické kapitálové investice do nástrojů zahrnovaných do kapitálu tier 2 subjektů finančního sektoru, v nichž instituce nemá významnou investici</w:t>
            </w:r>
          </w:p>
          <w:p w14:paraId="1A04C07D" w14:textId="77777777" w:rsidR="007266CF" w:rsidRPr="002A677E" w:rsidRDefault="007266CF" w:rsidP="007266CF">
            <w:pPr>
              <w:pStyle w:val="InstructionsText"/>
              <w:rPr>
                <w:rStyle w:val="InstructionsTabelleberschrift"/>
                <w:rFonts w:ascii="Times New Roman" w:hAnsi="Times New Roman"/>
                <w:sz w:val="24"/>
              </w:rPr>
            </w:pPr>
            <w:r>
              <w:t>Ustanovení čl. 4 odst. 1 bodu 126 a článků 68 a 69 nařízení (EU) č. 575/2013</w:t>
            </w:r>
          </w:p>
        </w:tc>
      </w:tr>
      <w:tr w:rsidR="007266CF" w:rsidRPr="002A677E" w14:paraId="4E5A1028" w14:textId="77777777" w:rsidTr="007266CF">
        <w:tc>
          <w:tcPr>
            <w:tcW w:w="1474" w:type="dxa"/>
          </w:tcPr>
          <w:p w14:paraId="51067983" w14:textId="77777777" w:rsidR="007266CF" w:rsidRPr="002A677E" w:rsidRDefault="007266CF" w:rsidP="007266CF">
            <w:pPr>
              <w:pStyle w:val="InstructionsText"/>
            </w:pPr>
            <w:r>
              <w:t>0432</w:t>
            </w:r>
          </w:p>
        </w:tc>
        <w:tc>
          <w:tcPr>
            <w:tcW w:w="7049" w:type="dxa"/>
          </w:tcPr>
          <w:p w14:paraId="0070845D" w14:textId="77777777" w:rsidR="007266CF" w:rsidRPr="002A677E" w:rsidRDefault="007266CF" w:rsidP="007266C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Hrubé syntetické kapitálové investice do nástrojů zahrnovaných do kapitálu tier 2 subjektů finančního sektoru, v nichž instituce nemá významnou investici</w:t>
            </w:r>
          </w:p>
          <w:p w14:paraId="77929B3B"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4 odst. 1 bodu 126 a článků 68 a 69 nařízení (EU) č. 575/2013</w:t>
            </w:r>
          </w:p>
        </w:tc>
      </w:tr>
      <w:tr w:rsidR="007266CF" w:rsidRPr="002A677E" w14:paraId="6C876C2B" w14:textId="77777777" w:rsidTr="007266CF">
        <w:tc>
          <w:tcPr>
            <w:tcW w:w="1474" w:type="dxa"/>
          </w:tcPr>
          <w:p w14:paraId="702ABF4C" w14:textId="77777777" w:rsidR="007266CF" w:rsidRPr="002A677E" w:rsidRDefault="007266CF" w:rsidP="007266CF">
            <w:pPr>
              <w:pStyle w:val="InstructionsText"/>
            </w:pPr>
            <w:r>
              <w:t>0433</w:t>
            </w:r>
          </w:p>
        </w:tc>
        <w:tc>
          <w:tcPr>
            <w:tcW w:w="7049" w:type="dxa"/>
          </w:tcPr>
          <w:p w14:paraId="32F9AE9C" w14:textId="77777777" w:rsidR="007266CF" w:rsidRPr="002A677E" w:rsidRDefault="007266CF" w:rsidP="007266C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2FAC7502" w14:textId="77777777" w:rsidR="007266CF" w:rsidRPr="002A677E" w:rsidRDefault="007266CF" w:rsidP="007266CF">
            <w:pPr>
              <w:pStyle w:val="InstructionsText"/>
            </w:pPr>
            <w:r>
              <w:t>Ustanovení čl. 4 odst. 1 bodu 126 a článku 69 nařízení (EU) č. 575/2013.</w:t>
            </w:r>
          </w:p>
          <w:p w14:paraId="06119B82"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69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6223CC" w14:paraId="20007E4F" w14:textId="77777777" w:rsidTr="007266CF">
        <w:tc>
          <w:tcPr>
            <w:tcW w:w="1474" w:type="dxa"/>
          </w:tcPr>
          <w:p w14:paraId="224D9254" w14:textId="77777777" w:rsidR="007266CF" w:rsidRPr="002A677E" w:rsidRDefault="007266CF" w:rsidP="007266CF">
            <w:pPr>
              <w:pStyle w:val="InstructionsText"/>
            </w:pPr>
            <w:r>
              <w:t>0440</w:t>
            </w:r>
          </w:p>
        </w:tc>
        <w:tc>
          <w:tcPr>
            <w:tcW w:w="7049" w:type="dxa"/>
          </w:tcPr>
          <w:p w14:paraId="14F358CA" w14:textId="77777777" w:rsidR="007266CF" w:rsidRPr="002A677E" w:rsidRDefault="007266CF" w:rsidP="007266C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Investice do kmenového kapitálu tier 1 subjektů finančního sektoru, v nichž má instituce významnou investici, očištěné o krátké pozice</w:t>
            </w:r>
          </w:p>
          <w:p w14:paraId="56A200AB" w14:textId="77777777" w:rsidR="007266CF" w:rsidRPr="006223CC" w:rsidRDefault="007266CF" w:rsidP="007266CF">
            <w:pPr>
              <w:pStyle w:val="InstructionsText"/>
              <w:rPr>
                <w:lang w:val="fr-FR"/>
              </w:rPr>
            </w:pPr>
            <w:r w:rsidRPr="006223CC">
              <w:rPr>
                <w:lang w:val="fr-FR"/>
              </w:rPr>
              <w:t>Články 44, 45, 47 a 49 nařízení (EU) č. 575/2013</w:t>
            </w:r>
          </w:p>
        </w:tc>
      </w:tr>
      <w:tr w:rsidR="007266CF" w:rsidRPr="006223CC" w14:paraId="3BFAA5F0" w14:textId="77777777" w:rsidTr="007266CF">
        <w:tc>
          <w:tcPr>
            <w:tcW w:w="1474" w:type="dxa"/>
          </w:tcPr>
          <w:p w14:paraId="4DFA5C8A" w14:textId="77777777" w:rsidR="007266CF" w:rsidRPr="002A677E" w:rsidRDefault="007266CF" w:rsidP="007266CF">
            <w:pPr>
              <w:pStyle w:val="InstructionsText"/>
            </w:pPr>
            <w:r>
              <w:t>0450</w:t>
            </w:r>
          </w:p>
        </w:tc>
        <w:tc>
          <w:tcPr>
            <w:tcW w:w="7049" w:type="dxa"/>
          </w:tcPr>
          <w:p w14:paraId="18BCEAAF" w14:textId="77777777" w:rsidR="007266CF" w:rsidRPr="002A677E" w:rsidRDefault="007266CF" w:rsidP="007266C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Přímé kapitálové investice do nástrojů zahrnovaných do kmenového kapitálu tier 1 subjektů finančního sektoru, v nichž má instituce významnou investici</w:t>
            </w:r>
          </w:p>
          <w:p w14:paraId="2283F92B" w14:textId="77777777" w:rsidR="007266CF" w:rsidRPr="006223CC" w:rsidRDefault="007266CF" w:rsidP="007266CF">
            <w:pPr>
              <w:pStyle w:val="InstructionsText"/>
              <w:rPr>
                <w:lang w:val="fr-FR"/>
              </w:rPr>
            </w:pPr>
            <w:r w:rsidRPr="006223CC">
              <w:rPr>
                <w:lang w:val="fr-FR"/>
              </w:rPr>
              <w:t>Články 44, 45, 47 a 49 nařízení (EU) č. 575/2013</w:t>
            </w:r>
          </w:p>
        </w:tc>
      </w:tr>
      <w:tr w:rsidR="007266CF" w:rsidRPr="002A677E" w14:paraId="07644574" w14:textId="77777777" w:rsidTr="007266CF">
        <w:tc>
          <w:tcPr>
            <w:tcW w:w="1474" w:type="dxa"/>
          </w:tcPr>
          <w:p w14:paraId="19BCAE53" w14:textId="77777777" w:rsidR="007266CF" w:rsidRPr="002A677E" w:rsidRDefault="007266CF" w:rsidP="007266CF">
            <w:pPr>
              <w:pStyle w:val="InstructionsText"/>
            </w:pPr>
            <w:r>
              <w:t>0460</w:t>
            </w:r>
          </w:p>
        </w:tc>
        <w:tc>
          <w:tcPr>
            <w:tcW w:w="7049" w:type="dxa"/>
          </w:tcPr>
          <w:p w14:paraId="76785A39" w14:textId="77777777" w:rsidR="007266CF" w:rsidRPr="002A677E" w:rsidRDefault="007266CF" w:rsidP="007266C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Hrubé přímé kapitálové investice do nástrojů zahrnovaných do kmenového kapitálu tier 1 subjektů finančního sektoru, v nichž má instituce významnou investici</w:t>
            </w:r>
          </w:p>
          <w:p w14:paraId="022A4621" w14:textId="77777777" w:rsidR="007266CF" w:rsidRPr="006223CC" w:rsidRDefault="007266CF" w:rsidP="007266CF">
            <w:pPr>
              <w:pStyle w:val="InstructionsText"/>
              <w:rPr>
                <w:lang w:val="fr-FR"/>
              </w:rPr>
            </w:pPr>
            <w:r w:rsidRPr="006223CC">
              <w:rPr>
                <w:lang w:val="fr-FR"/>
              </w:rPr>
              <w:t>Články 44, 45, 47 a 49 nařízení (EU) č. 575/2013</w:t>
            </w:r>
          </w:p>
          <w:p w14:paraId="2AD11890" w14:textId="77777777" w:rsidR="007266CF" w:rsidRPr="006223CC" w:rsidRDefault="007266CF" w:rsidP="007266CF">
            <w:pPr>
              <w:pStyle w:val="InstructionsText"/>
              <w:rPr>
                <w:lang w:val="fr-FR"/>
              </w:rPr>
            </w:pPr>
            <w:r w:rsidRPr="006223CC">
              <w:rPr>
                <w:lang w:val="fr-FR"/>
              </w:rPr>
              <w:t>Přímé kapitálové investice do nástrojů zahrnovaných do kmenového kapitálu tier 1 subjektů finančního sektoru, v nichž má instituce významnou investici, s výjimkou:</w:t>
            </w:r>
          </w:p>
          <w:p w14:paraId="32A8051D" w14:textId="77777777" w:rsidR="007266CF" w:rsidRPr="006223CC" w:rsidRDefault="007266CF" w:rsidP="007266CF">
            <w:pPr>
              <w:pStyle w:val="InstructionsText"/>
              <w:rPr>
                <w:lang w:val="fr-FR"/>
              </w:rPr>
            </w:pPr>
            <w:r w:rsidRPr="006223CC">
              <w:rPr>
                <w:lang w:val="fr-FR"/>
              </w:rPr>
              <w:t>a)</w:t>
            </w:r>
            <w:r w:rsidRPr="006223CC">
              <w:rPr>
                <w:lang w:val="fr-FR"/>
              </w:rPr>
              <w:tab/>
              <w:t xml:space="preserve">pozic z upisování držených po dobu pěti nebo méně pracovních dnů, </w:t>
            </w:r>
          </w:p>
          <w:p w14:paraId="72D8E7DF" w14:textId="77777777" w:rsidR="007266CF" w:rsidRPr="006223CC" w:rsidRDefault="007266CF" w:rsidP="007266CF">
            <w:pPr>
              <w:pStyle w:val="InstructionsText"/>
              <w:rPr>
                <w:lang w:val="fr-FR"/>
              </w:rPr>
            </w:pPr>
            <w:r w:rsidRPr="006223CC">
              <w:rPr>
                <w:lang w:val="fr-FR"/>
              </w:rPr>
              <w:t>b)</w:t>
            </w:r>
            <w:r w:rsidRPr="006223CC">
              <w:rPr>
                <w:lang w:val="fr-FR"/>
              </w:rPr>
              <w:tab/>
              <w:t xml:space="preserve">částek souvisejících s investicemi, na něž se vztahuje některá z alternativ uvedených v článku 49, a </w:t>
            </w:r>
          </w:p>
          <w:p w14:paraId="06445B03" w14:textId="77777777" w:rsidR="007266CF" w:rsidRPr="002A677E" w:rsidRDefault="007266CF" w:rsidP="007266CF">
            <w:pPr>
              <w:pStyle w:val="InstructionsText"/>
            </w:pPr>
            <w:r w:rsidRPr="006223CC">
              <w:rPr>
                <w:lang w:val="fr-FR"/>
              </w:rPr>
              <w:t>c)</w:t>
            </w:r>
            <w:r w:rsidRPr="006223CC">
              <w:rPr>
                <w:lang w:val="fr-FR"/>
              </w:rPr>
              <w:tab/>
              <w:t>kapitálových investic, s nimiž se zachází jako se vzájemnými účastmi podle čl. 36 odst. </w:t>
            </w:r>
            <w:r>
              <w:t>1 písm. g) nařízení (EU) č. 575/2013.</w:t>
            </w:r>
          </w:p>
        </w:tc>
      </w:tr>
      <w:tr w:rsidR="007266CF" w:rsidRPr="002A677E" w14:paraId="7AB5707B" w14:textId="77777777" w:rsidTr="007266CF">
        <w:tc>
          <w:tcPr>
            <w:tcW w:w="1474" w:type="dxa"/>
          </w:tcPr>
          <w:p w14:paraId="2CC931EF" w14:textId="77777777" w:rsidR="007266CF" w:rsidRPr="002A677E" w:rsidRDefault="007266CF" w:rsidP="007266CF">
            <w:pPr>
              <w:pStyle w:val="InstructionsText"/>
            </w:pPr>
            <w:r>
              <w:lastRenderedPageBreak/>
              <w:t>0470</w:t>
            </w:r>
          </w:p>
        </w:tc>
        <w:tc>
          <w:tcPr>
            <w:tcW w:w="7049" w:type="dxa"/>
          </w:tcPr>
          <w:p w14:paraId="3D8D598B" w14:textId="77777777" w:rsidR="007266CF" w:rsidRPr="002A677E" w:rsidRDefault="007266CF" w:rsidP="007266CF">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Krátké pozice s povolenou kompenzací vztahující se k hrubým přímým kapitálovým investicím uvedeným výše</w:t>
            </w:r>
          </w:p>
          <w:p w14:paraId="72B0FA6A" w14:textId="77777777" w:rsidR="007266CF" w:rsidRPr="002A677E" w:rsidRDefault="007266CF" w:rsidP="007266CF">
            <w:pPr>
              <w:pStyle w:val="InstructionsText"/>
            </w:pPr>
            <w:r>
              <w:t>Článek 45 nařízení (EU) č. 575/2013</w:t>
            </w:r>
          </w:p>
          <w:p w14:paraId="0A83BB4F" w14:textId="77777777" w:rsidR="007266CF" w:rsidRPr="002A677E" w:rsidRDefault="007266CF" w:rsidP="007266CF">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22089491" w14:textId="77777777" w:rsidTr="007266CF">
        <w:tc>
          <w:tcPr>
            <w:tcW w:w="1474" w:type="dxa"/>
          </w:tcPr>
          <w:p w14:paraId="1DA91406" w14:textId="77777777" w:rsidR="007266CF" w:rsidRPr="002A677E" w:rsidRDefault="007266CF" w:rsidP="007266CF">
            <w:pPr>
              <w:pStyle w:val="InstructionsText"/>
            </w:pPr>
            <w:r>
              <w:t>0480</w:t>
            </w:r>
          </w:p>
        </w:tc>
        <w:tc>
          <w:tcPr>
            <w:tcW w:w="7049" w:type="dxa"/>
          </w:tcPr>
          <w:p w14:paraId="7A71EF09" w14:textId="77777777" w:rsidR="007266CF" w:rsidRPr="002A677E" w:rsidRDefault="007266CF" w:rsidP="007266C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Nepřímé kapitálové investice do nástrojů zahrnovaných do kmenového kapitálu tier 1 subjektů finančního sektoru, v nichž má instituce významnou investici</w:t>
            </w:r>
          </w:p>
          <w:p w14:paraId="7FEC29B2" w14:textId="77777777" w:rsidR="007266CF" w:rsidRPr="002A677E" w:rsidRDefault="007266CF" w:rsidP="007266CF">
            <w:pPr>
              <w:pStyle w:val="InstructionsText"/>
            </w:pPr>
            <w:r>
              <w:t>Ustanovení čl. 4 odst. 1 bodu 114 a článků 44 a 45 nařízení (EU) č. 575/2013</w:t>
            </w:r>
          </w:p>
        </w:tc>
      </w:tr>
      <w:tr w:rsidR="007266CF" w:rsidRPr="002A677E" w14:paraId="3CD4EF65" w14:textId="77777777" w:rsidTr="007266CF">
        <w:tc>
          <w:tcPr>
            <w:tcW w:w="1474" w:type="dxa"/>
          </w:tcPr>
          <w:p w14:paraId="3E383EBD" w14:textId="77777777" w:rsidR="007266CF" w:rsidRPr="002A677E" w:rsidRDefault="007266CF" w:rsidP="007266CF">
            <w:pPr>
              <w:pStyle w:val="InstructionsText"/>
            </w:pPr>
            <w:r>
              <w:t>0490</w:t>
            </w:r>
          </w:p>
        </w:tc>
        <w:tc>
          <w:tcPr>
            <w:tcW w:w="7049" w:type="dxa"/>
          </w:tcPr>
          <w:p w14:paraId="0ECBBE1E" w14:textId="77777777" w:rsidR="007266CF" w:rsidRPr="002A677E" w:rsidRDefault="007266CF" w:rsidP="007266C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Hrubé nepřímé kapitálové investice do nástrojů zahrnovaných do kmenového kapitálu tier 1 subjektů finančního sektoru, v nichž má instituce významnou investici</w:t>
            </w:r>
          </w:p>
          <w:p w14:paraId="39493621" w14:textId="77777777" w:rsidR="007266CF" w:rsidRPr="002A677E" w:rsidRDefault="007266CF" w:rsidP="007266CF">
            <w:pPr>
              <w:pStyle w:val="InstructionsText"/>
            </w:pPr>
            <w:r>
              <w:t>Ustanovení čl. 4 odst. 1 bodu 114 a článků 44 a 45 nařízení (EU) č. 575/2013</w:t>
            </w:r>
          </w:p>
          <w:p w14:paraId="48AE506D" w14:textId="77777777" w:rsidR="007266CF" w:rsidRPr="002A677E" w:rsidRDefault="007266CF" w:rsidP="007266CF">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62504787" w14:textId="77777777" w:rsidR="007266CF" w:rsidRPr="002A677E" w:rsidRDefault="007266CF" w:rsidP="007266CF">
            <w:pPr>
              <w:pStyle w:val="InstructionsText"/>
            </w:pPr>
            <w:r>
              <w:t>Kapitálové investice, s nimiž se zachází jako se vzájemnými účastmi podle čl. 36 odst. 1 písm. g) nařízení (EU) č. 575/2013, se zde nezohledňují.</w:t>
            </w:r>
          </w:p>
        </w:tc>
      </w:tr>
      <w:tr w:rsidR="007266CF" w:rsidRPr="002A677E" w14:paraId="1B254ADE" w14:textId="77777777" w:rsidTr="007266CF">
        <w:tc>
          <w:tcPr>
            <w:tcW w:w="1474" w:type="dxa"/>
          </w:tcPr>
          <w:p w14:paraId="4FF0B801" w14:textId="77777777" w:rsidR="007266CF" w:rsidRPr="002A677E" w:rsidRDefault="007266CF" w:rsidP="007266CF">
            <w:pPr>
              <w:pStyle w:val="InstructionsText"/>
            </w:pPr>
            <w:r>
              <w:t>0500</w:t>
            </w:r>
          </w:p>
        </w:tc>
        <w:tc>
          <w:tcPr>
            <w:tcW w:w="7049" w:type="dxa"/>
          </w:tcPr>
          <w:p w14:paraId="60CFCEAF" w14:textId="77777777" w:rsidR="007266CF" w:rsidRPr="002A677E" w:rsidRDefault="007266CF" w:rsidP="007266C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1F3904FD" w14:textId="77777777" w:rsidR="007266CF" w:rsidRPr="002A677E" w:rsidRDefault="007266CF" w:rsidP="007266CF">
            <w:pPr>
              <w:pStyle w:val="InstructionsText"/>
            </w:pPr>
            <w:r>
              <w:t>Ustanovení čl. 4 odst. 1 bodu 114 a článku 45 nařízení (EU) č. 575/2013</w:t>
            </w:r>
          </w:p>
          <w:p w14:paraId="69812996" w14:textId="77777777" w:rsidR="007266CF" w:rsidRPr="002A677E" w:rsidRDefault="007266CF" w:rsidP="007266CF">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1FEE37E7" w14:textId="77777777" w:rsidTr="007266CF">
        <w:tc>
          <w:tcPr>
            <w:tcW w:w="1474" w:type="dxa"/>
          </w:tcPr>
          <w:p w14:paraId="00B5E54B" w14:textId="77777777" w:rsidR="007266CF" w:rsidRPr="002A677E" w:rsidRDefault="007266CF" w:rsidP="007266CF">
            <w:pPr>
              <w:pStyle w:val="InstructionsText"/>
            </w:pPr>
            <w:r>
              <w:t>0501</w:t>
            </w:r>
          </w:p>
        </w:tc>
        <w:tc>
          <w:tcPr>
            <w:tcW w:w="7049" w:type="dxa"/>
          </w:tcPr>
          <w:p w14:paraId="5D2A1C07" w14:textId="77777777" w:rsidR="007266CF" w:rsidRPr="002A677E" w:rsidRDefault="007266CF" w:rsidP="007266C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Syntetické kapitálové investice do nástrojů zahrnovaných do kmenového kapitálu tier 1 subjektů finančního sektoru, v nichž má instituce významnou investici</w:t>
            </w:r>
          </w:p>
          <w:p w14:paraId="338211B6" w14:textId="77777777" w:rsidR="007266CF" w:rsidRPr="002A677E" w:rsidRDefault="007266CF" w:rsidP="007266CF">
            <w:pPr>
              <w:pStyle w:val="InstructionsText"/>
            </w:pPr>
            <w:r>
              <w:t>Ustanovení čl. 4 odst. 1 bodu 126 a článků 44 a 45 nařízení (EU) č. 575/2013</w:t>
            </w:r>
          </w:p>
        </w:tc>
      </w:tr>
      <w:tr w:rsidR="007266CF" w:rsidRPr="002A677E" w14:paraId="5D6B4F1A" w14:textId="77777777" w:rsidTr="007266CF">
        <w:tc>
          <w:tcPr>
            <w:tcW w:w="1474" w:type="dxa"/>
          </w:tcPr>
          <w:p w14:paraId="10E36905" w14:textId="77777777" w:rsidR="007266CF" w:rsidRPr="002A677E" w:rsidRDefault="007266CF" w:rsidP="007266CF">
            <w:pPr>
              <w:pStyle w:val="InstructionsText"/>
            </w:pPr>
            <w:r>
              <w:lastRenderedPageBreak/>
              <w:t>0502</w:t>
            </w:r>
          </w:p>
        </w:tc>
        <w:tc>
          <w:tcPr>
            <w:tcW w:w="7049" w:type="dxa"/>
          </w:tcPr>
          <w:p w14:paraId="7F409EF5" w14:textId="77777777" w:rsidR="007266CF" w:rsidRPr="002A677E" w:rsidRDefault="007266CF" w:rsidP="007266C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Hrubé syntetické kapitálové investice do nástrojů zahrnovaných do kmenového kapitálu tier 1 subjektů finančního sektoru, v nichž má instituce významnou investici</w:t>
            </w:r>
          </w:p>
          <w:p w14:paraId="6D1F1B68" w14:textId="77777777" w:rsidR="007266CF" w:rsidRPr="002A677E" w:rsidRDefault="007266CF" w:rsidP="007266CF">
            <w:pPr>
              <w:pStyle w:val="InstructionsText"/>
            </w:pPr>
            <w:r>
              <w:t>Ustanovení čl. 4 odst. 1 bodu 126 a článků 44 a 45 nařízení (EU) č. 575/2013</w:t>
            </w:r>
          </w:p>
        </w:tc>
      </w:tr>
      <w:tr w:rsidR="007266CF" w:rsidRPr="002A677E" w14:paraId="25C5BCA5" w14:textId="77777777" w:rsidTr="007266CF">
        <w:tc>
          <w:tcPr>
            <w:tcW w:w="1474" w:type="dxa"/>
          </w:tcPr>
          <w:p w14:paraId="78C68F0E" w14:textId="77777777" w:rsidR="007266CF" w:rsidRPr="002A677E" w:rsidRDefault="007266CF" w:rsidP="007266CF">
            <w:pPr>
              <w:pStyle w:val="InstructionsText"/>
            </w:pPr>
            <w:r>
              <w:t>0503</w:t>
            </w:r>
          </w:p>
        </w:tc>
        <w:tc>
          <w:tcPr>
            <w:tcW w:w="7049" w:type="dxa"/>
          </w:tcPr>
          <w:p w14:paraId="746AFA87" w14:textId="77777777" w:rsidR="007266CF" w:rsidRPr="002A677E" w:rsidRDefault="007266CF" w:rsidP="007266C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471A035B" w14:textId="77777777" w:rsidR="007266CF" w:rsidRPr="002A677E" w:rsidRDefault="007266CF" w:rsidP="007266CF">
            <w:pPr>
              <w:pStyle w:val="InstructionsText"/>
            </w:pPr>
            <w:r>
              <w:t>Ustanovení čl. 4 odst. 1 bodu 126 a článku 45 nařízení (EU) č. 575/2013.</w:t>
            </w:r>
          </w:p>
          <w:p w14:paraId="4BFF8CB4" w14:textId="77777777" w:rsidR="007266CF" w:rsidRPr="002A677E" w:rsidRDefault="007266CF" w:rsidP="007266CF">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6223CC" w14:paraId="05F0DA8D" w14:textId="77777777" w:rsidTr="007266CF">
        <w:tc>
          <w:tcPr>
            <w:tcW w:w="1474" w:type="dxa"/>
          </w:tcPr>
          <w:p w14:paraId="2DE2C4F5" w14:textId="77777777" w:rsidR="007266CF" w:rsidRPr="002A677E" w:rsidRDefault="007266CF" w:rsidP="007266CF">
            <w:pPr>
              <w:pStyle w:val="InstructionsText"/>
            </w:pPr>
            <w:r>
              <w:t>0504</w:t>
            </w:r>
          </w:p>
        </w:tc>
        <w:tc>
          <w:tcPr>
            <w:tcW w:w="7049" w:type="dxa"/>
          </w:tcPr>
          <w:p w14:paraId="6FAABBA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kmenového kapitálu tier 1 subjektů finančního sektoru, v nichž má instituce významnou investici – podléhající rizikové váze 250</w:t>
            </w:r>
            <w:r>
              <w:t> </w:t>
            </w:r>
            <w:r>
              <w:rPr>
                <w:rStyle w:val="InstructionsTabelleberschrift"/>
                <w:rFonts w:ascii="Times New Roman" w:hAnsi="Times New Roman"/>
                <w:sz w:val="24"/>
              </w:rPr>
              <w:t>%</w:t>
            </w:r>
          </w:p>
          <w:p w14:paraId="03ECD40D" w14:textId="77777777" w:rsidR="007266CF" w:rsidRPr="006223CC" w:rsidRDefault="007266CF" w:rsidP="007266CF">
            <w:pPr>
              <w:pStyle w:val="InstructionsText"/>
              <w:rPr>
                <w:lang w:val="fr-FR"/>
              </w:rPr>
            </w:pPr>
            <w:r w:rsidRPr="006223CC">
              <w:rPr>
                <w:lang w:val="fr-FR"/>
              </w:rPr>
              <w:t>Ustanovení čl. 48 odst. 4 nařízení (EU) č. 575/2013</w:t>
            </w:r>
          </w:p>
          <w:p w14:paraId="2F8FB1FE" w14:textId="77777777" w:rsidR="007266CF" w:rsidRPr="006223CC" w:rsidRDefault="007266CF" w:rsidP="007266CF">
            <w:pPr>
              <w:pStyle w:val="InstructionsText"/>
              <w:rPr>
                <w:lang w:val="fr-FR"/>
              </w:rPr>
            </w:pPr>
            <w:r w:rsidRPr="006223CC">
              <w:rPr>
                <w:lang w:val="fr-FR"/>
              </w:rPr>
              <w:t>Částka významných investic do kmenového kapitálu tier 1 subjektů finančního sektoru, které nejsou odečteny podle čl. 48 odst. 1 nařízení (EU) č. 575/2013, avšak podléhají rizikové váze 250 % podle čl. 48 odst. 4 uvedeného nařízení.</w:t>
            </w:r>
          </w:p>
          <w:p w14:paraId="36AC2AC0"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lang w:val="fr-FR"/>
              </w:rPr>
              <w:t>Vykázanou částkou je částka významných investic před použitím rizikové váhy.</w:t>
            </w:r>
          </w:p>
        </w:tc>
      </w:tr>
      <w:tr w:rsidR="007266CF" w:rsidRPr="006223CC" w14:paraId="1C11274B" w14:textId="77777777" w:rsidTr="007266CF">
        <w:tc>
          <w:tcPr>
            <w:tcW w:w="1474" w:type="dxa"/>
          </w:tcPr>
          <w:p w14:paraId="03FCFBB0" w14:textId="77777777" w:rsidR="007266CF" w:rsidRPr="002A677E" w:rsidRDefault="007266CF" w:rsidP="007266CF">
            <w:pPr>
              <w:pStyle w:val="InstructionsText"/>
            </w:pPr>
            <w:r>
              <w:t>0510</w:t>
            </w:r>
          </w:p>
        </w:tc>
        <w:tc>
          <w:tcPr>
            <w:tcW w:w="7049" w:type="dxa"/>
          </w:tcPr>
          <w:p w14:paraId="1B5045B6" w14:textId="77777777" w:rsidR="007266CF" w:rsidRPr="002A677E" w:rsidRDefault="007266CF" w:rsidP="007266CF">
            <w:pPr>
              <w:pStyle w:val="InstructionsText"/>
            </w:pPr>
            <w:r>
              <w:rPr>
                <w:rStyle w:val="InstructionsTabelleberschrift"/>
                <w:rFonts w:ascii="Times New Roman" w:hAnsi="Times New Roman"/>
                <w:sz w:val="24"/>
              </w:rPr>
              <w:t>16 Kapitálové investice do nástrojů zahrnovaných do vedlejšího kapitálu tier 1 subjektů finančního sektoru, v nichž má instituce významnou investici, očištěné o krátké pozice</w:t>
            </w:r>
          </w:p>
          <w:p w14:paraId="718F287D" w14:textId="77777777" w:rsidR="007266CF" w:rsidRPr="006223CC" w:rsidRDefault="007266CF" w:rsidP="007266CF">
            <w:pPr>
              <w:pStyle w:val="InstructionsText"/>
              <w:rPr>
                <w:lang w:val="fr-FR"/>
              </w:rPr>
            </w:pPr>
            <w:r w:rsidRPr="006223CC">
              <w:rPr>
                <w:lang w:val="fr-FR"/>
              </w:rPr>
              <w:t>Články 58 a 59 nařízení (EU) č. 575/2013</w:t>
            </w:r>
          </w:p>
        </w:tc>
      </w:tr>
      <w:tr w:rsidR="007266CF" w:rsidRPr="006223CC" w14:paraId="308EFB99" w14:textId="77777777" w:rsidTr="007266CF">
        <w:tc>
          <w:tcPr>
            <w:tcW w:w="1474" w:type="dxa"/>
          </w:tcPr>
          <w:p w14:paraId="591D20AA" w14:textId="77777777" w:rsidR="007266CF" w:rsidRPr="002A677E" w:rsidRDefault="007266CF" w:rsidP="007266CF">
            <w:pPr>
              <w:pStyle w:val="InstructionsText"/>
            </w:pPr>
            <w:r>
              <w:t>0520</w:t>
            </w:r>
          </w:p>
        </w:tc>
        <w:tc>
          <w:tcPr>
            <w:tcW w:w="7049" w:type="dxa"/>
          </w:tcPr>
          <w:p w14:paraId="4D7B1158" w14:textId="77777777" w:rsidR="007266CF" w:rsidRPr="002A677E" w:rsidRDefault="007266CF" w:rsidP="007266C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Přímé kapitálové investice do nástrojů zahrnovaných do vedlejšího kapitálu tier 1 subjektů finančního sektoru, v nichž má instituce významnou investici</w:t>
            </w:r>
          </w:p>
          <w:p w14:paraId="055532EA" w14:textId="77777777" w:rsidR="007266CF" w:rsidRPr="006223CC" w:rsidRDefault="007266CF" w:rsidP="007266CF">
            <w:pPr>
              <w:pStyle w:val="InstructionsText"/>
              <w:rPr>
                <w:lang w:val="fr-FR"/>
              </w:rPr>
            </w:pPr>
            <w:r w:rsidRPr="006223CC">
              <w:rPr>
                <w:lang w:val="fr-FR"/>
              </w:rPr>
              <w:t>Články 58 a 59 nařízení (EU) č. 575/2013</w:t>
            </w:r>
          </w:p>
        </w:tc>
      </w:tr>
      <w:tr w:rsidR="007266CF" w:rsidRPr="002A677E" w14:paraId="5AFC16FD" w14:textId="77777777" w:rsidTr="007266CF">
        <w:tc>
          <w:tcPr>
            <w:tcW w:w="1474" w:type="dxa"/>
          </w:tcPr>
          <w:p w14:paraId="7856E615" w14:textId="77777777" w:rsidR="007266CF" w:rsidRPr="002A677E" w:rsidRDefault="007266CF" w:rsidP="007266CF">
            <w:pPr>
              <w:pStyle w:val="InstructionsText"/>
            </w:pPr>
            <w:r>
              <w:t>0530</w:t>
            </w:r>
          </w:p>
        </w:tc>
        <w:tc>
          <w:tcPr>
            <w:tcW w:w="7049" w:type="dxa"/>
          </w:tcPr>
          <w:p w14:paraId="38C5BB1A" w14:textId="77777777" w:rsidR="007266CF" w:rsidRPr="002A677E" w:rsidRDefault="007266CF" w:rsidP="007266C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Hrubé přímé kapitálové investice do nástrojů zahrnovaných do vedlejšího kapitálu tier 1 subjektů finančního sektoru, v nichž má instituce významnou investici</w:t>
            </w:r>
          </w:p>
          <w:p w14:paraId="14A79782" w14:textId="77777777" w:rsidR="007266CF" w:rsidRPr="002A677E" w:rsidRDefault="007266CF" w:rsidP="007266CF">
            <w:pPr>
              <w:pStyle w:val="InstructionsText"/>
            </w:pPr>
            <w:r>
              <w:t>Článek 58 nařízení (EU) č. 575/2013</w:t>
            </w:r>
          </w:p>
          <w:p w14:paraId="7C6C1F81" w14:textId="77777777" w:rsidR="007266CF" w:rsidRPr="002A677E" w:rsidRDefault="007266CF" w:rsidP="007266CF">
            <w:pPr>
              <w:pStyle w:val="InstructionsText"/>
            </w:pPr>
            <w:r>
              <w:t>Přímé kapitálové investice do nástrojů zahrnovaných do vedlejšího kapitálu tier 1 subjektů finančního sektoru, v nichž má instituce významnou investici, s výjimkou:</w:t>
            </w:r>
          </w:p>
          <w:p w14:paraId="5B018A6D" w14:textId="77777777" w:rsidR="007266CF" w:rsidRPr="002A677E" w:rsidRDefault="007266CF" w:rsidP="007266CF">
            <w:pPr>
              <w:pStyle w:val="InstructionsText"/>
            </w:pPr>
            <w:r>
              <w:t>a)</w:t>
            </w:r>
            <w:r>
              <w:tab/>
              <w:t>pozic z upisování držených po dobu pěti nebo méně pracovních dnů (čl. 56 písm. d) nařízení (EU) č. 575/2013) a</w:t>
            </w:r>
          </w:p>
          <w:p w14:paraId="65286D75" w14:textId="77777777" w:rsidR="007266CF" w:rsidRPr="002A677E" w:rsidRDefault="007266CF" w:rsidP="007266CF">
            <w:pPr>
              <w:pStyle w:val="InstructionsText"/>
            </w:pPr>
            <w:r>
              <w:lastRenderedPageBreak/>
              <w:t>b)</w:t>
            </w:r>
            <w:r>
              <w:tab/>
              <w:t>kapitálových investic, s nimiž se zachází jako se vzájemnými účastmi podle čl. 56 písm. b) nařízení (EU) č. 575/2013.</w:t>
            </w:r>
          </w:p>
        </w:tc>
      </w:tr>
      <w:tr w:rsidR="007266CF" w:rsidRPr="002A677E" w14:paraId="2E6EC453" w14:textId="77777777" w:rsidTr="007266CF">
        <w:tc>
          <w:tcPr>
            <w:tcW w:w="1474" w:type="dxa"/>
          </w:tcPr>
          <w:p w14:paraId="140AE0EC" w14:textId="77777777" w:rsidR="007266CF" w:rsidRPr="002A677E" w:rsidRDefault="007266CF" w:rsidP="007266CF">
            <w:pPr>
              <w:pStyle w:val="InstructionsText"/>
            </w:pPr>
            <w:r>
              <w:lastRenderedPageBreak/>
              <w:t>0540</w:t>
            </w:r>
          </w:p>
        </w:tc>
        <w:tc>
          <w:tcPr>
            <w:tcW w:w="7049" w:type="dxa"/>
          </w:tcPr>
          <w:p w14:paraId="00637EA0" w14:textId="77777777" w:rsidR="007266CF" w:rsidRPr="002A677E" w:rsidRDefault="007266CF" w:rsidP="007266CF">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Krátké pozice s povolenou kompenzací vztahující se k hrubým přímým kapitálovým investicím uvedeným výše</w:t>
            </w:r>
          </w:p>
          <w:p w14:paraId="03FD7F25" w14:textId="77777777" w:rsidR="007266CF" w:rsidRPr="002A677E" w:rsidRDefault="007266CF" w:rsidP="007266CF">
            <w:pPr>
              <w:pStyle w:val="InstructionsText"/>
            </w:pPr>
            <w:r>
              <w:t>Článek 59 nařízení (EU) č. 575/2013</w:t>
            </w:r>
          </w:p>
          <w:p w14:paraId="2F0358B4" w14:textId="77777777" w:rsidR="007266CF" w:rsidRPr="002A677E" w:rsidRDefault="007266CF" w:rsidP="007266CF">
            <w:pPr>
              <w:pStyle w:val="InstructionsText"/>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4E2B3397" w14:textId="77777777" w:rsidTr="007266CF">
        <w:tc>
          <w:tcPr>
            <w:tcW w:w="1474" w:type="dxa"/>
          </w:tcPr>
          <w:p w14:paraId="6A6E6A05" w14:textId="77777777" w:rsidR="007266CF" w:rsidRPr="002A677E" w:rsidRDefault="007266CF" w:rsidP="007266CF">
            <w:pPr>
              <w:pStyle w:val="InstructionsText"/>
            </w:pPr>
            <w:r>
              <w:t>0550</w:t>
            </w:r>
          </w:p>
        </w:tc>
        <w:tc>
          <w:tcPr>
            <w:tcW w:w="7049" w:type="dxa"/>
          </w:tcPr>
          <w:p w14:paraId="28E63D6A" w14:textId="77777777" w:rsidR="007266CF" w:rsidRPr="002A677E" w:rsidRDefault="007266CF" w:rsidP="007266C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Nepřímé kapitálové investice do nástrojů zahrnovaných do vedlejšího kapitálu tier 1 subjektů finančního sektoru, v nichž má instituce významnou investici</w:t>
            </w:r>
          </w:p>
          <w:p w14:paraId="23CEC368" w14:textId="77777777" w:rsidR="007266CF" w:rsidRPr="002A677E" w:rsidRDefault="007266CF" w:rsidP="007266CF">
            <w:pPr>
              <w:pStyle w:val="InstructionsText"/>
            </w:pPr>
            <w:r>
              <w:t>Ustanovení čl. 4 odst. 1 bodu 114 a článků 58 a 59 nařízení (EU) č. 575/2013</w:t>
            </w:r>
          </w:p>
        </w:tc>
      </w:tr>
      <w:tr w:rsidR="007266CF" w:rsidRPr="002A677E" w14:paraId="3D72768B" w14:textId="77777777" w:rsidTr="007266CF">
        <w:tc>
          <w:tcPr>
            <w:tcW w:w="1474" w:type="dxa"/>
          </w:tcPr>
          <w:p w14:paraId="6A66F448" w14:textId="77777777" w:rsidR="007266CF" w:rsidRPr="002A677E" w:rsidRDefault="007266CF" w:rsidP="007266CF">
            <w:pPr>
              <w:pStyle w:val="InstructionsText"/>
            </w:pPr>
            <w:r>
              <w:t>0560</w:t>
            </w:r>
          </w:p>
        </w:tc>
        <w:tc>
          <w:tcPr>
            <w:tcW w:w="7049" w:type="dxa"/>
          </w:tcPr>
          <w:p w14:paraId="0AB6527D" w14:textId="77777777" w:rsidR="007266CF" w:rsidRPr="002A677E" w:rsidRDefault="007266CF" w:rsidP="007266C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Hrubé nepřímé kapitálové investice do nástrojů zahrnovaných do vedlejšího kapitálu tier 1 subjektů finančního sektoru, v nichž má instituce významnou investici</w:t>
            </w:r>
          </w:p>
          <w:p w14:paraId="0F874135" w14:textId="77777777" w:rsidR="007266CF" w:rsidRPr="002A677E" w:rsidRDefault="007266CF" w:rsidP="007266CF">
            <w:pPr>
              <w:pStyle w:val="InstructionsText"/>
            </w:pPr>
            <w:r>
              <w:t>Ustanovení čl. 4 odst. 1 bodu 114 a článků 58 a 59 nařízení (EU) č. 575/2013</w:t>
            </w:r>
          </w:p>
          <w:p w14:paraId="52DD3FC8" w14:textId="77777777" w:rsidR="007266CF" w:rsidRPr="002A677E" w:rsidRDefault="007266CF" w:rsidP="007266CF">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0CE4B7F9" w14:textId="77777777" w:rsidR="007266CF" w:rsidRPr="002A677E" w:rsidRDefault="007266CF" w:rsidP="007266CF">
            <w:pPr>
              <w:pStyle w:val="InstructionsText"/>
            </w:pPr>
            <w:r>
              <w:t>Kapitálové investice, s nimiž se zachází jako se vzájemnými účastmi podle čl. 56 písm. b) nařízení (EU) č. 575/2013, se zde nezohledňují.</w:t>
            </w:r>
          </w:p>
        </w:tc>
      </w:tr>
      <w:tr w:rsidR="007266CF" w:rsidRPr="002A677E" w14:paraId="0C8E20A4" w14:textId="77777777" w:rsidTr="007266CF">
        <w:tc>
          <w:tcPr>
            <w:tcW w:w="1474" w:type="dxa"/>
          </w:tcPr>
          <w:p w14:paraId="6B3A76FA" w14:textId="77777777" w:rsidR="007266CF" w:rsidRPr="002A677E" w:rsidRDefault="007266CF" w:rsidP="007266CF">
            <w:pPr>
              <w:pStyle w:val="InstructionsText"/>
            </w:pPr>
            <w:r>
              <w:t>0570</w:t>
            </w:r>
          </w:p>
        </w:tc>
        <w:tc>
          <w:tcPr>
            <w:tcW w:w="7049" w:type="dxa"/>
          </w:tcPr>
          <w:p w14:paraId="3CF355C6" w14:textId="77777777" w:rsidR="007266CF" w:rsidRPr="002A677E" w:rsidRDefault="007266CF" w:rsidP="007266C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5E2E57A2" w14:textId="77777777" w:rsidR="007266CF" w:rsidRPr="002A677E" w:rsidRDefault="007266CF" w:rsidP="007266CF">
            <w:pPr>
              <w:pStyle w:val="InstructionsText"/>
            </w:pPr>
            <w:r>
              <w:t>Ustanovení čl. 4 odst. 1 bodu 114 a článku 59 nařízení (EU) č. 575/2013</w:t>
            </w:r>
          </w:p>
          <w:p w14:paraId="32E4BF5D" w14:textId="77777777" w:rsidR="007266CF" w:rsidRPr="002A677E" w:rsidRDefault="007266CF" w:rsidP="007266CF">
            <w:pPr>
              <w:pStyle w:val="InstructionsText"/>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53D48248" w14:textId="77777777" w:rsidTr="007266CF">
        <w:tc>
          <w:tcPr>
            <w:tcW w:w="1474" w:type="dxa"/>
          </w:tcPr>
          <w:p w14:paraId="4386DC7D" w14:textId="77777777" w:rsidR="007266CF" w:rsidRPr="002A677E" w:rsidRDefault="007266CF" w:rsidP="007266CF">
            <w:pPr>
              <w:pStyle w:val="InstructionsText"/>
            </w:pPr>
            <w:r>
              <w:t>0571</w:t>
            </w:r>
          </w:p>
        </w:tc>
        <w:tc>
          <w:tcPr>
            <w:tcW w:w="7049" w:type="dxa"/>
          </w:tcPr>
          <w:p w14:paraId="27C587FF" w14:textId="77777777" w:rsidR="007266CF" w:rsidRPr="002A677E" w:rsidRDefault="007266CF" w:rsidP="007266C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Syntetické kapitálové investice do nástrojů zahrnovaných do vedlejšího kapitálu tier 1 subjektů finančního sektoru, v nichž má instituce významnou investici</w:t>
            </w:r>
          </w:p>
          <w:p w14:paraId="5FFEFA48"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4 odst. 1 bodu 126 a článků 58 a 59 nařízení (EU) č. 575/2013</w:t>
            </w:r>
          </w:p>
        </w:tc>
      </w:tr>
      <w:tr w:rsidR="007266CF" w:rsidRPr="002A677E" w14:paraId="72AC3565" w14:textId="77777777" w:rsidTr="007266CF">
        <w:tc>
          <w:tcPr>
            <w:tcW w:w="1474" w:type="dxa"/>
          </w:tcPr>
          <w:p w14:paraId="1A96F41A" w14:textId="77777777" w:rsidR="007266CF" w:rsidRPr="002A677E" w:rsidRDefault="007266CF" w:rsidP="007266CF">
            <w:pPr>
              <w:pStyle w:val="InstructionsText"/>
            </w:pPr>
            <w:r>
              <w:lastRenderedPageBreak/>
              <w:t>0572</w:t>
            </w:r>
          </w:p>
        </w:tc>
        <w:tc>
          <w:tcPr>
            <w:tcW w:w="7049" w:type="dxa"/>
          </w:tcPr>
          <w:p w14:paraId="2C1F4B29" w14:textId="77777777" w:rsidR="007266CF" w:rsidRPr="002A677E" w:rsidRDefault="007266CF" w:rsidP="007266C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Hrubé syntetické kapitálové investice do nástrojů zahrnovaných do vedlejšího kapitálu tier 1 subjektů finančního sektoru, v nichž má instituce významnou investici</w:t>
            </w:r>
          </w:p>
          <w:p w14:paraId="479322D6"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4 odst. 1 bodu 126 a článků 58 a 59 nařízení (EU) č. 575/2013</w:t>
            </w:r>
          </w:p>
        </w:tc>
      </w:tr>
      <w:tr w:rsidR="007266CF" w:rsidRPr="002A677E" w14:paraId="1A87F890" w14:textId="77777777" w:rsidTr="007266CF">
        <w:tc>
          <w:tcPr>
            <w:tcW w:w="1474" w:type="dxa"/>
          </w:tcPr>
          <w:p w14:paraId="538952BC" w14:textId="77777777" w:rsidR="007266CF" w:rsidRPr="002A677E" w:rsidRDefault="007266CF" w:rsidP="007266CF">
            <w:pPr>
              <w:pStyle w:val="InstructionsText"/>
            </w:pPr>
            <w:r>
              <w:t>0573</w:t>
            </w:r>
          </w:p>
        </w:tc>
        <w:tc>
          <w:tcPr>
            <w:tcW w:w="7049" w:type="dxa"/>
          </w:tcPr>
          <w:p w14:paraId="5637D7A1" w14:textId="77777777" w:rsidR="007266CF" w:rsidRPr="002A677E" w:rsidRDefault="007266CF" w:rsidP="007266C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37581374" w14:textId="77777777" w:rsidR="007266CF" w:rsidRPr="002A677E" w:rsidRDefault="007266CF" w:rsidP="007266CF">
            <w:pPr>
              <w:pStyle w:val="InstructionsText"/>
            </w:pPr>
            <w:r>
              <w:t>Ustanovení čl. 4 odst. 1 bodu 126 a článku 59 nařízení (EU) č. 575/2013.</w:t>
            </w:r>
          </w:p>
          <w:p w14:paraId="48EF2C6C" w14:textId="77777777" w:rsidR="007266CF" w:rsidRPr="002A677E" w:rsidRDefault="007266CF" w:rsidP="007266CF">
            <w:pPr>
              <w:pStyle w:val="InstructionsText"/>
              <w:rPr>
                <w:rStyle w:val="InstructionsTabelleberschrift"/>
                <w:rFonts w:ascii="Times New Roman" w:hAnsi="Times New Roman"/>
                <w:b w:val="0"/>
                <w:bCs w:val="0"/>
                <w:sz w:val="24"/>
                <w:u w:val="none"/>
              </w:rPr>
            </w:pPr>
            <w:r>
              <w:t xml:space="preserve">Ustanovení čl. 59 písm. a) nařízení (EU) č. 575/2013 </w:t>
            </w:r>
            <w:r>
              <w:rPr>
                <w:rStyle w:val="InstructionsTabelleberschrift"/>
                <w:rFonts w:ascii="Times New Roman" w:hAnsi="Times New Roman"/>
                <w:b w:val="0"/>
                <w:sz w:val="24"/>
                <w:u w:val="none"/>
              </w:rPr>
              <w:t>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6223CC" w14:paraId="24645955" w14:textId="77777777" w:rsidTr="007266CF">
        <w:tc>
          <w:tcPr>
            <w:tcW w:w="1474" w:type="dxa"/>
          </w:tcPr>
          <w:p w14:paraId="6D57712B" w14:textId="77777777" w:rsidR="007266CF" w:rsidRPr="002A677E" w:rsidRDefault="007266CF" w:rsidP="007266CF">
            <w:pPr>
              <w:pStyle w:val="InstructionsText"/>
            </w:pPr>
            <w:r>
              <w:t>0580</w:t>
            </w:r>
          </w:p>
        </w:tc>
        <w:tc>
          <w:tcPr>
            <w:tcW w:w="7049" w:type="dxa"/>
          </w:tcPr>
          <w:p w14:paraId="4E9D7C0D" w14:textId="77777777" w:rsidR="007266CF" w:rsidRPr="002A677E" w:rsidRDefault="007266CF" w:rsidP="007266CF">
            <w:pPr>
              <w:pStyle w:val="InstructionsText"/>
            </w:pPr>
            <w:r>
              <w:rPr>
                <w:rStyle w:val="InstructionsTabelleberschrift"/>
                <w:rFonts w:ascii="Times New Roman" w:hAnsi="Times New Roman"/>
                <w:sz w:val="24"/>
              </w:rPr>
              <w:t>17. Kapitálové investice do nástrojů zahrnovaných do kapitálu tier 2 subjektů finančního sektoru, v nichž má instituce významnou investici, očištěné o krátké pozice</w:t>
            </w:r>
          </w:p>
          <w:p w14:paraId="0AACDB43" w14:textId="77777777" w:rsidR="007266CF" w:rsidRPr="006223CC" w:rsidRDefault="007266CF" w:rsidP="007266CF">
            <w:pPr>
              <w:pStyle w:val="InstructionsText"/>
              <w:rPr>
                <w:lang w:val="fr-FR"/>
              </w:rPr>
            </w:pPr>
            <w:r w:rsidRPr="006223CC">
              <w:rPr>
                <w:lang w:val="fr-FR"/>
              </w:rPr>
              <w:t>Články 68 a 69 nařízení (EU) č. 575/2013</w:t>
            </w:r>
          </w:p>
        </w:tc>
      </w:tr>
      <w:tr w:rsidR="007266CF" w:rsidRPr="006223CC" w14:paraId="1EAB9AF4" w14:textId="77777777" w:rsidTr="007266CF">
        <w:tc>
          <w:tcPr>
            <w:tcW w:w="1474" w:type="dxa"/>
          </w:tcPr>
          <w:p w14:paraId="38C3CA00" w14:textId="77777777" w:rsidR="007266CF" w:rsidRPr="002A677E" w:rsidRDefault="007266CF" w:rsidP="007266CF">
            <w:pPr>
              <w:pStyle w:val="InstructionsText"/>
            </w:pPr>
            <w:r>
              <w:t>0590</w:t>
            </w:r>
          </w:p>
        </w:tc>
        <w:tc>
          <w:tcPr>
            <w:tcW w:w="7049" w:type="dxa"/>
          </w:tcPr>
          <w:p w14:paraId="4A293DB6" w14:textId="77777777" w:rsidR="007266CF" w:rsidRPr="002A677E" w:rsidRDefault="007266CF" w:rsidP="007266C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Přímé kapitálové investice do nástrojů zahrnovaných do kapitálu tier 2 subjektů finančního sektoru, v nichž má instituce významnou investici</w:t>
            </w:r>
          </w:p>
          <w:p w14:paraId="2B31558C" w14:textId="77777777" w:rsidR="007266CF" w:rsidRPr="006223CC" w:rsidRDefault="007266CF" w:rsidP="007266CF">
            <w:pPr>
              <w:pStyle w:val="InstructionsText"/>
              <w:rPr>
                <w:lang w:val="fr-FR"/>
              </w:rPr>
            </w:pPr>
            <w:r w:rsidRPr="006223CC">
              <w:rPr>
                <w:lang w:val="fr-FR"/>
              </w:rPr>
              <w:t>Články 68 a 69 nařízení (EU) č. 575/2013</w:t>
            </w:r>
          </w:p>
        </w:tc>
      </w:tr>
      <w:tr w:rsidR="007266CF" w:rsidRPr="002A677E" w14:paraId="36087CBF" w14:textId="77777777" w:rsidTr="007266CF">
        <w:tc>
          <w:tcPr>
            <w:tcW w:w="1474" w:type="dxa"/>
          </w:tcPr>
          <w:p w14:paraId="386433DF" w14:textId="77777777" w:rsidR="007266CF" w:rsidRPr="002A677E" w:rsidRDefault="007266CF" w:rsidP="007266CF">
            <w:pPr>
              <w:pStyle w:val="InstructionsText"/>
            </w:pPr>
            <w:r>
              <w:t>0600</w:t>
            </w:r>
          </w:p>
        </w:tc>
        <w:tc>
          <w:tcPr>
            <w:tcW w:w="7049" w:type="dxa"/>
          </w:tcPr>
          <w:p w14:paraId="7726B272" w14:textId="77777777" w:rsidR="007266CF" w:rsidRPr="002A677E" w:rsidRDefault="007266CF" w:rsidP="007266C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Hrubé přímé kapitálové investice do nástrojů zahrnovaných do kapitálu tier 2 subjektů finančního sektoru, v nichž má instituce významnou investici</w:t>
            </w:r>
          </w:p>
          <w:p w14:paraId="2298C7B6" w14:textId="77777777" w:rsidR="007266CF" w:rsidRPr="002A677E" w:rsidRDefault="007266CF" w:rsidP="007266CF">
            <w:pPr>
              <w:pStyle w:val="InstructionsText"/>
            </w:pPr>
            <w:r>
              <w:t>Článek 68 nařízení (EU) č. 575/2013</w:t>
            </w:r>
          </w:p>
          <w:p w14:paraId="5A32542D" w14:textId="77777777" w:rsidR="007266CF" w:rsidRPr="002A677E" w:rsidRDefault="007266CF" w:rsidP="007266CF">
            <w:pPr>
              <w:pStyle w:val="InstructionsText"/>
            </w:pPr>
            <w:r>
              <w:t>Přímé kapitálové investice do nástrojů zahrnovaných do kapitálu tier 2 subjektů finančního sektoru, v nichž má instituce významnou investici, s výjimkou:</w:t>
            </w:r>
          </w:p>
          <w:p w14:paraId="57D431FD" w14:textId="77777777" w:rsidR="007266CF" w:rsidRPr="002A677E" w:rsidRDefault="007266CF" w:rsidP="007266CF">
            <w:pPr>
              <w:pStyle w:val="InstructionsText"/>
            </w:pPr>
            <w:r>
              <w:t>a)</w:t>
            </w:r>
            <w:r>
              <w:tab/>
              <w:t xml:space="preserve">pozic z upisování držených po dobu pěti nebo méně pracovních dnů (čl. 66 písm. d) nařízení (EU) č. 575/2013) a </w:t>
            </w:r>
          </w:p>
          <w:p w14:paraId="028EA97B" w14:textId="77777777" w:rsidR="007266CF" w:rsidRPr="002A677E" w:rsidRDefault="007266CF" w:rsidP="007266CF">
            <w:pPr>
              <w:pStyle w:val="InstructionsText"/>
            </w:pPr>
            <w:r>
              <w:t>b)</w:t>
            </w:r>
            <w:r>
              <w:tab/>
              <w:t>Kapitálové investice, s nimiž se zachází jako se vzájemnými účastmi podle čl. 66 písm. b) nařízení (EU) č. 575/2013, se zde nezohledňují.</w:t>
            </w:r>
          </w:p>
        </w:tc>
      </w:tr>
      <w:tr w:rsidR="007266CF" w:rsidRPr="002A677E" w14:paraId="00A5761C" w14:textId="77777777" w:rsidTr="007266CF">
        <w:tc>
          <w:tcPr>
            <w:tcW w:w="1474" w:type="dxa"/>
          </w:tcPr>
          <w:p w14:paraId="7EA6738B" w14:textId="77777777" w:rsidR="007266CF" w:rsidRPr="002A677E" w:rsidRDefault="007266CF" w:rsidP="007266CF">
            <w:pPr>
              <w:pStyle w:val="InstructionsText"/>
            </w:pPr>
            <w:r>
              <w:t>0610</w:t>
            </w:r>
          </w:p>
        </w:tc>
        <w:tc>
          <w:tcPr>
            <w:tcW w:w="7049" w:type="dxa"/>
          </w:tcPr>
          <w:p w14:paraId="52AB8944" w14:textId="77777777" w:rsidR="007266CF" w:rsidRPr="002A677E" w:rsidRDefault="007266CF" w:rsidP="007266CF">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Krátké pozice s povolenou kompenzací vztahující se k hrubým přímým kapitálovým investicím uvedeným výše</w:t>
            </w:r>
          </w:p>
          <w:p w14:paraId="19BDD397" w14:textId="77777777" w:rsidR="007266CF" w:rsidRPr="002A677E" w:rsidRDefault="007266CF" w:rsidP="007266CF">
            <w:pPr>
              <w:pStyle w:val="InstructionsText"/>
            </w:pPr>
            <w:r>
              <w:t>Článek 69 nařízení (EU) č. 575/2013</w:t>
            </w:r>
          </w:p>
          <w:p w14:paraId="226B1230" w14:textId="77777777" w:rsidR="007266CF" w:rsidRPr="002A677E" w:rsidRDefault="007266CF" w:rsidP="007266CF">
            <w:pPr>
              <w:pStyle w:val="InstructionsText"/>
            </w:pPr>
            <w:r>
              <w:t>Ustanovení čl. 69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774C915F" w14:textId="77777777" w:rsidTr="007266CF">
        <w:tc>
          <w:tcPr>
            <w:tcW w:w="1474" w:type="dxa"/>
          </w:tcPr>
          <w:p w14:paraId="66B0CC43" w14:textId="77777777" w:rsidR="007266CF" w:rsidRPr="002A677E" w:rsidRDefault="007266CF" w:rsidP="007266CF">
            <w:pPr>
              <w:pStyle w:val="InstructionsText"/>
            </w:pPr>
            <w:r>
              <w:lastRenderedPageBreak/>
              <w:t>0620</w:t>
            </w:r>
          </w:p>
        </w:tc>
        <w:tc>
          <w:tcPr>
            <w:tcW w:w="7049" w:type="dxa"/>
          </w:tcPr>
          <w:p w14:paraId="27991A1B" w14:textId="77777777" w:rsidR="007266CF" w:rsidRPr="002A677E" w:rsidRDefault="007266CF" w:rsidP="007266C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Nepřímé kapitálové investice do nástrojů zahrnovaných do kapitálu tier 2 subjektů finančního sektoru, v nichž má instituce významnou investici</w:t>
            </w:r>
          </w:p>
          <w:p w14:paraId="378B551A" w14:textId="77777777" w:rsidR="007266CF" w:rsidRPr="002A677E" w:rsidRDefault="007266CF" w:rsidP="007266CF">
            <w:pPr>
              <w:pStyle w:val="InstructionsText"/>
            </w:pPr>
            <w:r>
              <w:t>Ustanovení čl. 4 odst. 1 bodu 114 a článků 68 a 69 nařízení (EU) č. 575/2013</w:t>
            </w:r>
          </w:p>
        </w:tc>
      </w:tr>
      <w:tr w:rsidR="007266CF" w:rsidRPr="002A677E" w14:paraId="5FF957E0" w14:textId="77777777" w:rsidTr="007266CF">
        <w:tc>
          <w:tcPr>
            <w:tcW w:w="1474" w:type="dxa"/>
          </w:tcPr>
          <w:p w14:paraId="4F71DBED" w14:textId="77777777" w:rsidR="007266CF" w:rsidRPr="002A677E" w:rsidRDefault="007266CF" w:rsidP="007266CF">
            <w:pPr>
              <w:pStyle w:val="InstructionsText"/>
            </w:pPr>
            <w:r>
              <w:t>0630</w:t>
            </w:r>
          </w:p>
        </w:tc>
        <w:tc>
          <w:tcPr>
            <w:tcW w:w="7049" w:type="dxa"/>
          </w:tcPr>
          <w:p w14:paraId="5E0EFB06" w14:textId="77777777" w:rsidR="007266CF" w:rsidRPr="002A677E" w:rsidRDefault="007266CF" w:rsidP="007266C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Hrubé nepřímé kapitálové investice do nástrojů zahrnovaných do kapitálu tier 2 subjektů finančního sektoru, v nichž má instituce významnou investici</w:t>
            </w:r>
          </w:p>
          <w:p w14:paraId="7FC0EC8B" w14:textId="77777777" w:rsidR="007266CF" w:rsidRPr="002A677E" w:rsidRDefault="007266CF" w:rsidP="007266CF">
            <w:pPr>
              <w:pStyle w:val="InstructionsText"/>
            </w:pPr>
            <w:r>
              <w:t>Ustanovení čl. 4 odst. 1 bodu 114 a článků 68 a 69 nařízení (EU) č. 575/2013</w:t>
            </w:r>
          </w:p>
          <w:p w14:paraId="273F88C2" w14:textId="77777777" w:rsidR="007266CF" w:rsidRPr="002A677E" w:rsidRDefault="007266CF" w:rsidP="007266CF">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4B6E427B" w14:textId="77777777" w:rsidR="007266CF" w:rsidRPr="002A677E" w:rsidRDefault="007266CF" w:rsidP="007266CF">
            <w:pPr>
              <w:pStyle w:val="InstructionsText"/>
            </w:pPr>
            <w:r>
              <w:t>Kapitálové investice, s nimiž se zachází jako se vzájemnými účastmi podle čl. 66 písm. b) nařízení (EU) č. 575/2013, se zde nezohledňují.</w:t>
            </w:r>
          </w:p>
        </w:tc>
      </w:tr>
      <w:tr w:rsidR="007266CF" w:rsidRPr="002A677E" w14:paraId="7772432C" w14:textId="77777777" w:rsidTr="007266CF">
        <w:tc>
          <w:tcPr>
            <w:tcW w:w="1474" w:type="dxa"/>
          </w:tcPr>
          <w:p w14:paraId="7BAD1B7E" w14:textId="77777777" w:rsidR="007266CF" w:rsidRPr="002A677E" w:rsidRDefault="007266CF" w:rsidP="007266CF">
            <w:pPr>
              <w:pStyle w:val="InstructionsText"/>
            </w:pPr>
            <w:r>
              <w:t>0640</w:t>
            </w:r>
          </w:p>
        </w:tc>
        <w:tc>
          <w:tcPr>
            <w:tcW w:w="7049" w:type="dxa"/>
          </w:tcPr>
          <w:p w14:paraId="3B0498ED" w14:textId="77777777" w:rsidR="007266CF" w:rsidRPr="002A677E" w:rsidRDefault="007266CF" w:rsidP="007266C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3A6B8228" w14:textId="77777777" w:rsidR="007266CF" w:rsidRPr="002A677E" w:rsidRDefault="007266CF" w:rsidP="007266CF">
            <w:pPr>
              <w:pStyle w:val="InstructionsText"/>
            </w:pPr>
            <w:r>
              <w:t>Ustanovení čl. 4 odst. 1 bodu 114 a článku 69 nařízení (EU) č. 575/2013</w:t>
            </w:r>
          </w:p>
          <w:p w14:paraId="496D0C00" w14:textId="77777777" w:rsidR="007266CF" w:rsidRPr="002A677E" w:rsidRDefault="007266CF" w:rsidP="007266CF">
            <w:pPr>
              <w:pStyle w:val="InstructionsText"/>
            </w:pPr>
            <w:r>
              <w:t>Ustanovení čl. 69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027463DB" w14:textId="77777777" w:rsidTr="007266CF">
        <w:tc>
          <w:tcPr>
            <w:tcW w:w="1474" w:type="dxa"/>
          </w:tcPr>
          <w:p w14:paraId="7587F3C1" w14:textId="77777777" w:rsidR="007266CF" w:rsidRPr="002A677E" w:rsidRDefault="007266CF" w:rsidP="007266CF">
            <w:pPr>
              <w:pStyle w:val="InstructionsText"/>
            </w:pPr>
            <w:r>
              <w:t>0641</w:t>
            </w:r>
          </w:p>
        </w:tc>
        <w:tc>
          <w:tcPr>
            <w:tcW w:w="7049" w:type="dxa"/>
            <w:vAlign w:val="center"/>
          </w:tcPr>
          <w:p w14:paraId="7B9F2E38" w14:textId="77777777" w:rsidR="007266CF" w:rsidRPr="002A677E" w:rsidRDefault="007266CF" w:rsidP="007266C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Syntetické kapitálové investice do nástrojů zahrnovaných do kapitálu tier 2 subjektů finančního sektoru, v nichž má instituce významnou investici</w:t>
            </w:r>
          </w:p>
          <w:p w14:paraId="24BD04F8"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4 odst. 1 bodu 126 a článků 68 a 69 nařízení (EU) č. 575/2013</w:t>
            </w:r>
          </w:p>
        </w:tc>
      </w:tr>
      <w:tr w:rsidR="007266CF" w:rsidRPr="002A677E" w14:paraId="6E1C634C" w14:textId="77777777" w:rsidTr="007266CF">
        <w:tc>
          <w:tcPr>
            <w:tcW w:w="1474" w:type="dxa"/>
          </w:tcPr>
          <w:p w14:paraId="46278028" w14:textId="77777777" w:rsidR="007266CF" w:rsidRPr="002A677E" w:rsidRDefault="007266CF" w:rsidP="007266CF">
            <w:pPr>
              <w:pStyle w:val="InstructionsText"/>
            </w:pPr>
            <w:r>
              <w:t>0642</w:t>
            </w:r>
          </w:p>
        </w:tc>
        <w:tc>
          <w:tcPr>
            <w:tcW w:w="7049" w:type="dxa"/>
            <w:vAlign w:val="center"/>
          </w:tcPr>
          <w:p w14:paraId="746C4FD4" w14:textId="77777777" w:rsidR="007266CF" w:rsidRPr="002A677E" w:rsidRDefault="007266CF" w:rsidP="007266C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Hrubé syntetické kapitálové investice do nástrojů zahrnovaných do kapitálu tier 2 subjektů finančního sektoru, v nichž má instituce významnou investici</w:t>
            </w:r>
          </w:p>
          <w:p w14:paraId="7A3F6BED" w14:textId="77777777" w:rsidR="007266CF" w:rsidRPr="002A677E" w:rsidRDefault="007266CF" w:rsidP="007266CF">
            <w:pPr>
              <w:pStyle w:val="InstructionsText"/>
              <w:rPr>
                <w:rStyle w:val="InstructionsTabelleberschrift"/>
                <w:rFonts w:ascii="Times New Roman" w:hAnsi="Times New Roman"/>
                <w:b w:val="0"/>
                <w:bCs w:val="0"/>
                <w:sz w:val="24"/>
                <w:u w:val="none"/>
              </w:rPr>
            </w:pPr>
            <w:r>
              <w:t>Ustanovení čl. 4 odst. 1 bodu 126 a článků 68 a 69 nařízení (EU) č. 575/2013</w:t>
            </w:r>
          </w:p>
        </w:tc>
      </w:tr>
      <w:tr w:rsidR="007266CF" w:rsidRPr="002A677E" w14:paraId="3BD396DD" w14:textId="77777777" w:rsidTr="007266CF">
        <w:tc>
          <w:tcPr>
            <w:tcW w:w="1474" w:type="dxa"/>
          </w:tcPr>
          <w:p w14:paraId="521A52B8" w14:textId="77777777" w:rsidR="007266CF" w:rsidRPr="002A677E" w:rsidRDefault="007266CF" w:rsidP="007266CF">
            <w:pPr>
              <w:pStyle w:val="InstructionsText"/>
            </w:pPr>
            <w:r>
              <w:t>0643</w:t>
            </w:r>
          </w:p>
        </w:tc>
        <w:tc>
          <w:tcPr>
            <w:tcW w:w="7049" w:type="dxa"/>
            <w:vAlign w:val="center"/>
          </w:tcPr>
          <w:p w14:paraId="56E43D46" w14:textId="77777777" w:rsidR="007266CF" w:rsidRPr="002A677E" w:rsidRDefault="007266CF" w:rsidP="007266C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0D0F9DDE" w14:textId="77777777" w:rsidR="007266CF" w:rsidRPr="002A677E" w:rsidRDefault="007266CF" w:rsidP="007266CF">
            <w:pPr>
              <w:pStyle w:val="InstructionsText"/>
            </w:pPr>
            <w:r>
              <w:t>Ustanovení čl. 4 odst. 1 bodu 126 a článku 69 nařízení (EU) č. 575/2013.</w:t>
            </w:r>
          </w:p>
          <w:p w14:paraId="2B2815A8" w14:textId="77777777" w:rsidR="007266CF" w:rsidRPr="002A677E" w:rsidRDefault="007266CF" w:rsidP="007266CF">
            <w:pPr>
              <w:pStyle w:val="InstructionsText"/>
              <w:rPr>
                <w:rStyle w:val="InstructionsTabelleberschrift"/>
                <w:rFonts w:ascii="Times New Roman" w:hAnsi="Times New Roman"/>
                <w:b w:val="0"/>
                <w:bCs w:val="0"/>
                <w:sz w:val="24"/>
                <w:u w:val="none"/>
              </w:rPr>
            </w:pPr>
            <w:r>
              <w:lastRenderedPageBreak/>
              <w:t xml:space="preserve">Ustanovení čl. 69 písm. a) nařízení (EU) č. 575/2013 </w:t>
            </w:r>
            <w:r>
              <w:rPr>
                <w:rStyle w:val="InstructionsTabelleberschrift"/>
                <w:rFonts w:ascii="Times New Roman" w:hAnsi="Times New Roman"/>
                <w:b w:val="0"/>
                <w:sz w:val="24"/>
                <w:u w:val="none"/>
              </w:rPr>
              <w:t>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7266CF" w:rsidRPr="002A677E" w14:paraId="136C1BFF" w14:textId="77777777" w:rsidTr="007266CF">
        <w:tc>
          <w:tcPr>
            <w:tcW w:w="1474" w:type="dxa"/>
          </w:tcPr>
          <w:p w14:paraId="3F4F650A" w14:textId="77777777" w:rsidR="007266CF" w:rsidRPr="002A677E" w:rsidRDefault="007266CF" w:rsidP="007266CF">
            <w:pPr>
              <w:pStyle w:val="InstructionsText"/>
            </w:pPr>
            <w:r>
              <w:lastRenderedPageBreak/>
              <w:t>0650</w:t>
            </w:r>
          </w:p>
        </w:tc>
        <w:tc>
          <w:tcPr>
            <w:tcW w:w="7049" w:type="dxa"/>
          </w:tcPr>
          <w:p w14:paraId="63E418C8" w14:textId="77777777" w:rsidR="007266CF" w:rsidRPr="002A677E" w:rsidRDefault="007266CF" w:rsidP="007266CF">
            <w:pPr>
              <w:pStyle w:val="InstructionsText"/>
            </w:pPr>
            <w:r>
              <w:rPr>
                <w:rStyle w:val="InstructionsTabelleberschrift"/>
                <w:rFonts w:ascii="Times New Roman" w:hAnsi="Times New Roman"/>
                <w:sz w:val="24"/>
              </w:rPr>
              <w:t>18. Rizikově vážené expozice u kapitálových investic zahrnovaných do kmenového kapitálu tier 1 v subjektech finančního sektoru, které se neodečítají od kmenového kapitálu tier 1 instituce</w:t>
            </w:r>
          </w:p>
          <w:p w14:paraId="40979CEE" w14:textId="77777777" w:rsidR="007266CF" w:rsidRPr="002A677E" w:rsidRDefault="007266CF" w:rsidP="007266CF">
            <w:pPr>
              <w:pStyle w:val="InstructionsText"/>
            </w:pPr>
            <w:r>
              <w:t>Ustanovení čl. 46 odst. 4, čl. 48 odst. 4 a čl. 49 odst. 4 nařízení (EU) č. 575/2013</w:t>
            </w:r>
          </w:p>
        </w:tc>
      </w:tr>
      <w:tr w:rsidR="007266CF" w:rsidRPr="006223CC" w14:paraId="66F2BB90" w14:textId="77777777" w:rsidTr="007266CF">
        <w:tc>
          <w:tcPr>
            <w:tcW w:w="1474" w:type="dxa"/>
          </w:tcPr>
          <w:p w14:paraId="357ACEB1" w14:textId="77777777" w:rsidR="007266CF" w:rsidRPr="002A677E" w:rsidRDefault="007266CF" w:rsidP="007266CF">
            <w:pPr>
              <w:pStyle w:val="InstructionsText"/>
            </w:pPr>
            <w:r>
              <w:t>0660</w:t>
            </w:r>
          </w:p>
        </w:tc>
        <w:tc>
          <w:tcPr>
            <w:tcW w:w="7049" w:type="dxa"/>
          </w:tcPr>
          <w:p w14:paraId="435839F6" w14:textId="77777777" w:rsidR="007266CF" w:rsidRPr="002A677E" w:rsidRDefault="007266CF" w:rsidP="007266CF">
            <w:pPr>
              <w:pStyle w:val="InstructionsText"/>
            </w:pPr>
            <w:r>
              <w:rPr>
                <w:rStyle w:val="InstructionsTabelleberschrift"/>
                <w:rFonts w:ascii="Times New Roman" w:hAnsi="Times New Roman"/>
                <w:sz w:val="24"/>
              </w:rPr>
              <w:t>19. Rizikově vážené expozice u kapitálových investic zahrnovaných do vedlejšího kapitálu tier 1 v subjektech finančního sektoru, které se neodečítají od vedlejšího kapitálu tier 1 instituce</w:t>
            </w:r>
          </w:p>
          <w:p w14:paraId="2AB46E28" w14:textId="77777777" w:rsidR="007266CF" w:rsidRPr="006223CC" w:rsidRDefault="007266CF" w:rsidP="007266CF">
            <w:pPr>
              <w:pStyle w:val="InstructionsText"/>
              <w:rPr>
                <w:lang w:val="fr-FR"/>
              </w:rPr>
            </w:pPr>
            <w:r w:rsidRPr="006223CC">
              <w:rPr>
                <w:lang w:val="fr-FR"/>
              </w:rPr>
              <w:t>Ustanovení čl. 60 odst. 4 nařízení (EU) č. 575/2013</w:t>
            </w:r>
          </w:p>
        </w:tc>
      </w:tr>
      <w:tr w:rsidR="007266CF" w:rsidRPr="006223CC" w14:paraId="4143D9A4" w14:textId="77777777" w:rsidTr="007266CF">
        <w:tc>
          <w:tcPr>
            <w:tcW w:w="1474" w:type="dxa"/>
          </w:tcPr>
          <w:p w14:paraId="091264A6" w14:textId="77777777" w:rsidR="007266CF" w:rsidRPr="002A677E" w:rsidRDefault="007266CF" w:rsidP="007266CF">
            <w:pPr>
              <w:pStyle w:val="InstructionsText"/>
            </w:pPr>
            <w:r>
              <w:t>0670</w:t>
            </w:r>
          </w:p>
        </w:tc>
        <w:tc>
          <w:tcPr>
            <w:tcW w:w="7049" w:type="dxa"/>
          </w:tcPr>
          <w:p w14:paraId="21ABE5E9" w14:textId="77777777" w:rsidR="007266CF" w:rsidRPr="002A677E" w:rsidRDefault="007266CF" w:rsidP="007266CF">
            <w:pPr>
              <w:pStyle w:val="InstructionsText"/>
            </w:pPr>
            <w:r>
              <w:rPr>
                <w:rStyle w:val="InstructionsTabelleberschrift"/>
                <w:rFonts w:ascii="Times New Roman" w:hAnsi="Times New Roman"/>
                <w:sz w:val="24"/>
              </w:rPr>
              <w:t>20. Rizikově vážené expozice u kapitálových investic zahrnovaných do kapitálu tier 2 v subjektech finančního sektoru, které se neodečítají od kapitálu tier 2 instituce</w:t>
            </w:r>
          </w:p>
          <w:p w14:paraId="5A9FD88F" w14:textId="77777777" w:rsidR="007266CF" w:rsidRPr="006223CC" w:rsidRDefault="007266CF" w:rsidP="007266CF">
            <w:pPr>
              <w:pStyle w:val="InstructionsText"/>
              <w:rPr>
                <w:lang w:val="fr-FR"/>
              </w:rPr>
            </w:pPr>
            <w:r w:rsidRPr="006223CC">
              <w:rPr>
                <w:lang w:val="fr-FR"/>
              </w:rPr>
              <w:t>Ustanovení čl. 70 odst. 4 nařízení (EU) č. 575/2013</w:t>
            </w:r>
          </w:p>
        </w:tc>
      </w:tr>
      <w:tr w:rsidR="007266CF" w:rsidRPr="002A677E" w14:paraId="122DD843" w14:textId="77777777" w:rsidTr="007266CF">
        <w:tc>
          <w:tcPr>
            <w:tcW w:w="1474" w:type="dxa"/>
          </w:tcPr>
          <w:p w14:paraId="63012D6F" w14:textId="77777777" w:rsidR="007266CF" w:rsidRPr="002A677E" w:rsidRDefault="007266CF" w:rsidP="007266CF">
            <w:pPr>
              <w:pStyle w:val="InstructionsText"/>
            </w:pPr>
            <w:r>
              <w:t>0680</w:t>
            </w:r>
          </w:p>
        </w:tc>
        <w:tc>
          <w:tcPr>
            <w:tcW w:w="7049" w:type="dxa"/>
          </w:tcPr>
          <w:p w14:paraId="3F38F8C1" w14:textId="77777777" w:rsidR="007266CF" w:rsidRPr="002A677E" w:rsidRDefault="007266CF" w:rsidP="007266C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Investice do nástrojů zahrnovaných do kmenového kapitálu tier 1 subjektů finančního sektoru, v nichž instituce nemá významnou investici, s dočasnou výjimkou</w:t>
            </w:r>
          </w:p>
          <w:p w14:paraId="07ABE081" w14:textId="77777777" w:rsidR="007266CF" w:rsidRPr="002A677E" w:rsidRDefault="007266CF" w:rsidP="007266CF">
            <w:pPr>
              <w:pStyle w:val="InstructionsText"/>
            </w:pPr>
            <w:r>
              <w:t>Článek 79 nařízení (EU) č. 575/2013</w:t>
            </w:r>
          </w:p>
          <w:p w14:paraId="67D066EA" w14:textId="77777777" w:rsidR="007266CF" w:rsidRPr="002A677E" w:rsidRDefault="007266CF" w:rsidP="007266CF">
            <w:pPr>
              <w:pStyle w:val="InstructionsText"/>
            </w:pPr>
            <w:r>
              <w:t>Příslušný orgán může dočasně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14:paraId="410905BC" w14:textId="77777777" w:rsidR="007266CF" w:rsidRPr="002A677E" w:rsidRDefault="007266CF" w:rsidP="007266CF">
            <w:pPr>
              <w:pStyle w:val="InstructionsText"/>
            </w:pPr>
            <w:r>
              <w:t>Nepřehlédněte, že tyto nástroje se vykazují rovněž v položce 12.1.</w:t>
            </w:r>
          </w:p>
        </w:tc>
      </w:tr>
      <w:tr w:rsidR="007266CF" w:rsidRPr="002A677E" w14:paraId="107FBCFC" w14:textId="77777777" w:rsidTr="007266CF">
        <w:tc>
          <w:tcPr>
            <w:tcW w:w="1474" w:type="dxa"/>
          </w:tcPr>
          <w:p w14:paraId="03CE4973" w14:textId="77777777" w:rsidR="007266CF" w:rsidRPr="002A677E" w:rsidRDefault="007266CF" w:rsidP="007266CF">
            <w:pPr>
              <w:pStyle w:val="InstructionsText"/>
            </w:pPr>
            <w:r>
              <w:t>0690</w:t>
            </w:r>
          </w:p>
        </w:tc>
        <w:tc>
          <w:tcPr>
            <w:tcW w:w="7049" w:type="dxa"/>
          </w:tcPr>
          <w:p w14:paraId="1BE482B7" w14:textId="77777777" w:rsidR="007266CF" w:rsidRPr="002A677E" w:rsidRDefault="007266CF" w:rsidP="007266C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Investice do nástrojů zahrnovaných do kmenového kapitálu tier 1 subjektů finančního sektoru, v nichž instituce má významnou investici, s dočasnou výjimkou</w:t>
            </w:r>
          </w:p>
          <w:p w14:paraId="28777A54" w14:textId="77777777" w:rsidR="007266CF" w:rsidRPr="002A677E" w:rsidRDefault="007266CF" w:rsidP="007266CF">
            <w:pPr>
              <w:pStyle w:val="InstructionsText"/>
            </w:pPr>
            <w:r>
              <w:t>Článek 79 nařízení (EU) č. 575/2013</w:t>
            </w:r>
          </w:p>
          <w:p w14:paraId="0A9CA5D0" w14:textId="77777777" w:rsidR="007266CF" w:rsidRPr="002A677E" w:rsidRDefault="007266CF" w:rsidP="007266CF">
            <w:pPr>
              <w:pStyle w:val="InstructionsText"/>
            </w:pPr>
            <w:r>
              <w:t>Příslušný orgán může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14:paraId="3691C001" w14:textId="77777777" w:rsidR="007266CF" w:rsidRPr="002A677E" w:rsidRDefault="007266CF" w:rsidP="007266CF">
            <w:pPr>
              <w:pStyle w:val="InstructionsText"/>
            </w:pPr>
            <w:r>
              <w:t>Nepřehlédněte, že tyto nástroje se vykazují rovněž v položce 15.1.</w:t>
            </w:r>
          </w:p>
        </w:tc>
      </w:tr>
      <w:tr w:rsidR="007266CF" w:rsidRPr="002A677E" w14:paraId="35128EC2" w14:textId="77777777" w:rsidTr="007266CF">
        <w:tc>
          <w:tcPr>
            <w:tcW w:w="1474" w:type="dxa"/>
          </w:tcPr>
          <w:p w14:paraId="0F81C220" w14:textId="77777777" w:rsidR="007266CF" w:rsidRPr="002A677E" w:rsidRDefault="007266CF" w:rsidP="007266CF">
            <w:pPr>
              <w:pStyle w:val="InstructionsText"/>
            </w:pPr>
            <w:r>
              <w:t>0700</w:t>
            </w:r>
          </w:p>
        </w:tc>
        <w:tc>
          <w:tcPr>
            <w:tcW w:w="7049" w:type="dxa"/>
          </w:tcPr>
          <w:p w14:paraId="00011068" w14:textId="77777777" w:rsidR="007266CF" w:rsidRPr="002A677E" w:rsidRDefault="007266CF" w:rsidP="007266C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Investice do kapitálových nástrojů vedlejšího kapitálu tier 1 subjektů finančního sektoru, v nichž instituce nemá významnou investici, s dočasnou výjimkou</w:t>
            </w:r>
          </w:p>
          <w:p w14:paraId="43DF23E6" w14:textId="77777777" w:rsidR="007266CF" w:rsidRPr="002A677E" w:rsidRDefault="007266CF" w:rsidP="007266CF">
            <w:pPr>
              <w:pStyle w:val="InstructionsText"/>
            </w:pPr>
            <w:r>
              <w:t>Článek 79 nařízení (EU) č. 575/2013</w:t>
            </w:r>
          </w:p>
          <w:p w14:paraId="6270F849" w14:textId="77777777" w:rsidR="007266CF" w:rsidRPr="002A677E" w:rsidRDefault="007266CF" w:rsidP="007266CF">
            <w:pPr>
              <w:pStyle w:val="InstructionsText"/>
            </w:pPr>
            <w:r>
              <w:lastRenderedPageBreak/>
              <w:t>Příslušný orgán může dočasně upustit od uplatňování ustanovení o odpočtech od vedlejšího kapitálu tier 1 v důsledku kapitálových investic do nástrojů zvláštního subjektu finančního sektoru, jestliže se domnívá, že účelem těchto kapitálových investic je finanční pomoc určená k reorganizaci a záchraně daného subjektu.</w:t>
            </w:r>
          </w:p>
          <w:p w14:paraId="22F1E608" w14:textId="77777777" w:rsidR="007266CF" w:rsidRPr="002A677E" w:rsidRDefault="007266CF" w:rsidP="007266CF">
            <w:pPr>
              <w:pStyle w:val="InstructionsText"/>
            </w:pPr>
            <w:r>
              <w:t>Nepřehlédněte, že tyto nástroje se vykazují rovněž v položce 13.1.</w:t>
            </w:r>
          </w:p>
        </w:tc>
      </w:tr>
      <w:tr w:rsidR="007266CF" w:rsidRPr="002A677E" w14:paraId="265A087A" w14:textId="77777777" w:rsidTr="007266CF">
        <w:tc>
          <w:tcPr>
            <w:tcW w:w="1474" w:type="dxa"/>
          </w:tcPr>
          <w:p w14:paraId="23FB77C1" w14:textId="77777777" w:rsidR="007266CF" w:rsidRPr="002A677E" w:rsidRDefault="007266CF" w:rsidP="007266CF">
            <w:pPr>
              <w:pStyle w:val="InstructionsText"/>
            </w:pPr>
            <w:r>
              <w:lastRenderedPageBreak/>
              <w:t>0710</w:t>
            </w:r>
          </w:p>
        </w:tc>
        <w:tc>
          <w:tcPr>
            <w:tcW w:w="7049" w:type="dxa"/>
          </w:tcPr>
          <w:p w14:paraId="012DE156" w14:textId="77777777" w:rsidR="007266CF" w:rsidRPr="002A677E" w:rsidRDefault="007266CF" w:rsidP="007266C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Investice do kapitálových nástrojů vedlejšího kapitálu tier 1 subjektů finančního sektoru, v nichž instituce má významnou investici, s dočasnou výjimkou</w:t>
            </w:r>
          </w:p>
          <w:p w14:paraId="582A58E3" w14:textId="77777777" w:rsidR="007266CF" w:rsidRPr="002A677E" w:rsidRDefault="007266CF" w:rsidP="007266CF">
            <w:pPr>
              <w:pStyle w:val="InstructionsText"/>
            </w:pPr>
            <w:r>
              <w:t>Článek 79 nařízení (EU) č. 575/2013</w:t>
            </w:r>
          </w:p>
          <w:p w14:paraId="6BA0E297" w14:textId="77777777" w:rsidR="007266CF" w:rsidRPr="002A677E" w:rsidRDefault="007266CF" w:rsidP="007266CF">
            <w:pPr>
              <w:pStyle w:val="InstructionsText"/>
            </w:pPr>
            <w:r>
              <w:t>Příslušný orgán může dočasně upustit od uplatňování ustanovení o odpočtech od vedlejšího kapitálu tier 1 v důsledku kapitálových investic do nástrojů zvláštního subjektu finančního sektoru, jestliže se domnívá, že účelem těchto kapitálových investic je finanční pomoc určená k reorganizaci a záchraně daného subjektu.</w:t>
            </w:r>
          </w:p>
          <w:p w14:paraId="1621B644" w14:textId="77777777" w:rsidR="007266CF" w:rsidRPr="002A677E" w:rsidRDefault="007266CF" w:rsidP="007266CF">
            <w:pPr>
              <w:pStyle w:val="InstructionsText"/>
            </w:pPr>
            <w:r>
              <w:t>Nepřehlédněte, že tyto nástroje se vykazují rovněž v položce 16.1.</w:t>
            </w:r>
          </w:p>
        </w:tc>
      </w:tr>
      <w:tr w:rsidR="007266CF" w:rsidRPr="002A677E" w14:paraId="391A8B96" w14:textId="77777777" w:rsidTr="007266CF">
        <w:tc>
          <w:tcPr>
            <w:tcW w:w="1474" w:type="dxa"/>
          </w:tcPr>
          <w:p w14:paraId="6703E584" w14:textId="77777777" w:rsidR="007266CF" w:rsidRPr="002A677E" w:rsidRDefault="007266CF" w:rsidP="007266CF">
            <w:pPr>
              <w:pStyle w:val="InstructionsText"/>
            </w:pPr>
            <w:r>
              <w:t>0720</w:t>
            </w:r>
          </w:p>
        </w:tc>
        <w:tc>
          <w:tcPr>
            <w:tcW w:w="7049" w:type="dxa"/>
          </w:tcPr>
          <w:p w14:paraId="1B88F7CF" w14:textId="77777777" w:rsidR="007266CF" w:rsidRPr="002A677E" w:rsidRDefault="007266CF" w:rsidP="007266C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Investice do kapitálových nástrojů T2 subjektů finančního sektoru, v nichž instituce nemá významnou investici, s dočasnou výjimkou</w:t>
            </w:r>
          </w:p>
          <w:p w14:paraId="70978787" w14:textId="77777777" w:rsidR="007266CF" w:rsidRPr="002A677E" w:rsidRDefault="007266CF" w:rsidP="007266CF">
            <w:pPr>
              <w:pStyle w:val="InstructionsText"/>
            </w:pPr>
            <w:r>
              <w:t>Článek 79 nařízení (EU) č. 575/2013</w:t>
            </w:r>
          </w:p>
          <w:p w14:paraId="00374341" w14:textId="77777777" w:rsidR="007266CF" w:rsidRPr="002A677E" w:rsidRDefault="007266CF" w:rsidP="007266CF">
            <w:pPr>
              <w:pStyle w:val="InstructionsText"/>
            </w:pPr>
            <w:r>
              <w:t>Příslušný orgán může upustit od uplatňování ustanovení o odpočtech od kmenového kapitálu tier 2 v důsledku kapitálových investic do nástrojů zvláštního subjektu finančního sektoru, jestliže se domnívá, že účelem těchto kapitálových investic je finanční pomoc určená k reorganizaci a záchraně daného subjektu.</w:t>
            </w:r>
          </w:p>
          <w:p w14:paraId="631BB5CE" w14:textId="77777777" w:rsidR="007266CF" w:rsidRPr="002A677E" w:rsidRDefault="007266CF" w:rsidP="007266CF">
            <w:pPr>
              <w:pStyle w:val="InstructionsText"/>
            </w:pPr>
            <w:r>
              <w:t>Nepřehlédněte, že tyto nástroje se vykazují rovněž v položce 14.1.</w:t>
            </w:r>
          </w:p>
        </w:tc>
      </w:tr>
      <w:tr w:rsidR="007266CF" w:rsidRPr="002A677E" w14:paraId="0A380D18" w14:textId="77777777" w:rsidTr="007266CF">
        <w:tc>
          <w:tcPr>
            <w:tcW w:w="1474" w:type="dxa"/>
          </w:tcPr>
          <w:p w14:paraId="4A69C2FF" w14:textId="77777777" w:rsidR="007266CF" w:rsidRPr="002A677E" w:rsidRDefault="007266CF" w:rsidP="007266CF">
            <w:pPr>
              <w:pStyle w:val="InstructionsText"/>
            </w:pPr>
            <w:r>
              <w:t>0730</w:t>
            </w:r>
          </w:p>
        </w:tc>
        <w:tc>
          <w:tcPr>
            <w:tcW w:w="7049" w:type="dxa"/>
          </w:tcPr>
          <w:p w14:paraId="566A91BE" w14:textId="77777777" w:rsidR="007266CF" w:rsidRPr="002A677E" w:rsidRDefault="007266CF" w:rsidP="007266C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Investice do kapitálových nástrojů T2 subjektů finančního sektoru, v nichž instituce má významnou investici, s dočasnou výjimkou</w:t>
            </w:r>
          </w:p>
          <w:p w14:paraId="51660F72" w14:textId="77777777" w:rsidR="007266CF" w:rsidRPr="002A677E" w:rsidRDefault="007266CF" w:rsidP="007266CF">
            <w:pPr>
              <w:pStyle w:val="InstructionsText"/>
            </w:pPr>
            <w:r>
              <w:t>Článek 79 nařízení (EU) č. 575/2013</w:t>
            </w:r>
          </w:p>
          <w:p w14:paraId="536B780E" w14:textId="77777777" w:rsidR="007266CF" w:rsidRPr="002A677E" w:rsidRDefault="007266CF" w:rsidP="007266CF">
            <w:pPr>
              <w:pStyle w:val="InstructionsText"/>
            </w:pPr>
            <w:r>
              <w:t>Příslušný orgán může upustit od uplatňování ustanovení o odpočtech od kmenového kapitálu tier 2 v důsledku kapitálových investic do nástrojů zvláštního subjektu finančního sektoru, jestliže se domnívá, že účelem těchto kapitálových investic je finanční pomoc určená k reorganizaci a záchraně daného subjektu.</w:t>
            </w:r>
          </w:p>
          <w:p w14:paraId="5CE9A3A6" w14:textId="77777777" w:rsidR="007266CF" w:rsidRPr="002A677E" w:rsidRDefault="007266CF" w:rsidP="007266CF">
            <w:pPr>
              <w:pStyle w:val="InstructionsText"/>
            </w:pPr>
            <w:r>
              <w:t>Nepřehlédněte, že tyto nástroje se vykazují rovněž v položce 17.1.</w:t>
            </w:r>
          </w:p>
        </w:tc>
      </w:tr>
      <w:tr w:rsidR="007266CF" w:rsidRPr="002A677E" w14:paraId="517FDD9D"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35B19E0" w14:textId="77777777" w:rsidR="007266CF" w:rsidRPr="002A677E" w:rsidRDefault="007266CF" w:rsidP="007266CF">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78FC7D24" w14:textId="77777777" w:rsidR="007266CF" w:rsidRPr="002A677E" w:rsidRDefault="007266CF" w:rsidP="007266C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Požadavek kombinovaných kapitálových rezerv</w:t>
            </w:r>
          </w:p>
          <w:p w14:paraId="0959B4F5" w14:textId="77777777" w:rsidR="007266CF" w:rsidRPr="002A677E" w:rsidRDefault="007266CF" w:rsidP="007266CF">
            <w:pPr>
              <w:pStyle w:val="InstructionsText"/>
            </w:pPr>
            <w:r>
              <w:t>Ustanovení čl. 128 bodu 6 směrnice 2013/36/EU</w:t>
            </w:r>
          </w:p>
        </w:tc>
      </w:tr>
      <w:tr w:rsidR="007266CF" w:rsidRPr="002A677E" w14:paraId="5F9B3BFA"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165BC3C" w14:textId="77777777" w:rsidR="007266CF" w:rsidRPr="002A677E" w:rsidRDefault="007266CF" w:rsidP="007266CF">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26F3085D" w14:textId="77777777" w:rsidR="007266CF" w:rsidRPr="002A677E" w:rsidRDefault="007266CF" w:rsidP="007266CF">
            <w:pPr>
              <w:pStyle w:val="InstructionsText"/>
            </w:pPr>
            <w:r>
              <w:rPr>
                <w:rStyle w:val="InstructionsTabelleberschrift"/>
                <w:rFonts w:ascii="Times New Roman" w:hAnsi="Times New Roman"/>
                <w:sz w:val="24"/>
              </w:rPr>
              <w:t>Bezpečnostní kapitálová rezerva</w:t>
            </w:r>
          </w:p>
          <w:p w14:paraId="5494A4F6" w14:textId="77777777" w:rsidR="007266CF" w:rsidRPr="002A677E" w:rsidRDefault="007266CF" w:rsidP="007266CF">
            <w:pPr>
              <w:pStyle w:val="InstructionsText"/>
            </w:pPr>
            <w:r>
              <w:t xml:space="preserve">Ustanovení čl. 128 bodu 1 a článku 129 směrnice 2013/36/EU </w:t>
            </w:r>
          </w:p>
          <w:p w14:paraId="65894EA7" w14:textId="77777777" w:rsidR="007266CF" w:rsidRPr="002A677E" w:rsidRDefault="007266CF" w:rsidP="007266CF">
            <w:pPr>
              <w:pStyle w:val="InstructionsText"/>
            </w:pPr>
            <w:r>
              <w:t xml:space="preserve">Bezpečnostní kapitálová rezerva představuje podle čl. 129 odst. 1 směrnice 2013/36/EU dodatečný objem kmenového kapitálu tier 1. </w:t>
            </w:r>
            <w:r>
              <w:lastRenderedPageBreak/>
              <w:t>Vzhledem k tomu, že 2,5 % sazba bezpečnostní kapitálové rezervy je stabilní, výše rezervy se vykazuje v tomto řádku.</w:t>
            </w:r>
          </w:p>
        </w:tc>
      </w:tr>
      <w:tr w:rsidR="007266CF" w:rsidRPr="002A677E" w14:paraId="20B9C638"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158C175" w14:textId="77777777" w:rsidR="007266CF" w:rsidRPr="002A677E" w:rsidRDefault="007266CF" w:rsidP="007266CF">
            <w:pPr>
              <w:pStyle w:val="InstructionsText"/>
            </w:pPr>
            <w:r>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250284F7" w14:textId="77777777" w:rsidR="007266CF" w:rsidRPr="002A677E" w:rsidRDefault="007266CF" w:rsidP="007266CF">
            <w:pPr>
              <w:pStyle w:val="InstructionsText"/>
            </w:pPr>
            <w:r>
              <w:rPr>
                <w:rStyle w:val="InstructionsTabelleberschrift"/>
                <w:rFonts w:ascii="Times New Roman" w:hAnsi="Times New Roman"/>
                <w:sz w:val="24"/>
              </w:rPr>
              <w:t xml:space="preserve">Bezpečnostní rezerva, je-li na úrovni členského státu zjištěno makroobezřetnostní nebo systémové riziko </w:t>
            </w:r>
          </w:p>
          <w:p w14:paraId="6CB3BAF0" w14:textId="77777777" w:rsidR="007266CF" w:rsidRPr="002A677E" w:rsidRDefault="007266CF" w:rsidP="007266CF">
            <w:pPr>
              <w:pStyle w:val="InstructionsText"/>
            </w:pPr>
            <w:r>
              <w:t>Ustanovení čl. 458 odst. 2 písm. d) bodu iv) nařízení (EU) č. 575/2013</w:t>
            </w:r>
          </w:p>
          <w:p w14:paraId="461786C4" w14:textId="77777777" w:rsidR="007266CF" w:rsidRPr="002A677E" w:rsidRDefault="007266CF" w:rsidP="007266CF">
            <w:pPr>
              <w:pStyle w:val="InstructionsText"/>
            </w:pPr>
            <w:r>
              <w:t>V tomto řádku se vykazuje výše bezpečnostní rezervy v důsledku makroobezřetnostního nebo systémového rizika zjištěného na úrovni členského státu, která může být vyžadována podle článku 458 nařízení (EU) č. 575/2013 vedle bezpečnostní kapitálové rezervy.</w:t>
            </w:r>
          </w:p>
          <w:p w14:paraId="0F99F788" w14:textId="77777777" w:rsidR="007266CF" w:rsidRPr="002A677E" w:rsidRDefault="007266CF" w:rsidP="007266CF">
            <w:pPr>
              <w:pStyle w:val="InstructionsText"/>
            </w:pPr>
            <w:r>
              <w:t>Vykázaná částka představuje výši kapitálu potřebnou ke splnění příslušných požadavků na kapitálové rezervy k datu vykazování.</w:t>
            </w:r>
          </w:p>
        </w:tc>
      </w:tr>
      <w:tr w:rsidR="007266CF" w:rsidRPr="002A677E" w14:paraId="501FAA4D"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1F61376" w14:textId="77777777" w:rsidR="007266CF" w:rsidRPr="002A677E" w:rsidRDefault="007266CF" w:rsidP="007266CF">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855436D" w14:textId="77777777" w:rsidR="007266CF" w:rsidRPr="002A677E" w:rsidRDefault="007266CF" w:rsidP="007266CF">
            <w:pPr>
              <w:pStyle w:val="InstructionsText"/>
            </w:pPr>
            <w:r>
              <w:rPr>
                <w:rStyle w:val="InstructionsTabelleberschrift"/>
                <w:rFonts w:ascii="Times New Roman" w:hAnsi="Times New Roman"/>
                <w:sz w:val="24"/>
              </w:rPr>
              <w:t xml:space="preserve">Proticyklická kapitálová rezerva stanovená konkrétně pro danou instituci </w:t>
            </w:r>
          </w:p>
          <w:p w14:paraId="6A0870DB" w14:textId="77777777" w:rsidR="007266CF" w:rsidRPr="002A677E" w:rsidRDefault="007266CF" w:rsidP="007266CF">
            <w:pPr>
              <w:pStyle w:val="InstructionsText"/>
            </w:pPr>
            <w:r>
              <w:t xml:space="preserve">Ustanovení čl. 128 bodu 2 a článků 130 a 135 až 140 směrnice 2013/36/EU </w:t>
            </w:r>
          </w:p>
          <w:p w14:paraId="60DE6D9A" w14:textId="77777777" w:rsidR="007266CF" w:rsidRPr="002A677E" w:rsidRDefault="007266CF" w:rsidP="007266CF">
            <w:pPr>
              <w:pStyle w:val="InstructionsText"/>
            </w:pPr>
            <w:r>
              <w:t>Vykázaná částka představuje výši kapitálu potřebnou ke splnění příslušných požadavků na kapitálové rezervy k datu vykazování.</w:t>
            </w:r>
          </w:p>
        </w:tc>
      </w:tr>
      <w:tr w:rsidR="007266CF" w:rsidRPr="002A677E" w14:paraId="647D3ABD"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D52164" w14:textId="77777777" w:rsidR="007266CF" w:rsidRPr="002A677E" w:rsidRDefault="007266CF" w:rsidP="007266CF">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306ED5DE" w14:textId="77777777" w:rsidR="007266CF" w:rsidRPr="002A677E" w:rsidRDefault="007266CF" w:rsidP="007266CF">
            <w:pPr>
              <w:pStyle w:val="InstructionsText"/>
            </w:pPr>
            <w:r>
              <w:rPr>
                <w:rStyle w:val="InstructionsTabelleberschrift"/>
                <w:rFonts w:ascii="Times New Roman" w:hAnsi="Times New Roman"/>
                <w:sz w:val="24"/>
              </w:rPr>
              <w:t xml:space="preserve">Kapitálová rezerva pro krytí systémového rizika </w:t>
            </w:r>
          </w:p>
          <w:p w14:paraId="270F65A4" w14:textId="77777777" w:rsidR="007266CF" w:rsidRPr="002A677E" w:rsidRDefault="007266CF" w:rsidP="007266CF">
            <w:pPr>
              <w:pStyle w:val="InstructionsText"/>
            </w:pPr>
            <w:r>
              <w:t xml:space="preserve">Ustanovení čl. 128 bodu 5 a článků 133 a 134 směrnice 2013/36/EU </w:t>
            </w:r>
          </w:p>
          <w:p w14:paraId="14BAFCB4" w14:textId="77777777" w:rsidR="007266CF" w:rsidRPr="002A677E" w:rsidRDefault="007266CF" w:rsidP="007266CF">
            <w:pPr>
              <w:pStyle w:val="InstructionsText"/>
            </w:pPr>
            <w:r>
              <w:t>Vykázaná částka představuje výši kapitálu potřebnou ke splnění příslušných požadavků na kapitálové rezervy k datu vykazování.</w:t>
            </w:r>
          </w:p>
        </w:tc>
      </w:tr>
      <w:tr w:rsidR="007266CF" w:rsidRPr="002A677E" w14:paraId="71ED2B30"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3434B17" w14:textId="77777777" w:rsidR="007266CF" w:rsidRPr="002A677E" w:rsidRDefault="007266CF" w:rsidP="007266CF">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37A4707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Kapitálová rezerva pro globální systémově významné instituce</w:t>
            </w:r>
          </w:p>
          <w:p w14:paraId="3A7A9D02"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128 bodu 3 a článku 131 </w:t>
            </w:r>
            <w:r>
              <w:t>směrnice 2013/36/EU</w:t>
            </w:r>
          </w:p>
          <w:p w14:paraId="0CE6162B" w14:textId="77777777" w:rsidR="007266CF" w:rsidRPr="002A677E" w:rsidRDefault="007266CF" w:rsidP="007266CF">
            <w:pPr>
              <w:pStyle w:val="InstructionsText"/>
              <w:rPr>
                <w:rStyle w:val="InstructionsTabelleberschrift"/>
                <w:rFonts w:ascii="Times New Roman" w:hAnsi="Times New Roman"/>
                <w:b w:val="0"/>
                <w:bCs w:val="0"/>
                <w:sz w:val="24"/>
                <w:u w:val="none"/>
              </w:rPr>
            </w:pPr>
            <w:r>
              <w:t>Vykázaná částka představuje výši kapitálu potřebnou ke splnění příslušných požadavků na kapitálové rezervy k datu vykazování.</w:t>
            </w:r>
          </w:p>
        </w:tc>
      </w:tr>
      <w:tr w:rsidR="007266CF" w:rsidRPr="002A677E" w14:paraId="4166A973"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29EB9CA" w14:textId="77777777" w:rsidR="007266CF" w:rsidRPr="002A677E" w:rsidRDefault="007266CF" w:rsidP="007266CF">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E4A3CD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Kapitálová rezerva pro jiné systémově významné instituce </w:t>
            </w:r>
          </w:p>
          <w:p w14:paraId="510D08BA"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128 bodu 4 a článku 131 </w:t>
            </w:r>
            <w:r>
              <w:t>směrnice 2013/36/EU</w:t>
            </w:r>
          </w:p>
          <w:p w14:paraId="7C14B4BD" w14:textId="77777777" w:rsidR="007266CF" w:rsidRPr="002A677E" w:rsidRDefault="007266CF" w:rsidP="007266CF">
            <w:pPr>
              <w:pStyle w:val="InstructionsText"/>
              <w:rPr>
                <w:rStyle w:val="InstructionsTabelleberschrift"/>
                <w:rFonts w:ascii="Times New Roman" w:hAnsi="Times New Roman"/>
                <w:b w:val="0"/>
                <w:bCs w:val="0"/>
                <w:sz w:val="24"/>
                <w:u w:val="none"/>
              </w:rPr>
            </w:pPr>
            <w:r>
              <w:t>Vykázaná částka představuje výši kapitálu potřebnou ke splnění příslušných požadavků na kapitálové rezervy k datu vykazování.</w:t>
            </w:r>
          </w:p>
        </w:tc>
      </w:tr>
      <w:tr w:rsidR="007266CF" w:rsidRPr="002A677E" w14:paraId="1F72C35A"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A7F851C" w14:textId="77777777" w:rsidR="007266CF" w:rsidRPr="002A677E" w:rsidRDefault="007266CF" w:rsidP="007266CF">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29223EF7"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Kapitálové požadavky související s úpravami podle pilíře II</w:t>
            </w:r>
          </w:p>
          <w:p w14:paraId="21D661A0"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104a odst. 1</w:t>
            </w:r>
            <w:r>
              <w:t xml:space="preserve"> směrnice 2013/36/EU</w:t>
            </w:r>
            <w:r>
              <w:rPr>
                <w:rStyle w:val="InstructionsTabelleberschrift"/>
                <w:rFonts w:ascii="Times New Roman" w:hAnsi="Times New Roman"/>
                <w:b w:val="0"/>
                <w:sz w:val="24"/>
                <w:u w:val="none"/>
              </w:rPr>
              <w:t xml:space="preserve">. </w:t>
            </w:r>
          </w:p>
          <w:p w14:paraId="386BED13"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Pokud příslušný orgán rozhodne, že instituce musí z důvodů, které vyplývají z pilíře II, vypočítat dodatečné požadavky na kapitál, tyto dodatečné požadavky na kapitál se vykazují v tomto řádku. </w:t>
            </w:r>
          </w:p>
        </w:tc>
      </w:tr>
      <w:tr w:rsidR="007266CF" w:rsidRPr="002A677E" w14:paraId="3D67DD7D"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BD182F" w14:textId="77777777" w:rsidR="007266CF" w:rsidRPr="002A677E" w:rsidRDefault="007266CF" w:rsidP="007266CF">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4155774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Počáteční kapitál</w:t>
            </w:r>
          </w:p>
          <w:p w14:paraId="06CE8F9B"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Články 12 a 28 až 31 </w:t>
            </w:r>
            <w:r>
              <w:t>směrnice 2013/36/EU</w:t>
            </w:r>
            <w:r>
              <w:rPr>
                <w:rStyle w:val="InstructionsTabelleberschrift"/>
                <w:rFonts w:ascii="Times New Roman" w:hAnsi="Times New Roman"/>
                <w:b w:val="0"/>
                <w:sz w:val="24"/>
                <w:u w:val="none"/>
              </w:rPr>
              <w:t xml:space="preserve"> a článek 93 </w:t>
            </w:r>
            <w:r>
              <w:t>nařízení (EU) č. 575/2013</w:t>
            </w:r>
          </w:p>
        </w:tc>
      </w:tr>
      <w:tr w:rsidR="007266CF" w:rsidRPr="002A677E" w14:paraId="5FA52B34"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4A8D661" w14:textId="77777777" w:rsidR="007266CF" w:rsidRPr="002A677E" w:rsidRDefault="007266CF" w:rsidP="007266CF">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6C353C8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Kapitál určený na základě fixních režijních nákladů</w:t>
            </w:r>
          </w:p>
          <w:p w14:paraId="515EDE9A" w14:textId="77777777" w:rsidR="007266CF" w:rsidRDefault="007266CF" w:rsidP="007266CF">
            <w:pPr>
              <w:pStyle w:val="InstructionsText"/>
            </w:pPr>
            <w:r>
              <w:rPr>
                <w:rStyle w:val="InstructionsTabelleberschrift"/>
                <w:rFonts w:ascii="Times New Roman" w:hAnsi="Times New Roman"/>
                <w:b w:val="0"/>
                <w:sz w:val="24"/>
                <w:u w:val="none"/>
              </w:rPr>
              <w:lastRenderedPageBreak/>
              <w:t>Ustanovení čl. 95 odst. </w:t>
            </w:r>
            <w:r>
              <w:rPr>
                <w:rStyle w:val="InstructionsTabelleberschrift"/>
                <w:rFonts w:ascii="Times New Roman" w:hAnsi="Times New Roman"/>
                <w:b w:val="0"/>
                <w:sz w:val="24"/>
              </w:rPr>
              <w:t>2 písm. b), čl. </w:t>
            </w:r>
            <w:r>
              <w:rPr>
                <w:rStyle w:val="InstructionsTabelleberschrift"/>
                <w:rFonts w:ascii="Times New Roman" w:hAnsi="Times New Roman"/>
                <w:b w:val="0"/>
                <w:sz w:val="24"/>
                <w:u w:val="none"/>
              </w:rPr>
              <w:t xml:space="preserve">96 odst. 2 písm. b), článku 97 a čl. 98 odst. 1 písm. a) </w:t>
            </w:r>
            <w:r>
              <w:t>nařízení (EU) č. 575/2013</w:t>
            </w:r>
          </w:p>
          <w:p w14:paraId="3F8EAD8F" w14:textId="77777777" w:rsidR="007266CF" w:rsidRPr="00232921" w:rsidRDefault="007266CF" w:rsidP="007266CF">
            <w:pPr>
              <w:pStyle w:val="InstructionsText"/>
              <w:rPr>
                <w:rStyle w:val="InstructionsTabelleberschrift"/>
                <w:rFonts w:ascii="Times New Roman" w:hAnsi="Times New Roman"/>
                <w:b w:val="0"/>
                <w:sz w:val="24"/>
                <w:u w:val="none"/>
              </w:rPr>
            </w:pPr>
            <w:r>
              <w:t>Vykázanou částkou je kapitálový požadavek vyplývající z uplatnění výše uvedených článků.</w:t>
            </w:r>
          </w:p>
        </w:tc>
      </w:tr>
      <w:tr w:rsidR="007266CF" w:rsidRPr="002A677E" w14:paraId="02D37130"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E774514" w14:textId="77777777" w:rsidR="007266CF" w:rsidRPr="002A677E" w:rsidRDefault="007266CF" w:rsidP="007266CF">
            <w:pPr>
              <w:pStyle w:val="InstructionsText"/>
            </w:pPr>
            <w:r>
              <w:lastRenderedPageBreak/>
              <w:t>0850</w:t>
            </w:r>
          </w:p>
        </w:tc>
        <w:tc>
          <w:tcPr>
            <w:tcW w:w="7049" w:type="dxa"/>
            <w:tcBorders>
              <w:top w:val="single" w:sz="4" w:space="0" w:color="auto"/>
              <w:left w:val="single" w:sz="4" w:space="0" w:color="auto"/>
              <w:bottom w:val="single" w:sz="4" w:space="0" w:color="auto"/>
              <w:right w:val="single" w:sz="4" w:space="0" w:color="auto"/>
            </w:tcBorders>
          </w:tcPr>
          <w:p w14:paraId="20A1EC48"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Zahraniční původní expozice</w:t>
            </w:r>
          </w:p>
          <w:p w14:paraId="7EF23BBA"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Údaje potřebné k výpočtu prahové hodnoty pro vykazování v rámci šablony</w:t>
            </w:r>
            <w:r>
              <w:t xml:space="preserve"> CR GB podle</w:t>
            </w:r>
            <w:r>
              <w:rPr>
                <w:rStyle w:val="InstructionsTabelleberschrift"/>
                <w:rFonts w:ascii="Times New Roman" w:hAnsi="Times New Roman"/>
                <w:b w:val="0"/>
                <w:sz w:val="24"/>
                <w:u w:val="none"/>
              </w:rPr>
              <w:t xml:space="preserve"> čl. 5 odst. 5 tohoto prováděcího nařízení. Výpočet prahové hodnoty se provádí podle původní expozice před vynásobením konverzním faktorem. </w:t>
            </w:r>
          </w:p>
          <w:p w14:paraId="2DEA49E7"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Expozice se považují za tuzemské, jsou-li expozicemi vůči protistranám nacházejícím se v členském státě, v němž se nachází instituce.</w:t>
            </w:r>
          </w:p>
          <w:p w14:paraId="1021FC2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Odchylně od čl. 21 odst. 1 písm. a) tohoto prováděcího nařízení se tento řádek vyplní vždy.</w:t>
            </w:r>
          </w:p>
        </w:tc>
      </w:tr>
      <w:tr w:rsidR="007266CF" w:rsidRPr="002A677E" w14:paraId="68576024" w14:textId="77777777" w:rsidTr="00726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4A9EC13" w14:textId="77777777" w:rsidR="007266CF" w:rsidRPr="002A677E" w:rsidRDefault="007266CF" w:rsidP="007266CF">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5D239C6"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Původní expozice celkem</w:t>
            </w:r>
          </w:p>
          <w:p w14:paraId="6CFF131F"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Údaje potřebné k výpočtu prahové hodnoty pro vykazování v rámci šablony</w:t>
            </w:r>
            <w:r>
              <w:t xml:space="preserve"> CR GB podle</w:t>
            </w:r>
            <w:r>
              <w:rPr>
                <w:rStyle w:val="InstructionsTabelleberschrift"/>
                <w:rFonts w:ascii="Times New Roman" w:hAnsi="Times New Roman"/>
                <w:b w:val="0"/>
                <w:sz w:val="24"/>
                <w:u w:val="none"/>
              </w:rPr>
              <w:t xml:space="preserve"> čl. 5 odst. 5 tohoto prováděcího nařízení. Výpočet prahové hodnoty se provádí podle původní expozice před vynásobením konverzním faktorem.</w:t>
            </w:r>
          </w:p>
          <w:p w14:paraId="108D71AC"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Expozice se považují za tuzemské, jsou-li expozicemi vůči protistranám nacházejícím se v členském státě, v němž se nachází instituce.</w:t>
            </w:r>
          </w:p>
          <w:p w14:paraId="1D4E852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Odchylně od čl. 21 odst. 1 písm. a) tohoto prováděcího nařízení se tento řádek vyplní vždy.</w:t>
            </w:r>
          </w:p>
        </w:tc>
      </w:tr>
    </w:tbl>
    <w:p w14:paraId="7B1034A5" w14:textId="77777777" w:rsidR="007266CF" w:rsidRPr="002A677E" w:rsidRDefault="007266CF" w:rsidP="007266CF">
      <w:pPr>
        <w:pStyle w:val="InstructionsText"/>
      </w:pPr>
    </w:p>
    <w:p w14:paraId="37C0898A" w14:textId="77777777" w:rsidR="007266CF" w:rsidRPr="002A677E" w:rsidRDefault="007266CF" w:rsidP="00A75C39">
      <w:pPr>
        <w:pStyle w:val="Instructionsberschrift2"/>
        <w:numPr>
          <w:ilvl w:val="1"/>
          <w:numId w:val="51"/>
        </w:numPr>
        <w:rPr>
          <w:rFonts w:ascii="Times New Roman" w:hAnsi="Times New Roman" w:cs="Times New Roman"/>
          <w:sz w:val="24"/>
        </w:rPr>
      </w:pPr>
      <w:bookmarkStart w:id="52" w:name="_Toc116026719"/>
      <w:bookmarkStart w:id="53" w:name="_Toc119077876"/>
      <w:r>
        <w:rPr>
          <w:rFonts w:ascii="Times New Roman" w:hAnsi="Times New Roman"/>
          <w:sz w:val="24"/>
        </w:rPr>
        <w:t>PŘECHODNÁ USTANOVENÍ a NÁSTROJE, PRO NĚŽ PLATÍ ZACHOVÁNÍ PRÁVNÍCH ÚČINKŮ: NÁSTROJE NEPŘEDSTAVUJÍCÍ STÁTNÍ PODPORU (CA5)</w:t>
      </w:r>
      <w:bookmarkEnd w:id="52"/>
      <w:bookmarkEnd w:id="53"/>
    </w:p>
    <w:p w14:paraId="706946AD" w14:textId="77777777" w:rsidR="007266CF" w:rsidRPr="002A677E" w:rsidRDefault="007266CF" w:rsidP="00A75C39">
      <w:pPr>
        <w:pStyle w:val="Instructionsberschrift2"/>
        <w:numPr>
          <w:ilvl w:val="0"/>
          <w:numId w:val="52"/>
        </w:numPr>
        <w:rPr>
          <w:rFonts w:ascii="Times New Roman" w:hAnsi="Times New Roman" w:cs="Times New Roman"/>
          <w:sz w:val="24"/>
        </w:rPr>
      </w:pPr>
      <w:bookmarkStart w:id="54" w:name="_Toc116026720"/>
      <w:bookmarkStart w:id="55" w:name="_Toc119077877"/>
      <w:r>
        <w:rPr>
          <w:rFonts w:ascii="Times New Roman" w:hAnsi="Times New Roman"/>
          <w:sz w:val="24"/>
        </w:rPr>
        <w:t>Obecné poznámky</w:t>
      </w:r>
      <w:bookmarkEnd w:id="54"/>
      <w:bookmarkEnd w:id="55"/>
    </w:p>
    <w:p w14:paraId="11C948FF" w14:textId="77777777" w:rsidR="007266CF" w:rsidRPr="002A677E" w:rsidRDefault="007266CF" w:rsidP="007266CF">
      <w:pPr>
        <w:pStyle w:val="InstructionsText2"/>
        <w:numPr>
          <w:ilvl w:val="0"/>
          <w:numId w:val="0"/>
        </w:numPr>
        <w:ind w:left="1353" w:hanging="360"/>
      </w:pPr>
      <w:fldSimple w:instr=" seq paragraphs ">
        <w:r>
          <w:t>16</w:t>
        </w:r>
      </w:fldSimple>
      <w:r>
        <w:t>.</w:t>
      </w:r>
      <w:r>
        <w:tab/>
        <w:t xml:space="preserve">Šablona CA5 shrnuje výpočet položek a odpočtů kapitálu, které jsou předmětem přechodných ustanovení stanovených v článcích 465 až 491, 494a a 494b nařízení (EU) č. 575/2013. </w:t>
      </w:r>
    </w:p>
    <w:p w14:paraId="720212B6"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17</w:t>
      </w:r>
      <w:r>
        <w:fldChar w:fldCharType="end"/>
      </w:r>
      <w:r w:rsidRPr="006223CC">
        <w:rPr>
          <w:lang w:val="fr-FR"/>
        </w:rPr>
        <w:t>.</w:t>
      </w:r>
      <w:r w:rsidRPr="006223CC">
        <w:rPr>
          <w:lang w:val="fr-FR"/>
        </w:rPr>
        <w:tab/>
        <w:t>Šablona CA5 je strukturována následovně:</w:t>
      </w:r>
    </w:p>
    <w:p w14:paraId="5494B32C" w14:textId="77777777" w:rsidR="007266CF" w:rsidRPr="006223CC" w:rsidRDefault="007266CF" w:rsidP="007266CF">
      <w:pPr>
        <w:pStyle w:val="InstructionsText2"/>
        <w:numPr>
          <w:ilvl w:val="0"/>
          <w:numId w:val="0"/>
        </w:numPr>
        <w:ind w:left="1353" w:hanging="360"/>
        <w:rPr>
          <w:lang w:val="fr-FR"/>
        </w:rPr>
      </w:pPr>
      <w:r w:rsidRPr="006223CC">
        <w:rPr>
          <w:lang w:val="fr-FR"/>
        </w:rPr>
        <w:t>a)</w:t>
      </w:r>
      <w:r w:rsidRPr="006223CC">
        <w:rPr>
          <w:lang w:val="fr-FR"/>
        </w:rPr>
        <w:tab/>
        <w:t>Šablona CA5.1 shrnuje celkové úpravy, které je nutno provést v jednotlivých složkách kapitálu (vykázané v šabloně CA1 v souladu s konečnými ustanoveními) v důsledku uplatnění přechodných ustanovení. Prvky této šablony představují „úpravy“ jednotlivých složek kapitálu uvedených v šabloně CA1 a mají poukázat na dopady přechodných ustanovení na tyto složky kapitálu;</w:t>
      </w:r>
    </w:p>
    <w:p w14:paraId="67AA7DEB" w14:textId="77777777" w:rsidR="007266CF" w:rsidRPr="006223CC" w:rsidRDefault="007266CF" w:rsidP="007266CF">
      <w:pPr>
        <w:pStyle w:val="InstructionsText2"/>
        <w:numPr>
          <w:ilvl w:val="0"/>
          <w:numId w:val="0"/>
        </w:numPr>
        <w:ind w:left="1353" w:hanging="360"/>
        <w:rPr>
          <w:lang w:val="fr-FR"/>
        </w:rPr>
      </w:pPr>
      <w:r w:rsidRPr="006223CC">
        <w:rPr>
          <w:lang w:val="fr-FR"/>
        </w:rPr>
        <w:t>b)</w:t>
      </w:r>
      <w:r w:rsidRPr="006223CC">
        <w:rPr>
          <w:lang w:val="fr-FR"/>
        </w:rPr>
        <w:tab/>
        <w:t xml:space="preserve">Šablona 5.2 uvádí další podrobnosti k výpočtu nástrojů, pro něž platí zachování právních účinků a které nepředstavují státní podporu. </w:t>
      </w:r>
    </w:p>
    <w:p w14:paraId="12AD7F88"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18</w:t>
      </w:r>
      <w:r>
        <w:fldChar w:fldCharType="end"/>
      </w:r>
      <w:r w:rsidRPr="006223CC">
        <w:rPr>
          <w:lang w:val="fr-FR"/>
        </w:rPr>
        <w:t>.</w:t>
      </w:r>
      <w:r w:rsidRPr="006223CC">
        <w:rPr>
          <w:lang w:val="fr-FR"/>
        </w:rPr>
        <w:tab/>
        <w:t xml:space="preserve">V prvních čtyřech sloupcích instituce vykazují úpravy kmenového kapitálu tier 1, vedlejšího kapitálu tier 1 a kapitálu tier 2, jakož i částku, kterou lze považovat </w:t>
      </w:r>
      <w:r w:rsidRPr="006223CC">
        <w:rPr>
          <w:lang w:val="fr-FR"/>
        </w:rPr>
        <w:lastRenderedPageBreak/>
        <w:t>za rizikově vážená aktiva. Instituce jsou rovněž povinny vykazovat použitelný procentní podíl ve sloupci 0050 a způsobilou částku bez zohlednění přechodných ustanovení ve sloupci 0060.</w:t>
      </w:r>
    </w:p>
    <w:p w14:paraId="2502521C"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19</w:t>
      </w:r>
      <w:r>
        <w:fldChar w:fldCharType="end"/>
      </w:r>
      <w:r w:rsidRPr="006223CC">
        <w:rPr>
          <w:lang w:val="fr-FR"/>
        </w:rPr>
        <w:t>.</w:t>
      </w:r>
      <w:r w:rsidRPr="006223CC">
        <w:rPr>
          <w:lang w:val="fr-FR"/>
        </w:rPr>
        <w:tab/>
        <w:t>Instituce vyplňují položky v šabloně CA5 pouze po dobu platnosti přechodných ustanovení v souladu s částí desátou nařízení (EU) č. 575/2013.</w:t>
      </w:r>
    </w:p>
    <w:p w14:paraId="6514BD82"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20</w:t>
      </w:r>
      <w:r>
        <w:fldChar w:fldCharType="end"/>
      </w:r>
      <w:r w:rsidRPr="006223CC">
        <w:rPr>
          <w:lang w:val="fr-FR"/>
        </w:rPr>
        <w:t>.</w:t>
      </w:r>
      <w:r w:rsidRPr="006223CC">
        <w:rPr>
          <w:lang w:val="fr-FR"/>
        </w:rPr>
        <w:tab/>
        <w:t>Některými přechodnými ustanoveními jsou stanoveny odpočty od kapitálu tier 1. V takovém případě se zbytková částka odpočtu či odpočtů odečte od kapitálu tier 1 a jestliže je výše vedlejšího kapitálu tier 1 nedostatečná, aby tuto částku absorbovala, přebytek se odečte od kmenového kapitálu tier 1.</w:t>
      </w:r>
    </w:p>
    <w:p w14:paraId="67B70D0D" w14:textId="77777777" w:rsidR="007266CF" w:rsidRPr="002A677E" w:rsidRDefault="007266CF" w:rsidP="00A75C39">
      <w:pPr>
        <w:pStyle w:val="Instructionsberschrift2"/>
        <w:numPr>
          <w:ilvl w:val="0"/>
          <w:numId w:val="53"/>
        </w:numPr>
        <w:rPr>
          <w:rFonts w:ascii="Times New Roman" w:hAnsi="Times New Roman" w:cs="Times New Roman"/>
          <w:sz w:val="24"/>
        </w:rPr>
      </w:pPr>
      <w:bookmarkStart w:id="56" w:name="_Toc116026721"/>
      <w:bookmarkStart w:id="57" w:name="_Toc119077878"/>
      <w:r>
        <w:rPr>
          <w:rFonts w:ascii="Times New Roman" w:hAnsi="Times New Roman"/>
          <w:sz w:val="24"/>
        </w:rPr>
        <w:t>C 05.01 – PŘECHODNÁ USTANOVENÍ (CA5.1)</w:t>
      </w:r>
      <w:bookmarkEnd w:id="56"/>
      <w:bookmarkEnd w:id="57"/>
      <w:r>
        <w:rPr>
          <w:rFonts w:ascii="Times New Roman" w:hAnsi="Times New Roman"/>
          <w:sz w:val="24"/>
        </w:rPr>
        <w:t xml:space="preserve"> </w:t>
      </w:r>
    </w:p>
    <w:p w14:paraId="747C89FB" w14:textId="77777777" w:rsidR="007266CF" w:rsidRPr="002A677E" w:rsidRDefault="007266CF" w:rsidP="007266CF">
      <w:pPr>
        <w:pStyle w:val="InstructionsText2"/>
        <w:numPr>
          <w:ilvl w:val="0"/>
          <w:numId w:val="0"/>
        </w:numPr>
        <w:ind w:left="1353" w:hanging="360"/>
      </w:pPr>
      <w:fldSimple w:instr=" seq paragraphs ">
        <w:r>
          <w:t>21</w:t>
        </w:r>
      </w:fldSimple>
      <w:r>
        <w:t>.</w:t>
      </w:r>
      <w:r>
        <w:tab/>
        <w:t xml:space="preserve">V šabloně CA5.1 instituce vykazují přechodná ustanovení vztahující se na složky kapitálu, jak je stanoveno v článcích 465 až 491, 494a a 494b nařízení (EU) č. 575/2013, ve srovnání s uplatňováním konečných ustanovení stanovených v části druhé hlavě II uvedeného nařízení (EU) č. 575/2013. </w:t>
      </w:r>
    </w:p>
    <w:p w14:paraId="68C64F5A" w14:textId="77777777" w:rsidR="007266CF" w:rsidRPr="002A677E" w:rsidRDefault="007266CF" w:rsidP="007266CF">
      <w:pPr>
        <w:pStyle w:val="InstructionsText2"/>
        <w:numPr>
          <w:ilvl w:val="0"/>
          <w:numId w:val="0"/>
        </w:numPr>
        <w:ind w:left="1353" w:hanging="360"/>
      </w:pPr>
      <w:fldSimple w:instr=" seq paragraphs ">
        <w:r>
          <w:t>22</w:t>
        </w:r>
      </w:fldSimple>
      <w:r>
        <w:t>.</w:t>
      </w:r>
      <w:r>
        <w:tab/>
        <w:t>V řádcích 0060 až 0065 instituce vykazují údaje o přechodných ustanoveních k nástrojům, pro něž platí zachování právních účinků. Číselné údaje, které se vykazují v řádku 0060 šablony CA5.1, odrážejí přechodná ustanovení obsažená v nařízení (EU) č. 575/2013 (ve znění použitelném do 26. června 2019) a lze je odvodit z odpovídajících oddílů šablony CA5.2. V řádcích 0061 až 0065 je zachycen dopad přechodných ustanovení článků 494a a 494b nařízení (EU) č. 575/2013.</w:t>
      </w:r>
    </w:p>
    <w:p w14:paraId="1ADF2290" w14:textId="77777777" w:rsidR="007266CF" w:rsidRPr="002A677E" w:rsidRDefault="007266CF" w:rsidP="007266CF">
      <w:pPr>
        <w:pStyle w:val="InstructionsText2"/>
        <w:numPr>
          <w:ilvl w:val="0"/>
          <w:numId w:val="0"/>
        </w:numPr>
        <w:ind w:left="1353" w:hanging="360"/>
      </w:pPr>
      <w:fldSimple w:instr=" seq paragraphs ">
        <w:r>
          <w:t>23</w:t>
        </w:r>
      </w:fldSimple>
      <w:r>
        <w:t>.</w:t>
      </w:r>
      <w:r>
        <w:tab/>
        <w:t>V řádcích 0070 až 0092 instituce vykazují údaje o přechodných ustanoveních k menšinovým podílům a nástrojům zahrnovaným do vedlejšího kapitálu tier 1 a kapitálu tier 2 vydaným dceřinými podniky (v souladu s články 479 a 480 nařízení (EU) č. 575/2013).</w:t>
      </w:r>
    </w:p>
    <w:p w14:paraId="7D3DB33E" w14:textId="77777777" w:rsidR="007266CF" w:rsidRPr="002A677E" w:rsidRDefault="007266CF" w:rsidP="007266CF">
      <w:pPr>
        <w:pStyle w:val="InstructionsText2"/>
        <w:numPr>
          <w:ilvl w:val="0"/>
          <w:numId w:val="0"/>
        </w:numPr>
        <w:ind w:left="1353" w:hanging="360"/>
      </w:pPr>
      <w:fldSimple w:instr=" seq paragraphs ">
        <w:r>
          <w:t>24</w:t>
        </w:r>
      </w:fldSimple>
      <w:r>
        <w:t>.</w:t>
      </w:r>
      <w:r>
        <w:tab/>
        <w:t>V řádku 0100 a následujících řádcích instituce vykazují údaje o dopadu přechodných ustanovení na nerealizované zisky a ztráty, odpočty, dodatečné filtry a odpočty a IFRS 9.</w:t>
      </w:r>
    </w:p>
    <w:p w14:paraId="431255EC" w14:textId="77777777" w:rsidR="007266CF" w:rsidRPr="002A677E" w:rsidRDefault="007266CF" w:rsidP="007266CF">
      <w:pPr>
        <w:pStyle w:val="InstructionsText2"/>
        <w:numPr>
          <w:ilvl w:val="0"/>
          <w:numId w:val="0"/>
        </w:numPr>
        <w:ind w:left="1353" w:hanging="360"/>
      </w:pPr>
      <w:fldSimple w:instr=" seq paragraphs ">
        <w:r>
          <w:t>25</w:t>
        </w:r>
      </w:fldSimple>
      <w:r>
        <w:t>.</w:t>
      </w:r>
      <w:r>
        <w:tab/>
        <w:t xml:space="preserve">Mohou nastat situace, kdy přechodné odpočty od kmenového kapitálu tier 1, vedlejšího kapitálu tier 1 nebo kapitálu tier 2 přesáhnou výši kmenového kapitálu tier 1, vedlejšího kapitálu tier 1 nebo kapitálu tier 2 instituce. Tento dopad – vyplývá-li z přechodných ustanovení – se vykazuje v šabloně CA1 za využití příslušných buněk. V důsledku toho úpravy uvedené ve sloupcích šablony CA5 neobsahují žádné efekty přelévání v případě, že není k dispozici dostatečný kapitál. </w:t>
      </w:r>
    </w:p>
    <w:p w14:paraId="31771713" w14:textId="77777777" w:rsidR="007266CF" w:rsidRPr="002A677E" w:rsidRDefault="007266CF" w:rsidP="007266CF">
      <w:pPr>
        <w:pStyle w:val="Instructionsberschrift2"/>
        <w:numPr>
          <w:ilvl w:val="0"/>
          <w:numId w:val="0"/>
        </w:numPr>
        <w:ind w:left="357" w:hanging="357"/>
        <w:rPr>
          <w:rFonts w:ascii="Times New Roman" w:hAnsi="Times New Roman" w:cs="Times New Roman"/>
          <w:sz w:val="24"/>
        </w:rPr>
      </w:pPr>
      <w:bookmarkStart w:id="58" w:name="_Toc116026722"/>
      <w:bookmarkStart w:id="59" w:name="_Toc119077879"/>
      <w:r>
        <w:rPr>
          <w:rFonts w:ascii="Times New Roman" w:hAnsi="Times New Roman"/>
          <w:sz w:val="24"/>
        </w:rPr>
        <w:t>1.6.2.1</w:t>
      </w:r>
      <w:r>
        <w:tab/>
      </w:r>
      <w:r>
        <w:rPr>
          <w:rFonts w:ascii="Times New Roman" w:hAnsi="Times New Roman"/>
          <w:sz w:val="24"/>
        </w:rPr>
        <w:t>Pokyny pro konkrétní pozice</w:t>
      </w:r>
      <w:bookmarkEnd w:id="58"/>
      <w:bookmarkEnd w:id="59"/>
    </w:p>
    <w:p w14:paraId="40BD13A9" w14:textId="77777777" w:rsidR="007266CF" w:rsidRPr="002A677E" w:rsidRDefault="007266CF" w:rsidP="007266CF">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7266CF" w:rsidRPr="002A677E" w14:paraId="3BE64A6B" w14:textId="77777777" w:rsidTr="007266CF">
        <w:tc>
          <w:tcPr>
            <w:tcW w:w="8372" w:type="dxa"/>
            <w:gridSpan w:val="2"/>
            <w:shd w:val="clear" w:color="auto" w:fill="D9D9D9"/>
          </w:tcPr>
          <w:p w14:paraId="30A8197B" w14:textId="77777777" w:rsidR="007266CF" w:rsidRPr="002A677E" w:rsidRDefault="007266CF" w:rsidP="007266CF">
            <w:pPr>
              <w:pStyle w:val="InstructionsText"/>
            </w:pPr>
            <w:r>
              <w:t>Sloupce</w:t>
            </w:r>
          </w:p>
        </w:tc>
      </w:tr>
      <w:tr w:rsidR="007266CF" w:rsidRPr="002A677E" w14:paraId="0F2BDB84" w14:textId="77777777" w:rsidTr="007266CF">
        <w:tc>
          <w:tcPr>
            <w:tcW w:w="894" w:type="dxa"/>
          </w:tcPr>
          <w:p w14:paraId="0CC1B055"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7D966EF6"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kmenového kapitálu tier 1</w:t>
            </w:r>
          </w:p>
        </w:tc>
      </w:tr>
      <w:tr w:rsidR="007266CF" w:rsidRPr="002A677E" w14:paraId="64880CD5" w14:textId="77777777" w:rsidTr="007266CF">
        <w:tc>
          <w:tcPr>
            <w:tcW w:w="894" w:type="dxa"/>
          </w:tcPr>
          <w:p w14:paraId="20910C14"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77892CC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vedlejšího kapitálu tier 1</w:t>
            </w:r>
          </w:p>
        </w:tc>
      </w:tr>
      <w:tr w:rsidR="007266CF" w:rsidRPr="002A677E" w14:paraId="331F8EAD" w14:textId="77777777" w:rsidTr="007266CF">
        <w:tc>
          <w:tcPr>
            <w:tcW w:w="894" w:type="dxa"/>
          </w:tcPr>
          <w:p w14:paraId="52614449"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7885767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kapitálu tier 2</w:t>
            </w:r>
          </w:p>
        </w:tc>
      </w:tr>
      <w:tr w:rsidR="007266CF" w:rsidRPr="002A677E" w14:paraId="68712661" w14:textId="77777777" w:rsidTr="007266CF">
        <w:tc>
          <w:tcPr>
            <w:tcW w:w="894" w:type="dxa"/>
          </w:tcPr>
          <w:p w14:paraId="5CB140A9"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170A8DF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rizikově vážených aktiv</w:t>
            </w:r>
          </w:p>
          <w:p w14:paraId="0AF58FF5"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Ve sloupci 0040 se uvádí příslušné částky, jimiž se upraví celkový objem rizikové expozice uvedené v čl. 92 odst. 3</w:t>
            </w:r>
            <w:r>
              <w:t xml:space="preserve"> nařízení (EU) č. 575/2013</w:t>
            </w:r>
            <w:r>
              <w:rPr>
                <w:rStyle w:val="InstructionsTabelleText"/>
                <w:rFonts w:ascii="Times New Roman" w:hAnsi="Times New Roman"/>
                <w:sz w:val="24"/>
              </w:rPr>
              <w:t xml:space="preserve"> v důsledku přechodných ustanovení. Vykazované částky zohlední uplatnění ustanovení kapitoly 2 nebo 3 hlavy II části třetí nebo hlavy IV části třetí v souladu s čl. 92 odst. 4 </w:t>
            </w:r>
            <w:r>
              <w:t>nařízení (EU) č. 575/2013</w:t>
            </w:r>
            <w:r>
              <w:rPr>
                <w:rStyle w:val="InstructionsTabelleText"/>
                <w:rFonts w:ascii="Times New Roman" w:hAnsi="Times New Roman"/>
                <w:sz w:val="24"/>
              </w:rPr>
              <w:t>. To znamená, že přechodné částky spadající pod kapitolu 2 nebo 3 hlavy II části třetí se vykazují jako objemy rizikově vážených expozic, avšak přechodné částky spadající pod hlavu IV části třetí představují kapitálové požadavky vynásobené faktorem 12,5.</w:t>
            </w:r>
          </w:p>
          <w:p w14:paraId="09A05F35" w14:textId="77777777" w:rsidR="007266CF" w:rsidRPr="002A677E" w:rsidRDefault="007266CF" w:rsidP="007266C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Zatímco sloupce 0010 až 0030 jsou přímo vázány na šablonu CA1, úpravy celkového objemu rizikové expozice nemají přímou vazbu na příslušné šablony týkající se úvěrového rizika. Pokud se na celkový objem rizikové expozice vztahují v důsledku přechodných ustanovení úpravy, tyto úpravy se přímo zohledňují v šablonách CR SA, CR IRB, CR EQU IRB, MKR SA TDI, MKR SA EQU nebo MKR IM. Tyto dopady se dodatečně vykazují ve sloupci 0040 šablony CA5.1. Uvedené částky jsou pak pouze doplňkovými položkami. </w:t>
            </w:r>
          </w:p>
        </w:tc>
      </w:tr>
      <w:tr w:rsidR="007266CF" w:rsidRPr="002A677E" w14:paraId="0F30769B" w14:textId="77777777" w:rsidTr="007266CF">
        <w:tc>
          <w:tcPr>
            <w:tcW w:w="894" w:type="dxa"/>
          </w:tcPr>
          <w:p w14:paraId="57DA44EF"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B935BA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Použitelný procentní podíl</w:t>
            </w:r>
          </w:p>
        </w:tc>
      </w:tr>
      <w:tr w:rsidR="007266CF" w:rsidRPr="002A677E" w14:paraId="66799C89" w14:textId="77777777" w:rsidTr="007266CF">
        <w:tc>
          <w:tcPr>
            <w:tcW w:w="894" w:type="dxa"/>
          </w:tcPr>
          <w:p w14:paraId="5142D6DF"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0C3A1C8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Způsobilá částka bez přechodných ustanovení</w:t>
            </w:r>
          </w:p>
          <w:p w14:paraId="2C662A83"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V tomto sloupci se uvádí částka za každý nástroj, a to před uplatněním přechodných ustanovení, jedná se tedy o základní částku, z níž se vypočítávají úpravy.</w:t>
            </w:r>
          </w:p>
        </w:tc>
      </w:tr>
    </w:tbl>
    <w:p w14:paraId="62770F68" w14:textId="77777777" w:rsidR="007266CF" w:rsidRPr="002A677E" w:rsidRDefault="007266CF" w:rsidP="007266CF">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7266CF" w:rsidRPr="002A677E" w14:paraId="145855BD" w14:textId="77777777" w:rsidTr="007266CF">
        <w:tc>
          <w:tcPr>
            <w:tcW w:w="8490" w:type="dxa"/>
            <w:gridSpan w:val="2"/>
            <w:shd w:val="clear" w:color="auto" w:fill="D9D9D9"/>
          </w:tcPr>
          <w:p w14:paraId="0C96E83E" w14:textId="77777777" w:rsidR="007266CF" w:rsidRPr="002A677E" w:rsidRDefault="007266CF" w:rsidP="007266CF">
            <w:pPr>
              <w:pStyle w:val="InstructionsText"/>
            </w:pPr>
            <w:r>
              <w:t>Řádky</w:t>
            </w:r>
          </w:p>
        </w:tc>
      </w:tr>
      <w:tr w:rsidR="007266CF" w:rsidRPr="002A677E" w14:paraId="7080202F" w14:textId="77777777" w:rsidTr="007266CF">
        <w:tc>
          <w:tcPr>
            <w:tcW w:w="1012" w:type="dxa"/>
          </w:tcPr>
          <w:p w14:paraId="1BDDE484"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945FEA" w14:textId="77777777" w:rsidR="007266CF" w:rsidRPr="002A677E" w:rsidRDefault="007266CF" w:rsidP="007266C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Celkové úpravy</w:t>
            </w:r>
          </w:p>
          <w:p w14:paraId="1930642F" w14:textId="77777777" w:rsidR="007266CF" w:rsidRPr="001235ED" w:rsidRDefault="007266CF" w:rsidP="007266CF">
            <w:pPr>
              <w:spacing w:before="0"/>
              <w:rPr>
                <w:rStyle w:val="FormatvorlageInstructionsTabelleText"/>
                <w:rFonts w:ascii="Times New Roman" w:hAnsi="Times New Roman"/>
                <w:bCs w:val="0"/>
                <w:sz w:val="24"/>
              </w:rPr>
            </w:pPr>
            <w:r>
              <w:rPr>
                <w:rStyle w:val="InstructionsTabelleText"/>
                <w:rFonts w:ascii="Times New Roman" w:hAnsi="Times New Roman"/>
                <w:sz w:val="24"/>
              </w:rPr>
              <w:t>V tomto řádku je zobrazen celkový dopad přechodných úprav učiněných v různých druzích kapitálu doplněný o rizikově vážené částky vyplývající z těchto úprav.</w:t>
            </w:r>
          </w:p>
        </w:tc>
      </w:tr>
      <w:tr w:rsidR="007266CF" w:rsidRPr="002A677E" w14:paraId="615CA867" w14:textId="77777777" w:rsidTr="007266CF">
        <w:tc>
          <w:tcPr>
            <w:tcW w:w="1012" w:type="dxa"/>
          </w:tcPr>
          <w:p w14:paraId="7E5FA55B"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36577EAF" w14:textId="77777777" w:rsidR="007266CF" w:rsidRPr="002A677E" w:rsidRDefault="007266CF" w:rsidP="007266C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Nástroje, pro něž platí zachování právních účinků</w:t>
            </w:r>
          </w:p>
          <w:p w14:paraId="55A3C555" w14:textId="77777777" w:rsidR="007266CF" w:rsidRPr="001235ED" w:rsidRDefault="007266CF" w:rsidP="007266CF">
            <w:pPr>
              <w:spacing w:before="0"/>
              <w:rPr>
                <w:rStyle w:val="InstructionsTabelleText"/>
                <w:rFonts w:ascii="Times New Roman" w:hAnsi="Times New Roman"/>
                <w:sz w:val="24"/>
              </w:rPr>
            </w:pPr>
            <w:r>
              <w:rPr>
                <w:rStyle w:val="InstructionsTabelleText"/>
                <w:rFonts w:ascii="Times New Roman" w:hAnsi="Times New Roman"/>
                <w:sz w:val="24"/>
              </w:rPr>
              <w:t xml:space="preserve">Články 483 až 491 </w:t>
            </w:r>
            <w:r>
              <w:rPr>
                <w:rFonts w:ascii="Times New Roman" w:hAnsi="Times New Roman"/>
                <w:sz w:val="24"/>
              </w:rPr>
              <w:t>nařízení (EU) č. 575/2013</w:t>
            </w:r>
          </w:p>
          <w:p w14:paraId="06D62BD8" w14:textId="77777777" w:rsidR="007266CF" w:rsidRPr="002A677E" w:rsidRDefault="007266CF" w:rsidP="007266CF">
            <w:pPr>
              <w:spacing w:before="0"/>
              <w:rPr>
                <w:rStyle w:val="FormatvorlageInstructionsTabelleText"/>
                <w:rFonts w:ascii="Times New Roman" w:hAnsi="Times New Roman"/>
                <w:sz w:val="24"/>
              </w:rPr>
            </w:pPr>
            <w:r>
              <w:rPr>
                <w:rStyle w:val="InstructionsTabelleText"/>
                <w:rFonts w:ascii="Times New Roman" w:hAnsi="Times New Roman"/>
                <w:sz w:val="24"/>
              </w:rPr>
              <w:t>V tomto řádku je zobrazen celkový dopad nástrojů, jejichž právní účinky jsou přechodně zachovány, a to u různých druhů kapitálu.</w:t>
            </w:r>
          </w:p>
        </w:tc>
      </w:tr>
      <w:tr w:rsidR="007266CF" w:rsidRPr="002A677E" w14:paraId="3BD23A34" w14:textId="77777777" w:rsidTr="007266CF">
        <w:tc>
          <w:tcPr>
            <w:tcW w:w="1012" w:type="dxa"/>
          </w:tcPr>
          <w:p w14:paraId="3AB55454"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970FD58" w14:textId="77777777" w:rsidR="007266CF" w:rsidRPr="001235ED" w:rsidRDefault="007266CF" w:rsidP="007266CF">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Nástroje, které nepředstavují státní podporu</w:t>
            </w:r>
          </w:p>
          <w:p w14:paraId="5EB40936" w14:textId="77777777" w:rsidR="007266CF" w:rsidRPr="002A677E" w:rsidRDefault="007266CF" w:rsidP="007266CF">
            <w:pPr>
              <w:spacing w:before="0"/>
              <w:rPr>
                <w:rFonts w:ascii="Times New Roman" w:hAnsi="Times New Roman"/>
                <w:b/>
                <w:bCs/>
                <w:sz w:val="24"/>
              </w:rPr>
            </w:pPr>
            <w:r>
              <w:rPr>
                <w:rStyle w:val="InstructionsTabelleText"/>
                <w:rFonts w:ascii="Times New Roman" w:hAnsi="Times New Roman"/>
                <w:sz w:val="24"/>
              </w:rPr>
              <w:t>Částky, které mají být vykázány, se získávají ze sloupce 060 šablony CA5.2.</w:t>
            </w:r>
          </w:p>
        </w:tc>
      </w:tr>
      <w:tr w:rsidR="007266CF" w:rsidRPr="006223CC" w14:paraId="5765E7D1" w14:textId="77777777" w:rsidTr="007266CF">
        <w:tc>
          <w:tcPr>
            <w:tcW w:w="1012" w:type="dxa"/>
          </w:tcPr>
          <w:p w14:paraId="0B0FB1B7"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4215E44" w14:textId="77777777" w:rsidR="007266CF" w:rsidRPr="001235ED"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Nástroje vydané prostřednictvím jednotek pro speciální účel</w:t>
            </w:r>
          </w:p>
          <w:p w14:paraId="3F2A5E06" w14:textId="77777777" w:rsidR="007266CF" w:rsidRPr="006223CC" w:rsidRDefault="007266CF" w:rsidP="007266CF">
            <w:pPr>
              <w:spacing w:before="0"/>
              <w:rPr>
                <w:rStyle w:val="InstructionsTabelleberschrift"/>
                <w:rFonts w:ascii="Times New Roman" w:hAnsi="Times New Roman"/>
                <w:sz w:val="24"/>
                <w:lang w:val="fr-FR"/>
              </w:rPr>
            </w:pPr>
            <w:r w:rsidRPr="006223CC">
              <w:rPr>
                <w:rStyle w:val="InstructionsTabelleberschrift"/>
                <w:rFonts w:ascii="Times New Roman" w:hAnsi="Times New Roman"/>
                <w:b w:val="0"/>
                <w:sz w:val="24"/>
                <w:u w:val="none"/>
                <w:lang w:val="fr-FR"/>
              </w:rPr>
              <w:t xml:space="preserve">Článek 494a </w:t>
            </w:r>
            <w:r w:rsidRPr="006223CC">
              <w:rPr>
                <w:rFonts w:ascii="Times New Roman" w:hAnsi="Times New Roman"/>
                <w:sz w:val="24"/>
                <w:lang w:val="fr-FR"/>
              </w:rPr>
              <w:t>nařízení (EU) č. 575/2013</w:t>
            </w:r>
          </w:p>
        </w:tc>
      </w:tr>
      <w:tr w:rsidR="007266CF" w:rsidRPr="002A677E" w14:paraId="0981E2A6" w14:textId="77777777" w:rsidTr="007266CF">
        <w:tc>
          <w:tcPr>
            <w:tcW w:w="1012" w:type="dxa"/>
          </w:tcPr>
          <w:p w14:paraId="7B7B1C62"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3CFCC52D" w14:textId="77777777" w:rsidR="007266CF" w:rsidRPr="001235ED"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Nástroje vydané před 27. červnem 2019, které nesplňují kritéria způsobilosti týkající se pravomoci k odpisu a konverzi podle článku 59 </w:t>
            </w:r>
            <w:r>
              <w:rPr>
                <w:rFonts w:ascii="Times New Roman" w:hAnsi="Times New Roman"/>
                <w:sz w:val="24"/>
              </w:rPr>
              <w:lastRenderedPageBreak/>
              <w:t>směrnice 2014/59/EU</w:t>
            </w:r>
            <w:r>
              <w:rPr>
                <w:rStyle w:val="InstructionsTabelleberschrift"/>
                <w:rFonts w:ascii="Times New Roman" w:hAnsi="Times New Roman"/>
                <w:sz w:val="24"/>
              </w:rPr>
              <w:t xml:space="preserve"> nebo jsou předmětem dohod o vzájemném započtení nebo nettingu</w:t>
            </w:r>
          </w:p>
          <w:p w14:paraId="482526A4" w14:textId="77777777" w:rsidR="007266CF" w:rsidRPr="002A677E" w:rsidRDefault="007266CF" w:rsidP="007266CF">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494b </w:t>
            </w:r>
            <w:r>
              <w:rPr>
                <w:rFonts w:ascii="Times New Roman" w:hAnsi="Times New Roman"/>
                <w:sz w:val="24"/>
              </w:rPr>
              <w:t>nařízení (EU) č. 575/2013</w:t>
            </w:r>
          </w:p>
          <w:p w14:paraId="54482C81" w14:textId="77777777" w:rsidR="007266CF" w:rsidRPr="002A677E" w:rsidRDefault="007266CF" w:rsidP="007266CF">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objem nástrojů spadajících do oblasti působnosti článku 494b </w:t>
            </w:r>
            <w:r>
              <w:rPr>
                <w:rFonts w:ascii="Times New Roman" w:hAnsi="Times New Roman"/>
                <w:sz w:val="24"/>
              </w:rPr>
              <w:t>nařízení (EU) č. 575/2013</w:t>
            </w:r>
            <w:r>
              <w:rPr>
                <w:rStyle w:val="InstructionsTabelleberschrift"/>
                <w:rFonts w:ascii="Times New Roman" w:hAnsi="Times New Roman"/>
                <w:b w:val="0"/>
                <w:sz w:val="24"/>
                <w:u w:val="none"/>
              </w:rPr>
              <w:t xml:space="preserve">, které nesplňují jedno nebo více kritérií způsobilosti uvedených v čl. 52 odst. 1 písm. p), q) a r) </w:t>
            </w:r>
            <w:r>
              <w:rPr>
                <w:rFonts w:ascii="Times New Roman" w:hAnsi="Times New Roman"/>
                <w:sz w:val="24"/>
              </w:rPr>
              <w:t xml:space="preserve">uvedeného nařízení </w:t>
            </w:r>
            <w:r>
              <w:rPr>
                <w:rStyle w:val="InstructionsTabelleberschrift"/>
                <w:rFonts w:ascii="Times New Roman" w:hAnsi="Times New Roman"/>
                <w:b w:val="0"/>
                <w:sz w:val="24"/>
                <w:u w:val="none"/>
              </w:rPr>
              <w:t xml:space="preserve">nebo v čl. 63 písm. n), o) a p) </w:t>
            </w:r>
            <w:r>
              <w:rPr>
                <w:rFonts w:ascii="Times New Roman" w:hAnsi="Times New Roman"/>
                <w:sz w:val="24"/>
              </w:rPr>
              <w:t>uvedeného nařízení</w:t>
            </w:r>
            <w:r>
              <w:rPr>
                <w:rStyle w:val="InstructionsTabelleberschrift"/>
                <w:rFonts w:ascii="Times New Roman" w:hAnsi="Times New Roman"/>
                <w:b w:val="0"/>
                <w:sz w:val="24"/>
                <w:u w:val="none"/>
              </w:rPr>
              <w:t>.</w:t>
            </w:r>
          </w:p>
          <w:p w14:paraId="6FE04347" w14:textId="77777777" w:rsidR="007266CF" w:rsidRPr="002A677E"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případě nástrojů kapitálu tier 2 způsobilých v souladu s čl. 494b odst. 2</w:t>
            </w:r>
            <w:r>
              <w:rPr>
                <w:rFonts w:ascii="Times New Roman" w:hAnsi="Times New Roman"/>
                <w:sz w:val="24"/>
              </w:rPr>
              <w:t xml:space="preserve"> nařízení (EU) č. 575/2013 </w:t>
            </w:r>
            <w:r>
              <w:rPr>
                <w:rStyle w:val="InstructionsTabelleberschrift"/>
                <w:rFonts w:ascii="Times New Roman" w:hAnsi="Times New Roman"/>
                <w:b w:val="0"/>
                <w:sz w:val="24"/>
                <w:u w:val="none"/>
              </w:rPr>
              <w:t xml:space="preserve">musí být dodržena ustanovení o umořování stanovená v článku 64 </w:t>
            </w:r>
            <w:r>
              <w:rPr>
                <w:rFonts w:ascii="Times New Roman" w:hAnsi="Times New Roman"/>
                <w:sz w:val="24"/>
              </w:rPr>
              <w:t>uvedeného nařízení</w:t>
            </w:r>
            <w:r>
              <w:rPr>
                <w:rStyle w:val="InstructionsTabelleberschrift"/>
                <w:rFonts w:ascii="Times New Roman" w:hAnsi="Times New Roman"/>
                <w:b w:val="0"/>
                <w:sz w:val="24"/>
                <w:u w:val="none"/>
              </w:rPr>
              <w:t>.</w:t>
            </w:r>
          </w:p>
        </w:tc>
      </w:tr>
      <w:tr w:rsidR="007266CF" w:rsidRPr="002A677E" w14:paraId="22D5C710" w14:textId="77777777" w:rsidTr="007266CF">
        <w:tc>
          <w:tcPr>
            <w:tcW w:w="1012" w:type="dxa"/>
          </w:tcPr>
          <w:p w14:paraId="56E0A47D"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313335E" w14:textId="77777777" w:rsidR="007266CF" w:rsidRPr="001235ED"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Z toho: Nástroje, u nichž při výkonu pravomocí podle článku 59 směrnice 2014/59/EU není právně nebo smluvně povinný odpis nebo konverze</w:t>
            </w:r>
          </w:p>
          <w:p w14:paraId="12A65C77" w14:textId="77777777" w:rsidR="007266CF" w:rsidRPr="002A677E" w:rsidRDefault="007266CF" w:rsidP="007266CF">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článku 494b, čl. 52 odst. 1 písm. p) a čl. 63 písm. n) </w:t>
            </w:r>
            <w:r>
              <w:rPr>
                <w:rFonts w:ascii="Times New Roman" w:hAnsi="Times New Roman"/>
                <w:sz w:val="24"/>
              </w:rPr>
              <w:t>nařízení (EU) č. 575/2013</w:t>
            </w:r>
          </w:p>
          <w:p w14:paraId="1336075E" w14:textId="77777777" w:rsidR="007266CF" w:rsidRPr="002A677E" w:rsidRDefault="007266CF" w:rsidP="007266CF">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objem nástrojů spadajících do oblasti působnosti článku 494b </w:t>
            </w:r>
            <w:r>
              <w:rPr>
                <w:rFonts w:ascii="Times New Roman" w:hAnsi="Times New Roman"/>
                <w:sz w:val="24"/>
              </w:rPr>
              <w:t>nařízení (EU) č. 575/2013,</w:t>
            </w:r>
            <w:r>
              <w:rPr>
                <w:rStyle w:val="InstructionsTabelleberschrift"/>
                <w:rFonts w:ascii="Times New Roman" w:hAnsi="Times New Roman"/>
                <w:b w:val="0"/>
                <w:sz w:val="24"/>
                <w:u w:val="none"/>
              </w:rPr>
              <w:t xml:space="preserve"> které nesplňují kritéria způsobilosti uvedená v čl. 52 odst. 1 písm. p) nebo v čl. 63 písm. n) uvedeného nařízení.</w:t>
            </w:r>
          </w:p>
          <w:p w14:paraId="1AC56C3B" w14:textId="77777777" w:rsidR="007266CF" w:rsidRPr="002A677E"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se týká také nástrojů, které navíc nesplňují kritéria způsobilosti uvedená v čl. 52 odst. 1 písm. q) nebo r)</w:t>
            </w:r>
            <w:r>
              <w:rPr>
                <w:rFonts w:ascii="Times New Roman" w:hAnsi="Times New Roman"/>
                <w:sz w:val="24"/>
              </w:rPr>
              <w:t xml:space="preserve"> nařízení (EU) č. 575/2013 </w:t>
            </w:r>
            <w:r>
              <w:rPr>
                <w:rStyle w:val="InstructionsTabelleberschrift"/>
                <w:rFonts w:ascii="Times New Roman" w:hAnsi="Times New Roman"/>
                <w:b w:val="0"/>
                <w:sz w:val="24"/>
                <w:u w:val="none"/>
              </w:rPr>
              <w:t>nebo v čl. 63 písm. o) nebo p)</w:t>
            </w:r>
            <w:r>
              <w:rPr>
                <w:rFonts w:ascii="Times New Roman" w:hAnsi="Times New Roman"/>
                <w:sz w:val="24"/>
              </w:rPr>
              <w:t xml:space="preserve"> uvedeného nařízení</w:t>
            </w:r>
            <w:r>
              <w:rPr>
                <w:rStyle w:val="InstructionsTabelleberschrift"/>
                <w:rFonts w:ascii="Times New Roman" w:hAnsi="Times New Roman"/>
                <w:b w:val="0"/>
                <w:sz w:val="24"/>
                <w:u w:val="none"/>
              </w:rPr>
              <w:t>.</w:t>
            </w:r>
          </w:p>
        </w:tc>
      </w:tr>
      <w:tr w:rsidR="007266CF" w:rsidRPr="002A677E" w14:paraId="40D95541" w14:textId="77777777" w:rsidTr="007266CF">
        <w:tc>
          <w:tcPr>
            <w:tcW w:w="1012" w:type="dxa"/>
          </w:tcPr>
          <w:p w14:paraId="7E426A0E"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4EB9298" w14:textId="77777777" w:rsidR="007266CF" w:rsidRPr="001235ED"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Z toho: Nástroje, které se řídí právem třetí země a nepodléhají účinnému a vymahatelnému výkonu pravomocí podle článku 59 směrnice 2014/59/EU</w:t>
            </w:r>
          </w:p>
          <w:p w14:paraId="6C63C6A1" w14:textId="77777777" w:rsidR="007266CF" w:rsidRPr="002A677E" w:rsidRDefault="007266CF" w:rsidP="007266CF">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494b, čl. 52 odst. 1 písm. q) a čl. 63 písm. o) </w:t>
            </w:r>
            <w:r>
              <w:rPr>
                <w:rFonts w:ascii="Times New Roman" w:hAnsi="Times New Roman"/>
                <w:sz w:val="24"/>
              </w:rPr>
              <w:t>nařízení (EU) č. 575/2013</w:t>
            </w:r>
          </w:p>
          <w:p w14:paraId="4AC80087" w14:textId="77777777" w:rsidR="007266CF" w:rsidRPr="002A677E" w:rsidRDefault="007266CF" w:rsidP="007266CF">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objem nástrojů spadajících do oblasti působnosti článku 494b </w:t>
            </w:r>
            <w:r>
              <w:rPr>
                <w:rFonts w:ascii="Times New Roman" w:hAnsi="Times New Roman"/>
                <w:sz w:val="24"/>
              </w:rPr>
              <w:t>nařízení (EU) č. 575/2013</w:t>
            </w:r>
            <w:r>
              <w:rPr>
                <w:rStyle w:val="InstructionsTabelleberschrift"/>
                <w:rFonts w:ascii="Times New Roman" w:hAnsi="Times New Roman"/>
                <w:b w:val="0"/>
                <w:sz w:val="24"/>
                <w:u w:val="none"/>
              </w:rPr>
              <w:t>, které nesplňují kritéria způsobilosti uvedená v čl. 52 odst. 1 písm. q) nebo v čl. 63 písm. o)</w:t>
            </w:r>
            <w:r>
              <w:rPr>
                <w:rFonts w:ascii="Times New Roman" w:hAnsi="Times New Roman"/>
                <w:sz w:val="24"/>
              </w:rPr>
              <w:t xml:space="preserve"> uvedeného nařízení</w:t>
            </w:r>
            <w:r>
              <w:rPr>
                <w:rStyle w:val="InstructionsTabelleberschrift"/>
                <w:rFonts w:ascii="Times New Roman" w:hAnsi="Times New Roman"/>
                <w:b w:val="0"/>
                <w:sz w:val="24"/>
                <w:u w:val="none"/>
              </w:rPr>
              <w:t>.</w:t>
            </w:r>
          </w:p>
          <w:p w14:paraId="75C92690" w14:textId="77777777" w:rsidR="007266CF" w:rsidRPr="002A677E"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 se týká také nástrojů, které navíc nesplňují kritéria způsobilosti uvedená v čl. 52 odst. 1 písm. p) nebo r) </w:t>
            </w:r>
            <w:r>
              <w:rPr>
                <w:rFonts w:ascii="Times New Roman" w:hAnsi="Times New Roman"/>
                <w:sz w:val="24"/>
              </w:rPr>
              <w:t>nařízení (EU) č. 575/2013</w:t>
            </w:r>
            <w:r>
              <w:rPr>
                <w:rStyle w:val="InstructionsTabelleberschrift"/>
                <w:rFonts w:ascii="Times New Roman" w:hAnsi="Times New Roman"/>
                <w:b w:val="0"/>
                <w:sz w:val="24"/>
                <w:u w:val="none"/>
              </w:rPr>
              <w:t xml:space="preserve"> nebo v čl. 63 písm. n) nebo p)</w:t>
            </w:r>
            <w:r>
              <w:rPr>
                <w:rFonts w:ascii="Times New Roman" w:hAnsi="Times New Roman"/>
                <w:sz w:val="24"/>
              </w:rPr>
              <w:t xml:space="preserve"> uvedeného nařízení</w:t>
            </w:r>
            <w:r>
              <w:rPr>
                <w:rStyle w:val="InstructionsTabelleberschrift"/>
                <w:rFonts w:ascii="Times New Roman" w:hAnsi="Times New Roman"/>
                <w:b w:val="0"/>
                <w:sz w:val="24"/>
                <w:u w:val="none"/>
              </w:rPr>
              <w:t>.</w:t>
            </w:r>
          </w:p>
        </w:tc>
      </w:tr>
      <w:tr w:rsidR="007266CF" w:rsidRPr="002A677E" w14:paraId="7DB93216" w14:textId="77777777" w:rsidTr="007266CF">
        <w:tc>
          <w:tcPr>
            <w:tcW w:w="1012" w:type="dxa"/>
          </w:tcPr>
          <w:p w14:paraId="6CA86AAA"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1410E39D" w14:textId="77777777" w:rsidR="007266CF" w:rsidRPr="001235ED"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Z toho: Nástroje, které jsou předmětem dohod o vzájemném započtení nebo nettingu</w:t>
            </w:r>
          </w:p>
          <w:p w14:paraId="66F8A838" w14:textId="77777777" w:rsidR="007266CF" w:rsidRPr="002A677E" w:rsidRDefault="007266CF" w:rsidP="007266CF">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článku 494b, čl. 52 odst. 1 písm. r) a čl. 63 písm. p)</w:t>
            </w:r>
            <w:r>
              <w:rPr>
                <w:rFonts w:ascii="Times New Roman" w:hAnsi="Times New Roman"/>
                <w:sz w:val="24"/>
              </w:rPr>
              <w:t xml:space="preserve"> nařízení (EU) č. 575/2013</w:t>
            </w:r>
          </w:p>
          <w:p w14:paraId="6C5A504C" w14:textId="77777777" w:rsidR="007266CF" w:rsidRPr="002A677E" w:rsidRDefault="007266CF" w:rsidP="007266CF">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objem nástrojů spadajících do oblasti působnosti článku 494b </w:t>
            </w:r>
            <w:r>
              <w:rPr>
                <w:rFonts w:ascii="Times New Roman" w:hAnsi="Times New Roman"/>
                <w:sz w:val="24"/>
              </w:rPr>
              <w:t xml:space="preserve">nařízení (EU) č. 575/2013, </w:t>
            </w:r>
            <w:r>
              <w:rPr>
                <w:rStyle w:val="InstructionsTabelleberschrift"/>
                <w:rFonts w:ascii="Times New Roman" w:hAnsi="Times New Roman"/>
                <w:b w:val="0"/>
                <w:sz w:val="24"/>
                <w:u w:val="none"/>
              </w:rPr>
              <w:t xml:space="preserve">které nesplňují kritéria způsobilosti uvedená v čl. 52 odst. 1 písm. r) </w:t>
            </w:r>
            <w:r>
              <w:rPr>
                <w:rFonts w:ascii="Times New Roman" w:hAnsi="Times New Roman"/>
                <w:sz w:val="24"/>
              </w:rPr>
              <w:t xml:space="preserve">uvedeného nařízení </w:t>
            </w:r>
            <w:r>
              <w:rPr>
                <w:rStyle w:val="InstructionsTabelleberschrift"/>
                <w:rFonts w:ascii="Times New Roman" w:hAnsi="Times New Roman"/>
                <w:b w:val="0"/>
                <w:sz w:val="24"/>
                <w:u w:val="none"/>
              </w:rPr>
              <w:t>nebo v čl. 63 písm. p) nařízení.</w:t>
            </w:r>
          </w:p>
          <w:p w14:paraId="5FC75949" w14:textId="77777777" w:rsidR="007266CF" w:rsidRPr="002A677E" w:rsidRDefault="007266CF" w:rsidP="007266C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se týká také nástrojů, které navíc nesplňují kritéria způsobilosti uvedená v čl. 52 odst. 1 písm. p) nebo q)</w:t>
            </w:r>
            <w:r>
              <w:rPr>
                <w:rFonts w:ascii="Times New Roman" w:hAnsi="Times New Roman"/>
                <w:sz w:val="24"/>
              </w:rPr>
              <w:t xml:space="preserve"> nařízení (EU) č. 575/2013 </w:t>
            </w:r>
            <w:r>
              <w:rPr>
                <w:rStyle w:val="InstructionsTabelleberschrift"/>
                <w:rFonts w:ascii="Times New Roman" w:hAnsi="Times New Roman"/>
                <w:b w:val="0"/>
                <w:sz w:val="24"/>
                <w:u w:val="none"/>
              </w:rPr>
              <w:t>nebo v čl. 63 písm. n) nebo o)</w:t>
            </w:r>
            <w:r>
              <w:rPr>
                <w:rFonts w:ascii="Times New Roman" w:hAnsi="Times New Roman"/>
                <w:sz w:val="24"/>
              </w:rPr>
              <w:t xml:space="preserve"> uvedeného nařízení</w:t>
            </w:r>
            <w:r>
              <w:rPr>
                <w:rStyle w:val="InstructionsTabelleberschrift"/>
                <w:rFonts w:ascii="Times New Roman" w:hAnsi="Times New Roman"/>
                <w:b w:val="0"/>
                <w:sz w:val="24"/>
                <w:u w:val="none"/>
              </w:rPr>
              <w:t>.</w:t>
            </w:r>
          </w:p>
        </w:tc>
      </w:tr>
      <w:tr w:rsidR="007266CF" w:rsidRPr="002A677E" w14:paraId="152AE3CA" w14:textId="77777777" w:rsidTr="007266CF">
        <w:tc>
          <w:tcPr>
            <w:tcW w:w="1012" w:type="dxa"/>
          </w:tcPr>
          <w:p w14:paraId="44C37DC3"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1ABC80C7" w14:textId="77777777" w:rsidR="007266CF" w:rsidRPr="002A677E" w:rsidRDefault="007266CF" w:rsidP="007266C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Menšinové podíly a ekvivalenty</w:t>
            </w:r>
          </w:p>
          <w:p w14:paraId="4CA50B17" w14:textId="77777777" w:rsidR="007266CF" w:rsidRPr="001235ED" w:rsidRDefault="007266CF" w:rsidP="007266CF">
            <w:pPr>
              <w:spacing w:before="0"/>
              <w:rPr>
                <w:rStyle w:val="InstructionsTabelleText"/>
                <w:rFonts w:ascii="Times New Roman" w:hAnsi="Times New Roman"/>
                <w:sz w:val="24"/>
              </w:rPr>
            </w:pPr>
            <w:r>
              <w:rPr>
                <w:rStyle w:val="InstructionsTabelleText"/>
                <w:rFonts w:ascii="Times New Roman" w:hAnsi="Times New Roman"/>
                <w:sz w:val="24"/>
              </w:rPr>
              <w:t xml:space="preserve">Články 479 a 480 </w:t>
            </w:r>
            <w:r>
              <w:rPr>
                <w:rFonts w:ascii="Times New Roman" w:hAnsi="Times New Roman"/>
                <w:sz w:val="24"/>
              </w:rPr>
              <w:t>nařízení (EU) č. 575/2013</w:t>
            </w:r>
          </w:p>
          <w:p w14:paraId="72A73F0E" w14:textId="77777777" w:rsidR="007266CF" w:rsidRPr="002A677E" w:rsidRDefault="007266CF" w:rsidP="007266CF">
            <w:pPr>
              <w:spacing w:before="0"/>
              <w:rPr>
                <w:rStyle w:val="InstructionsTabelleText"/>
                <w:rFonts w:ascii="Times New Roman" w:hAnsi="Times New Roman"/>
                <w:sz w:val="24"/>
              </w:rPr>
            </w:pPr>
            <w:r>
              <w:rPr>
                <w:rStyle w:val="InstructionsTabelleText"/>
                <w:rFonts w:ascii="Times New Roman" w:hAnsi="Times New Roman"/>
                <w:sz w:val="24"/>
              </w:rPr>
              <w:t>V tomto řádku jsou zobrazeny dopady přechodných ustanovení na menšinové podíly způsobilé jako kmenový kapitál tier 1, na kvalifikované nástroje zahrnované do kapitálu tier 1 způsobilé jako konsolidovaný vedlejší kapitál tier 1 a kvalifikovaný kapitál způsobilý jako konsolidovaný kapitál tier 2.</w:t>
            </w:r>
          </w:p>
        </w:tc>
      </w:tr>
      <w:tr w:rsidR="007266CF" w:rsidRPr="002A677E" w14:paraId="511A7E19" w14:textId="77777777" w:rsidTr="007266CF">
        <w:tc>
          <w:tcPr>
            <w:tcW w:w="1012" w:type="dxa"/>
          </w:tcPr>
          <w:p w14:paraId="29717ED9"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21C02BC" w14:textId="77777777" w:rsidR="007266CF" w:rsidRPr="002A677E" w:rsidRDefault="007266CF" w:rsidP="007266C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Kapitálové nástroje a položky, které nelze považovat za menšinové podíly</w:t>
            </w:r>
          </w:p>
          <w:p w14:paraId="07A186BF" w14:textId="77777777" w:rsidR="007266CF" w:rsidRPr="002A677E" w:rsidRDefault="007266CF" w:rsidP="007266C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Článek 479 </w:t>
            </w:r>
            <w:r>
              <w:t>nařízení (EU) č. 575/2013</w:t>
            </w:r>
          </w:p>
          <w:p w14:paraId="5ABAF374" w14:textId="77777777" w:rsidR="007266CF" w:rsidRPr="002A677E" w:rsidRDefault="007266CF" w:rsidP="007266C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Částka, která má být vykázána ve sloupci 060 tohoto řádku, odpovídá částce, již lze považovat za konsolidované rezervní fondy v souladu s výše uvedeným nařízením. </w:t>
            </w:r>
          </w:p>
        </w:tc>
      </w:tr>
      <w:tr w:rsidR="007266CF" w:rsidRPr="006223CC" w14:paraId="01595C81" w14:textId="77777777" w:rsidTr="007266CF">
        <w:tc>
          <w:tcPr>
            <w:tcW w:w="1012" w:type="dxa"/>
          </w:tcPr>
          <w:p w14:paraId="00647541"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8F2EEDE" w14:textId="77777777" w:rsidR="007266CF" w:rsidRPr="002A677E" w:rsidRDefault="007266CF" w:rsidP="007266C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Přechodné uznání menšinových podílů v rámci konsolidovaného kapitálu</w:t>
            </w:r>
          </w:p>
          <w:p w14:paraId="0AC29398" w14:textId="77777777" w:rsidR="007266CF" w:rsidRPr="006223CC" w:rsidRDefault="007266CF" w:rsidP="007266CF">
            <w:pPr>
              <w:pStyle w:val="InstructionsText"/>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Články 84 a 480 </w:t>
            </w:r>
            <w:r w:rsidRPr="006223CC">
              <w:rPr>
                <w:lang w:val="fr-FR"/>
              </w:rPr>
              <w:t>nařízení (EU) č. 575/2013</w:t>
            </w:r>
          </w:p>
          <w:p w14:paraId="65A4E105" w14:textId="77777777" w:rsidR="007266CF" w:rsidRPr="006223CC" w:rsidRDefault="007266CF" w:rsidP="007266CF">
            <w:pPr>
              <w:pStyle w:val="InstructionsText"/>
              <w:rPr>
                <w:rStyle w:val="InstructionsTabelleberschrift"/>
                <w:rFonts w:ascii="Times New Roman" w:hAnsi="Times New Roman"/>
                <w:b w:val="0"/>
                <w:bCs w:val="0"/>
                <w:sz w:val="24"/>
                <w:u w:val="none"/>
                <w:lang w:val="fr-FR"/>
              </w:rPr>
            </w:pPr>
            <w:r w:rsidRPr="006223CC">
              <w:rPr>
                <w:rStyle w:val="InstructionsTabelleText"/>
                <w:rFonts w:ascii="Times New Roman" w:hAnsi="Times New Roman"/>
                <w:sz w:val="24"/>
                <w:lang w:val="fr-FR"/>
              </w:rPr>
              <w:t>Částka, která má být vykázána ve sloupci 0060 tohoto řádku, představuje způsobilou částku bez přechodných ustanovení.</w:t>
            </w:r>
          </w:p>
        </w:tc>
      </w:tr>
      <w:tr w:rsidR="007266CF" w:rsidRPr="006223CC" w14:paraId="3E223AA9" w14:textId="77777777" w:rsidTr="007266CF">
        <w:tc>
          <w:tcPr>
            <w:tcW w:w="1012" w:type="dxa"/>
          </w:tcPr>
          <w:p w14:paraId="5C3E729D"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2BFE24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Přechodné uznání kvalifikovaného vedlejšího kapitálu tier 1 v rámci konsolidovaného kapitálu</w:t>
            </w:r>
          </w:p>
          <w:p w14:paraId="7657A829" w14:textId="77777777" w:rsidR="007266CF" w:rsidRPr="006223CC" w:rsidRDefault="007266CF" w:rsidP="007266CF">
            <w:pPr>
              <w:pStyle w:val="InstructionsText"/>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Články 85 a 480 </w:t>
            </w:r>
            <w:r w:rsidRPr="006223CC">
              <w:rPr>
                <w:lang w:val="fr-FR"/>
              </w:rPr>
              <w:t>nařízení (EU) č. 575/2013</w:t>
            </w:r>
          </w:p>
          <w:p w14:paraId="1BDB10DA" w14:textId="77777777" w:rsidR="007266CF" w:rsidRPr="006223CC" w:rsidRDefault="007266CF" w:rsidP="007266CF">
            <w:pPr>
              <w:pStyle w:val="InstructionsText"/>
              <w:rPr>
                <w:rStyle w:val="InstructionsTabelleText"/>
                <w:rFonts w:ascii="Times New Roman" w:hAnsi="Times New Roman"/>
                <w:sz w:val="24"/>
                <w:lang w:val="fr-FR"/>
              </w:rPr>
            </w:pPr>
            <w:r w:rsidRPr="006223CC">
              <w:rPr>
                <w:rStyle w:val="InstructionsTabelleText"/>
                <w:rFonts w:ascii="Times New Roman" w:hAnsi="Times New Roman"/>
                <w:sz w:val="24"/>
                <w:lang w:val="fr-FR"/>
              </w:rPr>
              <w:t>Částka, která má být vykázána ve sloupci 0060 tohoto řádku, představuje způsobilou částku bez přechodných ustanovení.</w:t>
            </w:r>
          </w:p>
        </w:tc>
      </w:tr>
      <w:tr w:rsidR="007266CF" w:rsidRPr="006223CC" w14:paraId="22194B46" w14:textId="77777777" w:rsidTr="007266CF">
        <w:tc>
          <w:tcPr>
            <w:tcW w:w="1012" w:type="dxa"/>
          </w:tcPr>
          <w:p w14:paraId="42313977"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75765C6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Přechodné uznání kvalifikovaného kapitálu tier 2 v rámci konsolidovaného kapitálu</w:t>
            </w:r>
          </w:p>
          <w:p w14:paraId="58C4A567" w14:textId="77777777" w:rsidR="007266CF" w:rsidRPr="006223CC" w:rsidRDefault="007266CF" w:rsidP="007266CF">
            <w:pPr>
              <w:pStyle w:val="InstructionsText"/>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Články 87 a 480 </w:t>
            </w:r>
            <w:r w:rsidRPr="006223CC">
              <w:rPr>
                <w:lang w:val="fr-FR"/>
              </w:rPr>
              <w:t>nařízení (EU) č. 575/2013</w:t>
            </w:r>
          </w:p>
          <w:p w14:paraId="0B0A382A" w14:textId="77777777" w:rsidR="007266CF" w:rsidRPr="006223CC" w:rsidRDefault="007266CF" w:rsidP="007266CF">
            <w:pPr>
              <w:pStyle w:val="InstructionsText"/>
              <w:rPr>
                <w:rStyle w:val="InstructionsTabelleText"/>
                <w:rFonts w:ascii="Times New Roman" w:hAnsi="Times New Roman"/>
                <w:sz w:val="24"/>
                <w:lang w:val="fr-FR"/>
              </w:rPr>
            </w:pPr>
            <w:r w:rsidRPr="006223CC">
              <w:rPr>
                <w:rStyle w:val="InstructionsTabelleText"/>
                <w:rFonts w:ascii="Times New Roman" w:hAnsi="Times New Roman"/>
                <w:sz w:val="24"/>
                <w:lang w:val="fr-FR"/>
              </w:rPr>
              <w:t>Částka, která má být vykázána ve sloupci 0060 tohoto řádku, představuje způsobilou částku bez přechodných ustanovení.</w:t>
            </w:r>
          </w:p>
        </w:tc>
      </w:tr>
      <w:tr w:rsidR="007266CF" w:rsidRPr="002A677E" w14:paraId="752D545D" w14:textId="77777777" w:rsidTr="007266CF">
        <w:tc>
          <w:tcPr>
            <w:tcW w:w="1012" w:type="dxa"/>
          </w:tcPr>
          <w:p w14:paraId="3F696FC2"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4AF12936" w14:textId="77777777" w:rsidR="007266CF" w:rsidRPr="002A677E" w:rsidRDefault="007266CF" w:rsidP="007266C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Další přechodné úpravy</w:t>
            </w:r>
          </w:p>
          <w:p w14:paraId="20C6DE40" w14:textId="77777777" w:rsidR="007266CF" w:rsidRPr="001235ED" w:rsidRDefault="007266CF" w:rsidP="007266CF">
            <w:pPr>
              <w:spacing w:before="0"/>
              <w:rPr>
                <w:rStyle w:val="InstructionsTabelleText"/>
                <w:rFonts w:ascii="Times New Roman" w:hAnsi="Times New Roman"/>
                <w:sz w:val="24"/>
              </w:rPr>
            </w:pPr>
            <w:r>
              <w:rPr>
                <w:rStyle w:val="InstructionsTabelleText"/>
                <w:rFonts w:ascii="Times New Roman" w:hAnsi="Times New Roman"/>
                <w:sz w:val="24"/>
              </w:rPr>
              <w:t xml:space="preserve">Články 468 až 478 a článek 481 </w:t>
            </w:r>
            <w:r>
              <w:rPr>
                <w:rFonts w:ascii="Times New Roman" w:hAnsi="Times New Roman"/>
                <w:sz w:val="24"/>
              </w:rPr>
              <w:t>nařízení (EU) č. 575/2013</w:t>
            </w:r>
          </w:p>
          <w:p w14:paraId="08490ABB" w14:textId="77777777" w:rsidR="007266CF" w:rsidRPr="002A677E" w:rsidRDefault="007266CF" w:rsidP="007266CF">
            <w:pPr>
              <w:spacing w:before="0"/>
              <w:rPr>
                <w:rStyle w:val="InstructionsTabelleText"/>
                <w:rFonts w:ascii="Times New Roman" w:hAnsi="Times New Roman"/>
                <w:sz w:val="24"/>
              </w:rPr>
            </w:pPr>
            <w:r>
              <w:rPr>
                <w:rStyle w:val="InstructionsTabelleText"/>
                <w:rFonts w:ascii="Times New Roman" w:hAnsi="Times New Roman"/>
                <w:sz w:val="24"/>
              </w:rPr>
              <w:t>V tomto řádku je zobrazen celkový dopad přechodných úprav učiněných v odpočtech od různých druhů kapitálu, v nerealizovaných ziscích a ztrátách a dodatečných filtrech a odpočtech a tento dopad je doplněn o rizikově vážené částky vyplývající z těchto úprav.</w:t>
            </w:r>
          </w:p>
        </w:tc>
      </w:tr>
      <w:tr w:rsidR="007266CF" w:rsidRPr="002A677E" w14:paraId="14B419BD" w14:textId="77777777" w:rsidTr="007266CF">
        <w:tc>
          <w:tcPr>
            <w:tcW w:w="1012" w:type="dxa"/>
          </w:tcPr>
          <w:p w14:paraId="670A68F9" w14:textId="77777777" w:rsidR="007266CF" w:rsidRPr="001235ED"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1569F59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Nerealizované zisky a ztráty z některých dluhových expozic vůči ústředním vládám, regionálním vládám, místním orgánům a subjektům veřejného sektoru</w:t>
            </w:r>
          </w:p>
          <w:p w14:paraId="1CFF9998"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Článek 468 </w:t>
            </w:r>
            <w:r>
              <w:t>nařízení (EU) č. 575/2013</w:t>
            </w:r>
          </w:p>
        </w:tc>
      </w:tr>
      <w:tr w:rsidR="007266CF" w:rsidRPr="002A677E" w14:paraId="7116789C" w14:textId="77777777" w:rsidTr="007266CF">
        <w:tc>
          <w:tcPr>
            <w:tcW w:w="1012" w:type="dxa"/>
          </w:tcPr>
          <w:p w14:paraId="5C4C2001" w14:textId="77777777" w:rsidR="007266CF" w:rsidRPr="001235ED"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6F74B6F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Z toho: částka A</w:t>
            </w:r>
          </w:p>
          <w:p w14:paraId="6B9C953F" w14:textId="77777777" w:rsidR="007266CF" w:rsidRPr="002A677E" w:rsidRDefault="007266CF" w:rsidP="007266C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Částka A vypočtená podle vzorce uvedeného v čl. 468 odst. 1</w:t>
            </w:r>
            <w:r>
              <w:t xml:space="preserve"> nařízení (EU) č. 575/2013</w:t>
            </w:r>
          </w:p>
        </w:tc>
      </w:tr>
      <w:tr w:rsidR="007266CF" w:rsidRPr="002A677E" w14:paraId="274863AE" w14:textId="77777777" w:rsidTr="007266CF">
        <w:tc>
          <w:tcPr>
            <w:tcW w:w="1012" w:type="dxa"/>
          </w:tcPr>
          <w:p w14:paraId="061DFA14"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470F790D" w14:textId="77777777" w:rsidR="007266CF" w:rsidRPr="002A677E" w:rsidRDefault="007266CF" w:rsidP="007266C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Odpočty</w:t>
            </w:r>
          </w:p>
          <w:p w14:paraId="37A3D2DF" w14:textId="77777777" w:rsidR="007266CF" w:rsidRPr="001235ED" w:rsidRDefault="007266CF" w:rsidP="007266CF">
            <w:pPr>
              <w:spacing w:before="0"/>
              <w:rPr>
                <w:rStyle w:val="InstructionsTabelleText"/>
                <w:rFonts w:ascii="Times New Roman" w:hAnsi="Times New Roman"/>
                <w:sz w:val="24"/>
              </w:rPr>
            </w:pPr>
            <w:r>
              <w:rPr>
                <w:rStyle w:val="InstructionsTabelleText"/>
                <w:rFonts w:ascii="Times New Roman" w:hAnsi="Times New Roman"/>
                <w:sz w:val="24"/>
              </w:rPr>
              <w:t xml:space="preserve">Ustanovení čl. 36 odst. 1 a článků 469 až 478 </w:t>
            </w:r>
            <w:r>
              <w:rPr>
                <w:rFonts w:ascii="Times New Roman" w:hAnsi="Times New Roman"/>
                <w:sz w:val="24"/>
              </w:rPr>
              <w:t>nařízení (EU) č. 575/2013</w:t>
            </w:r>
          </w:p>
          <w:p w14:paraId="22DD851D" w14:textId="77777777" w:rsidR="007266CF" w:rsidRPr="002A677E" w:rsidRDefault="007266CF" w:rsidP="007266CF">
            <w:pPr>
              <w:spacing w:before="0"/>
              <w:rPr>
                <w:rStyle w:val="InstructionsTabelleText"/>
                <w:rFonts w:ascii="Times New Roman" w:hAnsi="Times New Roman"/>
                <w:sz w:val="24"/>
              </w:rPr>
            </w:pPr>
            <w:r>
              <w:rPr>
                <w:rStyle w:val="InstructionsTabelleText"/>
                <w:rFonts w:ascii="Times New Roman" w:hAnsi="Times New Roman"/>
                <w:sz w:val="24"/>
              </w:rPr>
              <w:t>Tento řádek odráží celkový dopad přechodných ustanovení na odpočty.</w:t>
            </w:r>
          </w:p>
        </w:tc>
      </w:tr>
      <w:tr w:rsidR="007266CF" w:rsidRPr="002A677E" w14:paraId="4E3C5B49" w14:textId="77777777" w:rsidTr="007266CF">
        <w:tc>
          <w:tcPr>
            <w:tcW w:w="1012" w:type="dxa"/>
          </w:tcPr>
          <w:p w14:paraId="1F24E241"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65089B7F"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Odložené daňové pohledávky, které jsou závislé na budoucím zisku a nevyplývají z přechodných rozdílů</w:t>
            </w:r>
          </w:p>
          <w:p w14:paraId="164246B5"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Ustanovení čl. 36 odst. 1 písm. c), čl. 469 odst. 1 a čl. 472 odst. 5 a článku 478 </w:t>
            </w:r>
            <w:r>
              <w:t>nařízení (EU) č. 575/2013</w:t>
            </w:r>
          </w:p>
          <w:p w14:paraId="079F52FE"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Při určování částky výše uvedených odložených daňových pohledávek, která má být odečtena, berou instituce v úvahu ustanovení článku 38 </w:t>
            </w:r>
            <w:r>
              <w:t>nařízení (EU) č. 575/2013</w:t>
            </w:r>
            <w:r>
              <w:rPr>
                <w:rStyle w:val="InstructionsTabelleText"/>
                <w:rFonts w:ascii="Times New Roman" w:hAnsi="Times New Roman"/>
                <w:sz w:val="24"/>
              </w:rPr>
              <w:t xml:space="preserve"> týkající se snížení odložených daňových pohledávek o odložené daňové závazky.</w:t>
            </w:r>
          </w:p>
          <w:p w14:paraId="063F8776"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ve sloupci 0060 tohoto řádku: celková částka podle čl. 469 odst. 1 </w:t>
            </w:r>
            <w:r>
              <w:t>nařízení (EU) č. 575/2013</w:t>
            </w:r>
            <w:r>
              <w:rPr>
                <w:rStyle w:val="InstructionsTabelleText"/>
                <w:rFonts w:ascii="Times New Roman" w:hAnsi="Times New Roman"/>
                <w:sz w:val="24"/>
              </w:rPr>
              <w:t>.</w:t>
            </w:r>
          </w:p>
        </w:tc>
      </w:tr>
      <w:tr w:rsidR="007266CF" w:rsidRPr="002A677E" w14:paraId="2D24D306" w14:textId="77777777" w:rsidTr="007266CF">
        <w:tc>
          <w:tcPr>
            <w:tcW w:w="1012" w:type="dxa"/>
          </w:tcPr>
          <w:p w14:paraId="7C86D9CE" w14:textId="77777777" w:rsidR="007266CF" w:rsidRPr="002A677E" w:rsidDel="00E41E4F"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5C5EAF51" w14:textId="77777777" w:rsidR="007266CF" w:rsidRPr="002A677E" w:rsidRDefault="007266CF" w:rsidP="007266C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Odložené daňové pohledávky, které jsou závislé na budoucím zisku a vyplývají z přechodných rozdílů, a nástroje zahrnované do kmenového kapitálu tier 1 subjektů finančního sektoru, v nichž má instituce významnou investici</w:t>
            </w:r>
          </w:p>
          <w:p w14:paraId="37789D74"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Ustanovení čl. 470 odst. 2 a 3 </w:t>
            </w:r>
            <w:r>
              <w:t>nařízení (EU) č. 575/2013</w:t>
            </w:r>
          </w:p>
          <w:p w14:paraId="293D3B9E"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ve sloupci 0060 tohoto řádku: ustanovení čl. 470 odst. 1 </w:t>
            </w:r>
            <w:r>
              <w:t>nařízení (EU) č. 575/2013</w:t>
            </w:r>
          </w:p>
        </w:tc>
      </w:tr>
      <w:tr w:rsidR="007266CF" w:rsidRPr="002A677E" w14:paraId="2A664B58" w14:textId="77777777" w:rsidTr="007266CF">
        <w:tc>
          <w:tcPr>
            <w:tcW w:w="1012" w:type="dxa"/>
          </w:tcPr>
          <w:p w14:paraId="78C0509D"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04E18329" w14:textId="77777777" w:rsidR="007266CF" w:rsidRPr="002A677E" w:rsidRDefault="007266CF" w:rsidP="007266C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Odložené daňové pohledávky závislé na budoucím zisku a vyplývající z přechodných rozdílů</w:t>
            </w:r>
          </w:p>
          <w:p w14:paraId="5A717391" w14:textId="77777777" w:rsidR="007266CF" w:rsidRPr="006223CC" w:rsidRDefault="007266CF" w:rsidP="007266CF">
            <w:pPr>
              <w:pStyle w:val="InstructionsText"/>
              <w:rPr>
                <w:rStyle w:val="InstructionsTabelleText"/>
                <w:rFonts w:ascii="Times New Roman" w:hAnsi="Times New Roman"/>
                <w:bCs/>
                <w:sz w:val="24"/>
                <w:lang w:val="fr-FR"/>
              </w:rPr>
            </w:pPr>
            <w:r>
              <w:rPr>
                <w:rStyle w:val="InstructionsTabelleText"/>
                <w:rFonts w:ascii="Times New Roman" w:hAnsi="Times New Roman"/>
                <w:sz w:val="24"/>
              </w:rPr>
              <w:t>Ustanovení čl. 469 odst. 1 písm. c), čl. 472 odst. </w:t>
            </w:r>
            <w:r w:rsidRPr="006223CC">
              <w:rPr>
                <w:rStyle w:val="InstructionsTabelleText"/>
                <w:rFonts w:ascii="Times New Roman" w:hAnsi="Times New Roman"/>
                <w:sz w:val="24"/>
                <w:lang w:val="fr-FR"/>
              </w:rPr>
              <w:t xml:space="preserve">5 a článku 478 </w:t>
            </w:r>
            <w:r w:rsidRPr="006223CC">
              <w:rPr>
                <w:lang w:val="fr-FR"/>
              </w:rPr>
              <w:t>nařízení (EU) č. 575/2013</w:t>
            </w:r>
          </w:p>
          <w:p w14:paraId="4D6B59F1" w14:textId="77777777" w:rsidR="007266CF" w:rsidRPr="002A677E" w:rsidRDefault="007266CF" w:rsidP="007266CF">
            <w:pPr>
              <w:pStyle w:val="InstructionsText"/>
              <w:rPr>
                <w:rStyle w:val="InstructionsTabelleberschrift"/>
                <w:rFonts w:ascii="Times New Roman" w:hAnsi="Times New Roman"/>
                <w:b w:val="0"/>
                <w:sz w:val="24"/>
                <w:u w:val="none"/>
              </w:rPr>
            </w:pPr>
            <w:r w:rsidRPr="006223CC">
              <w:rPr>
                <w:rStyle w:val="InstructionsTabelleText"/>
                <w:rFonts w:ascii="Times New Roman" w:hAnsi="Times New Roman"/>
                <w:sz w:val="24"/>
                <w:lang w:val="fr-FR"/>
              </w:rPr>
              <w:t>Část odložených daňových pohledávek, které jsou závislé na budoucím zisku a vyplývají z přechodných rozdílů, která překračuje 10% prahovou hodnotu v čl. 470 odst. </w:t>
            </w:r>
            <w:r>
              <w:rPr>
                <w:rStyle w:val="InstructionsTabelleText"/>
                <w:rFonts w:ascii="Times New Roman" w:hAnsi="Times New Roman"/>
                <w:sz w:val="24"/>
              </w:rPr>
              <w:t xml:space="preserve">2 písm. a) </w:t>
            </w:r>
            <w:r>
              <w:t>nařízení (EU) č. 575/2013</w:t>
            </w:r>
            <w:r>
              <w:rPr>
                <w:rStyle w:val="InstructionsTabelleText"/>
                <w:rFonts w:ascii="Times New Roman" w:hAnsi="Times New Roman"/>
                <w:sz w:val="24"/>
              </w:rPr>
              <w:t>.</w:t>
            </w:r>
          </w:p>
        </w:tc>
      </w:tr>
      <w:tr w:rsidR="007266CF" w:rsidRPr="002A677E" w14:paraId="2849212D" w14:textId="77777777" w:rsidTr="007266CF">
        <w:tc>
          <w:tcPr>
            <w:tcW w:w="1012" w:type="dxa"/>
          </w:tcPr>
          <w:p w14:paraId="31652BD0"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114E90EC"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Výjimka z odpočtu kapitálových investic do pojišťoven od položek kmenového kapitálu tier 1</w:t>
            </w:r>
          </w:p>
          <w:p w14:paraId="0E1A76B8"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471 </w:t>
            </w:r>
            <w:r>
              <w:t>nařízení (EU) č. 575/2013</w:t>
            </w:r>
          </w:p>
        </w:tc>
      </w:tr>
      <w:tr w:rsidR="007266CF" w:rsidRPr="002A677E" w14:paraId="0DACB93C" w14:textId="77777777" w:rsidTr="007266CF">
        <w:tc>
          <w:tcPr>
            <w:tcW w:w="1012" w:type="dxa"/>
          </w:tcPr>
          <w:p w14:paraId="188A74E5"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12B33BDA" w14:textId="77777777" w:rsidR="007266CF" w:rsidRPr="002A677E" w:rsidRDefault="007266CF" w:rsidP="007266C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Dodatečné filtry a odpočty</w:t>
            </w:r>
          </w:p>
          <w:p w14:paraId="010BD8B1" w14:textId="77777777" w:rsidR="007266CF" w:rsidRPr="001235ED" w:rsidRDefault="007266CF" w:rsidP="007266CF">
            <w:pPr>
              <w:spacing w:before="0"/>
              <w:rPr>
                <w:rStyle w:val="InstructionsTabelleText"/>
                <w:rFonts w:ascii="Times New Roman" w:hAnsi="Times New Roman"/>
                <w:sz w:val="24"/>
              </w:rPr>
            </w:pPr>
            <w:r>
              <w:rPr>
                <w:rStyle w:val="InstructionsTabelleText"/>
                <w:rFonts w:ascii="Times New Roman" w:hAnsi="Times New Roman"/>
                <w:sz w:val="24"/>
              </w:rPr>
              <w:t xml:space="preserve">Článek 481 </w:t>
            </w:r>
            <w:r>
              <w:rPr>
                <w:rFonts w:ascii="Times New Roman" w:hAnsi="Times New Roman"/>
                <w:sz w:val="24"/>
              </w:rPr>
              <w:t>nařízení (EU) č. 575/2013</w:t>
            </w:r>
          </w:p>
          <w:p w14:paraId="3E849E25"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Tento řádek odráží celkový dopad přechodných ustanovení na dodatečné filtry a odpočty.</w:t>
            </w:r>
          </w:p>
          <w:p w14:paraId="00B3D2DB"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V položce 1.3.3. instituce v souladu s článkem 481 </w:t>
            </w:r>
            <w:r>
              <w:t>nařízení (EU) č. 575/2013</w:t>
            </w:r>
            <w:r>
              <w:rPr>
                <w:rStyle w:val="InstructionsTabelleText"/>
                <w:rFonts w:ascii="Times New Roman" w:hAnsi="Times New Roman"/>
                <w:sz w:val="24"/>
              </w:rPr>
              <w:t xml:space="preserve"> vykazují údaj týkající se filtrů a odpočtů, které vyžadují vnitrostátní prováděcí opatření k článkům 57 a 66 směrnice 2006/48/ES a články 13 a 16 směrnice 2006/49/ES a které nejsou požadovány v souladu s částí druhou. </w:t>
            </w:r>
          </w:p>
        </w:tc>
      </w:tr>
      <w:tr w:rsidR="007266CF" w:rsidRPr="006223CC" w14:paraId="266110D2" w14:textId="77777777" w:rsidTr="007266CF">
        <w:tc>
          <w:tcPr>
            <w:tcW w:w="1012" w:type="dxa"/>
          </w:tcPr>
          <w:p w14:paraId="364AE394"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72096D4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Úpravy provedené v důsledku přechodných opatření v souvislosti s IFRS 9</w:t>
            </w:r>
          </w:p>
          <w:p w14:paraId="6EB15FE1" w14:textId="77777777" w:rsidR="007266CF" w:rsidRPr="006223CC" w:rsidRDefault="007266CF" w:rsidP="007266CF">
            <w:pPr>
              <w:pStyle w:val="InstructionsText"/>
              <w:rPr>
                <w:rStyle w:val="InstructionsTabelleberschrift"/>
                <w:rFonts w:ascii="Times New Roman" w:hAnsi="Times New Roman"/>
                <w:b w:val="0"/>
                <w:sz w:val="24"/>
                <w:u w:val="none"/>
                <w:lang w:val="fr-FR"/>
              </w:rPr>
            </w:pPr>
            <w:r w:rsidRPr="006223CC">
              <w:rPr>
                <w:rStyle w:val="InstructionsTabelleberschrift"/>
                <w:rFonts w:ascii="Times New Roman" w:hAnsi="Times New Roman"/>
                <w:b w:val="0"/>
                <w:sz w:val="24"/>
                <w:u w:val="none"/>
                <w:lang w:val="fr-FR"/>
              </w:rPr>
              <w:lastRenderedPageBreak/>
              <w:t xml:space="preserve">Článek 473a </w:t>
            </w:r>
            <w:r w:rsidRPr="006223CC">
              <w:rPr>
                <w:lang w:val="fr-FR"/>
              </w:rPr>
              <w:t>nařízení (EU) č. 575/2013</w:t>
            </w:r>
          </w:p>
          <w:p w14:paraId="25B831F3" w14:textId="77777777" w:rsidR="007266CF" w:rsidRPr="006223CC" w:rsidRDefault="007266CF" w:rsidP="007266CF">
            <w:pPr>
              <w:pStyle w:val="InstructionsText"/>
              <w:rPr>
                <w:rStyle w:val="InstructionsTabelleberschrift"/>
                <w:rFonts w:ascii="Times New Roman" w:hAnsi="Times New Roman"/>
                <w:b w:val="0"/>
                <w:sz w:val="24"/>
                <w:u w:val="none"/>
                <w:lang w:val="fr-FR"/>
              </w:rPr>
            </w:pPr>
            <w:r w:rsidRPr="006223CC">
              <w:rPr>
                <w:rStyle w:val="InstructionsTabelleberschrift"/>
                <w:rFonts w:ascii="Times New Roman" w:hAnsi="Times New Roman"/>
                <w:b w:val="0"/>
                <w:sz w:val="24"/>
                <w:u w:val="none"/>
                <w:lang w:val="fr-FR"/>
              </w:rPr>
              <w:t>Instituce vykazují údaje týkající se přechodných opatření v souvislosti s IFRS 9 v souladu s platnými právními předpisy.</w:t>
            </w:r>
          </w:p>
        </w:tc>
      </w:tr>
      <w:tr w:rsidR="007266CF" w:rsidRPr="002A677E" w14:paraId="3ADC340B" w14:textId="77777777" w:rsidTr="007266CF">
        <w:tc>
          <w:tcPr>
            <w:tcW w:w="1012" w:type="dxa"/>
          </w:tcPr>
          <w:p w14:paraId="74CEFE16" w14:textId="77777777" w:rsidR="007266CF" w:rsidRPr="001235ED"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0441</w:t>
            </w:r>
          </w:p>
        </w:tc>
        <w:tc>
          <w:tcPr>
            <w:tcW w:w="7478" w:type="dxa"/>
          </w:tcPr>
          <w:p w14:paraId="43F67BD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Dopad statické složky na očekávané úvěrové ztráty</w:t>
            </w:r>
          </w:p>
          <w:p w14:paraId="61FAC073"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částek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a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podle čl. 473a odst. 1 </w:t>
            </w:r>
            <w:r>
              <w:t>nařízení (EU) č. 575/2013</w:t>
            </w:r>
          </w:p>
          <w:p w14:paraId="6BB5DC95"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případě částky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je vykazována částka snížená o očekávané ztráty podle čl. 473a odst. 5 písm. a) </w:t>
            </w:r>
            <w:r>
              <w:t>nařízení (EU) č. 575/2013</w:t>
            </w:r>
            <w:r>
              <w:rPr>
                <w:rStyle w:val="InstructionsTabelleberschrift"/>
                <w:rFonts w:ascii="Times New Roman" w:hAnsi="Times New Roman"/>
                <w:b w:val="0"/>
                <w:sz w:val="24"/>
                <w:u w:val="none"/>
              </w:rPr>
              <w:t>.</w:t>
            </w:r>
          </w:p>
        </w:tc>
      </w:tr>
      <w:tr w:rsidR="007266CF" w:rsidRPr="002A677E" w14:paraId="3D695EC8" w14:textId="77777777" w:rsidTr="007266CF">
        <w:tc>
          <w:tcPr>
            <w:tcW w:w="1012" w:type="dxa"/>
          </w:tcPr>
          <w:p w14:paraId="2CC563D6" w14:textId="77777777" w:rsidR="007266CF" w:rsidRPr="001235ED"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2B93DA6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Dopad dynamické složky na očekávané úvěrové ztráty za období od 1. 1. 2018 do 31. 12. 2019</w:t>
            </w:r>
          </w:p>
          <w:p w14:paraId="622EEDE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Součet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a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podle čl. 473a odst. 1 </w:t>
            </w:r>
            <w:r>
              <w:t xml:space="preserve">nařízení (EU) č. 575/2013 </w:t>
            </w:r>
            <w:r>
              <w:rPr>
                <w:rStyle w:val="InstructionsTabelleberschrift"/>
                <w:rFonts w:ascii="Times New Roman" w:hAnsi="Times New Roman"/>
                <w:b w:val="0"/>
                <w:sz w:val="24"/>
                <w:u w:val="none"/>
              </w:rPr>
              <w:t xml:space="preserve"> </w:t>
            </w:r>
          </w:p>
        </w:tc>
      </w:tr>
      <w:tr w:rsidR="007266CF" w:rsidRPr="002A677E" w14:paraId="41D3FDE2" w14:textId="77777777" w:rsidTr="007266CF">
        <w:tc>
          <w:tcPr>
            <w:tcW w:w="1012" w:type="dxa"/>
          </w:tcPr>
          <w:p w14:paraId="0E65EA69" w14:textId="77777777" w:rsidR="007266CF" w:rsidRPr="001235ED"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76DE8A1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Dopad dynamické složky na očekávané úvěrové ztráty za období od 1. 1. 2020</w:t>
            </w:r>
          </w:p>
          <w:p w14:paraId="5265A825"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částek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a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podle čl. 473a odst. 1 </w:t>
            </w:r>
            <w:r>
              <w:t>nařízení (EU) č. 575/2013</w:t>
            </w:r>
          </w:p>
          <w:p w14:paraId="20F0680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případě částky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je vykazována částka snížená o očekávané ztráty podle čl. 473a odst. 5 písm. b) a c) </w:t>
            </w:r>
            <w:r>
              <w:t>nařízení (EU) č. 575/2013</w:t>
            </w:r>
            <w:r>
              <w:rPr>
                <w:rStyle w:val="InstructionsTabelleberschrift"/>
                <w:rFonts w:ascii="Times New Roman" w:hAnsi="Times New Roman"/>
                <w:b w:val="0"/>
                <w:sz w:val="24"/>
                <w:u w:val="none"/>
              </w:rPr>
              <w:t>.</w:t>
            </w:r>
          </w:p>
        </w:tc>
      </w:tr>
    </w:tbl>
    <w:p w14:paraId="7CBF8E0E" w14:textId="77777777" w:rsidR="007266CF" w:rsidRPr="002A677E" w:rsidRDefault="007266CF" w:rsidP="007266CF">
      <w:pPr>
        <w:spacing w:after="0"/>
        <w:rPr>
          <w:rFonts w:ascii="Times New Roman" w:hAnsi="Times New Roman"/>
          <w:sz w:val="24"/>
        </w:rPr>
      </w:pPr>
    </w:p>
    <w:p w14:paraId="5BB9AFD0" w14:textId="77777777" w:rsidR="007266CF" w:rsidRPr="002A677E" w:rsidRDefault="007266CF" w:rsidP="00A75C39">
      <w:pPr>
        <w:pStyle w:val="Instructionsberschrift2"/>
        <w:numPr>
          <w:ilvl w:val="0"/>
          <w:numId w:val="147"/>
        </w:numPr>
        <w:rPr>
          <w:rFonts w:ascii="Times New Roman" w:hAnsi="Times New Roman" w:cs="Times New Roman"/>
          <w:sz w:val="24"/>
          <w:u w:val="none"/>
        </w:rPr>
      </w:pPr>
      <w:bookmarkStart w:id="60" w:name="_Toc116026723"/>
      <w:bookmarkStart w:id="61" w:name="_Toc119077880"/>
      <w:r>
        <w:rPr>
          <w:rFonts w:ascii="Times New Roman" w:hAnsi="Times New Roman"/>
          <w:sz w:val="24"/>
        </w:rPr>
        <w:t>C 05.02 – NÁSTROJE SE ZACHOVÁNÍM PRÁVNÍCH ÚČINKŮ: NÁSTROJE NEPŘEDSTAVUJÍCÍ STÁTNÍ PODPORU (CA5.2)</w:t>
      </w:r>
      <w:bookmarkEnd w:id="60"/>
      <w:bookmarkEnd w:id="61"/>
      <w:r>
        <w:rPr>
          <w:rFonts w:ascii="Times New Roman" w:hAnsi="Times New Roman"/>
          <w:sz w:val="24"/>
          <w:u w:val="none"/>
        </w:rPr>
        <w:t xml:space="preserve"> </w:t>
      </w:r>
    </w:p>
    <w:p w14:paraId="7D9A9ACC" w14:textId="77777777" w:rsidR="007266CF" w:rsidRPr="002A677E" w:rsidRDefault="007266CF" w:rsidP="007266CF">
      <w:pPr>
        <w:pStyle w:val="InstructionsText2"/>
        <w:numPr>
          <w:ilvl w:val="0"/>
          <w:numId w:val="0"/>
        </w:numPr>
        <w:ind w:left="1353" w:hanging="360"/>
      </w:pPr>
      <w:fldSimple w:instr=" seq paragraphs ">
        <w:r>
          <w:t>26</w:t>
        </w:r>
      </w:fldSimple>
      <w:r>
        <w:t>.</w:t>
      </w:r>
      <w:r>
        <w:tab/>
        <w:t>Instituce vykazují údaje týkající se přechodných ustanovení k nástrojům, pro něž platí zachování právních účinků a které nepředstavují státní podporu (články 484 až 491 nařízení (EU) č. 575/2013).</w:t>
      </w:r>
    </w:p>
    <w:p w14:paraId="2F3174F4" w14:textId="77777777" w:rsidR="007266CF" w:rsidRPr="002A677E" w:rsidRDefault="007266CF" w:rsidP="00A75C39">
      <w:pPr>
        <w:pStyle w:val="Instructionsberschrift2"/>
        <w:numPr>
          <w:ilvl w:val="0"/>
          <w:numId w:val="54"/>
        </w:numPr>
        <w:rPr>
          <w:rFonts w:ascii="Times New Roman" w:hAnsi="Times New Roman" w:cs="Times New Roman"/>
          <w:sz w:val="24"/>
          <w:u w:val="none"/>
        </w:rPr>
      </w:pPr>
      <w:bookmarkStart w:id="62" w:name="_Toc116026724"/>
      <w:bookmarkStart w:id="63" w:name="_Toc119077881"/>
      <w:r>
        <w:rPr>
          <w:rFonts w:ascii="Times New Roman" w:hAnsi="Times New Roman"/>
          <w:sz w:val="24"/>
        </w:rPr>
        <w:t>Pokyny pro konkrétní pozice</w:t>
      </w:r>
      <w:bookmarkEnd w:id="62"/>
      <w:bookmarkEnd w:id="6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7266CF" w:rsidRPr="002A677E" w14:paraId="6BB773D7" w14:textId="77777777" w:rsidTr="007266CF">
        <w:tc>
          <w:tcPr>
            <w:tcW w:w="8181" w:type="dxa"/>
            <w:gridSpan w:val="2"/>
            <w:shd w:val="clear" w:color="auto" w:fill="D9D9D9"/>
          </w:tcPr>
          <w:p w14:paraId="17607D66"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Sloupce</w:t>
            </w:r>
          </w:p>
        </w:tc>
      </w:tr>
      <w:tr w:rsidR="007266CF" w:rsidRPr="002A677E" w14:paraId="45065901" w14:textId="77777777" w:rsidTr="007266CF">
        <w:tc>
          <w:tcPr>
            <w:tcW w:w="703" w:type="dxa"/>
          </w:tcPr>
          <w:p w14:paraId="77E3EB60"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7DC9ADD8" w14:textId="77777777" w:rsidR="007266CF" w:rsidRPr="002A677E" w:rsidRDefault="007266CF" w:rsidP="007266CF">
            <w:pPr>
              <w:pStyle w:val="body"/>
              <w:rPr>
                <w:rStyle w:val="InstructionsTabelleberschrift"/>
                <w:rFonts w:ascii="Times New Roman" w:hAnsi="Times New Roman"/>
                <w:sz w:val="24"/>
              </w:rPr>
            </w:pPr>
            <w:r>
              <w:rPr>
                <w:rStyle w:val="InstructionsTabelleberschrift"/>
                <w:rFonts w:ascii="Times New Roman" w:hAnsi="Times New Roman"/>
                <w:sz w:val="24"/>
              </w:rPr>
              <w:t>Objem nástrojů plus související emisní ážio</w:t>
            </w:r>
          </w:p>
          <w:p w14:paraId="3D1F2DEE"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484 odst. 3, 4 a 5 </w:t>
            </w:r>
            <w:r>
              <w:rPr>
                <w:rFonts w:ascii="Times New Roman" w:hAnsi="Times New Roman"/>
                <w:sz w:val="24"/>
              </w:rPr>
              <w:t>nařízení (EU) č. 575/2013</w:t>
            </w:r>
          </w:p>
          <w:p w14:paraId="7031E40A"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Nástroje, které jsou způsobilé pro každý příslušný řádek, včetně s nimi souvisejícího emisního ážia.</w:t>
            </w:r>
          </w:p>
        </w:tc>
      </w:tr>
      <w:tr w:rsidR="007266CF" w:rsidRPr="002A677E" w14:paraId="4553E6DF" w14:textId="77777777" w:rsidTr="007266CF">
        <w:tc>
          <w:tcPr>
            <w:tcW w:w="703" w:type="dxa"/>
          </w:tcPr>
          <w:p w14:paraId="1F91617E"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2755E85B" w14:textId="77777777" w:rsidR="007266CF" w:rsidRPr="002A677E" w:rsidRDefault="007266CF" w:rsidP="007266CF">
            <w:pPr>
              <w:pStyle w:val="body"/>
              <w:rPr>
                <w:rStyle w:val="InstructionsTabelleberschrift"/>
                <w:rFonts w:ascii="Times New Roman" w:hAnsi="Times New Roman"/>
                <w:sz w:val="24"/>
              </w:rPr>
            </w:pPr>
            <w:r>
              <w:rPr>
                <w:rStyle w:val="InstructionsTabelleberschrift"/>
                <w:rFonts w:ascii="Times New Roman" w:hAnsi="Times New Roman"/>
                <w:sz w:val="24"/>
              </w:rPr>
              <w:t>Základ pro výpočet limitu</w:t>
            </w:r>
          </w:p>
          <w:p w14:paraId="25BFACC6"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486 odst. 2, 3 a 4 </w:t>
            </w:r>
            <w:r>
              <w:rPr>
                <w:rFonts w:ascii="Times New Roman" w:hAnsi="Times New Roman"/>
                <w:sz w:val="24"/>
              </w:rPr>
              <w:t>nařízení (EU) č. 575/2013</w:t>
            </w:r>
          </w:p>
        </w:tc>
      </w:tr>
      <w:tr w:rsidR="007266CF" w:rsidRPr="002A677E" w14:paraId="4E31FE0F" w14:textId="77777777" w:rsidTr="007266CF">
        <w:tc>
          <w:tcPr>
            <w:tcW w:w="703" w:type="dxa"/>
          </w:tcPr>
          <w:p w14:paraId="3ECCC2AB"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054E2CD" w14:textId="77777777" w:rsidR="007266CF" w:rsidRPr="002A677E" w:rsidRDefault="007266CF" w:rsidP="007266CF">
            <w:pPr>
              <w:pStyle w:val="body"/>
              <w:rPr>
                <w:rStyle w:val="InstructionsTabelleberschrift"/>
                <w:rFonts w:ascii="Times New Roman" w:hAnsi="Times New Roman"/>
                <w:sz w:val="24"/>
              </w:rPr>
            </w:pPr>
            <w:r>
              <w:rPr>
                <w:rStyle w:val="InstructionsTabelleberschrift"/>
                <w:rFonts w:ascii="Times New Roman" w:hAnsi="Times New Roman"/>
                <w:sz w:val="24"/>
              </w:rPr>
              <w:t>Použitelný procentní podíl</w:t>
            </w:r>
          </w:p>
          <w:p w14:paraId="638DB3A7"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486 odst. 5 </w:t>
            </w:r>
            <w:r>
              <w:rPr>
                <w:rFonts w:ascii="Times New Roman" w:hAnsi="Times New Roman"/>
                <w:sz w:val="24"/>
              </w:rPr>
              <w:t>nařízení (EU) č. 575/2013</w:t>
            </w:r>
          </w:p>
        </w:tc>
      </w:tr>
      <w:tr w:rsidR="007266CF" w:rsidRPr="002A677E" w14:paraId="379A97B7" w14:textId="77777777" w:rsidTr="007266CF">
        <w:tc>
          <w:tcPr>
            <w:tcW w:w="703" w:type="dxa"/>
          </w:tcPr>
          <w:p w14:paraId="6EEC70F8"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14:paraId="7FB6CD08" w14:textId="77777777" w:rsidR="007266CF" w:rsidRPr="002A677E" w:rsidRDefault="007266CF" w:rsidP="007266CF">
            <w:pPr>
              <w:pStyle w:val="body"/>
              <w:rPr>
                <w:rStyle w:val="InstructionsTabelleberschrift"/>
                <w:rFonts w:ascii="Times New Roman" w:hAnsi="Times New Roman"/>
                <w:sz w:val="24"/>
              </w:rPr>
            </w:pPr>
            <w:r>
              <w:rPr>
                <w:rStyle w:val="InstructionsTabelleberschrift"/>
                <w:rFonts w:ascii="Times New Roman" w:hAnsi="Times New Roman"/>
                <w:sz w:val="24"/>
              </w:rPr>
              <w:t>Limit</w:t>
            </w:r>
          </w:p>
          <w:p w14:paraId="22E49E53"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486 odst. 2 až 5 </w:t>
            </w:r>
            <w:r>
              <w:rPr>
                <w:rFonts w:ascii="Times New Roman" w:hAnsi="Times New Roman"/>
                <w:sz w:val="24"/>
              </w:rPr>
              <w:t>nařízení (EU) č. 575/2013</w:t>
            </w:r>
          </w:p>
        </w:tc>
      </w:tr>
      <w:tr w:rsidR="007266CF" w:rsidRPr="002A677E" w14:paraId="2D9C9B83" w14:textId="77777777" w:rsidTr="007266CF">
        <w:tc>
          <w:tcPr>
            <w:tcW w:w="703" w:type="dxa"/>
          </w:tcPr>
          <w:p w14:paraId="40BB1ED9"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9B3CBA" w14:textId="77777777" w:rsidR="007266CF" w:rsidRPr="002A677E" w:rsidRDefault="007266CF" w:rsidP="007266CF">
            <w:pPr>
              <w:pStyle w:val="body"/>
              <w:rPr>
                <w:rStyle w:val="InstructionsTabelleberschrift"/>
                <w:rFonts w:ascii="Times New Roman" w:hAnsi="Times New Roman"/>
                <w:sz w:val="24"/>
              </w:rPr>
            </w:pPr>
            <w:r>
              <w:rPr>
                <w:rStyle w:val="InstructionsTabelleberschrift"/>
                <w:rFonts w:ascii="Times New Roman" w:hAnsi="Times New Roman"/>
                <w:sz w:val="24"/>
              </w:rPr>
              <w:t>(−) Částka, která převyšuje limity zachování právních účinků</w:t>
            </w:r>
          </w:p>
          <w:p w14:paraId="0F7599DE"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486 odst. 2 až 5 </w:t>
            </w:r>
            <w:r>
              <w:rPr>
                <w:rFonts w:ascii="Times New Roman" w:hAnsi="Times New Roman"/>
                <w:sz w:val="24"/>
              </w:rPr>
              <w:t>nařízení (EU) č. 575/2013</w:t>
            </w:r>
          </w:p>
        </w:tc>
      </w:tr>
      <w:tr w:rsidR="007266CF" w:rsidRPr="002A677E" w14:paraId="068FCC8B" w14:textId="77777777" w:rsidTr="007266CF">
        <w:tc>
          <w:tcPr>
            <w:tcW w:w="703" w:type="dxa"/>
          </w:tcPr>
          <w:p w14:paraId="6C06BD77"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99F6601" w14:textId="77777777" w:rsidR="007266CF" w:rsidRPr="002A677E" w:rsidRDefault="007266CF" w:rsidP="007266CF">
            <w:pPr>
              <w:pStyle w:val="body"/>
              <w:rPr>
                <w:rStyle w:val="InstructionsTabelleberschrift"/>
                <w:rFonts w:ascii="Times New Roman" w:hAnsi="Times New Roman"/>
                <w:sz w:val="24"/>
              </w:rPr>
            </w:pPr>
            <w:r>
              <w:rPr>
                <w:rStyle w:val="InstructionsTabelleberschrift"/>
                <w:rFonts w:ascii="Times New Roman" w:hAnsi="Times New Roman"/>
                <w:sz w:val="24"/>
              </w:rPr>
              <w:t>Celková částka související se zachováním právních účinků</w:t>
            </w:r>
          </w:p>
          <w:p w14:paraId="5319243B"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se rovná částkám uvedeným v příslušných sloupcích řádku 060 šablony CA5.1.</w:t>
            </w:r>
          </w:p>
        </w:tc>
      </w:tr>
    </w:tbl>
    <w:p w14:paraId="55A6B38E" w14:textId="77777777" w:rsidR="007266CF" w:rsidRPr="002A677E" w:rsidRDefault="007266CF" w:rsidP="007266CF">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7266CF" w:rsidRPr="002A677E" w14:paraId="69B729A2" w14:textId="77777777" w:rsidTr="007266CF">
        <w:tc>
          <w:tcPr>
            <w:tcW w:w="8181" w:type="dxa"/>
            <w:gridSpan w:val="2"/>
            <w:shd w:val="clear" w:color="auto" w:fill="D9D9D9"/>
          </w:tcPr>
          <w:p w14:paraId="77433E3A" w14:textId="77777777" w:rsidR="007266CF" w:rsidRPr="002A677E" w:rsidRDefault="007266CF" w:rsidP="007266CF">
            <w:pPr>
              <w:pStyle w:val="body"/>
            </w:pPr>
            <w:r>
              <w:t>Řádky</w:t>
            </w:r>
          </w:p>
        </w:tc>
      </w:tr>
      <w:tr w:rsidR="007266CF" w:rsidRPr="006223CC" w14:paraId="2E12CF5B" w14:textId="77777777" w:rsidTr="007266CF">
        <w:tc>
          <w:tcPr>
            <w:tcW w:w="703" w:type="dxa"/>
          </w:tcPr>
          <w:p w14:paraId="32C521B7"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FAB389B" w14:textId="77777777" w:rsidR="007266CF" w:rsidRPr="002A677E" w:rsidRDefault="007266CF" w:rsidP="007266CF">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Nástroje, jež vyhovují ustanovením čl. 57 písm. a) směrnice 2006/48/ES</w:t>
            </w:r>
          </w:p>
          <w:p w14:paraId="76A764F4" w14:textId="77777777" w:rsidR="007266CF" w:rsidRPr="006223CC" w:rsidRDefault="007266CF" w:rsidP="007266CF">
            <w:pPr>
              <w:pStyle w:val="body"/>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Ustanovení čl. 484 odst. 3 </w:t>
            </w:r>
            <w:r w:rsidRPr="006223CC">
              <w:rPr>
                <w:rFonts w:ascii="Times New Roman" w:hAnsi="Times New Roman"/>
                <w:sz w:val="24"/>
                <w:lang w:val="fr-FR"/>
              </w:rPr>
              <w:t>nařízení (EU) č. 575/2013</w:t>
            </w:r>
          </w:p>
          <w:p w14:paraId="0ED8CBE5" w14:textId="77777777" w:rsidR="007266CF" w:rsidRPr="006223CC" w:rsidRDefault="007266CF" w:rsidP="007266CF">
            <w:pPr>
              <w:pStyle w:val="body"/>
              <w:rPr>
                <w:rStyle w:val="InstructionsTabelleText"/>
                <w:rFonts w:ascii="Times New Roman" w:hAnsi="Times New Roman"/>
                <w:sz w:val="24"/>
                <w:lang w:val="fr-FR"/>
              </w:rPr>
            </w:pPr>
            <w:r w:rsidRPr="006223CC">
              <w:rPr>
                <w:rStyle w:val="InstructionsTabelleText"/>
                <w:rFonts w:ascii="Times New Roman" w:hAnsi="Times New Roman"/>
                <w:sz w:val="24"/>
                <w:lang w:val="fr-FR"/>
              </w:rPr>
              <w:t>Částka, která má být vykázána, zahrnuje související emisní ážio.</w:t>
            </w:r>
          </w:p>
        </w:tc>
      </w:tr>
      <w:tr w:rsidR="007266CF" w:rsidRPr="006223CC" w14:paraId="274317DE" w14:textId="77777777" w:rsidTr="007266CF">
        <w:tc>
          <w:tcPr>
            <w:tcW w:w="703" w:type="dxa"/>
          </w:tcPr>
          <w:p w14:paraId="22A9B49F"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382F414" w14:textId="77777777" w:rsidR="007266CF" w:rsidRPr="002A677E" w:rsidRDefault="007266CF" w:rsidP="007266CF">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Nástroje, jež vyhovují ustanovením čl. 57 písm. ca) a čl. 154 odst. 8 a 9 směrnice 2006/48/ES, s výhradou omezení v článku 489 nařízení (EU) č. 575/2013</w:t>
            </w:r>
          </w:p>
          <w:p w14:paraId="31DA8593" w14:textId="77777777" w:rsidR="007266CF" w:rsidRPr="006223CC" w:rsidRDefault="007266CF" w:rsidP="007266CF">
            <w:pPr>
              <w:pStyle w:val="body"/>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Ustanovení čl. 484 odst. 4 </w:t>
            </w:r>
            <w:r w:rsidRPr="006223CC">
              <w:rPr>
                <w:rFonts w:ascii="Times New Roman" w:hAnsi="Times New Roman"/>
                <w:sz w:val="24"/>
                <w:lang w:val="fr-FR"/>
              </w:rPr>
              <w:t>nařízení (EU) č. 575/2013</w:t>
            </w:r>
          </w:p>
        </w:tc>
      </w:tr>
      <w:tr w:rsidR="007266CF" w:rsidRPr="002A677E" w14:paraId="66FF0155" w14:textId="77777777" w:rsidTr="007266CF">
        <w:tc>
          <w:tcPr>
            <w:tcW w:w="703" w:type="dxa"/>
          </w:tcPr>
          <w:p w14:paraId="53F773B8"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1F2C0A" w14:textId="77777777" w:rsidR="007266CF" w:rsidRPr="002A677E" w:rsidRDefault="007266CF" w:rsidP="007266CF">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Celková výše nástrojů bez kupní opce nebo pobídky ke splacení</w:t>
            </w:r>
          </w:p>
          <w:p w14:paraId="61E95F70" w14:textId="77777777" w:rsidR="007266CF" w:rsidRPr="002A677E" w:rsidRDefault="007266CF" w:rsidP="007266CF">
            <w:pPr>
              <w:pStyle w:val="body"/>
              <w:rPr>
                <w:rStyle w:val="InstructionsTabelleText"/>
                <w:rFonts w:ascii="Times New Roman" w:hAnsi="Times New Roman"/>
                <w:bCs/>
                <w:sz w:val="24"/>
              </w:rPr>
            </w:pPr>
            <w:r>
              <w:rPr>
                <w:rStyle w:val="InstructionsTabelleText"/>
                <w:rFonts w:ascii="Times New Roman" w:hAnsi="Times New Roman"/>
                <w:sz w:val="24"/>
              </w:rPr>
              <w:t xml:space="preserve">Ustanovení čl. 484 odst. 4 a článku 489 </w:t>
            </w:r>
            <w:r>
              <w:rPr>
                <w:rFonts w:ascii="Times New Roman" w:hAnsi="Times New Roman"/>
                <w:sz w:val="24"/>
              </w:rPr>
              <w:t>nařízení (EU) č. 575/2013</w:t>
            </w:r>
          </w:p>
          <w:p w14:paraId="50FF236E"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7266CF" w:rsidRPr="002A677E" w14:paraId="16B3859C" w14:textId="77777777" w:rsidTr="007266CF">
        <w:tc>
          <w:tcPr>
            <w:tcW w:w="703" w:type="dxa"/>
          </w:tcPr>
          <w:p w14:paraId="5FE319EE"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2666A990" w14:textId="77777777" w:rsidR="007266CF" w:rsidRPr="002A677E" w:rsidRDefault="007266CF" w:rsidP="007266CF">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Nástroje s kupní opcí a pobídkou ke splacení, pro něž platí zachování právních účinků</w:t>
            </w:r>
          </w:p>
          <w:p w14:paraId="4B83B495" w14:textId="77777777" w:rsidR="007266CF" w:rsidRPr="002A677E" w:rsidRDefault="007266CF" w:rsidP="007266CF">
            <w:pPr>
              <w:pStyle w:val="body"/>
              <w:rPr>
                <w:rStyle w:val="InstructionsTabelleText"/>
                <w:rFonts w:ascii="Times New Roman" w:hAnsi="Times New Roman"/>
                <w:bCs/>
                <w:sz w:val="24"/>
              </w:rPr>
            </w:pPr>
            <w:r>
              <w:rPr>
                <w:rStyle w:val="InstructionsTabelleText"/>
                <w:rFonts w:ascii="Times New Roman" w:hAnsi="Times New Roman"/>
                <w:sz w:val="24"/>
              </w:rPr>
              <w:t xml:space="preserve">Článek 489 </w:t>
            </w:r>
            <w:r>
              <w:rPr>
                <w:rFonts w:ascii="Times New Roman" w:hAnsi="Times New Roman"/>
                <w:sz w:val="24"/>
              </w:rPr>
              <w:t>nařízení (EU) č. 575/2013</w:t>
            </w:r>
          </w:p>
        </w:tc>
      </w:tr>
      <w:tr w:rsidR="007266CF" w:rsidRPr="002A677E" w14:paraId="477E4080" w14:textId="77777777" w:rsidTr="007266CF">
        <w:tc>
          <w:tcPr>
            <w:tcW w:w="703" w:type="dxa"/>
          </w:tcPr>
          <w:p w14:paraId="00195E1C"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683C00A2" w14:textId="77777777" w:rsidR="007266CF" w:rsidRPr="002A677E" w:rsidRDefault="007266CF" w:rsidP="007266CF">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Nástroje s kupní opcí uplatnitelnou po datu pro vykazování, které po datu skutečné splatnosti splňují podmínky podle článku 52 nařízení (EU) č. 575/2013</w:t>
            </w:r>
          </w:p>
          <w:p w14:paraId="60F123FD"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489 odst. 3 a čl. 491 písm. a) </w:t>
            </w:r>
            <w:r>
              <w:rPr>
                <w:rFonts w:ascii="Times New Roman" w:hAnsi="Times New Roman"/>
                <w:sz w:val="24"/>
              </w:rPr>
              <w:t>nařízení (EU) č. 575/2013</w:t>
            </w:r>
          </w:p>
          <w:p w14:paraId="1DFE7FEC"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7266CF" w:rsidRPr="002A677E" w14:paraId="4FC0CFA8" w14:textId="77777777" w:rsidTr="007266CF">
        <w:tc>
          <w:tcPr>
            <w:tcW w:w="703" w:type="dxa"/>
          </w:tcPr>
          <w:p w14:paraId="517D3814"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BDD3F57" w14:textId="77777777" w:rsidR="007266CF" w:rsidRPr="002A677E" w:rsidRDefault="007266CF" w:rsidP="007266CF">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Nástroje s kupní opcí uplatnitelnou po datu pro vykazování, které po datu skutečné splatnosti nesplňují podmínky podle článku 52 nařízení (EU) č. 575/2013</w:t>
            </w:r>
          </w:p>
          <w:p w14:paraId="01D3D1EA"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489 odst. 5 a čl. 491 písm. a) </w:t>
            </w:r>
            <w:r>
              <w:rPr>
                <w:rFonts w:ascii="Times New Roman" w:hAnsi="Times New Roman"/>
                <w:sz w:val="24"/>
              </w:rPr>
              <w:t>nařízení (EU) č. 575/2013</w:t>
            </w:r>
          </w:p>
          <w:p w14:paraId="3628A14D"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7266CF" w:rsidRPr="002A677E" w14:paraId="24CD425A" w14:textId="77777777" w:rsidTr="007266CF">
        <w:tc>
          <w:tcPr>
            <w:tcW w:w="703" w:type="dxa"/>
          </w:tcPr>
          <w:p w14:paraId="32EB31DB"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03E45F87" w14:textId="77777777" w:rsidR="007266CF" w:rsidRPr="002A677E" w:rsidRDefault="007266CF" w:rsidP="007266CF">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Nástroje s kupní opcí uplatnitelnou do 20. července 2011 včetně, které po datu skutečné splatnosti nesplňují podmínky podle článku 52 nařízení (EU) č. 575/2013</w:t>
            </w:r>
          </w:p>
          <w:p w14:paraId="6B315DA9"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489 odst. 6 a čl. 491 písm. c) </w:t>
            </w:r>
            <w:r>
              <w:rPr>
                <w:rFonts w:ascii="Times New Roman" w:hAnsi="Times New Roman"/>
                <w:sz w:val="24"/>
              </w:rPr>
              <w:t>nařízení (EU) č. 575/2013</w:t>
            </w:r>
          </w:p>
          <w:p w14:paraId="5FE30F42"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7266CF" w:rsidRPr="006223CC" w14:paraId="79F9347D" w14:textId="77777777" w:rsidTr="007266CF">
        <w:tc>
          <w:tcPr>
            <w:tcW w:w="703" w:type="dxa"/>
          </w:tcPr>
          <w:p w14:paraId="71773555"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45F864" w14:textId="77777777" w:rsidR="007266CF" w:rsidRPr="002A677E" w:rsidRDefault="007266CF" w:rsidP="007266CF">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Přebytek nad rámec limitu nástrojů zahrnovaných do kmenového kapitálu tier 1, pro něž platí zachování právních účinků</w:t>
            </w:r>
          </w:p>
          <w:p w14:paraId="6856C734" w14:textId="77777777" w:rsidR="007266CF" w:rsidRPr="006223CC" w:rsidRDefault="007266CF" w:rsidP="007266CF">
            <w:pPr>
              <w:pStyle w:val="body"/>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Ustanovení čl. 487 odst. 1 </w:t>
            </w:r>
            <w:r w:rsidRPr="006223CC">
              <w:rPr>
                <w:rFonts w:ascii="Times New Roman" w:hAnsi="Times New Roman"/>
                <w:sz w:val="24"/>
                <w:lang w:val="fr-FR"/>
              </w:rPr>
              <w:t>nařízení (EU) č. 575/2013</w:t>
            </w:r>
          </w:p>
          <w:p w14:paraId="6424FC8A" w14:textId="77777777" w:rsidR="007266CF" w:rsidRPr="006223CC" w:rsidRDefault="007266CF" w:rsidP="007266CF">
            <w:pPr>
              <w:pStyle w:val="body"/>
              <w:rPr>
                <w:rStyle w:val="InstructionsTabelleText"/>
                <w:rFonts w:ascii="Times New Roman" w:hAnsi="Times New Roman"/>
                <w:sz w:val="24"/>
                <w:lang w:val="fr-FR"/>
              </w:rPr>
            </w:pPr>
            <w:r w:rsidRPr="006223CC">
              <w:rPr>
                <w:rStyle w:val="InstructionsTabelleText"/>
                <w:rFonts w:ascii="Times New Roman" w:hAnsi="Times New Roman"/>
                <w:sz w:val="24"/>
                <w:lang w:val="fr-FR"/>
              </w:rPr>
              <w:t>K přebytku nad rámec limitu nástrojů zahrnovaných do kmenového kapitálu tier 1, pro něž platí zachování právních účinků, se přistupuje jako k nástrojům, jejichž právní účinky mohou odpovídat nástrojům zahrnovaným do vedlejšího kapitálu tier 1.</w:t>
            </w:r>
          </w:p>
        </w:tc>
      </w:tr>
      <w:tr w:rsidR="007266CF" w:rsidRPr="006223CC" w14:paraId="7C03EA20" w14:textId="77777777" w:rsidTr="007266CF">
        <w:tc>
          <w:tcPr>
            <w:tcW w:w="703" w:type="dxa"/>
          </w:tcPr>
          <w:p w14:paraId="685F9100"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354A94ED" w14:textId="77777777" w:rsidR="007266CF" w:rsidRPr="002A677E" w:rsidRDefault="007266CF" w:rsidP="007266CF">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Položky, jež vyhovují ustanovením čl. 57 písm. e), f), g) nebo h) směrnice 2006/48/ES, s výhradou omezení uvedených v článku 490 nařízení (EU) č. 575/2013</w:t>
            </w:r>
          </w:p>
          <w:p w14:paraId="09401F78" w14:textId="77777777" w:rsidR="007266CF" w:rsidRPr="006223CC" w:rsidRDefault="007266CF" w:rsidP="007266CF">
            <w:pPr>
              <w:pStyle w:val="body"/>
              <w:rPr>
                <w:rStyle w:val="InstructionsTabelleText"/>
                <w:rFonts w:ascii="Times New Roman" w:hAnsi="Times New Roman"/>
                <w:bCs/>
                <w:sz w:val="24"/>
                <w:lang w:val="fr-FR"/>
              </w:rPr>
            </w:pPr>
            <w:r w:rsidRPr="006223CC">
              <w:rPr>
                <w:rStyle w:val="InstructionsTabelleText"/>
                <w:rFonts w:ascii="Times New Roman" w:hAnsi="Times New Roman"/>
                <w:sz w:val="24"/>
                <w:lang w:val="fr-FR"/>
              </w:rPr>
              <w:t xml:space="preserve">Ustanovení čl. 484 odst. 5 </w:t>
            </w:r>
            <w:r w:rsidRPr="006223CC">
              <w:rPr>
                <w:rFonts w:ascii="Times New Roman" w:hAnsi="Times New Roman"/>
                <w:sz w:val="24"/>
                <w:lang w:val="fr-FR"/>
              </w:rPr>
              <w:t>nařízení (EU) č. 575/2013</w:t>
            </w:r>
          </w:p>
        </w:tc>
      </w:tr>
      <w:tr w:rsidR="007266CF" w:rsidRPr="002A677E" w14:paraId="3299006E" w14:textId="77777777" w:rsidTr="007266CF">
        <w:tc>
          <w:tcPr>
            <w:tcW w:w="703" w:type="dxa"/>
          </w:tcPr>
          <w:p w14:paraId="3D39BBEC"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6AEB0E98" w14:textId="77777777" w:rsidR="007266CF" w:rsidRPr="002A677E" w:rsidRDefault="007266CF" w:rsidP="007266CF">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Celková výše položek bez pobídky ke splacení</w:t>
            </w:r>
          </w:p>
          <w:p w14:paraId="569BD075"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Článek 490 </w:t>
            </w:r>
            <w:r>
              <w:rPr>
                <w:rFonts w:ascii="Times New Roman" w:hAnsi="Times New Roman"/>
                <w:sz w:val="24"/>
              </w:rPr>
              <w:t>nařízení (EU) č. 575/2013</w:t>
            </w:r>
          </w:p>
        </w:tc>
      </w:tr>
      <w:tr w:rsidR="007266CF" w:rsidRPr="002A677E" w14:paraId="0DD1B9EB" w14:textId="77777777" w:rsidTr="007266CF">
        <w:tc>
          <w:tcPr>
            <w:tcW w:w="703" w:type="dxa"/>
          </w:tcPr>
          <w:p w14:paraId="32B25354"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7478" w:type="dxa"/>
          </w:tcPr>
          <w:p w14:paraId="7E338F69" w14:textId="77777777" w:rsidR="007266CF" w:rsidRPr="002A677E" w:rsidRDefault="007266CF" w:rsidP="007266CF">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Položky s pobídkou ke splacení, pro něž platí zachování právních účinků</w:t>
            </w:r>
          </w:p>
          <w:p w14:paraId="1B119D71"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Článek 490 </w:t>
            </w:r>
            <w:r>
              <w:rPr>
                <w:rFonts w:ascii="Times New Roman" w:hAnsi="Times New Roman"/>
                <w:sz w:val="24"/>
              </w:rPr>
              <w:t>nařízení (EU) č. 575/2013</w:t>
            </w:r>
          </w:p>
        </w:tc>
      </w:tr>
      <w:tr w:rsidR="007266CF" w:rsidRPr="002A677E" w14:paraId="4BE31305" w14:textId="77777777" w:rsidTr="007266CF">
        <w:tc>
          <w:tcPr>
            <w:tcW w:w="703" w:type="dxa"/>
          </w:tcPr>
          <w:p w14:paraId="41D612E2"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4C9F4FE0" w14:textId="77777777" w:rsidR="007266CF" w:rsidRPr="002A677E" w:rsidRDefault="007266CF" w:rsidP="007266CF">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Položky s kupní opcí uplatnitelnou po datu pro vykazování, které po datu skutečné splatnosti splňují podmínky podle článku 63 nařízení (EU) č. 575/2013</w:t>
            </w:r>
          </w:p>
          <w:p w14:paraId="16C8342C"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490 odst. 3 a čl. 491 písm. a) </w:t>
            </w:r>
            <w:r>
              <w:rPr>
                <w:rFonts w:ascii="Times New Roman" w:hAnsi="Times New Roman"/>
                <w:sz w:val="24"/>
              </w:rPr>
              <w:t>nařízení (EU) č. 575/2013</w:t>
            </w:r>
          </w:p>
          <w:p w14:paraId="19862FC3"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7266CF" w:rsidRPr="002A677E" w14:paraId="4D1E8B63" w14:textId="77777777" w:rsidTr="007266CF">
        <w:tc>
          <w:tcPr>
            <w:tcW w:w="703" w:type="dxa"/>
          </w:tcPr>
          <w:p w14:paraId="615D9615"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E5399B7" w14:textId="77777777" w:rsidR="007266CF" w:rsidRPr="002A677E" w:rsidRDefault="007266CF" w:rsidP="007266CF">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Položky s kupní opcí uplatnitelnou po datu pro vykazování, které po datu skutečné splatnosti nesplňují podmínky podle článku 63 nařízení (EU) č. 575/2013</w:t>
            </w:r>
          </w:p>
          <w:p w14:paraId="483CE582"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490 odst. 5 a čl. 491 písm. a) </w:t>
            </w:r>
            <w:r>
              <w:rPr>
                <w:rFonts w:ascii="Times New Roman" w:hAnsi="Times New Roman"/>
                <w:sz w:val="24"/>
              </w:rPr>
              <w:t>nařízení (EU) č. 575/2013</w:t>
            </w:r>
          </w:p>
          <w:p w14:paraId="633D98DF"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7266CF" w:rsidRPr="002A677E" w14:paraId="39F056AD" w14:textId="77777777" w:rsidTr="007266CF">
        <w:tc>
          <w:tcPr>
            <w:tcW w:w="703" w:type="dxa"/>
          </w:tcPr>
          <w:p w14:paraId="27D62FC8"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5EF3C4D3" w14:textId="77777777" w:rsidR="007266CF" w:rsidRPr="002A677E" w:rsidRDefault="007266CF" w:rsidP="007266CF">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Položky s kupní opcí uplatnitelnou do 20. července 2011 včetně, které po datu skutečné splatnosti nesplňují podmínky podle článku 63 nařízení (EU) č. 575/2013</w:t>
            </w:r>
          </w:p>
          <w:p w14:paraId="48D2C332"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490 odst. 6 a čl. 491 písm. c) </w:t>
            </w:r>
            <w:r>
              <w:rPr>
                <w:rFonts w:ascii="Times New Roman" w:hAnsi="Times New Roman"/>
                <w:sz w:val="24"/>
              </w:rPr>
              <w:t>nařízení (EU) č. 575/2013</w:t>
            </w:r>
          </w:p>
          <w:p w14:paraId="58972842" w14:textId="77777777" w:rsidR="007266CF" w:rsidRPr="002A677E"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7266CF" w:rsidRPr="006223CC" w14:paraId="1B00E172" w14:textId="77777777" w:rsidTr="007266CF">
        <w:tc>
          <w:tcPr>
            <w:tcW w:w="703" w:type="dxa"/>
          </w:tcPr>
          <w:p w14:paraId="5439F780" w14:textId="77777777" w:rsidR="007266CF" w:rsidRPr="001235ED" w:rsidRDefault="007266CF" w:rsidP="007266CF">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4ED8BC5F" w14:textId="77777777" w:rsidR="007266CF" w:rsidRPr="002A677E" w:rsidRDefault="007266CF" w:rsidP="007266CF">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Přebytek nad rámec limitu nástrojů zahrnovaných do vedlejšího kapitálu tier 1, pro něž platí zachování právních účinků</w:t>
            </w:r>
          </w:p>
          <w:p w14:paraId="6BBF5E4D" w14:textId="77777777" w:rsidR="007266CF" w:rsidRPr="006223CC" w:rsidRDefault="007266CF" w:rsidP="007266CF">
            <w:pPr>
              <w:pStyle w:val="body"/>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Ustanovení čl. 487 odst. 2 </w:t>
            </w:r>
            <w:r w:rsidRPr="006223CC">
              <w:rPr>
                <w:rFonts w:ascii="Times New Roman" w:hAnsi="Times New Roman"/>
                <w:sz w:val="24"/>
                <w:lang w:val="fr-FR"/>
              </w:rPr>
              <w:t xml:space="preserve">nařízení (EU) č. 575/2013 </w:t>
            </w:r>
            <w:r w:rsidRPr="006223CC">
              <w:rPr>
                <w:rStyle w:val="InstructionsTabelleText"/>
                <w:rFonts w:ascii="Times New Roman" w:hAnsi="Times New Roman"/>
                <w:sz w:val="24"/>
                <w:lang w:val="fr-FR"/>
              </w:rPr>
              <w:t xml:space="preserve"> </w:t>
            </w:r>
          </w:p>
          <w:p w14:paraId="2791AF5A" w14:textId="77777777" w:rsidR="007266CF" w:rsidRPr="006223CC" w:rsidRDefault="007266CF" w:rsidP="007266CF">
            <w:pPr>
              <w:pStyle w:val="body"/>
              <w:rPr>
                <w:rStyle w:val="InstructionsTabelleText"/>
                <w:rFonts w:ascii="Times New Roman" w:hAnsi="Times New Roman"/>
                <w:sz w:val="24"/>
                <w:lang w:val="fr-FR"/>
              </w:rPr>
            </w:pPr>
            <w:r w:rsidRPr="006223CC">
              <w:rPr>
                <w:rStyle w:val="InstructionsTabelleText"/>
                <w:rFonts w:ascii="Times New Roman" w:hAnsi="Times New Roman"/>
                <w:sz w:val="24"/>
                <w:lang w:val="fr-FR"/>
              </w:rPr>
              <w:t>K přebytku nad rámec limitu nástrojů zahrnovaných do vedlejšího kapitálu tier 1, pro něž platí zachování právních účinků, se přistupuje jako k nástrojům, jejichž právní účinky mohou přechodně odpovídat nástrojům zahrnovaným do kapitálu tier 2.</w:t>
            </w:r>
          </w:p>
        </w:tc>
      </w:tr>
    </w:tbl>
    <w:p w14:paraId="0BD58C69" w14:textId="77777777" w:rsidR="007266CF" w:rsidRPr="006223CC" w:rsidRDefault="007266CF" w:rsidP="007266CF">
      <w:pPr>
        <w:pStyle w:val="body"/>
        <w:rPr>
          <w:u w:val="single"/>
          <w:lang w:val="fr-FR"/>
        </w:rPr>
      </w:pPr>
    </w:p>
    <w:p w14:paraId="1A786240" w14:textId="77777777" w:rsidR="007266CF" w:rsidRPr="006223CC" w:rsidRDefault="007266CF" w:rsidP="00A75C39">
      <w:pPr>
        <w:pStyle w:val="Instructionsberschrift2"/>
        <w:numPr>
          <w:ilvl w:val="0"/>
          <w:numId w:val="45"/>
        </w:numPr>
        <w:rPr>
          <w:rFonts w:ascii="Times New Roman" w:hAnsi="Times New Roman" w:cs="Times New Roman"/>
          <w:sz w:val="24"/>
          <w:lang w:val="fr-FR"/>
        </w:rPr>
      </w:pPr>
      <w:bookmarkStart w:id="64" w:name="_Toc116026725"/>
      <w:bookmarkStart w:id="65" w:name="_Toc119077882"/>
      <w:r w:rsidRPr="006223CC">
        <w:rPr>
          <w:rFonts w:ascii="Times New Roman" w:hAnsi="Times New Roman"/>
          <w:sz w:val="24"/>
          <w:lang w:val="fr-FR"/>
        </w:rPr>
        <w:lastRenderedPageBreak/>
        <w:t>SKUPINOVÁ SOLVENTNOST: ÚDAJE O PŘIDRUŽENÝCH SUBJEKTECH (GS)</w:t>
      </w:r>
      <w:bookmarkEnd w:id="64"/>
      <w:bookmarkEnd w:id="65"/>
    </w:p>
    <w:p w14:paraId="175DFD61" w14:textId="77777777" w:rsidR="007266CF" w:rsidRPr="002A677E" w:rsidRDefault="007266CF" w:rsidP="00A75C39">
      <w:pPr>
        <w:pStyle w:val="Instructionsberschrift2"/>
        <w:numPr>
          <w:ilvl w:val="1"/>
          <w:numId w:val="55"/>
        </w:numPr>
        <w:rPr>
          <w:rFonts w:ascii="Times New Roman" w:hAnsi="Times New Roman" w:cs="Times New Roman"/>
          <w:sz w:val="24"/>
        </w:rPr>
      </w:pPr>
      <w:bookmarkStart w:id="66" w:name="_Toc116026726"/>
      <w:bookmarkStart w:id="67" w:name="_Toc119077883"/>
      <w:r>
        <w:rPr>
          <w:rFonts w:ascii="Times New Roman" w:hAnsi="Times New Roman"/>
          <w:sz w:val="24"/>
        </w:rPr>
        <w:t>Obecné poznámky</w:t>
      </w:r>
      <w:bookmarkEnd w:id="66"/>
      <w:bookmarkEnd w:id="67"/>
    </w:p>
    <w:p w14:paraId="0BCE3AB3" w14:textId="77777777" w:rsidR="007266CF" w:rsidRPr="002A677E" w:rsidRDefault="007266CF" w:rsidP="007266CF">
      <w:pPr>
        <w:pStyle w:val="InstructionsText2"/>
        <w:numPr>
          <w:ilvl w:val="0"/>
          <w:numId w:val="0"/>
        </w:numPr>
        <w:ind w:left="1353" w:hanging="360"/>
      </w:pPr>
      <w:fldSimple w:instr=" seq paragraphs ">
        <w:r>
          <w:t>27</w:t>
        </w:r>
      </w:fldSimple>
      <w:r>
        <w:t>.</w:t>
      </w:r>
      <w:r>
        <w:tab/>
        <w:t>Šablony C 06.01 a C 06.02 se vykazují, pokud se kapitálové požadavky vypočítávají na konsolidovaném základě. Šablona C 06.02 sestává ze čtyř částí a jejím účelem je shromáždit různé údaje týkající se všech jednotlivých subjektů (včetně vykazující instituce) zahrnutých do konsolidace.</w:t>
      </w:r>
    </w:p>
    <w:p w14:paraId="01AE8AF2" w14:textId="77777777" w:rsidR="007266CF" w:rsidRPr="002A677E" w:rsidRDefault="007266CF" w:rsidP="007266CF">
      <w:pPr>
        <w:pStyle w:val="InstructionsText2"/>
        <w:numPr>
          <w:ilvl w:val="0"/>
          <w:numId w:val="0"/>
        </w:numPr>
        <w:ind w:left="1353" w:hanging="360"/>
      </w:pPr>
      <w:r>
        <w:t>a)</w:t>
      </w:r>
      <w:r>
        <w:tab/>
        <w:t>subjekty, které jsou zahrnuty do konsolidace;</w:t>
      </w:r>
    </w:p>
    <w:p w14:paraId="201515F2" w14:textId="77777777" w:rsidR="007266CF" w:rsidRPr="002A677E" w:rsidRDefault="007266CF" w:rsidP="007266CF">
      <w:pPr>
        <w:pStyle w:val="InstructionsText2"/>
        <w:numPr>
          <w:ilvl w:val="0"/>
          <w:numId w:val="0"/>
        </w:numPr>
        <w:ind w:left="1353" w:hanging="360"/>
      </w:pPr>
      <w:r>
        <w:t>b)</w:t>
      </w:r>
      <w:r>
        <w:tab/>
        <w:t>podrobné údaje týkající se skupinové solventnosti;</w:t>
      </w:r>
    </w:p>
    <w:p w14:paraId="63F7A8F3" w14:textId="77777777" w:rsidR="007266CF" w:rsidRPr="002A677E" w:rsidRDefault="007266CF" w:rsidP="007266CF">
      <w:pPr>
        <w:pStyle w:val="InstructionsText2"/>
        <w:numPr>
          <w:ilvl w:val="0"/>
          <w:numId w:val="0"/>
        </w:numPr>
        <w:ind w:left="1353" w:hanging="360"/>
      </w:pPr>
      <w:r>
        <w:t>c)</w:t>
      </w:r>
      <w:r>
        <w:tab/>
        <w:t>údaje týkající se příspěvku jednotlivých subjektů ke skupinové solventnosti;</w:t>
      </w:r>
    </w:p>
    <w:p w14:paraId="2F19606C" w14:textId="77777777" w:rsidR="007266CF" w:rsidRPr="002A677E" w:rsidRDefault="007266CF" w:rsidP="007266CF">
      <w:pPr>
        <w:pStyle w:val="InstructionsText2"/>
        <w:numPr>
          <w:ilvl w:val="0"/>
          <w:numId w:val="0"/>
        </w:numPr>
        <w:ind w:left="1353" w:hanging="360"/>
      </w:pPr>
      <w:r>
        <w:t>d)</w:t>
      </w:r>
      <w:r>
        <w:tab/>
        <w:t>údaje týkající se kapitálových rezerv;</w:t>
      </w:r>
    </w:p>
    <w:p w14:paraId="7B94E985" w14:textId="77777777" w:rsidR="007266CF" w:rsidRPr="002A677E" w:rsidRDefault="007266CF" w:rsidP="007266CF">
      <w:pPr>
        <w:pStyle w:val="InstructionsText2"/>
        <w:numPr>
          <w:ilvl w:val="0"/>
          <w:numId w:val="0"/>
        </w:numPr>
        <w:ind w:left="1353" w:hanging="360"/>
      </w:pPr>
      <w:fldSimple w:instr=" seq paragraphs ">
        <w:r>
          <w:t>28</w:t>
        </w:r>
      </w:fldSimple>
      <w:r>
        <w:t>.</w:t>
      </w:r>
      <w:r>
        <w:tab/>
        <w:t>Instituce, jež obdržely výjimky podle článku 7 nařízení (EU) č. 575/2013, vyplňují pouze sloupce 0010 až 0060 a 0250 až 0400.</w:t>
      </w:r>
    </w:p>
    <w:p w14:paraId="1ACF8ECD" w14:textId="77777777" w:rsidR="007266CF" w:rsidRPr="002A677E" w:rsidRDefault="007266CF" w:rsidP="007266CF">
      <w:pPr>
        <w:pStyle w:val="InstructionsText2"/>
        <w:numPr>
          <w:ilvl w:val="0"/>
          <w:numId w:val="0"/>
        </w:numPr>
        <w:ind w:left="1353" w:hanging="360"/>
      </w:pPr>
      <w:fldSimple w:instr=" seq paragraphs ">
        <w:r>
          <w:t>29</w:t>
        </w:r>
      </w:fldSimple>
      <w:r>
        <w:t>.</w:t>
      </w:r>
      <w:r>
        <w:tab/>
        <w:t>Vykázané hodnoty zohledňují veškerá platná přechodná ustanovení nařízení (EU) č. 575/2013, která jsou použitelná k příslušnému dni vykazování.</w:t>
      </w:r>
    </w:p>
    <w:p w14:paraId="27A60F23" w14:textId="77777777" w:rsidR="007266CF" w:rsidRPr="002A677E" w:rsidRDefault="007266CF" w:rsidP="00A75C39">
      <w:pPr>
        <w:pStyle w:val="Instructionsberschrift2"/>
        <w:numPr>
          <w:ilvl w:val="1"/>
          <w:numId w:val="56"/>
        </w:numPr>
        <w:rPr>
          <w:rFonts w:ascii="Times New Roman" w:hAnsi="Times New Roman" w:cs="Times New Roman"/>
          <w:sz w:val="24"/>
        </w:rPr>
      </w:pPr>
      <w:bookmarkStart w:id="68" w:name="_Toc116026727"/>
      <w:bookmarkStart w:id="69" w:name="_Toc119077884"/>
      <w:r>
        <w:rPr>
          <w:rFonts w:ascii="Times New Roman" w:hAnsi="Times New Roman"/>
          <w:sz w:val="24"/>
        </w:rPr>
        <w:t>Podrobné údaje týkající se skupinové solventnosti</w:t>
      </w:r>
      <w:bookmarkEnd w:id="68"/>
      <w:bookmarkEnd w:id="69"/>
    </w:p>
    <w:p w14:paraId="289F8231" w14:textId="77777777" w:rsidR="007266CF" w:rsidRPr="002A677E" w:rsidRDefault="007266CF" w:rsidP="007266CF">
      <w:pPr>
        <w:pStyle w:val="InstructionsText2"/>
        <w:numPr>
          <w:ilvl w:val="0"/>
          <w:numId w:val="0"/>
        </w:numPr>
        <w:ind w:left="1353" w:hanging="360"/>
      </w:pPr>
      <w:fldSimple w:instr=" seq paragraphs ">
        <w:r>
          <w:t>30</w:t>
        </w:r>
      </w:fldSimple>
      <w:r>
        <w:t>.</w:t>
      </w:r>
      <w:r>
        <w:tab/>
        <w:t xml:space="preserve">Druhá část šablony C 06.02 (podrobné údaje týkající se skupinové solventnosti) vymezená sloupci 0070 až 0210 je koncipována tak, aby v ní byly shromážděny údaje o úvěrových a jiných regulovaných finančních institucích, které jednotlivě skutečně podléhají zvláštním solventnostním požadavkům. Tato část šablony stanoví pro každý z těchto subjektů v rámci vykazování kapitálové požadavky u každé kategorie rizika a výše kapitálu pro účely solventnosti. </w:t>
      </w:r>
    </w:p>
    <w:p w14:paraId="0A52486D" w14:textId="77777777" w:rsidR="007266CF" w:rsidRPr="002A677E" w:rsidRDefault="007266CF" w:rsidP="007266CF">
      <w:pPr>
        <w:pStyle w:val="InstructionsText2"/>
        <w:numPr>
          <w:ilvl w:val="0"/>
          <w:numId w:val="0"/>
        </w:numPr>
        <w:ind w:left="1353" w:hanging="360"/>
      </w:pPr>
      <w:fldSimple w:instr=" seq paragraphs ">
        <w:r>
          <w:t>31</w:t>
        </w:r>
      </w:fldSimple>
      <w:r>
        <w:t>.</w:t>
      </w:r>
      <w:r>
        <w:tab/>
        <w:t>Číselné údaje související s kapitálovými požadavky a kapitálem vyjadřují v případě poměrné konsolidace účastí příslušné poměrné částky.</w:t>
      </w:r>
    </w:p>
    <w:p w14:paraId="11B14109" w14:textId="77777777" w:rsidR="007266CF" w:rsidRPr="002A677E" w:rsidRDefault="007266CF" w:rsidP="00A75C39">
      <w:pPr>
        <w:pStyle w:val="Instructionsberschrift2"/>
        <w:numPr>
          <w:ilvl w:val="1"/>
          <w:numId w:val="45"/>
        </w:numPr>
        <w:rPr>
          <w:rFonts w:ascii="Times New Roman" w:hAnsi="Times New Roman" w:cs="Times New Roman"/>
          <w:sz w:val="24"/>
        </w:rPr>
      </w:pPr>
      <w:bookmarkStart w:id="70" w:name="_Toc116026728"/>
      <w:bookmarkStart w:id="71" w:name="_Toc119077885"/>
      <w:r>
        <w:rPr>
          <w:rFonts w:ascii="Times New Roman" w:hAnsi="Times New Roman"/>
          <w:sz w:val="24"/>
        </w:rPr>
        <w:t>Údaje týkající se příspěvku jednotlivých subjektů ke skupinové solventnosti</w:t>
      </w:r>
      <w:bookmarkEnd w:id="70"/>
      <w:bookmarkEnd w:id="71"/>
    </w:p>
    <w:p w14:paraId="5818BC07" w14:textId="77777777" w:rsidR="007266CF" w:rsidRPr="002A677E" w:rsidRDefault="007266CF" w:rsidP="007266CF">
      <w:pPr>
        <w:pStyle w:val="InstructionsText2"/>
        <w:numPr>
          <w:ilvl w:val="0"/>
          <w:numId w:val="0"/>
        </w:numPr>
        <w:ind w:left="1353" w:hanging="360"/>
      </w:pPr>
      <w:fldSimple w:instr=" seq paragraphs ">
        <w:r>
          <w:t>32</w:t>
        </w:r>
      </w:fldSimple>
      <w:r>
        <w:t>.</w:t>
      </w:r>
      <w:r>
        <w:tab/>
        <w:t xml:space="preserve">Cílem třetí části šablony C 06.02 a šablony C 06.01 (údaje týkající se příspěvků všech subjektů v rámci konsolidace podle nařízení (EU) č. 575/2013 ke skupinové solventnosti, včetně subjektů, které jednotlivě nepodléhají zvláštním solventnostním požadavkům) vymezené sloupci 0250 až 0400 je zjistit, které subjekty ve skupině generují rizika a tržně zvyšují kapitál, a to na základě údajů, které jsou snadno k dispozici nebo mohou být bez obtíží znovu zpracovány, aniž by bylo nutno přepočítávat kapitálový poměr na individuálním nebo subkonsolidovaném základě. Na úrovni subjektu představují číselné údaje o riziku i kapitálu příspěvky k údajům skupiny, a nikoli prvky solventnostního poměru na individuálním základě, a proto je nelze vzájemně porovnávat. </w:t>
      </w:r>
    </w:p>
    <w:p w14:paraId="47F23681" w14:textId="77777777" w:rsidR="007266CF" w:rsidRPr="002A677E" w:rsidRDefault="007266CF" w:rsidP="007266CF">
      <w:pPr>
        <w:pStyle w:val="InstructionsText2"/>
        <w:numPr>
          <w:ilvl w:val="0"/>
          <w:numId w:val="0"/>
        </w:numPr>
        <w:ind w:left="1353" w:hanging="360"/>
      </w:pPr>
      <w:fldSimple w:instr=" seq paragraphs ">
        <w:r>
          <w:t>33</w:t>
        </w:r>
      </w:fldSimple>
      <w:r>
        <w:t>.</w:t>
      </w:r>
      <w:r>
        <w:tab/>
        <w:t>Třetí část šablony zahrnuje rovněž částky menšinových podílů, kvalifikovaného vedlejšího kapitálu tier 1 a kvalifikovaného kapitálu tier 2, které lze zahrnout do konsolidovaného kapitálu.</w:t>
      </w:r>
    </w:p>
    <w:p w14:paraId="3221C429" w14:textId="77777777" w:rsidR="007266CF" w:rsidRPr="002A677E" w:rsidRDefault="007266CF" w:rsidP="007266CF">
      <w:pPr>
        <w:pStyle w:val="InstructionsText2"/>
        <w:numPr>
          <w:ilvl w:val="0"/>
          <w:numId w:val="0"/>
        </w:numPr>
        <w:ind w:left="1353" w:hanging="360"/>
      </w:pPr>
      <w:fldSimple w:instr=" seq paragraphs ">
        <w:r>
          <w:t>34</w:t>
        </w:r>
      </w:fldSimple>
      <w:r>
        <w:t>.</w:t>
      </w:r>
      <w:r>
        <w:tab/>
        <w:t>Vzhledem k tomu, že tato třetí část šablony odkazuje na „příspěvky“, číselné údaje, které se v ní vykazují, se v příslušných případech mohou odlišovat od údajů vykázaných ve sloupcích, které odkazují na podrobné údaje o skupinové solventnosti.</w:t>
      </w:r>
    </w:p>
    <w:p w14:paraId="546F35CE" w14:textId="77777777" w:rsidR="007266CF" w:rsidRPr="002A677E" w:rsidRDefault="007266CF" w:rsidP="007266CF">
      <w:pPr>
        <w:pStyle w:val="InstructionsText2"/>
        <w:numPr>
          <w:ilvl w:val="0"/>
          <w:numId w:val="0"/>
        </w:numPr>
        <w:ind w:left="1353" w:hanging="360"/>
      </w:pPr>
      <w:fldSimple w:instr=" seq paragraphs ">
        <w:r>
          <w:t>35</w:t>
        </w:r>
      </w:fldSimple>
      <w:r>
        <w:t>.</w:t>
      </w:r>
      <w:r>
        <w:tab/>
        <w:t>Princip spočívá v tom, že je nutné homogenním způsobem vypustit křížící se expozice v rámci téže skupiny jak z hlediska rizik, tak kapitálu, aby bylo možno dosáhnout částky vykázané v konsolidované šabloně CA skupiny, a to součtem částek za každý subjekt vykázaných v šabloně „skupinová solventnost“. V případech, kdy není překročena 1% prahová hodnota, není možná přímá vazba na šablonu CA.</w:t>
      </w:r>
    </w:p>
    <w:p w14:paraId="497002AB" w14:textId="77777777" w:rsidR="007266CF" w:rsidRPr="002A677E" w:rsidRDefault="007266CF" w:rsidP="007266CF">
      <w:pPr>
        <w:pStyle w:val="InstructionsText2"/>
        <w:numPr>
          <w:ilvl w:val="0"/>
          <w:numId w:val="0"/>
        </w:numPr>
        <w:ind w:left="1353" w:hanging="360"/>
      </w:pPr>
      <w:fldSimple w:instr=" seq paragraphs ">
        <w:r>
          <w:t>36</w:t>
        </w:r>
      </w:fldSimple>
      <w:r>
        <w:t>.</w:t>
      </w:r>
      <w:r>
        <w:tab/>
        <w:t>Instituce definují nejvhodnější metodu rozdělení mezi jednotlivé subjekty, aby bylo možno zohlednit případné diverzifikační efekty, pokud jde o tržní riziko a operační riziko.</w:t>
      </w:r>
    </w:p>
    <w:p w14:paraId="69232400" w14:textId="77777777" w:rsidR="007266CF" w:rsidRPr="002A677E" w:rsidRDefault="007266CF" w:rsidP="007266CF">
      <w:pPr>
        <w:pStyle w:val="InstructionsText2"/>
        <w:numPr>
          <w:ilvl w:val="0"/>
          <w:numId w:val="0"/>
        </w:numPr>
        <w:ind w:left="1353" w:hanging="360"/>
      </w:pPr>
      <w:fldSimple w:instr=" seq paragraphs ">
        <w:r>
          <w:t>37</w:t>
        </w:r>
      </w:fldSimple>
      <w:r>
        <w:t>.</w:t>
      </w:r>
      <w:r>
        <w:tab/>
        <w:t xml:space="preserve">Je možné, aby jedna konsolidovaná skupina byla začleněna do jiné konsolidované skupiny. To znamená, že se subjekty v rámci podskupiny vykazují podle jednotlivých subjektů do šablony GS celé skupiny, i když i sama tato podskupina má povinnost podávat zprávy. Podskupina, která podléhá povinnosti podávat zprávy, vykáže také šablonu GS podle jednotlivých subjektů, i když jsou tyto údaje zahrnuty v šabloně GS konsolidované skupiny vyšší úrovně. </w:t>
      </w:r>
    </w:p>
    <w:p w14:paraId="0428F197" w14:textId="77777777" w:rsidR="007266CF" w:rsidRPr="002A677E" w:rsidRDefault="007266CF" w:rsidP="007266CF">
      <w:pPr>
        <w:pStyle w:val="InstructionsText2"/>
        <w:numPr>
          <w:ilvl w:val="0"/>
          <w:numId w:val="0"/>
        </w:numPr>
        <w:ind w:left="1353" w:hanging="360"/>
      </w:pPr>
      <w:fldSimple w:instr=" seq paragraphs ">
        <w:r>
          <w:t>38</w:t>
        </w:r>
      </w:fldSimple>
      <w:r>
        <w:t>.</w:t>
      </w:r>
      <w:r>
        <w:tab/>
        <w:t>Instituce vykazuje údaje o příspěvku subjektu, jestliže jeho příspěvek k celkovému objemu rizikové expozice přesahuje 1 % celkového objemu rizikové expozice skupiny nebo jeho příspěvek k celkovému kapitálu přesahuje 1 % celkového kapitálu skupiny. Tato prahová hodnota se nevztahuje na dceřiné podniky či podskupiny, které skupině poskytují kapitál (ve formě menšinových podílů nebo kvalifikovaných nástrojů v rámci vedlejšího kapitálu tier 1 nebo kapitálu tier 2 zahrnovaných do kapitálu).</w:t>
      </w:r>
    </w:p>
    <w:p w14:paraId="31C8DC50" w14:textId="77777777" w:rsidR="007266CF" w:rsidRPr="002A677E" w:rsidRDefault="007266CF" w:rsidP="00A75C39">
      <w:pPr>
        <w:pStyle w:val="Instructionsberschrift2"/>
        <w:numPr>
          <w:ilvl w:val="1"/>
          <w:numId w:val="57"/>
        </w:numPr>
        <w:rPr>
          <w:rFonts w:ascii="Times New Roman" w:hAnsi="Times New Roman" w:cs="Times New Roman"/>
          <w:sz w:val="24"/>
        </w:rPr>
      </w:pPr>
      <w:bookmarkStart w:id="72" w:name="_Toc116026729"/>
      <w:bookmarkStart w:id="73" w:name="_Toc119077886"/>
      <w:r>
        <w:rPr>
          <w:rFonts w:ascii="Times New Roman" w:hAnsi="Times New Roman"/>
          <w:sz w:val="24"/>
        </w:rPr>
        <w:t>C 06.01 – SKUPINOVÁ SOLVENTNOST: ÚDAJE O PŘIDRUŽENÝCH SUBJEKTECH – celkem (GS Total)</w:t>
      </w:r>
      <w:bookmarkEnd w:id="72"/>
      <w:bookmarkEnd w:id="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7266CF" w:rsidRPr="002A677E" w14:paraId="173A0CAE" w14:textId="77777777" w:rsidTr="007266CF">
        <w:tc>
          <w:tcPr>
            <w:tcW w:w="1188" w:type="dxa"/>
            <w:shd w:val="clear" w:color="auto" w:fill="CCCCCC"/>
          </w:tcPr>
          <w:p w14:paraId="01B8B438" w14:textId="77777777" w:rsidR="007266CF" w:rsidRPr="001235ED" w:rsidRDefault="007266CF" w:rsidP="007266CF">
            <w:pPr>
              <w:rPr>
                <w:rStyle w:val="InstructionsTabelleText"/>
                <w:rFonts w:ascii="Times New Roman" w:hAnsi="Times New Roman"/>
                <w:sz w:val="24"/>
              </w:rPr>
            </w:pPr>
            <w:r>
              <w:rPr>
                <w:rStyle w:val="InstructionsTabelleText"/>
                <w:rFonts w:ascii="Times New Roman" w:hAnsi="Times New Roman"/>
                <w:sz w:val="24"/>
              </w:rPr>
              <w:t>Sloupce</w:t>
            </w:r>
          </w:p>
        </w:tc>
        <w:tc>
          <w:tcPr>
            <w:tcW w:w="8640" w:type="dxa"/>
            <w:shd w:val="clear" w:color="auto" w:fill="CCCCCC"/>
          </w:tcPr>
          <w:p w14:paraId="25E682F1"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Pokyny</w:t>
            </w:r>
          </w:p>
        </w:tc>
      </w:tr>
      <w:tr w:rsidR="007266CF" w:rsidRPr="002A677E" w14:paraId="03DDD0C9" w14:textId="77777777" w:rsidTr="007266CF">
        <w:tc>
          <w:tcPr>
            <w:tcW w:w="1188" w:type="dxa"/>
          </w:tcPr>
          <w:p w14:paraId="29053160"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4743F24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SUBJEKTY, KTERÉ JSOU ZAHRNUTY DO KONSOLIDACE</w:t>
            </w:r>
          </w:p>
          <w:p w14:paraId="14B1CBA2" w14:textId="77777777" w:rsidR="007266CF" w:rsidRPr="002A677E" w:rsidRDefault="007266CF" w:rsidP="007266CF">
            <w:pPr>
              <w:rPr>
                <w:rStyle w:val="InstructionsTabelleberschrift"/>
                <w:rFonts w:ascii="Times New Roman" w:hAnsi="Times New Roman"/>
                <w:b w:val="0"/>
                <w:bCs w:val="0"/>
                <w:sz w:val="24"/>
              </w:rPr>
            </w:pPr>
            <w:r>
              <w:rPr>
                <w:rStyle w:val="InstructionsTabelleText"/>
                <w:rFonts w:ascii="Times New Roman" w:hAnsi="Times New Roman"/>
                <w:sz w:val="24"/>
              </w:rPr>
              <w:t>Viz pokyny k šabloně C 06.02.</w:t>
            </w:r>
          </w:p>
        </w:tc>
      </w:tr>
      <w:tr w:rsidR="007266CF" w:rsidRPr="002A677E" w14:paraId="4D167A83" w14:textId="77777777" w:rsidTr="007266CF">
        <w:tc>
          <w:tcPr>
            <w:tcW w:w="1188" w:type="dxa"/>
            <w:tcBorders>
              <w:top w:val="single" w:sz="4" w:space="0" w:color="auto"/>
              <w:left w:val="single" w:sz="4" w:space="0" w:color="auto"/>
              <w:bottom w:val="single" w:sz="4" w:space="0" w:color="auto"/>
              <w:right w:val="single" w:sz="4" w:space="0" w:color="auto"/>
            </w:tcBorders>
          </w:tcPr>
          <w:p w14:paraId="6F9F54B5"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4E818B9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KAPITÁLOVÉ REZERVY</w:t>
            </w:r>
          </w:p>
          <w:p w14:paraId="5AD589DB"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Viz pokyny k šabloně C 06.02.</w:t>
            </w:r>
          </w:p>
        </w:tc>
      </w:tr>
    </w:tbl>
    <w:p w14:paraId="7266D944" w14:textId="77777777" w:rsidR="007266CF" w:rsidRPr="002A677E" w:rsidRDefault="007266CF" w:rsidP="007266C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7266CF" w:rsidRPr="002A677E" w14:paraId="6570AEDC" w14:textId="77777777" w:rsidTr="007266CF">
        <w:tc>
          <w:tcPr>
            <w:tcW w:w="1188" w:type="dxa"/>
            <w:shd w:val="clear" w:color="auto" w:fill="CCCCCC"/>
          </w:tcPr>
          <w:p w14:paraId="6EA9F232" w14:textId="77777777" w:rsidR="007266CF" w:rsidRPr="001235ED" w:rsidRDefault="007266CF" w:rsidP="007266CF">
            <w:pPr>
              <w:rPr>
                <w:rStyle w:val="InstructionsTabelleText"/>
                <w:rFonts w:ascii="Times New Roman" w:hAnsi="Times New Roman"/>
                <w:sz w:val="24"/>
              </w:rPr>
            </w:pPr>
            <w:r>
              <w:rPr>
                <w:rStyle w:val="InstructionsTabelleText"/>
                <w:rFonts w:ascii="Times New Roman" w:hAnsi="Times New Roman"/>
                <w:sz w:val="24"/>
              </w:rPr>
              <w:t>Řádky</w:t>
            </w:r>
          </w:p>
        </w:tc>
        <w:tc>
          <w:tcPr>
            <w:tcW w:w="8640" w:type="dxa"/>
            <w:shd w:val="clear" w:color="auto" w:fill="CCCCCC"/>
          </w:tcPr>
          <w:p w14:paraId="08BD68F8"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Pokyny</w:t>
            </w:r>
          </w:p>
        </w:tc>
      </w:tr>
      <w:tr w:rsidR="007266CF" w:rsidRPr="002A677E" w14:paraId="25118AA7" w14:textId="77777777" w:rsidTr="007266CF">
        <w:tc>
          <w:tcPr>
            <w:tcW w:w="1188" w:type="dxa"/>
          </w:tcPr>
          <w:p w14:paraId="2EF113A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718CA0F2"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CELKEM</w:t>
            </w:r>
          </w:p>
          <w:p w14:paraId="3B076098" w14:textId="77777777" w:rsidR="007266CF" w:rsidRPr="002A677E" w:rsidRDefault="007266CF" w:rsidP="007266CF">
            <w:pPr>
              <w:rPr>
                <w:rStyle w:val="InstructionsTabelleberschrift"/>
                <w:rFonts w:ascii="Times New Roman" w:hAnsi="Times New Roman"/>
                <w:b w:val="0"/>
                <w:bCs w:val="0"/>
                <w:sz w:val="24"/>
              </w:rPr>
            </w:pPr>
            <w:r>
              <w:rPr>
                <w:rStyle w:val="InstructionsTabelleText"/>
                <w:rFonts w:ascii="Times New Roman" w:hAnsi="Times New Roman"/>
                <w:sz w:val="24"/>
              </w:rPr>
              <w:t>Celková hodnota představuje součet hodnot vykázaných ve všech řádcích šablony C 06.02.</w:t>
            </w:r>
          </w:p>
        </w:tc>
      </w:tr>
    </w:tbl>
    <w:p w14:paraId="2D00DD92" w14:textId="77777777" w:rsidR="007266CF" w:rsidRPr="002A677E" w:rsidRDefault="007266CF" w:rsidP="007266CF">
      <w:pPr>
        <w:pStyle w:val="InstructionsText"/>
      </w:pPr>
    </w:p>
    <w:p w14:paraId="1540E6A9" w14:textId="77777777" w:rsidR="007266CF" w:rsidRPr="002A677E" w:rsidRDefault="007266CF" w:rsidP="00A75C39">
      <w:pPr>
        <w:pStyle w:val="Instructionsberschrift2"/>
        <w:numPr>
          <w:ilvl w:val="1"/>
          <w:numId w:val="58"/>
        </w:numPr>
        <w:rPr>
          <w:rFonts w:ascii="Times New Roman" w:hAnsi="Times New Roman" w:cs="Times New Roman"/>
          <w:sz w:val="24"/>
        </w:rPr>
      </w:pPr>
      <w:bookmarkStart w:id="74" w:name="_Toc116026730"/>
      <w:bookmarkStart w:id="75" w:name="_Toc119077887"/>
      <w:r>
        <w:rPr>
          <w:rFonts w:ascii="Times New Roman" w:hAnsi="Times New Roman"/>
          <w:sz w:val="24"/>
        </w:rPr>
        <w:lastRenderedPageBreak/>
        <w:t>C 06.02 – SKUPINOVÁ SOLVENTNOST: ÚDAJE O PŘIDRUŽENÝCH SUBJEKTECH (GS)</w:t>
      </w:r>
      <w:bookmarkEnd w:id="74"/>
      <w:bookmarkEnd w:id="7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7266CF" w:rsidRPr="002A677E" w14:paraId="43AAE7FE" w14:textId="77777777" w:rsidTr="007266CF">
        <w:tc>
          <w:tcPr>
            <w:tcW w:w="1188" w:type="dxa"/>
            <w:shd w:val="clear" w:color="auto" w:fill="CCCCCC"/>
          </w:tcPr>
          <w:p w14:paraId="75DD92D8" w14:textId="77777777" w:rsidR="007266CF" w:rsidRPr="001235ED" w:rsidRDefault="007266CF" w:rsidP="007266CF">
            <w:pPr>
              <w:rPr>
                <w:rStyle w:val="InstructionsTabelleText"/>
                <w:rFonts w:ascii="Times New Roman" w:hAnsi="Times New Roman"/>
                <w:sz w:val="24"/>
              </w:rPr>
            </w:pPr>
            <w:r>
              <w:rPr>
                <w:rStyle w:val="InstructionsTabelleText"/>
                <w:rFonts w:ascii="Times New Roman" w:hAnsi="Times New Roman"/>
                <w:sz w:val="24"/>
              </w:rPr>
              <w:t>Sloupce</w:t>
            </w:r>
          </w:p>
        </w:tc>
        <w:tc>
          <w:tcPr>
            <w:tcW w:w="8640" w:type="dxa"/>
            <w:shd w:val="clear" w:color="auto" w:fill="CCCCCC"/>
          </w:tcPr>
          <w:p w14:paraId="5057642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Pokyny</w:t>
            </w:r>
          </w:p>
        </w:tc>
      </w:tr>
      <w:tr w:rsidR="007266CF" w:rsidRPr="002A677E" w14:paraId="4EB75539" w14:textId="77777777" w:rsidTr="007266CF">
        <w:tc>
          <w:tcPr>
            <w:tcW w:w="1188" w:type="dxa"/>
          </w:tcPr>
          <w:p w14:paraId="0E92C65B"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2FD044A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SUBJEKTY, KTERÉ JSOU ZAHRNUTY DO KONSOLIDACE</w:t>
            </w:r>
          </w:p>
          <w:p w14:paraId="63E7CD2E" w14:textId="77777777" w:rsidR="007266CF" w:rsidRPr="002A677E" w:rsidRDefault="007266CF" w:rsidP="007266CF">
            <w:pPr>
              <w:rPr>
                <w:rStyle w:val="InstructionsTabelleberschrift"/>
                <w:rFonts w:ascii="Times New Roman" w:hAnsi="Times New Roman"/>
                <w:b w:val="0"/>
                <w:bCs w:val="0"/>
                <w:sz w:val="24"/>
              </w:rPr>
            </w:pPr>
            <w:r>
              <w:rPr>
                <w:rStyle w:val="InstructionsTabelleText"/>
                <w:rFonts w:ascii="Times New Roman" w:hAnsi="Times New Roman"/>
                <w:sz w:val="24"/>
              </w:rPr>
              <w:t xml:space="preserve">Prostřednictvím této šablony se za každý subjekt jednotlivě shromažďují údaje o všech subjektech, které jsou zahrnuty do konsolidace podle </w:t>
            </w:r>
            <w:r>
              <w:rPr>
                <w:rFonts w:ascii="Times New Roman" w:hAnsi="Times New Roman"/>
                <w:sz w:val="24"/>
              </w:rPr>
              <w:t>kapitoly 2 hlavy II části první nařízení (EU) č. 575/2013</w:t>
            </w:r>
            <w:r>
              <w:rPr>
                <w:rStyle w:val="InstructionsTabelleText"/>
                <w:rFonts w:ascii="Times New Roman" w:hAnsi="Times New Roman"/>
                <w:sz w:val="24"/>
              </w:rPr>
              <w:t xml:space="preserve">. </w:t>
            </w:r>
          </w:p>
        </w:tc>
      </w:tr>
      <w:tr w:rsidR="007266CF" w:rsidRPr="002A677E" w14:paraId="4C2F89EF" w14:textId="77777777" w:rsidTr="007266CF">
        <w:tc>
          <w:tcPr>
            <w:tcW w:w="1188" w:type="dxa"/>
          </w:tcPr>
          <w:p w14:paraId="6A4D3AA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2FD1104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NÁZEV</w:t>
            </w:r>
          </w:p>
          <w:p w14:paraId="026A89A7"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Název subjektu zahrnutého do konsolidace.</w:t>
            </w:r>
          </w:p>
        </w:tc>
      </w:tr>
      <w:tr w:rsidR="007266CF" w:rsidRPr="002A677E" w14:paraId="574D2079" w14:textId="77777777" w:rsidTr="007266CF">
        <w:tc>
          <w:tcPr>
            <w:tcW w:w="1188" w:type="dxa"/>
          </w:tcPr>
          <w:p w14:paraId="56CB6D7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534592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KÓD</w:t>
            </w:r>
          </w:p>
          <w:p w14:paraId="544E34D1" w14:textId="77777777" w:rsidR="007266CF" w:rsidRPr="002A677E" w:rsidRDefault="007266CF" w:rsidP="007266CF">
            <w:pPr>
              <w:pStyle w:val="InstructionsText"/>
              <w:rPr>
                <w:rStyle w:val="InstructionsTabelleText"/>
                <w:rFonts w:ascii="Times New Roman" w:hAnsi="Times New Roman"/>
                <w:sz w:val="24"/>
              </w:rPr>
            </w:pPr>
            <w:r>
              <w:rPr>
                <w:rStyle w:val="InstructionsTabelleText"/>
                <w:rFonts w:ascii="Times New Roman" w:hAnsi="Times New Roman"/>
                <w:sz w:val="24"/>
              </w:rPr>
              <w:t>Tento kód je součástí identifikátoru řádku a musí být pro každý vykazovaný subjekt jedinečný. V případě institucí a pojišťoven je tímto kódem kód LEI. U ostatních subjektů je jím kód LEI; není-li kód LEI k dispozici, vykáže se vnitrostátní kód. Kód je jedinečný a v šablonách se v průběhu času používá konzistentně. Kód má vždy hodnotu.</w:t>
            </w:r>
          </w:p>
        </w:tc>
      </w:tr>
      <w:tr w:rsidR="007266CF" w:rsidRPr="002A677E" w14:paraId="6831A513" w14:textId="77777777" w:rsidTr="007266CF">
        <w:tc>
          <w:tcPr>
            <w:tcW w:w="1188" w:type="dxa"/>
          </w:tcPr>
          <w:p w14:paraId="44E3A709"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6C8BDF61"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TYP KÓDU</w:t>
            </w:r>
          </w:p>
          <w:p w14:paraId="4D0587A5"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Instituce označí typ kódu vykázaného ve</w:t>
            </w:r>
            <w:r>
              <w:rPr>
                <w:rStyle w:val="FormatvorlageInstructionsTabelleText"/>
                <w:rFonts w:ascii="Times New Roman" w:hAnsi="Times New Roman"/>
                <w:sz w:val="24"/>
              </w:rPr>
              <w:t xml:space="preserve"> sloupci 0021 jako „kód LEI“ nebo „jiný než kód LEI“. Typ kódu se vykazuje vždy.</w:t>
            </w:r>
          </w:p>
        </w:tc>
      </w:tr>
      <w:tr w:rsidR="007266CF" w:rsidRPr="002A677E" w14:paraId="518012F9" w14:textId="77777777" w:rsidTr="007266CF">
        <w:tc>
          <w:tcPr>
            <w:tcW w:w="1188" w:type="dxa"/>
          </w:tcPr>
          <w:p w14:paraId="5396A577" w14:textId="77777777" w:rsidR="007266CF" w:rsidRPr="002A677E" w:rsidDel="00BF0637" w:rsidRDefault="007266CF" w:rsidP="007266CF">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55569EB8"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VNITROSTÁTNÍ KÓD</w:t>
            </w:r>
          </w:p>
          <w:p w14:paraId="7713E689" w14:textId="77777777" w:rsidR="007266CF" w:rsidRPr="002A677E" w:rsidDel="00BF0637" w:rsidRDefault="007266CF" w:rsidP="007266CF">
            <w:pPr>
              <w:rPr>
                <w:rStyle w:val="InstructionsTabelleberschrift"/>
                <w:rFonts w:ascii="Times New Roman" w:hAnsi="Times New Roman"/>
                <w:sz w:val="24"/>
              </w:rPr>
            </w:pPr>
            <w:r>
              <w:rPr>
                <w:rFonts w:ascii="Times New Roman" w:hAnsi="Times New Roman"/>
                <w:sz w:val="24"/>
              </w:rPr>
              <w:t>Instituce, které ve sloupci „Kód“ jako identifikátor vykázaly kód LEI, mohou kromě toho vykázat vnitrostátní kód.</w:t>
            </w:r>
          </w:p>
        </w:tc>
      </w:tr>
      <w:tr w:rsidR="007266CF" w:rsidRPr="002A677E" w14:paraId="622CDA0A" w14:textId="77777777" w:rsidTr="007266CF">
        <w:tc>
          <w:tcPr>
            <w:tcW w:w="1188" w:type="dxa"/>
          </w:tcPr>
          <w:p w14:paraId="3964C861"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A67F69F" w14:textId="77777777" w:rsidR="007266CF" w:rsidRPr="006223CC" w:rsidRDefault="007266CF" w:rsidP="007266CF">
            <w:pPr>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INSTITUCE NEBO EKVIVALENT (ANO/NE)</w:t>
            </w:r>
          </w:p>
          <w:p w14:paraId="316D133F"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„ANO“ se uvede v případě, že se na subjekt vztahují kapitálové požadavky podle </w:t>
            </w:r>
            <w:r w:rsidRPr="006223CC">
              <w:rPr>
                <w:rFonts w:ascii="Times New Roman" w:hAnsi="Times New Roman"/>
                <w:sz w:val="24"/>
                <w:lang w:val="fr-FR"/>
              </w:rPr>
              <w:t xml:space="preserve">nařízení (EU) č. 575/2013 </w:t>
            </w:r>
            <w:r w:rsidRPr="006223CC">
              <w:rPr>
                <w:rStyle w:val="InstructionsTabelleText"/>
                <w:rFonts w:ascii="Times New Roman" w:hAnsi="Times New Roman"/>
                <w:sz w:val="24"/>
                <w:lang w:val="fr-FR"/>
              </w:rPr>
              <w:t>a</w:t>
            </w:r>
            <w:r w:rsidRPr="006223CC">
              <w:rPr>
                <w:rFonts w:ascii="Times New Roman" w:hAnsi="Times New Roman"/>
                <w:sz w:val="24"/>
                <w:lang w:val="fr-FR"/>
              </w:rPr>
              <w:t xml:space="preserve"> směrnice 2013/36/EU</w:t>
            </w:r>
            <w:r w:rsidRPr="006223CC">
              <w:rPr>
                <w:rStyle w:val="InstructionsTabelleText"/>
                <w:rFonts w:ascii="Times New Roman" w:hAnsi="Times New Roman"/>
                <w:sz w:val="24"/>
                <w:lang w:val="fr-FR"/>
              </w:rPr>
              <w:t xml:space="preserve"> nebo ustanovení, která jsou přinejmenším rovnocenná basilejským ustanovením</w:t>
            </w:r>
            <w:r w:rsidRPr="006223CC">
              <w:rPr>
                <w:rFonts w:ascii="Times New Roman" w:hAnsi="Times New Roman"/>
                <w:sz w:val="24"/>
                <w:lang w:val="fr-FR"/>
              </w:rPr>
              <w:t>.</w:t>
            </w:r>
          </w:p>
          <w:p w14:paraId="4088176D"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„NE“ se uvede v jiných případech.</w:t>
            </w:r>
          </w:p>
          <w:p w14:paraId="3FF78BA3" w14:textId="77777777" w:rsidR="007266CF" w:rsidRPr="006223CC" w:rsidRDefault="007266CF" w:rsidP="007266CF">
            <w:pPr>
              <w:rPr>
                <w:rStyle w:val="InstructionsTabelleText"/>
                <w:rFonts w:ascii="Times New Roman" w:hAnsi="Times New Roman"/>
                <w:sz w:val="24"/>
                <w:lang w:val="fr-FR"/>
              </w:rPr>
            </w:pPr>
          </w:p>
          <w:p w14:paraId="16B4BA4B" w14:textId="77777777" w:rsidR="007266CF" w:rsidRPr="006223CC" w:rsidRDefault="007266CF" w:rsidP="007266CF">
            <w:pPr>
              <w:ind w:left="372" w:hanging="360"/>
              <w:contextualSpacing/>
              <w:rPr>
                <w:rStyle w:val="InstructionsTabelleText"/>
                <w:rFonts w:ascii="Times New Roman" w:hAnsi="Times New Roman"/>
                <w:sz w:val="24"/>
                <w:lang w:val="fr-FR"/>
              </w:rPr>
            </w:pPr>
            <w:r>
              <w:rPr>
                <w:rStyle w:val="InstructionsTabelleText"/>
                <w:rFonts w:ascii="Wingdings" w:hAnsi="Wingdings"/>
                <w:sz w:val="24"/>
              </w:rPr>
              <w:t></w:t>
            </w:r>
            <w:r w:rsidRPr="006223CC">
              <w:rPr>
                <w:lang w:val="fr-FR"/>
              </w:rPr>
              <w:tab/>
            </w:r>
            <w:r w:rsidRPr="006223CC">
              <w:rPr>
                <w:rStyle w:val="InstructionsTabelleText"/>
                <w:rFonts w:ascii="Times New Roman" w:hAnsi="Times New Roman"/>
                <w:sz w:val="24"/>
                <w:lang w:val="fr-FR"/>
              </w:rPr>
              <w:t>Menšinové podíly:</w:t>
            </w:r>
          </w:p>
          <w:p w14:paraId="2E5B8D10" w14:textId="77777777" w:rsidR="007266CF" w:rsidRPr="002A677E" w:rsidRDefault="007266CF" w:rsidP="007266CF">
            <w:pPr>
              <w:rPr>
                <w:rStyle w:val="InstructionsTabelleText"/>
                <w:rFonts w:ascii="Times New Roman" w:hAnsi="Times New Roman"/>
                <w:sz w:val="24"/>
              </w:rPr>
            </w:pPr>
            <w:r w:rsidRPr="006223CC">
              <w:rPr>
                <w:rFonts w:ascii="Times New Roman" w:hAnsi="Times New Roman"/>
                <w:sz w:val="24"/>
                <w:lang w:val="fr-FR"/>
              </w:rPr>
              <w:t xml:space="preserve"> Ustanovení čl. 81 odst. </w:t>
            </w:r>
            <w:r>
              <w:rPr>
                <w:rFonts w:ascii="Times New Roman" w:hAnsi="Times New Roman"/>
                <w:sz w:val="24"/>
              </w:rPr>
              <w:t>1 písm. a) bodu ii) a čl. 82 odst. 1 písm. a) bodu ii) nařízení (EU) č. 575/2013</w:t>
            </w:r>
          </w:p>
          <w:p w14:paraId="093F7309" w14:textId="77777777" w:rsidR="007266CF" w:rsidRPr="002A677E" w:rsidRDefault="007266CF" w:rsidP="007266CF">
            <w:pPr>
              <w:rPr>
                <w:rStyle w:val="InstructionsTabelleText"/>
                <w:rFonts w:ascii="Times New Roman" w:hAnsi="Times New Roman"/>
                <w:sz w:val="24"/>
              </w:rPr>
            </w:pPr>
            <w:r>
              <w:rPr>
                <w:rFonts w:ascii="Times New Roman" w:hAnsi="Times New Roman"/>
                <w:sz w:val="24"/>
              </w:rPr>
              <w:t>Pro účely menšinových podílů a nástrojů zahrnovaných do vedlejšího kapitálu tier 1 a kapitálu tier 2 vydaných dceřinými podniky se dceřinými podniky, jejichž nástroje mohou být způsobilé, rozumí instituce nebo podniky, které na základě použitelného vnitrostátního práva podléhají požadavkům nařízení (EU) č. 575/2013.</w:t>
            </w:r>
          </w:p>
        </w:tc>
      </w:tr>
      <w:tr w:rsidR="007266CF" w:rsidRPr="002A677E" w14:paraId="79522EA7" w14:textId="77777777" w:rsidTr="007266CF">
        <w:tc>
          <w:tcPr>
            <w:tcW w:w="1188" w:type="dxa"/>
          </w:tcPr>
          <w:p w14:paraId="6DB58D31"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68F68FA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TYP SUBJEKTU</w:t>
            </w:r>
          </w:p>
          <w:p w14:paraId="55F1E770" w14:textId="77777777" w:rsidR="007266CF" w:rsidRPr="002A677E" w:rsidRDefault="007266CF" w:rsidP="007266CF">
            <w:pPr>
              <w:rPr>
                <w:rStyle w:val="InstructionsTabelleText"/>
                <w:rFonts w:ascii="Times New Roman" w:hAnsi="Times New Roman"/>
                <w:bCs/>
                <w:sz w:val="24"/>
              </w:rPr>
            </w:pPr>
            <w:r>
              <w:rPr>
                <w:rStyle w:val="InstructionsTabelleText"/>
                <w:rFonts w:ascii="Times New Roman" w:hAnsi="Times New Roman"/>
                <w:sz w:val="24"/>
              </w:rPr>
              <w:t>Typ subjektu se vykazuje podle těchto kategorií:</w:t>
            </w:r>
          </w:p>
          <w:p w14:paraId="3C489180" w14:textId="77777777" w:rsidR="007266CF" w:rsidRPr="002A677E" w:rsidRDefault="007266CF" w:rsidP="007266CF">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úvěrová instituce,</w:t>
            </w:r>
          </w:p>
          <w:p w14:paraId="47029EDC" w14:textId="77777777" w:rsidR="007266CF" w:rsidRPr="002A677E" w:rsidRDefault="007266CF" w:rsidP="007266CF">
            <w:pPr>
              <w:tabs>
                <w:tab w:val="left" w:pos="372"/>
              </w:tabs>
              <w:rPr>
                <w:rStyle w:val="InstructionsTabelleText"/>
                <w:rFonts w:ascii="Times New Roman" w:hAnsi="Times New Roman"/>
                <w:sz w:val="24"/>
              </w:rPr>
            </w:pPr>
            <w:r>
              <w:lastRenderedPageBreak/>
              <w:tab/>
            </w:r>
            <w:r>
              <w:rPr>
                <w:rStyle w:val="InstructionsTabelleText"/>
                <w:rFonts w:ascii="Times New Roman" w:hAnsi="Times New Roman"/>
                <w:sz w:val="24"/>
              </w:rPr>
              <w:t xml:space="preserve">ustanovení čl. 4 odst. 1 bodu 1 </w:t>
            </w:r>
            <w:r>
              <w:rPr>
                <w:rFonts w:ascii="Times New Roman" w:hAnsi="Times New Roman"/>
                <w:sz w:val="24"/>
              </w:rPr>
              <w:t>nařízení (EU) č. 575/2013</w:t>
            </w:r>
            <w:r>
              <w:rPr>
                <w:rStyle w:val="InstructionsTabelleText"/>
                <w:rFonts w:ascii="Times New Roman" w:hAnsi="Times New Roman"/>
                <w:sz w:val="24"/>
              </w:rPr>
              <w:t>;</w:t>
            </w:r>
          </w:p>
          <w:p w14:paraId="4A954313" w14:textId="77777777" w:rsidR="007266CF" w:rsidRPr="002A677E" w:rsidRDefault="007266CF" w:rsidP="007266CF">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investiční podnik,</w:t>
            </w:r>
          </w:p>
          <w:p w14:paraId="5B3B11FB" w14:textId="77777777" w:rsidR="007266CF" w:rsidRPr="002A677E" w:rsidRDefault="007266CF" w:rsidP="007266CF">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bodu 2 </w:t>
            </w:r>
            <w:r>
              <w:rPr>
                <w:rFonts w:ascii="Times New Roman" w:hAnsi="Times New Roman"/>
                <w:sz w:val="24"/>
              </w:rPr>
              <w:t>nařízení (EU) č. 575/2013</w:t>
            </w:r>
            <w:r>
              <w:rPr>
                <w:rStyle w:val="InstructionsTabelleText"/>
                <w:rFonts w:ascii="Times New Roman" w:hAnsi="Times New Roman"/>
                <w:sz w:val="24"/>
              </w:rPr>
              <w:t>;</w:t>
            </w:r>
          </w:p>
          <w:p w14:paraId="042DC179" w14:textId="77777777" w:rsidR="007266CF" w:rsidRPr="002A677E" w:rsidRDefault="007266CF" w:rsidP="007266CF">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finanční instituce (ostatní),</w:t>
            </w:r>
          </w:p>
          <w:p w14:paraId="6A63F906" w14:textId="77777777" w:rsidR="007266CF" w:rsidRPr="002A677E" w:rsidRDefault="007266CF" w:rsidP="007266CF">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bodů 20, 21 a 26 </w:t>
            </w:r>
            <w:r>
              <w:rPr>
                <w:rFonts w:ascii="Times New Roman" w:hAnsi="Times New Roman"/>
                <w:sz w:val="24"/>
              </w:rPr>
              <w:t>nařízení (EU) č. 575/2013</w:t>
            </w:r>
          </w:p>
          <w:p w14:paraId="1855529E" w14:textId="77777777" w:rsidR="007266CF" w:rsidRPr="002A677E" w:rsidRDefault="007266CF" w:rsidP="007266CF">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finanční instituce ve smyslu čl. 4 odst. 1 bodu 26 </w:t>
            </w:r>
            <w:r>
              <w:rPr>
                <w:rFonts w:ascii="Times New Roman" w:hAnsi="Times New Roman"/>
                <w:sz w:val="24"/>
              </w:rPr>
              <w:t>nařízení (EU) č. 575/2013</w:t>
            </w:r>
            <w:r>
              <w:rPr>
                <w:rStyle w:val="InstructionsTabelleText"/>
                <w:rFonts w:ascii="Times New Roman" w:hAnsi="Times New Roman"/>
                <w:sz w:val="24"/>
              </w:rPr>
              <w:t>, které nejsou zahrnuty do žádné z kategorií uvedených v písmenech d), f) nebo g);</w:t>
            </w:r>
          </w:p>
          <w:p w14:paraId="1C4F3F68" w14:textId="77777777" w:rsidR="007266CF" w:rsidRPr="002A677E" w:rsidRDefault="007266CF" w:rsidP="007266CF">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(smíšená) finanční holdingová společnost,</w:t>
            </w:r>
          </w:p>
          <w:p w14:paraId="2740419D" w14:textId="77777777" w:rsidR="007266CF" w:rsidRPr="002A677E" w:rsidRDefault="007266CF" w:rsidP="007266CF">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bodů 20 a 21 </w:t>
            </w:r>
            <w:r>
              <w:rPr>
                <w:rFonts w:ascii="Times New Roman" w:hAnsi="Times New Roman"/>
                <w:sz w:val="24"/>
              </w:rPr>
              <w:t>nařízení (EU) č. 575/2013</w:t>
            </w:r>
            <w:r>
              <w:rPr>
                <w:rStyle w:val="InstructionsTabelleText"/>
                <w:rFonts w:ascii="Times New Roman" w:hAnsi="Times New Roman"/>
                <w:sz w:val="24"/>
              </w:rPr>
              <w:t>;</w:t>
            </w:r>
          </w:p>
          <w:p w14:paraId="6721ECCA" w14:textId="77777777" w:rsidR="007266CF" w:rsidRPr="002A677E" w:rsidRDefault="007266CF" w:rsidP="007266CF">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podniky pomocných služeb,</w:t>
            </w:r>
          </w:p>
          <w:p w14:paraId="1B85E989" w14:textId="77777777" w:rsidR="007266CF" w:rsidRPr="002A677E" w:rsidRDefault="007266CF" w:rsidP="007266CF">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bodu 18 </w:t>
            </w:r>
            <w:r>
              <w:rPr>
                <w:rFonts w:ascii="Times New Roman" w:hAnsi="Times New Roman"/>
                <w:sz w:val="24"/>
              </w:rPr>
              <w:t>nařízení (EU) č. 575/2013</w:t>
            </w:r>
            <w:r>
              <w:rPr>
                <w:rStyle w:val="InstructionsTabelleText"/>
                <w:rFonts w:ascii="Times New Roman" w:hAnsi="Times New Roman"/>
                <w:sz w:val="24"/>
              </w:rPr>
              <w:t>;</w:t>
            </w:r>
          </w:p>
          <w:p w14:paraId="7B5CF2AD" w14:textId="77777777" w:rsidR="007266CF" w:rsidRPr="002A677E" w:rsidRDefault="007266CF" w:rsidP="007266CF">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sekuritizační jednotka pro speciální účel (SSPE),</w:t>
            </w:r>
          </w:p>
          <w:p w14:paraId="37D6C2BF" w14:textId="77777777" w:rsidR="007266CF" w:rsidRPr="002A677E" w:rsidRDefault="007266CF" w:rsidP="007266CF">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bodu 66 </w:t>
            </w:r>
            <w:r>
              <w:rPr>
                <w:rFonts w:ascii="Times New Roman" w:hAnsi="Times New Roman"/>
                <w:sz w:val="24"/>
              </w:rPr>
              <w:t>nařízení (EU) č. 575/2013</w:t>
            </w:r>
            <w:r>
              <w:rPr>
                <w:rStyle w:val="InstructionsTabelleText"/>
                <w:rFonts w:ascii="Times New Roman" w:hAnsi="Times New Roman"/>
                <w:sz w:val="24"/>
              </w:rPr>
              <w:t>;</w:t>
            </w:r>
          </w:p>
          <w:p w14:paraId="44F9E271" w14:textId="77777777" w:rsidR="007266CF" w:rsidRPr="002A677E" w:rsidRDefault="007266CF" w:rsidP="007266CF">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společnost krytých dluhopisů,</w:t>
            </w:r>
          </w:p>
          <w:p w14:paraId="4170E6B6" w14:textId="77777777" w:rsidR="007266CF" w:rsidRPr="002A677E" w:rsidRDefault="007266CF" w:rsidP="007266CF">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 zřízený pro vydávání krytých dluhopisů nebo pro držení kolaterálu zajišťujícího krytý dluhopis, není-li zahrnuto v některé z výše uvedených kategorií a), b) nebo d) až f);</w:t>
            </w:r>
          </w:p>
          <w:p w14:paraId="234FAFE8" w14:textId="77777777" w:rsidR="007266CF" w:rsidRPr="002A677E" w:rsidRDefault="007266CF" w:rsidP="007266CF">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jiný typ subjektu,</w:t>
            </w:r>
          </w:p>
          <w:p w14:paraId="431C1E50" w14:textId="77777777" w:rsidR="007266CF" w:rsidRPr="002A677E" w:rsidRDefault="007266CF" w:rsidP="007266CF">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jiný subjekt než subjekty uvedené v písmenech a) až g).</w:t>
            </w:r>
          </w:p>
          <w:p w14:paraId="28C3C465" w14:textId="77777777" w:rsidR="007266CF" w:rsidRPr="002A677E" w:rsidRDefault="007266CF" w:rsidP="007266CF">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Pokud se na subjekt nevztahuje</w:t>
            </w:r>
            <w:r>
              <w:rPr>
                <w:rFonts w:ascii="Times New Roman" w:hAnsi="Times New Roman"/>
                <w:sz w:val="24"/>
              </w:rPr>
              <w:t xml:space="preserve"> nařízení (EU) č. 575/2013 </w:t>
            </w:r>
            <w:r>
              <w:rPr>
                <w:rStyle w:val="InstructionsTabelleberschrift"/>
                <w:rFonts w:ascii="Times New Roman" w:hAnsi="Times New Roman"/>
                <w:b w:val="0"/>
                <w:sz w:val="24"/>
                <w:u w:val="none"/>
              </w:rPr>
              <w:t>a</w:t>
            </w:r>
            <w:r>
              <w:rPr>
                <w:rFonts w:ascii="Times New Roman" w:hAnsi="Times New Roman"/>
                <w:sz w:val="24"/>
              </w:rPr>
              <w:t xml:space="preserve"> směrnice 2013/36/EU</w:t>
            </w:r>
            <w:r>
              <w:rPr>
                <w:rStyle w:val="InstructionsTabelleberschrift"/>
                <w:rFonts w:ascii="Times New Roman" w:hAnsi="Times New Roman"/>
                <w:b w:val="0"/>
                <w:sz w:val="24"/>
                <w:u w:val="none"/>
              </w:rPr>
              <w:t>, ale vztahují se na něj ustanovení, která jsou přinejmenším rovnocenná basilejským ustanovením, stanoví se relevantní kategorie s vynaložením maximálního úsilí.</w:t>
            </w:r>
          </w:p>
        </w:tc>
      </w:tr>
      <w:tr w:rsidR="007266CF" w:rsidRPr="002A677E" w14:paraId="7FD68A86" w14:textId="77777777" w:rsidTr="007266CF">
        <w:tc>
          <w:tcPr>
            <w:tcW w:w="1188" w:type="dxa"/>
          </w:tcPr>
          <w:p w14:paraId="60D4C64F"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5DC8B87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ROZSAH ÚDAJŮ: </w:t>
            </w:r>
            <w:r>
              <w:rPr>
                <w:rFonts w:ascii="Times New Roman" w:hAnsi="Times New Roman"/>
                <w:b/>
                <w:caps/>
                <w:sz w:val="24"/>
                <w:u w:val="single"/>
              </w:rPr>
              <w:t>INDIVIDUÁLNÍ PLNĚ KONSOLIDOVANÉ (SF) NEBO INDIVIDUÁLNÍ ČÁSTEČNĚ KONSOLIDOVANÉ (SP)</w:t>
            </w:r>
          </w:p>
          <w:p w14:paraId="7859790E" w14:textId="77777777" w:rsidR="007266CF" w:rsidRPr="002A677E" w:rsidRDefault="007266CF" w:rsidP="007266CF">
            <w:pPr>
              <w:rPr>
                <w:rStyle w:val="Heading1Char"/>
                <w:rFonts w:ascii="Times New Roman" w:hAnsi="Times New Roman"/>
                <w:sz w:val="24"/>
                <w:szCs w:val="24"/>
              </w:rPr>
            </w:pPr>
            <w:r>
              <w:rPr>
                <w:rStyle w:val="InstructionsTabelleText"/>
                <w:rFonts w:ascii="Times New Roman" w:hAnsi="Times New Roman"/>
                <w:sz w:val="24"/>
              </w:rPr>
              <w:t xml:space="preserve">„SF“ </w:t>
            </w:r>
            <w:r>
              <w:rPr>
                <w:rFonts w:ascii="Times New Roman" w:hAnsi="Times New Roman"/>
                <w:sz w:val="24"/>
              </w:rPr>
              <w:t>se uvede u jednotlivých dceřiných podniků, které jsou plně konsolidovány.</w:t>
            </w:r>
            <w:r>
              <w:rPr>
                <w:rStyle w:val="Heading1Char"/>
                <w:rFonts w:ascii="Times New Roman" w:hAnsi="Times New Roman"/>
                <w:sz w:val="24"/>
              </w:rPr>
              <w:t xml:space="preserve"> </w:t>
            </w:r>
          </w:p>
          <w:p w14:paraId="1B860766" w14:textId="77777777" w:rsidR="007266CF" w:rsidRPr="002A677E" w:rsidRDefault="007266CF" w:rsidP="007266CF">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se uvede u jednotlivých dceřiných podniků, které jsou částečně konsolidovány.</w:t>
            </w:r>
            <w:r>
              <w:rPr>
                <w:rStyle w:val="InstructionsTabelleText"/>
                <w:rFonts w:ascii="Times New Roman" w:hAnsi="Times New Roman"/>
                <w:i/>
                <w:sz w:val="24"/>
              </w:rPr>
              <w:t xml:space="preserve"> </w:t>
            </w:r>
          </w:p>
        </w:tc>
      </w:tr>
      <w:tr w:rsidR="007266CF" w:rsidRPr="002A677E" w14:paraId="29AF2746" w14:textId="77777777" w:rsidTr="007266CF">
        <w:tc>
          <w:tcPr>
            <w:tcW w:w="1188" w:type="dxa"/>
          </w:tcPr>
          <w:p w14:paraId="648D38E7"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18CCEA6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KÓD ZEMĚ </w:t>
            </w:r>
          </w:p>
          <w:p w14:paraId="084A691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Instituce uvedou dvoupísmenný kód země uvedený v normě ISO 3166-2. </w:t>
            </w:r>
          </w:p>
        </w:tc>
      </w:tr>
      <w:tr w:rsidR="007266CF" w:rsidRPr="002A677E" w14:paraId="3146292E" w14:textId="77777777" w:rsidTr="007266CF">
        <w:tc>
          <w:tcPr>
            <w:tcW w:w="1188" w:type="dxa"/>
          </w:tcPr>
          <w:p w14:paraId="3F826293"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080C7972"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PODÍL ÚČASTI (%)</w:t>
            </w:r>
          </w:p>
          <w:p w14:paraId="619BCE4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Tímto procentním podílem se rozumí skutečný podíl kapitálu, který mateřský podnik drží v dceřiných podnicích. V případě plné konsolidace přímého dceřiného podniku je skutečný podíl např. 70 %. V souladu s čl. 4 odst. 1 bodem 16 </w:t>
            </w:r>
            <w:r>
              <w:rPr>
                <w:rFonts w:ascii="Times New Roman" w:hAnsi="Times New Roman"/>
                <w:sz w:val="24"/>
              </w:rPr>
              <w:t>nařízení (EU) č. 575/2013</w:t>
            </w:r>
            <w:r>
              <w:rPr>
                <w:rStyle w:val="InstructionsTabelleText"/>
                <w:rFonts w:ascii="Times New Roman" w:hAnsi="Times New Roman"/>
                <w:sz w:val="24"/>
              </w:rPr>
              <w:t xml:space="preserve"> se podíl účasti na dceřiném podniku, který má být vykázán, získá vynásobením podílů mezi dotčenými dceřinými podniky.</w:t>
            </w:r>
          </w:p>
        </w:tc>
      </w:tr>
      <w:tr w:rsidR="007266CF" w:rsidRPr="002A677E" w14:paraId="4924612A" w14:textId="77777777" w:rsidTr="007266CF">
        <w:tc>
          <w:tcPr>
            <w:tcW w:w="1188" w:type="dxa"/>
          </w:tcPr>
          <w:p w14:paraId="6BA68EF1"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6FC6AD7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ÚDAJE O SUBJEKTECH, KTERÉ PODLÉHAJÍ KAPITÁLOVÝM POŽADAVKŮM</w:t>
            </w:r>
          </w:p>
          <w:p w14:paraId="33F94FB9"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V oddíle týkajícím se podrobných údajů (tj. sloupce 0070 až 0240) se shromažďují pouze údaje o subjektech a podskupinách, které vzhledem k tomu, že jsou zahrnovány do konsolidace (</w:t>
            </w:r>
            <w:r>
              <w:rPr>
                <w:rFonts w:ascii="Times New Roman" w:hAnsi="Times New Roman"/>
                <w:sz w:val="24"/>
              </w:rPr>
              <w:t>kapitola 2 hlava II část první nařízení (EU) č. 575/2013</w:t>
            </w:r>
            <w:r>
              <w:rPr>
                <w:rStyle w:val="InstructionsTabelleText"/>
                <w:rFonts w:ascii="Times New Roman" w:hAnsi="Times New Roman"/>
                <w:sz w:val="24"/>
              </w:rPr>
              <w:t xml:space="preserve">), skutečně podléhají solventnostním požadavkům stanoveným v </w:t>
            </w:r>
            <w:r>
              <w:rPr>
                <w:rFonts w:ascii="Times New Roman" w:hAnsi="Times New Roman"/>
                <w:sz w:val="24"/>
              </w:rPr>
              <w:t>nařízení (EU) č. 575/2013</w:t>
            </w:r>
            <w:r>
              <w:rPr>
                <w:rStyle w:val="InstructionsTabelleText"/>
                <w:rFonts w:ascii="Times New Roman" w:hAnsi="Times New Roman"/>
                <w:sz w:val="24"/>
              </w:rPr>
              <w:t xml:space="preserve"> nebo ustanovením, jež jsou přinejmenším rovnocenná basilejským ustanovením (tj. ve sloupci 0030 je uvedeno „ano“). </w:t>
            </w:r>
          </w:p>
          <w:p w14:paraId="7E744D89" w14:textId="77777777" w:rsidR="007266CF" w:rsidRPr="002A677E" w:rsidRDefault="007266CF" w:rsidP="007266CF">
            <w:pPr>
              <w:rPr>
                <w:rFonts w:ascii="Times New Roman" w:hAnsi="Times New Roman"/>
                <w:sz w:val="24"/>
              </w:rPr>
            </w:pPr>
            <w:r>
              <w:rPr>
                <w:rFonts w:ascii="Times New Roman" w:hAnsi="Times New Roman"/>
                <w:sz w:val="24"/>
              </w:rPr>
              <w:t xml:space="preserve">Uvádějí se údaje o všech jednotlivých institucích v rámci konsolidované skupiny, které podléhají kapitálovým požadavkům, a to bez ohledu na to, kde se nacházejí. </w:t>
            </w:r>
          </w:p>
          <w:p w14:paraId="4ECF7F19" w14:textId="77777777" w:rsidR="007266CF" w:rsidRPr="002A677E" w:rsidRDefault="007266CF" w:rsidP="007266CF">
            <w:pPr>
              <w:rPr>
                <w:rFonts w:ascii="Times New Roman" w:hAnsi="Times New Roman"/>
                <w:sz w:val="24"/>
              </w:rPr>
            </w:pPr>
            <w:r>
              <w:rPr>
                <w:rFonts w:ascii="Times New Roman" w:hAnsi="Times New Roman"/>
                <w:sz w:val="24"/>
              </w:rPr>
              <w:t>Údaje se v této části vykazují v souladu s místními solventnostními pravidly dané jurisdikce, v níž instituce působí (u této šablony tedy není nutné provádět dvojí výpočet na individuálním základě v souladu s pravidly mateřské instituce). Jestliže se místní solventnostní pravidla odlišují od pravidel podle nařízení (EU) č. 575/2013 a není poskytnut srovnatelný přehled, údaje budou doplněny, podle toho, jak jsou k dispozici. Tato část je tedy faktickou šablonou, která shrnuje výpočty prováděné jednotlivými institucemi ve skupině, přičemž je zohledněna skutečnost, že některé z uvedených institucí mohou podléhat odlišným solventnostním pravidlům.</w:t>
            </w:r>
          </w:p>
          <w:p w14:paraId="094BC584" w14:textId="77777777" w:rsidR="007266CF" w:rsidRPr="002A677E" w:rsidRDefault="007266CF" w:rsidP="007266CF">
            <w:pPr>
              <w:rPr>
                <w:rStyle w:val="InstructionsTabelleText"/>
                <w:rFonts w:ascii="Times New Roman" w:hAnsi="Times New Roman"/>
                <w:b/>
                <w:sz w:val="24"/>
                <w:u w:val="single"/>
              </w:rPr>
            </w:pPr>
            <w:r>
              <w:rPr>
                <w:rStyle w:val="InstructionsTabelleText"/>
                <w:rFonts w:ascii="Times New Roman" w:hAnsi="Times New Roman"/>
                <w:b/>
                <w:sz w:val="24"/>
                <w:u w:val="single"/>
              </w:rPr>
              <w:t>Vykazování fixních režijních nákladů investičních podniků:</w:t>
            </w:r>
          </w:p>
          <w:p w14:paraId="3AE50DDA" w14:textId="77777777" w:rsidR="007266CF" w:rsidRPr="002A677E" w:rsidRDefault="007266CF" w:rsidP="007266CF">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Investiční podniky zahrnou do výpočtu svého kapitálového poměru kapitálové požadavky související s fixními režijními náklady podle článků 95, 96, 97 a 98 </w:t>
            </w:r>
            <w:r>
              <w:rPr>
                <w:rFonts w:ascii="Times New Roman" w:hAnsi="Times New Roman"/>
                <w:sz w:val="24"/>
              </w:rPr>
              <w:t>nařízení (EU) č. 575/2013</w:t>
            </w:r>
            <w:r>
              <w:rPr>
                <w:rStyle w:val="InstructionsTabelleText"/>
                <w:rFonts w:ascii="Times New Roman" w:hAnsi="Times New Roman"/>
                <w:sz w:val="24"/>
              </w:rPr>
              <w:t>.</w:t>
            </w:r>
          </w:p>
          <w:p w14:paraId="0051472E" w14:textId="77777777" w:rsidR="007266CF" w:rsidRPr="002A677E" w:rsidRDefault="007266CF" w:rsidP="007266CF">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Část celkového objemu rizikové expozice související s fixními režijními náklady se vykazuje ve sloupci 0100 této šablony. </w:t>
            </w:r>
          </w:p>
        </w:tc>
      </w:tr>
      <w:tr w:rsidR="007266CF" w:rsidRPr="002A677E" w14:paraId="7ACA4D00" w14:textId="77777777" w:rsidTr="007266CF">
        <w:tc>
          <w:tcPr>
            <w:tcW w:w="1188" w:type="dxa"/>
          </w:tcPr>
          <w:p w14:paraId="13B05D9B"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003C0E6"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 xml:space="preserve">CELKOVÝ OBJEM RIZIKOVÉ EXPOZICE </w:t>
            </w:r>
          </w:p>
          <w:p w14:paraId="5B0C1D3B"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Vykáže se součet hodnot uvedených ve sloupcích 0080 až 0110.</w:t>
            </w:r>
          </w:p>
        </w:tc>
      </w:tr>
      <w:tr w:rsidR="007266CF" w:rsidRPr="002A677E" w14:paraId="31B25E19" w14:textId="77777777" w:rsidTr="007266CF">
        <w:tc>
          <w:tcPr>
            <w:tcW w:w="1188" w:type="dxa"/>
          </w:tcPr>
          <w:p w14:paraId="3DF900C5"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49F6481"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ÚVĚROVÉ RIZIKO; ÚVĚROVÉ RIZIKO PROTISTRANY; RIZIKO ROZMĚLNĚNÍ, VOLNÝCH DODÁVEK A VYPOŘÁDACÍ RIZIKO / RIZIKO DODÁNÍ</w:t>
            </w:r>
          </w:p>
          <w:p w14:paraId="41DF61A9"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součtu objemů rizikově vážených expozic, které jsou stejné nebo rovnocenné ve vztahu k expozicím vykázaným v řádku 0040 „</w:t>
            </w:r>
            <w:r>
              <w:rPr>
                <w:rStyle w:val="InstructionsTabelleberschrift"/>
                <w:rFonts w:ascii="Times New Roman" w:hAnsi="Times New Roman"/>
                <w:b w:val="0"/>
                <w:sz w:val="24"/>
                <w:u w:val="none"/>
              </w:rPr>
              <w:t>OBJEMY RIZIKOVĚ VÁŽENÝCH EXPOZIC</w:t>
            </w:r>
            <w:r>
              <w:rPr>
                <w:rStyle w:val="InstructionsTabelleText"/>
                <w:rFonts w:ascii="Times New Roman" w:hAnsi="Times New Roman"/>
                <w:sz w:val="24"/>
              </w:rPr>
              <w:t xml:space="preserve"> PRO ÚVĚROVÉ RIZIKO, ÚVĚROVÉ RIZIKO PROTISTRANY A RIZIKO ROZMĚLNĚNÍ A VOLNÉ DODÁVKY“, a objemů kapitálových požadavků, které jsou stejné nebo rovnocenné ve vztahu k těm, jež musí být vykázány v řádku 0490 „CELKOVÝ OBJEM RIZIKOVÉ EXPOZICE U VYPOŘÁDACÍHO RIZIKA A RIZIKA DODÁNÍ“ šablony CA2.</w:t>
            </w:r>
          </w:p>
        </w:tc>
      </w:tr>
      <w:tr w:rsidR="007266CF" w:rsidRPr="002A677E" w14:paraId="4F72E3E7" w14:textId="77777777" w:rsidTr="007266CF">
        <w:tc>
          <w:tcPr>
            <w:tcW w:w="1188" w:type="dxa"/>
          </w:tcPr>
          <w:p w14:paraId="22D0A66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398D3FB2"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POZIČNÍ, MĚNOVÉ A KOMODITNÍ RIZIKO</w:t>
            </w:r>
          </w:p>
          <w:p w14:paraId="7AD16DE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kapitálových požadavků, které jsou stejné nebo rovnocenné ve vztahu k požadavkům, jež musí být vykázány v řádku 0520 „CELKOVÝ OBJEM RIZIKOVÉ EXPOZICE U POZIČNÍHO, MĚNOVÉHO A KOMODITNÍHO RIZIKA“ šablony CA2.</w:t>
            </w:r>
          </w:p>
        </w:tc>
      </w:tr>
      <w:tr w:rsidR="007266CF" w:rsidRPr="002A677E" w14:paraId="506D4653" w14:textId="77777777" w:rsidTr="007266CF">
        <w:tc>
          <w:tcPr>
            <w:tcW w:w="1188" w:type="dxa"/>
          </w:tcPr>
          <w:p w14:paraId="059E07C9"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1A9D6EF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OPERAČNÍ RIZIKO</w:t>
            </w:r>
          </w:p>
          <w:p w14:paraId="24B664A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Hodnota, která má být vykázána v tomto sloupci, odpovídá objemu rizikových expozic, které jsou stejné nebo rovnocenné ve vztahu k expozicím vykazovaným v řádku 0590 </w:t>
            </w:r>
            <w:r>
              <w:rPr>
                <w:rStyle w:val="InstructionsTabelleText"/>
                <w:rFonts w:ascii="Times New Roman" w:hAnsi="Times New Roman"/>
                <w:sz w:val="24"/>
              </w:rPr>
              <w:lastRenderedPageBreak/>
              <w:t>„CELKOVÝ OBJEM RIZIKOVÉ EXPOZICE U OPERAČNÍHO RIZIKA“ šablony CA2.</w:t>
            </w:r>
          </w:p>
          <w:p w14:paraId="0441191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Do tohoto sloupce se započítávají fixní režijní náklady, včetně řádku 0630 „DODATEČNÝ OBJEM RIZIKOVÉ EXPOZICE V DŮSLEDKU FIXNÍCH REŽIJNÍCH NÁKLADŮ“ šablony CA2.</w:t>
            </w:r>
          </w:p>
        </w:tc>
      </w:tr>
      <w:tr w:rsidR="007266CF" w:rsidRPr="002A677E" w14:paraId="00776CE9" w14:textId="77777777" w:rsidTr="007266CF">
        <w:tc>
          <w:tcPr>
            <w:tcW w:w="1188" w:type="dxa"/>
          </w:tcPr>
          <w:p w14:paraId="0B2FC15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14:paraId="4219ACC8"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OSTATNÍ OBJEMY RIZIKOVÉ EXPOZICE</w:t>
            </w:r>
          </w:p>
          <w:p w14:paraId="6E063DA2"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rizikových expozic, které nejsou konkrétně uvedeny výše. Jedná se o součet hodnot v řádcích 0640, 0680 a 0690 šablony CA2.</w:t>
            </w:r>
          </w:p>
        </w:tc>
      </w:tr>
      <w:tr w:rsidR="007266CF" w:rsidRPr="002A677E" w14:paraId="574E8BFA" w14:textId="77777777" w:rsidTr="007266CF">
        <w:tc>
          <w:tcPr>
            <w:tcW w:w="1188" w:type="dxa"/>
          </w:tcPr>
          <w:p w14:paraId="0099E045"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2A3D5E5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PODROBNÉ ÚDAJE O KAPITÁLU V SOUVISLOSTI SE SKUPINOVOU SOLVENTNOSTÍ</w:t>
            </w:r>
          </w:p>
          <w:p w14:paraId="0F58A8C0"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Údaje vykazované v následujících sloupcích odrážejí místní pravidla solventnosti členského státu, v němž subjekt či podskupina působí.</w:t>
            </w:r>
          </w:p>
        </w:tc>
      </w:tr>
      <w:tr w:rsidR="007266CF" w:rsidRPr="002A677E" w14:paraId="31AFA98E" w14:textId="77777777" w:rsidTr="007266CF">
        <w:tc>
          <w:tcPr>
            <w:tcW w:w="1188" w:type="dxa"/>
          </w:tcPr>
          <w:p w14:paraId="7B5CDD2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349E30B0"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KAPITÁL</w:t>
            </w:r>
          </w:p>
          <w:p w14:paraId="33BE96E5"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Částka, která má být vykázána v tomto sloupci, odpovídá částce kapitálu, který je stejný nebo rovnocenný ve vztahu ke kapitálu, jehož výše musí být vykázána v řádku 0010 „KAPITÁL“ šablony CA1.</w:t>
            </w:r>
          </w:p>
        </w:tc>
      </w:tr>
      <w:tr w:rsidR="007266CF" w:rsidRPr="002A677E" w14:paraId="7BF31D64" w14:textId="77777777" w:rsidTr="007266CF">
        <w:tc>
          <w:tcPr>
            <w:tcW w:w="1188" w:type="dxa"/>
          </w:tcPr>
          <w:p w14:paraId="3B0888A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51701164"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 xml:space="preserve">Z TOHO: KVALIFIKOVANÝ KAPITÁL </w:t>
            </w:r>
          </w:p>
          <w:p w14:paraId="5357FA2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82 </w:t>
            </w:r>
            <w:r>
              <w:rPr>
                <w:rFonts w:ascii="Times New Roman" w:hAnsi="Times New Roman"/>
                <w:sz w:val="24"/>
              </w:rPr>
              <w:t xml:space="preserve">nařízení (EU) č. 575/2013 </w:t>
            </w:r>
            <w:r>
              <w:rPr>
                <w:rStyle w:val="InstructionsTabelleText"/>
                <w:rFonts w:ascii="Times New Roman" w:hAnsi="Times New Roman"/>
                <w:sz w:val="24"/>
              </w:rPr>
              <w:t xml:space="preserve"> </w:t>
            </w:r>
          </w:p>
          <w:p w14:paraId="712569CF"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Tento sloupec se vyplňuje pouze za dceřiné podniky, v jejichž případě se údaje vykazují na individuálním základě a které jsou plně konsolidovány a jsou institucemi. </w:t>
            </w:r>
          </w:p>
          <w:p w14:paraId="435925C2"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Kvalifikovanými účastmi se v případě výše specifikovaných dceřiných podniků rozumí nástroje (plus související nerozdělený zisk, emisní ážio a ostatní fondy) vlastněné jinými osobami než podniky a zahrnuté do konsolidace podle </w:t>
            </w:r>
            <w:r>
              <w:rPr>
                <w:rFonts w:ascii="Times New Roman" w:hAnsi="Times New Roman"/>
                <w:sz w:val="24"/>
              </w:rPr>
              <w:t>nařízení (EU) č. 575/2013</w:t>
            </w:r>
            <w:r>
              <w:rPr>
                <w:rStyle w:val="InstructionsTabelleText"/>
                <w:rFonts w:ascii="Times New Roman" w:hAnsi="Times New Roman"/>
                <w:sz w:val="24"/>
              </w:rPr>
              <w:t>.</w:t>
            </w:r>
          </w:p>
          <w:p w14:paraId="4E0A4B2F"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7266CF" w:rsidRPr="002A677E" w14:paraId="3524FF87" w14:textId="77777777" w:rsidTr="007266CF">
        <w:tc>
          <w:tcPr>
            <w:tcW w:w="1188" w:type="dxa"/>
          </w:tcPr>
          <w:p w14:paraId="38BB84EF"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0CE78531" w14:textId="77777777" w:rsidR="007266CF" w:rsidRPr="002A677E" w:rsidRDefault="007266CF" w:rsidP="007266CF">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SOUVISEJÍCÍ NEROZDĚLENÝ ZISK, EMISNÍ ÁŽIO A OSTATNÍ FONDY</w:t>
            </w:r>
          </w:p>
          <w:p w14:paraId="28ED5D67" w14:textId="77777777" w:rsidR="007266CF" w:rsidRPr="002A677E" w:rsidRDefault="007266CF" w:rsidP="007266CF">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87 odst. 1 písm. b) </w:t>
            </w:r>
            <w:r>
              <w:rPr>
                <w:rFonts w:ascii="Times New Roman" w:hAnsi="Times New Roman"/>
                <w:sz w:val="24"/>
              </w:rPr>
              <w:t>nařízení (EU) č. 575/2013</w:t>
            </w:r>
          </w:p>
        </w:tc>
      </w:tr>
      <w:tr w:rsidR="007266CF" w:rsidRPr="002A677E" w14:paraId="0E1E7256" w14:textId="77777777" w:rsidTr="007266CF">
        <w:tc>
          <w:tcPr>
            <w:tcW w:w="1188" w:type="dxa"/>
          </w:tcPr>
          <w:p w14:paraId="676B9FFA"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26E53408" w14:textId="77777777" w:rsidR="007266CF" w:rsidRPr="001235ED"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KAPITÁL TIER 1 CELKEM</w:t>
            </w:r>
          </w:p>
          <w:p w14:paraId="4209D433" w14:textId="77777777" w:rsidR="007266CF" w:rsidRPr="001235ED" w:rsidRDefault="007266CF" w:rsidP="007266CF">
            <w:pPr>
              <w:rPr>
                <w:rStyle w:val="InstructionsTabelleberschrift"/>
                <w:rFonts w:ascii="Times New Roman" w:hAnsi="Times New Roman"/>
                <w:sz w:val="24"/>
              </w:rPr>
            </w:pPr>
            <w:r>
              <w:rPr>
                <w:rStyle w:val="InstructionsTabelleText"/>
                <w:rFonts w:ascii="Times New Roman" w:hAnsi="Times New Roman"/>
                <w:sz w:val="24"/>
              </w:rPr>
              <w:t xml:space="preserve">Článek 25 </w:t>
            </w:r>
            <w:r>
              <w:rPr>
                <w:rFonts w:ascii="Times New Roman" w:hAnsi="Times New Roman"/>
                <w:sz w:val="24"/>
              </w:rPr>
              <w:t>nařízení (EU) č. 575/2013</w:t>
            </w:r>
          </w:p>
        </w:tc>
      </w:tr>
      <w:tr w:rsidR="007266CF" w:rsidRPr="002A677E" w14:paraId="6A915392" w14:textId="77777777" w:rsidTr="007266CF">
        <w:tc>
          <w:tcPr>
            <w:tcW w:w="1188" w:type="dxa"/>
          </w:tcPr>
          <w:p w14:paraId="4114FD7F"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5D4DCA1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Z TOHO: KVALIFIKOVANÝ KAPITÁL TIER 1</w:t>
            </w:r>
          </w:p>
          <w:p w14:paraId="0C4E2C0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82 </w:t>
            </w:r>
            <w:r>
              <w:rPr>
                <w:rFonts w:ascii="Times New Roman" w:hAnsi="Times New Roman"/>
                <w:sz w:val="24"/>
              </w:rPr>
              <w:t>nařízení (EU) č. 575/2013</w:t>
            </w:r>
          </w:p>
          <w:p w14:paraId="2DFC867A"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Tento sloupec se vyplňuje pouze za dceřiné podniky, v jejichž případě se údaje vykazují na individuálním základě a které jsou plně konsolidovány a jsou institucemi.</w:t>
            </w:r>
          </w:p>
          <w:p w14:paraId="4BBFC00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Kvalifikovanými účastmi se v případě výše specifikovaných dceřiných podniků rozumí nástroje (plus související nerozdělený zisk a emisní ážio) vlastněné jinými osobami než podniky zahrnutými do konsolidace podle </w:t>
            </w:r>
            <w:r>
              <w:rPr>
                <w:rFonts w:ascii="Times New Roman" w:hAnsi="Times New Roman"/>
                <w:sz w:val="24"/>
              </w:rPr>
              <w:t>nařízení (EU) č. 575/2013</w:t>
            </w:r>
            <w:r>
              <w:rPr>
                <w:rStyle w:val="InstructionsTabelleText"/>
                <w:rFonts w:ascii="Times New Roman" w:hAnsi="Times New Roman"/>
                <w:sz w:val="24"/>
              </w:rPr>
              <w:t>.</w:t>
            </w:r>
          </w:p>
          <w:p w14:paraId="16378260"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lastRenderedPageBreak/>
              <w:t>Částka, která má být vykázána, zahrnuje dopady všech přechodných ustanovení. Jedná se o částku způsobilou ke dni vykazování.</w:t>
            </w:r>
          </w:p>
        </w:tc>
      </w:tr>
      <w:tr w:rsidR="007266CF" w:rsidRPr="002A677E" w14:paraId="5D8F4B0A" w14:textId="77777777" w:rsidTr="007266CF">
        <w:tc>
          <w:tcPr>
            <w:tcW w:w="1188" w:type="dxa"/>
          </w:tcPr>
          <w:p w14:paraId="643FF8C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14:paraId="0538DED7" w14:textId="77777777" w:rsidR="007266CF" w:rsidRPr="002A677E" w:rsidRDefault="007266CF" w:rsidP="007266CF">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KAPITÁLU TIER 1, SOUVISEJÍCÍ NEROZDĚLENÝ ZISK A EMISNÍ ÁŽIO</w:t>
            </w:r>
          </w:p>
          <w:p w14:paraId="71C9961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Ustanovení čl. 85 odst. 1 písm. b) </w:t>
            </w:r>
            <w:r>
              <w:rPr>
                <w:rFonts w:ascii="Times New Roman" w:hAnsi="Times New Roman"/>
                <w:sz w:val="24"/>
              </w:rPr>
              <w:t xml:space="preserve">nařízení (EU) č. 575/2013 </w:t>
            </w:r>
            <w:r>
              <w:rPr>
                <w:rStyle w:val="InstructionsTabelleberschrift"/>
                <w:rFonts w:ascii="Times New Roman" w:hAnsi="Times New Roman"/>
                <w:b w:val="0"/>
                <w:sz w:val="24"/>
                <w:u w:val="none"/>
              </w:rPr>
              <w:t xml:space="preserve"> </w:t>
            </w:r>
          </w:p>
        </w:tc>
      </w:tr>
      <w:tr w:rsidR="007266CF" w:rsidRPr="002A677E" w14:paraId="02B776BE" w14:textId="77777777" w:rsidTr="007266CF">
        <w:tc>
          <w:tcPr>
            <w:tcW w:w="1188" w:type="dxa"/>
          </w:tcPr>
          <w:p w14:paraId="5D3EAD73"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4891076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KMENOVÝ KAPITÁL TIER 1</w:t>
            </w:r>
          </w:p>
          <w:p w14:paraId="7ED66A43"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 xml:space="preserve">Článek 50 </w:t>
            </w:r>
            <w:r>
              <w:rPr>
                <w:rFonts w:ascii="Times New Roman" w:hAnsi="Times New Roman"/>
                <w:sz w:val="24"/>
              </w:rPr>
              <w:t>nařízení (EU) č. 575/2013</w:t>
            </w:r>
          </w:p>
        </w:tc>
      </w:tr>
      <w:tr w:rsidR="007266CF" w:rsidRPr="002A677E" w14:paraId="5FEE4F8A" w14:textId="77777777" w:rsidTr="007266CF">
        <w:tc>
          <w:tcPr>
            <w:tcW w:w="1188" w:type="dxa"/>
          </w:tcPr>
          <w:p w14:paraId="535307C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335F26D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Z TOHO: MENŠINOVÉ PODÍLY</w:t>
            </w:r>
          </w:p>
          <w:p w14:paraId="64617E50"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81 </w:t>
            </w:r>
            <w:r>
              <w:rPr>
                <w:rFonts w:ascii="Times New Roman" w:hAnsi="Times New Roman"/>
                <w:sz w:val="24"/>
              </w:rPr>
              <w:t>nařízení (EU) č. 575/2013</w:t>
            </w:r>
          </w:p>
          <w:p w14:paraId="0B37A11A"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Tento sloupec se vyplňuje pouze v případě dceřiných podniků, které jsou v plném rozsahu konsolidovány a které jsou institucemi, s výjimkou dceřiných podniků uvedených v čl. 84 odst. 3 </w:t>
            </w:r>
            <w:r>
              <w:rPr>
                <w:rFonts w:ascii="Times New Roman" w:hAnsi="Times New Roman"/>
                <w:sz w:val="24"/>
              </w:rPr>
              <w:t>nařízení (EU) č. 575/2013</w:t>
            </w:r>
            <w:r>
              <w:rPr>
                <w:rStyle w:val="InstructionsTabelleText"/>
                <w:rFonts w:ascii="Times New Roman" w:hAnsi="Times New Roman"/>
                <w:sz w:val="24"/>
              </w:rPr>
              <w:t xml:space="preserve">. U všech výpočtů vyžadovaných podle článku 84 </w:t>
            </w:r>
            <w:r>
              <w:rPr>
                <w:rFonts w:ascii="Times New Roman" w:hAnsi="Times New Roman"/>
                <w:sz w:val="24"/>
              </w:rPr>
              <w:t>nařízení (EU) č. 575/2013</w:t>
            </w:r>
            <w:r>
              <w:rPr>
                <w:rStyle w:val="InstructionsTabelleText"/>
                <w:rFonts w:ascii="Times New Roman" w:hAnsi="Times New Roman"/>
                <w:sz w:val="24"/>
              </w:rPr>
              <w:t xml:space="preserve"> se každý dceřiný podnik, je-li to vhodné, zohledňuje na subkonsolidovaném základě v souladu s čl. 84 odst. 2; v jiných případech se zohledňuje na individuálním základě.</w:t>
            </w:r>
          </w:p>
          <w:p w14:paraId="702C1458"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Menšinovými podíly se v případě výše specifikovaných dceřiných podniků rozumí nástroje zahrnované do kmenového kapitálu tier 1 (plus související nerozdělený zisk a emisní ážio) vlastněné jinými osobami než podniky zahrnutými do konsolidace podle </w:t>
            </w:r>
            <w:r>
              <w:rPr>
                <w:rFonts w:ascii="Times New Roman" w:hAnsi="Times New Roman"/>
                <w:sz w:val="24"/>
              </w:rPr>
              <w:t>nařízení (EU) č. 575/2013</w:t>
            </w:r>
            <w:r>
              <w:rPr>
                <w:rStyle w:val="InstructionsTabelleText"/>
                <w:rFonts w:ascii="Times New Roman" w:hAnsi="Times New Roman"/>
                <w:sz w:val="24"/>
              </w:rPr>
              <w:t>.</w:t>
            </w:r>
          </w:p>
          <w:p w14:paraId="6615731F"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7266CF" w:rsidRPr="002A677E" w14:paraId="537A006B" w14:textId="77777777" w:rsidTr="007266CF">
        <w:tc>
          <w:tcPr>
            <w:tcW w:w="1188" w:type="dxa"/>
          </w:tcPr>
          <w:p w14:paraId="546E54D2"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27B8E783" w14:textId="77777777" w:rsidR="007266CF" w:rsidRPr="002A677E" w:rsidRDefault="007266CF" w:rsidP="007266CF">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SOUVISEJÍCÍ NEROZDĚLENÝ ZISK, EMISNÍ ÁŽIO A OSTATNÍ FONDY</w:t>
            </w:r>
          </w:p>
          <w:p w14:paraId="7B9663A7" w14:textId="77777777" w:rsidR="007266CF" w:rsidRPr="002A677E" w:rsidRDefault="007266CF" w:rsidP="007266CF">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84 odst. 1 písm. b) </w:t>
            </w:r>
            <w:r>
              <w:rPr>
                <w:rFonts w:ascii="Times New Roman" w:hAnsi="Times New Roman"/>
                <w:sz w:val="24"/>
              </w:rPr>
              <w:t>nařízení (EU) č. 575/2013</w:t>
            </w:r>
          </w:p>
        </w:tc>
      </w:tr>
      <w:tr w:rsidR="007266CF" w:rsidRPr="002A677E" w14:paraId="541A3581" w14:textId="77777777" w:rsidTr="007266CF">
        <w:tc>
          <w:tcPr>
            <w:tcW w:w="1188" w:type="dxa"/>
          </w:tcPr>
          <w:p w14:paraId="0A6EE15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5AC8741E"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VEDLEJŠÍ KAPITÁL TIER 1</w:t>
            </w:r>
          </w:p>
          <w:p w14:paraId="571B79BD"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 xml:space="preserve">Článek 61 </w:t>
            </w:r>
            <w:r>
              <w:rPr>
                <w:rFonts w:ascii="Times New Roman" w:hAnsi="Times New Roman"/>
                <w:sz w:val="24"/>
              </w:rPr>
              <w:t>nařízení (EU) č. 575/2013</w:t>
            </w:r>
          </w:p>
        </w:tc>
      </w:tr>
      <w:tr w:rsidR="007266CF" w:rsidRPr="002A677E" w14:paraId="36519B28" w14:textId="77777777" w:rsidTr="007266CF">
        <w:tc>
          <w:tcPr>
            <w:tcW w:w="1188" w:type="dxa"/>
          </w:tcPr>
          <w:p w14:paraId="0C837AA5"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2B04CB2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Z TOHO: KVALIFIKOVANÝ VEDLEJŠÍ KAPITÁL TIER 1</w:t>
            </w:r>
          </w:p>
          <w:p w14:paraId="71F3893C"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Články 82 a 83 </w:t>
            </w:r>
            <w:r w:rsidRPr="006223CC">
              <w:rPr>
                <w:rFonts w:ascii="Times New Roman" w:hAnsi="Times New Roman"/>
                <w:sz w:val="24"/>
                <w:lang w:val="fr-FR"/>
              </w:rPr>
              <w:t>nařízení (EU) č. 575/2013</w:t>
            </w:r>
          </w:p>
          <w:p w14:paraId="26E4C7B9"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Tento sloupec se vykazuje pouze v případě plně dceřiných podniků, které jsou v plném rozsahu konsolidovány a které jsou institucemi, s výjimkou dceřiných podniků uvedených v čl. 85 odst. 2 </w:t>
            </w:r>
            <w:r w:rsidRPr="006223CC">
              <w:rPr>
                <w:rFonts w:ascii="Times New Roman" w:hAnsi="Times New Roman"/>
                <w:sz w:val="24"/>
                <w:lang w:val="fr-FR"/>
              </w:rPr>
              <w:t>nařízení (EU) č. 575/2013</w:t>
            </w:r>
            <w:r w:rsidRPr="006223CC">
              <w:rPr>
                <w:rStyle w:val="InstructionsTabelleText"/>
                <w:rFonts w:ascii="Times New Roman" w:hAnsi="Times New Roman"/>
                <w:sz w:val="24"/>
                <w:lang w:val="fr-FR"/>
              </w:rPr>
              <w:t xml:space="preserve">. U všech výpočtů vyžadovaných v článku 85 </w:t>
            </w:r>
            <w:r w:rsidRPr="006223CC">
              <w:rPr>
                <w:rFonts w:ascii="Times New Roman" w:hAnsi="Times New Roman"/>
                <w:sz w:val="24"/>
                <w:lang w:val="fr-FR"/>
              </w:rPr>
              <w:t>nařízení (EU) č. 575/2013</w:t>
            </w:r>
            <w:r w:rsidRPr="006223CC">
              <w:rPr>
                <w:rStyle w:val="InstructionsTabelleText"/>
                <w:rFonts w:ascii="Times New Roman" w:hAnsi="Times New Roman"/>
                <w:sz w:val="24"/>
                <w:lang w:val="fr-FR"/>
              </w:rPr>
              <w:t xml:space="preserve"> se každý dceřiný podnik, je-li to vhodné, zohledňuje na subkonsolidovaném základě v souladu s čl. 85 odst. 2; v jiných případech se zohledňuje na individuálním základě.</w:t>
            </w:r>
          </w:p>
          <w:p w14:paraId="31CEC0AD"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Menšinovými podíly se v případě výše specifikovaných dceřiných podniků rozumí nástroje zahrnované do vedlejšího kapitálu tier 1 (plus související nerozdělený zisk a emisní ážio) vlastněné jinými osobami než podniky zahrnutými do konsolidace podle </w:t>
            </w:r>
            <w:r w:rsidRPr="006223CC">
              <w:rPr>
                <w:rFonts w:ascii="Times New Roman" w:hAnsi="Times New Roman"/>
                <w:sz w:val="24"/>
                <w:lang w:val="fr-FR"/>
              </w:rPr>
              <w:t>nařízení (EU) č. 575/2013</w:t>
            </w:r>
            <w:r w:rsidRPr="006223CC">
              <w:rPr>
                <w:rStyle w:val="InstructionsTabelleText"/>
                <w:rFonts w:ascii="Times New Roman" w:hAnsi="Times New Roman"/>
                <w:sz w:val="24"/>
                <w:lang w:val="fr-FR"/>
              </w:rPr>
              <w:t>.</w:t>
            </w:r>
          </w:p>
          <w:p w14:paraId="63C276BA" w14:textId="77777777" w:rsidR="007266CF" w:rsidRPr="002A677E" w:rsidRDefault="007266CF" w:rsidP="007266CF">
            <w:pPr>
              <w:rPr>
                <w:rStyle w:val="InstructionsTabelleberschrift"/>
                <w:rFonts w:ascii="Times New Roman" w:hAnsi="Times New Roman"/>
                <w:sz w:val="24"/>
              </w:rPr>
            </w:pPr>
            <w:r w:rsidRPr="006223CC">
              <w:rPr>
                <w:rStyle w:val="InstructionsTabelleText"/>
                <w:rFonts w:ascii="Times New Roman" w:hAnsi="Times New Roman"/>
                <w:sz w:val="24"/>
                <w:lang w:val="fr-FR"/>
              </w:rPr>
              <w:lastRenderedPageBreak/>
              <w:t xml:space="preserve">Částka, která má být vykázána, zahrnuje dopady všech přechodných ustanovení. </w:t>
            </w:r>
            <w:r>
              <w:rPr>
                <w:rStyle w:val="InstructionsTabelleText"/>
                <w:rFonts w:ascii="Times New Roman" w:hAnsi="Times New Roman"/>
                <w:sz w:val="24"/>
              </w:rPr>
              <w:t>Jedná se o částku způsobilou ke dni vykazování.</w:t>
            </w:r>
          </w:p>
        </w:tc>
      </w:tr>
      <w:tr w:rsidR="007266CF" w:rsidRPr="002A677E" w14:paraId="11E91ABE" w14:textId="77777777" w:rsidTr="007266CF">
        <w:tc>
          <w:tcPr>
            <w:tcW w:w="1188" w:type="dxa"/>
          </w:tcPr>
          <w:p w14:paraId="73BA2259"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14:paraId="46C4A1D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KAPITÁL TIER 2</w:t>
            </w:r>
          </w:p>
          <w:p w14:paraId="0081E2DE"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 xml:space="preserve">Článek 71 </w:t>
            </w:r>
            <w:r>
              <w:rPr>
                <w:rFonts w:ascii="Times New Roman" w:hAnsi="Times New Roman"/>
                <w:sz w:val="24"/>
              </w:rPr>
              <w:t>nařízení (EU) č. 575/2013</w:t>
            </w:r>
          </w:p>
        </w:tc>
      </w:tr>
      <w:tr w:rsidR="007266CF" w:rsidRPr="002A677E" w14:paraId="0CB1EAA5" w14:textId="77777777" w:rsidTr="007266CF">
        <w:tc>
          <w:tcPr>
            <w:tcW w:w="1188" w:type="dxa"/>
          </w:tcPr>
          <w:p w14:paraId="36B3B86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7B704EE"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Z TOHO: KVALIFIKOVANÝ KAPITÁL TIER 2</w:t>
            </w:r>
          </w:p>
          <w:p w14:paraId="3344D9A8"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Články 82 a 83 </w:t>
            </w:r>
            <w:r w:rsidRPr="006223CC">
              <w:rPr>
                <w:rFonts w:ascii="Times New Roman" w:hAnsi="Times New Roman"/>
                <w:sz w:val="24"/>
                <w:lang w:val="fr-FR"/>
              </w:rPr>
              <w:t>nařízení (EU) č. 575/2013</w:t>
            </w:r>
          </w:p>
          <w:p w14:paraId="735EC889"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Tento sloupec se vykazuje pouze v případě dceřiných podniků, které jsou v plném rozsahu konsolidovány a které jsou institucemi, s výjimkou dceřiných podniků uvedených v čl. 87 odst. 2 </w:t>
            </w:r>
            <w:r w:rsidRPr="006223CC">
              <w:rPr>
                <w:rFonts w:ascii="Times New Roman" w:hAnsi="Times New Roman"/>
                <w:sz w:val="24"/>
                <w:lang w:val="fr-FR"/>
              </w:rPr>
              <w:t>nařízení (EU) č. 575/2013</w:t>
            </w:r>
            <w:r w:rsidRPr="006223CC">
              <w:rPr>
                <w:rStyle w:val="InstructionsTabelleText"/>
                <w:rFonts w:ascii="Times New Roman" w:hAnsi="Times New Roman"/>
                <w:sz w:val="24"/>
                <w:lang w:val="fr-FR"/>
              </w:rPr>
              <w:t xml:space="preserve">. Pro účely všech výpočtů vyžadovaných podle článku 87 </w:t>
            </w:r>
            <w:r w:rsidRPr="006223CC">
              <w:rPr>
                <w:rFonts w:ascii="Times New Roman" w:hAnsi="Times New Roman"/>
                <w:sz w:val="24"/>
                <w:lang w:val="fr-FR"/>
              </w:rPr>
              <w:t>nařízení (EU) č. 575/2013</w:t>
            </w:r>
            <w:r w:rsidRPr="006223CC">
              <w:rPr>
                <w:rStyle w:val="InstructionsTabelleText"/>
                <w:rFonts w:ascii="Times New Roman" w:hAnsi="Times New Roman"/>
                <w:sz w:val="24"/>
                <w:lang w:val="fr-FR"/>
              </w:rPr>
              <w:t xml:space="preserve"> se každý dceřiný podnik, je-li to vhodné, zohledňuje na subkonsolidovaném základě v souladu s čl. 87 odst. 2 </w:t>
            </w:r>
            <w:r w:rsidRPr="006223CC">
              <w:rPr>
                <w:rFonts w:ascii="Times New Roman" w:hAnsi="Times New Roman"/>
                <w:sz w:val="24"/>
                <w:lang w:val="fr-FR"/>
              </w:rPr>
              <w:t>uvedeného nařízení</w:t>
            </w:r>
            <w:r w:rsidRPr="006223CC">
              <w:rPr>
                <w:rStyle w:val="InstructionsTabelleText"/>
                <w:rFonts w:ascii="Times New Roman" w:hAnsi="Times New Roman"/>
                <w:sz w:val="24"/>
                <w:lang w:val="fr-FR"/>
              </w:rPr>
              <w:t xml:space="preserve">; v jiných případech se zohledňuje na individuálním základě. </w:t>
            </w:r>
          </w:p>
          <w:p w14:paraId="16402D0D"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 xml:space="preserve">Menšinovými podíly se v případě výše specifikovaných dceřiných podniků rozumí nástroje zahrnované do kapitálu tier 2 (plus související nerozdělený zisk a emisní ážio) vlastněné jinými osobami než podniky zahrnutými do konsolidace podle </w:t>
            </w:r>
            <w:r w:rsidRPr="006223CC">
              <w:rPr>
                <w:rFonts w:ascii="Times New Roman" w:hAnsi="Times New Roman"/>
                <w:sz w:val="24"/>
                <w:lang w:val="fr-FR"/>
              </w:rPr>
              <w:t>nařízení (EU) č. 575/2013</w:t>
            </w:r>
            <w:r w:rsidRPr="006223CC">
              <w:rPr>
                <w:rStyle w:val="InstructionsTabelleText"/>
                <w:rFonts w:ascii="Times New Roman" w:hAnsi="Times New Roman"/>
                <w:sz w:val="24"/>
                <w:lang w:val="fr-FR"/>
              </w:rPr>
              <w:t>.</w:t>
            </w:r>
          </w:p>
          <w:p w14:paraId="370D1A2C" w14:textId="77777777" w:rsidR="007266CF" w:rsidRPr="002A677E" w:rsidRDefault="007266CF" w:rsidP="007266CF">
            <w:pPr>
              <w:rPr>
                <w:rStyle w:val="InstructionsTabelleText"/>
                <w:rFonts w:ascii="Times New Roman" w:hAnsi="Times New Roman"/>
                <w:sz w:val="24"/>
              </w:rPr>
            </w:pPr>
            <w:r w:rsidRPr="006223CC">
              <w:rPr>
                <w:rStyle w:val="InstructionsTabelleText"/>
                <w:rFonts w:ascii="Times New Roman" w:hAnsi="Times New Roman"/>
                <w:sz w:val="24"/>
                <w:lang w:val="fr-FR"/>
              </w:rPr>
              <w:t xml:space="preserve">Částka, která má být vykázána, zahrnuje dopady všech přechodných ustanovení. </w:t>
            </w:r>
            <w:r>
              <w:rPr>
                <w:rStyle w:val="InstructionsTabelleText"/>
                <w:rFonts w:ascii="Times New Roman" w:hAnsi="Times New Roman"/>
                <w:sz w:val="24"/>
              </w:rPr>
              <w:t>Jedná se o částku způsobilou k referenčnímu datu vykazování.</w:t>
            </w:r>
          </w:p>
        </w:tc>
      </w:tr>
      <w:tr w:rsidR="007266CF" w:rsidRPr="002A677E" w14:paraId="66AD092C" w14:textId="77777777" w:rsidTr="007266CF">
        <w:tc>
          <w:tcPr>
            <w:tcW w:w="1188" w:type="dxa"/>
          </w:tcPr>
          <w:p w14:paraId="20837B8F"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F27D89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ÚDAJE TÝKAJÍCÍ SE PŘÍSPĚVKU SUBJEKTŮ K SOLVENTNOSTI SKUPINY</w:t>
            </w:r>
          </w:p>
        </w:tc>
      </w:tr>
      <w:tr w:rsidR="007266CF" w:rsidRPr="002A677E" w14:paraId="3034C2EC" w14:textId="77777777" w:rsidTr="007266CF">
        <w:tc>
          <w:tcPr>
            <w:tcW w:w="1188" w:type="dxa"/>
          </w:tcPr>
          <w:p w14:paraId="1745C19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6A217BB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PŘÍSPĚVEK K RIZIKŮM</w:t>
            </w:r>
          </w:p>
          <w:p w14:paraId="21936FCD" w14:textId="77777777" w:rsidR="007266CF" w:rsidRPr="002A677E" w:rsidRDefault="007266CF" w:rsidP="007266CF">
            <w:pPr>
              <w:rPr>
                <w:rStyle w:val="InstructionsTabelleberschrift"/>
                <w:rFonts w:ascii="Times New Roman" w:hAnsi="Times New Roman"/>
                <w:sz w:val="24"/>
              </w:rPr>
            </w:pPr>
            <w:r>
              <w:rPr>
                <w:rFonts w:ascii="Times New Roman" w:hAnsi="Times New Roman"/>
                <w:sz w:val="24"/>
              </w:rPr>
              <w:t>Údaje uvedené v následujících sloupcích se vykazují v souladu se solventnostními pravidly, která se vztahují na vykazující instituci.</w:t>
            </w:r>
          </w:p>
        </w:tc>
      </w:tr>
      <w:tr w:rsidR="007266CF" w:rsidRPr="002A677E" w14:paraId="336A4E62" w14:textId="77777777" w:rsidTr="007266CF">
        <w:tc>
          <w:tcPr>
            <w:tcW w:w="1188" w:type="dxa"/>
          </w:tcPr>
          <w:p w14:paraId="73269B18"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2B18CCE0"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CELKOVÝ OBJEM RIZIKOVÉ EXPOZICE</w:t>
            </w:r>
          </w:p>
          <w:p w14:paraId="7178693D"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Vykáže se součet hodnot uvedených ve sloupcích 0260 až 0290.</w:t>
            </w:r>
          </w:p>
        </w:tc>
      </w:tr>
      <w:tr w:rsidR="007266CF" w:rsidRPr="002A677E" w14:paraId="326F9CC1" w14:textId="77777777" w:rsidTr="007266CF">
        <w:tc>
          <w:tcPr>
            <w:tcW w:w="1188" w:type="dxa"/>
          </w:tcPr>
          <w:p w14:paraId="104DDDF2"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16484650"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ÚVĚROVÉ RIZIKO; ÚVĚROVÉ RIZIKO PROTISTRANY; RIZIKO ROZMĚLNĚNÍ, VOLNÝCH DODÁVEK A VYPOŘÁDACÍ RIZIKO / RIZIKO DODÁNÍ</w:t>
            </w:r>
          </w:p>
          <w:p w14:paraId="6DBE23C8"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objemy rizikově vážených expozic u úvěrového rizika a kapitálových požadavků na vypořádací riziko a riziko dodání podle </w:t>
            </w:r>
            <w:r>
              <w:rPr>
                <w:rFonts w:ascii="Times New Roman" w:hAnsi="Times New Roman"/>
                <w:sz w:val="24"/>
              </w:rPr>
              <w:t>nařízení (EU) č. 575/2013</w:t>
            </w:r>
            <w:r>
              <w:rPr>
                <w:rStyle w:val="InstructionsTabelleText"/>
                <w:rFonts w:ascii="Times New Roman" w:hAnsi="Times New Roman"/>
                <w:sz w:val="24"/>
              </w:rPr>
              <w:t xml:space="preserve"> s výjimkou jakékoli částky související s transakcemi s jinými subjekty zahrnutými do výpočtu konsolidovaného solventnostního poměru skupiny.</w:t>
            </w:r>
          </w:p>
        </w:tc>
      </w:tr>
      <w:tr w:rsidR="007266CF" w:rsidRPr="002A677E" w14:paraId="2C939DF5" w14:textId="77777777" w:rsidTr="007266CF">
        <w:tc>
          <w:tcPr>
            <w:tcW w:w="1188" w:type="dxa"/>
          </w:tcPr>
          <w:p w14:paraId="7EDD5D91"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0D5B927E"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POZIČNÍ, MĚNOVÉ A KOMODITNÍ RIZIKO</w:t>
            </w:r>
          </w:p>
          <w:p w14:paraId="0D0FA758" w14:textId="77777777" w:rsidR="007266CF" w:rsidRPr="001235ED"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Objemy rizikových expozic u tržních rizik se počítají na úrovni každého subjektu v souladu s </w:t>
            </w:r>
            <w:r>
              <w:rPr>
                <w:rFonts w:ascii="Times New Roman" w:hAnsi="Times New Roman"/>
                <w:sz w:val="24"/>
              </w:rPr>
              <w:t>nařízením (EU) č. 575/2013</w:t>
            </w:r>
            <w:r>
              <w:rPr>
                <w:rStyle w:val="InstructionsTabelleText"/>
                <w:rFonts w:ascii="Times New Roman" w:hAnsi="Times New Roman"/>
                <w:sz w:val="24"/>
              </w:rPr>
              <w:t xml:space="preserve">. Subjekty vykazují příspěvek k celkovým objemům rizikových expozic v případě pozičního, měnového a komoditního rizika skupiny. Součet zde vykázaných částek odpovídá částce vykázané v řádku 0520 „CELKOVÝ OBJEM RIZIKOVÉ EXPOZICE U POZIČNÍHO, MĚNOVÉHO A KOMODITNÍHO RIZIKA“ v </w:t>
            </w:r>
            <w:r>
              <w:t>konsolidované</w:t>
            </w:r>
            <w:r>
              <w:rPr>
                <w:rStyle w:val="InstructionsTabelleText"/>
                <w:rFonts w:ascii="Times New Roman" w:hAnsi="Times New Roman"/>
                <w:sz w:val="24"/>
              </w:rPr>
              <w:t xml:space="preserve"> zprávě.</w:t>
            </w:r>
          </w:p>
        </w:tc>
      </w:tr>
      <w:tr w:rsidR="007266CF" w:rsidRPr="002A677E" w14:paraId="4CC1860C" w14:textId="77777777" w:rsidTr="007266CF">
        <w:tc>
          <w:tcPr>
            <w:tcW w:w="1188" w:type="dxa"/>
          </w:tcPr>
          <w:p w14:paraId="361F8251"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0280</w:t>
            </w:r>
          </w:p>
        </w:tc>
        <w:tc>
          <w:tcPr>
            <w:tcW w:w="8640" w:type="dxa"/>
          </w:tcPr>
          <w:p w14:paraId="71D72DB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OPERAČNÍ RIZIKO</w:t>
            </w:r>
          </w:p>
          <w:p w14:paraId="6702EDC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V případě, že se používají pokročilé přístupy k měření operačního rizika, vykázané objemy rizikových expozic u operačního rizika zahrnují diverzifikační efekty.</w:t>
            </w:r>
          </w:p>
          <w:p w14:paraId="76699D39" w14:textId="77777777" w:rsidR="007266CF" w:rsidRPr="002A677E" w:rsidRDefault="007266CF" w:rsidP="007266CF">
            <w:pPr>
              <w:rPr>
                <w:rStyle w:val="InstructionsTabelleText"/>
                <w:rFonts w:ascii="Times New Roman" w:hAnsi="Times New Roman"/>
                <w:sz w:val="24"/>
              </w:rPr>
            </w:pPr>
            <w:r>
              <w:rPr>
                <w:rFonts w:ascii="Times New Roman" w:hAnsi="Times New Roman"/>
                <w:caps/>
                <w:sz w:val="24"/>
              </w:rPr>
              <w:t>V</w:t>
            </w:r>
            <w:r>
              <w:rPr>
                <w:rFonts w:ascii="Times New Roman" w:hAnsi="Times New Roman"/>
                <w:sz w:val="24"/>
              </w:rPr>
              <w:t xml:space="preserve"> tomto sloupci se uvedou fixní režijní náklady.</w:t>
            </w:r>
          </w:p>
        </w:tc>
      </w:tr>
      <w:tr w:rsidR="007266CF" w:rsidRPr="002A677E" w14:paraId="32DDCC10" w14:textId="77777777" w:rsidTr="007266CF">
        <w:tc>
          <w:tcPr>
            <w:tcW w:w="1188" w:type="dxa"/>
          </w:tcPr>
          <w:p w14:paraId="37405B64"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3AFEEDC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OSTATNÍ OBJEMY RIZIKOVÉ EXPOZICE</w:t>
            </w:r>
          </w:p>
          <w:p w14:paraId="60F5056B"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Hodnota, která má být vykázána v tomto sloupci, odpovídá objemu rizikových expozic vůči rizikům, která nejsou uvedena výše.</w:t>
            </w:r>
          </w:p>
        </w:tc>
      </w:tr>
      <w:tr w:rsidR="007266CF" w:rsidRPr="002A677E" w14:paraId="30FFCB98" w14:textId="77777777" w:rsidTr="007266CF">
        <w:tc>
          <w:tcPr>
            <w:tcW w:w="1188" w:type="dxa"/>
          </w:tcPr>
          <w:p w14:paraId="01EA54C3"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15C2733E"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PŘÍSPĚVEK KE KAPITÁLU</w:t>
            </w:r>
          </w:p>
          <w:p w14:paraId="5FCBC00E" w14:textId="77777777" w:rsidR="007266CF" w:rsidRPr="001235ED" w:rsidRDefault="007266CF" w:rsidP="007266CF">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Účelem této části šablony není ukládat institucím úplný výpočet celkového kapitálového poměru na úrovni každého subjektu. </w:t>
            </w:r>
          </w:p>
          <w:p w14:paraId="2693C236" w14:textId="77777777" w:rsidR="007266CF" w:rsidRPr="002A677E" w:rsidRDefault="007266CF" w:rsidP="007266CF">
            <w:pPr>
              <w:pStyle w:val="Texte2"/>
              <w:ind w:left="0"/>
              <w:rPr>
                <w:rStyle w:val="InstructionsTabelleText"/>
                <w:rFonts w:ascii="Times New Roman" w:hAnsi="Times New Roman"/>
                <w:sz w:val="24"/>
                <w:szCs w:val="24"/>
              </w:rPr>
            </w:pPr>
            <w:r>
              <w:rPr>
                <w:rFonts w:ascii="Times New Roman" w:hAnsi="Times New Roman"/>
                <w:sz w:val="24"/>
              </w:rPr>
              <w:t>Sloupce 0300 až 0350 se vyplňují u konsolidovaných subjektů, které přispívají ke kapitálu prostřednictvím menšinových podílů,</w:t>
            </w:r>
            <w:r>
              <w:t xml:space="preserve"> </w:t>
            </w:r>
            <w:r>
              <w:rPr>
                <w:rFonts w:ascii="Times New Roman" w:hAnsi="Times New Roman"/>
                <w:sz w:val="24"/>
              </w:rPr>
              <w:t>kvalifikovaného kapitálu tier 1 nebo kvalifikovaného kapitálu. S výhradou prahové hodnoty uvedené v posledním odstavci části druhé kapitoly 2.3 se sloupce 0360 až 0400 vyplňují u všech konsolidovaných subjektů, které přispívají ke konsolidovanému kapitálu.</w:t>
            </w:r>
          </w:p>
          <w:p w14:paraId="0D8E6564" w14:textId="77777777" w:rsidR="007266CF" w:rsidRPr="002A677E" w:rsidRDefault="007266CF" w:rsidP="007266CF">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Kapitál, který do subjektu přinesou ostatní subjekty v rámci vykazujícího subjektu, se nezohledňuje; v tomto sloupci se vykazuje pouze čistý příspěvek ke kapitálu skupiny (zejména zvýšení kapitálu prostřednictvím třetích stran a kumulovaných rezerv). </w:t>
            </w:r>
          </w:p>
          <w:p w14:paraId="2AD463A7" w14:textId="77777777" w:rsidR="007266CF" w:rsidRPr="002A677E" w:rsidRDefault="007266CF" w:rsidP="007266CF">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Údaje uvedené v následujících sloupcích se vykazují v souladu se solventnostními pravidly, která se vztahují na vykazující instituci.</w:t>
            </w:r>
          </w:p>
        </w:tc>
      </w:tr>
      <w:tr w:rsidR="007266CF" w:rsidRPr="002A677E" w14:paraId="5442CA29" w14:textId="77777777" w:rsidTr="007266CF">
        <w:tc>
          <w:tcPr>
            <w:tcW w:w="1188" w:type="dxa"/>
          </w:tcPr>
          <w:p w14:paraId="60325C76"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0711F75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KVALIFIKOVANÝ KAPITÁL ZAHRNOVANÝ DO KONSOLIDOVANÉHO KAPITÁLU</w:t>
            </w:r>
          </w:p>
          <w:p w14:paraId="574A30E6"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 xml:space="preserve">Částka, která má být vykázána jako „KVALIFIKOVANÝ KAPITÁL ZAHRNOVANÝ DO KONSOLIDOVANÉHO KAPITÁLU“, je částkou odvozenou podle hlavy II části druhé </w:t>
            </w:r>
            <w:r>
              <w:rPr>
                <w:rFonts w:ascii="Times New Roman" w:hAnsi="Times New Roman"/>
                <w:sz w:val="24"/>
              </w:rPr>
              <w:t>nařízení (EU) č. 575/2013</w:t>
            </w:r>
            <w:r>
              <w:rPr>
                <w:rStyle w:val="InstructionsTabelleText"/>
                <w:rFonts w:ascii="Times New Roman" w:hAnsi="Times New Roman"/>
                <w:sz w:val="24"/>
              </w:rPr>
              <w:t xml:space="preserve"> vyjma kapitálu, který zajistily jiné subjekty ve skupině.</w:t>
            </w:r>
          </w:p>
        </w:tc>
      </w:tr>
      <w:tr w:rsidR="007266CF" w:rsidRPr="002A677E" w14:paraId="25464367" w14:textId="77777777" w:rsidTr="007266CF">
        <w:tc>
          <w:tcPr>
            <w:tcW w:w="1188" w:type="dxa"/>
          </w:tcPr>
          <w:p w14:paraId="2152623C" w14:textId="77777777" w:rsidR="007266CF" w:rsidRPr="002A677E" w:rsidRDefault="007266CF" w:rsidP="007266CF">
            <w:pPr>
              <w:rPr>
                <w:rStyle w:val="InstructionsTabelleText"/>
                <w:rFonts w:ascii="Times New Roman" w:hAnsi="Times New Roman"/>
                <w:sz w:val="24"/>
              </w:rPr>
            </w:pPr>
            <w:r>
              <w:rPr>
                <w:rFonts w:ascii="Times New Roman" w:hAnsi="Times New Roman"/>
                <w:sz w:val="24"/>
              </w:rPr>
              <w:t>0300</w:t>
            </w:r>
          </w:p>
        </w:tc>
        <w:tc>
          <w:tcPr>
            <w:tcW w:w="8640" w:type="dxa"/>
          </w:tcPr>
          <w:p w14:paraId="708F5B61"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KVALIFIKOVANÝ KAPITÁL ZAHRNOVANÝ DO KONSOLIDOVANÉHO KAPITÁLU</w:t>
            </w:r>
          </w:p>
          <w:p w14:paraId="46B1924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87 </w:t>
            </w:r>
            <w:r>
              <w:rPr>
                <w:rFonts w:ascii="Times New Roman" w:hAnsi="Times New Roman"/>
                <w:sz w:val="24"/>
              </w:rPr>
              <w:t>nařízení (EU) č. 575/2013</w:t>
            </w:r>
          </w:p>
        </w:tc>
      </w:tr>
      <w:tr w:rsidR="007266CF" w:rsidRPr="002A677E" w14:paraId="5F667AA8" w14:textId="77777777" w:rsidTr="007266CF">
        <w:tc>
          <w:tcPr>
            <w:tcW w:w="1188" w:type="dxa"/>
          </w:tcPr>
          <w:p w14:paraId="13949F70" w14:textId="77777777" w:rsidR="007266CF" w:rsidRPr="002A677E" w:rsidRDefault="007266CF" w:rsidP="007266CF">
            <w:pPr>
              <w:rPr>
                <w:rStyle w:val="InstructionsTabelleText"/>
                <w:rFonts w:ascii="Times New Roman" w:hAnsi="Times New Roman"/>
                <w:sz w:val="24"/>
              </w:rPr>
            </w:pPr>
            <w:r>
              <w:rPr>
                <w:rFonts w:ascii="Times New Roman" w:hAnsi="Times New Roman"/>
                <w:sz w:val="24"/>
              </w:rPr>
              <w:t>0310</w:t>
            </w:r>
          </w:p>
        </w:tc>
        <w:tc>
          <w:tcPr>
            <w:tcW w:w="8640" w:type="dxa"/>
          </w:tcPr>
          <w:p w14:paraId="47B53712"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KVALIFIKOVANÉ NÁSTROJE TIER 1 ZAHRNUTÉ DO KONSOLIDOVANÉHO KAPITÁLU TIER 1</w:t>
            </w:r>
          </w:p>
          <w:p w14:paraId="0E0E8DE6"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85 </w:t>
            </w:r>
            <w:r>
              <w:rPr>
                <w:rFonts w:ascii="Times New Roman" w:hAnsi="Times New Roman"/>
                <w:sz w:val="24"/>
              </w:rPr>
              <w:t>nařízení (EU) č. 575/2013</w:t>
            </w:r>
          </w:p>
        </w:tc>
      </w:tr>
      <w:tr w:rsidR="007266CF" w:rsidRPr="002A677E" w14:paraId="3CF5C80C" w14:textId="77777777" w:rsidTr="007266CF">
        <w:tc>
          <w:tcPr>
            <w:tcW w:w="1188" w:type="dxa"/>
          </w:tcPr>
          <w:p w14:paraId="797C7185" w14:textId="77777777" w:rsidR="007266CF" w:rsidRPr="002A677E" w:rsidRDefault="007266CF" w:rsidP="007266CF">
            <w:pPr>
              <w:rPr>
                <w:rStyle w:val="InstructionsTabelleText"/>
                <w:rFonts w:ascii="Times New Roman" w:hAnsi="Times New Roman"/>
                <w:sz w:val="24"/>
              </w:rPr>
            </w:pPr>
            <w:r>
              <w:rPr>
                <w:rFonts w:ascii="Times New Roman" w:hAnsi="Times New Roman"/>
                <w:sz w:val="24"/>
              </w:rPr>
              <w:t>0320</w:t>
            </w:r>
          </w:p>
        </w:tc>
        <w:tc>
          <w:tcPr>
            <w:tcW w:w="8640" w:type="dxa"/>
          </w:tcPr>
          <w:p w14:paraId="361BEA23" w14:textId="77777777" w:rsidR="007266CF" w:rsidRPr="002A677E" w:rsidRDefault="007266CF" w:rsidP="007266CF">
            <w:pPr>
              <w:rPr>
                <w:rStyle w:val="InstructionsTabelleText"/>
                <w:rFonts w:ascii="Times New Roman" w:hAnsi="Times New Roman"/>
                <w:sz w:val="24"/>
              </w:rPr>
            </w:pPr>
            <w:r>
              <w:rPr>
                <w:rStyle w:val="InstructionsTabelleberschrift"/>
                <w:rFonts w:ascii="Times New Roman" w:hAnsi="Times New Roman"/>
                <w:sz w:val="24"/>
              </w:rPr>
              <w:t>MENŠINOVÉ PODÍLY ZAHRNUTÉ DO KONSOLIDOVANÉHO KMENOVÉHO</w:t>
            </w:r>
            <w:r>
              <w:t xml:space="preserve"> </w:t>
            </w:r>
            <w:r>
              <w:br/>
            </w:r>
            <w:r>
              <w:rPr>
                <w:rStyle w:val="InstructionsTabelleberschrift"/>
                <w:rFonts w:ascii="Times New Roman" w:hAnsi="Times New Roman"/>
                <w:sz w:val="24"/>
              </w:rPr>
              <w:t>KAPITÁLU TIER 1</w:t>
            </w:r>
          </w:p>
          <w:p w14:paraId="67F20D11"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84 </w:t>
            </w:r>
            <w:r>
              <w:rPr>
                <w:rFonts w:ascii="Times New Roman" w:hAnsi="Times New Roman"/>
                <w:sz w:val="24"/>
              </w:rPr>
              <w:t>nařízení (EU) č. 575/2013</w:t>
            </w:r>
          </w:p>
          <w:p w14:paraId="4BEC2289"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menšinových podílů dceřiného podniku zahrnutou do konsolidovaného kmenového kapitálu tier 1 podle </w:t>
            </w:r>
            <w:r>
              <w:rPr>
                <w:rFonts w:ascii="Times New Roman" w:hAnsi="Times New Roman"/>
                <w:sz w:val="24"/>
              </w:rPr>
              <w:t>nařízení (EU) č. 575/2013</w:t>
            </w:r>
            <w:r>
              <w:rPr>
                <w:rStyle w:val="InstructionsTabelleText"/>
                <w:rFonts w:ascii="Times New Roman" w:hAnsi="Times New Roman"/>
                <w:sz w:val="24"/>
              </w:rPr>
              <w:t xml:space="preserve">. </w:t>
            </w:r>
          </w:p>
        </w:tc>
      </w:tr>
      <w:tr w:rsidR="007266CF" w:rsidRPr="002A677E" w14:paraId="54F896E5" w14:textId="77777777" w:rsidTr="007266CF">
        <w:tc>
          <w:tcPr>
            <w:tcW w:w="1188" w:type="dxa"/>
          </w:tcPr>
          <w:p w14:paraId="3C084BE0" w14:textId="77777777" w:rsidR="007266CF" w:rsidRPr="002A677E" w:rsidRDefault="007266CF" w:rsidP="007266CF">
            <w:pPr>
              <w:rPr>
                <w:rStyle w:val="InstructionsTabelleText"/>
                <w:rFonts w:ascii="Times New Roman" w:hAnsi="Times New Roman"/>
                <w:sz w:val="24"/>
              </w:rPr>
            </w:pPr>
            <w:r>
              <w:rPr>
                <w:rFonts w:ascii="Times New Roman" w:hAnsi="Times New Roman"/>
                <w:sz w:val="24"/>
              </w:rPr>
              <w:lastRenderedPageBreak/>
              <w:t>0330</w:t>
            </w:r>
          </w:p>
        </w:tc>
        <w:tc>
          <w:tcPr>
            <w:tcW w:w="8640" w:type="dxa"/>
          </w:tcPr>
          <w:p w14:paraId="2553B036" w14:textId="77777777" w:rsidR="007266CF" w:rsidRPr="002A677E" w:rsidRDefault="007266CF" w:rsidP="007266CF">
            <w:pPr>
              <w:rPr>
                <w:rStyle w:val="InstructionsTabelleText"/>
                <w:rFonts w:ascii="Times New Roman" w:hAnsi="Times New Roman"/>
                <w:sz w:val="24"/>
              </w:rPr>
            </w:pPr>
            <w:r>
              <w:rPr>
                <w:rStyle w:val="InstructionsTabelleberschrift"/>
                <w:rFonts w:ascii="Times New Roman" w:hAnsi="Times New Roman"/>
                <w:sz w:val="24"/>
              </w:rPr>
              <w:t>KVALIFIKOVANÉ NÁSTROJE TIER 1 ZAHRNUTÉ DO KONSOLIDOVANÉHO VEDLEJŠÍHO KAPITÁLU TIER 1</w:t>
            </w:r>
          </w:p>
          <w:p w14:paraId="169BC74F"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86 </w:t>
            </w:r>
            <w:r>
              <w:rPr>
                <w:rFonts w:ascii="Times New Roman" w:hAnsi="Times New Roman"/>
                <w:sz w:val="24"/>
              </w:rPr>
              <w:t>nařízení (EU) č. 575/2013</w:t>
            </w:r>
          </w:p>
          <w:p w14:paraId="7139E44F"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kvalifikovaného kapitálu tier 1 dceřiného podniku zahrnutou do konsolidovaného vedlejšího kapitálu tier 1 podle </w:t>
            </w:r>
            <w:r>
              <w:rPr>
                <w:rFonts w:ascii="Times New Roman" w:hAnsi="Times New Roman"/>
                <w:sz w:val="24"/>
              </w:rPr>
              <w:t>nařízení (EU) č. 575/2013</w:t>
            </w:r>
            <w:r>
              <w:rPr>
                <w:rStyle w:val="InstructionsTabelleText"/>
                <w:rFonts w:ascii="Times New Roman" w:hAnsi="Times New Roman"/>
                <w:sz w:val="24"/>
              </w:rPr>
              <w:t xml:space="preserve">. </w:t>
            </w:r>
          </w:p>
        </w:tc>
      </w:tr>
      <w:tr w:rsidR="007266CF" w:rsidRPr="002A677E" w14:paraId="726E08D6" w14:textId="77777777" w:rsidTr="007266CF">
        <w:tc>
          <w:tcPr>
            <w:tcW w:w="1188" w:type="dxa"/>
          </w:tcPr>
          <w:p w14:paraId="5FC1B41E" w14:textId="77777777" w:rsidR="007266CF" w:rsidRPr="002A677E" w:rsidRDefault="007266CF" w:rsidP="007266CF">
            <w:pPr>
              <w:rPr>
                <w:rStyle w:val="InstructionsTabelleText"/>
                <w:rFonts w:ascii="Times New Roman" w:hAnsi="Times New Roman"/>
                <w:sz w:val="24"/>
              </w:rPr>
            </w:pPr>
            <w:r>
              <w:rPr>
                <w:rFonts w:ascii="Times New Roman" w:hAnsi="Times New Roman"/>
                <w:sz w:val="24"/>
              </w:rPr>
              <w:t>0340</w:t>
            </w:r>
          </w:p>
        </w:tc>
        <w:tc>
          <w:tcPr>
            <w:tcW w:w="8640" w:type="dxa"/>
          </w:tcPr>
          <w:p w14:paraId="2527D671"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KVALIFIKOVANÉ KAPITÁLOVÉ NÁSTROJE ZAHRNUTÉ DO</w:t>
            </w:r>
            <w:r>
              <w:t xml:space="preserve"> </w:t>
            </w:r>
            <w:r>
              <w:br/>
            </w:r>
            <w:r>
              <w:rPr>
                <w:rStyle w:val="InstructionsTabelleberschrift"/>
                <w:rFonts w:ascii="Times New Roman" w:hAnsi="Times New Roman"/>
                <w:sz w:val="24"/>
              </w:rPr>
              <w:t>KONSOLIDOVANÉHO KAPITÁLU TIER 2</w:t>
            </w:r>
          </w:p>
          <w:p w14:paraId="045A63FA"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88 </w:t>
            </w:r>
            <w:r>
              <w:rPr>
                <w:rFonts w:ascii="Times New Roman" w:hAnsi="Times New Roman"/>
                <w:sz w:val="24"/>
              </w:rPr>
              <w:t>nařízení (EU) č. 575/2013</w:t>
            </w:r>
          </w:p>
          <w:p w14:paraId="1ABA26C5"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kvalifikovaného kapitálu dceřiného podniku zahrnutou do konsolidovaného kapitálu tier 2 podle </w:t>
            </w:r>
            <w:r>
              <w:rPr>
                <w:rFonts w:ascii="Times New Roman" w:hAnsi="Times New Roman"/>
                <w:sz w:val="24"/>
              </w:rPr>
              <w:t>nařízení (EU) č. 575/2013</w:t>
            </w:r>
            <w:r>
              <w:rPr>
                <w:rStyle w:val="InstructionsTabelleText"/>
                <w:rFonts w:ascii="Times New Roman" w:hAnsi="Times New Roman"/>
                <w:sz w:val="24"/>
              </w:rPr>
              <w:t xml:space="preserve">. </w:t>
            </w:r>
          </w:p>
        </w:tc>
      </w:tr>
      <w:tr w:rsidR="007266CF" w:rsidRPr="002A677E" w14:paraId="29123B6D" w14:textId="77777777" w:rsidTr="007266CF">
        <w:tc>
          <w:tcPr>
            <w:tcW w:w="1188" w:type="dxa"/>
          </w:tcPr>
          <w:p w14:paraId="0255FF91" w14:textId="77777777" w:rsidR="007266CF" w:rsidRPr="002A677E" w:rsidRDefault="007266CF" w:rsidP="007266CF">
            <w:pPr>
              <w:rPr>
                <w:rFonts w:ascii="Times New Roman" w:hAnsi="Times New Roman"/>
                <w:sz w:val="24"/>
              </w:rPr>
            </w:pPr>
            <w:r>
              <w:rPr>
                <w:rFonts w:ascii="Times New Roman" w:hAnsi="Times New Roman"/>
                <w:sz w:val="24"/>
              </w:rPr>
              <w:t>0350</w:t>
            </w:r>
          </w:p>
        </w:tc>
        <w:tc>
          <w:tcPr>
            <w:tcW w:w="8640" w:type="dxa"/>
          </w:tcPr>
          <w:p w14:paraId="383A210A" w14:textId="77777777" w:rsidR="007266CF" w:rsidRPr="002A677E" w:rsidRDefault="007266CF" w:rsidP="007266CF">
            <w:pPr>
              <w:rPr>
                <w:rStyle w:val="InstructionsTabelleberschrift"/>
                <w:rFonts w:ascii="Times New Roman" w:hAnsi="Times New Roman"/>
                <w:b w:val="0"/>
                <w:sz w:val="24"/>
              </w:rPr>
            </w:pPr>
            <w:r>
              <w:rPr>
                <w:rStyle w:val="InstructionsTabelleberschrift"/>
                <w:rFonts w:ascii="Times New Roman" w:hAnsi="Times New Roman"/>
                <w:sz w:val="24"/>
              </w:rPr>
              <w:t>DOPLŇKOVÁ POLOŽKA: GOODWILL (−) /(+) NEGATIVNÍ GOODWILL</w:t>
            </w:r>
          </w:p>
        </w:tc>
      </w:tr>
      <w:tr w:rsidR="007266CF" w:rsidRPr="002A677E" w14:paraId="34C2E314" w14:textId="77777777" w:rsidTr="007266CF">
        <w:tc>
          <w:tcPr>
            <w:tcW w:w="1188" w:type="dxa"/>
          </w:tcPr>
          <w:p w14:paraId="3B7E9752" w14:textId="77777777" w:rsidR="007266CF" w:rsidRPr="002A677E" w:rsidRDefault="007266CF" w:rsidP="007266CF">
            <w:pPr>
              <w:rPr>
                <w:rFonts w:ascii="Times New Roman" w:hAnsi="Times New Roman"/>
                <w:sz w:val="24"/>
              </w:rPr>
            </w:pPr>
            <w:r>
              <w:rPr>
                <w:rFonts w:ascii="Times New Roman" w:hAnsi="Times New Roman"/>
                <w:sz w:val="24"/>
              </w:rPr>
              <w:t>0360–0400</w:t>
            </w:r>
          </w:p>
        </w:tc>
        <w:tc>
          <w:tcPr>
            <w:tcW w:w="8640" w:type="dxa"/>
          </w:tcPr>
          <w:p w14:paraId="027FECA6"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KONSOLIDOVANÝ KAPITÁL</w:t>
            </w:r>
          </w:p>
          <w:p w14:paraId="00A65734"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Článek 18 </w:t>
            </w:r>
            <w:r>
              <w:rPr>
                <w:rFonts w:ascii="Times New Roman" w:hAnsi="Times New Roman"/>
                <w:sz w:val="24"/>
              </w:rPr>
              <w:t>nařízení (EU) č. 575/2013</w:t>
            </w:r>
          </w:p>
          <w:p w14:paraId="086C1088"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Částka, která má být vykázána jako „KONSOLIDOVANÝ KAPITÁL“, je částkou získanou z rozvahy s vyloučením kapitálu, který zajistily jiné subjekty ve skupině.</w:t>
            </w:r>
          </w:p>
        </w:tc>
      </w:tr>
      <w:tr w:rsidR="007266CF" w:rsidRPr="002A677E" w14:paraId="0F629A82" w14:textId="77777777" w:rsidTr="007266CF">
        <w:tc>
          <w:tcPr>
            <w:tcW w:w="1188" w:type="dxa"/>
          </w:tcPr>
          <w:p w14:paraId="338E4D64" w14:textId="77777777" w:rsidR="007266CF" w:rsidRPr="002A677E" w:rsidRDefault="007266CF" w:rsidP="007266CF">
            <w:pPr>
              <w:rPr>
                <w:rFonts w:ascii="Times New Roman" w:hAnsi="Times New Roman"/>
                <w:sz w:val="24"/>
              </w:rPr>
            </w:pPr>
            <w:r>
              <w:rPr>
                <w:rFonts w:ascii="Times New Roman" w:hAnsi="Times New Roman"/>
                <w:sz w:val="24"/>
              </w:rPr>
              <w:t>0360</w:t>
            </w:r>
          </w:p>
        </w:tc>
        <w:tc>
          <w:tcPr>
            <w:tcW w:w="8640" w:type="dxa"/>
          </w:tcPr>
          <w:p w14:paraId="753BBA2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KONSOLIDOVANÝ KAPITÁL</w:t>
            </w:r>
          </w:p>
        </w:tc>
      </w:tr>
      <w:tr w:rsidR="007266CF" w:rsidRPr="002A677E" w14:paraId="06040245" w14:textId="77777777" w:rsidTr="007266CF">
        <w:tc>
          <w:tcPr>
            <w:tcW w:w="1188" w:type="dxa"/>
          </w:tcPr>
          <w:p w14:paraId="54CE2366" w14:textId="77777777" w:rsidR="007266CF" w:rsidRPr="002A677E" w:rsidRDefault="007266CF" w:rsidP="007266CF">
            <w:pPr>
              <w:rPr>
                <w:rFonts w:ascii="Times New Roman" w:hAnsi="Times New Roman"/>
                <w:sz w:val="24"/>
              </w:rPr>
            </w:pPr>
            <w:r>
              <w:rPr>
                <w:rFonts w:ascii="Times New Roman" w:hAnsi="Times New Roman"/>
                <w:sz w:val="24"/>
              </w:rPr>
              <w:t>0370</w:t>
            </w:r>
          </w:p>
        </w:tc>
        <w:tc>
          <w:tcPr>
            <w:tcW w:w="8640" w:type="dxa"/>
          </w:tcPr>
          <w:p w14:paraId="0330E66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Z TOHO: KMENOVÝ KAPITÁL TIER 1</w:t>
            </w:r>
          </w:p>
        </w:tc>
      </w:tr>
      <w:tr w:rsidR="007266CF" w:rsidRPr="002A677E" w14:paraId="605FF08F" w14:textId="77777777" w:rsidTr="007266CF">
        <w:tc>
          <w:tcPr>
            <w:tcW w:w="1188" w:type="dxa"/>
          </w:tcPr>
          <w:p w14:paraId="62D7C66A" w14:textId="77777777" w:rsidR="007266CF" w:rsidRPr="002A677E" w:rsidDel="0081176B" w:rsidRDefault="007266CF" w:rsidP="007266CF">
            <w:pPr>
              <w:rPr>
                <w:rFonts w:ascii="Times New Roman" w:hAnsi="Times New Roman"/>
                <w:sz w:val="24"/>
              </w:rPr>
            </w:pPr>
            <w:r>
              <w:rPr>
                <w:rFonts w:ascii="Times New Roman" w:hAnsi="Times New Roman"/>
                <w:sz w:val="24"/>
              </w:rPr>
              <w:t>0380</w:t>
            </w:r>
          </w:p>
        </w:tc>
        <w:tc>
          <w:tcPr>
            <w:tcW w:w="8640" w:type="dxa"/>
          </w:tcPr>
          <w:p w14:paraId="0AE3CDEF" w14:textId="77777777" w:rsidR="007266CF" w:rsidRPr="002A677E" w:rsidDel="0081176B"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Z TOHO: VEDLEJŠÍ KAPITÁL TIER 1</w:t>
            </w:r>
          </w:p>
        </w:tc>
      </w:tr>
      <w:tr w:rsidR="007266CF" w:rsidRPr="002A677E" w14:paraId="0EED10D6" w14:textId="77777777" w:rsidTr="007266CF">
        <w:tc>
          <w:tcPr>
            <w:tcW w:w="1188" w:type="dxa"/>
          </w:tcPr>
          <w:p w14:paraId="5B9C9AA1" w14:textId="77777777" w:rsidR="007266CF" w:rsidRPr="002A677E" w:rsidRDefault="007266CF" w:rsidP="007266CF">
            <w:pPr>
              <w:rPr>
                <w:rFonts w:ascii="Times New Roman" w:hAnsi="Times New Roman"/>
                <w:sz w:val="24"/>
              </w:rPr>
            </w:pPr>
            <w:r>
              <w:rPr>
                <w:rFonts w:ascii="Times New Roman" w:hAnsi="Times New Roman"/>
                <w:sz w:val="24"/>
              </w:rPr>
              <w:t>0390</w:t>
            </w:r>
          </w:p>
        </w:tc>
        <w:tc>
          <w:tcPr>
            <w:tcW w:w="8640" w:type="dxa"/>
          </w:tcPr>
          <w:p w14:paraId="21E4F5EC" w14:textId="77777777" w:rsidR="007266CF" w:rsidRPr="002A677E" w:rsidRDefault="007266CF" w:rsidP="007266CF">
            <w:pPr>
              <w:rPr>
                <w:rStyle w:val="InstructionsTabelleText"/>
                <w:rFonts w:ascii="Times New Roman" w:hAnsi="Times New Roman"/>
                <w:sz w:val="24"/>
              </w:rPr>
            </w:pPr>
            <w:r>
              <w:rPr>
                <w:rStyle w:val="InstructionsTabelleberschrift"/>
                <w:rFonts w:ascii="Times New Roman" w:hAnsi="Times New Roman"/>
                <w:sz w:val="24"/>
              </w:rPr>
              <w:t>Z TOHO: PŘÍSPĚVKY KE KONSOLIDOVANÉMU VÝSLEDKU</w:t>
            </w:r>
          </w:p>
          <w:p w14:paraId="67BB13A2"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Vykazují se příspěvky každého subjektu ke konsolidovanému výsledku (zisk nebo ztráta (−)). Započítávají se sem výsledky, jež lze přičíst menšinovým podílům.</w:t>
            </w:r>
          </w:p>
        </w:tc>
      </w:tr>
      <w:tr w:rsidR="007266CF" w:rsidRPr="002A677E" w14:paraId="3D367038" w14:textId="77777777" w:rsidTr="007266CF">
        <w:tc>
          <w:tcPr>
            <w:tcW w:w="1188" w:type="dxa"/>
          </w:tcPr>
          <w:p w14:paraId="37AB9332" w14:textId="77777777" w:rsidR="007266CF" w:rsidRPr="002A677E" w:rsidRDefault="007266CF" w:rsidP="007266CF">
            <w:pPr>
              <w:rPr>
                <w:rFonts w:ascii="Times New Roman" w:hAnsi="Times New Roman"/>
                <w:sz w:val="24"/>
              </w:rPr>
            </w:pPr>
            <w:r>
              <w:rPr>
                <w:rFonts w:ascii="Times New Roman" w:hAnsi="Times New Roman"/>
                <w:sz w:val="24"/>
              </w:rPr>
              <w:t>0400</w:t>
            </w:r>
          </w:p>
        </w:tc>
        <w:tc>
          <w:tcPr>
            <w:tcW w:w="8640" w:type="dxa"/>
          </w:tcPr>
          <w:p w14:paraId="4C3ABA82"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Z TOHO: (−) GOODWILL /(+) NEGATIVNÍ GOODWILL</w:t>
            </w:r>
          </w:p>
          <w:p w14:paraId="0411E2CC"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Vykazuje se zde goodwill nebo negativní goodwill vykazujícího subjektu vůči dceřinému podniku.</w:t>
            </w:r>
          </w:p>
        </w:tc>
      </w:tr>
      <w:tr w:rsidR="007266CF" w:rsidRPr="002A677E" w14:paraId="076B55F3" w14:textId="77777777" w:rsidTr="007266CF">
        <w:tc>
          <w:tcPr>
            <w:tcW w:w="1188" w:type="dxa"/>
          </w:tcPr>
          <w:p w14:paraId="6C7BF274"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A112B5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KAPITÁLOVÉ REZERVY</w:t>
            </w:r>
          </w:p>
          <w:p w14:paraId="2FB9D69F" w14:textId="77777777" w:rsidR="007266CF" w:rsidRPr="002A677E" w:rsidRDefault="007266CF" w:rsidP="007266CF">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Struktura vykazování kapitálových rezerv v šabloně GS se řídí obecnou strukturou šablony CA4 a využívá identickou koncepci vykazování. Při vykazování kapitálových rezerv v rámci šablony GS se příslušné částky vykazují v souladu s ustanoveními platnými pro stanovení požadavku na rezervu pro konsolidovanou situaci skupiny. Vykazované částky kapitálových rezerv tudíž představují příspěvky každého subjektu ke kapitálovým rezervám skupiny. Vykazované částky jsou založeny na vnitrostátních prováděcích opatřeních ke </w:t>
            </w:r>
            <w:r>
              <w:rPr>
                <w:rFonts w:ascii="Times New Roman" w:hAnsi="Times New Roman"/>
                <w:sz w:val="24"/>
              </w:rPr>
              <w:t xml:space="preserve">směrnici 2013/36/EU </w:t>
            </w:r>
            <w:r>
              <w:rPr>
                <w:rStyle w:val="InstructionsTabelleberschrift"/>
                <w:rFonts w:ascii="Times New Roman" w:hAnsi="Times New Roman"/>
                <w:b w:val="0"/>
                <w:sz w:val="24"/>
                <w:u w:val="none"/>
              </w:rPr>
              <w:t>a na</w:t>
            </w:r>
            <w:r>
              <w:rPr>
                <w:rFonts w:ascii="Times New Roman" w:hAnsi="Times New Roman"/>
                <w:sz w:val="24"/>
              </w:rPr>
              <w:t xml:space="preserve"> nařízení (EU) č. 575/2013</w:t>
            </w:r>
            <w:r>
              <w:rPr>
                <w:rStyle w:val="InstructionsTabelleberschrift"/>
                <w:rFonts w:ascii="Times New Roman" w:hAnsi="Times New Roman"/>
                <w:b w:val="0"/>
                <w:sz w:val="24"/>
                <w:u w:val="none"/>
              </w:rPr>
              <w:t>, včetně přechodných ustanovení stanovených v uvedených předpisech.</w:t>
            </w:r>
          </w:p>
        </w:tc>
      </w:tr>
      <w:tr w:rsidR="007266CF" w:rsidRPr="002A677E" w14:paraId="1BFEFBCA" w14:textId="77777777" w:rsidTr="007266CF">
        <w:tc>
          <w:tcPr>
            <w:tcW w:w="1188" w:type="dxa"/>
          </w:tcPr>
          <w:p w14:paraId="3BCD09F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405306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POŽADAVEK KOMBINOVANÝCH KAPITÁLOVÝCH REZERV</w:t>
            </w:r>
          </w:p>
          <w:p w14:paraId="161E1B03" w14:textId="77777777" w:rsidR="007266CF" w:rsidRPr="002A677E" w:rsidRDefault="007266CF" w:rsidP="007266CF">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Ustanovení čl. 128 bodu 6 </w:t>
            </w:r>
            <w:r>
              <w:rPr>
                <w:rFonts w:ascii="Times New Roman" w:hAnsi="Times New Roman"/>
                <w:sz w:val="24"/>
              </w:rPr>
              <w:t>směrnice 2013/36/EU</w:t>
            </w:r>
          </w:p>
        </w:tc>
      </w:tr>
      <w:tr w:rsidR="007266CF" w:rsidRPr="002A677E" w14:paraId="3771797A" w14:textId="77777777" w:rsidTr="007266CF">
        <w:tc>
          <w:tcPr>
            <w:tcW w:w="1188" w:type="dxa"/>
          </w:tcPr>
          <w:p w14:paraId="200E229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0420</w:t>
            </w:r>
          </w:p>
        </w:tc>
        <w:tc>
          <w:tcPr>
            <w:tcW w:w="8640" w:type="dxa"/>
          </w:tcPr>
          <w:p w14:paraId="5952BDA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BEZPEČNOSTNÍ KAPITÁLOVÁ REZERVA</w:t>
            </w:r>
          </w:p>
          <w:p w14:paraId="56425043"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Ustanovení čl. 128 bodu 1 a článku 129 </w:t>
            </w:r>
            <w:r>
              <w:rPr>
                <w:rFonts w:ascii="Times New Roman" w:hAnsi="Times New Roman"/>
                <w:sz w:val="24"/>
              </w:rPr>
              <w:t>směrnice 2013/36/EU</w:t>
            </w:r>
          </w:p>
          <w:p w14:paraId="490DF4B4" w14:textId="77777777" w:rsidR="007266CF" w:rsidRPr="002A677E" w:rsidRDefault="007266CF" w:rsidP="007266CF">
            <w:pPr>
              <w:pStyle w:val="InstructionsText"/>
              <w:rPr>
                <w:rStyle w:val="InstructionsTabelleText"/>
                <w:rFonts w:ascii="Times New Roman" w:hAnsi="Times New Roman"/>
                <w:sz w:val="24"/>
              </w:rPr>
            </w:pPr>
            <w:r>
              <w:t>Bezpečnostní kapitálová rezerva představuje podle čl. 129 odst. 1 směrnice 2013/36/EU dodatečný objem kmenového kapitálu tier 1. Vzhledem k tomu, že 2,5 % sazba bezpečnostní kapitálové rezervy je stabilní, výše rezervy se vykazuje v této buňce.</w:t>
            </w:r>
          </w:p>
        </w:tc>
      </w:tr>
      <w:tr w:rsidR="007266CF" w:rsidRPr="002A677E" w14:paraId="060C81E6" w14:textId="77777777" w:rsidTr="007266CF">
        <w:tc>
          <w:tcPr>
            <w:tcW w:w="1188" w:type="dxa"/>
          </w:tcPr>
          <w:p w14:paraId="174E203A"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2B3721E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PROTICYKLICKÁ KAPITÁLOVÁ REZERVA SPECIFICKÁ PRO DANOU INSTITUCI</w:t>
            </w:r>
          </w:p>
          <w:p w14:paraId="7D1D0DD5"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Ustanovení čl. 128 bodu 2, článku 130 a článků 135 až 140 </w:t>
            </w:r>
            <w:r>
              <w:rPr>
                <w:rFonts w:ascii="Times New Roman" w:hAnsi="Times New Roman"/>
                <w:sz w:val="24"/>
              </w:rPr>
              <w:t>směrnice 2013/36/EU</w:t>
            </w:r>
          </w:p>
          <w:p w14:paraId="5EA89FEF" w14:textId="77777777" w:rsidR="007266CF" w:rsidRPr="002A677E" w:rsidRDefault="007266CF" w:rsidP="007266CF">
            <w:pPr>
              <w:pStyle w:val="InstructionsText"/>
              <w:rPr>
                <w:rStyle w:val="InstructionsTabelleText"/>
                <w:rFonts w:ascii="Times New Roman" w:hAnsi="Times New Roman"/>
                <w:sz w:val="24"/>
              </w:rPr>
            </w:pPr>
            <w:r>
              <w:t>V této buňce se vykazuje konkrétní částka proticyklické rezervy.</w:t>
            </w:r>
          </w:p>
        </w:tc>
      </w:tr>
      <w:tr w:rsidR="007266CF" w:rsidRPr="002A677E" w14:paraId="26CCE434" w14:textId="77777777" w:rsidTr="007266CF">
        <w:tc>
          <w:tcPr>
            <w:tcW w:w="1188" w:type="dxa"/>
          </w:tcPr>
          <w:p w14:paraId="28E00183" w14:textId="77777777" w:rsidR="007266CF" w:rsidRPr="002A677E" w:rsidDel="00D70027" w:rsidRDefault="007266CF" w:rsidP="007266CF">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4A6D7D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BEZPEČNOSTNÍ KAPITÁLOVÁ REZERVA, JE-LI NA ÚROVNI ČLENSKÉHO STÁTU ZJIŠTĚNO MAKROOBEZŘETNOSTNÍ NEBO SYSTÉMOVÉ RIZIKO</w:t>
            </w:r>
          </w:p>
          <w:p w14:paraId="7FB2C6AA" w14:textId="77777777" w:rsidR="007266CF" w:rsidRPr="002A677E" w:rsidRDefault="007266CF" w:rsidP="007266CF">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458 odst. 2 písm. d) bodu iv) </w:t>
            </w:r>
            <w:r>
              <w:rPr>
                <w:rFonts w:ascii="Times New Roman" w:hAnsi="Times New Roman"/>
                <w:sz w:val="24"/>
              </w:rPr>
              <w:t>nařízení (EU) č. 575/2013</w:t>
            </w:r>
          </w:p>
          <w:p w14:paraId="087C621F" w14:textId="77777777" w:rsidR="007266CF" w:rsidRPr="002A677E" w:rsidRDefault="007266CF" w:rsidP="007266CF">
            <w:pPr>
              <w:pStyle w:val="InstructionsText"/>
              <w:rPr>
                <w:rStyle w:val="InstructionsTabelleberschrift"/>
                <w:rFonts w:ascii="Times New Roman" w:hAnsi="Times New Roman"/>
                <w:sz w:val="24"/>
              </w:rPr>
            </w:pPr>
            <w:r>
              <w:t>V této buňce se vykazuje výše bezpečnostní rezervy, je-li na úrovni členského státu zjištěno makroobezřetnostní nebo systémové riziko, která může být v souladu s článkem 458 nařízení (EU) č. 575/2013 vyžadována jako doplněk k bezpečnostní kapitálové rezervě.</w:t>
            </w:r>
          </w:p>
        </w:tc>
      </w:tr>
      <w:tr w:rsidR="007266CF" w:rsidRPr="002A677E" w14:paraId="6752C620" w14:textId="77777777" w:rsidTr="007266CF">
        <w:tc>
          <w:tcPr>
            <w:tcW w:w="1188" w:type="dxa"/>
          </w:tcPr>
          <w:p w14:paraId="1D5B676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569B6D7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KAPITÁLOVÁ REZERVA PRO KRYTÍ SYSTÉMOVÉHO RIZIKA</w:t>
            </w:r>
          </w:p>
          <w:p w14:paraId="23C3D9F5" w14:textId="77777777" w:rsidR="007266CF" w:rsidRPr="002A677E" w:rsidRDefault="007266CF" w:rsidP="007266CF">
            <w:pPr>
              <w:pStyle w:val="InstructionsText"/>
            </w:pPr>
            <w:r>
              <w:t xml:space="preserve">Ustanovení čl. 128 bodu 5 a článků 133 a 134 směrnice 2013/36/EU </w:t>
            </w:r>
          </w:p>
          <w:p w14:paraId="2B8D506A" w14:textId="77777777" w:rsidR="007266CF" w:rsidRPr="001235ED" w:rsidRDefault="007266CF" w:rsidP="007266CF">
            <w:pPr>
              <w:rPr>
                <w:rStyle w:val="InstructionsTabelleberschrift"/>
                <w:rFonts w:ascii="Times New Roman" w:hAnsi="Times New Roman"/>
                <w:sz w:val="24"/>
              </w:rPr>
            </w:pPr>
            <w:r>
              <w:rPr>
                <w:rFonts w:ascii="Times New Roman" w:hAnsi="Times New Roman"/>
                <w:sz w:val="24"/>
              </w:rPr>
              <w:t>V této buňce se vykazuje částka kapitálové rezervy pro krytí systémového rizika.</w:t>
            </w:r>
          </w:p>
        </w:tc>
      </w:tr>
      <w:tr w:rsidR="007266CF" w:rsidRPr="002A677E" w14:paraId="33F7A1F2" w14:textId="77777777" w:rsidTr="007266CF">
        <w:tc>
          <w:tcPr>
            <w:tcW w:w="1188" w:type="dxa"/>
          </w:tcPr>
          <w:p w14:paraId="6D87AEB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09475ED5" w14:textId="77777777" w:rsidR="007266CF" w:rsidRPr="002A677E" w:rsidRDefault="007266CF" w:rsidP="007266CF">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KAPITÁLOVÁ REZERVA PRO GLOBÁLNÍ SYSTÉMOVĚ VÝZNAMNÉ INSTITUCE</w:t>
            </w:r>
            <w:r>
              <w:tab/>
            </w:r>
          </w:p>
          <w:p w14:paraId="120DC0A9" w14:textId="77777777" w:rsidR="007266CF" w:rsidRPr="002A677E" w:rsidRDefault="007266CF" w:rsidP="007266C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128 bodu 3 a článku 131 </w:t>
            </w:r>
            <w:r>
              <w:t>směrnice 2013/36/EU</w:t>
            </w:r>
          </w:p>
          <w:p w14:paraId="34A4DE79" w14:textId="77777777" w:rsidR="007266CF" w:rsidRPr="002A677E" w:rsidRDefault="007266CF" w:rsidP="007266CF">
            <w:pPr>
              <w:pStyle w:val="InstructionsText"/>
              <w:rPr>
                <w:rStyle w:val="InstructionsTabelleberschrift"/>
                <w:rFonts w:ascii="Times New Roman" w:hAnsi="Times New Roman"/>
                <w:sz w:val="24"/>
              </w:rPr>
            </w:pPr>
            <w:r>
              <w:t>V této buňce se vykazuje částka kapitálové rezervy pro globální systémově významné instituce.</w:t>
            </w:r>
          </w:p>
        </w:tc>
      </w:tr>
      <w:tr w:rsidR="007266CF" w:rsidRPr="002A677E" w14:paraId="29E314AE" w14:textId="77777777" w:rsidTr="007266CF">
        <w:tc>
          <w:tcPr>
            <w:tcW w:w="1188" w:type="dxa"/>
          </w:tcPr>
          <w:p w14:paraId="3E0CA086"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57705D5" w14:textId="77777777" w:rsidR="007266CF" w:rsidRPr="002A677E" w:rsidRDefault="007266CF" w:rsidP="007266CF">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KAPITÁLOVÁ REZERVA PRO JINÉ SYSTÉMOVĚ VÝZNAMNÉ INSTITUCE</w:t>
            </w:r>
            <w:r>
              <w:tab/>
            </w:r>
          </w:p>
          <w:p w14:paraId="422764FE" w14:textId="77777777" w:rsidR="007266CF" w:rsidRPr="002A677E" w:rsidRDefault="007266CF" w:rsidP="007266CF">
            <w:pPr>
              <w:pStyle w:val="InstructionsText"/>
            </w:pPr>
            <w:r>
              <w:t>Ustanovení čl. 128 bodu 4 a článku 131 směrnice 2013/36/EU</w:t>
            </w:r>
          </w:p>
          <w:p w14:paraId="7C5A28FB" w14:textId="77777777" w:rsidR="007266CF" w:rsidRPr="002A677E" w:rsidRDefault="007266CF" w:rsidP="007266CF">
            <w:pPr>
              <w:pStyle w:val="InstructionsText"/>
              <w:rPr>
                <w:rStyle w:val="InstructionsTabelleberschrift"/>
                <w:rFonts w:ascii="Times New Roman" w:hAnsi="Times New Roman"/>
                <w:sz w:val="24"/>
              </w:rPr>
            </w:pPr>
            <w:r>
              <w:t>V této buňce se vykazuje částka kapitálové rezervy pro jiné systémově významné instituce.</w:t>
            </w:r>
          </w:p>
        </w:tc>
      </w:tr>
    </w:tbl>
    <w:p w14:paraId="079D157B" w14:textId="77777777" w:rsidR="007266CF" w:rsidRPr="002A677E" w:rsidRDefault="007266CF" w:rsidP="007266CF">
      <w:pPr>
        <w:pStyle w:val="InstructionsText"/>
      </w:pPr>
    </w:p>
    <w:p w14:paraId="304DC0FD" w14:textId="77777777" w:rsidR="007266CF" w:rsidRPr="002A677E" w:rsidRDefault="007266CF" w:rsidP="00A75C39">
      <w:pPr>
        <w:pStyle w:val="Instructionsberschrift2"/>
        <w:numPr>
          <w:ilvl w:val="0"/>
          <w:numId w:val="59"/>
        </w:numPr>
        <w:rPr>
          <w:rFonts w:ascii="Times New Roman" w:hAnsi="Times New Roman" w:cs="Times New Roman"/>
          <w:sz w:val="24"/>
        </w:rPr>
      </w:pPr>
      <w:bookmarkStart w:id="76" w:name="_Toc116026731"/>
      <w:bookmarkStart w:id="77" w:name="_Toc119077888"/>
      <w:r>
        <w:rPr>
          <w:rFonts w:ascii="Times New Roman" w:hAnsi="Times New Roman"/>
          <w:sz w:val="24"/>
        </w:rPr>
        <w:t>Šablony zaměřené na úvěrové riziko</w:t>
      </w:r>
      <w:bookmarkEnd w:id="76"/>
      <w:bookmarkEnd w:id="77"/>
    </w:p>
    <w:p w14:paraId="31F17151" w14:textId="77777777" w:rsidR="007266CF" w:rsidRPr="002A677E" w:rsidRDefault="007266CF" w:rsidP="00A75C39">
      <w:pPr>
        <w:pStyle w:val="Instructionsberschrift2"/>
        <w:numPr>
          <w:ilvl w:val="1"/>
          <w:numId w:val="60"/>
        </w:numPr>
        <w:rPr>
          <w:rFonts w:ascii="Times New Roman" w:hAnsi="Times New Roman" w:cs="Times New Roman"/>
          <w:sz w:val="24"/>
        </w:rPr>
      </w:pPr>
      <w:bookmarkStart w:id="78" w:name="_Toc116026732"/>
      <w:bookmarkStart w:id="79" w:name="_Toc119077889"/>
      <w:r>
        <w:rPr>
          <w:rFonts w:ascii="Times New Roman" w:hAnsi="Times New Roman"/>
          <w:sz w:val="24"/>
        </w:rPr>
        <w:t>Obecné poznámky</w:t>
      </w:r>
      <w:bookmarkEnd w:id="78"/>
      <w:bookmarkEnd w:id="79"/>
      <w:r>
        <w:rPr>
          <w:rFonts w:ascii="Times New Roman" w:hAnsi="Times New Roman"/>
          <w:sz w:val="24"/>
        </w:rPr>
        <w:t xml:space="preserve"> </w:t>
      </w:r>
    </w:p>
    <w:p w14:paraId="16950E3D" w14:textId="77777777" w:rsidR="007266CF" w:rsidRPr="002A677E" w:rsidRDefault="007266CF" w:rsidP="007266CF">
      <w:pPr>
        <w:pStyle w:val="InstructionsText2"/>
        <w:numPr>
          <w:ilvl w:val="0"/>
          <w:numId w:val="0"/>
        </w:numPr>
        <w:ind w:left="1353" w:hanging="360"/>
      </w:pPr>
      <w:fldSimple w:instr=" seq paragraphs ">
        <w:r>
          <w:t>39</w:t>
        </w:r>
      </w:fldSimple>
      <w:r>
        <w:t>.</w:t>
      </w:r>
      <w:r>
        <w:tab/>
        <w:t xml:space="preserve">Pro standardizovaný přístup a přístup IRB jsou v souvislosti s úvěrovým rizikem vypracovány různé soubory šablon. Kromě toho se předkládají zvláštní šablony určené k zeměpisnému rozčlenění pozic, které podléhají úvěrovému riziku, </w:t>
      </w:r>
      <w:r>
        <w:lastRenderedPageBreak/>
        <w:t xml:space="preserve">dojde-li k překročení prahové hodnoty stanovené v čl. 5 odst. 5 tohoto prováděcího nařízení. </w:t>
      </w:r>
    </w:p>
    <w:p w14:paraId="6F4FFD85" w14:textId="77777777" w:rsidR="007266CF" w:rsidRPr="002A677E" w:rsidRDefault="007266CF" w:rsidP="00A75C39">
      <w:pPr>
        <w:pStyle w:val="Instructionsberschrift2"/>
        <w:numPr>
          <w:ilvl w:val="2"/>
          <w:numId w:val="61"/>
        </w:numPr>
        <w:rPr>
          <w:rFonts w:ascii="Times New Roman" w:hAnsi="Times New Roman" w:cs="Times New Roman"/>
          <w:sz w:val="24"/>
        </w:rPr>
      </w:pPr>
      <w:bookmarkStart w:id="80" w:name="_Toc116026733"/>
      <w:bookmarkStart w:id="81" w:name="_Toc119077890"/>
      <w:r>
        <w:rPr>
          <w:rFonts w:ascii="Times New Roman" w:hAnsi="Times New Roman"/>
          <w:sz w:val="24"/>
        </w:rPr>
        <w:t>Vykazování technik snižování úvěrového rizika se substitučním vlivem</w:t>
      </w:r>
      <w:bookmarkEnd w:id="80"/>
      <w:bookmarkEnd w:id="81"/>
    </w:p>
    <w:p w14:paraId="6ABDBC78" w14:textId="77777777" w:rsidR="007266CF" w:rsidRPr="002A677E" w:rsidRDefault="007266CF" w:rsidP="007266CF">
      <w:pPr>
        <w:pStyle w:val="InstructionsText2"/>
        <w:numPr>
          <w:ilvl w:val="0"/>
          <w:numId w:val="0"/>
        </w:numPr>
        <w:ind w:left="1353" w:hanging="360"/>
      </w:pPr>
      <w:fldSimple w:instr=" seq paragraphs ">
        <w:r>
          <w:t>40</w:t>
        </w:r>
      </w:fldSimple>
      <w:r>
        <w:t>.</w:t>
      </w:r>
      <w:r>
        <w:tab/>
        <w:t>Expozice vůči dlužníkům (bezprostředním protistranám) a ručitelům, které jsou zařazeny do téže kategorie expozic, se vykazují z hlediska přítoků do i odtoků z téže kategorie expozic.</w:t>
      </w:r>
    </w:p>
    <w:p w14:paraId="0BF429D4" w14:textId="77777777" w:rsidR="007266CF" w:rsidRPr="002A677E" w:rsidRDefault="007266CF" w:rsidP="007266CF">
      <w:pPr>
        <w:pStyle w:val="InstructionsText2"/>
        <w:numPr>
          <w:ilvl w:val="0"/>
          <w:numId w:val="0"/>
        </w:numPr>
        <w:ind w:left="1353" w:hanging="360"/>
      </w:pPr>
      <w:fldSimple w:instr=" seq paragraphs ">
        <w:r>
          <w:t>41</w:t>
        </w:r>
      </w:fldSimple>
      <w:r>
        <w:t>.</w:t>
      </w:r>
      <w:r>
        <w:tab/>
        <w:t>Kvůli osobnímu zajištění úvěrového rizika se nemění druh expozice.</w:t>
      </w:r>
    </w:p>
    <w:p w14:paraId="30F56283" w14:textId="77777777" w:rsidR="007266CF" w:rsidRPr="002A677E" w:rsidRDefault="007266CF" w:rsidP="007266CF">
      <w:pPr>
        <w:pStyle w:val="InstructionsText2"/>
        <w:numPr>
          <w:ilvl w:val="0"/>
          <w:numId w:val="0"/>
        </w:numPr>
        <w:ind w:left="1353" w:hanging="360"/>
      </w:pPr>
      <w:fldSimple w:instr=" seq paragraphs ">
        <w:r>
          <w:t>42</w:t>
        </w:r>
      </w:fldSimple>
      <w:r>
        <w:t>.</w:t>
      </w:r>
      <w:r>
        <w:tab/>
        <w:t>Jestliže je expozice zajištěna prostřednictvím osobního zajištění úvěrového rizika, zajištěná část expozice je zařazena jako odtok, např. do kategorie expozic dlužníka, a jako přítok do kategorie expozic ručitele. Kvůli změně v kategorii expozic se však nemění druh expozice.</w:t>
      </w:r>
    </w:p>
    <w:p w14:paraId="50D113C8" w14:textId="77777777" w:rsidR="007266CF" w:rsidRPr="002A677E" w:rsidRDefault="007266CF" w:rsidP="007266CF">
      <w:pPr>
        <w:pStyle w:val="InstructionsText2"/>
        <w:numPr>
          <w:ilvl w:val="0"/>
          <w:numId w:val="0"/>
        </w:numPr>
        <w:ind w:left="1353" w:hanging="360"/>
      </w:pPr>
      <w:fldSimple w:instr=" seq paragraphs ">
        <w:r>
          <w:t>43</w:t>
        </w:r>
      </w:fldSimple>
      <w:r>
        <w:t>.</w:t>
      </w:r>
      <w:r>
        <w:tab/>
        <w:t xml:space="preserve">Substituční vliv ve vykazovacím rámci COREP odráží uplatnění rizikových vah, které jsou skutečně použitelné na krytou část expozice. Krytá část expozice je jako taková rizikově vážená v souladu se standardizovaným přístupem a vykazuje se v šabloně CR SA. </w:t>
      </w:r>
    </w:p>
    <w:p w14:paraId="7FF0B179" w14:textId="77777777" w:rsidR="007266CF" w:rsidRPr="002A677E" w:rsidRDefault="007266CF" w:rsidP="00A75C39">
      <w:pPr>
        <w:pStyle w:val="Instructionsberschrift2"/>
        <w:numPr>
          <w:ilvl w:val="2"/>
          <w:numId w:val="62"/>
        </w:numPr>
        <w:rPr>
          <w:rFonts w:ascii="Times New Roman" w:hAnsi="Times New Roman" w:cs="Times New Roman"/>
          <w:sz w:val="24"/>
        </w:rPr>
      </w:pPr>
      <w:bookmarkStart w:id="82" w:name="_Toc116026734"/>
      <w:bookmarkStart w:id="83" w:name="_Toc119077891"/>
      <w:r>
        <w:rPr>
          <w:rFonts w:ascii="Times New Roman" w:hAnsi="Times New Roman"/>
          <w:sz w:val="24"/>
        </w:rPr>
        <w:t>Vykazování úvěrového rizika protistrany</w:t>
      </w:r>
      <w:bookmarkEnd w:id="82"/>
      <w:bookmarkEnd w:id="83"/>
    </w:p>
    <w:p w14:paraId="4FD57CA5" w14:textId="77777777" w:rsidR="007266CF" w:rsidRPr="002A677E" w:rsidRDefault="007266CF" w:rsidP="007266CF">
      <w:pPr>
        <w:pStyle w:val="InstructionsText2"/>
        <w:numPr>
          <w:ilvl w:val="0"/>
          <w:numId w:val="0"/>
        </w:numPr>
        <w:ind w:left="1353" w:hanging="360"/>
      </w:pPr>
      <w:fldSimple w:instr=" seq paragraphs ">
        <w:r>
          <w:t>44</w:t>
        </w:r>
      </w:fldSimple>
      <w:r>
        <w:t>.</w:t>
      </w:r>
      <w:r>
        <w:tab/>
        <w:t xml:space="preserve">Expozice, které vyplývají z pozic úvěrového rizika protistrany, se vykazují v šablonách CR SA nebo CR IRB bez ohledu na to, zda se jedná o položky v investičním portfoliu nebo položky v obchodním portfoliu. </w:t>
      </w:r>
    </w:p>
    <w:p w14:paraId="4C1BB25D" w14:textId="77777777" w:rsidR="007266CF" w:rsidRPr="002A677E" w:rsidRDefault="007266CF" w:rsidP="00A75C39">
      <w:pPr>
        <w:pStyle w:val="Instructionsberschrift2"/>
        <w:numPr>
          <w:ilvl w:val="1"/>
          <w:numId w:val="63"/>
        </w:numPr>
        <w:rPr>
          <w:rFonts w:ascii="Times New Roman" w:hAnsi="Times New Roman" w:cs="Times New Roman"/>
          <w:sz w:val="24"/>
        </w:rPr>
      </w:pPr>
      <w:bookmarkStart w:id="84" w:name="_Toc116026735"/>
      <w:bookmarkStart w:id="85" w:name="_Toc119077892"/>
      <w:r>
        <w:rPr>
          <w:rFonts w:ascii="Times New Roman" w:hAnsi="Times New Roman"/>
          <w:sz w:val="24"/>
        </w:rPr>
        <w:t>C 07.00 – Úvěrové riziko a úvěrové riziko protistrany a volné dodávky: Standardizovaný přístup ke kapitálovým požadavkům(CR SA)</w:t>
      </w:r>
      <w:bookmarkEnd w:id="84"/>
      <w:bookmarkEnd w:id="85"/>
    </w:p>
    <w:p w14:paraId="5D966D41" w14:textId="77777777" w:rsidR="007266CF" w:rsidRPr="002A677E" w:rsidRDefault="007266CF" w:rsidP="00A75C39">
      <w:pPr>
        <w:pStyle w:val="Instructionsberschrift2"/>
        <w:numPr>
          <w:ilvl w:val="2"/>
          <w:numId w:val="64"/>
        </w:numPr>
        <w:ind w:left="426" w:hanging="426"/>
        <w:rPr>
          <w:rFonts w:ascii="Times New Roman" w:hAnsi="Times New Roman" w:cs="Times New Roman"/>
          <w:sz w:val="24"/>
        </w:rPr>
      </w:pPr>
      <w:bookmarkStart w:id="86" w:name="_Toc116026736"/>
      <w:bookmarkStart w:id="87" w:name="_Toc119077893"/>
      <w:r>
        <w:rPr>
          <w:rFonts w:ascii="Times New Roman" w:hAnsi="Times New Roman"/>
          <w:sz w:val="24"/>
        </w:rPr>
        <w:t>Obecné poznámky</w:t>
      </w:r>
      <w:bookmarkEnd w:id="86"/>
      <w:bookmarkEnd w:id="87"/>
    </w:p>
    <w:p w14:paraId="6EEA3DC9" w14:textId="77777777" w:rsidR="007266CF" w:rsidRPr="002A677E" w:rsidRDefault="007266CF" w:rsidP="007266CF">
      <w:pPr>
        <w:pStyle w:val="InstructionsText2"/>
        <w:numPr>
          <w:ilvl w:val="0"/>
          <w:numId w:val="0"/>
        </w:numPr>
        <w:ind w:left="1353" w:hanging="360"/>
      </w:pPr>
      <w:fldSimple w:instr=" seq paragraphs ">
        <w:r>
          <w:t>45</w:t>
        </w:r>
      </w:fldSimple>
      <w:r>
        <w:t>.</w:t>
      </w:r>
      <w:r>
        <w:tab/>
        <w:t>Šablony CR SA poskytují nezbytné informace o výpočtu kapitálových požadavků k úvěrovému riziku v souladu se standardizovaným přístupem. Především poskytují podrobné informace o:</w:t>
      </w:r>
    </w:p>
    <w:p w14:paraId="2B514CCB" w14:textId="77777777" w:rsidR="007266CF" w:rsidRPr="002A677E" w:rsidRDefault="007266CF" w:rsidP="007266CF">
      <w:pPr>
        <w:pStyle w:val="InstructionsText2"/>
        <w:numPr>
          <w:ilvl w:val="0"/>
          <w:numId w:val="0"/>
        </w:numPr>
        <w:ind w:left="1353" w:hanging="360"/>
      </w:pPr>
      <w:r>
        <w:t>a)</w:t>
      </w:r>
      <w:r>
        <w:tab/>
        <w:t>rozčlenění hodnot expozic podle různých druhů expozic, rizikových vah a kategorií expozic;</w:t>
      </w:r>
    </w:p>
    <w:p w14:paraId="68FBDC7D" w14:textId="77777777" w:rsidR="007266CF" w:rsidRPr="002A677E" w:rsidRDefault="007266CF" w:rsidP="007266CF">
      <w:pPr>
        <w:pStyle w:val="InstructionsText2"/>
        <w:numPr>
          <w:ilvl w:val="0"/>
          <w:numId w:val="0"/>
        </w:numPr>
        <w:ind w:left="1353" w:hanging="360"/>
      </w:pPr>
      <w:r>
        <w:t>b)</w:t>
      </w:r>
      <w:r>
        <w:tab/>
        <w:t xml:space="preserve">objemu a druhu technik snižování úvěrového rizika využívaných ke snižování rizik. </w:t>
      </w:r>
    </w:p>
    <w:p w14:paraId="214691F6" w14:textId="77777777" w:rsidR="007266CF" w:rsidRPr="002A677E" w:rsidRDefault="007266CF" w:rsidP="00A75C39">
      <w:pPr>
        <w:pStyle w:val="Instructionsberschrift2"/>
        <w:numPr>
          <w:ilvl w:val="2"/>
          <w:numId w:val="65"/>
        </w:numPr>
        <w:ind w:left="426" w:hanging="426"/>
        <w:rPr>
          <w:rFonts w:ascii="Times New Roman" w:hAnsi="Times New Roman" w:cs="Times New Roman"/>
          <w:sz w:val="24"/>
        </w:rPr>
      </w:pPr>
      <w:bookmarkStart w:id="88" w:name="_Toc116026737"/>
      <w:bookmarkStart w:id="89" w:name="_Toc119077894"/>
      <w:r>
        <w:rPr>
          <w:rFonts w:ascii="Times New Roman" w:hAnsi="Times New Roman"/>
          <w:sz w:val="24"/>
        </w:rPr>
        <w:t>Oblast působnosti šablony CR SA</w:t>
      </w:r>
      <w:bookmarkEnd w:id="88"/>
      <w:bookmarkEnd w:id="89"/>
    </w:p>
    <w:p w14:paraId="2B5A4915" w14:textId="77777777" w:rsidR="007266CF" w:rsidRPr="002A677E" w:rsidRDefault="007266CF" w:rsidP="007266CF">
      <w:pPr>
        <w:pStyle w:val="InstructionsText2"/>
        <w:numPr>
          <w:ilvl w:val="0"/>
          <w:numId w:val="0"/>
        </w:numPr>
        <w:ind w:left="1353" w:hanging="360"/>
      </w:pPr>
      <w:fldSimple w:instr=" seq paragraphs ">
        <w:r>
          <w:t>46</w:t>
        </w:r>
      </w:fldSimple>
      <w:r>
        <w:t>.</w:t>
      </w:r>
      <w:r>
        <w:tab/>
        <w:t>Podle článku 112 nařízení (EU) č. 575/2013 se každá expozice v rámci standardizovaného přístupu zařadí do jedné ze šestnácti kategorií expozic v rámci standardizovaného přístupu, aby bylo možno vypočítat kapitálové požadavky.</w:t>
      </w:r>
    </w:p>
    <w:p w14:paraId="41B285BE" w14:textId="77777777" w:rsidR="007266CF" w:rsidRPr="002A677E" w:rsidRDefault="007266CF" w:rsidP="007266CF">
      <w:pPr>
        <w:pStyle w:val="InstructionsText2"/>
        <w:numPr>
          <w:ilvl w:val="0"/>
          <w:numId w:val="0"/>
        </w:numPr>
        <w:ind w:left="1353" w:hanging="360"/>
      </w:pPr>
      <w:fldSimple w:instr=" seq paragraphs ">
        <w:r>
          <w:t>47</w:t>
        </w:r>
      </w:fldSimple>
      <w:r>
        <w:t>.</w:t>
      </w:r>
      <w:r>
        <w:tab/>
        <w:t xml:space="preserve">Údaje v šabloně CR SA se mají vykazovat za všechny kategorie expozic a jednotlivě za každou kategorii expozic v rámci standardizovaného přístupu. Souhrnné údaje se stejně jako údaje o každé kategorii expozic vykazují samostatně. </w:t>
      </w:r>
    </w:p>
    <w:p w14:paraId="78C19F10" w14:textId="77777777" w:rsidR="007266CF" w:rsidRPr="002A677E" w:rsidRDefault="007266CF" w:rsidP="007266CF">
      <w:pPr>
        <w:pStyle w:val="InstructionsText2"/>
        <w:numPr>
          <w:ilvl w:val="0"/>
          <w:numId w:val="0"/>
        </w:numPr>
        <w:ind w:left="1353" w:hanging="360"/>
      </w:pPr>
      <w:fldSimple w:instr=" seq paragraphs ">
        <w:r>
          <w:t>48</w:t>
        </w:r>
      </w:fldSimple>
      <w:r>
        <w:t>.</w:t>
      </w:r>
      <w:r>
        <w:tab/>
        <w:t>Následující pozice ovšem nespadají do působnosti šablony CR SA:</w:t>
      </w:r>
    </w:p>
    <w:p w14:paraId="37002F3C" w14:textId="77777777" w:rsidR="007266CF" w:rsidRPr="002A677E" w:rsidRDefault="007266CF" w:rsidP="007266CF">
      <w:pPr>
        <w:pStyle w:val="InstructionsText2"/>
        <w:numPr>
          <w:ilvl w:val="0"/>
          <w:numId w:val="0"/>
        </w:numPr>
        <w:ind w:left="1353" w:hanging="360"/>
      </w:pPr>
      <w:r>
        <w:t>a)</w:t>
      </w:r>
      <w:r>
        <w:tab/>
        <w:t>expozice zařazené do kategorie expozic nazvané „položky představující sekuritizované pozice“ podle čl. 112 písm. m) nařízení (EU) č. 575/2013, jež se vykazují v šablonách CR SEC;</w:t>
      </w:r>
    </w:p>
    <w:p w14:paraId="1D20E58B" w14:textId="77777777" w:rsidR="007266CF" w:rsidRPr="002A677E" w:rsidRDefault="007266CF" w:rsidP="007266CF">
      <w:pPr>
        <w:pStyle w:val="InstructionsText2"/>
        <w:numPr>
          <w:ilvl w:val="0"/>
          <w:numId w:val="0"/>
        </w:numPr>
        <w:ind w:left="1353" w:hanging="360"/>
      </w:pPr>
      <w:r>
        <w:t>b)</w:t>
      </w:r>
      <w:r>
        <w:tab/>
        <w:t>expozice odečtené z kapitálu.</w:t>
      </w:r>
    </w:p>
    <w:p w14:paraId="1212C9AF" w14:textId="77777777" w:rsidR="007266CF" w:rsidRPr="002A677E" w:rsidRDefault="007266CF" w:rsidP="007266CF">
      <w:pPr>
        <w:pStyle w:val="InstructionsText2"/>
        <w:numPr>
          <w:ilvl w:val="0"/>
          <w:numId w:val="0"/>
        </w:numPr>
        <w:ind w:left="1353" w:hanging="360"/>
      </w:pPr>
      <w:fldSimple w:instr=" seq paragraphs ">
        <w:r>
          <w:t>49</w:t>
        </w:r>
      </w:fldSimple>
      <w:r>
        <w:t>.</w:t>
      </w:r>
      <w:r>
        <w:tab/>
        <w:t>Do působnosti šablony CR SA patří následující kapitálové požadavky:</w:t>
      </w:r>
    </w:p>
    <w:p w14:paraId="75CFFD49" w14:textId="77777777" w:rsidR="007266CF" w:rsidRPr="002A677E" w:rsidRDefault="007266CF" w:rsidP="007266CF">
      <w:pPr>
        <w:pStyle w:val="InstructionsText2"/>
        <w:numPr>
          <w:ilvl w:val="0"/>
          <w:numId w:val="0"/>
        </w:numPr>
        <w:ind w:left="1353" w:hanging="360"/>
      </w:pPr>
      <w:r>
        <w:t>a)</w:t>
      </w:r>
      <w:r>
        <w:tab/>
        <w:t>úvěrové riziko podle části třetí hlavy II kapitoly 2 (Standardizovaný přístup) nařízení (EU) č. 575/2013 v investičním portfoliu, které zahrnuje úvěrové riziko protistrany podle části třetí hlavy II kapitol 4 a 6 uvedeného nařízení v investičním portfoliu;</w:t>
      </w:r>
    </w:p>
    <w:p w14:paraId="4734DAFF" w14:textId="77777777" w:rsidR="007266CF" w:rsidRPr="002A677E" w:rsidRDefault="007266CF" w:rsidP="007266CF">
      <w:pPr>
        <w:pStyle w:val="InstructionsText2"/>
        <w:numPr>
          <w:ilvl w:val="0"/>
          <w:numId w:val="0"/>
        </w:numPr>
        <w:ind w:left="1353" w:hanging="360"/>
      </w:pPr>
      <w:r>
        <w:t>b)</w:t>
      </w:r>
      <w:r>
        <w:tab/>
        <w:t>úvěrové riziko protistrany podle části třetí hlavy II kapitol 4 a 6 nařízení (EU) č. 575/2013 v investičním portfoliu;</w:t>
      </w:r>
    </w:p>
    <w:p w14:paraId="51C23DAE" w14:textId="77777777" w:rsidR="007266CF" w:rsidRPr="002A677E" w:rsidRDefault="007266CF" w:rsidP="007266CF">
      <w:pPr>
        <w:pStyle w:val="InstructionsText2"/>
        <w:numPr>
          <w:ilvl w:val="0"/>
          <w:numId w:val="0"/>
        </w:numPr>
        <w:ind w:left="1353" w:hanging="360"/>
      </w:pPr>
      <w:r>
        <w:t>c)</w:t>
      </w:r>
      <w:r>
        <w:tab/>
        <w:t>vypořádací riziko vyplývající z volných dodávek podle článku 379 nařízení (EU) č. 575/2013, a to v souvislosti se všemi obchodními činnostmi.</w:t>
      </w:r>
    </w:p>
    <w:p w14:paraId="23C51C45" w14:textId="77777777" w:rsidR="007266CF" w:rsidRPr="002A677E" w:rsidRDefault="007266CF" w:rsidP="007266CF">
      <w:pPr>
        <w:pStyle w:val="InstructionsText2"/>
        <w:numPr>
          <w:ilvl w:val="0"/>
          <w:numId w:val="0"/>
        </w:numPr>
        <w:ind w:left="1353" w:hanging="360"/>
      </w:pPr>
      <w:fldSimple w:instr=" seq paragraphs ">
        <w:r>
          <w:t>50</w:t>
        </w:r>
      </w:fldSimple>
      <w:r>
        <w:t>.</w:t>
      </w:r>
      <w:r>
        <w:tab/>
        <w:t>Tato šablona zahrnuje veškeré expozice, pro něž se kapitálové požadavky počítají podle části třetí hlavy II kapitoly 2 nařízení (EU) č. 575/2013 ve spojení s částí třetí hlavou II kapitolami 4 a 6 nařízení (EU) č. 575/2013. Instituce, které uplatňují čl. 94 odst. 1 nařízení (EU) č. 575/2013, rovněž musí v této šabloně vykazovat své pozice v obchodním portfoliu podle čl. 92 odst. 3 písm. b) uvedeného nařízení, jestliže používají část třetí hlavu II kapitolu 2 zmíněného nařízení k výpočtu kapitálových požadavků podle nařízení (část třetí hlava II kapitoly 2 a 6 a část třetí hlava V uvedeného nařízení). Šablona tedy poskytuje nejen podrobné informace o druhu expozice (např. o rozvahových nebo podrozvahových položkách), ale také informace o rozložení rizikových vah v rámci příslušné kategorie expozic.</w:t>
      </w:r>
    </w:p>
    <w:p w14:paraId="5BDA57A9" w14:textId="77777777" w:rsidR="007266CF" w:rsidRPr="002A677E" w:rsidRDefault="007266CF" w:rsidP="007266CF">
      <w:pPr>
        <w:pStyle w:val="InstructionsText2"/>
        <w:numPr>
          <w:ilvl w:val="0"/>
          <w:numId w:val="0"/>
        </w:numPr>
        <w:ind w:left="1353" w:hanging="360"/>
      </w:pPr>
      <w:fldSimple w:instr=" seq paragraphs ">
        <w:r>
          <w:t>51</w:t>
        </w:r>
      </w:fldSimple>
      <w:r>
        <w:t>.</w:t>
      </w:r>
      <w:r>
        <w:tab/>
        <w:t xml:space="preserve">V šabloně CR SA se navíc v řádcích 0290 až 0320 uvádějí doplňkové položky s cílem shromáždit další informace o expozicích zajištěných nemovitostmi a expozicích v selhání. </w:t>
      </w:r>
    </w:p>
    <w:p w14:paraId="6261CB01" w14:textId="77777777" w:rsidR="007266CF" w:rsidRPr="002A677E" w:rsidRDefault="007266CF" w:rsidP="007266CF">
      <w:pPr>
        <w:pStyle w:val="InstructionsText2"/>
        <w:numPr>
          <w:ilvl w:val="0"/>
          <w:numId w:val="0"/>
        </w:numPr>
        <w:ind w:left="1353" w:hanging="360"/>
      </w:pPr>
      <w:fldSimple w:instr=" seq paragraphs ">
        <w:r>
          <w:t>52</w:t>
        </w:r>
      </w:fldSimple>
      <w:r>
        <w:t>.</w:t>
      </w:r>
      <w:r>
        <w:tab/>
        <w:t xml:space="preserve">Tyto doplňkové položky se vykazují pouze v případě následujících kategorií expozic: </w:t>
      </w:r>
    </w:p>
    <w:p w14:paraId="5CB5D2AF" w14:textId="77777777" w:rsidR="007266CF" w:rsidRPr="002A677E" w:rsidRDefault="007266CF" w:rsidP="007266CF">
      <w:pPr>
        <w:pStyle w:val="InstructionsText2"/>
        <w:numPr>
          <w:ilvl w:val="0"/>
          <w:numId w:val="0"/>
        </w:numPr>
        <w:ind w:left="1353" w:hanging="360"/>
      </w:pPr>
      <w:r>
        <w:t>a)</w:t>
      </w:r>
      <w:r>
        <w:tab/>
        <w:t>expozice vůči ústředním vládám nebo centrálním bankám (čl. 112 písm. a) nařízení (EU) č. 575/2013);</w:t>
      </w:r>
    </w:p>
    <w:p w14:paraId="46605DF0" w14:textId="77777777" w:rsidR="007266CF" w:rsidRPr="002A677E" w:rsidRDefault="007266CF" w:rsidP="007266CF">
      <w:pPr>
        <w:pStyle w:val="InstructionsText2"/>
        <w:numPr>
          <w:ilvl w:val="0"/>
          <w:numId w:val="0"/>
        </w:numPr>
        <w:ind w:left="1353" w:hanging="360"/>
      </w:pPr>
      <w:r>
        <w:t>b)</w:t>
      </w:r>
      <w:r>
        <w:tab/>
        <w:t>expozice vůči regionálním vládám nebo místním orgánům (čl. 112 písm. b) nařízení (EU) č. 575/2013);</w:t>
      </w:r>
    </w:p>
    <w:p w14:paraId="7A009C45" w14:textId="77777777" w:rsidR="007266CF" w:rsidRPr="002A677E" w:rsidRDefault="007266CF" w:rsidP="007266CF">
      <w:pPr>
        <w:pStyle w:val="InstructionsText2"/>
        <w:numPr>
          <w:ilvl w:val="0"/>
          <w:numId w:val="0"/>
        </w:numPr>
        <w:ind w:left="1353" w:hanging="360"/>
      </w:pPr>
      <w:r>
        <w:t>c)</w:t>
      </w:r>
      <w:r>
        <w:tab/>
        <w:t>expozice vůči subjektům veřejného sektoru (čl. 112 písm. c) nařízení (EU) č. 575/2013);</w:t>
      </w:r>
    </w:p>
    <w:p w14:paraId="04780C57" w14:textId="77777777" w:rsidR="007266CF" w:rsidRPr="002A677E" w:rsidRDefault="007266CF" w:rsidP="007266CF">
      <w:pPr>
        <w:pStyle w:val="InstructionsText2"/>
        <w:numPr>
          <w:ilvl w:val="0"/>
          <w:numId w:val="0"/>
        </w:numPr>
        <w:ind w:left="1353" w:hanging="360"/>
      </w:pPr>
      <w:r>
        <w:t>d)</w:t>
      </w:r>
      <w:r>
        <w:tab/>
        <w:t>expozice vůči institucím (čl. 112 písm. f) nařízení (EU) č. 575/2013);</w:t>
      </w:r>
    </w:p>
    <w:p w14:paraId="0C7E1018" w14:textId="77777777" w:rsidR="007266CF" w:rsidRPr="002A677E" w:rsidRDefault="007266CF" w:rsidP="007266CF">
      <w:pPr>
        <w:pStyle w:val="InstructionsText2"/>
        <w:numPr>
          <w:ilvl w:val="0"/>
          <w:numId w:val="0"/>
        </w:numPr>
        <w:ind w:left="1353" w:hanging="360"/>
      </w:pPr>
      <w:r>
        <w:t>e)</w:t>
      </w:r>
      <w:r>
        <w:tab/>
        <w:t>expozice vůči podnikům (čl. 112 písm. g) nařízení (EU) č. 575/2013);</w:t>
      </w:r>
    </w:p>
    <w:p w14:paraId="5B3C1BD2" w14:textId="77777777" w:rsidR="007266CF" w:rsidRPr="002A677E" w:rsidRDefault="007266CF" w:rsidP="007266CF">
      <w:pPr>
        <w:pStyle w:val="InstructionsText2"/>
        <w:numPr>
          <w:ilvl w:val="0"/>
          <w:numId w:val="0"/>
        </w:numPr>
        <w:ind w:left="1353" w:hanging="360"/>
      </w:pPr>
      <w:r>
        <w:lastRenderedPageBreak/>
        <w:t>f)</w:t>
      </w:r>
      <w:r>
        <w:tab/>
        <w:t>retailové expozice (čl. 112 písm. h) nařízení (EU) č. 575/2013).</w:t>
      </w:r>
    </w:p>
    <w:p w14:paraId="2C041C7C" w14:textId="77777777" w:rsidR="007266CF" w:rsidRPr="002A677E" w:rsidRDefault="007266CF" w:rsidP="007266CF">
      <w:pPr>
        <w:pStyle w:val="InstructionsText2"/>
        <w:numPr>
          <w:ilvl w:val="0"/>
          <w:numId w:val="0"/>
        </w:numPr>
        <w:ind w:left="1353" w:hanging="360"/>
      </w:pPr>
      <w:fldSimple w:instr=" seq paragraphs ">
        <w:r>
          <w:t>53</w:t>
        </w:r>
      </w:fldSimple>
      <w:r>
        <w:t>.</w:t>
      </w:r>
      <w:r>
        <w:tab/>
        <w:t xml:space="preserve">Vykazování doplňkových položek nemá vliv na výpočet objemů rizikově vážených expozic u kategorií expozic podle čl. 112 písm. a) až c) a f) až h) nařízení (EU) č. 575/2013 ani u kategorií expozic podle čl. 112 písm. i) a j) uvedeného nařízení, které se vykazují v šabloně CR SA. </w:t>
      </w:r>
    </w:p>
    <w:p w14:paraId="34C588AE" w14:textId="77777777" w:rsidR="007266CF" w:rsidRPr="002A677E" w:rsidRDefault="007266CF" w:rsidP="007266CF">
      <w:pPr>
        <w:pStyle w:val="InstructionsText2"/>
        <w:numPr>
          <w:ilvl w:val="0"/>
          <w:numId w:val="0"/>
        </w:numPr>
        <w:ind w:left="1353" w:hanging="360"/>
      </w:pPr>
      <w:fldSimple w:instr=" seq paragraphs ">
        <w:r>
          <w:t>54</w:t>
        </w:r>
      </w:fldSimple>
      <w:r>
        <w:t>.</w:t>
      </w:r>
      <w:r>
        <w:tab/>
        <w:t>Řádky s těmito doplňkovými položkami poskytují v případě dlužníka dodatečné informace o struktuře kategorií expozic, které jsou „v selhání“ nebo jsou „zajištěny nemovitostmi“. Expozice v těchto řádcích se vykazují, jestliže se údaje o dlužnících mají vykazovat v kategoriích expozic „ústřední vlády nebo centrální banky“, „regionální vlády nebo místní orgány“, „subjekty veřejného sektoru“, „instituce“, „podniky“ a „retailová oblast“ v šabloně CR SA, pokud dané expozice nebyly zařazeny do kategorií expozic „v selhání“ nebo „zajištěných nemovitostmi“. Avšak vykazované údaje jsou stejné jako údaje použité k výpočtu objemů rizikově vážené expozice v kategoriích expozic „v selhání“ nebo „zajištěných nemovitostmi“.</w:t>
      </w:r>
    </w:p>
    <w:p w14:paraId="19194791" w14:textId="77777777" w:rsidR="007266CF" w:rsidRPr="002A677E" w:rsidRDefault="007266CF" w:rsidP="007266CF">
      <w:pPr>
        <w:pStyle w:val="InstructionsText2"/>
        <w:numPr>
          <w:ilvl w:val="0"/>
          <w:numId w:val="0"/>
        </w:numPr>
        <w:ind w:left="1353" w:hanging="360"/>
      </w:pPr>
      <w:fldSimple w:instr=" seq paragraphs ">
        <w:r>
          <w:t>55</w:t>
        </w:r>
      </w:fldSimple>
      <w:r>
        <w:t>.</w:t>
      </w:r>
      <w:r>
        <w:tab/>
        <w:t>Např. u expozice, jejíž objem rizikové expozice se počítá podle článku 127 nařízení (EU) č. 575/2013 a úpravy ocenění jsou nižší než 20 %, poté se tento údaj vykáže v šabloně CR SA v řádku 0320 v souhrnné výši a v kategorii expozic „v selhání“. Pokud byla tato expozice před selháním expozicí vůči instituci, tento údaj se vykáže rovněž v řádku 0320 u kategorie expozic „instituce“.</w:t>
      </w:r>
    </w:p>
    <w:p w14:paraId="79DB3CAC" w14:textId="77777777" w:rsidR="007266CF" w:rsidRPr="002A677E" w:rsidRDefault="007266CF" w:rsidP="00A75C39">
      <w:pPr>
        <w:pStyle w:val="Instructionsberschrift2"/>
        <w:numPr>
          <w:ilvl w:val="2"/>
          <w:numId w:val="66"/>
        </w:numPr>
        <w:ind w:left="426" w:hanging="426"/>
        <w:rPr>
          <w:rFonts w:ascii="Times New Roman" w:hAnsi="Times New Roman" w:cs="Times New Roman"/>
          <w:sz w:val="24"/>
        </w:rPr>
      </w:pPr>
      <w:bookmarkStart w:id="90" w:name="_Toc116026738"/>
      <w:bookmarkStart w:id="91" w:name="_Toc119077895"/>
      <w:r>
        <w:rPr>
          <w:rFonts w:ascii="Times New Roman" w:hAnsi="Times New Roman"/>
          <w:sz w:val="24"/>
        </w:rPr>
        <w:t>Zařazení expozic do kategorií expozic v rámci standardizovaného přístupu</w:t>
      </w:r>
      <w:bookmarkEnd w:id="90"/>
      <w:bookmarkEnd w:id="91"/>
    </w:p>
    <w:p w14:paraId="6AB378C2" w14:textId="77777777" w:rsidR="007266CF" w:rsidRPr="002A677E" w:rsidRDefault="007266CF" w:rsidP="007266CF">
      <w:pPr>
        <w:pStyle w:val="InstructionsText2"/>
        <w:numPr>
          <w:ilvl w:val="0"/>
          <w:numId w:val="0"/>
        </w:numPr>
        <w:ind w:left="1353" w:hanging="360"/>
      </w:pPr>
      <w:fldSimple w:instr=" seq paragraphs ">
        <w:r>
          <w:t>56</w:t>
        </w:r>
      </w:fldSimple>
      <w:r>
        <w:t>.</w:t>
      </w:r>
      <w:r>
        <w:tab/>
        <w:t xml:space="preserve">Pro zajištění důsledného zařazování expozic do jednotlivých kategorií podle článku 112 nařízení (EU) č. 575/2013, se použije následující postup: </w:t>
      </w:r>
    </w:p>
    <w:p w14:paraId="022CA86F" w14:textId="77777777" w:rsidR="007266CF" w:rsidRPr="002A677E" w:rsidRDefault="007266CF" w:rsidP="007266CF">
      <w:pPr>
        <w:pStyle w:val="InstructionsText2"/>
        <w:numPr>
          <w:ilvl w:val="0"/>
          <w:numId w:val="0"/>
        </w:numPr>
        <w:ind w:left="1353" w:hanging="360"/>
      </w:pPr>
      <w:r>
        <w:t>a)</w:t>
      </w:r>
      <w:r>
        <w:tab/>
        <w:t>v prvním kroku se provede zařazení původní expozice před vynásobením konverzními faktory do odpovídající kategorie (původních) expozic podle článku 112 nařízení (EU) č. 575/2013, aniž je dotčeno zvláštní zacházení (riziková váha), které se použije na každou konkrétní expozici v rámci určené kategorie expozic;</w:t>
      </w:r>
    </w:p>
    <w:p w14:paraId="06466AC4" w14:textId="77777777" w:rsidR="007266CF" w:rsidRPr="002A677E" w:rsidRDefault="007266CF" w:rsidP="007266CF">
      <w:pPr>
        <w:pStyle w:val="InstructionsText2"/>
        <w:numPr>
          <w:ilvl w:val="0"/>
          <w:numId w:val="0"/>
        </w:numPr>
        <w:ind w:left="1353" w:hanging="360"/>
      </w:pPr>
      <w:r>
        <w:t>b)</w:t>
      </w:r>
      <w:r>
        <w:tab/>
        <w:t>v druhém kroku mohou být expozice přerozděleny do jiných kategorií expozic v důsledku zohlednění technik snižování úvěrového rizika se substitučními vlivy na expozici (např. záruky, úvěrové deriváty, jednoduchá metoda finančního kolaterálu) prostřednictvím přítoků a odtoků.</w:t>
      </w:r>
    </w:p>
    <w:p w14:paraId="567A9CC6" w14:textId="77777777" w:rsidR="007266CF" w:rsidRPr="002A677E" w:rsidRDefault="007266CF" w:rsidP="007266CF">
      <w:pPr>
        <w:pStyle w:val="InstructionsText2"/>
        <w:numPr>
          <w:ilvl w:val="0"/>
          <w:numId w:val="0"/>
        </w:numPr>
        <w:ind w:left="1353" w:hanging="360"/>
      </w:pPr>
      <w:fldSimple w:instr=" seq paragraphs ">
        <w:r>
          <w:t>57</w:t>
        </w:r>
      </w:fldSimple>
      <w:r>
        <w:t>.</w:t>
      </w:r>
      <w:r>
        <w:tab/>
        <w:t>Následující kritéria se použijí pro zařazení původní expozice před vynásobením konverzními faktory do jednotlivých kategorií expozic (první krok), aniž je dotčeno následné přerozdělení v důsledku použití technik snižování úvěrového rizika se substitučními vlivy na expozice nebo na zacházení (riziková váha), které se použije na každou konkrétní expozici v rámci určené kategorie expozic.</w:t>
      </w:r>
    </w:p>
    <w:p w14:paraId="38DD31E9" w14:textId="77777777" w:rsidR="007266CF" w:rsidRPr="002A677E" w:rsidRDefault="007266CF" w:rsidP="007266CF">
      <w:pPr>
        <w:pStyle w:val="InstructionsText2"/>
        <w:numPr>
          <w:ilvl w:val="0"/>
          <w:numId w:val="0"/>
        </w:numPr>
        <w:ind w:left="1353" w:hanging="360"/>
      </w:pPr>
      <w:fldSimple w:instr=" seq paragraphs ">
        <w:r>
          <w:t>58</w:t>
        </w:r>
      </w:fldSimple>
      <w:r>
        <w:t>.</w:t>
      </w:r>
      <w:r>
        <w:tab/>
        <w:t xml:space="preserve">Pro účely zařazení původní expozice před vynásobením konverzním faktorem v prvním kroku se neberou v úvahu techniky snižování úvěrového rizika související s danou expozicí (vezměte na vědomí, že budou jednoznačně zohledněny v druhé fázi), ledaže je zajišťovací účinek výslovně uveden v definici kategorie expozic, </w:t>
      </w:r>
      <w:r>
        <w:lastRenderedPageBreak/>
        <w:t>jako je tomu v případě kategorie expozic uvedené v čl. 112 písm. i) nařízení (EU) č. 575/2013 (expozice zajištěné nemovitostmi).</w:t>
      </w:r>
    </w:p>
    <w:p w14:paraId="18D087F8" w14:textId="77777777" w:rsidR="007266CF" w:rsidRPr="002A677E" w:rsidRDefault="007266CF" w:rsidP="007266CF">
      <w:pPr>
        <w:pStyle w:val="InstructionsText2"/>
        <w:numPr>
          <w:ilvl w:val="0"/>
          <w:numId w:val="0"/>
        </w:numPr>
        <w:ind w:left="1353" w:hanging="360"/>
      </w:pPr>
      <w:fldSimple w:instr=" seq paragraphs ">
        <w:r>
          <w:t>59</w:t>
        </w:r>
      </w:fldSimple>
      <w:r>
        <w:t>.</w:t>
      </w:r>
      <w:r>
        <w:tab/>
        <w:t>V článku 112 nařízení (EU) č. 575/2013 nejsou stanovena kritéria pro jasné oddělení kategorií expozic. To by mohlo znamenat, že určitá expozice může být případně zařazena do různých kategorií expozic, nejsou-li v kritériích pro posuzování zařazení expozic stanoveny žádné priority. Nejzřetelnější případ nastává mezi expozicemi vůči institucím a podnikům s krátkodobým úvěrovým hodnocením (čl. 112 písm. n) nařízení (EU) č. 575/2013) a expozicemi vůči institucím (čl. 112 písm. f) nařízení (EU) č. 575/2013) / expozicemi vůči podnikům (čl. 112 písm. g) nařízení (EU) č. 575/2013). V tomto případě je jasné, že priority jsou v uvedeném nařízení nastaveny implicitně, neboť nejprve je třeba posoudit, zda lze určitou expozici zařadit mezi krátkodobé expozice vůči institucím a podnikům, a jedině následně je možno posoudit, zda ji lze zařadit mezi expozice vůči institucím, nebo expozice vůči podnikům. Je jasné, že v opačném případě by nikdy nebylo možno zařadit jakoukoli expozici do kategorie expozic uvedené v čl. 112 písm. n) nařízení (EU) č. 575/2013. Uvedený příklad je jedním z nejzřetelnějších, ale nikoli jediným. Je vhodné podotknout, že kritéria používaná pro určení kategorií expozic v rámci standardizovaného přístupu jsou různá (institucionální zařazení do kategorií, časová platnost expozice, stav po splatnosti atd.), což je základním důvodem, proč nejsou jednotlivé skupiny striktně odděleny.</w:t>
      </w:r>
    </w:p>
    <w:p w14:paraId="12FD0425" w14:textId="77777777" w:rsidR="007266CF" w:rsidRPr="002A677E" w:rsidRDefault="007266CF" w:rsidP="007266CF">
      <w:pPr>
        <w:pStyle w:val="InstructionsText2"/>
        <w:numPr>
          <w:ilvl w:val="0"/>
          <w:numId w:val="0"/>
        </w:numPr>
        <w:ind w:left="1353" w:hanging="360"/>
      </w:pPr>
      <w:fldSimple w:instr=" seq paragraphs ">
        <w:r>
          <w:t>60</w:t>
        </w:r>
      </w:fldSimple>
      <w:r>
        <w:t>.</w:t>
      </w:r>
      <w:r>
        <w:tab/>
        <w:t>Pro homogenní a srovnatelné vykazování je nezbytné stanovit kritéria pro posuzování, jimiž se stanoví priority, pokud jde o zařazení původní expozice před vynásobením konverzním faktorem podle kategorií expozic, aniž by bylo dotčeno zvláštní zacházení (riziková váha), které se vztahuje na každou konkrétní expozici v rámci určené kategorie expozic. Kritéria pro stanovení priorit uvedená níže využívají schéma rozhodovacího stromu a jsou založena na posouzení podmínek, jež jsou v nařízení (EU) č. 575/2013 výslovně stanoveny pro zařazení expozice do určité kategorie expozic, a je-li to takový případ, také na rozhodnutí vykazujících institucí nebo orgánu vykonávajícího dohled, pokud jde o použitelnost určitých kategorií expozic. Výsledek rozřazení expozic pro účely vykazování tudíž musí být v souladu s ustanoveními nařízení (EU) č. 575/2013. To nezakazuje institucím, aby uplatňovaly interní zařazovací postupy, které mohou být rovněž v souladu se všemi příslušnými ustanoveními nařízení (EU) č. 575/2013 a s jejich výklady vydanými příslušnými fóry.</w:t>
      </w:r>
    </w:p>
    <w:p w14:paraId="0F94CB1F" w14:textId="77777777" w:rsidR="007266CF" w:rsidRPr="002A677E" w:rsidRDefault="007266CF" w:rsidP="007266CF">
      <w:pPr>
        <w:pStyle w:val="InstructionsText2"/>
        <w:numPr>
          <w:ilvl w:val="0"/>
          <w:numId w:val="0"/>
        </w:numPr>
        <w:ind w:left="1353" w:hanging="360"/>
      </w:pPr>
      <w:fldSimple w:instr=" seq paragraphs ">
        <w:r>
          <w:t>61</w:t>
        </w:r>
      </w:fldSimple>
      <w:r>
        <w:t>.</w:t>
      </w:r>
      <w:r>
        <w:tab/>
        <w:t>Určitá kategorie expozic se při posuzování pořadí v rozhodovacím stromu upřednostňuje před ostatními (nejprve se tedy posoudí, zda lze expozici zařadit do určité kategorie expozic, aniž je dotčen výsledek uvedeného posouzení), pokud by v opačném případě existovala možnost, že do této kategorie nebudou zařazeny žádné expozice. Taková situace nastane, pokud při absenci kritérií pro stanovení priorit je jedna kategorie expozic podskupinou ostatních kategorií. Kritéria, která jsou graficky znázorněna v následujícím rozhodovacím stromu, by tudíž fungovala v postupné návaznosti.</w:t>
      </w:r>
    </w:p>
    <w:p w14:paraId="5A412945" w14:textId="77777777" w:rsidR="007266CF" w:rsidRPr="002A677E" w:rsidRDefault="007266CF" w:rsidP="007266CF">
      <w:pPr>
        <w:pStyle w:val="InstructionsText2"/>
        <w:numPr>
          <w:ilvl w:val="0"/>
          <w:numId w:val="0"/>
        </w:numPr>
        <w:ind w:left="1353" w:hanging="360"/>
      </w:pPr>
      <w:fldSimple w:instr=" seq paragraphs ">
        <w:r>
          <w:t>62</w:t>
        </w:r>
      </w:fldSimple>
      <w:r>
        <w:t>.</w:t>
      </w:r>
      <w:r>
        <w:tab/>
        <w:t>Na základě těchto souvislostí se posuzování pomocí níže uvedeného rozhodovacího stromu provádí v tomto pořadí:</w:t>
      </w:r>
    </w:p>
    <w:p w14:paraId="10D92113" w14:textId="77777777" w:rsidR="007266CF" w:rsidRPr="002A677E" w:rsidRDefault="007266CF" w:rsidP="007266CF">
      <w:pPr>
        <w:pStyle w:val="InstructionsText"/>
      </w:pPr>
      <w:r>
        <w:t>1. sekuritizované pozice;</w:t>
      </w:r>
    </w:p>
    <w:p w14:paraId="74D683AE" w14:textId="77777777" w:rsidR="007266CF" w:rsidRPr="002A677E" w:rsidRDefault="007266CF" w:rsidP="007266CF">
      <w:pPr>
        <w:pStyle w:val="InstructionsText"/>
      </w:pPr>
      <w:r>
        <w:lastRenderedPageBreak/>
        <w:t>2. položky spojené s obzvlášť vysokým rizikem;</w:t>
      </w:r>
    </w:p>
    <w:p w14:paraId="6486A9BD" w14:textId="77777777" w:rsidR="007266CF" w:rsidRPr="006223CC" w:rsidRDefault="007266CF" w:rsidP="007266CF">
      <w:pPr>
        <w:pStyle w:val="InstructionsText"/>
        <w:rPr>
          <w:lang w:val="fr-FR"/>
        </w:rPr>
      </w:pPr>
      <w:r w:rsidRPr="006223CC">
        <w:rPr>
          <w:lang w:val="fr-FR"/>
        </w:rPr>
        <w:t>3. akciové expozice;</w:t>
      </w:r>
    </w:p>
    <w:p w14:paraId="1D2A977F" w14:textId="77777777" w:rsidR="007266CF" w:rsidRPr="006223CC" w:rsidRDefault="007266CF" w:rsidP="007266CF">
      <w:pPr>
        <w:pStyle w:val="InstructionsText"/>
        <w:rPr>
          <w:lang w:val="fr-FR"/>
        </w:rPr>
      </w:pPr>
      <w:r w:rsidRPr="006223CC">
        <w:rPr>
          <w:lang w:val="fr-FR"/>
        </w:rPr>
        <w:t>4. expozice v selhání;</w:t>
      </w:r>
    </w:p>
    <w:p w14:paraId="0602A2D4" w14:textId="77777777" w:rsidR="007266CF" w:rsidRPr="006223CC" w:rsidRDefault="007266CF" w:rsidP="007266CF">
      <w:pPr>
        <w:pStyle w:val="InstructionsText"/>
        <w:rPr>
          <w:lang w:val="fr-FR"/>
        </w:rPr>
      </w:pPr>
      <w:r w:rsidRPr="006223CC">
        <w:rPr>
          <w:lang w:val="fr-FR"/>
        </w:rPr>
        <w:t>5. expozice ve formě podílových jednotek nebo akcií v subjektech kolektivního investování / expozice ve formě krytých dluhopisů (oddělené kategorie expozic);</w:t>
      </w:r>
    </w:p>
    <w:p w14:paraId="2E2D61A1" w14:textId="77777777" w:rsidR="007266CF" w:rsidRPr="006223CC" w:rsidRDefault="007266CF" w:rsidP="007266CF">
      <w:pPr>
        <w:pStyle w:val="InstructionsText"/>
        <w:rPr>
          <w:lang w:val="fr-FR"/>
        </w:rPr>
      </w:pPr>
      <w:r w:rsidRPr="006223CC">
        <w:rPr>
          <w:lang w:val="fr-FR"/>
        </w:rPr>
        <w:t>6. expozice zajištěné nemovitostmi;</w:t>
      </w:r>
    </w:p>
    <w:p w14:paraId="1E072353" w14:textId="77777777" w:rsidR="007266CF" w:rsidRPr="006223CC" w:rsidRDefault="007266CF" w:rsidP="007266CF">
      <w:pPr>
        <w:pStyle w:val="InstructionsText"/>
        <w:rPr>
          <w:lang w:val="fr-FR"/>
        </w:rPr>
      </w:pPr>
      <w:r w:rsidRPr="006223CC">
        <w:rPr>
          <w:lang w:val="fr-FR"/>
        </w:rPr>
        <w:t>7. ostatní položky;</w:t>
      </w:r>
    </w:p>
    <w:p w14:paraId="12E2E5B8" w14:textId="77777777" w:rsidR="007266CF" w:rsidRPr="006223CC" w:rsidRDefault="007266CF" w:rsidP="007266CF">
      <w:pPr>
        <w:pStyle w:val="InstructionsText"/>
        <w:rPr>
          <w:lang w:val="fr-FR"/>
        </w:rPr>
      </w:pPr>
      <w:r w:rsidRPr="006223CC">
        <w:rPr>
          <w:lang w:val="fr-FR"/>
        </w:rPr>
        <w:t>8. expozice vůči institucím a podnikům s krátkodobým úvěrovým hodnocením;</w:t>
      </w:r>
    </w:p>
    <w:p w14:paraId="25939106" w14:textId="77777777" w:rsidR="007266CF" w:rsidRPr="006223CC" w:rsidRDefault="007266CF" w:rsidP="007266CF">
      <w:pPr>
        <w:pStyle w:val="InstructionsText"/>
        <w:rPr>
          <w:lang w:val="fr-FR"/>
        </w:rPr>
      </w:pPr>
      <w:r w:rsidRPr="006223CC">
        <w:rPr>
          <w:lang w:val="fr-FR"/>
        </w:rPr>
        <w:t>9. všechny ostatní kategorie expozic (oddělené kategorie expozic), které zahrnují expozice vůči ústředním vládám nebo centrálním bankám, expozice vůči regionálním vládám nebo místním orgánům, expozice vůči subjektům veřejného sektoru, expozice vůči mezinárodním rozvojovým bankám, expozice vůči mezinárodním organizacím, expozice vůči institucím, expozice vůči podnikům a retailové expozice.</w:t>
      </w:r>
    </w:p>
    <w:p w14:paraId="292F4A1B"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63</w:t>
      </w:r>
      <w:r>
        <w:fldChar w:fldCharType="end"/>
      </w:r>
      <w:r w:rsidRPr="006223CC">
        <w:rPr>
          <w:lang w:val="fr-FR"/>
        </w:rPr>
        <w:t>.</w:t>
      </w:r>
      <w:r w:rsidRPr="006223CC">
        <w:rPr>
          <w:lang w:val="fr-FR"/>
        </w:rPr>
        <w:tab/>
        <w:t>V případě expozic ve formě podílových jednotek nebo akcií v subjektech kolektivního investování, a je-li používán přístup se zohledněním nebo přístup založený na pověření (čl. 132a odst. 1 a 2 nařízení (EU) č. 575/2013), se jednotlivé podkladové expozice (v případě přístupu se zohledněním) a jednotlivé skupiny expozic (v případě přístupu založeného na pověření) posoudí a přiřadí do odpovídající úrovně rizikové váhy podle zacházení. Všechny jednotlivé expozice se však zařadí do kategorie expozic ve formě podílových jednotek nebo akcií v subjektech kolektivního investování.</w:t>
      </w:r>
    </w:p>
    <w:p w14:paraId="163AA6C2"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64</w:t>
      </w:r>
      <w:r>
        <w:fldChar w:fldCharType="end"/>
      </w:r>
      <w:r w:rsidRPr="006223CC">
        <w:rPr>
          <w:lang w:val="fr-FR"/>
        </w:rPr>
        <w:t>.</w:t>
      </w:r>
      <w:r w:rsidRPr="006223CC">
        <w:rPr>
          <w:lang w:val="fr-FR"/>
        </w:rPr>
        <w:tab/>
        <w:t xml:space="preserve"> Jsou-li ohodnoceny úvěrové deriváty n-tého selhání, které jsou upřesněny v čl. 134 odst. 6 nařízení (EU) č. 575/2013, zařadí se přímo jako sekuritizované pozice. Pokud nejsou ohodnoceny, zařazují se do kategorie expozic „ostatní položky“. V uvedeném posledním případě se nominální hodnota smlouvy vykazuje jako původní expozice před vynásobením konverzními faktory v řádku „ostatní rizikové váhy“ (použitá riziková váha je určena součtem uvedeným v čl. 134 odst. 6 nařízení (EU) č. 575/2013. </w:t>
      </w:r>
    </w:p>
    <w:p w14:paraId="631C15C0"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65</w:t>
      </w:r>
      <w:r>
        <w:fldChar w:fldCharType="end"/>
      </w:r>
      <w:r w:rsidRPr="006223CC">
        <w:rPr>
          <w:lang w:val="fr-FR"/>
        </w:rPr>
        <w:t>.</w:t>
      </w:r>
      <w:r w:rsidRPr="006223CC">
        <w:rPr>
          <w:lang w:val="fr-FR"/>
        </w:rPr>
        <w:tab/>
        <w:t>V druhém kroku se expozice přerozdělí do kategorie expozic poskytovatele zajištění, a to v důsledku technik snižování úvěrového rizika se substitučními vlivy.</w:t>
      </w:r>
    </w:p>
    <w:p w14:paraId="477B4635" w14:textId="77777777" w:rsidR="007266CF" w:rsidRPr="006223CC" w:rsidRDefault="007266CF" w:rsidP="007266CF">
      <w:pPr>
        <w:pStyle w:val="InstructionsText"/>
        <w:rPr>
          <w:lang w:val="fr-FR"/>
        </w:rPr>
      </w:pPr>
      <w:r w:rsidRPr="006223CC">
        <w:rPr>
          <w:lang w:val="fr-FR"/>
        </w:rPr>
        <w:br w:type="page"/>
      </w:r>
      <w:r w:rsidRPr="006223CC">
        <w:rPr>
          <w:lang w:val="fr-FR"/>
        </w:rPr>
        <w:lastRenderedPageBreak/>
        <w:t xml:space="preserve">ROZHODOVACÍ STROM URČUJÍCÍ ZAŘAZENÍ PŮVODNÍ EXPOZICE PŘED VYNÁSOBENÍM KONVERZNÍMI FAKTORY DO KATEGORIÍ EXPOZIC PŘI STANDARDIZOVANÉM PŘÍSTUPU V SOULADU S NAŘÍZENÍM (EU) Č. 575/2013 </w:t>
      </w:r>
    </w:p>
    <w:p w14:paraId="5F4148D4" w14:textId="77777777" w:rsidR="007266CF" w:rsidRPr="006223CC" w:rsidRDefault="007266CF" w:rsidP="007266CF">
      <w:pPr>
        <w:pStyle w:val="InstructionsText"/>
        <w:rPr>
          <w:lang w:val="fr-FR"/>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392"/>
        <w:gridCol w:w="3969"/>
      </w:tblGrid>
      <w:tr w:rsidR="007266CF" w:rsidRPr="006223CC" w14:paraId="017D3EC9" w14:textId="77777777" w:rsidTr="007266CF">
        <w:tc>
          <w:tcPr>
            <w:tcW w:w="3761" w:type="dxa"/>
            <w:shd w:val="clear" w:color="auto" w:fill="auto"/>
          </w:tcPr>
          <w:p w14:paraId="6693C43B" w14:textId="77777777" w:rsidR="007266CF" w:rsidRPr="006223CC" w:rsidRDefault="007266CF" w:rsidP="007266CF">
            <w:pPr>
              <w:spacing w:before="0" w:after="0"/>
              <w:jc w:val="left"/>
              <w:rPr>
                <w:sz w:val="24"/>
                <w:lang w:val="fr-FR"/>
              </w:rPr>
            </w:pPr>
            <w:r w:rsidRPr="006223CC">
              <w:rPr>
                <w:rFonts w:ascii="Times New Roman" w:hAnsi="Times New Roman"/>
                <w:sz w:val="24"/>
                <w:lang w:val="fr-FR"/>
              </w:rPr>
              <w:t>Původní expozice před vynásobením konverzními faktory</w:t>
            </w:r>
          </w:p>
        </w:tc>
        <w:tc>
          <w:tcPr>
            <w:tcW w:w="1417" w:type="dxa"/>
            <w:shd w:val="clear" w:color="auto" w:fill="auto"/>
          </w:tcPr>
          <w:p w14:paraId="4DDBF5C2" w14:textId="77777777" w:rsidR="007266CF" w:rsidRPr="006223CC" w:rsidRDefault="007266CF" w:rsidP="007266CF">
            <w:pPr>
              <w:pStyle w:val="InstructionsText"/>
              <w:rPr>
                <w:lang w:val="fr-FR"/>
              </w:rPr>
            </w:pPr>
          </w:p>
        </w:tc>
        <w:tc>
          <w:tcPr>
            <w:tcW w:w="4077" w:type="dxa"/>
            <w:shd w:val="clear" w:color="auto" w:fill="auto"/>
          </w:tcPr>
          <w:p w14:paraId="0A6FE3A7" w14:textId="77777777" w:rsidR="007266CF" w:rsidRPr="006223CC" w:rsidRDefault="007266CF" w:rsidP="007266CF">
            <w:pPr>
              <w:pStyle w:val="InstructionsText"/>
              <w:rPr>
                <w:lang w:val="fr-FR"/>
              </w:rPr>
            </w:pPr>
          </w:p>
        </w:tc>
      </w:tr>
      <w:tr w:rsidR="007266CF" w:rsidRPr="002A677E" w14:paraId="5B487A80" w14:textId="77777777" w:rsidTr="007266CF">
        <w:tc>
          <w:tcPr>
            <w:tcW w:w="3761" w:type="dxa"/>
            <w:shd w:val="clear" w:color="auto" w:fill="auto"/>
          </w:tcPr>
          <w:p w14:paraId="3CDE5294" w14:textId="77777777" w:rsidR="007266CF" w:rsidRPr="006223CC" w:rsidRDefault="007266CF" w:rsidP="007266CF">
            <w:pPr>
              <w:pStyle w:val="InstructionsText"/>
              <w:rPr>
                <w:lang w:val="fr-FR"/>
              </w:rPr>
            </w:pPr>
            <w:r w:rsidRPr="006223CC">
              <w:rPr>
                <w:lang w:val="fr-FR"/>
              </w:rPr>
              <w:t>Je možné zařadit expozici do kategorie expozic podle čl. 112 písm. m) nařízení (EU) č. 575/2013?</w:t>
            </w:r>
          </w:p>
        </w:tc>
        <w:tc>
          <w:tcPr>
            <w:tcW w:w="1417" w:type="dxa"/>
            <w:shd w:val="clear" w:color="auto" w:fill="auto"/>
          </w:tcPr>
          <w:p w14:paraId="3812BC07" w14:textId="77777777" w:rsidR="007266CF" w:rsidRPr="002A677E" w:rsidRDefault="007266CF" w:rsidP="007266CF">
            <w:pPr>
              <w:pStyle w:val="InstructionsText"/>
            </w:pPr>
            <w:r>
              <w:t xml:space="preserve">ANO </w:t>
            </w:r>
            <w:r>
              <w:rPr>
                <w:noProof/>
                <w:lang w:val="en-US" w:eastAsia="en-US"/>
              </w:rPr>
              <w:drawing>
                <wp:inline distT="0" distB="0" distL="0" distR="0" wp14:anchorId="1B88996B" wp14:editId="62726AF8">
                  <wp:extent cx="371475" cy="276225"/>
                  <wp:effectExtent l="0" t="0" r="9525" b="9525"/>
                  <wp:docPr id="17"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C429B1" w14:textId="77777777" w:rsidR="007266CF" w:rsidRPr="002A677E" w:rsidRDefault="007266CF" w:rsidP="007266CF">
            <w:pPr>
              <w:pStyle w:val="InstructionsText"/>
            </w:pPr>
          </w:p>
        </w:tc>
        <w:tc>
          <w:tcPr>
            <w:tcW w:w="4077" w:type="dxa"/>
            <w:shd w:val="clear" w:color="auto" w:fill="auto"/>
          </w:tcPr>
          <w:p w14:paraId="1D803A47" w14:textId="77777777" w:rsidR="007266CF" w:rsidRPr="002A677E" w:rsidRDefault="007266CF" w:rsidP="007266CF">
            <w:pPr>
              <w:pStyle w:val="InstructionsText"/>
            </w:pPr>
            <w:r>
              <w:t>Sekuritizované pozice</w:t>
            </w:r>
          </w:p>
        </w:tc>
      </w:tr>
      <w:tr w:rsidR="007266CF" w:rsidRPr="002A677E" w14:paraId="2A7FF21C" w14:textId="77777777" w:rsidTr="007266CF">
        <w:tc>
          <w:tcPr>
            <w:tcW w:w="3761" w:type="dxa"/>
            <w:shd w:val="clear" w:color="auto" w:fill="auto"/>
          </w:tcPr>
          <w:p w14:paraId="06906FFF" w14:textId="77777777" w:rsidR="007266CF" w:rsidRPr="002A677E" w:rsidRDefault="007266CF" w:rsidP="007266CF">
            <w:pPr>
              <w:pStyle w:val="InstructionsText"/>
            </w:pPr>
            <w:r>
              <w:t xml:space="preserve">NE </w:t>
            </w:r>
            <w:r>
              <w:rPr>
                <w:noProof/>
                <w:lang w:val="en-US" w:eastAsia="en-US"/>
              </w:rPr>
              <w:drawing>
                <wp:inline distT="0" distB="0" distL="0" distR="0" wp14:anchorId="5A7EA8C6" wp14:editId="481D975C">
                  <wp:extent cx="819150" cy="352425"/>
                  <wp:effectExtent l="0" t="0" r="0" b="9525"/>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E2547E6" w14:textId="77777777" w:rsidR="007266CF" w:rsidRPr="002A677E" w:rsidRDefault="007266CF" w:rsidP="007266CF">
            <w:pPr>
              <w:pStyle w:val="InstructionsText"/>
            </w:pPr>
          </w:p>
        </w:tc>
        <w:tc>
          <w:tcPr>
            <w:tcW w:w="1417" w:type="dxa"/>
            <w:shd w:val="clear" w:color="auto" w:fill="auto"/>
          </w:tcPr>
          <w:p w14:paraId="27444096" w14:textId="77777777" w:rsidR="007266CF" w:rsidRPr="002A677E" w:rsidRDefault="007266CF" w:rsidP="007266CF">
            <w:pPr>
              <w:pStyle w:val="InstructionsText"/>
            </w:pPr>
          </w:p>
        </w:tc>
        <w:tc>
          <w:tcPr>
            <w:tcW w:w="4077" w:type="dxa"/>
            <w:shd w:val="clear" w:color="auto" w:fill="auto"/>
          </w:tcPr>
          <w:p w14:paraId="006E820E" w14:textId="77777777" w:rsidR="007266CF" w:rsidRPr="002A677E" w:rsidRDefault="007266CF" w:rsidP="007266CF">
            <w:pPr>
              <w:pStyle w:val="InstructionsText"/>
            </w:pPr>
          </w:p>
        </w:tc>
      </w:tr>
      <w:tr w:rsidR="007266CF" w:rsidRPr="002A677E" w14:paraId="6FEC1A4D" w14:textId="77777777" w:rsidTr="007266CF">
        <w:tc>
          <w:tcPr>
            <w:tcW w:w="3761" w:type="dxa"/>
            <w:shd w:val="clear" w:color="auto" w:fill="auto"/>
          </w:tcPr>
          <w:p w14:paraId="0977D74C" w14:textId="77777777" w:rsidR="007266CF" w:rsidRPr="002A677E" w:rsidRDefault="007266CF" w:rsidP="007266CF">
            <w:pPr>
              <w:pStyle w:val="InstructionsText"/>
            </w:pPr>
            <w:r>
              <w:t>Je možné zařadit expozici do kategorie expozic podle čl. 112 písm. k) nařízení (EU) č. 575/2013?</w:t>
            </w:r>
          </w:p>
        </w:tc>
        <w:tc>
          <w:tcPr>
            <w:tcW w:w="1417" w:type="dxa"/>
            <w:shd w:val="clear" w:color="auto" w:fill="auto"/>
          </w:tcPr>
          <w:p w14:paraId="558B2349" w14:textId="77777777" w:rsidR="007266CF" w:rsidRPr="002A677E" w:rsidRDefault="007266CF" w:rsidP="007266CF">
            <w:pPr>
              <w:pStyle w:val="InstructionsText"/>
            </w:pPr>
            <w:r>
              <w:t xml:space="preserve">ANO </w:t>
            </w:r>
            <w:r>
              <w:rPr>
                <w:noProof/>
                <w:lang w:val="en-US" w:eastAsia="en-US"/>
              </w:rPr>
              <w:drawing>
                <wp:inline distT="0" distB="0" distL="0" distR="0" wp14:anchorId="32447FB0" wp14:editId="08E33F8F">
                  <wp:extent cx="371475" cy="276225"/>
                  <wp:effectExtent l="0" t="0" r="9525" b="9525"/>
                  <wp:docPr id="2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5D59134" w14:textId="77777777" w:rsidR="007266CF" w:rsidRPr="002A677E" w:rsidRDefault="007266CF" w:rsidP="007266CF">
            <w:pPr>
              <w:pStyle w:val="InstructionsText"/>
            </w:pPr>
          </w:p>
          <w:p w14:paraId="7D306CC6" w14:textId="77777777" w:rsidR="007266CF" w:rsidRPr="002A677E" w:rsidRDefault="007266CF" w:rsidP="007266CF">
            <w:pPr>
              <w:pStyle w:val="InstructionsText"/>
            </w:pPr>
          </w:p>
        </w:tc>
        <w:tc>
          <w:tcPr>
            <w:tcW w:w="4077" w:type="dxa"/>
            <w:shd w:val="clear" w:color="auto" w:fill="auto"/>
          </w:tcPr>
          <w:p w14:paraId="45C9F5EB" w14:textId="77777777" w:rsidR="007266CF" w:rsidRPr="002A677E" w:rsidRDefault="007266CF" w:rsidP="007266CF">
            <w:pPr>
              <w:pStyle w:val="InstructionsText"/>
            </w:pPr>
            <w:r>
              <w:t>Položky spojené s obzvlášť vysokým rizikem (viz také článek 128 nařízení (EU) č. 575/2013)</w:t>
            </w:r>
          </w:p>
        </w:tc>
      </w:tr>
      <w:tr w:rsidR="007266CF" w:rsidRPr="002A677E" w14:paraId="00B9534D" w14:textId="77777777" w:rsidTr="007266CF">
        <w:tc>
          <w:tcPr>
            <w:tcW w:w="3761" w:type="dxa"/>
            <w:shd w:val="clear" w:color="auto" w:fill="auto"/>
          </w:tcPr>
          <w:p w14:paraId="4FB9E552" w14:textId="77777777" w:rsidR="007266CF" w:rsidRPr="002A677E" w:rsidRDefault="007266CF" w:rsidP="007266CF">
            <w:pPr>
              <w:pStyle w:val="InstructionsText"/>
            </w:pPr>
            <w:r>
              <w:t xml:space="preserve">NE </w:t>
            </w:r>
            <w:r>
              <w:rPr>
                <w:noProof/>
                <w:lang w:val="en-US" w:eastAsia="en-US"/>
              </w:rPr>
              <w:drawing>
                <wp:inline distT="0" distB="0" distL="0" distR="0" wp14:anchorId="110A0268" wp14:editId="480AFEC3">
                  <wp:extent cx="819150" cy="352425"/>
                  <wp:effectExtent l="0" t="0" r="0" b="9525"/>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99F639E" w14:textId="77777777" w:rsidR="007266CF" w:rsidRPr="002A677E" w:rsidRDefault="007266CF" w:rsidP="007266CF">
            <w:pPr>
              <w:pStyle w:val="InstructionsText"/>
            </w:pPr>
          </w:p>
        </w:tc>
        <w:tc>
          <w:tcPr>
            <w:tcW w:w="1417" w:type="dxa"/>
            <w:shd w:val="clear" w:color="auto" w:fill="auto"/>
          </w:tcPr>
          <w:p w14:paraId="62BD5C4B" w14:textId="77777777" w:rsidR="007266CF" w:rsidRPr="002A677E" w:rsidRDefault="007266CF" w:rsidP="007266CF">
            <w:pPr>
              <w:pStyle w:val="InstructionsText"/>
            </w:pPr>
          </w:p>
        </w:tc>
        <w:tc>
          <w:tcPr>
            <w:tcW w:w="4077" w:type="dxa"/>
            <w:shd w:val="clear" w:color="auto" w:fill="auto"/>
          </w:tcPr>
          <w:p w14:paraId="158A966B" w14:textId="77777777" w:rsidR="007266CF" w:rsidRPr="002A677E" w:rsidRDefault="007266CF" w:rsidP="007266CF">
            <w:pPr>
              <w:pStyle w:val="InstructionsText"/>
            </w:pPr>
          </w:p>
        </w:tc>
      </w:tr>
      <w:tr w:rsidR="007266CF" w:rsidRPr="002A677E" w14:paraId="6648A683" w14:textId="77777777" w:rsidTr="007266CF">
        <w:tc>
          <w:tcPr>
            <w:tcW w:w="3761" w:type="dxa"/>
            <w:shd w:val="clear" w:color="auto" w:fill="auto"/>
          </w:tcPr>
          <w:p w14:paraId="60BD6EF0" w14:textId="77777777" w:rsidR="007266CF" w:rsidRPr="002A677E" w:rsidRDefault="007266CF" w:rsidP="007266CF">
            <w:pPr>
              <w:pStyle w:val="InstructionsText"/>
            </w:pPr>
            <w:r>
              <w:t>Je možné zařadit expozici do kategorie expozic podle čl. 112 písm. p) nařízení (EU) č. 575/2013?</w:t>
            </w:r>
          </w:p>
        </w:tc>
        <w:tc>
          <w:tcPr>
            <w:tcW w:w="1417" w:type="dxa"/>
            <w:shd w:val="clear" w:color="auto" w:fill="auto"/>
          </w:tcPr>
          <w:p w14:paraId="5E55CF58" w14:textId="77777777" w:rsidR="007266CF" w:rsidRPr="002A677E" w:rsidRDefault="007266CF" w:rsidP="007266CF">
            <w:pPr>
              <w:pStyle w:val="InstructionsText"/>
            </w:pPr>
            <w:r>
              <w:t xml:space="preserve">ANO </w:t>
            </w:r>
            <w:r>
              <w:rPr>
                <w:noProof/>
                <w:lang w:val="en-US" w:eastAsia="en-US"/>
              </w:rPr>
              <w:drawing>
                <wp:inline distT="0" distB="0" distL="0" distR="0" wp14:anchorId="68DC5468" wp14:editId="679F0441">
                  <wp:extent cx="371475" cy="276225"/>
                  <wp:effectExtent l="0" t="0" r="9525" b="9525"/>
                  <wp:docPr id="2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D004653" w14:textId="77777777" w:rsidR="007266CF" w:rsidRPr="002A677E" w:rsidRDefault="007266CF" w:rsidP="007266CF">
            <w:pPr>
              <w:pStyle w:val="InstructionsText"/>
            </w:pPr>
          </w:p>
        </w:tc>
        <w:tc>
          <w:tcPr>
            <w:tcW w:w="4077" w:type="dxa"/>
            <w:shd w:val="clear" w:color="auto" w:fill="auto"/>
          </w:tcPr>
          <w:p w14:paraId="2E96B273" w14:textId="77777777" w:rsidR="007266CF" w:rsidRPr="002A677E" w:rsidRDefault="007266CF" w:rsidP="007266CF">
            <w:pPr>
              <w:pStyle w:val="InstructionsText"/>
            </w:pPr>
            <w:r>
              <w:t>Akciové expozice (viz také článek 133 nařízení (EU) č. 575/2013)</w:t>
            </w:r>
          </w:p>
        </w:tc>
      </w:tr>
      <w:tr w:rsidR="007266CF" w:rsidRPr="002A677E" w14:paraId="18FFD4A0" w14:textId="77777777" w:rsidTr="007266CF">
        <w:tc>
          <w:tcPr>
            <w:tcW w:w="3761" w:type="dxa"/>
            <w:shd w:val="clear" w:color="auto" w:fill="auto"/>
          </w:tcPr>
          <w:p w14:paraId="0C28ED66" w14:textId="77777777" w:rsidR="007266CF" w:rsidRPr="002A677E" w:rsidRDefault="007266CF" w:rsidP="007266CF">
            <w:pPr>
              <w:pStyle w:val="InstructionsText"/>
            </w:pPr>
            <w:r>
              <w:t xml:space="preserve">NE </w:t>
            </w:r>
            <w:r>
              <w:rPr>
                <w:noProof/>
                <w:lang w:val="en-US" w:eastAsia="en-US"/>
              </w:rPr>
              <w:drawing>
                <wp:inline distT="0" distB="0" distL="0" distR="0" wp14:anchorId="5A730FB9" wp14:editId="0B2F0B72">
                  <wp:extent cx="819150" cy="352425"/>
                  <wp:effectExtent l="0" t="0" r="0" b="9525"/>
                  <wp:docPr id="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928148F" w14:textId="77777777" w:rsidR="007266CF" w:rsidRPr="002A677E" w:rsidRDefault="007266CF" w:rsidP="007266CF">
            <w:pPr>
              <w:pStyle w:val="InstructionsText"/>
            </w:pPr>
          </w:p>
        </w:tc>
        <w:tc>
          <w:tcPr>
            <w:tcW w:w="1417" w:type="dxa"/>
            <w:shd w:val="clear" w:color="auto" w:fill="auto"/>
          </w:tcPr>
          <w:p w14:paraId="31A975C3" w14:textId="77777777" w:rsidR="007266CF" w:rsidRPr="002A677E" w:rsidRDefault="007266CF" w:rsidP="007266CF">
            <w:pPr>
              <w:pStyle w:val="InstructionsText"/>
            </w:pPr>
          </w:p>
        </w:tc>
        <w:tc>
          <w:tcPr>
            <w:tcW w:w="4077" w:type="dxa"/>
            <w:shd w:val="clear" w:color="auto" w:fill="auto"/>
          </w:tcPr>
          <w:p w14:paraId="4D177C13" w14:textId="77777777" w:rsidR="007266CF" w:rsidRPr="002A677E" w:rsidRDefault="007266CF" w:rsidP="007266CF">
            <w:pPr>
              <w:pStyle w:val="InstructionsText"/>
            </w:pPr>
          </w:p>
        </w:tc>
      </w:tr>
      <w:tr w:rsidR="007266CF" w:rsidRPr="002A677E" w14:paraId="49FB6396" w14:textId="77777777" w:rsidTr="007266CF">
        <w:tc>
          <w:tcPr>
            <w:tcW w:w="3761" w:type="dxa"/>
            <w:shd w:val="clear" w:color="auto" w:fill="auto"/>
          </w:tcPr>
          <w:p w14:paraId="298CAAEF" w14:textId="77777777" w:rsidR="007266CF" w:rsidRPr="002A677E" w:rsidRDefault="007266CF" w:rsidP="007266CF">
            <w:pPr>
              <w:pStyle w:val="InstructionsText"/>
            </w:pPr>
            <w:r>
              <w:t>Je možné zařadit expozici do kategorie expozic podle čl. 112 písm. j) nařízení (EU) č. 575/2013?</w:t>
            </w:r>
          </w:p>
        </w:tc>
        <w:tc>
          <w:tcPr>
            <w:tcW w:w="1417" w:type="dxa"/>
            <w:shd w:val="clear" w:color="auto" w:fill="auto"/>
          </w:tcPr>
          <w:p w14:paraId="14865E21" w14:textId="77777777" w:rsidR="007266CF" w:rsidRPr="002A677E" w:rsidRDefault="007266CF" w:rsidP="007266CF">
            <w:pPr>
              <w:pStyle w:val="InstructionsText"/>
            </w:pPr>
            <w:r>
              <w:t xml:space="preserve">ANO </w:t>
            </w:r>
            <w:r>
              <w:rPr>
                <w:noProof/>
                <w:lang w:val="en-US" w:eastAsia="en-US"/>
              </w:rPr>
              <w:drawing>
                <wp:inline distT="0" distB="0" distL="0" distR="0" wp14:anchorId="26D6C2B9" wp14:editId="17F8F06D">
                  <wp:extent cx="371475" cy="276225"/>
                  <wp:effectExtent l="0" t="0" r="9525" b="9525"/>
                  <wp:docPr id="2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1D5E086" w14:textId="77777777" w:rsidR="007266CF" w:rsidRPr="002A677E" w:rsidRDefault="007266CF" w:rsidP="007266CF">
            <w:pPr>
              <w:pStyle w:val="InstructionsText"/>
            </w:pPr>
          </w:p>
        </w:tc>
        <w:tc>
          <w:tcPr>
            <w:tcW w:w="4077" w:type="dxa"/>
            <w:shd w:val="clear" w:color="auto" w:fill="auto"/>
          </w:tcPr>
          <w:p w14:paraId="05132191" w14:textId="77777777" w:rsidR="007266CF" w:rsidRPr="002A677E" w:rsidRDefault="007266CF" w:rsidP="007266CF">
            <w:pPr>
              <w:pStyle w:val="InstructionsText"/>
            </w:pPr>
            <w:r>
              <w:t>Expozice v selhání</w:t>
            </w:r>
          </w:p>
        </w:tc>
      </w:tr>
      <w:tr w:rsidR="007266CF" w:rsidRPr="002A677E" w14:paraId="49C9F3D8" w14:textId="77777777" w:rsidTr="007266CF">
        <w:tc>
          <w:tcPr>
            <w:tcW w:w="3761" w:type="dxa"/>
            <w:shd w:val="clear" w:color="auto" w:fill="auto"/>
          </w:tcPr>
          <w:p w14:paraId="4C284CE5" w14:textId="77777777" w:rsidR="007266CF" w:rsidRPr="002A677E" w:rsidRDefault="007266CF" w:rsidP="007266CF">
            <w:pPr>
              <w:pStyle w:val="InstructionsText"/>
            </w:pPr>
            <w:r>
              <w:t xml:space="preserve">NE </w:t>
            </w:r>
            <w:r>
              <w:rPr>
                <w:noProof/>
                <w:lang w:val="en-US" w:eastAsia="en-US"/>
              </w:rPr>
              <w:drawing>
                <wp:inline distT="0" distB="0" distL="0" distR="0" wp14:anchorId="442C486F" wp14:editId="71E3A50F">
                  <wp:extent cx="819150" cy="352425"/>
                  <wp:effectExtent l="0" t="0" r="0" b="9525"/>
                  <wp:docPr id="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11ACED3" w14:textId="77777777" w:rsidR="007266CF" w:rsidRPr="002A677E" w:rsidRDefault="007266CF" w:rsidP="007266CF">
            <w:pPr>
              <w:pStyle w:val="InstructionsText"/>
            </w:pPr>
          </w:p>
        </w:tc>
        <w:tc>
          <w:tcPr>
            <w:tcW w:w="1417" w:type="dxa"/>
            <w:shd w:val="clear" w:color="auto" w:fill="auto"/>
          </w:tcPr>
          <w:p w14:paraId="3C7D4221" w14:textId="77777777" w:rsidR="007266CF" w:rsidRPr="002A677E" w:rsidRDefault="007266CF" w:rsidP="007266CF">
            <w:pPr>
              <w:pStyle w:val="InstructionsText"/>
            </w:pPr>
          </w:p>
        </w:tc>
        <w:tc>
          <w:tcPr>
            <w:tcW w:w="4077" w:type="dxa"/>
            <w:shd w:val="clear" w:color="auto" w:fill="auto"/>
          </w:tcPr>
          <w:p w14:paraId="2C5EBEC9" w14:textId="77777777" w:rsidR="007266CF" w:rsidRPr="002A677E" w:rsidRDefault="007266CF" w:rsidP="007266CF">
            <w:pPr>
              <w:pStyle w:val="InstructionsText"/>
            </w:pPr>
          </w:p>
        </w:tc>
      </w:tr>
      <w:tr w:rsidR="007266CF" w:rsidRPr="002A677E" w14:paraId="4D27ADC2" w14:textId="77777777" w:rsidTr="007266CF">
        <w:tc>
          <w:tcPr>
            <w:tcW w:w="3761" w:type="dxa"/>
            <w:shd w:val="clear" w:color="auto" w:fill="auto"/>
          </w:tcPr>
          <w:p w14:paraId="639C829A" w14:textId="77777777" w:rsidR="007266CF" w:rsidRPr="002A677E" w:rsidRDefault="007266CF" w:rsidP="007266CF">
            <w:pPr>
              <w:pStyle w:val="InstructionsText"/>
            </w:pPr>
            <w:r>
              <w:t>Je možné zařadit expozici do kategorií expozic podle čl. 112 písm. l) a o) nařízení (EU) č. 575/2013?</w:t>
            </w:r>
          </w:p>
        </w:tc>
        <w:tc>
          <w:tcPr>
            <w:tcW w:w="1417" w:type="dxa"/>
            <w:shd w:val="clear" w:color="auto" w:fill="auto"/>
          </w:tcPr>
          <w:p w14:paraId="064B45AF" w14:textId="77777777" w:rsidR="007266CF" w:rsidRPr="002A677E" w:rsidRDefault="007266CF" w:rsidP="007266CF">
            <w:pPr>
              <w:pStyle w:val="InstructionsText"/>
            </w:pPr>
            <w:r>
              <w:t xml:space="preserve">ANO </w:t>
            </w:r>
            <w:r>
              <w:rPr>
                <w:noProof/>
                <w:lang w:val="en-US" w:eastAsia="en-US"/>
              </w:rPr>
              <w:drawing>
                <wp:inline distT="0" distB="0" distL="0" distR="0" wp14:anchorId="45402F61" wp14:editId="4A666AB0">
                  <wp:extent cx="371475" cy="276225"/>
                  <wp:effectExtent l="0" t="0" r="9525" b="9525"/>
                  <wp:docPr id="2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0BD0818" w14:textId="77777777" w:rsidR="007266CF" w:rsidRPr="002A677E" w:rsidRDefault="007266CF" w:rsidP="007266CF">
            <w:pPr>
              <w:pStyle w:val="InstructionsText"/>
            </w:pPr>
          </w:p>
        </w:tc>
        <w:tc>
          <w:tcPr>
            <w:tcW w:w="4077" w:type="dxa"/>
            <w:shd w:val="clear" w:color="auto" w:fill="auto"/>
          </w:tcPr>
          <w:p w14:paraId="3EEC3911" w14:textId="77777777" w:rsidR="007266CF" w:rsidRPr="002A677E" w:rsidRDefault="007266CF" w:rsidP="007266CF">
            <w:pPr>
              <w:pStyle w:val="InstructionsText"/>
            </w:pPr>
            <w:r>
              <w:t>Expozice ve formě podílových jednotek nebo akcií v subjektech kolektivního investování</w:t>
            </w:r>
          </w:p>
          <w:p w14:paraId="07560B6F" w14:textId="77777777" w:rsidR="007266CF" w:rsidRPr="002A677E" w:rsidRDefault="007266CF" w:rsidP="007266CF">
            <w:pPr>
              <w:pStyle w:val="InstructionsText"/>
            </w:pPr>
            <w:r>
              <w:t>Expozice v krytých dluhopisech (viz také článek 129 nařízení (EU) č. 575/2013)</w:t>
            </w:r>
          </w:p>
          <w:p w14:paraId="0B015507" w14:textId="77777777" w:rsidR="007266CF" w:rsidRPr="002A677E" w:rsidRDefault="007266CF" w:rsidP="007266CF">
            <w:pPr>
              <w:pStyle w:val="InstructionsText"/>
            </w:pPr>
            <w:r>
              <w:t xml:space="preserve">Tyto dvě kategorie expozic jsou navzájem oddělené (viz komentář k přístupu se zohledněním v odpovědi </w:t>
            </w:r>
            <w:r>
              <w:lastRenderedPageBreak/>
              <w:t>výše). Zařazení do jedné z těchto kategorií je tedy zřejmé.</w:t>
            </w:r>
          </w:p>
        </w:tc>
      </w:tr>
      <w:tr w:rsidR="007266CF" w:rsidRPr="002A677E" w14:paraId="2F9A20CE" w14:textId="77777777" w:rsidTr="007266CF">
        <w:tc>
          <w:tcPr>
            <w:tcW w:w="3761" w:type="dxa"/>
            <w:shd w:val="clear" w:color="auto" w:fill="auto"/>
          </w:tcPr>
          <w:p w14:paraId="0641B882" w14:textId="77777777" w:rsidR="007266CF" w:rsidRPr="002A677E" w:rsidRDefault="007266CF" w:rsidP="007266CF">
            <w:pPr>
              <w:pStyle w:val="InstructionsText"/>
            </w:pPr>
            <w:r>
              <w:lastRenderedPageBreak/>
              <w:t xml:space="preserve">NE </w:t>
            </w:r>
            <w:r>
              <w:rPr>
                <w:noProof/>
                <w:lang w:val="en-US" w:eastAsia="en-US"/>
              </w:rPr>
              <w:drawing>
                <wp:inline distT="0" distB="0" distL="0" distR="0" wp14:anchorId="5617C298" wp14:editId="68912732">
                  <wp:extent cx="819150" cy="352425"/>
                  <wp:effectExtent l="0" t="0" r="0" b="9525"/>
                  <wp:docPr id="3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24FFC37" w14:textId="77777777" w:rsidR="007266CF" w:rsidRPr="002A677E" w:rsidRDefault="007266CF" w:rsidP="007266CF">
            <w:pPr>
              <w:pStyle w:val="InstructionsText"/>
            </w:pPr>
          </w:p>
        </w:tc>
        <w:tc>
          <w:tcPr>
            <w:tcW w:w="1417" w:type="dxa"/>
            <w:shd w:val="clear" w:color="auto" w:fill="auto"/>
          </w:tcPr>
          <w:p w14:paraId="718B8B2A" w14:textId="77777777" w:rsidR="007266CF" w:rsidRPr="002A677E" w:rsidRDefault="007266CF" w:rsidP="007266CF">
            <w:pPr>
              <w:pStyle w:val="InstructionsText"/>
            </w:pPr>
          </w:p>
        </w:tc>
        <w:tc>
          <w:tcPr>
            <w:tcW w:w="4077" w:type="dxa"/>
            <w:shd w:val="clear" w:color="auto" w:fill="auto"/>
          </w:tcPr>
          <w:p w14:paraId="1166CB83" w14:textId="77777777" w:rsidR="007266CF" w:rsidRPr="002A677E" w:rsidRDefault="007266CF" w:rsidP="007266CF">
            <w:pPr>
              <w:pStyle w:val="InstructionsText"/>
            </w:pPr>
          </w:p>
        </w:tc>
      </w:tr>
      <w:tr w:rsidR="007266CF" w:rsidRPr="002A677E" w14:paraId="1E393295" w14:textId="77777777" w:rsidTr="007266CF">
        <w:tc>
          <w:tcPr>
            <w:tcW w:w="3761" w:type="dxa"/>
            <w:shd w:val="clear" w:color="auto" w:fill="auto"/>
          </w:tcPr>
          <w:p w14:paraId="46E94BDD" w14:textId="77777777" w:rsidR="007266CF" w:rsidRPr="002A677E" w:rsidRDefault="007266CF" w:rsidP="007266CF">
            <w:pPr>
              <w:pStyle w:val="InstructionsText"/>
            </w:pPr>
            <w:r>
              <w:t>Je možné zařadit expozici do kategorie expozic podle čl. 112 písm. i) nařízení (EU) č. 575/2013?</w:t>
            </w:r>
          </w:p>
        </w:tc>
        <w:tc>
          <w:tcPr>
            <w:tcW w:w="1417" w:type="dxa"/>
            <w:shd w:val="clear" w:color="auto" w:fill="auto"/>
          </w:tcPr>
          <w:p w14:paraId="7F102CA1" w14:textId="77777777" w:rsidR="007266CF" w:rsidRPr="002A677E" w:rsidRDefault="007266CF" w:rsidP="007266CF">
            <w:pPr>
              <w:pStyle w:val="InstructionsText"/>
            </w:pPr>
            <w:r>
              <w:t xml:space="preserve">ANO </w:t>
            </w:r>
            <w:r>
              <w:rPr>
                <w:noProof/>
                <w:lang w:val="en-US" w:eastAsia="en-US"/>
              </w:rPr>
              <w:drawing>
                <wp:inline distT="0" distB="0" distL="0" distR="0" wp14:anchorId="23998B2C" wp14:editId="547CE0F0">
                  <wp:extent cx="371475" cy="276225"/>
                  <wp:effectExtent l="0" t="0" r="9525" b="9525"/>
                  <wp:docPr id="3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A8D2A67" w14:textId="77777777" w:rsidR="007266CF" w:rsidRPr="002A677E" w:rsidRDefault="007266CF" w:rsidP="007266CF">
            <w:pPr>
              <w:pStyle w:val="InstructionsText"/>
            </w:pPr>
          </w:p>
        </w:tc>
        <w:tc>
          <w:tcPr>
            <w:tcW w:w="4077" w:type="dxa"/>
            <w:shd w:val="clear" w:color="auto" w:fill="auto"/>
          </w:tcPr>
          <w:p w14:paraId="04A08C76" w14:textId="77777777" w:rsidR="007266CF" w:rsidRPr="002A677E" w:rsidRDefault="007266CF" w:rsidP="007266CF">
            <w:pPr>
              <w:pStyle w:val="InstructionsText"/>
            </w:pPr>
            <w:r>
              <w:t>Expozice zajištěné nemovitostmi (viz také článek 124 nařízení (EU) č. 575/2013)</w:t>
            </w:r>
          </w:p>
        </w:tc>
      </w:tr>
      <w:tr w:rsidR="007266CF" w:rsidRPr="002A677E" w14:paraId="333F2409" w14:textId="77777777" w:rsidTr="007266CF">
        <w:tc>
          <w:tcPr>
            <w:tcW w:w="3761" w:type="dxa"/>
            <w:shd w:val="clear" w:color="auto" w:fill="auto"/>
          </w:tcPr>
          <w:p w14:paraId="13563BF3" w14:textId="77777777" w:rsidR="007266CF" w:rsidRPr="002A677E" w:rsidRDefault="007266CF" w:rsidP="007266CF">
            <w:pPr>
              <w:pStyle w:val="InstructionsText"/>
            </w:pPr>
            <w:r>
              <w:t xml:space="preserve">NE </w:t>
            </w:r>
            <w:r>
              <w:rPr>
                <w:noProof/>
                <w:lang w:val="en-US" w:eastAsia="en-US"/>
              </w:rPr>
              <w:drawing>
                <wp:inline distT="0" distB="0" distL="0" distR="0" wp14:anchorId="55CE3BBE" wp14:editId="63D6B8B8">
                  <wp:extent cx="819150" cy="352425"/>
                  <wp:effectExtent l="0" t="0" r="0" b="9525"/>
                  <wp:docPr id="3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E468722" w14:textId="77777777" w:rsidR="007266CF" w:rsidRPr="002A677E" w:rsidRDefault="007266CF" w:rsidP="007266CF">
            <w:pPr>
              <w:pStyle w:val="InstructionsText"/>
            </w:pPr>
          </w:p>
        </w:tc>
        <w:tc>
          <w:tcPr>
            <w:tcW w:w="1417" w:type="dxa"/>
            <w:shd w:val="clear" w:color="auto" w:fill="auto"/>
          </w:tcPr>
          <w:p w14:paraId="22BB037D" w14:textId="77777777" w:rsidR="007266CF" w:rsidRPr="002A677E" w:rsidRDefault="007266CF" w:rsidP="007266CF">
            <w:pPr>
              <w:pStyle w:val="InstructionsText"/>
            </w:pPr>
          </w:p>
        </w:tc>
        <w:tc>
          <w:tcPr>
            <w:tcW w:w="4077" w:type="dxa"/>
            <w:shd w:val="clear" w:color="auto" w:fill="auto"/>
          </w:tcPr>
          <w:p w14:paraId="7B8187AE" w14:textId="77777777" w:rsidR="007266CF" w:rsidRPr="002A677E" w:rsidRDefault="007266CF" w:rsidP="007266CF">
            <w:pPr>
              <w:pStyle w:val="InstructionsText"/>
            </w:pPr>
          </w:p>
        </w:tc>
      </w:tr>
      <w:tr w:rsidR="007266CF" w:rsidRPr="002A677E" w14:paraId="02643DDD" w14:textId="77777777" w:rsidTr="007266CF">
        <w:tc>
          <w:tcPr>
            <w:tcW w:w="3761" w:type="dxa"/>
            <w:shd w:val="clear" w:color="auto" w:fill="auto"/>
          </w:tcPr>
          <w:p w14:paraId="185630A2" w14:textId="77777777" w:rsidR="007266CF" w:rsidRPr="002A677E" w:rsidRDefault="007266CF" w:rsidP="007266CF">
            <w:pPr>
              <w:pStyle w:val="InstructionsText"/>
            </w:pPr>
            <w:r>
              <w:t>Je možné zařadit expozici do kategorie expozic podle čl. 112 písm. q) nařízení (EU) č. 575/2013?</w:t>
            </w:r>
          </w:p>
        </w:tc>
        <w:tc>
          <w:tcPr>
            <w:tcW w:w="1417" w:type="dxa"/>
            <w:shd w:val="clear" w:color="auto" w:fill="auto"/>
          </w:tcPr>
          <w:p w14:paraId="3D9475A4" w14:textId="77777777" w:rsidR="007266CF" w:rsidRPr="002A677E" w:rsidRDefault="007266CF" w:rsidP="007266CF">
            <w:pPr>
              <w:pStyle w:val="InstructionsText"/>
            </w:pPr>
            <w:r>
              <w:t xml:space="preserve">ANO </w:t>
            </w:r>
            <w:r>
              <w:rPr>
                <w:noProof/>
                <w:lang w:val="en-US" w:eastAsia="en-US"/>
              </w:rPr>
              <w:drawing>
                <wp:inline distT="0" distB="0" distL="0" distR="0" wp14:anchorId="3F795CBC" wp14:editId="2DE775BC">
                  <wp:extent cx="371475" cy="276225"/>
                  <wp:effectExtent l="0" t="0" r="9525" b="9525"/>
                  <wp:docPr id="3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371F6AA" w14:textId="77777777" w:rsidR="007266CF" w:rsidRPr="002A677E" w:rsidRDefault="007266CF" w:rsidP="007266CF">
            <w:pPr>
              <w:pStyle w:val="InstructionsText"/>
            </w:pPr>
          </w:p>
        </w:tc>
        <w:tc>
          <w:tcPr>
            <w:tcW w:w="4077" w:type="dxa"/>
            <w:shd w:val="clear" w:color="auto" w:fill="auto"/>
          </w:tcPr>
          <w:p w14:paraId="46108251" w14:textId="77777777" w:rsidR="007266CF" w:rsidRPr="002A677E" w:rsidRDefault="007266CF" w:rsidP="007266CF">
            <w:pPr>
              <w:pStyle w:val="InstructionsText"/>
            </w:pPr>
            <w:r>
              <w:t>Další položky</w:t>
            </w:r>
          </w:p>
        </w:tc>
      </w:tr>
      <w:tr w:rsidR="007266CF" w:rsidRPr="002A677E" w14:paraId="22890B29" w14:textId="77777777" w:rsidTr="007266CF">
        <w:tc>
          <w:tcPr>
            <w:tcW w:w="3761" w:type="dxa"/>
            <w:shd w:val="clear" w:color="auto" w:fill="auto"/>
          </w:tcPr>
          <w:p w14:paraId="5AA5F1FE" w14:textId="77777777" w:rsidR="007266CF" w:rsidRPr="002A677E" w:rsidRDefault="007266CF" w:rsidP="007266CF">
            <w:pPr>
              <w:pStyle w:val="InstructionsText"/>
            </w:pPr>
            <w:r>
              <w:t xml:space="preserve">NE </w:t>
            </w:r>
            <w:r>
              <w:rPr>
                <w:noProof/>
                <w:lang w:val="en-US" w:eastAsia="en-US"/>
              </w:rPr>
              <w:drawing>
                <wp:inline distT="0" distB="0" distL="0" distR="0" wp14:anchorId="239C742E" wp14:editId="4421DC1B">
                  <wp:extent cx="819150" cy="352425"/>
                  <wp:effectExtent l="0" t="0" r="0" b="9525"/>
                  <wp:docPr id="3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B418BA6" w14:textId="77777777" w:rsidR="007266CF" w:rsidRPr="002A677E" w:rsidRDefault="007266CF" w:rsidP="007266CF">
            <w:pPr>
              <w:pStyle w:val="InstructionsText"/>
            </w:pPr>
          </w:p>
        </w:tc>
        <w:tc>
          <w:tcPr>
            <w:tcW w:w="1417" w:type="dxa"/>
            <w:shd w:val="clear" w:color="auto" w:fill="auto"/>
          </w:tcPr>
          <w:p w14:paraId="0C9718C7" w14:textId="77777777" w:rsidR="007266CF" w:rsidRPr="002A677E" w:rsidRDefault="007266CF" w:rsidP="007266CF">
            <w:pPr>
              <w:pStyle w:val="InstructionsText"/>
            </w:pPr>
          </w:p>
        </w:tc>
        <w:tc>
          <w:tcPr>
            <w:tcW w:w="4077" w:type="dxa"/>
            <w:shd w:val="clear" w:color="auto" w:fill="auto"/>
          </w:tcPr>
          <w:p w14:paraId="1B9E49FC" w14:textId="77777777" w:rsidR="007266CF" w:rsidRPr="002A677E" w:rsidRDefault="007266CF" w:rsidP="007266CF">
            <w:pPr>
              <w:pStyle w:val="InstructionsText"/>
            </w:pPr>
          </w:p>
        </w:tc>
      </w:tr>
      <w:tr w:rsidR="007266CF" w:rsidRPr="002A677E" w14:paraId="504CE38D" w14:textId="77777777" w:rsidTr="007266CF">
        <w:tc>
          <w:tcPr>
            <w:tcW w:w="3761" w:type="dxa"/>
            <w:shd w:val="clear" w:color="auto" w:fill="auto"/>
          </w:tcPr>
          <w:p w14:paraId="7E7DE9B9" w14:textId="77777777" w:rsidR="007266CF" w:rsidRPr="002A677E" w:rsidRDefault="007266CF" w:rsidP="007266CF">
            <w:pPr>
              <w:pStyle w:val="InstructionsText"/>
            </w:pPr>
            <w:r>
              <w:t>Je možné zařadit expozici do kategorie expozic podle čl. 112 písm. n) nařízení (EU) č. 575/2013?</w:t>
            </w:r>
          </w:p>
        </w:tc>
        <w:tc>
          <w:tcPr>
            <w:tcW w:w="1417" w:type="dxa"/>
            <w:shd w:val="clear" w:color="auto" w:fill="auto"/>
          </w:tcPr>
          <w:p w14:paraId="3F7C6980" w14:textId="77777777" w:rsidR="007266CF" w:rsidRPr="002A677E" w:rsidRDefault="007266CF" w:rsidP="007266CF">
            <w:pPr>
              <w:pStyle w:val="InstructionsText"/>
            </w:pPr>
            <w:r>
              <w:t xml:space="preserve">ANO </w:t>
            </w:r>
            <w:r>
              <w:rPr>
                <w:noProof/>
                <w:lang w:val="en-US" w:eastAsia="en-US"/>
              </w:rPr>
              <w:drawing>
                <wp:inline distT="0" distB="0" distL="0" distR="0" wp14:anchorId="6205D804" wp14:editId="153CF3FD">
                  <wp:extent cx="371475" cy="276225"/>
                  <wp:effectExtent l="0" t="0" r="9525" b="9525"/>
                  <wp:docPr id="3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2E820C1" w14:textId="77777777" w:rsidR="007266CF" w:rsidRPr="002A677E" w:rsidRDefault="007266CF" w:rsidP="007266CF">
            <w:pPr>
              <w:pStyle w:val="InstructionsText"/>
            </w:pPr>
          </w:p>
        </w:tc>
        <w:tc>
          <w:tcPr>
            <w:tcW w:w="4077" w:type="dxa"/>
            <w:shd w:val="clear" w:color="auto" w:fill="auto"/>
          </w:tcPr>
          <w:p w14:paraId="3E3D4A01" w14:textId="77777777" w:rsidR="007266CF" w:rsidRPr="002A677E" w:rsidRDefault="007266CF" w:rsidP="007266CF">
            <w:pPr>
              <w:pStyle w:val="InstructionsText"/>
            </w:pPr>
            <w:r>
              <w:t>Expozice vůči institucím a podnikům s krátkodobým úvěrovým hodnocením</w:t>
            </w:r>
          </w:p>
        </w:tc>
      </w:tr>
      <w:tr w:rsidR="007266CF" w:rsidRPr="002A677E" w14:paraId="35304376" w14:textId="77777777" w:rsidTr="007266CF">
        <w:tc>
          <w:tcPr>
            <w:tcW w:w="3761" w:type="dxa"/>
            <w:shd w:val="clear" w:color="auto" w:fill="auto"/>
          </w:tcPr>
          <w:p w14:paraId="30C2743C" w14:textId="77777777" w:rsidR="007266CF" w:rsidRPr="002A677E" w:rsidRDefault="007266CF" w:rsidP="007266CF">
            <w:pPr>
              <w:pStyle w:val="InstructionsText"/>
            </w:pPr>
            <w:r>
              <w:t xml:space="preserve">NE </w:t>
            </w:r>
            <w:r>
              <w:rPr>
                <w:noProof/>
                <w:lang w:val="en-US" w:eastAsia="en-US"/>
              </w:rPr>
              <w:drawing>
                <wp:inline distT="0" distB="0" distL="0" distR="0" wp14:anchorId="5E68DEEA" wp14:editId="783CA513">
                  <wp:extent cx="819150" cy="3524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EF1FDBC" w14:textId="77777777" w:rsidR="007266CF" w:rsidRPr="002A677E" w:rsidRDefault="007266CF" w:rsidP="007266CF">
            <w:pPr>
              <w:pStyle w:val="InstructionsText"/>
            </w:pPr>
          </w:p>
        </w:tc>
        <w:tc>
          <w:tcPr>
            <w:tcW w:w="1417" w:type="dxa"/>
            <w:shd w:val="clear" w:color="auto" w:fill="auto"/>
          </w:tcPr>
          <w:p w14:paraId="149FEA45" w14:textId="77777777" w:rsidR="007266CF" w:rsidRPr="002A677E" w:rsidRDefault="007266CF" w:rsidP="007266CF">
            <w:pPr>
              <w:pStyle w:val="InstructionsText"/>
            </w:pPr>
          </w:p>
        </w:tc>
        <w:tc>
          <w:tcPr>
            <w:tcW w:w="4077" w:type="dxa"/>
            <w:shd w:val="clear" w:color="auto" w:fill="auto"/>
          </w:tcPr>
          <w:p w14:paraId="55EB0BCB" w14:textId="77777777" w:rsidR="007266CF" w:rsidRPr="002A677E" w:rsidRDefault="007266CF" w:rsidP="007266CF">
            <w:pPr>
              <w:pStyle w:val="InstructionsText"/>
            </w:pPr>
          </w:p>
        </w:tc>
      </w:tr>
      <w:tr w:rsidR="007266CF" w:rsidRPr="002A677E" w14:paraId="49B23B80" w14:textId="77777777" w:rsidTr="007266CF">
        <w:tc>
          <w:tcPr>
            <w:tcW w:w="9255" w:type="dxa"/>
            <w:gridSpan w:val="3"/>
            <w:shd w:val="clear" w:color="auto" w:fill="auto"/>
          </w:tcPr>
          <w:p w14:paraId="1798E21B" w14:textId="77777777" w:rsidR="007266CF" w:rsidRPr="002A677E" w:rsidRDefault="007266CF" w:rsidP="007266CF">
            <w:pPr>
              <w:pStyle w:val="InstructionsText"/>
            </w:pPr>
            <w:r>
              <w:t>Níže uvedené kategorie expozic jsou navzájem oddělené. Zařazení do jedné z těchto kategorií je tedy zřejmé.</w:t>
            </w:r>
          </w:p>
          <w:p w14:paraId="5F26F049" w14:textId="77777777" w:rsidR="007266CF" w:rsidRPr="002A677E" w:rsidRDefault="007266CF" w:rsidP="007266CF">
            <w:pPr>
              <w:pStyle w:val="InstructionsText"/>
            </w:pPr>
            <w:r>
              <w:t>Expozice vůči ústředním vládám nebo centrálním bankám</w:t>
            </w:r>
          </w:p>
          <w:p w14:paraId="73DD0F7C" w14:textId="77777777" w:rsidR="007266CF" w:rsidRPr="002A677E" w:rsidRDefault="007266CF" w:rsidP="007266CF">
            <w:pPr>
              <w:pStyle w:val="InstructionsText"/>
            </w:pPr>
            <w:r>
              <w:t>Expozice vůči regionálním vládám nebo místním orgánům</w:t>
            </w:r>
          </w:p>
          <w:p w14:paraId="02A808A1" w14:textId="77777777" w:rsidR="007266CF" w:rsidRPr="002A677E" w:rsidRDefault="007266CF" w:rsidP="007266CF">
            <w:pPr>
              <w:pStyle w:val="InstructionsText"/>
            </w:pPr>
            <w:r>
              <w:t>Expozice vůči subjektům veřejného sektoru</w:t>
            </w:r>
          </w:p>
          <w:p w14:paraId="035FB047" w14:textId="77777777" w:rsidR="007266CF" w:rsidRPr="002A677E" w:rsidRDefault="007266CF" w:rsidP="007266CF">
            <w:pPr>
              <w:pStyle w:val="InstructionsText"/>
            </w:pPr>
            <w:r>
              <w:t>Expozice vůči mezinárodním rozvojovým bankám</w:t>
            </w:r>
          </w:p>
          <w:p w14:paraId="08FA5895" w14:textId="77777777" w:rsidR="007266CF" w:rsidRPr="002A677E" w:rsidRDefault="007266CF" w:rsidP="007266CF">
            <w:pPr>
              <w:pStyle w:val="InstructionsText"/>
            </w:pPr>
            <w:r>
              <w:t>Expozice vůči mezinárodním organizacím</w:t>
            </w:r>
          </w:p>
          <w:p w14:paraId="07250CDD" w14:textId="77777777" w:rsidR="007266CF" w:rsidRPr="002A677E" w:rsidRDefault="007266CF" w:rsidP="007266CF">
            <w:pPr>
              <w:pStyle w:val="InstructionsText"/>
            </w:pPr>
            <w:r>
              <w:t>Expozice vůči institucím</w:t>
            </w:r>
          </w:p>
          <w:p w14:paraId="336B1C1B" w14:textId="77777777" w:rsidR="007266CF" w:rsidRPr="002A677E" w:rsidRDefault="007266CF" w:rsidP="007266CF">
            <w:pPr>
              <w:pStyle w:val="InstructionsText"/>
            </w:pPr>
            <w:r>
              <w:t>Expozice vůči podnikům</w:t>
            </w:r>
          </w:p>
          <w:p w14:paraId="2F2215FC" w14:textId="77777777" w:rsidR="007266CF" w:rsidRPr="002A677E" w:rsidRDefault="007266CF" w:rsidP="007266CF">
            <w:pPr>
              <w:pStyle w:val="InstructionsText"/>
            </w:pPr>
            <w:r>
              <w:t>Retailové expozice</w:t>
            </w:r>
          </w:p>
        </w:tc>
      </w:tr>
    </w:tbl>
    <w:p w14:paraId="55A1829D" w14:textId="77777777" w:rsidR="007266CF" w:rsidRPr="002A677E" w:rsidRDefault="007266CF" w:rsidP="007266CF">
      <w:pPr>
        <w:spacing w:before="0" w:after="0"/>
        <w:jc w:val="left"/>
        <w:rPr>
          <w:rFonts w:ascii="Times New Roman" w:hAnsi="Times New Roman"/>
          <w:bCs/>
          <w:sz w:val="24"/>
        </w:rPr>
      </w:pPr>
      <w:r>
        <w:br w:type="page"/>
      </w:r>
    </w:p>
    <w:p w14:paraId="301CB2C7" w14:textId="77777777" w:rsidR="007266CF" w:rsidRPr="002A677E" w:rsidRDefault="007266CF" w:rsidP="007266CF">
      <w:pPr>
        <w:pStyle w:val="InstructionsText"/>
      </w:pPr>
    </w:p>
    <w:p w14:paraId="58034BCA" w14:textId="77777777" w:rsidR="007266CF" w:rsidRPr="002A677E" w:rsidRDefault="007266CF" w:rsidP="00A75C39">
      <w:pPr>
        <w:pStyle w:val="Instructionsberschrift2"/>
        <w:numPr>
          <w:ilvl w:val="2"/>
          <w:numId w:val="67"/>
        </w:numPr>
        <w:ind w:left="426" w:hanging="426"/>
        <w:rPr>
          <w:rFonts w:ascii="Times New Roman" w:hAnsi="Times New Roman" w:cs="Times New Roman"/>
          <w:sz w:val="24"/>
        </w:rPr>
      </w:pPr>
      <w:bookmarkStart w:id="92" w:name="_Toc116026739"/>
      <w:bookmarkStart w:id="93" w:name="_Toc119077896"/>
      <w:r>
        <w:rPr>
          <w:rFonts w:ascii="Times New Roman" w:hAnsi="Times New Roman"/>
          <w:sz w:val="24"/>
        </w:rPr>
        <w:t>Vyjasnění rozsahu některých zvláštních kategorií expozic uvedených v článku 112 nařízení (EU) č. 575/2013</w:t>
      </w:r>
      <w:bookmarkEnd w:id="92"/>
      <w:bookmarkEnd w:id="93"/>
    </w:p>
    <w:p w14:paraId="117F79E0" w14:textId="77777777" w:rsidR="007266CF" w:rsidRPr="002A677E" w:rsidRDefault="007266CF" w:rsidP="00A75C39">
      <w:pPr>
        <w:pStyle w:val="Instructionsberschrift2"/>
        <w:numPr>
          <w:ilvl w:val="4"/>
          <w:numId w:val="68"/>
        </w:numPr>
        <w:ind w:left="426" w:hanging="426"/>
        <w:rPr>
          <w:rFonts w:ascii="Times New Roman" w:hAnsi="Times New Roman" w:cs="Times New Roman"/>
          <w:sz w:val="24"/>
        </w:rPr>
      </w:pPr>
      <w:bookmarkStart w:id="94" w:name="_Toc116026740"/>
      <w:bookmarkStart w:id="95" w:name="_Toc119077897"/>
      <w:r>
        <w:rPr>
          <w:rFonts w:ascii="Times New Roman" w:hAnsi="Times New Roman"/>
          <w:sz w:val="24"/>
        </w:rPr>
        <w:t>Kategorie expozic „instituce“</w:t>
      </w:r>
      <w:bookmarkEnd w:id="94"/>
      <w:bookmarkEnd w:id="95"/>
    </w:p>
    <w:p w14:paraId="627332A8" w14:textId="77777777" w:rsidR="007266CF" w:rsidRPr="002A677E" w:rsidRDefault="007266CF" w:rsidP="007266CF">
      <w:pPr>
        <w:pStyle w:val="InstructionsText2"/>
        <w:numPr>
          <w:ilvl w:val="0"/>
          <w:numId w:val="0"/>
        </w:numPr>
        <w:ind w:left="1353" w:hanging="360"/>
      </w:pPr>
      <w:fldSimple w:instr=" seq paragraphs ">
        <w:r>
          <w:t>66</w:t>
        </w:r>
      </w:fldSimple>
      <w:r>
        <w:t>.</w:t>
      </w:r>
      <w:r>
        <w:tab/>
        <w:t>Expozice uvnitř skupiny uvedené v čl. 113 odst. 6 a 7 nařízení (EU) č. 575/2013 se vykazují takto:</w:t>
      </w:r>
    </w:p>
    <w:p w14:paraId="786B3E48" w14:textId="77777777" w:rsidR="007266CF" w:rsidRPr="002A677E" w:rsidRDefault="007266CF" w:rsidP="007266CF">
      <w:pPr>
        <w:pStyle w:val="InstructionsText2"/>
        <w:numPr>
          <w:ilvl w:val="0"/>
          <w:numId w:val="0"/>
        </w:numPr>
        <w:ind w:left="1353" w:hanging="360"/>
      </w:pPr>
      <w:fldSimple w:instr=" seq paragraphs ">
        <w:r>
          <w:t>67</w:t>
        </w:r>
      </w:fldSimple>
      <w:r>
        <w:t>.</w:t>
      </w:r>
      <w:r>
        <w:tab/>
        <w:t>Expozice, které splňují požadavky čl. 113 odst. 7 nařízení (EU) č. 575/2013, se vykazují v příslušných kategoriích expozic, v nichž by se vykazovaly, kdyby nebyly expozicemi uvnitř skupiny.</w:t>
      </w:r>
    </w:p>
    <w:p w14:paraId="45413589" w14:textId="77777777" w:rsidR="007266CF" w:rsidRPr="002A677E" w:rsidRDefault="007266CF" w:rsidP="007266CF">
      <w:pPr>
        <w:pStyle w:val="InstructionsText2"/>
        <w:numPr>
          <w:ilvl w:val="0"/>
          <w:numId w:val="0"/>
        </w:numPr>
        <w:ind w:left="1353" w:hanging="360"/>
      </w:pPr>
      <w:fldSimple w:instr=" seq paragraphs ">
        <w:r>
          <w:t>68</w:t>
        </w:r>
      </w:fldSimple>
      <w:r>
        <w:t>.</w:t>
      </w:r>
      <w:r>
        <w:tab/>
        <w:t>V souladu s čl. 113 odst. 6 a 7 nařízení (EU) č. 575/2013 „se může instituce s předchozím souhlasem příslušných orgánů rozhodnout, že nebude uplatňovat požadavky odstavce 1 tohoto článku na své expozice vůči protistraně, která je jejím mateřským podnikem, jejím dceřiným podnikem, dceřiným podnikem jejího mateřského podniku nebo podnikem ve vzájemném vztahu podle čl. 12 odst. 1 směrnice 83/349/EHS“. To znamená, že protistrany uvnitř skupiny nemusí být nutně institucemi, ale mohou být také podniky, které se zařazují do jiných kategorií expozic, např. se jedná o podniky pomocných služeb nebo podniky ve smyslu čl. 12 odst. 1 směrnice Rady 83/349/EHS</w:t>
      </w:r>
      <w:r>
        <w:footnoteReference w:id="3"/>
      </w:r>
      <w:r>
        <w:t>. Expozice uvnitř skupiny se tedy vykazují v odpovídající kategorii expozic.</w:t>
      </w:r>
    </w:p>
    <w:p w14:paraId="71AF9977" w14:textId="77777777" w:rsidR="007266CF" w:rsidRPr="002A677E" w:rsidRDefault="007266CF" w:rsidP="00A75C39">
      <w:pPr>
        <w:pStyle w:val="Instructionsberschrift2"/>
        <w:numPr>
          <w:ilvl w:val="4"/>
          <w:numId w:val="69"/>
        </w:numPr>
        <w:ind w:left="426" w:hanging="426"/>
        <w:rPr>
          <w:rFonts w:ascii="Times New Roman" w:hAnsi="Times New Roman" w:cs="Times New Roman"/>
          <w:sz w:val="24"/>
        </w:rPr>
      </w:pPr>
      <w:bookmarkStart w:id="96" w:name="_Toc116026741"/>
      <w:bookmarkStart w:id="97" w:name="_Toc119077898"/>
      <w:r>
        <w:rPr>
          <w:rFonts w:ascii="Times New Roman" w:hAnsi="Times New Roman"/>
          <w:sz w:val="24"/>
        </w:rPr>
        <w:t>Kategorie expozic „kryté dluhopisy“</w:t>
      </w:r>
      <w:bookmarkEnd w:id="96"/>
      <w:bookmarkEnd w:id="97"/>
    </w:p>
    <w:p w14:paraId="789F5C1E" w14:textId="77777777" w:rsidR="007266CF" w:rsidRPr="002A677E" w:rsidRDefault="007266CF" w:rsidP="007266CF">
      <w:pPr>
        <w:pStyle w:val="InstructionsText2"/>
        <w:numPr>
          <w:ilvl w:val="0"/>
          <w:numId w:val="0"/>
        </w:numPr>
        <w:ind w:left="1353" w:hanging="360"/>
      </w:pPr>
      <w:fldSimple w:instr=" seq paragraphs ">
        <w:r>
          <w:t>69</w:t>
        </w:r>
      </w:fldSimple>
      <w:r>
        <w:t>.</w:t>
      </w:r>
      <w:r>
        <w:tab/>
        <w:t>Expozice podle standardizovaného přístupu se zařazují do kategorie expozic „kryté dluhopisy“ takto:</w:t>
      </w:r>
    </w:p>
    <w:p w14:paraId="149DEEB3" w14:textId="77777777" w:rsidR="007266CF" w:rsidRPr="002A677E" w:rsidRDefault="007266CF" w:rsidP="007266CF">
      <w:pPr>
        <w:pStyle w:val="InstructionsText2"/>
        <w:numPr>
          <w:ilvl w:val="0"/>
          <w:numId w:val="0"/>
        </w:numPr>
        <w:ind w:left="1353" w:hanging="360"/>
      </w:pPr>
      <w:fldSimple w:instr=" seq paragraphs ">
        <w:r>
          <w:t>70</w:t>
        </w:r>
      </w:fldSimple>
      <w:r>
        <w:t>.</w:t>
      </w:r>
      <w:r>
        <w:tab/>
        <w:t>Do kategorie expozic „kryté dluhopisy“ se zařazují dluhopisy uvedené v čl. 52 odst. 4 směrnice Evropského parlamentu a Rady 2009/65/ES</w:t>
      </w:r>
      <w:r>
        <w:footnoteReference w:id="4"/>
      </w:r>
      <w:r>
        <w:t>, které splňují požadavky čl. 129 odst. 1 a 2 nařízení (EU) č. 575/2013. Splnění uvedených požadavků musí být ověřeno v každém jednotlivém případě. Dluhopisy uvedené v čl. 52 odst. 4 směrnice 2009/65/ES vydané před 31. prosincem 2007 se však rovněž zařazují do kategorie expozic „kryté dluhopisy“, a to podle čl. 129 odst. 6 nařízení (EU) č. 575/2013.</w:t>
      </w:r>
    </w:p>
    <w:p w14:paraId="09DB0FFD" w14:textId="77777777" w:rsidR="007266CF" w:rsidRPr="002A677E" w:rsidRDefault="007266CF" w:rsidP="00A75C39">
      <w:pPr>
        <w:pStyle w:val="Instructionsberschrift2"/>
        <w:numPr>
          <w:ilvl w:val="3"/>
          <w:numId w:val="70"/>
        </w:numPr>
        <w:ind w:left="426" w:hanging="426"/>
        <w:rPr>
          <w:rFonts w:ascii="Times New Roman" w:hAnsi="Times New Roman" w:cs="Times New Roman"/>
          <w:sz w:val="24"/>
        </w:rPr>
      </w:pPr>
      <w:bookmarkStart w:id="98" w:name="_Toc116026742"/>
      <w:bookmarkStart w:id="99" w:name="_Toc119077899"/>
      <w:r>
        <w:rPr>
          <w:rFonts w:ascii="Times New Roman" w:hAnsi="Times New Roman"/>
          <w:sz w:val="24"/>
        </w:rPr>
        <w:t>Kategorie expozic „subjekty kolektivního investování“</w:t>
      </w:r>
      <w:bookmarkEnd w:id="98"/>
      <w:bookmarkEnd w:id="99"/>
    </w:p>
    <w:p w14:paraId="340110E9" w14:textId="77777777" w:rsidR="007266CF" w:rsidRPr="002A677E" w:rsidRDefault="007266CF" w:rsidP="007266CF">
      <w:pPr>
        <w:pStyle w:val="InstructionsText2"/>
        <w:numPr>
          <w:ilvl w:val="0"/>
          <w:numId w:val="0"/>
        </w:numPr>
        <w:ind w:left="1353" w:hanging="360"/>
      </w:pPr>
      <w:r>
        <w:fldChar w:fldCharType="begin"/>
      </w:r>
      <w:r w:rsidRPr="006223CC">
        <w:rPr>
          <w:lang w:val="fr-FR"/>
        </w:rPr>
        <w:instrText xml:space="preserve"> seq paragraphs </w:instrText>
      </w:r>
      <w:r>
        <w:fldChar w:fldCharType="separate"/>
      </w:r>
      <w:r w:rsidRPr="006223CC">
        <w:rPr>
          <w:lang w:val="fr-FR"/>
        </w:rPr>
        <w:t>71</w:t>
      </w:r>
      <w:r>
        <w:fldChar w:fldCharType="end"/>
      </w:r>
      <w:r w:rsidRPr="006223CC">
        <w:rPr>
          <w:lang w:val="fr-FR"/>
        </w:rPr>
        <w:t>.</w:t>
      </w:r>
      <w:r w:rsidRPr="006223CC">
        <w:rPr>
          <w:lang w:val="fr-FR"/>
        </w:rPr>
        <w:tab/>
        <w:t>Je-li využita možnost uvedená v čl. 132a odst. 2 nařízení (EU) č. 575/2013, expozice ve formě podílových jednotek nebo akcií v subjektech kolektivního investování se vykazují jakožto rozvahové položky podle čl. 111 odst. </w:t>
      </w:r>
      <w:r>
        <w:t xml:space="preserve">1 první věty nařízení (EU) č. 575/2013. </w:t>
      </w:r>
    </w:p>
    <w:p w14:paraId="27F296BC" w14:textId="77777777" w:rsidR="007266CF" w:rsidRPr="002A677E" w:rsidRDefault="007266CF" w:rsidP="00A75C39">
      <w:pPr>
        <w:pStyle w:val="Instructionsberschrift2"/>
        <w:numPr>
          <w:ilvl w:val="2"/>
          <w:numId w:val="71"/>
        </w:numPr>
        <w:rPr>
          <w:rFonts w:ascii="Times New Roman" w:hAnsi="Times New Roman" w:cs="Times New Roman"/>
          <w:sz w:val="24"/>
        </w:rPr>
      </w:pPr>
      <w:bookmarkStart w:id="100" w:name="_Toc116026743"/>
      <w:bookmarkStart w:id="101" w:name="_Toc119077900"/>
      <w:r>
        <w:rPr>
          <w:rFonts w:ascii="Times New Roman" w:hAnsi="Times New Roman"/>
          <w:sz w:val="24"/>
        </w:rPr>
        <w:lastRenderedPageBreak/>
        <w:t>Pokyny pro konkrétní pozice</w:t>
      </w:r>
      <w:bookmarkEnd w:id="100"/>
      <w:bookmarkEnd w:id="10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7266CF" w:rsidRPr="002A677E" w14:paraId="6BAF16F3" w14:textId="77777777" w:rsidTr="007266CF">
        <w:trPr>
          <w:trHeight w:val="581"/>
        </w:trPr>
        <w:tc>
          <w:tcPr>
            <w:tcW w:w="9828" w:type="dxa"/>
            <w:gridSpan w:val="2"/>
            <w:shd w:val="clear" w:color="auto" w:fill="CCCCCC"/>
          </w:tcPr>
          <w:p w14:paraId="208D66D7" w14:textId="77777777" w:rsidR="007266CF" w:rsidRPr="002A677E" w:rsidRDefault="007266CF" w:rsidP="007266CF">
            <w:pPr>
              <w:pStyle w:val="InstructionsText"/>
            </w:pPr>
            <w:r>
              <w:t>Sloupce</w:t>
            </w:r>
          </w:p>
        </w:tc>
      </w:tr>
      <w:tr w:rsidR="007266CF" w:rsidRPr="002A677E" w14:paraId="5DE1D430" w14:textId="77777777" w:rsidTr="007266CF">
        <w:tc>
          <w:tcPr>
            <w:tcW w:w="1188" w:type="dxa"/>
          </w:tcPr>
          <w:p w14:paraId="3710681B" w14:textId="77777777" w:rsidR="007266CF" w:rsidRPr="002A677E" w:rsidRDefault="007266CF" w:rsidP="007266CF">
            <w:pPr>
              <w:pStyle w:val="InstructionsText"/>
            </w:pPr>
            <w:r>
              <w:t>0010</w:t>
            </w:r>
          </w:p>
        </w:tc>
        <w:tc>
          <w:tcPr>
            <w:tcW w:w="8640" w:type="dxa"/>
          </w:tcPr>
          <w:p w14:paraId="0B76A928"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14:paraId="624412BC" w14:textId="77777777" w:rsidR="007266CF" w:rsidRPr="002A677E" w:rsidRDefault="007266CF" w:rsidP="007266CF">
            <w:pPr>
              <w:pStyle w:val="InstructionsText"/>
            </w:pPr>
            <w:r>
              <w:t>Hodnota expozice vypočítaná podle článku 111 nařízení (EU) č. 575/2013 bez zohlednění úprav ocenění a rezerv, odpočtů, konverzních faktorů a dopadu technik snižování úvěrového rizika s následujícími předpoklady, které vyplývají z čl. 111 odst. 2 nařízení (EU) č. 575/2013:</w:t>
            </w:r>
          </w:p>
          <w:p w14:paraId="688FA0C5" w14:textId="77777777" w:rsidR="007266CF" w:rsidRPr="002A677E" w:rsidRDefault="007266CF" w:rsidP="00A75C39">
            <w:pPr>
              <w:pStyle w:val="InstructionsText"/>
              <w:numPr>
                <w:ilvl w:val="0"/>
                <w:numId w:val="23"/>
              </w:numPr>
            </w:pPr>
            <w:r>
              <w:t xml:space="preserve">V případě derivátových nástrojů, repo obchodů, půjček či výpůjček cenných papírů nebo komodit, transakcí s delší dobou vypořádání a maržových obchodů podléhajících úvěrovému riziku protistrany (část třetí hlava II kapitola 4 nebo kapitola 6 nařízení (EU) č. 575/2013) odpovídá původní expozice hodnotě expozice pro účely úvěrového rizika protistrany (viz pokyny ke sloupci 0210). </w:t>
            </w:r>
          </w:p>
          <w:p w14:paraId="691783AD" w14:textId="77777777" w:rsidR="007266CF" w:rsidRPr="002A677E" w:rsidRDefault="007266CF" w:rsidP="00A75C39">
            <w:pPr>
              <w:pStyle w:val="InstructionsText"/>
              <w:numPr>
                <w:ilvl w:val="0"/>
                <w:numId w:val="23"/>
              </w:numPr>
            </w:pPr>
            <w:r>
              <w:t>Hodnoty expozic u pronájmů se určují podle čl. 134 odst. 7 nařízení (EU) č. 575/2013. Zbytková hodnota se uvádí v její účetní hodnotě (tj. diskontované odhadované zbytkové hodnotě na konci období pronájmu).</w:t>
            </w:r>
          </w:p>
          <w:p w14:paraId="46236315" w14:textId="77777777" w:rsidR="007266CF" w:rsidRPr="002A677E" w:rsidRDefault="007266CF" w:rsidP="00A75C39">
            <w:pPr>
              <w:pStyle w:val="InstructionsText"/>
              <w:numPr>
                <w:ilvl w:val="0"/>
                <w:numId w:val="23"/>
              </w:numPr>
            </w:pPr>
            <w:r>
              <w:t>V případě rozvahového započtení stanoveného v článku 219 nařízení (EU) č. 575/2013 se hodnoty expozic vykazují při zohlednění přijatého hotovostního kolaterálu.</w:t>
            </w:r>
          </w:p>
          <w:p w14:paraId="569CF14C" w14:textId="77777777" w:rsidR="007266CF" w:rsidRPr="002A677E" w:rsidRDefault="007266CF" w:rsidP="007266CF">
            <w:pPr>
              <w:pStyle w:val="InstructionsText"/>
            </w:pPr>
            <w:r>
              <w:t>Pokud instituce využijí výjimku podle čl. 473a odst. 7a nařízení (EU) č. 575/2013, vykážou v tomto sloupci v kategorii expozic „další položky“ částku AB</w:t>
            </w:r>
            <w:r>
              <w:rPr>
                <w:vertAlign w:val="subscript"/>
              </w:rPr>
              <w:t>SA</w:t>
            </w:r>
            <w:r>
              <w:t>, na kterou se vztahuje riziková váha 100 %.</w:t>
            </w:r>
          </w:p>
        </w:tc>
      </w:tr>
      <w:tr w:rsidR="007266CF" w:rsidRPr="006223CC" w14:paraId="2928CF62" w14:textId="77777777" w:rsidTr="007266CF">
        <w:tc>
          <w:tcPr>
            <w:tcW w:w="1188" w:type="dxa"/>
          </w:tcPr>
          <w:p w14:paraId="3B961EA3" w14:textId="77777777" w:rsidR="007266CF" w:rsidRPr="002A677E" w:rsidRDefault="007266CF" w:rsidP="007266CF">
            <w:pPr>
              <w:pStyle w:val="InstructionsText"/>
            </w:pPr>
            <w:r>
              <w:t>0030</w:t>
            </w:r>
          </w:p>
        </w:tc>
        <w:tc>
          <w:tcPr>
            <w:tcW w:w="8640" w:type="dxa"/>
          </w:tcPr>
          <w:p w14:paraId="09222DF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Úpravy ocenění a rezervy související s původní expozicí</w:t>
            </w:r>
          </w:p>
          <w:p w14:paraId="7F49C234"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Články 24 a 111 nařízení (EU) č. 575/2013</w:t>
            </w:r>
          </w:p>
          <w:p w14:paraId="4BAC398E" w14:textId="77777777" w:rsidR="007266CF" w:rsidRPr="006223CC" w:rsidRDefault="007266CF" w:rsidP="007266CF">
            <w:pPr>
              <w:pStyle w:val="InstructionsText"/>
              <w:rPr>
                <w:lang w:val="fr-FR"/>
              </w:rPr>
            </w:pPr>
            <w:r w:rsidRPr="006223CC">
              <w:rPr>
                <w:lang w:val="fr-FR"/>
              </w:rPr>
              <w:t>Úpravy ocenění a rezervy na krytí úvěrových ztrát (úprava o úvěrové riziko v souladu s článkem 110) provedené v souladu s účetním rámcem, kterému podléhá vykazující subjekt, jakož i obezřetnostní úpravy ocenění (dodatečné úpravy ocenění v souladu s články 34 a 105, částky odečtené v souladu s čl. 36 odst. 1 písm. m) a další snížení kapitálu související s položkou aktiv).</w:t>
            </w:r>
          </w:p>
        </w:tc>
      </w:tr>
      <w:tr w:rsidR="007266CF" w:rsidRPr="002A677E" w14:paraId="76022426" w14:textId="77777777" w:rsidTr="007266CF">
        <w:tc>
          <w:tcPr>
            <w:tcW w:w="1188" w:type="dxa"/>
          </w:tcPr>
          <w:p w14:paraId="1DA8B16E" w14:textId="77777777" w:rsidR="007266CF" w:rsidRPr="002A677E" w:rsidRDefault="007266CF" w:rsidP="007266CF">
            <w:pPr>
              <w:pStyle w:val="InstructionsText"/>
            </w:pPr>
            <w:r>
              <w:t>0040</w:t>
            </w:r>
          </w:p>
        </w:tc>
        <w:tc>
          <w:tcPr>
            <w:tcW w:w="8640" w:type="dxa"/>
          </w:tcPr>
          <w:p w14:paraId="6BAB7FBB" w14:textId="77777777" w:rsidR="007266CF" w:rsidRPr="002A677E" w:rsidRDefault="007266CF" w:rsidP="007266CF">
            <w:pPr>
              <w:pStyle w:val="InstructionsText"/>
            </w:pPr>
            <w:r>
              <w:rPr>
                <w:rStyle w:val="InstructionsTabelleberschrift"/>
                <w:rFonts w:ascii="Times New Roman" w:hAnsi="Times New Roman"/>
                <w:sz w:val="24"/>
              </w:rPr>
              <w:t>Expozice bez úprav ocenění a rezerv</w:t>
            </w:r>
          </w:p>
          <w:p w14:paraId="2D5020AC" w14:textId="77777777" w:rsidR="007266CF" w:rsidRPr="002A677E" w:rsidRDefault="007266CF" w:rsidP="007266CF">
            <w:pPr>
              <w:pStyle w:val="InstructionsText"/>
            </w:pPr>
            <w:r>
              <w:t>Součet hodnot uvedených v sloupcích 0010 a 0030</w:t>
            </w:r>
          </w:p>
        </w:tc>
      </w:tr>
      <w:tr w:rsidR="007266CF" w:rsidRPr="006223CC" w14:paraId="157233F2" w14:textId="77777777" w:rsidTr="007266CF">
        <w:tc>
          <w:tcPr>
            <w:tcW w:w="1188" w:type="dxa"/>
          </w:tcPr>
          <w:p w14:paraId="4B31B273" w14:textId="77777777" w:rsidR="007266CF" w:rsidRPr="002A677E" w:rsidRDefault="007266CF" w:rsidP="007266CF">
            <w:pPr>
              <w:pStyle w:val="InstructionsText"/>
            </w:pPr>
            <w:r>
              <w:t>0050 – 0100</w:t>
            </w:r>
          </w:p>
        </w:tc>
        <w:tc>
          <w:tcPr>
            <w:tcW w:w="8640" w:type="dxa"/>
          </w:tcPr>
          <w:p w14:paraId="4C97CE4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14:paraId="76D248B8" w14:textId="77777777" w:rsidR="007266CF" w:rsidRPr="002A677E" w:rsidRDefault="007266CF" w:rsidP="007266CF">
            <w:pPr>
              <w:pStyle w:val="InstructionsText"/>
            </w:pPr>
            <w:r>
              <w:t>Techniky snižování úvěrového rizika definovaného v čl. 4 odst. 1 bodě 57 nařízení (EU) č. 575/2013, které snižují úvěrové riziko expozice nebo expozic prostřednictvím substituce expozic, jak je popsáno níže v položce „substituce expozice v důsledku snižování úvěrového rizika“.</w:t>
            </w:r>
          </w:p>
          <w:p w14:paraId="7C3CB87F" w14:textId="77777777" w:rsidR="007266CF" w:rsidRPr="002A677E" w:rsidRDefault="007266CF" w:rsidP="007266CF">
            <w:pPr>
              <w:pStyle w:val="InstructionsText"/>
            </w:pPr>
            <w:r>
              <w:t>Má-li použití kolaterálu dopad na hodnotu expozice (např. pokud je používán při technikách snižování úvěrového rizika se substitučními vlivy na expozici), jeho výše je omezena hodnotou expozice.</w:t>
            </w:r>
          </w:p>
          <w:p w14:paraId="407ED181" w14:textId="77777777" w:rsidR="007266CF" w:rsidRPr="006223CC" w:rsidRDefault="007266CF" w:rsidP="007266CF">
            <w:pPr>
              <w:pStyle w:val="InstructionsText"/>
              <w:rPr>
                <w:lang w:val="fr-FR"/>
              </w:rPr>
            </w:pPr>
            <w:r w:rsidRPr="006223CC">
              <w:rPr>
                <w:lang w:val="fr-FR"/>
              </w:rPr>
              <w:t>Vykazují se zde tyto položky:</w:t>
            </w:r>
          </w:p>
          <w:p w14:paraId="5C3814F5" w14:textId="77777777" w:rsidR="007266CF" w:rsidRPr="006223CC" w:rsidRDefault="007266CF" w:rsidP="007266CF">
            <w:pPr>
              <w:pStyle w:val="InstructionsText"/>
              <w:rPr>
                <w:lang w:val="fr-FR"/>
              </w:rPr>
            </w:pPr>
            <w:r w:rsidRPr="006223CC">
              <w:rPr>
                <w:rFonts w:ascii="Arial" w:hAnsi="Arial"/>
                <w:lang w:val="fr-FR"/>
              </w:rPr>
              <w:t>-</w:t>
            </w:r>
            <w:r w:rsidRPr="006223CC">
              <w:rPr>
                <w:lang w:val="fr-FR"/>
              </w:rPr>
              <w:tab/>
              <w:t>kolaterál použitý v souladu s jednoduchou metodou finančního kolaterálu,</w:t>
            </w:r>
          </w:p>
          <w:p w14:paraId="6E88E5B3" w14:textId="77777777" w:rsidR="007266CF" w:rsidRPr="006223CC" w:rsidRDefault="007266CF" w:rsidP="007266CF">
            <w:pPr>
              <w:pStyle w:val="InstructionsText"/>
              <w:rPr>
                <w:lang w:val="fr-FR"/>
              </w:rPr>
            </w:pPr>
            <w:r w:rsidRPr="006223CC">
              <w:rPr>
                <w:rFonts w:ascii="Arial" w:hAnsi="Arial"/>
                <w:lang w:val="fr-FR"/>
              </w:rPr>
              <w:lastRenderedPageBreak/>
              <w:t>-</w:t>
            </w:r>
            <w:r w:rsidRPr="006223CC">
              <w:rPr>
                <w:lang w:val="fr-FR"/>
              </w:rPr>
              <w:tab/>
              <w:t>způsobilé osobní zajištění úvěrového rizika.</w:t>
            </w:r>
          </w:p>
          <w:p w14:paraId="14E0F70C" w14:textId="77777777" w:rsidR="007266CF" w:rsidRPr="006223CC" w:rsidRDefault="007266CF" w:rsidP="007266CF">
            <w:pPr>
              <w:pStyle w:val="InstructionsText"/>
              <w:rPr>
                <w:lang w:val="fr-FR"/>
              </w:rPr>
            </w:pPr>
            <w:r w:rsidRPr="006223CC">
              <w:rPr>
                <w:lang w:val="fr-FR"/>
              </w:rPr>
              <w:t>Viz také pokyny uvedené v bodě 3.1.1.</w:t>
            </w:r>
          </w:p>
        </w:tc>
      </w:tr>
      <w:tr w:rsidR="007266CF" w:rsidRPr="002A677E" w14:paraId="6A0589BA" w14:textId="77777777" w:rsidTr="007266CF">
        <w:tc>
          <w:tcPr>
            <w:tcW w:w="1188" w:type="dxa"/>
          </w:tcPr>
          <w:p w14:paraId="593F8150" w14:textId="77777777" w:rsidR="007266CF" w:rsidRPr="002A677E" w:rsidRDefault="007266CF" w:rsidP="007266CF">
            <w:pPr>
              <w:pStyle w:val="InstructionsText"/>
            </w:pPr>
            <w:r>
              <w:lastRenderedPageBreak/>
              <w:t>0050 – 0060</w:t>
            </w:r>
          </w:p>
        </w:tc>
        <w:tc>
          <w:tcPr>
            <w:tcW w:w="8640" w:type="dxa"/>
          </w:tcPr>
          <w:p w14:paraId="7450AEF4"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Osobní zajištění úvěrového rizika: upravené hodnoty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654BF20" w14:textId="77777777" w:rsidR="007266CF" w:rsidRPr="002A677E" w:rsidRDefault="007266CF" w:rsidP="007266CF">
            <w:pPr>
              <w:pStyle w:val="InstructionsText"/>
            </w:pPr>
            <w:r>
              <w:t>Článek 235 nařízení (EU) č. 575/2013</w:t>
            </w:r>
          </w:p>
          <w:p w14:paraId="0C350B77" w14:textId="77777777" w:rsidR="007266CF" w:rsidRPr="002A677E" w:rsidRDefault="007266CF" w:rsidP="007266CF">
            <w:pPr>
              <w:pStyle w:val="InstructionsText"/>
            </w:pPr>
            <w:r>
              <w:t>Ustanovení čl. 239 odst. 3 nařízení (EU) č. 575/2013 obsahuje vzorec pro výpočet upravené hodnoty G</w:t>
            </w:r>
            <w:r>
              <w:rPr>
                <w:vertAlign w:val="subscript"/>
              </w:rPr>
              <w:t>A</w:t>
            </w:r>
            <w:r>
              <w:t xml:space="preserve"> osobního zajištění úvěrového rizika.</w:t>
            </w:r>
          </w:p>
        </w:tc>
      </w:tr>
      <w:tr w:rsidR="007266CF" w:rsidRPr="002A677E" w14:paraId="68F2920B" w14:textId="77777777" w:rsidTr="007266CF">
        <w:tc>
          <w:tcPr>
            <w:tcW w:w="1188" w:type="dxa"/>
          </w:tcPr>
          <w:p w14:paraId="718198EE" w14:textId="77777777" w:rsidR="007266CF" w:rsidRPr="002A677E" w:rsidRDefault="007266CF" w:rsidP="007266CF">
            <w:pPr>
              <w:pStyle w:val="InstructionsText"/>
            </w:pPr>
            <w:r>
              <w:t>0050</w:t>
            </w:r>
          </w:p>
        </w:tc>
        <w:tc>
          <w:tcPr>
            <w:tcW w:w="8640" w:type="dxa"/>
          </w:tcPr>
          <w:p w14:paraId="13D4E60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Záruky</w:t>
            </w:r>
          </w:p>
          <w:p w14:paraId="6989BF9C" w14:textId="77777777" w:rsidR="007266CF" w:rsidRPr="002A677E" w:rsidRDefault="007266CF" w:rsidP="007266CF">
            <w:pPr>
              <w:pStyle w:val="InstructionsText"/>
            </w:pPr>
            <w:r>
              <w:t>Článek 203 nařízení (EU) č. 575/2013</w:t>
            </w:r>
          </w:p>
          <w:p w14:paraId="6488A36E" w14:textId="77777777" w:rsidR="007266CF" w:rsidRPr="002A677E" w:rsidRDefault="007266CF" w:rsidP="007266CF">
            <w:pPr>
              <w:pStyle w:val="InstructionsText"/>
              <w:rPr>
                <w:b/>
                <w:u w:val="single"/>
              </w:rPr>
            </w:pPr>
            <w:r>
              <w:t>Osobní zajištění úvěrového rizika ve smyslu čl. 4 odst. 1 bodu 59 nařízení (EU) č. 575/2013, jež nezahrnuje úvěrové deriváty.</w:t>
            </w:r>
          </w:p>
        </w:tc>
      </w:tr>
      <w:tr w:rsidR="007266CF" w:rsidRPr="002A677E" w14:paraId="6D1AA0E3" w14:textId="77777777" w:rsidTr="007266CF">
        <w:tc>
          <w:tcPr>
            <w:tcW w:w="1188" w:type="dxa"/>
          </w:tcPr>
          <w:p w14:paraId="3CD99D18" w14:textId="77777777" w:rsidR="007266CF" w:rsidRPr="002A677E" w:rsidRDefault="007266CF" w:rsidP="007266CF">
            <w:pPr>
              <w:pStyle w:val="InstructionsText"/>
            </w:pPr>
            <w:r>
              <w:t>0060</w:t>
            </w:r>
          </w:p>
        </w:tc>
        <w:tc>
          <w:tcPr>
            <w:tcW w:w="8640" w:type="dxa"/>
          </w:tcPr>
          <w:p w14:paraId="036C672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Úvěrové deriváty</w:t>
            </w:r>
          </w:p>
          <w:p w14:paraId="70BF11CC" w14:textId="77777777" w:rsidR="007266CF" w:rsidRPr="002A677E" w:rsidRDefault="007266CF" w:rsidP="007266CF">
            <w:pPr>
              <w:pStyle w:val="InstructionsText"/>
              <w:rPr>
                <w:b/>
                <w:u w:val="single"/>
              </w:rPr>
            </w:pPr>
            <w:r>
              <w:t>Článek 204 nařízení (EU) č. 575/2013</w:t>
            </w:r>
          </w:p>
        </w:tc>
      </w:tr>
      <w:tr w:rsidR="007266CF" w:rsidRPr="002A677E" w14:paraId="4F91F292" w14:textId="77777777" w:rsidTr="007266CF">
        <w:tc>
          <w:tcPr>
            <w:tcW w:w="1188" w:type="dxa"/>
          </w:tcPr>
          <w:p w14:paraId="319B2651" w14:textId="77777777" w:rsidR="007266CF" w:rsidRPr="002A677E" w:rsidRDefault="007266CF" w:rsidP="007266CF">
            <w:pPr>
              <w:pStyle w:val="InstructionsText"/>
            </w:pPr>
            <w:r>
              <w:t>0070 – 0080</w:t>
            </w:r>
          </w:p>
          <w:p w14:paraId="2819C306" w14:textId="77777777" w:rsidR="007266CF" w:rsidRPr="002A677E" w:rsidRDefault="007266CF" w:rsidP="007266CF">
            <w:pPr>
              <w:pStyle w:val="InstructionsText"/>
            </w:pPr>
          </w:p>
        </w:tc>
        <w:tc>
          <w:tcPr>
            <w:tcW w:w="8640" w:type="dxa"/>
          </w:tcPr>
          <w:p w14:paraId="7F5B8F99"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Majetkové zajištění úvěrového rizika</w:t>
            </w:r>
          </w:p>
          <w:p w14:paraId="76A0D94A" w14:textId="77777777" w:rsidR="007266CF" w:rsidRPr="002A677E" w:rsidRDefault="007266CF" w:rsidP="007266CF">
            <w:pPr>
              <w:pStyle w:val="InstructionsText"/>
            </w:pPr>
            <w:r>
              <w:t>Tyto sloupce se týkají majetkového zajištění úvěrového rizika ve smyslu čl. 4 odst. 1 bodu 58 nařízení (EU) č. 575/2013, jež spadá pod pravidla stanovená v článcích 196, 197 a 200 uvedeného nařízení. V těchto částkách nejsou zohledněny rámcové dohody o započtení (které jsou již zahrnuty v původní expozici před vynásobením konverzními faktory).</w:t>
            </w:r>
          </w:p>
          <w:p w14:paraId="13BCDDB4" w14:textId="77777777" w:rsidR="007266CF" w:rsidRPr="002A677E" w:rsidRDefault="007266CF" w:rsidP="007266CF">
            <w:pPr>
              <w:pStyle w:val="InstructionsText"/>
            </w:pPr>
            <w:r>
              <w:t>Investice do úvěrových dluhových cenných papírů uvedených v článku 218 nařízení (EU) č. 575/2013 a pozice v rozvahovém započtení vyplývající z použitelných dohod o rozvahovém započtení podle článku 219 nařízení (EU) č. 575/2013 se považují za hotovostní kolaterál.</w:t>
            </w:r>
          </w:p>
        </w:tc>
      </w:tr>
      <w:tr w:rsidR="007266CF" w:rsidRPr="002A677E" w14:paraId="278556B5" w14:textId="77777777" w:rsidTr="007266CF">
        <w:tc>
          <w:tcPr>
            <w:tcW w:w="1188" w:type="dxa"/>
          </w:tcPr>
          <w:p w14:paraId="2D139D03" w14:textId="77777777" w:rsidR="007266CF" w:rsidRPr="002A677E" w:rsidRDefault="007266CF" w:rsidP="007266CF">
            <w:pPr>
              <w:pStyle w:val="InstructionsText"/>
            </w:pPr>
            <w:r>
              <w:t>0070</w:t>
            </w:r>
          </w:p>
        </w:tc>
        <w:tc>
          <w:tcPr>
            <w:tcW w:w="8640" w:type="dxa"/>
          </w:tcPr>
          <w:p w14:paraId="647B4AFD" w14:textId="77777777" w:rsidR="007266CF" w:rsidRPr="002A677E" w:rsidRDefault="007266CF" w:rsidP="007266CF">
            <w:pPr>
              <w:pStyle w:val="InstructionsText"/>
            </w:pPr>
            <w:r>
              <w:rPr>
                <w:rStyle w:val="InstructionsTabelleberschrift"/>
                <w:rFonts w:ascii="Times New Roman" w:hAnsi="Times New Roman"/>
                <w:sz w:val="24"/>
              </w:rPr>
              <w:t>Finanční kolaterál: jednoduchá metoda</w:t>
            </w:r>
          </w:p>
          <w:p w14:paraId="68F8B003" w14:textId="77777777" w:rsidR="007266CF" w:rsidRPr="002A677E" w:rsidRDefault="007266CF" w:rsidP="007266CF">
            <w:pPr>
              <w:pStyle w:val="InstructionsText"/>
            </w:pPr>
            <w:r>
              <w:t>Ustanovení čl. 222 odst. 1 a 2 nařízení (EU) č. 575/2013.</w:t>
            </w:r>
          </w:p>
        </w:tc>
      </w:tr>
      <w:tr w:rsidR="007266CF" w:rsidRPr="002A677E" w14:paraId="4C8035F0" w14:textId="77777777" w:rsidTr="007266CF">
        <w:tc>
          <w:tcPr>
            <w:tcW w:w="1188" w:type="dxa"/>
          </w:tcPr>
          <w:p w14:paraId="415C1BA5" w14:textId="77777777" w:rsidR="007266CF" w:rsidRPr="002A677E" w:rsidRDefault="007266CF" w:rsidP="007266CF">
            <w:pPr>
              <w:pStyle w:val="InstructionsText"/>
            </w:pPr>
            <w:r>
              <w:t>0080</w:t>
            </w:r>
          </w:p>
        </w:tc>
        <w:tc>
          <w:tcPr>
            <w:tcW w:w="8640" w:type="dxa"/>
          </w:tcPr>
          <w:p w14:paraId="059D6422"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majetkové zajištění úvěrového rizika</w:t>
            </w:r>
          </w:p>
          <w:p w14:paraId="02172201" w14:textId="77777777" w:rsidR="007266CF" w:rsidRPr="002A677E" w:rsidRDefault="007266CF" w:rsidP="007266CF">
            <w:pPr>
              <w:pStyle w:val="InstructionsText"/>
            </w:pPr>
            <w:r>
              <w:t>Článek 232 nařízení (EU) č. 575/2013.</w:t>
            </w:r>
          </w:p>
        </w:tc>
      </w:tr>
      <w:tr w:rsidR="007266CF" w:rsidRPr="006223CC" w14:paraId="16993D5F" w14:textId="77777777" w:rsidTr="007266CF">
        <w:tc>
          <w:tcPr>
            <w:tcW w:w="1188" w:type="dxa"/>
          </w:tcPr>
          <w:p w14:paraId="6DA20D28" w14:textId="77777777" w:rsidR="007266CF" w:rsidRPr="002A677E" w:rsidRDefault="007266CF" w:rsidP="007266CF">
            <w:pPr>
              <w:pStyle w:val="InstructionsText"/>
            </w:pPr>
            <w:r>
              <w:t>0090 – 0100</w:t>
            </w:r>
          </w:p>
        </w:tc>
        <w:tc>
          <w:tcPr>
            <w:tcW w:w="8640" w:type="dxa"/>
          </w:tcPr>
          <w:p w14:paraId="7CDFA79F"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SUBSTITUCE EXPOZICE V DŮSLEDKU SNIŽOVÁNÍ ÚVĚROVÉHO RIZIKA</w:t>
            </w:r>
          </w:p>
          <w:p w14:paraId="2B2E74C6" w14:textId="77777777" w:rsidR="007266CF" w:rsidRPr="006223CC" w:rsidRDefault="007266CF" w:rsidP="007266CF">
            <w:pPr>
              <w:pStyle w:val="InstructionsText"/>
              <w:rPr>
                <w:lang w:val="fr-FR"/>
              </w:rPr>
            </w:pPr>
            <w:r>
              <w:t>Ustanovení čl. 222 odst. 3, čl. 235 odst. </w:t>
            </w:r>
            <w:r w:rsidRPr="006223CC">
              <w:rPr>
                <w:lang w:val="fr-FR"/>
              </w:rPr>
              <w:t>1 a 2 a článku 236 nařízení (EU) č. 575/2013</w:t>
            </w:r>
          </w:p>
          <w:p w14:paraId="3042AD11" w14:textId="77777777" w:rsidR="007266CF" w:rsidRPr="006223CC" w:rsidRDefault="007266CF" w:rsidP="007266CF">
            <w:pPr>
              <w:pStyle w:val="InstructionsText"/>
              <w:rPr>
                <w:lang w:val="fr-FR"/>
              </w:rPr>
            </w:pPr>
            <w:r w:rsidRPr="006223CC">
              <w:rPr>
                <w:lang w:val="fr-FR"/>
              </w:rPr>
              <w:t>Odtoky odpovídají kryté části původní expozice před vynásobením konverzními faktory, která se odečítá od kategorie expozic dlužníka a následně se zařazuje do kategorie expozic poskytovatele zajištění. Tato částka se považuje za přítok do kategorie expozic poskytovatele zajištění.</w:t>
            </w:r>
          </w:p>
          <w:p w14:paraId="08F6368D" w14:textId="77777777" w:rsidR="007266CF" w:rsidRPr="006223CC" w:rsidRDefault="007266CF" w:rsidP="007266CF">
            <w:pPr>
              <w:pStyle w:val="InstructionsText"/>
              <w:rPr>
                <w:b/>
                <w:lang w:val="fr-FR"/>
              </w:rPr>
            </w:pPr>
            <w:r w:rsidRPr="006223CC">
              <w:rPr>
                <w:lang w:val="fr-FR"/>
              </w:rPr>
              <w:t>Vykazují se i přítoky a odtoky v rámci téže kategorie expozic.</w:t>
            </w:r>
          </w:p>
          <w:p w14:paraId="68977CBD" w14:textId="77777777" w:rsidR="007266CF" w:rsidRPr="006223CC" w:rsidRDefault="007266CF" w:rsidP="007266CF">
            <w:pPr>
              <w:pStyle w:val="InstructionsText"/>
              <w:rPr>
                <w:lang w:val="fr-FR"/>
              </w:rPr>
            </w:pPr>
            <w:r w:rsidRPr="006223CC">
              <w:rPr>
                <w:lang w:val="fr-FR"/>
              </w:rPr>
              <w:t>Zohledňují se expozice vyplývající z možných přítoků do a odtoků z jiných šablon.</w:t>
            </w:r>
          </w:p>
        </w:tc>
      </w:tr>
      <w:tr w:rsidR="007266CF" w:rsidRPr="002A677E" w14:paraId="37FD9E2F" w14:textId="77777777" w:rsidTr="007266CF">
        <w:tc>
          <w:tcPr>
            <w:tcW w:w="1188" w:type="dxa"/>
          </w:tcPr>
          <w:p w14:paraId="0FD42FC5" w14:textId="77777777" w:rsidR="007266CF" w:rsidRPr="002A677E" w:rsidRDefault="007266CF" w:rsidP="007266CF">
            <w:pPr>
              <w:pStyle w:val="InstructionsText"/>
            </w:pPr>
            <w:r>
              <w:t>0110</w:t>
            </w:r>
          </w:p>
        </w:tc>
        <w:tc>
          <w:tcPr>
            <w:tcW w:w="8640" w:type="dxa"/>
          </w:tcPr>
          <w:p w14:paraId="5A394C44"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ČISTÁ EXPOZICE PO ZOHLEDNĚNÍ SUBSTITUČNÍCH VLIVŮ SNIŽOVÁNÍ ÚVĚROVÉHO RIZIKA PŘED VYNÁSOBENÍM KONVERZNÍMI FAKTORY</w:t>
            </w:r>
          </w:p>
          <w:p w14:paraId="632FB347" w14:textId="77777777" w:rsidR="007266CF" w:rsidRPr="002A677E" w:rsidRDefault="007266CF" w:rsidP="007266CF">
            <w:pPr>
              <w:pStyle w:val="InstructionsText"/>
            </w:pPr>
            <w:r>
              <w:t>Hodnota expozice bez úprav ocenění a po zohlednění odtoků a přítoků v důsledku TECHNIK SNIŽOVÁNÍ ÚVĚROVÉHO RIZIKA SE SUBSTITUČNÍMI VLIVY NA EXPOZICI</w:t>
            </w:r>
          </w:p>
        </w:tc>
      </w:tr>
      <w:tr w:rsidR="007266CF" w:rsidRPr="002A677E" w14:paraId="006CFAA1" w14:textId="77777777" w:rsidTr="007266CF">
        <w:tc>
          <w:tcPr>
            <w:tcW w:w="1188" w:type="dxa"/>
          </w:tcPr>
          <w:p w14:paraId="17AA406D" w14:textId="77777777" w:rsidR="007266CF" w:rsidRPr="002A677E" w:rsidRDefault="007266CF" w:rsidP="007266CF">
            <w:pPr>
              <w:pStyle w:val="InstructionsText"/>
            </w:pPr>
            <w:r>
              <w:lastRenderedPageBreak/>
              <w:t>0120–0140</w:t>
            </w:r>
          </w:p>
        </w:tc>
        <w:tc>
          <w:tcPr>
            <w:tcW w:w="8640" w:type="dxa"/>
          </w:tcPr>
          <w:p w14:paraId="797656C8" w14:textId="77777777" w:rsidR="007266CF" w:rsidRPr="002A677E" w:rsidRDefault="007266CF" w:rsidP="007266CF">
            <w:pPr>
              <w:pStyle w:val="InstructionsText"/>
            </w:pPr>
            <w:r>
              <w:rPr>
                <w:rStyle w:val="InstructionsTabelleberschrift"/>
                <w:rFonts w:ascii="Times New Roman" w:hAnsi="Times New Roman"/>
                <w:sz w:val="24"/>
              </w:rPr>
              <w:t>TECHNIKY SNIŽOVÁNÍ ÚVĚROVÉHO RIZIKA S DOPADEM NA HODNOTU EXPOZICE. MAJETKOVÉ ZAJIŠTĚNÍ ÚVĚROVÉHO RIZIKA, KOMPLEXNÍ METODA FINANČNÍHO KOLATERÁLU</w:t>
            </w:r>
          </w:p>
          <w:p w14:paraId="4BEC37E8" w14:textId="77777777" w:rsidR="007266CF" w:rsidRPr="002A677E" w:rsidRDefault="007266CF" w:rsidP="007266CF">
            <w:pPr>
              <w:pStyle w:val="InstructionsText"/>
            </w:pPr>
            <w:r>
              <w:t>Články 223 až 228 nařízení (EU) č. 575/2013. Patří sem rovněž úvěrové dluhové cenné papíry (článek 218 nařízení (EU) č. 575/2013)</w:t>
            </w:r>
          </w:p>
          <w:p w14:paraId="4029A5DC" w14:textId="77777777" w:rsidR="007266CF" w:rsidRPr="002A677E" w:rsidRDefault="007266CF" w:rsidP="007266CF">
            <w:pPr>
              <w:pStyle w:val="InstructionsText"/>
            </w:pPr>
            <w:r>
              <w:t>Úvěrové dluhové cenné papíry uvedené v článku 218 nařízení (EU) č. 575/2013 a pozice v rozvahovém započtení vyplývající z použitelných dohod o rozvahovém započtení podle článku 219 uvedeného nařízení se považují za hotovostní kolaterál.</w:t>
            </w:r>
          </w:p>
          <w:p w14:paraId="18CCB5F3" w14:textId="77777777" w:rsidR="007266CF" w:rsidRPr="002A677E" w:rsidRDefault="007266CF" w:rsidP="007266CF">
            <w:pPr>
              <w:pStyle w:val="InstructionsText"/>
            </w:pPr>
            <w:r>
              <w:t xml:space="preserve">Dopad kolateralizace při použití komplexní metody finančního kolaterálu na expozici, která je zajištěna způsobilým finančním kolaterálem, se vypočítá v souladu s články 223 až 228 nařízení (EU) č. 575/2013. </w:t>
            </w:r>
          </w:p>
        </w:tc>
      </w:tr>
      <w:tr w:rsidR="007266CF" w:rsidRPr="002A677E" w14:paraId="17253FEF" w14:textId="77777777" w:rsidTr="007266CF">
        <w:tc>
          <w:tcPr>
            <w:tcW w:w="1188" w:type="dxa"/>
          </w:tcPr>
          <w:p w14:paraId="6FD7B3AC" w14:textId="77777777" w:rsidR="007266CF" w:rsidRPr="002A677E" w:rsidRDefault="007266CF" w:rsidP="007266CF">
            <w:pPr>
              <w:pStyle w:val="InstructionsText"/>
            </w:pPr>
            <w:r>
              <w:t>0120</w:t>
            </w:r>
          </w:p>
        </w:tc>
        <w:tc>
          <w:tcPr>
            <w:tcW w:w="8640" w:type="dxa"/>
          </w:tcPr>
          <w:p w14:paraId="4114CEB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Koeficient volatility pro danou expozici</w:t>
            </w:r>
          </w:p>
          <w:p w14:paraId="564BF469" w14:textId="77777777" w:rsidR="007266CF" w:rsidRPr="002A677E" w:rsidRDefault="007266CF" w:rsidP="007266CF">
            <w:pPr>
              <w:pStyle w:val="InstructionsText"/>
            </w:pPr>
            <w:r>
              <w:t>Ustanovení čl. 223 odst. 2 a 3 nařízení (EU) č. 575/2013</w:t>
            </w:r>
          </w:p>
          <w:p w14:paraId="3AEC527C" w14:textId="77777777" w:rsidR="007266CF" w:rsidRPr="002A677E" w:rsidRDefault="007266CF" w:rsidP="007266CF">
            <w:pPr>
              <w:pStyle w:val="InstructionsText"/>
            </w:pPr>
            <w:r>
              <w:t>Hodnota, která má být vykázána, je dopadem koeficientu volatility na expozici (Eva–E) = E * He.</w:t>
            </w:r>
          </w:p>
        </w:tc>
      </w:tr>
      <w:tr w:rsidR="007266CF" w:rsidRPr="006223CC" w14:paraId="503B94EF" w14:textId="77777777" w:rsidTr="007266CF">
        <w:tc>
          <w:tcPr>
            <w:tcW w:w="1188" w:type="dxa"/>
          </w:tcPr>
          <w:p w14:paraId="0B1261FC" w14:textId="77777777" w:rsidR="007266CF" w:rsidRPr="002A677E" w:rsidRDefault="007266CF" w:rsidP="007266CF">
            <w:pPr>
              <w:pStyle w:val="InstructionsText"/>
            </w:pPr>
            <w:r>
              <w:t>0130</w:t>
            </w:r>
          </w:p>
        </w:tc>
        <w:tc>
          <w:tcPr>
            <w:tcW w:w="8640" w:type="dxa"/>
          </w:tcPr>
          <w:p w14:paraId="5B45AFD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 Upravená hodnota finančního kolaterálu (Cvam)</w:t>
            </w:r>
          </w:p>
          <w:p w14:paraId="1B772319" w14:textId="77777777" w:rsidR="007266CF" w:rsidRPr="006223CC" w:rsidRDefault="007266CF" w:rsidP="007266CF">
            <w:pPr>
              <w:pStyle w:val="InstructionsText"/>
              <w:rPr>
                <w:lang w:val="fr-FR"/>
              </w:rPr>
            </w:pPr>
            <w:r w:rsidRPr="006223CC">
              <w:rPr>
                <w:lang w:val="fr-FR"/>
              </w:rPr>
              <w:t>Ustanovení čl. 239 odst. 2 nařízení (EU) č. 575/2013.</w:t>
            </w:r>
          </w:p>
          <w:p w14:paraId="448A29B5" w14:textId="77777777" w:rsidR="007266CF" w:rsidRPr="006223CC" w:rsidRDefault="007266CF" w:rsidP="007266CF">
            <w:pPr>
              <w:pStyle w:val="InstructionsText"/>
              <w:rPr>
                <w:lang w:val="fr-FR"/>
              </w:rPr>
            </w:pPr>
            <w:r w:rsidRPr="006223CC">
              <w:rPr>
                <w:lang w:val="fr-FR"/>
              </w:rPr>
              <w:t xml:space="preserve">V případě operací v obchodním portfoliu jsou zahrnuty finanční kolaterál a komodity způsobilé pro expozice obchodního portfolia v souladu s čl. 299 odst. 2 písm. c) až f) nařízení (EU) č. 575/2013. </w:t>
            </w:r>
          </w:p>
          <w:p w14:paraId="036EE45E" w14:textId="77777777" w:rsidR="007266CF" w:rsidRPr="006223CC" w:rsidRDefault="007266CF" w:rsidP="007266CF">
            <w:pPr>
              <w:pStyle w:val="InstructionsText"/>
              <w:rPr>
                <w:lang w:val="fr-FR"/>
              </w:rPr>
            </w:pPr>
            <w:r w:rsidRPr="006223CC">
              <w:rPr>
                <w:lang w:val="fr-FR"/>
              </w:rPr>
              <w:t>Hodnota, která má být vykázána, odpovídá Cvam = C * (1–Hc–Hfx) * (t–t*)/(T–t*). Pro definici C, Hc, Hfx, t, T a t* viz část třetí hlava II kapitola 4 oddíly 4 a 5 nařízení (EU) č. 575/2013.</w:t>
            </w:r>
          </w:p>
        </w:tc>
      </w:tr>
      <w:tr w:rsidR="007266CF" w:rsidRPr="002A677E" w14:paraId="60B810FB" w14:textId="77777777" w:rsidTr="007266CF">
        <w:tc>
          <w:tcPr>
            <w:tcW w:w="1188" w:type="dxa"/>
          </w:tcPr>
          <w:p w14:paraId="18CD63CD" w14:textId="77777777" w:rsidR="007266CF" w:rsidRPr="002A677E" w:rsidRDefault="007266CF" w:rsidP="007266CF">
            <w:pPr>
              <w:pStyle w:val="InstructionsText"/>
            </w:pPr>
            <w:r>
              <w:t>0140</w:t>
            </w:r>
          </w:p>
        </w:tc>
        <w:tc>
          <w:tcPr>
            <w:tcW w:w="8640" w:type="dxa"/>
          </w:tcPr>
          <w:p w14:paraId="1A7A742F"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 Z toho: koeficient volatility a úprava splatnosti</w:t>
            </w:r>
          </w:p>
          <w:p w14:paraId="66C7F834" w14:textId="77777777" w:rsidR="007266CF" w:rsidRPr="002A677E" w:rsidRDefault="007266CF" w:rsidP="007266CF">
            <w:pPr>
              <w:pStyle w:val="InstructionsText"/>
            </w:pPr>
            <w:r>
              <w:t xml:space="preserve">Ustanovení čl. 223 odst. 1 nařízení (EU) č. 575/2013 a čl. 239 odst. 2 uvedeného nařízení. </w:t>
            </w:r>
          </w:p>
          <w:p w14:paraId="2089C786" w14:textId="77777777" w:rsidR="007266CF" w:rsidRPr="002A677E" w:rsidRDefault="007266CF" w:rsidP="007266CF">
            <w:pPr>
              <w:pStyle w:val="InstructionsText"/>
            </w:pPr>
            <w:r>
              <w:t>Hodnota, která má být vykázána, je společným dopadem koeficientu volatility a úpravy splatnosti (Cvam–C) = C * [(1–Hc–Hfx) * (t–t*)/(T–t*)–1], kde dopad koeficientu volatility je (Cva–C) = C * [(1–Hc–Hfx)–1] a dopad úpravy splatnosti je (Cvam–Cva) = C * (1–Hc–Hfx) * [(t– t*)/(T –t*)–1].</w:t>
            </w:r>
          </w:p>
        </w:tc>
      </w:tr>
      <w:tr w:rsidR="007266CF" w:rsidRPr="002A677E" w14:paraId="1F18A4A8" w14:textId="77777777" w:rsidTr="007266CF">
        <w:tc>
          <w:tcPr>
            <w:tcW w:w="1188" w:type="dxa"/>
          </w:tcPr>
          <w:p w14:paraId="10705AF5" w14:textId="77777777" w:rsidR="007266CF" w:rsidRPr="002A677E" w:rsidRDefault="007266CF" w:rsidP="007266CF">
            <w:pPr>
              <w:pStyle w:val="InstructionsText"/>
            </w:pPr>
            <w:r>
              <w:t>0150</w:t>
            </w:r>
          </w:p>
        </w:tc>
        <w:tc>
          <w:tcPr>
            <w:tcW w:w="8640" w:type="dxa"/>
          </w:tcPr>
          <w:p w14:paraId="415E2073" w14:textId="77777777" w:rsidR="007266CF" w:rsidRPr="006223CC" w:rsidRDefault="007266CF" w:rsidP="007266CF">
            <w:pPr>
              <w:pStyle w:val="InstructionsText"/>
              <w:rPr>
                <w:lang w:val="fr-FR"/>
              </w:rPr>
            </w:pPr>
            <w:r w:rsidRPr="006223CC">
              <w:rPr>
                <w:rStyle w:val="InstructionsTabelleberschrift"/>
                <w:rFonts w:ascii="Times New Roman" w:hAnsi="Times New Roman"/>
                <w:sz w:val="24"/>
                <w:lang w:val="fr-FR"/>
              </w:rPr>
              <w:t>Plně upravená hodnota expozice (E*)</w:t>
            </w:r>
          </w:p>
          <w:p w14:paraId="530FC580" w14:textId="77777777" w:rsidR="007266CF" w:rsidRPr="001235ED" w:rsidRDefault="007266CF" w:rsidP="007266CF">
            <w:pPr>
              <w:pStyle w:val="InstructionsText"/>
              <w:rPr>
                <w:b/>
                <w:u w:val="single"/>
              </w:rPr>
            </w:pPr>
            <w:r>
              <w:t>Ustanovení čl. 220 odst. 4, čl. 223 odst. 2 až 5 a čl. 228 odst. 1 nařízení (EU) č. 575/2013</w:t>
            </w:r>
          </w:p>
        </w:tc>
      </w:tr>
      <w:tr w:rsidR="007266CF" w:rsidRPr="002A677E" w14:paraId="3C31456C" w14:textId="77777777" w:rsidTr="007266CF">
        <w:tc>
          <w:tcPr>
            <w:tcW w:w="1188" w:type="dxa"/>
          </w:tcPr>
          <w:p w14:paraId="0F717CC1" w14:textId="77777777" w:rsidR="007266CF" w:rsidRPr="002A677E" w:rsidRDefault="007266CF" w:rsidP="007266CF">
            <w:pPr>
              <w:pStyle w:val="InstructionsText"/>
            </w:pPr>
            <w:r>
              <w:t>0160–0190</w:t>
            </w:r>
          </w:p>
        </w:tc>
        <w:tc>
          <w:tcPr>
            <w:tcW w:w="8640" w:type="dxa"/>
          </w:tcPr>
          <w:p w14:paraId="0FCBA2A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Rozklad plně upravené hodnoty expozice podrozvahových položek podle konverzních faktorů</w:t>
            </w:r>
          </w:p>
          <w:p w14:paraId="122C80EC" w14:textId="77777777" w:rsidR="007266CF" w:rsidRPr="002A677E" w:rsidRDefault="007266CF" w:rsidP="007266CF">
            <w:pPr>
              <w:pStyle w:val="InstructionsText"/>
            </w:pPr>
            <w:r>
              <w:t>Ustanovení čl. 111 odst. 1 a čl. 4 odst. 1 bodu 56 nařízení (EU) č. 575/2013. Viz také čl. 222 odst. 3 a čl. 228 odst. 1 nařízení (EU) č. 575/2013.</w:t>
            </w:r>
          </w:p>
          <w:p w14:paraId="505A8871" w14:textId="77777777" w:rsidR="007266CF" w:rsidRPr="002A677E" w:rsidRDefault="007266CF" w:rsidP="007266CF">
            <w:pPr>
              <w:pStyle w:val="InstructionsText"/>
              <w:rPr>
                <w:b/>
                <w:u w:val="single"/>
              </w:rPr>
            </w:pPr>
            <w:r>
              <w:t>U vykazovaných údajů se musí jednat o plně upravené hodnoty expozic před uplatněním konverzních faktorů.</w:t>
            </w:r>
          </w:p>
        </w:tc>
      </w:tr>
      <w:tr w:rsidR="007266CF" w:rsidRPr="002A677E" w14:paraId="331D0AEE" w14:textId="77777777" w:rsidTr="007266CF">
        <w:tc>
          <w:tcPr>
            <w:tcW w:w="1188" w:type="dxa"/>
          </w:tcPr>
          <w:p w14:paraId="49410910" w14:textId="77777777" w:rsidR="007266CF" w:rsidRPr="002A677E" w:rsidRDefault="007266CF" w:rsidP="007266CF">
            <w:pPr>
              <w:pStyle w:val="InstructionsText"/>
            </w:pPr>
            <w:r>
              <w:t>0200</w:t>
            </w:r>
          </w:p>
        </w:tc>
        <w:tc>
          <w:tcPr>
            <w:tcW w:w="8640" w:type="dxa"/>
          </w:tcPr>
          <w:p w14:paraId="5F0599EE" w14:textId="77777777" w:rsidR="007266CF" w:rsidRPr="002A677E" w:rsidRDefault="007266CF" w:rsidP="007266CF">
            <w:pPr>
              <w:pStyle w:val="InstructionsText"/>
            </w:pPr>
            <w:r>
              <w:rPr>
                <w:rStyle w:val="InstructionsTabelleberschrift"/>
                <w:rFonts w:ascii="Times New Roman" w:hAnsi="Times New Roman"/>
                <w:sz w:val="24"/>
              </w:rPr>
              <w:t>Hodnota expozice</w:t>
            </w:r>
          </w:p>
          <w:p w14:paraId="74EF279C" w14:textId="77777777" w:rsidR="007266CF" w:rsidRPr="002A677E" w:rsidRDefault="007266CF" w:rsidP="007266CF">
            <w:pPr>
              <w:pStyle w:val="InstructionsText"/>
            </w:pPr>
            <w:r>
              <w:t>Článek 111 nařízení (EU) č. 575/2013 a část třetí hlava II kapitola 4 oddíl 4 uvedeného nařízení.</w:t>
            </w:r>
          </w:p>
          <w:p w14:paraId="15CF77F2" w14:textId="77777777" w:rsidR="007266CF" w:rsidRPr="002A677E" w:rsidRDefault="007266CF" w:rsidP="007266CF">
            <w:pPr>
              <w:pStyle w:val="InstructionsText"/>
            </w:pPr>
            <w:r>
              <w:lastRenderedPageBreak/>
              <w:t>Hodnota expozice po zohlednění úprav ocenění, všech zmírnění úvěrového rizika a konverzních faktorů k úvěrovému riziku, k níž mají být přiděleny rizikové váhy podle článku 113 a části třetí hlavy II kapitoly 2 oddílu 2 nařízení (EU) č. 575/2013.</w:t>
            </w:r>
          </w:p>
          <w:p w14:paraId="53394486" w14:textId="77777777" w:rsidR="007266CF" w:rsidRPr="002A677E" w:rsidRDefault="007266CF" w:rsidP="007266CF">
            <w:pPr>
              <w:pStyle w:val="InstructionsText"/>
            </w:pPr>
            <w:r>
              <w:t>Hodnoty expozic u pronájmů se určují podle čl. 134 odst. 7 nařízení (EU) č. 575/2013. Zbytková hodnota se uvádí v diskontované zbytkové hodnotě po zohlednění úprav ocenění, všech zmírnění úvěrového rizika a úvěrových konverzních faktorů.</w:t>
            </w:r>
          </w:p>
          <w:p w14:paraId="570698B4" w14:textId="77777777" w:rsidR="007266CF" w:rsidRPr="002A677E" w:rsidRDefault="007266CF" w:rsidP="007266CF">
            <w:pPr>
              <w:pStyle w:val="InstructionsText"/>
            </w:pPr>
            <w:r>
              <w:t>Hodnoty expozic vyplývajících z CCR jsou stejné jako hodnoty vykazované ve sloupci 0210.</w:t>
            </w:r>
          </w:p>
        </w:tc>
      </w:tr>
      <w:tr w:rsidR="007266CF" w:rsidRPr="002A677E" w14:paraId="336960AB" w14:textId="77777777" w:rsidTr="007266CF">
        <w:tc>
          <w:tcPr>
            <w:tcW w:w="1188" w:type="dxa"/>
          </w:tcPr>
          <w:p w14:paraId="7C39289F" w14:textId="77777777" w:rsidR="007266CF" w:rsidRPr="002A677E" w:rsidRDefault="007266CF" w:rsidP="007266CF">
            <w:pPr>
              <w:pStyle w:val="InstructionsText"/>
            </w:pPr>
            <w:r>
              <w:lastRenderedPageBreak/>
              <w:t>0210</w:t>
            </w:r>
          </w:p>
        </w:tc>
        <w:tc>
          <w:tcPr>
            <w:tcW w:w="8640" w:type="dxa"/>
          </w:tcPr>
          <w:p w14:paraId="37D845A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hodnota expozice vyplývající z úvěrového rizika protistrany</w:t>
            </w:r>
          </w:p>
          <w:p w14:paraId="7EF44B03"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 xml:space="preserve">Hodnota expozic vyplývajících z CCR vypočítaná v souladu s metodami stanovenými v části třetí hlavě II kapitolách 4 a 6 nařízení (EU) č. 575/2013, což je příslušný objem pro výpočet objemů rizikově vážených expozic, tj. použitím technik snižování úvěrového rizika v příslušných případech v souladu s částí třetí hlavou II kapitolami 4 a 6 nařízení (EU) č. 575/2013 a zohledněním odpočtu vzniklé ztráty CVA podle čl. 273 odst. 6 uvedeného nařízení. </w:t>
            </w:r>
          </w:p>
          <w:p w14:paraId="7CEEB942" w14:textId="77777777" w:rsidR="007266CF" w:rsidRPr="002A677E" w:rsidRDefault="007266CF" w:rsidP="007266CF">
            <w:pPr>
              <w:rPr>
                <w:rFonts w:ascii="Times New Roman" w:hAnsi="Times New Roman"/>
                <w:sz w:val="24"/>
              </w:rPr>
            </w:pPr>
            <w:r>
              <w:rPr>
                <w:rFonts w:ascii="Times New Roman" w:hAnsi="Times New Roman"/>
                <w:sz w:val="24"/>
              </w:rPr>
              <w:t>Hodnota expozice pro transakce, u nichž bylo zjištěno specifické riziko pozitivní korelace, musí být stanovena v souladu s článkem 291 nařízení (EU) č. 575/2013.</w:t>
            </w:r>
          </w:p>
          <w:p w14:paraId="6D460CE3" w14:textId="77777777" w:rsidR="007266CF" w:rsidRPr="002A677E" w:rsidRDefault="007266CF" w:rsidP="007266CF">
            <w:pPr>
              <w:pStyle w:val="InstructionsText"/>
            </w:pPr>
            <w:r>
              <w:t>V případech, kdy se pro jednu protistranu používá více než jeden přístup CCR, se vzniklá ztráta CVA, která se odečte na úrovni protistrany, přiřadí k hodnotě expozice různých skupin transakcí se započtením v řádcích 0090–0130 odrážejících poměr hodnoty expozice po snížení úvěrového rizika příslušných skupin transakcí se započtením k celkové hodnotě expozice po snížení úvěrového rizika protistrany. Pro tento účel se použije hodnota expozice po snížení úvěrového rizika podle pokynů ke sloupci 0160 šablony C 34.02.</w:t>
            </w:r>
          </w:p>
        </w:tc>
      </w:tr>
      <w:tr w:rsidR="007266CF" w:rsidRPr="002A677E" w14:paraId="75731752" w14:textId="77777777" w:rsidTr="007266CF">
        <w:tc>
          <w:tcPr>
            <w:tcW w:w="1188" w:type="dxa"/>
          </w:tcPr>
          <w:p w14:paraId="6CAE51DE" w14:textId="77777777" w:rsidR="007266CF" w:rsidRPr="002A677E" w:rsidRDefault="007266CF" w:rsidP="007266CF">
            <w:pPr>
              <w:pStyle w:val="InstructionsText"/>
            </w:pPr>
            <w:r>
              <w:t>0211</w:t>
            </w:r>
          </w:p>
        </w:tc>
        <w:tc>
          <w:tcPr>
            <w:tcW w:w="8640" w:type="dxa"/>
          </w:tcPr>
          <w:p w14:paraId="76879201"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vyplývající z úvěrového rizika protistrany s výjimkou expozic s clearingem prostřednictvím ústřední protistrany</w:t>
            </w:r>
          </w:p>
          <w:p w14:paraId="49F920FB" w14:textId="77777777" w:rsidR="007266CF" w:rsidRPr="002A677E" w:rsidRDefault="007266CF" w:rsidP="007266CF">
            <w:pPr>
              <w:pStyle w:val="InstructionsText"/>
              <w:rPr>
                <w:rStyle w:val="InstructionsTabelleberschrift"/>
                <w:rFonts w:ascii="Times New Roman" w:hAnsi="Times New Roman"/>
                <w:sz w:val="24"/>
              </w:rPr>
            </w:pPr>
            <w:r>
              <w:t>Expozice vykázané ve sloupci 0210 s výjimkou expozic vyplývajících ze smluv a transakcí uvedených v čl. 301 odst. 1 nařízení (EU) č. 575/2013, které dosud nebyly s ústřední stranou vypořádány, včetně transakcí souvisejících s ústřední protistranou ve smyslu čl. 300 bodu 2 uvedeného nařízení.</w:t>
            </w:r>
          </w:p>
        </w:tc>
      </w:tr>
      <w:tr w:rsidR="007266CF" w:rsidRPr="002A677E" w14:paraId="72165996" w14:textId="77777777" w:rsidTr="007266CF">
        <w:tc>
          <w:tcPr>
            <w:tcW w:w="1188" w:type="dxa"/>
          </w:tcPr>
          <w:p w14:paraId="5B529255" w14:textId="77777777" w:rsidR="007266CF" w:rsidRPr="002A677E" w:rsidRDefault="007266CF" w:rsidP="007266CF">
            <w:pPr>
              <w:pStyle w:val="InstructionsText"/>
            </w:pPr>
            <w:r>
              <w:t>0215</w:t>
            </w:r>
          </w:p>
        </w:tc>
        <w:tc>
          <w:tcPr>
            <w:tcW w:w="8640" w:type="dxa"/>
          </w:tcPr>
          <w:p w14:paraId="09C4B64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Objem rizikově vážených expozic před uplatněním podpůrných koeficientů</w:t>
            </w:r>
          </w:p>
          <w:p w14:paraId="5A925F45" w14:textId="77777777" w:rsidR="007266CF" w:rsidRPr="002A677E" w:rsidRDefault="007266CF" w:rsidP="007266CF">
            <w:pPr>
              <w:pStyle w:val="InstructionsText"/>
            </w:pPr>
            <w:r>
              <w:t>Ustanovení čl. 113 odst. 1 až 5 nařízení (EU) č. 575/2013 bez zohlednění podpůrného koeficientu pro malé a střední podniky a infrastrukturu podle článků 501 a 501a uvedeného nařízení</w:t>
            </w:r>
          </w:p>
          <w:p w14:paraId="3C5DB5DB" w14:textId="77777777" w:rsidR="007266CF" w:rsidRPr="002A677E" w:rsidRDefault="007266CF" w:rsidP="007266CF">
            <w:pPr>
              <w:pStyle w:val="InstructionsText"/>
              <w:rPr>
                <w:b/>
                <w:u w:val="single"/>
              </w:rPr>
            </w:pPr>
            <w:r>
              <w:t>Na objem rizikově vážené expozice zbytkové hodnoty pronajatých aktiv se vztahuje čl. 134 odst. 7 věta 5 a vypočítá se podle následujícího vzorce: „1/t * 100 % * zbytková hodnota“. Zbytková hodnota je nediskontovaná odhadovaná zbytková hodnota na konci období pronájmu, která se pravidelně přehodnocuje s cílem zajistit, aby zůstala přiměřená.</w:t>
            </w:r>
          </w:p>
        </w:tc>
      </w:tr>
      <w:tr w:rsidR="007266CF" w:rsidRPr="002A677E" w14:paraId="0893183F" w14:textId="77777777" w:rsidTr="007266CF">
        <w:tc>
          <w:tcPr>
            <w:tcW w:w="1188" w:type="dxa"/>
          </w:tcPr>
          <w:p w14:paraId="5E77D730" w14:textId="77777777" w:rsidR="007266CF" w:rsidRPr="002A677E" w:rsidRDefault="007266CF" w:rsidP="007266CF">
            <w:pPr>
              <w:pStyle w:val="InstructionsText"/>
            </w:pPr>
            <w:r>
              <w:t>0216</w:t>
            </w:r>
          </w:p>
        </w:tc>
        <w:tc>
          <w:tcPr>
            <w:tcW w:w="8640" w:type="dxa"/>
          </w:tcPr>
          <w:p w14:paraId="3687247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Úprava objemu rizikově vážené expozice v důsledku podpůrného koeficientu pro malé a střední podniky</w:t>
            </w:r>
          </w:p>
          <w:p w14:paraId="798F4691" w14:textId="77777777" w:rsidR="007266CF" w:rsidRPr="002A677E" w:rsidRDefault="007266CF" w:rsidP="007266CF">
            <w:pPr>
              <w:pStyle w:val="InstructionsText"/>
              <w:rPr>
                <w:rStyle w:val="InstructionsTabelleberschrift"/>
                <w:rFonts w:ascii="Times New Roman" w:hAnsi="Times New Roman"/>
                <w:sz w:val="24"/>
              </w:rPr>
            </w:pPr>
            <w:r>
              <w:t xml:space="preserve">Odečtení rozdílu mezi objemy rizikově vážených expozic u expozic vůči malému nebo střednímu podniku, u nichž nedošlo k selhání (RWEA), které se v příslušných případech </w:t>
            </w:r>
            <w:r>
              <w:lastRenderedPageBreak/>
              <w:t>vypočítají v souladu s částí třetí hlavou II kapitolou 2 nařízení (EU) č. 575/2013, a RWEA* v souladu s čl. 501 odst. 1 uvedeného nařízení</w:t>
            </w:r>
          </w:p>
        </w:tc>
      </w:tr>
      <w:tr w:rsidR="007266CF" w:rsidRPr="002A677E" w14:paraId="3E5CC1C0" w14:textId="77777777" w:rsidTr="007266CF">
        <w:tc>
          <w:tcPr>
            <w:tcW w:w="1188" w:type="dxa"/>
          </w:tcPr>
          <w:p w14:paraId="0E15EE33" w14:textId="77777777" w:rsidR="007266CF" w:rsidRPr="002A677E" w:rsidRDefault="007266CF" w:rsidP="007266CF">
            <w:pPr>
              <w:pStyle w:val="InstructionsText"/>
            </w:pPr>
            <w:r>
              <w:lastRenderedPageBreak/>
              <w:t>0217</w:t>
            </w:r>
          </w:p>
        </w:tc>
        <w:tc>
          <w:tcPr>
            <w:tcW w:w="8640" w:type="dxa"/>
          </w:tcPr>
          <w:p w14:paraId="7A5FCEA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Úprava objemu rizikově vážené expozice v důsledku podpůrného koeficientu pro infrastrukturu</w:t>
            </w:r>
          </w:p>
          <w:p w14:paraId="4888ACDF" w14:textId="77777777" w:rsidR="007266CF" w:rsidRPr="002A677E" w:rsidRDefault="007266CF" w:rsidP="007266CF">
            <w:pPr>
              <w:pStyle w:val="InstructionsText"/>
              <w:rPr>
                <w:rStyle w:val="InstructionsTabelleberschrift"/>
                <w:rFonts w:ascii="Times New Roman" w:hAnsi="Times New Roman"/>
                <w:sz w:val="24"/>
              </w:rPr>
            </w:pPr>
            <w:r>
              <w:t>Odečtení rozdílu mezi objemy rizikově vážené expozice vypočítanými v souladu s částí třetí hlavou II nařízení (EU) č. 575/2013 a upravenými RWEA pro úvěrové riziko u expozic vůči subjektům, které provozují nebo financují fyzické struktury nebo zařízení, systémy a sítě, které poskytují nebo podporují základní veřejné služby v souladu s článkem 501a uvedeného nařízení.</w:t>
            </w:r>
          </w:p>
        </w:tc>
      </w:tr>
      <w:tr w:rsidR="007266CF" w:rsidRPr="002A677E" w14:paraId="09D1B9B5" w14:textId="77777777" w:rsidTr="007266CF">
        <w:tc>
          <w:tcPr>
            <w:tcW w:w="1188" w:type="dxa"/>
          </w:tcPr>
          <w:p w14:paraId="0781BB52" w14:textId="77777777" w:rsidR="007266CF" w:rsidRPr="002A677E" w:rsidRDefault="007266CF" w:rsidP="007266CF">
            <w:pPr>
              <w:pStyle w:val="InstructionsText"/>
            </w:pPr>
            <w:r>
              <w:t>0220</w:t>
            </w:r>
          </w:p>
        </w:tc>
        <w:tc>
          <w:tcPr>
            <w:tcW w:w="8640" w:type="dxa"/>
          </w:tcPr>
          <w:p w14:paraId="16FBE0B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Objem rizikově vážených expozic po uplatnění podpůrných koeficientů</w:t>
            </w:r>
          </w:p>
          <w:p w14:paraId="57E9124A" w14:textId="77777777" w:rsidR="007266CF" w:rsidRPr="002A677E" w:rsidRDefault="007266CF" w:rsidP="007266CF">
            <w:pPr>
              <w:pStyle w:val="InstructionsText"/>
            </w:pPr>
            <w:r>
              <w:t xml:space="preserve">Ustanovení čl. 113 odst. 1 až 5 nařízení (EU) č. 575/2013 se zohledněním podpůrného koeficientu pro malé a střední podniky a infrastrukturu podle článků 501 a 501a uvedeného nařízení </w:t>
            </w:r>
          </w:p>
          <w:p w14:paraId="236F8F1B" w14:textId="77777777" w:rsidR="007266CF" w:rsidRPr="002A677E" w:rsidRDefault="007266CF" w:rsidP="007266CF">
            <w:pPr>
              <w:pStyle w:val="InstructionsText"/>
              <w:rPr>
                <w:b/>
                <w:u w:val="single"/>
              </w:rPr>
            </w:pPr>
            <w:r>
              <w:t>Na objem rizikově vážené expozice zbytkové hodnoty pronajatých aktiv se vztahuje čl. 134 odst. 7 věta 5 a vypočítá se podle následujícího vzorce: „1/t * 100 % * zbytková hodnota“. Zbytková hodnota je nediskontovaná odhadovaná zbytková hodnota na konci období pronájmu, která se pravidelně přehodnocuje s cílem zajistit, aby zůstala přiměřená.</w:t>
            </w:r>
          </w:p>
        </w:tc>
      </w:tr>
      <w:tr w:rsidR="007266CF" w:rsidRPr="002A677E" w14:paraId="591584E6" w14:textId="77777777" w:rsidTr="007266CF">
        <w:tc>
          <w:tcPr>
            <w:tcW w:w="1188" w:type="dxa"/>
            <w:shd w:val="clear" w:color="auto" w:fill="auto"/>
          </w:tcPr>
          <w:p w14:paraId="4DCDFF63" w14:textId="77777777" w:rsidR="007266CF" w:rsidRPr="002A677E" w:rsidRDefault="007266CF" w:rsidP="007266CF">
            <w:pPr>
              <w:pStyle w:val="InstructionsText"/>
            </w:pPr>
            <w:r>
              <w:t>0230</w:t>
            </w:r>
          </w:p>
        </w:tc>
        <w:tc>
          <w:tcPr>
            <w:tcW w:w="8640" w:type="dxa"/>
            <w:shd w:val="clear" w:color="auto" w:fill="auto"/>
          </w:tcPr>
          <w:p w14:paraId="72CB605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s úvěrovým hodnocením vypracovaným určenou externí ratingovou agenturou</w:t>
            </w:r>
          </w:p>
          <w:p w14:paraId="7F3CC319" w14:textId="77777777" w:rsidR="007266CF" w:rsidRPr="002A677E" w:rsidRDefault="007266CF" w:rsidP="007266CF">
            <w:pPr>
              <w:pStyle w:val="InstructionsText"/>
            </w:pPr>
            <w:r>
              <w:t>Ustanovení čl. 112 písm. a) až d), f), g), l), n), o) a q) nařízení (EU) č. 575/2013</w:t>
            </w:r>
          </w:p>
        </w:tc>
      </w:tr>
      <w:tr w:rsidR="007266CF" w:rsidRPr="002A677E" w14:paraId="519481E4" w14:textId="77777777" w:rsidTr="007266CF">
        <w:tc>
          <w:tcPr>
            <w:tcW w:w="1188" w:type="dxa"/>
            <w:shd w:val="clear" w:color="auto" w:fill="auto"/>
          </w:tcPr>
          <w:p w14:paraId="29985E46" w14:textId="77777777" w:rsidR="007266CF" w:rsidRPr="002A677E" w:rsidRDefault="007266CF" w:rsidP="007266CF">
            <w:pPr>
              <w:pStyle w:val="InstructionsText"/>
            </w:pPr>
            <w:r>
              <w:t>0240</w:t>
            </w:r>
          </w:p>
        </w:tc>
        <w:tc>
          <w:tcPr>
            <w:tcW w:w="8640" w:type="dxa"/>
            <w:shd w:val="clear" w:color="auto" w:fill="auto"/>
          </w:tcPr>
          <w:p w14:paraId="55655A6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s úvěrovým hodnocením vztahující se k ústředním vládám</w:t>
            </w:r>
          </w:p>
          <w:p w14:paraId="2C4AEDE0" w14:textId="77777777" w:rsidR="007266CF" w:rsidRPr="002A677E" w:rsidRDefault="007266CF" w:rsidP="007266CF">
            <w:pPr>
              <w:pStyle w:val="InstructionsText"/>
            </w:pPr>
            <w:r>
              <w:t>Ustanovení čl. 112 písm. b) až d), f), g), l) a o) nařízení (EU) č. 575/2013</w:t>
            </w:r>
          </w:p>
        </w:tc>
      </w:tr>
    </w:tbl>
    <w:p w14:paraId="4947E7A9" w14:textId="77777777" w:rsidR="007266CF" w:rsidRPr="002A677E" w:rsidRDefault="007266CF" w:rsidP="007266C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7266CF" w:rsidRPr="002A677E" w14:paraId="78AC4C28" w14:textId="77777777" w:rsidTr="007266CF">
        <w:tc>
          <w:tcPr>
            <w:tcW w:w="1188" w:type="dxa"/>
            <w:shd w:val="clear" w:color="auto" w:fill="CCCCCC"/>
          </w:tcPr>
          <w:p w14:paraId="668F2472" w14:textId="77777777" w:rsidR="007266CF" w:rsidRPr="002A677E" w:rsidRDefault="007266CF" w:rsidP="007266CF">
            <w:pPr>
              <w:pStyle w:val="InstructionsText"/>
            </w:pPr>
            <w:r>
              <w:t>Řádky</w:t>
            </w:r>
          </w:p>
        </w:tc>
        <w:tc>
          <w:tcPr>
            <w:tcW w:w="8701" w:type="dxa"/>
            <w:shd w:val="clear" w:color="auto" w:fill="CCCCCC"/>
          </w:tcPr>
          <w:p w14:paraId="1C761264" w14:textId="77777777" w:rsidR="007266CF" w:rsidRPr="002A677E" w:rsidRDefault="007266CF" w:rsidP="007266CF">
            <w:pPr>
              <w:pStyle w:val="InstructionsText"/>
            </w:pPr>
            <w:r>
              <w:t>Pokyny</w:t>
            </w:r>
          </w:p>
        </w:tc>
      </w:tr>
      <w:tr w:rsidR="007266CF" w:rsidRPr="002A677E" w14:paraId="3388EE2C" w14:textId="77777777" w:rsidTr="007266CF">
        <w:tc>
          <w:tcPr>
            <w:tcW w:w="1188" w:type="dxa"/>
          </w:tcPr>
          <w:p w14:paraId="04F2A5D4" w14:textId="77777777" w:rsidR="007266CF" w:rsidRPr="002A677E" w:rsidRDefault="007266CF" w:rsidP="007266CF">
            <w:pPr>
              <w:pStyle w:val="InstructionsText"/>
            </w:pPr>
            <w:r>
              <w:t>0010</w:t>
            </w:r>
          </w:p>
        </w:tc>
        <w:tc>
          <w:tcPr>
            <w:tcW w:w="8701" w:type="dxa"/>
          </w:tcPr>
          <w:p w14:paraId="6BD05CE7" w14:textId="77777777" w:rsidR="007266CF" w:rsidRPr="002A677E" w:rsidRDefault="007266CF" w:rsidP="007266CF">
            <w:pPr>
              <w:pStyle w:val="InstructionsText"/>
            </w:pPr>
            <w:r>
              <w:rPr>
                <w:rStyle w:val="InstructionsTabelleberschrift"/>
                <w:rFonts w:ascii="Times New Roman" w:hAnsi="Times New Roman"/>
                <w:sz w:val="24"/>
              </w:rPr>
              <w:t>Celkové expozice</w:t>
            </w:r>
          </w:p>
        </w:tc>
      </w:tr>
      <w:tr w:rsidR="007266CF" w:rsidRPr="002A677E" w14:paraId="2C602B5E" w14:textId="77777777" w:rsidTr="007266CF">
        <w:tc>
          <w:tcPr>
            <w:tcW w:w="1188" w:type="dxa"/>
          </w:tcPr>
          <w:p w14:paraId="2725E953" w14:textId="77777777" w:rsidR="007266CF" w:rsidRPr="002A677E" w:rsidRDefault="007266CF" w:rsidP="007266CF">
            <w:pPr>
              <w:pStyle w:val="InstructionsText"/>
            </w:pPr>
            <w:r>
              <w:t>0015</w:t>
            </w:r>
          </w:p>
        </w:tc>
        <w:tc>
          <w:tcPr>
            <w:tcW w:w="8701" w:type="dxa"/>
          </w:tcPr>
          <w:p w14:paraId="7474D8BC"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selhání v kategoriích expozic nazvaných „Položky související s obzvlášť vysokým rizikem“ a „Akciové expozice“.</w:t>
            </w:r>
          </w:p>
          <w:p w14:paraId="41AB9E5B" w14:textId="77777777" w:rsidR="007266CF" w:rsidRPr="002A677E" w:rsidRDefault="007266CF" w:rsidP="007266CF">
            <w:pPr>
              <w:pStyle w:val="InstructionsText"/>
            </w:pPr>
            <w:r>
              <w:t>Článek 127 nařízení (EU) č. 575/2013</w:t>
            </w:r>
          </w:p>
          <w:p w14:paraId="6FE6DED9" w14:textId="77777777" w:rsidR="007266CF" w:rsidRPr="002A677E" w:rsidRDefault="007266CF" w:rsidP="007266CF">
            <w:pPr>
              <w:pStyle w:val="InstructionsText"/>
            </w:pPr>
            <w:r>
              <w:t>Tento řádek se vykazuje pouze u kategorií expozic nazvaných „Položky související s obzvlášť vysokým rizikem“ a „Akciové expozice“.</w:t>
            </w:r>
          </w:p>
          <w:p w14:paraId="07002A37" w14:textId="77777777" w:rsidR="007266CF" w:rsidRPr="002A677E" w:rsidRDefault="007266CF" w:rsidP="007266CF">
            <w:pPr>
              <w:pStyle w:val="InstructionsText"/>
            </w:pPr>
            <w:r>
              <w:t>Expozice, která je uvedena ve výčtu v čl. 128 odst. 2 nařízení (EU) č. 575/2013 nebo splňuje kritéria stanovená v čl. 128 odst. 3 nebo v článku 133 nařízení (EU) č. 575/2013, se zařadí do kategorie expozic nazvané „Položky spojené s obzvlášť vysokým rizikem“ nebo „Akciové expozice“. Není tedy možné jiné přiřazení, a to ani v případě, že se podle článku 127 nařízení (EU) č. 575/2013 jedná o expozici v selhání.</w:t>
            </w:r>
          </w:p>
        </w:tc>
      </w:tr>
      <w:tr w:rsidR="007266CF" w:rsidRPr="002A677E" w14:paraId="64D793D4" w14:textId="77777777" w:rsidTr="007266CF">
        <w:tc>
          <w:tcPr>
            <w:tcW w:w="1188" w:type="dxa"/>
            <w:shd w:val="clear" w:color="auto" w:fill="auto"/>
          </w:tcPr>
          <w:p w14:paraId="006C6F26" w14:textId="77777777" w:rsidR="007266CF" w:rsidRPr="002A677E" w:rsidRDefault="007266CF" w:rsidP="007266CF">
            <w:pPr>
              <w:pStyle w:val="InstructionsText"/>
            </w:pPr>
            <w:r>
              <w:t>0020</w:t>
            </w:r>
          </w:p>
        </w:tc>
        <w:tc>
          <w:tcPr>
            <w:tcW w:w="8701" w:type="dxa"/>
            <w:shd w:val="clear" w:color="auto" w:fill="auto"/>
          </w:tcPr>
          <w:p w14:paraId="5AF0A88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14:paraId="5D7ECEFC" w14:textId="77777777" w:rsidR="007266CF" w:rsidRPr="002A677E" w:rsidRDefault="007266CF" w:rsidP="007266CF">
            <w:pPr>
              <w:pStyle w:val="InstructionsText"/>
            </w:pPr>
            <w:r>
              <w:t xml:space="preserve">Vykazují se zde všechny expozice vůči malým a středním podnikům. </w:t>
            </w:r>
          </w:p>
        </w:tc>
      </w:tr>
      <w:tr w:rsidR="007266CF" w:rsidRPr="002A677E" w14:paraId="3F929E4C" w14:textId="77777777" w:rsidTr="007266CF">
        <w:tc>
          <w:tcPr>
            <w:tcW w:w="1188" w:type="dxa"/>
            <w:shd w:val="clear" w:color="auto" w:fill="auto"/>
          </w:tcPr>
          <w:p w14:paraId="3D4F16A4" w14:textId="77777777" w:rsidR="007266CF" w:rsidRPr="002A677E" w:rsidRDefault="007266CF" w:rsidP="007266CF">
            <w:pPr>
              <w:pStyle w:val="InstructionsText"/>
            </w:pPr>
            <w:r>
              <w:t>0030</w:t>
            </w:r>
          </w:p>
        </w:tc>
        <w:tc>
          <w:tcPr>
            <w:tcW w:w="8701" w:type="dxa"/>
            <w:shd w:val="clear" w:color="auto" w:fill="auto"/>
          </w:tcPr>
          <w:p w14:paraId="1E245744"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na něž se použije podpůrný koeficient pro malé a střední podniky</w:t>
            </w:r>
          </w:p>
          <w:p w14:paraId="73347C54" w14:textId="77777777" w:rsidR="007266CF" w:rsidRPr="002A677E" w:rsidRDefault="007266CF" w:rsidP="007266CF">
            <w:pPr>
              <w:pStyle w:val="InstructionsText"/>
            </w:pPr>
            <w:r>
              <w:t xml:space="preserve">Vykazují se zde pouze expozice splňující požadavky článku 501 nařízení (EU) č. 575/2013. </w:t>
            </w:r>
          </w:p>
        </w:tc>
      </w:tr>
      <w:tr w:rsidR="007266CF" w:rsidRPr="006223CC" w14:paraId="72774BE2" w14:textId="77777777" w:rsidTr="007266CF">
        <w:tc>
          <w:tcPr>
            <w:tcW w:w="1188" w:type="dxa"/>
            <w:shd w:val="clear" w:color="auto" w:fill="auto"/>
          </w:tcPr>
          <w:p w14:paraId="76CFA625" w14:textId="77777777" w:rsidR="007266CF" w:rsidRPr="002A677E" w:rsidRDefault="007266CF" w:rsidP="007266CF">
            <w:pPr>
              <w:pStyle w:val="InstructionsText"/>
            </w:pPr>
            <w:r>
              <w:lastRenderedPageBreak/>
              <w:t>0035</w:t>
            </w:r>
          </w:p>
        </w:tc>
        <w:tc>
          <w:tcPr>
            <w:tcW w:w="8701" w:type="dxa"/>
            <w:shd w:val="clear" w:color="auto" w:fill="auto"/>
          </w:tcPr>
          <w:p w14:paraId="1725BFCC"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Z toho: expozice, na něž se použije podpůrný koeficient pro infrastrukturu</w:t>
            </w:r>
          </w:p>
          <w:p w14:paraId="1E3BAD62"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lang w:val="fr-FR"/>
              </w:rPr>
              <w:t>Vykazují se zde pouze expozice splňující požadavky článku 501a nařízení (EU) č. 575/2013.</w:t>
            </w:r>
          </w:p>
        </w:tc>
      </w:tr>
      <w:tr w:rsidR="007266CF" w:rsidRPr="002A677E" w14:paraId="7F0AB8FA" w14:textId="77777777" w:rsidTr="007266CF">
        <w:tc>
          <w:tcPr>
            <w:tcW w:w="1188" w:type="dxa"/>
            <w:shd w:val="clear" w:color="auto" w:fill="auto"/>
          </w:tcPr>
          <w:p w14:paraId="65A721A6" w14:textId="77777777" w:rsidR="007266CF" w:rsidRPr="002A677E" w:rsidRDefault="007266CF" w:rsidP="007266CF">
            <w:pPr>
              <w:pStyle w:val="InstructionsText"/>
            </w:pPr>
            <w:r>
              <w:t>0040</w:t>
            </w:r>
          </w:p>
        </w:tc>
        <w:tc>
          <w:tcPr>
            <w:tcW w:w="8701" w:type="dxa"/>
            <w:shd w:val="clear" w:color="auto" w:fill="auto"/>
          </w:tcPr>
          <w:p w14:paraId="57C2C39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zajištěné nemovitostmi – obytné nemovitosti</w:t>
            </w:r>
          </w:p>
          <w:p w14:paraId="65D602A5" w14:textId="77777777" w:rsidR="007266CF" w:rsidRPr="002A677E" w:rsidRDefault="007266CF" w:rsidP="007266CF">
            <w:pPr>
              <w:pStyle w:val="InstructionsText"/>
            </w:pPr>
            <w:r>
              <w:t>Článek 125 nařízení (EU) č. 575/2013</w:t>
            </w:r>
          </w:p>
          <w:p w14:paraId="5E3053C6" w14:textId="77777777" w:rsidR="007266CF" w:rsidRPr="002A677E" w:rsidRDefault="007266CF" w:rsidP="007266CF">
            <w:pPr>
              <w:pStyle w:val="InstructionsText"/>
              <w:rPr>
                <w:b/>
                <w:u w:val="single"/>
              </w:rPr>
            </w:pPr>
            <w:r>
              <w:t>Jedná se pouze o expozice vykazované v kategorii „expozice zajištěné nemovitostmi“.</w:t>
            </w:r>
          </w:p>
        </w:tc>
      </w:tr>
      <w:tr w:rsidR="007266CF" w:rsidRPr="002A677E" w14:paraId="3D5E2991" w14:textId="77777777" w:rsidTr="007266CF">
        <w:tc>
          <w:tcPr>
            <w:tcW w:w="1188" w:type="dxa"/>
            <w:shd w:val="clear" w:color="auto" w:fill="auto"/>
          </w:tcPr>
          <w:p w14:paraId="59675E28" w14:textId="77777777" w:rsidR="007266CF" w:rsidRPr="002A677E" w:rsidRDefault="007266CF" w:rsidP="007266CF">
            <w:pPr>
              <w:pStyle w:val="InstructionsText"/>
            </w:pPr>
            <w:r>
              <w:t>0050</w:t>
            </w:r>
          </w:p>
        </w:tc>
        <w:tc>
          <w:tcPr>
            <w:tcW w:w="8701" w:type="dxa"/>
            <w:shd w:val="clear" w:color="auto" w:fill="auto"/>
          </w:tcPr>
          <w:p w14:paraId="6D9410C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rámci trvalého částečného použití standardizovaného přístupu</w:t>
            </w:r>
          </w:p>
          <w:p w14:paraId="6455745E" w14:textId="77777777" w:rsidR="007266CF" w:rsidRPr="002A677E" w:rsidRDefault="007266CF" w:rsidP="007266CF">
            <w:pPr>
              <w:pStyle w:val="InstructionsText"/>
            </w:pPr>
            <w:r>
              <w:t>Expozice, na něž byl použit standardizovaný přístup v souladu s čl. 150 odst. 1 nařízení (EU) č. 575/2013</w:t>
            </w:r>
          </w:p>
        </w:tc>
      </w:tr>
      <w:tr w:rsidR="007266CF" w:rsidRPr="006223CC" w14:paraId="3F3FB585" w14:textId="77777777" w:rsidTr="007266CF">
        <w:tc>
          <w:tcPr>
            <w:tcW w:w="1188" w:type="dxa"/>
            <w:shd w:val="clear" w:color="auto" w:fill="auto"/>
          </w:tcPr>
          <w:p w14:paraId="606D7D56" w14:textId="77777777" w:rsidR="007266CF" w:rsidRPr="002A677E" w:rsidRDefault="007266CF" w:rsidP="007266CF">
            <w:pPr>
              <w:pStyle w:val="InstructionsText"/>
            </w:pPr>
            <w:r>
              <w:t>0060</w:t>
            </w:r>
          </w:p>
        </w:tc>
        <w:tc>
          <w:tcPr>
            <w:tcW w:w="8701" w:type="dxa"/>
            <w:shd w:val="clear" w:color="auto" w:fill="auto"/>
          </w:tcPr>
          <w:p w14:paraId="636E2807"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rámci standardizovaného přístupu, v jejichž případě orgán dohledu poskytl předchozí svolení s postupným zaváděním přístupu IRB</w:t>
            </w:r>
          </w:p>
          <w:p w14:paraId="140281F1" w14:textId="77777777" w:rsidR="007266CF" w:rsidRPr="006223CC" w:rsidRDefault="007266CF" w:rsidP="007266CF">
            <w:pPr>
              <w:pStyle w:val="InstructionsText"/>
              <w:rPr>
                <w:lang w:val="fr-FR"/>
              </w:rPr>
            </w:pPr>
            <w:r w:rsidRPr="006223CC">
              <w:rPr>
                <w:lang w:val="fr-FR"/>
              </w:rPr>
              <w:t xml:space="preserve">Ustanovení čl. 148 odst. 1 nařízení (EU) č. 575/2013 </w:t>
            </w:r>
          </w:p>
        </w:tc>
      </w:tr>
      <w:tr w:rsidR="007266CF" w:rsidRPr="002A677E" w14:paraId="06D15822" w14:textId="77777777" w:rsidTr="007266CF">
        <w:tc>
          <w:tcPr>
            <w:tcW w:w="1188" w:type="dxa"/>
          </w:tcPr>
          <w:p w14:paraId="0A238749" w14:textId="77777777" w:rsidR="007266CF" w:rsidRPr="002A677E" w:rsidRDefault="007266CF" w:rsidP="007266CF">
            <w:pPr>
              <w:pStyle w:val="InstructionsText"/>
            </w:pPr>
            <w:r>
              <w:t>0070–0130</w:t>
            </w:r>
          </w:p>
        </w:tc>
        <w:tc>
          <w:tcPr>
            <w:tcW w:w="8701" w:type="dxa"/>
          </w:tcPr>
          <w:p w14:paraId="1009B871"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CELKOVÝCH EXPOZIC PODLE DRUHŮ EXPOZIC</w:t>
            </w:r>
          </w:p>
          <w:p w14:paraId="5FF56E03" w14:textId="77777777" w:rsidR="007266CF" w:rsidRPr="002A677E" w:rsidRDefault="007266CF" w:rsidP="007266CF">
            <w:pPr>
              <w:pStyle w:val="InstructionsText"/>
            </w:pPr>
            <w:r>
              <w:t xml:space="preserve">Pozice vykazující instituce, které patří do „investičního portfolia“, se podle níže uvedených kritérií rozdělí na rozvahové expozice podléhající úvěrovému riziku, podrozvahové expozice podléhající úvěrovému riziku a expozice podléhající úvěrovému riziku protistrany. </w:t>
            </w:r>
          </w:p>
          <w:p w14:paraId="658A544F" w14:textId="77777777" w:rsidR="007266CF" w:rsidRPr="002A677E" w:rsidRDefault="007266CF" w:rsidP="007266CF">
            <w:pPr>
              <w:pStyle w:val="InstructionsText"/>
            </w:pPr>
            <w:r>
              <w:t>Expozice vůči úvěrovému riziku protistrany vzniklému z transakcí instituce zahrnutých do obchodního portfolia ve smyslu čl. 92 odst. 3 písm. f) a čl. 299 odst. 2 nařízení (EU) č. 575/2013 se přiřadí k expozicím podléhajícím úvěrovému riziku protistrany. Rovněž instituce, které uplatňují čl. 94 odst. 1 nařízení (EU) č. 575/2013, rozdělují podle níže uvedených kritérií své pozice uvedené v čl. 92 odst. 3 písm. b) zmíněného nařízení v „obchodním portfoliu“ na rozvahové expozice podléhající úvěrovému riziku, podrozvahové expozice podléhající úvěrovému riziku a expozice podléhající úvěrovému riziku protistrany.</w:t>
            </w:r>
          </w:p>
        </w:tc>
      </w:tr>
      <w:tr w:rsidR="007266CF" w:rsidRPr="002A677E" w14:paraId="1D68CD13" w14:textId="77777777" w:rsidTr="007266CF">
        <w:tc>
          <w:tcPr>
            <w:tcW w:w="1188" w:type="dxa"/>
          </w:tcPr>
          <w:p w14:paraId="282EC660" w14:textId="77777777" w:rsidR="007266CF" w:rsidRPr="002A677E" w:rsidRDefault="007266CF" w:rsidP="007266CF">
            <w:pPr>
              <w:pStyle w:val="InstructionsText"/>
            </w:pPr>
            <w:r>
              <w:t>0070</w:t>
            </w:r>
          </w:p>
        </w:tc>
        <w:tc>
          <w:tcPr>
            <w:tcW w:w="8701" w:type="dxa"/>
          </w:tcPr>
          <w:p w14:paraId="257D294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Rozvahové expozice podléhající úvěrovému riziku </w:t>
            </w:r>
          </w:p>
          <w:p w14:paraId="4DA5E29C" w14:textId="77777777" w:rsidR="007266CF" w:rsidRPr="002A677E" w:rsidRDefault="007266CF" w:rsidP="007266CF">
            <w:pPr>
              <w:pStyle w:val="InstructionsText"/>
            </w:pPr>
            <w:r>
              <w:t>Aktiva uvedená v článku 24 nařízení (EU) č. 575/2013 nezahrnutá do jiné kategorie.</w:t>
            </w:r>
          </w:p>
          <w:p w14:paraId="6FF355A2" w14:textId="77777777" w:rsidR="007266CF" w:rsidRPr="002A677E" w:rsidRDefault="007266CF" w:rsidP="007266CF">
            <w:pPr>
              <w:pStyle w:val="InstructionsText"/>
            </w:pPr>
            <w:r>
              <w:t>Expozice, které jsou vystaveny úvěrovému riziku protistrany, se vykazují v řádcích 0090–0130, a proto se nevykazují v tomto řádku.</w:t>
            </w:r>
          </w:p>
          <w:p w14:paraId="65291552" w14:textId="77777777" w:rsidR="007266CF" w:rsidRPr="002A677E" w:rsidRDefault="007266CF" w:rsidP="007266CF">
            <w:pPr>
              <w:pStyle w:val="InstructionsText"/>
            </w:pPr>
            <w:r>
              <w:t>Volné dodávky podle čl. 379 odst. 1 nařízení (EU) č. 575/2013 (nejsou-li odečteny) nejsou rozvahovou položkou, avšak vykazují se v tomto řádku.</w:t>
            </w:r>
          </w:p>
          <w:p w14:paraId="7423D329" w14:textId="77777777" w:rsidR="007266CF" w:rsidRPr="002A677E" w:rsidRDefault="007266CF" w:rsidP="007266CF">
            <w:pPr>
              <w:pStyle w:val="InstructionsText"/>
            </w:pPr>
          </w:p>
        </w:tc>
      </w:tr>
      <w:tr w:rsidR="007266CF" w:rsidRPr="002A677E" w14:paraId="65EE08B1" w14:textId="77777777" w:rsidTr="007266CF">
        <w:tc>
          <w:tcPr>
            <w:tcW w:w="1188" w:type="dxa"/>
          </w:tcPr>
          <w:p w14:paraId="58900B12" w14:textId="77777777" w:rsidR="007266CF" w:rsidRPr="002A677E" w:rsidRDefault="007266CF" w:rsidP="007266CF">
            <w:pPr>
              <w:pStyle w:val="InstructionsText"/>
            </w:pPr>
            <w:r>
              <w:t>0080</w:t>
            </w:r>
          </w:p>
        </w:tc>
        <w:tc>
          <w:tcPr>
            <w:tcW w:w="8701" w:type="dxa"/>
          </w:tcPr>
          <w:p w14:paraId="2905A21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Podrozvahové expozice podléhající úvěrovému riziku</w:t>
            </w:r>
          </w:p>
          <w:p w14:paraId="5827D2B9" w14:textId="77777777" w:rsidR="007266CF" w:rsidRPr="002A677E" w:rsidRDefault="007266CF" w:rsidP="007266CF">
            <w:pPr>
              <w:pStyle w:val="InstructionsText"/>
            </w:pPr>
            <w:r>
              <w:t>Mezi podrozvahové pozice patří položky vyjmenované v příloze I nařízení (EU) č. 575/2013.</w:t>
            </w:r>
          </w:p>
          <w:p w14:paraId="0ACBEDE9" w14:textId="77777777" w:rsidR="007266CF" w:rsidRPr="002A677E" w:rsidRDefault="007266CF" w:rsidP="007266CF">
            <w:pPr>
              <w:pStyle w:val="InstructionsText"/>
            </w:pPr>
            <w:r>
              <w:t>Expozice, které jsou vystaveny úvěrovému riziku protistrany, se vykazují v řádcích 0090–0130, a proto se nevykazují v tomto řádku.</w:t>
            </w:r>
          </w:p>
          <w:p w14:paraId="4C72A9EF" w14:textId="77777777" w:rsidR="007266CF" w:rsidRPr="002A677E" w:rsidRDefault="007266CF" w:rsidP="007266CF">
            <w:pPr>
              <w:pStyle w:val="InstructionsText"/>
            </w:pPr>
          </w:p>
        </w:tc>
      </w:tr>
      <w:tr w:rsidR="007266CF" w:rsidRPr="002A677E" w14:paraId="71CE412B" w14:textId="77777777" w:rsidTr="007266CF">
        <w:tc>
          <w:tcPr>
            <w:tcW w:w="1188" w:type="dxa"/>
            <w:tcBorders>
              <w:top w:val="single" w:sz="4" w:space="0" w:color="auto"/>
              <w:left w:val="single" w:sz="4" w:space="0" w:color="auto"/>
              <w:bottom w:val="single" w:sz="4" w:space="0" w:color="auto"/>
              <w:right w:val="single" w:sz="4" w:space="0" w:color="auto"/>
            </w:tcBorders>
          </w:tcPr>
          <w:p w14:paraId="77D06A74" w14:textId="77777777" w:rsidR="007266CF" w:rsidRPr="002A677E" w:rsidRDefault="007266CF" w:rsidP="007266CF">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1190E386"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Expozice/transakce podléhající úvěrovému riziku protistrany</w:t>
            </w:r>
          </w:p>
          <w:p w14:paraId="7E75370F" w14:textId="77777777" w:rsidR="007266CF" w:rsidRPr="002A677E" w:rsidRDefault="007266CF" w:rsidP="007266CF">
            <w:pPr>
              <w:pStyle w:val="InstructionsText"/>
            </w:pPr>
            <w:r>
              <w:lastRenderedPageBreak/>
              <w:t>Transakce podléhající úvěrovému riziku protistrany, tj. derivátové nástroje, repo obchody, půjčky či výpůjčky cenných papírů nebo komodit, transakce s delší dobou vypořádání a maržové obchody.</w:t>
            </w:r>
          </w:p>
        </w:tc>
      </w:tr>
      <w:tr w:rsidR="007266CF" w:rsidRPr="002A677E" w14:paraId="1C316128" w14:textId="77777777" w:rsidTr="007266CF">
        <w:tc>
          <w:tcPr>
            <w:tcW w:w="1188" w:type="dxa"/>
          </w:tcPr>
          <w:p w14:paraId="10A6FF3E" w14:textId="77777777" w:rsidR="007266CF" w:rsidRPr="002A677E" w:rsidRDefault="007266CF" w:rsidP="007266CF">
            <w:pPr>
              <w:pStyle w:val="InstructionsText"/>
            </w:pPr>
            <w:r>
              <w:lastRenderedPageBreak/>
              <w:t>0090</w:t>
            </w:r>
          </w:p>
        </w:tc>
        <w:tc>
          <w:tcPr>
            <w:tcW w:w="8701" w:type="dxa"/>
          </w:tcPr>
          <w:p w14:paraId="719AA14C" w14:textId="77777777" w:rsidR="007266CF" w:rsidRPr="002A677E" w:rsidRDefault="007266CF" w:rsidP="007266CF">
            <w:pPr>
              <w:pStyle w:val="InstructionsText"/>
            </w:pPr>
            <w:r>
              <w:rPr>
                <w:rStyle w:val="InstructionsTabelleberschrift"/>
                <w:rFonts w:ascii="Times New Roman" w:hAnsi="Times New Roman"/>
                <w:sz w:val="24"/>
              </w:rPr>
              <w:t>Skupiny transakcí se započtením transakcí s financováním cenných papírů</w:t>
            </w:r>
          </w:p>
          <w:p w14:paraId="542ACE27" w14:textId="77777777" w:rsidR="007266CF" w:rsidRPr="002A677E" w:rsidRDefault="007266CF" w:rsidP="007266CF">
            <w:pPr>
              <w:pStyle w:val="InstructionsText"/>
            </w:pPr>
            <w:r>
              <w:t>Skupiny transakcí se započtením obsahující pouze transakce s financováním cenných papírů ve smyslu čl. 4 odst. 1 bodu 139 nařízení (EU) č. 575/2013.</w:t>
            </w:r>
          </w:p>
          <w:p w14:paraId="09339D97" w14:textId="77777777" w:rsidR="007266CF" w:rsidRPr="002A677E" w:rsidRDefault="007266CF" w:rsidP="007266CF">
            <w:pPr>
              <w:pStyle w:val="InstructionsText"/>
            </w:pPr>
            <w:r>
              <w:t>Transakce s financováním cenných papírů, které jsou zahrnuty do křížového započtení na základě smlouvy, a proto se vykazují v řádku 0130, se nevykazují v tomto řádku.</w:t>
            </w:r>
          </w:p>
        </w:tc>
      </w:tr>
      <w:tr w:rsidR="007266CF" w:rsidRPr="002A677E" w14:paraId="20599BEA" w14:textId="77777777" w:rsidTr="007266CF">
        <w:tc>
          <w:tcPr>
            <w:tcW w:w="1188" w:type="dxa"/>
          </w:tcPr>
          <w:p w14:paraId="2D68F0F5" w14:textId="77777777" w:rsidR="007266CF" w:rsidRPr="002A677E" w:rsidRDefault="007266CF" w:rsidP="007266CF">
            <w:pPr>
              <w:pStyle w:val="InstructionsText"/>
            </w:pPr>
            <w:r>
              <w:t>0100</w:t>
            </w:r>
          </w:p>
        </w:tc>
        <w:tc>
          <w:tcPr>
            <w:tcW w:w="8701" w:type="dxa"/>
          </w:tcPr>
          <w:p w14:paraId="2DF0AE0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s clearingem prováděným centrálně prostřednictvím způsobilé ústřední protistrany</w:t>
            </w:r>
          </w:p>
          <w:p w14:paraId="0551709B" w14:textId="77777777" w:rsidR="007266CF" w:rsidRPr="002A677E" w:rsidRDefault="007266CF" w:rsidP="007266CF">
            <w:pPr>
              <w:pStyle w:val="InstructionsText"/>
            </w:pPr>
            <w:r>
              <w:t>Smlouvy a transakce uvedené v čl. 301 odst. 1 nařízení (EU) č. 575/2013, pokud dosud nebyly vypořádány se způsobilou ústřední protistranou ve smyslu čl. 4 odst. 1 bodu 88 uvedeného nařízení, včetně transakcí souvisejících se způsobilou ústřední protistranou, u nichž se objemy rizikově vážených expozic vypočítávají v souladu s částí třetí hlavou II kapitolou 6 oddílem 9 uvedeného nařízení. Pojem „transakce související se způsobilou ústřední protistranou“ má stejný význam jako pojem „transakce související s ústřední protistranou“ v čl. 300 odst. 2 nařízení (EU) č. 575/2013, pokud je ústřední protistrana způsobilou ústřední protistranou.</w:t>
            </w:r>
          </w:p>
        </w:tc>
      </w:tr>
      <w:tr w:rsidR="007266CF" w:rsidRPr="002A677E" w14:paraId="55D41B6D" w14:textId="77777777" w:rsidTr="007266CF">
        <w:tc>
          <w:tcPr>
            <w:tcW w:w="1188" w:type="dxa"/>
          </w:tcPr>
          <w:p w14:paraId="28BF1CED" w14:textId="77777777" w:rsidR="007266CF" w:rsidRPr="002A677E" w:rsidRDefault="007266CF" w:rsidP="007266CF">
            <w:pPr>
              <w:pStyle w:val="InstructionsText"/>
            </w:pPr>
            <w:r>
              <w:t>0110</w:t>
            </w:r>
          </w:p>
        </w:tc>
        <w:tc>
          <w:tcPr>
            <w:tcW w:w="8701" w:type="dxa"/>
          </w:tcPr>
          <w:p w14:paraId="46C57D6C"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Skupiny transakcí se započtením zahrnující deriváty a transakce s delší dobou vypořádání</w:t>
            </w:r>
          </w:p>
          <w:p w14:paraId="21698375" w14:textId="77777777" w:rsidR="007266CF" w:rsidRPr="002A677E" w:rsidRDefault="007266CF" w:rsidP="007266CF">
            <w:pPr>
              <w:pStyle w:val="InstructionsText"/>
            </w:pPr>
            <w:r>
              <w:t>Skupiny transakcí se započtením obsahující pouze deriváty uvedené v příloze II nařízení (EU) č. 575/2013 a transakce s delší dobou vypořádání ve smyslu čl. 272 odst. 2 uvedeného nařízení.</w:t>
            </w:r>
          </w:p>
          <w:p w14:paraId="67E4F692" w14:textId="77777777" w:rsidR="007266CF" w:rsidRPr="002A677E" w:rsidRDefault="007266CF" w:rsidP="007266CF">
            <w:pPr>
              <w:pStyle w:val="InstructionsText"/>
            </w:pPr>
            <w:r>
              <w:t>Deriváty a transakce s delší dobou vypořádání, které jsou zahrnuty do křížového započtení na základě smlouvy, a proto se vykazují v řádku 0130, se nevykazují v tomto řádku.</w:t>
            </w:r>
          </w:p>
        </w:tc>
      </w:tr>
      <w:tr w:rsidR="007266CF" w:rsidRPr="002A677E" w14:paraId="0E7BBFF0" w14:textId="77777777" w:rsidTr="007266CF">
        <w:tc>
          <w:tcPr>
            <w:tcW w:w="1188" w:type="dxa"/>
          </w:tcPr>
          <w:p w14:paraId="452CFD03" w14:textId="77777777" w:rsidR="007266CF" w:rsidRPr="002A677E" w:rsidRDefault="007266CF" w:rsidP="007266CF">
            <w:pPr>
              <w:pStyle w:val="InstructionsText"/>
            </w:pPr>
            <w:r>
              <w:t>0120</w:t>
            </w:r>
          </w:p>
        </w:tc>
        <w:tc>
          <w:tcPr>
            <w:tcW w:w="8701" w:type="dxa"/>
          </w:tcPr>
          <w:p w14:paraId="69F342D0" w14:textId="77777777" w:rsidR="007266CF" w:rsidRPr="002A677E" w:rsidRDefault="007266CF" w:rsidP="007266CF">
            <w:pPr>
              <w:pStyle w:val="InstructionsText"/>
            </w:pPr>
            <w:r>
              <w:rPr>
                <w:rStyle w:val="InstructionsTabelleberschrift"/>
                <w:rFonts w:ascii="Times New Roman" w:hAnsi="Times New Roman"/>
                <w:sz w:val="24"/>
              </w:rPr>
              <w:t>Z toho: s clearingem prováděným centrálně prostřednictvím způsobilé ústřední protistrany</w:t>
            </w:r>
          </w:p>
          <w:p w14:paraId="345726E4" w14:textId="77777777" w:rsidR="007266CF" w:rsidRPr="002A677E" w:rsidRDefault="007266CF" w:rsidP="007266CF">
            <w:pPr>
              <w:pStyle w:val="InstructionsText"/>
            </w:pPr>
            <w:r>
              <w:t>Viz pokyny k řádku 0100.</w:t>
            </w:r>
          </w:p>
        </w:tc>
      </w:tr>
      <w:tr w:rsidR="007266CF" w:rsidRPr="002A677E" w14:paraId="7EFBC733" w14:textId="77777777" w:rsidTr="007266CF">
        <w:tc>
          <w:tcPr>
            <w:tcW w:w="1188" w:type="dxa"/>
          </w:tcPr>
          <w:p w14:paraId="3C7F1C20" w14:textId="77777777" w:rsidR="007266CF" w:rsidRPr="002A677E" w:rsidRDefault="007266CF" w:rsidP="007266CF">
            <w:pPr>
              <w:pStyle w:val="InstructionsText"/>
            </w:pPr>
            <w:r>
              <w:t>0130</w:t>
            </w:r>
          </w:p>
        </w:tc>
        <w:tc>
          <w:tcPr>
            <w:tcW w:w="8701" w:type="dxa"/>
          </w:tcPr>
          <w:p w14:paraId="7366CB78"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 křížového započtení na základě smlouvy</w:t>
            </w:r>
          </w:p>
          <w:p w14:paraId="49989E40" w14:textId="77777777" w:rsidR="007266CF" w:rsidRPr="002A677E" w:rsidRDefault="007266CF" w:rsidP="007266CF">
            <w:pPr>
              <w:pStyle w:val="InstructionsText"/>
            </w:pPr>
            <w:r>
              <w:t>Skupina transakcí se započtením zahrnující transakce z různých produktových kategorií (čl. 272 odst. 11 nařízení (EU) č. 575/2013), tj. deriváty a transakce s financováním cenných papírů, pro které existuje dohoda o křížovém započtení ve smyslu čl. 272 bodu 25 nařízení (EU) č. 575/2013.</w:t>
            </w:r>
          </w:p>
        </w:tc>
      </w:tr>
      <w:tr w:rsidR="007266CF" w:rsidRPr="002A677E" w14:paraId="1533A308" w14:textId="77777777" w:rsidTr="007266CF">
        <w:tc>
          <w:tcPr>
            <w:tcW w:w="1188" w:type="dxa"/>
          </w:tcPr>
          <w:p w14:paraId="1C15FA72" w14:textId="77777777" w:rsidR="007266CF" w:rsidRPr="002A677E" w:rsidRDefault="007266CF" w:rsidP="007266CF">
            <w:pPr>
              <w:pStyle w:val="InstructionsText"/>
            </w:pPr>
            <w:r>
              <w:t>0140–0280</w:t>
            </w:r>
          </w:p>
        </w:tc>
        <w:tc>
          <w:tcPr>
            <w:tcW w:w="8701" w:type="dxa"/>
          </w:tcPr>
          <w:p w14:paraId="1235B844"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EXPOZIC PODLE RIZIKOVÝCH VAH</w:t>
            </w:r>
          </w:p>
          <w:p w14:paraId="31EABBCE" w14:textId="77777777" w:rsidR="007266CF" w:rsidRPr="002A677E" w:rsidRDefault="007266CF" w:rsidP="007266CF">
            <w:pPr>
              <w:pStyle w:val="InstructionsText"/>
            </w:pPr>
          </w:p>
        </w:tc>
      </w:tr>
      <w:tr w:rsidR="007266CF" w:rsidRPr="002A677E" w14:paraId="1E4A3D7C" w14:textId="77777777" w:rsidTr="007266CF">
        <w:tc>
          <w:tcPr>
            <w:tcW w:w="1188" w:type="dxa"/>
            <w:shd w:val="clear" w:color="auto" w:fill="auto"/>
          </w:tcPr>
          <w:p w14:paraId="79023189" w14:textId="77777777" w:rsidR="007266CF" w:rsidRPr="002A677E" w:rsidRDefault="007266CF" w:rsidP="007266CF">
            <w:pPr>
              <w:pStyle w:val="InstructionsText"/>
            </w:pPr>
            <w:r>
              <w:t>0140</w:t>
            </w:r>
          </w:p>
        </w:tc>
        <w:tc>
          <w:tcPr>
            <w:tcW w:w="8701" w:type="dxa"/>
            <w:shd w:val="clear" w:color="auto" w:fill="auto"/>
          </w:tcPr>
          <w:p w14:paraId="6433477C" w14:textId="77777777" w:rsidR="007266CF" w:rsidRPr="002A677E" w:rsidRDefault="007266CF" w:rsidP="007266CF">
            <w:pPr>
              <w:pStyle w:val="InstructionsText"/>
            </w:pPr>
            <w:r>
              <w:rPr>
                <w:rStyle w:val="InstructionsTabelleberschrift"/>
                <w:rFonts w:ascii="Times New Roman" w:hAnsi="Times New Roman"/>
                <w:sz w:val="24"/>
              </w:rPr>
              <w:t>0 %</w:t>
            </w:r>
          </w:p>
        </w:tc>
      </w:tr>
      <w:tr w:rsidR="007266CF" w:rsidRPr="006223CC" w14:paraId="6C4047BB" w14:textId="77777777" w:rsidTr="007266CF">
        <w:tc>
          <w:tcPr>
            <w:tcW w:w="1188" w:type="dxa"/>
            <w:shd w:val="clear" w:color="auto" w:fill="auto"/>
          </w:tcPr>
          <w:p w14:paraId="212584EE" w14:textId="77777777" w:rsidR="007266CF" w:rsidRPr="002A677E" w:rsidRDefault="007266CF" w:rsidP="007266CF">
            <w:pPr>
              <w:pStyle w:val="InstructionsText"/>
            </w:pPr>
            <w:r>
              <w:t>0150</w:t>
            </w:r>
          </w:p>
        </w:tc>
        <w:tc>
          <w:tcPr>
            <w:tcW w:w="8701" w:type="dxa"/>
            <w:shd w:val="clear" w:color="auto" w:fill="auto"/>
          </w:tcPr>
          <w:p w14:paraId="376971DB"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2 %</w:t>
            </w:r>
          </w:p>
          <w:p w14:paraId="6341BEC4" w14:textId="77777777" w:rsidR="007266CF" w:rsidRPr="006223CC" w:rsidRDefault="007266CF" w:rsidP="007266CF">
            <w:pPr>
              <w:pStyle w:val="InstructionsText"/>
              <w:rPr>
                <w:b/>
                <w:lang w:val="fr-FR"/>
              </w:rPr>
            </w:pPr>
            <w:r w:rsidRPr="006223CC">
              <w:rPr>
                <w:lang w:val="fr-FR"/>
              </w:rPr>
              <w:t>Ustanovení čl. 306 odst. 1 nařízení (EU) č. 575/2013</w:t>
            </w:r>
          </w:p>
        </w:tc>
      </w:tr>
      <w:tr w:rsidR="007266CF" w:rsidRPr="006223CC" w14:paraId="26767E36" w14:textId="77777777" w:rsidTr="007266CF">
        <w:tc>
          <w:tcPr>
            <w:tcW w:w="1188" w:type="dxa"/>
            <w:shd w:val="clear" w:color="auto" w:fill="auto"/>
          </w:tcPr>
          <w:p w14:paraId="790CCBAA" w14:textId="77777777" w:rsidR="007266CF" w:rsidRPr="002A677E" w:rsidRDefault="007266CF" w:rsidP="007266CF">
            <w:pPr>
              <w:pStyle w:val="InstructionsText"/>
            </w:pPr>
            <w:r>
              <w:t>0160</w:t>
            </w:r>
          </w:p>
        </w:tc>
        <w:tc>
          <w:tcPr>
            <w:tcW w:w="8701" w:type="dxa"/>
            <w:shd w:val="clear" w:color="auto" w:fill="auto"/>
          </w:tcPr>
          <w:p w14:paraId="7AEE26F9" w14:textId="77777777" w:rsidR="007266CF" w:rsidRPr="006223CC" w:rsidRDefault="007266CF" w:rsidP="007266CF">
            <w:pPr>
              <w:pStyle w:val="InstructionsText"/>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4 %</w:t>
            </w:r>
          </w:p>
          <w:p w14:paraId="1D5A2628" w14:textId="77777777" w:rsidR="007266CF" w:rsidRPr="006223CC" w:rsidRDefault="007266CF" w:rsidP="007266CF">
            <w:pPr>
              <w:pStyle w:val="InstructionsText"/>
              <w:rPr>
                <w:b/>
                <w:u w:val="single"/>
                <w:lang w:val="fr-FR"/>
              </w:rPr>
            </w:pPr>
            <w:r w:rsidRPr="006223CC">
              <w:rPr>
                <w:lang w:val="fr-FR"/>
              </w:rPr>
              <w:t>Ustanovení čl. 305 odst. 3 nařízení (EU) č. 575/2013</w:t>
            </w:r>
          </w:p>
        </w:tc>
      </w:tr>
      <w:tr w:rsidR="007266CF" w:rsidRPr="002A677E" w14:paraId="74FDC6C5" w14:textId="77777777" w:rsidTr="007266CF">
        <w:tc>
          <w:tcPr>
            <w:tcW w:w="1188" w:type="dxa"/>
            <w:shd w:val="clear" w:color="auto" w:fill="auto"/>
          </w:tcPr>
          <w:p w14:paraId="2AD4A181" w14:textId="77777777" w:rsidR="007266CF" w:rsidRPr="002A677E" w:rsidRDefault="007266CF" w:rsidP="007266CF">
            <w:pPr>
              <w:pStyle w:val="InstructionsText"/>
            </w:pPr>
            <w:r>
              <w:t>0170</w:t>
            </w:r>
          </w:p>
        </w:tc>
        <w:tc>
          <w:tcPr>
            <w:tcW w:w="8701" w:type="dxa"/>
            <w:shd w:val="clear" w:color="auto" w:fill="auto"/>
          </w:tcPr>
          <w:p w14:paraId="3A449B12" w14:textId="77777777" w:rsidR="007266CF" w:rsidRPr="002A677E" w:rsidRDefault="007266CF" w:rsidP="007266CF">
            <w:pPr>
              <w:pStyle w:val="InstructionsText"/>
            </w:pPr>
            <w:r>
              <w:rPr>
                <w:rStyle w:val="InstructionsTabelleberschrift"/>
                <w:rFonts w:ascii="Times New Roman" w:hAnsi="Times New Roman"/>
                <w:sz w:val="24"/>
              </w:rPr>
              <w:t>10 %</w:t>
            </w:r>
          </w:p>
        </w:tc>
      </w:tr>
      <w:tr w:rsidR="007266CF" w:rsidRPr="002A677E" w14:paraId="4482049B" w14:textId="77777777" w:rsidTr="007266CF">
        <w:tc>
          <w:tcPr>
            <w:tcW w:w="1188" w:type="dxa"/>
            <w:shd w:val="clear" w:color="auto" w:fill="auto"/>
          </w:tcPr>
          <w:p w14:paraId="46BF6D7A" w14:textId="77777777" w:rsidR="007266CF" w:rsidRPr="002A677E" w:rsidRDefault="007266CF" w:rsidP="007266CF">
            <w:pPr>
              <w:pStyle w:val="InstructionsText"/>
            </w:pPr>
            <w:r>
              <w:lastRenderedPageBreak/>
              <w:t>0180</w:t>
            </w:r>
          </w:p>
        </w:tc>
        <w:tc>
          <w:tcPr>
            <w:tcW w:w="8701" w:type="dxa"/>
            <w:shd w:val="clear" w:color="auto" w:fill="auto"/>
          </w:tcPr>
          <w:p w14:paraId="38D7A92D" w14:textId="77777777" w:rsidR="007266CF" w:rsidRPr="002A677E" w:rsidRDefault="007266CF" w:rsidP="007266CF">
            <w:pPr>
              <w:pStyle w:val="InstructionsText"/>
            </w:pPr>
            <w:r>
              <w:rPr>
                <w:rStyle w:val="InstructionsTabelleberschrift"/>
                <w:rFonts w:ascii="Times New Roman" w:hAnsi="Times New Roman"/>
                <w:sz w:val="24"/>
              </w:rPr>
              <w:t>20 %</w:t>
            </w:r>
          </w:p>
        </w:tc>
      </w:tr>
      <w:tr w:rsidR="007266CF" w:rsidRPr="002A677E" w14:paraId="6F97B19C" w14:textId="77777777" w:rsidTr="007266CF">
        <w:tc>
          <w:tcPr>
            <w:tcW w:w="1188" w:type="dxa"/>
            <w:shd w:val="clear" w:color="auto" w:fill="auto"/>
          </w:tcPr>
          <w:p w14:paraId="4AF77F4E" w14:textId="77777777" w:rsidR="007266CF" w:rsidRPr="002A677E" w:rsidRDefault="007266CF" w:rsidP="007266CF">
            <w:pPr>
              <w:pStyle w:val="InstructionsText"/>
            </w:pPr>
            <w:r>
              <w:t>0190</w:t>
            </w:r>
          </w:p>
        </w:tc>
        <w:tc>
          <w:tcPr>
            <w:tcW w:w="8701" w:type="dxa"/>
            <w:shd w:val="clear" w:color="auto" w:fill="auto"/>
          </w:tcPr>
          <w:p w14:paraId="13DBBABD" w14:textId="77777777" w:rsidR="007266CF" w:rsidRPr="002A677E" w:rsidRDefault="007266CF" w:rsidP="007266CF">
            <w:pPr>
              <w:pStyle w:val="InstructionsText"/>
            </w:pPr>
            <w:r>
              <w:rPr>
                <w:rStyle w:val="InstructionsTabelleberschrift"/>
                <w:rFonts w:ascii="Times New Roman" w:hAnsi="Times New Roman"/>
                <w:sz w:val="24"/>
              </w:rPr>
              <w:t>35 %</w:t>
            </w:r>
          </w:p>
        </w:tc>
      </w:tr>
      <w:tr w:rsidR="007266CF" w:rsidRPr="002A677E" w14:paraId="5D37D0F7" w14:textId="77777777" w:rsidTr="007266CF">
        <w:tc>
          <w:tcPr>
            <w:tcW w:w="1188" w:type="dxa"/>
            <w:shd w:val="clear" w:color="auto" w:fill="auto"/>
          </w:tcPr>
          <w:p w14:paraId="29859C6B" w14:textId="77777777" w:rsidR="007266CF" w:rsidRPr="002A677E" w:rsidRDefault="007266CF" w:rsidP="007266CF">
            <w:pPr>
              <w:pStyle w:val="InstructionsText"/>
            </w:pPr>
            <w:r>
              <w:t>0200</w:t>
            </w:r>
          </w:p>
        </w:tc>
        <w:tc>
          <w:tcPr>
            <w:tcW w:w="8701" w:type="dxa"/>
            <w:shd w:val="clear" w:color="auto" w:fill="auto"/>
          </w:tcPr>
          <w:p w14:paraId="05CE7A55" w14:textId="77777777" w:rsidR="007266CF" w:rsidRPr="002A677E" w:rsidRDefault="007266CF" w:rsidP="007266CF">
            <w:pPr>
              <w:pStyle w:val="InstructionsText"/>
            </w:pPr>
            <w:r>
              <w:rPr>
                <w:rStyle w:val="InstructionsTabelleberschrift"/>
                <w:rFonts w:ascii="Times New Roman" w:hAnsi="Times New Roman"/>
                <w:sz w:val="24"/>
              </w:rPr>
              <w:t>50 %</w:t>
            </w:r>
          </w:p>
        </w:tc>
      </w:tr>
      <w:tr w:rsidR="007266CF" w:rsidRPr="002A677E" w14:paraId="3770A505" w14:textId="77777777" w:rsidTr="007266CF">
        <w:tc>
          <w:tcPr>
            <w:tcW w:w="1188" w:type="dxa"/>
            <w:shd w:val="clear" w:color="auto" w:fill="auto"/>
          </w:tcPr>
          <w:p w14:paraId="41587583" w14:textId="77777777" w:rsidR="007266CF" w:rsidRPr="002A677E" w:rsidRDefault="007266CF" w:rsidP="007266CF">
            <w:pPr>
              <w:pStyle w:val="InstructionsText"/>
            </w:pPr>
            <w:r>
              <w:t>0210</w:t>
            </w:r>
          </w:p>
        </w:tc>
        <w:tc>
          <w:tcPr>
            <w:tcW w:w="8701" w:type="dxa"/>
            <w:shd w:val="clear" w:color="auto" w:fill="auto"/>
          </w:tcPr>
          <w:p w14:paraId="79A0FE0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303D36EB" w14:textId="77777777" w:rsidR="007266CF" w:rsidRPr="002A677E" w:rsidRDefault="007266CF" w:rsidP="007266CF">
            <w:pPr>
              <w:pStyle w:val="InstructionsText"/>
            </w:pPr>
            <w:r>
              <w:t>Ustanovení čl. 232 odst. 3 písm. c) nařízení (EU) č. 575/2013.</w:t>
            </w:r>
          </w:p>
        </w:tc>
      </w:tr>
      <w:tr w:rsidR="007266CF" w:rsidRPr="002A677E" w14:paraId="253A3C28" w14:textId="77777777" w:rsidTr="007266CF">
        <w:tc>
          <w:tcPr>
            <w:tcW w:w="1188" w:type="dxa"/>
            <w:shd w:val="clear" w:color="auto" w:fill="auto"/>
          </w:tcPr>
          <w:p w14:paraId="77778DE0" w14:textId="77777777" w:rsidR="007266CF" w:rsidRPr="002A677E" w:rsidRDefault="007266CF" w:rsidP="007266CF">
            <w:pPr>
              <w:pStyle w:val="InstructionsText"/>
            </w:pPr>
            <w:r>
              <w:t>0220</w:t>
            </w:r>
          </w:p>
        </w:tc>
        <w:tc>
          <w:tcPr>
            <w:tcW w:w="8701" w:type="dxa"/>
            <w:shd w:val="clear" w:color="auto" w:fill="auto"/>
          </w:tcPr>
          <w:p w14:paraId="408ABB24" w14:textId="77777777" w:rsidR="007266CF" w:rsidRPr="002A677E" w:rsidRDefault="007266CF" w:rsidP="007266CF">
            <w:pPr>
              <w:pStyle w:val="InstructionsText"/>
            </w:pPr>
            <w:r>
              <w:rPr>
                <w:rStyle w:val="InstructionsTabelleberschrift"/>
                <w:rFonts w:ascii="Times New Roman" w:hAnsi="Times New Roman"/>
                <w:sz w:val="24"/>
              </w:rPr>
              <w:t>75 %</w:t>
            </w:r>
          </w:p>
        </w:tc>
      </w:tr>
      <w:tr w:rsidR="007266CF" w:rsidRPr="002A677E" w14:paraId="53843FB7" w14:textId="77777777" w:rsidTr="007266CF">
        <w:tc>
          <w:tcPr>
            <w:tcW w:w="1188" w:type="dxa"/>
            <w:shd w:val="clear" w:color="auto" w:fill="auto"/>
          </w:tcPr>
          <w:p w14:paraId="46228979" w14:textId="77777777" w:rsidR="007266CF" w:rsidRPr="002A677E" w:rsidRDefault="007266CF" w:rsidP="007266CF">
            <w:pPr>
              <w:pStyle w:val="InstructionsText"/>
            </w:pPr>
            <w:r>
              <w:t>0230</w:t>
            </w:r>
          </w:p>
        </w:tc>
        <w:tc>
          <w:tcPr>
            <w:tcW w:w="8701" w:type="dxa"/>
            <w:shd w:val="clear" w:color="auto" w:fill="auto"/>
          </w:tcPr>
          <w:p w14:paraId="3600B09D" w14:textId="77777777" w:rsidR="007266CF" w:rsidRPr="002A677E" w:rsidRDefault="007266CF" w:rsidP="007266CF">
            <w:pPr>
              <w:pStyle w:val="InstructionsText"/>
            </w:pPr>
            <w:r>
              <w:rPr>
                <w:rStyle w:val="InstructionsTabelleberschrift"/>
                <w:rFonts w:ascii="Times New Roman" w:hAnsi="Times New Roman"/>
                <w:sz w:val="24"/>
              </w:rPr>
              <w:t>100 %</w:t>
            </w:r>
          </w:p>
        </w:tc>
      </w:tr>
      <w:tr w:rsidR="007266CF" w:rsidRPr="002A677E" w14:paraId="0C4E118C" w14:textId="77777777" w:rsidTr="007266CF">
        <w:tc>
          <w:tcPr>
            <w:tcW w:w="1188" w:type="dxa"/>
            <w:shd w:val="clear" w:color="auto" w:fill="auto"/>
          </w:tcPr>
          <w:p w14:paraId="138D30AA" w14:textId="77777777" w:rsidR="007266CF" w:rsidRPr="002A677E" w:rsidRDefault="007266CF" w:rsidP="007266CF">
            <w:pPr>
              <w:pStyle w:val="InstructionsText"/>
            </w:pPr>
            <w:r>
              <w:t>0240</w:t>
            </w:r>
          </w:p>
        </w:tc>
        <w:tc>
          <w:tcPr>
            <w:tcW w:w="8701" w:type="dxa"/>
            <w:shd w:val="clear" w:color="auto" w:fill="auto"/>
          </w:tcPr>
          <w:p w14:paraId="2A90B3CA" w14:textId="77777777" w:rsidR="007266CF" w:rsidRPr="002A677E" w:rsidRDefault="007266CF" w:rsidP="007266CF">
            <w:pPr>
              <w:pStyle w:val="InstructionsText"/>
            </w:pPr>
            <w:r>
              <w:rPr>
                <w:rStyle w:val="InstructionsTabelleberschrift"/>
                <w:rFonts w:ascii="Times New Roman" w:hAnsi="Times New Roman"/>
                <w:sz w:val="24"/>
              </w:rPr>
              <w:t>150 %</w:t>
            </w:r>
          </w:p>
        </w:tc>
      </w:tr>
      <w:tr w:rsidR="007266CF" w:rsidRPr="002A677E" w14:paraId="33BA4064" w14:textId="77777777" w:rsidTr="007266CF">
        <w:tc>
          <w:tcPr>
            <w:tcW w:w="1188" w:type="dxa"/>
            <w:shd w:val="clear" w:color="auto" w:fill="auto"/>
          </w:tcPr>
          <w:p w14:paraId="2A03CE13" w14:textId="77777777" w:rsidR="007266CF" w:rsidRPr="002A677E" w:rsidRDefault="007266CF" w:rsidP="007266CF">
            <w:pPr>
              <w:pStyle w:val="InstructionsText"/>
            </w:pPr>
            <w:r>
              <w:t>0250</w:t>
            </w:r>
          </w:p>
        </w:tc>
        <w:tc>
          <w:tcPr>
            <w:tcW w:w="8701" w:type="dxa"/>
            <w:shd w:val="clear" w:color="auto" w:fill="auto"/>
          </w:tcPr>
          <w:p w14:paraId="6F057AC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40450AC0" w14:textId="77777777" w:rsidR="007266CF" w:rsidRPr="002A677E" w:rsidRDefault="007266CF" w:rsidP="007266CF">
            <w:pPr>
              <w:pStyle w:val="InstructionsText"/>
            </w:pPr>
            <w:r>
              <w:t>Ustanovení čl. 133 odst. 2 a čl. 48 odst. 4 nařízení (EU) č. 575/2013</w:t>
            </w:r>
          </w:p>
        </w:tc>
      </w:tr>
      <w:tr w:rsidR="007266CF" w:rsidRPr="002A677E" w14:paraId="081A2613" w14:textId="77777777" w:rsidTr="007266CF">
        <w:tc>
          <w:tcPr>
            <w:tcW w:w="1188" w:type="dxa"/>
            <w:shd w:val="clear" w:color="auto" w:fill="auto"/>
          </w:tcPr>
          <w:p w14:paraId="0B45119A" w14:textId="77777777" w:rsidR="007266CF" w:rsidRPr="002A677E" w:rsidRDefault="007266CF" w:rsidP="007266CF">
            <w:pPr>
              <w:pStyle w:val="InstructionsText"/>
            </w:pPr>
            <w:r>
              <w:t>0260</w:t>
            </w:r>
          </w:p>
        </w:tc>
        <w:tc>
          <w:tcPr>
            <w:tcW w:w="8701" w:type="dxa"/>
            <w:shd w:val="clear" w:color="auto" w:fill="auto"/>
          </w:tcPr>
          <w:p w14:paraId="73C0E92E"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4ABE784E" w14:textId="77777777" w:rsidR="007266CF" w:rsidRPr="002A677E" w:rsidRDefault="007266CF" w:rsidP="007266CF">
            <w:pPr>
              <w:pStyle w:val="InstructionsText"/>
              <w:rPr>
                <w:b/>
                <w:u w:val="single"/>
              </w:rPr>
            </w:pPr>
            <w:r>
              <w:t>Článek 471 nařízení (EU) č. 575/2013</w:t>
            </w:r>
          </w:p>
        </w:tc>
      </w:tr>
      <w:tr w:rsidR="007266CF" w:rsidRPr="002A677E" w14:paraId="2E38EF7F" w14:textId="77777777" w:rsidTr="007266CF">
        <w:tc>
          <w:tcPr>
            <w:tcW w:w="1188" w:type="dxa"/>
            <w:shd w:val="clear" w:color="auto" w:fill="auto"/>
          </w:tcPr>
          <w:p w14:paraId="6E33634B" w14:textId="77777777" w:rsidR="007266CF" w:rsidRPr="002A677E" w:rsidRDefault="007266CF" w:rsidP="007266CF">
            <w:pPr>
              <w:pStyle w:val="InstructionsText"/>
            </w:pPr>
            <w:r>
              <w:t>0270</w:t>
            </w:r>
          </w:p>
        </w:tc>
        <w:tc>
          <w:tcPr>
            <w:tcW w:w="8701" w:type="dxa"/>
            <w:shd w:val="clear" w:color="auto" w:fill="auto"/>
          </w:tcPr>
          <w:p w14:paraId="44751D85"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5BFA5919" w14:textId="77777777" w:rsidR="007266CF" w:rsidRPr="002A677E" w:rsidRDefault="007266CF" w:rsidP="007266CF">
            <w:pPr>
              <w:pStyle w:val="InstructionsText"/>
              <w:rPr>
                <w:b/>
                <w:u w:val="single"/>
              </w:rPr>
            </w:pPr>
            <w:r>
              <w:t>Ustanovení čl. 133 odst. 2 a článku 379 nařízení (EU) č. 575/2013</w:t>
            </w:r>
          </w:p>
        </w:tc>
      </w:tr>
      <w:tr w:rsidR="007266CF" w:rsidRPr="002A677E" w14:paraId="0B2A31C4" w14:textId="77777777" w:rsidTr="007266CF">
        <w:tc>
          <w:tcPr>
            <w:tcW w:w="1188" w:type="dxa"/>
            <w:shd w:val="clear" w:color="auto" w:fill="auto"/>
          </w:tcPr>
          <w:p w14:paraId="5948A5B0" w14:textId="77777777" w:rsidR="007266CF" w:rsidRPr="002A677E" w:rsidRDefault="007266CF" w:rsidP="007266CF">
            <w:pPr>
              <w:pStyle w:val="InstructionsText"/>
            </w:pPr>
            <w:r>
              <w:t>0280</w:t>
            </w:r>
          </w:p>
        </w:tc>
        <w:tc>
          <w:tcPr>
            <w:tcW w:w="8701" w:type="dxa"/>
            <w:shd w:val="clear" w:color="auto" w:fill="auto"/>
          </w:tcPr>
          <w:p w14:paraId="530946E0"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rizikové váhy</w:t>
            </w:r>
          </w:p>
          <w:p w14:paraId="25F0D578" w14:textId="77777777" w:rsidR="007266CF" w:rsidRPr="002A677E" w:rsidRDefault="007266CF" w:rsidP="007266CF">
            <w:pPr>
              <w:pStyle w:val="InstructionsText"/>
            </w:pPr>
            <w:r>
              <w:t>Do tohoto řádku nelze zahrnovat kategorie expozic vůči ústředním vládám, podnikům, institucím a v retailové oblasti.</w:t>
            </w:r>
          </w:p>
          <w:p w14:paraId="233A2B1F" w14:textId="77777777" w:rsidR="007266CF" w:rsidRPr="002A677E" w:rsidRDefault="007266CF" w:rsidP="007266CF">
            <w:pPr>
              <w:pStyle w:val="InstructionsText"/>
            </w:pPr>
          </w:p>
          <w:p w14:paraId="09950587" w14:textId="77777777" w:rsidR="007266CF" w:rsidRPr="002A677E" w:rsidRDefault="007266CF" w:rsidP="007266CF">
            <w:pPr>
              <w:pStyle w:val="InstructionsText"/>
            </w:pPr>
            <w:r>
              <w:t>Vykazují se zde expozice, které nepodléhají rizikovým vahám uvedeným v šabloně.</w:t>
            </w:r>
          </w:p>
          <w:p w14:paraId="3501C789" w14:textId="77777777" w:rsidR="007266CF" w:rsidRPr="002A677E" w:rsidRDefault="007266CF" w:rsidP="007266CF">
            <w:pPr>
              <w:pStyle w:val="InstructionsText"/>
            </w:pPr>
            <w:r>
              <w:t xml:space="preserve">Ustanovení čl. 113 odst. 1 až 5 nařízení (EU) č. 575/2013 </w:t>
            </w:r>
          </w:p>
          <w:p w14:paraId="2050B527" w14:textId="77777777" w:rsidR="007266CF" w:rsidRPr="002A677E" w:rsidRDefault="007266CF" w:rsidP="007266CF">
            <w:pPr>
              <w:pStyle w:val="InstructionsText"/>
            </w:pPr>
          </w:p>
          <w:p w14:paraId="53425F9A" w14:textId="77777777" w:rsidR="007266CF" w:rsidRPr="002A677E" w:rsidRDefault="007266CF" w:rsidP="007266CF">
            <w:pPr>
              <w:pStyle w:val="InstructionsText"/>
            </w:pPr>
            <w:r>
              <w:t>Úvěrové deriváty n-tého selhání bez ratingu v rámci standardizovaného přístupu (čl. 134 odst. 6 nařízení (EU) č. 575/2013) se vykazují v tomto řádku v kategorii expozic „ostatní položky“.</w:t>
            </w:r>
          </w:p>
          <w:p w14:paraId="345A66E5" w14:textId="77777777" w:rsidR="007266CF" w:rsidRPr="002A677E" w:rsidRDefault="007266CF" w:rsidP="007266CF">
            <w:pPr>
              <w:pStyle w:val="InstructionsText"/>
            </w:pPr>
            <w:r>
              <w:t xml:space="preserve">Viz též ustanovení čl. 124 odst. 2 a čl. 152 odst. 2 písm. b) nařízení (EU) č. 575/2013. </w:t>
            </w:r>
          </w:p>
        </w:tc>
      </w:tr>
      <w:tr w:rsidR="007266CF" w:rsidRPr="002A677E" w14:paraId="1CCD7B70" w14:textId="77777777" w:rsidTr="007266CF">
        <w:tc>
          <w:tcPr>
            <w:tcW w:w="1188" w:type="dxa"/>
            <w:shd w:val="clear" w:color="auto" w:fill="auto"/>
          </w:tcPr>
          <w:p w14:paraId="6CC3E61F" w14:textId="77777777" w:rsidR="007266CF" w:rsidRPr="002A677E" w:rsidRDefault="007266CF" w:rsidP="007266CF">
            <w:pPr>
              <w:pStyle w:val="InstructionsText"/>
            </w:pPr>
            <w:r>
              <w:t>0281–0284</w:t>
            </w:r>
          </w:p>
        </w:tc>
        <w:tc>
          <w:tcPr>
            <w:tcW w:w="8701" w:type="dxa"/>
            <w:shd w:val="clear" w:color="auto" w:fill="auto"/>
          </w:tcPr>
          <w:p w14:paraId="32601CC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CELKOVÝCH EXPOZIC PODLE DRUHU PŘÍSTUPU (SUBJEKTY KOLEKTIVNÍHO INVESTOVÁNÍ)</w:t>
            </w:r>
          </w:p>
          <w:p w14:paraId="2C3C3517"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Tyto řádky se vykazují pouze pro kategorii expozic subjektů kolektivního investování v souladu s články 132, 132a, 132b a 132c </w:t>
            </w:r>
            <w:r>
              <w:t>nařízení (EU) č. 575/2013</w:t>
            </w:r>
            <w:r>
              <w:rPr>
                <w:rStyle w:val="InstructionsTabelleberschrift"/>
                <w:rFonts w:ascii="Times New Roman" w:hAnsi="Times New Roman"/>
                <w:b w:val="0"/>
                <w:sz w:val="24"/>
                <w:u w:val="none"/>
              </w:rPr>
              <w:t>.</w:t>
            </w:r>
          </w:p>
        </w:tc>
      </w:tr>
      <w:tr w:rsidR="007266CF" w:rsidRPr="002A677E" w14:paraId="244C5025" w14:textId="77777777" w:rsidTr="007266CF">
        <w:tc>
          <w:tcPr>
            <w:tcW w:w="1188" w:type="dxa"/>
            <w:shd w:val="clear" w:color="auto" w:fill="auto"/>
          </w:tcPr>
          <w:p w14:paraId="1205477D" w14:textId="77777777" w:rsidR="007266CF" w:rsidRPr="002A677E" w:rsidRDefault="007266CF" w:rsidP="007266CF">
            <w:pPr>
              <w:pStyle w:val="InstructionsText"/>
            </w:pPr>
            <w:r>
              <w:t>0281</w:t>
            </w:r>
          </w:p>
        </w:tc>
        <w:tc>
          <w:tcPr>
            <w:tcW w:w="8701" w:type="dxa"/>
            <w:shd w:val="clear" w:color="auto" w:fill="auto"/>
          </w:tcPr>
          <w:p w14:paraId="6F944B0B"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Přístup se zohledněním</w:t>
            </w:r>
          </w:p>
          <w:p w14:paraId="270FCD86" w14:textId="77777777" w:rsidR="007266CF" w:rsidRPr="002A677E" w:rsidRDefault="007266CF" w:rsidP="007266CF">
            <w:pPr>
              <w:pStyle w:val="InstructionsText"/>
              <w:rPr>
                <w:rStyle w:val="InstructionsTabelleberschrift"/>
                <w:rFonts w:ascii="Times New Roman" w:hAnsi="Times New Roman"/>
                <w:sz w:val="24"/>
              </w:rPr>
            </w:pPr>
            <w:r>
              <w:t>Ustanovení čl. 132a odst. 1 nařízení (EU) č. 575/2013.</w:t>
            </w:r>
          </w:p>
        </w:tc>
      </w:tr>
      <w:tr w:rsidR="007266CF" w:rsidRPr="002A677E" w14:paraId="1774DA28" w14:textId="77777777" w:rsidTr="007266CF">
        <w:tc>
          <w:tcPr>
            <w:tcW w:w="1188" w:type="dxa"/>
            <w:shd w:val="clear" w:color="auto" w:fill="auto"/>
          </w:tcPr>
          <w:p w14:paraId="1EAB5357" w14:textId="77777777" w:rsidR="007266CF" w:rsidRPr="002A677E" w:rsidRDefault="007266CF" w:rsidP="007266CF">
            <w:pPr>
              <w:pStyle w:val="InstructionsText"/>
            </w:pPr>
            <w:r>
              <w:t>0282</w:t>
            </w:r>
          </w:p>
        </w:tc>
        <w:tc>
          <w:tcPr>
            <w:tcW w:w="8701" w:type="dxa"/>
            <w:shd w:val="clear" w:color="auto" w:fill="auto"/>
          </w:tcPr>
          <w:p w14:paraId="2DA8F76A"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Přístup založený na pověření</w:t>
            </w:r>
          </w:p>
          <w:p w14:paraId="462869EF" w14:textId="77777777" w:rsidR="007266CF" w:rsidRPr="002A677E" w:rsidRDefault="007266CF" w:rsidP="007266CF">
            <w:pPr>
              <w:pStyle w:val="InstructionsText"/>
              <w:rPr>
                <w:rStyle w:val="InstructionsTabelleberschrift"/>
                <w:rFonts w:ascii="Times New Roman" w:hAnsi="Times New Roman"/>
                <w:sz w:val="24"/>
              </w:rPr>
            </w:pPr>
            <w:r>
              <w:t>Ustanovení čl. 132a odst. 2 nařízení (EU) č. 575/2013.</w:t>
            </w:r>
          </w:p>
        </w:tc>
      </w:tr>
      <w:tr w:rsidR="007266CF" w:rsidRPr="002A677E" w14:paraId="2077E605" w14:textId="77777777" w:rsidTr="007266CF">
        <w:tc>
          <w:tcPr>
            <w:tcW w:w="1188" w:type="dxa"/>
            <w:shd w:val="clear" w:color="auto" w:fill="auto"/>
          </w:tcPr>
          <w:p w14:paraId="78E1EC52" w14:textId="77777777" w:rsidR="007266CF" w:rsidRPr="002A677E" w:rsidRDefault="007266CF" w:rsidP="007266CF">
            <w:pPr>
              <w:pStyle w:val="InstructionsText"/>
            </w:pPr>
            <w:r>
              <w:t>0283</w:t>
            </w:r>
          </w:p>
        </w:tc>
        <w:tc>
          <w:tcPr>
            <w:tcW w:w="8701" w:type="dxa"/>
            <w:shd w:val="clear" w:color="auto" w:fill="auto"/>
          </w:tcPr>
          <w:p w14:paraId="0E34040C"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Záložní postup</w:t>
            </w:r>
          </w:p>
          <w:p w14:paraId="7C8BF661" w14:textId="77777777" w:rsidR="007266CF" w:rsidRPr="002A677E" w:rsidRDefault="007266CF" w:rsidP="007266CF">
            <w:pPr>
              <w:pStyle w:val="InstructionsText"/>
              <w:rPr>
                <w:rStyle w:val="InstructionsTabelleberschrift"/>
                <w:rFonts w:ascii="Times New Roman" w:hAnsi="Times New Roman"/>
                <w:sz w:val="24"/>
              </w:rPr>
            </w:pPr>
            <w:r>
              <w:t>Ustanovení čl. 132 odst. 2 nařízení (EU) č. 575/2013.</w:t>
            </w:r>
          </w:p>
        </w:tc>
      </w:tr>
      <w:tr w:rsidR="007266CF" w:rsidRPr="002A677E" w14:paraId="2106BCF1" w14:textId="77777777" w:rsidTr="007266CF">
        <w:tc>
          <w:tcPr>
            <w:tcW w:w="1188" w:type="dxa"/>
            <w:shd w:val="clear" w:color="auto" w:fill="auto"/>
          </w:tcPr>
          <w:p w14:paraId="32C00E2E" w14:textId="77777777" w:rsidR="007266CF" w:rsidRPr="002A677E" w:rsidRDefault="007266CF" w:rsidP="007266CF">
            <w:pPr>
              <w:pStyle w:val="InstructionsText"/>
            </w:pPr>
            <w:r>
              <w:lastRenderedPageBreak/>
              <w:t>0290–0320</w:t>
            </w:r>
          </w:p>
        </w:tc>
        <w:tc>
          <w:tcPr>
            <w:tcW w:w="8701" w:type="dxa"/>
            <w:shd w:val="clear" w:color="auto" w:fill="auto"/>
          </w:tcPr>
          <w:p w14:paraId="0CECD5AD"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Doplňkové položky</w:t>
            </w:r>
          </w:p>
          <w:p w14:paraId="74CE14F4" w14:textId="77777777" w:rsidR="007266CF" w:rsidRPr="002A677E" w:rsidRDefault="007266CF" w:rsidP="007266CF">
            <w:pPr>
              <w:pStyle w:val="InstructionsText"/>
              <w:rPr>
                <w:b/>
                <w:u w:val="single"/>
              </w:rPr>
            </w:pPr>
            <w:r>
              <w:t>Pokud jde o řádky 0290 až 0320, viz také objasnění účelu doplňkových položek v obecné části k šabloně CR SA.</w:t>
            </w:r>
          </w:p>
        </w:tc>
      </w:tr>
      <w:tr w:rsidR="007266CF" w:rsidRPr="006223CC" w14:paraId="47C9E011" w14:textId="77777777" w:rsidTr="007266CF">
        <w:tc>
          <w:tcPr>
            <w:tcW w:w="1188" w:type="dxa"/>
            <w:shd w:val="clear" w:color="auto" w:fill="auto"/>
          </w:tcPr>
          <w:p w14:paraId="1A8B3D66" w14:textId="77777777" w:rsidR="007266CF" w:rsidRPr="002A677E" w:rsidRDefault="007266CF" w:rsidP="007266CF">
            <w:pPr>
              <w:pStyle w:val="InstructionsText"/>
            </w:pPr>
            <w:r>
              <w:t>0290</w:t>
            </w:r>
          </w:p>
          <w:p w14:paraId="6ABF2F58" w14:textId="77777777" w:rsidR="007266CF" w:rsidRPr="002A677E" w:rsidRDefault="007266CF" w:rsidP="007266CF">
            <w:pPr>
              <w:pStyle w:val="InstructionsText"/>
            </w:pPr>
          </w:p>
        </w:tc>
        <w:tc>
          <w:tcPr>
            <w:tcW w:w="8701" w:type="dxa"/>
            <w:shd w:val="clear" w:color="auto" w:fill="auto"/>
          </w:tcPr>
          <w:p w14:paraId="4388332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zajištěné obchodními nemovitostmi</w:t>
            </w:r>
          </w:p>
          <w:p w14:paraId="5B1E9C55" w14:textId="77777777" w:rsidR="007266CF" w:rsidRPr="002A677E" w:rsidRDefault="007266CF" w:rsidP="007266CF">
            <w:pPr>
              <w:pStyle w:val="InstructionsText"/>
            </w:pPr>
            <w:r>
              <w:t>Ustanovení čl. 112 písm. i) nařízení (EU) č. 575/2013</w:t>
            </w:r>
          </w:p>
          <w:p w14:paraId="406041D2" w14:textId="77777777" w:rsidR="007266CF" w:rsidRPr="006223CC" w:rsidRDefault="007266CF" w:rsidP="007266CF">
            <w:pPr>
              <w:pStyle w:val="InstructionsText"/>
              <w:rPr>
                <w:lang w:val="fr-FR"/>
              </w:rPr>
            </w:pPr>
            <w:r w:rsidRPr="006223CC">
              <w:rPr>
                <w:lang w:val="fr-FR"/>
              </w:rPr>
              <w:t>Jedná se pouze o doplňkovou položku. Nezávisle na výpočtu objemů rizikových expozic u expozic zajištěných obchodními nemovitostmi, jak je uvedeno v článcích 124 a 126 nařízení (EU) č. 575/2013, se expozice rozčleňují a vykazují v tomto řádku, pokud jsou expozicemi zajištěnými obchodními nemovitostmi.</w:t>
            </w:r>
          </w:p>
        </w:tc>
      </w:tr>
      <w:tr w:rsidR="007266CF" w:rsidRPr="002A677E" w14:paraId="300E0A5D" w14:textId="77777777" w:rsidTr="007266CF">
        <w:tc>
          <w:tcPr>
            <w:tcW w:w="1188" w:type="dxa"/>
            <w:shd w:val="clear" w:color="auto" w:fill="auto"/>
          </w:tcPr>
          <w:p w14:paraId="26A5D0A8" w14:textId="77777777" w:rsidR="007266CF" w:rsidRPr="002A677E" w:rsidRDefault="007266CF" w:rsidP="007266CF">
            <w:pPr>
              <w:pStyle w:val="InstructionsText"/>
            </w:pPr>
            <w:r>
              <w:t>0300</w:t>
            </w:r>
          </w:p>
        </w:tc>
        <w:tc>
          <w:tcPr>
            <w:tcW w:w="8701" w:type="dxa"/>
            <w:shd w:val="clear" w:color="auto" w:fill="auto"/>
          </w:tcPr>
          <w:p w14:paraId="424286C3"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v selhání, které podléhají rizikové váze ve výši 100</w:t>
            </w:r>
            <w:r>
              <w:t> </w:t>
            </w:r>
            <w:r>
              <w:rPr>
                <w:rStyle w:val="InstructionsTabelleberschrift"/>
                <w:rFonts w:ascii="Times New Roman" w:hAnsi="Times New Roman"/>
                <w:sz w:val="24"/>
              </w:rPr>
              <w:t>%</w:t>
            </w:r>
          </w:p>
          <w:p w14:paraId="0D38B67E" w14:textId="77777777" w:rsidR="007266CF" w:rsidRPr="002A677E" w:rsidRDefault="007266CF" w:rsidP="007266CF">
            <w:pPr>
              <w:pStyle w:val="InstructionsText"/>
            </w:pPr>
            <w:r>
              <w:t>Ustanovení čl. 112 písm. j) nařízení (EU) č. 575/2013</w:t>
            </w:r>
          </w:p>
          <w:p w14:paraId="53BDB678" w14:textId="77777777" w:rsidR="007266CF" w:rsidRPr="002A677E" w:rsidRDefault="007266CF" w:rsidP="007266CF">
            <w:pPr>
              <w:pStyle w:val="InstructionsText"/>
            </w:pPr>
            <w:r>
              <w:t>Expozice zahrnuté do kategorie expozic „expozice v selhání“, které by spadaly do této kategorie expozic, pokud by u nich nedošlo k selhání.</w:t>
            </w:r>
          </w:p>
        </w:tc>
      </w:tr>
      <w:tr w:rsidR="007266CF" w:rsidRPr="006223CC" w14:paraId="47BF8FF4" w14:textId="77777777" w:rsidTr="007266CF">
        <w:tc>
          <w:tcPr>
            <w:tcW w:w="1188" w:type="dxa"/>
            <w:shd w:val="clear" w:color="auto" w:fill="auto"/>
          </w:tcPr>
          <w:p w14:paraId="25B0536D" w14:textId="77777777" w:rsidR="007266CF" w:rsidRPr="002A677E" w:rsidRDefault="007266CF" w:rsidP="007266CF">
            <w:pPr>
              <w:pStyle w:val="InstructionsText"/>
            </w:pPr>
            <w:r>
              <w:t>0310</w:t>
            </w:r>
          </w:p>
        </w:tc>
        <w:tc>
          <w:tcPr>
            <w:tcW w:w="8701" w:type="dxa"/>
            <w:shd w:val="clear" w:color="auto" w:fill="auto"/>
          </w:tcPr>
          <w:p w14:paraId="787D3491"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Expozice zajištěné obytnými nemovitostmi </w:t>
            </w:r>
          </w:p>
          <w:p w14:paraId="765692D0" w14:textId="77777777" w:rsidR="007266CF" w:rsidRPr="002A677E" w:rsidRDefault="007266CF" w:rsidP="007266CF">
            <w:pPr>
              <w:pStyle w:val="InstructionsText"/>
            </w:pPr>
            <w:r>
              <w:t>Ustanovení čl. 112 písm. i) nařízení (EU) č. 575/2013</w:t>
            </w:r>
          </w:p>
          <w:p w14:paraId="724B2461" w14:textId="77777777" w:rsidR="007266CF" w:rsidRPr="006223CC" w:rsidRDefault="007266CF" w:rsidP="007266CF">
            <w:pPr>
              <w:pStyle w:val="InstructionsText"/>
              <w:rPr>
                <w:b/>
                <w:u w:val="single"/>
                <w:lang w:val="fr-FR"/>
              </w:rPr>
            </w:pPr>
            <w:r w:rsidRPr="006223CC">
              <w:rPr>
                <w:lang w:val="fr-FR"/>
              </w:rPr>
              <w:t>Jedná se pouze o doplňkovou položku. Nezávisle na výpočtu objemů rizikových expozic u expozic zajištěných obytnými nemovitostmi v souladu s články 124 a 125 nařízení (EU) č. 575/2013 se expozice rozčleňují a vykazují v tomto řádku, pokud jsou expozicemi zajištěnými obytnými nemovitostmi.</w:t>
            </w:r>
          </w:p>
        </w:tc>
      </w:tr>
      <w:tr w:rsidR="007266CF" w:rsidRPr="002A677E" w14:paraId="53E77ED4" w14:textId="77777777" w:rsidTr="007266CF">
        <w:tc>
          <w:tcPr>
            <w:tcW w:w="1188" w:type="dxa"/>
            <w:shd w:val="clear" w:color="auto" w:fill="auto"/>
          </w:tcPr>
          <w:p w14:paraId="1B026114" w14:textId="77777777" w:rsidR="007266CF" w:rsidRPr="002A677E" w:rsidRDefault="007266CF" w:rsidP="007266CF">
            <w:pPr>
              <w:pStyle w:val="InstructionsText"/>
            </w:pPr>
            <w:r>
              <w:t>0320</w:t>
            </w:r>
          </w:p>
        </w:tc>
        <w:tc>
          <w:tcPr>
            <w:tcW w:w="8701" w:type="dxa"/>
            <w:shd w:val="clear" w:color="auto" w:fill="auto"/>
          </w:tcPr>
          <w:p w14:paraId="45530326" w14:textId="77777777" w:rsidR="007266CF" w:rsidRPr="002A677E" w:rsidRDefault="007266CF" w:rsidP="007266C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v selhání, které podléhají rizikové váze ve výši 150</w:t>
            </w:r>
            <w:r>
              <w:t> </w:t>
            </w:r>
            <w:r>
              <w:rPr>
                <w:rStyle w:val="InstructionsTabelleberschrift"/>
                <w:rFonts w:ascii="Times New Roman" w:hAnsi="Times New Roman"/>
                <w:sz w:val="24"/>
              </w:rPr>
              <w:t xml:space="preserve">% </w:t>
            </w:r>
          </w:p>
          <w:p w14:paraId="1CAC9C34" w14:textId="77777777" w:rsidR="007266CF" w:rsidRPr="002A677E" w:rsidRDefault="007266CF" w:rsidP="007266CF">
            <w:pPr>
              <w:pStyle w:val="InstructionsText"/>
            </w:pPr>
            <w:r>
              <w:t>Ustanovení čl. 112 písm. j) nařízení (EU) č. 575/2013</w:t>
            </w:r>
          </w:p>
          <w:p w14:paraId="24F130BD" w14:textId="77777777" w:rsidR="007266CF" w:rsidRPr="002A677E" w:rsidRDefault="007266CF" w:rsidP="007266CF">
            <w:pPr>
              <w:pStyle w:val="InstructionsText"/>
            </w:pPr>
            <w:r>
              <w:t>Expozice zahrnuté do kategorie expozic „expozice v selhání“, které by spadaly do této kategorie expozic, pokud by u nich nedošlo k selhání.</w:t>
            </w:r>
          </w:p>
        </w:tc>
      </w:tr>
    </w:tbl>
    <w:p w14:paraId="72F95F62" w14:textId="77777777" w:rsidR="007266CF" w:rsidRPr="002A677E" w:rsidRDefault="007266CF" w:rsidP="007266CF">
      <w:pPr>
        <w:spacing w:before="0" w:after="0"/>
        <w:jc w:val="left"/>
        <w:rPr>
          <w:rFonts w:ascii="Times New Roman" w:hAnsi="Times New Roman"/>
          <w:bCs/>
          <w:sz w:val="24"/>
          <w:lang w:eastAsia="de-DE"/>
        </w:rPr>
      </w:pPr>
    </w:p>
    <w:p w14:paraId="63CD20AB" w14:textId="77777777" w:rsidR="007266CF" w:rsidRPr="002A677E" w:rsidRDefault="007266CF" w:rsidP="00A75C39">
      <w:pPr>
        <w:pStyle w:val="Instructionsberschrift2"/>
        <w:numPr>
          <w:ilvl w:val="1"/>
          <w:numId w:val="72"/>
        </w:numPr>
        <w:rPr>
          <w:rFonts w:ascii="Times New Roman" w:hAnsi="Times New Roman" w:cs="Times New Roman"/>
          <w:sz w:val="24"/>
        </w:rPr>
      </w:pPr>
      <w:bookmarkStart w:id="102" w:name="_Toc116026744"/>
      <w:bookmarkStart w:id="103" w:name="_Toc119077901"/>
      <w:r>
        <w:rPr>
          <w:rFonts w:ascii="Times New Roman" w:hAnsi="Times New Roman"/>
          <w:sz w:val="24"/>
        </w:rPr>
        <w:t>Úvěrové riziko a úvěrové riziko protistrany a volné dodávky: přístup IRB ke kapitálovým požadavkům (CR IRB)</w:t>
      </w:r>
      <w:bookmarkEnd w:id="102"/>
      <w:bookmarkEnd w:id="103"/>
    </w:p>
    <w:p w14:paraId="4F6B39E1" w14:textId="77777777" w:rsidR="007266CF" w:rsidRPr="002A677E" w:rsidRDefault="007266CF" w:rsidP="00A75C39">
      <w:pPr>
        <w:pStyle w:val="Instructionsberschrift2"/>
        <w:numPr>
          <w:ilvl w:val="2"/>
          <w:numId w:val="73"/>
        </w:numPr>
        <w:ind w:left="426" w:hanging="426"/>
        <w:rPr>
          <w:rFonts w:ascii="Times New Roman" w:hAnsi="Times New Roman" w:cs="Times New Roman"/>
          <w:sz w:val="24"/>
        </w:rPr>
      </w:pPr>
      <w:bookmarkStart w:id="104" w:name="_Toc116026745"/>
      <w:bookmarkStart w:id="105" w:name="_Toc119077902"/>
      <w:r>
        <w:rPr>
          <w:rFonts w:ascii="Times New Roman" w:hAnsi="Times New Roman"/>
          <w:sz w:val="24"/>
        </w:rPr>
        <w:t>Oblast působnosti šablony CR IRB</w:t>
      </w:r>
      <w:bookmarkEnd w:id="104"/>
      <w:bookmarkEnd w:id="105"/>
    </w:p>
    <w:p w14:paraId="5F984CF2" w14:textId="77777777" w:rsidR="007266CF" w:rsidRPr="002A677E" w:rsidRDefault="007266CF" w:rsidP="007266CF">
      <w:pPr>
        <w:pStyle w:val="InstructionsText2"/>
        <w:numPr>
          <w:ilvl w:val="0"/>
          <w:numId w:val="0"/>
        </w:numPr>
        <w:ind w:left="1353" w:hanging="360"/>
      </w:pPr>
      <w:fldSimple w:instr=" seq paragraphs ">
        <w:r>
          <w:t>72</w:t>
        </w:r>
      </w:fldSimple>
      <w:r>
        <w:t>.</w:t>
      </w:r>
      <w:r>
        <w:tab/>
        <w:t>Oblast působnosti šablony CR IRB zahrnuje:</w:t>
      </w:r>
    </w:p>
    <w:p w14:paraId="70CCC271" w14:textId="77777777" w:rsidR="007266CF" w:rsidRPr="002A677E" w:rsidRDefault="007266CF" w:rsidP="007266CF">
      <w:pPr>
        <w:pStyle w:val="InstructionsText2"/>
        <w:numPr>
          <w:ilvl w:val="0"/>
          <w:numId w:val="0"/>
        </w:numPr>
        <w:ind w:left="1353" w:hanging="360"/>
      </w:pPr>
      <w:r>
        <w:t>i.</w:t>
      </w:r>
      <w:r>
        <w:tab/>
        <w:t>úvěrové riziko investičního portfolia, kam patří:</w:t>
      </w:r>
    </w:p>
    <w:p w14:paraId="7A4C63C8" w14:textId="77777777" w:rsidR="007266CF" w:rsidRPr="002A677E" w:rsidRDefault="007266CF" w:rsidP="00A75C39">
      <w:pPr>
        <w:pStyle w:val="InstructionsText2"/>
        <w:numPr>
          <w:ilvl w:val="0"/>
          <w:numId w:val="40"/>
        </w:numPr>
      </w:pPr>
      <w:r>
        <w:t>úvěrové riziko protistrany v případě investičního portfolia;</w:t>
      </w:r>
    </w:p>
    <w:p w14:paraId="5F9CDDE0" w14:textId="77777777" w:rsidR="007266CF" w:rsidRPr="002A677E" w:rsidRDefault="007266CF" w:rsidP="00A75C39">
      <w:pPr>
        <w:pStyle w:val="InstructionsText2"/>
        <w:numPr>
          <w:ilvl w:val="0"/>
          <w:numId w:val="40"/>
        </w:numPr>
      </w:pPr>
      <w:r>
        <w:t>riziko rozmělnění u pohledávek nabytých za úplatu;</w:t>
      </w:r>
    </w:p>
    <w:p w14:paraId="1FF8BBB6" w14:textId="77777777" w:rsidR="007266CF" w:rsidRPr="002A677E" w:rsidRDefault="007266CF" w:rsidP="007266CF">
      <w:pPr>
        <w:pStyle w:val="InstructionsText2"/>
        <w:numPr>
          <w:ilvl w:val="0"/>
          <w:numId w:val="0"/>
        </w:numPr>
        <w:ind w:left="1353" w:hanging="360"/>
      </w:pPr>
      <w:r>
        <w:t>ii.</w:t>
      </w:r>
      <w:r>
        <w:tab/>
        <w:t>úvěrové riziko protistrany v případě obchodního portfolia;</w:t>
      </w:r>
    </w:p>
    <w:p w14:paraId="2445E6B9" w14:textId="77777777" w:rsidR="007266CF" w:rsidRPr="002A677E" w:rsidRDefault="007266CF" w:rsidP="007266CF">
      <w:pPr>
        <w:pStyle w:val="InstructionsText2"/>
        <w:numPr>
          <w:ilvl w:val="0"/>
          <w:numId w:val="0"/>
        </w:numPr>
        <w:ind w:left="1353" w:hanging="360"/>
      </w:pPr>
      <w:r>
        <w:t>iii.</w:t>
      </w:r>
      <w:r>
        <w:tab/>
        <w:t>volné dodávky vyplývající ze všech obchodních činností.</w:t>
      </w:r>
    </w:p>
    <w:p w14:paraId="28B10420" w14:textId="77777777" w:rsidR="007266CF" w:rsidRPr="002A677E" w:rsidRDefault="007266CF" w:rsidP="007266CF">
      <w:pPr>
        <w:pStyle w:val="InstructionsText2"/>
        <w:numPr>
          <w:ilvl w:val="0"/>
          <w:numId w:val="0"/>
        </w:numPr>
        <w:ind w:left="1353" w:hanging="360"/>
      </w:pPr>
      <w:fldSimple w:instr=" seq paragraphs ">
        <w:r>
          <w:t>73</w:t>
        </w:r>
      </w:fldSimple>
      <w:r>
        <w:t>.</w:t>
      </w:r>
      <w:r>
        <w:tab/>
        <w:t xml:space="preserve">Tato šablona se vztahuje na expozice, v jejichž případě se objemy rizikově vážených expozic vypočítávají v souladu s články 151 až 157 části třetí hlavy II kapitoly 3 nařízení (EU) č. 575/2013 (o přístupu IRB). </w:t>
      </w:r>
    </w:p>
    <w:p w14:paraId="29F80CF4" w14:textId="77777777" w:rsidR="007266CF" w:rsidRPr="002A677E" w:rsidRDefault="007266CF" w:rsidP="007266CF">
      <w:pPr>
        <w:pStyle w:val="InstructionsText2"/>
        <w:numPr>
          <w:ilvl w:val="0"/>
          <w:numId w:val="0"/>
        </w:numPr>
        <w:ind w:left="1353" w:hanging="360"/>
      </w:pPr>
      <w:fldSimple w:instr=" seq paragraphs ">
        <w:r>
          <w:t>74</w:t>
        </w:r>
      </w:fldSimple>
      <w:r>
        <w:t>.</w:t>
      </w:r>
      <w:r>
        <w:tab/>
        <w:t xml:space="preserve">Šablona CR IRB se nevztahuje na následující údaje: </w:t>
      </w:r>
    </w:p>
    <w:p w14:paraId="2C15B180" w14:textId="77777777" w:rsidR="007266CF" w:rsidRPr="002A677E" w:rsidRDefault="007266CF" w:rsidP="007266CF">
      <w:pPr>
        <w:pStyle w:val="InstructionsText2"/>
        <w:numPr>
          <w:ilvl w:val="0"/>
          <w:numId w:val="0"/>
        </w:numPr>
        <w:ind w:left="1353" w:hanging="360"/>
      </w:pPr>
      <w:r>
        <w:t>i.</w:t>
      </w:r>
      <w:r>
        <w:tab/>
        <w:t xml:space="preserve">Akciové expozice, které se vykazují v šabloně CR EQU IRB; </w:t>
      </w:r>
    </w:p>
    <w:p w14:paraId="57475291" w14:textId="77777777" w:rsidR="007266CF" w:rsidRPr="002A677E" w:rsidRDefault="007266CF" w:rsidP="007266CF">
      <w:pPr>
        <w:pStyle w:val="InstructionsText2"/>
        <w:numPr>
          <w:ilvl w:val="0"/>
          <w:numId w:val="0"/>
        </w:numPr>
        <w:ind w:left="1353" w:hanging="360"/>
      </w:pPr>
      <w:r>
        <w:t>ii.</w:t>
      </w:r>
      <w:r>
        <w:tab/>
        <w:t>Sekuritizované pozice, které se vykazují v podrobných šablonách CR SEC a/nebo CR SEC;</w:t>
      </w:r>
    </w:p>
    <w:p w14:paraId="6637610F" w14:textId="77777777" w:rsidR="007266CF" w:rsidRPr="002A677E" w:rsidRDefault="007266CF" w:rsidP="007266CF">
      <w:pPr>
        <w:pStyle w:val="InstructionsText2"/>
        <w:numPr>
          <w:ilvl w:val="0"/>
          <w:numId w:val="0"/>
        </w:numPr>
        <w:ind w:left="1353" w:hanging="360"/>
      </w:pPr>
      <w:r>
        <w:t>iii.</w:t>
      </w:r>
      <w:r>
        <w:tab/>
        <w:t xml:space="preserve"> „Jiná aktiva nemající povahu úvěrového závazku“ ve smyslu čl. 147 odst. 2 písm. g) nařízení (EU) č. 575/2013. V souladu s článkem 156 nařízení (EU) č. 575/2013 musí být riziková váha pro tuto kategorii expozic vždy stanovena na 100 % s výjimkou pokladní hotovosti, obdobných hotovostních položek a expozic, které jsou zbytkovou hodnotou pronajatých aktiv. Objemy rizikově vážených expozic se pro tuto kategorii expozic vykazují přímo v šabloně CA;</w:t>
      </w:r>
    </w:p>
    <w:p w14:paraId="75937B3A" w14:textId="77777777" w:rsidR="007266CF" w:rsidRPr="002A677E" w:rsidRDefault="007266CF" w:rsidP="007266CF">
      <w:pPr>
        <w:pStyle w:val="InstructionsText2"/>
        <w:numPr>
          <w:ilvl w:val="0"/>
          <w:numId w:val="0"/>
        </w:numPr>
        <w:ind w:left="1353" w:hanging="360"/>
      </w:pPr>
      <w:r>
        <w:t>iv.</w:t>
      </w:r>
      <w:r>
        <w:tab/>
        <w:t>Riziko úvěrových úprav v ocenění, které se vykazuje v šabloně CVA zaměřené na toto riziko.</w:t>
      </w:r>
    </w:p>
    <w:p w14:paraId="35EB46CC" w14:textId="77777777" w:rsidR="007266CF" w:rsidRPr="002A677E" w:rsidRDefault="007266CF" w:rsidP="007266CF">
      <w:pPr>
        <w:pStyle w:val="InstructionsText2"/>
        <w:numPr>
          <w:ilvl w:val="0"/>
          <w:numId w:val="0"/>
        </w:numPr>
        <w:ind w:left="1418"/>
      </w:pPr>
      <w:r>
        <w:t xml:space="preserve">Šablona CR IRB nevyžaduje zeměpisné rozčlenění expozic v rámci přístupu IRB podle toho, kde sídlí protistrana. Toto rozčlenění se vykazuje v šabloně CR GB. </w:t>
      </w:r>
    </w:p>
    <w:p w14:paraId="1E07DB26" w14:textId="77777777" w:rsidR="007266CF" w:rsidRPr="002A677E" w:rsidRDefault="007266CF" w:rsidP="007266CF">
      <w:pPr>
        <w:autoSpaceDE w:val="0"/>
        <w:autoSpaceDN w:val="0"/>
        <w:adjustRightInd w:val="0"/>
        <w:spacing w:before="0" w:after="240"/>
        <w:ind w:left="1418"/>
        <w:jc w:val="left"/>
        <w:rPr>
          <w:rFonts w:ascii="Times New Roman" w:hAnsi="Times New Roman"/>
          <w:sz w:val="24"/>
        </w:rPr>
      </w:pPr>
      <w:r>
        <w:rPr>
          <w:rFonts w:ascii="Times New Roman" w:hAnsi="Times New Roman"/>
          <w:sz w:val="24"/>
        </w:rPr>
        <w:t>Položky i) a iii) se nevztahují na šablonu CR IRB 7.</w:t>
      </w:r>
    </w:p>
    <w:p w14:paraId="2E6F0EE2" w14:textId="77777777" w:rsidR="007266CF" w:rsidRPr="002A677E" w:rsidRDefault="007266CF" w:rsidP="007266CF">
      <w:pPr>
        <w:pStyle w:val="InstructionsText2"/>
        <w:numPr>
          <w:ilvl w:val="0"/>
          <w:numId w:val="0"/>
        </w:numPr>
        <w:ind w:left="1353" w:hanging="360"/>
      </w:pPr>
      <w:fldSimple w:instr=" seq paragraphs ">
        <w:r>
          <w:t>75</w:t>
        </w:r>
      </w:fldSimple>
      <w:r>
        <w:t>.</w:t>
      </w:r>
      <w:r>
        <w:tab/>
        <w:t>S cílem objasnit, zda instituce používá vlastní odhady LGD a/nebo konverzní faktory k úvěrovému riziku, se u každé vykazované kategorie expozic uvádí tyto informace:</w:t>
      </w:r>
    </w:p>
    <w:p w14:paraId="759AB1EA" w14:textId="77777777" w:rsidR="007266CF" w:rsidRPr="002A677E" w:rsidRDefault="007266CF" w:rsidP="007266CF">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se uvede v případě, že se používají regulatorní odhady LGD a konverzních faktorů k úvěrovému riziku (základní přístup IRB).</w:t>
      </w:r>
    </w:p>
    <w:p w14:paraId="4AA85897" w14:textId="77777777" w:rsidR="007266CF" w:rsidRPr="002A677E" w:rsidRDefault="007266CF" w:rsidP="007266CF">
      <w:pPr>
        <w:autoSpaceDE w:val="0"/>
        <w:autoSpaceDN w:val="0"/>
        <w:adjustRightInd w:val="0"/>
        <w:spacing w:before="0" w:after="240"/>
        <w:ind w:left="993"/>
        <w:jc w:val="left"/>
        <w:rPr>
          <w:rFonts w:ascii="Times New Roman" w:hAnsi="Times New Roman"/>
          <w:sz w:val="24"/>
        </w:rPr>
      </w:pPr>
      <w:r>
        <w:rPr>
          <w:rFonts w:ascii="Times New Roman" w:hAnsi="Times New Roman"/>
          <w:sz w:val="24"/>
        </w:rPr>
        <w:t>„ANO“ se uvede v případě, že se používají vlastní odhady LGD a konverzních faktorů k úvěrovému riziku (pokročilý přístup IRB). To zahrnuje všechna retailová portfolia.</w:t>
      </w:r>
    </w:p>
    <w:p w14:paraId="375B78FD" w14:textId="77777777" w:rsidR="007266CF" w:rsidRPr="002A677E" w:rsidRDefault="007266CF" w:rsidP="007266CF">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V případě, že instituce používá vlastní odhady LGD pro výpočet </w:t>
      </w:r>
      <w:r>
        <w:rPr>
          <w:rStyle w:val="InstructionsTabelleText"/>
          <w:rFonts w:ascii="Times New Roman" w:hAnsi="Times New Roman"/>
          <w:sz w:val="24"/>
        </w:rPr>
        <w:t>objemů rizikově vážených expozic</w:t>
      </w:r>
      <w:r>
        <w:rPr>
          <w:rFonts w:ascii="Times New Roman" w:hAnsi="Times New Roman"/>
          <w:sz w:val="24"/>
        </w:rPr>
        <w:t xml:space="preserve"> u jedné části svých expozic v rámci přístupu IRB a také regulatorní odhady LGD pro výpočet </w:t>
      </w:r>
      <w:r>
        <w:rPr>
          <w:rStyle w:val="InstructionsTabelleText"/>
          <w:rFonts w:ascii="Times New Roman" w:hAnsi="Times New Roman"/>
          <w:sz w:val="24"/>
        </w:rPr>
        <w:t>objemů rizikově vážených expozic</w:t>
      </w:r>
      <w:r>
        <w:rPr>
          <w:rFonts w:ascii="Times New Roman" w:hAnsi="Times New Roman"/>
          <w:sz w:val="24"/>
        </w:rPr>
        <w:t xml:space="preserve"> u druhé části svých expozic v rámci přístupu IRB, musí být v šabloně CR IRB vykázána celková hodnota pozic v rámci základního přístupu IRB a celková hodnota pozic v rámci pokročilého přístupu IRB.</w:t>
      </w:r>
    </w:p>
    <w:p w14:paraId="4B3D5D79" w14:textId="77777777" w:rsidR="007266CF" w:rsidRPr="002A677E" w:rsidRDefault="007266CF" w:rsidP="00A75C39">
      <w:pPr>
        <w:pStyle w:val="Instructionsberschrift2"/>
        <w:numPr>
          <w:ilvl w:val="2"/>
          <w:numId w:val="74"/>
        </w:numPr>
        <w:ind w:left="426" w:hanging="426"/>
        <w:rPr>
          <w:rFonts w:ascii="Times New Roman" w:hAnsi="Times New Roman" w:cs="Times New Roman"/>
          <w:sz w:val="24"/>
        </w:rPr>
      </w:pPr>
      <w:bookmarkStart w:id="106" w:name="_Toc116026746"/>
      <w:bookmarkStart w:id="107" w:name="_Toc119077903"/>
      <w:r>
        <w:rPr>
          <w:rFonts w:ascii="Times New Roman" w:hAnsi="Times New Roman"/>
          <w:sz w:val="24"/>
        </w:rPr>
        <w:t>Struktura šablony CR IRB</w:t>
      </w:r>
      <w:bookmarkEnd w:id="106"/>
      <w:bookmarkEnd w:id="107"/>
    </w:p>
    <w:p w14:paraId="0C37C373" w14:textId="77777777" w:rsidR="007266CF" w:rsidRPr="002A677E" w:rsidRDefault="007266CF" w:rsidP="007266CF">
      <w:pPr>
        <w:pStyle w:val="InstructionsText2"/>
        <w:numPr>
          <w:ilvl w:val="0"/>
          <w:numId w:val="0"/>
        </w:numPr>
        <w:ind w:left="1353" w:hanging="360"/>
      </w:pPr>
      <w:fldSimple w:instr=" seq paragraphs ">
        <w:r>
          <w:t>76</w:t>
        </w:r>
      </w:fldSimple>
      <w:r>
        <w:t>.</w:t>
      </w:r>
      <w:r>
        <w:tab/>
        <w:t xml:space="preserve">Šablona CR IRB sestává ze sedmi dílčích šablon. Šablona CR IRB 1 poskytuje obecný přehled expozic v rámci přístupu IRB a představuje různé metody výpočtu objemů rizikově vážených expozic a rozčlenění celkových expozic podle druhů expozic. Šablona CR IRB 2 obsahuje rozčlenění celkových expozic zařazených do stupňů či seskupení dlužníků (expozice vykázané v řádku 0070 CR IRB 1). Šablona CR IRB 3 uvádí všechny relevantní parametry používané pro výpočet kapitálových požadavků k úvěrovému riziku pro modely IRB. Šablona CR IRB 4 obsahuje přehled toků vysvětlující změny objemů rizikově vážených expozic určených podle přístupu IRB pro úvěrové riziko. CR IRB 5 </w:t>
      </w:r>
      <w:r>
        <w:lastRenderedPageBreak/>
        <w:t>poskytuje informace o výsledcích zpětného testování PD u vykazovaných modelů. Šablona CR IRB 6 uvádí všechny relevantní parametry používané pro výpočet kapitálových požadavků k úvěrovému riziku podle rozřazovacích kritérií specializovaného úvěrování. Šablona CR IRB 7 poskytuje přehled procentního podílu hodnoty expozice, na který se vztahují přístupy standardizovaného přístupu nebo přístupu IRB pro každou příslušnou kategorii expozic. Šablony CR IRB 1, CR IRB 2, CR IRB 3 a CR IRB 5 se vykazují samostatně a uvádějí se v nich tyto kategorie a podkategorie expozic:</w:t>
      </w:r>
    </w:p>
    <w:p w14:paraId="5251DA1C" w14:textId="77777777" w:rsidR="007266CF" w:rsidRPr="002A677E" w:rsidRDefault="007266CF" w:rsidP="007266CF">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Celkem</w:t>
      </w:r>
    </w:p>
    <w:p w14:paraId="29293B04" w14:textId="77777777" w:rsidR="007266CF" w:rsidRPr="002A677E" w:rsidRDefault="007266CF" w:rsidP="007266CF">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(Šablona „Celkem“ musí být vyplněna samostatně pro základní přístup IRB a samostatně pro pokročilý přístup IRB.)</w:t>
      </w:r>
    </w:p>
    <w:p w14:paraId="2DC9CFF0" w14:textId="77777777" w:rsidR="007266CF" w:rsidRPr="002A677E" w:rsidRDefault="007266CF" w:rsidP="007266CF">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Centrální banky a ústřední vlády </w:t>
      </w:r>
    </w:p>
    <w:p w14:paraId="323AE89B" w14:textId="77777777" w:rsidR="007266CF" w:rsidRPr="006223CC" w:rsidRDefault="007266CF" w:rsidP="007266CF">
      <w:pPr>
        <w:autoSpaceDE w:val="0"/>
        <w:autoSpaceDN w:val="0"/>
        <w:adjustRightInd w:val="0"/>
        <w:spacing w:before="0" w:after="0"/>
        <w:ind w:left="1428"/>
        <w:jc w:val="left"/>
        <w:rPr>
          <w:rFonts w:ascii="Times New Roman" w:hAnsi="Times New Roman"/>
          <w:sz w:val="24"/>
          <w:lang w:val="fr-FR"/>
        </w:rPr>
      </w:pPr>
      <w:r>
        <w:rPr>
          <w:rFonts w:ascii="Times New Roman" w:hAnsi="Times New Roman"/>
          <w:sz w:val="24"/>
        </w:rPr>
        <w:t>(ustanovení čl. 147 odst. </w:t>
      </w:r>
      <w:r w:rsidRPr="006223CC">
        <w:rPr>
          <w:rFonts w:ascii="Times New Roman" w:hAnsi="Times New Roman"/>
          <w:sz w:val="24"/>
          <w:lang w:val="fr-FR"/>
        </w:rPr>
        <w:t>2 písm. a) nařízení (EU) č. 575/2013)</w:t>
      </w:r>
    </w:p>
    <w:p w14:paraId="18FA418D" w14:textId="77777777" w:rsidR="007266CF" w:rsidRPr="006223CC" w:rsidRDefault="007266CF" w:rsidP="007266CF">
      <w:pPr>
        <w:autoSpaceDE w:val="0"/>
        <w:autoSpaceDN w:val="0"/>
        <w:adjustRightInd w:val="0"/>
        <w:spacing w:before="0" w:after="0"/>
        <w:ind w:left="708"/>
        <w:rPr>
          <w:rFonts w:ascii="Times New Roman" w:hAnsi="Times New Roman"/>
          <w:sz w:val="24"/>
          <w:lang w:val="fr-FR"/>
        </w:rPr>
      </w:pPr>
      <w:r w:rsidRPr="006223CC">
        <w:rPr>
          <w:rFonts w:ascii="Times New Roman" w:hAnsi="Times New Roman"/>
          <w:sz w:val="24"/>
          <w:lang w:val="fr-FR"/>
        </w:rPr>
        <w:t>3)</w:t>
      </w:r>
      <w:r w:rsidRPr="006223CC">
        <w:rPr>
          <w:lang w:val="fr-FR"/>
        </w:rPr>
        <w:tab/>
      </w:r>
      <w:r w:rsidRPr="006223CC">
        <w:rPr>
          <w:rFonts w:ascii="Times New Roman" w:hAnsi="Times New Roman"/>
          <w:sz w:val="24"/>
          <w:lang w:val="fr-FR"/>
        </w:rPr>
        <w:t>Instituce</w:t>
      </w:r>
    </w:p>
    <w:p w14:paraId="53B17D63" w14:textId="77777777" w:rsidR="007266CF" w:rsidRPr="006223CC" w:rsidRDefault="007266CF" w:rsidP="007266CF">
      <w:pPr>
        <w:autoSpaceDE w:val="0"/>
        <w:autoSpaceDN w:val="0"/>
        <w:adjustRightInd w:val="0"/>
        <w:spacing w:before="0" w:after="0"/>
        <w:ind w:left="708" w:firstLine="720"/>
        <w:rPr>
          <w:rFonts w:ascii="Times New Roman" w:hAnsi="Times New Roman"/>
          <w:sz w:val="24"/>
          <w:lang w:val="fr-FR"/>
        </w:rPr>
      </w:pPr>
      <w:r w:rsidRPr="006223CC">
        <w:rPr>
          <w:rFonts w:ascii="Times New Roman" w:hAnsi="Times New Roman"/>
          <w:sz w:val="24"/>
          <w:lang w:val="fr-FR"/>
        </w:rPr>
        <w:t>(ustanovení čl. 147 odst. 2 písm. b) nařízení (EU) č. 575/2013)</w:t>
      </w:r>
    </w:p>
    <w:p w14:paraId="5B241D86" w14:textId="77777777" w:rsidR="007266CF" w:rsidRPr="006223CC" w:rsidRDefault="007266CF" w:rsidP="007266CF">
      <w:pPr>
        <w:autoSpaceDE w:val="0"/>
        <w:autoSpaceDN w:val="0"/>
        <w:adjustRightInd w:val="0"/>
        <w:spacing w:before="0" w:after="0"/>
        <w:ind w:left="1428" w:hanging="720"/>
        <w:jc w:val="left"/>
        <w:rPr>
          <w:rFonts w:ascii="Times New Roman" w:hAnsi="Times New Roman"/>
          <w:sz w:val="24"/>
          <w:lang w:val="fr-FR"/>
        </w:rPr>
      </w:pPr>
      <w:r w:rsidRPr="006223CC">
        <w:rPr>
          <w:rFonts w:ascii="Times New Roman" w:hAnsi="Times New Roman"/>
          <w:sz w:val="24"/>
          <w:lang w:val="fr-FR"/>
        </w:rPr>
        <w:t>4.1)</w:t>
      </w:r>
      <w:r w:rsidRPr="006223CC">
        <w:rPr>
          <w:lang w:val="fr-FR"/>
        </w:rPr>
        <w:tab/>
      </w:r>
      <w:r w:rsidRPr="006223CC">
        <w:rPr>
          <w:rFonts w:ascii="Times New Roman" w:hAnsi="Times New Roman"/>
          <w:sz w:val="24"/>
          <w:lang w:val="fr-FR"/>
        </w:rPr>
        <w:t>Podniky – malé a střední podniky</w:t>
      </w:r>
    </w:p>
    <w:p w14:paraId="138D805D" w14:textId="77777777" w:rsidR="007266CF" w:rsidRPr="006223CC" w:rsidRDefault="007266CF" w:rsidP="007266CF">
      <w:pPr>
        <w:autoSpaceDE w:val="0"/>
        <w:autoSpaceDN w:val="0"/>
        <w:adjustRightInd w:val="0"/>
        <w:spacing w:before="0" w:after="0"/>
        <w:ind w:left="1428"/>
        <w:jc w:val="left"/>
        <w:rPr>
          <w:rFonts w:ascii="Times New Roman" w:hAnsi="Times New Roman"/>
          <w:sz w:val="24"/>
          <w:lang w:val="fr-FR"/>
        </w:rPr>
      </w:pPr>
      <w:r w:rsidRPr="006223CC">
        <w:rPr>
          <w:rFonts w:ascii="Times New Roman" w:hAnsi="Times New Roman"/>
          <w:sz w:val="24"/>
          <w:lang w:val="fr-FR"/>
        </w:rPr>
        <w:t xml:space="preserve">(ustanovení čl. 147 odst. 2 písm. c) nařízení (EU) č. 575/2013). Pro účely zařazení do této podkategorie expozic použijí vykazující subjekty svou interní definici malých a středních podniků používanou v interních procesech řízení rizik. </w:t>
      </w:r>
    </w:p>
    <w:p w14:paraId="36822BBB" w14:textId="77777777" w:rsidR="007266CF" w:rsidRPr="002A677E" w:rsidRDefault="007266CF" w:rsidP="007266CF">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Podniky – specializované úvěry</w:t>
      </w:r>
    </w:p>
    <w:p w14:paraId="3AD46466" w14:textId="77777777" w:rsidR="007266CF" w:rsidRPr="002A677E" w:rsidRDefault="007266CF" w:rsidP="007266CF">
      <w:pPr>
        <w:autoSpaceDE w:val="0"/>
        <w:autoSpaceDN w:val="0"/>
        <w:adjustRightInd w:val="0"/>
        <w:spacing w:before="0" w:after="0"/>
        <w:ind w:left="1428"/>
        <w:jc w:val="left"/>
        <w:rPr>
          <w:rFonts w:ascii="Times New Roman" w:hAnsi="Times New Roman"/>
          <w:sz w:val="24"/>
        </w:rPr>
      </w:pPr>
      <w:r>
        <w:rPr>
          <w:rFonts w:ascii="Times New Roman" w:hAnsi="Times New Roman"/>
          <w:sz w:val="24"/>
        </w:rPr>
        <w:t>(ustanovení čl. 147 odst. 8 nařízení (EU) č. 575/2013)</w:t>
      </w:r>
    </w:p>
    <w:p w14:paraId="011C7121" w14:textId="77777777" w:rsidR="007266CF" w:rsidRPr="002A677E" w:rsidRDefault="007266CF" w:rsidP="007266CF">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Podniky – ostatní </w:t>
      </w:r>
    </w:p>
    <w:p w14:paraId="3B2CAAD2" w14:textId="77777777" w:rsidR="007266CF" w:rsidRPr="002A677E" w:rsidRDefault="007266CF" w:rsidP="007266CF">
      <w:pPr>
        <w:autoSpaceDE w:val="0"/>
        <w:autoSpaceDN w:val="0"/>
        <w:adjustRightInd w:val="0"/>
        <w:spacing w:before="0" w:after="0"/>
        <w:ind w:left="1428"/>
        <w:jc w:val="left"/>
        <w:rPr>
          <w:rFonts w:ascii="Times New Roman" w:hAnsi="Times New Roman"/>
          <w:sz w:val="24"/>
        </w:rPr>
      </w:pPr>
      <w:r>
        <w:rPr>
          <w:rFonts w:ascii="Times New Roman" w:hAnsi="Times New Roman"/>
          <w:sz w:val="24"/>
        </w:rPr>
        <w:t>(veškeré expozice vůči podnikům ve smyslu čl. 147 odst. 2 písm. c) nařízení (EU) č. 575/2013, jež nejsou vykázány v rámci položek 4.1 a 4.2).</w:t>
      </w:r>
    </w:p>
    <w:p w14:paraId="3BA21E18" w14:textId="77777777" w:rsidR="007266CF" w:rsidRPr="002A677E" w:rsidRDefault="007266CF" w:rsidP="007266CF">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Retailová oblast – malé a střední podniky se zajištěním nemovitostmi</w:t>
      </w:r>
    </w:p>
    <w:p w14:paraId="556961EC" w14:textId="77777777" w:rsidR="007266CF" w:rsidRPr="002A677E" w:rsidRDefault="007266CF" w:rsidP="007266CF">
      <w:pPr>
        <w:autoSpaceDE w:val="0"/>
        <w:autoSpaceDN w:val="0"/>
        <w:adjustRightInd w:val="0"/>
        <w:spacing w:before="0" w:after="0"/>
        <w:ind w:left="1428"/>
        <w:jc w:val="left"/>
        <w:rPr>
          <w:rFonts w:ascii="Times New Roman" w:hAnsi="Times New Roman"/>
          <w:sz w:val="24"/>
        </w:rPr>
      </w:pPr>
      <w:r>
        <w:rPr>
          <w:rFonts w:ascii="Times New Roman" w:hAnsi="Times New Roman"/>
          <w:sz w:val="24"/>
        </w:rPr>
        <w:t>(retailové expozice ve smyslu čl. 147 odst. 2 písm. d) nařízení (EU) č. 575/2013 ve spojení s čl. 154 odst. 3 uvedeného nařízení, které jsou zajištěny nemovitostmi). Pro účely zařazení do této podkategorie expozic použijí vykazující subjekty svou interní definici malých a středních podniků používanou v interních procesech řízení rizik.</w:t>
      </w:r>
    </w:p>
    <w:p w14:paraId="46DE8775" w14:textId="77777777" w:rsidR="007266CF" w:rsidRPr="002A677E" w:rsidRDefault="007266CF" w:rsidP="007266CF">
      <w:pPr>
        <w:autoSpaceDE w:val="0"/>
        <w:autoSpaceDN w:val="0"/>
        <w:adjustRightInd w:val="0"/>
        <w:spacing w:before="0" w:after="0"/>
        <w:ind w:left="1418" w:hanging="710"/>
        <w:jc w:val="left"/>
        <w:rPr>
          <w:rFonts w:ascii="Times New Roman" w:hAnsi="Times New Roman"/>
          <w:sz w:val="24"/>
        </w:rPr>
      </w:pPr>
      <w:r>
        <w:rPr>
          <w:rFonts w:ascii="Times New Roman" w:hAnsi="Times New Roman"/>
          <w:sz w:val="24"/>
        </w:rPr>
        <w:t>5.2)</w:t>
      </w:r>
      <w:r>
        <w:tab/>
      </w:r>
      <w:r>
        <w:rPr>
          <w:rFonts w:ascii="Times New Roman" w:hAnsi="Times New Roman"/>
          <w:sz w:val="24"/>
        </w:rPr>
        <w:t>Retailová oblast – ostatní podniky (jiné než malé a střední) se zajištěním nemovitostmi</w:t>
      </w:r>
    </w:p>
    <w:p w14:paraId="61FF5C7B" w14:textId="77777777" w:rsidR="007266CF" w:rsidRPr="002A677E" w:rsidRDefault="007266CF" w:rsidP="007266CF">
      <w:pPr>
        <w:autoSpaceDE w:val="0"/>
        <w:autoSpaceDN w:val="0"/>
        <w:adjustRightInd w:val="0"/>
        <w:spacing w:before="0" w:after="0"/>
        <w:ind w:left="1428"/>
        <w:jc w:val="left"/>
        <w:rPr>
          <w:rFonts w:ascii="Times New Roman" w:hAnsi="Times New Roman"/>
          <w:sz w:val="24"/>
        </w:rPr>
      </w:pPr>
      <w:r>
        <w:rPr>
          <w:rFonts w:ascii="Times New Roman" w:hAnsi="Times New Roman"/>
          <w:sz w:val="24"/>
        </w:rPr>
        <w:t>(retailové expozice ve smyslu čl. 147 odst. 2 písm. d) nařízení (EU) č. 575/2013, které jsou zajištěny nemovitostmi a nejsou vykázány v rámci položky 5.1).</w:t>
      </w:r>
    </w:p>
    <w:p w14:paraId="1C8BD7BE" w14:textId="77777777" w:rsidR="007266CF" w:rsidRPr="002A677E" w:rsidRDefault="007266CF" w:rsidP="007266CF">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Podle bodů 5.1 a 5.2 se za retailové expozice zajištěné nemovitostmi považují veškeré retailové expozice zajištěné nemovitostmi uznané jako kolaterál bez ohledu na poměr hodnoty kolaterálu k expozici nebo účel úvěru. </w:t>
      </w:r>
    </w:p>
    <w:p w14:paraId="3BE04D92" w14:textId="77777777" w:rsidR="007266CF" w:rsidRPr="002A677E" w:rsidRDefault="007266CF" w:rsidP="007266CF">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Retailová oblast – kvalifikované revolvingové expozice</w:t>
      </w:r>
    </w:p>
    <w:p w14:paraId="270CA0B3" w14:textId="77777777" w:rsidR="007266CF" w:rsidRPr="002A677E" w:rsidRDefault="007266CF" w:rsidP="007266CF">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(retailové expozice ve smyslu čl. 147 odst. 2 písm. d) nařízení (EU) č. 575/2013 ve spojení s čl. 154 odst. 4 uvedeného nařízení). </w:t>
      </w:r>
    </w:p>
    <w:p w14:paraId="2A7DB185" w14:textId="77777777" w:rsidR="007266CF" w:rsidRPr="002A677E" w:rsidRDefault="007266CF" w:rsidP="007266CF">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Retailová oblast – ostatní malé a střední podniky</w:t>
      </w:r>
    </w:p>
    <w:p w14:paraId="33100186" w14:textId="77777777" w:rsidR="007266CF" w:rsidRPr="002A677E" w:rsidRDefault="007266CF" w:rsidP="007266CF">
      <w:pPr>
        <w:autoSpaceDE w:val="0"/>
        <w:autoSpaceDN w:val="0"/>
        <w:adjustRightInd w:val="0"/>
        <w:spacing w:before="0" w:after="0"/>
        <w:ind w:left="1428"/>
        <w:jc w:val="left"/>
        <w:rPr>
          <w:rFonts w:ascii="Times New Roman" w:hAnsi="Times New Roman"/>
          <w:sz w:val="24"/>
        </w:rPr>
      </w:pPr>
      <w:r>
        <w:rPr>
          <w:rFonts w:ascii="Times New Roman" w:hAnsi="Times New Roman"/>
          <w:sz w:val="24"/>
        </w:rPr>
        <w:t>(retailové expozice ve smyslu čl. 147 odst. 2 písm. d) nařízení (EU) č. 575/2013, jež nejsou vykázány v rámci položek 5.1 a 5.3). Pro účely zařazení do této podkategorie expozic použijí vykazující subjekty svou interní definici malých a středních podniků používanou v interních procesech řízení rizik.</w:t>
      </w:r>
    </w:p>
    <w:p w14:paraId="08175317" w14:textId="77777777" w:rsidR="007266CF" w:rsidRPr="002A677E" w:rsidRDefault="007266CF" w:rsidP="007266CF">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Retailová oblast – ostatní podniky jiné než malé a střední</w:t>
      </w:r>
    </w:p>
    <w:p w14:paraId="01DB51EE" w14:textId="77777777" w:rsidR="007266CF" w:rsidRPr="002A677E" w:rsidRDefault="007266CF" w:rsidP="007266CF">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(retailové expozice ve smyslu čl. 147 odst. 2 písm. d) nařízení (EU) č. 575/2013, které nebyly vykázány v rámci položek 5.2 a 5.3).</w:t>
      </w:r>
    </w:p>
    <w:p w14:paraId="55E2D041" w14:textId="77777777" w:rsidR="007266CF" w:rsidRPr="002A677E" w:rsidRDefault="007266CF" w:rsidP="007266CF">
      <w:pPr>
        <w:autoSpaceDE w:val="0"/>
        <w:autoSpaceDN w:val="0"/>
        <w:adjustRightInd w:val="0"/>
        <w:spacing w:before="0" w:after="240"/>
        <w:jc w:val="left"/>
        <w:rPr>
          <w:rFonts w:ascii="Times New Roman" w:hAnsi="Times New Roman"/>
          <w:sz w:val="24"/>
          <w:lang w:eastAsia="de-DE"/>
        </w:rPr>
      </w:pPr>
    </w:p>
    <w:p w14:paraId="795C41AD" w14:textId="77777777" w:rsidR="007266CF" w:rsidRPr="002A677E" w:rsidRDefault="007266CF" w:rsidP="00A75C39">
      <w:pPr>
        <w:pStyle w:val="Instructionsberschrift2"/>
        <w:numPr>
          <w:ilvl w:val="2"/>
          <w:numId w:val="75"/>
        </w:numPr>
        <w:ind w:left="426" w:hanging="426"/>
        <w:rPr>
          <w:rFonts w:ascii="Times New Roman" w:hAnsi="Times New Roman" w:cs="Times New Roman"/>
          <w:sz w:val="24"/>
        </w:rPr>
      </w:pPr>
      <w:bookmarkStart w:id="108" w:name="_Toc116026747"/>
      <w:bookmarkStart w:id="109" w:name="_Toc119077904"/>
      <w:r>
        <w:rPr>
          <w:rFonts w:ascii="Times New Roman" w:hAnsi="Times New Roman"/>
          <w:sz w:val="24"/>
        </w:rPr>
        <w:t>C 08.01 – Úvěrové riziko a úvěrové riziko protistrany a volné dodávky: přístup IRB ke kapitálovým požadavkům (CR IRB 1)</w:t>
      </w:r>
      <w:bookmarkEnd w:id="108"/>
      <w:bookmarkEnd w:id="109"/>
    </w:p>
    <w:p w14:paraId="6350888D" w14:textId="77777777" w:rsidR="007266CF" w:rsidRPr="002A677E" w:rsidRDefault="007266CF" w:rsidP="00A75C39">
      <w:pPr>
        <w:pStyle w:val="Instructionsberschrift2"/>
        <w:numPr>
          <w:ilvl w:val="3"/>
          <w:numId w:val="76"/>
        </w:numPr>
        <w:ind w:left="426" w:hanging="426"/>
        <w:rPr>
          <w:rFonts w:ascii="Times New Roman" w:hAnsi="Times New Roman" w:cs="Times New Roman"/>
          <w:sz w:val="24"/>
        </w:rPr>
      </w:pPr>
      <w:bookmarkStart w:id="110" w:name="_Toc116026748"/>
      <w:bookmarkStart w:id="111" w:name="_Toc119077905"/>
      <w:r>
        <w:rPr>
          <w:rFonts w:ascii="Times New Roman" w:hAnsi="Times New Roman"/>
          <w:sz w:val="24"/>
        </w:rPr>
        <w:t>Pokyny pro konkrétní pozice</w:t>
      </w:r>
      <w:bookmarkEnd w:id="110"/>
      <w:bookmarkEnd w:id="1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43A13BB1" w14:textId="77777777" w:rsidTr="007266CF">
        <w:tc>
          <w:tcPr>
            <w:tcW w:w="1188" w:type="dxa"/>
            <w:shd w:val="clear" w:color="auto" w:fill="CCCCCC"/>
          </w:tcPr>
          <w:p w14:paraId="2393690F"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shd w:val="clear" w:color="auto" w:fill="CCCCCC"/>
          </w:tcPr>
          <w:p w14:paraId="69322423"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14FBF1D0" w14:textId="77777777" w:rsidTr="007266CF">
        <w:tc>
          <w:tcPr>
            <w:tcW w:w="1188" w:type="dxa"/>
          </w:tcPr>
          <w:p w14:paraId="1B7BBB23"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843" w:type="dxa"/>
          </w:tcPr>
          <w:p w14:paraId="74C6EC4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STUPNICE INTERNÍCH RATINGŮ / PRAVDĚPODOBNOST SELHÁNÍ (PD) PŘIŘAZENÁ STUPNI NEBO SESKUPENÍ DLUŽNÍKŮ (%)</w:t>
            </w:r>
          </w:p>
          <w:p w14:paraId="0E635356" w14:textId="77777777" w:rsidR="007266CF" w:rsidRPr="002A677E" w:rsidRDefault="007266CF" w:rsidP="007266CF">
            <w:pPr>
              <w:rPr>
                <w:rFonts w:ascii="Times New Roman" w:hAnsi="Times New Roman"/>
                <w:sz w:val="24"/>
              </w:rPr>
            </w:pPr>
            <w:r>
              <w:rPr>
                <w:rStyle w:val="InstructionsTabelleText"/>
                <w:rFonts w:ascii="Times New Roman" w:hAnsi="Times New Roman"/>
                <w:sz w:val="24"/>
              </w:rPr>
              <w:t xml:space="preserve">PD přiřazená stupni nebo seskupení dlužníků, která má být vykázána, vychází z ustanovení článku 180 </w:t>
            </w:r>
            <w:r>
              <w:rPr>
                <w:rFonts w:ascii="Times New Roman" w:hAnsi="Times New Roman"/>
                <w:sz w:val="24"/>
              </w:rPr>
              <w:t>nařízení (EU) č. 575/2013</w:t>
            </w:r>
            <w:r>
              <w:rPr>
                <w:rStyle w:val="InstructionsTabelleText"/>
                <w:rFonts w:ascii="Times New Roman" w:hAnsi="Times New Roman"/>
                <w:sz w:val="24"/>
              </w:rPr>
              <w:t>. U každého jednotlivého stupně nebo seskupení se vykáže PD přiřazená ke konkrétnímu stupni nebo seskupení dlužníků. Pokud jde o číselné údaje odpovídající souhrnné hodnotě ratingových stupňů nebo seskupení dlužníků (např. celkové expozice), uvedou se expozicí vážené průměrné hodnoty pravděpodobností selhání přiřazených stupňům nebo seskupením dlužníků, které jsou do souhrnné hodnoty zahrnuty. Pro výpočet expozicí vážené průměrné hodnoty PD se použije hodnota expozice (sloupec 0110)</w:t>
            </w:r>
            <w:r>
              <w:rPr>
                <w:rFonts w:ascii="Times New Roman" w:hAnsi="Times New Roman"/>
                <w:sz w:val="24"/>
              </w:rPr>
              <w:t>.</w:t>
            </w:r>
          </w:p>
          <w:p w14:paraId="1380C151"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U každého jednotlivého stupně nebo seskupení se vykáže PD přiřazená ke konkrétnímu stupni nebo seskupení dlužníků. Všechny vykazované rizikové parametry se odvozují na základě rizikových parametrů používaných v interní ratingové stupnici, která je schválena příslušným orgánem.</w:t>
            </w:r>
          </w:p>
          <w:p w14:paraId="4D85074F"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Není nutné ani žádoucí používat dohledovou rámcovou stupnici. Pokud vykazující instituce používá jedinečnou ratingovou stupnici nebo má možnost provádět vykazování na základě interní rámcové stupnice, použije tuto stupnici. </w:t>
            </w:r>
          </w:p>
          <w:p w14:paraId="03763519"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V jiných případech se provede sloučení a seřazení různých ratingových stupnic podle následujících kritérií: Stupně dlužníka různých ratingových stupnic se seskupí a seřadí od nižší PD přiřazené každému stupni dlužníka po vyšší. Jestliže instituce používá mnoho stupňů nebo seskupení, příslušné orgány mohou povolit vykazování menšího počtu stupňů nebo seskupení. Totéž platí pro kontinuální ratingové stupnice: s příslušnými orgány se dohodne snížený počet stupňů, které mají být vykázány.</w:t>
            </w:r>
          </w:p>
          <w:p w14:paraId="68DFB9E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Přejí-li si instituce vykazovat odlišný počet stupňů v porovnání s interním počtem stupňů, musí se v předstihu obrátit na příslušný orgán.</w:t>
            </w:r>
          </w:p>
          <w:p w14:paraId="69EC9BA0"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Poslední ratingový stupeň nebo stupně jsou vyhrazeny pro expozice v selhání s hodnotou PD ve výši 100</w:t>
            </w:r>
            <w:r>
              <w:t> </w:t>
            </w:r>
            <w:r>
              <w:rPr>
                <w:rStyle w:val="InstructionsTabelleText"/>
                <w:rFonts w:ascii="Times New Roman" w:hAnsi="Times New Roman"/>
                <w:sz w:val="24"/>
              </w:rPr>
              <w:t>%.</w:t>
            </w:r>
          </w:p>
          <w:p w14:paraId="351B43D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Pro účely vážení průměrné hodnoty PD se použije hodnota expozice vykázaná ve sloupci 110. Expozicí vážená průměrná hodnota PD se vypočítá s přihlédnutím ke všem expozicím vykázaným v daném řádku. V řádku, kde se vykazují pouze expozice v selhání, činí průměrná PD 100 %.</w:t>
            </w:r>
          </w:p>
          <w:p w14:paraId="720716A0" w14:textId="77777777" w:rsidR="007266CF" w:rsidRPr="002A677E" w:rsidRDefault="007266CF" w:rsidP="007266CF">
            <w:pPr>
              <w:rPr>
                <w:rFonts w:ascii="Times New Roman" w:hAnsi="Times New Roman"/>
                <w:sz w:val="24"/>
              </w:rPr>
            </w:pPr>
          </w:p>
        </w:tc>
      </w:tr>
      <w:tr w:rsidR="007266CF" w:rsidRPr="002A677E" w14:paraId="6FEC93DB" w14:textId="77777777" w:rsidTr="007266CF">
        <w:tc>
          <w:tcPr>
            <w:tcW w:w="1188" w:type="dxa"/>
          </w:tcPr>
          <w:p w14:paraId="20786B71"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843" w:type="dxa"/>
          </w:tcPr>
          <w:p w14:paraId="46BE8E5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PŮVODNÍ EXPOZICE PŘED VYNÁSOBENÍM KONVERZNÍMI FAKTORY</w:t>
            </w:r>
          </w:p>
          <w:p w14:paraId="1767739A" w14:textId="77777777" w:rsidR="007266CF" w:rsidRPr="002A677E" w:rsidRDefault="007266CF" w:rsidP="007266CF">
            <w:pPr>
              <w:rPr>
                <w:rFonts w:ascii="Times New Roman" w:hAnsi="Times New Roman"/>
                <w:sz w:val="24"/>
              </w:rPr>
            </w:pPr>
            <w:r>
              <w:rPr>
                <w:rFonts w:ascii="Times New Roman" w:hAnsi="Times New Roman"/>
                <w:sz w:val="24"/>
              </w:rPr>
              <w:lastRenderedPageBreak/>
              <w:t xml:space="preserve">Instituce vykazují hodnotu expozice před zohledněním jakýchkoli úprav ocenění, rezerv, dopadů technik snižování úvěrového rizika nebo úvěrových konverzních faktorů. </w:t>
            </w:r>
          </w:p>
          <w:p w14:paraId="76CAA62C" w14:textId="77777777" w:rsidR="007266CF" w:rsidRPr="002A677E" w:rsidRDefault="007266CF" w:rsidP="007266CF">
            <w:pPr>
              <w:rPr>
                <w:rFonts w:ascii="Times New Roman" w:hAnsi="Times New Roman"/>
                <w:sz w:val="24"/>
              </w:rPr>
            </w:pPr>
            <w:r>
              <w:rPr>
                <w:rFonts w:ascii="Times New Roman" w:hAnsi="Times New Roman"/>
                <w:sz w:val="24"/>
              </w:rPr>
              <w:t>Hodnota původní expozice se vykazuje v souladu s článkem 24 a čl. 166 odst. 1, 2, 4, 5, 6 a 7 nařízení (EU) č. 575/2013.</w:t>
            </w:r>
          </w:p>
          <w:p w14:paraId="5755CDE9" w14:textId="77777777" w:rsidR="007266CF" w:rsidRPr="002A677E" w:rsidRDefault="007266CF" w:rsidP="007266CF">
            <w:pPr>
              <w:rPr>
                <w:rFonts w:ascii="Times New Roman" w:hAnsi="Times New Roman"/>
                <w:sz w:val="24"/>
              </w:rPr>
            </w:pPr>
            <w:r>
              <w:rPr>
                <w:rFonts w:ascii="Times New Roman" w:hAnsi="Times New Roman"/>
                <w:sz w:val="24"/>
              </w:rPr>
              <w:t xml:space="preserve">Dopad vyplývající z čl. 166 odst. 3 nařízení (EU) č. 575/2013 (dopad rozvahového započtení úvěrů a vkladů) se vykazuje samostatně jako majetkové zajištění úvěrového rizika, a tudíž nesnižuje výši původní expozice. </w:t>
            </w:r>
          </w:p>
          <w:p w14:paraId="11C93B17" w14:textId="77777777" w:rsidR="007266CF" w:rsidRPr="002A677E" w:rsidRDefault="007266CF" w:rsidP="007266CF">
            <w:pPr>
              <w:rPr>
                <w:rFonts w:ascii="Times New Roman" w:hAnsi="Times New Roman"/>
                <w:sz w:val="24"/>
              </w:rPr>
            </w:pPr>
            <w:r>
              <w:rPr>
                <w:rFonts w:ascii="Times New Roman" w:hAnsi="Times New Roman"/>
                <w:sz w:val="24"/>
              </w:rPr>
              <w:t>V případě derivátových nástrojů, repo obchodů, půjček či výpůjček cenných papírů nebo komodit, transakcí s delší dobou vypořádání a maržových obchodů podléhajících úvěrovému riziku protistrany (část třetí hlava II kapitola 4 nebo kapitola 6 nařízení (EU) č. 575/2013) odpovídá původní expozice hodnotě expozice vyplývající z úvěrového rizika protistrany (viz pokyny ke sloupci 0130).</w:t>
            </w:r>
          </w:p>
        </w:tc>
      </w:tr>
      <w:tr w:rsidR="007266CF" w:rsidRPr="002A677E" w14:paraId="4596FDB0" w14:textId="77777777" w:rsidTr="007266CF">
        <w:tc>
          <w:tcPr>
            <w:tcW w:w="1188" w:type="dxa"/>
          </w:tcPr>
          <w:p w14:paraId="61F122BB" w14:textId="77777777" w:rsidR="007266CF" w:rsidRPr="002A677E" w:rsidRDefault="007266CF" w:rsidP="007266CF">
            <w:pPr>
              <w:rPr>
                <w:rFonts w:ascii="Times New Roman" w:hAnsi="Times New Roman"/>
                <w:sz w:val="24"/>
              </w:rPr>
            </w:pPr>
            <w:r>
              <w:rPr>
                <w:rFonts w:ascii="Times New Roman" w:hAnsi="Times New Roman"/>
                <w:sz w:val="24"/>
              </w:rPr>
              <w:lastRenderedPageBreak/>
              <w:t>0030</w:t>
            </w:r>
          </w:p>
        </w:tc>
        <w:tc>
          <w:tcPr>
            <w:tcW w:w="8843" w:type="dxa"/>
          </w:tcPr>
          <w:p w14:paraId="7ACE489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14:paraId="56C458FE" w14:textId="77777777" w:rsidR="007266CF" w:rsidRPr="002A677E" w:rsidRDefault="007266CF" w:rsidP="007266CF">
            <w:pPr>
              <w:rPr>
                <w:rFonts w:ascii="Times New Roman" w:hAnsi="Times New Roman"/>
                <w:b/>
                <w:sz w:val="24"/>
                <w:u w:val="single"/>
              </w:rPr>
            </w:pPr>
            <w:r>
              <w:rPr>
                <w:rFonts w:ascii="Times New Roman" w:hAnsi="Times New Roman"/>
                <w:sz w:val="24"/>
              </w:rPr>
              <w:t>Rozklad původní expozice před vynásobením konverzním faktorem u všech expozic subjektů uvedených v čl. 142 odst. 1 bodech 4 a 5 nařízení (EU) č. 575/2013, které podléhají vyššímu koeficientu korelace podle čl. 153 odst. 2 uvedeného nařízení.</w:t>
            </w:r>
          </w:p>
        </w:tc>
      </w:tr>
      <w:tr w:rsidR="007266CF" w:rsidRPr="002A677E" w14:paraId="37CEC36C" w14:textId="77777777" w:rsidTr="007266CF">
        <w:tc>
          <w:tcPr>
            <w:tcW w:w="1188" w:type="dxa"/>
          </w:tcPr>
          <w:p w14:paraId="4C8F149D" w14:textId="77777777" w:rsidR="007266CF" w:rsidRPr="002A677E" w:rsidRDefault="007266CF" w:rsidP="007266CF">
            <w:pPr>
              <w:rPr>
                <w:rFonts w:ascii="Times New Roman" w:hAnsi="Times New Roman"/>
                <w:sz w:val="24"/>
              </w:rPr>
            </w:pPr>
            <w:r>
              <w:rPr>
                <w:rFonts w:ascii="Times New Roman" w:hAnsi="Times New Roman"/>
                <w:sz w:val="24"/>
              </w:rPr>
              <w:t>0040–0080</w:t>
            </w:r>
          </w:p>
        </w:tc>
        <w:tc>
          <w:tcPr>
            <w:tcW w:w="8843" w:type="dxa"/>
          </w:tcPr>
          <w:p w14:paraId="2816B66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TECHNIKY SNIŽOVÁNÍ ÚVĚROVÉHO RIZIKA SE SUBSTITUČNÍMI VLIVY NA EXPOZICI</w:t>
            </w:r>
          </w:p>
          <w:p w14:paraId="0A6098CA" w14:textId="77777777" w:rsidR="007266CF" w:rsidRPr="002A677E" w:rsidRDefault="007266CF" w:rsidP="007266CF">
            <w:pPr>
              <w:rPr>
                <w:rFonts w:ascii="Times New Roman" w:hAnsi="Times New Roman"/>
                <w:sz w:val="24"/>
              </w:rPr>
            </w:pPr>
            <w:r>
              <w:rPr>
                <w:rFonts w:ascii="Times New Roman" w:hAnsi="Times New Roman"/>
                <w:sz w:val="24"/>
              </w:rPr>
              <w:t>Snižování úvěrového rizika definovaného v čl. 4 odst. 1 bodě 57 nařízení (EU) č. 575/2013, které snižují úvěrové riziko expozice nebo expozic prostřednictvím substituce expozic, jak je definováno níže v položce „SUBSTITUCE EXPOZICE V DŮSLEDKU SNIŽOVÁNÍ ÚVĚROVÉHO RIZIKA“.</w:t>
            </w:r>
          </w:p>
          <w:p w14:paraId="36D22B2A"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762F81FD" w14:textId="77777777" w:rsidTr="007266CF">
        <w:tc>
          <w:tcPr>
            <w:tcW w:w="1188" w:type="dxa"/>
          </w:tcPr>
          <w:p w14:paraId="122BE5EC" w14:textId="77777777" w:rsidR="007266CF" w:rsidRPr="002A677E" w:rsidRDefault="007266CF" w:rsidP="007266CF">
            <w:pPr>
              <w:rPr>
                <w:rFonts w:ascii="Times New Roman" w:hAnsi="Times New Roman"/>
                <w:sz w:val="24"/>
              </w:rPr>
            </w:pPr>
            <w:r>
              <w:rPr>
                <w:rFonts w:ascii="Times New Roman" w:hAnsi="Times New Roman"/>
                <w:sz w:val="24"/>
              </w:rPr>
              <w:t>0040–0050</w:t>
            </w:r>
          </w:p>
        </w:tc>
        <w:tc>
          <w:tcPr>
            <w:tcW w:w="8843" w:type="dxa"/>
          </w:tcPr>
          <w:p w14:paraId="3920407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OSOBNÍ ZAJIŠTĚNÍ ÚVĚROVÉHO RIZIKA</w:t>
            </w:r>
          </w:p>
          <w:p w14:paraId="2556C644"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Osobní zajištění úvěrového rizika ve smyslu čl. 4 odst. 1 bodu 59 </w:t>
            </w:r>
            <w:r>
              <w:rPr>
                <w:rFonts w:ascii="Times New Roman" w:hAnsi="Times New Roman"/>
                <w:sz w:val="24"/>
              </w:rPr>
              <w:t>nařízení (EU) č. 575/2013</w:t>
            </w:r>
            <w:r>
              <w:rPr>
                <w:rStyle w:val="InstructionsTabelleText"/>
                <w:rFonts w:ascii="Times New Roman" w:hAnsi="Times New Roman"/>
                <w:sz w:val="24"/>
              </w:rPr>
              <w:t>.</w:t>
            </w:r>
          </w:p>
          <w:p w14:paraId="0D00E3CA" w14:textId="77777777" w:rsidR="007266CF" w:rsidRPr="002A677E" w:rsidRDefault="007266CF" w:rsidP="007266CF">
            <w:pPr>
              <w:rPr>
                <w:rFonts w:ascii="Times New Roman" w:hAnsi="Times New Roman"/>
                <w:sz w:val="24"/>
              </w:rPr>
            </w:pPr>
            <w:r>
              <w:rPr>
                <w:rFonts w:ascii="Times New Roman" w:hAnsi="Times New Roman"/>
                <w:sz w:val="24"/>
              </w:rPr>
              <w:t>Má-li použití osobního zajištění úvěrového rizika dopad na expozici (např. pokud je používáno při technikách snižování úvěrového rizika se substitučními vlivy na expozici), jeho výše je omezena hodnotou expozice.</w:t>
            </w:r>
          </w:p>
        </w:tc>
      </w:tr>
      <w:tr w:rsidR="007266CF" w:rsidRPr="006223CC" w14:paraId="594C84D0" w14:textId="77777777" w:rsidTr="007266CF">
        <w:tc>
          <w:tcPr>
            <w:tcW w:w="1188" w:type="dxa"/>
          </w:tcPr>
          <w:p w14:paraId="179ABD4D"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843" w:type="dxa"/>
          </w:tcPr>
          <w:p w14:paraId="265CE627" w14:textId="77777777" w:rsidR="007266CF" w:rsidRPr="002A677E" w:rsidRDefault="007266CF" w:rsidP="007266CF">
            <w:pPr>
              <w:jc w:val="left"/>
              <w:rPr>
                <w:rStyle w:val="InstructionsTabelleberschrift"/>
                <w:rFonts w:ascii="Times New Roman" w:hAnsi="Times New Roman"/>
                <w:sz w:val="24"/>
              </w:rPr>
            </w:pPr>
            <w:r>
              <w:rPr>
                <w:rStyle w:val="InstructionsTabelleberschrift"/>
                <w:rFonts w:ascii="Times New Roman" w:hAnsi="Times New Roman"/>
                <w:sz w:val="24"/>
              </w:rPr>
              <w:t>ZÁRUKY:</w:t>
            </w:r>
          </w:p>
          <w:p w14:paraId="54F61BF7" w14:textId="77777777" w:rsidR="007266CF" w:rsidRPr="002A677E" w:rsidRDefault="007266CF" w:rsidP="007266CF">
            <w:pPr>
              <w:jc w:val="left"/>
              <w:rPr>
                <w:rFonts w:ascii="Times New Roman" w:hAnsi="Times New Roman"/>
                <w:sz w:val="24"/>
              </w:rPr>
            </w:pPr>
            <w:r>
              <w:rPr>
                <w:rFonts w:ascii="Times New Roman" w:hAnsi="Times New Roman"/>
                <w:sz w:val="24"/>
              </w:rPr>
              <w:t>Nejsou-li používány vlastní odhady LGD, uvede se upravená hodnota (G</w:t>
            </w:r>
            <w:r>
              <w:rPr>
                <w:rFonts w:ascii="Times New Roman" w:hAnsi="Times New Roman"/>
                <w:sz w:val="24"/>
                <w:vertAlign w:val="subscript"/>
              </w:rPr>
              <w:t>A</w:t>
            </w:r>
            <w:r>
              <w:rPr>
                <w:rFonts w:ascii="Times New Roman" w:hAnsi="Times New Roman"/>
                <w:sz w:val="24"/>
              </w:rPr>
              <w:t>), jak je definováno v čl. 236 odst. 3 nařízení (EU) č. 575/2013.</w:t>
            </w:r>
          </w:p>
          <w:p w14:paraId="009BBC9C" w14:textId="77777777" w:rsidR="007266CF" w:rsidRPr="002A677E" w:rsidRDefault="007266CF" w:rsidP="007266CF">
            <w:pPr>
              <w:jc w:val="left"/>
              <w:rPr>
                <w:rFonts w:ascii="Times New Roman" w:hAnsi="Times New Roman"/>
                <w:sz w:val="24"/>
              </w:rPr>
            </w:pPr>
            <w:r>
              <w:rPr>
                <w:rFonts w:ascii="Times New Roman" w:hAnsi="Times New Roman"/>
                <w:sz w:val="24"/>
              </w:rPr>
              <w:t xml:space="preserve">Pokud jsou používány vlastní odhady LGD v souladu s článkem 183 nařízení (EU) č. 575/2013 (s výjimkou odstavce 3), vykazuje se relevantní hodnota použitá v interním modelu. </w:t>
            </w:r>
          </w:p>
          <w:p w14:paraId="719F5308" w14:textId="77777777" w:rsidR="007266CF" w:rsidRPr="006223CC" w:rsidRDefault="007266CF" w:rsidP="007266CF">
            <w:pPr>
              <w:jc w:val="left"/>
              <w:rPr>
                <w:rFonts w:ascii="Times New Roman" w:hAnsi="Times New Roman"/>
                <w:sz w:val="24"/>
                <w:lang w:val="fr-FR"/>
              </w:rPr>
            </w:pPr>
            <w:r>
              <w:rPr>
                <w:rFonts w:ascii="Times New Roman" w:hAnsi="Times New Roman"/>
                <w:sz w:val="24"/>
              </w:rPr>
              <w:t xml:space="preserve">Záruky se vykazují ve sloupci 0040 v případě, že hodnota LGD není upravena. </w:t>
            </w:r>
            <w:r w:rsidRPr="006223CC">
              <w:rPr>
                <w:rFonts w:ascii="Times New Roman" w:hAnsi="Times New Roman"/>
                <w:sz w:val="24"/>
                <w:lang w:val="fr-FR"/>
              </w:rPr>
              <w:t>Je-li hodnota LGD upravena, hodnota záruky se vykazuje ve sloupci 0150.</w:t>
            </w:r>
          </w:p>
          <w:p w14:paraId="08415A1D" w14:textId="77777777" w:rsidR="007266CF" w:rsidRPr="006223CC" w:rsidRDefault="007266CF" w:rsidP="007266CF">
            <w:pPr>
              <w:jc w:val="left"/>
              <w:rPr>
                <w:rFonts w:ascii="Times New Roman" w:hAnsi="Times New Roman"/>
                <w:sz w:val="24"/>
                <w:lang w:val="fr-FR"/>
              </w:rPr>
            </w:pPr>
            <w:r w:rsidRPr="006223CC">
              <w:rPr>
                <w:rFonts w:ascii="Times New Roman" w:hAnsi="Times New Roman"/>
                <w:sz w:val="24"/>
                <w:lang w:val="fr-FR"/>
              </w:rPr>
              <w:t>Co se týče expozic, které podléhají přístupu dvojího selhání, hodnota osobního zajištění úvěrového rizika se vykazuje ve sloupci 0220.</w:t>
            </w:r>
          </w:p>
          <w:p w14:paraId="4E2AC175" w14:textId="77777777" w:rsidR="007266CF" w:rsidRPr="006223CC" w:rsidRDefault="007266CF" w:rsidP="007266CF">
            <w:pPr>
              <w:jc w:val="left"/>
              <w:rPr>
                <w:rFonts w:ascii="Times New Roman" w:hAnsi="Times New Roman"/>
                <w:sz w:val="24"/>
                <w:lang w:val="fr-FR"/>
              </w:rPr>
            </w:pPr>
          </w:p>
        </w:tc>
      </w:tr>
      <w:tr w:rsidR="007266CF" w:rsidRPr="006223CC" w14:paraId="73FB1702" w14:textId="77777777" w:rsidTr="007266CF">
        <w:tc>
          <w:tcPr>
            <w:tcW w:w="1188" w:type="dxa"/>
          </w:tcPr>
          <w:p w14:paraId="678FFB33" w14:textId="77777777" w:rsidR="007266CF" w:rsidRPr="002A677E" w:rsidRDefault="007266CF" w:rsidP="007266CF">
            <w:pPr>
              <w:rPr>
                <w:rFonts w:ascii="Times New Roman" w:hAnsi="Times New Roman"/>
                <w:sz w:val="24"/>
              </w:rPr>
            </w:pPr>
            <w:r>
              <w:rPr>
                <w:rFonts w:ascii="Times New Roman" w:hAnsi="Times New Roman"/>
                <w:sz w:val="24"/>
              </w:rPr>
              <w:lastRenderedPageBreak/>
              <w:t>0050</w:t>
            </w:r>
          </w:p>
        </w:tc>
        <w:tc>
          <w:tcPr>
            <w:tcW w:w="8843" w:type="dxa"/>
          </w:tcPr>
          <w:p w14:paraId="19A4B2F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ÚVĚROVÉ DERIVÁTY</w:t>
            </w:r>
          </w:p>
          <w:p w14:paraId="5E73571F" w14:textId="77777777" w:rsidR="007266CF" w:rsidRPr="002A677E" w:rsidRDefault="007266CF" w:rsidP="007266CF">
            <w:pPr>
              <w:rPr>
                <w:rFonts w:ascii="Times New Roman" w:hAnsi="Times New Roman"/>
                <w:sz w:val="24"/>
              </w:rPr>
            </w:pPr>
            <w:r>
              <w:rPr>
                <w:rFonts w:ascii="Times New Roman" w:hAnsi="Times New Roman"/>
                <w:sz w:val="24"/>
              </w:rPr>
              <w:t>Nejsou-li používány vlastní odhady LGD, uvede se upravená hodnota (G</w:t>
            </w:r>
            <w:r>
              <w:rPr>
                <w:rFonts w:ascii="Times New Roman" w:hAnsi="Times New Roman"/>
                <w:sz w:val="24"/>
                <w:vertAlign w:val="subscript"/>
              </w:rPr>
              <w:t>A</w:t>
            </w:r>
            <w:r>
              <w:rPr>
                <w:rFonts w:ascii="Times New Roman" w:hAnsi="Times New Roman"/>
                <w:sz w:val="24"/>
              </w:rPr>
              <w:t xml:space="preserve">), jak je definováno v čl. 236 odst. 3 nařízení (EU) č. 575/2013. </w:t>
            </w:r>
          </w:p>
          <w:p w14:paraId="09E2177B" w14:textId="77777777" w:rsidR="007266CF" w:rsidRPr="006223CC" w:rsidRDefault="007266CF" w:rsidP="007266CF">
            <w:pPr>
              <w:rPr>
                <w:rFonts w:ascii="Times New Roman" w:hAnsi="Times New Roman"/>
                <w:sz w:val="24"/>
                <w:lang w:val="fr-FR"/>
              </w:rPr>
            </w:pPr>
            <w:r>
              <w:rPr>
                <w:rFonts w:ascii="Times New Roman" w:hAnsi="Times New Roman"/>
                <w:sz w:val="24"/>
              </w:rPr>
              <w:t>Pokud jsou používány vlastní odhady LGD v souladu s čl. 183 odst. </w:t>
            </w:r>
            <w:r w:rsidRPr="006223CC">
              <w:rPr>
                <w:rFonts w:ascii="Times New Roman" w:hAnsi="Times New Roman"/>
                <w:sz w:val="24"/>
                <w:lang w:val="fr-FR"/>
              </w:rPr>
              <w:t>3 nařízení (EU) č. 575/2013, vykazuje se relevantní hodnota použitá v interním modelu.</w:t>
            </w:r>
          </w:p>
          <w:p w14:paraId="41AB8DA5"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Je-li hodnota LGD upravena, hodnota úvěrových derivátů se vykazuje ve sloupci 0160.</w:t>
            </w:r>
          </w:p>
          <w:p w14:paraId="6D65C31D" w14:textId="77777777" w:rsidR="007266CF" w:rsidRPr="006223CC" w:rsidRDefault="007266CF" w:rsidP="007266CF">
            <w:pPr>
              <w:jc w:val="left"/>
              <w:rPr>
                <w:rFonts w:ascii="Times New Roman" w:hAnsi="Times New Roman"/>
                <w:sz w:val="24"/>
                <w:lang w:val="fr-FR"/>
              </w:rPr>
            </w:pPr>
            <w:r w:rsidRPr="006223CC">
              <w:rPr>
                <w:rFonts w:ascii="Times New Roman" w:hAnsi="Times New Roman"/>
                <w:sz w:val="24"/>
                <w:lang w:val="fr-FR"/>
              </w:rPr>
              <w:t>Co se týče expozic, které podléhají přístupu dvojího selhání, hodnota osobního zajištění úvěrového rizika se vykazuje ve sloupci 0220.</w:t>
            </w:r>
          </w:p>
        </w:tc>
      </w:tr>
      <w:tr w:rsidR="007266CF" w:rsidRPr="002A677E" w14:paraId="15997176" w14:textId="77777777" w:rsidTr="007266CF">
        <w:tc>
          <w:tcPr>
            <w:tcW w:w="1188" w:type="dxa"/>
          </w:tcPr>
          <w:p w14:paraId="02AEA217"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843" w:type="dxa"/>
          </w:tcPr>
          <w:p w14:paraId="008CF14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JINÉ MAJETKOVÉ ZAJIŠTĚNÍ ÚVĚROVÉHO RIZIKA</w:t>
            </w:r>
          </w:p>
          <w:p w14:paraId="3A11B925"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Kolaterál, který má vliv na PD expozice, je omezen hodnotou</w:t>
            </w:r>
            <w:r>
              <w:rPr>
                <w:rFonts w:ascii="Times New Roman" w:hAnsi="Times New Roman"/>
                <w:sz w:val="24"/>
              </w:rPr>
              <w:t xml:space="preserve"> původní expozice před vynásobením konverzními faktory</w:t>
            </w:r>
            <w:r>
              <w:rPr>
                <w:rStyle w:val="InstructionsTabelleText"/>
                <w:rFonts w:ascii="Times New Roman" w:hAnsi="Times New Roman"/>
                <w:sz w:val="24"/>
              </w:rPr>
              <w:t>.</w:t>
            </w:r>
          </w:p>
          <w:p w14:paraId="54F88452"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Pokud nejsou používány vlastní odhady LGD, použije se čl. 232 odst. 1 </w:t>
            </w:r>
            <w:r>
              <w:rPr>
                <w:rFonts w:ascii="Times New Roman" w:hAnsi="Times New Roman"/>
                <w:sz w:val="24"/>
              </w:rPr>
              <w:t>nařízení (EU) č. 575/2013</w:t>
            </w:r>
            <w:r>
              <w:rPr>
                <w:rStyle w:val="InstructionsTabelleText"/>
                <w:rFonts w:ascii="Times New Roman" w:hAnsi="Times New Roman"/>
                <w:sz w:val="24"/>
              </w:rPr>
              <w:t>.</w:t>
            </w:r>
          </w:p>
          <w:p w14:paraId="5CF91A40"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Pokud jsou používány vlastní odhady LGD, vykazují se takové techniky snižování úvěrového rizika, které mají vliv na PD. Vykáže se příslušná nominální nebo tržní hodnota.</w:t>
            </w:r>
          </w:p>
          <w:p w14:paraId="5B70E8A2" w14:textId="77777777" w:rsidR="007266CF" w:rsidRPr="002A677E" w:rsidRDefault="007266CF" w:rsidP="007266CF">
            <w:pPr>
              <w:rPr>
                <w:rFonts w:ascii="Times New Roman" w:hAnsi="Times New Roman"/>
                <w:sz w:val="24"/>
              </w:rPr>
            </w:pPr>
            <w:r>
              <w:rPr>
                <w:rStyle w:val="InstructionsTabelleText"/>
                <w:rFonts w:ascii="Times New Roman" w:hAnsi="Times New Roman"/>
                <w:sz w:val="24"/>
              </w:rPr>
              <w:t>Je-li hodnota LGD upravena, vykazuje se uvedená hodnota ve sloupci 170.</w:t>
            </w:r>
          </w:p>
        </w:tc>
      </w:tr>
      <w:tr w:rsidR="007266CF" w:rsidRPr="002A677E" w14:paraId="767E6AED" w14:textId="77777777" w:rsidTr="007266CF">
        <w:tc>
          <w:tcPr>
            <w:tcW w:w="1188" w:type="dxa"/>
          </w:tcPr>
          <w:p w14:paraId="3AA270D8" w14:textId="77777777" w:rsidR="007266CF" w:rsidRPr="002A677E" w:rsidRDefault="007266CF" w:rsidP="007266CF">
            <w:pPr>
              <w:rPr>
                <w:rFonts w:ascii="Times New Roman" w:hAnsi="Times New Roman"/>
                <w:sz w:val="24"/>
              </w:rPr>
            </w:pPr>
            <w:r>
              <w:rPr>
                <w:rFonts w:ascii="Times New Roman" w:hAnsi="Times New Roman"/>
                <w:sz w:val="24"/>
              </w:rPr>
              <w:t>0070–0080</w:t>
            </w:r>
          </w:p>
        </w:tc>
        <w:tc>
          <w:tcPr>
            <w:tcW w:w="8843" w:type="dxa"/>
          </w:tcPr>
          <w:p w14:paraId="04CFD20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SUBSTITUCE EXPOZICE V DŮSLEDKU SNIŽOVÁNÍ ÚVĚROVÉHO RIZIKA</w:t>
            </w:r>
          </w:p>
          <w:p w14:paraId="33BA36C8" w14:textId="77777777" w:rsidR="007266CF" w:rsidRPr="002A677E" w:rsidRDefault="007266CF" w:rsidP="007266CF">
            <w:pPr>
              <w:rPr>
                <w:rFonts w:ascii="Times New Roman" w:hAnsi="Times New Roman"/>
                <w:sz w:val="24"/>
              </w:rPr>
            </w:pPr>
            <w:r>
              <w:rPr>
                <w:rFonts w:ascii="Times New Roman" w:hAnsi="Times New Roman"/>
                <w:sz w:val="24"/>
              </w:rPr>
              <w:t>Odtoky odpovídají kryté části původní expozice před vynásobením konverzními faktory, která se odečítá od kategorie expozic dlužníka, popřípadě od stupně nebo seskupení dlužníků, a následně se zařazuje do kategorie expozic ručitele, v příslušných případech do stupně nebo seskupení dlužníků. Tato částka se považuje za přítok do kategorie expozic ručitele a v příslušných případech do stupňů nebo seskupení dlužníků.</w:t>
            </w:r>
          </w:p>
          <w:p w14:paraId="09D46C61" w14:textId="77777777" w:rsidR="007266CF" w:rsidRPr="002A677E" w:rsidRDefault="007266CF" w:rsidP="007266CF">
            <w:pPr>
              <w:rPr>
                <w:rFonts w:ascii="Times New Roman" w:hAnsi="Times New Roman"/>
                <w:b/>
                <w:sz w:val="24"/>
              </w:rPr>
            </w:pPr>
            <w:r>
              <w:rPr>
                <w:rFonts w:ascii="Times New Roman" w:hAnsi="Times New Roman"/>
                <w:sz w:val="24"/>
              </w:rPr>
              <w:t>Zohledňují se rovněž přítoky a odtoky v rámci stejných kategorií expozic a v příslušných případech stupňů nebo seskupení dlužníků.</w:t>
            </w:r>
          </w:p>
          <w:p w14:paraId="354E70EC" w14:textId="77777777" w:rsidR="007266CF" w:rsidRPr="002A677E" w:rsidRDefault="007266CF" w:rsidP="007266CF">
            <w:pPr>
              <w:rPr>
                <w:rFonts w:ascii="Times New Roman" w:hAnsi="Times New Roman"/>
                <w:sz w:val="24"/>
              </w:rPr>
            </w:pPr>
            <w:r>
              <w:rPr>
                <w:rFonts w:ascii="Times New Roman" w:hAnsi="Times New Roman"/>
                <w:sz w:val="24"/>
              </w:rPr>
              <w:t>Zohledňují se expozice vyplývající z možných přítoků do a odtoků z jiných šablon.</w:t>
            </w:r>
          </w:p>
          <w:p w14:paraId="1D4EE39B" w14:textId="77777777" w:rsidR="007266CF" w:rsidRPr="002A677E" w:rsidRDefault="007266CF" w:rsidP="007266CF">
            <w:pPr>
              <w:rPr>
                <w:rFonts w:ascii="Times New Roman" w:hAnsi="Times New Roman"/>
                <w:sz w:val="24"/>
              </w:rPr>
            </w:pPr>
            <w:r>
              <w:rPr>
                <w:rFonts w:ascii="Times New Roman" w:hAnsi="Times New Roman"/>
                <w:sz w:val="24"/>
              </w:rPr>
              <w:t>Tyto sloupce se použijí pouze v případě, že instituce získaly od svého příslušného orgánu povolení zacházet s těmito zajištěnými expozicemi v rámci trvalého částečného použití standardizovaného přístupu v souladu s článkem 150 nařízení (EU) č. 575/2013 nebo zařadit expozice do kategorií expozic v souladu s charakteristikou ručitele.</w:t>
            </w:r>
          </w:p>
        </w:tc>
      </w:tr>
      <w:tr w:rsidR="007266CF" w:rsidRPr="002A677E" w14:paraId="2D3951ED" w14:textId="77777777" w:rsidTr="007266CF">
        <w:tc>
          <w:tcPr>
            <w:tcW w:w="1188" w:type="dxa"/>
          </w:tcPr>
          <w:p w14:paraId="6AD8FA16"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843" w:type="dxa"/>
          </w:tcPr>
          <w:p w14:paraId="20FEFEB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EXPOZICE PO ZOHLEDNĚNÍ SUBSTITUČNÍCH VLIVŮ SNIŽOVÁNÍ ÚVĚROVÉHO RIZIKA PŘED VYNÁSOBENÍM KONVERZNÍMI FAKTORY</w:t>
            </w:r>
          </w:p>
          <w:p w14:paraId="717EEC3A" w14:textId="77777777" w:rsidR="007266CF" w:rsidRPr="002A677E" w:rsidRDefault="007266CF" w:rsidP="007266CF">
            <w:pPr>
              <w:rPr>
                <w:rFonts w:ascii="Times New Roman" w:hAnsi="Times New Roman"/>
                <w:sz w:val="24"/>
              </w:rPr>
            </w:pPr>
            <w:r>
              <w:rPr>
                <w:rFonts w:ascii="Times New Roman" w:hAnsi="Times New Roman"/>
                <w:sz w:val="24"/>
              </w:rPr>
              <w:t>Expozice zařazená do odpovídajícího stupně nebo seskupení dlužníků a kategorie expozic po zohlednění odtoků a přítoků v důsledku technik snižování úvěrového rizika se substitučními vlivy na expozici.</w:t>
            </w:r>
          </w:p>
        </w:tc>
      </w:tr>
      <w:tr w:rsidR="007266CF" w:rsidRPr="002A677E" w14:paraId="16333D92" w14:textId="77777777" w:rsidTr="007266CF">
        <w:tc>
          <w:tcPr>
            <w:tcW w:w="1188" w:type="dxa"/>
          </w:tcPr>
          <w:p w14:paraId="0B08B775" w14:textId="77777777" w:rsidR="007266CF" w:rsidRPr="002A677E" w:rsidRDefault="007266CF" w:rsidP="007266CF">
            <w:pPr>
              <w:rPr>
                <w:rFonts w:ascii="Times New Roman" w:hAnsi="Times New Roman"/>
                <w:sz w:val="24"/>
              </w:rPr>
            </w:pPr>
            <w:r>
              <w:rPr>
                <w:rFonts w:ascii="Times New Roman" w:hAnsi="Times New Roman"/>
                <w:sz w:val="24"/>
              </w:rPr>
              <w:t>0100, 0120</w:t>
            </w:r>
          </w:p>
        </w:tc>
        <w:tc>
          <w:tcPr>
            <w:tcW w:w="8843" w:type="dxa"/>
          </w:tcPr>
          <w:p w14:paraId="6872CC7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 xml:space="preserve">Z toho: podrozvahové položky </w:t>
            </w:r>
          </w:p>
          <w:p w14:paraId="171B87BE" w14:textId="77777777" w:rsidR="007266CF" w:rsidRPr="002A677E" w:rsidRDefault="007266CF" w:rsidP="007266CF">
            <w:pPr>
              <w:rPr>
                <w:rFonts w:ascii="Times New Roman" w:hAnsi="Times New Roman"/>
                <w:sz w:val="24"/>
              </w:rPr>
            </w:pPr>
            <w:r>
              <w:rPr>
                <w:rFonts w:ascii="Times New Roman" w:hAnsi="Times New Roman"/>
                <w:sz w:val="24"/>
              </w:rPr>
              <w:t>Viz pokyny k šabloně CR SA.</w:t>
            </w:r>
          </w:p>
        </w:tc>
      </w:tr>
      <w:tr w:rsidR="007266CF" w:rsidRPr="006223CC" w14:paraId="3AFC4042" w14:textId="77777777" w:rsidTr="007266CF">
        <w:tc>
          <w:tcPr>
            <w:tcW w:w="1188" w:type="dxa"/>
          </w:tcPr>
          <w:p w14:paraId="46CDD0B2"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843" w:type="dxa"/>
          </w:tcPr>
          <w:p w14:paraId="60CC218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HODNOTA EXPOZICE</w:t>
            </w:r>
          </w:p>
          <w:p w14:paraId="122EB187" w14:textId="77777777" w:rsidR="007266CF" w:rsidRPr="002A677E" w:rsidRDefault="007266CF" w:rsidP="007266CF">
            <w:pPr>
              <w:rPr>
                <w:rFonts w:ascii="Times New Roman" w:hAnsi="Times New Roman"/>
                <w:sz w:val="24"/>
              </w:rPr>
            </w:pPr>
            <w:r>
              <w:rPr>
                <w:rFonts w:ascii="Times New Roman" w:hAnsi="Times New Roman"/>
                <w:sz w:val="24"/>
              </w:rPr>
              <w:lastRenderedPageBreak/>
              <w:t>Vykazují se hodnoty expozice určené v souladu s článkem 166 nařízení (EU) č. 575/2013 a čl. 230 odst. 1 druhou větou uvedeného nařízení.</w:t>
            </w:r>
          </w:p>
          <w:p w14:paraId="245D4317" w14:textId="77777777" w:rsidR="007266CF" w:rsidRPr="006223CC" w:rsidRDefault="007266CF" w:rsidP="007266CF">
            <w:pPr>
              <w:rPr>
                <w:rFonts w:ascii="Times New Roman" w:hAnsi="Times New Roman"/>
                <w:sz w:val="24"/>
                <w:lang w:val="fr-FR"/>
              </w:rPr>
            </w:pPr>
            <w:r>
              <w:rPr>
                <w:rFonts w:ascii="Times New Roman" w:hAnsi="Times New Roman"/>
                <w:sz w:val="24"/>
              </w:rPr>
              <w:t>V případě nástrojů uvedených v příloze I se použijí úvěrové konverzní faktory a procentní podíly v souladu s čl. 166 odst. </w:t>
            </w:r>
            <w:r w:rsidRPr="006223CC">
              <w:rPr>
                <w:rFonts w:ascii="Times New Roman" w:hAnsi="Times New Roman"/>
                <w:sz w:val="24"/>
                <w:lang w:val="fr-FR"/>
              </w:rPr>
              <w:t>8, 9 a 10 nařízení (EU) č. 575/2013 bez ohledu na přístup, který si instituce zvolila.</w:t>
            </w:r>
          </w:p>
          <w:p w14:paraId="28E381EE"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Hodnoty expozic vyplývajících z CCR jsou stejné jako hodnoty vykazované ve sloupci 0130.</w:t>
            </w:r>
          </w:p>
        </w:tc>
      </w:tr>
      <w:tr w:rsidR="007266CF" w:rsidRPr="002A677E" w14:paraId="7092B7D5" w14:textId="77777777" w:rsidTr="007266CF">
        <w:tc>
          <w:tcPr>
            <w:tcW w:w="1188" w:type="dxa"/>
          </w:tcPr>
          <w:p w14:paraId="7A39F1AD" w14:textId="77777777" w:rsidR="007266CF" w:rsidRPr="002A677E" w:rsidRDefault="007266CF" w:rsidP="007266CF">
            <w:pPr>
              <w:rPr>
                <w:rFonts w:ascii="Times New Roman" w:hAnsi="Times New Roman"/>
                <w:sz w:val="24"/>
              </w:rPr>
            </w:pPr>
            <w:r>
              <w:rPr>
                <w:rFonts w:ascii="Times New Roman" w:hAnsi="Times New Roman"/>
                <w:sz w:val="24"/>
              </w:rPr>
              <w:lastRenderedPageBreak/>
              <w:t>0130</w:t>
            </w:r>
          </w:p>
        </w:tc>
        <w:tc>
          <w:tcPr>
            <w:tcW w:w="8843" w:type="dxa"/>
          </w:tcPr>
          <w:p w14:paraId="1BF9618D"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 xml:space="preserve">Z toho: hodnota expozice vyplývající z úvěrového rizika protistrany </w:t>
            </w:r>
          </w:p>
          <w:p w14:paraId="492020AF" w14:textId="77777777" w:rsidR="007266CF" w:rsidRPr="002A677E" w:rsidRDefault="007266CF" w:rsidP="007266CF">
            <w:pPr>
              <w:rPr>
                <w:rFonts w:ascii="Times New Roman" w:hAnsi="Times New Roman"/>
                <w:sz w:val="24"/>
              </w:rPr>
            </w:pPr>
            <w:r>
              <w:rPr>
                <w:rFonts w:ascii="Times New Roman" w:hAnsi="Times New Roman"/>
                <w:sz w:val="24"/>
              </w:rPr>
              <w:t>Viz odpovídající pokyny CR SA ve sloupci 0210.</w:t>
            </w:r>
            <w:r>
              <w:rPr>
                <w:rStyle w:val="InstructionsTabelleText"/>
                <w:rFonts w:ascii="Times New Roman" w:hAnsi="Times New Roman"/>
                <w:sz w:val="24"/>
              </w:rPr>
              <w:t xml:space="preserve"> </w:t>
            </w:r>
          </w:p>
        </w:tc>
      </w:tr>
      <w:tr w:rsidR="007266CF" w:rsidRPr="002A677E" w14:paraId="15E07AE7" w14:textId="77777777" w:rsidTr="007266CF">
        <w:tc>
          <w:tcPr>
            <w:tcW w:w="1188" w:type="dxa"/>
          </w:tcPr>
          <w:p w14:paraId="47A3538D" w14:textId="77777777" w:rsidR="007266CF" w:rsidRPr="002A677E" w:rsidRDefault="007266CF" w:rsidP="007266CF">
            <w:pPr>
              <w:rPr>
                <w:rFonts w:ascii="Times New Roman" w:hAnsi="Times New Roman"/>
                <w:sz w:val="24"/>
              </w:rPr>
            </w:pPr>
            <w:r>
              <w:rPr>
                <w:rFonts w:ascii="Times New Roman" w:hAnsi="Times New Roman"/>
                <w:sz w:val="24"/>
              </w:rPr>
              <w:t>0140</w:t>
            </w:r>
          </w:p>
        </w:tc>
        <w:tc>
          <w:tcPr>
            <w:tcW w:w="8843" w:type="dxa"/>
          </w:tcPr>
          <w:p w14:paraId="5FC914B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14:paraId="402CE881" w14:textId="77777777" w:rsidR="007266CF" w:rsidRPr="002A677E" w:rsidRDefault="007266CF" w:rsidP="007266CF">
            <w:pPr>
              <w:rPr>
                <w:rFonts w:ascii="Times New Roman" w:hAnsi="Times New Roman"/>
                <w:b/>
                <w:sz w:val="24"/>
                <w:u w:val="single"/>
              </w:rPr>
            </w:pPr>
            <w:r>
              <w:rPr>
                <w:rFonts w:ascii="Times New Roman" w:hAnsi="Times New Roman"/>
                <w:sz w:val="24"/>
              </w:rPr>
              <w:t>Rozklad hodnoty expozice u všech expozic subjektů uvedených v čl. 142 odst. 1 bodech 4 a 5 nařízení (EU) č. 575/2013, které podléhají vyššímu koeficientu korelace podle čl. 153 odst. 2 uvedeného nařízení.</w:t>
            </w:r>
          </w:p>
        </w:tc>
      </w:tr>
      <w:tr w:rsidR="007266CF" w:rsidRPr="002A677E" w14:paraId="3003E531" w14:textId="77777777" w:rsidTr="007266CF">
        <w:trPr>
          <w:trHeight w:val="2109"/>
        </w:trPr>
        <w:tc>
          <w:tcPr>
            <w:tcW w:w="1188" w:type="dxa"/>
          </w:tcPr>
          <w:p w14:paraId="5FD7A1D2" w14:textId="77777777" w:rsidR="007266CF" w:rsidRPr="002A677E" w:rsidDel="001D4BE0" w:rsidRDefault="007266CF" w:rsidP="007266CF">
            <w:pPr>
              <w:rPr>
                <w:rFonts w:ascii="Times New Roman" w:hAnsi="Times New Roman"/>
                <w:sz w:val="24"/>
              </w:rPr>
            </w:pPr>
            <w:r>
              <w:rPr>
                <w:rFonts w:ascii="Times New Roman" w:hAnsi="Times New Roman"/>
                <w:sz w:val="24"/>
              </w:rPr>
              <w:t>0150–0210</w:t>
            </w:r>
          </w:p>
        </w:tc>
        <w:tc>
          <w:tcPr>
            <w:tcW w:w="8843" w:type="dxa"/>
          </w:tcPr>
          <w:p w14:paraId="6E67CE1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TECHNIKY SNIŽOVÁNÍ ÚVĚROVÉHO RIZIKA ZOHLEDŇOVANÉ V ODHADECH LGD S VÝJIMKOU PŘÍSTUPU DVOJÍHO SELHÁNÍ</w:t>
            </w:r>
          </w:p>
          <w:p w14:paraId="1F59B879" w14:textId="77777777" w:rsidR="007266CF" w:rsidRDefault="007266CF" w:rsidP="007266CF">
            <w:pPr>
              <w:rPr>
                <w:rFonts w:ascii="Times New Roman" w:hAnsi="Times New Roman"/>
                <w:sz w:val="24"/>
              </w:rPr>
            </w:pPr>
            <w:r>
              <w:rPr>
                <w:rFonts w:ascii="Times New Roman" w:hAnsi="Times New Roman"/>
                <w:sz w:val="24"/>
              </w:rPr>
              <w:t>Techniky snižování úvěrového rizika, jež mají dopad na odhady LGD v důsledku zohlednění substitučních vlivů technik snižování úvěrového rizika, se do těchto sloupců nezapočítávají.</w:t>
            </w:r>
          </w:p>
          <w:p w14:paraId="5006C050" w14:textId="77777777" w:rsidR="007266CF" w:rsidRPr="002A677E" w:rsidRDefault="007266CF" w:rsidP="007266CF">
            <w:pPr>
              <w:rPr>
                <w:rFonts w:ascii="Times New Roman" w:hAnsi="Times New Roman"/>
                <w:sz w:val="24"/>
              </w:rPr>
            </w:pPr>
            <w:r>
              <w:rPr>
                <w:rFonts w:ascii="Times New Roman" w:hAnsi="Times New Roman"/>
                <w:sz w:val="24"/>
              </w:rPr>
              <w:t>Hodnoty vykázaného kolaterálu jsou omezeny na hodnotu expozic.</w:t>
            </w:r>
          </w:p>
          <w:p w14:paraId="2E0CAC68" w14:textId="77777777" w:rsidR="007266CF" w:rsidRPr="002A677E" w:rsidRDefault="007266CF" w:rsidP="007266CF">
            <w:pPr>
              <w:rPr>
                <w:rFonts w:ascii="Times New Roman" w:hAnsi="Times New Roman"/>
                <w:sz w:val="24"/>
              </w:rPr>
            </w:pPr>
            <w:r>
              <w:rPr>
                <w:rFonts w:ascii="Times New Roman" w:hAnsi="Times New Roman"/>
                <w:sz w:val="24"/>
              </w:rPr>
              <w:t>Pokud se nepoužijí vlastní odhady LGD, zohlední se ustanovení čl. 228 odst. 2, čl. 230 odst. 1 a 2 a článku 231 nařízení (EU) č. 575/2013.</w:t>
            </w:r>
          </w:p>
          <w:p w14:paraId="373EE879" w14:textId="77777777" w:rsidR="007266CF" w:rsidRPr="002A677E" w:rsidRDefault="007266CF" w:rsidP="007266CF">
            <w:pPr>
              <w:rPr>
                <w:rFonts w:ascii="Times New Roman" w:hAnsi="Times New Roman"/>
                <w:sz w:val="24"/>
              </w:rPr>
            </w:pPr>
            <w:r>
              <w:rPr>
                <w:rFonts w:ascii="Times New Roman" w:hAnsi="Times New Roman"/>
                <w:sz w:val="24"/>
              </w:rPr>
              <w:t xml:space="preserve">Pokud jsou používány vlastní odhady LGD: </w:t>
            </w:r>
          </w:p>
          <w:p w14:paraId="036949DF" w14:textId="77777777" w:rsidR="007266CF" w:rsidRPr="002A677E" w:rsidRDefault="007266CF" w:rsidP="007266CF">
            <w:pPr>
              <w:rPr>
                <w:rFonts w:ascii="Times New Roman" w:hAnsi="Times New Roman"/>
                <w:sz w:val="24"/>
              </w:rPr>
            </w:pPr>
            <w:r>
              <w:rPr>
                <w:rFonts w:ascii="Times New Roman" w:hAnsi="Times New Roman"/>
                <w:sz w:val="24"/>
              </w:rPr>
              <w:t>– Co se týče osobního zajištění úvěrového rizika, u expozic vůči ústředním vládám, centrálním bankám, institucím a podnikům se zohlední ustanovení čl. 161 odst. 3 nařízení (EU) č. 575/2013. U retailových expozic se zohlední ustanovení čl. 164 odst. 2 nařízení (EU) č. 575/2013.</w:t>
            </w:r>
          </w:p>
          <w:p w14:paraId="7943904D" w14:textId="77777777" w:rsidR="007266CF" w:rsidRPr="002A677E" w:rsidRDefault="007266CF" w:rsidP="007266CF">
            <w:pPr>
              <w:rPr>
                <w:rFonts w:ascii="Times New Roman" w:hAnsi="Times New Roman"/>
                <w:b/>
                <w:sz w:val="24"/>
                <w:u w:val="single"/>
              </w:rPr>
            </w:pPr>
            <w:r>
              <w:rPr>
                <w:rFonts w:ascii="Times New Roman" w:hAnsi="Times New Roman"/>
                <w:sz w:val="24"/>
              </w:rPr>
              <w:t>– Co se týče majetkového zajištění úvěrového rizika, jedná se o kolaterál zohledňovaný v odhadech LGD podle čl. 181 odst. 1 písm. e) a f) nařízení (EU) č. 575/2013.</w:t>
            </w:r>
          </w:p>
        </w:tc>
      </w:tr>
      <w:tr w:rsidR="007266CF" w:rsidRPr="002A677E" w14:paraId="4955D415" w14:textId="77777777" w:rsidTr="007266CF">
        <w:trPr>
          <w:trHeight w:val="957"/>
        </w:trPr>
        <w:tc>
          <w:tcPr>
            <w:tcW w:w="1188" w:type="dxa"/>
          </w:tcPr>
          <w:p w14:paraId="207C4F29" w14:textId="77777777" w:rsidR="007266CF" w:rsidRPr="002A677E" w:rsidRDefault="007266CF" w:rsidP="007266CF">
            <w:pPr>
              <w:rPr>
                <w:rFonts w:ascii="Times New Roman" w:hAnsi="Times New Roman"/>
                <w:sz w:val="24"/>
              </w:rPr>
            </w:pPr>
            <w:r>
              <w:rPr>
                <w:rFonts w:ascii="Times New Roman" w:hAnsi="Times New Roman"/>
                <w:sz w:val="24"/>
              </w:rPr>
              <w:t>0150</w:t>
            </w:r>
          </w:p>
        </w:tc>
        <w:tc>
          <w:tcPr>
            <w:tcW w:w="8843" w:type="dxa"/>
          </w:tcPr>
          <w:p w14:paraId="5BF5A0E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ZÁRUKY </w:t>
            </w:r>
          </w:p>
          <w:p w14:paraId="79298810" w14:textId="77777777" w:rsidR="007266CF" w:rsidRPr="002A677E" w:rsidRDefault="007266CF" w:rsidP="007266CF">
            <w:pPr>
              <w:jc w:val="left"/>
              <w:rPr>
                <w:rFonts w:ascii="Times New Roman" w:hAnsi="Times New Roman"/>
                <w:b/>
                <w:sz w:val="24"/>
                <w:u w:val="single"/>
              </w:rPr>
            </w:pPr>
            <w:r>
              <w:rPr>
                <w:rFonts w:ascii="Times New Roman" w:hAnsi="Times New Roman"/>
                <w:sz w:val="24"/>
              </w:rPr>
              <w:t>Viz pokyny ke sloupci 0040.</w:t>
            </w:r>
          </w:p>
        </w:tc>
      </w:tr>
      <w:tr w:rsidR="007266CF" w:rsidRPr="002A677E" w14:paraId="40AF00AB" w14:textId="77777777" w:rsidTr="007266CF">
        <w:tc>
          <w:tcPr>
            <w:tcW w:w="1188" w:type="dxa"/>
          </w:tcPr>
          <w:p w14:paraId="7CB616A5" w14:textId="77777777" w:rsidR="007266CF" w:rsidRPr="002A677E" w:rsidRDefault="007266CF" w:rsidP="007266CF">
            <w:pPr>
              <w:rPr>
                <w:rFonts w:ascii="Times New Roman" w:hAnsi="Times New Roman"/>
                <w:sz w:val="24"/>
              </w:rPr>
            </w:pPr>
            <w:r>
              <w:rPr>
                <w:rFonts w:ascii="Times New Roman" w:hAnsi="Times New Roman"/>
                <w:sz w:val="24"/>
              </w:rPr>
              <w:t>0160</w:t>
            </w:r>
          </w:p>
        </w:tc>
        <w:tc>
          <w:tcPr>
            <w:tcW w:w="8843" w:type="dxa"/>
          </w:tcPr>
          <w:p w14:paraId="708FC32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ÚVĚROVÉ DERIVÁTY </w:t>
            </w:r>
          </w:p>
          <w:p w14:paraId="563EC240" w14:textId="77777777" w:rsidR="007266CF" w:rsidRPr="002A677E" w:rsidRDefault="007266CF" w:rsidP="007266CF">
            <w:pPr>
              <w:rPr>
                <w:rFonts w:ascii="Times New Roman" w:hAnsi="Times New Roman"/>
                <w:sz w:val="24"/>
              </w:rPr>
            </w:pPr>
            <w:r>
              <w:rPr>
                <w:rFonts w:ascii="Times New Roman" w:hAnsi="Times New Roman"/>
                <w:sz w:val="24"/>
              </w:rPr>
              <w:t>Viz pokyny ke sloupci 0050.</w:t>
            </w:r>
          </w:p>
        </w:tc>
      </w:tr>
      <w:tr w:rsidR="007266CF" w:rsidRPr="006223CC" w14:paraId="479DC25A" w14:textId="77777777" w:rsidTr="007266CF">
        <w:tc>
          <w:tcPr>
            <w:tcW w:w="1188" w:type="dxa"/>
          </w:tcPr>
          <w:p w14:paraId="14B97DC9" w14:textId="77777777" w:rsidR="007266CF" w:rsidRPr="002A677E" w:rsidRDefault="007266CF" w:rsidP="007266CF">
            <w:pPr>
              <w:rPr>
                <w:rFonts w:ascii="Times New Roman" w:hAnsi="Times New Roman"/>
                <w:sz w:val="24"/>
              </w:rPr>
            </w:pPr>
            <w:r>
              <w:rPr>
                <w:rFonts w:ascii="Times New Roman" w:hAnsi="Times New Roman"/>
                <w:sz w:val="24"/>
              </w:rPr>
              <w:t>0170</w:t>
            </w:r>
          </w:p>
        </w:tc>
        <w:tc>
          <w:tcPr>
            <w:tcW w:w="8843" w:type="dxa"/>
          </w:tcPr>
          <w:p w14:paraId="2B1B3D72"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V PŘÍPADĚ, ŽE SE POUŽÍVAJÍ VLASTNÍ ODHADY LGD: JINÉ MAJETKOVÉ ZAJIŠTĚNÍ ÚVĚROVÉHO RIZIKA </w:t>
            </w:r>
          </w:p>
          <w:p w14:paraId="4F110572" w14:textId="77777777" w:rsidR="007266CF" w:rsidRPr="006223CC" w:rsidRDefault="007266CF" w:rsidP="007266CF">
            <w:pPr>
              <w:rPr>
                <w:rStyle w:val="InstructionsTabelleText"/>
                <w:rFonts w:ascii="Times New Roman" w:hAnsi="Times New Roman"/>
                <w:sz w:val="24"/>
                <w:lang w:val="fr-FR"/>
              </w:rPr>
            </w:pPr>
            <w:r w:rsidRPr="006223CC">
              <w:rPr>
                <w:rStyle w:val="InstructionsTabelleText"/>
                <w:rFonts w:ascii="Times New Roman" w:hAnsi="Times New Roman"/>
                <w:sz w:val="24"/>
                <w:lang w:val="fr-FR"/>
              </w:rPr>
              <w:t>Relevantní hodnota, kterou instituce použila při interním modelování.</w:t>
            </w:r>
          </w:p>
          <w:p w14:paraId="5B0AC7BF"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 xml:space="preserve">Zmírnění úvěrového rizika, která splňují kritéria uvedená v článku 212 nařízení (EU) č. 575/2013. </w:t>
            </w:r>
          </w:p>
        </w:tc>
      </w:tr>
      <w:tr w:rsidR="007266CF" w:rsidRPr="002A677E" w14:paraId="0DF4AE0B" w14:textId="77777777" w:rsidTr="007266CF">
        <w:tc>
          <w:tcPr>
            <w:tcW w:w="1188" w:type="dxa"/>
          </w:tcPr>
          <w:p w14:paraId="0A35D9FB" w14:textId="77777777" w:rsidR="007266CF" w:rsidRPr="002A677E" w:rsidRDefault="007266CF" w:rsidP="007266CF">
            <w:pPr>
              <w:rPr>
                <w:rFonts w:ascii="Times New Roman" w:hAnsi="Times New Roman"/>
                <w:sz w:val="24"/>
              </w:rPr>
            </w:pPr>
            <w:r>
              <w:rPr>
                <w:rFonts w:ascii="Times New Roman" w:hAnsi="Times New Roman"/>
                <w:sz w:val="24"/>
              </w:rPr>
              <w:lastRenderedPageBreak/>
              <w:t>0171</w:t>
            </w:r>
          </w:p>
        </w:tc>
        <w:tc>
          <w:tcPr>
            <w:tcW w:w="8843" w:type="dxa"/>
          </w:tcPr>
          <w:p w14:paraId="4EF81925"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HOTOVOST NA VKLADECH</w:t>
            </w:r>
          </w:p>
          <w:p w14:paraId="1EE98BAB" w14:textId="77777777" w:rsidR="007266CF" w:rsidRPr="002A677E" w:rsidRDefault="007266CF" w:rsidP="007266CF">
            <w:pPr>
              <w:rPr>
                <w:rFonts w:ascii="Times New Roman" w:hAnsi="Times New Roman"/>
                <w:sz w:val="24"/>
              </w:rPr>
            </w:pPr>
            <w:r>
              <w:rPr>
                <w:rFonts w:ascii="Times New Roman" w:hAnsi="Times New Roman"/>
                <w:sz w:val="24"/>
              </w:rPr>
              <w:t xml:space="preserve">Ustanovení čl. 200 písm. a) nařízení (EU) č. 575/2013 </w:t>
            </w:r>
          </w:p>
          <w:p w14:paraId="009FCFD4" w14:textId="77777777" w:rsidR="007266CF" w:rsidRPr="002A677E" w:rsidRDefault="007266CF" w:rsidP="007266CF">
            <w:pPr>
              <w:rPr>
                <w:rFonts w:ascii="Times New Roman" w:hAnsi="Times New Roman"/>
                <w:b/>
                <w:sz w:val="24"/>
                <w:u w:val="single"/>
              </w:rPr>
            </w:pPr>
            <w:r>
              <w:rPr>
                <w:rFonts w:ascii="Times New Roman" w:hAnsi="Times New Roman"/>
                <w:sz w:val="24"/>
              </w:rPr>
              <w:t>Hotovost na vkladech nebo hotovostní nástroje v držení třetí strany, která je institucí, jestliže tato hotovost nebo hotovostní nástroje nejsou ve správě třetí strany a jsou zastavené ve prospěch instituce poskytující úvěr. Hodnota vykázaného kolaterálu je omezena na hodnotu expozice na úrovni jednotlivé expozice.</w:t>
            </w:r>
          </w:p>
        </w:tc>
      </w:tr>
      <w:tr w:rsidR="007266CF" w:rsidRPr="002A677E" w14:paraId="01B6B962" w14:textId="77777777" w:rsidTr="007266CF">
        <w:tc>
          <w:tcPr>
            <w:tcW w:w="1188" w:type="dxa"/>
          </w:tcPr>
          <w:p w14:paraId="7EC58E0C" w14:textId="77777777" w:rsidR="007266CF" w:rsidRPr="002A677E" w:rsidRDefault="007266CF" w:rsidP="007266CF">
            <w:pPr>
              <w:rPr>
                <w:rFonts w:ascii="Times New Roman" w:hAnsi="Times New Roman"/>
                <w:sz w:val="24"/>
              </w:rPr>
            </w:pPr>
            <w:r>
              <w:rPr>
                <w:rFonts w:ascii="Times New Roman" w:hAnsi="Times New Roman"/>
                <w:sz w:val="24"/>
              </w:rPr>
              <w:t>0172</w:t>
            </w:r>
          </w:p>
        </w:tc>
        <w:tc>
          <w:tcPr>
            <w:tcW w:w="8843" w:type="dxa"/>
          </w:tcPr>
          <w:p w14:paraId="7BE7549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ŽIVOTNÍ POJISTKY</w:t>
            </w:r>
          </w:p>
          <w:p w14:paraId="74A4E837" w14:textId="77777777" w:rsidR="007266CF" w:rsidRPr="002A677E" w:rsidRDefault="007266CF" w:rsidP="007266CF">
            <w:pPr>
              <w:rPr>
                <w:rFonts w:ascii="Times New Roman" w:hAnsi="Times New Roman"/>
                <w:sz w:val="24"/>
              </w:rPr>
            </w:pPr>
            <w:r>
              <w:rPr>
                <w:rFonts w:ascii="Times New Roman" w:hAnsi="Times New Roman"/>
                <w:sz w:val="24"/>
              </w:rPr>
              <w:t xml:space="preserve">Ustanovení čl. 200 písm. b) nařízení (EU) č. 575/2013 </w:t>
            </w:r>
          </w:p>
          <w:p w14:paraId="756D6B35" w14:textId="77777777" w:rsidR="007266CF" w:rsidRPr="002A677E" w:rsidRDefault="007266CF" w:rsidP="007266CF">
            <w:pPr>
              <w:rPr>
                <w:rFonts w:ascii="Times New Roman" w:hAnsi="Times New Roman"/>
                <w:b/>
                <w:sz w:val="24"/>
                <w:u w:val="single"/>
              </w:rPr>
            </w:pPr>
            <w:r>
              <w:rPr>
                <w:rFonts w:ascii="Times New Roman" w:hAnsi="Times New Roman"/>
                <w:sz w:val="24"/>
              </w:rPr>
              <w:t>Hodnota vykázaného kolaterálu je omezena na hodnotu expozice na úrovni jednotlivé expozice.</w:t>
            </w:r>
          </w:p>
        </w:tc>
      </w:tr>
      <w:tr w:rsidR="007266CF" w:rsidRPr="002A677E" w14:paraId="43403204" w14:textId="77777777" w:rsidTr="007266CF">
        <w:tc>
          <w:tcPr>
            <w:tcW w:w="1188" w:type="dxa"/>
          </w:tcPr>
          <w:p w14:paraId="59F29215" w14:textId="77777777" w:rsidR="007266CF" w:rsidRPr="002A677E" w:rsidRDefault="007266CF" w:rsidP="007266CF">
            <w:pPr>
              <w:rPr>
                <w:rFonts w:ascii="Times New Roman" w:hAnsi="Times New Roman"/>
                <w:sz w:val="24"/>
              </w:rPr>
            </w:pPr>
            <w:r>
              <w:rPr>
                <w:rFonts w:ascii="Times New Roman" w:hAnsi="Times New Roman"/>
                <w:sz w:val="24"/>
              </w:rPr>
              <w:t>0173</w:t>
            </w:r>
          </w:p>
        </w:tc>
        <w:tc>
          <w:tcPr>
            <w:tcW w:w="8843" w:type="dxa"/>
          </w:tcPr>
          <w:p w14:paraId="49DB134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NÁSTROJE V DRŽENÍ TŘETÍ STRANY</w:t>
            </w:r>
          </w:p>
          <w:p w14:paraId="747FB853" w14:textId="77777777" w:rsidR="007266CF" w:rsidRPr="002A677E" w:rsidRDefault="007266CF" w:rsidP="007266CF">
            <w:pPr>
              <w:rPr>
                <w:rFonts w:ascii="Times New Roman" w:hAnsi="Times New Roman"/>
                <w:sz w:val="24"/>
              </w:rPr>
            </w:pPr>
            <w:r>
              <w:rPr>
                <w:rFonts w:ascii="Times New Roman" w:hAnsi="Times New Roman"/>
                <w:sz w:val="24"/>
              </w:rPr>
              <w:t xml:space="preserve">Ustanovení čl. 200 písm. c) nařízení (EU) č. 575/2013 </w:t>
            </w:r>
          </w:p>
          <w:p w14:paraId="62CF3C11" w14:textId="77777777" w:rsidR="007266CF" w:rsidRPr="002A677E" w:rsidRDefault="007266CF" w:rsidP="007266CF">
            <w:pPr>
              <w:rPr>
                <w:rFonts w:ascii="Times New Roman" w:hAnsi="Times New Roman"/>
                <w:b/>
                <w:sz w:val="24"/>
                <w:u w:val="single"/>
              </w:rPr>
            </w:pPr>
            <w:r>
              <w:rPr>
                <w:rFonts w:ascii="Times New Roman" w:hAnsi="Times New Roman"/>
                <w:sz w:val="24"/>
              </w:rPr>
              <w:t>Patří sem nástroje vydané třetí stranou, která je institucí, jež budou na požádání touto institucí zpětně odkoupeny. Hodnota vykázaného kolaterálu je omezena na hodnotu expozice na úrovni jednotlivé expozice. Tento sloupec nezahrnuje expozice kryté nástroji v držení třetí strany, pokud instituce v souladu s čl. 232 odst. 4 nařízení (EU) č. 575/2013 nakládá s nástroji, které budou na požádání zpětně odkoupeny a které jsou způsobilé podle čl. 200 písm. c) uvedeného nařízení, jako se zárukou emitující instituce.</w:t>
            </w:r>
          </w:p>
        </w:tc>
      </w:tr>
      <w:tr w:rsidR="007266CF" w:rsidRPr="002A677E" w14:paraId="11CF2ACA" w14:textId="77777777" w:rsidTr="007266CF">
        <w:tc>
          <w:tcPr>
            <w:tcW w:w="1188" w:type="dxa"/>
          </w:tcPr>
          <w:p w14:paraId="10CB9521" w14:textId="77777777" w:rsidR="007266CF" w:rsidRPr="002A677E" w:rsidRDefault="007266CF" w:rsidP="007266CF">
            <w:pPr>
              <w:rPr>
                <w:rFonts w:ascii="Times New Roman" w:hAnsi="Times New Roman"/>
                <w:sz w:val="24"/>
              </w:rPr>
            </w:pPr>
            <w:r>
              <w:rPr>
                <w:rFonts w:ascii="Times New Roman" w:hAnsi="Times New Roman"/>
                <w:sz w:val="24"/>
              </w:rPr>
              <w:t>0180</w:t>
            </w:r>
          </w:p>
        </w:tc>
        <w:tc>
          <w:tcPr>
            <w:tcW w:w="8843" w:type="dxa"/>
          </w:tcPr>
          <w:p w14:paraId="6D24C60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ZPŮSOBILÝ FINANČNÍ KOLATERÁL</w:t>
            </w:r>
          </w:p>
          <w:p w14:paraId="36CD55AE" w14:textId="77777777" w:rsidR="007266CF" w:rsidRPr="002A677E" w:rsidRDefault="007266CF" w:rsidP="007266CF">
            <w:pPr>
              <w:rPr>
                <w:rFonts w:ascii="Times New Roman" w:hAnsi="Times New Roman"/>
                <w:sz w:val="24"/>
              </w:rPr>
            </w:pPr>
            <w:r>
              <w:rPr>
                <w:rFonts w:ascii="Times New Roman" w:hAnsi="Times New Roman"/>
                <w:sz w:val="24"/>
              </w:rPr>
              <w:t>V případě operací v obchodním portfoliu jsou zahrnuty finanční nástroje a komodity způsobilé pro expozice obchodního portfolia v souladu s čl. 299 odst. 2 písm. c) až f) nařízení (EU) č. 575/2013. S úvěrovými dluhovými cennými papíry a rozvahovým započtením v souladu s částí třetí hlavou II kapitolou 4 oddílem 4 nařízení (EU) č. 575/2013 se zachází jako s hotovostním kolaterálem.</w:t>
            </w:r>
          </w:p>
          <w:p w14:paraId="7E5CBFF6" w14:textId="77777777" w:rsidR="007266CF" w:rsidRPr="002A677E" w:rsidRDefault="007266CF" w:rsidP="007266CF">
            <w:pPr>
              <w:rPr>
                <w:rFonts w:ascii="Times New Roman" w:hAnsi="Times New Roman"/>
                <w:sz w:val="24"/>
              </w:rPr>
            </w:pPr>
            <w:r>
              <w:rPr>
                <w:rFonts w:ascii="Times New Roman" w:hAnsi="Times New Roman"/>
                <w:sz w:val="24"/>
              </w:rPr>
              <w:t>Pokud nejsou používány vlastní odhady LGD, vykazuje se pro způsobilý finanční kolaterál v souladu s článkem 197 nařízení (EU) č. 575/2013 upravená hodnota (Cvam) podle čl. 223 odst. 2 uvedeného nařízení.</w:t>
            </w:r>
          </w:p>
          <w:p w14:paraId="473D32B5" w14:textId="77777777" w:rsidR="007266CF" w:rsidRPr="002A677E" w:rsidRDefault="007266CF" w:rsidP="007266CF">
            <w:pPr>
              <w:rPr>
                <w:rFonts w:ascii="Times New Roman" w:hAnsi="Times New Roman"/>
                <w:b/>
                <w:sz w:val="24"/>
                <w:u w:val="single"/>
              </w:rPr>
            </w:pPr>
            <w:r>
              <w:rPr>
                <w:rFonts w:ascii="Times New Roman" w:hAnsi="Times New Roman"/>
                <w:sz w:val="24"/>
              </w:rPr>
              <w:t>Pokud jsou používány vlastní odhady LGD, zohledňuje se finanční kolaterál v odhadech LGD podle čl. 181 odst. 1 písm. e) a f) nařízení (EU) č. 575/2013. Výše, která má být vykázána, odpovídá odhadované tržní hodnotě kolaterálu.</w:t>
            </w:r>
          </w:p>
        </w:tc>
      </w:tr>
      <w:tr w:rsidR="007266CF" w:rsidRPr="002A677E" w14:paraId="67EC9FBD" w14:textId="77777777" w:rsidTr="007266CF">
        <w:tc>
          <w:tcPr>
            <w:tcW w:w="1188" w:type="dxa"/>
          </w:tcPr>
          <w:p w14:paraId="53A94379" w14:textId="77777777" w:rsidR="007266CF" w:rsidRPr="002A677E" w:rsidDel="001D4BE0" w:rsidRDefault="007266CF" w:rsidP="007266CF">
            <w:pPr>
              <w:rPr>
                <w:rFonts w:ascii="Times New Roman" w:hAnsi="Times New Roman"/>
                <w:sz w:val="24"/>
              </w:rPr>
            </w:pPr>
            <w:r>
              <w:rPr>
                <w:rFonts w:ascii="Times New Roman" w:hAnsi="Times New Roman"/>
                <w:sz w:val="24"/>
              </w:rPr>
              <w:t>0190–0210</w:t>
            </w:r>
          </w:p>
        </w:tc>
        <w:tc>
          <w:tcPr>
            <w:tcW w:w="8843" w:type="dxa"/>
          </w:tcPr>
          <w:p w14:paraId="1F8E6CB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JINÝ ZPŮSOBILÝ KOLATERÁL</w:t>
            </w:r>
          </w:p>
          <w:p w14:paraId="35EDC109" w14:textId="77777777" w:rsidR="007266CF" w:rsidRPr="002A677E" w:rsidRDefault="007266CF" w:rsidP="007266CF">
            <w:pPr>
              <w:rPr>
                <w:rFonts w:ascii="Times New Roman" w:hAnsi="Times New Roman"/>
                <w:sz w:val="24"/>
              </w:rPr>
            </w:pPr>
            <w:r>
              <w:rPr>
                <w:rFonts w:ascii="Times New Roman" w:hAnsi="Times New Roman"/>
                <w:sz w:val="24"/>
              </w:rPr>
              <w:t>Pokud nejsou používány vlastní odhady LGD, určí se hodnoty v souladu s čl. 199 odst. 1 až 8 a článkem 229 nařízení (EU) č. 575/2013.</w:t>
            </w:r>
          </w:p>
          <w:p w14:paraId="7D134936" w14:textId="77777777" w:rsidR="007266CF" w:rsidRPr="002A677E" w:rsidRDefault="007266CF" w:rsidP="007266CF">
            <w:pPr>
              <w:rPr>
                <w:rFonts w:ascii="Times New Roman" w:hAnsi="Times New Roman"/>
                <w:b/>
                <w:sz w:val="24"/>
                <w:u w:val="single"/>
              </w:rPr>
            </w:pPr>
            <w:r>
              <w:rPr>
                <w:rFonts w:ascii="Times New Roman" w:hAnsi="Times New Roman"/>
                <w:sz w:val="24"/>
              </w:rPr>
              <w:t>Pokud jsou používány vlastní odhady LGD, zohledňuje se jiný kolaterál v odhadech LGD podle čl. 181 odst. 1 písm. e) a f) nařízení (EU) č. 575/2013.</w:t>
            </w:r>
          </w:p>
        </w:tc>
      </w:tr>
      <w:tr w:rsidR="007266CF" w:rsidRPr="006223CC" w14:paraId="30B20F4A" w14:textId="77777777" w:rsidTr="007266CF">
        <w:tc>
          <w:tcPr>
            <w:tcW w:w="1188" w:type="dxa"/>
          </w:tcPr>
          <w:p w14:paraId="7BB91110" w14:textId="77777777" w:rsidR="007266CF" w:rsidRPr="002A677E" w:rsidRDefault="007266CF" w:rsidP="007266CF">
            <w:pPr>
              <w:spacing w:line="240" w:lineRule="exact"/>
              <w:rPr>
                <w:rFonts w:ascii="Times New Roman" w:hAnsi="Times New Roman"/>
                <w:sz w:val="24"/>
              </w:rPr>
            </w:pPr>
            <w:r>
              <w:rPr>
                <w:rFonts w:ascii="Times New Roman" w:hAnsi="Times New Roman"/>
                <w:sz w:val="24"/>
              </w:rPr>
              <w:t>0190</w:t>
            </w:r>
          </w:p>
        </w:tc>
        <w:tc>
          <w:tcPr>
            <w:tcW w:w="8843" w:type="dxa"/>
          </w:tcPr>
          <w:p w14:paraId="05D0993D" w14:textId="77777777" w:rsidR="007266CF" w:rsidRPr="002A677E" w:rsidRDefault="007266CF" w:rsidP="007266CF">
            <w:pPr>
              <w:spacing w:line="240" w:lineRule="exact"/>
              <w:rPr>
                <w:rFonts w:ascii="Times New Roman" w:hAnsi="Times New Roman"/>
                <w:sz w:val="24"/>
              </w:rPr>
            </w:pPr>
            <w:r>
              <w:rPr>
                <w:rFonts w:ascii="Times New Roman" w:hAnsi="Times New Roman"/>
                <w:b/>
                <w:sz w:val="24"/>
                <w:u w:val="single"/>
              </w:rPr>
              <w:t>NEMOVITOSTI</w:t>
            </w:r>
          </w:p>
          <w:p w14:paraId="2E93678B" w14:textId="77777777" w:rsidR="007266CF" w:rsidRPr="006223CC" w:rsidRDefault="007266CF" w:rsidP="007266CF">
            <w:pPr>
              <w:spacing w:line="240" w:lineRule="exact"/>
              <w:rPr>
                <w:rFonts w:ascii="Times New Roman" w:hAnsi="Times New Roman"/>
                <w:sz w:val="24"/>
                <w:lang w:val="fr-FR"/>
              </w:rPr>
            </w:pPr>
            <w:r>
              <w:rPr>
                <w:rFonts w:ascii="Times New Roman" w:hAnsi="Times New Roman"/>
                <w:sz w:val="24"/>
              </w:rPr>
              <w:t>Pokud nejsou používány vlastní odhady LGD, určí se hodnoty v souladu s čl. 199 odst. </w:t>
            </w:r>
            <w:r w:rsidRPr="006223CC">
              <w:rPr>
                <w:rFonts w:ascii="Times New Roman" w:hAnsi="Times New Roman"/>
                <w:sz w:val="24"/>
                <w:lang w:val="fr-FR"/>
              </w:rPr>
              <w:t>2, 3 a 4 nařízení (EU) č. 575/2013 a vykazují se v tomto sloupci. Zohledňuje se zde i pronájem nemovitostí (viz čl. 199 odst. 7 nařízení (EU) č. 575/2013). Viz rovněž článek 229 nařízení (EU) č. 575/2013.</w:t>
            </w:r>
          </w:p>
          <w:p w14:paraId="67F803AE" w14:textId="77777777" w:rsidR="007266CF" w:rsidRPr="006223CC" w:rsidRDefault="007266CF" w:rsidP="007266CF">
            <w:pPr>
              <w:spacing w:line="240" w:lineRule="exact"/>
              <w:rPr>
                <w:rFonts w:ascii="Times New Roman" w:hAnsi="Times New Roman"/>
                <w:sz w:val="24"/>
                <w:lang w:val="fr-FR"/>
              </w:rPr>
            </w:pPr>
            <w:r w:rsidRPr="006223CC">
              <w:rPr>
                <w:rFonts w:ascii="Times New Roman" w:hAnsi="Times New Roman"/>
                <w:sz w:val="24"/>
                <w:lang w:val="fr-FR"/>
              </w:rPr>
              <w:lastRenderedPageBreak/>
              <w:t>Pokud jsou používány vlastní odhady LGD, vykazuje se odhadovaná tržní hodnota.</w:t>
            </w:r>
          </w:p>
        </w:tc>
      </w:tr>
      <w:tr w:rsidR="007266CF" w:rsidRPr="006223CC" w14:paraId="26E47502" w14:textId="77777777" w:rsidTr="007266CF">
        <w:tc>
          <w:tcPr>
            <w:tcW w:w="1188" w:type="dxa"/>
          </w:tcPr>
          <w:p w14:paraId="3A0164FF" w14:textId="77777777" w:rsidR="007266CF" w:rsidRPr="002A677E" w:rsidRDefault="007266CF" w:rsidP="007266CF">
            <w:pPr>
              <w:rPr>
                <w:rFonts w:ascii="Times New Roman" w:hAnsi="Times New Roman"/>
                <w:sz w:val="24"/>
              </w:rPr>
            </w:pPr>
            <w:r>
              <w:rPr>
                <w:rFonts w:ascii="Times New Roman" w:hAnsi="Times New Roman"/>
                <w:sz w:val="24"/>
              </w:rPr>
              <w:lastRenderedPageBreak/>
              <w:t>0200</w:t>
            </w:r>
          </w:p>
        </w:tc>
        <w:tc>
          <w:tcPr>
            <w:tcW w:w="8843" w:type="dxa"/>
          </w:tcPr>
          <w:p w14:paraId="628C5FAE"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OSTATNÍ HMOTNÝ KOLATERÁL</w:t>
            </w:r>
          </w:p>
          <w:p w14:paraId="3E3F7645" w14:textId="77777777" w:rsidR="007266CF" w:rsidRPr="006223CC" w:rsidRDefault="007266CF" w:rsidP="007266CF">
            <w:pPr>
              <w:rPr>
                <w:rFonts w:ascii="Times New Roman" w:hAnsi="Times New Roman"/>
                <w:sz w:val="24"/>
                <w:lang w:val="fr-FR"/>
              </w:rPr>
            </w:pPr>
            <w:r>
              <w:rPr>
                <w:rFonts w:ascii="Times New Roman" w:hAnsi="Times New Roman"/>
                <w:sz w:val="24"/>
              </w:rPr>
              <w:t>Pokud nejsou používány vlastní odhady LGD, určí se hodnoty v souladu s čl. 199 odst. </w:t>
            </w:r>
            <w:r w:rsidRPr="006223CC">
              <w:rPr>
                <w:rFonts w:ascii="Times New Roman" w:hAnsi="Times New Roman"/>
                <w:sz w:val="24"/>
                <w:lang w:val="fr-FR"/>
              </w:rPr>
              <w:t xml:space="preserve">6 a 8 nařízení (EU) č. 575/2013 a vykazují se v tomto sloupci. Zohledňuje se zde i pronájem jiného majetku než nemovitostí (viz čl. 199 odst. 7 nařízení (EU) č. 575/2013). Viz také čl. 229 odst. 3 nařízení (EU) č. 575/2013. </w:t>
            </w:r>
          </w:p>
          <w:p w14:paraId="23A909AA" w14:textId="77777777" w:rsidR="007266CF" w:rsidRPr="006223CC" w:rsidRDefault="007266CF" w:rsidP="007266CF">
            <w:pPr>
              <w:rPr>
                <w:rFonts w:ascii="Times New Roman" w:hAnsi="Times New Roman"/>
                <w:b/>
                <w:sz w:val="24"/>
                <w:u w:val="single"/>
                <w:lang w:val="fr-FR"/>
              </w:rPr>
            </w:pPr>
            <w:r w:rsidRPr="006223CC">
              <w:rPr>
                <w:rFonts w:ascii="Times New Roman" w:hAnsi="Times New Roman"/>
                <w:sz w:val="24"/>
                <w:lang w:val="fr-FR"/>
              </w:rPr>
              <w:t>Pokud jsou používány vlastní odhady LGD, vykazuje se odhadovaná tržní hodnota kolaterálu.</w:t>
            </w:r>
          </w:p>
        </w:tc>
      </w:tr>
      <w:tr w:rsidR="007266CF" w:rsidRPr="006223CC" w14:paraId="7A4D7216" w14:textId="77777777" w:rsidTr="007266CF">
        <w:tc>
          <w:tcPr>
            <w:tcW w:w="1188" w:type="dxa"/>
          </w:tcPr>
          <w:p w14:paraId="256994B0" w14:textId="77777777" w:rsidR="007266CF" w:rsidRPr="002A677E" w:rsidRDefault="007266CF" w:rsidP="007266CF">
            <w:pPr>
              <w:rPr>
                <w:rFonts w:ascii="Times New Roman" w:hAnsi="Times New Roman"/>
                <w:sz w:val="24"/>
              </w:rPr>
            </w:pPr>
            <w:r>
              <w:rPr>
                <w:rFonts w:ascii="Times New Roman" w:hAnsi="Times New Roman"/>
                <w:sz w:val="24"/>
              </w:rPr>
              <w:t>0210</w:t>
            </w:r>
          </w:p>
        </w:tc>
        <w:tc>
          <w:tcPr>
            <w:tcW w:w="8843" w:type="dxa"/>
          </w:tcPr>
          <w:p w14:paraId="5E79D7F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POHLEDÁVKY</w:t>
            </w:r>
          </w:p>
          <w:p w14:paraId="035DEE47" w14:textId="77777777" w:rsidR="007266CF" w:rsidRPr="006223CC" w:rsidRDefault="007266CF" w:rsidP="007266CF">
            <w:pPr>
              <w:rPr>
                <w:rFonts w:ascii="Times New Roman" w:hAnsi="Times New Roman"/>
                <w:sz w:val="24"/>
                <w:lang w:val="fr-FR"/>
              </w:rPr>
            </w:pPr>
            <w:r>
              <w:rPr>
                <w:rFonts w:ascii="Times New Roman" w:hAnsi="Times New Roman"/>
                <w:sz w:val="24"/>
              </w:rPr>
              <w:t>Pokud nejsou používány vlastní odhady LGD, určí se hodnoty v souladu s čl. 199 odst. </w:t>
            </w:r>
            <w:r w:rsidRPr="006223CC">
              <w:rPr>
                <w:rFonts w:ascii="Times New Roman" w:hAnsi="Times New Roman"/>
                <w:sz w:val="24"/>
                <w:lang w:val="fr-FR"/>
              </w:rPr>
              <w:t>5 a čl. 229 odst. 2 nařízení (EU) č. 575/2013 a vykazují se v tomto sloupci.</w:t>
            </w:r>
          </w:p>
          <w:p w14:paraId="458AD656" w14:textId="77777777" w:rsidR="007266CF" w:rsidRPr="006223CC" w:rsidRDefault="007266CF" w:rsidP="007266CF">
            <w:pPr>
              <w:rPr>
                <w:rFonts w:ascii="Times New Roman" w:hAnsi="Times New Roman"/>
                <w:b/>
                <w:sz w:val="24"/>
                <w:u w:val="single"/>
                <w:lang w:val="fr-FR"/>
              </w:rPr>
            </w:pPr>
            <w:r w:rsidRPr="006223CC">
              <w:rPr>
                <w:rFonts w:ascii="Times New Roman" w:hAnsi="Times New Roman"/>
                <w:sz w:val="24"/>
                <w:lang w:val="fr-FR"/>
              </w:rPr>
              <w:t>Pokud jsou používány vlastní odhady LGD, vykazuje se odhadovaná tržní hodnota kolaterálu.</w:t>
            </w:r>
          </w:p>
        </w:tc>
      </w:tr>
      <w:tr w:rsidR="007266CF" w:rsidRPr="002A677E" w14:paraId="11699715" w14:textId="77777777" w:rsidTr="007266CF">
        <w:tc>
          <w:tcPr>
            <w:tcW w:w="1188" w:type="dxa"/>
          </w:tcPr>
          <w:p w14:paraId="081EB5D3" w14:textId="77777777" w:rsidR="007266CF" w:rsidRPr="002A677E" w:rsidRDefault="007266CF" w:rsidP="007266CF">
            <w:pPr>
              <w:rPr>
                <w:rFonts w:ascii="Times New Roman" w:hAnsi="Times New Roman"/>
                <w:sz w:val="24"/>
              </w:rPr>
            </w:pPr>
            <w:r>
              <w:rPr>
                <w:rFonts w:ascii="Times New Roman" w:hAnsi="Times New Roman"/>
                <w:sz w:val="24"/>
              </w:rPr>
              <w:t>0220</w:t>
            </w:r>
          </w:p>
        </w:tc>
        <w:tc>
          <w:tcPr>
            <w:tcW w:w="8843" w:type="dxa"/>
          </w:tcPr>
          <w:p w14:paraId="1D320EA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EXPOZICE, KTERÉ PODLÉHAJÍ PŘÍSTUPU DVOJÍHO SELHÁNÍ: OSOBNÍ ZAJIŠTĚNÍ ÚVĚROVÉHO RIZIKA</w:t>
            </w:r>
          </w:p>
          <w:p w14:paraId="2468326C" w14:textId="77777777" w:rsidR="007266CF" w:rsidRPr="002A677E" w:rsidRDefault="007266CF" w:rsidP="007266CF">
            <w:pPr>
              <w:rPr>
                <w:rFonts w:ascii="Times New Roman" w:hAnsi="Times New Roman"/>
                <w:sz w:val="24"/>
              </w:rPr>
            </w:pPr>
            <w:r>
              <w:rPr>
                <w:rFonts w:ascii="Times New Roman" w:hAnsi="Times New Roman"/>
                <w:sz w:val="24"/>
              </w:rPr>
              <w:t xml:space="preserve">Záruky a úvěrové deriváty, které se vztahují na expozice podléhající přístupu dvojího selhání v souladu s čl. 153 odst. 3 nařízení (EU) č. 575/2013 při zohlednění článku 202 a čl. 217 odst. 1 uvedeného nařízení. </w:t>
            </w:r>
          </w:p>
          <w:p w14:paraId="4C631D58" w14:textId="77777777" w:rsidR="007266CF" w:rsidRPr="002A677E" w:rsidRDefault="007266CF" w:rsidP="007266CF">
            <w:pPr>
              <w:rPr>
                <w:rFonts w:ascii="Times New Roman" w:hAnsi="Times New Roman"/>
                <w:b/>
                <w:sz w:val="24"/>
                <w:u w:val="single"/>
              </w:rPr>
            </w:pPr>
            <w:r>
              <w:rPr>
                <w:rFonts w:ascii="Times New Roman" w:hAnsi="Times New Roman"/>
                <w:sz w:val="24"/>
              </w:rPr>
              <w:t xml:space="preserve">Hodnoty, které mají být vykázány, nesmí překročit hodnotu odpovídajících expozic.   </w:t>
            </w:r>
          </w:p>
        </w:tc>
      </w:tr>
      <w:tr w:rsidR="007266CF" w:rsidRPr="002A677E" w14:paraId="66E70ABD" w14:textId="77777777" w:rsidTr="007266CF">
        <w:tc>
          <w:tcPr>
            <w:tcW w:w="1188" w:type="dxa"/>
          </w:tcPr>
          <w:p w14:paraId="1AD5B981" w14:textId="77777777" w:rsidR="007266CF" w:rsidRPr="002A677E" w:rsidRDefault="007266CF" w:rsidP="007266CF">
            <w:pPr>
              <w:rPr>
                <w:rFonts w:ascii="Times New Roman" w:hAnsi="Times New Roman"/>
                <w:sz w:val="24"/>
              </w:rPr>
            </w:pPr>
            <w:r>
              <w:rPr>
                <w:rFonts w:ascii="Times New Roman" w:hAnsi="Times New Roman"/>
                <w:sz w:val="24"/>
              </w:rPr>
              <w:t>0230</w:t>
            </w:r>
          </w:p>
        </w:tc>
        <w:tc>
          <w:tcPr>
            <w:tcW w:w="8843" w:type="dxa"/>
          </w:tcPr>
          <w:p w14:paraId="143A382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EXPOZICÍ VÁŽENÁ PRŮMĚRNÁ HODNOTA LGD (%)</w:t>
            </w:r>
          </w:p>
          <w:p w14:paraId="1889AD34" w14:textId="77777777" w:rsidR="007266CF" w:rsidRPr="002A677E" w:rsidRDefault="007266CF" w:rsidP="007266CF">
            <w:pPr>
              <w:rPr>
                <w:rFonts w:ascii="Times New Roman" w:hAnsi="Times New Roman"/>
                <w:sz w:val="24"/>
              </w:rPr>
            </w:pPr>
            <w:r>
              <w:rPr>
                <w:rFonts w:ascii="Times New Roman" w:hAnsi="Times New Roman"/>
                <w:sz w:val="24"/>
              </w:rPr>
              <w:t>Zohledňuje se celkový dopad technik snižování úvěrového rizika na hodnoty LGD, jak je uvedeno v části třetí hlavě II kapitolách 3 a 4 nařízení (EU) č. 575/2013. V případě, že expozice podléhají přístupu dvojího selhání, odpovídá hodnota LGD, která má být vykázána, LGD vybrané v souladu s čl. 161 odst. 4 nařízení (EU) č. 575/2013.</w:t>
            </w:r>
          </w:p>
          <w:p w14:paraId="74C666B9" w14:textId="77777777" w:rsidR="007266CF" w:rsidRPr="002A677E" w:rsidRDefault="007266CF" w:rsidP="007266CF">
            <w:pPr>
              <w:rPr>
                <w:rFonts w:ascii="Times New Roman" w:hAnsi="Times New Roman"/>
                <w:sz w:val="24"/>
              </w:rPr>
            </w:pPr>
            <w:r>
              <w:rPr>
                <w:rFonts w:ascii="Times New Roman" w:hAnsi="Times New Roman"/>
                <w:sz w:val="24"/>
              </w:rPr>
              <w:t>U expozic v selhání se zohlední ustanovení čl. 181 odst. 1 písm. h) nařízení (EU) č. 575/2013.</w:t>
            </w:r>
          </w:p>
          <w:p w14:paraId="7A5FC84E" w14:textId="77777777" w:rsidR="007266CF" w:rsidRPr="002A677E" w:rsidRDefault="007266CF" w:rsidP="007266CF">
            <w:pPr>
              <w:rPr>
                <w:rFonts w:ascii="Times New Roman" w:hAnsi="Times New Roman"/>
                <w:sz w:val="24"/>
              </w:rPr>
            </w:pPr>
            <w:r>
              <w:rPr>
                <w:rFonts w:ascii="Times New Roman" w:hAnsi="Times New Roman"/>
                <w:sz w:val="24"/>
              </w:rPr>
              <w:t>Pro výpočet expozicí vážených průměrných hodnot se použije hodnota expozice uvedená ve sloupci 0110.</w:t>
            </w:r>
          </w:p>
          <w:p w14:paraId="47945757" w14:textId="77777777" w:rsidR="007266CF" w:rsidRPr="002A677E" w:rsidRDefault="007266CF" w:rsidP="007266CF">
            <w:pPr>
              <w:rPr>
                <w:rFonts w:ascii="Times New Roman" w:hAnsi="Times New Roman"/>
                <w:sz w:val="24"/>
              </w:rPr>
            </w:pPr>
            <w:r>
              <w:rPr>
                <w:rFonts w:ascii="Times New Roman" w:hAnsi="Times New Roman"/>
                <w:sz w:val="24"/>
              </w:rPr>
              <w:t>Zohlední se všechny dopady (do vykazování se zahrnou účinky dolní meze použitelné na expozice zajištěné nemovitostmi v souladu s čl. 164 odst. 4 nařízení (EU) č. 575/2013).</w:t>
            </w:r>
          </w:p>
          <w:p w14:paraId="20E779F3" w14:textId="77777777" w:rsidR="007266CF" w:rsidRPr="002A677E" w:rsidRDefault="007266CF" w:rsidP="007266CF">
            <w:pPr>
              <w:rPr>
                <w:rFonts w:ascii="Times New Roman" w:hAnsi="Times New Roman"/>
                <w:sz w:val="24"/>
              </w:rPr>
            </w:pPr>
            <w:r>
              <w:rPr>
                <w:rFonts w:ascii="Times New Roman" w:hAnsi="Times New Roman"/>
                <w:sz w:val="24"/>
              </w:rPr>
              <w:t>U institucí, které uplatňují přístup IRB, ale nepoužívají vlastní odhady LGD, se dopady finančního kolaterálu na snižování rizika odráží v E*, tedy plně upravené hodnotě expozice, a následně se odráží v LGD* uvedené v čl. 228 odst. 2 nařízení (EU) č. 575/2013.</w:t>
            </w:r>
          </w:p>
          <w:p w14:paraId="6B3E34D8" w14:textId="77777777" w:rsidR="007266CF" w:rsidRPr="002A677E" w:rsidRDefault="007266CF" w:rsidP="007266CF">
            <w:pPr>
              <w:rPr>
                <w:rFonts w:ascii="Times New Roman" w:hAnsi="Times New Roman"/>
                <w:sz w:val="24"/>
              </w:rPr>
            </w:pPr>
            <w:r>
              <w:rPr>
                <w:rFonts w:ascii="Times New Roman" w:hAnsi="Times New Roman"/>
                <w:sz w:val="24"/>
              </w:rPr>
              <w:t>Expozicí vážená průměrná hodnota LGD přiřazená ke každé hodnotě PD pro „stupeň nebo seskupení dlužníků“ vyplývá z průměru obezřetnostních hodnot LGD přidělených expozicím, na něž se vztahuje daná hodnota PD pro stupeň/seskupení vážená příslušnou hodnotou expozice uvedenou ve sloupci 0110.</w:t>
            </w:r>
          </w:p>
          <w:p w14:paraId="4C7E2CF1" w14:textId="77777777" w:rsidR="007266CF" w:rsidRPr="002A677E" w:rsidRDefault="007266CF" w:rsidP="007266CF">
            <w:pPr>
              <w:rPr>
                <w:rFonts w:ascii="Times New Roman" w:hAnsi="Times New Roman"/>
                <w:sz w:val="24"/>
              </w:rPr>
            </w:pPr>
            <w:r>
              <w:rPr>
                <w:rFonts w:ascii="Times New Roman" w:hAnsi="Times New Roman"/>
                <w:sz w:val="24"/>
              </w:rPr>
              <w:t>Pokud se použijí vlastní odhady LGD, zohlední se ustanovení článku 175 a čl. 181 odst. 1 a 2 nařízení (EU) č. 575/2013.</w:t>
            </w:r>
          </w:p>
          <w:p w14:paraId="1F8EF7BD" w14:textId="77777777" w:rsidR="007266CF" w:rsidRPr="002A677E" w:rsidRDefault="007266CF" w:rsidP="007266CF">
            <w:pPr>
              <w:rPr>
                <w:rFonts w:ascii="Times New Roman" w:hAnsi="Times New Roman"/>
                <w:sz w:val="24"/>
              </w:rPr>
            </w:pPr>
            <w:r>
              <w:rPr>
                <w:rFonts w:ascii="Times New Roman" w:hAnsi="Times New Roman"/>
                <w:sz w:val="24"/>
              </w:rPr>
              <w:lastRenderedPageBreak/>
              <w:t>V případě, že expozice podléhají přístupu dvojího selhání, odpovídá hodnota LGD, která má být vykázána, LGD vybrané v souladu s čl. 161 odst. 4 nařízení (EU) č. 575/2013.</w:t>
            </w:r>
          </w:p>
          <w:p w14:paraId="4AC2CD80" w14:textId="77777777" w:rsidR="007266CF" w:rsidRPr="002A677E" w:rsidRDefault="007266CF" w:rsidP="007266CF">
            <w:pPr>
              <w:rPr>
                <w:rFonts w:ascii="Times New Roman" w:hAnsi="Times New Roman"/>
                <w:sz w:val="24"/>
              </w:rPr>
            </w:pPr>
            <w:r>
              <w:rPr>
                <w:rFonts w:ascii="Times New Roman" w:hAnsi="Times New Roman"/>
                <w:sz w:val="24"/>
              </w:rPr>
              <w:t>Výpočet expozicí vážené průměrné hodnoty LGD se odvozuje na základě rizikových parametrů, které se skutečně používají v interních ratingových stupnicích schválených příslušným orgánem.</w:t>
            </w:r>
          </w:p>
          <w:p w14:paraId="2E52780D" w14:textId="77777777" w:rsidR="007266CF" w:rsidRPr="002A677E" w:rsidRDefault="007266CF" w:rsidP="007266CF">
            <w:pPr>
              <w:rPr>
                <w:rFonts w:ascii="Times New Roman" w:hAnsi="Times New Roman"/>
                <w:sz w:val="24"/>
              </w:rPr>
            </w:pPr>
            <w:r>
              <w:rPr>
                <w:rFonts w:ascii="Times New Roman" w:hAnsi="Times New Roman"/>
                <w:sz w:val="24"/>
              </w:rPr>
              <w:t>Údaje se nevykazují v případě specializovaných úvěrových expozic uvedených v čl. 153 odst. 5 nařízení (EU) č. 575/2013. Odhaduje-li se hodnota PD pro specializované úvěrové expozice, vykazují se údaje na základě vlastních odhadů LGD nebo regulatorní LGD.</w:t>
            </w:r>
          </w:p>
          <w:p w14:paraId="2CD44851" w14:textId="77777777" w:rsidR="007266CF" w:rsidRPr="002A677E" w:rsidRDefault="007266CF" w:rsidP="007266CF">
            <w:pPr>
              <w:rPr>
                <w:rFonts w:ascii="Times New Roman" w:hAnsi="Times New Roman"/>
                <w:sz w:val="24"/>
              </w:rPr>
            </w:pPr>
            <w:r>
              <w:rPr>
                <w:rFonts w:ascii="Times New Roman" w:hAnsi="Times New Roman"/>
                <w:sz w:val="24"/>
              </w:rPr>
              <w:t xml:space="preserve">Do výpočtu hodnoty vykazované ve sloupci 0230 se nezahrnují expozice a příslušné hodnoty LGD související s velkými regulovanými subjekty finančního sektoru a neregulovanými finančními subjekty; tyto údaje se však zohledňují pouze ve výpočtu hodnoty uváděné ve sloupci 0240. </w:t>
            </w:r>
          </w:p>
        </w:tc>
      </w:tr>
      <w:tr w:rsidR="007266CF" w:rsidRPr="002A677E" w14:paraId="231E46BE" w14:textId="77777777" w:rsidTr="007266CF">
        <w:tc>
          <w:tcPr>
            <w:tcW w:w="1188" w:type="dxa"/>
          </w:tcPr>
          <w:p w14:paraId="4893E128" w14:textId="77777777" w:rsidR="007266CF" w:rsidRPr="002A677E" w:rsidRDefault="007266CF" w:rsidP="007266CF">
            <w:pPr>
              <w:rPr>
                <w:rFonts w:ascii="Times New Roman" w:hAnsi="Times New Roman"/>
                <w:sz w:val="24"/>
              </w:rPr>
            </w:pPr>
            <w:r>
              <w:rPr>
                <w:rFonts w:ascii="Times New Roman" w:hAnsi="Times New Roman"/>
                <w:sz w:val="24"/>
              </w:rPr>
              <w:lastRenderedPageBreak/>
              <w:t>0240</w:t>
            </w:r>
          </w:p>
        </w:tc>
        <w:tc>
          <w:tcPr>
            <w:tcW w:w="8843" w:type="dxa"/>
          </w:tcPr>
          <w:p w14:paraId="6C3195F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EXPOZICÍ VÁŽENÁ PRŮMĚRNÁ HODNOTA LGD (%) PRO VELKÉ SUBJEKTY FINANČNÍHO SEKTORU A NEREGULOVANÉ FINANČNÍ SUBJEKTY</w:t>
            </w:r>
          </w:p>
          <w:p w14:paraId="45532E26" w14:textId="77777777" w:rsidR="007266CF" w:rsidRPr="002A677E" w:rsidRDefault="007266CF" w:rsidP="007266CF">
            <w:pPr>
              <w:rPr>
                <w:rFonts w:ascii="Times New Roman" w:hAnsi="Times New Roman"/>
                <w:sz w:val="24"/>
              </w:rPr>
            </w:pPr>
            <w:r>
              <w:rPr>
                <w:rFonts w:ascii="Times New Roman" w:hAnsi="Times New Roman"/>
                <w:sz w:val="24"/>
              </w:rPr>
              <w:t>Expozicí vážená průměrná hodnota LGD (%) u všech expozic vůči velkým subjektům finančního sektoru ve smyslu čl. 142 odst. 1 bodu 4 nařízení (EU) č. 575/2013 a vůči neregulovaným subjektům finančního sektoru ve smyslu čl. 142 odst. 1 bodu 5 nařízení (EU) č. 575/2013 podléhajícím vyššímu koeficientu korelace určenému v souladu s čl. 153 odst. 2 nařízení (EU) č. 575/2013</w:t>
            </w:r>
          </w:p>
        </w:tc>
      </w:tr>
      <w:tr w:rsidR="007266CF" w:rsidRPr="002A677E" w14:paraId="56E3AC65" w14:textId="77777777" w:rsidTr="007266CF">
        <w:tc>
          <w:tcPr>
            <w:tcW w:w="1188" w:type="dxa"/>
          </w:tcPr>
          <w:p w14:paraId="5B8C9FD1" w14:textId="77777777" w:rsidR="007266CF" w:rsidRPr="002A677E" w:rsidRDefault="007266CF" w:rsidP="007266CF">
            <w:pPr>
              <w:rPr>
                <w:rFonts w:ascii="Times New Roman" w:hAnsi="Times New Roman"/>
                <w:sz w:val="24"/>
              </w:rPr>
            </w:pPr>
            <w:r>
              <w:rPr>
                <w:rFonts w:ascii="Times New Roman" w:hAnsi="Times New Roman"/>
                <w:sz w:val="24"/>
              </w:rPr>
              <w:t>0250</w:t>
            </w:r>
          </w:p>
        </w:tc>
        <w:tc>
          <w:tcPr>
            <w:tcW w:w="8843" w:type="dxa"/>
          </w:tcPr>
          <w:p w14:paraId="3CDC08F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EXPOZICÍ VÁŽENÁ PRŮMĚRNÁ SPLATNOST (POČET DNŮ)</w:t>
            </w:r>
          </w:p>
          <w:p w14:paraId="6051B99C" w14:textId="77777777" w:rsidR="007266CF" w:rsidRPr="002A677E" w:rsidRDefault="007266CF" w:rsidP="007266CF">
            <w:pPr>
              <w:rPr>
                <w:rFonts w:ascii="Times New Roman" w:hAnsi="Times New Roman"/>
                <w:sz w:val="24"/>
              </w:rPr>
            </w:pPr>
            <w:r>
              <w:rPr>
                <w:rFonts w:ascii="Times New Roman" w:hAnsi="Times New Roman"/>
                <w:sz w:val="24"/>
              </w:rPr>
              <w:t>Vykazovaná hodnota se určí v souladu s článkem 162 nařízení (EU) č. 575/2013. Pro výpočet expozicí vážených průměrných hodnot se použije hodnota expozice (sloupec 0110). Průměrná splatnost se vykazuje ve dnech.</w:t>
            </w:r>
          </w:p>
          <w:p w14:paraId="3A4A7E7F" w14:textId="77777777" w:rsidR="007266CF" w:rsidRPr="002A677E" w:rsidRDefault="007266CF" w:rsidP="007266CF">
            <w:pPr>
              <w:rPr>
                <w:rFonts w:ascii="Times New Roman" w:hAnsi="Times New Roman"/>
                <w:sz w:val="24"/>
              </w:rPr>
            </w:pPr>
            <w:r>
              <w:rPr>
                <w:rFonts w:ascii="Times New Roman" w:hAnsi="Times New Roman"/>
                <w:sz w:val="24"/>
              </w:rPr>
              <w:t xml:space="preserve">Tento údaj se nevykazuje u hodnot expozice, v jejichž případě splatnost není součástí výpočtu </w:t>
            </w:r>
            <w:r>
              <w:rPr>
                <w:rStyle w:val="InstructionsTabelleText"/>
                <w:rFonts w:ascii="Times New Roman" w:hAnsi="Times New Roman"/>
                <w:sz w:val="24"/>
              </w:rPr>
              <w:t>objemů rizikově vážených expozic</w:t>
            </w:r>
            <w:r>
              <w:rPr>
                <w:rFonts w:ascii="Times New Roman" w:hAnsi="Times New Roman"/>
                <w:sz w:val="24"/>
              </w:rPr>
              <w:t>. Znamená to, že tento sloupec se nevyplňuje pro kategorii „retailové expozice“.</w:t>
            </w:r>
          </w:p>
        </w:tc>
      </w:tr>
      <w:tr w:rsidR="007266CF" w:rsidRPr="002A677E" w14:paraId="52F77AEE" w14:textId="77777777" w:rsidTr="007266CF">
        <w:tc>
          <w:tcPr>
            <w:tcW w:w="1188" w:type="dxa"/>
          </w:tcPr>
          <w:p w14:paraId="77598BDC" w14:textId="77777777" w:rsidR="007266CF" w:rsidRPr="002A677E" w:rsidRDefault="007266CF" w:rsidP="007266CF">
            <w:pPr>
              <w:rPr>
                <w:rFonts w:ascii="Times New Roman" w:hAnsi="Times New Roman"/>
                <w:sz w:val="24"/>
              </w:rPr>
            </w:pPr>
            <w:r>
              <w:rPr>
                <w:rFonts w:ascii="Times New Roman" w:hAnsi="Times New Roman"/>
                <w:sz w:val="24"/>
              </w:rPr>
              <w:t>0255</w:t>
            </w:r>
          </w:p>
        </w:tc>
        <w:tc>
          <w:tcPr>
            <w:tcW w:w="8843" w:type="dxa"/>
          </w:tcPr>
          <w:p w14:paraId="415769B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 PŘED UPLATNĚNÍM PODPŮRNÝCH KOEFICIENTŮ</w:t>
            </w:r>
          </w:p>
          <w:p w14:paraId="517F4F72" w14:textId="77777777" w:rsidR="007266CF" w:rsidRPr="002A677E" w:rsidRDefault="007266CF" w:rsidP="007266CF">
            <w:pPr>
              <w:rPr>
                <w:rFonts w:ascii="Times New Roman" w:hAnsi="Times New Roman"/>
                <w:sz w:val="24"/>
              </w:rPr>
            </w:pPr>
            <w:r>
              <w:rPr>
                <w:rFonts w:ascii="Times New Roman" w:hAnsi="Times New Roman"/>
                <w:sz w:val="24"/>
              </w:rPr>
              <w:t xml:space="preserve">Pro ústřední vlády a centrální banky, podniky a instituce viz čl. 153 odst. 1, 2, 3 a 4 nařízení (EU) č. 575/2013. Pro retailovou oblast viz čl. 154 odst. 1 nařízení (EU) č. 575/2013. </w:t>
            </w:r>
          </w:p>
          <w:p w14:paraId="1C17AA93" w14:textId="77777777" w:rsidR="007266CF" w:rsidRPr="002A677E" w:rsidRDefault="007266CF" w:rsidP="007266CF">
            <w:pPr>
              <w:rPr>
                <w:rFonts w:ascii="Times New Roman" w:hAnsi="Times New Roman"/>
                <w:b/>
                <w:sz w:val="24"/>
                <w:u w:val="single"/>
              </w:rPr>
            </w:pPr>
            <w:r>
              <w:rPr>
                <w:rFonts w:ascii="Times New Roman" w:hAnsi="Times New Roman"/>
                <w:sz w:val="24"/>
              </w:rPr>
              <w:t>Nezohledňuje se podpůrný koeficient pro malé a střední podniky a infrastrukturu podle článků 501 a 501a nařízení (EU) č. 575/2013.</w:t>
            </w:r>
          </w:p>
        </w:tc>
      </w:tr>
      <w:tr w:rsidR="007266CF" w:rsidRPr="002A677E" w14:paraId="67ECC9AA" w14:textId="77777777" w:rsidTr="007266CF">
        <w:tc>
          <w:tcPr>
            <w:tcW w:w="1188" w:type="dxa"/>
          </w:tcPr>
          <w:p w14:paraId="7B33D8C5" w14:textId="77777777" w:rsidR="007266CF" w:rsidRPr="002A677E" w:rsidRDefault="007266CF" w:rsidP="007266CF">
            <w:pPr>
              <w:rPr>
                <w:rFonts w:ascii="Times New Roman" w:hAnsi="Times New Roman"/>
                <w:sz w:val="24"/>
              </w:rPr>
            </w:pPr>
            <w:r>
              <w:rPr>
                <w:rFonts w:ascii="Times New Roman" w:hAnsi="Times New Roman"/>
                <w:sz w:val="24"/>
              </w:rPr>
              <w:t>0256</w:t>
            </w:r>
          </w:p>
        </w:tc>
        <w:tc>
          <w:tcPr>
            <w:tcW w:w="8843" w:type="dxa"/>
          </w:tcPr>
          <w:p w14:paraId="0F0FF56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ÚPRAVA OBJEMU RIZIKOVĚ VÁŽENÉ EXPOZICE V DŮSLEDKU PODPŮRNÉHO KOEFICIENTU PRO MALÉ A STŘEDNÍ PODNIKY</w:t>
            </w:r>
          </w:p>
          <w:p w14:paraId="72454ECC" w14:textId="77777777" w:rsidR="007266CF" w:rsidRPr="002A677E" w:rsidRDefault="007266CF" w:rsidP="007266CF">
            <w:pPr>
              <w:rPr>
                <w:rFonts w:ascii="Times New Roman" w:hAnsi="Times New Roman"/>
                <w:b/>
                <w:sz w:val="24"/>
                <w:u w:val="single"/>
              </w:rPr>
            </w:pPr>
            <w:r>
              <w:rPr>
                <w:rFonts w:ascii="Times New Roman" w:hAnsi="Times New Roman"/>
                <w:sz w:val="24"/>
              </w:rPr>
              <w:t>Odečtení rozdílu mezi objemy rizikově vážených expozic u expozic vůči malému nebo střednímu podniku, u nichž nedošlo k selhání (RWEA), které se v příslušných případech vypočítají v souladu s částí třetí hlavou II kapitolou 3 nařízení (EU) č. 575/2013, a RWEA* v souladu s článkem 501 uvedeného nařízení.</w:t>
            </w:r>
          </w:p>
        </w:tc>
      </w:tr>
      <w:tr w:rsidR="007266CF" w:rsidRPr="002A677E" w14:paraId="6BD6C97D" w14:textId="77777777" w:rsidTr="007266CF">
        <w:tc>
          <w:tcPr>
            <w:tcW w:w="1188" w:type="dxa"/>
          </w:tcPr>
          <w:p w14:paraId="02016BC8" w14:textId="77777777" w:rsidR="007266CF" w:rsidRPr="002A677E" w:rsidRDefault="007266CF" w:rsidP="007266CF">
            <w:pPr>
              <w:rPr>
                <w:rFonts w:ascii="Times New Roman" w:hAnsi="Times New Roman"/>
                <w:sz w:val="24"/>
              </w:rPr>
            </w:pPr>
            <w:r>
              <w:rPr>
                <w:rFonts w:ascii="Times New Roman" w:hAnsi="Times New Roman"/>
                <w:sz w:val="24"/>
              </w:rPr>
              <w:lastRenderedPageBreak/>
              <w:t>0257</w:t>
            </w:r>
          </w:p>
        </w:tc>
        <w:tc>
          <w:tcPr>
            <w:tcW w:w="8843" w:type="dxa"/>
          </w:tcPr>
          <w:p w14:paraId="0B90962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ÚPRAVA OBJEMU RIZIKOVĚ VÁŽENÉ EXPOZICE V DŮSLEDKU PODPŮRNÉHO KOEFICIENTU PRO INFRASTRUKTURU</w:t>
            </w:r>
          </w:p>
          <w:p w14:paraId="44DCF604" w14:textId="77777777" w:rsidR="007266CF" w:rsidRPr="002A677E" w:rsidRDefault="007266CF" w:rsidP="007266CF">
            <w:pPr>
              <w:rPr>
                <w:rFonts w:ascii="Times New Roman" w:hAnsi="Times New Roman"/>
                <w:b/>
                <w:sz w:val="24"/>
                <w:u w:val="single"/>
              </w:rPr>
            </w:pPr>
            <w:r>
              <w:rPr>
                <w:rFonts w:ascii="Times New Roman" w:hAnsi="Times New Roman"/>
                <w:sz w:val="24"/>
              </w:rPr>
              <w:t xml:space="preserve">Odečtení rozdílu mezi objemy rizikově vážené expozice vypočítanými v souladu s částí třetí hlavou II nařízení (EU) č. 575/2013 a upravenými RWEA pro úvěrové riziko u expozic vůči subjektům, které provozují nebo financují fyzické struktury nebo zařízení, systémy a sítě, které poskytují nebo podporují základní veřejné služby v souladu s článkem 501a uvedeného nařízení. </w:t>
            </w:r>
          </w:p>
        </w:tc>
      </w:tr>
      <w:tr w:rsidR="007266CF" w:rsidRPr="002A677E" w14:paraId="126D2486" w14:textId="77777777" w:rsidTr="007266CF">
        <w:tc>
          <w:tcPr>
            <w:tcW w:w="1188" w:type="dxa"/>
            <w:shd w:val="clear" w:color="auto" w:fill="auto"/>
          </w:tcPr>
          <w:p w14:paraId="29FCAD5C" w14:textId="77777777" w:rsidR="007266CF" w:rsidRPr="002A677E" w:rsidRDefault="007266CF" w:rsidP="007266CF">
            <w:pPr>
              <w:rPr>
                <w:rFonts w:ascii="Times New Roman" w:hAnsi="Times New Roman"/>
                <w:sz w:val="24"/>
              </w:rPr>
            </w:pPr>
            <w:r>
              <w:rPr>
                <w:rFonts w:ascii="Times New Roman" w:hAnsi="Times New Roman"/>
                <w:sz w:val="24"/>
              </w:rPr>
              <w:t>0260</w:t>
            </w:r>
          </w:p>
        </w:tc>
        <w:tc>
          <w:tcPr>
            <w:tcW w:w="8843" w:type="dxa"/>
            <w:shd w:val="clear" w:color="auto" w:fill="auto"/>
          </w:tcPr>
          <w:p w14:paraId="5D935A1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14:paraId="78F422FB" w14:textId="77777777" w:rsidR="007266CF" w:rsidRPr="002A677E" w:rsidRDefault="007266CF" w:rsidP="007266CF">
            <w:pPr>
              <w:rPr>
                <w:rFonts w:ascii="Times New Roman" w:hAnsi="Times New Roman"/>
                <w:sz w:val="24"/>
              </w:rPr>
            </w:pPr>
            <w:r>
              <w:rPr>
                <w:rFonts w:ascii="Times New Roman" w:hAnsi="Times New Roman"/>
                <w:sz w:val="24"/>
              </w:rPr>
              <w:t>Pro ústřední vlády a centrální banky, podniky a instituce viz čl. 153 odst. 1, 2, 3 a 4 nařízení (EU) č. 575/2013. Pro retailovou oblast viz čl. 154 odst. 1 nařízení (EU) č. 575/2013.</w:t>
            </w:r>
          </w:p>
          <w:p w14:paraId="48EEF656" w14:textId="77777777" w:rsidR="007266CF" w:rsidRPr="002A677E" w:rsidRDefault="007266CF" w:rsidP="007266CF">
            <w:pPr>
              <w:rPr>
                <w:rFonts w:ascii="Times New Roman" w:hAnsi="Times New Roman"/>
                <w:b/>
                <w:sz w:val="24"/>
                <w:u w:val="single"/>
              </w:rPr>
            </w:pPr>
            <w:r>
              <w:rPr>
                <w:rFonts w:ascii="Times New Roman" w:hAnsi="Times New Roman"/>
                <w:sz w:val="24"/>
              </w:rPr>
              <w:t>Zohledňuje se podpůrný koeficient pro malé a střední podniky a infrastrukturu podle článků 501 a 501a nařízení (EU) č. 575/2013.</w:t>
            </w:r>
          </w:p>
        </w:tc>
      </w:tr>
      <w:tr w:rsidR="007266CF" w:rsidRPr="002A677E" w14:paraId="3996ECB9" w14:textId="77777777" w:rsidTr="007266CF">
        <w:tc>
          <w:tcPr>
            <w:tcW w:w="1188" w:type="dxa"/>
            <w:shd w:val="clear" w:color="auto" w:fill="auto"/>
          </w:tcPr>
          <w:p w14:paraId="001EF603" w14:textId="77777777" w:rsidR="007266CF" w:rsidRPr="002A677E" w:rsidRDefault="007266CF" w:rsidP="007266CF">
            <w:pPr>
              <w:rPr>
                <w:rFonts w:ascii="Times New Roman" w:hAnsi="Times New Roman"/>
                <w:sz w:val="24"/>
              </w:rPr>
            </w:pPr>
            <w:r>
              <w:rPr>
                <w:rFonts w:ascii="Times New Roman" w:hAnsi="Times New Roman"/>
                <w:sz w:val="24"/>
              </w:rPr>
              <w:t>0270</w:t>
            </w:r>
          </w:p>
        </w:tc>
        <w:tc>
          <w:tcPr>
            <w:tcW w:w="8843" w:type="dxa"/>
            <w:shd w:val="clear" w:color="auto" w:fill="auto"/>
          </w:tcPr>
          <w:p w14:paraId="3ED06F9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14:paraId="5D55A48F" w14:textId="77777777" w:rsidR="007266CF" w:rsidRPr="002A677E" w:rsidDel="005A2363" w:rsidRDefault="007266CF" w:rsidP="007266CF">
            <w:pPr>
              <w:rPr>
                <w:rFonts w:ascii="Times New Roman" w:hAnsi="Times New Roman"/>
                <w:sz w:val="24"/>
              </w:rPr>
            </w:pPr>
            <w:r>
              <w:rPr>
                <w:rFonts w:ascii="Times New Roman" w:hAnsi="Times New Roman"/>
                <w:sz w:val="24"/>
              </w:rPr>
              <w:t>Rozklad objemu rizikově vážených expozic po uplatnění podpůrného koeficientu pro malé a střední podniky u všech expozic vůči velkým subjektům finančního sektoru ve smyslu čl. 142 odst. 1 bodu 4 nařízení (EU) č. 575/2013 a vůči neregulovaným subjektům finančního sektoru ve smyslu čl. 142 odst. 1 bodu 5 uvedeného nařízení podléhajícím vyššímu koeficientu korelace určenému v souladu s čl. 153 odst. 2 uvedeného nařízení.</w:t>
            </w:r>
          </w:p>
        </w:tc>
      </w:tr>
      <w:tr w:rsidR="007266CF" w:rsidRPr="002A677E" w14:paraId="7F2D05DF" w14:textId="77777777" w:rsidTr="007266CF">
        <w:tc>
          <w:tcPr>
            <w:tcW w:w="1188" w:type="dxa"/>
          </w:tcPr>
          <w:p w14:paraId="6E0448D3" w14:textId="77777777" w:rsidR="007266CF" w:rsidRPr="002A677E" w:rsidRDefault="007266CF" w:rsidP="007266CF">
            <w:pPr>
              <w:rPr>
                <w:rFonts w:ascii="Times New Roman" w:hAnsi="Times New Roman"/>
                <w:sz w:val="24"/>
              </w:rPr>
            </w:pPr>
            <w:r>
              <w:rPr>
                <w:rFonts w:ascii="Times New Roman" w:hAnsi="Times New Roman"/>
                <w:sz w:val="24"/>
              </w:rPr>
              <w:t>0280</w:t>
            </w:r>
          </w:p>
        </w:tc>
        <w:tc>
          <w:tcPr>
            <w:tcW w:w="8843" w:type="dxa"/>
          </w:tcPr>
          <w:p w14:paraId="356ABBC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VÝŠE OČEKÁVANÉ ZTRÁTY</w:t>
            </w:r>
          </w:p>
          <w:p w14:paraId="5AB22472" w14:textId="77777777" w:rsidR="007266CF" w:rsidRPr="002A677E" w:rsidRDefault="007266CF" w:rsidP="007266CF">
            <w:pPr>
              <w:jc w:val="left"/>
              <w:rPr>
                <w:rFonts w:ascii="Times New Roman" w:hAnsi="Times New Roman"/>
                <w:sz w:val="24"/>
              </w:rPr>
            </w:pPr>
            <w:r>
              <w:rPr>
                <w:rFonts w:ascii="Times New Roman" w:hAnsi="Times New Roman"/>
                <w:sz w:val="24"/>
              </w:rPr>
              <w:t>Pro definici očekávaných ztrát viz čl. 5 odst. 3 nařízení (EU) č. 575/2013 a pro výpočet výše očekávaných ztrát viz článek 158 uvedeného nařízení. Pro expozice v selhání viz čl. 181 odst. 1 písm. h) nařízení (EU) č. 575/2013. Výše očekávaných ztrát, která má být vykázána, vychází z rizikových parametrů, které se skutečně používají v interních ratingových stupnicích schválených příslušným orgánem.</w:t>
            </w:r>
          </w:p>
        </w:tc>
      </w:tr>
      <w:tr w:rsidR="007266CF" w:rsidRPr="002A677E" w14:paraId="0749D972" w14:textId="77777777" w:rsidTr="007266CF">
        <w:tc>
          <w:tcPr>
            <w:tcW w:w="1188" w:type="dxa"/>
          </w:tcPr>
          <w:p w14:paraId="7D4741C1" w14:textId="77777777" w:rsidR="007266CF" w:rsidRPr="002A677E" w:rsidRDefault="007266CF" w:rsidP="007266CF">
            <w:pPr>
              <w:rPr>
                <w:rFonts w:ascii="Times New Roman" w:hAnsi="Times New Roman"/>
                <w:sz w:val="24"/>
              </w:rPr>
            </w:pPr>
            <w:r>
              <w:rPr>
                <w:rFonts w:ascii="Times New Roman" w:hAnsi="Times New Roman"/>
                <w:sz w:val="24"/>
              </w:rPr>
              <w:t>0290</w:t>
            </w:r>
          </w:p>
        </w:tc>
        <w:tc>
          <w:tcPr>
            <w:tcW w:w="8843" w:type="dxa"/>
          </w:tcPr>
          <w:p w14:paraId="31B2922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ÚPRAVY OCENĚNÍ A REZERVY</w:t>
            </w:r>
          </w:p>
          <w:p w14:paraId="2A9DEAEA" w14:textId="77777777" w:rsidR="007266CF" w:rsidRPr="002A677E" w:rsidRDefault="007266CF" w:rsidP="007266CF">
            <w:pPr>
              <w:rPr>
                <w:rFonts w:ascii="Times New Roman" w:hAnsi="Times New Roman"/>
                <w:sz w:val="24"/>
              </w:rPr>
            </w:pPr>
            <w:r>
              <w:rPr>
                <w:rFonts w:ascii="Times New Roman" w:hAnsi="Times New Roman"/>
                <w:sz w:val="24"/>
              </w:rPr>
              <w:t>Vykazují se úpravy ocenění a také specifické a obecné úpravy o úvěrové riziko podle článku 159 nařízení (EU) č. 575/2013. Obecné</w:t>
            </w:r>
            <w:r>
              <w:rPr>
                <w:rFonts w:ascii="Times New Roman" w:hAnsi="Times New Roman"/>
                <w:b/>
                <w:i/>
                <w:sz w:val="24"/>
              </w:rPr>
              <w:t xml:space="preserve"> </w:t>
            </w:r>
            <w:r>
              <w:rPr>
                <w:rFonts w:ascii="Times New Roman" w:hAnsi="Times New Roman"/>
                <w:sz w:val="24"/>
              </w:rPr>
              <w:t>úpravy o úvěrové riziko se vykazují přiřazením poměrné hodnoty na základě očekávané výše ztrát u různých stupňů dlužníka.</w:t>
            </w:r>
          </w:p>
        </w:tc>
      </w:tr>
      <w:tr w:rsidR="007266CF" w:rsidRPr="002A677E" w14:paraId="7FBE7EFD" w14:textId="77777777" w:rsidTr="007266CF">
        <w:tc>
          <w:tcPr>
            <w:tcW w:w="1188" w:type="dxa"/>
          </w:tcPr>
          <w:p w14:paraId="37279400" w14:textId="77777777" w:rsidR="007266CF" w:rsidRPr="002A677E" w:rsidRDefault="007266CF" w:rsidP="007266CF">
            <w:pPr>
              <w:ind w:right="-288"/>
              <w:rPr>
                <w:rFonts w:ascii="Times New Roman" w:hAnsi="Times New Roman"/>
                <w:sz w:val="24"/>
              </w:rPr>
            </w:pPr>
            <w:r>
              <w:rPr>
                <w:rFonts w:ascii="Times New Roman" w:hAnsi="Times New Roman"/>
                <w:sz w:val="24"/>
              </w:rPr>
              <w:t>0300</w:t>
            </w:r>
          </w:p>
        </w:tc>
        <w:tc>
          <w:tcPr>
            <w:tcW w:w="8843" w:type="dxa"/>
          </w:tcPr>
          <w:p w14:paraId="04659693" w14:textId="77777777" w:rsidR="007266CF" w:rsidRPr="002A677E" w:rsidRDefault="007266CF" w:rsidP="007266CF">
            <w:pPr>
              <w:ind w:right="-288"/>
              <w:rPr>
                <w:rFonts w:ascii="Times New Roman" w:hAnsi="Times New Roman"/>
                <w:b/>
                <w:sz w:val="24"/>
                <w:u w:val="single"/>
              </w:rPr>
            </w:pPr>
            <w:r>
              <w:rPr>
                <w:rFonts w:ascii="Times New Roman" w:hAnsi="Times New Roman"/>
                <w:b/>
                <w:sz w:val="24"/>
                <w:u w:val="single"/>
              </w:rPr>
              <w:t>POČET DLUŽNÍKŮ</w:t>
            </w:r>
          </w:p>
          <w:p w14:paraId="484E3F52" w14:textId="77777777" w:rsidR="007266CF" w:rsidRPr="002A677E" w:rsidRDefault="007266CF" w:rsidP="007266CF">
            <w:pPr>
              <w:rPr>
                <w:rFonts w:ascii="Times New Roman" w:hAnsi="Times New Roman"/>
                <w:sz w:val="24"/>
              </w:rPr>
            </w:pPr>
            <w:r>
              <w:rPr>
                <w:rFonts w:ascii="Times New Roman" w:hAnsi="Times New Roman"/>
                <w:sz w:val="24"/>
              </w:rPr>
              <w:t>Ustanovení čl. 172 odst. 1 a 2 nařízení (EU) č. 575/2013.</w:t>
            </w:r>
          </w:p>
          <w:p w14:paraId="7CE01649" w14:textId="77777777" w:rsidR="007266CF" w:rsidRPr="002A677E" w:rsidRDefault="007266CF" w:rsidP="007266CF">
            <w:pPr>
              <w:rPr>
                <w:rFonts w:ascii="Times New Roman" w:hAnsi="Times New Roman"/>
                <w:sz w:val="24"/>
              </w:rPr>
            </w:pPr>
            <w:r>
              <w:rPr>
                <w:rFonts w:ascii="Times New Roman" w:hAnsi="Times New Roman"/>
                <w:sz w:val="24"/>
              </w:rPr>
              <w:t xml:space="preserve">U všech kategorií expozic s výjimkou kategorie retailových expozic a případů uvedených v čl. 172 odst. 1 písm. e) druhé větě nařízení (EU) č. 575/2013 instituce vykazují počet právních subjektů / dlužníků, kteří byli vyhodnoceni samostatně, a to bez ohledu na počet různých poskytnutých úvěrů nebo expozic. </w:t>
            </w:r>
          </w:p>
          <w:p w14:paraId="3BC3E522" w14:textId="77777777" w:rsidR="007266CF" w:rsidRPr="002A677E" w:rsidRDefault="007266CF" w:rsidP="007266CF">
            <w:pPr>
              <w:rPr>
                <w:rFonts w:ascii="Times New Roman" w:hAnsi="Times New Roman"/>
                <w:sz w:val="24"/>
              </w:rPr>
            </w:pPr>
            <w:r>
              <w:rPr>
                <w:rFonts w:ascii="Times New Roman" w:hAnsi="Times New Roman"/>
                <w:sz w:val="24"/>
              </w:rPr>
              <w:t xml:space="preserve">V rámci kategorie retailových expozic nebo pokud samostatné expozice vůči stejnému dlužníkovi jsou v jiných kategoriích expozic přiřazeny k odlišným ratingovým stupňům dlužníka v souladu s čl. 172 odst. 1 písm. e) druhou větou nařízení (EU) č. 575/2013, instituce vykazují počet expozic, které byly samostatně přiřazeny k určitému ratingovému </w:t>
            </w:r>
            <w:r>
              <w:rPr>
                <w:rFonts w:ascii="Times New Roman" w:hAnsi="Times New Roman"/>
                <w:sz w:val="24"/>
              </w:rPr>
              <w:lastRenderedPageBreak/>
              <w:t>stupni nebo seskupení. Použije-li se ustanovení čl. 172 odst. 2 nařízení (EU) č. 575/2013, dlužník může být zařazen do více než jednoho stupně.</w:t>
            </w:r>
          </w:p>
          <w:p w14:paraId="653A1181" w14:textId="77777777" w:rsidR="007266CF" w:rsidRPr="002A677E" w:rsidRDefault="007266CF" w:rsidP="007266CF">
            <w:pPr>
              <w:rPr>
                <w:rFonts w:ascii="Times New Roman" w:hAnsi="Times New Roman"/>
                <w:sz w:val="24"/>
              </w:rPr>
            </w:pPr>
            <w:r>
              <w:rPr>
                <w:rStyle w:val="InstructionsTabelleText"/>
                <w:rFonts w:ascii="Times New Roman" w:hAnsi="Times New Roman"/>
                <w:sz w:val="24"/>
              </w:rPr>
              <w:t>Vzhledem k tomu, že se tento sloupec zaměřuje na prvek struktury ratingových stupnic, souvisí s původními expozicemi před vynásobením konverzním faktorem přiřazenými ke každému stupni nebo seskupení dlužníků, aniž by se braly v úvahu dopady technik snižování úvěrového rizika (zejména dopady přerozdělení).</w:t>
            </w:r>
          </w:p>
        </w:tc>
      </w:tr>
      <w:tr w:rsidR="007266CF" w:rsidRPr="002A677E" w14:paraId="52554156" w14:textId="77777777" w:rsidTr="007266CF">
        <w:tc>
          <w:tcPr>
            <w:tcW w:w="1188" w:type="dxa"/>
          </w:tcPr>
          <w:p w14:paraId="4A1ABD26" w14:textId="77777777" w:rsidR="007266CF" w:rsidRPr="002A677E" w:rsidRDefault="007266CF" w:rsidP="007266CF">
            <w:pPr>
              <w:ind w:right="-288"/>
              <w:rPr>
                <w:rFonts w:ascii="Times New Roman" w:hAnsi="Times New Roman"/>
                <w:sz w:val="24"/>
              </w:rPr>
            </w:pPr>
            <w:r>
              <w:rPr>
                <w:rFonts w:ascii="Times New Roman" w:hAnsi="Times New Roman"/>
                <w:sz w:val="24"/>
              </w:rPr>
              <w:lastRenderedPageBreak/>
              <w:t>0310</w:t>
            </w:r>
          </w:p>
        </w:tc>
        <w:tc>
          <w:tcPr>
            <w:tcW w:w="8843" w:type="dxa"/>
          </w:tcPr>
          <w:p w14:paraId="7ED743C7" w14:textId="77777777" w:rsidR="007266CF" w:rsidRPr="002A677E" w:rsidRDefault="007266CF" w:rsidP="007266CF">
            <w:pPr>
              <w:ind w:right="-288"/>
              <w:rPr>
                <w:rFonts w:ascii="Times New Roman" w:hAnsi="Times New Roman"/>
                <w:b/>
                <w:sz w:val="24"/>
                <w:u w:val="single"/>
              </w:rPr>
            </w:pPr>
            <w:r>
              <w:rPr>
                <w:rFonts w:ascii="Times New Roman" w:hAnsi="Times New Roman"/>
                <w:b/>
                <w:sz w:val="24"/>
                <w:u w:val="single"/>
              </w:rPr>
              <w:t>OBJEM RIZIKOVĚ VÁŽENÉ EXPOZICE PŘED POUŽITÍM ÚVĚROVÝCH DERIVÁTŮ</w:t>
            </w:r>
          </w:p>
          <w:p w14:paraId="2350157E" w14:textId="77777777" w:rsidR="007266CF" w:rsidRPr="002A677E" w:rsidRDefault="007266CF" w:rsidP="007266CF">
            <w:pPr>
              <w:ind w:right="6"/>
              <w:rPr>
                <w:rFonts w:ascii="Times New Roman" w:hAnsi="Times New Roman"/>
                <w:b/>
                <w:sz w:val="24"/>
                <w:u w:val="single"/>
              </w:rPr>
            </w:pPr>
            <w:r>
              <w:rPr>
                <w:rStyle w:val="InstructionsTabelleText"/>
                <w:rFonts w:ascii="Times New Roman" w:hAnsi="Times New Roman"/>
                <w:sz w:val="24"/>
              </w:rPr>
              <w:t xml:space="preserve">Instituce vykazují hypotetický objem rizikově vážených expozic vypočítaný jako RWEA bez uznání způsobilého úvěrového derivátu jako techniky snižování úvěrového rizika podle článku 204 </w:t>
            </w:r>
            <w:r>
              <w:rPr>
                <w:rFonts w:ascii="Times New Roman" w:hAnsi="Times New Roman"/>
                <w:sz w:val="24"/>
              </w:rPr>
              <w:t>nařízení (EU) č. 575/2013</w:t>
            </w:r>
            <w:r>
              <w:rPr>
                <w:rStyle w:val="InstructionsTabelleText"/>
                <w:rFonts w:ascii="Times New Roman" w:hAnsi="Times New Roman"/>
                <w:sz w:val="24"/>
              </w:rPr>
              <w:t>. Částky se uvádějí v kategoriích expozic relevantních pro expozice vůči původnímu dlužníkovi.</w:t>
            </w:r>
          </w:p>
        </w:tc>
      </w:tr>
    </w:tbl>
    <w:p w14:paraId="2BB873C8" w14:textId="77777777" w:rsidR="007266CF" w:rsidRPr="002A677E" w:rsidRDefault="007266CF" w:rsidP="007266CF">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7266CF" w:rsidRPr="002A677E" w14:paraId="5DB5DB8F" w14:textId="77777777" w:rsidTr="007266CF">
        <w:tc>
          <w:tcPr>
            <w:tcW w:w="1242" w:type="dxa"/>
            <w:shd w:val="clear" w:color="auto" w:fill="CCCCCC"/>
          </w:tcPr>
          <w:p w14:paraId="5E3E9CF1"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789" w:type="dxa"/>
            <w:shd w:val="clear" w:color="auto" w:fill="CCCCCC"/>
          </w:tcPr>
          <w:p w14:paraId="2317A8DD" w14:textId="77777777" w:rsidR="007266CF" w:rsidRPr="002A677E" w:rsidRDefault="007266CF" w:rsidP="007266CF">
            <w:pPr>
              <w:ind w:left="72"/>
              <w:rPr>
                <w:rFonts w:ascii="Times New Roman" w:hAnsi="Times New Roman"/>
                <w:sz w:val="24"/>
              </w:rPr>
            </w:pPr>
            <w:r>
              <w:rPr>
                <w:rFonts w:ascii="Times New Roman" w:hAnsi="Times New Roman"/>
                <w:sz w:val="24"/>
              </w:rPr>
              <w:t>Pokyny</w:t>
            </w:r>
          </w:p>
        </w:tc>
      </w:tr>
      <w:tr w:rsidR="007266CF" w:rsidRPr="002A677E" w14:paraId="2BBB5947" w14:textId="77777777" w:rsidTr="007266CF">
        <w:tc>
          <w:tcPr>
            <w:tcW w:w="1242" w:type="dxa"/>
          </w:tcPr>
          <w:p w14:paraId="24B4DC69"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789" w:type="dxa"/>
          </w:tcPr>
          <w:p w14:paraId="49786B5B" w14:textId="77777777" w:rsidR="007266CF" w:rsidRPr="002A677E" w:rsidRDefault="007266CF" w:rsidP="007266CF">
            <w:pPr>
              <w:rPr>
                <w:rFonts w:ascii="Times New Roman" w:hAnsi="Times New Roman"/>
                <w:sz w:val="24"/>
              </w:rPr>
            </w:pPr>
            <w:r>
              <w:rPr>
                <w:rFonts w:ascii="Times New Roman" w:hAnsi="Times New Roman"/>
                <w:b/>
                <w:sz w:val="24"/>
                <w:u w:val="single"/>
              </w:rPr>
              <w:t>CELKOVÉ EXPOZICE</w:t>
            </w:r>
          </w:p>
        </w:tc>
      </w:tr>
      <w:tr w:rsidR="007266CF" w:rsidRPr="002A677E" w14:paraId="4E066DA1" w14:textId="77777777" w:rsidTr="007266CF">
        <w:tc>
          <w:tcPr>
            <w:tcW w:w="1242" w:type="dxa"/>
          </w:tcPr>
          <w:p w14:paraId="4D5CBCC1" w14:textId="77777777" w:rsidR="007266CF" w:rsidRPr="002A677E" w:rsidRDefault="007266CF" w:rsidP="007266CF">
            <w:pPr>
              <w:rPr>
                <w:rFonts w:ascii="Times New Roman" w:hAnsi="Times New Roman"/>
                <w:sz w:val="24"/>
              </w:rPr>
            </w:pPr>
            <w:r>
              <w:rPr>
                <w:rFonts w:ascii="Times New Roman" w:hAnsi="Times New Roman"/>
                <w:sz w:val="24"/>
              </w:rPr>
              <w:t>0015</w:t>
            </w:r>
          </w:p>
        </w:tc>
        <w:tc>
          <w:tcPr>
            <w:tcW w:w="8789" w:type="dxa"/>
          </w:tcPr>
          <w:p w14:paraId="79C2084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expozice, na něž se použije podpůrný koeficient pro malé a střední podniky</w:t>
            </w:r>
          </w:p>
          <w:p w14:paraId="23C4BFFF" w14:textId="77777777" w:rsidR="007266CF" w:rsidRPr="002A677E" w:rsidRDefault="007266CF" w:rsidP="007266CF">
            <w:pPr>
              <w:rPr>
                <w:rFonts w:ascii="Times New Roman" w:hAnsi="Times New Roman"/>
                <w:sz w:val="24"/>
              </w:rPr>
            </w:pPr>
            <w:r>
              <w:rPr>
                <w:rFonts w:ascii="Times New Roman" w:hAnsi="Times New Roman"/>
                <w:sz w:val="24"/>
              </w:rPr>
              <w:t>Vykazují se zde pouze expozice splňující požadavky článku 501 nařízení (EU) č. 575/2013.</w:t>
            </w:r>
          </w:p>
        </w:tc>
      </w:tr>
      <w:tr w:rsidR="007266CF" w:rsidRPr="006223CC" w14:paraId="034D0C86" w14:textId="77777777" w:rsidTr="007266CF">
        <w:tc>
          <w:tcPr>
            <w:tcW w:w="1242" w:type="dxa"/>
          </w:tcPr>
          <w:p w14:paraId="67A8AB14" w14:textId="77777777" w:rsidR="007266CF" w:rsidRPr="002A677E" w:rsidRDefault="007266CF" w:rsidP="007266CF">
            <w:pPr>
              <w:rPr>
                <w:rFonts w:ascii="Times New Roman" w:hAnsi="Times New Roman"/>
                <w:sz w:val="24"/>
              </w:rPr>
            </w:pPr>
            <w:r>
              <w:rPr>
                <w:rFonts w:ascii="Times New Roman" w:hAnsi="Times New Roman"/>
                <w:sz w:val="24"/>
              </w:rPr>
              <w:t>0016</w:t>
            </w:r>
          </w:p>
        </w:tc>
        <w:tc>
          <w:tcPr>
            <w:tcW w:w="8789" w:type="dxa"/>
          </w:tcPr>
          <w:p w14:paraId="4CB80631" w14:textId="77777777" w:rsidR="007266CF" w:rsidRPr="006223CC" w:rsidRDefault="007266CF" w:rsidP="007266CF">
            <w:pPr>
              <w:rPr>
                <w:rFonts w:ascii="Times New Roman" w:hAnsi="Times New Roman"/>
                <w:b/>
                <w:sz w:val="24"/>
                <w:u w:val="single"/>
                <w:lang w:val="fr-FR"/>
              </w:rPr>
            </w:pPr>
            <w:r w:rsidRPr="006223CC">
              <w:rPr>
                <w:rFonts w:ascii="Times New Roman" w:hAnsi="Times New Roman"/>
                <w:b/>
                <w:sz w:val="24"/>
                <w:u w:val="single"/>
                <w:lang w:val="fr-FR"/>
              </w:rPr>
              <w:t>Z toho: expozice, na něž se použije podpůrný koeficient pro infrastrukturu</w:t>
            </w:r>
          </w:p>
          <w:p w14:paraId="4AD25D2B" w14:textId="77777777" w:rsidR="007266CF" w:rsidRPr="006223CC" w:rsidRDefault="007266CF" w:rsidP="007266CF">
            <w:pPr>
              <w:rPr>
                <w:rFonts w:ascii="Times New Roman" w:hAnsi="Times New Roman"/>
                <w:b/>
                <w:sz w:val="24"/>
                <w:u w:val="single"/>
                <w:lang w:val="fr-FR"/>
              </w:rPr>
            </w:pPr>
            <w:r w:rsidRPr="006223CC">
              <w:rPr>
                <w:rFonts w:ascii="Times New Roman" w:hAnsi="Times New Roman"/>
                <w:sz w:val="24"/>
                <w:lang w:val="fr-FR"/>
              </w:rPr>
              <w:t>Vykazují se zde pouze expozice splňující požadavky článku 501a nařízení (EU) č. 575/2013.</w:t>
            </w:r>
          </w:p>
        </w:tc>
      </w:tr>
      <w:tr w:rsidR="007266CF" w:rsidRPr="002A677E" w14:paraId="2653B36B" w14:textId="77777777" w:rsidTr="007266CF">
        <w:tc>
          <w:tcPr>
            <w:tcW w:w="1242" w:type="dxa"/>
          </w:tcPr>
          <w:p w14:paraId="3DE6123F" w14:textId="77777777" w:rsidR="007266CF" w:rsidRPr="002A677E" w:rsidRDefault="007266CF" w:rsidP="007266CF">
            <w:pPr>
              <w:rPr>
                <w:rFonts w:ascii="Times New Roman" w:hAnsi="Times New Roman"/>
                <w:sz w:val="24"/>
              </w:rPr>
            </w:pPr>
            <w:r>
              <w:rPr>
                <w:rFonts w:ascii="Times New Roman" w:hAnsi="Times New Roman"/>
                <w:sz w:val="24"/>
              </w:rPr>
              <w:t>0020–0060</w:t>
            </w:r>
          </w:p>
        </w:tc>
        <w:tc>
          <w:tcPr>
            <w:tcW w:w="8789" w:type="dxa"/>
          </w:tcPr>
          <w:p w14:paraId="3E56E31D" w14:textId="77777777" w:rsidR="007266CF" w:rsidRPr="002A677E" w:rsidRDefault="007266CF" w:rsidP="007266CF">
            <w:pPr>
              <w:rPr>
                <w:rFonts w:ascii="Times New Roman" w:hAnsi="Times New Roman"/>
                <w:sz w:val="24"/>
              </w:rPr>
            </w:pPr>
            <w:r>
              <w:rPr>
                <w:rFonts w:ascii="Times New Roman" w:hAnsi="Times New Roman"/>
                <w:sz w:val="24"/>
              </w:rPr>
              <w:t>ROZČLENĚNÍ CELKOVÝCH EXPOZIC PODLE DRUHŮ EXPOZIC:</w:t>
            </w:r>
          </w:p>
        </w:tc>
      </w:tr>
      <w:tr w:rsidR="007266CF" w:rsidRPr="002A677E" w14:paraId="30E70D59" w14:textId="77777777" w:rsidTr="007266CF">
        <w:tc>
          <w:tcPr>
            <w:tcW w:w="1242" w:type="dxa"/>
          </w:tcPr>
          <w:p w14:paraId="7416C837"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789" w:type="dxa"/>
          </w:tcPr>
          <w:p w14:paraId="290BD69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Rozvahové položky podléhající úvěrovému riziku </w:t>
            </w:r>
          </w:p>
          <w:p w14:paraId="463485B9"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Aktiva uvedená v článku 24 </w:t>
            </w:r>
            <w:r>
              <w:rPr>
                <w:rFonts w:ascii="Times New Roman" w:hAnsi="Times New Roman"/>
                <w:sz w:val="24"/>
              </w:rPr>
              <w:t>nařízení (EU) č. 575/2013</w:t>
            </w:r>
            <w:r>
              <w:rPr>
                <w:rStyle w:val="InstructionsTabelleText"/>
                <w:rFonts w:ascii="Times New Roman" w:hAnsi="Times New Roman"/>
                <w:sz w:val="24"/>
              </w:rPr>
              <w:t xml:space="preserve"> se nezahrnují do žádné jiné kategorie.</w:t>
            </w:r>
          </w:p>
          <w:p w14:paraId="67FAD163"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Expozice, které jsou vystaveny úvěrovému riziku protistrany, se vykazují v řádcích 0040–0060, a proto se nevykazují v tomto řádku.</w:t>
            </w:r>
          </w:p>
          <w:p w14:paraId="1C3FB23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Volné dodávky podle čl. 379 odst. 1 </w:t>
            </w:r>
            <w:r>
              <w:rPr>
                <w:rFonts w:ascii="Times New Roman" w:hAnsi="Times New Roman"/>
                <w:sz w:val="24"/>
              </w:rPr>
              <w:t>nařízení (EU) č. 575/2013</w:t>
            </w:r>
            <w:r>
              <w:rPr>
                <w:rStyle w:val="InstructionsTabelleText"/>
                <w:rFonts w:ascii="Times New Roman" w:hAnsi="Times New Roman"/>
                <w:sz w:val="24"/>
              </w:rPr>
              <w:t xml:space="preserve"> (nejsou-li odečteny) nejsou rozvahovou položkou, avšak vykazují se v tomto řádku.</w:t>
            </w:r>
          </w:p>
          <w:p w14:paraId="52A57785" w14:textId="77777777" w:rsidR="007266CF" w:rsidRPr="002A677E" w:rsidRDefault="007266CF" w:rsidP="007266CF">
            <w:pPr>
              <w:rPr>
                <w:rFonts w:ascii="Times New Roman" w:hAnsi="Times New Roman"/>
                <w:sz w:val="24"/>
              </w:rPr>
            </w:pPr>
          </w:p>
        </w:tc>
      </w:tr>
      <w:tr w:rsidR="007266CF" w:rsidRPr="002A677E" w14:paraId="0D7E781E" w14:textId="77777777" w:rsidTr="007266CF">
        <w:tc>
          <w:tcPr>
            <w:tcW w:w="1242" w:type="dxa"/>
          </w:tcPr>
          <w:p w14:paraId="2AF7D59E"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789" w:type="dxa"/>
          </w:tcPr>
          <w:p w14:paraId="00CAD06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Podrozvahové položky podléhající úvěrovému riziku</w:t>
            </w:r>
          </w:p>
          <w:p w14:paraId="7FAA26F4"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Podrozvahové položky zahrnují položky v souladu s čl. 166 odst. 8 </w:t>
            </w:r>
            <w:r>
              <w:rPr>
                <w:rFonts w:ascii="Times New Roman" w:hAnsi="Times New Roman"/>
                <w:sz w:val="24"/>
              </w:rPr>
              <w:t>nařízení (EU) č. 575/2013</w:t>
            </w:r>
            <w:r>
              <w:rPr>
                <w:rStyle w:val="InstructionsTabelleText"/>
                <w:rFonts w:ascii="Times New Roman" w:hAnsi="Times New Roman"/>
                <w:sz w:val="24"/>
              </w:rPr>
              <w:t xml:space="preserve">, jakož i položky uvedené v příloze I </w:t>
            </w:r>
            <w:r>
              <w:rPr>
                <w:rFonts w:ascii="Times New Roman" w:hAnsi="Times New Roman"/>
                <w:sz w:val="24"/>
              </w:rPr>
              <w:t>zmíněného nařízení</w:t>
            </w:r>
            <w:r>
              <w:rPr>
                <w:rStyle w:val="InstructionsTabelleText"/>
                <w:rFonts w:ascii="Times New Roman" w:hAnsi="Times New Roman"/>
                <w:sz w:val="24"/>
              </w:rPr>
              <w:t>.</w:t>
            </w:r>
          </w:p>
          <w:p w14:paraId="3DA5648A"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Expozice, které jsou vystaveny úvěrovému riziku protistrany, se vykazují v řádcích 0040–0060, a proto se nevykazují v tomto řádku.</w:t>
            </w:r>
          </w:p>
          <w:p w14:paraId="0D0ED7EE" w14:textId="77777777" w:rsidR="007266CF" w:rsidRPr="002A677E" w:rsidRDefault="007266CF" w:rsidP="007266CF">
            <w:pPr>
              <w:rPr>
                <w:rFonts w:ascii="Times New Roman" w:hAnsi="Times New Roman"/>
                <w:sz w:val="24"/>
              </w:rPr>
            </w:pPr>
          </w:p>
        </w:tc>
      </w:tr>
      <w:tr w:rsidR="007266CF" w:rsidRPr="002A677E" w14:paraId="545459A6" w14:textId="77777777" w:rsidTr="007266CF">
        <w:tc>
          <w:tcPr>
            <w:tcW w:w="1242" w:type="dxa"/>
          </w:tcPr>
          <w:p w14:paraId="47D2C248" w14:textId="77777777" w:rsidR="007266CF" w:rsidRPr="002A677E" w:rsidRDefault="007266CF" w:rsidP="007266CF">
            <w:pPr>
              <w:rPr>
                <w:rFonts w:ascii="Times New Roman" w:hAnsi="Times New Roman"/>
                <w:sz w:val="24"/>
              </w:rPr>
            </w:pPr>
            <w:r>
              <w:rPr>
                <w:rStyle w:val="InstructionsTabelleText"/>
                <w:rFonts w:ascii="Times New Roman" w:hAnsi="Times New Roman"/>
                <w:sz w:val="24"/>
              </w:rPr>
              <w:lastRenderedPageBreak/>
              <w:t>0040–0060</w:t>
            </w:r>
          </w:p>
        </w:tc>
        <w:tc>
          <w:tcPr>
            <w:tcW w:w="8789" w:type="dxa"/>
          </w:tcPr>
          <w:p w14:paraId="7B74248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Expozice/transakce podléhající úvěrovému riziku protistrany</w:t>
            </w:r>
          </w:p>
          <w:p w14:paraId="31A9A60F" w14:textId="77777777" w:rsidR="007266CF" w:rsidRPr="002A677E" w:rsidRDefault="007266CF" w:rsidP="007266CF">
            <w:pPr>
              <w:rPr>
                <w:rFonts w:ascii="Times New Roman" w:hAnsi="Times New Roman"/>
                <w:b/>
                <w:sz w:val="24"/>
                <w:u w:val="single"/>
              </w:rPr>
            </w:pPr>
            <w:r>
              <w:rPr>
                <w:rFonts w:ascii="Times New Roman" w:hAnsi="Times New Roman"/>
                <w:sz w:val="24"/>
              </w:rPr>
              <w:t>Viz odpovídající pokyny k šabloně CR SA ve sloupcích 0090–0130.</w:t>
            </w:r>
          </w:p>
        </w:tc>
      </w:tr>
      <w:tr w:rsidR="007266CF" w:rsidRPr="002A677E" w14:paraId="70F81B47" w14:textId="77777777" w:rsidTr="007266CF">
        <w:tc>
          <w:tcPr>
            <w:tcW w:w="1242" w:type="dxa"/>
          </w:tcPr>
          <w:p w14:paraId="43002B18"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789" w:type="dxa"/>
          </w:tcPr>
          <w:p w14:paraId="7881FFD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Skupiny transakcí se započtením transakcí s financováním cenných papírů</w:t>
            </w:r>
          </w:p>
          <w:p w14:paraId="2E420B25" w14:textId="77777777" w:rsidR="007266CF" w:rsidRPr="002A677E" w:rsidRDefault="007266CF" w:rsidP="007266CF">
            <w:pPr>
              <w:rPr>
                <w:rFonts w:ascii="Times New Roman" w:hAnsi="Times New Roman"/>
                <w:sz w:val="24"/>
              </w:rPr>
            </w:pPr>
            <w:r>
              <w:rPr>
                <w:rFonts w:ascii="Times New Roman" w:hAnsi="Times New Roman"/>
                <w:sz w:val="24"/>
              </w:rPr>
              <w:t>Viz odpovídající pokyny k šabloně CR SA ve sloupci 0090.</w:t>
            </w:r>
          </w:p>
          <w:p w14:paraId="36B24B1B" w14:textId="77777777" w:rsidR="007266CF" w:rsidRPr="002A677E" w:rsidRDefault="007266CF" w:rsidP="007266CF">
            <w:pPr>
              <w:rPr>
                <w:rFonts w:ascii="Times New Roman" w:hAnsi="Times New Roman"/>
                <w:sz w:val="24"/>
              </w:rPr>
            </w:pPr>
          </w:p>
        </w:tc>
      </w:tr>
      <w:tr w:rsidR="007266CF" w:rsidRPr="002A677E" w14:paraId="547AB958" w14:textId="77777777" w:rsidTr="007266CF">
        <w:tc>
          <w:tcPr>
            <w:tcW w:w="1242" w:type="dxa"/>
          </w:tcPr>
          <w:p w14:paraId="793B7624"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789" w:type="dxa"/>
          </w:tcPr>
          <w:p w14:paraId="79302CF3" w14:textId="77777777" w:rsidR="007266CF" w:rsidRPr="002A677E" w:rsidRDefault="007266CF" w:rsidP="007266CF">
            <w:pPr>
              <w:rPr>
                <w:rFonts w:ascii="Times New Roman" w:hAnsi="Times New Roman"/>
                <w:b/>
                <w:sz w:val="24"/>
                <w:u w:val="single"/>
              </w:rPr>
            </w:pPr>
            <w:r>
              <w:rPr>
                <w:rStyle w:val="InstructionsTabelleberschrift"/>
                <w:rFonts w:ascii="Times New Roman" w:hAnsi="Times New Roman"/>
                <w:sz w:val="24"/>
              </w:rPr>
              <w:t>Skupiny transakcí se započtením zahrnující deriváty a transakce s delší dobou vypořádání</w:t>
            </w:r>
          </w:p>
          <w:p w14:paraId="48395971" w14:textId="77777777" w:rsidR="007266CF" w:rsidRPr="002A677E" w:rsidRDefault="007266CF" w:rsidP="007266CF">
            <w:pPr>
              <w:rPr>
                <w:rFonts w:ascii="Times New Roman" w:hAnsi="Times New Roman"/>
                <w:sz w:val="24"/>
              </w:rPr>
            </w:pPr>
            <w:r>
              <w:rPr>
                <w:rFonts w:ascii="Times New Roman" w:hAnsi="Times New Roman"/>
                <w:sz w:val="24"/>
              </w:rPr>
              <w:t>Viz odpovídající pokyny k šabloně CR SA ve sloupci 0110.</w:t>
            </w:r>
          </w:p>
          <w:p w14:paraId="5B2924EF" w14:textId="77777777" w:rsidR="007266CF" w:rsidRPr="002A677E" w:rsidRDefault="007266CF" w:rsidP="007266CF">
            <w:pPr>
              <w:ind w:left="72"/>
              <w:rPr>
                <w:rFonts w:ascii="Times New Roman" w:hAnsi="Times New Roman"/>
                <w:sz w:val="24"/>
              </w:rPr>
            </w:pPr>
          </w:p>
        </w:tc>
      </w:tr>
      <w:tr w:rsidR="007266CF" w:rsidRPr="002A677E" w14:paraId="3EE4B94B" w14:textId="77777777" w:rsidTr="007266CF">
        <w:tc>
          <w:tcPr>
            <w:tcW w:w="1242" w:type="dxa"/>
          </w:tcPr>
          <w:p w14:paraId="03253A9E"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789" w:type="dxa"/>
          </w:tcPr>
          <w:p w14:paraId="4646641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křížového započtení na základě smlouvy</w:t>
            </w:r>
          </w:p>
          <w:p w14:paraId="157B8688" w14:textId="77777777" w:rsidR="007266CF" w:rsidRPr="002A677E" w:rsidRDefault="007266CF" w:rsidP="007266CF">
            <w:pPr>
              <w:rPr>
                <w:rFonts w:ascii="Times New Roman" w:hAnsi="Times New Roman"/>
                <w:sz w:val="24"/>
              </w:rPr>
            </w:pPr>
            <w:r>
              <w:rPr>
                <w:rFonts w:ascii="Times New Roman" w:hAnsi="Times New Roman"/>
                <w:sz w:val="24"/>
              </w:rPr>
              <w:t>Viz odpovídající pokyny k šabloně CR SA ve sloupci 0130.</w:t>
            </w:r>
          </w:p>
        </w:tc>
      </w:tr>
      <w:tr w:rsidR="007266CF" w:rsidRPr="002A677E" w14:paraId="70771E6F" w14:textId="77777777" w:rsidTr="007266CF">
        <w:tc>
          <w:tcPr>
            <w:tcW w:w="1242" w:type="dxa"/>
          </w:tcPr>
          <w:p w14:paraId="67A53A53"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789" w:type="dxa"/>
          </w:tcPr>
          <w:p w14:paraId="48BB785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EXPOZICE ZAŘAZENÉ DO STUPŇŮ NEBO SESKUPENÍ DLUŽNÍKŮ: CELKEM</w:t>
            </w:r>
          </w:p>
          <w:p w14:paraId="5B03800F" w14:textId="77777777" w:rsidR="007266CF" w:rsidRPr="002A677E" w:rsidRDefault="007266CF" w:rsidP="007266CF">
            <w:pPr>
              <w:rPr>
                <w:rFonts w:ascii="Times New Roman" w:hAnsi="Times New Roman"/>
                <w:sz w:val="24"/>
              </w:rPr>
            </w:pPr>
            <w:r>
              <w:rPr>
                <w:rFonts w:ascii="Times New Roman" w:hAnsi="Times New Roman"/>
                <w:sz w:val="24"/>
              </w:rPr>
              <w:t xml:space="preserve">Pro expozice vůči podnikům, institucím a ústředním vládám a centrálním bankám viz čl. 142 odst. 1 bod 6 a čl. 170 odst. 1 písm. c) nařízení (EU) č. 575/2013. </w:t>
            </w:r>
          </w:p>
          <w:p w14:paraId="3054A7FA" w14:textId="77777777" w:rsidR="007266CF" w:rsidRPr="002A677E" w:rsidRDefault="007266CF" w:rsidP="007266CF">
            <w:pPr>
              <w:rPr>
                <w:rFonts w:ascii="Times New Roman" w:hAnsi="Times New Roman"/>
                <w:sz w:val="24"/>
              </w:rPr>
            </w:pPr>
            <w:r>
              <w:rPr>
                <w:rFonts w:ascii="Times New Roman" w:hAnsi="Times New Roman"/>
                <w:sz w:val="24"/>
              </w:rPr>
              <w:t xml:space="preserve">Pro retailové expozice viz čl. 170 odst. 3 písm. b) nařízení (EU) č. 575/2013. Pro expozice vznikající z pohledávek nabytých za úplatu viz čl. 166 odst. 6 nařízení (EU) č. 575/2013. </w:t>
            </w:r>
          </w:p>
          <w:p w14:paraId="3ABCE435" w14:textId="77777777" w:rsidR="007266CF" w:rsidRPr="002A677E" w:rsidRDefault="007266CF" w:rsidP="007266CF">
            <w:pPr>
              <w:rPr>
                <w:rFonts w:ascii="Times New Roman" w:hAnsi="Times New Roman"/>
                <w:sz w:val="24"/>
              </w:rPr>
            </w:pPr>
            <w:r>
              <w:rPr>
                <w:rFonts w:ascii="Times New Roman" w:hAnsi="Times New Roman"/>
                <w:sz w:val="24"/>
              </w:rPr>
              <w:t>Expozice pro riziko rozmělnění u pohledávek nabytých za úplatu se nevykazují podle stupňů nebo seskupení dlužníků a vykazují se v řádku 0180.</w:t>
            </w:r>
          </w:p>
          <w:p w14:paraId="7B8B9C8B" w14:textId="77777777" w:rsidR="007266CF" w:rsidRPr="002A677E" w:rsidRDefault="007266CF" w:rsidP="007266CF">
            <w:pPr>
              <w:rPr>
                <w:rFonts w:ascii="Times New Roman" w:hAnsi="Times New Roman"/>
                <w:sz w:val="24"/>
              </w:rPr>
            </w:pPr>
            <w:r>
              <w:rPr>
                <w:rFonts w:ascii="Times New Roman" w:hAnsi="Times New Roman"/>
                <w:sz w:val="24"/>
              </w:rPr>
              <w:t xml:space="preserve">Jestliže instituce používá mnoho stupňů nebo seskupení, příslušné orgány mohou povolit vykazování menšího počtu stupňů nebo seskupení. </w:t>
            </w:r>
          </w:p>
          <w:p w14:paraId="360171CA" w14:textId="77777777" w:rsidR="007266CF" w:rsidRPr="002A677E" w:rsidRDefault="007266CF" w:rsidP="007266CF">
            <w:pPr>
              <w:rPr>
                <w:rFonts w:ascii="Times New Roman" w:hAnsi="Times New Roman"/>
                <w:sz w:val="24"/>
              </w:rPr>
            </w:pPr>
            <w:r>
              <w:rPr>
                <w:rFonts w:ascii="Times New Roman" w:hAnsi="Times New Roman"/>
                <w:sz w:val="24"/>
              </w:rPr>
              <w:t xml:space="preserve">Nepoužívá se dohledová rámcová stupnice. Instituce namísto toho samy stanoví stupnici, kterou použijí. </w:t>
            </w:r>
          </w:p>
        </w:tc>
      </w:tr>
      <w:tr w:rsidR="007266CF" w:rsidRPr="002A677E" w14:paraId="78FC6044" w14:textId="77777777" w:rsidTr="007266CF">
        <w:tc>
          <w:tcPr>
            <w:tcW w:w="1242" w:type="dxa"/>
          </w:tcPr>
          <w:p w14:paraId="24D7702D"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789" w:type="dxa"/>
          </w:tcPr>
          <w:p w14:paraId="77F73EE4" w14:textId="77777777" w:rsidR="007266CF" w:rsidRPr="002A677E" w:rsidRDefault="007266CF" w:rsidP="007266CF">
            <w:pPr>
              <w:rPr>
                <w:rFonts w:ascii="Times New Roman" w:hAnsi="Times New Roman"/>
                <w:sz w:val="24"/>
              </w:rPr>
            </w:pPr>
            <w:r>
              <w:rPr>
                <w:rFonts w:ascii="Times New Roman" w:hAnsi="Times New Roman"/>
                <w:b/>
                <w:sz w:val="24"/>
                <w:u w:val="single"/>
              </w:rPr>
              <w:t>ROZŘAZOVACÍ POSTUP SPECIALIZOVANÉHO ÚVĚROVÁNÍ: CELKEM</w:t>
            </w:r>
          </w:p>
          <w:p w14:paraId="6334BB25" w14:textId="77777777" w:rsidR="007266CF" w:rsidRPr="002A677E" w:rsidRDefault="007266CF" w:rsidP="007266CF">
            <w:pPr>
              <w:rPr>
                <w:rFonts w:ascii="Times New Roman" w:hAnsi="Times New Roman"/>
                <w:sz w:val="24"/>
              </w:rPr>
            </w:pPr>
            <w:r>
              <w:rPr>
                <w:rFonts w:ascii="Times New Roman" w:hAnsi="Times New Roman"/>
                <w:sz w:val="24"/>
              </w:rPr>
              <w:t xml:space="preserve">Ustanovení čl. 153 odst. 5 nařízení (EU) č. 575/2013. Vztahuje se pouze na kategorii expozic vůči podnikům – specializované úvěrování.  </w:t>
            </w:r>
          </w:p>
        </w:tc>
      </w:tr>
      <w:tr w:rsidR="007266CF" w:rsidRPr="002A677E" w14:paraId="044D4D1A" w14:textId="77777777" w:rsidTr="007266CF">
        <w:tc>
          <w:tcPr>
            <w:tcW w:w="1242" w:type="dxa"/>
          </w:tcPr>
          <w:p w14:paraId="05060B24" w14:textId="77777777" w:rsidR="007266CF" w:rsidRPr="002A677E" w:rsidRDefault="007266CF" w:rsidP="007266CF">
            <w:pPr>
              <w:rPr>
                <w:rFonts w:ascii="Times New Roman" w:hAnsi="Times New Roman"/>
                <w:sz w:val="24"/>
              </w:rPr>
            </w:pPr>
            <w:r>
              <w:rPr>
                <w:rFonts w:ascii="Times New Roman" w:hAnsi="Times New Roman"/>
                <w:sz w:val="24"/>
              </w:rPr>
              <w:t>0160</w:t>
            </w:r>
          </w:p>
        </w:tc>
        <w:tc>
          <w:tcPr>
            <w:tcW w:w="8789" w:type="dxa"/>
          </w:tcPr>
          <w:p w14:paraId="53E6100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ALTERNATIVNÍ ZACHÁZENÍ: EXPOZICE ZAJIŠTĚNÉ NEMOVITOSTMI</w:t>
            </w:r>
          </w:p>
          <w:p w14:paraId="3C030131" w14:textId="77777777" w:rsidR="007266CF" w:rsidRPr="002A677E" w:rsidRDefault="007266CF" w:rsidP="007266CF">
            <w:pPr>
              <w:rPr>
                <w:rFonts w:ascii="Times New Roman" w:hAnsi="Times New Roman"/>
                <w:sz w:val="24"/>
              </w:rPr>
            </w:pPr>
            <w:r>
              <w:rPr>
                <w:rFonts w:ascii="Times New Roman" w:hAnsi="Times New Roman"/>
                <w:sz w:val="24"/>
              </w:rPr>
              <w:t>Ustanovení čl. 193 odst. 1 a 2, čl. 194 odst. 1 až 7 a čl. 230 odst. 3 nařízení (EU) č. 575/2013)</w:t>
            </w:r>
          </w:p>
          <w:p w14:paraId="5A51844C" w14:textId="77777777" w:rsidR="007266CF" w:rsidRPr="002A677E" w:rsidRDefault="007266CF" w:rsidP="007266CF">
            <w:pPr>
              <w:rPr>
                <w:rFonts w:ascii="Times New Roman" w:hAnsi="Times New Roman"/>
                <w:sz w:val="24"/>
              </w:rPr>
            </w:pPr>
            <w:r>
              <w:rPr>
                <w:rFonts w:ascii="Times New Roman" w:hAnsi="Times New Roman"/>
                <w:sz w:val="24"/>
              </w:rPr>
              <w:t>Tato alternativa je dostupná pouze pro instituce, které používají základní přístup IRB.</w:t>
            </w:r>
          </w:p>
        </w:tc>
      </w:tr>
      <w:tr w:rsidR="007266CF" w:rsidRPr="002A677E" w14:paraId="6FF561BE" w14:textId="77777777" w:rsidTr="007266CF">
        <w:tc>
          <w:tcPr>
            <w:tcW w:w="1242" w:type="dxa"/>
          </w:tcPr>
          <w:p w14:paraId="24938ABB" w14:textId="77777777" w:rsidR="007266CF" w:rsidRPr="002A677E" w:rsidRDefault="007266CF" w:rsidP="007266CF">
            <w:pPr>
              <w:rPr>
                <w:rFonts w:ascii="Times New Roman" w:hAnsi="Times New Roman"/>
                <w:sz w:val="24"/>
              </w:rPr>
            </w:pPr>
            <w:r>
              <w:rPr>
                <w:rFonts w:ascii="Times New Roman" w:hAnsi="Times New Roman"/>
                <w:sz w:val="24"/>
              </w:rPr>
              <w:t>0170</w:t>
            </w:r>
          </w:p>
        </w:tc>
        <w:tc>
          <w:tcPr>
            <w:tcW w:w="8789" w:type="dxa"/>
          </w:tcPr>
          <w:p w14:paraId="4B3DE8D2"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EXPOZICE Z VOLNÝCH DODÁVEK PŘI APLIKACI RIZIKOVÝCH VAH PODLE ALTERNATIVNÍHO ZACHÁZENÍ NEBO 100</w:t>
            </w:r>
            <w:r>
              <w:t> </w:t>
            </w:r>
            <w:r>
              <w:rPr>
                <w:rStyle w:val="InstructionsTabelleberschrift"/>
                <w:rFonts w:ascii="Times New Roman" w:hAnsi="Times New Roman"/>
                <w:sz w:val="24"/>
              </w:rPr>
              <w:t>% A JINÉ EXPOZICE PODLÉHAJÍCÍ RIZIKOVÉMU VÁŽENÍ</w:t>
            </w:r>
          </w:p>
          <w:p w14:paraId="2119A5AB" w14:textId="77777777" w:rsidR="007266CF" w:rsidRPr="002A677E" w:rsidRDefault="007266CF" w:rsidP="007266CF">
            <w:pPr>
              <w:rPr>
                <w:rFonts w:ascii="Times New Roman" w:hAnsi="Times New Roman"/>
                <w:sz w:val="24"/>
              </w:rPr>
            </w:pPr>
            <w:r>
              <w:rPr>
                <w:rFonts w:ascii="Times New Roman" w:hAnsi="Times New Roman"/>
                <w:sz w:val="24"/>
              </w:rPr>
              <w:t xml:space="preserve">Expozice vyplývající z volných dodávek, na něž se použije alternativní zacházení podle čl. 379 odst. 2 prvního pododstavce poslední věty nařízení (EU) č. 575/2013 nebo na něž se použije 100% riziková váha podle čl. 379 odst. 2 posledního pododstavce nařízení (EU) č. 575/2013. V tomto řádku se vykazují úvěrové deriváty n-tého selhání bez ratingu podle </w:t>
            </w:r>
            <w:r>
              <w:rPr>
                <w:rFonts w:ascii="Times New Roman" w:hAnsi="Times New Roman"/>
                <w:sz w:val="24"/>
              </w:rPr>
              <w:lastRenderedPageBreak/>
              <w:t>čl. 153 odst. 8 nařízení (EU) č. 575/2013 a jakékoli jiné expozice podléhající rizikovým vahám nezohledněné v jiných řádcích.</w:t>
            </w:r>
          </w:p>
        </w:tc>
      </w:tr>
      <w:tr w:rsidR="007266CF" w:rsidRPr="002A677E" w14:paraId="217ACD76" w14:textId="77777777" w:rsidTr="007266CF">
        <w:tc>
          <w:tcPr>
            <w:tcW w:w="1242" w:type="dxa"/>
          </w:tcPr>
          <w:p w14:paraId="33B3A0F2" w14:textId="77777777" w:rsidR="007266CF" w:rsidRPr="002A677E" w:rsidRDefault="007266CF" w:rsidP="007266CF">
            <w:pPr>
              <w:rPr>
                <w:rFonts w:ascii="Times New Roman" w:hAnsi="Times New Roman"/>
                <w:sz w:val="24"/>
              </w:rPr>
            </w:pPr>
            <w:r>
              <w:rPr>
                <w:rFonts w:ascii="Times New Roman" w:hAnsi="Times New Roman"/>
                <w:sz w:val="24"/>
              </w:rPr>
              <w:lastRenderedPageBreak/>
              <w:t>0180</w:t>
            </w:r>
          </w:p>
        </w:tc>
        <w:tc>
          <w:tcPr>
            <w:tcW w:w="8789" w:type="dxa"/>
          </w:tcPr>
          <w:p w14:paraId="0D32458D"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RIZIKO ROZMĚLNĚNÍ: CELKOVÉ POHLEDÁVKY NABYTÉ ZA ÚPLATU</w:t>
            </w:r>
          </w:p>
          <w:p w14:paraId="5CA2D955" w14:textId="77777777" w:rsidR="007266CF" w:rsidRPr="002A677E" w:rsidRDefault="007266CF" w:rsidP="007266CF">
            <w:pPr>
              <w:rPr>
                <w:rFonts w:ascii="Times New Roman" w:hAnsi="Times New Roman"/>
                <w:sz w:val="24"/>
              </w:rPr>
            </w:pPr>
            <w:r>
              <w:rPr>
                <w:rFonts w:ascii="Times New Roman" w:hAnsi="Times New Roman"/>
                <w:sz w:val="24"/>
              </w:rPr>
              <w:t>Pro definici rizika rozmělnění viz čl. 4 odst. 1 bod 53 nařízení (EU) č. 575/2013. Pro výpočet objemu rizikově vážené expozice pro riziko rozmělnění viz článek 157 nařízení (EU) č. 575/2013. Riziko rozmělnění se vykazuje u pohledávek nabytých za úplatu za podniky a retailových pohledávek nabytých za úplatu.</w:t>
            </w:r>
          </w:p>
          <w:p w14:paraId="6E788B09" w14:textId="77777777" w:rsidR="007266CF" w:rsidRPr="002A677E" w:rsidRDefault="007266CF" w:rsidP="007266CF">
            <w:pPr>
              <w:rPr>
                <w:rFonts w:ascii="Times New Roman" w:hAnsi="Times New Roman"/>
                <w:sz w:val="24"/>
              </w:rPr>
            </w:pPr>
          </w:p>
        </w:tc>
      </w:tr>
    </w:tbl>
    <w:p w14:paraId="7F28DEA3" w14:textId="77777777" w:rsidR="007266CF" w:rsidRPr="002A677E" w:rsidRDefault="007266CF" w:rsidP="007266CF">
      <w:pPr>
        <w:autoSpaceDE w:val="0"/>
        <w:autoSpaceDN w:val="0"/>
        <w:adjustRightInd w:val="0"/>
        <w:spacing w:before="0" w:after="0"/>
        <w:ind w:left="284"/>
        <w:jc w:val="left"/>
        <w:rPr>
          <w:rFonts w:ascii="Times New Roman" w:hAnsi="Times New Roman"/>
          <w:sz w:val="24"/>
        </w:rPr>
      </w:pPr>
    </w:p>
    <w:p w14:paraId="5DF20AF3" w14:textId="77777777" w:rsidR="007266CF" w:rsidRPr="002A677E" w:rsidRDefault="007266CF" w:rsidP="00A75C39">
      <w:pPr>
        <w:pStyle w:val="Instructionsberschrift2"/>
        <w:numPr>
          <w:ilvl w:val="2"/>
          <w:numId w:val="77"/>
        </w:numPr>
        <w:ind w:left="426" w:hanging="426"/>
        <w:rPr>
          <w:rFonts w:ascii="Times New Roman" w:hAnsi="Times New Roman" w:cs="Times New Roman"/>
          <w:sz w:val="24"/>
        </w:rPr>
      </w:pPr>
      <w:bookmarkStart w:id="112" w:name="_Toc116026749"/>
      <w:bookmarkStart w:id="113" w:name="_Toc119077906"/>
      <w:r>
        <w:rPr>
          <w:rFonts w:ascii="Times New Roman" w:hAnsi="Times New Roman"/>
          <w:sz w:val="24"/>
        </w:rPr>
        <w:t>C 08.02 – Úvěrové riziko a úvěrové riziko protistrany a volné dodávky: Přístup ke kapitálovým požadavkům založený na interním ratingu (IRB): rozčlenění podle stupňů nebo seskupení dlužníků (šablona CR IRB 2)</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7266CF" w:rsidRPr="002A677E" w14:paraId="3821A18F" w14:textId="77777777" w:rsidTr="007266CF">
        <w:tc>
          <w:tcPr>
            <w:tcW w:w="2024" w:type="dxa"/>
            <w:shd w:val="clear" w:color="auto" w:fill="BFBFBF"/>
          </w:tcPr>
          <w:p w14:paraId="299AF04F" w14:textId="77777777" w:rsidR="007266CF" w:rsidRPr="002A677E" w:rsidRDefault="007266CF" w:rsidP="007266CF">
            <w:pPr>
              <w:rPr>
                <w:rFonts w:ascii="Times New Roman" w:hAnsi="Times New Roman"/>
                <w:sz w:val="24"/>
              </w:rPr>
            </w:pPr>
            <w:r>
              <w:rPr>
                <w:rFonts w:ascii="Times New Roman" w:hAnsi="Times New Roman"/>
                <w:sz w:val="24"/>
              </w:rPr>
              <w:t>Sloupec</w:t>
            </w:r>
          </w:p>
        </w:tc>
        <w:tc>
          <w:tcPr>
            <w:tcW w:w="7804" w:type="dxa"/>
            <w:shd w:val="clear" w:color="auto" w:fill="BFBFBF"/>
          </w:tcPr>
          <w:p w14:paraId="3801CCFC"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3C42974D" w14:textId="77777777" w:rsidTr="007266CF">
        <w:tc>
          <w:tcPr>
            <w:tcW w:w="2024" w:type="dxa"/>
          </w:tcPr>
          <w:p w14:paraId="7D3FC5C2" w14:textId="77777777" w:rsidR="007266CF" w:rsidRPr="002A677E" w:rsidRDefault="007266CF" w:rsidP="007266CF">
            <w:pPr>
              <w:rPr>
                <w:rFonts w:ascii="Times New Roman" w:hAnsi="Times New Roman"/>
                <w:sz w:val="24"/>
              </w:rPr>
            </w:pPr>
            <w:r>
              <w:rPr>
                <w:rFonts w:ascii="Times New Roman" w:hAnsi="Times New Roman"/>
                <w:sz w:val="24"/>
              </w:rPr>
              <w:t>0005</w:t>
            </w:r>
          </w:p>
        </w:tc>
        <w:tc>
          <w:tcPr>
            <w:tcW w:w="7804" w:type="dxa"/>
          </w:tcPr>
          <w:p w14:paraId="1292A96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Ratingový stupeň dlužníka (identifikátor řádku)</w:t>
            </w:r>
          </w:p>
          <w:p w14:paraId="1F789222" w14:textId="77777777" w:rsidR="007266CF" w:rsidRPr="002A677E" w:rsidRDefault="007266CF" w:rsidP="007266CF">
            <w:pPr>
              <w:rPr>
                <w:rFonts w:ascii="Times New Roman" w:hAnsi="Times New Roman"/>
                <w:sz w:val="24"/>
              </w:rPr>
            </w:pPr>
            <w:r>
              <w:rPr>
                <w:rFonts w:ascii="Times New Roman" w:hAnsi="Times New Roman"/>
                <w:sz w:val="24"/>
              </w:rPr>
              <w:t>Tento kód je identifikátorem řádku a je pro každý řádek na daném listu šablony jedinečný. Má pořadové číslo 1, 2, 3 atd.</w:t>
            </w:r>
          </w:p>
          <w:p w14:paraId="6F8AD60D" w14:textId="77777777" w:rsidR="007266CF" w:rsidRPr="002A677E" w:rsidRDefault="007266CF" w:rsidP="007266CF">
            <w:pPr>
              <w:rPr>
                <w:rFonts w:ascii="Times New Roman" w:hAnsi="Times New Roman"/>
                <w:sz w:val="24"/>
              </w:rPr>
            </w:pPr>
            <w:r>
              <w:rPr>
                <w:rFonts w:ascii="Times New Roman" w:hAnsi="Times New Roman"/>
                <w:sz w:val="24"/>
              </w:rPr>
              <w:t xml:space="preserve">Jako první se vykazuje nejlepší stupeň (seskupení), poté druhý nejlepší stupeň (seskupení) atd. Na posledním místě se vykazuje stupeň či stupně (nebo seskupení) expozic v selhání. </w:t>
            </w:r>
          </w:p>
        </w:tc>
      </w:tr>
      <w:tr w:rsidR="007266CF" w:rsidRPr="002A677E" w14:paraId="135E1CC7" w14:textId="77777777" w:rsidTr="007266CF">
        <w:tc>
          <w:tcPr>
            <w:tcW w:w="2024" w:type="dxa"/>
          </w:tcPr>
          <w:p w14:paraId="61B33212" w14:textId="77777777" w:rsidR="007266CF" w:rsidRPr="002A677E" w:rsidRDefault="007266CF" w:rsidP="007266CF">
            <w:pPr>
              <w:rPr>
                <w:rFonts w:ascii="Times New Roman" w:hAnsi="Times New Roman"/>
                <w:sz w:val="24"/>
              </w:rPr>
            </w:pPr>
            <w:r>
              <w:rPr>
                <w:rFonts w:ascii="Times New Roman" w:hAnsi="Times New Roman"/>
                <w:sz w:val="24"/>
              </w:rPr>
              <w:t>0010–0300</w:t>
            </w:r>
          </w:p>
        </w:tc>
        <w:tc>
          <w:tcPr>
            <w:tcW w:w="7804" w:type="dxa"/>
          </w:tcPr>
          <w:p w14:paraId="3294D939" w14:textId="77777777" w:rsidR="007266CF" w:rsidRPr="002A677E" w:rsidRDefault="007266CF" w:rsidP="007266CF">
            <w:pPr>
              <w:rPr>
                <w:rFonts w:ascii="Times New Roman" w:hAnsi="Times New Roman"/>
                <w:sz w:val="24"/>
              </w:rPr>
            </w:pPr>
            <w:r>
              <w:rPr>
                <w:rFonts w:ascii="Times New Roman" w:hAnsi="Times New Roman"/>
                <w:sz w:val="24"/>
              </w:rPr>
              <w:t>Pokyny pro každý z těchto sloupců se shodují s pokyny pro stejně očíslované sloupce v šabloně CR IRB 1.</w:t>
            </w:r>
          </w:p>
        </w:tc>
      </w:tr>
    </w:tbl>
    <w:p w14:paraId="1C82B332" w14:textId="77777777" w:rsidR="007266CF" w:rsidRPr="002A677E" w:rsidRDefault="007266CF" w:rsidP="007266CF">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7266CF" w:rsidRPr="002A677E" w14:paraId="7FA5904C" w14:textId="77777777" w:rsidTr="007266CF">
        <w:tc>
          <w:tcPr>
            <w:tcW w:w="2024" w:type="dxa"/>
            <w:shd w:val="pct25" w:color="auto" w:fill="auto"/>
          </w:tcPr>
          <w:p w14:paraId="5D2141C8" w14:textId="77777777" w:rsidR="007266CF" w:rsidRPr="002A677E" w:rsidRDefault="007266CF" w:rsidP="007266CF">
            <w:pPr>
              <w:rPr>
                <w:rFonts w:ascii="Times New Roman" w:hAnsi="Times New Roman"/>
                <w:sz w:val="24"/>
              </w:rPr>
            </w:pPr>
            <w:r>
              <w:rPr>
                <w:rFonts w:ascii="Times New Roman" w:hAnsi="Times New Roman"/>
                <w:sz w:val="24"/>
              </w:rPr>
              <w:t>Řádek</w:t>
            </w:r>
          </w:p>
        </w:tc>
        <w:tc>
          <w:tcPr>
            <w:tcW w:w="7804" w:type="dxa"/>
            <w:shd w:val="pct25" w:color="auto" w:fill="auto"/>
          </w:tcPr>
          <w:p w14:paraId="5FE56D78"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1EEF772A" w14:textId="77777777" w:rsidTr="007266CF">
        <w:tc>
          <w:tcPr>
            <w:tcW w:w="2024" w:type="dxa"/>
          </w:tcPr>
          <w:p w14:paraId="0D9DAF8B" w14:textId="77777777" w:rsidR="007266CF" w:rsidRPr="002A677E" w:rsidRDefault="007266CF" w:rsidP="007266CF">
            <w:pPr>
              <w:rPr>
                <w:rFonts w:ascii="Times New Roman" w:hAnsi="Times New Roman"/>
                <w:sz w:val="24"/>
              </w:rPr>
            </w:pPr>
            <w:r>
              <w:rPr>
                <w:rFonts w:ascii="Times New Roman" w:hAnsi="Times New Roman"/>
                <w:sz w:val="24"/>
              </w:rPr>
              <w:t>0010–0001 – 0010-NNNN</w:t>
            </w:r>
          </w:p>
        </w:tc>
        <w:tc>
          <w:tcPr>
            <w:tcW w:w="7804" w:type="dxa"/>
          </w:tcPr>
          <w:p w14:paraId="75642BC1" w14:textId="77777777" w:rsidR="007266CF" w:rsidRPr="002A677E" w:rsidRDefault="007266CF" w:rsidP="007266CF">
            <w:pPr>
              <w:rPr>
                <w:rFonts w:ascii="Times New Roman" w:hAnsi="Times New Roman"/>
                <w:sz w:val="24"/>
              </w:rPr>
            </w:pPr>
            <w:r>
              <w:rPr>
                <w:rFonts w:ascii="Times New Roman" w:hAnsi="Times New Roman"/>
                <w:sz w:val="24"/>
              </w:rPr>
              <w:t>Hodnoty vykázané v těchto řádcích musí být seřazeny podle PD přiřazené ratingovému stupni nebo seskupení dlužníků. PD dlužníků v selhání činí 100 %. Expozice, na něž se vztahuje alternativní zacházení pro expozice zajištěné nemovitostmi (možné pouze tehdy, pokud nejsou používány vlastní odhady LGD), se nezařazují podle hodnoty PD dlužníka a nevykazují se v této šabloně.</w:t>
            </w:r>
          </w:p>
        </w:tc>
      </w:tr>
    </w:tbl>
    <w:p w14:paraId="63BB3709" w14:textId="77777777" w:rsidR="007266CF" w:rsidRPr="002A677E" w:rsidRDefault="007266CF" w:rsidP="007266CF">
      <w:pPr>
        <w:pStyle w:val="InstructionsText"/>
      </w:pPr>
    </w:p>
    <w:p w14:paraId="203B37A0" w14:textId="77777777" w:rsidR="007266CF" w:rsidRPr="002A677E" w:rsidRDefault="007266CF" w:rsidP="00A75C39">
      <w:pPr>
        <w:pStyle w:val="Instructionsberschrift2"/>
        <w:numPr>
          <w:ilvl w:val="2"/>
          <w:numId w:val="27"/>
        </w:numPr>
        <w:rPr>
          <w:rFonts w:ascii="Times New Roman" w:hAnsi="Times New Roman" w:cs="Times New Roman"/>
          <w:sz w:val="24"/>
        </w:rPr>
      </w:pPr>
      <w:bookmarkStart w:id="114" w:name="_Toc116026750"/>
      <w:bookmarkStart w:id="115" w:name="_Toc119077907"/>
      <w:r>
        <w:rPr>
          <w:rFonts w:ascii="Times New Roman" w:hAnsi="Times New Roman"/>
          <w:sz w:val="24"/>
        </w:rPr>
        <w:t>C 08.03 – Úvěrové riziko a volné dodávky: přístup IRB ke kapitálovým požadavkům (rozčlenění podle rozmezí PD (CR IRB 3))</w:t>
      </w:r>
      <w:bookmarkEnd w:id="114"/>
      <w:bookmarkEnd w:id="115"/>
    </w:p>
    <w:p w14:paraId="1AD1C96C" w14:textId="77777777" w:rsidR="007266CF" w:rsidRPr="002A677E" w:rsidRDefault="007266CF" w:rsidP="00A75C39">
      <w:pPr>
        <w:pStyle w:val="Instructionsberschrift2"/>
        <w:numPr>
          <w:ilvl w:val="3"/>
          <w:numId w:val="27"/>
        </w:numPr>
        <w:rPr>
          <w:rFonts w:ascii="Times New Roman" w:hAnsi="Times New Roman" w:cs="Times New Roman"/>
          <w:sz w:val="24"/>
        </w:rPr>
      </w:pPr>
      <w:bookmarkStart w:id="116" w:name="_Toc116026751"/>
      <w:bookmarkStart w:id="117" w:name="_Toc119077908"/>
      <w:r>
        <w:rPr>
          <w:rFonts w:ascii="Times New Roman" w:hAnsi="Times New Roman"/>
          <w:sz w:val="24"/>
        </w:rPr>
        <w:t>Obecné poznámky</w:t>
      </w:r>
      <w:bookmarkEnd w:id="116"/>
      <w:bookmarkEnd w:id="117"/>
    </w:p>
    <w:p w14:paraId="7D28F4F8" w14:textId="77777777" w:rsidR="007266CF" w:rsidRPr="002A677E" w:rsidRDefault="007266CF" w:rsidP="007266CF">
      <w:pPr>
        <w:pStyle w:val="InstructionsText2"/>
        <w:numPr>
          <w:ilvl w:val="0"/>
          <w:numId w:val="0"/>
        </w:numPr>
        <w:ind w:left="1353" w:hanging="360"/>
      </w:pPr>
      <w:fldSimple w:instr=" seq paragraphs ">
        <w:r>
          <w:t>77</w:t>
        </w:r>
      </w:fldSimple>
      <w:r>
        <w:t xml:space="preserve">. Za účelem poskytnutí informací o hlavních parametrech použitých pro výpočet kapitálových požadavků pro přístup IRB vykazují instituce informace obsažené v této šabloně podle čl. 452 písm. g) bodů i) až v) nařízení (EU) č. 575/2013. Informace vykazované v této šabloně nezahrnují údaje o specializovaných úvěrech </w:t>
      </w:r>
      <w:r>
        <w:lastRenderedPageBreak/>
        <w:t>uvedené v čl. 153 odst. 5 nařízení (EU) č. 575/2013, které jsou zahrnuty v šabloně C 08.06. Tato šablona nezahrnuje expozice úvěrového rizika protistrany (část třetí hlava II kapitola 6 nařízení (EU) č. 575/2013).</w:t>
      </w:r>
    </w:p>
    <w:p w14:paraId="274ACBE6"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18" w:name="_Toc116026752"/>
      <w:bookmarkStart w:id="119" w:name="_Toc119077909"/>
      <w:r>
        <w:rPr>
          <w:rFonts w:ascii="Times New Roman" w:hAnsi="Times New Roman"/>
          <w:sz w:val="24"/>
        </w:rPr>
        <w:t>Pokyny pro konkrétní pozice</w:t>
      </w:r>
      <w:bookmarkEnd w:id="118"/>
      <w:bookmarkEnd w:id="11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292F06A3" w14:textId="77777777" w:rsidTr="007266CF">
        <w:tc>
          <w:tcPr>
            <w:tcW w:w="1188" w:type="dxa"/>
            <w:shd w:val="clear" w:color="auto" w:fill="CCCCCC"/>
          </w:tcPr>
          <w:p w14:paraId="7B7D0F7E"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shd w:val="clear" w:color="auto" w:fill="CCCCCC"/>
          </w:tcPr>
          <w:p w14:paraId="07C845EB"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7ED21B80"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0C1E72E2" w14:textId="77777777" w:rsidR="007266CF" w:rsidRPr="002A677E" w:rsidRDefault="007266CF" w:rsidP="007266CF">
            <w:pPr>
              <w:rPr>
                <w:rFonts w:ascii="Times New Roman" w:hAnsi="Times New Roman"/>
                <w:sz w:val="24"/>
              </w:rPr>
            </w:pPr>
            <w:r>
              <w:rPr>
                <w:rFonts w:ascii="Times New Roman" w:hAnsi="Times New Roman"/>
                <w:sz w:val="24"/>
              </w:rPr>
              <w:t>0010</w:t>
            </w:r>
          </w:p>
          <w:p w14:paraId="072A0F83" w14:textId="77777777" w:rsidR="007266CF" w:rsidRPr="002A677E" w:rsidRDefault="007266CF" w:rsidP="007266CF">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A1CC0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ROZVAHOVÉ EXPOZICE</w:t>
            </w:r>
          </w:p>
          <w:p w14:paraId="211D5EFF" w14:textId="77777777" w:rsidR="007266CF" w:rsidRPr="002A677E" w:rsidRDefault="007266CF" w:rsidP="007266CF">
            <w:pPr>
              <w:rPr>
                <w:rFonts w:ascii="Times New Roman" w:hAnsi="Times New Roman"/>
                <w:sz w:val="24"/>
              </w:rPr>
            </w:pPr>
            <w:r>
              <w:rPr>
                <w:rFonts w:ascii="Times New Roman" w:hAnsi="Times New Roman"/>
                <w:sz w:val="24"/>
              </w:rPr>
              <w:t>Hodnota expozice vypočítaná v souladu s čl. 166 odst. 1 až 7 nařízení (EU) č. 575/2013 bez zohlednění jakýchkoli úprav o úvěrové riziko</w:t>
            </w:r>
          </w:p>
        </w:tc>
      </w:tr>
      <w:tr w:rsidR="007266CF" w:rsidRPr="002A677E" w14:paraId="5DB08609"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5D75E68C"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F1A7C2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PODROZVAHOVÉ EXPOZICE PŘED VYNÁSOBENÍM KONVERZNÍMI FAKTORY</w:t>
            </w:r>
          </w:p>
          <w:p w14:paraId="061A92BB" w14:textId="77777777" w:rsidR="007266CF" w:rsidRPr="002A677E" w:rsidRDefault="007266CF" w:rsidP="007266CF">
            <w:pPr>
              <w:rPr>
                <w:rFonts w:ascii="Times New Roman" w:hAnsi="Times New Roman"/>
                <w:sz w:val="24"/>
              </w:rPr>
            </w:pPr>
            <w:r>
              <w:rPr>
                <w:rFonts w:ascii="Times New Roman" w:hAnsi="Times New Roman"/>
                <w:sz w:val="24"/>
              </w:rPr>
              <w:t xml:space="preserve">Hodnota expozice v souladu s čl. 166 odst. 1 až 7 nařízení (EU) č. 575/2013, bez zohlednění jakýchkoli úprav o úvěrové riziko a konverzních faktorů, vlastních odhadů ani konverzních faktorů uvedených v čl. 166 odst. 8 nařízení (EU) č. 575/2013 ani procentních podílů uvedených v čl. 166 odst. 10 zmíněného nařízení </w:t>
            </w:r>
          </w:p>
          <w:p w14:paraId="447BD53E" w14:textId="77777777" w:rsidR="007266CF" w:rsidRPr="002A677E" w:rsidRDefault="007266CF" w:rsidP="007266CF">
            <w:pPr>
              <w:rPr>
                <w:rFonts w:ascii="Times New Roman" w:hAnsi="Times New Roman"/>
                <w:sz w:val="24"/>
              </w:rPr>
            </w:pPr>
            <w:r>
              <w:rPr>
                <w:rFonts w:ascii="Times New Roman" w:hAnsi="Times New Roman"/>
                <w:sz w:val="24"/>
              </w:rPr>
              <w:t>Podrozvahové expozice zahrnují všechny přislíbené, avšak nevyčerpané částky a všechny podrozvahové položky vyjmenované v příloze I nařízení (EU) č. 575/2013.</w:t>
            </w:r>
          </w:p>
        </w:tc>
      </w:tr>
      <w:tr w:rsidR="007266CF" w:rsidRPr="002A677E" w14:paraId="70E12CF1"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5812F14B"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9BFA4E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EXPOZICÍ VÁŽENÉ PRŮMĚRNÉ KONVERZNÍ FAKTORY</w:t>
            </w:r>
          </w:p>
          <w:p w14:paraId="7826503D" w14:textId="77777777" w:rsidR="007266CF" w:rsidRPr="002A677E" w:rsidRDefault="007266CF" w:rsidP="007266CF">
            <w:pPr>
              <w:rPr>
                <w:rFonts w:ascii="Times New Roman" w:hAnsi="Times New Roman"/>
                <w:sz w:val="24"/>
              </w:rPr>
            </w:pPr>
            <w:r>
              <w:rPr>
                <w:rFonts w:ascii="Times New Roman" w:hAnsi="Times New Roman"/>
                <w:sz w:val="24"/>
              </w:rPr>
              <w:t xml:space="preserve">U všech expozic v každém koši pevného rozmezí PD průměrný konverzní faktor, který instituce použily pro výpočet objemů rizikově vážených expozic, vážený podrozvahovou expozicí před vynásobením úvěrovým konverzním faktorem, jak je vykázán ve sloupci 0020 </w:t>
            </w:r>
          </w:p>
        </w:tc>
      </w:tr>
      <w:tr w:rsidR="007266CF" w:rsidRPr="002A677E" w14:paraId="7849EB4E"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09861244"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775FC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HODNOTA EXPOZICE PO VYNÁSOBENÍ KONVERZNÍMI FAKTORY A SNÍŽENÍ ÚVĚROVÉHO RIZIKA</w:t>
            </w:r>
          </w:p>
          <w:p w14:paraId="39A2C537" w14:textId="77777777" w:rsidR="007266CF" w:rsidRPr="002A677E" w:rsidRDefault="007266CF" w:rsidP="007266CF">
            <w:pPr>
              <w:rPr>
                <w:rFonts w:ascii="Times New Roman" w:hAnsi="Times New Roman"/>
                <w:sz w:val="24"/>
              </w:rPr>
            </w:pPr>
            <w:r>
              <w:rPr>
                <w:rFonts w:ascii="Times New Roman" w:hAnsi="Times New Roman"/>
                <w:sz w:val="24"/>
              </w:rPr>
              <w:t>Hodnota expozice podle článku 166 nařízení (EU) č. 575/2013</w:t>
            </w:r>
          </w:p>
          <w:p w14:paraId="34749A22" w14:textId="77777777" w:rsidR="007266CF" w:rsidRPr="002A677E" w:rsidRDefault="007266CF" w:rsidP="007266CF">
            <w:pPr>
              <w:rPr>
                <w:rFonts w:ascii="Times New Roman" w:hAnsi="Times New Roman"/>
                <w:sz w:val="24"/>
              </w:rPr>
            </w:pPr>
            <w:r>
              <w:rPr>
                <w:rFonts w:ascii="Times New Roman" w:hAnsi="Times New Roman"/>
                <w:sz w:val="24"/>
              </w:rPr>
              <w:t>V tomto sloupci se uvádí součet hodnoty expozice rozvahových a podrozvahových expozic po vynásobení konverzními faktory v souladu s čl. 166 odst. 8 až 10 nařízení (EU) č. 575/2013 a po použití technik pro snižování úvěrového rizika.</w:t>
            </w:r>
          </w:p>
        </w:tc>
      </w:tr>
      <w:tr w:rsidR="007266CF" w:rsidRPr="002A677E" w14:paraId="68E556AE"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46D51130"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01300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EXPOZICÍ VÁŽENÁ PRŮMĚRNÁ HODNOTA PD (%)</w:t>
            </w:r>
          </w:p>
          <w:p w14:paraId="039C9BB2" w14:textId="77777777" w:rsidR="007266CF" w:rsidRDefault="007266CF" w:rsidP="007266CF">
            <w:pPr>
              <w:rPr>
                <w:rFonts w:ascii="Times New Roman" w:hAnsi="Times New Roman"/>
                <w:sz w:val="24"/>
              </w:rPr>
            </w:pPr>
            <w:r>
              <w:rPr>
                <w:rFonts w:ascii="Times New Roman" w:hAnsi="Times New Roman"/>
                <w:sz w:val="24"/>
              </w:rPr>
              <w:t>U všech expozic v každém koši pevného rozmezí PD průměrný odhad PD každého dlužníka vážený hodnotou expozice po vynásobení úvěrovým konverzním faktorem a snížení úvěrového rizika, jak je vykázán ve sloupci 0040.</w:t>
            </w:r>
          </w:p>
          <w:p w14:paraId="2A0DA7A6" w14:textId="77777777" w:rsidR="007266CF" w:rsidRPr="002A677E" w:rsidRDefault="007266CF" w:rsidP="007266CF">
            <w:pPr>
              <w:rPr>
                <w:rFonts w:ascii="Times New Roman" w:hAnsi="Times New Roman"/>
                <w:sz w:val="24"/>
              </w:rPr>
            </w:pPr>
            <w:r>
              <w:rPr>
                <w:rFonts w:ascii="Times New Roman" w:hAnsi="Times New Roman"/>
                <w:sz w:val="24"/>
              </w:rPr>
              <w:t xml:space="preserve">Tento sloupec není nutno vyplnit pro všechny kategorie expozic. </w:t>
            </w:r>
          </w:p>
        </w:tc>
      </w:tr>
      <w:tr w:rsidR="007266CF" w:rsidRPr="002A677E" w14:paraId="7F0F5350"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413B4713"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A22730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POČET DLUŽNÍKŮ</w:t>
            </w:r>
          </w:p>
          <w:p w14:paraId="36A3A631" w14:textId="77777777" w:rsidR="007266CF" w:rsidRPr="002A677E" w:rsidRDefault="007266CF" w:rsidP="007266CF">
            <w:pPr>
              <w:rPr>
                <w:rFonts w:ascii="Times New Roman" w:hAnsi="Times New Roman"/>
                <w:sz w:val="24"/>
              </w:rPr>
            </w:pPr>
            <w:r>
              <w:rPr>
                <w:rFonts w:ascii="Times New Roman" w:hAnsi="Times New Roman"/>
                <w:sz w:val="24"/>
              </w:rPr>
              <w:t xml:space="preserve">Počet právních subjektů nebo dlužníků přiřazených ke každému koši pevného rozmezí PD </w:t>
            </w:r>
          </w:p>
          <w:p w14:paraId="3F2B66B0" w14:textId="77777777" w:rsidR="007266CF" w:rsidRPr="002A677E" w:rsidRDefault="007266CF" w:rsidP="007266CF">
            <w:pPr>
              <w:rPr>
                <w:rFonts w:ascii="Times New Roman" w:hAnsi="Times New Roman"/>
                <w:sz w:val="24"/>
              </w:rPr>
            </w:pPr>
            <w:r>
              <w:rPr>
                <w:rFonts w:ascii="Times New Roman" w:hAnsi="Times New Roman"/>
                <w:sz w:val="24"/>
              </w:rPr>
              <w:t>Počet dlužníků se vypočítá v souladu s pokyny ve sloupci 0300 šablony C 08.01. Se společnými dlužníky se zachází stejným způsobem jako pro účely kalibrace PD.</w:t>
            </w:r>
          </w:p>
        </w:tc>
      </w:tr>
      <w:tr w:rsidR="007266CF" w:rsidRPr="002A677E" w14:paraId="73BA85BD"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09FC1B0D"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7A6864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EXPOZICÍ VÁŽENÁ PRŮMĚRNÁ HODNOTA LGD (%)</w:t>
            </w:r>
          </w:p>
          <w:p w14:paraId="3A7A59B7" w14:textId="77777777" w:rsidR="007266CF" w:rsidRPr="002A677E" w:rsidRDefault="007266CF" w:rsidP="007266CF">
            <w:pPr>
              <w:rPr>
                <w:rFonts w:ascii="Times New Roman" w:hAnsi="Times New Roman"/>
                <w:sz w:val="24"/>
              </w:rPr>
            </w:pPr>
            <w:r>
              <w:rPr>
                <w:rFonts w:ascii="Times New Roman" w:hAnsi="Times New Roman"/>
                <w:sz w:val="24"/>
              </w:rPr>
              <w:lastRenderedPageBreak/>
              <w:t>U všech expozic v každém koši pevného rozmezí PD průměrný odhad LGD každé expozice vážený hodnotou expozice po vynásobení úvěrovým konverzním faktorem a snížení úvěrového rizika, jak je vykázán ve sloupci 0040</w:t>
            </w:r>
          </w:p>
          <w:p w14:paraId="02D087FE" w14:textId="77777777" w:rsidR="007266CF" w:rsidRPr="002A677E" w:rsidRDefault="007266CF" w:rsidP="007266CF">
            <w:pPr>
              <w:rPr>
                <w:rFonts w:ascii="Times New Roman" w:hAnsi="Times New Roman"/>
                <w:sz w:val="24"/>
              </w:rPr>
            </w:pPr>
            <w:r>
              <w:rPr>
                <w:rFonts w:ascii="Times New Roman" w:hAnsi="Times New Roman"/>
                <w:sz w:val="24"/>
              </w:rPr>
              <w:t>Vykazovaná LGD odpovídá konečnému odhadu LGD použitému pro výpočet rizikově vážených částek získaných po zvážení případných dopadů snižování úvěrového rizika a podmínek hospodářského poklesu. U retailových expozic zajištěných nemovitostmi zohlední vykazovaná hodnota LGD dolní meze uvedené v čl. 164 odst. 4 nařízení (EU) č. 575/2013.</w:t>
            </w:r>
          </w:p>
          <w:p w14:paraId="14FDCBD4" w14:textId="77777777" w:rsidR="007266CF" w:rsidRPr="002A677E" w:rsidRDefault="007266CF" w:rsidP="007266CF">
            <w:pPr>
              <w:rPr>
                <w:rFonts w:ascii="Times New Roman" w:hAnsi="Times New Roman"/>
                <w:sz w:val="24"/>
              </w:rPr>
            </w:pPr>
            <w:r>
              <w:rPr>
                <w:rFonts w:ascii="Times New Roman" w:hAnsi="Times New Roman"/>
                <w:sz w:val="24"/>
              </w:rPr>
              <w:t xml:space="preserve">V případě, že expozice podléhají přístupu dvojího selhání, odpovídá hodnota LGD, která má být vykázána, LGD vybrané </w:t>
            </w:r>
            <w:r>
              <w:rPr>
                <w:rStyle w:val="InstructionsTabelleText"/>
                <w:rFonts w:ascii="Times New Roman" w:hAnsi="Times New Roman"/>
                <w:sz w:val="24"/>
              </w:rPr>
              <w:t>v souladu s</w:t>
            </w:r>
            <w:r>
              <w:rPr>
                <w:rFonts w:ascii="Times New Roman" w:hAnsi="Times New Roman"/>
                <w:sz w:val="24"/>
              </w:rPr>
              <w:t xml:space="preserve"> čl. 161 odst. 4 nařízení (EU) č. 575/2013.</w:t>
            </w:r>
          </w:p>
          <w:p w14:paraId="67815277" w14:textId="77777777" w:rsidR="007266CF" w:rsidRDefault="007266CF" w:rsidP="007266CF">
            <w:pPr>
              <w:rPr>
                <w:rFonts w:ascii="Times New Roman" w:hAnsi="Times New Roman"/>
                <w:sz w:val="24"/>
              </w:rPr>
            </w:pPr>
            <w:r>
              <w:rPr>
                <w:rFonts w:ascii="Times New Roman" w:hAnsi="Times New Roman"/>
                <w:sz w:val="24"/>
              </w:rPr>
              <w:t xml:space="preserve">V případě expozic, u nichž došlo k selhání podle přístupu A-IRB, se zohlední ustanovení čl. 181 odst. 1 písm. h) nařízení (EU) č. 575/2013. Vykázaná hodnota LGD odpovídá odhadu LGD v selhání </w:t>
            </w:r>
            <w:r>
              <w:rPr>
                <w:rStyle w:val="InstructionsTabelleText"/>
                <w:rFonts w:ascii="Times New Roman" w:hAnsi="Times New Roman"/>
                <w:sz w:val="24"/>
              </w:rPr>
              <w:t>v souladu s</w:t>
            </w:r>
            <w:r>
              <w:rPr>
                <w:rFonts w:ascii="Times New Roman" w:hAnsi="Times New Roman"/>
                <w:sz w:val="24"/>
              </w:rPr>
              <w:t xml:space="preserve"> použitelnými metodikami odhadu.</w:t>
            </w:r>
          </w:p>
          <w:p w14:paraId="674596E4" w14:textId="77777777" w:rsidR="007266CF" w:rsidRPr="002A677E" w:rsidRDefault="007266CF" w:rsidP="007266CF">
            <w:pPr>
              <w:rPr>
                <w:rFonts w:ascii="Times New Roman" w:hAnsi="Times New Roman"/>
                <w:sz w:val="24"/>
              </w:rPr>
            </w:pPr>
            <w:r>
              <w:rPr>
                <w:rFonts w:ascii="Times New Roman" w:hAnsi="Times New Roman"/>
                <w:sz w:val="24"/>
              </w:rPr>
              <w:t>Tento sloupec není nutno vyplnit pro všechny kategorie expozic.</w:t>
            </w:r>
          </w:p>
        </w:tc>
      </w:tr>
      <w:tr w:rsidR="007266CF" w:rsidRPr="002A677E" w14:paraId="6CF89F2F"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55A9867D" w14:textId="77777777" w:rsidR="007266CF" w:rsidRPr="002A677E" w:rsidRDefault="007266CF" w:rsidP="007266CF">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39959B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EXPOZICÍ VÁŽENÁ PRŮMĚRNÁ SPLATNOST (ROKY)</w:t>
            </w:r>
          </w:p>
          <w:p w14:paraId="0D141921" w14:textId="77777777" w:rsidR="007266CF" w:rsidRPr="002A677E" w:rsidRDefault="007266CF" w:rsidP="007266CF">
            <w:pPr>
              <w:rPr>
                <w:rFonts w:ascii="Times New Roman" w:hAnsi="Times New Roman"/>
                <w:sz w:val="24"/>
              </w:rPr>
            </w:pPr>
            <w:r>
              <w:rPr>
                <w:rFonts w:ascii="Times New Roman" w:hAnsi="Times New Roman"/>
                <w:sz w:val="24"/>
              </w:rPr>
              <w:t>U všech expozic v každém koši pevného rozmezí PD průměrná splatnost každé expozice vážená hodnotou expozice po vynásobení úvěrovým konverzním faktorem, jak je vykázána ve sloupci 0040</w:t>
            </w:r>
          </w:p>
          <w:p w14:paraId="5714B152" w14:textId="77777777" w:rsidR="007266CF" w:rsidRPr="002A677E" w:rsidRDefault="007266CF" w:rsidP="007266CF">
            <w:pPr>
              <w:rPr>
                <w:rFonts w:ascii="Times New Roman" w:hAnsi="Times New Roman"/>
                <w:sz w:val="24"/>
              </w:rPr>
            </w:pPr>
            <w:r>
              <w:rPr>
                <w:rFonts w:ascii="Times New Roman" w:hAnsi="Times New Roman"/>
                <w:sz w:val="24"/>
              </w:rPr>
              <w:t xml:space="preserve">Vykazovaná splatnost se určí v souladu s článkem 162 nařízení (EU) č. 575/2013. </w:t>
            </w:r>
          </w:p>
          <w:p w14:paraId="4FE388AE" w14:textId="77777777" w:rsidR="007266CF" w:rsidRPr="002A677E" w:rsidRDefault="007266CF" w:rsidP="007266CF">
            <w:pPr>
              <w:rPr>
                <w:rFonts w:ascii="Times New Roman" w:hAnsi="Times New Roman"/>
                <w:sz w:val="24"/>
              </w:rPr>
            </w:pPr>
            <w:r>
              <w:rPr>
                <w:rFonts w:ascii="Times New Roman" w:hAnsi="Times New Roman"/>
                <w:sz w:val="24"/>
              </w:rPr>
              <w:t>Průměrná splatnost se vykazuje v letech.</w:t>
            </w:r>
          </w:p>
          <w:p w14:paraId="66FF58A5" w14:textId="77777777" w:rsidR="007266CF" w:rsidRPr="002A677E" w:rsidRDefault="007266CF" w:rsidP="007266CF">
            <w:pPr>
              <w:rPr>
                <w:rFonts w:ascii="Times New Roman" w:hAnsi="Times New Roman"/>
                <w:sz w:val="24"/>
              </w:rPr>
            </w:pPr>
            <w:r>
              <w:rPr>
                <w:rFonts w:ascii="Times New Roman" w:hAnsi="Times New Roman"/>
                <w:sz w:val="24"/>
              </w:rPr>
              <w:t xml:space="preserve">Tento údaj se nevykazuje u hodnot expozice, v jejichž případě splatnost není součástí výpočtu </w:t>
            </w:r>
            <w:r>
              <w:rPr>
                <w:rStyle w:val="InstructionsTabelleText"/>
                <w:rFonts w:ascii="Times New Roman" w:hAnsi="Times New Roman"/>
                <w:sz w:val="24"/>
              </w:rPr>
              <w:t xml:space="preserve">objemů rizikově vážených expozic </w:t>
            </w:r>
            <w:r>
              <w:rPr>
                <w:rFonts w:ascii="Times New Roman" w:hAnsi="Times New Roman"/>
                <w:sz w:val="24"/>
              </w:rPr>
              <w:t>v souladu s částí třetí hlavou II kapitolou 3 nařízení (EU) č. 575/2013. Znamená to, že tento sloupec se nevyplňuje pro kategorii „retailové expozice“.</w:t>
            </w:r>
          </w:p>
        </w:tc>
      </w:tr>
      <w:tr w:rsidR="007266CF" w:rsidRPr="002A677E" w14:paraId="52CE3E22"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18FFC7D6" w14:textId="77777777" w:rsidR="007266CF" w:rsidRPr="002A677E" w:rsidDel="00F079B2" w:rsidRDefault="007266CF" w:rsidP="007266CF">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7A216A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14:paraId="104C3AE6" w14:textId="77777777" w:rsidR="007266CF" w:rsidRPr="002A677E" w:rsidRDefault="007266CF" w:rsidP="007266CF">
            <w:pPr>
              <w:rPr>
                <w:rFonts w:ascii="Times New Roman" w:hAnsi="Times New Roman"/>
                <w:sz w:val="24"/>
              </w:rPr>
            </w:pPr>
            <w:r>
              <w:rPr>
                <w:rFonts w:ascii="Times New Roman" w:hAnsi="Times New Roman"/>
                <w:sz w:val="24"/>
              </w:rPr>
              <w:t>U expozic vůči ústředním vládám a centrálním bankám, institucím a podnikům objem rizikově vážené expozice vypočtený v souladu s čl. 153 odst. 1 až 4; u retailových expozic objem rizikově vážené expozice vypočítaný v souladu s článkem 154 nařízení (EU) č. 575/2013.</w:t>
            </w:r>
          </w:p>
          <w:p w14:paraId="577C3370" w14:textId="77777777" w:rsidR="007266CF" w:rsidRPr="002A677E" w:rsidRDefault="007266CF" w:rsidP="007266CF">
            <w:pPr>
              <w:rPr>
                <w:rFonts w:ascii="Times New Roman" w:hAnsi="Times New Roman"/>
                <w:sz w:val="24"/>
              </w:rPr>
            </w:pPr>
            <w:r>
              <w:rPr>
                <w:rFonts w:ascii="Times New Roman" w:hAnsi="Times New Roman"/>
                <w:sz w:val="24"/>
              </w:rPr>
              <w:t xml:space="preserve">Zohledňuje se podpůrný koeficient pro malé a střední podniky a infrastrukturu </w:t>
            </w:r>
            <w:r>
              <w:rPr>
                <w:rStyle w:val="InstructionsTabelleText"/>
                <w:rFonts w:ascii="Times New Roman" w:hAnsi="Times New Roman"/>
                <w:sz w:val="24"/>
              </w:rPr>
              <w:t>podle</w:t>
            </w:r>
            <w:r>
              <w:rPr>
                <w:rFonts w:ascii="Times New Roman" w:hAnsi="Times New Roman"/>
                <w:sz w:val="24"/>
              </w:rPr>
              <w:t xml:space="preserve"> článků 501 a 501a nařízení (EU) č. 575/2013. </w:t>
            </w:r>
          </w:p>
        </w:tc>
      </w:tr>
      <w:tr w:rsidR="007266CF" w:rsidRPr="002A677E" w14:paraId="33536A42"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4D326E26" w14:textId="77777777" w:rsidR="007266CF" w:rsidRPr="002A677E" w:rsidRDefault="007266CF" w:rsidP="007266CF">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B892CE"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VÝŠE OČEKÁVANÉ ZTRÁTY</w:t>
            </w:r>
          </w:p>
          <w:p w14:paraId="1DE4AB00" w14:textId="77777777" w:rsidR="007266CF" w:rsidRPr="002A677E" w:rsidRDefault="007266CF" w:rsidP="007266CF">
            <w:pPr>
              <w:rPr>
                <w:rFonts w:ascii="Times New Roman" w:hAnsi="Times New Roman"/>
                <w:sz w:val="24"/>
              </w:rPr>
            </w:pPr>
            <w:r>
              <w:rPr>
                <w:rFonts w:ascii="Times New Roman" w:hAnsi="Times New Roman"/>
                <w:sz w:val="24"/>
              </w:rPr>
              <w:t>Výše očekávané ztráty vypočítaná v souladu s článkem 158 nařízení (EU) č. 575/2013</w:t>
            </w:r>
          </w:p>
          <w:p w14:paraId="6880E162" w14:textId="77777777" w:rsidR="007266CF" w:rsidRPr="002A677E" w:rsidRDefault="007266CF" w:rsidP="007266CF">
            <w:pPr>
              <w:rPr>
                <w:rFonts w:ascii="Times New Roman" w:hAnsi="Times New Roman"/>
                <w:sz w:val="24"/>
              </w:rPr>
            </w:pPr>
            <w:r>
              <w:rPr>
                <w:rFonts w:ascii="Times New Roman" w:hAnsi="Times New Roman"/>
                <w:sz w:val="24"/>
              </w:rPr>
              <w:t>Výše očekávané ztráty, která má být vykázána, vychází ze současných rizikových parametrů, které se používají v interních ratingových stupnicích schválených příslušným orgánem.</w:t>
            </w:r>
          </w:p>
        </w:tc>
      </w:tr>
      <w:tr w:rsidR="007266CF" w:rsidRPr="002A677E" w14:paraId="4DA4831C"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222030E8"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010055"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ÚPRAVY OCENĚNÍ A REZERVY</w:t>
            </w:r>
          </w:p>
          <w:p w14:paraId="6976A4BA" w14:textId="77777777" w:rsidR="007266CF" w:rsidRPr="002A677E" w:rsidRDefault="007266CF" w:rsidP="007266CF">
            <w:pPr>
              <w:rPr>
                <w:rFonts w:ascii="Times New Roman" w:hAnsi="Times New Roman"/>
                <w:sz w:val="24"/>
              </w:rPr>
            </w:pPr>
            <w:r>
              <w:rPr>
                <w:rFonts w:ascii="Times New Roman" w:hAnsi="Times New Roman"/>
                <w:sz w:val="24"/>
              </w:rPr>
              <w:t xml:space="preserve">Specifické a obecné úpravy o úvěrové riziko v souladu s nařízením Komise v přenesené pravomoci (EU) č. 183/2014, dodatečné úpravy ocenění v souladu s články 34 a 110 </w:t>
            </w:r>
            <w:r>
              <w:rPr>
                <w:rFonts w:ascii="Times New Roman" w:hAnsi="Times New Roman"/>
                <w:sz w:val="24"/>
              </w:rPr>
              <w:lastRenderedPageBreak/>
              <w:t xml:space="preserve">nařízení (EU) č. 575/2013, jakož i další snížení kapitálu související s expozicemi přiřazenými každému koši pevného rozmezí PD </w:t>
            </w:r>
          </w:p>
          <w:p w14:paraId="079A6A56" w14:textId="77777777" w:rsidR="007266CF" w:rsidRPr="002A677E" w:rsidRDefault="007266CF" w:rsidP="007266CF">
            <w:pPr>
              <w:rPr>
                <w:rFonts w:ascii="Times New Roman" w:hAnsi="Times New Roman"/>
                <w:sz w:val="24"/>
              </w:rPr>
            </w:pPr>
            <w:r>
              <w:rPr>
                <w:rFonts w:ascii="Times New Roman" w:hAnsi="Times New Roman"/>
                <w:sz w:val="24"/>
              </w:rPr>
              <w:t>Tyto úpravy ocenění a rezervy jsou brány v úvahu pro účely provádění článku 159 nařízení (EU) č. 575/2013.</w:t>
            </w:r>
          </w:p>
          <w:p w14:paraId="49EE14E5" w14:textId="77777777" w:rsidR="007266CF" w:rsidRPr="002A677E" w:rsidRDefault="007266CF" w:rsidP="007266CF">
            <w:pPr>
              <w:rPr>
                <w:rFonts w:ascii="Times New Roman" w:hAnsi="Times New Roman"/>
                <w:sz w:val="24"/>
              </w:rPr>
            </w:pPr>
            <w:r>
              <w:rPr>
                <w:rFonts w:ascii="Times New Roman" w:hAnsi="Times New Roman"/>
                <w:sz w:val="24"/>
              </w:rPr>
              <w:t xml:space="preserve">Obecné rezervy se vykazují přiřazením poměrné hodnoty – </w:t>
            </w:r>
            <w:r>
              <w:rPr>
                <w:rStyle w:val="InstructionsTabelleText"/>
                <w:rFonts w:ascii="Times New Roman" w:hAnsi="Times New Roman"/>
                <w:sz w:val="24"/>
              </w:rPr>
              <w:t>na základě</w:t>
            </w:r>
            <w:r>
              <w:rPr>
                <w:rFonts w:ascii="Times New Roman" w:hAnsi="Times New Roman"/>
                <w:sz w:val="24"/>
              </w:rPr>
              <w:t xml:space="preserve"> očekávané výše ztrát u různých stupňů dlužníka.  </w:t>
            </w:r>
          </w:p>
        </w:tc>
      </w:tr>
    </w:tbl>
    <w:p w14:paraId="3B46B4EB" w14:textId="77777777" w:rsidR="007266CF" w:rsidRPr="002A677E" w:rsidRDefault="007266CF" w:rsidP="007266C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8545"/>
      </w:tblGrid>
      <w:tr w:rsidR="007266CF" w:rsidRPr="002A677E" w14:paraId="41A0A31F" w14:textId="77777777" w:rsidTr="007266CF">
        <w:tc>
          <w:tcPr>
            <w:tcW w:w="1271" w:type="dxa"/>
            <w:shd w:val="pct25" w:color="auto" w:fill="auto"/>
          </w:tcPr>
          <w:p w14:paraId="22977CDB"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557" w:type="dxa"/>
            <w:shd w:val="pct25" w:color="auto" w:fill="auto"/>
          </w:tcPr>
          <w:p w14:paraId="289D9D19"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16C75AFF" w14:textId="77777777" w:rsidTr="007266CF">
        <w:tc>
          <w:tcPr>
            <w:tcW w:w="1271" w:type="dxa"/>
          </w:tcPr>
          <w:p w14:paraId="4A9EAA56" w14:textId="77777777" w:rsidR="007266CF" w:rsidRPr="002A677E" w:rsidRDefault="007266CF" w:rsidP="007266CF">
            <w:pPr>
              <w:rPr>
                <w:rFonts w:ascii="Times New Roman" w:hAnsi="Times New Roman"/>
                <w:sz w:val="24"/>
              </w:rPr>
            </w:pPr>
            <w:r>
              <w:rPr>
                <w:rFonts w:ascii="Times New Roman" w:hAnsi="Times New Roman"/>
                <w:sz w:val="24"/>
              </w:rPr>
              <w:t>ROZMEZÍ PD</w:t>
            </w:r>
          </w:p>
        </w:tc>
        <w:tc>
          <w:tcPr>
            <w:tcW w:w="8557" w:type="dxa"/>
          </w:tcPr>
          <w:p w14:paraId="43F9896C" w14:textId="77777777" w:rsidR="007266CF" w:rsidRDefault="007266CF" w:rsidP="007266CF">
            <w:pPr>
              <w:rPr>
                <w:rFonts w:ascii="Times New Roman" w:hAnsi="Times New Roman"/>
                <w:sz w:val="24"/>
              </w:rPr>
            </w:pPr>
            <w:r>
              <w:rPr>
                <w:rFonts w:ascii="Times New Roman" w:hAnsi="Times New Roman"/>
                <w:sz w:val="24"/>
              </w:rPr>
              <w:t>Expozice se přiřadí k vhodnému koši pevného rozmezí PD na základě PD odhadnuté pro každého dlužníka zařazeného do dané kategorie expozic (bez zohlednění případných substitučních účinků v důsledku snižování úvěrového rizika). Instituce přiřadí jednotlivé expozice k rozmezí PD uvedenému v šabloně s přihlédnutím ke kontinuálním stupnicím. Všechny expozice, u nichž došlo k selhání, se zahrnují do koše PD o hodnotě 100 %.</w:t>
            </w:r>
          </w:p>
          <w:p w14:paraId="5719C874" w14:textId="77777777" w:rsidR="007266CF" w:rsidRDefault="007266CF" w:rsidP="007266CF">
            <w:pPr>
              <w:rPr>
                <w:rFonts w:ascii="Times New Roman" w:hAnsi="Times New Roman"/>
                <w:sz w:val="24"/>
              </w:rPr>
            </w:pPr>
          </w:p>
          <w:p w14:paraId="132BEA47" w14:textId="77777777" w:rsidR="007266CF" w:rsidRPr="002A677E" w:rsidRDefault="007266CF" w:rsidP="007266CF">
            <w:pPr>
              <w:rPr>
                <w:rFonts w:ascii="Times New Roman" w:hAnsi="Times New Roman"/>
                <w:sz w:val="24"/>
              </w:rPr>
            </w:pPr>
            <w:r>
              <w:rPr>
                <w:rFonts w:ascii="Times New Roman" w:hAnsi="Times New Roman"/>
                <w:sz w:val="24"/>
              </w:rPr>
              <w:t>Řádky {r0170, c0050} a {r0170, c0070} se vykazují pro každou kategorii expozic, nikoli však pro všechny kategorie expozic.</w:t>
            </w:r>
          </w:p>
        </w:tc>
      </w:tr>
    </w:tbl>
    <w:p w14:paraId="78FA9AC3" w14:textId="77777777" w:rsidR="007266CF" w:rsidRPr="002A677E" w:rsidRDefault="007266CF" w:rsidP="00A75C39">
      <w:pPr>
        <w:pStyle w:val="Instructionsberschrift2"/>
        <w:numPr>
          <w:ilvl w:val="2"/>
          <w:numId w:val="27"/>
        </w:numPr>
        <w:rPr>
          <w:rFonts w:ascii="Times New Roman" w:hAnsi="Times New Roman" w:cs="Times New Roman"/>
          <w:sz w:val="24"/>
        </w:rPr>
      </w:pPr>
      <w:bookmarkStart w:id="120" w:name="_Toc116026753"/>
      <w:bookmarkStart w:id="121" w:name="_Toc119077910"/>
      <w:r>
        <w:rPr>
          <w:rFonts w:ascii="Times New Roman" w:hAnsi="Times New Roman"/>
          <w:sz w:val="24"/>
        </w:rPr>
        <w:t>C 08.04 – Úvěrové riziko a volné dodávky: přístup IRB ke kapitálovým požadavkům (výkazy toků RWEA (CR IRB 4))</w:t>
      </w:r>
      <w:bookmarkEnd w:id="120"/>
      <w:bookmarkEnd w:id="121"/>
    </w:p>
    <w:p w14:paraId="41101889"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22" w:name="_Toc116026754"/>
      <w:bookmarkStart w:id="123" w:name="_Toc119077911"/>
      <w:r>
        <w:rPr>
          <w:rFonts w:ascii="Times New Roman" w:hAnsi="Times New Roman"/>
          <w:sz w:val="24"/>
        </w:rPr>
        <w:t>Obecné poznámky</w:t>
      </w:r>
      <w:bookmarkEnd w:id="122"/>
      <w:bookmarkEnd w:id="123"/>
    </w:p>
    <w:p w14:paraId="218A169D" w14:textId="77777777" w:rsidR="007266CF" w:rsidRPr="002A677E" w:rsidRDefault="007266CF" w:rsidP="007266CF">
      <w:pPr>
        <w:pStyle w:val="InstructionsText2"/>
        <w:numPr>
          <w:ilvl w:val="0"/>
          <w:numId w:val="0"/>
        </w:numPr>
        <w:ind w:left="1353" w:hanging="360"/>
      </w:pPr>
      <w:fldSimple w:instr=" seq paragraphs ">
        <w:r>
          <w:t>78</w:t>
        </w:r>
      </w:fldSimple>
      <w:r>
        <w:t>. Instituce vykazují informace obsažené v této šabloně podle čl. 438 písm. h) nařízení (EU) č. 575/2013. Tato šablona nezahrnuje expozice úvěrového rizika protistrany (část třetí hlava II kapitola 6 nařízení (EU) č. 575/2013).</w:t>
      </w:r>
    </w:p>
    <w:p w14:paraId="49924C84" w14:textId="77777777" w:rsidR="007266CF" w:rsidRPr="002A677E" w:rsidRDefault="007266CF" w:rsidP="007266CF">
      <w:pPr>
        <w:pStyle w:val="InstructionsText2"/>
        <w:numPr>
          <w:ilvl w:val="0"/>
          <w:numId w:val="0"/>
        </w:numPr>
        <w:ind w:left="1353" w:hanging="360"/>
      </w:pPr>
      <w:fldSimple w:instr=" seq paragraphs ">
        <w:r>
          <w:t>79</w:t>
        </w:r>
      </w:fldSimple>
      <w:r>
        <w:t xml:space="preserve">. Instituce vykazují toky RWEA jako změny mezi objemy rizikově vážených expozic k referenčnímu datu vykazování a objemy rizikově vážených expozic k předchozímu referenčnímu datu vykazování. V případě čtvrtletního vykazování se vykazuje konec čtvrtletí před čtvrtletím referenčního data vykazování. </w:t>
      </w:r>
    </w:p>
    <w:p w14:paraId="0C8E48BC"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24" w:name="_Toc116026755"/>
      <w:bookmarkStart w:id="125" w:name="_Toc119077912"/>
      <w:r>
        <w:rPr>
          <w:rFonts w:ascii="Times New Roman" w:hAnsi="Times New Roman"/>
          <w:sz w:val="24"/>
        </w:rPr>
        <w:t>Pokyny pro konkrétní pozice</w:t>
      </w:r>
      <w:bookmarkEnd w:id="124"/>
      <w:bookmarkEnd w:id="12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0911C62C" w14:textId="77777777" w:rsidTr="007266CF">
        <w:tc>
          <w:tcPr>
            <w:tcW w:w="1188" w:type="dxa"/>
            <w:tcBorders>
              <w:bottom w:val="single" w:sz="4" w:space="0" w:color="auto"/>
            </w:tcBorders>
            <w:shd w:val="clear" w:color="auto" w:fill="CCCCCC"/>
          </w:tcPr>
          <w:p w14:paraId="49891389" w14:textId="77777777" w:rsidR="007266CF" w:rsidRPr="002A677E" w:rsidRDefault="007266CF" w:rsidP="007266CF">
            <w:pPr>
              <w:rPr>
                <w:rFonts w:ascii="Times New Roman" w:hAnsi="Times New Roman"/>
                <w:sz w:val="24"/>
              </w:rPr>
            </w:pPr>
            <w:r>
              <w:rPr>
                <w:rFonts w:ascii="Times New Roman" w:hAnsi="Times New Roman"/>
                <w:sz w:val="24"/>
              </w:rPr>
              <w:t>Sloupec</w:t>
            </w:r>
          </w:p>
        </w:tc>
        <w:tc>
          <w:tcPr>
            <w:tcW w:w="8843" w:type="dxa"/>
            <w:tcBorders>
              <w:bottom w:val="single" w:sz="4" w:space="0" w:color="auto"/>
            </w:tcBorders>
            <w:shd w:val="clear" w:color="auto" w:fill="CCCCCC"/>
          </w:tcPr>
          <w:p w14:paraId="2ABF544D"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4D30F793" w14:textId="77777777" w:rsidTr="007266CF">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9EC424E" w14:textId="77777777" w:rsidR="007266CF" w:rsidRPr="002A677E" w:rsidRDefault="007266CF" w:rsidP="007266CF">
            <w:pPr>
              <w:rPr>
                <w:rFonts w:ascii="Times New Roman" w:hAnsi="Times New Roman"/>
                <w:sz w:val="24"/>
              </w:rPr>
            </w:pPr>
            <w:r>
              <w:rPr>
                <w:rFonts w:ascii="Times New Roman" w:hAnsi="Times New Roman"/>
                <w:sz w:val="24"/>
              </w:rPr>
              <w:t>0010</w:t>
            </w:r>
          </w:p>
          <w:p w14:paraId="47B86647" w14:textId="77777777" w:rsidR="007266CF" w:rsidRPr="002A677E" w:rsidRDefault="007266CF" w:rsidP="007266CF">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83897A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w:t>
            </w:r>
          </w:p>
          <w:p w14:paraId="7E1D82D4" w14:textId="77777777" w:rsidR="007266CF" w:rsidRPr="002A677E" w:rsidRDefault="007266CF" w:rsidP="007266CF">
            <w:pPr>
              <w:rPr>
                <w:rFonts w:ascii="Times New Roman" w:hAnsi="Times New Roman"/>
                <w:sz w:val="24"/>
              </w:rPr>
            </w:pPr>
            <w:r>
              <w:rPr>
                <w:rFonts w:ascii="Times New Roman" w:hAnsi="Times New Roman"/>
                <w:sz w:val="24"/>
              </w:rPr>
              <w:t>Celkový objem rizikově vážené expozice pro úvěrové riziko vypočítaný podle přístupu IRB s přihlédnutím k podpůrným koeficientům v souladu s články 501 a 501a nařízení (EU) č. 575/2013.</w:t>
            </w:r>
          </w:p>
        </w:tc>
      </w:tr>
      <w:tr w:rsidR="007266CF" w:rsidRPr="002A677E" w14:paraId="388C6CE7" w14:textId="77777777" w:rsidTr="007266CF">
        <w:trPr>
          <w:trHeight w:val="338"/>
        </w:trPr>
        <w:tc>
          <w:tcPr>
            <w:tcW w:w="1188" w:type="dxa"/>
            <w:tcBorders>
              <w:top w:val="single" w:sz="4" w:space="0" w:color="auto"/>
              <w:left w:val="nil"/>
              <w:bottom w:val="nil"/>
              <w:right w:val="nil"/>
            </w:tcBorders>
            <w:shd w:val="clear" w:color="auto" w:fill="auto"/>
          </w:tcPr>
          <w:p w14:paraId="6A96A648" w14:textId="77777777" w:rsidR="007266CF" w:rsidRPr="002A677E" w:rsidRDefault="007266CF" w:rsidP="007266CF">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075F6DE" w14:textId="77777777" w:rsidR="007266CF" w:rsidRPr="002A677E" w:rsidRDefault="007266CF" w:rsidP="007266CF">
            <w:pPr>
              <w:rPr>
                <w:rFonts w:ascii="Times New Roman" w:hAnsi="Times New Roman"/>
                <w:b/>
                <w:sz w:val="24"/>
              </w:rPr>
            </w:pPr>
          </w:p>
        </w:tc>
      </w:tr>
      <w:tr w:rsidR="007266CF" w:rsidRPr="002A677E" w14:paraId="7B3327F0" w14:textId="77777777" w:rsidTr="007266CF">
        <w:tc>
          <w:tcPr>
            <w:tcW w:w="1188" w:type="dxa"/>
            <w:shd w:val="clear" w:color="auto" w:fill="CCCCCC"/>
          </w:tcPr>
          <w:p w14:paraId="7E3AB3FA"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843" w:type="dxa"/>
            <w:shd w:val="clear" w:color="auto" w:fill="CCCCCC"/>
          </w:tcPr>
          <w:p w14:paraId="2D178AC3"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25482DE5"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74901EDE" w14:textId="77777777" w:rsidR="007266CF" w:rsidRPr="002A677E" w:rsidRDefault="007266CF" w:rsidP="007266CF">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FD0E1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VÁŽENÉ EXPOZICE NA KONCI PŘEDCHOZÍHO VYKAZOVANÉHO OBDOBÍ</w:t>
            </w:r>
          </w:p>
          <w:p w14:paraId="2211F09B" w14:textId="77777777" w:rsidR="007266CF" w:rsidRPr="002A677E" w:rsidRDefault="007266CF" w:rsidP="007266CF">
            <w:pPr>
              <w:rPr>
                <w:rFonts w:ascii="Times New Roman" w:hAnsi="Times New Roman"/>
                <w:sz w:val="24"/>
              </w:rPr>
            </w:pPr>
            <w:r>
              <w:rPr>
                <w:rFonts w:ascii="Times New Roman" w:hAnsi="Times New Roman"/>
                <w:sz w:val="24"/>
              </w:rPr>
              <w:t>Objem rizikově vážené expozice na konci předchozího vykazovaného období po uplatnění podpůrných koeficientů pro malé a střední podniky a infrastrukturu stanovených v článcích 501 a 501a nařízení (EU) č. 575/2013</w:t>
            </w:r>
          </w:p>
        </w:tc>
      </w:tr>
      <w:tr w:rsidR="007266CF" w:rsidRPr="002A677E" w14:paraId="6C7F54F8"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5D157DE3"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C8B432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VÝŠE AKTIV (+/−)</w:t>
            </w:r>
          </w:p>
          <w:p w14:paraId="259D341F" w14:textId="77777777" w:rsidR="007266CF" w:rsidRPr="002A677E" w:rsidRDefault="007266CF" w:rsidP="007266CF">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v důsledku změny výše aktiv, tj. běžné změny velikosti a složení portfolia (včetně vzniku nových podniků a splatných úvěrů), avšak s vyloučením změn ve velikosti portfolia v důsledku nabytí a pozbytí subjektů</w:t>
            </w:r>
          </w:p>
          <w:p w14:paraId="1AE55F22" w14:textId="77777777" w:rsidR="007266CF" w:rsidRPr="002A677E" w:rsidRDefault="007266CF" w:rsidP="007266CF">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7266CF" w:rsidRPr="002A677E" w14:paraId="543B777D"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6BEBA215"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9B5E05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KVALITA AKTIV (+/−)</w:t>
            </w:r>
          </w:p>
          <w:p w14:paraId="616D1671" w14:textId="77777777" w:rsidR="007266CF" w:rsidRPr="002A677E" w:rsidRDefault="007266CF" w:rsidP="007266CF">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v důsledku změny kvality aktiv, tj. změn v odhadované kvalitě aktiv instituce z titulu změn dlužníkova rizika, jako je např. migrace ratingového stupně nebo podobné účinky</w:t>
            </w:r>
          </w:p>
          <w:p w14:paraId="3102D1E8" w14:textId="77777777" w:rsidR="007266CF" w:rsidRPr="002A677E" w:rsidRDefault="007266CF" w:rsidP="007266CF">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7266CF" w:rsidRPr="002A677E" w14:paraId="6815CAF5"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0863D7D2"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95B4BD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AKTUALIZACE MODELŮ (+/−)</w:t>
            </w:r>
          </w:p>
          <w:p w14:paraId="3E7A1615" w14:textId="77777777" w:rsidR="007266CF" w:rsidRPr="002A677E" w:rsidRDefault="007266CF" w:rsidP="007266CF">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v důsledku aktualizací modelů, tj. změn z titulu zavedení nových modelů, změn modelů, změn rozsahu modelů nebo jakýchkoli jiných změn týkajících se řešení slabých stránek modelů</w:t>
            </w:r>
          </w:p>
          <w:p w14:paraId="6CADF17A" w14:textId="77777777" w:rsidR="007266CF" w:rsidRPr="002A677E" w:rsidRDefault="007266CF" w:rsidP="007266CF">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7266CF" w:rsidRPr="002A677E" w14:paraId="1663DEFE"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2717F9BD"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DD48E3E"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METODIKA A POLITIKA (+/−)</w:t>
            </w:r>
          </w:p>
          <w:p w14:paraId="3E61BE69" w14:textId="77777777" w:rsidR="007266CF" w:rsidRPr="002A677E" w:rsidRDefault="007266CF" w:rsidP="007266CF">
            <w:pPr>
              <w:rPr>
                <w:rFonts w:ascii="Times New Roman" w:hAnsi="Times New Roman"/>
                <w:sz w:val="24"/>
              </w:rPr>
            </w:pPr>
            <w:r>
              <w:rPr>
                <w:rFonts w:ascii="Times New Roman" w:hAnsi="Times New Roman"/>
                <w:sz w:val="24"/>
              </w:rPr>
              <w:t xml:space="preserve">Změna objemu rizikově vážené expozice mezi koncem předchozího vykazovaného období a koncem běžného vykazovaného období v důsledku metodiky a politiky, tj. změn z titulu metodických změn ve výpočtech způsobených změnami regulační politiky, včetně revizí stávajících předpisů i nových předpisů, s výjimkou změn modelů, které jsou zahrnuty do řádku 0040 </w:t>
            </w:r>
          </w:p>
          <w:p w14:paraId="46D28C79" w14:textId="77777777" w:rsidR="007266CF" w:rsidRPr="002A677E" w:rsidRDefault="007266CF" w:rsidP="007266CF">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7266CF" w:rsidRPr="002A677E" w14:paraId="0945A3F6"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106E725F"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264D8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NABYTÍ A POZBYTÍ (+/−)</w:t>
            </w:r>
          </w:p>
          <w:p w14:paraId="7079E60C" w14:textId="77777777" w:rsidR="007266CF" w:rsidRPr="002A677E" w:rsidRDefault="007266CF" w:rsidP="007266CF">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ke které došlo v důsledku nabytí a pozbytí, tj. změn velikosti portfolia v důsledku nabytí a pozbytí subjektů</w:t>
            </w:r>
          </w:p>
          <w:p w14:paraId="0F7B53AC" w14:textId="77777777" w:rsidR="007266CF" w:rsidRPr="002A677E" w:rsidRDefault="007266CF" w:rsidP="007266CF">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7266CF" w:rsidRPr="002A677E" w14:paraId="42351501"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4FAFC9DE" w14:textId="77777777" w:rsidR="007266CF" w:rsidRPr="002A677E" w:rsidRDefault="007266CF" w:rsidP="007266CF">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E017A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DEVIZOVÉ POHYBY (+/−)</w:t>
            </w:r>
          </w:p>
          <w:p w14:paraId="20F81885" w14:textId="77777777" w:rsidR="007266CF" w:rsidRPr="002A677E" w:rsidRDefault="007266CF" w:rsidP="007266CF">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ke které došlo v důsledku devizových pohybů, tj. změn způsobených pohyby převodů z cizích měn</w:t>
            </w:r>
          </w:p>
          <w:p w14:paraId="68D1584B" w14:textId="77777777" w:rsidR="007266CF" w:rsidRPr="002A677E" w:rsidRDefault="007266CF" w:rsidP="007266CF">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7266CF" w:rsidRPr="002A677E" w14:paraId="1918AD99"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0973A673"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4C5508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OSTATNÍ (+/−)</w:t>
            </w:r>
          </w:p>
          <w:p w14:paraId="10AE770D" w14:textId="77777777" w:rsidR="007266CF" w:rsidRPr="002A677E" w:rsidRDefault="007266CF" w:rsidP="007266CF">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ke které došlo z jiných důvodů</w:t>
            </w:r>
          </w:p>
          <w:p w14:paraId="1019EFD0" w14:textId="77777777" w:rsidR="007266CF" w:rsidRPr="002A677E" w:rsidRDefault="007266CF" w:rsidP="007266CF">
            <w:pPr>
              <w:rPr>
                <w:rFonts w:ascii="Times New Roman" w:hAnsi="Times New Roman"/>
                <w:sz w:val="24"/>
              </w:rPr>
            </w:pPr>
            <w:r>
              <w:rPr>
                <w:rFonts w:ascii="Times New Roman" w:hAnsi="Times New Roman"/>
                <w:sz w:val="24"/>
              </w:rPr>
              <w:t xml:space="preserve">Tato kategorie se použije k zachycení změn, které nelze zařadit do žádné jiné kategorie. </w:t>
            </w:r>
          </w:p>
          <w:p w14:paraId="4E11B9FB" w14:textId="77777777" w:rsidR="007266CF" w:rsidRPr="002A677E" w:rsidRDefault="007266CF" w:rsidP="007266CF">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7266CF" w:rsidRPr="002A677E" w14:paraId="29A0D459"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62C89122"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374BB4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VÁŽENÉ EXPOZICE NA KONCI VYKAZOVANÉHO OBDOBÍ</w:t>
            </w:r>
          </w:p>
          <w:p w14:paraId="7041DBF9" w14:textId="77777777" w:rsidR="007266CF" w:rsidRPr="002A677E" w:rsidRDefault="007266CF" w:rsidP="007266CF">
            <w:pPr>
              <w:pStyle w:val="CommentText"/>
            </w:pPr>
            <w:r>
              <w:rPr>
                <w:rFonts w:ascii="Times New Roman" w:hAnsi="Times New Roman"/>
                <w:sz w:val="24"/>
              </w:rPr>
              <w:t>Objem rizikově vážené expozice ve vykazovaném období po uplatnění podpůrných koeficientů pro malé a střední podniky a infrastrukturu stanovených v článcích 501 a 501a nařízení (EU) č. 575/2013</w:t>
            </w:r>
          </w:p>
        </w:tc>
      </w:tr>
    </w:tbl>
    <w:p w14:paraId="19FF1B99" w14:textId="77777777" w:rsidR="007266CF" w:rsidRPr="002A677E" w:rsidRDefault="007266CF" w:rsidP="00A75C39">
      <w:pPr>
        <w:pStyle w:val="Instructionsberschrift2"/>
        <w:numPr>
          <w:ilvl w:val="2"/>
          <w:numId w:val="27"/>
        </w:numPr>
        <w:rPr>
          <w:rFonts w:ascii="Times New Roman" w:hAnsi="Times New Roman" w:cs="Times New Roman"/>
          <w:sz w:val="24"/>
        </w:rPr>
      </w:pPr>
      <w:bookmarkStart w:id="126" w:name="_Toc116026756"/>
      <w:bookmarkStart w:id="127" w:name="_Toc119077913"/>
      <w:r>
        <w:rPr>
          <w:rFonts w:ascii="Times New Roman" w:hAnsi="Times New Roman"/>
          <w:sz w:val="24"/>
        </w:rPr>
        <w:t>C 08.05 – Úvěrové riziko a volné dodávky: přístup IRB ke kapitálovým požadavkům (zpětné testování PD (CR IRB 5))</w:t>
      </w:r>
      <w:bookmarkEnd w:id="126"/>
      <w:bookmarkEnd w:id="127"/>
    </w:p>
    <w:p w14:paraId="6AD27813"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28" w:name="_Toc116026757"/>
      <w:bookmarkStart w:id="129" w:name="_Toc119077914"/>
      <w:r>
        <w:rPr>
          <w:rFonts w:ascii="Times New Roman" w:hAnsi="Times New Roman"/>
          <w:sz w:val="24"/>
        </w:rPr>
        <w:t>Obecné poznámky</w:t>
      </w:r>
      <w:bookmarkEnd w:id="128"/>
      <w:bookmarkEnd w:id="129"/>
    </w:p>
    <w:p w14:paraId="27555349" w14:textId="77777777" w:rsidR="007266CF" w:rsidRPr="002A677E" w:rsidRDefault="007266CF" w:rsidP="007266CF">
      <w:pPr>
        <w:pStyle w:val="InstructionsText2"/>
        <w:numPr>
          <w:ilvl w:val="0"/>
          <w:numId w:val="0"/>
        </w:numPr>
        <w:ind w:left="1353" w:hanging="360"/>
      </w:pPr>
      <w:fldSimple w:instr=" seq paragraphs ">
        <w:r>
          <w:t>80</w:t>
        </w:r>
      </w:fldSimple>
      <w:r>
        <w:t>. Instituce vykazují informace obsažené v této šabloně podle čl. 452 písm. h) nařízení (EU) č. 575/2013. Instituce zváží modely používané v každé kategorii expozic a vysvětlí procentní podíl objemu rizikově vážené expozice příslušné kategorie expozic, na kterou se vztahují modely a pro niž jsou zde uvedeny výsledky zpětného testování. Tato šablona nezahrnuje expozice úvěrového rizika protistrany (část třetí hlava II kapitola 6 nařízení (EU) č. 575/2013).</w:t>
      </w:r>
    </w:p>
    <w:p w14:paraId="0F68DE08"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30" w:name="_Toc116026758"/>
      <w:bookmarkStart w:id="131" w:name="_Toc119077915"/>
      <w:r>
        <w:rPr>
          <w:rFonts w:ascii="Times New Roman" w:hAnsi="Times New Roman"/>
          <w:sz w:val="24"/>
        </w:rPr>
        <w:t>Pokyny pro konkrétní pozice</w:t>
      </w:r>
      <w:bookmarkEnd w:id="130"/>
      <w:bookmarkEnd w:id="13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0BB4FE16" w14:textId="77777777" w:rsidTr="007266CF">
        <w:tc>
          <w:tcPr>
            <w:tcW w:w="1188" w:type="dxa"/>
            <w:shd w:val="clear" w:color="auto" w:fill="CCCCCC"/>
          </w:tcPr>
          <w:p w14:paraId="451A8976"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shd w:val="clear" w:color="auto" w:fill="CCCCCC"/>
          </w:tcPr>
          <w:p w14:paraId="26184252"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443B17CB"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3984519B"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43B895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ARITMETICKÝ PRŮMĚR PD (%)</w:t>
            </w:r>
          </w:p>
          <w:p w14:paraId="1B0FB262" w14:textId="77777777" w:rsidR="007266CF" w:rsidRPr="002A677E" w:rsidRDefault="007266CF" w:rsidP="007266CF">
            <w:pPr>
              <w:rPr>
                <w:rFonts w:ascii="Times New Roman" w:hAnsi="Times New Roman"/>
                <w:b/>
                <w:sz w:val="24"/>
              </w:rPr>
            </w:pPr>
            <w:r>
              <w:rPr>
                <w:rFonts w:ascii="Times New Roman" w:hAnsi="Times New Roman"/>
                <w:sz w:val="24"/>
              </w:rPr>
              <w:t>Aritmetický průměr PD na začátku vykazovaného období u dlužníků, kteří spadají do koše pevného rozmezí PD vypočítaný ve sloupci 0020 (průměr vážený počtem dlužníků)</w:t>
            </w:r>
          </w:p>
        </w:tc>
      </w:tr>
      <w:tr w:rsidR="007266CF" w:rsidRPr="002A677E" w14:paraId="4C32E549"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2A0C9772"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1ABBF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POČET DLUŽNÍKŮ NA KONCI PŘEDCHOZÍHO ROKU</w:t>
            </w:r>
          </w:p>
          <w:p w14:paraId="5CA8E9FC" w14:textId="77777777" w:rsidR="007266CF" w:rsidRPr="002A677E" w:rsidRDefault="007266CF" w:rsidP="007266CF">
            <w:pPr>
              <w:rPr>
                <w:rFonts w:ascii="Times New Roman" w:hAnsi="Times New Roman"/>
                <w:sz w:val="24"/>
              </w:rPr>
            </w:pPr>
            <w:r>
              <w:rPr>
                <w:rFonts w:ascii="Times New Roman" w:hAnsi="Times New Roman"/>
                <w:sz w:val="24"/>
              </w:rPr>
              <w:t xml:space="preserve">Počet dlužníků na konci předchozího vykazovaného roku </w:t>
            </w:r>
          </w:p>
          <w:p w14:paraId="572555CB" w14:textId="77777777" w:rsidR="007266CF" w:rsidRPr="002A677E" w:rsidRDefault="007266CF" w:rsidP="007266CF">
            <w:pPr>
              <w:rPr>
                <w:rFonts w:ascii="Times New Roman" w:hAnsi="Times New Roman"/>
                <w:sz w:val="24"/>
              </w:rPr>
            </w:pPr>
            <w:r>
              <w:rPr>
                <w:rFonts w:ascii="Times New Roman" w:hAnsi="Times New Roman"/>
                <w:sz w:val="24"/>
              </w:rPr>
              <w:t xml:space="preserve">Uvedou se všichni dlužníci, kteří mají v příslušném okamžiku úvěrový závazek. </w:t>
            </w:r>
          </w:p>
          <w:p w14:paraId="4E592024" w14:textId="77777777" w:rsidR="007266CF" w:rsidRPr="002A677E" w:rsidRDefault="007266CF" w:rsidP="007266CF">
            <w:pPr>
              <w:rPr>
                <w:rFonts w:ascii="Times New Roman" w:hAnsi="Times New Roman"/>
                <w:sz w:val="24"/>
              </w:rPr>
            </w:pPr>
            <w:r>
              <w:rPr>
                <w:rFonts w:ascii="Times New Roman" w:hAnsi="Times New Roman"/>
                <w:sz w:val="24"/>
              </w:rPr>
              <w:t>Počet dlužníků se vypočítá v souladu s pokyny ve sloupci 0300 šablony C 08.01. Se společnými dlužníky se zachází stejným způsobem jako pro účely kalibrace PD.</w:t>
            </w:r>
          </w:p>
        </w:tc>
      </w:tr>
      <w:tr w:rsidR="007266CF" w:rsidRPr="002A677E" w14:paraId="63E48A52"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5793040D" w14:textId="77777777" w:rsidR="007266CF" w:rsidRPr="002A677E" w:rsidRDefault="007266CF" w:rsidP="007266CF">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E0F3B1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V SELHÁNÍ BĚHEM ROKU</w:t>
            </w:r>
          </w:p>
          <w:p w14:paraId="695ACF6C"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Počet dlužníků, u nichž došlo k selhání během roku (tj. sledovaného období pro výpočet míry selhání) </w:t>
            </w:r>
          </w:p>
          <w:p w14:paraId="5BD45BEB"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Selhání se určí v souladu s článkem 178 nařízení (EU) č. 575/2013. </w:t>
            </w:r>
          </w:p>
          <w:p w14:paraId="7CD71F9B" w14:textId="77777777" w:rsidR="007266CF" w:rsidRPr="002A677E" w:rsidRDefault="007266CF" w:rsidP="007266CF">
            <w:pPr>
              <w:rPr>
                <w:rFonts w:ascii="Times New Roman" w:hAnsi="Times New Roman"/>
                <w:b/>
                <w:sz w:val="24"/>
                <w:u w:val="single"/>
              </w:rPr>
            </w:pPr>
            <w:r>
              <w:rPr>
                <w:rFonts w:ascii="Times New Roman" w:hAnsi="Times New Roman"/>
                <w:sz w:val="24"/>
              </w:rPr>
              <w:t>Každý dlužník, u nějž došlo k selhání, se v čitateli a jmenovateli výpočtu jednoletého poměru selhání počítá pouze jednou, a to i v případě, že u dlužníka během příslušného jednoletého období došlo k selhání více než jednou.</w:t>
            </w:r>
          </w:p>
        </w:tc>
      </w:tr>
      <w:tr w:rsidR="007266CF" w:rsidRPr="006223CC" w14:paraId="665C1529"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519B664C"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1B04AC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ZJIŠTĚNÝ PRŮMĚRNÝ PODÍL SELHÁNÍ (%)</w:t>
            </w:r>
          </w:p>
          <w:p w14:paraId="73316D9C" w14:textId="77777777" w:rsidR="007266CF" w:rsidRPr="006223CC" w:rsidRDefault="007266CF" w:rsidP="007266CF">
            <w:pPr>
              <w:autoSpaceDE w:val="0"/>
              <w:autoSpaceDN w:val="0"/>
              <w:adjustRightInd w:val="0"/>
              <w:rPr>
                <w:rFonts w:ascii="Times New Roman" w:hAnsi="Times New Roman"/>
                <w:sz w:val="24"/>
                <w:lang w:val="fr-FR"/>
              </w:rPr>
            </w:pPr>
            <w:r>
              <w:rPr>
                <w:rFonts w:ascii="Times New Roman" w:hAnsi="Times New Roman"/>
                <w:sz w:val="24"/>
              </w:rPr>
              <w:t>Jednoletý poměr selhání podle čl. 4 odst. </w:t>
            </w:r>
            <w:r w:rsidRPr="006223CC">
              <w:rPr>
                <w:rFonts w:ascii="Times New Roman" w:hAnsi="Times New Roman"/>
                <w:sz w:val="24"/>
                <w:lang w:val="fr-FR"/>
              </w:rPr>
              <w:t>1 bodu 78 nařízení (EU) č. 575/2013</w:t>
            </w:r>
          </w:p>
          <w:p w14:paraId="4A46F827" w14:textId="77777777" w:rsidR="007266CF" w:rsidRPr="006223CC" w:rsidRDefault="007266CF" w:rsidP="007266CF">
            <w:pPr>
              <w:autoSpaceDE w:val="0"/>
              <w:autoSpaceDN w:val="0"/>
              <w:adjustRightInd w:val="0"/>
              <w:rPr>
                <w:rFonts w:ascii="Times New Roman" w:hAnsi="Times New Roman"/>
                <w:sz w:val="24"/>
                <w:lang w:val="fr-FR"/>
              </w:rPr>
            </w:pPr>
            <w:r w:rsidRPr="006223CC">
              <w:rPr>
                <w:rFonts w:ascii="Times New Roman" w:hAnsi="Times New Roman"/>
                <w:sz w:val="24"/>
                <w:lang w:val="fr-FR"/>
              </w:rPr>
              <w:t>Instituce zajistí:</w:t>
            </w:r>
          </w:p>
          <w:p w14:paraId="1FAABB06" w14:textId="77777777" w:rsidR="007266CF" w:rsidRPr="006223CC" w:rsidRDefault="007266CF" w:rsidP="007266CF">
            <w:pPr>
              <w:autoSpaceDE w:val="0"/>
              <w:autoSpaceDN w:val="0"/>
              <w:adjustRightInd w:val="0"/>
              <w:rPr>
                <w:rFonts w:ascii="Times New Roman" w:hAnsi="Times New Roman"/>
                <w:sz w:val="24"/>
                <w:lang w:val="fr-FR"/>
              </w:rPr>
            </w:pPr>
            <w:r w:rsidRPr="006223CC">
              <w:rPr>
                <w:rFonts w:ascii="Times New Roman" w:hAnsi="Times New Roman"/>
                <w:sz w:val="24"/>
                <w:lang w:val="fr-FR"/>
              </w:rPr>
              <w:t>a) aby se jmenovatel skládal z počtu dlužníků s jakýmkoli úvěrovým závazkem pozorovaným na začátku sledovaného jednoletého období (tj. na začátku roku předcházejícího referenčnímu datu vykazování), u nichž nedošlo k selhání; v této souvislosti se úvěrovým závazkem rozumí: i) jakákoli rozvahová položka, včetně jakékoli částky jistiny, úroků a poplatků; ii) jakékoli podrozvahové položky, včetně záruk, které instituce vydala jako ručitel;</w:t>
            </w:r>
          </w:p>
          <w:p w14:paraId="73D59A43"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b) aby čitatel zahrnoval všechny dlužníky uvažované ve jmenovateli, u nichž během sledovaného jednoletého období (rok před referenčním datem vykazování) došlo alespoň k jednomu selhání.</w:t>
            </w:r>
          </w:p>
          <w:p w14:paraId="648BE84F"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Postup stanovení počtu dlužníků je uveden ve sloupci 0300 šablony C 08.01.</w:t>
            </w:r>
          </w:p>
        </w:tc>
      </w:tr>
      <w:tr w:rsidR="007266CF" w:rsidRPr="002A677E" w14:paraId="5CADFC30"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75A4A666"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909575" w14:textId="77777777" w:rsidR="007266CF" w:rsidRPr="002A677E" w:rsidRDefault="007266CF" w:rsidP="007266CF">
            <w:pPr>
              <w:rPr>
                <w:rFonts w:ascii="Times New Roman" w:hAnsi="Times New Roman"/>
                <w:sz w:val="24"/>
                <w:u w:val="single"/>
              </w:rPr>
            </w:pPr>
            <w:r>
              <w:rPr>
                <w:rFonts w:ascii="Times New Roman" w:hAnsi="Times New Roman"/>
                <w:b/>
                <w:sz w:val="24"/>
                <w:u w:val="single"/>
              </w:rPr>
              <w:t>PRŮMĚRNÝ HISTORICKÝ ROČNÍ PODÍL SELHÁNÍ (%)</w:t>
            </w:r>
          </w:p>
          <w:p w14:paraId="6DC293D3" w14:textId="77777777" w:rsidR="007266CF" w:rsidRPr="002A677E" w:rsidRDefault="007266CF" w:rsidP="007266CF">
            <w:pPr>
              <w:rPr>
                <w:rFonts w:ascii="Times New Roman" w:hAnsi="Times New Roman"/>
                <w:sz w:val="24"/>
              </w:rPr>
            </w:pPr>
            <w:r>
              <w:rPr>
                <w:rFonts w:ascii="Times New Roman" w:hAnsi="Times New Roman"/>
                <w:sz w:val="24"/>
              </w:rPr>
              <w:t>Minimem je aritmetický průměr ročních podílů selhání za posledních pět let (dlužníci na začátku každého roku, kteří jsou v průběhu daného roku v selhání / celkový počet dlužníků na začátku roku). Instituce může použít delší historické období, které odpovídá jejím současným postupům řízení rizik.</w:t>
            </w:r>
          </w:p>
        </w:tc>
      </w:tr>
    </w:tbl>
    <w:p w14:paraId="19B0A511" w14:textId="77777777" w:rsidR="007266CF" w:rsidRPr="002A677E" w:rsidRDefault="007266CF" w:rsidP="007266CF">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8545"/>
      </w:tblGrid>
      <w:tr w:rsidR="007266CF" w:rsidRPr="002A677E" w14:paraId="2F2E4D4C" w14:textId="77777777" w:rsidTr="007266CF">
        <w:tc>
          <w:tcPr>
            <w:tcW w:w="1271" w:type="dxa"/>
            <w:shd w:val="pct25" w:color="auto" w:fill="auto"/>
          </w:tcPr>
          <w:p w14:paraId="28B938AC"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557" w:type="dxa"/>
            <w:shd w:val="pct25" w:color="auto" w:fill="auto"/>
          </w:tcPr>
          <w:p w14:paraId="64BFDA80"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4BC89A99" w14:textId="77777777" w:rsidTr="007266CF">
        <w:tc>
          <w:tcPr>
            <w:tcW w:w="1271" w:type="dxa"/>
          </w:tcPr>
          <w:p w14:paraId="1E582C8F" w14:textId="77777777" w:rsidR="007266CF" w:rsidRPr="002A677E" w:rsidRDefault="007266CF" w:rsidP="007266CF">
            <w:pPr>
              <w:rPr>
                <w:rFonts w:ascii="Times New Roman" w:hAnsi="Times New Roman"/>
                <w:sz w:val="24"/>
              </w:rPr>
            </w:pPr>
            <w:r>
              <w:rPr>
                <w:rFonts w:ascii="Times New Roman" w:hAnsi="Times New Roman"/>
                <w:sz w:val="24"/>
              </w:rPr>
              <w:t>ROZMEZÍ PD</w:t>
            </w:r>
          </w:p>
        </w:tc>
        <w:tc>
          <w:tcPr>
            <w:tcW w:w="8557" w:type="dxa"/>
          </w:tcPr>
          <w:p w14:paraId="37B23C85" w14:textId="77777777" w:rsidR="007266CF" w:rsidRPr="002A677E" w:rsidRDefault="007266CF" w:rsidP="007266CF">
            <w:pPr>
              <w:rPr>
                <w:rFonts w:ascii="Times New Roman" w:hAnsi="Times New Roman"/>
                <w:sz w:val="24"/>
              </w:rPr>
            </w:pPr>
            <w:r>
              <w:rPr>
                <w:rFonts w:ascii="Times New Roman" w:hAnsi="Times New Roman"/>
                <w:sz w:val="24"/>
              </w:rPr>
              <w:t>Expozice se přiřadí do vhodného koše pevného rozmezí PD na základě PD pro každého dlužníka zařazeného do dané kategorie expozic (bez zohlednění případných substitučních účinků v důsledku snižování úvěrového rizika) odhadnuté na začátku vykazovaného období. Instituce přiřadí jednotlivé expozice k rozmezí PD uvedenému v šabloně s přihlédnutím ke kontinuálním stupnicím. Všechny expozice, u nichž došlo k selhání, se zahrnují do koše PD o hodnotě 100 %.</w:t>
            </w:r>
          </w:p>
        </w:tc>
      </w:tr>
    </w:tbl>
    <w:p w14:paraId="69DFC914" w14:textId="77777777" w:rsidR="007266CF" w:rsidRPr="002A677E" w:rsidRDefault="007266CF" w:rsidP="00A75C39">
      <w:pPr>
        <w:pStyle w:val="Instructionsberschrift2"/>
        <w:numPr>
          <w:ilvl w:val="2"/>
          <w:numId w:val="27"/>
        </w:numPr>
        <w:rPr>
          <w:rFonts w:ascii="Times New Roman" w:hAnsi="Times New Roman" w:cs="Times New Roman"/>
          <w:sz w:val="24"/>
        </w:rPr>
      </w:pPr>
      <w:bookmarkStart w:id="132" w:name="_Toc116026759"/>
      <w:bookmarkStart w:id="133" w:name="_Toc119077916"/>
      <w:r>
        <w:rPr>
          <w:rFonts w:ascii="Times New Roman" w:hAnsi="Times New Roman"/>
          <w:sz w:val="24"/>
        </w:rPr>
        <w:lastRenderedPageBreak/>
        <w:t>C 08.05.1 – Úvěrové riziko a volné dodávky: Přístup ke kapitálovým požadavkům založený na interním ratingu (IRB): Zpětné testování PD podle čl. 180 odst. 1 písm. f) nařízení (EU) č. 575/2013 (CR IRB 5B)</w:t>
      </w:r>
      <w:bookmarkEnd w:id="132"/>
      <w:bookmarkEnd w:id="133"/>
    </w:p>
    <w:p w14:paraId="4931FAE0"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34" w:name="_Toc116026760"/>
      <w:bookmarkStart w:id="135" w:name="_Toc119077917"/>
      <w:r>
        <w:rPr>
          <w:rFonts w:ascii="Times New Roman" w:hAnsi="Times New Roman"/>
          <w:sz w:val="24"/>
        </w:rPr>
        <w:t>Pokyny pro konkrétní pozice</w:t>
      </w:r>
      <w:bookmarkEnd w:id="134"/>
      <w:bookmarkEnd w:id="135"/>
    </w:p>
    <w:p w14:paraId="1D7251D2" w14:textId="77777777" w:rsidR="007266CF" w:rsidRPr="002A677E" w:rsidRDefault="007266CF" w:rsidP="007266CF">
      <w:pPr>
        <w:pStyle w:val="InstructionsText2"/>
        <w:numPr>
          <w:ilvl w:val="0"/>
          <w:numId w:val="0"/>
        </w:numPr>
        <w:ind w:left="1353" w:hanging="360"/>
      </w:pPr>
      <w:fldSimple w:instr=" seq paragraphs ">
        <w:r>
          <w:t>81</w:t>
        </w:r>
      </w:fldSimple>
      <w:r>
        <w:t>. Kromě šablony C 08.05 instituce vykazují informace obsažené v šabloně C 08.05.1 v případě, že pro odhad PD použijí čl. 180 odst. 1 písm. f) nařízení (EU) č. 575/2013, a pouze pro odhady PD v souladu s týmž článkem. Pokyny jsou stejné jako pro šablonu C 08.05, s těmito výjimkami: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3C8A8D70" w14:textId="77777777" w:rsidTr="007266CF">
        <w:tc>
          <w:tcPr>
            <w:tcW w:w="1188" w:type="dxa"/>
            <w:shd w:val="clear" w:color="auto" w:fill="CCCCCC"/>
          </w:tcPr>
          <w:p w14:paraId="45B9B516"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shd w:val="clear" w:color="auto" w:fill="CCCCCC"/>
          </w:tcPr>
          <w:p w14:paraId="0064F7FE"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465958C7" w14:textId="77777777" w:rsidTr="007266CF">
        <w:tc>
          <w:tcPr>
            <w:tcW w:w="1188" w:type="dxa"/>
            <w:shd w:val="clear" w:color="auto" w:fill="auto"/>
          </w:tcPr>
          <w:p w14:paraId="2A60C414" w14:textId="77777777" w:rsidR="007266CF" w:rsidRPr="002A677E" w:rsidRDefault="007266CF" w:rsidP="007266CF">
            <w:pPr>
              <w:rPr>
                <w:rFonts w:ascii="Times New Roman" w:hAnsi="Times New Roman"/>
                <w:sz w:val="24"/>
              </w:rPr>
            </w:pPr>
            <w:r>
              <w:rPr>
                <w:rFonts w:ascii="Times New Roman" w:hAnsi="Times New Roman"/>
                <w:sz w:val="24"/>
              </w:rPr>
              <w:t>0005</w:t>
            </w:r>
          </w:p>
        </w:tc>
        <w:tc>
          <w:tcPr>
            <w:tcW w:w="8843" w:type="dxa"/>
            <w:shd w:val="clear" w:color="auto" w:fill="auto"/>
          </w:tcPr>
          <w:p w14:paraId="5D4EF29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ROZMEZÍ PD</w:t>
            </w:r>
          </w:p>
          <w:p w14:paraId="38BD0443" w14:textId="77777777" w:rsidR="007266CF" w:rsidRPr="002A677E" w:rsidRDefault="007266CF" w:rsidP="007266CF">
            <w:pPr>
              <w:rPr>
                <w:rFonts w:ascii="Times New Roman" w:hAnsi="Times New Roman"/>
                <w:sz w:val="24"/>
              </w:rPr>
            </w:pPr>
            <w:r>
              <w:rPr>
                <w:rFonts w:ascii="Times New Roman" w:hAnsi="Times New Roman"/>
                <w:sz w:val="24"/>
              </w:rPr>
              <w:t xml:space="preserve">Instituce namísto pevného externího rozsahu PD vykazují rozmezí PD </w:t>
            </w:r>
            <w:r>
              <w:rPr>
                <w:rStyle w:val="InstructionsTabelleText"/>
                <w:rFonts w:ascii="Times New Roman" w:hAnsi="Times New Roman"/>
                <w:sz w:val="24"/>
              </w:rPr>
              <w:t>v souladu se</w:t>
            </w:r>
            <w:r>
              <w:rPr>
                <w:rFonts w:ascii="Times New Roman" w:hAnsi="Times New Roman"/>
                <w:sz w:val="24"/>
              </w:rPr>
              <w:t xml:space="preserve"> svými interními stupni, které přiřazují ke stupnici používané externí ratingovou agenturou.</w:t>
            </w:r>
          </w:p>
        </w:tc>
      </w:tr>
      <w:tr w:rsidR="007266CF" w:rsidRPr="002A677E" w14:paraId="23896914" w14:textId="77777777" w:rsidTr="007266CF">
        <w:tc>
          <w:tcPr>
            <w:tcW w:w="1188" w:type="dxa"/>
            <w:shd w:val="clear" w:color="auto" w:fill="auto"/>
          </w:tcPr>
          <w:p w14:paraId="6CAFAD59" w14:textId="77777777" w:rsidR="007266CF" w:rsidRPr="002A677E" w:rsidRDefault="007266CF" w:rsidP="007266CF">
            <w:pPr>
              <w:rPr>
                <w:rFonts w:ascii="Times New Roman" w:hAnsi="Times New Roman"/>
                <w:sz w:val="24"/>
              </w:rPr>
            </w:pPr>
            <w:r>
              <w:rPr>
                <w:rFonts w:ascii="Times New Roman" w:hAnsi="Times New Roman"/>
                <w:sz w:val="24"/>
              </w:rPr>
              <w:t>0006</w:t>
            </w:r>
          </w:p>
        </w:tc>
        <w:tc>
          <w:tcPr>
            <w:tcW w:w="8843" w:type="dxa"/>
            <w:shd w:val="clear" w:color="auto" w:fill="auto"/>
          </w:tcPr>
          <w:p w14:paraId="2A9A0E1E"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ODPOVÍDAJÍCÍ HODNOTA EXTERNÍHO RATINGU</w:t>
            </w:r>
          </w:p>
          <w:p w14:paraId="731C6631" w14:textId="77777777" w:rsidR="007266CF" w:rsidRPr="002A677E" w:rsidRDefault="007266CF" w:rsidP="007266CF">
            <w:pPr>
              <w:rPr>
                <w:rFonts w:ascii="Times New Roman" w:hAnsi="Times New Roman"/>
                <w:sz w:val="24"/>
              </w:rPr>
            </w:pPr>
            <w:r>
              <w:rPr>
                <w:rFonts w:ascii="Times New Roman" w:hAnsi="Times New Roman"/>
                <w:sz w:val="24"/>
              </w:rPr>
              <w:t>Instituce vyplňují jeden sloupec pro každou externí ratingovou agenturu, jež se zohlední podle čl. 180 odst. 1 písm. f) nařízení (EU) č. 575/2013. Instituce v těchto sloupcích uvedou externí rating, k němuž jsou přiřazeny jejich interní rozsahy PD.</w:t>
            </w:r>
          </w:p>
        </w:tc>
      </w:tr>
    </w:tbl>
    <w:p w14:paraId="6990E0BB" w14:textId="77777777" w:rsidR="007266CF" w:rsidRPr="002A677E" w:rsidRDefault="007266CF" w:rsidP="00A75C39">
      <w:pPr>
        <w:pStyle w:val="Instructionsberschrift2"/>
        <w:numPr>
          <w:ilvl w:val="2"/>
          <w:numId w:val="27"/>
        </w:numPr>
        <w:rPr>
          <w:rFonts w:ascii="Times New Roman" w:hAnsi="Times New Roman" w:cs="Times New Roman"/>
          <w:sz w:val="24"/>
        </w:rPr>
      </w:pPr>
      <w:bookmarkStart w:id="136" w:name="_Toc116026761"/>
      <w:bookmarkStart w:id="137" w:name="_Toc119077918"/>
      <w:r>
        <w:rPr>
          <w:rFonts w:ascii="Times New Roman" w:hAnsi="Times New Roman"/>
          <w:sz w:val="24"/>
        </w:rPr>
        <w:t>C 08.06 – Úvěrové riziko a volné dodávky: přístup IRB ke kapitálovým požadavkům (postup rozřazování pro specializované úvěry (CR IRB 6))</w:t>
      </w:r>
      <w:bookmarkEnd w:id="136"/>
      <w:bookmarkEnd w:id="137"/>
    </w:p>
    <w:p w14:paraId="760A562C"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38" w:name="_Toc116026762"/>
      <w:bookmarkStart w:id="139" w:name="_Toc119077919"/>
      <w:r>
        <w:rPr>
          <w:rFonts w:ascii="Times New Roman" w:hAnsi="Times New Roman"/>
          <w:sz w:val="24"/>
        </w:rPr>
        <w:t>Obecné poznámky</w:t>
      </w:r>
      <w:bookmarkEnd w:id="138"/>
      <w:bookmarkEnd w:id="139"/>
    </w:p>
    <w:p w14:paraId="0598D9F0" w14:textId="77777777" w:rsidR="007266CF" w:rsidRPr="002A677E" w:rsidRDefault="007266CF" w:rsidP="007266CF">
      <w:pPr>
        <w:pStyle w:val="InstructionsText2"/>
        <w:numPr>
          <w:ilvl w:val="0"/>
          <w:numId w:val="0"/>
        </w:numPr>
        <w:ind w:left="1353" w:hanging="360"/>
      </w:pPr>
      <w:fldSimple w:instr=" seq paragraphs ">
        <w:r>
          <w:t>82</w:t>
        </w:r>
      </w:fldSimple>
      <w:r>
        <w:t>. Instituce vykazují informace obsažené v této šabloně podle čl. 438 písm. e) nařízení (EU) č. 575/2013. Instituce vykazují informace o následujících druzích specializovaných úvěrových expozic uvedených v tabulce č. 1 v čl. 153 odst. 5:</w:t>
      </w:r>
    </w:p>
    <w:p w14:paraId="53ED7AB8" w14:textId="77777777" w:rsidR="007266CF" w:rsidRPr="002A677E" w:rsidRDefault="007266CF" w:rsidP="00A75C39">
      <w:pPr>
        <w:pStyle w:val="InstructionsText2"/>
        <w:numPr>
          <w:ilvl w:val="1"/>
          <w:numId w:val="78"/>
        </w:numPr>
      </w:pPr>
      <w:r>
        <w:t>projektové financování;</w:t>
      </w:r>
    </w:p>
    <w:p w14:paraId="5889B6F7" w14:textId="77777777" w:rsidR="007266CF" w:rsidRPr="002A677E" w:rsidRDefault="007266CF" w:rsidP="00A75C39">
      <w:pPr>
        <w:pStyle w:val="InstructionsText2"/>
        <w:numPr>
          <w:ilvl w:val="1"/>
          <w:numId w:val="78"/>
        </w:numPr>
      </w:pPr>
      <w:r>
        <w:t>nemovitosti vytvářející příjem a vysoce volatilní komerční nemovitosti;</w:t>
      </w:r>
    </w:p>
    <w:p w14:paraId="363CFE91" w14:textId="77777777" w:rsidR="007266CF" w:rsidRPr="002A677E" w:rsidRDefault="007266CF" w:rsidP="00A75C39">
      <w:pPr>
        <w:pStyle w:val="InstructionsText2"/>
        <w:numPr>
          <w:ilvl w:val="1"/>
          <w:numId w:val="78"/>
        </w:numPr>
      </w:pPr>
      <w:r>
        <w:t>financování hmotných aktiv;</w:t>
      </w:r>
    </w:p>
    <w:p w14:paraId="5CFEDC89" w14:textId="77777777" w:rsidR="007266CF" w:rsidRPr="002A677E" w:rsidRDefault="007266CF" w:rsidP="00A75C39">
      <w:pPr>
        <w:pStyle w:val="InstructionsText2"/>
        <w:numPr>
          <w:ilvl w:val="1"/>
          <w:numId w:val="78"/>
        </w:numPr>
      </w:pPr>
      <w:r>
        <w:t>komoditní financování.</w:t>
      </w:r>
    </w:p>
    <w:p w14:paraId="385F6822"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40" w:name="_Toc116026763"/>
      <w:bookmarkStart w:id="141" w:name="_Toc119077920"/>
      <w:r>
        <w:rPr>
          <w:rFonts w:ascii="Times New Roman" w:hAnsi="Times New Roman"/>
          <w:sz w:val="24"/>
        </w:rPr>
        <w:t>Pokyny pro konkrétní pozice</w:t>
      </w:r>
      <w:bookmarkEnd w:id="140"/>
      <w:bookmarkEnd w:id="1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3BC6876D" w14:textId="77777777" w:rsidTr="007266CF">
        <w:tc>
          <w:tcPr>
            <w:tcW w:w="1188" w:type="dxa"/>
            <w:shd w:val="clear" w:color="auto" w:fill="CCCCCC"/>
          </w:tcPr>
          <w:p w14:paraId="3F2ABD90"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shd w:val="clear" w:color="auto" w:fill="CCCCCC"/>
          </w:tcPr>
          <w:p w14:paraId="65B715A7"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7861CDFA"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4A463FA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05E34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PŮVODNÍ EXPOZICE PŘED VYNÁSOBENÍM KONVERZNÍMI FAKTORY</w:t>
            </w:r>
          </w:p>
          <w:p w14:paraId="70EE1328" w14:textId="77777777" w:rsidR="007266CF" w:rsidRPr="002A677E" w:rsidRDefault="007266CF" w:rsidP="007266CF">
            <w:pPr>
              <w:rPr>
                <w:rFonts w:ascii="Times New Roman" w:hAnsi="Times New Roman"/>
                <w:sz w:val="24"/>
              </w:rPr>
            </w:pPr>
            <w:r>
              <w:rPr>
                <w:rFonts w:ascii="Times New Roman" w:hAnsi="Times New Roman"/>
                <w:sz w:val="24"/>
              </w:rPr>
              <w:t>Viz pokyny k šabloně CR IRB.</w:t>
            </w:r>
          </w:p>
        </w:tc>
      </w:tr>
      <w:tr w:rsidR="007266CF" w:rsidRPr="002A677E" w14:paraId="40E3DB82"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5B27F81D"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76659F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EXPOZICE PO ZOHLEDNĚNÍ SUBSTITUČNÍCH VLIVŮ SNIŽOVÁNÍ ÚVĚROVÉHO RIZIKA PŘED VYNÁSOBENÍM KONVERZNÍMI FAKTORY</w:t>
            </w:r>
          </w:p>
          <w:p w14:paraId="1C95FBA6" w14:textId="77777777" w:rsidR="007266CF" w:rsidRPr="002A677E" w:rsidRDefault="007266CF" w:rsidP="007266CF">
            <w:pPr>
              <w:rPr>
                <w:rFonts w:ascii="Times New Roman" w:hAnsi="Times New Roman"/>
                <w:sz w:val="24"/>
              </w:rPr>
            </w:pPr>
            <w:r>
              <w:rPr>
                <w:rFonts w:ascii="Times New Roman" w:hAnsi="Times New Roman"/>
                <w:sz w:val="24"/>
              </w:rPr>
              <w:lastRenderedPageBreak/>
              <w:t>Viz pokyny k šabloně CR IRB.</w:t>
            </w:r>
          </w:p>
        </w:tc>
      </w:tr>
      <w:tr w:rsidR="007266CF" w:rsidRPr="002A677E" w14:paraId="45FA7A22"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0068D9A8" w14:textId="77777777" w:rsidR="007266CF" w:rsidRPr="002A677E" w:rsidRDefault="007266CF" w:rsidP="007266CF">
            <w:pPr>
              <w:rPr>
                <w:rFonts w:ascii="Times New Roman" w:hAnsi="Times New Roman"/>
                <w:sz w:val="24"/>
              </w:rPr>
            </w:pPr>
            <w:r>
              <w:rPr>
                <w:rFonts w:ascii="Times New Roman" w:hAnsi="Times New Roman"/>
                <w:sz w:val="24"/>
              </w:rPr>
              <w:lastRenderedPageBreak/>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172A3D3" w14:textId="77777777" w:rsidR="007266CF" w:rsidRPr="002A677E" w:rsidRDefault="007266CF" w:rsidP="007266CF">
            <w:pPr>
              <w:rPr>
                <w:rStyle w:val="InstructionsTabelleberschrift"/>
                <w:rFonts w:ascii="Times New Roman" w:hAnsi="Times New Roman"/>
                <w:bCs w:val="0"/>
                <w:sz w:val="24"/>
              </w:rPr>
            </w:pPr>
            <w:r>
              <w:rPr>
                <w:rStyle w:val="InstructionsTabelleberschrift"/>
                <w:rFonts w:ascii="Times New Roman" w:hAnsi="Times New Roman"/>
                <w:sz w:val="24"/>
              </w:rPr>
              <w:t xml:space="preserve">Z TOHO: PODROZVAHOVÉ POLOŽKY </w:t>
            </w:r>
          </w:p>
          <w:p w14:paraId="3603AC6C" w14:textId="77777777" w:rsidR="007266CF" w:rsidRPr="002A677E" w:rsidRDefault="007266CF" w:rsidP="007266CF">
            <w:pPr>
              <w:rPr>
                <w:rFonts w:ascii="Times New Roman" w:hAnsi="Times New Roman"/>
                <w:sz w:val="24"/>
              </w:rPr>
            </w:pPr>
            <w:r>
              <w:rPr>
                <w:rFonts w:ascii="Times New Roman" w:hAnsi="Times New Roman"/>
                <w:sz w:val="24"/>
              </w:rPr>
              <w:t>Viz pokyny k šabloně CR SA.</w:t>
            </w:r>
          </w:p>
        </w:tc>
      </w:tr>
      <w:tr w:rsidR="007266CF" w:rsidRPr="002A677E" w14:paraId="398AC47D"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352C4E75"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FCAABC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HODNOTA EXPOZICE</w:t>
            </w:r>
          </w:p>
          <w:p w14:paraId="1D2BEF5F" w14:textId="77777777" w:rsidR="007266CF" w:rsidRPr="002A677E" w:rsidRDefault="007266CF" w:rsidP="007266CF">
            <w:pPr>
              <w:rPr>
                <w:rFonts w:ascii="Times New Roman" w:hAnsi="Times New Roman"/>
                <w:sz w:val="24"/>
              </w:rPr>
            </w:pPr>
            <w:r>
              <w:rPr>
                <w:rFonts w:ascii="Times New Roman" w:hAnsi="Times New Roman"/>
                <w:sz w:val="24"/>
              </w:rPr>
              <w:t>Viz pokyny k šabloně CR IRB.</w:t>
            </w:r>
          </w:p>
        </w:tc>
      </w:tr>
      <w:tr w:rsidR="007266CF" w:rsidRPr="006223CC" w14:paraId="09C21DA2"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1BA0B2FF"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FFB454" w14:textId="77777777" w:rsidR="007266CF" w:rsidRPr="002A677E" w:rsidRDefault="007266CF" w:rsidP="007266CF">
            <w:pPr>
              <w:rPr>
                <w:rStyle w:val="InstructionsTabelleberschrift"/>
                <w:rFonts w:ascii="Times New Roman" w:hAnsi="Times New Roman"/>
                <w:bCs w:val="0"/>
                <w:sz w:val="24"/>
              </w:rPr>
            </w:pPr>
            <w:r>
              <w:rPr>
                <w:rStyle w:val="InstructionsTabelleberschrift"/>
                <w:rFonts w:ascii="Times New Roman" w:hAnsi="Times New Roman"/>
                <w:sz w:val="24"/>
              </w:rPr>
              <w:t xml:space="preserve">Z TOHO: VZNIKAJÍCÍ Z ÚVĚROVÉHO RIZIKA PROTISTRANY </w:t>
            </w:r>
          </w:p>
          <w:p w14:paraId="32B5F699"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Viz pokyny k šabloně CR SA.</w:t>
            </w:r>
            <w:r w:rsidRPr="006223CC">
              <w:rPr>
                <w:rStyle w:val="InstructionsTabelleText"/>
                <w:rFonts w:ascii="Times New Roman" w:hAnsi="Times New Roman"/>
                <w:sz w:val="24"/>
                <w:lang w:val="fr-FR"/>
              </w:rPr>
              <w:t xml:space="preserve"> </w:t>
            </w:r>
          </w:p>
        </w:tc>
      </w:tr>
      <w:tr w:rsidR="007266CF" w:rsidRPr="002A677E" w14:paraId="59B7259C"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76F77F5A"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FDDA60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RIZIKOVÁ VÁHA</w:t>
            </w:r>
          </w:p>
          <w:p w14:paraId="4537C1B2" w14:textId="77777777" w:rsidR="007266CF" w:rsidRPr="002A677E" w:rsidRDefault="007266CF" w:rsidP="007266CF">
            <w:pPr>
              <w:rPr>
                <w:rFonts w:ascii="Times New Roman" w:hAnsi="Times New Roman"/>
                <w:sz w:val="24"/>
              </w:rPr>
            </w:pPr>
            <w:r>
              <w:rPr>
                <w:rFonts w:ascii="Times New Roman" w:hAnsi="Times New Roman"/>
                <w:sz w:val="24"/>
              </w:rPr>
              <w:t>Ustanovení čl. 153 odst. 5 nařízení (EU) č. 575/2013</w:t>
            </w:r>
          </w:p>
          <w:p w14:paraId="070EB15E" w14:textId="77777777" w:rsidR="007266CF" w:rsidRPr="002A677E" w:rsidRDefault="007266CF" w:rsidP="007266CF">
            <w:pPr>
              <w:rPr>
                <w:rFonts w:ascii="Times New Roman" w:hAnsi="Times New Roman"/>
                <w:sz w:val="24"/>
              </w:rPr>
            </w:pPr>
            <w:r>
              <w:rPr>
                <w:rFonts w:ascii="Times New Roman" w:hAnsi="Times New Roman"/>
                <w:sz w:val="24"/>
              </w:rPr>
              <w:t xml:space="preserve">Jedná se o pevný sloupec pro informační účely. Nesmí se měnit. </w:t>
            </w:r>
          </w:p>
        </w:tc>
      </w:tr>
      <w:tr w:rsidR="007266CF" w:rsidRPr="002A677E" w14:paraId="5A90691F"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622AAFEE"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AAC2AA2"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14:paraId="59EC5547" w14:textId="77777777" w:rsidR="007266CF" w:rsidRPr="002A677E" w:rsidRDefault="007266CF" w:rsidP="007266CF">
            <w:pPr>
              <w:rPr>
                <w:rFonts w:ascii="Times New Roman" w:hAnsi="Times New Roman"/>
                <w:b/>
                <w:sz w:val="24"/>
              </w:rPr>
            </w:pPr>
            <w:r>
              <w:rPr>
                <w:rFonts w:ascii="Times New Roman" w:hAnsi="Times New Roman"/>
                <w:sz w:val="24"/>
              </w:rPr>
              <w:t>Viz pokyny k šabloně CR IRB.</w:t>
            </w:r>
          </w:p>
        </w:tc>
      </w:tr>
      <w:tr w:rsidR="007266CF" w:rsidRPr="002A677E" w14:paraId="1B7D667D"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711DAC6A"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A6C5CC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VÝŠE OČEKÁVANÉ ZTRÁTY</w:t>
            </w:r>
          </w:p>
          <w:p w14:paraId="4A2F813A" w14:textId="77777777" w:rsidR="007266CF" w:rsidRPr="002A677E" w:rsidRDefault="007266CF" w:rsidP="007266CF">
            <w:pPr>
              <w:rPr>
                <w:rFonts w:ascii="Times New Roman" w:hAnsi="Times New Roman"/>
                <w:b/>
                <w:sz w:val="24"/>
              </w:rPr>
            </w:pPr>
            <w:r>
              <w:rPr>
                <w:rFonts w:ascii="Times New Roman" w:hAnsi="Times New Roman"/>
                <w:sz w:val="24"/>
              </w:rPr>
              <w:t>Viz pokyny k šabloně CR IRB.</w:t>
            </w:r>
          </w:p>
        </w:tc>
      </w:tr>
      <w:tr w:rsidR="007266CF" w:rsidRPr="002A677E" w14:paraId="5234E6E9"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34D189C6" w14:textId="77777777" w:rsidR="007266CF" w:rsidRPr="002A677E" w:rsidRDefault="007266CF" w:rsidP="007266CF">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59F4BE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ÚPRAVY OCENĚNÍ A REZERVY</w:t>
            </w:r>
          </w:p>
          <w:p w14:paraId="2B2F574D" w14:textId="77777777" w:rsidR="007266CF" w:rsidRPr="002A677E" w:rsidRDefault="007266CF" w:rsidP="007266CF">
            <w:pPr>
              <w:rPr>
                <w:rFonts w:ascii="Times New Roman" w:hAnsi="Times New Roman"/>
                <w:b/>
                <w:sz w:val="24"/>
              </w:rPr>
            </w:pPr>
            <w:r>
              <w:rPr>
                <w:rFonts w:ascii="Times New Roman" w:hAnsi="Times New Roman"/>
                <w:sz w:val="24"/>
              </w:rPr>
              <w:t>Viz pokyny k šabloně CR IRB.</w:t>
            </w:r>
          </w:p>
        </w:tc>
      </w:tr>
    </w:tbl>
    <w:p w14:paraId="528B4C7D" w14:textId="77777777" w:rsidR="007266CF" w:rsidRPr="002A677E" w:rsidRDefault="007266CF" w:rsidP="007266CF">
      <w:pPr>
        <w:pStyle w:val="body"/>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7266CF" w:rsidRPr="002A677E" w14:paraId="0FB1A7CE" w14:textId="77777777" w:rsidTr="007266CF">
        <w:tc>
          <w:tcPr>
            <w:tcW w:w="1129" w:type="dxa"/>
            <w:shd w:val="pct25" w:color="auto" w:fill="auto"/>
          </w:tcPr>
          <w:p w14:paraId="45023B11"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931" w:type="dxa"/>
            <w:shd w:val="pct25" w:color="auto" w:fill="auto"/>
          </w:tcPr>
          <w:p w14:paraId="01A0C4FC"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241C0626" w14:textId="77777777" w:rsidTr="007266CF">
        <w:tc>
          <w:tcPr>
            <w:tcW w:w="1129" w:type="dxa"/>
          </w:tcPr>
          <w:p w14:paraId="2D7F3C6A" w14:textId="77777777" w:rsidR="007266CF" w:rsidRPr="002A677E" w:rsidRDefault="007266CF" w:rsidP="007266CF">
            <w:pPr>
              <w:rPr>
                <w:rFonts w:ascii="Times New Roman" w:hAnsi="Times New Roman"/>
                <w:sz w:val="24"/>
              </w:rPr>
            </w:pPr>
            <w:r>
              <w:rPr>
                <w:rFonts w:ascii="Times New Roman" w:hAnsi="Times New Roman"/>
                <w:sz w:val="24"/>
              </w:rPr>
              <w:t>0010–0120</w:t>
            </w:r>
          </w:p>
        </w:tc>
        <w:tc>
          <w:tcPr>
            <w:tcW w:w="8931" w:type="dxa"/>
          </w:tcPr>
          <w:p w14:paraId="053D84CB" w14:textId="77777777" w:rsidR="007266CF" w:rsidRPr="002A677E" w:rsidRDefault="007266CF" w:rsidP="007266CF">
            <w:pPr>
              <w:rPr>
                <w:rFonts w:ascii="Times New Roman" w:hAnsi="Times New Roman"/>
                <w:sz w:val="24"/>
              </w:rPr>
            </w:pPr>
            <w:r>
              <w:rPr>
                <w:rFonts w:ascii="Times New Roman" w:hAnsi="Times New Roman"/>
                <w:sz w:val="24"/>
              </w:rPr>
              <w:t xml:space="preserve">Expozice se zařadí do příslušné kategorie a splatnosti </w:t>
            </w:r>
            <w:r>
              <w:rPr>
                <w:rStyle w:val="InstructionsTabelleText"/>
                <w:rFonts w:ascii="Times New Roman" w:hAnsi="Times New Roman"/>
                <w:sz w:val="24"/>
              </w:rPr>
              <w:t>v souladu s</w:t>
            </w:r>
            <w:r>
              <w:rPr>
                <w:rFonts w:ascii="Times New Roman" w:hAnsi="Times New Roman"/>
                <w:sz w:val="24"/>
              </w:rPr>
              <w:t xml:space="preserve"> tabulkou 1 uvedenou v čl. 153 odst. 5 nařízení (EU) č. 575/2013.</w:t>
            </w:r>
          </w:p>
        </w:tc>
      </w:tr>
    </w:tbl>
    <w:p w14:paraId="6224A9F2" w14:textId="77777777" w:rsidR="007266CF" w:rsidRPr="002A677E" w:rsidRDefault="007266CF" w:rsidP="007266CF">
      <w:pPr>
        <w:pStyle w:val="body"/>
      </w:pPr>
    </w:p>
    <w:p w14:paraId="33988BB5" w14:textId="77777777" w:rsidR="007266CF" w:rsidRPr="002A677E" w:rsidRDefault="007266CF" w:rsidP="00A75C39">
      <w:pPr>
        <w:pStyle w:val="Instructionsberschrift2"/>
        <w:numPr>
          <w:ilvl w:val="2"/>
          <w:numId w:val="27"/>
        </w:numPr>
        <w:rPr>
          <w:rFonts w:ascii="Times New Roman" w:hAnsi="Times New Roman" w:cs="Times New Roman"/>
          <w:sz w:val="24"/>
        </w:rPr>
      </w:pPr>
      <w:bookmarkStart w:id="142" w:name="_Toc116026764"/>
      <w:bookmarkStart w:id="143" w:name="_Toc119077921"/>
      <w:r>
        <w:rPr>
          <w:rFonts w:ascii="Times New Roman" w:hAnsi="Times New Roman"/>
          <w:sz w:val="24"/>
        </w:rPr>
        <w:t>C 08.07 – Úvěrové riziko a volné dodávky: přístup IRB ke kapitálovým požadavkům (rozsah použití přístupu IRB a standardizovaného přístupu (CR IRB 7))</w:t>
      </w:r>
      <w:bookmarkEnd w:id="142"/>
      <w:bookmarkEnd w:id="143"/>
    </w:p>
    <w:p w14:paraId="7E34785D"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44" w:name="_Toc116026765"/>
      <w:bookmarkStart w:id="145" w:name="_Toc119077922"/>
      <w:r>
        <w:rPr>
          <w:rFonts w:ascii="Times New Roman" w:hAnsi="Times New Roman"/>
          <w:sz w:val="24"/>
        </w:rPr>
        <w:t>Obecné poznámky</w:t>
      </w:r>
      <w:bookmarkEnd w:id="144"/>
      <w:bookmarkEnd w:id="145"/>
    </w:p>
    <w:p w14:paraId="3DFA9147" w14:textId="77777777" w:rsidR="007266CF" w:rsidRPr="002A677E" w:rsidRDefault="007266CF" w:rsidP="007266CF">
      <w:pPr>
        <w:pStyle w:val="InstructionsText2"/>
        <w:numPr>
          <w:ilvl w:val="0"/>
          <w:numId w:val="0"/>
        </w:numPr>
        <w:ind w:left="1353" w:hanging="360"/>
      </w:pPr>
      <w:fldSimple w:instr=" seq paragraphs ">
        <w:r>
          <w:t>83</w:t>
        </w:r>
      </w:fldSimple>
      <w:r>
        <w:t>. Pro účely této šablony instituce, které počítají objemy rizikově vážených expozic podle přístupu IRB k úvěrovému riziku, přiřadí své expozice podle standardizovaného přístupu stanoveného v části třetí hlavě II kapitole 2 nařízení (EU) č. 575/2013 nebo přístupu IRB stanoveného v části třetí hlavě II kapitole 3 uvedeného nařízení, jakož i část každé kategorie expozic, na kterou se vztahuje plán zavedení. Instituce v této šabloně uvedou informace podle kategorií expozic v souladu s rozčleněním kategorií expozic uvedených v řádcích šablony.</w:t>
      </w:r>
    </w:p>
    <w:p w14:paraId="50A4369F" w14:textId="77777777" w:rsidR="007266CF" w:rsidRPr="002A677E" w:rsidRDefault="007266CF" w:rsidP="007266CF">
      <w:pPr>
        <w:pStyle w:val="InstructionsText2"/>
        <w:numPr>
          <w:ilvl w:val="0"/>
          <w:numId w:val="0"/>
        </w:numPr>
        <w:ind w:left="1353" w:hanging="360"/>
      </w:pPr>
      <w:fldSimple w:instr=" seq paragraphs ">
        <w:r>
          <w:t>84</w:t>
        </w:r>
      </w:fldSimple>
      <w:r>
        <w:t>. Sloupce 0030 až 0050 by měly pokrývat celé spektrum expozic, takže součet každého řádku pro tyto tři sloupce by měl odpovídat 100 % všech kategorií expozic kromě sekuritizovaných a odečtených pozic.</w:t>
      </w:r>
    </w:p>
    <w:p w14:paraId="46D045D5" w14:textId="77777777" w:rsidR="007266CF" w:rsidRPr="002A677E" w:rsidRDefault="007266CF" w:rsidP="00A75C39">
      <w:pPr>
        <w:pStyle w:val="Instructionsberschrift2"/>
        <w:numPr>
          <w:ilvl w:val="3"/>
          <w:numId w:val="27"/>
        </w:numPr>
        <w:ind w:left="709"/>
        <w:rPr>
          <w:rFonts w:ascii="Times New Roman" w:hAnsi="Times New Roman" w:cs="Times New Roman"/>
          <w:sz w:val="24"/>
        </w:rPr>
      </w:pPr>
      <w:bookmarkStart w:id="146" w:name="_Toc116026766"/>
      <w:bookmarkStart w:id="147" w:name="_Toc119077923"/>
      <w:r>
        <w:rPr>
          <w:rFonts w:ascii="Times New Roman" w:hAnsi="Times New Roman"/>
          <w:sz w:val="24"/>
        </w:rPr>
        <w:t>Pokyny pro konkrétní pozice</w:t>
      </w:r>
      <w:bookmarkEnd w:id="146"/>
      <w:bookmarkEnd w:id="1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7D48E5FE" w14:textId="77777777" w:rsidTr="007266CF">
        <w:tc>
          <w:tcPr>
            <w:tcW w:w="1188" w:type="dxa"/>
            <w:shd w:val="clear" w:color="auto" w:fill="CCCCCC"/>
          </w:tcPr>
          <w:p w14:paraId="3F13CE93"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shd w:val="clear" w:color="auto" w:fill="CCCCCC"/>
          </w:tcPr>
          <w:p w14:paraId="75E8C134"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45397DEC"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70AC3616"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A3CAB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CELKOVÁ HODNOTA EXPOZICE VE SMYSLU ČLÁNKU 166 NAŘÍZENÍ (EU) Č. 575/2013</w:t>
            </w:r>
          </w:p>
          <w:p w14:paraId="3BA5083A" w14:textId="77777777" w:rsidR="007266CF" w:rsidRPr="002A677E" w:rsidRDefault="007266CF" w:rsidP="007266CF">
            <w:pPr>
              <w:rPr>
                <w:rFonts w:ascii="Times New Roman" w:hAnsi="Times New Roman"/>
                <w:b/>
                <w:sz w:val="24"/>
              </w:rPr>
            </w:pPr>
            <w:r>
              <w:rPr>
                <w:rFonts w:ascii="Times New Roman" w:hAnsi="Times New Roman"/>
                <w:sz w:val="24"/>
              </w:rPr>
              <w:t>Instituce použijí hodnotu expozice před snížením úvěrového rizika v souladu s článkem 166 nařízení (EU) č. 575/2013.</w:t>
            </w:r>
          </w:p>
        </w:tc>
      </w:tr>
      <w:tr w:rsidR="007266CF" w:rsidRPr="002A677E" w14:paraId="3972892A"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49A0B34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50B98BE"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CELKOVÁ HODNOTA EXPOZICE PODLÉHAJÍCÍ STANDARDIZOVANÉMU PŘÍSTUPU A PŘÍSTUPU IRB</w:t>
            </w:r>
          </w:p>
          <w:p w14:paraId="18EF8FF6" w14:textId="77777777" w:rsidR="007266CF" w:rsidRPr="002A677E" w:rsidRDefault="007266CF" w:rsidP="007266CF">
            <w:pPr>
              <w:rPr>
                <w:rFonts w:ascii="Times New Roman" w:hAnsi="Times New Roman"/>
                <w:sz w:val="24"/>
              </w:rPr>
            </w:pPr>
            <w:r>
              <w:rPr>
                <w:rFonts w:ascii="Times New Roman" w:hAnsi="Times New Roman"/>
                <w:sz w:val="24"/>
              </w:rPr>
              <w:t>K vykázání celkové hodnoty expozice, včetně expozic podle standardizovaného přístupu a přístupu IRB, instituce použijí hodnotu expozice před snížením úvěrového rizika v souladu s čl. 429 odst. 4 nařízení (EU) č. 575/2013.</w:t>
            </w:r>
          </w:p>
        </w:tc>
      </w:tr>
      <w:tr w:rsidR="007266CF" w:rsidRPr="002A677E" w14:paraId="1779953E"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7A04DDF5"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7C3E7B5"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PROCENTO CELKOVÉ HODNOTY EXPOZICE PODLÉHAJÍCÍ TRVALÉMU ČÁSTEČNÉMU POUŽITÍ STANDARDIZOVANÉHO PŘÍSTUPU (%)</w:t>
            </w:r>
          </w:p>
          <w:p w14:paraId="219CCD38" w14:textId="77777777" w:rsidR="007266CF" w:rsidRPr="002A677E" w:rsidRDefault="007266CF" w:rsidP="007266CF">
            <w:pPr>
              <w:rPr>
                <w:rFonts w:ascii="Times New Roman" w:hAnsi="Times New Roman"/>
                <w:sz w:val="24"/>
              </w:rPr>
            </w:pPr>
            <w:r>
              <w:rPr>
                <w:rFonts w:ascii="Times New Roman" w:hAnsi="Times New Roman"/>
                <w:sz w:val="24"/>
              </w:rPr>
              <w:t>Část expozice pro každou kategorii expozic podléhající standardizovanému přístupu (expozice podléhající standardizovanému přístupu před snížením úvěrového rizika vůči celkové expozici v dané kategorii expozic ve sloupci 0020), a to v souladu s rozsahem povolení k trvalému částečnému použití standardizovaného přístupu obdrženého od příslušného orgánu v souladu s článkem 150 nařízení (EU) č. 575/2013.</w:t>
            </w:r>
          </w:p>
        </w:tc>
      </w:tr>
      <w:tr w:rsidR="007266CF" w:rsidRPr="002A677E" w14:paraId="16616876"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2E5F3255"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1AB34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PROCENTO CELKOVÉ HODNOTY EXPOZICE PODLÉHAJÍCÍ PLÁNU ZAVEDENÍ (%)</w:t>
            </w:r>
          </w:p>
          <w:p w14:paraId="3C5D9BAA" w14:textId="77777777" w:rsidR="007266CF" w:rsidRPr="002A677E" w:rsidRDefault="007266CF" w:rsidP="007266CF">
            <w:pPr>
              <w:rPr>
                <w:rFonts w:ascii="Times New Roman" w:hAnsi="Times New Roman"/>
                <w:sz w:val="24"/>
              </w:rPr>
            </w:pPr>
            <w:r>
              <w:rPr>
                <w:rFonts w:ascii="Times New Roman" w:hAnsi="Times New Roman"/>
                <w:sz w:val="24"/>
              </w:rPr>
              <w:t xml:space="preserve">Část expozice pro každou kategorii expozic, na kterou se vztahuje postupné zavádění přístupu IRB podle článku 148 nařízení (EU) č. 575/2013. Patří sem: </w:t>
            </w:r>
          </w:p>
          <w:p w14:paraId="6E29AAE9" w14:textId="77777777" w:rsidR="007266CF" w:rsidRPr="002A677E" w:rsidRDefault="007266CF" w:rsidP="00A75C39">
            <w:pPr>
              <w:pStyle w:val="ListParagraph"/>
              <w:numPr>
                <w:ilvl w:val="0"/>
                <w:numId w:val="26"/>
              </w:numPr>
              <w:autoSpaceDE w:val="0"/>
              <w:autoSpaceDN w:val="0"/>
              <w:adjustRightInd w:val="0"/>
              <w:rPr>
                <w:rFonts w:ascii="Times New Roman" w:hAnsi="Times New Roman"/>
                <w:spacing w:val="-2"/>
                <w:sz w:val="24"/>
              </w:rPr>
            </w:pPr>
            <w:r>
              <w:rPr>
                <w:rFonts w:ascii="Times New Roman" w:hAnsi="Times New Roman"/>
                <w:sz w:val="24"/>
              </w:rPr>
              <w:t xml:space="preserve">expozice, u nichž instituce plánují použít přístup IRB s vlastním odhadem LGD a konverzních faktorů nebo bez něj (základní přístup IRB a pokročilý přístup IRB); </w:t>
            </w:r>
          </w:p>
          <w:p w14:paraId="4F8EAAE6" w14:textId="77777777" w:rsidR="007266CF" w:rsidRPr="002A677E" w:rsidRDefault="007266CF" w:rsidP="00A75C39">
            <w:pPr>
              <w:pStyle w:val="ListParagraph"/>
              <w:numPr>
                <w:ilvl w:val="0"/>
                <w:numId w:val="26"/>
              </w:numPr>
              <w:autoSpaceDE w:val="0"/>
              <w:autoSpaceDN w:val="0"/>
              <w:adjustRightInd w:val="0"/>
              <w:rPr>
                <w:rFonts w:ascii="Times New Roman" w:hAnsi="Times New Roman"/>
                <w:spacing w:val="-2"/>
                <w:sz w:val="24"/>
              </w:rPr>
            </w:pPr>
            <w:r>
              <w:rPr>
                <w:rFonts w:ascii="Times New Roman" w:hAnsi="Times New Roman"/>
                <w:sz w:val="24"/>
              </w:rPr>
              <w:t>nevýznamné akciové expozice nezahrnuté ve sloupcích 0020 nebo 0040;</w:t>
            </w:r>
          </w:p>
          <w:p w14:paraId="2F3F15F1" w14:textId="77777777" w:rsidR="007266CF" w:rsidRPr="002A677E" w:rsidRDefault="007266CF" w:rsidP="00A75C39">
            <w:pPr>
              <w:pStyle w:val="ListParagraph"/>
              <w:numPr>
                <w:ilvl w:val="0"/>
                <w:numId w:val="26"/>
              </w:numPr>
              <w:autoSpaceDE w:val="0"/>
              <w:autoSpaceDN w:val="0"/>
              <w:adjustRightInd w:val="0"/>
              <w:rPr>
                <w:rFonts w:ascii="Times New Roman" w:hAnsi="Times New Roman"/>
                <w:spacing w:val="-2"/>
                <w:sz w:val="24"/>
              </w:rPr>
            </w:pPr>
            <w:r>
              <w:rPr>
                <w:rFonts w:ascii="Times New Roman" w:hAnsi="Times New Roman"/>
                <w:sz w:val="24"/>
              </w:rPr>
              <w:t xml:space="preserve">expozice, na které se již vztahuje základní přístup IRB v případě, že instituce hodlá v budoucnu uplatňovat pokročilý přístup IRB; </w:t>
            </w:r>
          </w:p>
          <w:p w14:paraId="223996F8" w14:textId="77777777" w:rsidR="007266CF" w:rsidRPr="002A677E" w:rsidRDefault="007266CF" w:rsidP="00A75C39">
            <w:pPr>
              <w:pStyle w:val="ListParagraph"/>
              <w:numPr>
                <w:ilvl w:val="0"/>
                <w:numId w:val="26"/>
              </w:numPr>
              <w:autoSpaceDE w:val="0"/>
              <w:autoSpaceDN w:val="0"/>
              <w:adjustRightInd w:val="0"/>
              <w:rPr>
                <w:rFonts w:ascii="Times New Roman" w:hAnsi="Times New Roman"/>
                <w:spacing w:val="-2"/>
                <w:sz w:val="24"/>
              </w:rPr>
            </w:pPr>
            <w:r>
              <w:rPr>
                <w:rFonts w:ascii="Times New Roman" w:hAnsi="Times New Roman"/>
                <w:sz w:val="24"/>
              </w:rPr>
              <w:t>specializované úvěrové expozice v rámci dohledového rozřazovacího přístupu neuvedené ve sloupci 0040.</w:t>
            </w:r>
          </w:p>
        </w:tc>
      </w:tr>
      <w:tr w:rsidR="007266CF" w:rsidRPr="002A677E" w14:paraId="70F8825C"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31F12B78"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C1D61B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PROCENTO CELKOVÉ HODNOTY EXPOZICE PODLÉHAJÍCÍ PŘÍSTUPU IRB (%)</w:t>
            </w:r>
          </w:p>
          <w:p w14:paraId="5E39F853" w14:textId="77777777" w:rsidR="007266CF" w:rsidRPr="002A677E" w:rsidRDefault="007266CF" w:rsidP="007266CF">
            <w:pPr>
              <w:rPr>
                <w:rFonts w:ascii="Times New Roman" w:hAnsi="Times New Roman"/>
                <w:b/>
                <w:sz w:val="24"/>
              </w:rPr>
            </w:pPr>
            <w:r>
              <w:rPr>
                <w:rFonts w:ascii="Times New Roman" w:hAnsi="Times New Roman"/>
                <w:sz w:val="24"/>
              </w:rPr>
              <w:t xml:space="preserve">Část expozice pro každou kategorii expozic, na kterou se vztahuje přístup IRB (expozice podléhající přístupu IRB před snížením úvěrového rizika ve vztahu k celkové expozici v dané kategorii expozic), a to v souladu s rozsahem povolení k použití přístupu IRB obdrženého od příslušného orgánu v souladu s článkem 143 nařízení (EU) č. 575/2013. To </w:t>
            </w:r>
            <w:r>
              <w:rPr>
                <w:rFonts w:ascii="Times New Roman" w:hAnsi="Times New Roman"/>
                <w:sz w:val="24"/>
              </w:rPr>
              <w:lastRenderedPageBreak/>
              <w:t>zahrnuje jak expozice, u nichž instituce mají povolení používat vlastní odhad LGD a konverzní faktory, tak expozice, u nichž instituce dané povolení nemají (základní přístup IRB a pokročilý přístup IRB), včetně dohledového rozřazovacího přístupu pro specializované úvěrové expozice a akciové expozice v rámci metody zjednodušené rizikové váhy, jakož i expozice vykázané v řádku 0170 šablony C 08.01.</w:t>
            </w:r>
          </w:p>
        </w:tc>
      </w:tr>
    </w:tbl>
    <w:p w14:paraId="08ADE715" w14:textId="77777777" w:rsidR="007266CF" w:rsidRPr="002A677E" w:rsidRDefault="007266CF" w:rsidP="007266CF">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7266CF" w:rsidRPr="002A677E" w14:paraId="6541C440" w14:textId="77777777" w:rsidTr="007266CF">
        <w:tc>
          <w:tcPr>
            <w:tcW w:w="1271" w:type="dxa"/>
            <w:shd w:val="pct25" w:color="auto" w:fill="auto"/>
          </w:tcPr>
          <w:p w14:paraId="1286B439"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557" w:type="dxa"/>
            <w:shd w:val="pct25" w:color="auto" w:fill="auto"/>
          </w:tcPr>
          <w:p w14:paraId="54BCACE6"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2CCDEDD6" w14:textId="77777777" w:rsidTr="007266CF">
        <w:tc>
          <w:tcPr>
            <w:tcW w:w="1271" w:type="dxa"/>
          </w:tcPr>
          <w:p w14:paraId="2712BD25" w14:textId="77777777" w:rsidR="007266CF" w:rsidRPr="002A677E" w:rsidRDefault="007266CF" w:rsidP="007266CF">
            <w:pPr>
              <w:rPr>
                <w:rFonts w:ascii="Times New Roman" w:hAnsi="Times New Roman"/>
                <w:sz w:val="24"/>
              </w:rPr>
            </w:pPr>
            <w:r>
              <w:rPr>
                <w:rFonts w:ascii="Times New Roman" w:hAnsi="Times New Roman"/>
                <w:sz w:val="24"/>
              </w:rPr>
              <w:t>KATEGORIE EXPOZIC</w:t>
            </w:r>
          </w:p>
        </w:tc>
        <w:tc>
          <w:tcPr>
            <w:tcW w:w="8557" w:type="dxa"/>
          </w:tcPr>
          <w:p w14:paraId="14EEEB84" w14:textId="77777777" w:rsidR="007266CF" w:rsidRPr="002A677E" w:rsidRDefault="007266CF" w:rsidP="007266CF">
            <w:pPr>
              <w:rPr>
                <w:rFonts w:ascii="Times New Roman" w:eastAsiaTheme="minorHAnsi" w:hAnsi="Times New Roman"/>
                <w:sz w:val="24"/>
              </w:rPr>
            </w:pPr>
            <w:r>
              <w:rPr>
                <w:rFonts w:ascii="Times New Roman" w:hAnsi="Times New Roman"/>
                <w:sz w:val="24"/>
              </w:rPr>
              <w:t>Instituce v této šabloně uvedou informace podle kategorií expozic v souladu s rozčleněním kategorií expozic uvedených v řádcích šablony.</w:t>
            </w:r>
          </w:p>
        </w:tc>
      </w:tr>
    </w:tbl>
    <w:p w14:paraId="7329FE22" w14:textId="77777777" w:rsidR="007266CF" w:rsidRPr="002A677E" w:rsidRDefault="007266CF" w:rsidP="007266CF">
      <w:pPr>
        <w:pStyle w:val="InstructionsText"/>
      </w:pPr>
    </w:p>
    <w:p w14:paraId="2D0764ED" w14:textId="77777777" w:rsidR="007266CF" w:rsidRPr="002A677E" w:rsidRDefault="007266CF" w:rsidP="007266CF">
      <w:pPr>
        <w:pStyle w:val="Instructionsberschrift2"/>
        <w:numPr>
          <w:ilvl w:val="0"/>
          <w:numId w:val="0"/>
        </w:numPr>
        <w:ind w:left="284" w:hanging="284"/>
        <w:rPr>
          <w:rFonts w:ascii="Times New Roman" w:hAnsi="Times New Roman" w:cs="Times New Roman"/>
          <w:sz w:val="24"/>
        </w:rPr>
      </w:pPr>
      <w:bookmarkStart w:id="148" w:name="_Toc116026767"/>
      <w:bookmarkStart w:id="149" w:name="_Toc119077924"/>
      <w:r>
        <w:rPr>
          <w:rFonts w:ascii="Times New Roman" w:hAnsi="Times New Roman"/>
          <w:sz w:val="24"/>
          <w:u w:val="none"/>
        </w:rPr>
        <w:t>3.4</w:t>
      </w:r>
      <w:r>
        <w:tab/>
      </w:r>
      <w:r>
        <w:rPr>
          <w:rFonts w:ascii="Times New Roman" w:hAnsi="Times New Roman"/>
          <w:sz w:val="24"/>
        </w:rPr>
        <w:t>Úvěrové riziko a úvěrové riziko protistrany a volné dodávky: údaje týkající se zeměpisného rozčlenění</w:t>
      </w:r>
      <w:bookmarkEnd w:id="148"/>
      <w:bookmarkEnd w:id="149"/>
    </w:p>
    <w:p w14:paraId="0FB79445" w14:textId="77777777" w:rsidR="007266CF" w:rsidRPr="002A677E" w:rsidRDefault="007266CF" w:rsidP="007266CF">
      <w:pPr>
        <w:pStyle w:val="InstructionsText2"/>
        <w:numPr>
          <w:ilvl w:val="0"/>
          <w:numId w:val="0"/>
        </w:numPr>
        <w:ind w:left="1353" w:hanging="360"/>
      </w:pPr>
      <w:fldSimple w:instr=" seq paragraphs ">
        <w:r>
          <w:t>85</w:t>
        </w:r>
      </w:fldSimple>
      <w:r>
        <w:t>.</w:t>
      </w:r>
      <w:r>
        <w:tab/>
        <w:t>Všechny instituce předloží agregované informace na celkové úrovni. Kromě toho instituce, které dosahují prahové hodnoty stanovené v čl. 5 odst. 5 tohoto prováděcího nařízení, předkládají údaje o domovské zemi i o jakékoli zahraniční zemi, přičemž tyto údaje rozdělí podle zemí. Prahová hodnota se zohledňuje pouze ve vztahu k šablonám CR GB 1 a CR GB 2. Expozice vůči nadnárodním organizacím se přiřazují k zeměpisné oblasti „jiné země“.</w:t>
      </w:r>
    </w:p>
    <w:p w14:paraId="10BFC913" w14:textId="77777777" w:rsidR="007266CF" w:rsidRPr="002A677E" w:rsidRDefault="007266CF" w:rsidP="007266CF">
      <w:pPr>
        <w:pStyle w:val="InstructionsText2"/>
        <w:numPr>
          <w:ilvl w:val="0"/>
          <w:numId w:val="0"/>
        </w:numPr>
        <w:ind w:left="1353" w:hanging="360"/>
      </w:pPr>
      <w:fldSimple w:instr=" seq paragraphs ">
        <w:r>
          <w:t>86</w:t>
        </w:r>
      </w:fldSimple>
      <w:r>
        <w:t>.</w:t>
      </w:r>
      <w:r>
        <w:tab/>
        <w:t>Termín „sídlo dlužníka“ odkazuje na zemi, v níž dlužník sídlí. Tuto koncepci lze uplatnit na základě přístupu bezprostředního dlužníka a na základě přístupu konečného rizika. Techniky snižování úvěrového rizika se substitučními účinky tedy mohou způsobit změnu v přidělení expozice k určité zemi. Expozice vůči nadnárodním organizacím se nepřiřazuje k zemi sídla instituce, ale k zeměpisné oblasti „jiné země“ bez ohledu na kategorii expozic, do níž se expozice vůči nadnárodním organizacím přiřazuje.</w:t>
      </w:r>
    </w:p>
    <w:p w14:paraId="2891A59C" w14:textId="77777777" w:rsidR="007266CF" w:rsidRPr="002A677E" w:rsidRDefault="007266CF" w:rsidP="007266CF">
      <w:pPr>
        <w:pStyle w:val="InstructionsText2"/>
        <w:numPr>
          <w:ilvl w:val="0"/>
          <w:numId w:val="0"/>
        </w:numPr>
        <w:ind w:left="1353" w:hanging="360"/>
      </w:pPr>
      <w:fldSimple w:instr=" seq paragraphs ">
        <w:r>
          <w:t>87</w:t>
        </w:r>
      </w:fldSimple>
      <w:r>
        <w:t>.</w:t>
      </w:r>
      <w:r>
        <w:tab/>
        <w:t>Údaje týkající se „původní expozice před vynásobením konverzními faktory“ se vykazují v návaznosti na zemi, kde sídlí bezprostřední dlužník. Údaje týkající se „hodnoty expozice“ a „objemů rizikově vážených expozic“ se vykazují podle země, kde sídlí konečný dlužník.</w:t>
      </w:r>
    </w:p>
    <w:p w14:paraId="768B24FD" w14:textId="77777777" w:rsidR="007266CF" w:rsidRPr="002A677E" w:rsidRDefault="007266CF" w:rsidP="007266CF">
      <w:pPr>
        <w:pStyle w:val="Instructionsberschrift2"/>
        <w:numPr>
          <w:ilvl w:val="0"/>
          <w:numId w:val="0"/>
        </w:numPr>
        <w:ind w:left="357" w:hanging="357"/>
        <w:rPr>
          <w:rFonts w:ascii="Times New Roman" w:hAnsi="Times New Roman" w:cs="Times New Roman"/>
          <w:sz w:val="24"/>
        </w:rPr>
      </w:pPr>
      <w:bookmarkStart w:id="150" w:name="_Toc116026768"/>
      <w:bookmarkStart w:id="151" w:name="_Toc119077925"/>
      <w:r>
        <w:rPr>
          <w:rFonts w:ascii="Times New Roman" w:hAnsi="Times New Roman"/>
          <w:sz w:val="24"/>
          <w:u w:val="none"/>
        </w:rPr>
        <w:t>3.4.1</w:t>
      </w:r>
      <w:r>
        <w:tab/>
      </w:r>
      <w:r>
        <w:rPr>
          <w:rFonts w:ascii="Times New Roman" w:hAnsi="Times New Roman"/>
          <w:sz w:val="24"/>
        </w:rPr>
        <w:t>C 09.01 – Zeměpisné rozčlenění expozic podle sídla dlužníka: expozice v rámci standardizovaného přístupu (CR GB 1)</w:t>
      </w:r>
      <w:bookmarkEnd w:id="150"/>
      <w:bookmarkEnd w:id="151"/>
    </w:p>
    <w:p w14:paraId="5316FD83" w14:textId="77777777" w:rsidR="007266CF" w:rsidRPr="002A677E" w:rsidRDefault="007266CF" w:rsidP="007266CF">
      <w:pPr>
        <w:pStyle w:val="Instructionsberschrift2"/>
        <w:numPr>
          <w:ilvl w:val="0"/>
          <w:numId w:val="0"/>
        </w:numPr>
        <w:ind w:left="357" w:hanging="357"/>
        <w:rPr>
          <w:rFonts w:ascii="Times New Roman" w:hAnsi="Times New Roman" w:cs="Times New Roman"/>
          <w:sz w:val="24"/>
        </w:rPr>
      </w:pPr>
      <w:bookmarkStart w:id="152" w:name="_Toc116026769"/>
      <w:bookmarkStart w:id="153" w:name="_Toc119077926"/>
      <w:r>
        <w:rPr>
          <w:rFonts w:ascii="Times New Roman" w:hAnsi="Times New Roman"/>
          <w:sz w:val="24"/>
          <w:u w:val="none"/>
        </w:rPr>
        <w:t>3.4.1.1</w:t>
      </w:r>
      <w:r>
        <w:tab/>
      </w:r>
      <w:r>
        <w:rPr>
          <w:rFonts w:ascii="Times New Roman" w:hAnsi="Times New Roman"/>
          <w:sz w:val="24"/>
        </w:rPr>
        <w:t>Pokyny pro konkrétní pozice</w:t>
      </w:r>
      <w:bookmarkEnd w:id="152"/>
      <w:bookmarkEnd w:id="1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7266CF" w:rsidRPr="002A677E" w14:paraId="42F00B64" w14:textId="77777777" w:rsidTr="007266CF">
        <w:trPr>
          <w:trHeight w:val="581"/>
        </w:trPr>
        <w:tc>
          <w:tcPr>
            <w:tcW w:w="9828" w:type="dxa"/>
            <w:gridSpan w:val="2"/>
            <w:shd w:val="clear" w:color="auto" w:fill="CCCCCC"/>
          </w:tcPr>
          <w:p w14:paraId="34087151" w14:textId="77777777" w:rsidR="007266CF" w:rsidRPr="001235ED" w:rsidRDefault="007266CF" w:rsidP="007266CF">
            <w:pPr>
              <w:spacing w:after="0"/>
              <w:rPr>
                <w:rStyle w:val="InstructionsTabelleText"/>
                <w:rFonts w:ascii="Times New Roman" w:hAnsi="Times New Roman"/>
                <w:b/>
                <w:sz w:val="24"/>
              </w:rPr>
            </w:pPr>
            <w:r>
              <w:rPr>
                <w:rStyle w:val="InstructionsTabelleText"/>
                <w:rFonts w:ascii="Times New Roman" w:hAnsi="Times New Roman"/>
                <w:b/>
                <w:sz w:val="24"/>
              </w:rPr>
              <w:t>Sloupce</w:t>
            </w:r>
          </w:p>
        </w:tc>
      </w:tr>
      <w:tr w:rsidR="007266CF" w:rsidRPr="002A677E" w14:paraId="085AAAC1" w14:textId="77777777" w:rsidTr="007266CF">
        <w:tc>
          <w:tcPr>
            <w:tcW w:w="1188" w:type="dxa"/>
          </w:tcPr>
          <w:p w14:paraId="0DF1C270"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0EBD04A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PŮVODNÍ EXPOZICE PŘED VYNÁSOBENÍM KONVERZNÍMI FAKTORY</w:t>
            </w:r>
          </w:p>
          <w:p w14:paraId="046741F9" w14:textId="77777777" w:rsidR="007266CF" w:rsidRPr="002A677E" w:rsidRDefault="007266CF" w:rsidP="007266CF">
            <w:pPr>
              <w:rPr>
                <w:rFonts w:ascii="Times New Roman" w:hAnsi="Times New Roman"/>
                <w:sz w:val="24"/>
              </w:rPr>
            </w:pPr>
            <w:r>
              <w:rPr>
                <w:rFonts w:ascii="Times New Roman" w:hAnsi="Times New Roman"/>
                <w:sz w:val="24"/>
              </w:rPr>
              <w:t>Shoduje se s definicí určenou pro sloupec 0010 šablony CR SA.</w:t>
            </w:r>
          </w:p>
        </w:tc>
      </w:tr>
      <w:tr w:rsidR="007266CF" w:rsidRPr="002A677E" w14:paraId="197EADB6" w14:textId="77777777" w:rsidTr="007266CF">
        <w:tc>
          <w:tcPr>
            <w:tcW w:w="1188" w:type="dxa"/>
          </w:tcPr>
          <w:p w14:paraId="1955518F"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640" w:type="dxa"/>
          </w:tcPr>
          <w:p w14:paraId="79268B3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Expozice v selhání</w:t>
            </w:r>
          </w:p>
          <w:p w14:paraId="56B722D4"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Původní expozice před vynásobením konverzními faktory u expozic, které jsou zařazeny do kategorie „expozice v selhání“, a u expozic v selhání zařazených do kategorie „expozice spojené s obzvlášť vysokým rizikem“ nebo „akciové expozice“.</w:t>
            </w:r>
          </w:p>
          <w:p w14:paraId="4AC0103B"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Tato doplňková položka poskytuje dodatečné informace o dlužníkově struktuře expozic v selhání. Expozice zařazené do kategorie „expozice v selhání“ podle čl. 112 písm. j) </w:t>
            </w:r>
            <w:r>
              <w:rPr>
                <w:rFonts w:ascii="Times New Roman" w:hAnsi="Times New Roman"/>
                <w:sz w:val="24"/>
              </w:rPr>
              <w:t>nařízení (EU) č. 575/2013</w:t>
            </w:r>
            <w:r>
              <w:rPr>
                <w:rStyle w:val="InstructionsTabelleText"/>
                <w:rFonts w:ascii="Times New Roman" w:hAnsi="Times New Roman"/>
                <w:sz w:val="24"/>
              </w:rPr>
              <w:t xml:space="preserve"> se vykazují v případech, kdy by byli vykázáni dlužníci,</w:t>
            </w:r>
            <w:r>
              <w:br/>
            </w:r>
            <w:r>
              <w:rPr>
                <w:rStyle w:val="InstructionsTabelleText"/>
                <w:rFonts w:ascii="Times New Roman" w:hAnsi="Times New Roman"/>
                <w:sz w:val="24"/>
              </w:rPr>
              <w:t xml:space="preserve"> pokud by uvedené expozice nebyly zařazeny do kategorií „expozice v selhání“. </w:t>
            </w:r>
          </w:p>
          <w:p w14:paraId="453B92E1" w14:textId="77777777" w:rsidR="007266CF" w:rsidRPr="002A677E" w:rsidRDefault="007266CF" w:rsidP="007266CF">
            <w:pPr>
              <w:rPr>
                <w:rFonts w:ascii="Times New Roman" w:hAnsi="Times New Roman"/>
                <w:sz w:val="24"/>
              </w:rPr>
            </w:pPr>
            <w:r>
              <w:rPr>
                <w:rStyle w:val="InstructionsTabelleText"/>
                <w:rFonts w:ascii="Times New Roman" w:hAnsi="Times New Roman"/>
                <w:sz w:val="24"/>
              </w:rPr>
              <w:t xml:space="preserve">Tento údaj je doplňující položkou, tudíž nemá vliv na výpočet objemů rizikově vážených expozic zařazených do kategorií „expozice v selhání‘ „expozice spojené s obzvlášť vysokým rizikem“ nebo „akciové expozice“ podle čl. 112 písm. j), k) a p)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41D575D3" w14:textId="77777777" w:rsidTr="007266CF">
        <w:tc>
          <w:tcPr>
            <w:tcW w:w="1188" w:type="dxa"/>
          </w:tcPr>
          <w:p w14:paraId="2BDAEF24" w14:textId="77777777" w:rsidR="007266CF" w:rsidRPr="002A677E" w:rsidRDefault="007266CF" w:rsidP="007266CF">
            <w:pPr>
              <w:rPr>
                <w:rFonts w:ascii="Times New Roman" w:hAnsi="Times New Roman"/>
                <w:sz w:val="24"/>
              </w:rPr>
            </w:pPr>
            <w:r>
              <w:rPr>
                <w:rFonts w:ascii="Times New Roman" w:hAnsi="Times New Roman"/>
                <w:sz w:val="24"/>
              </w:rPr>
              <w:lastRenderedPageBreak/>
              <w:t>0040</w:t>
            </w:r>
          </w:p>
        </w:tc>
        <w:tc>
          <w:tcPr>
            <w:tcW w:w="8640" w:type="dxa"/>
          </w:tcPr>
          <w:p w14:paraId="0915119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Nová selhání zjištěná pro dané období</w:t>
            </w:r>
          </w:p>
          <w:p w14:paraId="0851B690"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Výše původních expozic, které byly v průběhu tříměsíčního období od posledního referenčního data vykazování přeřazeny do kategorie „expozice v selhání“, se vykazuje proti kategorii expozic, do níž dlužník původně patřil.</w:t>
            </w:r>
          </w:p>
        </w:tc>
      </w:tr>
      <w:tr w:rsidR="007266CF" w:rsidRPr="002A677E" w14:paraId="39AB99E6" w14:textId="77777777" w:rsidTr="007266CF">
        <w:tc>
          <w:tcPr>
            <w:tcW w:w="1188" w:type="dxa"/>
          </w:tcPr>
          <w:p w14:paraId="3515EC61"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640" w:type="dxa"/>
          </w:tcPr>
          <w:p w14:paraId="251A1F1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Obecné úpravy o úvěrové riziko</w:t>
            </w:r>
          </w:p>
          <w:p w14:paraId="762713EF" w14:textId="77777777" w:rsidR="007266CF" w:rsidRPr="002A677E" w:rsidRDefault="007266CF" w:rsidP="007266CF">
            <w:pPr>
              <w:rPr>
                <w:rFonts w:ascii="Times New Roman" w:hAnsi="Times New Roman"/>
                <w:sz w:val="24"/>
              </w:rPr>
            </w:pPr>
            <w:r>
              <w:rPr>
                <w:rFonts w:ascii="Times New Roman" w:hAnsi="Times New Roman"/>
                <w:sz w:val="24"/>
              </w:rPr>
              <w:t xml:space="preserve">Úpravy o úvěrové riziko podle článku 110 nařízení (EU) č. 575/2013 a nařízení (EU) č. 183/2014. </w:t>
            </w:r>
          </w:p>
          <w:p w14:paraId="5434B793" w14:textId="77777777" w:rsidR="007266CF" w:rsidRPr="002A677E" w:rsidRDefault="007266CF" w:rsidP="007266CF">
            <w:pPr>
              <w:rPr>
                <w:rFonts w:ascii="Times New Roman" w:hAnsi="Times New Roman"/>
                <w:sz w:val="24"/>
              </w:rPr>
            </w:pPr>
            <w:r>
              <w:rPr>
                <w:rFonts w:ascii="Times New Roman" w:hAnsi="Times New Roman"/>
                <w:sz w:val="24"/>
              </w:rPr>
              <w:t>V této položce se uvádí obecné úpravy o úvěrové riziko, které lze zahrnout do kapitálu tier 2, před uplatněním stropu uvedeného v čl. 62 písm. c) nařízení (EU) č. 575/2013.</w:t>
            </w:r>
          </w:p>
          <w:p w14:paraId="05737712" w14:textId="77777777" w:rsidR="007266CF" w:rsidRPr="002A677E" w:rsidRDefault="007266CF" w:rsidP="007266CF">
            <w:pPr>
              <w:rPr>
                <w:rFonts w:ascii="Times New Roman" w:hAnsi="Times New Roman"/>
                <w:b/>
                <w:sz w:val="24"/>
                <w:u w:val="single"/>
              </w:rPr>
            </w:pPr>
            <w:r>
              <w:rPr>
                <w:rFonts w:ascii="Times New Roman" w:hAnsi="Times New Roman"/>
                <w:sz w:val="24"/>
              </w:rPr>
              <w:t>Částka, která má být vykázána, se uvádí bez zohlednění daňových účinků.</w:t>
            </w:r>
          </w:p>
        </w:tc>
      </w:tr>
      <w:tr w:rsidR="007266CF" w:rsidRPr="002A677E" w14:paraId="500B72E8" w14:textId="77777777" w:rsidTr="007266CF">
        <w:tc>
          <w:tcPr>
            <w:tcW w:w="1188" w:type="dxa"/>
          </w:tcPr>
          <w:p w14:paraId="073BD46A" w14:textId="77777777" w:rsidR="007266CF" w:rsidRPr="002A677E" w:rsidRDefault="007266CF" w:rsidP="007266CF">
            <w:pPr>
              <w:rPr>
                <w:rFonts w:ascii="Times New Roman" w:hAnsi="Times New Roman"/>
                <w:sz w:val="24"/>
              </w:rPr>
            </w:pPr>
            <w:r>
              <w:rPr>
                <w:rFonts w:ascii="Times New Roman" w:hAnsi="Times New Roman"/>
                <w:sz w:val="24"/>
              </w:rPr>
              <w:t>0055</w:t>
            </w:r>
          </w:p>
        </w:tc>
        <w:tc>
          <w:tcPr>
            <w:tcW w:w="8640" w:type="dxa"/>
          </w:tcPr>
          <w:p w14:paraId="1D50A16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Specifické úpravy o úvěrové riziko</w:t>
            </w:r>
          </w:p>
          <w:p w14:paraId="394CBD6B" w14:textId="77777777" w:rsidR="007266CF" w:rsidRPr="002A677E" w:rsidRDefault="007266CF" w:rsidP="007266CF">
            <w:pPr>
              <w:rPr>
                <w:rFonts w:ascii="Times New Roman" w:hAnsi="Times New Roman"/>
                <w:b/>
                <w:sz w:val="24"/>
                <w:u w:val="single"/>
              </w:rPr>
            </w:pPr>
            <w:r>
              <w:rPr>
                <w:rFonts w:ascii="Times New Roman" w:hAnsi="Times New Roman"/>
                <w:sz w:val="24"/>
              </w:rPr>
              <w:t>Úpravy o úvěrové riziko podle článku 110 nařízení (EU) č. 575/2013 a nařízení (EU) č. 183/2014.</w:t>
            </w:r>
          </w:p>
        </w:tc>
      </w:tr>
      <w:tr w:rsidR="007266CF" w:rsidRPr="002A677E" w14:paraId="6EC12138" w14:textId="77777777" w:rsidTr="007266CF">
        <w:tc>
          <w:tcPr>
            <w:tcW w:w="1188" w:type="dxa"/>
          </w:tcPr>
          <w:p w14:paraId="62442198"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640" w:type="dxa"/>
          </w:tcPr>
          <w:p w14:paraId="6AC9B2F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Odpisy</w:t>
            </w:r>
          </w:p>
          <w:p w14:paraId="56E3730A"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Odpisy uvedené v IFRS 9 odst. 5.4.4 a B5.4.9</w:t>
            </w:r>
          </w:p>
        </w:tc>
      </w:tr>
      <w:tr w:rsidR="007266CF" w:rsidRPr="002A677E" w14:paraId="25F9012E" w14:textId="77777777" w:rsidTr="007266CF">
        <w:tc>
          <w:tcPr>
            <w:tcW w:w="1188" w:type="dxa"/>
          </w:tcPr>
          <w:p w14:paraId="02245257" w14:textId="77777777" w:rsidR="007266CF" w:rsidRPr="002A677E" w:rsidRDefault="007266CF" w:rsidP="007266CF">
            <w:pPr>
              <w:rPr>
                <w:rFonts w:ascii="Times New Roman" w:hAnsi="Times New Roman"/>
                <w:sz w:val="24"/>
              </w:rPr>
            </w:pPr>
            <w:r>
              <w:rPr>
                <w:rFonts w:ascii="Times New Roman" w:hAnsi="Times New Roman"/>
                <w:sz w:val="24"/>
              </w:rPr>
              <w:t>0061</w:t>
            </w:r>
          </w:p>
        </w:tc>
        <w:tc>
          <w:tcPr>
            <w:tcW w:w="8640" w:type="dxa"/>
          </w:tcPr>
          <w:p w14:paraId="467783C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Dodatečné úpravy ocenění a další snížení kapitálu</w:t>
            </w:r>
          </w:p>
          <w:p w14:paraId="720787FE" w14:textId="77777777" w:rsidR="007266CF" w:rsidRPr="002A677E" w:rsidRDefault="007266CF" w:rsidP="007266CF">
            <w:pPr>
              <w:rPr>
                <w:rFonts w:ascii="Times New Roman" w:hAnsi="Times New Roman"/>
                <w:b/>
                <w:sz w:val="24"/>
                <w:u w:val="single"/>
              </w:rPr>
            </w:pPr>
            <w:r>
              <w:rPr>
                <w:rFonts w:ascii="Times New Roman" w:hAnsi="Times New Roman"/>
                <w:sz w:val="24"/>
              </w:rPr>
              <w:t>V souladu s článkem 111 nařízení (EU) č. 575/2013.</w:t>
            </w:r>
          </w:p>
        </w:tc>
      </w:tr>
      <w:tr w:rsidR="007266CF" w:rsidRPr="002A677E" w14:paraId="607A88C8" w14:textId="77777777" w:rsidTr="007266CF">
        <w:tc>
          <w:tcPr>
            <w:tcW w:w="1188" w:type="dxa"/>
          </w:tcPr>
          <w:p w14:paraId="5CAEF662"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640" w:type="dxa"/>
          </w:tcPr>
          <w:p w14:paraId="3F2F020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Úpravy o úvěrové riziko / odpisy u nově zjištěných selhání</w:t>
            </w:r>
          </w:p>
          <w:p w14:paraId="096E1DD1"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Součet úprav o úvěrové riziko a odpisů u expozic, které byly zařazeny jako „expozice, u nichž došlo k selhání“ v průběhu tříměsíčního období od posledního předkládání údajů.</w:t>
            </w:r>
          </w:p>
        </w:tc>
      </w:tr>
      <w:tr w:rsidR="007266CF" w:rsidRPr="002A677E" w14:paraId="6AEEE91C" w14:textId="77777777" w:rsidTr="007266CF">
        <w:tc>
          <w:tcPr>
            <w:tcW w:w="1188" w:type="dxa"/>
          </w:tcPr>
          <w:p w14:paraId="57DE40CA" w14:textId="77777777" w:rsidR="007266CF" w:rsidRPr="002A677E" w:rsidRDefault="007266CF" w:rsidP="007266CF">
            <w:pPr>
              <w:rPr>
                <w:rFonts w:ascii="Times New Roman" w:hAnsi="Times New Roman"/>
                <w:sz w:val="24"/>
              </w:rPr>
            </w:pPr>
            <w:r>
              <w:rPr>
                <w:rFonts w:ascii="Times New Roman" w:hAnsi="Times New Roman"/>
                <w:sz w:val="24"/>
              </w:rPr>
              <w:t>0075</w:t>
            </w:r>
          </w:p>
        </w:tc>
        <w:tc>
          <w:tcPr>
            <w:tcW w:w="8640" w:type="dxa"/>
          </w:tcPr>
          <w:p w14:paraId="046860F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Hodnota expozice</w:t>
            </w:r>
          </w:p>
          <w:p w14:paraId="335BFC68"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Shoduje se s definicí určenou pro sloupec 0200 šablony CR SA.</w:t>
            </w:r>
          </w:p>
        </w:tc>
      </w:tr>
      <w:tr w:rsidR="007266CF" w:rsidRPr="002A677E" w14:paraId="49235241" w14:textId="77777777" w:rsidTr="007266CF">
        <w:tc>
          <w:tcPr>
            <w:tcW w:w="1188" w:type="dxa"/>
          </w:tcPr>
          <w:p w14:paraId="6A71D460"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640" w:type="dxa"/>
          </w:tcPr>
          <w:p w14:paraId="2BED54C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 PŘED UPLATNĚNÍM PODPŮRNÝCH KOEFICIENTŮ</w:t>
            </w:r>
          </w:p>
          <w:p w14:paraId="4ADADB7E" w14:textId="77777777" w:rsidR="007266CF" w:rsidRPr="002A677E" w:rsidRDefault="007266CF" w:rsidP="007266CF">
            <w:pPr>
              <w:rPr>
                <w:rFonts w:ascii="Times New Roman" w:hAnsi="Times New Roman"/>
                <w:b/>
                <w:sz w:val="24"/>
                <w:u w:val="single"/>
              </w:rPr>
            </w:pPr>
            <w:r>
              <w:rPr>
                <w:rFonts w:ascii="Times New Roman" w:hAnsi="Times New Roman"/>
                <w:sz w:val="24"/>
              </w:rPr>
              <w:t>Shoduje se s definicí určenou pro sloupec 0215 šablony CR SA.</w:t>
            </w:r>
          </w:p>
        </w:tc>
      </w:tr>
      <w:tr w:rsidR="007266CF" w:rsidRPr="002A677E" w14:paraId="07621376" w14:textId="77777777" w:rsidTr="007266CF">
        <w:tc>
          <w:tcPr>
            <w:tcW w:w="1188" w:type="dxa"/>
          </w:tcPr>
          <w:p w14:paraId="6B176D83" w14:textId="77777777" w:rsidR="007266CF" w:rsidRPr="002A677E" w:rsidRDefault="007266CF" w:rsidP="007266CF">
            <w:pPr>
              <w:rPr>
                <w:rFonts w:ascii="Times New Roman" w:hAnsi="Times New Roman"/>
                <w:sz w:val="24"/>
              </w:rPr>
            </w:pPr>
            <w:r>
              <w:rPr>
                <w:rFonts w:ascii="Times New Roman" w:hAnsi="Times New Roman"/>
                <w:sz w:val="24"/>
              </w:rPr>
              <w:lastRenderedPageBreak/>
              <w:t>0081</w:t>
            </w:r>
          </w:p>
        </w:tc>
        <w:tc>
          <w:tcPr>
            <w:tcW w:w="8640" w:type="dxa"/>
          </w:tcPr>
          <w:p w14:paraId="7CD13BFD" w14:textId="77777777" w:rsidR="007266CF" w:rsidRPr="002A677E" w:rsidRDefault="007266CF" w:rsidP="007266CF">
            <w:pPr>
              <w:rPr>
                <w:rStyle w:val="InstructionsTabelleberschrift"/>
                <w:rFonts w:ascii="Times New Roman" w:hAnsi="Times New Roman"/>
                <w:sz w:val="32"/>
              </w:rPr>
            </w:pPr>
            <w:r>
              <w:rPr>
                <w:rStyle w:val="InstructionsTabelleberschrift"/>
                <w:rFonts w:ascii="Times New Roman" w:hAnsi="Times New Roman"/>
                <w:sz w:val="24"/>
              </w:rPr>
              <w:t>(−) ÚPRAVA OBJEMU RIZIKOVĚ VÁŽENÉ EXPOZICE V DŮSLEDKU PODPŮRNÉHO KOEFICIENTU PRO MALÉ A STŘEDNÍ PODNIKY</w:t>
            </w:r>
          </w:p>
          <w:p w14:paraId="01F74D6E" w14:textId="77777777" w:rsidR="007266CF" w:rsidRPr="002A677E" w:rsidRDefault="007266CF" w:rsidP="007266CF">
            <w:pPr>
              <w:rPr>
                <w:rFonts w:ascii="Times New Roman" w:hAnsi="Times New Roman"/>
                <w:b/>
                <w:sz w:val="24"/>
                <w:u w:val="single"/>
              </w:rPr>
            </w:pPr>
            <w:r>
              <w:rPr>
                <w:rFonts w:ascii="Times New Roman" w:hAnsi="Times New Roman"/>
                <w:sz w:val="24"/>
              </w:rPr>
              <w:t>Shoduje se s definicí určenou pro sloupec 0216 šablony CR SA.</w:t>
            </w:r>
          </w:p>
        </w:tc>
      </w:tr>
      <w:tr w:rsidR="007266CF" w:rsidRPr="002A677E" w14:paraId="5C77EE10" w14:textId="77777777" w:rsidTr="007266CF">
        <w:tc>
          <w:tcPr>
            <w:tcW w:w="1188" w:type="dxa"/>
          </w:tcPr>
          <w:p w14:paraId="58914692" w14:textId="77777777" w:rsidR="007266CF" w:rsidRPr="002A677E" w:rsidRDefault="007266CF" w:rsidP="007266CF">
            <w:pPr>
              <w:rPr>
                <w:rFonts w:ascii="Times New Roman" w:hAnsi="Times New Roman"/>
                <w:sz w:val="24"/>
              </w:rPr>
            </w:pPr>
            <w:r>
              <w:rPr>
                <w:rFonts w:ascii="Times New Roman" w:hAnsi="Times New Roman"/>
                <w:sz w:val="24"/>
              </w:rPr>
              <w:t>0082</w:t>
            </w:r>
          </w:p>
        </w:tc>
        <w:tc>
          <w:tcPr>
            <w:tcW w:w="8640" w:type="dxa"/>
          </w:tcPr>
          <w:p w14:paraId="584D426B" w14:textId="77777777" w:rsidR="007266CF" w:rsidRPr="002A677E" w:rsidRDefault="007266CF" w:rsidP="007266CF">
            <w:pPr>
              <w:rPr>
                <w:rStyle w:val="InstructionsTabelleberschrift"/>
                <w:rFonts w:ascii="Times New Roman" w:hAnsi="Times New Roman"/>
                <w:sz w:val="32"/>
              </w:rPr>
            </w:pPr>
            <w:r>
              <w:rPr>
                <w:rStyle w:val="InstructionsTabelleberschrift"/>
                <w:rFonts w:ascii="Times New Roman" w:hAnsi="Times New Roman"/>
                <w:sz w:val="24"/>
              </w:rPr>
              <w:t>(−) ÚPRAVA OBJEMU RIZIKOVĚ VÁŽENÉ EXPOZICE V DŮSLEDKU PODPŮRNÉHO KOEFICIENTU PRO INFRASTRUKTURU</w:t>
            </w:r>
          </w:p>
          <w:p w14:paraId="26F9E94D" w14:textId="77777777" w:rsidR="007266CF" w:rsidRPr="002A677E" w:rsidRDefault="007266CF" w:rsidP="007266CF">
            <w:pPr>
              <w:rPr>
                <w:rFonts w:ascii="Times New Roman" w:hAnsi="Times New Roman"/>
                <w:b/>
                <w:sz w:val="24"/>
                <w:u w:val="single"/>
              </w:rPr>
            </w:pPr>
            <w:r>
              <w:rPr>
                <w:rFonts w:ascii="Times New Roman" w:hAnsi="Times New Roman"/>
                <w:sz w:val="24"/>
              </w:rPr>
              <w:t>Shoduje se s definicí určenou pro sloupec 0217 šablony CR SA.</w:t>
            </w:r>
          </w:p>
        </w:tc>
      </w:tr>
      <w:tr w:rsidR="007266CF" w:rsidRPr="002A677E" w14:paraId="2D92D9C8" w14:textId="77777777" w:rsidTr="007266CF">
        <w:tc>
          <w:tcPr>
            <w:tcW w:w="1188" w:type="dxa"/>
          </w:tcPr>
          <w:p w14:paraId="7FF4B366"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640" w:type="dxa"/>
          </w:tcPr>
          <w:p w14:paraId="69935D3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14:paraId="556C0F46" w14:textId="77777777" w:rsidR="007266CF" w:rsidRPr="002A677E" w:rsidRDefault="007266CF" w:rsidP="007266CF">
            <w:pPr>
              <w:rPr>
                <w:rFonts w:ascii="Times New Roman" w:hAnsi="Times New Roman"/>
                <w:b/>
                <w:sz w:val="24"/>
                <w:u w:val="single"/>
              </w:rPr>
            </w:pPr>
            <w:r>
              <w:rPr>
                <w:rFonts w:ascii="Times New Roman" w:hAnsi="Times New Roman"/>
                <w:sz w:val="24"/>
              </w:rPr>
              <w:t>Shoduje se s definicí určenou pro sloupec 0220 šablony CR SA.</w:t>
            </w:r>
          </w:p>
        </w:tc>
      </w:tr>
    </w:tbl>
    <w:p w14:paraId="75B98FF7" w14:textId="77777777" w:rsidR="007266CF" w:rsidRPr="002A677E" w:rsidRDefault="007266CF" w:rsidP="007266CF">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7266CF" w:rsidRPr="002A677E" w14:paraId="05A4F0ED" w14:textId="77777777" w:rsidTr="007266CF">
        <w:trPr>
          <w:gridAfter w:val="1"/>
          <w:wAfter w:w="61" w:type="dxa"/>
          <w:trHeight w:val="581"/>
        </w:trPr>
        <w:tc>
          <w:tcPr>
            <w:tcW w:w="9828" w:type="dxa"/>
            <w:gridSpan w:val="2"/>
            <w:shd w:val="clear" w:color="auto" w:fill="CCCCCC"/>
          </w:tcPr>
          <w:p w14:paraId="6AD4ED6A" w14:textId="77777777" w:rsidR="007266CF" w:rsidRPr="002A677E" w:rsidRDefault="007266CF" w:rsidP="007266CF">
            <w:pPr>
              <w:spacing w:after="0"/>
              <w:rPr>
                <w:rStyle w:val="InstructionsTabelleText"/>
                <w:rFonts w:ascii="Times New Roman" w:hAnsi="Times New Roman"/>
                <w:b/>
                <w:sz w:val="24"/>
              </w:rPr>
            </w:pPr>
            <w:r>
              <w:rPr>
                <w:rStyle w:val="InstructionsTabelleText"/>
                <w:rFonts w:ascii="Times New Roman" w:hAnsi="Times New Roman"/>
                <w:b/>
                <w:sz w:val="24"/>
              </w:rPr>
              <w:t>Řádky</w:t>
            </w:r>
          </w:p>
        </w:tc>
      </w:tr>
      <w:tr w:rsidR="007266CF" w:rsidRPr="002A677E" w14:paraId="47DF335A" w14:textId="77777777" w:rsidTr="007266CF">
        <w:tc>
          <w:tcPr>
            <w:tcW w:w="1188" w:type="dxa"/>
            <w:shd w:val="clear" w:color="auto" w:fill="FFFFFF"/>
          </w:tcPr>
          <w:p w14:paraId="23BB597D"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6564DC63"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Ústřední vlády nebo centrální banky</w:t>
            </w:r>
          </w:p>
          <w:p w14:paraId="6967A2D8" w14:textId="77777777" w:rsidR="007266CF" w:rsidRPr="002A677E" w:rsidRDefault="007266CF" w:rsidP="007266CF">
            <w:pPr>
              <w:ind w:left="72"/>
              <w:rPr>
                <w:rStyle w:val="InstructionsTabelleText"/>
                <w:rFonts w:ascii="Times New Roman" w:hAnsi="Times New Roman"/>
                <w:sz w:val="24"/>
              </w:rPr>
            </w:pPr>
            <w:r>
              <w:rPr>
                <w:rFonts w:ascii="Times New Roman" w:hAnsi="Times New Roman"/>
                <w:sz w:val="24"/>
              </w:rPr>
              <w:t>Ustanovení čl. 112 písm. a) nařízení (EU) č. 575/2013</w:t>
            </w:r>
          </w:p>
        </w:tc>
      </w:tr>
      <w:tr w:rsidR="007266CF" w:rsidRPr="002A677E" w14:paraId="52430BEC" w14:textId="77777777" w:rsidTr="007266CF">
        <w:tc>
          <w:tcPr>
            <w:tcW w:w="1188" w:type="dxa"/>
            <w:shd w:val="clear" w:color="auto" w:fill="FFFFFF"/>
          </w:tcPr>
          <w:p w14:paraId="58C1D956"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1FBBA9B0"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Regionální vlády nebo místní orgány</w:t>
            </w:r>
          </w:p>
          <w:p w14:paraId="7D69788F"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b) nařízení (EU) č. 575/2013</w:t>
            </w:r>
          </w:p>
        </w:tc>
      </w:tr>
      <w:tr w:rsidR="007266CF" w:rsidRPr="002A677E" w14:paraId="3F4C8CC4" w14:textId="77777777" w:rsidTr="007266CF">
        <w:tc>
          <w:tcPr>
            <w:tcW w:w="1188" w:type="dxa"/>
            <w:shd w:val="clear" w:color="auto" w:fill="FFFFFF"/>
          </w:tcPr>
          <w:p w14:paraId="712D2DE1"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D460613"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Subjekty veřejného sektoru</w:t>
            </w:r>
          </w:p>
          <w:p w14:paraId="3263F220"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c) nařízení (EU) č. 575/2013</w:t>
            </w:r>
          </w:p>
        </w:tc>
      </w:tr>
      <w:tr w:rsidR="007266CF" w:rsidRPr="002A677E" w14:paraId="7F52E66F" w14:textId="77777777" w:rsidTr="007266CF">
        <w:tc>
          <w:tcPr>
            <w:tcW w:w="1188" w:type="dxa"/>
            <w:shd w:val="clear" w:color="auto" w:fill="FFFFFF"/>
          </w:tcPr>
          <w:p w14:paraId="76C11E8E"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69BE283E"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Mezinárodní rozvojové banky</w:t>
            </w:r>
          </w:p>
          <w:p w14:paraId="3F1AB9B3"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d) nařízení (EU) č. 575/2013</w:t>
            </w:r>
          </w:p>
        </w:tc>
      </w:tr>
      <w:tr w:rsidR="007266CF" w:rsidRPr="002A677E" w14:paraId="6938C256" w14:textId="77777777" w:rsidTr="007266CF">
        <w:tc>
          <w:tcPr>
            <w:tcW w:w="1188" w:type="dxa"/>
            <w:shd w:val="clear" w:color="auto" w:fill="FFFFFF"/>
          </w:tcPr>
          <w:p w14:paraId="2A5F2B6F"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0120596"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Mezinárodní organizace</w:t>
            </w:r>
          </w:p>
          <w:p w14:paraId="6E6D112C"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e) nařízení (EU) č. 575/2013</w:t>
            </w:r>
          </w:p>
        </w:tc>
      </w:tr>
      <w:tr w:rsidR="007266CF" w:rsidRPr="002A677E" w14:paraId="246FF311" w14:textId="77777777" w:rsidTr="007266CF">
        <w:tc>
          <w:tcPr>
            <w:tcW w:w="1188" w:type="dxa"/>
            <w:shd w:val="clear" w:color="auto" w:fill="FFFFFF"/>
          </w:tcPr>
          <w:p w14:paraId="41845919"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0D5AF797"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Instituce</w:t>
            </w:r>
          </w:p>
          <w:p w14:paraId="75D917B8"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f) nařízení (EU) č. 575/2013</w:t>
            </w:r>
          </w:p>
        </w:tc>
      </w:tr>
      <w:tr w:rsidR="007266CF" w:rsidRPr="002A677E" w14:paraId="12B3385E" w14:textId="77777777" w:rsidTr="007266CF">
        <w:tc>
          <w:tcPr>
            <w:tcW w:w="1188" w:type="dxa"/>
            <w:shd w:val="clear" w:color="auto" w:fill="FFFFFF"/>
          </w:tcPr>
          <w:p w14:paraId="75CCAB83"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47DCC6B6"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Podniky</w:t>
            </w:r>
          </w:p>
          <w:p w14:paraId="7BC01359"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g) nařízení (EU) č. 575/2013</w:t>
            </w:r>
          </w:p>
        </w:tc>
      </w:tr>
      <w:tr w:rsidR="007266CF" w:rsidRPr="002A677E" w14:paraId="0D4A49F5" w14:textId="77777777" w:rsidTr="007266CF">
        <w:tc>
          <w:tcPr>
            <w:tcW w:w="1188" w:type="dxa"/>
            <w:shd w:val="clear" w:color="auto" w:fill="FFFFFF"/>
          </w:tcPr>
          <w:p w14:paraId="00862B85" w14:textId="77777777" w:rsidR="007266CF" w:rsidRPr="002A677E" w:rsidRDefault="007266CF" w:rsidP="007266CF">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64037BA"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14:paraId="58A6AD11" w14:textId="77777777" w:rsidR="007266CF" w:rsidRPr="002A677E" w:rsidRDefault="007266CF" w:rsidP="007266CF">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0020 šablony CR SA.</w:t>
            </w:r>
          </w:p>
        </w:tc>
      </w:tr>
      <w:tr w:rsidR="007266CF" w:rsidRPr="002A677E" w14:paraId="638A10B5" w14:textId="77777777" w:rsidTr="007266CF">
        <w:tc>
          <w:tcPr>
            <w:tcW w:w="1188" w:type="dxa"/>
            <w:shd w:val="clear" w:color="auto" w:fill="FFFFFF"/>
          </w:tcPr>
          <w:p w14:paraId="7603FB3E"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11CA5F0E"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Retailové expozice</w:t>
            </w:r>
          </w:p>
          <w:p w14:paraId="1BAD545C"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h) nařízení (EU) č. 575/2013</w:t>
            </w:r>
          </w:p>
        </w:tc>
      </w:tr>
      <w:tr w:rsidR="007266CF" w:rsidRPr="002A677E" w14:paraId="00AD1769" w14:textId="77777777" w:rsidTr="007266CF">
        <w:tc>
          <w:tcPr>
            <w:tcW w:w="1188" w:type="dxa"/>
            <w:shd w:val="clear" w:color="auto" w:fill="FFFFFF"/>
          </w:tcPr>
          <w:p w14:paraId="42AFCDF0" w14:textId="77777777" w:rsidR="007266CF" w:rsidRPr="002A677E" w:rsidRDefault="007266CF" w:rsidP="007266CF">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D7C5663"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14:paraId="560B0AE0" w14:textId="77777777" w:rsidR="007266CF" w:rsidRPr="002A677E" w:rsidRDefault="007266CF" w:rsidP="007266CF">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0020 šablony CR SA.</w:t>
            </w:r>
          </w:p>
        </w:tc>
      </w:tr>
      <w:tr w:rsidR="007266CF" w:rsidRPr="002A677E" w14:paraId="3F78DFEF" w14:textId="77777777" w:rsidTr="007266CF">
        <w:tc>
          <w:tcPr>
            <w:tcW w:w="1188" w:type="dxa"/>
            <w:shd w:val="clear" w:color="auto" w:fill="FFFFFF"/>
          </w:tcPr>
          <w:p w14:paraId="0B67B711" w14:textId="77777777" w:rsidR="007266CF" w:rsidRPr="002A677E" w:rsidRDefault="007266CF" w:rsidP="007266CF">
            <w:pPr>
              <w:rPr>
                <w:rFonts w:ascii="Times New Roman" w:hAnsi="Times New Roman"/>
                <w:sz w:val="24"/>
              </w:rPr>
            </w:pPr>
            <w:r>
              <w:rPr>
                <w:rFonts w:ascii="Times New Roman" w:hAnsi="Times New Roman"/>
                <w:sz w:val="24"/>
              </w:rPr>
              <w:lastRenderedPageBreak/>
              <w:t>0090</w:t>
            </w:r>
          </w:p>
        </w:tc>
        <w:tc>
          <w:tcPr>
            <w:tcW w:w="8701" w:type="dxa"/>
            <w:gridSpan w:val="2"/>
            <w:shd w:val="clear" w:color="auto" w:fill="FFFFFF"/>
          </w:tcPr>
          <w:p w14:paraId="24E6C931"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Expozice zajištěné nemovitostmi</w:t>
            </w:r>
          </w:p>
          <w:p w14:paraId="44C11CC1" w14:textId="77777777" w:rsidR="007266CF" w:rsidRPr="002A677E" w:rsidRDefault="007266CF" w:rsidP="007266CF">
            <w:pPr>
              <w:ind w:left="72"/>
              <w:rPr>
                <w:rStyle w:val="InstructionsTabelleText"/>
                <w:rFonts w:ascii="Times New Roman" w:hAnsi="Times New Roman"/>
                <w:sz w:val="24"/>
              </w:rPr>
            </w:pPr>
            <w:r>
              <w:rPr>
                <w:rFonts w:ascii="Times New Roman" w:hAnsi="Times New Roman"/>
                <w:sz w:val="24"/>
              </w:rPr>
              <w:t>Ustanovení čl. 112 písm. i) nařízení (EU) č. 575/2013</w:t>
            </w:r>
          </w:p>
        </w:tc>
      </w:tr>
      <w:tr w:rsidR="007266CF" w:rsidRPr="002A677E" w14:paraId="3B76D6C2" w14:textId="77777777" w:rsidTr="007266CF">
        <w:tc>
          <w:tcPr>
            <w:tcW w:w="1188" w:type="dxa"/>
            <w:shd w:val="clear" w:color="auto" w:fill="FFFFFF"/>
          </w:tcPr>
          <w:p w14:paraId="1B339E75" w14:textId="77777777" w:rsidR="007266CF" w:rsidRPr="002A677E" w:rsidRDefault="007266CF" w:rsidP="007266CF">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26529EAF"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14:paraId="4A9E718C" w14:textId="77777777" w:rsidR="007266CF" w:rsidRPr="002A677E" w:rsidRDefault="007266CF" w:rsidP="007266CF">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0020 šablony CR SA.</w:t>
            </w:r>
          </w:p>
        </w:tc>
      </w:tr>
      <w:tr w:rsidR="007266CF" w:rsidRPr="002A677E" w14:paraId="1156C2F7" w14:textId="77777777" w:rsidTr="007266CF">
        <w:tc>
          <w:tcPr>
            <w:tcW w:w="1188" w:type="dxa"/>
            <w:shd w:val="clear" w:color="auto" w:fill="FFFFFF"/>
          </w:tcPr>
          <w:p w14:paraId="5919B494" w14:textId="77777777" w:rsidR="007266CF" w:rsidRPr="002A677E" w:rsidRDefault="007266CF" w:rsidP="007266CF">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4A318561"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Expozice v selhání</w:t>
            </w:r>
          </w:p>
          <w:p w14:paraId="68D6BE7D"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j) nařízení (EU) č. 575/2013</w:t>
            </w:r>
          </w:p>
        </w:tc>
      </w:tr>
      <w:tr w:rsidR="007266CF" w:rsidRPr="002A677E" w14:paraId="617DAF84" w14:textId="77777777" w:rsidTr="007266CF">
        <w:tc>
          <w:tcPr>
            <w:tcW w:w="1188" w:type="dxa"/>
            <w:shd w:val="clear" w:color="auto" w:fill="FFFFFF"/>
          </w:tcPr>
          <w:p w14:paraId="48823361"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45F9EC2D" w14:textId="77777777" w:rsidR="007266CF" w:rsidRPr="002A677E" w:rsidRDefault="007266CF" w:rsidP="007266CF">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Položky spojené s obzvlášť vysokým rizikem</w:t>
            </w:r>
          </w:p>
          <w:p w14:paraId="1FE64F52" w14:textId="77777777" w:rsidR="007266CF" w:rsidRPr="002A677E" w:rsidRDefault="007266CF" w:rsidP="007266CF">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Ustanovení čl. 112 písm. k) nařízení (EU) č. 575/2013</w:t>
            </w:r>
          </w:p>
        </w:tc>
      </w:tr>
      <w:tr w:rsidR="007266CF" w:rsidRPr="002A677E" w14:paraId="12142887" w14:textId="77777777" w:rsidTr="007266CF">
        <w:tc>
          <w:tcPr>
            <w:tcW w:w="1188" w:type="dxa"/>
            <w:shd w:val="clear" w:color="auto" w:fill="FFFFFF"/>
          </w:tcPr>
          <w:p w14:paraId="2DC333AB" w14:textId="77777777" w:rsidR="007266CF" w:rsidRPr="002A677E" w:rsidRDefault="007266CF" w:rsidP="007266CF">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34A2035C" w14:textId="77777777" w:rsidR="007266CF" w:rsidRPr="002A677E" w:rsidRDefault="007266CF" w:rsidP="007266CF">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Kryté dluhopisy</w:t>
            </w:r>
          </w:p>
          <w:p w14:paraId="4667AAE7" w14:textId="77777777" w:rsidR="007266CF" w:rsidRPr="002A677E" w:rsidRDefault="007266CF" w:rsidP="007266CF">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Ustanovení čl. 112 písm. l) nařízení (EU) č. 575/2013</w:t>
            </w:r>
          </w:p>
        </w:tc>
      </w:tr>
      <w:tr w:rsidR="007266CF" w:rsidRPr="002A677E" w14:paraId="6C7BC91F" w14:textId="77777777" w:rsidTr="007266CF">
        <w:tc>
          <w:tcPr>
            <w:tcW w:w="1188" w:type="dxa"/>
            <w:shd w:val="clear" w:color="auto" w:fill="FFFFFF"/>
          </w:tcPr>
          <w:p w14:paraId="2A6376E5" w14:textId="77777777" w:rsidR="007266CF" w:rsidRPr="002A677E" w:rsidRDefault="007266CF" w:rsidP="007266CF">
            <w:pPr>
              <w:rPr>
                <w:rFonts w:ascii="Times New Roman" w:hAnsi="Times New Roman"/>
                <w:sz w:val="24"/>
              </w:rPr>
            </w:pPr>
            <w:r>
              <w:rPr>
                <w:rFonts w:ascii="Times New Roman" w:hAnsi="Times New Roman"/>
                <w:sz w:val="24"/>
              </w:rPr>
              <w:t>0130</w:t>
            </w:r>
          </w:p>
          <w:p w14:paraId="44D4FD57" w14:textId="77777777" w:rsidR="007266CF" w:rsidRPr="002A677E" w:rsidRDefault="007266CF" w:rsidP="007266CF">
            <w:pPr>
              <w:rPr>
                <w:rFonts w:ascii="Times New Roman" w:hAnsi="Times New Roman"/>
                <w:sz w:val="24"/>
              </w:rPr>
            </w:pPr>
          </w:p>
        </w:tc>
        <w:tc>
          <w:tcPr>
            <w:tcW w:w="8701" w:type="dxa"/>
            <w:gridSpan w:val="2"/>
            <w:shd w:val="clear" w:color="auto" w:fill="FFFFFF"/>
          </w:tcPr>
          <w:p w14:paraId="3A07DDC1" w14:textId="77777777" w:rsidR="007266CF" w:rsidRPr="002A677E" w:rsidRDefault="007266CF" w:rsidP="007266CF">
            <w:pPr>
              <w:ind w:left="72"/>
              <w:rPr>
                <w:rStyle w:val="InstructionsTabelleberschrift"/>
                <w:rFonts w:ascii="Times New Roman" w:hAnsi="Times New Roman"/>
                <w:bCs w:val="0"/>
                <w:sz w:val="24"/>
              </w:rPr>
            </w:pPr>
            <w:r>
              <w:rPr>
                <w:rStyle w:val="InstructionsTabelleberschrift"/>
                <w:rFonts w:ascii="Times New Roman" w:hAnsi="Times New Roman"/>
                <w:sz w:val="24"/>
              </w:rPr>
              <w:t>Pohledávky vůči institucím a podnikům s krátkodobým úvěrovým hodnocením</w:t>
            </w:r>
          </w:p>
          <w:p w14:paraId="5AD30536" w14:textId="77777777" w:rsidR="007266CF" w:rsidRPr="002A677E" w:rsidRDefault="007266CF" w:rsidP="007266CF">
            <w:pPr>
              <w:ind w:left="72"/>
              <w:rPr>
                <w:rFonts w:ascii="Times New Roman" w:hAnsi="Times New Roman"/>
                <w:sz w:val="24"/>
              </w:rPr>
            </w:pPr>
            <w:r>
              <w:rPr>
                <w:rFonts w:ascii="Times New Roman" w:hAnsi="Times New Roman"/>
                <w:sz w:val="24"/>
              </w:rPr>
              <w:t>Ustanovení čl. 112 písm. n) nařízení (EU) č. 575/2013</w:t>
            </w:r>
          </w:p>
        </w:tc>
      </w:tr>
      <w:tr w:rsidR="007266CF" w:rsidRPr="002A677E" w14:paraId="3E1C7A33" w14:textId="77777777" w:rsidTr="007266CF">
        <w:tc>
          <w:tcPr>
            <w:tcW w:w="1188" w:type="dxa"/>
            <w:shd w:val="clear" w:color="auto" w:fill="FFFFFF"/>
          </w:tcPr>
          <w:p w14:paraId="63DFA8AA" w14:textId="77777777" w:rsidR="007266CF" w:rsidRPr="002A677E" w:rsidRDefault="007266CF" w:rsidP="007266CF">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16566C15"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Subjekty kolektivního investování</w:t>
            </w:r>
          </w:p>
          <w:p w14:paraId="0C7D31CE" w14:textId="77777777" w:rsidR="007266CF" w:rsidRPr="002A677E" w:rsidRDefault="007266CF" w:rsidP="007266CF">
            <w:pPr>
              <w:ind w:left="72"/>
              <w:rPr>
                <w:rFonts w:ascii="Times New Roman" w:hAnsi="Times New Roman"/>
                <w:bCs/>
                <w:sz w:val="24"/>
              </w:rPr>
            </w:pPr>
            <w:r>
              <w:rPr>
                <w:rFonts w:ascii="Times New Roman" w:hAnsi="Times New Roman"/>
                <w:sz w:val="24"/>
              </w:rPr>
              <w:t>Ustanovení čl. 112 písm. o) nařízení (EU) č. 575/2013</w:t>
            </w:r>
          </w:p>
          <w:p w14:paraId="39EC6CF3" w14:textId="77777777" w:rsidR="007266CF" w:rsidRPr="002A677E" w:rsidRDefault="007266CF" w:rsidP="007266CF">
            <w:pPr>
              <w:ind w:left="72"/>
              <w:rPr>
                <w:rStyle w:val="InstructionsTabelleberschrift"/>
                <w:rFonts w:ascii="Times New Roman" w:hAnsi="Times New Roman"/>
                <w:b w:val="0"/>
                <w:bCs w:val="0"/>
                <w:sz w:val="24"/>
                <w:u w:val="none"/>
              </w:rPr>
            </w:pPr>
            <w:r>
              <w:rPr>
                <w:rFonts w:ascii="Times New Roman" w:hAnsi="Times New Roman"/>
                <w:sz w:val="24"/>
              </w:rPr>
              <w:t>Součet řádků 0141 až 0143</w:t>
            </w:r>
          </w:p>
        </w:tc>
      </w:tr>
      <w:tr w:rsidR="007266CF" w:rsidRPr="002A677E" w14:paraId="2442830B"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FFFFFF"/>
          </w:tcPr>
          <w:p w14:paraId="6588BAC9" w14:textId="77777777" w:rsidR="007266CF" w:rsidRPr="002A677E" w:rsidRDefault="007266CF" w:rsidP="007266CF">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9729D11"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Přístup se zohledněním</w:t>
            </w:r>
          </w:p>
          <w:p w14:paraId="4D006C2B" w14:textId="77777777" w:rsidR="007266CF" w:rsidRPr="002A677E" w:rsidRDefault="007266CF" w:rsidP="007266CF">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0281 šablony CR SA.</w:t>
            </w:r>
          </w:p>
        </w:tc>
      </w:tr>
      <w:tr w:rsidR="007266CF" w:rsidRPr="002A677E" w14:paraId="31D3BD44"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FFFFFF"/>
          </w:tcPr>
          <w:p w14:paraId="26A9F32C" w14:textId="77777777" w:rsidR="007266CF" w:rsidRPr="002A677E" w:rsidRDefault="007266CF" w:rsidP="007266CF">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0E29EF9"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Přístup založený na pověření</w:t>
            </w:r>
          </w:p>
          <w:p w14:paraId="70F994F0" w14:textId="77777777" w:rsidR="007266CF" w:rsidRPr="002A677E" w:rsidRDefault="007266CF" w:rsidP="007266CF">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0282 šablony CR SA.</w:t>
            </w:r>
          </w:p>
        </w:tc>
      </w:tr>
      <w:tr w:rsidR="007266CF" w:rsidRPr="002A677E" w14:paraId="22CA8F91"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FFFFFF"/>
          </w:tcPr>
          <w:p w14:paraId="231099C5" w14:textId="77777777" w:rsidR="007266CF" w:rsidRPr="002A677E" w:rsidRDefault="007266CF" w:rsidP="007266CF">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EE7D9A8"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Záložní postup</w:t>
            </w:r>
          </w:p>
          <w:p w14:paraId="2F95D9A0" w14:textId="77777777" w:rsidR="007266CF" w:rsidRPr="002A677E" w:rsidRDefault="007266CF" w:rsidP="007266CF">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0283 šablony CR SA.</w:t>
            </w:r>
          </w:p>
        </w:tc>
      </w:tr>
      <w:tr w:rsidR="007266CF" w:rsidRPr="002A677E" w14:paraId="0D266F44" w14:textId="77777777" w:rsidTr="007266CF">
        <w:tc>
          <w:tcPr>
            <w:tcW w:w="1188" w:type="dxa"/>
            <w:shd w:val="clear" w:color="auto" w:fill="FFFFFF"/>
          </w:tcPr>
          <w:p w14:paraId="4FF2693E" w14:textId="77777777" w:rsidR="007266CF" w:rsidRPr="002A677E" w:rsidRDefault="007266CF" w:rsidP="007266CF">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1BC58E0"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Akciové expozice</w:t>
            </w:r>
          </w:p>
          <w:p w14:paraId="51AA4BB0"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p) nařízení (EU) č. 575/2013</w:t>
            </w:r>
          </w:p>
        </w:tc>
      </w:tr>
      <w:tr w:rsidR="007266CF" w:rsidRPr="002A677E" w14:paraId="31EA224D" w14:textId="77777777" w:rsidTr="007266CF">
        <w:tc>
          <w:tcPr>
            <w:tcW w:w="1188" w:type="dxa"/>
            <w:shd w:val="clear" w:color="auto" w:fill="FFFFFF"/>
          </w:tcPr>
          <w:p w14:paraId="16872C64" w14:textId="77777777" w:rsidR="007266CF" w:rsidRPr="002A677E" w:rsidRDefault="007266CF" w:rsidP="007266CF">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5ABEC401"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Ostatní expozice</w:t>
            </w:r>
          </w:p>
          <w:p w14:paraId="637245BC" w14:textId="77777777" w:rsidR="007266CF" w:rsidRPr="002A677E" w:rsidRDefault="007266CF" w:rsidP="007266CF">
            <w:pPr>
              <w:ind w:left="72"/>
              <w:rPr>
                <w:rStyle w:val="InstructionsTabelleberschrift"/>
                <w:rFonts w:ascii="Times New Roman" w:hAnsi="Times New Roman"/>
                <w:sz w:val="24"/>
              </w:rPr>
            </w:pPr>
            <w:r>
              <w:rPr>
                <w:rFonts w:ascii="Times New Roman" w:hAnsi="Times New Roman"/>
                <w:sz w:val="24"/>
              </w:rPr>
              <w:t>Ustanovení čl. 112 písm. q) nařízení (EU) č. 575/2013</w:t>
            </w:r>
          </w:p>
        </w:tc>
      </w:tr>
      <w:tr w:rsidR="007266CF" w:rsidRPr="002A677E" w14:paraId="5316B5A5" w14:textId="77777777" w:rsidTr="007266CF">
        <w:tc>
          <w:tcPr>
            <w:tcW w:w="1188" w:type="dxa"/>
            <w:shd w:val="clear" w:color="auto" w:fill="FFFFFF"/>
          </w:tcPr>
          <w:p w14:paraId="7E32B81D" w14:textId="77777777" w:rsidR="007266CF" w:rsidRPr="002A677E" w:rsidRDefault="007266CF" w:rsidP="007266CF">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7ACE300F" w14:textId="77777777" w:rsidR="007266CF" w:rsidRPr="002A677E" w:rsidRDefault="007266CF" w:rsidP="007266CF">
            <w:pPr>
              <w:ind w:left="72"/>
              <w:rPr>
                <w:rStyle w:val="InstructionsTabelleberschrift"/>
                <w:rFonts w:ascii="Times New Roman" w:hAnsi="Times New Roman"/>
                <w:sz w:val="24"/>
              </w:rPr>
            </w:pPr>
            <w:r>
              <w:rPr>
                <w:rStyle w:val="InstructionsTabelleberschrift"/>
                <w:rFonts w:ascii="Times New Roman" w:hAnsi="Times New Roman"/>
                <w:sz w:val="24"/>
              </w:rPr>
              <w:t>Celkové expozice</w:t>
            </w:r>
          </w:p>
        </w:tc>
      </w:tr>
    </w:tbl>
    <w:p w14:paraId="29436112" w14:textId="77777777" w:rsidR="007266CF" w:rsidRPr="002A677E" w:rsidRDefault="007266CF" w:rsidP="007266CF">
      <w:pPr>
        <w:spacing w:before="0" w:after="200" w:line="312" w:lineRule="auto"/>
        <w:jc w:val="left"/>
        <w:rPr>
          <w:rFonts w:ascii="Times New Roman" w:hAnsi="Times New Roman"/>
          <w:sz w:val="24"/>
        </w:rPr>
      </w:pPr>
    </w:p>
    <w:p w14:paraId="18EFB91F" w14:textId="77777777" w:rsidR="007266CF" w:rsidRPr="002A677E" w:rsidRDefault="007266CF" w:rsidP="00A75C39">
      <w:pPr>
        <w:pStyle w:val="Instructionsberschrift2"/>
        <w:numPr>
          <w:ilvl w:val="2"/>
          <w:numId w:val="79"/>
        </w:numPr>
        <w:rPr>
          <w:rFonts w:ascii="Times New Roman" w:hAnsi="Times New Roman" w:cs="Times New Roman"/>
          <w:sz w:val="24"/>
        </w:rPr>
      </w:pPr>
      <w:bookmarkStart w:id="154" w:name="_Toc116026770"/>
      <w:bookmarkStart w:id="155" w:name="_Toc119077927"/>
      <w:r>
        <w:rPr>
          <w:rFonts w:ascii="Times New Roman" w:hAnsi="Times New Roman"/>
          <w:sz w:val="24"/>
        </w:rPr>
        <w:lastRenderedPageBreak/>
        <w:t>C 09.02 – Zeměpisné rozčlenění expozic podle sídla dlužníka: expozice v rámci přístupu IRB</w:t>
      </w:r>
      <w:r>
        <w:t xml:space="preserve"> </w:t>
      </w:r>
      <w:r>
        <w:rPr>
          <w:rFonts w:ascii="Times New Roman" w:hAnsi="Times New Roman"/>
          <w:sz w:val="24"/>
        </w:rPr>
        <w:t>(CR GB 2)</w:t>
      </w:r>
      <w:bookmarkEnd w:id="154"/>
      <w:bookmarkEnd w:id="155"/>
    </w:p>
    <w:p w14:paraId="3F9D9BF9" w14:textId="77777777" w:rsidR="007266CF" w:rsidRPr="002A677E" w:rsidRDefault="007266CF" w:rsidP="00A75C39">
      <w:pPr>
        <w:pStyle w:val="Instructionsberschrift2"/>
        <w:numPr>
          <w:ilvl w:val="3"/>
          <w:numId w:val="80"/>
        </w:numPr>
        <w:rPr>
          <w:rFonts w:ascii="Times New Roman" w:hAnsi="Times New Roman" w:cs="Times New Roman"/>
          <w:sz w:val="24"/>
        </w:rPr>
      </w:pPr>
      <w:bookmarkStart w:id="156" w:name="_Toc116026771"/>
      <w:bookmarkStart w:id="157" w:name="_Toc119077928"/>
      <w:r>
        <w:rPr>
          <w:rFonts w:ascii="Times New Roman" w:hAnsi="Times New Roman"/>
          <w:sz w:val="24"/>
        </w:rPr>
        <w:t>Pokyny pro konkrétní pozice</w:t>
      </w:r>
      <w:bookmarkEnd w:id="156"/>
      <w:bookmarkEnd w:id="15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7266CF" w:rsidRPr="002A677E" w14:paraId="4C672ED1" w14:textId="77777777" w:rsidTr="007266CF">
        <w:tc>
          <w:tcPr>
            <w:tcW w:w="1188" w:type="dxa"/>
            <w:shd w:val="clear" w:color="auto" w:fill="CCCCCC"/>
          </w:tcPr>
          <w:p w14:paraId="1C7584C3" w14:textId="77777777" w:rsidR="007266CF" w:rsidRPr="002A677E" w:rsidRDefault="007266CF" w:rsidP="007266CF">
            <w:pPr>
              <w:rPr>
                <w:rFonts w:ascii="Times New Roman" w:hAnsi="Times New Roman"/>
                <w:b/>
                <w:sz w:val="24"/>
              </w:rPr>
            </w:pPr>
            <w:r>
              <w:rPr>
                <w:rFonts w:ascii="Times New Roman" w:hAnsi="Times New Roman"/>
                <w:b/>
                <w:sz w:val="24"/>
              </w:rPr>
              <w:t>Sloupce</w:t>
            </w:r>
          </w:p>
        </w:tc>
        <w:tc>
          <w:tcPr>
            <w:tcW w:w="8640" w:type="dxa"/>
            <w:shd w:val="clear" w:color="auto" w:fill="CCCCCC"/>
          </w:tcPr>
          <w:p w14:paraId="6372F67E" w14:textId="77777777" w:rsidR="007266CF" w:rsidRPr="002A677E" w:rsidRDefault="007266CF" w:rsidP="007266CF">
            <w:pPr>
              <w:ind w:left="72"/>
              <w:rPr>
                <w:rFonts w:ascii="Times New Roman" w:hAnsi="Times New Roman"/>
                <w:sz w:val="24"/>
              </w:rPr>
            </w:pPr>
          </w:p>
        </w:tc>
      </w:tr>
      <w:tr w:rsidR="007266CF" w:rsidRPr="002A677E" w14:paraId="09BC784E" w14:textId="77777777" w:rsidTr="007266CF">
        <w:tc>
          <w:tcPr>
            <w:tcW w:w="1188" w:type="dxa"/>
          </w:tcPr>
          <w:p w14:paraId="2D7BE91C"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05AAA134"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14:paraId="7DF70D0C" w14:textId="77777777" w:rsidR="007266CF" w:rsidRPr="002A677E" w:rsidRDefault="007266CF" w:rsidP="007266CF">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Shoduje se s definicí určenou pro sloupec 0020 šablony CR IRB.</w:t>
            </w:r>
          </w:p>
        </w:tc>
      </w:tr>
      <w:tr w:rsidR="007266CF" w:rsidRPr="002A677E" w14:paraId="585E015A" w14:textId="77777777" w:rsidTr="007266CF">
        <w:tc>
          <w:tcPr>
            <w:tcW w:w="1188" w:type="dxa"/>
          </w:tcPr>
          <w:p w14:paraId="1E5FEE07"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640" w:type="dxa"/>
          </w:tcPr>
          <w:p w14:paraId="613B440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v selhání</w:t>
            </w:r>
          </w:p>
          <w:p w14:paraId="39ADB74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Hodnota původní expozice u expozic, které jsou zařazeny jako „expozice, u nichž došlo k selhání“ v souladu s článkem 178 </w:t>
            </w:r>
            <w:r>
              <w:rPr>
                <w:rFonts w:ascii="Times New Roman" w:hAnsi="Times New Roman"/>
                <w:sz w:val="24"/>
              </w:rPr>
              <w:t>nařízení (EU) č. 575/2013.</w:t>
            </w:r>
          </w:p>
        </w:tc>
      </w:tr>
      <w:tr w:rsidR="007266CF" w:rsidRPr="002A677E" w14:paraId="3B40BB9E" w14:textId="77777777" w:rsidTr="007266CF">
        <w:tc>
          <w:tcPr>
            <w:tcW w:w="1188" w:type="dxa"/>
          </w:tcPr>
          <w:p w14:paraId="2966C79E"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640" w:type="dxa"/>
          </w:tcPr>
          <w:p w14:paraId="6704BDC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Nová selhání zjištěná pro dané období</w:t>
            </w:r>
          </w:p>
          <w:p w14:paraId="3BF18323"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 xml:space="preserve">Výše původních expozic, které byly v průběhu tříměsíčního období od posledního referenčního data vykazování zařazeny do kategorie „expozice v selhání“, se vykazuje proti kategorii expozic, do níž dlužník původně patřil. </w:t>
            </w:r>
          </w:p>
        </w:tc>
      </w:tr>
      <w:tr w:rsidR="007266CF" w:rsidRPr="002A677E" w14:paraId="3AAD3609" w14:textId="77777777" w:rsidTr="007266CF">
        <w:tc>
          <w:tcPr>
            <w:tcW w:w="1188" w:type="dxa"/>
          </w:tcPr>
          <w:p w14:paraId="3D6A7770"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640" w:type="dxa"/>
          </w:tcPr>
          <w:p w14:paraId="3874D1C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Obecné úpravy o úvěrové riziko</w:t>
            </w:r>
          </w:p>
          <w:p w14:paraId="74A00A04" w14:textId="77777777" w:rsidR="007266CF" w:rsidRPr="002A677E" w:rsidRDefault="007266CF" w:rsidP="007266CF">
            <w:pPr>
              <w:rPr>
                <w:rFonts w:ascii="Times New Roman" w:hAnsi="Times New Roman"/>
                <w:b/>
                <w:sz w:val="24"/>
                <w:u w:val="single"/>
              </w:rPr>
            </w:pPr>
            <w:r>
              <w:rPr>
                <w:rFonts w:ascii="Times New Roman" w:hAnsi="Times New Roman"/>
                <w:sz w:val="24"/>
              </w:rPr>
              <w:t>Úpravy o úvěrové riziko podle článku 110 nařízení (EU) č. 575/2013 a nařízení (EU) č. 183/2014</w:t>
            </w:r>
          </w:p>
        </w:tc>
      </w:tr>
      <w:tr w:rsidR="007266CF" w:rsidRPr="002A677E" w14:paraId="52A3822E" w14:textId="77777777" w:rsidTr="007266CF">
        <w:tc>
          <w:tcPr>
            <w:tcW w:w="1188" w:type="dxa"/>
          </w:tcPr>
          <w:p w14:paraId="21FED768" w14:textId="77777777" w:rsidR="007266CF" w:rsidRPr="002A677E" w:rsidRDefault="007266CF" w:rsidP="007266CF">
            <w:pPr>
              <w:rPr>
                <w:rFonts w:ascii="Times New Roman" w:hAnsi="Times New Roman"/>
                <w:sz w:val="24"/>
              </w:rPr>
            </w:pPr>
            <w:r>
              <w:rPr>
                <w:rFonts w:ascii="Times New Roman" w:hAnsi="Times New Roman"/>
                <w:sz w:val="24"/>
              </w:rPr>
              <w:t>0055</w:t>
            </w:r>
          </w:p>
        </w:tc>
        <w:tc>
          <w:tcPr>
            <w:tcW w:w="8640" w:type="dxa"/>
          </w:tcPr>
          <w:p w14:paraId="489A65F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Specifické úpravy o úvěrové riziko</w:t>
            </w:r>
          </w:p>
          <w:p w14:paraId="664726AC" w14:textId="77777777" w:rsidR="007266CF" w:rsidRPr="002A677E" w:rsidRDefault="007266CF" w:rsidP="007266CF">
            <w:pPr>
              <w:rPr>
                <w:rFonts w:ascii="Times New Roman" w:hAnsi="Times New Roman"/>
                <w:b/>
                <w:sz w:val="24"/>
                <w:u w:val="single"/>
              </w:rPr>
            </w:pPr>
            <w:r>
              <w:rPr>
                <w:rFonts w:ascii="Times New Roman" w:hAnsi="Times New Roman"/>
                <w:sz w:val="24"/>
              </w:rPr>
              <w:t>Úpravy o úvěrové riziko podle článku 110 nařízení (EU) č. 575/2013 a nařízení (EU) č. 183/2014</w:t>
            </w:r>
          </w:p>
        </w:tc>
      </w:tr>
      <w:tr w:rsidR="007266CF" w:rsidRPr="002A677E" w14:paraId="7183B651" w14:textId="77777777" w:rsidTr="007266CF">
        <w:tc>
          <w:tcPr>
            <w:tcW w:w="1188" w:type="dxa"/>
          </w:tcPr>
          <w:p w14:paraId="65C5F58D"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640" w:type="dxa"/>
          </w:tcPr>
          <w:p w14:paraId="766A101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Odpisy</w:t>
            </w:r>
          </w:p>
          <w:p w14:paraId="5DF740F4"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Odpisy uvedené v IFRS 9 odst. 5.4.4 a B5.4.9</w:t>
            </w:r>
          </w:p>
        </w:tc>
      </w:tr>
      <w:tr w:rsidR="007266CF" w:rsidRPr="002A677E" w14:paraId="728EE66A" w14:textId="77777777" w:rsidTr="007266CF">
        <w:tc>
          <w:tcPr>
            <w:tcW w:w="1188" w:type="dxa"/>
          </w:tcPr>
          <w:p w14:paraId="64F62DEC"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640" w:type="dxa"/>
          </w:tcPr>
          <w:p w14:paraId="534C912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Úpravy o úvěrové riziko / odpisy u nově zjištěných selhání</w:t>
            </w:r>
          </w:p>
          <w:p w14:paraId="3B6A280A"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Součet úprav o úvěrové riziko a odpisů u expozic, které byly zařazeny jako „expozice, u nichž došlo k selhání“ v průběhu tříměsíčního období od posledního předkládání údajů</w:t>
            </w:r>
          </w:p>
        </w:tc>
      </w:tr>
      <w:tr w:rsidR="007266CF" w:rsidRPr="002A677E" w14:paraId="1CCC77B6" w14:textId="77777777" w:rsidTr="007266CF">
        <w:tc>
          <w:tcPr>
            <w:tcW w:w="1188" w:type="dxa"/>
          </w:tcPr>
          <w:p w14:paraId="6F2A6817"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640" w:type="dxa"/>
          </w:tcPr>
          <w:p w14:paraId="48E836A9" w14:textId="77777777" w:rsidR="007266CF" w:rsidRPr="002A677E" w:rsidRDefault="007266CF" w:rsidP="007266CF">
            <w:pPr>
              <w:rPr>
                <w:rStyle w:val="InstructionsTabelleberschrift"/>
                <w:rFonts w:ascii="Times New Roman" w:hAnsi="Times New Roman"/>
                <w:bCs w:val="0"/>
                <w:sz w:val="24"/>
              </w:rPr>
            </w:pPr>
            <w:r>
              <w:rPr>
                <w:rStyle w:val="InstructionsTabelleberschrift"/>
                <w:rFonts w:ascii="Times New Roman" w:hAnsi="Times New Roman"/>
                <w:sz w:val="24"/>
              </w:rPr>
              <w:t>STUPNICE INTERNÍCH RATINGŮ / PRAVDĚPODOBNOST SELHÁNÍ (PD) PŘIŘAZENÁ STUPNI NEBO SESKUPENÍ DLUŽNÍKŮ (%)</w:t>
            </w:r>
          </w:p>
          <w:p w14:paraId="0F85D86D"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Shoduje se s definicí určenou pro sloupec 0010 šablony CR IRB.</w:t>
            </w:r>
          </w:p>
        </w:tc>
      </w:tr>
      <w:tr w:rsidR="007266CF" w:rsidRPr="002A677E" w14:paraId="6974BC4A" w14:textId="77777777" w:rsidTr="007266CF">
        <w:tc>
          <w:tcPr>
            <w:tcW w:w="1188" w:type="dxa"/>
          </w:tcPr>
          <w:p w14:paraId="6B1937BD"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640" w:type="dxa"/>
          </w:tcPr>
          <w:p w14:paraId="417C377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EXPOZICÍ VÁŽENÁ PRŮMĚRNÁ HODNOTA LGD (%)</w:t>
            </w:r>
          </w:p>
          <w:p w14:paraId="55686FA0"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Shoduje se s definicí určenou pro sloupce 0230 a 0240 šablony CR IRB. expozicí vážená průměrná hodnota LGD (%) se vztahuje na veškeré expozice, včetně expozic pro velké subjekty finančního sektoru a neregulované finanční subjekty Použije se ustanovení čl. 181 odst. 1 písm. h) </w:t>
            </w:r>
            <w:r>
              <w:rPr>
                <w:rFonts w:ascii="Times New Roman" w:hAnsi="Times New Roman"/>
                <w:sz w:val="24"/>
              </w:rPr>
              <w:t>nařízení (EU) č. 575/2013</w:t>
            </w:r>
            <w:r>
              <w:rPr>
                <w:rStyle w:val="InstructionsTabelleText"/>
                <w:rFonts w:ascii="Times New Roman" w:hAnsi="Times New Roman"/>
                <w:sz w:val="24"/>
              </w:rPr>
              <w:t>.</w:t>
            </w:r>
          </w:p>
          <w:p w14:paraId="228F2B16" w14:textId="77777777" w:rsidR="007266CF" w:rsidRPr="002A677E" w:rsidRDefault="007266CF" w:rsidP="007266CF">
            <w:pPr>
              <w:rPr>
                <w:rFonts w:ascii="Times New Roman" w:hAnsi="Times New Roman"/>
                <w:b/>
                <w:sz w:val="24"/>
                <w:u w:val="single"/>
              </w:rPr>
            </w:pPr>
            <w:r>
              <w:rPr>
                <w:rFonts w:ascii="Times New Roman" w:hAnsi="Times New Roman"/>
                <w:sz w:val="24"/>
              </w:rPr>
              <w:t xml:space="preserve">U specializovaných úvěrových expozic, u nichž se odhaduje PD, by vykázanou hodnotou měla být buď odhadnutá, nebo regulatorní LGD. U specializovaných úvěrových expozic </w:t>
            </w:r>
            <w:r>
              <w:rPr>
                <w:rFonts w:ascii="Times New Roman" w:hAnsi="Times New Roman"/>
                <w:sz w:val="24"/>
              </w:rPr>
              <w:lastRenderedPageBreak/>
              <w:t>uvedených v čl. 153 odst. 5 nařízení (EU) č. 575/2013 nelze údaje vykazovat, protože nejsou k dispozici.</w:t>
            </w:r>
          </w:p>
        </w:tc>
      </w:tr>
      <w:tr w:rsidR="007266CF" w:rsidRPr="002A677E" w14:paraId="3D5ACB87" w14:textId="77777777" w:rsidTr="007266CF">
        <w:tc>
          <w:tcPr>
            <w:tcW w:w="1188" w:type="dxa"/>
          </w:tcPr>
          <w:p w14:paraId="3E683FCB" w14:textId="77777777" w:rsidR="007266CF" w:rsidRPr="002A677E" w:rsidRDefault="007266CF" w:rsidP="007266CF">
            <w:pPr>
              <w:rPr>
                <w:rFonts w:ascii="Times New Roman" w:hAnsi="Times New Roman"/>
                <w:sz w:val="24"/>
              </w:rPr>
            </w:pPr>
            <w:r>
              <w:rPr>
                <w:rFonts w:ascii="Times New Roman" w:hAnsi="Times New Roman"/>
                <w:sz w:val="24"/>
              </w:rPr>
              <w:lastRenderedPageBreak/>
              <w:t>0100</w:t>
            </w:r>
          </w:p>
        </w:tc>
        <w:tc>
          <w:tcPr>
            <w:tcW w:w="8640" w:type="dxa"/>
          </w:tcPr>
          <w:p w14:paraId="4064319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v selhání</w:t>
            </w:r>
          </w:p>
          <w:p w14:paraId="5ECEC4A5"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 xml:space="preserve">Expozicí vážená hodnota LGD u expozic, které jsou zařazeny jako „expozice, u nichž došlo k selhání“ v souladu s článkem 178 </w:t>
            </w:r>
            <w:r>
              <w:rPr>
                <w:rFonts w:ascii="Times New Roman" w:hAnsi="Times New Roman"/>
                <w:sz w:val="24"/>
              </w:rPr>
              <w:t>nařízení (EU) č. 575/2013</w:t>
            </w:r>
          </w:p>
        </w:tc>
      </w:tr>
      <w:tr w:rsidR="007266CF" w:rsidRPr="002A677E" w14:paraId="263CF16E" w14:textId="77777777" w:rsidTr="007266CF">
        <w:tc>
          <w:tcPr>
            <w:tcW w:w="1188" w:type="dxa"/>
          </w:tcPr>
          <w:p w14:paraId="5F3ECEDC" w14:textId="77777777" w:rsidR="007266CF" w:rsidRPr="002A677E" w:rsidRDefault="007266CF" w:rsidP="007266CF">
            <w:pPr>
              <w:rPr>
                <w:rFonts w:ascii="Times New Roman" w:hAnsi="Times New Roman"/>
                <w:sz w:val="24"/>
              </w:rPr>
            </w:pPr>
            <w:r>
              <w:rPr>
                <w:rFonts w:ascii="Times New Roman" w:hAnsi="Times New Roman"/>
                <w:sz w:val="24"/>
              </w:rPr>
              <w:t>0105</w:t>
            </w:r>
          </w:p>
        </w:tc>
        <w:tc>
          <w:tcPr>
            <w:tcW w:w="8640" w:type="dxa"/>
          </w:tcPr>
          <w:p w14:paraId="0792BF7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Hodnota expozice</w:t>
            </w:r>
          </w:p>
          <w:p w14:paraId="23C70CA6"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Shoduje se s definicí určenou pro sloupec 0110 šablony CR IRB.</w:t>
            </w:r>
          </w:p>
        </w:tc>
      </w:tr>
      <w:tr w:rsidR="007266CF" w:rsidRPr="002A677E" w14:paraId="0B600B1A" w14:textId="77777777" w:rsidTr="007266CF">
        <w:tc>
          <w:tcPr>
            <w:tcW w:w="1188" w:type="dxa"/>
          </w:tcPr>
          <w:p w14:paraId="0B06DA7D"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640" w:type="dxa"/>
          </w:tcPr>
          <w:p w14:paraId="20F8928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 PŘED UPLATNĚNÍM PODPŮRNÝCH KOEFICIENTŮ</w:t>
            </w:r>
          </w:p>
          <w:p w14:paraId="7B190EF7"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Shoduje se s definicí určenou pro sloupec 0255 šablony CR IRB.</w:t>
            </w:r>
          </w:p>
        </w:tc>
      </w:tr>
      <w:tr w:rsidR="007266CF" w:rsidRPr="002A677E" w14:paraId="147E610A" w14:textId="77777777" w:rsidTr="007266CF">
        <w:tc>
          <w:tcPr>
            <w:tcW w:w="1188" w:type="dxa"/>
          </w:tcPr>
          <w:p w14:paraId="7E96912D" w14:textId="77777777" w:rsidR="007266CF" w:rsidRPr="002A677E" w:rsidRDefault="007266CF" w:rsidP="007266CF">
            <w:pPr>
              <w:rPr>
                <w:rFonts w:ascii="Times New Roman" w:hAnsi="Times New Roman"/>
                <w:sz w:val="24"/>
              </w:rPr>
            </w:pPr>
            <w:r>
              <w:rPr>
                <w:rFonts w:ascii="Times New Roman" w:hAnsi="Times New Roman"/>
                <w:sz w:val="24"/>
              </w:rPr>
              <w:t>0120</w:t>
            </w:r>
          </w:p>
        </w:tc>
        <w:tc>
          <w:tcPr>
            <w:tcW w:w="8640" w:type="dxa"/>
          </w:tcPr>
          <w:p w14:paraId="714C560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v selhání</w:t>
            </w:r>
          </w:p>
          <w:p w14:paraId="188DD704"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 xml:space="preserve">Objem rizikově vážených expozic u expozic, které jsou zařazeny jako „expozice, u nichž došlo k selhání“ v souladu s čl. 178 odst. 1 </w:t>
            </w:r>
            <w:r>
              <w:rPr>
                <w:rFonts w:ascii="Times New Roman" w:hAnsi="Times New Roman"/>
                <w:sz w:val="24"/>
              </w:rPr>
              <w:t>nařízení (EU) č. 575/2013</w:t>
            </w:r>
          </w:p>
        </w:tc>
      </w:tr>
      <w:tr w:rsidR="007266CF" w:rsidRPr="002A677E" w14:paraId="1A4A840F" w14:textId="77777777" w:rsidTr="007266CF">
        <w:tc>
          <w:tcPr>
            <w:tcW w:w="1188" w:type="dxa"/>
          </w:tcPr>
          <w:p w14:paraId="4F5D7308" w14:textId="77777777" w:rsidR="007266CF" w:rsidRPr="002A677E" w:rsidRDefault="007266CF" w:rsidP="007266CF">
            <w:pPr>
              <w:rPr>
                <w:rFonts w:ascii="Times New Roman" w:hAnsi="Times New Roman"/>
                <w:sz w:val="24"/>
              </w:rPr>
            </w:pPr>
            <w:r>
              <w:rPr>
                <w:rFonts w:ascii="Times New Roman" w:hAnsi="Times New Roman"/>
                <w:sz w:val="24"/>
              </w:rPr>
              <w:t>0121</w:t>
            </w:r>
          </w:p>
        </w:tc>
        <w:tc>
          <w:tcPr>
            <w:tcW w:w="8640" w:type="dxa"/>
          </w:tcPr>
          <w:p w14:paraId="4F12CEC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ÚPRAVA OBJEMU RIZIKOVĚ VÁŽENÉ EXPOZICE V DŮSLEDKU PODPŮRNÉHO KOEFICIENTU PRO MALÉ A STŘEDNÍ PODNIKY</w:t>
            </w:r>
          </w:p>
          <w:p w14:paraId="1F946099"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Shoduje se s definicí určenou pro sloupec 0256 šablony CR IRB.</w:t>
            </w:r>
          </w:p>
        </w:tc>
      </w:tr>
      <w:tr w:rsidR="007266CF" w:rsidRPr="002A677E" w14:paraId="2B965BB5" w14:textId="77777777" w:rsidTr="007266CF">
        <w:tc>
          <w:tcPr>
            <w:tcW w:w="1188" w:type="dxa"/>
          </w:tcPr>
          <w:p w14:paraId="37B8E8F3" w14:textId="77777777" w:rsidR="007266CF" w:rsidRPr="002A677E" w:rsidRDefault="007266CF" w:rsidP="007266CF">
            <w:pPr>
              <w:rPr>
                <w:rFonts w:ascii="Times New Roman" w:hAnsi="Times New Roman"/>
                <w:sz w:val="24"/>
              </w:rPr>
            </w:pPr>
            <w:r>
              <w:rPr>
                <w:rFonts w:ascii="Times New Roman" w:hAnsi="Times New Roman"/>
                <w:sz w:val="24"/>
              </w:rPr>
              <w:t>0122</w:t>
            </w:r>
          </w:p>
        </w:tc>
        <w:tc>
          <w:tcPr>
            <w:tcW w:w="8640" w:type="dxa"/>
          </w:tcPr>
          <w:p w14:paraId="4BCD804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ÚPRAVA OBJEMU RIZIKOVĚ VÁŽENÉ EXPOZICE V DŮSLEDKU PODPŮRNÉHO KOEFICIENTU PRO INFRASTRUKTURU</w:t>
            </w:r>
          </w:p>
          <w:p w14:paraId="25BF0101"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Shoduje se s definicí určenou pro sloupec 0257 šablony CR IRB.</w:t>
            </w:r>
          </w:p>
        </w:tc>
      </w:tr>
      <w:tr w:rsidR="007266CF" w:rsidRPr="002A677E" w14:paraId="51857EC6" w14:textId="77777777" w:rsidTr="007266CF">
        <w:tc>
          <w:tcPr>
            <w:tcW w:w="1188" w:type="dxa"/>
          </w:tcPr>
          <w:p w14:paraId="4248E826" w14:textId="77777777" w:rsidR="007266CF" w:rsidRPr="002A677E" w:rsidRDefault="007266CF" w:rsidP="007266CF">
            <w:pPr>
              <w:rPr>
                <w:rFonts w:ascii="Times New Roman" w:hAnsi="Times New Roman"/>
                <w:sz w:val="24"/>
              </w:rPr>
            </w:pPr>
            <w:r>
              <w:rPr>
                <w:rFonts w:ascii="Times New Roman" w:hAnsi="Times New Roman"/>
                <w:sz w:val="24"/>
              </w:rPr>
              <w:t>0125</w:t>
            </w:r>
          </w:p>
        </w:tc>
        <w:tc>
          <w:tcPr>
            <w:tcW w:w="8640" w:type="dxa"/>
          </w:tcPr>
          <w:p w14:paraId="01FED8E5"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14:paraId="28D36990"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Shoduje se s definicí určenou pro sloupec 0260 šablony CR IRB.</w:t>
            </w:r>
          </w:p>
        </w:tc>
      </w:tr>
      <w:tr w:rsidR="007266CF" w:rsidRPr="002A677E" w14:paraId="76957C6B" w14:textId="77777777" w:rsidTr="007266CF">
        <w:tc>
          <w:tcPr>
            <w:tcW w:w="1188" w:type="dxa"/>
          </w:tcPr>
          <w:p w14:paraId="095D4B06" w14:textId="77777777" w:rsidR="007266CF" w:rsidRPr="002A677E" w:rsidRDefault="007266CF" w:rsidP="007266CF">
            <w:pPr>
              <w:rPr>
                <w:rFonts w:ascii="Times New Roman" w:hAnsi="Times New Roman"/>
                <w:sz w:val="24"/>
              </w:rPr>
            </w:pPr>
            <w:r>
              <w:rPr>
                <w:rFonts w:ascii="Times New Roman" w:hAnsi="Times New Roman"/>
                <w:sz w:val="24"/>
              </w:rPr>
              <w:t>0130</w:t>
            </w:r>
          </w:p>
        </w:tc>
        <w:tc>
          <w:tcPr>
            <w:tcW w:w="8640" w:type="dxa"/>
          </w:tcPr>
          <w:p w14:paraId="5B13D78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VÝŠE OČEKÁVANÉ ZTRÁTY</w:t>
            </w:r>
          </w:p>
          <w:p w14:paraId="234058A5" w14:textId="77777777" w:rsidR="007266CF" w:rsidRPr="002A677E" w:rsidRDefault="007266CF" w:rsidP="007266CF">
            <w:pPr>
              <w:rPr>
                <w:rFonts w:ascii="Times New Roman" w:hAnsi="Times New Roman"/>
                <w:b/>
                <w:sz w:val="24"/>
                <w:u w:val="single"/>
              </w:rPr>
            </w:pPr>
            <w:r>
              <w:rPr>
                <w:rStyle w:val="InstructionsTabelleText"/>
                <w:rFonts w:ascii="Times New Roman" w:hAnsi="Times New Roman"/>
                <w:sz w:val="24"/>
              </w:rPr>
              <w:t>Shoduje se s definicí určenou pro sloupec 0280 šablony CR IRB.</w:t>
            </w:r>
          </w:p>
        </w:tc>
      </w:tr>
    </w:tbl>
    <w:p w14:paraId="5FD303D7" w14:textId="77777777" w:rsidR="007266CF" w:rsidRPr="002A677E" w:rsidRDefault="007266CF" w:rsidP="007266CF">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7266CF" w:rsidRPr="002A677E" w14:paraId="5822D839" w14:textId="77777777" w:rsidTr="007266CF">
        <w:tc>
          <w:tcPr>
            <w:tcW w:w="1188" w:type="dxa"/>
            <w:shd w:val="clear" w:color="auto" w:fill="CCCCCC"/>
          </w:tcPr>
          <w:p w14:paraId="3D472965" w14:textId="77777777" w:rsidR="007266CF" w:rsidRPr="002A677E" w:rsidRDefault="007266CF" w:rsidP="007266CF">
            <w:pPr>
              <w:rPr>
                <w:rFonts w:ascii="Times New Roman" w:hAnsi="Times New Roman"/>
                <w:b/>
                <w:sz w:val="24"/>
              </w:rPr>
            </w:pPr>
            <w:r>
              <w:rPr>
                <w:rFonts w:ascii="Times New Roman" w:hAnsi="Times New Roman"/>
                <w:b/>
                <w:sz w:val="24"/>
              </w:rPr>
              <w:t>Řádky</w:t>
            </w:r>
          </w:p>
        </w:tc>
        <w:tc>
          <w:tcPr>
            <w:tcW w:w="8640" w:type="dxa"/>
            <w:shd w:val="clear" w:color="auto" w:fill="CCCCCC"/>
          </w:tcPr>
          <w:p w14:paraId="6E0BDCCF" w14:textId="77777777" w:rsidR="007266CF" w:rsidRPr="002A677E" w:rsidRDefault="007266CF" w:rsidP="007266CF">
            <w:pPr>
              <w:ind w:left="72"/>
              <w:rPr>
                <w:rFonts w:ascii="Times New Roman" w:hAnsi="Times New Roman"/>
                <w:sz w:val="24"/>
              </w:rPr>
            </w:pPr>
          </w:p>
        </w:tc>
      </w:tr>
      <w:tr w:rsidR="007266CF" w:rsidRPr="006223CC" w14:paraId="7C8D7901" w14:textId="77777777" w:rsidTr="007266CF">
        <w:tc>
          <w:tcPr>
            <w:tcW w:w="1188" w:type="dxa"/>
          </w:tcPr>
          <w:p w14:paraId="4BCDF99E"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640" w:type="dxa"/>
          </w:tcPr>
          <w:p w14:paraId="37EE065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Ústřední vlády a centrální banky </w:t>
            </w:r>
          </w:p>
          <w:p w14:paraId="41769060" w14:textId="77777777" w:rsidR="007266CF" w:rsidRPr="006223CC" w:rsidRDefault="007266CF" w:rsidP="007266CF">
            <w:pPr>
              <w:rPr>
                <w:rFonts w:ascii="Times New Roman" w:hAnsi="Times New Roman"/>
                <w:sz w:val="24"/>
                <w:lang w:val="fr-FR"/>
              </w:rPr>
            </w:pPr>
            <w:r>
              <w:rPr>
                <w:rFonts w:ascii="Times New Roman" w:hAnsi="Times New Roman"/>
                <w:sz w:val="24"/>
              </w:rPr>
              <w:t>Ustanovení čl. 147 odst. </w:t>
            </w:r>
            <w:r w:rsidRPr="006223CC">
              <w:rPr>
                <w:rFonts w:ascii="Times New Roman" w:hAnsi="Times New Roman"/>
                <w:sz w:val="24"/>
                <w:lang w:val="fr-FR"/>
              </w:rPr>
              <w:t>2 písm. a) nařízení (EU) č. 575/2013</w:t>
            </w:r>
          </w:p>
        </w:tc>
      </w:tr>
      <w:tr w:rsidR="007266CF" w:rsidRPr="002A677E" w14:paraId="7CEAF8F1" w14:textId="77777777" w:rsidTr="007266CF">
        <w:tc>
          <w:tcPr>
            <w:tcW w:w="1188" w:type="dxa"/>
          </w:tcPr>
          <w:p w14:paraId="5A681C2A"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640" w:type="dxa"/>
          </w:tcPr>
          <w:p w14:paraId="670D5A6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Instituce</w:t>
            </w:r>
          </w:p>
          <w:p w14:paraId="06516DB9" w14:textId="77777777" w:rsidR="007266CF" w:rsidRPr="002A677E" w:rsidRDefault="007266CF" w:rsidP="007266CF">
            <w:pPr>
              <w:rPr>
                <w:rFonts w:ascii="Times New Roman" w:hAnsi="Times New Roman"/>
                <w:sz w:val="24"/>
              </w:rPr>
            </w:pPr>
            <w:r>
              <w:rPr>
                <w:rFonts w:ascii="Times New Roman" w:hAnsi="Times New Roman"/>
                <w:sz w:val="24"/>
              </w:rPr>
              <w:t>Ustanovení čl. 147 odst. 2 písm. b) nařízení (EU) č. 575/2013</w:t>
            </w:r>
          </w:p>
        </w:tc>
      </w:tr>
      <w:tr w:rsidR="007266CF" w:rsidRPr="006223CC" w14:paraId="3A0E56D7" w14:textId="77777777" w:rsidTr="007266CF">
        <w:tc>
          <w:tcPr>
            <w:tcW w:w="1188" w:type="dxa"/>
          </w:tcPr>
          <w:p w14:paraId="5D5D323B"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640" w:type="dxa"/>
          </w:tcPr>
          <w:p w14:paraId="5B5CE4D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Podniky </w:t>
            </w:r>
          </w:p>
          <w:p w14:paraId="15C4CD8D" w14:textId="77777777" w:rsidR="007266CF" w:rsidRPr="006223CC" w:rsidRDefault="007266CF" w:rsidP="007266CF">
            <w:pPr>
              <w:pStyle w:val="ListParagraph"/>
              <w:ind w:left="0"/>
              <w:rPr>
                <w:rFonts w:ascii="Times New Roman" w:hAnsi="Times New Roman"/>
                <w:sz w:val="24"/>
                <w:lang w:val="fr-FR"/>
              </w:rPr>
            </w:pPr>
            <w:r>
              <w:rPr>
                <w:rFonts w:ascii="Times New Roman" w:hAnsi="Times New Roman"/>
                <w:sz w:val="24"/>
              </w:rPr>
              <w:t>Všechny expozice vůči podnikům podle čl. 147 odst. </w:t>
            </w:r>
            <w:r w:rsidRPr="006223CC">
              <w:rPr>
                <w:rFonts w:ascii="Times New Roman" w:hAnsi="Times New Roman"/>
                <w:sz w:val="24"/>
                <w:lang w:val="fr-FR"/>
              </w:rPr>
              <w:t>2 písm. c) nařízení (EU) č. 575/2013</w:t>
            </w:r>
          </w:p>
        </w:tc>
      </w:tr>
      <w:tr w:rsidR="007266CF" w:rsidRPr="002A677E" w14:paraId="6114FA0B" w14:textId="77777777" w:rsidTr="007266CF">
        <w:tc>
          <w:tcPr>
            <w:tcW w:w="1188" w:type="dxa"/>
          </w:tcPr>
          <w:p w14:paraId="53264DEC" w14:textId="77777777" w:rsidR="007266CF" w:rsidRPr="002A677E" w:rsidRDefault="007266CF" w:rsidP="007266CF">
            <w:pPr>
              <w:rPr>
                <w:rFonts w:ascii="Times New Roman" w:hAnsi="Times New Roman"/>
                <w:sz w:val="24"/>
              </w:rPr>
            </w:pPr>
            <w:r>
              <w:rPr>
                <w:rFonts w:ascii="Times New Roman" w:hAnsi="Times New Roman"/>
                <w:sz w:val="24"/>
              </w:rPr>
              <w:lastRenderedPageBreak/>
              <w:t>0042</w:t>
            </w:r>
          </w:p>
        </w:tc>
        <w:tc>
          <w:tcPr>
            <w:tcW w:w="8640" w:type="dxa"/>
          </w:tcPr>
          <w:p w14:paraId="7F882C1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Specializované úvěry (bez specializovaných úvěrů podle rozřazovacího přístupu)</w:t>
            </w:r>
          </w:p>
          <w:p w14:paraId="260FD0D6"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Ustanovení čl. 147 odst. 8 písm. a) nařízení (EU) č. 575/2013</w:t>
            </w:r>
          </w:p>
          <w:p w14:paraId="47CB6600"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Údaje se nevykazují v případě specializovaných úvěrových expozic ve smyslu čl. 153 odst. 5 nařízení (EU) č. 575/2013.</w:t>
            </w:r>
          </w:p>
        </w:tc>
      </w:tr>
      <w:tr w:rsidR="007266CF" w:rsidRPr="002A677E" w14:paraId="24B984E5" w14:textId="77777777" w:rsidTr="007266CF">
        <w:tc>
          <w:tcPr>
            <w:tcW w:w="1188" w:type="dxa"/>
          </w:tcPr>
          <w:p w14:paraId="7CC97559" w14:textId="77777777" w:rsidR="007266CF" w:rsidRPr="002A677E" w:rsidRDefault="007266CF" w:rsidP="007266CF">
            <w:pPr>
              <w:rPr>
                <w:rFonts w:ascii="Times New Roman" w:hAnsi="Times New Roman"/>
                <w:sz w:val="24"/>
              </w:rPr>
            </w:pPr>
            <w:r>
              <w:rPr>
                <w:rFonts w:ascii="Times New Roman" w:hAnsi="Times New Roman"/>
                <w:sz w:val="24"/>
              </w:rPr>
              <w:t>0045</w:t>
            </w:r>
          </w:p>
        </w:tc>
        <w:tc>
          <w:tcPr>
            <w:tcW w:w="8640" w:type="dxa"/>
          </w:tcPr>
          <w:p w14:paraId="57A7D31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Specializované úvěry podle rozřazovacího přístupu</w:t>
            </w:r>
          </w:p>
          <w:p w14:paraId="5C5ADC12" w14:textId="77777777" w:rsidR="007266CF" w:rsidRPr="002A677E" w:rsidRDefault="007266CF" w:rsidP="007266CF">
            <w:pPr>
              <w:rPr>
                <w:rFonts w:ascii="Times New Roman" w:hAnsi="Times New Roman"/>
                <w:b/>
                <w:sz w:val="24"/>
                <w:u w:val="single"/>
              </w:rPr>
            </w:pPr>
            <w:r>
              <w:rPr>
                <w:rFonts w:ascii="Times New Roman" w:hAnsi="Times New Roman"/>
                <w:sz w:val="24"/>
              </w:rPr>
              <w:t>Ustanovení čl. 147 odst. 8 písm. a) a čl. 153 odst. 5 nařízení (EU) č. 575/2013</w:t>
            </w:r>
          </w:p>
        </w:tc>
      </w:tr>
      <w:tr w:rsidR="007266CF" w:rsidRPr="002A677E" w14:paraId="3F1B482E" w14:textId="77777777" w:rsidTr="007266CF">
        <w:tc>
          <w:tcPr>
            <w:tcW w:w="1188" w:type="dxa"/>
          </w:tcPr>
          <w:p w14:paraId="7C2BFD4F"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640" w:type="dxa"/>
          </w:tcPr>
          <w:p w14:paraId="3EA1C1C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Malé a střední podniky</w:t>
            </w:r>
          </w:p>
          <w:p w14:paraId="5E93AF5B"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Ustanovení čl. 147 odst. 2 písm. c) nařízení (EU) č. 575/2013</w:t>
            </w:r>
          </w:p>
          <w:p w14:paraId="62BB1B82"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V rámci přístupu IRB použijí vykazující subjekty svou interní definici malých a středních podniků používanou v interních procesech řízení rizik.</w:t>
            </w:r>
          </w:p>
        </w:tc>
      </w:tr>
      <w:tr w:rsidR="007266CF" w:rsidRPr="006223CC" w14:paraId="2E75176F" w14:textId="77777777" w:rsidTr="007266CF">
        <w:tc>
          <w:tcPr>
            <w:tcW w:w="1188" w:type="dxa"/>
          </w:tcPr>
          <w:p w14:paraId="14ACF384"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640" w:type="dxa"/>
          </w:tcPr>
          <w:p w14:paraId="4A06CA85"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Retailové expozice</w:t>
            </w:r>
          </w:p>
          <w:p w14:paraId="019439AB" w14:textId="77777777" w:rsidR="007266CF" w:rsidRPr="006223CC" w:rsidRDefault="007266CF" w:rsidP="007266CF">
            <w:pPr>
              <w:rPr>
                <w:rFonts w:ascii="Times New Roman" w:hAnsi="Times New Roman"/>
                <w:sz w:val="24"/>
                <w:lang w:val="fr-FR"/>
              </w:rPr>
            </w:pPr>
            <w:r>
              <w:rPr>
                <w:rFonts w:ascii="Times New Roman" w:hAnsi="Times New Roman"/>
                <w:sz w:val="24"/>
              </w:rPr>
              <w:t>Všechny retailové expozice ve smyslu čl. 147 odst. </w:t>
            </w:r>
            <w:r w:rsidRPr="006223CC">
              <w:rPr>
                <w:rFonts w:ascii="Times New Roman" w:hAnsi="Times New Roman"/>
                <w:sz w:val="24"/>
                <w:lang w:val="fr-FR"/>
              </w:rPr>
              <w:t>2 písm. d) nařízení (EU) č. 575/2013</w:t>
            </w:r>
          </w:p>
        </w:tc>
      </w:tr>
      <w:tr w:rsidR="007266CF" w:rsidRPr="002A677E" w14:paraId="73805244" w14:textId="77777777" w:rsidTr="007266CF">
        <w:tc>
          <w:tcPr>
            <w:tcW w:w="1188" w:type="dxa"/>
          </w:tcPr>
          <w:p w14:paraId="5D10CDA6"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640" w:type="dxa"/>
          </w:tcPr>
          <w:p w14:paraId="68AE33D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Retailová oblast – se zajištěním nemovitostmi</w:t>
            </w:r>
          </w:p>
          <w:p w14:paraId="7E0832EB"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Retailové expozice ve smyslu čl. 147 odst. 2 písm. d) nařízení (EU) č. 575/2013, které jsou zajištěny nemovitostmi</w:t>
            </w:r>
          </w:p>
          <w:p w14:paraId="1B9663D3"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Za retailové expozice zajištěné nemovitostmi se považují veškeré retailové expozice zajištěné nemovitostmi uznané jako kolaterál bez ohledu na poměr hodnoty kolaterálu k expozici nebo účel úvěru.</w:t>
            </w:r>
          </w:p>
        </w:tc>
      </w:tr>
      <w:tr w:rsidR="007266CF" w:rsidRPr="002A677E" w14:paraId="7EC2ECCE" w14:textId="77777777" w:rsidTr="007266CF">
        <w:tc>
          <w:tcPr>
            <w:tcW w:w="1188" w:type="dxa"/>
          </w:tcPr>
          <w:p w14:paraId="1CE0F8E3"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640" w:type="dxa"/>
          </w:tcPr>
          <w:p w14:paraId="7DB8CB7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Malé a střední podniky</w:t>
            </w:r>
          </w:p>
          <w:p w14:paraId="3561A9FC"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Retailové expozice ve smyslu čl. 147 odst. 2 písm. d) a čl. 154 odst. 3 nařízení (EU) č. 575/2013, které jsou zajištěny nemovitostmi</w:t>
            </w:r>
          </w:p>
        </w:tc>
      </w:tr>
      <w:tr w:rsidR="007266CF" w:rsidRPr="002A677E" w14:paraId="40F9A02F" w14:textId="77777777" w:rsidTr="007266CF">
        <w:tc>
          <w:tcPr>
            <w:tcW w:w="1188" w:type="dxa"/>
          </w:tcPr>
          <w:p w14:paraId="170386E3"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640" w:type="dxa"/>
          </w:tcPr>
          <w:p w14:paraId="7D5A633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Jiné než malé a střední podniky</w:t>
            </w:r>
          </w:p>
          <w:p w14:paraId="0F9E24E2"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Retailové expozice ve smyslu čl. 147 odst. 2 písm. d) nařízení (EU) č. 575/2013, které jsou zajištěny nemovitostmi</w:t>
            </w:r>
          </w:p>
        </w:tc>
      </w:tr>
      <w:tr w:rsidR="007266CF" w:rsidRPr="002A677E" w14:paraId="1D0675F6" w14:textId="77777777" w:rsidTr="007266CF">
        <w:tc>
          <w:tcPr>
            <w:tcW w:w="1188" w:type="dxa"/>
          </w:tcPr>
          <w:p w14:paraId="4382F9C0" w14:textId="77777777" w:rsidR="007266CF" w:rsidRPr="002A677E" w:rsidRDefault="007266CF" w:rsidP="007266CF">
            <w:pPr>
              <w:rPr>
                <w:rFonts w:ascii="Times New Roman" w:hAnsi="Times New Roman"/>
                <w:sz w:val="24"/>
              </w:rPr>
            </w:pPr>
            <w:r>
              <w:rPr>
                <w:rFonts w:ascii="Times New Roman" w:hAnsi="Times New Roman"/>
                <w:sz w:val="24"/>
              </w:rPr>
              <w:t>0100</w:t>
            </w:r>
          </w:p>
        </w:tc>
        <w:tc>
          <w:tcPr>
            <w:tcW w:w="8640" w:type="dxa"/>
          </w:tcPr>
          <w:p w14:paraId="12B409F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Retailová oblast – kvalifikované revolvingové expozice</w:t>
            </w:r>
          </w:p>
          <w:p w14:paraId="1FEE88E5"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Retailové expozice ve smyslu čl. 147 odst. 2 písm. d) ve spojení s čl. 154 odst. 4 nařízení (EU) č. 575/2013</w:t>
            </w:r>
          </w:p>
        </w:tc>
      </w:tr>
      <w:tr w:rsidR="007266CF" w:rsidRPr="002A677E" w14:paraId="11142510" w14:textId="77777777" w:rsidTr="007266CF">
        <w:tc>
          <w:tcPr>
            <w:tcW w:w="1188" w:type="dxa"/>
          </w:tcPr>
          <w:p w14:paraId="1BE81DC2"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640" w:type="dxa"/>
          </w:tcPr>
          <w:p w14:paraId="32CA689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Ostatní retailové expozice</w:t>
            </w:r>
          </w:p>
          <w:p w14:paraId="1A1ACC16"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Ostatní retailové expozice ve smyslu čl. 147 odst. 2 písm. d) nařízení (EU) č. 575/2013, které nebyly vykázány v řádcích 0070–0100</w:t>
            </w:r>
          </w:p>
        </w:tc>
      </w:tr>
      <w:tr w:rsidR="007266CF" w:rsidRPr="002A677E" w14:paraId="6437B2E5" w14:textId="77777777" w:rsidTr="007266CF">
        <w:tc>
          <w:tcPr>
            <w:tcW w:w="1188" w:type="dxa"/>
          </w:tcPr>
          <w:p w14:paraId="4CDE8BB6" w14:textId="77777777" w:rsidR="007266CF" w:rsidRPr="002A677E" w:rsidRDefault="007266CF" w:rsidP="007266CF">
            <w:pPr>
              <w:rPr>
                <w:rFonts w:ascii="Times New Roman" w:hAnsi="Times New Roman"/>
                <w:sz w:val="24"/>
              </w:rPr>
            </w:pPr>
            <w:r>
              <w:rPr>
                <w:rFonts w:ascii="Times New Roman" w:hAnsi="Times New Roman"/>
                <w:sz w:val="24"/>
              </w:rPr>
              <w:t>0120</w:t>
            </w:r>
          </w:p>
        </w:tc>
        <w:tc>
          <w:tcPr>
            <w:tcW w:w="8640" w:type="dxa"/>
          </w:tcPr>
          <w:p w14:paraId="10A2A81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Malé a střední podniky</w:t>
            </w:r>
          </w:p>
          <w:p w14:paraId="4B179EE6" w14:textId="77777777" w:rsidR="007266CF" w:rsidRPr="002A677E" w:rsidRDefault="007266CF" w:rsidP="007266CF">
            <w:pPr>
              <w:pStyle w:val="ListParagraph"/>
              <w:ind w:left="0"/>
              <w:rPr>
                <w:rFonts w:ascii="Times New Roman" w:hAnsi="Times New Roman"/>
                <w:sz w:val="24"/>
              </w:rPr>
            </w:pPr>
            <w:r>
              <w:rPr>
                <w:rFonts w:ascii="Times New Roman" w:hAnsi="Times New Roman"/>
                <w:sz w:val="24"/>
              </w:rPr>
              <w:t>Ostatní retailové expozice vůči malým a středním podnikům ve smyslu čl. 147 odst. 2 písm. d) nařízení (EU) č. 575/2013</w:t>
            </w:r>
          </w:p>
        </w:tc>
      </w:tr>
      <w:tr w:rsidR="007266CF" w:rsidRPr="002A677E" w14:paraId="66083103" w14:textId="77777777" w:rsidTr="007266CF">
        <w:tc>
          <w:tcPr>
            <w:tcW w:w="1188" w:type="dxa"/>
          </w:tcPr>
          <w:p w14:paraId="47D6F71F" w14:textId="77777777" w:rsidR="007266CF" w:rsidRPr="002A677E" w:rsidRDefault="007266CF" w:rsidP="007266CF">
            <w:pPr>
              <w:rPr>
                <w:rFonts w:ascii="Times New Roman" w:hAnsi="Times New Roman"/>
                <w:sz w:val="24"/>
              </w:rPr>
            </w:pPr>
            <w:r>
              <w:rPr>
                <w:rFonts w:ascii="Times New Roman" w:hAnsi="Times New Roman"/>
                <w:sz w:val="24"/>
              </w:rPr>
              <w:lastRenderedPageBreak/>
              <w:t>0130</w:t>
            </w:r>
          </w:p>
        </w:tc>
        <w:tc>
          <w:tcPr>
            <w:tcW w:w="8640" w:type="dxa"/>
          </w:tcPr>
          <w:p w14:paraId="1CD34AB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Jiné než malé a střední podniky</w:t>
            </w:r>
          </w:p>
          <w:p w14:paraId="70E6EC67" w14:textId="77777777" w:rsidR="007266CF" w:rsidRPr="002A677E" w:rsidRDefault="007266CF" w:rsidP="007266CF">
            <w:pPr>
              <w:rPr>
                <w:rFonts w:ascii="Times New Roman" w:hAnsi="Times New Roman"/>
                <w:sz w:val="24"/>
              </w:rPr>
            </w:pPr>
            <w:r>
              <w:rPr>
                <w:rFonts w:ascii="Times New Roman" w:hAnsi="Times New Roman"/>
                <w:sz w:val="24"/>
              </w:rPr>
              <w:t>Ostatní retailové expozice vůči jednotlivcům ve smyslu čl. 147 odst. 2 písm. d) nařízení (EU) č. 575/2013</w:t>
            </w:r>
          </w:p>
        </w:tc>
      </w:tr>
      <w:tr w:rsidR="007266CF" w:rsidRPr="006223CC" w14:paraId="4275C747" w14:textId="77777777" w:rsidTr="007266CF">
        <w:tc>
          <w:tcPr>
            <w:tcW w:w="1188" w:type="dxa"/>
            <w:tcBorders>
              <w:top w:val="single" w:sz="4" w:space="0" w:color="auto"/>
              <w:left w:val="single" w:sz="4" w:space="0" w:color="auto"/>
              <w:bottom w:val="single" w:sz="4" w:space="0" w:color="auto"/>
              <w:right w:val="single" w:sz="4" w:space="0" w:color="auto"/>
            </w:tcBorders>
          </w:tcPr>
          <w:p w14:paraId="634D3B32" w14:textId="77777777" w:rsidR="007266CF" w:rsidRPr="002A677E" w:rsidRDefault="007266CF" w:rsidP="007266CF">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4E4D7B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Akciové expozice</w:t>
            </w:r>
          </w:p>
          <w:p w14:paraId="7A344631" w14:textId="77777777" w:rsidR="007266CF" w:rsidRPr="006223CC" w:rsidRDefault="007266CF" w:rsidP="007266CF">
            <w:pPr>
              <w:rPr>
                <w:rFonts w:ascii="Times New Roman" w:hAnsi="Times New Roman"/>
                <w:b/>
                <w:sz w:val="24"/>
                <w:u w:val="single"/>
                <w:lang w:val="fr-FR"/>
              </w:rPr>
            </w:pPr>
            <w:r>
              <w:rPr>
                <w:rFonts w:ascii="Times New Roman" w:hAnsi="Times New Roman"/>
                <w:sz w:val="24"/>
              </w:rPr>
              <w:t>Akciové expozice ve smyslu čl. 147 odst. </w:t>
            </w:r>
            <w:r w:rsidRPr="006223CC">
              <w:rPr>
                <w:rFonts w:ascii="Times New Roman" w:hAnsi="Times New Roman"/>
                <w:sz w:val="24"/>
                <w:lang w:val="fr-FR"/>
              </w:rPr>
              <w:t>2 písm. e) nařízení (EU) č. 575/2013</w:t>
            </w:r>
          </w:p>
        </w:tc>
      </w:tr>
      <w:tr w:rsidR="007266CF" w:rsidRPr="002A677E" w14:paraId="1C0F3512" w14:textId="77777777" w:rsidTr="007266CF">
        <w:tc>
          <w:tcPr>
            <w:tcW w:w="1188" w:type="dxa"/>
            <w:tcBorders>
              <w:top w:val="single" w:sz="4" w:space="0" w:color="auto"/>
              <w:left w:val="single" w:sz="4" w:space="0" w:color="auto"/>
              <w:bottom w:val="single" w:sz="4" w:space="0" w:color="auto"/>
              <w:right w:val="single" w:sz="4" w:space="0" w:color="auto"/>
            </w:tcBorders>
          </w:tcPr>
          <w:p w14:paraId="3B6AC3D6" w14:textId="77777777" w:rsidR="007266CF" w:rsidRPr="002A677E" w:rsidRDefault="007266CF" w:rsidP="007266CF">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09E7C8CE"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Celkové expozice</w:t>
            </w:r>
          </w:p>
        </w:tc>
      </w:tr>
    </w:tbl>
    <w:p w14:paraId="0E73A9CA" w14:textId="77777777" w:rsidR="007266CF" w:rsidRPr="002A677E" w:rsidRDefault="007266CF" w:rsidP="007266CF">
      <w:pPr>
        <w:spacing w:before="0" w:after="200" w:line="312" w:lineRule="auto"/>
        <w:jc w:val="left"/>
        <w:rPr>
          <w:rFonts w:ascii="Times New Roman" w:hAnsi="Times New Roman"/>
          <w:sz w:val="24"/>
        </w:rPr>
      </w:pPr>
    </w:p>
    <w:p w14:paraId="06457158" w14:textId="77777777" w:rsidR="007266CF" w:rsidRPr="002A677E" w:rsidRDefault="007266CF" w:rsidP="00A75C39">
      <w:pPr>
        <w:pStyle w:val="Instructionsberschrift2"/>
        <w:numPr>
          <w:ilvl w:val="2"/>
          <w:numId w:val="81"/>
        </w:numPr>
        <w:rPr>
          <w:rFonts w:ascii="Times New Roman" w:hAnsi="Times New Roman" w:cs="Times New Roman"/>
          <w:sz w:val="24"/>
        </w:rPr>
      </w:pPr>
      <w:bookmarkStart w:id="158" w:name="_Toc116026772"/>
      <w:bookmarkStart w:id="159" w:name="_Toc119077929"/>
      <w:r>
        <w:rPr>
          <w:rFonts w:ascii="Times New Roman" w:hAnsi="Times New Roman"/>
          <w:sz w:val="24"/>
        </w:rPr>
        <w:t>C 09.04 – Rozčlenění úvěrových expozic relevantních pro výpočet proticyklické kapitálové rezervy podle zemí a sazby proticyklické rezervy specifické pro danou instituci</w:t>
      </w:r>
      <w:r>
        <w:t xml:space="preserve"> </w:t>
      </w:r>
      <w:r>
        <w:rPr>
          <w:rFonts w:ascii="Times New Roman" w:hAnsi="Times New Roman"/>
          <w:sz w:val="24"/>
        </w:rPr>
        <w:t>(CCB)</w:t>
      </w:r>
      <w:bookmarkEnd w:id="158"/>
      <w:bookmarkEnd w:id="159"/>
    </w:p>
    <w:p w14:paraId="3119F0F8" w14:textId="77777777" w:rsidR="007266CF" w:rsidRPr="002A677E" w:rsidRDefault="007266CF" w:rsidP="00A75C39">
      <w:pPr>
        <w:pStyle w:val="Instructionsberschrift2"/>
        <w:numPr>
          <w:ilvl w:val="3"/>
          <w:numId w:val="82"/>
        </w:numPr>
        <w:rPr>
          <w:rFonts w:ascii="Times New Roman" w:hAnsi="Times New Roman" w:cs="Times New Roman"/>
          <w:sz w:val="24"/>
        </w:rPr>
      </w:pPr>
      <w:bookmarkStart w:id="160" w:name="_Toc116026773"/>
      <w:bookmarkStart w:id="161" w:name="_Toc119077930"/>
      <w:r>
        <w:rPr>
          <w:rFonts w:ascii="Times New Roman" w:hAnsi="Times New Roman"/>
          <w:sz w:val="24"/>
        </w:rPr>
        <w:t>Obecné poznámky</w:t>
      </w:r>
      <w:bookmarkEnd w:id="160"/>
      <w:bookmarkEnd w:id="161"/>
    </w:p>
    <w:p w14:paraId="4B3E362E" w14:textId="77777777" w:rsidR="007266CF" w:rsidRPr="002A677E" w:rsidRDefault="007266CF" w:rsidP="007266CF">
      <w:pPr>
        <w:pStyle w:val="InstructionsText2"/>
        <w:numPr>
          <w:ilvl w:val="0"/>
          <w:numId w:val="0"/>
        </w:numPr>
        <w:ind w:left="1353" w:hanging="360"/>
      </w:pPr>
      <w:fldSimple w:instr=" seq paragraphs ">
        <w:r>
          <w:t>88</w:t>
        </w:r>
      </w:fldSimple>
      <w:r>
        <w:t>.</w:t>
      </w:r>
      <w:r>
        <w:tab/>
        <w:t xml:space="preserve">Účelem této šablony je získat více údajů ohledně prvků proticyklické kapitálové rezervy specifické pro danou instituci. Požadované údaje se týkají kapitálových požadavků stanovených v souladu s částí třetí hlavou II a IV nařízení (EU) č. 575/2013 a zeměpisného umístění u úvěrových expozic, sekuritizovaných expozic a expozic obchodního portfolia rozhodných pro výpočet proticyklické kapitálové rezervy specifické pro danou instituci (CCB) v souladu s článkem 140 směrnice 2013/36/EU (rozhodné úvěrové expozice). </w:t>
      </w:r>
    </w:p>
    <w:p w14:paraId="2CB1659E" w14:textId="77777777" w:rsidR="007266CF" w:rsidRPr="002A677E" w:rsidRDefault="007266CF" w:rsidP="007266CF">
      <w:pPr>
        <w:pStyle w:val="InstructionsText2"/>
        <w:numPr>
          <w:ilvl w:val="0"/>
          <w:numId w:val="0"/>
        </w:numPr>
        <w:ind w:left="1353" w:hanging="360"/>
      </w:pPr>
      <w:fldSimple w:instr=" seq paragraphs ">
        <w:r>
          <w:t>89</w:t>
        </w:r>
      </w:fldSimple>
      <w:r>
        <w:t>.</w:t>
      </w:r>
      <w:r>
        <w:tab/>
        <w:t xml:space="preserve">Údaje v šabloně C 09.04 se vykazují pro „celkové“ rozhodné úvěrové expozice ve všech jurisdikcích, ve kterých jsou tyto expozice umístěny, a jednotlivě pro každou z jurisdikcí, v nichž jsou umístěny relevantní úvěrové expozice. Souhrnné údaje se stejně jako údaje o každé jurisdikci vykazují samostatně. </w:t>
      </w:r>
    </w:p>
    <w:p w14:paraId="2C942F3F" w14:textId="77777777" w:rsidR="007266CF" w:rsidRPr="002A677E" w:rsidRDefault="007266CF" w:rsidP="007266CF">
      <w:pPr>
        <w:pStyle w:val="InstructionsText2"/>
        <w:numPr>
          <w:ilvl w:val="0"/>
          <w:numId w:val="0"/>
        </w:numPr>
        <w:ind w:left="1353" w:hanging="360"/>
      </w:pPr>
      <w:fldSimple w:instr=" seq paragraphs ">
        <w:r>
          <w:t>90</w:t>
        </w:r>
      </w:fldSimple>
      <w:r>
        <w:t>.</w:t>
      </w:r>
      <w:r>
        <w:tab/>
        <w:t>Prahová hodnota stanovená v čl. 5 odst. 5 tohoto prováděcího nařízení neplatí pro vykazování tohoto rozčlenění.</w:t>
      </w:r>
    </w:p>
    <w:p w14:paraId="4BE55D5A" w14:textId="77777777" w:rsidR="007266CF" w:rsidRPr="002A677E" w:rsidRDefault="007266CF" w:rsidP="007266CF">
      <w:pPr>
        <w:pStyle w:val="InstructionsText2"/>
        <w:numPr>
          <w:ilvl w:val="0"/>
          <w:numId w:val="0"/>
        </w:numPr>
        <w:ind w:left="1353" w:hanging="360"/>
      </w:pPr>
      <w:fldSimple w:instr=" seq paragraphs ">
        <w:r>
          <w:t>91</w:t>
        </w:r>
      </w:fldSimple>
      <w:r>
        <w:t>.</w:t>
      </w:r>
      <w:r>
        <w:tab/>
        <w:t>V zájmu určení zeměpisné oblasti jsou expozice přiřazeny na základě bezprostředního dlužníka podle nařízení Komise v přenesené pravomoci (EU) č. 1152/2014</w:t>
      </w:r>
      <w:r>
        <w:footnoteReference w:id="5"/>
      </w:r>
      <w:r>
        <w:t>. Techniky snižování úvěrového rizika tedy nemohou způsobit změnu v přidělení expozice k zeměpisné oblasti pro účely vykazování údajů uvedených v této šabloně.</w:t>
      </w:r>
    </w:p>
    <w:p w14:paraId="393B1AE4" w14:textId="77777777" w:rsidR="007266CF" w:rsidRPr="002A677E" w:rsidRDefault="007266CF" w:rsidP="00A75C39">
      <w:pPr>
        <w:pStyle w:val="Instructionsberschrift2"/>
        <w:numPr>
          <w:ilvl w:val="3"/>
          <w:numId w:val="83"/>
        </w:numPr>
        <w:rPr>
          <w:rFonts w:ascii="Times New Roman" w:hAnsi="Times New Roman" w:cs="Times New Roman"/>
          <w:sz w:val="24"/>
        </w:rPr>
      </w:pPr>
      <w:bookmarkStart w:id="162" w:name="_Toc116026774"/>
      <w:bookmarkStart w:id="163" w:name="_Toc119077931"/>
      <w:r>
        <w:rPr>
          <w:rFonts w:ascii="Times New Roman" w:hAnsi="Times New Roman"/>
          <w:sz w:val="24"/>
        </w:rPr>
        <w:t>Pokyny pro konkrétní pozice</w:t>
      </w:r>
      <w:bookmarkEnd w:id="162"/>
      <w:bookmarkEnd w:id="16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7266CF" w:rsidRPr="002A677E" w14:paraId="426774B4" w14:textId="77777777" w:rsidTr="007266CF">
        <w:tc>
          <w:tcPr>
            <w:tcW w:w="1697" w:type="dxa"/>
            <w:shd w:val="clear" w:color="auto" w:fill="CCCCCC"/>
          </w:tcPr>
          <w:p w14:paraId="2B836476" w14:textId="77777777" w:rsidR="007266CF" w:rsidRPr="002A677E" w:rsidRDefault="007266CF" w:rsidP="007266CF">
            <w:pPr>
              <w:rPr>
                <w:rFonts w:ascii="Times New Roman" w:hAnsi="Times New Roman"/>
                <w:b/>
                <w:sz w:val="24"/>
              </w:rPr>
            </w:pPr>
            <w:r>
              <w:rPr>
                <w:rFonts w:ascii="Times New Roman" w:hAnsi="Times New Roman"/>
                <w:b/>
                <w:sz w:val="24"/>
              </w:rPr>
              <w:t>Sloupce</w:t>
            </w:r>
          </w:p>
        </w:tc>
        <w:tc>
          <w:tcPr>
            <w:tcW w:w="8131" w:type="dxa"/>
            <w:shd w:val="clear" w:color="auto" w:fill="CCCCCC"/>
          </w:tcPr>
          <w:p w14:paraId="6AB1CF38" w14:textId="77777777" w:rsidR="007266CF" w:rsidRPr="002A677E" w:rsidRDefault="007266CF" w:rsidP="007266CF">
            <w:pPr>
              <w:ind w:left="72"/>
              <w:rPr>
                <w:rFonts w:ascii="Times New Roman" w:hAnsi="Times New Roman"/>
                <w:sz w:val="24"/>
              </w:rPr>
            </w:pPr>
          </w:p>
        </w:tc>
      </w:tr>
      <w:tr w:rsidR="007266CF" w:rsidRPr="002A677E" w14:paraId="5239297C" w14:textId="77777777" w:rsidTr="007266CF">
        <w:tc>
          <w:tcPr>
            <w:tcW w:w="1697" w:type="dxa"/>
          </w:tcPr>
          <w:p w14:paraId="15F503AC" w14:textId="77777777" w:rsidR="007266CF" w:rsidRPr="002A677E" w:rsidRDefault="007266CF" w:rsidP="007266CF">
            <w:pPr>
              <w:rPr>
                <w:rStyle w:val="InstructionsTabelleText"/>
                <w:rFonts w:ascii="Times New Roman" w:hAnsi="Times New Roman"/>
                <w:sz w:val="24"/>
              </w:rPr>
            </w:pPr>
            <w:r>
              <w:rPr>
                <w:rFonts w:ascii="Times New Roman" w:hAnsi="Times New Roman"/>
                <w:sz w:val="24"/>
              </w:rPr>
              <w:t>0010</w:t>
            </w:r>
          </w:p>
        </w:tc>
        <w:tc>
          <w:tcPr>
            <w:tcW w:w="8131" w:type="dxa"/>
          </w:tcPr>
          <w:p w14:paraId="739A8EA2"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Částka</w:t>
            </w:r>
          </w:p>
          <w:p w14:paraId="0B5EE30D" w14:textId="77777777" w:rsidR="007266CF" w:rsidRPr="002A677E" w:rsidRDefault="007266CF" w:rsidP="007266CF">
            <w:pPr>
              <w:rPr>
                <w:rFonts w:ascii="Times New Roman" w:hAnsi="Times New Roman"/>
                <w:b/>
                <w:sz w:val="24"/>
                <w:u w:val="single"/>
              </w:rPr>
            </w:pPr>
            <w:r>
              <w:rPr>
                <w:rFonts w:ascii="Times New Roman" w:hAnsi="Times New Roman"/>
                <w:sz w:val="24"/>
              </w:rPr>
              <w:lastRenderedPageBreak/>
              <w:t>Hodnota rozhodných úvěrových expozic a s nimi spojených kapitálových požadavků stanovených v souladu s pokyny pro příslušný řádek.</w:t>
            </w:r>
          </w:p>
        </w:tc>
      </w:tr>
      <w:tr w:rsidR="007266CF" w:rsidRPr="002A677E" w14:paraId="02A182CD" w14:textId="77777777" w:rsidTr="007266CF">
        <w:tc>
          <w:tcPr>
            <w:tcW w:w="1697" w:type="dxa"/>
          </w:tcPr>
          <w:p w14:paraId="75F969FD" w14:textId="77777777" w:rsidR="007266CF" w:rsidRPr="002A677E" w:rsidRDefault="007266CF" w:rsidP="007266CF">
            <w:pPr>
              <w:rPr>
                <w:sz w:val="24"/>
              </w:rPr>
            </w:pPr>
            <w:r>
              <w:rPr>
                <w:rFonts w:ascii="Times New Roman" w:hAnsi="Times New Roman"/>
                <w:sz w:val="24"/>
              </w:rPr>
              <w:lastRenderedPageBreak/>
              <w:t>0020</w:t>
            </w:r>
          </w:p>
        </w:tc>
        <w:tc>
          <w:tcPr>
            <w:tcW w:w="8131" w:type="dxa"/>
          </w:tcPr>
          <w:p w14:paraId="7C63F6FB"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Procentní podíl</w:t>
            </w:r>
          </w:p>
          <w:p w14:paraId="220706ED" w14:textId="77777777" w:rsidR="007266CF" w:rsidRPr="002A677E" w:rsidRDefault="007266CF" w:rsidP="007266CF">
            <w:pPr>
              <w:rPr>
                <w:rFonts w:ascii="Times New Roman" w:hAnsi="Times New Roman"/>
                <w:b/>
                <w:bCs/>
                <w:sz w:val="24"/>
                <w:u w:val="single"/>
                <w:lang w:eastAsia="de-DE"/>
              </w:rPr>
            </w:pPr>
          </w:p>
        </w:tc>
      </w:tr>
      <w:tr w:rsidR="007266CF" w:rsidRPr="002A677E" w14:paraId="2CB9FADB" w14:textId="77777777" w:rsidTr="007266CF">
        <w:tc>
          <w:tcPr>
            <w:tcW w:w="1697" w:type="dxa"/>
          </w:tcPr>
          <w:p w14:paraId="092397A4"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131" w:type="dxa"/>
          </w:tcPr>
          <w:p w14:paraId="357D25A7"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b/>
                <w:sz w:val="24"/>
                <w:u w:val="single"/>
              </w:rPr>
              <w:t>Kvalitativní informace</w:t>
            </w:r>
          </w:p>
          <w:p w14:paraId="1D1A558C"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Tyto informace se vykazují pouze pro zemi sídla instituce (jurisdikci, jež odpovídá jejímu domovskému členskému státu) a „celkově“ ze všech zemí. </w:t>
            </w:r>
          </w:p>
          <w:p w14:paraId="165096E8"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Instituce vykazují {y}, nebo {n} v souladu s pokyny pro relevantní řádek.</w:t>
            </w:r>
          </w:p>
        </w:tc>
      </w:tr>
    </w:tbl>
    <w:p w14:paraId="75D95C5A" w14:textId="77777777" w:rsidR="007266CF" w:rsidRPr="002A677E" w:rsidRDefault="007266CF" w:rsidP="007266C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7266CF" w:rsidRPr="002A677E" w14:paraId="0203150C" w14:textId="77777777" w:rsidTr="007266CF">
        <w:tc>
          <w:tcPr>
            <w:tcW w:w="1697" w:type="dxa"/>
            <w:shd w:val="clear" w:color="auto" w:fill="CCCCCC"/>
          </w:tcPr>
          <w:p w14:paraId="2EB8DCC3" w14:textId="77777777" w:rsidR="007266CF" w:rsidRPr="002A677E" w:rsidRDefault="007266CF" w:rsidP="007266CF">
            <w:pPr>
              <w:rPr>
                <w:rFonts w:ascii="Times New Roman" w:hAnsi="Times New Roman"/>
                <w:b/>
                <w:sz w:val="24"/>
              </w:rPr>
            </w:pPr>
            <w:r>
              <w:rPr>
                <w:rFonts w:ascii="Times New Roman" w:hAnsi="Times New Roman"/>
                <w:b/>
                <w:sz w:val="24"/>
              </w:rPr>
              <w:t>Řádky</w:t>
            </w:r>
          </w:p>
        </w:tc>
        <w:tc>
          <w:tcPr>
            <w:tcW w:w="8131" w:type="dxa"/>
            <w:shd w:val="clear" w:color="auto" w:fill="CCCCCC"/>
          </w:tcPr>
          <w:p w14:paraId="04F9E642" w14:textId="77777777" w:rsidR="007266CF" w:rsidRPr="002A677E" w:rsidRDefault="007266CF" w:rsidP="007266CF">
            <w:pPr>
              <w:ind w:left="72"/>
              <w:rPr>
                <w:rFonts w:ascii="Times New Roman" w:hAnsi="Times New Roman"/>
                <w:sz w:val="24"/>
              </w:rPr>
            </w:pPr>
          </w:p>
        </w:tc>
      </w:tr>
      <w:tr w:rsidR="007266CF" w:rsidRPr="002A677E" w14:paraId="2951C8E4" w14:textId="77777777" w:rsidTr="007266CF">
        <w:tc>
          <w:tcPr>
            <w:tcW w:w="1697" w:type="dxa"/>
          </w:tcPr>
          <w:p w14:paraId="4B4B2122" w14:textId="77777777" w:rsidR="007266CF" w:rsidRPr="002A677E" w:rsidRDefault="007266CF" w:rsidP="007266CF">
            <w:pPr>
              <w:rPr>
                <w:rStyle w:val="InstructionsTabelleText"/>
                <w:rFonts w:ascii="Times New Roman" w:hAnsi="Times New Roman"/>
                <w:sz w:val="24"/>
              </w:rPr>
            </w:pPr>
            <w:r>
              <w:rPr>
                <w:rFonts w:ascii="Times New Roman" w:hAnsi="Times New Roman"/>
                <w:sz w:val="24"/>
              </w:rPr>
              <w:t>0010–0020</w:t>
            </w:r>
          </w:p>
        </w:tc>
        <w:tc>
          <w:tcPr>
            <w:tcW w:w="8131" w:type="dxa"/>
          </w:tcPr>
          <w:p w14:paraId="1C4302E7"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Rozhodné úvěrové expozice – Úvěrové riziko</w:t>
            </w:r>
          </w:p>
          <w:p w14:paraId="51D31176" w14:textId="77777777" w:rsidR="007266CF" w:rsidRPr="002A677E" w:rsidRDefault="007266CF" w:rsidP="007266CF">
            <w:pPr>
              <w:rPr>
                <w:rFonts w:ascii="Times New Roman" w:hAnsi="Times New Roman"/>
                <w:b/>
                <w:sz w:val="24"/>
                <w:u w:val="single"/>
              </w:rPr>
            </w:pPr>
            <w:r>
              <w:rPr>
                <w:rFonts w:ascii="Times New Roman" w:hAnsi="Times New Roman"/>
                <w:sz w:val="24"/>
              </w:rPr>
              <w:t>Rozhodné úvěrové expozice uvedené v čl. 140 odst. 4 písm. a) směrnice 2013/36/EU.</w:t>
            </w:r>
          </w:p>
        </w:tc>
      </w:tr>
      <w:tr w:rsidR="007266CF" w:rsidRPr="002A677E" w14:paraId="7BBB019E" w14:textId="77777777" w:rsidTr="007266CF">
        <w:tc>
          <w:tcPr>
            <w:tcW w:w="1697" w:type="dxa"/>
          </w:tcPr>
          <w:p w14:paraId="41949152" w14:textId="77777777" w:rsidR="007266CF" w:rsidRPr="002A677E" w:rsidRDefault="007266CF" w:rsidP="007266CF">
            <w:pPr>
              <w:rPr>
                <w:sz w:val="24"/>
              </w:rPr>
            </w:pPr>
            <w:r>
              <w:rPr>
                <w:rFonts w:ascii="Times New Roman" w:hAnsi="Times New Roman"/>
                <w:sz w:val="24"/>
              </w:rPr>
              <w:t>0010</w:t>
            </w:r>
          </w:p>
        </w:tc>
        <w:tc>
          <w:tcPr>
            <w:tcW w:w="8131" w:type="dxa"/>
          </w:tcPr>
          <w:p w14:paraId="7B97BCFE"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Hodnota expozice podle standardizovaného přístupu</w:t>
            </w:r>
          </w:p>
          <w:p w14:paraId="073A640C"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Hodnota expozice vypočtená v souladu s článkem 111 nařízení (EU) č. 575/2013 pro rozhodné úvěrové expozice uvedené v čl. 140 odst. 4 písm. a) směrnice 2013/36/EU. </w:t>
            </w:r>
          </w:p>
          <w:p w14:paraId="661CD8EE"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Hodnota expozice sekuritizovaných pozic v investičním portfoliu je z tohoto řádku vyloučena a vykazuje se v řádku 0055.</w:t>
            </w:r>
          </w:p>
        </w:tc>
      </w:tr>
      <w:tr w:rsidR="007266CF" w:rsidRPr="002A677E" w14:paraId="5BBEF2D9" w14:textId="77777777" w:rsidTr="007266CF">
        <w:tc>
          <w:tcPr>
            <w:tcW w:w="1697" w:type="dxa"/>
          </w:tcPr>
          <w:p w14:paraId="5039FE76"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131" w:type="dxa"/>
          </w:tcPr>
          <w:p w14:paraId="5BE3DCA4"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Hodnota expozice podle přístupu IRB</w:t>
            </w:r>
          </w:p>
          <w:p w14:paraId="4F946F5F"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Hodnota expozice vypočtená v souladu s článkem 166 nařízení (EU) č. 575/2013 pro rozhodné úvěrové expozice uvedené v čl. 140 odst. 4 písm. a) směrnice 2013/36/EU. </w:t>
            </w:r>
          </w:p>
          <w:p w14:paraId="0C8169A7" w14:textId="77777777" w:rsidR="007266CF" w:rsidRPr="002A677E" w:rsidRDefault="007266CF" w:rsidP="007266CF">
            <w:pPr>
              <w:rPr>
                <w:rFonts w:ascii="Times New Roman" w:hAnsi="Times New Roman"/>
                <w:b/>
                <w:bCs/>
                <w:sz w:val="24"/>
                <w:u w:val="single"/>
              </w:rPr>
            </w:pPr>
            <w:r>
              <w:rPr>
                <w:rFonts w:ascii="Times New Roman" w:hAnsi="Times New Roman"/>
                <w:sz w:val="24"/>
              </w:rPr>
              <w:t>Hodnota expozice sekuritizovaných pozic v investičním portfoliu je z tohoto řádku vyloučena a vykazuje se v řádku 0055.</w:t>
            </w:r>
          </w:p>
        </w:tc>
      </w:tr>
      <w:tr w:rsidR="007266CF" w:rsidRPr="002A677E" w14:paraId="114DA0F4" w14:textId="77777777" w:rsidTr="007266CF">
        <w:tc>
          <w:tcPr>
            <w:tcW w:w="1697" w:type="dxa"/>
          </w:tcPr>
          <w:p w14:paraId="47775E1A" w14:textId="77777777" w:rsidR="007266CF" w:rsidRPr="002A677E" w:rsidRDefault="007266CF" w:rsidP="007266CF">
            <w:pPr>
              <w:rPr>
                <w:rFonts w:ascii="Times New Roman" w:hAnsi="Times New Roman"/>
                <w:sz w:val="24"/>
              </w:rPr>
            </w:pPr>
            <w:r>
              <w:rPr>
                <w:rFonts w:ascii="Times New Roman" w:hAnsi="Times New Roman"/>
                <w:sz w:val="24"/>
              </w:rPr>
              <w:t>0030–0040</w:t>
            </w:r>
          </w:p>
        </w:tc>
        <w:tc>
          <w:tcPr>
            <w:tcW w:w="8131" w:type="dxa"/>
          </w:tcPr>
          <w:p w14:paraId="4961DB2B"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Rozhodné úvěrové expozice – Tržní riziko</w:t>
            </w:r>
          </w:p>
          <w:p w14:paraId="4A21E4A6" w14:textId="77777777" w:rsidR="007266CF" w:rsidRPr="002A677E" w:rsidRDefault="007266CF" w:rsidP="007266CF">
            <w:pPr>
              <w:rPr>
                <w:rFonts w:ascii="Times New Roman" w:hAnsi="Times New Roman"/>
                <w:b/>
                <w:bCs/>
                <w:sz w:val="24"/>
                <w:u w:val="single"/>
              </w:rPr>
            </w:pPr>
            <w:r>
              <w:rPr>
                <w:rFonts w:ascii="Times New Roman" w:hAnsi="Times New Roman"/>
                <w:sz w:val="24"/>
              </w:rPr>
              <w:t>Rozhodné úvěrové expozice uvedené v čl. 140 odst. 4 písm. b) směrnice 2013/36/EU.</w:t>
            </w:r>
          </w:p>
        </w:tc>
      </w:tr>
      <w:tr w:rsidR="007266CF" w:rsidRPr="002A677E" w14:paraId="4A3B3012" w14:textId="77777777" w:rsidTr="007266CF">
        <w:tc>
          <w:tcPr>
            <w:tcW w:w="1697" w:type="dxa"/>
          </w:tcPr>
          <w:p w14:paraId="6A2472A6"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131" w:type="dxa"/>
          </w:tcPr>
          <w:p w14:paraId="134F4B7C"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Součet dlouhých a krátkých pozic expozic obchodního portfolia pro standardizovaný přístup</w:t>
            </w:r>
          </w:p>
          <w:p w14:paraId="640F8D37"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Součet čistých dlouhých a krátkých pozic v souladu s článkem 327 nařízení (EU) č. 575/2013 rozhodných úvěrových expozic uvedených v čl. 140 odst. 4 písm. b) směrnice 2013/36/EU, které podléhají kapitálovým požadavkům podle části třetí hlavy IV kapitoly 2 nařízení (EU) č. 575/2013: </w:t>
            </w:r>
          </w:p>
          <w:p w14:paraId="43A96786" w14:textId="77777777" w:rsidR="007266CF" w:rsidRPr="002A677E" w:rsidRDefault="007266CF" w:rsidP="007266CF">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vůči dluhovým nástrojům, u nichž se nejedná o sekuritizaci,</w:t>
            </w:r>
          </w:p>
          <w:p w14:paraId="54F552C6" w14:textId="77777777" w:rsidR="007266CF" w:rsidRPr="002A677E" w:rsidRDefault="007266CF" w:rsidP="007266CF">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vůči sekuritizovaným pozicím v obchodním portfoliu,</w:t>
            </w:r>
          </w:p>
          <w:p w14:paraId="627560A0" w14:textId="77777777" w:rsidR="007266CF" w:rsidRPr="002A677E" w:rsidRDefault="007266CF" w:rsidP="007266CF">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vůči portfoliím obchodování s korelací,</w:t>
            </w:r>
          </w:p>
          <w:p w14:paraId="4C08CD24" w14:textId="77777777" w:rsidR="007266CF" w:rsidRPr="002A677E" w:rsidRDefault="007266CF" w:rsidP="007266CF">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vůči kapitálovým cenným papírům,</w:t>
            </w:r>
          </w:p>
          <w:p w14:paraId="08B2B0F4" w14:textId="77777777" w:rsidR="007266CF" w:rsidRPr="002A677E" w:rsidRDefault="007266CF" w:rsidP="007266CF">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lastRenderedPageBreak/>
              <w:t>—</w:t>
            </w:r>
            <w:r>
              <w:tab/>
            </w:r>
            <w:r>
              <w:rPr>
                <w:rFonts w:ascii="Times New Roman" w:hAnsi="Times New Roman"/>
                <w:sz w:val="24"/>
              </w:rPr>
              <w:t>expozice vůči subjektům kolektivního investování, jestliže se kapitálové požadavky vypočítávají podle článku 348 nařízení (EU) č. 575/2013.</w:t>
            </w:r>
          </w:p>
        </w:tc>
      </w:tr>
      <w:tr w:rsidR="007266CF" w:rsidRPr="002A677E" w14:paraId="0B28F6D7" w14:textId="77777777" w:rsidTr="007266CF">
        <w:tc>
          <w:tcPr>
            <w:tcW w:w="1697" w:type="dxa"/>
          </w:tcPr>
          <w:p w14:paraId="5BAFFB8D" w14:textId="77777777" w:rsidR="007266CF" w:rsidRPr="002A677E" w:rsidRDefault="007266CF" w:rsidP="007266CF">
            <w:pPr>
              <w:rPr>
                <w:rFonts w:ascii="Times New Roman" w:hAnsi="Times New Roman"/>
                <w:sz w:val="24"/>
              </w:rPr>
            </w:pPr>
            <w:r>
              <w:rPr>
                <w:rFonts w:ascii="Times New Roman" w:hAnsi="Times New Roman"/>
                <w:sz w:val="24"/>
              </w:rPr>
              <w:lastRenderedPageBreak/>
              <w:t>0040</w:t>
            </w:r>
          </w:p>
        </w:tc>
        <w:tc>
          <w:tcPr>
            <w:tcW w:w="8131" w:type="dxa"/>
          </w:tcPr>
          <w:p w14:paraId="09524856"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Hodnota expozic obchodního portfolia v rámci interních modelů</w:t>
            </w:r>
          </w:p>
          <w:p w14:paraId="34ADC53D"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Pro rozhodné úvěrové expozice uvedené v čl. 140 odst. 4 písm. b) směrnice 2013/36/EU podléhající kapitálovým požadavkům podle části třetí hlavy IV kapitol 2 a 5 nařízení (EU) č. 575/2013 se vykazuje součet těchto veličin:</w:t>
            </w:r>
          </w:p>
          <w:p w14:paraId="09747F45" w14:textId="77777777" w:rsidR="007266CF" w:rsidRPr="002A677E" w:rsidRDefault="007266CF" w:rsidP="007266CF">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reálné hodnoty jiných než derivátových pozic představujících rozhodné úvěrové expozice, jak jsou uvedeny v čl. 140 odst. 4 písm. b) směrnice 2013/36/EU, stanovené v souladu s článkem 104 nařízení (EU) č. 575/2013,</w:t>
            </w:r>
          </w:p>
          <w:p w14:paraId="55431FD4" w14:textId="77777777" w:rsidR="007266CF" w:rsidRPr="002A677E" w:rsidRDefault="007266CF" w:rsidP="007266CF">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pomyslné hodnoty derivátů představujících rozhodné úvěrové expozice, jak jsou uvedeny v čl. 140 odst. 4 písm. b) směrnice 2013/36/EU.</w:t>
            </w:r>
          </w:p>
        </w:tc>
      </w:tr>
      <w:tr w:rsidR="007266CF" w:rsidRPr="002A677E" w14:paraId="205F5ED0" w14:textId="77777777" w:rsidTr="007266CF">
        <w:tc>
          <w:tcPr>
            <w:tcW w:w="1697" w:type="dxa"/>
          </w:tcPr>
          <w:p w14:paraId="3D923C05" w14:textId="77777777" w:rsidR="007266CF" w:rsidRPr="002A677E" w:rsidRDefault="007266CF" w:rsidP="007266CF">
            <w:pPr>
              <w:rPr>
                <w:rFonts w:ascii="Times New Roman" w:hAnsi="Times New Roman"/>
                <w:sz w:val="24"/>
              </w:rPr>
            </w:pPr>
            <w:r>
              <w:rPr>
                <w:rFonts w:ascii="Times New Roman" w:hAnsi="Times New Roman"/>
                <w:sz w:val="24"/>
              </w:rPr>
              <w:t>0055</w:t>
            </w:r>
          </w:p>
        </w:tc>
        <w:tc>
          <w:tcPr>
            <w:tcW w:w="8131" w:type="dxa"/>
          </w:tcPr>
          <w:p w14:paraId="2E156236"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Rozhodné úvěrové expozice – Sekuritizované pozice v investičním portfoliu</w:t>
            </w:r>
          </w:p>
          <w:p w14:paraId="056575A8" w14:textId="77777777" w:rsidR="007266CF" w:rsidRPr="002A677E" w:rsidRDefault="007266CF" w:rsidP="007266CF">
            <w:pPr>
              <w:rPr>
                <w:rFonts w:ascii="Times New Roman" w:hAnsi="Times New Roman"/>
                <w:sz w:val="24"/>
              </w:rPr>
            </w:pPr>
            <w:r>
              <w:rPr>
                <w:rFonts w:ascii="Times New Roman" w:hAnsi="Times New Roman"/>
                <w:sz w:val="24"/>
              </w:rPr>
              <w:t>Hodnota expozice určená v souladu s článkem 248 nařízení (EU) č. 575/2013 pro rozhodné úvěrové expozice podle čl. 140 odst. 4 písm. c) směrnice 2013/36/EU.</w:t>
            </w:r>
          </w:p>
        </w:tc>
      </w:tr>
      <w:tr w:rsidR="007266CF" w:rsidRPr="002A677E" w14:paraId="7BA26BD6" w14:textId="77777777" w:rsidTr="007266CF">
        <w:tc>
          <w:tcPr>
            <w:tcW w:w="1697" w:type="dxa"/>
          </w:tcPr>
          <w:p w14:paraId="05C50E8F" w14:textId="77777777" w:rsidR="007266CF" w:rsidRPr="002A677E" w:rsidRDefault="007266CF" w:rsidP="007266CF">
            <w:pPr>
              <w:rPr>
                <w:rFonts w:ascii="Times New Roman" w:hAnsi="Times New Roman"/>
                <w:sz w:val="24"/>
              </w:rPr>
            </w:pPr>
            <w:r>
              <w:rPr>
                <w:rFonts w:ascii="Times New Roman" w:hAnsi="Times New Roman"/>
                <w:sz w:val="24"/>
              </w:rPr>
              <w:t>0070–0110</w:t>
            </w:r>
          </w:p>
        </w:tc>
        <w:tc>
          <w:tcPr>
            <w:tcW w:w="8131" w:type="dxa"/>
          </w:tcPr>
          <w:p w14:paraId="73CC31E1"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Kapitálové požadavky a váhy kapitálových požadavků</w:t>
            </w:r>
          </w:p>
        </w:tc>
      </w:tr>
      <w:tr w:rsidR="007266CF" w:rsidRPr="002A677E" w14:paraId="63EC63E0" w14:textId="77777777" w:rsidTr="007266CF">
        <w:tc>
          <w:tcPr>
            <w:tcW w:w="1697" w:type="dxa"/>
          </w:tcPr>
          <w:p w14:paraId="210FEE8D"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131" w:type="dxa"/>
          </w:tcPr>
          <w:p w14:paraId="7B3F49CC"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Celkové kapitálové požadavky pro proticyklickou kapitálovou rezervu</w:t>
            </w:r>
          </w:p>
          <w:p w14:paraId="45FF0840" w14:textId="77777777" w:rsidR="007266CF" w:rsidRPr="002A677E" w:rsidRDefault="007266CF" w:rsidP="007266CF">
            <w:pPr>
              <w:rPr>
                <w:rFonts w:ascii="Times New Roman" w:hAnsi="Times New Roman"/>
                <w:b/>
                <w:bCs/>
                <w:sz w:val="24"/>
                <w:u w:val="single"/>
              </w:rPr>
            </w:pPr>
            <w:r>
              <w:rPr>
                <w:rFonts w:ascii="Times New Roman" w:hAnsi="Times New Roman"/>
                <w:sz w:val="24"/>
              </w:rPr>
              <w:t>Součet řádků 0080, 0090 a 0100.</w:t>
            </w:r>
          </w:p>
        </w:tc>
      </w:tr>
      <w:tr w:rsidR="007266CF" w:rsidRPr="002A677E" w14:paraId="5235D1EF" w14:textId="77777777" w:rsidTr="007266CF">
        <w:tc>
          <w:tcPr>
            <w:tcW w:w="1697" w:type="dxa"/>
          </w:tcPr>
          <w:p w14:paraId="7EC08667"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131" w:type="dxa"/>
          </w:tcPr>
          <w:p w14:paraId="3AF10B30"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 xml:space="preserve">Kapitálové požadavky pro rozhodné úvěrové expozice – Úvěrové riziko </w:t>
            </w:r>
          </w:p>
          <w:p w14:paraId="4C470E52"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Kapitálové požadavky vypočítané v souladu s částí třetí hlavou II kapitolami 1 až 4 a kapitolou 6 nařízení (EU) č. 575/2013 pro rozhodné úvěrové expozice uvedené v čl. 140 odst. 4 písm. a) směrnice 2013/36/EU v dané zemi.</w:t>
            </w:r>
          </w:p>
          <w:p w14:paraId="5CFD507B"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Kapitálové požadavky pro sekuritizované pozice v investičním portfoliu jsou z tohoto řádku vyloučeny a vykazují se v řádku 0100.</w:t>
            </w:r>
          </w:p>
          <w:p w14:paraId="7D055FB6" w14:textId="77777777" w:rsidR="007266CF" w:rsidRPr="002A677E" w:rsidRDefault="007266CF" w:rsidP="007266CF">
            <w:pPr>
              <w:rPr>
                <w:rFonts w:ascii="Times New Roman" w:hAnsi="Times New Roman"/>
                <w:b/>
                <w:bCs/>
                <w:sz w:val="24"/>
                <w:u w:val="single"/>
              </w:rPr>
            </w:pPr>
            <w:r>
              <w:rPr>
                <w:rFonts w:ascii="Times New Roman" w:hAnsi="Times New Roman"/>
                <w:sz w:val="24"/>
              </w:rPr>
              <w:t>Kapitálové požadavky činí 8 % objemu rizikově vážené expozice stanoveného podle ustanovení části třetí hlavy II kapitol 1 až 4 a kapitoly 6 nařízení (EU) č. 575/2013.</w:t>
            </w:r>
          </w:p>
        </w:tc>
      </w:tr>
      <w:tr w:rsidR="007266CF" w:rsidRPr="002A677E" w14:paraId="107CFE8D" w14:textId="77777777" w:rsidTr="007266CF">
        <w:tc>
          <w:tcPr>
            <w:tcW w:w="1697" w:type="dxa"/>
          </w:tcPr>
          <w:p w14:paraId="75C3B1BC"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131" w:type="dxa"/>
          </w:tcPr>
          <w:p w14:paraId="6F86796C"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 xml:space="preserve">Kapitálové požadavky pro rozhodné úvěrové expozice – Tržní riziko </w:t>
            </w:r>
          </w:p>
          <w:p w14:paraId="14ED1574"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Kapitálové požadavky vypočítané v souladu s částí třetí hlavou IV kapitolou 2 nařízení (EU) č. 575/2013 u specifického rizika, nebo v souladu s částí třetí hlavou IV kapitolou 5 nařízení (EU) č. 575/2013 pro dodatečné riziko selhání a migrace pro rozhodné úvěrové expozice uvedené v čl. 140 odst. 4 písm. b) směrnice 2013/36/EU v dané zemi. </w:t>
            </w:r>
          </w:p>
          <w:p w14:paraId="665CC84C"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Kapitálové požadavky pro rozhodné úvěrové expozice podle rámce pro tržní riziko zahrnují mimo jiné kapitálové požadavky pro sekuritizované pozice vypočítané podle části třetí hlavy IV kapitoly 2 nařízení (EU) č. 575/2013 a kapitálové požadavky pro expozice v subjektech kolektivního investování určené podle článku 348 uvedeného nařízení.</w:t>
            </w:r>
          </w:p>
        </w:tc>
      </w:tr>
      <w:tr w:rsidR="007266CF" w:rsidRPr="002A677E" w14:paraId="3E786221" w14:textId="77777777" w:rsidTr="007266CF">
        <w:tc>
          <w:tcPr>
            <w:tcW w:w="1697" w:type="dxa"/>
          </w:tcPr>
          <w:p w14:paraId="263E3320" w14:textId="77777777" w:rsidR="007266CF" w:rsidRPr="002A677E" w:rsidRDefault="007266CF" w:rsidP="007266CF">
            <w:pPr>
              <w:rPr>
                <w:rFonts w:ascii="Times New Roman" w:hAnsi="Times New Roman"/>
                <w:sz w:val="24"/>
              </w:rPr>
            </w:pPr>
            <w:r>
              <w:rPr>
                <w:rFonts w:ascii="Times New Roman" w:hAnsi="Times New Roman"/>
                <w:sz w:val="24"/>
              </w:rPr>
              <w:t>0100</w:t>
            </w:r>
          </w:p>
        </w:tc>
        <w:tc>
          <w:tcPr>
            <w:tcW w:w="8131" w:type="dxa"/>
          </w:tcPr>
          <w:p w14:paraId="3B3C2C8A"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Kapitálové požadavky pro rozhodné úvěrové expozice – Sekuritizované pozice v investičním portfoliu</w:t>
            </w:r>
          </w:p>
          <w:p w14:paraId="0E8582C7"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lastRenderedPageBreak/>
              <w:t>Kapitálové požadavky vypočítané v souladu s částí třetí hlavou II kapitolou 5 nařízení (EU) č. 575/2013 pro rozhodné úvěrové expozice uvedené v čl. 140 odst. 4 písm. c) směrnice 2013/36/EU v dané zemi.</w:t>
            </w:r>
          </w:p>
          <w:p w14:paraId="32F6BB33" w14:textId="77777777" w:rsidR="007266CF" w:rsidRPr="002A677E" w:rsidRDefault="007266CF" w:rsidP="007266CF">
            <w:pPr>
              <w:rPr>
                <w:rFonts w:ascii="Times New Roman" w:hAnsi="Times New Roman"/>
                <w:b/>
                <w:bCs/>
                <w:sz w:val="24"/>
                <w:u w:val="single"/>
              </w:rPr>
            </w:pPr>
            <w:r>
              <w:rPr>
                <w:rFonts w:ascii="Times New Roman" w:hAnsi="Times New Roman"/>
                <w:sz w:val="24"/>
              </w:rPr>
              <w:t>Kapitálové požadavky činí 8 % objemu rizikově vážené expozice vypočítaného podle ustanovení části třetí hlavy II kapitoly 5 nařízení (EU) č. 575/2013.</w:t>
            </w:r>
          </w:p>
        </w:tc>
      </w:tr>
      <w:tr w:rsidR="007266CF" w:rsidRPr="002A677E" w14:paraId="6561D5B9" w14:textId="77777777" w:rsidTr="007266CF">
        <w:tc>
          <w:tcPr>
            <w:tcW w:w="1697" w:type="dxa"/>
          </w:tcPr>
          <w:p w14:paraId="2B595439" w14:textId="77777777" w:rsidR="007266CF" w:rsidRPr="002A677E" w:rsidRDefault="007266CF" w:rsidP="007266CF">
            <w:pPr>
              <w:rPr>
                <w:rFonts w:ascii="Times New Roman" w:hAnsi="Times New Roman"/>
                <w:sz w:val="24"/>
              </w:rPr>
            </w:pPr>
            <w:r>
              <w:rPr>
                <w:rFonts w:ascii="Times New Roman" w:hAnsi="Times New Roman"/>
                <w:sz w:val="24"/>
              </w:rPr>
              <w:lastRenderedPageBreak/>
              <w:t>0110</w:t>
            </w:r>
          </w:p>
        </w:tc>
        <w:tc>
          <w:tcPr>
            <w:tcW w:w="8131" w:type="dxa"/>
          </w:tcPr>
          <w:p w14:paraId="1D00C615"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Váhy kapitálových požadavků</w:t>
            </w:r>
          </w:p>
          <w:p w14:paraId="41BBD005" w14:textId="77777777" w:rsidR="007266CF" w:rsidRPr="002A677E" w:rsidRDefault="007266CF" w:rsidP="007266CF">
            <w:pPr>
              <w:rPr>
                <w:rFonts w:ascii="Times New Roman" w:hAnsi="Times New Roman"/>
                <w:sz w:val="24"/>
              </w:rPr>
            </w:pPr>
            <w:r>
              <w:rPr>
                <w:rFonts w:ascii="Times New Roman" w:hAnsi="Times New Roman"/>
                <w:sz w:val="24"/>
              </w:rPr>
              <w:t>Váha uplatněná na sazbu proticyklické kapitálové rezervy v každé zemi se vypočítá jako podíl kapitálových požadavků určený takto:</w:t>
            </w:r>
          </w:p>
          <w:p w14:paraId="5D283917" w14:textId="77777777" w:rsidR="007266CF" w:rsidRPr="002A677E" w:rsidRDefault="007266CF" w:rsidP="007266CF">
            <w:pPr>
              <w:rPr>
                <w:rFonts w:ascii="Times New Roman" w:hAnsi="Times New Roman"/>
                <w:sz w:val="24"/>
              </w:rPr>
            </w:pPr>
            <w:r>
              <w:rPr>
                <w:rFonts w:ascii="Times New Roman" w:hAnsi="Times New Roman"/>
                <w:sz w:val="24"/>
              </w:rPr>
              <w:t>1.</w:t>
            </w:r>
            <w:r>
              <w:tab/>
            </w:r>
            <w:r>
              <w:rPr>
                <w:rFonts w:ascii="Times New Roman" w:hAnsi="Times New Roman"/>
                <w:sz w:val="24"/>
              </w:rPr>
              <w:t xml:space="preserve">čitatel: celkové kapitálové požadavky, které se vztahují k rozhodným úvěrovým expozicím v dané zemi [r0070; c0010; list pro danou zemi], </w:t>
            </w:r>
          </w:p>
          <w:p w14:paraId="6B23090F" w14:textId="77777777" w:rsidR="007266CF" w:rsidRPr="002A677E" w:rsidRDefault="007266CF" w:rsidP="007266CF">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jmenovatel: celkové kapitálové požadavky, které se vztahují k veškerým úvěrovým expozicím rozhodným pro výpočet proticyklické rezervy uvedeným v čl. 140 odst. 4 směrnice 2013/36/EU [r0070; c0010; „Celkově“].</w:t>
            </w:r>
          </w:p>
          <w:p w14:paraId="3A1F7F42" w14:textId="77777777" w:rsidR="007266CF" w:rsidRPr="002A677E" w:rsidRDefault="007266CF" w:rsidP="007266CF">
            <w:pPr>
              <w:rPr>
                <w:rFonts w:ascii="Times New Roman" w:hAnsi="Times New Roman"/>
                <w:b/>
                <w:bCs/>
                <w:sz w:val="24"/>
                <w:u w:val="single"/>
              </w:rPr>
            </w:pPr>
            <w:r>
              <w:rPr>
                <w:rFonts w:ascii="Times New Roman" w:hAnsi="Times New Roman"/>
                <w:sz w:val="24"/>
              </w:rPr>
              <w:t>Informace týkající se vah kapitálových požadavků se nevykazují v případě „Celkově“ ze všech zemí.</w:t>
            </w:r>
          </w:p>
        </w:tc>
      </w:tr>
      <w:tr w:rsidR="007266CF" w:rsidRPr="002A677E" w14:paraId="78DE89BF" w14:textId="77777777" w:rsidTr="007266CF">
        <w:tc>
          <w:tcPr>
            <w:tcW w:w="1697" w:type="dxa"/>
          </w:tcPr>
          <w:p w14:paraId="755116BC" w14:textId="77777777" w:rsidR="007266CF" w:rsidRPr="002A677E" w:rsidRDefault="007266CF" w:rsidP="007266CF">
            <w:pPr>
              <w:rPr>
                <w:rFonts w:ascii="Times New Roman" w:hAnsi="Times New Roman"/>
                <w:sz w:val="24"/>
              </w:rPr>
            </w:pPr>
            <w:r>
              <w:rPr>
                <w:rFonts w:ascii="Times New Roman" w:hAnsi="Times New Roman"/>
                <w:sz w:val="24"/>
              </w:rPr>
              <w:t>0120–0140</w:t>
            </w:r>
          </w:p>
        </w:tc>
        <w:tc>
          <w:tcPr>
            <w:tcW w:w="8131" w:type="dxa"/>
          </w:tcPr>
          <w:p w14:paraId="42E22627"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Sazby proticyklické kapitálové rezervy</w:t>
            </w:r>
          </w:p>
        </w:tc>
      </w:tr>
      <w:tr w:rsidR="007266CF" w:rsidRPr="002A677E" w14:paraId="5EA71BA6" w14:textId="77777777" w:rsidTr="007266CF">
        <w:tc>
          <w:tcPr>
            <w:tcW w:w="1697" w:type="dxa"/>
          </w:tcPr>
          <w:p w14:paraId="0C574D97" w14:textId="77777777" w:rsidR="007266CF" w:rsidRPr="002A677E" w:rsidRDefault="007266CF" w:rsidP="007266CF">
            <w:pPr>
              <w:rPr>
                <w:rFonts w:ascii="Times New Roman" w:hAnsi="Times New Roman"/>
                <w:sz w:val="24"/>
              </w:rPr>
            </w:pPr>
            <w:r>
              <w:rPr>
                <w:rFonts w:ascii="Times New Roman" w:hAnsi="Times New Roman"/>
                <w:sz w:val="24"/>
              </w:rPr>
              <w:t>0120</w:t>
            </w:r>
          </w:p>
        </w:tc>
        <w:tc>
          <w:tcPr>
            <w:tcW w:w="8131" w:type="dxa"/>
          </w:tcPr>
          <w:p w14:paraId="0C484E3C"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Sazba proticyklické kapitálové rezervy stanovená pověřeným orgánem</w:t>
            </w:r>
          </w:p>
          <w:p w14:paraId="4CEE0600"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Sazba proticyklické kapitálové rezervy stanovená pro danou zemi pověřeným orgánem této země v souladu s články 136, 137, 139, čl. 140 odst. 2 písm. a) a c) a čl. 140 odst. 3 písm. b) směrnice 2013/36/EU.</w:t>
            </w:r>
          </w:p>
          <w:p w14:paraId="6268FC4C"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Tento řádek se ponechá prázdný, pokud pověřeným orgánem uvedené země nebyla pro danou zemi sazba proticyklické rezervy stanovena.</w:t>
            </w:r>
          </w:p>
          <w:p w14:paraId="70A3E8B1"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Sazby proticyklické kapitálové rezervy, které byly stanoveny pověřeným orgánem, ale nejsou v dané zemi k referenčnímu datu vykázání dosud použitelné, se nevykazují.</w:t>
            </w:r>
          </w:p>
          <w:p w14:paraId="5B22BC85" w14:textId="77777777" w:rsidR="007266CF" w:rsidRPr="002A677E" w:rsidRDefault="007266CF" w:rsidP="007266CF">
            <w:pPr>
              <w:rPr>
                <w:rFonts w:ascii="Times New Roman" w:hAnsi="Times New Roman"/>
                <w:b/>
                <w:bCs/>
                <w:sz w:val="24"/>
                <w:u w:val="single"/>
              </w:rPr>
            </w:pPr>
            <w:r>
              <w:rPr>
                <w:rFonts w:ascii="Times New Roman" w:hAnsi="Times New Roman"/>
                <w:sz w:val="24"/>
              </w:rPr>
              <w:t xml:space="preserve">Informace týkající se proticyklické kapitálové rezervy stanovené pověřeným orgánem se nevykazují „Celkově“ ze všech zemí. </w:t>
            </w:r>
          </w:p>
        </w:tc>
      </w:tr>
      <w:tr w:rsidR="007266CF" w:rsidRPr="002A677E" w14:paraId="53F920C1" w14:textId="77777777" w:rsidTr="007266CF">
        <w:tc>
          <w:tcPr>
            <w:tcW w:w="1697" w:type="dxa"/>
          </w:tcPr>
          <w:p w14:paraId="4BDC8745" w14:textId="77777777" w:rsidR="007266CF" w:rsidRPr="002A677E" w:rsidRDefault="007266CF" w:rsidP="007266CF">
            <w:pPr>
              <w:rPr>
                <w:rFonts w:ascii="Times New Roman" w:hAnsi="Times New Roman"/>
                <w:sz w:val="24"/>
              </w:rPr>
            </w:pPr>
            <w:r>
              <w:rPr>
                <w:rFonts w:ascii="Times New Roman" w:hAnsi="Times New Roman"/>
                <w:sz w:val="24"/>
              </w:rPr>
              <w:t>0130</w:t>
            </w:r>
          </w:p>
        </w:tc>
        <w:tc>
          <w:tcPr>
            <w:tcW w:w="8131" w:type="dxa"/>
          </w:tcPr>
          <w:p w14:paraId="663E4558"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Sazba proticyklické kapitálové rezervy použitelná pro zemi instituce</w:t>
            </w:r>
          </w:p>
          <w:p w14:paraId="7DF734A8"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Sazba proticyklické kapitálové rezervy použitelná pro danou zemi, která byla stanovena pověřeným orgánem země sídla instituce v souladu s články 137, 138, 139 a čl. 140 odst. 2, písm. b) a čl. 140 odst. 3 písm. a) směrnice 2013/36/EU. Sazby proticyklické kapitálové rezervy, které nejsou k referenčnímu datu vykázání dosud použitelné, se nevykazují.</w:t>
            </w:r>
          </w:p>
          <w:p w14:paraId="0FABFC42" w14:textId="77777777" w:rsidR="007266CF" w:rsidRPr="002A677E" w:rsidRDefault="007266CF" w:rsidP="007266CF">
            <w:pPr>
              <w:rPr>
                <w:rFonts w:ascii="Times New Roman" w:hAnsi="Times New Roman"/>
                <w:b/>
                <w:bCs/>
                <w:sz w:val="24"/>
                <w:u w:val="single"/>
              </w:rPr>
            </w:pPr>
            <w:r>
              <w:rPr>
                <w:rFonts w:ascii="Times New Roman" w:hAnsi="Times New Roman"/>
                <w:sz w:val="24"/>
              </w:rPr>
              <w:t>Informace týkající se proticyklické kapitálové rezervy použitelné v zemí instituce, se nevykazují „Celkově“ ze všech zemí.</w:t>
            </w:r>
          </w:p>
        </w:tc>
      </w:tr>
      <w:tr w:rsidR="007266CF" w:rsidRPr="002A677E" w14:paraId="5F1C90C3" w14:textId="77777777" w:rsidTr="007266CF">
        <w:tc>
          <w:tcPr>
            <w:tcW w:w="1697" w:type="dxa"/>
          </w:tcPr>
          <w:p w14:paraId="176A6F79" w14:textId="77777777" w:rsidR="007266CF" w:rsidRPr="002A677E" w:rsidRDefault="007266CF" w:rsidP="007266CF">
            <w:pPr>
              <w:rPr>
                <w:rFonts w:ascii="Times New Roman" w:hAnsi="Times New Roman"/>
                <w:sz w:val="24"/>
              </w:rPr>
            </w:pPr>
            <w:r>
              <w:rPr>
                <w:rFonts w:ascii="Times New Roman" w:hAnsi="Times New Roman"/>
                <w:sz w:val="24"/>
              </w:rPr>
              <w:t>0140</w:t>
            </w:r>
          </w:p>
        </w:tc>
        <w:tc>
          <w:tcPr>
            <w:tcW w:w="8131" w:type="dxa"/>
          </w:tcPr>
          <w:p w14:paraId="694322E3"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 xml:space="preserve">Sazba proticyklické kapitálové rezervy specifická pro danou instituci </w:t>
            </w:r>
          </w:p>
          <w:p w14:paraId="4F9E4591"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Sazba proticyklické kapitálové rezervy specifická pro danou instituci vypočítaná v souladu s čl. 140 odst. 1 směrnice 2013/36/EU. </w:t>
            </w:r>
          </w:p>
          <w:p w14:paraId="05DFA31F"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Sazba proticyklické kapitálové rezervy stanovené konkrétně pro danou instituci se vypočítá jako vážený průměr sazeb proticyklické kapitálové rezervy, které se </w:t>
            </w:r>
            <w:r>
              <w:rPr>
                <w:rFonts w:ascii="Times New Roman" w:hAnsi="Times New Roman"/>
                <w:sz w:val="24"/>
              </w:rPr>
              <w:lastRenderedPageBreak/>
              <w:t>použijí v jurisdikcích, kde se nacházejí rozhodné úvěrové expozice dané instituce, nebo které se použijí pro účely článku 140 v důsledku použití čl. 139 odst. 2 nebo 3 směrnice 2013/36/EU. Relevantní sazba proticyklické rezervy se vykazuje v [r0120; c0020; list pro danou zemi] nebo v příslušných případech [r0130; c0020; list pro danou zemi].</w:t>
            </w:r>
          </w:p>
          <w:p w14:paraId="6F818EC3" w14:textId="77777777" w:rsidR="007266CF" w:rsidRPr="002A677E" w:rsidRDefault="007266CF" w:rsidP="007266CF">
            <w:pPr>
              <w:autoSpaceDE w:val="0"/>
              <w:autoSpaceDN w:val="0"/>
              <w:adjustRightInd w:val="0"/>
              <w:rPr>
                <w:rFonts w:ascii="Times New Roman" w:hAnsi="Times New Roman"/>
                <w:b/>
                <w:strike/>
                <w:sz w:val="24"/>
              </w:rPr>
            </w:pPr>
            <w:r>
              <w:rPr>
                <w:rFonts w:ascii="Times New Roman" w:hAnsi="Times New Roman"/>
                <w:sz w:val="24"/>
              </w:rPr>
              <w:t xml:space="preserve">Váha uplatněná na sazbu proticyklické rezervy v každé zemi je podílem kapitálových požadavků na celkových kapitálových požadavcích a je uvedena v [r0110; c0020; list pro danou zemi]. </w:t>
            </w:r>
          </w:p>
          <w:p w14:paraId="584EB903" w14:textId="77777777" w:rsidR="007266CF" w:rsidRPr="002A677E" w:rsidRDefault="007266CF" w:rsidP="007266CF">
            <w:pPr>
              <w:rPr>
                <w:rFonts w:ascii="Times New Roman" w:hAnsi="Times New Roman"/>
                <w:b/>
                <w:bCs/>
                <w:sz w:val="24"/>
                <w:u w:val="single"/>
              </w:rPr>
            </w:pPr>
            <w:r>
              <w:rPr>
                <w:rFonts w:ascii="Times New Roman" w:hAnsi="Times New Roman"/>
                <w:sz w:val="24"/>
              </w:rPr>
              <w:t>Informace týkající se sazby proticyklické kapitálové rezervy specifické pro danou instituci se vykazují pouze „Celkově“ ze všech zemí, a nikoli pro každou zemi zvlášť.</w:t>
            </w:r>
          </w:p>
        </w:tc>
      </w:tr>
      <w:tr w:rsidR="007266CF" w:rsidRPr="002A677E" w14:paraId="436DBD65" w14:textId="77777777" w:rsidTr="007266CF">
        <w:tc>
          <w:tcPr>
            <w:tcW w:w="1697" w:type="dxa"/>
          </w:tcPr>
          <w:p w14:paraId="65EA7F86" w14:textId="77777777" w:rsidR="007266CF" w:rsidRPr="002A677E" w:rsidRDefault="007266CF" w:rsidP="007266CF">
            <w:pPr>
              <w:rPr>
                <w:rFonts w:ascii="Times New Roman" w:hAnsi="Times New Roman"/>
                <w:sz w:val="24"/>
              </w:rPr>
            </w:pPr>
            <w:r>
              <w:rPr>
                <w:rFonts w:ascii="Times New Roman" w:hAnsi="Times New Roman"/>
                <w:sz w:val="24"/>
              </w:rPr>
              <w:lastRenderedPageBreak/>
              <w:t>0150 – 0160</w:t>
            </w:r>
          </w:p>
        </w:tc>
        <w:tc>
          <w:tcPr>
            <w:tcW w:w="8131" w:type="dxa"/>
          </w:tcPr>
          <w:p w14:paraId="702B2D17"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Použití 2 % prahové hodnoty</w:t>
            </w:r>
          </w:p>
        </w:tc>
      </w:tr>
      <w:tr w:rsidR="007266CF" w:rsidRPr="006223CC" w14:paraId="5EB5C1D4" w14:textId="77777777" w:rsidTr="007266CF">
        <w:tc>
          <w:tcPr>
            <w:tcW w:w="1697" w:type="dxa"/>
          </w:tcPr>
          <w:p w14:paraId="6407B736" w14:textId="77777777" w:rsidR="007266CF" w:rsidRPr="002A677E" w:rsidRDefault="007266CF" w:rsidP="007266CF">
            <w:pPr>
              <w:rPr>
                <w:rFonts w:ascii="Times New Roman" w:hAnsi="Times New Roman"/>
                <w:sz w:val="24"/>
              </w:rPr>
            </w:pPr>
            <w:r>
              <w:rPr>
                <w:rFonts w:ascii="Times New Roman" w:hAnsi="Times New Roman"/>
                <w:sz w:val="24"/>
              </w:rPr>
              <w:t>0150</w:t>
            </w:r>
          </w:p>
        </w:tc>
        <w:tc>
          <w:tcPr>
            <w:tcW w:w="8131" w:type="dxa"/>
          </w:tcPr>
          <w:p w14:paraId="170C858F"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b/>
                <w:sz w:val="24"/>
                <w:u w:val="single"/>
              </w:rPr>
              <w:t>Použití 2% prahové hodnoty pro obecnou úvěrovou expozici</w:t>
            </w:r>
            <w:r>
              <w:rPr>
                <w:rFonts w:ascii="Times New Roman" w:hAnsi="Times New Roman"/>
                <w:sz w:val="24"/>
              </w:rPr>
              <w:t xml:space="preserve"> </w:t>
            </w:r>
          </w:p>
          <w:p w14:paraId="566C8ADA" w14:textId="77777777" w:rsidR="007266CF" w:rsidRPr="006223CC" w:rsidRDefault="007266CF" w:rsidP="007266CF">
            <w:pPr>
              <w:autoSpaceDE w:val="0"/>
              <w:autoSpaceDN w:val="0"/>
              <w:adjustRightInd w:val="0"/>
              <w:rPr>
                <w:rFonts w:ascii="Times New Roman" w:hAnsi="Times New Roman"/>
                <w:sz w:val="24"/>
                <w:lang w:val="fr-FR"/>
              </w:rPr>
            </w:pPr>
            <w:r>
              <w:rPr>
                <w:rFonts w:ascii="Times New Roman" w:hAnsi="Times New Roman"/>
                <w:sz w:val="24"/>
              </w:rPr>
              <w:t>V souladu s čl. 2 odst. 5 písm. b) nařízení Komise v přenesené pravomoci (EU) č. 1152/2014 mohou být zahraniční obecné úvěrové expozice, jejichž souhrn nepřesahuje 2 % souhrnu obecných úvěrových expozic, expozic obchodního portfolia a sekuritizačních expozic této instituce, přiřazeny domovskému členskému státu instituce. Souhrn obecných úvěrových expozic, expozic obchodního portfolia a sekuritizačních expozic se vypočítá s vyloučením obecných úvěrových expozic umístěných v souladu s čl. 2 odst. </w:t>
            </w:r>
            <w:r w:rsidRPr="006223CC">
              <w:rPr>
                <w:rFonts w:ascii="Times New Roman" w:hAnsi="Times New Roman"/>
                <w:sz w:val="24"/>
                <w:lang w:val="fr-FR"/>
              </w:rPr>
              <w:t>5 písm. a) a čl. 2 odst. 4 nařízení Komise v přenesené pravomoci (EU) č. 1152/2014.</w:t>
            </w:r>
          </w:p>
          <w:p w14:paraId="1D17A71D" w14:textId="77777777" w:rsidR="007266CF" w:rsidRPr="006223CC" w:rsidRDefault="007266CF" w:rsidP="007266CF">
            <w:pPr>
              <w:autoSpaceDE w:val="0"/>
              <w:autoSpaceDN w:val="0"/>
              <w:adjustRightInd w:val="0"/>
              <w:rPr>
                <w:rFonts w:ascii="Times New Roman" w:hAnsi="Times New Roman"/>
                <w:sz w:val="24"/>
                <w:lang w:val="fr-FR"/>
              </w:rPr>
            </w:pPr>
            <w:r w:rsidRPr="006223CC">
              <w:rPr>
                <w:rFonts w:ascii="Times New Roman" w:hAnsi="Times New Roman"/>
                <w:sz w:val="24"/>
                <w:lang w:val="fr-FR"/>
              </w:rPr>
              <w:t>Pokud instituce využije této odchylky, uvede „y“ v šabloně pro jurisdikci, jež odpovídá jejímu domovskému členskému státu, a „Celkově“ ze všech zemí.</w:t>
            </w:r>
          </w:p>
          <w:p w14:paraId="2F72B5D0" w14:textId="77777777" w:rsidR="007266CF" w:rsidRPr="006223CC" w:rsidRDefault="007266CF" w:rsidP="007266CF">
            <w:pPr>
              <w:autoSpaceDE w:val="0"/>
              <w:autoSpaceDN w:val="0"/>
              <w:adjustRightInd w:val="0"/>
              <w:rPr>
                <w:rFonts w:ascii="Times New Roman" w:hAnsi="Times New Roman"/>
                <w:sz w:val="24"/>
                <w:lang w:val="fr-FR"/>
              </w:rPr>
            </w:pPr>
            <w:r w:rsidRPr="006223CC">
              <w:rPr>
                <w:rFonts w:ascii="Times New Roman" w:hAnsi="Times New Roman"/>
                <w:sz w:val="24"/>
                <w:lang w:val="fr-FR"/>
              </w:rPr>
              <w:t>Jestliže instituce této odchylky nevyužije, uvede v odpovídajícím poli „n“.</w:t>
            </w:r>
          </w:p>
        </w:tc>
      </w:tr>
      <w:tr w:rsidR="007266CF" w:rsidRPr="002A677E" w14:paraId="70584EE1" w14:textId="77777777" w:rsidTr="007266CF">
        <w:tc>
          <w:tcPr>
            <w:tcW w:w="1697" w:type="dxa"/>
          </w:tcPr>
          <w:p w14:paraId="7DD9D6FA" w14:textId="77777777" w:rsidR="007266CF" w:rsidRPr="002A677E" w:rsidRDefault="007266CF" w:rsidP="007266CF">
            <w:pPr>
              <w:rPr>
                <w:rFonts w:ascii="Times New Roman" w:hAnsi="Times New Roman"/>
                <w:sz w:val="24"/>
              </w:rPr>
            </w:pPr>
            <w:r>
              <w:rPr>
                <w:rFonts w:ascii="Times New Roman" w:hAnsi="Times New Roman"/>
                <w:sz w:val="24"/>
              </w:rPr>
              <w:t>0160</w:t>
            </w:r>
          </w:p>
        </w:tc>
        <w:tc>
          <w:tcPr>
            <w:tcW w:w="8131" w:type="dxa"/>
          </w:tcPr>
          <w:p w14:paraId="2919236B"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b/>
                <w:sz w:val="24"/>
                <w:u w:val="single"/>
              </w:rPr>
              <w:t>Použití 2% prahové hodnoty pro expozici obchodního portfolia</w:t>
            </w:r>
          </w:p>
          <w:p w14:paraId="4470773E"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V souladu s čl. 3 odst. 3 nařízení Komise v přenesené pravomoci (EU) č. 1152/2014 mohou instituce přiřadit expozice obchodního portfolia svému domovskému členskému státu, pokud souhrn expozic obchodního portfolia nepřesahuje 2 % souhrnu obecných úvěrových expozic, expozic obchodního portfolia a sekuritizovaných expozic.</w:t>
            </w:r>
          </w:p>
          <w:p w14:paraId="299B6848" w14:textId="77777777" w:rsidR="007266CF" w:rsidRPr="002A677E" w:rsidRDefault="007266CF" w:rsidP="007266CF">
            <w:pPr>
              <w:rPr>
                <w:rFonts w:ascii="Times New Roman" w:hAnsi="Times New Roman"/>
                <w:sz w:val="24"/>
              </w:rPr>
            </w:pPr>
            <w:r>
              <w:rPr>
                <w:rFonts w:ascii="Times New Roman" w:hAnsi="Times New Roman"/>
                <w:sz w:val="24"/>
              </w:rPr>
              <w:t>Pokud instituce využije této odchylky, uvede „y“ v šabloně pro jurisdikci, jež odpovídá jejímu domovskému členskému státu, a „Celkově“ ze všech zemí.</w:t>
            </w:r>
          </w:p>
          <w:p w14:paraId="49FC5511" w14:textId="77777777" w:rsidR="007266CF" w:rsidRPr="002A677E" w:rsidRDefault="007266CF" w:rsidP="007266CF">
            <w:pPr>
              <w:rPr>
                <w:rFonts w:ascii="Times New Roman" w:hAnsi="Times New Roman"/>
                <w:b/>
                <w:bCs/>
                <w:sz w:val="24"/>
                <w:u w:val="single"/>
              </w:rPr>
            </w:pPr>
            <w:r>
              <w:rPr>
                <w:rFonts w:ascii="Times New Roman" w:hAnsi="Times New Roman"/>
                <w:sz w:val="24"/>
              </w:rPr>
              <w:t>Jestliže instituce této odchylky nevyužije, uvede v odpovídajícím poli „n“.</w:t>
            </w:r>
          </w:p>
        </w:tc>
      </w:tr>
    </w:tbl>
    <w:p w14:paraId="06D7088D" w14:textId="77777777" w:rsidR="007266CF" w:rsidRPr="002A677E" w:rsidRDefault="007266CF" w:rsidP="007266CF">
      <w:pPr>
        <w:spacing w:before="0" w:after="0"/>
        <w:jc w:val="left"/>
        <w:rPr>
          <w:rFonts w:ascii="Times New Roman" w:hAnsi="Times New Roman"/>
          <w:bCs/>
          <w:sz w:val="24"/>
          <w:lang w:eastAsia="de-DE"/>
        </w:rPr>
      </w:pPr>
    </w:p>
    <w:p w14:paraId="026FB19D" w14:textId="77777777" w:rsidR="007266CF" w:rsidRPr="002A677E" w:rsidRDefault="007266CF" w:rsidP="00A75C39">
      <w:pPr>
        <w:pStyle w:val="Instructionsberschrift2"/>
        <w:numPr>
          <w:ilvl w:val="1"/>
          <w:numId w:val="84"/>
        </w:numPr>
        <w:rPr>
          <w:rFonts w:ascii="Times New Roman" w:hAnsi="Times New Roman" w:cs="Times New Roman"/>
          <w:sz w:val="24"/>
        </w:rPr>
      </w:pPr>
      <w:bookmarkStart w:id="164" w:name="_Toc116026775"/>
      <w:bookmarkStart w:id="165" w:name="_Toc119077932"/>
      <w:r>
        <w:rPr>
          <w:rFonts w:ascii="Times New Roman" w:hAnsi="Times New Roman"/>
          <w:sz w:val="24"/>
        </w:rPr>
        <w:t>C 10.01 a C 10.02 – Akciové expozice v rámci přístupu založeného na interním ratingu (CR EQU IRB 1 a CR EQU IRB 2)</w:t>
      </w:r>
      <w:bookmarkEnd w:id="164"/>
      <w:bookmarkEnd w:id="165"/>
    </w:p>
    <w:p w14:paraId="11FD83D8" w14:textId="77777777" w:rsidR="007266CF" w:rsidRPr="002A677E" w:rsidRDefault="007266CF" w:rsidP="00A75C39">
      <w:pPr>
        <w:pStyle w:val="Instructionsberschrift2"/>
        <w:numPr>
          <w:ilvl w:val="2"/>
          <w:numId w:val="85"/>
        </w:numPr>
        <w:rPr>
          <w:rFonts w:ascii="Times New Roman" w:hAnsi="Times New Roman" w:cs="Times New Roman"/>
          <w:sz w:val="24"/>
        </w:rPr>
      </w:pPr>
      <w:bookmarkStart w:id="166" w:name="_Toc116026776"/>
      <w:bookmarkStart w:id="167" w:name="_Toc119077933"/>
      <w:r>
        <w:rPr>
          <w:rFonts w:ascii="Times New Roman" w:hAnsi="Times New Roman"/>
          <w:sz w:val="24"/>
        </w:rPr>
        <w:t>Obecné poznámky</w:t>
      </w:r>
      <w:bookmarkEnd w:id="166"/>
      <w:bookmarkEnd w:id="167"/>
    </w:p>
    <w:p w14:paraId="45B7A49A" w14:textId="77777777" w:rsidR="007266CF" w:rsidRPr="002A677E" w:rsidRDefault="007266CF" w:rsidP="007266CF">
      <w:pPr>
        <w:pStyle w:val="InstructionsText2"/>
        <w:numPr>
          <w:ilvl w:val="0"/>
          <w:numId w:val="0"/>
        </w:numPr>
        <w:ind w:left="1353" w:hanging="360"/>
      </w:pPr>
      <w:fldSimple w:instr=" seq paragraphs ">
        <w:r>
          <w:t>92</w:t>
        </w:r>
      </w:fldSimple>
      <w:r>
        <w:t>.</w:t>
      </w:r>
      <w:r>
        <w:tab/>
        <w:t xml:space="preserve">Šablona CR EQU IRB sestává ze dvou dílčích šablon: Šablona CR EQU IRB 1 poskytuje obecný přehled expozic v rámci přístupu IRB v případě kategorie akciových expozic a představuje různé metody výpočtu celkových objemů rizikových expozic. V šabloně CR EQU IRB 2 je uvedeno rozčlenění celkových </w:t>
      </w:r>
      <w:r>
        <w:lastRenderedPageBreak/>
        <w:t>expozic zařazených do stupňů dlužníka v souvislosti s metodou PD/LGD. Použitím výrazu „CR EQU IRB“ se v následujících pokynech odkazuje jak na šablonu CR EQU IRB 1, tak v příslušných případech na šablonu CR EQU IRB 2.</w:t>
      </w:r>
    </w:p>
    <w:p w14:paraId="31327C17" w14:textId="77777777" w:rsidR="007266CF" w:rsidRPr="002A677E" w:rsidRDefault="007266CF" w:rsidP="007266CF">
      <w:pPr>
        <w:pStyle w:val="InstructionsText2"/>
        <w:numPr>
          <w:ilvl w:val="0"/>
          <w:numId w:val="0"/>
        </w:numPr>
        <w:ind w:left="1353" w:hanging="360"/>
      </w:pPr>
      <w:fldSimple w:instr=" seq paragraphs ">
        <w:r>
          <w:t>93</w:t>
        </w:r>
      </w:fldSimple>
      <w:r>
        <w:t>.</w:t>
      </w:r>
      <w:r>
        <w:tab/>
        <w:t>Šablona CR EQU IRB poskytuje informace o výpočtu objemů rizikově vážených expozic pro úvěrové riziko (čl. 92 odst. 3 písm. a) nařízení (EU) č. 575/2013) v souladu s částí třetí hlavou II kapitolou 3 nařízení (EU) č. 575/2013 v případě akciových expozic uvedených v čl. 147 odst. 2 písm. e) uvedeného nařízení.</w:t>
      </w:r>
    </w:p>
    <w:p w14:paraId="78CF5784" w14:textId="77777777" w:rsidR="007266CF" w:rsidRPr="002A677E" w:rsidRDefault="007266CF" w:rsidP="007266CF">
      <w:pPr>
        <w:pStyle w:val="InstructionsText2"/>
        <w:numPr>
          <w:ilvl w:val="0"/>
          <w:numId w:val="0"/>
        </w:numPr>
        <w:ind w:left="1353" w:hanging="360"/>
      </w:pPr>
      <w:fldSimple w:instr=" seq paragraphs ">
        <w:r>
          <w:t>94</w:t>
        </w:r>
      </w:fldSimple>
      <w:r>
        <w:t>.</w:t>
      </w:r>
      <w:r>
        <w:tab/>
        <w:t>Podle čl. 147 odst. 6 nařízení (EU) č. 575/2013 se do kategorie akciových expozic zařazují tyto expozice:</w:t>
      </w:r>
    </w:p>
    <w:p w14:paraId="455D6900" w14:textId="77777777" w:rsidR="007266CF" w:rsidRPr="002A677E" w:rsidRDefault="007266CF" w:rsidP="007266CF">
      <w:pPr>
        <w:pStyle w:val="InstructionsText2"/>
        <w:numPr>
          <w:ilvl w:val="0"/>
          <w:numId w:val="0"/>
        </w:numPr>
        <w:ind w:left="1353" w:hanging="360"/>
      </w:pPr>
      <w:r>
        <w:t>a)</w:t>
      </w:r>
      <w:r>
        <w:tab/>
        <w:t>expozice, které nemají povahu dluhu a které vyjadřují podřízený podíl na zbývajících aktivech nebo na příjmech emitenta;</w:t>
      </w:r>
    </w:p>
    <w:p w14:paraId="2B91FD31" w14:textId="77777777" w:rsidR="007266CF" w:rsidRPr="002A677E" w:rsidRDefault="007266CF" w:rsidP="007266CF">
      <w:pPr>
        <w:pStyle w:val="InstructionsText2"/>
        <w:numPr>
          <w:ilvl w:val="0"/>
          <w:numId w:val="0"/>
        </w:numPr>
        <w:ind w:left="1353" w:hanging="360"/>
      </w:pPr>
      <w:r>
        <w:t>b)</w:t>
      </w:r>
      <w:r>
        <w:tab/>
        <w:t>dluhové expozice a jiné cenné papíry, podíly společníků, deriváty nebo jiné nástroje, jejichž ekonomická podstata je podobná jako u expozic uvedených v písmenu a).</w:t>
      </w:r>
    </w:p>
    <w:p w14:paraId="1AAB12A0" w14:textId="77777777" w:rsidR="007266CF" w:rsidRPr="002A677E" w:rsidRDefault="007266CF" w:rsidP="007266CF">
      <w:pPr>
        <w:pStyle w:val="InstructionsText2"/>
        <w:numPr>
          <w:ilvl w:val="0"/>
          <w:numId w:val="0"/>
        </w:numPr>
        <w:ind w:left="1353" w:hanging="360"/>
      </w:pPr>
      <w:fldSimple w:instr=" seq paragraphs ">
        <w:r>
          <w:t>95</w:t>
        </w:r>
      </w:fldSimple>
      <w:r>
        <w:t>.</w:t>
      </w:r>
      <w:r>
        <w:tab/>
        <w:t>V šabloně CR EQU IRB se vykazují rovněž subjekty kolektivního investování, s nimiž se zachází v souladu s metodou zjednodušené rizikové váhy, jak je uvedeno v čl. 152 odst. 4 písm. a) nařízení (EU) č. 575/2013, nebo v souladu se záložním přístupem podle čl. 152 odst. 6 uvedeného nařízení.</w:t>
      </w:r>
    </w:p>
    <w:p w14:paraId="2FF64517" w14:textId="77777777" w:rsidR="007266CF" w:rsidRPr="002A677E" w:rsidRDefault="007266CF" w:rsidP="007266CF">
      <w:pPr>
        <w:pStyle w:val="InstructionsText2"/>
        <w:numPr>
          <w:ilvl w:val="0"/>
          <w:numId w:val="0"/>
        </w:numPr>
        <w:ind w:left="1353" w:hanging="360"/>
      </w:pPr>
      <w:fldSimple w:instr=" seq paragraphs ">
        <w:r>
          <w:t>96</w:t>
        </w:r>
      </w:fldSimple>
      <w:r>
        <w:t>.</w:t>
      </w:r>
      <w:r>
        <w:tab/>
        <w:t xml:space="preserve">Podle čl. 151 odst. 1 nařízení (EU) č. 575/2013 instituce vyplňují šablonu CR EQU IRB tehdy, pokud používají jednu ze tří metod uvedených v článku 155 nařízení (EU) č. 575/2013: </w:t>
      </w:r>
    </w:p>
    <w:p w14:paraId="15C54957" w14:textId="77777777" w:rsidR="007266CF" w:rsidRPr="002A677E" w:rsidRDefault="007266CF" w:rsidP="007266CF">
      <w:pPr>
        <w:pStyle w:val="InstructionsText"/>
      </w:pPr>
      <w:r>
        <w:t>— metoda zjednodušené rizikové váhy,</w:t>
      </w:r>
    </w:p>
    <w:p w14:paraId="4C9B5B1B" w14:textId="77777777" w:rsidR="007266CF" w:rsidRPr="002A677E" w:rsidRDefault="007266CF" w:rsidP="007266CF">
      <w:pPr>
        <w:pStyle w:val="InstructionsText"/>
      </w:pPr>
      <w:r>
        <w:t>— metoda PD/LGD,</w:t>
      </w:r>
    </w:p>
    <w:p w14:paraId="7F03061A" w14:textId="77777777" w:rsidR="007266CF" w:rsidRDefault="007266CF" w:rsidP="007266CF">
      <w:pPr>
        <w:pStyle w:val="InstructionsText"/>
      </w:pPr>
      <w:r>
        <w:t>— přístup založený na interních modelech.</w:t>
      </w:r>
    </w:p>
    <w:p w14:paraId="320E17D8" w14:textId="77777777" w:rsidR="007266CF" w:rsidRPr="002A677E" w:rsidRDefault="007266CF" w:rsidP="007266CF">
      <w:pPr>
        <w:pStyle w:val="InstructionsText"/>
        <w:ind w:left="1386"/>
      </w:pPr>
      <w:r>
        <w:t>V souladu s článkem 155 nařízení (EU) č. 575/2013 mohou instituce použít různé metody (metoda zjednodušené rizikové váhy, metoda PD/LGD nebo přístup založený na interních modelech) pro různá portfolia, pokud tyto různé metody používají na interní úrovni.</w:t>
      </w:r>
    </w:p>
    <w:p w14:paraId="61B591CF" w14:textId="77777777" w:rsidR="007266CF" w:rsidRPr="002A677E" w:rsidRDefault="007266CF" w:rsidP="007266CF">
      <w:pPr>
        <w:pStyle w:val="InstructionsText"/>
        <w:ind w:left="1353"/>
      </w:pPr>
      <w:r>
        <w:t>Instituce, které používají přístup IRB navíc v šabloně CR EQU IRB vykazují objemy rizikově vážených expozic u akciových expozic s fixní rizikovou váhou (aniž by se s nimi ovšem zacházelo výlučně v souladu s metodou zjednodušené rizikové váhy nebo na základě (dočasného či trvalého) částečného použití standardizovaného přístupu k úvěrovému riziku (např. akciové expozice, jimž je přiřazena riziková váha ve výši 250 % podle čl. 48 odst. 4 nařízení (EU) č. 575/2013, popřípadě riziková váha ve výši 370 % podle čl. 471 odst. 2 téhož nařízení)).</w:t>
      </w:r>
    </w:p>
    <w:p w14:paraId="0DA791F6" w14:textId="77777777" w:rsidR="007266CF" w:rsidRPr="002A677E" w:rsidRDefault="007266CF" w:rsidP="007266CF">
      <w:pPr>
        <w:pStyle w:val="InstructionsText2"/>
        <w:numPr>
          <w:ilvl w:val="0"/>
          <w:numId w:val="0"/>
        </w:numPr>
        <w:ind w:left="1353" w:hanging="360"/>
      </w:pPr>
      <w:fldSimple w:instr=" seq paragraphs ">
        <w:r>
          <w:t>97</w:t>
        </w:r>
      </w:fldSimple>
      <w:r>
        <w:t>.</w:t>
      </w:r>
      <w:r>
        <w:tab/>
        <w:t>V šabloně CR EQU IRB se nevykazují tyto kapitálové pohledávky:</w:t>
      </w:r>
    </w:p>
    <w:p w14:paraId="70974316" w14:textId="77777777" w:rsidR="007266CF" w:rsidRPr="002A677E" w:rsidRDefault="007266CF" w:rsidP="007266CF">
      <w:pPr>
        <w:pStyle w:val="InstructionsText"/>
        <w:ind w:left="1353"/>
      </w:pPr>
      <w:r>
        <w:t xml:space="preserve">– akciové expozice v obchodním portfoliu (v případě, že instituce nejsou zproštěny výpočtu kapitálových požadavků pro pozice v obchodním portfoliu (článek 94 nařízení (EU) č. 575/2013), </w:t>
      </w:r>
    </w:p>
    <w:p w14:paraId="75F59016" w14:textId="77777777" w:rsidR="007266CF" w:rsidRPr="002A677E" w:rsidRDefault="007266CF" w:rsidP="007266CF">
      <w:pPr>
        <w:pStyle w:val="InstructionsText"/>
        <w:ind w:left="1353"/>
      </w:pPr>
      <w:r>
        <w:lastRenderedPageBreak/>
        <w:t>– akciové expozice podléhající částečnému použití standardizovaného přístupu (článek 150 nařízení (EU) č. 575/2013), včetně:</w:t>
      </w:r>
    </w:p>
    <w:p w14:paraId="68A587D0" w14:textId="77777777" w:rsidR="007266CF" w:rsidRPr="002A677E" w:rsidRDefault="007266CF" w:rsidP="007266CF">
      <w:pPr>
        <w:pStyle w:val="InstructionsText"/>
        <w:ind w:left="1353"/>
      </w:pPr>
      <w:r>
        <w:t>– akciových expozic, pro něž platí zachování právních účinků, podle čl. 495 odst. 1 nařízení (EU) č. 575/2013,</w:t>
      </w:r>
    </w:p>
    <w:p w14:paraId="31581F17" w14:textId="77777777" w:rsidR="007266CF" w:rsidRPr="002A677E" w:rsidRDefault="007266CF" w:rsidP="007266CF">
      <w:pPr>
        <w:pStyle w:val="InstructionsText"/>
        <w:ind w:left="1353"/>
      </w:pPr>
      <w:r>
        <w:t>– akciových expozic vůči subjektům, jejichž úvěrovým závazkům je přidělena riziková váha 0 % podle standardizovaného přístupu, včetně těch subjektů veřejného sektoru, u kterých může být použita riziková váha 0 % (čl. 150 odst. 1 písm. g) nařízení (EU) č. 575/2013),</w:t>
      </w:r>
    </w:p>
    <w:p w14:paraId="1CAD77BF" w14:textId="77777777" w:rsidR="007266CF" w:rsidRPr="002A677E" w:rsidRDefault="007266CF" w:rsidP="007266CF">
      <w:pPr>
        <w:pStyle w:val="InstructionsText"/>
        <w:ind w:left="1353"/>
      </w:pPr>
      <w:r>
        <w:t>– akciových expozic nabytých v rámci legislativních programů na podporu přesně vymezených hospodářských odvětví, které poskytují instituci významné dotace na tuto investici a zahrnují určitou formu státního dohledu a omezení kapitálových investic (čl. 150 odst. 1 písm. h) nařízení (EU) č. 575/2013),</w:t>
      </w:r>
    </w:p>
    <w:p w14:paraId="45D78B51" w14:textId="77777777" w:rsidR="007266CF" w:rsidRPr="002A677E" w:rsidRDefault="007266CF" w:rsidP="007266CF">
      <w:pPr>
        <w:pStyle w:val="InstructionsText"/>
        <w:ind w:left="1353"/>
      </w:pPr>
      <w:r>
        <w:t>– akciových expozic vůči podnikům pomocných služeb, u nichž lze objemy rizikově vážených expozic vypočítat na základě zacházení s „jinými aktivy nemajícími povahu úvěrového závazku“ (čl. 155 odst. 1 nařízení (EU) č. 575/2013),</w:t>
      </w:r>
    </w:p>
    <w:p w14:paraId="79086D5A" w14:textId="77777777" w:rsidR="007266CF" w:rsidRPr="002A677E" w:rsidRDefault="007266CF" w:rsidP="007266CF">
      <w:pPr>
        <w:pStyle w:val="InstructionsText"/>
        <w:ind w:left="1353"/>
      </w:pPr>
      <w:r>
        <w:t>– kapitálových pohledávek odečtených od kapitálu v souladu s články 46 a 48 nařízení (EU) č. 575/2013.</w:t>
      </w:r>
    </w:p>
    <w:p w14:paraId="5358081C" w14:textId="77777777" w:rsidR="007266CF" w:rsidRPr="002A677E" w:rsidRDefault="007266CF" w:rsidP="007266CF">
      <w:pPr>
        <w:pStyle w:val="InstructionsText"/>
        <w:ind w:left="1353"/>
      </w:pPr>
    </w:p>
    <w:p w14:paraId="733C0218" w14:textId="77777777" w:rsidR="007266CF" w:rsidRPr="002A677E" w:rsidRDefault="007266CF" w:rsidP="00A75C39">
      <w:pPr>
        <w:pStyle w:val="Instructionsberschrift2"/>
        <w:numPr>
          <w:ilvl w:val="2"/>
          <w:numId w:val="86"/>
        </w:numPr>
        <w:rPr>
          <w:rFonts w:ascii="Times New Roman" w:hAnsi="Times New Roman" w:cs="Times New Roman"/>
          <w:sz w:val="24"/>
        </w:rPr>
      </w:pPr>
      <w:bookmarkStart w:id="168" w:name="_Toc116026777"/>
      <w:bookmarkStart w:id="169" w:name="_Toc119077934"/>
      <w:r>
        <w:rPr>
          <w:rFonts w:ascii="Times New Roman" w:hAnsi="Times New Roman"/>
          <w:sz w:val="24"/>
        </w:rPr>
        <w:t>Pokyny týkající se specifických pozic</w:t>
      </w:r>
      <w:r>
        <w:t xml:space="preserve"> </w:t>
      </w:r>
      <w:r>
        <w:rPr>
          <w:rFonts w:ascii="Times New Roman" w:hAnsi="Times New Roman"/>
          <w:sz w:val="24"/>
        </w:rPr>
        <w:t>(vztahující se k šabloně CR EQU IRB1 i CR EQU IRB 2)</w:t>
      </w:r>
      <w:bookmarkEnd w:id="168"/>
      <w:bookmarkEnd w:id="169"/>
    </w:p>
    <w:tbl>
      <w:tblPr>
        <w:tblW w:w="0" w:type="auto"/>
        <w:tblLook w:val="01E0" w:firstRow="1" w:lastRow="1" w:firstColumn="1" w:lastColumn="1" w:noHBand="0" w:noVBand="0"/>
      </w:tblPr>
      <w:tblGrid>
        <w:gridCol w:w="852"/>
        <w:gridCol w:w="8004"/>
      </w:tblGrid>
      <w:tr w:rsidR="007266CF" w:rsidRPr="002A677E" w14:paraId="2C001DD3" w14:textId="77777777" w:rsidTr="007266CF">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60295072" w14:textId="77777777" w:rsidR="007266CF" w:rsidRPr="001235ED" w:rsidRDefault="007266CF" w:rsidP="007266CF">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Sloupce</w:t>
            </w:r>
          </w:p>
        </w:tc>
      </w:tr>
      <w:tr w:rsidR="007266CF" w:rsidRPr="002A677E" w14:paraId="3CFE1851"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B84FD86"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57FEB74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RATINGOVÝ STUPEŇ DLUŽNÍKA (IDENTIFIKÁTOR ŘÁDKU)</w:t>
            </w:r>
          </w:p>
          <w:p w14:paraId="61CAD299"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Ratingový stupeň dlužníka je identifikátorem řádku a je pro každý řádek šablony jedinečný. </w:t>
            </w:r>
            <w:r>
              <w:rPr>
                <w:rFonts w:ascii="Times New Roman" w:hAnsi="Times New Roman"/>
                <w:sz w:val="24"/>
              </w:rPr>
              <w:t>Má pořadové číslo 1, 2, 3 atd.</w:t>
            </w:r>
          </w:p>
        </w:tc>
      </w:tr>
      <w:tr w:rsidR="007266CF" w:rsidRPr="002A677E" w14:paraId="446AEB8F"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AF7A201"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090F049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STUPNICE INTERNÍCH RATINGŮ </w:t>
            </w:r>
          </w:p>
          <w:p w14:paraId="2030C57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PŘIŘAZENÁ RATINGOVÉMU STUPNI DLUŽNÍKA (%)</w:t>
            </w:r>
          </w:p>
          <w:p w14:paraId="0A1341B1"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vykazují ve sloupci 0010 pravděpodobnost selhání (PD) vypočítanou v souladu s čl. 165 odst. 1 nařízení (EU) č. 575/2013.</w:t>
            </w:r>
          </w:p>
          <w:p w14:paraId="1FCBDB46"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Hodnota PD přiřazená stupni nebo seskupení dlužníků, která má být vykázána, musí splňovat minimální požadavky stanovené v části třetí hlavě II kapitole 3 oddíle 6 nařízení (EU) č. 575/2013. U každého jednotlivého stupně nebo seskupení se vykáže PD přiřazená ke konkrétnímu stupni nebo seskupení dlužníků. Všechny vykazované rizikové parametry se odvozují na základě rizikových parametrů používaných v interní ratingové stupnici, která je schválena příslušným orgánem.</w:t>
            </w:r>
          </w:p>
          <w:p w14:paraId="6AA7DA34"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Pokud jde o číselné údaje odpovídající souhrnné hodnotě stupňů nebo seskupení dlužníků (např. celkové expozice), uvedou se expozicí vážené průměrné hodnoty pravděpodobností selhání přiřazených stupňům nebo seskupením dlužníků, které </w:t>
            </w:r>
            <w:r>
              <w:rPr>
                <w:rStyle w:val="InstructionsTabelleText"/>
                <w:rFonts w:ascii="Times New Roman" w:hAnsi="Times New Roman"/>
                <w:sz w:val="24"/>
              </w:rPr>
              <w:lastRenderedPageBreak/>
              <w:t xml:space="preserve">jsou do souhrnné hodnoty zahrnuty. Při výpočtu expozicí vážené průměrné hodnoty PD musí být zohledněny všechny expozice, včetně expozic, u nichž došlo k selhání. Při výpočtu expozicí vážené průměrné hodnoty PD se pro účely vážení rizika použije hodnota expozice zohledňující osobní zajištění úvěrového rizika (sloupec 0060). </w:t>
            </w:r>
          </w:p>
        </w:tc>
      </w:tr>
      <w:tr w:rsidR="007266CF" w:rsidRPr="002A677E" w14:paraId="646C7B51"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4DBB1A7"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0B3B324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14:paraId="79059D9E" w14:textId="77777777" w:rsidR="007266CF" w:rsidRPr="002A677E" w:rsidRDefault="007266CF" w:rsidP="007266CF">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Ve sloupci 0020 instituce vykazují hodnotu původní expozice (před vynásobením konverzními faktory). Podle článku 167 nařízení (EU) č. 575/2013 hodnota expozice u akciových expozic odpovídá účetní hodnotě po specifických úpravách o úvěrové riziko. Hodnotou</w:t>
            </w:r>
            <w:r>
              <w:rPr>
                <w:rFonts w:ascii="Times New Roman" w:hAnsi="Times New Roman"/>
                <w:sz w:val="24"/>
              </w:rPr>
              <w:t xml:space="preserve"> expozice podrozvahových akciových expozic je jejich nominální hodnota po specifických úpravách o úvěrové riziko.</w:t>
            </w:r>
          </w:p>
          <w:p w14:paraId="677CBAF2"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zahrnují do sloupce 0020 rovněž podrozvahové položky uvedené v příloze I </w:t>
            </w:r>
            <w:r>
              <w:rPr>
                <w:rFonts w:ascii="Times New Roman" w:hAnsi="Times New Roman"/>
                <w:sz w:val="24"/>
              </w:rPr>
              <w:t xml:space="preserve">nařízení (EU) č. 575/2013 </w:t>
            </w:r>
            <w:r>
              <w:rPr>
                <w:rStyle w:val="InstructionsTabelleText"/>
                <w:rFonts w:ascii="Times New Roman" w:hAnsi="Times New Roman"/>
                <w:sz w:val="24"/>
              </w:rPr>
              <w:t>zařazené do kategorie akciových expozic (např. „nesplacená část částečně splacených akcií a podílů“).</w:t>
            </w:r>
          </w:p>
          <w:p w14:paraId="371CBC31"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zjednodušené rizikové váhy nebo metodu PD/LGD (jak je uvedeno v čl. 165 odst. 1 </w:t>
            </w:r>
            <w:r>
              <w:rPr>
                <w:rFonts w:ascii="Times New Roman" w:hAnsi="Times New Roman"/>
                <w:sz w:val="24"/>
              </w:rPr>
              <w:t xml:space="preserve">nařízení (EU) č. 575/2013), </w:t>
            </w:r>
            <w:r>
              <w:rPr>
                <w:rStyle w:val="InstructionsTabelleText"/>
                <w:rFonts w:ascii="Times New Roman" w:hAnsi="Times New Roman"/>
                <w:sz w:val="24"/>
              </w:rPr>
              <w:t xml:space="preserve">zohledňují rovněž kompenzaci uvedenou v čl. 155 odst. 2 druhém pododstavci </w:t>
            </w:r>
            <w:r>
              <w:rPr>
                <w:rFonts w:ascii="Times New Roman" w:hAnsi="Times New Roman"/>
                <w:sz w:val="24"/>
              </w:rPr>
              <w:t>nařízení (EU) č. 575/2013</w:t>
            </w:r>
            <w:r>
              <w:rPr>
                <w:rStyle w:val="InstructionsTabelleText"/>
                <w:rFonts w:ascii="Times New Roman" w:hAnsi="Times New Roman"/>
                <w:sz w:val="24"/>
              </w:rPr>
              <w:t xml:space="preserve">. </w:t>
            </w:r>
          </w:p>
        </w:tc>
      </w:tr>
      <w:tr w:rsidR="007266CF" w:rsidRPr="002A677E" w14:paraId="10B6273F"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0C3B243"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5E9A7407"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14:paraId="66621984"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OSOBNÍ ZAJIŠTĚNÍ ÚVĚROVÉHO RIZIKA</w:t>
            </w:r>
          </w:p>
          <w:p w14:paraId="5C79C926"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ZÁRUKY</w:t>
            </w:r>
          </w:p>
          <w:p w14:paraId="47269BB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ÚVĚROVÉ DERIVÁTY</w:t>
            </w:r>
          </w:p>
          <w:p w14:paraId="2F314879"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Bez ohledu na metodu, která se používá pro výpočet objemů rizikově vážených expozic u akciových expozic, mohou instituce uznat osobní zajištění úvěrového rizika v případě akciových expozic (čl. 155 odst. 2, 3 a 4 </w:t>
            </w:r>
            <w:r>
              <w:rPr>
                <w:rFonts w:ascii="Times New Roman" w:hAnsi="Times New Roman"/>
                <w:sz w:val="24"/>
              </w:rPr>
              <w:t>nařízení (EU) č. 575/2013</w:t>
            </w:r>
            <w:r>
              <w:rPr>
                <w:rStyle w:val="InstructionsTabelleText"/>
                <w:rFonts w:ascii="Times New Roman" w:hAnsi="Times New Roman"/>
                <w:sz w:val="24"/>
              </w:rPr>
              <w:t xml:space="preserve">). Instituce, které používají metodu zjednodušené rizikové váhy nebo metodu PD/LGD, vykazují ve sloupcích 0030 a 0040 hodnotu osobního zajištění úvěrového rizika ve formě záruk (sloupec 0030) nebo úvěrových derivátů (sloupec 0040) uznaného v souladu s metodami stanovenými v části třetí hlavě II kapitole 4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6DF5A20D"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70C54D5"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6F1F4B03"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14:paraId="1E8DB7EA"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SUBSTITUCE EXPOZICE V DŮSLEDKU SNIŽOVÁNÍ ÚVĚROVÉHO RIZIKA</w:t>
            </w:r>
          </w:p>
          <w:p w14:paraId="3DD54F5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ODTOKY CELKEM</w:t>
            </w:r>
          </w:p>
          <w:p w14:paraId="3B52AE4D"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Ve sloupci 0050 instituce vykazují část původní expozice před vynásobením konverzními faktory, která je krytá osobním zajištěním úvěrového rizika uznaným v souladu s metodami stanovenými v části třetí hlavě II kapitole 4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7E00DA46"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56C403"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14:paraId="32AA6129"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HODNOTA EXPOZICE</w:t>
            </w:r>
          </w:p>
          <w:p w14:paraId="4D5E32F7"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zjednodušené rizikové váhy nebo metodu PD/LGD, vykazují ve sloupci 0060 hodnotu expozice se zohledněním substitučních vlivů vyplývajících z osobního zajištění úvěrového rizika (čl. 155 odst. 2 a 3 a článek 167 </w:t>
            </w:r>
            <w:r>
              <w:rPr>
                <w:rFonts w:ascii="Times New Roman" w:hAnsi="Times New Roman"/>
                <w:sz w:val="24"/>
              </w:rPr>
              <w:t>nařízení (EU) č. 575/2013</w:t>
            </w:r>
            <w:r>
              <w:rPr>
                <w:rStyle w:val="InstructionsTabelleText"/>
                <w:rFonts w:ascii="Times New Roman" w:hAnsi="Times New Roman"/>
                <w:sz w:val="24"/>
              </w:rPr>
              <w:t>.</w:t>
            </w:r>
          </w:p>
          <w:p w14:paraId="31D61C1A"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 případě podrozvahových kapitálových expozic se hodnotou expozice rozumí nominální hodnota po specifických úpravách o úvěrové riziko (článek 167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51064C6D"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C29E8D"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22494916"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PODROZVAHOVÉ POLOŽKY</w:t>
            </w:r>
          </w:p>
          <w:p w14:paraId="70859DDE" w14:textId="77777777" w:rsidR="007266CF" w:rsidRPr="002A677E" w:rsidRDefault="007266CF" w:rsidP="007266CF">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Viz pokyny k šabloně CR SA.</w:t>
            </w:r>
            <w:r>
              <w:rPr>
                <w:rStyle w:val="InstructionsTabelleberschrift"/>
                <w:rFonts w:ascii="Times New Roman" w:hAnsi="Times New Roman"/>
                <w:b w:val="0"/>
                <w:sz w:val="24"/>
              </w:rPr>
              <w:t xml:space="preserve"> </w:t>
            </w:r>
          </w:p>
        </w:tc>
      </w:tr>
      <w:tr w:rsidR="007266CF" w:rsidRPr="002A677E" w14:paraId="4307DFBF"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9AED852"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43ADC31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LGD (%)</w:t>
            </w:r>
          </w:p>
          <w:p w14:paraId="7C231D27"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vykazují expozicí vážené průměrné hodnoty LGD přiřazené stupňům nebo seskupením dlužníků, které jsou započítány do souhrnné hodnoty.</w:t>
            </w:r>
          </w:p>
          <w:p w14:paraId="6A225767"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Pro výpočet expozicí vážené průměrné hodnoty LGD se použije hodnota expozice se zohledněním osobního zajištění úvěrového rizika (sloupec 0060). </w:t>
            </w:r>
          </w:p>
          <w:p w14:paraId="427FFC89"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zohledňují ustanovení čl. 165 odst. 2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66FB89CB"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01F8345"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3FBC295"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 RIZIKOVĚ VÁŽENÝCH EXPOZIC</w:t>
            </w:r>
          </w:p>
          <w:p w14:paraId="1C64CA23"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vykazují objemy rizikově vážených expozic u akciových expozic vypočítané v souladu s článkem 155 </w:t>
            </w:r>
            <w:r>
              <w:rPr>
                <w:rFonts w:ascii="Times New Roman" w:hAnsi="Times New Roman"/>
                <w:sz w:val="24"/>
              </w:rPr>
              <w:t>nařízení (EU) č. 575/2013</w:t>
            </w:r>
            <w:r>
              <w:rPr>
                <w:rStyle w:val="InstructionsTabelleText"/>
                <w:rFonts w:ascii="Times New Roman" w:hAnsi="Times New Roman"/>
                <w:sz w:val="24"/>
              </w:rPr>
              <w:t>.</w:t>
            </w:r>
          </w:p>
          <w:p w14:paraId="61AB6BDE"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Pokud instituce používající metodu PD/LGD nemají dostatek informací, aby mohly použít definici selhání stanovenou v článku 178 </w:t>
            </w:r>
            <w:r>
              <w:rPr>
                <w:rFonts w:ascii="Times New Roman" w:hAnsi="Times New Roman"/>
                <w:sz w:val="24"/>
              </w:rPr>
              <w:t>nařízení (EU) č. 575/2013</w:t>
            </w:r>
            <w:r>
              <w:rPr>
                <w:rStyle w:val="InstructionsTabelleText"/>
                <w:rFonts w:ascii="Times New Roman" w:hAnsi="Times New Roman"/>
                <w:sz w:val="24"/>
              </w:rPr>
              <w:t xml:space="preserve">, rizikové váhy se při výpočtu objemů rizikově vážených expozic upraví o faktor navýšení 1,5 (čl. 155 odst. 3 </w:t>
            </w:r>
            <w:r>
              <w:rPr>
                <w:rFonts w:ascii="Times New Roman" w:hAnsi="Times New Roman"/>
                <w:sz w:val="24"/>
              </w:rPr>
              <w:t>nařízení (EU) č. 575/2013</w:t>
            </w:r>
            <w:r>
              <w:rPr>
                <w:rStyle w:val="InstructionsTabelleText"/>
                <w:rFonts w:ascii="Times New Roman" w:hAnsi="Times New Roman"/>
                <w:sz w:val="24"/>
              </w:rPr>
              <w:t xml:space="preserve">. </w:t>
            </w:r>
          </w:p>
          <w:p w14:paraId="0856049C"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Co se týče vstupního parametru M (splatnost) u funkce rizikové váhy, délka splatnosti přidělená akciovým expozicím činí pět let (čl. 165 odst. 3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210841D7" w14:textId="77777777" w:rsidTr="00726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AE228A1"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313D9A4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DOPLŇKOVÁ POLOŽKA: VÝŠE OČEKÁVANÉ ZTRÁTY</w:t>
            </w:r>
          </w:p>
          <w:p w14:paraId="235578CE"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Ve sloupci 0090 instituce vykazují výši očekávaných ztrát u akciových expozic vypočítanou v souladu s čl. 158 odst. 4, 7, 8 a 9 </w:t>
            </w:r>
            <w:r>
              <w:rPr>
                <w:rFonts w:ascii="Times New Roman" w:hAnsi="Times New Roman"/>
                <w:sz w:val="24"/>
              </w:rPr>
              <w:t>nařízení (EU) č. 575/2013</w:t>
            </w:r>
            <w:r>
              <w:rPr>
                <w:rStyle w:val="InstructionsTabelleText"/>
                <w:rFonts w:ascii="Times New Roman" w:hAnsi="Times New Roman"/>
                <w:sz w:val="24"/>
              </w:rPr>
              <w:t xml:space="preserve">. </w:t>
            </w:r>
          </w:p>
        </w:tc>
      </w:tr>
    </w:tbl>
    <w:p w14:paraId="54D2A820" w14:textId="77777777" w:rsidR="007266CF" w:rsidRPr="002A677E" w:rsidRDefault="007266CF" w:rsidP="007266CF">
      <w:pPr>
        <w:pStyle w:val="InstructionsText"/>
      </w:pPr>
    </w:p>
    <w:p w14:paraId="3088B75B" w14:textId="77777777" w:rsidR="007266CF" w:rsidRPr="002A677E" w:rsidRDefault="007266CF" w:rsidP="007266CF">
      <w:pPr>
        <w:pStyle w:val="InstructionsText2"/>
        <w:numPr>
          <w:ilvl w:val="0"/>
          <w:numId w:val="0"/>
        </w:numPr>
        <w:ind w:left="1353" w:hanging="360"/>
      </w:pPr>
      <w:fldSimple w:instr=" seq paragraphs ">
        <w:r>
          <w:t>98</w:t>
        </w:r>
      </w:fldSimple>
      <w:r>
        <w:t>.</w:t>
      </w:r>
      <w:r>
        <w:tab/>
        <w:t>[zrušeno]</w:t>
      </w:r>
    </w:p>
    <w:tbl>
      <w:tblPr>
        <w:tblW w:w="9524" w:type="dxa"/>
        <w:tblLook w:val="01E0" w:firstRow="1" w:lastRow="1" w:firstColumn="1" w:lastColumn="1" w:noHBand="0" w:noVBand="0"/>
      </w:tblPr>
      <w:tblGrid>
        <w:gridCol w:w="1608"/>
        <w:gridCol w:w="7916"/>
      </w:tblGrid>
      <w:tr w:rsidR="007266CF" w:rsidRPr="002A677E" w14:paraId="744D33DF" w14:textId="77777777" w:rsidTr="007266CF">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07EEEED6" w14:textId="77777777" w:rsidR="007266CF" w:rsidRPr="001235ED" w:rsidRDefault="007266CF" w:rsidP="007266CF">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Řádky</w:t>
            </w:r>
          </w:p>
        </w:tc>
      </w:tr>
      <w:tr w:rsidR="007266CF" w:rsidRPr="002A677E" w14:paraId="01434B05" w14:textId="77777777" w:rsidTr="007266CF">
        <w:tc>
          <w:tcPr>
            <w:tcW w:w="1608" w:type="dxa"/>
            <w:tcBorders>
              <w:top w:val="single" w:sz="4" w:space="0" w:color="auto"/>
              <w:left w:val="single" w:sz="4" w:space="0" w:color="auto"/>
              <w:bottom w:val="single" w:sz="4" w:space="0" w:color="auto"/>
              <w:right w:val="single" w:sz="4" w:space="0" w:color="auto"/>
            </w:tcBorders>
          </w:tcPr>
          <w:p w14:paraId="50CBF1B0"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řádek 0020</w:t>
            </w:r>
          </w:p>
          <w:p w14:paraId="3B03DA8F" w14:textId="77777777" w:rsidR="007266CF" w:rsidRPr="002A677E" w:rsidRDefault="007266CF" w:rsidP="007266CF">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DE46FD3" w14:textId="77777777" w:rsidR="007266CF" w:rsidRPr="002A677E" w:rsidRDefault="007266CF" w:rsidP="007266CF">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PD/LGD: CELKEM </w:t>
            </w:r>
          </w:p>
          <w:p w14:paraId="5FA2BD41" w14:textId="77777777" w:rsidR="007266CF" w:rsidRPr="002A677E" w:rsidRDefault="007266CF" w:rsidP="007266C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PD/LGD (čl. 155 odst. 3 </w:t>
            </w:r>
            <w:r>
              <w:rPr>
                <w:rFonts w:ascii="Times New Roman" w:hAnsi="Times New Roman"/>
                <w:sz w:val="24"/>
              </w:rPr>
              <w:t>nařízení (EU) č. 575/2013</w:t>
            </w:r>
            <w:r>
              <w:rPr>
                <w:rStyle w:val="InstructionsTabelleText"/>
                <w:rFonts w:ascii="Times New Roman" w:hAnsi="Times New Roman"/>
                <w:sz w:val="24"/>
              </w:rPr>
              <w:t>), vykazují požadovaný údaj v řádku 0020 šablony CR EQU IRB 1.</w:t>
            </w:r>
          </w:p>
        </w:tc>
      </w:tr>
      <w:tr w:rsidR="007266CF" w:rsidRPr="002A677E" w14:paraId="2E572862" w14:textId="77777777" w:rsidTr="007266CF">
        <w:tc>
          <w:tcPr>
            <w:tcW w:w="1608" w:type="dxa"/>
            <w:tcBorders>
              <w:top w:val="single" w:sz="4" w:space="0" w:color="auto"/>
              <w:left w:val="single" w:sz="4" w:space="0" w:color="auto"/>
              <w:bottom w:val="single" w:sz="4" w:space="0" w:color="auto"/>
              <w:right w:val="single" w:sz="4" w:space="0" w:color="auto"/>
            </w:tcBorders>
          </w:tcPr>
          <w:p w14:paraId="0DA1C195"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řádky 0050–0090</w:t>
            </w:r>
          </w:p>
        </w:tc>
        <w:tc>
          <w:tcPr>
            <w:tcW w:w="7916" w:type="dxa"/>
            <w:tcBorders>
              <w:top w:val="single" w:sz="4" w:space="0" w:color="auto"/>
              <w:left w:val="single" w:sz="4" w:space="0" w:color="auto"/>
              <w:bottom w:val="single" w:sz="4" w:space="0" w:color="auto"/>
              <w:right w:val="single" w:sz="4" w:space="0" w:color="auto"/>
            </w:tcBorders>
          </w:tcPr>
          <w:p w14:paraId="118C1E8A" w14:textId="77777777" w:rsidR="007266CF" w:rsidRPr="002A677E" w:rsidRDefault="007266CF" w:rsidP="007266CF">
            <w:pPr>
              <w:rPr>
                <w:rStyle w:val="InstructionsTabelleText"/>
                <w:rFonts w:ascii="Times New Roman" w:hAnsi="Times New Roman"/>
                <w:b/>
                <w:sz w:val="24"/>
                <w:u w:val="single"/>
              </w:rPr>
            </w:pPr>
            <w:r>
              <w:rPr>
                <w:rStyle w:val="InstructionsTabelleText"/>
                <w:rFonts w:ascii="Times New Roman" w:hAnsi="Times New Roman"/>
                <w:b/>
                <w:sz w:val="24"/>
                <w:u w:val="single"/>
              </w:rPr>
              <w:t>METODA ZJEDNODUŠENÉ RIZIKOVÉ VÁHY: CELKEM</w:t>
            </w:r>
          </w:p>
          <w:p w14:paraId="477C55F5" w14:textId="77777777" w:rsidR="007266CF" w:rsidRPr="002A677E" w:rsidRDefault="007266CF" w:rsidP="007266CF">
            <w:pPr>
              <w:rPr>
                <w:rStyle w:val="InstructionsTabelleText"/>
                <w:rFonts w:ascii="Times New Roman" w:hAnsi="Times New Roman"/>
                <w:b/>
                <w:sz w:val="24"/>
                <w:u w:val="single"/>
              </w:rPr>
            </w:pPr>
            <w:r>
              <w:rPr>
                <w:rStyle w:val="InstructionsTabelleText"/>
                <w:rFonts w:ascii="Times New Roman" w:hAnsi="Times New Roman"/>
                <w:b/>
                <w:sz w:val="24"/>
                <w:u w:val="single"/>
              </w:rPr>
              <w:t>ROZČLENĚNÍ CELKOVÝCH EXPOZIC V RÁMCI METODY ZJEDNODUŠENÉ RIZIKOVÉ VÁHY PODLE RIZIKOVÝCH VAH:</w:t>
            </w:r>
          </w:p>
          <w:p w14:paraId="07FA7495" w14:textId="77777777" w:rsidR="007266CF" w:rsidRPr="002A677E" w:rsidRDefault="007266CF" w:rsidP="007266C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zjednodušené rizikové váhy (čl. 155 odst. 2 </w:t>
            </w:r>
            <w:r>
              <w:rPr>
                <w:rFonts w:ascii="Times New Roman" w:hAnsi="Times New Roman"/>
                <w:sz w:val="24"/>
              </w:rPr>
              <w:t>nařízení (EU) č. 575/2013)</w:t>
            </w:r>
            <w:r>
              <w:rPr>
                <w:rStyle w:val="InstructionsTabelleText"/>
                <w:rFonts w:ascii="Times New Roman" w:hAnsi="Times New Roman"/>
                <w:sz w:val="24"/>
              </w:rPr>
              <w:t>, vykazují v řádcích 0050 až 0090 požadovaný údaj podle charakteristik podkladových expozic.</w:t>
            </w:r>
          </w:p>
        </w:tc>
      </w:tr>
      <w:tr w:rsidR="007266CF" w:rsidRPr="002A677E" w14:paraId="33E61860" w14:textId="77777777" w:rsidTr="007266CF">
        <w:tc>
          <w:tcPr>
            <w:tcW w:w="1608" w:type="dxa"/>
            <w:tcBorders>
              <w:top w:val="single" w:sz="4" w:space="0" w:color="auto"/>
              <w:left w:val="single" w:sz="4" w:space="0" w:color="auto"/>
              <w:bottom w:val="single" w:sz="4" w:space="0" w:color="auto"/>
              <w:right w:val="single" w:sz="4" w:space="0" w:color="auto"/>
            </w:tcBorders>
          </w:tcPr>
          <w:p w14:paraId="60B5108A"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řádek 0100</w:t>
            </w:r>
          </w:p>
        </w:tc>
        <w:tc>
          <w:tcPr>
            <w:tcW w:w="7916" w:type="dxa"/>
            <w:tcBorders>
              <w:top w:val="single" w:sz="4" w:space="0" w:color="auto"/>
              <w:left w:val="single" w:sz="4" w:space="0" w:color="auto"/>
              <w:bottom w:val="single" w:sz="4" w:space="0" w:color="auto"/>
              <w:right w:val="single" w:sz="4" w:space="0" w:color="auto"/>
            </w:tcBorders>
          </w:tcPr>
          <w:p w14:paraId="1D486F4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PŘÍSTUP ZALOŽENÝ NA INTERNÍCH MODELECH</w:t>
            </w:r>
          </w:p>
          <w:p w14:paraId="7EE1B4E8" w14:textId="77777777" w:rsidR="007266CF" w:rsidRPr="002A677E" w:rsidRDefault="007266CF" w:rsidP="007266C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Instituce, které používají přístup založený na interních modelech (čl. 155 odst. 4 </w:t>
            </w:r>
            <w:r>
              <w:t>nařízení (EU) č. 575/2013</w:t>
            </w:r>
            <w:r>
              <w:rPr>
                <w:rStyle w:val="FormatvorlageInstructionsTabelleText"/>
                <w:rFonts w:ascii="Times New Roman" w:hAnsi="Times New Roman"/>
                <w:sz w:val="24"/>
              </w:rPr>
              <w:t>), vykazují požadovaný údaj v řádku 0100.</w:t>
            </w:r>
          </w:p>
        </w:tc>
      </w:tr>
      <w:tr w:rsidR="007266CF" w:rsidRPr="002A677E" w14:paraId="38305B39" w14:textId="77777777" w:rsidTr="007266CF">
        <w:tc>
          <w:tcPr>
            <w:tcW w:w="1608" w:type="dxa"/>
            <w:tcBorders>
              <w:top w:val="single" w:sz="4" w:space="0" w:color="auto"/>
              <w:left w:val="single" w:sz="4" w:space="0" w:color="auto"/>
              <w:bottom w:val="single" w:sz="4" w:space="0" w:color="auto"/>
              <w:right w:val="single" w:sz="4" w:space="0" w:color="auto"/>
            </w:tcBorders>
          </w:tcPr>
          <w:p w14:paraId="1D41EA87" w14:textId="77777777" w:rsidR="007266CF" w:rsidRPr="002A677E" w:rsidRDefault="007266CF" w:rsidP="007266CF">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řádek 0110</w:t>
            </w:r>
          </w:p>
        </w:tc>
        <w:tc>
          <w:tcPr>
            <w:tcW w:w="7916" w:type="dxa"/>
            <w:tcBorders>
              <w:top w:val="single" w:sz="4" w:space="0" w:color="auto"/>
              <w:left w:val="single" w:sz="4" w:space="0" w:color="auto"/>
              <w:bottom w:val="single" w:sz="4" w:space="0" w:color="auto"/>
              <w:right w:val="single" w:sz="4" w:space="0" w:color="auto"/>
            </w:tcBorders>
          </w:tcPr>
          <w:p w14:paraId="04CEF3B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AKCIOVÉ EXPOZICE PODLÉHAJÍCÍ RIZIKOVÝM VAHÁM</w:t>
            </w:r>
          </w:p>
          <w:p w14:paraId="12698A6E" w14:textId="77777777" w:rsidR="007266CF" w:rsidRPr="002A677E" w:rsidRDefault="007266CF" w:rsidP="007266CF">
            <w:pPr>
              <w:rPr>
                <w:rFonts w:ascii="Times New Roman" w:hAnsi="Times New Roman"/>
                <w:sz w:val="24"/>
              </w:rPr>
            </w:pPr>
            <w:r>
              <w:rPr>
                <w:rFonts w:ascii="Times New Roman" w:hAnsi="Times New Roman"/>
                <w:sz w:val="24"/>
              </w:rPr>
              <w:t>Instituce, které používají přístup IRB, vykazují objemy rizikově vážených expozic u akciových expozic s fixní rizikovou vahou (aniž by se s nimi ovšem zacházelo výlučně v souladu s metodou zjednodušené rizikové váhy nebo na základě (dočasného či trvalého) částečného použití standardizovaného přístupu, včetně těchto expozic:</w:t>
            </w:r>
          </w:p>
          <w:p w14:paraId="75F05F98" w14:textId="77777777" w:rsidR="007266CF" w:rsidRPr="002A677E" w:rsidRDefault="007266CF" w:rsidP="007266CF">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objem rizikově vážených expozic u kapitálových pozic v subjektech finančního sektoru, s nimiž se zachází v souladu s čl. 48 odst. 4 </w:t>
            </w:r>
            <w:r>
              <w:rPr>
                <w:rFonts w:ascii="Times New Roman" w:hAnsi="Times New Roman"/>
                <w:sz w:val="24"/>
              </w:rPr>
              <w:t xml:space="preserve">nařízení (EU) č. 575/2013, </w:t>
            </w:r>
            <w:r>
              <w:rPr>
                <w:rStyle w:val="FormatvorlageInstructionsTabelleText"/>
                <w:rFonts w:ascii="Times New Roman" w:hAnsi="Times New Roman"/>
                <w:sz w:val="24"/>
              </w:rPr>
              <w:t>a také</w:t>
            </w:r>
          </w:p>
          <w:p w14:paraId="21904EEB" w14:textId="77777777" w:rsidR="007266CF" w:rsidRPr="002A677E" w:rsidRDefault="007266CF" w:rsidP="007266CF">
            <w:pPr>
              <w:rPr>
                <w:rStyle w:val="FormatvorlageInstructionsTabelleText"/>
                <w:rFonts w:ascii="Times New Roman" w:hAnsi="Times New Roman"/>
                <w:sz w:val="24"/>
              </w:rPr>
            </w:pPr>
            <w:r>
              <w:rPr>
                <w:rStyle w:val="FormatvorlageInstructionsTabelleText"/>
                <w:rFonts w:ascii="Times New Roman" w:hAnsi="Times New Roman"/>
                <w:sz w:val="24"/>
              </w:rPr>
              <w:t>– kapitálové pozice s rizikovou vahou 370</w:t>
            </w:r>
            <w:r>
              <w:t> </w:t>
            </w:r>
            <w:r>
              <w:rPr>
                <w:rStyle w:val="FormatvorlageInstructionsTabelleText"/>
                <w:rFonts w:ascii="Times New Roman" w:hAnsi="Times New Roman"/>
                <w:sz w:val="24"/>
              </w:rPr>
              <w:t xml:space="preserve">% v souladu s čl. 471 odst. 2 </w:t>
            </w:r>
            <w:r>
              <w:rPr>
                <w:rFonts w:ascii="Times New Roman" w:hAnsi="Times New Roman"/>
                <w:sz w:val="24"/>
              </w:rPr>
              <w:t xml:space="preserve">nařízení (EU) č. 575/2013 </w:t>
            </w:r>
            <w:r>
              <w:rPr>
                <w:rStyle w:val="FormatvorlageInstructionsTabelleText"/>
                <w:rFonts w:ascii="Times New Roman" w:hAnsi="Times New Roman"/>
                <w:sz w:val="24"/>
              </w:rPr>
              <w:t>se vykazují v řádku 0110.</w:t>
            </w:r>
          </w:p>
        </w:tc>
      </w:tr>
      <w:tr w:rsidR="007266CF" w:rsidRPr="002A677E" w14:paraId="6698B0BE" w14:textId="77777777" w:rsidTr="007266CF">
        <w:tc>
          <w:tcPr>
            <w:tcW w:w="1608" w:type="dxa"/>
            <w:tcBorders>
              <w:top w:val="single" w:sz="4" w:space="0" w:color="auto"/>
              <w:left w:val="single" w:sz="4" w:space="0" w:color="auto"/>
              <w:bottom w:val="single" w:sz="4" w:space="0" w:color="auto"/>
              <w:right w:val="single" w:sz="4" w:space="0" w:color="auto"/>
            </w:tcBorders>
          </w:tcPr>
          <w:p w14:paraId="322868FB" w14:textId="77777777" w:rsidR="007266CF" w:rsidRPr="002A677E" w:rsidRDefault="007266CF" w:rsidP="007266C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řádek 0120</w:t>
            </w:r>
          </w:p>
        </w:tc>
        <w:tc>
          <w:tcPr>
            <w:tcW w:w="7916" w:type="dxa"/>
            <w:tcBorders>
              <w:top w:val="single" w:sz="4" w:space="0" w:color="auto"/>
              <w:left w:val="single" w:sz="4" w:space="0" w:color="auto"/>
              <w:bottom w:val="single" w:sz="4" w:space="0" w:color="auto"/>
              <w:right w:val="single" w:sz="4" w:space="0" w:color="auto"/>
            </w:tcBorders>
          </w:tcPr>
          <w:p w14:paraId="535045C4" w14:textId="77777777" w:rsidR="007266CF" w:rsidRPr="001235ED" w:rsidRDefault="007266CF" w:rsidP="007266CF">
            <w:pPr>
              <w:rPr>
                <w:rStyle w:val="FormatvorlageInstructionsTabelleText"/>
                <w:rFonts w:ascii="Times New Roman" w:hAnsi="Times New Roman"/>
                <w:b/>
                <w:bCs w:val="0"/>
                <w:sz w:val="24"/>
              </w:rPr>
            </w:pPr>
            <w:r>
              <w:rPr>
                <w:rStyle w:val="FormatvorlageInstructionsTabelleText"/>
                <w:rFonts w:ascii="Times New Roman" w:hAnsi="Times New Roman"/>
                <w:b/>
                <w:sz w:val="24"/>
              </w:rPr>
              <w:t xml:space="preserve">EXPOZICE VŮČI SUBJEKTŮM KOLEKTIVNÍHO INVESTOVÁNÍ, </w:t>
            </w:r>
            <w:r>
              <w:rPr>
                <w:rStyle w:val="FormatvorlageInstructionsTabelleText"/>
                <w:b/>
              </w:rPr>
              <w:t>NA NĚŽ SE VZTAHUJE ZÁLOŽNÍ PŘÍSTUP</w:t>
            </w:r>
          </w:p>
          <w:p w14:paraId="49914F36" w14:textId="77777777" w:rsidR="007266CF" w:rsidRPr="002A677E" w:rsidRDefault="007266CF" w:rsidP="007266CF">
            <w:pPr>
              <w:rPr>
                <w:rStyle w:val="InstructionsTabelleberschrift"/>
                <w:rFonts w:ascii="Times New Roman" w:hAnsi="Times New Roman"/>
                <w:sz w:val="24"/>
              </w:rPr>
            </w:pPr>
            <w:r>
              <w:rPr>
                <w:rStyle w:val="FormatvorlageInstructionsTabelleText"/>
                <w:rFonts w:ascii="Times New Roman" w:hAnsi="Times New Roman"/>
                <w:sz w:val="24"/>
              </w:rPr>
              <w:t>V tomto řádku se vykazují rovněž expozice ve formě podílových jednotek nebo akcií v subjektech kolektivního investování, s nimiž se zachází v souladu se záložním postupem podle čl. 152 odst. 6 nařízení (EU) č. 575/2013.</w:t>
            </w:r>
          </w:p>
        </w:tc>
      </w:tr>
      <w:tr w:rsidR="007266CF" w:rsidRPr="002A677E" w14:paraId="3C6E4101" w14:textId="77777777" w:rsidTr="007266CF">
        <w:tc>
          <w:tcPr>
            <w:tcW w:w="1608" w:type="dxa"/>
            <w:tcBorders>
              <w:top w:val="single" w:sz="4" w:space="0" w:color="auto"/>
              <w:left w:val="single" w:sz="4" w:space="0" w:color="auto"/>
              <w:bottom w:val="single" w:sz="4" w:space="0" w:color="auto"/>
              <w:right w:val="single" w:sz="4" w:space="0" w:color="auto"/>
            </w:tcBorders>
          </w:tcPr>
          <w:p w14:paraId="0AC158F8"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CR EQU IRB 2</w:t>
            </w:r>
          </w:p>
          <w:p w14:paraId="367EE3CF" w14:textId="77777777" w:rsidR="007266CF" w:rsidRPr="002A677E" w:rsidRDefault="007266CF" w:rsidP="007266CF">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CF63B24" w14:textId="77777777" w:rsidR="007266CF" w:rsidRPr="002A677E" w:rsidRDefault="007266CF" w:rsidP="007266CF">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ROZČLENĚNÍ CELKOVÝCH EXPOZIC V RÁMCI METODY PD/LGD PODLE STUPŇŮ DLUŽNÍKA:</w:t>
            </w:r>
          </w:p>
          <w:p w14:paraId="4D479DBB" w14:textId="77777777" w:rsidR="007266CF" w:rsidRPr="002A677E" w:rsidRDefault="007266CF" w:rsidP="007266C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PD/LGD (čl. 155 odst. 3 </w:t>
            </w:r>
            <w:r>
              <w:rPr>
                <w:rFonts w:ascii="Times New Roman" w:hAnsi="Times New Roman"/>
                <w:sz w:val="24"/>
              </w:rPr>
              <w:t>nařízení (EU) č. 575/2013</w:t>
            </w:r>
            <w:r>
              <w:rPr>
                <w:rStyle w:val="InstructionsTabelleText"/>
                <w:rFonts w:ascii="Times New Roman" w:hAnsi="Times New Roman"/>
                <w:sz w:val="24"/>
              </w:rPr>
              <w:t>), vykazují požadovaný údaj v šabloně CR EQU IRB 2.</w:t>
            </w:r>
          </w:p>
          <w:p w14:paraId="4F7AFDFA" w14:textId="77777777" w:rsidR="007266CF" w:rsidRPr="002A677E" w:rsidRDefault="007266CF" w:rsidP="007266CF">
            <w:pPr>
              <w:rPr>
                <w:rStyle w:val="InstructionsTabelleberschrift"/>
                <w:rFonts w:ascii="Times New Roman" w:hAnsi="Times New Roman"/>
                <w:b w:val="0"/>
                <w:bCs w:val="0"/>
                <w:sz w:val="24"/>
                <w:u w:val="none"/>
              </w:rPr>
            </w:pPr>
            <w:r>
              <w:rPr>
                <w:rStyle w:val="InstructionsTabelleText"/>
                <w:rFonts w:ascii="Times New Roman" w:hAnsi="Times New Roman"/>
                <w:sz w:val="24"/>
              </w:rPr>
              <w:t>Instituce používající metodu PD/LGD, které uplatňují jedinečnou ratingovou stupnici nebo které mají možnost provádět vykazování na základě interní rámcové stupnice, vykazují v šabloně CR EQU IRB 2 ratingové stupně nebo seskupení přiřazené k této jedinečné ratingové stupnici či rámcové stupnici. V ostatních případech se provede sloučení a seřazení různých ratingových stupnic podle následujících kritérií: stupně nebo seskupení dlužníků různých ratingových stupnic se seskupí a seřadí od nižší PD přiřazené každému stupni nebo seskupení dlužníků po vyšší.</w:t>
            </w:r>
          </w:p>
        </w:tc>
      </w:tr>
    </w:tbl>
    <w:p w14:paraId="6CC08D64" w14:textId="77777777" w:rsidR="007266CF" w:rsidRPr="002A677E" w:rsidRDefault="007266CF" w:rsidP="007266CF">
      <w:pPr>
        <w:spacing w:before="0" w:after="0"/>
        <w:jc w:val="left"/>
        <w:rPr>
          <w:rStyle w:val="InstructionsTabelleText"/>
          <w:rFonts w:ascii="Times New Roman" w:hAnsi="Times New Roman"/>
          <w:sz w:val="24"/>
        </w:rPr>
      </w:pPr>
    </w:p>
    <w:p w14:paraId="31FD20DA" w14:textId="77777777" w:rsidR="007266CF" w:rsidRPr="002A677E" w:rsidRDefault="007266CF" w:rsidP="00A75C39">
      <w:pPr>
        <w:pStyle w:val="Instructionsberschrift2"/>
        <w:numPr>
          <w:ilvl w:val="1"/>
          <w:numId w:val="87"/>
        </w:numPr>
        <w:rPr>
          <w:rFonts w:ascii="Times New Roman" w:hAnsi="Times New Roman" w:cs="Times New Roman"/>
          <w:sz w:val="24"/>
        </w:rPr>
      </w:pPr>
      <w:bookmarkStart w:id="170" w:name="_Toc116026778"/>
      <w:bookmarkStart w:id="171" w:name="_Toc119077935"/>
      <w:r>
        <w:rPr>
          <w:rFonts w:ascii="Times New Roman" w:hAnsi="Times New Roman"/>
          <w:sz w:val="24"/>
        </w:rPr>
        <w:t>C 11.00 – Vypořádací riziko / riziko dodání</w:t>
      </w:r>
      <w:r>
        <w:t xml:space="preserve"> </w:t>
      </w:r>
      <w:r>
        <w:rPr>
          <w:rFonts w:ascii="Times New Roman" w:hAnsi="Times New Roman"/>
          <w:sz w:val="24"/>
        </w:rPr>
        <w:t>(CR SETT)</w:t>
      </w:r>
      <w:bookmarkEnd w:id="170"/>
      <w:bookmarkEnd w:id="171"/>
    </w:p>
    <w:p w14:paraId="56E217D9" w14:textId="77777777" w:rsidR="007266CF" w:rsidRPr="002A677E" w:rsidRDefault="007266CF" w:rsidP="00A75C39">
      <w:pPr>
        <w:pStyle w:val="Instructionsberschrift2"/>
        <w:numPr>
          <w:ilvl w:val="2"/>
          <w:numId w:val="88"/>
        </w:numPr>
        <w:rPr>
          <w:rFonts w:ascii="Times New Roman" w:hAnsi="Times New Roman" w:cs="Times New Roman"/>
          <w:sz w:val="24"/>
        </w:rPr>
      </w:pPr>
      <w:bookmarkStart w:id="172" w:name="_Toc116026779"/>
      <w:bookmarkStart w:id="173" w:name="_Toc119077936"/>
      <w:r>
        <w:rPr>
          <w:rFonts w:ascii="Times New Roman" w:hAnsi="Times New Roman"/>
          <w:sz w:val="24"/>
        </w:rPr>
        <w:t>Obecné poznámky</w:t>
      </w:r>
      <w:bookmarkEnd w:id="172"/>
      <w:bookmarkEnd w:id="173"/>
    </w:p>
    <w:p w14:paraId="3AB9B2B4" w14:textId="77777777" w:rsidR="007266CF" w:rsidRPr="002A677E" w:rsidRDefault="007266CF" w:rsidP="007266CF">
      <w:pPr>
        <w:pStyle w:val="InstructionsText2"/>
        <w:numPr>
          <w:ilvl w:val="0"/>
          <w:numId w:val="0"/>
        </w:numPr>
        <w:ind w:left="1353" w:hanging="360"/>
      </w:pPr>
      <w:fldSimple w:instr=" seq paragraphs ">
        <w:r>
          <w:t>99</w:t>
        </w:r>
      </w:fldSimple>
      <w:r>
        <w:t>.</w:t>
      </w:r>
      <w:r>
        <w:tab/>
        <w:t xml:space="preserve">V této šabloně se uvádí informace o transakcích v obchodním i investičním portfoliu, které nejsou vypořádány po řádném datu dodání, a dále s nimi související kapitálové požadavky k vypořádacímu riziku podle čl. 92 odst. 3 písm. c) bodu ii) a článku 378 nařízení (EU) č. 575/2013. </w:t>
      </w:r>
    </w:p>
    <w:p w14:paraId="01097930" w14:textId="77777777" w:rsidR="007266CF" w:rsidRPr="002A677E" w:rsidRDefault="007266CF" w:rsidP="007266CF">
      <w:pPr>
        <w:pStyle w:val="InstructionsText2"/>
        <w:numPr>
          <w:ilvl w:val="0"/>
          <w:numId w:val="0"/>
        </w:numPr>
        <w:ind w:left="1353" w:hanging="360"/>
      </w:pPr>
      <w:fldSimple w:instr=" seq paragraphs ">
        <w:r>
          <w:t>100</w:t>
        </w:r>
      </w:fldSimple>
      <w:r>
        <w:t>.</w:t>
      </w:r>
      <w:r>
        <w:tab/>
        <w:t xml:space="preserve">V šabloně CR SETT instituce vykazují informace o vypořádacím riziku / riziku dodání v souvislosti s dluhovými nástroji, akciemi, cizími měnami a komoditami, které jsou drženy v jejich obchodním nebo investičním portfoliu. </w:t>
      </w:r>
    </w:p>
    <w:p w14:paraId="637AD916" w14:textId="77777777" w:rsidR="007266CF" w:rsidRPr="002A677E" w:rsidRDefault="007266CF" w:rsidP="007266CF">
      <w:pPr>
        <w:pStyle w:val="InstructionsText2"/>
        <w:numPr>
          <w:ilvl w:val="0"/>
          <w:numId w:val="0"/>
        </w:numPr>
        <w:ind w:left="1353" w:hanging="360"/>
      </w:pPr>
      <w:fldSimple w:instr=" seq paragraphs ">
        <w:r>
          <w:t>101</w:t>
        </w:r>
      </w:fldSimple>
      <w:r>
        <w:t>.</w:t>
      </w:r>
      <w:r>
        <w:tab/>
        <w:t>Podle článku 378 nařízení (EU) č. 575/2013 kapitálovým požadavkům k vypořádacímu riziku / riziku dodání nepodléhají repo obchody, půjčky či výpůjčky cenných papírů nebo komodit v souvislosti s dluhovými nástroji, akciemi, cizími měnami a komoditami. Je však nutné mít na zřeteli, že deriváty a transakce s delší dobou vypořádání, které nejsou vypořádány po řádném datu dodání, přesto podléhají kapitálovým požadavkům k vypořádacímu riziku / riziku dodání, jak je stanoveno v článku 378 nařízení (EU) č. 575/2013.</w:t>
      </w:r>
    </w:p>
    <w:p w14:paraId="7AE7191A" w14:textId="77777777" w:rsidR="007266CF" w:rsidRPr="002A677E" w:rsidRDefault="007266CF" w:rsidP="007266CF">
      <w:pPr>
        <w:pStyle w:val="InstructionsText2"/>
        <w:numPr>
          <w:ilvl w:val="0"/>
          <w:numId w:val="0"/>
        </w:numPr>
        <w:ind w:left="1353" w:hanging="360"/>
      </w:pPr>
      <w:fldSimple w:instr=" seq paragraphs ">
        <w:r>
          <w:t>102</w:t>
        </w:r>
      </w:fldSimple>
      <w:r>
        <w:t>.</w:t>
      </w:r>
      <w:r>
        <w:tab/>
        <w:t xml:space="preserve">V případě transakcí nevypořádaných po řádném datu dodání instituce vypočítají cenový rozdíl, jemuž jsou vystaveny. Jedná se o rozdíl mezi dohodnutou vypořádací cenou za dotyčný dluhový nástroj, akcii, cizí měnu nebo komoditu a jejich aktuální tržní hodnotou, pokud by tento rozdíl mohl pro instituci znamenat ztrátu. </w:t>
      </w:r>
    </w:p>
    <w:p w14:paraId="0EBAE645" w14:textId="77777777" w:rsidR="007266CF" w:rsidRPr="002A677E" w:rsidRDefault="007266CF" w:rsidP="007266CF">
      <w:pPr>
        <w:pStyle w:val="InstructionsText2"/>
        <w:numPr>
          <w:ilvl w:val="0"/>
          <w:numId w:val="0"/>
        </w:numPr>
        <w:ind w:left="1353" w:hanging="360"/>
      </w:pPr>
      <w:fldSimple w:instr=" seq paragraphs ">
        <w:r>
          <w:t>103</w:t>
        </w:r>
      </w:fldSimple>
      <w:r>
        <w:t>.</w:t>
      </w:r>
      <w:r>
        <w:tab/>
        <w:t>Pro určení odpovídajících kapitálových požadavků instituce tento rozdíl vynásobí příslušným faktorem podle tabulky 1 v článku 378 nařízení (EU) č. 575/2013.</w:t>
      </w:r>
    </w:p>
    <w:p w14:paraId="3320A73B" w14:textId="77777777" w:rsidR="007266CF" w:rsidRPr="002A677E" w:rsidRDefault="007266CF" w:rsidP="007266CF">
      <w:pPr>
        <w:pStyle w:val="InstructionsText2"/>
        <w:numPr>
          <w:ilvl w:val="0"/>
          <w:numId w:val="0"/>
        </w:numPr>
        <w:ind w:left="1353" w:hanging="360"/>
      </w:pPr>
      <w:fldSimple w:instr=" seq paragraphs ">
        <w:r>
          <w:t>104</w:t>
        </w:r>
      </w:fldSimple>
      <w:r>
        <w:t>.</w:t>
      </w:r>
      <w:r>
        <w:tab/>
        <w:t>Pro výpočet objemu rizikové expozice se kapitálové požadavky k vypořádacímu riziku / riziku dodání násobí faktorem 12,5, a to v souladu s čl. 92 odst. 4 písm. b) nařízení (EU) č. 575/2013.</w:t>
      </w:r>
    </w:p>
    <w:p w14:paraId="06BC44D3" w14:textId="77777777" w:rsidR="007266CF" w:rsidRPr="002A677E" w:rsidRDefault="007266CF" w:rsidP="007266CF">
      <w:pPr>
        <w:pStyle w:val="InstructionsText2"/>
        <w:numPr>
          <w:ilvl w:val="0"/>
          <w:numId w:val="0"/>
        </w:numPr>
        <w:ind w:left="1353" w:hanging="360"/>
      </w:pPr>
      <w:fldSimple w:instr=" seq paragraphs ">
        <w:r>
          <w:t>105</w:t>
        </w:r>
      </w:fldSimple>
      <w:r>
        <w:t>.</w:t>
      </w:r>
      <w:r>
        <w:tab/>
        <w:t>Je nutné vzít na vědomí, že kapitálové požadavky k volným dodávkám stanoveným v článku 379 nařízení (EU) č. 575/2013 nepatří do působnosti šablony CR SETT. Tyto kapitálové požadavky se vykazují v šablonách zaměřených na úvěrové riziko (CR SA, CR IRB).</w:t>
      </w:r>
    </w:p>
    <w:p w14:paraId="7FA90394" w14:textId="77777777" w:rsidR="007266CF" w:rsidRPr="002A677E" w:rsidRDefault="007266CF" w:rsidP="00A75C39">
      <w:pPr>
        <w:pStyle w:val="Instructionsberschrift2"/>
        <w:numPr>
          <w:ilvl w:val="2"/>
          <w:numId w:val="89"/>
        </w:numPr>
        <w:rPr>
          <w:rFonts w:ascii="Times New Roman" w:hAnsi="Times New Roman" w:cs="Times New Roman"/>
          <w:sz w:val="24"/>
        </w:rPr>
      </w:pPr>
      <w:bookmarkStart w:id="174" w:name="_Toc116026780"/>
      <w:bookmarkStart w:id="175" w:name="_Toc119077937"/>
      <w:r>
        <w:rPr>
          <w:rFonts w:ascii="Times New Roman" w:hAnsi="Times New Roman"/>
          <w:sz w:val="24"/>
        </w:rPr>
        <w:t>Pokyny pro konkrétní pozice</w:t>
      </w:r>
      <w:bookmarkEnd w:id="174"/>
      <w:bookmarkEnd w:id="1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266CF" w:rsidRPr="002A677E" w14:paraId="6D55A980" w14:textId="77777777" w:rsidTr="007266CF">
        <w:tc>
          <w:tcPr>
            <w:tcW w:w="8856" w:type="dxa"/>
            <w:gridSpan w:val="2"/>
            <w:shd w:val="clear" w:color="auto" w:fill="CCCCCC"/>
          </w:tcPr>
          <w:p w14:paraId="11FB360F"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Sloupce</w:t>
            </w:r>
          </w:p>
        </w:tc>
      </w:tr>
      <w:tr w:rsidR="007266CF" w:rsidRPr="002A677E" w14:paraId="63B58622" w14:textId="77777777" w:rsidTr="007266CF">
        <w:tc>
          <w:tcPr>
            <w:tcW w:w="852" w:type="dxa"/>
          </w:tcPr>
          <w:p w14:paraId="0A547B5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60CFC3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NEVYPOŘÁDANÉ TRANSAKCE VYJÁDŘENÉ VYPOŘÁDACÍ CENOU</w:t>
            </w:r>
          </w:p>
          <w:p w14:paraId="1B35BA7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Instituce vykazují nevypořádané transakce po jejich řádném dni vypořádání vyjádřené příslušnými dohodnutými vypořádacími cenami, jak je uvedeno v článku 378 nařízení (EU) č. 575/2013. </w:t>
            </w:r>
          </w:p>
          <w:p w14:paraId="773FBFF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V tomto sloupci se uvádějí všechny nevypořádané transakce bez ohledu na to, zda z nich po řádném dni vypořádání vyplývá zisk, nebo ztráta.</w:t>
            </w:r>
          </w:p>
        </w:tc>
      </w:tr>
      <w:tr w:rsidR="007266CF" w:rsidRPr="002A677E" w14:paraId="4F8888A7" w14:textId="77777777" w:rsidTr="007266CF">
        <w:tc>
          <w:tcPr>
            <w:tcW w:w="852" w:type="dxa"/>
          </w:tcPr>
          <w:p w14:paraId="45E7A0C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62104870"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EXPOZICE Z CENOVÉHO ROZDÍLU V DŮSLEDKU NEVYPOŘÁDANÝCH TRANSAKCÍ</w:t>
            </w:r>
          </w:p>
          <w:p w14:paraId="25B7CF7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Instituce zde vykazují cenový rozdíl mezi dohodnutou vypořádací cenou za dotyčný dluhový nástroj, akcii, cizí měnu nebo komoditu a jejich aktuální tržní hodnotou, pokud by rozdíl představoval pro instituci ztrátu, jak je uvedeno v článku 378 nařízení (EU) č. 575/2013. </w:t>
            </w:r>
          </w:p>
          <w:p w14:paraId="179F262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 tomto sloupci se vykazují pouze nevypořádané transakce se ztrátou po řádném dni vypořádání.</w:t>
            </w:r>
          </w:p>
        </w:tc>
      </w:tr>
      <w:tr w:rsidR="007266CF" w:rsidRPr="002A677E" w14:paraId="36D009A0" w14:textId="77777777" w:rsidTr="007266CF">
        <w:tc>
          <w:tcPr>
            <w:tcW w:w="852" w:type="dxa"/>
          </w:tcPr>
          <w:p w14:paraId="43EF559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FB47E44"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POŽADAVKY NA KAPITÁL</w:t>
            </w:r>
          </w:p>
          <w:p w14:paraId="5A5CD7C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Instituce vykazují kapitálové požadavky vypočítané v souladu s článkem 378 nařízení (EU) č. 575/2013.</w:t>
            </w:r>
          </w:p>
        </w:tc>
      </w:tr>
      <w:tr w:rsidR="007266CF" w:rsidRPr="002A677E" w14:paraId="26A8739D" w14:textId="77777777" w:rsidTr="007266CF">
        <w:tc>
          <w:tcPr>
            <w:tcW w:w="852" w:type="dxa"/>
          </w:tcPr>
          <w:p w14:paraId="660E086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36549F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CELKOVÝ OBJEM RIZIKOVÉ EXPOZICE U RIZIKA VYPOŘÁDÁNÍ</w:t>
            </w:r>
          </w:p>
          <w:p w14:paraId="1FD417F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 souladu s čl. 92 odst. 4 písm. b) nařízení (EU) č. 575/2013 instituce vynásobí své kapitálové požadavky vykázané ve sloupci 0030 faktorem 12,5 a tak získají objem rizikové expozice u vypořádacího rizika.</w:t>
            </w:r>
          </w:p>
        </w:tc>
      </w:tr>
    </w:tbl>
    <w:p w14:paraId="276824CE" w14:textId="77777777" w:rsidR="007266CF" w:rsidRPr="002A677E" w:rsidRDefault="007266CF" w:rsidP="007266CF">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7266CF" w:rsidRPr="002A677E" w14:paraId="22E5463C" w14:textId="77777777" w:rsidTr="007266CF">
        <w:tc>
          <w:tcPr>
            <w:tcW w:w="8862" w:type="dxa"/>
            <w:gridSpan w:val="2"/>
            <w:shd w:val="clear" w:color="auto" w:fill="CCCCCC"/>
          </w:tcPr>
          <w:p w14:paraId="6158B359"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Řádky</w:t>
            </w:r>
          </w:p>
        </w:tc>
      </w:tr>
      <w:tr w:rsidR="007266CF" w:rsidRPr="006223CC" w14:paraId="04130D90" w14:textId="77777777" w:rsidTr="007266CF">
        <w:tc>
          <w:tcPr>
            <w:tcW w:w="852" w:type="dxa"/>
          </w:tcPr>
          <w:p w14:paraId="50C42AA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10A57E72" w14:textId="77777777" w:rsidR="007266CF" w:rsidRPr="006223CC" w:rsidRDefault="007266CF" w:rsidP="007266CF">
            <w:pPr>
              <w:spacing w:beforeLines="60" w:before="144" w:afterLines="60" w:after="144"/>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Celkové nevypořádané transakce v investičním portfoliu</w:t>
            </w:r>
          </w:p>
          <w:p w14:paraId="37F0A837"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Instituce zde vykazují souhrnné informace týkající se vypořádacího rizika / rizika dodání u pozic v investičním portfoliu (jak je uvedeno v čl. 92 odst. 3 písm. c) bodu ii) a článku 378 nařízení (EU) č. 575/2013).</w:t>
            </w:r>
          </w:p>
          <w:p w14:paraId="267226CA" w14:textId="77777777" w:rsidR="007266CF" w:rsidRPr="006223CC" w:rsidRDefault="007266CF" w:rsidP="007266CF">
            <w:pPr>
              <w:spacing w:beforeLines="60" w:before="144"/>
              <w:rPr>
                <w:rFonts w:ascii="Times New Roman" w:hAnsi="Times New Roman"/>
                <w:sz w:val="24"/>
                <w:lang w:val="fr-FR"/>
              </w:rPr>
            </w:pPr>
            <w:r w:rsidRPr="006223CC">
              <w:rPr>
                <w:rFonts w:ascii="Times New Roman" w:hAnsi="Times New Roman"/>
                <w:sz w:val="24"/>
                <w:lang w:val="fr-FR"/>
              </w:rPr>
              <w:t>V {r0010;c0010} instituce vykazují souhrnnou částku nevypořádaných transakcí po řádných datech dodání vyjádřenou odpovídajícími dohodnutými vypořádacími cenami.</w:t>
            </w:r>
          </w:p>
          <w:p w14:paraId="0446E0F0" w14:textId="77777777" w:rsidR="007266CF" w:rsidRPr="006223CC" w:rsidRDefault="007266CF" w:rsidP="007266CF">
            <w:pPr>
              <w:spacing w:beforeLines="60" w:before="144"/>
              <w:rPr>
                <w:rFonts w:ascii="Times New Roman" w:hAnsi="Times New Roman"/>
                <w:sz w:val="24"/>
                <w:lang w:val="fr-FR"/>
              </w:rPr>
            </w:pPr>
            <w:r w:rsidRPr="006223CC">
              <w:rPr>
                <w:rFonts w:ascii="Times New Roman" w:hAnsi="Times New Roman"/>
                <w:sz w:val="24"/>
                <w:lang w:val="fr-FR"/>
              </w:rPr>
              <w:t>V {r0010;c0020} instituce vykazují souhrnný údaj týkající se expozice vůči cenovému rozdílu v důsledku nevypořádaných transakcí vedoucích ke ztrátě.</w:t>
            </w:r>
          </w:p>
          <w:p w14:paraId="2E300A97"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V {r0010;c0030] instituce vykazují celkové kapitálové požadavky, které jsou souhrnem kapitálových požadavků k nevypořádaným transakcím a získají se vynásobením „cenového rozdílu“ vykázaného ve sloupci 0020 příslušným faktorem na základě počtu pracovních dnů, které uplynuly po řádném datu vypořádání (kategorie uvedené v tabulce 1 v článku 378 nařízení (EU) č. 575/2013).</w:t>
            </w:r>
          </w:p>
        </w:tc>
      </w:tr>
      <w:tr w:rsidR="007266CF" w:rsidRPr="002A677E" w14:paraId="1C33AF8F" w14:textId="77777777" w:rsidTr="007266CF">
        <w:tc>
          <w:tcPr>
            <w:tcW w:w="852" w:type="dxa"/>
          </w:tcPr>
          <w:p w14:paraId="69FC047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0443F0B9"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do 4 dnů (faktor 0</w:t>
            </w:r>
            <w:r>
              <w:t> </w:t>
            </w:r>
            <w:r>
              <w:rPr>
                <w:rStyle w:val="InstructionsTabelleberschrift"/>
                <w:rFonts w:ascii="Times New Roman" w:hAnsi="Times New Roman"/>
                <w:sz w:val="24"/>
              </w:rPr>
              <w:t xml:space="preserve">%) </w:t>
            </w:r>
          </w:p>
          <w:p w14:paraId="3D76921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5 až 15 dnů (faktor 8 %)</w:t>
            </w:r>
          </w:p>
          <w:p w14:paraId="08D0697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16 až 30 dnů (faktor 50 %)</w:t>
            </w:r>
          </w:p>
          <w:p w14:paraId="3E6B72B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Transakce, které zůstávají nevypořádané 31 až 45 dnů (faktor 75 %)</w:t>
            </w:r>
          </w:p>
          <w:p w14:paraId="3B1BD66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46 a více dnů (faktor 100 %)</w:t>
            </w:r>
          </w:p>
          <w:p w14:paraId="35FE038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V řádcích 0020 až 0060 instituce vykazují informace týkající se vypořádacího rizika / rizika dodání u pozic v investičním portfoliu na základě kategorií uvedených v tabulce 1 v článku 378 nařízení (EU) č. 575/2013. </w:t>
            </w:r>
          </w:p>
          <w:p w14:paraId="6CDAAD3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Na transakce, které zůstávají nevypořádané méně než pět pracovních dnů, se nevztahují žádné kapitálové požadavky k vypořádacímu riziku / riziku dodání.</w:t>
            </w:r>
          </w:p>
        </w:tc>
      </w:tr>
      <w:tr w:rsidR="007266CF" w:rsidRPr="002A677E" w14:paraId="5A2E649C" w14:textId="77777777" w:rsidTr="007266CF">
        <w:tc>
          <w:tcPr>
            <w:tcW w:w="852" w:type="dxa"/>
          </w:tcPr>
          <w:p w14:paraId="05E2CA9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14:paraId="688364F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Celkové nevypořádané transakce v obchodním portfoliu</w:t>
            </w:r>
          </w:p>
          <w:p w14:paraId="13C61F1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Instituce zde vykazují souhrnné informace týkající se vypořádacího rizika / rizika dodání u pozic v obchodním portfoliu (jak je uvedeno v čl. 92 odst. 3 písm. c) bodu ii) a článku 378 nařízení (EU) č. 575/2013).</w:t>
            </w:r>
          </w:p>
          <w:p w14:paraId="32A3A5C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 {r0070;c0010} instituce vykazují souhrnnou částku nevypořádaných transakcí po řádných datech dodání vyjádřenou odpovídajícími dohodnutými vypořádacími cenami.</w:t>
            </w:r>
          </w:p>
          <w:p w14:paraId="4B1A7BE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 {r0070;c0020} instituce vykazují souhrnný údaj týkající se expozice vůči cenovému rozdílu v důsledku nevypořádaných transakcí vedoucích ke ztrátě.</w:t>
            </w:r>
          </w:p>
          <w:p w14:paraId="52106638"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sz w:val="24"/>
              </w:rPr>
              <w:t>V {r0070;c0030} instituce vykazují celkové kapitálové požadavky, které jsou souhrnem kapitálových požadavků k nevypořádaným transakcím a získají se vynásobením „cenového rozdílu“ vykázaného ve sloupci 0020 příslušným faktorem na základě počtu pracovních dnů, které uplynuly po řádném datu vypořádání (kategorie uvedené v tabulce 1 v článku 378 nařízení (EU) č. 575/2013).</w:t>
            </w:r>
          </w:p>
        </w:tc>
      </w:tr>
      <w:tr w:rsidR="007266CF" w:rsidRPr="002A677E" w14:paraId="310318E4" w14:textId="77777777" w:rsidTr="007266CF">
        <w:tc>
          <w:tcPr>
            <w:tcW w:w="852" w:type="dxa"/>
          </w:tcPr>
          <w:p w14:paraId="40D68E9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0228E923"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do 4 dnů (faktor 0</w:t>
            </w:r>
            <w:r>
              <w:t> </w:t>
            </w:r>
            <w:r>
              <w:rPr>
                <w:rStyle w:val="InstructionsTabelleberschrift"/>
                <w:rFonts w:ascii="Times New Roman" w:hAnsi="Times New Roman"/>
                <w:sz w:val="24"/>
              </w:rPr>
              <w:t xml:space="preserve">%) </w:t>
            </w:r>
          </w:p>
          <w:p w14:paraId="7684929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5 až 15 dnů (faktor 8 %)</w:t>
            </w:r>
          </w:p>
          <w:p w14:paraId="56F9AC5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16 až 30 dnů (faktor 50 %)</w:t>
            </w:r>
          </w:p>
          <w:p w14:paraId="43564B05"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31 až 45 dnů (faktor 75 %)</w:t>
            </w:r>
          </w:p>
          <w:p w14:paraId="6088D37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46 a více dnů (faktor 100 %)</w:t>
            </w:r>
          </w:p>
          <w:p w14:paraId="7C261FA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V řádcích 0080 až 0120 instituce vykazují informace týkající se vypořádacího rizika / rizika dodání u pozic v obchodním portfoliu na základě kategorií uvedených v tabulce 1 v článku 378 nařízení (EU) č. 575/2013. </w:t>
            </w:r>
          </w:p>
          <w:p w14:paraId="5D982653"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sz w:val="24"/>
              </w:rPr>
              <w:t>Na transakce, které zůstávají nevypořádané méně než pět pracovních dnů, se nevztahují žádné kapitálové požadavky k vypořádacímu riziku / riziku dodání.</w:t>
            </w:r>
          </w:p>
        </w:tc>
      </w:tr>
    </w:tbl>
    <w:p w14:paraId="5EDEBB64" w14:textId="77777777" w:rsidR="007266CF" w:rsidRPr="002A677E" w:rsidRDefault="007266CF" w:rsidP="007266CF">
      <w:pPr>
        <w:spacing w:after="0"/>
        <w:rPr>
          <w:rFonts w:ascii="Times New Roman" w:hAnsi="Times New Roman"/>
          <w:sz w:val="24"/>
        </w:rPr>
      </w:pPr>
    </w:p>
    <w:p w14:paraId="21C7DFFE" w14:textId="77777777" w:rsidR="007266CF" w:rsidRPr="002A677E" w:rsidRDefault="007266CF" w:rsidP="007266CF">
      <w:pPr>
        <w:spacing w:before="0" w:after="0"/>
        <w:jc w:val="left"/>
        <w:rPr>
          <w:rStyle w:val="InstructionsTabelleText"/>
          <w:rFonts w:ascii="Times New Roman" w:hAnsi="Times New Roman"/>
          <w:sz w:val="24"/>
        </w:rPr>
      </w:pPr>
      <w:r>
        <w:br w:type="page"/>
      </w:r>
    </w:p>
    <w:p w14:paraId="0BE8E5FF"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00CC2F7F" w14:textId="77777777" w:rsidR="007266CF" w:rsidRPr="002A677E" w:rsidRDefault="007266CF" w:rsidP="00A75C39">
      <w:pPr>
        <w:pStyle w:val="Instructionsberschrift2"/>
        <w:numPr>
          <w:ilvl w:val="1"/>
          <w:numId w:val="90"/>
        </w:numPr>
        <w:rPr>
          <w:rFonts w:ascii="Times New Roman" w:hAnsi="Times New Roman" w:cs="Times New Roman"/>
          <w:sz w:val="24"/>
        </w:rPr>
      </w:pPr>
      <w:bookmarkStart w:id="176" w:name="_Toc116026781"/>
      <w:bookmarkStart w:id="177" w:name="_Toc119077938"/>
      <w:r>
        <w:rPr>
          <w:rFonts w:ascii="Times New Roman" w:hAnsi="Times New Roman"/>
          <w:sz w:val="24"/>
        </w:rPr>
        <w:t>C 13.01 – Úvěrové riziko – sekuritizace (CR SEC)</w:t>
      </w:r>
      <w:bookmarkEnd w:id="176"/>
      <w:bookmarkEnd w:id="177"/>
    </w:p>
    <w:p w14:paraId="3446D608" w14:textId="77777777" w:rsidR="007266CF" w:rsidRPr="002A677E" w:rsidRDefault="007266CF" w:rsidP="00A75C39">
      <w:pPr>
        <w:pStyle w:val="Instructionsberschrift2"/>
        <w:numPr>
          <w:ilvl w:val="2"/>
          <w:numId w:val="91"/>
        </w:numPr>
        <w:rPr>
          <w:rFonts w:ascii="Times New Roman" w:hAnsi="Times New Roman" w:cs="Times New Roman"/>
          <w:sz w:val="24"/>
        </w:rPr>
      </w:pPr>
      <w:bookmarkStart w:id="178" w:name="_Toc116026782"/>
      <w:bookmarkStart w:id="179" w:name="_Toc119077939"/>
      <w:r>
        <w:rPr>
          <w:rFonts w:ascii="Times New Roman" w:hAnsi="Times New Roman"/>
          <w:sz w:val="24"/>
        </w:rPr>
        <w:t>Obecné poznámky</w:t>
      </w:r>
      <w:bookmarkEnd w:id="178"/>
      <w:bookmarkEnd w:id="179"/>
    </w:p>
    <w:p w14:paraId="1C8DC1E8" w14:textId="77777777" w:rsidR="007266CF" w:rsidRPr="002A677E" w:rsidRDefault="007266CF" w:rsidP="007266CF">
      <w:pPr>
        <w:pStyle w:val="InstructionsText2"/>
        <w:numPr>
          <w:ilvl w:val="0"/>
          <w:numId w:val="0"/>
        </w:numPr>
        <w:ind w:left="1353" w:hanging="360"/>
      </w:pPr>
      <w:fldSimple w:instr=" seq paragraphs ">
        <w:r>
          <w:t>106</w:t>
        </w:r>
      </w:fldSimple>
      <w:r>
        <w:t xml:space="preserve">. Pokud instituce jedná jako původce, vyžadují se informace v této šabloně pro všechny sekuritizace, u nichž je uznán převod významného rizika. Pokud instituce jedná jako investor, vykazují se všechny expozice. </w:t>
      </w:r>
    </w:p>
    <w:p w14:paraId="0554ADD3" w14:textId="77777777" w:rsidR="007266CF" w:rsidRPr="002A677E" w:rsidRDefault="007266CF" w:rsidP="007266CF">
      <w:pPr>
        <w:pStyle w:val="InstructionsText2"/>
        <w:numPr>
          <w:ilvl w:val="0"/>
          <w:numId w:val="0"/>
        </w:numPr>
        <w:ind w:left="1353" w:hanging="360"/>
      </w:pPr>
      <w:fldSimple w:instr=" seq paragraphs ">
        <w:r>
          <w:t>107</w:t>
        </w:r>
      </w:fldSimple>
      <w:r>
        <w:t>.</w:t>
      </w:r>
      <w:r>
        <w:tab/>
        <w:t xml:space="preserve"> Informace, které mají být vykázány, jsou závislé na úloze instituce v procesu sekuritizace. Zvláštní položky jsou tedy určeny pro vykazování ze strany původců, sponzorů a investorů.</w:t>
      </w:r>
    </w:p>
    <w:p w14:paraId="1C9D2CE4" w14:textId="77777777" w:rsidR="007266CF" w:rsidRPr="002A677E" w:rsidRDefault="007266CF" w:rsidP="007266CF">
      <w:pPr>
        <w:pStyle w:val="InstructionsText2"/>
        <w:numPr>
          <w:ilvl w:val="0"/>
          <w:numId w:val="0"/>
        </w:numPr>
        <w:ind w:left="1353" w:hanging="360"/>
      </w:pPr>
      <w:fldSimple w:instr=" seq paragraphs ">
        <w:r>
          <w:t>108</w:t>
        </w:r>
      </w:fldSimple>
      <w:r>
        <w:t xml:space="preserve">. V této šabloně se uvádějí společné informace o tradičních i syntetických sekuritizacích držených v investičním portfoliu. </w:t>
      </w:r>
    </w:p>
    <w:p w14:paraId="54CFEF9F" w14:textId="77777777" w:rsidR="007266CF" w:rsidRPr="002A677E" w:rsidRDefault="007266CF" w:rsidP="00A75C39">
      <w:pPr>
        <w:pStyle w:val="Instructionsberschrift2"/>
        <w:numPr>
          <w:ilvl w:val="2"/>
          <w:numId w:val="92"/>
        </w:numPr>
        <w:rPr>
          <w:rFonts w:ascii="Times New Roman" w:hAnsi="Times New Roman" w:cs="Times New Roman"/>
          <w:sz w:val="24"/>
        </w:rPr>
      </w:pPr>
      <w:bookmarkStart w:id="180" w:name="_Toc116026783"/>
      <w:bookmarkStart w:id="181" w:name="_Toc119077940"/>
      <w:r>
        <w:rPr>
          <w:rFonts w:ascii="Times New Roman" w:hAnsi="Times New Roman"/>
          <w:sz w:val="24"/>
        </w:rPr>
        <w:t>Pokyny pro konkrétní pozice</w:t>
      </w:r>
      <w:bookmarkEnd w:id="180"/>
      <w:bookmarkEnd w:id="181"/>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7266CF" w:rsidRPr="002A677E" w14:paraId="547D77CD" w14:textId="77777777" w:rsidTr="007266CF">
        <w:tc>
          <w:tcPr>
            <w:tcW w:w="9004" w:type="dxa"/>
            <w:gridSpan w:val="2"/>
            <w:shd w:val="clear" w:color="auto" w:fill="CCCCCC"/>
          </w:tcPr>
          <w:p w14:paraId="48287F37" w14:textId="77777777" w:rsidR="007266CF" w:rsidRPr="002A677E" w:rsidRDefault="007266CF" w:rsidP="007266CF">
            <w:pPr>
              <w:autoSpaceDE w:val="0"/>
              <w:autoSpaceDN w:val="0"/>
              <w:adjustRightInd w:val="0"/>
              <w:spacing w:before="0" w:after="0"/>
              <w:ind w:left="426"/>
              <w:jc w:val="left"/>
              <w:rPr>
                <w:rFonts w:ascii="Times New Roman" w:hAnsi="Times New Roman"/>
                <w:sz w:val="24"/>
                <w:lang w:eastAsia="de-DE"/>
              </w:rPr>
            </w:pPr>
          </w:p>
          <w:p w14:paraId="54A5380C" w14:textId="77777777" w:rsidR="007266CF" w:rsidRPr="002A677E" w:rsidRDefault="007266CF" w:rsidP="007266CF">
            <w:pPr>
              <w:autoSpaceDE w:val="0"/>
              <w:autoSpaceDN w:val="0"/>
              <w:adjustRightInd w:val="0"/>
              <w:spacing w:before="0" w:after="0"/>
              <w:rPr>
                <w:rFonts w:ascii="Times New Roman" w:hAnsi="Times New Roman"/>
                <w:b/>
                <w:bCs/>
                <w:sz w:val="24"/>
              </w:rPr>
            </w:pPr>
            <w:r>
              <w:rPr>
                <w:rFonts w:ascii="Times New Roman" w:hAnsi="Times New Roman"/>
                <w:b/>
                <w:sz w:val="24"/>
              </w:rPr>
              <w:t>Sloupce</w:t>
            </w:r>
          </w:p>
          <w:p w14:paraId="616400BF"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5C4E69A1" w14:textId="77777777" w:rsidTr="007266CF">
        <w:tc>
          <w:tcPr>
            <w:tcW w:w="1568" w:type="dxa"/>
          </w:tcPr>
          <w:p w14:paraId="6C69DA32"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33E4B17E" w14:textId="77777777" w:rsidR="007266CF" w:rsidRPr="002A677E" w:rsidRDefault="007266CF" w:rsidP="007266CF">
            <w:pPr>
              <w:spacing w:before="0" w:after="0"/>
              <w:jc w:val="left"/>
              <w:rPr>
                <w:rFonts w:ascii="Times New Roman" w:hAnsi="Times New Roman"/>
                <w:sz w:val="24"/>
              </w:rPr>
            </w:pPr>
            <w:r>
              <w:rPr>
                <w:rFonts w:ascii="Times New Roman" w:hAnsi="Times New Roman"/>
                <w:b/>
                <w:sz w:val="24"/>
                <w:u w:val="single"/>
              </w:rPr>
              <w:t>CELKOVÝ OBJEM SEKURITIZOVANÝCH EXPOZIC U PŮVODCE</w:t>
            </w:r>
          </w:p>
          <w:p w14:paraId="6779F607" w14:textId="77777777" w:rsidR="007266CF" w:rsidRPr="002A677E" w:rsidRDefault="007266CF" w:rsidP="007266CF">
            <w:pPr>
              <w:spacing w:before="0" w:after="0"/>
              <w:jc w:val="left"/>
              <w:rPr>
                <w:rFonts w:ascii="Times New Roman" w:hAnsi="Times New Roman"/>
                <w:sz w:val="24"/>
              </w:rPr>
            </w:pPr>
          </w:p>
          <w:p w14:paraId="4CE060C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Instituce, které jsou původci, musí u všech stávajících sekuritizovaných expozic vzniklých při sekuritizaci vykazovat zůstatek nesplacený k datu vykazování, a to bez ohledu na to, kdo je držitelem pozic. Vykazují se zde tedy rozvahové sekuritizované expozice (např. dluhopisy či podřízené půjčky) a stejně tak podrozvahové expozice a deriváty (např. podřízené úvěrové linky, likviditní přísliby, swapy úrokových sazeb, swapy úvěrového selhání atd.), které vznikly při sekuritizaci. </w:t>
            </w:r>
          </w:p>
          <w:p w14:paraId="56EDA442" w14:textId="77777777" w:rsidR="007266CF" w:rsidRPr="002A677E" w:rsidRDefault="007266CF" w:rsidP="007266CF">
            <w:pPr>
              <w:autoSpaceDE w:val="0"/>
              <w:autoSpaceDN w:val="0"/>
              <w:adjustRightInd w:val="0"/>
              <w:spacing w:before="0" w:after="0"/>
              <w:rPr>
                <w:rFonts w:ascii="Times New Roman" w:hAnsi="Times New Roman"/>
                <w:sz w:val="24"/>
              </w:rPr>
            </w:pPr>
          </w:p>
          <w:p w14:paraId="75C35C6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případě tradičních sekuritizací, v nichž původce nedrží žádné pozice, původce nezohledňuje danou sekuritizaci při vykazování v této šabloně. Pro tento účel sekuritizované pozice držené původcem zahrnují doložku o předčasném umoření ve smyslu čl. 242 odst. 16 nařízení (EU) č. 575/2013 v sekuritizaci revolvingových expozic.</w:t>
            </w:r>
          </w:p>
          <w:p w14:paraId="62BBDE5C"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6223CC" w14:paraId="3B262839" w14:textId="77777777" w:rsidTr="007266CF">
        <w:tc>
          <w:tcPr>
            <w:tcW w:w="1568" w:type="dxa"/>
          </w:tcPr>
          <w:p w14:paraId="4737292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2A323A3F"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SYNTETICKÉ SEKURITIZACE: ZAJIŠTĚNÍ SEKURITIZOVANÝCH EXPOZIC PROTI ÚVĚROVÉMU RIZIKU</w:t>
            </w:r>
          </w:p>
          <w:p w14:paraId="63F15981" w14:textId="77777777" w:rsidR="007266CF" w:rsidRPr="002A677E" w:rsidRDefault="007266CF" w:rsidP="007266CF">
            <w:pPr>
              <w:spacing w:before="0" w:after="0"/>
              <w:jc w:val="left"/>
              <w:rPr>
                <w:rFonts w:ascii="Times New Roman" w:hAnsi="Times New Roman"/>
                <w:sz w:val="24"/>
              </w:rPr>
            </w:pPr>
          </w:p>
          <w:p w14:paraId="3D0382CE" w14:textId="77777777" w:rsidR="007266CF" w:rsidRPr="006223CC" w:rsidRDefault="007266CF" w:rsidP="007266CF">
            <w:pPr>
              <w:spacing w:before="0" w:after="0"/>
              <w:rPr>
                <w:rFonts w:ascii="Times New Roman" w:hAnsi="Times New Roman"/>
                <w:sz w:val="24"/>
                <w:lang w:val="fr-FR"/>
              </w:rPr>
            </w:pPr>
            <w:r w:rsidRPr="006223CC">
              <w:rPr>
                <w:rFonts w:ascii="Times New Roman" w:hAnsi="Times New Roman"/>
                <w:sz w:val="24"/>
                <w:lang w:val="fr-FR"/>
              </w:rPr>
              <w:t xml:space="preserve">Články 251 a 252 nařízení (EU) č. 575/2013. </w:t>
            </w:r>
          </w:p>
          <w:p w14:paraId="4ABDE39D" w14:textId="77777777" w:rsidR="007266CF" w:rsidRPr="006223CC" w:rsidRDefault="007266CF" w:rsidP="007266CF">
            <w:pPr>
              <w:spacing w:before="0" w:after="0"/>
              <w:rPr>
                <w:rFonts w:ascii="Times New Roman" w:hAnsi="Times New Roman"/>
                <w:sz w:val="24"/>
                <w:lang w:val="fr-FR"/>
              </w:rPr>
            </w:pPr>
          </w:p>
          <w:p w14:paraId="71D1E283" w14:textId="77777777" w:rsidR="007266CF" w:rsidRPr="006223CC" w:rsidRDefault="007266CF" w:rsidP="007266CF">
            <w:pPr>
              <w:spacing w:before="0" w:after="0"/>
              <w:rPr>
                <w:rFonts w:ascii="Times New Roman" w:hAnsi="Times New Roman"/>
                <w:sz w:val="24"/>
                <w:lang w:val="fr-FR"/>
              </w:rPr>
            </w:pPr>
            <w:r w:rsidRPr="006223CC">
              <w:rPr>
                <w:rFonts w:ascii="Times New Roman" w:hAnsi="Times New Roman"/>
                <w:sz w:val="24"/>
                <w:lang w:val="fr-FR"/>
              </w:rPr>
              <w:t xml:space="preserve">V upravené hodnotě technik snižování úvěrového rizika zahrnutých do struktury sekuritizace se nezohledňuje nesoulad splatností. </w:t>
            </w:r>
          </w:p>
          <w:p w14:paraId="1BEBABAF" w14:textId="77777777" w:rsidR="007266CF" w:rsidRPr="006223CC" w:rsidRDefault="007266CF" w:rsidP="007266CF">
            <w:pPr>
              <w:spacing w:before="0" w:after="0"/>
              <w:rPr>
                <w:rFonts w:ascii="Times New Roman" w:hAnsi="Times New Roman"/>
                <w:bCs/>
                <w:sz w:val="24"/>
                <w:lang w:val="fr-FR" w:eastAsia="nl-BE"/>
              </w:rPr>
            </w:pPr>
          </w:p>
        </w:tc>
      </w:tr>
      <w:tr w:rsidR="007266CF" w:rsidRPr="002A677E" w14:paraId="418FFF97" w14:textId="77777777" w:rsidTr="007266CF">
        <w:tc>
          <w:tcPr>
            <w:tcW w:w="1568" w:type="dxa"/>
          </w:tcPr>
          <w:p w14:paraId="41E1EFC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13B822F9" w14:textId="77777777" w:rsidR="007266CF" w:rsidRPr="002A677E" w:rsidRDefault="007266CF" w:rsidP="007266CF">
            <w:pPr>
              <w:spacing w:before="0" w:after="0"/>
              <w:jc w:val="left"/>
              <w:rPr>
                <w:rFonts w:ascii="Times New Roman" w:hAnsi="Times New Roman"/>
                <w:b/>
                <w:strike/>
                <w:sz w:val="24"/>
                <w:u w:val="single"/>
              </w:rPr>
            </w:pPr>
            <w:r>
              <w:rPr>
                <w:rFonts w:ascii="Times New Roman" w:hAnsi="Times New Roman"/>
                <w:b/>
                <w:sz w:val="24"/>
                <w:u w:val="single"/>
              </w:rPr>
              <w:t>(−) MAJETKOVÉ ZAJIŠTĚNÍ ÚVĚROVÉHO RIZIKA (C</w:t>
            </w:r>
            <w:r>
              <w:rPr>
                <w:rFonts w:ascii="Times New Roman" w:hAnsi="Times New Roman"/>
                <w:b/>
                <w:sz w:val="24"/>
                <w:u w:val="single"/>
                <w:vertAlign w:val="subscript"/>
              </w:rPr>
              <w:t>VA</w:t>
            </w:r>
            <w:r>
              <w:rPr>
                <w:rFonts w:ascii="Times New Roman" w:hAnsi="Times New Roman"/>
                <w:b/>
                <w:sz w:val="24"/>
                <w:u w:val="single"/>
              </w:rPr>
              <w:t xml:space="preserve">) </w:t>
            </w:r>
          </w:p>
          <w:p w14:paraId="1A226C19" w14:textId="77777777" w:rsidR="007266CF" w:rsidRPr="002A677E" w:rsidRDefault="007266CF" w:rsidP="007266CF">
            <w:pPr>
              <w:spacing w:before="0" w:after="0"/>
              <w:jc w:val="left"/>
              <w:rPr>
                <w:rFonts w:ascii="Times New Roman" w:hAnsi="Times New Roman"/>
                <w:sz w:val="24"/>
                <w:lang w:eastAsia="es-ES_tradnl"/>
              </w:rPr>
            </w:pPr>
          </w:p>
          <w:p w14:paraId="3599B30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Podrobný postup výpočtu hodnoty kolaterálu upravené o volatilitu (C</w:t>
            </w:r>
            <w:r>
              <w:rPr>
                <w:rFonts w:ascii="Times New Roman" w:hAnsi="Times New Roman"/>
                <w:sz w:val="24"/>
                <w:vertAlign w:val="subscript"/>
              </w:rPr>
              <w:t>VA</w:t>
            </w:r>
            <w:r>
              <w:rPr>
                <w:rFonts w:ascii="Times New Roman" w:hAnsi="Times New Roman"/>
                <w:sz w:val="24"/>
              </w:rPr>
              <w:t>), jež se vykazuje v tomto sloupci, je stanoven v čl. 223 odst. 2 nařízení (EU) č. 575/2013.</w:t>
            </w:r>
          </w:p>
          <w:p w14:paraId="6476EDDC"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47515CBA" w14:textId="77777777" w:rsidTr="007266CF">
        <w:tc>
          <w:tcPr>
            <w:tcW w:w="1568" w:type="dxa"/>
          </w:tcPr>
          <w:p w14:paraId="4C4D288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436" w:type="dxa"/>
          </w:tcPr>
          <w:p w14:paraId="4719D495"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xml:space="preserve">(−) ODTOKY CELKEM: UPRAVENÉ HODNOTY OSOBNÍHO ZAJIŠTĚNÍ ÚVĚROVÉHO RIZIKA (G*) </w:t>
            </w:r>
          </w:p>
          <w:p w14:paraId="44FD41C7" w14:textId="77777777" w:rsidR="007266CF" w:rsidRPr="002A677E" w:rsidRDefault="007266CF" w:rsidP="007266CF">
            <w:pPr>
              <w:spacing w:before="0" w:after="0"/>
              <w:jc w:val="left"/>
              <w:rPr>
                <w:rFonts w:ascii="Times New Roman" w:hAnsi="Times New Roman"/>
                <w:sz w:val="24"/>
                <w:lang w:eastAsia="es-ES_tradnl"/>
              </w:rPr>
            </w:pPr>
          </w:p>
          <w:p w14:paraId="42D14D7A" w14:textId="77777777" w:rsidR="007266CF" w:rsidRPr="002A677E" w:rsidRDefault="007266CF" w:rsidP="007266CF">
            <w:pPr>
              <w:spacing w:before="0" w:after="0"/>
              <w:rPr>
                <w:rFonts w:ascii="Times New Roman" w:hAnsi="Times New Roman"/>
                <w:sz w:val="24"/>
              </w:rPr>
            </w:pPr>
            <w:r>
              <w:rPr>
                <w:rFonts w:ascii="Times New Roman" w:hAnsi="Times New Roman"/>
                <w:sz w:val="24"/>
              </w:rPr>
              <w:t>Podle obecného pravidla pro „přítok“ a „odtok“ se částky vykázané v tomto sloupci objeví jako „přítok“ v odpovídající šabloně pro úvěrové riziko (CR SA nebo CR IRB) a v kategorii expozic, k níž vykazující subjekt přiřadí daného poskytovatele zajištění (tj. třetí stranu, na kterou je tranše převedena prostřednictvím osobního zajištění úvěrového rizika).</w:t>
            </w:r>
          </w:p>
          <w:p w14:paraId="72962785" w14:textId="77777777" w:rsidR="007266CF" w:rsidRPr="002A677E" w:rsidRDefault="007266CF" w:rsidP="007266CF">
            <w:pPr>
              <w:spacing w:before="0" w:after="0"/>
              <w:jc w:val="left"/>
              <w:rPr>
                <w:rFonts w:ascii="Times New Roman" w:hAnsi="Times New Roman"/>
                <w:sz w:val="24"/>
                <w:lang w:eastAsia="es-ES_tradnl"/>
              </w:rPr>
            </w:pPr>
          </w:p>
          <w:p w14:paraId="0577103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Postup výpočtu nominální hodnoty zajištění úvěrového rizika upravené o měnové riziko (G*) je stanoven v čl. 233 odst. 3 nařízení (EU) č. 575/2013.</w:t>
            </w:r>
          </w:p>
          <w:p w14:paraId="43B6651A"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0F435183" w14:textId="77777777" w:rsidTr="007266CF">
        <w:tc>
          <w:tcPr>
            <w:tcW w:w="1568" w:type="dxa"/>
          </w:tcPr>
          <w:p w14:paraId="175F33F3"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3A58A5BA"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PONECHANÁ NEBO ZPĚTNĚ NABYTÁ POMYSLNÁ HODNOTA ZAJIŠTĚNÍ ÚVĚROVÉHO RIZIKA</w:t>
            </w:r>
          </w:p>
          <w:p w14:paraId="75DAB01A" w14:textId="77777777" w:rsidR="007266CF" w:rsidRPr="002A677E" w:rsidRDefault="007266CF" w:rsidP="007266CF">
            <w:pPr>
              <w:spacing w:before="0" w:after="0"/>
              <w:jc w:val="left"/>
              <w:rPr>
                <w:rFonts w:ascii="Times New Roman" w:hAnsi="Times New Roman"/>
                <w:sz w:val="24"/>
                <w:lang w:eastAsia="es-ES_tradnl"/>
              </w:rPr>
            </w:pPr>
          </w:p>
          <w:p w14:paraId="61A2C5F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Všechny tranše, které byly ponechány nebo zpětně nabyty, např. nepřevedené pozice první ztráty, se vykazují v nominální hodnotě.</w:t>
            </w:r>
          </w:p>
          <w:p w14:paraId="3C924E28"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p w14:paraId="53CD26C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Při výpočtu ponechané nebo zpětně nabyté hodnoty zajištění úvěrového rizika se nezohledňuje dopad regulatorních srážek v zajištění úvěrového rizika.</w:t>
            </w:r>
          </w:p>
          <w:p w14:paraId="00567140"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54ADE386" w14:textId="77777777" w:rsidTr="007266CF">
        <w:tc>
          <w:tcPr>
            <w:tcW w:w="1568" w:type="dxa"/>
          </w:tcPr>
          <w:p w14:paraId="249AB6FB"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5E6A795B"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 xml:space="preserve">SEKURITIZOVANÉ POZICE: PŮVODNÍ EXPOZICE PŘED VYNÁSOBENÍM KONVERZNÍMI FAKTORY </w:t>
            </w:r>
          </w:p>
          <w:p w14:paraId="35BE70A0" w14:textId="77777777" w:rsidR="007266CF" w:rsidRPr="002A677E" w:rsidRDefault="007266CF" w:rsidP="007266CF">
            <w:pPr>
              <w:spacing w:before="0" w:after="0"/>
              <w:jc w:val="left"/>
              <w:rPr>
                <w:rFonts w:ascii="Times New Roman" w:hAnsi="Times New Roman"/>
                <w:sz w:val="24"/>
              </w:rPr>
            </w:pPr>
          </w:p>
          <w:p w14:paraId="65F3786C"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V tomto sloupci se uvedou hodnoty expozice sekuritizovaných pozic držených vykazující institucí, jež jsou vypočítány v souladu s čl. 248 odst. 1 a 2 nařízení (EU) č. 575/2013, bez uplatnění konverzních faktorů, bez úprav ocenění a rezerv a případných nevratných slev z kupní ceny u sekuritizovaných expozic, jak je uvedeno v čl. 248 odst. 1 písm. d) nařízení (EU) č. 575/2013, a bez úprav ocenění a rezerv u sekuritizované pozice.</w:t>
            </w:r>
          </w:p>
          <w:p w14:paraId="485FC051"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1C61D1A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Započtení je vhodné pouze s ohledem na vícenásobné derivátové kontrakty poskytnuté téže sekuritizační jednotce pro speciální účel, na niž se vztahuje použitelná dohoda o započtení. </w:t>
            </w:r>
          </w:p>
          <w:p w14:paraId="6FB48832" w14:textId="77777777" w:rsidR="007266CF" w:rsidRPr="002A677E" w:rsidRDefault="007266CF" w:rsidP="007266CF">
            <w:pPr>
              <w:autoSpaceDE w:val="0"/>
              <w:autoSpaceDN w:val="0"/>
              <w:adjustRightInd w:val="0"/>
              <w:spacing w:before="0" w:after="0"/>
              <w:rPr>
                <w:rFonts w:ascii="Times New Roman" w:hAnsi="Times New Roman"/>
                <w:sz w:val="24"/>
                <w:lang w:eastAsia="es-ES_tradnl"/>
              </w:rPr>
            </w:pPr>
          </w:p>
          <w:p w14:paraId="7BD9DD8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Pokud jde o syntetické sekuritizace, pozice, které původce drží ve formě rozvahových položek a/nebo podílu investorů, jsou výsledkem součtu sloupců 0010 až 0040.</w:t>
            </w:r>
          </w:p>
          <w:p w14:paraId="70144527"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78DAB974" w14:textId="77777777" w:rsidTr="007266CF">
        <w:tc>
          <w:tcPr>
            <w:tcW w:w="1568" w:type="dxa"/>
          </w:tcPr>
          <w:p w14:paraId="2DFE7D59"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436" w:type="dxa"/>
          </w:tcPr>
          <w:p w14:paraId="171B87DE"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xml:space="preserve">(−) ÚPRAVY OCENĚNÍ A REZERVY </w:t>
            </w:r>
          </w:p>
          <w:p w14:paraId="1637FC89" w14:textId="77777777" w:rsidR="007266CF" w:rsidRPr="002A677E" w:rsidRDefault="007266CF" w:rsidP="007266CF">
            <w:pPr>
              <w:pStyle w:val="ListParagraph"/>
              <w:spacing w:before="0" w:after="0"/>
              <w:ind w:left="284" w:hanging="284"/>
              <w:rPr>
                <w:rFonts w:ascii="Times New Roman" w:hAnsi="Times New Roman"/>
                <w:sz w:val="24"/>
                <w:lang w:eastAsia="es-ES_tradnl"/>
              </w:rPr>
            </w:pPr>
          </w:p>
          <w:p w14:paraId="7CDFBFA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Článek 248 nařízení (EU) č. 575/2013. Úpravy ocenění a rezervy, které mají být vykázány v tomto sloupci, se týkají pouze sekuritizovaných pozic. Úpravy ocenění u sekuritizovaných expozic se nezohledňují.</w:t>
            </w:r>
          </w:p>
          <w:p w14:paraId="2EC93A9F" w14:textId="77777777" w:rsidR="007266CF" w:rsidRPr="002A677E" w:rsidRDefault="007266CF" w:rsidP="007266CF">
            <w:pPr>
              <w:autoSpaceDE w:val="0"/>
              <w:autoSpaceDN w:val="0"/>
              <w:adjustRightInd w:val="0"/>
              <w:spacing w:before="0" w:after="0"/>
              <w:rPr>
                <w:rFonts w:ascii="Times New Roman" w:hAnsi="Times New Roman"/>
                <w:b/>
                <w:sz w:val="24"/>
                <w:u w:val="single"/>
                <w:lang w:eastAsia="es-ES_tradnl"/>
              </w:rPr>
            </w:pPr>
          </w:p>
        </w:tc>
      </w:tr>
      <w:tr w:rsidR="007266CF" w:rsidRPr="002A677E" w14:paraId="0E85A1D3" w14:textId="77777777" w:rsidTr="007266CF">
        <w:tc>
          <w:tcPr>
            <w:tcW w:w="1568" w:type="dxa"/>
          </w:tcPr>
          <w:p w14:paraId="7A099338"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436" w:type="dxa"/>
          </w:tcPr>
          <w:p w14:paraId="5C61C3C1"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EXPOZICE BEZ ÚPRAV OCENĚNÍ A REZERV</w:t>
            </w:r>
          </w:p>
          <w:p w14:paraId="2D9F990F" w14:textId="77777777" w:rsidR="007266CF" w:rsidRPr="002A677E" w:rsidRDefault="007266CF" w:rsidP="007266CF">
            <w:pPr>
              <w:spacing w:before="0" w:after="0"/>
              <w:jc w:val="left"/>
              <w:rPr>
                <w:rFonts w:ascii="Times New Roman" w:hAnsi="Times New Roman"/>
                <w:sz w:val="24"/>
                <w:lang w:eastAsia="es-ES_tradnl"/>
              </w:rPr>
            </w:pPr>
          </w:p>
          <w:p w14:paraId="5EBF9509"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V tomto sloupci se uvedou hodnoty expozice sekuritizovaných pozic, jež jsou vypočítány v souladu s čl. 248 odst. 1 a 2 nařízení (EU) č. 575/2013, bez úprav ocenění a rezerv, bez uplatnění konverzních faktorů, a bez případných nevratných slev z kupní ceny u sekuritizovaných expozic, jak je uvedeno v čl. 248 odst. 1 písm. d) nařízení (EU) č. 575/2013, a bez úprav hodnoty a rezerv u sekuritizované pozice.</w:t>
            </w:r>
          </w:p>
          <w:p w14:paraId="76C56A22"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6223CC" w14:paraId="337E4EAC" w14:textId="77777777" w:rsidTr="007266CF">
        <w:tc>
          <w:tcPr>
            <w:tcW w:w="1568" w:type="dxa"/>
          </w:tcPr>
          <w:p w14:paraId="379DDEB7"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3E75DBC3"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TECHNIKY SNIŽOVÁNÍ ÚVĚROVÉHO RIZIKA SE SUBSTITUČNÍMI VLIVY NA EXPOZICI</w:t>
            </w:r>
          </w:p>
          <w:p w14:paraId="4A7C940B" w14:textId="77777777" w:rsidR="007266CF" w:rsidRPr="002A677E" w:rsidRDefault="007266CF" w:rsidP="007266CF">
            <w:pPr>
              <w:spacing w:before="0" w:after="0"/>
              <w:jc w:val="left"/>
              <w:rPr>
                <w:rFonts w:ascii="Times New Roman" w:hAnsi="Times New Roman"/>
                <w:sz w:val="24"/>
                <w:lang w:eastAsia="es-ES_tradnl"/>
              </w:rPr>
            </w:pPr>
          </w:p>
          <w:p w14:paraId="2848396C" w14:textId="77777777" w:rsidR="007266CF" w:rsidRPr="002A677E" w:rsidRDefault="007266CF" w:rsidP="007266CF">
            <w:pPr>
              <w:spacing w:before="0" w:after="0"/>
              <w:rPr>
                <w:rFonts w:ascii="Times New Roman" w:hAnsi="Times New Roman"/>
                <w:sz w:val="24"/>
              </w:rPr>
            </w:pPr>
            <w:r>
              <w:rPr>
                <w:rFonts w:ascii="Times New Roman" w:hAnsi="Times New Roman"/>
                <w:sz w:val="24"/>
              </w:rPr>
              <w:t>Ustanovení čl. 4 odst. 1 bodu 57, části třetí hlavy II kapitoly 4 a článku 249 nařízení (EU) č. 575/2013</w:t>
            </w:r>
          </w:p>
          <w:p w14:paraId="75CFAC63" w14:textId="77777777" w:rsidR="007266CF" w:rsidRPr="002A677E" w:rsidRDefault="007266CF" w:rsidP="007266CF">
            <w:pPr>
              <w:spacing w:before="0" w:after="0"/>
              <w:rPr>
                <w:rFonts w:ascii="Times New Roman" w:hAnsi="Times New Roman"/>
                <w:sz w:val="24"/>
                <w:lang w:eastAsia="es-ES_tradnl"/>
              </w:rPr>
            </w:pPr>
          </w:p>
          <w:p w14:paraId="3B154F19" w14:textId="77777777" w:rsidR="007266CF" w:rsidRPr="002A677E" w:rsidRDefault="007266CF" w:rsidP="007266CF">
            <w:pPr>
              <w:spacing w:before="0" w:after="0"/>
              <w:rPr>
                <w:rFonts w:ascii="Times New Roman" w:hAnsi="Times New Roman"/>
                <w:sz w:val="24"/>
              </w:rPr>
            </w:pPr>
            <w:r>
              <w:rPr>
                <w:rFonts w:ascii="Times New Roman" w:hAnsi="Times New Roman"/>
                <w:sz w:val="24"/>
              </w:rPr>
              <w:t>Instituce v těchto sloupcích vykazují údaje o technikách snižování úvěrového rizika, kterými se snižuje úvěrové riziko expozice či expozic prostřednictvím substituce expozic (jak je uvedeno níže k přítoku a odtoku).</w:t>
            </w:r>
          </w:p>
          <w:p w14:paraId="3B8832BF" w14:textId="77777777" w:rsidR="007266CF" w:rsidRPr="002A677E" w:rsidRDefault="007266CF" w:rsidP="007266CF">
            <w:pPr>
              <w:spacing w:before="0" w:after="0"/>
              <w:rPr>
                <w:rFonts w:ascii="Times New Roman" w:hAnsi="Times New Roman"/>
                <w:sz w:val="24"/>
                <w:lang w:eastAsia="es-ES_tradnl"/>
              </w:rPr>
            </w:pPr>
          </w:p>
          <w:p w14:paraId="730F99DB" w14:textId="77777777" w:rsidR="007266CF" w:rsidRPr="002A677E" w:rsidRDefault="007266CF" w:rsidP="007266CF">
            <w:pPr>
              <w:pStyle w:val="InstructionsText"/>
            </w:pPr>
            <w:r>
              <w:t>Má-li použití kolaterálu dopad na hodnotu expozice (např. pokud je používán při technikách snižování úvěrového rizika se substitučními vlivy na expozici), jeho výše je omezena hodnotou expozice.</w:t>
            </w:r>
          </w:p>
          <w:p w14:paraId="388E69E9" w14:textId="77777777" w:rsidR="007266CF" w:rsidRPr="006223CC" w:rsidRDefault="007266CF" w:rsidP="007266CF">
            <w:pPr>
              <w:pStyle w:val="InstructionsText"/>
              <w:rPr>
                <w:lang w:val="fr-FR"/>
              </w:rPr>
            </w:pPr>
            <w:r w:rsidRPr="006223CC">
              <w:rPr>
                <w:lang w:val="fr-FR"/>
              </w:rPr>
              <w:t>Vykazují se zde tyto položky:</w:t>
            </w:r>
          </w:p>
          <w:p w14:paraId="4A81D328" w14:textId="77777777" w:rsidR="007266CF" w:rsidRPr="006223CC" w:rsidRDefault="007266CF" w:rsidP="00A75C39">
            <w:pPr>
              <w:pStyle w:val="ListParagraph"/>
              <w:numPr>
                <w:ilvl w:val="0"/>
                <w:numId w:val="24"/>
              </w:numPr>
              <w:tabs>
                <w:tab w:val="num" w:pos="360"/>
              </w:tabs>
              <w:spacing w:before="0" w:after="0"/>
              <w:rPr>
                <w:rFonts w:ascii="Times New Roman" w:hAnsi="Times New Roman"/>
                <w:sz w:val="24"/>
                <w:lang w:val="fr-FR"/>
              </w:rPr>
            </w:pPr>
            <w:r w:rsidRPr="006223CC">
              <w:rPr>
                <w:rFonts w:ascii="Times New Roman" w:hAnsi="Times New Roman"/>
                <w:sz w:val="24"/>
                <w:lang w:val="fr-FR"/>
              </w:rPr>
              <w:t>kolaterál použitý v souladu s článkem 222 nařízení (EU) č. 575/2013 (jednoduchá metoda finančního kolaterálu),</w:t>
            </w:r>
          </w:p>
          <w:p w14:paraId="718E7241" w14:textId="77777777" w:rsidR="007266CF" w:rsidRPr="006223CC" w:rsidRDefault="007266CF" w:rsidP="00A75C39">
            <w:pPr>
              <w:pStyle w:val="ListParagraph"/>
              <w:numPr>
                <w:ilvl w:val="0"/>
                <w:numId w:val="24"/>
              </w:numPr>
              <w:tabs>
                <w:tab w:val="num" w:pos="360"/>
              </w:tabs>
              <w:spacing w:before="0" w:after="0"/>
              <w:rPr>
                <w:rFonts w:ascii="Times New Roman" w:hAnsi="Times New Roman"/>
                <w:sz w:val="24"/>
                <w:lang w:val="fr-FR"/>
              </w:rPr>
            </w:pPr>
            <w:r w:rsidRPr="006223CC">
              <w:rPr>
                <w:rFonts w:ascii="Times New Roman" w:hAnsi="Times New Roman"/>
                <w:sz w:val="24"/>
                <w:lang w:val="fr-FR"/>
              </w:rPr>
              <w:t>způsobilé osobní zajištění úvěrového rizika.</w:t>
            </w:r>
          </w:p>
          <w:p w14:paraId="00C227D2" w14:textId="77777777" w:rsidR="007266CF" w:rsidRPr="006223CC" w:rsidRDefault="007266CF" w:rsidP="007266CF">
            <w:pPr>
              <w:spacing w:before="0" w:after="0"/>
              <w:rPr>
                <w:rFonts w:ascii="Times New Roman" w:hAnsi="Times New Roman"/>
                <w:b/>
                <w:sz w:val="24"/>
                <w:u w:val="single"/>
                <w:lang w:val="fr-FR"/>
              </w:rPr>
            </w:pPr>
          </w:p>
        </w:tc>
      </w:tr>
      <w:tr w:rsidR="007266CF" w:rsidRPr="002A677E" w14:paraId="2A2E43EF" w14:textId="77777777" w:rsidTr="007266CF">
        <w:tc>
          <w:tcPr>
            <w:tcW w:w="1568" w:type="dxa"/>
          </w:tcPr>
          <w:p w14:paraId="0F9CFCD9"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149CC01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OSOBNÍ ZAJIŠTĚNÍ ÚVĚROVÉHO RIZIKA: UPRAVENÉ HODNOTY (G</w:t>
            </w:r>
            <w:r>
              <w:rPr>
                <w:rFonts w:ascii="Times New Roman" w:hAnsi="Times New Roman"/>
                <w:b/>
                <w:sz w:val="24"/>
                <w:u w:val="single"/>
                <w:vertAlign w:val="subscript"/>
              </w:rPr>
              <w:t>a</w:t>
            </w:r>
            <w:r>
              <w:rPr>
                <w:rFonts w:ascii="Times New Roman" w:hAnsi="Times New Roman"/>
                <w:b/>
                <w:sz w:val="24"/>
                <w:u w:val="single"/>
              </w:rPr>
              <w:t xml:space="preserve">) </w:t>
            </w:r>
          </w:p>
          <w:p w14:paraId="5C8173AD" w14:textId="77777777" w:rsidR="007266CF" w:rsidRPr="002A677E" w:rsidRDefault="007266CF" w:rsidP="007266CF">
            <w:pPr>
              <w:spacing w:before="0" w:after="0"/>
              <w:jc w:val="left"/>
              <w:rPr>
                <w:rFonts w:ascii="Times New Roman" w:hAnsi="Times New Roman"/>
                <w:b/>
                <w:sz w:val="24"/>
                <w:u w:val="single"/>
                <w:lang w:eastAsia="es-ES_tradnl"/>
              </w:rPr>
            </w:pPr>
          </w:p>
          <w:p w14:paraId="6D3FA31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Osobní zajištění úvěrového rizika ve smyslu čl. 4 odst. 1 bodu 59, článků 234 až 236 nařízení (EU) č. 575/2013.</w:t>
            </w:r>
          </w:p>
          <w:p w14:paraId="3D6015BA" w14:textId="77777777" w:rsidR="007266CF" w:rsidRPr="002A677E" w:rsidRDefault="007266CF" w:rsidP="007266CF">
            <w:pPr>
              <w:autoSpaceDE w:val="0"/>
              <w:autoSpaceDN w:val="0"/>
              <w:adjustRightInd w:val="0"/>
              <w:spacing w:before="0" w:after="0"/>
              <w:rPr>
                <w:rFonts w:ascii="Times New Roman" w:hAnsi="Times New Roman"/>
                <w:b/>
                <w:sz w:val="24"/>
                <w:u w:val="single"/>
              </w:rPr>
            </w:pPr>
          </w:p>
        </w:tc>
      </w:tr>
      <w:tr w:rsidR="007266CF" w:rsidRPr="002A677E" w14:paraId="2D6A3D51" w14:textId="77777777" w:rsidTr="007266CF">
        <w:tc>
          <w:tcPr>
            <w:tcW w:w="1568" w:type="dxa"/>
          </w:tcPr>
          <w:p w14:paraId="4BF0E69D"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73CBF71D"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 MAJETKOVÉ ZAJIŠTĚNÍ ÚVĚROVÉHO RIZIKA</w:t>
            </w:r>
          </w:p>
          <w:p w14:paraId="72D40AD1" w14:textId="77777777" w:rsidR="007266CF" w:rsidRPr="002A677E" w:rsidRDefault="007266CF" w:rsidP="007266CF">
            <w:pPr>
              <w:spacing w:before="0" w:after="0"/>
              <w:rPr>
                <w:rFonts w:ascii="Times New Roman" w:hAnsi="Times New Roman"/>
                <w:sz w:val="24"/>
              </w:rPr>
            </w:pPr>
          </w:p>
          <w:p w14:paraId="4BAFFAB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Majetkové zajištění úvěrového rizika ve smyslu čl. 4 odst. 1 bodu 58 nařízení (EU) č. 575/2013 uvedené v čl. 249 odst. 2 prvním pododstavci uvedeného nařízení a právně upravené v článcích 195, 197 a 200 zmíněného nařízení.</w:t>
            </w:r>
          </w:p>
          <w:p w14:paraId="39325C5B" w14:textId="77777777" w:rsidR="007266CF" w:rsidRPr="002A677E" w:rsidRDefault="007266CF" w:rsidP="007266CF">
            <w:pPr>
              <w:autoSpaceDE w:val="0"/>
              <w:autoSpaceDN w:val="0"/>
              <w:adjustRightInd w:val="0"/>
              <w:spacing w:before="0" w:after="0"/>
              <w:ind w:left="284" w:hanging="284"/>
              <w:rPr>
                <w:rFonts w:ascii="Times New Roman" w:hAnsi="Times New Roman"/>
                <w:sz w:val="24"/>
                <w:lang w:eastAsia="es-ES_tradnl"/>
              </w:rPr>
            </w:pPr>
          </w:p>
          <w:p w14:paraId="5C0DDE08" w14:textId="77777777" w:rsidR="007266CF" w:rsidRPr="002A677E" w:rsidRDefault="007266CF" w:rsidP="007266CF">
            <w:pPr>
              <w:spacing w:before="0" w:after="0"/>
              <w:rPr>
                <w:rFonts w:ascii="Times New Roman" w:hAnsi="Times New Roman"/>
                <w:sz w:val="24"/>
              </w:rPr>
            </w:pPr>
            <w:r>
              <w:rPr>
                <w:rFonts w:ascii="Times New Roman" w:hAnsi="Times New Roman"/>
                <w:sz w:val="24"/>
              </w:rPr>
              <w:t>Úvěrové dluhové cenné papíry a rozvahové započtení uvedené v článcích 218 a 219 nařízení (EU) č. 575/2013 se považují za hotovostní kolaterál.</w:t>
            </w:r>
          </w:p>
          <w:p w14:paraId="1B0BC3FB"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14A42464" w14:textId="77777777" w:rsidTr="007266CF">
        <w:tc>
          <w:tcPr>
            <w:tcW w:w="1568" w:type="dxa"/>
          </w:tcPr>
          <w:p w14:paraId="5FBF0AB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3F09FFF8"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SUBSTITUCE EXPOZICE V DŮSLEDKU SNIŽOVÁNÍ ÚVĚROVÉHO RIZIKA</w:t>
            </w:r>
          </w:p>
          <w:p w14:paraId="7DAD947F" w14:textId="77777777" w:rsidR="007266CF" w:rsidRPr="002A677E" w:rsidRDefault="007266CF" w:rsidP="007266CF">
            <w:pPr>
              <w:spacing w:before="0" w:after="0"/>
              <w:rPr>
                <w:rFonts w:ascii="Times New Roman" w:hAnsi="Times New Roman"/>
                <w:b/>
                <w:sz w:val="24"/>
                <w:u w:val="single"/>
              </w:rPr>
            </w:pPr>
          </w:p>
          <w:p w14:paraId="0726D05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Vykazují se přítoky a odtoky v rámci stejných kategorií expozic a případně rizikových vah nebo stupňů dlužníka.</w:t>
            </w:r>
          </w:p>
          <w:p w14:paraId="7712506C" w14:textId="77777777" w:rsidR="007266CF" w:rsidRPr="002A677E" w:rsidRDefault="007266CF" w:rsidP="007266CF">
            <w:pPr>
              <w:spacing w:before="0" w:after="0"/>
              <w:rPr>
                <w:rFonts w:ascii="Times New Roman" w:hAnsi="Times New Roman"/>
                <w:b/>
                <w:sz w:val="24"/>
                <w:u w:val="single"/>
              </w:rPr>
            </w:pPr>
          </w:p>
        </w:tc>
      </w:tr>
      <w:tr w:rsidR="007266CF" w:rsidRPr="002A677E" w14:paraId="0D270F5B" w14:textId="77777777" w:rsidTr="007266CF">
        <w:tc>
          <w:tcPr>
            <w:tcW w:w="1568" w:type="dxa"/>
          </w:tcPr>
          <w:p w14:paraId="7814CC3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436" w:type="dxa"/>
          </w:tcPr>
          <w:p w14:paraId="50EA7906"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CELKOVÝ ODTOK</w:t>
            </w:r>
          </w:p>
          <w:p w14:paraId="4E31B385"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63C0D513"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222 odst. 3, čl. 235 odst. 1 a 2 a článku 236 nařízení (EU) č. 575/2013. </w:t>
            </w:r>
          </w:p>
          <w:p w14:paraId="77BB18FC" w14:textId="77777777" w:rsidR="007266CF" w:rsidRPr="002A677E" w:rsidRDefault="007266CF" w:rsidP="007266CF">
            <w:pPr>
              <w:autoSpaceDE w:val="0"/>
              <w:autoSpaceDN w:val="0"/>
              <w:adjustRightInd w:val="0"/>
              <w:spacing w:before="0" w:after="0"/>
              <w:rPr>
                <w:rFonts w:ascii="Times New Roman" w:hAnsi="Times New Roman"/>
                <w:sz w:val="24"/>
                <w:lang w:eastAsia="es-ES_tradnl"/>
              </w:rPr>
            </w:pPr>
          </w:p>
          <w:p w14:paraId="5FBA68A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Odtoky odpovídají kryté části expozice bez úprav ocenění a rezerv, která se odečítá od kategorie expozic dlužníka a v příslušných případech od rizikové váhy nebo stupně dlužníka a následně se zařazuje do kategorie expozic poskytovatele zajištění a v příslušných případech rizikové váhy nebo stupně dlužníka. </w:t>
            </w:r>
          </w:p>
          <w:p w14:paraId="0D4D4767" w14:textId="77777777" w:rsidR="007266CF" w:rsidRPr="002A677E" w:rsidRDefault="007266CF" w:rsidP="007266CF">
            <w:pPr>
              <w:autoSpaceDE w:val="0"/>
              <w:autoSpaceDN w:val="0"/>
              <w:adjustRightInd w:val="0"/>
              <w:spacing w:before="0" w:after="0"/>
              <w:rPr>
                <w:rFonts w:ascii="Times New Roman" w:hAnsi="Times New Roman"/>
                <w:sz w:val="24"/>
                <w:lang w:eastAsia="es-ES_tradnl"/>
              </w:rPr>
            </w:pPr>
          </w:p>
          <w:p w14:paraId="68B8FC8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Tato částka se považuje za přítok do kategorie expozic poskytovatele zajištění, popřípadě do rizikových vah nebo stupňů dlužníka.</w:t>
            </w:r>
          </w:p>
          <w:p w14:paraId="1BBBC2A6" w14:textId="77777777" w:rsidR="007266CF" w:rsidRPr="002A677E" w:rsidRDefault="007266CF" w:rsidP="007266CF">
            <w:pPr>
              <w:autoSpaceDE w:val="0"/>
              <w:autoSpaceDN w:val="0"/>
              <w:adjustRightInd w:val="0"/>
              <w:spacing w:before="0" w:after="0"/>
              <w:rPr>
                <w:rFonts w:ascii="Times New Roman" w:hAnsi="Times New Roman"/>
                <w:b/>
                <w:sz w:val="24"/>
                <w:u w:val="single"/>
                <w:lang w:eastAsia="es-ES_tradnl"/>
              </w:rPr>
            </w:pPr>
          </w:p>
        </w:tc>
      </w:tr>
      <w:tr w:rsidR="007266CF" w:rsidRPr="002A677E" w14:paraId="5171A418" w14:textId="77777777" w:rsidTr="007266CF">
        <w:tc>
          <w:tcPr>
            <w:tcW w:w="1568" w:type="dxa"/>
          </w:tcPr>
          <w:p w14:paraId="2E84E09D"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3AA9B69C"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PŘITOKY CELKEM</w:t>
            </w:r>
          </w:p>
          <w:p w14:paraId="1BCF54C4"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7BF3B1BA" w14:textId="77777777" w:rsidR="007266CF" w:rsidRPr="002A677E" w:rsidRDefault="007266CF" w:rsidP="007266CF">
            <w:pPr>
              <w:spacing w:before="0" w:after="0"/>
              <w:rPr>
                <w:rFonts w:ascii="Times New Roman" w:hAnsi="Times New Roman"/>
                <w:sz w:val="24"/>
              </w:rPr>
            </w:pPr>
            <w:r>
              <w:rPr>
                <w:rFonts w:ascii="Times New Roman" w:hAnsi="Times New Roman"/>
                <w:sz w:val="24"/>
              </w:rPr>
              <w:t>Sekuritizované pozice, které jsou dluhovými cennými papíry a jsou používány jako způsobilý finanční kolaterál podle čl. 197 odst. 1 nařízení (EU) č. 575/2013 a pokud je použita jednoduchá metoda finančního kolaterálu, se vykazují jakožto přítoky v tomto sloupci.</w:t>
            </w:r>
          </w:p>
          <w:p w14:paraId="4EF61432" w14:textId="77777777" w:rsidR="007266CF" w:rsidRPr="002A677E" w:rsidRDefault="007266CF" w:rsidP="007266CF">
            <w:pPr>
              <w:autoSpaceDE w:val="0"/>
              <w:autoSpaceDN w:val="0"/>
              <w:adjustRightInd w:val="0"/>
              <w:spacing w:before="0" w:after="0"/>
              <w:rPr>
                <w:rFonts w:ascii="Times New Roman" w:hAnsi="Times New Roman"/>
                <w:b/>
                <w:sz w:val="24"/>
                <w:u w:val="single"/>
                <w:lang w:eastAsia="es-ES_tradnl"/>
              </w:rPr>
            </w:pPr>
          </w:p>
        </w:tc>
      </w:tr>
      <w:tr w:rsidR="007266CF" w:rsidRPr="002A677E" w14:paraId="33F22507" w14:textId="77777777" w:rsidTr="007266CF">
        <w:tc>
          <w:tcPr>
            <w:tcW w:w="1568" w:type="dxa"/>
          </w:tcPr>
          <w:p w14:paraId="0FB11612"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7A872DA"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ČISTÁ EXPOZICE PO ZOHLEDNĚNÍ SUBSTITUČNÍCH VLIVŮ SNIŽOVÁNÍ ÚVĚROVÉHO RIZIKA PŘED VYNÁSOBENÍM KONVERZNÍMI FAKTORY</w:t>
            </w:r>
          </w:p>
          <w:p w14:paraId="344AE585" w14:textId="77777777" w:rsidR="007266CF" w:rsidRPr="002A677E" w:rsidRDefault="007266CF" w:rsidP="007266CF">
            <w:pPr>
              <w:autoSpaceDE w:val="0"/>
              <w:autoSpaceDN w:val="0"/>
              <w:adjustRightInd w:val="0"/>
              <w:spacing w:before="0" w:after="0"/>
              <w:jc w:val="left"/>
              <w:rPr>
                <w:rStyle w:val="FormatvorlageInstructionsTabelleText"/>
                <w:rFonts w:ascii="Times New Roman" w:hAnsi="Times New Roman"/>
                <w:sz w:val="24"/>
              </w:rPr>
            </w:pPr>
          </w:p>
          <w:p w14:paraId="3853EE5E" w14:textId="77777777" w:rsidR="007266CF" w:rsidRPr="002A677E" w:rsidRDefault="007266CF" w:rsidP="007266CF">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V tomto sloupci se uvádějí expozice zařazené do odpovídající úrovně rizikové váhy a kategorie expozic po zohlednění odtoků a přítoků v důsledku technik snižování úvěrového rizika se substitučními vlivy na expozici.</w:t>
            </w:r>
          </w:p>
          <w:p w14:paraId="06EC57D4"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p>
        </w:tc>
      </w:tr>
      <w:tr w:rsidR="007266CF" w:rsidRPr="002A677E" w14:paraId="3D5443C5" w14:textId="77777777" w:rsidTr="007266CF">
        <w:tc>
          <w:tcPr>
            <w:tcW w:w="1568" w:type="dxa"/>
          </w:tcPr>
          <w:p w14:paraId="6B833C2E"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24A8AB38"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TECHNIKY SNIŽOVÁNÍ ÚVĚROVÉHO RIZIKA OVLIVŇUJÍCÍ HODNOTU EXPOZICE: MAJETKOVÉ ZAJIŠTĚNÍ ÚVĚROVÉHO RIZIKA – UPRAVENÁ HODNOTA FINANČNÍHO KOLATERÁLU (CVAM) PŘI UPLATNĚNÍ KOMPLEXNÍ METODY FINANČNÍHO KOLATERÁLU</w:t>
            </w:r>
          </w:p>
          <w:p w14:paraId="75BD5C95" w14:textId="77777777" w:rsidR="007266CF" w:rsidRPr="002A677E" w:rsidRDefault="007266CF" w:rsidP="007266CF">
            <w:pPr>
              <w:autoSpaceDE w:val="0"/>
              <w:autoSpaceDN w:val="0"/>
              <w:adjustRightInd w:val="0"/>
              <w:spacing w:before="0" w:after="0"/>
              <w:jc w:val="left"/>
              <w:rPr>
                <w:rStyle w:val="FormatvorlageInstructionsTabelleText"/>
                <w:rFonts w:ascii="Times New Roman" w:hAnsi="Times New Roman"/>
                <w:sz w:val="24"/>
              </w:rPr>
            </w:pPr>
          </w:p>
          <w:p w14:paraId="7C95A6C7" w14:textId="77777777" w:rsidR="007266CF" w:rsidRPr="002A677E" w:rsidRDefault="007266CF" w:rsidP="007266CF">
            <w:pPr>
              <w:pStyle w:val="InstructionsText"/>
            </w:pPr>
            <w:r>
              <w:t xml:space="preserve">Články 223 až 228 nařízení (EU) č. 575/2013  </w:t>
            </w:r>
          </w:p>
          <w:p w14:paraId="142C1ACE" w14:textId="77777777" w:rsidR="007266CF" w:rsidRPr="002A677E" w:rsidRDefault="007266CF" w:rsidP="007266CF">
            <w:pPr>
              <w:pStyle w:val="InstructionsText"/>
            </w:pPr>
            <w:r>
              <w:t>Do vykazované hodnoty patří rovněž úvěrové dluhové cenné papíry (článek 218 nařízení (EU) č. 575/2013).</w:t>
            </w:r>
          </w:p>
          <w:p w14:paraId="7B0D03B5" w14:textId="77777777" w:rsidR="007266CF" w:rsidRPr="001235ED" w:rsidRDefault="007266CF" w:rsidP="007266CF">
            <w:pPr>
              <w:autoSpaceDE w:val="0"/>
              <w:autoSpaceDN w:val="0"/>
              <w:adjustRightInd w:val="0"/>
              <w:spacing w:before="0" w:after="0"/>
              <w:jc w:val="left"/>
              <w:rPr>
                <w:rStyle w:val="InstructionsTabelleberschrift"/>
                <w:rFonts w:ascii="Times New Roman" w:hAnsi="Times New Roman"/>
                <w:sz w:val="24"/>
              </w:rPr>
            </w:pPr>
          </w:p>
        </w:tc>
      </w:tr>
      <w:tr w:rsidR="007266CF" w:rsidRPr="002A677E" w14:paraId="26A55666" w14:textId="77777777" w:rsidTr="007266CF">
        <w:tc>
          <w:tcPr>
            <w:tcW w:w="1568" w:type="dxa"/>
          </w:tcPr>
          <w:p w14:paraId="64B8B0B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1C600F49" w14:textId="77777777" w:rsidR="007266CF" w:rsidRPr="006223CC" w:rsidRDefault="007266CF" w:rsidP="007266CF">
            <w:pPr>
              <w:spacing w:before="0" w:after="0"/>
              <w:rPr>
                <w:rFonts w:ascii="Times New Roman" w:hAnsi="Times New Roman"/>
                <w:b/>
                <w:sz w:val="24"/>
                <w:u w:val="single"/>
                <w:lang w:val="fr-FR"/>
              </w:rPr>
            </w:pPr>
            <w:r w:rsidRPr="006223CC">
              <w:rPr>
                <w:rFonts w:ascii="Times New Roman" w:hAnsi="Times New Roman"/>
                <w:b/>
                <w:sz w:val="24"/>
                <w:u w:val="single"/>
                <w:lang w:val="fr-FR"/>
              </w:rPr>
              <w:t>PLNĚ UPRAVENÁ HODNOTA EXPOZICE (E*)</w:t>
            </w:r>
          </w:p>
          <w:p w14:paraId="2C371CD7" w14:textId="77777777" w:rsidR="007266CF" w:rsidRPr="006223CC" w:rsidRDefault="007266CF" w:rsidP="007266CF">
            <w:pPr>
              <w:pStyle w:val="Heading1"/>
              <w:rPr>
                <w:rFonts w:ascii="Times New Roman" w:eastAsia="Times New Roman" w:hAnsi="Times New Roman"/>
                <w:sz w:val="24"/>
                <w:szCs w:val="24"/>
                <w:lang w:val="fr-FR" w:eastAsia="es-ES_tradnl"/>
              </w:rPr>
            </w:pPr>
          </w:p>
          <w:p w14:paraId="595A3C38" w14:textId="77777777" w:rsidR="007266CF" w:rsidRPr="002A677E" w:rsidRDefault="007266CF" w:rsidP="007266CF">
            <w:pPr>
              <w:autoSpaceDE w:val="0"/>
              <w:autoSpaceDN w:val="0"/>
              <w:adjustRightInd w:val="0"/>
              <w:spacing w:before="0" w:after="0"/>
              <w:rPr>
                <w:rFonts w:ascii="Times New Roman" w:hAnsi="Times New Roman"/>
                <w:sz w:val="24"/>
              </w:rPr>
            </w:pPr>
            <w:r w:rsidRPr="006223CC">
              <w:rPr>
                <w:rFonts w:ascii="Times New Roman" w:hAnsi="Times New Roman"/>
                <w:sz w:val="24"/>
                <w:lang w:val="fr-FR"/>
              </w:rPr>
              <w:t>Hodnota expozice sekuritizovaných pozic vypočítaná v souladu s článkem 248 nařízení (EU) č. 575/2013, avšak bez uplatnění konverzních faktorů stanovených v čl. 248 odst. </w:t>
            </w:r>
            <w:r>
              <w:rPr>
                <w:rFonts w:ascii="Times New Roman" w:hAnsi="Times New Roman"/>
                <w:sz w:val="24"/>
              </w:rPr>
              <w:t xml:space="preserve">1 písm. b) uvedeného nařízení.  </w:t>
            </w:r>
          </w:p>
          <w:p w14:paraId="75C5218F"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tc>
      </w:tr>
      <w:tr w:rsidR="007266CF" w:rsidRPr="002A677E" w14:paraId="06C8F6FA" w14:textId="77777777" w:rsidTr="007266CF">
        <w:tc>
          <w:tcPr>
            <w:tcW w:w="1568" w:type="dxa"/>
          </w:tcPr>
          <w:p w14:paraId="2FF04CD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14:paraId="30BFA586"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Z TOHO: PODLÉHAJÍCÍ ÚVĚROVÉMU KONVERZNÍMU FAKTORU 0 %</w:t>
            </w:r>
          </w:p>
          <w:p w14:paraId="433DD6FA" w14:textId="77777777" w:rsidR="007266CF" w:rsidRPr="002A677E" w:rsidRDefault="007266CF" w:rsidP="007266CF">
            <w:pPr>
              <w:spacing w:before="0" w:after="0"/>
              <w:rPr>
                <w:rFonts w:ascii="Times New Roman" w:hAnsi="Times New Roman"/>
                <w:b/>
                <w:sz w:val="24"/>
                <w:u w:val="single"/>
                <w:lang w:eastAsia="es-ES_tradnl"/>
              </w:rPr>
            </w:pPr>
          </w:p>
          <w:p w14:paraId="366D11B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248 odst. 1 písm. b) nařízení (EU) č. 575/2013  </w:t>
            </w:r>
          </w:p>
          <w:p w14:paraId="114E15C4" w14:textId="77777777" w:rsidR="007266CF" w:rsidRPr="002A677E" w:rsidRDefault="007266CF" w:rsidP="007266CF">
            <w:pPr>
              <w:autoSpaceDE w:val="0"/>
              <w:autoSpaceDN w:val="0"/>
              <w:adjustRightInd w:val="0"/>
              <w:spacing w:before="0" w:after="0"/>
              <w:rPr>
                <w:rFonts w:ascii="Times New Roman" w:hAnsi="Times New Roman"/>
                <w:sz w:val="24"/>
                <w:lang w:eastAsia="es-ES_tradnl"/>
              </w:rPr>
            </w:pPr>
          </w:p>
          <w:p w14:paraId="7BA5CA1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tomto ohledu je konverzní faktor definován v čl. 4 odst. 1 bodu 56 nařízení (EU) č. 575/2013.</w:t>
            </w:r>
          </w:p>
          <w:p w14:paraId="22466537"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01A5C3E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Pro účely vykazování se plně upravená hodnota expozice (E*) vykazuje pro konverzní faktor 0 %.</w:t>
            </w:r>
          </w:p>
          <w:p w14:paraId="4F583A7F" w14:textId="77777777" w:rsidR="007266CF" w:rsidRPr="002A677E" w:rsidRDefault="007266CF" w:rsidP="007266CF">
            <w:pPr>
              <w:spacing w:before="0" w:after="0"/>
              <w:rPr>
                <w:rFonts w:ascii="Times New Roman" w:hAnsi="Times New Roman"/>
                <w:b/>
                <w:sz w:val="24"/>
                <w:u w:val="single"/>
              </w:rPr>
            </w:pPr>
          </w:p>
        </w:tc>
      </w:tr>
      <w:tr w:rsidR="007266CF" w:rsidRPr="002A677E" w14:paraId="14EBFE9A" w14:textId="77777777" w:rsidTr="007266CF">
        <w:tc>
          <w:tcPr>
            <w:tcW w:w="1568" w:type="dxa"/>
          </w:tcPr>
          <w:p w14:paraId="66B795C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BFA0601"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NEVRATNÁ SLEVA Z KUPNÍ CENY</w:t>
            </w:r>
          </w:p>
          <w:p w14:paraId="31C520DE" w14:textId="77777777" w:rsidR="007266CF" w:rsidRPr="002A677E" w:rsidRDefault="007266CF" w:rsidP="007266CF">
            <w:pPr>
              <w:spacing w:before="0" w:after="0"/>
              <w:jc w:val="left"/>
              <w:rPr>
                <w:rFonts w:ascii="Times New Roman" w:hAnsi="Times New Roman"/>
                <w:b/>
                <w:sz w:val="24"/>
                <w:u w:val="single"/>
              </w:rPr>
            </w:pPr>
          </w:p>
          <w:p w14:paraId="728AA994"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V souladu s čl. 248 odst. 1 písm. d) nařízení (EU) č. 575/2013 může instituce, která je původcem, odečíst od hodnoty expozice sekuritizované pozice, které je přiřazena riziková váha 1 250 %, případné nevratné slevy z kupní ceny související s podkladovými expozicemi v rozsahu, v němž tyto slevy způsobily snížení kapitálu.</w:t>
            </w:r>
          </w:p>
          <w:p w14:paraId="4C98972A"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52515799" w14:textId="77777777" w:rsidTr="007266CF">
        <w:tc>
          <w:tcPr>
            <w:tcW w:w="1568" w:type="dxa"/>
          </w:tcPr>
          <w:p w14:paraId="3C93135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159CFB0"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SPECIFICKÉ ÚPRAVY O ÚVĚROVÉ RIZIKO U PODKLADOVÝCH EXPOZIC</w:t>
            </w:r>
          </w:p>
          <w:p w14:paraId="1D818009" w14:textId="77777777" w:rsidR="007266CF" w:rsidRPr="002A677E" w:rsidRDefault="007266CF" w:rsidP="007266CF">
            <w:pPr>
              <w:spacing w:before="0" w:after="0"/>
              <w:jc w:val="left"/>
              <w:rPr>
                <w:rFonts w:ascii="Times New Roman" w:hAnsi="Times New Roman"/>
                <w:b/>
                <w:sz w:val="24"/>
                <w:u w:val="single"/>
              </w:rPr>
            </w:pPr>
          </w:p>
          <w:p w14:paraId="0C199EBB"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 xml:space="preserve">V souladu s čl. 248 odst. 1 písm. d) nařízení (EU) č. 575/2013 může instituce, která je původcem, odečíst od hodnoty expozice sekuritizované pozice, které je přiřazena riziková váha 1 250 % nebo která je odečtena od kmenového kapitálu tier 1, hodnotu specifické úpravy o úvěrové riziko u podkladových expozic určenou v souladu s článkem 110 nařízení (EU) č. 575/2013. </w:t>
            </w:r>
          </w:p>
          <w:p w14:paraId="4DEB2E05"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7F5BE005" w14:textId="77777777" w:rsidTr="007266CF">
        <w:tc>
          <w:tcPr>
            <w:tcW w:w="1568" w:type="dxa"/>
          </w:tcPr>
          <w:p w14:paraId="159A63F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5EFAF830"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HODNOTA EXPOZICE</w:t>
            </w:r>
          </w:p>
          <w:p w14:paraId="5D103F60" w14:textId="77777777" w:rsidR="007266CF" w:rsidRPr="002A677E" w:rsidRDefault="007266CF" w:rsidP="007266CF">
            <w:pPr>
              <w:spacing w:before="0" w:after="0"/>
              <w:jc w:val="left"/>
              <w:rPr>
                <w:rFonts w:ascii="Times New Roman" w:hAnsi="Times New Roman"/>
                <w:b/>
                <w:sz w:val="24"/>
                <w:u w:val="single"/>
                <w:lang w:eastAsia="es-ES_tradnl"/>
              </w:rPr>
            </w:pPr>
          </w:p>
          <w:p w14:paraId="535C1BF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Hodnota expozice sekuritizovaných pozic vypočítaná v souladu s článkem 248 nařízení (EU) č. 575/2013</w:t>
            </w:r>
          </w:p>
          <w:p w14:paraId="0FA9C79F"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3D3051AF" w14:textId="77777777" w:rsidTr="007266CF">
        <w:tc>
          <w:tcPr>
            <w:tcW w:w="1568" w:type="dxa"/>
          </w:tcPr>
          <w:p w14:paraId="02AE280A"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E42C3CC"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14:paraId="125E63D9" w14:textId="77777777" w:rsidR="007266CF" w:rsidRPr="002A677E" w:rsidRDefault="007266CF" w:rsidP="007266CF">
            <w:pPr>
              <w:spacing w:before="0" w:after="0"/>
              <w:jc w:val="left"/>
              <w:rPr>
                <w:rFonts w:ascii="Times New Roman" w:hAnsi="Times New Roman"/>
                <w:sz w:val="24"/>
              </w:rPr>
            </w:pPr>
          </w:p>
          <w:p w14:paraId="4A293441" w14:textId="77777777" w:rsidR="007266CF" w:rsidRPr="002A677E" w:rsidRDefault="007266CF" w:rsidP="007266CF">
            <w:pPr>
              <w:spacing w:before="0" w:after="0"/>
              <w:rPr>
                <w:rFonts w:ascii="Times New Roman" w:hAnsi="Times New Roman"/>
                <w:sz w:val="24"/>
              </w:rPr>
            </w:pPr>
            <w:r>
              <w:rPr>
                <w:rFonts w:ascii="Times New Roman" w:hAnsi="Times New Roman"/>
                <w:sz w:val="24"/>
              </w:rPr>
              <w:t xml:space="preserve">V souladu s </w:t>
            </w:r>
            <w:r>
              <w:rPr>
                <w:rStyle w:val="FormatvorlageInstructionsTabelleText"/>
                <w:rFonts w:ascii="Times New Roman" w:hAnsi="Times New Roman"/>
                <w:sz w:val="24"/>
              </w:rPr>
              <w:t xml:space="preserve">čl. 244 odst. 1 písm. b), čl. 245 odst. 1 písm. b) a </w:t>
            </w:r>
            <w:r>
              <w:rPr>
                <w:rFonts w:ascii="Times New Roman" w:hAnsi="Times New Roman"/>
                <w:sz w:val="24"/>
              </w:rPr>
              <w:t>čl. 253 odst. 1 nařízení (EU) č. 575/2013 v případě sekuritizované pozice, na niž se použije riziková váha 1 250 %, instituce mohou alternativně místo zařazení této pozice do výpočtu objemů rizikově vážených expozic odečíst hodnotu této expozice od kapitálu.</w:t>
            </w:r>
          </w:p>
          <w:p w14:paraId="29C672D6" w14:textId="77777777" w:rsidR="007266CF" w:rsidRPr="002A677E" w:rsidRDefault="007266CF" w:rsidP="007266CF">
            <w:pPr>
              <w:autoSpaceDE w:val="0"/>
              <w:autoSpaceDN w:val="0"/>
              <w:adjustRightInd w:val="0"/>
              <w:spacing w:before="0" w:after="0"/>
              <w:ind w:left="284" w:hanging="284"/>
              <w:jc w:val="left"/>
              <w:rPr>
                <w:rFonts w:ascii="Times New Roman" w:hAnsi="Times New Roman"/>
                <w:sz w:val="24"/>
                <w:lang w:eastAsia="es-ES_tradnl"/>
              </w:rPr>
            </w:pPr>
          </w:p>
        </w:tc>
      </w:tr>
      <w:tr w:rsidR="007266CF" w:rsidRPr="002A677E" w14:paraId="49FDD217" w14:textId="77777777" w:rsidTr="007266CF">
        <w:tc>
          <w:tcPr>
            <w:tcW w:w="1568" w:type="dxa"/>
          </w:tcPr>
          <w:p w14:paraId="01BA8D88"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6CD43D8C"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HODNOTA EXPOZICE PODLÉHAJÍCÍ RIZIKOVÝM VAHÁM</w:t>
            </w:r>
          </w:p>
          <w:p w14:paraId="254A04F9" w14:textId="77777777" w:rsidR="007266CF" w:rsidRPr="002A677E" w:rsidRDefault="007266CF" w:rsidP="007266CF">
            <w:pPr>
              <w:spacing w:before="0" w:after="0"/>
              <w:jc w:val="left"/>
              <w:rPr>
                <w:rFonts w:ascii="Times New Roman" w:hAnsi="Times New Roman"/>
                <w:b/>
                <w:sz w:val="24"/>
                <w:u w:val="single"/>
              </w:rPr>
            </w:pPr>
          </w:p>
          <w:p w14:paraId="23AD783C" w14:textId="77777777" w:rsidR="007266CF" w:rsidRPr="002A677E" w:rsidRDefault="007266CF" w:rsidP="007266CF">
            <w:pPr>
              <w:spacing w:before="0" w:after="0"/>
              <w:rPr>
                <w:rFonts w:ascii="Times New Roman" w:hAnsi="Times New Roman"/>
                <w:sz w:val="24"/>
              </w:rPr>
            </w:pPr>
            <w:r>
              <w:rPr>
                <w:rFonts w:ascii="Times New Roman" w:hAnsi="Times New Roman"/>
                <w:sz w:val="24"/>
              </w:rPr>
              <w:t>Hodnota expozice, od které se odečte hodnota expozice odečtená od kapitálu.</w:t>
            </w:r>
          </w:p>
          <w:p w14:paraId="50EA5CFA" w14:textId="77777777" w:rsidR="007266CF" w:rsidRPr="002A677E" w:rsidRDefault="007266CF" w:rsidP="007266CF">
            <w:pPr>
              <w:pStyle w:val="Heading1"/>
              <w:rPr>
                <w:rFonts w:ascii="Times New Roman" w:eastAsia="Times New Roman" w:hAnsi="Times New Roman"/>
                <w:sz w:val="24"/>
                <w:szCs w:val="24"/>
                <w:lang w:eastAsia="es-ES_tradnl"/>
              </w:rPr>
            </w:pPr>
          </w:p>
        </w:tc>
      </w:tr>
      <w:tr w:rsidR="007266CF" w:rsidRPr="006223CC" w14:paraId="3FDF70ED" w14:textId="77777777" w:rsidTr="007266CF">
        <w:tc>
          <w:tcPr>
            <w:tcW w:w="1568" w:type="dxa"/>
          </w:tcPr>
          <w:p w14:paraId="29718C1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0417BF4D"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SEC-IRBA</w:t>
            </w:r>
          </w:p>
          <w:p w14:paraId="1E128CE5" w14:textId="77777777" w:rsidR="007266CF" w:rsidRPr="002A677E" w:rsidRDefault="007266CF" w:rsidP="007266CF">
            <w:pPr>
              <w:spacing w:before="0" w:after="0"/>
              <w:jc w:val="left"/>
              <w:rPr>
                <w:rFonts w:ascii="Times New Roman" w:hAnsi="Times New Roman"/>
                <w:b/>
                <w:sz w:val="24"/>
                <w:u w:val="single"/>
              </w:rPr>
            </w:pPr>
          </w:p>
          <w:p w14:paraId="48B3EF34" w14:textId="77777777" w:rsidR="007266CF" w:rsidRPr="006223CC" w:rsidRDefault="007266CF" w:rsidP="007266CF">
            <w:pPr>
              <w:spacing w:before="0" w:after="0"/>
              <w:jc w:val="left"/>
              <w:rPr>
                <w:rFonts w:ascii="Times New Roman" w:hAnsi="Times New Roman"/>
                <w:sz w:val="24"/>
                <w:lang w:val="fr-FR"/>
              </w:rPr>
            </w:pPr>
            <w:r>
              <w:rPr>
                <w:rFonts w:ascii="Times New Roman" w:hAnsi="Times New Roman"/>
                <w:sz w:val="24"/>
              </w:rPr>
              <w:t>Ustanovení čl. 254 odst. </w:t>
            </w:r>
            <w:r w:rsidRPr="006223CC">
              <w:rPr>
                <w:rFonts w:ascii="Times New Roman" w:hAnsi="Times New Roman"/>
                <w:sz w:val="24"/>
                <w:lang w:val="fr-FR"/>
              </w:rPr>
              <w:t>1 písm. a) nařízení (EU) č. 575/2013</w:t>
            </w:r>
          </w:p>
          <w:p w14:paraId="39EC78B4" w14:textId="77777777" w:rsidR="007266CF" w:rsidRPr="006223CC" w:rsidRDefault="007266CF" w:rsidP="007266CF">
            <w:pPr>
              <w:spacing w:before="0" w:after="0"/>
              <w:jc w:val="left"/>
              <w:rPr>
                <w:rFonts w:ascii="Times New Roman" w:hAnsi="Times New Roman"/>
                <w:sz w:val="24"/>
                <w:lang w:val="fr-FR"/>
              </w:rPr>
            </w:pPr>
          </w:p>
        </w:tc>
      </w:tr>
      <w:tr w:rsidR="007266CF" w:rsidRPr="002A677E" w14:paraId="36E0CCF3" w14:textId="77777777" w:rsidTr="007266CF">
        <w:tc>
          <w:tcPr>
            <w:tcW w:w="1568" w:type="dxa"/>
          </w:tcPr>
          <w:p w14:paraId="79FBFE4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0220–0260</w:t>
            </w:r>
          </w:p>
        </w:tc>
        <w:tc>
          <w:tcPr>
            <w:tcW w:w="7436" w:type="dxa"/>
          </w:tcPr>
          <w:p w14:paraId="5356BCE3"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14:paraId="41993B3D" w14:textId="77777777" w:rsidR="007266CF" w:rsidRPr="002A677E" w:rsidRDefault="007266CF" w:rsidP="007266CF">
            <w:pPr>
              <w:spacing w:before="0" w:after="0"/>
              <w:jc w:val="left"/>
              <w:rPr>
                <w:rFonts w:ascii="Times New Roman" w:hAnsi="Times New Roman"/>
                <w:sz w:val="24"/>
              </w:rPr>
            </w:pPr>
          </w:p>
          <w:p w14:paraId="2E8266C8"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Expozice SEC-IRBA v členění podle rizikově vážených pásem.</w:t>
            </w:r>
          </w:p>
          <w:p w14:paraId="5BADD568" w14:textId="77777777" w:rsidR="007266CF" w:rsidRPr="002A677E" w:rsidRDefault="007266CF" w:rsidP="007266CF">
            <w:pPr>
              <w:spacing w:before="0" w:after="0"/>
              <w:jc w:val="left"/>
              <w:rPr>
                <w:rFonts w:ascii="Times New Roman" w:hAnsi="Times New Roman"/>
                <w:b/>
                <w:sz w:val="24"/>
                <w:u w:val="single"/>
              </w:rPr>
            </w:pPr>
          </w:p>
        </w:tc>
      </w:tr>
      <w:tr w:rsidR="007266CF" w:rsidRPr="006223CC" w14:paraId="3FF32454" w14:textId="77777777" w:rsidTr="007266CF">
        <w:tc>
          <w:tcPr>
            <w:tcW w:w="1568" w:type="dxa"/>
          </w:tcPr>
          <w:p w14:paraId="69235BC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0C847813"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xml:space="preserve">Z TOHO: VYPOČÍTÁNO PODLE ČL. 255 ODST. 4 (POHLEDÁVKY NABYTÉ ZA ÚPLATU) </w:t>
            </w:r>
          </w:p>
          <w:p w14:paraId="50FF2CC5" w14:textId="77777777" w:rsidR="007266CF" w:rsidRPr="002A677E" w:rsidRDefault="007266CF" w:rsidP="007266CF">
            <w:pPr>
              <w:spacing w:before="0" w:after="0"/>
              <w:jc w:val="left"/>
              <w:rPr>
                <w:rFonts w:ascii="Times New Roman" w:hAnsi="Times New Roman"/>
                <w:sz w:val="24"/>
              </w:rPr>
            </w:pPr>
          </w:p>
          <w:p w14:paraId="6865606C"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Ustanovení čl. 255 odst. 4 nařízení (EU) č. 575/2013</w:t>
            </w:r>
          </w:p>
          <w:p w14:paraId="14310DCB"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 xml:space="preserve"> </w:t>
            </w:r>
          </w:p>
          <w:p w14:paraId="38EAD035"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Pro účely tohoto sloupce se s retailovými expozicemi zachází jako s retailovými pohledávkami nabytými za úplatu, s neretailovými expozicemi pak jako s pohledávkami za podniky nabytými za úplatu.</w:t>
            </w:r>
          </w:p>
          <w:p w14:paraId="23424238" w14:textId="77777777" w:rsidR="007266CF" w:rsidRPr="006223CC" w:rsidRDefault="007266CF" w:rsidP="007266CF">
            <w:pPr>
              <w:spacing w:before="0" w:after="0"/>
              <w:jc w:val="left"/>
              <w:rPr>
                <w:rFonts w:ascii="Times New Roman" w:hAnsi="Times New Roman"/>
                <w:sz w:val="24"/>
                <w:lang w:val="fr-FR"/>
              </w:rPr>
            </w:pPr>
          </w:p>
        </w:tc>
      </w:tr>
      <w:tr w:rsidR="007266CF" w:rsidRPr="006223CC" w14:paraId="4429CBE8" w14:textId="77777777" w:rsidTr="007266CF">
        <w:tc>
          <w:tcPr>
            <w:tcW w:w="1568" w:type="dxa"/>
          </w:tcPr>
          <w:p w14:paraId="6DC5770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4B73BFC0" w14:textId="77777777" w:rsidR="007266CF" w:rsidRPr="006223CC" w:rsidRDefault="007266CF" w:rsidP="007266CF">
            <w:pPr>
              <w:spacing w:before="0" w:after="0"/>
              <w:jc w:val="left"/>
              <w:rPr>
                <w:rFonts w:ascii="Times New Roman" w:hAnsi="Times New Roman"/>
                <w:b/>
                <w:sz w:val="24"/>
                <w:u w:val="single"/>
                <w:lang w:val="fr-FR"/>
              </w:rPr>
            </w:pPr>
            <w:r w:rsidRPr="006223CC">
              <w:rPr>
                <w:rFonts w:ascii="Times New Roman" w:hAnsi="Times New Roman"/>
                <w:b/>
                <w:sz w:val="24"/>
                <w:u w:val="single"/>
                <w:lang w:val="fr-FR"/>
              </w:rPr>
              <w:t>SEC-SA</w:t>
            </w:r>
          </w:p>
          <w:p w14:paraId="329006C9" w14:textId="77777777" w:rsidR="007266CF" w:rsidRPr="002A677E" w:rsidRDefault="007266CF" w:rsidP="007266CF">
            <w:pPr>
              <w:spacing w:before="0" w:after="0"/>
              <w:jc w:val="left"/>
              <w:rPr>
                <w:rFonts w:ascii="Times New Roman" w:hAnsi="Times New Roman"/>
                <w:b/>
                <w:sz w:val="24"/>
                <w:u w:val="single"/>
                <w:lang w:val="fr-BE"/>
              </w:rPr>
            </w:pPr>
          </w:p>
          <w:p w14:paraId="5A612549" w14:textId="77777777" w:rsidR="007266CF" w:rsidRPr="006223CC" w:rsidRDefault="007266CF" w:rsidP="007266CF">
            <w:pPr>
              <w:spacing w:before="0" w:after="0"/>
              <w:jc w:val="left"/>
              <w:rPr>
                <w:rFonts w:ascii="Times New Roman" w:hAnsi="Times New Roman"/>
                <w:b/>
                <w:sz w:val="24"/>
                <w:u w:val="single"/>
                <w:lang w:val="fr-FR"/>
              </w:rPr>
            </w:pPr>
            <w:r w:rsidRPr="006223CC">
              <w:rPr>
                <w:rFonts w:ascii="Times New Roman" w:hAnsi="Times New Roman"/>
                <w:sz w:val="24"/>
                <w:lang w:val="fr-FR"/>
              </w:rPr>
              <w:t>Ustanovení čl. 254 odst. 1 písm. b) nařízení (EU) č. 575/2013</w:t>
            </w:r>
          </w:p>
          <w:p w14:paraId="5BE03A4F" w14:textId="77777777" w:rsidR="007266CF" w:rsidRPr="006223CC" w:rsidRDefault="007266CF" w:rsidP="007266CF">
            <w:pPr>
              <w:spacing w:before="0" w:after="0"/>
              <w:jc w:val="left"/>
              <w:rPr>
                <w:rFonts w:ascii="Times New Roman" w:hAnsi="Times New Roman"/>
                <w:sz w:val="24"/>
                <w:lang w:val="fr-FR"/>
              </w:rPr>
            </w:pPr>
          </w:p>
        </w:tc>
      </w:tr>
      <w:tr w:rsidR="007266CF" w:rsidRPr="006223CC" w14:paraId="45C8C1F1" w14:textId="77777777" w:rsidTr="007266CF">
        <w:tc>
          <w:tcPr>
            <w:tcW w:w="1568" w:type="dxa"/>
          </w:tcPr>
          <w:p w14:paraId="128049A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5E95E18F"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14:paraId="36FB01A4" w14:textId="77777777" w:rsidR="007266CF" w:rsidRPr="002A677E" w:rsidRDefault="007266CF" w:rsidP="007266CF">
            <w:pPr>
              <w:spacing w:before="0" w:after="0"/>
              <w:jc w:val="left"/>
              <w:rPr>
                <w:rFonts w:ascii="Times New Roman" w:hAnsi="Times New Roman"/>
                <w:sz w:val="24"/>
              </w:rPr>
            </w:pPr>
          </w:p>
          <w:p w14:paraId="567AD07C"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Expozice SEC-SA v členění podle rizikově vážených pásem.</w:t>
            </w:r>
          </w:p>
          <w:p w14:paraId="409D1211" w14:textId="77777777" w:rsidR="007266CF" w:rsidRPr="002A677E" w:rsidRDefault="007266CF" w:rsidP="007266CF">
            <w:pPr>
              <w:spacing w:before="0" w:after="0"/>
              <w:jc w:val="left"/>
              <w:rPr>
                <w:rFonts w:ascii="Times New Roman" w:hAnsi="Times New Roman"/>
                <w:sz w:val="24"/>
                <w:u w:val="single"/>
              </w:rPr>
            </w:pPr>
          </w:p>
          <w:p w14:paraId="64CAFB07"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Pro RW = 1 250 % (W je neznámá) se v čl. 261 odst. 2 písm. b) čtvrté odrážce nařízení (EU) č. 575/2013 stanoví, že pozice v sekuritizaci musí mít rizikovou váhu 1 250 %, pokud instituce nezná stav nesplácení u více než 5 % podkladových aktiv v seskupení.</w:t>
            </w:r>
          </w:p>
          <w:p w14:paraId="5A0D281D" w14:textId="77777777" w:rsidR="007266CF" w:rsidRPr="006223CC" w:rsidRDefault="007266CF" w:rsidP="007266CF">
            <w:pPr>
              <w:spacing w:before="0" w:after="0"/>
              <w:jc w:val="left"/>
              <w:rPr>
                <w:rFonts w:ascii="Times New Roman" w:hAnsi="Times New Roman"/>
                <w:sz w:val="24"/>
                <w:u w:val="single"/>
                <w:lang w:val="fr-FR"/>
              </w:rPr>
            </w:pPr>
          </w:p>
        </w:tc>
      </w:tr>
      <w:tr w:rsidR="007266CF" w:rsidRPr="002A677E" w14:paraId="76EB0B4B" w14:textId="77777777" w:rsidTr="007266CF">
        <w:tc>
          <w:tcPr>
            <w:tcW w:w="1568" w:type="dxa"/>
          </w:tcPr>
          <w:p w14:paraId="41C5197C" w14:textId="77777777" w:rsidR="007266CF" w:rsidRPr="002A677E" w:rsidDel="002122FF"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416F8935"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SEC-ERBA</w:t>
            </w:r>
          </w:p>
          <w:p w14:paraId="6EEF83F4" w14:textId="77777777" w:rsidR="007266CF" w:rsidRPr="002A677E" w:rsidRDefault="007266CF" w:rsidP="007266CF">
            <w:pPr>
              <w:spacing w:before="0" w:after="0"/>
              <w:rPr>
                <w:rFonts w:ascii="Times New Roman" w:hAnsi="Times New Roman"/>
                <w:sz w:val="24"/>
              </w:rPr>
            </w:pPr>
          </w:p>
          <w:p w14:paraId="75A60F57"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 xml:space="preserve">Ustanovení čl. 254 odst. 1 písm. c) nařízení (EU) č. 575/2013  </w:t>
            </w:r>
          </w:p>
          <w:p w14:paraId="7EA7656D" w14:textId="77777777" w:rsidR="007266CF" w:rsidRPr="002A677E" w:rsidRDefault="007266CF" w:rsidP="007266CF">
            <w:pPr>
              <w:spacing w:before="0" w:after="0"/>
              <w:rPr>
                <w:rFonts w:ascii="Times New Roman" w:hAnsi="Times New Roman"/>
                <w:b/>
                <w:sz w:val="24"/>
                <w:u w:val="single"/>
              </w:rPr>
            </w:pPr>
          </w:p>
        </w:tc>
      </w:tr>
      <w:tr w:rsidR="007266CF" w:rsidRPr="002A677E" w14:paraId="3B773A90" w14:textId="77777777" w:rsidTr="007266CF">
        <w:tc>
          <w:tcPr>
            <w:tcW w:w="1568" w:type="dxa"/>
          </w:tcPr>
          <w:p w14:paraId="321D3076"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4D8EE38"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ROZČLENĚNÍ PODLE STUPŇŮ ÚVĚROVÉ KVALITY (KRÁTKODOBÉ/DLOUHODOBÉ STUPNĚ ÚVĚROVÉ KVALITY)</w:t>
            </w:r>
          </w:p>
          <w:p w14:paraId="31379B88" w14:textId="77777777" w:rsidR="007266CF" w:rsidRPr="002A677E" w:rsidRDefault="007266CF" w:rsidP="007266CF">
            <w:pPr>
              <w:spacing w:before="0" w:after="0"/>
              <w:rPr>
                <w:rFonts w:ascii="Times New Roman" w:hAnsi="Times New Roman"/>
                <w:sz w:val="24"/>
              </w:rPr>
            </w:pPr>
          </w:p>
          <w:p w14:paraId="3D568B4B" w14:textId="77777777" w:rsidR="007266CF" w:rsidRPr="002A677E" w:rsidRDefault="007266CF" w:rsidP="007266CF">
            <w:pPr>
              <w:spacing w:before="0" w:after="0"/>
              <w:rPr>
                <w:rFonts w:ascii="Times New Roman" w:hAnsi="Times New Roman"/>
                <w:sz w:val="24"/>
              </w:rPr>
            </w:pPr>
            <w:r>
              <w:rPr>
                <w:rFonts w:ascii="Times New Roman" w:hAnsi="Times New Roman"/>
                <w:sz w:val="24"/>
              </w:rPr>
              <w:t>Článek 263 nařízení (EU) č. 575/2013</w:t>
            </w:r>
          </w:p>
          <w:p w14:paraId="3C2AA2C0" w14:textId="77777777" w:rsidR="007266CF" w:rsidRPr="002A677E" w:rsidRDefault="007266CF" w:rsidP="007266CF">
            <w:pPr>
              <w:spacing w:before="0" w:after="0"/>
              <w:rPr>
                <w:rFonts w:ascii="Times New Roman" w:hAnsi="Times New Roman"/>
                <w:sz w:val="24"/>
              </w:rPr>
            </w:pPr>
          </w:p>
          <w:p w14:paraId="4AB265CF" w14:textId="77777777" w:rsidR="007266CF" w:rsidRPr="002A677E" w:rsidRDefault="007266CF" w:rsidP="007266CF">
            <w:pPr>
              <w:spacing w:before="0" w:after="0"/>
              <w:rPr>
                <w:rFonts w:ascii="Times New Roman" w:hAnsi="Times New Roman"/>
                <w:sz w:val="24"/>
              </w:rPr>
            </w:pPr>
            <w:r>
              <w:rPr>
                <w:rFonts w:ascii="Times New Roman" w:hAnsi="Times New Roman"/>
                <w:sz w:val="24"/>
              </w:rPr>
              <w:t>Sekuritizované pozice v rámci přístupu SEC-ERBA s odvozeným ratingem uvedené v čl. 254 odst. 2 nařízení (EU) č. 575/2013 se vykazují jako pozice s ratingem.</w:t>
            </w:r>
          </w:p>
          <w:p w14:paraId="38F889AC" w14:textId="77777777" w:rsidR="007266CF" w:rsidRPr="002A677E" w:rsidRDefault="007266CF" w:rsidP="007266CF">
            <w:pPr>
              <w:spacing w:before="0" w:after="0"/>
              <w:rPr>
                <w:rFonts w:ascii="Times New Roman" w:hAnsi="Times New Roman"/>
                <w:sz w:val="24"/>
              </w:rPr>
            </w:pPr>
          </w:p>
          <w:p w14:paraId="31C64C4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Hodnoty expozic podléhající rizikové váze jsou členěny podle krátkodobých a dlouhodobých stupňů úvěrové kvality stanovených v článku 263 tabulkách 1 a 2 a v článku 264 tabulkách 3 a 4 nařízení (EU) č. 575/2013. </w:t>
            </w:r>
          </w:p>
          <w:p w14:paraId="1F69DE05" w14:textId="77777777" w:rsidR="007266CF" w:rsidRPr="002A677E" w:rsidRDefault="007266CF" w:rsidP="007266CF">
            <w:pPr>
              <w:pStyle w:val="Heading1"/>
              <w:rPr>
                <w:rFonts w:ascii="Times New Roman" w:eastAsia="Times New Roman" w:hAnsi="Times New Roman"/>
                <w:sz w:val="24"/>
                <w:szCs w:val="24"/>
                <w:lang w:eastAsia="es-ES_tradnl"/>
              </w:rPr>
            </w:pPr>
          </w:p>
        </w:tc>
      </w:tr>
      <w:tr w:rsidR="007266CF" w:rsidRPr="002A677E" w14:paraId="1EF5B54D" w14:textId="77777777" w:rsidTr="007266CF">
        <w:tc>
          <w:tcPr>
            <w:tcW w:w="1568" w:type="dxa"/>
          </w:tcPr>
          <w:p w14:paraId="680E6A7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C186F38"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ROZČLENĚNÍ PODLE DŮVODU PRO UPLATNĚNÍ SEC-ERBA</w:t>
            </w:r>
          </w:p>
          <w:p w14:paraId="206F6C18" w14:textId="77777777" w:rsidR="007266CF" w:rsidRPr="002A677E" w:rsidRDefault="007266CF" w:rsidP="007266CF">
            <w:pPr>
              <w:spacing w:before="0" w:after="0"/>
              <w:rPr>
                <w:rFonts w:ascii="Times New Roman" w:hAnsi="Times New Roman"/>
                <w:b/>
                <w:sz w:val="24"/>
                <w:u w:val="single"/>
              </w:rPr>
            </w:pPr>
          </w:p>
          <w:p w14:paraId="6D92A9C3" w14:textId="77777777" w:rsidR="007266CF" w:rsidRPr="002A677E" w:rsidRDefault="007266CF" w:rsidP="007266CF">
            <w:pPr>
              <w:spacing w:before="0" w:after="0"/>
              <w:rPr>
                <w:rFonts w:ascii="Times New Roman" w:hAnsi="Times New Roman"/>
                <w:sz w:val="24"/>
              </w:rPr>
            </w:pPr>
            <w:r>
              <w:rPr>
                <w:rFonts w:ascii="Times New Roman" w:hAnsi="Times New Roman"/>
                <w:sz w:val="24"/>
              </w:rPr>
              <w:t>U každé sekuritizované pozice posoudí instituce jednu z následujících možností v sloupcích 0580–0620.</w:t>
            </w:r>
          </w:p>
          <w:p w14:paraId="2E877DE6" w14:textId="77777777" w:rsidR="007266CF" w:rsidRPr="002A677E" w:rsidRDefault="007266CF" w:rsidP="007266CF">
            <w:pPr>
              <w:spacing w:before="0" w:after="0"/>
              <w:rPr>
                <w:rFonts w:ascii="Times New Roman" w:hAnsi="Times New Roman"/>
                <w:sz w:val="24"/>
                <w:u w:val="single"/>
              </w:rPr>
            </w:pPr>
          </w:p>
        </w:tc>
      </w:tr>
      <w:tr w:rsidR="007266CF" w:rsidRPr="002A677E" w14:paraId="27F973AA" w14:textId="77777777" w:rsidTr="007266CF">
        <w:tc>
          <w:tcPr>
            <w:tcW w:w="1568" w:type="dxa"/>
          </w:tcPr>
          <w:p w14:paraId="53390F2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0580</w:t>
            </w:r>
          </w:p>
        </w:tc>
        <w:tc>
          <w:tcPr>
            <w:tcW w:w="7436" w:type="dxa"/>
          </w:tcPr>
          <w:p w14:paraId="4F07569C"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PŮJČKY A LEASINGY NA AUTOMOBILY A LEASINGY NA ZAŘÍZENÍ</w:t>
            </w:r>
          </w:p>
          <w:p w14:paraId="679279C8" w14:textId="77777777" w:rsidR="007266CF" w:rsidRPr="002A677E" w:rsidRDefault="007266CF" w:rsidP="007266CF">
            <w:pPr>
              <w:spacing w:before="0" w:after="0"/>
              <w:rPr>
                <w:rFonts w:ascii="Times New Roman" w:hAnsi="Times New Roman"/>
                <w:b/>
                <w:sz w:val="24"/>
                <w:u w:val="single"/>
              </w:rPr>
            </w:pPr>
          </w:p>
          <w:p w14:paraId="7956E90F" w14:textId="77777777" w:rsidR="007266CF" w:rsidRPr="002A677E" w:rsidRDefault="007266CF" w:rsidP="007266CF">
            <w:pPr>
              <w:spacing w:before="0" w:after="0"/>
              <w:rPr>
                <w:rFonts w:ascii="Times New Roman" w:hAnsi="Times New Roman"/>
                <w:sz w:val="24"/>
              </w:rPr>
            </w:pPr>
            <w:r>
              <w:rPr>
                <w:rFonts w:ascii="Times New Roman" w:hAnsi="Times New Roman"/>
                <w:sz w:val="24"/>
              </w:rPr>
              <w:t xml:space="preserve"> Ustanovení čl. 254 odst. 2 písm. c) nařízení (EU) č. 575/2013  </w:t>
            </w:r>
          </w:p>
          <w:p w14:paraId="1637EAE0" w14:textId="77777777" w:rsidR="007266CF" w:rsidRPr="002A677E" w:rsidRDefault="007266CF" w:rsidP="007266CF">
            <w:pPr>
              <w:spacing w:before="0" w:after="0"/>
              <w:rPr>
                <w:rFonts w:ascii="Times New Roman" w:hAnsi="Times New Roman"/>
                <w:sz w:val="24"/>
              </w:rPr>
            </w:pPr>
          </w:p>
          <w:p w14:paraId="7A3A41C1" w14:textId="77777777" w:rsidR="007266CF" w:rsidRPr="002A677E" w:rsidRDefault="007266CF" w:rsidP="007266CF">
            <w:pPr>
              <w:spacing w:before="0" w:after="0"/>
              <w:rPr>
                <w:rFonts w:ascii="Times New Roman" w:hAnsi="Times New Roman"/>
                <w:b/>
                <w:sz w:val="24"/>
                <w:u w:val="single"/>
              </w:rPr>
            </w:pPr>
            <w:r>
              <w:rPr>
                <w:rFonts w:ascii="Times New Roman" w:hAnsi="Times New Roman"/>
                <w:sz w:val="24"/>
              </w:rPr>
              <w:t>V tomto sloupci se vykazují všechny půjčky a leasingy na automobily a leasingy na zařízení, i když splňují požadavky podle čl. 254 odst. 2 písm. a) nebo b) nařízení (EU) č. 575/2013.</w:t>
            </w:r>
          </w:p>
        </w:tc>
      </w:tr>
      <w:tr w:rsidR="007266CF" w:rsidRPr="002A677E" w14:paraId="427E4439" w14:textId="77777777" w:rsidTr="007266CF">
        <w:tc>
          <w:tcPr>
            <w:tcW w:w="1568" w:type="dxa"/>
          </w:tcPr>
          <w:p w14:paraId="27D6FFA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7E195FCF"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MOŽNOST SEC-ERBA</w:t>
            </w:r>
          </w:p>
          <w:p w14:paraId="2E7D7B5E" w14:textId="77777777" w:rsidR="007266CF" w:rsidRPr="00047034" w:rsidRDefault="007266CF" w:rsidP="007266CF">
            <w:pPr>
              <w:spacing w:before="0" w:after="0"/>
              <w:rPr>
                <w:rFonts w:ascii="Times New Roman" w:hAnsi="Times New Roman"/>
                <w:b/>
                <w:sz w:val="24"/>
                <w:u w:val="single"/>
              </w:rPr>
            </w:pPr>
          </w:p>
          <w:p w14:paraId="1EF27FAB" w14:textId="77777777" w:rsidR="007266CF" w:rsidRPr="002A677E" w:rsidRDefault="007266CF" w:rsidP="007266CF">
            <w:pPr>
              <w:spacing w:before="0" w:after="0"/>
              <w:rPr>
                <w:rFonts w:ascii="Times New Roman" w:hAnsi="Times New Roman"/>
                <w:sz w:val="24"/>
              </w:rPr>
            </w:pPr>
            <w:r>
              <w:rPr>
                <w:rFonts w:ascii="Times New Roman" w:hAnsi="Times New Roman"/>
                <w:sz w:val="24"/>
              </w:rPr>
              <w:t>Ustanovení čl. 254 odst. 3 nařízení (EU) č. 575/2013</w:t>
            </w:r>
          </w:p>
          <w:p w14:paraId="581897A4" w14:textId="77777777" w:rsidR="007266CF" w:rsidRPr="00047034" w:rsidRDefault="007266CF" w:rsidP="007266CF">
            <w:pPr>
              <w:spacing w:before="0" w:after="0"/>
              <w:rPr>
                <w:rFonts w:ascii="Times New Roman" w:hAnsi="Times New Roman"/>
                <w:b/>
                <w:sz w:val="24"/>
                <w:u w:val="single"/>
              </w:rPr>
            </w:pPr>
          </w:p>
        </w:tc>
      </w:tr>
      <w:tr w:rsidR="007266CF" w:rsidRPr="002A677E" w14:paraId="24214B52" w14:textId="77777777" w:rsidTr="007266CF">
        <w:tc>
          <w:tcPr>
            <w:tcW w:w="1568" w:type="dxa"/>
          </w:tcPr>
          <w:p w14:paraId="010C09C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45E03E02" w14:textId="77777777" w:rsidR="007266CF" w:rsidRPr="002A677E" w:rsidRDefault="007266CF" w:rsidP="007266CF">
            <w:pPr>
              <w:spacing w:before="0" w:after="0"/>
              <w:rPr>
                <w:rFonts w:ascii="Times New Roman" w:hAnsi="Times New Roman"/>
                <w:b/>
                <w:bCs/>
                <w:sz w:val="24"/>
                <w:u w:val="single"/>
              </w:rPr>
            </w:pPr>
            <w:r>
              <w:rPr>
                <w:rFonts w:ascii="Times New Roman" w:hAnsi="Times New Roman"/>
                <w:b/>
                <w:sz w:val="24"/>
                <w:u w:val="single"/>
              </w:rPr>
              <w:t>POZICE PODLÉHAJÍCÍ USTANOVENÍ ČL. 254 ODST. 2 PÍSM. a) NAŘÍZENÍ (EU) Č. 575/2013</w:t>
            </w:r>
          </w:p>
          <w:p w14:paraId="46B7B256" w14:textId="77777777" w:rsidR="007266CF" w:rsidRPr="002A677E" w:rsidRDefault="007266CF" w:rsidP="007266CF">
            <w:pPr>
              <w:spacing w:before="0" w:after="0"/>
              <w:rPr>
                <w:rFonts w:ascii="Times New Roman" w:hAnsi="Times New Roman"/>
                <w:b/>
                <w:bCs/>
                <w:sz w:val="24"/>
                <w:u w:val="single"/>
              </w:rPr>
            </w:pPr>
          </w:p>
          <w:p w14:paraId="104169DB" w14:textId="77777777" w:rsidR="007266CF" w:rsidRPr="002A677E" w:rsidRDefault="007266CF" w:rsidP="007266CF">
            <w:pPr>
              <w:spacing w:before="0" w:after="0"/>
              <w:rPr>
                <w:rFonts w:ascii="Times New Roman" w:hAnsi="Times New Roman"/>
                <w:sz w:val="24"/>
              </w:rPr>
            </w:pPr>
            <w:r>
              <w:rPr>
                <w:rFonts w:ascii="Times New Roman" w:hAnsi="Times New Roman"/>
                <w:sz w:val="24"/>
              </w:rPr>
              <w:t>Ustanovení čl. 254 odst. 2 písm. a) nařízení (EU) č. 575/2013</w:t>
            </w:r>
          </w:p>
          <w:p w14:paraId="3886BD84" w14:textId="77777777" w:rsidR="007266CF" w:rsidRPr="002A677E" w:rsidRDefault="007266CF" w:rsidP="007266CF">
            <w:pPr>
              <w:spacing w:before="0" w:after="0"/>
              <w:rPr>
                <w:rFonts w:ascii="Times New Roman" w:hAnsi="Times New Roman"/>
                <w:sz w:val="24"/>
              </w:rPr>
            </w:pPr>
          </w:p>
        </w:tc>
      </w:tr>
      <w:tr w:rsidR="007266CF" w:rsidRPr="002A677E" w14:paraId="3CE0873A" w14:textId="77777777" w:rsidTr="007266CF">
        <w:tc>
          <w:tcPr>
            <w:tcW w:w="1568" w:type="dxa"/>
          </w:tcPr>
          <w:p w14:paraId="2C533E8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10920A80"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 xml:space="preserve">POZICE PODLÉHAJÍCÍ USTANOVENÍ ČL. 254 ODST. 2 PÍSM. b) NAŘÍZENÍ (EU) Č. 575/2013  </w:t>
            </w:r>
          </w:p>
          <w:p w14:paraId="4DA97AFC" w14:textId="77777777" w:rsidR="007266CF" w:rsidRPr="002A677E" w:rsidRDefault="007266CF" w:rsidP="007266CF">
            <w:pPr>
              <w:spacing w:before="0" w:after="0"/>
              <w:rPr>
                <w:rFonts w:ascii="Times New Roman" w:hAnsi="Times New Roman"/>
                <w:b/>
                <w:sz w:val="24"/>
                <w:u w:val="single"/>
              </w:rPr>
            </w:pPr>
          </w:p>
          <w:p w14:paraId="79DFEF02" w14:textId="77777777" w:rsidR="007266CF" w:rsidRPr="002A677E" w:rsidRDefault="007266CF" w:rsidP="007266CF">
            <w:pPr>
              <w:spacing w:before="0" w:after="0"/>
              <w:rPr>
                <w:rFonts w:ascii="Times New Roman" w:hAnsi="Times New Roman"/>
                <w:sz w:val="24"/>
              </w:rPr>
            </w:pPr>
            <w:r>
              <w:rPr>
                <w:rFonts w:ascii="Times New Roman" w:hAnsi="Times New Roman"/>
                <w:sz w:val="24"/>
              </w:rPr>
              <w:t>Ustanovení čl. 254 odst. 2 písm. b) nařízení (EU) č. 575/2013</w:t>
            </w:r>
          </w:p>
          <w:p w14:paraId="1EE11B49" w14:textId="77777777" w:rsidR="007266CF" w:rsidRPr="002A677E" w:rsidRDefault="007266CF" w:rsidP="007266CF">
            <w:pPr>
              <w:spacing w:before="0" w:after="0"/>
              <w:rPr>
                <w:rFonts w:ascii="Times New Roman" w:hAnsi="Times New Roman"/>
                <w:b/>
                <w:sz w:val="24"/>
                <w:u w:val="single"/>
              </w:rPr>
            </w:pPr>
          </w:p>
        </w:tc>
      </w:tr>
      <w:tr w:rsidR="007266CF" w:rsidRPr="002A677E" w14:paraId="1A17F0A3" w14:textId="77777777" w:rsidTr="007266CF">
        <w:tc>
          <w:tcPr>
            <w:tcW w:w="1568" w:type="dxa"/>
          </w:tcPr>
          <w:p w14:paraId="0CB08F6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C79C891" w14:textId="77777777" w:rsidR="007266CF" w:rsidRPr="002A677E" w:rsidRDefault="007266CF" w:rsidP="007266CF">
            <w:pPr>
              <w:spacing w:before="0" w:after="0"/>
              <w:rPr>
                <w:rFonts w:ascii="Times New Roman" w:hAnsi="Times New Roman"/>
                <w:b/>
                <w:bCs/>
                <w:sz w:val="24"/>
                <w:u w:val="single"/>
              </w:rPr>
            </w:pPr>
            <w:r>
              <w:rPr>
                <w:rFonts w:ascii="Times New Roman" w:hAnsi="Times New Roman"/>
                <w:b/>
                <w:sz w:val="24"/>
                <w:u w:val="single"/>
              </w:rPr>
              <w:t>POZICE PODLÉHAJÍCÍ USTANOVENÍ ČL. 254 ODST. 4 NEBO ČL. 258 ODST. 2 NAŘÍZENÍ (EU) Č. 575/2013</w:t>
            </w:r>
          </w:p>
          <w:p w14:paraId="17104955" w14:textId="77777777" w:rsidR="007266CF" w:rsidRPr="002A677E" w:rsidRDefault="007266CF" w:rsidP="007266CF">
            <w:pPr>
              <w:spacing w:before="0" w:after="0"/>
              <w:rPr>
                <w:rFonts w:ascii="Times New Roman" w:hAnsi="Times New Roman"/>
                <w:sz w:val="24"/>
              </w:rPr>
            </w:pPr>
          </w:p>
          <w:p w14:paraId="66D9EFA8" w14:textId="77777777" w:rsidR="007266CF" w:rsidRPr="002A677E" w:rsidRDefault="007266CF" w:rsidP="007266CF">
            <w:pPr>
              <w:spacing w:before="0" w:after="0"/>
              <w:rPr>
                <w:rFonts w:ascii="Times New Roman" w:hAnsi="Times New Roman"/>
                <w:sz w:val="24"/>
              </w:rPr>
            </w:pPr>
            <w:r>
              <w:rPr>
                <w:rFonts w:ascii="Times New Roman" w:hAnsi="Times New Roman"/>
                <w:sz w:val="24"/>
              </w:rPr>
              <w:t>Sekuritizované pozice podléhající SEC-ERBA, u nichž bylo použití SEC-IRBA nebo SEC-SA příslušnými orgány vyloučeno v souladu s čl. 254 odst. 4 nebo čl. 258 odst. 2 nařízení (EU) č. 575/2013.</w:t>
            </w:r>
          </w:p>
          <w:p w14:paraId="51CBFF8F" w14:textId="77777777" w:rsidR="007266CF" w:rsidRPr="002A677E" w:rsidRDefault="007266CF" w:rsidP="007266CF">
            <w:pPr>
              <w:spacing w:before="0" w:after="0"/>
              <w:rPr>
                <w:rFonts w:ascii="Times New Roman" w:hAnsi="Times New Roman"/>
                <w:b/>
                <w:sz w:val="24"/>
                <w:u w:val="single"/>
              </w:rPr>
            </w:pPr>
          </w:p>
        </w:tc>
      </w:tr>
      <w:tr w:rsidR="007266CF" w:rsidRPr="002A677E" w14:paraId="1A31A206" w14:textId="77777777" w:rsidTr="007266CF">
        <w:tc>
          <w:tcPr>
            <w:tcW w:w="1568" w:type="dxa"/>
          </w:tcPr>
          <w:p w14:paraId="23774EF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31D4AF3"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 xml:space="preserve">PODLE HIERARCHIE PŘÍSTUPŮ </w:t>
            </w:r>
          </w:p>
          <w:p w14:paraId="05D1115D" w14:textId="77777777" w:rsidR="007266CF" w:rsidRPr="002A677E" w:rsidRDefault="007266CF" w:rsidP="007266CF">
            <w:pPr>
              <w:spacing w:before="0" w:after="0"/>
              <w:rPr>
                <w:rFonts w:ascii="Times New Roman" w:hAnsi="Times New Roman"/>
                <w:b/>
                <w:sz w:val="24"/>
                <w:u w:val="single"/>
              </w:rPr>
            </w:pPr>
          </w:p>
          <w:p w14:paraId="4093E265" w14:textId="77777777" w:rsidR="007266CF" w:rsidRPr="002A677E" w:rsidRDefault="007266CF" w:rsidP="007266CF">
            <w:pPr>
              <w:spacing w:before="0" w:after="0"/>
              <w:rPr>
                <w:rFonts w:ascii="Times New Roman" w:hAnsi="Times New Roman"/>
                <w:sz w:val="24"/>
              </w:rPr>
            </w:pPr>
            <w:r>
              <w:rPr>
                <w:rFonts w:ascii="Times New Roman" w:hAnsi="Times New Roman"/>
                <w:sz w:val="24"/>
              </w:rPr>
              <w:t>Sekuritizované pozice, u nichž je použit přístup SEC-ERBA podle hierarchie postupů stanovené v čl. 254 odst. 1 nařízení (EU) č. 575/2013.</w:t>
            </w:r>
          </w:p>
          <w:p w14:paraId="04610CB8" w14:textId="77777777" w:rsidR="007266CF" w:rsidRPr="002A677E" w:rsidRDefault="007266CF" w:rsidP="007266CF">
            <w:pPr>
              <w:spacing w:before="0" w:after="0"/>
              <w:rPr>
                <w:rFonts w:ascii="Times New Roman" w:hAnsi="Times New Roman"/>
                <w:b/>
                <w:sz w:val="24"/>
                <w:u w:val="single"/>
              </w:rPr>
            </w:pPr>
          </w:p>
        </w:tc>
      </w:tr>
      <w:tr w:rsidR="007266CF" w:rsidRPr="002A677E" w14:paraId="5221D1D6" w14:textId="77777777" w:rsidTr="007266CF">
        <w:tc>
          <w:tcPr>
            <w:tcW w:w="1568" w:type="dxa"/>
          </w:tcPr>
          <w:p w14:paraId="7D2175FA"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07B7E1B3"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METODA INTERNÍHO HODNOCENÍ</w:t>
            </w:r>
          </w:p>
          <w:p w14:paraId="345A3677" w14:textId="77777777" w:rsidR="007266CF" w:rsidRPr="002A677E" w:rsidRDefault="007266CF" w:rsidP="007266CF">
            <w:pPr>
              <w:spacing w:before="0" w:after="0"/>
              <w:jc w:val="left"/>
              <w:rPr>
                <w:rFonts w:ascii="Times New Roman" w:hAnsi="Times New Roman"/>
                <w:sz w:val="24"/>
              </w:rPr>
            </w:pPr>
          </w:p>
          <w:p w14:paraId="03E8540B" w14:textId="77777777" w:rsidR="007266CF" w:rsidRPr="002A677E" w:rsidRDefault="007266CF" w:rsidP="007266CF">
            <w:pPr>
              <w:spacing w:before="0" w:after="0"/>
              <w:rPr>
                <w:rFonts w:ascii="Times New Roman" w:hAnsi="Times New Roman"/>
                <w:sz w:val="24"/>
              </w:rPr>
            </w:pPr>
            <w:r>
              <w:rPr>
                <w:rFonts w:ascii="Times New Roman" w:hAnsi="Times New Roman"/>
                <w:sz w:val="24"/>
              </w:rPr>
              <w:t>Podle čl. 254 odst. 5 nařízení (EU) č. 575/2013 se v souvislosti s pozicemi v programech ABCP použije „metoda interního hodnocení“</w:t>
            </w:r>
            <w:r>
              <w:t>.</w:t>
            </w:r>
          </w:p>
          <w:p w14:paraId="02ECD130" w14:textId="77777777" w:rsidR="007266CF" w:rsidRPr="002A677E" w:rsidRDefault="007266CF" w:rsidP="007266CF">
            <w:pPr>
              <w:spacing w:before="0" w:after="0"/>
              <w:jc w:val="left"/>
              <w:rPr>
                <w:rFonts w:ascii="Times New Roman" w:hAnsi="Times New Roman"/>
                <w:sz w:val="24"/>
              </w:rPr>
            </w:pPr>
          </w:p>
        </w:tc>
      </w:tr>
      <w:tr w:rsidR="007266CF" w:rsidRPr="002A677E" w14:paraId="2D5A7E6E" w14:textId="77777777" w:rsidTr="007266CF">
        <w:tc>
          <w:tcPr>
            <w:tcW w:w="1568" w:type="dxa"/>
          </w:tcPr>
          <w:p w14:paraId="767BEFCF" w14:textId="77777777" w:rsidR="007266CF" w:rsidRPr="002A677E" w:rsidDel="002122FF"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0BABCCB7"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14:paraId="58D94D57" w14:textId="77777777" w:rsidR="007266CF" w:rsidRPr="002A677E" w:rsidRDefault="007266CF" w:rsidP="007266CF">
            <w:pPr>
              <w:spacing w:before="0" w:after="0"/>
              <w:jc w:val="left"/>
              <w:rPr>
                <w:rFonts w:ascii="Times New Roman" w:hAnsi="Times New Roman"/>
                <w:sz w:val="24"/>
              </w:rPr>
            </w:pPr>
          </w:p>
          <w:p w14:paraId="2378D9AD"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Expozice metody interního hodnocení v členění podle rizikově vážených pásem.</w:t>
            </w:r>
          </w:p>
          <w:p w14:paraId="6E4377DE"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234261AD" w14:textId="77777777" w:rsidTr="007266CF">
        <w:tc>
          <w:tcPr>
            <w:tcW w:w="1568" w:type="dxa"/>
          </w:tcPr>
          <w:p w14:paraId="03B1025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B3051E"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ZVLÁŠTNÍ ZACHÁZENÍ S PŘEDNOSTNÍMI TRANŠEMI KVALIFIKOVANÝCH SEKURITIZACÍ NEVÝKONNÝCH EXPOZIC</w:t>
            </w:r>
          </w:p>
          <w:p w14:paraId="46D81701" w14:textId="77777777" w:rsidR="007266CF" w:rsidRPr="002A677E" w:rsidRDefault="007266CF" w:rsidP="007266CF">
            <w:pPr>
              <w:spacing w:before="0" w:after="0"/>
              <w:jc w:val="left"/>
              <w:rPr>
                <w:rFonts w:ascii="Times New Roman" w:hAnsi="Times New Roman"/>
                <w:b/>
                <w:sz w:val="24"/>
                <w:u w:val="single"/>
              </w:rPr>
            </w:pPr>
          </w:p>
          <w:p w14:paraId="6AF769A9"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Ustanovení čl. 269a odst. 3 nařízení (EU) č. 575/2013</w:t>
            </w:r>
          </w:p>
          <w:p w14:paraId="309D729B"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42C0FF43" w14:textId="77777777" w:rsidTr="007266CF">
        <w:tc>
          <w:tcPr>
            <w:tcW w:w="1568" w:type="dxa"/>
          </w:tcPr>
          <w:p w14:paraId="44A9FA9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0700</w:t>
            </w:r>
          </w:p>
        </w:tc>
        <w:tc>
          <w:tcPr>
            <w:tcW w:w="7436" w:type="dxa"/>
          </w:tcPr>
          <w:p w14:paraId="48007842"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OSTATNÍ (RW = 1 250 %)</w:t>
            </w:r>
          </w:p>
          <w:p w14:paraId="5512554A" w14:textId="77777777" w:rsidR="007266CF" w:rsidRPr="002A677E" w:rsidRDefault="007266CF" w:rsidP="007266CF">
            <w:pPr>
              <w:spacing w:before="0" w:after="0"/>
              <w:jc w:val="left"/>
              <w:rPr>
                <w:rFonts w:ascii="Times New Roman" w:hAnsi="Times New Roman"/>
                <w:b/>
                <w:sz w:val="24"/>
                <w:u w:val="single"/>
              </w:rPr>
            </w:pPr>
          </w:p>
          <w:p w14:paraId="3B5EE581"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Pokud se nepoužije žádný z předchozích přístupů, je sekuritizovaným pozicím v souladu s čl. 254 odst. 7 nařízení (EU) č. 575/2013 přiřazena riziková váha 1 250 %.</w:t>
            </w:r>
          </w:p>
          <w:p w14:paraId="429755BD"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5184C25B" w14:textId="77777777" w:rsidTr="007266CF">
        <w:tc>
          <w:tcPr>
            <w:tcW w:w="1568" w:type="dxa"/>
          </w:tcPr>
          <w:p w14:paraId="010D91B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009D0F27"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OBJEM RIZIKOVĚ VÁŽENÝCH EXPOZIC</w:t>
            </w:r>
          </w:p>
          <w:p w14:paraId="245AF894" w14:textId="77777777" w:rsidR="007266CF" w:rsidRPr="002A677E" w:rsidRDefault="007266CF" w:rsidP="007266CF">
            <w:pPr>
              <w:spacing w:before="0" w:after="0"/>
              <w:jc w:val="left"/>
              <w:rPr>
                <w:rFonts w:ascii="Times New Roman" w:hAnsi="Times New Roman"/>
                <w:sz w:val="24"/>
              </w:rPr>
            </w:pPr>
          </w:p>
          <w:p w14:paraId="50FF0796" w14:textId="77777777" w:rsidR="007266CF" w:rsidRPr="002A677E" w:rsidRDefault="007266CF" w:rsidP="007266CF">
            <w:pPr>
              <w:spacing w:before="0" w:after="0"/>
              <w:rPr>
                <w:rFonts w:ascii="Times New Roman" w:hAnsi="Times New Roman"/>
                <w:sz w:val="24"/>
              </w:rPr>
            </w:pPr>
            <w:r>
              <w:rPr>
                <w:rFonts w:ascii="Times New Roman" w:hAnsi="Times New Roman"/>
                <w:sz w:val="24"/>
              </w:rPr>
              <w:t xml:space="preserve">Celkový objem rizikově vážených expozic vypočítaný podle části třetí hlavy II kapitoly 5 oddílu 3 nařízení (EU) č. 575/2013 před provedením úprav v důsledku nesouladu splatností nebo porušení ustanovení o náležité péči a s vyloučením objemu rizikově vážených expozic, který odpovídá expozicím přeřazeným prostřednictvím odtoků do jiné šablony. </w:t>
            </w:r>
          </w:p>
          <w:p w14:paraId="62D2F16D" w14:textId="77777777" w:rsidR="007266CF" w:rsidRPr="002A677E" w:rsidRDefault="007266CF" w:rsidP="007266CF">
            <w:pPr>
              <w:spacing w:before="0" w:after="0"/>
              <w:rPr>
                <w:rFonts w:ascii="Times New Roman" w:hAnsi="Times New Roman"/>
                <w:sz w:val="24"/>
              </w:rPr>
            </w:pPr>
          </w:p>
        </w:tc>
      </w:tr>
      <w:tr w:rsidR="007266CF" w:rsidRPr="002A677E" w14:paraId="1C7BBB63" w14:textId="77777777" w:rsidTr="007266CF">
        <w:tc>
          <w:tcPr>
            <w:tcW w:w="1568" w:type="dxa"/>
          </w:tcPr>
          <w:p w14:paraId="6D20FC24"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2575DE2D"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METODA INTERNÍHO HODNOCENÍ: PRŮMĚRNÁ RIZIKOVÁ VÁHA (%)</w:t>
            </w:r>
          </w:p>
          <w:p w14:paraId="35D929CF" w14:textId="77777777" w:rsidR="007266CF" w:rsidRPr="002A677E" w:rsidRDefault="007266CF" w:rsidP="007266CF">
            <w:pPr>
              <w:spacing w:before="0" w:after="0"/>
              <w:rPr>
                <w:rFonts w:ascii="Times New Roman" w:hAnsi="Times New Roman"/>
                <w:sz w:val="24"/>
              </w:rPr>
            </w:pPr>
          </w:p>
          <w:p w14:paraId="6725AC49"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V tomto sloupci se vykazují expozicí vážené průměrné rizikové váhy sekuritizovaných pozic.</w:t>
            </w:r>
          </w:p>
          <w:p w14:paraId="2B4F4E4D" w14:textId="77777777" w:rsidR="007266CF" w:rsidRPr="002A677E" w:rsidRDefault="007266CF" w:rsidP="007266CF">
            <w:pPr>
              <w:spacing w:before="0" w:after="0"/>
              <w:jc w:val="left"/>
              <w:rPr>
                <w:rFonts w:ascii="Times New Roman" w:hAnsi="Times New Roman"/>
                <w:sz w:val="24"/>
              </w:rPr>
            </w:pPr>
          </w:p>
        </w:tc>
      </w:tr>
      <w:tr w:rsidR="007266CF" w:rsidRPr="002A677E" w14:paraId="5CA4F0CD" w14:textId="77777777" w:rsidTr="007266CF">
        <w:tc>
          <w:tcPr>
            <w:tcW w:w="1568" w:type="dxa"/>
          </w:tcPr>
          <w:p w14:paraId="51D08F8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491EB0E4"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OBJEM RIZIKOVĚ VÁŽENÝCH EXPOZIC – Z TOHO: SYNTETICKÉ SEKURITIZACE</w:t>
            </w:r>
          </w:p>
          <w:p w14:paraId="3974F0EC" w14:textId="77777777" w:rsidR="007266CF" w:rsidRPr="002A677E" w:rsidRDefault="007266CF" w:rsidP="007266CF">
            <w:pPr>
              <w:spacing w:before="0" w:after="0"/>
              <w:jc w:val="left"/>
              <w:rPr>
                <w:rFonts w:ascii="Times New Roman" w:hAnsi="Times New Roman"/>
                <w:sz w:val="24"/>
              </w:rPr>
            </w:pPr>
          </w:p>
          <w:p w14:paraId="564B5C42" w14:textId="77777777" w:rsidR="007266CF" w:rsidRPr="002A677E" w:rsidRDefault="007266CF" w:rsidP="007266CF">
            <w:pPr>
              <w:spacing w:before="0" w:after="0"/>
              <w:rPr>
                <w:rFonts w:ascii="Times New Roman" w:hAnsi="Times New Roman"/>
                <w:sz w:val="24"/>
              </w:rPr>
            </w:pPr>
            <w:r>
              <w:rPr>
                <w:rFonts w:ascii="Times New Roman" w:hAnsi="Times New Roman"/>
                <w:sz w:val="24"/>
              </w:rPr>
              <w:t>Vykazují se zde syntetické sekuritizace, u nichž došlo k nesouladu splatností, přičemž částka, jež má být uvedena v tomto sloupci, nebere v potaz jakýkoli nesoulad splatností.</w:t>
            </w:r>
          </w:p>
          <w:p w14:paraId="241F379B" w14:textId="77777777" w:rsidR="007266CF" w:rsidRPr="002A677E" w:rsidRDefault="007266CF" w:rsidP="007266CF">
            <w:pPr>
              <w:spacing w:before="0" w:after="0"/>
              <w:jc w:val="left"/>
              <w:rPr>
                <w:rFonts w:ascii="Times New Roman" w:hAnsi="Times New Roman"/>
                <w:sz w:val="24"/>
              </w:rPr>
            </w:pPr>
          </w:p>
        </w:tc>
      </w:tr>
      <w:tr w:rsidR="007266CF" w:rsidRPr="002A677E" w14:paraId="432A6467" w14:textId="77777777" w:rsidTr="007266CF">
        <w:tc>
          <w:tcPr>
            <w:tcW w:w="1568" w:type="dxa"/>
          </w:tcPr>
          <w:p w14:paraId="3EB6CAD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0590F9FF"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ÚPRAVA OBJEMU RIZIKOVĚ VÁŽENÝCH EXPOZIC V DŮSLEDKU NESOULADU SPLATNOSTÍ</w:t>
            </w:r>
          </w:p>
          <w:p w14:paraId="25D35539" w14:textId="77777777" w:rsidR="007266CF" w:rsidRPr="002A677E" w:rsidRDefault="007266CF" w:rsidP="007266CF">
            <w:pPr>
              <w:spacing w:before="0" w:after="0"/>
              <w:jc w:val="left"/>
              <w:rPr>
                <w:rFonts w:ascii="Times New Roman" w:hAnsi="Times New Roman"/>
                <w:b/>
                <w:sz w:val="24"/>
                <w:u w:val="single"/>
                <w:lang w:eastAsia="es-ES_tradnl"/>
              </w:rPr>
            </w:pPr>
          </w:p>
          <w:p w14:paraId="37793E47" w14:textId="77777777" w:rsidR="007266CF" w:rsidRPr="002A677E" w:rsidRDefault="007266CF" w:rsidP="007266CF">
            <w:pPr>
              <w:spacing w:before="0" w:after="0"/>
              <w:rPr>
                <w:rFonts w:ascii="Times New Roman" w:hAnsi="Times New Roman"/>
                <w:sz w:val="24"/>
              </w:rPr>
            </w:pPr>
            <w:r>
              <w:rPr>
                <w:rFonts w:ascii="Times New Roman" w:hAnsi="Times New Roman"/>
                <w:sz w:val="24"/>
              </w:rPr>
              <w:t>V případě nesouladu splatností u syntetických sekuritizací se zohlední RW* – RW(SP) vypočítaná v souladu s článkem 252 nařízení (EU) č. 575/2013 s výjimkou tranší, jimž je přiřazena riziková váha 1 250 % a u nichž se vykazuje nulová částka. RW(SP) nezahrnuje pouze objemy rizikově vážených expozic uvedené ve sloupci 0650, ale také objemy rizikově vážených expozic odpovídající expozicím, které byly přeřazeny prostřednictvím odtoků do jiných šablon.</w:t>
            </w:r>
          </w:p>
          <w:p w14:paraId="41570A13" w14:textId="77777777" w:rsidR="007266CF" w:rsidRPr="002A677E" w:rsidRDefault="007266CF" w:rsidP="007266CF">
            <w:pPr>
              <w:spacing w:before="0" w:after="0"/>
              <w:rPr>
                <w:rFonts w:ascii="Times New Roman" w:hAnsi="Times New Roman"/>
                <w:sz w:val="24"/>
                <w:lang w:eastAsia="es-ES_tradnl"/>
              </w:rPr>
            </w:pPr>
          </w:p>
        </w:tc>
      </w:tr>
      <w:tr w:rsidR="007266CF" w:rsidRPr="002A677E" w14:paraId="0A768F16" w14:textId="77777777" w:rsidTr="007266CF">
        <w:tc>
          <w:tcPr>
            <w:tcW w:w="1568" w:type="dxa"/>
          </w:tcPr>
          <w:p w14:paraId="4C5A93AA" w14:textId="77777777" w:rsidR="007266CF" w:rsidRPr="002A677E" w:rsidDel="002122FF"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49DFCF3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CELKOVÝ DOPAD (ÚPRAVA) V DŮSLEDKU PORUŠENÍ KAPITOLY 2 NAŘÍZENÍ (EU) 2017/2402</w:t>
            </w:r>
            <w:r>
              <w:rPr>
                <w:rStyle w:val="FootnoteReference"/>
                <w:rFonts w:ascii="Times New Roman" w:hAnsi="Times New Roman"/>
                <w:sz w:val="24"/>
                <w:szCs w:val="24"/>
                <w:vertAlign w:val="superscript"/>
                <w:lang w:eastAsia="es-ES_tradnl"/>
              </w:rPr>
              <w:footnoteReference w:id="6"/>
            </w:r>
          </w:p>
          <w:p w14:paraId="2A1CCDB1" w14:textId="77777777" w:rsidR="007266CF" w:rsidRPr="002A677E" w:rsidRDefault="007266CF" w:rsidP="007266CF">
            <w:pPr>
              <w:spacing w:before="0" w:after="0"/>
              <w:jc w:val="left"/>
              <w:rPr>
                <w:rFonts w:ascii="Times New Roman" w:hAnsi="Times New Roman"/>
                <w:sz w:val="24"/>
                <w:lang w:eastAsia="es-ES_tradnl"/>
              </w:rPr>
            </w:pPr>
          </w:p>
          <w:p w14:paraId="2E0BC3F0" w14:textId="77777777" w:rsidR="007266CF" w:rsidRPr="002A677E" w:rsidRDefault="007266CF" w:rsidP="007266CF">
            <w:pPr>
              <w:spacing w:before="0" w:after="0"/>
              <w:jc w:val="left"/>
              <w:rPr>
                <w:rFonts w:ascii="Times New Roman" w:eastAsia="Arial" w:hAnsi="Times New Roman"/>
                <w:sz w:val="24"/>
              </w:rPr>
            </w:pPr>
            <w:r>
              <w:rPr>
                <w:rFonts w:ascii="Times New Roman" w:hAnsi="Times New Roman"/>
                <w:sz w:val="24"/>
              </w:rPr>
              <w:t xml:space="preserve">V souladu s článkem 270a nařízení (EU) č. 575/2013 platí, že pokud instituce nesplní některé požadavky, uloží příslušné orgány přiměřenou dodatečnou rizikovou váhu ve výši nejméně 250 % dané rizikové váhy (s horním limitem 1 250 %), jež by se použila na relevantní sekuritizované </w:t>
            </w:r>
            <w:r>
              <w:rPr>
                <w:rFonts w:ascii="Times New Roman" w:hAnsi="Times New Roman"/>
                <w:sz w:val="24"/>
              </w:rPr>
              <w:lastRenderedPageBreak/>
              <w:t xml:space="preserve">pozice podle části třetí hlavy II kapitoly 5 oddílu 3 nařízení (EU) č. 575/2013. </w:t>
            </w:r>
          </w:p>
          <w:p w14:paraId="1468905A"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359BF48D" w14:textId="77777777" w:rsidTr="007266CF">
        <w:tc>
          <w:tcPr>
            <w:tcW w:w="1568" w:type="dxa"/>
          </w:tcPr>
          <w:p w14:paraId="015BEFE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3F0FFBAA"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PŘED UPLATNĚNÍM HORNÍHO LIMITU</w:t>
            </w:r>
          </w:p>
          <w:p w14:paraId="633674CF" w14:textId="77777777" w:rsidR="007266CF" w:rsidRPr="002A677E" w:rsidRDefault="007266CF" w:rsidP="007266CF">
            <w:pPr>
              <w:spacing w:before="0" w:after="0"/>
              <w:jc w:val="left"/>
              <w:rPr>
                <w:rFonts w:ascii="Times New Roman" w:hAnsi="Times New Roman"/>
                <w:b/>
                <w:sz w:val="24"/>
                <w:u w:val="single"/>
                <w:lang w:eastAsia="es-ES_tradnl"/>
              </w:rPr>
            </w:pPr>
          </w:p>
          <w:p w14:paraId="3B2C1C84" w14:textId="77777777" w:rsidR="007266CF" w:rsidRPr="002A677E" w:rsidRDefault="007266CF" w:rsidP="007266CF">
            <w:pPr>
              <w:spacing w:before="0" w:after="0"/>
              <w:jc w:val="left"/>
              <w:rPr>
                <w:rFonts w:ascii="Times New Roman" w:eastAsia="Arial" w:hAnsi="Times New Roman"/>
                <w:sz w:val="24"/>
              </w:rPr>
            </w:pPr>
            <w:r>
              <w:rPr>
                <w:rFonts w:ascii="Times New Roman" w:hAnsi="Times New Roman"/>
                <w:sz w:val="24"/>
              </w:rPr>
              <w:t>Celkový objem rizikově vážené expozice vypočítaný v souladu s částí třetí hlavou II kapitolou 5 oddílem 3 nařízení (EU) č. 575/2013, před uplatněním limitů specifikovaných v článcích 267 a 268 uvedeného nařízení nebo v případě kvalifikovaných tradičních sekuritizací nevýkonných expozic před uplatněním článku 269a nařízení (EU) č. 575/2013.</w:t>
            </w:r>
          </w:p>
          <w:p w14:paraId="264EBC56" w14:textId="77777777" w:rsidR="007266CF" w:rsidRPr="002A677E" w:rsidRDefault="007266CF" w:rsidP="007266CF">
            <w:pPr>
              <w:spacing w:before="0" w:after="0"/>
              <w:jc w:val="left"/>
              <w:rPr>
                <w:rFonts w:ascii="Times New Roman" w:hAnsi="Times New Roman"/>
                <w:b/>
                <w:sz w:val="24"/>
                <w:u w:val="single"/>
                <w:lang w:eastAsia="es-ES_tradnl"/>
              </w:rPr>
            </w:pPr>
          </w:p>
        </w:tc>
      </w:tr>
      <w:tr w:rsidR="007266CF" w:rsidRPr="002A677E" w14:paraId="672450F9" w14:textId="77777777" w:rsidTr="007266CF">
        <w:tc>
          <w:tcPr>
            <w:tcW w:w="1568" w:type="dxa"/>
          </w:tcPr>
          <w:p w14:paraId="3B019FB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4859D952"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SNÍŽENÍ V DŮSLEDKU HORNÍHO LIMITU RIZIKOVÉ VÁHY</w:t>
            </w:r>
          </w:p>
          <w:p w14:paraId="39F2F974" w14:textId="77777777" w:rsidR="007266CF" w:rsidRPr="002A677E" w:rsidRDefault="007266CF" w:rsidP="007266CF">
            <w:pPr>
              <w:spacing w:before="0" w:after="0"/>
              <w:jc w:val="left"/>
              <w:rPr>
                <w:rFonts w:ascii="Times New Roman" w:hAnsi="Times New Roman"/>
                <w:b/>
                <w:sz w:val="24"/>
                <w:u w:val="single"/>
              </w:rPr>
            </w:pPr>
          </w:p>
          <w:p w14:paraId="3958A8BD"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V souladu s článkem 267 nařízení (EU) č. 575/2013 instituce, která vždy zná složení podkladových expozic, může sekuritizované pozici s vyšší předností přiřadit maximální rizikovou váhu rovnou expozicí váženému průměru rizikové váhy, která by byla použitelná pro podkladové expozice, jako kdyby tyto podkladové expozice nebyly sekuritizovány. V případě kvalifikovaných tradičních sekuritizací nevýkonných expozic se použije článek 269a nařízení (EU) č. 575/2013, a zejména odstavce 6 a 7 tohoto článku.</w:t>
            </w:r>
          </w:p>
          <w:p w14:paraId="194E2D15"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3A10E440" w14:textId="77777777" w:rsidTr="007266CF">
        <w:tc>
          <w:tcPr>
            <w:tcW w:w="1568" w:type="dxa"/>
          </w:tcPr>
          <w:p w14:paraId="7743523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6CB53E06"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SNÍŽENÍ V DŮSLEDKU CELKOVÉHO HORNÍHO LIMITU</w:t>
            </w:r>
          </w:p>
          <w:p w14:paraId="001961BF" w14:textId="77777777" w:rsidR="007266CF" w:rsidRPr="002A677E" w:rsidRDefault="007266CF" w:rsidP="007266CF">
            <w:pPr>
              <w:spacing w:before="0" w:after="0"/>
              <w:jc w:val="left"/>
              <w:rPr>
                <w:rFonts w:ascii="Times New Roman" w:hAnsi="Times New Roman"/>
                <w:b/>
                <w:sz w:val="24"/>
                <w:u w:val="single"/>
              </w:rPr>
            </w:pPr>
          </w:p>
          <w:p w14:paraId="68C78FB6"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V souladu s článkem 268 nařízení (EU) č. 575/2013 instituce, která je původcem, sponzorem či jinou institucí a která využívá přístup SEC-IRBA, nebo instituce, která je původcem nebo sponzorem a která využívá přístup SEC-SA nebo SEC-ERBA, může použít maximální kapitálový požadavek pro sekuritizovanou pozici, kterou drží, rovnající se kapitálovým požadavkům, které by se počítaly podle části třetí hlavy II kapitoly 2 nebo 3 nařízení (EU) č. 575/2013 ve vztahu k daným podkladovým expozicím, jako kdyby nebyly sekuritizovány. V případě kvalifikovaných tradičních sekuritizací nevýkonných expozic se použije článek 269a nařízení (EU) č. 575/2013, a zejména odstavce 5 a 7 tohoto článku.</w:t>
            </w:r>
          </w:p>
          <w:p w14:paraId="4AE12337"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28575AB6" w14:textId="77777777" w:rsidTr="007266CF">
        <w:tc>
          <w:tcPr>
            <w:tcW w:w="1568" w:type="dxa"/>
          </w:tcPr>
          <w:p w14:paraId="35113AF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7110467C"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CELKOVÝ OBJEM RIZIKOVĚ VÁŽENÉ EXPOZICE</w:t>
            </w:r>
          </w:p>
          <w:p w14:paraId="186CEFB2" w14:textId="77777777" w:rsidR="007266CF" w:rsidRPr="002A677E" w:rsidRDefault="007266CF" w:rsidP="007266CF">
            <w:pPr>
              <w:spacing w:before="0" w:after="0"/>
              <w:jc w:val="left"/>
              <w:rPr>
                <w:rFonts w:ascii="Times New Roman" w:hAnsi="Times New Roman"/>
                <w:b/>
                <w:sz w:val="24"/>
                <w:u w:val="single"/>
              </w:rPr>
            </w:pPr>
          </w:p>
          <w:p w14:paraId="263441D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sz w:val="24"/>
              </w:rPr>
              <w:t>Celkový objem rizikově vážené expozice vypočítaný v souladu s částí třetí hlavou II kapitolou 5 oddílem 3 nařízení (EU) č. 575/2013, se zohledněním celkové rizikové váhy specifikované v čl. 247 odst. 6 uvedeného nařízení.</w:t>
            </w:r>
          </w:p>
          <w:p w14:paraId="3DCE2467" w14:textId="77777777" w:rsidR="007266CF" w:rsidRPr="002A677E" w:rsidRDefault="007266CF" w:rsidP="007266CF">
            <w:pPr>
              <w:spacing w:before="0" w:after="0"/>
              <w:jc w:val="left"/>
              <w:rPr>
                <w:rFonts w:ascii="Times New Roman" w:hAnsi="Times New Roman"/>
                <w:b/>
                <w:sz w:val="24"/>
                <w:u w:val="single"/>
                <w:lang w:eastAsia="es-ES_tradnl"/>
              </w:rPr>
            </w:pPr>
          </w:p>
        </w:tc>
      </w:tr>
      <w:tr w:rsidR="007266CF" w:rsidRPr="002A677E" w14:paraId="4AA93E70" w14:textId="77777777" w:rsidTr="007266CF">
        <w:tc>
          <w:tcPr>
            <w:tcW w:w="1568" w:type="dxa"/>
          </w:tcPr>
          <w:p w14:paraId="3A3FC30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3B2A6F6A"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DOPLŇKOVÁ POLOŽKA: OBJEM RIZIKOVĚ VÁŽENÉ EXPOZICE ODPOVÍDAJÍCÍ ODTOKŮM ZE SEKURITIZACÍ DO JINÝCH TŘÍD EXPOZICE</w:t>
            </w:r>
          </w:p>
          <w:p w14:paraId="6600F6FE" w14:textId="77777777" w:rsidR="007266CF" w:rsidRPr="002A677E" w:rsidRDefault="007266CF" w:rsidP="007266CF">
            <w:pPr>
              <w:spacing w:before="0" w:after="0"/>
              <w:jc w:val="left"/>
              <w:rPr>
                <w:rFonts w:ascii="Times New Roman" w:hAnsi="Times New Roman"/>
                <w:sz w:val="24"/>
              </w:rPr>
            </w:pPr>
          </w:p>
          <w:p w14:paraId="4E106509" w14:textId="77777777" w:rsidR="007266CF" w:rsidRPr="002A677E" w:rsidRDefault="007266CF" w:rsidP="007266CF">
            <w:pPr>
              <w:spacing w:before="0" w:after="0"/>
              <w:rPr>
                <w:rFonts w:ascii="Times New Roman" w:hAnsi="Times New Roman"/>
                <w:sz w:val="24"/>
              </w:rPr>
            </w:pPr>
            <w:r>
              <w:rPr>
                <w:rFonts w:ascii="Times New Roman" w:hAnsi="Times New Roman"/>
                <w:sz w:val="24"/>
              </w:rPr>
              <w:lastRenderedPageBreak/>
              <w:t>Objem rizikově vážených expozic vyplývající z expozic, které byly přeřazeny k poskytovateli zmírnění rizika, a proto se vypočítávají v odpovídající šabloně, a které se zohledňují při výpočtu stropu sekuritizovaných pozic.</w:t>
            </w:r>
          </w:p>
          <w:p w14:paraId="6600E049" w14:textId="77777777" w:rsidR="007266CF" w:rsidRPr="002A677E" w:rsidRDefault="007266CF" w:rsidP="007266CF">
            <w:pPr>
              <w:spacing w:before="0" w:after="0"/>
              <w:jc w:val="left"/>
              <w:rPr>
                <w:rFonts w:ascii="Times New Roman" w:hAnsi="Times New Roman"/>
                <w:sz w:val="24"/>
              </w:rPr>
            </w:pPr>
          </w:p>
        </w:tc>
      </w:tr>
    </w:tbl>
    <w:p w14:paraId="59CD3A6F" w14:textId="77777777" w:rsidR="007266CF" w:rsidRPr="002A677E" w:rsidRDefault="007266CF" w:rsidP="007266CF">
      <w:pPr>
        <w:spacing w:before="0" w:after="0"/>
        <w:rPr>
          <w:rFonts w:ascii="Times New Roman" w:hAnsi="Times New Roman"/>
          <w:sz w:val="24"/>
        </w:rPr>
      </w:pPr>
    </w:p>
    <w:p w14:paraId="314795CF" w14:textId="77777777" w:rsidR="007266CF" w:rsidRPr="002A677E" w:rsidRDefault="007266CF" w:rsidP="007266CF">
      <w:pPr>
        <w:spacing w:before="0" w:after="0"/>
        <w:rPr>
          <w:rFonts w:ascii="Times New Roman" w:hAnsi="Times New Roman"/>
          <w:sz w:val="24"/>
        </w:rPr>
      </w:pPr>
    </w:p>
    <w:p w14:paraId="224AE5BE" w14:textId="77777777" w:rsidR="007266CF" w:rsidRPr="002A677E" w:rsidRDefault="007266CF" w:rsidP="007266CF">
      <w:pPr>
        <w:pStyle w:val="InstructionsText2"/>
        <w:numPr>
          <w:ilvl w:val="0"/>
          <w:numId w:val="0"/>
        </w:numPr>
        <w:ind w:left="1353" w:hanging="360"/>
      </w:pPr>
      <w:fldSimple w:instr=" seq paragraphs ">
        <w:r>
          <w:t>109</w:t>
        </w:r>
      </w:fldSimple>
      <w:r>
        <w:t>.</w:t>
      </w:r>
      <w:r>
        <w:tab/>
        <w:t xml:space="preserve"> Řádky v šabloně jsou rozděleny do tří hlavních skupin a shromažďují se v nich údaje o vzniklých/sponzorovaných/ponechaných nebo nabytých expozicích v případě původců, investorů a sponzorů. U každého z nich jsou údaje rozčleněny podle rozvahových položek a podrozvahových položek a derivátů a také podle toho, zda podléhá diferencovanému kapitálovému zacházení, nebo nikoli.</w:t>
      </w:r>
    </w:p>
    <w:p w14:paraId="2E5C5EB3" w14:textId="77777777" w:rsidR="007266CF" w:rsidRPr="002A677E" w:rsidRDefault="007266CF" w:rsidP="007266CF">
      <w:pPr>
        <w:pStyle w:val="InstructionsText2"/>
        <w:numPr>
          <w:ilvl w:val="0"/>
          <w:numId w:val="0"/>
        </w:numPr>
        <w:ind w:left="1353" w:hanging="360"/>
      </w:pPr>
      <w:fldSimple w:instr=" seq paragraphs ">
        <w:r>
          <w:t>110</w:t>
        </w:r>
      </w:fldSimple>
      <w:r>
        <w:t>. Pozice, se kterými se zachází metodou SEC-ERBA, a pozice bez ratingu (expozice k datu vykazování) jsou rozčleněny také podle stupňů úvěrové kvality použitých při vzniku (poslední skupina řádků). Tyto údaje vykazují původci, sponzoři i investoři.</w:t>
      </w:r>
    </w:p>
    <w:p w14:paraId="28A9C71B" w14:textId="77777777" w:rsidR="007266CF" w:rsidRPr="002A677E" w:rsidRDefault="007266CF" w:rsidP="007266CF">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7266CF" w:rsidRPr="002A677E" w14:paraId="30ECB302" w14:textId="77777777" w:rsidTr="007266CF">
        <w:tc>
          <w:tcPr>
            <w:tcW w:w="9145" w:type="dxa"/>
            <w:gridSpan w:val="2"/>
            <w:shd w:val="clear" w:color="auto" w:fill="CCCCCC"/>
          </w:tcPr>
          <w:p w14:paraId="144814A1"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p w14:paraId="2C4C1259" w14:textId="77777777" w:rsidR="007266CF" w:rsidRPr="002A677E" w:rsidRDefault="007266CF" w:rsidP="007266CF">
            <w:pPr>
              <w:autoSpaceDE w:val="0"/>
              <w:autoSpaceDN w:val="0"/>
              <w:adjustRightInd w:val="0"/>
              <w:spacing w:before="0" w:after="0"/>
              <w:rPr>
                <w:rFonts w:ascii="Times New Roman" w:hAnsi="Times New Roman"/>
                <w:b/>
                <w:bCs/>
                <w:sz w:val="24"/>
              </w:rPr>
            </w:pPr>
            <w:r>
              <w:rPr>
                <w:rFonts w:ascii="Times New Roman" w:hAnsi="Times New Roman"/>
                <w:b/>
                <w:sz w:val="24"/>
              </w:rPr>
              <w:t>Řádky</w:t>
            </w:r>
          </w:p>
          <w:p w14:paraId="7D689A19"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299271BE" w14:textId="77777777" w:rsidTr="007266CF">
        <w:tc>
          <w:tcPr>
            <w:tcW w:w="1256" w:type="dxa"/>
          </w:tcPr>
          <w:p w14:paraId="039C2C5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195EE76B"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CELKOVÉ EXPOZICE </w:t>
            </w:r>
          </w:p>
          <w:p w14:paraId="68E0C278"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1191643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Celkové expozice odkazují na celkový objem nesplacených sekuritizací a resekuritizací. Tento řádek je souhrnem všech údajů, které vykazují původci, sponzoři a investoři v následujících řádcích.</w:t>
            </w:r>
          </w:p>
          <w:p w14:paraId="11BD632D"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008F073C" w14:textId="77777777" w:rsidTr="007266CF">
        <w:tc>
          <w:tcPr>
            <w:tcW w:w="1256" w:type="dxa"/>
          </w:tcPr>
          <w:p w14:paraId="722248E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2854DA88"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SEKURITIZOVANÉ POZICE</w:t>
            </w:r>
          </w:p>
          <w:p w14:paraId="5A5067D9"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59ACE4DE"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Celkový objem nesplacených sekuritizovaných pozic ve smyslu čl. 4 odst. 1 bodu 62 nařízení (EU) č. 575/2013, které nejsou resekuritizacemi ve smyslu čl. 4 odst. 1 bodu 63 nařízení (EU) č. 575/2013.</w:t>
            </w:r>
          </w:p>
          <w:p w14:paraId="58D50E36" w14:textId="77777777" w:rsidR="007266CF" w:rsidRPr="002A677E" w:rsidDel="002866DB"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7A10482A" w14:textId="77777777" w:rsidTr="007266CF">
        <w:tc>
          <w:tcPr>
            <w:tcW w:w="1256" w:type="dxa"/>
          </w:tcPr>
          <w:p w14:paraId="0A15459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6D1A8B10"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14:paraId="2E55E3C8"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30102E5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které splňují kritéria článku 243, 270 nebo 494c nařízení (EU) č. 575/2013, a tudíž jsou způsobilé pro diferencované kapitálové zacházení.</w:t>
            </w:r>
          </w:p>
          <w:p w14:paraId="77CFCD9F" w14:textId="77777777" w:rsidR="007266CF" w:rsidRPr="002A677E" w:rsidDel="002866DB"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4E37073B" w14:textId="77777777" w:rsidTr="007266CF">
        <w:tc>
          <w:tcPr>
            <w:tcW w:w="1256" w:type="dxa"/>
          </w:tcPr>
          <w:p w14:paraId="5DAD79C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6324BCC0"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EXPOZICE V TRADIČNÍCH STS SEKURITIZACÍCH V PROGRAMU ABCP A JINÉM PROGRAMU NEŽ ABCP</w:t>
            </w:r>
          </w:p>
          <w:p w14:paraId="1369F13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STS, které splňují požadavky stanovené v článku 243 nařízení (EU) č. 575/2013.</w:t>
            </w:r>
          </w:p>
          <w:p w14:paraId="625767D3" w14:textId="77777777" w:rsidR="007266CF" w:rsidRPr="002A677E" w:rsidDel="002866DB"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446C131E" w14:textId="77777777" w:rsidTr="007266CF">
        <w:tc>
          <w:tcPr>
            <w:tcW w:w="1256" w:type="dxa"/>
          </w:tcPr>
          <w:p w14:paraId="301D4CC2"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6F167EA6"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POZICE S VYŠŠÍ PŘEDNOSTÍ A SE ZACHOVÁNÍM PRÁVNÍCH ÚČINKŮ V SYNTETICKÝCH SEKURITIZACÍCH MSP </w:t>
            </w:r>
          </w:p>
          <w:p w14:paraId="4D058DC8"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691D05A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Celkový objem pozic s vyšší předností a se zachováním právních účinků v syntetických sekuritizacích v MSP, které splňují podmínky stanovené v článku 494c nařízení (EU) č. 575/2013.</w:t>
            </w:r>
          </w:p>
          <w:p w14:paraId="196EA2E6" w14:textId="77777777" w:rsidR="007266CF" w:rsidRPr="002A677E" w:rsidDel="002866DB"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1E13B840" w14:textId="77777777" w:rsidTr="007266CF">
        <w:tc>
          <w:tcPr>
            <w:tcW w:w="1256" w:type="dxa"/>
          </w:tcPr>
          <w:p w14:paraId="01263D4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889" w:type="dxa"/>
          </w:tcPr>
          <w:p w14:paraId="33092B9A"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POZICE S VYŠŠÍ PŘEDNOSTÍ V STS ROZVAHOVÉ SEKURITIZACI</w:t>
            </w:r>
          </w:p>
          <w:p w14:paraId="01DA7AE2"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35A8D71A"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s vyšší předností v STS rozvahové sekuritizaci, které splňují podmínky stanovené v článku 270 nařízení (EU) č. 575/2013.</w:t>
            </w:r>
          </w:p>
          <w:p w14:paraId="2950DBF9"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020F0ADF" w14:textId="77777777" w:rsidTr="007266CF">
        <w:tc>
          <w:tcPr>
            <w:tcW w:w="1256" w:type="dxa"/>
          </w:tcPr>
          <w:p w14:paraId="75902C17"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a 0410</w:t>
            </w:r>
          </w:p>
        </w:tc>
        <w:tc>
          <w:tcPr>
            <w:tcW w:w="7889" w:type="dxa"/>
          </w:tcPr>
          <w:p w14:paraId="36F85B14"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NEZPŮSOBILÉ PRO DIFERENCOVANÉ KAPITÁLOVÉ ZACHÁZENÍ</w:t>
            </w:r>
          </w:p>
          <w:p w14:paraId="70CAD751"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30B34273"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Ustanovení čl. 254 odst. 1, 4, 5 a 6 a článků 259, 261, 263, 265, 266 a 269 nařízení (EU) č. 575/2013</w:t>
            </w:r>
          </w:p>
          <w:p w14:paraId="680911B6"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3EF96E73"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sz w:val="24"/>
              </w:rPr>
              <w:t>Celkový objem sekuritizovaných pozic, které nejsou způsobilé pro diferencované kapitálové zacházení.</w:t>
            </w:r>
          </w:p>
        </w:tc>
      </w:tr>
      <w:tr w:rsidR="007266CF" w:rsidRPr="002A677E" w14:paraId="3140E377" w14:textId="77777777" w:rsidTr="007266CF">
        <w:tc>
          <w:tcPr>
            <w:tcW w:w="1256" w:type="dxa"/>
          </w:tcPr>
          <w:p w14:paraId="1620BF5E"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0070, 0190, 0310 a 0430</w:t>
            </w:r>
          </w:p>
        </w:tc>
        <w:tc>
          <w:tcPr>
            <w:tcW w:w="7889" w:type="dxa"/>
          </w:tcPr>
          <w:p w14:paraId="015A2F0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RESEKURITIZOVANÉ POZICE</w:t>
            </w:r>
          </w:p>
          <w:p w14:paraId="7BCADAA8"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30336B4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Celkový objem nesplacených resekuritizovaných pozic ve smyslu čl. 4 odst. 1 bodu 64 nařízení (EU) č. 575/2013.</w:t>
            </w:r>
          </w:p>
          <w:p w14:paraId="3FA82930"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5EB13EA8" w14:textId="77777777" w:rsidTr="007266CF">
        <w:tc>
          <w:tcPr>
            <w:tcW w:w="1256" w:type="dxa"/>
          </w:tcPr>
          <w:p w14:paraId="21631B9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225E450"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PŮVODCE: CELKOVÉ EXPOZICE </w:t>
            </w:r>
          </w:p>
          <w:p w14:paraId="32B4D251"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5DF52DA3"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Tento řádek je souhrnem údajů o rozvahových položkách a podrozvahových položkách a derivátech u sekuritizovaných a resekuritizovaných pozic, vůči kterým instituce zaujímá roli původce ve smyslu čl. 4 odst. 1 bodu 13 nařízení (EU) č. 575/2013.</w:t>
            </w:r>
          </w:p>
          <w:p w14:paraId="21E4B99B" w14:textId="77777777" w:rsidR="007266CF" w:rsidRPr="002A677E" w:rsidRDefault="007266CF" w:rsidP="007266CF">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7266CF" w:rsidRPr="002A677E" w14:paraId="5EC4A020" w14:textId="77777777" w:rsidTr="007266CF">
        <w:tc>
          <w:tcPr>
            <w:tcW w:w="1256" w:type="dxa"/>
          </w:tcPr>
          <w:p w14:paraId="50BD9A9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0090-0136, 0210-0250 a 0330-0370</w:t>
            </w:r>
          </w:p>
        </w:tc>
        <w:tc>
          <w:tcPr>
            <w:tcW w:w="7889" w:type="dxa"/>
          </w:tcPr>
          <w:p w14:paraId="14E0210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SEKURITIZOVANÉ POZICE: ROZVAHOVÉ POLOŽKY </w:t>
            </w:r>
          </w:p>
          <w:p w14:paraId="755F7CF4"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6B49890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souladu s čl. 248 odst. 1 písm. a) nařízení (EU) č. 575/2013 hodnotou expozice rozvahové sekuritizované pozice je její účetní hodnota, která zůstane poté, co na sekuritizovanou pozici byly uplatněny případné relevantní specifické úpravy o úvěrové riziko v souladu s článkem 110 nařízení (EU) č. 575/2013.</w:t>
            </w:r>
          </w:p>
          <w:p w14:paraId="7F1BFE5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Rozvahové položky se člení tak, aby zachytily informace týkající se uplatnění diferencovaného kapitálového zacházení, jak je uvedeno v článku 243 nařízení (EU) č. 575/2013, v řádcích 0100 a 0120, a na celkový objem sekurizovaných pozic s vyšší předností ve smyslu čl. 242 odst. 6 uvedeného nařízení v řádcích 0110 a 0130.</w:t>
            </w:r>
          </w:p>
          <w:p w14:paraId="6FF9D747" w14:textId="77777777" w:rsidR="007266CF" w:rsidRPr="002A677E" w:rsidRDefault="007266CF" w:rsidP="007266CF">
            <w:pPr>
              <w:autoSpaceDE w:val="0"/>
              <w:autoSpaceDN w:val="0"/>
              <w:adjustRightInd w:val="0"/>
              <w:spacing w:before="0" w:after="0"/>
              <w:rPr>
                <w:rFonts w:ascii="Times New Roman" w:hAnsi="Times New Roman"/>
                <w:b/>
                <w:sz w:val="24"/>
                <w:u w:val="single"/>
                <w:lang w:eastAsia="es-ES_tradnl"/>
              </w:rPr>
            </w:pPr>
          </w:p>
        </w:tc>
      </w:tr>
      <w:tr w:rsidR="007266CF" w:rsidRPr="002A677E" w14:paraId="6B6CAEA1" w14:textId="77777777" w:rsidTr="007266CF">
        <w:tc>
          <w:tcPr>
            <w:tcW w:w="1256" w:type="dxa"/>
          </w:tcPr>
          <w:p w14:paraId="383FC3AB"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0100, 0220 a 0340</w:t>
            </w:r>
          </w:p>
        </w:tc>
        <w:tc>
          <w:tcPr>
            <w:tcW w:w="7889" w:type="dxa"/>
          </w:tcPr>
          <w:p w14:paraId="01423B03"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14:paraId="64DE84EE"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479E8A0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které splňují kritéria článku 243 nařízení (EU) č. 575/2013, a tudíž jsou způsobilé pro diferencované kapitálové zacházení.</w:t>
            </w:r>
          </w:p>
          <w:p w14:paraId="28234076"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4B9B2AE8" w14:textId="77777777" w:rsidTr="007266CF">
        <w:tc>
          <w:tcPr>
            <w:tcW w:w="1256" w:type="dxa"/>
          </w:tcPr>
          <w:p w14:paraId="4374466E"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w:t>
            </w:r>
            <w:r>
              <w:rPr>
                <w:rFonts w:ascii="Times New Roman" w:hAnsi="Times New Roman"/>
                <w:sz w:val="24"/>
              </w:rPr>
              <w:lastRenderedPageBreak/>
              <w:t>0251, 0254, 0280, 0300, 0350, 0371, 0374 0400 and 0420</w:t>
            </w:r>
          </w:p>
        </w:tc>
        <w:tc>
          <w:tcPr>
            <w:tcW w:w="7889" w:type="dxa"/>
          </w:tcPr>
          <w:p w14:paraId="5EBED22F"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Z TOHO: EXPOZICE S VYŠŠÍ PŘEDNOSTÍ</w:t>
            </w:r>
          </w:p>
          <w:p w14:paraId="59924850"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5BED0CD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s vyšší předností ve smyslu čl. 242 odst. 6 nařízení (EU) č. 575/2013.</w:t>
            </w:r>
          </w:p>
          <w:p w14:paraId="30125D89"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7FF7F218" w14:textId="77777777" w:rsidTr="007266CF">
        <w:tc>
          <w:tcPr>
            <w:tcW w:w="1256" w:type="dxa"/>
          </w:tcPr>
          <w:p w14:paraId="1AC9F3D4"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0121, 0241 a 0361</w:t>
            </w:r>
          </w:p>
        </w:tc>
        <w:tc>
          <w:tcPr>
            <w:tcW w:w="7889" w:type="dxa"/>
          </w:tcPr>
          <w:p w14:paraId="509BD4EC" w14:textId="77777777" w:rsidR="007266CF" w:rsidRPr="001235ED" w:rsidRDefault="007266CF" w:rsidP="007266CF">
            <w:pPr>
              <w:spacing w:before="0" w:after="0"/>
              <w:rPr>
                <w:rFonts w:ascii="Times New Roman" w:hAnsi="Times New Roman"/>
                <w:b/>
                <w:sz w:val="24"/>
                <w:u w:val="single"/>
              </w:rPr>
            </w:pPr>
            <w:r>
              <w:rPr>
                <w:rFonts w:ascii="Times New Roman" w:hAnsi="Times New Roman"/>
                <w:b/>
                <w:sz w:val="24"/>
                <w:u w:val="single"/>
              </w:rPr>
              <w:t>EXPOZICE V SEKURITIZACI JINÝCH NEŽ NEVÝKONNÝCH EXPOZIC</w:t>
            </w:r>
          </w:p>
          <w:p w14:paraId="05443176" w14:textId="77777777" w:rsidR="007266CF" w:rsidRPr="001235ED" w:rsidRDefault="007266CF" w:rsidP="007266CF">
            <w:pPr>
              <w:autoSpaceDE w:val="0"/>
              <w:autoSpaceDN w:val="0"/>
              <w:adjustRightInd w:val="0"/>
              <w:spacing w:before="0" w:after="0"/>
              <w:jc w:val="left"/>
              <w:rPr>
                <w:rFonts w:ascii="Times New Roman" w:hAnsi="Times New Roman"/>
                <w:sz w:val="24"/>
              </w:rPr>
            </w:pPr>
          </w:p>
          <w:p w14:paraId="242A3989" w14:textId="77777777" w:rsidR="007266CF" w:rsidRPr="001235ED"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sz w:val="24"/>
              </w:rPr>
              <w:t>Celková hodnota expozic, které nesplňují podmínky stanovené v čl. 269a odst. 1 písm. a) nařízení (EU) č. 575/2013.</w:t>
            </w:r>
          </w:p>
          <w:p w14:paraId="02EE030E" w14:textId="77777777" w:rsidR="007266CF" w:rsidRPr="001235ED" w:rsidRDefault="007266CF" w:rsidP="007266CF">
            <w:pPr>
              <w:autoSpaceDE w:val="0"/>
              <w:autoSpaceDN w:val="0"/>
              <w:adjustRightInd w:val="0"/>
              <w:spacing w:before="0" w:after="0"/>
              <w:jc w:val="left"/>
              <w:rPr>
                <w:rFonts w:ascii="Times New Roman" w:hAnsi="Times New Roman"/>
                <w:b/>
                <w:sz w:val="24"/>
                <w:u w:val="single"/>
                <w:lang w:val="en-US" w:eastAsia="es-ES_tradnl"/>
              </w:rPr>
            </w:pPr>
          </w:p>
        </w:tc>
      </w:tr>
      <w:tr w:rsidR="007266CF" w:rsidRPr="002A677E" w14:paraId="2986D0B5" w14:textId="77777777" w:rsidTr="007266CF">
        <w:tc>
          <w:tcPr>
            <w:tcW w:w="1256" w:type="dxa"/>
          </w:tcPr>
          <w:p w14:paraId="660F83E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0133, 0253 a 0373</w:t>
            </w:r>
          </w:p>
        </w:tc>
        <w:tc>
          <w:tcPr>
            <w:tcW w:w="7889" w:type="dxa"/>
          </w:tcPr>
          <w:p w14:paraId="7C43DECD" w14:textId="77777777" w:rsidR="007266CF" w:rsidRPr="00CE797B" w:rsidRDefault="007266CF" w:rsidP="007266CF">
            <w:pPr>
              <w:spacing w:before="0" w:after="0"/>
              <w:rPr>
                <w:rFonts w:ascii="Times New Roman" w:hAnsi="Times New Roman"/>
                <w:b/>
                <w:sz w:val="24"/>
                <w:u w:val="single"/>
              </w:rPr>
            </w:pPr>
            <w:r>
              <w:rPr>
                <w:rFonts w:ascii="Times New Roman" w:hAnsi="Times New Roman"/>
                <w:b/>
                <w:sz w:val="24"/>
                <w:u w:val="single"/>
              </w:rPr>
              <w:t>EXPOZICE V SEKURITIZACI NEVÝKONNÝCH EXPOZIC</w:t>
            </w:r>
          </w:p>
          <w:p w14:paraId="52C74CEB" w14:textId="77777777" w:rsidR="007266CF" w:rsidRPr="00CE797B" w:rsidRDefault="007266CF" w:rsidP="007266CF">
            <w:pPr>
              <w:spacing w:before="0" w:after="0"/>
              <w:rPr>
                <w:rFonts w:ascii="Times New Roman" w:hAnsi="Times New Roman"/>
                <w:b/>
                <w:sz w:val="24"/>
                <w:u w:val="single"/>
                <w:lang w:eastAsia="es-ES_tradnl"/>
              </w:rPr>
            </w:pPr>
          </w:p>
          <w:p w14:paraId="42DEA352" w14:textId="77777777" w:rsidR="007266CF" w:rsidRPr="002A677E" w:rsidRDefault="007266CF" w:rsidP="007266CF">
            <w:pPr>
              <w:spacing w:before="0" w:after="0"/>
              <w:rPr>
                <w:rFonts w:ascii="Times New Roman" w:hAnsi="Times New Roman"/>
                <w:sz w:val="24"/>
              </w:rPr>
            </w:pPr>
            <w:r>
              <w:rPr>
                <w:rFonts w:ascii="Times New Roman" w:hAnsi="Times New Roman"/>
                <w:sz w:val="24"/>
              </w:rPr>
              <w:t>Celková hodnota expozic, které splňují podmínky stanovené v čl. 269a odst. 1 písm. a) nařízení (EU) č. 575/2013.</w:t>
            </w:r>
          </w:p>
          <w:p w14:paraId="722C535B" w14:textId="77777777" w:rsidR="007266CF" w:rsidRPr="002A677E" w:rsidRDefault="007266CF" w:rsidP="007266CF">
            <w:pPr>
              <w:spacing w:before="0" w:after="0"/>
              <w:rPr>
                <w:rFonts w:ascii="Times New Roman" w:hAnsi="Times New Roman"/>
                <w:b/>
                <w:sz w:val="24"/>
                <w:u w:val="single"/>
                <w:lang w:eastAsia="es-ES_tradnl"/>
              </w:rPr>
            </w:pPr>
          </w:p>
        </w:tc>
      </w:tr>
      <w:tr w:rsidR="007266CF" w:rsidRPr="002A677E" w14:paraId="588108FA" w14:textId="77777777" w:rsidTr="007266CF">
        <w:tc>
          <w:tcPr>
            <w:tcW w:w="1256" w:type="dxa"/>
          </w:tcPr>
          <w:p w14:paraId="340172F7"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a 0374 </w:t>
            </w:r>
          </w:p>
        </w:tc>
        <w:tc>
          <w:tcPr>
            <w:tcW w:w="7889" w:type="dxa"/>
          </w:tcPr>
          <w:p w14:paraId="36A444F3"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Z TOHO: EXPOZICE S VYŠŠÍ PŘEDNOSTÍ V KVALIFIKOVANÉ TRADIČNÍ SEKURITIZACI NEVÝKONNÝCH EXPOZIC</w:t>
            </w:r>
          </w:p>
          <w:p w14:paraId="56F5E23C" w14:textId="77777777" w:rsidR="007266CF" w:rsidRPr="002A677E" w:rsidRDefault="007266CF" w:rsidP="007266CF">
            <w:pPr>
              <w:spacing w:before="0" w:after="0"/>
              <w:rPr>
                <w:rFonts w:ascii="Times New Roman" w:hAnsi="Times New Roman"/>
                <w:b/>
                <w:sz w:val="24"/>
                <w:u w:val="single"/>
                <w:lang w:eastAsia="es-ES_tradnl"/>
              </w:rPr>
            </w:pPr>
          </w:p>
          <w:p w14:paraId="31F50E56" w14:textId="77777777" w:rsidR="007266CF" w:rsidRPr="002A677E" w:rsidRDefault="007266CF" w:rsidP="007266CF">
            <w:pPr>
              <w:spacing w:before="0" w:after="0"/>
              <w:rPr>
                <w:rFonts w:ascii="Times New Roman" w:hAnsi="Times New Roman"/>
                <w:sz w:val="24"/>
              </w:rPr>
            </w:pPr>
            <w:r>
              <w:rPr>
                <w:rFonts w:ascii="Times New Roman" w:hAnsi="Times New Roman"/>
                <w:sz w:val="24"/>
              </w:rPr>
              <w:t>Celková hodnota expozic, které splňují podmínky stanovené v čl. 269a odst. 1 písm. b) nařízení (EU) č. 575/2013.</w:t>
            </w:r>
          </w:p>
          <w:p w14:paraId="2133BA5B" w14:textId="77777777" w:rsidR="007266CF" w:rsidRPr="001235ED" w:rsidRDefault="007266CF" w:rsidP="007266CF">
            <w:pPr>
              <w:spacing w:before="0" w:after="0"/>
              <w:rPr>
                <w:rFonts w:ascii="Times New Roman" w:hAnsi="Times New Roman"/>
                <w:b/>
                <w:sz w:val="24"/>
                <w:u w:val="single"/>
                <w:lang w:eastAsia="es-ES_tradnl"/>
              </w:rPr>
            </w:pPr>
          </w:p>
        </w:tc>
      </w:tr>
      <w:tr w:rsidR="007266CF" w:rsidRPr="002A677E" w14:paraId="369F1081" w14:textId="77777777" w:rsidTr="007266CF">
        <w:tc>
          <w:tcPr>
            <w:tcW w:w="1256" w:type="dxa"/>
          </w:tcPr>
          <w:p w14:paraId="6942497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0135, 0255 a 0375</w:t>
            </w:r>
          </w:p>
        </w:tc>
        <w:tc>
          <w:tcPr>
            <w:tcW w:w="7889" w:type="dxa"/>
          </w:tcPr>
          <w:p w14:paraId="2F086019"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Z TOHO: EXPOZICE S VYŠŠÍ PŘEDNOSTÍ V NEKVALIFIKOVANÉ TRADIČNÍ SEKURITIZACI NEVÝKONNÝCH EXPOZIC</w:t>
            </w:r>
          </w:p>
          <w:p w14:paraId="6F5B7612" w14:textId="77777777" w:rsidR="007266CF" w:rsidRPr="002A677E" w:rsidRDefault="007266CF" w:rsidP="007266CF">
            <w:pPr>
              <w:spacing w:before="0" w:after="0"/>
              <w:rPr>
                <w:rFonts w:ascii="Times New Roman" w:hAnsi="Times New Roman"/>
                <w:b/>
                <w:sz w:val="24"/>
                <w:u w:val="single"/>
                <w:lang w:eastAsia="es-ES_tradnl"/>
              </w:rPr>
            </w:pPr>
          </w:p>
          <w:p w14:paraId="22CD8C53"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sz w:val="24"/>
              </w:rPr>
              <w:t>Celková hodnota expozic, které nesplňují podmínky stanovené v čl. 269a odst. 1 písm. b) nařízení (EU) č. 575/2013.</w:t>
            </w:r>
          </w:p>
          <w:p w14:paraId="428D0253" w14:textId="77777777" w:rsidR="007266CF" w:rsidRPr="001235ED" w:rsidRDefault="007266CF" w:rsidP="007266CF">
            <w:pPr>
              <w:spacing w:before="0" w:after="0"/>
              <w:rPr>
                <w:rFonts w:ascii="Times New Roman" w:hAnsi="Times New Roman"/>
                <w:b/>
                <w:sz w:val="24"/>
                <w:u w:val="single"/>
                <w:lang w:val="en-US" w:eastAsia="es-ES_tradnl"/>
              </w:rPr>
            </w:pPr>
          </w:p>
        </w:tc>
      </w:tr>
      <w:tr w:rsidR="007266CF" w:rsidRPr="002A677E" w14:paraId="68616F9B" w14:textId="77777777" w:rsidTr="007266CF">
        <w:tc>
          <w:tcPr>
            <w:tcW w:w="1256" w:type="dxa"/>
          </w:tcPr>
          <w:p w14:paraId="0F49035A" w14:textId="77777777" w:rsidR="007266CF" w:rsidRPr="002A677E" w:rsidDel="00031FA5"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0136, 0256 a 0376</w:t>
            </w:r>
          </w:p>
        </w:tc>
        <w:tc>
          <w:tcPr>
            <w:tcW w:w="7889" w:type="dxa"/>
          </w:tcPr>
          <w:p w14:paraId="7F12490A"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Z TOHO: EXPOZICE, JEŽ NEMAJÍ VYŠŠÍ PŘEDNOST, V KVALIFIKOVANÉ TRADIČNÍ SEKURITIZACI NEVÝKONNÝCH EXPOZIC</w:t>
            </w:r>
          </w:p>
          <w:p w14:paraId="7B89116B" w14:textId="77777777" w:rsidR="007266CF" w:rsidRPr="002A677E" w:rsidRDefault="007266CF" w:rsidP="007266CF">
            <w:pPr>
              <w:spacing w:before="0" w:after="0"/>
              <w:rPr>
                <w:rFonts w:ascii="Times New Roman" w:hAnsi="Times New Roman"/>
                <w:b/>
                <w:sz w:val="24"/>
                <w:u w:val="single"/>
                <w:lang w:eastAsia="es-ES_tradnl"/>
              </w:rPr>
            </w:pPr>
          </w:p>
          <w:p w14:paraId="546E41C3" w14:textId="77777777" w:rsidR="007266CF" w:rsidRPr="001235ED" w:rsidRDefault="007266CF" w:rsidP="007266CF">
            <w:pPr>
              <w:spacing w:before="0" w:after="0"/>
              <w:rPr>
                <w:rFonts w:ascii="Times New Roman" w:hAnsi="Times New Roman"/>
                <w:sz w:val="24"/>
              </w:rPr>
            </w:pPr>
            <w:r>
              <w:rPr>
                <w:rFonts w:ascii="Times New Roman" w:hAnsi="Times New Roman"/>
                <w:sz w:val="24"/>
              </w:rPr>
              <w:t>Celková hodnota expozic, které splňují podmínky stanovené v čl. 269a odst. 1 písm. a) nařízení (EU) č. 575/2013 a které nesplňují podmínky stanovené v čl. 269a odst. 1 písm. b) nařízení (EU) č. 575/2013.</w:t>
            </w:r>
          </w:p>
          <w:p w14:paraId="24DDB47A" w14:textId="77777777" w:rsidR="007266CF" w:rsidRPr="002A677E" w:rsidRDefault="007266CF" w:rsidP="007266CF">
            <w:pPr>
              <w:spacing w:before="0" w:after="0"/>
              <w:rPr>
                <w:rFonts w:ascii="Times New Roman" w:hAnsi="Times New Roman"/>
                <w:b/>
                <w:sz w:val="24"/>
                <w:u w:val="single"/>
                <w:lang w:eastAsia="es-ES_tradnl"/>
              </w:rPr>
            </w:pPr>
          </w:p>
        </w:tc>
      </w:tr>
      <w:tr w:rsidR="007266CF" w:rsidRPr="002A677E" w14:paraId="16AF8F83" w14:textId="77777777" w:rsidTr="007266CF">
        <w:tc>
          <w:tcPr>
            <w:tcW w:w="1256" w:type="dxa"/>
          </w:tcPr>
          <w:p w14:paraId="7D036B7D"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0140-0180, 0260-0300 a 0380-0420</w:t>
            </w:r>
          </w:p>
        </w:tc>
        <w:tc>
          <w:tcPr>
            <w:tcW w:w="7889" w:type="dxa"/>
          </w:tcPr>
          <w:p w14:paraId="073FA6FB" w14:textId="77777777" w:rsidR="007266CF" w:rsidRPr="002A677E" w:rsidRDefault="007266CF" w:rsidP="007266CF">
            <w:pPr>
              <w:spacing w:before="0" w:after="0"/>
              <w:rPr>
                <w:rFonts w:ascii="Times New Roman" w:hAnsi="Times New Roman"/>
                <w:b/>
                <w:sz w:val="24"/>
                <w:u w:val="single"/>
              </w:rPr>
            </w:pPr>
            <w:r>
              <w:rPr>
                <w:rFonts w:ascii="Times New Roman" w:hAnsi="Times New Roman"/>
                <w:b/>
                <w:sz w:val="24"/>
                <w:u w:val="single"/>
              </w:rPr>
              <w:t>SEKURITIZOVANÉ POZICE: PODROZVAHOVÉ POLOŽKY A DERIVÁTY</w:t>
            </w:r>
          </w:p>
          <w:p w14:paraId="2FF5955F"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7B701B19" w14:textId="77777777" w:rsidR="007266CF" w:rsidRPr="002A677E" w:rsidRDefault="007266CF" w:rsidP="007266CF">
            <w:pPr>
              <w:autoSpaceDE w:val="0"/>
              <w:autoSpaceDN w:val="0"/>
              <w:adjustRightInd w:val="0"/>
              <w:spacing w:before="0" w:after="0"/>
              <w:rPr>
                <w:rFonts w:ascii="Times New Roman" w:hAnsi="Times New Roman"/>
                <w:i/>
                <w:sz w:val="24"/>
              </w:rPr>
            </w:pPr>
            <w:r>
              <w:rPr>
                <w:rFonts w:ascii="Times New Roman" w:hAnsi="Times New Roman"/>
                <w:sz w:val="24"/>
              </w:rPr>
              <w:t>V těchto řádcích se uvádí údaje o podrozvahových položkách a derivátech u sekuritizovaných pozic, které se v rámci sekuritizace násobí konverzním faktorem. Hodnotou expozice u podrozvahových sekuritizovaných pozic se rozumí její nominální hodnota bez veškerých specifických úprav o úvěrové riziko, které se vztahují na danou sekuritizovanou pozici, vynásobená konverzním faktorem 100 %, není-li stanoveno jinak.</w:t>
            </w:r>
          </w:p>
          <w:p w14:paraId="16CC9A20" w14:textId="77777777" w:rsidR="007266CF" w:rsidRPr="002A677E" w:rsidRDefault="007266CF" w:rsidP="007266CF">
            <w:pPr>
              <w:autoSpaceDE w:val="0"/>
              <w:autoSpaceDN w:val="0"/>
              <w:adjustRightInd w:val="0"/>
              <w:spacing w:before="0" w:after="0"/>
              <w:rPr>
                <w:rFonts w:ascii="Times New Roman" w:hAnsi="Times New Roman"/>
                <w:i/>
                <w:sz w:val="24"/>
              </w:rPr>
            </w:pPr>
          </w:p>
          <w:p w14:paraId="424183D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Podrozvahové sekuritizované pozice vyplývající z derivátových nástrojů uvedených v příloze II nařízení (EU) č. 575/2013 se stanoví podle části třetí </w:t>
            </w:r>
            <w:r>
              <w:rPr>
                <w:rFonts w:ascii="Times New Roman" w:hAnsi="Times New Roman"/>
                <w:sz w:val="24"/>
              </w:rPr>
              <w:lastRenderedPageBreak/>
              <w:t xml:space="preserve">hlavy II kapitoly 6 nařízení (EU) č. 575/2013. Hodnota expozice pro úvěrové riziko protistrany u derivátových nástrojů uvedených v příloze II nařízení (EU) č. 575/2013 se stanoví podle části třetí hlavy II kapitoly 6 nařízení (EU) č. 575/2013. </w:t>
            </w:r>
          </w:p>
          <w:p w14:paraId="666B63C9" w14:textId="77777777" w:rsidR="007266CF" w:rsidRPr="002A677E" w:rsidRDefault="007266CF" w:rsidP="007266CF">
            <w:pPr>
              <w:autoSpaceDE w:val="0"/>
              <w:autoSpaceDN w:val="0"/>
              <w:adjustRightInd w:val="0"/>
              <w:spacing w:before="0" w:after="0"/>
              <w:rPr>
                <w:rFonts w:ascii="Times New Roman" w:hAnsi="Times New Roman"/>
                <w:sz w:val="24"/>
              </w:rPr>
            </w:pPr>
          </w:p>
          <w:p w14:paraId="40DFF4F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případě likviditních příslibů, úvěrových příslibů a záloh ze strany obsluhovatele instituce uvádí nevyčerpanou částku.</w:t>
            </w:r>
          </w:p>
          <w:p w14:paraId="6AC513CC" w14:textId="77777777" w:rsidR="007266CF" w:rsidRPr="002A677E" w:rsidRDefault="007266CF" w:rsidP="007266CF">
            <w:pPr>
              <w:autoSpaceDE w:val="0"/>
              <w:autoSpaceDN w:val="0"/>
              <w:adjustRightInd w:val="0"/>
              <w:spacing w:before="0" w:after="0"/>
              <w:rPr>
                <w:rFonts w:ascii="Times New Roman" w:hAnsi="Times New Roman"/>
                <w:sz w:val="24"/>
              </w:rPr>
            </w:pPr>
          </w:p>
          <w:p w14:paraId="25956D2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U úrokových a měnových swapů se uvádí hodnota expozice (vypočítaná v souladu s čl. 248 odst. 1 nařízení (EU) č. 575/2013).</w:t>
            </w:r>
          </w:p>
          <w:p w14:paraId="708A18C2" w14:textId="77777777" w:rsidR="007266CF" w:rsidRPr="002A677E" w:rsidRDefault="007266CF" w:rsidP="007266CF">
            <w:pPr>
              <w:autoSpaceDE w:val="0"/>
              <w:autoSpaceDN w:val="0"/>
              <w:adjustRightInd w:val="0"/>
              <w:spacing w:before="0" w:after="0"/>
              <w:rPr>
                <w:rFonts w:ascii="Times New Roman" w:hAnsi="Times New Roman"/>
                <w:sz w:val="24"/>
              </w:rPr>
            </w:pPr>
          </w:p>
          <w:p w14:paraId="7CE4BA4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Podrozvahové položky a deriváty se člení tak, aby zachytily informace týkající se uplatnění diferencovaného kapitálového zacházení, jak je uvedeno v článku 270 nařízení (EU) č. 575/2013, v řádcích 0150 a 0170, a na celkový objem sekuritizovaných pozic s vyšší předností ve smyslu čl. 242 odst. 6 nařízení (EU) č. 575/2013 v řádcích 0160 a 0180. Použijí se stejné odkazy na právní předpisy jako u řádků 0100 až 0130.</w:t>
            </w:r>
          </w:p>
          <w:p w14:paraId="6DCAC334"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1145FC79" w14:textId="77777777" w:rsidTr="007266CF">
        <w:tc>
          <w:tcPr>
            <w:tcW w:w="1256" w:type="dxa"/>
          </w:tcPr>
          <w:p w14:paraId="68216489"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a 0390</w:t>
            </w:r>
          </w:p>
        </w:tc>
        <w:tc>
          <w:tcPr>
            <w:tcW w:w="7889" w:type="dxa"/>
          </w:tcPr>
          <w:p w14:paraId="641AD4B4"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14:paraId="745EDDAC"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766AF8FB" w14:textId="77777777" w:rsidR="007266CF" w:rsidRPr="001235ED"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které splňují kritéria článku 243 nařízení (EU) č. 575/2013, nebo v případě, jedná-li se pouze o původce sekuritizace, článku 270 nebo článku 494c nařízení (EU) č. 575/2013, a tudíž jsou způsobilé pro diferencované kapitálové zacházení.</w:t>
            </w:r>
          </w:p>
          <w:p w14:paraId="00DEABCD" w14:textId="77777777" w:rsidR="007266CF" w:rsidRPr="002A677E" w:rsidRDefault="007266CF" w:rsidP="007266CF">
            <w:pPr>
              <w:spacing w:before="0" w:after="0"/>
              <w:rPr>
                <w:rFonts w:ascii="Times New Roman" w:hAnsi="Times New Roman"/>
                <w:sz w:val="24"/>
                <w:lang w:eastAsia="es-ES_tradnl"/>
              </w:rPr>
            </w:pPr>
          </w:p>
          <w:p w14:paraId="79717943" w14:textId="77777777" w:rsidR="007266CF" w:rsidRPr="002A677E" w:rsidRDefault="007266CF" w:rsidP="007266CF">
            <w:pPr>
              <w:spacing w:before="0" w:after="0"/>
              <w:rPr>
                <w:rFonts w:ascii="Times New Roman" w:hAnsi="Times New Roman"/>
                <w:b/>
                <w:sz w:val="24"/>
                <w:u w:val="single"/>
                <w:lang w:eastAsia="es-ES_tradnl"/>
              </w:rPr>
            </w:pPr>
          </w:p>
        </w:tc>
      </w:tr>
      <w:tr w:rsidR="007266CF" w:rsidRPr="002A677E" w14:paraId="478DFB4A" w14:textId="77777777" w:rsidTr="007266CF">
        <w:tc>
          <w:tcPr>
            <w:tcW w:w="1256" w:type="dxa"/>
          </w:tcPr>
          <w:p w14:paraId="44F37A02"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4B9C8694"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CELKOVÉ EXPOZICE </w:t>
            </w:r>
          </w:p>
          <w:p w14:paraId="4EE3AC2A"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0F509D47" w14:textId="77777777" w:rsidR="007266CF" w:rsidRPr="002A677E" w:rsidRDefault="007266CF" w:rsidP="007266CF">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V tomto řádku se shrnují údaje o rozvahových a podrozvahových položkách a derivátech u těch sekuritizovaných</w:t>
            </w:r>
            <w:r>
              <w:rPr>
                <w:rFonts w:ascii="Times New Roman" w:hAnsi="Times New Roman"/>
                <w:sz w:val="24"/>
              </w:rPr>
              <w:t xml:space="preserve"> a resekuritizovaných</w:t>
            </w:r>
            <w:r>
              <w:rPr>
                <w:rStyle w:val="FormatvorlageInstructionsTabelleText"/>
                <w:rFonts w:ascii="Times New Roman" w:hAnsi="Times New Roman"/>
                <w:sz w:val="24"/>
              </w:rPr>
              <w:t xml:space="preserve"> pozic, v jejichž případě instituce zaujímá roli investora. </w:t>
            </w:r>
          </w:p>
          <w:p w14:paraId="22AE745A" w14:textId="77777777" w:rsidR="007266CF" w:rsidRPr="002A677E" w:rsidRDefault="007266CF" w:rsidP="007266CF">
            <w:pPr>
              <w:autoSpaceDE w:val="0"/>
              <w:autoSpaceDN w:val="0"/>
              <w:adjustRightInd w:val="0"/>
              <w:spacing w:before="0" w:after="0"/>
              <w:rPr>
                <w:rStyle w:val="FormatvorlageInstructionsTabelleText"/>
                <w:rFonts w:ascii="Times New Roman" w:hAnsi="Times New Roman"/>
                <w:sz w:val="24"/>
              </w:rPr>
            </w:pPr>
          </w:p>
          <w:p w14:paraId="19B26615" w14:textId="77777777" w:rsidR="007266CF" w:rsidRPr="002A677E" w:rsidRDefault="007266CF" w:rsidP="007266CF">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Pro účely této šablony by měl být investor považován za instituci, která drží sekuritizované pozice v sekuritizaci, přičemž není původcem, ani sponzorem.</w:t>
            </w:r>
          </w:p>
          <w:p w14:paraId="6C02EEBF"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tc>
      </w:tr>
      <w:tr w:rsidR="007266CF" w:rsidRPr="002A677E" w14:paraId="643D5DC6" w14:textId="77777777" w:rsidTr="007266CF">
        <w:tc>
          <w:tcPr>
            <w:tcW w:w="1256" w:type="dxa"/>
          </w:tcPr>
          <w:p w14:paraId="2CEE20E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4671CBCF"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CELKOVÉ EXPOZICE </w:t>
            </w:r>
          </w:p>
          <w:p w14:paraId="16A4A862"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45DC657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Tento řádek je souhrnem údajů o rozvahových položkách a podrozvahových položkách a derivátech u sekuritizovaných a resekuritizovaných pozic, vůči kterým instituce zaujímá roli sponzora ve smyslu čl. 4 odst. 1 bodu 14 nařízení (EU) č. 575/2013. Pokud sponzor sekuritizuje rovněž vlastní aktiva, v řádku určeném pro původce vyplní údaj týkající se vlastních sekuritizovaných aktiv.</w:t>
            </w:r>
          </w:p>
          <w:p w14:paraId="332D19A3" w14:textId="77777777" w:rsidR="007266CF" w:rsidRPr="002A677E" w:rsidRDefault="007266CF" w:rsidP="007266CF">
            <w:pPr>
              <w:autoSpaceDE w:val="0"/>
              <w:autoSpaceDN w:val="0"/>
              <w:adjustRightInd w:val="0"/>
              <w:spacing w:before="0" w:after="0"/>
              <w:rPr>
                <w:rFonts w:ascii="Times New Roman" w:hAnsi="Times New Roman"/>
                <w:sz w:val="24"/>
                <w:lang w:eastAsia="es-ES_tradnl"/>
              </w:rPr>
            </w:pPr>
          </w:p>
        </w:tc>
      </w:tr>
      <w:tr w:rsidR="007266CF" w:rsidRPr="002A677E" w14:paraId="21841E95" w14:textId="77777777" w:rsidTr="007266CF">
        <w:tc>
          <w:tcPr>
            <w:tcW w:w="1256" w:type="dxa"/>
          </w:tcPr>
          <w:p w14:paraId="214373C9"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33BDAD5A"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ROZČLENĚNÍ NESPLACENÝCH POZIC PODLE STUPŇŮ ÚVĚROVÉ KVALITY NA POČÁTKU</w:t>
            </w:r>
          </w:p>
          <w:p w14:paraId="0EB02C8A"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p w14:paraId="17A9719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Tyto řádky shromažďují informace o nesplacených pozicích (k datu vykazování), u nichž byl stupeň úvěrové kvality (stanovený v článku 263 tabulkách 1 a 2 a v článku 264 tabulkách 3 a 4 nařízení (EU) č. 575/2013) určen ve dni vzniku (počátku). Pro sekuritizované pozice, s nimiž se zachází podle </w:t>
            </w:r>
            <w:r>
              <w:rPr>
                <w:rFonts w:ascii="Times New Roman" w:hAnsi="Times New Roman"/>
                <w:sz w:val="24"/>
              </w:rPr>
              <w:lastRenderedPageBreak/>
              <w:t>metody interního hodnocení, je stupněm úvěrové kvality stupeň, který byl přiřazen v době, kdy bylo úvěrového hodnocení podle metody interního hodnocení přiřazeno poprvé. Není-li tento údaj k dispozici, vykazuje se nejbližší dostupný údaj rovnocenný stupňům úvěrové kvality.</w:t>
            </w:r>
          </w:p>
          <w:p w14:paraId="5A7878D0"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5ABFA92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Tyto řádky se vyplňují pouze ve sloupcích 0180-0210, 0280, 0350-0640, 0700-0720, 0740, 0760-0830 a 0850.</w:t>
            </w:r>
          </w:p>
          <w:p w14:paraId="05C995CA" w14:textId="77777777" w:rsidR="007266CF" w:rsidRPr="002A677E" w:rsidRDefault="007266CF" w:rsidP="007266CF">
            <w:pPr>
              <w:autoSpaceDE w:val="0"/>
              <w:autoSpaceDN w:val="0"/>
              <w:adjustRightInd w:val="0"/>
              <w:spacing w:before="0" w:after="0"/>
              <w:jc w:val="left"/>
              <w:rPr>
                <w:rFonts w:ascii="Times New Roman" w:hAnsi="Times New Roman"/>
                <w:b/>
                <w:sz w:val="24"/>
                <w:u w:val="single"/>
                <w:lang w:eastAsia="es-ES_tradnl"/>
              </w:rPr>
            </w:pPr>
          </w:p>
        </w:tc>
      </w:tr>
    </w:tbl>
    <w:p w14:paraId="6495F672" w14:textId="77777777" w:rsidR="007266CF" w:rsidRPr="002A677E" w:rsidRDefault="007266CF" w:rsidP="007266CF">
      <w:pPr>
        <w:autoSpaceDE w:val="0"/>
        <w:autoSpaceDN w:val="0"/>
        <w:adjustRightInd w:val="0"/>
        <w:spacing w:before="0" w:after="0"/>
        <w:jc w:val="left"/>
        <w:rPr>
          <w:rFonts w:ascii="Times New Roman" w:hAnsi="Times New Roman"/>
          <w:sz w:val="24"/>
          <w:lang w:eastAsia="es-ES_tradnl"/>
        </w:rPr>
      </w:pPr>
    </w:p>
    <w:p w14:paraId="681C55B8" w14:textId="77777777" w:rsidR="007266CF" w:rsidRPr="002A677E" w:rsidRDefault="007266CF" w:rsidP="00A75C39">
      <w:pPr>
        <w:pStyle w:val="Instructionsberschrift2"/>
        <w:numPr>
          <w:ilvl w:val="1"/>
          <w:numId w:val="93"/>
        </w:numPr>
        <w:rPr>
          <w:rFonts w:ascii="Times New Roman" w:hAnsi="Times New Roman" w:cs="Times New Roman"/>
          <w:sz w:val="24"/>
        </w:rPr>
      </w:pPr>
      <w:bookmarkStart w:id="182" w:name="_Toc116026784"/>
      <w:bookmarkStart w:id="183" w:name="_Toc119077941"/>
      <w:r>
        <w:rPr>
          <w:rFonts w:ascii="Times New Roman" w:hAnsi="Times New Roman"/>
          <w:sz w:val="24"/>
        </w:rPr>
        <w:t>Podrobné údaje o sekuritizacích</w:t>
      </w:r>
      <w:r>
        <w:t xml:space="preserve"> </w:t>
      </w:r>
      <w:r>
        <w:rPr>
          <w:rFonts w:ascii="Times New Roman" w:hAnsi="Times New Roman"/>
          <w:sz w:val="24"/>
        </w:rPr>
        <w:t>(SEC DETAILS)</w:t>
      </w:r>
      <w:bookmarkEnd w:id="182"/>
      <w:bookmarkEnd w:id="183"/>
    </w:p>
    <w:p w14:paraId="221159AC" w14:textId="77777777" w:rsidR="007266CF" w:rsidRPr="002A677E" w:rsidRDefault="007266CF" w:rsidP="00A75C39">
      <w:pPr>
        <w:pStyle w:val="Instructionsberschrift2"/>
        <w:numPr>
          <w:ilvl w:val="2"/>
          <w:numId w:val="94"/>
        </w:numPr>
        <w:rPr>
          <w:rFonts w:ascii="Times New Roman" w:hAnsi="Times New Roman" w:cs="Times New Roman"/>
          <w:sz w:val="24"/>
          <w:u w:val="none"/>
        </w:rPr>
      </w:pPr>
      <w:bookmarkStart w:id="184" w:name="_Toc116026785"/>
      <w:bookmarkStart w:id="185" w:name="_Toc119077942"/>
      <w:r>
        <w:rPr>
          <w:rFonts w:ascii="Times New Roman" w:hAnsi="Times New Roman"/>
          <w:sz w:val="24"/>
          <w:u w:val="none"/>
        </w:rPr>
        <w:t>Oblast působnosti šablony SEC DETAILS</w:t>
      </w:r>
      <w:bookmarkEnd w:id="184"/>
      <w:bookmarkEnd w:id="185"/>
    </w:p>
    <w:p w14:paraId="0EA9EF8F" w14:textId="77777777" w:rsidR="007266CF" w:rsidRPr="002A677E" w:rsidRDefault="007266CF" w:rsidP="007266CF">
      <w:pPr>
        <w:pStyle w:val="InstructionsText2"/>
        <w:numPr>
          <w:ilvl w:val="0"/>
          <w:numId w:val="0"/>
        </w:numPr>
        <w:ind w:left="1353" w:hanging="360"/>
      </w:pPr>
      <w:fldSimple w:instr=" seq paragraphs ">
        <w:r>
          <w:t>111</w:t>
        </w:r>
      </w:fldSimple>
      <w:r>
        <w:t>.</w:t>
      </w:r>
      <w:r>
        <w:tab/>
        <w:t xml:space="preserve"> Prostřednictví těchto šablon se na úrovni transakce (oproti souhrnným údajům, které se vykazují v šablonách CR SEC, MKR SA SEC, MKR SA CTP, CA1 a CA2) shromažďují údaje o všech sekuritizacích, v nichž je angažována vykazující instituce. Vykazují se hlavní charakteristiky každé sekuritizace, jako je povaha podkladového seskupení a kapitálových požadavků. </w:t>
      </w:r>
    </w:p>
    <w:p w14:paraId="2857ECC9" w14:textId="77777777" w:rsidR="007266CF" w:rsidRPr="002A677E" w:rsidRDefault="007266CF" w:rsidP="007266CF">
      <w:pPr>
        <w:pStyle w:val="InstructionsText2"/>
        <w:numPr>
          <w:ilvl w:val="0"/>
          <w:numId w:val="0"/>
        </w:numPr>
        <w:ind w:left="1353" w:hanging="360"/>
      </w:pPr>
      <w:fldSimple w:instr=" seq paragraphs ">
        <w:r>
          <w:t>112</w:t>
        </w:r>
      </w:fldSimple>
      <w:r>
        <w:t>.</w:t>
      </w:r>
      <w:r>
        <w:tab/>
        <w:t xml:space="preserve"> Tyto šablony se vyplňují pro:</w:t>
      </w:r>
    </w:p>
    <w:p w14:paraId="50239876" w14:textId="77777777" w:rsidR="007266CF" w:rsidRPr="002A677E" w:rsidRDefault="007266CF" w:rsidP="007266CF">
      <w:pPr>
        <w:pStyle w:val="InstructionsText2"/>
        <w:numPr>
          <w:ilvl w:val="0"/>
          <w:numId w:val="0"/>
        </w:numPr>
        <w:ind w:left="1353" w:hanging="360"/>
      </w:pPr>
      <w:r>
        <w:t>a.</w:t>
      </w:r>
      <w:r>
        <w:tab/>
        <w:t>sekuritizace, u nichž je vykazující instituce původcem nebo sponzorem, včetně případů, kdy instituce v této sekuritizaci nedrží žádnou pozici. V případech, že instituce drží v této sekuritizaci nejméně jednu pozici, bez ohledu na to, zda došlo k převodu významného rizika či nikoli, instituce vykazují informace o všech pozicích, které drží (jak v investičním portfoliu, tak v obchodním portfoliu). Mezi držené pozice patří pozice ponechané na základě článku 6 nařízení (EU) 2017/2402 a, pakliže se použije čl. 43 odst. 6 uvedeného nařízení, článku 405 nařízení (EU) č. 575/2013 ve znění platném ke dni 31. prosince 2018.</w:t>
      </w:r>
    </w:p>
    <w:p w14:paraId="009CBE9D" w14:textId="77777777" w:rsidR="007266CF" w:rsidRPr="002A677E" w:rsidRDefault="007266CF" w:rsidP="007266CF">
      <w:pPr>
        <w:pStyle w:val="InstructionsText2"/>
        <w:numPr>
          <w:ilvl w:val="0"/>
          <w:numId w:val="0"/>
        </w:numPr>
        <w:ind w:left="1353" w:hanging="360"/>
      </w:pPr>
      <w:r>
        <w:t>b.</w:t>
      </w:r>
      <w:r>
        <w:tab/>
        <w:t>sekuritizace, jejichž hlavními podkladovými nástroji jsou finanční závazky původně emitované vykazující institucí, jež byly (částečně) nabyty sekuritizačním subjektem. Uvedený podkladový nástroj by mohl zahrnovat kryté dluhopisy nebo jiné závazky a musí být jako takový identifikován ve sloupci 0160.</w:t>
      </w:r>
    </w:p>
    <w:p w14:paraId="1849350D" w14:textId="77777777" w:rsidR="007266CF" w:rsidRPr="002A677E" w:rsidRDefault="007266CF" w:rsidP="007266CF">
      <w:pPr>
        <w:pStyle w:val="InstructionsText2"/>
        <w:numPr>
          <w:ilvl w:val="0"/>
          <w:numId w:val="0"/>
        </w:numPr>
        <w:ind w:left="1353" w:hanging="360"/>
      </w:pPr>
      <w:r>
        <w:t>c.</w:t>
      </w:r>
      <w:r>
        <w:tab/>
        <w:t>Pozice držené v sekuritizacích, v jejichž případě vykazující instituce není původcem ani sponzorem (tj. investoři a původní věřitelé).</w:t>
      </w:r>
    </w:p>
    <w:p w14:paraId="4B84E70D" w14:textId="77777777" w:rsidR="007266CF" w:rsidRPr="002A677E" w:rsidRDefault="007266CF" w:rsidP="007266CF">
      <w:pPr>
        <w:pStyle w:val="InstructionsText2"/>
        <w:numPr>
          <w:ilvl w:val="0"/>
          <w:numId w:val="0"/>
        </w:numPr>
        <w:ind w:left="1353"/>
      </w:pPr>
      <w:r>
        <w:t>Šablona C 14.01 se vyplňuje pouze pro sekuritizační pozice, s nimiž se zachází podle rámce pro sekuritizace.</w:t>
      </w:r>
    </w:p>
    <w:p w14:paraId="44A0ACF6" w14:textId="77777777" w:rsidR="007266CF" w:rsidRPr="002A677E" w:rsidRDefault="007266CF" w:rsidP="007266CF">
      <w:pPr>
        <w:pStyle w:val="InstructionsText2"/>
        <w:numPr>
          <w:ilvl w:val="0"/>
          <w:numId w:val="0"/>
        </w:numPr>
        <w:ind w:left="1353" w:hanging="360"/>
      </w:pPr>
      <w:fldSimple w:instr=" seq paragraphs ">
        <w:r>
          <w:t>113</w:t>
        </w:r>
      </w:fldSimple>
      <w:r>
        <w:t>.</w:t>
      </w:r>
      <w:r>
        <w:tab/>
        <w:t xml:space="preserve"> Tyto šablony předkládají konsolidované skupiny a samostatné instituce</w:t>
      </w:r>
      <w:r>
        <w:rPr>
          <w:rStyle w:val="FootnoteReference"/>
        </w:rPr>
        <w:footnoteReference w:id="7"/>
      </w:r>
      <w:r>
        <w:t xml:space="preserve"> se sídlem ve stejné zemi, kde se na ně vztahují kapitálové požadavky. V případě sekuritizací, do nichž je zapojen více než jeden subjekt z téže konsolidované skupiny, se předkládá podrobné rozčlenění podle jednotlivých subjektů. </w:t>
      </w:r>
    </w:p>
    <w:p w14:paraId="6318233F" w14:textId="77777777" w:rsidR="007266CF" w:rsidRPr="002A677E" w:rsidRDefault="007266CF" w:rsidP="007266CF">
      <w:pPr>
        <w:pStyle w:val="InstructionsText2"/>
        <w:numPr>
          <w:ilvl w:val="0"/>
          <w:numId w:val="0"/>
        </w:numPr>
        <w:ind w:left="1353" w:hanging="360"/>
      </w:pPr>
      <w:fldSimple w:instr=" seq paragraphs ">
        <w:r>
          <w:t>114</w:t>
        </w:r>
      </w:fldSimple>
      <w:r>
        <w:t>.</w:t>
      </w:r>
      <w:r>
        <w:tab/>
        <w:t xml:space="preserve"> Vykazování údajů v této šabloně se v omezeném rozsahu vztahuje na investory, a to kvůli článku 5 nařízení (EU) 2017/2402, ve kterém je stanoveno, že instituce investující do sekuritizovaných pozic musí disponovat velkým množstvím informací o těchto pozicích, aby byly splněny požadavky náležité péče. Konkrétně vyplňují sloupce 0010–0040, 0070–0110, 0160, 0190, 0290–0300, 0310–0470.</w:t>
      </w:r>
    </w:p>
    <w:p w14:paraId="300D0579" w14:textId="77777777" w:rsidR="007266CF" w:rsidRPr="002A677E" w:rsidRDefault="007266CF" w:rsidP="007266CF">
      <w:pPr>
        <w:pStyle w:val="InstructionsText2"/>
        <w:numPr>
          <w:ilvl w:val="0"/>
          <w:numId w:val="0"/>
        </w:numPr>
        <w:ind w:left="1353" w:hanging="360"/>
      </w:pPr>
      <w:fldSimple w:instr=" seq paragraphs ">
        <w:r>
          <w:t>115</w:t>
        </w:r>
      </w:fldSimple>
      <w:r>
        <w:t>.</w:t>
      </w:r>
      <w:r>
        <w:tab/>
        <w:t xml:space="preserve"> Instituce, které mají úlohu původních věřitelů (a nevykonávají rovněž úlohu původců nebo sponzorů v téže sekuritizaci) obvykle vyplňují tuto šablonu ve stejném rozsahu jako investoři.</w:t>
      </w:r>
    </w:p>
    <w:p w14:paraId="7E97C7C6" w14:textId="77777777" w:rsidR="007266CF" w:rsidRPr="002A677E" w:rsidRDefault="007266CF" w:rsidP="007266CF">
      <w:pPr>
        <w:pStyle w:val="Instructionsberschrift2"/>
        <w:numPr>
          <w:ilvl w:val="0"/>
          <w:numId w:val="0"/>
        </w:numPr>
        <w:ind w:left="357" w:hanging="357"/>
        <w:rPr>
          <w:rFonts w:ascii="Times New Roman" w:hAnsi="Times New Roman" w:cs="Times New Roman"/>
          <w:sz w:val="24"/>
          <w:u w:val="none"/>
        </w:rPr>
      </w:pPr>
      <w:bookmarkStart w:id="186" w:name="_Toc116026786"/>
      <w:bookmarkStart w:id="187" w:name="_Toc119077943"/>
      <w:r>
        <w:rPr>
          <w:rFonts w:ascii="Times New Roman" w:hAnsi="Times New Roman"/>
          <w:sz w:val="24"/>
          <w:u w:val="none"/>
        </w:rPr>
        <w:t>3.8.2 Členění šablony SEC DETAILS</w:t>
      </w:r>
      <w:bookmarkEnd w:id="186"/>
      <w:bookmarkEnd w:id="187"/>
    </w:p>
    <w:p w14:paraId="1FD7E873" w14:textId="77777777" w:rsidR="007266CF" w:rsidRPr="002A677E" w:rsidRDefault="007266CF" w:rsidP="007266CF">
      <w:pPr>
        <w:pStyle w:val="InstructionsText2"/>
        <w:numPr>
          <w:ilvl w:val="0"/>
          <w:numId w:val="0"/>
        </w:numPr>
        <w:ind w:left="1353" w:hanging="360"/>
      </w:pPr>
      <w:fldSimple w:instr=" seq paragraphs ">
        <w:r>
          <w:t>116</w:t>
        </w:r>
      </w:fldSimple>
      <w:r>
        <w:t xml:space="preserve">. Šablona SEC DETAILS sestává ze dvou dílčích šablon. Šablona SEC DETAILS podává obecný přehled o sekuritizacích. Šablona SEC DETAILS 2 poskytuje členění sekuritizačních pozic, které podléhají kapitálovým požadavkům v souladu s částí třetí hlavou II kapitolou 5 oddílem 3 nařízení (EU) č. 575/2013, a to podle použité metody. </w:t>
      </w:r>
    </w:p>
    <w:p w14:paraId="38FD3E72" w14:textId="77777777" w:rsidR="007266CF" w:rsidRPr="002A677E" w:rsidRDefault="007266CF" w:rsidP="007266CF">
      <w:pPr>
        <w:pStyle w:val="InstructionsText2"/>
        <w:numPr>
          <w:ilvl w:val="0"/>
          <w:numId w:val="0"/>
        </w:numPr>
        <w:ind w:left="1353" w:hanging="360"/>
      </w:pPr>
      <w:fldSimple w:instr=" seq paragraphs ">
        <w:r>
          <w:t>117</w:t>
        </w:r>
      </w:fldSimple>
      <w:r>
        <w:t xml:space="preserve">. Sekuritizované pozice v obchodním portfoliu se vykazují pouze ve sloupcích 0010–0020, 0420, 0430, 0431, 0432, 0440 a 0450–0470. U sloupců 0420, 0430 a 0440 instituce zohlední rizikovou váhu odpovídající kapitálovému požadavku čisté pozice. </w:t>
      </w:r>
    </w:p>
    <w:p w14:paraId="66517DDE" w14:textId="77777777" w:rsidR="007266CF" w:rsidRPr="002A677E" w:rsidRDefault="007266CF" w:rsidP="007266CF">
      <w:pPr>
        <w:pStyle w:val="Instructionsberschrift2"/>
        <w:numPr>
          <w:ilvl w:val="0"/>
          <w:numId w:val="0"/>
        </w:numPr>
        <w:ind w:left="357" w:hanging="357"/>
        <w:rPr>
          <w:rFonts w:ascii="Times New Roman" w:hAnsi="Times New Roman" w:cs="Times New Roman"/>
          <w:sz w:val="24"/>
          <w:u w:val="none"/>
        </w:rPr>
      </w:pPr>
      <w:bookmarkStart w:id="188" w:name="_Toc116026787"/>
      <w:bookmarkStart w:id="189" w:name="_Toc119077944"/>
      <w:r>
        <w:rPr>
          <w:rFonts w:ascii="Times New Roman" w:hAnsi="Times New Roman"/>
          <w:sz w:val="24"/>
          <w:u w:val="none"/>
        </w:rPr>
        <w:t>3.8.3 C 14.00 – Podrobné údaje o sekuritizacích (SEC DETAILS)</w:t>
      </w:r>
      <w:bookmarkEnd w:id="188"/>
      <w:bookmarkEnd w:id="18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7266CF" w:rsidRPr="002A677E" w14:paraId="49E2EF33" w14:textId="77777777" w:rsidTr="007266CF">
        <w:tc>
          <w:tcPr>
            <w:tcW w:w="9004" w:type="dxa"/>
            <w:gridSpan w:val="2"/>
            <w:shd w:val="clear" w:color="auto" w:fill="CCCCCC"/>
          </w:tcPr>
          <w:p w14:paraId="5F56A169"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p w14:paraId="197B2B57" w14:textId="77777777" w:rsidR="007266CF" w:rsidRPr="002A677E" w:rsidRDefault="007266CF" w:rsidP="007266CF">
            <w:pPr>
              <w:autoSpaceDE w:val="0"/>
              <w:autoSpaceDN w:val="0"/>
              <w:adjustRightInd w:val="0"/>
              <w:spacing w:before="0" w:after="0"/>
              <w:rPr>
                <w:rFonts w:ascii="Times New Roman" w:hAnsi="Times New Roman"/>
                <w:b/>
                <w:bCs/>
                <w:sz w:val="24"/>
              </w:rPr>
            </w:pPr>
            <w:r>
              <w:rPr>
                <w:rFonts w:ascii="Times New Roman" w:hAnsi="Times New Roman"/>
                <w:b/>
                <w:sz w:val="24"/>
              </w:rPr>
              <w:t>Sloupce</w:t>
            </w:r>
          </w:p>
          <w:p w14:paraId="253A5531"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50F34731" w14:textId="77777777" w:rsidTr="007266CF">
        <w:tc>
          <w:tcPr>
            <w:tcW w:w="1101" w:type="dxa"/>
          </w:tcPr>
          <w:p w14:paraId="21FF4C6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5A239D5B"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INTERNÍ KÓD</w:t>
            </w:r>
          </w:p>
          <w:p w14:paraId="235888E6" w14:textId="77777777" w:rsidR="007266CF" w:rsidRPr="002A677E" w:rsidRDefault="007266CF" w:rsidP="007266CF">
            <w:pPr>
              <w:spacing w:before="0" w:after="0"/>
              <w:jc w:val="left"/>
              <w:rPr>
                <w:rFonts w:ascii="Times New Roman" w:hAnsi="Times New Roman"/>
                <w:sz w:val="24"/>
              </w:rPr>
            </w:pPr>
          </w:p>
          <w:p w14:paraId="1688950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Interní (alfanumerický) kód, který instituce používá k identifikaci sekuritizace.</w:t>
            </w:r>
          </w:p>
          <w:p w14:paraId="10CB0817" w14:textId="77777777" w:rsidR="007266CF" w:rsidRPr="002A677E" w:rsidRDefault="007266CF" w:rsidP="007266CF">
            <w:pPr>
              <w:autoSpaceDE w:val="0"/>
              <w:autoSpaceDN w:val="0"/>
              <w:adjustRightInd w:val="0"/>
              <w:spacing w:before="0" w:after="0"/>
              <w:rPr>
                <w:rFonts w:ascii="Times New Roman" w:hAnsi="Times New Roman"/>
                <w:sz w:val="24"/>
              </w:rPr>
            </w:pPr>
          </w:p>
          <w:p w14:paraId="5802113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Interní kód souvisí s identifikátorem sekuritizace.</w:t>
            </w:r>
          </w:p>
          <w:p w14:paraId="625AD03B"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3464153D" w14:textId="77777777" w:rsidTr="007266CF">
        <w:tc>
          <w:tcPr>
            <w:tcW w:w="1101" w:type="dxa"/>
          </w:tcPr>
          <w:p w14:paraId="1FFF01E3"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14F82833"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SEKURITIZACE</w:t>
            </w:r>
          </w:p>
          <w:p w14:paraId="0F2AF1FD" w14:textId="77777777" w:rsidR="007266CF" w:rsidRPr="002A677E" w:rsidRDefault="007266CF" w:rsidP="007266CF">
            <w:pPr>
              <w:spacing w:before="0" w:after="0"/>
              <w:jc w:val="left"/>
              <w:rPr>
                <w:rFonts w:ascii="Times New Roman" w:hAnsi="Times New Roman"/>
                <w:sz w:val="24"/>
              </w:rPr>
            </w:pPr>
          </w:p>
          <w:p w14:paraId="7D9238F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Kód používaný pro právní registraci sekuritizace, popřípadě název, pod kterým je sekuritizace známa na trhu, není-li takový kód k dispozici, nebo v rámci instituce v případě interní nebo soukromé sekuritizace. </w:t>
            </w:r>
          </w:p>
          <w:p w14:paraId="6DA1706A" w14:textId="77777777" w:rsidR="007266CF" w:rsidRPr="002A677E" w:rsidRDefault="007266CF" w:rsidP="007266CF">
            <w:pPr>
              <w:autoSpaceDE w:val="0"/>
              <w:autoSpaceDN w:val="0"/>
              <w:adjustRightInd w:val="0"/>
              <w:spacing w:before="0" w:after="0"/>
              <w:rPr>
                <w:rFonts w:ascii="Times New Roman" w:hAnsi="Times New Roman"/>
                <w:sz w:val="24"/>
              </w:rPr>
            </w:pPr>
          </w:p>
          <w:p w14:paraId="6562945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Je-li k dispozici mezinárodní identifikační číslo cenných papírů (ISIN), které se udává k veřejným transakcím, uvedou se v tomto sloupci znaky, které jsou společné pro všechny tranše sekuritizace.</w:t>
            </w:r>
          </w:p>
          <w:p w14:paraId="11E25F06"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0844A394" w14:textId="77777777" w:rsidTr="007266CF">
        <w:tc>
          <w:tcPr>
            <w:tcW w:w="1101" w:type="dxa"/>
          </w:tcPr>
          <w:p w14:paraId="7E8F978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65B4219A"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VNITROSKUPINOVÁ, SOUKROMÁ NEBO VEŘEJNÁ SEKURITIZACE?</w:t>
            </w:r>
          </w:p>
          <w:p w14:paraId="4A7A06F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4669C211"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Tento sloupec identifikuje, zda sekuritizace je vnitroskupinovou, soukromou, nebo veřejnou sekuritizací.</w:t>
            </w:r>
          </w:p>
          <w:p w14:paraId="6246D094"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51BCA5C4"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Instituce vykazují jednu z těchto možností:</w:t>
            </w:r>
          </w:p>
          <w:p w14:paraId="4D302E8A"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4C7631E8" w14:textId="77777777" w:rsidR="007266CF" w:rsidRPr="002A677E" w:rsidRDefault="007266CF" w:rsidP="00A75C39">
            <w:pPr>
              <w:pStyle w:val="ListParagraph"/>
              <w:numPr>
                <w:ilvl w:val="0"/>
                <w:numId w:val="25"/>
              </w:numPr>
              <w:autoSpaceDE w:val="0"/>
              <w:autoSpaceDN w:val="0"/>
              <w:adjustRightInd w:val="0"/>
              <w:spacing w:before="0" w:after="0"/>
              <w:jc w:val="left"/>
              <w:rPr>
                <w:rFonts w:ascii="Times New Roman" w:hAnsi="Times New Roman"/>
                <w:sz w:val="24"/>
              </w:rPr>
            </w:pPr>
            <w:r>
              <w:rPr>
                <w:rFonts w:ascii="Times New Roman" w:hAnsi="Times New Roman"/>
                <w:sz w:val="24"/>
              </w:rPr>
              <w:t>soukromá,</w:t>
            </w:r>
          </w:p>
          <w:p w14:paraId="6D657FF3" w14:textId="77777777" w:rsidR="007266CF" w:rsidRPr="002A677E" w:rsidRDefault="007266CF" w:rsidP="00A75C39">
            <w:pPr>
              <w:pStyle w:val="ListParagraph"/>
              <w:numPr>
                <w:ilvl w:val="0"/>
                <w:numId w:val="25"/>
              </w:numPr>
              <w:autoSpaceDE w:val="0"/>
              <w:autoSpaceDN w:val="0"/>
              <w:adjustRightInd w:val="0"/>
              <w:spacing w:before="0" w:after="0"/>
              <w:jc w:val="left"/>
              <w:rPr>
                <w:rFonts w:ascii="Times New Roman" w:hAnsi="Times New Roman"/>
                <w:sz w:val="24"/>
              </w:rPr>
            </w:pPr>
            <w:r>
              <w:rPr>
                <w:rFonts w:ascii="Times New Roman" w:hAnsi="Times New Roman"/>
                <w:sz w:val="24"/>
              </w:rPr>
              <w:t>vnitroskupinová,</w:t>
            </w:r>
          </w:p>
          <w:p w14:paraId="69EA71FB" w14:textId="77777777" w:rsidR="007266CF" w:rsidRPr="002A677E" w:rsidRDefault="007266CF" w:rsidP="00A75C39">
            <w:pPr>
              <w:pStyle w:val="ListParagraph"/>
              <w:numPr>
                <w:ilvl w:val="0"/>
                <w:numId w:val="25"/>
              </w:numPr>
              <w:autoSpaceDE w:val="0"/>
              <w:autoSpaceDN w:val="0"/>
              <w:adjustRightInd w:val="0"/>
              <w:spacing w:before="0" w:after="0"/>
              <w:jc w:val="left"/>
              <w:rPr>
                <w:rFonts w:ascii="Times New Roman" w:hAnsi="Times New Roman"/>
                <w:sz w:val="24"/>
              </w:rPr>
            </w:pPr>
            <w:r>
              <w:rPr>
                <w:rFonts w:ascii="Times New Roman" w:hAnsi="Times New Roman"/>
                <w:sz w:val="24"/>
              </w:rPr>
              <w:t>veřejná.</w:t>
            </w:r>
          </w:p>
          <w:p w14:paraId="622388D1"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0346E084" w14:textId="77777777" w:rsidTr="007266CF">
        <w:tc>
          <w:tcPr>
            <w:tcW w:w="1101" w:type="dxa"/>
            <w:shd w:val="clear" w:color="auto" w:fill="auto"/>
          </w:tcPr>
          <w:p w14:paraId="4C441C96"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6C098CB1"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ROLE INSTITUCE (PŮVODCE / SPONZOR / PŮVODNÍ VĚŘITEL / INVESTOR)</w:t>
            </w:r>
          </w:p>
          <w:p w14:paraId="45675936"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28D650A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Instituce vykazují jednu z těchto možností: </w:t>
            </w:r>
          </w:p>
          <w:p w14:paraId="40E0B69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původce,</w:t>
            </w:r>
          </w:p>
          <w:p w14:paraId="07C980D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sponzor,</w:t>
            </w:r>
          </w:p>
          <w:p w14:paraId="58619F7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investor, </w:t>
            </w:r>
          </w:p>
          <w:p w14:paraId="342F5167"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původní věřitel.</w:t>
            </w:r>
          </w:p>
          <w:p w14:paraId="1652A69A"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7BCE0EAD"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Původce ve smyslu čl. 4 odst. 1 bodu 13 nařízení (EU) č. 575/2013 a sponzor ve smyslu čl. 4 odst. 1 bodu 14 uvedeného nařízení. Předpokládá se, že investory jsou instituce, na něž se vztahuje článek 5 nařízení (EU) 2017/2402. Použije-li se čl. 43 odst. 5 nařízení (EU) 2017/2402, použijí se články 406 a 407 nařízení (EU) č. 575/2013 ve znění platném ke dni 31. prosince 2018.</w:t>
            </w:r>
          </w:p>
          <w:p w14:paraId="2B15ED8C"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450DF351" w14:textId="77777777" w:rsidTr="007266CF">
        <w:tc>
          <w:tcPr>
            <w:tcW w:w="1101" w:type="dxa"/>
          </w:tcPr>
          <w:p w14:paraId="511FD476"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4D2688A9"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PŮVODCE</w:t>
            </w:r>
          </w:p>
          <w:p w14:paraId="5A55AB69"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239DCA3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tomto sloupci se vykazuje kód LEI použitelný pro původce, nebo není-li k dispozici, kód, který původci přidělil orgán dohledu, nebo není-li k dispozici, název samotné instituce.</w:t>
            </w:r>
          </w:p>
          <w:p w14:paraId="7762749E" w14:textId="77777777" w:rsidR="007266CF" w:rsidRPr="002A677E" w:rsidRDefault="007266CF" w:rsidP="007266CF">
            <w:pPr>
              <w:autoSpaceDE w:val="0"/>
              <w:autoSpaceDN w:val="0"/>
              <w:adjustRightInd w:val="0"/>
              <w:spacing w:before="0" w:after="0"/>
              <w:rPr>
                <w:rFonts w:ascii="Times New Roman" w:hAnsi="Times New Roman"/>
                <w:sz w:val="24"/>
              </w:rPr>
            </w:pPr>
          </w:p>
          <w:p w14:paraId="1720C1C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případě sekuritizace s více prodávajícími, když je vykazující instituce zapojena jako původce, sponzor nebo původní věřitel, uvede vykazující instituce identifikátor všech subjektů v rámci konsolidované skupiny, které se na transakci podílejí (jako původce, sponzor nebo původní věřitel). Jestliže není takový kód k dispozici nebo není vykazující instituci znám, uvede se název instituce.</w:t>
            </w:r>
          </w:p>
          <w:p w14:paraId="5EB74DE7" w14:textId="77777777" w:rsidR="007266CF" w:rsidRPr="002A677E" w:rsidRDefault="007266CF" w:rsidP="007266CF">
            <w:pPr>
              <w:autoSpaceDE w:val="0"/>
              <w:autoSpaceDN w:val="0"/>
              <w:adjustRightInd w:val="0"/>
              <w:spacing w:before="0" w:after="0"/>
              <w:rPr>
                <w:rFonts w:ascii="Times New Roman" w:hAnsi="Times New Roman"/>
                <w:sz w:val="24"/>
              </w:rPr>
            </w:pPr>
          </w:p>
          <w:p w14:paraId="393489D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případě sekuritizace s více prodávajícími, když vykazující instituce drží pozici v sekuritizaci jako investor, uvede vykazující instituce identifikátor všech různých původců zapojených do sekuritizace, nebo pokud není k dispozici, názvy různých původců. Pokud tyto názvy nejsou vykazující instituci známy, vykáže vykazující instituce, že sekuritizace je „s více prodávajícími“.</w:t>
            </w:r>
          </w:p>
          <w:p w14:paraId="2F9988D3" w14:textId="77777777" w:rsidR="007266CF" w:rsidRPr="002A677E" w:rsidRDefault="007266CF" w:rsidP="007266CF">
            <w:pPr>
              <w:autoSpaceDE w:val="0"/>
              <w:autoSpaceDN w:val="0"/>
              <w:adjustRightInd w:val="0"/>
              <w:spacing w:before="0" w:after="0"/>
              <w:rPr>
                <w:rFonts w:ascii="Times New Roman" w:hAnsi="Times New Roman"/>
                <w:sz w:val="24"/>
              </w:rPr>
            </w:pPr>
          </w:p>
          <w:p w14:paraId="3022E091"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5A79DCD3" w14:textId="77777777" w:rsidTr="007266CF">
        <w:tc>
          <w:tcPr>
            <w:tcW w:w="1101" w:type="dxa"/>
          </w:tcPr>
          <w:p w14:paraId="433C3FB2"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79645E43"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xml:space="preserve">TYP SEKURITIZACE </w:t>
            </w:r>
          </w:p>
          <w:p w14:paraId="1A811EF0" w14:textId="77777777" w:rsidR="007266CF" w:rsidRPr="002A677E" w:rsidRDefault="007266CF" w:rsidP="007266CF">
            <w:pPr>
              <w:spacing w:before="0" w:after="0"/>
              <w:jc w:val="left"/>
              <w:rPr>
                <w:rFonts w:ascii="Times New Roman" w:hAnsi="Times New Roman"/>
                <w:sz w:val="24"/>
              </w:rPr>
            </w:pPr>
          </w:p>
          <w:p w14:paraId="668C948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Instituce vykazují jednu z těchto možností:</w:t>
            </w:r>
            <w:r>
              <w:t xml:space="preserve"> </w:t>
            </w:r>
            <w:r>
              <w:br/>
            </w:r>
            <w:r>
              <w:rPr>
                <w:rFonts w:ascii="Times New Roman" w:hAnsi="Times New Roman"/>
                <w:sz w:val="24"/>
              </w:rPr>
              <w:t>– program ABCP,</w:t>
            </w:r>
          </w:p>
          <w:p w14:paraId="3A2C14B5"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transakce ABCP,</w:t>
            </w:r>
          </w:p>
          <w:p w14:paraId="482326AA"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tradiční sekuritizace jiná než sekuritizace nevýkonných expozic,</w:t>
            </w:r>
          </w:p>
          <w:p w14:paraId="078F2978"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nekvalifikovaná sekuritizace nevýkonných expozic,</w:t>
            </w:r>
          </w:p>
          <w:p w14:paraId="1A368EAD"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kvalifikovaná sekuritizace nevýkonných expozic,</w:t>
            </w:r>
          </w:p>
          <w:p w14:paraId="3A0C518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syntetická transakce.</w:t>
            </w:r>
          </w:p>
          <w:p w14:paraId="05A050E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Definice „programu komerčních papírů zajištěných aktivy“, „transakce komerčních papírů zajištěných aktivy“, „tradiční sekuritizace“ a „syntetické </w:t>
            </w:r>
            <w:r>
              <w:rPr>
                <w:rFonts w:ascii="Times New Roman" w:hAnsi="Times New Roman"/>
                <w:sz w:val="24"/>
              </w:rPr>
              <w:lastRenderedPageBreak/>
              <w:t>sekuritizace“ jsou uvedeny v čl. 242 bodech 11 až 14 nařízení (EU) č. 575/2013; definice „kvalifikované tradiční sekuritizace nevýkonných expozic“ a „sekuritizace nevýkonných expozic“ jsou uvedeny v čl. 269a odst. 1 nařízení (EU) č. 575/2013.</w:t>
            </w:r>
          </w:p>
          <w:p w14:paraId="724BA15A"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08C1496B" w14:textId="77777777" w:rsidTr="007266CF">
        <w:tc>
          <w:tcPr>
            <w:tcW w:w="1101" w:type="dxa"/>
          </w:tcPr>
          <w:p w14:paraId="1019707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3AFCF2C1"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ÚČETNÍ PŘÍSTUP: JSOU SEKURITIZOVANÉ EXPOZICE VYKAZOVÁNY V ROZVAZE NEBO JSOU Z NÍ VYJMUTY?</w:t>
            </w:r>
          </w:p>
          <w:p w14:paraId="14F9A850"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48BAC281"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Instituce jakožto původci, sponzoři a původní věřitelé vykazují jednu z těchto možností:</w:t>
            </w:r>
          </w:p>
          <w:p w14:paraId="3FC4A69B" w14:textId="77777777" w:rsidR="007266CF" w:rsidRPr="002A677E" w:rsidRDefault="007266CF" w:rsidP="007266CF">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plně vykazovány“, pokud jsou sekuritizované expozice plně zaúčtovány,</w:t>
            </w:r>
          </w:p>
          <w:p w14:paraId="763856AE"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„P – částečně vyjmuty“, pokud jsou sekuritizované expozice částečně odúčtovány,</w:t>
            </w:r>
          </w:p>
          <w:p w14:paraId="6A625143"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„P – plně vyjmuty“, pokud jsou sekuritizované expozice plně odúčtovány,</w:t>
            </w:r>
          </w:p>
          <w:p w14:paraId="58D46183"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„N – nepoužitelné“, pokud se toto hledisko nepoužije.</w:t>
            </w:r>
          </w:p>
          <w:p w14:paraId="66ADC730"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33BF6C2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Tento sloupec shrnuje účetní přístup k transakcím. Převodem významného rizika (SRT) podle článků 244 a 245 nařízení (EU) č. 575/2013 není dotčeno účetní zpracování dané transakce podle relevantního účetního rámce.</w:t>
            </w:r>
          </w:p>
          <w:p w14:paraId="51A50DB3" w14:textId="77777777" w:rsidR="007266CF" w:rsidRPr="002A677E" w:rsidRDefault="007266CF" w:rsidP="007266CF">
            <w:pPr>
              <w:autoSpaceDE w:val="0"/>
              <w:autoSpaceDN w:val="0"/>
              <w:adjustRightInd w:val="0"/>
              <w:spacing w:before="0" w:after="0"/>
              <w:rPr>
                <w:rFonts w:ascii="Times New Roman" w:hAnsi="Times New Roman"/>
                <w:sz w:val="24"/>
              </w:rPr>
            </w:pPr>
          </w:p>
          <w:p w14:paraId="440B7DB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případě sekuritizace závazků původci tento sloupec nevyplňují.</w:t>
            </w:r>
          </w:p>
          <w:p w14:paraId="07E1DE33"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Možnost „P“ (částečně odúčtovány) se uvádí, jestliže jsou sekuritizovaná aktiva zaúčtována v rozvaze v rozsahu trvající spoluodpovědnosti vykazující instituce, jak je upravena v bodech 9.3.2.16 – 3.2.21 standardů IFRS.</w:t>
            </w:r>
          </w:p>
          <w:p w14:paraId="7F15F768"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6223CC" w14:paraId="2247FD3B" w14:textId="77777777" w:rsidTr="007266CF">
        <w:tc>
          <w:tcPr>
            <w:tcW w:w="1101" w:type="dxa"/>
          </w:tcPr>
          <w:p w14:paraId="7A2A526D"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44A92785"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SOLVENTNOSTNÍ PŘÍSTUP: PODLÉHAJÍ SEKURITIZOVANÉ POZICE KAPITÁLOVÝM POŽADAVKŮM?</w:t>
            </w:r>
          </w:p>
          <w:p w14:paraId="285DDFFA"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34663850"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Články 109, 244 a 245 nařízení (EU) č. 575/2013</w:t>
            </w:r>
          </w:p>
          <w:p w14:paraId="508B1B45" w14:textId="77777777" w:rsidR="007266CF" w:rsidRPr="006223CC" w:rsidRDefault="007266CF" w:rsidP="007266CF">
            <w:pPr>
              <w:autoSpaceDE w:val="0"/>
              <w:autoSpaceDN w:val="0"/>
              <w:adjustRightInd w:val="0"/>
              <w:spacing w:before="0" w:after="0"/>
              <w:rPr>
                <w:rFonts w:ascii="Times New Roman" w:hAnsi="Times New Roman"/>
                <w:sz w:val="24"/>
                <w:lang w:val="fr-FR"/>
              </w:rPr>
            </w:pPr>
          </w:p>
          <w:p w14:paraId="03A2077A" w14:textId="77777777" w:rsidR="007266CF" w:rsidRPr="006223CC" w:rsidRDefault="007266CF" w:rsidP="007266CF">
            <w:pPr>
              <w:autoSpaceDE w:val="0"/>
              <w:autoSpaceDN w:val="0"/>
              <w:adjustRightInd w:val="0"/>
              <w:spacing w:before="0" w:after="0"/>
              <w:jc w:val="left"/>
              <w:rPr>
                <w:rFonts w:ascii="Times New Roman" w:hAnsi="Times New Roman"/>
                <w:sz w:val="24"/>
                <w:lang w:val="fr-FR"/>
              </w:rPr>
            </w:pPr>
            <w:r w:rsidRPr="006223CC">
              <w:rPr>
                <w:rFonts w:ascii="Times New Roman" w:hAnsi="Times New Roman"/>
                <w:sz w:val="24"/>
                <w:lang w:val="fr-FR"/>
              </w:rPr>
              <w:t xml:space="preserve">Pouze původci vykazují jednu z těchto možností: </w:t>
            </w:r>
          </w:p>
          <w:p w14:paraId="7A058BE3" w14:textId="77777777" w:rsidR="007266CF" w:rsidRPr="006223CC" w:rsidRDefault="007266CF" w:rsidP="007266CF">
            <w:pPr>
              <w:autoSpaceDE w:val="0"/>
              <w:autoSpaceDN w:val="0"/>
              <w:adjustRightInd w:val="0"/>
              <w:spacing w:before="0" w:after="0"/>
              <w:jc w:val="left"/>
              <w:rPr>
                <w:rFonts w:ascii="Times New Roman" w:hAnsi="Times New Roman"/>
                <w:sz w:val="24"/>
                <w:lang w:val="fr-FR"/>
              </w:rPr>
            </w:pPr>
            <w:r w:rsidRPr="006223CC">
              <w:rPr>
                <w:rFonts w:ascii="Times New Roman" w:hAnsi="Times New Roman"/>
                <w:sz w:val="24"/>
                <w:lang w:val="fr-FR"/>
              </w:rPr>
              <w:t>– nepodléhají kapitálovým požadavkům,</w:t>
            </w:r>
          </w:p>
          <w:p w14:paraId="41D488FD" w14:textId="77777777" w:rsidR="007266CF" w:rsidRPr="006223CC" w:rsidRDefault="007266CF" w:rsidP="007266CF">
            <w:pPr>
              <w:autoSpaceDE w:val="0"/>
              <w:autoSpaceDN w:val="0"/>
              <w:adjustRightInd w:val="0"/>
              <w:spacing w:before="0" w:after="0"/>
              <w:jc w:val="left"/>
              <w:rPr>
                <w:rFonts w:ascii="Times New Roman" w:hAnsi="Times New Roman"/>
                <w:sz w:val="24"/>
                <w:lang w:val="fr-FR"/>
              </w:rPr>
            </w:pPr>
            <w:r w:rsidRPr="006223CC">
              <w:rPr>
                <w:rFonts w:ascii="Times New Roman" w:hAnsi="Times New Roman"/>
                <w:sz w:val="24"/>
                <w:lang w:val="fr-FR"/>
              </w:rPr>
              <w:t>– investiční portfolio,</w:t>
            </w:r>
          </w:p>
          <w:p w14:paraId="11981FC4" w14:textId="77777777" w:rsidR="007266CF" w:rsidRPr="006223CC" w:rsidRDefault="007266CF" w:rsidP="007266CF">
            <w:pPr>
              <w:autoSpaceDE w:val="0"/>
              <w:autoSpaceDN w:val="0"/>
              <w:adjustRightInd w:val="0"/>
              <w:spacing w:before="0" w:after="0"/>
              <w:jc w:val="left"/>
              <w:rPr>
                <w:rFonts w:ascii="Times New Roman" w:hAnsi="Times New Roman"/>
                <w:sz w:val="24"/>
                <w:lang w:val="fr-FR"/>
              </w:rPr>
            </w:pPr>
            <w:r w:rsidRPr="006223CC">
              <w:rPr>
                <w:rFonts w:ascii="Times New Roman" w:hAnsi="Times New Roman"/>
                <w:sz w:val="24"/>
                <w:lang w:val="fr-FR"/>
              </w:rPr>
              <w:t>– obchodní portfolio,</w:t>
            </w:r>
          </w:p>
          <w:p w14:paraId="14074B1E" w14:textId="77777777" w:rsidR="007266CF" w:rsidRPr="006223CC" w:rsidRDefault="007266CF" w:rsidP="007266CF">
            <w:pPr>
              <w:autoSpaceDE w:val="0"/>
              <w:autoSpaceDN w:val="0"/>
              <w:adjustRightInd w:val="0"/>
              <w:spacing w:before="0" w:after="0"/>
              <w:jc w:val="left"/>
              <w:rPr>
                <w:rFonts w:ascii="Times New Roman" w:hAnsi="Times New Roman"/>
                <w:sz w:val="24"/>
                <w:lang w:val="fr-FR"/>
              </w:rPr>
            </w:pPr>
            <w:r w:rsidRPr="006223CC">
              <w:rPr>
                <w:rFonts w:ascii="Times New Roman" w:hAnsi="Times New Roman"/>
                <w:sz w:val="24"/>
                <w:lang w:val="fr-FR"/>
              </w:rPr>
              <w:t>– částečně v investičním i obchodním portfoliu.</w:t>
            </w:r>
          </w:p>
          <w:p w14:paraId="76D9781D" w14:textId="77777777" w:rsidR="007266CF" w:rsidRPr="006223CC" w:rsidRDefault="007266CF" w:rsidP="007266CF">
            <w:pPr>
              <w:autoSpaceDE w:val="0"/>
              <w:autoSpaceDN w:val="0"/>
              <w:adjustRightInd w:val="0"/>
              <w:spacing w:before="0" w:after="0"/>
              <w:rPr>
                <w:rFonts w:ascii="Times New Roman" w:hAnsi="Times New Roman"/>
                <w:sz w:val="24"/>
                <w:lang w:val="fr-FR"/>
              </w:rPr>
            </w:pPr>
          </w:p>
          <w:p w14:paraId="0FE1F5E9"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 xml:space="preserve">V tomto sloupci se shrnuje solventnostní přístup k sekuritizačnímu systému původce. Uvádí se zde, zda se kapitálové požadavky vypočítávají na základě sekuritizovaných expozic, nebo sekuritizovaných pozic (investiční portfolio / obchodní portfolio). </w:t>
            </w:r>
          </w:p>
          <w:p w14:paraId="6AA3AB68" w14:textId="77777777" w:rsidR="007266CF" w:rsidRPr="006223CC" w:rsidRDefault="007266CF" w:rsidP="007266CF">
            <w:pPr>
              <w:autoSpaceDE w:val="0"/>
              <w:autoSpaceDN w:val="0"/>
              <w:adjustRightInd w:val="0"/>
              <w:spacing w:before="0" w:after="0"/>
              <w:rPr>
                <w:rFonts w:ascii="Times New Roman" w:hAnsi="Times New Roman"/>
                <w:sz w:val="24"/>
                <w:lang w:val="fr-FR"/>
              </w:rPr>
            </w:pPr>
          </w:p>
          <w:p w14:paraId="23F3A4BA"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 xml:space="preserve">Pokud jsou kapitálové požadavky založeny na </w:t>
            </w:r>
            <w:r w:rsidRPr="006223CC">
              <w:rPr>
                <w:rFonts w:ascii="Times New Roman" w:hAnsi="Times New Roman"/>
                <w:i/>
                <w:sz w:val="24"/>
                <w:lang w:val="fr-FR"/>
              </w:rPr>
              <w:t>sekuritizovaných expozicích</w:t>
            </w:r>
            <w:r w:rsidRPr="006223CC">
              <w:rPr>
                <w:rFonts w:ascii="Times New Roman" w:hAnsi="Times New Roman"/>
                <w:sz w:val="24"/>
                <w:lang w:val="fr-FR"/>
              </w:rPr>
              <w:t xml:space="preserve"> (neboť nebylo dosaženo žádného převodu významného rizika), výpočet kapitálových požadavků k úvěrovému riziku se vykazuje v šabloně CR SA pro sekuritizované expozice, u nichž se uplatňuje standardizovaný přístup, nebo v šabloně CR IRB pro sekuritizované expozice, u nichž se uplatňuje přístup založený na interním ratingu.</w:t>
            </w:r>
          </w:p>
          <w:p w14:paraId="55033548" w14:textId="77777777" w:rsidR="007266CF" w:rsidRPr="006223CC" w:rsidRDefault="007266CF" w:rsidP="007266CF">
            <w:pPr>
              <w:autoSpaceDE w:val="0"/>
              <w:autoSpaceDN w:val="0"/>
              <w:adjustRightInd w:val="0"/>
              <w:spacing w:before="0" w:after="0"/>
              <w:rPr>
                <w:rFonts w:ascii="Times New Roman" w:hAnsi="Times New Roman"/>
                <w:sz w:val="24"/>
                <w:lang w:val="fr-FR"/>
              </w:rPr>
            </w:pPr>
          </w:p>
          <w:p w14:paraId="771FF075"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lastRenderedPageBreak/>
              <w:t xml:space="preserve">Naopak pokud jsou kapitálové požadavky založeny na </w:t>
            </w:r>
            <w:r w:rsidRPr="006223CC">
              <w:rPr>
                <w:rFonts w:ascii="Times New Roman" w:hAnsi="Times New Roman"/>
                <w:i/>
                <w:sz w:val="24"/>
                <w:lang w:val="fr-FR"/>
              </w:rPr>
              <w:t>sekuritizovaných pozicích držených v investičním portfoliu</w:t>
            </w:r>
            <w:r w:rsidRPr="006223CC">
              <w:rPr>
                <w:rFonts w:ascii="Times New Roman" w:hAnsi="Times New Roman"/>
                <w:sz w:val="24"/>
                <w:lang w:val="fr-FR"/>
              </w:rPr>
              <w:t xml:space="preserve"> (neboť bylo dosaženo převodu významného rizika), informace o výpočtu kapitálových požadavků k úvěrovému riziku se vykazuje v šabloně CR SEC. Pokud jde o </w:t>
            </w:r>
            <w:r w:rsidRPr="006223CC">
              <w:rPr>
                <w:rFonts w:ascii="Times New Roman" w:hAnsi="Times New Roman"/>
                <w:i/>
                <w:sz w:val="24"/>
                <w:lang w:val="fr-FR"/>
              </w:rPr>
              <w:t>sekuritizované pozice držené v obchodním portfoliu</w:t>
            </w:r>
            <w:r w:rsidRPr="006223CC">
              <w:rPr>
                <w:rFonts w:ascii="Times New Roman" w:hAnsi="Times New Roman"/>
                <w:sz w:val="24"/>
                <w:lang w:val="fr-FR"/>
              </w:rPr>
              <w:t>,</w:t>
            </w:r>
            <w:r w:rsidRPr="006223CC">
              <w:rPr>
                <w:rFonts w:ascii="Times New Roman" w:hAnsi="Times New Roman"/>
                <w:i/>
                <w:sz w:val="24"/>
                <w:lang w:val="fr-FR"/>
              </w:rPr>
              <w:t xml:space="preserve"> </w:t>
            </w:r>
            <w:r w:rsidRPr="006223CC">
              <w:rPr>
                <w:rFonts w:ascii="Times New Roman" w:hAnsi="Times New Roman"/>
                <w:sz w:val="24"/>
                <w:lang w:val="fr-FR"/>
              </w:rPr>
              <w:t>informace o výpočtu kapitálových požadavků k tržnímu riziku se vykazují v šablonách MKR SA TDI (standardizované obecné poziční riziko) a MKR SA SEC či MKR SA CTP (standardizované specifické poziční riziko) nebo v šabloně MKR IM (interní modely).</w:t>
            </w:r>
          </w:p>
          <w:p w14:paraId="1F58A886" w14:textId="77777777" w:rsidR="007266CF" w:rsidRPr="006223CC" w:rsidRDefault="007266CF" w:rsidP="007266CF">
            <w:pPr>
              <w:autoSpaceDE w:val="0"/>
              <w:autoSpaceDN w:val="0"/>
              <w:adjustRightInd w:val="0"/>
              <w:spacing w:before="0" w:after="0"/>
              <w:rPr>
                <w:rFonts w:ascii="Times New Roman" w:hAnsi="Times New Roman"/>
                <w:sz w:val="24"/>
                <w:lang w:val="fr-FR"/>
              </w:rPr>
            </w:pPr>
          </w:p>
          <w:p w14:paraId="2745E570"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V případě sekuritizace závazků původci tento sloupec nevyplňují.</w:t>
            </w:r>
          </w:p>
          <w:p w14:paraId="3F7FBB7A" w14:textId="77777777" w:rsidR="007266CF" w:rsidRPr="006223CC" w:rsidRDefault="007266CF" w:rsidP="007266CF">
            <w:pPr>
              <w:autoSpaceDE w:val="0"/>
              <w:autoSpaceDN w:val="0"/>
              <w:adjustRightInd w:val="0"/>
              <w:spacing w:before="0" w:after="0"/>
              <w:jc w:val="left"/>
              <w:rPr>
                <w:rFonts w:ascii="Times New Roman" w:hAnsi="Times New Roman"/>
                <w:bCs/>
                <w:sz w:val="24"/>
                <w:lang w:val="fr-FR" w:eastAsia="nl-BE"/>
              </w:rPr>
            </w:pPr>
          </w:p>
        </w:tc>
      </w:tr>
      <w:tr w:rsidR="007266CF" w:rsidRPr="002A677E" w14:paraId="16376CD4" w14:textId="77777777" w:rsidTr="007266CF">
        <w:tc>
          <w:tcPr>
            <w:tcW w:w="1101" w:type="dxa"/>
          </w:tcPr>
          <w:p w14:paraId="3ECA85F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7A82442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PŘEVOD VÝZNAMNÉHO RIZIKA</w:t>
            </w:r>
          </w:p>
          <w:p w14:paraId="727D4376"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4A92082B"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Pouze původci vykazují jednu z těchto možností:</w:t>
            </w:r>
          </w:p>
          <w:p w14:paraId="5F502EAA"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nepožádáno o převod významného rizika – vykazující subjekt určuje rizikové váhy svých sekuritizovaných expozic,</w:t>
            </w:r>
          </w:p>
          <w:p w14:paraId="221B0FD1"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dosaženo převodu významného rizika podle čl. 244 odst. 2 písm. a) nebo čl. 245 odst. 2 písm. a) nařízení (EU) č. 575/2013,</w:t>
            </w:r>
          </w:p>
          <w:p w14:paraId="033A998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dosaženo převodu významného rizika podle čl. 244 odst. 2 písm. b) nebo čl. 245 odst. 2 písm. b) nařízení (EU) č. 575/2013,</w:t>
            </w:r>
          </w:p>
          <w:p w14:paraId="7A205FED"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dosaženo převodu významného rizika podle čl. 244 odst. 3 písm. a) nebo čl. 245 odst. 3 písm. a) nařízení (EU) č. 575/2013,</w:t>
            </w:r>
          </w:p>
          <w:p w14:paraId="470CF46C"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uplatňuje se riziková váha 1 250 % nebo se odečítají ponechané pozice v souladu s čl. 244 odst. 1 písm. b) nebo čl. 245 odst. 1 písm. b) nařízení (EU) č. 575/2013.</w:t>
            </w:r>
          </w:p>
          <w:p w14:paraId="57099E3D"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27085D2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V tomto sloupci se shrnuje, zda bylo dosaženo významného převodu, a pokud ano, jak. Dosažení převodu významného rizika určí vhodný solventností přístup ze strany původce.</w:t>
            </w:r>
          </w:p>
          <w:p w14:paraId="06EB9172" w14:textId="77777777" w:rsidR="007266CF" w:rsidRPr="002A677E" w:rsidRDefault="007266CF" w:rsidP="007266CF">
            <w:pPr>
              <w:spacing w:before="0" w:after="0"/>
              <w:jc w:val="left"/>
            </w:pPr>
          </w:p>
        </w:tc>
      </w:tr>
      <w:tr w:rsidR="007266CF" w:rsidRPr="002A677E" w14:paraId="3D01657B" w14:textId="77777777" w:rsidTr="007266CF">
        <w:tc>
          <w:tcPr>
            <w:tcW w:w="1101" w:type="dxa"/>
          </w:tcPr>
          <w:p w14:paraId="6756AD2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033D6420"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SEKURITIZACE, NEBO RESEKURITIZACE?</w:t>
            </w:r>
          </w:p>
          <w:p w14:paraId="6536C084"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00847E32" w14:textId="77777777" w:rsidR="007266CF" w:rsidRPr="002A677E" w:rsidRDefault="007266CF" w:rsidP="007266CF">
            <w:pPr>
              <w:autoSpaceDE w:val="0"/>
              <w:autoSpaceDN w:val="0"/>
              <w:adjustRightInd w:val="0"/>
              <w:spacing w:before="0"/>
              <w:jc w:val="left"/>
              <w:rPr>
                <w:rFonts w:ascii="Times New Roman" w:hAnsi="Times New Roman"/>
                <w:sz w:val="24"/>
              </w:rPr>
            </w:pPr>
            <w:r>
              <w:rPr>
                <w:rFonts w:ascii="Times New Roman" w:hAnsi="Times New Roman"/>
                <w:sz w:val="24"/>
              </w:rPr>
              <w:t>V souladu s definicí „sekuritizace“ v čl. 4 odst. 1 bodě 61 nařízení (EU) č. 575/2013 a definicí „resekuritizace“ v čl. 4 odst. 1 bodě 63 nařízení (EU) č. 575/2013 se vykazuje druh sekuritizace za použití těchto zkratek:</w:t>
            </w:r>
          </w:p>
          <w:p w14:paraId="75EA0067"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sekuritizace,</w:t>
            </w:r>
          </w:p>
          <w:p w14:paraId="2D1E711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resekuritizace.</w:t>
            </w:r>
          </w:p>
          <w:p w14:paraId="03E68177"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14F1B15E" w14:textId="77777777" w:rsidTr="007266CF">
        <w:tc>
          <w:tcPr>
            <w:tcW w:w="1101" w:type="dxa"/>
          </w:tcPr>
          <w:p w14:paraId="799F02C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643BCB50" w14:textId="77777777" w:rsidR="007266CF" w:rsidRPr="002A677E" w:rsidRDefault="007266CF" w:rsidP="007266CF">
            <w:pPr>
              <w:tabs>
                <w:tab w:val="left" w:pos="3274"/>
              </w:tabs>
              <w:spacing w:before="0" w:after="0"/>
              <w:jc w:val="left"/>
              <w:rPr>
                <w:rFonts w:ascii="Times New Roman" w:hAnsi="Times New Roman"/>
                <w:b/>
                <w:sz w:val="24"/>
                <w:u w:val="single"/>
              </w:rPr>
            </w:pPr>
            <w:r>
              <w:rPr>
                <w:rFonts w:ascii="Times New Roman" w:hAnsi="Times New Roman"/>
                <w:b/>
                <w:sz w:val="24"/>
                <w:u w:val="single"/>
              </w:rPr>
              <w:t>SEKURITIZACE STS</w:t>
            </w:r>
          </w:p>
          <w:p w14:paraId="64F3AFAD" w14:textId="77777777" w:rsidR="007266CF" w:rsidRPr="002A677E" w:rsidRDefault="007266CF" w:rsidP="007266CF">
            <w:pPr>
              <w:spacing w:before="0" w:after="0"/>
              <w:jc w:val="left"/>
              <w:rPr>
                <w:rFonts w:ascii="Times New Roman" w:hAnsi="Times New Roman"/>
                <w:sz w:val="24"/>
              </w:rPr>
            </w:pPr>
          </w:p>
          <w:p w14:paraId="73A76419"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Článek 18 nařízení (EU) 2017/2402.</w:t>
            </w:r>
          </w:p>
          <w:p w14:paraId="77B814A1" w14:textId="77777777" w:rsidR="007266CF" w:rsidRPr="002A677E" w:rsidRDefault="007266CF" w:rsidP="007266CF">
            <w:pPr>
              <w:spacing w:before="0" w:after="0"/>
              <w:jc w:val="left"/>
              <w:rPr>
                <w:rFonts w:ascii="Times New Roman" w:hAnsi="Times New Roman"/>
                <w:sz w:val="24"/>
              </w:rPr>
            </w:pPr>
          </w:p>
          <w:p w14:paraId="6BFC66F0" w14:textId="77777777" w:rsidR="007266CF" w:rsidRPr="002A677E" w:rsidRDefault="007266CF" w:rsidP="007266CF">
            <w:pPr>
              <w:spacing w:before="0"/>
              <w:jc w:val="left"/>
              <w:rPr>
                <w:rFonts w:ascii="Times New Roman" w:hAnsi="Times New Roman"/>
                <w:sz w:val="24"/>
              </w:rPr>
            </w:pPr>
            <w:r>
              <w:rPr>
                <w:rFonts w:ascii="Times New Roman" w:hAnsi="Times New Roman"/>
                <w:sz w:val="24"/>
              </w:rPr>
              <w:t>Instituce vykazují jednu z těchto zkratek:</w:t>
            </w:r>
          </w:p>
          <w:p w14:paraId="4D05E82B"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Y – ano,</w:t>
            </w:r>
          </w:p>
          <w:p w14:paraId="76A89182"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N – ne.</w:t>
            </w:r>
          </w:p>
          <w:p w14:paraId="3BE32AE7" w14:textId="77777777" w:rsidR="007266CF" w:rsidRPr="002A677E" w:rsidRDefault="007266CF" w:rsidP="007266CF">
            <w:pPr>
              <w:spacing w:before="0" w:after="0"/>
              <w:jc w:val="left"/>
              <w:rPr>
                <w:rFonts w:ascii="Times New Roman" w:hAnsi="Times New Roman"/>
                <w:b/>
                <w:sz w:val="24"/>
                <w:u w:val="single"/>
              </w:rPr>
            </w:pPr>
          </w:p>
        </w:tc>
      </w:tr>
      <w:tr w:rsidR="007266CF" w:rsidRPr="006223CC" w14:paraId="717787A2" w14:textId="77777777" w:rsidTr="007266CF">
        <w:tc>
          <w:tcPr>
            <w:tcW w:w="1101" w:type="dxa"/>
          </w:tcPr>
          <w:p w14:paraId="172E27A3"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60B34C70"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SEKURITIZACE, KTERÉ JSOU ZPŮSOBILÉ PRO DIFERENCOVANÉ KAPITÁLOVÉ ZACHÁZENÍ</w:t>
            </w:r>
          </w:p>
          <w:p w14:paraId="598855AE" w14:textId="77777777" w:rsidR="007266CF" w:rsidRPr="002A677E" w:rsidRDefault="007266CF" w:rsidP="007266CF">
            <w:pPr>
              <w:spacing w:before="0" w:after="0"/>
              <w:jc w:val="left"/>
              <w:rPr>
                <w:rFonts w:ascii="Times New Roman" w:hAnsi="Times New Roman"/>
                <w:sz w:val="24"/>
              </w:rPr>
            </w:pPr>
          </w:p>
          <w:p w14:paraId="5E4BCAC0" w14:textId="77777777" w:rsidR="007266CF" w:rsidRPr="006223CC" w:rsidRDefault="007266CF" w:rsidP="007266CF">
            <w:pPr>
              <w:spacing w:before="0"/>
              <w:jc w:val="left"/>
              <w:rPr>
                <w:rFonts w:ascii="Times New Roman" w:hAnsi="Times New Roman"/>
                <w:sz w:val="24"/>
                <w:lang w:val="fr-FR"/>
              </w:rPr>
            </w:pPr>
            <w:r w:rsidRPr="006223CC">
              <w:rPr>
                <w:rFonts w:ascii="Times New Roman" w:hAnsi="Times New Roman"/>
                <w:sz w:val="24"/>
                <w:lang w:val="fr-FR"/>
              </w:rPr>
              <w:lastRenderedPageBreak/>
              <w:t>Ustanovení článků 243, 270 a 494c nařízení (EU) č. 575/2013</w:t>
            </w:r>
          </w:p>
          <w:p w14:paraId="1CAE2016"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Instituce vykazují jednu z těchto zkratek:</w:t>
            </w:r>
          </w:p>
          <w:p w14:paraId="5F11BAE4"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Y</w:t>
            </w:r>
            <w:r w:rsidRPr="006223CC">
              <w:rPr>
                <w:lang w:val="fr-FR"/>
              </w:rPr>
              <w:tab/>
            </w:r>
            <w:r w:rsidRPr="006223CC">
              <w:rPr>
                <w:rFonts w:ascii="Times New Roman" w:hAnsi="Times New Roman"/>
                <w:sz w:val="24"/>
                <w:lang w:val="fr-FR"/>
              </w:rPr>
              <w:t>– ano,</w:t>
            </w:r>
          </w:p>
          <w:p w14:paraId="463BA0EF" w14:textId="77777777" w:rsidR="007266CF" w:rsidRPr="006223CC" w:rsidRDefault="007266CF" w:rsidP="007266CF">
            <w:pPr>
              <w:tabs>
                <w:tab w:val="left" w:pos="708"/>
                <w:tab w:val="left" w:pos="1573"/>
              </w:tabs>
              <w:spacing w:before="0" w:after="0"/>
              <w:jc w:val="left"/>
              <w:rPr>
                <w:rFonts w:ascii="Times New Roman" w:hAnsi="Times New Roman"/>
                <w:sz w:val="24"/>
                <w:lang w:val="fr-FR"/>
              </w:rPr>
            </w:pPr>
            <w:r w:rsidRPr="006223CC">
              <w:rPr>
                <w:rFonts w:ascii="Times New Roman" w:hAnsi="Times New Roman"/>
                <w:sz w:val="24"/>
                <w:lang w:val="fr-FR"/>
              </w:rPr>
              <w:t>N</w:t>
            </w:r>
            <w:r w:rsidRPr="006223CC">
              <w:rPr>
                <w:lang w:val="fr-FR"/>
              </w:rPr>
              <w:tab/>
            </w:r>
            <w:r w:rsidRPr="006223CC">
              <w:rPr>
                <w:rFonts w:ascii="Times New Roman" w:hAnsi="Times New Roman"/>
                <w:sz w:val="24"/>
                <w:lang w:val="fr-FR"/>
              </w:rPr>
              <w:t>– ne.</w:t>
            </w:r>
          </w:p>
          <w:p w14:paraId="7899BE12" w14:textId="77777777" w:rsidR="007266CF" w:rsidRPr="006223CC" w:rsidRDefault="007266CF" w:rsidP="007266CF">
            <w:pPr>
              <w:spacing w:before="0" w:after="0"/>
              <w:jc w:val="left"/>
              <w:rPr>
                <w:rFonts w:ascii="Times New Roman" w:hAnsi="Times New Roman"/>
                <w:b/>
                <w:sz w:val="24"/>
                <w:u w:val="single"/>
                <w:lang w:val="fr-FR"/>
              </w:rPr>
            </w:pPr>
          </w:p>
          <w:p w14:paraId="3D1DC328"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„Ano“ se vykáže v těchto případech:</w:t>
            </w:r>
          </w:p>
          <w:p w14:paraId="39D4B0DF" w14:textId="77777777" w:rsidR="007266CF" w:rsidRPr="006223CC" w:rsidRDefault="007266CF" w:rsidP="00A75C39">
            <w:pPr>
              <w:pStyle w:val="ListParagraph"/>
              <w:numPr>
                <w:ilvl w:val="0"/>
                <w:numId w:val="25"/>
              </w:numPr>
              <w:spacing w:before="0" w:after="0"/>
              <w:jc w:val="left"/>
              <w:rPr>
                <w:rFonts w:ascii="Times New Roman" w:hAnsi="Times New Roman"/>
                <w:sz w:val="24"/>
                <w:lang w:val="fr-FR"/>
              </w:rPr>
            </w:pPr>
            <w:r w:rsidRPr="006223CC">
              <w:rPr>
                <w:rFonts w:ascii="Times New Roman" w:hAnsi="Times New Roman"/>
                <w:sz w:val="24"/>
                <w:lang w:val="fr-FR"/>
              </w:rPr>
              <w:t xml:space="preserve">sekuritizace STS, které jsou způsobilé pro diferencované kapitálové zacházení podle článku 243 nařízení (EU) č. 575/2013 </w:t>
            </w:r>
          </w:p>
          <w:p w14:paraId="2F921E99" w14:textId="77777777" w:rsidR="007266CF" w:rsidRPr="006223CC" w:rsidRDefault="007266CF" w:rsidP="00A75C39">
            <w:pPr>
              <w:pStyle w:val="ListParagraph"/>
              <w:numPr>
                <w:ilvl w:val="0"/>
                <w:numId w:val="25"/>
              </w:numPr>
              <w:spacing w:before="0" w:after="0"/>
              <w:jc w:val="left"/>
              <w:rPr>
                <w:rFonts w:ascii="Times New Roman" w:hAnsi="Times New Roman"/>
                <w:sz w:val="24"/>
                <w:lang w:val="fr-FR"/>
              </w:rPr>
            </w:pPr>
            <w:r w:rsidRPr="006223CC">
              <w:rPr>
                <w:rFonts w:ascii="Times New Roman" w:hAnsi="Times New Roman"/>
                <w:sz w:val="24"/>
                <w:lang w:val="fr-FR"/>
              </w:rPr>
              <w:t>vyšší pozice v STS rozvahové sekuritizaci, které jsou pro toto zacházení způsobilé v souladu s článkem 270 nařízení (EU) č. 575/2013</w:t>
            </w:r>
          </w:p>
          <w:p w14:paraId="13ACA748" w14:textId="77777777" w:rsidR="007266CF" w:rsidRPr="006223CC" w:rsidRDefault="007266CF" w:rsidP="00A75C39">
            <w:pPr>
              <w:pStyle w:val="ListParagraph"/>
              <w:numPr>
                <w:ilvl w:val="0"/>
                <w:numId w:val="25"/>
              </w:numPr>
              <w:spacing w:before="0" w:after="0"/>
              <w:jc w:val="left"/>
              <w:rPr>
                <w:rFonts w:ascii="Times New Roman" w:hAnsi="Times New Roman"/>
                <w:sz w:val="24"/>
                <w:lang w:val="fr-FR"/>
              </w:rPr>
            </w:pPr>
            <w:r w:rsidRPr="006223CC">
              <w:rPr>
                <w:rFonts w:ascii="Times New Roman" w:hAnsi="Times New Roman"/>
                <w:sz w:val="24"/>
                <w:lang w:val="fr-FR"/>
              </w:rPr>
              <w:t>syntetické sekuritizace MSP se zachováním právních účinků v souladu s článkem 494c nařízení (EU) č. 575/2013.</w:t>
            </w:r>
          </w:p>
          <w:p w14:paraId="619A2482" w14:textId="77777777" w:rsidR="007266CF" w:rsidRPr="006223CC" w:rsidRDefault="007266CF" w:rsidP="007266CF">
            <w:pPr>
              <w:tabs>
                <w:tab w:val="left" w:pos="3274"/>
              </w:tabs>
              <w:spacing w:before="0" w:after="0"/>
              <w:jc w:val="left"/>
              <w:rPr>
                <w:rFonts w:ascii="Times New Roman" w:hAnsi="Times New Roman"/>
                <w:b/>
                <w:sz w:val="24"/>
                <w:u w:val="single"/>
                <w:lang w:val="fr-FR"/>
              </w:rPr>
            </w:pPr>
          </w:p>
        </w:tc>
      </w:tr>
      <w:tr w:rsidR="007266CF" w:rsidRPr="002A677E" w14:paraId="4F42D711" w14:textId="77777777" w:rsidTr="007266CF">
        <w:tc>
          <w:tcPr>
            <w:tcW w:w="1101" w:type="dxa"/>
          </w:tcPr>
          <w:p w14:paraId="119B4E1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0076</w:t>
            </w:r>
          </w:p>
        </w:tc>
        <w:tc>
          <w:tcPr>
            <w:tcW w:w="7903" w:type="dxa"/>
          </w:tcPr>
          <w:p w14:paraId="0E0F5BC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TYP NADMĚRNÉHO ROZPĚTÍ</w:t>
            </w:r>
          </w:p>
          <w:p w14:paraId="7E402366" w14:textId="77777777" w:rsidR="007266CF" w:rsidRPr="002A677E" w:rsidRDefault="007266CF" w:rsidP="007266CF">
            <w:pPr>
              <w:spacing w:before="0" w:after="0"/>
              <w:jc w:val="left"/>
              <w:rPr>
                <w:rFonts w:ascii="Times New Roman" w:hAnsi="Times New Roman"/>
                <w:b/>
                <w:sz w:val="24"/>
                <w:u w:val="single"/>
              </w:rPr>
            </w:pPr>
          </w:p>
          <w:p w14:paraId="7D9AFEE8"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 xml:space="preserve">Ustanovení čl. 2 bodu 29 nařízení (EU) 2017/2402 </w:t>
            </w:r>
          </w:p>
          <w:p w14:paraId="3E31F80D" w14:textId="77777777" w:rsidR="007266CF" w:rsidRPr="002A677E" w:rsidRDefault="007266CF" w:rsidP="007266CF">
            <w:pPr>
              <w:spacing w:before="0" w:after="0"/>
              <w:jc w:val="left"/>
              <w:rPr>
                <w:rFonts w:ascii="Times New Roman" w:hAnsi="Times New Roman"/>
                <w:sz w:val="24"/>
              </w:rPr>
            </w:pPr>
          </w:p>
          <w:p w14:paraId="1E05E89C"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Instituce vykazují jednu z těchto možností:</w:t>
            </w:r>
          </w:p>
          <w:p w14:paraId="63B97300"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žádné nadměrné rozpětí</w:t>
            </w:r>
          </w:p>
          <w:p w14:paraId="5C7DA808"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nadměrné rozpětí, pevná částka – mechanismus ztráty v případě nevyužití</w:t>
            </w:r>
          </w:p>
          <w:p w14:paraId="5BA41D5C"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nadměrné rozpětí, pevná částka – mechanismus zachycení</w:t>
            </w:r>
          </w:p>
          <w:p w14:paraId="42074630"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nadměrné rozpětí, proměnná částka – mechanismus ztráty v případě nevyužití</w:t>
            </w:r>
          </w:p>
          <w:p w14:paraId="2C1C6B44"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nadměrné rozpětí, proměnná částka – mechanismus zachycení.</w:t>
            </w:r>
          </w:p>
          <w:p w14:paraId="594BE2A6" w14:textId="77777777" w:rsidR="007266CF" w:rsidRPr="002A677E" w:rsidRDefault="007266CF" w:rsidP="007266CF">
            <w:pPr>
              <w:pStyle w:val="ListParagraph"/>
              <w:spacing w:before="0" w:after="0"/>
              <w:ind w:left="1080"/>
              <w:jc w:val="left"/>
              <w:rPr>
                <w:rFonts w:ascii="Times New Roman" w:hAnsi="Times New Roman"/>
                <w:sz w:val="24"/>
              </w:rPr>
            </w:pPr>
          </w:p>
        </w:tc>
      </w:tr>
      <w:tr w:rsidR="007266CF" w:rsidRPr="002A677E" w14:paraId="031E0DFE" w14:textId="77777777" w:rsidTr="007266CF">
        <w:tc>
          <w:tcPr>
            <w:tcW w:w="1101" w:type="dxa"/>
          </w:tcPr>
          <w:p w14:paraId="52417C1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354190A9"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SYSTÉM UMOŘOVÁNÍ</w:t>
            </w:r>
          </w:p>
          <w:p w14:paraId="2F57803B" w14:textId="77777777" w:rsidR="007266CF" w:rsidRPr="002A677E" w:rsidRDefault="007266CF" w:rsidP="007266CF">
            <w:pPr>
              <w:spacing w:before="0" w:after="0"/>
              <w:jc w:val="left"/>
              <w:rPr>
                <w:rFonts w:ascii="Times New Roman" w:hAnsi="Times New Roman"/>
                <w:b/>
                <w:sz w:val="24"/>
                <w:u w:val="single"/>
              </w:rPr>
            </w:pPr>
          </w:p>
          <w:p w14:paraId="4ADF334C"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Instituce vykazují jednu z těchto možností:</w:t>
            </w:r>
          </w:p>
          <w:p w14:paraId="6FBFB89B"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postupné splácení</w:t>
            </w:r>
          </w:p>
          <w:p w14:paraId="291A15E2"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poměrné umoření</w:t>
            </w:r>
          </w:p>
          <w:p w14:paraId="68C65771"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poměrné umoření měnící se na postupné splácení. V souladu s kritérii pro STS u rozvahové sekuritizace</w:t>
            </w:r>
            <w:r>
              <w:br/>
            </w:r>
            <w:r>
              <w:rPr>
                <w:rFonts w:ascii="Times New Roman" w:hAnsi="Times New Roman"/>
                <w:sz w:val="24"/>
              </w:rPr>
              <w:t xml:space="preserve">(čl. 26c odst. 5 nařízení (EU) 2017/2402) </w:t>
            </w:r>
          </w:p>
          <w:p w14:paraId="1C1569D0" w14:textId="77777777" w:rsidR="007266CF" w:rsidRPr="0052508A"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poměrné umoření měnící se na postupné splácení. V souladu s kritérii pro STS u jiných transakcí než transakce ABCP</w:t>
            </w:r>
            <w:r>
              <w:br/>
              <w:t>(</w:t>
            </w:r>
            <w:r>
              <w:rPr>
                <w:rFonts w:ascii="Times New Roman" w:hAnsi="Times New Roman"/>
                <w:sz w:val="24"/>
              </w:rPr>
              <w:t>Pokyny ke kritériím pro STS u jiných transakcí než transakce ABCP a čl. 21 odst. 5 nařízení (EU) 2017/2402)</w:t>
            </w:r>
          </w:p>
          <w:p w14:paraId="7C890948" w14:textId="77777777" w:rsidR="007266CF" w:rsidRPr="002A677E"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poměrné umoření měnící se na postupné splácení. Není v souladu s kritérii</w:t>
            </w:r>
          </w:p>
          <w:p w14:paraId="3035FC41" w14:textId="77777777" w:rsidR="007266CF" w:rsidRPr="001235ED" w:rsidRDefault="007266CF" w:rsidP="00A75C39">
            <w:pPr>
              <w:numPr>
                <w:ilvl w:val="0"/>
                <w:numId w:val="25"/>
              </w:numPr>
              <w:spacing w:before="0" w:after="0"/>
              <w:jc w:val="left"/>
              <w:rPr>
                <w:rFonts w:ascii="Times New Roman" w:hAnsi="Times New Roman"/>
                <w:b/>
                <w:sz w:val="24"/>
                <w:u w:val="single"/>
              </w:rPr>
            </w:pPr>
            <w:r>
              <w:rPr>
                <w:rFonts w:ascii="Times New Roman" w:hAnsi="Times New Roman"/>
                <w:sz w:val="24"/>
              </w:rPr>
              <w:t>jiný systém umořování</w:t>
            </w:r>
          </w:p>
          <w:p w14:paraId="221B0F13" w14:textId="77777777" w:rsidR="007266CF" w:rsidRPr="002A677E" w:rsidRDefault="007266CF" w:rsidP="007266CF">
            <w:pPr>
              <w:spacing w:before="0" w:after="0"/>
              <w:ind w:left="1080"/>
              <w:jc w:val="left"/>
              <w:rPr>
                <w:rFonts w:ascii="Times New Roman" w:hAnsi="Times New Roman"/>
                <w:b/>
                <w:sz w:val="24"/>
                <w:u w:val="single"/>
              </w:rPr>
            </w:pPr>
          </w:p>
        </w:tc>
      </w:tr>
      <w:tr w:rsidR="007266CF" w:rsidRPr="002A677E" w14:paraId="389D7C41" w14:textId="77777777" w:rsidTr="007266CF">
        <w:tc>
          <w:tcPr>
            <w:tcW w:w="1101" w:type="dxa"/>
          </w:tcPr>
          <w:p w14:paraId="330B84B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5BEE55B7"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MOŽNOSTI KOLATERALIZACE</w:t>
            </w:r>
          </w:p>
          <w:p w14:paraId="615B2F09" w14:textId="77777777" w:rsidR="007266CF" w:rsidRPr="002A677E" w:rsidRDefault="007266CF" w:rsidP="007266CF">
            <w:pPr>
              <w:spacing w:before="0" w:after="0"/>
              <w:jc w:val="left"/>
              <w:rPr>
                <w:rFonts w:ascii="Times New Roman" w:hAnsi="Times New Roman"/>
                <w:b/>
                <w:sz w:val="24"/>
                <w:u w:val="single"/>
              </w:rPr>
            </w:pPr>
          </w:p>
          <w:p w14:paraId="02285925"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Článek 26e nařízení (EU) 2017/2402</w:t>
            </w:r>
          </w:p>
          <w:p w14:paraId="60F090FE" w14:textId="77777777" w:rsidR="007266CF" w:rsidRPr="002A677E" w:rsidRDefault="007266CF" w:rsidP="007266CF">
            <w:pPr>
              <w:spacing w:before="0" w:after="0"/>
              <w:jc w:val="left"/>
              <w:rPr>
                <w:rFonts w:ascii="Times New Roman" w:hAnsi="Times New Roman"/>
                <w:sz w:val="24"/>
              </w:rPr>
            </w:pPr>
          </w:p>
          <w:p w14:paraId="07F75518" w14:textId="77777777" w:rsidR="007266CF" w:rsidRPr="002A677E" w:rsidRDefault="007266CF" w:rsidP="007266CF">
            <w:pPr>
              <w:rPr>
                <w:rFonts w:ascii="Calibri" w:hAnsi="Calibri"/>
                <w:szCs w:val="22"/>
              </w:rPr>
            </w:pPr>
            <w:r>
              <w:rPr>
                <w:rFonts w:ascii="Times New Roman" w:hAnsi="Times New Roman"/>
                <w:sz w:val="24"/>
              </w:rPr>
              <w:t>Instituce vykazují jednu z níže uvedených možností kolateralizace u smlouvy o zajištění úvěrového rizika:</w:t>
            </w:r>
          </w:p>
          <w:p w14:paraId="368824A7" w14:textId="77777777" w:rsidR="007266CF" w:rsidRPr="002A677E" w:rsidRDefault="007266CF" w:rsidP="007266CF"/>
          <w:p w14:paraId="1FF2F795"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kolaterál ve formě dluhových cenných papírů s rizikovou váhou 0 %</w:t>
            </w:r>
            <w:r>
              <w:br/>
            </w:r>
            <w:r>
              <w:rPr>
                <w:rFonts w:ascii="Times New Roman" w:hAnsi="Times New Roman"/>
                <w:sz w:val="24"/>
              </w:rPr>
              <w:t>ustanovení čl. 26e odst. 10 prvního pododstavce písm. a) nařízení (EU) 2017/2402</w:t>
            </w:r>
          </w:p>
          <w:p w14:paraId="4710CB99"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kolaterál v hotovosti držený nezávislou úvěrovou institucí se stupněm úvěrové kvality 3 nebo vyšším</w:t>
            </w:r>
            <w:r>
              <w:t xml:space="preserve"> </w:t>
            </w:r>
            <w:r>
              <w:br/>
            </w:r>
            <w:r>
              <w:rPr>
                <w:rFonts w:ascii="Times New Roman" w:hAnsi="Times New Roman"/>
                <w:sz w:val="24"/>
              </w:rPr>
              <w:t>ustanovení čl. 26e odst. 10 prvního pododstavce písm. b) nařízení (EU) 2017/2402</w:t>
            </w:r>
          </w:p>
          <w:p w14:paraId="6A5F7676"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kolaterál ve formě hotovostních vkladů u původce nebo jednoho z jeho přidružených subjektů, pokud původce nebo jeden z jeho přidružených subjektů splňuje úvěrovou kvalitu minimálně na stupni 2</w:t>
            </w:r>
            <w:r>
              <w:t xml:space="preserve"> </w:t>
            </w:r>
            <w:r>
              <w:br/>
            </w:r>
            <w:r>
              <w:rPr>
                <w:rFonts w:ascii="Times New Roman" w:hAnsi="Times New Roman"/>
                <w:sz w:val="24"/>
              </w:rPr>
              <w:t>ustanovení čl. 26e odst. 10 druhého pododstavce nařízení (EU) 2017/2402</w:t>
            </w:r>
          </w:p>
          <w:p w14:paraId="6B506A73"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kolaterál ve formě hotovostních vkladů u původce nebo jednoho z jeho přidružených subjektů, pokud původce nebo jeden z jeho přidružených subjektů splňuje úvěrovou kvalitu minimálně na stupni 3</w:t>
            </w:r>
            <w:r>
              <w:t xml:space="preserve"> </w:t>
            </w:r>
            <w:r>
              <w:br/>
            </w:r>
            <w:r>
              <w:rPr>
                <w:rFonts w:ascii="Times New Roman" w:hAnsi="Times New Roman"/>
                <w:sz w:val="24"/>
              </w:rPr>
              <w:t>ustanovení čl. 26e odst. 10 třetího pododstavce nařízení (EU) 2017/2402</w:t>
            </w:r>
          </w:p>
          <w:p w14:paraId="0710B8F7"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požadavek splněný v případě investic do úvěrových dluhových cenných papírů vydaných původcem</w:t>
            </w:r>
            <w:r>
              <w:t xml:space="preserve"> </w:t>
            </w:r>
            <w:r>
              <w:br/>
            </w:r>
            <w:r>
              <w:rPr>
                <w:rFonts w:ascii="Times New Roman" w:hAnsi="Times New Roman"/>
                <w:sz w:val="24"/>
              </w:rPr>
              <w:t>ustanovení čl. 26e odst. 10 čtvrtého pododstavce nařízení (EU) 2017/2402</w:t>
            </w:r>
          </w:p>
          <w:p w14:paraId="27948086"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žádný kolaterál, investor je způsobilý pro rizikovou váhu 0</w:t>
            </w:r>
            <w:r>
              <w:t> </w:t>
            </w:r>
            <w:r>
              <w:rPr>
                <w:rFonts w:ascii="Times New Roman" w:hAnsi="Times New Roman"/>
                <w:sz w:val="24"/>
              </w:rPr>
              <w:t>%</w:t>
            </w:r>
            <w:r>
              <w:t xml:space="preserve"> </w:t>
            </w:r>
            <w:r>
              <w:br/>
            </w:r>
            <w:r>
              <w:rPr>
                <w:rFonts w:ascii="Times New Roman" w:hAnsi="Times New Roman"/>
                <w:sz w:val="24"/>
              </w:rPr>
              <w:t>ustanovení čl. 26e odst. 8 písm. a) nařízení (EU) 2017/2402</w:t>
            </w:r>
          </w:p>
          <w:p w14:paraId="07134F47"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žádný kolaterál, investor využívá protizáruku jakéhokoli subjektu způsobilého pro rizikovou váhu 0</w:t>
            </w:r>
            <w:r>
              <w:t> </w:t>
            </w:r>
            <w:r>
              <w:rPr>
                <w:rFonts w:ascii="Times New Roman" w:hAnsi="Times New Roman"/>
                <w:sz w:val="24"/>
              </w:rPr>
              <w:t>%</w:t>
            </w:r>
            <w:r>
              <w:t xml:space="preserve"> </w:t>
            </w:r>
            <w:r>
              <w:br/>
            </w:r>
            <w:r>
              <w:rPr>
                <w:rFonts w:ascii="Times New Roman" w:hAnsi="Times New Roman"/>
                <w:sz w:val="24"/>
              </w:rPr>
              <w:t>ustanovení čl. 26e odst. 8 písm. b) nařízení (EU) 2017/2402</w:t>
            </w:r>
          </w:p>
          <w:p w14:paraId="0AD50BEC"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 xml:space="preserve">jiné typy kolaterálu: dluhové cenné papíry nevyhovující článku 26e nařízení (EU) 2017/2402 </w:t>
            </w:r>
          </w:p>
          <w:p w14:paraId="2A3707E5"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 xml:space="preserve">jiné typy kolaterálu: hotovost nevyhovující článku 26e nařízení (EU) 2017/2402 </w:t>
            </w:r>
          </w:p>
          <w:p w14:paraId="1C36A7A6" w14:textId="77777777" w:rsidR="007266CF" w:rsidRPr="001235ED" w:rsidRDefault="007266CF" w:rsidP="00A75C39">
            <w:pPr>
              <w:pStyle w:val="ListParagraph"/>
              <w:numPr>
                <w:ilvl w:val="0"/>
                <w:numId w:val="25"/>
              </w:numPr>
              <w:spacing w:before="0" w:after="0"/>
              <w:jc w:val="left"/>
              <w:rPr>
                <w:rFonts w:ascii="Times New Roman" w:hAnsi="Times New Roman"/>
                <w:sz w:val="24"/>
              </w:rPr>
            </w:pPr>
            <w:r>
              <w:rPr>
                <w:rFonts w:ascii="Times New Roman" w:hAnsi="Times New Roman"/>
                <w:sz w:val="24"/>
              </w:rPr>
              <w:t>žádný kolaterál, nesoulad s kritérii pro STS u rozvahové sekuritizace</w:t>
            </w:r>
            <w:r>
              <w:t xml:space="preserve"> </w:t>
            </w:r>
            <w:r>
              <w:br/>
            </w:r>
            <w:r>
              <w:rPr>
                <w:rFonts w:ascii="Times New Roman" w:hAnsi="Times New Roman"/>
                <w:sz w:val="24"/>
              </w:rPr>
              <w:t>případy jiné než ty, kdy není poskytnut kolaterál, investor je však způsobilý pro rizikovou váhu 0 % nebo využívá protizáruku jakéhokoli subjektu způsobilého pro rizikovou váhu 0 %</w:t>
            </w:r>
          </w:p>
          <w:p w14:paraId="77CA3B68" w14:textId="77777777" w:rsidR="007266CF" w:rsidRPr="002A677E" w:rsidRDefault="007266CF" w:rsidP="007266CF">
            <w:pPr>
              <w:spacing w:before="0" w:after="0"/>
              <w:jc w:val="left"/>
              <w:rPr>
                <w:rFonts w:ascii="Times New Roman" w:hAnsi="Times New Roman"/>
                <w:sz w:val="24"/>
              </w:rPr>
            </w:pPr>
          </w:p>
          <w:p w14:paraId="2455F626"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Tento sloupec se vyplňuje pouze v případě, je-li sloupec 0040 vykázán jako „syntetická transakce“.</w:t>
            </w:r>
          </w:p>
          <w:p w14:paraId="10D0E2E7"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0F2A77DD" w14:textId="77777777" w:rsidTr="007266CF">
        <w:tc>
          <w:tcPr>
            <w:tcW w:w="1101" w:type="dxa"/>
          </w:tcPr>
          <w:p w14:paraId="0CB4964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F58194" w14:textId="77777777" w:rsidR="007266CF" w:rsidRPr="002A677E" w:rsidRDefault="007266CF" w:rsidP="007266CF">
            <w:pPr>
              <w:spacing w:before="0" w:after="0"/>
              <w:jc w:val="left"/>
              <w:rPr>
                <w:rFonts w:ascii="Times New Roman" w:hAnsi="Times New Roman"/>
                <w:sz w:val="24"/>
              </w:rPr>
            </w:pPr>
            <w:r>
              <w:rPr>
                <w:rFonts w:ascii="Times New Roman" w:hAnsi="Times New Roman"/>
                <w:b/>
                <w:sz w:val="24"/>
                <w:u w:val="single"/>
              </w:rPr>
              <w:t>PONECHÁNÍ</w:t>
            </w:r>
          </w:p>
          <w:p w14:paraId="1378BA33" w14:textId="77777777" w:rsidR="007266CF" w:rsidRPr="002A677E" w:rsidRDefault="007266CF" w:rsidP="007266CF">
            <w:pPr>
              <w:spacing w:before="0" w:after="0"/>
              <w:rPr>
                <w:rFonts w:ascii="Times New Roman" w:hAnsi="Times New Roman"/>
                <w:sz w:val="24"/>
              </w:rPr>
            </w:pPr>
          </w:p>
          <w:p w14:paraId="198BE92E" w14:textId="77777777" w:rsidR="007266CF" w:rsidRPr="002A677E" w:rsidRDefault="007266CF" w:rsidP="007266CF">
            <w:pPr>
              <w:spacing w:before="0"/>
              <w:rPr>
                <w:rFonts w:ascii="Times New Roman" w:hAnsi="Times New Roman"/>
                <w:sz w:val="24"/>
              </w:rPr>
            </w:pPr>
            <w:r>
              <w:rPr>
                <w:rFonts w:ascii="Times New Roman" w:hAnsi="Times New Roman"/>
                <w:sz w:val="24"/>
              </w:rPr>
              <w:t xml:space="preserve">Článek 6 nařízení (EU) 2017/2402; použije-li se čl. 43 odst. 6 nařízení (EU) 2017/2402, použije se článek 405 nařízení (EU) č. 575/2013 ve znění platném ke dni 31. prosince 2018. </w:t>
            </w:r>
          </w:p>
          <w:p w14:paraId="277D5B76" w14:textId="77777777" w:rsidR="007266CF" w:rsidRPr="002A677E" w:rsidRDefault="007266CF" w:rsidP="007266CF">
            <w:pPr>
              <w:spacing w:before="0" w:after="0"/>
              <w:jc w:val="left"/>
              <w:rPr>
                <w:rFonts w:ascii="Times New Roman" w:hAnsi="Times New Roman"/>
                <w:sz w:val="24"/>
              </w:rPr>
            </w:pPr>
          </w:p>
        </w:tc>
      </w:tr>
      <w:tr w:rsidR="007266CF" w:rsidRPr="002A677E" w14:paraId="783CFC47" w14:textId="77777777" w:rsidTr="007266CF">
        <w:tc>
          <w:tcPr>
            <w:tcW w:w="1101" w:type="dxa"/>
          </w:tcPr>
          <w:p w14:paraId="6B452363"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566B7F7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POUŽITÝ DRUH PONECHÁNÍ</w:t>
            </w:r>
          </w:p>
          <w:p w14:paraId="750573F5" w14:textId="77777777" w:rsidR="007266CF" w:rsidRPr="002A677E" w:rsidRDefault="007266CF" w:rsidP="007266CF">
            <w:pPr>
              <w:spacing w:before="0" w:after="0"/>
              <w:jc w:val="left"/>
              <w:rPr>
                <w:rFonts w:ascii="Times New Roman" w:hAnsi="Times New Roman"/>
                <w:sz w:val="24"/>
              </w:rPr>
            </w:pPr>
          </w:p>
          <w:p w14:paraId="6D3E70A4" w14:textId="77777777" w:rsidR="007266CF" w:rsidRPr="002A677E" w:rsidRDefault="007266CF" w:rsidP="007266CF">
            <w:pPr>
              <w:spacing w:before="0" w:after="0"/>
              <w:rPr>
                <w:rFonts w:ascii="Times New Roman" w:hAnsi="Times New Roman"/>
                <w:sz w:val="24"/>
              </w:rPr>
            </w:pPr>
            <w:r>
              <w:rPr>
                <w:rFonts w:ascii="Times New Roman" w:hAnsi="Times New Roman"/>
                <w:sz w:val="24"/>
              </w:rPr>
              <w:t>U každého sekuritizačního systému u původce se vykazuje příslušný druh ponechání čistého ekonomického podílu, jak je stanoveno v článku 6 nařízení (EU) 2017/2402:</w:t>
            </w:r>
          </w:p>
          <w:p w14:paraId="0F74407D" w14:textId="77777777" w:rsidR="007266CF" w:rsidRPr="002A677E" w:rsidRDefault="007266CF" w:rsidP="007266CF">
            <w:pPr>
              <w:spacing w:before="0" w:after="0"/>
              <w:rPr>
                <w:rFonts w:ascii="Times New Roman" w:hAnsi="Times New Roman"/>
                <w:sz w:val="24"/>
              </w:rPr>
            </w:pPr>
          </w:p>
          <w:p w14:paraId="79DAA717" w14:textId="77777777" w:rsidR="007266CF" w:rsidRPr="002A677E" w:rsidRDefault="007266CF" w:rsidP="007266CF">
            <w:pPr>
              <w:spacing w:before="0" w:after="0"/>
              <w:rPr>
                <w:rFonts w:ascii="Times New Roman" w:hAnsi="Times New Roman"/>
                <w:sz w:val="24"/>
              </w:rPr>
            </w:pPr>
            <w:r>
              <w:rPr>
                <w:rFonts w:ascii="Times New Roman" w:hAnsi="Times New Roman"/>
                <w:sz w:val="24"/>
              </w:rPr>
              <w:t xml:space="preserve">A – Vertikální podíl (sekuritizované pozice): </w:t>
            </w:r>
            <w:r>
              <w:rPr>
                <w:rFonts w:ascii="Times New Roman" w:hAnsi="Times New Roman"/>
                <w:i/>
                <w:sz w:val="24"/>
              </w:rPr>
              <w:t>„ponechání nejméně 5 % nominální hodnoty každé tranše prodané investorům či na ně převedené“;</w:t>
            </w:r>
          </w:p>
          <w:p w14:paraId="54491996" w14:textId="77777777" w:rsidR="007266CF" w:rsidRPr="002A677E" w:rsidRDefault="007266CF" w:rsidP="007266CF">
            <w:pPr>
              <w:spacing w:before="0" w:after="0"/>
              <w:rPr>
                <w:rFonts w:ascii="Times New Roman" w:hAnsi="Times New Roman"/>
                <w:sz w:val="24"/>
              </w:rPr>
            </w:pPr>
          </w:p>
          <w:p w14:paraId="13676FA1" w14:textId="77777777" w:rsidR="007266CF" w:rsidRPr="002A677E" w:rsidRDefault="007266CF" w:rsidP="007266CF">
            <w:pPr>
              <w:spacing w:before="0" w:after="0"/>
              <w:rPr>
                <w:rFonts w:ascii="Times New Roman" w:hAnsi="Times New Roman"/>
                <w:sz w:val="24"/>
              </w:rPr>
            </w:pPr>
            <w:r>
              <w:rPr>
                <w:rFonts w:ascii="Times New Roman" w:hAnsi="Times New Roman"/>
                <w:sz w:val="24"/>
              </w:rPr>
              <w:t>V – Vertikální podíl (sekuritizované expozice): ponechání nejméně</w:t>
            </w:r>
            <w:r>
              <w:rPr>
                <w:rFonts w:ascii="Times New Roman" w:hAnsi="Times New Roman"/>
                <w:i/>
                <w:sz w:val="24"/>
              </w:rPr>
              <w:t xml:space="preserve"> </w:t>
            </w:r>
            <w:r>
              <w:rPr>
                <w:rFonts w:ascii="Times New Roman" w:hAnsi="Times New Roman"/>
                <w:sz w:val="24"/>
              </w:rPr>
              <w:t>5 % úvěrového rizika každé sekuritizované expozice, pokud je takto ponechané riziko vztahující se k těmto sekuritizovaným expozicím vždy postaveno na roveň úvěrovému riziku, jež bylo sekuritizováno s ohledem na tytéž expozice, nebo je mu podřízeno;</w:t>
            </w:r>
          </w:p>
          <w:p w14:paraId="023228B1" w14:textId="77777777" w:rsidR="007266CF" w:rsidRPr="002A677E" w:rsidRDefault="007266CF" w:rsidP="007266CF">
            <w:pPr>
              <w:spacing w:before="0" w:after="0"/>
              <w:rPr>
                <w:rFonts w:ascii="Times New Roman" w:hAnsi="Times New Roman"/>
                <w:sz w:val="24"/>
              </w:rPr>
            </w:pPr>
          </w:p>
          <w:p w14:paraId="594FC06D" w14:textId="77777777" w:rsidR="007266CF" w:rsidRPr="002A677E" w:rsidRDefault="007266CF" w:rsidP="007266CF">
            <w:pPr>
              <w:spacing w:before="0" w:after="0"/>
              <w:rPr>
                <w:rFonts w:ascii="Times New Roman" w:hAnsi="Times New Roman"/>
                <w:sz w:val="24"/>
              </w:rPr>
            </w:pPr>
            <w:r>
              <w:rPr>
                <w:rFonts w:ascii="Times New Roman" w:hAnsi="Times New Roman"/>
                <w:sz w:val="24"/>
              </w:rPr>
              <w:t>B – Revolvingové expozice: „</w:t>
            </w:r>
            <w:r>
              <w:rPr>
                <w:rFonts w:ascii="Times New Roman" w:hAnsi="Times New Roman"/>
                <w:i/>
                <w:sz w:val="24"/>
              </w:rPr>
              <w:t>v případě sekuritizace revolvingových expozic ponechání podílu původce ve výši nejméně 5 % nominální hodnoty sekuritizovaných expozic</w:t>
            </w:r>
            <w:r>
              <w:rPr>
                <w:rFonts w:ascii="Times New Roman" w:hAnsi="Times New Roman"/>
                <w:sz w:val="24"/>
              </w:rPr>
              <w:t xml:space="preserve">“; </w:t>
            </w:r>
          </w:p>
          <w:p w14:paraId="6396034B" w14:textId="77777777" w:rsidR="007266CF" w:rsidRPr="002A677E" w:rsidRDefault="007266CF" w:rsidP="007266CF">
            <w:pPr>
              <w:spacing w:before="0" w:after="0"/>
              <w:rPr>
                <w:rFonts w:ascii="Times New Roman" w:hAnsi="Times New Roman"/>
                <w:sz w:val="24"/>
              </w:rPr>
            </w:pPr>
          </w:p>
          <w:p w14:paraId="0D094218" w14:textId="77777777" w:rsidR="007266CF" w:rsidRPr="002A677E" w:rsidRDefault="007266CF" w:rsidP="007266CF">
            <w:pPr>
              <w:spacing w:before="0" w:after="0"/>
              <w:rPr>
                <w:rFonts w:ascii="Times New Roman" w:hAnsi="Times New Roman"/>
                <w:sz w:val="24"/>
              </w:rPr>
            </w:pPr>
            <w:r>
              <w:rPr>
                <w:rFonts w:ascii="Times New Roman" w:hAnsi="Times New Roman"/>
                <w:sz w:val="24"/>
              </w:rPr>
              <w:t>C – Rozvahové: „</w:t>
            </w:r>
            <w:r>
              <w:rPr>
                <w:rFonts w:ascii="Times New Roman" w:hAnsi="Times New Roman"/>
                <w:i/>
                <w:sz w:val="24"/>
              </w:rPr>
              <w:t>ponechání náhodně zvolených expozic, odpovídajících nejméně 5 % nominální hodnoty sekuritizovaných expozic, pokud by tyto expozice jinak byly sekuritizovány v rámci sekuritizace, za předpokladu, že počet expozic určených k potenciální sekuritizaci činí při vzniku nejméně 100</w:t>
            </w:r>
            <w:r>
              <w:rPr>
                <w:rFonts w:ascii="Times New Roman" w:hAnsi="Times New Roman"/>
                <w:sz w:val="24"/>
              </w:rPr>
              <w:t>“;</w:t>
            </w:r>
          </w:p>
          <w:p w14:paraId="37395123" w14:textId="77777777" w:rsidR="007266CF" w:rsidRPr="002A677E" w:rsidRDefault="007266CF" w:rsidP="007266CF">
            <w:pPr>
              <w:spacing w:before="0" w:after="0"/>
              <w:rPr>
                <w:rFonts w:ascii="Times New Roman" w:hAnsi="Times New Roman"/>
                <w:sz w:val="24"/>
              </w:rPr>
            </w:pPr>
          </w:p>
          <w:p w14:paraId="2CEA6AF5" w14:textId="77777777" w:rsidR="007266CF" w:rsidRPr="002A677E" w:rsidRDefault="007266CF" w:rsidP="007266CF">
            <w:pPr>
              <w:spacing w:before="0" w:after="0"/>
              <w:rPr>
                <w:rFonts w:ascii="Times New Roman" w:hAnsi="Times New Roman"/>
                <w:sz w:val="24"/>
              </w:rPr>
            </w:pPr>
            <w:r>
              <w:rPr>
                <w:rFonts w:ascii="Times New Roman" w:hAnsi="Times New Roman"/>
                <w:sz w:val="24"/>
              </w:rPr>
              <w:t>D – První ztráta: „</w:t>
            </w:r>
            <w:r>
              <w:rPr>
                <w:rFonts w:ascii="Times New Roman" w:hAnsi="Times New Roman"/>
                <w:i/>
                <w:sz w:val="24"/>
              </w:rPr>
              <w:t>ponechání tranše první ztráty a případně jiných tranší, které mají stejný nebo horší profil rizika než tranše převedené na investory nebo jim prodané a nejsou splatné dříve než tyto tranše, tak aby ponechané expozice v celkovém součtu činily nejméně 5 % nominální hodnoty sekuritizovaných expozic</w:t>
            </w:r>
            <w:r>
              <w:rPr>
                <w:rFonts w:ascii="Times New Roman" w:hAnsi="Times New Roman"/>
                <w:sz w:val="24"/>
              </w:rPr>
              <w:t>“;</w:t>
            </w:r>
          </w:p>
          <w:p w14:paraId="3815F82B" w14:textId="77777777" w:rsidR="007266CF" w:rsidRPr="002A677E" w:rsidRDefault="007266CF" w:rsidP="007266CF">
            <w:pPr>
              <w:spacing w:before="0" w:after="0"/>
              <w:rPr>
                <w:rFonts w:ascii="Times New Roman" w:hAnsi="Times New Roman"/>
                <w:sz w:val="24"/>
              </w:rPr>
            </w:pPr>
          </w:p>
          <w:p w14:paraId="3DDE682E" w14:textId="77777777" w:rsidR="007266CF" w:rsidRPr="002A677E" w:rsidRDefault="007266CF" w:rsidP="007266CF">
            <w:pPr>
              <w:spacing w:before="0" w:after="0"/>
              <w:rPr>
                <w:rFonts w:ascii="Times New Roman" w:hAnsi="Times New Roman"/>
                <w:sz w:val="24"/>
              </w:rPr>
            </w:pPr>
            <w:r>
              <w:rPr>
                <w:rFonts w:ascii="Times New Roman" w:hAnsi="Times New Roman"/>
                <w:sz w:val="24"/>
              </w:rPr>
              <w:t>E – Výjimka: Tento kód se použije pro sekuritizace, na něž se vztahuje čl. 6 odst. 6 nařízení (EU) 2017/2402;</w:t>
            </w:r>
          </w:p>
          <w:p w14:paraId="184F8F65" w14:textId="77777777" w:rsidR="007266CF" w:rsidRPr="002A677E" w:rsidRDefault="007266CF" w:rsidP="007266CF">
            <w:pPr>
              <w:spacing w:before="0" w:after="0"/>
              <w:rPr>
                <w:rFonts w:ascii="Times New Roman" w:hAnsi="Times New Roman"/>
                <w:sz w:val="24"/>
              </w:rPr>
            </w:pPr>
          </w:p>
          <w:p w14:paraId="3F3CD1A2" w14:textId="77777777" w:rsidR="007266CF" w:rsidRPr="002A677E" w:rsidRDefault="007266CF" w:rsidP="007266CF">
            <w:pPr>
              <w:spacing w:before="0" w:after="0"/>
              <w:rPr>
                <w:rFonts w:ascii="Times New Roman" w:hAnsi="Times New Roman"/>
                <w:sz w:val="24"/>
              </w:rPr>
            </w:pPr>
            <w:r>
              <w:rPr>
                <w:rFonts w:ascii="Times New Roman" w:hAnsi="Times New Roman"/>
                <w:sz w:val="24"/>
              </w:rPr>
              <w:t>U – Porušení pravidel nebo není známo: Tento kód se použije, není-li vykazující instituci s jistotou známo, jaký druh ponechání se uplatňuje, nebo v případě nesouladu s pravidly.</w:t>
            </w:r>
          </w:p>
          <w:p w14:paraId="1B4319AF"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76CCA852" w14:textId="77777777" w:rsidTr="007266CF">
        <w:tc>
          <w:tcPr>
            <w:tcW w:w="1101" w:type="dxa"/>
          </w:tcPr>
          <w:p w14:paraId="56A7285A"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65C3E893"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PONECHÁNÍ K DATU VYKAZOVÁNÍ</w:t>
            </w:r>
          </w:p>
          <w:p w14:paraId="27BE2E1D" w14:textId="77777777" w:rsidR="007266CF" w:rsidRPr="002A677E" w:rsidRDefault="007266CF" w:rsidP="007266CF">
            <w:pPr>
              <w:spacing w:before="0" w:after="0"/>
              <w:jc w:val="left"/>
              <w:rPr>
                <w:rFonts w:ascii="Times New Roman" w:hAnsi="Times New Roman"/>
                <w:sz w:val="24"/>
              </w:rPr>
            </w:pPr>
          </w:p>
          <w:p w14:paraId="45FBD8CA" w14:textId="77777777" w:rsidR="007266CF" w:rsidRPr="002A677E" w:rsidRDefault="007266CF" w:rsidP="007266CF">
            <w:pPr>
              <w:spacing w:before="0" w:after="0"/>
              <w:rPr>
                <w:rFonts w:ascii="Times New Roman" w:hAnsi="Times New Roman"/>
                <w:i/>
                <w:sz w:val="24"/>
              </w:rPr>
            </w:pPr>
            <w:r>
              <w:rPr>
                <w:rFonts w:ascii="Times New Roman" w:hAnsi="Times New Roman"/>
                <w:sz w:val="24"/>
              </w:rPr>
              <w:t xml:space="preserve">Ponechání </w:t>
            </w:r>
            <w:r>
              <w:rPr>
                <w:rFonts w:ascii="Times New Roman" w:hAnsi="Times New Roman"/>
                <w:i/>
                <w:sz w:val="24"/>
              </w:rPr>
              <w:t>podstatného čistého ekonomického podílu v případě původce, sponzora nebo původního věřitele</w:t>
            </w:r>
            <w:r>
              <w:rPr>
                <w:rFonts w:ascii="Times New Roman" w:hAnsi="Times New Roman"/>
                <w:sz w:val="24"/>
              </w:rPr>
              <w:t xml:space="preserve"> sekuritizace nesmí být nižší než 5 % (k datu vzniku).</w:t>
            </w:r>
          </w:p>
          <w:p w14:paraId="69B89772" w14:textId="77777777" w:rsidR="007266CF" w:rsidRPr="002A677E" w:rsidRDefault="007266CF" w:rsidP="007266CF">
            <w:pPr>
              <w:spacing w:before="0" w:after="0"/>
              <w:rPr>
                <w:rFonts w:ascii="Times New Roman" w:hAnsi="Times New Roman"/>
                <w:i/>
                <w:sz w:val="24"/>
              </w:rPr>
            </w:pPr>
          </w:p>
          <w:p w14:paraId="6996D6FD" w14:textId="77777777" w:rsidR="007266CF" w:rsidRPr="002A677E" w:rsidRDefault="007266CF" w:rsidP="007266CF">
            <w:pPr>
              <w:autoSpaceDE w:val="0"/>
              <w:autoSpaceDN w:val="0"/>
              <w:adjustRightInd w:val="0"/>
              <w:spacing w:before="0" w:after="0"/>
              <w:rPr>
                <w:rFonts w:ascii="Times New Roman" w:hAnsi="Times New Roman"/>
                <w:i/>
                <w:sz w:val="24"/>
              </w:rPr>
            </w:pPr>
            <w:r>
              <w:rPr>
                <w:rFonts w:ascii="Times New Roman" w:hAnsi="Times New Roman"/>
                <w:sz w:val="24"/>
              </w:rPr>
              <w:t>Tento sloupec se nevyplňuje, pokud ve sloupci 0080 (použitý druh ponechání) je uveden kód „E“ (výjimka).</w:t>
            </w:r>
          </w:p>
          <w:p w14:paraId="5AC29B4C" w14:textId="77777777" w:rsidR="007266CF" w:rsidRPr="002A677E" w:rsidRDefault="007266CF" w:rsidP="007266CF">
            <w:pPr>
              <w:spacing w:before="0" w:after="0"/>
              <w:jc w:val="left"/>
              <w:rPr>
                <w:rFonts w:ascii="Times New Roman" w:hAnsi="Times New Roman"/>
                <w:sz w:val="24"/>
              </w:rPr>
            </w:pPr>
          </w:p>
        </w:tc>
      </w:tr>
      <w:tr w:rsidR="007266CF" w:rsidRPr="006223CC" w14:paraId="720BF95D" w14:textId="77777777" w:rsidTr="007266CF">
        <w:tc>
          <w:tcPr>
            <w:tcW w:w="1101" w:type="dxa"/>
          </w:tcPr>
          <w:p w14:paraId="24623958"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673E99A4" w14:textId="77777777" w:rsidR="007266CF" w:rsidRPr="006223CC" w:rsidRDefault="007266CF" w:rsidP="007266CF">
            <w:pPr>
              <w:spacing w:before="0" w:after="0"/>
              <w:jc w:val="left"/>
              <w:rPr>
                <w:rFonts w:ascii="Times New Roman" w:hAnsi="Times New Roman"/>
                <w:b/>
                <w:sz w:val="24"/>
                <w:u w:val="single"/>
                <w:lang w:val="fr-FR"/>
              </w:rPr>
            </w:pPr>
            <w:r w:rsidRPr="006223CC">
              <w:rPr>
                <w:rFonts w:ascii="Times New Roman" w:hAnsi="Times New Roman"/>
                <w:b/>
                <w:sz w:val="24"/>
                <w:u w:val="single"/>
                <w:lang w:val="fr-FR"/>
              </w:rPr>
              <w:t>JE SPLNĚN POŽADAVEK NA PONECHÁNÍ?</w:t>
            </w:r>
          </w:p>
          <w:p w14:paraId="67991D04" w14:textId="77777777" w:rsidR="007266CF" w:rsidRPr="006223CC" w:rsidRDefault="007266CF" w:rsidP="007266CF">
            <w:pPr>
              <w:spacing w:before="0" w:after="0"/>
              <w:jc w:val="left"/>
              <w:rPr>
                <w:rFonts w:ascii="Times New Roman" w:hAnsi="Times New Roman"/>
                <w:b/>
                <w:sz w:val="24"/>
                <w:u w:val="single"/>
                <w:lang w:val="fr-FR"/>
              </w:rPr>
            </w:pPr>
          </w:p>
          <w:p w14:paraId="77FB06A1"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Instituce vykazují tyto zkratky:</w:t>
            </w:r>
          </w:p>
          <w:p w14:paraId="743A4911" w14:textId="77777777" w:rsidR="007266CF" w:rsidRPr="006223CC" w:rsidRDefault="007266CF" w:rsidP="007266CF">
            <w:pPr>
              <w:tabs>
                <w:tab w:val="left" w:pos="317"/>
                <w:tab w:val="left" w:pos="600"/>
              </w:tabs>
              <w:spacing w:before="0" w:after="0"/>
              <w:jc w:val="left"/>
              <w:rPr>
                <w:rFonts w:ascii="Times New Roman" w:hAnsi="Times New Roman"/>
                <w:sz w:val="24"/>
                <w:lang w:val="fr-FR"/>
              </w:rPr>
            </w:pPr>
            <w:r w:rsidRPr="006223CC">
              <w:rPr>
                <w:rFonts w:ascii="Times New Roman" w:hAnsi="Times New Roman"/>
                <w:sz w:val="24"/>
                <w:lang w:val="fr-FR"/>
              </w:rPr>
              <w:t>Y</w:t>
            </w:r>
            <w:r w:rsidRPr="006223CC">
              <w:rPr>
                <w:lang w:val="fr-FR"/>
              </w:rPr>
              <w:tab/>
            </w:r>
            <w:r w:rsidRPr="006223CC">
              <w:rPr>
                <w:rFonts w:ascii="Times New Roman" w:hAnsi="Times New Roman"/>
                <w:sz w:val="24"/>
                <w:lang w:val="fr-FR"/>
              </w:rPr>
              <w:t>–</w:t>
            </w:r>
            <w:r w:rsidRPr="006223CC">
              <w:rPr>
                <w:lang w:val="fr-FR"/>
              </w:rPr>
              <w:tab/>
            </w:r>
            <w:r w:rsidRPr="006223CC">
              <w:rPr>
                <w:rFonts w:ascii="Times New Roman" w:hAnsi="Times New Roman"/>
                <w:sz w:val="24"/>
                <w:lang w:val="fr-FR"/>
              </w:rPr>
              <w:t>ano,</w:t>
            </w:r>
          </w:p>
          <w:p w14:paraId="7B1217AB" w14:textId="77777777" w:rsidR="007266CF" w:rsidRPr="006223CC" w:rsidRDefault="007266CF" w:rsidP="007266CF">
            <w:pPr>
              <w:tabs>
                <w:tab w:val="left" w:pos="317"/>
                <w:tab w:val="left" w:pos="600"/>
              </w:tabs>
              <w:spacing w:before="0" w:after="0"/>
              <w:jc w:val="left"/>
              <w:rPr>
                <w:rFonts w:ascii="Times New Roman" w:hAnsi="Times New Roman"/>
                <w:sz w:val="24"/>
                <w:lang w:val="fr-FR"/>
              </w:rPr>
            </w:pPr>
            <w:r w:rsidRPr="006223CC">
              <w:rPr>
                <w:rFonts w:ascii="Times New Roman" w:hAnsi="Times New Roman"/>
                <w:sz w:val="24"/>
                <w:lang w:val="fr-FR"/>
              </w:rPr>
              <w:t>N</w:t>
            </w:r>
            <w:r w:rsidRPr="006223CC">
              <w:rPr>
                <w:lang w:val="fr-FR"/>
              </w:rPr>
              <w:tab/>
            </w:r>
            <w:r w:rsidRPr="006223CC">
              <w:rPr>
                <w:rFonts w:ascii="Times New Roman" w:hAnsi="Times New Roman"/>
                <w:sz w:val="24"/>
                <w:lang w:val="fr-FR"/>
              </w:rPr>
              <w:t>–</w:t>
            </w:r>
            <w:r w:rsidRPr="006223CC">
              <w:rPr>
                <w:lang w:val="fr-FR"/>
              </w:rPr>
              <w:tab/>
            </w:r>
            <w:r w:rsidRPr="006223CC">
              <w:rPr>
                <w:rFonts w:ascii="Times New Roman" w:hAnsi="Times New Roman"/>
                <w:sz w:val="24"/>
                <w:lang w:val="fr-FR"/>
              </w:rPr>
              <w:t>ne.</w:t>
            </w:r>
          </w:p>
          <w:p w14:paraId="0022FD20" w14:textId="77777777" w:rsidR="007266CF" w:rsidRPr="006223CC" w:rsidRDefault="007266CF" w:rsidP="007266CF">
            <w:pPr>
              <w:spacing w:before="0" w:after="0"/>
              <w:jc w:val="left"/>
              <w:rPr>
                <w:rFonts w:ascii="Times New Roman" w:hAnsi="Times New Roman"/>
                <w:sz w:val="24"/>
                <w:lang w:val="fr-FR"/>
              </w:rPr>
            </w:pPr>
          </w:p>
          <w:p w14:paraId="59556DCB" w14:textId="77777777" w:rsidR="007266CF" w:rsidRPr="006223CC" w:rsidRDefault="007266CF" w:rsidP="007266CF">
            <w:pPr>
              <w:autoSpaceDE w:val="0"/>
              <w:autoSpaceDN w:val="0"/>
              <w:adjustRightInd w:val="0"/>
              <w:spacing w:before="0" w:after="0"/>
              <w:rPr>
                <w:rFonts w:ascii="Times New Roman" w:hAnsi="Times New Roman"/>
                <w:i/>
                <w:sz w:val="24"/>
                <w:lang w:val="fr-FR"/>
              </w:rPr>
            </w:pPr>
            <w:r w:rsidRPr="006223CC">
              <w:rPr>
                <w:rFonts w:ascii="Times New Roman" w:hAnsi="Times New Roman"/>
                <w:sz w:val="24"/>
                <w:lang w:val="fr-FR"/>
              </w:rPr>
              <w:t>Tento sloupec se nevyplňuje, pokud ve sloupci 0080 (použitý druh ponechání) je uveden kód „E“ (výjimka).</w:t>
            </w:r>
          </w:p>
          <w:p w14:paraId="3D61F54A" w14:textId="77777777" w:rsidR="007266CF" w:rsidRPr="006223CC" w:rsidRDefault="007266CF" w:rsidP="007266CF">
            <w:pPr>
              <w:spacing w:before="0" w:after="0"/>
              <w:jc w:val="left"/>
              <w:rPr>
                <w:rFonts w:ascii="Times New Roman" w:hAnsi="Times New Roman"/>
                <w:b/>
                <w:sz w:val="24"/>
                <w:u w:val="single"/>
                <w:lang w:val="fr-FR"/>
              </w:rPr>
            </w:pPr>
          </w:p>
        </w:tc>
      </w:tr>
      <w:tr w:rsidR="007266CF" w:rsidRPr="002A677E" w14:paraId="0EC58312" w14:textId="77777777" w:rsidTr="007266CF">
        <w:tc>
          <w:tcPr>
            <w:tcW w:w="1101" w:type="dxa"/>
          </w:tcPr>
          <w:p w14:paraId="506A4AB0"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0120–0130</w:t>
            </w:r>
          </w:p>
        </w:tc>
        <w:tc>
          <w:tcPr>
            <w:tcW w:w="7903" w:type="dxa"/>
          </w:tcPr>
          <w:p w14:paraId="18C01CFA" w14:textId="77777777" w:rsidR="007266CF" w:rsidRPr="002A677E" w:rsidRDefault="007266CF" w:rsidP="007266CF">
            <w:pPr>
              <w:autoSpaceDE w:val="0"/>
              <w:autoSpaceDN w:val="0"/>
              <w:adjustRightInd w:val="0"/>
              <w:spacing w:before="0" w:after="0"/>
              <w:jc w:val="left"/>
              <w:rPr>
                <w:rFonts w:ascii="Times New Roman" w:hAnsi="Times New Roman"/>
                <w:b/>
                <w:sz w:val="24"/>
              </w:rPr>
            </w:pPr>
            <w:r>
              <w:rPr>
                <w:rFonts w:ascii="Times New Roman" w:hAnsi="Times New Roman"/>
                <w:b/>
                <w:sz w:val="24"/>
              </w:rPr>
              <w:t>JINÉ PROGRAMY NEŽ ABCP</w:t>
            </w:r>
          </w:p>
          <w:p w14:paraId="1D2470E6"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1A0BE56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Programy ABCP (definované v čl. 242 bodě 11 nařízení (EU) č. 575/2013) jsou vzhledem ke své zvláštní povaze dané tím, že zahrnují několik jednotlivých sekuritizovaných pozic, vyňaty z vykazování ve sloupcích 0120, 0121 a 0130.</w:t>
            </w:r>
          </w:p>
          <w:p w14:paraId="556B41BB" w14:textId="77777777" w:rsidR="007266CF" w:rsidRPr="002A677E" w:rsidRDefault="007266CF" w:rsidP="007266CF">
            <w:pPr>
              <w:spacing w:before="0" w:after="0"/>
              <w:jc w:val="left"/>
              <w:rPr>
                <w:rFonts w:ascii="Times New Roman" w:hAnsi="Times New Roman"/>
                <w:sz w:val="24"/>
              </w:rPr>
            </w:pPr>
          </w:p>
        </w:tc>
      </w:tr>
      <w:tr w:rsidR="007266CF" w:rsidRPr="006223CC" w14:paraId="5D7C9E90" w14:textId="77777777" w:rsidTr="007266CF">
        <w:tc>
          <w:tcPr>
            <w:tcW w:w="1101" w:type="dxa"/>
          </w:tcPr>
          <w:p w14:paraId="4A41FEBD"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60D67126" w14:textId="77777777" w:rsidR="007266CF" w:rsidRPr="006223CC" w:rsidRDefault="007266CF" w:rsidP="007266CF">
            <w:pPr>
              <w:spacing w:before="0" w:after="0"/>
              <w:jc w:val="left"/>
              <w:rPr>
                <w:rFonts w:ascii="Times New Roman" w:hAnsi="Times New Roman"/>
                <w:b/>
                <w:sz w:val="24"/>
                <w:lang w:val="fr-FR"/>
              </w:rPr>
            </w:pPr>
            <w:r w:rsidRPr="006223CC">
              <w:rPr>
                <w:rFonts w:ascii="Times New Roman" w:hAnsi="Times New Roman"/>
                <w:b/>
                <w:sz w:val="24"/>
                <w:lang w:val="fr-FR"/>
              </w:rPr>
              <w:t>DATUM VZNIKU (rrrr-mm-dd)</w:t>
            </w:r>
          </w:p>
          <w:p w14:paraId="1DBFAC81" w14:textId="77777777" w:rsidR="007266CF" w:rsidRPr="006223CC" w:rsidRDefault="007266CF" w:rsidP="007266CF">
            <w:pPr>
              <w:spacing w:before="0" w:after="0"/>
              <w:jc w:val="left"/>
              <w:rPr>
                <w:rFonts w:ascii="Times New Roman" w:hAnsi="Times New Roman"/>
                <w:sz w:val="24"/>
                <w:lang w:val="fr-FR"/>
              </w:rPr>
            </w:pPr>
          </w:p>
          <w:p w14:paraId="5D498157"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Měsíc a rok data vzniku (tj. konečný termín nebo datum uzávěrky seskupení) sekuritizace se vykazuje v tomto formátu: „mm/rrrr“.</w:t>
            </w:r>
          </w:p>
          <w:p w14:paraId="67F3D473" w14:textId="77777777" w:rsidR="007266CF" w:rsidRPr="006223CC" w:rsidRDefault="007266CF" w:rsidP="007266CF">
            <w:pPr>
              <w:autoSpaceDE w:val="0"/>
              <w:autoSpaceDN w:val="0"/>
              <w:adjustRightInd w:val="0"/>
              <w:spacing w:before="0" w:after="0"/>
              <w:rPr>
                <w:rFonts w:ascii="Times New Roman" w:hAnsi="Times New Roman"/>
                <w:sz w:val="24"/>
                <w:lang w:val="fr-FR"/>
              </w:rPr>
            </w:pPr>
          </w:p>
          <w:p w14:paraId="102A248F"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 xml:space="preserve">Není možné, aby u sekuritizačního systému došlo mezi daty vykazování ke změně data vzniku. Zvláštním případem jsou sekuritizační systémy podložené otevřenými seskupeními, zde je datem vzniku datum první emise cenných papírů. </w:t>
            </w:r>
          </w:p>
          <w:p w14:paraId="3BC94130" w14:textId="77777777" w:rsidR="007266CF" w:rsidRPr="006223CC" w:rsidRDefault="007266CF" w:rsidP="007266CF">
            <w:pPr>
              <w:autoSpaceDE w:val="0"/>
              <w:autoSpaceDN w:val="0"/>
              <w:adjustRightInd w:val="0"/>
              <w:spacing w:before="0" w:after="0"/>
              <w:rPr>
                <w:rFonts w:ascii="Times New Roman" w:hAnsi="Times New Roman"/>
                <w:sz w:val="24"/>
                <w:lang w:val="fr-FR"/>
              </w:rPr>
            </w:pPr>
          </w:p>
          <w:p w14:paraId="32D6B3F7"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Tyto údaje se vykazují i v případě, že vykazující subjekt v sekuritizaci nedrží žádné pozice.</w:t>
            </w:r>
          </w:p>
          <w:p w14:paraId="71C2E94A" w14:textId="77777777" w:rsidR="007266CF" w:rsidRPr="006223CC" w:rsidRDefault="007266CF" w:rsidP="007266CF">
            <w:pPr>
              <w:autoSpaceDE w:val="0"/>
              <w:autoSpaceDN w:val="0"/>
              <w:adjustRightInd w:val="0"/>
              <w:spacing w:before="0" w:after="0"/>
              <w:jc w:val="left"/>
              <w:rPr>
                <w:rFonts w:ascii="Times New Roman" w:hAnsi="Times New Roman"/>
                <w:sz w:val="24"/>
                <w:lang w:val="fr-FR"/>
              </w:rPr>
            </w:pPr>
          </w:p>
        </w:tc>
      </w:tr>
      <w:tr w:rsidR="007266CF" w:rsidRPr="006223CC" w14:paraId="513A21EA" w14:textId="77777777" w:rsidTr="007266CF">
        <w:tc>
          <w:tcPr>
            <w:tcW w:w="1101" w:type="dxa"/>
          </w:tcPr>
          <w:p w14:paraId="10DBDCB2"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5DAE5F18" w14:textId="77777777" w:rsidR="007266CF" w:rsidRPr="006223CC" w:rsidRDefault="007266CF" w:rsidP="007266CF">
            <w:pPr>
              <w:spacing w:before="0" w:after="0"/>
              <w:jc w:val="left"/>
              <w:rPr>
                <w:rFonts w:ascii="Times New Roman" w:hAnsi="Times New Roman"/>
                <w:b/>
                <w:sz w:val="24"/>
                <w:u w:val="single"/>
                <w:lang w:val="fr-FR"/>
              </w:rPr>
            </w:pPr>
            <w:r w:rsidRPr="006223CC">
              <w:rPr>
                <w:rFonts w:ascii="Times New Roman" w:hAnsi="Times New Roman"/>
                <w:b/>
                <w:sz w:val="24"/>
                <w:u w:val="single"/>
                <w:lang w:val="fr-FR"/>
              </w:rPr>
              <w:t>DATUM POSLEDNÍ EMISE (rrrr-mm-dd)</w:t>
            </w:r>
          </w:p>
          <w:p w14:paraId="05831209" w14:textId="77777777" w:rsidR="007266CF" w:rsidRPr="006223CC" w:rsidRDefault="007266CF" w:rsidP="007266CF">
            <w:pPr>
              <w:spacing w:before="0" w:after="0"/>
              <w:jc w:val="left"/>
              <w:rPr>
                <w:rFonts w:ascii="Times New Roman" w:hAnsi="Times New Roman"/>
                <w:b/>
                <w:sz w:val="24"/>
                <w:u w:val="single"/>
                <w:lang w:val="fr-FR"/>
              </w:rPr>
            </w:pPr>
          </w:p>
          <w:p w14:paraId="10578F7B"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Měsíc a rok data vzniku poslední emise cenných papírů v sekuritizaci se vykazuje v tomto formátu: „rrrr-mm-dd“.</w:t>
            </w:r>
          </w:p>
          <w:p w14:paraId="0A281B9B" w14:textId="77777777" w:rsidR="007266CF" w:rsidRPr="006223CC" w:rsidRDefault="007266CF" w:rsidP="007266CF">
            <w:pPr>
              <w:spacing w:before="0" w:after="0"/>
              <w:jc w:val="left"/>
              <w:rPr>
                <w:rFonts w:ascii="Times New Roman" w:hAnsi="Times New Roman"/>
                <w:sz w:val="24"/>
                <w:lang w:val="fr-FR"/>
              </w:rPr>
            </w:pPr>
          </w:p>
          <w:p w14:paraId="3FB7CC72"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Nařízení (EU) 2017/2402 se vztahuje na sekuritizace těch cenných papírů, které byly vydány 1. ledna 2019 nebo později. Datum poslední emise cenných papírů určuje, zda každý sekuritizační systém spadá do oblasti působnosti nařízení (EU) 2017/2402.</w:t>
            </w:r>
          </w:p>
          <w:p w14:paraId="092B01AA" w14:textId="77777777" w:rsidR="007266CF" w:rsidRPr="006223CC" w:rsidRDefault="007266CF" w:rsidP="007266CF">
            <w:pPr>
              <w:spacing w:before="0" w:after="0"/>
              <w:jc w:val="left"/>
              <w:rPr>
                <w:rFonts w:ascii="Times New Roman" w:hAnsi="Times New Roman"/>
                <w:sz w:val="24"/>
                <w:lang w:val="fr-FR"/>
              </w:rPr>
            </w:pPr>
          </w:p>
          <w:p w14:paraId="51EB9ED7"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Tyto údaje se vykazují i v případě, že vykazující subjekt v sekuritizaci nedrží žádné pozice.</w:t>
            </w:r>
          </w:p>
          <w:p w14:paraId="57396DE7" w14:textId="77777777" w:rsidR="007266CF" w:rsidRPr="006223CC" w:rsidRDefault="007266CF" w:rsidP="007266CF">
            <w:pPr>
              <w:spacing w:before="0" w:after="0"/>
              <w:jc w:val="left"/>
              <w:rPr>
                <w:rFonts w:ascii="Times New Roman" w:hAnsi="Times New Roman"/>
                <w:b/>
                <w:sz w:val="24"/>
                <w:u w:val="single"/>
                <w:lang w:val="fr-FR"/>
              </w:rPr>
            </w:pPr>
          </w:p>
        </w:tc>
      </w:tr>
      <w:tr w:rsidR="007266CF" w:rsidRPr="002A677E" w14:paraId="7D7AEECF" w14:textId="77777777" w:rsidTr="007266CF">
        <w:tc>
          <w:tcPr>
            <w:tcW w:w="1101" w:type="dxa"/>
          </w:tcPr>
          <w:p w14:paraId="3E33F689"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6A85A827"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CELKOVÝ OBJEM SEKURITIZOVANÝCH EXPOZIC KE DNI VZNIKU</w:t>
            </w:r>
          </w:p>
          <w:p w14:paraId="2490DDD3" w14:textId="77777777" w:rsidR="007266CF" w:rsidRPr="002A677E" w:rsidRDefault="007266CF" w:rsidP="007266CF">
            <w:pPr>
              <w:spacing w:before="0" w:after="0"/>
              <w:jc w:val="left"/>
              <w:rPr>
                <w:rFonts w:ascii="Times New Roman" w:hAnsi="Times New Roman"/>
                <w:sz w:val="24"/>
              </w:rPr>
            </w:pPr>
          </w:p>
          <w:p w14:paraId="649AB29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V tomto sloupci se uvádí objem (vypočítaný na základě původních expozic před vynásobením konverzními faktory) sekuritizovaného portfolia ke dni vzniku. </w:t>
            </w:r>
          </w:p>
          <w:p w14:paraId="1DC1CA2F" w14:textId="77777777" w:rsidR="007266CF" w:rsidRPr="002A677E" w:rsidRDefault="007266CF" w:rsidP="007266CF">
            <w:pPr>
              <w:autoSpaceDE w:val="0"/>
              <w:autoSpaceDN w:val="0"/>
              <w:adjustRightInd w:val="0"/>
              <w:spacing w:before="0" w:after="0"/>
              <w:rPr>
                <w:rFonts w:ascii="Times New Roman" w:hAnsi="Times New Roman"/>
                <w:sz w:val="24"/>
              </w:rPr>
            </w:pPr>
          </w:p>
          <w:p w14:paraId="2E762E9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U sekuritizačních systémů podložených otevřenými seskupeními se uvede objem ke dni vzniku první emise cenných papírů. U tradičních sekuritizací se nezohledňují žádná jiná aktiva sekuritizačního seskupení. U sekuritizačních schémat s více prodávajícími (tj. s více než jedním původcem) se vykazuje pouze objem odpovídající příspěvku vykazujícího subjektu v sekuritizovaném portfoliu. U sekuritizací závazků se vykazují pouze objemy vydané vykazujícím subjektem.</w:t>
            </w:r>
          </w:p>
          <w:p w14:paraId="06E51AB7" w14:textId="77777777" w:rsidR="007266CF" w:rsidRPr="002A677E" w:rsidRDefault="007266CF" w:rsidP="007266CF">
            <w:pPr>
              <w:autoSpaceDE w:val="0"/>
              <w:autoSpaceDN w:val="0"/>
              <w:adjustRightInd w:val="0"/>
              <w:spacing w:before="0" w:after="0"/>
              <w:rPr>
                <w:rFonts w:ascii="Times New Roman" w:hAnsi="Times New Roman"/>
                <w:sz w:val="24"/>
              </w:rPr>
            </w:pPr>
          </w:p>
          <w:p w14:paraId="1E3E8E23"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Tyto údaje se vykazují i v případě, že vykazující subjekt v sekuritizaci nedrží žádné pozice.</w:t>
            </w:r>
          </w:p>
          <w:p w14:paraId="60DF9C45"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5723A776" w14:textId="77777777" w:rsidTr="007266CF">
        <w:tc>
          <w:tcPr>
            <w:tcW w:w="1101" w:type="dxa"/>
          </w:tcPr>
          <w:p w14:paraId="7028830B"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5D3822F9"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SEKURITIZOVANÉ EXPOZICE</w:t>
            </w:r>
          </w:p>
          <w:p w14:paraId="4DA28C8A"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6FF65B0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Ve sloupcích 0140 až 0225 jsou od vykazujícího subjektu vyžadovány údaje týkající se různých rysů sekuritizovaného portfolia.</w:t>
            </w:r>
          </w:p>
          <w:p w14:paraId="59100884"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5580E720" w14:textId="77777777" w:rsidTr="007266CF">
        <w:tc>
          <w:tcPr>
            <w:tcW w:w="1101" w:type="dxa"/>
          </w:tcPr>
          <w:p w14:paraId="0DDC4F3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7D768F6"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CELKOVÝ OBJEM</w:t>
            </w:r>
          </w:p>
          <w:p w14:paraId="7DE294DB" w14:textId="77777777" w:rsidR="007266CF" w:rsidRPr="002A677E" w:rsidRDefault="007266CF" w:rsidP="007266CF">
            <w:pPr>
              <w:spacing w:before="0" w:after="0"/>
              <w:jc w:val="left"/>
              <w:rPr>
                <w:rFonts w:ascii="Times New Roman" w:hAnsi="Times New Roman"/>
                <w:sz w:val="24"/>
              </w:rPr>
            </w:pPr>
          </w:p>
          <w:p w14:paraId="7875A08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Instituce vykazují hodnotu sekuritizovaného portfolia k datu vykazování, tj. nesplacený zůstatek sekuritizovaných expozic. V případě tradičních sekuritizací se nezohledňují žádná jiná aktiva sekuritizačního seskupení. V případě sekuritizačních schémat s více prodávajícími (tj. s více než jedním původcem) se vykazuje pouze objem odpovídající příspěvku vykazujícího subjektu v sekuritizovaném portfoliu. V případě sekuritizačních seskupení podložených uzavřenými seskupeními (tj. portfolio sekuritizovaných aktiv nelze po dni vzniku rozšířit) se bude objem postupně snižovat.</w:t>
            </w:r>
          </w:p>
          <w:p w14:paraId="539D18F6" w14:textId="77777777" w:rsidR="007266CF" w:rsidRPr="002A677E" w:rsidRDefault="007266CF" w:rsidP="007266CF">
            <w:pPr>
              <w:autoSpaceDE w:val="0"/>
              <w:autoSpaceDN w:val="0"/>
              <w:adjustRightInd w:val="0"/>
              <w:spacing w:before="0" w:after="0"/>
              <w:rPr>
                <w:rFonts w:ascii="Times New Roman" w:hAnsi="Times New Roman"/>
                <w:sz w:val="24"/>
              </w:rPr>
            </w:pPr>
          </w:p>
          <w:p w14:paraId="4CD38A2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Tyto údaje se vykazují i v případě, že vykazující subjekt v sekuritizaci nedrží žádné pozice.</w:t>
            </w:r>
          </w:p>
          <w:p w14:paraId="6A68E75E"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1C9860F0" w14:textId="77777777" w:rsidTr="007266CF">
        <w:tc>
          <w:tcPr>
            <w:tcW w:w="1101" w:type="dxa"/>
          </w:tcPr>
          <w:p w14:paraId="4D2F98A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35FF48CF"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PODÍL INSTITUCE (%)</w:t>
            </w:r>
          </w:p>
          <w:p w14:paraId="1D98EB64" w14:textId="77777777" w:rsidR="007266CF" w:rsidRPr="002A677E" w:rsidRDefault="007266CF" w:rsidP="007266CF">
            <w:pPr>
              <w:spacing w:before="0" w:after="0"/>
              <w:jc w:val="left"/>
              <w:rPr>
                <w:rFonts w:ascii="Times New Roman" w:hAnsi="Times New Roman"/>
                <w:sz w:val="24"/>
              </w:rPr>
            </w:pPr>
          </w:p>
          <w:p w14:paraId="0E8B2C07" w14:textId="77777777" w:rsidR="007266CF" w:rsidRPr="002A677E" w:rsidRDefault="007266CF" w:rsidP="007266CF">
            <w:pPr>
              <w:spacing w:before="0" w:after="0"/>
              <w:rPr>
                <w:rFonts w:ascii="Times New Roman" w:hAnsi="Times New Roman"/>
                <w:sz w:val="24"/>
              </w:rPr>
            </w:pPr>
            <w:r>
              <w:rPr>
                <w:rFonts w:ascii="Times New Roman" w:hAnsi="Times New Roman"/>
                <w:sz w:val="24"/>
              </w:rPr>
              <w:t>Podíl instituce (vyjádřený v procentech se dvěma desetinnými místy) v sekuritizovaném portfoliu, a to k datu vykazování. Číselný údaj, který se vykazuje v tomto sloupci, standardně činí 100 % s výjimkou sekuritizačních schémat s více prodávajícími. V takovém případě vykazující subjekt uvede svůj aktuální příspěvek k sekuritizovanému portfoliu (rovná se údaji ve sloupci 0140 v relativním vyjádření).</w:t>
            </w:r>
          </w:p>
          <w:p w14:paraId="0C24D413" w14:textId="77777777" w:rsidR="007266CF" w:rsidRPr="002A677E" w:rsidRDefault="007266CF" w:rsidP="007266CF">
            <w:pPr>
              <w:spacing w:before="0" w:after="0"/>
              <w:rPr>
                <w:rFonts w:ascii="Times New Roman" w:hAnsi="Times New Roman"/>
                <w:sz w:val="24"/>
              </w:rPr>
            </w:pPr>
          </w:p>
          <w:p w14:paraId="7BE893F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Tyto údaje se vykazují i v případě, že vykazující subjekt v sekuritizaci nedrží žádné pozice.</w:t>
            </w:r>
          </w:p>
          <w:p w14:paraId="2481A4B4"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245CAA20" w14:textId="77777777" w:rsidTr="007266CF">
        <w:tc>
          <w:tcPr>
            <w:tcW w:w="1101" w:type="dxa"/>
          </w:tcPr>
          <w:p w14:paraId="1CCB9EF9" w14:textId="77777777" w:rsidR="007266CF" w:rsidRPr="002A677E" w:rsidDel="00817047"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4A9E6A62"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DRUH</w:t>
            </w:r>
          </w:p>
          <w:p w14:paraId="3A6406B9" w14:textId="77777777" w:rsidR="007266CF" w:rsidRPr="002A677E" w:rsidRDefault="007266CF" w:rsidP="007266CF">
            <w:pPr>
              <w:autoSpaceDE w:val="0"/>
              <w:autoSpaceDN w:val="0"/>
              <w:adjustRightInd w:val="0"/>
              <w:spacing w:before="0" w:after="0"/>
              <w:rPr>
                <w:rFonts w:ascii="Times New Roman" w:hAnsi="Times New Roman"/>
                <w:sz w:val="24"/>
              </w:rPr>
            </w:pPr>
          </w:p>
          <w:p w14:paraId="2A62A7D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tomto sloupci se uvádějí informace o druhu aktiv („zástavní práva k obytným nemovitostem“ až „ostatní velkoobchodní expozice“) nebo závazků („kryté dluhopisy“ a „ostatní závazky“) v sekuritizovaném portfoliu. Instituce vykazuje jednu z těchto možností, při zohlednění nejvyšší expozice v selhání:</w:t>
            </w:r>
          </w:p>
          <w:p w14:paraId="25CEE67D"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0D6D0009" w14:textId="77777777" w:rsidR="007266CF" w:rsidRPr="002A677E" w:rsidRDefault="007266CF" w:rsidP="007266CF">
            <w:pPr>
              <w:autoSpaceDE w:val="0"/>
              <w:autoSpaceDN w:val="0"/>
              <w:adjustRightInd w:val="0"/>
              <w:spacing w:before="0" w:after="0"/>
              <w:jc w:val="left"/>
              <w:rPr>
                <w:rFonts w:ascii="Times New Roman" w:hAnsi="Times New Roman"/>
                <w:b/>
                <w:sz w:val="24"/>
              </w:rPr>
            </w:pPr>
            <w:r>
              <w:rPr>
                <w:rFonts w:ascii="Times New Roman" w:hAnsi="Times New Roman"/>
                <w:b/>
                <w:sz w:val="24"/>
              </w:rPr>
              <w:t>Retailová oblast:</w:t>
            </w:r>
          </w:p>
          <w:p w14:paraId="29A71CB5"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zástavní práva k obytným nemovitostem, </w:t>
            </w:r>
          </w:p>
          <w:p w14:paraId="0B051184"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pohledávky z kreditních karet, </w:t>
            </w:r>
          </w:p>
          <w:p w14:paraId="5C7DAC8C"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spotřebitelské úvěry,</w:t>
            </w:r>
          </w:p>
          <w:p w14:paraId="5C516E85"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úvěry pro malé a střední podniky (ke kterým se přistupuje jako k podnikům),</w:t>
            </w:r>
          </w:p>
          <w:p w14:paraId="3B09C13A"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jiné retailové expozice.</w:t>
            </w:r>
          </w:p>
          <w:p w14:paraId="0046B0E8"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32FD57CC" w14:textId="77777777" w:rsidR="007266CF" w:rsidRPr="002A677E" w:rsidRDefault="007266CF" w:rsidP="007266CF">
            <w:pPr>
              <w:autoSpaceDE w:val="0"/>
              <w:autoSpaceDN w:val="0"/>
              <w:adjustRightInd w:val="0"/>
              <w:spacing w:before="0" w:after="0"/>
              <w:jc w:val="left"/>
              <w:rPr>
                <w:rFonts w:ascii="Times New Roman" w:hAnsi="Times New Roman"/>
                <w:b/>
                <w:sz w:val="24"/>
              </w:rPr>
            </w:pPr>
            <w:r>
              <w:rPr>
                <w:rFonts w:ascii="Times New Roman" w:hAnsi="Times New Roman"/>
                <w:b/>
                <w:sz w:val="24"/>
              </w:rPr>
              <w:t>Velkoobchod:</w:t>
            </w:r>
          </w:p>
          <w:p w14:paraId="3C1E0AB2"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zástavní práva k obchodním nemovitostem, </w:t>
            </w:r>
          </w:p>
          <w:p w14:paraId="678D31DE"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pronájem, </w:t>
            </w:r>
          </w:p>
          <w:p w14:paraId="2EBEFE5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úvěry podnikům,</w:t>
            </w:r>
          </w:p>
          <w:p w14:paraId="70314B7D"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úvěry pro malé a střední podniky (ke kterým se přistupuje jako k podnikům), </w:t>
            </w:r>
          </w:p>
          <w:p w14:paraId="2E29F778"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obchodní pohledávky,</w:t>
            </w:r>
          </w:p>
          <w:p w14:paraId="1B077037"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ostatní velkoobchodní expozice. </w:t>
            </w:r>
          </w:p>
          <w:p w14:paraId="0768BB9C"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57F20A0A" w14:textId="77777777" w:rsidR="007266CF" w:rsidRPr="002A677E" w:rsidRDefault="007266CF" w:rsidP="007266CF">
            <w:pPr>
              <w:autoSpaceDE w:val="0"/>
              <w:autoSpaceDN w:val="0"/>
              <w:adjustRightInd w:val="0"/>
              <w:spacing w:before="0" w:after="0"/>
              <w:jc w:val="left"/>
              <w:rPr>
                <w:rFonts w:ascii="Times New Roman" w:hAnsi="Times New Roman"/>
                <w:b/>
                <w:sz w:val="24"/>
              </w:rPr>
            </w:pPr>
            <w:r>
              <w:rPr>
                <w:rFonts w:ascii="Times New Roman" w:hAnsi="Times New Roman"/>
                <w:b/>
                <w:sz w:val="24"/>
              </w:rPr>
              <w:t>Závazky:</w:t>
            </w:r>
          </w:p>
          <w:p w14:paraId="7B780E93"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kryté dluhopisy,</w:t>
            </w:r>
          </w:p>
          <w:p w14:paraId="47D421A7"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jiné závazky.</w:t>
            </w:r>
          </w:p>
          <w:p w14:paraId="301BCE13"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35BD708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Jestliže je seskupení sekuritizovaných expozic kombinací výše uvedených druhů, instituce uvede nejvýznamnější druh. V případě resekuritizací instituce odkazuje na hlavní podkladové seskupení aktiv. </w:t>
            </w:r>
          </w:p>
          <w:p w14:paraId="3F933C78" w14:textId="77777777" w:rsidR="007266CF"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případě sekuritizačních systémů podložených uzavřenými seskupeními nemůže mezi daty vykazování dojít ke změně druhu.</w:t>
            </w:r>
          </w:p>
          <w:p w14:paraId="0E83955F" w14:textId="77777777" w:rsidR="007266CF" w:rsidRDefault="007266CF" w:rsidP="007266CF">
            <w:pPr>
              <w:autoSpaceDE w:val="0"/>
              <w:autoSpaceDN w:val="0"/>
              <w:adjustRightInd w:val="0"/>
              <w:spacing w:before="0" w:after="0"/>
              <w:rPr>
                <w:rFonts w:ascii="Times New Roman" w:hAnsi="Times New Roman"/>
                <w:sz w:val="24"/>
              </w:rPr>
            </w:pPr>
          </w:p>
          <w:p w14:paraId="690625D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Závazky je třeba chápat v tom smyslu, že se jedná o závazky původně emitované vykazující institucí (viz oddíl 3.2.1 bod 112 písm. b) této přílohy).</w:t>
            </w:r>
          </w:p>
          <w:p w14:paraId="2BE5A7A2"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094F30F6" w14:textId="77777777" w:rsidTr="007266CF">
        <w:tc>
          <w:tcPr>
            <w:tcW w:w="1101" w:type="dxa"/>
          </w:tcPr>
          <w:p w14:paraId="11F750EA"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7E7D8D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UPLATNĚNÉHO PŘÍSTUPU ZALOŽENÉHO NA INTERNÍM RATINGU</w:t>
            </w:r>
          </w:p>
          <w:p w14:paraId="74762337" w14:textId="77777777" w:rsidR="007266CF" w:rsidRPr="002A677E" w:rsidRDefault="007266CF" w:rsidP="007266CF">
            <w:pPr>
              <w:spacing w:before="0" w:after="0"/>
              <w:jc w:val="left"/>
              <w:rPr>
                <w:rFonts w:ascii="Times New Roman" w:hAnsi="Times New Roman"/>
                <w:sz w:val="24"/>
              </w:rPr>
            </w:pPr>
          </w:p>
          <w:p w14:paraId="7331EBE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tomto sloupci se uvádějí údaje o přístupu(-ech), který(-é) by instituce uplatnila na sekuritizované expozice k datu vykazování.</w:t>
            </w:r>
          </w:p>
          <w:p w14:paraId="5D336DDB"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190A5748"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Instituce vykazují procentní podíl sekuritizovaných expozic oceněný hodnotou expozice, na který se k datu vykazování vztahuje přístup založený na interním ratingu. </w:t>
            </w:r>
          </w:p>
          <w:p w14:paraId="3CC32E23" w14:textId="77777777" w:rsidR="007266CF" w:rsidRPr="002A677E" w:rsidRDefault="007266CF" w:rsidP="007266CF">
            <w:pPr>
              <w:autoSpaceDE w:val="0"/>
              <w:autoSpaceDN w:val="0"/>
              <w:adjustRightInd w:val="0"/>
              <w:spacing w:before="0" w:after="0"/>
              <w:rPr>
                <w:rFonts w:ascii="Times New Roman" w:hAnsi="Times New Roman"/>
                <w:sz w:val="24"/>
              </w:rPr>
            </w:pPr>
          </w:p>
          <w:p w14:paraId="26CDCB6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nedrží žádné pozice. Tento sloupec se nicméně nevztahuje na sekuritizace závazků. </w:t>
            </w:r>
          </w:p>
          <w:p w14:paraId="400134B1"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156F5617" w14:textId="77777777" w:rsidTr="007266CF">
        <w:tc>
          <w:tcPr>
            <w:tcW w:w="1101" w:type="dxa"/>
          </w:tcPr>
          <w:p w14:paraId="3E160BD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6ED1BD21"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POČET EXPOZIC</w:t>
            </w:r>
          </w:p>
          <w:p w14:paraId="7F517C64" w14:textId="77777777" w:rsidR="007266CF" w:rsidRPr="002A677E" w:rsidRDefault="007266CF" w:rsidP="007266CF">
            <w:pPr>
              <w:spacing w:before="0" w:after="0"/>
              <w:jc w:val="left"/>
              <w:rPr>
                <w:rFonts w:ascii="Times New Roman" w:hAnsi="Times New Roman"/>
                <w:sz w:val="24"/>
              </w:rPr>
            </w:pPr>
          </w:p>
          <w:p w14:paraId="741E0D9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Ustanovení čl. 259 odst. 4 nařízení (EU) č. 575/2013</w:t>
            </w:r>
          </w:p>
          <w:p w14:paraId="3FFD925C"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7DE4A82A"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Tento sloupec povinně vyplňují pouze instituce, které na sekuritizované pozice uplatňují přístup SEC-IRB (a ve sloupci 171 tedy uvedly více než 95 %). Instituce vykazuje efektivní počet expozic.</w:t>
            </w:r>
          </w:p>
          <w:p w14:paraId="48143DCE"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4B93ED1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Tento sloupec se nevyplňuje, pokud se jedná o sekuritizace závazků nebo pokud jsou kapitálové požadavky založeny na sekuritizovaných expozicích (v případě sekuritizace aktiv). Tento sloupec se nevyplňuje v případě, že vykazující instituce v sekuritizaci nedrží žádné pozice. Tento sloupec nevyplňují investoři.</w:t>
            </w:r>
          </w:p>
          <w:p w14:paraId="04FA67DE"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741D2DA1" w14:textId="77777777" w:rsidTr="007266CF">
        <w:tc>
          <w:tcPr>
            <w:tcW w:w="1101" w:type="dxa"/>
            <w:shd w:val="clear" w:color="auto" w:fill="auto"/>
          </w:tcPr>
          <w:p w14:paraId="6B466AC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077C0807"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EXPOZICE V SELHÁNÍ „W“ (%)</w:t>
            </w:r>
          </w:p>
          <w:p w14:paraId="3C4CA805" w14:textId="77777777" w:rsidR="007266CF" w:rsidRPr="002A677E" w:rsidRDefault="007266CF" w:rsidP="007266CF">
            <w:pPr>
              <w:spacing w:before="0" w:after="0"/>
              <w:jc w:val="left"/>
              <w:rPr>
                <w:rFonts w:ascii="Times New Roman" w:hAnsi="Times New Roman"/>
                <w:b/>
                <w:sz w:val="24"/>
                <w:u w:val="single"/>
              </w:rPr>
            </w:pPr>
          </w:p>
          <w:p w14:paraId="63D6997D"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Ustanovení čl. 261 odst. 2 nařízení (EU) č. 575/2013</w:t>
            </w:r>
          </w:p>
          <w:p w14:paraId="3ACB29CD" w14:textId="77777777" w:rsidR="007266CF" w:rsidRPr="002A677E" w:rsidRDefault="007266CF" w:rsidP="007266CF">
            <w:pPr>
              <w:spacing w:before="0" w:after="0"/>
              <w:jc w:val="left"/>
              <w:rPr>
                <w:rFonts w:ascii="Times New Roman" w:hAnsi="Times New Roman"/>
                <w:sz w:val="24"/>
              </w:rPr>
            </w:pPr>
          </w:p>
          <w:p w14:paraId="1F0F6BB3"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lastRenderedPageBreak/>
              <w:t xml:space="preserve">I když instituce na sekuritizované pozice neuplatňuje přístup SEC-SA, vykáže instituce faktor „W“ (vztahující se k podkladovým expozicím v selhání), který se vypočítá, jak je uvedeno v čl. 261 odst. 2 nařízení (EU) č. 575/2013. </w:t>
            </w:r>
          </w:p>
          <w:p w14:paraId="2DA37DC8"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74A20270" w14:textId="77777777" w:rsidTr="007266CF">
        <w:tc>
          <w:tcPr>
            <w:tcW w:w="1101" w:type="dxa"/>
            <w:shd w:val="clear" w:color="auto" w:fill="auto"/>
          </w:tcPr>
          <w:p w14:paraId="1E6C80BC" w14:textId="77777777" w:rsidR="007266CF" w:rsidRPr="002A677E" w:rsidDel="00A749EA"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439380E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ZEMĚ</w:t>
            </w:r>
          </w:p>
          <w:p w14:paraId="0CC48771" w14:textId="77777777" w:rsidR="007266CF" w:rsidRPr="002A677E" w:rsidRDefault="007266CF" w:rsidP="007266CF">
            <w:pPr>
              <w:spacing w:before="0" w:after="0"/>
              <w:jc w:val="left"/>
              <w:rPr>
                <w:rFonts w:ascii="Times New Roman" w:hAnsi="Times New Roman"/>
                <w:sz w:val="24"/>
              </w:rPr>
            </w:pPr>
          </w:p>
          <w:p w14:paraId="6A8CC101" w14:textId="77777777" w:rsidR="007266CF" w:rsidRPr="002A677E" w:rsidRDefault="007266CF" w:rsidP="007266CF">
            <w:pPr>
              <w:spacing w:before="0" w:after="0"/>
              <w:rPr>
                <w:rFonts w:ascii="Times New Roman" w:hAnsi="Times New Roman"/>
                <w:sz w:val="24"/>
              </w:rPr>
            </w:pPr>
            <w:r>
              <w:rPr>
                <w:rFonts w:ascii="Times New Roman" w:hAnsi="Times New Roman"/>
                <w:sz w:val="24"/>
              </w:rPr>
              <w:t>Instituce vykazují kód (ISO 3166-1 alpha-2) země původu hlavní podkladové transakce, tj. země bezprostředního dlužníka u původních sekuritizovaných expozic (přístup se zohledněním). Jestliže se seskupení sekuritizací skládá z různých zemí, instituce uvede nejvýznamnější zemi. Pokud žádná ze zemí nepřesahuje prahovou hodnotu 20 % založenou na hodnotě aktiv/pasiv, vykáže se „ostatní země“.</w:t>
            </w:r>
          </w:p>
          <w:p w14:paraId="34D54417" w14:textId="77777777" w:rsidR="007266CF" w:rsidRPr="002A677E" w:rsidRDefault="007266CF" w:rsidP="007266CF">
            <w:pPr>
              <w:spacing w:before="0" w:after="0"/>
              <w:rPr>
                <w:rFonts w:ascii="Times New Roman" w:hAnsi="Times New Roman"/>
                <w:sz w:val="24"/>
              </w:rPr>
            </w:pPr>
          </w:p>
        </w:tc>
      </w:tr>
      <w:tr w:rsidR="007266CF" w:rsidRPr="002A677E" w14:paraId="501FE333" w14:textId="77777777" w:rsidTr="007266CF">
        <w:tc>
          <w:tcPr>
            <w:tcW w:w="1101" w:type="dxa"/>
          </w:tcPr>
          <w:p w14:paraId="06448BF6"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0EBA06DB"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xml:space="preserve">LGD (%) </w:t>
            </w:r>
          </w:p>
          <w:p w14:paraId="11A5B2AA" w14:textId="77777777" w:rsidR="007266CF" w:rsidRPr="002A677E" w:rsidRDefault="007266CF" w:rsidP="007266CF">
            <w:pPr>
              <w:spacing w:before="0" w:after="0"/>
              <w:jc w:val="left"/>
              <w:rPr>
                <w:rFonts w:ascii="Times New Roman" w:hAnsi="Times New Roman"/>
                <w:sz w:val="24"/>
              </w:rPr>
            </w:pPr>
          </w:p>
          <w:p w14:paraId="1CC3D29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Expozicí váženou průměrnou hodnotu ztrátovosti ze selhání (LGD) vykazují pouze instituce, které uplatňují přístup SEC-IRBA (a ve sloupci 0170 tedy uvedly 95 % nebo více). LGD se vypočítává v souladu s čl. 259 odst. 5 nařízení (EU) č. 575/2013. </w:t>
            </w:r>
          </w:p>
          <w:p w14:paraId="1F72B27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pokud se jedná o sekuritizace závazků nebo pokud jsou kapitálové požadavky založeny na sekuritizovaných expozicích (v případě sekuritizace aktiv). </w:t>
            </w:r>
          </w:p>
          <w:p w14:paraId="0E3631C4" w14:textId="77777777" w:rsidR="007266CF" w:rsidRPr="002A677E" w:rsidRDefault="007266CF" w:rsidP="007266CF">
            <w:pPr>
              <w:spacing w:before="0" w:after="0"/>
              <w:jc w:val="left"/>
              <w:rPr>
                <w:rFonts w:ascii="Times New Roman" w:hAnsi="Times New Roman"/>
                <w:sz w:val="24"/>
              </w:rPr>
            </w:pPr>
          </w:p>
        </w:tc>
      </w:tr>
      <w:tr w:rsidR="007266CF" w:rsidRPr="002A677E" w14:paraId="5AE8473D" w14:textId="77777777" w:rsidTr="007266CF">
        <w:tc>
          <w:tcPr>
            <w:tcW w:w="1101" w:type="dxa"/>
          </w:tcPr>
          <w:p w14:paraId="725C01CD"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EBE135A"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EL (%)</w:t>
            </w:r>
          </w:p>
          <w:p w14:paraId="6CF94387" w14:textId="77777777" w:rsidR="007266CF" w:rsidRPr="002A677E" w:rsidRDefault="007266CF" w:rsidP="007266CF">
            <w:pPr>
              <w:spacing w:before="0" w:after="0"/>
              <w:jc w:val="left"/>
              <w:rPr>
                <w:rFonts w:ascii="Times New Roman" w:hAnsi="Times New Roman"/>
                <w:b/>
                <w:sz w:val="24"/>
                <w:u w:val="single"/>
              </w:rPr>
            </w:pPr>
          </w:p>
          <w:p w14:paraId="31A0781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Expozicí váženou průměrnou očekávanou ztrátu (EL) u sekuritizovaných aktiv vykazují pouze instituce, které uplatňují přístup SEC-IRBA (a ve sloupci 0171 tedy uvedly 95 % nebo více). V případě sekuritizovaných aktiv, na něž se vztahuje standardizovaný přístup, jsou vykázanou očekávanou ztrátou (EL) specifické úpravy o úvěrové riziko uvedené v článku 111 nařízení (EU) č. 575/2013. EL se vypočítá, jak je uvedeno v části třetí hlavě II kapitole 3 oddílu 3 nařízení (EU) č. 575/2013. Tento sloupec se nevyplňuje, pokud se jedná o sekuritizace závazků nebo pokud jsou kapitálové požadavky založeny na sekuritizovaných expozicích (v případě sekuritizace aktiv).</w:t>
            </w:r>
          </w:p>
          <w:p w14:paraId="742C19D7"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08997E57" w14:textId="77777777" w:rsidTr="007266CF">
        <w:tc>
          <w:tcPr>
            <w:tcW w:w="1101" w:type="dxa"/>
          </w:tcPr>
          <w:p w14:paraId="1C01CC00"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0BFBD181"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UL (%)</w:t>
            </w:r>
          </w:p>
          <w:p w14:paraId="56A0E980" w14:textId="77777777" w:rsidR="007266CF" w:rsidRPr="002A677E" w:rsidRDefault="007266CF" w:rsidP="007266CF">
            <w:pPr>
              <w:spacing w:before="0" w:after="0"/>
              <w:jc w:val="left"/>
              <w:rPr>
                <w:rFonts w:ascii="Times New Roman" w:hAnsi="Times New Roman"/>
                <w:b/>
                <w:sz w:val="24"/>
                <w:u w:val="single"/>
              </w:rPr>
            </w:pPr>
          </w:p>
          <w:p w14:paraId="762AB0B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Expozicí váženou průměrnou neočekávanou ztrátu (UL) u sekuritizovaných aktiv vykazují pouze instituce, které uplatňují přístup SEC-IRBA (a ve sloupci 0170 tedy uvedly 95 % nebo více). UL u aktiv se rovná objemu rizikově vážené expozice (RWEA) krát 8 %. RWEA se vypočítá, jak je uvedeno v části třetí hlavě II kapitole 3 oddílu 2 nařízení (EU) č. 575/2013. Tento sloupec se nevyplňuje, pokud se jedná o sekuritizace závazků nebo pokud jsou kapitálové požadavky založeny na sekuritizovaných expozicích (v případě sekuritizace aktiv).</w:t>
            </w:r>
          </w:p>
          <w:p w14:paraId="5ECA0E75"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50CB5558" w14:textId="77777777" w:rsidTr="007266CF">
        <w:tc>
          <w:tcPr>
            <w:tcW w:w="1101" w:type="dxa"/>
          </w:tcPr>
          <w:p w14:paraId="03908F4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BD61938"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EXPOZICÍ VÁŽENÁ PRŮMĚRNÁ SPLATNOST AKTIV</w:t>
            </w:r>
          </w:p>
          <w:p w14:paraId="3F92658A" w14:textId="77777777" w:rsidR="007266CF" w:rsidRPr="002A677E" w:rsidRDefault="007266CF" w:rsidP="007266CF">
            <w:pPr>
              <w:spacing w:before="0" w:after="0"/>
              <w:jc w:val="left"/>
              <w:rPr>
                <w:rFonts w:ascii="Times New Roman" w:hAnsi="Times New Roman"/>
                <w:b/>
                <w:sz w:val="24"/>
                <w:u w:val="single"/>
              </w:rPr>
            </w:pPr>
          </w:p>
          <w:p w14:paraId="6E4E440F"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sz w:val="24"/>
              </w:rPr>
              <w:t xml:space="preserve">Expozicí váženou průměrnou splatnost (WAM) sekuritizovaných aktiv k datu vykazování vykazují všechny instituce bez ohledu na přístup používaný pro </w:t>
            </w:r>
            <w:r>
              <w:rPr>
                <w:rFonts w:ascii="Times New Roman" w:hAnsi="Times New Roman"/>
                <w:sz w:val="24"/>
              </w:rPr>
              <w:lastRenderedPageBreak/>
              <w:t>výpočet kapitálových požadavků. Instituce vypočítají splatnost každého aktiva v souladu s čl. 162 odst. 2 písm. a) a f) nařízení (EU) č. 575/2013, a to bez uplatnění pětiletého horního limitu.</w:t>
            </w:r>
          </w:p>
          <w:p w14:paraId="4B95E6FD"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2244A2C1" w14:textId="77777777" w:rsidTr="007266CF">
        <w:tc>
          <w:tcPr>
            <w:tcW w:w="1101" w:type="dxa"/>
          </w:tcPr>
          <w:p w14:paraId="2395FE37"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C465760"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ÚPRAVY OCENĚNÍ A REZERVY</w:t>
            </w:r>
          </w:p>
          <w:p w14:paraId="4192DE15" w14:textId="77777777" w:rsidR="007266CF" w:rsidRPr="002A677E" w:rsidRDefault="007266CF" w:rsidP="007266CF">
            <w:pPr>
              <w:spacing w:before="0" w:after="0"/>
              <w:jc w:val="left"/>
              <w:rPr>
                <w:rFonts w:ascii="Times New Roman" w:hAnsi="Times New Roman"/>
                <w:sz w:val="24"/>
              </w:rPr>
            </w:pPr>
          </w:p>
          <w:p w14:paraId="3A5EAE29"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Úpravy ocenění a rezervy (článek 159 nařízení (EU) č. 575/2013) na krytí úvěrových ztrát provedené v souladu s účetním rámcem, kterému podléhá vykazující subjekt. Úpravy ocenění zahrnují veškeré částky uznané v zisku nebo ztrátě na krytí úvěrových ztrát finančních aktiv od jejich počátečního uznání v rozvaze (včetně ztrát v důsledku úvěrového rizika finančních aktiv oceněných reálnou hodnotou, které se neodečítají od hodnoty expozice) plus diskonty aktiv nabytých v selhání, jak je uvedeno v čl. 166 odst. 1 nařízení (EU) č. 575/2013. Rezervy zahrnují kumulované částky úvěrových ztrát v podrozvahových položkách.</w:t>
            </w:r>
          </w:p>
          <w:p w14:paraId="5D4C2F43"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4EBE0B6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tomto sloupci se uvádějí údaje o úpravách ocenění a rezervách, které se používají na sekuritizované expozice. Tento sloupec se nevyplňuje v případě, že se jedná o sekuritizaci závazků.</w:t>
            </w:r>
          </w:p>
          <w:p w14:paraId="6BC88E76" w14:textId="77777777" w:rsidR="007266CF" w:rsidRPr="002A677E" w:rsidRDefault="007266CF" w:rsidP="007266CF">
            <w:pPr>
              <w:autoSpaceDE w:val="0"/>
              <w:autoSpaceDN w:val="0"/>
              <w:adjustRightInd w:val="0"/>
              <w:spacing w:before="0" w:after="0"/>
              <w:rPr>
                <w:rFonts w:ascii="Times New Roman" w:hAnsi="Times New Roman"/>
                <w:sz w:val="24"/>
              </w:rPr>
            </w:pPr>
          </w:p>
          <w:p w14:paraId="080E447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nedrží žádné pozice. </w:t>
            </w:r>
          </w:p>
          <w:p w14:paraId="26659653" w14:textId="77777777" w:rsidR="007266CF" w:rsidRPr="002A677E" w:rsidRDefault="007266CF" w:rsidP="007266CF">
            <w:pPr>
              <w:autoSpaceDE w:val="0"/>
              <w:autoSpaceDN w:val="0"/>
              <w:adjustRightInd w:val="0"/>
              <w:spacing w:before="0" w:after="0"/>
              <w:rPr>
                <w:rFonts w:ascii="Times New Roman" w:hAnsi="Times New Roman"/>
                <w:sz w:val="24"/>
              </w:rPr>
            </w:pPr>
          </w:p>
        </w:tc>
      </w:tr>
      <w:tr w:rsidR="007266CF" w:rsidRPr="002A677E" w14:paraId="00FEB9A6" w14:textId="77777777" w:rsidTr="007266CF">
        <w:tc>
          <w:tcPr>
            <w:tcW w:w="1101" w:type="dxa"/>
          </w:tcPr>
          <w:p w14:paraId="3E248D38"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1B4A85A6" w14:textId="77777777" w:rsidR="007266CF" w:rsidRPr="002A677E" w:rsidRDefault="007266CF" w:rsidP="007266CF">
            <w:pPr>
              <w:spacing w:before="0" w:after="0"/>
              <w:jc w:val="left"/>
              <w:rPr>
                <w:rFonts w:ascii="Times New Roman" w:hAnsi="Times New Roman"/>
                <w:b/>
                <w:sz w:val="24"/>
                <w:u w:val="single"/>
                <w:vertAlign w:val="subscript"/>
              </w:rPr>
            </w:pPr>
            <w:r>
              <w:rPr>
                <w:rFonts w:ascii="Times New Roman" w:hAnsi="Times New Roman"/>
                <w:b/>
                <w:sz w:val="24"/>
                <w:u w:val="single"/>
              </w:rPr>
              <w:t>KAPITÁLOVÉ POŽADAVKY PŘED SEKURITIZACÍ (%) K</w:t>
            </w:r>
            <w:r>
              <w:rPr>
                <w:rFonts w:ascii="Times New Roman" w:hAnsi="Times New Roman"/>
                <w:b/>
                <w:sz w:val="24"/>
                <w:u w:val="single"/>
                <w:vertAlign w:val="subscript"/>
              </w:rPr>
              <w:t>IRB</w:t>
            </w:r>
          </w:p>
          <w:p w14:paraId="14F5DECA" w14:textId="77777777" w:rsidR="007266CF" w:rsidRPr="002A677E" w:rsidRDefault="007266CF" w:rsidP="007266CF">
            <w:pPr>
              <w:spacing w:before="0" w:after="0"/>
              <w:jc w:val="left"/>
              <w:rPr>
                <w:rFonts w:ascii="Times New Roman" w:hAnsi="Times New Roman"/>
                <w:sz w:val="24"/>
              </w:rPr>
            </w:pPr>
          </w:p>
          <w:p w14:paraId="3770A8A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Tento sloupec vyplňují pouze instituce, které uplatňují přístup SEC-IRBA (a ve sloupci 171 tedy uvedly 95 % nebo více) a vykazují informace o K</w:t>
            </w:r>
            <w:r>
              <w:rPr>
                <w:rFonts w:ascii="Times New Roman" w:hAnsi="Times New Roman"/>
                <w:sz w:val="24"/>
                <w:vertAlign w:val="subscript"/>
              </w:rPr>
              <w:t>IRB</w:t>
            </w:r>
            <w:r>
              <w:rPr>
                <w:rFonts w:ascii="Times New Roman" w:hAnsi="Times New Roman"/>
                <w:sz w:val="24"/>
              </w:rPr>
              <w:t>, jak je uvedeno v článku 255 nařízení (EU) č. 575/2013. K</w:t>
            </w:r>
            <w:r>
              <w:rPr>
                <w:rFonts w:ascii="Times New Roman" w:hAnsi="Times New Roman"/>
                <w:sz w:val="24"/>
                <w:vertAlign w:val="subscript"/>
              </w:rPr>
              <w:t>IRB</w:t>
            </w:r>
            <w:r>
              <w:rPr>
                <w:rFonts w:ascii="Times New Roman" w:hAnsi="Times New Roman"/>
                <w:sz w:val="24"/>
              </w:rPr>
              <w:t xml:space="preserve"> se vyjadřuje jako procentní podíl (s dvěma desetinnými místy).</w:t>
            </w:r>
          </w:p>
          <w:p w14:paraId="7803BEA6" w14:textId="77777777" w:rsidR="007266CF" w:rsidRPr="002A677E" w:rsidRDefault="007266CF" w:rsidP="007266CF">
            <w:pPr>
              <w:autoSpaceDE w:val="0"/>
              <w:autoSpaceDN w:val="0"/>
              <w:adjustRightInd w:val="0"/>
              <w:spacing w:before="0" w:after="0"/>
              <w:rPr>
                <w:rFonts w:ascii="Times New Roman" w:hAnsi="Times New Roman"/>
                <w:sz w:val="24"/>
              </w:rPr>
            </w:pPr>
          </w:p>
          <w:p w14:paraId="42B5E34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v případě, že se jedná o sekuritizaci závazků. V případě sekuritizace aktiv se tyto informace vykazují i v případě, že vykazující subjekt v sekuritizaci nedrží žádné pozice. </w:t>
            </w:r>
          </w:p>
          <w:p w14:paraId="56DD4075" w14:textId="77777777" w:rsidR="007266CF" w:rsidRPr="002A677E" w:rsidRDefault="007266CF" w:rsidP="007266CF">
            <w:pPr>
              <w:autoSpaceDE w:val="0"/>
              <w:autoSpaceDN w:val="0"/>
              <w:adjustRightInd w:val="0"/>
              <w:spacing w:before="0" w:after="0"/>
              <w:rPr>
                <w:rFonts w:ascii="Times New Roman" w:hAnsi="Times New Roman"/>
                <w:sz w:val="24"/>
              </w:rPr>
            </w:pPr>
          </w:p>
        </w:tc>
      </w:tr>
      <w:tr w:rsidR="007266CF" w:rsidRPr="002A677E" w14:paraId="1F21C1E7" w14:textId="77777777" w:rsidTr="007266CF">
        <w:tc>
          <w:tcPr>
            <w:tcW w:w="1101" w:type="dxa"/>
          </w:tcPr>
          <w:p w14:paraId="4724D36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6ACF9FF6"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RETAILOVÝCH EXPOZIC V SESKUPENÍCH IRB</w:t>
            </w:r>
          </w:p>
          <w:p w14:paraId="3A38A1D8" w14:textId="77777777" w:rsidR="007266CF" w:rsidRPr="002A677E" w:rsidRDefault="007266CF" w:rsidP="007266CF">
            <w:pPr>
              <w:autoSpaceDE w:val="0"/>
              <w:autoSpaceDN w:val="0"/>
              <w:adjustRightInd w:val="0"/>
              <w:spacing w:before="0" w:after="0"/>
              <w:jc w:val="left"/>
              <w:rPr>
                <w:rFonts w:ascii="Times New Roman" w:hAnsi="Times New Roman"/>
                <w:sz w:val="24"/>
              </w:rPr>
            </w:pPr>
          </w:p>
          <w:p w14:paraId="29A5B084"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Seskupení IRB ve smyslu čl. 242 odst. 7 nařízení (EU) č. 575/2013 za předpokladu, že instituce je schopna vypočítat K</w:t>
            </w:r>
            <w:r>
              <w:rPr>
                <w:rFonts w:ascii="Times New Roman" w:hAnsi="Times New Roman"/>
                <w:sz w:val="24"/>
                <w:vertAlign w:val="subscript"/>
              </w:rPr>
              <w:t>IRB</w:t>
            </w:r>
            <w:r>
              <w:rPr>
                <w:rFonts w:ascii="Times New Roman" w:hAnsi="Times New Roman"/>
                <w:sz w:val="24"/>
              </w:rPr>
              <w:t xml:space="preserve"> v souladu s částí třetí hlavou II kapitolou 6 oddílem 3 nařízení (EU) č. 575/2013 u minimálně 95 % objemu podkladových expozic (čl. 259 odst. 2 nařízení (EU) č. 575/2013) </w:t>
            </w:r>
          </w:p>
          <w:p w14:paraId="547171A6"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582CA7D3" w14:textId="77777777" w:rsidTr="007266CF">
        <w:tc>
          <w:tcPr>
            <w:tcW w:w="1101" w:type="dxa"/>
          </w:tcPr>
          <w:p w14:paraId="6D18712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5DBA4594"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KAPITÁLOVÉ POŽADAVKY PŘED SEKURITIZACÍ (%) K</w:t>
            </w:r>
            <w:r>
              <w:rPr>
                <w:rFonts w:ascii="Times New Roman" w:hAnsi="Times New Roman"/>
                <w:b/>
                <w:sz w:val="24"/>
                <w:u w:val="single"/>
                <w:vertAlign w:val="subscript"/>
              </w:rPr>
              <w:t>sa</w:t>
            </w:r>
          </w:p>
          <w:p w14:paraId="4E0C1934"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412FC2F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I když instituce na sekuritizované pozice neuplatňuje přístup SEC-SA, vyplňuje tento sloupec. V tomto sloupci se shromažďují informace o K</w:t>
            </w:r>
            <w:r>
              <w:rPr>
                <w:rFonts w:ascii="Times New Roman" w:hAnsi="Times New Roman"/>
                <w:sz w:val="24"/>
                <w:vertAlign w:val="subscript"/>
              </w:rPr>
              <w:t>SA</w:t>
            </w:r>
            <w:r>
              <w:rPr>
                <w:rFonts w:ascii="Times New Roman" w:hAnsi="Times New Roman"/>
                <w:sz w:val="24"/>
              </w:rPr>
              <w:t>, jak je uvedeno v čl. 255 odst. 6 nařízení (EU) č. 575/2013. K</w:t>
            </w:r>
            <w:r>
              <w:rPr>
                <w:rFonts w:ascii="Times New Roman" w:hAnsi="Times New Roman"/>
                <w:sz w:val="24"/>
                <w:vertAlign w:val="subscript"/>
              </w:rPr>
              <w:t>SA</w:t>
            </w:r>
            <w:r>
              <w:rPr>
                <w:rFonts w:ascii="Times New Roman" w:hAnsi="Times New Roman"/>
                <w:sz w:val="24"/>
              </w:rPr>
              <w:t xml:space="preserve"> se vyjadřuje jako procentní podíl (s dvěma desetinnými místy).</w:t>
            </w:r>
          </w:p>
          <w:p w14:paraId="60569CB2" w14:textId="77777777" w:rsidR="007266CF" w:rsidRPr="002A677E" w:rsidRDefault="007266CF" w:rsidP="007266CF">
            <w:pPr>
              <w:autoSpaceDE w:val="0"/>
              <w:autoSpaceDN w:val="0"/>
              <w:adjustRightInd w:val="0"/>
              <w:spacing w:before="0" w:after="0"/>
              <w:rPr>
                <w:rFonts w:ascii="Times New Roman" w:hAnsi="Times New Roman"/>
                <w:sz w:val="24"/>
              </w:rPr>
            </w:pPr>
          </w:p>
          <w:p w14:paraId="75C6503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Tento sloupec se nevyplňuje v případě, že se jedná o sekuritizaci závazků. V případě sekuritizace aktiv se tyto informace vykazují i v případě, že vykazující subjekt v sekuritizaci nedrží žádné pozice. </w:t>
            </w:r>
          </w:p>
          <w:p w14:paraId="54017D31"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2B4B7D72" w14:textId="77777777" w:rsidTr="007266CF">
        <w:tc>
          <w:tcPr>
            <w:tcW w:w="1101" w:type="dxa"/>
          </w:tcPr>
          <w:p w14:paraId="442F407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63C9D86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DOPLŇKOVÉ POLOŽKY: ÚPRAVY O ÚVĚROVÉ RIZIKO BĚHEM BĚŽNÉHO OBDOBÍ </w:t>
            </w:r>
          </w:p>
          <w:p w14:paraId="517F847D"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240A9B89"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Článek 110 nařízení (EU) č. 575/2013</w:t>
            </w:r>
          </w:p>
          <w:p w14:paraId="45FD8E5E"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7EA4E7C2" w14:textId="77777777" w:rsidTr="007266CF">
        <w:tc>
          <w:tcPr>
            <w:tcW w:w="1101" w:type="dxa"/>
          </w:tcPr>
          <w:p w14:paraId="0A185B54"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637461FB"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SEKURITIZACE</w:t>
            </w:r>
          </w:p>
          <w:p w14:paraId="02DFCA6E" w14:textId="77777777" w:rsidR="007266CF" w:rsidRPr="002A677E" w:rsidRDefault="007266CF" w:rsidP="007266CF">
            <w:pPr>
              <w:autoSpaceDE w:val="0"/>
              <w:autoSpaceDN w:val="0"/>
              <w:adjustRightInd w:val="0"/>
              <w:spacing w:before="0" w:after="0"/>
              <w:jc w:val="left"/>
              <w:rPr>
                <w:rFonts w:ascii="Times New Roman" w:hAnsi="Times New Roman"/>
                <w:sz w:val="24"/>
                <w:u w:val="single"/>
              </w:rPr>
            </w:pPr>
          </w:p>
          <w:p w14:paraId="5E65952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V této skupině sloupců se shromažďují údaje o struktuře sekuritizace na základě rozvahových/podrozvahových pozic, tranší (přednostní, mezaninové nebo tranše první ztráty) a splatnosti k datu vykazování. </w:t>
            </w:r>
          </w:p>
          <w:p w14:paraId="7A1900E4" w14:textId="77777777" w:rsidR="007266CF" w:rsidRPr="002A677E" w:rsidRDefault="007266CF" w:rsidP="007266CF">
            <w:pPr>
              <w:autoSpaceDE w:val="0"/>
              <w:autoSpaceDN w:val="0"/>
              <w:adjustRightInd w:val="0"/>
              <w:spacing w:before="0" w:after="0"/>
              <w:rPr>
                <w:rFonts w:ascii="Times New Roman" w:hAnsi="Times New Roman"/>
                <w:sz w:val="24"/>
              </w:rPr>
            </w:pPr>
          </w:p>
          <w:p w14:paraId="2C443359" w14:textId="77777777" w:rsidR="007266CF" w:rsidRPr="002A677E" w:rsidRDefault="007266CF" w:rsidP="007266CF">
            <w:pPr>
              <w:spacing w:before="0" w:after="0"/>
              <w:rPr>
                <w:rFonts w:ascii="Times New Roman" w:hAnsi="Times New Roman"/>
                <w:sz w:val="24"/>
              </w:rPr>
            </w:pPr>
            <w:r>
              <w:rPr>
                <w:rFonts w:ascii="Times New Roman" w:hAnsi="Times New Roman"/>
                <w:sz w:val="24"/>
              </w:rPr>
              <w:t>U sekuritizací s více prodávajícími se vykazuje pouze hodnota odpovídající vykazující instituci nebo přidělená této instituci.</w:t>
            </w:r>
          </w:p>
          <w:p w14:paraId="4F72B55F" w14:textId="77777777" w:rsidR="007266CF" w:rsidRPr="002A677E" w:rsidRDefault="007266CF" w:rsidP="007266CF">
            <w:pPr>
              <w:spacing w:before="0" w:after="0"/>
              <w:jc w:val="left"/>
              <w:rPr>
                <w:rFonts w:ascii="Times New Roman" w:hAnsi="Times New Roman"/>
                <w:sz w:val="24"/>
              </w:rPr>
            </w:pPr>
          </w:p>
        </w:tc>
      </w:tr>
      <w:tr w:rsidR="007266CF" w:rsidRPr="002A677E" w14:paraId="64086961" w14:textId="77777777" w:rsidTr="007266CF">
        <w:tc>
          <w:tcPr>
            <w:tcW w:w="1101" w:type="dxa"/>
          </w:tcPr>
          <w:p w14:paraId="175BED0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3CA1AAAB"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ROZVAHOVÉ POLOŽKY</w:t>
            </w:r>
          </w:p>
          <w:p w14:paraId="211D3CA3"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79ABFCD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V této skupině sloupců se shromažďují údaje o rozvahových položkách rozčleněných podle tranší (přednostní, mezaninové nebo tranše první ztráty).</w:t>
            </w:r>
          </w:p>
          <w:p w14:paraId="5610F80A"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28A5C5A2" w14:textId="77777777" w:rsidTr="007266CF">
        <w:tc>
          <w:tcPr>
            <w:tcW w:w="1101" w:type="dxa"/>
          </w:tcPr>
          <w:p w14:paraId="31BF8E9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1CCE4DB0"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PŘEDNOSTNÍ TRANŠE</w:t>
            </w:r>
          </w:p>
          <w:p w14:paraId="31872511"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404A7401" w14:textId="77777777" w:rsidTr="007266CF">
        <w:tc>
          <w:tcPr>
            <w:tcW w:w="1101" w:type="dxa"/>
          </w:tcPr>
          <w:p w14:paraId="7A9BA42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3FF45C62"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14:paraId="1C88DFB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49FB273A"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Objem sekuritizovaných pozic s vyšší předností ve smyslu čl. 242 odst. 6 nařízení (EU) č. 575/2013.</w:t>
            </w:r>
          </w:p>
          <w:p w14:paraId="431CBB4E"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57C79F6A" w14:textId="77777777" w:rsidTr="007266CF">
        <w:tc>
          <w:tcPr>
            <w:tcW w:w="1101" w:type="dxa"/>
          </w:tcPr>
          <w:p w14:paraId="03512DF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5C5C5FC0"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ZÁCHYTNÝ BOD (%)</w:t>
            </w:r>
          </w:p>
          <w:p w14:paraId="5ED2237D"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3EA861FB"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Záchytný bod (%) podle čl. 256 odst. 1 nařízení (EU) č. 575/2013</w:t>
            </w:r>
          </w:p>
          <w:p w14:paraId="5CC39F6A"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31B50A0C" w14:textId="77777777" w:rsidTr="007266CF">
        <w:tc>
          <w:tcPr>
            <w:tcW w:w="1101" w:type="dxa"/>
          </w:tcPr>
          <w:p w14:paraId="203B93A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0232 a 0252</w:t>
            </w:r>
          </w:p>
        </w:tc>
        <w:tc>
          <w:tcPr>
            <w:tcW w:w="7903" w:type="dxa"/>
          </w:tcPr>
          <w:p w14:paraId="289C47F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STUPEŇ ÚVĚROVÉ KVALITY</w:t>
            </w:r>
          </w:p>
          <w:p w14:paraId="0E815720"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12F8274B"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Stupně úvěrové kvality (CQS) stanovené pro instituce uplatňující přístup SEC-ERBA (článek 263 tabulky 1 a 2 a článek 264 tabulky 3 a 4 nařízení (EU) č. 575/2013). Tyto sloupce se vykazují pro všechny hodnocené transakce bez ohledu na uplatněný přístup.</w:t>
            </w:r>
          </w:p>
          <w:p w14:paraId="5508125B"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0108CFF9" w14:textId="77777777" w:rsidTr="007266CF">
        <w:tc>
          <w:tcPr>
            <w:tcW w:w="1101" w:type="dxa"/>
          </w:tcPr>
          <w:p w14:paraId="094F31C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3E3624DE"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MEZZANINOVÁ TRANŠE</w:t>
            </w:r>
          </w:p>
          <w:p w14:paraId="3E31369C"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19941E9F" w14:textId="77777777" w:rsidTr="007266CF">
        <w:tc>
          <w:tcPr>
            <w:tcW w:w="1101" w:type="dxa"/>
          </w:tcPr>
          <w:p w14:paraId="4A1F3A0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B011B32"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14:paraId="647D2281"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2FA1AACC"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Vykazovaný objem zahrnuje:</w:t>
            </w:r>
          </w:p>
          <w:p w14:paraId="68221838" w14:textId="77777777" w:rsidR="007266CF" w:rsidRPr="002A677E" w:rsidRDefault="007266CF" w:rsidP="00A75C39">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mezaninové sekuritizované pozice ve smyslu čl. 242 bodu 18 nařízení (EU) č. 575/2013,</w:t>
            </w:r>
          </w:p>
          <w:p w14:paraId="7F07FA73" w14:textId="77777777" w:rsidR="007266CF" w:rsidRPr="002A677E" w:rsidRDefault="007266CF" w:rsidP="00A75C39">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další sekuritizované pozice, což nejsou pozice vymezené v čl. 242 bodech 6, 17 nebo 18 nařízení (EU) č. 575/2013.</w:t>
            </w:r>
          </w:p>
          <w:p w14:paraId="7020135F"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01456D86" w14:textId="77777777" w:rsidTr="007266CF">
        <w:tc>
          <w:tcPr>
            <w:tcW w:w="1101" w:type="dxa"/>
          </w:tcPr>
          <w:p w14:paraId="62677E0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0241</w:t>
            </w:r>
          </w:p>
        </w:tc>
        <w:tc>
          <w:tcPr>
            <w:tcW w:w="7903" w:type="dxa"/>
          </w:tcPr>
          <w:p w14:paraId="375A71DD"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POČET TRANŠÍ</w:t>
            </w:r>
          </w:p>
          <w:p w14:paraId="23CF024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57973336"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Počet mezaninových tranší.</w:t>
            </w:r>
          </w:p>
          <w:p w14:paraId="5E947B2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6B9A6A42" w14:textId="77777777" w:rsidTr="007266CF">
        <w:tc>
          <w:tcPr>
            <w:tcW w:w="1101" w:type="dxa"/>
          </w:tcPr>
          <w:p w14:paraId="5F8765C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6859452F"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STUPEŇ ÚVĚROVÉ KVALITY NEJPODŘÍZENĚJŠÍ TRANŠE</w:t>
            </w:r>
          </w:p>
          <w:p w14:paraId="43C00DF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39E49A2B"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Stupeň úvěrové kvality určený v souladu s článkem 263 tabulkou 2 a článkem 264 tabulkou 3 nařízení (EU) č. 575/2013 u nejpodřízenější mezaninové tranše. </w:t>
            </w:r>
          </w:p>
          <w:p w14:paraId="11FB2A82"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333A63EB" w14:textId="77777777" w:rsidTr="007266CF">
        <w:tc>
          <w:tcPr>
            <w:tcW w:w="1101" w:type="dxa"/>
          </w:tcPr>
          <w:p w14:paraId="1DEB463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65F05B9A"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TRANŠE PRVNÍ ZTRÁTY</w:t>
            </w:r>
          </w:p>
          <w:p w14:paraId="50F71DAD"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03967A24" w14:textId="77777777" w:rsidTr="007266CF">
        <w:tc>
          <w:tcPr>
            <w:tcW w:w="1101" w:type="dxa"/>
          </w:tcPr>
          <w:p w14:paraId="621801B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4E05BC8A"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14:paraId="4D1EE0C9"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34A25304"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sz w:val="24"/>
              </w:rPr>
              <w:t>Objem tranše první ztráty ve smyslu čl. 242 bodu 17 nařízení (EU) č. 575/2013</w:t>
            </w:r>
          </w:p>
          <w:p w14:paraId="52578BAE"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1F4C598F" w14:textId="77777777" w:rsidTr="007266CF">
        <w:tc>
          <w:tcPr>
            <w:tcW w:w="1101" w:type="dxa"/>
          </w:tcPr>
          <w:p w14:paraId="3ED8681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0F1DBF8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UVODŇUJÍCÍ BOD (%)</w:t>
            </w:r>
          </w:p>
          <w:p w14:paraId="034965FA"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31D9E9A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Uvolňující bod (%) podle čl. 256 odst. 2 nařízení (EU) č. 575/2013</w:t>
            </w:r>
          </w:p>
          <w:p w14:paraId="0FE6AB7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4D35969B" w14:textId="77777777" w:rsidTr="007266CF">
        <w:tc>
          <w:tcPr>
            <w:tcW w:w="1101" w:type="dxa"/>
          </w:tcPr>
          <w:p w14:paraId="4F14835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0FE6F06" w14:textId="77777777" w:rsidR="007266CF"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STUPEŇ ÚVĚROVÉ KVALITY</w:t>
            </w:r>
          </w:p>
          <w:p w14:paraId="1BF626A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557ADAAC" w14:textId="77777777" w:rsidTr="007266CF">
        <w:tc>
          <w:tcPr>
            <w:tcW w:w="1101" w:type="dxa"/>
          </w:tcPr>
          <w:p w14:paraId="1BDF8C2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6A1097D2"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NADMĚRNÁ KOLATERALIZACE A FINANCOVANÉ FONDOVÉ ÚČTY</w:t>
            </w:r>
          </w:p>
          <w:p w14:paraId="199D4376"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4131B61F" w14:textId="77777777" w:rsidR="007266CF"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Ustanovení čl. 256 odst. 3 a 4 nařízení (EU) č. 575/2013.</w:t>
            </w:r>
          </w:p>
          <w:p w14:paraId="2B249C34" w14:textId="77777777" w:rsidR="007266CF" w:rsidRDefault="007266CF" w:rsidP="007266CF">
            <w:pPr>
              <w:autoSpaceDE w:val="0"/>
              <w:autoSpaceDN w:val="0"/>
              <w:adjustRightInd w:val="0"/>
              <w:spacing w:before="0" w:after="0"/>
              <w:jc w:val="left"/>
              <w:rPr>
                <w:rFonts w:ascii="Times New Roman" w:hAnsi="Times New Roman"/>
                <w:sz w:val="24"/>
              </w:rPr>
            </w:pPr>
          </w:p>
          <w:p w14:paraId="368941AC"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Hodnoty kolateralizace a financovaných fondových účtů nesplňující definici „tranše“ v čl. 2 bodu 6 nařízení (EU) 2017/2402, jež se však považují za tranše pro účely výpočtu záchytného a uvolňujícího bodu v souladu s čl. 256 odst. 3 nařízení (EU) č. 575/2013. </w:t>
            </w:r>
          </w:p>
          <w:p w14:paraId="4AA92199"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62AFFB76" w14:textId="77777777" w:rsidTr="007266CF">
        <w:tc>
          <w:tcPr>
            <w:tcW w:w="1101" w:type="dxa"/>
          </w:tcPr>
          <w:p w14:paraId="6523EE7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2E815B33"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14:paraId="33947DEF"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3E42A1A4" w14:textId="77777777" w:rsidTr="007266CF">
        <w:tc>
          <w:tcPr>
            <w:tcW w:w="1101" w:type="dxa"/>
          </w:tcPr>
          <w:p w14:paraId="144EBC3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B96E4AB"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 TOHO: NEVRATNÁ SLEVA Z KUPNÍ CENY</w:t>
            </w:r>
          </w:p>
          <w:p w14:paraId="56CF3C6D"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674E064D" w14:textId="77777777" w:rsidR="007266CF"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Ustanovení čl. 2 bodu 31 nařízení (EU) 2017/2402 </w:t>
            </w:r>
          </w:p>
          <w:p w14:paraId="3754969C" w14:textId="77777777" w:rsidR="007266CF" w:rsidRDefault="007266CF" w:rsidP="007266CF">
            <w:pPr>
              <w:autoSpaceDE w:val="0"/>
              <w:autoSpaceDN w:val="0"/>
              <w:adjustRightInd w:val="0"/>
              <w:spacing w:before="0" w:after="0"/>
              <w:jc w:val="left"/>
              <w:rPr>
                <w:rFonts w:ascii="Times New Roman" w:hAnsi="Times New Roman"/>
                <w:sz w:val="24"/>
              </w:rPr>
            </w:pPr>
          </w:p>
          <w:p w14:paraId="4322A1F5"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Instituce vykazují nevratnou slevu z kupní ceny v souladu s čl. 269a odst. 7 nařízení (EU) č. 575/2013 k datu vykazování, která se sníží tak, aby byly zohledněny skutečné ztráty, jak je uvedeno ve druhém pododstavci. Tento sloupec se vyplňuje pouze v případě, je-li sloupec 0040 vykázán jako „kvalifikovaná sekuritizace nevýkonných expozic“ nebo „nekvalifikovaná sekuritizace nevýkonných expozic“.</w:t>
            </w:r>
          </w:p>
          <w:p w14:paraId="22AC1231"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4FE025BD" w14:textId="77777777" w:rsidTr="007266CF">
        <w:tc>
          <w:tcPr>
            <w:tcW w:w="1101" w:type="dxa"/>
          </w:tcPr>
          <w:p w14:paraId="1D3FE12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36AC6C9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PODROZVAHOVÉ POLOŽKY A DERIVÁTY</w:t>
            </w:r>
          </w:p>
          <w:p w14:paraId="0FCE4F72"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78CA8E8B"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V této skupině sloupců se shromažďují údaje o podrozvahových položkách a derivátech před uplatněním konverzních faktorů, rozčleněných podle tranší (přednostní, mezaninové nebo tranše první ztráty).</w:t>
            </w:r>
          </w:p>
          <w:p w14:paraId="0DCB6B4D" w14:textId="77777777" w:rsidR="007266CF" w:rsidRPr="002A677E" w:rsidRDefault="007266CF" w:rsidP="007266CF">
            <w:pPr>
              <w:autoSpaceDE w:val="0"/>
              <w:autoSpaceDN w:val="0"/>
              <w:adjustRightInd w:val="0"/>
              <w:spacing w:before="0" w:after="0"/>
              <w:rPr>
                <w:rFonts w:ascii="Times New Roman" w:hAnsi="Times New Roman"/>
                <w:b/>
                <w:sz w:val="24"/>
                <w:u w:val="single"/>
              </w:rPr>
            </w:pPr>
          </w:p>
        </w:tc>
      </w:tr>
      <w:tr w:rsidR="007266CF" w:rsidRPr="002A677E" w14:paraId="19A23281" w14:textId="77777777" w:rsidTr="007266CF">
        <w:tc>
          <w:tcPr>
            <w:tcW w:w="1101" w:type="dxa"/>
          </w:tcPr>
          <w:p w14:paraId="6514A96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0260 - 0285</w:t>
            </w:r>
          </w:p>
        </w:tc>
        <w:tc>
          <w:tcPr>
            <w:tcW w:w="7903" w:type="dxa"/>
          </w:tcPr>
          <w:p w14:paraId="64B4149B" w14:textId="77777777" w:rsidR="007266CF" w:rsidRPr="001235ED"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PŘEDNOSTNÍ/MEZANINOVÉ TRANŠE / TRANŠE PRVNÍ ZTRÁTY</w:t>
            </w:r>
          </w:p>
          <w:p w14:paraId="6B877AFD" w14:textId="77777777" w:rsidR="007266CF" w:rsidRDefault="007266CF" w:rsidP="007266CF">
            <w:pPr>
              <w:autoSpaceDE w:val="0"/>
              <w:autoSpaceDN w:val="0"/>
              <w:adjustRightInd w:val="0"/>
              <w:spacing w:before="0" w:after="0"/>
              <w:rPr>
                <w:rFonts w:ascii="Times New Roman" w:hAnsi="Times New Roman"/>
                <w:sz w:val="24"/>
                <w:lang w:eastAsia="es-ES_tradnl"/>
              </w:rPr>
            </w:pPr>
          </w:p>
          <w:p w14:paraId="47861F5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Platí zde stejná kritéria pro zařazení podle tranší a určení záchytného bodu, počtu tranší a uvolňujícího bodu jako u rozvahových položek (viz pokyny ke sloupcům 0230 až 0252).</w:t>
            </w:r>
          </w:p>
          <w:p w14:paraId="7F6D27F1"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07BBA396" w14:textId="77777777" w:rsidTr="007266CF">
        <w:tc>
          <w:tcPr>
            <w:tcW w:w="1101" w:type="dxa"/>
          </w:tcPr>
          <w:p w14:paraId="7E782C5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634A0F9F"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SYNTETICKÉ NADMĚRNÉ ROZPĚTÍ</w:t>
            </w:r>
          </w:p>
          <w:p w14:paraId="2B46371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3FBBDED2" w14:textId="77777777" w:rsidR="007266CF"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Ustanovení čl. 242 bodu 20, čl. 248 odst. 1 písm. e) a čl. 256 odst. 6 nařízení (EU) č. 575/2013. </w:t>
            </w:r>
          </w:p>
          <w:p w14:paraId="255FEEFD" w14:textId="77777777" w:rsidR="007266CF" w:rsidRPr="00047034" w:rsidRDefault="007266CF" w:rsidP="007266CF">
            <w:pPr>
              <w:autoSpaceDE w:val="0"/>
              <w:autoSpaceDN w:val="0"/>
              <w:adjustRightInd w:val="0"/>
              <w:spacing w:before="0" w:after="0"/>
              <w:jc w:val="left"/>
              <w:rPr>
                <w:rFonts w:ascii="Times New Roman" w:hAnsi="Times New Roman"/>
                <w:sz w:val="24"/>
              </w:rPr>
            </w:pPr>
          </w:p>
          <w:p w14:paraId="6C602B6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Tento sloupec se vyplňuje pouze v případě, je-li sloupec 0110 vykázán jako „původce“.</w:t>
            </w:r>
          </w:p>
          <w:p w14:paraId="406F4520"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5C5AD0D3" w14:textId="77777777" w:rsidTr="007266CF">
        <w:tc>
          <w:tcPr>
            <w:tcW w:w="1101" w:type="dxa"/>
            <w:shd w:val="clear" w:color="auto" w:fill="auto"/>
          </w:tcPr>
          <w:p w14:paraId="447F657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66656EDC"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SPLATNOST</w:t>
            </w:r>
          </w:p>
        </w:tc>
      </w:tr>
      <w:tr w:rsidR="007266CF" w:rsidRPr="002A677E" w14:paraId="7CEFCBBE" w14:textId="77777777" w:rsidTr="007266CF">
        <w:tc>
          <w:tcPr>
            <w:tcW w:w="1101" w:type="dxa"/>
            <w:shd w:val="clear" w:color="auto" w:fill="auto"/>
          </w:tcPr>
          <w:p w14:paraId="230A25DE" w14:textId="77777777" w:rsidR="007266CF" w:rsidRPr="002A677E" w:rsidDel="00304CB1"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75B68C0"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PRVNÍ PŘEDVÍDATELNÉ DATUM UKONČENÍ</w:t>
            </w:r>
          </w:p>
          <w:p w14:paraId="68CE62F1" w14:textId="77777777" w:rsidR="007266CF" w:rsidRPr="002A677E" w:rsidRDefault="007266CF" w:rsidP="007266CF">
            <w:pPr>
              <w:spacing w:before="0" w:after="0"/>
              <w:jc w:val="left"/>
              <w:rPr>
                <w:rFonts w:ascii="Times New Roman" w:hAnsi="Times New Roman"/>
                <w:b/>
                <w:sz w:val="24"/>
                <w:u w:val="single"/>
              </w:rPr>
            </w:pPr>
          </w:p>
          <w:p w14:paraId="50B6A58B"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 xml:space="preserve">Pravděpodobné datum ukončení celé sekuritizace s ohledem na s ní související smluvní ustanovení a aktuálně očekávanou finanční situaci. Obecně se jedná o nejbližší z těchto dat: </w:t>
            </w:r>
          </w:p>
          <w:p w14:paraId="09F9B837" w14:textId="77777777" w:rsidR="007266CF" w:rsidRPr="002A677E" w:rsidRDefault="007266CF" w:rsidP="007266CF">
            <w:pPr>
              <w:spacing w:before="0" w:after="0"/>
              <w:jc w:val="left"/>
              <w:rPr>
                <w:rFonts w:ascii="Times New Roman" w:hAnsi="Times New Roman"/>
                <w:sz w:val="24"/>
              </w:rPr>
            </w:pPr>
          </w:p>
          <w:p w14:paraId="4C1CCCFA"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datum, k němuž může být poprvé uplatněna opce na zpětný odkup (jak je definována v čl. 242 bodě 1 nařízení (EU) č. 575/2013) s ohledem na splatnost podkladové expozice či podkladových expozic a na očekávanou úroveň jejich předčasného splácení nebo případná nová vyjednávání;</w:t>
            </w:r>
          </w:p>
          <w:p w14:paraId="07F0791A" w14:textId="77777777" w:rsidR="007266CF" w:rsidRPr="002A677E" w:rsidRDefault="007266CF" w:rsidP="007266CF">
            <w:pPr>
              <w:spacing w:before="0" w:after="0"/>
              <w:jc w:val="left"/>
              <w:rPr>
                <w:rFonts w:ascii="Times New Roman" w:hAnsi="Times New Roman"/>
                <w:sz w:val="24"/>
              </w:rPr>
            </w:pPr>
          </w:p>
          <w:p w14:paraId="2F628B9A"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datum, k němuž může původce poprvé využít jakoukoli jinou kupní opci uvedenou ve smluvních ustanoveních k sekuritizaci, jejímž výsledkem by bylo úplné splacení sekuritizace.</w:t>
            </w:r>
          </w:p>
          <w:p w14:paraId="72924C6A" w14:textId="77777777" w:rsidR="007266CF" w:rsidRPr="002A677E" w:rsidRDefault="007266CF" w:rsidP="007266CF">
            <w:pPr>
              <w:spacing w:before="0" w:after="0"/>
              <w:jc w:val="left"/>
              <w:rPr>
                <w:rFonts w:ascii="Times New Roman" w:hAnsi="Times New Roman"/>
                <w:sz w:val="24"/>
              </w:rPr>
            </w:pPr>
          </w:p>
          <w:p w14:paraId="718A648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Vykazuje se den, měsíc a rok prvního očekávaného data ukončení.</w:t>
            </w:r>
            <w:r>
              <w:rPr>
                <w:rFonts w:ascii="Times New Roman" w:hAnsi="Times New Roman"/>
              </w:rPr>
              <w:t xml:space="preserve"> </w:t>
            </w:r>
            <w:r>
              <w:rPr>
                <w:rFonts w:ascii="Times New Roman" w:hAnsi="Times New Roman"/>
                <w:sz w:val="24"/>
              </w:rPr>
              <w:t>Přesné datum se vykáže v případě, že je tento údaj k dispozici; v opačném případě se vykáže první den měsíce.</w:t>
            </w:r>
          </w:p>
          <w:p w14:paraId="6540AB12" w14:textId="77777777" w:rsidR="007266CF" w:rsidRPr="002A677E" w:rsidRDefault="007266CF" w:rsidP="007266CF">
            <w:pPr>
              <w:spacing w:before="0" w:after="0"/>
              <w:jc w:val="left"/>
              <w:rPr>
                <w:rFonts w:ascii="Times New Roman" w:hAnsi="Times New Roman"/>
                <w:sz w:val="24"/>
              </w:rPr>
            </w:pPr>
          </w:p>
        </w:tc>
      </w:tr>
      <w:tr w:rsidR="007266CF" w:rsidRPr="002A677E" w14:paraId="14DA0244" w14:textId="77777777" w:rsidTr="007266CF">
        <w:tc>
          <w:tcPr>
            <w:tcW w:w="1101" w:type="dxa"/>
            <w:shd w:val="clear" w:color="auto" w:fill="auto"/>
          </w:tcPr>
          <w:p w14:paraId="1668420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38BA69F3"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KUPNÍ OPCE PŮVODCE ZAHRNUTÉ V TRANSAKCI</w:t>
            </w:r>
          </w:p>
          <w:p w14:paraId="627F73D4" w14:textId="77777777" w:rsidR="007266CF" w:rsidRPr="002A677E" w:rsidRDefault="007266CF" w:rsidP="007266CF">
            <w:pPr>
              <w:spacing w:before="0" w:after="0"/>
              <w:jc w:val="left"/>
              <w:rPr>
                <w:rFonts w:ascii="Times New Roman" w:hAnsi="Times New Roman"/>
                <w:b/>
                <w:sz w:val="24"/>
                <w:u w:val="single"/>
              </w:rPr>
            </w:pPr>
          </w:p>
          <w:p w14:paraId="4E8B8313"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Druhy kupní opce relevantní pro první očekávané datum ukončení:</w:t>
            </w:r>
          </w:p>
          <w:p w14:paraId="593061CB" w14:textId="77777777" w:rsidR="007266CF" w:rsidRPr="002A677E" w:rsidRDefault="007266CF" w:rsidP="00A75C39">
            <w:pPr>
              <w:pStyle w:val="ListParagraph"/>
              <w:numPr>
                <w:ilvl w:val="0"/>
                <w:numId w:val="20"/>
              </w:numPr>
              <w:spacing w:before="0" w:after="0"/>
              <w:jc w:val="left"/>
              <w:rPr>
                <w:rFonts w:ascii="Times New Roman" w:hAnsi="Times New Roman"/>
                <w:sz w:val="24"/>
              </w:rPr>
            </w:pPr>
            <w:r>
              <w:rPr>
                <w:rFonts w:ascii="Times New Roman" w:hAnsi="Times New Roman"/>
                <w:sz w:val="24"/>
              </w:rPr>
              <w:t>opce na zpětný odkup splňující požadavky čl. 244 odst. 4 písm. g) nařízení (EU) č. 575/2013,</w:t>
            </w:r>
          </w:p>
          <w:p w14:paraId="3024862F" w14:textId="77777777" w:rsidR="007266CF" w:rsidRPr="002A677E" w:rsidRDefault="007266CF" w:rsidP="00A75C39">
            <w:pPr>
              <w:pStyle w:val="ListParagraph"/>
              <w:numPr>
                <w:ilvl w:val="0"/>
                <w:numId w:val="20"/>
              </w:numPr>
              <w:spacing w:before="0" w:after="0"/>
              <w:jc w:val="left"/>
              <w:rPr>
                <w:rFonts w:ascii="Times New Roman" w:hAnsi="Times New Roman"/>
                <w:sz w:val="24"/>
              </w:rPr>
            </w:pPr>
            <w:r>
              <w:rPr>
                <w:rFonts w:ascii="Times New Roman" w:hAnsi="Times New Roman"/>
                <w:sz w:val="24"/>
              </w:rPr>
              <w:t>jiná opce na zpětný odkup,</w:t>
            </w:r>
          </w:p>
          <w:p w14:paraId="043C7FF6" w14:textId="77777777" w:rsidR="007266CF" w:rsidRPr="002A677E" w:rsidRDefault="007266CF" w:rsidP="00A75C39">
            <w:pPr>
              <w:pStyle w:val="ListParagraph"/>
              <w:numPr>
                <w:ilvl w:val="0"/>
                <w:numId w:val="20"/>
              </w:numPr>
              <w:spacing w:before="0" w:after="0"/>
              <w:jc w:val="left"/>
              <w:rPr>
                <w:rFonts w:ascii="Times New Roman" w:hAnsi="Times New Roman"/>
                <w:sz w:val="24"/>
              </w:rPr>
            </w:pPr>
            <w:r>
              <w:rPr>
                <w:rFonts w:ascii="Times New Roman" w:hAnsi="Times New Roman"/>
                <w:sz w:val="24"/>
              </w:rPr>
              <w:t>jiný druh kupní opce.</w:t>
            </w:r>
          </w:p>
          <w:p w14:paraId="2005AD67"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4A671E26" w14:textId="77777777" w:rsidTr="007266CF">
        <w:tc>
          <w:tcPr>
            <w:tcW w:w="1101" w:type="dxa"/>
            <w:shd w:val="clear" w:color="auto" w:fill="auto"/>
          </w:tcPr>
          <w:p w14:paraId="0A95A6E0" w14:textId="77777777" w:rsidR="007266CF" w:rsidRPr="002A677E" w:rsidDel="00304CB1"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F8D62"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KONEČNÉ ZÁKONNÉ DATUM SPLATNOSTI</w:t>
            </w:r>
          </w:p>
          <w:p w14:paraId="7D4FB04E" w14:textId="77777777" w:rsidR="007266CF" w:rsidRPr="002A677E" w:rsidRDefault="007266CF" w:rsidP="007266CF">
            <w:pPr>
              <w:spacing w:before="0" w:after="0"/>
              <w:jc w:val="left"/>
              <w:rPr>
                <w:rFonts w:ascii="Times New Roman" w:hAnsi="Times New Roman"/>
                <w:b/>
                <w:sz w:val="24"/>
                <w:u w:val="single"/>
              </w:rPr>
            </w:pPr>
          </w:p>
          <w:p w14:paraId="752B9A04"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lastRenderedPageBreak/>
              <w:t>Datum, k němuž musí být dle zákona splaceny všechny jistiny a úroky spojené se sekuritizací (na základě dokumentace k transakci).</w:t>
            </w:r>
          </w:p>
          <w:p w14:paraId="24C08B0F" w14:textId="77777777" w:rsidR="007266CF" w:rsidRPr="002A677E" w:rsidRDefault="007266CF" w:rsidP="007266CF">
            <w:pPr>
              <w:spacing w:before="0" w:after="0"/>
              <w:jc w:val="left"/>
              <w:rPr>
                <w:rFonts w:ascii="Times New Roman" w:hAnsi="Times New Roman"/>
                <w:sz w:val="24"/>
              </w:rPr>
            </w:pPr>
          </w:p>
          <w:p w14:paraId="09A37ED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Vykazuje se den, měsíc a rok konečného zákonného data splatnosti.</w:t>
            </w:r>
            <w:r>
              <w:rPr>
                <w:rFonts w:ascii="Times New Roman" w:hAnsi="Times New Roman"/>
              </w:rPr>
              <w:t xml:space="preserve"> </w:t>
            </w:r>
            <w:r>
              <w:rPr>
                <w:rFonts w:ascii="Times New Roman" w:hAnsi="Times New Roman"/>
                <w:sz w:val="24"/>
              </w:rPr>
              <w:t>Přesné datum se vykáže v případě, že je tento údaj k dispozici; v opačném případě se vykáže první den měsíce.</w:t>
            </w:r>
          </w:p>
          <w:p w14:paraId="6044CC86" w14:textId="77777777" w:rsidR="007266CF" w:rsidRPr="002A677E" w:rsidRDefault="007266CF" w:rsidP="007266CF">
            <w:pPr>
              <w:spacing w:before="0" w:after="0"/>
              <w:jc w:val="left"/>
              <w:rPr>
                <w:rFonts w:ascii="Times New Roman" w:hAnsi="Times New Roman"/>
                <w:sz w:val="24"/>
              </w:rPr>
            </w:pPr>
          </w:p>
        </w:tc>
      </w:tr>
      <w:tr w:rsidR="007266CF" w:rsidRPr="002A677E" w14:paraId="12216D67" w14:textId="77777777" w:rsidTr="007266CF">
        <w:tc>
          <w:tcPr>
            <w:tcW w:w="1101" w:type="dxa"/>
            <w:shd w:val="clear" w:color="auto" w:fill="auto"/>
          </w:tcPr>
          <w:p w14:paraId="70FC801A"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0302–0304</w:t>
            </w:r>
          </w:p>
        </w:tc>
        <w:tc>
          <w:tcPr>
            <w:tcW w:w="7903" w:type="dxa"/>
            <w:shd w:val="clear" w:color="auto" w:fill="auto"/>
          </w:tcPr>
          <w:p w14:paraId="21CB5FA8"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xml:space="preserve">DOPLŇKOVÉ POLOŽKY </w:t>
            </w:r>
          </w:p>
        </w:tc>
      </w:tr>
      <w:tr w:rsidR="007266CF" w:rsidRPr="002A677E" w14:paraId="532C7454" w14:textId="77777777" w:rsidTr="007266CF">
        <w:tc>
          <w:tcPr>
            <w:tcW w:w="1101" w:type="dxa"/>
            <w:shd w:val="clear" w:color="auto" w:fill="auto"/>
          </w:tcPr>
          <w:p w14:paraId="276EB2D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5CCF4183"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ZÁCHYTNÝ BOD PRODANÉHO RIZIKA (%)</w:t>
            </w:r>
          </w:p>
          <w:p w14:paraId="161117E8" w14:textId="77777777" w:rsidR="007266CF" w:rsidRPr="002A677E" w:rsidRDefault="007266CF" w:rsidP="007266CF">
            <w:pPr>
              <w:spacing w:before="0" w:after="0"/>
              <w:jc w:val="left"/>
              <w:rPr>
                <w:rFonts w:ascii="Times New Roman" w:hAnsi="Times New Roman"/>
                <w:b/>
                <w:sz w:val="24"/>
                <w:u w:val="single"/>
              </w:rPr>
            </w:pPr>
          </w:p>
          <w:p w14:paraId="28CEE68A"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sz w:val="24"/>
              </w:rPr>
              <w:t>Pouze původci vykazují záchytný bod nejpodřízenější tranše prodané třetím stranám u tradičních sekuritizací, nebo chráněné třetími stranami u syntetických sekuritizací.</w:t>
            </w:r>
          </w:p>
          <w:p w14:paraId="246F0C02"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007C4B44" w14:textId="77777777" w:rsidTr="007266CF">
        <w:tc>
          <w:tcPr>
            <w:tcW w:w="1101" w:type="dxa"/>
            <w:shd w:val="clear" w:color="auto" w:fill="auto"/>
          </w:tcPr>
          <w:p w14:paraId="6B779EE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718867E"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UVOLŇUJÍCÍ BOD PRODANÉHO RIZIKA (%)</w:t>
            </w:r>
          </w:p>
          <w:p w14:paraId="32EC89FC" w14:textId="77777777" w:rsidR="007266CF" w:rsidRPr="002A677E" w:rsidRDefault="007266CF" w:rsidP="007266CF">
            <w:pPr>
              <w:spacing w:before="0" w:after="0"/>
              <w:jc w:val="left"/>
              <w:rPr>
                <w:rFonts w:ascii="Times New Roman" w:hAnsi="Times New Roman"/>
                <w:b/>
                <w:sz w:val="24"/>
                <w:u w:val="single"/>
              </w:rPr>
            </w:pPr>
          </w:p>
          <w:p w14:paraId="377645D7"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Pouze původci vykazují uvolňující bod tranše s nejvyšší předností prodané třetím stranám u tradičních sekuritizací, nebo chráněné třetími stranami u syntetických sekuritizací.</w:t>
            </w:r>
          </w:p>
          <w:p w14:paraId="4F6212E9"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76D3EE84" w14:textId="77777777" w:rsidTr="007266CF">
        <w:tc>
          <w:tcPr>
            <w:tcW w:w="1101" w:type="dxa"/>
            <w:shd w:val="clear" w:color="auto" w:fill="auto"/>
          </w:tcPr>
          <w:p w14:paraId="3B60224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720FEEEF"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PŘEVOD RIZIKA NÁROKOVANÝ INSTITUCÍ, KTERÁ JE PŮVODCEM (%)</w:t>
            </w:r>
          </w:p>
          <w:p w14:paraId="684E36C4" w14:textId="77777777" w:rsidR="007266CF" w:rsidRPr="002A677E" w:rsidRDefault="007266CF" w:rsidP="007266CF">
            <w:pPr>
              <w:spacing w:before="0" w:after="0"/>
              <w:jc w:val="left"/>
              <w:rPr>
                <w:rFonts w:ascii="Times New Roman" w:hAnsi="Times New Roman"/>
                <w:b/>
                <w:sz w:val="24"/>
                <w:u w:val="single"/>
              </w:rPr>
            </w:pPr>
          </w:p>
          <w:p w14:paraId="1B97E56E"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 xml:space="preserve">Pouze původci vykazují očekávanou ztrátu (EL) plus neočekávanou ztrátu (UL) u sekuritizovaných aktiv převedených třetím stranám jako procentní podíl celkového EL plus UL. Vykazují se EL a UL podkladových expozic, jež potom budou alokovány přes sekuritizované rozložení toků hotovosti příslušným tranším sekuritizace. U bank podle standardizovaného přístupu je EL specifická úprava o úvěrové riziko sekuritizovaných aktiv a UL je kapitálový požadavek na sekuritizované expozice. </w:t>
            </w:r>
          </w:p>
          <w:p w14:paraId="2D4979D7" w14:textId="77777777" w:rsidR="007266CF" w:rsidRPr="002A677E" w:rsidRDefault="007266CF" w:rsidP="007266CF">
            <w:pPr>
              <w:spacing w:before="0" w:after="0"/>
              <w:jc w:val="left"/>
              <w:rPr>
                <w:rFonts w:ascii="Times New Roman" w:hAnsi="Times New Roman"/>
                <w:b/>
                <w:sz w:val="24"/>
                <w:u w:val="single"/>
              </w:rPr>
            </w:pPr>
          </w:p>
        </w:tc>
      </w:tr>
    </w:tbl>
    <w:p w14:paraId="3B722DBF" w14:textId="77777777" w:rsidR="007266CF" w:rsidRPr="002A677E" w:rsidRDefault="007266CF" w:rsidP="007266CF">
      <w:pPr>
        <w:spacing w:before="0" w:after="0"/>
        <w:jc w:val="left"/>
        <w:rPr>
          <w:rStyle w:val="InstructionsTabelleText"/>
          <w:rFonts w:ascii="Times New Roman" w:hAnsi="Times New Roman"/>
          <w:sz w:val="24"/>
        </w:rPr>
      </w:pPr>
    </w:p>
    <w:p w14:paraId="2651D287" w14:textId="77777777" w:rsidR="007266CF" w:rsidRPr="002A677E" w:rsidRDefault="007266CF" w:rsidP="00A75C39">
      <w:pPr>
        <w:pStyle w:val="Instructionsberschrift2"/>
        <w:numPr>
          <w:ilvl w:val="2"/>
          <w:numId w:val="95"/>
        </w:numPr>
        <w:rPr>
          <w:rFonts w:ascii="Times New Roman" w:hAnsi="Times New Roman" w:cs="Times New Roman"/>
          <w:sz w:val="24"/>
        </w:rPr>
      </w:pPr>
      <w:bookmarkStart w:id="190" w:name="_Toc116026788"/>
      <w:bookmarkStart w:id="191" w:name="_Toc119077945"/>
      <w:r>
        <w:rPr>
          <w:rFonts w:ascii="Times New Roman" w:hAnsi="Times New Roman"/>
          <w:sz w:val="24"/>
        </w:rPr>
        <w:t>C 14.01 – Podrobné údaje o sekuritizacích (SEC DETAILS 2)</w:t>
      </w:r>
      <w:bookmarkEnd w:id="190"/>
      <w:bookmarkEnd w:id="191"/>
    </w:p>
    <w:p w14:paraId="2C064C3A" w14:textId="77777777" w:rsidR="007266CF" w:rsidRPr="002A677E" w:rsidRDefault="007266CF" w:rsidP="007266CF">
      <w:pPr>
        <w:pStyle w:val="InstructionsText2"/>
        <w:numPr>
          <w:ilvl w:val="0"/>
          <w:numId w:val="0"/>
        </w:numPr>
        <w:ind w:left="1353" w:hanging="360"/>
      </w:pPr>
      <w:fldSimple w:instr=" seq paragraphs ">
        <w:r>
          <w:t>118</w:t>
        </w:r>
      </w:fldSimple>
      <w:r>
        <w:t>. Šablona SEC DETAILS 2 se vyplňuje samostatně pro tyto přístupy:</w:t>
      </w:r>
    </w:p>
    <w:p w14:paraId="08A715FB" w14:textId="77777777" w:rsidR="007266CF" w:rsidRPr="006223CC" w:rsidRDefault="007266CF" w:rsidP="007266CF">
      <w:pPr>
        <w:pStyle w:val="InstructionsText2"/>
        <w:numPr>
          <w:ilvl w:val="0"/>
          <w:numId w:val="0"/>
        </w:numPr>
        <w:ind w:left="1353" w:hanging="360"/>
        <w:rPr>
          <w:lang w:val="fr-FR"/>
        </w:rPr>
      </w:pPr>
      <w:r w:rsidRPr="006223CC">
        <w:rPr>
          <w:lang w:val="fr-FR"/>
        </w:rPr>
        <w:t>1) SEC-IRBA,</w:t>
      </w:r>
    </w:p>
    <w:p w14:paraId="0D02E78C" w14:textId="77777777" w:rsidR="007266CF" w:rsidRPr="006223CC" w:rsidRDefault="007266CF" w:rsidP="007266CF">
      <w:pPr>
        <w:pStyle w:val="InstructionsText2"/>
        <w:numPr>
          <w:ilvl w:val="0"/>
          <w:numId w:val="0"/>
        </w:numPr>
        <w:ind w:left="1353" w:hanging="360"/>
        <w:rPr>
          <w:lang w:val="fr-FR"/>
        </w:rPr>
      </w:pPr>
      <w:r w:rsidRPr="006223CC">
        <w:rPr>
          <w:lang w:val="fr-FR"/>
        </w:rPr>
        <w:t>2) SEC-SA,</w:t>
      </w:r>
    </w:p>
    <w:p w14:paraId="4379A387" w14:textId="77777777" w:rsidR="007266CF" w:rsidRPr="006223CC" w:rsidRDefault="007266CF" w:rsidP="007266CF">
      <w:pPr>
        <w:pStyle w:val="InstructionsText2"/>
        <w:numPr>
          <w:ilvl w:val="0"/>
          <w:numId w:val="0"/>
        </w:numPr>
        <w:ind w:left="1353" w:hanging="360"/>
        <w:rPr>
          <w:lang w:val="fr-FR"/>
        </w:rPr>
      </w:pPr>
      <w:r w:rsidRPr="006223CC">
        <w:rPr>
          <w:lang w:val="fr-FR"/>
        </w:rPr>
        <w:t>3) SEC-ERBA,</w:t>
      </w:r>
    </w:p>
    <w:p w14:paraId="2C833854" w14:textId="77777777" w:rsidR="007266CF" w:rsidRPr="006223CC" w:rsidRDefault="007266CF" w:rsidP="007266CF">
      <w:pPr>
        <w:pStyle w:val="InstructionsText2"/>
        <w:numPr>
          <w:ilvl w:val="0"/>
          <w:numId w:val="0"/>
        </w:numPr>
        <w:ind w:left="1353" w:hanging="360"/>
        <w:rPr>
          <w:lang w:val="fr-FR"/>
        </w:rPr>
      </w:pPr>
      <w:r w:rsidRPr="006223CC">
        <w:rPr>
          <w:lang w:val="fr-FR"/>
        </w:rPr>
        <w:t>4) 1 250 %;</w:t>
      </w:r>
    </w:p>
    <w:p w14:paraId="4114B087" w14:textId="77777777" w:rsidR="007266CF" w:rsidRPr="006223CC" w:rsidRDefault="007266CF" w:rsidP="007266CF">
      <w:pPr>
        <w:pStyle w:val="InstructionsText2"/>
        <w:numPr>
          <w:ilvl w:val="0"/>
          <w:numId w:val="0"/>
        </w:numPr>
        <w:ind w:left="1353" w:hanging="360"/>
        <w:rPr>
          <w:lang w:val="fr-FR"/>
        </w:rPr>
      </w:pPr>
      <w:r w:rsidRPr="006223CC">
        <w:rPr>
          <w:lang w:val="fr-FR"/>
        </w:rPr>
        <w:t>5) metoda interního hodnocení,</w:t>
      </w:r>
    </w:p>
    <w:p w14:paraId="51C505DB" w14:textId="77777777" w:rsidR="007266CF" w:rsidRPr="006223CC" w:rsidRDefault="007266CF" w:rsidP="007266CF">
      <w:pPr>
        <w:pStyle w:val="InstructionsText2"/>
        <w:numPr>
          <w:ilvl w:val="0"/>
          <w:numId w:val="0"/>
        </w:numPr>
        <w:ind w:left="1353" w:hanging="360"/>
        <w:rPr>
          <w:lang w:val="fr-FR"/>
        </w:rPr>
      </w:pPr>
      <w:r w:rsidRPr="006223CC">
        <w:rPr>
          <w:lang w:val="fr-FR"/>
        </w:rPr>
        <w:t>6) zvláštní zacházení s přednostními tranšemi kvalifikované sekuritizace nevýkonných expozic.</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7266CF" w:rsidRPr="002A677E" w14:paraId="3A8F2901" w14:textId="77777777" w:rsidTr="007266CF">
        <w:tc>
          <w:tcPr>
            <w:tcW w:w="9004" w:type="dxa"/>
            <w:gridSpan w:val="2"/>
            <w:shd w:val="clear" w:color="auto" w:fill="CCCCCC"/>
          </w:tcPr>
          <w:p w14:paraId="0E7E8218" w14:textId="77777777" w:rsidR="007266CF" w:rsidRPr="006223CC" w:rsidRDefault="007266CF" w:rsidP="007266CF">
            <w:pPr>
              <w:autoSpaceDE w:val="0"/>
              <w:autoSpaceDN w:val="0"/>
              <w:adjustRightInd w:val="0"/>
              <w:spacing w:before="0" w:after="0"/>
              <w:rPr>
                <w:rFonts w:ascii="Times New Roman" w:hAnsi="Times New Roman"/>
                <w:bCs/>
                <w:sz w:val="24"/>
                <w:lang w:val="fr-FR" w:eastAsia="nl-BE"/>
              </w:rPr>
            </w:pPr>
          </w:p>
          <w:p w14:paraId="26519CE6" w14:textId="77777777" w:rsidR="007266CF" w:rsidRPr="002A677E" w:rsidRDefault="007266CF" w:rsidP="007266CF">
            <w:pPr>
              <w:autoSpaceDE w:val="0"/>
              <w:autoSpaceDN w:val="0"/>
              <w:adjustRightInd w:val="0"/>
              <w:spacing w:before="0" w:after="0"/>
              <w:rPr>
                <w:rFonts w:ascii="Times New Roman" w:hAnsi="Times New Roman"/>
                <w:b/>
                <w:bCs/>
                <w:sz w:val="24"/>
              </w:rPr>
            </w:pPr>
            <w:r>
              <w:rPr>
                <w:rFonts w:ascii="Times New Roman" w:hAnsi="Times New Roman"/>
                <w:b/>
                <w:sz w:val="24"/>
              </w:rPr>
              <w:t>Sloupce</w:t>
            </w:r>
          </w:p>
          <w:p w14:paraId="23FCF6A7"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5BE0569C" w14:textId="77777777" w:rsidTr="007266CF">
        <w:tc>
          <w:tcPr>
            <w:tcW w:w="1101" w:type="dxa"/>
          </w:tcPr>
          <w:p w14:paraId="2124D804"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D7FE45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INTERNÍ KÓD</w:t>
            </w:r>
          </w:p>
          <w:p w14:paraId="4E6719F2" w14:textId="77777777" w:rsidR="007266CF" w:rsidRPr="002A677E" w:rsidRDefault="007266CF" w:rsidP="007266CF">
            <w:pPr>
              <w:spacing w:before="0" w:after="0"/>
              <w:jc w:val="left"/>
              <w:rPr>
                <w:rFonts w:ascii="Times New Roman" w:hAnsi="Times New Roman"/>
                <w:sz w:val="24"/>
              </w:rPr>
            </w:pPr>
          </w:p>
          <w:p w14:paraId="645B31E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Interní (alfanumerický) kód, který instituce používá k identifikaci sekuritizace. Interní kód souvisí s identifikátorem sekuritizace.</w:t>
            </w:r>
          </w:p>
          <w:p w14:paraId="19974936"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7653A819" w14:textId="77777777" w:rsidTr="007266CF">
        <w:tc>
          <w:tcPr>
            <w:tcW w:w="1101" w:type="dxa"/>
          </w:tcPr>
          <w:p w14:paraId="48678F24"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47EB243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SEKURITIZACE</w:t>
            </w:r>
          </w:p>
          <w:p w14:paraId="22D8CDB6" w14:textId="77777777" w:rsidR="007266CF" w:rsidRPr="002A677E" w:rsidRDefault="007266CF" w:rsidP="007266CF">
            <w:pPr>
              <w:spacing w:before="0" w:after="0"/>
              <w:jc w:val="left"/>
              <w:rPr>
                <w:rFonts w:ascii="Times New Roman" w:hAnsi="Times New Roman"/>
                <w:sz w:val="24"/>
              </w:rPr>
            </w:pPr>
          </w:p>
          <w:p w14:paraId="72588B6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Kód používaný pro právní registraci sekuritizované pozice, nebo transakce v případě více pozic, jež mohou být vykázány v témže řádku, popřípadě název, pod kterým je sekuritizovaná pozice nebo transakce známa na trhu, není-li takový kód k dispozici, nebo v rámci instituce v případě interní nebo soukromé sekuritizace. Je-li k dispozici mezinárodní identifikační číslo cenných papírů (ISIN), které se udává k veřejným transakcím, uvedou se v tomto sloupci znaky, které jsou společné pro všechny tranše sekuritizace.</w:t>
            </w:r>
          </w:p>
          <w:p w14:paraId="49E87815"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5F1C5B94" w14:textId="77777777" w:rsidTr="007266CF">
        <w:tc>
          <w:tcPr>
            <w:tcW w:w="1101" w:type="dxa"/>
          </w:tcPr>
          <w:p w14:paraId="0264CB8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6FE1E5D1"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SEKURITIZOVANÉ POZICE: PŮVODNÍ EXPOZICE PŘED VYNÁSOBENÍM KONVERZNÍMI FAKTORY</w:t>
            </w:r>
          </w:p>
          <w:p w14:paraId="483A7DF6" w14:textId="77777777" w:rsidR="007266CF" w:rsidRPr="002A677E" w:rsidRDefault="007266CF" w:rsidP="007266CF">
            <w:pPr>
              <w:spacing w:before="0" w:after="0"/>
              <w:jc w:val="left"/>
              <w:rPr>
                <w:rFonts w:ascii="Times New Roman" w:hAnsi="Times New Roman"/>
                <w:sz w:val="24"/>
              </w:rPr>
            </w:pPr>
          </w:p>
          <w:p w14:paraId="06FF1AAA" w14:textId="77777777" w:rsidR="007266CF" w:rsidRPr="002A677E" w:rsidRDefault="007266CF" w:rsidP="007266CF">
            <w:pPr>
              <w:spacing w:before="0" w:after="0"/>
              <w:rPr>
                <w:rFonts w:ascii="Times New Roman" w:hAnsi="Times New Roman"/>
                <w:sz w:val="24"/>
              </w:rPr>
            </w:pPr>
            <w:r>
              <w:rPr>
                <w:rFonts w:ascii="Times New Roman" w:hAnsi="Times New Roman"/>
                <w:sz w:val="24"/>
              </w:rPr>
              <w:t xml:space="preserve">V této skupině sloupců se shromažďují údaje o sekuritizovaných pozicích v členění podle rozvahových/podrozvahových pozic a tranší (přednostní, mezaninové nebo tranše první ztráty) k datu vykazování. </w:t>
            </w:r>
          </w:p>
          <w:p w14:paraId="03AEAC80" w14:textId="77777777" w:rsidR="007266CF" w:rsidRPr="002A677E" w:rsidRDefault="007266CF" w:rsidP="007266CF">
            <w:pPr>
              <w:spacing w:before="0" w:after="0"/>
              <w:jc w:val="left"/>
              <w:rPr>
                <w:rFonts w:ascii="Times New Roman" w:hAnsi="Times New Roman"/>
                <w:sz w:val="24"/>
              </w:rPr>
            </w:pPr>
          </w:p>
        </w:tc>
      </w:tr>
      <w:tr w:rsidR="007266CF" w:rsidRPr="002A677E" w14:paraId="2A3D50B8" w14:textId="77777777" w:rsidTr="007266CF">
        <w:tc>
          <w:tcPr>
            <w:tcW w:w="1101" w:type="dxa"/>
          </w:tcPr>
          <w:p w14:paraId="5DF215A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2B34ABAA"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14:paraId="1EAA5AFF" w14:textId="77777777" w:rsidR="007266CF" w:rsidRPr="002A677E" w:rsidRDefault="007266CF" w:rsidP="007266CF">
            <w:pPr>
              <w:spacing w:before="0" w:after="0"/>
              <w:jc w:val="left"/>
              <w:rPr>
                <w:rFonts w:ascii="Times New Roman" w:hAnsi="Times New Roman"/>
                <w:sz w:val="24"/>
              </w:rPr>
            </w:pPr>
          </w:p>
          <w:p w14:paraId="0871B1FF"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Platí zde stejná kritéria pro zařazení podle tranší jako u sloupců 0230, 0240 a 0250 šablony C 14.00.</w:t>
            </w:r>
          </w:p>
          <w:p w14:paraId="0CC63073" w14:textId="77777777" w:rsidR="007266CF" w:rsidRPr="002A677E" w:rsidRDefault="007266CF" w:rsidP="007266CF">
            <w:pPr>
              <w:spacing w:before="0" w:after="0"/>
              <w:jc w:val="left"/>
              <w:rPr>
                <w:rFonts w:ascii="Times New Roman" w:hAnsi="Times New Roman"/>
                <w:sz w:val="24"/>
              </w:rPr>
            </w:pPr>
          </w:p>
        </w:tc>
      </w:tr>
      <w:tr w:rsidR="007266CF" w:rsidRPr="002A677E" w14:paraId="2C4187A1" w14:textId="77777777" w:rsidTr="007266CF">
        <w:tc>
          <w:tcPr>
            <w:tcW w:w="1101" w:type="dxa"/>
          </w:tcPr>
          <w:p w14:paraId="0D4E6B6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147A1520"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PODROZVAHOVÉ POLOŽKY A DERIVÁTY</w:t>
            </w:r>
          </w:p>
          <w:p w14:paraId="2A891889" w14:textId="77777777" w:rsidR="007266CF" w:rsidRPr="002A677E" w:rsidRDefault="007266CF" w:rsidP="007266CF">
            <w:pPr>
              <w:spacing w:before="0" w:after="0"/>
              <w:jc w:val="left"/>
              <w:rPr>
                <w:rFonts w:ascii="Times New Roman" w:hAnsi="Times New Roman"/>
                <w:sz w:val="24"/>
              </w:rPr>
            </w:pPr>
          </w:p>
          <w:p w14:paraId="687F042D"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Platí zde stejná kritéria pro zařazení podle tranší jako u sloupců 0260 až 0287 šablony C 14.00.</w:t>
            </w:r>
          </w:p>
          <w:p w14:paraId="6BD02C54" w14:textId="77777777" w:rsidR="007266CF" w:rsidRPr="002A677E" w:rsidRDefault="007266CF" w:rsidP="007266CF">
            <w:pPr>
              <w:spacing w:before="0" w:after="0"/>
              <w:jc w:val="left"/>
              <w:rPr>
                <w:rFonts w:ascii="Times New Roman" w:hAnsi="Times New Roman"/>
                <w:sz w:val="24"/>
              </w:rPr>
            </w:pPr>
          </w:p>
        </w:tc>
      </w:tr>
      <w:tr w:rsidR="007266CF" w:rsidRPr="002A677E" w14:paraId="3F6F1F44" w14:textId="77777777" w:rsidTr="007266CF">
        <w:tc>
          <w:tcPr>
            <w:tcW w:w="1101" w:type="dxa"/>
          </w:tcPr>
          <w:p w14:paraId="68FD01B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0351 a 0361</w:t>
            </w:r>
          </w:p>
        </w:tc>
        <w:tc>
          <w:tcPr>
            <w:tcW w:w="7903" w:type="dxa"/>
          </w:tcPr>
          <w:p w14:paraId="4D383F65"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ODPOVÍDAJÍCÍ POSKYTOVATELI/NÁSTROJI ZAJIŠTĚNÍ ÚVĚROVÉHO RIZIKA</w:t>
            </w:r>
          </w:p>
          <w:p w14:paraId="01E4E514"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4534EC82"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RW způsobilého ručitele nebo % RW odpovídajícího nástroje, který poskytuje ochranu úvěrového rizika v souladu s článkem 249 nařízení (EU) č. 575/2013.</w:t>
            </w:r>
          </w:p>
          <w:p w14:paraId="1A621292"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20314F92" w14:textId="77777777" w:rsidTr="007266CF">
        <w:tc>
          <w:tcPr>
            <w:tcW w:w="1101" w:type="dxa"/>
          </w:tcPr>
          <w:p w14:paraId="250F3E5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4D7196C"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SYNTETICKÉ NADMĚRNÉ ROZPĚTÍ</w:t>
            </w:r>
          </w:p>
          <w:p w14:paraId="5AF71634"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541BBE27" w14:textId="77777777" w:rsidR="007266CF"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 xml:space="preserve">Ustanovení čl. 242 bodu 20, čl. 248 odst. 1 písm. e) a čl. 256 odst. 6 nařízení (EU) č. 575/2013.  </w:t>
            </w:r>
          </w:p>
          <w:p w14:paraId="475AC246" w14:textId="77777777" w:rsidR="007266CF" w:rsidRDefault="007266CF" w:rsidP="007266CF">
            <w:pPr>
              <w:autoSpaceDE w:val="0"/>
              <w:autoSpaceDN w:val="0"/>
              <w:adjustRightInd w:val="0"/>
              <w:spacing w:before="0" w:after="0"/>
              <w:jc w:val="left"/>
              <w:rPr>
                <w:rFonts w:ascii="Times New Roman" w:hAnsi="Times New Roman"/>
                <w:sz w:val="24"/>
              </w:rPr>
            </w:pPr>
          </w:p>
          <w:p w14:paraId="7FDBC4AD"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Tento sloupec se vyplňuje pouze v případě, je-li sloupec 0110 vykázán jako „původce“.</w:t>
            </w:r>
          </w:p>
          <w:p w14:paraId="2D152B7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650E2AF6" w14:textId="77777777" w:rsidTr="007266CF">
        <w:tc>
          <w:tcPr>
            <w:tcW w:w="1101" w:type="dxa"/>
          </w:tcPr>
          <w:p w14:paraId="1EC657A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3A1C68D2"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DOPLŇKOVÉ POLOŽKY: PODROZVAHOVÉ POLOŽKY A DERIVÁTY PŘED VYNÁSOBENÍM KONVERZNÍMI FAKTORY</w:t>
            </w:r>
          </w:p>
          <w:p w14:paraId="6EEE1601"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3ECF1CC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této skupině sloupců se uvádějí dodatečné údaje o celkových podrozvahových položkách a derivátech (které jsou již vykázány v jiném rozčlenění ve sloupcích 0340 až 0361).</w:t>
            </w:r>
          </w:p>
          <w:p w14:paraId="2A8FADE0" w14:textId="77777777" w:rsidR="007266CF" w:rsidRPr="002A677E" w:rsidRDefault="007266CF" w:rsidP="007266CF">
            <w:pPr>
              <w:autoSpaceDE w:val="0"/>
              <w:autoSpaceDN w:val="0"/>
              <w:adjustRightInd w:val="0"/>
              <w:spacing w:before="0" w:after="0"/>
              <w:jc w:val="left"/>
              <w:rPr>
                <w:rFonts w:ascii="Times New Roman" w:hAnsi="Times New Roman"/>
                <w:sz w:val="24"/>
              </w:rPr>
            </w:pPr>
          </w:p>
        </w:tc>
      </w:tr>
      <w:tr w:rsidR="007266CF" w:rsidRPr="002A677E" w14:paraId="2CF022A8" w14:textId="77777777" w:rsidTr="007266CF">
        <w:tc>
          <w:tcPr>
            <w:tcW w:w="1101" w:type="dxa"/>
          </w:tcPr>
          <w:p w14:paraId="6B930F3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03BC51E8"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PŘÍMÉ ÚVĚROVÉ SUBSTITUTY</w:t>
            </w:r>
          </w:p>
          <w:p w14:paraId="6A9EF457"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p w14:paraId="6F109D3F" w14:textId="77777777" w:rsidR="007266CF" w:rsidRPr="002A677E" w:rsidRDefault="007266CF" w:rsidP="007266CF">
            <w:pPr>
              <w:spacing w:before="0" w:after="0"/>
              <w:rPr>
                <w:rFonts w:ascii="Times New Roman" w:hAnsi="Times New Roman"/>
                <w:sz w:val="24"/>
              </w:rPr>
            </w:pPr>
            <w:r>
              <w:rPr>
                <w:rFonts w:ascii="Times New Roman" w:hAnsi="Times New Roman"/>
                <w:sz w:val="24"/>
              </w:rPr>
              <w:t>Tento sloupec se týká sekuritizovaných pozic, které drží původce a jež jsou zaručeny přímými úvěrovými substituty.</w:t>
            </w:r>
          </w:p>
          <w:p w14:paraId="6B6D6C73" w14:textId="77777777" w:rsidR="007266CF" w:rsidRPr="002A677E" w:rsidRDefault="007266CF" w:rsidP="007266CF">
            <w:pPr>
              <w:spacing w:before="0" w:after="0"/>
              <w:rPr>
                <w:rFonts w:ascii="Times New Roman" w:hAnsi="Times New Roman"/>
                <w:sz w:val="24"/>
              </w:rPr>
            </w:pPr>
          </w:p>
          <w:p w14:paraId="5FE66DA3" w14:textId="77777777" w:rsidR="007266CF" w:rsidRPr="002A677E" w:rsidRDefault="007266CF" w:rsidP="007266CF">
            <w:pPr>
              <w:spacing w:before="0" w:after="0"/>
              <w:rPr>
                <w:rFonts w:ascii="Times New Roman" w:hAnsi="Times New Roman"/>
                <w:sz w:val="24"/>
              </w:rPr>
            </w:pPr>
            <w:r>
              <w:rPr>
                <w:rFonts w:ascii="Times New Roman" w:hAnsi="Times New Roman"/>
                <w:sz w:val="24"/>
              </w:rPr>
              <w:t>V souladu s přílohou I nařízení (EU) č. 575/2013 se za přímé úvěrové substituty považují tyto podrozvahové položky s vysokým rizikem:</w:t>
            </w:r>
          </w:p>
          <w:p w14:paraId="2608FBC7" w14:textId="77777777" w:rsidR="007266CF" w:rsidRPr="002A677E" w:rsidRDefault="007266CF" w:rsidP="007266CF">
            <w:pPr>
              <w:spacing w:before="0" w:after="0"/>
              <w:rPr>
                <w:rFonts w:ascii="Times New Roman" w:hAnsi="Times New Roman"/>
                <w:sz w:val="24"/>
              </w:rPr>
            </w:pPr>
          </w:p>
          <w:p w14:paraId="41AFDAE8" w14:textId="77777777" w:rsidR="007266CF" w:rsidRPr="002A677E" w:rsidRDefault="007266CF" w:rsidP="007266CF">
            <w:pPr>
              <w:spacing w:before="0" w:after="0"/>
              <w:rPr>
                <w:rFonts w:ascii="Times New Roman" w:hAnsi="Times New Roman"/>
                <w:i/>
                <w:sz w:val="24"/>
              </w:rPr>
            </w:pPr>
            <w:r>
              <w:rPr>
                <w:rFonts w:ascii="Times New Roman" w:hAnsi="Times New Roman"/>
                <w:i/>
                <w:sz w:val="24"/>
              </w:rPr>
              <w:t>— záruky mající charakter úvěrových substitutů,</w:t>
            </w:r>
          </w:p>
          <w:p w14:paraId="126DD96A" w14:textId="77777777" w:rsidR="007266CF" w:rsidRPr="002A677E" w:rsidRDefault="007266CF" w:rsidP="007266CF">
            <w:pPr>
              <w:spacing w:before="0" w:after="0"/>
              <w:rPr>
                <w:rFonts w:ascii="Times New Roman" w:hAnsi="Times New Roman"/>
                <w:i/>
                <w:sz w:val="24"/>
              </w:rPr>
            </w:pPr>
            <w:r>
              <w:rPr>
                <w:rFonts w:ascii="Times New Roman" w:hAnsi="Times New Roman"/>
                <w:i/>
                <w:sz w:val="24"/>
              </w:rPr>
              <w:t>— „neodvolatelné stand-by (záložní) akreditivy mající charakter úvěrových substitutů“.</w:t>
            </w:r>
          </w:p>
          <w:p w14:paraId="1B3A76E6" w14:textId="77777777" w:rsidR="007266CF" w:rsidRPr="002A677E" w:rsidRDefault="007266CF" w:rsidP="007266CF">
            <w:pPr>
              <w:autoSpaceDE w:val="0"/>
              <w:autoSpaceDN w:val="0"/>
              <w:adjustRightInd w:val="0"/>
              <w:spacing w:before="0" w:after="0"/>
              <w:jc w:val="left"/>
              <w:rPr>
                <w:rFonts w:ascii="Times New Roman" w:hAnsi="Times New Roman"/>
                <w:b/>
                <w:sz w:val="24"/>
                <w:u w:val="single"/>
              </w:rPr>
            </w:pPr>
          </w:p>
        </w:tc>
      </w:tr>
      <w:tr w:rsidR="007266CF" w:rsidRPr="002A677E" w14:paraId="157DFEBA" w14:textId="77777777" w:rsidTr="007266CF">
        <w:tc>
          <w:tcPr>
            <w:tcW w:w="1101" w:type="dxa"/>
          </w:tcPr>
          <w:p w14:paraId="136E5D5A"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0C0002C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Úrokové/měnové swapy</w:t>
            </w:r>
          </w:p>
          <w:p w14:paraId="7776CE19" w14:textId="77777777" w:rsidR="007266CF" w:rsidRPr="002A677E" w:rsidRDefault="007266CF" w:rsidP="007266CF">
            <w:pPr>
              <w:spacing w:before="0" w:after="0"/>
              <w:jc w:val="left"/>
              <w:rPr>
                <w:rFonts w:ascii="Times New Roman" w:hAnsi="Times New Roman"/>
                <w:sz w:val="24"/>
              </w:rPr>
            </w:pPr>
          </w:p>
          <w:p w14:paraId="23CD9E6D" w14:textId="77777777" w:rsidR="007266CF" w:rsidRPr="002A677E" w:rsidRDefault="007266CF" w:rsidP="007266CF">
            <w:pPr>
              <w:spacing w:before="0" w:after="0"/>
              <w:rPr>
                <w:rFonts w:ascii="Times New Roman" w:hAnsi="Times New Roman"/>
                <w:sz w:val="24"/>
              </w:rPr>
            </w:pPr>
            <w:r>
              <w:rPr>
                <w:rFonts w:ascii="Times New Roman" w:hAnsi="Times New Roman"/>
                <w:sz w:val="24"/>
              </w:rPr>
              <w:t>IRS znamená úrokové swapy, zatímco CRS znamená měnové swapy. Tyto deriváty jsou vyjmenovány v příloze II nařízení (EU) č. 575/2013.</w:t>
            </w:r>
          </w:p>
          <w:p w14:paraId="2243937E" w14:textId="77777777" w:rsidR="007266CF" w:rsidRPr="002A677E" w:rsidRDefault="007266CF" w:rsidP="007266CF">
            <w:pPr>
              <w:spacing w:before="0" w:after="0"/>
              <w:jc w:val="left"/>
              <w:rPr>
                <w:rFonts w:ascii="Times New Roman" w:hAnsi="Times New Roman"/>
                <w:sz w:val="24"/>
              </w:rPr>
            </w:pPr>
          </w:p>
        </w:tc>
      </w:tr>
      <w:tr w:rsidR="007266CF" w:rsidRPr="002A677E" w14:paraId="0D016F99" w14:textId="77777777" w:rsidTr="007266CF">
        <w:tc>
          <w:tcPr>
            <w:tcW w:w="1101" w:type="dxa"/>
          </w:tcPr>
          <w:p w14:paraId="1DA1D0A8"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63CE818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LIKVIDITNÍ PŘÍSLIBY</w:t>
            </w:r>
          </w:p>
          <w:p w14:paraId="044B7F8C" w14:textId="77777777" w:rsidR="007266CF" w:rsidRPr="002A677E" w:rsidRDefault="007266CF" w:rsidP="007266CF">
            <w:pPr>
              <w:spacing w:before="0" w:after="0"/>
              <w:jc w:val="left"/>
              <w:rPr>
                <w:rFonts w:ascii="Times New Roman" w:hAnsi="Times New Roman"/>
                <w:sz w:val="24"/>
              </w:rPr>
            </w:pPr>
          </w:p>
          <w:p w14:paraId="5F68C220" w14:textId="77777777" w:rsidR="007266CF" w:rsidRPr="002A677E" w:rsidRDefault="007266CF" w:rsidP="007266CF">
            <w:pPr>
              <w:spacing w:before="0" w:after="0"/>
              <w:rPr>
                <w:rFonts w:ascii="Times New Roman" w:hAnsi="Times New Roman"/>
                <w:sz w:val="24"/>
              </w:rPr>
            </w:pPr>
            <w:r>
              <w:rPr>
                <w:rFonts w:ascii="Times New Roman" w:hAnsi="Times New Roman"/>
                <w:sz w:val="24"/>
              </w:rPr>
              <w:t>Likviditní přísliby ve smyslu čl. 242 bodu 3 nařízení (EU) č. 575/2013.</w:t>
            </w:r>
          </w:p>
          <w:p w14:paraId="50EC1C2B" w14:textId="77777777" w:rsidR="007266CF" w:rsidRPr="002A677E" w:rsidRDefault="007266CF" w:rsidP="007266CF">
            <w:pPr>
              <w:spacing w:before="0" w:after="0"/>
              <w:rPr>
                <w:rFonts w:ascii="Times New Roman" w:hAnsi="Times New Roman"/>
                <w:sz w:val="24"/>
              </w:rPr>
            </w:pPr>
          </w:p>
        </w:tc>
      </w:tr>
      <w:tr w:rsidR="007266CF" w:rsidRPr="002A677E" w14:paraId="3ED2C28D" w14:textId="77777777" w:rsidTr="007266CF">
        <w:tc>
          <w:tcPr>
            <w:tcW w:w="1101" w:type="dxa"/>
          </w:tcPr>
          <w:p w14:paraId="0B22E91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55560800"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xml:space="preserve">OSTATNÍ </w:t>
            </w:r>
          </w:p>
          <w:p w14:paraId="607DDB9D" w14:textId="77777777" w:rsidR="007266CF" w:rsidRPr="002A677E" w:rsidRDefault="007266CF" w:rsidP="007266CF">
            <w:pPr>
              <w:spacing w:before="0" w:after="0"/>
              <w:jc w:val="left"/>
              <w:rPr>
                <w:rFonts w:ascii="Times New Roman" w:hAnsi="Times New Roman"/>
                <w:sz w:val="24"/>
              </w:rPr>
            </w:pPr>
          </w:p>
          <w:p w14:paraId="575EFA4A" w14:textId="77777777" w:rsidR="007266CF" w:rsidRPr="002A677E" w:rsidRDefault="007266CF" w:rsidP="007266CF">
            <w:pPr>
              <w:spacing w:before="0" w:after="0"/>
              <w:rPr>
                <w:rFonts w:ascii="Times New Roman" w:hAnsi="Times New Roman"/>
                <w:sz w:val="24"/>
              </w:rPr>
            </w:pPr>
            <w:r>
              <w:rPr>
                <w:rFonts w:ascii="Times New Roman" w:hAnsi="Times New Roman"/>
                <w:sz w:val="24"/>
              </w:rPr>
              <w:t>Zbývající podrozvahové položky.</w:t>
            </w:r>
          </w:p>
          <w:p w14:paraId="71B4C411" w14:textId="77777777" w:rsidR="007266CF" w:rsidRPr="002A677E" w:rsidRDefault="007266CF" w:rsidP="007266CF">
            <w:pPr>
              <w:spacing w:before="0" w:after="0"/>
              <w:jc w:val="left"/>
              <w:rPr>
                <w:rFonts w:ascii="Times New Roman" w:hAnsi="Times New Roman"/>
                <w:sz w:val="24"/>
              </w:rPr>
            </w:pPr>
          </w:p>
        </w:tc>
      </w:tr>
      <w:tr w:rsidR="007266CF" w:rsidRPr="002A677E" w14:paraId="3A756633" w14:textId="77777777" w:rsidTr="007266CF">
        <w:tc>
          <w:tcPr>
            <w:tcW w:w="1101" w:type="dxa"/>
          </w:tcPr>
          <w:p w14:paraId="367E7729"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2CAE34DD"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HODNOTA EXPOZICE</w:t>
            </w:r>
          </w:p>
          <w:p w14:paraId="322EDB60" w14:textId="77777777" w:rsidR="007266CF" w:rsidRPr="002A677E" w:rsidRDefault="007266CF" w:rsidP="007266CF">
            <w:pPr>
              <w:spacing w:before="0" w:after="0"/>
              <w:jc w:val="left"/>
              <w:rPr>
                <w:rFonts w:ascii="Times New Roman" w:hAnsi="Times New Roman"/>
                <w:b/>
                <w:sz w:val="24"/>
                <w:u w:val="single"/>
              </w:rPr>
            </w:pPr>
          </w:p>
          <w:p w14:paraId="4AA2CA97" w14:textId="77777777" w:rsidR="007266CF" w:rsidRPr="002A677E" w:rsidRDefault="007266CF" w:rsidP="007266CF">
            <w:pPr>
              <w:spacing w:before="0" w:after="0"/>
              <w:rPr>
                <w:rFonts w:ascii="Times New Roman" w:hAnsi="Times New Roman"/>
                <w:sz w:val="24"/>
              </w:rPr>
            </w:pPr>
            <w:r>
              <w:rPr>
                <w:rFonts w:ascii="Times New Roman" w:hAnsi="Times New Roman"/>
                <w:sz w:val="24"/>
              </w:rPr>
              <w:t>Tyto údaje souvisejí se sloupcem 0180 šablony CR SEC.</w:t>
            </w:r>
          </w:p>
          <w:p w14:paraId="6242DF17"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7A6D56CD" w14:textId="77777777" w:rsidTr="007266CF">
        <w:tc>
          <w:tcPr>
            <w:tcW w:w="1101" w:type="dxa"/>
          </w:tcPr>
          <w:p w14:paraId="44DE7B22"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626A191"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14:paraId="331105D4" w14:textId="77777777" w:rsidR="007266CF" w:rsidRPr="002A677E" w:rsidRDefault="007266CF" w:rsidP="007266CF">
            <w:pPr>
              <w:spacing w:before="0" w:after="0"/>
              <w:jc w:val="left"/>
              <w:rPr>
                <w:rFonts w:ascii="Times New Roman" w:hAnsi="Times New Roman"/>
                <w:sz w:val="24"/>
              </w:rPr>
            </w:pPr>
          </w:p>
          <w:p w14:paraId="2F195ACD" w14:textId="77777777" w:rsidR="007266CF" w:rsidRPr="002A677E" w:rsidRDefault="007266CF" w:rsidP="007266CF">
            <w:pPr>
              <w:spacing w:before="0" w:after="0"/>
              <w:rPr>
                <w:rFonts w:ascii="Times New Roman" w:hAnsi="Times New Roman"/>
                <w:sz w:val="24"/>
              </w:rPr>
            </w:pPr>
            <w:r>
              <w:rPr>
                <w:rFonts w:ascii="Times New Roman" w:hAnsi="Times New Roman"/>
                <w:sz w:val="24"/>
              </w:rPr>
              <w:t>Tyto údaje souvisejí se sloupcem 0190 šablony CR SEC.</w:t>
            </w:r>
          </w:p>
          <w:p w14:paraId="7ABD3A91" w14:textId="77777777" w:rsidR="007266CF" w:rsidRPr="002A677E" w:rsidRDefault="007266CF" w:rsidP="007266CF">
            <w:pPr>
              <w:spacing w:before="0" w:after="0"/>
              <w:rPr>
                <w:rFonts w:ascii="Times New Roman" w:hAnsi="Times New Roman"/>
                <w:sz w:val="24"/>
              </w:rPr>
            </w:pPr>
          </w:p>
          <w:p w14:paraId="487CD38C" w14:textId="77777777" w:rsidR="007266CF" w:rsidRPr="002A677E" w:rsidRDefault="007266CF" w:rsidP="007266CF">
            <w:pPr>
              <w:spacing w:before="0" w:after="0"/>
              <w:rPr>
                <w:rFonts w:ascii="Times New Roman" w:hAnsi="Times New Roman"/>
                <w:sz w:val="24"/>
              </w:rPr>
            </w:pPr>
            <w:r>
              <w:rPr>
                <w:rFonts w:ascii="Times New Roman" w:hAnsi="Times New Roman"/>
                <w:sz w:val="24"/>
              </w:rPr>
              <w:t>V tomto sloupci se vykazuje záporné číslo.</w:t>
            </w:r>
          </w:p>
          <w:p w14:paraId="77CC79E6" w14:textId="77777777" w:rsidR="007266CF" w:rsidRPr="002A677E" w:rsidRDefault="007266CF" w:rsidP="007266CF">
            <w:pPr>
              <w:spacing w:before="0" w:after="0"/>
              <w:jc w:val="left"/>
              <w:rPr>
                <w:rFonts w:ascii="Times New Roman" w:hAnsi="Times New Roman"/>
                <w:sz w:val="24"/>
              </w:rPr>
            </w:pPr>
          </w:p>
        </w:tc>
      </w:tr>
      <w:tr w:rsidR="007266CF" w:rsidRPr="002A677E" w14:paraId="4A378047" w14:textId="77777777" w:rsidTr="007266CF">
        <w:tc>
          <w:tcPr>
            <w:tcW w:w="1101" w:type="dxa"/>
          </w:tcPr>
          <w:p w14:paraId="4FA7E631" w14:textId="77777777" w:rsidR="007266CF" w:rsidRPr="002A677E" w:rsidDel="00304CB1"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736B90B"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CELKOVÝ OBJEM RIZIKOVĚ VÁŽENÝCH EXPOZIC PŘED UPLATNĚNÍM LIMITU</w:t>
            </w:r>
          </w:p>
          <w:p w14:paraId="0965D3A2" w14:textId="77777777" w:rsidR="007266CF" w:rsidRPr="002A677E" w:rsidRDefault="007266CF" w:rsidP="007266CF">
            <w:pPr>
              <w:spacing w:before="0" w:after="0"/>
              <w:jc w:val="left"/>
              <w:rPr>
                <w:rFonts w:ascii="Times New Roman" w:hAnsi="Times New Roman"/>
                <w:sz w:val="24"/>
              </w:rPr>
            </w:pPr>
          </w:p>
          <w:p w14:paraId="2274B26A" w14:textId="77777777" w:rsidR="007266CF" w:rsidRPr="002A677E" w:rsidRDefault="007266CF" w:rsidP="007266CF">
            <w:pPr>
              <w:spacing w:before="0" w:after="0"/>
              <w:rPr>
                <w:rFonts w:ascii="Times New Roman" w:hAnsi="Times New Roman"/>
                <w:sz w:val="24"/>
              </w:rPr>
            </w:pPr>
            <w:r>
              <w:rPr>
                <w:rFonts w:ascii="Times New Roman" w:hAnsi="Times New Roman"/>
                <w:sz w:val="24"/>
              </w:rPr>
              <w:t>V tomto sloupci se shromažďují údaje o objemu rizikově vážených expozic před uplatněním horního limitu použitelného na sekuritizované pozice podle výpočtu v souladu s částí třetí hlavou II kapitolou 5 oddílem 3 nařízení (EU) č. 575/2013.</w:t>
            </w:r>
          </w:p>
          <w:p w14:paraId="71ED47B3"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 xml:space="preserve"> </w:t>
            </w:r>
          </w:p>
          <w:p w14:paraId="36E48AE6"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lastRenderedPageBreak/>
              <w:t xml:space="preserve">V případě sekuritizací v obchodním portfoliu se vykazuje RWEA týkající se specifického rizika. Viz sloupec 0570 u MKR SA SEC, nebo sloupce 0410 a 0420 (relevantní pro kapitálový požadavek) u MKR SA CTP. </w:t>
            </w:r>
          </w:p>
          <w:p w14:paraId="78B1708B"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3E47249D" w14:textId="77777777" w:rsidTr="007266CF">
        <w:tc>
          <w:tcPr>
            <w:tcW w:w="1101" w:type="dxa"/>
          </w:tcPr>
          <w:p w14:paraId="4E41005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2EB67CDE"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SNÍŽENÍ V DŮSLEDKU HORNÍHO LIMITU RIZIKOVÉ VÁHY</w:t>
            </w:r>
          </w:p>
          <w:p w14:paraId="29E12F22" w14:textId="77777777" w:rsidR="007266CF" w:rsidRPr="002A677E" w:rsidRDefault="007266CF" w:rsidP="007266CF">
            <w:pPr>
              <w:spacing w:before="0" w:after="0"/>
              <w:jc w:val="left"/>
              <w:rPr>
                <w:rFonts w:ascii="Times New Roman" w:hAnsi="Times New Roman"/>
                <w:b/>
                <w:sz w:val="24"/>
                <w:u w:val="single"/>
              </w:rPr>
            </w:pPr>
          </w:p>
          <w:p w14:paraId="3EDA0710"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Články 267 a 269a nařízení (EU) č. 575/2013</w:t>
            </w:r>
          </w:p>
          <w:p w14:paraId="4D4DD73D"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07A4D131" w14:textId="77777777" w:rsidTr="007266CF">
        <w:tc>
          <w:tcPr>
            <w:tcW w:w="1101" w:type="dxa"/>
          </w:tcPr>
          <w:p w14:paraId="4A5472A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24BE4AEE"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 SNÍŽENÍ V DŮSLEDKU CELKOVÉHO HORNÍHO LIMITU</w:t>
            </w:r>
          </w:p>
          <w:p w14:paraId="334D4808" w14:textId="77777777" w:rsidR="007266CF" w:rsidRPr="002A677E" w:rsidRDefault="007266CF" w:rsidP="007266CF">
            <w:pPr>
              <w:spacing w:before="0" w:after="0"/>
              <w:jc w:val="left"/>
              <w:rPr>
                <w:rFonts w:ascii="Times New Roman" w:hAnsi="Times New Roman"/>
                <w:b/>
                <w:sz w:val="24"/>
                <w:u w:val="single"/>
              </w:rPr>
            </w:pPr>
          </w:p>
          <w:p w14:paraId="36D11DE5" w14:textId="77777777" w:rsidR="007266CF" w:rsidRPr="002A677E" w:rsidRDefault="007266CF" w:rsidP="007266CF">
            <w:pPr>
              <w:spacing w:before="0" w:after="0"/>
              <w:jc w:val="left"/>
              <w:rPr>
                <w:rFonts w:ascii="Times New Roman" w:hAnsi="Times New Roman"/>
                <w:sz w:val="24"/>
              </w:rPr>
            </w:pPr>
            <w:r>
              <w:rPr>
                <w:rFonts w:ascii="Times New Roman" w:hAnsi="Times New Roman"/>
                <w:sz w:val="24"/>
              </w:rPr>
              <w:t xml:space="preserve">Články 268 a 269a nařízení (EU) č. 575/2013 </w:t>
            </w:r>
          </w:p>
          <w:p w14:paraId="0F749C82"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02077912" w14:textId="77777777" w:rsidTr="007266CF">
        <w:tc>
          <w:tcPr>
            <w:tcW w:w="1101" w:type="dxa"/>
          </w:tcPr>
          <w:p w14:paraId="58F9ED7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0718A017"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CELKOVÝ OBJEM RIZIKOVĚ VÁŽENÝCH EXPOZIC PO UPLATNĚNÍ HORNÍHO LIMITU</w:t>
            </w:r>
          </w:p>
          <w:p w14:paraId="56C2575D" w14:textId="77777777" w:rsidR="007266CF" w:rsidRPr="002A677E" w:rsidRDefault="007266CF" w:rsidP="007266CF">
            <w:pPr>
              <w:spacing w:before="0" w:after="0"/>
              <w:jc w:val="left"/>
              <w:rPr>
                <w:rFonts w:ascii="Times New Roman" w:hAnsi="Times New Roman"/>
                <w:sz w:val="24"/>
              </w:rPr>
            </w:pPr>
          </w:p>
          <w:p w14:paraId="789E6FC9" w14:textId="77777777" w:rsidR="007266CF" w:rsidRPr="002A677E" w:rsidRDefault="007266CF" w:rsidP="007266CF">
            <w:pPr>
              <w:spacing w:before="0" w:after="0"/>
              <w:rPr>
                <w:rFonts w:ascii="Times New Roman" w:hAnsi="Times New Roman"/>
                <w:sz w:val="24"/>
              </w:rPr>
            </w:pPr>
            <w:r>
              <w:rPr>
                <w:rFonts w:ascii="Times New Roman" w:hAnsi="Times New Roman"/>
                <w:sz w:val="24"/>
              </w:rPr>
              <w:t xml:space="preserve">V tomto sloupci se shromažďují údaje o objemu rizikově vážených expozic po uplatnění horních limitů použitelných na sekuritizované pozice podle výpočtu v souladu s částí třetí hlavou II kapitolou 5 oddílem 3 nařízení (EU) č. 575/2013. </w:t>
            </w:r>
          </w:p>
          <w:p w14:paraId="71336C86" w14:textId="77777777" w:rsidR="007266CF" w:rsidRPr="002A677E" w:rsidRDefault="007266CF" w:rsidP="007266CF">
            <w:pPr>
              <w:spacing w:before="0" w:after="0"/>
              <w:rPr>
                <w:rFonts w:ascii="Times New Roman" w:hAnsi="Times New Roman"/>
                <w:sz w:val="24"/>
              </w:rPr>
            </w:pPr>
          </w:p>
          <w:p w14:paraId="5CD75048" w14:textId="77777777" w:rsidR="007266CF" w:rsidRPr="002A677E" w:rsidRDefault="007266CF" w:rsidP="007266CF">
            <w:pPr>
              <w:spacing w:before="0" w:after="0"/>
              <w:rPr>
                <w:rFonts w:ascii="Times New Roman" w:hAnsi="Times New Roman"/>
                <w:sz w:val="24"/>
              </w:rPr>
            </w:pPr>
            <w:r>
              <w:rPr>
                <w:rFonts w:ascii="Times New Roman" w:hAnsi="Times New Roman"/>
                <w:sz w:val="24"/>
              </w:rPr>
              <w:t>V případě sekuritizací v obchodním portfoliu se vykazuje RWEA týkající se specifického rizika. Viz sloupec 0601 šablony MKR SA SEC nebo sloupec 0450 šablony MKR SA CTP.</w:t>
            </w:r>
          </w:p>
          <w:p w14:paraId="4B2FC0E2" w14:textId="77777777" w:rsidR="007266CF" w:rsidRPr="002A677E" w:rsidRDefault="007266CF" w:rsidP="007266CF">
            <w:pPr>
              <w:spacing w:before="0" w:after="0"/>
              <w:jc w:val="left"/>
              <w:rPr>
                <w:rFonts w:ascii="Times New Roman" w:hAnsi="Times New Roman"/>
                <w:sz w:val="24"/>
              </w:rPr>
            </w:pPr>
          </w:p>
        </w:tc>
      </w:tr>
      <w:tr w:rsidR="007266CF" w:rsidRPr="002A677E" w14:paraId="0F22A56E" w14:textId="77777777" w:rsidTr="007266CF">
        <w:tc>
          <w:tcPr>
            <w:tcW w:w="1101" w:type="dxa"/>
          </w:tcPr>
          <w:p w14:paraId="73BC484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92DDA76"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DOPLŇKOVÉ POLOŽKY</w:t>
            </w:r>
          </w:p>
        </w:tc>
      </w:tr>
      <w:tr w:rsidR="007266CF" w:rsidRPr="006223CC" w14:paraId="0EF107EE" w14:textId="77777777" w:rsidTr="007266CF">
        <w:tc>
          <w:tcPr>
            <w:tcW w:w="1101" w:type="dxa"/>
          </w:tcPr>
          <w:p w14:paraId="3F31282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5BDE4D0A"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OBJEM RIZIKOVĚ VÁŽENÉ EXPOZICE V RÁMCI SEC-ERBA</w:t>
            </w:r>
          </w:p>
          <w:p w14:paraId="7A3E4F8C" w14:textId="77777777" w:rsidR="007266CF" w:rsidRPr="002A677E" w:rsidRDefault="007266CF" w:rsidP="007266CF">
            <w:pPr>
              <w:spacing w:before="0" w:after="0"/>
              <w:jc w:val="left"/>
              <w:rPr>
                <w:rFonts w:ascii="Times New Roman" w:hAnsi="Times New Roman"/>
                <w:b/>
                <w:sz w:val="24"/>
                <w:u w:val="single"/>
              </w:rPr>
            </w:pPr>
          </w:p>
          <w:p w14:paraId="437EA2AC"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 xml:space="preserve">Články 263 a 264 nařízení (EU) č. 575/2013. Tento sloupec se vyplňuje pouze u hodnocených transakcí před uplatněním horního limitu a nevyplňuje se u transakcí v rámci SEC-ERBA. </w:t>
            </w:r>
          </w:p>
          <w:p w14:paraId="6C338137" w14:textId="77777777" w:rsidR="007266CF" w:rsidRPr="006223CC" w:rsidRDefault="007266CF" w:rsidP="007266CF">
            <w:pPr>
              <w:spacing w:before="0" w:after="0"/>
              <w:jc w:val="left"/>
              <w:rPr>
                <w:rFonts w:ascii="Times New Roman" w:hAnsi="Times New Roman"/>
                <w:b/>
                <w:sz w:val="24"/>
                <w:u w:val="single"/>
                <w:lang w:val="fr-FR"/>
              </w:rPr>
            </w:pPr>
          </w:p>
        </w:tc>
      </w:tr>
      <w:tr w:rsidR="007266CF" w:rsidRPr="006223CC" w14:paraId="1BD77DF5" w14:textId="77777777" w:rsidTr="007266CF">
        <w:tc>
          <w:tcPr>
            <w:tcW w:w="1101" w:type="dxa"/>
          </w:tcPr>
          <w:p w14:paraId="4FC9ED2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109B099F" w14:textId="77777777" w:rsidR="007266CF" w:rsidRPr="006223CC" w:rsidRDefault="007266CF" w:rsidP="007266CF">
            <w:pPr>
              <w:spacing w:before="0" w:after="0"/>
              <w:jc w:val="left"/>
              <w:rPr>
                <w:rFonts w:ascii="Times New Roman" w:hAnsi="Times New Roman"/>
                <w:b/>
                <w:sz w:val="24"/>
                <w:u w:val="single"/>
                <w:lang w:val="fr-FR"/>
              </w:rPr>
            </w:pPr>
            <w:r w:rsidRPr="006223CC">
              <w:rPr>
                <w:rFonts w:ascii="Times New Roman" w:hAnsi="Times New Roman"/>
                <w:b/>
                <w:sz w:val="24"/>
                <w:u w:val="single"/>
                <w:lang w:val="fr-FR"/>
              </w:rPr>
              <w:t>OBJEM RIZIKOVĚ VÁŽENÉ EXPOZICE V RÁMCI SEC-SA</w:t>
            </w:r>
          </w:p>
          <w:p w14:paraId="26CCCB31" w14:textId="77777777" w:rsidR="007266CF" w:rsidRPr="006223CC" w:rsidRDefault="007266CF" w:rsidP="007266CF">
            <w:pPr>
              <w:spacing w:before="0" w:after="0"/>
              <w:jc w:val="left"/>
              <w:rPr>
                <w:rFonts w:ascii="Times New Roman" w:hAnsi="Times New Roman"/>
                <w:b/>
                <w:sz w:val="24"/>
                <w:u w:val="single"/>
                <w:lang w:val="fr-FR"/>
              </w:rPr>
            </w:pPr>
          </w:p>
          <w:p w14:paraId="199BD3A5" w14:textId="77777777" w:rsidR="007266CF" w:rsidRPr="006223CC" w:rsidRDefault="007266CF" w:rsidP="007266CF">
            <w:pPr>
              <w:spacing w:before="0" w:after="0"/>
              <w:jc w:val="left"/>
              <w:rPr>
                <w:rFonts w:ascii="Times New Roman" w:hAnsi="Times New Roman"/>
                <w:sz w:val="24"/>
                <w:lang w:val="fr-FR"/>
              </w:rPr>
            </w:pPr>
            <w:r w:rsidRPr="006223CC">
              <w:rPr>
                <w:rFonts w:ascii="Times New Roman" w:hAnsi="Times New Roman"/>
                <w:sz w:val="24"/>
                <w:lang w:val="fr-FR"/>
              </w:rPr>
              <w:t>Články 261 a 262 nařízení (EU) č. 575/2013. Tento sloupec se vyplňuje před uplatněním limitu a nevyplňuje se u transakcí v rámci SEC-SA.</w:t>
            </w:r>
          </w:p>
          <w:p w14:paraId="0A13274D" w14:textId="77777777" w:rsidR="007266CF" w:rsidRPr="006223CC" w:rsidRDefault="007266CF" w:rsidP="007266CF">
            <w:pPr>
              <w:spacing w:before="0" w:after="0"/>
              <w:jc w:val="left"/>
              <w:rPr>
                <w:rFonts w:ascii="Times New Roman" w:hAnsi="Times New Roman"/>
                <w:b/>
                <w:sz w:val="24"/>
                <w:u w:val="single"/>
                <w:lang w:val="fr-FR"/>
              </w:rPr>
            </w:pPr>
          </w:p>
        </w:tc>
      </w:tr>
      <w:tr w:rsidR="007266CF" w:rsidRPr="002A677E" w14:paraId="04684C7E" w14:textId="77777777" w:rsidTr="007266CF">
        <w:tc>
          <w:tcPr>
            <w:tcW w:w="1101" w:type="dxa"/>
            <w:shd w:val="clear" w:color="auto" w:fill="auto"/>
          </w:tcPr>
          <w:p w14:paraId="3507D05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07D02CCA"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SEKURITIZOVANÉ POZICE – OBCHODNÍ PORTFOLIO</w:t>
            </w:r>
          </w:p>
          <w:p w14:paraId="5853080A"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1242FDE1" w14:textId="77777777" w:rsidTr="007266CF">
        <w:tc>
          <w:tcPr>
            <w:tcW w:w="1101" w:type="dxa"/>
            <w:tcBorders>
              <w:top w:val="single" w:sz="4" w:space="0" w:color="auto"/>
              <w:left w:val="single" w:sz="4" w:space="0" w:color="auto"/>
              <w:bottom w:val="single" w:sz="4" w:space="0" w:color="auto"/>
              <w:right w:val="single" w:sz="4" w:space="0" w:color="auto"/>
            </w:tcBorders>
            <w:shd w:val="clear" w:color="auto" w:fill="auto"/>
          </w:tcPr>
          <w:p w14:paraId="304B1D9F" w14:textId="77777777" w:rsidR="007266CF" w:rsidRPr="002A677E" w:rsidDel="00304CB1"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4CBC17CE"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PORTFOLIO OBCHODOVÁNÍ S KORELACÍ, NEBO JINÉ NEŽ PORTFOLIO OBCHODOVÁNÍ S KORELACÍ?</w:t>
            </w:r>
          </w:p>
          <w:p w14:paraId="66EA18C5" w14:textId="77777777" w:rsidR="007266CF" w:rsidRPr="002A677E" w:rsidRDefault="007266CF" w:rsidP="007266CF">
            <w:pPr>
              <w:spacing w:before="0" w:after="0"/>
              <w:jc w:val="left"/>
              <w:rPr>
                <w:rStyle w:val="InstructionsTabelleText"/>
                <w:rFonts w:ascii="Times New Roman" w:hAnsi="Times New Roman"/>
                <w:sz w:val="24"/>
              </w:rPr>
            </w:pPr>
          </w:p>
          <w:p w14:paraId="3DC51CBA" w14:textId="77777777" w:rsidR="007266CF" w:rsidRPr="002A677E" w:rsidRDefault="007266CF" w:rsidP="007266CF">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Instituce vykazují jednu z těchto možností:</w:t>
            </w:r>
          </w:p>
          <w:p w14:paraId="4DEBD945" w14:textId="77777777" w:rsidR="007266CF" w:rsidRPr="002A677E" w:rsidRDefault="007266CF" w:rsidP="007266CF">
            <w:pPr>
              <w:spacing w:before="0" w:after="0"/>
              <w:jc w:val="left"/>
              <w:rPr>
                <w:rStyle w:val="InstructionsTabelleText"/>
                <w:rFonts w:ascii="Times New Roman" w:hAnsi="Times New Roman"/>
                <w:sz w:val="24"/>
              </w:rPr>
            </w:pPr>
            <w:r>
              <w:rPr>
                <w:rStyle w:val="InstructionsTabelleText"/>
                <w:rFonts w:ascii="Times New Roman" w:hAnsi="Times New Roman"/>
                <w:sz w:val="24"/>
              </w:rPr>
              <w:t>„CTP“ – portfolio obchodování s korelací</w:t>
            </w:r>
          </w:p>
          <w:p w14:paraId="6BFB13C4" w14:textId="77777777" w:rsidR="007266CF" w:rsidRPr="002A677E" w:rsidRDefault="007266CF" w:rsidP="007266CF">
            <w:pPr>
              <w:spacing w:before="0" w:after="0"/>
              <w:jc w:val="left"/>
              <w:rPr>
                <w:rStyle w:val="InstructionsTabelleText"/>
                <w:rFonts w:ascii="Times New Roman" w:hAnsi="Times New Roman"/>
                <w:sz w:val="24"/>
              </w:rPr>
            </w:pPr>
            <w:r>
              <w:rPr>
                <w:rStyle w:val="InstructionsTabelleText"/>
                <w:rFonts w:ascii="Times New Roman" w:hAnsi="Times New Roman"/>
                <w:sz w:val="24"/>
              </w:rPr>
              <w:t>„Non-CTP“ – nejedná se o portfolio obchodování s korelací.</w:t>
            </w:r>
          </w:p>
          <w:p w14:paraId="1A322F08" w14:textId="77777777" w:rsidR="007266CF" w:rsidRPr="002A677E" w:rsidRDefault="007266CF" w:rsidP="007266CF">
            <w:pPr>
              <w:spacing w:before="0" w:after="0"/>
              <w:jc w:val="left"/>
              <w:rPr>
                <w:rFonts w:ascii="Times New Roman" w:hAnsi="Times New Roman"/>
                <w:b/>
                <w:sz w:val="24"/>
                <w:u w:val="single"/>
              </w:rPr>
            </w:pPr>
          </w:p>
        </w:tc>
      </w:tr>
      <w:tr w:rsidR="007266CF" w:rsidRPr="002A677E" w14:paraId="5FC6EBF4" w14:textId="77777777" w:rsidTr="007266CF">
        <w:tc>
          <w:tcPr>
            <w:tcW w:w="1101" w:type="dxa"/>
            <w:tcBorders>
              <w:top w:val="single" w:sz="4" w:space="0" w:color="auto"/>
              <w:left w:val="single" w:sz="4" w:space="0" w:color="auto"/>
              <w:bottom w:val="single" w:sz="4" w:space="0" w:color="auto"/>
              <w:right w:val="single" w:sz="4" w:space="0" w:color="auto"/>
            </w:tcBorders>
            <w:shd w:val="clear" w:color="auto" w:fill="auto"/>
          </w:tcPr>
          <w:p w14:paraId="2F126E84" w14:textId="77777777" w:rsidR="007266CF" w:rsidRPr="002A677E" w:rsidDel="00304CB1"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1268642" w14:textId="77777777" w:rsidR="007266CF" w:rsidRPr="002A677E" w:rsidRDefault="007266CF" w:rsidP="007266CF">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ČISTÉ POZICE – DLOUHÉ/KRÁTKÉ</w:t>
            </w:r>
          </w:p>
          <w:p w14:paraId="6DF976AD" w14:textId="77777777" w:rsidR="007266CF" w:rsidRPr="002A677E" w:rsidRDefault="007266CF" w:rsidP="007266CF">
            <w:pPr>
              <w:spacing w:before="0" w:after="0"/>
              <w:jc w:val="left"/>
              <w:rPr>
                <w:rFonts w:ascii="Times New Roman" w:hAnsi="Times New Roman"/>
                <w:b/>
                <w:sz w:val="24"/>
                <w:u w:val="single"/>
              </w:rPr>
            </w:pPr>
          </w:p>
          <w:p w14:paraId="164ACFD9" w14:textId="77777777" w:rsidR="007266CF" w:rsidRPr="002A677E" w:rsidRDefault="007266CF" w:rsidP="007266C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Viz sloupec 0050 šablony MKR SA SEC nebo sloupec 0060 šablony MKR SA CTP. </w:t>
            </w:r>
          </w:p>
          <w:p w14:paraId="4F147B31" w14:textId="77777777" w:rsidR="007266CF" w:rsidRPr="002A677E" w:rsidRDefault="007266CF" w:rsidP="007266CF">
            <w:pPr>
              <w:spacing w:before="0" w:after="0"/>
              <w:jc w:val="left"/>
              <w:rPr>
                <w:rFonts w:ascii="Times New Roman" w:hAnsi="Times New Roman"/>
                <w:b/>
                <w:sz w:val="24"/>
                <w:u w:val="single"/>
              </w:rPr>
            </w:pPr>
          </w:p>
        </w:tc>
      </w:tr>
    </w:tbl>
    <w:p w14:paraId="6D56D1B8" w14:textId="77777777" w:rsidR="007266CF" w:rsidRPr="002A677E" w:rsidRDefault="007266CF" w:rsidP="00A75C39">
      <w:pPr>
        <w:pStyle w:val="ListParagraph"/>
        <w:keepNext/>
        <w:numPr>
          <w:ilvl w:val="1"/>
          <w:numId w:val="39"/>
        </w:numPr>
        <w:spacing w:before="240" w:after="240"/>
        <w:outlineLvl w:val="1"/>
        <w:rPr>
          <w:rFonts w:ascii="Times New Roman" w:hAnsi="Times New Roman"/>
          <w:sz w:val="24"/>
        </w:rPr>
      </w:pPr>
      <w:bookmarkStart w:id="192" w:name="_Toc116026789"/>
      <w:bookmarkStart w:id="193" w:name="_Toc119077946"/>
      <w:r>
        <w:rPr>
          <w:rFonts w:ascii="Times New Roman" w:hAnsi="Times New Roman"/>
          <w:sz w:val="24"/>
        </w:rPr>
        <w:lastRenderedPageBreak/>
        <w:t>Úvěrové riziko protistrany</w:t>
      </w:r>
      <w:bookmarkEnd w:id="192"/>
      <w:bookmarkEnd w:id="193"/>
    </w:p>
    <w:p w14:paraId="36B87721"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194" w:name="_Toc116026790"/>
      <w:bookmarkStart w:id="195" w:name="_Toc119077947"/>
      <w:r>
        <w:rPr>
          <w:rFonts w:ascii="Times New Roman" w:hAnsi="Times New Roman"/>
          <w:sz w:val="24"/>
        </w:rPr>
        <w:t>Oblast působnosti šablon pro úvěrové riziko protistrany</w:t>
      </w:r>
      <w:bookmarkEnd w:id="194"/>
      <w:bookmarkEnd w:id="195"/>
    </w:p>
    <w:p w14:paraId="5DBF0D6B" w14:textId="77777777" w:rsidR="007266CF" w:rsidRPr="002A677E" w:rsidRDefault="007266CF" w:rsidP="007266CF">
      <w:pPr>
        <w:pStyle w:val="InstructionsText2"/>
        <w:numPr>
          <w:ilvl w:val="0"/>
          <w:numId w:val="0"/>
        </w:numPr>
        <w:ind w:left="1353" w:hanging="360"/>
      </w:pPr>
      <w:fldSimple w:instr=" seq paragraphs ">
        <w:r>
          <w:t>119</w:t>
        </w:r>
      </w:fldSimple>
      <w:r>
        <w:t>. Šablony pro úvěrové riziko protistrany zahrnují informace o expozicích podléhajících úvěrovému riziku protistrany podle části třetí hlavy II kapitol 4 a 6 nařízení (EU) č. 575/2013.</w:t>
      </w:r>
    </w:p>
    <w:p w14:paraId="0572B950" w14:textId="77777777" w:rsidR="007266CF" w:rsidRPr="002A677E" w:rsidRDefault="007266CF" w:rsidP="007266CF">
      <w:pPr>
        <w:pStyle w:val="InstructionsText2"/>
        <w:numPr>
          <w:ilvl w:val="0"/>
          <w:numId w:val="0"/>
        </w:numPr>
        <w:ind w:left="1353" w:hanging="360"/>
      </w:pPr>
      <w:fldSimple w:instr=" seq paragraphs ">
        <w:r>
          <w:t>120</w:t>
        </w:r>
      </w:fldSimple>
      <w:r>
        <w:t xml:space="preserve">. Šablony nezahrnují požadavky na kapitál k riziku úvěrových úprav v ocenění (čl. 92 odst. 3 písm. d) a část třetí hlava VI nařízení (EU) č. 575/2013), které se vykazují v šabloně pro riziko úvěrových úprav v ocenění. </w:t>
      </w:r>
    </w:p>
    <w:p w14:paraId="1D3BD3B5" w14:textId="77777777" w:rsidR="007266CF" w:rsidRPr="002A677E" w:rsidRDefault="007266CF" w:rsidP="007266CF">
      <w:pPr>
        <w:pStyle w:val="InstructionsText2"/>
        <w:numPr>
          <w:ilvl w:val="0"/>
          <w:numId w:val="0"/>
        </w:numPr>
        <w:ind w:left="1353" w:hanging="360"/>
      </w:pPr>
      <w:fldSimple w:instr=" seq paragraphs ">
        <w:r>
          <w:t>121</w:t>
        </w:r>
      </w:fldSimple>
      <w:r>
        <w:t>. Expozice úvěrového rizika protistrany vůči ústředním protistranám (část třetí hlava II kapitola 4 a kapitola 6 oddíl 9 nařízení (EU) č. 575/2013) by měly být zahrnuty do údajů o úvěrovém riziku protistrany, není-li uvedeno jinak. V šablonách pro úvěrové riziko protistrany se však nevykazují příspěvky do fondu pro riziko selhání vypočtené v souladu s články 307 až 310 nařízení (EU) č. 575/2013, s výjimkou šablony C 34.10, zejména odpovídajících řádků. Objemy rizikově vážených expozic příspěvků do fondu pro riziko selhání se zpravidla vykazují přímo v šabloně C 02.00, řádku 0460.</w:t>
      </w:r>
    </w:p>
    <w:p w14:paraId="1B358F96"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196" w:name="_Toc116026791"/>
      <w:bookmarkStart w:id="197" w:name="_Toc119077948"/>
      <w:r>
        <w:rPr>
          <w:rFonts w:ascii="Times New Roman" w:hAnsi="Times New Roman"/>
          <w:sz w:val="24"/>
        </w:rPr>
        <w:t>C 34.01 – Objem derivátových obchodů</w:t>
      </w:r>
      <w:bookmarkEnd w:id="196"/>
      <w:bookmarkEnd w:id="197"/>
    </w:p>
    <w:p w14:paraId="70D2363F"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198" w:name="_Toc116026792"/>
      <w:bookmarkStart w:id="199" w:name="_Toc119077949"/>
      <w:r>
        <w:rPr>
          <w:rFonts w:ascii="Times New Roman" w:hAnsi="Times New Roman"/>
          <w:sz w:val="24"/>
        </w:rPr>
        <w:t>Obecné poznámky</w:t>
      </w:r>
      <w:bookmarkEnd w:id="198"/>
      <w:bookmarkEnd w:id="199"/>
    </w:p>
    <w:p w14:paraId="4B77F709" w14:textId="77777777" w:rsidR="007266CF" w:rsidRPr="002A677E" w:rsidRDefault="007266CF" w:rsidP="007266CF">
      <w:pPr>
        <w:pStyle w:val="InstructionsText2"/>
        <w:numPr>
          <w:ilvl w:val="0"/>
          <w:numId w:val="0"/>
        </w:numPr>
        <w:ind w:left="1353" w:hanging="360"/>
      </w:pPr>
      <w:fldSimple w:instr=" seq paragraphs ">
        <w:r>
          <w:t>122</w:t>
        </w:r>
      </w:fldSimple>
      <w:r>
        <w:t>. V souladu s článkem 273a nařízení (EU) č. 575/2013 může instituce vypočítat hodnotu expozice svých derivátových pozic metodou stanovenou v části třetí hlavě II kapitole 6 oddíle 4 nebo 5 nařízení (EU) č. 575/2013 za předpokladu, že objem jejích rozvahových derivátových obchodů je roven předem stanoveným prahovým hodnotám nebo je menší než tyto hodnoty u podrozvahových derivátových obchodů. Příslušné posouzení se provádí měsíčně s použitím údajů k poslednímu dni v měsíci. V této šabloně jsou uvedeny informace o dodržování daných prahových hodnot a obecněji důležité informace o objemu derivátových obchodů.</w:t>
      </w:r>
    </w:p>
    <w:p w14:paraId="544D00B1" w14:textId="77777777" w:rsidR="007266CF" w:rsidRPr="002A677E" w:rsidRDefault="007266CF" w:rsidP="007266CF">
      <w:pPr>
        <w:pStyle w:val="InstructionsText2"/>
        <w:numPr>
          <w:ilvl w:val="0"/>
          <w:numId w:val="0"/>
        </w:numPr>
        <w:ind w:left="1353" w:hanging="360"/>
      </w:pPr>
      <w:fldSimple w:instr=" seq paragraphs ">
        <w:r>
          <w:t>123</w:t>
        </w:r>
      </w:fldSimple>
      <w:r>
        <w:t>. Údaje „měsíc 1“, „měsíc 2“ a „měsíc 3“ odkazují na první, druhý a poslední měsíc vykazovaného čtvrtletí. Informace se vykazují pouze za konce měsíců po 28. červnu 2021.</w:t>
      </w:r>
    </w:p>
    <w:p w14:paraId="292059C6"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00" w:name="_Toc116026793"/>
      <w:bookmarkStart w:id="201" w:name="_Toc119077950"/>
      <w:r>
        <w:rPr>
          <w:rFonts w:ascii="Times New Roman" w:hAnsi="Times New Roman"/>
          <w:sz w:val="24"/>
        </w:rPr>
        <w:t>Pokyny pro konkrétní pozice</w:t>
      </w:r>
      <w:bookmarkEnd w:id="200"/>
      <w:bookmarkEnd w:id="20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7266CF" w:rsidRPr="002A677E" w14:paraId="58B5746F" w14:textId="77777777" w:rsidTr="007266CF">
        <w:tc>
          <w:tcPr>
            <w:tcW w:w="851" w:type="dxa"/>
            <w:gridSpan w:val="2"/>
            <w:shd w:val="clear" w:color="auto" w:fill="CCCCCC"/>
          </w:tcPr>
          <w:p w14:paraId="5920C1BE"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Sloupce</w:t>
            </w:r>
          </w:p>
        </w:tc>
      </w:tr>
      <w:tr w:rsidR="007266CF" w:rsidRPr="002A677E" w14:paraId="2111A1C5" w14:textId="77777777" w:rsidTr="007266CF">
        <w:tc>
          <w:tcPr>
            <w:tcW w:w="851" w:type="dxa"/>
          </w:tcPr>
          <w:p w14:paraId="44409B1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7D89C5B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DLOUHÉ DERIVÁTOVÉ POZICE</w:t>
            </w:r>
          </w:p>
          <w:p w14:paraId="29732F49" w14:textId="77777777" w:rsidR="007266CF" w:rsidRPr="002A677E" w:rsidRDefault="007266CF" w:rsidP="007266CF">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Ustanovení čl. 273a odst. 3 nařízení (EU) č. 575/2013</w:t>
            </w:r>
          </w:p>
          <w:p w14:paraId="42E9DEB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Vykazuje se součet absolutních tržních hodnot dlouhých derivátových pozic k poslednímu dni měsíce.</w:t>
            </w:r>
          </w:p>
        </w:tc>
      </w:tr>
      <w:tr w:rsidR="007266CF" w:rsidRPr="002A677E" w14:paraId="3388E2A5" w14:textId="77777777" w:rsidTr="007266CF">
        <w:tc>
          <w:tcPr>
            <w:tcW w:w="851" w:type="dxa"/>
          </w:tcPr>
          <w:p w14:paraId="3C77B82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0020,0050,</w:t>
            </w:r>
          </w:p>
          <w:p w14:paraId="57E0120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08" w:type="dxa"/>
          </w:tcPr>
          <w:p w14:paraId="4A212F73"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KRÁTKÉ DERIVÁTOVÉ POZICE</w:t>
            </w:r>
          </w:p>
          <w:p w14:paraId="7626277D" w14:textId="77777777" w:rsidR="007266CF" w:rsidRPr="002A677E" w:rsidRDefault="007266CF" w:rsidP="007266CF">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lastRenderedPageBreak/>
              <w:t>Ustanovení čl. 273a odst. 3 nařízení (EU) č. 575/2013</w:t>
            </w:r>
          </w:p>
          <w:p w14:paraId="30C5E90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Vykazuje se součet absolutních tržních hodnot krátkých derivátových pozic k poslednímu dni měsíce.</w:t>
            </w:r>
          </w:p>
        </w:tc>
      </w:tr>
      <w:tr w:rsidR="007266CF" w:rsidRPr="002A677E" w14:paraId="3CE0E8FB" w14:textId="77777777" w:rsidTr="007266CF">
        <w:tc>
          <w:tcPr>
            <w:tcW w:w="851" w:type="dxa"/>
          </w:tcPr>
          <w:p w14:paraId="256BA38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0030,0060,</w:t>
            </w:r>
          </w:p>
          <w:p w14:paraId="2D6CD50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4335FBE2"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CELKEM</w:t>
            </w:r>
          </w:p>
          <w:p w14:paraId="090CF4BB"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3 písm. b) </w:t>
            </w:r>
            <w:r>
              <w:rPr>
                <w:rFonts w:ascii="Times New Roman" w:hAnsi="Times New Roman"/>
                <w:sz w:val="24"/>
              </w:rPr>
              <w:t>nařízení (EU) č. 575/2013</w:t>
            </w:r>
          </w:p>
          <w:p w14:paraId="5115656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Součet absolutní hodnoty dlouhých derivátových pozic a absolutní hodnoty krátkých derivátových pozic</w:t>
            </w:r>
          </w:p>
        </w:tc>
      </w:tr>
    </w:tbl>
    <w:p w14:paraId="1B56AB9E" w14:textId="77777777" w:rsidR="007266CF" w:rsidRPr="002A677E" w:rsidRDefault="007266CF" w:rsidP="007266CF">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7266CF" w:rsidRPr="002A677E" w14:paraId="6A34D4E7" w14:textId="77777777" w:rsidTr="007266CF">
        <w:tc>
          <w:tcPr>
            <w:tcW w:w="9039" w:type="dxa"/>
            <w:gridSpan w:val="2"/>
            <w:shd w:val="clear" w:color="auto" w:fill="CCCCCC"/>
          </w:tcPr>
          <w:p w14:paraId="67029C58"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Řádky</w:t>
            </w:r>
          </w:p>
        </w:tc>
      </w:tr>
      <w:tr w:rsidR="007266CF" w:rsidRPr="002A677E" w14:paraId="6524BFF6" w14:textId="77777777" w:rsidTr="007266CF">
        <w:tc>
          <w:tcPr>
            <w:tcW w:w="852" w:type="dxa"/>
          </w:tcPr>
          <w:p w14:paraId="07D8823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1807C807"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 derivátových obchodů</w:t>
            </w:r>
          </w:p>
          <w:p w14:paraId="7D9184CA" w14:textId="77777777" w:rsidR="007266CF" w:rsidRPr="002A677E" w:rsidRDefault="007266CF" w:rsidP="007266CF">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Ustanovení čl. 273a odst. 3 </w:t>
            </w:r>
            <w:r>
              <w:rPr>
                <w:rFonts w:ascii="Times New Roman" w:hAnsi="Times New Roman"/>
                <w:sz w:val="24"/>
              </w:rPr>
              <w:t>nařízení (EU) č. 575/2013</w:t>
            </w:r>
          </w:p>
          <w:p w14:paraId="52A027D4"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Zahrnou se všechny rozvahové a podrozvahové deriváty s výjimkou úvěrových derivátů, které jsou uznány jako vnitřní zajištění vůči expozicím úvěrového rizika v investičním portfoliu.</w:t>
            </w:r>
          </w:p>
        </w:tc>
      </w:tr>
      <w:tr w:rsidR="007266CF" w:rsidRPr="002A677E" w14:paraId="7DC7292C" w14:textId="77777777" w:rsidTr="007266CF">
        <w:tc>
          <w:tcPr>
            <w:tcW w:w="852" w:type="dxa"/>
          </w:tcPr>
          <w:p w14:paraId="4DE5394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6DD41F4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Rozvahové a podrozvahové deriváty</w:t>
            </w:r>
          </w:p>
          <w:p w14:paraId="7DBFEA1C"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3 písm. a) a  b) </w:t>
            </w:r>
            <w:r>
              <w:rPr>
                <w:rFonts w:ascii="Times New Roman" w:hAnsi="Times New Roman"/>
                <w:sz w:val="24"/>
              </w:rPr>
              <w:t>nařízení (EU) č. 575/2013</w:t>
            </w:r>
          </w:p>
          <w:p w14:paraId="46852AC9"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Vykazuje se celková tržní hodnota rozvahových a podrozvahových derivátových pozic k poslednímu dni měsíce.</w:t>
            </w:r>
            <w:r>
              <w:rPr>
                <w:rFonts w:ascii="Times New Roman" w:hAnsi="Times New Roman"/>
                <w:sz w:val="24"/>
              </w:rPr>
              <w:t xml:space="preserve"> Není-li tržní hodnota určité pozice k danému dni k dispozici, použijí instituce reálnou hodnotu této pozice k danému dni; pokud k danému dni není k dispozici tržní ani reálná hodnota, použijí instituce tu tržní nebo reálnou hodnotu dané pozice, která je nejaktuálnější.</w:t>
            </w:r>
          </w:p>
        </w:tc>
      </w:tr>
      <w:tr w:rsidR="007266CF" w:rsidRPr="002A677E" w14:paraId="43E1F52A" w14:textId="77777777" w:rsidTr="007266CF">
        <w:tc>
          <w:tcPr>
            <w:tcW w:w="852" w:type="dxa"/>
          </w:tcPr>
          <w:p w14:paraId="5C837A1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3AF09190"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 Úvěrové deriváty, které jsou uznány jako vnitřní zajištění vůči expozicím úvěrového rizika v investičním portfoliu</w:t>
            </w:r>
          </w:p>
          <w:p w14:paraId="3A0D11C9"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3 písm. c) </w:t>
            </w:r>
            <w:r>
              <w:rPr>
                <w:rFonts w:ascii="Times New Roman" w:hAnsi="Times New Roman"/>
                <w:sz w:val="24"/>
              </w:rPr>
              <w:t>nařízení (EU) č. 575/2013</w:t>
            </w:r>
          </w:p>
          <w:p w14:paraId="2270290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Celková tržní hodnota úvěrových derivátů, které jsou uznány jako vnitřní zajištění vůči expozicím úvěrového rizika v investičním portfoliu</w:t>
            </w:r>
          </w:p>
        </w:tc>
      </w:tr>
      <w:tr w:rsidR="007266CF" w:rsidRPr="002A677E" w14:paraId="543D0137" w14:textId="77777777" w:rsidTr="007266CF">
        <w:tc>
          <w:tcPr>
            <w:tcW w:w="852" w:type="dxa"/>
          </w:tcPr>
          <w:p w14:paraId="4E87120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2ECB016A"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celkem</w:t>
            </w:r>
          </w:p>
          <w:p w14:paraId="3D0210CE"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Celková hodnota aktiv v souladu s platnými účetními standardy</w:t>
            </w:r>
          </w:p>
          <w:p w14:paraId="134B8BC0" w14:textId="77777777" w:rsidR="007266CF" w:rsidRPr="002A677E" w:rsidRDefault="007266CF" w:rsidP="007266CF">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Pro účely konsolidovaného vykazování instituce vykazuje celková aktiva v rámci působnosti obezřetnostní konsolidace v souladu s částí první hlavou II kapitolou 2 oddílem 2 </w:t>
            </w:r>
            <w:r>
              <w:rPr>
                <w:rFonts w:ascii="Times New Roman" w:hAnsi="Times New Roman"/>
                <w:sz w:val="24"/>
              </w:rPr>
              <w:t>nařízení (EU) č. 575/2013</w:t>
            </w:r>
            <w:r>
              <w:rPr>
                <w:rStyle w:val="InstructionsTabelleberschrift"/>
                <w:rFonts w:ascii="Times New Roman" w:hAnsi="Times New Roman"/>
                <w:b w:val="0"/>
                <w:sz w:val="24"/>
                <w:u w:val="none"/>
              </w:rPr>
              <w:t>.</w:t>
            </w:r>
          </w:p>
        </w:tc>
      </w:tr>
      <w:tr w:rsidR="007266CF" w:rsidRPr="002A677E" w14:paraId="1D9F4055" w14:textId="77777777" w:rsidTr="007266CF">
        <w:tc>
          <w:tcPr>
            <w:tcW w:w="852" w:type="dxa"/>
          </w:tcPr>
          <w:p w14:paraId="43648B3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033DE74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Procentní podíl celkových aktiv</w:t>
            </w:r>
          </w:p>
          <w:p w14:paraId="78DEFD10" w14:textId="77777777" w:rsidR="007266CF" w:rsidRPr="002A677E" w:rsidRDefault="007266CF" w:rsidP="007266CF">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Tento podíl se vypočítá podle následujícího vzorce: objem derivátových obchodů (řádek 0010) děleno celkovou hodnotou aktiv (řádek 0040). </w:t>
            </w:r>
          </w:p>
        </w:tc>
      </w:tr>
      <w:tr w:rsidR="007266CF" w:rsidRPr="002A677E" w14:paraId="52C4F0BE" w14:textId="77777777" w:rsidTr="007266CF">
        <w:tc>
          <w:tcPr>
            <w:tcW w:w="9039" w:type="dxa"/>
            <w:gridSpan w:val="2"/>
            <w:shd w:val="clear" w:color="auto" w:fill="A6A6A6" w:themeFill="background1" w:themeFillShade="A6"/>
          </w:tcPr>
          <w:p w14:paraId="0173CE7B"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lastRenderedPageBreak/>
              <w:t xml:space="preserve">ODCHYLKA PODLE ČL. 273a ODST. 4 </w:t>
            </w:r>
            <w:r>
              <w:rPr>
                <w:rFonts w:ascii="Times New Roman" w:hAnsi="Times New Roman"/>
                <w:b/>
                <w:sz w:val="24"/>
                <w:u w:val="single"/>
              </w:rPr>
              <w:t>NAŘÍZENÍ (EU) Č.</w:t>
            </w:r>
            <w:r>
              <w:rPr>
                <w:rFonts w:ascii="Times New Roman" w:hAnsi="Times New Roman"/>
                <w:b/>
                <w:sz w:val="24"/>
              </w:rPr>
              <w:t> 575/2013</w:t>
            </w:r>
          </w:p>
        </w:tc>
      </w:tr>
      <w:tr w:rsidR="007266CF" w:rsidRPr="002A677E" w14:paraId="4117FC6A" w14:textId="77777777" w:rsidTr="007266CF">
        <w:trPr>
          <w:trHeight w:val="3003"/>
        </w:trPr>
        <w:tc>
          <w:tcPr>
            <w:tcW w:w="852" w:type="dxa"/>
          </w:tcPr>
          <w:p w14:paraId="68547B5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0C0DC25B"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Jsou splněny podmínky čl. 273a odst. 4 </w:t>
            </w:r>
            <w:r>
              <w:rPr>
                <w:rFonts w:ascii="Times New Roman" w:hAnsi="Times New Roman"/>
                <w:sz w:val="24"/>
              </w:rPr>
              <w:t>nařízení (EU) č. 575/2013</w:t>
            </w:r>
            <w:r>
              <w:rPr>
                <w:rStyle w:val="InstructionsTabelleberschrift"/>
                <w:rFonts w:ascii="Times New Roman" w:hAnsi="Times New Roman"/>
                <w:sz w:val="24"/>
              </w:rPr>
              <w:t>, včetně souhlasu příslušného orgánu?</w:t>
            </w:r>
          </w:p>
          <w:p w14:paraId="06E5E48B"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4 </w:t>
            </w:r>
            <w:r>
              <w:rPr>
                <w:rFonts w:ascii="Times New Roman" w:hAnsi="Times New Roman"/>
                <w:sz w:val="24"/>
              </w:rPr>
              <w:t>nařízení (EU) č. 575/2013</w:t>
            </w:r>
          </w:p>
          <w:p w14:paraId="3C7D66E9"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které překračují prahové hodnoty pro použití zjednodušeného přístupu k úvěrovému riziku protistrany, ale stále používají jednu z nich na základě čl. 273a odst. 4 </w:t>
            </w:r>
            <w:r>
              <w:rPr>
                <w:rFonts w:ascii="Times New Roman" w:hAnsi="Times New Roman"/>
                <w:sz w:val="24"/>
              </w:rPr>
              <w:t xml:space="preserve">nařízení (EU) č. 575/2013, </w:t>
            </w:r>
            <w:r>
              <w:rPr>
                <w:rStyle w:val="InstructionsTabelleberschrift"/>
                <w:rFonts w:ascii="Times New Roman" w:hAnsi="Times New Roman"/>
                <w:b w:val="0"/>
                <w:sz w:val="24"/>
                <w:u w:val="none"/>
              </w:rPr>
              <w:t>uvedou, zda splňují všechny podmínky uvedeného článku (ano/ne).</w:t>
            </w:r>
          </w:p>
          <w:p w14:paraId="31E1DE40" w14:textId="77777777" w:rsidR="007266CF" w:rsidRPr="002A677E" w:rsidRDefault="007266CF" w:rsidP="007266CF">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Tuto položku vykazují pouze instituce, které uplatňují odchylku v souladu s čl. 273a odst. 4 </w:t>
            </w:r>
            <w:r>
              <w:rPr>
                <w:rFonts w:ascii="Times New Roman" w:hAnsi="Times New Roman"/>
                <w:sz w:val="24"/>
              </w:rPr>
              <w:t>nařízení (EU) č. 575/2013</w:t>
            </w:r>
            <w:r>
              <w:rPr>
                <w:rStyle w:val="InstructionsTabelleberschrift"/>
                <w:rFonts w:ascii="Times New Roman" w:hAnsi="Times New Roman"/>
                <w:b w:val="0"/>
                <w:sz w:val="24"/>
                <w:u w:val="none"/>
              </w:rPr>
              <w:t>.</w:t>
            </w:r>
          </w:p>
        </w:tc>
      </w:tr>
      <w:tr w:rsidR="007266CF" w:rsidRPr="002A677E" w14:paraId="23C87211" w14:textId="77777777" w:rsidTr="007266CF">
        <w:tc>
          <w:tcPr>
            <w:tcW w:w="852" w:type="dxa"/>
          </w:tcPr>
          <w:p w14:paraId="503B4D1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E0867D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výpočtu hodnot expozice na konsolidované úrovni</w:t>
            </w:r>
          </w:p>
          <w:p w14:paraId="73851EDD"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4 </w:t>
            </w:r>
            <w:r>
              <w:rPr>
                <w:rFonts w:ascii="Times New Roman" w:hAnsi="Times New Roman"/>
                <w:sz w:val="24"/>
              </w:rPr>
              <w:t>nařízení (EU) č. 575/2013</w:t>
            </w:r>
          </w:p>
          <w:p w14:paraId="54FDEA1D"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Metoda výpočtu hodnot expozice derivátových pozic na konsolidovaném základě, která se používá rovněž na úrovni jednotlivých subjektů v souladu s čl. 273a odst. 4 </w:t>
            </w:r>
            <w:r>
              <w:rPr>
                <w:rFonts w:ascii="Times New Roman" w:hAnsi="Times New Roman"/>
                <w:sz w:val="24"/>
              </w:rPr>
              <w:t>nařízení (EU) č. 575/2013</w:t>
            </w:r>
            <w:r>
              <w:rPr>
                <w:rStyle w:val="InstructionsTabelleberschrift"/>
                <w:rFonts w:ascii="Times New Roman" w:hAnsi="Times New Roman"/>
                <w:b w:val="0"/>
                <w:sz w:val="24"/>
                <w:u w:val="none"/>
              </w:rPr>
              <w:t>:</w:t>
            </w:r>
          </w:p>
          <w:p w14:paraId="2C0B2EAE"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původní expozice</w:t>
            </w:r>
          </w:p>
          <w:p w14:paraId="440AA260"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zjednodušený přístup SA-CCR: zjednodušený standardizovaný přístup k úvěrovému riziku protistrany </w:t>
            </w:r>
          </w:p>
          <w:p w14:paraId="67041C8E" w14:textId="77777777" w:rsidR="007266CF" w:rsidRPr="002A677E" w:rsidRDefault="007266CF" w:rsidP="007266CF">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Tuto položku vykazují pouze instituce, které uplatňují odchylku v souladu s čl. 273a odst. 4 </w:t>
            </w:r>
            <w:r>
              <w:rPr>
                <w:rFonts w:ascii="Times New Roman" w:hAnsi="Times New Roman"/>
                <w:sz w:val="24"/>
              </w:rPr>
              <w:t>nařízení (EU) č. 575/2013</w:t>
            </w:r>
            <w:r>
              <w:rPr>
                <w:rStyle w:val="InstructionsTabelleberschrift"/>
                <w:rFonts w:ascii="Times New Roman" w:hAnsi="Times New Roman"/>
                <w:b w:val="0"/>
                <w:sz w:val="24"/>
                <w:u w:val="none"/>
              </w:rPr>
              <w:t>.</w:t>
            </w:r>
          </w:p>
        </w:tc>
      </w:tr>
    </w:tbl>
    <w:p w14:paraId="5BCCC107"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02" w:name="_Toc116026794"/>
      <w:bookmarkStart w:id="203" w:name="_Toc119077951"/>
      <w:r>
        <w:rPr>
          <w:rFonts w:ascii="Times New Roman" w:hAnsi="Times New Roman"/>
          <w:sz w:val="24"/>
        </w:rPr>
        <w:t>C 34.02 – Expozice s CCR podle přístupu</w:t>
      </w:r>
      <w:bookmarkEnd w:id="202"/>
      <w:bookmarkEnd w:id="203"/>
      <w:r>
        <w:rPr>
          <w:rFonts w:ascii="Times New Roman" w:hAnsi="Times New Roman"/>
          <w:sz w:val="24"/>
        </w:rPr>
        <w:t xml:space="preserve"> </w:t>
      </w:r>
    </w:p>
    <w:p w14:paraId="591614FD"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04" w:name="_Toc116026795"/>
      <w:bookmarkStart w:id="205" w:name="_Toc119077952"/>
      <w:r>
        <w:rPr>
          <w:rFonts w:ascii="Times New Roman" w:hAnsi="Times New Roman"/>
          <w:sz w:val="24"/>
        </w:rPr>
        <w:t>Obecné poznámky</w:t>
      </w:r>
      <w:bookmarkEnd w:id="204"/>
      <w:bookmarkEnd w:id="205"/>
    </w:p>
    <w:p w14:paraId="3F3019E2" w14:textId="77777777" w:rsidR="007266CF" w:rsidRPr="002A677E" w:rsidRDefault="007266CF" w:rsidP="007266CF">
      <w:pPr>
        <w:pStyle w:val="InstructionsText2"/>
        <w:numPr>
          <w:ilvl w:val="0"/>
          <w:numId w:val="0"/>
        </w:numPr>
        <w:ind w:left="1353" w:hanging="360"/>
      </w:pPr>
      <w:fldSimple w:instr=" seq paragraphs ">
        <w:r>
          <w:t>124</w:t>
        </w:r>
      </w:fldSimple>
      <w:r>
        <w:t>. Instituce vykazují šablonu zvlášť pro všechny expozice s CCR a pro všechny expozice s CCR s výjimkou expozic vůči ústředním protistranám, jak jsou definovány pro účely šablony C 34.10.</w:t>
      </w:r>
    </w:p>
    <w:p w14:paraId="335DC320"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06" w:name="_Toc116026796"/>
      <w:bookmarkStart w:id="207" w:name="_Toc119077953"/>
      <w:r>
        <w:rPr>
          <w:rFonts w:ascii="Times New Roman" w:hAnsi="Times New Roman"/>
          <w:sz w:val="24"/>
        </w:rPr>
        <w:t>Pokyny pro konkrétní pozice</w:t>
      </w:r>
      <w:bookmarkEnd w:id="206"/>
      <w:bookmarkEnd w:id="20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198F336C" w14:textId="77777777" w:rsidTr="007266CF">
        <w:trPr>
          <w:trHeight w:val="616"/>
        </w:trPr>
        <w:tc>
          <w:tcPr>
            <w:tcW w:w="9039" w:type="dxa"/>
            <w:gridSpan w:val="2"/>
            <w:tcBorders>
              <w:right w:val="single" w:sz="4" w:space="0" w:color="auto"/>
            </w:tcBorders>
            <w:shd w:val="clear" w:color="auto" w:fill="D9D9D9" w:themeFill="background1" w:themeFillShade="D9"/>
          </w:tcPr>
          <w:p w14:paraId="2F137C2A"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Sloupce</w:t>
            </w:r>
          </w:p>
        </w:tc>
      </w:tr>
      <w:tr w:rsidR="007266CF" w:rsidRPr="002A677E" w14:paraId="7016878B" w14:textId="77777777" w:rsidTr="007266CF">
        <w:trPr>
          <w:trHeight w:val="680"/>
        </w:trPr>
        <w:tc>
          <w:tcPr>
            <w:tcW w:w="1384" w:type="dxa"/>
          </w:tcPr>
          <w:p w14:paraId="25B479BF" w14:textId="77777777" w:rsidR="007266CF" w:rsidRPr="002A677E" w:rsidRDefault="007266CF" w:rsidP="007266CF">
            <w:pPr>
              <w:pStyle w:val="Applicationdirecte"/>
              <w:spacing w:before="0" w:after="0"/>
            </w:pPr>
            <w:r>
              <w:t>0010</w:t>
            </w:r>
          </w:p>
        </w:tc>
        <w:tc>
          <w:tcPr>
            <w:tcW w:w="7655" w:type="dxa"/>
            <w:vAlign w:val="center"/>
          </w:tcPr>
          <w:p w14:paraId="17AF611E"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PROTISTRAN</w:t>
            </w:r>
          </w:p>
          <w:p w14:paraId="3E2D6F60" w14:textId="77777777" w:rsidR="007266CF" w:rsidRPr="002A677E" w:rsidRDefault="007266CF" w:rsidP="007266CF">
            <w:pPr>
              <w:autoSpaceDE w:val="0"/>
              <w:autoSpaceDN w:val="0"/>
              <w:adjustRightInd w:val="0"/>
              <w:spacing w:before="60"/>
              <w:rPr>
                <w:rFonts w:ascii="Times New Roman" w:hAnsi="Times New Roman"/>
                <w:i/>
                <w:sz w:val="24"/>
              </w:rPr>
            </w:pPr>
            <w:r>
              <w:rPr>
                <w:rFonts w:ascii="Times New Roman" w:hAnsi="Times New Roman"/>
                <w:sz w:val="24"/>
              </w:rPr>
              <w:t>Počet jednotlivých protistran, vůči nimž má instituce expozice s CCR</w:t>
            </w:r>
          </w:p>
        </w:tc>
      </w:tr>
      <w:tr w:rsidR="007266CF" w:rsidRPr="002A677E" w14:paraId="4CBCFAC5" w14:textId="77777777" w:rsidTr="007266CF">
        <w:trPr>
          <w:trHeight w:val="416"/>
        </w:trPr>
        <w:tc>
          <w:tcPr>
            <w:tcW w:w="1384" w:type="dxa"/>
          </w:tcPr>
          <w:p w14:paraId="2B5ADF40" w14:textId="77777777" w:rsidR="007266CF" w:rsidRPr="002A677E" w:rsidRDefault="007266CF" w:rsidP="007266CF">
            <w:pPr>
              <w:pStyle w:val="Applicationdirecte"/>
              <w:spacing w:before="0" w:after="0"/>
            </w:pPr>
            <w:r>
              <w:t>0020</w:t>
            </w:r>
          </w:p>
        </w:tc>
        <w:tc>
          <w:tcPr>
            <w:tcW w:w="7655" w:type="dxa"/>
            <w:vAlign w:val="center"/>
          </w:tcPr>
          <w:p w14:paraId="5833688D"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TRANSAKCÍ</w:t>
            </w:r>
          </w:p>
          <w:p w14:paraId="473EBBF2" w14:textId="77777777" w:rsidR="007266CF" w:rsidRPr="002A677E" w:rsidRDefault="007266CF" w:rsidP="007266CF">
            <w:pPr>
              <w:autoSpaceDE w:val="0"/>
              <w:autoSpaceDN w:val="0"/>
              <w:adjustRightInd w:val="0"/>
              <w:spacing w:before="60"/>
              <w:rPr>
                <w:rFonts w:ascii="Times New Roman" w:hAnsi="Times New Roman"/>
                <w:sz w:val="24"/>
              </w:rPr>
            </w:pPr>
            <w:r>
              <w:rPr>
                <w:rFonts w:ascii="Times New Roman" w:hAnsi="Times New Roman"/>
                <w:sz w:val="24"/>
              </w:rPr>
              <w:t xml:space="preserve">Počet transakcí vystavených úvěrovému riziku protistrany k datu vykazování V případě ústředních protistran by počet transakcí neměl zahrnovat přítoky nebo odtoky kapitálu, ale celkové pozice v portfoliu CCR k datu vykazování. Kromě toho se derivátový nástroj nebo SFT, který je (alespoň) pro účely </w:t>
            </w:r>
            <w:r>
              <w:rPr>
                <w:rFonts w:ascii="Times New Roman" w:hAnsi="Times New Roman"/>
                <w:sz w:val="24"/>
              </w:rPr>
              <w:lastRenderedPageBreak/>
              <w:t>modelování rozdělen na dvě nebo více komponent, stále považuje za jedinou transakci.</w:t>
            </w:r>
          </w:p>
        </w:tc>
      </w:tr>
      <w:tr w:rsidR="007266CF" w:rsidRPr="002A677E" w14:paraId="30A376B5" w14:textId="77777777" w:rsidTr="007266CF">
        <w:trPr>
          <w:trHeight w:val="680"/>
        </w:trPr>
        <w:tc>
          <w:tcPr>
            <w:tcW w:w="1384" w:type="dxa"/>
          </w:tcPr>
          <w:p w14:paraId="08ED38D4" w14:textId="77777777" w:rsidR="007266CF" w:rsidRPr="002A677E" w:rsidRDefault="007266CF" w:rsidP="007266CF">
            <w:pPr>
              <w:pStyle w:val="Applicationdirecte"/>
              <w:spacing w:before="0" w:after="0"/>
            </w:pPr>
            <w:r>
              <w:lastRenderedPageBreak/>
              <w:t>0030</w:t>
            </w:r>
          </w:p>
        </w:tc>
        <w:tc>
          <w:tcPr>
            <w:tcW w:w="7655" w:type="dxa"/>
            <w:vAlign w:val="center"/>
          </w:tcPr>
          <w:p w14:paraId="0FA9C7A7"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POMYSLNÉ HODNOTY</w:t>
            </w:r>
          </w:p>
          <w:p w14:paraId="7F5D12B4" w14:textId="77777777" w:rsidR="007266CF" w:rsidRPr="002A677E" w:rsidRDefault="007266CF" w:rsidP="007266CF">
            <w:pPr>
              <w:keepNext/>
              <w:spacing w:before="60"/>
              <w:rPr>
                <w:rFonts w:ascii="Times New Roman" w:hAnsi="Times New Roman"/>
                <w:sz w:val="24"/>
              </w:rPr>
            </w:pPr>
            <w:r>
              <w:rPr>
                <w:rFonts w:ascii="Times New Roman" w:hAnsi="Times New Roman"/>
                <w:sz w:val="24"/>
              </w:rPr>
              <w:t>Součet pomyslných hodnot derivátů a SFT před jakýmkoli započtením a bez jakýchkoli úprav v souladu s článkem 279b nařízení (EU) č. 575/2013.</w:t>
            </w:r>
          </w:p>
        </w:tc>
      </w:tr>
      <w:tr w:rsidR="007266CF" w:rsidRPr="002A677E" w14:paraId="649C4C2F" w14:textId="77777777" w:rsidTr="007266CF">
        <w:trPr>
          <w:trHeight w:val="680"/>
        </w:trPr>
        <w:tc>
          <w:tcPr>
            <w:tcW w:w="1384" w:type="dxa"/>
          </w:tcPr>
          <w:p w14:paraId="0A0DC637" w14:textId="77777777" w:rsidR="007266CF" w:rsidRPr="002A677E" w:rsidRDefault="007266CF" w:rsidP="007266CF">
            <w:pPr>
              <w:pStyle w:val="Applicationdirecte"/>
              <w:spacing w:before="0" w:after="0"/>
            </w:pPr>
            <w:r>
              <w:t>0040</w:t>
            </w:r>
          </w:p>
        </w:tc>
        <w:tc>
          <w:tcPr>
            <w:tcW w:w="7655" w:type="dxa"/>
            <w:vAlign w:val="center"/>
          </w:tcPr>
          <w:p w14:paraId="4D79D1E5"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14:paraId="55761495" w14:textId="77777777" w:rsidR="007266CF" w:rsidRPr="002A677E" w:rsidRDefault="007266CF" w:rsidP="007266CF">
            <w:pPr>
              <w:keepNext/>
              <w:spacing w:before="60"/>
              <w:rPr>
                <w:rFonts w:ascii="Times New Roman" w:hAnsi="Times New Roman"/>
                <w:sz w:val="24"/>
              </w:rPr>
            </w:pPr>
            <w:r>
              <w:rPr>
                <w:rFonts w:ascii="Times New Roman" w:hAnsi="Times New Roman"/>
                <w:sz w:val="24"/>
              </w:rPr>
              <w:t>Ustanovení čl. 272 odst. 12 nařízení (EU) č. 575/2013</w:t>
            </w:r>
          </w:p>
          <w:p w14:paraId="2E008287" w14:textId="77777777" w:rsidR="007266CF" w:rsidRPr="002A677E" w:rsidRDefault="007266CF" w:rsidP="007266CF">
            <w:pPr>
              <w:keepNext/>
              <w:spacing w:before="60"/>
              <w:rPr>
                <w:rFonts w:ascii="Times New Roman" w:hAnsi="Times New Roman"/>
                <w:sz w:val="24"/>
              </w:rPr>
            </w:pPr>
            <w:r>
              <w:rPr>
                <w:rFonts w:ascii="Times New Roman" w:hAnsi="Times New Roman"/>
                <w:sz w:val="24"/>
              </w:rPr>
              <w:t xml:space="preserve">Součet současných tržních hodnot (CMV) všech skupin transakcí se započtením s kladnou CMV ve smyslu čl. 272 bodu 12 nařízení (EU) č. 575/2013. </w:t>
            </w:r>
          </w:p>
        </w:tc>
      </w:tr>
      <w:tr w:rsidR="007266CF" w:rsidRPr="002A677E" w14:paraId="1D398B9A" w14:textId="77777777" w:rsidTr="007266CF">
        <w:trPr>
          <w:trHeight w:val="680"/>
        </w:trPr>
        <w:tc>
          <w:tcPr>
            <w:tcW w:w="1384" w:type="dxa"/>
          </w:tcPr>
          <w:p w14:paraId="5B238A6E" w14:textId="77777777" w:rsidR="007266CF" w:rsidRPr="002A677E" w:rsidRDefault="007266CF" w:rsidP="007266CF">
            <w:pPr>
              <w:pStyle w:val="Applicationdirecte"/>
              <w:spacing w:before="0" w:after="0"/>
            </w:pPr>
            <w:r>
              <w:t>0050</w:t>
            </w:r>
          </w:p>
        </w:tc>
        <w:tc>
          <w:tcPr>
            <w:tcW w:w="7655" w:type="dxa"/>
            <w:vAlign w:val="center"/>
          </w:tcPr>
          <w:p w14:paraId="7D827240"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14:paraId="10660EB8" w14:textId="77777777" w:rsidR="007266CF" w:rsidRPr="002A677E" w:rsidRDefault="007266CF" w:rsidP="007266CF">
            <w:pPr>
              <w:keepNext/>
              <w:spacing w:before="60"/>
              <w:rPr>
                <w:rFonts w:ascii="Times New Roman" w:hAnsi="Times New Roman"/>
                <w:sz w:val="24"/>
              </w:rPr>
            </w:pPr>
            <w:r>
              <w:rPr>
                <w:rFonts w:ascii="Times New Roman" w:hAnsi="Times New Roman"/>
                <w:sz w:val="24"/>
              </w:rPr>
              <w:t>Ustanovení čl. 272 odst. 12 nařízení (EU) č. 575/2013</w:t>
            </w:r>
          </w:p>
          <w:p w14:paraId="364F59EC" w14:textId="77777777" w:rsidR="007266CF" w:rsidRPr="002A677E" w:rsidRDefault="007266CF" w:rsidP="007266CF">
            <w:pPr>
              <w:keepNext/>
              <w:spacing w:before="60"/>
              <w:rPr>
                <w:rStyle w:val="InstructionsTabelleberschrift"/>
                <w:rFonts w:ascii="Times New Roman" w:hAnsi="Times New Roman"/>
                <w:sz w:val="24"/>
              </w:rPr>
            </w:pPr>
            <w:r>
              <w:rPr>
                <w:rFonts w:ascii="Times New Roman" w:hAnsi="Times New Roman"/>
                <w:sz w:val="24"/>
              </w:rPr>
              <w:t>Součet absolutních současných tržních hodnot (CMV) všech skupin transakcí se započtením se zápornou CMV ve smyslu čl. 272 bodu 12 nařízení (EU) č. 575/2013.</w:t>
            </w:r>
          </w:p>
        </w:tc>
      </w:tr>
      <w:tr w:rsidR="007266CF" w:rsidRPr="006223CC" w14:paraId="609A8741" w14:textId="77777777" w:rsidTr="007266CF">
        <w:trPr>
          <w:trHeight w:val="680"/>
        </w:trPr>
        <w:tc>
          <w:tcPr>
            <w:tcW w:w="1384" w:type="dxa"/>
          </w:tcPr>
          <w:p w14:paraId="43AD56C1" w14:textId="77777777" w:rsidR="007266CF" w:rsidRPr="002A677E" w:rsidRDefault="007266CF" w:rsidP="007266CF">
            <w:pPr>
              <w:pStyle w:val="Fait"/>
            </w:pPr>
            <w:r>
              <w:t>0060</w:t>
            </w:r>
          </w:p>
        </w:tc>
        <w:tc>
          <w:tcPr>
            <w:tcW w:w="7655" w:type="dxa"/>
            <w:vAlign w:val="center"/>
          </w:tcPr>
          <w:p w14:paraId="6BE612B6" w14:textId="77777777" w:rsidR="007266CF" w:rsidRPr="002A677E" w:rsidRDefault="007266CF" w:rsidP="007266CF">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VARIAČNÍ MARŽE (VM), OBDRŽENÁ</w:t>
            </w:r>
          </w:p>
          <w:p w14:paraId="7468BFD5" w14:textId="77777777" w:rsidR="007266CF" w:rsidRPr="006223CC" w:rsidRDefault="007266CF" w:rsidP="007266CF">
            <w:pPr>
              <w:keepNext/>
              <w:spacing w:before="60"/>
              <w:rPr>
                <w:rFonts w:ascii="Times New Roman" w:hAnsi="Times New Roman"/>
                <w:sz w:val="24"/>
                <w:lang w:val="fr-FR"/>
              </w:rPr>
            </w:pPr>
            <w:r>
              <w:rPr>
                <w:rFonts w:ascii="Times New Roman" w:hAnsi="Times New Roman"/>
                <w:sz w:val="24"/>
              </w:rPr>
              <w:t>Ustanovení čl. 275 odst. </w:t>
            </w:r>
            <w:r w:rsidRPr="006223CC">
              <w:rPr>
                <w:rFonts w:ascii="Times New Roman" w:hAnsi="Times New Roman"/>
                <w:sz w:val="24"/>
                <w:lang w:val="fr-FR"/>
              </w:rPr>
              <w:t>2 a 3 a článku 276 nařízení (EU) č. 575/2013)</w:t>
            </w:r>
          </w:p>
          <w:p w14:paraId="719447FC" w14:textId="77777777" w:rsidR="007266CF" w:rsidRPr="006223CC" w:rsidRDefault="007266CF" w:rsidP="007266CF">
            <w:pPr>
              <w:keepNext/>
              <w:spacing w:before="60"/>
              <w:rPr>
                <w:rFonts w:ascii="Times New Roman" w:hAnsi="Times New Roman"/>
                <w:sz w:val="24"/>
                <w:lang w:val="fr-FR"/>
              </w:rPr>
            </w:pPr>
            <w:r w:rsidRPr="006223CC">
              <w:rPr>
                <w:rFonts w:ascii="Times New Roman" w:hAnsi="Times New Roman"/>
                <w:sz w:val="24"/>
                <w:lang w:val="fr-FR"/>
              </w:rPr>
              <w:t>Součet hodnot variační marže (VM) všech maržových dohod, u nichž je VM obdržena, vypočtený v souladu s článkem 276 nařízení (EU) č. 575/2013.</w:t>
            </w:r>
          </w:p>
        </w:tc>
      </w:tr>
      <w:tr w:rsidR="007266CF" w:rsidRPr="006223CC" w14:paraId="5278B159" w14:textId="77777777" w:rsidTr="007266CF">
        <w:trPr>
          <w:trHeight w:val="680"/>
        </w:trPr>
        <w:tc>
          <w:tcPr>
            <w:tcW w:w="1384" w:type="dxa"/>
          </w:tcPr>
          <w:p w14:paraId="2343BA6E" w14:textId="77777777" w:rsidR="007266CF" w:rsidRPr="002A677E" w:rsidRDefault="007266CF" w:rsidP="007266CF">
            <w:pPr>
              <w:pStyle w:val="Fait"/>
            </w:pPr>
            <w:r>
              <w:t>0070</w:t>
            </w:r>
          </w:p>
        </w:tc>
        <w:tc>
          <w:tcPr>
            <w:tcW w:w="7655" w:type="dxa"/>
            <w:vAlign w:val="center"/>
          </w:tcPr>
          <w:p w14:paraId="7853E46D" w14:textId="77777777" w:rsidR="007266CF" w:rsidRPr="002A677E" w:rsidRDefault="007266CF" w:rsidP="007266CF">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VARIAČNÍ MARŽE (VM), POSKYTNUTÁ</w:t>
            </w:r>
          </w:p>
          <w:p w14:paraId="456F1AF7" w14:textId="77777777" w:rsidR="007266CF" w:rsidRPr="006223CC" w:rsidRDefault="007266CF" w:rsidP="007266CF">
            <w:pPr>
              <w:keepNext/>
              <w:spacing w:before="60"/>
              <w:rPr>
                <w:rFonts w:ascii="Times New Roman" w:hAnsi="Times New Roman"/>
                <w:sz w:val="24"/>
                <w:lang w:val="fr-FR"/>
              </w:rPr>
            </w:pPr>
            <w:r>
              <w:rPr>
                <w:rFonts w:ascii="Times New Roman" w:hAnsi="Times New Roman"/>
                <w:sz w:val="24"/>
              </w:rPr>
              <w:t>Ustanovení čl. 275 odst. </w:t>
            </w:r>
            <w:r w:rsidRPr="006223CC">
              <w:rPr>
                <w:rFonts w:ascii="Times New Roman" w:hAnsi="Times New Roman"/>
                <w:sz w:val="24"/>
                <w:lang w:val="fr-FR"/>
              </w:rPr>
              <w:t>2 a 3 a článku 276 nařízení (EU) č. 575/2013)</w:t>
            </w:r>
          </w:p>
          <w:p w14:paraId="526A48D3" w14:textId="77777777" w:rsidR="007266CF" w:rsidRPr="006223CC" w:rsidRDefault="007266CF" w:rsidP="007266CF">
            <w:pPr>
              <w:keepNext/>
              <w:spacing w:before="60"/>
              <w:rPr>
                <w:rStyle w:val="InstructionsTabelleberschrift"/>
                <w:rFonts w:ascii="Times New Roman" w:hAnsi="Times New Roman"/>
                <w:sz w:val="24"/>
                <w:lang w:val="fr-FR"/>
              </w:rPr>
            </w:pPr>
            <w:r w:rsidRPr="006223CC">
              <w:rPr>
                <w:rFonts w:ascii="Times New Roman" w:hAnsi="Times New Roman"/>
                <w:sz w:val="24"/>
                <w:lang w:val="fr-FR"/>
              </w:rPr>
              <w:t>Součet hodnot variační marže (VM) všech maržových dohod, u nichž je VM poskytnuta, vypočtený v souladu s článkem 276 nařízení (EU) č. 575/2013.</w:t>
            </w:r>
          </w:p>
        </w:tc>
      </w:tr>
      <w:tr w:rsidR="007266CF" w:rsidRPr="006223CC" w14:paraId="5EF6B362" w14:textId="77777777" w:rsidTr="007266CF">
        <w:trPr>
          <w:trHeight w:val="680"/>
        </w:trPr>
        <w:tc>
          <w:tcPr>
            <w:tcW w:w="1384" w:type="dxa"/>
          </w:tcPr>
          <w:p w14:paraId="7B389658" w14:textId="77777777" w:rsidR="007266CF" w:rsidRPr="002A677E" w:rsidRDefault="007266CF" w:rsidP="007266CF">
            <w:pPr>
              <w:pStyle w:val="Applicationdirecte"/>
              <w:spacing w:before="0" w:after="0"/>
            </w:pPr>
            <w:r>
              <w:t>0080</w:t>
            </w:r>
          </w:p>
        </w:tc>
        <w:tc>
          <w:tcPr>
            <w:tcW w:w="7655" w:type="dxa"/>
            <w:vAlign w:val="center"/>
          </w:tcPr>
          <w:p w14:paraId="44ECA734"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ČÁSTKA ČISTÉHO NEZÁVISLÉHO KOLATERÁLU (NICA), OBDRŽENÁ </w:t>
            </w:r>
          </w:p>
          <w:p w14:paraId="45D74BD5" w14:textId="77777777" w:rsidR="007266CF" w:rsidRPr="006223CC" w:rsidRDefault="007266CF" w:rsidP="007266CF">
            <w:pPr>
              <w:keepNext/>
              <w:spacing w:before="60"/>
              <w:rPr>
                <w:rFonts w:ascii="Times New Roman" w:hAnsi="Times New Roman"/>
                <w:sz w:val="24"/>
                <w:lang w:val="fr-FR"/>
              </w:rPr>
            </w:pPr>
            <w:r>
              <w:rPr>
                <w:rFonts w:ascii="Times New Roman" w:hAnsi="Times New Roman"/>
                <w:sz w:val="24"/>
              </w:rPr>
              <w:t>Ustanovení čl. 272 bodu 12a, čl. 275 odst. </w:t>
            </w:r>
            <w:r w:rsidRPr="006223CC">
              <w:rPr>
                <w:rFonts w:ascii="Times New Roman" w:hAnsi="Times New Roman"/>
                <w:sz w:val="24"/>
                <w:lang w:val="fr-FR"/>
              </w:rPr>
              <w:t>3 a článku 276 nařízení (EU) č. 575/2013</w:t>
            </w:r>
          </w:p>
          <w:p w14:paraId="6F851154" w14:textId="77777777" w:rsidR="007266CF" w:rsidRPr="006223CC" w:rsidRDefault="007266CF" w:rsidP="007266CF">
            <w:pPr>
              <w:keepNext/>
              <w:spacing w:before="60"/>
              <w:rPr>
                <w:rFonts w:ascii="Times New Roman" w:hAnsi="Times New Roman"/>
                <w:sz w:val="24"/>
                <w:lang w:val="fr-FR"/>
              </w:rPr>
            </w:pPr>
            <w:r w:rsidRPr="006223CC">
              <w:rPr>
                <w:rFonts w:ascii="Times New Roman" w:hAnsi="Times New Roman"/>
                <w:sz w:val="24"/>
                <w:lang w:val="fr-FR"/>
              </w:rPr>
              <w:t>Součet částek čistého nezávislého kolaterálu (NICA) všech maržových dohod, u nichž je NICA obdržena, vypočtený v souladu s článkem 276 nařízení (EU) č. 575/2013.</w:t>
            </w:r>
          </w:p>
        </w:tc>
      </w:tr>
      <w:tr w:rsidR="007266CF" w:rsidRPr="006223CC" w14:paraId="1E26241E" w14:textId="77777777" w:rsidTr="007266CF">
        <w:trPr>
          <w:trHeight w:val="680"/>
        </w:trPr>
        <w:tc>
          <w:tcPr>
            <w:tcW w:w="1384" w:type="dxa"/>
          </w:tcPr>
          <w:p w14:paraId="394C97C9" w14:textId="77777777" w:rsidR="007266CF" w:rsidRPr="002A677E" w:rsidRDefault="007266CF" w:rsidP="007266CF">
            <w:pPr>
              <w:pStyle w:val="Applicationdirecte"/>
              <w:spacing w:before="0" w:after="0"/>
            </w:pPr>
            <w:r>
              <w:t>0090</w:t>
            </w:r>
          </w:p>
        </w:tc>
        <w:tc>
          <w:tcPr>
            <w:tcW w:w="7655" w:type="dxa"/>
            <w:vAlign w:val="center"/>
          </w:tcPr>
          <w:p w14:paraId="4A67C40C"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ČÁSTKA ČISTÉHO NEZÁVISLÉHO KOLATERÁLU (NICA), POSKYTNUTÁ </w:t>
            </w:r>
          </w:p>
          <w:p w14:paraId="09D8EBE3" w14:textId="77777777" w:rsidR="007266CF" w:rsidRPr="006223CC" w:rsidRDefault="007266CF" w:rsidP="007266CF">
            <w:pPr>
              <w:keepNext/>
              <w:spacing w:before="60"/>
              <w:rPr>
                <w:rFonts w:ascii="Times New Roman" w:hAnsi="Times New Roman"/>
                <w:sz w:val="24"/>
                <w:lang w:val="fr-FR"/>
              </w:rPr>
            </w:pPr>
            <w:r>
              <w:rPr>
                <w:rFonts w:ascii="Times New Roman" w:hAnsi="Times New Roman"/>
                <w:sz w:val="24"/>
              </w:rPr>
              <w:t>Ustanovení čl. 272 bodu 12a, čl. 275 odst. </w:t>
            </w:r>
            <w:r w:rsidRPr="006223CC">
              <w:rPr>
                <w:rFonts w:ascii="Times New Roman" w:hAnsi="Times New Roman"/>
                <w:sz w:val="24"/>
                <w:lang w:val="fr-FR"/>
              </w:rPr>
              <w:t>3 a článku 276 nařízení (EU) č. 575/2013</w:t>
            </w:r>
          </w:p>
          <w:p w14:paraId="61DE09AD" w14:textId="77777777" w:rsidR="007266CF" w:rsidRPr="006223CC" w:rsidRDefault="007266CF" w:rsidP="007266CF">
            <w:pPr>
              <w:spacing w:before="60"/>
              <w:rPr>
                <w:rStyle w:val="InstructionsTabelleberschrift"/>
                <w:rFonts w:ascii="Times New Roman" w:hAnsi="Times New Roman"/>
                <w:sz w:val="24"/>
                <w:lang w:val="fr-FR"/>
              </w:rPr>
            </w:pPr>
            <w:r w:rsidRPr="006223CC">
              <w:rPr>
                <w:rFonts w:ascii="Times New Roman" w:hAnsi="Times New Roman"/>
                <w:sz w:val="24"/>
                <w:lang w:val="fr-FR"/>
              </w:rPr>
              <w:t>Součet částek čistého nezávislého kolaterálu (NICA) všech maržových dohod, u nichž je NICA poskytnuta, vypočtený v souladu s článkem 276 nařízení (EU) č. 575/2013.</w:t>
            </w:r>
          </w:p>
        </w:tc>
      </w:tr>
      <w:tr w:rsidR="007266CF" w:rsidRPr="002A677E" w14:paraId="1C18EC9A" w14:textId="77777777" w:rsidTr="007266CF">
        <w:trPr>
          <w:trHeight w:val="680"/>
        </w:trPr>
        <w:tc>
          <w:tcPr>
            <w:tcW w:w="1384" w:type="dxa"/>
          </w:tcPr>
          <w:p w14:paraId="38444673" w14:textId="77777777" w:rsidR="007266CF" w:rsidRPr="002A677E" w:rsidRDefault="007266CF" w:rsidP="007266CF">
            <w:pPr>
              <w:pStyle w:val="Applicationdirecte"/>
              <w:spacing w:before="0" w:after="0"/>
            </w:pPr>
            <w:r>
              <w:t>0100</w:t>
            </w:r>
          </w:p>
        </w:tc>
        <w:tc>
          <w:tcPr>
            <w:tcW w:w="7655" w:type="dxa"/>
            <w:vAlign w:val="center"/>
          </w:tcPr>
          <w:p w14:paraId="2E4F826B"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REPRODUKČNÍ NÁKLADY (RC) </w:t>
            </w:r>
          </w:p>
          <w:p w14:paraId="3B4B1824" w14:textId="77777777" w:rsidR="007266CF" w:rsidRPr="002A677E" w:rsidRDefault="007266CF" w:rsidP="007266CF">
            <w:pPr>
              <w:spacing w:before="60"/>
              <w:rPr>
                <w:rFonts w:ascii="Times New Roman" w:eastAsia="Calibri" w:hAnsi="Times New Roman"/>
                <w:sz w:val="24"/>
              </w:rPr>
            </w:pPr>
            <w:r>
              <w:rPr>
                <w:rFonts w:ascii="Times New Roman" w:hAnsi="Times New Roman"/>
                <w:sz w:val="24"/>
              </w:rPr>
              <w:t>Články 275, 281 a 282 nařízení (EU) č. 575/2013</w:t>
            </w:r>
          </w:p>
          <w:p w14:paraId="4AE9EBAD" w14:textId="77777777" w:rsidR="007266CF" w:rsidRPr="002A677E" w:rsidRDefault="007266CF" w:rsidP="007266CF">
            <w:pPr>
              <w:pStyle w:val="TableMainHeading"/>
              <w:spacing w:before="0" w:after="0"/>
              <w:jc w:val="both"/>
              <w:rPr>
                <w:rFonts w:ascii="Times New Roman" w:hAnsi="Times New Roman"/>
                <w:sz w:val="24"/>
                <w:szCs w:val="24"/>
              </w:rPr>
            </w:pPr>
            <w:r>
              <w:rPr>
                <w:rFonts w:ascii="Times New Roman" w:hAnsi="Times New Roman"/>
                <w:sz w:val="24"/>
              </w:rPr>
              <w:lastRenderedPageBreak/>
              <w:t xml:space="preserve">Reprodukční náklady (RC) pro jednotlivé skupiny transakcí se započtením se vypočítají v souladu s: </w:t>
            </w:r>
          </w:p>
          <w:p w14:paraId="0B033A72"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 ustanovením čl. 282 odst. 3 nařízení (EU) č. 575/2013 v případě metody původní expozice, </w:t>
            </w:r>
          </w:p>
          <w:p w14:paraId="15E5DECA" w14:textId="77777777" w:rsidR="007266CF" w:rsidRPr="002A677E" w:rsidRDefault="007266CF" w:rsidP="007266CF">
            <w:pPr>
              <w:spacing w:before="60"/>
              <w:rPr>
                <w:rFonts w:ascii="Times New Roman" w:hAnsi="Times New Roman"/>
                <w:sz w:val="24"/>
              </w:rPr>
            </w:pPr>
            <w:r>
              <w:rPr>
                <w:rFonts w:ascii="Times New Roman" w:hAnsi="Times New Roman"/>
                <w:sz w:val="24"/>
              </w:rPr>
              <w:t>– článkem 281 nařízení (EU) č. 575/2013 v případě zjednodušeného přístupu SA-CCR,</w:t>
            </w:r>
          </w:p>
          <w:p w14:paraId="2EA0A7C7" w14:textId="77777777" w:rsidR="007266CF" w:rsidRPr="002A677E" w:rsidRDefault="007266CF" w:rsidP="007266CF">
            <w:pPr>
              <w:spacing w:before="60"/>
              <w:rPr>
                <w:rFonts w:ascii="Times New Roman" w:hAnsi="Times New Roman"/>
                <w:sz w:val="24"/>
              </w:rPr>
            </w:pPr>
            <w:r>
              <w:rPr>
                <w:rFonts w:ascii="Times New Roman" w:hAnsi="Times New Roman"/>
                <w:sz w:val="24"/>
              </w:rPr>
              <w:t>– článkem 275 nařízení (EU) č. 575/2013 v případě přístupu SA-CCR.</w:t>
            </w:r>
          </w:p>
          <w:p w14:paraId="64514034" w14:textId="77777777" w:rsidR="007266CF" w:rsidRPr="002A677E" w:rsidRDefault="007266CF" w:rsidP="007266CF">
            <w:pPr>
              <w:spacing w:before="60"/>
              <w:rPr>
                <w:rFonts w:ascii="Times New Roman" w:hAnsi="Times New Roman"/>
                <w:sz w:val="24"/>
              </w:rPr>
            </w:pPr>
            <w:r>
              <w:rPr>
                <w:rFonts w:ascii="Times New Roman" w:hAnsi="Times New Roman"/>
                <w:sz w:val="24"/>
              </w:rPr>
              <w:t>Instituce vykazuje součet reprodukčních nákladů skupin transakcí se započtením v příslušném řádku.</w:t>
            </w:r>
          </w:p>
        </w:tc>
      </w:tr>
      <w:tr w:rsidR="007266CF" w:rsidRPr="002A677E" w14:paraId="3FC7FD8D" w14:textId="77777777" w:rsidTr="007266CF">
        <w:trPr>
          <w:trHeight w:val="680"/>
        </w:trPr>
        <w:tc>
          <w:tcPr>
            <w:tcW w:w="1384" w:type="dxa"/>
          </w:tcPr>
          <w:p w14:paraId="03397E08" w14:textId="77777777" w:rsidR="007266CF" w:rsidRPr="002A677E" w:rsidRDefault="007266CF" w:rsidP="007266CF">
            <w:pPr>
              <w:pStyle w:val="Applicationdirecte"/>
              <w:spacing w:before="0" w:after="0"/>
            </w:pPr>
            <w:r>
              <w:lastRenderedPageBreak/>
              <w:t>0110</w:t>
            </w:r>
          </w:p>
        </w:tc>
        <w:tc>
          <w:tcPr>
            <w:tcW w:w="7655" w:type="dxa"/>
            <w:vAlign w:val="center"/>
          </w:tcPr>
          <w:p w14:paraId="4FA4A138"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POTENCIÁLNÍ BUDOUCÍ EXPOZICE (PFE)</w:t>
            </w:r>
          </w:p>
          <w:p w14:paraId="79C9B08B" w14:textId="77777777" w:rsidR="007266CF" w:rsidRPr="002A677E" w:rsidRDefault="007266CF" w:rsidP="007266CF">
            <w:pPr>
              <w:spacing w:before="60"/>
              <w:rPr>
                <w:rFonts w:ascii="Times New Roman" w:eastAsia="Calibri" w:hAnsi="Times New Roman"/>
                <w:sz w:val="24"/>
              </w:rPr>
            </w:pPr>
            <w:r>
              <w:rPr>
                <w:rFonts w:ascii="Times New Roman" w:hAnsi="Times New Roman"/>
                <w:sz w:val="24"/>
              </w:rPr>
              <w:t>Články 278, 281 a 282 nařízení (EU) č. 575/2013</w:t>
            </w:r>
          </w:p>
          <w:p w14:paraId="4986B51D"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Potenciální budoucí expozice (PFE) pro jednotlivé skupiny transakcí se započtením se vypočítají v souladu s: </w:t>
            </w:r>
          </w:p>
          <w:p w14:paraId="4FDEF3AC"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 ustanovením čl. 282 odst. 4 nařízení (EU) č. 575/2013 v případě metody původní expozice, </w:t>
            </w:r>
          </w:p>
          <w:p w14:paraId="3736FB08" w14:textId="77777777" w:rsidR="007266CF" w:rsidRPr="002A677E" w:rsidRDefault="007266CF" w:rsidP="007266CF">
            <w:pPr>
              <w:spacing w:before="60"/>
              <w:rPr>
                <w:rFonts w:ascii="Times New Roman" w:hAnsi="Times New Roman"/>
                <w:sz w:val="24"/>
              </w:rPr>
            </w:pPr>
            <w:r>
              <w:rPr>
                <w:rFonts w:ascii="Times New Roman" w:hAnsi="Times New Roman"/>
                <w:sz w:val="24"/>
              </w:rPr>
              <w:t>– článkem 281 nařízení (EU) č. 575/2013 v případě zjednodušeného přístupu SA-CCR,</w:t>
            </w:r>
          </w:p>
          <w:p w14:paraId="53492AD0" w14:textId="77777777" w:rsidR="007266CF" w:rsidRPr="002A677E" w:rsidRDefault="007266CF" w:rsidP="007266CF">
            <w:pPr>
              <w:spacing w:before="60"/>
              <w:rPr>
                <w:rFonts w:ascii="Times New Roman" w:hAnsi="Times New Roman"/>
                <w:sz w:val="24"/>
              </w:rPr>
            </w:pPr>
            <w:r>
              <w:rPr>
                <w:rFonts w:ascii="Times New Roman" w:hAnsi="Times New Roman"/>
                <w:sz w:val="24"/>
              </w:rPr>
              <w:t>– článkem 278 nařízení (EU) č. 575/2013 v případě přístupu SA-CCR.</w:t>
            </w:r>
          </w:p>
          <w:p w14:paraId="38FC3D49" w14:textId="77777777" w:rsidR="007266CF" w:rsidRPr="002A677E" w:rsidRDefault="007266CF" w:rsidP="007266CF">
            <w:pPr>
              <w:spacing w:before="60"/>
              <w:rPr>
                <w:rFonts w:ascii="Times New Roman" w:hAnsi="Times New Roman"/>
                <w:i/>
                <w:sz w:val="24"/>
              </w:rPr>
            </w:pPr>
            <w:r>
              <w:rPr>
                <w:rFonts w:ascii="Times New Roman" w:hAnsi="Times New Roman"/>
                <w:sz w:val="24"/>
              </w:rPr>
              <w:t>Instituce vykazuje součet všech potenciálních budoucích expozic skupin transakcí se započtením v příslušném řádku.</w:t>
            </w:r>
          </w:p>
        </w:tc>
      </w:tr>
      <w:tr w:rsidR="007266CF" w:rsidRPr="002A677E" w14:paraId="6F7C3B33" w14:textId="77777777" w:rsidTr="007266CF">
        <w:trPr>
          <w:trHeight w:val="680"/>
        </w:trPr>
        <w:tc>
          <w:tcPr>
            <w:tcW w:w="1384" w:type="dxa"/>
          </w:tcPr>
          <w:p w14:paraId="7656D081" w14:textId="77777777" w:rsidR="007266CF" w:rsidRPr="002A677E" w:rsidRDefault="007266CF" w:rsidP="007266CF">
            <w:pPr>
              <w:pStyle w:val="Applicationdirecte"/>
              <w:spacing w:before="0" w:after="0"/>
            </w:pPr>
            <w:r>
              <w:t>0120</w:t>
            </w:r>
          </w:p>
        </w:tc>
        <w:tc>
          <w:tcPr>
            <w:tcW w:w="7655" w:type="dxa"/>
            <w:vAlign w:val="center"/>
          </w:tcPr>
          <w:p w14:paraId="7B89CD3C"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STÁVAJÍCÍ EXPOZICE</w:t>
            </w:r>
          </w:p>
          <w:p w14:paraId="7093780C"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Ustanovení čl. 272 odst. 17 nařízení (EU) č. 575/2013 </w:t>
            </w:r>
          </w:p>
          <w:p w14:paraId="64714AEF" w14:textId="77777777" w:rsidR="007266CF" w:rsidRPr="002A677E" w:rsidRDefault="007266CF" w:rsidP="007266CF">
            <w:pPr>
              <w:spacing w:before="60"/>
              <w:rPr>
                <w:rFonts w:ascii="Times New Roman" w:hAnsi="Times New Roman"/>
                <w:sz w:val="24"/>
              </w:rPr>
            </w:pPr>
            <w:r>
              <w:rPr>
                <w:rFonts w:ascii="Times New Roman" w:hAnsi="Times New Roman"/>
                <w:sz w:val="24"/>
              </w:rPr>
              <w:t>Stávající expozice pro jednotlivé skupiny transakcí se započtením je hodnota ve smyslu čl. 272 bodu 17 nařízení (EU) č. 575/2013.</w:t>
            </w:r>
          </w:p>
          <w:p w14:paraId="6954A649" w14:textId="77777777" w:rsidR="007266CF" w:rsidRPr="002A677E" w:rsidRDefault="007266CF" w:rsidP="007266CF">
            <w:pPr>
              <w:spacing w:before="60"/>
              <w:rPr>
                <w:rFonts w:ascii="Times New Roman" w:hAnsi="Times New Roman"/>
                <w:sz w:val="24"/>
              </w:rPr>
            </w:pPr>
            <w:r>
              <w:rPr>
                <w:rFonts w:ascii="Times New Roman" w:hAnsi="Times New Roman"/>
                <w:sz w:val="24"/>
              </w:rPr>
              <w:t>Instituce vykazuje součet všech stávajících expozic skupin transakcí se započtením v příslušném řádku.</w:t>
            </w:r>
          </w:p>
        </w:tc>
      </w:tr>
      <w:tr w:rsidR="007266CF" w:rsidRPr="002A677E" w14:paraId="71DA086B" w14:textId="77777777" w:rsidTr="007266CF">
        <w:trPr>
          <w:trHeight w:val="680"/>
        </w:trPr>
        <w:tc>
          <w:tcPr>
            <w:tcW w:w="1384" w:type="dxa"/>
          </w:tcPr>
          <w:p w14:paraId="0BF7F6F6" w14:textId="77777777" w:rsidR="007266CF" w:rsidRPr="002A677E" w:rsidRDefault="007266CF" w:rsidP="007266CF">
            <w:pPr>
              <w:pStyle w:val="Applicationdirecte"/>
              <w:spacing w:before="0" w:after="0"/>
            </w:pPr>
            <w:r>
              <w:t>0130</w:t>
            </w:r>
          </w:p>
        </w:tc>
        <w:tc>
          <w:tcPr>
            <w:tcW w:w="7655" w:type="dxa"/>
            <w:vAlign w:val="center"/>
          </w:tcPr>
          <w:p w14:paraId="42C9F057"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EFEKTIVNÍ OČEKÁVANÁ POZITIVNÍ EXPOZICE (EEPE)</w:t>
            </w:r>
          </w:p>
          <w:p w14:paraId="5816238E" w14:textId="77777777" w:rsidR="007266CF" w:rsidRPr="002A677E" w:rsidRDefault="007266CF" w:rsidP="007266CF">
            <w:pPr>
              <w:spacing w:before="60"/>
              <w:rPr>
                <w:rFonts w:ascii="Times New Roman" w:eastAsia="Calibri" w:hAnsi="Times New Roman"/>
                <w:sz w:val="24"/>
              </w:rPr>
            </w:pPr>
            <w:r>
              <w:rPr>
                <w:rFonts w:ascii="Times New Roman" w:hAnsi="Times New Roman"/>
                <w:sz w:val="24"/>
              </w:rPr>
              <w:t>Ustanovení čl. 272 bodu 22 a čl. 284 odst. 3 a 6 nařízení (EU) č. 575/2013</w:t>
            </w:r>
          </w:p>
          <w:p w14:paraId="645ED247" w14:textId="77777777" w:rsidR="007266CF" w:rsidRPr="002A677E" w:rsidRDefault="007266CF" w:rsidP="007266CF">
            <w:pPr>
              <w:pStyle w:val="Default"/>
              <w:spacing w:after="120"/>
              <w:jc w:val="both"/>
              <w:rPr>
                <w:rFonts w:ascii="Times New Roman" w:hAnsi="Times New Roman" w:cs="Times New Roman"/>
                <w:color w:val="auto"/>
              </w:rPr>
            </w:pPr>
            <w:r>
              <w:rPr>
                <w:rFonts w:ascii="Times New Roman" w:hAnsi="Times New Roman"/>
                <w:color w:val="auto"/>
              </w:rPr>
              <w:t>EEPE pro jednotlivé skupiny transakcí se započtením je definována v čl. 272 bodě 22 nařízení (EU) č. 575/2013 a vypočítá se v souladu s čl. 284 odst. 6 nařízení (EU) č. 575/2013.</w:t>
            </w:r>
          </w:p>
          <w:p w14:paraId="24B5E9E0" w14:textId="77777777" w:rsidR="007266CF" w:rsidRPr="002A677E" w:rsidRDefault="007266CF" w:rsidP="007266CF">
            <w:pPr>
              <w:spacing w:before="60"/>
              <w:rPr>
                <w:rFonts w:ascii="Times New Roman" w:eastAsia="Calibri" w:hAnsi="Times New Roman"/>
                <w:sz w:val="24"/>
              </w:rPr>
            </w:pPr>
            <w:r>
              <w:rPr>
                <w:rFonts w:ascii="Times New Roman" w:hAnsi="Times New Roman"/>
                <w:sz w:val="24"/>
              </w:rPr>
              <w:t>Instituce vykazuje součet všech EEPE použitých pro stanovení kapitálových požadavků v souladu s čl. 284 odst. 3 nařízení (EU) č. 575/2013, tj. buď EEPE vypočtené za použití stávajících tržních údajů, nebo EEPE vypočtené pomocí zátěžové kalibrace, podle toho, která hodnota vede k vyššímu kapitálovému požadavku.</w:t>
            </w:r>
          </w:p>
        </w:tc>
      </w:tr>
      <w:tr w:rsidR="007266CF" w:rsidRPr="002A677E" w14:paraId="0194CE10" w14:textId="77777777" w:rsidTr="007266CF">
        <w:trPr>
          <w:trHeight w:val="680"/>
        </w:trPr>
        <w:tc>
          <w:tcPr>
            <w:tcW w:w="1384" w:type="dxa"/>
          </w:tcPr>
          <w:p w14:paraId="5481ED1A" w14:textId="77777777" w:rsidR="007266CF" w:rsidRPr="002A677E" w:rsidRDefault="007266CF" w:rsidP="007266CF">
            <w:pPr>
              <w:pStyle w:val="Applicationdirecte"/>
              <w:spacing w:before="0" w:after="0"/>
            </w:pPr>
            <w:r>
              <w:t>0140</w:t>
            </w:r>
          </w:p>
        </w:tc>
        <w:tc>
          <w:tcPr>
            <w:tcW w:w="7655" w:type="dxa"/>
            <w:vAlign w:val="center"/>
          </w:tcPr>
          <w:p w14:paraId="1771DE95"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KOEFICIENT ALFA PRO VÝPOČET REGULATORNÍ HODNOTY EXPOZICE </w:t>
            </w:r>
          </w:p>
          <w:p w14:paraId="0674AF55" w14:textId="77777777" w:rsidR="007266CF" w:rsidRPr="002A677E" w:rsidRDefault="007266CF" w:rsidP="007266CF">
            <w:pPr>
              <w:spacing w:before="60"/>
              <w:rPr>
                <w:rFonts w:ascii="Times New Roman" w:hAnsi="Times New Roman"/>
                <w:i/>
                <w:sz w:val="24"/>
              </w:rPr>
            </w:pPr>
            <w:r>
              <w:rPr>
                <w:rFonts w:ascii="Times New Roman" w:hAnsi="Times New Roman"/>
                <w:sz w:val="24"/>
              </w:rPr>
              <w:t>Ustanovení čl. 274 odst. 2, čl. 282 odst. 2, čl. 281 odst. 1, čl. 284 odst. 4 a 9 nařízení (EU) č. 575/2013</w:t>
            </w:r>
          </w:p>
          <w:p w14:paraId="45770202" w14:textId="77777777" w:rsidR="007266CF" w:rsidRPr="002A677E" w:rsidRDefault="007266CF" w:rsidP="007266CF">
            <w:pPr>
              <w:spacing w:before="60"/>
              <w:rPr>
                <w:rFonts w:ascii="Times New Roman" w:eastAsia="Calibri" w:hAnsi="Times New Roman"/>
                <w:i/>
                <w:sz w:val="24"/>
              </w:rPr>
            </w:pPr>
            <w:r>
              <w:rPr>
                <w:rFonts w:ascii="Times New Roman" w:hAnsi="Times New Roman"/>
                <w:sz w:val="24"/>
              </w:rPr>
              <w:lastRenderedPageBreak/>
              <w:t>Hodnota α je stanovena jako 1,4 v řádcích pro OEM, zjednodušený přístup SA-CCR a přístup SA-CCR v souladu s čl. 282 odst. 2, čl. 281 odst. 1 a čl. 274 odst. 2 nařízení (EU) č. 575/2013.  Pro účely metody interního modelu může být hodnotou α buď stanovená hodnota 1,4, nebo jiná hodnota, pokud příslušné orgány požadují vyšší hodnotu α v souladu s čl. 284 odst. 4 nařízení (EU) č. 575/2013 nebo povolují institucím používat vlastní odhady v souladu s čl. 284 odst. 9 uvedeného nařízení.</w:t>
            </w:r>
          </w:p>
        </w:tc>
      </w:tr>
      <w:tr w:rsidR="007266CF" w:rsidRPr="002A677E" w14:paraId="3C422792" w14:textId="77777777" w:rsidTr="007266CF">
        <w:trPr>
          <w:trHeight w:val="680"/>
        </w:trPr>
        <w:tc>
          <w:tcPr>
            <w:tcW w:w="1384" w:type="dxa"/>
          </w:tcPr>
          <w:p w14:paraId="44B1EC4B" w14:textId="77777777" w:rsidR="007266CF" w:rsidRPr="002A677E" w:rsidRDefault="007266CF" w:rsidP="007266CF">
            <w:pPr>
              <w:pStyle w:val="Applicationdirecte"/>
              <w:spacing w:before="0" w:after="0"/>
            </w:pPr>
            <w:r>
              <w:lastRenderedPageBreak/>
              <w:t>0150</w:t>
            </w:r>
          </w:p>
        </w:tc>
        <w:tc>
          <w:tcPr>
            <w:tcW w:w="7655" w:type="dxa"/>
          </w:tcPr>
          <w:p w14:paraId="78C2C0BA"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HODNOTA EXPOZICE PŘED SNÍŽENÍM ÚVĚROVÉHO RIZIKA </w:t>
            </w:r>
          </w:p>
          <w:p w14:paraId="62688FD0"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 xml:space="preserve">Hodnota expozice před snížením úvěrového rizika u skupin transakcí se započtením se vypočítá v souladu s metodami stanovenými v části třetí hlavě II kapitolách 4 a 6 nařízení (EU) č. 575/2013 a s přihlédnutím k účinku započtení, avšak bez ohledu na jakékoli jiné techniky snižování úvěrového rizika (např. maržový kolaterál). </w:t>
            </w:r>
          </w:p>
          <w:p w14:paraId="6061FC4C"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 xml:space="preserve">V případě SFT se složka cenných papírů při určování hodnoty expozice před snížením úvěrového rizika, když je obdržen kolaterál, nebere v úvahu, a tudíž nesnižuje hodnotu expozice. Složka cenných papírů SFT se naopak zohlední při určování hodnoty expozice před snížením úvěrového rizika obvyklým způsobem při poskytnutí kolaterálu. </w:t>
            </w:r>
          </w:p>
          <w:p w14:paraId="2A18D25E"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 xml:space="preserve">K obchodům zajištěným kolaterálem se přistupuje stejně jako k nezajištěným obchodům, tj. neuplatní se dopady dozajištění.  </w:t>
            </w:r>
          </w:p>
          <w:p w14:paraId="154B2310"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Hodnota expozice před snížením úvěrového rizika pro transakce, u nichž bylo zjištěno specifické riziko pozitivní korelace, musí být stanovena v souladu s článkem 291 nařízení (EU) č. 575/2013. </w:t>
            </w:r>
          </w:p>
          <w:p w14:paraId="7E8CD827"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Hodnota expozice před snížením úvěrového rizika nezohledňuje odpočet vzniklé ztráty v souvislosti s úvěrovou úpravou v ocenění podle čl. 273 odst. 6 nařízení (EU) č. 575/2013. </w:t>
            </w:r>
          </w:p>
          <w:p w14:paraId="7C4D4AF9" w14:textId="77777777" w:rsidR="007266CF" w:rsidRPr="002A677E" w:rsidRDefault="007266CF" w:rsidP="007266CF">
            <w:pPr>
              <w:spacing w:before="60"/>
              <w:rPr>
                <w:rFonts w:ascii="Times New Roman" w:hAnsi="Times New Roman"/>
                <w:i/>
                <w:sz w:val="24"/>
              </w:rPr>
            </w:pPr>
            <w:r>
              <w:rPr>
                <w:rFonts w:ascii="Times New Roman" w:hAnsi="Times New Roman"/>
                <w:sz w:val="24"/>
              </w:rPr>
              <w:t>Instituce vykazuje součet všech hodnot expozic před snížením úvěrového rizika v příslušném řádku.</w:t>
            </w:r>
          </w:p>
        </w:tc>
      </w:tr>
      <w:tr w:rsidR="007266CF" w:rsidRPr="002A677E" w14:paraId="348543CE" w14:textId="77777777" w:rsidTr="007266CF">
        <w:trPr>
          <w:trHeight w:val="680"/>
        </w:trPr>
        <w:tc>
          <w:tcPr>
            <w:tcW w:w="1384" w:type="dxa"/>
          </w:tcPr>
          <w:p w14:paraId="50F4E248" w14:textId="77777777" w:rsidR="007266CF" w:rsidRPr="002A677E" w:rsidRDefault="007266CF" w:rsidP="007266CF">
            <w:pPr>
              <w:pStyle w:val="Applicationdirecte"/>
              <w:spacing w:before="0" w:after="0"/>
            </w:pPr>
            <w:r>
              <w:t>0160</w:t>
            </w:r>
          </w:p>
        </w:tc>
        <w:tc>
          <w:tcPr>
            <w:tcW w:w="7655" w:type="dxa"/>
          </w:tcPr>
          <w:p w14:paraId="5D99C09E"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HODNOTA EXPOZICE PO SNÍŽENÍ ÚVĚROVÉHO RIZIKA </w:t>
            </w:r>
          </w:p>
          <w:p w14:paraId="6E7F4CC8"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Hodnota expozice po snížení úvěrového rizika u skupin transakcí se započtením se vypočítá v souladu s metodami stanovenými v části třetí hlavě II kapitolách 4 a 6 nařízení (EU) č. 575/2013, přičemž se v příslušných případech uplatní techniky snižování úvěrového rizika v souladu s částí třetí hlavou II kapitolami 4 a 6 uvedeného nařízení.</w:t>
            </w:r>
          </w:p>
          <w:p w14:paraId="24B17744"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Hodnota expozice po snížení úvěrového rizika pro transakce, u nichž bylo zjištěno specifické riziko pozitivní korelace, musí být stanovena v souladu s článkem 291 nařízení (EU) č. 575/2013. </w:t>
            </w:r>
          </w:p>
          <w:p w14:paraId="473920AD" w14:textId="77777777" w:rsidR="007266CF" w:rsidRPr="002A677E" w:rsidRDefault="007266CF" w:rsidP="007266CF">
            <w:pPr>
              <w:spacing w:before="60"/>
              <w:rPr>
                <w:rFonts w:ascii="Times New Roman" w:hAnsi="Times New Roman"/>
                <w:sz w:val="24"/>
              </w:rPr>
            </w:pPr>
            <w:r>
              <w:rPr>
                <w:rFonts w:ascii="Times New Roman" w:hAnsi="Times New Roman"/>
                <w:sz w:val="24"/>
              </w:rPr>
              <w:t>Hodnota expozice po snížení úvěrového rizika nezohledňuje odpočet vzniklé ztráty v souvislosti s úvěrovou úpravou v ocenění podle čl. 273 odst. 6 nařízení (EU) č. 575/2013.</w:t>
            </w:r>
          </w:p>
          <w:p w14:paraId="75A776CB" w14:textId="77777777" w:rsidR="007266CF" w:rsidRPr="002A677E" w:rsidRDefault="007266CF" w:rsidP="007266CF">
            <w:pPr>
              <w:spacing w:before="60"/>
              <w:rPr>
                <w:rFonts w:ascii="Times New Roman" w:hAnsi="Times New Roman"/>
                <w:i/>
                <w:sz w:val="24"/>
              </w:rPr>
            </w:pPr>
            <w:r>
              <w:rPr>
                <w:rFonts w:ascii="Times New Roman" w:hAnsi="Times New Roman"/>
                <w:sz w:val="24"/>
              </w:rPr>
              <w:t>Instituce vykazuje součet všech hodnot expozic po snížení úvěrového rizika v příslušném řádku.</w:t>
            </w:r>
          </w:p>
        </w:tc>
      </w:tr>
      <w:tr w:rsidR="007266CF" w:rsidRPr="002A677E" w14:paraId="1F4097CD" w14:textId="77777777" w:rsidTr="007266CF">
        <w:trPr>
          <w:trHeight w:val="680"/>
        </w:trPr>
        <w:tc>
          <w:tcPr>
            <w:tcW w:w="1384" w:type="dxa"/>
          </w:tcPr>
          <w:p w14:paraId="77870BA0" w14:textId="77777777" w:rsidR="007266CF" w:rsidRPr="002A677E" w:rsidRDefault="007266CF" w:rsidP="007266CF">
            <w:pPr>
              <w:pStyle w:val="Applicationdirecte"/>
              <w:spacing w:before="0" w:after="0"/>
            </w:pPr>
            <w:r>
              <w:lastRenderedPageBreak/>
              <w:t>0170</w:t>
            </w:r>
          </w:p>
        </w:tc>
        <w:tc>
          <w:tcPr>
            <w:tcW w:w="7655" w:type="dxa"/>
            <w:vAlign w:val="center"/>
          </w:tcPr>
          <w:p w14:paraId="12D5F882"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HODNOTA EXPOZICE</w:t>
            </w:r>
          </w:p>
          <w:p w14:paraId="35AB3E9C"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 xml:space="preserve">Hodnota expozice pro skupiny transakci se započtením s CCR vypočítaná v souladu s metodami stanovenými v části třetí hlavě II kapitolách 4 a 6 nařízení (EU) č. 575/2013, což je příslušný objem pro výpočet objemů rizikově vážených expozic, tj. po použití technik snižování úvěrového rizika v příslušných případech v souladu s částí třetí hlavou II kapitolami 4 a 6 nařízení (EU) č. 575/2013 a zohlednění odpočtu vzniklé ztráty CVA v souladu s čl. 273 odst. 6 nařízení (EU) č. 575/2013. </w:t>
            </w:r>
          </w:p>
          <w:p w14:paraId="058DC709" w14:textId="77777777" w:rsidR="007266CF" w:rsidRPr="002A677E" w:rsidRDefault="007266CF" w:rsidP="007266CF">
            <w:pPr>
              <w:rPr>
                <w:rFonts w:ascii="Times New Roman" w:hAnsi="Times New Roman"/>
                <w:sz w:val="24"/>
              </w:rPr>
            </w:pPr>
            <w:r>
              <w:rPr>
                <w:rFonts w:ascii="Times New Roman" w:hAnsi="Times New Roman"/>
                <w:sz w:val="24"/>
              </w:rPr>
              <w:t>Hodnota expozice pro transakce, u nichž bylo zjištěno specifické riziko pozitivní korelace, musí být stanovena v souladu s článkem 291 nařízení (EU) č. 575/2013.</w:t>
            </w:r>
          </w:p>
          <w:p w14:paraId="2B194803"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V případech, kdy se pro jednu protistranu používá více než jeden přístup CCR, se vzniklá ztráta CVA, která se odečte na úrovni protistrany, přiřadí k hodnotě expozice různých skupin transakcí se započtením v rámci každého přístupu CCR odrážející poměr hodnoty expozice po snížení úvěrového rizika příslušných skupin transakcí se započtením k celkové hodnotě expozice po snížení úvěrového rizika protistrany.</w:t>
            </w:r>
          </w:p>
          <w:p w14:paraId="03EC6739" w14:textId="77777777" w:rsidR="007266CF" w:rsidRPr="002A677E" w:rsidRDefault="007266CF" w:rsidP="007266CF">
            <w:r>
              <w:rPr>
                <w:rFonts w:ascii="Times New Roman" w:hAnsi="Times New Roman"/>
                <w:sz w:val="24"/>
              </w:rPr>
              <w:t>Instituce vykazuje součet všech hodnot expozic v příslušném řádku.</w:t>
            </w:r>
          </w:p>
        </w:tc>
      </w:tr>
      <w:tr w:rsidR="007266CF" w:rsidRPr="002A677E" w14:paraId="4BCD2976" w14:textId="77777777" w:rsidTr="007266CF">
        <w:trPr>
          <w:trHeight w:val="680"/>
        </w:trPr>
        <w:tc>
          <w:tcPr>
            <w:tcW w:w="1384" w:type="dxa"/>
          </w:tcPr>
          <w:p w14:paraId="0C0C5FC1" w14:textId="77777777" w:rsidR="007266CF" w:rsidRPr="002A677E" w:rsidRDefault="007266CF" w:rsidP="007266CF">
            <w:pPr>
              <w:pStyle w:val="Applicationdirecte"/>
              <w:spacing w:before="0" w:after="0"/>
            </w:pPr>
            <w:r>
              <w:t>0180</w:t>
            </w:r>
          </w:p>
        </w:tc>
        <w:tc>
          <w:tcPr>
            <w:tcW w:w="7655" w:type="dxa"/>
          </w:tcPr>
          <w:p w14:paraId="51C21F24"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Pozice, na něž se uplatňuje standardizovaný přístup k úvěrovému riziku</w:t>
            </w:r>
          </w:p>
          <w:p w14:paraId="1F31927B" w14:textId="77777777" w:rsidR="007266CF" w:rsidRPr="002A677E" w:rsidRDefault="007266CF" w:rsidP="007266CF">
            <w:pPr>
              <w:spacing w:before="60"/>
              <w:rPr>
                <w:rFonts w:ascii="Times New Roman" w:hAnsi="Times New Roman"/>
                <w:i/>
                <w:sz w:val="24"/>
              </w:rPr>
            </w:pPr>
            <w:r>
              <w:rPr>
                <w:rFonts w:ascii="Times New Roman" w:hAnsi="Times New Roman"/>
                <w:sz w:val="24"/>
              </w:rPr>
              <w:t>Hodnota expozice pro CCR u pozic, na něž se uplatňuje standardizovaný přístup k úvěrovému riziku v souladu s částí třetí hlavou II kapitolou 2 nařízení (EU) č. 575/2013.</w:t>
            </w:r>
          </w:p>
        </w:tc>
      </w:tr>
      <w:tr w:rsidR="007266CF" w:rsidRPr="002A677E" w14:paraId="129B91E4" w14:textId="77777777" w:rsidTr="007266CF">
        <w:trPr>
          <w:trHeight w:val="557"/>
        </w:trPr>
        <w:tc>
          <w:tcPr>
            <w:tcW w:w="1384" w:type="dxa"/>
          </w:tcPr>
          <w:p w14:paraId="18BC773A" w14:textId="77777777" w:rsidR="007266CF" w:rsidRPr="002A677E" w:rsidRDefault="007266CF" w:rsidP="007266CF">
            <w:pPr>
              <w:pStyle w:val="Applicationdirecte"/>
              <w:spacing w:before="0" w:after="0"/>
            </w:pPr>
            <w:r>
              <w:t>0190</w:t>
            </w:r>
          </w:p>
        </w:tc>
        <w:tc>
          <w:tcPr>
            <w:tcW w:w="7655" w:type="dxa"/>
          </w:tcPr>
          <w:p w14:paraId="11369A01"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Pozice, na něž se uplatňuje přístup k úvěrovému riziku založený na interním ratingu</w:t>
            </w:r>
          </w:p>
          <w:p w14:paraId="76BED919" w14:textId="77777777" w:rsidR="007266CF" w:rsidRPr="002A677E" w:rsidRDefault="007266CF" w:rsidP="007266CF">
            <w:pPr>
              <w:rPr>
                <w:rFonts w:ascii="Times New Roman" w:hAnsi="Times New Roman"/>
                <w:sz w:val="24"/>
              </w:rPr>
            </w:pPr>
            <w:r>
              <w:rPr>
                <w:rFonts w:ascii="Times New Roman" w:hAnsi="Times New Roman"/>
                <w:sz w:val="24"/>
              </w:rPr>
              <w:t xml:space="preserve">Hodnota expozice pro CCR u pozic, na něž se uplatňuje přístup založený na interním ratingu v souladu s částí třetí hlavou II kapitolou 3 nařízení (EU) č. 575/2013. </w:t>
            </w:r>
          </w:p>
        </w:tc>
      </w:tr>
      <w:tr w:rsidR="007266CF" w:rsidRPr="002A677E" w14:paraId="014D26BC" w14:textId="77777777" w:rsidTr="007266CF">
        <w:trPr>
          <w:trHeight w:val="680"/>
        </w:trPr>
        <w:tc>
          <w:tcPr>
            <w:tcW w:w="1384" w:type="dxa"/>
          </w:tcPr>
          <w:p w14:paraId="75388A67" w14:textId="77777777" w:rsidR="007266CF" w:rsidRPr="002A677E" w:rsidRDefault="007266CF" w:rsidP="007266CF">
            <w:pPr>
              <w:pStyle w:val="Applicationdirecte"/>
              <w:spacing w:before="0" w:after="0"/>
            </w:pPr>
            <w:r>
              <w:t>0200</w:t>
            </w:r>
          </w:p>
        </w:tc>
        <w:tc>
          <w:tcPr>
            <w:tcW w:w="7655" w:type="dxa"/>
          </w:tcPr>
          <w:p w14:paraId="15228290"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OBJEM RIZIKOVĚ VÁŽENÝCH EXPOZIC</w:t>
            </w:r>
          </w:p>
          <w:p w14:paraId="67F78C93"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Objemy rizikově vážených expozic pro CCR ve smyslu čl. 92 odst. 3 a 4 nařízení (EU) č. 575/2013 vypočítané v souladu s metodami stanovenými v části třetí hlavě II kapitolách 2 a 3.</w:t>
            </w:r>
          </w:p>
          <w:p w14:paraId="1ED8E16F" w14:textId="77777777" w:rsidR="007266CF" w:rsidRPr="002A677E" w:rsidRDefault="007266CF" w:rsidP="007266CF">
            <w:pPr>
              <w:rPr>
                <w:rFonts w:ascii="Times New Roman" w:hAnsi="Times New Roman"/>
                <w:sz w:val="24"/>
              </w:rPr>
            </w:pPr>
            <w:r>
              <w:rPr>
                <w:rFonts w:ascii="Times New Roman" w:hAnsi="Times New Roman"/>
                <w:sz w:val="24"/>
              </w:rPr>
              <w:t xml:space="preserve">Zohledňuje se podpůrný koeficient pro malé a střední podniky a infrastrukturu podle článků 501 a 501a nařízení (EU) č. 575/2013. </w:t>
            </w:r>
          </w:p>
        </w:tc>
      </w:tr>
      <w:tr w:rsidR="007266CF" w:rsidRPr="002A677E" w14:paraId="59537C2F"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D3B1BF" w14:textId="77777777" w:rsidR="007266CF" w:rsidRPr="002A677E" w:rsidRDefault="007266CF" w:rsidP="007266CF">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56AFBF"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Pozice, na něž se uplatňuje standardizovaný přístup k úvěrovému riziku</w:t>
            </w:r>
          </w:p>
          <w:p w14:paraId="1BA1230B"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Objemy rizikově vážených expozic pro expozice s CCR, na něž se uplatňuje standardizovaný přístup k úvěrovému riziku v souladu s částí třetí hlavou II kapitolou 2 nařízení (EU) č. 575/2013. </w:t>
            </w:r>
          </w:p>
          <w:p w14:paraId="0FCA2754" w14:textId="77777777" w:rsidR="007266CF" w:rsidRPr="002A677E" w:rsidRDefault="007266CF" w:rsidP="007266CF">
            <w:pPr>
              <w:rPr>
                <w:rFonts w:ascii="Times New Roman" w:hAnsi="Times New Roman"/>
                <w:sz w:val="24"/>
              </w:rPr>
            </w:pPr>
            <w:r>
              <w:rPr>
                <w:rFonts w:ascii="Times New Roman" w:hAnsi="Times New Roman"/>
                <w:sz w:val="24"/>
              </w:rPr>
              <w:t>Tato částka odpovídá částce, která se uvádí ve sloupci 0220 šablony C 07.00 pro pozice s CCR.</w:t>
            </w:r>
          </w:p>
        </w:tc>
      </w:tr>
      <w:tr w:rsidR="007266CF" w:rsidRPr="002A677E" w14:paraId="70CD4D0F" w14:textId="77777777" w:rsidTr="007266CF">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CFF987" w14:textId="77777777" w:rsidR="007266CF" w:rsidRPr="002A677E" w:rsidRDefault="007266CF" w:rsidP="007266CF">
            <w:pPr>
              <w:pStyle w:val="Applicationdirecte"/>
              <w:spacing w:before="0"/>
              <w:jc w:val="left"/>
            </w:pPr>
            <w:r>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A4A3CF"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Pozice, na něž se uplatňuje přístup k úvěrovému riziku založený na interním ratingu</w:t>
            </w:r>
          </w:p>
          <w:p w14:paraId="5A2D081A" w14:textId="77777777" w:rsidR="007266CF" w:rsidRPr="002A677E" w:rsidRDefault="007266CF" w:rsidP="007266CF">
            <w:pPr>
              <w:pStyle w:val="TableMainHeading"/>
              <w:spacing w:before="60"/>
              <w:jc w:val="both"/>
              <w:rPr>
                <w:rFonts w:ascii="Times New Roman" w:hAnsi="Times New Roman"/>
                <w:sz w:val="24"/>
              </w:rPr>
            </w:pPr>
            <w:r>
              <w:rPr>
                <w:rFonts w:ascii="Times New Roman" w:hAnsi="Times New Roman"/>
                <w:sz w:val="24"/>
              </w:rPr>
              <w:t>Objemy rizikově vážených expozic pro expozice s CCR, na něž se uplatňuje přístup založený na interním ratingu v souladu s částí třetí hlavou II kapitolou 3 nařízení (EU) č. 575/2013.</w:t>
            </w:r>
          </w:p>
          <w:p w14:paraId="0C9CA75D" w14:textId="77777777" w:rsidR="007266CF" w:rsidRPr="002A677E" w:rsidRDefault="007266CF" w:rsidP="007266CF">
            <w:pPr>
              <w:rPr>
                <w:rFonts w:ascii="Times New Roman" w:hAnsi="Times New Roman"/>
                <w:sz w:val="24"/>
              </w:rPr>
            </w:pPr>
            <w:r>
              <w:rPr>
                <w:rFonts w:ascii="Times New Roman" w:hAnsi="Times New Roman"/>
                <w:sz w:val="24"/>
              </w:rPr>
              <w:t>Tato částka odpovídá částce, která se uvádí ve sloupci 0260 šablony C 08.01 pro pozice s CCR.</w:t>
            </w:r>
          </w:p>
        </w:tc>
      </w:tr>
      <w:tr w:rsidR="007266CF" w:rsidRPr="002A677E" w14:paraId="4864D861" w14:textId="77777777" w:rsidTr="007266CF">
        <w:trPr>
          <w:trHeight w:val="680"/>
        </w:trPr>
        <w:tc>
          <w:tcPr>
            <w:tcW w:w="9039" w:type="dxa"/>
            <w:gridSpan w:val="2"/>
            <w:tcBorders>
              <w:top w:val="single" w:sz="4" w:space="0" w:color="auto"/>
              <w:left w:val="nil"/>
              <w:bottom w:val="single" w:sz="4" w:space="0" w:color="auto"/>
              <w:right w:val="nil"/>
            </w:tcBorders>
            <w:shd w:val="clear" w:color="auto" w:fill="auto"/>
          </w:tcPr>
          <w:p w14:paraId="0F123416" w14:textId="77777777" w:rsidR="007266CF" w:rsidRPr="002A677E" w:rsidRDefault="007266CF" w:rsidP="007266CF">
            <w:pPr>
              <w:pStyle w:val="TableMainHeading"/>
              <w:spacing w:before="60"/>
              <w:rPr>
                <w:rFonts w:ascii="Times New Roman" w:hAnsi="Times New Roman"/>
                <w:i/>
                <w:sz w:val="24"/>
                <w:szCs w:val="24"/>
              </w:rPr>
            </w:pPr>
          </w:p>
        </w:tc>
      </w:tr>
      <w:tr w:rsidR="007266CF" w:rsidRPr="002A677E" w14:paraId="76CD8645" w14:textId="77777777" w:rsidTr="007266CF">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CDD767" w14:textId="77777777" w:rsidR="007266CF" w:rsidRPr="002A677E" w:rsidRDefault="007266CF" w:rsidP="007266CF">
            <w:pPr>
              <w:pStyle w:val="TableMainHeading"/>
              <w:spacing w:before="60"/>
              <w:rPr>
                <w:rFonts w:ascii="Times New Roman" w:hAnsi="Times New Roman"/>
                <w:b/>
                <w:sz w:val="24"/>
                <w:szCs w:val="24"/>
              </w:rPr>
            </w:pPr>
            <w:r>
              <w:rPr>
                <w:rFonts w:ascii="Times New Roman" w:hAnsi="Times New Roman"/>
                <w:b/>
                <w:sz w:val="24"/>
              </w:rPr>
              <w:t xml:space="preserve">Řádek </w:t>
            </w:r>
          </w:p>
        </w:tc>
      </w:tr>
      <w:tr w:rsidR="007266CF" w:rsidRPr="002A677E" w14:paraId="5BD7A81A" w14:textId="77777777" w:rsidTr="007266CF">
        <w:trPr>
          <w:trHeight w:val="680"/>
        </w:trPr>
        <w:tc>
          <w:tcPr>
            <w:tcW w:w="1384" w:type="dxa"/>
          </w:tcPr>
          <w:p w14:paraId="45A50EEF" w14:textId="77777777" w:rsidR="007266CF" w:rsidRPr="002A677E" w:rsidRDefault="007266CF" w:rsidP="007266CF">
            <w:pPr>
              <w:pStyle w:val="Applicationdirecte"/>
              <w:spacing w:before="0" w:after="0"/>
            </w:pPr>
            <w:r>
              <w:t>0010</w:t>
            </w:r>
          </w:p>
        </w:tc>
        <w:tc>
          <w:tcPr>
            <w:tcW w:w="7655" w:type="dxa"/>
          </w:tcPr>
          <w:p w14:paraId="683AC90E" w14:textId="77777777" w:rsidR="007266CF" w:rsidRPr="002A677E" w:rsidRDefault="007266CF" w:rsidP="007266CF">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METODA PŮVODNÍ EXPOZICE (PRO DERIVÁTY) </w:t>
            </w:r>
          </w:p>
          <w:p w14:paraId="323FFCF2" w14:textId="77777777" w:rsidR="007266CF" w:rsidRPr="002A677E" w:rsidRDefault="007266CF" w:rsidP="007266CF">
            <w:pPr>
              <w:pStyle w:val="TableMainHeading"/>
              <w:spacing w:before="60"/>
              <w:rPr>
                <w:rFonts w:ascii="Times New Roman" w:hAnsi="Times New Roman"/>
                <w:i/>
                <w:sz w:val="24"/>
                <w:szCs w:val="24"/>
              </w:rPr>
            </w:pPr>
            <w:r>
              <w:rPr>
                <w:rFonts w:ascii="Times New Roman" w:hAnsi="Times New Roman"/>
                <w:sz w:val="24"/>
              </w:rPr>
              <w:t>Deriváty a transakce s delší dobou vypořádání, pro které instituce vypočítává hodnotu expozice v souladu s částí třetí hlavou II kapitolou 6 oddílem 5 nařízení (EU) č. 575/2013. Tuto zjednodušenou metodu výpočtu hodnoty expozice mohou použít pouze instituce, které splňují podmínky stanovené v čl. 273a odst. 2 nebo čl. 273a odst. 4 nařízení (EU) č. 575/2013.</w:t>
            </w:r>
          </w:p>
        </w:tc>
      </w:tr>
      <w:tr w:rsidR="007266CF" w:rsidRPr="002A677E" w14:paraId="7F82EA03"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7B58E5A1" w14:textId="77777777" w:rsidR="007266CF" w:rsidRPr="002A677E" w:rsidRDefault="007266CF" w:rsidP="007266CF">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1C6E38D1" w14:textId="77777777" w:rsidR="007266CF" w:rsidRPr="002A677E" w:rsidRDefault="007266CF" w:rsidP="007266CF">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ZJEDNODUŠENÝ STANDARDIZOVANÝ PŘÍSTUP PRO CCR (ZJEDNODUŠENÝ PŘÍSTUP SA-CCR PRO DERIVÁTY)</w:t>
            </w:r>
          </w:p>
          <w:p w14:paraId="4B866FFC"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 xml:space="preserve">Deriváty a transakce s delší dobou vypořádání, pro které instituce vypočítává hodnotu expozice v souladu s částí třetí hlavou II kapitolou 6 oddílem 4 nařízení (EU) č. 575/2013. Tento zjednodušený standardizovaný přístup pro výpočet hodnoty expozice mohou použít pouze instituce, které splňují podmínky stanovené v čl. 273a odst. 1 nebo čl. 273a odst. 4 nařízení (EU) č. 575/2013. </w:t>
            </w:r>
          </w:p>
        </w:tc>
      </w:tr>
      <w:tr w:rsidR="007266CF" w:rsidRPr="002A677E" w14:paraId="29B14C0D"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5C5882A1" w14:textId="77777777" w:rsidR="007266CF" w:rsidRPr="002A677E" w:rsidRDefault="007266CF" w:rsidP="007266CF">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4A9838F9" w14:textId="77777777" w:rsidR="007266CF" w:rsidRPr="002A677E" w:rsidRDefault="007266CF" w:rsidP="007266CF">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STANDARDIZOVANÝ PŘÍSTUP PRO CCR (PŘÍSTUP SA-CCR PRO DERIVÁTY)</w:t>
            </w:r>
          </w:p>
          <w:p w14:paraId="4CCE842B" w14:textId="77777777" w:rsidR="007266CF" w:rsidRPr="002A677E" w:rsidRDefault="007266CF" w:rsidP="007266CF">
            <w:pPr>
              <w:pStyle w:val="TableMainHeading"/>
              <w:spacing w:before="60"/>
              <w:rPr>
                <w:rFonts w:ascii="Times New Roman" w:hAnsi="Times New Roman"/>
                <w:sz w:val="24"/>
                <w:szCs w:val="24"/>
              </w:rPr>
            </w:pPr>
            <w:r>
              <w:rPr>
                <w:rFonts w:ascii="Times New Roman" w:hAnsi="Times New Roman"/>
                <w:sz w:val="24"/>
              </w:rPr>
              <w:t>Deriváty a transakce s delší dobou vypořádání, pro které instituce vypočítává hodnotu expozice v souladu s částí třetí hlavou II kapitolou 6 oddílem 3 nařízení (EU) č. 575/2013.</w:t>
            </w:r>
          </w:p>
        </w:tc>
      </w:tr>
      <w:tr w:rsidR="007266CF" w:rsidRPr="002A677E" w14:paraId="0DDEEE07"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11BF4DD1" w14:textId="77777777" w:rsidR="007266CF" w:rsidRPr="002A677E" w:rsidRDefault="007266CF" w:rsidP="007266CF">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7318FC27" w14:textId="77777777" w:rsidR="007266CF" w:rsidRPr="002A677E" w:rsidRDefault="007266CF" w:rsidP="007266CF">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METODA INTERNÍHO MODELU (PRO DERIVÁTY A TRANSAKCE S FINANCOVÁNÍM CENNÝCH PAPÍRŮ)</w:t>
            </w:r>
          </w:p>
          <w:p w14:paraId="208E4AF9" w14:textId="77777777" w:rsidR="007266CF" w:rsidRPr="002A677E" w:rsidRDefault="007266CF" w:rsidP="007266CF">
            <w:pPr>
              <w:pStyle w:val="TableMainHeading"/>
              <w:spacing w:before="60"/>
              <w:rPr>
                <w:rFonts w:ascii="Times New Roman" w:hAnsi="Times New Roman"/>
                <w:sz w:val="24"/>
                <w:szCs w:val="24"/>
              </w:rPr>
            </w:pPr>
            <w:r>
              <w:rPr>
                <w:rFonts w:ascii="Times New Roman" w:hAnsi="Times New Roman"/>
                <w:sz w:val="24"/>
              </w:rPr>
              <w:t>Deriváty, transakce s delší dobou vypořádání a transakce s financováním cenných papírů, u nichž bylo instituci povoleno vypočítat hodnotu expozice pomocí metody interního modelu v souladu s částí třetí hlavou II kapitolou 6 oddílem 6 nařízení (EU) č. 575/2013.</w:t>
            </w:r>
          </w:p>
        </w:tc>
      </w:tr>
      <w:tr w:rsidR="007266CF" w:rsidRPr="002A677E" w14:paraId="68289129"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3C5E4588" w14:textId="77777777" w:rsidR="007266CF" w:rsidRPr="002A677E" w:rsidRDefault="007266CF" w:rsidP="007266CF">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079E34B9"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Skupiny transakcí se započtením transakcí s financováním cenných papírů</w:t>
            </w:r>
          </w:p>
          <w:p w14:paraId="5B59472A"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 xml:space="preserve">Skupiny transakcí se započtením obsahující pouze transakce s financováním cenných papírů ve smyslu čl. 4 bodu 139 nařízení (EU) č. 575/2013, u nichž </w:t>
            </w:r>
            <w:r>
              <w:rPr>
                <w:rFonts w:ascii="Times New Roman" w:hAnsi="Times New Roman"/>
                <w:sz w:val="24"/>
              </w:rPr>
              <w:lastRenderedPageBreak/>
              <w:t>bylo instituci povoleno určit hodnotu expozice pomocí metody interního modelu.</w:t>
            </w:r>
          </w:p>
          <w:p w14:paraId="0B0C0BAD"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Transakce s financováním cenných papírů, které jsou zahrnuty do křížového započtení na základě smlouvy, a proto se vykazují v řádku 0070, se nevykazují v tomto řádku.</w:t>
            </w:r>
          </w:p>
        </w:tc>
      </w:tr>
      <w:tr w:rsidR="007266CF" w:rsidRPr="002A677E" w14:paraId="09E30388"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7755BD44" w14:textId="77777777" w:rsidR="007266CF" w:rsidRPr="002A677E" w:rsidRDefault="007266CF" w:rsidP="007266CF">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2F4ABEB5"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Skupiny transakcí se započtením zahrnující deriváty a transakce s delší dobou vypořádání</w:t>
            </w:r>
          </w:p>
          <w:p w14:paraId="6182F9E6"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Skupiny transakcí se započtením obsahující pouze derivátové nástroje uvedené v příloze II nařízení (EU) č. 575/2013 a transakce s delší dobou vypořádání ve smyslu čl. 272 bodu 2 nařízení (EU) č. 575/2013, u nichž bylo instituci povoleno určit hodnotu expozice pomocí metody interního modelu.</w:t>
            </w:r>
          </w:p>
          <w:p w14:paraId="78B9C5B7"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Deriváty a transakce s delší dobou vypořádání, které jsou zahrnuty do křížového započtení na základě smlouvy, a proto se vykazují v řádku 0070, se nevykazují v tomto řádku.</w:t>
            </w:r>
          </w:p>
        </w:tc>
      </w:tr>
      <w:tr w:rsidR="007266CF" w:rsidRPr="002A677E" w14:paraId="288B6DF6"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650B2A3B" w14:textId="77777777" w:rsidR="007266CF" w:rsidRPr="002A677E" w:rsidRDefault="007266CF" w:rsidP="007266CF">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7860119E" w14:textId="77777777" w:rsidR="007266CF" w:rsidRPr="002A677E" w:rsidRDefault="007266CF" w:rsidP="007266CF">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Z křížového započtení na základě smlouvy</w:t>
            </w:r>
          </w:p>
          <w:p w14:paraId="1890C1BA" w14:textId="77777777" w:rsidR="007266CF" w:rsidRPr="002A677E" w:rsidRDefault="007266CF" w:rsidP="007266CF">
            <w:pPr>
              <w:rPr>
                <w:rFonts w:ascii="Times New Roman" w:hAnsi="Times New Roman"/>
                <w:sz w:val="24"/>
              </w:rPr>
            </w:pPr>
            <w:r>
              <w:rPr>
                <w:rFonts w:ascii="Times New Roman" w:hAnsi="Times New Roman"/>
                <w:sz w:val="24"/>
              </w:rPr>
              <w:t>Ustanovení čl. 272 bodů 11 a 25 nařízení (EU) č. 575/2013</w:t>
            </w:r>
          </w:p>
          <w:p w14:paraId="0464C2A2"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Skupina transakcí se započtením zahrnující transakce z různých produktových kategorií (čl. 272 bod 11 nařízení (EU) č. 575/2013), tj. deriváty a transakce s financováním cenných papírů, pro které existuje dohoda o křížovém započtení na základě smlouvy ve smyslu čl. 272 bodu 25 nařízení (EU) č. 575/2013 a u nichž bylo instituci povoleno určit hodnotu expozice pomocí metody interního modelu.</w:t>
            </w:r>
          </w:p>
        </w:tc>
      </w:tr>
      <w:tr w:rsidR="007266CF" w:rsidRPr="002A677E" w14:paraId="2B0AFF98"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0806372F" w14:textId="77777777" w:rsidR="007266CF" w:rsidRPr="002A677E" w:rsidRDefault="007266CF" w:rsidP="007266CF">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717FBE1E"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JEDNODUCHÁ METODA FINANČNÍHO KOLATERÁLU (PRO TRANSAKCE S FINANCOVÁNÍM CENNÝCH PAPÍRŮ) </w:t>
            </w:r>
          </w:p>
          <w:p w14:paraId="4CAD8001" w14:textId="77777777" w:rsidR="007266CF" w:rsidRPr="002A677E" w:rsidRDefault="007266CF" w:rsidP="007266CF">
            <w:pPr>
              <w:rPr>
                <w:rFonts w:ascii="Times New Roman" w:hAnsi="Times New Roman"/>
                <w:sz w:val="24"/>
              </w:rPr>
            </w:pPr>
            <w:r>
              <w:rPr>
                <w:rFonts w:ascii="Times New Roman" w:hAnsi="Times New Roman"/>
                <w:sz w:val="24"/>
              </w:rPr>
              <w:t>Článek 222 nařízení (EU) č. 575/2013</w:t>
            </w:r>
          </w:p>
          <w:p w14:paraId="371490FD"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Repo obchody, půjčky či výpůjčky cenných papírů nebo komodit, transakce s delší dobou vypořádání a maržové obchody, u nichž se instituce rozhodla určit hodnotu expozice v souladu s článkem 222 nařízení (EU) č. 575/2013, a nikoli částí třetí hlavou II kapitolou 6 uvedeného nařízení v souladu s čl. 271 odst. 2 téhož nařízení.</w:t>
            </w:r>
          </w:p>
        </w:tc>
      </w:tr>
      <w:tr w:rsidR="007266CF" w:rsidRPr="002A677E" w14:paraId="722CCFCA"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5FFC4135" w14:textId="77777777" w:rsidR="007266CF" w:rsidRPr="002A677E" w:rsidRDefault="007266CF" w:rsidP="007266CF">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6B5E8A08"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KOMPLEXNÍ METODA FINANČNÍHO KOLATERÁLU (PRO TRANSAKCE S FINANCOVÁNÍM CENNÝCH PAPÍRŮ)</w:t>
            </w:r>
          </w:p>
          <w:p w14:paraId="24E257CF"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Články 220 a 223 nařízení (EU) č. 575/2013</w:t>
            </w:r>
          </w:p>
          <w:p w14:paraId="1A4F6044" w14:textId="77777777" w:rsidR="007266CF" w:rsidRPr="002A677E" w:rsidRDefault="007266CF" w:rsidP="007266CF">
            <w:pPr>
              <w:pStyle w:val="TableMainHeading"/>
              <w:spacing w:before="60"/>
              <w:jc w:val="both"/>
              <w:rPr>
                <w:rFonts w:ascii="Times New Roman" w:hAnsi="Times New Roman"/>
                <w:i/>
                <w:sz w:val="24"/>
                <w:szCs w:val="24"/>
              </w:rPr>
            </w:pPr>
            <w:r w:rsidRPr="006223CC">
              <w:rPr>
                <w:rFonts w:ascii="Times New Roman" w:hAnsi="Times New Roman"/>
                <w:sz w:val="24"/>
                <w:lang w:val="fr-FR"/>
              </w:rPr>
              <w:t>Repo obchody, půjčky či výpůjčky cenných papírů nebo komodit, transakce s delší dobou vypořádání a maržové obchody, u nichž se instituce rozhodla určit hodnotu expozice v souladu s článkem 223 nařízení (EU) č. 575/2013, a nikoli částí třetí hlavou II kapitolou 6 uvedeného nařízení v souladu s čl. 271 odst. </w:t>
            </w:r>
            <w:r>
              <w:rPr>
                <w:rFonts w:ascii="Times New Roman" w:hAnsi="Times New Roman"/>
                <w:sz w:val="24"/>
              </w:rPr>
              <w:t>2 téhož nařízení.</w:t>
            </w:r>
          </w:p>
        </w:tc>
      </w:tr>
      <w:tr w:rsidR="007266CF" w:rsidRPr="002A677E" w14:paraId="4F5A2E4B"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3C2C7656" w14:textId="77777777" w:rsidR="007266CF" w:rsidRPr="002A677E" w:rsidRDefault="007266CF" w:rsidP="007266CF">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10C4A81F"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HODNOTA V RIZIKU PRO TRANSAKCE S FINANCOVÁNÍM CENNÝCH PAPÍRŮ</w:t>
            </w:r>
          </w:p>
          <w:p w14:paraId="63726FCC" w14:textId="77777777" w:rsidR="007266CF" w:rsidRPr="002A677E" w:rsidRDefault="007266CF" w:rsidP="007266CF">
            <w:pPr>
              <w:rPr>
                <w:rFonts w:ascii="Times New Roman" w:hAnsi="Times New Roman"/>
                <w:sz w:val="24"/>
              </w:rPr>
            </w:pPr>
            <w:r>
              <w:rPr>
                <w:rFonts w:ascii="Times New Roman" w:hAnsi="Times New Roman"/>
                <w:sz w:val="24"/>
              </w:rPr>
              <w:t>Článek 221 nařízení (EU) č. 575/2013</w:t>
            </w:r>
          </w:p>
          <w:p w14:paraId="3837CA57"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lastRenderedPageBreak/>
              <w:t xml:space="preserve">Repo obchody, půjčky či výpůjčky cenných papírů nebo komodit, maržové obchody nebo jiné transakce na kapitálovém trhu jiné než transakce s deriváty, u nichž se v souladu s článkem 221 nařízení (EU) č. 575/2013 a se svolením příslušného orgánu hodnota expozice vypočítá pomocí přístupu interního modelu, který zohledňuje vliv korelace mezi pozicemi v cenných papírech, které jsou předmětem dané rámcové dohody o započtení, i likviditu dotčených nástrojů. </w:t>
            </w:r>
          </w:p>
        </w:tc>
      </w:tr>
      <w:tr w:rsidR="007266CF" w:rsidRPr="002A677E" w14:paraId="5213E9BF"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51AEC00C" w14:textId="77777777" w:rsidR="007266CF" w:rsidRPr="002A677E" w:rsidRDefault="007266CF" w:rsidP="007266CF">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380A6D2B"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CELKEM</w:t>
            </w:r>
          </w:p>
          <w:p w14:paraId="030AD82D" w14:textId="77777777" w:rsidR="007266CF" w:rsidRPr="002A677E" w:rsidRDefault="007266CF" w:rsidP="007266CF">
            <w:pPr>
              <w:keepNext/>
              <w:spacing w:before="60"/>
              <w:rPr>
                <w:rStyle w:val="InstructionsTabelleberschrift"/>
                <w:rFonts w:ascii="Times New Roman" w:hAnsi="Times New Roman"/>
                <w:sz w:val="24"/>
              </w:rPr>
            </w:pPr>
          </w:p>
        </w:tc>
      </w:tr>
      <w:tr w:rsidR="007266CF" w:rsidRPr="002A677E" w14:paraId="260A4CB0" w14:textId="77777777" w:rsidTr="007266CF">
        <w:trPr>
          <w:trHeight w:val="1502"/>
        </w:trPr>
        <w:tc>
          <w:tcPr>
            <w:tcW w:w="1384" w:type="dxa"/>
          </w:tcPr>
          <w:p w14:paraId="60FB3574" w14:textId="77777777" w:rsidR="007266CF" w:rsidRPr="002A677E" w:rsidDel="003E0C6A" w:rsidRDefault="007266CF" w:rsidP="007266CF">
            <w:pPr>
              <w:pStyle w:val="Applicationdirecte"/>
              <w:spacing w:before="60" w:after="0"/>
              <w:jc w:val="left"/>
            </w:pPr>
            <w:r>
              <w:t>0120</w:t>
            </w:r>
          </w:p>
        </w:tc>
        <w:tc>
          <w:tcPr>
            <w:tcW w:w="7655" w:type="dxa"/>
          </w:tcPr>
          <w:p w14:paraId="203E97A8"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Pozice se specifickým rizikem pozitivní korelace</w:t>
            </w:r>
          </w:p>
          <w:p w14:paraId="1C4CCCD1" w14:textId="77777777" w:rsidR="007266CF" w:rsidRPr="002A677E" w:rsidRDefault="007266CF" w:rsidP="007266CF">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291 </w:t>
            </w:r>
            <w:r>
              <w:rPr>
                <w:rFonts w:ascii="Times New Roman" w:hAnsi="Times New Roman"/>
                <w:sz w:val="24"/>
              </w:rPr>
              <w:t>nařízení (EU) č. 575/2013</w:t>
            </w:r>
          </w:p>
          <w:p w14:paraId="495A3E06" w14:textId="77777777" w:rsidR="007266CF" w:rsidRPr="002A677E" w:rsidDel="003E0C6A" w:rsidRDefault="007266CF" w:rsidP="007266CF">
            <w:pPr>
              <w:keepNext/>
              <w:spacing w:before="60"/>
              <w:rPr>
                <w:rFonts w:ascii="Times New Roman" w:hAnsi="Times New Roman"/>
                <w:bCs/>
                <w:sz w:val="24"/>
              </w:rPr>
            </w:pPr>
            <w:r>
              <w:rPr>
                <w:rStyle w:val="InstructionsTabelleberschrift"/>
                <w:rFonts w:ascii="Times New Roman" w:hAnsi="Times New Roman"/>
                <w:b w:val="0"/>
                <w:sz w:val="24"/>
                <w:u w:val="none"/>
              </w:rPr>
              <w:t xml:space="preserve">Expozice s CCR, u nichž bylo identifikováno specifické riziko pozitivní korelace v souladu s článkem 291 </w:t>
            </w:r>
            <w:r>
              <w:rPr>
                <w:rFonts w:ascii="Times New Roman" w:hAnsi="Times New Roman"/>
                <w:sz w:val="24"/>
              </w:rPr>
              <w:t>nařízení (EU) č. 575/2013</w:t>
            </w:r>
            <w:r>
              <w:rPr>
                <w:rStyle w:val="InstructionsTabelleberschrift"/>
                <w:rFonts w:ascii="Times New Roman" w:hAnsi="Times New Roman"/>
                <w:b w:val="0"/>
                <w:sz w:val="24"/>
                <w:u w:val="none"/>
              </w:rPr>
              <w:t>.</w:t>
            </w:r>
          </w:p>
        </w:tc>
      </w:tr>
      <w:tr w:rsidR="007266CF" w:rsidRPr="002A677E" w14:paraId="04CD69F6" w14:textId="77777777" w:rsidTr="007266CF">
        <w:trPr>
          <w:trHeight w:val="426"/>
        </w:trPr>
        <w:tc>
          <w:tcPr>
            <w:tcW w:w="1384" w:type="dxa"/>
          </w:tcPr>
          <w:p w14:paraId="742CD3FA" w14:textId="77777777" w:rsidR="007266CF" w:rsidRPr="002A677E" w:rsidDel="003E0C6A" w:rsidRDefault="007266CF" w:rsidP="007266CF">
            <w:pPr>
              <w:pStyle w:val="Applicationdirecte"/>
              <w:spacing w:before="60" w:after="0"/>
              <w:jc w:val="left"/>
            </w:pPr>
            <w:r>
              <w:t>0130</w:t>
            </w:r>
          </w:p>
        </w:tc>
        <w:tc>
          <w:tcPr>
            <w:tcW w:w="7655" w:type="dxa"/>
          </w:tcPr>
          <w:p w14:paraId="76CD0811"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Maržové obchody</w:t>
            </w:r>
          </w:p>
          <w:p w14:paraId="32BB63E5" w14:textId="77777777" w:rsidR="007266CF" w:rsidRPr="002A677E" w:rsidRDefault="007266CF" w:rsidP="007266CF">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272 odst. 7 </w:t>
            </w:r>
            <w:r>
              <w:rPr>
                <w:rFonts w:ascii="Times New Roman" w:hAnsi="Times New Roman"/>
                <w:sz w:val="24"/>
              </w:rPr>
              <w:t>nařízení (EU) č. 575/2013</w:t>
            </w:r>
          </w:p>
          <w:p w14:paraId="59F41B6F" w14:textId="77777777" w:rsidR="007266CF" w:rsidRPr="002A677E" w:rsidDel="003E0C6A" w:rsidRDefault="007266CF" w:rsidP="007266CF">
            <w:pPr>
              <w:keepNext/>
              <w:spacing w:before="60"/>
              <w:rPr>
                <w:rFonts w:ascii="Times New Roman" w:hAnsi="Times New Roman"/>
                <w:sz w:val="24"/>
              </w:rPr>
            </w:pPr>
            <w:r>
              <w:rPr>
                <w:rStyle w:val="InstructionsTabelleberschrift"/>
                <w:rFonts w:ascii="Times New Roman" w:hAnsi="Times New Roman"/>
                <w:b w:val="0"/>
                <w:sz w:val="24"/>
                <w:u w:val="none"/>
              </w:rPr>
              <w:t xml:space="preserve">Expozice s CCR, na které se vztahuje maržová dohoda, tj. skupiny transakcí se započtením podléhající maržové dohodě v souladu s čl. 272 bodem 7 </w:t>
            </w:r>
            <w:r>
              <w:rPr>
                <w:rFonts w:ascii="Times New Roman" w:hAnsi="Times New Roman"/>
                <w:sz w:val="24"/>
              </w:rPr>
              <w:t>nařízení (EU) č. 575/2013</w:t>
            </w:r>
            <w:r>
              <w:rPr>
                <w:rStyle w:val="InstructionsTabelleberschrift"/>
                <w:rFonts w:ascii="Times New Roman" w:hAnsi="Times New Roman"/>
                <w:b w:val="0"/>
                <w:sz w:val="24"/>
                <w:u w:val="none"/>
              </w:rPr>
              <w:t>.</w:t>
            </w:r>
          </w:p>
        </w:tc>
      </w:tr>
      <w:tr w:rsidR="007266CF" w:rsidRPr="002A677E" w14:paraId="33A656A5" w14:textId="77777777" w:rsidTr="007266CF">
        <w:trPr>
          <w:trHeight w:val="829"/>
        </w:trPr>
        <w:tc>
          <w:tcPr>
            <w:tcW w:w="1384" w:type="dxa"/>
          </w:tcPr>
          <w:p w14:paraId="5766C6C7" w14:textId="77777777" w:rsidR="007266CF" w:rsidRPr="002A677E" w:rsidDel="003E0C6A" w:rsidRDefault="007266CF" w:rsidP="007266CF">
            <w:pPr>
              <w:pStyle w:val="Applicationdirecte"/>
              <w:spacing w:before="60" w:after="0"/>
              <w:jc w:val="left"/>
            </w:pPr>
            <w:r>
              <w:t>0140</w:t>
            </w:r>
          </w:p>
        </w:tc>
        <w:tc>
          <w:tcPr>
            <w:tcW w:w="7655" w:type="dxa"/>
          </w:tcPr>
          <w:p w14:paraId="1CE493EA"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Obchody bez marží</w:t>
            </w:r>
          </w:p>
          <w:p w14:paraId="080B46C3" w14:textId="77777777" w:rsidR="007266CF" w:rsidRPr="002A677E" w:rsidDel="003E0C6A" w:rsidRDefault="007266CF" w:rsidP="007266CF">
            <w:pPr>
              <w:rPr>
                <w:rFonts w:ascii="Times New Roman" w:hAnsi="Times New Roman"/>
                <w:sz w:val="24"/>
              </w:rPr>
            </w:pPr>
            <w:r>
              <w:rPr>
                <w:rFonts w:ascii="Times New Roman" w:hAnsi="Times New Roman"/>
                <w:sz w:val="24"/>
              </w:rPr>
              <w:t>Expozice s CCR, které nejsou zahrnuty v řádku 0130.</w:t>
            </w:r>
          </w:p>
        </w:tc>
      </w:tr>
    </w:tbl>
    <w:p w14:paraId="0F56CD70" w14:textId="77777777" w:rsidR="007266CF" w:rsidRPr="002A677E" w:rsidRDefault="007266CF" w:rsidP="007266CF">
      <w:pPr>
        <w:rPr>
          <w:rFonts w:ascii="Times New Roman" w:hAnsi="Times New Roman"/>
          <w:noProof/>
          <w:sz w:val="24"/>
        </w:rPr>
      </w:pPr>
    </w:p>
    <w:p w14:paraId="1013FED5"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08" w:name="_Toc116026797"/>
      <w:bookmarkStart w:id="209" w:name="_Toc119077954"/>
      <w:r>
        <w:rPr>
          <w:rFonts w:ascii="Times New Roman" w:hAnsi="Times New Roman"/>
          <w:sz w:val="24"/>
        </w:rPr>
        <w:t>C 34.03 – Expozice s CCR, s nimiž se zachází standardizovanými přístupy: přístupem SA-CCR a zjednodušeným přístupem SA-CCR</w:t>
      </w:r>
      <w:bookmarkEnd w:id="208"/>
      <w:bookmarkEnd w:id="209"/>
    </w:p>
    <w:p w14:paraId="6A23ED3F"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10" w:name="_Toc116026798"/>
      <w:bookmarkStart w:id="211" w:name="_Toc119077955"/>
      <w:r>
        <w:rPr>
          <w:rFonts w:ascii="Times New Roman" w:hAnsi="Times New Roman"/>
          <w:sz w:val="24"/>
        </w:rPr>
        <w:t>Obecné poznámky</w:t>
      </w:r>
      <w:bookmarkEnd w:id="210"/>
      <w:bookmarkEnd w:id="211"/>
    </w:p>
    <w:p w14:paraId="7F5168BE" w14:textId="77777777" w:rsidR="007266CF" w:rsidRPr="002A677E" w:rsidRDefault="007266CF" w:rsidP="007266CF">
      <w:pPr>
        <w:pStyle w:val="InstructionsText2"/>
        <w:numPr>
          <w:ilvl w:val="0"/>
          <w:numId w:val="0"/>
        </w:numPr>
        <w:ind w:left="1353" w:hanging="360"/>
      </w:pPr>
      <w:fldSimple w:instr=" seq paragraphs ">
        <w:r>
          <w:t>125</w:t>
        </w:r>
      </w:fldSimple>
      <w:r>
        <w:t>. Šablona se použije samostatně pro vykazování expozic CCR vypočítaných pomocí přístupu SA-CCR a expozic s CCR vypočítaných pomocí zjednodušeného přístupu SA-CCR.</w:t>
      </w:r>
    </w:p>
    <w:p w14:paraId="712C3F93"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12" w:name="_Toc116026799"/>
      <w:bookmarkStart w:id="213" w:name="_Toc119077956"/>
      <w:r>
        <w:rPr>
          <w:rFonts w:ascii="Times New Roman" w:hAnsi="Times New Roman"/>
          <w:sz w:val="24"/>
        </w:rPr>
        <w:t>Pokyny pro konkrétní pozice</w:t>
      </w:r>
      <w:bookmarkEnd w:id="212"/>
      <w:bookmarkEnd w:id="21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2FF75BC4" w14:textId="77777777" w:rsidTr="007266CF">
        <w:trPr>
          <w:trHeight w:val="717"/>
        </w:trPr>
        <w:tc>
          <w:tcPr>
            <w:tcW w:w="9039" w:type="dxa"/>
            <w:gridSpan w:val="2"/>
            <w:shd w:val="clear" w:color="auto" w:fill="D9D9D9" w:themeFill="background1" w:themeFillShade="D9"/>
          </w:tcPr>
          <w:p w14:paraId="498FE2A9"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Sloupce</w:t>
            </w:r>
          </w:p>
        </w:tc>
      </w:tr>
      <w:tr w:rsidR="007266CF" w:rsidRPr="002A677E" w14:paraId="533B676D" w14:textId="77777777" w:rsidTr="007266CF">
        <w:trPr>
          <w:trHeight w:val="680"/>
        </w:trPr>
        <w:tc>
          <w:tcPr>
            <w:tcW w:w="1384" w:type="dxa"/>
          </w:tcPr>
          <w:p w14:paraId="3F883709" w14:textId="77777777" w:rsidR="007266CF" w:rsidRPr="002A677E" w:rsidRDefault="007266CF" w:rsidP="007266CF">
            <w:pPr>
              <w:pStyle w:val="Applicationdirecte"/>
              <w:spacing w:before="0" w:after="0"/>
            </w:pPr>
            <w:r>
              <w:t>0010</w:t>
            </w:r>
          </w:p>
        </w:tc>
        <w:tc>
          <w:tcPr>
            <w:tcW w:w="7655" w:type="dxa"/>
            <w:vAlign w:val="center"/>
          </w:tcPr>
          <w:p w14:paraId="67B41D06" w14:textId="77777777" w:rsidR="007266CF" w:rsidRPr="002A677E" w:rsidRDefault="007266CF" w:rsidP="007266CF">
            <w:pPr>
              <w:keepNext/>
              <w:spacing w:before="60"/>
              <w:rPr>
                <w:rFonts w:ascii="Times New Roman" w:hAnsi="Times New Roman"/>
                <w:sz w:val="24"/>
              </w:rPr>
            </w:pPr>
            <w:r>
              <w:rPr>
                <w:rStyle w:val="InstructionsTabelleberschrift"/>
                <w:rFonts w:ascii="Times New Roman" w:hAnsi="Times New Roman"/>
                <w:sz w:val="24"/>
              </w:rPr>
              <w:t>MĚNA</w:t>
            </w:r>
          </w:p>
          <w:p w14:paraId="03CA5756" w14:textId="77777777" w:rsidR="007266CF" w:rsidRPr="002A677E" w:rsidRDefault="007266CF" w:rsidP="007266CF">
            <w:pPr>
              <w:keepNext/>
              <w:spacing w:before="60"/>
              <w:rPr>
                <w:rFonts w:ascii="Times New Roman" w:hAnsi="Times New Roman"/>
                <w:sz w:val="24"/>
              </w:rPr>
            </w:pPr>
            <w:r>
              <w:rPr>
                <w:rFonts w:ascii="Times New Roman" w:hAnsi="Times New Roman"/>
                <w:sz w:val="24"/>
              </w:rPr>
              <w:t>U transakcí přiřazených ke kategorii úrokového rizika se vykazuje měna denominace transakce.</w:t>
            </w:r>
          </w:p>
          <w:p w14:paraId="04851DCA" w14:textId="77777777" w:rsidR="007266CF" w:rsidRPr="002A677E" w:rsidRDefault="007266CF" w:rsidP="007266CF">
            <w:pPr>
              <w:keepNext/>
              <w:spacing w:before="60"/>
              <w:rPr>
                <w:rFonts w:ascii="Times New Roman" w:hAnsi="Times New Roman"/>
                <w:sz w:val="24"/>
              </w:rPr>
            </w:pPr>
            <w:r>
              <w:rPr>
                <w:rFonts w:ascii="Times New Roman" w:hAnsi="Times New Roman"/>
                <w:sz w:val="24"/>
              </w:rPr>
              <w:t xml:space="preserve">U transakcí přiřazených ke kategorii měnového rizika se vykazuje měna denominace jedné ze dvou částí transakce. Instituce uvedou měny v měnovém </w:t>
            </w:r>
            <w:r>
              <w:rPr>
                <w:rFonts w:ascii="Times New Roman" w:hAnsi="Times New Roman"/>
                <w:sz w:val="24"/>
              </w:rPr>
              <w:lastRenderedPageBreak/>
              <w:t xml:space="preserve">páru v abecedním pořadí, např. u měnového páru americký dolar/euro se do tohoto sloupce uvede EUR a do sloupce 0020 USD. </w:t>
            </w:r>
          </w:p>
          <w:p w14:paraId="01D493EC" w14:textId="77777777" w:rsidR="007266CF" w:rsidRPr="002A677E" w:rsidRDefault="007266CF" w:rsidP="007266CF">
            <w:pPr>
              <w:keepNext/>
              <w:spacing w:before="60"/>
              <w:rPr>
                <w:rFonts w:ascii="Times New Roman" w:hAnsi="Times New Roman"/>
                <w:i/>
                <w:sz w:val="24"/>
              </w:rPr>
            </w:pPr>
            <w:r>
              <w:rPr>
                <w:rFonts w:ascii="Times New Roman" w:hAnsi="Times New Roman"/>
                <w:sz w:val="24"/>
              </w:rPr>
              <w:t>Pro zápis měn se použijí</w:t>
            </w:r>
            <w:r>
              <w:t xml:space="preserve"> </w:t>
            </w:r>
            <w:hyperlink r:id="rId13" w:history="1">
              <w:r>
                <w:rPr>
                  <w:rFonts w:ascii="Times New Roman" w:hAnsi="Times New Roman"/>
                  <w:sz w:val="24"/>
                </w:rPr>
                <w:t>kódy ISO</w:t>
              </w:r>
            </w:hyperlink>
            <w:r>
              <w:rPr>
                <w:rFonts w:ascii="Times New Roman" w:hAnsi="Times New Roman"/>
                <w:sz w:val="24"/>
              </w:rPr>
              <w:t>.</w:t>
            </w:r>
          </w:p>
        </w:tc>
      </w:tr>
      <w:tr w:rsidR="007266CF" w:rsidRPr="002A677E" w14:paraId="1D6F8A35" w14:textId="77777777" w:rsidTr="007266CF">
        <w:trPr>
          <w:trHeight w:val="680"/>
        </w:trPr>
        <w:tc>
          <w:tcPr>
            <w:tcW w:w="1384" w:type="dxa"/>
          </w:tcPr>
          <w:p w14:paraId="28FB9E43" w14:textId="77777777" w:rsidR="007266CF" w:rsidRPr="002A677E" w:rsidRDefault="007266CF" w:rsidP="007266CF">
            <w:pPr>
              <w:pStyle w:val="Applicationdirecte"/>
              <w:spacing w:before="0" w:after="0"/>
            </w:pPr>
            <w:r>
              <w:lastRenderedPageBreak/>
              <w:t>0020</w:t>
            </w:r>
          </w:p>
        </w:tc>
        <w:tc>
          <w:tcPr>
            <w:tcW w:w="7655" w:type="dxa"/>
            <w:vAlign w:val="center"/>
          </w:tcPr>
          <w:p w14:paraId="57F33CC4"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DRUHÁ MĚNA V PÁRU</w:t>
            </w:r>
          </w:p>
          <w:p w14:paraId="296F0F89" w14:textId="77777777" w:rsidR="007266CF" w:rsidRPr="002A677E" w:rsidRDefault="007266CF" w:rsidP="007266CF">
            <w:pPr>
              <w:keepNext/>
              <w:spacing w:before="60"/>
              <w:rPr>
                <w:rFonts w:ascii="Times New Roman" w:hAnsi="Times New Roman"/>
                <w:sz w:val="24"/>
              </w:rPr>
            </w:pPr>
            <w:r>
              <w:rPr>
                <w:rFonts w:ascii="Times New Roman" w:hAnsi="Times New Roman"/>
                <w:sz w:val="24"/>
              </w:rPr>
              <w:t>U transakcí přiřazených ke kategorii měnového rizika se vykazuje měna denominace druhé části transakce (vzhledem k části vykázané ve sloupci 0010). Instituce uvedou měny v měnovém páru v abecedním pořadí, např. u měnového páru americký dolar/euro se do tohoto sloupce uvede USD a do sloupce 0010 EUR.</w:t>
            </w:r>
          </w:p>
          <w:p w14:paraId="24B3B690" w14:textId="77777777" w:rsidR="007266CF" w:rsidRPr="002A677E" w:rsidRDefault="007266CF" w:rsidP="007266CF">
            <w:pPr>
              <w:keepNext/>
              <w:spacing w:before="60"/>
              <w:rPr>
                <w:rFonts w:ascii="Times New Roman" w:hAnsi="Times New Roman"/>
                <w:i/>
                <w:sz w:val="24"/>
              </w:rPr>
            </w:pPr>
            <w:r>
              <w:rPr>
                <w:rFonts w:ascii="Times New Roman" w:hAnsi="Times New Roman"/>
                <w:sz w:val="24"/>
              </w:rPr>
              <w:t>Pro zápis měn se použijí</w:t>
            </w:r>
            <w:r>
              <w:t xml:space="preserve"> </w:t>
            </w:r>
            <w:hyperlink r:id="rId14" w:history="1">
              <w:r>
                <w:rPr>
                  <w:rFonts w:ascii="Times New Roman" w:hAnsi="Times New Roman"/>
                  <w:sz w:val="24"/>
                </w:rPr>
                <w:t>kódy ISO</w:t>
              </w:r>
            </w:hyperlink>
            <w:r>
              <w:rPr>
                <w:rFonts w:ascii="Times New Roman" w:hAnsi="Times New Roman"/>
                <w:sz w:val="24"/>
              </w:rPr>
              <w:t>.</w:t>
            </w:r>
          </w:p>
        </w:tc>
      </w:tr>
      <w:tr w:rsidR="007266CF" w:rsidRPr="002A677E" w14:paraId="1DD38C19" w14:textId="77777777" w:rsidTr="007266CF">
        <w:trPr>
          <w:trHeight w:val="680"/>
        </w:trPr>
        <w:tc>
          <w:tcPr>
            <w:tcW w:w="1384" w:type="dxa"/>
          </w:tcPr>
          <w:p w14:paraId="5B15C933" w14:textId="77777777" w:rsidR="007266CF" w:rsidRPr="002A677E" w:rsidRDefault="007266CF" w:rsidP="007266CF">
            <w:pPr>
              <w:pStyle w:val="Applicationdirecte"/>
              <w:spacing w:before="0" w:after="0"/>
            </w:pPr>
            <w:r>
              <w:t>0030</w:t>
            </w:r>
          </w:p>
        </w:tc>
        <w:tc>
          <w:tcPr>
            <w:tcW w:w="7655" w:type="dxa"/>
            <w:vAlign w:val="center"/>
          </w:tcPr>
          <w:p w14:paraId="6DD4A156"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TRANSAKCÍ</w:t>
            </w:r>
          </w:p>
          <w:p w14:paraId="113E4B18" w14:textId="77777777" w:rsidR="007266CF" w:rsidRPr="002A677E" w:rsidRDefault="007266CF" w:rsidP="007266CF">
            <w:pPr>
              <w:keepNext/>
              <w:spacing w:before="60"/>
              <w:rPr>
                <w:rFonts w:ascii="Times New Roman" w:hAnsi="Times New Roman"/>
                <w:i/>
                <w:sz w:val="24"/>
              </w:rPr>
            </w:pPr>
            <w:r>
              <w:rPr>
                <w:rFonts w:ascii="Times New Roman" w:hAnsi="Times New Roman"/>
                <w:sz w:val="24"/>
              </w:rPr>
              <w:t>Viz pokyny ke sloupci 0020 v šabloně C 34.02.</w:t>
            </w:r>
          </w:p>
        </w:tc>
      </w:tr>
      <w:tr w:rsidR="007266CF" w:rsidRPr="002A677E" w14:paraId="15D428F3" w14:textId="77777777" w:rsidTr="007266CF">
        <w:trPr>
          <w:trHeight w:val="680"/>
        </w:trPr>
        <w:tc>
          <w:tcPr>
            <w:tcW w:w="1384" w:type="dxa"/>
          </w:tcPr>
          <w:p w14:paraId="57B24D48" w14:textId="77777777" w:rsidR="007266CF" w:rsidRPr="002A677E" w:rsidRDefault="007266CF" w:rsidP="007266CF">
            <w:pPr>
              <w:pStyle w:val="Applicationdirecte"/>
              <w:spacing w:before="0" w:after="0"/>
            </w:pPr>
            <w:r>
              <w:t>0040</w:t>
            </w:r>
          </w:p>
        </w:tc>
        <w:tc>
          <w:tcPr>
            <w:tcW w:w="7655" w:type="dxa"/>
            <w:vAlign w:val="center"/>
          </w:tcPr>
          <w:p w14:paraId="6E4BB7D1"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POMYSLNÉ HODNOTY</w:t>
            </w:r>
          </w:p>
          <w:p w14:paraId="69D7C602" w14:textId="77777777" w:rsidR="007266CF" w:rsidRPr="002A677E" w:rsidRDefault="007266CF" w:rsidP="007266CF">
            <w:pPr>
              <w:keepNext/>
              <w:spacing w:before="60"/>
              <w:rPr>
                <w:rFonts w:ascii="Times New Roman" w:hAnsi="Times New Roman"/>
                <w:sz w:val="24"/>
              </w:rPr>
            </w:pPr>
            <w:r>
              <w:rPr>
                <w:rFonts w:ascii="Times New Roman" w:hAnsi="Times New Roman"/>
                <w:sz w:val="24"/>
              </w:rPr>
              <w:t>Viz pokyny ke sloupci 0030 v šabloně C 34.02.</w:t>
            </w:r>
          </w:p>
        </w:tc>
      </w:tr>
      <w:tr w:rsidR="007266CF" w:rsidRPr="002A677E" w14:paraId="0A0291CC" w14:textId="77777777" w:rsidTr="007266CF">
        <w:trPr>
          <w:trHeight w:val="680"/>
        </w:trPr>
        <w:tc>
          <w:tcPr>
            <w:tcW w:w="1384" w:type="dxa"/>
          </w:tcPr>
          <w:p w14:paraId="0733AD2D" w14:textId="77777777" w:rsidR="007266CF" w:rsidRPr="002A677E" w:rsidRDefault="007266CF" w:rsidP="007266CF">
            <w:pPr>
              <w:pStyle w:val="Applicationdirecte"/>
              <w:spacing w:before="0" w:after="0"/>
            </w:pPr>
            <w:r>
              <w:t>0050</w:t>
            </w:r>
          </w:p>
        </w:tc>
        <w:tc>
          <w:tcPr>
            <w:tcW w:w="7655" w:type="dxa"/>
            <w:vAlign w:val="center"/>
          </w:tcPr>
          <w:p w14:paraId="648741FB"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14:paraId="33FB2196" w14:textId="77777777" w:rsidR="007266CF" w:rsidRPr="002A677E" w:rsidRDefault="007266CF" w:rsidP="007266CF">
            <w:pPr>
              <w:keepNext/>
              <w:spacing w:before="60"/>
              <w:rPr>
                <w:rFonts w:ascii="Times New Roman" w:hAnsi="Times New Roman"/>
                <w:sz w:val="24"/>
              </w:rPr>
            </w:pPr>
            <w:r>
              <w:rPr>
                <w:rFonts w:ascii="Times New Roman" w:hAnsi="Times New Roman"/>
                <w:sz w:val="24"/>
              </w:rPr>
              <w:t>Součet současných tržních hodnot (CMV) všech skupin zajistitelných transakcí s kladnou CMV v příslušné kategorii rizika.</w:t>
            </w:r>
          </w:p>
          <w:p w14:paraId="44444472" w14:textId="77777777" w:rsidR="007266CF" w:rsidRPr="002A677E" w:rsidRDefault="007266CF" w:rsidP="007266CF">
            <w:pPr>
              <w:keepNext/>
              <w:spacing w:before="60"/>
              <w:rPr>
                <w:rFonts w:ascii="Times New Roman" w:hAnsi="Times New Roman"/>
                <w:sz w:val="24"/>
              </w:rPr>
            </w:pPr>
            <w:r>
              <w:rPr>
                <w:rFonts w:ascii="Times New Roman" w:hAnsi="Times New Roman"/>
                <w:sz w:val="24"/>
              </w:rPr>
              <w:t>CMV na úrovni skupiny zajistitelných transakcí se určí započtením kladných a záporných tržních hodnot transakcí v rámci jedné skupiny zajistitelných transakcí bez zohlednění drženého nebo poskytnutého kolaterálu.</w:t>
            </w:r>
          </w:p>
        </w:tc>
      </w:tr>
      <w:tr w:rsidR="007266CF" w:rsidRPr="002A677E" w14:paraId="23CBEEFB" w14:textId="77777777" w:rsidTr="007266CF">
        <w:trPr>
          <w:trHeight w:val="680"/>
        </w:trPr>
        <w:tc>
          <w:tcPr>
            <w:tcW w:w="1384" w:type="dxa"/>
          </w:tcPr>
          <w:p w14:paraId="1FA0046C" w14:textId="77777777" w:rsidR="007266CF" w:rsidRPr="002A677E" w:rsidRDefault="007266CF" w:rsidP="007266CF">
            <w:pPr>
              <w:pStyle w:val="Applicationdirecte"/>
              <w:spacing w:before="0" w:after="0"/>
            </w:pPr>
            <w:r>
              <w:t>0060</w:t>
            </w:r>
          </w:p>
        </w:tc>
        <w:tc>
          <w:tcPr>
            <w:tcW w:w="7655" w:type="dxa"/>
            <w:vAlign w:val="center"/>
          </w:tcPr>
          <w:p w14:paraId="58D65762"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14:paraId="31E334A0" w14:textId="77777777" w:rsidR="007266CF" w:rsidRPr="002A677E" w:rsidRDefault="007266CF" w:rsidP="007266CF">
            <w:pPr>
              <w:keepNext/>
              <w:spacing w:before="60"/>
              <w:rPr>
                <w:rFonts w:ascii="Times New Roman" w:hAnsi="Times New Roman"/>
                <w:sz w:val="24"/>
              </w:rPr>
            </w:pPr>
            <w:r>
              <w:rPr>
                <w:rFonts w:ascii="Times New Roman" w:hAnsi="Times New Roman"/>
                <w:sz w:val="24"/>
              </w:rPr>
              <w:t>Součet absolutních současných tržních hodnot (CMV) všech skupin zajistitelných transakcí s kladnou CMV v příslušné kategorii rizika.</w:t>
            </w:r>
          </w:p>
          <w:p w14:paraId="7466B8C9" w14:textId="77777777" w:rsidR="007266CF" w:rsidRPr="002A677E" w:rsidRDefault="007266CF" w:rsidP="007266CF">
            <w:pPr>
              <w:keepNext/>
              <w:spacing w:before="60"/>
              <w:rPr>
                <w:rStyle w:val="InstructionsTabelleberschrift"/>
                <w:rFonts w:ascii="Times New Roman" w:hAnsi="Times New Roman"/>
                <w:sz w:val="24"/>
              </w:rPr>
            </w:pPr>
            <w:r>
              <w:rPr>
                <w:rFonts w:ascii="Times New Roman" w:hAnsi="Times New Roman"/>
                <w:sz w:val="24"/>
              </w:rPr>
              <w:t>CMV na úrovni skupiny zajistitelných transakcí se určí započtením kladných a záporných tržních hodnot transakcí v rámci jedné skupiny zajistitelných transakcí bez zohlednění drženého nebo poskytnutého kolaterálu.</w:t>
            </w:r>
          </w:p>
        </w:tc>
      </w:tr>
      <w:tr w:rsidR="007266CF" w:rsidRPr="002A677E" w14:paraId="25B52ECE" w14:textId="77777777" w:rsidTr="007266CF">
        <w:trPr>
          <w:trHeight w:val="680"/>
        </w:trPr>
        <w:tc>
          <w:tcPr>
            <w:tcW w:w="1384" w:type="dxa"/>
          </w:tcPr>
          <w:p w14:paraId="619BE5AE" w14:textId="77777777" w:rsidR="007266CF" w:rsidRPr="002A677E" w:rsidRDefault="007266CF" w:rsidP="007266CF">
            <w:pPr>
              <w:pStyle w:val="Applicationdirecte"/>
              <w:spacing w:before="0" w:after="0"/>
            </w:pPr>
            <w:r>
              <w:t>0070</w:t>
            </w:r>
          </w:p>
        </w:tc>
        <w:tc>
          <w:tcPr>
            <w:tcW w:w="7655" w:type="dxa"/>
            <w:vAlign w:val="center"/>
          </w:tcPr>
          <w:p w14:paraId="34C71D87" w14:textId="77777777" w:rsidR="007266CF" w:rsidRPr="002A677E" w:rsidRDefault="007266CF" w:rsidP="007266CF">
            <w:pPr>
              <w:keepNext/>
              <w:spacing w:before="60"/>
              <w:rPr>
                <w:rFonts w:ascii="Times New Roman" w:hAnsi="Times New Roman"/>
                <w:sz w:val="24"/>
              </w:rPr>
            </w:pPr>
            <w:r>
              <w:rPr>
                <w:rStyle w:val="InstructionsTabelleberschrift"/>
                <w:rFonts w:ascii="Times New Roman" w:hAnsi="Times New Roman"/>
                <w:sz w:val="24"/>
              </w:rPr>
              <w:t>NAVÝŠENÍ</w:t>
            </w:r>
            <w:r>
              <w:rPr>
                <w:rFonts w:ascii="Times New Roman" w:hAnsi="Times New Roman"/>
                <w:sz w:val="24"/>
              </w:rPr>
              <w:t xml:space="preserve"> </w:t>
            </w:r>
          </w:p>
          <w:p w14:paraId="55C48B4C" w14:textId="77777777" w:rsidR="007266CF" w:rsidRPr="002A677E" w:rsidRDefault="007266CF" w:rsidP="007266CF">
            <w:pPr>
              <w:keepNext/>
              <w:spacing w:before="60"/>
              <w:rPr>
                <w:rFonts w:ascii="Times New Roman" w:hAnsi="Times New Roman"/>
                <w:sz w:val="24"/>
              </w:rPr>
            </w:pPr>
            <w:r>
              <w:rPr>
                <w:rFonts w:ascii="Times New Roman" w:hAnsi="Times New Roman"/>
                <w:sz w:val="24"/>
              </w:rPr>
              <w:t>Ustanovení článků 280a až 280f a čl. 281 odst. 2 nařízení (EU) č. 575/2013</w:t>
            </w:r>
          </w:p>
          <w:p w14:paraId="7020D8D8" w14:textId="77777777" w:rsidR="007266CF" w:rsidRPr="002A677E" w:rsidRDefault="007266CF" w:rsidP="007266CF">
            <w:pPr>
              <w:keepNext/>
              <w:spacing w:before="60"/>
              <w:rPr>
                <w:rFonts w:ascii="Times New Roman" w:hAnsi="Times New Roman"/>
                <w:sz w:val="24"/>
              </w:rPr>
            </w:pPr>
            <w:r>
              <w:rPr>
                <w:rFonts w:ascii="Times New Roman" w:hAnsi="Times New Roman"/>
                <w:sz w:val="24"/>
              </w:rPr>
              <w:t xml:space="preserve">Instituce vykazuje součet všech navýšení v příslušné skupině zajistitelných transakcí / kategorii rizika. </w:t>
            </w:r>
          </w:p>
          <w:p w14:paraId="372BC870" w14:textId="77777777" w:rsidR="007266CF" w:rsidRPr="002A677E" w:rsidRDefault="007266CF" w:rsidP="007266CF">
            <w:pPr>
              <w:keepNext/>
              <w:spacing w:before="60"/>
              <w:rPr>
                <w:rFonts w:ascii="Times New Roman" w:hAnsi="Times New Roman"/>
                <w:sz w:val="24"/>
              </w:rPr>
            </w:pPr>
            <w:r>
              <w:rPr>
                <w:rFonts w:ascii="Times New Roman" w:hAnsi="Times New Roman"/>
                <w:sz w:val="24"/>
              </w:rPr>
              <w:t>Navýšení pro každou kategorii rizika, které se používá ke stanovení potenciální budoucí expozice skupiny transakcí se započtením v souladu s čl. 278 odst. 1 nebo čl. 281 odst. 2 písm. f) nařízení (EU) č. 575/2013, se vypočítá v souladu s články 280a až 280f uvedeného nařízení. Pro zjednodušený přístup SA-CCR se použijí ustanovení čl. 281 odst. 2 nařízení (EU) č. 575/2013.</w:t>
            </w:r>
          </w:p>
        </w:tc>
      </w:tr>
      <w:tr w:rsidR="007266CF" w:rsidRPr="002A677E" w14:paraId="2525B054" w14:textId="77777777" w:rsidTr="007266CF">
        <w:trPr>
          <w:trHeight w:val="680"/>
        </w:trPr>
        <w:tc>
          <w:tcPr>
            <w:tcW w:w="9039" w:type="dxa"/>
            <w:gridSpan w:val="2"/>
            <w:tcBorders>
              <w:left w:val="nil"/>
              <w:right w:val="nil"/>
            </w:tcBorders>
          </w:tcPr>
          <w:p w14:paraId="32D15E91" w14:textId="77777777" w:rsidR="007266CF" w:rsidRPr="002A677E" w:rsidDel="00DF07F8" w:rsidRDefault="007266CF" w:rsidP="007266CF">
            <w:pPr>
              <w:keepNext/>
              <w:spacing w:before="60"/>
              <w:rPr>
                <w:rFonts w:ascii="Times New Roman" w:hAnsi="Times New Roman"/>
                <w:i/>
                <w:szCs w:val="22"/>
                <w:lang w:eastAsia="en-CA"/>
              </w:rPr>
            </w:pPr>
          </w:p>
        </w:tc>
      </w:tr>
      <w:tr w:rsidR="007266CF" w:rsidRPr="002A677E" w14:paraId="023B3163" w14:textId="77777777" w:rsidTr="007266CF">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A3D37" w14:textId="77777777" w:rsidR="007266CF" w:rsidRPr="002A677E" w:rsidRDefault="007266CF" w:rsidP="007266CF">
            <w:pPr>
              <w:pStyle w:val="Applicationdirecte"/>
              <w:spacing w:before="0"/>
              <w:jc w:val="left"/>
              <w:rPr>
                <w:b/>
              </w:rPr>
            </w:pPr>
            <w:r>
              <w:rPr>
                <w:b/>
              </w:rPr>
              <w:t xml:space="preserve">Řádky </w:t>
            </w:r>
          </w:p>
        </w:tc>
      </w:tr>
      <w:tr w:rsidR="007266CF" w:rsidRPr="002A677E" w14:paraId="69126CC1" w14:textId="77777777" w:rsidTr="007266CF">
        <w:trPr>
          <w:trHeight w:val="680"/>
        </w:trPr>
        <w:tc>
          <w:tcPr>
            <w:tcW w:w="1384" w:type="dxa"/>
          </w:tcPr>
          <w:p w14:paraId="33E2649A" w14:textId="77777777" w:rsidR="007266CF" w:rsidRPr="002A677E" w:rsidRDefault="007266CF" w:rsidP="007266CF">
            <w:pPr>
              <w:pStyle w:val="Applicationdirecte"/>
              <w:spacing w:before="0" w:after="0"/>
            </w:pPr>
            <w:r>
              <w:t>0050,0120, 0190, 0230, 0270, 0340</w:t>
            </w:r>
          </w:p>
        </w:tc>
        <w:tc>
          <w:tcPr>
            <w:tcW w:w="7655" w:type="dxa"/>
          </w:tcPr>
          <w:p w14:paraId="0F3A4649"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KATEGORIE RIZIKA</w:t>
            </w:r>
          </w:p>
          <w:p w14:paraId="49A71CEF" w14:textId="77777777" w:rsidR="007266CF" w:rsidRPr="002A677E" w:rsidRDefault="007266CF" w:rsidP="007266CF">
            <w:pPr>
              <w:keepNext/>
              <w:spacing w:before="60"/>
              <w:rPr>
                <w:rFonts w:ascii="Times New Roman" w:hAnsi="Times New Roman"/>
                <w:sz w:val="24"/>
              </w:rPr>
            </w:pPr>
            <w:r>
              <w:rPr>
                <w:rFonts w:ascii="Times New Roman" w:hAnsi="Times New Roman"/>
                <w:sz w:val="24"/>
              </w:rPr>
              <w:t>Články 277 a 277a nařízení (EU) č. 575/2013</w:t>
            </w:r>
          </w:p>
          <w:p w14:paraId="2B0DE26E"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Transakce se klasifikují podle kategorie rizika, do níž patří v souladu s čl. 277 odst. 1 až 4 nařízení (EU) č. 575/2013.</w:t>
            </w:r>
          </w:p>
          <w:p w14:paraId="4EB45520" w14:textId="77777777" w:rsidR="007266CF" w:rsidRPr="002A677E" w:rsidRDefault="007266CF" w:rsidP="007266CF">
            <w:pPr>
              <w:pStyle w:val="TableMainHeading"/>
              <w:spacing w:before="60"/>
              <w:jc w:val="both"/>
              <w:rPr>
                <w:rFonts w:ascii="Times New Roman" w:hAnsi="Times New Roman"/>
                <w:sz w:val="24"/>
              </w:rPr>
            </w:pPr>
            <w:r>
              <w:rPr>
                <w:rFonts w:ascii="Times New Roman" w:hAnsi="Times New Roman"/>
                <w:sz w:val="24"/>
              </w:rPr>
              <w:t>Zařazení do skupin zajistitelných transakcí podle kategorie rizika se provádí v souladu s článkem 277a nařízení (EU) č. 575/2013.</w:t>
            </w:r>
          </w:p>
          <w:p w14:paraId="77328B2E" w14:textId="77777777" w:rsidR="007266CF" w:rsidRPr="002A677E" w:rsidRDefault="007266CF" w:rsidP="007266CF">
            <w:pPr>
              <w:pStyle w:val="TableMainHeading"/>
              <w:spacing w:before="60"/>
              <w:jc w:val="both"/>
              <w:rPr>
                <w:rFonts w:ascii="Times New Roman" w:hAnsi="Times New Roman"/>
                <w:sz w:val="24"/>
              </w:rPr>
            </w:pPr>
            <w:r>
              <w:rPr>
                <w:rFonts w:ascii="Times New Roman" w:hAnsi="Times New Roman"/>
                <w:sz w:val="24"/>
              </w:rPr>
              <w:t>Pro zjednodušený přístup SA-CCR se použijí ustanovení čl. 281 odst. 2 nařízení (EU) č. 575/2013.</w:t>
            </w:r>
          </w:p>
        </w:tc>
      </w:tr>
      <w:tr w:rsidR="007266CF" w:rsidRPr="002A677E" w14:paraId="61047343" w14:textId="77777777" w:rsidTr="007266CF">
        <w:trPr>
          <w:trHeight w:val="680"/>
        </w:trPr>
        <w:tc>
          <w:tcPr>
            <w:tcW w:w="1384" w:type="dxa"/>
          </w:tcPr>
          <w:p w14:paraId="02E30A80" w14:textId="77777777" w:rsidR="007266CF" w:rsidRPr="002A677E" w:rsidRDefault="007266CF" w:rsidP="007266CF">
            <w:pPr>
              <w:pStyle w:val="Applicationdirecte"/>
              <w:spacing w:before="0" w:after="0"/>
            </w:pPr>
            <w:r>
              <w:t>0020–0040</w:t>
            </w:r>
          </w:p>
        </w:tc>
        <w:tc>
          <w:tcPr>
            <w:tcW w:w="7655" w:type="dxa"/>
          </w:tcPr>
          <w:p w14:paraId="5B167091"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přiřazeno k více než jedné kategorii rizik</w:t>
            </w:r>
          </w:p>
          <w:p w14:paraId="06E960FE" w14:textId="77777777" w:rsidR="007266CF" w:rsidRPr="006223CC" w:rsidRDefault="007266CF" w:rsidP="007266CF">
            <w:pPr>
              <w:keepNext/>
              <w:spacing w:before="60"/>
              <w:rPr>
                <w:rFonts w:ascii="Times New Roman" w:hAnsi="Times New Roman"/>
                <w:sz w:val="24"/>
                <w:lang w:val="fr-FR"/>
              </w:rPr>
            </w:pPr>
            <w:r w:rsidRPr="006223CC">
              <w:rPr>
                <w:rFonts w:ascii="Times New Roman" w:hAnsi="Times New Roman"/>
                <w:sz w:val="24"/>
                <w:lang w:val="fr-FR"/>
              </w:rPr>
              <w:t>Ustanovení čl. 277 odst. 3 nařízení (EU) č. 575/2013</w:t>
            </w:r>
          </w:p>
          <w:p w14:paraId="423AB37C" w14:textId="77777777" w:rsidR="007266CF" w:rsidRPr="002A677E" w:rsidRDefault="007266CF" w:rsidP="007266CF">
            <w:pPr>
              <w:pStyle w:val="TableMainHeading"/>
              <w:spacing w:before="60"/>
              <w:jc w:val="both"/>
              <w:rPr>
                <w:rFonts w:ascii="Times New Roman" w:hAnsi="Times New Roman"/>
                <w:i/>
                <w:sz w:val="24"/>
                <w:szCs w:val="24"/>
              </w:rPr>
            </w:pPr>
            <w:r w:rsidRPr="006223CC">
              <w:rPr>
                <w:rFonts w:ascii="Times New Roman" w:hAnsi="Times New Roman"/>
                <w:sz w:val="24"/>
                <w:lang w:val="fr-FR"/>
              </w:rPr>
              <w:t>Derivátové transakce s více než jedním významným rizikovým faktorem přiřazeným ke dvěma (0020), třem (0030) nebo více než třem (0040) kategoriím rizika na základě nejvýznamnějších rizikových faktorů v každé kategorii rizika v souladu s čl. 277 odst. 3 nařízení (EU) č. 575/2013 a regulačními technickými normami orgánu EBA uvedenými v čl. 277 odst. </w:t>
            </w:r>
            <w:r>
              <w:rPr>
                <w:rFonts w:ascii="Times New Roman" w:hAnsi="Times New Roman"/>
                <w:sz w:val="24"/>
              </w:rPr>
              <w:t>5 zmíněného nařízení.</w:t>
            </w:r>
          </w:p>
        </w:tc>
      </w:tr>
      <w:tr w:rsidR="007266CF" w:rsidRPr="002A677E" w14:paraId="55D11EBA" w14:textId="77777777" w:rsidTr="007266CF">
        <w:trPr>
          <w:trHeight w:val="680"/>
        </w:trPr>
        <w:tc>
          <w:tcPr>
            <w:tcW w:w="1384" w:type="dxa"/>
          </w:tcPr>
          <w:p w14:paraId="02C6BBAB" w14:textId="77777777" w:rsidR="007266CF" w:rsidRPr="002A677E" w:rsidRDefault="007266CF" w:rsidP="007266CF">
            <w:pPr>
              <w:pStyle w:val="Applicationdirecte"/>
              <w:spacing w:before="0" w:after="0"/>
              <w:jc w:val="left"/>
            </w:pPr>
            <w:r>
              <w:t>0070–0110 a 0140–0180</w:t>
            </w:r>
          </w:p>
        </w:tc>
        <w:tc>
          <w:tcPr>
            <w:tcW w:w="7655" w:type="dxa"/>
          </w:tcPr>
          <w:p w14:paraId="1D1A38EF" w14:textId="77777777" w:rsidR="007266CF" w:rsidRPr="002A677E" w:rsidRDefault="007266CF" w:rsidP="007266CF">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Nejpoužívanější měna a měnový pár</w:t>
            </w:r>
          </w:p>
          <w:p w14:paraId="1206E9F1" w14:textId="77777777" w:rsidR="007266CF" w:rsidRPr="002A677E" w:rsidRDefault="007266CF" w:rsidP="007266CF">
            <w:pPr>
              <w:rPr>
                <w:rFonts w:ascii="Times New Roman" w:hAnsi="Times New Roman"/>
                <w:sz w:val="24"/>
              </w:rPr>
            </w:pPr>
            <w:r>
              <w:rPr>
                <w:rFonts w:ascii="Times New Roman" w:hAnsi="Times New Roman"/>
                <w:sz w:val="24"/>
              </w:rPr>
              <w:t xml:space="preserve">Tato klasifikace se provádí na základě CMV portfolia instituce v rámci přístupu SA-CCR nebo případně zjednodušeného přístupu SA-CCR pro transakce přiřazené k úrokovému riziku a kategorii měnového rizika. </w:t>
            </w:r>
          </w:p>
          <w:p w14:paraId="2E49871D" w14:textId="77777777" w:rsidR="007266CF" w:rsidRPr="002A677E" w:rsidRDefault="007266CF" w:rsidP="007266CF">
            <w:pPr>
              <w:rPr>
                <w:rFonts w:ascii="Times New Roman" w:hAnsi="Times New Roman"/>
                <w:i/>
                <w:sz w:val="24"/>
              </w:rPr>
            </w:pPr>
            <w:r>
              <w:rPr>
                <w:rFonts w:ascii="Times New Roman" w:hAnsi="Times New Roman"/>
                <w:sz w:val="24"/>
              </w:rPr>
              <w:t>Pro účely klasifikace se sečte absolutní hodnota CMV pozic.</w:t>
            </w:r>
          </w:p>
        </w:tc>
      </w:tr>
      <w:tr w:rsidR="007266CF" w:rsidRPr="002A677E" w14:paraId="4DD90772" w14:textId="77777777" w:rsidTr="007266CF">
        <w:trPr>
          <w:trHeight w:val="2279"/>
        </w:trPr>
        <w:tc>
          <w:tcPr>
            <w:tcW w:w="1384" w:type="dxa"/>
          </w:tcPr>
          <w:p w14:paraId="5294B271" w14:textId="77777777" w:rsidR="007266CF" w:rsidRPr="002A677E" w:rsidRDefault="007266CF" w:rsidP="007266CF">
            <w:pPr>
              <w:pStyle w:val="Applicationdirecte"/>
              <w:spacing w:before="0" w:after="0"/>
            </w:pPr>
            <w:r>
              <w:t>0060,0130, 0200,0240, 0280</w:t>
            </w:r>
          </w:p>
        </w:tc>
        <w:tc>
          <w:tcPr>
            <w:tcW w:w="7655" w:type="dxa"/>
          </w:tcPr>
          <w:p w14:paraId="2D8E6FF8"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přiřazené výhradně k jedné kategorii rizika</w:t>
            </w:r>
          </w:p>
          <w:p w14:paraId="4C6A4B8B" w14:textId="77777777" w:rsidR="007266CF" w:rsidRPr="002A677E" w:rsidRDefault="007266CF" w:rsidP="007266CF">
            <w:pPr>
              <w:keepNext/>
              <w:spacing w:before="60"/>
              <w:rPr>
                <w:rFonts w:ascii="Times New Roman" w:hAnsi="Times New Roman"/>
                <w:sz w:val="24"/>
              </w:rPr>
            </w:pPr>
            <w:r>
              <w:rPr>
                <w:rFonts w:ascii="Times New Roman" w:hAnsi="Times New Roman"/>
                <w:sz w:val="24"/>
              </w:rPr>
              <w:t>Ustanovení čl. 277 odst. 1 a 2 nařízení (EU) č. 575/2013</w:t>
            </w:r>
          </w:p>
          <w:p w14:paraId="24E0F428"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 xml:space="preserve">Derivátové transakce přiřazené výhradně k jedné kategorii rizika v souladu s čl. 277 odst. 1 a 2 nařízení (EU) č. 575/2013. </w:t>
            </w:r>
          </w:p>
          <w:p w14:paraId="65036225" w14:textId="77777777" w:rsidR="007266CF" w:rsidRPr="002A677E" w:rsidRDefault="007266CF" w:rsidP="007266CF">
            <w:pPr>
              <w:pStyle w:val="TableMainHeading"/>
              <w:spacing w:before="60"/>
              <w:jc w:val="both"/>
              <w:rPr>
                <w:rFonts w:ascii="Times New Roman" w:hAnsi="Times New Roman"/>
                <w:sz w:val="24"/>
                <w:szCs w:val="24"/>
              </w:rPr>
            </w:pPr>
            <w:r>
              <w:rPr>
                <w:rFonts w:ascii="Times New Roman" w:hAnsi="Times New Roman"/>
                <w:sz w:val="24"/>
              </w:rPr>
              <w:t>Transakce, které jsou přiřazeny k různým kategoriím rizika v souladu s čl. 277 odst. 3 nařízení (EU) č. 575/2013, jsou vyloučeny.</w:t>
            </w:r>
          </w:p>
        </w:tc>
      </w:tr>
      <w:tr w:rsidR="007266CF" w:rsidRPr="002A677E" w14:paraId="1CAE63C7" w14:textId="77777777" w:rsidTr="007266CF">
        <w:trPr>
          <w:trHeight w:val="680"/>
        </w:trPr>
        <w:tc>
          <w:tcPr>
            <w:tcW w:w="1384" w:type="dxa"/>
          </w:tcPr>
          <w:p w14:paraId="19FF90BC" w14:textId="77777777" w:rsidR="007266CF" w:rsidRPr="002A677E" w:rsidRDefault="007266CF" w:rsidP="007266CF">
            <w:pPr>
              <w:pStyle w:val="Applicationdirecte"/>
              <w:spacing w:before="0" w:after="0"/>
            </w:pPr>
            <w:r>
              <w:t xml:space="preserve">0210, 0250 </w:t>
            </w:r>
          </w:p>
        </w:tc>
        <w:tc>
          <w:tcPr>
            <w:tcW w:w="7655" w:type="dxa"/>
          </w:tcPr>
          <w:p w14:paraId="7C603A7C" w14:textId="77777777" w:rsidR="007266CF" w:rsidRPr="00624117" w:rsidRDefault="007266CF" w:rsidP="007266CF">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Transakce na jedno jméno </w:t>
            </w:r>
          </w:p>
          <w:p w14:paraId="12B09E1C" w14:textId="77777777" w:rsidR="007266CF" w:rsidRPr="002A677E" w:rsidRDefault="007266CF" w:rsidP="007266CF">
            <w:pPr>
              <w:pStyle w:val="TableMainHeading"/>
              <w:spacing w:before="60"/>
              <w:jc w:val="both"/>
              <w:rPr>
                <w:rStyle w:val="InstructionsTabelleberschrift"/>
                <w:rFonts w:ascii="Times New Roman" w:hAnsi="Times New Roman"/>
                <w:sz w:val="24"/>
              </w:rPr>
            </w:pPr>
            <w:r>
              <w:rPr>
                <w:rFonts w:ascii="Times New Roman" w:hAnsi="Times New Roman"/>
                <w:sz w:val="24"/>
              </w:rPr>
              <w:t>Transakce na jedno jméno, které jsou přiřazeny ke kategorii úvěrového rizika a akciového rizika</w:t>
            </w:r>
            <w:r>
              <w:rPr>
                <w:rStyle w:val="InstructionsTabelleberschrift"/>
                <w:rFonts w:ascii="Times New Roman" w:hAnsi="Times New Roman"/>
                <w:sz w:val="24"/>
              </w:rPr>
              <w:t xml:space="preserve"> </w:t>
            </w:r>
          </w:p>
        </w:tc>
      </w:tr>
      <w:tr w:rsidR="007266CF" w:rsidRPr="002A677E" w14:paraId="591EC030" w14:textId="77777777" w:rsidTr="007266CF">
        <w:trPr>
          <w:trHeight w:val="680"/>
        </w:trPr>
        <w:tc>
          <w:tcPr>
            <w:tcW w:w="1384" w:type="dxa"/>
          </w:tcPr>
          <w:p w14:paraId="69368755" w14:textId="77777777" w:rsidR="007266CF" w:rsidRPr="002A677E" w:rsidRDefault="007266CF" w:rsidP="007266CF">
            <w:pPr>
              <w:pStyle w:val="Applicationdirecte"/>
              <w:spacing w:before="0" w:after="0"/>
            </w:pPr>
            <w:r>
              <w:t>0220, 0260</w:t>
            </w:r>
          </w:p>
        </w:tc>
        <w:tc>
          <w:tcPr>
            <w:tcW w:w="7655" w:type="dxa"/>
          </w:tcPr>
          <w:p w14:paraId="6BF2B100"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na více jmen</w:t>
            </w:r>
          </w:p>
          <w:p w14:paraId="587D4722" w14:textId="77777777" w:rsidR="007266CF" w:rsidRPr="002A677E" w:rsidRDefault="007266CF" w:rsidP="007266CF">
            <w:pPr>
              <w:keepNext/>
              <w:spacing w:before="60"/>
              <w:rPr>
                <w:rStyle w:val="InstructionsTabelleberschrift"/>
                <w:rFonts w:ascii="Times New Roman" w:hAnsi="Times New Roman"/>
                <w:sz w:val="24"/>
              </w:rPr>
            </w:pPr>
            <w:r>
              <w:rPr>
                <w:rFonts w:ascii="Times New Roman" w:hAnsi="Times New Roman"/>
                <w:sz w:val="24"/>
              </w:rPr>
              <w:t xml:space="preserve">Transakce na více jmen, které jsou přiřazeny ke kategorii úvěrového rizika a akciového rizika </w:t>
            </w:r>
          </w:p>
        </w:tc>
      </w:tr>
      <w:tr w:rsidR="007266CF" w:rsidRPr="002A677E" w14:paraId="204D2177" w14:textId="77777777" w:rsidTr="007266CF">
        <w:trPr>
          <w:trHeight w:val="680"/>
        </w:trPr>
        <w:tc>
          <w:tcPr>
            <w:tcW w:w="1384" w:type="dxa"/>
          </w:tcPr>
          <w:p w14:paraId="0BBFCD4E" w14:textId="77777777" w:rsidR="007266CF" w:rsidRPr="002A677E" w:rsidRDefault="007266CF" w:rsidP="007266CF">
            <w:pPr>
              <w:pStyle w:val="Applicationdirecte"/>
              <w:spacing w:before="0" w:after="0"/>
            </w:pPr>
            <w:r>
              <w:lastRenderedPageBreak/>
              <w:t>0290–0330</w:t>
            </w:r>
          </w:p>
        </w:tc>
        <w:tc>
          <w:tcPr>
            <w:tcW w:w="7655" w:type="dxa"/>
          </w:tcPr>
          <w:p w14:paraId="5833D0F9"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zajistitelných transakcí kategorie komoditního rizika</w:t>
            </w:r>
          </w:p>
          <w:p w14:paraId="56E4BDAB" w14:textId="77777777" w:rsidR="007266CF" w:rsidRPr="002A677E" w:rsidRDefault="007266CF" w:rsidP="007266CF">
            <w:pPr>
              <w:keepNext/>
              <w:spacing w:before="60"/>
              <w:rPr>
                <w:rFonts w:ascii="Times New Roman" w:hAnsi="Times New Roman"/>
                <w:sz w:val="24"/>
              </w:rPr>
            </w:pPr>
            <w:r>
              <w:rPr>
                <w:rFonts w:ascii="Times New Roman" w:hAnsi="Times New Roman"/>
                <w:sz w:val="24"/>
              </w:rPr>
              <w:t>Derivátové transakce zařazené do skupin zajistitelných transakcí kategorie komoditního rizika uvedených v čl. 277a odst. 1 písm. e) nařízení (EU) č. 575/2013.</w:t>
            </w:r>
          </w:p>
        </w:tc>
      </w:tr>
    </w:tbl>
    <w:p w14:paraId="4A098BA0" w14:textId="77777777" w:rsidR="007266CF" w:rsidRPr="002A677E" w:rsidRDefault="007266CF" w:rsidP="007266CF">
      <w:pPr>
        <w:tabs>
          <w:tab w:val="left" w:pos="1430"/>
        </w:tabs>
        <w:rPr>
          <w:rFonts w:ascii="Times New Roman" w:hAnsi="Times New Roman"/>
        </w:rPr>
      </w:pPr>
    </w:p>
    <w:p w14:paraId="6B3E5835"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14" w:name="_Toc116026800"/>
      <w:bookmarkStart w:id="215" w:name="_Toc119077957"/>
      <w:r>
        <w:rPr>
          <w:rFonts w:ascii="Times New Roman" w:hAnsi="Times New Roman"/>
          <w:sz w:val="24"/>
        </w:rPr>
        <w:t>C 34.04 – Expozice s CCR, s nimiž se zachází metodou původní expozice (OEM)</w:t>
      </w:r>
      <w:bookmarkEnd w:id="214"/>
      <w:bookmarkEnd w:id="215"/>
    </w:p>
    <w:p w14:paraId="51CAD659"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16" w:name="_Toc116026801"/>
      <w:bookmarkStart w:id="217" w:name="_Toc119077958"/>
      <w:r>
        <w:rPr>
          <w:rFonts w:ascii="Times New Roman" w:hAnsi="Times New Roman"/>
          <w:sz w:val="24"/>
        </w:rPr>
        <w:t>Pokyny pro konkrétní pozice</w:t>
      </w:r>
      <w:bookmarkEnd w:id="216"/>
      <w:bookmarkEnd w:id="21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7BA8C09D" w14:textId="77777777" w:rsidTr="007266CF">
        <w:trPr>
          <w:trHeight w:val="238"/>
        </w:trPr>
        <w:tc>
          <w:tcPr>
            <w:tcW w:w="9039" w:type="dxa"/>
            <w:gridSpan w:val="2"/>
            <w:shd w:val="clear" w:color="auto" w:fill="D9D9D9" w:themeFill="background1" w:themeFillShade="D9"/>
          </w:tcPr>
          <w:p w14:paraId="6D8E0027"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Sloupce</w:t>
            </w:r>
          </w:p>
        </w:tc>
      </w:tr>
      <w:tr w:rsidR="007266CF" w:rsidRPr="002A677E" w14:paraId="3AE110D5" w14:textId="77777777" w:rsidTr="007266CF">
        <w:trPr>
          <w:trHeight w:val="680"/>
        </w:trPr>
        <w:tc>
          <w:tcPr>
            <w:tcW w:w="1384" w:type="dxa"/>
          </w:tcPr>
          <w:p w14:paraId="13F24F55" w14:textId="77777777" w:rsidR="007266CF" w:rsidRPr="002A677E" w:rsidRDefault="007266CF" w:rsidP="007266CF">
            <w:pPr>
              <w:pStyle w:val="Applicationdirecte"/>
              <w:spacing w:before="0" w:after="0"/>
            </w:pPr>
            <w:r>
              <w:t>0010–0020</w:t>
            </w:r>
          </w:p>
        </w:tc>
        <w:tc>
          <w:tcPr>
            <w:tcW w:w="7655" w:type="dxa"/>
            <w:vAlign w:val="center"/>
          </w:tcPr>
          <w:p w14:paraId="51DA32F0" w14:textId="77777777" w:rsidR="007266CF" w:rsidRPr="002A677E" w:rsidRDefault="007266CF" w:rsidP="007266CF">
            <w:pPr>
              <w:keepNext/>
              <w:spacing w:before="60"/>
              <w:rPr>
                <w:rFonts w:ascii="Times New Roman" w:hAnsi="Times New Roman"/>
                <w:sz w:val="24"/>
              </w:rPr>
            </w:pPr>
            <w:r>
              <w:rPr>
                <w:rFonts w:ascii="Times New Roman" w:hAnsi="Times New Roman"/>
                <w:sz w:val="24"/>
              </w:rPr>
              <w:t>Pokyny ke sloupcům 0010 a 0020 jsou shodné s pokyny pro šablonu C 34.02.</w:t>
            </w:r>
          </w:p>
        </w:tc>
      </w:tr>
      <w:tr w:rsidR="007266CF" w:rsidRPr="002A677E" w14:paraId="4C35E0DD" w14:textId="77777777" w:rsidTr="007266CF">
        <w:trPr>
          <w:trHeight w:val="680"/>
        </w:trPr>
        <w:tc>
          <w:tcPr>
            <w:tcW w:w="1384" w:type="dxa"/>
          </w:tcPr>
          <w:p w14:paraId="674F8794" w14:textId="77777777" w:rsidR="007266CF" w:rsidRPr="002A677E" w:rsidRDefault="007266CF" w:rsidP="007266CF">
            <w:pPr>
              <w:pStyle w:val="Applicationdirecte"/>
              <w:spacing w:before="0" w:after="0"/>
              <w:jc w:val="left"/>
            </w:pPr>
            <w:r>
              <w:t>0030</w:t>
            </w:r>
          </w:p>
        </w:tc>
        <w:tc>
          <w:tcPr>
            <w:tcW w:w="7655" w:type="dxa"/>
            <w:vAlign w:val="center"/>
          </w:tcPr>
          <w:p w14:paraId="71112E8D"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14:paraId="3B33C5BE" w14:textId="77777777" w:rsidR="007266CF" w:rsidRPr="002A677E" w:rsidRDefault="007266CF" w:rsidP="007266CF">
            <w:pPr>
              <w:keepNext/>
              <w:spacing w:before="60"/>
              <w:rPr>
                <w:rFonts w:ascii="Times New Roman" w:hAnsi="Times New Roman"/>
                <w:sz w:val="24"/>
              </w:rPr>
            </w:pPr>
            <w:r>
              <w:rPr>
                <w:rFonts w:ascii="Times New Roman" w:hAnsi="Times New Roman"/>
                <w:sz w:val="24"/>
              </w:rPr>
              <w:t>Součet současných tržních hodnot (CMV) všech transakcí s kladnou CMV v příslušné kategorii rizika</w:t>
            </w:r>
          </w:p>
        </w:tc>
      </w:tr>
      <w:tr w:rsidR="007266CF" w:rsidRPr="002A677E" w14:paraId="1FFF9A5E" w14:textId="77777777" w:rsidTr="007266CF">
        <w:trPr>
          <w:trHeight w:val="680"/>
        </w:trPr>
        <w:tc>
          <w:tcPr>
            <w:tcW w:w="1384" w:type="dxa"/>
          </w:tcPr>
          <w:p w14:paraId="4A006C21" w14:textId="77777777" w:rsidR="007266CF" w:rsidRPr="002A677E" w:rsidRDefault="007266CF" w:rsidP="007266CF">
            <w:pPr>
              <w:pStyle w:val="Applicationdirecte"/>
              <w:spacing w:before="0" w:after="0"/>
              <w:jc w:val="left"/>
            </w:pPr>
            <w:r>
              <w:t>0040</w:t>
            </w:r>
          </w:p>
        </w:tc>
        <w:tc>
          <w:tcPr>
            <w:tcW w:w="7655" w:type="dxa"/>
            <w:vAlign w:val="center"/>
          </w:tcPr>
          <w:p w14:paraId="0D4112C5"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14:paraId="1479CECF" w14:textId="77777777" w:rsidR="007266CF" w:rsidRPr="002A677E" w:rsidRDefault="007266CF" w:rsidP="007266CF">
            <w:pPr>
              <w:keepNext/>
              <w:spacing w:before="60"/>
              <w:rPr>
                <w:rStyle w:val="InstructionsTabelleberschrift"/>
                <w:rFonts w:ascii="Times New Roman" w:hAnsi="Times New Roman"/>
                <w:b w:val="0"/>
                <w:bCs w:val="0"/>
                <w:sz w:val="24"/>
                <w:u w:val="none"/>
              </w:rPr>
            </w:pPr>
            <w:r>
              <w:rPr>
                <w:rFonts w:ascii="Times New Roman" w:hAnsi="Times New Roman"/>
                <w:sz w:val="24"/>
              </w:rPr>
              <w:t>Součet absolutních současných tržních hodnot (CMV) všech transakcí se zápornou CMV v příslušné kategorii rizika</w:t>
            </w:r>
          </w:p>
        </w:tc>
      </w:tr>
      <w:tr w:rsidR="007266CF" w:rsidRPr="002A677E" w14:paraId="0082A281" w14:textId="77777777" w:rsidTr="007266CF">
        <w:trPr>
          <w:trHeight w:val="680"/>
        </w:trPr>
        <w:tc>
          <w:tcPr>
            <w:tcW w:w="1384" w:type="dxa"/>
          </w:tcPr>
          <w:p w14:paraId="2BD1C059" w14:textId="77777777" w:rsidR="007266CF" w:rsidRPr="002A677E" w:rsidRDefault="007266CF" w:rsidP="007266CF">
            <w:pPr>
              <w:pStyle w:val="Applicationdirecte"/>
              <w:spacing w:before="0" w:after="0"/>
              <w:jc w:val="left"/>
            </w:pPr>
            <w:r>
              <w:t>0050</w:t>
            </w:r>
          </w:p>
        </w:tc>
        <w:tc>
          <w:tcPr>
            <w:tcW w:w="7655" w:type="dxa"/>
            <w:vAlign w:val="center"/>
          </w:tcPr>
          <w:p w14:paraId="28CCD2A7"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POTENCIÁLNÍ BUDOUCÍ EXPOZICE (PFE)</w:t>
            </w:r>
          </w:p>
          <w:p w14:paraId="54BA0C9C" w14:textId="77777777" w:rsidR="007266CF" w:rsidRPr="002A677E" w:rsidRDefault="007266CF" w:rsidP="007266CF">
            <w:pPr>
              <w:keepNext/>
              <w:spacing w:before="60"/>
              <w:rPr>
                <w:rStyle w:val="InstructionsTabelleberschrift"/>
                <w:rFonts w:ascii="Times New Roman" w:hAnsi="Times New Roman"/>
                <w:sz w:val="24"/>
              </w:rPr>
            </w:pPr>
            <w:r>
              <w:rPr>
                <w:rFonts w:ascii="Times New Roman" w:hAnsi="Times New Roman"/>
                <w:sz w:val="24"/>
              </w:rPr>
              <w:t>Instituce vykazuje součet PFE za všechny transakce, které patří do stejné kategorie rizika.</w:t>
            </w:r>
          </w:p>
        </w:tc>
      </w:tr>
      <w:tr w:rsidR="007266CF" w:rsidRPr="002A677E" w14:paraId="6C3A9F3C" w14:textId="77777777" w:rsidTr="007266CF">
        <w:trPr>
          <w:trHeight w:val="238"/>
        </w:trPr>
        <w:tc>
          <w:tcPr>
            <w:tcW w:w="9039" w:type="dxa"/>
            <w:gridSpan w:val="2"/>
            <w:tcBorders>
              <w:right w:val="single" w:sz="4" w:space="0" w:color="auto"/>
            </w:tcBorders>
            <w:shd w:val="clear" w:color="auto" w:fill="D9D9D9" w:themeFill="background1" w:themeFillShade="D9"/>
          </w:tcPr>
          <w:p w14:paraId="2EA0DC92"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Řádky</w:t>
            </w:r>
          </w:p>
        </w:tc>
      </w:tr>
      <w:tr w:rsidR="007266CF" w:rsidRPr="002A677E" w14:paraId="474A8FD2" w14:textId="77777777" w:rsidTr="007266CF">
        <w:trPr>
          <w:trHeight w:val="680"/>
        </w:trPr>
        <w:tc>
          <w:tcPr>
            <w:tcW w:w="1384" w:type="dxa"/>
          </w:tcPr>
          <w:p w14:paraId="1FFBB01B" w14:textId="77777777" w:rsidR="007266CF" w:rsidRPr="002A677E" w:rsidRDefault="007266CF" w:rsidP="007266CF">
            <w:pPr>
              <w:pStyle w:val="Applicationdirecte"/>
              <w:spacing w:before="0" w:after="0"/>
            </w:pPr>
            <w:r>
              <w:t>0020–0070</w:t>
            </w:r>
          </w:p>
        </w:tc>
        <w:tc>
          <w:tcPr>
            <w:tcW w:w="7655" w:type="dxa"/>
            <w:vAlign w:val="center"/>
          </w:tcPr>
          <w:p w14:paraId="159FBBE0"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KATEGORIE RIZIKA</w:t>
            </w:r>
          </w:p>
          <w:p w14:paraId="2BF73F77" w14:textId="77777777" w:rsidR="007266CF" w:rsidRPr="002A677E" w:rsidRDefault="007266CF" w:rsidP="007266CF">
            <w:pPr>
              <w:keepNext/>
              <w:spacing w:before="60"/>
              <w:rPr>
                <w:rFonts w:ascii="Times New Roman" w:hAnsi="Times New Roman"/>
                <w:sz w:val="24"/>
              </w:rPr>
            </w:pPr>
            <w:r>
              <w:rPr>
                <w:rFonts w:ascii="Times New Roman" w:hAnsi="Times New Roman"/>
                <w:sz w:val="24"/>
              </w:rPr>
              <w:t>Derivátové transakce přiřazené ke kategoriím rizika uvedeným v čl. 282 odst. 4 písm. b) nařízení (EU) č. 575/2013</w:t>
            </w:r>
          </w:p>
        </w:tc>
      </w:tr>
    </w:tbl>
    <w:p w14:paraId="127C5218" w14:textId="77777777" w:rsidR="007266CF" w:rsidRPr="002A677E" w:rsidRDefault="007266CF" w:rsidP="007266CF">
      <w:pPr>
        <w:tabs>
          <w:tab w:val="left" w:pos="1430"/>
        </w:tabs>
        <w:rPr>
          <w:rFonts w:ascii="Times New Roman" w:hAnsi="Times New Roman"/>
        </w:rPr>
      </w:pPr>
    </w:p>
    <w:p w14:paraId="46661E49"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18" w:name="_Toc116026802"/>
      <w:bookmarkStart w:id="219" w:name="_Toc119077959"/>
      <w:r>
        <w:rPr>
          <w:rFonts w:ascii="Times New Roman" w:hAnsi="Times New Roman"/>
          <w:sz w:val="24"/>
        </w:rPr>
        <w:t>C 34.05 – Expozice s CCR, s nimiž se zachází metodou interního modelu</w:t>
      </w:r>
      <w:bookmarkEnd w:id="218"/>
      <w:bookmarkEnd w:id="219"/>
    </w:p>
    <w:p w14:paraId="56A4BFDE"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20" w:name="_Toc116026803"/>
      <w:bookmarkStart w:id="221" w:name="_Toc119077960"/>
      <w:r>
        <w:rPr>
          <w:rFonts w:ascii="Times New Roman" w:hAnsi="Times New Roman"/>
          <w:sz w:val="24"/>
        </w:rPr>
        <w:t>Pokyny pro konkrétní pozice</w:t>
      </w:r>
      <w:bookmarkEnd w:id="220"/>
      <w:bookmarkEnd w:id="22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7EEA9079" w14:textId="77777777" w:rsidTr="007266CF">
        <w:trPr>
          <w:trHeight w:val="238"/>
        </w:trPr>
        <w:tc>
          <w:tcPr>
            <w:tcW w:w="9039" w:type="dxa"/>
            <w:gridSpan w:val="2"/>
            <w:shd w:val="clear" w:color="auto" w:fill="D9D9D9" w:themeFill="background1" w:themeFillShade="D9"/>
          </w:tcPr>
          <w:p w14:paraId="09619054"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Sloupce</w:t>
            </w:r>
          </w:p>
        </w:tc>
      </w:tr>
      <w:tr w:rsidR="007266CF" w:rsidRPr="002A677E" w14:paraId="550CCB18" w14:textId="77777777" w:rsidTr="007266CF">
        <w:trPr>
          <w:trHeight w:val="680"/>
        </w:trPr>
        <w:tc>
          <w:tcPr>
            <w:tcW w:w="1384" w:type="dxa"/>
          </w:tcPr>
          <w:p w14:paraId="07B56760" w14:textId="77777777" w:rsidR="007266CF" w:rsidRPr="002A677E" w:rsidRDefault="007266CF" w:rsidP="007266CF">
            <w:pPr>
              <w:pStyle w:val="Applicationdirecte"/>
              <w:spacing w:before="0" w:after="0"/>
            </w:pPr>
            <w:r>
              <w:t>00010–0080</w:t>
            </w:r>
          </w:p>
        </w:tc>
        <w:tc>
          <w:tcPr>
            <w:tcW w:w="7655" w:type="dxa"/>
            <w:vAlign w:val="center"/>
          </w:tcPr>
          <w:p w14:paraId="554B7343" w14:textId="77777777" w:rsidR="007266CF" w:rsidRPr="002A677E" w:rsidRDefault="007266CF" w:rsidP="007266CF">
            <w:pPr>
              <w:keepNext/>
              <w:spacing w:before="60"/>
              <w:rPr>
                <w:rFonts w:ascii="Times New Roman" w:hAnsi="Times New Roman"/>
                <w:strike/>
                <w:sz w:val="24"/>
              </w:rPr>
            </w:pPr>
            <w:r>
              <w:rPr>
                <w:rStyle w:val="InstructionsTabelleberschrift"/>
                <w:rFonts w:ascii="Times New Roman" w:hAnsi="Times New Roman"/>
                <w:sz w:val="24"/>
              </w:rPr>
              <w:t xml:space="preserve">MARŽOVÉ </w:t>
            </w:r>
          </w:p>
          <w:p w14:paraId="4A91C3AE" w14:textId="77777777" w:rsidR="007266CF" w:rsidRPr="002A677E" w:rsidRDefault="007266CF" w:rsidP="007266CF">
            <w:pPr>
              <w:keepNext/>
              <w:spacing w:before="60"/>
              <w:rPr>
                <w:rFonts w:ascii="Times New Roman" w:hAnsi="Times New Roman"/>
                <w:strike/>
                <w:sz w:val="24"/>
              </w:rPr>
            </w:pPr>
            <w:r>
              <w:rPr>
                <w:rFonts w:ascii="Times New Roman" w:hAnsi="Times New Roman"/>
                <w:sz w:val="24"/>
              </w:rPr>
              <w:t>Viz pokyny k řádku 0130 v šabloně C 34.02.</w:t>
            </w:r>
          </w:p>
        </w:tc>
      </w:tr>
      <w:tr w:rsidR="007266CF" w:rsidRPr="002A677E" w14:paraId="61D0ACFF" w14:textId="77777777" w:rsidTr="007266CF">
        <w:trPr>
          <w:trHeight w:val="680"/>
        </w:trPr>
        <w:tc>
          <w:tcPr>
            <w:tcW w:w="1384" w:type="dxa"/>
          </w:tcPr>
          <w:p w14:paraId="66D82C3C" w14:textId="77777777" w:rsidR="007266CF" w:rsidRPr="002A677E" w:rsidRDefault="007266CF" w:rsidP="007266CF">
            <w:pPr>
              <w:pStyle w:val="Applicationdirecte"/>
              <w:spacing w:before="0" w:after="0"/>
            </w:pPr>
            <w:r>
              <w:t>0090–0160</w:t>
            </w:r>
          </w:p>
        </w:tc>
        <w:tc>
          <w:tcPr>
            <w:tcW w:w="7655" w:type="dxa"/>
            <w:vAlign w:val="center"/>
          </w:tcPr>
          <w:p w14:paraId="0E25F5CE" w14:textId="77777777" w:rsidR="007266CF" w:rsidRPr="002A677E" w:rsidRDefault="007266CF" w:rsidP="007266CF">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BEZ MARŽE </w:t>
            </w:r>
          </w:p>
          <w:p w14:paraId="6153AAEA" w14:textId="77777777" w:rsidR="007266CF" w:rsidRPr="002A677E" w:rsidRDefault="007266CF" w:rsidP="007266CF">
            <w:pPr>
              <w:keepNext/>
              <w:spacing w:before="60"/>
              <w:rPr>
                <w:rFonts w:ascii="Times New Roman" w:hAnsi="Times New Roman"/>
                <w:strike/>
                <w:sz w:val="24"/>
              </w:rPr>
            </w:pPr>
            <w:r>
              <w:rPr>
                <w:rFonts w:ascii="Times New Roman" w:hAnsi="Times New Roman"/>
                <w:sz w:val="24"/>
              </w:rPr>
              <w:t>Viz pokyny k řádku 0140 v šabloně C 34.02.</w:t>
            </w:r>
          </w:p>
        </w:tc>
      </w:tr>
      <w:tr w:rsidR="007266CF" w:rsidRPr="002A677E" w14:paraId="5E1E6998" w14:textId="77777777" w:rsidTr="007266CF">
        <w:trPr>
          <w:trHeight w:val="680"/>
        </w:trPr>
        <w:tc>
          <w:tcPr>
            <w:tcW w:w="1384" w:type="dxa"/>
          </w:tcPr>
          <w:p w14:paraId="1D89923F" w14:textId="77777777" w:rsidR="007266CF" w:rsidRPr="002A677E" w:rsidRDefault="007266CF" w:rsidP="007266CF">
            <w:pPr>
              <w:pStyle w:val="Applicationdirecte"/>
              <w:spacing w:before="0" w:after="0"/>
              <w:jc w:val="left"/>
            </w:pPr>
            <w:r>
              <w:lastRenderedPageBreak/>
              <w:t>0010,0090</w:t>
            </w:r>
          </w:p>
        </w:tc>
        <w:tc>
          <w:tcPr>
            <w:tcW w:w="7655" w:type="dxa"/>
            <w:vAlign w:val="center"/>
          </w:tcPr>
          <w:p w14:paraId="41BC4C09"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POČET TRANSAKCÍ </w:t>
            </w:r>
          </w:p>
          <w:p w14:paraId="6FBDC43E" w14:textId="77777777" w:rsidR="007266CF" w:rsidRPr="002A677E" w:rsidRDefault="007266CF" w:rsidP="007266CF">
            <w:pPr>
              <w:keepNext/>
              <w:spacing w:before="60"/>
              <w:rPr>
                <w:rFonts w:ascii="Times New Roman" w:hAnsi="Times New Roman"/>
                <w:strike/>
                <w:sz w:val="24"/>
              </w:rPr>
            </w:pPr>
            <w:r>
              <w:rPr>
                <w:rFonts w:ascii="Times New Roman" w:hAnsi="Times New Roman"/>
                <w:sz w:val="24"/>
              </w:rPr>
              <w:t>Viz pokyny ke sloupci 0020 v šabloně C 34.02.</w:t>
            </w:r>
          </w:p>
        </w:tc>
      </w:tr>
      <w:tr w:rsidR="007266CF" w:rsidRPr="002A677E" w14:paraId="1695ACC6" w14:textId="77777777" w:rsidTr="007266CF">
        <w:trPr>
          <w:trHeight w:val="680"/>
        </w:trPr>
        <w:tc>
          <w:tcPr>
            <w:tcW w:w="1384" w:type="dxa"/>
          </w:tcPr>
          <w:p w14:paraId="4FC5DBC9" w14:textId="77777777" w:rsidR="007266CF" w:rsidRPr="002A677E" w:rsidRDefault="007266CF" w:rsidP="007266CF">
            <w:pPr>
              <w:pStyle w:val="Applicationdirecte"/>
              <w:spacing w:before="0" w:after="0"/>
              <w:jc w:val="left"/>
            </w:pPr>
            <w:r>
              <w:t>0020,0100</w:t>
            </w:r>
          </w:p>
        </w:tc>
        <w:tc>
          <w:tcPr>
            <w:tcW w:w="7655" w:type="dxa"/>
            <w:vAlign w:val="center"/>
          </w:tcPr>
          <w:p w14:paraId="748D999D" w14:textId="77777777" w:rsidR="007266CF" w:rsidRPr="002A677E" w:rsidRDefault="007266CF" w:rsidP="007266CF">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POMYSLNÉ HODNOTY </w:t>
            </w:r>
          </w:p>
          <w:p w14:paraId="774B15F1" w14:textId="77777777" w:rsidR="007266CF" w:rsidRPr="002A677E" w:rsidRDefault="007266CF" w:rsidP="007266CF">
            <w:pPr>
              <w:keepNext/>
              <w:spacing w:before="60"/>
              <w:rPr>
                <w:rFonts w:ascii="Times New Roman" w:hAnsi="Times New Roman"/>
                <w:i/>
                <w:strike/>
                <w:sz w:val="24"/>
              </w:rPr>
            </w:pPr>
            <w:r>
              <w:rPr>
                <w:rFonts w:ascii="Times New Roman" w:hAnsi="Times New Roman"/>
                <w:sz w:val="24"/>
              </w:rPr>
              <w:t>Viz pokyny ke sloupci 0030 v šabloně C 34.02.</w:t>
            </w:r>
          </w:p>
        </w:tc>
      </w:tr>
      <w:tr w:rsidR="007266CF" w:rsidRPr="002A677E" w14:paraId="6D7718E8" w14:textId="77777777" w:rsidTr="007266CF">
        <w:trPr>
          <w:trHeight w:val="680"/>
        </w:trPr>
        <w:tc>
          <w:tcPr>
            <w:tcW w:w="1384" w:type="dxa"/>
          </w:tcPr>
          <w:p w14:paraId="0711E2E7" w14:textId="77777777" w:rsidR="007266CF" w:rsidRPr="002A677E" w:rsidRDefault="007266CF" w:rsidP="007266CF">
            <w:pPr>
              <w:pStyle w:val="Applicationdirecte"/>
              <w:spacing w:before="0" w:after="0"/>
              <w:jc w:val="left"/>
            </w:pPr>
            <w:r>
              <w:t>0030,0110</w:t>
            </w:r>
          </w:p>
        </w:tc>
        <w:tc>
          <w:tcPr>
            <w:tcW w:w="7655" w:type="dxa"/>
            <w:vAlign w:val="center"/>
          </w:tcPr>
          <w:p w14:paraId="543A6985"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14:paraId="5FEEF698" w14:textId="77777777" w:rsidR="007266CF" w:rsidRPr="002A677E" w:rsidRDefault="007266CF" w:rsidP="007266CF">
            <w:pPr>
              <w:keepNext/>
              <w:spacing w:before="60"/>
              <w:rPr>
                <w:rFonts w:ascii="Times New Roman" w:hAnsi="Times New Roman"/>
                <w:sz w:val="24"/>
              </w:rPr>
            </w:pPr>
            <w:r>
              <w:rPr>
                <w:rFonts w:ascii="Times New Roman" w:hAnsi="Times New Roman"/>
                <w:sz w:val="24"/>
              </w:rPr>
              <w:t>Součet současných tržních hodnot (CMV) všech transakcí s kladnou CMV ze stejné třídy aktiv</w:t>
            </w:r>
          </w:p>
        </w:tc>
      </w:tr>
      <w:tr w:rsidR="007266CF" w:rsidRPr="002A677E" w14:paraId="0D823B24" w14:textId="77777777" w:rsidTr="007266CF">
        <w:trPr>
          <w:trHeight w:val="680"/>
        </w:trPr>
        <w:tc>
          <w:tcPr>
            <w:tcW w:w="1384" w:type="dxa"/>
          </w:tcPr>
          <w:p w14:paraId="0D036782" w14:textId="77777777" w:rsidR="007266CF" w:rsidRPr="002A677E" w:rsidRDefault="007266CF" w:rsidP="007266CF">
            <w:pPr>
              <w:pStyle w:val="Applicationdirecte"/>
              <w:spacing w:before="0" w:after="0"/>
              <w:jc w:val="left"/>
            </w:pPr>
            <w:r>
              <w:t>0040,0120</w:t>
            </w:r>
          </w:p>
        </w:tc>
        <w:tc>
          <w:tcPr>
            <w:tcW w:w="7655" w:type="dxa"/>
            <w:vAlign w:val="center"/>
          </w:tcPr>
          <w:p w14:paraId="56A69701"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14:paraId="4FFBE4B8" w14:textId="77777777" w:rsidR="007266CF" w:rsidRPr="002A677E" w:rsidRDefault="007266CF" w:rsidP="007266CF">
            <w:pPr>
              <w:keepNext/>
              <w:spacing w:before="60"/>
              <w:rPr>
                <w:rStyle w:val="InstructionsTabelleberschrift"/>
                <w:rFonts w:ascii="Times New Roman" w:hAnsi="Times New Roman"/>
                <w:sz w:val="24"/>
              </w:rPr>
            </w:pPr>
            <w:r>
              <w:rPr>
                <w:rFonts w:ascii="Times New Roman" w:hAnsi="Times New Roman"/>
                <w:sz w:val="24"/>
              </w:rPr>
              <w:t>Součet absolutních současných tržních hodnot (CMV) všech transakcí se zápornou CMV ze stejné třídy aktiv</w:t>
            </w:r>
          </w:p>
        </w:tc>
      </w:tr>
      <w:tr w:rsidR="007266CF" w:rsidRPr="002A677E" w14:paraId="7A934543" w14:textId="77777777" w:rsidTr="007266CF">
        <w:trPr>
          <w:trHeight w:val="680"/>
        </w:trPr>
        <w:tc>
          <w:tcPr>
            <w:tcW w:w="1384" w:type="dxa"/>
          </w:tcPr>
          <w:p w14:paraId="582394D1" w14:textId="77777777" w:rsidR="007266CF" w:rsidRPr="002A677E" w:rsidRDefault="007266CF" w:rsidP="007266CF">
            <w:pPr>
              <w:pStyle w:val="Applicationdirecte"/>
              <w:spacing w:before="0" w:after="0"/>
              <w:jc w:val="left"/>
            </w:pPr>
            <w:r>
              <w:t>0050,0130</w:t>
            </w:r>
          </w:p>
        </w:tc>
        <w:tc>
          <w:tcPr>
            <w:tcW w:w="7655" w:type="dxa"/>
            <w:vAlign w:val="center"/>
          </w:tcPr>
          <w:p w14:paraId="6810ED5D"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STÁVAJÍCÍ EXPOZICE</w:t>
            </w:r>
          </w:p>
          <w:p w14:paraId="6C6F0803" w14:textId="77777777" w:rsidR="007266CF" w:rsidRPr="002A677E" w:rsidRDefault="007266CF" w:rsidP="007266CF">
            <w:pPr>
              <w:keepNext/>
              <w:spacing w:before="60"/>
              <w:rPr>
                <w:rFonts w:ascii="Times New Roman" w:hAnsi="Times New Roman"/>
                <w:strike/>
                <w:sz w:val="24"/>
              </w:rPr>
            </w:pPr>
            <w:r>
              <w:rPr>
                <w:rFonts w:ascii="Times New Roman" w:hAnsi="Times New Roman"/>
                <w:sz w:val="24"/>
              </w:rPr>
              <w:t>Viz pokyny ke sloupci 0120 v šabloně C 34.02.</w:t>
            </w:r>
          </w:p>
        </w:tc>
      </w:tr>
      <w:tr w:rsidR="007266CF" w:rsidRPr="002A677E" w14:paraId="681B4768" w14:textId="77777777" w:rsidTr="007266CF">
        <w:trPr>
          <w:trHeight w:val="680"/>
        </w:trPr>
        <w:tc>
          <w:tcPr>
            <w:tcW w:w="1384" w:type="dxa"/>
          </w:tcPr>
          <w:p w14:paraId="7ED50403" w14:textId="77777777" w:rsidR="007266CF" w:rsidRPr="002A677E" w:rsidRDefault="007266CF" w:rsidP="007266CF">
            <w:pPr>
              <w:pStyle w:val="Applicationdirecte"/>
              <w:spacing w:before="0" w:after="0"/>
              <w:jc w:val="left"/>
            </w:pPr>
            <w:r>
              <w:t>0060,0140</w:t>
            </w:r>
          </w:p>
        </w:tc>
        <w:tc>
          <w:tcPr>
            <w:tcW w:w="7655" w:type="dxa"/>
            <w:vAlign w:val="center"/>
          </w:tcPr>
          <w:p w14:paraId="4D07DDDA"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EFEKTIVNÍ OČEKÁVANÁ POZITIVNÍ EXPOZICE (EEPE)</w:t>
            </w:r>
          </w:p>
          <w:p w14:paraId="41D6CA4A" w14:textId="77777777" w:rsidR="007266CF" w:rsidRPr="002A677E" w:rsidRDefault="007266CF" w:rsidP="007266CF">
            <w:pPr>
              <w:pStyle w:val="Default"/>
              <w:spacing w:after="120"/>
              <w:jc w:val="both"/>
              <w:rPr>
                <w:rFonts w:ascii="Times New Roman" w:hAnsi="Times New Roman" w:cs="Times New Roman"/>
                <w:strike/>
                <w:color w:val="auto"/>
              </w:rPr>
            </w:pPr>
            <w:r>
              <w:rPr>
                <w:rFonts w:ascii="Times New Roman" w:hAnsi="Times New Roman"/>
                <w:color w:val="auto"/>
              </w:rPr>
              <w:t>Viz pokyny ke sloupci 0130 v šabloně C 34.02.</w:t>
            </w:r>
          </w:p>
        </w:tc>
      </w:tr>
      <w:tr w:rsidR="007266CF" w:rsidRPr="002A677E" w14:paraId="2A60C32F" w14:textId="77777777" w:rsidTr="007266CF">
        <w:trPr>
          <w:trHeight w:val="680"/>
        </w:trPr>
        <w:tc>
          <w:tcPr>
            <w:tcW w:w="1384" w:type="dxa"/>
          </w:tcPr>
          <w:p w14:paraId="798F4867" w14:textId="77777777" w:rsidR="007266CF" w:rsidRPr="002A677E" w:rsidRDefault="007266CF" w:rsidP="007266CF">
            <w:pPr>
              <w:pStyle w:val="Applicationdirecte"/>
              <w:spacing w:before="0" w:after="0"/>
              <w:jc w:val="left"/>
            </w:pPr>
            <w:r>
              <w:t>0070,0150</w:t>
            </w:r>
          </w:p>
        </w:tc>
        <w:tc>
          <w:tcPr>
            <w:tcW w:w="7655" w:type="dxa"/>
            <w:vAlign w:val="center"/>
          </w:tcPr>
          <w:p w14:paraId="08D99FA4"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ZÁTĚŽOVÁ EEPE</w:t>
            </w:r>
          </w:p>
          <w:p w14:paraId="1FCE12BF" w14:textId="77777777" w:rsidR="007266CF" w:rsidRPr="002A677E" w:rsidRDefault="007266CF" w:rsidP="007266CF">
            <w:pPr>
              <w:keepNext/>
              <w:spacing w:before="60"/>
              <w:rPr>
                <w:rFonts w:ascii="Times New Roman" w:hAnsi="Times New Roman"/>
                <w:sz w:val="24"/>
              </w:rPr>
            </w:pPr>
            <w:r>
              <w:rPr>
                <w:rFonts w:ascii="Times New Roman" w:hAnsi="Times New Roman"/>
                <w:sz w:val="24"/>
              </w:rPr>
              <w:t>Ustanovení čl. 284 odst. 6 a čl. 292 odst. 2 nařízení (EU) č. 575/2013</w:t>
            </w:r>
          </w:p>
          <w:p w14:paraId="3FB1FDC2" w14:textId="77777777" w:rsidR="007266CF" w:rsidRPr="002A677E" w:rsidRDefault="007266CF" w:rsidP="007266CF">
            <w:pPr>
              <w:keepNext/>
              <w:spacing w:before="60"/>
              <w:rPr>
                <w:rFonts w:ascii="Times New Roman" w:hAnsi="Times New Roman"/>
                <w:sz w:val="24"/>
              </w:rPr>
            </w:pPr>
            <w:r>
              <w:rPr>
                <w:rFonts w:ascii="Times New Roman" w:hAnsi="Times New Roman"/>
                <w:sz w:val="24"/>
              </w:rPr>
              <w:t>Zátěžová EEPE se vypočítá analogicky k EEPE (čl. 284 odst. 6 nařízení (EU) č. 575/2013), avšak za použití zátěžové kalibrace v souladu s čl. 292 odst. 2 nařízení (EU) č. 575/2013.</w:t>
            </w:r>
          </w:p>
        </w:tc>
      </w:tr>
      <w:tr w:rsidR="007266CF" w:rsidRPr="002A677E" w14:paraId="55CA7587" w14:textId="77777777" w:rsidTr="007266CF">
        <w:trPr>
          <w:trHeight w:val="680"/>
        </w:trPr>
        <w:tc>
          <w:tcPr>
            <w:tcW w:w="1384" w:type="dxa"/>
          </w:tcPr>
          <w:p w14:paraId="5D2CB565" w14:textId="77777777" w:rsidR="007266CF" w:rsidRPr="002A677E" w:rsidRDefault="007266CF" w:rsidP="007266CF">
            <w:pPr>
              <w:pStyle w:val="Applicationdirecte"/>
              <w:spacing w:before="0" w:after="0"/>
              <w:jc w:val="left"/>
            </w:pPr>
            <w:r>
              <w:t>0080, 0160, 0170</w:t>
            </w:r>
          </w:p>
        </w:tc>
        <w:tc>
          <w:tcPr>
            <w:tcW w:w="7655" w:type="dxa"/>
            <w:vAlign w:val="center"/>
          </w:tcPr>
          <w:p w14:paraId="1737BCEF"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HODNOTA EXPOZICE</w:t>
            </w:r>
          </w:p>
          <w:p w14:paraId="5057DD1D" w14:textId="77777777" w:rsidR="007266CF" w:rsidRPr="002A677E" w:rsidRDefault="007266CF" w:rsidP="007266CF">
            <w:pPr>
              <w:keepNext/>
              <w:spacing w:before="60"/>
              <w:rPr>
                <w:rStyle w:val="InstructionsTabelleberschrift"/>
                <w:rFonts w:ascii="Times New Roman" w:hAnsi="Times New Roman"/>
                <w:sz w:val="24"/>
              </w:rPr>
            </w:pPr>
            <w:r>
              <w:rPr>
                <w:rFonts w:ascii="Times New Roman" w:hAnsi="Times New Roman"/>
                <w:sz w:val="24"/>
              </w:rPr>
              <w:t>Viz pokyny ke sloupci 0170 v šabloně C 34.02.</w:t>
            </w:r>
          </w:p>
        </w:tc>
      </w:tr>
      <w:tr w:rsidR="007266CF" w:rsidRPr="00403B9F" w14:paraId="021107C8" w14:textId="77777777" w:rsidTr="007266CF">
        <w:trPr>
          <w:trHeight w:val="680"/>
        </w:trPr>
        <w:tc>
          <w:tcPr>
            <w:tcW w:w="9039" w:type="dxa"/>
            <w:gridSpan w:val="2"/>
            <w:tcBorders>
              <w:left w:val="nil"/>
              <w:right w:val="nil"/>
            </w:tcBorders>
          </w:tcPr>
          <w:p w14:paraId="530BADA2" w14:textId="77777777" w:rsidR="007266CF" w:rsidRPr="00D768D3" w:rsidDel="00291448" w:rsidRDefault="007266CF" w:rsidP="007266CF">
            <w:pPr>
              <w:rPr>
                <w:rFonts w:ascii="Times New Roman" w:hAnsi="Times New Roman"/>
                <w:sz w:val="24"/>
              </w:rPr>
            </w:pPr>
          </w:p>
        </w:tc>
      </w:tr>
      <w:tr w:rsidR="007266CF" w:rsidRPr="002A677E" w14:paraId="2882612F"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434A8" w14:textId="77777777" w:rsidR="007266CF" w:rsidRPr="002A677E" w:rsidRDefault="007266CF" w:rsidP="007266CF">
            <w:pPr>
              <w:pStyle w:val="Applicationdirecte"/>
              <w:spacing w:before="0"/>
              <w:jc w:val="left"/>
              <w:rPr>
                <w:b/>
              </w:rPr>
            </w:pPr>
            <w:r>
              <w:rPr>
                <w:b/>
              </w:rPr>
              <w:t xml:space="preserve">Řádek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45094B" w14:textId="77777777" w:rsidR="007266CF" w:rsidRPr="002A677E" w:rsidRDefault="007266CF" w:rsidP="007266CF">
            <w:pPr>
              <w:pStyle w:val="TableMainHeading"/>
              <w:spacing w:before="60"/>
              <w:rPr>
                <w:rFonts w:ascii="Times New Roman" w:hAnsi="Times New Roman"/>
                <w:b/>
                <w:sz w:val="24"/>
                <w:szCs w:val="24"/>
              </w:rPr>
            </w:pPr>
            <w:r>
              <w:rPr>
                <w:rFonts w:ascii="Times New Roman" w:hAnsi="Times New Roman"/>
                <w:b/>
                <w:sz w:val="24"/>
              </w:rPr>
              <w:t xml:space="preserve">Vysvětlení </w:t>
            </w:r>
          </w:p>
        </w:tc>
      </w:tr>
      <w:tr w:rsidR="007266CF" w:rsidRPr="002A677E" w14:paraId="01C92304" w14:textId="77777777" w:rsidTr="007266CF">
        <w:trPr>
          <w:trHeight w:val="426"/>
        </w:trPr>
        <w:tc>
          <w:tcPr>
            <w:tcW w:w="1384" w:type="dxa"/>
          </w:tcPr>
          <w:p w14:paraId="2CD700DF" w14:textId="77777777" w:rsidR="007266CF" w:rsidRPr="002A677E" w:rsidRDefault="007266CF" w:rsidP="007266CF">
            <w:pPr>
              <w:pStyle w:val="Applicationdirecte"/>
              <w:spacing w:before="0" w:after="0"/>
            </w:pPr>
            <w:r>
              <w:t>0010</w:t>
            </w:r>
          </w:p>
        </w:tc>
        <w:tc>
          <w:tcPr>
            <w:tcW w:w="7655" w:type="dxa"/>
          </w:tcPr>
          <w:p w14:paraId="4F4938B6"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CELKEM </w:t>
            </w:r>
          </w:p>
          <w:p w14:paraId="471185D1" w14:textId="77777777" w:rsidR="007266CF" w:rsidRPr="002A677E" w:rsidRDefault="007266CF" w:rsidP="007266CF">
            <w:pPr>
              <w:keepNext/>
              <w:spacing w:before="60"/>
              <w:rPr>
                <w:sz w:val="24"/>
              </w:rPr>
            </w:pPr>
            <w:r>
              <w:rPr>
                <w:rFonts w:ascii="Times New Roman" w:hAnsi="Times New Roman"/>
                <w:sz w:val="24"/>
              </w:rPr>
              <w:t>Článek 283 nařízení (EU) č. 575/2013</w:t>
            </w:r>
          </w:p>
          <w:p w14:paraId="06478BC1" w14:textId="77777777" w:rsidR="007266CF" w:rsidRPr="002A677E" w:rsidRDefault="007266CF" w:rsidP="007266CF">
            <w:pPr>
              <w:rPr>
                <w:sz w:val="24"/>
              </w:rPr>
            </w:pPr>
            <w:r>
              <w:rPr>
                <w:rFonts w:ascii="Times New Roman" w:hAnsi="Times New Roman"/>
                <w:sz w:val="24"/>
              </w:rPr>
              <w:t>Instituce podává příslušné informace týkající se derivátů, transakcí s delší dobou vypořádání a transakcí s financováním cenných papírů, u nichž jí bylo povoleno určit hodnotu expozice vypočítanou metodou interního modelu v souladu s článkem 283 nařízení (EU) č. 575/2013.</w:t>
            </w:r>
          </w:p>
        </w:tc>
      </w:tr>
      <w:tr w:rsidR="007266CF" w:rsidRPr="002A677E" w14:paraId="51B9240B" w14:textId="77777777" w:rsidTr="007266CF">
        <w:trPr>
          <w:trHeight w:val="829"/>
        </w:trPr>
        <w:tc>
          <w:tcPr>
            <w:tcW w:w="1384" w:type="dxa"/>
          </w:tcPr>
          <w:p w14:paraId="1C50F0E6" w14:textId="77777777" w:rsidR="007266CF" w:rsidRPr="002A677E" w:rsidRDefault="007266CF" w:rsidP="007266CF">
            <w:pPr>
              <w:pStyle w:val="Applicationdirecte"/>
              <w:spacing w:before="0" w:after="0"/>
            </w:pPr>
            <w:r>
              <w:t>0020</w:t>
            </w:r>
          </w:p>
        </w:tc>
        <w:tc>
          <w:tcPr>
            <w:tcW w:w="7655" w:type="dxa"/>
          </w:tcPr>
          <w:p w14:paraId="683673FB"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Pozice se specifickým rizikem pozitivní korelace</w:t>
            </w:r>
          </w:p>
          <w:p w14:paraId="0C0C5F85" w14:textId="77777777" w:rsidR="007266CF" w:rsidRPr="002A677E" w:rsidRDefault="007266CF" w:rsidP="007266CF">
            <w:pPr>
              <w:rPr>
                <w:rFonts w:ascii="Times New Roman" w:hAnsi="Times New Roman"/>
                <w:sz w:val="24"/>
              </w:rPr>
            </w:pPr>
            <w:r>
              <w:rPr>
                <w:rFonts w:ascii="Times New Roman" w:hAnsi="Times New Roman"/>
                <w:sz w:val="24"/>
              </w:rPr>
              <w:t>Viz pokyny k řádku 0120 v šabloně C 34.02.</w:t>
            </w:r>
          </w:p>
        </w:tc>
      </w:tr>
      <w:tr w:rsidR="007266CF" w:rsidRPr="002A677E" w14:paraId="1AE09BBE" w14:textId="77777777" w:rsidTr="007266CF">
        <w:trPr>
          <w:trHeight w:val="842"/>
        </w:trPr>
        <w:tc>
          <w:tcPr>
            <w:tcW w:w="1384" w:type="dxa"/>
          </w:tcPr>
          <w:p w14:paraId="46A892B6" w14:textId="77777777" w:rsidR="007266CF" w:rsidRPr="002A677E" w:rsidRDefault="007266CF" w:rsidP="007266CF">
            <w:pPr>
              <w:pStyle w:val="Applicationdirecte"/>
              <w:spacing w:before="0" w:after="0"/>
              <w:jc w:val="left"/>
            </w:pPr>
            <w:r>
              <w:t>0030</w:t>
            </w:r>
          </w:p>
        </w:tc>
        <w:tc>
          <w:tcPr>
            <w:tcW w:w="7655" w:type="dxa"/>
          </w:tcPr>
          <w:p w14:paraId="4C112C5A"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transakcí se započtením, na něž se uplatňuje standardizovaný přístup k úvěrovému riziku</w:t>
            </w:r>
          </w:p>
          <w:p w14:paraId="49DF6989" w14:textId="77777777" w:rsidR="007266CF" w:rsidRPr="002A677E" w:rsidRDefault="007266CF" w:rsidP="007266CF">
            <w:pPr>
              <w:rPr>
                <w:rStyle w:val="InstructionsTabelleberschrift"/>
                <w:rFonts w:ascii="Times New Roman" w:hAnsi="Times New Roman" w:cstheme="minorBidi"/>
                <w:b w:val="0"/>
                <w:bCs w:val="0"/>
                <w:sz w:val="24"/>
              </w:rPr>
            </w:pPr>
            <w:r>
              <w:rPr>
                <w:rFonts w:ascii="Times New Roman" w:hAnsi="Times New Roman"/>
                <w:sz w:val="24"/>
              </w:rPr>
              <w:t>Viz pokyny ke sloupci 0180 v šabloně C 34.02.</w:t>
            </w:r>
          </w:p>
        </w:tc>
      </w:tr>
      <w:tr w:rsidR="007266CF" w:rsidRPr="002A677E" w14:paraId="7678361C" w14:textId="77777777" w:rsidTr="007266CF">
        <w:trPr>
          <w:trHeight w:val="839"/>
        </w:trPr>
        <w:tc>
          <w:tcPr>
            <w:tcW w:w="1384" w:type="dxa"/>
          </w:tcPr>
          <w:p w14:paraId="35C37BE0" w14:textId="77777777" w:rsidR="007266CF" w:rsidRPr="002A677E" w:rsidRDefault="007266CF" w:rsidP="007266CF">
            <w:pPr>
              <w:pStyle w:val="Applicationdirecte"/>
              <w:spacing w:before="0" w:after="0"/>
              <w:jc w:val="left"/>
            </w:pPr>
            <w:r>
              <w:lastRenderedPageBreak/>
              <w:t>0040</w:t>
            </w:r>
          </w:p>
        </w:tc>
        <w:tc>
          <w:tcPr>
            <w:tcW w:w="7655" w:type="dxa"/>
          </w:tcPr>
          <w:p w14:paraId="27740E87"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transakcí se započtením, na něž se uplatňuje přístup k úvěrovému riziku založený na interním ratingu</w:t>
            </w:r>
          </w:p>
          <w:p w14:paraId="2A5E15D4" w14:textId="77777777" w:rsidR="007266CF" w:rsidRPr="002A677E" w:rsidRDefault="007266CF" w:rsidP="007266CF">
            <w:pPr>
              <w:rPr>
                <w:rStyle w:val="InstructionsTabelleberschrift"/>
                <w:rFonts w:ascii="Times New Roman" w:hAnsi="Times New Roman" w:cstheme="minorBidi"/>
                <w:b w:val="0"/>
                <w:bCs w:val="0"/>
                <w:sz w:val="24"/>
              </w:rPr>
            </w:pPr>
            <w:r>
              <w:rPr>
                <w:rFonts w:ascii="Times New Roman" w:hAnsi="Times New Roman"/>
                <w:sz w:val="24"/>
              </w:rPr>
              <w:t>Viz pokyny ke sloupci 0190 v šabloně C 34.02.</w:t>
            </w:r>
          </w:p>
        </w:tc>
      </w:tr>
      <w:tr w:rsidR="007266CF" w:rsidRPr="002A677E" w14:paraId="4D670F64" w14:textId="77777777" w:rsidTr="007266CF">
        <w:trPr>
          <w:trHeight w:val="1971"/>
        </w:trPr>
        <w:tc>
          <w:tcPr>
            <w:tcW w:w="1384" w:type="dxa"/>
          </w:tcPr>
          <w:p w14:paraId="7CC0D70A" w14:textId="77777777" w:rsidR="007266CF" w:rsidRPr="002A677E" w:rsidRDefault="007266CF" w:rsidP="007266CF">
            <w:pPr>
              <w:pStyle w:val="Applicationdirecte"/>
              <w:spacing w:before="0" w:after="0"/>
              <w:jc w:val="left"/>
            </w:pPr>
            <w:r>
              <w:t>0050–0110</w:t>
            </w:r>
          </w:p>
        </w:tc>
        <w:tc>
          <w:tcPr>
            <w:tcW w:w="7655" w:type="dxa"/>
          </w:tcPr>
          <w:p w14:paraId="0D06990A"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OTC DERIVÁTY</w:t>
            </w:r>
          </w:p>
          <w:p w14:paraId="5129D898" w14:textId="77777777" w:rsidR="007266CF" w:rsidRPr="002A677E" w:rsidRDefault="007266CF" w:rsidP="007266CF">
            <w:pPr>
              <w:rPr>
                <w:rFonts w:ascii="Times New Roman" w:hAnsi="Times New Roman"/>
                <w:sz w:val="24"/>
              </w:rPr>
            </w:pPr>
            <w:r>
              <w:rPr>
                <w:rFonts w:ascii="Times New Roman" w:hAnsi="Times New Roman"/>
                <w:sz w:val="24"/>
              </w:rPr>
              <w:t>Instituce vykáže příslušné informace týkající se skupin transakcí se započtením obsahujících pouze OTC deriváty nebo transakce s delší dobou vypořádání, u nichž jí bylo povoleno určit hodnotu expozice pomocí metody interního modelu v členění podle různých tříd aktiv s ohledem na podkladový nástroj (úroková sazba, směnný kurz, úvěr, akcie, komodity nebo jiné).</w:t>
            </w:r>
          </w:p>
        </w:tc>
      </w:tr>
      <w:tr w:rsidR="007266CF" w:rsidRPr="002A677E" w14:paraId="06E84659" w14:textId="77777777" w:rsidTr="007266CF">
        <w:trPr>
          <w:trHeight w:val="1970"/>
        </w:trPr>
        <w:tc>
          <w:tcPr>
            <w:tcW w:w="1384" w:type="dxa"/>
          </w:tcPr>
          <w:p w14:paraId="05C656CF" w14:textId="77777777" w:rsidR="007266CF" w:rsidRPr="002A677E" w:rsidRDefault="007266CF" w:rsidP="007266CF">
            <w:pPr>
              <w:pStyle w:val="Applicationdirecte"/>
              <w:spacing w:before="0" w:after="0"/>
            </w:pPr>
            <w:r>
              <w:t>0120–0180</w:t>
            </w:r>
          </w:p>
        </w:tc>
        <w:tc>
          <w:tcPr>
            <w:tcW w:w="7655" w:type="dxa"/>
          </w:tcPr>
          <w:p w14:paraId="24FCF0C2"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BURZOVNÍ DERIVÁTY</w:t>
            </w:r>
          </w:p>
          <w:p w14:paraId="16AD06BD" w14:textId="77777777" w:rsidR="007266CF" w:rsidRPr="002A677E" w:rsidRDefault="007266CF" w:rsidP="007266CF">
            <w:pPr>
              <w:rPr>
                <w:rFonts w:ascii="Times New Roman" w:hAnsi="Times New Roman"/>
                <w:sz w:val="24"/>
              </w:rPr>
            </w:pPr>
            <w:r>
              <w:rPr>
                <w:rFonts w:ascii="Times New Roman" w:hAnsi="Times New Roman"/>
                <w:sz w:val="24"/>
              </w:rPr>
              <w:t>Instituce vykáže příslušné informace týkající se skupin transakcí se započtením obsahujících pouze burzovní deriváty nebo transakce s delší dobou vypořádání, u nichž jí bylo povoleno určit hodnotu expozice pomocí metody interního modelu v členění podle různých tříd aktiv s ohledem na podkladový nástroj (úroková sazba, směnný kurz, úvěr, akcie, komodity nebo jiné).</w:t>
            </w:r>
          </w:p>
        </w:tc>
      </w:tr>
      <w:tr w:rsidR="007266CF" w:rsidRPr="002A677E" w14:paraId="596D6303" w14:textId="77777777" w:rsidTr="007266CF">
        <w:trPr>
          <w:trHeight w:val="1701"/>
        </w:trPr>
        <w:tc>
          <w:tcPr>
            <w:tcW w:w="1384" w:type="dxa"/>
          </w:tcPr>
          <w:p w14:paraId="17DF74F7" w14:textId="77777777" w:rsidR="007266CF" w:rsidRPr="002A677E" w:rsidRDefault="007266CF" w:rsidP="007266CF">
            <w:pPr>
              <w:pStyle w:val="Applicationdirecte"/>
              <w:spacing w:before="0" w:after="0"/>
            </w:pPr>
            <w:r>
              <w:t>0190–0220</w:t>
            </w:r>
          </w:p>
        </w:tc>
        <w:tc>
          <w:tcPr>
            <w:tcW w:w="7655" w:type="dxa"/>
          </w:tcPr>
          <w:p w14:paraId="7296D6C8"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S FINANCOVÁNÍM CENNÝCH PAPÍRŮ</w:t>
            </w:r>
          </w:p>
          <w:p w14:paraId="1FBAB98F" w14:textId="77777777" w:rsidR="007266CF" w:rsidRPr="002A677E" w:rsidRDefault="007266CF" w:rsidP="007266CF">
            <w:pPr>
              <w:rPr>
                <w:rFonts w:ascii="Times New Roman" w:hAnsi="Times New Roman"/>
                <w:sz w:val="24"/>
              </w:rPr>
            </w:pPr>
            <w:r>
              <w:rPr>
                <w:rFonts w:ascii="Times New Roman" w:hAnsi="Times New Roman"/>
                <w:sz w:val="24"/>
              </w:rPr>
              <w:t>Instituce vykáže příslušné informace týkající se skupin transakcí se započtením obsahujících pouze transakce s financováním cenných papírů, u nichž jí bylo povoleno určit hodnotu expozice pomocí metody interního modelu v členění podle podkladového nástroje ve složce cenných papírů (dluhopis, akcie aj.).</w:t>
            </w:r>
          </w:p>
        </w:tc>
      </w:tr>
      <w:tr w:rsidR="007266CF" w:rsidRPr="002A677E" w14:paraId="360B0EAE" w14:textId="77777777" w:rsidTr="007266CF">
        <w:trPr>
          <w:trHeight w:val="833"/>
        </w:trPr>
        <w:tc>
          <w:tcPr>
            <w:tcW w:w="1384" w:type="dxa"/>
          </w:tcPr>
          <w:p w14:paraId="547C4F8B" w14:textId="77777777" w:rsidR="007266CF" w:rsidRPr="002A677E" w:rsidRDefault="007266CF" w:rsidP="007266CF">
            <w:pPr>
              <w:pStyle w:val="Applicationdirecte"/>
              <w:spacing w:before="0" w:after="0"/>
            </w:pPr>
            <w:r>
              <w:t>0230</w:t>
            </w:r>
          </w:p>
        </w:tc>
        <w:tc>
          <w:tcPr>
            <w:tcW w:w="7655" w:type="dxa"/>
          </w:tcPr>
          <w:p w14:paraId="40045F16"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KŘÍŽOVÉ ZAPOČTENÍ NA ZÁKLADĚ SMLOUVY</w:t>
            </w:r>
          </w:p>
          <w:p w14:paraId="02C0B5CC" w14:textId="77777777" w:rsidR="007266CF" w:rsidRPr="002A677E" w:rsidRDefault="007266CF" w:rsidP="007266CF">
            <w:pPr>
              <w:rPr>
                <w:rFonts w:ascii="Times New Roman" w:hAnsi="Times New Roman"/>
                <w:sz w:val="24"/>
              </w:rPr>
            </w:pPr>
            <w:r>
              <w:rPr>
                <w:rFonts w:ascii="Times New Roman" w:hAnsi="Times New Roman"/>
                <w:sz w:val="24"/>
              </w:rPr>
              <w:t>Viz pokyny k řádku 0070 v šabloně C 34.02.</w:t>
            </w:r>
          </w:p>
        </w:tc>
      </w:tr>
    </w:tbl>
    <w:p w14:paraId="613EEC33" w14:textId="77777777" w:rsidR="007266CF" w:rsidRPr="002A677E" w:rsidRDefault="007266CF" w:rsidP="007266CF">
      <w:pPr>
        <w:tabs>
          <w:tab w:val="left" w:pos="1430"/>
        </w:tabs>
        <w:rPr>
          <w:rFonts w:ascii="Times New Roman" w:hAnsi="Times New Roman"/>
        </w:rPr>
      </w:pPr>
    </w:p>
    <w:p w14:paraId="45F839D8"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22" w:name="_Toc116026804"/>
      <w:bookmarkStart w:id="223" w:name="_Toc119077961"/>
      <w:r>
        <w:rPr>
          <w:rFonts w:ascii="Times New Roman" w:hAnsi="Times New Roman"/>
          <w:sz w:val="24"/>
        </w:rPr>
        <w:t>C 34.06 – Dvacet nejvýznamnějších protistran</w:t>
      </w:r>
      <w:bookmarkEnd w:id="222"/>
      <w:bookmarkEnd w:id="223"/>
    </w:p>
    <w:p w14:paraId="5ECFDAB9"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24" w:name="_Toc116026805"/>
      <w:bookmarkStart w:id="225" w:name="_Toc119077962"/>
      <w:r>
        <w:rPr>
          <w:rFonts w:ascii="Times New Roman" w:hAnsi="Times New Roman"/>
          <w:sz w:val="24"/>
        </w:rPr>
        <w:t>Obecné poznámky</w:t>
      </w:r>
      <w:bookmarkEnd w:id="224"/>
      <w:bookmarkEnd w:id="225"/>
    </w:p>
    <w:p w14:paraId="6706E171" w14:textId="77777777" w:rsidR="007266CF" w:rsidRPr="002A677E" w:rsidRDefault="007266CF" w:rsidP="007266CF">
      <w:pPr>
        <w:pStyle w:val="InstructionsText2"/>
        <w:numPr>
          <w:ilvl w:val="0"/>
          <w:numId w:val="0"/>
        </w:numPr>
        <w:ind w:left="1353" w:hanging="360"/>
      </w:pPr>
      <w:fldSimple w:instr=" seq paragraphs ">
        <w:r>
          <w:t>126</w:t>
        </w:r>
      </w:fldSimple>
      <w:r>
        <w:t>. Instituce vykazují informace o dvaceti nejvýznamnějších protistranách, které představují nejvyšší expozice s CCR. Pořadí se stanoví pomocí hodnot expozice s CCR, vykázaných ve sloupci 0120 této šablony, pro všechny skupiny transakcí se započtením s příslušnými protistranami. Při stanovení seznamu dvaceti nejvýznamnějších protistran se berou v úvahu i expozice uvnitř skupiny nebo jiné expozice, na jejichž základě vzniká úvěrové riziko protistrany, ale kterým instituce pro výpočet kapitálových požadavků přidělila nulovou rizikovou váhu v souladu s čl. 113 odst. 6 a 7 nařízení (EU) č. 575/2013.</w:t>
      </w:r>
    </w:p>
    <w:p w14:paraId="0E039E05" w14:textId="77777777" w:rsidR="007266CF" w:rsidRPr="002A677E" w:rsidRDefault="007266CF" w:rsidP="007266CF">
      <w:pPr>
        <w:pStyle w:val="InstructionsText2"/>
        <w:numPr>
          <w:ilvl w:val="0"/>
          <w:numId w:val="0"/>
        </w:numPr>
        <w:ind w:left="1353" w:hanging="360"/>
      </w:pPr>
      <w:fldSimple w:instr=" seq paragraphs ">
        <w:r>
          <w:t>127</w:t>
        </w:r>
      </w:fldSimple>
      <w:r>
        <w:t>. Instituce, které pro výpočet expozic s CCR používají standardizovaný přístup (SA-CCR) nebo metodu interního modelu (IMM) podle části třetí hlavy II kapitoly 6 oddílů 3 a 6 nařízení (EU) č. 575/2013, vykazují tuto šablonu čtvrtletně. Instituce, které pro výpočet expozic s CCR používají zjednodušený standardizovaný přístup nebo metodu původní expozice podle části třetí hlavy II kapitoly 6 oddílů 4 a 5 nařízení (EU) č. 575/2013, vykazují tuto šablonu jednou za půl roku. Pokyny pro konkrétní pozice</w:t>
      </w:r>
    </w:p>
    <w:p w14:paraId="3BD1E3DC"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26" w:name="_Toc116026806"/>
      <w:bookmarkStart w:id="227" w:name="_Toc119077963"/>
      <w:r>
        <w:rPr>
          <w:rFonts w:ascii="Times New Roman" w:hAnsi="Times New Roman"/>
          <w:sz w:val="24"/>
        </w:rPr>
        <w:lastRenderedPageBreak/>
        <w:t>Pokyny pro konkrétní pozice</w:t>
      </w:r>
      <w:bookmarkEnd w:id="226"/>
      <w:bookmarkEnd w:id="2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0DC1DA59" w14:textId="77777777" w:rsidTr="007266CF">
        <w:trPr>
          <w:trHeight w:val="238"/>
        </w:trPr>
        <w:tc>
          <w:tcPr>
            <w:tcW w:w="9039" w:type="dxa"/>
            <w:gridSpan w:val="2"/>
            <w:tcBorders>
              <w:right w:val="single" w:sz="4" w:space="0" w:color="auto"/>
            </w:tcBorders>
            <w:shd w:val="clear" w:color="auto" w:fill="D9D9D9" w:themeFill="background1" w:themeFillShade="D9"/>
          </w:tcPr>
          <w:p w14:paraId="7E1F31AE"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Sloupce</w:t>
            </w:r>
          </w:p>
        </w:tc>
      </w:tr>
      <w:tr w:rsidR="007266CF" w:rsidRPr="002A677E" w14:paraId="7CDBA6C0" w14:textId="77777777" w:rsidTr="007266CF">
        <w:trPr>
          <w:trHeight w:val="680"/>
        </w:trPr>
        <w:tc>
          <w:tcPr>
            <w:tcW w:w="1384" w:type="dxa"/>
          </w:tcPr>
          <w:p w14:paraId="60E23ECE" w14:textId="77777777" w:rsidR="007266CF" w:rsidRPr="002A677E" w:rsidRDefault="007266CF" w:rsidP="007266CF">
            <w:pPr>
              <w:pStyle w:val="Applicationdirecte"/>
              <w:spacing w:before="0" w:after="0"/>
            </w:pPr>
            <w:r>
              <w:t>0011</w:t>
            </w:r>
          </w:p>
        </w:tc>
        <w:tc>
          <w:tcPr>
            <w:tcW w:w="7655" w:type="dxa"/>
            <w:vAlign w:val="center"/>
          </w:tcPr>
          <w:p w14:paraId="629040B2" w14:textId="77777777" w:rsidR="007266CF" w:rsidRPr="002A677E" w:rsidRDefault="007266CF" w:rsidP="007266CF">
            <w:pPr>
              <w:keepNext/>
              <w:spacing w:before="60"/>
              <w:rPr>
                <w:rStyle w:val="InstructionsTabelleberschrift"/>
                <w:rFonts w:ascii="Times New Roman" w:hAnsi="Times New Roman"/>
                <w:sz w:val="24"/>
              </w:rPr>
            </w:pPr>
            <w:r>
              <w:rPr>
                <w:rStyle w:val="InstructionsTabelleberschrift"/>
                <w:rFonts w:ascii="Times New Roman" w:hAnsi="Times New Roman"/>
                <w:sz w:val="24"/>
              </w:rPr>
              <w:t>NÁZEV</w:t>
            </w:r>
          </w:p>
          <w:p w14:paraId="530EE107" w14:textId="77777777" w:rsidR="007266CF" w:rsidRPr="002A677E" w:rsidRDefault="007266CF" w:rsidP="007266CF">
            <w:pPr>
              <w:keepNext/>
              <w:spacing w:before="60"/>
              <w:rPr>
                <w:rFonts w:ascii="Times New Roman" w:hAnsi="Times New Roman"/>
                <w:szCs w:val="22"/>
              </w:rPr>
            </w:pPr>
            <w:r>
              <w:rPr>
                <w:rFonts w:ascii="Times New Roman" w:hAnsi="Times New Roman"/>
                <w:sz w:val="24"/>
              </w:rPr>
              <w:t>Název protistrany</w:t>
            </w:r>
          </w:p>
        </w:tc>
      </w:tr>
      <w:tr w:rsidR="007266CF" w:rsidRPr="002A677E" w14:paraId="542D6533" w14:textId="77777777" w:rsidTr="007266CF">
        <w:trPr>
          <w:trHeight w:val="680"/>
        </w:trPr>
        <w:tc>
          <w:tcPr>
            <w:tcW w:w="1384" w:type="dxa"/>
          </w:tcPr>
          <w:p w14:paraId="11991275" w14:textId="77777777" w:rsidR="007266CF" w:rsidRPr="002A677E" w:rsidRDefault="007266CF" w:rsidP="007266CF">
            <w:pPr>
              <w:pStyle w:val="Applicationdirecte"/>
              <w:spacing w:before="0" w:after="0"/>
            </w:pPr>
            <w:r>
              <w:t>0020</w:t>
            </w:r>
          </w:p>
        </w:tc>
        <w:tc>
          <w:tcPr>
            <w:tcW w:w="7655" w:type="dxa"/>
            <w:vAlign w:val="center"/>
          </w:tcPr>
          <w:p w14:paraId="3865CBFA"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KÓD</w:t>
            </w:r>
          </w:p>
          <w:p w14:paraId="344EF583" w14:textId="77777777" w:rsidR="007266CF" w:rsidRPr="002A677E" w:rsidRDefault="007266CF" w:rsidP="007266CF">
            <w:pPr>
              <w:keepNext/>
              <w:spacing w:before="60"/>
              <w:rPr>
                <w:rFonts w:ascii="Times New Roman" w:hAnsi="Times New Roman"/>
                <w:sz w:val="24"/>
                <w:u w:val="single"/>
              </w:rPr>
            </w:pPr>
            <w:r>
              <w:rPr>
                <w:rFonts w:ascii="Times New Roman" w:hAnsi="Times New Roman"/>
                <w:sz w:val="24"/>
              </w:rPr>
              <w:t>Tento kód je součástí identifikátoru řádku a musí být pro každý vykazovaný subjekt jedinečný. V případě institucí a pojišťoven je tímto kódem kód LEI. U ostatních subjektů je jím kód LEI; není-li kód LEI k dispozici, vykáže se jiný kód než LEI. Kód je jedinečný a v šablonách se v průběhu času používá konzistentně. Kód má vždy hodnotu.</w:t>
            </w:r>
          </w:p>
        </w:tc>
      </w:tr>
      <w:tr w:rsidR="007266CF" w:rsidRPr="006223CC" w14:paraId="7611339A" w14:textId="77777777" w:rsidTr="007266CF">
        <w:trPr>
          <w:trHeight w:val="680"/>
        </w:trPr>
        <w:tc>
          <w:tcPr>
            <w:tcW w:w="1384" w:type="dxa"/>
          </w:tcPr>
          <w:p w14:paraId="6C9041B9" w14:textId="77777777" w:rsidR="007266CF" w:rsidRPr="002A677E" w:rsidRDefault="007266CF" w:rsidP="007266CF">
            <w:pPr>
              <w:pStyle w:val="Applicationdirecte"/>
              <w:spacing w:before="0" w:after="0"/>
            </w:pPr>
            <w:r>
              <w:t>0030</w:t>
            </w:r>
          </w:p>
        </w:tc>
        <w:tc>
          <w:tcPr>
            <w:tcW w:w="7655" w:type="dxa"/>
            <w:vAlign w:val="center"/>
          </w:tcPr>
          <w:p w14:paraId="75363B22"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TYP KÓDU</w:t>
            </w:r>
          </w:p>
          <w:p w14:paraId="3C877AF7" w14:textId="77777777" w:rsidR="007266CF" w:rsidRPr="002A677E" w:rsidRDefault="007266CF" w:rsidP="007266CF">
            <w:pPr>
              <w:rPr>
                <w:rStyle w:val="FormatvorlageInstructionsTabelleText"/>
                <w:rFonts w:ascii="Calibri" w:hAnsi="Calibri" w:cs="Calibri"/>
              </w:rPr>
            </w:pPr>
            <w:r>
              <w:rPr>
                <w:rFonts w:ascii="Times New Roman" w:hAnsi="Times New Roman"/>
                <w:sz w:val="24"/>
              </w:rPr>
              <w:t>Instituce označí typ kódu vykázaného ve</w:t>
            </w:r>
            <w:r>
              <w:rPr>
                <w:rStyle w:val="FormatvorlageInstructionsTabelleText"/>
                <w:rFonts w:ascii="Times New Roman" w:hAnsi="Times New Roman"/>
                <w:sz w:val="24"/>
              </w:rPr>
              <w:t xml:space="preserve"> sloupci 0020 jako „kód LEI“ nebo „vnitrostátní kód“.</w:t>
            </w:r>
          </w:p>
          <w:p w14:paraId="34853A0F" w14:textId="77777777" w:rsidR="007266CF" w:rsidRPr="006223CC" w:rsidRDefault="007266CF" w:rsidP="007266CF">
            <w:pPr>
              <w:rPr>
                <w:rFonts w:ascii="Times New Roman" w:hAnsi="Times New Roman"/>
                <w:bCs/>
                <w:sz w:val="24"/>
                <w:lang w:val="fr-FR"/>
              </w:rPr>
            </w:pPr>
            <w:r w:rsidRPr="006223CC">
              <w:rPr>
                <w:rFonts w:ascii="Times New Roman" w:hAnsi="Times New Roman"/>
                <w:sz w:val="24"/>
                <w:lang w:val="fr-FR"/>
              </w:rPr>
              <w:t>Typ kódu se vykazuje vždy.</w:t>
            </w:r>
          </w:p>
        </w:tc>
      </w:tr>
      <w:tr w:rsidR="007266CF" w:rsidRPr="002A677E" w14:paraId="390737F6" w14:textId="77777777" w:rsidTr="007266CF">
        <w:trPr>
          <w:trHeight w:val="680"/>
        </w:trPr>
        <w:tc>
          <w:tcPr>
            <w:tcW w:w="1384" w:type="dxa"/>
          </w:tcPr>
          <w:p w14:paraId="0CF59934" w14:textId="77777777" w:rsidR="007266CF" w:rsidRPr="002A677E" w:rsidRDefault="007266CF" w:rsidP="007266CF">
            <w:pPr>
              <w:pStyle w:val="Applicationdirecte"/>
              <w:spacing w:before="0" w:after="0"/>
            </w:pPr>
            <w:r>
              <w:t>0035</w:t>
            </w:r>
          </w:p>
        </w:tc>
        <w:tc>
          <w:tcPr>
            <w:tcW w:w="7655" w:type="dxa"/>
            <w:vAlign w:val="center"/>
          </w:tcPr>
          <w:p w14:paraId="450315EA"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VNITROSTÁTNÍ KÓD</w:t>
            </w:r>
          </w:p>
          <w:p w14:paraId="226C8A6D" w14:textId="77777777" w:rsidR="007266CF" w:rsidRPr="002A677E" w:rsidRDefault="007266CF" w:rsidP="007266CF">
            <w:pPr>
              <w:pStyle w:val="ListParagraph"/>
              <w:ind w:left="65"/>
              <w:rPr>
                <w:rFonts w:ascii="Times New Roman" w:hAnsi="Times New Roman"/>
                <w:b/>
                <w:sz w:val="24"/>
                <w:u w:val="single"/>
              </w:rPr>
            </w:pPr>
            <w:r>
              <w:rPr>
                <w:rFonts w:ascii="Times New Roman" w:hAnsi="Times New Roman"/>
                <w:sz w:val="24"/>
              </w:rPr>
              <w:t>Instituce, která ve sloupci 0020 „Kód“ jako identifikátor vykázala kód LEI, může dodatečně vykázat vnitrostátní kód.</w:t>
            </w:r>
          </w:p>
        </w:tc>
      </w:tr>
      <w:tr w:rsidR="007266CF" w:rsidRPr="002A677E" w14:paraId="733F7E23" w14:textId="77777777" w:rsidTr="007266CF">
        <w:trPr>
          <w:trHeight w:val="680"/>
        </w:trPr>
        <w:tc>
          <w:tcPr>
            <w:tcW w:w="1384" w:type="dxa"/>
          </w:tcPr>
          <w:p w14:paraId="64FAB354" w14:textId="77777777" w:rsidR="007266CF" w:rsidRPr="002A677E" w:rsidRDefault="007266CF" w:rsidP="007266CF">
            <w:pPr>
              <w:pStyle w:val="Applicationdirecte"/>
              <w:spacing w:before="0" w:after="0"/>
            </w:pPr>
            <w:r>
              <w:t>0040</w:t>
            </w:r>
          </w:p>
        </w:tc>
        <w:tc>
          <w:tcPr>
            <w:tcW w:w="7655" w:type="dxa"/>
            <w:vAlign w:val="center"/>
          </w:tcPr>
          <w:p w14:paraId="00BE8AFD"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ODVĚTVÍ PROTISTRANY</w:t>
            </w:r>
          </w:p>
          <w:p w14:paraId="28E6CDD9" w14:textId="77777777" w:rsidR="007266CF" w:rsidRPr="002A677E" w:rsidRDefault="007266CF" w:rsidP="007266CF">
            <w:pPr>
              <w:keepNext/>
              <w:spacing w:before="60"/>
              <w:rPr>
                <w:rFonts w:ascii="Times New Roman" w:hAnsi="Times New Roman"/>
                <w:sz w:val="24"/>
              </w:rPr>
            </w:pPr>
            <w:r>
              <w:rPr>
                <w:rFonts w:ascii="Times New Roman" w:hAnsi="Times New Roman"/>
                <w:sz w:val="24"/>
              </w:rPr>
              <w:t>Pro každou protistranu se vybere jedno odvětví na základě následujících tříd hospodářských odvětví dle FINREP (viz příloha V část 3 tohoto prováděcího nařízení):</w:t>
            </w:r>
          </w:p>
          <w:p w14:paraId="3973D1AE" w14:textId="77777777" w:rsidR="007266CF" w:rsidRPr="002A677E" w:rsidRDefault="007266CF" w:rsidP="007266CF">
            <w:pPr>
              <w:keepNext/>
              <w:spacing w:before="60"/>
              <w:rPr>
                <w:rFonts w:ascii="Times New Roman" w:hAnsi="Times New Roman"/>
                <w:sz w:val="24"/>
              </w:rPr>
            </w:pPr>
            <w:r>
              <w:rPr>
                <w:rFonts w:ascii="Times New Roman" w:hAnsi="Times New Roman"/>
                <w:sz w:val="24"/>
              </w:rPr>
              <w:t>i)         centrální banky;</w:t>
            </w:r>
          </w:p>
          <w:p w14:paraId="2B3FC901" w14:textId="77777777" w:rsidR="007266CF" w:rsidRPr="002A677E" w:rsidRDefault="007266CF" w:rsidP="007266CF">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vládní instituce;</w:t>
            </w:r>
          </w:p>
          <w:p w14:paraId="490F03C7" w14:textId="77777777" w:rsidR="007266CF" w:rsidRPr="002A677E" w:rsidRDefault="007266CF" w:rsidP="007266CF">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úvěrové instituce;</w:t>
            </w:r>
          </w:p>
          <w:p w14:paraId="6010D005" w14:textId="77777777" w:rsidR="007266CF" w:rsidRPr="002A677E" w:rsidRDefault="007266CF" w:rsidP="007266CF">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investiční podniky ve smyslu čl. 4 odst. 1 bodu 2 nařízení (EU) č. 575/2013;</w:t>
            </w:r>
          </w:p>
          <w:p w14:paraId="00092AC9" w14:textId="77777777" w:rsidR="007266CF" w:rsidRPr="002A677E" w:rsidRDefault="007266CF" w:rsidP="007266CF">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jiné finanční instituce (kromě investičních podniků);</w:t>
            </w:r>
          </w:p>
          <w:p w14:paraId="7ABB01C3" w14:textId="77777777" w:rsidR="007266CF" w:rsidRPr="002A677E" w:rsidRDefault="007266CF" w:rsidP="007266CF">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nefinanční podniky.</w:t>
            </w:r>
          </w:p>
        </w:tc>
      </w:tr>
      <w:tr w:rsidR="007266CF" w:rsidRPr="002A677E" w14:paraId="6CBCC62A" w14:textId="77777777" w:rsidTr="007266CF">
        <w:trPr>
          <w:trHeight w:val="680"/>
        </w:trPr>
        <w:tc>
          <w:tcPr>
            <w:tcW w:w="1384" w:type="dxa"/>
          </w:tcPr>
          <w:p w14:paraId="65D70CB5" w14:textId="77777777" w:rsidR="007266CF" w:rsidRPr="002A677E" w:rsidRDefault="007266CF" w:rsidP="007266CF">
            <w:pPr>
              <w:pStyle w:val="Applicationdirecte"/>
              <w:spacing w:before="0" w:after="0"/>
            </w:pPr>
            <w:r>
              <w:t>0050</w:t>
            </w:r>
          </w:p>
        </w:tc>
        <w:tc>
          <w:tcPr>
            <w:tcW w:w="7655" w:type="dxa"/>
            <w:vAlign w:val="center"/>
          </w:tcPr>
          <w:p w14:paraId="060F6FAC"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DRUH PROTISTRANY</w:t>
            </w:r>
          </w:p>
          <w:p w14:paraId="193BCCE3" w14:textId="77777777" w:rsidR="007266CF" w:rsidRPr="002A677E" w:rsidRDefault="007266CF" w:rsidP="007266CF">
            <w:pPr>
              <w:keepNext/>
              <w:spacing w:before="60"/>
              <w:rPr>
                <w:rFonts w:ascii="Times New Roman" w:hAnsi="Times New Roman"/>
                <w:sz w:val="24"/>
              </w:rPr>
            </w:pPr>
            <w:r>
              <w:rPr>
                <w:rFonts w:ascii="Times New Roman" w:hAnsi="Times New Roman"/>
                <w:sz w:val="24"/>
              </w:rPr>
              <w:t>Instituce uvede typ protistrany, jímž může být:</w:t>
            </w:r>
          </w:p>
          <w:p w14:paraId="262FEB2C" w14:textId="77777777" w:rsidR="007266CF" w:rsidRPr="002A677E" w:rsidRDefault="007266CF" w:rsidP="007266CF">
            <w:pPr>
              <w:keepNext/>
              <w:spacing w:before="60"/>
              <w:rPr>
                <w:rFonts w:ascii="Times New Roman" w:hAnsi="Times New Roman"/>
                <w:sz w:val="24"/>
              </w:rPr>
            </w:pPr>
            <w:r>
              <w:rPr>
                <w:rFonts w:ascii="Times New Roman" w:hAnsi="Times New Roman"/>
                <w:sz w:val="24"/>
              </w:rPr>
              <w:t>– způsobilá ústřední protistrana: pokud je protistranou způsobilá ústřední protistrana;</w:t>
            </w:r>
          </w:p>
          <w:p w14:paraId="175DAE22" w14:textId="77777777" w:rsidR="007266CF" w:rsidRPr="002A677E" w:rsidRDefault="007266CF" w:rsidP="007266CF">
            <w:pPr>
              <w:keepNext/>
              <w:spacing w:before="60"/>
              <w:rPr>
                <w:rFonts w:ascii="Times New Roman" w:hAnsi="Times New Roman"/>
                <w:sz w:val="24"/>
              </w:rPr>
            </w:pPr>
            <w:r>
              <w:rPr>
                <w:rFonts w:ascii="Times New Roman" w:hAnsi="Times New Roman"/>
                <w:sz w:val="24"/>
              </w:rPr>
              <w:t>– nezpůsobilá ústřední protistrana: pokud je protistranou nezpůsobilá ústřední protistrana;</w:t>
            </w:r>
          </w:p>
          <w:p w14:paraId="7FEE1C33" w14:textId="77777777" w:rsidR="007266CF" w:rsidRPr="002A677E" w:rsidRDefault="007266CF" w:rsidP="007266CF">
            <w:pPr>
              <w:keepNext/>
              <w:spacing w:before="60"/>
              <w:rPr>
                <w:rFonts w:ascii="Times New Roman" w:hAnsi="Times New Roman"/>
                <w:sz w:val="24"/>
              </w:rPr>
            </w:pPr>
            <w:r>
              <w:rPr>
                <w:rFonts w:ascii="Times New Roman" w:hAnsi="Times New Roman"/>
                <w:sz w:val="24"/>
              </w:rPr>
              <w:t xml:space="preserve">– jiný subjekt než ústřední protistrana: pokud protistranou není ústřední protistrana. </w:t>
            </w:r>
          </w:p>
        </w:tc>
      </w:tr>
      <w:tr w:rsidR="007266CF" w:rsidRPr="002A677E" w14:paraId="299E5FA3" w14:textId="77777777" w:rsidTr="007266CF">
        <w:trPr>
          <w:trHeight w:val="680"/>
        </w:trPr>
        <w:tc>
          <w:tcPr>
            <w:tcW w:w="1384" w:type="dxa"/>
          </w:tcPr>
          <w:p w14:paraId="210B19FE" w14:textId="77777777" w:rsidR="007266CF" w:rsidRPr="002A677E" w:rsidRDefault="007266CF" w:rsidP="007266CF">
            <w:pPr>
              <w:pStyle w:val="Applicationdirecte"/>
              <w:spacing w:before="0" w:after="0"/>
            </w:pPr>
            <w:r>
              <w:lastRenderedPageBreak/>
              <w:t>0060</w:t>
            </w:r>
          </w:p>
        </w:tc>
        <w:tc>
          <w:tcPr>
            <w:tcW w:w="7655" w:type="dxa"/>
            <w:vAlign w:val="center"/>
          </w:tcPr>
          <w:p w14:paraId="41F0EBEE"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SÍDLO PROTISTRANY</w:t>
            </w:r>
          </w:p>
          <w:p w14:paraId="5297EE50" w14:textId="77777777" w:rsidR="007266CF" w:rsidRPr="002A677E" w:rsidRDefault="007266CF" w:rsidP="007266CF">
            <w:pPr>
              <w:keepNext/>
              <w:spacing w:before="60"/>
              <w:rPr>
                <w:rFonts w:ascii="Times New Roman" w:hAnsi="Times New Roman"/>
                <w:sz w:val="24"/>
              </w:rPr>
            </w:pPr>
            <w:r>
              <w:rPr>
                <w:rFonts w:ascii="Times New Roman" w:hAnsi="Times New Roman"/>
                <w:sz w:val="24"/>
              </w:rPr>
              <w:t>Užije se kód ISO 3166-1-alfa-2 země registrace protistrany (včetně pseudo-ISO kódů pro mezinárodní organizace, které jsou k dispozici v příručce Eurostatu „</w:t>
            </w:r>
            <w:r>
              <w:rPr>
                <w:rFonts w:ascii="Times New Roman" w:hAnsi="Times New Roman"/>
                <w:i/>
                <w:sz w:val="24"/>
              </w:rPr>
              <w:t>Balance of Payments Vademecum</w:t>
            </w:r>
            <w:r>
              <w:rPr>
                <w:rFonts w:ascii="Times New Roman" w:hAnsi="Times New Roman"/>
                <w:sz w:val="24"/>
              </w:rPr>
              <w:t>“ v platném znění).</w:t>
            </w:r>
          </w:p>
        </w:tc>
      </w:tr>
      <w:tr w:rsidR="007266CF" w:rsidRPr="002A677E" w14:paraId="7CF45AAF" w14:textId="77777777" w:rsidTr="007266CF">
        <w:trPr>
          <w:trHeight w:val="680"/>
        </w:trPr>
        <w:tc>
          <w:tcPr>
            <w:tcW w:w="1384" w:type="dxa"/>
          </w:tcPr>
          <w:p w14:paraId="3BC7AB42" w14:textId="77777777" w:rsidR="007266CF" w:rsidRPr="002A677E" w:rsidRDefault="007266CF" w:rsidP="007266CF">
            <w:pPr>
              <w:pStyle w:val="Applicationdirecte"/>
              <w:spacing w:before="0" w:after="0"/>
            </w:pPr>
            <w:r>
              <w:t>0070</w:t>
            </w:r>
          </w:p>
        </w:tc>
        <w:tc>
          <w:tcPr>
            <w:tcW w:w="7655" w:type="dxa"/>
            <w:vAlign w:val="center"/>
          </w:tcPr>
          <w:p w14:paraId="7601E1E8"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POČET TRANSAKCÍ</w:t>
            </w:r>
          </w:p>
          <w:p w14:paraId="414486CE" w14:textId="77777777" w:rsidR="007266CF" w:rsidRPr="002A677E" w:rsidRDefault="007266CF" w:rsidP="007266CF">
            <w:pPr>
              <w:keepNext/>
              <w:spacing w:before="60"/>
              <w:rPr>
                <w:rFonts w:ascii="Times New Roman" w:hAnsi="Times New Roman"/>
                <w:b/>
                <w:sz w:val="24"/>
                <w:u w:val="single"/>
              </w:rPr>
            </w:pPr>
            <w:r>
              <w:rPr>
                <w:rFonts w:ascii="Times New Roman" w:hAnsi="Times New Roman"/>
                <w:sz w:val="24"/>
              </w:rPr>
              <w:t>Viz pokyny ke sloupci 0020 v šabloně C 34.02.</w:t>
            </w:r>
          </w:p>
        </w:tc>
      </w:tr>
      <w:tr w:rsidR="007266CF" w:rsidRPr="002A677E" w14:paraId="1551F5D5" w14:textId="77777777" w:rsidTr="007266CF">
        <w:trPr>
          <w:trHeight w:val="426"/>
        </w:trPr>
        <w:tc>
          <w:tcPr>
            <w:tcW w:w="1384" w:type="dxa"/>
          </w:tcPr>
          <w:p w14:paraId="4547E136" w14:textId="77777777" w:rsidR="007266CF" w:rsidRPr="002A677E" w:rsidRDefault="007266CF" w:rsidP="007266CF">
            <w:pPr>
              <w:pStyle w:val="Applicationdirecte"/>
              <w:spacing w:before="0" w:after="0"/>
            </w:pPr>
            <w:r>
              <w:t>0080</w:t>
            </w:r>
          </w:p>
        </w:tc>
        <w:tc>
          <w:tcPr>
            <w:tcW w:w="7655" w:type="dxa"/>
            <w:vAlign w:val="center"/>
          </w:tcPr>
          <w:p w14:paraId="7197B559"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POMYSLNÉ HODNOTY</w:t>
            </w:r>
          </w:p>
          <w:p w14:paraId="64150447" w14:textId="77777777" w:rsidR="007266CF" w:rsidRPr="002A677E" w:rsidRDefault="007266CF" w:rsidP="007266CF">
            <w:pPr>
              <w:keepNext/>
              <w:spacing w:before="60"/>
              <w:rPr>
                <w:rFonts w:ascii="Times New Roman" w:hAnsi="Times New Roman"/>
                <w:sz w:val="24"/>
              </w:rPr>
            </w:pPr>
            <w:r>
              <w:rPr>
                <w:rFonts w:ascii="Times New Roman" w:hAnsi="Times New Roman"/>
                <w:sz w:val="24"/>
              </w:rPr>
              <w:t>Viz pokyny ke sloupci 0030 v šabloně C 34.02.</w:t>
            </w:r>
          </w:p>
        </w:tc>
      </w:tr>
      <w:tr w:rsidR="007266CF" w:rsidRPr="002A677E" w14:paraId="7C2642BD" w14:textId="77777777" w:rsidTr="007266CF">
        <w:trPr>
          <w:trHeight w:val="680"/>
        </w:trPr>
        <w:tc>
          <w:tcPr>
            <w:tcW w:w="1384" w:type="dxa"/>
          </w:tcPr>
          <w:p w14:paraId="04509E49" w14:textId="77777777" w:rsidR="007266CF" w:rsidRPr="002A677E" w:rsidRDefault="007266CF" w:rsidP="007266CF">
            <w:pPr>
              <w:pStyle w:val="Applicationdirecte"/>
              <w:spacing w:before="0" w:after="0"/>
            </w:pPr>
            <w:r>
              <w:t>0090</w:t>
            </w:r>
          </w:p>
        </w:tc>
        <w:tc>
          <w:tcPr>
            <w:tcW w:w="7655" w:type="dxa"/>
            <w:vAlign w:val="center"/>
          </w:tcPr>
          <w:p w14:paraId="23D508F3"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SOUČASNÁ TRŽNÍ HODNOTA (CMV), kladná</w:t>
            </w:r>
          </w:p>
          <w:p w14:paraId="3EC50F1F" w14:textId="77777777" w:rsidR="007266CF" w:rsidRPr="002A677E" w:rsidRDefault="007266CF" w:rsidP="007266CF">
            <w:pPr>
              <w:keepNext/>
              <w:spacing w:before="60"/>
              <w:rPr>
                <w:rFonts w:ascii="Times New Roman" w:hAnsi="Times New Roman"/>
                <w:sz w:val="24"/>
              </w:rPr>
            </w:pPr>
            <w:r>
              <w:rPr>
                <w:rFonts w:ascii="Times New Roman" w:hAnsi="Times New Roman"/>
                <w:sz w:val="24"/>
              </w:rPr>
              <w:t>Viz pokyny ke sloupci 0040 v šabloně C 34.02.</w:t>
            </w:r>
          </w:p>
          <w:p w14:paraId="28E1DE9F" w14:textId="77777777" w:rsidR="007266CF" w:rsidRPr="002A677E" w:rsidRDefault="007266CF" w:rsidP="007266CF">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skupin transakcí se započtením s kladnou CMV.</w:t>
            </w:r>
          </w:p>
        </w:tc>
      </w:tr>
      <w:tr w:rsidR="007266CF" w:rsidRPr="002A677E" w14:paraId="4053F4E7" w14:textId="77777777" w:rsidTr="007266CF">
        <w:trPr>
          <w:trHeight w:val="680"/>
        </w:trPr>
        <w:tc>
          <w:tcPr>
            <w:tcW w:w="1384" w:type="dxa"/>
          </w:tcPr>
          <w:p w14:paraId="62DB49B7" w14:textId="77777777" w:rsidR="007266CF" w:rsidRPr="002A677E" w:rsidRDefault="007266CF" w:rsidP="007266CF">
            <w:pPr>
              <w:pStyle w:val="Applicationdirecte"/>
              <w:spacing w:before="0" w:after="0"/>
            </w:pPr>
            <w:r>
              <w:t>0100</w:t>
            </w:r>
          </w:p>
        </w:tc>
        <w:tc>
          <w:tcPr>
            <w:tcW w:w="7655" w:type="dxa"/>
            <w:vAlign w:val="center"/>
          </w:tcPr>
          <w:p w14:paraId="11A7D177"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SOUČASNÁ TRŽNÍ HODNOTA (CMV), záporná</w:t>
            </w:r>
          </w:p>
          <w:p w14:paraId="6E1B8FDB" w14:textId="77777777" w:rsidR="007266CF" w:rsidRPr="002A677E" w:rsidRDefault="007266CF" w:rsidP="007266CF">
            <w:pPr>
              <w:keepNext/>
              <w:spacing w:before="60"/>
              <w:rPr>
                <w:rFonts w:ascii="Times New Roman" w:hAnsi="Times New Roman"/>
                <w:sz w:val="24"/>
              </w:rPr>
            </w:pPr>
            <w:r>
              <w:rPr>
                <w:rFonts w:ascii="Times New Roman" w:hAnsi="Times New Roman"/>
                <w:sz w:val="24"/>
              </w:rPr>
              <w:t>Viz pokyny ke sloupci 0040 v šabloně C 34.02.</w:t>
            </w:r>
          </w:p>
          <w:p w14:paraId="326AA54B" w14:textId="77777777" w:rsidR="007266CF" w:rsidRPr="002A677E" w:rsidRDefault="007266CF" w:rsidP="007266CF">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absolutních hodnot skupin transakcí se započtením se zápornou CMV.</w:t>
            </w:r>
          </w:p>
        </w:tc>
      </w:tr>
      <w:tr w:rsidR="007266CF" w:rsidRPr="002A677E" w14:paraId="3E0F1B37" w14:textId="77777777" w:rsidTr="007266CF">
        <w:trPr>
          <w:trHeight w:val="680"/>
        </w:trPr>
        <w:tc>
          <w:tcPr>
            <w:tcW w:w="1384" w:type="dxa"/>
          </w:tcPr>
          <w:p w14:paraId="6FE726C5" w14:textId="77777777" w:rsidR="007266CF" w:rsidRPr="002A677E" w:rsidRDefault="007266CF" w:rsidP="007266CF">
            <w:pPr>
              <w:pStyle w:val="Applicationdirecte"/>
              <w:spacing w:before="0" w:after="0"/>
            </w:pPr>
            <w:r>
              <w:t>0110</w:t>
            </w:r>
          </w:p>
        </w:tc>
        <w:tc>
          <w:tcPr>
            <w:tcW w:w="7655" w:type="dxa"/>
            <w:vAlign w:val="center"/>
          </w:tcPr>
          <w:p w14:paraId="11C74024"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HODNOTA EXPOZICE PO SNÍŽENÍ ÚVĚROVÉHO RIZIKA</w:t>
            </w:r>
          </w:p>
          <w:p w14:paraId="23F46033" w14:textId="77777777" w:rsidR="007266CF" w:rsidRPr="002A677E" w:rsidRDefault="007266CF" w:rsidP="007266CF">
            <w:pPr>
              <w:keepNext/>
              <w:spacing w:before="60"/>
              <w:rPr>
                <w:rFonts w:ascii="Times New Roman" w:hAnsi="Times New Roman"/>
                <w:sz w:val="24"/>
              </w:rPr>
            </w:pPr>
            <w:r>
              <w:rPr>
                <w:rFonts w:ascii="Times New Roman" w:hAnsi="Times New Roman"/>
                <w:sz w:val="24"/>
              </w:rPr>
              <w:t xml:space="preserve">Viz pokyny ke sloupci 0160 v šabloně C 34.02. </w:t>
            </w:r>
          </w:p>
          <w:p w14:paraId="711B4410" w14:textId="77777777" w:rsidR="007266CF" w:rsidRPr="002A677E" w:rsidRDefault="007266CF" w:rsidP="007266CF">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hodnot expozice skupin transakcí se započtením po snížení úvěrového rizika.</w:t>
            </w:r>
          </w:p>
        </w:tc>
      </w:tr>
      <w:tr w:rsidR="007266CF" w:rsidRPr="002A677E" w14:paraId="6DF9EE11" w14:textId="77777777" w:rsidTr="007266CF">
        <w:trPr>
          <w:trHeight w:val="680"/>
        </w:trPr>
        <w:tc>
          <w:tcPr>
            <w:tcW w:w="1384" w:type="dxa"/>
          </w:tcPr>
          <w:p w14:paraId="6493DB21" w14:textId="77777777" w:rsidR="007266CF" w:rsidRPr="002A677E" w:rsidRDefault="007266CF" w:rsidP="007266CF">
            <w:pPr>
              <w:pStyle w:val="Applicationdirecte"/>
              <w:spacing w:before="0" w:after="0"/>
            </w:pPr>
            <w:r>
              <w:t>0120</w:t>
            </w:r>
          </w:p>
        </w:tc>
        <w:tc>
          <w:tcPr>
            <w:tcW w:w="7655" w:type="dxa"/>
            <w:vAlign w:val="center"/>
          </w:tcPr>
          <w:p w14:paraId="174A6C23"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HODNOTA EXPOZICE</w:t>
            </w:r>
          </w:p>
          <w:p w14:paraId="1D234AD1" w14:textId="77777777" w:rsidR="007266CF" w:rsidRPr="002A677E" w:rsidRDefault="007266CF" w:rsidP="007266CF">
            <w:pPr>
              <w:keepNext/>
              <w:spacing w:before="60"/>
              <w:rPr>
                <w:rFonts w:ascii="Times New Roman" w:hAnsi="Times New Roman"/>
                <w:b/>
                <w:sz w:val="24"/>
                <w:u w:val="single"/>
              </w:rPr>
            </w:pPr>
            <w:r>
              <w:rPr>
                <w:rFonts w:ascii="Times New Roman" w:hAnsi="Times New Roman"/>
                <w:sz w:val="24"/>
              </w:rPr>
              <w:t>Viz pokyny ke sloupci 0170 v šabloně C 34.02.</w:t>
            </w:r>
          </w:p>
        </w:tc>
      </w:tr>
      <w:tr w:rsidR="007266CF" w:rsidRPr="002A677E" w14:paraId="7A05F484" w14:textId="77777777" w:rsidTr="007266CF">
        <w:trPr>
          <w:trHeight w:val="680"/>
        </w:trPr>
        <w:tc>
          <w:tcPr>
            <w:tcW w:w="1384" w:type="dxa"/>
          </w:tcPr>
          <w:p w14:paraId="282F0095" w14:textId="77777777" w:rsidR="007266CF" w:rsidRPr="002A677E" w:rsidRDefault="007266CF" w:rsidP="007266CF">
            <w:pPr>
              <w:pStyle w:val="Applicationdirecte"/>
              <w:spacing w:before="0" w:after="0"/>
            </w:pPr>
            <w:r>
              <w:t>0130</w:t>
            </w:r>
          </w:p>
        </w:tc>
        <w:tc>
          <w:tcPr>
            <w:tcW w:w="7655" w:type="dxa"/>
            <w:vAlign w:val="center"/>
          </w:tcPr>
          <w:p w14:paraId="2E361817" w14:textId="77777777" w:rsidR="007266CF" w:rsidRPr="002A677E" w:rsidRDefault="007266CF" w:rsidP="007266CF">
            <w:pPr>
              <w:keepNext/>
              <w:spacing w:before="60"/>
              <w:rPr>
                <w:rFonts w:ascii="Times New Roman" w:hAnsi="Times New Roman"/>
                <w:b/>
                <w:sz w:val="24"/>
                <w:u w:val="single"/>
              </w:rPr>
            </w:pPr>
            <w:r>
              <w:rPr>
                <w:rFonts w:ascii="Times New Roman" w:hAnsi="Times New Roman"/>
                <w:b/>
                <w:sz w:val="24"/>
                <w:u w:val="single"/>
              </w:rPr>
              <w:t>OBJEM RIZIKOVĚ VÁŽENÝCH EXPOZIC</w:t>
            </w:r>
          </w:p>
          <w:p w14:paraId="6C46FA87" w14:textId="77777777" w:rsidR="007266CF" w:rsidRPr="002A677E" w:rsidRDefault="007266CF" w:rsidP="007266CF">
            <w:pPr>
              <w:keepNext/>
              <w:spacing w:before="60"/>
              <w:rPr>
                <w:rFonts w:ascii="Times New Roman" w:hAnsi="Times New Roman"/>
                <w:b/>
                <w:sz w:val="24"/>
                <w:u w:val="single"/>
              </w:rPr>
            </w:pPr>
            <w:r>
              <w:rPr>
                <w:rFonts w:ascii="Times New Roman" w:hAnsi="Times New Roman"/>
                <w:sz w:val="24"/>
              </w:rPr>
              <w:t>Viz pokyny ke sloupci 0200 v šabloně C 34.02.</w:t>
            </w:r>
          </w:p>
        </w:tc>
      </w:tr>
    </w:tbl>
    <w:p w14:paraId="5182664F" w14:textId="77777777" w:rsidR="007266CF" w:rsidRPr="00047034" w:rsidRDefault="007266CF" w:rsidP="007266CF">
      <w:pPr>
        <w:pStyle w:val="Titlelevel2"/>
        <w:spacing w:before="120" w:after="120"/>
        <w:jc w:val="both"/>
        <w:rPr>
          <w:rFonts w:ascii="Times New Roman" w:hAnsi="Times New Roman" w:cs="Times New Roman"/>
          <w:color w:val="auto"/>
          <w:sz w:val="24"/>
        </w:rPr>
      </w:pPr>
    </w:p>
    <w:p w14:paraId="129BD65E"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28" w:name="_Toc116026807"/>
      <w:bookmarkStart w:id="229" w:name="_Toc119077964"/>
      <w:r>
        <w:rPr>
          <w:rFonts w:ascii="Times New Roman" w:hAnsi="Times New Roman"/>
          <w:sz w:val="24"/>
        </w:rPr>
        <w:t>C 34.07 – Přístup IRB – expozice s CCR podle kategorie expozic a stupnice PD</w:t>
      </w:r>
      <w:bookmarkEnd w:id="228"/>
      <w:bookmarkEnd w:id="229"/>
      <w:r>
        <w:rPr>
          <w:rFonts w:ascii="Times New Roman" w:hAnsi="Times New Roman"/>
          <w:sz w:val="24"/>
        </w:rPr>
        <w:t xml:space="preserve"> </w:t>
      </w:r>
    </w:p>
    <w:p w14:paraId="7F7B9CAD"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30" w:name="_Toc116026808"/>
      <w:bookmarkStart w:id="231" w:name="_Toc119077965"/>
      <w:r>
        <w:rPr>
          <w:rFonts w:ascii="Times New Roman" w:hAnsi="Times New Roman"/>
          <w:sz w:val="24"/>
        </w:rPr>
        <w:t>Obecné poznámky</w:t>
      </w:r>
      <w:bookmarkEnd w:id="230"/>
      <w:bookmarkEnd w:id="231"/>
    </w:p>
    <w:p w14:paraId="44369275" w14:textId="77777777" w:rsidR="007266CF" w:rsidRPr="002A677E" w:rsidRDefault="007266CF" w:rsidP="007266CF">
      <w:pPr>
        <w:pStyle w:val="InstructionsText2"/>
        <w:numPr>
          <w:ilvl w:val="0"/>
          <w:numId w:val="0"/>
        </w:numPr>
        <w:ind w:left="1353" w:hanging="360"/>
      </w:pPr>
      <w:fldSimple w:instr=" seq paragraphs ">
        <w:r>
          <w:t>128</w:t>
        </w:r>
      </w:fldSimple>
      <w:r>
        <w:t xml:space="preserve">. Tuto šablonu vykazují instituce, které používají pokročilý nebo základní přístup IRB pro výpočet objemů rizikově vážených expozic pro všechny expozice s CCR nebo jejich část v souladu s článkem 107 nařízení (EU) č. 575/2013, bez ohledu na přístup CCR použitý ke stanovení hodnot expozic v souladu s částí třetí hlavou II kapitolami 4 a 6 nařízení (EU) č. 575/2013. </w:t>
      </w:r>
    </w:p>
    <w:p w14:paraId="7C9D64D9" w14:textId="77777777" w:rsidR="007266CF" w:rsidRPr="002A677E" w:rsidRDefault="007266CF" w:rsidP="007266CF">
      <w:pPr>
        <w:pStyle w:val="InstructionsText2"/>
        <w:numPr>
          <w:ilvl w:val="0"/>
          <w:numId w:val="0"/>
        </w:numPr>
        <w:ind w:left="1353" w:hanging="360"/>
      </w:pPr>
      <w:fldSimple w:instr=" seq paragraphs ">
        <w:r>
          <w:t>129</w:t>
        </w:r>
      </w:fldSimple>
      <w:r>
        <w:t xml:space="preserve">. Šablona se vykazuje samostatně pro všechny kategorie expozic a pro každou kategorii expozic uvedenou v článku 147 nařízení (EU) č. 575/2013. Tato šablona nezahrnuje expozice s clearingem prostřednictvím ústřední protistrany. </w:t>
      </w:r>
    </w:p>
    <w:p w14:paraId="3D32CA93" w14:textId="77777777" w:rsidR="007266CF" w:rsidRPr="002A677E" w:rsidRDefault="007266CF" w:rsidP="007266CF">
      <w:pPr>
        <w:pStyle w:val="InstructionsText2"/>
        <w:numPr>
          <w:ilvl w:val="0"/>
          <w:numId w:val="0"/>
        </w:numPr>
        <w:ind w:left="1353" w:hanging="360"/>
      </w:pPr>
      <w:fldSimple w:instr=" seq paragraphs ">
        <w:r>
          <w:t>130</w:t>
        </w:r>
      </w:fldSimple>
      <w:r>
        <w:t>. S cílem objasnit, zda instituce používá vlastní odhady LGD a/nebo konverzní faktory k úvěrovému riziku, se u každé vykazované kategorie expozic uvádí tyto informace:</w:t>
      </w:r>
    </w:p>
    <w:p w14:paraId="6092390D" w14:textId="77777777" w:rsidR="007266CF" w:rsidRPr="002A677E" w:rsidRDefault="007266CF" w:rsidP="007266CF">
      <w:pPr>
        <w:autoSpaceDE w:val="0"/>
        <w:autoSpaceDN w:val="0"/>
        <w:adjustRightInd w:val="0"/>
        <w:spacing w:after="240"/>
        <w:ind w:left="709"/>
        <w:rPr>
          <w:rFonts w:ascii="Times New Roman" w:hAnsi="Times New Roman"/>
          <w:sz w:val="24"/>
        </w:rPr>
      </w:pPr>
      <w:r>
        <w:rPr>
          <w:rFonts w:ascii="Times New Roman" w:hAnsi="Times New Roman"/>
          <w:sz w:val="24"/>
        </w:rPr>
        <w:t>„NE“ se uvede v případě, že se používají regulatorní odhady LGD a konverzních faktorů k úvěrovému riziku (základní přístup IRB).</w:t>
      </w:r>
    </w:p>
    <w:p w14:paraId="64A384C8" w14:textId="77777777" w:rsidR="007266CF" w:rsidRPr="002A677E" w:rsidRDefault="007266CF" w:rsidP="007266CF">
      <w:pPr>
        <w:autoSpaceDE w:val="0"/>
        <w:autoSpaceDN w:val="0"/>
        <w:adjustRightInd w:val="0"/>
        <w:spacing w:after="240"/>
        <w:ind w:left="709"/>
        <w:rPr>
          <w:rFonts w:ascii="Times New Roman" w:hAnsi="Times New Roman"/>
          <w:sz w:val="24"/>
        </w:rPr>
      </w:pPr>
      <w:r>
        <w:rPr>
          <w:rFonts w:ascii="Times New Roman" w:hAnsi="Times New Roman"/>
          <w:sz w:val="24"/>
        </w:rPr>
        <w:t xml:space="preserve">„ANO“ se uvede v případě, že se používají vlastní odhady LGD a konverzních faktorů k úvěrovému riziku (pokročilý přístup IRB). </w:t>
      </w:r>
    </w:p>
    <w:p w14:paraId="7029DD6C"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32" w:name="_Toc116026809"/>
      <w:bookmarkStart w:id="233" w:name="_Toc119077966"/>
      <w:r>
        <w:rPr>
          <w:rFonts w:ascii="Times New Roman" w:hAnsi="Times New Roman"/>
          <w:sz w:val="24"/>
        </w:rPr>
        <w:t>Pokyny pro konkrétní pozice</w:t>
      </w:r>
      <w:bookmarkEnd w:id="232"/>
      <w:bookmarkEnd w:id="23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7266CF" w:rsidRPr="002A677E" w14:paraId="2218BC22" w14:textId="77777777" w:rsidTr="007266CF">
        <w:trPr>
          <w:trHeight w:val="238"/>
        </w:trPr>
        <w:tc>
          <w:tcPr>
            <w:tcW w:w="9067" w:type="dxa"/>
            <w:shd w:val="clear" w:color="auto" w:fill="D9D9D9" w:themeFill="background1" w:themeFillShade="D9"/>
          </w:tcPr>
          <w:p w14:paraId="1120603D"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Sloupce</w:t>
            </w:r>
          </w:p>
        </w:tc>
      </w:tr>
    </w:tbl>
    <w:tbl>
      <w:tblPr>
        <w:tblStyle w:val="TableGrid"/>
        <w:tblW w:w="9067" w:type="dxa"/>
        <w:tblLook w:val="04A0" w:firstRow="1" w:lastRow="0" w:firstColumn="1" w:lastColumn="0" w:noHBand="0" w:noVBand="1"/>
      </w:tblPr>
      <w:tblGrid>
        <w:gridCol w:w="1413"/>
        <w:gridCol w:w="7654"/>
      </w:tblGrid>
      <w:tr w:rsidR="007266CF" w:rsidRPr="002A677E" w14:paraId="03F749EA" w14:textId="77777777" w:rsidTr="007266CF">
        <w:tc>
          <w:tcPr>
            <w:tcW w:w="1413" w:type="dxa"/>
          </w:tcPr>
          <w:p w14:paraId="29F63221" w14:textId="77777777" w:rsidR="007266CF" w:rsidRPr="002A677E" w:rsidRDefault="007266CF" w:rsidP="007266CF">
            <w:pPr>
              <w:spacing w:before="60" w:after="240"/>
              <w:rPr>
                <w:rFonts w:ascii="Times New Roman" w:hAnsi="Times New Roman"/>
                <w:sz w:val="24"/>
                <w:szCs w:val="22"/>
              </w:rPr>
            </w:pPr>
            <w:r>
              <w:rPr>
                <w:rFonts w:ascii="Times New Roman" w:hAnsi="Times New Roman"/>
                <w:sz w:val="24"/>
              </w:rPr>
              <w:t>0010</w:t>
            </w:r>
          </w:p>
        </w:tc>
        <w:tc>
          <w:tcPr>
            <w:tcW w:w="7654" w:type="dxa"/>
          </w:tcPr>
          <w:p w14:paraId="64EDE44B" w14:textId="77777777" w:rsidR="007266CF" w:rsidRPr="001235ED"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Hodnota expozice </w:t>
            </w:r>
          </w:p>
          <w:p w14:paraId="155BF5F4" w14:textId="77777777" w:rsidR="007266CF" w:rsidRPr="002A677E" w:rsidRDefault="007266CF" w:rsidP="007266CF">
            <w:pPr>
              <w:spacing w:before="60" w:after="240"/>
              <w:rPr>
                <w:rFonts w:ascii="Times New Roman" w:hAnsi="Times New Roman"/>
                <w:sz w:val="24"/>
              </w:rPr>
            </w:pPr>
            <w:r>
              <w:rPr>
                <w:rFonts w:ascii="Times New Roman" w:hAnsi="Times New Roman"/>
                <w:sz w:val="24"/>
              </w:rPr>
              <w:t>Hodnota expozice (viz pokyny ke sloupci 0170 v šabloně C 34.02), v členění podle dané stupnice PD</w:t>
            </w:r>
          </w:p>
        </w:tc>
      </w:tr>
      <w:tr w:rsidR="007266CF" w:rsidRPr="002A677E" w14:paraId="04F8A5CF" w14:textId="77777777" w:rsidTr="007266CF">
        <w:tc>
          <w:tcPr>
            <w:tcW w:w="1413" w:type="dxa"/>
          </w:tcPr>
          <w:p w14:paraId="40DB594B" w14:textId="77777777" w:rsidR="007266CF" w:rsidRPr="002A677E" w:rsidRDefault="007266CF" w:rsidP="007266CF">
            <w:pPr>
              <w:spacing w:before="60" w:after="240"/>
              <w:rPr>
                <w:rFonts w:ascii="Times New Roman" w:hAnsi="Times New Roman"/>
                <w:sz w:val="24"/>
                <w:szCs w:val="22"/>
              </w:rPr>
            </w:pPr>
            <w:r>
              <w:rPr>
                <w:rFonts w:ascii="Times New Roman" w:hAnsi="Times New Roman"/>
                <w:sz w:val="24"/>
              </w:rPr>
              <w:t>0020</w:t>
            </w:r>
          </w:p>
        </w:tc>
        <w:tc>
          <w:tcPr>
            <w:tcW w:w="7654" w:type="dxa"/>
          </w:tcPr>
          <w:p w14:paraId="39FD706F" w14:textId="77777777" w:rsidR="007266CF" w:rsidRPr="001235ED" w:rsidRDefault="007266CF" w:rsidP="007266CF">
            <w:pPr>
              <w:spacing w:before="60" w:after="240"/>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PD (%)</w:t>
            </w:r>
          </w:p>
          <w:p w14:paraId="4ACF122A" w14:textId="77777777" w:rsidR="007266CF" w:rsidRPr="002A677E" w:rsidRDefault="007266CF" w:rsidP="007266CF">
            <w:pPr>
              <w:spacing w:before="60" w:after="240"/>
              <w:rPr>
                <w:rFonts w:ascii="Times New Roman" w:hAnsi="Times New Roman"/>
                <w:sz w:val="24"/>
              </w:rPr>
            </w:pPr>
            <w:r>
              <w:rPr>
                <w:rFonts w:ascii="Times New Roman" w:hAnsi="Times New Roman"/>
                <w:sz w:val="24"/>
              </w:rPr>
              <w:t>Průměr PD jednotlivých stupňů dlužníka vážených jejich odpovídající hodnotou expozice, jak je definována ve sloupci 0010</w:t>
            </w:r>
          </w:p>
        </w:tc>
      </w:tr>
      <w:tr w:rsidR="007266CF" w:rsidRPr="002A677E" w14:paraId="62A202C0" w14:textId="77777777" w:rsidTr="007266CF">
        <w:tc>
          <w:tcPr>
            <w:tcW w:w="1413" w:type="dxa"/>
          </w:tcPr>
          <w:p w14:paraId="51FDB3CA" w14:textId="77777777" w:rsidR="007266CF" w:rsidRPr="002A677E" w:rsidRDefault="007266CF" w:rsidP="007266CF">
            <w:pPr>
              <w:spacing w:before="60" w:after="240"/>
              <w:rPr>
                <w:rFonts w:ascii="Times New Roman" w:hAnsi="Times New Roman"/>
                <w:sz w:val="24"/>
                <w:szCs w:val="22"/>
              </w:rPr>
            </w:pPr>
            <w:r>
              <w:rPr>
                <w:rFonts w:ascii="Times New Roman" w:hAnsi="Times New Roman"/>
                <w:sz w:val="24"/>
              </w:rPr>
              <w:t>0030</w:t>
            </w:r>
          </w:p>
        </w:tc>
        <w:tc>
          <w:tcPr>
            <w:tcW w:w="7654" w:type="dxa"/>
          </w:tcPr>
          <w:p w14:paraId="0CE73210" w14:textId="77777777" w:rsidR="007266CF" w:rsidRPr="001235ED"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Počet dlužníků </w:t>
            </w:r>
          </w:p>
          <w:p w14:paraId="1C7855F3" w14:textId="77777777" w:rsidR="007266CF" w:rsidRPr="002A677E" w:rsidRDefault="007266CF" w:rsidP="007266CF">
            <w:pPr>
              <w:rPr>
                <w:rFonts w:ascii="Times New Roman" w:hAnsi="Times New Roman"/>
                <w:sz w:val="24"/>
              </w:rPr>
            </w:pPr>
            <w:r>
              <w:rPr>
                <w:rFonts w:ascii="Times New Roman" w:hAnsi="Times New Roman"/>
                <w:sz w:val="24"/>
              </w:rPr>
              <w:t>Počet právních subjektů nebo dlužníků přiřazených ke každému koši pevně stanovené stupnice PD, jež byli ohodnoceni odděleně, bez ohledu na počet různých poskytnutých úvěrů nebo expozic</w:t>
            </w:r>
          </w:p>
          <w:p w14:paraId="4F85FF5A" w14:textId="77777777" w:rsidR="007266CF" w:rsidRPr="002A677E" w:rsidRDefault="007266CF" w:rsidP="007266CF">
            <w:pPr>
              <w:rPr>
                <w:rFonts w:ascii="Times New Roman" w:hAnsi="Times New Roman"/>
                <w:sz w:val="24"/>
              </w:rPr>
            </w:pPr>
            <w:r>
              <w:rPr>
                <w:rFonts w:ascii="Times New Roman" w:hAnsi="Times New Roman"/>
                <w:sz w:val="24"/>
              </w:rPr>
              <w:t>Pokud jsou různé expozice vůči stejnému dlužníkovi ohodnoceny samostatně, započítávají se samostatně. K takové situaci může dojít, pokud jsou různým expozicím vůči témuž dlužníkovi přiřazeny různé ratingové stupně dlužníka v souladu s čl. 172 odst. 1 písm. e) druhou větou nařízení (EU) č. 575/2013.</w:t>
            </w:r>
          </w:p>
        </w:tc>
      </w:tr>
      <w:tr w:rsidR="007266CF" w:rsidRPr="002A677E" w14:paraId="0FCFD5F8" w14:textId="77777777" w:rsidTr="007266CF">
        <w:tc>
          <w:tcPr>
            <w:tcW w:w="1413" w:type="dxa"/>
          </w:tcPr>
          <w:p w14:paraId="7C505E88" w14:textId="77777777" w:rsidR="007266CF" w:rsidRPr="002A677E" w:rsidRDefault="007266CF" w:rsidP="007266CF">
            <w:pPr>
              <w:spacing w:before="60" w:after="240"/>
              <w:rPr>
                <w:rFonts w:ascii="Times New Roman" w:hAnsi="Times New Roman"/>
                <w:sz w:val="24"/>
                <w:szCs w:val="22"/>
              </w:rPr>
            </w:pPr>
            <w:r>
              <w:rPr>
                <w:rFonts w:ascii="Times New Roman" w:hAnsi="Times New Roman"/>
                <w:sz w:val="24"/>
              </w:rPr>
              <w:t>0040</w:t>
            </w:r>
          </w:p>
        </w:tc>
        <w:tc>
          <w:tcPr>
            <w:tcW w:w="7654" w:type="dxa"/>
          </w:tcPr>
          <w:p w14:paraId="32477EFE" w14:textId="77777777" w:rsidR="007266CF" w:rsidRPr="001235ED" w:rsidRDefault="007266CF" w:rsidP="007266CF">
            <w:pPr>
              <w:spacing w:before="60" w:after="240"/>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LGD (%)</w:t>
            </w:r>
          </w:p>
          <w:p w14:paraId="7BDFAC36" w14:textId="77777777" w:rsidR="007266CF" w:rsidRPr="002A677E" w:rsidRDefault="007266CF" w:rsidP="007266CF">
            <w:pPr>
              <w:spacing w:before="60" w:after="240"/>
              <w:rPr>
                <w:rFonts w:ascii="Times New Roman" w:hAnsi="Times New Roman"/>
                <w:sz w:val="24"/>
              </w:rPr>
            </w:pPr>
            <w:r>
              <w:rPr>
                <w:rFonts w:ascii="Times New Roman" w:hAnsi="Times New Roman"/>
                <w:sz w:val="24"/>
              </w:rPr>
              <w:t>Průměr LGD stupňů dlužníka vážených jejich odpovídající hodnotou expozice, jak je definována ve sloupci 0010</w:t>
            </w:r>
          </w:p>
          <w:p w14:paraId="4EDEA0EE" w14:textId="77777777" w:rsidR="007266CF" w:rsidRPr="002A677E" w:rsidRDefault="007266CF" w:rsidP="007266CF">
            <w:pPr>
              <w:rPr>
                <w:rFonts w:ascii="Times New Roman" w:hAnsi="Times New Roman"/>
                <w:sz w:val="24"/>
              </w:rPr>
            </w:pPr>
            <w:r>
              <w:rPr>
                <w:rFonts w:ascii="Times New Roman" w:hAnsi="Times New Roman"/>
                <w:sz w:val="24"/>
              </w:rPr>
              <w:t xml:space="preserve">Vykazovaná LGD odpovídá konečnému odhadu LGD použitému pro výpočet objemů rizikově vážených expozic získaných po zvážení případných dopadů snižování úvěrového rizika a podmínek hospodářského poklesu, jak je uvedeno v části třetí hlavě II kapitolách 3 a 4 nařízení (EU) č. 575/2013. Zejména u institucí, které uplatňují přístup IRB, ale nepoužívají vlastní odhady LGD, se dopady finančního kolaterálu na snižování rizika odráží v E*, tedy plně upravené hodnotě expozice, a následně se odráží v LGD* v souladu s čl. 228 odst. 2 nařízení (EU) č. 575/2013. Pokud jsou používány vlastní </w:t>
            </w:r>
            <w:r>
              <w:rPr>
                <w:rFonts w:ascii="Times New Roman" w:hAnsi="Times New Roman"/>
                <w:sz w:val="24"/>
              </w:rPr>
              <w:lastRenderedPageBreak/>
              <w:t>odhady LGD, zohledňují se ustanovení článku 175 a čl. 181 odst. 1 a 2 nařízení (EU) č. 575/2013.</w:t>
            </w:r>
          </w:p>
          <w:p w14:paraId="4DD0BA7A" w14:textId="77777777" w:rsidR="007266CF" w:rsidRPr="002A677E" w:rsidRDefault="007266CF" w:rsidP="007266CF">
            <w:pPr>
              <w:rPr>
                <w:rFonts w:ascii="Times New Roman" w:hAnsi="Times New Roman"/>
                <w:sz w:val="24"/>
              </w:rPr>
            </w:pPr>
            <w:r>
              <w:rPr>
                <w:rFonts w:ascii="Times New Roman" w:hAnsi="Times New Roman"/>
                <w:sz w:val="24"/>
              </w:rPr>
              <w:t>V případě, že expozice podléhají přístupu dvojího selhání, odpovídá hodnota LGD, která má být vykázána, LGD vybrané v souladu s čl. 161 odst. 4 nařízení (EU) č. 575/2013.</w:t>
            </w:r>
          </w:p>
          <w:p w14:paraId="5B8EC95D" w14:textId="77777777" w:rsidR="007266CF" w:rsidRPr="002A677E" w:rsidRDefault="007266CF" w:rsidP="007266CF">
            <w:pPr>
              <w:spacing w:before="60" w:after="240"/>
              <w:rPr>
                <w:rFonts w:ascii="Times New Roman" w:hAnsi="Times New Roman"/>
                <w:strike/>
                <w:sz w:val="24"/>
              </w:rPr>
            </w:pPr>
            <w:r>
              <w:rPr>
                <w:rFonts w:ascii="Times New Roman" w:hAnsi="Times New Roman"/>
                <w:sz w:val="24"/>
              </w:rPr>
              <w:t xml:space="preserve">V případě expozic, u nichž došlo k selhání podle přístupu A-IRB, se zohlední ustanovení čl. 181 odst. 1 písm. h) nařízení (EU) č. 575/2013. Vykázaná LGD odpovídá odhadu LGD v selhání. </w:t>
            </w:r>
          </w:p>
        </w:tc>
      </w:tr>
      <w:tr w:rsidR="007266CF" w:rsidRPr="002A677E" w14:paraId="64615BF5" w14:textId="77777777" w:rsidTr="007266CF">
        <w:tc>
          <w:tcPr>
            <w:tcW w:w="1413" w:type="dxa"/>
          </w:tcPr>
          <w:p w14:paraId="33505520" w14:textId="77777777" w:rsidR="007266CF" w:rsidRPr="002A677E" w:rsidRDefault="007266CF" w:rsidP="007266CF">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2BDE71C9" w14:textId="77777777" w:rsidR="007266CF" w:rsidRPr="001235ED"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Expozicí vážená průměrná splatnost (roky)</w:t>
            </w:r>
          </w:p>
          <w:p w14:paraId="0FBFF899" w14:textId="77777777" w:rsidR="007266CF" w:rsidRPr="002A677E" w:rsidRDefault="007266CF" w:rsidP="007266CF">
            <w:pPr>
              <w:spacing w:before="60"/>
              <w:rPr>
                <w:rFonts w:ascii="Times New Roman" w:hAnsi="Times New Roman"/>
                <w:sz w:val="24"/>
              </w:rPr>
            </w:pPr>
            <w:r>
              <w:rPr>
                <w:rStyle w:val="InstructionsTabelleberschrift"/>
                <w:rFonts w:ascii="Times New Roman" w:hAnsi="Times New Roman"/>
                <w:b w:val="0"/>
                <w:sz w:val="24"/>
                <w:u w:val="none"/>
              </w:rPr>
              <w:t xml:space="preserve">Průměr </w:t>
            </w:r>
            <w:r>
              <w:rPr>
                <w:rFonts w:ascii="Times New Roman" w:hAnsi="Times New Roman"/>
                <w:sz w:val="24"/>
              </w:rPr>
              <w:t>splatností dlužníka vážených jejich odpovídající hodnotou expozice, jak je definována ve sloupci 0010, vyjádřený v letech</w:t>
            </w:r>
          </w:p>
          <w:p w14:paraId="52B0D17C" w14:textId="77777777" w:rsidR="007266CF" w:rsidRPr="002A677E" w:rsidRDefault="007266CF" w:rsidP="007266CF">
            <w:pPr>
              <w:rPr>
                <w:rFonts w:ascii="Times New Roman" w:hAnsi="Times New Roman"/>
                <w:sz w:val="24"/>
              </w:rPr>
            </w:pPr>
            <w:r>
              <w:rPr>
                <w:rFonts w:ascii="Times New Roman" w:hAnsi="Times New Roman"/>
                <w:sz w:val="24"/>
              </w:rPr>
              <w:t xml:space="preserve">Splatnost se určí v souladu s článkem 162 nařízení (EU) č. 575/2013. </w:t>
            </w:r>
          </w:p>
        </w:tc>
      </w:tr>
      <w:tr w:rsidR="007266CF" w:rsidRPr="002A677E" w14:paraId="2AABDCF0" w14:textId="77777777" w:rsidTr="007266CF">
        <w:tc>
          <w:tcPr>
            <w:tcW w:w="1413" w:type="dxa"/>
          </w:tcPr>
          <w:p w14:paraId="0611C503" w14:textId="77777777" w:rsidR="007266CF" w:rsidRPr="002A677E" w:rsidRDefault="007266CF" w:rsidP="007266CF">
            <w:pPr>
              <w:spacing w:before="60" w:after="240"/>
              <w:rPr>
                <w:sz w:val="24"/>
              </w:rPr>
            </w:pPr>
            <w:r>
              <w:rPr>
                <w:rFonts w:ascii="Times New Roman" w:hAnsi="Times New Roman"/>
                <w:sz w:val="24"/>
              </w:rPr>
              <w:t>0060</w:t>
            </w:r>
          </w:p>
        </w:tc>
        <w:tc>
          <w:tcPr>
            <w:tcW w:w="7654" w:type="dxa"/>
          </w:tcPr>
          <w:p w14:paraId="72BFB2FE" w14:textId="77777777" w:rsidR="007266CF" w:rsidRPr="002A677E" w:rsidRDefault="007266CF" w:rsidP="007266CF">
            <w:pPr>
              <w:spacing w:before="60"/>
              <w:rPr>
                <w:rFonts w:ascii="Times New Roman" w:hAnsi="Times New Roman"/>
                <w:sz w:val="24"/>
              </w:rPr>
            </w:pPr>
            <w:r>
              <w:rPr>
                <w:rStyle w:val="InstructionsTabelleberschrift"/>
                <w:rFonts w:ascii="Times New Roman" w:hAnsi="Times New Roman"/>
                <w:sz w:val="24"/>
              </w:rPr>
              <w:t>Objemy rizikově vážených expozic</w:t>
            </w:r>
            <w:r>
              <w:rPr>
                <w:rFonts w:ascii="Times New Roman" w:hAnsi="Times New Roman"/>
                <w:i/>
                <w:sz w:val="24"/>
              </w:rPr>
              <w:t xml:space="preserve"> </w:t>
            </w:r>
          </w:p>
          <w:p w14:paraId="3F42AF3D"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Objemy rizikově vážených expozic ve smyslu čl. 92 odst. 3 a 4 nařízení (EU) č. 575/2013 u pozic, jejichž rizikové váhy se odhadují na základě požadavků stanovených v části třetí hlavě II kapitole 3 nařízení (EU) č. 575/2013 a u nichž se hodnota expozice vyplývající z CCR vypočítá v souladu s částí třetí hlavou II kapitolami 4 a 6 uvedeného nařízení </w:t>
            </w:r>
          </w:p>
          <w:p w14:paraId="7C497F76" w14:textId="77777777" w:rsidR="007266CF" w:rsidRPr="002A677E" w:rsidRDefault="007266CF" w:rsidP="007266CF">
            <w:pPr>
              <w:spacing w:before="60" w:after="240"/>
              <w:rPr>
                <w:rFonts w:ascii="Times New Roman" w:hAnsi="Times New Roman"/>
                <w:i/>
                <w:sz w:val="24"/>
              </w:rPr>
            </w:pPr>
            <w:r>
              <w:rPr>
                <w:rFonts w:ascii="Times New Roman" w:hAnsi="Times New Roman"/>
                <w:sz w:val="24"/>
              </w:rPr>
              <w:t xml:space="preserve">Zohledňují se podpůrné koeficienty pro malé a střední podniky a infrastrukturu podle článků 501 a 501a nařízení (EU) č. 575/2013. </w:t>
            </w:r>
          </w:p>
        </w:tc>
      </w:tr>
      <w:tr w:rsidR="007266CF" w:rsidRPr="002A677E" w14:paraId="547A09E6" w14:textId="77777777" w:rsidTr="007266CF">
        <w:tc>
          <w:tcPr>
            <w:tcW w:w="1413" w:type="dxa"/>
          </w:tcPr>
          <w:p w14:paraId="1E479B76" w14:textId="77777777" w:rsidR="007266CF" w:rsidRPr="002A677E" w:rsidRDefault="007266CF" w:rsidP="007266CF">
            <w:pPr>
              <w:spacing w:before="60" w:after="240"/>
              <w:rPr>
                <w:sz w:val="24"/>
              </w:rPr>
            </w:pPr>
            <w:r>
              <w:rPr>
                <w:rFonts w:ascii="Times New Roman" w:hAnsi="Times New Roman"/>
                <w:sz w:val="24"/>
              </w:rPr>
              <w:t>0070</w:t>
            </w:r>
          </w:p>
        </w:tc>
        <w:tc>
          <w:tcPr>
            <w:tcW w:w="7654" w:type="dxa"/>
          </w:tcPr>
          <w:p w14:paraId="3C23C127" w14:textId="77777777" w:rsidR="007266CF" w:rsidRPr="001235ED"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Hustota objemů rizikově vážených expozic </w:t>
            </w:r>
          </w:p>
          <w:p w14:paraId="42B5D35A" w14:textId="77777777" w:rsidR="007266CF" w:rsidRPr="002A677E" w:rsidDel="00291448" w:rsidRDefault="007266CF" w:rsidP="007266CF">
            <w:pPr>
              <w:spacing w:before="60"/>
              <w:rPr>
                <w:rFonts w:ascii="Times New Roman" w:hAnsi="Times New Roman"/>
                <w:sz w:val="24"/>
              </w:rPr>
            </w:pPr>
            <w:r>
              <w:rPr>
                <w:rFonts w:ascii="Times New Roman" w:hAnsi="Times New Roman"/>
                <w:sz w:val="24"/>
              </w:rPr>
              <w:t>Poměr celkových objemů rizikově vážených expozic (vykazovaných ve sloupci 0060) k hodnotě expozice (vykazované ve sloupci 0010)</w:t>
            </w:r>
          </w:p>
        </w:tc>
      </w:tr>
    </w:tbl>
    <w:p w14:paraId="68DA8D1A" w14:textId="77777777" w:rsidR="007266CF" w:rsidRPr="002A677E" w:rsidRDefault="007266CF" w:rsidP="007266CF">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4EBCE8BB" w14:textId="77777777" w:rsidTr="007266CF">
        <w:trPr>
          <w:trHeight w:val="720"/>
        </w:trPr>
        <w:tc>
          <w:tcPr>
            <w:tcW w:w="9039" w:type="dxa"/>
            <w:gridSpan w:val="2"/>
            <w:shd w:val="clear" w:color="auto" w:fill="D9D9D9" w:themeFill="background1" w:themeFillShade="D9"/>
          </w:tcPr>
          <w:p w14:paraId="23640267"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b/>
                <w:sz w:val="24"/>
              </w:rPr>
              <w:t xml:space="preserve">Řádky </w:t>
            </w:r>
          </w:p>
        </w:tc>
      </w:tr>
      <w:tr w:rsidR="007266CF" w:rsidRPr="002A677E" w14:paraId="03C9B51C" w14:textId="77777777" w:rsidTr="007266CF">
        <w:trPr>
          <w:trHeight w:val="680"/>
        </w:trPr>
        <w:tc>
          <w:tcPr>
            <w:tcW w:w="1384" w:type="dxa"/>
          </w:tcPr>
          <w:p w14:paraId="40393A6E" w14:textId="77777777" w:rsidR="007266CF" w:rsidRPr="002A677E" w:rsidRDefault="007266CF" w:rsidP="007266CF">
            <w:pPr>
              <w:pStyle w:val="Applicationdirecte"/>
              <w:spacing w:before="60" w:after="0"/>
              <w:jc w:val="center"/>
            </w:pPr>
            <w:r>
              <w:t>0010–0170</w:t>
            </w:r>
          </w:p>
        </w:tc>
        <w:tc>
          <w:tcPr>
            <w:tcW w:w="7655" w:type="dxa"/>
            <w:vAlign w:val="center"/>
          </w:tcPr>
          <w:p w14:paraId="6E836866" w14:textId="77777777" w:rsidR="007266CF" w:rsidRPr="002A677E" w:rsidRDefault="007266CF" w:rsidP="007266CF">
            <w:pPr>
              <w:spacing w:before="60"/>
              <w:rPr>
                <w:rFonts w:ascii="Times New Roman" w:hAnsi="Times New Roman"/>
                <w:b/>
                <w:bCs/>
                <w:sz w:val="24"/>
                <w:u w:val="single"/>
              </w:rPr>
            </w:pPr>
            <w:r>
              <w:rPr>
                <w:rStyle w:val="InstructionsTabelleberschrift"/>
                <w:rFonts w:ascii="Times New Roman" w:hAnsi="Times New Roman"/>
                <w:sz w:val="24"/>
              </w:rPr>
              <w:t>Stupnice PD</w:t>
            </w:r>
          </w:p>
          <w:p w14:paraId="4248F41C" w14:textId="77777777" w:rsidR="007266CF" w:rsidRPr="002A677E" w:rsidRDefault="007266CF" w:rsidP="007266CF">
            <w:pPr>
              <w:spacing w:before="60"/>
              <w:rPr>
                <w:rFonts w:ascii="Times New Roman" w:hAnsi="Times New Roman"/>
                <w:sz w:val="24"/>
              </w:rPr>
            </w:pPr>
            <w:r>
              <w:rPr>
                <w:rFonts w:ascii="Times New Roman" w:hAnsi="Times New Roman"/>
                <w:sz w:val="24"/>
              </w:rPr>
              <w:t>Expozice s CCR (stanovené na úrovni protistrany) se přiřadí ke vhodnému koši pevného rozmezí PD na základě PD odhadnuté pro každého dlužníka zařazeného do této kategorie expozic (bez zohlednění případné substituce v důsledku existence záruky nebo úvěrového derivátu). Instituce přiřadí jednotlivé expozice k rozmezí PD uvedenému v šabloně s přehlédnutím ke kontinuálním stupnicím. Všechny expozice, u nichž došlo k selhání, se zahrnují do koše PD o hodnotě 100 %.</w:t>
            </w:r>
          </w:p>
        </w:tc>
      </w:tr>
    </w:tbl>
    <w:p w14:paraId="6C35ABF7"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34" w:name="_Toc116026810"/>
      <w:bookmarkStart w:id="235" w:name="_Toc119077967"/>
      <w:r>
        <w:rPr>
          <w:rFonts w:ascii="Times New Roman" w:hAnsi="Times New Roman"/>
          <w:sz w:val="24"/>
        </w:rPr>
        <w:t>C 34.08 – Složení kolaterálu pro expozice s CCR</w:t>
      </w:r>
      <w:bookmarkEnd w:id="234"/>
      <w:bookmarkEnd w:id="235"/>
    </w:p>
    <w:p w14:paraId="621316CB"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36" w:name="_Toc116026811"/>
      <w:bookmarkStart w:id="237" w:name="_Toc119077968"/>
      <w:r>
        <w:rPr>
          <w:rFonts w:ascii="Times New Roman" w:hAnsi="Times New Roman"/>
          <w:sz w:val="24"/>
        </w:rPr>
        <w:t>Obecné poznámky</w:t>
      </w:r>
      <w:bookmarkEnd w:id="236"/>
      <w:bookmarkEnd w:id="237"/>
    </w:p>
    <w:p w14:paraId="115E5186" w14:textId="77777777" w:rsidR="007266CF" w:rsidRPr="002A677E" w:rsidRDefault="007266CF" w:rsidP="007266CF">
      <w:pPr>
        <w:pStyle w:val="InstructionsText2"/>
        <w:numPr>
          <w:ilvl w:val="0"/>
          <w:numId w:val="0"/>
        </w:numPr>
        <w:ind w:left="1353" w:hanging="360"/>
      </w:pPr>
      <w:fldSimple w:instr=" seq paragraphs ">
        <w:r>
          <w:t>131</w:t>
        </w:r>
      </w:fldSimple>
      <w:r>
        <w:t xml:space="preserve">. Do této šablony se uvede reálná hodnota kolaterálu (poskytnutého nebo obdrženého) použitého v expozicích s CCR týkajících se derivátových transakcí, </w:t>
      </w:r>
      <w:r>
        <w:lastRenderedPageBreak/>
        <w:t xml:space="preserve">transakcí s delší dobou vypořádání nebo transakcí s financováním cenných papírů, bez ohledu na to, zda jsou transakce zúčtovány prostřednictvím ústřední protistrany a zda je ústřední protistraně poskytnut kolaterál, či nikoli. </w:t>
      </w:r>
    </w:p>
    <w:p w14:paraId="6A6A4B1B"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38" w:name="_Toc116026812"/>
      <w:bookmarkStart w:id="239" w:name="_Toc119077969"/>
      <w:r>
        <w:rPr>
          <w:rFonts w:ascii="Times New Roman" w:hAnsi="Times New Roman"/>
          <w:sz w:val="24"/>
        </w:rPr>
        <w:t>Pokyny pro konkrétní pozice</w:t>
      </w:r>
      <w:bookmarkEnd w:id="238"/>
      <w:bookmarkEnd w:id="23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73E6033E" w14:textId="77777777" w:rsidTr="007266CF">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04B50" w14:textId="77777777" w:rsidR="007266CF" w:rsidRPr="002A677E" w:rsidRDefault="007266CF" w:rsidP="007266CF">
            <w:pPr>
              <w:pStyle w:val="TableMainHeading"/>
              <w:spacing w:before="60"/>
              <w:rPr>
                <w:rFonts w:ascii="Times New Roman" w:hAnsi="Times New Roman"/>
                <w:b/>
                <w:sz w:val="24"/>
                <w:szCs w:val="24"/>
              </w:rPr>
            </w:pPr>
            <w:r>
              <w:rPr>
                <w:rFonts w:ascii="Times New Roman" w:hAnsi="Times New Roman"/>
                <w:b/>
                <w:sz w:val="24"/>
              </w:rPr>
              <w:t xml:space="preserve">Sloupce </w:t>
            </w:r>
          </w:p>
        </w:tc>
      </w:tr>
      <w:tr w:rsidR="007266CF" w:rsidRPr="002A677E" w14:paraId="2631104D" w14:textId="77777777" w:rsidTr="007266CF">
        <w:trPr>
          <w:trHeight w:val="680"/>
        </w:trPr>
        <w:tc>
          <w:tcPr>
            <w:tcW w:w="1384" w:type="dxa"/>
          </w:tcPr>
          <w:p w14:paraId="5A1750CA" w14:textId="77777777" w:rsidR="007266CF" w:rsidRPr="002A677E" w:rsidRDefault="007266CF" w:rsidP="007266CF">
            <w:pPr>
              <w:pStyle w:val="Applicationdirecte"/>
              <w:spacing w:before="60" w:after="0"/>
            </w:pPr>
            <w:r>
              <w:t>0010–0080</w:t>
            </w:r>
          </w:p>
        </w:tc>
        <w:tc>
          <w:tcPr>
            <w:tcW w:w="7655" w:type="dxa"/>
            <w:vAlign w:val="center"/>
          </w:tcPr>
          <w:p w14:paraId="4B834B8B"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Kolaterál použitý v transakcích s deriváty </w:t>
            </w:r>
          </w:p>
          <w:p w14:paraId="06F5FE7F" w14:textId="77777777" w:rsidR="007266CF" w:rsidRPr="002A677E" w:rsidRDefault="007266CF" w:rsidP="007266CF">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Instituce vykazují kolaterál (včetně počáteční marže a variační marže) použitý v expozicích s CCR týkajících se jakéhokoli derivátového nástroje uvedeného v příloze II nařízení (EU) č. 575/2013 nebo transakce s delší dobou vypořádání podle čl. 272 bodu 2 téhož nařízení, které nelze považovat za transakce s financováním cenných papírů. </w:t>
            </w:r>
          </w:p>
        </w:tc>
      </w:tr>
      <w:tr w:rsidR="007266CF" w:rsidRPr="002A677E" w14:paraId="5341AF32" w14:textId="77777777" w:rsidTr="007266CF">
        <w:trPr>
          <w:trHeight w:val="680"/>
        </w:trPr>
        <w:tc>
          <w:tcPr>
            <w:tcW w:w="1384" w:type="dxa"/>
          </w:tcPr>
          <w:p w14:paraId="434B1C5C" w14:textId="77777777" w:rsidR="007266CF" w:rsidRPr="002A677E" w:rsidRDefault="007266CF" w:rsidP="007266CF">
            <w:pPr>
              <w:pStyle w:val="Applicationdirecte"/>
              <w:spacing w:before="60" w:after="0"/>
            </w:pPr>
            <w:r>
              <w:t>0090–0180</w:t>
            </w:r>
          </w:p>
        </w:tc>
        <w:tc>
          <w:tcPr>
            <w:tcW w:w="7655" w:type="dxa"/>
            <w:vAlign w:val="center"/>
          </w:tcPr>
          <w:p w14:paraId="338BCCB7"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Kolaterál použitý v transakcích s financováním cenných papírů </w:t>
            </w:r>
          </w:p>
          <w:p w14:paraId="15395369" w14:textId="77777777" w:rsidR="007266CF" w:rsidRPr="002A677E" w:rsidRDefault="007266CF" w:rsidP="007266CF">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Instituce vykazují kolaterál (včetně počáteční marže a variační marže, jakož i kolaterálu uvedeného jako zajištění transakce s financováním cenných papírů), který se používá v expozicích s CCR v souvislosti s jakoukoli transakcí s financováním cenných papírů nebo transakcí s delší dobou vypořádání, kterou nelze považovat za derivátovou. </w:t>
            </w:r>
          </w:p>
        </w:tc>
      </w:tr>
      <w:tr w:rsidR="007266CF" w:rsidRPr="002A677E" w14:paraId="1DC8E385" w14:textId="77777777" w:rsidTr="007266CF">
        <w:trPr>
          <w:trHeight w:val="416"/>
        </w:trPr>
        <w:tc>
          <w:tcPr>
            <w:tcW w:w="1384" w:type="dxa"/>
          </w:tcPr>
          <w:p w14:paraId="19EAF904" w14:textId="77777777" w:rsidR="007266CF" w:rsidRPr="002A677E" w:rsidRDefault="007266CF" w:rsidP="007266CF">
            <w:pPr>
              <w:pStyle w:val="Applicationdirecte"/>
              <w:spacing w:before="60" w:after="0"/>
            </w:pPr>
            <w:r>
              <w:t>0010, 0020, 0050, 0060, 0090, 0100, 0140, 0150</w:t>
            </w:r>
          </w:p>
        </w:tc>
        <w:tc>
          <w:tcPr>
            <w:tcW w:w="7655" w:type="dxa"/>
            <w:vAlign w:val="center"/>
          </w:tcPr>
          <w:p w14:paraId="665FDED9"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Oddělený</w:t>
            </w:r>
          </w:p>
          <w:p w14:paraId="06F52738" w14:textId="77777777" w:rsidR="007266CF" w:rsidRPr="002A677E" w:rsidRDefault="007266CF" w:rsidP="007266CF">
            <w:pPr>
              <w:spacing w:before="60"/>
              <w:rPr>
                <w:rStyle w:val="InstructionsTabelleberschrift"/>
                <w:rFonts w:ascii="Times New Roman" w:hAnsi="Times New Roman"/>
                <w:sz w:val="24"/>
              </w:rPr>
            </w:pPr>
            <w:r>
              <w:rPr>
                <w:rFonts w:ascii="Times New Roman" w:hAnsi="Times New Roman"/>
                <w:sz w:val="24"/>
              </w:rPr>
              <w:t>Ustanovení čl. 300 odst. 1 nařízení (EU) č. 575/2013</w:t>
            </w:r>
          </w:p>
          <w:p w14:paraId="05EE308A" w14:textId="77777777" w:rsidR="007266CF" w:rsidRPr="002A677E" w:rsidRDefault="007266CF" w:rsidP="007266CF">
            <w:pPr>
              <w:spacing w:before="60"/>
              <w:rPr>
                <w:rFonts w:ascii="Times New Roman" w:hAnsi="Times New Roman"/>
                <w:sz w:val="24"/>
              </w:rPr>
            </w:pPr>
            <w:r>
              <w:rPr>
                <w:rFonts w:ascii="Times New Roman" w:hAnsi="Times New Roman"/>
                <w:sz w:val="24"/>
              </w:rPr>
              <w:t>Instituce vykazují kolaterál, který je držen způsobem odolným vůči úpadku podle čl. 300 bodu 1 nařízení (EU) č. 575/2013, dále rozčleněný na kolaterál ve formě počáteční nebo variační marže.</w:t>
            </w:r>
          </w:p>
        </w:tc>
      </w:tr>
      <w:tr w:rsidR="007266CF" w:rsidRPr="002A677E" w14:paraId="15B50938" w14:textId="77777777" w:rsidTr="007266CF">
        <w:trPr>
          <w:trHeight w:val="680"/>
        </w:trPr>
        <w:tc>
          <w:tcPr>
            <w:tcW w:w="1384" w:type="dxa"/>
          </w:tcPr>
          <w:p w14:paraId="3ECD206F" w14:textId="77777777" w:rsidR="007266CF" w:rsidRPr="002A677E" w:rsidRDefault="007266CF" w:rsidP="007266CF">
            <w:pPr>
              <w:pStyle w:val="Applicationdirecte"/>
              <w:spacing w:before="60" w:after="0"/>
            </w:pPr>
            <w:r>
              <w:t xml:space="preserve">0030, 0040, 0070, 0080, 0110, 0120, 0130, 0160, 0170, 0180 </w:t>
            </w:r>
          </w:p>
        </w:tc>
        <w:tc>
          <w:tcPr>
            <w:tcW w:w="7655" w:type="dxa"/>
          </w:tcPr>
          <w:p w14:paraId="5E62283A"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Neoddělený </w:t>
            </w:r>
          </w:p>
          <w:p w14:paraId="76AE141B" w14:textId="77777777" w:rsidR="007266CF" w:rsidRPr="002A677E" w:rsidRDefault="007266CF" w:rsidP="007266CF">
            <w:pPr>
              <w:spacing w:before="60"/>
              <w:rPr>
                <w:rStyle w:val="InstructionsTabelleberschrift"/>
                <w:rFonts w:ascii="Times New Roman" w:hAnsi="Times New Roman"/>
                <w:sz w:val="24"/>
              </w:rPr>
            </w:pPr>
            <w:r>
              <w:rPr>
                <w:rFonts w:ascii="Times New Roman" w:hAnsi="Times New Roman"/>
                <w:sz w:val="24"/>
              </w:rPr>
              <w:t>Ustanovení čl. 300 odst. 1 nařízení (EU) č. 575/2013</w:t>
            </w:r>
          </w:p>
          <w:p w14:paraId="0F464440" w14:textId="77777777" w:rsidR="007266CF" w:rsidRPr="002A677E" w:rsidRDefault="007266CF" w:rsidP="007266CF">
            <w:pPr>
              <w:rPr>
                <w:rFonts w:ascii="Times New Roman" w:hAnsi="Times New Roman"/>
                <w:sz w:val="24"/>
              </w:rPr>
            </w:pPr>
            <w:r>
              <w:rPr>
                <w:rFonts w:ascii="Times New Roman" w:hAnsi="Times New Roman"/>
                <w:sz w:val="24"/>
              </w:rPr>
              <w:t>Instituce vykazují kolaterál, který není držen způsobem odolným vůči úpadku podle čl. 300 bodu 1 nařízení (EU) č. 575/2013, dále rozčleněný na počáteční marži, variační marži a zajištění transakcí s financováním cenných papírů.</w:t>
            </w:r>
          </w:p>
        </w:tc>
      </w:tr>
      <w:tr w:rsidR="007266CF" w:rsidRPr="002A677E" w14:paraId="5554F61A" w14:textId="77777777" w:rsidTr="007266CF">
        <w:trPr>
          <w:trHeight w:val="680"/>
        </w:trPr>
        <w:tc>
          <w:tcPr>
            <w:tcW w:w="1384" w:type="dxa"/>
          </w:tcPr>
          <w:p w14:paraId="5D2F6523" w14:textId="77777777" w:rsidR="007266CF" w:rsidRPr="002A677E" w:rsidRDefault="007266CF" w:rsidP="007266CF">
            <w:pPr>
              <w:pStyle w:val="Applicationdirecte"/>
              <w:spacing w:before="60" w:after="0"/>
            </w:pPr>
            <w:r>
              <w:t>0010, 0030, 0050, 0070, 0090, 0110, 0140, 0160</w:t>
            </w:r>
          </w:p>
        </w:tc>
        <w:tc>
          <w:tcPr>
            <w:tcW w:w="7655" w:type="dxa"/>
            <w:vAlign w:val="center"/>
          </w:tcPr>
          <w:p w14:paraId="7E47C79A"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Počáteční marže</w:t>
            </w:r>
          </w:p>
          <w:p w14:paraId="22C1619F" w14:textId="77777777" w:rsidR="007266CF" w:rsidRPr="002A677E" w:rsidRDefault="007266CF" w:rsidP="007266CF">
            <w:pPr>
              <w:spacing w:before="60"/>
              <w:rPr>
                <w:rFonts w:ascii="Times New Roman" w:hAnsi="Times New Roman"/>
                <w:sz w:val="24"/>
              </w:rPr>
            </w:pPr>
            <w:r>
              <w:rPr>
                <w:rFonts w:ascii="Times New Roman" w:hAnsi="Times New Roman"/>
                <w:sz w:val="24"/>
              </w:rPr>
              <w:t>Ustanovení čl. 4 odst. 1 bodu 140 nařízení (EU) č. 575/2013</w:t>
            </w:r>
          </w:p>
          <w:p w14:paraId="6FCAE235" w14:textId="77777777" w:rsidR="007266CF" w:rsidRPr="002A677E" w:rsidRDefault="007266CF" w:rsidP="007266CF">
            <w:pPr>
              <w:spacing w:before="60"/>
              <w:rPr>
                <w:rFonts w:ascii="Times New Roman" w:hAnsi="Times New Roman"/>
                <w:sz w:val="24"/>
              </w:rPr>
            </w:pPr>
            <w:r>
              <w:rPr>
                <w:rFonts w:ascii="Times New Roman" w:hAnsi="Times New Roman"/>
                <w:sz w:val="24"/>
              </w:rPr>
              <w:t>Instituce vykazují reálné hodnoty obdrženého nebo poskytnutého kolaterálu jako počáteční marži (definovanou v čl. 4 odst. 1 bodě 140 nařízení (EU) č. 575/2013).</w:t>
            </w:r>
          </w:p>
        </w:tc>
      </w:tr>
      <w:tr w:rsidR="007266CF" w:rsidRPr="002A677E" w14:paraId="49079875" w14:textId="77777777" w:rsidTr="007266CF">
        <w:trPr>
          <w:trHeight w:val="680"/>
        </w:trPr>
        <w:tc>
          <w:tcPr>
            <w:tcW w:w="1384" w:type="dxa"/>
          </w:tcPr>
          <w:p w14:paraId="37721E2F" w14:textId="77777777" w:rsidR="007266CF" w:rsidRPr="002A677E" w:rsidRDefault="007266CF" w:rsidP="007266CF">
            <w:pPr>
              <w:pStyle w:val="Applicationdirecte"/>
              <w:spacing w:before="60" w:after="0"/>
            </w:pPr>
            <w:r>
              <w:t>0020, 0040, 0060, 0080, 0100, 0120, 0150, 0170</w:t>
            </w:r>
          </w:p>
        </w:tc>
        <w:tc>
          <w:tcPr>
            <w:tcW w:w="7655" w:type="dxa"/>
            <w:vAlign w:val="center"/>
          </w:tcPr>
          <w:p w14:paraId="2FFCC9A4"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Variační marže</w:t>
            </w:r>
          </w:p>
          <w:p w14:paraId="0FD066E2" w14:textId="77777777" w:rsidR="007266CF" w:rsidRPr="002A677E" w:rsidRDefault="007266CF" w:rsidP="007266CF">
            <w:pPr>
              <w:spacing w:before="60"/>
              <w:rPr>
                <w:rFonts w:ascii="Times New Roman" w:eastAsia="Calibri" w:hAnsi="Times New Roman"/>
                <w:sz w:val="24"/>
              </w:rPr>
            </w:pPr>
            <w:r>
              <w:rPr>
                <w:rFonts w:ascii="Times New Roman" w:hAnsi="Times New Roman"/>
                <w:sz w:val="24"/>
              </w:rPr>
              <w:t>Instituce vykazují reálné hodnoty obdrženého nebo poskytnutého kolaterálu jako variační marži.</w:t>
            </w:r>
          </w:p>
        </w:tc>
      </w:tr>
      <w:tr w:rsidR="007266CF" w:rsidRPr="002A677E" w14:paraId="77923678" w14:textId="77777777" w:rsidTr="007266CF">
        <w:trPr>
          <w:trHeight w:val="680"/>
        </w:trPr>
        <w:tc>
          <w:tcPr>
            <w:tcW w:w="1384" w:type="dxa"/>
          </w:tcPr>
          <w:p w14:paraId="4370AEB9" w14:textId="77777777" w:rsidR="007266CF" w:rsidRPr="002A677E" w:rsidRDefault="007266CF" w:rsidP="007266CF">
            <w:pPr>
              <w:pStyle w:val="Applicationdirecte"/>
              <w:spacing w:before="60" w:after="0"/>
            </w:pPr>
            <w:r>
              <w:t>0130, 0180</w:t>
            </w:r>
          </w:p>
        </w:tc>
        <w:tc>
          <w:tcPr>
            <w:tcW w:w="7655" w:type="dxa"/>
            <w:vAlign w:val="center"/>
          </w:tcPr>
          <w:p w14:paraId="54EBD077" w14:textId="77777777" w:rsidR="007266CF" w:rsidRPr="002A677E" w:rsidRDefault="007266CF" w:rsidP="007266CF">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Zajištění transakcí s financováním cenných papírů </w:t>
            </w:r>
          </w:p>
          <w:p w14:paraId="75A9363A" w14:textId="77777777" w:rsidR="007266CF" w:rsidRPr="002A677E" w:rsidRDefault="007266CF" w:rsidP="007266CF">
            <w:pPr>
              <w:spacing w:before="60"/>
              <w:rPr>
                <w:rFonts w:ascii="Times New Roman" w:eastAsia="Calibri" w:hAnsi="Times New Roman"/>
                <w:i/>
                <w:sz w:val="24"/>
              </w:rPr>
            </w:pPr>
            <w:r>
              <w:rPr>
                <w:rFonts w:ascii="Times New Roman" w:hAnsi="Times New Roman"/>
                <w:sz w:val="24"/>
              </w:rPr>
              <w:t xml:space="preserve">Instituce vykazují reálné hodnoty kolaterálu, který je v transakcích s financováním cenných papírů uveden jako zajištění (např. zajišťovací složka </w:t>
            </w:r>
            <w:r>
              <w:rPr>
                <w:rFonts w:ascii="Times New Roman" w:hAnsi="Times New Roman"/>
                <w:sz w:val="24"/>
              </w:rPr>
              <w:lastRenderedPageBreak/>
              <w:t>transakcí s financováním cenných papírů, která byla obdržena, ve sloupci 0130 nebo poskytnuta, ve sloupci 0180).</w:t>
            </w:r>
          </w:p>
        </w:tc>
      </w:tr>
    </w:tbl>
    <w:p w14:paraId="3F408CE9" w14:textId="77777777" w:rsidR="007266CF" w:rsidRPr="002A677E" w:rsidRDefault="007266CF" w:rsidP="007266CF">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5500A4B9" w14:textId="77777777" w:rsidTr="007266CF">
        <w:trPr>
          <w:trHeight w:val="238"/>
        </w:trPr>
        <w:tc>
          <w:tcPr>
            <w:tcW w:w="9039" w:type="dxa"/>
            <w:gridSpan w:val="2"/>
            <w:shd w:val="clear" w:color="auto" w:fill="D9D9D9" w:themeFill="background1" w:themeFillShade="D9"/>
          </w:tcPr>
          <w:p w14:paraId="2A6A8F1A"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b/>
                <w:sz w:val="24"/>
              </w:rPr>
              <w:t xml:space="preserve">Řádky </w:t>
            </w:r>
          </w:p>
        </w:tc>
      </w:tr>
      <w:tr w:rsidR="007266CF" w:rsidRPr="002A677E" w14:paraId="6388F581" w14:textId="77777777" w:rsidTr="007266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BC239A"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0AE8EFC" w14:textId="77777777" w:rsidR="007266CF" w:rsidRPr="002A677E" w:rsidRDefault="007266CF" w:rsidP="007266CF">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 kolaterálu</w:t>
            </w:r>
          </w:p>
          <w:p w14:paraId="13B00A54"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Členění podle různých typů kolaterálu</w:t>
            </w:r>
          </w:p>
        </w:tc>
      </w:tr>
    </w:tbl>
    <w:p w14:paraId="183F5086" w14:textId="77777777" w:rsidR="007266CF" w:rsidRPr="002A677E" w:rsidRDefault="007266CF" w:rsidP="007266CF">
      <w:pPr>
        <w:pStyle w:val="Titlelevel2"/>
        <w:spacing w:before="120" w:after="120"/>
        <w:rPr>
          <w:rFonts w:ascii="Times New Roman" w:hAnsi="Times New Roman" w:cs="Times New Roman"/>
          <w:color w:val="auto"/>
          <w:sz w:val="24"/>
        </w:rPr>
      </w:pPr>
    </w:p>
    <w:p w14:paraId="5000E56B"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40" w:name="_Toc116026813"/>
      <w:bookmarkStart w:id="241" w:name="_Toc119077970"/>
      <w:r>
        <w:rPr>
          <w:rFonts w:ascii="Times New Roman" w:hAnsi="Times New Roman"/>
          <w:sz w:val="24"/>
        </w:rPr>
        <w:t>C 34.09 – Expozice úvěrových derivátů</w:t>
      </w:r>
      <w:bookmarkEnd w:id="240"/>
      <w:bookmarkEnd w:id="241"/>
    </w:p>
    <w:p w14:paraId="4D6E1150"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42" w:name="_Toc116026814"/>
      <w:bookmarkStart w:id="243" w:name="_Toc119077971"/>
      <w:r>
        <w:rPr>
          <w:rFonts w:ascii="Times New Roman" w:hAnsi="Times New Roman"/>
          <w:sz w:val="24"/>
        </w:rPr>
        <w:t>Pokyny pro konkrétní pozice</w:t>
      </w:r>
      <w:bookmarkEnd w:id="242"/>
      <w:bookmarkEnd w:id="24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5FCC2845" w14:textId="77777777" w:rsidTr="007266CF">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9B02EE"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 xml:space="preserve">Sloupce </w:t>
            </w:r>
          </w:p>
        </w:tc>
      </w:tr>
      <w:tr w:rsidR="007266CF" w:rsidRPr="002A677E" w14:paraId="0E8CD014" w14:textId="77777777" w:rsidTr="007266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31C7AB"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5B47A" w14:textId="77777777" w:rsidR="007266CF" w:rsidRPr="002A677E" w:rsidRDefault="007266CF" w:rsidP="007266CF">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ZAJIŠTĚNÍ ÚVĚROVÝCH DERIVÁTŮ</w:t>
            </w:r>
          </w:p>
          <w:p w14:paraId="71A97F7D" w14:textId="77777777" w:rsidR="007266CF" w:rsidRPr="002A677E" w:rsidRDefault="007266CF" w:rsidP="007266CF">
            <w:pPr>
              <w:autoSpaceDE w:val="0"/>
              <w:autoSpaceDN w:val="0"/>
              <w:adjustRightInd w:val="0"/>
              <w:spacing w:before="60"/>
              <w:rPr>
                <w:rFonts w:ascii="Times New Roman" w:hAnsi="Times New Roman"/>
                <w:b/>
                <w:sz w:val="24"/>
              </w:rPr>
            </w:pPr>
            <w:r>
              <w:rPr>
                <w:rFonts w:ascii="Times New Roman" w:hAnsi="Times New Roman"/>
                <w:sz w:val="24"/>
              </w:rPr>
              <w:t>Koupené nebo prodané zajištění úvěrového derivátu</w:t>
            </w:r>
          </w:p>
        </w:tc>
      </w:tr>
      <w:tr w:rsidR="007266CF" w:rsidRPr="002A677E" w14:paraId="0670527F" w14:textId="77777777" w:rsidTr="007266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1757DF"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92E039" w14:textId="77777777" w:rsidR="007266CF" w:rsidRPr="002A677E" w:rsidRDefault="007266CF" w:rsidP="007266CF">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POMYSLNÉ HODNOTY </w:t>
            </w:r>
          </w:p>
          <w:p w14:paraId="72B0DF38" w14:textId="77777777" w:rsidR="007266CF" w:rsidRPr="002A677E" w:rsidRDefault="007266CF" w:rsidP="007266CF">
            <w:pPr>
              <w:autoSpaceDE w:val="0"/>
              <w:autoSpaceDN w:val="0"/>
              <w:adjustRightInd w:val="0"/>
              <w:spacing w:before="60"/>
              <w:rPr>
                <w:rFonts w:ascii="Times New Roman" w:hAnsi="Times New Roman"/>
                <w:i/>
                <w:sz w:val="24"/>
              </w:rPr>
            </w:pPr>
            <w:r>
              <w:rPr>
                <w:rFonts w:ascii="Times New Roman" w:hAnsi="Times New Roman"/>
                <w:sz w:val="24"/>
              </w:rPr>
              <w:t>Součet pomyslných derivátových částek před započtením v členění podle typu produktu</w:t>
            </w:r>
          </w:p>
        </w:tc>
      </w:tr>
      <w:tr w:rsidR="007266CF" w:rsidRPr="002A677E" w14:paraId="334E65B7" w14:textId="77777777" w:rsidTr="007266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97C06"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B7BA43" w14:textId="77777777" w:rsidR="007266CF" w:rsidRPr="002A677E" w:rsidRDefault="007266CF" w:rsidP="007266CF">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REÁLNÉ HODNOTY</w:t>
            </w:r>
          </w:p>
          <w:p w14:paraId="6D716C23" w14:textId="77777777" w:rsidR="007266CF" w:rsidRPr="002A677E" w:rsidRDefault="007266CF" w:rsidP="007266CF">
            <w:pPr>
              <w:autoSpaceDE w:val="0"/>
              <w:autoSpaceDN w:val="0"/>
              <w:adjustRightInd w:val="0"/>
              <w:spacing w:before="60"/>
              <w:rPr>
                <w:rFonts w:ascii="Times New Roman" w:hAnsi="Times New Roman"/>
                <w:i/>
                <w:sz w:val="24"/>
              </w:rPr>
            </w:pPr>
            <w:r>
              <w:rPr>
                <w:rFonts w:ascii="Times New Roman" w:hAnsi="Times New Roman"/>
                <w:sz w:val="24"/>
              </w:rPr>
              <w:t xml:space="preserve">Součet reálných hodnot v členění podle koupeného a prodaného zajištění </w:t>
            </w:r>
          </w:p>
        </w:tc>
      </w:tr>
    </w:tbl>
    <w:p w14:paraId="61A0DFA4" w14:textId="77777777" w:rsidR="007266CF" w:rsidRPr="002A677E" w:rsidRDefault="007266CF" w:rsidP="007266CF">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551190CE" w14:textId="77777777" w:rsidTr="007266CF">
        <w:trPr>
          <w:trHeight w:val="238"/>
        </w:trPr>
        <w:tc>
          <w:tcPr>
            <w:tcW w:w="9039" w:type="dxa"/>
            <w:gridSpan w:val="2"/>
            <w:shd w:val="clear" w:color="auto" w:fill="D9D9D9" w:themeFill="background1" w:themeFillShade="D9"/>
          </w:tcPr>
          <w:p w14:paraId="73B07F53"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b/>
                <w:sz w:val="24"/>
              </w:rPr>
              <w:t xml:space="preserve">Řádky </w:t>
            </w:r>
          </w:p>
        </w:tc>
      </w:tr>
      <w:tr w:rsidR="007266CF" w:rsidRPr="002A677E" w14:paraId="68C6EEA5" w14:textId="77777777" w:rsidTr="007266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DED2034"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F93DEA" w14:textId="77777777" w:rsidR="007266CF" w:rsidRPr="002A677E" w:rsidRDefault="007266CF" w:rsidP="007266CF">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Druh produktu</w:t>
            </w:r>
          </w:p>
          <w:p w14:paraId="70C8F75F"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Členění typů úvěrových derivátových produktů</w:t>
            </w:r>
          </w:p>
        </w:tc>
      </w:tr>
      <w:tr w:rsidR="007266CF" w:rsidRPr="002A677E" w14:paraId="176200DC" w14:textId="77777777" w:rsidTr="007266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2BE28F4"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435D987" w14:textId="77777777" w:rsidR="007266CF" w:rsidRPr="002A677E" w:rsidRDefault="007266CF" w:rsidP="007266CF">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Celkem</w:t>
            </w:r>
          </w:p>
          <w:p w14:paraId="60E6F56B" w14:textId="77777777" w:rsidR="007266CF" w:rsidRPr="002A677E" w:rsidRDefault="007266CF" w:rsidP="007266CF">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všech typů produktů</w:t>
            </w:r>
          </w:p>
        </w:tc>
      </w:tr>
      <w:tr w:rsidR="007266CF" w:rsidRPr="002A677E" w14:paraId="0E04B2E7" w14:textId="77777777" w:rsidTr="007266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C7BC7C"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969C3D" w14:textId="77777777" w:rsidR="007266CF" w:rsidRPr="002A677E" w:rsidRDefault="007266CF" w:rsidP="007266CF">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Reálné hodnoty</w:t>
            </w:r>
          </w:p>
          <w:p w14:paraId="7EF4BD07" w14:textId="77777777" w:rsidR="007266CF" w:rsidRPr="002A677E" w:rsidRDefault="007266CF" w:rsidP="007266CF">
            <w:pPr>
              <w:autoSpaceDE w:val="0"/>
              <w:autoSpaceDN w:val="0"/>
              <w:adjustRightInd w:val="0"/>
              <w:rPr>
                <w:rFonts w:ascii="Times New Roman" w:hAnsi="Times New Roman"/>
                <w:bCs/>
                <w:sz w:val="24"/>
              </w:rPr>
            </w:pPr>
            <w:r>
              <w:rPr>
                <w:rFonts w:ascii="Times New Roman" w:hAnsi="Times New Roman"/>
                <w:sz w:val="24"/>
              </w:rPr>
              <w:t>Reálné hodnoty v členění podle typu produktu, aktiv (kladné reálné hodnoty) a pasiv (záporné reálné hodnoty)</w:t>
            </w:r>
          </w:p>
        </w:tc>
      </w:tr>
    </w:tbl>
    <w:p w14:paraId="654FF70C" w14:textId="77777777" w:rsidR="007266CF" w:rsidRPr="002A677E" w:rsidRDefault="007266CF" w:rsidP="007266CF">
      <w:pPr>
        <w:pStyle w:val="Titlelevel2"/>
        <w:spacing w:before="120" w:after="120"/>
        <w:rPr>
          <w:rFonts w:ascii="Times New Roman" w:hAnsi="Times New Roman" w:cs="Times New Roman"/>
          <w:b/>
          <w:color w:val="auto"/>
          <w:sz w:val="24"/>
        </w:rPr>
      </w:pPr>
    </w:p>
    <w:p w14:paraId="47C56ADD"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44" w:name="_Toc116026815"/>
      <w:bookmarkStart w:id="245" w:name="_Toc119077972"/>
      <w:r>
        <w:rPr>
          <w:rFonts w:ascii="Times New Roman" w:hAnsi="Times New Roman"/>
          <w:sz w:val="24"/>
        </w:rPr>
        <w:lastRenderedPageBreak/>
        <w:t>C 34.10 – Expozice vůči ústředním protistranám</w:t>
      </w:r>
      <w:bookmarkEnd w:id="244"/>
      <w:bookmarkEnd w:id="245"/>
    </w:p>
    <w:p w14:paraId="7BA18283"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46" w:name="_Toc116026816"/>
      <w:bookmarkStart w:id="247" w:name="_Toc119077973"/>
      <w:r>
        <w:rPr>
          <w:rFonts w:ascii="Times New Roman" w:hAnsi="Times New Roman"/>
          <w:sz w:val="24"/>
        </w:rPr>
        <w:t>Obecné poznámky</w:t>
      </w:r>
      <w:bookmarkEnd w:id="246"/>
      <w:bookmarkEnd w:id="247"/>
    </w:p>
    <w:p w14:paraId="7E18E0CF" w14:textId="77777777" w:rsidR="007266CF" w:rsidRPr="002A677E" w:rsidRDefault="007266CF" w:rsidP="007266CF">
      <w:pPr>
        <w:pStyle w:val="InstructionsText2"/>
        <w:numPr>
          <w:ilvl w:val="0"/>
          <w:numId w:val="0"/>
        </w:numPr>
        <w:ind w:left="1353" w:hanging="360"/>
      </w:pPr>
      <w:fldSimple w:instr=" seq paragraphs ">
        <w:r>
          <w:t>132</w:t>
        </w:r>
      </w:fldSimple>
      <w:r>
        <w:t xml:space="preserve">. Instituce vykazují informace o expozicích vůči ústředním protistranám, tj. smlouvách a transakcích uvedených v čl. 301 bodu 1 nařízení (EU) č. 575/2013, dokud jsou u ústřední protistrany nesplacené, a o expozicích z transakcí souvisejících s ústřední protistranou v souladu s čl. 300 bodem 2 uvedeného nařízení, pro které se kapitálové požadavky vypočítávají v souladu s částí třetí hlavou II kapitolou 6 oddílem 9 uvedeného nařízení. </w:t>
      </w:r>
    </w:p>
    <w:p w14:paraId="1B7563E8"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48" w:name="_Toc116026817"/>
      <w:bookmarkStart w:id="249" w:name="_Toc119077974"/>
      <w:r>
        <w:rPr>
          <w:rFonts w:ascii="Times New Roman" w:hAnsi="Times New Roman"/>
          <w:sz w:val="24"/>
        </w:rPr>
        <w:t>Pokyny pro konkrétní pozice</w:t>
      </w:r>
      <w:bookmarkEnd w:id="248"/>
      <w:bookmarkEnd w:id="24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1E39CFCE" w14:textId="77777777" w:rsidTr="007266CF">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674C1" w14:textId="77777777" w:rsidR="007266CF" w:rsidRPr="002A677E" w:rsidRDefault="007266CF" w:rsidP="007266CF">
            <w:pPr>
              <w:autoSpaceDE w:val="0"/>
              <w:autoSpaceDN w:val="0"/>
              <w:adjustRightInd w:val="0"/>
              <w:rPr>
                <w:rFonts w:ascii="Times New Roman" w:hAnsi="Times New Roman"/>
                <w:b/>
                <w:sz w:val="24"/>
              </w:rPr>
            </w:pPr>
            <w:r>
              <w:rPr>
                <w:rFonts w:ascii="Times New Roman" w:hAnsi="Times New Roman"/>
                <w:b/>
                <w:sz w:val="24"/>
              </w:rPr>
              <w:t xml:space="preserve">Sloupce </w:t>
            </w:r>
          </w:p>
        </w:tc>
      </w:tr>
      <w:tr w:rsidR="007266CF" w:rsidRPr="002A677E" w14:paraId="0E9F8342" w14:textId="77777777" w:rsidTr="007266CF">
        <w:trPr>
          <w:trHeight w:val="680"/>
        </w:trPr>
        <w:tc>
          <w:tcPr>
            <w:tcW w:w="1384" w:type="dxa"/>
          </w:tcPr>
          <w:p w14:paraId="2AE5D473" w14:textId="77777777" w:rsidR="007266CF" w:rsidRPr="002A677E" w:rsidRDefault="007266CF" w:rsidP="007266CF">
            <w:pPr>
              <w:pStyle w:val="Applicationdirecte"/>
              <w:spacing w:before="0" w:after="0"/>
            </w:pPr>
            <w:r>
              <w:t>0010</w:t>
            </w:r>
          </w:p>
        </w:tc>
        <w:tc>
          <w:tcPr>
            <w:tcW w:w="7655" w:type="dxa"/>
            <w:vAlign w:val="center"/>
          </w:tcPr>
          <w:p w14:paraId="4E14111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HODNOTA EXPOZICE </w:t>
            </w:r>
          </w:p>
          <w:p w14:paraId="72E152BF" w14:textId="77777777" w:rsidR="007266CF" w:rsidRPr="002A677E" w:rsidRDefault="007266CF" w:rsidP="007266CF">
            <w:pPr>
              <w:keepNext/>
              <w:spacing w:before="60"/>
              <w:rPr>
                <w:rFonts w:ascii="Times New Roman" w:hAnsi="Times New Roman"/>
                <w:sz w:val="24"/>
              </w:rPr>
            </w:pPr>
            <w:r>
              <w:rPr>
                <w:rFonts w:ascii="Times New Roman" w:hAnsi="Times New Roman"/>
                <w:sz w:val="24"/>
              </w:rPr>
              <w:t>Hodnota expozice transakcí spadajících do oblasti působnosti části třetí hlavy II kapitoly 6 oddílu 9 nařízení (EU) č. 575/2013 vypočtená podle příslušných metod stanovených v uvedené kapitole, a zejména v jejím oddíle 9</w:t>
            </w:r>
          </w:p>
          <w:p w14:paraId="49305D60" w14:textId="77777777" w:rsidR="007266CF" w:rsidRPr="002A677E" w:rsidRDefault="007266CF" w:rsidP="007266CF">
            <w:pPr>
              <w:keepNext/>
              <w:spacing w:before="60"/>
              <w:rPr>
                <w:rFonts w:ascii="Times New Roman" w:hAnsi="Times New Roman"/>
                <w:sz w:val="24"/>
              </w:rPr>
            </w:pPr>
            <w:r>
              <w:rPr>
                <w:rFonts w:ascii="Times New Roman" w:hAnsi="Times New Roman"/>
                <w:sz w:val="24"/>
              </w:rPr>
              <w:t>Vykazovanou hodnotou expozice je částka relevantní pro výpočet kapitálových požadavků v souladu s částí třetí hlavou II kapitolou 6 oddílem 9 nařízení (EU) č. 575/2013 s ohledem na požadavky článku 497 zmíněného nařízení během přechodného období stanoveného v uvedeném článku.</w:t>
            </w:r>
          </w:p>
          <w:p w14:paraId="5F7B0C9B" w14:textId="77777777" w:rsidR="007266CF" w:rsidRPr="002A677E" w:rsidRDefault="007266CF" w:rsidP="007266CF">
            <w:pPr>
              <w:keepNext/>
              <w:spacing w:before="60"/>
              <w:rPr>
                <w:rFonts w:ascii="Times New Roman" w:hAnsi="Times New Roman"/>
                <w:sz w:val="24"/>
              </w:rPr>
            </w:pPr>
            <w:r>
              <w:rPr>
                <w:rFonts w:ascii="Times New Roman" w:hAnsi="Times New Roman"/>
                <w:sz w:val="24"/>
              </w:rPr>
              <w:t>Expozicí může být obchodní expozice ve smyslu čl. 4 odst. 1 bodu 91 nařízení (EU) č. 575/2013.</w:t>
            </w:r>
          </w:p>
        </w:tc>
      </w:tr>
      <w:tr w:rsidR="007266CF" w:rsidRPr="002A677E" w14:paraId="7894AED0" w14:textId="77777777" w:rsidTr="007266CF">
        <w:trPr>
          <w:trHeight w:val="680"/>
        </w:trPr>
        <w:tc>
          <w:tcPr>
            <w:tcW w:w="1384" w:type="dxa"/>
          </w:tcPr>
          <w:p w14:paraId="187B3280" w14:textId="77777777" w:rsidR="007266CF" w:rsidRPr="002A677E" w:rsidRDefault="007266CF" w:rsidP="007266CF">
            <w:pPr>
              <w:pStyle w:val="Applicationdirecte"/>
              <w:spacing w:before="0" w:after="0"/>
            </w:pPr>
            <w:r>
              <w:t>0020</w:t>
            </w:r>
          </w:p>
        </w:tc>
        <w:tc>
          <w:tcPr>
            <w:tcW w:w="7655" w:type="dxa"/>
            <w:vAlign w:val="center"/>
          </w:tcPr>
          <w:p w14:paraId="494D22D4" w14:textId="77777777" w:rsidR="007266CF" w:rsidRPr="002A677E" w:rsidRDefault="007266CF" w:rsidP="007266CF">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OBJEM RIZIKOVĚ VÁŽENÝCH EXPOZIC</w:t>
            </w:r>
          </w:p>
          <w:p w14:paraId="2F3E000D" w14:textId="77777777" w:rsidR="007266CF" w:rsidRPr="002A677E" w:rsidRDefault="007266CF" w:rsidP="007266CF">
            <w:pPr>
              <w:keepNext/>
              <w:spacing w:before="60"/>
              <w:rPr>
                <w:rFonts w:ascii="Times New Roman" w:hAnsi="Times New Roman"/>
                <w:strike/>
                <w:sz w:val="24"/>
              </w:rPr>
            </w:pPr>
            <w:r>
              <w:rPr>
                <w:rFonts w:ascii="Times New Roman" w:hAnsi="Times New Roman"/>
                <w:sz w:val="24"/>
              </w:rPr>
              <w:t>Objemy rizikově vážených expozic určené v souladu s částí třetí hlavou II kapitolou 6 oddílem 9 nařízení (EU) č. 575/2013 s ohledem na požadavky článku 497 zmíněného nařízení během přechodného období stanoveného v uvedeném článku</w:t>
            </w:r>
          </w:p>
        </w:tc>
      </w:tr>
    </w:tbl>
    <w:p w14:paraId="7B035553" w14:textId="77777777" w:rsidR="007266CF" w:rsidRPr="002A677E" w:rsidRDefault="007266CF" w:rsidP="007266CF">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2E4039DD" w14:textId="77777777" w:rsidTr="007266CF">
        <w:trPr>
          <w:trHeight w:val="238"/>
        </w:trPr>
        <w:tc>
          <w:tcPr>
            <w:tcW w:w="9039" w:type="dxa"/>
            <w:gridSpan w:val="2"/>
            <w:shd w:val="clear" w:color="auto" w:fill="D9D9D9" w:themeFill="background1" w:themeFillShade="D9"/>
          </w:tcPr>
          <w:p w14:paraId="49ED436B"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b/>
                <w:sz w:val="24"/>
              </w:rPr>
              <w:t xml:space="preserve">Řádky </w:t>
            </w:r>
          </w:p>
        </w:tc>
      </w:tr>
      <w:tr w:rsidR="007266CF" w:rsidRPr="002A677E" w14:paraId="690034E4" w14:textId="77777777" w:rsidTr="007266CF">
        <w:trPr>
          <w:trHeight w:val="680"/>
        </w:trPr>
        <w:tc>
          <w:tcPr>
            <w:tcW w:w="1384" w:type="dxa"/>
          </w:tcPr>
          <w:p w14:paraId="70F88C87" w14:textId="77777777" w:rsidR="007266CF" w:rsidRPr="002A677E" w:rsidRDefault="007266CF" w:rsidP="007266CF">
            <w:pPr>
              <w:pStyle w:val="Applicationdirecte"/>
              <w:spacing w:before="0" w:after="0"/>
            </w:pPr>
            <w:r>
              <w:t>0010–0100</w:t>
            </w:r>
          </w:p>
        </w:tc>
        <w:tc>
          <w:tcPr>
            <w:tcW w:w="7655" w:type="dxa"/>
            <w:vAlign w:val="center"/>
          </w:tcPr>
          <w:p w14:paraId="0A340E8F" w14:textId="77777777" w:rsidR="007266CF" w:rsidRPr="002A677E" w:rsidRDefault="007266CF" w:rsidP="007266CF">
            <w:pPr>
              <w:spacing w:beforeLines="60" w:before="144" w:afterLines="60" w:after="144"/>
              <w:rPr>
                <w:rFonts w:ascii="Times New Roman" w:hAnsi="Times New Roman"/>
                <w:sz w:val="24"/>
              </w:rPr>
            </w:pPr>
            <w:r>
              <w:rPr>
                <w:rStyle w:val="InstructionsTabelleberschrift"/>
                <w:rFonts w:ascii="Times New Roman" w:hAnsi="Times New Roman"/>
                <w:sz w:val="24"/>
              </w:rPr>
              <w:t>Způsobilá ústřední protistrana</w:t>
            </w:r>
            <w:r>
              <w:rPr>
                <w:rFonts w:ascii="Times New Roman" w:hAnsi="Times New Roman"/>
                <w:sz w:val="24"/>
              </w:rPr>
              <w:t xml:space="preserve"> </w:t>
            </w:r>
          </w:p>
          <w:p w14:paraId="0A1F2CA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Způsobilá ústřední protistrana ve smyslu čl. 4 odst. 1 bodu 88 nařízení (EU) č. 575/2013 </w:t>
            </w:r>
          </w:p>
        </w:tc>
      </w:tr>
      <w:tr w:rsidR="007266CF" w:rsidRPr="002A677E" w14:paraId="4349176C" w14:textId="77777777" w:rsidTr="007266CF">
        <w:trPr>
          <w:trHeight w:val="680"/>
        </w:trPr>
        <w:tc>
          <w:tcPr>
            <w:tcW w:w="1384" w:type="dxa"/>
          </w:tcPr>
          <w:p w14:paraId="47F9FA33" w14:textId="77777777" w:rsidR="007266CF" w:rsidRPr="002A677E" w:rsidRDefault="007266CF" w:rsidP="007266CF">
            <w:pPr>
              <w:pStyle w:val="Applicationdirecte"/>
              <w:spacing w:before="0" w:after="0"/>
            </w:pPr>
            <w:r>
              <w:t>0070, 0080</w:t>
            </w:r>
          </w:p>
          <w:p w14:paraId="5C005B87" w14:textId="77777777" w:rsidR="007266CF" w:rsidRPr="002A677E" w:rsidRDefault="007266CF" w:rsidP="007266CF">
            <w:pPr>
              <w:pStyle w:val="Fait"/>
            </w:pPr>
            <w:r>
              <w:t>0170, 0180</w:t>
            </w:r>
          </w:p>
        </w:tc>
        <w:tc>
          <w:tcPr>
            <w:tcW w:w="7655" w:type="dxa"/>
            <w:vAlign w:val="center"/>
          </w:tcPr>
          <w:p w14:paraId="14C4448E" w14:textId="77777777" w:rsidR="007266CF" w:rsidRPr="002A677E" w:rsidRDefault="007266CF" w:rsidP="007266CF">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Počáteční marže</w:t>
            </w:r>
          </w:p>
          <w:p w14:paraId="4886AE63" w14:textId="77777777" w:rsidR="007266CF" w:rsidRPr="002A677E" w:rsidRDefault="007266CF" w:rsidP="007266CF">
            <w:pPr>
              <w:keepNext/>
              <w:spacing w:before="60"/>
              <w:rPr>
                <w:rFonts w:ascii="Times New Roman" w:hAnsi="Times New Roman"/>
                <w:sz w:val="24"/>
              </w:rPr>
            </w:pPr>
            <w:r>
              <w:rPr>
                <w:rFonts w:ascii="Times New Roman" w:hAnsi="Times New Roman"/>
                <w:sz w:val="24"/>
              </w:rPr>
              <w:t>Viz pokyny k šabloně C 34.08.</w:t>
            </w:r>
          </w:p>
          <w:p w14:paraId="71DCEBA5" w14:textId="77777777" w:rsidR="007266CF" w:rsidRPr="002A677E" w:rsidRDefault="007266CF" w:rsidP="007266CF">
            <w:pPr>
              <w:keepNext/>
              <w:spacing w:before="60"/>
              <w:rPr>
                <w:rFonts w:ascii="Times New Roman" w:hAnsi="Times New Roman"/>
                <w:i/>
                <w:sz w:val="24"/>
              </w:rPr>
            </w:pPr>
            <w:r>
              <w:rPr>
                <w:rFonts w:ascii="Times New Roman" w:hAnsi="Times New Roman"/>
                <w:sz w:val="24"/>
              </w:rPr>
              <w:t xml:space="preserve">Pro účely této šablony počáteční marže nezahrnuje příspěvky ústřední protistraně za rozložené sdílení ztráty (tj. v případech, kdy ústřední protistrana použije počáteční marži k rozložení ztrát mezi členy clearingového systému, bude považována za expozici z příspěvků fondu pro riziko selhání). </w:t>
            </w:r>
          </w:p>
        </w:tc>
      </w:tr>
      <w:tr w:rsidR="007266CF" w:rsidRPr="002A677E" w14:paraId="0ECC5F6C" w14:textId="77777777" w:rsidTr="007266CF">
        <w:trPr>
          <w:trHeight w:val="680"/>
        </w:trPr>
        <w:tc>
          <w:tcPr>
            <w:tcW w:w="1384" w:type="dxa"/>
          </w:tcPr>
          <w:p w14:paraId="66145516" w14:textId="77777777" w:rsidR="007266CF" w:rsidRPr="002A677E" w:rsidRDefault="007266CF" w:rsidP="007266CF">
            <w:pPr>
              <w:pStyle w:val="Applicationdirecte"/>
              <w:spacing w:before="0" w:after="0"/>
            </w:pPr>
            <w:r>
              <w:lastRenderedPageBreak/>
              <w:t>0090, 0190</w:t>
            </w:r>
          </w:p>
        </w:tc>
        <w:tc>
          <w:tcPr>
            <w:tcW w:w="7655" w:type="dxa"/>
            <w:vAlign w:val="center"/>
          </w:tcPr>
          <w:p w14:paraId="3511187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Předfinancované příspěvky do fondu pro riziko selhání</w:t>
            </w:r>
          </w:p>
          <w:p w14:paraId="6BE36CA8" w14:textId="77777777" w:rsidR="007266CF" w:rsidRPr="002A677E" w:rsidRDefault="007266CF" w:rsidP="007266CF">
            <w:pPr>
              <w:keepNext/>
              <w:spacing w:before="60"/>
              <w:rPr>
                <w:rFonts w:ascii="Times New Roman" w:hAnsi="Times New Roman"/>
                <w:sz w:val="24"/>
              </w:rPr>
            </w:pPr>
            <w:r>
              <w:rPr>
                <w:rFonts w:ascii="Times New Roman" w:hAnsi="Times New Roman"/>
                <w:sz w:val="24"/>
              </w:rPr>
              <w:t>Články 308 a 309 nařízení (EU) č. 575/2013; fond pro riziko selhání ve smyslu čl. 4 odst. 1 bodu 89 nařízení (EU) č. 575/2013; příspěvek do fondu pro riziko selhání zřízeného ústřední protistranou, který instituce platí</w:t>
            </w:r>
          </w:p>
        </w:tc>
      </w:tr>
      <w:tr w:rsidR="007266CF" w:rsidRPr="002A677E" w14:paraId="645534CE" w14:textId="77777777" w:rsidTr="007266CF">
        <w:trPr>
          <w:trHeight w:val="680"/>
        </w:trPr>
        <w:tc>
          <w:tcPr>
            <w:tcW w:w="1384" w:type="dxa"/>
          </w:tcPr>
          <w:p w14:paraId="51756569" w14:textId="77777777" w:rsidR="007266CF" w:rsidRPr="002A677E" w:rsidRDefault="007266CF" w:rsidP="007266CF">
            <w:pPr>
              <w:pStyle w:val="Applicationdirecte"/>
              <w:spacing w:before="0" w:after="0"/>
            </w:pPr>
            <w:r>
              <w:t>0100, 0200</w:t>
            </w:r>
          </w:p>
        </w:tc>
        <w:tc>
          <w:tcPr>
            <w:tcW w:w="7655" w:type="dxa"/>
            <w:vAlign w:val="center"/>
          </w:tcPr>
          <w:p w14:paraId="1FC0494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Příspěvky osobního zajištění do fondu pro riziko selhání</w:t>
            </w:r>
          </w:p>
          <w:p w14:paraId="2EC91F36" w14:textId="77777777" w:rsidR="007266CF" w:rsidRPr="002A677E" w:rsidRDefault="007266CF" w:rsidP="007266CF">
            <w:pPr>
              <w:keepNext/>
              <w:spacing w:before="60"/>
              <w:rPr>
                <w:rStyle w:val="InstructionsTabelleberschrift"/>
                <w:rFonts w:ascii="Times New Roman" w:hAnsi="Times New Roman"/>
                <w:b w:val="0"/>
                <w:bCs w:val="0"/>
                <w:sz w:val="24"/>
              </w:rPr>
            </w:pPr>
            <w:r>
              <w:rPr>
                <w:rFonts w:ascii="Times New Roman" w:hAnsi="Times New Roman"/>
                <w:sz w:val="24"/>
              </w:rPr>
              <w:t>Články 309 a 310 nařízení (EU) č. 575/2013; fond pro riziko selhání ve smyslu čl. 4 odst. 1 bodu 89 nařízení (EU) č. 575/2013</w:t>
            </w:r>
          </w:p>
          <w:p w14:paraId="74BF2757" w14:textId="77777777" w:rsidR="007266CF" w:rsidRPr="002A677E" w:rsidRDefault="007266CF" w:rsidP="007266CF">
            <w:pPr>
              <w:keepNext/>
              <w:spacing w:before="60"/>
              <w:rPr>
                <w:rFonts w:ascii="Times New Roman" w:hAnsi="Times New Roman"/>
                <w:sz w:val="24"/>
              </w:rPr>
            </w:pPr>
            <w:r>
              <w:rPr>
                <w:rFonts w:ascii="Times New Roman" w:hAnsi="Times New Roman"/>
                <w:sz w:val="24"/>
              </w:rPr>
              <w:t>Instituce vykážou příspěvky, které má instituce působící jako člen clearingového systému na základě smluvního závazku poskytnout ústřední protistraně poté, co tato ústřední protistrana vyčerpala svůj fond pro riziko selhání na pokrytí ztrát vzniklých v důsledku selhání jednoho nebo více členů jejího clearingového systému.</w:t>
            </w:r>
          </w:p>
        </w:tc>
      </w:tr>
      <w:tr w:rsidR="007266CF" w:rsidRPr="002A677E" w14:paraId="3ED004F9" w14:textId="77777777" w:rsidTr="007266CF">
        <w:trPr>
          <w:trHeight w:val="680"/>
        </w:trPr>
        <w:tc>
          <w:tcPr>
            <w:tcW w:w="1384" w:type="dxa"/>
          </w:tcPr>
          <w:p w14:paraId="33D7BAF2" w14:textId="77777777" w:rsidR="007266CF" w:rsidRPr="002A677E" w:rsidRDefault="007266CF" w:rsidP="007266CF">
            <w:pPr>
              <w:pStyle w:val="Applicationdirecte"/>
              <w:spacing w:before="0" w:after="0"/>
            </w:pPr>
            <w:r>
              <w:t>0070, 0170</w:t>
            </w:r>
          </w:p>
        </w:tc>
        <w:tc>
          <w:tcPr>
            <w:tcW w:w="7655" w:type="dxa"/>
            <w:vAlign w:val="center"/>
          </w:tcPr>
          <w:p w14:paraId="762BB645"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Oddělené</w:t>
            </w:r>
          </w:p>
          <w:p w14:paraId="05FC658A" w14:textId="77777777" w:rsidR="007266CF" w:rsidRPr="002A677E" w:rsidRDefault="007266CF" w:rsidP="007266CF">
            <w:pPr>
              <w:spacing w:before="60"/>
              <w:rPr>
                <w:rFonts w:ascii="Times New Roman" w:eastAsia="Calibri" w:hAnsi="Times New Roman"/>
                <w:sz w:val="24"/>
              </w:rPr>
            </w:pPr>
            <w:r>
              <w:rPr>
                <w:rFonts w:ascii="Times New Roman" w:hAnsi="Times New Roman"/>
                <w:sz w:val="24"/>
              </w:rPr>
              <w:t>Viz pokyny k šabloně C 34.08.</w:t>
            </w:r>
          </w:p>
        </w:tc>
      </w:tr>
      <w:tr w:rsidR="007266CF" w:rsidRPr="002A677E" w14:paraId="2AD726E7" w14:textId="77777777" w:rsidTr="007266CF">
        <w:trPr>
          <w:trHeight w:val="680"/>
        </w:trPr>
        <w:tc>
          <w:tcPr>
            <w:tcW w:w="1384" w:type="dxa"/>
          </w:tcPr>
          <w:p w14:paraId="4D5B93E1" w14:textId="77777777" w:rsidR="007266CF" w:rsidRPr="002A677E" w:rsidRDefault="007266CF" w:rsidP="007266CF">
            <w:pPr>
              <w:pStyle w:val="Applicationdirecte"/>
              <w:spacing w:before="0" w:after="0"/>
            </w:pPr>
            <w:r>
              <w:t>0080, 0180</w:t>
            </w:r>
          </w:p>
        </w:tc>
        <w:tc>
          <w:tcPr>
            <w:tcW w:w="7655" w:type="dxa"/>
            <w:vAlign w:val="center"/>
          </w:tcPr>
          <w:p w14:paraId="4D450D42"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Neoddělené</w:t>
            </w:r>
          </w:p>
          <w:p w14:paraId="6D1A73BE" w14:textId="77777777" w:rsidR="007266CF" w:rsidRPr="002A677E" w:rsidRDefault="007266CF" w:rsidP="007266CF">
            <w:pPr>
              <w:spacing w:before="60"/>
              <w:rPr>
                <w:rFonts w:ascii="Times New Roman" w:eastAsia="Calibri" w:hAnsi="Times New Roman"/>
                <w:sz w:val="24"/>
              </w:rPr>
            </w:pPr>
            <w:r>
              <w:rPr>
                <w:rFonts w:ascii="Times New Roman" w:hAnsi="Times New Roman"/>
                <w:sz w:val="24"/>
              </w:rPr>
              <w:t>Viz pokyny k šabloně C 34.08.</w:t>
            </w:r>
          </w:p>
        </w:tc>
      </w:tr>
    </w:tbl>
    <w:p w14:paraId="1AFC2E88" w14:textId="77777777" w:rsidR="007266CF" w:rsidRPr="002A677E" w:rsidRDefault="007266CF" w:rsidP="00A75C39">
      <w:pPr>
        <w:pStyle w:val="Instructionsberschrift2"/>
        <w:numPr>
          <w:ilvl w:val="2"/>
          <w:numId w:val="39"/>
        </w:numPr>
        <w:rPr>
          <w:rFonts w:ascii="Times New Roman" w:hAnsi="Times New Roman" w:cs="Times New Roman"/>
          <w:sz w:val="24"/>
        </w:rPr>
      </w:pPr>
      <w:bookmarkStart w:id="250" w:name="_Toc116026818"/>
      <w:bookmarkStart w:id="251" w:name="_Toc119077975"/>
      <w:r>
        <w:rPr>
          <w:rFonts w:ascii="Times New Roman" w:hAnsi="Times New Roman"/>
          <w:sz w:val="24"/>
        </w:rPr>
        <w:t>C 34.11 – Výkazy toků objemů rizikově vážených expozic (RWEA) pro expozice s CCR podle metody interního modelu</w:t>
      </w:r>
      <w:bookmarkEnd w:id="250"/>
      <w:bookmarkEnd w:id="251"/>
    </w:p>
    <w:p w14:paraId="5791DD3D"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52" w:name="_Toc116026819"/>
      <w:bookmarkStart w:id="253" w:name="_Toc119077976"/>
      <w:r>
        <w:rPr>
          <w:rFonts w:ascii="Times New Roman" w:hAnsi="Times New Roman"/>
          <w:sz w:val="24"/>
        </w:rPr>
        <w:t>Obecné poznámky</w:t>
      </w:r>
      <w:bookmarkEnd w:id="252"/>
      <w:bookmarkEnd w:id="253"/>
    </w:p>
    <w:p w14:paraId="11E15217" w14:textId="77777777" w:rsidR="007266CF" w:rsidRPr="002A677E" w:rsidRDefault="007266CF" w:rsidP="007266CF">
      <w:pPr>
        <w:pStyle w:val="InstructionsText2"/>
        <w:numPr>
          <w:ilvl w:val="0"/>
          <w:numId w:val="0"/>
        </w:numPr>
        <w:ind w:left="1353" w:hanging="360"/>
      </w:pPr>
      <w:fldSimple w:instr=" seq paragraphs ">
        <w:r>
          <w:t>133</w:t>
        </w:r>
      </w:fldSimple>
      <w:r>
        <w:t>. Instituce, které používají metodu interního modelu pro výpočet objemů rizikově vážených expozic pro všechny expozice s CCR nebo jejich část v souladu s částí třetí hlavou II kapitolou 6 nařízení (EU) č. 575/2013, bez ohledu na přístup k úvěrovému riziku použitý ke stanovení odpovídajících rizikových vah, vykážou tuto šablonu s výkazem o tocích vysvětlujícím změny objemů rizikově vážených expozic derivátů a SFT v rozsahu působnosti metody interního modelu v rozlišení podle klíčových faktorů a na základě přiměřených odhadů.</w:t>
      </w:r>
    </w:p>
    <w:p w14:paraId="0C170989" w14:textId="77777777" w:rsidR="007266CF" w:rsidRPr="002A677E" w:rsidRDefault="007266CF" w:rsidP="007266CF">
      <w:pPr>
        <w:pStyle w:val="InstructionsText2"/>
        <w:numPr>
          <w:ilvl w:val="0"/>
          <w:numId w:val="0"/>
        </w:numPr>
        <w:ind w:left="1353" w:hanging="360"/>
      </w:pPr>
      <w:fldSimple w:instr=" seq paragraphs ">
        <w:r>
          <w:t>134</w:t>
        </w:r>
      </w:fldSimple>
      <w:r>
        <w:t xml:space="preserve">. Instituce, které vykazují tuto šablonu se čtvrtletní periodicitou, vyplní pouze sloupec 0010. Instituce, které vykazují tuto šablonu s roční periodicitou, vyplní pouze sloupec 0020. </w:t>
      </w:r>
    </w:p>
    <w:p w14:paraId="6AD583B1" w14:textId="77777777" w:rsidR="007266CF" w:rsidRPr="002A677E" w:rsidRDefault="007266CF" w:rsidP="007266CF">
      <w:pPr>
        <w:pStyle w:val="InstructionsText2"/>
        <w:numPr>
          <w:ilvl w:val="0"/>
          <w:numId w:val="0"/>
        </w:numPr>
        <w:ind w:left="1353" w:hanging="360"/>
      </w:pPr>
      <w:fldSimple w:instr=" seq paragraphs ">
        <w:r>
          <w:t>135</w:t>
        </w:r>
      </w:fldSimple>
      <w:r>
        <w:t>. Tato šablona nezahrnuje objemy rizikově vážených expozic u expozic vůči ústřední protistraně (část třetí hlava II kapitola 6 oddíl 9 nařízení (EU) č. 575/2013).</w:t>
      </w:r>
    </w:p>
    <w:p w14:paraId="1C29FC9D" w14:textId="77777777" w:rsidR="007266CF" w:rsidRPr="002A677E" w:rsidRDefault="007266CF" w:rsidP="00A75C39">
      <w:pPr>
        <w:pStyle w:val="Instructionsberschrift2"/>
        <w:numPr>
          <w:ilvl w:val="3"/>
          <w:numId w:val="39"/>
        </w:numPr>
        <w:rPr>
          <w:rFonts w:ascii="Times New Roman" w:hAnsi="Times New Roman" w:cs="Times New Roman"/>
          <w:sz w:val="24"/>
        </w:rPr>
      </w:pPr>
      <w:bookmarkStart w:id="254" w:name="_Toc116026820"/>
      <w:bookmarkStart w:id="255" w:name="_Toc119077977"/>
      <w:r>
        <w:rPr>
          <w:rFonts w:ascii="Times New Roman" w:hAnsi="Times New Roman"/>
          <w:sz w:val="24"/>
        </w:rPr>
        <w:t>Pokyny pro konkrétní pozice</w:t>
      </w:r>
      <w:bookmarkEnd w:id="254"/>
      <w:bookmarkEnd w:id="25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782D5E28" w14:textId="77777777" w:rsidTr="007266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CCC850" w14:textId="77777777" w:rsidR="007266CF" w:rsidRPr="002A677E" w:rsidRDefault="007266CF" w:rsidP="007266CF">
            <w:pPr>
              <w:rPr>
                <w:rFonts w:ascii="Times New Roman" w:hAnsi="Times New Roman"/>
                <w:b/>
                <w:sz w:val="24"/>
              </w:rPr>
            </w:pPr>
            <w:r>
              <w:rPr>
                <w:rFonts w:ascii="Times New Roman" w:hAnsi="Times New Roman"/>
                <w:b/>
                <w:sz w:val="24"/>
              </w:rPr>
              <w:t>Sloupce</w:t>
            </w:r>
          </w:p>
        </w:tc>
      </w:tr>
      <w:tr w:rsidR="007266CF" w:rsidRPr="002A677E" w14:paraId="4BB098D7"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820E1A" w14:textId="77777777" w:rsidR="007266CF" w:rsidRPr="002A677E" w:rsidRDefault="007266CF" w:rsidP="007266CF">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B63F91A"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w:t>
            </w:r>
          </w:p>
          <w:p w14:paraId="05582574" w14:textId="77777777" w:rsidR="007266CF" w:rsidRPr="002A677E" w:rsidRDefault="007266CF" w:rsidP="007266CF">
            <w:pPr>
              <w:rPr>
                <w:rFonts w:ascii="Times New Roman" w:hAnsi="Times New Roman"/>
                <w:sz w:val="24"/>
              </w:rPr>
            </w:pPr>
            <w:r>
              <w:rPr>
                <w:rFonts w:ascii="Times New Roman" w:hAnsi="Times New Roman"/>
                <w:sz w:val="24"/>
              </w:rPr>
              <w:lastRenderedPageBreak/>
              <w:t xml:space="preserve">Objemy rizikově vážených expozic ve smyslu čl. 92 odst. 3 a 4 nařízení (EU) č. 575/2013 u pozic, jejichž rizikové váhy se odhadují na základě požadavků stanovených v části třetí hlavě II kapitolách 2 a 3 uvedeného nařízení a u nichž bylo instituci povoleno vypočítat hodnotu expozice za použití metody interního modelu v souladu s částí třetí hlavou II kapitolou 6 oddílem 6 uvedeného nařízení </w:t>
            </w:r>
          </w:p>
          <w:p w14:paraId="21A17FCD" w14:textId="77777777" w:rsidR="007266CF" w:rsidRPr="002A677E" w:rsidRDefault="007266CF" w:rsidP="007266CF">
            <w:pPr>
              <w:spacing w:before="60"/>
              <w:rPr>
                <w:rFonts w:ascii="Times New Roman" w:hAnsi="Times New Roman"/>
                <w:i/>
                <w:sz w:val="24"/>
              </w:rPr>
            </w:pPr>
            <w:r>
              <w:rPr>
                <w:rFonts w:ascii="Times New Roman" w:hAnsi="Times New Roman"/>
                <w:sz w:val="24"/>
              </w:rPr>
              <w:t>Zohledňují se podpůrné koeficienty pro malé a střední podniky a infrastrukturu podle článků 501 a 501a nařízení (EU) č. 575/2013.</w:t>
            </w:r>
          </w:p>
        </w:tc>
      </w:tr>
    </w:tbl>
    <w:p w14:paraId="50E440E1" w14:textId="77777777" w:rsidR="007266CF" w:rsidRPr="002A677E" w:rsidRDefault="007266CF" w:rsidP="007266CF">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66CF" w:rsidRPr="002A677E" w14:paraId="29F0391D" w14:textId="77777777" w:rsidTr="007266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9CA3C" w14:textId="77777777" w:rsidR="007266CF" w:rsidRPr="002A677E" w:rsidRDefault="007266CF" w:rsidP="007266CF">
            <w:pPr>
              <w:rPr>
                <w:rFonts w:ascii="Times New Roman" w:hAnsi="Times New Roman"/>
                <w:b/>
                <w:sz w:val="24"/>
              </w:rPr>
            </w:pPr>
            <w:r>
              <w:rPr>
                <w:rFonts w:ascii="Times New Roman" w:hAnsi="Times New Roman"/>
                <w:b/>
                <w:sz w:val="24"/>
              </w:rPr>
              <w:t>Řádky</w:t>
            </w:r>
          </w:p>
        </w:tc>
      </w:tr>
      <w:tr w:rsidR="007266CF" w:rsidRPr="002A677E" w14:paraId="2423CDEF"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7FCBD4CA" w14:textId="77777777" w:rsidR="007266CF" w:rsidRPr="002A677E" w:rsidRDefault="007266CF" w:rsidP="007266CF">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49AF3F9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 na konci předchozího vykazovaného období</w:t>
            </w:r>
          </w:p>
          <w:p w14:paraId="63288283" w14:textId="77777777" w:rsidR="007266CF" w:rsidRPr="002A677E" w:rsidRDefault="007266CF" w:rsidP="007266CF">
            <w:pPr>
              <w:spacing w:before="60"/>
              <w:rPr>
                <w:rFonts w:ascii="Times New Roman" w:hAnsi="Times New Roman"/>
                <w:sz w:val="24"/>
              </w:rPr>
            </w:pPr>
            <w:r>
              <w:rPr>
                <w:rFonts w:ascii="Times New Roman" w:hAnsi="Times New Roman"/>
                <w:sz w:val="24"/>
              </w:rPr>
              <w:t>Objemy rizikově vážených expozic pro expozice s CCR v rámci metody interního modelu na konci předchozího vykazovaného období</w:t>
            </w:r>
          </w:p>
        </w:tc>
      </w:tr>
      <w:tr w:rsidR="007266CF" w:rsidRPr="002A677E" w14:paraId="2BADC93E"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0CA00459" w14:textId="77777777" w:rsidR="007266CF" w:rsidRPr="002A677E" w:rsidRDefault="007266CF" w:rsidP="007266CF">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71D3787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Výše aktiv</w:t>
            </w:r>
          </w:p>
          <w:p w14:paraId="58C2290D" w14:textId="77777777" w:rsidR="007266CF" w:rsidRPr="002A677E" w:rsidRDefault="007266CF" w:rsidP="007266CF">
            <w:pPr>
              <w:spacing w:before="60"/>
              <w:rPr>
                <w:rFonts w:ascii="Times New Roman" w:hAnsi="Times New Roman"/>
                <w:sz w:val="24"/>
              </w:rPr>
            </w:pPr>
            <w:r>
              <w:rPr>
                <w:rFonts w:ascii="Times New Roman" w:hAnsi="Times New Roman"/>
                <w:sz w:val="24"/>
              </w:rPr>
              <w:t>Změny objemu rizikově vážených expozic (kladné nebo záporné) z důvodu změn velikosti a složení portfolia vyplývajících z obvyklých obchodních činností (včetně vzniku nových podniků a splatných expozic), avšak s vyloučením změn velikosti portfolia v důsledku nabytí a pozbytí subjektů</w:t>
            </w:r>
          </w:p>
        </w:tc>
      </w:tr>
      <w:tr w:rsidR="007266CF" w:rsidRPr="002A677E" w14:paraId="541D0DDD"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450E0A1E" w14:textId="77777777" w:rsidR="007266CF" w:rsidRPr="002A677E" w:rsidRDefault="007266CF" w:rsidP="007266CF">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46A6FC63"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Úvěrová kvalita protistran </w:t>
            </w:r>
          </w:p>
          <w:p w14:paraId="0F2D337D" w14:textId="77777777" w:rsidR="007266CF" w:rsidRPr="002A677E" w:rsidRDefault="007266CF" w:rsidP="007266CF">
            <w:pPr>
              <w:spacing w:before="60"/>
              <w:rPr>
                <w:rFonts w:ascii="Times New Roman" w:hAnsi="Times New Roman"/>
                <w:sz w:val="24"/>
              </w:rPr>
            </w:pPr>
            <w:r>
              <w:rPr>
                <w:rFonts w:ascii="Times New Roman" w:hAnsi="Times New Roman"/>
                <w:sz w:val="24"/>
              </w:rPr>
              <w:t>Změny objemu rizikově vážených expozic (kladné nebo záporné) v důsledku změn v hodnocení kvality protistran instituce měřených podle rámce pro úvěrové riziko bez ohledu na přístup, který instituce používá Pokud instituce používá přístup IRB, vykáže v tomto řádku rovněž potenciální změny objemu rizikově vážených expozic na základě modelů IRB.</w:t>
            </w:r>
          </w:p>
        </w:tc>
      </w:tr>
      <w:tr w:rsidR="007266CF" w:rsidRPr="002A677E" w14:paraId="322537FB"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79A9ADC0" w14:textId="77777777" w:rsidR="007266CF" w:rsidRPr="002A677E" w:rsidRDefault="007266CF" w:rsidP="007266CF">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7D7B901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Aktualizace modelu (pouze v případě metody interního modelu)</w:t>
            </w:r>
          </w:p>
          <w:p w14:paraId="0854A1FF" w14:textId="77777777" w:rsidR="007266CF" w:rsidRPr="002A677E" w:rsidRDefault="007266CF" w:rsidP="007266CF">
            <w:pPr>
              <w:spacing w:before="60"/>
              <w:rPr>
                <w:rFonts w:ascii="Times New Roman" w:hAnsi="Times New Roman"/>
                <w:sz w:val="24"/>
              </w:rPr>
            </w:pPr>
            <w:r>
              <w:rPr>
                <w:rFonts w:ascii="Times New Roman" w:hAnsi="Times New Roman"/>
                <w:sz w:val="24"/>
              </w:rPr>
              <w:t>Změny objemu rizikově vážených expozic (kladné nebo záporné) v důsledku zavedení modelu, změn rozsahu modelu nebo jakýchkoli změn týkajících se řešení slabých stránek modelu</w:t>
            </w:r>
          </w:p>
          <w:p w14:paraId="31D7780C" w14:textId="77777777" w:rsidR="007266CF" w:rsidRPr="002A677E" w:rsidRDefault="007266CF" w:rsidP="007266CF">
            <w:pPr>
              <w:spacing w:before="60"/>
              <w:rPr>
                <w:rFonts w:ascii="Times New Roman" w:hAnsi="Times New Roman"/>
                <w:sz w:val="24"/>
              </w:rPr>
            </w:pPr>
            <w:r>
              <w:rPr>
                <w:rFonts w:ascii="Times New Roman" w:hAnsi="Times New Roman"/>
                <w:sz w:val="24"/>
              </w:rPr>
              <w:t>Tento řádek se týká pouze změn v metodě interního modelu.</w:t>
            </w:r>
          </w:p>
        </w:tc>
      </w:tr>
      <w:tr w:rsidR="007266CF" w:rsidRPr="002A677E" w14:paraId="0E7CC7B6"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58E166EF" w14:textId="77777777" w:rsidR="007266CF" w:rsidRPr="002A677E" w:rsidRDefault="007266CF" w:rsidP="007266CF">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A36B4F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Metodika a politika (pouze v případě metody interního modelu)</w:t>
            </w:r>
          </w:p>
          <w:p w14:paraId="7FCA49C3" w14:textId="77777777" w:rsidR="007266CF" w:rsidRPr="002A677E" w:rsidRDefault="007266CF" w:rsidP="007266CF">
            <w:pPr>
              <w:spacing w:before="60"/>
              <w:rPr>
                <w:rFonts w:ascii="Times New Roman" w:hAnsi="Times New Roman"/>
                <w:sz w:val="24"/>
              </w:rPr>
            </w:pPr>
            <w:r>
              <w:rPr>
                <w:rFonts w:ascii="Times New Roman" w:hAnsi="Times New Roman"/>
                <w:sz w:val="24"/>
              </w:rPr>
              <w:t>Změny objemu rizikově vážených expozic (kladné nebo záporné) v důsledku metodických změn ve výpočtech způsobených změnami regulační politiky, jako jsou nové předpisy (pouze v případě metody interního modelu)</w:t>
            </w:r>
          </w:p>
        </w:tc>
      </w:tr>
      <w:tr w:rsidR="007266CF" w:rsidRPr="002A677E" w14:paraId="4A8E6947"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64064CFC" w14:textId="77777777" w:rsidR="007266CF" w:rsidRPr="002A677E" w:rsidRDefault="007266CF" w:rsidP="007266CF">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0C43E6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Nabytí a pozbytí</w:t>
            </w:r>
          </w:p>
          <w:p w14:paraId="639AF3F8" w14:textId="77777777" w:rsidR="007266CF" w:rsidRPr="002A677E" w:rsidRDefault="007266CF" w:rsidP="007266CF">
            <w:pPr>
              <w:spacing w:before="60"/>
              <w:rPr>
                <w:rFonts w:ascii="Times New Roman" w:hAnsi="Times New Roman"/>
                <w:sz w:val="24"/>
              </w:rPr>
            </w:pPr>
            <w:r>
              <w:rPr>
                <w:rFonts w:ascii="Times New Roman" w:hAnsi="Times New Roman"/>
                <w:sz w:val="24"/>
              </w:rPr>
              <w:t>Změny objemu rizikově vážených expozic (kladné nebo záporné) v důsledku změn velikosti portfolia v důsledku nabytí a pozbytí subjektů</w:t>
            </w:r>
          </w:p>
        </w:tc>
      </w:tr>
      <w:tr w:rsidR="007266CF" w:rsidRPr="002A677E" w14:paraId="787A5D55"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5469B01E" w14:textId="77777777" w:rsidR="007266CF" w:rsidRPr="002A677E" w:rsidRDefault="007266CF" w:rsidP="007266CF">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75965B3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Devizové pohyby</w:t>
            </w:r>
          </w:p>
          <w:p w14:paraId="24374C64"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Změny objemu rizikově vážených expozic (kladné nebo záporné) v důsledku změn vyplývajících z pohybů převodů z cizích měn </w:t>
            </w:r>
          </w:p>
        </w:tc>
      </w:tr>
      <w:tr w:rsidR="007266CF" w:rsidRPr="002A677E" w14:paraId="7070F038"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095B9140" w14:textId="77777777" w:rsidR="007266CF" w:rsidRPr="002A677E" w:rsidRDefault="007266CF" w:rsidP="007266CF">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18DFF209"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Ostatní</w:t>
            </w:r>
          </w:p>
          <w:p w14:paraId="6254F612" w14:textId="77777777" w:rsidR="007266CF" w:rsidRPr="002A677E" w:rsidRDefault="007266CF" w:rsidP="007266CF">
            <w:pPr>
              <w:spacing w:before="60"/>
              <w:rPr>
                <w:rFonts w:ascii="Times New Roman" w:hAnsi="Times New Roman"/>
                <w:sz w:val="24"/>
              </w:rPr>
            </w:pPr>
            <w:r>
              <w:rPr>
                <w:rFonts w:ascii="Times New Roman" w:hAnsi="Times New Roman"/>
                <w:sz w:val="24"/>
              </w:rPr>
              <w:t xml:space="preserve">Tato kategorie se použije k zachycení změn objemu rizikově vážených expozic (kladných nebo záporných), které nelze přiřadit k výše uvedeným kategoriím. </w:t>
            </w:r>
          </w:p>
        </w:tc>
      </w:tr>
      <w:tr w:rsidR="007266CF" w:rsidRPr="002A677E" w14:paraId="74724DAB" w14:textId="77777777" w:rsidTr="007266CF">
        <w:trPr>
          <w:trHeight w:val="680"/>
        </w:trPr>
        <w:tc>
          <w:tcPr>
            <w:tcW w:w="1384" w:type="dxa"/>
            <w:tcBorders>
              <w:top w:val="single" w:sz="4" w:space="0" w:color="auto"/>
              <w:left w:val="single" w:sz="4" w:space="0" w:color="auto"/>
              <w:bottom w:val="single" w:sz="4" w:space="0" w:color="auto"/>
              <w:right w:val="single" w:sz="4" w:space="0" w:color="auto"/>
            </w:tcBorders>
          </w:tcPr>
          <w:p w14:paraId="37BC92D3" w14:textId="77777777" w:rsidR="007266CF" w:rsidRPr="002A677E" w:rsidRDefault="007266CF" w:rsidP="007266CF">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859738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 na konci běžného vykazovaného období</w:t>
            </w:r>
          </w:p>
          <w:p w14:paraId="7AB1074F" w14:textId="77777777" w:rsidR="007266CF" w:rsidRPr="002A677E" w:rsidRDefault="007266CF" w:rsidP="007266CF">
            <w:pPr>
              <w:spacing w:before="60"/>
              <w:rPr>
                <w:rFonts w:ascii="Times New Roman" w:hAnsi="Times New Roman"/>
                <w:i/>
                <w:sz w:val="24"/>
              </w:rPr>
            </w:pPr>
            <w:r>
              <w:rPr>
                <w:rFonts w:ascii="Times New Roman" w:hAnsi="Times New Roman"/>
                <w:sz w:val="24"/>
              </w:rPr>
              <w:t>Objemy rizikově vážených expozic pro expozice s CCR v rámci metody interního modelu na konci běžného vykazovaného období</w:t>
            </w:r>
          </w:p>
        </w:tc>
      </w:tr>
    </w:tbl>
    <w:p w14:paraId="601A8F95" w14:textId="77777777" w:rsidR="007266CF" w:rsidRPr="002A677E" w:rsidRDefault="007266CF" w:rsidP="007266CF">
      <w:pPr>
        <w:spacing w:before="0" w:after="0"/>
        <w:jc w:val="left"/>
        <w:rPr>
          <w:rStyle w:val="InstructionsTabelleText"/>
          <w:rFonts w:ascii="Times New Roman" w:hAnsi="Times New Roman"/>
          <w:b/>
          <w:sz w:val="24"/>
        </w:rPr>
      </w:pPr>
    </w:p>
    <w:p w14:paraId="760327B5" w14:textId="77777777" w:rsidR="007266CF" w:rsidRPr="002A677E" w:rsidRDefault="007266CF" w:rsidP="007266CF">
      <w:pPr>
        <w:pStyle w:val="Instructionsberschrift2"/>
        <w:numPr>
          <w:ilvl w:val="0"/>
          <w:numId w:val="0"/>
        </w:numPr>
        <w:ind w:left="357" w:hanging="357"/>
        <w:rPr>
          <w:rFonts w:ascii="Times New Roman" w:hAnsi="Times New Roman" w:cs="Times New Roman"/>
          <w:sz w:val="24"/>
        </w:rPr>
      </w:pPr>
      <w:bookmarkStart w:id="256" w:name="_Toc116026821"/>
      <w:bookmarkStart w:id="257" w:name="_Toc119077978"/>
      <w:r>
        <w:rPr>
          <w:rFonts w:ascii="Times New Roman" w:hAnsi="Times New Roman"/>
          <w:sz w:val="24"/>
        </w:rPr>
        <w:t>4.</w:t>
      </w:r>
      <w:r>
        <w:tab/>
      </w:r>
      <w:r>
        <w:rPr>
          <w:rFonts w:ascii="Times New Roman" w:hAnsi="Times New Roman"/>
          <w:sz w:val="24"/>
        </w:rPr>
        <w:t>Šablony zaměřené na operační riziko</w:t>
      </w:r>
      <w:bookmarkEnd w:id="256"/>
      <w:bookmarkEnd w:id="257"/>
    </w:p>
    <w:p w14:paraId="72175020" w14:textId="77777777" w:rsidR="007266CF" w:rsidRPr="002A677E" w:rsidRDefault="007266CF" w:rsidP="007266CF">
      <w:pPr>
        <w:pStyle w:val="Instructionsberschrift2"/>
        <w:numPr>
          <w:ilvl w:val="0"/>
          <w:numId w:val="0"/>
        </w:numPr>
        <w:ind w:left="357" w:hanging="357"/>
        <w:rPr>
          <w:rFonts w:ascii="Times New Roman" w:hAnsi="Times New Roman" w:cs="Times New Roman"/>
          <w:sz w:val="24"/>
        </w:rPr>
      </w:pPr>
      <w:bookmarkStart w:id="258" w:name="_Toc116026822"/>
      <w:bookmarkStart w:id="259" w:name="_Toc119077979"/>
      <w:r>
        <w:rPr>
          <w:rFonts w:ascii="Times New Roman" w:hAnsi="Times New Roman"/>
          <w:sz w:val="24"/>
        </w:rPr>
        <w:t>4.1</w:t>
      </w:r>
      <w:r>
        <w:tab/>
      </w:r>
      <w:r>
        <w:tab/>
      </w:r>
      <w:r>
        <w:rPr>
          <w:rFonts w:ascii="Times New Roman" w:hAnsi="Times New Roman"/>
          <w:sz w:val="24"/>
        </w:rPr>
        <w:t>C 16.00 – Operační riziko</w:t>
      </w:r>
      <w:r>
        <w:t xml:space="preserve"> </w:t>
      </w:r>
      <w:r>
        <w:rPr>
          <w:rFonts w:ascii="Times New Roman" w:hAnsi="Times New Roman"/>
          <w:sz w:val="24"/>
        </w:rPr>
        <w:t>(OPR)</w:t>
      </w:r>
      <w:bookmarkEnd w:id="258"/>
      <w:bookmarkEnd w:id="259"/>
    </w:p>
    <w:p w14:paraId="0369C1C2" w14:textId="77777777" w:rsidR="007266CF" w:rsidRPr="002A677E" w:rsidRDefault="007266CF" w:rsidP="00A75C39">
      <w:pPr>
        <w:pStyle w:val="Instructionsberschrift2"/>
        <w:numPr>
          <w:ilvl w:val="2"/>
          <w:numId w:val="96"/>
        </w:numPr>
        <w:rPr>
          <w:rFonts w:ascii="Times New Roman" w:hAnsi="Times New Roman" w:cs="Times New Roman"/>
          <w:sz w:val="24"/>
          <w:u w:val="none"/>
        </w:rPr>
      </w:pPr>
      <w:bookmarkStart w:id="260" w:name="_Toc116026823"/>
      <w:bookmarkStart w:id="261" w:name="_Toc119077980"/>
      <w:r>
        <w:rPr>
          <w:rFonts w:ascii="Times New Roman" w:hAnsi="Times New Roman"/>
          <w:sz w:val="24"/>
          <w:u w:val="none"/>
        </w:rPr>
        <w:t>Obecné poznámky</w:t>
      </w:r>
      <w:bookmarkEnd w:id="260"/>
      <w:bookmarkEnd w:id="261"/>
      <w:r>
        <w:rPr>
          <w:rFonts w:ascii="Times New Roman" w:hAnsi="Times New Roman"/>
          <w:sz w:val="24"/>
          <w:u w:val="none"/>
        </w:rPr>
        <w:t xml:space="preserve"> </w:t>
      </w:r>
    </w:p>
    <w:p w14:paraId="0B3AD2C5" w14:textId="77777777" w:rsidR="007266CF" w:rsidRPr="002A677E" w:rsidRDefault="007266CF" w:rsidP="007266CF">
      <w:pPr>
        <w:pStyle w:val="InstructionsText2"/>
        <w:numPr>
          <w:ilvl w:val="0"/>
          <w:numId w:val="0"/>
        </w:numPr>
        <w:ind w:left="1353" w:hanging="360"/>
      </w:pPr>
      <w:fldSimple w:instr=" seq paragraphs ">
        <w:r>
          <w:t>136</w:t>
        </w:r>
      </w:fldSimple>
      <w:r>
        <w:t>.</w:t>
      </w:r>
      <w:r>
        <w:tab/>
        <w:t xml:space="preserve"> Tato šablona poskytuje informace o výpočtu kapitálových požadavků v souladu s články 312 až 324 nařízení (EU) č. 575/2013 k operačnímu riziku v rámci přístupu základního ukazatele (BIA), standardizovaného přístupu (TSA), alternativního standardizovaného přístupu (ASA) a pokročilých přístupů k měření (AMA). Na individuální úrovni instituce nemůže souběžně používat přístupy TSA a ASA pro linie podnikání „retailové bankovnictví“ a „komerční bankovnictví“.</w:t>
      </w:r>
    </w:p>
    <w:p w14:paraId="6AB4983F" w14:textId="77777777" w:rsidR="007266CF" w:rsidRPr="006223CC" w:rsidRDefault="007266CF" w:rsidP="007266CF">
      <w:pPr>
        <w:pStyle w:val="InstructionsText2"/>
        <w:numPr>
          <w:ilvl w:val="0"/>
          <w:numId w:val="0"/>
        </w:numPr>
        <w:ind w:left="1353" w:hanging="360"/>
        <w:rPr>
          <w:lang w:val="fr-FR"/>
        </w:rPr>
      </w:pPr>
      <w:fldSimple w:instr=" seq paragraphs ">
        <w:r>
          <w:t>137</w:t>
        </w:r>
      </w:fldSimple>
      <w:r>
        <w:t xml:space="preserve">. Instituce používající přístupy BIA, TSA nebo ASA vypočítávají svůj kapitálový požadavek na základě údajů ke konci účetního roku. </w:t>
      </w:r>
      <w:r w:rsidRPr="006223CC">
        <w:rPr>
          <w:lang w:val="fr-FR"/>
        </w:rPr>
        <w:t xml:space="preserve">Nejsou-li k dispozici auditované údaje, mohou instituce použít obchodní odhady. Jsou-li využívány auditované údaje, instituce vykazují ty auditované údaje, u nichž se neočekávají změny. Odchylky od této zásady „beze změny“ jsou možné například tehdy, pokud jsou v průběhu daného období splněny podmínky výjimečných okolností, jako jsou nedávná převzetí či pozbytí subjektů nebo převzetí či ukončení činností. </w:t>
      </w:r>
    </w:p>
    <w:p w14:paraId="2D418A12"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138</w:t>
      </w:r>
      <w:r>
        <w:fldChar w:fldCharType="end"/>
      </w:r>
      <w:r w:rsidRPr="006223CC">
        <w:rPr>
          <w:lang w:val="fr-FR"/>
        </w:rPr>
        <w:t>.</w:t>
      </w:r>
      <w:r w:rsidRPr="006223CC">
        <w:rPr>
          <w:lang w:val="fr-FR"/>
        </w:rPr>
        <w:tab/>
        <w:t xml:space="preserve"> Pokud dokáže instituce svému příslušnému orgánu odůvodnit, že by – v důsledku výjimečných okolností, jako je fúze nebo pozbytí některých subjektů či sloučení nebo ukončení činností – použití tříletého průměru k výpočtu relevantního ukazatele vedlo ke zkreslenému odhadu kapitálového požadavku k operačnímu riziku, může příslušný orgán instituci povolit, aby pozměnila výpočet způsobem, který by tyto skutečnosti zohlednil. Příslušný orgán může rovněž z vlastní iniciativy požadovat, aby instituce pozměnila výpočet. Instituce, která vyvíjí činnost po dobu kratší než tři roky, může pro výpočet relevantního ukazatele použít výhledové obchodní odhady, a to za předpokladu, že jakmile budou k dispozici historické údaje, začne je používat.</w:t>
      </w:r>
    </w:p>
    <w:p w14:paraId="465A9E91" w14:textId="77777777" w:rsidR="007266CF" w:rsidRPr="006223CC" w:rsidRDefault="007266CF" w:rsidP="007266CF">
      <w:pPr>
        <w:pStyle w:val="InstructionsText2"/>
        <w:numPr>
          <w:ilvl w:val="0"/>
          <w:numId w:val="0"/>
        </w:numPr>
        <w:ind w:left="1353" w:hanging="360"/>
        <w:rPr>
          <w:lang w:val="fr-FR"/>
        </w:rPr>
      </w:pPr>
      <w:r>
        <w:lastRenderedPageBreak/>
        <w:fldChar w:fldCharType="begin"/>
      </w:r>
      <w:r w:rsidRPr="006223CC">
        <w:rPr>
          <w:lang w:val="fr-FR"/>
        </w:rPr>
        <w:instrText xml:space="preserve"> seq paragraphs </w:instrText>
      </w:r>
      <w:r>
        <w:fldChar w:fldCharType="separate"/>
      </w:r>
      <w:r w:rsidRPr="006223CC">
        <w:rPr>
          <w:lang w:val="fr-FR"/>
        </w:rPr>
        <w:t>139</w:t>
      </w:r>
      <w:r>
        <w:fldChar w:fldCharType="end"/>
      </w:r>
      <w:r w:rsidRPr="006223CC">
        <w:rPr>
          <w:lang w:val="fr-FR"/>
        </w:rPr>
        <w:t>.</w:t>
      </w:r>
      <w:r w:rsidRPr="006223CC">
        <w:rPr>
          <w:lang w:val="fr-FR"/>
        </w:rPr>
        <w:tab/>
        <w:t xml:space="preserve"> V jednotlivých sloupcích této šablony se uvádějí údaje, a to za poslední tři roky, o hodnotě relevantního ukazatele bankovních činností, které podléhají operačnímu riziku, a o hodnotě úvěrů a půjček (hodnotu úvěrů a půjček je možno zohlednit pouze při přístupu ASA). Dále se vykazují údaje o výši kapitálového požadavku k operačnímu riziku. V příslušných případech je třeba upřesnit, jaká část této hodnoty je výsledkem alokačního mechanismu. Co se týče přístupu AMA, uvádí se doplňkové položky, jejichž účelem je poskytnout podrobnosti o dopadu očekávané ztráty a technik diverzifikace a snižování rizika na kapitálové požadavky k operačnímu riziku.</w:t>
      </w:r>
    </w:p>
    <w:p w14:paraId="1D820C33"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140</w:t>
      </w:r>
      <w:r>
        <w:fldChar w:fldCharType="end"/>
      </w:r>
      <w:r w:rsidRPr="006223CC">
        <w:rPr>
          <w:lang w:val="fr-FR"/>
        </w:rPr>
        <w:t>.</w:t>
      </w:r>
      <w:r w:rsidRPr="006223CC">
        <w:rPr>
          <w:lang w:val="fr-FR"/>
        </w:rPr>
        <w:tab/>
        <w:t xml:space="preserve"> V jednotlivých řádcích se podle metody pro výpočet kapitálového požadavku uvádějí informace k operačnímu riziku, a to s podrobným popisem linií podnikání pro přístup TSA a ASA.</w:t>
      </w:r>
    </w:p>
    <w:p w14:paraId="211ACD1B" w14:textId="77777777" w:rsidR="007266CF" w:rsidRPr="006223CC" w:rsidRDefault="007266CF" w:rsidP="007266CF">
      <w:pPr>
        <w:pStyle w:val="InstructionsText2"/>
        <w:numPr>
          <w:ilvl w:val="0"/>
          <w:numId w:val="0"/>
        </w:numPr>
        <w:ind w:left="1353" w:hanging="360"/>
        <w:rPr>
          <w:lang w:val="fr-FR"/>
        </w:rPr>
      </w:pPr>
      <w:r>
        <w:fldChar w:fldCharType="begin"/>
      </w:r>
      <w:r w:rsidRPr="006223CC">
        <w:rPr>
          <w:lang w:val="fr-FR"/>
        </w:rPr>
        <w:instrText xml:space="preserve"> seq paragraphs </w:instrText>
      </w:r>
      <w:r>
        <w:fldChar w:fldCharType="separate"/>
      </w:r>
      <w:r w:rsidRPr="006223CC">
        <w:rPr>
          <w:lang w:val="fr-FR"/>
        </w:rPr>
        <w:t>141</w:t>
      </w:r>
      <w:r>
        <w:fldChar w:fldCharType="end"/>
      </w:r>
      <w:r w:rsidRPr="006223CC">
        <w:rPr>
          <w:lang w:val="fr-FR"/>
        </w:rPr>
        <w:t>.</w:t>
      </w:r>
      <w:r w:rsidRPr="006223CC">
        <w:rPr>
          <w:lang w:val="fr-FR"/>
        </w:rPr>
        <w:tab/>
        <w:t xml:space="preserve"> Tuto šablonu vyplňují všechny instituce, na něž se vztahuje kapitálový požadavek k operačnímu riziku.</w:t>
      </w:r>
    </w:p>
    <w:p w14:paraId="1C3B50B7" w14:textId="77777777" w:rsidR="007266CF" w:rsidRPr="002A677E" w:rsidRDefault="007266CF" w:rsidP="00A75C39">
      <w:pPr>
        <w:pStyle w:val="Instructionsberschrift2"/>
        <w:numPr>
          <w:ilvl w:val="2"/>
          <w:numId w:val="97"/>
        </w:numPr>
        <w:rPr>
          <w:rFonts w:ascii="Times New Roman" w:hAnsi="Times New Roman" w:cs="Times New Roman"/>
          <w:sz w:val="24"/>
        </w:rPr>
      </w:pPr>
      <w:bookmarkStart w:id="262" w:name="_Toc116026824"/>
      <w:bookmarkStart w:id="263" w:name="_Toc119077981"/>
      <w:r>
        <w:rPr>
          <w:rFonts w:ascii="Times New Roman" w:hAnsi="Times New Roman"/>
          <w:sz w:val="24"/>
        </w:rPr>
        <w:t>Pokyny pro konkrétní pozice</w:t>
      </w:r>
      <w:bookmarkEnd w:id="262"/>
      <w:bookmarkEnd w:id="263"/>
    </w:p>
    <w:p w14:paraId="2A943008"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7266CF" w:rsidRPr="002A677E" w14:paraId="2AA77F21" w14:textId="77777777" w:rsidTr="007266CF">
        <w:trPr>
          <w:trHeight w:val="553"/>
        </w:trPr>
        <w:tc>
          <w:tcPr>
            <w:tcW w:w="8862" w:type="dxa"/>
            <w:gridSpan w:val="2"/>
            <w:shd w:val="clear" w:color="auto" w:fill="CCCCCC"/>
          </w:tcPr>
          <w:p w14:paraId="12037B8D" w14:textId="77777777" w:rsidR="007266CF" w:rsidRPr="002A677E" w:rsidRDefault="007266CF" w:rsidP="007266CF">
            <w:pPr>
              <w:autoSpaceDE w:val="0"/>
              <w:autoSpaceDN w:val="0"/>
              <w:adjustRightInd w:val="0"/>
              <w:spacing w:after="0"/>
              <w:rPr>
                <w:rFonts w:ascii="Times New Roman" w:hAnsi="Times New Roman"/>
                <w:b/>
                <w:bCs/>
                <w:sz w:val="24"/>
              </w:rPr>
            </w:pPr>
            <w:r>
              <w:rPr>
                <w:rFonts w:ascii="Times New Roman" w:hAnsi="Times New Roman"/>
                <w:b/>
                <w:sz w:val="24"/>
              </w:rPr>
              <w:t>Sloupce</w:t>
            </w:r>
          </w:p>
        </w:tc>
      </w:tr>
      <w:tr w:rsidR="007266CF" w:rsidRPr="002A677E" w14:paraId="2EB27412" w14:textId="77777777" w:rsidTr="007266CF">
        <w:tc>
          <w:tcPr>
            <w:tcW w:w="985" w:type="dxa"/>
          </w:tcPr>
          <w:p w14:paraId="76C4E396"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7A5BE015"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RELEVANTNÍ UKAZATEL</w:t>
            </w:r>
          </w:p>
          <w:p w14:paraId="31B089BB"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p w14:paraId="5CA0876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Instituce, které pro výpočet kapitálového požadavku k operačnímu riziku (přístup BIA, TSA a ASA) používají relevantní ukazatel, vykazují relevantní ukazatel pro příslušné roky ve sloupcích 0010 až 0030. V případě, že se jedná o kombinované používání různých přístupů, jak uvádí článek 314 nařízení (EU) č. 575/2013, instituce vykazuje pro informační účely rovněž relevantní ukazatel u činností v rámci přístupu AMA. Totéž platí pro všechny ostatní banky v rámci AMA.</w:t>
            </w:r>
          </w:p>
          <w:p w14:paraId="1577444D" w14:textId="77777777" w:rsidR="007266CF" w:rsidRPr="002A677E" w:rsidRDefault="007266CF" w:rsidP="007266CF">
            <w:pPr>
              <w:autoSpaceDE w:val="0"/>
              <w:autoSpaceDN w:val="0"/>
              <w:adjustRightInd w:val="0"/>
              <w:spacing w:before="0" w:after="0"/>
              <w:rPr>
                <w:rFonts w:ascii="Times New Roman" w:hAnsi="Times New Roman"/>
                <w:bCs/>
                <w:strike/>
                <w:sz w:val="24"/>
                <w:lang w:eastAsia="nl-BE"/>
              </w:rPr>
            </w:pPr>
          </w:p>
          <w:p w14:paraId="1B83F533"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 xml:space="preserve">Pojem „relevantní ukazatel“ dále odkazuje na „součet položek“ ke konci účetního roku, jak je uveden v článku 316 tabulce 1 bodě 1 nařízení (EU) č. 575/2013. </w:t>
            </w:r>
          </w:p>
          <w:p w14:paraId="306253FC"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473CB5B3"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Má-li instituce k dispozici méně než tříletou řadu údajů o „relevantním ukazateli“, dostupné historické údaje (auditované údaje) se podle priority přiřadí do odpovídajících sloupců šablony. Pokud jsou např. k dispozici historické údaje pouze za jeden rok, uvedou se ve sloupci 0030. Je-li to přijatelné, výhledové odhady se uvedou ve sloupci 0020 (odhady pro příští rok) a ve sloupci 0010 (odhady pro rok +2).</w:t>
            </w:r>
          </w:p>
          <w:p w14:paraId="7F1374FB" w14:textId="77777777" w:rsidR="007266CF" w:rsidRPr="002A677E" w:rsidRDefault="007266CF" w:rsidP="007266CF">
            <w:pPr>
              <w:autoSpaceDE w:val="0"/>
              <w:autoSpaceDN w:val="0"/>
              <w:adjustRightInd w:val="0"/>
              <w:spacing w:before="0" w:after="0"/>
              <w:rPr>
                <w:rFonts w:ascii="Times New Roman" w:hAnsi="Times New Roman"/>
                <w:i/>
                <w:sz w:val="24"/>
              </w:rPr>
            </w:pPr>
          </w:p>
          <w:p w14:paraId="287BC30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Pokud mimoto instituce nemá k dispozici žádné historické údaje o „relevantním ukazateli“, může použít výhledové obchodní odhady.</w:t>
            </w:r>
          </w:p>
          <w:p w14:paraId="2EF601DE"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7F200245" w14:textId="77777777" w:rsidTr="007266CF">
        <w:tc>
          <w:tcPr>
            <w:tcW w:w="985" w:type="dxa"/>
          </w:tcPr>
          <w:p w14:paraId="0F1BA8E3"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332AD7D8"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ÚVĚRY A PŮJČKY (V PŘÍPADĚ, ŽE SE UPLATŇUJE PŘÍSTUP ASA)</w:t>
            </w:r>
          </w:p>
          <w:p w14:paraId="0DA748F9"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p w14:paraId="65A7213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V těchto sloupcích se vykazují částky úvěrů a půjček uvedených v čl. 319 odst. 1 písm. b) nařízení (EU) č. 575/2013 pro linie podnikání „komerční bankovnictví“ </w:t>
            </w:r>
            <w:r>
              <w:rPr>
                <w:rFonts w:ascii="Times New Roman" w:hAnsi="Times New Roman"/>
                <w:sz w:val="24"/>
              </w:rPr>
              <w:lastRenderedPageBreak/>
              <w:t xml:space="preserve">a „retailové bankovnictví“. Tyto částky se používají k výpočtu alternativního relevantního ukazatele, který slouží ke stanovení kapitálových požadavků odpovídajících činnostem v rámci alternativního standardizovaného přístupu (čl. 319 odst. 1 písm. a) nařízení (EU) č. 575/2013). </w:t>
            </w:r>
          </w:p>
          <w:p w14:paraId="57B233FD" w14:textId="77777777" w:rsidR="007266CF" w:rsidRPr="002A677E" w:rsidRDefault="007266CF" w:rsidP="007266CF">
            <w:pPr>
              <w:autoSpaceDE w:val="0"/>
              <w:autoSpaceDN w:val="0"/>
              <w:adjustRightInd w:val="0"/>
              <w:spacing w:before="0" w:after="0"/>
              <w:rPr>
                <w:rFonts w:ascii="Times New Roman" w:hAnsi="Times New Roman"/>
                <w:sz w:val="24"/>
              </w:rPr>
            </w:pPr>
          </w:p>
          <w:p w14:paraId="6A815829"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V případě linie podnikání „komerční bankovnictví“ se zde zohlední rovněž cenné papíry držené v investičním portfoliu.</w:t>
            </w:r>
          </w:p>
        </w:tc>
      </w:tr>
      <w:tr w:rsidR="007266CF" w:rsidRPr="002A677E" w14:paraId="0471B0B9" w14:textId="77777777" w:rsidTr="007266CF">
        <w:tc>
          <w:tcPr>
            <w:tcW w:w="985" w:type="dxa"/>
          </w:tcPr>
          <w:p w14:paraId="0A04080E"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877" w:type="dxa"/>
          </w:tcPr>
          <w:p w14:paraId="57B5C5A5"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KAPITÁLOVÝ POŽADAVEK</w:t>
            </w:r>
          </w:p>
          <w:p w14:paraId="736C2C7F" w14:textId="77777777" w:rsidR="007266CF" w:rsidRPr="002A677E" w:rsidRDefault="007266CF" w:rsidP="007266CF">
            <w:pPr>
              <w:autoSpaceDE w:val="0"/>
              <w:autoSpaceDN w:val="0"/>
              <w:adjustRightInd w:val="0"/>
              <w:spacing w:before="0" w:after="0"/>
              <w:jc w:val="left"/>
              <w:rPr>
                <w:rFonts w:ascii="Times New Roman" w:hAnsi="Times New Roman"/>
                <w:sz w:val="24"/>
                <w:lang w:eastAsia="de-DE"/>
              </w:rPr>
            </w:pPr>
          </w:p>
          <w:p w14:paraId="17F3F103" w14:textId="77777777" w:rsidR="007266CF" w:rsidRPr="002A677E" w:rsidRDefault="007266CF" w:rsidP="007266CF">
            <w:pPr>
              <w:autoSpaceDE w:val="0"/>
              <w:autoSpaceDN w:val="0"/>
              <w:adjustRightInd w:val="0"/>
              <w:spacing w:before="0" w:after="0"/>
              <w:jc w:val="left"/>
              <w:rPr>
                <w:rFonts w:ascii="Times New Roman" w:hAnsi="Times New Roman"/>
                <w:bCs/>
                <w:sz w:val="24"/>
              </w:rPr>
            </w:pPr>
            <w:r>
              <w:rPr>
                <w:rFonts w:ascii="Times New Roman" w:hAnsi="Times New Roman"/>
                <w:sz w:val="24"/>
              </w:rPr>
              <w:t>Kapitálový požadavek se vypočítává na základě použitých přístupů a v souladu s články 312 až 324 nařízení (EU) č. 575/2013. Výsledná částka se vykazuje ve sloupci 0070.</w:t>
            </w:r>
          </w:p>
        </w:tc>
      </w:tr>
      <w:tr w:rsidR="007266CF" w:rsidRPr="006223CC" w14:paraId="18DDBFCD" w14:textId="77777777" w:rsidTr="007266CF">
        <w:tc>
          <w:tcPr>
            <w:tcW w:w="985" w:type="dxa"/>
          </w:tcPr>
          <w:p w14:paraId="18955844"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3467DEE1"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CELKOVÝ OBJEM RIZIKOVÉ EXPOZICE U OPERAČNÍHO RIZIKA</w:t>
            </w:r>
          </w:p>
          <w:p w14:paraId="0FDE1DBB"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Ustanovení čl. 92 odst. 4 nařízení (EU) č. 575/2013</w:t>
            </w:r>
            <w:r w:rsidRPr="006223CC">
              <w:rPr>
                <w:lang w:val="fr-FR"/>
              </w:rPr>
              <w:t xml:space="preserve"> </w:t>
            </w:r>
          </w:p>
          <w:p w14:paraId="5727470E" w14:textId="77777777" w:rsidR="007266CF" w:rsidRPr="006223CC" w:rsidRDefault="007266CF" w:rsidP="007266CF">
            <w:pPr>
              <w:rPr>
                <w:rStyle w:val="InstructionsTabelleberschrift"/>
                <w:rFonts w:ascii="Times New Roman" w:hAnsi="Times New Roman"/>
                <w:b w:val="0"/>
                <w:sz w:val="24"/>
                <w:lang w:val="fr-FR"/>
              </w:rPr>
            </w:pPr>
            <w:r w:rsidRPr="006223CC">
              <w:rPr>
                <w:rFonts w:ascii="Times New Roman" w:hAnsi="Times New Roman"/>
                <w:sz w:val="24"/>
                <w:lang w:val="fr-FR"/>
              </w:rPr>
              <w:t>Kapitálové požadavky uvedené ve sloupci 0070 vynásobené faktorem 12,5</w:t>
            </w:r>
          </w:p>
        </w:tc>
      </w:tr>
      <w:tr w:rsidR="007266CF" w:rsidRPr="002A677E" w14:paraId="50F2E840" w14:textId="77777777" w:rsidTr="007266CF">
        <w:tc>
          <w:tcPr>
            <w:tcW w:w="985" w:type="dxa"/>
          </w:tcPr>
          <w:p w14:paraId="0E13DB8A"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2AD9FC39"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Z TOHO: V DŮSLEDKU ALOKAČNÍHO MECHANISMU</w:t>
            </w:r>
          </w:p>
          <w:p w14:paraId="07ADEE4D"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p w14:paraId="369BC069" w14:textId="77777777" w:rsidR="007266CF" w:rsidRPr="002A677E" w:rsidRDefault="007266CF" w:rsidP="007266CF">
            <w:pPr>
              <w:jc w:val="left"/>
              <w:rPr>
                <w:rFonts w:ascii="Times New Roman" w:hAnsi="Times New Roman"/>
                <w:bCs/>
                <w:sz w:val="24"/>
              </w:rPr>
            </w:pPr>
            <w:r>
              <w:rPr>
                <w:rFonts w:ascii="Times New Roman" w:hAnsi="Times New Roman"/>
                <w:sz w:val="24"/>
              </w:rPr>
              <w:t xml:space="preserve">Bylo-li uděleno povolení použít přístup AMA na konsolidované úrovni (čl. 18 odst. 1 nařízení (EU) č. 575/2013) v souladu s čl. 312 odst. 2 uvedeného nařízení, rozčlení se kapitálový požadavek k operačnímu riziku mezi jednotlivé subjekty ve skupině na základě metodiky použité institucemi k promítnutí diverzifikačních efektů do systému měření rizika, který používají mateřská úvěrová instituce v EU a její dceřiné podniky nebo společně dceřiné podniky mateřské finanční holdingové společnosti v EU nebo mateřské smíšené finanční holdingové společnosti v EU. Výsledek uvedené alokace se vykazuje v tomto sloupci. </w:t>
            </w:r>
          </w:p>
          <w:p w14:paraId="10315E14"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5B8EC148" w14:textId="77777777" w:rsidTr="007266CF">
        <w:tc>
          <w:tcPr>
            <w:tcW w:w="985" w:type="dxa"/>
          </w:tcPr>
          <w:p w14:paraId="11C4C7EE"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45369F6C"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DOPLŇKOVÉ POLOŽKY K PŘÍSTUPU AMA, KTERÉ MAJÍ BÝT V PŘÍPADĚ POTŘEBY VYKÁZÁNY</w:t>
            </w:r>
          </w:p>
        </w:tc>
      </w:tr>
      <w:tr w:rsidR="007266CF" w:rsidRPr="002A677E" w14:paraId="10CA2FCF" w14:textId="77777777" w:rsidTr="007266CF">
        <w:tc>
          <w:tcPr>
            <w:tcW w:w="985" w:type="dxa"/>
          </w:tcPr>
          <w:p w14:paraId="0E99D933"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F2E3E89"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KAPITÁLOVÝ POŽADAVEK PŘED ZMÍRNĚNÍM V DŮSLEDKU OČEKÁVANÉ ZTRÁTY, DIVERZIFIKACE A TECHNIK SNIŽOVÁNÍ RIZIKA</w:t>
            </w:r>
          </w:p>
          <w:p w14:paraId="6C21F2C5"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p w14:paraId="6D6B6A1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Kapitálový požadavek, který má být vykázán ve sloupci 090, odpovídá údaji uvedenému ve sloupci 070, ovšem v jeho výpočtu ještě nejsou zohledněna zmírnění v důsledku očekávané ztráty, diverzifikace a technik snižování rizika (viz níže).</w:t>
            </w:r>
          </w:p>
          <w:p w14:paraId="4CD13424"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25F77BEA" w14:textId="77777777" w:rsidTr="007266CF">
        <w:tc>
          <w:tcPr>
            <w:tcW w:w="985" w:type="dxa"/>
          </w:tcPr>
          <w:p w14:paraId="3798CCCD"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7BF59B94"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ZMÍRNĚNÍ KAPITÁLOVÝCH POŽADAVKŮ V DŮSLEDKU OČEKÁVANÉ ZTRÁTY ZACHYCENÉ V OBCHODNÍCH POSTUPECH</w:t>
            </w:r>
          </w:p>
          <w:p w14:paraId="185E6512"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p w14:paraId="7858110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Ve sloupci 100 se vykazuje zmírnění kapitálových požadavků v důsledku očekávané ztráty zachycené v interních obchodních postupech (jak je uvedeno v čl. 322 odst. 2 písm. a) nařízení (EU) č. 575/2013).</w:t>
            </w:r>
          </w:p>
          <w:p w14:paraId="6591D078"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2A2AC8B3" w14:textId="77777777" w:rsidTr="007266CF">
        <w:tc>
          <w:tcPr>
            <w:tcW w:w="985" w:type="dxa"/>
          </w:tcPr>
          <w:p w14:paraId="22597E33"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E4B3B39"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ZMÍRNĚNÍ KAPITÁLOVÝCH POŽADAVKŮ V DŮSLEDKU DIVERZIFIKACE</w:t>
            </w:r>
          </w:p>
          <w:p w14:paraId="072BEB9A" w14:textId="77777777" w:rsidR="007266CF" w:rsidRPr="002A677E" w:rsidRDefault="007266CF" w:rsidP="007266CF">
            <w:pPr>
              <w:rPr>
                <w:rFonts w:ascii="Times New Roman" w:hAnsi="Times New Roman"/>
                <w:sz w:val="24"/>
              </w:rPr>
            </w:pPr>
            <w:r>
              <w:rPr>
                <w:rFonts w:ascii="Times New Roman" w:hAnsi="Times New Roman"/>
                <w:sz w:val="24"/>
              </w:rPr>
              <w:lastRenderedPageBreak/>
              <w:t>Diverzifikační efekt vykazovaný v tomto sloupci je rozdílem mezi součtem kapitálových požadavků vypočítaných samostatně pro každou kategorii operačního rizika (tj. situace „dokonalé závislosti“) a diverzifikovanými kapitálovými požadavky, při jejichž výpočtu se zohledňují korelace a vzájemné vazby (tj. za předpokladu, že mezi kategoriemi rizika existuje menší než „dokonalá závislost“). Situace „dokonalé závislosti“ nastává ve „standardním případě“, to znamená, že pokud instituce pro kategorie rizika nepoužívá strukturu explicitních korelací, pak se kapitálové požadavky v rámci přístupu AMA vypočítávají jako součet jednotlivých měření operačního rizika ve vybraných kategoriích rizika. V takovém případě se předpokládá, že korelace mezi kategoriemi rizika činí 100 % a v tomto sloupci se uvede nulová hodnota. Jestliže instituce naopak vypočítává strukturu explicitních korelací mezi kategoriemi rizika, v tomto sloupci musí uvést rozdíl mezi kapitálovými požadavky v rámci přístupu AMA, jak vyplývají ze „standardního případu“, a kapitálovými požadavky v rámci přístupu AMA získanými po uplatnění struktury korelací mezi kategoriemi rizika. Tato hodnota odráží „diverzifikační kapacitu“ modelu AMA, což znamená schopnost tohoto modelu zachytit vznik závažných ztrát, k nimž nedochází souběžně a jsou následkem operačních rizik. Ve sloupci 110 se vykazuje částka, o niž uvažovaná struktura korelací snižuje kapitálové požadavky v rámci přístupu AMA za předpokladu 100 % korelace.</w:t>
            </w:r>
          </w:p>
          <w:p w14:paraId="3AFA2A05"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r w:rsidR="007266CF" w:rsidRPr="002A677E" w14:paraId="77411492" w14:textId="77777777" w:rsidTr="007266CF">
        <w:tc>
          <w:tcPr>
            <w:tcW w:w="985" w:type="dxa"/>
          </w:tcPr>
          <w:p w14:paraId="46624E6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44676571"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ZMÍRNĚNÍ KAPITÁLOVÉHO POŽADAVKU V DŮSLEDKU TECHNIK SNIŽOVÁNÍ RIZIKA (POJIŠTĚNÍ A JINÉ MECHANISMY PŘEVODU RIZIKA)</w:t>
            </w:r>
          </w:p>
          <w:p w14:paraId="4DAB8295" w14:textId="77777777" w:rsidR="007266CF" w:rsidRPr="002A677E" w:rsidRDefault="007266CF" w:rsidP="007266CF">
            <w:pPr>
              <w:autoSpaceDE w:val="0"/>
              <w:autoSpaceDN w:val="0"/>
              <w:adjustRightInd w:val="0"/>
              <w:spacing w:before="0" w:after="0"/>
              <w:jc w:val="left"/>
              <w:rPr>
                <w:rFonts w:ascii="Times New Roman" w:hAnsi="Times New Roman"/>
                <w:sz w:val="24"/>
                <w:lang w:eastAsia="de-DE"/>
              </w:rPr>
            </w:pPr>
          </w:p>
          <w:p w14:paraId="47BD627F" w14:textId="77777777" w:rsidR="007266CF" w:rsidRPr="002A677E" w:rsidRDefault="007266CF" w:rsidP="007266CF">
            <w:pPr>
              <w:autoSpaceDE w:val="0"/>
              <w:autoSpaceDN w:val="0"/>
              <w:adjustRightInd w:val="0"/>
              <w:spacing w:before="0" w:after="0"/>
              <w:jc w:val="left"/>
              <w:rPr>
                <w:rFonts w:ascii="Times New Roman" w:hAnsi="Times New Roman"/>
                <w:sz w:val="24"/>
              </w:rPr>
            </w:pPr>
            <w:r>
              <w:rPr>
                <w:rFonts w:ascii="Times New Roman" w:hAnsi="Times New Roman"/>
                <w:sz w:val="24"/>
              </w:rPr>
              <w:t>V tomto sloupci se vykazuje dopad pojištění a jiných mechanismů převodu rizika podle článku 323 nařízení (EU) č. 575/2013.</w:t>
            </w:r>
          </w:p>
          <w:p w14:paraId="47789035" w14:textId="77777777" w:rsidR="007266CF" w:rsidRPr="002A677E" w:rsidRDefault="007266CF" w:rsidP="007266CF">
            <w:pPr>
              <w:autoSpaceDE w:val="0"/>
              <w:autoSpaceDN w:val="0"/>
              <w:adjustRightInd w:val="0"/>
              <w:spacing w:before="0" w:after="0"/>
              <w:jc w:val="left"/>
              <w:rPr>
                <w:rFonts w:ascii="Times New Roman" w:hAnsi="Times New Roman"/>
                <w:bCs/>
                <w:sz w:val="24"/>
                <w:lang w:eastAsia="nl-BE"/>
              </w:rPr>
            </w:pPr>
          </w:p>
        </w:tc>
      </w:tr>
    </w:tbl>
    <w:p w14:paraId="16BF24A5"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3DED8E4E"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5D79214C" w14:textId="77777777" w:rsidR="007266CF" w:rsidRPr="00047034" w:rsidRDefault="007266CF" w:rsidP="007266CF">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7266CF" w:rsidRPr="002A677E" w14:paraId="7F633D90" w14:textId="77777777" w:rsidTr="007266CF">
        <w:trPr>
          <w:trHeight w:val="518"/>
        </w:trPr>
        <w:tc>
          <w:tcPr>
            <w:tcW w:w="8862" w:type="dxa"/>
            <w:gridSpan w:val="2"/>
            <w:shd w:val="clear" w:color="auto" w:fill="CCCCCC"/>
          </w:tcPr>
          <w:p w14:paraId="0AFF4E15" w14:textId="77777777" w:rsidR="007266CF" w:rsidRPr="002A677E" w:rsidRDefault="007266CF" w:rsidP="007266CF">
            <w:pPr>
              <w:autoSpaceDE w:val="0"/>
              <w:autoSpaceDN w:val="0"/>
              <w:adjustRightInd w:val="0"/>
              <w:spacing w:after="0"/>
              <w:rPr>
                <w:rFonts w:ascii="Times New Roman" w:hAnsi="Times New Roman"/>
                <w:b/>
                <w:bCs/>
                <w:sz w:val="24"/>
              </w:rPr>
            </w:pPr>
            <w:r>
              <w:rPr>
                <w:rFonts w:ascii="Times New Roman" w:hAnsi="Times New Roman"/>
                <w:b/>
                <w:sz w:val="24"/>
              </w:rPr>
              <w:t>Řádky</w:t>
            </w:r>
          </w:p>
        </w:tc>
      </w:tr>
      <w:tr w:rsidR="007266CF" w:rsidRPr="006223CC" w14:paraId="01154711" w14:textId="77777777" w:rsidTr="007266CF">
        <w:tc>
          <w:tcPr>
            <w:tcW w:w="985" w:type="dxa"/>
          </w:tcPr>
          <w:p w14:paraId="1D3DB786"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63B64D0B"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PŘÍSTUPU ZÁKLADNÍHO UKAZATELE (BIA)</w:t>
            </w:r>
          </w:p>
          <w:p w14:paraId="63B69621" w14:textId="77777777" w:rsidR="007266CF" w:rsidRPr="00047034" w:rsidRDefault="007266CF" w:rsidP="007266CF">
            <w:pPr>
              <w:pStyle w:val="PlainText"/>
              <w:jc w:val="both"/>
              <w:rPr>
                <w:rFonts w:ascii="Times New Roman" w:eastAsia="Times New Roman" w:hAnsi="Times New Roman"/>
                <w:sz w:val="24"/>
                <w:szCs w:val="24"/>
                <w:lang w:eastAsia="de-DE"/>
              </w:rPr>
            </w:pPr>
          </w:p>
          <w:p w14:paraId="6EAA68D8" w14:textId="77777777" w:rsidR="007266CF" w:rsidRPr="002A677E" w:rsidRDefault="007266CF" w:rsidP="007266CF">
            <w:pPr>
              <w:pStyle w:val="PlainText"/>
              <w:jc w:val="both"/>
              <w:rPr>
                <w:rFonts w:ascii="Times New Roman" w:eastAsia="Times New Roman" w:hAnsi="Times New Roman"/>
                <w:sz w:val="24"/>
                <w:szCs w:val="24"/>
              </w:rPr>
            </w:pPr>
            <w:r>
              <w:rPr>
                <w:rFonts w:ascii="Times New Roman" w:hAnsi="Times New Roman"/>
                <w:sz w:val="24"/>
              </w:rPr>
              <w:t>V tomto řádku se uvádějí částky odpovídající činnostem, které podléhají pro účely výpočtu kapitálového požadavku k operačnímu riziku přístupu BIA (články 315 a 316 nařízení (EU) č. 575/2013).</w:t>
            </w:r>
          </w:p>
          <w:p w14:paraId="1A852626" w14:textId="77777777" w:rsidR="007266CF" w:rsidRPr="00047034" w:rsidRDefault="007266CF" w:rsidP="007266CF">
            <w:pPr>
              <w:pStyle w:val="PlainText"/>
              <w:jc w:val="both"/>
              <w:rPr>
                <w:rFonts w:ascii="Times New Roman" w:eastAsia="Times New Roman" w:hAnsi="Times New Roman"/>
                <w:bCs/>
                <w:sz w:val="24"/>
                <w:szCs w:val="24"/>
                <w:lang w:eastAsia="nl-BE"/>
              </w:rPr>
            </w:pPr>
          </w:p>
        </w:tc>
      </w:tr>
      <w:tr w:rsidR="007266CF" w:rsidRPr="002A677E" w14:paraId="758254F9" w14:textId="77777777" w:rsidTr="007266CF">
        <w:tc>
          <w:tcPr>
            <w:tcW w:w="985" w:type="dxa"/>
          </w:tcPr>
          <w:p w14:paraId="285400B0"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39AB2B8B"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STANDARDIZOVANÉMU (TSA) / ALTERNATIVNÍMU STANDARDIZOVANÉMU (ASA) PŘÍSTUPU</w:t>
            </w:r>
          </w:p>
          <w:p w14:paraId="76B23D09"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2EDC7A0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Vykazuje se zde kapitálový požadavek vypočítaný podle přístupů TSA a ASA (články 317, 318 a 319 nařízení (EU) č. 575/2013).</w:t>
            </w:r>
          </w:p>
          <w:p w14:paraId="5B415C64"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49253450" w14:textId="77777777" w:rsidTr="007266CF">
        <w:trPr>
          <w:trHeight w:val="1705"/>
        </w:trPr>
        <w:tc>
          <w:tcPr>
            <w:tcW w:w="985" w:type="dxa"/>
          </w:tcPr>
          <w:p w14:paraId="2402BCD6"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0030–0100</w:t>
            </w:r>
          </w:p>
        </w:tc>
        <w:tc>
          <w:tcPr>
            <w:tcW w:w="7877" w:type="dxa"/>
          </w:tcPr>
          <w:p w14:paraId="1813124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PODLÉHAJÍCÍ PŘÍSTUPU TSA</w:t>
            </w:r>
          </w:p>
          <w:p w14:paraId="2EB0A135" w14:textId="77777777" w:rsidR="007266CF" w:rsidRPr="002A677E" w:rsidRDefault="007266CF" w:rsidP="007266CF">
            <w:pPr>
              <w:autoSpaceDE w:val="0"/>
              <w:autoSpaceDN w:val="0"/>
              <w:adjustRightInd w:val="0"/>
              <w:spacing w:before="0" w:after="0"/>
              <w:jc w:val="left"/>
              <w:rPr>
                <w:rFonts w:ascii="Times New Roman" w:hAnsi="Times New Roman"/>
                <w:bCs/>
                <w:sz w:val="24"/>
              </w:rPr>
            </w:pPr>
            <w:r>
              <w:rPr>
                <w:rFonts w:ascii="Times New Roman" w:hAnsi="Times New Roman"/>
                <w:sz w:val="24"/>
              </w:rPr>
              <w:t>Je-li používán přístup TSA, relevantní ukazatel pro každý příslušný rok se v řádcích 0030 až 0100 rozdělí mezi oblasti podnikání uvedené v článku 317 tabulce 2 nařízení (EU) č. 575/2013. Přiřazování činností k oblastem podnikání se řídí zásadami popsanými v článku 318 nařízení (EU) č. 575/2013.</w:t>
            </w:r>
          </w:p>
        </w:tc>
      </w:tr>
      <w:tr w:rsidR="007266CF" w:rsidRPr="002A677E" w14:paraId="64AC53EC" w14:textId="77777777" w:rsidTr="007266CF">
        <w:tc>
          <w:tcPr>
            <w:tcW w:w="985" w:type="dxa"/>
          </w:tcPr>
          <w:p w14:paraId="3354B489"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539EAC95" w14:textId="77777777" w:rsidR="007266CF" w:rsidRPr="002A677E" w:rsidRDefault="007266CF" w:rsidP="007266CF">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PODLÉHAJÍCÍ PŘÍSTUPU ASA</w:t>
            </w:r>
          </w:p>
          <w:p w14:paraId="094FAE8B" w14:textId="77777777" w:rsidR="007266CF" w:rsidRPr="002A677E" w:rsidRDefault="007266CF" w:rsidP="007266CF">
            <w:pPr>
              <w:rPr>
                <w:rFonts w:ascii="Times New Roman" w:hAnsi="Times New Roman"/>
                <w:sz w:val="24"/>
              </w:rPr>
            </w:pPr>
            <w:r>
              <w:rPr>
                <w:rFonts w:ascii="Times New Roman" w:hAnsi="Times New Roman"/>
                <w:sz w:val="24"/>
              </w:rPr>
              <w:t xml:space="preserve">Instituce používající přístup ASA (článek 319 nařízení (EU) č. 575/2013) vykazují pro příslušné roky relevantní ukazatel samostatně za každou linii podnikání v řádcích 0030 až 0050 a 0080 až 0100 a za linie podnikání „komerční bankovnictví“ a „retailové bankovnictví“ v řádcích 0110 a 0120. </w:t>
            </w:r>
          </w:p>
          <w:p w14:paraId="50E7B8E0" w14:textId="77777777" w:rsidR="007266CF" w:rsidRPr="002A677E" w:rsidRDefault="007266CF" w:rsidP="007266CF">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V řádcích 110 a 120 se uvádí výše </w:t>
            </w:r>
            <w:r>
              <w:rPr>
                <w:rFonts w:ascii="Times New Roman" w:hAnsi="Times New Roman"/>
                <w:sz w:val="24"/>
              </w:rPr>
              <w:t xml:space="preserve">relevantního ukazatele </w:t>
            </w:r>
            <w:r>
              <w:rPr>
                <w:rStyle w:val="InstructionsTabelleText"/>
                <w:rFonts w:ascii="Times New Roman" w:hAnsi="Times New Roman"/>
                <w:sz w:val="24"/>
              </w:rPr>
              <w:t xml:space="preserve">u činností podléhajících přístupu ASA, přičemž se rozlišuje mezi částkou odpovídající linii podnikání „komerční bankovnictví“ a částkami odpovídajícími linii podnikání „retailové bankovnictví“ (článek 319 </w:t>
            </w:r>
            <w:r>
              <w:rPr>
                <w:rFonts w:ascii="Times New Roman" w:hAnsi="Times New Roman"/>
                <w:sz w:val="24"/>
              </w:rPr>
              <w:t>nařízení (EU) č. 575/2013</w:t>
            </w:r>
            <w:r>
              <w:rPr>
                <w:rStyle w:val="InstructionsTabelleText"/>
                <w:rFonts w:ascii="Times New Roman" w:hAnsi="Times New Roman"/>
                <w:sz w:val="24"/>
              </w:rPr>
              <w:t>. Mohou být vyplněny i řádky odpovídající „komerčnímu bankovnictví“ a „retailovému bankovnictví“ v rámci přístupu TSA (řádky 0060 a 0070) a stejně tak v rámci přístupu ASA, tedy řádky 0110 a 0120 (např. používá-li dceřiný podnik přístup TSA, zatímco mateřský podnik uplatňuje přístup ASA).</w:t>
            </w:r>
          </w:p>
        </w:tc>
      </w:tr>
      <w:tr w:rsidR="007266CF" w:rsidRPr="002A677E" w14:paraId="57229F01" w14:textId="77777777" w:rsidTr="007266CF">
        <w:tc>
          <w:tcPr>
            <w:tcW w:w="985" w:type="dxa"/>
          </w:tcPr>
          <w:p w14:paraId="421C69D0"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57142BAD"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POKROČILÝM PŘÍSTUPŮM K MĚŘENÍ (AMA)</w:t>
            </w:r>
          </w:p>
          <w:p w14:paraId="3BDC60E4"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p w14:paraId="107DEAE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Vykazují se zde relevantní údaje týkající se institucí s pokročilým přístupem k měření (čl. 312 odst. 2 a články 321, 322 a 323 nařízení (EU) č. 575/2013). </w:t>
            </w:r>
          </w:p>
          <w:p w14:paraId="49A8DB0F" w14:textId="77777777" w:rsidR="007266CF" w:rsidRPr="002A677E" w:rsidRDefault="007266CF" w:rsidP="007266CF">
            <w:pPr>
              <w:autoSpaceDE w:val="0"/>
              <w:autoSpaceDN w:val="0"/>
              <w:adjustRightInd w:val="0"/>
              <w:spacing w:before="0" w:after="0"/>
              <w:rPr>
                <w:rFonts w:ascii="Times New Roman" w:hAnsi="Times New Roman"/>
                <w:sz w:val="24"/>
              </w:rPr>
            </w:pPr>
          </w:p>
          <w:p w14:paraId="6DE8AB0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případě kombinace různých přístupů, jak je uvedeno v článku 314 nařízení (EU) č. 575/2013, se vykazují údaje o relevantním ukazateli pro činnosti podléhající přístupu AMA. Totéž platí pro všechny ostatní banky v rámci AMA.</w:t>
            </w:r>
          </w:p>
          <w:p w14:paraId="11F74BC6"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bl>
    <w:p w14:paraId="663ACC6B" w14:textId="77777777" w:rsidR="007266CF" w:rsidRPr="002A677E" w:rsidRDefault="007266CF" w:rsidP="007266CF">
      <w:pPr>
        <w:pStyle w:val="PlainText"/>
        <w:jc w:val="both"/>
        <w:rPr>
          <w:rFonts w:ascii="Times New Roman" w:hAnsi="Times New Roman"/>
          <w:sz w:val="24"/>
          <w:szCs w:val="24"/>
          <w:lang w:val="en-GB"/>
        </w:rPr>
      </w:pPr>
    </w:p>
    <w:p w14:paraId="78C103A7" w14:textId="77777777" w:rsidR="007266CF" w:rsidRPr="002A677E" w:rsidRDefault="007266CF" w:rsidP="007266CF">
      <w:pPr>
        <w:rPr>
          <w:rFonts w:ascii="Times New Roman" w:hAnsi="Times New Roman"/>
          <w:sz w:val="24"/>
        </w:rPr>
      </w:pPr>
    </w:p>
    <w:p w14:paraId="1FB61541" w14:textId="77777777" w:rsidR="007266CF" w:rsidRPr="002A677E" w:rsidRDefault="007266CF" w:rsidP="00A75C39">
      <w:pPr>
        <w:pStyle w:val="Instructionsberschrift2"/>
        <w:numPr>
          <w:ilvl w:val="1"/>
          <w:numId w:val="98"/>
        </w:numPr>
        <w:rPr>
          <w:rFonts w:ascii="Times New Roman" w:hAnsi="Times New Roman" w:cs="Times New Roman"/>
          <w:sz w:val="24"/>
        </w:rPr>
      </w:pPr>
      <w:bookmarkStart w:id="264" w:name="_Toc116026825"/>
      <w:bookmarkStart w:id="265" w:name="_Toc119077982"/>
      <w:r>
        <w:rPr>
          <w:rFonts w:ascii="Times New Roman" w:hAnsi="Times New Roman"/>
          <w:sz w:val="24"/>
        </w:rPr>
        <w:t>Operační riziko: Podrobné informace o ztrátách v minulém roce (OPR DETAILS)</w:t>
      </w:r>
      <w:bookmarkEnd w:id="264"/>
      <w:bookmarkEnd w:id="265"/>
    </w:p>
    <w:p w14:paraId="275A348F" w14:textId="77777777" w:rsidR="007266CF" w:rsidRPr="002A677E" w:rsidRDefault="007266CF" w:rsidP="00A75C39">
      <w:pPr>
        <w:pStyle w:val="Instructionsberschrift2"/>
        <w:numPr>
          <w:ilvl w:val="2"/>
          <w:numId w:val="99"/>
        </w:numPr>
        <w:rPr>
          <w:rFonts w:ascii="Times New Roman" w:hAnsi="Times New Roman" w:cs="Times New Roman"/>
          <w:sz w:val="24"/>
        </w:rPr>
      </w:pPr>
      <w:bookmarkStart w:id="266" w:name="_Toc116026826"/>
      <w:bookmarkStart w:id="267" w:name="_Toc119077983"/>
      <w:r>
        <w:rPr>
          <w:rFonts w:ascii="Times New Roman" w:hAnsi="Times New Roman"/>
          <w:sz w:val="24"/>
        </w:rPr>
        <w:t>Obecné poznámky</w:t>
      </w:r>
      <w:bookmarkEnd w:id="266"/>
      <w:bookmarkEnd w:id="267"/>
    </w:p>
    <w:p w14:paraId="4A9F1289" w14:textId="77777777" w:rsidR="007266CF" w:rsidRPr="002A677E" w:rsidRDefault="007266CF" w:rsidP="007266CF">
      <w:pPr>
        <w:pStyle w:val="InstructionsText2"/>
        <w:numPr>
          <w:ilvl w:val="0"/>
          <w:numId w:val="0"/>
        </w:numPr>
        <w:ind w:left="1353" w:hanging="360"/>
      </w:pPr>
      <w:fldSimple w:instr=" seq paragraphs ">
        <w:r>
          <w:t>142</w:t>
        </w:r>
      </w:fldSimple>
      <w:r>
        <w:t>.</w:t>
      </w:r>
      <w:r>
        <w:tab/>
        <w:t xml:space="preserve"> V šabloně C 17.01 (OPR DETAILS 1) jsou shrnuty údaje o hrubých ztrátách a výtěžcích ze ztrát, které instituce zaznamenala v minulém roce, a to podle druhů událostí a linií podnikání. V šabloně C 17.02 (OPR DETAILS 2) jsou podány podrobné informace o největších ztrátových událostech v posledním roce. </w:t>
      </w:r>
    </w:p>
    <w:p w14:paraId="539701A3" w14:textId="77777777" w:rsidR="007266CF" w:rsidRPr="002A677E" w:rsidRDefault="007266CF" w:rsidP="007266CF">
      <w:pPr>
        <w:pStyle w:val="InstructionsText2"/>
        <w:numPr>
          <w:ilvl w:val="0"/>
          <w:numId w:val="0"/>
        </w:numPr>
        <w:ind w:left="1353" w:hanging="360"/>
      </w:pPr>
      <w:fldSimple w:instr=" seq paragraphs ">
        <w:r>
          <w:t>143</w:t>
        </w:r>
      </w:fldSimple>
      <w:r>
        <w:t>. V šabloně C 17.01 ani v šabloně C 17.02 nejsou zohledněny ztráty z operačního rizika, které souvisejí s úvěrovým rizikem a podléhají kapitálovým požadavkům k úvěrovému riziku (hraniční události operačního rizika v souvislosti s úvěry).</w:t>
      </w:r>
    </w:p>
    <w:p w14:paraId="6326AB52" w14:textId="77777777" w:rsidR="007266CF" w:rsidRPr="002A677E" w:rsidRDefault="007266CF" w:rsidP="007266CF">
      <w:pPr>
        <w:pStyle w:val="InstructionsText2"/>
        <w:numPr>
          <w:ilvl w:val="0"/>
          <w:numId w:val="0"/>
        </w:numPr>
        <w:ind w:left="1353" w:hanging="360"/>
      </w:pPr>
      <w:fldSimple w:instr=" seq paragraphs ">
        <w:r>
          <w:t>144</w:t>
        </w:r>
      </w:fldSimple>
      <w:r>
        <w:t xml:space="preserve">. V případě kombinovaného používání různých přístupů pro výpočet kapitálových požadavků pro operační riziko podle článku 314 nařízení (EU) </w:t>
      </w:r>
      <w:r>
        <w:lastRenderedPageBreak/>
        <w:t>č. 575/2013 se ztráty a výtěžky zaznamenané ze strany instituce vykazují v šablonách C 17.01 a C 17.02 bez ohledu na přístup použitý pro výpočet kapitálových požadavků.</w:t>
      </w:r>
    </w:p>
    <w:p w14:paraId="5D875236" w14:textId="77777777" w:rsidR="007266CF" w:rsidRPr="002A677E" w:rsidRDefault="007266CF" w:rsidP="007266CF">
      <w:pPr>
        <w:pStyle w:val="InstructionsText2"/>
        <w:numPr>
          <w:ilvl w:val="0"/>
          <w:numId w:val="0"/>
        </w:numPr>
        <w:ind w:left="1353" w:hanging="360"/>
      </w:pPr>
      <w:fldSimple w:instr=" seq paragraphs ">
        <w:r>
          <w:t>145</w:t>
        </w:r>
      </w:fldSimple>
      <w:r>
        <w:t xml:space="preserve">. „Hrubou ztrátou“ se rozumí ztráta – uvedená v čl. 322 odst. 3 písm. b) nařízení (EU) č. 575/2013 – pocházející z druhu události operačního rizika nebo události ztráty před výtěžkem jakéhokoli druhu, aniž jsou dotčeny „ztrátové události s rychlým výtěžkem“ vymezené níže. </w:t>
      </w:r>
    </w:p>
    <w:p w14:paraId="2B69D143" w14:textId="77777777" w:rsidR="007266CF" w:rsidRPr="002A677E" w:rsidRDefault="007266CF" w:rsidP="007266CF">
      <w:pPr>
        <w:pStyle w:val="InstructionsText2"/>
        <w:numPr>
          <w:ilvl w:val="0"/>
          <w:numId w:val="0"/>
        </w:numPr>
        <w:ind w:left="1353" w:hanging="360"/>
      </w:pPr>
      <w:fldSimple w:instr=" seq paragraphs ">
        <w:r>
          <w:t>146</w:t>
        </w:r>
      </w:fldSimple>
      <w:r>
        <w:t>. „Výtěžkem“ se rozumí nezávislá událost související s původní ztrátou následkem operačního rizika, která je časově oddělená, při níž jsou od první nebo třetí strany, např. pojistitelů nebo jiných stran, obdrženy finanční prostředky nebo přítoky ekonomických užitků. Výtěžky se člení na výtěžky z pojištění a jiných mechanismů převodu rizik a přímé výtěžky.</w:t>
      </w:r>
    </w:p>
    <w:p w14:paraId="158DC38B" w14:textId="77777777" w:rsidR="007266CF" w:rsidRPr="002A677E" w:rsidRDefault="007266CF" w:rsidP="007266CF">
      <w:pPr>
        <w:pStyle w:val="InstructionsText2"/>
        <w:numPr>
          <w:ilvl w:val="0"/>
          <w:numId w:val="0"/>
        </w:numPr>
        <w:ind w:left="1353" w:hanging="360"/>
      </w:pPr>
      <w:fldSimple w:instr=" seq paragraphs ">
        <w:r>
          <w:t>147</w:t>
        </w:r>
      </w:fldSimple>
      <w:r>
        <w:t>.</w:t>
      </w:r>
      <w:r>
        <w:tab/>
        <w:t xml:space="preserve"> „Ztrátovými událostmi s rychlým výtěžkem“ se rozumí události operačního rizika, které vedou ke ztrátám, jež jsou částečně nebo plně získány zpět během pěti pracovních dní. V případě ztrátové události s rychlým výtěžkem se do definice hrubé ztráty zahrne pouze ta část ztráty, která není plně získána zpět (tj. čistá ztráta částečného rychlého výtěžku). V důsledku toho se ztrátové události, které vedou ke ztrátám, jež jsou plně získány zpět během pěti pracovních dní, nezahrnují do definice hrubé ztráty ani do výkazů OPR DETAILS.</w:t>
      </w:r>
    </w:p>
    <w:p w14:paraId="7A937AEB" w14:textId="77777777" w:rsidR="007266CF" w:rsidRPr="002A677E" w:rsidRDefault="007266CF" w:rsidP="007266CF">
      <w:pPr>
        <w:pStyle w:val="InstructionsText2"/>
        <w:numPr>
          <w:ilvl w:val="0"/>
          <w:numId w:val="0"/>
        </w:numPr>
        <w:ind w:left="1353" w:hanging="360"/>
      </w:pPr>
      <w:fldSimple w:instr=" seq paragraphs ">
        <w:r>
          <w:t>148</w:t>
        </w:r>
      </w:fldSimple>
      <w:r>
        <w:t>.</w:t>
      </w:r>
      <w:r>
        <w:tab/>
        <w:t xml:space="preserve"> „Datem zaúčtování“ se rozumí datum, kdy byla ztráta nebo rezervní fond / rezerva poprvé uznána ve výkazu zisků a ztrát vůči ztrátě následkem operačních rizik. Toto datum logicky následuje po „datu události“ (tj. datu, kdy událost operačního rizika nastala nebo poprvé začala) a po „datu zjištění“ (tj. datu, kdy instituce událost operačního rizika zjistila). </w:t>
      </w:r>
    </w:p>
    <w:p w14:paraId="06DF77E5" w14:textId="77777777" w:rsidR="007266CF" w:rsidRPr="002A677E" w:rsidRDefault="007266CF" w:rsidP="007266CF">
      <w:pPr>
        <w:pStyle w:val="InstructionsText2"/>
        <w:numPr>
          <w:ilvl w:val="0"/>
          <w:numId w:val="0"/>
        </w:numPr>
        <w:ind w:left="1353" w:hanging="360"/>
      </w:pPr>
      <w:fldSimple w:instr=" seq paragraphs ">
        <w:r>
          <w:t>149</w:t>
        </w:r>
      </w:fldSimple>
      <w:r>
        <w:t>.</w:t>
      </w:r>
      <w:r>
        <w:tab/>
        <w:t xml:space="preserve"> Ztráty způsobené společnou událostí operačního rizika nebo více událostmi spojenými s počáteční událostí operačního rizika, jež generuje události nebo ztráty („</w:t>
      </w:r>
      <w:r>
        <w:rPr>
          <w:i/>
        </w:rPr>
        <w:t>root-event</w:t>
      </w:r>
      <w:r>
        <w:t>“), jsou seskupeny. Seskupené události jsou posuzovány a vykazovány jako jedna událost, a tudíž související hrubé objemy ztrát či částky úprav ztrát se sčítají.</w:t>
      </w:r>
    </w:p>
    <w:p w14:paraId="46073CAC" w14:textId="77777777" w:rsidR="007266CF" w:rsidRPr="002A677E" w:rsidRDefault="007266CF" w:rsidP="007266CF">
      <w:pPr>
        <w:pStyle w:val="InstructionsText2"/>
        <w:numPr>
          <w:ilvl w:val="0"/>
          <w:numId w:val="0"/>
        </w:numPr>
        <w:ind w:left="1353" w:hanging="360"/>
      </w:pPr>
      <w:fldSimple w:instr=" seq paragraphs ">
        <w:r>
          <w:t>150</w:t>
        </w:r>
      </w:fldSimple>
      <w:r>
        <w:t>.</w:t>
      </w:r>
      <w:r>
        <w:tab/>
        <w:t xml:space="preserve"> Údaje vykazované v červnu příslušného roku jsou prozatímní údaje, přičemž konečné údaje se vykazují v prosinci. Údaje vykazované v červnu mají tedy šestiměsíční referenční období (tj. od 1. ledna do 30. června kalendářního roku), zatímco údaje vykazované v prosinci mají dvanáctiměsíční referenční období (tj. od 1. ledna do 31. prosince kalendářního roku). U údajů vykazovaných v červnu i v prosinci se „předchozími referenčními obdobími“ rozumí všechna referenční období včetně referenčního období, které končí na konci předchozího kalendářního roku.</w:t>
      </w:r>
    </w:p>
    <w:p w14:paraId="1EAF59F8" w14:textId="77777777" w:rsidR="007266CF" w:rsidRPr="002A677E" w:rsidRDefault="007266CF" w:rsidP="007266CF">
      <w:pPr>
        <w:pStyle w:val="InstructionsText2"/>
        <w:numPr>
          <w:ilvl w:val="0"/>
          <w:numId w:val="0"/>
        </w:numPr>
        <w:ind w:left="1353" w:hanging="360"/>
      </w:pPr>
    </w:p>
    <w:p w14:paraId="481B3D82" w14:textId="77777777" w:rsidR="007266CF" w:rsidRPr="002A677E" w:rsidRDefault="007266CF" w:rsidP="00A75C39">
      <w:pPr>
        <w:pStyle w:val="Instructionsberschrift2"/>
        <w:numPr>
          <w:ilvl w:val="2"/>
          <w:numId w:val="100"/>
        </w:numPr>
        <w:rPr>
          <w:rFonts w:ascii="Times New Roman" w:hAnsi="Times New Roman" w:cs="Times New Roman"/>
          <w:sz w:val="24"/>
        </w:rPr>
      </w:pPr>
      <w:bookmarkStart w:id="268" w:name="_Toc116026827"/>
      <w:bookmarkStart w:id="269" w:name="_Toc119077984"/>
      <w:r>
        <w:rPr>
          <w:rFonts w:ascii="Times New Roman" w:hAnsi="Times New Roman"/>
          <w:sz w:val="24"/>
        </w:rPr>
        <w:lastRenderedPageBreak/>
        <w:t>C 17.01: Operační riziko: ztráty a výtěžky podle linií podnikání a druhů ztrátových událostí v minulém roce (OPR DETAILS 1)</w:t>
      </w:r>
      <w:bookmarkEnd w:id="268"/>
      <w:bookmarkEnd w:id="269"/>
    </w:p>
    <w:p w14:paraId="581389D4" w14:textId="77777777" w:rsidR="007266CF" w:rsidRPr="002A677E" w:rsidRDefault="007266CF" w:rsidP="00A75C39">
      <w:pPr>
        <w:pStyle w:val="Instructionsberschrift2"/>
        <w:numPr>
          <w:ilvl w:val="3"/>
          <w:numId w:val="101"/>
        </w:numPr>
        <w:rPr>
          <w:rFonts w:ascii="Times New Roman" w:hAnsi="Times New Roman" w:cs="Times New Roman"/>
          <w:sz w:val="24"/>
        </w:rPr>
      </w:pPr>
      <w:bookmarkStart w:id="270" w:name="_Toc116026828"/>
      <w:bookmarkStart w:id="271" w:name="_Toc119077985"/>
      <w:r>
        <w:rPr>
          <w:rFonts w:ascii="Times New Roman" w:hAnsi="Times New Roman"/>
          <w:sz w:val="24"/>
        </w:rPr>
        <w:t>Obecné poznámky</w:t>
      </w:r>
      <w:bookmarkEnd w:id="270"/>
      <w:bookmarkEnd w:id="271"/>
    </w:p>
    <w:p w14:paraId="009B6F8C" w14:textId="77777777" w:rsidR="007266CF" w:rsidRPr="002A677E" w:rsidRDefault="007266CF" w:rsidP="007266CF">
      <w:pPr>
        <w:pStyle w:val="InstructionsText2"/>
        <w:numPr>
          <w:ilvl w:val="0"/>
          <w:numId w:val="0"/>
        </w:numPr>
        <w:ind w:left="1353" w:hanging="360"/>
      </w:pPr>
      <w:fldSimple w:instr=" seq paragraphs ">
        <w:r>
          <w:t>151</w:t>
        </w:r>
      </w:fldSimple>
      <w:r>
        <w:t>. V šabloně C 17.01 jsou informace prezentovány tak, že jsou ztráty a výtěžky nad úrovní interních prahových hodnot rozděleny mezi linie podnikání (uvedené v článku 317 tabulce 2 nařízení (EU) č. 575/2013, včetně dalších „podnikových položek“ linií podnikání uvedených v čl. 322 odst. 3 písm. b) nařízení (EU) č. 575/2013) a druhy ztrátových událostí (uvedených v článku 324 nařízení (EU) č. 575/2013). Je možné, že ztráty odpovídající jedné ztrátové události jsou rozděleny mezi několik linií podnikání.</w:t>
      </w:r>
    </w:p>
    <w:p w14:paraId="6613060E" w14:textId="77777777" w:rsidR="007266CF" w:rsidRPr="002A677E" w:rsidRDefault="007266CF" w:rsidP="007266CF">
      <w:pPr>
        <w:pStyle w:val="InstructionsText2"/>
        <w:numPr>
          <w:ilvl w:val="0"/>
          <w:numId w:val="0"/>
        </w:numPr>
        <w:ind w:left="1353" w:hanging="360"/>
      </w:pPr>
      <w:fldSimple w:instr=" seq paragraphs ">
        <w:r>
          <w:t>152</w:t>
        </w:r>
      </w:fldSimple>
      <w:r>
        <w:t>. Ve sloupcích se uvádějí jednotlivé druhy ztrátových událostí a celkové údaje za každou linii podnikání společně s doplňkovou položkou, která udává nejnižší interní prahovou úroveň použitou v nashromážděných údajích o ztrátách, a existuje-li více než jedna prahová úroveň v rámci každé linie podnikání, je uvedena nejnižší a nejvyšší prahová úroveň.</w:t>
      </w:r>
    </w:p>
    <w:p w14:paraId="02DC29C6" w14:textId="77777777" w:rsidR="007266CF" w:rsidRPr="002A677E" w:rsidRDefault="007266CF" w:rsidP="007266CF">
      <w:pPr>
        <w:pStyle w:val="InstructionsText2"/>
        <w:numPr>
          <w:ilvl w:val="0"/>
          <w:numId w:val="0"/>
        </w:numPr>
        <w:ind w:left="1353" w:hanging="360"/>
      </w:pPr>
      <w:fldSimple w:instr=" seq paragraphs ">
        <w:r>
          <w:t>153</w:t>
        </w:r>
      </w:fldSimple>
      <w:r>
        <w:t>.</w:t>
      </w:r>
      <w:r>
        <w:tab/>
        <w:t xml:space="preserve"> V řádcích se prezentují linie podnikání a v rámci každé linie podnikání se uvádějí údaje o počtu ztrátových událostí (nové ztrátové události), hrubém objemu ztrát (nové ztrátové události), počtu ztrátových událostí spadajících pod úpravy ztrát, úpravách ztrát týkajících se předchozích vykazovaných období, maximální výši jedné ztráty, součtu pěti nejvyšších ztrát a celkových výtěžcích ze ztrát (přímé výtěžky ze ztrát a výtěžky z pojištění a jiných mechanismů převodu rizik).</w:t>
      </w:r>
    </w:p>
    <w:p w14:paraId="533B31F9" w14:textId="77777777" w:rsidR="007266CF" w:rsidRPr="002A677E" w:rsidRDefault="007266CF" w:rsidP="007266CF">
      <w:pPr>
        <w:pStyle w:val="InstructionsText2"/>
        <w:numPr>
          <w:ilvl w:val="0"/>
          <w:numId w:val="0"/>
        </w:numPr>
        <w:ind w:left="1353" w:hanging="360"/>
      </w:pPr>
      <w:fldSimple w:instr=" seq paragraphs ">
        <w:r>
          <w:t>154</w:t>
        </w:r>
      </w:fldSimple>
      <w:r>
        <w:t>. Pro linie podnikání celkem se vykazují také údaje o počtu ztrátových událostí a hrubém objemu ztrát pro některé rozsahy vycházející ze stanovených prahových hodnot, tj. 10 000, 20 000, 100 000 a 1 000 000. Prahové hodnoty jsou stanoveny v EUR a zahrnují se pro účely srovnatelnosti vykazovaných ztrát mezi institucemi; tyto prahové hodnoty tudíž nutně neodpovídají minimálním prahovým úrovním ztrát používaným k internímu sběru dat o ztrátách, které se mají vykazovat v jiné části šablony.</w:t>
      </w:r>
    </w:p>
    <w:p w14:paraId="20F8FB46" w14:textId="77777777" w:rsidR="007266CF" w:rsidRPr="002A677E" w:rsidRDefault="007266CF" w:rsidP="00A75C39">
      <w:pPr>
        <w:pStyle w:val="Instructionsberschrift2"/>
        <w:numPr>
          <w:ilvl w:val="3"/>
          <w:numId w:val="102"/>
        </w:numPr>
        <w:ind w:left="567" w:hanging="567"/>
        <w:rPr>
          <w:rFonts w:ascii="Times New Roman" w:hAnsi="Times New Roman" w:cs="Times New Roman"/>
          <w:sz w:val="24"/>
        </w:rPr>
      </w:pPr>
      <w:bookmarkStart w:id="272" w:name="_Toc116026829"/>
      <w:bookmarkStart w:id="273" w:name="_Toc119077986"/>
      <w:r>
        <w:rPr>
          <w:rFonts w:ascii="Times New Roman" w:hAnsi="Times New Roman"/>
          <w:sz w:val="24"/>
        </w:rPr>
        <w:t>Pokyny pro konkrétní pozice</w:t>
      </w:r>
      <w:bookmarkEnd w:id="272"/>
      <w:bookmarkEnd w:id="2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7266CF" w:rsidRPr="002A677E" w14:paraId="5D9C380C" w14:textId="77777777" w:rsidTr="007266CF">
        <w:trPr>
          <w:trHeight w:val="576"/>
        </w:trPr>
        <w:tc>
          <w:tcPr>
            <w:tcW w:w="9180" w:type="dxa"/>
            <w:gridSpan w:val="2"/>
            <w:shd w:val="clear" w:color="auto" w:fill="CCCCCC"/>
          </w:tcPr>
          <w:p w14:paraId="0ACC606F" w14:textId="77777777" w:rsidR="007266CF" w:rsidRPr="002A677E" w:rsidRDefault="007266CF" w:rsidP="007266CF">
            <w:pPr>
              <w:autoSpaceDE w:val="0"/>
              <w:autoSpaceDN w:val="0"/>
              <w:adjustRightInd w:val="0"/>
              <w:spacing w:after="0"/>
              <w:rPr>
                <w:rFonts w:ascii="Times New Roman" w:hAnsi="Times New Roman"/>
                <w:b/>
                <w:bCs/>
                <w:sz w:val="24"/>
              </w:rPr>
            </w:pPr>
            <w:r>
              <w:rPr>
                <w:rFonts w:ascii="Times New Roman" w:hAnsi="Times New Roman"/>
                <w:b/>
                <w:sz w:val="24"/>
              </w:rPr>
              <w:t>Sloupce</w:t>
            </w:r>
          </w:p>
        </w:tc>
      </w:tr>
      <w:tr w:rsidR="007266CF" w:rsidRPr="002A677E" w14:paraId="58CE26FB" w14:textId="77777777" w:rsidTr="007266CF">
        <w:tc>
          <w:tcPr>
            <w:tcW w:w="985" w:type="dxa"/>
          </w:tcPr>
          <w:p w14:paraId="4D1F0744"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3A668C8D"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DRUHY UDÁLOSTÍ</w:t>
            </w:r>
          </w:p>
          <w:p w14:paraId="0B2AD6B1" w14:textId="77777777" w:rsidR="007266CF" w:rsidRPr="002A677E" w:rsidRDefault="007266CF" w:rsidP="007266CF">
            <w:pPr>
              <w:rPr>
                <w:rFonts w:ascii="Times New Roman" w:hAnsi="Times New Roman"/>
                <w:sz w:val="24"/>
              </w:rPr>
            </w:pPr>
            <w:r>
              <w:rPr>
                <w:rFonts w:ascii="Times New Roman" w:hAnsi="Times New Roman"/>
                <w:sz w:val="24"/>
              </w:rPr>
              <w:t xml:space="preserve">V příslušných sloupcích 0010 až 0070 instituce vykazují ztráty podle druhů ztrátových událostí, jak jsou uvedeny v článku 324 nařízení (EU) č. 575/2013. </w:t>
            </w:r>
          </w:p>
          <w:p w14:paraId="057AF323" w14:textId="77777777" w:rsidR="007266CF" w:rsidRPr="002A677E" w:rsidRDefault="007266CF" w:rsidP="007266CF">
            <w:pPr>
              <w:rPr>
                <w:rFonts w:ascii="Times New Roman" w:hAnsi="Times New Roman"/>
                <w:bCs/>
                <w:sz w:val="24"/>
              </w:rPr>
            </w:pPr>
            <w:r>
              <w:rPr>
                <w:rFonts w:ascii="Times New Roman" w:hAnsi="Times New Roman"/>
                <w:sz w:val="24"/>
              </w:rPr>
              <w:t>Instituce, které vypočítávají svůj kapitálový požadavek podle přístupu základního ukazatele, mohou vykazovat ztráty, u nichž nebyl určen druh události, pouze ve sloupci 080.</w:t>
            </w:r>
          </w:p>
        </w:tc>
      </w:tr>
      <w:tr w:rsidR="007266CF" w:rsidRPr="002A677E" w14:paraId="61EE5BC7" w14:textId="77777777" w:rsidTr="007266CF">
        <w:tc>
          <w:tcPr>
            <w:tcW w:w="985" w:type="dxa"/>
          </w:tcPr>
          <w:p w14:paraId="77BA5DE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43B11DEA"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DRUHY ZTRÁTOVÝCH UDÁLOSTÍ CELKEM</w:t>
            </w:r>
          </w:p>
          <w:p w14:paraId="7CD5806E"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Ve sloupci 0080 u každé linie podnikání instituce vykazují celkový „počet ztrátových událostí (nové ztrátové události)“, celkový „hrubý objem ztrát (nové ztrátové události)“, celkový „počet ztrátových událostí spadajících pod úpravy </w:t>
            </w:r>
            <w:r>
              <w:rPr>
                <w:rStyle w:val="InstructionsTabelleText"/>
                <w:rFonts w:ascii="Times New Roman" w:hAnsi="Times New Roman"/>
                <w:sz w:val="24"/>
              </w:rPr>
              <w:lastRenderedPageBreak/>
              <w:t>ztrát“, „úpravy ztrát týkající se předchozích vykazovaných období“ celkem, „maximální výši jedné ztráty“, „součet pěti nejvyšších ztrát“, „celkové přímé výtěžky ze ztrát“ celkem a „celkové výtěžky z pojištění a jiných mechanismů převodu rizik“ celkem.</w:t>
            </w:r>
          </w:p>
          <w:p w14:paraId="25AD07C7"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Jestliže instituce u všech ztrát identifikovala druhy ztrátových událostí, sloupec 080 znázorňuje prostý součet počtu ztrátových událostí, celkový hrubý objem ztrát, celkové výše výtěžků ze ztrát a „úpravy ztrát související s předchozími vykazovanými obdobími“ vykazované ve sloupcích 0010 až 0070. </w:t>
            </w:r>
          </w:p>
          <w:p w14:paraId="7A103508"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„Maximální výší jedné ztráty“ vykazovanou ve sloupci 0080 se rozumí maximální výše jedné ztráty v rámci určité linie podnikání a je totožná s nejvyšší hodnotou z „maximálních výší jedné ztráty“ vykazovaných ve sloupcích 0010 až 0070 za předpokladu, že instituce u všech ztrát identifikovala druhy ztrátových událostí. </w:t>
            </w:r>
          </w:p>
          <w:p w14:paraId="5ACF68A5" w14:textId="77777777" w:rsidR="007266CF" w:rsidRPr="002A677E" w:rsidRDefault="007266CF" w:rsidP="007266CF">
            <w:pPr>
              <w:rPr>
                <w:rFonts w:ascii="Times New Roman" w:hAnsi="Times New Roman"/>
                <w:bCs/>
                <w:sz w:val="24"/>
              </w:rPr>
            </w:pPr>
            <w:r>
              <w:rPr>
                <w:rStyle w:val="InstructionsTabelleText"/>
                <w:rFonts w:ascii="Times New Roman" w:hAnsi="Times New Roman"/>
                <w:sz w:val="24"/>
              </w:rPr>
              <w:t>Co se týče součtu pěti nejvyšších ztrát, ve sloupci 0080 se uvede součet pěti nejvyšších ztrát v rámci jedné oblasti podnikání.</w:t>
            </w:r>
          </w:p>
        </w:tc>
      </w:tr>
      <w:tr w:rsidR="007266CF" w:rsidRPr="002A677E" w14:paraId="75975EA5" w14:textId="77777777" w:rsidTr="007266CF">
        <w:tc>
          <w:tcPr>
            <w:tcW w:w="985" w:type="dxa"/>
          </w:tcPr>
          <w:p w14:paraId="1043D955"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5F544E8" w14:textId="77777777" w:rsidR="007266CF" w:rsidRPr="002A677E" w:rsidRDefault="007266CF" w:rsidP="007266CF">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DOPLŇKOVÁ POLOŽKA: PRAHOVÁ ÚROVEŇ POUŽITÁ PŘI SBĚRU ÚDAJŮ</w:t>
            </w:r>
          </w:p>
          <w:p w14:paraId="7D614681" w14:textId="77777777" w:rsidR="007266CF" w:rsidRPr="002A677E" w:rsidRDefault="007266CF" w:rsidP="007266CF">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Ve sloupcích 0090 a 0100 instituce vykazují minimální prahové úrovně ztrát, které používají při sběru interních údajů o ztrátách v souladu s čl. 322 odst. 3 písm. c) poslední větou </w:t>
            </w:r>
            <w:r>
              <w:rPr>
                <w:rFonts w:ascii="Times New Roman" w:hAnsi="Times New Roman"/>
                <w:sz w:val="24"/>
              </w:rPr>
              <w:t>nařízení (EU) č. 575/2013</w:t>
            </w:r>
            <w:r>
              <w:rPr>
                <w:rStyle w:val="InstructionsTabelleText"/>
                <w:rFonts w:ascii="Times New Roman" w:hAnsi="Times New Roman"/>
                <w:sz w:val="24"/>
              </w:rPr>
              <w:t xml:space="preserve">. </w:t>
            </w:r>
          </w:p>
          <w:p w14:paraId="17DAB4FB" w14:textId="77777777" w:rsidR="007266CF" w:rsidRPr="002A677E" w:rsidRDefault="007266CF" w:rsidP="007266CF">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Pokud instituce používá pouze jednu prahovou úroveň pro každou linii podnikání, vyplňuje se pouze sloupec 0090. </w:t>
            </w:r>
          </w:p>
          <w:p w14:paraId="3C5DCD3D"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Pokud jsou v rámci téže regulační linii podnikání používány různé prahové úrovně, uvede se rovněž nejvyšší použitelná prahová hodnota (sloupec 0100).</w:t>
            </w:r>
          </w:p>
        </w:tc>
      </w:tr>
    </w:tbl>
    <w:p w14:paraId="4B16D6B4" w14:textId="77777777" w:rsidR="007266CF" w:rsidRPr="00047034" w:rsidRDefault="007266CF" w:rsidP="007266CF">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7266CF" w:rsidRPr="002A677E" w14:paraId="5C3B9C92" w14:textId="77777777" w:rsidTr="007266CF">
        <w:trPr>
          <w:trHeight w:val="504"/>
        </w:trPr>
        <w:tc>
          <w:tcPr>
            <w:tcW w:w="9180" w:type="dxa"/>
            <w:gridSpan w:val="2"/>
            <w:shd w:val="clear" w:color="auto" w:fill="CCCCCC"/>
          </w:tcPr>
          <w:p w14:paraId="46378D7C" w14:textId="77777777" w:rsidR="007266CF" w:rsidRPr="002A677E" w:rsidRDefault="007266CF" w:rsidP="007266CF">
            <w:pPr>
              <w:autoSpaceDE w:val="0"/>
              <w:autoSpaceDN w:val="0"/>
              <w:adjustRightInd w:val="0"/>
              <w:spacing w:after="0"/>
              <w:rPr>
                <w:rFonts w:ascii="Times New Roman" w:hAnsi="Times New Roman"/>
                <w:b/>
                <w:bCs/>
                <w:sz w:val="24"/>
              </w:rPr>
            </w:pPr>
            <w:r>
              <w:rPr>
                <w:rFonts w:ascii="Times New Roman" w:hAnsi="Times New Roman"/>
                <w:b/>
                <w:sz w:val="24"/>
              </w:rPr>
              <w:t>Řádky</w:t>
            </w:r>
          </w:p>
        </w:tc>
      </w:tr>
      <w:tr w:rsidR="007266CF" w:rsidRPr="006223CC" w14:paraId="1E9F9064" w14:textId="77777777" w:rsidTr="007266CF">
        <w:tc>
          <w:tcPr>
            <w:tcW w:w="1101" w:type="dxa"/>
          </w:tcPr>
          <w:p w14:paraId="75F274A9" w14:textId="77777777" w:rsidR="007266CF" w:rsidRPr="002A677E" w:rsidRDefault="007266CF" w:rsidP="007266CF">
            <w:pPr>
              <w:rPr>
                <w:rFonts w:ascii="Times New Roman" w:hAnsi="Times New Roman"/>
                <w:bCs/>
                <w:sz w:val="24"/>
              </w:rPr>
            </w:pPr>
            <w:r>
              <w:rPr>
                <w:rFonts w:ascii="Times New Roman" w:hAnsi="Times New Roman"/>
                <w:sz w:val="24"/>
              </w:rPr>
              <w:t>0010–0880</w:t>
            </w:r>
          </w:p>
        </w:tc>
        <w:tc>
          <w:tcPr>
            <w:tcW w:w="8079" w:type="dxa"/>
          </w:tcPr>
          <w:p w14:paraId="71727F9D"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LINIE PODNIKÁNÍ: PODNIKOVÉ FINANCE, OBCHODOVÁNÍ NA FINANČNÍCH TRZÍCH, RETAILOVÉ MAKLÉŘSTVÍ, KOMERČNÍ BANKOVNICTVÍ, RETAILOVÉ BANKOVNICTVÍ, PROVÁDĚNÍ PLATEB A VYPOŘÁDÁNÍ, SLUŽBY Z POVĚŘENÍ, SPRÁVA AKTIV, PODNIKOVÉ POLOŽKY</w:t>
            </w:r>
          </w:p>
          <w:p w14:paraId="50968C91" w14:textId="77777777" w:rsidR="007266CF" w:rsidRPr="002A677E" w:rsidRDefault="007266CF" w:rsidP="007266CF">
            <w:pPr>
              <w:pStyle w:val="PlainText"/>
              <w:jc w:val="both"/>
              <w:rPr>
                <w:rFonts w:ascii="Times New Roman" w:hAnsi="Times New Roman"/>
                <w:sz w:val="24"/>
                <w:szCs w:val="24"/>
              </w:rPr>
            </w:pPr>
            <w:r>
              <w:rPr>
                <w:rFonts w:ascii="Times New Roman" w:hAnsi="Times New Roman"/>
                <w:sz w:val="24"/>
              </w:rPr>
              <w:t>Pro každou linii podnikání uvedenou v čl. 317 odst. 4 tabulce 2 nařízení (EU) č. 575/2013, včetně dodatečné linie podnikání „podnikové položky“, jak je uvedeno v čl. 322 odst. 3 písm. b) uvedeného nařízení, a pro každý druh ztrátových událostí instituce v souladu s interními prahovými úrovněmi vykazuje následující informace: počet ztrátových událostí (nové ztrátové události), hrubý objem ztrát (nové ztrátové události), počet ztrátových událostí spadajících pod úpravy ztrát, úpravy ztrát týkající se předchozích vykazovaných období, maximální výši jedné ztráty, součet pěti nejvyšších ztrát, celkové přímé výtěžky ze ztrát a celkové výtěžky z pojištění a jiných mechanismů převodu rizik.</w:t>
            </w:r>
          </w:p>
          <w:p w14:paraId="3A9B6B1F" w14:textId="77777777" w:rsidR="007266CF" w:rsidRPr="006223CC" w:rsidRDefault="007266CF" w:rsidP="007266CF">
            <w:pPr>
              <w:rPr>
                <w:rFonts w:ascii="Times New Roman" w:hAnsi="Times New Roman"/>
                <w:sz w:val="24"/>
                <w:lang w:val="es-ES_tradnl"/>
              </w:rPr>
            </w:pPr>
            <w:r w:rsidRPr="006223CC">
              <w:rPr>
                <w:rFonts w:ascii="Times New Roman" w:hAnsi="Times New Roman"/>
                <w:sz w:val="24"/>
                <w:lang w:val="es-ES_tradnl"/>
              </w:rPr>
              <w:t>U ztráty, která má dopad na více než jednu linii podnikání, se „hrubý objem ztrát“ rozdělí mezi všechny dotčené linie podnikání.</w:t>
            </w:r>
          </w:p>
          <w:p w14:paraId="776952EF" w14:textId="77777777" w:rsidR="007266CF" w:rsidRPr="006223CC" w:rsidRDefault="007266CF" w:rsidP="007266CF">
            <w:pPr>
              <w:rPr>
                <w:rFonts w:ascii="Times New Roman" w:hAnsi="Times New Roman"/>
                <w:bCs/>
                <w:sz w:val="24"/>
                <w:lang w:val="es-ES_tradnl"/>
              </w:rPr>
            </w:pPr>
            <w:r w:rsidRPr="006223CC">
              <w:rPr>
                <w:rFonts w:ascii="Times New Roman" w:hAnsi="Times New Roman"/>
                <w:sz w:val="24"/>
                <w:lang w:val="es-ES_tradnl"/>
              </w:rPr>
              <w:t>Instituce, které vypočítávají svůj kapitálový požadavek podle přístupu základního ukazatele, mohou vykazovat ztráty, u nichž není určena linie podnikání, pouze v řádcích 0910–0980.</w:t>
            </w:r>
          </w:p>
        </w:tc>
      </w:tr>
      <w:tr w:rsidR="007266CF" w:rsidRPr="002A677E" w14:paraId="61306188" w14:textId="77777777" w:rsidTr="007266CF">
        <w:tc>
          <w:tcPr>
            <w:tcW w:w="1101" w:type="dxa"/>
          </w:tcPr>
          <w:p w14:paraId="6A72FFA7" w14:textId="77777777" w:rsidR="007266CF" w:rsidRPr="002A677E" w:rsidRDefault="007266CF" w:rsidP="007266CF">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58C693C4"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Počet ztrátových událostí (nové ztrátové události)</w:t>
            </w:r>
          </w:p>
          <w:p w14:paraId="551FA7D5" w14:textId="77777777" w:rsidR="007266CF" w:rsidRPr="002A677E" w:rsidRDefault="007266CF" w:rsidP="007266CF">
            <w:pPr>
              <w:rPr>
                <w:rFonts w:ascii="Times New Roman" w:hAnsi="Times New Roman"/>
                <w:sz w:val="24"/>
              </w:rPr>
            </w:pPr>
            <w:r>
              <w:rPr>
                <w:rFonts w:ascii="Times New Roman" w:hAnsi="Times New Roman"/>
                <w:sz w:val="24"/>
              </w:rPr>
              <w:t>Počtem ztrátové událostí je počet ztrátových událostí, za něž byly ve vykazovaném referenčním období zaúčtovány hrubé ztráty.</w:t>
            </w:r>
          </w:p>
          <w:p w14:paraId="3A768A38" w14:textId="77777777" w:rsidR="007266CF" w:rsidRPr="002A677E" w:rsidRDefault="007266CF" w:rsidP="007266CF">
            <w:pPr>
              <w:rPr>
                <w:rFonts w:ascii="Times New Roman" w:hAnsi="Times New Roman"/>
                <w:sz w:val="24"/>
              </w:rPr>
            </w:pPr>
            <w:r>
              <w:rPr>
                <w:rFonts w:ascii="Times New Roman" w:hAnsi="Times New Roman"/>
                <w:sz w:val="24"/>
              </w:rPr>
              <w:t>Počet ztrátových událostí odkazuje na „nové události“, tj. události operačního rizika:</w:t>
            </w:r>
          </w:p>
          <w:p w14:paraId="70A15923" w14:textId="77777777" w:rsidR="007266CF" w:rsidRPr="002A677E" w:rsidRDefault="007266CF" w:rsidP="007266CF">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„poprvé zaúčtované“ ve vykazovaném referenčním období nebo</w:t>
            </w:r>
          </w:p>
          <w:p w14:paraId="78E588E6" w14:textId="77777777" w:rsidR="007266CF" w:rsidRPr="002A677E" w:rsidRDefault="007266CF" w:rsidP="007266CF">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14:paraId="18C1E30E" w14:textId="77777777" w:rsidR="007266CF" w:rsidRPr="002A677E" w:rsidRDefault="007266CF" w:rsidP="007266CF">
            <w:pPr>
              <w:rPr>
                <w:rStyle w:val="InstructionsTabelleberschrift"/>
                <w:rFonts w:ascii="Times New Roman" w:hAnsi="Times New Roman"/>
                <w:sz w:val="24"/>
              </w:rPr>
            </w:pPr>
            <w:r>
              <w:rPr>
                <w:rFonts w:ascii="Times New Roman" w:hAnsi="Times New Roman"/>
                <w:sz w:val="24"/>
              </w:rPr>
              <w:t>„Nové ztrátové události“ nezahrnují ztrátové událostí „poprvé zaúčtované“ v předchozím vykazovaném referenčním období, které již byly obsaženy v předchozích zprávách orgánům dohledu.</w:t>
            </w:r>
          </w:p>
        </w:tc>
      </w:tr>
      <w:tr w:rsidR="007266CF" w:rsidRPr="002A677E" w14:paraId="0AAADF3F" w14:textId="77777777" w:rsidTr="007266CF">
        <w:tc>
          <w:tcPr>
            <w:tcW w:w="1101" w:type="dxa"/>
          </w:tcPr>
          <w:p w14:paraId="181A8942" w14:textId="77777777" w:rsidR="007266CF" w:rsidRPr="002A677E" w:rsidRDefault="007266CF" w:rsidP="007266CF">
            <w:pPr>
              <w:rPr>
                <w:rFonts w:ascii="Times New Roman" w:hAnsi="Times New Roman"/>
                <w:bCs/>
                <w:sz w:val="24"/>
              </w:rPr>
            </w:pPr>
            <w:r>
              <w:rPr>
                <w:rFonts w:ascii="Times New Roman" w:hAnsi="Times New Roman"/>
                <w:sz w:val="24"/>
              </w:rPr>
              <w:t>0020, 0120, 0220, 0320, 0420, 0520, 0620, 0720, 0820</w:t>
            </w:r>
          </w:p>
        </w:tc>
        <w:tc>
          <w:tcPr>
            <w:tcW w:w="8079" w:type="dxa"/>
          </w:tcPr>
          <w:p w14:paraId="4D105D3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Hrubý objem ztrát (nové ztrátové události)</w:t>
            </w:r>
          </w:p>
          <w:p w14:paraId="07D45E86" w14:textId="77777777" w:rsidR="007266CF" w:rsidRPr="002A677E" w:rsidRDefault="007266CF" w:rsidP="007266CF">
            <w:pPr>
              <w:rPr>
                <w:rFonts w:ascii="Times New Roman" w:hAnsi="Times New Roman"/>
                <w:sz w:val="24"/>
              </w:rPr>
            </w:pPr>
            <w:r>
              <w:rPr>
                <w:rFonts w:ascii="Times New Roman" w:hAnsi="Times New Roman"/>
                <w:sz w:val="24"/>
              </w:rPr>
              <w:t>Hrubým objemem ztrát jsou hrubé objemy ztrát souvisejících se ztrátovými událostmi operačního rizika (např. přímo účtované částky, rezervy, vypořádání). Veškeré ztráty související s určitou ztrátovou událostí, které jsou zaúčtovány ve vykazovaném referenčním období, jsou sečteny a považují se za hrubé ztráty u uvedené ztrátové události za uvedené vykazované referenční období.</w:t>
            </w:r>
          </w:p>
          <w:p w14:paraId="793AEADB" w14:textId="77777777" w:rsidR="007266CF" w:rsidRPr="002A677E" w:rsidRDefault="007266CF" w:rsidP="007266CF">
            <w:pPr>
              <w:rPr>
                <w:rFonts w:ascii="Times New Roman" w:hAnsi="Times New Roman"/>
                <w:sz w:val="24"/>
              </w:rPr>
            </w:pPr>
            <w:r>
              <w:rPr>
                <w:rFonts w:ascii="Times New Roman" w:hAnsi="Times New Roman"/>
                <w:sz w:val="24"/>
              </w:rPr>
              <w:t>Vykázaný hrubý objem odkazuje na „nové ztrátové události“, jak je uvedeno v řádku nad touto tabulkou. U ztrátových událostí „poprvé zaúčtovaných“ v předchozím vykazovaném referenčním období, které nebyly zahrnuty do předchozí zprávy orgánům dohledu, se jako hrubá ztráta k referenčnímu datu vykazování vykazuje celková ztráta kumulovaná až do referenčního data vykazování (tj. původní ztráta plus/minus veškeré úpravy ztráty provedené v předchozích referenčních obdobích vykazování).</w:t>
            </w:r>
          </w:p>
          <w:p w14:paraId="6450CBE4" w14:textId="77777777" w:rsidR="007266CF" w:rsidRPr="002A677E" w:rsidRDefault="007266CF" w:rsidP="007266CF">
            <w:pPr>
              <w:rPr>
                <w:rStyle w:val="InstructionsTabelleberschrift"/>
                <w:rFonts w:ascii="Times New Roman" w:hAnsi="Times New Roman"/>
                <w:sz w:val="24"/>
              </w:rPr>
            </w:pPr>
            <w:r>
              <w:rPr>
                <w:rFonts w:ascii="Times New Roman" w:hAnsi="Times New Roman"/>
                <w:sz w:val="24"/>
              </w:rPr>
              <w:t>Částky, které mají být vykázány, nezohledňují obdržené výtěžky.</w:t>
            </w:r>
          </w:p>
        </w:tc>
      </w:tr>
      <w:tr w:rsidR="007266CF" w:rsidRPr="002A677E" w14:paraId="215EDBF6" w14:textId="77777777" w:rsidTr="007266CF">
        <w:tc>
          <w:tcPr>
            <w:tcW w:w="1101" w:type="dxa"/>
          </w:tcPr>
          <w:p w14:paraId="58431933" w14:textId="77777777" w:rsidR="007266CF" w:rsidRPr="002A677E" w:rsidRDefault="007266CF" w:rsidP="007266CF">
            <w:pPr>
              <w:rPr>
                <w:rFonts w:ascii="Times New Roman" w:hAnsi="Times New Roman"/>
                <w:bCs/>
                <w:sz w:val="24"/>
              </w:rPr>
            </w:pPr>
            <w:r>
              <w:rPr>
                <w:rFonts w:ascii="Times New Roman" w:hAnsi="Times New Roman"/>
                <w:sz w:val="24"/>
              </w:rPr>
              <w:t>0030, 0130, 0230, 0330, 0430, 0530, 0630, 0730, 0830</w:t>
            </w:r>
          </w:p>
        </w:tc>
        <w:tc>
          <w:tcPr>
            <w:tcW w:w="8079" w:type="dxa"/>
          </w:tcPr>
          <w:p w14:paraId="212AA4E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Počet událostí podléhajících úpravám ztrát</w:t>
            </w:r>
          </w:p>
          <w:p w14:paraId="7C04F08E" w14:textId="77777777" w:rsidR="007266CF" w:rsidRPr="002A677E" w:rsidRDefault="007266CF" w:rsidP="007266CF">
            <w:pPr>
              <w:rPr>
                <w:rFonts w:ascii="Times New Roman" w:hAnsi="Times New Roman"/>
                <w:sz w:val="24"/>
              </w:rPr>
            </w:pPr>
            <w:r>
              <w:rPr>
                <w:rFonts w:ascii="Times New Roman" w:hAnsi="Times New Roman"/>
                <w:sz w:val="24"/>
              </w:rPr>
              <w:t xml:space="preserve">Počtem ztrátových událostí podléhajících úpravám ztrát je počet ztrátových událostí operačního rizika „poprvé zaúčtovaných“ v předchozích vykazovaných referenčních obdobích a již zahrnutých do předchozích zpráv, u kterých byly provedeny úpravy ztrát v běžném vykazovaném referenčním období. </w:t>
            </w:r>
          </w:p>
          <w:p w14:paraId="648D7217" w14:textId="77777777" w:rsidR="007266CF" w:rsidRPr="002A677E" w:rsidRDefault="007266CF" w:rsidP="007266CF">
            <w:pPr>
              <w:rPr>
                <w:b/>
                <w:sz w:val="24"/>
              </w:rPr>
            </w:pPr>
            <w:r>
              <w:rPr>
                <w:rFonts w:ascii="Times New Roman" w:hAnsi="Times New Roman"/>
                <w:sz w:val="24"/>
              </w:rPr>
              <w:t>Byla-li u určité ztrátové události provedena více než jedna úprava ztráty v rámci vykazovaného referenčního období, počítá se součet těchto úprav ztrát jako jedna úprava v daném období.</w:t>
            </w:r>
          </w:p>
        </w:tc>
      </w:tr>
      <w:tr w:rsidR="007266CF" w:rsidRPr="002A677E" w14:paraId="708C6210" w14:textId="77777777" w:rsidTr="007266CF">
        <w:tc>
          <w:tcPr>
            <w:tcW w:w="1101" w:type="dxa"/>
          </w:tcPr>
          <w:p w14:paraId="4F292CA8" w14:textId="77777777" w:rsidR="007266CF" w:rsidRPr="002A677E" w:rsidRDefault="007266CF" w:rsidP="007266CF">
            <w:pPr>
              <w:rPr>
                <w:rFonts w:ascii="Times New Roman" w:hAnsi="Times New Roman"/>
                <w:bCs/>
                <w:sz w:val="24"/>
              </w:rPr>
            </w:pPr>
            <w:r>
              <w:rPr>
                <w:rFonts w:ascii="Times New Roman" w:hAnsi="Times New Roman"/>
                <w:sz w:val="24"/>
              </w:rPr>
              <w:t xml:space="preserve">0040, 0140, 0240, </w:t>
            </w:r>
            <w:r>
              <w:rPr>
                <w:rFonts w:ascii="Times New Roman" w:hAnsi="Times New Roman"/>
                <w:sz w:val="24"/>
              </w:rPr>
              <w:lastRenderedPageBreak/>
              <w:t>0340, 0440, 0540, 0640, 0740, 0840</w:t>
            </w:r>
          </w:p>
        </w:tc>
        <w:tc>
          <w:tcPr>
            <w:tcW w:w="8079" w:type="dxa"/>
          </w:tcPr>
          <w:p w14:paraId="79A2FD06"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lastRenderedPageBreak/>
              <w:t>Úpravy ztrát týkající se předchozích vykazovaných období</w:t>
            </w:r>
          </w:p>
          <w:p w14:paraId="7CD1C0C5" w14:textId="77777777" w:rsidR="007266CF" w:rsidRPr="002A677E" w:rsidRDefault="007266CF" w:rsidP="007266CF">
            <w:pPr>
              <w:rPr>
                <w:rFonts w:ascii="Times New Roman" w:hAnsi="Times New Roman"/>
                <w:sz w:val="24"/>
              </w:rPr>
            </w:pPr>
            <w:r>
              <w:rPr>
                <w:rFonts w:ascii="Times New Roman" w:hAnsi="Times New Roman"/>
                <w:sz w:val="24"/>
              </w:rPr>
              <w:t>Úpravami ztrát týkajícími se předchozích vykazovaných referenčních období je součet těchto prvků (kladných nebo záporných):</w:t>
            </w:r>
          </w:p>
          <w:p w14:paraId="15DD2D7F" w14:textId="77777777" w:rsidR="007266CF" w:rsidRPr="002A677E" w:rsidRDefault="007266CF" w:rsidP="007266CF">
            <w:pPr>
              <w:tabs>
                <w:tab w:val="left" w:pos="459"/>
              </w:tabs>
              <w:ind w:left="459" w:hanging="459"/>
              <w:rPr>
                <w:rFonts w:ascii="Times New Roman" w:hAnsi="Times New Roman"/>
                <w:sz w:val="24"/>
              </w:rPr>
            </w:pPr>
            <w:r>
              <w:rPr>
                <w:rFonts w:ascii="Times New Roman" w:hAnsi="Times New Roman"/>
                <w:sz w:val="24"/>
              </w:rPr>
              <w:lastRenderedPageBreak/>
              <w:t>i)</w:t>
            </w:r>
            <w:r>
              <w:tab/>
            </w:r>
            <w:r>
              <w:rPr>
                <w:rFonts w:ascii="Times New Roman" w:hAnsi="Times New Roman"/>
                <w:sz w:val="24"/>
              </w:rPr>
              <w:t>hrubých objemů ztrát souvisejících s kladnou úpravou ztrát provedenou ve vykazovaném referenčním období (např. zvýšení rezerv, související ztrátové události, dodatečná vypořádání) u událostí operačního rizika „poprvé zaúčtovaných“ a vykázaných v předchozích vykazovaných referenčních obdobích;</w:t>
            </w:r>
          </w:p>
          <w:p w14:paraId="61271237" w14:textId="77777777" w:rsidR="007266CF" w:rsidRPr="002A677E" w:rsidRDefault="007266CF" w:rsidP="007266CF">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hrubých objemů ztrát souvisejících se zápornou úpravou ztrát provedenou ve vykazovaném referenčním období (např. z důvodu snížení rezerv) u ztrátových událostí operačního rizika „poprvé zaúčtovaných“ a vykázaných v předchozích vykazovaných referenčních obdobích. </w:t>
            </w:r>
          </w:p>
          <w:p w14:paraId="32F2A0D9" w14:textId="77777777" w:rsidR="007266CF" w:rsidRPr="002A677E" w:rsidRDefault="007266CF" w:rsidP="007266CF">
            <w:pPr>
              <w:rPr>
                <w:rFonts w:ascii="Times New Roman" w:hAnsi="Times New Roman"/>
                <w:sz w:val="24"/>
              </w:rPr>
            </w:pPr>
            <w:r>
              <w:rPr>
                <w:rFonts w:ascii="Times New Roman" w:hAnsi="Times New Roman"/>
                <w:sz w:val="24"/>
              </w:rPr>
              <w:t>Byla-li u určité ztrátové události provedena více než jedna úprava ztráty v rámci vykazovaného referenčního období, objemy veškerých těchto úprav ztrát se sčítají, přičemž se zohlední znaménko úprav (kladné, záporné). Tento součet se považuje za úpravu ztráty u dané ztrátové události za dané vykazované referenční období.</w:t>
            </w:r>
          </w:p>
          <w:p w14:paraId="211168A5" w14:textId="77777777" w:rsidR="007266CF" w:rsidRPr="002A677E" w:rsidRDefault="007266CF" w:rsidP="007266CF">
            <w:pPr>
              <w:rPr>
                <w:rFonts w:ascii="Times New Roman" w:hAnsi="Times New Roman"/>
                <w:sz w:val="24"/>
              </w:rPr>
            </w:pPr>
            <w:r>
              <w:rPr>
                <w:rFonts w:ascii="Times New Roman" w:hAnsi="Times New Roman"/>
                <w:sz w:val="24"/>
              </w:rPr>
              <w:t>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událost vykázána u prosincového referenčního data (tj. původní ztráta plus/minus veškeré úpravy ztrát provedené v předchozích vykazovaných referenčních obdobích), se záporným znaménkem namísto objemu samotné záporné úpravy ztrát.</w:t>
            </w:r>
          </w:p>
          <w:p w14:paraId="33E8442E" w14:textId="77777777" w:rsidR="007266CF" w:rsidRPr="002A677E" w:rsidRDefault="007266CF" w:rsidP="007266CF">
            <w:pPr>
              <w:rPr>
                <w:b/>
                <w:sz w:val="24"/>
              </w:rPr>
            </w:pPr>
            <w:r>
              <w:rPr>
                <w:rFonts w:ascii="Times New Roman" w:hAnsi="Times New Roman"/>
                <w:sz w:val="24"/>
              </w:rPr>
              <w:t>Částky, které mají být vykázány, nezohledňují obdržené výtěžky.</w:t>
            </w:r>
          </w:p>
        </w:tc>
      </w:tr>
      <w:tr w:rsidR="007266CF" w:rsidRPr="002A677E" w14:paraId="45EC4A77" w14:textId="77777777" w:rsidTr="007266CF">
        <w:tc>
          <w:tcPr>
            <w:tcW w:w="1101" w:type="dxa"/>
          </w:tcPr>
          <w:p w14:paraId="549AF958" w14:textId="77777777" w:rsidR="007266CF" w:rsidRPr="002A677E" w:rsidRDefault="007266CF" w:rsidP="007266CF">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85C96C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Maximální výše jedné ztráty</w:t>
            </w:r>
          </w:p>
          <w:p w14:paraId="7311737C" w14:textId="77777777" w:rsidR="007266CF" w:rsidRPr="002A677E" w:rsidRDefault="007266CF" w:rsidP="007266CF">
            <w:pPr>
              <w:rPr>
                <w:rFonts w:ascii="Times New Roman" w:hAnsi="Times New Roman"/>
                <w:sz w:val="24"/>
              </w:rPr>
            </w:pPr>
            <w:r>
              <w:rPr>
                <w:rFonts w:ascii="Times New Roman" w:hAnsi="Times New Roman"/>
                <w:sz w:val="24"/>
              </w:rPr>
              <w:t>Maximální výší jedné ztráty je vyšší z těchto hodnot:</w:t>
            </w:r>
          </w:p>
          <w:p w14:paraId="7F884D69" w14:textId="77777777" w:rsidR="007266CF" w:rsidRPr="002A677E" w:rsidRDefault="007266CF" w:rsidP="007266CF">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největší hrubý objem ztráty týkající se ztrátové události poprvé vykázané ve vykazovaném referenčním období a</w:t>
            </w:r>
          </w:p>
          <w:p w14:paraId="2B0EAE9B" w14:textId="77777777" w:rsidR="007266CF" w:rsidRPr="002A677E" w:rsidRDefault="007266CF" w:rsidP="007266CF">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největší objem kladné úpravy ztráty (uvedený v řádcích 0040, 0140, ... 0840 výše) týkající se ztrátové události poprvé vykázané v předchozím vykazovaném referenčním období.</w:t>
            </w:r>
          </w:p>
          <w:p w14:paraId="6D4D34B7" w14:textId="77777777" w:rsidR="007266CF" w:rsidRPr="002A677E" w:rsidRDefault="007266CF" w:rsidP="007266CF">
            <w:pPr>
              <w:rPr>
                <w:sz w:val="24"/>
              </w:rPr>
            </w:pPr>
            <w:r>
              <w:rPr>
                <w:rFonts w:ascii="Times New Roman" w:hAnsi="Times New Roman"/>
                <w:sz w:val="24"/>
              </w:rPr>
              <w:t>Částky, které mají být vykázány, nezohledňují obdržené výtěžky.</w:t>
            </w:r>
          </w:p>
        </w:tc>
      </w:tr>
      <w:tr w:rsidR="007266CF" w:rsidRPr="002A677E" w14:paraId="0BA69C18" w14:textId="77777777" w:rsidTr="007266CF">
        <w:tc>
          <w:tcPr>
            <w:tcW w:w="1101" w:type="dxa"/>
          </w:tcPr>
          <w:p w14:paraId="14F185FC" w14:textId="77777777" w:rsidR="007266CF" w:rsidRPr="002A677E" w:rsidRDefault="007266CF" w:rsidP="007266CF">
            <w:pPr>
              <w:rPr>
                <w:rFonts w:ascii="Times New Roman" w:hAnsi="Times New Roman"/>
                <w:bCs/>
                <w:sz w:val="24"/>
              </w:rPr>
            </w:pPr>
            <w:r>
              <w:rPr>
                <w:rFonts w:ascii="Times New Roman" w:hAnsi="Times New Roman"/>
                <w:sz w:val="24"/>
              </w:rPr>
              <w:t>0060, 0160, 0260, 0360, 0460, 0560, 0660, 0760, 0860</w:t>
            </w:r>
          </w:p>
        </w:tc>
        <w:tc>
          <w:tcPr>
            <w:tcW w:w="8079" w:type="dxa"/>
          </w:tcPr>
          <w:p w14:paraId="10ADC45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Součet pěti nejvyšších ztrát</w:t>
            </w:r>
          </w:p>
          <w:p w14:paraId="75528630" w14:textId="77777777" w:rsidR="007266CF" w:rsidRPr="002A677E" w:rsidRDefault="007266CF" w:rsidP="007266CF">
            <w:pPr>
              <w:rPr>
                <w:rFonts w:ascii="Times New Roman" w:hAnsi="Times New Roman"/>
                <w:sz w:val="24"/>
              </w:rPr>
            </w:pPr>
            <w:r>
              <w:rPr>
                <w:rFonts w:ascii="Times New Roman" w:hAnsi="Times New Roman"/>
                <w:sz w:val="24"/>
              </w:rPr>
              <w:t>Součtem pěti největších ztrát je součet pěti největších částek z těchto hodnot:</w:t>
            </w:r>
          </w:p>
          <w:p w14:paraId="79F2C2F0" w14:textId="77777777" w:rsidR="007266CF" w:rsidRPr="002A677E" w:rsidRDefault="007266CF" w:rsidP="007266CF">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hrubé objemy ztrát týkající se ztrátových událostí poprvé vykázaných ve vykazovaném referenčním období a</w:t>
            </w:r>
          </w:p>
          <w:p w14:paraId="712D79C7" w14:textId="77777777" w:rsidR="007266CF" w:rsidRPr="002A677E" w:rsidRDefault="007266CF" w:rsidP="007266CF">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objemy kladných úprav ztrát (definované pro řádky 0040, 0140, ... 0840 výše) týkající se ztrátových událostí poprvé vykázaných v předchozím vykazovaném referenčním období. Částkou, která se může kvalifikovat jako jedna z pěti největších, je objem samotné úpravy ztráty, nikoli celková ztráta spojená s příslušnou ztrátovou událostí před úpravou ztráty či po této úpravě.</w:t>
            </w:r>
          </w:p>
          <w:p w14:paraId="78A5CC96" w14:textId="77777777" w:rsidR="007266CF" w:rsidRPr="002A677E" w:rsidRDefault="007266CF" w:rsidP="007266CF">
            <w:pPr>
              <w:rPr>
                <w:sz w:val="24"/>
              </w:rPr>
            </w:pPr>
            <w:r>
              <w:rPr>
                <w:rFonts w:ascii="Times New Roman" w:hAnsi="Times New Roman"/>
                <w:sz w:val="24"/>
              </w:rPr>
              <w:t>Částky, které mají být vykázány, nezohledňují obdržené výtěžky.</w:t>
            </w:r>
          </w:p>
        </w:tc>
      </w:tr>
      <w:tr w:rsidR="007266CF" w:rsidRPr="002A677E" w14:paraId="7F9FD86C" w14:textId="77777777" w:rsidTr="007266CF">
        <w:tc>
          <w:tcPr>
            <w:tcW w:w="1101" w:type="dxa"/>
          </w:tcPr>
          <w:p w14:paraId="11BEF31A" w14:textId="77777777" w:rsidR="007266CF" w:rsidRPr="002A677E" w:rsidRDefault="007266CF" w:rsidP="007266CF">
            <w:pPr>
              <w:rPr>
                <w:rFonts w:ascii="Times New Roman" w:hAnsi="Times New Roman"/>
                <w:bCs/>
                <w:sz w:val="24"/>
              </w:rPr>
            </w:pPr>
            <w:r>
              <w:rPr>
                <w:rFonts w:ascii="Times New Roman" w:hAnsi="Times New Roman"/>
                <w:sz w:val="24"/>
              </w:rPr>
              <w:t xml:space="preserve">0070, 0170, 0270, </w:t>
            </w:r>
            <w:r>
              <w:rPr>
                <w:rFonts w:ascii="Times New Roman" w:hAnsi="Times New Roman"/>
                <w:sz w:val="24"/>
              </w:rPr>
              <w:lastRenderedPageBreak/>
              <w:t>0370, 0470, 0570, 0670, 0770, 0870</w:t>
            </w:r>
          </w:p>
        </w:tc>
        <w:tc>
          <w:tcPr>
            <w:tcW w:w="8079" w:type="dxa"/>
          </w:tcPr>
          <w:p w14:paraId="6580F0A1" w14:textId="77777777" w:rsidR="007266CF" w:rsidRPr="002A677E" w:rsidRDefault="007266CF" w:rsidP="007266CF">
            <w:pPr>
              <w:rPr>
                <w:sz w:val="24"/>
              </w:rPr>
            </w:pPr>
            <w:r>
              <w:rPr>
                <w:rStyle w:val="InstructionsTabelleberschrift"/>
                <w:rFonts w:ascii="Times New Roman" w:hAnsi="Times New Roman"/>
                <w:sz w:val="24"/>
              </w:rPr>
              <w:lastRenderedPageBreak/>
              <w:t>Celkový přímý výtěžek ze ztrát</w:t>
            </w:r>
          </w:p>
          <w:p w14:paraId="1E9C3592" w14:textId="77777777" w:rsidR="007266CF" w:rsidRPr="002A677E" w:rsidRDefault="007266CF" w:rsidP="007266CF">
            <w:pPr>
              <w:rPr>
                <w:rFonts w:ascii="Times New Roman" w:hAnsi="Times New Roman"/>
                <w:sz w:val="24"/>
              </w:rPr>
            </w:pPr>
            <w:r>
              <w:rPr>
                <w:rFonts w:ascii="Times New Roman" w:hAnsi="Times New Roman"/>
                <w:sz w:val="24"/>
              </w:rPr>
              <w:lastRenderedPageBreak/>
              <w:t xml:space="preserve">Celkovým přímým výtěžkem ze ztrát jsou veškeré obdržené výtěžky ze ztrát s výjimkou těch, na které se vztahuje článek 323 nařízení (EU) č. 575/2013 a které jsou uvedeny v řádku této tabulky níže. </w:t>
            </w:r>
          </w:p>
          <w:p w14:paraId="69BFD6C9" w14:textId="77777777" w:rsidR="007266CF" w:rsidRPr="002A677E" w:rsidRDefault="007266CF" w:rsidP="007266CF">
            <w:pPr>
              <w:rPr>
                <w:b/>
                <w:sz w:val="24"/>
              </w:rPr>
            </w:pPr>
            <w:r>
              <w:rPr>
                <w:rFonts w:ascii="Times New Roman" w:hAnsi="Times New Roman"/>
                <w:sz w:val="24"/>
              </w:rPr>
              <w:t>Celkový přímý výtěžek ze ztrát je součtem všech přímých výtěžků a úprav přímých výtěžků zaúčtovaných ve vykazovaném období a týkajících se ztrátových událostí operačního rizika poprvé zaúčtovaných ve vykazovaném referenčním období nebo v předchozích vykazovaných referenčních obdobích.</w:t>
            </w:r>
          </w:p>
        </w:tc>
      </w:tr>
      <w:tr w:rsidR="007266CF" w:rsidRPr="002A677E" w14:paraId="2D97852B" w14:textId="77777777" w:rsidTr="007266CF">
        <w:tc>
          <w:tcPr>
            <w:tcW w:w="1101" w:type="dxa"/>
          </w:tcPr>
          <w:p w14:paraId="323EADA8" w14:textId="77777777" w:rsidR="007266CF" w:rsidRPr="002A677E" w:rsidRDefault="007266CF" w:rsidP="007266CF">
            <w:pPr>
              <w:rPr>
                <w:rFonts w:ascii="Times New Roman" w:hAnsi="Times New Roman"/>
                <w:bCs/>
                <w:sz w:val="24"/>
              </w:rPr>
            </w:pPr>
            <w:r>
              <w:rPr>
                <w:rFonts w:ascii="Times New Roman" w:hAnsi="Times New Roman"/>
                <w:sz w:val="24"/>
              </w:rPr>
              <w:lastRenderedPageBreak/>
              <w:t>0080, 0180, 0280, 0380, 0480, 0580, 0680, 0780, 0880</w:t>
            </w:r>
          </w:p>
        </w:tc>
        <w:tc>
          <w:tcPr>
            <w:tcW w:w="8079" w:type="dxa"/>
          </w:tcPr>
          <w:p w14:paraId="2998DAC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Výtěžek z pojištění a jiných mechanismů převodu rizika celkem</w:t>
            </w:r>
          </w:p>
          <w:p w14:paraId="680DC87A" w14:textId="77777777" w:rsidR="007266CF" w:rsidRPr="002A677E" w:rsidRDefault="007266CF" w:rsidP="007266CF">
            <w:pPr>
              <w:rPr>
                <w:rFonts w:ascii="Times New Roman" w:hAnsi="Times New Roman"/>
                <w:sz w:val="24"/>
              </w:rPr>
            </w:pPr>
            <w:r>
              <w:rPr>
                <w:rFonts w:ascii="Times New Roman" w:hAnsi="Times New Roman"/>
                <w:sz w:val="24"/>
              </w:rPr>
              <w:t xml:space="preserve">Výtěžky z pojištění a jiných mechanismů převodu rizik jsou výtěžky, na něž se vztahuje článek 323 nařízení (EU) č. 575/2013. </w:t>
            </w:r>
          </w:p>
          <w:p w14:paraId="73D0D565" w14:textId="77777777" w:rsidR="007266CF" w:rsidRPr="002A677E" w:rsidRDefault="007266CF" w:rsidP="007266CF">
            <w:pPr>
              <w:rPr>
                <w:sz w:val="24"/>
              </w:rPr>
            </w:pPr>
            <w:r>
              <w:rPr>
                <w:rFonts w:ascii="Times New Roman" w:hAnsi="Times New Roman"/>
                <w:sz w:val="24"/>
              </w:rPr>
              <w:t>Celkový výtěžek z pojištění a jiných mechanismů převodu rizika je součtem všech výtěžků z pojištění a jiných mechanismů převodu rizika a úprav těchto výtěžků zaúčtovaných ve vykazovaném referenčním období a týkajících se ztrátových událostí operačního rizika poprvé zaúčtovaných ve vykazovaném referenčním období nebo v předchozích vykazovaných referenčních obdobích.</w:t>
            </w:r>
          </w:p>
        </w:tc>
      </w:tr>
      <w:tr w:rsidR="007266CF" w:rsidRPr="002A677E" w14:paraId="26E66CEE" w14:textId="77777777" w:rsidTr="007266CF">
        <w:tc>
          <w:tcPr>
            <w:tcW w:w="1101" w:type="dxa"/>
          </w:tcPr>
          <w:p w14:paraId="28DC97AB" w14:textId="77777777" w:rsidR="007266CF" w:rsidRPr="002A677E" w:rsidRDefault="007266CF" w:rsidP="007266CF">
            <w:pPr>
              <w:rPr>
                <w:rFonts w:ascii="Times New Roman" w:hAnsi="Times New Roman"/>
                <w:bCs/>
                <w:sz w:val="24"/>
              </w:rPr>
            </w:pPr>
            <w:r>
              <w:rPr>
                <w:rFonts w:ascii="Times New Roman" w:hAnsi="Times New Roman"/>
                <w:sz w:val="24"/>
              </w:rPr>
              <w:t>0910–0980</w:t>
            </w:r>
          </w:p>
        </w:tc>
        <w:tc>
          <w:tcPr>
            <w:tcW w:w="8079" w:type="dxa"/>
          </w:tcPr>
          <w:p w14:paraId="31B334D1"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LINIE PODNIKÁNÍ CELKEM</w:t>
            </w:r>
          </w:p>
          <w:p w14:paraId="42FE0A85" w14:textId="77777777" w:rsidR="007266CF" w:rsidRPr="002A677E" w:rsidRDefault="007266CF" w:rsidP="007266CF">
            <w:pPr>
              <w:rPr>
                <w:rFonts w:ascii="Times New Roman" w:hAnsi="Times New Roman"/>
                <w:sz w:val="24"/>
              </w:rPr>
            </w:pPr>
            <w:r>
              <w:rPr>
                <w:rFonts w:ascii="Times New Roman" w:hAnsi="Times New Roman"/>
                <w:sz w:val="24"/>
              </w:rPr>
              <w:t>U každého druhu události (sloupce 0010 až 0080) se musí vykázat údaje za všechny linie podnikání celkem.</w:t>
            </w:r>
          </w:p>
        </w:tc>
      </w:tr>
      <w:tr w:rsidR="007266CF" w:rsidRPr="002A677E" w14:paraId="2B3FA452" w14:textId="77777777" w:rsidTr="007266CF">
        <w:tc>
          <w:tcPr>
            <w:tcW w:w="1101" w:type="dxa"/>
          </w:tcPr>
          <w:p w14:paraId="70EDAD6A" w14:textId="77777777" w:rsidR="007266CF" w:rsidRPr="002A677E" w:rsidRDefault="007266CF" w:rsidP="007266CF">
            <w:pPr>
              <w:rPr>
                <w:rFonts w:ascii="Times New Roman" w:hAnsi="Times New Roman"/>
                <w:bCs/>
                <w:sz w:val="24"/>
              </w:rPr>
            </w:pPr>
            <w:r>
              <w:rPr>
                <w:rFonts w:ascii="Times New Roman" w:hAnsi="Times New Roman"/>
                <w:sz w:val="24"/>
              </w:rPr>
              <w:t>0910–0914</w:t>
            </w:r>
          </w:p>
        </w:tc>
        <w:tc>
          <w:tcPr>
            <w:tcW w:w="8079" w:type="dxa"/>
          </w:tcPr>
          <w:p w14:paraId="6922BC3C"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Počet ztrátových událostí</w:t>
            </w:r>
          </w:p>
          <w:p w14:paraId="749C2608" w14:textId="77777777" w:rsidR="007266CF" w:rsidRPr="002A677E" w:rsidRDefault="007266CF" w:rsidP="007266CF">
            <w:pPr>
              <w:rPr>
                <w:rFonts w:ascii="Times New Roman" w:hAnsi="Times New Roman"/>
                <w:sz w:val="24"/>
              </w:rPr>
            </w:pPr>
            <w:r>
              <w:rPr>
                <w:rFonts w:ascii="Times New Roman" w:hAnsi="Times New Roman"/>
                <w:sz w:val="24"/>
              </w:rPr>
              <w:t>V řádku 0910 se vykazuje počet ztrátových událostí nad rámec interní prahové úrovně podle druhů ztrátových událostí za všechny linie podnikání. Tento číselný údaj může být nižší než souhrn počtu ztrátových událostí podle linií podnikání, neboť ztrátové události s vícenásobnými dopady (dopady v různých liniích podnikání) se zohlední pouze jednou, Může být vyšší, jestliže instituce, která vypočítává své kapitálové požadavky podle přístupu základního ukazatele, nemůže v každém případě určit linii (linie) podnikání dotčenou (dotčené) ztrátou.</w:t>
            </w:r>
          </w:p>
          <w:p w14:paraId="256BF1C0" w14:textId="77777777" w:rsidR="007266CF" w:rsidRPr="002A677E" w:rsidRDefault="007266CF" w:rsidP="007266CF">
            <w:pPr>
              <w:rPr>
                <w:rFonts w:ascii="Times New Roman" w:hAnsi="Times New Roman"/>
                <w:sz w:val="24"/>
              </w:rPr>
            </w:pPr>
            <w:r>
              <w:rPr>
                <w:rFonts w:ascii="Times New Roman" w:hAnsi="Times New Roman"/>
                <w:sz w:val="24"/>
              </w:rPr>
              <w:t>V řádcích 0911 až 0914 se vykazuje počet ztrátových událostí s hrubým objemem ztrát v rámci rozsahů vymezených v příslušných řádcích šablony.</w:t>
            </w:r>
          </w:p>
          <w:p w14:paraId="39261B82" w14:textId="77777777" w:rsidR="007266CF" w:rsidRPr="002A677E" w:rsidRDefault="007266CF" w:rsidP="007266CF">
            <w:pPr>
              <w:rPr>
                <w:rFonts w:ascii="Times New Roman" w:hAnsi="Times New Roman"/>
                <w:sz w:val="24"/>
              </w:rPr>
            </w:pPr>
            <w:r>
              <w:rPr>
                <w:rFonts w:ascii="Times New Roman" w:hAnsi="Times New Roman"/>
                <w:sz w:val="24"/>
              </w:rPr>
              <w:t>Za předpokladu, že instituce přidělila veškeré své ztráty linii podnikání uvedené v čl. 317 odst. 4 tabulce 2 nařízení (EU) č. 575/2013 nebo linii podnikání „podnikové položky“ uvedené v čl. 322 odst. 3 písm. b) uvedeného nařízení, respektive že u veškerých ztrát určila druhy událostí, platí pro sloupec 0080:</w:t>
            </w:r>
          </w:p>
          <w:p w14:paraId="05FA0C04" w14:textId="77777777" w:rsidR="007266CF" w:rsidRPr="002A677E" w:rsidRDefault="007266CF" w:rsidP="007266CF">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celkový počet ztrátových událostí vykázaných v řádcích 0910 až 0914 se rovná horizontálnímu součtu počtu ztrátových událostí v příslušném řádku, neboť v těchto číselných údajích již byly jakožto jedna ztrátová událost zohledněny ztrátové události mající dopady v různých liniích podnikání,</w:t>
            </w:r>
          </w:p>
          <w:p w14:paraId="64ABBB5C" w14:textId="77777777" w:rsidR="007266CF" w:rsidRPr="002A677E" w:rsidRDefault="007266CF" w:rsidP="007266CF">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číselný údaj vykázaný ve sloupci 0080, řádku 0910 nemusí nutně odpovídat vertikálnímu součtu ztrátových událostí, které jsou uvedeny ve sloupci 0080, neboť jedna ztrátová událost může mít souběžně dopad v různých liniích podnikání.</w:t>
            </w:r>
          </w:p>
        </w:tc>
      </w:tr>
      <w:tr w:rsidR="007266CF" w:rsidRPr="002A677E" w14:paraId="2B716D5B" w14:textId="77777777" w:rsidTr="007266CF">
        <w:tc>
          <w:tcPr>
            <w:tcW w:w="1101" w:type="dxa"/>
          </w:tcPr>
          <w:p w14:paraId="438FA6D8" w14:textId="77777777" w:rsidR="007266CF" w:rsidRPr="002A677E" w:rsidRDefault="007266CF" w:rsidP="007266CF">
            <w:pPr>
              <w:rPr>
                <w:rFonts w:ascii="Times New Roman" w:hAnsi="Times New Roman"/>
                <w:bCs/>
                <w:sz w:val="24"/>
              </w:rPr>
            </w:pPr>
            <w:r>
              <w:rPr>
                <w:rFonts w:ascii="Times New Roman" w:hAnsi="Times New Roman"/>
                <w:sz w:val="24"/>
              </w:rPr>
              <w:t>0920–0924</w:t>
            </w:r>
          </w:p>
        </w:tc>
        <w:tc>
          <w:tcPr>
            <w:tcW w:w="8079" w:type="dxa"/>
          </w:tcPr>
          <w:p w14:paraId="79008A20"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Hrubý objem ztrát (nové ztrátové události)</w:t>
            </w:r>
          </w:p>
          <w:p w14:paraId="24BFEFC7" w14:textId="77777777" w:rsidR="007266CF" w:rsidRPr="002A677E" w:rsidRDefault="007266CF" w:rsidP="007266CF">
            <w:pPr>
              <w:rPr>
                <w:rFonts w:ascii="Times New Roman" w:hAnsi="Times New Roman"/>
                <w:sz w:val="24"/>
              </w:rPr>
            </w:pPr>
            <w:r>
              <w:rPr>
                <w:rFonts w:ascii="Times New Roman" w:hAnsi="Times New Roman"/>
                <w:sz w:val="24"/>
              </w:rPr>
              <w:lastRenderedPageBreak/>
              <w:t xml:space="preserve">Za předpokladu, že instituce přidělila veškeré své ztráty linii podnikání uvedené v čl. 317 odst. 4 tabulce 2 nařízení (EU) č. 575/2013 nebo linii podnikání „podnikové položky“ uvedené v čl. 322 odst. 3 písm. b) uvedeného nařízení, je hrubým objemem ztrát (nové ztrátové události) vykazovaným v řádku 0920 prostý součet hrubých objemů ztrát u nových ztrátových událostí v každé linii podnikání. </w:t>
            </w:r>
          </w:p>
          <w:p w14:paraId="725E6C66" w14:textId="77777777" w:rsidR="007266CF" w:rsidRPr="002A677E" w:rsidRDefault="007266CF" w:rsidP="007266CF">
            <w:pPr>
              <w:rPr>
                <w:rStyle w:val="InstructionsTabelleberschrift"/>
                <w:rFonts w:ascii="Times New Roman" w:hAnsi="Times New Roman"/>
                <w:sz w:val="24"/>
              </w:rPr>
            </w:pPr>
            <w:r>
              <w:rPr>
                <w:rFonts w:ascii="Times New Roman" w:hAnsi="Times New Roman"/>
                <w:sz w:val="24"/>
              </w:rPr>
              <w:t>V řádcích 0921 až 0924 se vykazuje hrubý objem ztrát u ztrátových událostí s hrubým objemem ztrát v rámci rozsahů vymezených v příslušných řádcích.</w:t>
            </w:r>
          </w:p>
        </w:tc>
      </w:tr>
      <w:tr w:rsidR="007266CF" w:rsidRPr="002A677E" w14:paraId="10BF6BF4" w14:textId="77777777" w:rsidTr="007266CF">
        <w:tc>
          <w:tcPr>
            <w:tcW w:w="1101" w:type="dxa"/>
          </w:tcPr>
          <w:p w14:paraId="397D0FE7" w14:textId="77777777" w:rsidR="007266CF" w:rsidRPr="002A677E" w:rsidRDefault="007266CF" w:rsidP="007266CF">
            <w:pPr>
              <w:rPr>
                <w:rFonts w:ascii="Times New Roman" w:hAnsi="Times New Roman"/>
                <w:bCs/>
                <w:sz w:val="24"/>
              </w:rPr>
            </w:pPr>
            <w:r>
              <w:rPr>
                <w:rFonts w:ascii="Times New Roman" w:hAnsi="Times New Roman"/>
                <w:sz w:val="24"/>
              </w:rPr>
              <w:lastRenderedPageBreak/>
              <w:t>0930, 0935, 0936</w:t>
            </w:r>
          </w:p>
        </w:tc>
        <w:tc>
          <w:tcPr>
            <w:tcW w:w="8079" w:type="dxa"/>
          </w:tcPr>
          <w:p w14:paraId="0DD7F493" w14:textId="77777777" w:rsidR="007266CF" w:rsidRPr="002A677E" w:rsidRDefault="007266CF" w:rsidP="007266CF">
            <w:pPr>
              <w:rPr>
                <w:rFonts w:ascii="Times New Roman" w:hAnsi="Times New Roman"/>
                <w:sz w:val="24"/>
              </w:rPr>
            </w:pPr>
            <w:r>
              <w:rPr>
                <w:rStyle w:val="InstructionsTabelleberschrift"/>
                <w:rFonts w:ascii="Times New Roman" w:hAnsi="Times New Roman"/>
                <w:sz w:val="24"/>
              </w:rPr>
              <w:t>Počet událostí podléhajících úpravám ztrát</w:t>
            </w:r>
          </w:p>
          <w:p w14:paraId="30CE7535" w14:textId="77777777" w:rsidR="007266CF" w:rsidRPr="002A677E" w:rsidRDefault="007266CF" w:rsidP="007266CF">
            <w:pPr>
              <w:rPr>
                <w:rFonts w:ascii="Times New Roman" w:hAnsi="Times New Roman"/>
                <w:sz w:val="24"/>
              </w:rPr>
            </w:pPr>
            <w:r>
              <w:rPr>
                <w:rFonts w:ascii="Times New Roman" w:hAnsi="Times New Roman"/>
                <w:sz w:val="24"/>
              </w:rPr>
              <w:t>V řádku 0930 se vykazuje součet počtů ztrátových událostí podléhajících úpravám ztrát vykázaných v řádcích 0030, 0130,... 0830. Tento číselný údaj může být nižší než souhrn počtu ztrátových událostí podléhajících úpravám ztrát podle linií podnikání, neboť ztrátové události s vícenásobnými dopady (dopady v různých liniích podnikání) se zohlední pouze jednou. Může být vyšší, jestliže instituce, která vypočítává své kapitálové požadavky podle přístupu základního ukazatele, nemůže v každém případě určit linii (linie) podnikání dotčenou (dotčené) ztrátou.</w:t>
            </w:r>
          </w:p>
          <w:p w14:paraId="7B7348DE" w14:textId="77777777" w:rsidR="007266CF" w:rsidRPr="002A677E" w:rsidRDefault="007266CF" w:rsidP="007266CF">
            <w:pPr>
              <w:rPr>
                <w:rStyle w:val="InstructionsTabelleberschrift"/>
                <w:rFonts w:ascii="Times New Roman" w:hAnsi="Times New Roman"/>
                <w:sz w:val="24"/>
              </w:rPr>
            </w:pPr>
            <w:r>
              <w:rPr>
                <w:rFonts w:ascii="Times New Roman" w:hAnsi="Times New Roman"/>
                <w:sz w:val="24"/>
              </w:rPr>
              <w:t>Počet ztrátových událostí podléhajících úpravám ztrát je rozčleněn na počet ztrátových událostí, u kterých byla ve vykazovaném referenčním období provedena kladná úprava ztrát, a počet ztrátových událostí, u kterých byla ve vykazovaném období provedena záporná úprava ztrát (všechny vykázány s kladným znaménkem).</w:t>
            </w:r>
          </w:p>
        </w:tc>
      </w:tr>
      <w:tr w:rsidR="007266CF" w:rsidRPr="002A677E" w14:paraId="6A858750" w14:textId="77777777" w:rsidTr="007266CF">
        <w:tc>
          <w:tcPr>
            <w:tcW w:w="1101" w:type="dxa"/>
          </w:tcPr>
          <w:p w14:paraId="1A9D3A7F" w14:textId="77777777" w:rsidR="007266CF" w:rsidRPr="002A677E" w:rsidRDefault="007266CF" w:rsidP="007266CF">
            <w:pPr>
              <w:rPr>
                <w:rFonts w:ascii="Times New Roman" w:hAnsi="Times New Roman"/>
                <w:sz w:val="24"/>
              </w:rPr>
            </w:pPr>
            <w:r>
              <w:rPr>
                <w:rFonts w:ascii="Times New Roman" w:hAnsi="Times New Roman"/>
                <w:sz w:val="24"/>
              </w:rPr>
              <w:t>0940, 0945, 0946</w:t>
            </w:r>
          </w:p>
        </w:tc>
        <w:tc>
          <w:tcPr>
            <w:tcW w:w="8079" w:type="dxa"/>
          </w:tcPr>
          <w:p w14:paraId="1CD9DF39" w14:textId="77777777" w:rsidR="007266CF" w:rsidRPr="002A677E" w:rsidRDefault="007266CF" w:rsidP="007266CF">
            <w:pPr>
              <w:rPr>
                <w:rFonts w:ascii="Times New Roman" w:hAnsi="Times New Roman"/>
                <w:sz w:val="24"/>
              </w:rPr>
            </w:pPr>
            <w:r>
              <w:rPr>
                <w:rStyle w:val="InstructionsTabelleberschrift"/>
                <w:rFonts w:ascii="Times New Roman" w:hAnsi="Times New Roman"/>
                <w:sz w:val="24"/>
              </w:rPr>
              <w:t>Úpravy ztrát týkající se předchozích vykazovaných období</w:t>
            </w:r>
          </w:p>
          <w:p w14:paraId="6D555350" w14:textId="77777777" w:rsidR="007266CF" w:rsidRPr="002A677E" w:rsidRDefault="007266CF" w:rsidP="007266CF">
            <w:pPr>
              <w:rPr>
                <w:rFonts w:ascii="Times New Roman" w:hAnsi="Times New Roman"/>
                <w:sz w:val="24"/>
              </w:rPr>
            </w:pPr>
            <w:r>
              <w:rPr>
                <w:rFonts w:ascii="Times New Roman" w:hAnsi="Times New Roman"/>
                <w:sz w:val="24"/>
              </w:rPr>
              <w:t>V řádku 0940 se vykazuje součet objemů úprav ztrát týkajících se předchozích vykazovaných období za jednotlivé linie podnikání (jak jsou vykázány v řádcích 0040, 0140,... 0840). Za předpokladu, že instituce přidělila veškeré své ztráty linii podnikání uvedené v čl. 317 odst. 4 tabulce 2 nařízení (EU) č. 575/2013 nebo linii podnikání „podnikové položky“ uvedené v čl. 322 odst. 3 písm. b) uvedeného nařízení, je objemem vykazovaným v řádku 0940 prostý součet úprav ztrát týkajících se předchozích vykazovaných období u různých linií podnikání.</w:t>
            </w:r>
          </w:p>
          <w:p w14:paraId="7D6A1A72" w14:textId="77777777" w:rsidR="007266CF" w:rsidRPr="002A677E" w:rsidRDefault="007266CF" w:rsidP="007266CF">
            <w:pPr>
              <w:rPr>
                <w:rFonts w:ascii="Times New Roman" w:hAnsi="Times New Roman"/>
                <w:sz w:val="24"/>
              </w:rPr>
            </w:pPr>
            <w:r>
              <w:rPr>
                <w:rFonts w:ascii="Times New Roman" w:hAnsi="Times New Roman"/>
                <w:sz w:val="24"/>
              </w:rPr>
              <w:t>Objem úprav ztrát je rozčleněn na objem týkající se ztrátových událostí, u nichž byla ve vykazovaném referenčním období provedena kladná úprava ztrát (řádek 0945, vykazuje se jako kladný číselný údaj), a objem týkající se ztrátových událostí, u nichž byla ve vykazovaném období provedena záporná úprava ztrát (řádek 0946, vykazuje se jako záporný číselný údaj). 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ztrátová událost vykázána u prosincového referenčního data (tj. původní ztráta plus/minus veškeré úpravy ztrát provedené v předchozích vykazovaných referenčních obdobích), se záporným znaménkem v řádku 0946 namísto objemu samotné záporné úpravy ztrát.</w:t>
            </w:r>
          </w:p>
        </w:tc>
      </w:tr>
      <w:tr w:rsidR="007266CF" w:rsidRPr="002A677E" w14:paraId="37941BD4" w14:textId="77777777" w:rsidTr="007266CF">
        <w:tc>
          <w:tcPr>
            <w:tcW w:w="1101" w:type="dxa"/>
            <w:tcBorders>
              <w:top w:val="single" w:sz="4" w:space="0" w:color="auto"/>
              <w:left w:val="single" w:sz="4" w:space="0" w:color="auto"/>
              <w:bottom w:val="single" w:sz="4" w:space="0" w:color="auto"/>
              <w:right w:val="single" w:sz="4" w:space="0" w:color="auto"/>
            </w:tcBorders>
          </w:tcPr>
          <w:p w14:paraId="1FA50AAA" w14:textId="77777777" w:rsidR="007266CF" w:rsidRPr="002A677E" w:rsidRDefault="007266CF" w:rsidP="007266CF">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1996E63D"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Maximální výše jedné ztráty</w:t>
            </w:r>
          </w:p>
          <w:p w14:paraId="4D0B7AC4" w14:textId="77777777" w:rsidR="007266CF" w:rsidRPr="002A677E" w:rsidRDefault="007266CF" w:rsidP="007266CF">
            <w:pPr>
              <w:rPr>
                <w:rFonts w:ascii="Times New Roman" w:hAnsi="Times New Roman"/>
                <w:sz w:val="24"/>
              </w:rPr>
            </w:pPr>
            <w:r>
              <w:rPr>
                <w:rFonts w:ascii="Times New Roman" w:hAnsi="Times New Roman"/>
                <w:sz w:val="24"/>
              </w:rPr>
              <w:t>Za předpokladu, že instituce přidělila veškeré své ztráty linii podnikání uvedené v čl. 317 odst. 4 tabulce 2 nařízení (EU) č. 575/2013 nebo linii podnikání „pod</w:t>
            </w:r>
            <w:r>
              <w:rPr>
                <w:rFonts w:ascii="Times New Roman" w:hAnsi="Times New Roman"/>
                <w:sz w:val="24"/>
              </w:rPr>
              <w:lastRenderedPageBreak/>
              <w:t>nikové položky“ uvedené v čl. 322 odst. 3 písm. b) uvedeného nařízení, je maximální výší jedné ztráty maximální ztráta nad interní prahovou hodnotou pro každý druh ztrátové události a mezi všemi liniemi podnikání. Tyto číselné údaje mohou být vyšší než nejvyšší jednotlivá ztráta zaznamenaná v každé linii podnikání, jestliže má daná ztrátová událost dopad na různé linie podnikání,</w:t>
            </w:r>
          </w:p>
          <w:p w14:paraId="4C718B6B" w14:textId="77777777" w:rsidR="007266CF" w:rsidRPr="002A677E" w:rsidRDefault="007266CF" w:rsidP="007266CF">
            <w:pPr>
              <w:rPr>
                <w:rFonts w:ascii="Times New Roman" w:hAnsi="Times New Roman"/>
                <w:sz w:val="24"/>
              </w:rPr>
            </w:pPr>
            <w:r>
              <w:rPr>
                <w:rFonts w:ascii="Times New Roman" w:hAnsi="Times New Roman"/>
                <w:sz w:val="24"/>
              </w:rPr>
              <w:t>Za předpokladu, že instituce přiřadila veškeré své ztráty linii podnikání uvedené v čl. 317 odst. 4 tabulce 2 nařízení (EU) č. 575/2013 nebo linii podnikání „podnikové položky“ uvedené v čl. 322 odst. 3 písm. b) uvedeného nařízení, respektive že u veškerých ztrát určila druhy ztrátových událostí, platí pro sloupec 0080:</w:t>
            </w:r>
          </w:p>
          <w:p w14:paraId="3AFE5606" w14:textId="77777777" w:rsidR="007266CF" w:rsidRPr="002A677E" w:rsidRDefault="007266CF" w:rsidP="007266CF">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Vykázaná maximální výše jedné ztráty se rovná nejvyšší z hodnot vykázaných ve sloupcích 0010 až 0070 tohoto řádku.</w:t>
            </w:r>
          </w:p>
          <w:p w14:paraId="4A36E8F7" w14:textId="77777777" w:rsidR="007266CF" w:rsidRPr="002A677E" w:rsidRDefault="007266CF" w:rsidP="007266CF">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Pokud existují ztrátové události mající dopad v různých liniích podnikání, může být částka vykázaná v {r0950, c0080} vyšší než objemy „maximální výše jedné ztráty“ u každé linie podnikání vykázané v jiných řádcích sloupce 0080. </w:t>
            </w:r>
          </w:p>
        </w:tc>
      </w:tr>
      <w:tr w:rsidR="007266CF" w:rsidRPr="002A677E" w14:paraId="7467FB54" w14:textId="77777777" w:rsidTr="007266CF">
        <w:tc>
          <w:tcPr>
            <w:tcW w:w="1101" w:type="dxa"/>
            <w:tcBorders>
              <w:top w:val="single" w:sz="4" w:space="0" w:color="auto"/>
              <w:left w:val="single" w:sz="4" w:space="0" w:color="auto"/>
              <w:bottom w:val="single" w:sz="4" w:space="0" w:color="auto"/>
              <w:right w:val="single" w:sz="4" w:space="0" w:color="auto"/>
            </w:tcBorders>
          </w:tcPr>
          <w:p w14:paraId="47FC7486" w14:textId="77777777" w:rsidR="007266CF" w:rsidRPr="002A677E" w:rsidRDefault="007266CF" w:rsidP="007266CF">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3B0F10B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Součet pěti nejvyšších ztrát</w:t>
            </w:r>
          </w:p>
          <w:p w14:paraId="4C014D17" w14:textId="77777777" w:rsidR="007266CF" w:rsidRPr="002A677E" w:rsidRDefault="007266CF" w:rsidP="007266CF">
            <w:pPr>
              <w:rPr>
                <w:rFonts w:ascii="Times New Roman" w:hAnsi="Times New Roman"/>
                <w:sz w:val="24"/>
              </w:rPr>
            </w:pPr>
            <w:r>
              <w:rPr>
                <w:rFonts w:ascii="Times New Roman" w:hAnsi="Times New Roman"/>
                <w:sz w:val="24"/>
              </w:rPr>
              <w:t xml:space="preserve">Vykazuje se součet pěti nejvyšších hrubých ztrát u každého druhu ztrátové události a mezi všemi liniemi podnikání. Tato částka může být vyšší než nejvyšší částka pěti nejvyšších ztrát zaznamenaných v každé linii podnikání. Tato částka musí být vykázána bez ohledu na počet ztrát. </w:t>
            </w:r>
          </w:p>
          <w:p w14:paraId="68F75AEC" w14:textId="77777777" w:rsidR="007266CF" w:rsidRPr="002A677E" w:rsidRDefault="007266CF" w:rsidP="007266CF">
            <w:pPr>
              <w:rPr>
                <w:rStyle w:val="InstructionsTabelleberschrift"/>
                <w:rFonts w:ascii="Times New Roman" w:hAnsi="Times New Roman"/>
                <w:sz w:val="24"/>
              </w:rPr>
            </w:pPr>
            <w:r>
              <w:rPr>
                <w:rFonts w:ascii="Times New Roman" w:hAnsi="Times New Roman"/>
                <w:sz w:val="24"/>
              </w:rPr>
              <w:t>Za předpokladu, že instituce přiřadila veškeré své ztráty linii podnikání uvedené v čl. 317 odst. 4 tabulce 2 nařízení (EU) č. 575/2013 nebo linii podnikání „podnikové položky“ uvedené v čl. 322 odst. 3 písm. b) nařízení (EU) č. 575/2013 a že u všech ztrát určila druhy ztrátových událostí, je součtem pěti nejvyšších ztrát pro sloupec 0080 součet pěti nejvyšších ztrát v celé matici, což znamená, že se nemusí nutně rovnat maximální hodnotě „součtu pěti nejvyšších ztrát“ v řádku 0960 ani maximální hodnotě „součtu pěti nejvyšších ztrát“ ve sloupci 0080.</w:t>
            </w:r>
          </w:p>
        </w:tc>
      </w:tr>
      <w:tr w:rsidR="007266CF" w:rsidRPr="002A677E" w14:paraId="4D31F10D" w14:textId="77777777" w:rsidTr="007266CF">
        <w:tc>
          <w:tcPr>
            <w:tcW w:w="1101" w:type="dxa"/>
            <w:tcBorders>
              <w:top w:val="single" w:sz="4" w:space="0" w:color="auto"/>
              <w:left w:val="single" w:sz="4" w:space="0" w:color="auto"/>
              <w:bottom w:val="single" w:sz="4" w:space="0" w:color="auto"/>
              <w:right w:val="single" w:sz="4" w:space="0" w:color="auto"/>
            </w:tcBorders>
          </w:tcPr>
          <w:p w14:paraId="5421BF6C" w14:textId="77777777" w:rsidR="007266CF" w:rsidRPr="002A677E" w:rsidRDefault="007266CF" w:rsidP="007266CF">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2DB9807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Celkový přímý výtěžek ze ztrát</w:t>
            </w:r>
          </w:p>
          <w:p w14:paraId="4081C366" w14:textId="77777777" w:rsidR="007266CF" w:rsidRPr="002A677E" w:rsidRDefault="007266CF" w:rsidP="007266CF">
            <w:pPr>
              <w:rPr>
                <w:rStyle w:val="InstructionsTabelleberschrift"/>
                <w:rFonts w:ascii="Times New Roman" w:hAnsi="Times New Roman"/>
                <w:sz w:val="24"/>
              </w:rPr>
            </w:pPr>
            <w:r>
              <w:rPr>
                <w:rFonts w:ascii="Times New Roman" w:hAnsi="Times New Roman"/>
                <w:sz w:val="24"/>
              </w:rPr>
              <w:t>Za předpokladu, že instituce přidělila veškeré své ztráty linii podnikání uvedené v čl. 317 odst. 4 tabulce 2 nařízení (EU) č. 575/2013 nebo linii podnikání „podnikové položky“ uvedené v čl. 322 odst. 3 písm. b) nařízení (EU) č. 575/2013, je celkovým přímým výtěžkem ztrát prostý souhrn celkového přímého výtěžku ze ztrát za každou linii podnikání.</w:t>
            </w:r>
          </w:p>
        </w:tc>
      </w:tr>
      <w:tr w:rsidR="007266CF" w:rsidRPr="002A677E" w14:paraId="5AA93043" w14:textId="77777777" w:rsidTr="007266CF">
        <w:tc>
          <w:tcPr>
            <w:tcW w:w="1101" w:type="dxa"/>
            <w:tcBorders>
              <w:top w:val="single" w:sz="4" w:space="0" w:color="auto"/>
              <w:left w:val="single" w:sz="4" w:space="0" w:color="auto"/>
              <w:bottom w:val="single" w:sz="4" w:space="0" w:color="auto"/>
              <w:right w:val="single" w:sz="4" w:space="0" w:color="auto"/>
            </w:tcBorders>
          </w:tcPr>
          <w:p w14:paraId="0FF96721" w14:textId="77777777" w:rsidR="007266CF" w:rsidRPr="002A677E" w:rsidRDefault="007266CF" w:rsidP="007266CF">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6DF6039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Výtěžek z pojištění a jiných mechanismů převodu rizika celkem</w:t>
            </w:r>
          </w:p>
          <w:p w14:paraId="11F40D26" w14:textId="77777777" w:rsidR="007266CF" w:rsidRPr="002A677E" w:rsidRDefault="007266CF" w:rsidP="007266CF">
            <w:pPr>
              <w:rPr>
                <w:rFonts w:ascii="Times New Roman" w:hAnsi="Times New Roman"/>
                <w:b/>
                <w:bCs/>
                <w:sz w:val="24"/>
                <w:u w:val="single"/>
              </w:rPr>
            </w:pPr>
            <w:r>
              <w:rPr>
                <w:rFonts w:ascii="Times New Roman" w:hAnsi="Times New Roman"/>
                <w:sz w:val="24"/>
              </w:rPr>
              <w:t>Za předpokladu, že instituce přidělila veškeré své ztráty oblasti podnikání uvedené v čl. 317 odst. 4 tabulce 2 nařízení (EU) č. 575/2013 nebo linii podnikání „podnikové položky“ uvedené v čl. 322 odst. 3 písm. b) uvedeného nařízení, je výtěžkem z pojištění a jiných mechanismů převodu rizika celkem prostý souhrn výtěžku z pojištění a jiných mechanismů převodu ztrát celkem za každou oblast podnikání.</w:t>
            </w:r>
          </w:p>
        </w:tc>
      </w:tr>
    </w:tbl>
    <w:p w14:paraId="27AD62CB" w14:textId="77777777" w:rsidR="007266CF" w:rsidRPr="002A677E" w:rsidRDefault="007266CF" w:rsidP="007266CF">
      <w:pPr>
        <w:spacing w:before="0" w:after="0"/>
        <w:jc w:val="left"/>
        <w:rPr>
          <w:rStyle w:val="InstructionsTabelleText"/>
          <w:rFonts w:ascii="Times New Roman" w:hAnsi="Times New Roman"/>
          <w:sz w:val="24"/>
        </w:rPr>
      </w:pPr>
    </w:p>
    <w:p w14:paraId="41B3C12A" w14:textId="77777777" w:rsidR="007266CF" w:rsidRPr="002A677E" w:rsidRDefault="007266CF" w:rsidP="00A75C39">
      <w:pPr>
        <w:pStyle w:val="Instructionsberschrift2"/>
        <w:numPr>
          <w:ilvl w:val="2"/>
          <w:numId w:val="103"/>
        </w:numPr>
        <w:rPr>
          <w:rFonts w:ascii="Times New Roman" w:hAnsi="Times New Roman" w:cs="Times New Roman"/>
          <w:sz w:val="24"/>
        </w:rPr>
      </w:pPr>
      <w:bookmarkStart w:id="274" w:name="_Toc116026830"/>
      <w:bookmarkStart w:id="275" w:name="_Toc119077987"/>
      <w:r>
        <w:rPr>
          <w:rFonts w:ascii="Times New Roman" w:hAnsi="Times New Roman"/>
          <w:sz w:val="24"/>
        </w:rPr>
        <w:lastRenderedPageBreak/>
        <w:t>C 17.02: Operační riziko: Podrobné informace o největších ztrátových událostech v minulém roce (OPR DETAILS 2)</w:t>
      </w:r>
      <w:bookmarkEnd w:id="274"/>
      <w:bookmarkEnd w:id="275"/>
    </w:p>
    <w:p w14:paraId="280643AC" w14:textId="77777777" w:rsidR="007266CF" w:rsidRPr="002A677E" w:rsidRDefault="007266CF" w:rsidP="00A75C39">
      <w:pPr>
        <w:pStyle w:val="Instructionsberschrift2"/>
        <w:numPr>
          <w:ilvl w:val="3"/>
          <w:numId w:val="104"/>
        </w:numPr>
        <w:rPr>
          <w:rFonts w:ascii="Times New Roman" w:hAnsi="Times New Roman" w:cs="Times New Roman"/>
          <w:sz w:val="24"/>
        </w:rPr>
      </w:pPr>
      <w:bookmarkStart w:id="276" w:name="_Toc116026831"/>
      <w:bookmarkStart w:id="277" w:name="_Toc119077988"/>
      <w:r>
        <w:rPr>
          <w:rFonts w:ascii="Times New Roman" w:hAnsi="Times New Roman"/>
          <w:sz w:val="24"/>
        </w:rPr>
        <w:t>Obecné poznámky</w:t>
      </w:r>
      <w:bookmarkEnd w:id="276"/>
      <w:bookmarkEnd w:id="277"/>
    </w:p>
    <w:p w14:paraId="135EE80B" w14:textId="77777777" w:rsidR="007266CF" w:rsidRPr="002A677E" w:rsidRDefault="007266CF" w:rsidP="007266CF">
      <w:pPr>
        <w:pStyle w:val="InstructionsText2"/>
        <w:numPr>
          <w:ilvl w:val="0"/>
          <w:numId w:val="0"/>
        </w:numPr>
        <w:ind w:left="1353" w:hanging="360"/>
      </w:pPr>
      <w:fldSimple w:instr=" seq paragraphs ">
        <w:r>
          <w:t>155</w:t>
        </w:r>
      </w:fldSimple>
      <w:r>
        <w:t>. V šabloně C 17.02 jsou podávány informace o jednotlivých ztrátových událostech (jeden řádek na ztrátovou událost).</w:t>
      </w:r>
    </w:p>
    <w:p w14:paraId="3AF89735" w14:textId="77777777" w:rsidR="007266CF" w:rsidRPr="002A677E" w:rsidRDefault="007266CF" w:rsidP="007266CF">
      <w:pPr>
        <w:pStyle w:val="InstructionsText2"/>
        <w:numPr>
          <w:ilvl w:val="0"/>
          <w:numId w:val="0"/>
        </w:numPr>
        <w:ind w:left="1353" w:hanging="360"/>
      </w:pPr>
      <w:fldSimple w:instr=" seq paragraphs ">
        <w:r>
          <w:t>156</w:t>
        </w:r>
      </w:fldSimple>
      <w:r>
        <w:t>.</w:t>
      </w:r>
      <w:r>
        <w:tab/>
        <w:t xml:space="preserve"> Informace vykazované v této šabloně odkazují na „nové ztrátové události“, tj. události operačního rizika:</w:t>
      </w:r>
    </w:p>
    <w:p w14:paraId="6DCDA258" w14:textId="77777777" w:rsidR="007266CF" w:rsidRPr="002A677E" w:rsidRDefault="007266CF" w:rsidP="007266CF">
      <w:pPr>
        <w:pStyle w:val="InstructionsText2"/>
        <w:numPr>
          <w:ilvl w:val="0"/>
          <w:numId w:val="0"/>
        </w:numPr>
        <w:ind w:left="1353" w:hanging="360"/>
      </w:pPr>
      <w:r>
        <w:t>a)</w:t>
      </w:r>
      <w:r>
        <w:tab/>
        <w:t>„poprvé zaúčtované“ ve vykazovaném referenčním období nebo</w:t>
      </w:r>
    </w:p>
    <w:p w14:paraId="04D9FEDC" w14:textId="77777777" w:rsidR="007266CF" w:rsidRPr="002A677E" w:rsidRDefault="007266CF" w:rsidP="007266CF">
      <w:pPr>
        <w:pStyle w:val="InstructionsText2"/>
        <w:numPr>
          <w:ilvl w:val="0"/>
          <w:numId w:val="0"/>
        </w:numPr>
        <w:ind w:left="1353" w:hanging="360"/>
      </w:pPr>
      <w:r>
        <w:t>b)</w:t>
      </w:r>
      <w:r>
        <w:tab/>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14:paraId="3A12FF2F" w14:textId="77777777" w:rsidR="007266CF" w:rsidRPr="002A677E" w:rsidRDefault="007266CF" w:rsidP="007266CF">
      <w:pPr>
        <w:pStyle w:val="InstructionsText2"/>
        <w:numPr>
          <w:ilvl w:val="0"/>
          <w:numId w:val="0"/>
        </w:numPr>
        <w:ind w:left="1353" w:hanging="360"/>
      </w:pPr>
      <w:fldSimple w:instr=" seq paragraphs ">
        <w:r>
          <w:t>157</w:t>
        </w:r>
      </w:fldSimple>
      <w:r>
        <w:t>. Vykazují se pouze ztrátové události obnášející hrubý objem ztrát 100 000 EUR nebo více.</w:t>
      </w:r>
    </w:p>
    <w:p w14:paraId="05D48FEF" w14:textId="77777777" w:rsidR="007266CF" w:rsidRPr="002A677E" w:rsidRDefault="007266CF" w:rsidP="007266CF">
      <w:pPr>
        <w:pStyle w:val="InstructionsText2"/>
        <w:numPr>
          <w:ilvl w:val="0"/>
          <w:numId w:val="0"/>
        </w:numPr>
        <w:ind w:left="1353" w:hanging="360"/>
      </w:pPr>
      <w:r>
        <w:t>S výhradou uvedené prahové hodnoty se do šablony zařazují:</w:t>
      </w:r>
    </w:p>
    <w:p w14:paraId="46A27FD7" w14:textId="77777777" w:rsidR="007266CF" w:rsidRPr="002A677E" w:rsidRDefault="007266CF" w:rsidP="007266CF">
      <w:pPr>
        <w:pStyle w:val="InstructionsText2"/>
        <w:numPr>
          <w:ilvl w:val="0"/>
          <w:numId w:val="0"/>
        </w:numPr>
        <w:ind w:left="1353" w:hanging="360"/>
      </w:pPr>
      <w:r>
        <w:t>a)</w:t>
      </w:r>
      <w:r>
        <w:tab/>
        <w:t>největší událost u každého druhu události za předpokladu, že instituce určila u ztrát druhy událostí, a</w:t>
      </w:r>
    </w:p>
    <w:p w14:paraId="630F47E6" w14:textId="77777777" w:rsidR="007266CF" w:rsidRPr="002A677E" w:rsidRDefault="007266CF" w:rsidP="007266CF">
      <w:pPr>
        <w:pStyle w:val="InstructionsText2"/>
        <w:numPr>
          <w:ilvl w:val="0"/>
          <w:numId w:val="0"/>
        </w:numPr>
        <w:ind w:left="1353" w:hanging="360"/>
      </w:pPr>
      <w:r>
        <w:t>b)</w:t>
      </w:r>
      <w:r>
        <w:tab/>
        <w:t>alespoň deset největších ze zbývajících událostí s určeným druhem události nebo bez tohoto určeného druhu události, a to podle hrubého objemu ztrát.</w:t>
      </w:r>
    </w:p>
    <w:p w14:paraId="5C4638DD" w14:textId="77777777" w:rsidR="007266CF" w:rsidRPr="002A677E" w:rsidRDefault="007266CF" w:rsidP="007266CF">
      <w:pPr>
        <w:pStyle w:val="InstructionsText2"/>
        <w:numPr>
          <w:ilvl w:val="0"/>
          <w:numId w:val="0"/>
        </w:numPr>
        <w:ind w:left="1353" w:hanging="360"/>
      </w:pPr>
      <w:r>
        <w:t>c)</w:t>
      </w:r>
      <w:r>
        <w:tab/>
        <w:t>Ztrátové události jsou seřazeny na základě jim přiřazené hrubé ztráty.</w:t>
      </w:r>
    </w:p>
    <w:p w14:paraId="0D006F39" w14:textId="77777777" w:rsidR="007266CF" w:rsidRPr="002A677E" w:rsidRDefault="007266CF" w:rsidP="007266CF">
      <w:pPr>
        <w:pStyle w:val="InstructionsText2"/>
        <w:numPr>
          <w:ilvl w:val="0"/>
          <w:numId w:val="0"/>
        </w:numPr>
        <w:ind w:left="1353" w:hanging="360"/>
      </w:pPr>
      <w:r>
        <w:t>d)</w:t>
      </w:r>
      <w:r>
        <w:tab/>
        <w:t>Ztrátová událost se zohlední pouze jednou.</w:t>
      </w:r>
    </w:p>
    <w:p w14:paraId="64B797A0" w14:textId="77777777" w:rsidR="007266CF" w:rsidRPr="002A677E" w:rsidRDefault="007266CF" w:rsidP="00A75C39">
      <w:pPr>
        <w:pStyle w:val="Instructionsberschrift2"/>
        <w:numPr>
          <w:ilvl w:val="3"/>
          <w:numId w:val="105"/>
        </w:numPr>
        <w:rPr>
          <w:rFonts w:ascii="Times New Roman" w:hAnsi="Times New Roman" w:cs="Times New Roman"/>
          <w:sz w:val="24"/>
        </w:rPr>
      </w:pPr>
      <w:bookmarkStart w:id="278" w:name="_Toc116026832"/>
      <w:bookmarkStart w:id="279" w:name="_Toc119077989"/>
      <w:r>
        <w:rPr>
          <w:rFonts w:ascii="Times New Roman" w:hAnsi="Times New Roman"/>
          <w:sz w:val="24"/>
        </w:rPr>
        <w:t>Pokyny pro konkrétní pozice</w:t>
      </w:r>
      <w:bookmarkEnd w:id="278"/>
      <w:bookmarkEnd w:id="279"/>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7266CF" w:rsidRPr="002A677E" w14:paraId="38DDD060" w14:textId="77777777" w:rsidTr="007266CF">
        <w:tc>
          <w:tcPr>
            <w:tcW w:w="9062" w:type="dxa"/>
            <w:gridSpan w:val="2"/>
            <w:shd w:val="clear" w:color="auto" w:fill="BFBFBF"/>
          </w:tcPr>
          <w:p w14:paraId="7240BE9F" w14:textId="77777777" w:rsidR="007266CF" w:rsidRPr="002A677E" w:rsidRDefault="007266CF" w:rsidP="007266CF">
            <w:pPr>
              <w:rPr>
                <w:rFonts w:ascii="Times New Roman" w:hAnsi="Times New Roman"/>
                <w:sz w:val="24"/>
              </w:rPr>
            </w:pPr>
            <w:r>
              <w:rPr>
                <w:rFonts w:ascii="Times New Roman" w:hAnsi="Times New Roman"/>
                <w:b/>
                <w:sz w:val="24"/>
              </w:rPr>
              <w:t>Sloupce</w:t>
            </w:r>
          </w:p>
        </w:tc>
      </w:tr>
      <w:tr w:rsidR="007266CF" w:rsidRPr="006223CC" w14:paraId="1F318605" w14:textId="77777777" w:rsidTr="007266CF">
        <w:tc>
          <w:tcPr>
            <w:tcW w:w="951" w:type="dxa"/>
            <w:shd w:val="clear" w:color="auto" w:fill="auto"/>
          </w:tcPr>
          <w:p w14:paraId="308FBB08"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111" w:type="dxa"/>
            <w:shd w:val="clear" w:color="auto" w:fill="auto"/>
          </w:tcPr>
          <w:p w14:paraId="1506F8AD" w14:textId="77777777" w:rsidR="007266CF" w:rsidRPr="002A677E" w:rsidRDefault="007266CF" w:rsidP="007266CF">
            <w:pPr>
              <w:rPr>
                <w:rFonts w:ascii="Times New Roman" w:hAnsi="Times New Roman"/>
                <w:sz w:val="24"/>
              </w:rPr>
            </w:pPr>
            <w:r>
              <w:rPr>
                <w:rStyle w:val="InstructionsTabelleberschrift"/>
                <w:rFonts w:ascii="Times New Roman" w:hAnsi="Times New Roman"/>
                <w:sz w:val="24"/>
              </w:rPr>
              <w:t>ID události</w:t>
            </w:r>
          </w:p>
          <w:p w14:paraId="477EC55C" w14:textId="77777777" w:rsidR="007266CF" w:rsidRPr="002A677E" w:rsidRDefault="007266CF" w:rsidP="007266CF">
            <w:pPr>
              <w:rPr>
                <w:rFonts w:ascii="Times New Roman" w:hAnsi="Times New Roman"/>
                <w:sz w:val="24"/>
              </w:rPr>
            </w:pPr>
            <w:r>
              <w:rPr>
                <w:rFonts w:ascii="Times New Roman" w:hAnsi="Times New Roman"/>
                <w:sz w:val="24"/>
              </w:rPr>
              <w:t xml:space="preserve">ID události je identifikátorem řádku a je pro každý řádek šablony jedinečné. </w:t>
            </w:r>
          </w:p>
          <w:p w14:paraId="65664352"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Je-li k dispozici interní ID, instituce poskytne interní ID. V opačném případě vykazované ID sleduje číselné pořadí 1, 2, 3 atd.</w:t>
            </w:r>
          </w:p>
        </w:tc>
      </w:tr>
      <w:tr w:rsidR="007266CF" w:rsidRPr="002A677E" w14:paraId="2C30133A" w14:textId="77777777" w:rsidTr="007266CF">
        <w:tc>
          <w:tcPr>
            <w:tcW w:w="951" w:type="dxa"/>
            <w:shd w:val="clear" w:color="auto" w:fill="auto"/>
          </w:tcPr>
          <w:p w14:paraId="49EF3081"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111" w:type="dxa"/>
            <w:shd w:val="clear" w:color="auto" w:fill="auto"/>
          </w:tcPr>
          <w:p w14:paraId="782491A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Datum zaúčtování</w:t>
            </w:r>
          </w:p>
          <w:p w14:paraId="2DF50791" w14:textId="77777777" w:rsidR="007266CF" w:rsidRPr="002A677E" w:rsidRDefault="007266CF" w:rsidP="007266CF">
            <w:pPr>
              <w:rPr>
                <w:rFonts w:ascii="Times New Roman" w:hAnsi="Times New Roman"/>
                <w:sz w:val="24"/>
              </w:rPr>
            </w:pPr>
            <w:r>
              <w:rPr>
                <w:rFonts w:ascii="Times New Roman" w:hAnsi="Times New Roman"/>
                <w:sz w:val="24"/>
              </w:rPr>
              <w:t xml:space="preserve">Datem zaúčtování se rozumí datum, kdy ztráta nebo rezervní fond / rezerva na ztrátu v důsledku operačního rizika byly poprvé uznány ve výkazu zisků a ztrát. </w:t>
            </w:r>
          </w:p>
        </w:tc>
      </w:tr>
      <w:tr w:rsidR="007266CF" w:rsidRPr="002A677E" w14:paraId="63C22CF3" w14:textId="77777777" w:rsidTr="007266CF">
        <w:tc>
          <w:tcPr>
            <w:tcW w:w="951" w:type="dxa"/>
            <w:shd w:val="clear" w:color="auto" w:fill="auto"/>
          </w:tcPr>
          <w:p w14:paraId="4B5E71D6" w14:textId="77777777" w:rsidR="007266CF" w:rsidRPr="002A677E" w:rsidRDefault="007266CF" w:rsidP="007266CF">
            <w:pPr>
              <w:rPr>
                <w:rFonts w:ascii="Times New Roman" w:hAnsi="Times New Roman"/>
                <w:sz w:val="24"/>
              </w:rPr>
            </w:pPr>
            <w:r>
              <w:rPr>
                <w:rFonts w:ascii="Times New Roman" w:hAnsi="Times New Roman"/>
                <w:sz w:val="24"/>
              </w:rPr>
              <w:lastRenderedPageBreak/>
              <w:t>0030</w:t>
            </w:r>
          </w:p>
        </w:tc>
        <w:tc>
          <w:tcPr>
            <w:tcW w:w="8111" w:type="dxa"/>
            <w:shd w:val="clear" w:color="auto" w:fill="auto"/>
          </w:tcPr>
          <w:p w14:paraId="0141E97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Datum události</w:t>
            </w:r>
          </w:p>
          <w:p w14:paraId="58A597EC" w14:textId="77777777" w:rsidR="007266CF" w:rsidRPr="002A677E" w:rsidRDefault="007266CF" w:rsidP="007266CF">
            <w:pPr>
              <w:rPr>
                <w:rFonts w:ascii="Times New Roman" w:hAnsi="Times New Roman"/>
                <w:sz w:val="24"/>
              </w:rPr>
            </w:pPr>
            <w:r>
              <w:rPr>
                <w:rFonts w:ascii="Times New Roman" w:hAnsi="Times New Roman"/>
                <w:sz w:val="24"/>
              </w:rPr>
              <w:t>Datem události je den, kdy ztrátová událost operačního rizika nastala nebo poprvé začala.</w:t>
            </w:r>
          </w:p>
        </w:tc>
      </w:tr>
      <w:tr w:rsidR="007266CF" w:rsidRPr="002A677E" w14:paraId="20E2AE9F" w14:textId="77777777" w:rsidTr="007266CF">
        <w:tc>
          <w:tcPr>
            <w:tcW w:w="951" w:type="dxa"/>
            <w:shd w:val="clear" w:color="auto" w:fill="auto"/>
          </w:tcPr>
          <w:p w14:paraId="2B434104"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111" w:type="dxa"/>
            <w:shd w:val="clear" w:color="auto" w:fill="auto"/>
          </w:tcPr>
          <w:p w14:paraId="4E220F05"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Datum zjištění</w:t>
            </w:r>
          </w:p>
          <w:p w14:paraId="0BA7011F" w14:textId="77777777" w:rsidR="007266CF" w:rsidRPr="002A677E" w:rsidRDefault="007266CF" w:rsidP="007266CF">
            <w:pPr>
              <w:rPr>
                <w:rFonts w:ascii="Times New Roman" w:hAnsi="Times New Roman"/>
                <w:sz w:val="24"/>
              </w:rPr>
            </w:pPr>
            <w:r>
              <w:rPr>
                <w:rFonts w:ascii="Times New Roman" w:hAnsi="Times New Roman"/>
                <w:sz w:val="24"/>
              </w:rPr>
              <w:t>Datem zjištění je den, kdy instituce ztrátovou událost operačního rizika zjistila.</w:t>
            </w:r>
          </w:p>
        </w:tc>
      </w:tr>
      <w:tr w:rsidR="007266CF" w:rsidRPr="002A677E" w14:paraId="08F9CCF3" w14:textId="77777777" w:rsidTr="007266CF">
        <w:tc>
          <w:tcPr>
            <w:tcW w:w="951" w:type="dxa"/>
            <w:shd w:val="clear" w:color="auto" w:fill="auto"/>
          </w:tcPr>
          <w:p w14:paraId="3351D19E"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111" w:type="dxa"/>
            <w:shd w:val="clear" w:color="auto" w:fill="auto"/>
          </w:tcPr>
          <w:p w14:paraId="64E37BA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Druh ztrátové události</w:t>
            </w:r>
          </w:p>
          <w:p w14:paraId="060BAD08" w14:textId="77777777" w:rsidR="007266CF" w:rsidRPr="002A677E" w:rsidRDefault="007266CF" w:rsidP="007266CF">
            <w:pPr>
              <w:rPr>
                <w:rFonts w:ascii="Times New Roman" w:hAnsi="Times New Roman"/>
                <w:sz w:val="24"/>
              </w:rPr>
            </w:pPr>
            <w:r>
              <w:rPr>
                <w:rFonts w:ascii="Times New Roman" w:hAnsi="Times New Roman"/>
                <w:sz w:val="24"/>
              </w:rPr>
              <w:t>Druhy ztrátových událostí podle článku 324 nařízení (EU) č. 575/2013.</w:t>
            </w:r>
          </w:p>
        </w:tc>
      </w:tr>
      <w:tr w:rsidR="007266CF" w:rsidRPr="002A677E" w14:paraId="6D38014F" w14:textId="77777777" w:rsidTr="007266CF">
        <w:tc>
          <w:tcPr>
            <w:tcW w:w="951" w:type="dxa"/>
            <w:shd w:val="clear" w:color="auto" w:fill="auto"/>
          </w:tcPr>
          <w:p w14:paraId="72382CDD"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111" w:type="dxa"/>
            <w:shd w:val="clear" w:color="auto" w:fill="auto"/>
          </w:tcPr>
          <w:p w14:paraId="701E090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Hrubá ztráta</w:t>
            </w:r>
          </w:p>
          <w:p w14:paraId="4B4D3D5D" w14:textId="77777777" w:rsidR="007266CF" w:rsidRPr="002A677E" w:rsidRDefault="007266CF" w:rsidP="007266CF">
            <w:pPr>
              <w:rPr>
                <w:rFonts w:ascii="Times New Roman" w:hAnsi="Times New Roman"/>
                <w:sz w:val="24"/>
              </w:rPr>
            </w:pPr>
            <w:r>
              <w:rPr>
                <w:rFonts w:ascii="Times New Roman" w:hAnsi="Times New Roman"/>
                <w:sz w:val="24"/>
              </w:rPr>
              <w:t>Hrubá ztráta související se ztrátovou událostí, jak je vykázána v řádcích 0020, 0120 atd. šablony C 17.01.</w:t>
            </w:r>
          </w:p>
        </w:tc>
      </w:tr>
      <w:tr w:rsidR="007266CF" w:rsidRPr="002A677E" w14:paraId="61517B93" w14:textId="77777777" w:rsidTr="007266CF">
        <w:tc>
          <w:tcPr>
            <w:tcW w:w="951" w:type="dxa"/>
            <w:shd w:val="clear" w:color="auto" w:fill="auto"/>
          </w:tcPr>
          <w:p w14:paraId="18971C74"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111" w:type="dxa"/>
            <w:shd w:val="clear" w:color="auto" w:fill="auto"/>
          </w:tcPr>
          <w:p w14:paraId="782B3F3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Hrubá ztráta bez přímých výtěžků</w:t>
            </w:r>
          </w:p>
          <w:p w14:paraId="2E252036" w14:textId="77777777" w:rsidR="007266CF" w:rsidRPr="002A677E" w:rsidRDefault="007266CF" w:rsidP="007266CF">
            <w:pPr>
              <w:rPr>
                <w:rFonts w:ascii="Times New Roman" w:hAnsi="Times New Roman"/>
                <w:sz w:val="24"/>
              </w:rPr>
            </w:pPr>
            <w:r>
              <w:rPr>
                <w:rFonts w:ascii="Times New Roman" w:hAnsi="Times New Roman"/>
                <w:sz w:val="24"/>
              </w:rPr>
              <w:t>Hrubá ztráta související se ztrátovou událostí, jak je vykázána v řádcích 0020, 0120 atd. šablony C 17.01, bez přímých výtěžků týkajících se této ztrátové události.</w:t>
            </w:r>
          </w:p>
        </w:tc>
      </w:tr>
      <w:tr w:rsidR="007266CF" w:rsidRPr="002A677E" w14:paraId="371C7A79" w14:textId="77777777" w:rsidTr="007266CF">
        <w:tc>
          <w:tcPr>
            <w:tcW w:w="951" w:type="dxa"/>
            <w:shd w:val="clear" w:color="auto" w:fill="auto"/>
          </w:tcPr>
          <w:p w14:paraId="0DFEACF1" w14:textId="77777777" w:rsidR="007266CF" w:rsidRPr="002A677E" w:rsidRDefault="007266CF" w:rsidP="007266CF">
            <w:pPr>
              <w:rPr>
                <w:rFonts w:ascii="Times New Roman" w:hAnsi="Times New Roman"/>
                <w:sz w:val="24"/>
              </w:rPr>
            </w:pPr>
            <w:r>
              <w:rPr>
                <w:rFonts w:ascii="Times New Roman" w:hAnsi="Times New Roman"/>
                <w:sz w:val="24"/>
              </w:rPr>
              <w:t>0080–0160</w:t>
            </w:r>
          </w:p>
        </w:tc>
        <w:tc>
          <w:tcPr>
            <w:tcW w:w="8111" w:type="dxa"/>
            <w:shd w:val="clear" w:color="auto" w:fill="auto"/>
          </w:tcPr>
          <w:p w14:paraId="7E3D5AA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Hrubá ztráta podle linií podnikání</w:t>
            </w:r>
          </w:p>
          <w:p w14:paraId="12CBFFAE" w14:textId="77777777" w:rsidR="007266CF" w:rsidRPr="002A677E" w:rsidRDefault="007266CF" w:rsidP="007266CF">
            <w:pPr>
              <w:rPr>
                <w:rFonts w:ascii="Times New Roman" w:hAnsi="Times New Roman"/>
                <w:sz w:val="24"/>
              </w:rPr>
            </w:pPr>
            <w:r>
              <w:rPr>
                <w:rFonts w:ascii="Times New Roman" w:hAnsi="Times New Roman"/>
                <w:sz w:val="24"/>
              </w:rPr>
              <w:t>Hrubá ztráta vykázaná ve sloupci 0060 se přidělí příslušným liniím podnikání uvedeným v čl. 317 odst. 4 tabulce 2 a čl. 322 odst. 3 písm. b) nařízení (EU) č. 575/2013.</w:t>
            </w:r>
          </w:p>
        </w:tc>
      </w:tr>
      <w:tr w:rsidR="007266CF" w:rsidRPr="002A677E" w14:paraId="67C8DA0A" w14:textId="77777777" w:rsidTr="007266CF">
        <w:tc>
          <w:tcPr>
            <w:tcW w:w="951" w:type="dxa"/>
            <w:shd w:val="clear" w:color="auto" w:fill="auto"/>
          </w:tcPr>
          <w:p w14:paraId="5A9339A4" w14:textId="77777777" w:rsidR="007266CF" w:rsidRPr="002A677E" w:rsidRDefault="007266CF" w:rsidP="007266CF">
            <w:pPr>
              <w:rPr>
                <w:rFonts w:ascii="Times New Roman" w:hAnsi="Times New Roman"/>
                <w:sz w:val="24"/>
              </w:rPr>
            </w:pPr>
            <w:r>
              <w:rPr>
                <w:rFonts w:ascii="Times New Roman" w:hAnsi="Times New Roman"/>
                <w:sz w:val="24"/>
              </w:rPr>
              <w:t>0170</w:t>
            </w:r>
          </w:p>
        </w:tc>
        <w:tc>
          <w:tcPr>
            <w:tcW w:w="8111" w:type="dxa"/>
            <w:shd w:val="clear" w:color="auto" w:fill="auto"/>
          </w:tcPr>
          <w:p w14:paraId="5D171F92"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Název právnické osoby</w:t>
            </w:r>
          </w:p>
          <w:p w14:paraId="5B22F975" w14:textId="77777777" w:rsidR="007266CF" w:rsidRPr="002A677E" w:rsidRDefault="007266CF" w:rsidP="007266CF">
            <w:pPr>
              <w:rPr>
                <w:rFonts w:ascii="Times New Roman" w:hAnsi="Times New Roman"/>
                <w:sz w:val="24"/>
              </w:rPr>
            </w:pPr>
            <w:r>
              <w:rPr>
                <w:rFonts w:ascii="Times New Roman" w:hAnsi="Times New Roman"/>
                <w:sz w:val="24"/>
              </w:rPr>
              <w:t>Název právnické osoby, u níž došlo ke ztrátě nebo k největšímu podílu na ztrátě, bylo-li dotčeno několik subjektů, uvedený ve sloupci 0011 šablony C 06.02.</w:t>
            </w:r>
          </w:p>
        </w:tc>
      </w:tr>
      <w:tr w:rsidR="007266CF" w:rsidRPr="002A677E" w14:paraId="6F8ECED3" w14:textId="77777777" w:rsidTr="007266CF">
        <w:tc>
          <w:tcPr>
            <w:tcW w:w="951" w:type="dxa"/>
            <w:shd w:val="clear" w:color="auto" w:fill="auto"/>
          </w:tcPr>
          <w:p w14:paraId="1F6197FD" w14:textId="77777777" w:rsidR="007266CF" w:rsidRPr="002A677E" w:rsidRDefault="007266CF" w:rsidP="007266CF">
            <w:pPr>
              <w:rPr>
                <w:rFonts w:ascii="Times New Roman" w:hAnsi="Times New Roman"/>
                <w:sz w:val="24"/>
              </w:rPr>
            </w:pPr>
            <w:r>
              <w:rPr>
                <w:rFonts w:ascii="Times New Roman" w:hAnsi="Times New Roman"/>
                <w:sz w:val="24"/>
              </w:rPr>
              <w:t>0181</w:t>
            </w:r>
          </w:p>
        </w:tc>
        <w:tc>
          <w:tcPr>
            <w:tcW w:w="8111" w:type="dxa"/>
            <w:shd w:val="clear" w:color="auto" w:fill="auto"/>
          </w:tcPr>
          <w:p w14:paraId="7E107D0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Kód</w:t>
            </w:r>
          </w:p>
          <w:p w14:paraId="5999779E" w14:textId="77777777" w:rsidR="007266CF" w:rsidRPr="002A677E" w:rsidRDefault="007266CF" w:rsidP="007266CF">
            <w:pPr>
              <w:rPr>
                <w:rFonts w:ascii="Times New Roman" w:hAnsi="Times New Roman"/>
                <w:sz w:val="24"/>
              </w:rPr>
            </w:pPr>
            <w:r>
              <w:rPr>
                <w:rFonts w:ascii="Times New Roman" w:hAnsi="Times New Roman"/>
                <w:sz w:val="24"/>
              </w:rPr>
              <w:t>Kód právnické osoby, u níž došlo ke ztrátě nebo k největšímu podílu na ztrátě, bylo-li dotčeno několik subjektů, uvedený ve sloupci 0021 šablony C 06.02.</w:t>
            </w:r>
          </w:p>
        </w:tc>
      </w:tr>
      <w:tr w:rsidR="007266CF" w:rsidRPr="002A677E" w14:paraId="78419745" w14:textId="77777777" w:rsidTr="007266CF">
        <w:tc>
          <w:tcPr>
            <w:tcW w:w="951" w:type="dxa"/>
            <w:shd w:val="clear" w:color="auto" w:fill="auto"/>
          </w:tcPr>
          <w:p w14:paraId="54A15A1B"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4D0A958D"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TYP KÓDU</w:t>
            </w:r>
          </w:p>
          <w:p w14:paraId="2A181099" w14:textId="77777777" w:rsidR="007266CF" w:rsidRPr="002A677E" w:rsidRDefault="007266CF" w:rsidP="007266CF">
            <w:pPr>
              <w:rPr>
                <w:rStyle w:val="InstructionsTabelleberschrift"/>
                <w:rFonts w:ascii="Times New Roman" w:hAnsi="Times New Roman"/>
                <w:sz w:val="24"/>
              </w:rPr>
            </w:pPr>
            <w:r>
              <w:rPr>
                <w:rStyle w:val="InstructionsTabelleText"/>
                <w:rFonts w:ascii="Times New Roman" w:hAnsi="Times New Roman"/>
                <w:sz w:val="24"/>
              </w:rPr>
              <w:t xml:space="preserve">Instituce označí typ kódu vykázaného </w:t>
            </w:r>
            <w:r>
              <w:rPr>
                <w:rStyle w:val="FormatvorlageInstructionsTabelleText"/>
                <w:rFonts w:ascii="Times New Roman" w:hAnsi="Times New Roman"/>
                <w:sz w:val="24"/>
              </w:rPr>
              <w:t>ve sloupci 0181 jako „kód LEI“ nebo „kód jiný než LEI“ rovněž v řádku se sloupcem 0026 v šabloně C 06.02. Typ kódu se vykazuje vždy.</w:t>
            </w:r>
          </w:p>
        </w:tc>
      </w:tr>
      <w:tr w:rsidR="007266CF" w:rsidRPr="002A677E" w14:paraId="680BB321" w14:textId="77777777" w:rsidTr="007266CF">
        <w:tc>
          <w:tcPr>
            <w:tcW w:w="951" w:type="dxa"/>
            <w:shd w:val="clear" w:color="auto" w:fill="auto"/>
          </w:tcPr>
          <w:p w14:paraId="07551C2B" w14:textId="77777777" w:rsidR="007266CF" w:rsidRPr="002A677E" w:rsidRDefault="007266CF" w:rsidP="007266CF">
            <w:pPr>
              <w:rPr>
                <w:rFonts w:ascii="Times New Roman" w:hAnsi="Times New Roman"/>
                <w:sz w:val="24"/>
              </w:rPr>
            </w:pPr>
            <w:r>
              <w:rPr>
                <w:rFonts w:ascii="Times New Roman" w:hAnsi="Times New Roman"/>
                <w:sz w:val="24"/>
              </w:rPr>
              <w:t>0190</w:t>
            </w:r>
          </w:p>
        </w:tc>
        <w:tc>
          <w:tcPr>
            <w:tcW w:w="8111" w:type="dxa"/>
            <w:shd w:val="clear" w:color="auto" w:fill="auto"/>
          </w:tcPr>
          <w:p w14:paraId="672658E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Obchodní jednotka</w:t>
            </w:r>
          </w:p>
          <w:p w14:paraId="452CF04E" w14:textId="77777777" w:rsidR="007266CF" w:rsidRPr="002A677E" w:rsidRDefault="007266CF" w:rsidP="007266CF">
            <w:pPr>
              <w:rPr>
                <w:rFonts w:ascii="Times New Roman" w:hAnsi="Times New Roman"/>
                <w:sz w:val="24"/>
              </w:rPr>
            </w:pPr>
            <w:r>
              <w:rPr>
                <w:rFonts w:ascii="Times New Roman" w:hAnsi="Times New Roman"/>
                <w:sz w:val="24"/>
              </w:rPr>
              <w:t>Obchodní jednotka nebo podniková divize instituce, u níž došlo ke ztrátě, nebo k největšímu podílu na ztrátě, bylo-li dotčeno několik obchodních jednotek nebo podnikových divizí.</w:t>
            </w:r>
          </w:p>
        </w:tc>
      </w:tr>
      <w:tr w:rsidR="007266CF" w:rsidRPr="002A677E" w14:paraId="6EE053E6" w14:textId="77777777" w:rsidTr="007266CF">
        <w:tc>
          <w:tcPr>
            <w:tcW w:w="951" w:type="dxa"/>
            <w:shd w:val="clear" w:color="auto" w:fill="auto"/>
          </w:tcPr>
          <w:p w14:paraId="23E3EE2E" w14:textId="77777777" w:rsidR="007266CF" w:rsidRPr="002A677E" w:rsidRDefault="007266CF" w:rsidP="007266CF">
            <w:pPr>
              <w:rPr>
                <w:rFonts w:ascii="Times New Roman" w:hAnsi="Times New Roman"/>
                <w:sz w:val="24"/>
              </w:rPr>
            </w:pPr>
            <w:r>
              <w:rPr>
                <w:rFonts w:ascii="Times New Roman" w:hAnsi="Times New Roman"/>
                <w:sz w:val="24"/>
              </w:rPr>
              <w:t>0200</w:t>
            </w:r>
          </w:p>
        </w:tc>
        <w:tc>
          <w:tcPr>
            <w:tcW w:w="8111" w:type="dxa"/>
            <w:shd w:val="clear" w:color="auto" w:fill="auto"/>
          </w:tcPr>
          <w:p w14:paraId="7A35117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Popis</w:t>
            </w:r>
          </w:p>
          <w:p w14:paraId="60EC936B" w14:textId="77777777" w:rsidR="007266CF" w:rsidRPr="002A677E" w:rsidRDefault="007266CF" w:rsidP="007266CF">
            <w:pPr>
              <w:rPr>
                <w:rFonts w:ascii="Times New Roman" w:hAnsi="Times New Roman"/>
                <w:sz w:val="24"/>
              </w:rPr>
            </w:pPr>
            <w:r>
              <w:rPr>
                <w:rFonts w:ascii="Times New Roman" w:hAnsi="Times New Roman"/>
                <w:sz w:val="24"/>
              </w:rPr>
              <w:t>Podrobný popis ztrátové události, v nezbytných případech v zobecněné nebo anonymizované podobě, zahrnuje alespoň informace o vlastní události a informace o rizikových faktorech nebo příčinách ztrátové události, jsou-li známy.</w:t>
            </w:r>
          </w:p>
        </w:tc>
      </w:tr>
    </w:tbl>
    <w:p w14:paraId="2EFF8B34" w14:textId="77777777" w:rsidR="007266CF" w:rsidRPr="002A677E" w:rsidRDefault="007266CF" w:rsidP="007266CF">
      <w:pPr>
        <w:spacing w:after="0"/>
        <w:rPr>
          <w:rFonts w:ascii="Times New Roman" w:hAnsi="Times New Roman"/>
          <w:sz w:val="24"/>
        </w:rPr>
      </w:pPr>
    </w:p>
    <w:p w14:paraId="1C8C0C0E" w14:textId="77777777" w:rsidR="007266CF" w:rsidRPr="002A677E" w:rsidRDefault="007266CF" w:rsidP="007266CF">
      <w:pPr>
        <w:spacing w:before="0" w:after="0"/>
        <w:jc w:val="left"/>
        <w:rPr>
          <w:rStyle w:val="InstructionsTabelleText"/>
          <w:rFonts w:ascii="Times New Roman" w:hAnsi="Times New Roman"/>
          <w:sz w:val="24"/>
        </w:rPr>
      </w:pPr>
      <w:r>
        <w:br w:type="page"/>
      </w:r>
    </w:p>
    <w:p w14:paraId="43B73779" w14:textId="77777777" w:rsidR="007266CF" w:rsidRPr="002A677E" w:rsidRDefault="007266CF" w:rsidP="00A75C39">
      <w:pPr>
        <w:pStyle w:val="Instructionsberschrift2"/>
        <w:numPr>
          <w:ilvl w:val="0"/>
          <w:numId w:val="106"/>
        </w:numPr>
        <w:rPr>
          <w:rFonts w:ascii="Times New Roman" w:hAnsi="Times New Roman" w:cs="Times New Roman"/>
          <w:sz w:val="24"/>
        </w:rPr>
      </w:pPr>
      <w:bookmarkStart w:id="280" w:name="_Toc116026833"/>
      <w:bookmarkStart w:id="281" w:name="_Toc119077990"/>
      <w:r>
        <w:rPr>
          <w:rFonts w:ascii="Times New Roman" w:hAnsi="Times New Roman"/>
          <w:sz w:val="24"/>
        </w:rPr>
        <w:lastRenderedPageBreak/>
        <w:t>Šablony zaměřené na tržní riziko</w:t>
      </w:r>
      <w:bookmarkEnd w:id="280"/>
      <w:bookmarkEnd w:id="281"/>
    </w:p>
    <w:p w14:paraId="66D7F43F" w14:textId="77777777" w:rsidR="007266CF" w:rsidRPr="002A677E" w:rsidRDefault="007266CF" w:rsidP="007266CF">
      <w:pPr>
        <w:pStyle w:val="InstructionsText2"/>
        <w:numPr>
          <w:ilvl w:val="0"/>
          <w:numId w:val="0"/>
        </w:numPr>
        <w:ind w:left="1353" w:hanging="360"/>
      </w:pPr>
      <w:fldSimple w:instr=" seq paragraphs ">
        <w:r>
          <w:t>158</w:t>
        </w:r>
      </w:fldSimple>
      <w:r>
        <w:t>.</w:t>
      </w:r>
      <w:r>
        <w:tab/>
        <w:t xml:space="preserve"> Tyto pokyny se týkají šablon, v nichž se vykazuje výpočet kapitálových požadavků k měnovému riziku (MKR SA FX), komoditnímu riziku (MKR SA COM), úrokovému riziku (MKR SA TDI, MKR SA SEC, MKR SA CTP) a akciovému riziku (MKR SA EQU), a to ve všech případech na základě standardizovaného přístupu. V této části jsou navíc zahrnuty pokyny pro vyplňování šablony týkající se výpočtu kapitálových požadavků na základě přístupu založeného na interních modelech (MKR IM). </w:t>
      </w:r>
    </w:p>
    <w:p w14:paraId="05C2062F" w14:textId="77777777" w:rsidR="007266CF" w:rsidRPr="002A677E" w:rsidRDefault="007266CF" w:rsidP="007266CF">
      <w:pPr>
        <w:pStyle w:val="InstructionsText2"/>
        <w:numPr>
          <w:ilvl w:val="0"/>
          <w:numId w:val="0"/>
        </w:numPr>
        <w:ind w:left="1353" w:hanging="360"/>
      </w:pPr>
      <w:fldSimple w:instr=" seq paragraphs ">
        <w:r>
          <w:t>159</w:t>
        </w:r>
      </w:fldSimple>
      <w:r>
        <w:t>.</w:t>
      </w:r>
      <w:r>
        <w:tab/>
        <w:t xml:space="preserve"> Poziční riziko u obchodovaného dluhového nebo akciového nástroje (nebo dluhového či akciového derivátu) se pro účely výpočtu kapitálového požadavku k tomuto riziku rozděluje na dvě složky. První je složka specifického rizika – to je riziko změny v ceně příslušného nástroje v důsledku faktorů ve vztahu k jeho emitentovi nebo v případě derivátů k emitentovi podkladového nástroje. Druhá složka se vztahuje na obecné riziko – to je riziko změny v ceně příslušného nástroje (v případě obchodovaného dluhového nástroje nebo dluhového derivátu) v důsledku změny v úrovni úrokových sazeb nebo (v případě akcií nebo akciových derivátů) rozsáhlého pohybu na akciovém trhu nespojeného se specifickými atributy jednotlivých cenných papírů. Obecný přístup ke zvláštním nástrojům a postupům započtení je upraven v článcích 326 až 333 nařízení (EU) č. 575/2013. </w:t>
      </w:r>
    </w:p>
    <w:p w14:paraId="7F73DEC2" w14:textId="77777777" w:rsidR="007266CF" w:rsidRPr="002A677E" w:rsidRDefault="007266CF" w:rsidP="00A75C39">
      <w:pPr>
        <w:pStyle w:val="Instructionsberschrift2"/>
        <w:numPr>
          <w:ilvl w:val="1"/>
          <w:numId w:val="107"/>
        </w:numPr>
        <w:rPr>
          <w:rFonts w:ascii="Times New Roman" w:hAnsi="Times New Roman" w:cs="Times New Roman"/>
          <w:sz w:val="24"/>
        </w:rPr>
      </w:pPr>
      <w:bookmarkStart w:id="282" w:name="_Toc116026834"/>
      <w:bookmarkStart w:id="283" w:name="_Toc119077991"/>
      <w:r>
        <w:rPr>
          <w:rFonts w:ascii="Times New Roman" w:hAnsi="Times New Roman"/>
          <w:sz w:val="24"/>
        </w:rPr>
        <w:t>C 18.00 – Tržní riziko: Standardizovaný přístup k pozičním rizikům v obchodovaných dluhových nástrojích (MKR SA TDI)</w:t>
      </w:r>
      <w:bookmarkEnd w:id="282"/>
      <w:bookmarkEnd w:id="283"/>
    </w:p>
    <w:p w14:paraId="1B35C6B1" w14:textId="77777777" w:rsidR="007266CF" w:rsidRPr="002A677E" w:rsidRDefault="007266CF" w:rsidP="00A75C39">
      <w:pPr>
        <w:pStyle w:val="Instructionsberschrift2"/>
        <w:numPr>
          <w:ilvl w:val="2"/>
          <w:numId w:val="108"/>
        </w:numPr>
        <w:rPr>
          <w:rFonts w:ascii="Times New Roman" w:hAnsi="Times New Roman" w:cs="Times New Roman"/>
          <w:sz w:val="24"/>
        </w:rPr>
      </w:pPr>
      <w:bookmarkStart w:id="284" w:name="_Toc116026835"/>
      <w:bookmarkStart w:id="285" w:name="_Toc119077992"/>
      <w:r>
        <w:rPr>
          <w:rFonts w:ascii="Times New Roman" w:hAnsi="Times New Roman"/>
          <w:sz w:val="24"/>
        </w:rPr>
        <w:t>Obecné poznámky</w:t>
      </w:r>
      <w:bookmarkEnd w:id="284"/>
      <w:bookmarkEnd w:id="285"/>
    </w:p>
    <w:p w14:paraId="791444D8" w14:textId="77777777" w:rsidR="007266CF" w:rsidRPr="002A677E" w:rsidRDefault="007266CF" w:rsidP="007266CF">
      <w:pPr>
        <w:pStyle w:val="InstructionsText2"/>
        <w:numPr>
          <w:ilvl w:val="0"/>
          <w:numId w:val="0"/>
        </w:numPr>
        <w:ind w:left="1353" w:hanging="360"/>
      </w:pPr>
      <w:fldSimple w:instr=" seq paragraphs ">
        <w:r>
          <w:t>160</w:t>
        </w:r>
      </w:fldSimple>
      <w:r>
        <w:t>.</w:t>
      </w:r>
      <w:r>
        <w:tab/>
        <w:t xml:space="preserve"> V této šabloně se uvádějí informace o pozicích a souvisejících kapitálových požadavcích k pozičním rizikům u obchodovaných dluhových nástrojů v rámci standardizovaného přístupu (čl. 325 odst. 2 písm. a) nařízení (EU) č. 575/2013). V jednotlivých řádcích se zohledňují různá rizika a metody dostupné podle nařízení (EU) č. 575/2013. Specifické riziko související s expozicemi uváděnými v šabloně MKR SA SEC a MKR SA CTP se vykazuje pouze v souhrnné šabloně MKR SA TDI. Kapitálové požadavky vykazované v těchto šablonách se převádějí do buňky {0325;0060} (sekuritizace) a {0330;0060} (portfolio obchodování s korelací).</w:t>
      </w:r>
    </w:p>
    <w:p w14:paraId="19A21CCA" w14:textId="77777777" w:rsidR="007266CF" w:rsidRPr="002A677E" w:rsidRDefault="007266CF" w:rsidP="007266CF">
      <w:pPr>
        <w:pStyle w:val="InstructionsText2"/>
        <w:numPr>
          <w:ilvl w:val="0"/>
          <w:numId w:val="0"/>
        </w:numPr>
        <w:ind w:left="1353" w:hanging="360"/>
      </w:pPr>
      <w:fldSimple w:instr=" seq paragraphs ">
        <w:r>
          <w:t>161</w:t>
        </w:r>
      </w:fldSimple>
      <w:r>
        <w:t>.</w:t>
      </w:r>
      <w:r>
        <w:tab/>
        <w:t xml:space="preserve"> Šablona musí být vyplněna samostatně v položce „Celkově“ a kromě toho je třeba uvést údaje u předem definovaného seznamu těchto měn: EUR, ALL, BGN, CZK, DKK, EGP, GBP, HRK, HUF, ISK, JPY, MKD, NOK, pLN, RON, RUB, RSD, SEK, CHF, TRY, UAH, USD a jedna zvláštní šablona pro všechny ostatní měny. </w:t>
      </w:r>
    </w:p>
    <w:p w14:paraId="7B3730D8" w14:textId="77777777" w:rsidR="007266CF" w:rsidRPr="002A677E" w:rsidRDefault="007266CF" w:rsidP="00A75C39">
      <w:pPr>
        <w:pStyle w:val="Instructionsberschrift2"/>
        <w:numPr>
          <w:ilvl w:val="2"/>
          <w:numId w:val="109"/>
        </w:numPr>
        <w:rPr>
          <w:rFonts w:ascii="Times New Roman" w:hAnsi="Times New Roman" w:cs="Times New Roman"/>
          <w:sz w:val="24"/>
        </w:rPr>
      </w:pPr>
      <w:bookmarkStart w:id="286" w:name="_Toc116026836"/>
      <w:bookmarkStart w:id="287" w:name="_Toc119077993"/>
      <w:r>
        <w:rPr>
          <w:rFonts w:ascii="Times New Roman" w:hAnsi="Times New Roman"/>
          <w:sz w:val="24"/>
        </w:rPr>
        <w:t>Pokyny pro konkrétní pozice</w:t>
      </w:r>
      <w:bookmarkEnd w:id="286"/>
      <w:bookmarkEnd w:id="2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7266CF" w:rsidRPr="002A677E" w14:paraId="027D1845" w14:textId="77777777" w:rsidTr="007266CF">
        <w:trPr>
          <w:trHeight w:val="569"/>
        </w:trPr>
        <w:tc>
          <w:tcPr>
            <w:tcW w:w="8862" w:type="dxa"/>
            <w:gridSpan w:val="2"/>
            <w:shd w:val="clear" w:color="auto" w:fill="CCCCCC"/>
          </w:tcPr>
          <w:p w14:paraId="0F59C8E8"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7266CF" w:rsidRPr="002A677E" w14:paraId="7620A17A" w14:textId="77777777" w:rsidTr="007266CF">
        <w:tc>
          <w:tcPr>
            <w:tcW w:w="988" w:type="dxa"/>
          </w:tcPr>
          <w:p w14:paraId="1418B41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12C15922"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14:paraId="1E852D1E" w14:textId="77777777" w:rsidR="007266CF" w:rsidRPr="002A677E" w:rsidRDefault="007266CF" w:rsidP="007266CF">
            <w:pPr>
              <w:rPr>
                <w:rFonts w:ascii="Times New Roman" w:hAnsi="Times New Roman"/>
                <w:sz w:val="24"/>
              </w:rPr>
            </w:pPr>
            <w:r>
              <w:rPr>
                <w:rFonts w:ascii="Times New Roman" w:hAnsi="Times New Roman"/>
                <w:sz w:val="24"/>
              </w:rPr>
              <w:t xml:space="preserve">Ustanovení článku 102 a čl. 105 odst. 1 nařízení (EU) č. 575/2013. Jedná se o hrubé pozice nezapočtené v nástrojích, ale s vyloučením upsaných pozic, které </w:t>
            </w:r>
            <w:r>
              <w:rPr>
                <w:rFonts w:ascii="Times New Roman" w:hAnsi="Times New Roman"/>
                <w:sz w:val="24"/>
              </w:rPr>
              <w:lastRenderedPageBreak/>
              <w:t>upsaly nebo za které spoluručí třetí strany v souladu s čl. 345 odst. 1 prvním pododstavcem druhou větou nařízení (EU) č. 575/2013. Pro rozlišení mezi dlouhými a krátkými pozicemi, které platí i pro tyto hrubé pozice, viz čl. 328 odst. 2 nařízení (EU) č. 575/2013.</w:t>
            </w:r>
          </w:p>
        </w:tc>
      </w:tr>
      <w:tr w:rsidR="007266CF" w:rsidRPr="002A677E" w14:paraId="56984FD1" w14:textId="77777777" w:rsidTr="007266CF">
        <w:tc>
          <w:tcPr>
            <w:tcW w:w="988" w:type="dxa"/>
          </w:tcPr>
          <w:p w14:paraId="5CDFAD6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0C0BE113"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ČISTÉ POZICE (DLOUHÉ A KRÁTKÉ)</w:t>
            </w:r>
          </w:p>
          <w:p w14:paraId="3EC6402A" w14:textId="77777777" w:rsidR="007266CF" w:rsidRPr="002A677E" w:rsidRDefault="007266CF" w:rsidP="007266CF">
            <w:pPr>
              <w:rPr>
                <w:rFonts w:ascii="Times New Roman" w:hAnsi="Times New Roman"/>
                <w:sz w:val="24"/>
              </w:rPr>
            </w:pPr>
            <w:r w:rsidRPr="006223CC">
              <w:rPr>
                <w:rFonts w:ascii="Times New Roman" w:hAnsi="Times New Roman"/>
                <w:sz w:val="24"/>
                <w:lang w:val="fr-FR"/>
              </w:rPr>
              <w:t>Články 327 až 329 a článek 334 nařízení (EU) č. 575/2013. Pro rozlišení mezi dlouhou a krátkou pozicí viz čl. 328 odst. </w:t>
            </w:r>
            <w:r>
              <w:rPr>
                <w:rFonts w:ascii="Times New Roman" w:hAnsi="Times New Roman"/>
                <w:sz w:val="24"/>
              </w:rPr>
              <w:t>2 nařízení (EU) č. 575/2013.</w:t>
            </w:r>
          </w:p>
        </w:tc>
      </w:tr>
      <w:tr w:rsidR="007266CF" w:rsidRPr="002A677E" w14:paraId="509CFA50" w14:textId="77777777" w:rsidTr="007266CF">
        <w:tc>
          <w:tcPr>
            <w:tcW w:w="988" w:type="dxa"/>
          </w:tcPr>
          <w:p w14:paraId="2C3AE67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6AA8E98D"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14:paraId="6D14C380" w14:textId="77777777" w:rsidR="007266CF" w:rsidRPr="002A677E" w:rsidRDefault="007266CF" w:rsidP="007266CF">
            <w:pPr>
              <w:rPr>
                <w:rFonts w:ascii="Times New Roman" w:hAnsi="Times New Roman"/>
                <w:b/>
                <w:bCs/>
                <w:sz w:val="24"/>
                <w:u w:val="single"/>
              </w:rPr>
            </w:pPr>
            <w:r>
              <w:rPr>
                <w:rFonts w:ascii="Times New Roman" w:hAnsi="Times New Roman"/>
                <w:sz w:val="24"/>
              </w:rPr>
              <w:t>Čisté pozice, na něž se podle různých přístupů uvedených v části třetí hlavě IV kapitole 2 nařízení (EU) č. 575/2013 vztahují kapitálové požadavky.</w:t>
            </w:r>
          </w:p>
        </w:tc>
      </w:tr>
      <w:tr w:rsidR="007266CF" w:rsidRPr="002A677E" w14:paraId="221DD2C5" w14:textId="77777777" w:rsidTr="007266CF">
        <w:tc>
          <w:tcPr>
            <w:tcW w:w="988" w:type="dxa"/>
          </w:tcPr>
          <w:p w14:paraId="313BAFC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9D3EBB1"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14:paraId="3205C330" w14:textId="77777777" w:rsidR="007266CF" w:rsidRPr="002A677E" w:rsidRDefault="007266CF" w:rsidP="007266CF">
            <w:pPr>
              <w:rPr>
                <w:rFonts w:ascii="Times New Roman" w:hAnsi="Times New Roman"/>
                <w:b/>
                <w:bCs/>
                <w:sz w:val="24"/>
                <w:u w:val="single"/>
              </w:rPr>
            </w:pPr>
            <w:r>
              <w:rPr>
                <w:rFonts w:ascii="Times New Roman" w:hAnsi="Times New Roman"/>
                <w:sz w:val="24"/>
              </w:rPr>
              <w:t>Kapitálový požadavek ke kterékoli příslušné pozici podle části třetí hlavy IV kapitoly 2 nařízení (EU) č. 575/2013.</w:t>
            </w:r>
          </w:p>
        </w:tc>
      </w:tr>
      <w:tr w:rsidR="007266CF" w:rsidRPr="002A677E" w14:paraId="391C3606" w14:textId="77777777" w:rsidTr="007266CF">
        <w:tc>
          <w:tcPr>
            <w:tcW w:w="988" w:type="dxa"/>
          </w:tcPr>
          <w:p w14:paraId="6D2B8A3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3A630241"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035A452B" w14:textId="77777777" w:rsidR="007266CF" w:rsidRPr="002A677E" w:rsidRDefault="007266CF" w:rsidP="007266CF">
            <w:pPr>
              <w:rPr>
                <w:rFonts w:ascii="Times New Roman" w:hAnsi="Times New Roman"/>
                <w:b/>
                <w:bCs/>
                <w:sz w:val="24"/>
                <w:u w:val="single"/>
              </w:rPr>
            </w:pPr>
            <w:r>
              <w:rPr>
                <w:rFonts w:ascii="Times New Roman" w:hAnsi="Times New Roman"/>
                <w:sz w:val="24"/>
              </w:rPr>
              <w:t xml:space="preserve">Ustanovení čl. 92 odst. 4 písm. b) nařízení (EU) č. 575/2013. Výsledek vynásobení kapitálových požadavků faktorem 12,5. </w:t>
            </w:r>
          </w:p>
        </w:tc>
      </w:tr>
    </w:tbl>
    <w:p w14:paraId="0A514EE3"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p w14:paraId="6C4C119C"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7266CF" w:rsidRPr="002A677E" w14:paraId="3B1FB0D1" w14:textId="77777777" w:rsidTr="007266CF">
        <w:trPr>
          <w:trHeight w:val="533"/>
        </w:trPr>
        <w:tc>
          <w:tcPr>
            <w:tcW w:w="8862" w:type="dxa"/>
            <w:gridSpan w:val="2"/>
            <w:shd w:val="clear" w:color="auto" w:fill="CCCCCC"/>
          </w:tcPr>
          <w:p w14:paraId="3D4C81E3"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7266CF" w:rsidRPr="002A677E" w14:paraId="6A62D3B7" w14:textId="77777777" w:rsidTr="007266CF">
        <w:trPr>
          <w:trHeight w:val="1168"/>
        </w:trPr>
        <w:tc>
          <w:tcPr>
            <w:tcW w:w="987" w:type="dxa"/>
          </w:tcPr>
          <w:p w14:paraId="49CF031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5B74A6D"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V OBCHODNÍM PORTFOLIU</w:t>
            </w:r>
          </w:p>
          <w:p w14:paraId="03AEF7BE" w14:textId="77777777" w:rsidR="007266CF" w:rsidRPr="002A677E" w:rsidRDefault="007266CF" w:rsidP="007266CF">
            <w:pPr>
              <w:rPr>
                <w:rFonts w:ascii="Times New Roman" w:hAnsi="Times New Roman"/>
                <w:sz w:val="24"/>
              </w:rPr>
            </w:pPr>
            <w:r>
              <w:rPr>
                <w:rFonts w:ascii="Times New Roman" w:hAnsi="Times New Roman"/>
                <w:sz w:val="24"/>
              </w:rPr>
              <w:t>Pozice v obchodovaných dluhových nástrojích v obchodním portfoliu a s nimi související kapitálové požadavky k pozičnímu riziku v souladu s čl. 92 odst. 3 písm. b) bodem i) nařízení (EU) č. 575/2013 a částí třetí hlavou IV kapitolou 2 nařízení (EU) č. 575/2013 se vykazují v závislosti na kategorii rizika, splatnosti a používaném přístupu.</w:t>
            </w:r>
          </w:p>
        </w:tc>
      </w:tr>
      <w:tr w:rsidR="007266CF" w:rsidRPr="002A677E" w14:paraId="16C50BA6" w14:textId="77777777" w:rsidTr="007266CF">
        <w:tc>
          <w:tcPr>
            <w:tcW w:w="987" w:type="dxa"/>
          </w:tcPr>
          <w:p w14:paraId="6C610D5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62489D3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OBECNÉ RIZIKO </w:t>
            </w:r>
          </w:p>
        </w:tc>
      </w:tr>
      <w:tr w:rsidR="007266CF" w:rsidRPr="002A677E" w14:paraId="77F42E93" w14:textId="77777777" w:rsidTr="007266CF">
        <w:tc>
          <w:tcPr>
            <w:tcW w:w="987" w:type="dxa"/>
          </w:tcPr>
          <w:p w14:paraId="205C94A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1ABFB11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b/>
                <w:sz w:val="24"/>
                <w:u w:val="single"/>
              </w:rPr>
              <w:t>Deriváty</w:t>
            </w:r>
          </w:p>
          <w:p w14:paraId="46F9CB2C" w14:textId="77777777" w:rsidR="007266CF" w:rsidRPr="002A677E" w:rsidRDefault="007266CF" w:rsidP="007266CF">
            <w:pPr>
              <w:rPr>
                <w:rFonts w:ascii="Times New Roman" w:hAnsi="Times New Roman"/>
                <w:b/>
                <w:bCs/>
                <w:sz w:val="24"/>
                <w:u w:val="single"/>
              </w:rPr>
            </w:pPr>
            <w:r>
              <w:rPr>
                <w:rFonts w:ascii="Times New Roman" w:hAnsi="Times New Roman"/>
                <w:sz w:val="24"/>
              </w:rPr>
              <w:t>Deriváty zahrnované do výpočtu úrokového rizika u pozic v obchodním portfoliu, v příslušných případech se zohledněním článků 328 až 331 nařízení (EU) č. 575/2013.</w:t>
            </w:r>
          </w:p>
        </w:tc>
      </w:tr>
      <w:tr w:rsidR="007266CF" w:rsidRPr="002A677E" w14:paraId="535EB2D6" w14:textId="77777777" w:rsidTr="007266CF">
        <w:tc>
          <w:tcPr>
            <w:tcW w:w="987" w:type="dxa"/>
          </w:tcPr>
          <w:p w14:paraId="6DABA43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CC740D2"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aktiva a pasiva</w:t>
            </w:r>
          </w:p>
          <w:p w14:paraId="330EA1B7" w14:textId="77777777" w:rsidR="007266CF" w:rsidRPr="002A677E" w:rsidRDefault="007266CF" w:rsidP="007266CF">
            <w:pPr>
              <w:rPr>
                <w:rFonts w:ascii="Times New Roman" w:hAnsi="Times New Roman"/>
                <w:b/>
                <w:bCs/>
                <w:sz w:val="24"/>
                <w:u w:val="single"/>
              </w:rPr>
            </w:pPr>
            <w:r>
              <w:rPr>
                <w:rFonts w:ascii="Times New Roman" w:hAnsi="Times New Roman"/>
                <w:sz w:val="24"/>
              </w:rPr>
              <w:t xml:space="preserve">Jiné nástroje než deriváty zahrnované do výpočtu úrokového rizika u pozic v obchodním portfoliu. </w:t>
            </w:r>
          </w:p>
        </w:tc>
      </w:tr>
      <w:tr w:rsidR="007266CF" w:rsidRPr="002A677E" w14:paraId="62518D55" w14:textId="77777777" w:rsidTr="007266CF">
        <w:tc>
          <w:tcPr>
            <w:tcW w:w="987" w:type="dxa"/>
          </w:tcPr>
          <w:p w14:paraId="72FF8EE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511A724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PŘÍSTUP ZALOŽENÝ NA SPLATNOSTI</w:t>
            </w:r>
          </w:p>
          <w:p w14:paraId="7EA02FAA" w14:textId="77777777" w:rsidR="007266CF" w:rsidRPr="002A677E" w:rsidRDefault="007266CF" w:rsidP="007266CF">
            <w:pPr>
              <w:rPr>
                <w:rFonts w:ascii="Times New Roman" w:hAnsi="Times New Roman"/>
                <w:b/>
                <w:bCs/>
                <w:sz w:val="24"/>
                <w:u w:val="single"/>
              </w:rPr>
            </w:pPr>
            <w:r>
              <w:rPr>
                <w:rFonts w:ascii="Times New Roman" w:hAnsi="Times New Roman"/>
                <w:sz w:val="24"/>
              </w:rPr>
              <w:t>Pozice v obchodovaných dluhových nástrojích, na něž se vztahuje přístup založený na splatnosti podle čl. 339 odst. 1 až 8 nařízení (EU) č. 575/2013, a odpovídající kapitálové požadavky vypočítané v souladu s čl. 339 odst. 9 nařízení (EU) č. 575/2013. Pozice se rozdělují mezi zóny 1, 2 a 3 a tyto zóny se dělí podle splatnosti nástrojů.</w:t>
            </w:r>
          </w:p>
        </w:tc>
      </w:tr>
      <w:tr w:rsidR="007266CF" w:rsidRPr="002A677E" w14:paraId="7F89521E" w14:textId="77777777" w:rsidTr="007266CF">
        <w:tc>
          <w:tcPr>
            <w:tcW w:w="987" w:type="dxa"/>
          </w:tcPr>
          <w:p w14:paraId="6DA7EA6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5DD7E97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b/>
                <w:sz w:val="24"/>
                <w:u w:val="single"/>
              </w:rPr>
              <w:t>OBECNÉ RIZIKO. PŘÍSTUP ZALOŽENÝ NA DURACI</w:t>
            </w:r>
          </w:p>
          <w:p w14:paraId="3F24BD92" w14:textId="77777777" w:rsidR="007266CF" w:rsidRPr="002A677E" w:rsidRDefault="007266CF" w:rsidP="007266CF">
            <w:pPr>
              <w:rPr>
                <w:rFonts w:ascii="Times New Roman" w:hAnsi="Times New Roman"/>
                <w:b/>
                <w:bCs/>
                <w:sz w:val="24"/>
                <w:u w:val="single"/>
              </w:rPr>
            </w:pPr>
            <w:r>
              <w:rPr>
                <w:rFonts w:ascii="Times New Roman" w:hAnsi="Times New Roman"/>
                <w:sz w:val="24"/>
              </w:rPr>
              <w:t>Pozice v obchodovaných dluhových nástrojích, na něž se vztahuje přístup založený na duraci podle čl. 340 odst. 1 až 6 nařízení (EU) č. 575/2013, a odpovídající kapitálové požadavky vypočítané v souladu s čl. 340 odst. 7 nařízení (EU) č. 575/2013. Pozice se rozdělují mezi zóny 1, 2 a 3.</w:t>
            </w:r>
          </w:p>
        </w:tc>
      </w:tr>
      <w:tr w:rsidR="007266CF" w:rsidRPr="002A677E" w14:paraId="557507C1" w14:textId="77777777" w:rsidTr="007266CF">
        <w:tc>
          <w:tcPr>
            <w:tcW w:w="987" w:type="dxa"/>
          </w:tcPr>
          <w:p w14:paraId="52203F0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3A200D86"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SPECIFICKÉ RIZIKO</w:t>
            </w:r>
          </w:p>
          <w:p w14:paraId="7AB396CE" w14:textId="77777777" w:rsidR="007266CF" w:rsidRPr="002A677E" w:rsidRDefault="007266CF" w:rsidP="007266CF">
            <w:pPr>
              <w:rPr>
                <w:rFonts w:ascii="Times New Roman" w:hAnsi="Times New Roman"/>
                <w:sz w:val="24"/>
              </w:rPr>
            </w:pPr>
            <w:r>
              <w:rPr>
                <w:rFonts w:ascii="Times New Roman" w:hAnsi="Times New Roman"/>
                <w:sz w:val="24"/>
              </w:rPr>
              <w:t xml:space="preserve">Součet částek vykázaných v řádcích 0251, 0325 a 0330 </w:t>
            </w:r>
          </w:p>
          <w:p w14:paraId="56AD67D4" w14:textId="77777777" w:rsidR="007266CF" w:rsidRPr="002A677E" w:rsidRDefault="007266CF" w:rsidP="007266CF">
            <w:pPr>
              <w:rPr>
                <w:rFonts w:ascii="Times New Roman" w:hAnsi="Times New Roman"/>
                <w:b/>
                <w:bCs/>
                <w:sz w:val="24"/>
                <w:u w:val="single"/>
              </w:rPr>
            </w:pPr>
            <w:r>
              <w:rPr>
                <w:rFonts w:ascii="Times New Roman" w:hAnsi="Times New Roman"/>
                <w:sz w:val="24"/>
              </w:rPr>
              <w:t>Pozice v obchodovaných dluhových nástrojích, na něž se vztahují kapitálové požadavky ke specifickému riziku, a jejich odpovídající kapitálové požadavky v souladu s čl. 92 odst. 3 písm. b) a článkem 335, čl. 336 odst. 1, 2 a 3 a články 337 a 338 nařízení (EU) č. 575/2013. Je také nutné vzít na vědomí poslední větu čl. 327 odst. 1 nařízení (EU) č. 575/2013.</w:t>
            </w:r>
          </w:p>
        </w:tc>
      </w:tr>
      <w:tr w:rsidR="007266CF" w:rsidRPr="002A677E" w14:paraId="33A6F149" w14:textId="77777777" w:rsidTr="007266CF">
        <w:tc>
          <w:tcPr>
            <w:tcW w:w="987" w:type="dxa"/>
          </w:tcPr>
          <w:p w14:paraId="05B76BD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68B163E2"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pro nesekuritizované dluhové nástroje</w:t>
            </w:r>
          </w:p>
          <w:p w14:paraId="7851BF32" w14:textId="77777777" w:rsidR="007266CF" w:rsidRPr="002A677E" w:rsidRDefault="007266CF" w:rsidP="007266CF">
            <w:pPr>
              <w:rPr>
                <w:rFonts w:ascii="Times New Roman" w:hAnsi="Times New Roman"/>
                <w:sz w:val="24"/>
              </w:rPr>
            </w:pPr>
            <w:r>
              <w:rPr>
                <w:rFonts w:ascii="Times New Roman" w:hAnsi="Times New Roman"/>
                <w:sz w:val="24"/>
              </w:rPr>
              <w:t>Součet částek vykázaných v řádcích 260 až 321.</w:t>
            </w:r>
          </w:p>
          <w:p w14:paraId="7320E928" w14:textId="77777777" w:rsidR="007266CF" w:rsidRPr="002A677E" w:rsidRDefault="007266CF" w:rsidP="007266CF">
            <w:pPr>
              <w:rPr>
                <w:rFonts w:ascii="Times New Roman" w:hAnsi="Times New Roman"/>
                <w:sz w:val="24"/>
              </w:rPr>
            </w:pPr>
            <w:r>
              <w:rPr>
                <w:rFonts w:ascii="Times New Roman" w:hAnsi="Times New Roman"/>
                <w:sz w:val="24"/>
              </w:rPr>
              <w:t xml:space="preserve">Kapitálový požadavek k úvěrovým derivátům n-tého selhání bez externího ratingu se vypočítá jako součet rizikových vah referenčních subjektů (čl. 332 odst. 1 písm. e) a čl. 332 odst. 1 druhý pododstavec nařízení (EU) č. 575/2013 – „přístup se zohledněním“). Úvěrové deriváty n-tého selhání s externím ratingem (čl. 332 odst. 1 třetí pododstavec nařízení (EU) č. 575/2013) se vykazují samostatně v řádku 321. </w:t>
            </w:r>
          </w:p>
          <w:p w14:paraId="509D9772" w14:textId="77777777" w:rsidR="007266CF" w:rsidRPr="002A677E" w:rsidRDefault="007266CF" w:rsidP="007266CF">
            <w:pPr>
              <w:rPr>
                <w:rFonts w:ascii="Times New Roman" w:hAnsi="Times New Roman"/>
                <w:sz w:val="24"/>
              </w:rPr>
            </w:pPr>
            <w:r>
              <w:rPr>
                <w:rFonts w:ascii="Times New Roman" w:hAnsi="Times New Roman"/>
                <w:sz w:val="24"/>
              </w:rPr>
              <w:t>Vykazování pozic, na něž se vztahuje čl. 336 odst. 3 nařízení (EU) č. 575/2013: Pro dluhopisy, jimž je v investičním portfoliu přiřazena riziková váha 10 %, je podle čl. 129 odst. 3 nařízení (EU) č. 575/2013 (kryté dluhopisy) stanoveno zvláštní zacházení. Zvláštní kapitálové požadavky činí polovinu procentního podílu druhé kategorie podle článku 336 tabulky 1 nařízení (EU) č. 575/2013. Tyto pozice musí být přiřazeny do řádků 0280 až 0300 podle jejich zbytkové splatnosti.</w:t>
            </w:r>
          </w:p>
          <w:p w14:paraId="48C7CA41" w14:textId="77777777" w:rsidR="007266CF" w:rsidRPr="002A677E" w:rsidRDefault="007266CF" w:rsidP="007266CF">
            <w:pPr>
              <w:rPr>
                <w:rFonts w:ascii="Times New Roman" w:hAnsi="Times New Roman"/>
                <w:b/>
                <w:bCs/>
                <w:sz w:val="24"/>
                <w:u w:val="single"/>
              </w:rPr>
            </w:pPr>
            <w:r>
              <w:rPr>
                <w:rFonts w:ascii="Times New Roman" w:hAnsi="Times New Roman"/>
                <w:sz w:val="24"/>
              </w:rPr>
              <w:t xml:space="preserve">Pokud je obecné riziko u úrokových pozic zajištěno úvěrovými deriváty, uplatní se články 346 a 347 nařízení (EU) č. 575/2013. </w:t>
            </w:r>
          </w:p>
        </w:tc>
      </w:tr>
      <w:tr w:rsidR="007266CF" w:rsidRPr="002A677E" w14:paraId="7007EF2E" w14:textId="77777777" w:rsidTr="007266CF">
        <w:tc>
          <w:tcPr>
            <w:tcW w:w="987" w:type="dxa"/>
          </w:tcPr>
          <w:p w14:paraId="268356E9" w14:textId="77777777" w:rsidR="007266CF" w:rsidRPr="002A677E" w:rsidDel="00F27BD6"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17A9F6D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pro sekuritizované nástroje</w:t>
            </w:r>
          </w:p>
          <w:p w14:paraId="6E7094C3" w14:textId="77777777" w:rsidR="007266CF" w:rsidRPr="002A677E" w:rsidDel="00F27BD6" w:rsidRDefault="007266CF" w:rsidP="007266CF">
            <w:pPr>
              <w:rPr>
                <w:rFonts w:ascii="Times New Roman" w:hAnsi="Times New Roman"/>
                <w:b/>
                <w:bCs/>
                <w:sz w:val="24"/>
                <w:u w:val="single"/>
              </w:rPr>
            </w:pPr>
            <w:r>
              <w:rPr>
                <w:rFonts w:ascii="Times New Roman" w:hAnsi="Times New Roman"/>
                <w:sz w:val="24"/>
              </w:rPr>
              <w:t>Celkové kapitálové požadavky vykázané ve sloupci 0601 šablony MKR SA SEC. Tyto celkové kapitálové požadavky se vykazují pouze v celkové výši v šabloně MKR SA TDI.</w:t>
            </w:r>
          </w:p>
        </w:tc>
      </w:tr>
      <w:tr w:rsidR="007266CF" w:rsidRPr="002A677E" w14:paraId="272F9896" w14:textId="77777777" w:rsidTr="007266CF">
        <w:tc>
          <w:tcPr>
            <w:tcW w:w="987" w:type="dxa"/>
          </w:tcPr>
          <w:p w14:paraId="7B6F98BD" w14:textId="77777777" w:rsidR="007266CF" w:rsidRPr="002A677E" w:rsidDel="00F27BD6"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0343938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na portfolio obchodování s korelací</w:t>
            </w:r>
          </w:p>
          <w:p w14:paraId="52808308" w14:textId="77777777" w:rsidR="007266CF" w:rsidRPr="002A677E" w:rsidDel="00F27BD6" w:rsidRDefault="007266CF" w:rsidP="007266CF">
            <w:pPr>
              <w:rPr>
                <w:rFonts w:ascii="Times New Roman" w:hAnsi="Times New Roman"/>
                <w:b/>
                <w:bCs/>
                <w:sz w:val="24"/>
                <w:u w:val="single"/>
              </w:rPr>
            </w:pPr>
            <w:r>
              <w:rPr>
                <w:rFonts w:ascii="Times New Roman" w:hAnsi="Times New Roman"/>
                <w:sz w:val="24"/>
              </w:rPr>
              <w:t>Celkové kapitálové požadavky vykázané ve sloupci 0450 šablony MKR SA CTP. Tyto celkové kapitálové požadavky se vykazují pouze v celkové výši v šabloně MKR SA TDI.</w:t>
            </w:r>
          </w:p>
        </w:tc>
      </w:tr>
      <w:tr w:rsidR="007266CF" w:rsidRPr="006223CC" w14:paraId="3AE6318E" w14:textId="77777777" w:rsidTr="007266CF">
        <w:tc>
          <w:tcPr>
            <w:tcW w:w="987" w:type="dxa"/>
          </w:tcPr>
          <w:p w14:paraId="67FD725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0117F76E"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DODATEČNÉ POŽADAVKY K OPCÍM (JINÁ RIZIKA NEŽ RIZIKA DELTA) </w:t>
            </w:r>
          </w:p>
          <w:p w14:paraId="0F7BF48E"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Ustanovení čl. 329 odst. 3 nařízení (EU) č. 575/2013.</w:t>
            </w:r>
          </w:p>
          <w:p w14:paraId="2161AAE7" w14:textId="77777777" w:rsidR="007266CF" w:rsidRPr="006223CC" w:rsidRDefault="007266CF" w:rsidP="007266CF">
            <w:pPr>
              <w:rPr>
                <w:rFonts w:ascii="Times New Roman" w:hAnsi="Times New Roman"/>
                <w:bCs/>
                <w:sz w:val="24"/>
                <w:lang w:val="fr-FR"/>
              </w:rPr>
            </w:pPr>
            <w:r w:rsidRPr="006223CC">
              <w:rPr>
                <w:rFonts w:ascii="Times New Roman" w:hAnsi="Times New Roman"/>
                <w:sz w:val="24"/>
                <w:lang w:val="fr-FR"/>
              </w:rPr>
              <w:t>Dodatečné požadavky k opcím související s jinými riziky, než jsou rizika delta, se uvádějí v členění podle metody používané k jejich výpočtu.</w:t>
            </w:r>
          </w:p>
        </w:tc>
      </w:tr>
    </w:tbl>
    <w:p w14:paraId="2C07D750" w14:textId="77777777" w:rsidR="007266CF" w:rsidRPr="006223CC" w:rsidRDefault="007266CF" w:rsidP="007266CF">
      <w:pPr>
        <w:autoSpaceDE w:val="0"/>
        <w:autoSpaceDN w:val="0"/>
        <w:adjustRightInd w:val="0"/>
        <w:spacing w:before="0" w:after="0"/>
        <w:rPr>
          <w:rFonts w:ascii="Times New Roman" w:hAnsi="Times New Roman"/>
          <w:bCs/>
          <w:sz w:val="24"/>
          <w:lang w:val="fr-FR" w:eastAsia="nl-BE"/>
        </w:rPr>
      </w:pPr>
    </w:p>
    <w:p w14:paraId="43DBD534" w14:textId="77777777" w:rsidR="007266CF" w:rsidRPr="006223CC" w:rsidRDefault="007266CF" w:rsidP="00A75C39">
      <w:pPr>
        <w:pStyle w:val="Instructionsberschrift2"/>
        <w:numPr>
          <w:ilvl w:val="1"/>
          <w:numId w:val="110"/>
        </w:numPr>
        <w:rPr>
          <w:rFonts w:ascii="Times New Roman" w:hAnsi="Times New Roman" w:cs="Times New Roman"/>
          <w:sz w:val="24"/>
          <w:lang w:val="fr-FR"/>
        </w:rPr>
      </w:pPr>
      <w:bookmarkStart w:id="288" w:name="_Toc116026837"/>
      <w:bookmarkStart w:id="289" w:name="_Toc119077994"/>
      <w:r w:rsidRPr="006223CC">
        <w:rPr>
          <w:rFonts w:ascii="Times New Roman" w:hAnsi="Times New Roman"/>
          <w:sz w:val="24"/>
          <w:lang w:val="fr-FR"/>
        </w:rPr>
        <w:t>C 19.00 – TRŽNÍ RIZIKO: STANDARDIZOVANÝ PŘÍSTUP KE SPECIFICKÉMU RIZIKU V SEKURITIZACÍCH (MKR SA SEC)</w:t>
      </w:r>
      <w:bookmarkEnd w:id="288"/>
      <w:bookmarkEnd w:id="289"/>
    </w:p>
    <w:p w14:paraId="638F0E1F" w14:textId="77777777" w:rsidR="007266CF" w:rsidRPr="002A677E" w:rsidRDefault="007266CF" w:rsidP="00A75C39">
      <w:pPr>
        <w:pStyle w:val="Instructionsberschrift2"/>
        <w:numPr>
          <w:ilvl w:val="2"/>
          <w:numId w:val="111"/>
        </w:numPr>
        <w:rPr>
          <w:rFonts w:ascii="Times New Roman" w:hAnsi="Times New Roman" w:cs="Times New Roman"/>
          <w:sz w:val="24"/>
        </w:rPr>
      </w:pPr>
      <w:bookmarkStart w:id="290" w:name="_Toc116026838"/>
      <w:bookmarkStart w:id="291" w:name="_Toc119077995"/>
      <w:r>
        <w:rPr>
          <w:rFonts w:ascii="Times New Roman" w:hAnsi="Times New Roman"/>
          <w:sz w:val="24"/>
        </w:rPr>
        <w:t>Obecné poznámky</w:t>
      </w:r>
      <w:bookmarkEnd w:id="290"/>
      <w:bookmarkEnd w:id="291"/>
    </w:p>
    <w:p w14:paraId="021D9A20" w14:textId="77777777" w:rsidR="007266CF" w:rsidRPr="002A677E" w:rsidRDefault="007266CF" w:rsidP="007266CF">
      <w:pPr>
        <w:pStyle w:val="InstructionsText2"/>
        <w:numPr>
          <w:ilvl w:val="0"/>
          <w:numId w:val="0"/>
        </w:numPr>
        <w:ind w:left="1353" w:hanging="360"/>
      </w:pPr>
      <w:fldSimple w:instr=" seq paragraphs ">
        <w:r>
          <w:t>162</w:t>
        </w:r>
      </w:fldSimple>
      <w:r>
        <w:t>.</w:t>
      </w:r>
      <w:r>
        <w:tab/>
        <w:t xml:space="preserve"> V této šabloně se vykazují údaje o pozicích (všech / čistých a dlouhých / krátkých) a souvisejících kapitálových požadavcích ke specifické rizikové složce pozičního rizika v případě pozic v sekuritizacích/resekuritizacích držených v obchodním portfoliu (nezpůsobilých pro portfolio obchodování s korelací) v rámci standardizovaného přístupu. </w:t>
      </w:r>
    </w:p>
    <w:p w14:paraId="44AE6F74" w14:textId="77777777" w:rsidR="007266CF" w:rsidRPr="002A677E" w:rsidRDefault="007266CF" w:rsidP="007266CF">
      <w:pPr>
        <w:pStyle w:val="InstructionsText2"/>
        <w:numPr>
          <w:ilvl w:val="0"/>
          <w:numId w:val="0"/>
        </w:numPr>
        <w:ind w:left="1353" w:hanging="360"/>
      </w:pPr>
      <w:fldSimple w:instr=" seq paragraphs ">
        <w:r>
          <w:t>163</w:t>
        </w:r>
      </w:fldSimple>
      <w:r>
        <w:t>.</w:t>
      </w:r>
      <w:r>
        <w:tab/>
        <w:t xml:space="preserve"> V šabloně MKR SA SEC se prezentuje kapitálový požadavek týkající se pouze specifického rizika sekuritizovaných pozic podle článku 335 ve spojení s článkem 337 nařízení (EU) č. 575/2013. Jsou-li sekuritizované pozice v obchodním portfoliu zajištěny úvěrovými deriváty, uplatní se články 346 a 347 nařízení (EU) č. 575/2013. Pro všechny pozice obchodního portfolia existuje pouze jedna šablona, bez ohledu na přístup, který instituce používají k určení rizikové váhy pro každou z pozic v souladu s částí třetí hlavou II kapitolou 5 nařízení (EU) č. 575/2013. Kapitálové požadavky k obecnému riziku u těchto pozic se vykazují v šabloně MKR SA TDI nebo MKR IM.</w:t>
      </w:r>
    </w:p>
    <w:p w14:paraId="72F686F6" w14:textId="77777777" w:rsidR="007266CF" w:rsidRPr="002A677E" w:rsidRDefault="007266CF" w:rsidP="007266CF">
      <w:pPr>
        <w:pStyle w:val="InstructionsText2"/>
        <w:numPr>
          <w:ilvl w:val="0"/>
          <w:numId w:val="0"/>
        </w:numPr>
        <w:ind w:left="1353" w:hanging="360"/>
      </w:pPr>
      <w:fldSimple w:instr=" seq paragraphs ">
        <w:r>
          <w:t>164</w:t>
        </w:r>
      </w:fldSimple>
      <w:r>
        <w:t>. Pozice, kterým je přiřazena riziková váha 1 250 %, lze alternativně odečíst od kmenového kapitálu tier 1 (viz čl. 244 odst. 1 písm. b), čl. 245 odst. 1 písm. b) a článek 253 nařízení (EU) č. 575/2013). Jedná-li se o tento případ, uvedené pozice musí být vykázány v řádku 0460 šablony CA1.</w:t>
      </w:r>
    </w:p>
    <w:p w14:paraId="76A489B1" w14:textId="77777777" w:rsidR="007266CF" w:rsidRPr="002A677E" w:rsidRDefault="007266CF" w:rsidP="00A75C39">
      <w:pPr>
        <w:pStyle w:val="Instructionsberschrift2"/>
        <w:numPr>
          <w:ilvl w:val="2"/>
          <w:numId w:val="112"/>
        </w:numPr>
        <w:rPr>
          <w:rFonts w:ascii="Times New Roman" w:hAnsi="Times New Roman" w:cs="Times New Roman"/>
          <w:sz w:val="24"/>
        </w:rPr>
      </w:pPr>
      <w:bookmarkStart w:id="292" w:name="_Toc116026839"/>
      <w:bookmarkStart w:id="293" w:name="_Toc119077996"/>
      <w:r>
        <w:rPr>
          <w:rFonts w:ascii="Times New Roman" w:hAnsi="Times New Roman"/>
          <w:sz w:val="24"/>
        </w:rPr>
        <w:t>Pokyny pro konkrétní pozice</w:t>
      </w:r>
      <w:bookmarkEnd w:id="292"/>
      <w:bookmarkEnd w:id="2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7266CF" w:rsidRPr="002A677E" w14:paraId="2F24550F" w14:textId="77777777" w:rsidTr="007266CF">
        <w:trPr>
          <w:trHeight w:val="631"/>
        </w:trPr>
        <w:tc>
          <w:tcPr>
            <w:tcW w:w="9018" w:type="dxa"/>
            <w:gridSpan w:val="2"/>
            <w:shd w:val="clear" w:color="auto" w:fill="CCCCCC"/>
          </w:tcPr>
          <w:p w14:paraId="21435519"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7266CF" w:rsidRPr="002A677E" w14:paraId="608BE2D2" w14:textId="77777777" w:rsidTr="007266CF">
        <w:tc>
          <w:tcPr>
            <w:tcW w:w="1413" w:type="dxa"/>
          </w:tcPr>
          <w:p w14:paraId="1FDFE40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6B3C00F6"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14:paraId="77FDD972" w14:textId="77777777" w:rsidR="007266CF" w:rsidRPr="002A677E" w:rsidRDefault="007266CF" w:rsidP="007266CF">
            <w:pPr>
              <w:rPr>
                <w:rFonts w:ascii="Times New Roman" w:hAnsi="Times New Roman"/>
                <w:sz w:val="24"/>
              </w:rPr>
            </w:pPr>
            <w:r>
              <w:rPr>
                <w:rStyle w:val="InstructionsTabelleText"/>
                <w:rFonts w:ascii="Times New Roman" w:hAnsi="Times New Roman"/>
                <w:sz w:val="24"/>
              </w:rPr>
              <w:t xml:space="preserve">Článek 102 a čl. 105 odst. 1 </w:t>
            </w:r>
            <w:r>
              <w:rPr>
                <w:rFonts w:ascii="Times New Roman" w:hAnsi="Times New Roman"/>
                <w:sz w:val="24"/>
              </w:rPr>
              <w:t>nařízení (EU) č. 575/2013</w:t>
            </w:r>
            <w:r>
              <w:rPr>
                <w:rStyle w:val="InstructionsTabelleText"/>
                <w:rFonts w:ascii="Times New Roman" w:hAnsi="Times New Roman"/>
                <w:sz w:val="24"/>
              </w:rPr>
              <w:t xml:space="preserve"> ve spojení s článkem 337 </w:t>
            </w:r>
            <w:r>
              <w:rPr>
                <w:rFonts w:ascii="Times New Roman" w:hAnsi="Times New Roman"/>
                <w:sz w:val="24"/>
              </w:rPr>
              <w:t xml:space="preserve">uvedeného nařízení </w:t>
            </w:r>
            <w:r>
              <w:rPr>
                <w:rStyle w:val="InstructionsTabelleText"/>
                <w:rFonts w:ascii="Times New Roman" w:hAnsi="Times New Roman"/>
                <w:sz w:val="24"/>
              </w:rPr>
              <w:t xml:space="preserve">(sekuritizované pozice). Pro rozlišení mezi dlouhými a krátkými pozicemi, které platí i pro tyto hrubé pozice, viz čl. 328 odst. 2 </w:t>
            </w:r>
            <w:r>
              <w:rPr>
                <w:rFonts w:ascii="Times New Roman" w:hAnsi="Times New Roman"/>
                <w:sz w:val="24"/>
              </w:rPr>
              <w:t>nařízení (EU) č. 575/2013</w:t>
            </w:r>
            <w:r>
              <w:rPr>
                <w:rStyle w:val="InstructionsTabelleText"/>
                <w:rFonts w:ascii="Times New Roman" w:hAnsi="Times New Roman"/>
                <w:sz w:val="24"/>
              </w:rPr>
              <w:t xml:space="preserve">. </w:t>
            </w:r>
          </w:p>
        </w:tc>
      </w:tr>
      <w:tr w:rsidR="007266CF" w:rsidRPr="002A677E" w14:paraId="02AEFD43" w14:textId="77777777" w:rsidTr="007266CF">
        <w:tc>
          <w:tcPr>
            <w:tcW w:w="1413" w:type="dxa"/>
          </w:tcPr>
          <w:p w14:paraId="71898E9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4530442C"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 POZICE ODEČTENÉ OD KAPITÁLU</w:t>
            </w:r>
            <w:r>
              <w:rPr>
                <w:rFonts w:ascii="Times New Roman" w:hAnsi="Times New Roman"/>
                <w:b/>
                <w:sz w:val="24"/>
                <w:u w:val="single"/>
              </w:rPr>
              <w:t xml:space="preserve"> (DLOUHÉ A KRÁTKÉ)</w:t>
            </w:r>
          </w:p>
          <w:p w14:paraId="67B415A3"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 Ustanovení čl. 244 odst. 1 písm. b), čl. 245 odst. 1 písm. b) a článku 253 </w:t>
            </w:r>
            <w:r>
              <w:rPr>
                <w:rFonts w:ascii="Times New Roman" w:hAnsi="Times New Roman"/>
                <w:sz w:val="24"/>
              </w:rPr>
              <w:t>nařízení (EU) č. 575/2013</w:t>
            </w:r>
          </w:p>
        </w:tc>
      </w:tr>
      <w:tr w:rsidR="007266CF" w:rsidRPr="002A677E" w14:paraId="607DF1D9" w14:textId="77777777" w:rsidTr="007266CF">
        <w:tc>
          <w:tcPr>
            <w:tcW w:w="1413" w:type="dxa"/>
          </w:tcPr>
          <w:p w14:paraId="0E36AE2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62C424ED" w14:textId="77777777" w:rsidR="007266CF" w:rsidRPr="006223CC" w:rsidRDefault="007266CF" w:rsidP="007266CF">
            <w:pPr>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ČISTÉ POZICE</w:t>
            </w:r>
            <w:r w:rsidRPr="006223CC">
              <w:rPr>
                <w:rFonts w:ascii="Times New Roman" w:hAnsi="Times New Roman"/>
                <w:b/>
                <w:sz w:val="24"/>
                <w:u w:val="single"/>
                <w:lang w:val="fr-FR"/>
              </w:rPr>
              <w:t xml:space="preserve"> (DLOUHÉ A KRÁTKÉ)</w:t>
            </w:r>
          </w:p>
          <w:p w14:paraId="19C97443" w14:textId="77777777" w:rsidR="007266CF" w:rsidRPr="002A677E" w:rsidRDefault="007266CF" w:rsidP="007266CF">
            <w:pPr>
              <w:rPr>
                <w:rStyle w:val="InstructionsTabelleText"/>
                <w:rFonts w:ascii="Times New Roman" w:hAnsi="Times New Roman"/>
                <w:sz w:val="24"/>
              </w:rPr>
            </w:pPr>
            <w:r w:rsidRPr="006223CC">
              <w:rPr>
                <w:rFonts w:ascii="Times New Roman" w:hAnsi="Times New Roman"/>
                <w:sz w:val="24"/>
                <w:lang w:val="fr-FR"/>
              </w:rPr>
              <w:t>Články</w:t>
            </w:r>
            <w:r w:rsidRPr="006223CC">
              <w:rPr>
                <w:rStyle w:val="InstructionsTabelleText"/>
                <w:rFonts w:ascii="Times New Roman" w:hAnsi="Times New Roman"/>
                <w:sz w:val="24"/>
                <w:lang w:val="fr-FR"/>
              </w:rPr>
              <w:t xml:space="preserve"> 327, 328, 329 a 334 </w:t>
            </w:r>
            <w:r w:rsidRPr="006223CC">
              <w:rPr>
                <w:rFonts w:ascii="Times New Roman" w:hAnsi="Times New Roman"/>
                <w:sz w:val="24"/>
                <w:lang w:val="fr-FR"/>
              </w:rPr>
              <w:t>nařízení (EU) č. 575/2013</w:t>
            </w:r>
            <w:r w:rsidRPr="006223CC">
              <w:rPr>
                <w:rStyle w:val="InstructionsTabelleText"/>
                <w:rFonts w:ascii="Times New Roman" w:hAnsi="Times New Roman"/>
                <w:sz w:val="24"/>
                <w:lang w:val="fr-FR"/>
              </w:rPr>
              <w:t>. Pro rozlišení mezi dlouhou a krátkou pozicí viz čl. 328 odst. </w:t>
            </w:r>
            <w:r>
              <w:rPr>
                <w:rStyle w:val="InstructionsTabelleText"/>
                <w:rFonts w:ascii="Times New Roman" w:hAnsi="Times New Roman"/>
                <w:sz w:val="24"/>
              </w:rPr>
              <w:t xml:space="preserve">2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36456D79" w14:textId="77777777" w:rsidTr="007266CF">
        <w:tc>
          <w:tcPr>
            <w:tcW w:w="1413" w:type="dxa"/>
          </w:tcPr>
          <w:p w14:paraId="5AB404E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472DAB93"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ROZČLENĚNÍ ČISTÝCH POZIC PODLE RIZIKOVÝCH VAH</w:t>
            </w:r>
          </w:p>
          <w:p w14:paraId="3E1BF813"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t xml:space="preserve">Články 259 až 262, článek 263 tabulky 1 a 2, článek 264, tabulky 3 a 4 a článek 266 </w:t>
            </w:r>
            <w:r>
              <w:rPr>
                <w:rFonts w:ascii="Times New Roman" w:hAnsi="Times New Roman"/>
                <w:sz w:val="24"/>
              </w:rPr>
              <w:t>nařízení (EU) č. 575/2013</w:t>
            </w:r>
            <w:r>
              <w:rPr>
                <w:rStyle w:val="InstructionsTabelleText"/>
                <w:rFonts w:ascii="Times New Roman" w:hAnsi="Times New Roman"/>
                <w:sz w:val="24"/>
              </w:rPr>
              <w:t xml:space="preserve">. </w:t>
            </w:r>
          </w:p>
          <w:p w14:paraId="5208CA4B" w14:textId="77777777" w:rsidR="007266CF" w:rsidRPr="002A677E" w:rsidRDefault="007266CF" w:rsidP="007266CF">
            <w:pPr>
              <w:rPr>
                <w:rStyle w:val="InstructionsTabelleText"/>
                <w:rFonts w:ascii="Times New Roman" w:hAnsi="Times New Roman"/>
                <w:sz w:val="24"/>
              </w:rPr>
            </w:pPr>
            <w:r>
              <w:rPr>
                <w:rStyle w:val="InstructionsTabelleText"/>
                <w:rFonts w:ascii="Times New Roman" w:hAnsi="Times New Roman"/>
                <w:sz w:val="24"/>
              </w:rPr>
              <w:lastRenderedPageBreak/>
              <w:t>Rozčlenění musí být provedeno zvlášť pro dlouhé a pro krátké pozice.</w:t>
            </w:r>
          </w:p>
        </w:tc>
      </w:tr>
      <w:tr w:rsidR="007266CF" w:rsidRPr="002A677E" w14:paraId="1D219D78" w14:textId="77777777" w:rsidTr="007266CF">
        <w:tc>
          <w:tcPr>
            <w:tcW w:w="1413" w:type="dxa"/>
          </w:tcPr>
          <w:p w14:paraId="208586B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0402–0406</w:t>
            </w:r>
          </w:p>
        </w:tc>
        <w:tc>
          <w:tcPr>
            <w:tcW w:w="7605" w:type="dxa"/>
          </w:tcPr>
          <w:p w14:paraId="3D8DC018"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ROZČLENĚNÍ ČISTÝCH POZIC PODLE METOD</w:t>
            </w:r>
          </w:p>
          <w:p w14:paraId="020F399B" w14:textId="77777777" w:rsidR="007266CF" w:rsidRPr="002A677E" w:rsidRDefault="007266CF" w:rsidP="007266CF">
            <w:pPr>
              <w:rPr>
                <w:rFonts w:ascii="Times New Roman" w:hAnsi="Times New Roman"/>
                <w:b/>
                <w:bCs/>
                <w:sz w:val="24"/>
                <w:u w:val="single"/>
              </w:rPr>
            </w:pPr>
            <w:r>
              <w:rPr>
                <w:rFonts w:ascii="Times New Roman" w:hAnsi="Times New Roman"/>
                <w:sz w:val="24"/>
              </w:rPr>
              <w:t>Článek</w:t>
            </w:r>
            <w:r>
              <w:rPr>
                <w:rStyle w:val="InstructionsTabelleText"/>
                <w:rFonts w:ascii="Times New Roman" w:hAnsi="Times New Roman"/>
                <w:sz w:val="24"/>
              </w:rPr>
              <w:t xml:space="preserve"> 254 </w:t>
            </w:r>
            <w:r>
              <w:rPr>
                <w:rFonts w:ascii="Times New Roman" w:hAnsi="Times New Roman"/>
                <w:sz w:val="24"/>
              </w:rPr>
              <w:t>nařízení (EU) č. 575/2013</w:t>
            </w:r>
            <w:r>
              <w:rPr>
                <w:rStyle w:val="InstructionsTabelleText"/>
                <w:rFonts w:ascii="Times New Roman" w:hAnsi="Times New Roman"/>
                <w:sz w:val="24"/>
              </w:rPr>
              <w:t xml:space="preserve"> </w:t>
            </w:r>
          </w:p>
        </w:tc>
      </w:tr>
      <w:tr w:rsidR="007266CF" w:rsidRPr="006223CC" w14:paraId="6EBE5507" w14:textId="77777777" w:rsidTr="007266CF">
        <w:tc>
          <w:tcPr>
            <w:tcW w:w="1413" w:type="dxa"/>
          </w:tcPr>
          <w:p w14:paraId="2DA2B3E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55DB7A75"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SEC-IRBA</w:t>
            </w:r>
          </w:p>
          <w:p w14:paraId="5FF5AB6D" w14:textId="77777777" w:rsidR="007266CF" w:rsidRPr="006223CC" w:rsidRDefault="007266CF" w:rsidP="007266CF">
            <w:pPr>
              <w:rPr>
                <w:rFonts w:ascii="Times New Roman" w:hAnsi="Times New Roman"/>
                <w:b/>
                <w:bCs/>
                <w:sz w:val="24"/>
                <w:u w:val="single"/>
                <w:lang w:val="fr-FR"/>
              </w:rPr>
            </w:pPr>
            <w:r w:rsidRPr="006223CC">
              <w:rPr>
                <w:rStyle w:val="InstructionsTabelleText"/>
                <w:rFonts w:ascii="Times New Roman" w:hAnsi="Times New Roman"/>
                <w:sz w:val="24"/>
                <w:lang w:val="fr-FR"/>
              </w:rPr>
              <w:t>Články 259 a 260</w:t>
            </w:r>
            <w:r w:rsidRPr="006223CC">
              <w:rPr>
                <w:rFonts w:ascii="Times New Roman" w:hAnsi="Times New Roman"/>
                <w:sz w:val="24"/>
                <w:lang w:val="fr-FR"/>
              </w:rPr>
              <w:t xml:space="preserve"> nařízení (EU) č. 575/2013</w:t>
            </w:r>
          </w:p>
        </w:tc>
      </w:tr>
      <w:tr w:rsidR="007266CF" w:rsidRPr="006223CC" w14:paraId="45184463" w14:textId="77777777" w:rsidTr="007266CF">
        <w:tc>
          <w:tcPr>
            <w:tcW w:w="1413" w:type="dxa"/>
          </w:tcPr>
          <w:p w14:paraId="16D0E4F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6ED3956"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SEC-SA</w:t>
            </w:r>
          </w:p>
          <w:p w14:paraId="35BD9560" w14:textId="77777777" w:rsidR="007266CF" w:rsidRPr="006223CC" w:rsidRDefault="007266CF" w:rsidP="007266CF">
            <w:pPr>
              <w:autoSpaceDE w:val="0"/>
              <w:autoSpaceDN w:val="0"/>
              <w:adjustRightInd w:val="0"/>
              <w:jc w:val="left"/>
              <w:rPr>
                <w:rFonts w:ascii="Times New Roman" w:hAnsi="Times New Roman"/>
                <w:b/>
                <w:bCs/>
                <w:sz w:val="24"/>
                <w:u w:val="single"/>
                <w:lang w:val="fr-FR"/>
              </w:rPr>
            </w:pPr>
            <w:r w:rsidRPr="006223CC">
              <w:rPr>
                <w:rStyle w:val="InstructionsTabelleText"/>
                <w:rFonts w:ascii="Times New Roman" w:hAnsi="Times New Roman"/>
                <w:sz w:val="24"/>
                <w:lang w:val="fr-FR"/>
              </w:rPr>
              <w:t xml:space="preserve">Články 261 a 262 </w:t>
            </w:r>
            <w:r w:rsidRPr="006223CC">
              <w:rPr>
                <w:rFonts w:ascii="Times New Roman" w:hAnsi="Times New Roman"/>
                <w:sz w:val="24"/>
                <w:lang w:val="fr-FR"/>
              </w:rPr>
              <w:t>nařízení (EU) č. 575/2013</w:t>
            </w:r>
          </w:p>
        </w:tc>
      </w:tr>
      <w:tr w:rsidR="007266CF" w:rsidRPr="006223CC" w14:paraId="50F11787" w14:textId="77777777" w:rsidTr="007266CF">
        <w:tc>
          <w:tcPr>
            <w:tcW w:w="1413" w:type="dxa"/>
          </w:tcPr>
          <w:p w14:paraId="4F0472D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8B76D83"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SEC-ERBA</w:t>
            </w:r>
          </w:p>
          <w:p w14:paraId="2FF123A4" w14:textId="77777777" w:rsidR="007266CF" w:rsidRPr="006223CC" w:rsidRDefault="007266CF" w:rsidP="007266CF">
            <w:pPr>
              <w:rPr>
                <w:rFonts w:ascii="Times New Roman" w:hAnsi="Times New Roman"/>
                <w:b/>
                <w:bCs/>
                <w:sz w:val="24"/>
                <w:u w:val="single"/>
                <w:lang w:val="fr-FR"/>
              </w:rPr>
            </w:pPr>
            <w:r w:rsidRPr="006223CC">
              <w:rPr>
                <w:rStyle w:val="InstructionsTabelleText"/>
                <w:rFonts w:ascii="Times New Roman" w:hAnsi="Times New Roman"/>
                <w:sz w:val="24"/>
                <w:lang w:val="fr-FR"/>
              </w:rPr>
              <w:t xml:space="preserve">Články 263 a 264 </w:t>
            </w:r>
            <w:r w:rsidRPr="006223CC">
              <w:rPr>
                <w:rFonts w:ascii="Times New Roman" w:hAnsi="Times New Roman"/>
                <w:sz w:val="24"/>
                <w:lang w:val="fr-FR"/>
              </w:rPr>
              <w:t>nařízení (EU) č. 575/2013</w:t>
            </w:r>
          </w:p>
        </w:tc>
      </w:tr>
      <w:tr w:rsidR="007266CF" w:rsidRPr="002A677E" w14:paraId="11A96397" w14:textId="77777777" w:rsidTr="007266CF">
        <w:tc>
          <w:tcPr>
            <w:tcW w:w="1413" w:type="dxa"/>
          </w:tcPr>
          <w:p w14:paraId="4C2084C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1692FEB2"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INTERNÍHO HODNOCENÍ</w:t>
            </w:r>
          </w:p>
          <w:p w14:paraId="2041A6D1" w14:textId="77777777" w:rsidR="007266CF" w:rsidRPr="002A677E" w:rsidRDefault="007266CF" w:rsidP="007266CF">
            <w:pPr>
              <w:rPr>
                <w:rFonts w:ascii="Times New Roman" w:hAnsi="Times New Roman"/>
                <w:bCs/>
                <w:sz w:val="24"/>
                <w:u w:val="single"/>
              </w:rPr>
            </w:pPr>
            <w:r>
              <w:rPr>
                <w:rStyle w:val="InstructionsTabelleText"/>
                <w:rFonts w:ascii="Times New Roman" w:hAnsi="Times New Roman"/>
                <w:sz w:val="24"/>
              </w:rPr>
              <w:t xml:space="preserve">Ustanovení článků 254 a 265 a čl. 266 odst. 5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0C358E7F" w14:textId="77777777" w:rsidTr="007266CF">
        <w:tc>
          <w:tcPr>
            <w:tcW w:w="1413" w:type="dxa"/>
          </w:tcPr>
          <w:p w14:paraId="2A5E4C2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7E9C6C20"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ZVLÁŠTNÍ ZACHÁZENÍ S PŘEDNOSTNÍMI TRANŠEMI KVALIFIKOVANÝCH SEKURITIZACÍ NEVÝKONNÝCH EXPOZIC</w:t>
            </w:r>
          </w:p>
          <w:p w14:paraId="51ED0069" w14:textId="77777777" w:rsidR="007266CF" w:rsidRPr="002A677E" w:rsidRDefault="007266CF" w:rsidP="007266CF">
            <w:pPr>
              <w:rPr>
                <w:rFonts w:ascii="Times New Roman" w:hAnsi="Times New Roman"/>
                <w:b/>
                <w:bCs/>
                <w:sz w:val="24"/>
                <w:u w:val="single"/>
              </w:rPr>
            </w:pPr>
            <w:r>
              <w:rPr>
                <w:rFonts w:ascii="Times New Roman" w:hAnsi="Times New Roman"/>
                <w:sz w:val="24"/>
              </w:rPr>
              <w:t>Ustanovení čl. 269a odst. 3 nařízení (EU) č. 575/2013</w:t>
            </w:r>
          </w:p>
        </w:tc>
      </w:tr>
      <w:tr w:rsidR="007266CF" w:rsidRPr="002A677E" w14:paraId="6E1AE467" w14:textId="77777777" w:rsidTr="007266CF">
        <w:tc>
          <w:tcPr>
            <w:tcW w:w="1413" w:type="dxa"/>
          </w:tcPr>
          <w:p w14:paraId="7DA8432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3B24FEAB"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(RW = 1 250 %)</w:t>
            </w:r>
          </w:p>
          <w:p w14:paraId="154AB553" w14:textId="77777777" w:rsidR="007266CF" w:rsidRPr="002A677E" w:rsidRDefault="007266CF" w:rsidP="007266CF">
            <w:pPr>
              <w:rPr>
                <w:rFonts w:ascii="Times New Roman" w:hAnsi="Times New Roman"/>
                <w:b/>
                <w:bCs/>
                <w:sz w:val="24"/>
                <w:u w:val="single"/>
              </w:rPr>
            </w:pPr>
            <w:r>
              <w:rPr>
                <w:rStyle w:val="InstructionsTabelleText"/>
                <w:rFonts w:ascii="Times New Roman" w:hAnsi="Times New Roman"/>
                <w:sz w:val="24"/>
              </w:rPr>
              <w:t xml:space="preserve">Ustanovení čl. 254 odst. 7 </w:t>
            </w:r>
            <w:r>
              <w:rPr>
                <w:rFonts w:ascii="Times New Roman" w:hAnsi="Times New Roman"/>
                <w:sz w:val="24"/>
              </w:rPr>
              <w:t>nařízení (EU) č. 575/2013</w:t>
            </w:r>
          </w:p>
        </w:tc>
      </w:tr>
      <w:tr w:rsidR="007266CF" w:rsidRPr="006223CC" w14:paraId="2D49A0ED" w14:textId="77777777" w:rsidTr="007266CF">
        <w:tc>
          <w:tcPr>
            <w:tcW w:w="1413" w:type="dxa"/>
          </w:tcPr>
          <w:p w14:paraId="18B9268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1208AEB1"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DOPAD (ÚPRAVA) V DŮSLEDKU PORUŠENÍ KAPITOLY 2 NAŘÍZENÍ (EU) 2017/2402</w:t>
            </w:r>
          </w:p>
          <w:p w14:paraId="72226A01" w14:textId="77777777" w:rsidR="007266CF" w:rsidRPr="006223CC" w:rsidRDefault="007266CF" w:rsidP="007266CF">
            <w:pPr>
              <w:rPr>
                <w:rFonts w:ascii="Times New Roman" w:hAnsi="Times New Roman"/>
                <w:b/>
                <w:bCs/>
                <w:sz w:val="24"/>
                <w:u w:val="single"/>
                <w:lang w:val="fr-FR"/>
              </w:rPr>
            </w:pPr>
            <w:r w:rsidRPr="006223CC">
              <w:rPr>
                <w:rStyle w:val="InstructionsTabelleText"/>
                <w:rFonts w:ascii="Times New Roman" w:hAnsi="Times New Roman"/>
                <w:sz w:val="24"/>
                <w:lang w:val="fr-FR"/>
              </w:rPr>
              <w:t xml:space="preserve">Článek 270a </w:t>
            </w:r>
            <w:r w:rsidRPr="006223CC">
              <w:rPr>
                <w:rFonts w:ascii="Times New Roman" w:hAnsi="Times New Roman"/>
                <w:sz w:val="24"/>
                <w:lang w:val="fr-FR"/>
              </w:rPr>
              <w:t>nařízení (EU) č. 575/2013</w:t>
            </w:r>
          </w:p>
        </w:tc>
      </w:tr>
      <w:tr w:rsidR="007266CF" w:rsidRPr="002A677E" w14:paraId="0E1FC4B8" w14:textId="77777777" w:rsidTr="007266CF">
        <w:tc>
          <w:tcPr>
            <w:tcW w:w="1413" w:type="dxa"/>
          </w:tcPr>
          <w:p w14:paraId="7CAF619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6F40A2BE"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PŘED UPLATNĚNÍM STROPU </w:t>
            </w:r>
          </w:p>
          <w:p w14:paraId="1DB043A5" w14:textId="77777777" w:rsidR="007266CF" w:rsidRPr="002A677E" w:rsidRDefault="007266CF" w:rsidP="007266CF">
            <w:pPr>
              <w:rPr>
                <w:rFonts w:ascii="Times New Roman" w:hAnsi="Times New Roman"/>
                <w:bCs/>
                <w:sz w:val="24"/>
              </w:rPr>
            </w:pPr>
            <w:r>
              <w:rPr>
                <w:rFonts w:ascii="Times New Roman" w:hAnsi="Times New Roman"/>
                <w:sz w:val="24"/>
              </w:rPr>
              <w:t>Článek 337 nařízení (EU) č. 575/2013 bez zohlednění možnosti podle článku 335 téhož nařízení, který instituci umožňuje stanovit strop pro součin příslušné váhy a čisté pozice ve výši maximální možné ztráty související s rizikem selhání</w:t>
            </w:r>
          </w:p>
        </w:tc>
      </w:tr>
      <w:tr w:rsidR="007266CF" w:rsidRPr="002A677E" w14:paraId="55B0F466" w14:textId="77777777" w:rsidTr="007266CF">
        <w:tc>
          <w:tcPr>
            <w:tcW w:w="1413" w:type="dxa"/>
          </w:tcPr>
          <w:p w14:paraId="73CA8E0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3CB76B73"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KAPITÁLOVÉ POŽADAVKY PO UPLATNĚNÍ STROPU / CELKOVÉ </w:t>
            </w:r>
          </w:p>
          <w:p w14:paraId="63A1EA93" w14:textId="77777777" w:rsidR="007266CF" w:rsidRPr="002A677E" w:rsidRDefault="007266CF" w:rsidP="007266CF">
            <w:pPr>
              <w:rPr>
                <w:rFonts w:ascii="Times New Roman" w:hAnsi="Times New Roman"/>
                <w:bCs/>
                <w:sz w:val="24"/>
              </w:rPr>
            </w:pPr>
            <w:r>
              <w:rPr>
                <w:rFonts w:ascii="Times New Roman" w:hAnsi="Times New Roman"/>
                <w:sz w:val="24"/>
              </w:rPr>
              <w:t xml:space="preserve">Článek 337 nařízení (EU) č. 575/2013 se zohledněním </w:t>
            </w:r>
            <w:r>
              <w:rPr>
                <w:rStyle w:val="InstructionsTabelleText"/>
                <w:rFonts w:ascii="Times New Roman" w:hAnsi="Times New Roman"/>
                <w:sz w:val="24"/>
              </w:rPr>
              <w:t>možnosti</w:t>
            </w:r>
            <w:r>
              <w:rPr>
                <w:rFonts w:ascii="Times New Roman" w:hAnsi="Times New Roman"/>
                <w:sz w:val="24"/>
              </w:rPr>
              <w:t xml:space="preserve"> uvedené v článku 335 zmíněného nařízení.</w:t>
            </w:r>
          </w:p>
        </w:tc>
      </w:tr>
    </w:tbl>
    <w:p w14:paraId="009CD595"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7266CF" w:rsidRPr="002A677E" w14:paraId="5B87DA3F" w14:textId="77777777" w:rsidTr="007266CF">
        <w:trPr>
          <w:trHeight w:val="537"/>
        </w:trPr>
        <w:tc>
          <w:tcPr>
            <w:tcW w:w="8950" w:type="dxa"/>
            <w:gridSpan w:val="2"/>
            <w:shd w:val="clear" w:color="auto" w:fill="BFBFBF"/>
          </w:tcPr>
          <w:p w14:paraId="1BBA7785"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7266CF" w:rsidRPr="002A677E" w14:paraId="2CB78510" w14:textId="77777777" w:rsidTr="007266CF">
        <w:tc>
          <w:tcPr>
            <w:tcW w:w="1413" w:type="dxa"/>
          </w:tcPr>
          <w:p w14:paraId="05CC795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1056F318" w14:textId="77777777" w:rsidR="007266CF" w:rsidRPr="002A677E" w:rsidRDefault="007266CF" w:rsidP="007266CF">
            <w:pPr>
              <w:rPr>
                <w:rFonts w:ascii="Times New Roman" w:hAnsi="Times New Roman"/>
                <w:sz w:val="24"/>
              </w:rPr>
            </w:pPr>
            <w:r>
              <w:rPr>
                <w:rStyle w:val="InstructionsTabelleberschrift"/>
                <w:rFonts w:ascii="Times New Roman" w:hAnsi="Times New Roman"/>
                <w:sz w:val="24"/>
              </w:rPr>
              <w:t>CELKOVÉ EXPOZICE</w:t>
            </w:r>
          </w:p>
          <w:p w14:paraId="72B88AF3" w14:textId="77777777" w:rsidR="007266CF" w:rsidRPr="002A677E" w:rsidRDefault="007266CF" w:rsidP="007266C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Celková výše nesplacených sekuritizací a resekuritizací (držených v obchodním portfoliu) vykazovaná institucí, která zastává úlohu/y původce nebo investora nebo sponzora.</w:t>
            </w:r>
          </w:p>
        </w:tc>
      </w:tr>
      <w:tr w:rsidR="007266CF" w:rsidRPr="002A677E" w14:paraId="45817723" w14:textId="77777777" w:rsidTr="007266CF">
        <w:tc>
          <w:tcPr>
            <w:tcW w:w="1413" w:type="dxa"/>
          </w:tcPr>
          <w:p w14:paraId="1778892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0040, 0070 a 0100</w:t>
            </w:r>
          </w:p>
        </w:tc>
        <w:tc>
          <w:tcPr>
            <w:tcW w:w="7537" w:type="dxa"/>
          </w:tcPr>
          <w:p w14:paraId="0632B54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SEKURITIZOVANÉ POZICE</w:t>
            </w:r>
          </w:p>
          <w:p w14:paraId="62610DED"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 xml:space="preserve"> Ustanovení čl. 4 odst. 1 bodu 62 nařízení (EU) č. 575/2013.</w:t>
            </w:r>
          </w:p>
          <w:p w14:paraId="40603296"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1B713EAE" w14:textId="77777777" w:rsidTr="007266CF">
        <w:tc>
          <w:tcPr>
            <w:tcW w:w="1413" w:type="dxa"/>
          </w:tcPr>
          <w:p w14:paraId="12C460F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0020, 0050, 0080 a 0110</w:t>
            </w:r>
          </w:p>
        </w:tc>
        <w:tc>
          <w:tcPr>
            <w:tcW w:w="7537" w:type="dxa"/>
          </w:tcPr>
          <w:p w14:paraId="12C8C91D"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RESEKURITIZOVANÉ POZICE</w:t>
            </w:r>
          </w:p>
          <w:p w14:paraId="3BD807CC"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Ustanovení čl. 4 odst. 1 bodu 64 nařízení (EU) č. 575/2013</w:t>
            </w:r>
          </w:p>
          <w:p w14:paraId="69AFE1AB"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2955CE8B" w14:textId="77777777" w:rsidTr="007266CF">
        <w:tc>
          <w:tcPr>
            <w:tcW w:w="1413" w:type="dxa"/>
          </w:tcPr>
          <w:p w14:paraId="627E5FB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0041, 0071 a 0101</w:t>
            </w:r>
          </w:p>
        </w:tc>
        <w:tc>
          <w:tcPr>
            <w:tcW w:w="7537" w:type="dxa"/>
          </w:tcPr>
          <w:p w14:paraId="252AECC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Z TOHO: ZPŮSOBILÉ PRO DIFERENCOVANÉ KAPITÁLOVÉ ZACHÁZENÍ</w:t>
            </w:r>
          </w:p>
          <w:p w14:paraId="7AC9C349" w14:textId="77777777" w:rsidR="007266CF" w:rsidRPr="002A677E" w:rsidRDefault="007266CF" w:rsidP="007266CF">
            <w:pPr>
              <w:rPr>
                <w:rStyle w:val="InstructionsTabelleberschrift"/>
                <w:rFonts w:ascii="Times New Roman" w:hAnsi="Times New Roman"/>
                <w:sz w:val="24"/>
              </w:rPr>
            </w:pPr>
            <w:r>
              <w:rPr>
                <w:rFonts w:ascii="Times New Roman" w:hAnsi="Times New Roman"/>
                <w:sz w:val="24"/>
              </w:rPr>
              <w:t>Celkový objem sekuritizovaných pozic, které splňují kritéria článku 243 nebo 270 nařízení (EU) č. 575/2013, a tudíž jsou způsobilé pro diferencované kapitálové zacházení.</w:t>
            </w:r>
          </w:p>
        </w:tc>
      </w:tr>
      <w:tr w:rsidR="007266CF" w:rsidRPr="002A677E" w14:paraId="22CE0E72" w14:textId="77777777" w:rsidTr="007266CF">
        <w:tc>
          <w:tcPr>
            <w:tcW w:w="1413" w:type="dxa"/>
          </w:tcPr>
          <w:p w14:paraId="5BE16A4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71B655E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PŮVODCE</w:t>
            </w:r>
          </w:p>
          <w:p w14:paraId="7B0B0071"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Ustanovení čl. 4 odst. 1 bodu 13 nařízení (EU) č. 575/2013</w:t>
            </w:r>
          </w:p>
          <w:p w14:paraId="701CFACA"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1352E7A8" w14:textId="77777777" w:rsidTr="007266CF">
        <w:tc>
          <w:tcPr>
            <w:tcW w:w="1413" w:type="dxa"/>
          </w:tcPr>
          <w:p w14:paraId="560CF70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4A6D38D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INVESTOR</w:t>
            </w:r>
          </w:p>
          <w:p w14:paraId="5B2B12A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Úvěrová instituce, která drží sekuritizované pozice v sekuritizaci, v jejímž případě není původcem, sponzorem ani původní věřitelem.</w:t>
            </w:r>
          </w:p>
          <w:p w14:paraId="1E789759"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tc>
      </w:tr>
      <w:tr w:rsidR="007266CF" w:rsidRPr="002A677E" w14:paraId="624824FA" w14:textId="77777777" w:rsidTr="007266CF">
        <w:tc>
          <w:tcPr>
            <w:tcW w:w="1413" w:type="dxa"/>
          </w:tcPr>
          <w:p w14:paraId="6E8DE5F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54BBBE3F"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SPONZOR</w:t>
            </w:r>
          </w:p>
          <w:p w14:paraId="417E536C" w14:textId="77777777" w:rsidR="007266CF" w:rsidRPr="002A677E" w:rsidRDefault="007266CF" w:rsidP="007266CF">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Ustanovení čl. 4 odst. 1 bodu 14 nařízení (EU) č. 575/2013</w:t>
            </w:r>
            <w:r>
              <w:rPr>
                <w:rStyle w:val="InstructionsTabelleText"/>
                <w:rFonts w:ascii="Times New Roman" w:hAnsi="Times New Roman"/>
                <w:sz w:val="24"/>
              </w:rPr>
              <w:t xml:space="preserve">. </w:t>
            </w:r>
          </w:p>
          <w:p w14:paraId="26533C97" w14:textId="77777777" w:rsidR="007266CF" w:rsidRPr="002A677E" w:rsidRDefault="007266CF" w:rsidP="007266CF">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který sekuritizuje rovněž vlastní aktiva, v řádku určeném pro původce vyplní údaj týkající se vlastních sekuritizovaných aktiv.</w:t>
            </w:r>
          </w:p>
        </w:tc>
      </w:tr>
    </w:tbl>
    <w:p w14:paraId="04BF6689"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p w14:paraId="3DCD55D5"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p w14:paraId="0962B1D6" w14:textId="77777777" w:rsidR="007266CF" w:rsidRPr="002A677E" w:rsidRDefault="007266CF" w:rsidP="00A75C39">
      <w:pPr>
        <w:pStyle w:val="Instructionsberschrift2"/>
        <w:numPr>
          <w:ilvl w:val="1"/>
          <w:numId w:val="113"/>
        </w:numPr>
        <w:rPr>
          <w:rFonts w:ascii="Times New Roman" w:hAnsi="Times New Roman" w:cs="Times New Roman"/>
          <w:sz w:val="24"/>
        </w:rPr>
      </w:pPr>
      <w:bookmarkStart w:id="294" w:name="_Toc116026840"/>
      <w:bookmarkStart w:id="295" w:name="_Toc119077997"/>
      <w:r>
        <w:rPr>
          <w:rFonts w:ascii="Times New Roman" w:hAnsi="Times New Roman"/>
          <w:sz w:val="24"/>
        </w:rPr>
        <w:t>C 20.00 – TRŽNÍ RIZIKO: STANDARDIZOVANÝ PŘÍSTUP KE SPECIFICKÉMU RIZIKU V PŘÍPADĚ POZIC ZAŘAZENÝCH DO PORTFOLIA OBCHODOVÁNÍ S KORELACÍ (MKR SA CTP)</w:t>
      </w:r>
      <w:bookmarkEnd w:id="294"/>
      <w:bookmarkEnd w:id="295"/>
    </w:p>
    <w:p w14:paraId="2A4D0FF9" w14:textId="77777777" w:rsidR="007266CF" w:rsidRPr="002A677E" w:rsidRDefault="007266CF" w:rsidP="00A75C39">
      <w:pPr>
        <w:pStyle w:val="Instructionsberschrift2"/>
        <w:numPr>
          <w:ilvl w:val="2"/>
          <w:numId w:val="114"/>
        </w:numPr>
        <w:rPr>
          <w:rFonts w:ascii="Times New Roman" w:hAnsi="Times New Roman" w:cs="Times New Roman"/>
          <w:sz w:val="24"/>
        </w:rPr>
      </w:pPr>
      <w:bookmarkStart w:id="296" w:name="_Toc116026841"/>
      <w:bookmarkStart w:id="297" w:name="_Toc119077998"/>
      <w:r>
        <w:rPr>
          <w:rFonts w:ascii="Times New Roman" w:hAnsi="Times New Roman"/>
          <w:sz w:val="24"/>
        </w:rPr>
        <w:t>Obecné poznámky</w:t>
      </w:r>
      <w:bookmarkEnd w:id="296"/>
      <w:bookmarkEnd w:id="297"/>
    </w:p>
    <w:p w14:paraId="696A83E5" w14:textId="77777777" w:rsidR="007266CF" w:rsidRPr="002A677E" w:rsidRDefault="007266CF" w:rsidP="007266CF">
      <w:pPr>
        <w:pStyle w:val="InstructionsText2"/>
        <w:numPr>
          <w:ilvl w:val="0"/>
          <w:numId w:val="0"/>
        </w:numPr>
        <w:ind w:left="1353" w:hanging="360"/>
      </w:pPr>
      <w:fldSimple w:instr=" seq paragraphs ">
        <w:r>
          <w:t>165</w:t>
        </w:r>
      </w:fldSimple>
      <w:r>
        <w:t>. V této šabloně se vykazují údaje o pozicích zařazených do portfolia obchodování s korelací (patří sem sekuritizace, úvěrové deriváty n-tého selhání a další pozice v portfoliu obchodování s korelací zahrnuté podle čl. 338 odst. 3 nařízení (EU) č. 575/2013) a odpovídajících kapitálových požadavcích v rámci standardizovaného přístupu.</w:t>
      </w:r>
    </w:p>
    <w:p w14:paraId="3652CA20" w14:textId="77777777" w:rsidR="007266CF" w:rsidRPr="002A677E" w:rsidRDefault="007266CF" w:rsidP="007266CF">
      <w:pPr>
        <w:pStyle w:val="InstructionsText2"/>
        <w:numPr>
          <w:ilvl w:val="0"/>
          <w:numId w:val="0"/>
        </w:numPr>
        <w:ind w:left="1353" w:hanging="360"/>
      </w:pPr>
      <w:fldSimple w:instr=" seq paragraphs ">
        <w:r>
          <w:t>166</w:t>
        </w:r>
      </w:fldSimple>
      <w:r>
        <w:t>.</w:t>
      </w:r>
      <w:r>
        <w:tab/>
        <w:t xml:space="preserve"> V šabloně MKR SA CTP se prezentuje kapitálový požadavek týkající se pouze specifického rizika pozic zařazených do portfolia obchodování s korelací podle článku 335 nařízení (EU) č. 575/2013 ve spojení s čl. 338 odst. 2 a 3 uvedeného nařízení. Jsou-li pozice v portfoliu obchodování s korelací zajištěny úvěrovými deriváty, uplatní se články 346 a 347 nařízení (EU) č. 575/2013. Pro všechny pozice portfolia obchodování s korelací obchodního portfolia existuje pouze jedna šablona, bez ohledu na přístup, který instituce používají k určení rizikové váhy pro každou z pozic v souladu s částí třetí hlavou II kapitolou 5 nařízení (EU) č. 575/2013. Kapitálové požadavky k obecnému riziku u těchto pozic se vykazují v šabloně MKR SA TDI nebo MKR IM.</w:t>
      </w:r>
    </w:p>
    <w:p w14:paraId="2120F09D" w14:textId="77777777" w:rsidR="007266CF" w:rsidRPr="002A677E" w:rsidRDefault="007266CF" w:rsidP="007266CF">
      <w:pPr>
        <w:pStyle w:val="InstructionsText2"/>
        <w:numPr>
          <w:ilvl w:val="0"/>
          <w:numId w:val="0"/>
        </w:numPr>
        <w:ind w:left="1353" w:hanging="360"/>
      </w:pPr>
      <w:fldSimple w:instr=" seq paragraphs ">
        <w:r>
          <w:t>167</w:t>
        </w:r>
      </w:fldSimple>
      <w:r>
        <w:t>.</w:t>
      </w:r>
      <w:r>
        <w:tab/>
        <w:t xml:space="preserve"> V šabloně jsou odděleny sekuritizované pozice, úvěrové deriváty n-tého selhání a ostatní pozice v portfoliu obchodování s korelací. Sekuritizované pozice se vždy vykazují v řádcích 0030, 0060 nebo 0090 (v závislosti na úloze instituce v sekuritizaci). Úvěrové deriváty n-tého selhání se vždy vykazují v řádku 0110. „Ostatní pozice v portfoliu obchodování s korelací“ jsou pozice, které nejsou ani sekuritizovanými pozicemi, ani úvěrovými deriváty n-tého selhání (viz čl. 338 odst. 3 nařízení (EU) č. 575/2013), ale jsou výslovně „spojeny“ (kvůli zajišťovacímu záměru) s jednou z těchto dvou pozic. </w:t>
      </w:r>
    </w:p>
    <w:p w14:paraId="07BB795A" w14:textId="77777777" w:rsidR="007266CF" w:rsidRPr="002A677E" w:rsidRDefault="007266CF" w:rsidP="007266CF">
      <w:pPr>
        <w:pStyle w:val="InstructionsText2"/>
        <w:numPr>
          <w:ilvl w:val="0"/>
          <w:numId w:val="0"/>
        </w:numPr>
        <w:ind w:left="1353" w:hanging="360"/>
      </w:pPr>
      <w:fldSimple w:instr=" seq paragraphs ">
        <w:r>
          <w:t>168</w:t>
        </w:r>
      </w:fldSimple>
      <w:r>
        <w:t>.</w:t>
      </w:r>
      <w:r>
        <w:tab/>
        <w:t xml:space="preserve"> Pozice, kterým je přiřazena riziková váha 1 250 %, lze alternativně odečíst od kmenového kapitálu tier 1 (viz čl. 244 odst. 1 písm. b), čl. 245 odst. 1 písm. b) a článek 253 nařízení (EU) č. 575/2013). Jedná-li se o tento případ, uvedené pozice musí být vykázány v řádku 0460 šablony CA1.</w:t>
      </w:r>
    </w:p>
    <w:p w14:paraId="3E2B1BA8" w14:textId="77777777" w:rsidR="007266CF" w:rsidRPr="002A677E" w:rsidRDefault="007266CF" w:rsidP="00A75C39">
      <w:pPr>
        <w:pStyle w:val="Instructionsberschrift2"/>
        <w:numPr>
          <w:ilvl w:val="2"/>
          <w:numId w:val="115"/>
        </w:numPr>
        <w:rPr>
          <w:rFonts w:ascii="Times New Roman" w:hAnsi="Times New Roman" w:cs="Times New Roman"/>
          <w:sz w:val="24"/>
        </w:rPr>
      </w:pPr>
      <w:bookmarkStart w:id="298" w:name="_Toc116026842"/>
      <w:bookmarkStart w:id="299" w:name="_Toc119077999"/>
      <w:r>
        <w:rPr>
          <w:rFonts w:ascii="Times New Roman" w:hAnsi="Times New Roman"/>
          <w:sz w:val="24"/>
        </w:rPr>
        <w:t>Pokyny pro konkrétní pozice</w:t>
      </w:r>
      <w:bookmarkEnd w:id="298"/>
      <w:bookmarkEnd w:id="299"/>
    </w:p>
    <w:p w14:paraId="16D0CB15"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7266CF" w:rsidRPr="002A677E" w14:paraId="52778BB5" w14:textId="77777777" w:rsidTr="007266CF">
        <w:trPr>
          <w:trHeight w:val="602"/>
        </w:trPr>
        <w:tc>
          <w:tcPr>
            <w:tcW w:w="8890" w:type="dxa"/>
            <w:gridSpan w:val="2"/>
            <w:shd w:val="clear" w:color="auto" w:fill="CCCCCC"/>
          </w:tcPr>
          <w:p w14:paraId="630BB04E"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7266CF" w:rsidRPr="002A677E" w14:paraId="18C044C6" w14:textId="77777777" w:rsidTr="007266CF">
        <w:tc>
          <w:tcPr>
            <w:tcW w:w="1016" w:type="dxa"/>
          </w:tcPr>
          <w:p w14:paraId="4F3783C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1FC67DA0"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VŠECHNY POZICE (DLOUHÉ A KRÁTKÉ)</w:t>
            </w:r>
          </w:p>
          <w:p w14:paraId="1CCE15EE" w14:textId="77777777" w:rsidR="007266CF" w:rsidRPr="002A677E" w:rsidRDefault="007266CF" w:rsidP="007266CF">
            <w:pPr>
              <w:rPr>
                <w:rFonts w:ascii="Times New Roman" w:hAnsi="Times New Roman"/>
                <w:sz w:val="24"/>
              </w:rPr>
            </w:pPr>
            <w:r>
              <w:rPr>
                <w:rFonts w:ascii="Times New Roman" w:hAnsi="Times New Roman"/>
                <w:sz w:val="24"/>
              </w:rPr>
              <w:t>Článek 102 a čl. 105 odst. 1 nařízení (EU) č. 575/2013 ve spojení s čl. 338 odst. 2 a 3 uvedeného nařízení (pozice zařazené do portfolia obchodování s korelací)</w:t>
            </w:r>
          </w:p>
          <w:p w14:paraId="292C04C8" w14:textId="77777777" w:rsidR="007266CF" w:rsidRPr="002A677E" w:rsidRDefault="007266CF" w:rsidP="007266CF">
            <w:pPr>
              <w:rPr>
                <w:rFonts w:ascii="Times New Roman" w:hAnsi="Times New Roman"/>
                <w:sz w:val="24"/>
              </w:rPr>
            </w:pPr>
            <w:r>
              <w:rPr>
                <w:rFonts w:ascii="Times New Roman" w:hAnsi="Times New Roman"/>
                <w:sz w:val="24"/>
              </w:rPr>
              <w:t>Pro rozlišení mezi dlouhými a krátkými pozicemi, které platí i pro tyto hrubé pozice, viz čl. 328 odst. 2 nařízení (EU) č. 575/2013.</w:t>
            </w:r>
          </w:p>
        </w:tc>
      </w:tr>
      <w:tr w:rsidR="007266CF" w:rsidRPr="002A677E" w14:paraId="10979BE6" w14:textId="77777777" w:rsidTr="007266CF">
        <w:tc>
          <w:tcPr>
            <w:tcW w:w="1016" w:type="dxa"/>
          </w:tcPr>
          <w:p w14:paraId="231B2AC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6445261A"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 POZICE ODEČTENÉ OD KAPITÁLU (DLOUHÉ A KRÁTKÉ)</w:t>
            </w:r>
          </w:p>
          <w:p w14:paraId="4BD39F6B" w14:textId="77777777" w:rsidR="007266CF" w:rsidRPr="002A677E" w:rsidRDefault="007266CF" w:rsidP="007266CF">
            <w:pPr>
              <w:rPr>
                <w:rFonts w:ascii="Times New Roman" w:hAnsi="Times New Roman"/>
                <w:sz w:val="24"/>
              </w:rPr>
            </w:pPr>
            <w:r>
              <w:rPr>
                <w:rFonts w:ascii="Times New Roman" w:hAnsi="Times New Roman"/>
                <w:sz w:val="24"/>
              </w:rPr>
              <w:t xml:space="preserve">Článek 253 nařízení (EU) č. 575/2013 </w:t>
            </w:r>
          </w:p>
        </w:tc>
      </w:tr>
      <w:tr w:rsidR="007266CF" w:rsidRPr="002A677E" w14:paraId="62D1C9C0" w14:textId="77777777" w:rsidTr="007266CF">
        <w:tc>
          <w:tcPr>
            <w:tcW w:w="1016" w:type="dxa"/>
          </w:tcPr>
          <w:p w14:paraId="234479B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14FED719" w14:textId="77777777" w:rsidR="007266CF" w:rsidRPr="006223CC" w:rsidRDefault="007266CF" w:rsidP="007266CF">
            <w:pPr>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ČISTÉ POZICE (DLOUHÉ A KRÁTKÉ)</w:t>
            </w:r>
          </w:p>
          <w:p w14:paraId="0F8E9D99"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 xml:space="preserve">Články 327, 328, 329 a 334 nařízení (EU) č. 575/2013 </w:t>
            </w:r>
          </w:p>
          <w:p w14:paraId="6D409CF1" w14:textId="77777777" w:rsidR="007266CF" w:rsidRPr="002A677E" w:rsidRDefault="007266CF" w:rsidP="007266CF">
            <w:pPr>
              <w:rPr>
                <w:rFonts w:ascii="Times New Roman" w:hAnsi="Times New Roman"/>
                <w:sz w:val="24"/>
              </w:rPr>
            </w:pPr>
            <w:r w:rsidRPr="006223CC">
              <w:rPr>
                <w:rFonts w:ascii="Times New Roman" w:hAnsi="Times New Roman"/>
                <w:sz w:val="24"/>
                <w:lang w:val="fr-FR"/>
              </w:rPr>
              <w:t>Pro rozlišení mezi dlouhou a krátkou pozicí viz čl. 328 odst. </w:t>
            </w:r>
            <w:r>
              <w:rPr>
                <w:rFonts w:ascii="Times New Roman" w:hAnsi="Times New Roman"/>
                <w:sz w:val="24"/>
              </w:rPr>
              <w:t>2 nařízení (EU) č. 575/2013.</w:t>
            </w:r>
          </w:p>
        </w:tc>
      </w:tr>
      <w:tr w:rsidR="007266CF" w:rsidRPr="002A677E" w14:paraId="69B2FC77" w14:textId="77777777" w:rsidTr="007266CF">
        <w:tc>
          <w:tcPr>
            <w:tcW w:w="1016" w:type="dxa"/>
          </w:tcPr>
          <w:p w14:paraId="2535C2D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1A815248"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ROZČLENĚNÍ ČISTÝCH POZIC PODLE RIZIKOVÝCH VAH</w:t>
            </w:r>
          </w:p>
          <w:p w14:paraId="6E3E5E42" w14:textId="77777777" w:rsidR="007266CF" w:rsidRPr="002A677E" w:rsidRDefault="007266CF" w:rsidP="007266CF">
            <w:pPr>
              <w:rPr>
                <w:rFonts w:ascii="Times New Roman" w:hAnsi="Times New Roman"/>
                <w:sz w:val="24"/>
              </w:rPr>
            </w:pPr>
            <w:r>
              <w:rPr>
                <w:rStyle w:val="InstructionsTabelleText"/>
                <w:rFonts w:ascii="Times New Roman" w:hAnsi="Times New Roman"/>
                <w:sz w:val="24"/>
              </w:rPr>
              <w:t xml:space="preserve">Články 259 až 262, článek 263 tabulky 1 a 2, článek 264 tabulky 3 a 4 a článek 266 </w:t>
            </w:r>
            <w:r>
              <w:rPr>
                <w:rFonts w:ascii="Times New Roman" w:hAnsi="Times New Roman"/>
                <w:sz w:val="24"/>
              </w:rPr>
              <w:t>nařízení (EU) č. 575/2013</w:t>
            </w:r>
          </w:p>
        </w:tc>
      </w:tr>
      <w:tr w:rsidR="007266CF" w:rsidRPr="002A677E" w14:paraId="645E2BB9" w14:textId="77777777" w:rsidTr="007266CF">
        <w:tc>
          <w:tcPr>
            <w:tcW w:w="1016" w:type="dxa"/>
          </w:tcPr>
          <w:p w14:paraId="128C500D" w14:textId="77777777" w:rsidR="007266CF" w:rsidRPr="002A677E" w:rsidRDefault="007266CF" w:rsidP="007266CF">
            <w:pPr>
              <w:rPr>
                <w:rFonts w:ascii="Times New Roman" w:hAnsi="Times New Roman"/>
                <w:sz w:val="24"/>
              </w:rPr>
            </w:pPr>
            <w:r>
              <w:rPr>
                <w:rFonts w:ascii="Times New Roman" w:hAnsi="Times New Roman"/>
                <w:sz w:val="24"/>
              </w:rPr>
              <w:t>0402–0406</w:t>
            </w:r>
          </w:p>
        </w:tc>
        <w:tc>
          <w:tcPr>
            <w:tcW w:w="7874" w:type="dxa"/>
          </w:tcPr>
          <w:p w14:paraId="2BE7CF00"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ROZČLENĚNÍ ČISTÝCH POZIC PODLE METOD</w:t>
            </w:r>
          </w:p>
          <w:p w14:paraId="76FD0964"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Článek 254 </w:t>
            </w:r>
            <w:r>
              <w:rPr>
                <w:rFonts w:ascii="Times New Roman" w:hAnsi="Times New Roman"/>
                <w:sz w:val="24"/>
              </w:rPr>
              <w:t>nařízení (EU) č. 575/2013</w:t>
            </w:r>
            <w:r>
              <w:rPr>
                <w:rStyle w:val="InstructionsTabelleText"/>
                <w:rFonts w:ascii="Times New Roman" w:hAnsi="Times New Roman"/>
                <w:sz w:val="24"/>
              </w:rPr>
              <w:t xml:space="preserve"> </w:t>
            </w:r>
          </w:p>
        </w:tc>
      </w:tr>
      <w:tr w:rsidR="007266CF" w:rsidRPr="006223CC" w14:paraId="29D0B66E" w14:textId="77777777" w:rsidTr="007266CF">
        <w:tc>
          <w:tcPr>
            <w:tcW w:w="1016" w:type="dxa"/>
          </w:tcPr>
          <w:p w14:paraId="0BC055B7" w14:textId="77777777" w:rsidR="007266CF" w:rsidRPr="002A677E" w:rsidRDefault="007266CF" w:rsidP="007266CF">
            <w:pPr>
              <w:rPr>
                <w:rFonts w:ascii="Times New Roman" w:hAnsi="Times New Roman"/>
                <w:sz w:val="24"/>
              </w:rPr>
            </w:pPr>
            <w:r>
              <w:rPr>
                <w:rFonts w:ascii="Times New Roman" w:hAnsi="Times New Roman"/>
                <w:sz w:val="24"/>
              </w:rPr>
              <w:t>0402</w:t>
            </w:r>
          </w:p>
        </w:tc>
        <w:tc>
          <w:tcPr>
            <w:tcW w:w="7874" w:type="dxa"/>
          </w:tcPr>
          <w:p w14:paraId="6CA50A78"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SEC-IRBA</w:t>
            </w:r>
          </w:p>
          <w:p w14:paraId="128F9841" w14:textId="77777777" w:rsidR="007266CF" w:rsidRPr="006223CC" w:rsidRDefault="007266CF" w:rsidP="007266CF">
            <w:pPr>
              <w:autoSpaceDE w:val="0"/>
              <w:autoSpaceDN w:val="0"/>
              <w:adjustRightInd w:val="0"/>
              <w:jc w:val="left"/>
              <w:rPr>
                <w:rStyle w:val="InstructionsTabelleberschrift"/>
                <w:rFonts w:ascii="Times New Roman" w:hAnsi="Times New Roman"/>
                <w:sz w:val="24"/>
                <w:lang w:val="fr-FR"/>
              </w:rPr>
            </w:pPr>
            <w:r w:rsidRPr="006223CC">
              <w:rPr>
                <w:rStyle w:val="InstructionsTabelleText"/>
                <w:rFonts w:ascii="Times New Roman" w:hAnsi="Times New Roman"/>
                <w:sz w:val="24"/>
                <w:lang w:val="fr-FR"/>
              </w:rPr>
              <w:t xml:space="preserve">Články 259 a 260 </w:t>
            </w:r>
            <w:r w:rsidRPr="006223CC">
              <w:rPr>
                <w:rFonts w:ascii="Times New Roman" w:hAnsi="Times New Roman"/>
                <w:sz w:val="24"/>
                <w:lang w:val="fr-FR"/>
              </w:rPr>
              <w:t>nařízení (EU) č. 575/2013</w:t>
            </w:r>
          </w:p>
        </w:tc>
      </w:tr>
      <w:tr w:rsidR="007266CF" w:rsidRPr="006223CC" w14:paraId="29EC5B4F" w14:textId="77777777" w:rsidTr="007266CF">
        <w:tc>
          <w:tcPr>
            <w:tcW w:w="1016" w:type="dxa"/>
          </w:tcPr>
          <w:p w14:paraId="46F35202" w14:textId="77777777" w:rsidR="007266CF" w:rsidRPr="002A677E" w:rsidRDefault="007266CF" w:rsidP="007266CF">
            <w:pPr>
              <w:rPr>
                <w:rFonts w:ascii="Times New Roman" w:hAnsi="Times New Roman"/>
                <w:sz w:val="24"/>
              </w:rPr>
            </w:pPr>
            <w:r>
              <w:rPr>
                <w:rFonts w:ascii="Times New Roman" w:hAnsi="Times New Roman"/>
                <w:sz w:val="24"/>
              </w:rPr>
              <w:t>0403</w:t>
            </w:r>
          </w:p>
        </w:tc>
        <w:tc>
          <w:tcPr>
            <w:tcW w:w="7874" w:type="dxa"/>
          </w:tcPr>
          <w:p w14:paraId="7F9DEB78"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SEC-SA</w:t>
            </w:r>
          </w:p>
          <w:p w14:paraId="685F4524" w14:textId="77777777" w:rsidR="007266CF" w:rsidRPr="006223CC" w:rsidRDefault="007266CF" w:rsidP="007266CF">
            <w:pPr>
              <w:autoSpaceDE w:val="0"/>
              <w:autoSpaceDN w:val="0"/>
              <w:adjustRightInd w:val="0"/>
              <w:jc w:val="left"/>
              <w:rPr>
                <w:rStyle w:val="InstructionsTabelleberschrift"/>
                <w:rFonts w:ascii="Times New Roman" w:hAnsi="Times New Roman"/>
                <w:sz w:val="24"/>
                <w:lang w:val="fr-FR"/>
              </w:rPr>
            </w:pPr>
            <w:r w:rsidRPr="006223CC">
              <w:rPr>
                <w:rStyle w:val="InstructionsTabelleText"/>
                <w:rFonts w:ascii="Times New Roman" w:hAnsi="Times New Roman"/>
                <w:sz w:val="24"/>
                <w:lang w:val="fr-FR"/>
              </w:rPr>
              <w:t xml:space="preserve">Články 261 a 262 </w:t>
            </w:r>
            <w:r w:rsidRPr="006223CC">
              <w:rPr>
                <w:rFonts w:ascii="Times New Roman" w:hAnsi="Times New Roman"/>
                <w:sz w:val="24"/>
                <w:lang w:val="fr-FR"/>
              </w:rPr>
              <w:t>nařízení (EU) č. 575/2013</w:t>
            </w:r>
          </w:p>
        </w:tc>
      </w:tr>
      <w:tr w:rsidR="007266CF" w:rsidRPr="006223CC" w14:paraId="58CBDA83" w14:textId="77777777" w:rsidTr="007266CF">
        <w:tc>
          <w:tcPr>
            <w:tcW w:w="1016" w:type="dxa"/>
          </w:tcPr>
          <w:p w14:paraId="6B77A862" w14:textId="77777777" w:rsidR="007266CF" w:rsidRPr="002A677E" w:rsidRDefault="007266CF" w:rsidP="007266CF">
            <w:pPr>
              <w:rPr>
                <w:rFonts w:ascii="Times New Roman" w:hAnsi="Times New Roman"/>
                <w:sz w:val="24"/>
              </w:rPr>
            </w:pPr>
            <w:r>
              <w:rPr>
                <w:rFonts w:ascii="Times New Roman" w:hAnsi="Times New Roman"/>
                <w:sz w:val="24"/>
              </w:rPr>
              <w:lastRenderedPageBreak/>
              <w:t>0404</w:t>
            </w:r>
          </w:p>
        </w:tc>
        <w:tc>
          <w:tcPr>
            <w:tcW w:w="7874" w:type="dxa"/>
          </w:tcPr>
          <w:p w14:paraId="6883AAC4"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SEC-ERBA</w:t>
            </w:r>
          </w:p>
          <w:p w14:paraId="1E3B0216" w14:textId="77777777" w:rsidR="007266CF" w:rsidRPr="006223CC" w:rsidRDefault="007266CF" w:rsidP="007266CF">
            <w:pPr>
              <w:autoSpaceDE w:val="0"/>
              <w:autoSpaceDN w:val="0"/>
              <w:adjustRightInd w:val="0"/>
              <w:jc w:val="left"/>
              <w:rPr>
                <w:rStyle w:val="InstructionsTabelleberschrift"/>
                <w:rFonts w:ascii="Times New Roman" w:hAnsi="Times New Roman"/>
                <w:sz w:val="24"/>
                <w:lang w:val="fr-FR"/>
              </w:rPr>
            </w:pPr>
            <w:r w:rsidRPr="006223CC">
              <w:rPr>
                <w:rStyle w:val="InstructionsTabelleText"/>
                <w:rFonts w:ascii="Times New Roman" w:hAnsi="Times New Roman"/>
                <w:sz w:val="24"/>
                <w:lang w:val="fr-FR"/>
              </w:rPr>
              <w:t xml:space="preserve">Články 263 a 264 </w:t>
            </w:r>
            <w:r w:rsidRPr="006223CC">
              <w:rPr>
                <w:rFonts w:ascii="Times New Roman" w:hAnsi="Times New Roman"/>
                <w:sz w:val="24"/>
                <w:lang w:val="fr-FR"/>
              </w:rPr>
              <w:t>nařízení (EU) č. 575/2013</w:t>
            </w:r>
          </w:p>
        </w:tc>
      </w:tr>
      <w:tr w:rsidR="007266CF" w:rsidRPr="002A677E" w14:paraId="2C590365" w14:textId="77777777" w:rsidTr="007266CF">
        <w:tc>
          <w:tcPr>
            <w:tcW w:w="1016" w:type="dxa"/>
          </w:tcPr>
          <w:p w14:paraId="1F8AA93C" w14:textId="77777777" w:rsidR="007266CF" w:rsidRPr="002A677E" w:rsidRDefault="007266CF" w:rsidP="007266CF">
            <w:pPr>
              <w:rPr>
                <w:rFonts w:ascii="Times New Roman" w:hAnsi="Times New Roman"/>
                <w:sz w:val="24"/>
              </w:rPr>
            </w:pPr>
            <w:r>
              <w:rPr>
                <w:rFonts w:ascii="Times New Roman" w:hAnsi="Times New Roman"/>
                <w:sz w:val="24"/>
              </w:rPr>
              <w:t>0405</w:t>
            </w:r>
          </w:p>
        </w:tc>
        <w:tc>
          <w:tcPr>
            <w:tcW w:w="7874" w:type="dxa"/>
          </w:tcPr>
          <w:p w14:paraId="258B2DE1"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INTERNÍHO HODNOCENÍ</w:t>
            </w:r>
          </w:p>
          <w:p w14:paraId="676BC45D" w14:textId="77777777" w:rsidR="007266CF" w:rsidRPr="002A677E" w:rsidRDefault="007266CF" w:rsidP="007266CF">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Ustanovení článků 254 a 265 a čl. 266 odst. 5 </w:t>
            </w:r>
            <w:r>
              <w:rPr>
                <w:rFonts w:ascii="Times New Roman" w:hAnsi="Times New Roman"/>
                <w:sz w:val="24"/>
              </w:rPr>
              <w:t>nařízení (EU) č. 575/2013</w:t>
            </w:r>
            <w:r>
              <w:rPr>
                <w:rStyle w:val="InstructionsTabelleText"/>
                <w:rFonts w:ascii="Times New Roman" w:hAnsi="Times New Roman"/>
                <w:sz w:val="24"/>
              </w:rPr>
              <w:t>.</w:t>
            </w:r>
          </w:p>
        </w:tc>
      </w:tr>
      <w:tr w:rsidR="007266CF" w:rsidRPr="002A677E" w14:paraId="256D457B" w14:textId="77777777" w:rsidTr="007266CF">
        <w:tc>
          <w:tcPr>
            <w:tcW w:w="1016" w:type="dxa"/>
          </w:tcPr>
          <w:p w14:paraId="6DE40AD6" w14:textId="77777777" w:rsidR="007266CF" w:rsidRPr="002A677E" w:rsidRDefault="007266CF" w:rsidP="007266CF">
            <w:pPr>
              <w:rPr>
                <w:rFonts w:ascii="Times New Roman" w:hAnsi="Times New Roman"/>
                <w:sz w:val="24"/>
              </w:rPr>
            </w:pPr>
            <w:r>
              <w:rPr>
                <w:rFonts w:ascii="Times New Roman" w:hAnsi="Times New Roman"/>
                <w:sz w:val="24"/>
              </w:rPr>
              <w:t>0900</w:t>
            </w:r>
          </w:p>
        </w:tc>
        <w:tc>
          <w:tcPr>
            <w:tcW w:w="7874" w:type="dxa"/>
          </w:tcPr>
          <w:p w14:paraId="6080A914" w14:textId="77777777" w:rsidR="007266CF" w:rsidRPr="002A677E" w:rsidRDefault="007266CF" w:rsidP="007266CF">
            <w:pPr>
              <w:spacing w:before="0" w:after="0"/>
              <w:jc w:val="left"/>
              <w:rPr>
                <w:rFonts w:ascii="Times New Roman" w:hAnsi="Times New Roman"/>
                <w:b/>
                <w:sz w:val="24"/>
                <w:u w:val="single"/>
              </w:rPr>
            </w:pPr>
            <w:r>
              <w:rPr>
                <w:rFonts w:ascii="Times New Roman" w:hAnsi="Times New Roman"/>
                <w:b/>
                <w:sz w:val="24"/>
                <w:u w:val="single"/>
              </w:rPr>
              <w:t>ZVLÁŠTNÍ ZACHÁZENÍ S PŘEDNOSTNÍMI TRANŠEMI KVALIFIKOVANÝCH SEKURITIZACÍ NEVÝKONNÝCH EXPOZIC</w:t>
            </w:r>
          </w:p>
          <w:p w14:paraId="42E34F7D" w14:textId="77777777" w:rsidR="007266CF" w:rsidRPr="002A677E" w:rsidRDefault="007266CF" w:rsidP="007266CF">
            <w:pPr>
              <w:autoSpaceDE w:val="0"/>
              <w:autoSpaceDN w:val="0"/>
              <w:adjustRightInd w:val="0"/>
              <w:jc w:val="left"/>
              <w:rPr>
                <w:rFonts w:ascii="Times New Roman" w:hAnsi="Times New Roman"/>
                <w:b/>
                <w:bCs/>
                <w:sz w:val="24"/>
                <w:u w:val="single"/>
              </w:rPr>
            </w:pPr>
            <w:r>
              <w:rPr>
                <w:rFonts w:ascii="Times New Roman" w:hAnsi="Times New Roman"/>
                <w:sz w:val="24"/>
              </w:rPr>
              <w:t>Ustanovení</w:t>
            </w:r>
            <w:r>
              <w:rPr>
                <w:rStyle w:val="InstructionsTabelleText"/>
                <w:rFonts w:ascii="Times New Roman" w:hAnsi="Times New Roman"/>
                <w:sz w:val="24"/>
              </w:rPr>
              <w:t xml:space="preserve"> čl. 269a </w:t>
            </w:r>
            <w:r>
              <w:rPr>
                <w:rFonts w:ascii="Times New Roman" w:hAnsi="Times New Roman"/>
                <w:sz w:val="24"/>
              </w:rPr>
              <w:t>odst. 3 nařízení (EU) č. 575/2013</w:t>
            </w:r>
          </w:p>
        </w:tc>
      </w:tr>
      <w:tr w:rsidR="007266CF" w:rsidRPr="002A677E" w14:paraId="595EEA4B" w14:textId="77777777" w:rsidTr="007266CF">
        <w:tc>
          <w:tcPr>
            <w:tcW w:w="1016" w:type="dxa"/>
          </w:tcPr>
          <w:p w14:paraId="6C0F35B4" w14:textId="77777777" w:rsidR="007266CF" w:rsidRPr="002A677E" w:rsidRDefault="007266CF" w:rsidP="007266CF">
            <w:pPr>
              <w:rPr>
                <w:rFonts w:ascii="Times New Roman" w:hAnsi="Times New Roman"/>
                <w:sz w:val="24"/>
              </w:rPr>
            </w:pPr>
            <w:r>
              <w:rPr>
                <w:rFonts w:ascii="Times New Roman" w:hAnsi="Times New Roman"/>
                <w:sz w:val="24"/>
              </w:rPr>
              <w:t>0406</w:t>
            </w:r>
          </w:p>
        </w:tc>
        <w:tc>
          <w:tcPr>
            <w:tcW w:w="7874" w:type="dxa"/>
          </w:tcPr>
          <w:p w14:paraId="1E8C392C"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(RW = 1 250 %)</w:t>
            </w:r>
          </w:p>
          <w:p w14:paraId="047A0D5A" w14:textId="77777777" w:rsidR="007266CF" w:rsidRPr="002A677E" w:rsidRDefault="007266CF" w:rsidP="007266CF">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Ustanovení čl. 254 odst. 7 </w:t>
            </w:r>
            <w:r>
              <w:rPr>
                <w:rFonts w:ascii="Times New Roman" w:hAnsi="Times New Roman"/>
                <w:sz w:val="24"/>
              </w:rPr>
              <w:t>nařízení (EU) č. 575/2013</w:t>
            </w:r>
          </w:p>
        </w:tc>
      </w:tr>
      <w:tr w:rsidR="007266CF" w:rsidRPr="002A677E" w14:paraId="058DFE29" w14:textId="77777777" w:rsidTr="007266CF">
        <w:tc>
          <w:tcPr>
            <w:tcW w:w="1016" w:type="dxa"/>
          </w:tcPr>
          <w:p w14:paraId="294F2CB8" w14:textId="77777777" w:rsidR="007266CF" w:rsidRPr="002A677E" w:rsidRDefault="007266CF" w:rsidP="007266CF">
            <w:pPr>
              <w:rPr>
                <w:rFonts w:ascii="Times New Roman" w:hAnsi="Times New Roman"/>
                <w:sz w:val="24"/>
              </w:rPr>
            </w:pPr>
            <w:r>
              <w:rPr>
                <w:rFonts w:ascii="Times New Roman" w:hAnsi="Times New Roman"/>
                <w:sz w:val="24"/>
              </w:rPr>
              <w:t>0410–0420</w:t>
            </w:r>
          </w:p>
        </w:tc>
        <w:tc>
          <w:tcPr>
            <w:tcW w:w="7874" w:type="dxa"/>
          </w:tcPr>
          <w:p w14:paraId="5D7350C7"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PŘED UPLATNĚNÍM STROPU – VÁŽENÉ ČISTÉ DLOUHÉ/KRÁTKÉ POZICE</w:t>
            </w:r>
          </w:p>
          <w:p w14:paraId="2BEEDC81" w14:textId="77777777" w:rsidR="007266CF" w:rsidRPr="002A677E" w:rsidRDefault="007266CF" w:rsidP="007266CF">
            <w:pPr>
              <w:rPr>
                <w:rFonts w:ascii="Times New Roman" w:hAnsi="Times New Roman"/>
                <w:sz w:val="24"/>
              </w:rPr>
            </w:pPr>
            <w:r>
              <w:rPr>
                <w:rFonts w:ascii="Times New Roman" w:hAnsi="Times New Roman"/>
                <w:sz w:val="24"/>
              </w:rPr>
              <w:t xml:space="preserve">Článek 338 nařízení (EU) č. 575/2013 bez zohlednění možnosti uvedené v článku 335 uvedeného nařízení </w:t>
            </w:r>
          </w:p>
        </w:tc>
      </w:tr>
      <w:tr w:rsidR="007266CF" w:rsidRPr="002A677E" w14:paraId="09360024" w14:textId="77777777" w:rsidTr="007266CF">
        <w:tc>
          <w:tcPr>
            <w:tcW w:w="1016" w:type="dxa"/>
          </w:tcPr>
          <w:p w14:paraId="335C0E56" w14:textId="77777777" w:rsidR="007266CF" w:rsidRPr="002A677E" w:rsidRDefault="007266CF" w:rsidP="007266CF">
            <w:pPr>
              <w:rPr>
                <w:rFonts w:ascii="Times New Roman" w:hAnsi="Times New Roman"/>
                <w:sz w:val="24"/>
              </w:rPr>
            </w:pPr>
            <w:r>
              <w:rPr>
                <w:rFonts w:ascii="Times New Roman" w:hAnsi="Times New Roman"/>
                <w:sz w:val="24"/>
              </w:rPr>
              <w:t>0430–0440</w:t>
            </w:r>
          </w:p>
        </w:tc>
        <w:tc>
          <w:tcPr>
            <w:tcW w:w="7874" w:type="dxa"/>
          </w:tcPr>
          <w:p w14:paraId="6D9ECFDB"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PO UPLATNĚNÍ STROPU – VÁŽENÉ ČISTÉ DLOUHÉ/KRÁTKÉ POZICE</w:t>
            </w:r>
          </w:p>
          <w:p w14:paraId="009903DE" w14:textId="77777777" w:rsidR="007266CF" w:rsidRPr="002A677E" w:rsidRDefault="007266CF" w:rsidP="007266CF">
            <w:pPr>
              <w:rPr>
                <w:rFonts w:ascii="Times New Roman" w:hAnsi="Times New Roman"/>
                <w:sz w:val="24"/>
              </w:rPr>
            </w:pPr>
            <w:r>
              <w:rPr>
                <w:rFonts w:ascii="Times New Roman" w:hAnsi="Times New Roman"/>
                <w:sz w:val="24"/>
              </w:rPr>
              <w:t xml:space="preserve">Článek 338 nařízení (EU) č. 575/2013 bez zohlednění možnosti uvedené v článku 335 uvedeného nařízení </w:t>
            </w:r>
          </w:p>
        </w:tc>
      </w:tr>
      <w:tr w:rsidR="007266CF" w:rsidRPr="002A677E" w14:paraId="4B21140C" w14:textId="77777777" w:rsidTr="007266CF">
        <w:tc>
          <w:tcPr>
            <w:tcW w:w="1016" w:type="dxa"/>
          </w:tcPr>
          <w:p w14:paraId="77B02A29" w14:textId="77777777" w:rsidR="007266CF" w:rsidRPr="002A677E" w:rsidRDefault="007266CF" w:rsidP="007266CF">
            <w:pPr>
              <w:rPr>
                <w:rFonts w:ascii="Times New Roman" w:hAnsi="Times New Roman"/>
                <w:sz w:val="24"/>
              </w:rPr>
            </w:pPr>
            <w:r>
              <w:rPr>
                <w:rFonts w:ascii="Times New Roman" w:hAnsi="Times New Roman"/>
                <w:sz w:val="24"/>
              </w:rPr>
              <w:t>0450</w:t>
            </w:r>
          </w:p>
        </w:tc>
        <w:tc>
          <w:tcPr>
            <w:tcW w:w="7874" w:type="dxa"/>
          </w:tcPr>
          <w:p w14:paraId="3C4E5E5E"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KAPITÁLOVÉ POŽADAVKY CELKEM</w:t>
            </w:r>
          </w:p>
          <w:p w14:paraId="25871AEF" w14:textId="77777777" w:rsidR="007266CF" w:rsidRPr="002A677E" w:rsidRDefault="007266CF" w:rsidP="007266CF">
            <w:pPr>
              <w:rPr>
                <w:rFonts w:ascii="Times New Roman" w:hAnsi="Times New Roman"/>
                <w:sz w:val="24"/>
              </w:rPr>
            </w:pPr>
            <w:r>
              <w:rPr>
                <w:rFonts w:ascii="Times New Roman" w:hAnsi="Times New Roman"/>
                <w:sz w:val="24"/>
              </w:rPr>
              <w:t>Kapitálový požadavek se stanoví jako vyšší z těchto dvou požadavků: i) požadavek ke specifickému riziku, který by se uplatnil pouze na čisté dlouhé pozice (sloupec 0430), nebo ii) požadavek ke specifickému riziku, který by se uplatnil pouze na čisté krátké pozice (sloupec 0440).</w:t>
            </w:r>
          </w:p>
        </w:tc>
      </w:tr>
    </w:tbl>
    <w:p w14:paraId="4F0AE64D"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p w14:paraId="7031FEEC"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8057"/>
      </w:tblGrid>
      <w:tr w:rsidR="007266CF" w:rsidRPr="002A677E" w14:paraId="28E45C21" w14:textId="77777777" w:rsidTr="007266CF">
        <w:trPr>
          <w:trHeight w:val="642"/>
        </w:trPr>
        <w:tc>
          <w:tcPr>
            <w:tcW w:w="9212" w:type="dxa"/>
            <w:gridSpan w:val="2"/>
            <w:shd w:val="clear" w:color="auto" w:fill="CCCCCC"/>
          </w:tcPr>
          <w:p w14:paraId="490D939A"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7266CF" w:rsidRPr="002A677E" w14:paraId="400CD7F5" w14:textId="77777777" w:rsidTr="007266CF">
        <w:tc>
          <w:tcPr>
            <w:tcW w:w="1008" w:type="dxa"/>
          </w:tcPr>
          <w:p w14:paraId="5BAF280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699F0CF9"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CELKOVÉ EXPOZICE</w:t>
            </w:r>
          </w:p>
          <w:p w14:paraId="15C19F66" w14:textId="77777777" w:rsidR="007266CF" w:rsidRPr="002A677E" w:rsidRDefault="007266CF" w:rsidP="007266CF">
            <w:pPr>
              <w:rPr>
                <w:rFonts w:ascii="Times New Roman" w:hAnsi="Times New Roman"/>
                <w:sz w:val="24"/>
              </w:rPr>
            </w:pPr>
            <w:r>
              <w:rPr>
                <w:rFonts w:ascii="Times New Roman" w:hAnsi="Times New Roman"/>
                <w:sz w:val="24"/>
              </w:rPr>
              <w:t>Celková výše nesplacených pozic (držených v portfoliu obchodování s korelací) vykazovaná institucí, která má úlohu/y původce, investora nebo sponzora.</w:t>
            </w:r>
          </w:p>
        </w:tc>
      </w:tr>
      <w:tr w:rsidR="007266CF" w:rsidRPr="002A677E" w14:paraId="719EA705" w14:textId="77777777" w:rsidTr="007266CF">
        <w:tc>
          <w:tcPr>
            <w:tcW w:w="1008" w:type="dxa"/>
          </w:tcPr>
          <w:p w14:paraId="47C5ABE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5612F04"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PŮVODCE</w:t>
            </w:r>
          </w:p>
          <w:p w14:paraId="7C555B5B" w14:textId="77777777" w:rsidR="007266CF" w:rsidRPr="002A677E" w:rsidRDefault="007266CF" w:rsidP="007266CF">
            <w:pPr>
              <w:rPr>
                <w:rFonts w:ascii="Times New Roman" w:hAnsi="Times New Roman"/>
                <w:sz w:val="24"/>
              </w:rPr>
            </w:pPr>
            <w:r>
              <w:rPr>
                <w:rFonts w:ascii="Times New Roman" w:hAnsi="Times New Roman"/>
                <w:sz w:val="24"/>
              </w:rPr>
              <w:t xml:space="preserve">Ustanovení čl. 4 odst. 1 bodu 13 nařízení (EU) č. 575/2013 </w:t>
            </w:r>
          </w:p>
        </w:tc>
      </w:tr>
      <w:tr w:rsidR="007266CF" w:rsidRPr="002A677E" w14:paraId="7DD43502" w14:textId="77777777" w:rsidTr="007266CF">
        <w:tc>
          <w:tcPr>
            <w:tcW w:w="1008" w:type="dxa"/>
          </w:tcPr>
          <w:p w14:paraId="6E7A597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66C7CED3"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INVESTOR</w:t>
            </w:r>
          </w:p>
          <w:p w14:paraId="1A565A55" w14:textId="77777777" w:rsidR="007266CF" w:rsidRPr="002A677E" w:rsidRDefault="007266CF" w:rsidP="007266CF">
            <w:pPr>
              <w:rPr>
                <w:rFonts w:ascii="Times New Roman" w:hAnsi="Times New Roman"/>
                <w:sz w:val="24"/>
              </w:rPr>
            </w:pPr>
            <w:r>
              <w:rPr>
                <w:rFonts w:ascii="Times New Roman" w:hAnsi="Times New Roman"/>
                <w:sz w:val="24"/>
              </w:rPr>
              <w:t>Úvěrová instituce, která drží sekuritizované pozice v sekuritizaci, v jejímž případě není původcem, sponzorem ani původní věřitelem</w:t>
            </w:r>
          </w:p>
        </w:tc>
      </w:tr>
      <w:tr w:rsidR="007266CF" w:rsidRPr="002A677E" w14:paraId="0797FB29" w14:textId="77777777" w:rsidTr="007266CF">
        <w:tc>
          <w:tcPr>
            <w:tcW w:w="1008" w:type="dxa"/>
          </w:tcPr>
          <w:p w14:paraId="51028E8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A22B42C"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SPONZOR</w:t>
            </w:r>
          </w:p>
          <w:p w14:paraId="5066E1BC" w14:textId="77777777" w:rsidR="007266CF" w:rsidRPr="002A677E" w:rsidRDefault="007266CF" w:rsidP="007266CF">
            <w:pPr>
              <w:rPr>
                <w:rFonts w:ascii="Times New Roman" w:hAnsi="Times New Roman"/>
                <w:sz w:val="24"/>
              </w:rPr>
            </w:pPr>
            <w:r>
              <w:rPr>
                <w:rFonts w:ascii="Times New Roman" w:hAnsi="Times New Roman"/>
                <w:sz w:val="24"/>
              </w:rPr>
              <w:t xml:space="preserve"> Ustanovení čl. 4 odst. 1 bodu 14 nařízení (EU) č. 575/2013 </w:t>
            </w:r>
          </w:p>
          <w:p w14:paraId="15EEDCC4" w14:textId="77777777" w:rsidR="007266CF" w:rsidRPr="002A677E" w:rsidRDefault="007266CF" w:rsidP="007266CF">
            <w:pPr>
              <w:rPr>
                <w:rFonts w:ascii="Times New Roman" w:hAnsi="Times New Roman"/>
                <w:sz w:val="24"/>
              </w:rPr>
            </w:pPr>
            <w:r>
              <w:rPr>
                <w:rFonts w:ascii="Times New Roman" w:hAnsi="Times New Roman"/>
                <w:sz w:val="24"/>
              </w:rPr>
              <w:lastRenderedPageBreak/>
              <w:t>Sponzor, který sekuritizuje rovněž vlastní aktiva, v řádcích určených pro původce vyplní údaje týkající se vlastních sekuritizovaných aktiv.</w:t>
            </w:r>
          </w:p>
        </w:tc>
      </w:tr>
      <w:tr w:rsidR="007266CF" w:rsidRPr="002A677E" w14:paraId="5E250F45" w14:textId="77777777" w:rsidTr="007266CF">
        <w:tc>
          <w:tcPr>
            <w:tcW w:w="1008" w:type="dxa"/>
          </w:tcPr>
          <w:p w14:paraId="6C8B10F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a 0090</w:t>
            </w:r>
          </w:p>
        </w:tc>
        <w:tc>
          <w:tcPr>
            <w:tcW w:w="8204" w:type="dxa"/>
          </w:tcPr>
          <w:p w14:paraId="2E1688A2"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SEKURITIZOVANÉ POZICE</w:t>
            </w:r>
          </w:p>
          <w:p w14:paraId="31846B9F" w14:textId="77777777" w:rsidR="007266CF" w:rsidRPr="002A677E" w:rsidRDefault="007266CF" w:rsidP="007266CF">
            <w:pPr>
              <w:rPr>
                <w:rFonts w:ascii="Times New Roman" w:hAnsi="Times New Roman"/>
                <w:sz w:val="24"/>
              </w:rPr>
            </w:pPr>
            <w:r>
              <w:rPr>
                <w:rFonts w:ascii="Times New Roman" w:hAnsi="Times New Roman"/>
                <w:sz w:val="24"/>
              </w:rPr>
              <w:t>Do portfolia obchodování s korelací patří sekuritizace, úvěrové deriváty n-tého selhání a případně jiné zajišťovací pozice, které splňují kritéria stanovená v čl. 338 odst. 2 a 3 nařízení (EU) č. 575/2013.</w:t>
            </w:r>
          </w:p>
          <w:p w14:paraId="40217227" w14:textId="77777777" w:rsidR="007266CF" w:rsidRPr="002A677E" w:rsidRDefault="007266CF" w:rsidP="007266CF">
            <w:pPr>
              <w:rPr>
                <w:rFonts w:ascii="Times New Roman" w:hAnsi="Times New Roman"/>
                <w:sz w:val="24"/>
              </w:rPr>
            </w:pPr>
            <w:r>
              <w:rPr>
                <w:rFonts w:ascii="Times New Roman" w:hAnsi="Times New Roman"/>
                <w:sz w:val="24"/>
              </w:rPr>
              <w:t>Deriváty sekuritizovaných expozic, které poskytují poměrný podíl, a také pozice zajišťující pozice v portfoliu obchodování s korelací se započítávají do řádku „ostatní pozice v portfoliu obchodování s korelací“.</w:t>
            </w:r>
          </w:p>
        </w:tc>
      </w:tr>
      <w:tr w:rsidR="007266CF" w:rsidRPr="002A677E" w14:paraId="3DBBECC3" w14:textId="77777777" w:rsidTr="007266CF">
        <w:tc>
          <w:tcPr>
            <w:tcW w:w="1008" w:type="dxa"/>
          </w:tcPr>
          <w:p w14:paraId="4EC7A06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B60B308"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ÚVĚROVÉ DERIVÁTY N-TÉHO SELHÁNÍ</w:t>
            </w:r>
          </w:p>
          <w:p w14:paraId="27C1152C" w14:textId="77777777" w:rsidR="007266CF" w:rsidRPr="002A677E" w:rsidRDefault="007266CF" w:rsidP="007266CF">
            <w:pPr>
              <w:rPr>
                <w:rFonts w:ascii="Times New Roman" w:hAnsi="Times New Roman"/>
                <w:sz w:val="24"/>
              </w:rPr>
            </w:pPr>
            <w:r>
              <w:rPr>
                <w:rFonts w:ascii="Times New Roman" w:hAnsi="Times New Roman"/>
                <w:sz w:val="24"/>
              </w:rPr>
              <w:t>Vykazují se zde úvěrové deriváty n-tého selhání, včetně těch, které jsou zajištěny úvěrovými deriváty n-tého selhání podle článku 347 nařízení (EU) č. 575/2013.</w:t>
            </w:r>
          </w:p>
          <w:p w14:paraId="3555F59A" w14:textId="77777777" w:rsidR="007266CF" w:rsidRPr="002A677E" w:rsidRDefault="007266CF" w:rsidP="007266CF">
            <w:pPr>
              <w:rPr>
                <w:rFonts w:ascii="Times New Roman" w:hAnsi="Times New Roman"/>
                <w:sz w:val="24"/>
              </w:rPr>
            </w:pPr>
            <w:r>
              <w:rPr>
                <w:rFonts w:ascii="Times New Roman" w:hAnsi="Times New Roman"/>
                <w:sz w:val="24"/>
              </w:rPr>
              <w:t>Původce, investor a sponzor pozic nemohou využívat úvěrové deriváty n-tého selhání. Pro úvěrové deriváty n-tého selhání proto nelze provést rozčlenění sekuritizovaných pozic.</w:t>
            </w:r>
          </w:p>
        </w:tc>
      </w:tr>
      <w:tr w:rsidR="007266CF" w:rsidRPr="002A677E" w14:paraId="093A85FC" w14:textId="77777777" w:rsidTr="007266CF">
        <w:tc>
          <w:tcPr>
            <w:tcW w:w="1008" w:type="dxa"/>
          </w:tcPr>
          <w:p w14:paraId="6D76CA2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0040, 0070, 0100 a 0120</w:t>
            </w:r>
          </w:p>
        </w:tc>
        <w:tc>
          <w:tcPr>
            <w:tcW w:w="8204" w:type="dxa"/>
          </w:tcPr>
          <w:p w14:paraId="013742A6" w14:textId="77777777" w:rsidR="007266CF" w:rsidRPr="002A677E" w:rsidRDefault="007266CF" w:rsidP="007266CF">
            <w:pPr>
              <w:rPr>
                <w:rStyle w:val="InstructionsTabelleberschrift"/>
                <w:rFonts w:ascii="Times New Roman" w:hAnsi="Times New Roman"/>
                <w:sz w:val="24"/>
              </w:rPr>
            </w:pPr>
            <w:r>
              <w:rPr>
                <w:rStyle w:val="InstructionsTabelleberschrift"/>
                <w:rFonts w:ascii="Times New Roman" w:hAnsi="Times New Roman"/>
                <w:sz w:val="24"/>
              </w:rPr>
              <w:t>OSTATNÍ POZICE V PORTFOLIU OBCHODOVÁNÍ S KORELACÍ</w:t>
            </w:r>
          </w:p>
          <w:p w14:paraId="40047834" w14:textId="77777777" w:rsidR="007266CF" w:rsidRPr="002A677E" w:rsidRDefault="007266CF" w:rsidP="007266CF">
            <w:pPr>
              <w:rPr>
                <w:rFonts w:ascii="Times New Roman" w:hAnsi="Times New Roman"/>
                <w:sz w:val="24"/>
              </w:rPr>
            </w:pPr>
            <w:r>
              <w:rPr>
                <w:rFonts w:ascii="Times New Roman" w:hAnsi="Times New Roman"/>
                <w:sz w:val="24"/>
              </w:rPr>
              <w:t xml:space="preserve">Zahrnuty jsou tyto pozice: </w:t>
            </w:r>
          </w:p>
          <w:p w14:paraId="06842894" w14:textId="77777777" w:rsidR="007266CF" w:rsidRPr="002A677E" w:rsidRDefault="007266CF" w:rsidP="007266CF">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deriváty sekuritizovaných expozic, které poskytují poměrný podíl, a také pozice zajišťující pozice v portfoliu obchodování s korelací,</w:t>
            </w:r>
          </w:p>
          <w:p w14:paraId="171571DC" w14:textId="77777777" w:rsidR="007266CF" w:rsidRPr="002A677E" w:rsidRDefault="007266CF" w:rsidP="007266CF">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pozice v portfoliu obchodování s korelací zajištěné úvěrovými deriváty podle článku 346 nařízení (EU) č. 575/2013,</w:t>
            </w:r>
          </w:p>
          <w:p w14:paraId="2CBDD253" w14:textId="77777777" w:rsidR="007266CF" w:rsidRPr="002A677E" w:rsidRDefault="007266CF" w:rsidP="007266CF">
            <w:pPr>
              <w:tabs>
                <w:tab w:val="left" w:pos="720"/>
              </w:tabs>
              <w:ind w:left="720" w:hanging="360"/>
              <w:rPr>
                <w:rFonts w:ascii="Times New Roman" w:hAnsi="Times New Roman"/>
                <w:sz w:val="24"/>
              </w:rPr>
            </w:pPr>
            <w:r>
              <w:rPr>
                <w:rFonts w:ascii="Symbol" w:hAnsi="Symbol"/>
                <w:sz w:val="24"/>
              </w:rPr>
              <w:t></w:t>
            </w:r>
            <w:r>
              <w:tab/>
              <w:t xml:space="preserve"> </w:t>
            </w:r>
            <w:r>
              <w:rPr>
                <w:rFonts w:ascii="Times New Roman" w:hAnsi="Times New Roman"/>
                <w:sz w:val="24"/>
              </w:rPr>
              <w:t>ostatní pozice, které splňují podmínky čl. 338 odst. 3 nařízení (EU) č. 575/2013.</w:t>
            </w:r>
          </w:p>
        </w:tc>
      </w:tr>
    </w:tbl>
    <w:p w14:paraId="2532C122"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p w14:paraId="2727EBC0" w14:textId="77777777" w:rsidR="007266CF" w:rsidRPr="002A677E" w:rsidRDefault="007266CF" w:rsidP="00A75C39">
      <w:pPr>
        <w:pStyle w:val="Instructionsberschrift2"/>
        <w:numPr>
          <w:ilvl w:val="1"/>
          <w:numId w:val="116"/>
        </w:numPr>
        <w:rPr>
          <w:rFonts w:ascii="Times New Roman" w:hAnsi="Times New Roman" w:cs="Times New Roman"/>
          <w:sz w:val="24"/>
        </w:rPr>
      </w:pPr>
      <w:bookmarkStart w:id="300" w:name="_Toc116026843"/>
      <w:bookmarkStart w:id="301" w:name="_Toc119078000"/>
      <w:r>
        <w:rPr>
          <w:rFonts w:ascii="Times New Roman" w:hAnsi="Times New Roman"/>
          <w:sz w:val="24"/>
        </w:rPr>
        <w:t>C 21.00 – Tržní riziko: Standardizovaný přístup k pozičnímu riziku v případě akcií</w:t>
      </w:r>
      <w:r>
        <w:t xml:space="preserve"> </w:t>
      </w:r>
      <w:r>
        <w:rPr>
          <w:rFonts w:ascii="Times New Roman" w:hAnsi="Times New Roman"/>
          <w:sz w:val="24"/>
        </w:rPr>
        <w:t>(MKR SA EQU)</w:t>
      </w:r>
      <w:bookmarkEnd w:id="300"/>
      <w:bookmarkEnd w:id="301"/>
    </w:p>
    <w:p w14:paraId="418BF9A5" w14:textId="77777777" w:rsidR="007266CF" w:rsidRPr="002A677E" w:rsidRDefault="007266CF" w:rsidP="00A75C39">
      <w:pPr>
        <w:pStyle w:val="Instructionsberschrift2"/>
        <w:numPr>
          <w:ilvl w:val="2"/>
          <w:numId w:val="117"/>
        </w:numPr>
        <w:rPr>
          <w:rFonts w:ascii="Times New Roman" w:hAnsi="Times New Roman" w:cs="Times New Roman"/>
          <w:sz w:val="24"/>
        </w:rPr>
      </w:pPr>
      <w:bookmarkStart w:id="302" w:name="_Toc116026844"/>
      <w:bookmarkStart w:id="303" w:name="_Toc119078001"/>
      <w:r>
        <w:rPr>
          <w:rFonts w:ascii="Times New Roman" w:hAnsi="Times New Roman"/>
          <w:sz w:val="24"/>
        </w:rPr>
        <w:t>Obecné poznámky</w:t>
      </w:r>
      <w:bookmarkEnd w:id="302"/>
      <w:bookmarkEnd w:id="303"/>
    </w:p>
    <w:p w14:paraId="31F50110" w14:textId="77777777" w:rsidR="007266CF" w:rsidRPr="002A677E" w:rsidRDefault="007266CF" w:rsidP="007266CF">
      <w:pPr>
        <w:pStyle w:val="InstructionsText2"/>
        <w:numPr>
          <w:ilvl w:val="0"/>
          <w:numId w:val="0"/>
        </w:numPr>
        <w:ind w:left="1353" w:hanging="360"/>
      </w:pPr>
      <w:fldSimple w:instr=" seq paragraphs ">
        <w:r>
          <w:t>169</w:t>
        </w:r>
      </w:fldSimple>
      <w:r>
        <w:t>.</w:t>
      </w:r>
      <w:r>
        <w:tab/>
        <w:t xml:space="preserve"> V této šabloně se vykazují údaje o pozicích a odpovídajících kapitálových požadavcích k pozičnímu riziku u akcií držených v obchodním portfoliu, s nimiž se zachází v souladu se standardizovaným přístupem.</w:t>
      </w:r>
    </w:p>
    <w:p w14:paraId="1F369FA7" w14:textId="77777777" w:rsidR="007266CF" w:rsidRPr="002A677E" w:rsidRDefault="007266CF" w:rsidP="007266CF">
      <w:pPr>
        <w:pStyle w:val="InstructionsText2"/>
        <w:numPr>
          <w:ilvl w:val="0"/>
          <w:numId w:val="0"/>
        </w:numPr>
        <w:ind w:left="1353" w:hanging="360"/>
      </w:pPr>
      <w:fldSimple w:instr=" seq paragraphs ">
        <w:r>
          <w:t>170</w:t>
        </w:r>
      </w:fldSimple>
      <w:r>
        <w:t>.</w:t>
      </w:r>
      <w:r>
        <w:tab/>
        <w:t xml:space="preserve"> Šablona musí být vyplněna samostatně v položce „celkem“ a kromě toho je třeba uvést údaje u pevně daného a předem definovaného seznamu těchto trhů: Albánie, Bulharsko, Bývalá jugoslávská republika Makedonie, Česká republika, Dánsko, Egypt, Chorvatsko, Island, Japonsko, Lichtenštejnsko, Maďarsko, Norsko, Polsko, Rumunsko, Ruská federace, Spojené království, Srbsko, Švédsko, Švýcarsko, Turecko, Ukrajina, USA a eurozóna; zvláštní šablona je určena pro všechny ostatní trhy. Pro účely tohoto požadavku na vykazování se výrazem „trh“ </w:t>
      </w:r>
      <w:r>
        <w:lastRenderedPageBreak/>
        <w:t>rozumí „země“ (s výjimkou zemí eurozóny, viz nařízení Komise v přenesené pravomoci (EU) č. 525/2014</w:t>
      </w:r>
      <w:r>
        <w:rPr>
          <w:rStyle w:val="FootnoteReference"/>
        </w:rPr>
        <w:footnoteReference w:id="8"/>
      </w:r>
      <w:r>
        <w:t>).</w:t>
      </w:r>
    </w:p>
    <w:p w14:paraId="0D977F2C" w14:textId="77777777" w:rsidR="007266CF" w:rsidRPr="002A677E" w:rsidRDefault="007266CF" w:rsidP="00A75C39">
      <w:pPr>
        <w:pStyle w:val="Instructionsberschrift2"/>
        <w:numPr>
          <w:ilvl w:val="2"/>
          <w:numId w:val="118"/>
        </w:numPr>
        <w:rPr>
          <w:rFonts w:ascii="Times New Roman" w:hAnsi="Times New Roman" w:cs="Times New Roman"/>
          <w:sz w:val="24"/>
        </w:rPr>
      </w:pPr>
      <w:bookmarkStart w:id="304" w:name="_Toc116026845"/>
      <w:bookmarkStart w:id="305" w:name="_Toc119078002"/>
      <w:r>
        <w:rPr>
          <w:rFonts w:ascii="Times New Roman" w:hAnsi="Times New Roman"/>
          <w:sz w:val="24"/>
        </w:rPr>
        <w:t>Pokyny pro konkrétní pozice</w:t>
      </w:r>
      <w:bookmarkEnd w:id="304"/>
      <w:bookmarkEnd w:id="3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7266CF" w:rsidRPr="002A677E" w14:paraId="12324AFA" w14:textId="77777777" w:rsidTr="007266CF">
        <w:trPr>
          <w:trHeight w:val="626"/>
        </w:trPr>
        <w:tc>
          <w:tcPr>
            <w:tcW w:w="8862" w:type="dxa"/>
            <w:gridSpan w:val="2"/>
            <w:shd w:val="clear" w:color="auto" w:fill="CCCCCC"/>
          </w:tcPr>
          <w:p w14:paraId="07F662A0"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7266CF" w:rsidRPr="002A677E" w14:paraId="2123195E" w14:textId="77777777" w:rsidTr="007266CF">
        <w:tc>
          <w:tcPr>
            <w:tcW w:w="988" w:type="dxa"/>
          </w:tcPr>
          <w:p w14:paraId="2E730AC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0E7213DF"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b/>
                <w:sz w:val="24"/>
                <w:u w:val="single"/>
              </w:rPr>
              <w:t>VŠECHNY POZICE (DLOUHÉ A KRÁTKÉ)</w:t>
            </w:r>
          </w:p>
          <w:p w14:paraId="49710ABB"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 xml:space="preserve">Ustanovení článku 102 a čl. 105 odst. 1 nařízení (EU) č. 575/2013. </w:t>
            </w:r>
          </w:p>
          <w:p w14:paraId="10B59508"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 xml:space="preserve">Jedná se o hrubé pozice nezapočtené v nástrojích, ale s vyloučením upsaných pozic, které upsaly nebo za které spoluručí třetí strany dle čl. 345 odst. 1 prvního pododstavce druhé věty nařízení (EU) č. 575/2013. </w:t>
            </w:r>
          </w:p>
        </w:tc>
      </w:tr>
      <w:tr w:rsidR="007266CF" w:rsidRPr="006223CC" w14:paraId="49EFAC44" w14:textId="77777777" w:rsidTr="007266CF">
        <w:tc>
          <w:tcPr>
            <w:tcW w:w="988" w:type="dxa"/>
          </w:tcPr>
          <w:p w14:paraId="5A90ED3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04E9F895"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ČISTÉ POZICE (DLOUHÉ A KRÁTKÉ)</w:t>
            </w:r>
          </w:p>
          <w:p w14:paraId="1EF2212E" w14:textId="77777777" w:rsidR="007266CF" w:rsidRPr="006223CC" w:rsidRDefault="007266CF" w:rsidP="007266CF">
            <w:pPr>
              <w:autoSpaceDE w:val="0"/>
              <w:autoSpaceDN w:val="0"/>
              <w:adjustRightInd w:val="0"/>
              <w:rPr>
                <w:rFonts w:ascii="Times New Roman" w:hAnsi="Times New Roman"/>
                <w:sz w:val="24"/>
                <w:lang w:val="fr-FR"/>
              </w:rPr>
            </w:pPr>
            <w:r w:rsidRPr="006223CC">
              <w:rPr>
                <w:rFonts w:ascii="Times New Roman" w:hAnsi="Times New Roman"/>
                <w:sz w:val="24"/>
                <w:lang w:val="fr-FR"/>
              </w:rPr>
              <w:t xml:space="preserve">Články 327, 329, 332, 341 a 345 nařízení (EU) č. 575/2013. </w:t>
            </w:r>
          </w:p>
        </w:tc>
      </w:tr>
      <w:tr w:rsidR="007266CF" w:rsidRPr="002A677E" w14:paraId="7360D1A0" w14:textId="77777777" w:rsidTr="007266CF">
        <w:tc>
          <w:tcPr>
            <w:tcW w:w="988" w:type="dxa"/>
          </w:tcPr>
          <w:p w14:paraId="0AB07C4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F9C85E3" w14:textId="77777777" w:rsidR="007266CF" w:rsidRPr="002A677E" w:rsidRDefault="007266CF" w:rsidP="007266CF">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14:paraId="22C923FE" w14:textId="77777777" w:rsidR="007266CF" w:rsidRPr="002A677E" w:rsidRDefault="007266CF" w:rsidP="007266CF">
            <w:pPr>
              <w:autoSpaceDE w:val="0"/>
              <w:autoSpaceDN w:val="0"/>
              <w:adjustRightInd w:val="0"/>
              <w:spacing w:after="0"/>
              <w:rPr>
                <w:rFonts w:ascii="Times New Roman" w:hAnsi="Times New Roman"/>
                <w:sz w:val="24"/>
              </w:rPr>
            </w:pPr>
            <w:r>
              <w:rPr>
                <w:rFonts w:ascii="Times New Roman" w:hAnsi="Times New Roman"/>
                <w:sz w:val="24"/>
              </w:rPr>
              <w:t>Čisté pozice, na něž se podle různých přístupů uvedených v části třetí hlavě IV kapitole 2 nařízení (EU) č. 575/2013 vztahují kapitálové požadavky. Kapitálový požadavek se vypočítává zvlášť pro každý vnitrostátní trh. Pozice ve futures na akciový index podle čl. 344 odst. 4 druhé věty nařízení (EU) č. 575/2013 nejsou do tohoto sloupce zahrnuty.</w:t>
            </w:r>
          </w:p>
          <w:p w14:paraId="1976888A"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2C17719F" w14:textId="77777777" w:rsidTr="007266CF">
        <w:tc>
          <w:tcPr>
            <w:tcW w:w="988" w:type="dxa"/>
          </w:tcPr>
          <w:p w14:paraId="6456C98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707D46BB"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14:paraId="110F7138" w14:textId="77777777" w:rsidR="007266CF" w:rsidRPr="002A677E" w:rsidRDefault="007266CF" w:rsidP="007266CF">
            <w:pPr>
              <w:autoSpaceDE w:val="0"/>
              <w:autoSpaceDN w:val="0"/>
              <w:adjustRightInd w:val="0"/>
              <w:spacing w:after="0"/>
              <w:rPr>
                <w:rFonts w:ascii="Times New Roman" w:hAnsi="Times New Roman"/>
                <w:sz w:val="24"/>
              </w:rPr>
            </w:pPr>
            <w:r>
              <w:rPr>
                <w:rFonts w:ascii="Times New Roman" w:hAnsi="Times New Roman"/>
                <w:sz w:val="24"/>
              </w:rPr>
              <w:t>Kapitálový požadavek ke kterékoli příslušné pozici v souladu s částí třetí hlavou IV kapitolou 2 nařízení (EU) č. 575/2013</w:t>
            </w:r>
          </w:p>
          <w:p w14:paraId="1877196F"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lang w:eastAsia="nl-BE"/>
              </w:rPr>
            </w:pPr>
          </w:p>
        </w:tc>
      </w:tr>
      <w:tr w:rsidR="007266CF" w:rsidRPr="002A677E" w14:paraId="42282947" w14:textId="77777777" w:rsidTr="007266CF">
        <w:tc>
          <w:tcPr>
            <w:tcW w:w="988" w:type="dxa"/>
          </w:tcPr>
          <w:p w14:paraId="1A6EA06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210B64E2"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4D29FC0E" w14:textId="77777777" w:rsidR="007266CF" w:rsidRPr="002A677E" w:rsidRDefault="007266CF" w:rsidP="007266CF">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Ustanovení čl. 92 odst. 4 písm. b) nařízení (EU) č. 575/2013. </w:t>
            </w:r>
          </w:p>
          <w:p w14:paraId="5EB789A3" w14:textId="77777777" w:rsidR="007266CF" w:rsidRPr="002A677E" w:rsidRDefault="007266CF" w:rsidP="007266CF">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Výsledek vynásobení kapitálových požadavků faktorem 12,5. </w:t>
            </w:r>
          </w:p>
        </w:tc>
      </w:tr>
    </w:tbl>
    <w:p w14:paraId="19C45453"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7266CF" w:rsidRPr="002A677E" w14:paraId="082C96F5" w14:textId="77777777" w:rsidTr="007266CF">
        <w:trPr>
          <w:trHeight w:val="662"/>
        </w:trPr>
        <w:tc>
          <w:tcPr>
            <w:tcW w:w="9212" w:type="dxa"/>
            <w:gridSpan w:val="2"/>
            <w:shd w:val="clear" w:color="auto" w:fill="CCCCCC"/>
          </w:tcPr>
          <w:p w14:paraId="1BE3AB3A"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7266CF" w:rsidRPr="002A677E" w14:paraId="41D2EC91" w14:textId="77777777" w:rsidTr="007266CF">
        <w:tc>
          <w:tcPr>
            <w:tcW w:w="1008" w:type="dxa"/>
          </w:tcPr>
          <w:p w14:paraId="31A7E20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097537B"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V OBCHODNÍM PORTFOLIU</w:t>
            </w:r>
          </w:p>
          <w:p w14:paraId="186A51DB" w14:textId="77777777" w:rsidR="007266CF" w:rsidRPr="002A677E" w:rsidRDefault="007266CF" w:rsidP="007266CF">
            <w:pPr>
              <w:tabs>
                <w:tab w:val="left" w:pos="1665"/>
              </w:tabs>
              <w:autoSpaceDE w:val="0"/>
              <w:autoSpaceDN w:val="0"/>
              <w:adjustRightInd w:val="0"/>
              <w:rPr>
                <w:rFonts w:ascii="Times New Roman" w:hAnsi="Times New Roman"/>
                <w:sz w:val="24"/>
              </w:rPr>
            </w:pPr>
            <w:r>
              <w:rPr>
                <w:rFonts w:ascii="Times New Roman" w:hAnsi="Times New Roman"/>
                <w:sz w:val="24"/>
              </w:rPr>
              <w:t>Kapitálové požadavky na poziční riziko uvedené v čl. 92 odst. 3 písm. b) bodu i) nařízení (EU) č. 575/2013 a části třetí hlavě IV kapitole 2 oddílu 3 uvedeného nařízení.</w:t>
            </w:r>
          </w:p>
        </w:tc>
      </w:tr>
      <w:tr w:rsidR="007266CF" w:rsidRPr="002A677E" w14:paraId="66F95FA0" w14:textId="77777777" w:rsidTr="007266CF">
        <w:tc>
          <w:tcPr>
            <w:tcW w:w="1008" w:type="dxa"/>
          </w:tcPr>
          <w:p w14:paraId="53CA3E6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10C808ED"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OBECNÉ RIZIKO</w:t>
            </w:r>
          </w:p>
          <w:p w14:paraId="650B1EF9"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Pozice v akciích, které podléhají obecnému riziku (článek 343 nařízení (EU) č. 575/2013), a s nimi související kapitálový požadavek podle části třetí hlavy IV kapitoly 2 oddílu 3 uvedeného nařízení </w:t>
            </w:r>
          </w:p>
          <w:p w14:paraId="76B01D1B"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lastRenderedPageBreak/>
              <w:t>Obě rozčlenění (řádky 0021/0022 a 0030/0040) se týkají všech pozic, které podléhají obecnému riziku.</w:t>
            </w:r>
          </w:p>
          <w:p w14:paraId="5D598F2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V řádcích 0021 a 0022 se uvádějí údaje o rozčlenění podle nástrojů. </w:t>
            </w:r>
          </w:p>
          <w:p w14:paraId="4FD62FEC" w14:textId="77777777" w:rsidR="007266CF" w:rsidRPr="002A677E" w:rsidRDefault="007266CF" w:rsidP="007266CF">
            <w:pPr>
              <w:tabs>
                <w:tab w:val="left" w:pos="1665"/>
              </w:tabs>
              <w:autoSpaceDE w:val="0"/>
              <w:autoSpaceDN w:val="0"/>
              <w:adjustRightInd w:val="0"/>
              <w:rPr>
                <w:rFonts w:ascii="Times New Roman" w:hAnsi="Times New Roman"/>
                <w:sz w:val="24"/>
              </w:rPr>
            </w:pPr>
            <w:r>
              <w:rPr>
                <w:rFonts w:ascii="Times New Roman" w:hAnsi="Times New Roman"/>
                <w:sz w:val="24"/>
              </w:rPr>
              <w:t>Jako základ pro výpočet kapitálových požadavků se používá pouze rozčlenění v řádcích 0030 a 0040.</w:t>
            </w:r>
          </w:p>
        </w:tc>
      </w:tr>
      <w:tr w:rsidR="007266CF" w:rsidRPr="002A677E" w14:paraId="2947BC66" w14:textId="77777777" w:rsidTr="007266CF">
        <w:tc>
          <w:tcPr>
            <w:tcW w:w="1008" w:type="dxa"/>
          </w:tcPr>
          <w:p w14:paraId="07D676B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4995DC91" w14:textId="77777777" w:rsidR="007266CF" w:rsidRPr="002A677E" w:rsidRDefault="007266CF" w:rsidP="007266CF">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Deriváty</w:t>
            </w:r>
          </w:p>
          <w:p w14:paraId="153B9174"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Deriváty zahrnované do výpočtu akciového rizika u pozic v obchodním portfoliu, v příslušných případech se zohledněním článků 329 a 332 nařízení (EU) č. 575/2013</w:t>
            </w:r>
          </w:p>
        </w:tc>
      </w:tr>
      <w:tr w:rsidR="007266CF" w:rsidRPr="002A677E" w14:paraId="7FD1F00F" w14:textId="77777777" w:rsidTr="007266CF">
        <w:tc>
          <w:tcPr>
            <w:tcW w:w="1008" w:type="dxa"/>
          </w:tcPr>
          <w:p w14:paraId="401363C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42E8AC01" w14:textId="77777777" w:rsidR="007266CF" w:rsidRPr="002A677E" w:rsidRDefault="007266CF" w:rsidP="007266CF">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Ostatní aktiva a pasiva</w:t>
            </w:r>
          </w:p>
          <w:p w14:paraId="731B77DB"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 xml:space="preserve">Jiné nástroje než deriváty zahrnované do výpočtu akciového rizika u pozic v obchodním portfoliu. </w:t>
            </w:r>
          </w:p>
        </w:tc>
      </w:tr>
      <w:tr w:rsidR="007266CF" w:rsidRPr="002A677E" w14:paraId="56093091" w14:textId="77777777" w:rsidTr="007266CF">
        <w:tc>
          <w:tcPr>
            <w:tcW w:w="1008" w:type="dxa"/>
          </w:tcPr>
          <w:p w14:paraId="33F3780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1E511CE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Futures na akciové indexy obchodované na burze, které jsou široce diverzifikovány a na něž se vztahuje zvláštní přístup</w:t>
            </w:r>
          </w:p>
          <w:p w14:paraId="28CFB59F" w14:textId="77777777" w:rsidR="007266CF" w:rsidRPr="002A677E" w:rsidRDefault="007266CF" w:rsidP="007266CF">
            <w:pPr>
              <w:tabs>
                <w:tab w:val="left" w:pos="1665"/>
              </w:tabs>
              <w:autoSpaceDE w:val="0"/>
              <w:autoSpaceDN w:val="0"/>
              <w:adjustRightInd w:val="0"/>
              <w:rPr>
                <w:rFonts w:ascii="Times New Roman" w:hAnsi="Times New Roman"/>
                <w:sz w:val="24"/>
              </w:rPr>
            </w:pPr>
            <w:r>
              <w:rPr>
                <w:rFonts w:ascii="Times New Roman" w:hAnsi="Times New Roman"/>
                <w:sz w:val="24"/>
              </w:rPr>
              <w:t>Futures na akciové indexy obchodované na burze, které jsou široce diverzifikovány a na něž se vztahuje zvláštní přístup v souladu s prováděcím nařízením Komise (EU) č. 945/2014</w:t>
            </w:r>
            <w:r>
              <w:rPr>
                <w:rStyle w:val="FootnoteReference"/>
              </w:rPr>
              <w:footnoteReference w:id="9"/>
            </w:r>
          </w:p>
          <w:p w14:paraId="43776276" w14:textId="77777777" w:rsidR="007266CF" w:rsidRPr="002A677E" w:rsidRDefault="007266CF" w:rsidP="007266CF">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Tyto pozice podléhají pouze obecnému riziku, a proto se nesmí vykazovat v řádku 0050.</w:t>
            </w:r>
          </w:p>
        </w:tc>
      </w:tr>
      <w:tr w:rsidR="007266CF" w:rsidRPr="002A677E" w14:paraId="7E1C1ABA" w14:textId="77777777" w:rsidTr="007266CF">
        <w:tc>
          <w:tcPr>
            <w:tcW w:w="1008" w:type="dxa"/>
          </w:tcPr>
          <w:p w14:paraId="3999138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408DF3C3"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Jiné akcie než futures na akciové indexy obchodované na burze, které jsou široce diverzifikovány</w:t>
            </w:r>
          </w:p>
          <w:p w14:paraId="20CD46A6"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Ostatní pozice v akciích podléhající zvláštnímu riziku, jakož i odpovídající kapitálovým požadavkům v souladu s článkem 343 nařízení (EU) č. 575/2013, včetně pozic ve futures na akciové indexy, s nimiž se zachází v souladu s čl. 344 odst. 3 uvedeného nařízení</w:t>
            </w:r>
          </w:p>
        </w:tc>
      </w:tr>
      <w:tr w:rsidR="007266CF" w:rsidRPr="002A677E" w14:paraId="4467CABF" w14:textId="77777777" w:rsidTr="007266CF">
        <w:tc>
          <w:tcPr>
            <w:tcW w:w="1008" w:type="dxa"/>
          </w:tcPr>
          <w:p w14:paraId="173A5C4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34F25892"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SPECIFICKÉ RIZIKO</w:t>
            </w:r>
          </w:p>
          <w:p w14:paraId="503CB7E6"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Pozice v akciích podléhající specifickému riziku a odpovídající kapitálovému požadavku v souladu s článkem 342 nařízení (EU) č. 575/2013, vyjma pozic ve futures na akciové indexy, s nimiž se zachází v souladu s čl. 344 odst. 4 druhou větou uvedeného nařízení </w:t>
            </w:r>
          </w:p>
        </w:tc>
      </w:tr>
      <w:tr w:rsidR="007266CF" w:rsidRPr="002A677E" w14:paraId="446A9A91" w14:textId="77777777" w:rsidTr="007266CF">
        <w:tc>
          <w:tcPr>
            <w:tcW w:w="1008" w:type="dxa"/>
          </w:tcPr>
          <w:p w14:paraId="5CD9D33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2B887F95"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14:paraId="2E933D1D"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Ustanovení čl. 329 odst. 2 a 3 nařízení (EU) č. 575/2013 </w:t>
            </w:r>
          </w:p>
          <w:p w14:paraId="619C4E0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Dodatečné požadavky k opcím související s jinými riziky, než jsou rizika delta, se uvádějí u metody používané k jejich výpočtu.</w:t>
            </w:r>
          </w:p>
        </w:tc>
      </w:tr>
    </w:tbl>
    <w:p w14:paraId="48B88AB6" w14:textId="77777777" w:rsidR="007266CF" w:rsidRPr="002A677E" w:rsidRDefault="007266CF" w:rsidP="007266CF">
      <w:pPr>
        <w:autoSpaceDE w:val="0"/>
        <w:autoSpaceDN w:val="0"/>
        <w:adjustRightInd w:val="0"/>
        <w:spacing w:before="0" w:after="0"/>
        <w:rPr>
          <w:rFonts w:ascii="Times New Roman" w:hAnsi="Times New Roman"/>
          <w:bCs/>
          <w:sz w:val="24"/>
          <w:lang w:eastAsia="nl-BE"/>
        </w:rPr>
      </w:pPr>
    </w:p>
    <w:p w14:paraId="6AAE4061" w14:textId="77777777" w:rsidR="007266CF" w:rsidRPr="002A677E" w:rsidRDefault="007266CF" w:rsidP="00A75C39">
      <w:pPr>
        <w:pStyle w:val="Instructionsberschrift2"/>
        <w:numPr>
          <w:ilvl w:val="1"/>
          <w:numId w:val="119"/>
        </w:numPr>
        <w:rPr>
          <w:rFonts w:ascii="Times New Roman" w:hAnsi="Times New Roman" w:cs="Times New Roman"/>
          <w:sz w:val="24"/>
        </w:rPr>
      </w:pPr>
      <w:bookmarkStart w:id="306" w:name="_Toc116026846"/>
      <w:bookmarkStart w:id="307" w:name="_Toc119078003"/>
      <w:r>
        <w:rPr>
          <w:rFonts w:ascii="Times New Roman" w:hAnsi="Times New Roman"/>
          <w:sz w:val="24"/>
        </w:rPr>
        <w:lastRenderedPageBreak/>
        <w:t>C 22.00 – Tržní riziko: Standardizované přístupy k měnovému riziku</w:t>
      </w:r>
      <w:r>
        <w:t xml:space="preserve"> </w:t>
      </w:r>
      <w:r>
        <w:rPr>
          <w:rFonts w:ascii="Times New Roman" w:hAnsi="Times New Roman"/>
          <w:sz w:val="24"/>
        </w:rPr>
        <w:t>(MKR SA FX)</w:t>
      </w:r>
      <w:bookmarkEnd w:id="306"/>
      <w:bookmarkEnd w:id="307"/>
    </w:p>
    <w:p w14:paraId="39E8C864" w14:textId="77777777" w:rsidR="007266CF" w:rsidRPr="002A677E" w:rsidRDefault="007266CF" w:rsidP="00A75C39">
      <w:pPr>
        <w:pStyle w:val="Instructionsberschrift2"/>
        <w:numPr>
          <w:ilvl w:val="2"/>
          <w:numId w:val="120"/>
        </w:numPr>
        <w:rPr>
          <w:rFonts w:ascii="Times New Roman" w:hAnsi="Times New Roman" w:cs="Times New Roman"/>
          <w:sz w:val="24"/>
        </w:rPr>
      </w:pPr>
      <w:bookmarkStart w:id="308" w:name="_Toc116026847"/>
      <w:bookmarkStart w:id="309" w:name="_Toc119078004"/>
      <w:r>
        <w:rPr>
          <w:rFonts w:ascii="Times New Roman" w:hAnsi="Times New Roman"/>
          <w:sz w:val="24"/>
        </w:rPr>
        <w:t>Obecné poznámky</w:t>
      </w:r>
      <w:bookmarkEnd w:id="308"/>
      <w:bookmarkEnd w:id="309"/>
    </w:p>
    <w:p w14:paraId="325C8789" w14:textId="77777777" w:rsidR="007266CF" w:rsidRPr="002A677E" w:rsidRDefault="007266CF" w:rsidP="007266CF">
      <w:pPr>
        <w:pStyle w:val="InstructionsText2"/>
        <w:numPr>
          <w:ilvl w:val="0"/>
          <w:numId w:val="0"/>
        </w:numPr>
        <w:ind w:left="1353" w:hanging="360"/>
      </w:pPr>
      <w:fldSimple w:instr=" seq paragraphs ">
        <w:r>
          <w:t>171</w:t>
        </w:r>
      </w:fldSimple>
      <w:r>
        <w:t>. Instituce vykazují údaje o pozicích v každé měně (včetně měny vykázání) a odpovídajících kapitálových požadavcích k měnovému riziku, s nimiž se zachází v souladu se standardizovaným přístupem. Pozice se vypočítává v případě každé měny (včetně EUR), zlata a pozic v subjektech kolektivního investování.</w:t>
      </w:r>
    </w:p>
    <w:p w14:paraId="22C85921" w14:textId="77777777" w:rsidR="007266CF" w:rsidRPr="002A677E" w:rsidRDefault="007266CF" w:rsidP="007266CF">
      <w:pPr>
        <w:pStyle w:val="InstructionsText2"/>
        <w:numPr>
          <w:ilvl w:val="0"/>
          <w:numId w:val="0"/>
        </w:numPr>
        <w:ind w:left="1353" w:hanging="360"/>
      </w:pPr>
      <w:fldSimple w:instr=" seq paragraphs ">
        <w:r>
          <w:t>172</w:t>
        </w:r>
      </w:fldSimple>
      <w:r>
        <w:t>.</w:t>
      </w:r>
      <w:r>
        <w:tab/>
        <w:t xml:space="preserve"> Řádky 0100 až 0480 této šablony se vykazují, i když instituce nemají povinnost vypočítat kapitálové požadavky k měnovému riziku podle článku 351 nařízení (EU) č. 575/2013. V těchto doplňkových položkách jsou zařazeny všechny pozice ve vykazovací měně, bez ohledu na to, zda se zohledňují pro účely článku 354 nařízení (EU) č. 575/2013. Řádky 0130 až 0480 doplňkových položek se v šabloně vyplňují zvlášť pro všechny měny členských států Unie, tyto měny: GBP, USD, CHF, JPY, RUB, TRY, AUD, CAD, RSD, ALL, UAH, MKD, EGP, ARS, BRL, MXN, HKD, ICK, TWD, NZD, NOK, SGD, KRW, CNY a všechny ostatní měny.</w:t>
      </w:r>
    </w:p>
    <w:p w14:paraId="7B100FF7" w14:textId="77777777" w:rsidR="007266CF" w:rsidRPr="002A677E" w:rsidRDefault="007266CF" w:rsidP="00A75C39">
      <w:pPr>
        <w:pStyle w:val="Instructionsberschrift2"/>
        <w:numPr>
          <w:ilvl w:val="2"/>
          <w:numId w:val="121"/>
        </w:numPr>
        <w:rPr>
          <w:rFonts w:ascii="Times New Roman" w:hAnsi="Times New Roman" w:cs="Times New Roman"/>
          <w:sz w:val="24"/>
        </w:rPr>
      </w:pPr>
      <w:bookmarkStart w:id="310" w:name="_Toc116026848"/>
      <w:bookmarkStart w:id="311" w:name="_Toc119078005"/>
      <w:r>
        <w:rPr>
          <w:rFonts w:ascii="Times New Roman" w:hAnsi="Times New Roman"/>
          <w:sz w:val="24"/>
        </w:rPr>
        <w:t>Pokyny pro konkrétní pozice</w:t>
      </w:r>
      <w:bookmarkEnd w:id="310"/>
      <w:bookmarkEnd w:id="3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7266CF" w:rsidRPr="002A677E" w14:paraId="1403C601" w14:textId="77777777" w:rsidTr="007266CF">
        <w:trPr>
          <w:trHeight w:val="595"/>
        </w:trPr>
        <w:tc>
          <w:tcPr>
            <w:tcW w:w="8862" w:type="dxa"/>
            <w:gridSpan w:val="2"/>
            <w:shd w:val="clear" w:color="auto" w:fill="CCCCCC"/>
          </w:tcPr>
          <w:p w14:paraId="324173C9"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7266CF" w:rsidRPr="002A677E" w14:paraId="621A0984" w14:textId="77777777" w:rsidTr="007266CF">
        <w:tc>
          <w:tcPr>
            <w:tcW w:w="988" w:type="dxa"/>
          </w:tcPr>
          <w:p w14:paraId="6FCFE1F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151D87A5"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14:paraId="28E98B9A"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p w14:paraId="229D5170"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Hrubé pozice vyplývající z aktiv, částek, které mají být přijaty, a podobných položek uvedených v čl. 352 odst. 1 nařízení (EU) č. 575/2013</w:t>
            </w:r>
          </w:p>
          <w:p w14:paraId="0849FBE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 souladu s čl. 352 odst. 2 nařízení (EU) č. 575/2013 a se svolením příslušných orgánů instituce nevykazují pozice, které převzaly, aby se zajistily vůči nepříznivému působení změn směnného kurzu na své poměry kapitálu podle čl. 92 odst. 1 uvedeného nařízení, ani pozice související s položkami, jež jsou už odečteny při výpočtu kapitálu.</w:t>
            </w:r>
          </w:p>
          <w:p w14:paraId="1951619A"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c>
      </w:tr>
      <w:tr w:rsidR="007266CF" w:rsidRPr="002A677E" w14:paraId="5F99CD1C" w14:textId="77777777" w:rsidTr="007266CF">
        <w:tc>
          <w:tcPr>
            <w:tcW w:w="988" w:type="dxa"/>
          </w:tcPr>
          <w:p w14:paraId="1BEBEC1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44CDE23C"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ČISTÉ POZICE (DLOUHÉ A KRÁTKÉ)</w:t>
            </w:r>
          </w:p>
          <w:p w14:paraId="296CFF80" w14:textId="77777777" w:rsidR="007266CF" w:rsidRPr="006223CC" w:rsidRDefault="007266CF" w:rsidP="007266CF">
            <w:pPr>
              <w:autoSpaceDE w:val="0"/>
              <w:autoSpaceDN w:val="0"/>
              <w:adjustRightInd w:val="0"/>
              <w:spacing w:before="0" w:after="0"/>
              <w:rPr>
                <w:rFonts w:ascii="Times New Roman" w:hAnsi="Times New Roman"/>
                <w:sz w:val="24"/>
                <w:lang w:val="fr-FR" w:eastAsia="de-DE"/>
              </w:rPr>
            </w:pPr>
          </w:p>
          <w:p w14:paraId="559293F6"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Ustanovení čl. 352 odst. 3, čl. 352 odst. 4 prvních dvou vět a článku 353 nařízení (EU) č. 575/2013</w:t>
            </w:r>
          </w:p>
          <w:p w14:paraId="734322A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Čisté pozice se vypočítají podle každé měny v souladu s čl. 352 odst. 1 nařízení (EU) č. 575/2013. Mohou být tudíž zároveň vykazovány dlouhé a krátké pozice.</w:t>
            </w:r>
          </w:p>
          <w:p w14:paraId="7194414B"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c>
      </w:tr>
      <w:tr w:rsidR="007266CF" w:rsidRPr="002A677E" w14:paraId="591434A1" w14:textId="77777777" w:rsidTr="007266CF">
        <w:tc>
          <w:tcPr>
            <w:tcW w:w="988" w:type="dxa"/>
          </w:tcPr>
          <w:p w14:paraId="2A5E968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09C23781"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14:paraId="7AD7FDA4"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4B2A7C1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352 odst. 4 třetí věty a článků 353 a 354 nařízení (EU) č. 575/2013 </w:t>
            </w:r>
          </w:p>
          <w:p w14:paraId="37E7F7A5"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697232A7" w14:textId="77777777" w:rsidTr="007266CF">
        <w:tc>
          <w:tcPr>
            <w:tcW w:w="988" w:type="dxa"/>
          </w:tcPr>
          <w:p w14:paraId="7733ED7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1E29B41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b/>
                <w:sz w:val="24"/>
                <w:u w:val="single"/>
              </w:rPr>
              <w:t>POZICE, NA NĚŽ SE VZTAHUJE KAPITÁLOVÝ POŽADAVEK (DLOUHÉ A KRÁTKÉ)</w:t>
            </w:r>
          </w:p>
          <w:p w14:paraId="40EDAEBE" w14:textId="77777777" w:rsidR="007266CF" w:rsidRPr="002A677E" w:rsidRDefault="007266CF" w:rsidP="007266CF">
            <w:pPr>
              <w:autoSpaceDE w:val="0"/>
              <w:autoSpaceDN w:val="0"/>
              <w:adjustRightInd w:val="0"/>
              <w:spacing w:after="0"/>
              <w:rPr>
                <w:rFonts w:ascii="Times New Roman" w:hAnsi="Times New Roman"/>
                <w:sz w:val="24"/>
              </w:rPr>
            </w:pPr>
            <w:r>
              <w:rPr>
                <w:rFonts w:ascii="Times New Roman" w:hAnsi="Times New Roman"/>
                <w:sz w:val="24"/>
              </w:rPr>
              <w:t>Dlouhé a krátké čisté pozice pro každou měnu se vypočítávají odečtením celkových krátkých pozic od celkových dlouhých pozic.</w:t>
            </w:r>
          </w:p>
          <w:p w14:paraId="79557C32" w14:textId="77777777" w:rsidR="007266CF" w:rsidRPr="002A677E" w:rsidRDefault="007266CF" w:rsidP="007266CF">
            <w:pPr>
              <w:autoSpaceDE w:val="0"/>
              <w:autoSpaceDN w:val="0"/>
              <w:adjustRightInd w:val="0"/>
              <w:spacing w:after="0"/>
              <w:rPr>
                <w:rFonts w:ascii="Times New Roman" w:hAnsi="Times New Roman"/>
                <w:sz w:val="24"/>
              </w:rPr>
            </w:pPr>
            <w:r>
              <w:rPr>
                <w:rFonts w:ascii="Times New Roman" w:hAnsi="Times New Roman"/>
                <w:sz w:val="24"/>
              </w:rPr>
              <w:lastRenderedPageBreak/>
              <w:t>Pro docílení dlouhé čisté pozice v určité měně se připočítají dlouhé čisté pozice za každou operaci v dané měně.</w:t>
            </w:r>
          </w:p>
          <w:p w14:paraId="5F8A8DD0" w14:textId="77777777" w:rsidR="007266CF" w:rsidRPr="002A677E" w:rsidRDefault="007266CF" w:rsidP="007266CF">
            <w:pPr>
              <w:autoSpaceDE w:val="0"/>
              <w:autoSpaceDN w:val="0"/>
              <w:adjustRightInd w:val="0"/>
              <w:spacing w:after="0"/>
              <w:rPr>
                <w:rFonts w:ascii="Times New Roman" w:hAnsi="Times New Roman"/>
                <w:sz w:val="24"/>
              </w:rPr>
            </w:pPr>
            <w:r>
              <w:rPr>
                <w:rFonts w:ascii="Times New Roman" w:hAnsi="Times New Roman"/>
                <w:sz w:val="24"/>
              </w:rPr>
              <w:t>Pro docílení krátké čisté pozice v určité měně se připočítají krátké čisté pozice za každou operaci v dané měně.</w:t>
            </w:r>
          </w:p>
          <w:p w14:paraId="616F43F2" w14:textId="77777777" w:rsidR="007266CF" w:rsidRPr="002A677E" w:rsidRDefault="007266CF" w:rsidP="007266CF">
            <w:pPr>
              <w:autoSpaceDE w:val="0"/>
              <w:autoSpaceDN w:val="0"/>
              <w:adjustRightInd w:val="0"/>
              <w:spacing w:after="0"/>
              <w:rPr>
                <w:rFonts w:ascii="Times New Roman" w:hAnsi="Times New Roman"/>
                <w:sz w:val="24"/>
              </w:rPr>
            </w:pPr>
            <w:r>
              <w:rPr>
                <w:rFonts w:ascii="Times New Roman" w:hAnsi="Times New Roman"/>
                <w:sz w:val="24"/>
              </w:rPr>
              <w:t>Nekompenzované pozice v jiných měnách než v měnách vykázání se přičítají k pozicím, na něž se vztahují kapitálové požadavky, k ostatním měnám (řádek 030) ve sloupci 060 nebo 070 podle toho, zda jsou zařazeny jako krátké, nebo dlouhé.</w:t>
            </w:r>
          </w:p>
          <w:p w14:paraId="048E7D86"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49092474" w14:textId="77777777" w:rsidTr="007266CF">
        <w:tc>
          <w:tcPr>
            <w:tcW w:w="988" w:type="dxa"/>
          </w:tcPr>
          <w:p w14:paraId="5D0E1A9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011FF319"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 (KOMPENZOVANÉ)</w:t>
            </w:r>
          </w:p>
          <w:p w14:paraId="41BDB570"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25E65BB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Kompenzované pozice pro silně korelované měny.</w:t>
            </w:r>
          </w:p>
          <w:p w14:paraId="115A1CA2"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11794297" w14:textId="77777777" w:rsidTr="007266CF">
        <w:tc>
          <w:tcPr>
            <w:tcW w:w="988" w:type="dxa"/>
          </w:tcPr>
          <w:p w14:paraId="7EC8596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671B518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14:paraId="1E14C62D"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1E035D0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Kapitálový požadavek ke kterékoli příslušné pozici v souladu s částí třetí hlavou IV kapitolou 3 nařízení (EU) č. 575/2013 </w:t>
            </w:r>
          </w:p>
          <w:p w14:paraId="0215981D"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7878ECC2" w14:textId="77777777" w:rsidTr="007266CF">
        <w:tc>
          <w:tcPr>
            <w:tcW w:w="988" w:type="dxa"/>
          </w:tcPr>
          <w:p w14:paraId="73FC5B3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33446550"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61EF6C2D"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lang w:eastAsia="nl-BE"/>
              </w:rPr>
            </w:pPr>
          </w:p>
          <w:p w14:paraId="3915EA71" w14:textId="77777777" w:rsidR="007266CF" w:rsidRPr="002A677E" w:rsidRDefault="007266CF" w:rsidP="007266CF">
            <w:pPr>
              <w:tabs>
                <w:tab w:val="left" w:pos="1665"/>
              </w:tabs>
              <w:autoSpaceDE w:val="0"/>
              <w:autoSpaceDN w:val="0"/>
              <w:adjustRightInd w:val="0"/>
              <w:spacing w:before="0"/>
              <w:rPr>
                <w:rFonts w:ascii="Times New Roman" w:hAnsi="Times New Roman"/>
                <w:sz w:val="24"/>
              </w:rPr>
            </w:pPr>
            <w:r>
              <w:rPr>
                <w:rFonts w:ascii="Times New Roman" w:hAnsi="Times New Roman"/>
                <w:sz w:val="24"/>
              </w:rPr>
              <w:t>Ustanovení čl. 92 odst. 4 písm. b) nařízení (EU) č. 575/2013.</w:t>
            </w:r>
          </w:p>
          <w:p w14:paraId="18CFC0B4" w14:textId="77777777" w:rsidR="007266CF" w:rsidRPr="002A677E" w:rsidRDefault="007266CF" w:rsidP="007266CF">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Výsledek vynásobení kapitálových požadavků faktorem 12,5. </w:t>
            </w:r>
          </w:p>
          <w:p w14:paraId="75207016"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lang w:eastAsia="nl-BE"/>
              </w:rPr>
            </w:pPr>
          </w:p>
        </w:tc>
      </w:tr>
    </w:tbl>
    <w:p w14:paraId="521FB68D" w14:textId="77777777" w:rsidR="007266CF" w:rsidRPr="002A677E" w:rsidRDefault="007266CF" w:rsidP="007266CF">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7266CF" w:rsidRPr="002A677E" w14:paraId="31A7F892" w14:textId="77777777" w:rsidTr="007266CF">
        <w:trPr>
          <w:trHeight w:val="497"/>
        </w:trPr>
        <w:tc>
          <w:tcPr>
            <w:tcW w:w="8862" w:type="dxa"/>
            <w:gridSpan w:val="2"/>
            <w:shd w:val="clear" w:color="auto" w:fill="CCCCCC"/>
          </w:tcPr>
          <w:p w14:paraId="25AB249A"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7266CF" w:rsidRPr="002A677E" w14:paraId="7D2331DF" w14:textId="77777777" w:rsidTr="007266CF">
        <w:tc>
          <w:tcPr>
            <w:tcW w:w="991" w:type="dxa"/>
          </w:tcPr>
          <w:p w14:paraId="13F7BD9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22317824"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w:t>
            </w:r>
          </w:p>
          <w:p w14:paraId="5EDAC396"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p w14:paraId="098E286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Veškeré pozice v jiných měnách než ve vykazovací měně a pozice ve vykazovací měně, jež se zohledňují pro účely článku 354 nařízení (EU) č. 575/2013, jakož i s nimi související kapitálové požadavky k měnovému riziku podle čl. 92 odst. 3 písm. c) bodu i), se zohledněním čl. 352 odst. 2 a 4 nařízení (EU) č. 575/2013 (pro převod na měnu vykázání).</w:t>
            </w:r>
          </w:p>
          <w:p w14:paraId="2DB11299"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c>
      </w:tr>
      <w:tr w:rsidR="007266CF" w:rsidRPr="002A677E" w14:paraId="110A9223" w14:textId="77777777" w:rsidTr="007266CF">
        <w:tc>
          <w:tcPr>
            <w:tcW w:w="991" w:type="dxa"/>
          </w:tcPr>
          <w:p w14:paraId="4A3D445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2B7412C7"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SILNĚ KORELOVANÉ MĚNY</w:t>
            </w:r>
          </w:p>
          <w:p w14:paraId="1F012D38"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0B30776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silně korelovaným měnám uvedeným v článku 354 nařízení (EU) č. 575/2013.</w:t>
            </w:r>
          </w:p>
          <w:p w14:paraId="5D61EE94"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c>
      </w:tr>
      <w:tr w:rsidR="007266CF" w:rsidRPr="002A677E" w14:paraId="5DA3E6B4" w14:textId="77777777" w:rsidTr="007266CF">
        <w:tc>
          <w:tcPr>
            <w:tcW w:w="991" w:type="dxa"/>
          </w:tcPr>
          <w:p w14:paraId="5D95118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3ACEF09E"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Silně korelované měny: </w:t>
            </w:r>
            <w:r>
              <w:rPr>
                <w:rFonts w:ascii="Times New Roman" w:hAnsi="Times New Roman"/>
                <w:b/>
                <w:i/>
                <w:sz w:val="24"/>
                <w:u w:val="single"/>
              </w:rPr>
              <w:t>z toho</w:t>
            </w:r>
            <w:r>
              <w:rPr>
                <w:rFonts w:ascii="Times New Roman" w:hAnsi="Times New Roman"/>
                <w:b/>
                <w:sz w:val="24"/>
                <w:u w:val="single"/>
              </w:rPr>
              <w:t>: vykazovací měna</w:t>
            </w:r>
          </w:p>
          <w:p w14:paraId="2FF19F30" w14:textId="77777777" w:rsidR="007266CF" w:rsidRPr="002A677E" w:rsidRDefault="007266CF" w:rsidP="007266CF">
            <w:pPr>
              <w:autoSpaceDE w:val="0"/>
              <w:autoSpaceDN w:val="0"/>
              <w:adjustRightInd w:val="0"/>
              <w:spacing w:before="0" w:after="0"/>
              <w:rPr>
                <w:rFonts w:ascii="Times New Roman" w:hAnsi="Times New Roman"/>
                <w:sz w:val="24"/>
              </w:rPr>
            </w:pPr>
          </w:p>
          <w:p w14:paraId="6374BA5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Pozice ve vykazovací měně, které přispívají k výpočtu kapitálových požadavků podle článku 354 nařízení (EU) č. 575/2013.</w:t>
            </w:r>
          </w:p>
          <w:p w14:paraId="101DADDE"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43D04C5F" w14:textId="77777777" w:rsidTr="007266CF">
        <w:tc>
          <w:tcPr>
            <w:tcW w:w="991" w:type="dxa"/>
          </w:tcPr>
          <w:p w14:paraId="73D6650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2EF7F84"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OSTATNÍ MĚNY (včetně subjektů kolektivního investování, s nimiž se zachází jako s jinými měnami)</w:t>
            </w:r>
          </w:p>
          <w:p w14:paraId="38FB8BB3"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252B13F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měnám podléhajícím obecnému postupu podle článku 351 a čl. 352 odst. 2 a 4 nařízení (EU) č. 575/2013.</w:t>
            </w:r>
          </w:p>
          <w:p w14:paraId="00A9D595"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0E73695B" w14:textId="77777777" w:rsidR="007266CF" w:rsidRPr="002A677E" w:rsidRDefault="007266CF" w:rsidP="007266CF">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Vykazování subjektů kolektivního investování, s nimiž se zachází jako se samostatnými měnami podle článku 353</w:t>
            </w:r>
            <w:r>
              <w:rPr>
                <w:rFonts w:ascii="Times New Roman" w:hAnsi="Times New Roman"/>
                <w:sz w:val="24"/>
              </w:rPr>
              <w:t xml:space="preserve"> nařízení (EU) č. 575/2013</w:t>
            </w:r>
            <w:r>
              <w:rPr>
                <w:rFonts w:ascii="Times New Roman" w:hAnsi="Times New Roman"/>
                <w:sz w:val="24"/>
                <w:u w:val="single"/>
              </w:rPr>
              <w:t>:</w:t>
            </w:r>
          </w:p>
          <w:p w14:paraId="7C9D92AF" w14:textId="77777777" w:rsidR="007266CF" w:rsidRPr="002A677E" w:rsidRDefault="007266CF" w:rsidP="007266CF">
            <w:pPr>
              <w:autoSpaceDE w:val="0"/>
              <w:autoSpaceDN w:val="0"/>
              <w:adjustRightInd w:val="0"/>
              <w:spacing w:before="0" w:after="0"/>
              <w:rPr>
                <w:rFonts w:ascii="Times New Roman" w:hAnsi="Times New Roman"/>
                <w:bCs/>
                <w:sz w:val="24"/>
              </w:rPr>
            </w:pPr>
            <w:r>
              <w:rPr>
                <w:rFonts w:ascii="Times New Roman" w:hAnsi="Times New Roman"/>
                <w:sz w:val="24"/>
              </w:rPr>
              <w:t>K subjektům kolektivního investování, s nimiž se zachází jako se samostatnými měnami, se může pro účely výpočtu kapitálových požadavků přistupovat dvěma způsoby:</w:t>
            </w:r>
          </w:p>
          <w:p w14:paraId="44114BFB" w14:textId="77777777" w:rsidR="007266CF" w:rsidRPr="002A677E" w:rsidRDefault="007266CF" w:rsidP="007266CF">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modifikovaná metoda zacházení se zlatem, pokud směr investic subjektů kolektivního investování není znám (uvedené subjekty kolektivního investování se přičítají k celkové čisté měnové pozici instituce),</w:t>
            </w:r>
          </w:p>
          <w:p w14:paraId="669CBCEA" w14:textId="77777777" w:rsidR="007266CF" w:rsidRPr="002A677E" w:rsidRDefault="007266CF" w:rsidP="007266CF">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pokud je znám směr investic subjektu kolektivního investování, tyto subjekty se přičítají k celkové otevřené měnové pozici (dlouhé nebo krátké v závislosti na směru investic subjektu kolektivního investování).</w:t>
            </w:r>
          </w:p>
          <w:p w14:paraId="260849F5" w14:textId="77777777" w:rsidR="007266CF" w:rsidRPr="002A677E" w:rsidRDefault="007266CF" w:rsidP="007266CF">
            <w:pPr>
              <w:autoSpaceDE w:val="0"/>
              <w:autoSpaceDN w:val="0"/>
              <w:adjustRightInd w:val="0"/>
              <w:spacing w:before="0" w:after="0"/>
              <w:rPr>
                <w:rFonts w:ascii="Times New Roman" w:hAnsi="Times New Roman"/>
                <w:bCs/>
                <w:sz w:val="24"/>
                <w:u w:val="single"/>
              </w:rPr>
            </w:pPr>
            <w:r>
              <w:rPr>
                <w:rFonts w:ascii="Times New Roman" w:hAnsi="Times New Roman"/>
                <w:sz w:val="24"/>
              </w:rPr>
              <w:t>Vykazování tohoto subjektu kolektivního investování se řídí podle výpočtu kapitálových požadavků.</w:t>
            </w:r>
          </w:p>
          <w:p w14:paraId="2709F387"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64764157" w14:textId="77777777" w:rsidTr="007266CF">
        <w:tc>
          <w:tcPr>
            <w:tcW w:w="991" w:type="dxa"/>
          </w:tcPr>
          <w:p w14:paraId="290EB98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34F0EBF4"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14:paraId="1998BD0B"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13991AD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Pozice a s nimi související kapitálové požadavky k měnám podléhajícím obecnému postupu podle článku 351 a čl. 352 odst. 2 a 4 nařízení (EU) č. 575/2013 </w:t>
            </w:r>
          </w:p>
          <w:p w14:paraId="73A6E398"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7FBFC8C6" w14:textId="77777777" w:rsidTr="007266CF">
        <w:tc>
          <w:tcPr>
            <w:tcW w:w="991" w:type="dxa"/>
          </w:tcPr>
          <w:p w14:paraId="27B5A20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E152D25"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14:paraId="0D71DF67" w14:textId="77777777" w:rsidR="007266CF" w:rsidRPr="002A677E" w:rsidRDefault="007266CF" w:rsidP="007266CF">
            <w:pPr>
              <w:autoSpaceDE w:val="0"/>
              <w:autoSpaceDN w:val="0"/>
              <w:adjustRightInd w:val="0"/>
              <w:spacing w:after="0"/>
              <w:rPr>
                <w:rFonts w:ascii="Times New Roman" w:hAnsi="Times New Roman"/>
                <w:sz w:val="24"/>
              </w:rPr>
            </w:pPr>
            <w:r>
              <w:rPr>
                <w:rFonts w:ascii="Times New Roman" w:hAnsi="Times New Roman"/>
                <w:sz w:val="24"/>
              </w:rPr>
              <w:t xml:space="preserve">Ustanovení čl. 352 odst. 5 a 6 nařízení (EU) č. 575/2013 </w:t>
            </w:r>
          </w:p>
          <w:p w14:paraId="649428BD"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22EBCEF3"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Dodatečné požadavky k opcím související s jinými riziky, než jsou rizika delta, se uvádějí v členění podle metody používané k jejich výpočtu. </w:t>
            </w:r>
          </w:p>
          <w:p w14:paraId="4B6F1685"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155FB906" w14:textId="77777777" w:rsidTr="007266CF">
        <w:tc>
          <w:tcPr>
            <w:tcW w:w="991" w:type="dxa"/>
          </w:tcPr>
          <w:p w14:paraId="7B8659A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6C2B2487"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Rozčlenění celkových pozic (včetně měny vykázání) podle druhů expozic</w:t>
            </w:r>
          </w:p>
          <w:p w14:paraId="4E25316C"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03E5E91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Celkové pozice se rozčleňují do derivátů, ostatních aktiv a pasiv a podrozvahových položek.</w:t>
            </w:r>
          </w:p>
          <w:p w14:paraId="262C87BA"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6223CC" w14:paraId="34004EE5" w14:textId="77777777" w:rsidTr="007266CF">
        <w:tc>
          <w:tcPr>
            <w:tcW w:w="991" w:type="dxa"/>
          </w:tcPr>
          <w:p w14:paraId="1449D57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6F8F68E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aktiva a pasiva jiná než podrozvahové položky a deriváty</w:t>
            </w:r>
          </w:p>
          <w:p w14:paraId="6BB97AD4"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45AA0755"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 xml:space="preserve">Uvedou se zde pozice nezohledněné v řádku 0110 nebo 0120. </w:t>
            </w:r>
          </w:p>
          <w:p w14:paraId="26E82C82"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sz w:val="24"/>
                <w:lang w:val="fr-FR"/>
              </w:rPr>
              <w:t xml:space="preserve"> </w:t>
            </w:r>
          </w:p>
        </w:tc>
      </w:tr>
      <w:tr w:rsidR="007266CF" w:rsidRPr="002A677E" w14:paraId="3A33FE6D" w14:textId="77777777" w:rsidTr="007266CF">
        <w:tc>
          <w:tcPr>
            <w:tcW w:w="991" w:type="dxa"/>
          </w:tcPr>
          <w:p w14:paraId="0ADF6E9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38A2C165"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Podrozvahové položky</w:t>
            </w:r>
          </w:p>
          <w:p w14:paraId="56E2030D"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379BEEE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Položky, na něž se vztahuje článek 352 nařízení (EU) č. 575/2013, bez ohledu na měnu, v níž jsou denominovány, které jsou zahrnuty do přílohy I uvedeného nařízení s výjimkou položek zahrnovaných do transakcí s financováním cenných papírů a transakcí s delší dobou vypořádání nebo položek, které jsou výsledkem smluvního křížového započtení.</w:t>
            </w:r>
          </w:p>
          <w:p w14:paraId="7427E974"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618A8DDD" w14:textId="77777777" w:rsidTr="007266CF">
        <w:tc>
          <w:tcPr>
            <w:tcW w:w="991" w:type="dxa"/>
          </w:tcPr>
          <w:p w14:paraId="77B47C0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62070FFA"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Deriváty</w:t>
            </w:r>
          </w:p>
          <w:p w14:paraId="43FCD857"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5604585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Pozice oceněné podle článku 352 nařízení (EU) č. 575/2013.</w:t>
            </w:r>
          </w:p>
          <w:p w14:paraId="7FBF1B62"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65B1A968" w14:textId="77777777" w:rsidTr="007266CF">
        <w:tc>
          <w:tcPr>
            <w:tcW w:w="991" w:type="dxa"/>
          </w:tcPr>
          <w:p w14:paraId="1B713C8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0130–0480</w:t>
            </w:r>
          </w:p>
        </w:tc>
        <w:tc>
          <w:tcPr>
            <w:tcW w:w="7871" w:type="dxa"/>
          </w:tcPr>
          <w:p w14:paraId="622B56A3"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b/>
                <w:sz w:val="24"/>
                <w:u w:val="single"/>
              </w:rPr>
              <w:t>DOPLŇKOVÉ POLOŽKY: MĚNOVÉ POZICE</w:t>
            </w:r>
          </w:p>
          <w:p w14:paraId="33A79E61" w14:textId="77777777" w:rsidR="007266CF" w:rsidRPr="002A677E" w:rsidRDefault="007266CF" w:rsidP="007266CF">
            <w:pPr>
              <w:autoSpaceDE w:val="0"/>
              <w:autoSpaceDN w:val="0"/>
              <w:adjustRightInd w:val="0"/>
              <w:spacing w:before="0" w:after="0"/>
              <w:rPr>
                <w:rFonts w:ascii="Times New Roman" w:hAnsi="Times New Roman"/>
                <w:b/>
                <w:bCs/>
                <w:sz w:val="24"/>
                <w:lang w:eastAsia="de-DE"/>
              </w:rPr>
            </w:pPr>
          </w:p>
          <w:p w14:paraId="4073D00C" w14:textId="77777777" w:rsidR="007266CF"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Doplňkové položky se v šabloně vyplňují zvlášť pro všechny měny členských států Unie, GBP, USD, CHF, JPY, RUB, TRY, AUD, CAD, RSD, ALL, UAH, MKD, EGP, ARS, BRL, MXN, HKD, ICK, TWD, NZD, NOK, SGD, KRW, CNY a všechny ostatní měny. </w:t>
            </w:r>
          </w:p>
          <w:p w14:paraId="360129E9" w14:textId="77777777" w:rsidR="007266CF" w:rsidRPr="002A677E" w:rsidRDefault="007266CF" w:rsidP="007266CF">
            <w:pPr>
              <w:autoSpaceDE w:val="0"/>
              <w:autoSpaceDN w:val="0"/>
              <w:adjustRightInd w:val="0"/>
              <w:spacing w:before="0" w:after="0"/>
              <w:rPr>
                <w:rStyle w:val="InstructionsTabelleText"/>
                <w:rFonts w:ascii="Times New Roman" w:hAnsi="Times New Roman"/>
                <w:sz w:val="24"/>
              </w:rPr>
            </w:pPr>
          </w:p>
        </w:tc>
      </w:tr>
    </w:tbl>
    <w:p w14:paraId="6BBCEBD8" w14:textId="77777777" w:rsidR="007266CF" w:rsidRPr="002A677E" w:rsidRDefault="007266CF" w:rsidP="007266CF">
      <w:pPr>
        <w:rPr>
          <w:rFonts w:ascii="Times New Roman" w:hAnsi="Times New Roman"/>
          <w:sz w:val="24"/>
        </w:rPr>
      </w:pPr>
    </w:p>
    <w:p w14:paraId="49B0C158" w14:textId="77777777" w:rsidR="007266CF" w:rsidRPr="002A677E" w:rsidRDefault="007266CF" w:rsidP="00A75C39">
      <w:pPr>
        <w:pStyle w:val="Instructionsberschrift2"/>
        <w:numPr>
          <w:ilvl w:val="1"/>
          <w:numId w:val="122"/>
        </w:numPr>
        <w:rPr>
          <w:rFonts w:ascii="Times New Roman" w:hAnsi="Times New Roman" w:cs="Times New Roman"/>
          <w:sz w:val="24"/>
        </w:rPr>
      </w:pPr>
      <w:bookmarkStart w:id="312" w:name="_Toc116026849"/>
      <w:bookmarkStart w:id="313" w:name="_Toc119078006"/>
      <w:r>
        <w:rPr>
          <w:rFonts w:ascii="Times New Roman" w:hAnsi="Times New Roman"/>
          <w:sz w:val="24"/>
        </w:rPr>
        <w:t>C 23.00 – Tržní riziko: Standardizované přístupy pro komodity</w:t>
      </w:r>
      <w:r>
        <w:t xml:space="preserve"> </w:t>
      </w:r>
      <w:r>
        <w:rPr>
          <w:rFonts w:ascii="Times New Roman" w:hAnsi="Times New Roman"/>
          <w:sz w:val="24"/>
        </w:rPr>
        <w:t>(MKR SA COM)</w:t>
      </w:r>
      <w:bookmarkEnd w:id="312"/>
      <w:bookmarkEnd w:id="313"/>
    </w:p>
    <w:p w14:paraId="1CF61AD2" w14:textId="77777777" w:rsidR="007266CF" w:rsidRPr="002A677E" w:rsidRDefault="007266CF" w:rsidP="00A75C39">
      <w:pPr>
        <w:pStyle w:val="Instructionsberschrift2"/>
        <w:numPr>
          <w:ilvl w:val="2"/>
          <w:numId w:val="123"/>
        </w:numPr>
        <w:rPr>
          <w:rFonts w:ascii="Times New Roman" w:hAnsi="Times New Roman" w:cs="Times New Roman"/>
          <w:sz w:val="24"/>
        </w:rPr>
      </w:pPr>
      <w:bookmarkStart w:id="314" w:name="_Toc116026850"/>
      <w:bookmarkStart w:id="315" w:name="_Toc119078007"/>
      <w:r>
        <w:rPr>
          <w:rFonts w:ascii="Times New Roman" w:hAnsi="Times New Roman"/>
          <w:sz w:val="24"/>
        </w:rPr>
        <w:t>Obecné poznámky</w:t>
      </w:r>
      <w:bookmarkEnd w:id="314"/>
      <w:bookmarkEnd w:id="315"/>
    </w:p>
    <w:p w14:paraId="286FB991" w14:textId="77777777" w:rsidR="007266CF" w:rsidRPr="002A677E" w:rsidRDefault="007266CF" w:rsidP="007266CF">
      <w:pPr>
        <w:pStyle w:val="InstructionsText2"/>
        <w:numPr>
          <w:ilvl w:val="0"/>
          <w:numId w:val="0"/>
        </w:numPr>
        <w:ind w:left="1353" w:hanging="360"/>
      </w:pPr>
      <w:fldSimple w:instr=" seq paragraphs ">
        <w:r>
          <w:t>173</w:t>
        </w:r>
      </w:fldSimple>
      <w:r>
        <w:t>.</w:t>
      </w:r>
      <w:r>
        <w:tab/>
        <w:t xml:space="preserve"> V této šabloně se vykazují údaje o pozicích v komoditách a odpovídající kapitálové požadavky, s nimiž se zachází v souladu se standardizovaným přístupem.</w:t>
      </w:r>
    </w:p>
    <w:p w14:paraId="612EA9E5" w14:textId="77777777" w:rsidR="007266CF" w:rsidRPr="002A677E" w:rsidRDefault="007266CF" w:rsidP="00A75C39">
      <w:pPr>
        <w:pStyle w:val="Instructionsberschrift2"/>
        <w:numPr>
          <w:ilvl w:val="2"/>
          <w:numId w:val="124"/>
        </w:numPr>
        <w:rPr>
          <w:rFonts w:ascii="Times New Roman" w:hAnsi="Times New Roman" w:cs="Times New Roman"/>
          <w:sz w:val="24"/>
        </w:rPr>
      </w:pPr>
      <w:bookmarkStart w:id="316" w:name="_Toc116026851"/>
      <w:bookmarkStart w:id="317" w:name="_Toc119078008"/>
      <w:r>
        <w:rPr>
          <w:rFonts w:ascii="Times New Roman" w:hAnsi="Times New Roman"/>
          <w:sz w:val="24"/>
        </w:rPr>
        <w:t>Pokyny pro konkrétní pozice</w:t>
      </w:r>
      <w:bookmarkEnd w:id="316"/>
      <w:bookmarkEnd w:id="3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7266CF" w:rsidRPr="002A677E" w14:paraId="53C0ABA7" w14:textId="77777777" w:rsidTr="007266CF">
        <w:trPr>
          <w:trHeight w:val="591"/>
        </w:trPr>
        <w:tc>
          <w:tcPr>
            <w:tcW w:w="8862" w:type="dxa"/>
            <w:gridSpan w:val="2"/>
            <w:shd w:val="clear" w:color="auto" w:fill="CCCCCC"/>
          </w:tcPr>
          <w:p w14:paraId="56389533"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7266CF" w:rsidRPr="002A677E" w14:paraId="684011C1" w14:textId="77777777" w:rsidTr="007266CF">
        <w:tc>
          <w:tcPr>
            <w:tcW w:w="986" w:type="dxa"/>
          </w:tcPr>
          <w:p w14:paraId="2186159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FF7E9C0"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14:paraId="54CF29B0"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2A7F34F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Hrubé dlouhé/krátké pozice považované za pozice ve stejné komoditě podle čl. 357 odst. 4 nařízení (EU) č. 575/2013 (viz také čl. 359 odst. 1 nařízení (EU) č. 575/2013)</w:t>
            </w:r>
          </w:p>
          <w:p w14:paraId="6D1F63A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7266CF" w:rsidRPr="002A677E" w14:paraId="241DE557" w14:textId="77777777" w:rsidTr="007266CF">
        <w:tc>
          <w:tcPr>
            <w:tcW w:w="986" w:type="dxa"/>
          </w:tcPr>
          <w:p w14:paraId="7CF6099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05DA6543"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b/>
                <w:sz w:val="24"/>
                <w:u w:val="single"/>
                <w:lang w:val="fr-FR"/>
              </w:rPr>
              <w:t>ČISTÉ POZICE (DLOUHÉ A KRÁTKÉ)</w:t>
            </w:r>
          </w:p>
          <w:p w14:paraId="266B5D6F" w14:textId="77777777" w:rsidR="007266CF" w:rsidRPr="006223CC" w:rsidRDefault="007266CF" w:rsidP="007266CF">
            <w:pPr>
              <w:autoSpaceDE w:val="0"/>
              <w:autoSpaceDN w:val="0"/>
              <w:adjustRightInd w:val="0"/>
              <w:spacing w:before="0" w:after="0"/>
              <w:rPr>
                <w:rFonts w:ascii="Times New Roman" w:hAnsi="Times New Roman"/>
                <w:sz w:val="24"/>
                <w:lang w:val="fr-FR" w:eastAsia="de-DE"/>
              </w:rPr>
            </w:pPr>
          </w:p>
          <w:p w14:paraId="7FEC3799"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 xml:space="preserve">Ve smyslu definice uvedené v čl. 357 odst. 3 nařízení (EU) č. 575/2013 </w:t>
            </w:r>
          </w:p>
        </w:tc>
      </w:tr>
      <w:tr w:rsidR="007266CF" w:rsidRPr="002A677E" w14:paraId="46FACFAD" w14:textId="77777777" w:rsidTr="007266CF">
        <w:tc>
          <w:tcPr>
            <w:tcW w:w="986" w:type="dxa"/>
          </w:tcPr>
          <w:p w14:paraId="29F3FEB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107F9098"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14:paraId="08DAD018"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4D6DD70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Čisté pozice, na něž se podle různých přístupů uvedených v části třetí hlavě IV kapitole 4 nařízení (EU) č. 575/2013 vztahují kapitálové požadavky.</w:t>
            </w:r>
          </w:p>
          <w:p w14:paraId="09DEE4C3"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7AAD0FCF" w14:textId="77777777" w:rsidTr="007266CF">
        <w:tc>
          <w:tcPr>
            <w:tcW w:w="986" w:type="dxa"/>
          </w:tcPr>
          <w:p w14:paraId="1EFDFA9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10832510"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POŽADAVKY NA KAPITÁL</w:t>
            </w:r>
          </w:p>
          <w:p w14:paraId="12317EC1"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0FD85E79" w14:textId="77777777" w:rsidR="007266CF" w:rsidRPr="002A677E" w:rsidRDefault="007266CF" w:rsidP="007266CF">
            <w:pPr>
              <w:autoSpaceDE w:val="0"/>
              <w:autoSpaceDN w:val="0"/>
              <w:adjustRightInd w:val="0"/>
              <w:spacing w:before="0"/>
              <w:rPr>
                <w:rFonts w:ascii="Times New Roman" w:hAnsi="Times New Roman"/>
                <w:b/>
                <w:bCs/>
                <w:sz w:val="24"/>
                <w:u w:val="single"/>
              </w:rPr>
            </w:pPr>
            <w:r>
              <w:rPr>
                <w:rFonts w:ascii="Times New Roman" w:hAnsi="Times New Roman"/>
                <w:sz w:val="24"/>
              </w:rPr>
              <w:t>Kapitálový požadavek ke kterékoli příslušné pozici vypočítaný v souladu s částí třetí hlavou IV kapitolou 4 nařízení (EU) č. 575/2013</w:t>
            </w:r>
          </w:p>
        </w:tc>
      </w:tr>
      <w:tr w:rsidR="007266CF" w:rsidRPr="002A677E" w14:paraId="1AFA9ED7" w14:textId="77777777" w:rsidTr="007266CF">
        <w:tc>
          <w:tcPr>
            <w:tcW w:w="986" w:type="dxa"/>
          </w:tcPr>
          <w:p w14:paraId="5C447FD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4AE86C70"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5194D3A9" w14:textId="77777777" w:rsidR="007266CF" w:rsidRPr="002A677E" w:rsidRDefault="007266CF" w:rsidP="007266CF">
            <w:pPr>
              <w:tabs>
                <w:tab w:val="left" w:pos="1665"/>
              </w:tabs>
              <w:autoSpaceDE w:val="0"/>
              <w:autoSpaceDN w:val="0"/>
              <w:adjustRightInd w:val="0"/>
              <w:spacing w:before="0" w:after="0"/>
              <w:rPr>
                <w:rFonts w:ascii="Times New Roman" w:hAnsi="Times New Roman"/>
                <w:b/>
                <w:bCs/>
                <w:sz w:val="24"/>
                <w:u w:val="single"/>
                <w:lang w:eastAsia="nl-BE"/>
              </w:rPr>
            </w:pPr>
          </w:p>
          <w:p w14:paraId="5588E577" w14:textId="77777777" w:rsidR="007266CF" w:rsidRPr="002A677E" w:rsidRDefault="007266CF" w:rsidP="007266CF">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Ustanovení čl. 92 odst. 4 písm. b) nařízení (EU) č. 575/2013. </w:t>
            </w:r>
          </w:p>
          <w:p w14:paraId="7FD7F5B8" w14:textId="77777777" w:rsidR="007266CF" w:rsidRPr="002A677E" w:rsidRDefault="007266CF" w:rsidP="007266CF">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Výsledek vynásobení kapitálových požadavků faktorem 12,5.</w:t>
            </w:r>
          </w:p>
        </w:tc>
      </w:tr>
    </w:tbl>
    <w:p w14:paraId="1BAC4F7C" w14:textId="77777777" w:rsidR="007266CF" w:rsidRPr="002A677E" w:rsidRDefault="007266CF" w:rsidP="007266CF">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7266CF" w:rsidRPr="002A677E" w14:paraId="7FD306EC" w14:textId="77777777" w:rsidTr="007266CF">
        <w:trPr>
          <w:trHeight w:val="483"/>
        </w:trPr>
        <w:tc>
          <w:tcPr>
            <w:tcW w:w="8862" w:type="dxa"/>
            <w:gridSpan w:val="2"/>
            <w:shd w:val="clear" w:color="auto" w:fill="CCCCCC"/>
          </w:tcPr>
          <w:p w14:paraId="3C72166C"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lastRenderedPageBreak/>
              <w:t>Řádky</w:t>
            </w:r>
          </w:p>
        </w:tc>
      </w:tr>
      <w:tr w:rsidR="007266CF" w:rsidRPr="002A677E" w14:paraId="3E08EFC8" w14:textId="77777777" w:rsidTr="007266CF">
        <w:tc>
          <w:tcPr>
            <w:tcW w:w="987" w:type="dxa"/>
          </w:tcPr>
          <w:p w14:paraId="5DBD75D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485E4E03"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 V KOMODITÁCH</w:t>
            </w:r>
          </w:p>
          <w:p w14:paraId="64E39690" w14:textId="77777777" w:rsidR="007266CF" w:rsidRPr="002A677E" w:rsidRDefault="007266CF" w:rsidP="007266CF">
            <w:pPr>
              <w:autoSpaceDE w:val="0"/>
              <w:autoSpaceDN w:val="0"/>
              <w:adjustRightInd w:val="0"/>
              <w:spacing w:before="0" w:after="0"/>
              <w:rPr>
                <w:rFonts w:ascii="Times New Roman" w:hAnsi="Times New Roman"/>
                <w:sz w:val="24"/>
              </w:rPr>
            </w:pPr>
          </w:p>
          <w:p w14:paraId="0A140B7A"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 xml:space="preserve">Pozice v komoditách a s nimi související kapitálové požadavky k tržnímu riziku vypočtené podle čl. 92 odst. 3 písm. c) bodu iii) nařízení (EU) č. 575/2013 a části třetí hlavy IV kapitoly 4 nařízení (EU) č. 575/2013. </w:t>
            </w:r>
          </w:p>
        </w:tc>
      </w:tr>
      <w:tr w:rsidR="007266CF" w:rsidRPr="002A677E" w14:paraId="2A6CD9B5" w14:textId="77777777" w:rsidTr="007266CF">
        <w:tc>
          <w:tcPr>
            <w:tcW w:w="987" w:type="dxa"/>
          </w:tcPr>
          <w:p w14:paraId="77E3A8C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3CF451E"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PODLE KATEGORIE KOMODITY</w:t>
            </w:r>
          </w:p>
          <w:p w14:paraId="719B73ED"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73BB37D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Komodity se pro účely vykazování seskupují do čtyř skupin uvedených v tabulce 2 v článku 361 nařízení (EU) č. 575/2013.</w:t>
            </w:r>
          </w:p>
          <w:p w14:paraId="70593C5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7266CF" w:rsidRPr="002A677E" w14:paraId="7D9ACE49" w14:textId="77777777" w:rsidTr="007266CF">
        <w:tc>
          <w:tcPr>
            <w:tcW w:w="987" w:type="dxa"/>
          </w:tcPr>
          <w:p w14:paraId="2CE8B13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75E3A195"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SPLATNOSTÍ</w:t>
            </w:r>
          </w:p>
          <w:p w14:paraId="38BAD514"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728D352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Pozice v komoditách, na něž se vztahuje metoda splatností, jak je uvedena v článku 359 nařízení (EU) č. 575/2013</w:t>
            </w:r>
          </w:p>
          <w:p w14:paraId="2E3D3804"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5F94877C" w14:textId="77777777" w:rsidTr="007266CF">
        <w:tc>
          <w:tcPr>
            <w:tcW w:w="987" w:type="dxa"/>
          </w:tcPr>
          <w:p w14:paraId="36E8C8B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1B6A158A"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ROZŠÍŘENÁ METODA SPLATNOSTÍ</w:t>
            </w:r>
          </w:p>
          <w:p w14:paraId="4FC913EB"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700DEE7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Pozice v komoditách, na něž se vztahuje rozšířená metoda splatností, jak je uvedena v článku 361 nařízení (EU) č. 575/2013</w:t>
            </w:r>
          </w:p>
          <w:p w14:paraId="6182521A"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25DABCD2" w14:textId="77777777" w:rsidTr="007266CF">
        <w:tc>
          <w:tcPr>
            <w:tcW w:w="987" w:type="dxa"/>
          </w:tcPr>
          <w:p w14:paraId="601E8A4B"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0EAC4ED1"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ZJEDNODUŠENÁ METODA</w:t>
            </w:r>
          </w:p>
          <w:p w14:paraId="03586D2A"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7260917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Pozice v komoditách, na něž se vztahuje zjednodušená metoda, jak je uvedena v článku 360 nařízení (EU) č. 575/2013 </w:t>
            </w:r>
          </w:p>
          <w:p w14:paraId="7DB863D4"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6223CC" w14:paraId="21412DDC" w14:textId="77777777" w:rsidTr="007266CF">
        <w:tc>
          <w:tcPr>
            <w:tcW w:w="987" w:type="dxa"/>
          </w:tcPr>
          <w:p w14:paraId="538A810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0385DBD8"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14:paraId="414F9435" w14:textId="77777777" w:rsidR="007266CF" w:rsidRPr="006223CC" w:rsidRDefault="007266CF" w:rsidP="007266CF">
            <w:pPr>
              <w:autoSpaceDE w:val="0"/>
              <w:autoSpaceDN w:val="0"/>
              <w:adjustRightInd w:val="0"/>
              <w:rPr>
                <w:rFonts w:ascii="Times New Roman" w:hAnsi="Times New Roman"/>
                <w:sz w:val="24"/>
                <w:lang w:val="fr-FR"/>
              </w:rPr>
            </w:pPr>
            <w:r w:rsidRPr="006223CC">
              <w:rPr>
                <w:rFonts w:ascii="Times New Roman" w:hAnsi="Times New Roman"/>
                <w:sz w:val="24"/>
                <w:lang w:val="fr-FR"/>
              </w:rPr>
              <w:t xml:space="preserve">Ustanovení čl. 358 odst. 4 nařízení (EU) č. 575/2013 </w:t>
            </w:r>
          </w:p>
          <w:p w14:paraId="24F58B93" w14:textId="77777777" w:rsidR="007266CF" w:rsidRPr="006223CC" w:rsidRDefault="007266CF" w:rsidP="007266CF">
            <w:pPr>
              <w:autoSpaceDE w:val="0"/>
              <w:autoSpaceDN w:val="0"/>
              <w:adjustRightInd w:val="0"/>
              <w:spacing w:before="0" w:after="0"/>
              <w:rPr>
                <w:rFonts w:ascii="Times New Roman" w:hAnsi="Times New Roman"/>
                <w:sz w:val="24"/>
                <w:lang w:val="fr-FR"/>
              </w:rPr>
            </w:pPr>
            <w:r w:rsidRPr="006223CC">
              <w:rPr>
                <w:rFonts w:ascii="Times New Roman" w:hAnsi="Times New Roman"/>
                <w:sz w:val="24"/>
                <w:lang w:val="fr-FR"/>
              </w:rPr>
              <w:t>Dodatečné požadavky k opcím související s jinými riziky, než jsou rizika delta, se uvádějí u metody používané k jejich výpočtu.</w:t>
            </w:r>
          </w:p>
          <w:p w14:paraId="7AF84377" w14:textId="77777777" w:rsidR="007266CF" w:rsidRPr="006223CC" w:rsidRDefault="007266CF" w:rsidP="007266CF">
            <w:pPr>
              <w:autoSpaceDE w:val="0"/>
              <w:autoSpaceDN w:val="0"/>
              <w:adjustRightInd w:val="0"/>
              <w:spacing w:before="0" w:after="0"/>
              <w:rPr>
                <w:rFonts w:ascii="Times New Roman" w:hAnsi="Times New Roman"/>
                <w:sz w:val="24"/>
                <w:lang w:val="fr-FR" w:eastAsia="de-DE"/>
              </w:rPr>
            </w:pPr>
          </w:p>
        </w:tc>
      </w:tr>
    </w:tbl>
    <w:p w14:paraId="5C890DB0" w14:textId="77777777" w:rsidR="007266CF" w:rsidRPr="006223CC" w:rsidRDefault="007266CF" w:rsidP="007266CF">
      <w:pPr>
        <w:rPr>
          <w:rFonts w:ascii="Times New Roman" w:hAnsi="Times New Roman"/>
          <w:sz w:val="24"/>
          <w:lang w:val="fr-FR"/>
        </w:rPr>
      </w:pPr>
    </w:p>
    <w:p w14:paraId="10DEFEB1" w14:textId="77777777" w:rsidR="007266CF" w:rsidRPr="002A677E" w:rsidRDefault="007266CF" w:rsidP="00A75C39">
      <w:pPr>
        <w:pStyle w:val="Instructionsberschrift2"/>
        <w:numPr>
          <w:ilvl w:val="1"/>
          <w:numId w:val="125"/>
        </w:numPr>
        <w:rPr>
          <w:rFonts w:ascii="Times New Roman" w:hAnsi="Times New Roman"/>
          <w:sz w:val="24"/>
        </w:rPr>
      </w:pPr>
      <w:bookmarkStart w:id="318" w:name="_Toc116026852"/>
      <w:bookmarkStart w:id="319" w:name="_Toc119078009"/>
      <w:r>
        <w:rPr>
          <w:rFonts w:ascii="Times New Roman" w:hAnsi="Times New Roman"/>
          <w:sz w:val="24"/>
        </w:rPr>
        <w:t>C 24.00 – Interní model pro tržní riziko</w:t>
      </w:r>
      <w:r>
        <w:t xml:space="preserve"> </w:t>
      </w:r>
      <w:r>
        <w:rPr>
          <w:rFonts w:ascii="Times New Roman" w:hAnsi="Times New Roman"/>
          <w:sz w:val="24"/>
        </w:rPr>
        <w:t>(MKR IM)</w:t>
      </w:r>
      <w:bookmarkEnd w:id="318"/>
      <w:bookmarkEnd w:id="319"/>
    </w:p>
    <w:p w14:paraId="55DD9967" w14:textId="77777777" w:rsidR="007266CF" w:rsidRPr="002A677E" w:rsidRDefault="007266CF" w:rsidP="00A75C39">
      <w:pPr>
        <w:pStyle w:val="Instructionsberschrift2"/>
        <w:numPr>
          <w:ilvl w:val="2"/>
          <w:numId w:val="126"/>
        </w:numPr>
        <w:rPr>
          <w:rFonts w:ascii="Times New Roman" w:hAnsi="Times New Roman" w:cs="Times New Roman"/>
          <w:sz w:val="24"/>
        </w:rPr>
      </w:pPr>
      <w:bookmarkStart w:id="320" w:name="_Toc116026853"/>
      <w:bookmarkStart w:id="321" w:name="_Toc119078010"/>
      <w:r>
        <w:rPr>
          <w:rFonts w:ascii="Times New Roman" w:hAnsi="Times New Roman"/>
          <w:sz w:val="24"/>
        </w:rPr>
        <w:t>Obecné poznámky</w:t>
      </w:r>
      <w:bookmarkEnd w:id="320"/>
      <w:bookmarkEnd w:id="321"/>
    </w:p>
    <w:p w14:paraId="3152DABD" w14:textId="77777777" w:rsidR="007266CF" w:rsidRPr="002A677E" w:rsidRDefault="007266CF" w:rsidP="007266CF">
      <w:pPr>
        <w:pStyle w:val="InstructionsText2"/>
        <w:numPr>
          <w:ilvl w:val="0"/>
          <w:numId w:val="0"/>
        </w:numPr>
        <w:ind w:left="1353" w:hanging="360"/>
      </w:pPr>
      <w:fldSimple w:instr=" seq paragraphs ">
        <w:r>
          <w:t>174</w:t>
        </w:r>
      </w:fldSimple>
      <w:r>
        <w:t>.</w:t>
      </w:r>
      <w:r>
        <w:tab/>
        <w:t xml:space="preserve"> V této šabloně se uvádí rozčlenění hodnot v riziku (VaR) a stresových hodnot v riziku (SVaR) podle různých tržních rizik (dluhové, akciové, měnové, komoditní) a další údaje týkající se výpočtu kapitálových požadavků.</w:t>
      </w:r>
    </w:p>
    <w:p w14:paraId="529E41BA" w14:textId="77777777" w:rsidR="007266CF" w:rsidRPr="002A677E" w:rsidRDefault="007266CF" w:rsidP="007266CF">
      <w:pPr>
        <w:pStyle w:val="InstructionsText2"/>
        <w:numPr>
          <w:ilvl w:val="0"/>
          <w:numId w:val="0"/>
        </w:numPr>
        <w:ind w:left="1353" w:hanging="360"/>
      </w:pPr>
      <w:fldSimple w:instr=" seq paragraphs ">
        <w:r>
          <w:t>175</w:t>
        </w:r>
      </w:fldSimple>
      <w:r>
        <w:t>.</w:t>
      </w:r>
      <w:r>
        <w:tab/>
        <w:t xml:space="preserve"> Z obecného hlediska závisí na struktuře modelu institucí, zda údaje k obecnému a specifickému riziku mohou být určeny a vykazovány odděleně, nebo pouze vcelku. Totéž platí pro rozčlenění VaR či stresových VaR do kategorií rizika (úrokové riziko, akciové riziko, komoditní riziko a měnové riziko). Instituce nemusí vykazovat uvedená rozčlenění, prokáže-li, že by bylo vykazování těchto údajů nepřiměřeně zatěžující. </w:t>
      </w:r>
    </w:p>
    <w:p w14:paraId="1C4C57D6" w14:textId="77777777" w:rsidR="007266CF" w:rsidRPr="002A677E" w:rsidRDefault="007266CF" w:rsidP="00A75C39">
      <w:pPr>
        <w:pStyle w:val="Instructionsberschrift2"/>
        <w:numPr>
          <w:ilvl w:val="2"/>
          <w:numId w:val="127"/>
        </w:numPr>
        <w:rPr>
          <w:rFonts w:ascii="Times New Roman" w:hAnsi="Times New Roman" w:cs="Times New Roman"/>
          <w:sz w:val="24"/>
        </w:rPr>
      </w:pPr>
      <w:bookmarkStart w:id="322" w:name="_Toc116026854"/>
      <w:bookmarkStart w:id="323" w:name="_Toc119078011"/>
      <w:r>
        <w:rPr>
          <w:rFonts w:ascii="Times New Roman" w:hAnsi="Times New Roman"/>
          <w:sz w:val="24"/>
        </w:rPr>
        <w:lastRenderedPageBreak/>
        <w:t>Pokyny pro konkrétní pozice</w:t>
      </w:r>
      <w:bookmarkEnd w:id="322"/>
      <w:bookmarkEnd w:id="3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7266CF" w:rsidRPr="002A677E" w14:paraId="1E20C63D" w14:textId="77777777" w:rsidTr="007266CF">
        <w:tc>
          <w:tcPr>
            <w:tcW w:w="8862" w:type="dxa"/>
            <w:gridSpan w:val="2"/>
            <w:shd w:val="clear" w:color="auto" w:fill="BFBFBF"/>
          </w:tcPr>
          <w:p w14:paraId="37D2695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Sloupce</w:t>
            </w:r>
          </w:p>
        </w:tc>
      </w:tr>
      <w:tr w:rsidR="007266CF" w:rsidRPr="002A677E" w14:paraId="28940B70" w14:textId="77777777" w:rsidTr="007266CF">
        <w:tc>
          <w:tcPr>
            <w:tcW w:w="993" w:type="dxa"/>
          </w:tcPr>
          <w:p w14:paraId="6A61E78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48FB156E"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Hodnota v riziku (VaR)</w:t>
            </w:r>
          </w:p>
          <w:p w14:paraId="6372076F"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Hodnotou v riziku se rozumí maximální potenciální ztráta, která by s danou pravděpodobností a ve specifikovaném časovém horizontu vznikla v důsledku změny v ceně.</w:t>
            </w:r>
          </w:p>
        </w:tc>
      </w:tr>
      <w:tr w:rsidR="007266CF" w:rsidRPr="002A677E" w14:paraId="008AA428" w14:textId="77777777" w:rsidTr="007266CF">
        <w:tc>
          <w:tcPr>
            <w:tcW w:w="993" w:type="dxa"/>
          </w:tcPr>
          <w:p w14:paraId="5287808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35BC29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Multiplikační faktor (mc) vynásobený průměrem výše VaR za předchozích 60 pracovních dnů (VaRavg)</w:t>
            </w:r>
          </w:p>
          <w:p w14:paraId="62460AFA"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fr-FR"/>
              </w:rPr>
            </w:pPr>
          </w:p>
          <w:p w14:paraId="3420020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 Ustanovení čl. 364 odst. 1 písm. a) bodu ii) a čl. 365 odst. 1 nařízení (EU) č. 575/2013 </w:t>
            </w:r>
          </w:p>
          <w:p w14:paraId="4AFA548E"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c>
      </w:tr>
      <w:tr w:rsidR="007266CF" w:rsidRPr="002A677E" w14:paraId="79A1EC49" w14:textId="77777777" w:rsidTr="007266CF">
        <w:tc>
          <w:tcPr>
            <w:tcW w:w="993" w:type="dxa"/>
          </w:tcPr>
          <w:p w14:paraId="61C83A7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5977E051"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Denní výše VaR z předchozího dne (VaRt–1)</w:t>
            </w:r>
          </w:p>
          <w:p w14:paraId="66E556BE"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fr-FR"/>
              </w:rPr>
            </w:pPr>
          </w:p>
          <w:p w14:paraId="073DB6A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364 odst. 1 písm. a) bodu i) a čl. 365 odst. 1 nařízení (EU) č. 575/2013 </w:t>
            </w:r>
          </w:p>
          <w:p w14:paraId="6593FEC6" w14:textId="77777777" w:rsidR="007266CF" w:rsidRPr="002A677E" w:rsidRDefault="007266CF" w:rsidP="007266CF">
            <w:pPr>
              <w:autoSpaceDE w:val="0"/>
              <w:autoSpaceDN w:val="0"/>
              <w:adjustRightInd w:val="0"/>
              <w:spacing w:before="0" w:after="0"/>
              <w:rPr>
                <w:rFonts w:ascii="Times New Roman" w:hAnsi="Times New Roman"/>
                <w:sz w:val="24"/>
                <w:lang w:eastAsia="nl-BE"/>
              </w:rPr>
            </w:pPr>
          </w:p>
        </w:tc>
      </w:tr>
      <w:tr w:rsidR="007266CF" w:rsidRPr="002A677E" w14:paraId="0C0DB3C8" w14:textId="77777777" w:rsidTr="007266CF">
        <w:tc>
          <w:tcPr>
            <w:tcW w:w="993" w:type="dxa"/>
          </w:tcPr>
          <w:p w14:paraId="53F29E1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1DA8801A"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Stresové VaR</w:t>
            </w:r>
          </w:p>
          <w:p w14:paraId="64471672"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16350BAD"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Stresovou hodnotou v riziku se rozumí maximální potenciální ztráta, která by s danou pravděpodobností a ve specifikovaném časovém horizontu vznikla v důsledku změny v ceně, vypočítaná za pomoci vstupních kalibrovaných historických údajů ze souvislého dvanáctiměsíčního období finanční zátěže významné pro portfolio instituce.</w:t>
            </w:r>
          </w:p>
        </w:tc>
      </w:tr>
      <w:tr w:rsidR="007266CF" w:rsidRPr="002A677E" w14:paraId="04243B48" w14:textId="77777777" w:rsidTr="007266CF">
        <w:tc>
          <w:tcPr>
            <w:tcW w:w="993" w:type="dxa"/>
          </w:tcPr>
          <w:p w14:paraId="04B6C18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722AD831"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Multiplikační faktor (ms) vynásobený průměrem výše SVaR za předchozích 60 pracovních dnů (SVaRavg)</w:t>
            </w:r>
          </w:p>
          <w:p w14:paraId="70B4B793"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p>
          <w:p w14:paraId="5FF37245" w14:textId="77777777" w:rsidR="007266CF" w:rsidRPr="002A677E" w:rsidRDefault="007266CF" w:rsidP="007266CF">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Ustanovení čl. 364 odst. 1 písm. b) bodu ii) a čl. 365 odst. 1 nařízení (EU) č. 575/2013</w:t>
            </w:r>
            <w:r>
              <w:rPr>
                <w:rStyle w:val="InstructionsTabelleberschrift"/>
                <w:rFonts w:ascii="Times New Roman" w:hAnsi="Times New Roman"/>
                <w:sz w:val="24"/>
              </w:rPr>
              <w:t xml:space="preserve"> </w:t>
            </w:r>
          </w:p>
          <w:p w14:paraId="1973A240" w14:textId="77777777" w:rsidR="007266CF" w:rsidRPr="002A677E" w:rsidRDefault="007266CF" w:rsidP="007266CF">
            <w:pPr>
              <w:autoSpaceDE w:val="0"/>
              <w:autoSpaceDN w:val="0"/>
              <w:adjustRightInd w:val="0"/>
              <w:spacing w:before="0" w:after="0"/>
              <w:rPr>
                <w:rStyle w:val="InstructionsTabelleberschrift"/>
                <w:rFonts w:ascii="Times New Roman" w:hAnsi="Times New Roman"/>
                <w:sz w:val="24"/>
              </w:rPr>
            </w:pPr>
          </w:p>
        </w:tc>
      </w:tr>
      <w:tr w:rsidR="007266CF" w:rsidRPr="002A677E" w14:paraId="6A18B732" w14:textId="77777777" w:rsidTr="007266CF">
        <w:tc>
          <w:tcPr>
            <w:tcW w:w="993" w:type="dxa"/>
          </w:tcPr>
          <w:p w14:paraId="7D02FE5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76E33600"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Poslední dostupná stresová hodnota (SVaRt-1)</w:t>
            </w:r>
          </w:p>
          <w:p w14:paraId="059B906B" w14:textId="77777777" w:rsidR="007266CF" w:rsidRPr="002A677E" w:rsidRDefault="007266CF" w:rsidP="007266CF">
            <w:pPr>
              <w:autoSpaceDE w:val="0"/>
              <w:autoSpaceDN w:val="0"/>
              <w:adjustRightInd w:val="0"/>
              <w:spacing w:before="0" w:after="0"/>
              <w:rPr>
                <w:rFonts w:ascii="Times New Roman" w:hAnsi="Times New Roman"/>
                <w:sz w:val="24"/>
              </w:rPr>
            </w:pPr>
          </w:p>
          <w:p w14:paraId="3C001A6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364 odst. 1 písm. b) bodu i) a čl. 365 odst. 1 nařízení (EU) č. 575/2013 </w:t>
            </w:r>
          </w:p>
          <w:p w14:paraId="6B02EBB0"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de-DE"/>
              </w:rPr>
            </w:pPr>
          </w:p>
        </w:tc>
      </w:tr>
      <w:tr w:rsidR="007266CF" w:rsidRPr="002A677E" w14:paraId="4EA2FA2D" w14:textId="77777777" w:rsidTr="007266CF">
        <w:tc>
          <w:tcPr>
            <w:tcW w:w="993" w:type="dxa"/>
          </w:tcPr>
          <w:p w14:paraId="5138E78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F173B9A"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K DODATEČNÉMU RIZIKU SELHÁNÍ A MIGRACE</w:t>
            </w:r>
          </w:p>
          <w:p w14:paraId="09564BB4" w14:textId="77777777" w:rsidR="007266CF" w:rsidRPr="002A677E" w:rsidRDefault="007266CF" w:rsidP="007266CF">
            <w:pPr>
              <w:rPr>
                <w:rFonts w:ascii="Times New Roman" w:hAnsi="Times New Roman"/>
                <w:b/>
                <w:bCs/>
                <w:sz w:val="24"/>
                <w:u w:val="single"/>
              </w:rPr>
            </w:pPr>
            <w:r>
              <w:rPr>
                <w:rFonts w:ascii="Times New Roman" w:hAnsi="Times New Roman"/>
                <w:sz w:val="24"/>
              </w:rPr>
              <w:t xml:space="preserve">Kapitálovým požadavkem k dodatečnému riziku selhání a migrace se rozumí maximální potenciální ztráta, která by vznikla ze změny v ceně související s rizikem selhání a migrace, vypočítaná v souladu s čl. 364 odst. 2 písm. b) ve spojení s částí třetí hlavou IV kapitolou 5 oddílem 4 nařízení (EU) č. 575/2013. </w:t>
            </w:r>
          </w:p>
        </w:tc>
      </w:tr>
      <w:tr w:rsidR="007266CF" w:rsidRPr="002A677E" w14:paraId="6E7B182F" w14:textId="77777777" w:rsidTr="007266CF">
        <w:tc>
          <w:tcPr>
            <w:tcW w:w="993" w:type="dxa"/>
          </w:tcPr>
          <w:p w14:paraId="5D647C9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730DA54B"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Průměrná hodnota za dvanáct týdnů</w:t>
            </w:r>
          </w:p>
          <w:p w14:paraId="6D8B1DA9" w14:textId="77777777" w:rsidR="007266CF" w:rsidRPr="002A677E" w:rsidRDefault="007266CF" w:rsidP="007266CF">
            <w:pPr>
              <w:autoSpaceDE w:val="0"/>
              <w:autoSpaceDN w:val="0"/>
              <w:adjustRightInd w:val="0"/>
              <w:spacing w:before="0" w:after="0"/>
              <w:rPr>
                <w:rFonts w:ascii="Times New Roman" w:hAnsi="Times New Roman"/>
                <w:sz w:val="24"/>
              </w:rPr>
            </w:pPr>
          </w:p>
          <w:p w14:paraId="0CFDE07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Ustanovení čl. 364 odst. 2 písm. b) bodu ii) ve spojení s částí třetí hlavou IV kapitolou 5 oddílem 4 nařízení (EU) č. 575/2013</w:t>
            </w:r>
          </w:p>
          <w:p w14:paraId="029A249C"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11620D20" w14:textId="77777777" w:rsidTr="007266CF">
        <w:tc>
          <w:tcPr>
            <w:tcW w:w="993" w:type="dxa"/>
          </w:tcPr>
          <w:p w14:paraId="035BC708"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72EF1D00"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Nejnovější hodnota</w:t>
            </w:r>
          </w:p>
          <w:p w14:paraId="5A387173"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42652AB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Ustanovení čl. 364 odst. 2 písm. b) bodu i) ve spojení s částí třetí hlavou IV kapitolou 5 oddílem 4 nařízení (EU) č. 575/2013</w:t>
            </w:r>
          </w:p>
          <w:p w14:paraId="3E244B1B"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24ADBA3B" w14:textId="77777777" w:rsidTr="007266CF">
        <w:tc>
          <w:tcPr>
            <w:tcW w:w="993" w:type="dxa"/>
          </w:tcPr>
          <w:p w14:paraId="799E2E9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446DFF8B"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KE VŠEM CENOVÝM RIZIKŮM V PŘÍPADĚ PORTFOLIA OBCHODOVÁNÍ S KORELACÍ</w:t>
            </w:r>
          </w:p>
          <w:p w14:paraId="4AF14340"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6223CC" w14:paraId="379BAFAE" w14:textId="77777777" w:rsidTr="007266CF">
        <w:tc>
          <w:tcPr>
            <w:tcW w:w="993" w:type="dxa"/>
          </w:tcPr>
          <w:p w14:paraId="37CE23F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7A461C28"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MINIMÁLNÍ ÚROVEŇ</w:t>
            </w:r>
          </w:p>
          <w:p w14:paraId="6EB32689" w14:textId="77777777" w:rsidR="007266CF" w:rsidRPr="006223CC" w:rsidRDefault="007266CF" w:rsidP="007266CF">
            <w:pPr>
              <w:rPr>
                <w:rFonts w:ascii="Times New Roman" w:hAnsi="Times New Roman"/>
                <w:sz w:val="24"/>
                <w:lang w:val="fr-FR"/>
              </w:rPr>
            </w:pPr>
            <w:r>
              <w:rPr>
                <w:rFonts w:ascii="Times New Roman" w:hAnsi="Times New Roman"/>
                <w:sz w:val="24"/>
              </w:rPr>
              <w:t>Ustanovení čl. 364 odst. </w:t>
            </w:r>
            <w:r w:rsidRPr="006223CC">
              <w:rPr>
                <w:rFonts w:ascii="Times New Roman" w:hAnsi="Times New Roman"/>
                <w:sz w:val="24"/>
                <w:lang w:val="fr-FR"/>
              </w:rPr>
              <w:t>3 písm. c) nařízení (EU) č. 575/2013</w:t>
            </w:r>
          </w:p>
          <w:p w14:paraId="69DA4749"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rPr>
            </w:pPr>
            <w:r w:rsidRPr="006223CC">
              <w:rPr>
                <w:rFonts w:ascii="Times New Roman" w:hAnsi="Times New Roman"/>
                <w:sz w:val="24"/>
                <w:lang w:val="fr-FR"/>
              </w:rPr>
              <w:t>8 % kapitálového požadavku, který by byl vypočten v souladu s čl. 338 odst. 1 nařízení (EU) č. 575/2013 pro všechny pozice začleněné do kapitálového požadavku ke „všem cenovým rizikům“.</w:t>
            </w:r>
            <w:r w:rsidRPr="006223CC">
              <w:rPr>
                <w:rFonts w:ascii="Times New Roman" w:hAnsi="Times New Roman"/>
                <w:b/>
                <w:sz w:val="24"/>
                <w:u w:val="single"/>
                <w:lang w:val="fr-FR"/>
              </w:rPr>
              <w:t xml:space="preserve"> </w:t>
            </w:r>
          </w:p>
          <w:p w14:paraId="75ED9C8C"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eastAsia="nl-BE"/>
              </w:rPr>
            </w:pPr>
          </w:p>
        </w:tc>
      </w:tr>
      <w:tr w:rsidR="007266CF" w:rsidRPr="002A677E" w14:paraId="57371BCB" w14:textId="77777777" w:rsidTr="007266CF">
        <w:tc>
          <w:tcPr>
            <w:tcW w:w="993" w:type="dxa"/>
          </w:tcPr>
          <w:p w14:paraId="6AAF73C2"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7F8D99A"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PRŮMĚRNÁ HODNOTA ZA DVANÁCT TÝDNŮ A NEJNOVĚJŠÍ HODNOTA</w:t>
            </w:r>
          </w:p>
          <w:p w14:paraId="50C0DA03" w14:textId="77777777" w:rsidR="007266CF" w:rsidRPr="002A677E" w:rsidRDefault="007266CF" w:rsidP="007266CF">
            <w:pPr>
              <w:autoSpaceDE w:val="0"/>
              <w:autoSpaceDN w:val="0"/>
              <w:adjustRightInd w:val="0"/>
              <w:spacing w:after="0"/>
              <w:rPr>
                <w:rFonts w:ascii="Times New Roman" w:hAnsi="Times New Roman"/>
                <w:bCs/>
                <w:sz w:val="24"/>
              </w:rPr>
            </w:pPr>
            <w:r>
              <w:rPr>
                <w:rFonts w:ascii="Times New Roman" w:hAnsi="Times New Roman"/>
                <w:sz w:val="24"/>
              </w:rPr>
              <w:t>Ustanovení čl. 364 odst. 3 písm. b) nařízení (EU) č. 575/2013</w:t>
            </w:r>
          </w:p>
          <w:p w14:paraId="1178829B" w14:textId="77777777" w:rsidR="007266CF" w:rsidRPr="002A677E" w:rsidRDefault="007266CF" w:rsidP="007266CF">
            <w:pPr>
              <w:autoSpaceDE w:val="0"/>
              <w:autoSpaceDN w:val="0"/>
              <w:adjustRightInd w:val="0"/>
              <w:spacing w:before="0" w:after="0"/>
              <w:rPr>
                <w:rFonts w:ascii="Times New Roman" w:hAnsi="Times New Roman"/>
                <w:bCs/>
                <w:sz w:val="24"/>
                <w:u w:val="single"/>
                <w:lang w:eastAsia="nl-BE"/>
              </w:rPr>
            </w:pPr>
          </w:p>
        </w:tc>
      </w:tr>
      <w:tr w:rsidR="007266CF" w:rsidRPr="006223CC" w14:paraId="5E9DFEF2" w14:textId="77777777" w:rsidTr="007266CF">
        <w:tc>
          <w:tcPr>
            <w:tcW w:w="993" w:type="dxa"/>
          </w:tcPr>
          <w:p w14:paraId="7832306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877002F" w14:textId="77777777" w:rsidR="007266CF" w:rsidRPr="002A677E" w:rsidRDefault="007266CF" w:rsidP="007266C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NEJNOVĚJŠÍ HODNOTA</w:t>
            </w:r>
          </w:p>
          <w:p w14:paraId="484EEA28" w14:textId="77777777" w:rsidR="007266CF" w:rsidRPr="006223CC" w:rsidRDefault="007266CF" w:rsidP="007266CF">
            <w:pPr>
              <w:autoSpaceDE w:val="0"/>
              <w:autoSpaceDN w:val="0"/>
              <w:adjustRightInd w:val="0"/>
              <w:spacing w:before="0" w:after="0"/>
              <w:rPr>
                <w:rFonts w:ascii="Times New Roman" w:hAnsi="Times New Roman"/>
                <w:bCs/>
                <w:sz w:val="24"/>
                <w:lang w:val="fr-FR"/>
              </w:rPr>
            </w:pPr>
            <w:r>
              <w:rPr>
                <w:rFonts w:ascii="Times New Roman" w:hAnsi="Times New Roman"/>
                <w:sz w:val="24"/>
              </w:rPr>
              <w:t>Ustanovení čl. 364 odst. </w:t>
            </w:r>
            <w:r w:rsidRPr="006223CC">
              <w:rPr>
                <w:rFonts w:ascii="Times New Roman" w:hAnsi="Times New Roman"/>
                <w:sz w:val="24"/>
                <w:lang w:val="fr-FR"/>
              </w:rPr>
              <w:t>3 písm. a) nařízení (EU) č. 575/2013</w:t>
            </w:r>
          </w:p>
          <w:p w14:paraId="1679EDA1" w14:textId="77777777" w:rsidR="007266CF" w:rsidRPr="006223CC" w:rsidRDefault="007266CF" w:rsidP="007266CF">
            <w:pPr>
              <w:autoSpaceDE w:val="0"/>
              <w:autoSpaceDN w:val="0"/>
              <w:adjustRightInd w:val="0"/>
              <w:spacing w:before="0" w:after="0"/>
              <w:rPr>
                <w:rFonts w:ascii="Times New Roman" w:hAnsi="Times New Roman"/>
                <w:b/>
                <w:bCs/>
                <w:sz w:val="24"/>
                <w:u w:val="single"/>
                <w:lang w:val="fr-FR" w:eastAsia="nl-BE"/>
              </w:rPr>
            </w:pPr>
          </w:p>
        </w:tc>
      </w:tr>
      <w:tr w:rsidR="007266CF" w:rsidRPr="002A677E" w14:paraId="62C6EDC7" w14:textId="77777777" w:rsidTr="007266CF">
        <w:tc>
          <w:tcPr>
            <w:tcW w:w="993" w:type="dxa"/>
          </w:tcPr>
          <w:p w14:paraId="6E4A725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39123B91"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KAPITÁLOVÉ POŽADAVKY</w:t>
            </w:r>
          </w:p>
          <w:p w14:paraId="0B84052B"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 xml:space="preserve">Kapitálové požadavky uvedené v článku 364 nařízení (EU) č. 575/2013, který se týká všech rizikových faktorů zohledňujících v příslušných případech i vlivy korelace a dále dodatečného rizika selhání a migrace a všech cenových rizik v případě portfolia obchodování s korelací, ovšem s vyloučením sekuritizačních kapitálových požadavků k sekuritizaci a úvěrovým derivátům n-tého selhání podle čl. 364 odst. 2 nařízení (EU) č. 575/2013 </w:t>
            </w:r>
          </w:p>
        </w:tc>
      </w:tr>
      <w:tr w:rsidR="007266CF" w:rsidRPr="002A677E" w14:paraId="5BE819FE" w14:textId="77777777" w:rsidTr="007266CF">
        <w:tc>
          <w:tcPr>
            <w:tcW w:w="993" w:type="dxa"/>
          </w:tcPr>
          <w:p w14:paraId="049CDD1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0DB51A4"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48D7CB95"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19A9E62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92 odst. 4 písm. b) nařízení (EU) č. 575/2013. </w:t>
            </w:r>
          </w:p>
          <w:p w14:paraId="25EF238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Výsledek vynásobení kapitálových požadavků faktorem 12,5</w:t>
            </w:r>
          </w:p>
          <w:p w14:paraId="62330F8A"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2152C6AF" w14:textId="77777777" w:rsidTr="007266CF">
        <w:tc>
          <w:tcPr>
            <w:tcW w:w="993" w:type="dxa"/>
          </w:tcPr>
          <w:p w14:paraId="7239FE96"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35E8AE1D" w14:textId="77777777" w:rsidR="007266CF" w:rsidRPr="002A677E" w:rsidRDefault="007266CF" w:rsidP="007266C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Počet překročení (za předchozích 250 pracovních dnů)</w:t>
            </w:r>
          </w:p>
          <w:p w14:paraId="3A6C5E7C"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Uvedeno v článku 366 nařízení (EU) č. 575/2013</w:t>
            </w:r>
          </w:p>
          <w:p w14:paraId="6A718D9E" w14:textId="77777777" w:rsidR="007266CF" w:rsidRPr="002A677E" w:rsidRDefault="007266CF" w:rsidP="007266CF">
            <w:pPr>
              <w:autoSpaceDE w:val="0"/>
              <w:autoSpaceDN w:val="0"/>
              <w:adjustRightInd w:val="0"/>
              <w:spacing w:before="0"/>
              <w:rPr>
                <w:rFonts w:ascii="Times New Roman" w:hAnsi="Times New Roman"/>
                <w:b/>
                <w:bCs/>
                <w:sz w:val="24"/>
                <w:u w:val="single"/>
              </w:rPr>
            </w:pPr>
            <w:r>
              <w:rPr>
                <w:rFonts w:ascii="Times New Roman" w:hAnsi="Times New Roman"/>
                <w:sz w:val="24"/>
              </w:rPr>
              <w:t>Vykáže se počet překročení, na jejichž základě je určen plus faktor. Pokud je institucím povoleno vyloučit určité překročení z výpočtu plus faktoru v souladu s článkem 500c nařízení (EU) č. 575/2013, očistí se počet překročení vykázaných v tomto sloupci o vyloučené překročení.</w:t>
            </w:r>
          </w:p>
        </w:tc>
      </w:tr>
      <w:tr w:rsidR="007266CF" w:rsidRPr="002A677E" w14:paraId="010F3BB1" w14:textId="77777777" w:rsidTr="007266CF">
        <w:tc>
          <w:tcPr>
            <w:tcW w:w="993" w:type="dxa"/>
          </w:tcPr>
          <w:p w14:paraId="7F9CEAB5"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E5185E" w14:textId="77777777" w:rsidR="007266CF" w:rsidRPr="002A677E" w:rsidRDefault="007266CF" w:rsidP="007266C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Multiplikační faktor VaR (mc) a multiplikační faktor SVaR (ms)</w:t>
            </w:r>
          </w:p>
          <w:p w14:paraId="0CE4964F"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Uvedeno v článku 366 nařízení (EU) č. 575/2013.</w:t>
            </w:r>
          </w:p>
          <w:p w14:paraId="3867051B" w14:textId="77777777" w:rsidR="007266CF" w:rsidRPr="002A677E" w:rsidRDefault="007266CF" w:rsidP="007266CF">
            <w:pPr>
              <w:autoSpaceDE w:val="0"/>
              <w:autoSpaceDN w:val="0"/>
              <w:adjustRightInd w:val="0"/>
              <w:spacing w:before="0" w:after="0"/>
              <w:rPr>
                <w:rStyle w:val="InstructionsTabelleberschrift"/>
              </w:rPr>
            </w:pPr>
            <w:r>
              <w:rPr>
                <w:rFonts w:ascii="Times New Roman" w:hAnsi="Times New Roman"/>
                <w:sz w:val="24"/>
              </w:rPr>
              <w:t>Vykazují se multiplikační faktory skutečně použitelné pro výpočet kapitálových požadavků; v příslušných případech po uplatnění článku 500c nařízení (EU) č. 575/2013.</w:t>
            </w:r>
          </w:p>
          <w:p w14:paraId="633B9D52"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fr-FR"/>
              </w:rPr>
            </w:pPr>
          </w:p>
        </w:tc>
      </w:tr>
      <w:tr w:rsidR="007266CF" w:rsidRPr="002A677E" w14:paraId="4B4D6A85" w14:textId="77777777" w:rsidTr="007266CF">
        <w:tc>
          <w:tcPr>
            <w:tcW w:w="993" w:type="dxa"/>
          </w:tcPr>
          <w:p w14:paraId="4071B42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6519984E"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PŘEDPOKLÁDANÝ POŽADAVEK K MINIMÁLNÍ ÚROVNI PORTFOLIA PRO OBCHODOVÁNÍ S KORELACÍ – VÁŽENÉ ČISTÉ DLOUHÉ/KRÁTKÉ POZICE PO UPLATNĚNÍ STROPU</w:t>
            </w:r>
          </w:p>
          <w:p w14:paraId="21F4E6F8" w14:textId="77777777" w:rsidR="007266CF" w:rsidRPr="002A677E" w:rsidRDefault="007266CF" w:rsidP="007266C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V částce, která mát být vykázána a slouží jako základ pro výpočet minimálního kapitálového požadavku pro všechna cenová rizika podle čl. 364 odst. 3 písm. c) nařízení (EU) č. 575/2013, se zohledňuje možnost vyplývající z článku 335 uvedeného nařízení, v němž se stanoví, že instituce může stanovit strop pro součin použité váhy a čisté pozice ve výši maximální možné ztráty související s rizikem selhání. </w:t>
            </w:r>
          </w:p>
        </w:tc>
      </w:tr>
    </w:tbl>
    <w:p w14:paraId="73FC5385" w14:textId="77777777" w:rsidR="007266CF" w:rsidRPr="002A677E" w:rsidRDefault="007266CF" w:rsidP="007266CF">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7266CF" w:rsidRPr="002A677E" w14:paraId="1DE402B1" w14:textId="77777777" w:rsidTr="007266CF">
        <w:trPr>
          <w:trHeight w:val="566"/>
        </w:trPr>
        <w:tc>
          <w:tcPr>
            <w:tcW w:w="8896" w:type="dxa"/>
            <w:gridSpan w:val="2"/>
            <w:shd w:val="clear" w:color="auto" w:fill="CCCCCC"/>
          </w:tcPr>
          <w:p w14:paraId="321D020A" w14:textId="77777777" w:rsidR="007266CF" w:rsidRPr="002A677E" w:rsidRDefault="007266CF" w:rsidP="007266CF">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7266CF" w:rsidRPr="002A677E" w14:paraId="0DB74F74" w14:textId="77777777" w:rsidTr="007266CF">
        <w:tc>
          <w:tcPr>
            <w:tcW w:w="993" w:type="dxa"/>
          </w:tcPr>
          <w:p w14:paraId="4F47F799"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16F2845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w:t>
            </w:r>
          </w:p>
          <w:p w14:paraId="70CCF78B"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024170D5" w14:textId="77777777" w:rsidR="007266CF" w:rsidRPr="002A677E" w:rsidRDefault="007266CF" w:rsidP="007266CF">
            <w:pPr>
              <w:autoSpaceDE w:val="0"/>
              <w:autoSpaceDN w:val="0"/>
              <w:adjustRightInd w:val="0"/>
              <w:spacing w:before="0"/>
              <w:rPr>
                <w:rFonts w:ascii="Times New Roman" w:hAnsi="Times New Roman"/>
                <w:sz w:val="24"/>
              </w:rPr>
            </w:pPr>
            <w:r>
              <w:rPr>
                <w:rFonts w:ascii="Times New Roman" w:hAnsi="Times New Roman"/>
                <w:sz w:val="24"/>
              </w:rPr>
              <w:t>Odpovídá té části pozičního, měnového a komoditního rizika podle čl. 363 odst. 1 nařízení (EU) č. 575/2013, která souvisí s rizikovými faktory specifikovanými v čl. 367 odst. 2 uvedeného nařízení.</w:t>
            </w:r>
          </w:p>
          <w:p w14:paraId="23924D0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Co se týče sloupců 0030 až 0060 (VaR a stresové VaR), číselné údaje v řádku s celkovou hodnotou se nerovnají rozčlenění údajů pro VaR / stresové VaR příslušných složek rizika.</w:t>
            </w:r>
          </w:p>
          <w:p w14:paraId="3EA2FC56" w14:textId="77777777" w:rsidR="007266CF" w:rsidRPr="002A677E" w:rsidRDefault="007266CF" w:rsidP="007266CF">
            <w:pPr>
              <w:autoSpaceDE w:val="0"/>
              <w:autoSpaceDN w:val="0"/>
              <w:adjustRightInd w:val="0"/>
              <w:spacing w:before="0" w:after="0"/>
              <w:rPr>
                <w:rFonts w:ascii="Times New Roman" w:hAnsi="Times New Roman"/>
                <w:sz w:val="24"/>
                <w:lang w:eastAsia="fr-FR"/>
              </w:rPr>
            </w:pPr>
          </w:p>
        </w:tc>
      </w:tr>
      <w:tr w:rsidR="007266CF" w:rsidRPr="002A677E" w14:paraId="69E5EE48" w14:textId="77777777" w:rsidTr="007266CF">
        <w:tc>
          <w:tcPr>
            <w:tcW w:w="993" w:type="dxa"/>
          </w:tcPr>
          <w:p w14:paraId="4C6FD14F"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78BD9811"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w:t>
            </w:r>
          </w:p>
          <w:p w14:paraId="1C7FB23F"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Odpovídá té části pozičního rizika podle čl. 363 odst. 1 nařízení (EU) č. 575/2013, která souvisí s rizikovými faktory odpovídajícími úrokovým mírám specifikovanými v čl. 367 odst. 2 písm. a) uvedeného nařízení.</w:t>
            </w:r>
          </w:p>
        </w:tc>
      </w:tr>
      <w:tr w:rsidR="007266CF" w:rsidRPr="002A677E" w14:paraId="44BF96F7" w14:textId="77777777" w:rsidTr="007266CF">
        <w:tc>
          <w:tcPr>
            <w:tcW w:w="993" w:type="dxa"/>
          </w:tcPr>
          <w:p w14:paraId="34F3205D"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6E2D7250"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 OBECNÉ RIZIKO</w:t>
            </w:r>
          </w:p>
          <w:p w14:paraId="608761CB" w14:textId="77777777" w:rsidR="007266CF" w:rsidRPr="002A677E" w:rsidRDefault="007266CF" w:rsidP="007266CF">
            <w:pPr>
              <w:autoSpaceDE w:val="0"/>
              <w:autoSpaceDN w:val="0"/>
              <w:adjustRightInd w:val="0"/>
              <w:rPr>
                <w:rFonts w:ascii="Times New Roman" w:hAnsi="Times New Roman"/>
                <w:sz w:val="24"/>
              </w:rPr>
            </w:pPr>
            <w:r>
              <w:rPr>
                <w:rFonts w:ascii="Times New Roman" w:hAnsi="Times New Roman"/>
                <w:sz w:val="24"/>
              </w:rPr>
              <w:t xml:space="preserve">Složka obecného rizika podle článku 362 nařízení (EU) č. 575/2013 </w:t>
            </w:r>
          </w:p>
        </w:tc>
      </w:tr>
      <w:tr w:rsidR="007266CF" w:rsidRPr="002A677E" w14:paraId="6B29187F" w14:textId="77777777" w:rsidTr="007266CF">
        <w:tc>
          <w:tcPr>
            <w:tcW w:w="993" w:type="dxa"/>
          </w:tcPr>
          <w:p w14:paraId="050F62FE"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3A5554E9"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 SPECIFICKÉ RIZIKO</w:t>
            </w:r>
          </w:p>
          <w:p w14:paraId="76A72FAE"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06DD1988"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 xml:space="preserve">Složka specifického rizika podle článku 362 nařízení (EU) č. 575/2013 </w:t>
            </w:r>
          </w:p>
        </w:tc>
      </w:tr>
      <w:tr w:rsidR="007266CF" w:rsidRPr="002A677E" w14:paraId="71BD4A38" w14:textId="77777777" w:rsidTr="007266CF">
        <w:tc>
          <w:tcPr>
            <w:tcW w:w="993" w:type="dxa"/>
          </w:tcPr>
          <w:p w14:paraId="229DB2C7"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6E052D7"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w:t>
            </w:r>
          </w:p>
          <w:p w14:paraId="36D6ADB7" w14:textId="77777777" w:rsidR="007266CF" w:rsidRPr="002A677E" w:rsidRDefault="007266CF" w:rsidP="007266CF">
            <w:pPr>
              <w:autoSpaceDE w:val="0"/>
              <w:autoSpaceDN w:val="0"/>
              <w:adjustRightInd w:val="0"/>
              <w:spacing w:before="0" w:after="0"/>
              <w:rPr>
                <w:rFonts w:ascii="Times New Roman" w:hAnsi="Times New Roman"/>
                <w:sz w:val="24"/>
                <w:lang w:eastAsia="de-DE"/>
              </w:rPr>
            </w:pPr>
          </w:p>
          <w:p w14:paraId="64D3146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 xml:space="preserve">Odpovídá té části pozičního rizika podle čl. 363 odst. 1 nařízení (EU) č. 575/2013, která souvisí s rizikovými faktory týkajícími se akcií specifikovanými v čl. 367 odst. 2 písm. c) uvedeného nařízení. </w:t>
            </w:r>
          </w:p>
          <w:p w14:paraId="10C1B158"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5634F47C" w14:textId="77777777" w:rsidTr="007266CF">
        <w:tc>
          <w:tcPr>
            <w:tcW w:w="993" w:type="dxa"/>
          </w:tcPr>
          <w:p w14:paraId="05D52A9A"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5DD00AEB"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 OBECNÉ RIZIKO</w:t>
            </w:r>
          </w:p>
          <w:p w14:paraId="113FC353"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Složka obecného rizika podle článku 362 nařízení (EU) č. 575/2013</w:t>
            </w:r>
          </w:p>
        </w:tc>
      </w:tr>
      <w:tr w:rsidR="007266CF" w:rsidRPr="002A677E" w14:paraId="6F86B707" w14:textId="77777777" w:rsidTr="007266CF">
        <w:tc>
          <w:tcPr>
            <w:tcW w:w="993" w:type="dxa"/>
          </w:tcPr>
          <w:p w14:paraId="48940EC4"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7307473F"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 SPECIFICKÉ RIZIKO</w:t>
            </w:r>
          </w:p>
          <w:p w14:paraId="7945381D"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 xml:space="preserve">Složka specifického rizika podle článku 362 nařízení (EU) č. 575/2013 </w:t>
            </w:r>
          </w:p>
        </w:tc>
      </w:tr>
      <w:tr w:rsidR="007266CF" w:rsidRPr="002A677E" w14:paraId="2AE00917" w14:textId="77777777" w:rsidTr="007266CF">
        <w:tc>
          <w:tcPr>
            <w:tcW w:w="993" w:type="dxa"/>
          </w:tcPr>
          <w:p w14:paraId="1E28898C"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14317908"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MĚNOVÉ RIZIKO</w:t>
            </w:r>
          </w:p>
          <w:p w14:paraId="48FCF216"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Ustanovení čl. 363 odst. 1 a čl. 367 odst. 2 písm. b) nařízení (EU) č. 575/2013</w:t>
            </w:r>
          </w:p>
        </w:tc>
      </w:tr>
      <w:tr w:rsidR="007266CF" w:rsidRPr="002A677E" w14:paraId="50371741" w14:textId="77777777" w:rsidTr="007266CF">
        <w:tc>
          <w:tcPr>
            <w:tcW w:w="993" w:type="dxa"/>
          </w:tcPr>
          <w:p w14:paraId="6FC97BB0"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903" w:type="dxa"/>
          </w:tcPr>
          <w:p w14:paraId="1F9B01F4"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KOMODITNÍ RIZIKO</w:t>
            </w:r>
          </w:p>
          <w:p w14:paraId="18A6C097" w14:textId="77777777" w:rsidR="007266CF" w:rsidRPr="002A677E" w:rsidRDefault="007266CF" w:rsidP="007266CF">
            <w:pPr>
              <w:autoSpaceDE w:val="0"/>
              <w:autoSpaceDN w:val="0"/>
              <w:adjustRightInd w:val="0"/>
              <w:rPr>
                <w:rFonts w:ascii="Times New Roman" w:hAnsi="Times New Roman"/>
                <w:b/>
                <w:bCs/>
                <w:sz w:val="24"/>
                <w:u w:val="single"/>
              </w:rPr>
            </w:pPr>
            <w:r>
              <w:rPr>
                <w:rFonts w:ascii="Times New Roman" w:hAnsi="Times New Roman"/>
                <w:sz w:val="24"/>
              </w:rPr>
              <w:t xml:space="preserve">Ustanovení čl. 363 odst. 1 a čl. 367 odst. 2 písm. d) nařízení (EU) č. 575/2013 </w:t>
            </w:r>
          </w:p>
        </w:tc>
      </w:tr>
      <w:tr w:rsidR="007266CF" w:rsidRPr="002A677E" w14:paraId="4E0B5AA5" w14:textId="77777777" w:rsidTr="007266CF">
        <w:tc>
          <w:tcPr>
            <w:tcW w:w="993" w:type="dxa"/>
          </w:tcPr>
          <w:p w14:paraId="6C83ED8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1C3B665A"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CELKOVÁ HODNOTA OBECNÉHO RIZIKA</w:t>
            </w:r>
          </w:p>
          <w:p w14:paraId="2DD2412B"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p w14:paraId="761AEA7B"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Tržní riziko zapříčiněné obecnými pohyby na trhu obchodovaných dluhových nástrojů, akcií, měn a komodit. VaR pro obecné riziko u všech rizikových faktorů (v příslušných případech se zohledněním vlivů korelace) </w:t>
            </w:r>
            <w:r>
              <w:rPr>
                <w:rFonts w:ascii="Times New Roman" w:hAnsi="Times New Roman"/>
                <w:b/>
                <w:sz w:val="24"/>
                <w:u w:val="single"/>
              </w:rPr>
              <w:t xml:space="preserve"> </w:t>
            </w:r>
          </w:p>
          <w:p w14:paraId="01A2650D" w14:textId="77777777" w:rsidR="007266CF" w:rsidRPr="002A677E" w:rsidRDefault="007266CF" w:rsidP="007266CF">
            <w:pPr>
              <w:autoSpaceDE w:val="0"/>
              <w:autoSpaceDN w:val="0"/>
              <w:adjustRightInd w:val="0"/>
              <w:spacing w:before="0" w:after="0"/>
              <w:rPr>
                <w:rFonts w:ascii="Times New Roman" w:hAnsi="Times New Roman"/>
                <w:b/>
                <w:bCs/>
                <w:sz w:val="24"/>
                <w:u w:val="single"/>
                <w:lang w:eastAsia="nl-BE"/>
              </w:rPr>
            </w:pPr>
          </w:p>
        </w:tc>
      </w:tr>
      <w:tr w:rsidR="007266CF" w:rsidRPr="002A677E" w14:paraId="48880094" w14:textId="77777777" w:rsidTr="007266CF">
        <w:tc>
          <w:tcPr>
            <w:tcW w:w="993" w:type="dxa"/>
          </w:tcPr>
          <w:p w14:paraId="24A14B41" w14:textId="77777777" w:rsidR="007266CF" w:rsidRPr="002A677E" w:rsidRDefault="007266CF" w:rsidP="007266CF">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5AD0BD5A" w14:textId="77777777" w:rsidR="007266CF" w:rsidRPr="002A677E" w:rsidRDefault="007266CF" w:rsidP="007266CF">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CELKOVÁ HODNOTA SPECIFICKÉHO RIZIKA</w:t>
            </w:r>
          </w:p>
          <w:p w14:paraId="14FCFD24" w14:textId="77777777" w:rsidR="007266CF" w:rsidRPr="002A677E" w:rsidRDefault="007266CF" w:rsidP="007266C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Složka specifického rizika u obchodovaných dluhových nástrojů a akcií. VaR pro specifické riziko u akcií a obchodovaných dluhových nástrojů v obchodním portfoliu (případně se zohledněním vlivů korelace)</w:t>
            </w:r>
          </w:p>
        </w:tc>
      </w:tr>
    </w:tbl>
    <w:p w14:paraId="248B17F1" w14:textId="77777777" w:rsidR="007266CF" w:rsidRPr="002A677E" w:rsidRDefault="007266CF" w:rsidP="007266CF">
      <w:pPr>
        <w:spacing w:before="0" w:after="0"/>
        <w:jc w:val="left"/>
        <w:rPr>
          <w:rStyle w:val="InstructionsTabelleText"/>
          <w:rFonts w:ascii="Times New Roman" w:hAnsi="Times New Roman"/>
          <w:sz w:val="24"/>
        </w:rPr>
      </w:pPr>
    </w:p>
    <w:p w14:paraId="07223ACB" w14:textId="77777777" w:rsidR="007266CF" w:rsidRPr="002A677E" w:rsidRDefault="007266CF" w:rsidP="00A75C39">
      <w:pPr>
        <w:pStyle w:val="Instructionsberschrift2"/>
        <w:numPr>
          <w:ilvl w:val="1"/>
          <w:numId w:val="128"/>
        </w:numPr>
        <w:rPr>
          <w:rFonts w:ascii="Times New Roman" w:hAnsi="Times New Roman" w:cs="Times New Roman"/>
          <w:sz w:val="24"/>
        </w:rPr>
      </w:pPr>
      <w:bookmarkStart w:id="324" w:name="_Toc116026855"/>
      <w:bookmarkStart w:id="325" w:name="_Toc119078012"/>
      <w:r>
        <w:rPr>
          <w:rFonts w:ascii="Times New Roman" w:hAnsi="Times New Roman"/>
          <w:sz w:val="24"/>
        </w:rPr>
        <w:t>C 25.00 – RIZIKO ÚVĚROVÝCH ÚPRAV V OCENĚNÍ</w:t>
      </w:r>
      <w:r>
        <w:t xml:space="preserve"> </w:t>
      </w:r>
      <w:r>
        <w:rPr>
          <w:rFonts w:ascii="Times New Roman" w:hAnsi="Times New Roman"/>
          <w:sz w:val="24"/>
        </w:rPr>
        <w:t>(CVA)</w:t>
      </w:r>
      <w:bookmarkEnd w:id="324"/>
      <w:bookmarkEnd w:id="325"/>
    </w:p>
    <w:p w14:paraId="473620BD" w14:textId="77777777" w:rsidR="007266CF" w:rsidRPr="002A677E" w:rsidRDefault="007266CF" w:rsidP="00A75C39">
      <w:pPr>
        <w:pStyle w:val="Instructionsberschrift2"/>
        <w:numPr>
          <w:ilvl w:val="2"/>
          <w:numId w:val="129"/>
        </w:numPr>
        <w:rPr>
          <w:rFonts w:ascii="Times New Roman" w:hAnsi="Times New Roman" w:cs="Times New Roman"/>
          <w:sz w:val="24"/>
        </w:rPr>
      </w:pPr>
      <w:bookmarkStart w:id="326" w:name="_Toc116026856"/>
      <w:bookmarkStart w:id="327" w:name="_Toc119078013"/>
      <w:r>
        <w:rPr>
          <w:rFonts w:ascii="Times New Roman" w:hAnsi="Times New Roman"/>
          <w:sz w:val="24"/>
        </w:rPr>
        <w:t>Pokyny pro konkrétní pozice</w:t>
      </w:r>
      <w:bookmarkEnd w:id="326"/>
      <w:bookmarkEnd w:id="3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266CF" w:rsidRPr="002A677E" w14:paraId="53BC47AE" w14:textId="77777777" w:rsidTr="007266CF">
        <w:tc>
          <w:tcPr>
            <w:tcW w:w="8856" w:type="dxa"/>
            <w:gridSpan w:val="2"/>
            <w:shd w:val="clear" w:color="auto" w:fill="CCCCCC"/>
          </w:tcPr>
          <w:p w14:paraId="0292C5D6" w14:textId="77777777" w:rsidR="007266CF" w:rsidRPr="002A677E" w:rsidRDefault="007266CF" w:rsidP="007266CF">
            <w:pPr>
              <w:rPr>
                <w:rFonts w:ascii="Times New Roman" w:hAnsi="Times New Roman"/>
                <w:b/>
                <w:sz w:val="24"/>
              </w:rPr>
            </w:pPr>
            <w:r>
              <w:rPr>
                <w:rFonts w:ascii="Times New Roman" w:hAnsi="Times New Roman"/>
                <w:b/>
                <w:sz w:val="24"/>
              </w:rPr>
              <w:t>Sloupce</w:t>
            </w:r>
          </w:p>
        </w:tc>
      </w:tr>
      <w:tr w:rsidR="007266CF" w:rsidRPr="002A677E" w14:paraId="77AE14E6" w14:textId="77777777" w:rsidTr="007266CF">
        <w:tc>
          <w:tcPr>
            <w:tcW w:w="852" w:type="dxa"/>
          </w:tcPr>
          <w:p w14:paraId="7916CD1B"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004" w:type="dxa"/>
          </w:tcPr>
          <w:p w14:paraId="7AC76F0E"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 xml:space="preserve">Hodnota expozice </w:t>
            </w:r>
          </w:p>
          <w:p w14:paraId="4FFC5BCE" w14:textId="77777777" w:rsidR="007266CF" w:rsidRPr="002A677E" w:rsidRDefault="007266CF" w:rsidP="007266CF">
            <w:pPr>
              <w:rPr>
                <w:rFonts w:ascii="Times New Roman" w:hAnsi="Times New Roman"/>
                <w:sz w:val="24"/>
              </w:rPr>
            </w:pPr>
            <w:r>
              <w:rPr>
                <w:rFonts w:ascii="Times New Roman" w:hAnsi="Times New Roman"/>
                <w:sz w:val="24"/>
              </w:rPr>
              <w:t>Článek 271 nařízení (EU) č. 575/2013 ve spojení s článkem 382 uvedeného nařízení.</w:t>
            </w:r>
          </w:p>
          <w:p w14:paraId="1F5AC115" w14:textId="77777777" w:rsidR="007266CF" w:rsidRPr="002A677E" w:rsidRDefault="007266CF" w:rsidP="007266CF">
            <w:pPr>
              <w:rPr>
                <w:rFonts w:ascii="Times New Roman" w:hAnsi="Times New Roman"/>
                <w:sz w:val="24"/>
              </w:rPr>
            </w:pPr>
            <w:r>
              <w:rPr>
                <w:rFonts w:ascii="Times New Roman" w:hAnsi="Times New Roman"/>
                <w:sz w:val="24"/>
              </w:rPr>
              <w:t>Celková hodnota expozice vůči selhání ze všech transakcí, které podléhají požadavku k úvěrové úpravě v ocenění.</w:t>
            </w:r>
          </w:p>
        </w:tc>
      </w:tr>
      <w:tr w:rsidR="007266CF" w:rsidRPr="002A677E" w14:paraId="3941A496" w14:textId="77777777" w:rsidTr="007266CF">
        <w:tc>
          <w:tcPr>
            <w:tcW w:w="852" w:type="dxa"/>
          </w:tcPr>
          <w:p w14:paraId="6C64A653"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004" w:type="dxa"/>
          </w:tcPr>
          <w:p w14:paraId="6C4DB835"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 xml:space="preserve">Z toho: OTC deriváty </w:t>
            </w:r>
          </w:p>
          <w:p w14:paraId="7CA0C568" w14:textId="77777777" w:rsidR="007266CF" w:rsidRPr="002A677E" w:rsidRDefault="007266CF" w:rsidP="007266CF">
            <w:pPr>
              <w:rPr>
                <w:rFonts w:ascii="Times New Roman" w:hAnsi="Times New Roman"/>
                <w:sz w:val="24"/>
              </w:rPr>
            </w:pPr>
            <w:r>
              <w:rPr>
                <w:rFonts w:ascii="Times New Roman" w:hAnsi="Times New Roman"/>
                <w:sz w:val="24"/>
              </w:rPr>
              <w:t>Článek 271 nařízení (EU) č. 575/2013 ve spojení s čl. 382 odst. 1 uvedeného nařízení.</w:t>
            </w:r>
          </w:p>
          <w:p w14:paraId="3EC2263C" w14:textId="77777777" w:rsidR="007266CF" w:rsidRPr="002A677E" w:rsidRDefault="007266CF" w:rsidP="007266CF">
            <w:pPr>
              <w:rPr>
                <w:rFonts w:ascii="Times New Roman" w:hAnsi="Times New Roman"/>
                <w:sz w:val="24"/>
              </w:rPr>
            </w:pPr>
            <w:r>
              <w:rPr>
                <w:rFonts w:ascii="Times New Roman" w:hAnsi="Times New Roman"/>
                <w:sz w:val="24"/>
              </w:rPr>
              <w:t>Část celkové expozice úvěrového rizika protistrany vyplývající pouze z OTC derivátů. Tento údaj není vyžadován od institucí používajících metodu interního modelu, které drží OTC deriváty a transakce s financováním cenných papírů ve stejné skupině transakcí se započtením.</w:t>
            </w:r>
          </w:p>
        </w:tc>
      </w:tr>
      <w:tr w:rsidR="007266CF" w:rsidRPr="002A677E" w14:paraId="16FE17F6" w14:textId="77777777" w:rsidTr="007266CF">
        <w:tc>
          <w:tcPr>
            <w:tcW w:w="852" w:type="dxa"/>
          </w:tcPr>
          <w:p w14:paraId="2653F1B3"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004" w:type="dxa"/>
          </w:tcPr>
          <w:p w14:paraId="7D6C2662"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 xml:space="preserve">Z toho: TRANSAKCE S FINANCOVÁNÍM CENNÝCH PAPÍRŮ </w:t>
            </w:r>
          </w:p>
          <w:p w14:paraId="39096CF2" w14:textId="77777777" w:rsidR="007266CF" w:rsidRPr="002A677E" w:rsidRDefault="007266CF" w:rsidP="007266CF">
            <w:pPr>
              <w:rPr>
                <w:rFonts w:ascii="Times New Roman" w:hAnsi="Times New Roman"/>
                <w:sz w:val="24"/>
              </w:rPr>
            </w:pPr>
            <w:r>
              <w:rPr>
                <w:rFonts w:ascii="Times New Roman" w:hAnsi="Times New Roman"/>
                <w:sz w:val="24"/>
              </w:rPr>
              <w:t>Článek 271 nařízení (EU) č. 575/2013 ve spojení s čl. 382 odst. 2 uvedeného nařízení</w:t>
            </w:r>
          </w:p>
          <w:p w14:paraId="39A556C2" w14:textId="77777777" w:rsidR="007266CF" w:rsidRPr="002A677E" w:rsidRDefault="007266CF" w:rsidP="007266CF">
            <w:pPr>
              <w:rPr>
                <w:rFonts w:ascii="Times New Roman" w:hAnsi="Times New Roman"/>
                <w:sz w:val="24"/>
              </w:rPr>
            </w:pPr>
            <w:r>
              <w:rPr>
                <w:rFonts w:ascii="Times New Roman" w:hAnsi="Times New Roman"/>
                <w:sz w:val="24"/>
              </w:rPr>
              <w:t>Část celkové expozice úvěrového rizika protistrany vyplývající pouze z transakcí s financováním cenných papírů. Tento údaj není vyžadován od institucí používajících metodu interního modelu, které drží OTC deriváty a transakce s financováním cenných papírů ve stejné skupině transakcí se započtením.</w:t>
            </w:r>
          </w:p>
        </w:tc>
      </w:tr>
      <w:tr w:rsidR="007266CF" w:rsidRPr="002A677E" w14:paraId="57EC95EA" w14:textId="77777777" w:rsidTr="007266CF">
        <w:tc>
          <w:tcPr>
            <w:tcW w:w="852" w:type="dxa"/>
          </w:tcPr>
          <w:p w14:paraId="2CE9F6C9"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004" w:type="dxa"/>
          </w:tcPr>
          <w:p w14:paraId="26AD3C4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MULTIPLIKAČNÍ FAKTOR (mc) VYNÁSOBENÝ PRŮMĚREM VaR ZA PŘEDCHOZÍCH 60 PRACOVNÍCH DNŮ (VaRavg)</w:t>
            </w:r>
          </w:p>
          <w:p w14:paraId="5EED9581" w14:textId="77777777" w:rsidR="007266CF" w:rsidRPr="002A677E" w:rsidRDefault="007266CF" w:rsidP="007266CF">
            <w:pPr>
              <w:rPr>
                <w:rFonts w:ascii="Times New Roman" w:hAnsi="Times New Roman"/>
                <w:sz w:val="24"/>
              </w:rPr>
            </w:pPr>
            <w:r>
              <w:rPr>
                <w:rFonts w:ascii="Times New Roman" w:hAnsi="Times New Roman"/>
                <w:sz w:val="24"/>
              </w:rPr>
              <w:lastRenderedPageBreak/>
              <w:t xml:space="preserve">Článek 383 nařízení (EU) č. 575/2013 ve spojení s čl. 363 odst. 1 písm. d) uvedeného nařízení. </w:t>
            </w:r>
          </w:p>
          <w:p w14:paraId="5B8D546C" w14:textId="77777777" w:rsidR="007266CF" w:rsidRPr="002A677E" w:rsidRDefault="007266CF" w:rsidP="007266CF">
            <w:pPr>
              <w:rPr>
                <w:rFonts w:ascii="Times New Roman" w:hAnsi="Times New Roman"/>
                <w:sz w:val="24"/>
              </w:rPr>
            </w:pPr>
            <w:r>
              <w:rPr>
                <w:rFonts w:ascii="Times New Roman" w:hAnsi="Times New Roman"/>
                <w:sz w:val="24"/>
              </w:rPr>
              <w:t xml:space="preserve">Výpočet VaR založený na interních modelech pro tržní riziko. </w:t>
            </w:r>
          </w:p>
        </w:tc>
      </w:tr>
      <w:tr w:rsidR="007266CF" w:rsidRPr="002A677E" w14:paraId="173965E7" w14:textId="77777777" w:rsidTr="007266CF">
        <w:tc>
          <w:tcPr>
            <w:tcW w:w="852" w:type="dxa"/>
          </w:tcPr>
          <w:p w14:paraId="2A401451" w14:textId="77777777" w:rsidR="007266CF" w:rsidRPr="002A677E" w:rsidRDefault="007266CF" w:rsidP="007266CF">
            <w:pPr>
              <w:rPr>
                <w:rFonts w:ascii="Times New Roman" w:hAnsi="Times New Roman"/>
                <w:sz w:val="24"/>
              </w:rPr>
            </w:pPr>
            <w:r>
              <w:rPr>
                <w:rFonts w:ascii="Times New Roman" w:hAnsi="Times New Roman"/>
                <w:sz w:val="24"/>
              </w:rPr>
              <w:lastRenderedPageBreak/>
              <w:t>0050</w:t>
            </w:r>
          </w:p>
        </w:tc>
        <w:tc>
          <w:tcPr>
            <w:tcW w:w="8004" w:type="dxa"/>
          </w:tcPr>
          <w:p w14:paraId="775826E3"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PŘEDCHOZÍ DEN (VaRt-1)</w:t>
            </w:r>
          </w:p>
          <w:p w14:paraId="0BD8CCE7" w14:textId="77777777" w:rsidR="007266CF" w:rsidRPr="002A677E" w:rsidRDefault="007266CF" w:rsidP="007266CF">
            <w:pPr>
              <w:rPr>
                <w:rFonts w:ascii="Times New Roman" w:hAnsi="Times New Roman"/>
                <w:sz w:val="24"/>
              </w:rPr>
            </w:pPr>
            <w:r>
              <w:rPr>
                <w:rFonts w:ascii="Times New Roman" w:hAnsi="Times New Roman"/>
                <w:sz w:val="24"/>
              </w:rPr>
              <w:t>Viz pokyny ke sloupci 0040.</w:t>
            </w:r>
          </w:p>
        </w:tc>
      </w:tr>
      <w:tr w:rsidR="007266CF" w:rsidRPr="002A677E" w14:paraId="71862041" w14:textId="77777777" w:rsidTr="007266CF">
        <w:tc>
          <w:tcPr>
            <w:tcW w:w="852" w:type="dxa"/>
          </w:tcPr>
          <w:p w14:paraId="10071A4D"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004" w:type="dxa"/>
          </w:tcPr>
          <w:p w14:paraId="7B88A51B"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MULTIPLIKAČNÍ FAKTOR (ms) x PRŮMĚR ZA PŘEDCHOZÍCH 60 PRACOVNÍCH DNŮ (SVaRavg)</w:t>
            </w:r>
          </w:p>
          <w:p w14:paraId="4432F24C" w14:textId="77777777" w:rsidR="007266CF" w:rsidRPr="002A677E" w:rsidRDefault="007266CF" w:rsidP="007266CF">
            <w:pPr>
              <w:rPr>
                <w:rFonts w:ascii="Times New Roman" w:hAnsi="Times New Roman"/>
                <w:sz w:val="24"/>
              </w:rPr>
            </w:pPr>
            <w:r>
              <w:rPr>
                <w:rFonts w:ascii="Times New Roman" w:hAnsi="Times New Roman"/>
                <w:sz w:val="24"/>
              </w:rPr>
              <w:t>Viz pokyny ke sloupci 0040.</w:t>
            </w:r>
          </w:p>
        </w:tc>
      </w:tr>
      <w:tr w:rsidR="007266CF" w:rsidRPr="002A677E" w14:paraId="18D5D8F2" w14:textId="77777777" w:rsidTr="007266CF">
        <w:tc>
          <w:tcPr>
            <w:tcW w:w="852" w:type="dxa"/>
          </w:tcPr>
          <w:p w14:paraId="419044DD"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004" w:type="dxa"/>
          </w:tcPr>
          <w:p w14:paraId="56AEB7D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POSLEDNÍ DOSTUPNÁ STRESOVÁ HODNOTA (SVaRt–1)</w:t>
            </w:r>
          </w:p>
          <w:p w14:paraId="07CE8520" w14:textId="77777777" w:rsidR="007266CF" w:rsidRPr="002A677E" w:rsidRDefault="007266CF" w:rsidP="007266CF">
            <w:pPr>
              <w:rPr>
                <w:rFonts w:ascii="Times New Roman" w:hAnsi="Times New Roman"/>
                <w:b/>
                <w:sz w:val="24"/>
                <w:u w:val="single"/>
              </w:rPr>
            </w:pPr>
            <w:r>
              <w:rPr>
                <w:rFonts w:ascii="Times New Roman" w:hAnsi="Times New Roman"/>
                <w:sz w:val="24"/>
              </w:rPr>
              <w:t>Viz pokyny ke sloupci 0040.</w:t>
            </w:r>
          </w:p>
        </w:tc>
      </w:tr>
      <w:tr w:rsidR="007266CF" w:rsidRPr="006223CC" w14:paraId="4AEF8C09" w14:textId="77777777" w:rsidTr="007266CF">
        <w:tc>
          <w:tcPr>
            <w:tcW w:w="852" w:type="dxa"/>
          </w:tcPr>
          <w:p w14:paraId="5EF077DB"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004" w:type="dxa"/>
          </w:tcPr>
          <w:p w14:paraId="4A32F26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POŽADAVKY NA KAPITÁL</w:t>
            </w:r>
          </w:p>
          <w:p w14:paraId="1F899409" w14:textId="77777777" w:rsidR="007266CF" w:rsidRPr="006223CC" w:rsidRDefault="007266CF" w:rsidP="007266CF">
            <w:pPr>
              <w:rPr>
                <w:rFonts w:ascii="Times New Roman" w:hAnsi="Times New Roman"/>
                <w:sz w:val="24"/>
                <w:lang w:val="fr-FR"/>
              </w:rPr>
            </w:pPr>
            <w:r>
              <w:rPr>
                <w:rFonts w:ascii="Times New Roman" w:hAnsi="Times New Roman"/>
                <w:sz w:val="24"/>
              </w:rPr>
              <w:t xml:space="preserve"> Ustanovení čl. 92 odst. </w:t>
            </w:r>
            <w:r w:rsidRPr="006223CC">
              <w:rPr>
                <w:rFonts w:ascii="Times New Roman" w:hAnsi="Times New Roman"/>
                <w:sz w:val="24"/>
                <w:lang w:val="fr-FR"/>
              </w:rPr>
              <w:t xml:space="preserve">3 písm. d) nařízení (EU) č. 575/2013. </w:t>
            </w:r>
          </w:p>
          <w:p w14:paraId="7C00EF76"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Kapitálové požadavky k riziku, které souvisí s úvěrovou úpravou v ocenění, vypočítané prostřednictvím vybrané metody.</w:t>
            </w:r>
          </w:p>
        </w:tc>
      </w:tr>
      <w:tr w:rsidR="007266CF" w:rsidRPr="002A677E" w14:paraId="37F95A3A" w14:textId="77777777" w:rsidTr="007266CF">
        <w:tc>
          <w:tcPr>
            <w:tcW w:w="852" w:type="dxa"/>
          </w:tcPr>
          <w:p w14:paraId="62DC0D02"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004" w:type="dxa"/>
          </w:tcPr>
          <w:p w14:paraId="2EEBFA7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CELKOVÝ OBJEM RIZIKOVÉ EXPOZICE</w:t>
            </w:r>
          </w:p>
          <w:p w14:paraId="2DF480EC" w14:textId="77777777" w:rsidR="007266CF" w:rsidRPr="002A677E" w:rsidRDefault="007266CF" w:rsidP="007266CF">
            <w:pPr>
              <w:rPr>
                <w:rFonts w:ascii="Times New Roman" w:hAnsi="Times New Roman"/>
                <w:sz w:val="24"/>
              </w:rPr>
            </w:pPr>
            <w:r>
              <w:rPr>
                <w:rFonts w:ascii="Times New Roman" w:hAnsi="Times New Roman"/>
                <w:sz w:val="24"/>
              </w:rPr>
              <w:t xml:space="preserve"> Ustanovení čl. 92 odst. 4 písm. b) nařízení (EU) č. 575/2013.</w:t>
            </w:r>
          </w:p>
          <w:p w14:paraId="1802A179" w14:textId="77777777" w:rsidR="007266CF" w:rsidRPr="002A677E" w:rsidRDefault="007266CF" w:rsidP="007266CF">
            <w:pPr>
              <w:rPr>
                <w:rFonts w:ascii="Times New Roman" w:hAnsi="Times New Roman"/>
                <w:sz w:val="24"/>
              </w:rPr>
            </w:pPr>
            <w:r>
              <w:rPr>
                <w:rFonts w:ascii="Times New Roman" w:hAnsi="Times New Roman"/>
                <w:sz w:val="24"/>
              </w:rPr>
              <w:t>Kapitálové požadavky vynásobené faktorem 12,5</w:t>
            </w:r>
          </w:p>
        </w:tc>
      </w:tr>
      <w:tr w:rsidR="007266CF" w:rsidRPr="002A677E" w14:paraId="32F024EF" w14:textId="77777777" w:rsidTr="007266CF">
        <w:tc>
          <w:tcPr>
            <w:tcW w:w="852" w:type="dxa"/>
          </w:tcPr>
          <w:p w14:paraId="7407308B" w14:textId="77777777" w:rsidR="007266CF" w:rsidRPr="002A677E" w:rsidRDefault="007266CF" w:rsidP="007266CF">
            <w:pPr>
              <w:rPr>
                <w:rFonts w:ascii="Times New Roman" w:hAnsi="Times New Roman"/>
                <w:sz w:val="24"/>
              </w:rPr>
            </w:pPr>
          </w:p>
        </w:tc>
        <w:tc>
          <w:tcPr>
            <w:tcW w:w="8004" w:type="dxa"/>
          </w:tcPr>
          <w:p w14:paraId="52DE3DA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Doplňkové položky</w:t>
            </w:r>
          </w:p>
        </w:tc>
      </w:tr>
      <w:tr w:rsidR="007266CF" w:rsidRPr="006223CC" w14:paraId="2D3259F0" w14:textId="77777777" w:rsidTr="007266CF">
        <w:tc>
          <w:tcPr>
            <w:tcW w:w="852" w:type="dxa"/>
          </w:tcPr>
          <w:p w14:paraId="41C5A291" w14:textId="77777777" w:rsidR="007266CF" w:rsidRPr="002A677E" w:rsidRDefault="007266CF" w:rsidP="007266CF">
            <w:pPr>
              <w:rPr>
                <w:rFonts w:ascii="Times New Roman" w:hAnsi="Times New Roman"/>
                <w:sz w:val="24"/>
              </w:rPr>
            </w:pPr>
            <w:r>
              <w:rPr>
                <w:rFonts w:ascii="Times New Roman" w:hAnsi="Times New Roman"/>
                <w:sz w:val="24"/>
              </w:rPr>
              <w:t>0100</w:t>
            </w:r>
          </w:p>
        </w:tc>
        <w:tc>
          <w:tcPr>
            <w:tcW w:w="8004" w:type="dxa"/>
          </w:tcPr>
          <w:p w14:paraId="55FA61ED" w14:textId="77777777" w:rsidR="007266CF" w:rsidRPr="006223CC" w:rsidRDefault="007266CF" w:rsidP="007266CF">
            <w:pPr>
              <w:rPr>
                <w:rFonts w:ascii="Times New Roman" w:hAnsi="Times New Roman"/>
                <w:b/>
                <w:sz w:val="24"/>
                <w:u w:val="single"/>
                <w:lang w:val="fr-FR"/>
              </w:rPr>
            </w:pPr>
            <w:r w:rsidRPr="006223CC">
              <w:rPr>
                <w:rFonts w:ascii="Times New Roman" w:hAnsi="Times New Roman"/>
                <w:b/>
                <w:sz w:val="24"/>
                <w:u w:val="single"/>
                <w:lang w:val="fr-FR"/>
              </w:rPr>
              <w:t>Počet protistran</w:t>
            </w:r>
          </w:p>
          <w:p w14:paraId="018BA55B"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Článek 382 nařízení (EU) č. 575/2013</w:t>
            </w:r>
          </w:p>
          <w:p w14:paraId="655348E2"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Počet protistran zahrnutých do výpočtu kapitálových požadavků k riziku souvisejícímu s úvěrovou úpravou v ocenění.</w:t>
            </w:r>
          </w:p>
          <w:p w14:paraId="471FE21D"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 xml:space="preserve">Protistrany představují podmnožinu dlužníků. Lze o nich uvažovat pouze v případě derivátových transakcí nebo transakcí s financováním cenných papírů, kde jsou druhou smluvní stranou. </w:t>
            </w:r>
          </w:p>
        </w:tc>
      </w:tr>
      <w:tr w:rsidR="007266CF" w:rsidRPr="002A677E" w14:paraId="2EDD4E9B" w14:textId="77777777" w:rsidTr="007266CF">
        <w:tc>
          <w:tcPr>
            <w:tcW w:w="852" w:type="dxa"/>
          </w:tcPr>
          <w:p w14:paraId="7FB11923"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004" w:type="dxa"/>
          </w:tcPr>
          <w:p w14:paraId="481E4275"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 toho: pro určení úvěrového rozpětí byl použit zástupný indikátor</w:t>
            </w:r>
          </w:p>
          <w:p w14:paraId="4BE86E53" w14:textId="77777777" w:rsidR="007266CF" w:rsidRPr="002A677E" w:rsidRDefault="007266CF" w:rsidP="007266CF">
            <w:pPr>
              <w:rPr>
                <w:rFonts w:ascii="Times New Roman" w:hAnsi="Times New Roman"/>
                <w:b/>
                <w:sz w:val="24"/>
                <w:u w:val="single"/>
              </w:rPr>
            </w:pPr>
            <w:r>
              <w:rPr>
                <w:rFonts w:ascii="Times New Roman" w:hAnsi="Times New Roman"/>
                <w:sz w:val="24"/>
              </w:rPr>
              <w:t>Počet protistran v případě, že byl pro určení úvěrového rozpětí použit zástupný indikátor namísto přímo zjištěných tržních údajů.</w:t>
            </w:r>
          </w:p>
        </w:tc>
      </w:tr>
      <w:tr w:rsidR="007266CF" w:rsidRPr="002A677E" w14:paraId="42F8CC05" w14:textId="77777777" w:rsidTr="007266CF">
        <w:tc>
          <w:tcPr>
            <w:tcW w:w="852" w:type="dxa"/>
          </w:tcPr>
          <w:p w14:paraId="7B1D4BB9" w14:textId="77777777" w:rsidR="007266CF" w:rsidRPr="002A677E" w:rsidRDefault="007266CF" w:rsidP="007266CF">
            <w:pPr>
              <w:rPr>
                <w:rFonts w:ascii="Times New Roman" w:hAnsi="Times New Roman"/>
                <w:sz w:val="24"/>
              </w:rPr>
            </w:pPr>
            <w:r>
              <w:rPr>
                <w:rFonts w:ascii="Times New Roman" w:hAnsi="Times New Roman"/>
                <w:sz w:val="24"/>
              </w:rPr>
              <w:t>0120</w:t>
            </w:r>
          </w:p>
        </w:tc>
        <w:tc>
          <w:tcPr>
            <w:tcW w:w="8004" w:type="dxa"/>
          </w:tcPr>
          <w:p w14:paraId="2DEEF9F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PODSTOUPENÉ ÚVĚROVÉ ÚPRAVY V OCENĚNÍ</w:t>
            </w:r>
          </w:p>
          <w:p w14:paraId="43F9031A" w14:textId="77777777" w:rsidR="007266CF" w:rsidRPr="002A677E" w:rsidRDefault="007266CF" w:rsidP="007266CF">
            <w:pPr>
              <w:rPr>
                <w:rFonts w:ascii="Times New Roman" w:hAnsi="Times New Roman"/>
                <w:sz w:val="24"/>
              </w:rPr>
            </w:pPr>
            <w:r>
              <w:rPr>
                <w:rFonts w:ascii="Times New Roman" w:hAnsi="Times New Roman"/>
                <w:sz w:val="24"/>
              </w:rPr>
              <w:t>Účetní rezervy v důsledku snížené úvěruschopnosti protistran v případě derivátů.</w:t>
            </w:r>
          </w:p>
        </w:tc>
      </w:tr>
      <w:tr w:rsidR="007266CF" w:rsidRPr="002A677E" w14:paraId="0AFF0447" w14:textId="77777777" w:rsidTr="007266CF">
        <w:tc>
          <w:tcPr>
            <w:tcW w:w="852" w:type="dxa"/>
          </w:tcPr>
          <w:p w14:paraId="5DB7B1E8" w14:textId="77777777" w:rsidR="007266CF" w:rsidRPr="002A677E" w:rsidRDefault="007266CF" w:rsidP="007266CF">
            <w:pPr>
              <w:rPr>
                <w:rFonts w:ascii="Times New Roman" w:hAnsi="Times New Roman"/>
                <w:sz w:val="24"/>
              </w:rPr>
            </w:pPr>
            <w:r>
              <w:rPr>
                <w:rFonts w:ascii="Times New Roman" w:hAnsi="Times New Roman"/>
                <w:sz w:val="24"/>
              </w:rPr>
              <w:t>0130</w:t>
            </w:r>
          </w:p>
        </w:tc>
        <w:tc>
          <w:tcPr>
            <w:tcW w:w="8004" w:type="dxa"/>
          </w:tcPr>
          <w:p w14:paraId="6B31062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SWAPY ÚVĚROVÉHO SELHÁNÍ NA JEDNO JMÉNO</w:t>
            </w:r>
          </w:p>
          <w:p w14:paraId="52C6873F" w14:textId="77777777" w:rsidR="007266CF" w:rsidRPr="002A677E" w:rsidRDefault="007266CF" w:rsidP="007266CF">
            <w:pPr>
              <w:rPr>
                <w:rFonts w:ascii="Times New Roman" w:hAnsi="Times New Roman"/>
                <w:sz w:val="24"/>
              </w:rPr>
            </w:pPr>
            <w:r>
              <w:rPr>
                <w:rFonts w:ascii="Times New Roman" w:hAnsi="Times New Roman"/>
                <w:sz w:val="24"/>
              </w:rPr>
              <w:t xml:space="preserve"> Ustanovení čl. 386 odst. 1 písm. a) nařízení (EU) č. 575/2013 </w:t>
            </w:r>
          </w:p>
          <w:p w14:paraId="253F5DD2" w14:textId="77777777" w:rsidR="007266CF" w:rsidRPr="002A677E" w:rsidRDefault="007266CF" w:rsidP="007266CF">
            <w:pPr>
              <w:rPr>
                <w:rFonts w:ascii="Times New Roman" w:hAnsi="Times New Roman"/>
                <w:sz w:val="24"/>
              </w:rPr>
            </w:pPr>
            <w:r>
              <w:rPr>
                <w:rFonts w:ascii="Times New Roman" w:hAnsi="Times New Roman"/>
                <w:sz w:val="24"/>
              </w:rPr>
              <w:t>Celkové pomyslné objemy swapů úvěrového selhání na jedno jméno používaných jako zajištění k riziku souvisejícímu s úvěrovou úpravou v ocenění.</w:t>
            </w:r>
          </w:p>
        </w:tc>
      </w:tr>
      <w:tr w:rsidR="007266CF" w:rsidRPr="002A677E" w14:paraId="730C9817" w14:textId="77777777" w:rsidTr="007266CF">
        <w:tc>
          <w:tcPr>
            <w:tcW w:w="852" w:type="dxa"/>
          </w:tcPr>
          <w:p w14:paraId="7453DA1A" w14:textId="77777777" w:rsidR="007266CF" w:rsidRPr="002A677E" w:rsidRDefault="007266CF" w:rsidP="007266CF">
            <w:pPr>
              <w:rPr>
                <w:rFonts w:ascii="Times New Roman" w:hAnsi="Times New Roman"/>
                <w:sz w:val="24"/>
              </w:rPr>
            </w:pPr>
            <w:r>
              <w:rPr>
                <w:rFonts w:ascii="Times New Roman" w:hAnsi="Times New Roman"/>
                <w:sz w:val="24"/>
              </w:rPr>
              <w:lastRenderedPageBreak/>
              <w:t>0140</w:t>
            </w:r>
          </w:p>
        </w:tc>
        <w:tc>
          <w:tcPr>
            <w:tcW w:w="8004" w:type="dxa"/>
          </w:tcPr>
          <w:p w14:paraId="4FE30E22"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CDS ZALOŽENÝ NA INDEXU</w:t>
            </w:r>
          </w:p>
          <w:p w14:paraId="54A1FD66" w14:textId="77777777" w:rsidR="007266CF" w:rsidRPr="002A677E" w:rsidRDefault="007266CF" w:rsidP="007266CF">
            <w:pPr>
              <w:rPr>
                <w:rFonts w:ascii="Times New Roman" w:hAnsi="Times New Roman"/>
                <w:sz w:val="24"/>
              </w:rPr>
            </w:pPr>
            <w:r>
              <w:rPr>
                <w:rFonts w:ascii="Times New Roman" w:hAnsi="Times New Roman"/>
                <w:sz w:val="24"/>
              </w:rPr>
              <w:t xml:space="preserve"> Ustanovení čl. 386 odst. 1 písm. b) nařízení (EU) č. 575/2013</w:t>
            </w:r>
          </w:p>
          <w:p w14:paraId="65832418" w14:textId="77777777" w:rsidR="007266CF" w:rsidRPr="002A677E" w:rsidRDefault="007266CF" w:rsidP="007266CF">
            <w:pPr>
              <w:rPr>
                <w:rFonts w:ascii="Times New Roman" w:hAnsi="Times New Roman"/>
                <w:b/>
                <w:sz w:val="24"/>
                <w:u w:val="single"/>
              </w:rPr>
            </w:pPr>
            <w:r>
              <w:rPr>
                <w:rFonts w:ascii="Times New Roman" w:hAnsi="Times New Roman"/>
                <w:sz w:val="24"/>
              </w:rPr>
              <w:t>Celkové pomyslné objemy swapů úvěrového selhání založených na indexu, které se používají jako zajištění k riziku souvisejícímu s úvěrovou úpravou v ocenění.</w:t>
            </w:r>
          </w:p>
        </w:tc>
      </w:tr>
    </w:tbl>
    <w:p w14:paraId="45338F5C" w14:textId="77777777" w:rsidR="007266CF" w:rsidRPr="002A677E" w:rsidRDefault="007266CF" w:rsidP="007266CF">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266CF" w:rsidRPr="002A677E" w14:paraId="7E29E3D6" w14:textId="77777777" w:rsidTr="007266CF">
        <w:tc>
          <w:tcPr>
            <w:tcW w:w="8856" w:type="dxa"/>
            <w:gridSpan w:val="2"/>
            <w:shd w:val="clear" w:color="auto" w:fill="CCCCCC"/>
          </w:tcPr>
          <w:p w14:paraId="660F9090" w14:textId="77777777" w:rsidR="007266CF" w:rsidRPr="002A677E" w:rsidRDefault="007266CF" w:rsidP="007266CF">
            <w:pPr>
              <w:rPr>
                <w:rFonts w:ascii="Times New Roman" w:hAnsi="Times New Roman"/>
                <w:b/>
                <w:sz w:val="24"/>
              </w:rPr>
            </w:pPr>
            <w:r>
              <w:rPr>
                <w:rFonts w:ascii="Times New Roman" w:hAnsi="Times New Roman"/>
                <w:b/>
                <w:sz w:val="24"/>
              </w:rPr>
              <w:t>Řádky</w:t>
            </w:r>
          </w:p>
        </w:tc>
      </w:tr>
      <w:tr w:rsidR="007266CF" w:rsidRPr="002A677E" w14:paraId="6097D208" w14:textId="77777777" w:rsidTr="007266CF">
        <w:tc>
          <w:tcPr>
            <w:tcW w:w="852" w:type="dxa"/>
          </w:tcPr>
          <w:p w14:paraId="28168ECA"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004" w:type="dxa"/>
          </w:tcPr>
          <w:p w14:paraId="0470B394"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Celkové riziko související s úvěrovou úpravou v ocenění</w:t>
            </w:r>
          </w:p>
          <w:p w14:paraId="72A5E039" w14:textId="77777777" w:rsidR="007266CF" w:rsidRPr="002A677E" w:rsidRDefault="007266CF" w:rsidP="007266CF">
            <w:pPr>
              <w:rPr>
                <w:rFonts w:ascii="Times New Roman" w:hAnsi="Times New Roman"/>
                <w:bCs/>
                <w:sz w:val="24"/>
              </w:rPr>
            </w:pPr>
            <w:r>
              <w:rPr>
                <w:rFonts w:ascii="Times New Roman" w:hAnsi="Times New Roman"/>
                <w:sz w:val="24"/>
              </w:rPr>
              <w:t>Součet řádků 0020 až 0040</w:t>
            </w:r>
          </w:p>
        </w:tc>
      </w:tr>
      <w:tr w:rsidR="007266CF" w:rsidRPr="002A677E" w14:paraId="3033D79E" w14:textId="77777777" w:rsidTr="007266CF">
        <w:tc>
          <w:tcPr>
            <w:tcW w:w="852" w:type="dxa"/>
          </w:tcPr>
          <w:p w14:paraId="3B616954" w14:textId="77777777" w:rsidR="007266CF" w:rsidRPr="002A677E" w:rsidRDefault="007266CF" w:rsidP="007266CF">
            <w:pPr>
              <w:rPr>
                <w:rFonts w:ascii="Times New Roman" w:hAnsi="Times New Roman"/>
                <w:sz w:val="24"/>
              </w:rPr>
            </w:pPr>
            <w:r>
              <w:rPr>
                <w:rFonts w:ascii="Times New Roman" w:hAnsi="Times New Roman"/>
                <w:sz w:val="24"/>
              </w:rPr>
              <w:t xml:space="preserve">0020 </w:t>
            </w:r>
          </w:p>
        </w:tc>
        <w:tc>
          <w:tcPr>
            <w:tcW w:w="8004" w:type="dxa"/>
          </w:tcPr>
          <w:p w14:paraId="23128EFD"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Pokročilá metoda</w:t>
            </w:r>
          </w:p>
          <w:p w14:paraId="1A0440BA" w14:textId="77777777" w:rsidR="007266CF" w:rsidRPr="002A677E" w:rsidRDefault="007266CF" w:rsidP="007266CF">
            <w:pPr>
              <w:rPr>
                <w:rFonts w:ascii="Times New Roman" w:hAnsi="Times New Roman"/>
                <w:bCs/>
                <w:sz w:val="24"/>
              </w:rPr>
            </w:pPr>
            <w:r>
              <w:rPr>
                <w:rFonts w:ascii="Times New Roman" w:hAnsi="Times New Roman"/>
                <w:sz w:val="24"/>
              </w:rPr>
              <w:t xml:space="preserve">Pokročilá metoda pro riziko související s úvěrovou úpravou v ocenění, jak je stanovena v článku 383 nařízení (EU) č. 575/2013 </w:t>
            </w:r>
          </w:p>
        </w:tc>
      </w:tr>
      <w:tr w:rsidR="007266CF" w:rsidRPr="002A677E" w14:paraId="7060C100" w14:textId="77777777" w:rsidTr="007266CF">
        <w:tc>
          <w:tcPr>
            <w:tcW w:w="852" w:type="dxa"/>
          </w:tcPr>
          <w:p w14:paraId="4FE39D24"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004" w:type="dxa"/>
          </w:tcPr>
          <w:p w14:paraId="6A1058A0"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Standardizovaná metoda</w:t>
            </w:r>
          </w:p>
          <w:p w14:paraId="1024D735" w14:textId="77777777" w:rsidR="007266CF" w:rsidRPr="002A677E" w:rsidRDefault="007266CF" w:rsidP="007266CF">
            <w:pPr>
              <w:rPr>
                <w:rFonts w:ascii="Times New Roman" w:hAnsi="Times New Roman"/>
                <w:bCs/>
                <w:sz w:val="24"/>
              </w:rPr>
            </w:pPr>
            <w:r>
              <w:rPr>
                <w:rFonts w:ascii="Times New Roman" w:hAnsi="Times New Roman"/>
                <w:sz w:val="24"/>
              </w:rPr>
              <w:t xml:space="preserve">Standardizovaná metoda pro riziko související s úvěrovou úpravou v ocenění, jak je stanovena v článku 384 nařízení (EU) č. 575/2013 </w:t>
            </w:r>
          </w:p>
        </w:tc>
      </w:tr>
      <w:tr w:rsidR="007266CF" w:rsidRPr="002A677E" w14:paraId="0849CA88" w14:textId="77777777" w:rsidTr="007266CF">
        <w:tc>
          <w:tcPr>
            <w:tcW w:w="852" w:type="dxa"/>
          </w:tcPr>
          <w:p w14:paraId="4AD91868"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004" w:type="dxa"/>
          </w:tcPr>
          <w:p w14:paraId="058A2DEB" w14:textId="77777777" w:rsidR="007266CF" w:rsidRPr="002A677E" w:rsidRDefault="007266CF" w:rsidP="007266CF">
            <w:pPr>
              <w:rPr>
                <w:rFonts w:ascii="Times New Roman" w:hAnsi="Times New Roman"/>
                <w:b/>
                <w:bCs/>
                <w:sz w:val="24"/>
                <w:u w:val="single"/>
              </w:rPr>
            </w:pPr>
            <w:r>
              <w:rPr>
                <w:rFonts w:ascii="Times New Roman" w:hAnsi="Times New Roman"/>
                <w:b/>
                <w:sz w:val="24"/>
                <w:u w:val="single"/>
              </w:rPr>
              <w:t>Na základě metody původní expozice</w:t>
            </w:r>
          </w:p>
          <w:p w14:paraId="21104593" w14:textId="77777777" w:rsidR="007266CF" w:rsidRPr="002A677E" w:rsidRDefault="007266CF" w:rsidP="007266CF">
            <w:pPr>
              <w:rPr>
                <w:rFonts w:ascii="Times New Roman" w:hAnsi="Times New Roman"/>
                <w:bCs/>
                <w:sz w:val="24"/>
              </w:rPr>
            </w:pPr>
            <w:r>
              <w:rPr>
                <w:rFonts w:ascii="Times New Roman" w:hAnsi="Times New Roman"/>
                <w:sz w:val="24"/>
              </w:rPr>
              <w:t>Objemy, na něž se vztahuje článek 385 nařízení (EU) č. 575/2013</w:t>
            </w:r>
          </w:p>
        </w:tc>
      </w:tr>
    </w:tbl>
    <w:p w14:paraId="11EB8ABE" w14:textId="77777777" w:rsidR="007266CF" w:rsidRPr="002A677E" w:rsidRDefault="007266CF" w:rsidP="007266CF">
      <w:pPr>
        <w:rPr>
          <w:rStyle w:val="InstructionsTabelleText"/>
          <w:rFonts w:ascii="Times New Roman" w:hAnsi="Times New Roman"/>
          <w:sz w:val="24"/>
        </w:rPr>
      </w:pPr>
    </w:p>
    <w:p w14:paraId="14364B81" w14:textId="77777777" w:rsidR="007266CF" w:rsidRPr="002A677E" w:rsidRDefault="007266CF" w:rsidP="00A75C39">
      <w:pPr>
        <w:pStyle w:val="Instructionsberschrift2"/>
        <w:numPr>
          <w:ilvl w:val="0"/>
          <w:numId w:val="130"/>
        </w:numPr>
        <w:rPr>
          <w:rFonts w:ascii="Times New Roman" w:hAnsi="Times New Roman" w:cs="Times New Roman"/>
          <w:sz w:val="24"/>
        </w:rPr>
      </w:pPr>
      <w:bookmarkStart w:id="328" w:name="_Toc116026857"/>
      <w:bookmarkStart w:id="329" w:name="_Toc119078014"/>
      <w:r>
        <w:rPr>
          <w:rFonts w:ascii="Times New Roman" w:hAnsi="Times New Roman"/>
          <w:sz w:val="24"/>
        </w:rPr>
        <w:t>Obezřetné oceňování (PruVal)</w:t>
      </w:r>
      <w:bookmarkEnd w:id="328"/>
      <w:bookmarkEnd w:id="329"/>
    </w:p>
    <w:p w14:paraId="01FB5B59" w14:textId="77777777" w:rsidR="007266CF" w:rsidRPr="002A677E" w:rsidRDefault="007266CF" w:rsidP="00A75C39">
      <w:pPr>
        <w:pStyle w:val="Instructionsberschrift2"/>
        <w:numPr>
          <w:ilvl w:val="1"/>
          <w:numId w:val="131"/>
        </w:numPr>
        <w:rPr>
          <w:rFonts w:ascii="Times New Roman" w:hAnsi="Times New Roman" w:cs="Times New Roman"/>
          <w:sz w:val="24"/>
          <w:u w:val="none"/>
        </w:rPr>
      </w:pPr>
      <w:bookmarkStart w:id="330" w:name="_Toc116026858"/>
      <w:bookmarkStart w:id="331" w:name="_Toc119078015"/>
      <w:r>
        <w:rPr>
          <w:rFonts w:ascii="Times New Roman" w:hAnsi="Times New Roman"/>
          <w:sz w:val="24"/>
        </w:rPr>
        <w:t>C 32.01 – Obezřetné oceňování: Aktiva a závazky oceňované reálnou hodnotou (PruVal 1)</w:t>
      </w:r>
      <w:bookmarkEnd w:id="330"/>
      <w:bookmarkEnd w:id="331"/>
    </w:p>
    <w:p w14:paraId="22EC23C0" w14:textId="77777777" w:rsidR="007266CF" w:rsidRPr="002A677E" w:rsidRDefault="007266CF" w:rsidP="00A75C39">
      <w:pPr>
        <w:pStyle w:val="Instructionsberschrift2"/>
        <w:numPr>
          <w:ilvl w:val="3"/>
          <w:numId w:val="132"/>
        </w:numPr>
        <w:rPr>
          <w:rFonts w:ascii="Times New Roman" w:hAnsi="Times New Roman" w:cs="Times New Roman"/>
          <w:sz w:val="24"/>
          <w:u w:val="none"/>
        </w:rPr>
      </w:pPr>
      <w:bookmarkStart w:id="332" w:name="_Toc116026859"/>
      <w:bookmarkStart w:id="333" w:name="_Toc119078016"/>
      <w:r>
        <w:rPr>
          <w:rFonts w:ascii="Times New Roman" w:hAnsi="Times New Roman"/>
          <w:sz w:val="24"/>
        </w:rPr>
        <w:t>Obecné poznámky</w:t>
      </w:r>
      <w:bookmarkEnd w:id="332"/>
      <w:bookmarkEnd w:id="333"/>
      <w:r>
        <w:rPr>
          <w:rFonts w:ascii="Times New Roman" w:hAnsi="Times New Roman"/>
          <w:sz w:val="24"/>
          <w:u w:val="none"/>
        </w:rPr>
        <w:t xml:space="preserve"> </w:t>
      </w:r>
    </w:p>
    <w:p w14:paraId="58243BFE" w14:textId="77777777" w:rsidR="007266CF" w:rsidRPr="002A677E" w:rsidRDefault="007266CF" w:rsidP="007266CF">
      <w:pPr>
        <w:pStyle w:val="InstructionsText2"/>
        <w:numPr>
          <w:ilvl w:val="0"/>
          <w:numId w:val="0"/>
        </w:numPr>
        <w:ind w:left="1353" w:hanging="360"/>
      </w:pPr>
      <w:fldSimple w:instr=" seq paragraphs ">
        <w:r>
          <w:t>176</w:t>
        </w:r>
      </w:fldSimple>
      <w:r>
        <w:t>. Tuto šablonu vyplní všechny instituce bez ohledu na to, zda pro určení dodatečných úprav ocenění („AVA“) přijaly zjednodušenou metodu. Tato šablona je vyhrazena pro absolutní hodnotu aktiv a závazků oceňovaných reálnou hodnotou, která se použije k určení toho, zda jsou splněny podmínky, které jsou pro použití zjednodušeného postupu pro určení AVA stanoveny v článku 4 nařízení Komise v přenesené pravomoci (EU) 2016/101</w:t>
      </w:r>
      <w:r>
        <w:rPr>
          <w:rStyle w:val="FootnoteReference"/>
        </w:rPr>
        <w:footnoteReference w:id="10"/>
      </w:r>
      <w:r>
        <w:t>.</w:t>
      </w:r>
    </w:p>
    <w:p w14:paraId="011E5572" w14:textId="77777777" w:rsidR="007266CF" w:rsidRPr="002A677E" w:rsidRDefault="007266CF" w:rsidP="007266CF">
      <w:pPr>
        <w:pStyle w:val="InstructionsText2"/>
        <w:numPr>
          <w:ilvl w:val="0"/>
          <w:numId w:val="0"/>
        </w:numPr>
        <w:ind w:left="1353" w:hanging="360"/>
      </w:pPr>
      <w:fldSimple w:instr=" seq paragraphs ">
        <w:r>
          <w:t>177</w:t>
        </w:r>
      </w:fldSimple>
      <w:r>
        <w:t>. V případě institucí používajících zjednodušený postup se v této šabloně uvede celková AVA, která se odečte od kapitálu podle článků 34 a 105 nařízení (EU) č. 575/2013, jak je stanoveno v článku 5 nařízení v přenesené pravomoci (EU) 2016/101, a vykáže se příslušným způsobem v řádku 0290 šablony C 01.00.</w:t>
      </w:r>
    </w:p>
    <w:p w14:paraId="03C0A58C" w14:textId="77777777" w:rsidR="007266CF" w:rsidRPr="002A677E" w:rsidRDefault="007266CF" w:rsidP="00A75C39">
      <w:pPr>
        <w:pStyle w:val="Instructionsberschrift2"/>
        <w:numPr>
          <w:ilvl w:val="3"/>
          <w:numId w:val="133"/>
        </w:numPr>
        <w:rPr>
          <w:rFonts w:ascii="Times New Roman" w:hAnsi="Times New Roman" w:cs="Times New Roman"/>
          <w:sz w:val="24"/>
          <w:u w:val="none"/>
        </w:rPr>
      </w:pPr>
      <w:bookmarkStart w:id="334" w:name="_Toc116026860"/>
      <w:bookmarkStart w:id="335" w:name="_Toc119078017"/>
      <w:r>
        <w:rPr>
          <w:rFonts w:ascii="Times New Roman" w:hAnsi="Times New Roman"/>
          <w:sz w:val="24"/>
        </w:rPr>
        <w:lastRenderedPageBreak/>
        <w:t>Pokyny pro konkrétní pozice</w:t>
      </w:r>
      <w:bookmarkEnd w:id="334"/>
      <w:bookmarkEnd w:id="335"/>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7266CF" w:rsidRPr="002A677E" w14:paraId="3EAF52BA" w14:textId="77777777" w:rsidTr="007266CF">
        <w:tc>
          <w:tcPr>
            <w:tcW w:w="9291" w:type="dxa"/>
            <w:gridSpan w:val="2"/>
            <w:shd w:val="clear" w:color="auto" w:fill="CCCCCC"/>
          </w:tcPr>
          <w:p w14:paraId="109BA901"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Sloupce</w:t>
            </w:r>
          </w:p>
        </w:tc>
      </w:tr>
      <w:tr w:rsidR="007266CF" w:rsidRPr="002A677E" w14:paraId="713ACBB7" w14:textId="77777777" w:rsidTr="007266CF">
        <w:tc>
          <w:tcPr>
            <w:tcW w:w="1101" w:type="dxa"/>
          </w:tcPr>
          <w:p w14:paraId="67058F7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B5D380B"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w:t>
            </w:r>
          </w:p>
          <w:p w14:paraId="223BF53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jak je vykázána v účetní závěrce v souladu s použitelným účetním rámcem podle čl. 4 odst. 1 nařízení v přenesené pravomoci (EU) 2016/101 před uskutečněním vyloučení podle čl. 4 odst. 2 nařízení v přenesené pravomoci (EU) 2016/101.</w:t>
            </w:r>
          </w:p>
        </w:tc>
      </w:tr>
      <w:tr w:rsidR="007266CF" w:rsidRPr="002A677E" w14:paraId="5597AB35" w14:textId="77777777" w:rsidTr="007266CF">
        <w:tc>
          <w:tcPr>
            <w:tcW w:w="1101" w:type="dxa"/>
          </w:tcPr>
          <w:p w14:paraId="77A6270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3C347257"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Z TOHO: obchodní portfolio</w:t>
            </w:r>
          </w:p>
          <w:p w14:paraId="43134700"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sz w:val="24"/>
              </w:rPr>
              <w:t xml:space="preserve">Absolutní hodnota aktiv a závazků oceňovaných reálnou hodnotou, jak je vykázána ve sloupci 010, odpovídající pozicím obchodního portfolia. </w:t>
            </w:r>
          </w:p>
        </w:tc>
      </w:tr>
      <w:tr w:rsidR="007266CF" w:rsidRPr="002A677E" w14:paraId="663BE596" w14:textId="77777777" w:rsidTr="007266CF">
        <w:tc>
          <w:tcPr>
            <w:tcW w:w="1101" w:type="dxa"/>
          </w:tcPr>
          <w:p w14:paraId="368FF2C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4B61DD63"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 VYLOUČENÉ KVŮLI ČÁSTEČNÉMU DOPADU NA KMENOVÝ KAPITÁL TIER 1</w:t>
            </w:r>
          </w:p>
          <w:p w14:paraId="04770D0A"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vyloučených podle čl. 4 odst. 2 nařízení v přenesené pravomoci (EU) 2016/101.</w:t>
            </w:r>
          </w:p>
        </w:tc>
      </w:tr>
      <w:tr w:rsidR="007266CF" w:rsidRPr="002A677E" w14:paraId="24162475" w14:textId="77777777" w:rsidTr="007266CF">
        <w:tc>
          <w:tcPr>
            <w:tcW w:w="1101" w:type="dxa"/>
          </w:tcPr>
          <w:p w14:paraId="22E3AB1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13279E60"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Přesně odpovídající</w:t>
            </w:r>
          </w:p>
          <w:p w14:paraId="71F3768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Přesně odpovídající kompenzující aktiva a závazky oceňované reálnou hodnotou a vyloučené podle čl. 4 odst. 2 nařízení v přenesené pravomoci (EU) 2016/101.</w:t>
            </w:r>
          </w:p>
        </w:tc>
      </w:tr>
      <w:tr w:rsidR="007266CF" w:rsidRPr="002A677E" w14:paraId="7B1BD53C" w14:textId="77777777" w:rsidTr="007266CF">
        <w:tc>
          <w:tcPr>
            <w:tcW w:w="1101" w:type="dxa"/>
          </w:tcPr>
          <w:p w14:paraId="00815E1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7E02898A"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Zajišťovací účetnictví</w:t>
            </w:r>
          </w:p>
          <w:p w14:paraId="42636B6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 pozic, na které se podle použitelného účetního rámce vztahuje zajišťovací účetnictví, absolutní hodnota aktiv a závazků oceňovaných reálnou hodnotou vyloučených proporcionálně podle dopadu příslušné změny ocenění na kmenový kapitál tier 1 v souladu s čl. 4 odst. 2 nařízení v přenesené pravomoci (EU) 2016/101.</w:t>
            </w:r>
          </w:p>
        </w:tc>
      </w:tr>
      <w:tr w:rsidR="007266CF" w:rsidRPr="002A677E" w14:paraId="7C2F4962" w14:textId="77777777" w:rsidTr="007266CF">
        <w:tc>
          <w:tcPr>
            <w:tcW w:w="1101" w:type="dxa"/>
          </w:tcPr>
          <w:p w14:paraId="75D04CF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532493FD" w14:textId="77777777" w:rsidR="007266CF" w:rsidRPr="002A677E" w:rsidRDefault="007266CF" w:rsidP="007266CF">
            <w:pPr>
              <w:spacing w:beforeLines="60" w:before="144" w:afterLines="60" w:after="144"/>
              <w:rPr>
                <w:rFonts w:ascii="Times New Roman" w:hAnsi="Times New Roman"/>
                <w:b/>
                <w:caps/>
                <w:sz w:val="24"/>
              </w:rPr>
            </w:pPr>
            <w:r>
              <w:rPr>
                <w:rFonts w:ascii="Times New Roman" w:hAnsi="Times New Roman"/>
                <w:b/>
                <w:caps/>
                <w:sz w:val="24"/>
                <w:u w:val="single"/>
              </w:rPr>
              <w:t xml:space="preserve">OBEZŘETNOSTNÍ filtry </w:t>
            </w:r>
          </w:p>
          <w:p w14:paraId="3D4E340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vyloučených podle čl. 4 odst. 2 nařízení v přenesené pravomoci (EU) 2016/101 z důvodu přechodného použití obezřetnostních filtrů uvedených v článcích 467 a 468 nařízení (EU) č. 575/2013</w:t>
            </w:r>
          </w:p>
        </w:tc>
      </w:tr>
      <w:tr w:rsidR="007266CF" w:rsidRPr="002A677E" w14:paraId="024A985B" w14:textId="77777777" w:rsidTr="007266CF">
        <w:tc>
          <w:tcPr>
            <w:tcW w:w="1101" w:type="dxa"/>
          </w:tcPr>
          <w:p w14:paraId="3D1F281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6F50EA91"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Ostatní</w:t>
            </w:r>
          </w:p>
          <w:p w14:paraId="0E43A71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Veškeré další pozice vyloučené podle čl. 4 odst. 2 nařízení v přenesené pravomoci (EU) 2016/101 z důvodu úprav jejich účetní hodnoty s pouze poměrným dopadem na kmenový kapitál tier 1</w:t>
            </w:r>
          </w:p>
          <w:p w14:paraId="546D5B0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Tento řádek se vyplní pouze v řídkých případech, kdy prvky vyloučené podle čl. 4 odst. 2 nařízení v přenesené pravomoci (EU) 2016/101 nelze vykázat ve sloupcích 0030, 0040 nebo 0050 této šablony.</w:t>
            </w:r>
          </w:p>
        </w:tc>
      </w:tr>
      <w:tr w:rsidR="007266CF" w:rsidRPr="002A677E" w14:paraId="21A82790" w14:textId="77777777" w:rsidTr="007266CF">
        <w:tc>
          <w:tcPr>
            <w:tcW w:w="1101" w:type="dxa"/>
          </w:tcPr>
          <w:p w14:paraId="02C388F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226B390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b/>
                <w:caps/>
                <w:sz w:val="24"/>
                <w:u w:val="single"/>
              </w:rPr>
              <w:t>Komentář k ostatnímu</w:t>
            </w:r>
            <w:r>
              <w:rPr>
                <w:rFonts w:ascii="Times New Roman" w:hAnsi="Times New Roman"/>
                <w:sz w:val="24"/>
              </w:rPr>
              <w:t xml:space="preserve"> </w:t>
            </w:r>
          </w:p>
          <w:p w14:paraId="06771689"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sz w:val="24"/>
              </w:rPr>
              <w:t>Uvedou se hlavní důvody, proč byly pozice vykázané ve sloupci 0060 vyloučeny.</w:t>
            </w:r>
          </w:p>
        </w:tc>
      </w:tr>
      <w:tr w:rsidR="007266CF" w:rsidRPr="002A677E" w14:paraId="5CCCD90C" w14:textId="77777777" w:rsidTr="007266CF">
        <w:tc>
          <w:tcPr>
            <w:tcW w:w="1101" w:type="dxa"/>
          </w:tcPr>
          <w:p w14:paraId="4B02961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D446425"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 zahrnuté do limitu uvedeného v čl. 4 odst. 1</w:t>
            </w:r>
          </w:p>
          <w:p w14:paraId="03C2A1FB"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skutečně zahrnutá do výpočtu prahové hodnoty podle čl. 4 odst. 1 nařízení v přenesené pravomoci (EU) 2016/101.</w:t>
            </w:r>
          </w:p>
        </w:tc>
      </w:tr>
      <w:tr w:rsidR="007266CF" w:rsidRPr="002A677E" w14:paraId="1B6714C3" w14:textId="77777777" w:rsidTr="007266CF">
        <w:tc>
          <w:tcPr>
            <w:tcW w:w="1101" w:type="dxa"/>
          </w:tcPr>
          <w:p w14:paraId="39AF8A6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1E5DAAF3"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Z TOHO: obchodní portfolio</w:t>
            </w:r>
          </w:p>
          <w:p w14:paraId="0A73E6BA"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jak je vykázána ve sloupci 0080, odpovídající pozicím obchodního portfolia.</w:t>
            </w:r>
          </w:p>
        </w:tc>
      </w:tr>
    </w:tbl>
    <w:p w14:paraId="5C94303D" w14:textId="77777777" w:rsidR="007266CF" w:rsidRPr="002A677E" w:rsidRDefault="007266CF" w:rsidP="007266CF">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7266CF" w:rsidRPr="002A677E" w14:paraId="2102DF95" w14:textId="77777777" w:rsidTr="007266CF">
        <w:tc>
          <w:tcPr>
            <w:tcW w:w="9291" w:type="dxa"/>
            <w:gridSpan w:val="2"/>
            <w:shd w:val="clear" w:color="auto" w:fill="CCCCCC"/>
          </w:tcPr>
          <w:p w14:paraId="3C0B853A"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Řádky</w:t>
            </w:r>
          </w:p>
        </w:tc>
      </w:tr>
      <w:tr w:rsidR="007266CF" w:rsidRPr="002A677E" w14:paraId="05AFE917" w14:textId="77777777" w:rsidTr="007266CF">
        <w:tc>
          <w:tcPr>
            <w:tcW w:w="1101" w:type="dxa"/>
          </w:tcPr>
          <w:p w14:paraId="064824F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18BF807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Definice těchto kategorií odpovídají definicím pro odpovídající řádky v šabloně FINREP 1.1 a 1.2. </w:t>
            </w:r>
          </w:p>
        </w:tc>
      </w:tr>
      <w:tr w:rsidR="007266CF" w:rsidRPr="002A677E" w14:paraId="148937C1" w14:textId="77777777" w:rsidTr="007266CF">
        <w:tc>
          <w:tcPr>
            <w:tcW w:w="1101" w:type="dxa"/>
          </w:tcPr>
          <w:p w14:paraId="488DD00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03717622"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 AKTIVA A ZÁVAZKY OCEŇOVANÉ REÁLNOU HODNOTOU CELKEM</w:t>
            </w:r>
          </w:p>
          <w:p w14:paraId="32CD9992"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Součet aktiv a závazků oceňovaných reálnou hodnotou vykázaných v řádcích 0020 až 0210.</w:t>
            </w:r>
          </w:p>
        </w:tc>
      </w:tr>
      <w:tr w:rsidR="007266CF" w:rsidRPr="002A677E" w14:paraId="5B921C65" w14:textId="77777777" w:rsidTr="007266CF">
        <w:tc>
          <w:tcPr>
            <w:tcW w:w="1101" w:type="dxa"/>
          </w:tcPr>
          <w:p w14:paraId="6F2CA60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EEB30BE"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 AKTIVA OCEŇOVANÁ REÁLNOU HODNOTOU CELKEM</w:t>
            </w:r>
          </w:p>
          <w:p w14:paraId="3FB9B1C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Součet aktiv oceňovaných reálnou hodnotou vykázaných v řádcích 0030 až 0140. </w:t>
            </w:r>
          </w:p>
          <w:p w14:paraId="51E6077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Příslušné buňky řádků 0030 až 0130 se vykazují v souladu s šablonou FINREP F 01.01 přílohy III a IV tohoto prováděcího nařízení podle použitelných standardů instituce, jimiž jsou:</w:t>
            </w:r>
          </w:p>
          <w:p w14:paraId="00B86654" w14:textId="77777777" w:rsidR="007266CF" w:rsidRPr="002A677E" w:rsidRDefault="007266CF" w:rsidP="00A75C39">
            <w:pPr>
              <w:pStyle w:val="ListParagraph"/>
              <w:numPr>
                <w:ilvl w:val="0"/>
                <w:numId w:val="21"/>
              </w:numPr>
              <w:spacing w:beforeLines="60" w:before="144" w:afterLines="60" w:after="144"/>
              <w:rPr>
                <w:rFonts w:ascii="Times New Roman" w:hAnsi="Times New Roman"/>
                <w:sz w:val="24"/>
              </w:rPr>
            </w:pPr>
            <w:r>
              <w:rPr>
                <w:rFonts w:ascii="Times New Roman" w:hAnsi="Times New Roman"/>
                <w:sz w:val="24"/>
              </w:rPr>
              <w:t>IFRS přijaté Unií při používání nařízení Evropského parlamentu a Rady (ES) č. 1606/2002 („EU IFRS“)</w:t>
            </w:r>
            <w:r>
              <w:rPr>
                <w:rStyle w:val="FootnoteReference"/>
                <w:rFonts w:ascii="Times New Roman" w:hAnsi="Times New Roman"/>
                <w:sz w:val="20"/>
                <w:szCs w:val="20"/>
                <w:vertAlign w:val="superscript"/>
              </w:rPr>
              <w:footnoteReference w:id="11"/>
            </w:r>
            <w:r>
              <w:rPr>
                <w:rFonts w:ascii="Times New Roman" w:hAnsi="Times New Roman"/>
                <w:sz w:val="24"/>
              </w:rPr>
              <w:t>,</w:t>
            </w:r>
          </w:p>
          <w:p w14:paraId="3D3A43B0" w14:textId="77777777" w:rsidR="007266CF" w:rsidRPr="002A677E" w:rsidRDefault="007266CF" w:rsidP="00A75C39">
            <w:pPr>
              <w:pStyle w:val="ListParagraph"/>
              <w:numPr>
                <w:ilvl w:val="0"/>
                <w:numId w:val="21"/>
              </w:numPr>
              <w:spacing w:beforeLines="60" w:before="144" w:afterLines="60" w:after="144"/>
              <w:rPr>
                <w:rFonts w:ascii="Times New Roman" w:hAnsi="Times New Roman"/>
                <w:sz w:val="24"/>
              </w:rPr>
            </w:pPr>
            <w:r>
              <w:rPr>
                <w:rFonts w:ascii="Times New Roman" w:hAnsi="Times New Roman"/>
                <w:sz w:val="24"/>
              </w:rPr>
              <w:t>vnitrostátní účetní standardy kompatibilní s EU IFRS („národní GAAP kompatibilní s IFRS“) nebo</w:t>
            </w:r>
          </w:p>
          <w:p w14:paraId="7F437FFD" w14:textId="77777777" w:rsidR="007266CF" w:rsidRPr="002A677E" w:rsidRDefault="007266CF" w:rsidP="00A75C39">
            <w:pPr>
              <w:pStyle w:val="ListParagraph"/>
              <w:numPr>
                <w:ilvl w:val="0"/>
                <w:numId w:val="21"/>
              </w:numPr>
              <w:spacing w:beforeLines="60" w:before="144" w:afterLines="60" w:after="144"/>
              <w:rPr>
                <w:rFonts w:ascii="Times New Roman" w:hAnsi="Times New Roman"/>
                <w:sz w:val="24"/>
              </w:rPr>
            </w:pPr>
            <w:r>
              <w:rPr>
                <w:rFonts w:ascii="Times New Roman" w:hAnsi="Times New Roman"/>
                <w:sz w:val="24"/>
              </w:rPr>
              <w:t>národní GAAP založené na směrnici Rady 86/635/EHS (FINREP „národní GAAP založené na směrnici 86/635/EHS“).</w:t>
            </w:r>
          </w:p>
        </w:tc>
      </w:tr>
      <w:tr w:rsidR="007266CF" w:rsidRPr="002A677E" w14:paraId="64078D22" w14:textId="77777777" w:rsidTr="007266CF">
        <w:tc>
          <w:tcPr>
            <w:tcW w:w="1101" w:type="dxa"/>
          </w:tcPr>
          <w:p w14:paraId="0F5848E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8F18336"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 FINANČNÍ AKTIVA K OBCHODOVÁNÍ</w:t>
            </w:r>
          </w:p>
          <w:p w14:paraId="7443786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IFRS 9 Dodatek A.</w:t>
            </w:r>
          </w:p>
          <w:p w14:paraId="5B6F9DD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Informace vykázaná v tomto řádku odpovídá řádku 0050 šablony F 01.01 příloh III a IV tohoto prováděcího nařízení.</w:t>
            </w:r>
          </w:p>
        </w:tc>
      </w:tr>
      <w:tr w:rsidR="007266CF" w:rsidRPr="002A677E" w14:paraId="72FBEC75" w14:textId="77777777" w:rsidTr="007266CF">
        <w:tc>
          <w:tcPr>
            <w:tcW w:w="1101" w:type="dxa"/>
          </w:tcPr>
          <w:p w14:paraId="10BE427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6E09C040"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1.1.2 OBCHODOVATELNÁ FINANČNÍ AKTIVA</w:t>
            </w:r>
          </w:p>
          <w:p w14:paraId="0721475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Články 32 a 33 směrnice Rady 86/635/EHS; příloha V část 1.17 tohoto prováděcího nařízení </w:t>
            </w:r>
          </w:p>
          <w:p w14:paraId="22BACA9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Informace vykázaná v tomto řádku odpovídá aktivům oceněným reálnou hodnotou, která jsou zahrnuta do hodnoty vykázané v řádku 0091 šablony F 01.01 příloh III a IV tohoto prováděcího nařízení.</w:t>
            </w:r>
          </w:p>
        </w:tc>
      </w:tr>
      <w:tr w:rsidR="007266CF" w:rsidRPr="002A677E" w14:paraId="00CB3BA9" w14:textId="77777777" w:rsidTr="007266CF">
        <w:tc>
          <w:tcPr>
            <w:tcW w:w="1101" w:type="dxa"/>
          </w:tcPr>
          <w:p w14:paraId="45AB354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54278024"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 xml:space="preserve">1.1.3 NEOBCHODNÍ FINANČNÍ AKTIVA POVINNĚ OCEŇOVANÁ REÁLNOU HODNOTOU VYKÁZANOU DO ZISKU NEBO ZTRÁTY </w:t>
            </w:r>
          </w:p>
          <w:p w14:paraId="0A6BCA6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IFRS 7 odst. 8 písm. a) bod ii); IFRS 9 odst. 4.1.4 </w:t>
            </w:r>
          </w:p>
          <w:p w14:paraId="643FDB41"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0096 šablony F 01.01 příloh III a IV tohoto prováděcího nařízení.</w:t>
            </w:r>
          </w:p>
        </w:tc>
      </w:tr>
      <w:tr w:rsidR="007266CF" w:rsidRPr="002A677E" w14:paraId="08C9A313" w14:textId="77777777" w:rsidTr="007266CF">
        <w:tc>
          <w:tcPr>
            <w:tcW w:w="1101" w:type="dxa"/>
          </w:tcPr>
          <w:p w14:paraId="0FBC7D3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D1C7103"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1.1.4 FINANČNÍ AKTIVA V REÁLNÉ HODNOTĚ VYKÁZANÉ DO ZISKU NEBO ZTRÁTY</w:t>
            </w:r>
          </w:p>
          <w:p w14:paraId="572850C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IFRS 7 odst. 8 písm. a) bod i); IFRS 9 odst. 4.1.5; Ustanovení čl. 8 odst. 1 písm. a) a čl. 8 odst. 6 směrnice 2013/34/EU</w:t>
            </w:r>
          </w:p>
          <w:p w14:paraId="40AEB10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Informace vykázaná v tomto řádku odpovídá řádku 0100 šablony F 01.01 příloh III a IV tohoto prováděcího nařízení.</w:t>
            </w:r>
          </w:p>
        </w:tc>
      </w:tr>
      <w:tr w:rsidR="007266CF" w:rsidRPr="002A677E" w14:paraId="1B8A20EE" w14:textId="77777777" w:rsidTr="007266CF">
        <w:tc>
          <w:tcPr>
            <w:tcW w:w="1101" w:type="dxa"/>
          </w:tcPr>
          <w:p w14:paraId="3A81C15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EE39567"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FINANČNÍ AKTIVA OCEŇOVANÁ REÁLNOU HODNOTOU VYKÁZANOU DO OSTATNÍHO ÚPLNÉHO VÝSLEDKU</w:t>
            </w:r>
          </w:p>
          <w:p w14:paraId="1BE765F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IFRS 7 odst. 8 písm. h); IFRS 9 odst. 4.1.2A</w:t>
            </w:r>
          </w:p>
          <w:p w14:paraId="17405F0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Informace vykázaná v tomto řádku odpovídá řádku 0141 šablony F 01.01 příloh III a IV tohoto prováděcího nařízení.</w:t>
            </w:r>
          </w:p>
        </w:tc>
      </w:tr>
      <w:tr w:rsidR="007266CF" w:rsidRPr="002A677E" w14:paraId="506D3FE3" w14:textId="77777777" w:rsidTr="007266CF">
        <w:tc>
          <w:tcPr>
            <w:tcW w:w="1101" w:type="dxa"/>
          </w:tcPr>
          <w:p w14:paraId="1D1E035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372A88D"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1.1.6 NEOBCHODNÍ NEDERIVÁTOVÁ FINANČNÍ AKTIVA V REÁLNÉ HODNOTĚ VYKÁZANÉ DO ZISKU NEBO ZTRÁTY</w:t>
            </w:r>
          </w:p>
          <w:p w14:paraId="00B8E671"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Ustanovení čl. 36 odst. 2 směrnice Rady 86/635/EHS. Informace vykázaná v tomto řádku odpovídá řádku 0171 šablony F 01.01 příloh III a IV tohoto prováděcího nařízení.</w:t>
            </w:r>
          </w:p>
        </w:tc>
      </w:tr>
      <w:tr w:rsidR="007266CF" w:rsidRPr="002A677E" w14:paraId="375688D4" w14:textId="77777777" w:rsidTr="007266CF">
        <w:tc>
          <w:tcPr>
            <w:tcW w:w="1101" w:type="dxa"/>
          </w:tcPr>
          <w:p w14:paraId="0A38C23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3E7F28EC"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1.1.7 NEOBCHODNÍ NEDERIVÁTOVÁ FINANČNÍ AKTIVA V REÁLNÉ HODNOTĚ ZAÚČTOVANÉ DO VLASTNÍHO KAPITÁLU</w:t>
            </w:r>
          </w:p>
          <w:p w14:paraId="2F51AC0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Ustanovení čl. 8 odst. 1 písm. a) a čl. 8 odst. 8 směrnice 2013/34/EU  </w:t>
            </w:r>
          </w:p>
          <w:p w14:paraId="6B40FDD3"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0175 šablony F 01.01 příloh III a IV tohoto prováděcího nařízení.</w:t>
            </w:r>
          </w:p>
        </w:tc>
      </w:tr>
      <w:tr w:rsidR="007266CF" w:rsidRPr="002A677E" w14:paraId="4347F489" w14:textId="77777777" w:rsidTr="007266CF">
        <w:tc>
          <w:tcPr>
            <w:tcW w:w="1101" w:type="dxa"/>
          </w:tcPr>
          <w:p w14:paraId="0DCC0C8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80A4766"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1.1.8 OSTATNÍ NEOBCHODNÍ NEDERIVÁTOVÁ FINANČNÍ AKTIVA</w:t>
            </w:r>
          </w:p>
          <w:p w14:paraId="6D620D8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Článek 37 směrnice Rady 86/635/EHS; čl. 12 odst. 7 směrnice 2013/34/EU; příloha V část 1.20 tohoto prováděcího nařízení</w:t>
            </w:r>
          </w:p>
          <w:p w14:paraId="65AD454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Informace vykázaná v tomto řádku odpovídá aktivům oceněným reálnou hodnotou, která jsou zahrnuta do hodnoty vykázané v řádku 0234 šablony F 01.01 příloh III a IV tohoto prováděcího nařízení.</w:t>
            </w:r>
          </w:p>
        </w:tc>
      </w:tr>
      <w:tr w:rsidR="007266CF" w:rsidRPr="002A677E" w14:paraId="66B969BD" w14:textId="77777777" w:rsidTr="007266CF">
        <w:tc>
          <w:tcPr>
            <w:tcW w:w="1101" w:type="dxa"/>
          </w:tcPr>
          <w:p w14:paraId="3A7CFEA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14:paraId="6841AF5E"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1.1.9 DERIVÁTY – ZAJIŠŤOVACÍ ÚČETNICTVÍ</w:t>
            </w:r>
          </w:p>
          <w:p w14:paraId="3AF1A88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IFRS 9 odst. 6.2.1; příloha V část 1.22 tohoto prováděcího nařízení;  ustanovení čl. 8 odst. 1 písm. a) a čl. 8 odst. 6 a 8 směrnice 2013/34/EU; IAS 39 odst. 9</w:t>
            </w:r>
          </w:p>
          <w:p w14:paraId="63DB14C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Informace vykázaná v tomto řádku odpovídá řádku 0240 šablony F 01.01 příloh III a IV tohoto prováděcího nařízení.</w:t>
            </w:r>
          </w:p>
        </w:tc>
      </w:tr>
      <w:tr w:rsidR="007266CF" w:rsidRPr="002A677E" w14:paraId="30E37069" w14:textId="77777777" w:rsidTr="007266CF">
        <w:tc>
          <w:tcPr>
            <w:tcW w:w="1101" w:type="dxa"/>
          </w:tcPr>
          <w:p w14:paraId="721A6820" w14:textId="77777777" w:rsidR="007266CF" w:rsidRPr="002A677E" w:rsidDel="006529A1" w:rsidRDefault="007266CF" w:rsidP="007266CF">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7A19861D"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1.1.10 ZMĚNY REÁLNÉ HODNOTY ZAJIŠTĚNÝCH POLOŽEK V ZAJIŠTĚNÍ ÚROKOVÉHO RIZIKA NA BÁZI PORTFOLIA</w:t>
            </w:r>
          </w:p>
          <w:p w14:paraId="403AF55B"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IAS 39 odst. 89A písm. a); IFRS 9 odst. 6.5.8; ustanovení čl. 8 odst. 5 a 6 směrnice Evropského parlamentu a Rady 2013/34/EU</w:t>
            </w:r>
            <w:r>
              <w:rPr>
                <w:vertAlign w:val="superscript"/>
              </w:rPr>
              <w:footnoteReference w:id="12"/>
            </w:r>
            <w:r>
              <w:rPr>
                <w:rFonts w:ascii="Times New Roman" w:hAnsi="Times New Roman"/>
                <w:sz w:val="24"/>
              </w:rPr>
              <w:t>. Informace vykázaná v tomto řádku odpovídá řádku 0250 šablony F 01.01 příloh III a IV tohoto prováděcího nařízení.</w:t>
            </w:r>
          </w:p>
        </w:tc>
      </w:tr>
      <w:tr w:rsidR="007266CF" w:rsidRPr="002A677E" w14:paraId="40D95FC6" w14:textId="77777777" w:rsidTr="007266CF">
        <w:tc>
          <w:tcPr>
            <w:tcW w:w="1101" w:type="dxa"/>
          </w:tcPr>
          <w:p w14:paraId="205C498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F7CC025"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1.1.11 INVESTICE DO DCEŘINÝCH, SPOLEČNÝCH A PŘIDRUŽENÝCH PODNIKŮ</w:t>
            </w:r>
          </w:p>
          <w:p w14:paraId="3FE3FC9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IAS 1.54 písm. e); příloha V části 1.21 a 2.4 tohoto prováděcího nařízení; čl. 4 odst. 7 a 8 směrnice Rady 86/635/EHS; čl. 2 odst. 2 směrnice 2013/34/EU</w:t>
            </w:r>
          </w:p>
          <w:p w14:paraId="285E330E"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0260 šablony F 01.01 příloh III a IV tohoto prováděcího nařízení.</w:t>
            </w:r>
          </w:p>
        </w:tc>
      </w:tr>
      <w:tr w:rsidR="007266CF" w:rsidRPr="002A677E" w14:paraId="74E8AB10" w14:textId="77777777" w:rsidTr="007266CF">
        <w:tc>
          <w:tcPr>
            <w:tcW w:w="1101" w:type="dxa"/>
          </w:tcPr>
          <w:p w14:paraId="6E3C17E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26DE51E"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1.1.12 (−) SRÁŽKY U OBCHODOVATELNÝCH AKTIV V REÁLNÉ HODNOTĚ</w:t>
            </w:r>
          </w:p>
          <w:p w14:paraId="1CFB6E7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Příloha V část 1.29 tohoto prováděcího nařízení</w:t>
            </w:r>
          </w:p>
          <w:p w14:paraId="74C99867"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0375 šablony F 01.01 příloh III a IV tohoto prováděcího nařízení.</w:t>
            </w:r>
          </w:p>
        </w:tc>
      </w:tr>
      <w:tr w:rsidR="007266CF" w:rsidRPr="002A677E" w14:paraId="7B8F8D92" w14:textId="77777777" w:rsidTr="007266CF">
        <w:tc>
          <w:tcPr>
            <w:tcW w:w="1101" w:type="dxa"/>
          </w:tcPr>
          <w:p w14:paraId="1CF78A9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5F8B72A1" w14:textId="77777777" w:rsidR="007266CF"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1.1.13 OSTATNÍ AKTIVA</w:t>
            </w:r>
          </w:p>
          <w:p w14:paraId="03B96CCC"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Aktiva uvedená v příloze V části 2 odstavcích 5 a 6 tohoto prováděcího nařízení, pokud jsou oceněna v reálné hodnotě.</w:t>
            </w:r>
          </w:p>
        </w:tc>
      </w:tr>
      <w:tr w:rsidR="007266CF" w:rsidRPr="002A677E" w14:paraId="4C73E2FB" w14:textId="77777777" w:rsidTr="007266CF">
        <w:tc>
          <w:tcPr>
            <w:tcW w:w="1101" w:type="dxa"/>
          </w:tcPr>
          <w:p w14:paraId="4D371479" w14:textId="77777777" w:rsidR="007266CF" w:rsidRDefault="007266CF" w:rsidP="007266CF">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5519384D" w14:textId="77777777" w:rsidR="007266CF"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1.1.14 NEOBĚŽNÁ AKTIVA A VYŘAZOVANÉ SKUPINY URČENÉ K PRODEJI</w:t>
            </w:r>
          </w:p>
          <w:p w14:paraId="4391D3B7" w14:textId="77777777" w:rsidR="007266CF" w:rsidRDefault="007266CF" w:rsidP="007266CF">
            <w:pPr>
              <w:spacing w:beforeLines="60" w:before="144" w:afterLines="60" w:after="144"/>
              <w:rPr>
                <w:rFonts w:ascii="Times New Roman" w:hAnsi="Times New Roman"/>
                <w:b/>
                <w:sz w:val="24"/>
                <w:u w:val="single"/>
              </w:rPr>
            </w:pPr>
            <w:r>
              <w:rPr>
                <w:rFonts w:ascii="Times New Roman" w:hAnsi="Times New Roman"/>
                <w:sz w:val="24"/>
              </w:rPr>
              <w:t>Aktiva uvedená v příloze V části 2 odstavci 7 tohoto prováděcího nařízení, pokud jsou oceněna v reálné hodnotě.</w:t>
            </w:r>
          </w:p>
        </w:tc>
      </w:tr>
      <w:tr w:rsidR="007266CF" w:rsidRPr="002A677E" w14:paraId="209E54E6" w14:textId="77777777" w:rsidTr="007266CF">
        <w:tc>
          <w:tcPr>
            <w:tcW w:w="1101" w:type="dxa"/>
          </w:tcPr>
          <w:p w14:paraId="14D7865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2B485759"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 xml:space="preserve">1.2 ZÁVAZKY OCEŇOVANÉ REÁLNOU HODNOTOU CELKEM  </w:t>
            </w:r>
          </w:p>
          <w:p w14:paraId="114BB23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Součet částek vykázaných v řádcích 0160 až 0210.</w:t>
            </w:r>
          </w:p>
          <w:p w14:paraId="2000F3B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Příslušné buňky řádků 0150 až 0190 se vykazují v souladu s šablonou FINREP F 01.02 přílohy III a IV tohoto prováděcího nařízení podle použitelných standardů instituce, jimiž jsou: </w:t>
            </w:r>
          </w:p>
          <w:p w14:paraId="5F92D0D4" w14:textId="77777777" w:rsidR="007266CF" w:rsidRPr="002A677E" w:rsidRDefault="007266CF" w:rsidP="00A75C39">
            <w:pPr>
              <w:pStyle w:val="ListParagraph"/>
              <w:numPr>
                <w:ilvl w:val="0"/>
                <w:numId w:val="21"/>
              </w:numPr>
              <w:spacing w:beforeLines="60" w:before="144" w:afterLines="60" w:after="144"/>
              <w:rPr>
                <w:rFonts w:ascii="Times New Roman" w:hAnsi="Times New Roman"/>
                <w:sz w:val="24"/>
              </w:rPr>
            </w:pPr>
            <w:r>
              <w:rPr>
                <w:rFonts w:ascii="Times New Roman" w:hAnsi="Times New Roman"/>
                <w:sz w:val="24"/>
              </w:rPr>
              <w:t>IFRS přijaté Unií při používání nařízení (ES) 1606/2002 („EU IFRS“),</w:t>
            </w:r>
          </w:p>
          <w:p w14:paraId="1E623FF1" w14:textId="77777777" w:rsidR="007266CF" w:rsidRPr="002A677E" w:rsidRDefault="007266CF" w:rsidP="00A75C39">
            <w:pPr>
              <w:pStyle w:val="ListParagraph"/>
              <w:numPr>
                <w:ilvl w:val="0"/>
                <w:numId w:val="21"/>
              </w:numPr>
              <w:spacing w:beforeLines="60" w:before="144" w:afterLines="60" w:after="144"/>
              <w:rPr>
                <w:rFonts w:ascii="Times New Roman" w:hAnsi="Times New Roman"/>
                <w:sz w:val="24"/>
              </w:rPr>
            </w:pPr>
            <w:r>
              <w:rPr>
                <w:rFonts w:ascii="Times New Roman" w:hAnsi="Times New Roman"/>
                <w:sz w:val="24"/>
              </w:rPr>
              <w:t xml:space="preserve">vnitrostátní účetní standardy kompatibilní s EU IFRS („národní GAAP kompatibilní s IFRS“), </w:t>
            </w:r>
          </w:p>
          <w:p w14:paraId="3A3BBBBF" w14:textId="77777777" w:rsidR="007266CF" w:rsidRPr="002A677E" w:rsidRDefault="007266CF" w:rsidP="00A75C39">
            <w:pPr>
              <w:pStyle w:val="ListParagraph"/>
              <w:numPr>
                <w:ilvl w:val="0"/>
                <w:numId w:val="21"/>
              </w:numPr>
              <w:spacing w:beforeLines="60" w:before="144" w:afterLines="60" w:after="144"/>
              <w:rPr>
                <w:rFonts w:ascii="Times New Roman" w:hAnsi="Times New Roman"/>
                <w:sz w:val="24"/>
              </w:rPr>
            </w:pPr>
            <w:r>
              <w:rPr>
                <w:rFonts w:ascii="Times New Roman" w:hAnsi="Times New Roman"/>
                <w:sz w:val="24"/>
              </w:rPr>
              <w:t>nebo národní GAAP založené na směrnici Rady 86/635/EHS (FINREP „národní GAAP založené na směrnici 86/635/EHS“).</w:t>
            </w:r>
          </w:p>
        </w:tc>
      </w:tr>
      <w:tr w:rsidR="007266CF" w:rsidRPr="002A677E" w14:paraId="6D3006BA" w14:textId="77777777" w:rsidTr="007266CF">
        <w:tc>
          <w:tcPr>
            <w:tcW w:w="1101" w:type="dxa"/>
          </w:tcPr>
          <w:p w14:paraId="752BAC1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7767CA0"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1.2.1 FINANČNÍ ZÁVAZKY K OBCHODOVÁNÍ</w:t>
            </w:r>
          </w:p>
          <w:p w14:paraId="0797C07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IFRS 7 odst. 8 písm. e) bod ii); IFRS 9 odst. BA.6.</w:t>
            </w:r>
          </w:p>
          <w:p w14:paraId="63C08EB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Informace vykázaná v tomto řádku odpovídá řádku 0010 šablony F 01.02 příloh III a IV tohoto prováděcího nařízení.</w:t>
            </w:r>
          </w:p>
        </w:tc>
      </w:tr>
      <w:tr w:rsidR="007266CF" w:rsidRPr="002A677E" w14:paraId="3C4B11F7" w14:textId="77777777" w:rsidTr="007266CF">
        <w:tc>
          <w:tcPr>
            <w:tcW w:w="1101" w:type="dxa"/>
          </w:tcPr>
          <w:p w14:paraId="667EFE4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30ED3160"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1.2.2 OBCHODOVATELNÉ FINANČNÍ ZÁVAZKY</w:t>
            </w:r>
          </w:p>
          <w:p w14:paraId="168BEBF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8 odst. 1 písm. a) a čl. 8 odst. 3 a 6 směrnice 2013/34/EU</w:t>
            </w:r>
          </w:p>
          <w:p w14:paraId="10E8567F"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0061 šablony F 01.02 příloh III a IV tohoto prováděcího nařízení.</w:t>
            </w:r>
          </w:p>
        </w:tc>
      </w:tr>
      <w:tr w:rsidR="007266CF" w:rsidRPr="002A677E" w14:paraId="2D9D47F2" w14:textId="77777777" w:rsidTr="007266CF">
        <w:tc>
          <w:tcPr>
            <w:tcW w:w="1101" w:type="dxa"/>
          </w:tcPr>
          <w:p w14:paraId="26FD03A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5382E09C"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1.2.3 FINANČNÍ ZÁVAZKY V REÁLNÉ HODNOTĚ VYKÁZANÉ DO ZISKU NEBO ZTRÁTY</w:t>
            </w:r>
          </w:p>
          <w:p w14:paraId="5EEF959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IFRS 7 odst. 8 písm. e) bod i); IFRS 9 odst. 4.2.2; ustanovení čl. 8 odst. 1 písm. a) a čl. 8 odst. 6 směrnice 2013/34/EU; IAS 39 odst. 9. </w:t>
            </w:r>
          </w:p>
          <w:p w14:paraId="2849ADC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Informace vykázaná v tomto řádku odpovídá řádku 0070 šablony F 01.02 příloh III a IV tohoto prováděcího nařízení.</w:t>
            </w:r>
          </w:p>
        </w:tc>
      </w:tr>
      <w:tr w:rsidR="007266CF" w:rsidRPr="002A677E" w14:paraId="76BBB239" w14:textId="77777777" w:rsidTr="007266CF">
        <w:tc>
          <w:tcPr>
            <w:tcW w:w="1101" w:type="dxa"/>
          </w:tcPr>
          <w:p w14:paraId="05DDEAC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2D84A24B"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1.2.4 DERIVÁTY – ZAJIŠŤOVACÍ ÚČETNICTVÍ</w:t>
            </w:r>
          </w:p>
          <w:p w14:paraId="5452F47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IFRS 9 odst. 6.2.1; příloha V část 1.26 tohoto prováděcího nařízení; čl. 8 odst. 1 písm. a), odst. 6 a odst. 8 písm. a) směrnice 2013/34/EU</w:t>
            </w:r>
          </w:p>
          <w:p w14:paraId="0D7904D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Informace vykázaná v tomto řádku odpovídá řádku 0150 šablony F 01.02 příloh III a IV tohoto prováděcího nařízení.</w:t>
            </w:r>
          </w:p>
        </w:tc>
      </w:tr>
      <w:tr w:rsidR="007266CF" w:rsidRPr="002A677E" w14:paraId="233173F4" w14:textId="77777777" w:rsidTr="007266CF">
        <w:tc>
          <w:tcPr>
            <w:tcW w:w="1101" w:type="dxa"/>
          </w:tcPr>
          <w:p w14:paraId="19B13A2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3F10D757"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1.2.5 ZMĚNY REÁLNÉ HODNOTY ZAJIŠTĚNÝCH POLOŽEK V ZAJIŠTĚNÍ ÚROKOVÉHO RIZIKA NA BÁZI PORTFOLIA</w:t>
            </w:r>
          </w:p>
          <w:p w14:paraId="0421F10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IAS 39 odst. 89A písm. b), IFRS 9 odst. 6.5.8; čl. 8 odst. 5 a 6 směrnice 2013/34/EU; příloha V část 2.8 tohoto prováděcího nařízení</w:t>
            </w:r>
          </w:p>
          <w:p w14:paraId="2528A43D"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0160 šablony F 01.02 příloh III a IV tohoto prováděcího nařízení.</w:t>
            </w:r>
          </w:p>
        </w:tc>
      </w:tr>
      <w:tr w:rsidR="007266CF" w:rsidRPr="002A677E" w14:paraId="2D4951AC" w14:textId="77777777" w:rsidTr="007266CF">
        <w:tc>
          <w:tcPr>
            <w:tcW w:w="1101" w:type="dxa"/>
          </w:tcPr>
          <w:p w14:paraId="3B3A2F8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423E50B8"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1.2.6 SRÁŽKY U OBCHODOVATELNÝCH ZÁVAZKŮ V REÁLNÉ HODNOTĚ</w:t>
            </w:r>
          </w:p>
          <w:p w14:paraId="6BAB744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Příloha V část 1.29 tohoto prováděcího nařízení</w:t>
            </w:r>
          </w:p>
          <w:p w14:paraId="2B9925BB"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0295 šablony F 01.02 příloh III a IV tohoto prováděcího nařízení.</w:t>
            </w:r>
          </w:p>
        </w:tc>
      </w:tr>
      <w:tr w:rsidR="007266CF" w:rsidRPr="002A677E" w14:paraId="73FBE2A4" w14:textId="77777777" w:rsidTr="007266CF">
        <w:tc>
          <w:tcPr>
            <w:tcW w:w="1101" w:type="dxa"/>
          </w:tcPr>
          <w:p w14:paraId="70CF0C0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520E1D06" w14:textId="77777777" w:rsidR="007266CF"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1.2.7 OSTATNÍ ZÁVAZKY</w:t>
            </w:r>
          </w:p>
          <w:p w14:paraId="027C41FB"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Závazky uvedené v příloze V části 2 odstavci 13 tohoto prováděcího nařízení, pokud jsou oceněny v reálné hodnotě.</w:t>
            </w:r>
          </w:p>
        </w:tc>
      </w:tr>
      <w:tr w:rsidR="007266CF" w:rsidRPr="002A677E" w14:paraId="7F55A5DC" w14:textId="77777777" w:rsidTr="007266CF">
        <w:tc>
          <w:tcPr>
            <w:tcW w:w="1101" w:type="dxa"/>
          </w:tcPr>
          <w:p w14:paraId="2132B115" w14:textId="77777777" w:rsidR="007266CF" w:rsidRDefault="007266CF" w:rsidP="007266CF">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30C034A4" w14:textId="77777777" w:rsidR="007266CF"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1.2.8 ZÁVAZKY ZAHRNUTÉ VE VYŘAZOVANÝCH SKUPINÁCH K PRODEJI</w:t>
            </w:r>
          </w:p>
          <w:p w14:paraId="58B05264" w14:textId="77777777" w:rsidR="007266CF" w:rsidRDefault="007266CF" w:rsidP="007266CF">
            <w:pPr>
              <w:spacing w:beforeLines="60" w:before="144" w:afterLines="60" w:after="144"/>
              <w:rPr>
                <w:rFonts w:ascii="Times New Roman" w:hAnsi="Times New Roman"/>
                <w:b/>
                <w:sz w:val="24"/>
                <w:u w:val="single"/>
              </w:rPr>
            </w:pPr>
            <w:r>
              <w:rPr>
                <w:rFonts w:ascii="Times New Roman" w:hAnsi="Times New Roman"/>
                <w:sz w:val="24"/>
              </w:rPr>
              <w:t>Závazky uvedené v příloze V části 2 odstavci 14 tohoto prováděcího nařízení, pokud jsou oceněny v reálné hodnotě.</w:t>
            </w:r>
          </w:p>
        </w:tc>
      </w:tr>
    </w:tbl>
    <w:p w14:paraId="13C8D978" w14:textId="77777777" w:rsidR="007266CF" w:rsidRPr="002A677E" w:rsidRDefault="007266CF" w:rsidP="007266CF">
      <w:pPr>
        <w:rPr>
          <w:rStyle w:val="InstructionsTabelleText"/>
          <w:rFonts w:ascii="Times New Roman" w:hAnsi="Times New Roman"/>
          <w:sz w:val="24"/>
        </w:rPr>
      </w:pPr>
    </w:p>
    <w:p w14:paraId="1B4B7D7A" w14:textId="77777777" w:rsidR="007266CF" w:rsidRPr="002A677E" w:rsidRDefault="007266CF" w:rsidP="00A75C39">
      <w:pPr>
        <w:pStyle w:val="Instructionsberschrift2"/>
        <w:numPr>
          <w:ilvl w:val="1"/>
          <w:numId w:val="134"/>
        </w:numPr>
        <w:rPr>
          <w:rFonts w:ascii="Times New Roman" w:hAnsi="Times New Roman" w:cs="Times New Roman"/>
          <w:sz w:val="24"/>
          <w:u w:val="none"/>
        </w:rPr>
      </w:pPr>
      <w:bookmarkStart w:id="336" w:name="_Toc116026861"/>
      <w:bookmarkStart w:id="337" w:name="_Toc119078018"/>
      <w:r>
        <w:rPr>
          <w:rFonts w:ascii="Times New Roman" w:hAnsi="Times New Roman"/>
          <w:sz w:val="24"/>
        </w:rPr>
        <w:t>C 32.02 – Obezřetné oceňování Základní postup (PruVal 2)</w:t>
      </w:r>
      <w:bookmarkEnd w:id="336"/>
      <w:bookmarkEnd w:id="337"/>
    </w:p>
    <w:p w14:paraId="3A198398" w14:textId="77777777" w:rsidR="007266CF" w:rsidRPr="002A677E" w:rsidRDefault="007266CF" w:rsidP="00A75C39">
      <w:pPr>
        <w:pStyle w:val="Instructionsberschrift2"/>
        <w:numPr>
          <w:ilvl w:val="3"/>
          <w:numId w:val="135"/>
        </w:numPr>
        <w:rPr>
          <w:rFonts w:ascii="Times New Roman" w:hAnsi="Times New Roman" w:cs="Times New Roman"/>
          <w:sz w:val="24"/>
          <w:u w:val="none"/>
        </w:rPr>
      </w:pPr>
      <w:bookmarkStart w:id="338" w:name="_Toc116026862"/>
      <w:bookmarkStart w:id="339" w:name="_Toc119078019"/>
      <w:r>
        <w:rPr>
          <w:rFonts w:ascii="Times New Roman" w:hAnsi="Times New Roman"/>
          <w:sz w:val="24"/>
        </w:rPr>
        <w:t>Obecné poznámky</w:t>
      </w:r>
      <w:bookmarkEnd w:id="338"/>
      <w:bookmarkEnd w:id="339"/>
      <w:r>
        <w:rPr>
          <w:rFonts w:ascii="Times New Roman" w:hAnsi="Times New Roman"/>
          <w:sz w:val="24"/>
          <w:u w:val="none"/>
        </w:rPr>
        <w:t xml:space="preserve"> </w:t>
      </w:r>
    </w:p>
    <w:p w14:paraId="7FDA22A0" w14:textId="77777777" w:rsidR="007266CF" w:rsidRPr="002A677E" w:rsidRDefault="007266CF" w:rsidP="007266CF">
      <w:pPr>
        <w:pStyle w:val="InstructionsText2"/>
        <w:numPr>
          <w:ilvl w:val="0"/>
          <w:numId w:val="0"/>
        </w:numPr>
        <w:ind w:left="1353" w:hanging="360"/>
      </w:pPr>
      <w:fldSimple w:instr=" seq paragraphs ">
        <w:r>
          <w:t>178</w:t>
        </w:r>
      </w:fldSimple>
      <w:r>
        <w:t>. Účelem této šablony je poskytnout informace o složení celkové dodatečné úpravy ocenění, která má být odečtena od kapitálu podle článků 34 a 105 nařízení (EU) č. 575/2013, spolu s relevantními informacemi o účetním ocenění pozic, které vedou k dodatečným úpravám ocenění.</w:t>
      </w:r>
    </w:p>
    <w:p w14:paraId="6E6F4E1B" w14:textId="77777777" w:rsidR="007266CF" w:rsidRPr="002A677E" w:rsidRDefault="007266CF" w:rsidP="007266CF">
      <w:pPr>
        <w:pStyle w:val="InstructionsText2"/>
        <w:numPr>
          <w:ilvl w:val="0"/>
          <w:numId w:val="0"/>
        </w:numPr>
        <w:ind w:left="1353" w:hanging="360"/>
      </w:pPr>
      <w:fldSimple w:instr=" seq paragraphs ">
        <w:r>
          <w:t>179</w:t>
        </w:r>
      </w:fldSimple>
      <w:r>
        <w:t xml:space="preserve">. Tuto šablonu vyplní všechny instituce, které </w:t>
      </w:r>
    </w:p>
    <w:p w14:paraId="3F1456EC" w14:textId="77777777" w:rsidR="007266CF" w:rsidRPr="002A677E" w:rsidRDefault="007266CF" w:rsidP="007266CF">
      <w:pPr>
        <w:pStyle w:val="InstructionsText2"/>
        <w:numPr>
          <w:ilvl w:val="0"/>
          <w:numId w:val="0"/>
        </w:numPr>
        <w:ind w:left="1353" w:hanging="360"/>
      </w:pPr>
      <w:r>
        <w:t>a) jsou povinny používat základní postup, protože překračují prahovou hodnotu podle čl. 4 odst. 1 nařízení v přenesené pravomoci (EU) 2016/101, a to buď na individuální, nebo konsolidované bázi, jak je stanoveno v čl. 4 odst. 3 uvedeného nařízení, nebo</w:t>
      </w:r>
    </w:p>
    <w:p w14:paraId="0A5771FB" w14:textId="77777777" w:rsidR="007266CF" w:rsidRPr="002A677E" w:rsidRDefault="007266CF" w:rsidP="007266CF">
      <w:pPr>
        <w:pStyle w:val="InstructionsText2"/>
        <w:numPr>
          <w:ilvl w:val="0"/>
          <w:numId w:val="0"/>
        </w:numPr>
        <w:ind w:left="1353" w:hanging="360"/>
      </w:pPr>
      <w:r>
        <w:t xml:space="preserve">b) vybraly si použití základního postupu i přesto, že tento limit nepřekračují. </w:t>
      </w:r>
    </w:p>
    <w:p w14:paraId="57BC6048" w14:textId="77777777" w:rsidR="007266CF" w:rsidRPr="002A677E" w:rsidRDefault="007266CF" w:rsidP="007266CF">
      <w:pPr>
        <w:pStyle w:val="InstructionsText2"/>
        <w:numPr>
          <w:ilvl w:val="0"/>
          <w:numId w:val="0"/>
        </w:numPr>
        <w:ind w:left="1353" w:hanging="360"/>
      </w:pPr>
      <w:fldSimple w:instr=" seq paragraphs ">
        <w:r>
          <w:t>180</w:t>
        </w:r>
      </w:fldSimple>
      <w:r>
        <w:t>. Pro účely této šablony se „vzestupnou nejistotou“ rozumí toto: Jak je uvedeno v čl. 8 odst. 2 nařízení v přenesené pravomoci (EU) 2016/101, dodatečné úpravy ocenění se vypočítají jako rozdíl mezi reálnou hodnotou a obezřetným oceněním, které je stanoveno na základě 90 % jistoty, že instituce mohou uzavřít danou expozici v daném nebo lepším bodě v rámci pomyslné škály věrohodných hodnot. Vzestupná hodnota nebo „vzestupná nejistota“ je protikladný bod v distribuci věrohodných hodnot, v němž mají instituce pouze 10 % jistotu, že mohou pozici uzavřít v daném nebo lepším bodě. Vzestupná nejistota se vypočte a agreguje na stejném základě jako celková dodatečná úprava ocenění, avšak 90 % úroveň jistoty, která se používá při určení celkové dodatečné úpravy ocenění, se nahradí úrovní 10 %.</w:t>
      </w:r>
    </w:p>
    <w:p w14:paraId="70C6898A" w14:textId="77777777" w:rsidR="007266CF" w:rsidRPr="002A677E" w:rsidRDefault="007266CF" w:rsidP="00A75C39">
      <w:pPr>
        <w:pStyle w:val="Instructionsberschrift2"/>
        <w:numPr>
          <w:ilvl w:val="3"/>
          <w:numId w:val="136"/>
        </w:numPr>
        <w:rPr>
          <w:rFonts w:ascii="Times New Roman" w:hAnsi="Times New Roman" w:cs="Times New Roman"/>
          <w:sz w:val="24"/>
          <w:u w:val="none"/>
        </w:rPr>
      </w:pPr>
      <w:bookmarkStart w:id="340" w:name="_Toc116026863"/>
      <w:bookmarkStart w:id="341" w:name="_Toc119078020"/>
      <w:r>
        <w:rPr>
          <w:rFonts w:ascii="Times New Roman" w:hAnsi="Times New Roman"/>
          <w:sz w:val="24"/>
          <w:u w:val="none"/>
        </w:rPr>
        <w:lastRenderedPageBreak/>
        <w:t>Pokyny pro konkrétní pozice</w:t>
      </w:r>
      <w:bookmarkEnd w:id="340"/>
      <w:bookmarkEnd w:id="34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7266CF" w:rsidRPr="002A677E" w14:paraId="47C10EFF" w14:textId="77777777" w:rsidTr="007266CF">
        <w:tc>
          <w:tcPr>
            <w:tcW w:w="9291" w:type="dxa"/>
            <w:gridSpan w:val="2"/>
            <w:shd w:val="clear" w:color="auto" w:fill="CCCCCC"/>
          </w:tcPr>
          <w:p w14:paraId="0B9755BE"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Sloupce</w:t>
            </w:r>
          </w:p>
        </w:tc>
      </w:tr>
      <w:tr w:rsidR="007266CF" w:rsidRPr="002A677E" w14:paraId="29C73CB5" w14:textId="77777777" w:rsidTr="007266CF">
        <w:tc>
          <w:tcPr>
            <w:tcW w:w="1101" w:type="dxa"/>
          </w:tcPr>
          <w:p w14:paraId="5469369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635FEC2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NA ÚROVNI KATEGORIE</w:t>
            </w:r>
          </w:p>
          <w:p w14:paraId="71F4C32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AVA na úrovni kategorie pro nejistotu tržních cen, náklady na uzavření pozice, rizika modelů, koncentrované pozice, budoucí administrativní náklady, předčasné ukončení a operační riziko se vypočítají podle článků 9, 10, 11 a 14 až 17 nařízení v přenesené pravomoci (EU) 2016/101.</w:t>
            </w:r>
          </w:p>
          <w:p w14:paraId="55EFA79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V případě kategorií nejistoty tržních cen, nákladů na uzavření pozice a rizik modelů, jichž se může týkat výhoda diverzifikace podle čl. 9 odst. 6, čl. 10 odst. 7 a čl. 11 odst. 7 nařízení v přenesené pravomoci (EU) 2016/101, se AVA na úrovni kategorií, není-li stanoveno jinak‚ vykazují jako přímý součet individuálních AVA před výhodou diverzifikace [vzhledem k tomu, že výhody diverzifikace vypočtené metodou 1 nebo metodou 2 uvedenými v příloze nařízení v přenesené pravomoci (EU) 2016/101 se vykazují v bodech 1.1.2, 1.1.2.1 a 1.1.2.2 šablony]. </w:t>
            </w:r>
          </w:p>
          <w:p w14:paraId="65FCAEB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 případě kategorií nejistoty tržních cen, nákladů na uzavření pozice a rizik modelů, se hodnoty vypočtené na základě odborného úsudku podle čl. 9 odst. 5 písm. b), čl. 10 odst. 6 písm. b) a čl. 11 odst. 4 nařízení v přenesené pravomoci (EU) 2016/101 vykazují samostatně ve sloupcích 0020, 0040 a 0060.</w:t>
            </w:r>
          </w:p>
        </w:tc>
      </w:tr>
      <w:tr w:rsidR="007266CF" w:rsidRPr="002A677E" w14:paraId="40EE615A" w14:textId="77777777" w:rsidTr="007266CF">
        <w:tc>
          <w:tcPr>
            <w:tcW w:w="1101" w:type="dxa"/>
          </w:tcPr>
          <w:p w14:paraId="5B70B54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0DE68616"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NEJISTOTA TRŽNÍCH CEN</w:t>
            </w:r>
          </w:p>
          <w:p w14:paraId="5FB2BD0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Ustanovení čl. 105 odst. 10 nařízení (EU) č. 575/2013. </w:t>
            </w:r>
          </w:p>
          <w:p w14:paraId="670B8B5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nejistotu tržních cen vypočítané v souladu s článkem 9 nařízení v přenesené pravomoci (EU) 2016/101.</w:t>
            </w:r>
          </w:p>
        </w:tc>
      </w:tr>
      <w:tr w:rsidR="007266CF" w:rsidRPr="002A677E" w14:paraId="716B9917" w14:textId="77777777" w:rsidTr="007266CF">
        <w:tc>
          <w:tcPr>
            <w:tcW w:w="1101" w:type="dxa"/>
          </w:tcPr>
          <w:p w14:paraId="1419891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32AE326B"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14:paraId="5FD109A3"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nejistotu tržních cen vypočítané v souladu s čl. 9 odst. 5 písm. b) nařízení v přenesené pravomoci (EU) 2016/101.</w:t>
            </w:r>
          </w:p>
        </w:tc>
      </w:tr>
      <w:tr w:rsidR="007266CF" w:rsidRPr="002A677E" w14:paraId="4DCC76B0" w14:textId="77777777" w:rsidTr="007266CF">
        <w:tc>
          <w:tcPr>
            <w:tcW w:w="1101" w:type="dxa"/>
          </w:tcPr>
          <w:p w14:paraId="47DCF04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01F9D2D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14:paraId="681A6B2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Ustanovení čl. 105 odst. 10 nařízení (EU) č. 575/2013. </w:t>
            </w:r>
          </w:p>
          <w:p w14:paraId="588DAA55"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náklady na uzavření pozice vypočítané v souladu s článkem 10 nařízení v přenesené pravomoci (EU) 2016/101. </w:t>
            </w:r>
          </w:p>
        </w:tc>
      </w:tr>
      <w:tr w:rsidR="007266CF" w:rsidRPr="002A677E" w14:paraId="6A2B4883" w14:textId="77777777" w:rsidTr="007266CF">
        <w:tc>
          <w:tcPr>
            <w:tcW w:w="1101" w:type="dxa"/>
          </w:tcPr>
          <w:p w14:paraId="37F228C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6013819B"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14:paraId="6760084C" w14:textId="77777777" w:rsidR="007266CF" w:rsidRPr="001235ED" w:rsidRDefault="007266CF" w:rsidP="007266CF">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AVA zohledňující náklady na uzavření pozice vypočítané v souladu s čl. 10 odst. 6 písm. b) nařízení v přenesené pravomoci (EU) 2016/101.</w:t>
            </w:r>
          </w:p>
        </w:tc>
      </w:tr>
      <w:tr w:rsidR="007266CF" w:rsidRPr="002A677E" w14:paraId="58EA64AF" w14:textId="77777777" w:rsidTr="007266CF">
        <w:tc>
          <w:tcPr>
            <w:tcW w:w="1101" w:type="dxa"/>
          </w:tcPr>
          <w:p w14:paraId="1989C1E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54E16FF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RIZIKO MODELŮ</w:t>
            </w:r>
          </w:p>
          <w:p w14:paraId="67926DB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105 odst. 10 nařízení (EU) č. 575/2013</w:t>
            </w:r>
          </w:p>
          <w:p w14:paraId="7788DF45"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riziko modelů vypočítané v souladu s článkem 11 nařízení v přenesené pravomoci (EU) 2016/101. </w:t>
            </w:r>
          </w:p>
        </w:tc>
      </w:tr>
      <w:tr w:rsidR="007266CF" w:rsidRPr="002A677E" w14:paraId="050754BB" w14:textId="77777777" w:rsidTr="007266CF">
        <w:tc>
          <w:tcPr>
            <w:tcW w:w="1101" w:type="dxa"/>
          </w:tcPr>
          <w:p w14:paraId="332568E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3D369C9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14:paraId="732246E9"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riziko modelů vypočítané v souladu s čl. 11 odst. 4 nařízení v přenesené pravomoci (EU) 2016/101.</w:t>
            </w:r>
          </w:p>
        </w:tc>
      </w:tr>
      <w:tr w:rsidR="007266CF" w:rsidRPr="006223CC" w14:paraId="58EE320B" w14:textId="77777777" w:rsidTr="007266CF">
        <w:tc>
          <w:tcPr>
            <w:tcW w:w="1101" w:type="dxa"/>
          </w:tcPr>
          <w:p w14:paraId="054A359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AF7C445" w14:textId="77777777" w:rsidR="007266CF" w:rsidRPr="006223CC" w:rsidRDefault="007266CF" w:rsidP="007266CF">
            <w:pPr>
              <w:spacing w:beforeLines="60" w:before="144" w:afterLines="60" w:after="144"/>
              <w:rPr>
                <w:rStyle w:val="InstructionsTabelleberschrift"/>
                <w:rFonts w:ascii="Times New Roman" w:hAnsi="Times New Roman"/>
                <w:sz w:val="24"/>
                <w:lang w:val="fr-FR"/>
              </w:rPr>
            </w:pPr>
            <w:r w:rsidRPr="006223CC">
              <w:rPr>
                <w:rStyle w:val="InstructionsTabelleberschrift"/>
                <w:rFonts w:ascii="Times New Roman" w:hAnsi="Times New Roman"/>
                <w:sz w:val="24"/>
                <w:lang w:val="fr-FR"/>
              </w:rPr>
              <w:t>KONCENTROVANÉ POZICE</w:t>
            </w:r>
          </w:p>
          <w:p w14:paraId="5E3144AF"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Ustanovení čl. 105 odst. 11 nařízení (EU) č. 575/2013</w:t>
            </w:r>
          </w:p>
          <w:p w14:paraId="2324E191" w14:textId="77777777" w:rsidR="007266CF" w:rsidRPr="006223CC" w:rsidRDefault="007266CF" w:rsidP="007266CF">
            <w:pPr>
              <w:spacing w:beforeLines="60" w:before="144" w:afterLines="60" w:after="144"/>
              <w:rPr>
                <w:rStyle w:val="InstructionsTabelleberschrift"/>
                <w:rFonts w:ascii="Times New Roman" w:hAnsi="Times New Roman"/>
                <w:sz w:val="24"/>
                <w:lang w:val="fr-FR"/>
              </w:rPr>
            </w:pPr>
            <w:r w:rsidRPr="006223CC">
              <w:rPr>
                <w:rFonts w:ascii="Times New Roman" w:hAnsi="Times New Roman"/>
                <w:sz w:val="24"/>
                <w:lang w:val="fr-FR"/>
              </w:rPr>
              <w:t>Koncentrované pozice vypočítané v souladu s článkem 14 nařízení v přenesené pravomoci (EU) 2016/101.</w:t>
            </w:r>
          </w:p>
        </w:tc>
      </w:tr>
      <w:tr w:rsidR="007266CF" w:rsidRPr="002A677E" w14:paraId="59CC9780" w14:textId="77777777" w:rsidTr="007266CF">
        <w:tc>
          <w:tcPr>
            <w:tcW w:w="1101" w:type="dxa"/>
          </w:tcPr>
          <w:p w14:paraId="4502BCF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15174770"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14:paraId="391C5E0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105 odst. 10 nařízení (EU) č. 575/2013</w:t>
            </w:r>
          </w:p>
          <w:p w14:paraId="104FA07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budoucí administrativní náklady vypočítané v souladu s článkem 15 nařízení v přenesené pravomoci (EU) 2016/101.</w:t>
            </w:r>
          </w:p>
        </w:tc>
      </w:tr>
      <w:tr w:rsidR="007266CF" w:rsidRPr="002A677E" w14:paraId="7FE7DF44" w14:textId="77777777" w:rsidTr="007266CF">
        <w:tc>
          <w:tcPr>
            <w:tcW w:w="1101" w:type="dxa"/>
          </w:tcPr>
          <w:p w14:paraId="18DCFD4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0ECE587"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PŘEDČASNÉ UKONČENÍ</w:t>
            </w:r>
          </w:p>
          <w:p w14:paraId="4B2E655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105 odst. 10 nařízení (EU) č. 575/2013</w:t>
            </w:r>
          </w:p>
          <w:p w14:paraId="4DF30A8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předčasné ukončení vypočítané v souladu s článkem 16 nařízení v přenesené pravomoci (EU) 2016/101. </w:t>
            </w:r>
          </w:p>
        </w:tc>
      </w:tr>
      <w:tr w:rsidR="007266CF" w:rsidRPr="002A677E" w14:paraId="01ABD4E6" w14:textId="77777777" w:rsidTr="007266CF">
        <w:tc>
          <w:tcPr>
            <w:tcW w:w="1101" w:type="dxa"/>
          </w:tcPr>
          <w:p w14:paraId="7D6D281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5FA6F176"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OPERAČNÍ RIZIKO</w:t>
            </w:r>
          </w:p>
          <w:p w14:paraId="228A1B4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105 odst. 10 nařízení (EU) č. 575/2013</w:t>
            </w:r>
          </w:p>
          <w:p w14:paraId="274448D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operační riziko vypočítané v souladu s článkem 17 nařízení v přenesené pravomoci (EU) 2016/101.</w:t>
            </w:r>
          </w:p>
        </w:tc>
      </w:tr>
      <w:tr w:rsidR="007266CF" w:rsidRPr="002A677E" w14:paraId="5C60C784" w14:textId="77777777" w:rsidTr="007266CF">
        <w:tc>
          <w:tcPr>
            <w:tcW w:w="1101" w:type="dxa"/>
            <w:tcBorders>
              <w:bottom w:val="single" w:sz="4" w:space="0" w:color="auto"/>
            </w:tcBorders>
          </w:tcPr>
          <w:p w14:paraId="38133F2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556A1BC6"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CELKEM </w:t>
            </w:r>
          </w:p>
          <w:p w14:paraId="62B867A6"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Řádek 0010: celková AVA, která se odečte od kapitálu podle článků 34 a 105 </w:t>
            </w:r>
            <w:r>
              <w:rPr>
                <w:rFonts w:ascii="Times New Roman" w:hAnsi="Times New Roman"/>
                <w:sz w:val="24"/>
              </w:rPr>
              <w:t>nařízení (EU) č. 575/2013</w:t>
            </w:r>
            <w:r>
              <w:rPr>
                <w:rStyle w:val="InstructionsTabelleberschrift"/>
                <w:rFonts w:ascii="Times New Roman" w:hAnsi="Times New Roman"/>
                <w:b w:val="0"/>
                <w:sz w:val="24"/>
                <w:u w:val="none"/>
              </w:rPr>
              <w:t xml:space="preserve"> a vykáže se příslušným způsobem v řádku 0290 šablony C 01.00. Celková AVA je součtem řádků 0030 a 0180. </w:t>
            </w:r>
          </w:p>
          <w:p w14:paraId="576D3AA6"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Řádek 0020: podíl celkové AVA vykázané v řádku 0010 plynoucí z pozic obchodního portfolia (absolutní hodnota). </w:t>
            </w:r>
          </w:p>
          <w:p w14:paraId="146FC900"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Řádky 0030 až 0160: součet sloupců 0010, 0030, 0050 a 0070 až 0100. </w:t>
            </w:r>
          </w:p>
          <w:p w14:paraId="1F7EBE8C"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Řádky 0180 až 0210: celková AVA plynoucí z portfolií, na něž se vztahuje záložní postup. </w:t>
            </w:r>
          </w:p>
        </w:tc>
      </w:tr>
      <w:tr w:rsidR="007266CF" w:rsidRPr="002A677E" w14:paraId="3608F8AC" w14:textId="77777777" w:rsidTr="007266CF">
        <w:tc>
          <w:tcPr>
            <w:tcW w:w="1101" w:type="dxa"/>
            <w:tcBorders>
              <w:bottom w:val="single" w:sz="4" w:space="0" w:color="auto"/>
            </w:tcBorders>
          </w:tcPr>
          <w:p w14:paraId="07D2F7C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4379866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VZESTUPNÁ NEJISTOTA</w:t>
            </w:r>
          </w:p>
          <w:p w14:paraId="28262531"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 8 odst. 2</w:t>
            </w:r>
            <w:r>
              <w:rPr>
                <w:rFonts w:ascii="Times New Roman" w:hAnsi="Times New Roman"/>
                <w:sz w:val="24"/>
              </w:rPr>
              <w:t xml:space="preserve"> nařízení v přenesené pravomoci (EU) 2016/101</w:t>
            </w:r>
          </w:p>
          <w:p w14:paraId="5A6D815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Vzestupná nejistota se vypočte a agreguje na stejném základě jako celková dodatečná úprava ocenění vypočtená ve sloupci 0110, avšak 90% úroveň jistoty, která se používá při určení celkové dodatečné úpravy ocenění, se nahradí úrovní 10 %.</w:t>
            </w:r>
          </w:p>
        </w:tc>
      </w:tr>
      <w:tr w:rsidR="007266CF" w:rsidRPr="006223CC" w14:paraId="09A7CCDF" w14:textId="77777777" w:rsidTr="007266CF">
        <w:tc>
          <w:tcPr>
            <w:tcW w:w="1101" w:type="dxa"/>
          </w:tcPr>
          <w:p w14:paraId="1138AC3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0130 – 0140</w:t>
            </w:r>
          </w:p>
        </w:tc>
        <w:tc>
          <w:tcPr>
            <w:tcW w:w="8190" w:type="dxa"/>
          </w:tcPr>
          <w:p w14:paraId="46326EC6"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A ZÁVAZKY OCEŇOVANÉ REÁLNOU HODNOTOU</w:t>
            </w:r>
          </w:p>
          <w:p w14:paraId="17D08AC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Absolutní hodnota aktiv a závazků oceňovaných reálnou hodnotou odpovídajících hodnotám AVA vykázaným v řádcích 0010 až 0130 a v řádku 0180. V případě některých řádků, především řádků 0090 až 0130, může být nutné tyto částky zaokrouhlit nebo přiřadit na základě odborného úsudku. </w:t>
            </w:r>
          </w:p>
          <w:p w14:paraId="3667EC60" w14:textId="77777777" w:rsidR="007266CF" w:rsidRPr="002A677E" w:rsidRDefault="007266CF" w:rsidP="007266CF">
            <w:pPr>
              <w:spacing w:beforeLines="60" w:before="144" w:afterLines="60" w:after="144"/>
              <w:jc w:val="left"/>
              <w:rPr>
                <w:rFonts w:ascii="Times New Roman" w:hAnsi="Times New Roman"/>
                <w:sz w:val="24"/>
              </w:rPr>
            </w:pPr>
            <w:r>
              <w:rPr>
                <w:rFonts w:ascii="Times New Roman" w:hAnsi="Times New Roman"/>
                <w:sz w:val="24"/>
              </w:rPr>
              <w:t xml:space="preserve">Řádek 0010: Celková absolutní hodnota aktiv a závazků oceňovaných reálnou hodnotou zahrnutých do výpočtu limitu podle čl. 4 odst. 1 nařízení v přenesené pravomoci (EU) 2016/101.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 </w:t>
            </w:r>
          </w:p>
          <w:p w14:paraId="4BE3E5AF" w14:textId="77777777" w:rsidR="007266CF" w:rsidRPr="006223CC" w:rsidRDefault="007266CF" w:rsidP="007266CF">
            <w:pPr>
              <w:spacing w:beforeLines="60" w:before="144" w:afterLines="60" w:after="144"/>
              <w:jc w:val="left"/>
              <w:rPr>
                <w:rFonts w:ascii="Times New Roman" w:hAnsi="Times New Roman"/>
                <w:sz w:val="24"/>
                <w:lang w:val="fr-FR"/>
              </w:rPr>
            </w:pPr>
            <w:r w:rsidRPr="006223CC">
              <w:rPr>
                <w:rFonts w:ascii="Times New Roman" w:hAnsi="Times New Roman"/>
                <w:sz w:val="24"/>
                <w:lang w:val="fr-FR"/>
              </w:rPr>
              <w:t xml:space="preserve">Řádek 0010 je součtem řádku 0030 a řádku 0180. </w:t>
            </w:r>
          </w:p>
          <w:p w14:paraId="00EF3701"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 xml:space="preserve">Řádek 0020: podíl absolutní hodnoty aktiv a závazků oceňovaných reálnou hodnotou vykázané v řádce 0010 plynoucí z pozic obchodního portfolia (absolutní hodnota). </w:t>
            </w:r>
          </w:p>
          <w:p w14:paraId="741DDF53"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Řádek 0030: Absolutní hodnota aktiv a závazků oceňovaných reálnou hodnotou odpovídajících portfoliím podle článků 9 až 17 nařízení v přenesené pravomoci (EU) 2016/101.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 Řádek 0030 je součtem řádků 0090 až 0130.</w:t>
            </w:r>
          </w:p>
          <w:p w14:paraId="390D7BAC"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 xml:space="preserve">Řádek 0050: Absolutní hodnota aktiv a závazků oceňovaných reálnou hodnotou zahrnutých do rozsahu výpočtu AVA zohledňující nepodchycená úvěrová rozpětí. Pro účely výpočtu této AVA již nelze přesně odpovídající kompenzující aktiva a závazky oceňované reálnou hodnotou, které jsou vyloučeny z výpočtu limitu podle čl. 4 odst. 2 nařízení v přenesené pravomoci (EU) 2016/101, považovat za přesně odpovídající a kompenzující. </w:t>
            </w:r>
          </w:p>
          <w:p w14:paraId="554E58EA"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 xml:space="preserve">Řádek 0060: Absolutní hodnota aktiv a závazků oceňovaných reálnou hodnotou zahrnutých do rozsahu výpočtu AVA zohledňující investiční náklady a náklady na financování. Pro účely výpočtu této AVA již nelze přesně odpovídající kompenzující aktiva a závazky oceňované reálnou hodnotou, které jsou vyloučeny z výpočtu limitu podle čl. 4 odst. 2 nařízení v přenesené pravomoci (EU) 2016/101, považovat za přesně odpovídající a kompenzující. </w:t>
            </w:r>
          </w:p>
          <w:p w14:paraId="39B5E445"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 xml:space="preserve">Řádek 0070: Absolutní hodnota aktiv a závazků oceňovaných reálnou hodnotou odpovídajících oceňovaným expozicím, u nichž je prokázána nulová hodnota AVA podle čl. 9 odst. 2 nařízení v přenesené pravomoci (EU) 2016/101. </w:t>
            </w:r>
          </w:p>
          <w:p w14:paraId="12030E0D"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 xml:space="preserve">Řádek 0080: Absolutní hodnota aktiv a závazků oceňovaných reálnou hodnotou odpovídajících oceňovaným expozicím, u nichž je prokázána nulová hodnota AVA podle čl. 10 odst. 2 a 3 nařízení v přenesené pravomoci (EU) 2016/101. </w:t>
            </w:r>
          </w:p>
          <w:p w14:paraId="1A3EBA2E"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 xml:space="preserve">Řádky 0090 až 0130: Absolutní hodnota aktiv a závazků oceňovaných reálnou hodnotou rozdělených, jak je uvedeno níže (viz pokyny pro odpovídající řádky), v souladu s následujícími kategoriemi rizik: úrokové riziko, měnové riziko, úvěrové riziko, akciové riziko, komoditní riziko. Je zahrnuta absolutní hodnota aktiv a </w:t>
            </w:r>
            <w:r w:rsidRPr="006223CC">
              <w:rPr>
                <w:rFonts w:ascii="Times New Roman" w:hAnsi="Times New Roman"/>
                <w:sz w:val="24"/>
                <w:lang w:val="fr-FR"/>
              </w:rPr>
              <w:lastRenderedPageBreak/>
              <w:t>závazků oceňovaných reálnou hodnotou, u nichž je prokázána nulová hodnota AVA podle čl. 9 odst. 2, čl. 10 odst. 2 nebo čl. 10 odst. 3 nařízení v přenesené pravomoci (EU) 2016/101 a které jsou rovněž samostatně vykázány v řádcích 0070 a 0080.</w:t>
            </w:r>
          </w:p>
          <w:p w14:paraId="737925B0"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 xml:space="preserve">Řádek 0180: Absolutní hodnota aktiv a závazků oceňovaných reálnou hodnotou odpovídajících portfoliím, na něž se vztahuje záložní postup. </w:t>
            </w:r>
          </w:p>
        </w:tc>
      </w:tr>
      <w:tr w:rsidR="007266CF" w:rsidRPr="002A677E" w14:paraId="2AC43577" w14:textId="77777777" w:rsidTr="007266CF">
        <w:tc>
          <w:tcPr>
            <w:tcW w:w="1101" w:type="dxa"/>
          </w:tcPr>
          <w:p w14:paraId="056B4B4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0033821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OCEŇOVANÁ REÁLNOU HODNOTOU</w:t>
            </w:r>
          </w:p>
          <w:p w14:paraId="53136987" w14:textId="77777777" w:rsidR="007266CF" w:rsidRPr="002A677E" w:rsidRDefault="007266CF" w:rsidP="007266CF">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Absolutní hodnota aktiv oceňovaných </w:t>
            </w:r>
            <w:r>
              <w:rPr>
                <w:rStyle w:val="InstructionsTabelleberschrift"/>
                <w:rFonts w:ascii="Times New Roman" w:hAnsi="Times New Roman"/>
                <w:b w:val="0"/>
                <w:sz w:val="24"/>
                <w:u w:val="none"/>
              </w:rPr>
              <w:t>reálnou hodnotou odpovídajících různým řádkům, jak je vysvětleno v pokynech ke sloupcům 0130 až 0140 výše.</w:t>
            </w:r>
          </w:p>
        </w:tc>
      </w:tr>
      <w:tr w:rsidR="007266CF" w:rsidRPr="002A677E" w14:paraId="4D3C0271" w14:textId="77777777" w:rsidTr="007266CF">
        <w:tc>
          <w:tcPr>
            <w:tcW w:w="1101" w:type="dxa"/>
          </w:tcPr>
          <w:p w14:paraId="4443DAC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A2D58F0" w14:textId="77777777" w:rsidR="007266CF" w:rsidRPr="002A677E" w:rsidRDefault="007266CF" w:rsidP="007266CF">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ZÁVAZKY OCEŇOVANÉ REÁLNOU HODNOTOU</w:t>
            </w:r>
          </w:p>
          <w:p w14:paraId="38B9DC0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Absolutní hodnota závazků oceňovaných </w:t>
            </w:r>
            <w:r>
              <w:rPr>
                <w:rStyle w:val="InstructionsTabelleberschrift"/>
                <w:rFonts w:ascii="Times New Roman" w:hAnsi="Times New Roman"/>
                <w:b w:val="0"/>
                <w:sz w:val="24"/>
                <w:u w:val="none"/>
              </w:rPr>
              <w:t>reálnou hodnotou odpovídajících různým řádkům, jak je vysvětleno v pokynech ke sloupcům 0130 až 0140 výše.</w:t>
            </w:r>
          </w:p>
        </w:tc>
      </w:tr>
      <w:tr w:rsidR="007266CF" w:rsidRPr="002A677E" w14:paraId="16D56E18" w14:textId="77777777" w:rsidTr="007266CF">
        <w:tc>
          <w:tcPr>
            <w:tcW w:w="1101" w:type="dxa"/>
          </w:tcPr>
          <w:p w14:paraId="12367E7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F9E9E2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ČTVRTLETNÍ PŘÍJEM</w:t>
            </w:r>
          </w:p>
          <w:p w14:paraId="13253E5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Čtvrtletní příjmy („čtvrtletní příjem“) od posledního data vykazování přiřazené aktivům a závazkům oceňovaným reálnou hodnotou </w:t>
            </w:r>
            <w:r>
              <w:rPr>
                <w:rStyle w:val="InstructionsTabelleberschrift"/>
                <w:rFonts w:ascii="Times New Roman" w:hAnsi="Times New Roman"/>
                <w:b w:val="0"/>
                <w:sz w:val="24"/>
                <w:u w:val="none"/>
              </w:rPr>
              <w:t>odpovídajícím různým řádkům, jak je vysvětleno v pokynech ke sloupcům 0130 až 0140 výše, je-li příslušné přiřazení nebo zaokrouhlení založeno na odborném úsudku</w:t>
            </w:r>
            <w:r>
              <w:rPr>
                <w:rFonts w:ascii="Times New Roman" w:hAnsi="Times New Roman"/>
                <w:sz w:val="24"/>
              </w:rPr>
              <w:t>.</w:t>
            </w:r>
          </w:p>
        </w:tc>
      </w:tr>
      <w:tr w:rsidR="007266CF" w:rsidRPr="002A677E" w14:paraId="182451BD" w14:textId="77777777" w:rsidTr="007266CF">
        <w:tc>
          <w:tcPr>
            <w:tcW w:w="1101" w:type="dxa"/>
          </w:tcPr>
          <w:p w14:paraId="14ED441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6D59269A"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w:t>
            </w:r>
          </w:p>
          <w:p w14:paraId="102AC767"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Součet neupravených hodnot rozdílů („rozdíly z nezávislého ověřování“) napříč všemi pozicemi a rizikovými faktory vypočtený na konci měsíce nejbližšího k datu vykazování postupem nezávislého ověřování cen provedeným podle čl. 105 odst. 8 </w:t>
            </w:r>
            <w:r>
              <w:rPr>
                <w:rFonts w:ascii="Times New Roman" w:hAnsi="Times New Roman"/>
                <w:sz w:val="24"/>
              </w:rPr>
              <w:t>nařízení (EU) č. 575/2013</w:t>
            </w:r>
            <w:r>
              <w:rPr>
                <w:rStyle w:val="InstructionsTabelleberschrift"/>
                <w:rFonts w:ascii="Times New Roman" w:hAnsi="Times New Roman"/>
                <w:b w:val="0"/>
                <w:sz w:val="24"/>
                <w:u w:val="none"/>
              </w:rPr>
              <w:t xml:space="preserve"> s ohledem na nejkvalitnější nezávislé údaje pro příslušnou pozici nebo rizikový faktor. </w:t>
            </w:r>
          </w:p>
          <w:p w14:paraId="54306BCB"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Neupravené hodnoty rozdílů se vztahují k neupraveným rozdílům mezi oceněním získaným ze systému obchodování a oceněním vyhodnoceným v rámci měsíčního postupu nezávislého ověřování cen. </w:t>
            </w:r>
          </w:p>
          <w:p w14:paraId="60A43F7C"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tc>
      </w:tr>
      <w:tr w:rsidR="007266CF" w:rsidRPr="002A677E" w14:paraId="5B8BCF48" w14:textId="77777777" w:rsidTr="007266CF">
        <w:tc>
          <w:tcPr>
            <w:tcW w:w="1101" w:type="dxa"/>
          </w:tcPr>
          <w:p w14:paraId="4460836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459D9B53"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ÚPRAVY REÁLNÉ HODNOTY</w:t>
            </w:r>
          </w:p>
          <w:p w14:paraId="4A5C8CA1"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někdy označované za „rezervy“, případně uplatněné na účetní reálnou hodnotu instituce, které se provádějí mimo model oceňování používaný ke generování účetních hodnot (kromě Odkladu zisků a ztrát prvního dne) a lze mít za to, že řeší stejný zdroj nejistoty oceňování jako příslušná AVA. Mohly by odrážet rizikové faktory, které nebyly zachyceny technikami oceňování, které mají podobu rizikové přirážky nebo výstupních nákladů a odpovídají definici reálné hodnoty. Účastníci trhu je však zohledňují při stanovení cen. (IFRS 13 odst. 9 a IFRS 13 odst. 88)</w:t>
            </w:r>
          </w:p>
        </w:tc>
      </w:tr>
      <w:tr w:rsidR="007266CF" w:rsidRPr="002A677E" w14:paraId="062B0099" w14:textId="77777777" w:rsidTr="007266CF">
        <w:tc>
          <w:tcPr>
            <w:tcW w:w="1101" w:type="dxa"/>
          </w:tcPr>
          <w:p w14:paraId="1D9BF25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2ACF71C"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NEJISTOTA TRŽNÍCH CEN</w:t>
            </w:r>
          </w:p>
          <w:p w14:paraId="4090982E"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Úprava uplatněná na reálnou hodnotu instituce pro zohlednění rizikové přirážky plynoucí z existence škály pozorovaných cen ekvivalentních nástrojů nebo, v </w:t>
            </w:r>
            <w:r>
              <w:rPr>
                <w:rStyle w:val="InstructionsTabelleberschrift"/>
                <w:rFonts w:ascii="Times New Roman" w:hAnsi="Times New Roman"/>
                <w:b w:val="0"/>
                <w:sz w:val="24"/>
                <w:u w:val="none"/>
              </w:rPr>
              <w:lastRenderedPageBreak/>
              <w:t xml:space="preserve">případě vstupního údaje u tržního parametru v modelu oceňování, nástrojů, jejichž vstupní údaj byl kalibrován, a u níž proto lze mít za to, že řeší stejný zdroj nejistoty oceňování jako dodatečná úprava ocenění z důvodu nejistoty tržních cen. </w:t>
            </w:r>
          </w:p>
        </w:tc>
      </w:tr>
      <w:tr w:rsidR="007266CF" w:rsidRPr="002A677E" w14:paraId="2F6F3C82" w14:textId="77777777" w:rsidTr="007266CF">
        <w:tc>
          <w:tcPr>
            <w:tcW w:w="1101" w:type="dxa"/>
          </w:tcPr>
          <w:p w14:paraId="3AC2969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5617203A"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14:paraId="503C2BF5"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skutečnosti, že ocenění úrovně pozice neodráží výstupní cenu pozice nebo portfolia, zejména pokud jsou taková ocenění kalibrována na cenu střed, a u níž proto lze mít za to, že řeší stejný zdroj nejistoty oceňování jako</w:t>
            </w:r>
            <w:r>
              <w:rPr>
                <w:rFonts w:ascii="Times New Roman" w:hAnsi="Times New Roman"/>
                <w:sz w:val="24"/>
              </w:rPr>
              <w:t xml:space="preserve"> dodatečná úprava ocenění z důvodů nákladů na uzavření pozice</w:t>
            </w:r>
            <w:r>
              <w:rPr>
                <w:rStyle w:val="InstructionsTabelleberschrift"/>
                <w:rFonts w:ascii="Times New Roman" w:hAnsi="Times New Roman"/>
                <w:b w:val="0"/>
                <w:sz w:val="24"/>
                <w:u w:val="none"/>
              </w:rPr>
              <w:t>.</w:t>
            </w:r>
          </w:p>
        </w:tc>
      </w:tr>
      <w:tr w:rsidR="007266CF" w:rsidRPr="002A677E" w14:paraId="1D887367" w14:textId="77777777" w:rsidTr="007266CF">
        <w:tc>
          <w:tcPr>
            <w:tcW w:w="1101" w:type="dxa"/>
          </w:tcPr>
          <w:p w14:paraId="59710D4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61177CF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RIZIKO MODELŮ</w:t>
            </w:r>
          </w:p>
          <w:p w14:paraId="5D22DD16"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faktorů, které souvisejí s trhem nebo produktem a nejsou zachyceny modelem, který se používá k výpočtu denních hodnot a rizik pozic („model oceňování“), nebo pro zajištění příslušné úrovně obezřetnosti kvůli nejistotě plynoucí z existence několika dalších platných modelů a jejich kalibrací, a u níž proto lze mít za to, že řeší stejný zdroj nejistoty oceňování jako</w:t>
            </w:r>
            <w:r>
              <w:rPr>
                <w:rFonts w:ascii="Times New Roman" w:hAnsi="Times New Roman"/>
                <w:sz w:val="24"/>
              </w:rPr>
              <w:t xml:space="preserve"> dodatečná úprava ocenění zohledňující riziko modelů</w:t>
            </w:r>
            <w:r>
              <w:rPr>
                <w:rStyle w:val="InstructionsTabelleberschrift"/>
                <w:rFonts w:ascii="Times New Roman" w:hAnsi="Times New Roman"/>
                <w:b w:val="0"/>
                <w:sz w:val="24"/>
                <w:u w:val="none"/>
              </w:rPr>
              <w:t>.</w:t>
            </w:r>
          </w:p>
        </w:tc>
      </w:tr>
      <w:tr w:rsidR="007266CF" w:rsidRPr="002A677E" w14:paraId="72C1CF19" w14:textId="77777777" w:rsidTr="007266CF">
        <w:tc>
          <w:tcPr>
            <w:tcW w:w="1101" w:type="dxa"/>
          </w:tcPr>
          <w:p w14:paraId="16C00B2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60790E7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KONCENTROVANÉ POZICE</w:t>
            </w:r>
          </w:p>
          <w:p w14:paraId="1F2BEA22"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skutečnosti, že agregovaná pozice držená institucí je větší než běžně obchodovaný objem nebo větší než velikosti pozic, na nichž se zakládají pozorovatelné nabídky cen nebo transakce, které se používají ke kalibraci cen nebo vstupních údajů používaných v modelech hodnocení, a u níž proto lze mít za to, že řeší stejný zdroj nejistoty oceňování jako</w:t>
            </w:r>
            <w:r>
              <w:rPr>
                <w:rFonts w:ascii="Times New Roman" w:hAnsi="Times New Roman"/>
                <w:sz w:val="24"/>
              </w:rPr>
              <w:t xml:space="preserve"> dodatečná úprava ocenění zohledňující koncentrované pozice</w:t>
            </w:r>
            <w:r>
              <w:rPr>
                <w:rStyle w:val="InstructionsTabelleberschrift"/>
                <w:rFonts w:ascii="Times New Roman" w:hAnsi="Times New Roman"/>
                <w:b w:val="0"/>
                <w:sz w:val="24"/>
                <w:u w:val="none"/>
              </w:rPr>
              <w:t xml:space="preserve">. </w:t>
            </w:r>
          </w:p>
        </w:tc>
      </w:tr>
      <w:tr w:rsidR="007266CF" w:rsidRPr="002A677E" w14:paraId="2DD25BF1" w14:textId="77777777" w:rsidTr="007266CF">
        <w:tc>
          <w:tcPr>
            <w:tcW w:w="1101" w:type="dxa"/>
          </w:tcPr>
          <w:p w14:paraId="1032ED7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0CCDB48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NEPODCHYCENÁ ÚVĚROVÁ ROZPĚTÍ</w:t>
            </w:r>
          </w:p>
          <w:p w14:paraId="4A94140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Úprava uplatněná na reálnou hodnotu instituce k pokrytí ztrát očekávaných z důvodu selhání protistrany u derivátových pozic (tedy riziko úvěrových úprav v ocenění „CVA“ na úrovni instituce).</w:t>
            </w:r>
          </w:p>
        </w:tc>
      </w:tr>
      <w:tr w:rsidR="007266CF" w:rsidRPr="002A677E" w14:paraId="738EF956" w14:textId="77777777" w:rsidTr="007266CF">
        <w:tc>
          <w:tcPr>
            <w:tcW w:w="1101" w:type="dxa"/>
          </w:tcPr>
          <w:p w14:paraId="7A1DF3E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A21FBF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INVESTIČNÍ NÁKLADY A NÁKLADY NA FINANCOVÁNÍ</w:t>
            </w:r>
          </w:p>
          <w:p w14:paraId="34CB3A79"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ke kompenzaci případů, v nichž modely hodnocení plně neodrážejí náklady na financování, které by účastníci trhu začlenili do výstupní ceny pozice nebo portfolia (tedy celková úprava ocenění financování na úrovni instituce, pokud instituce takovou úpravu počítá, nebo případně rovnocenná úprava).</w:t>
            </w:r>
          </w:p>
        </w:tc>
      </w:tr>
      <w:tr w:rsidR="007266CF" w:rsidRPr="002A677E" w14:paraId="22EC6467" w14:textId="77777777" w:rsidTr="007266CF">
        <w:tc>
          <w:tcPr>
            <w:tcW w:w="1101" w:type="dxa"/>
          </w:tcPr>
          <w:p w14:paraId="4F00601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5C7311F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14:paraId="4585391A"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administrativních nákladů, které souvisejí s portfoliem nebo pozicí, ale nejsou zachyceny v modelu oceňování ani v cenách, které se používají ke kalibraci vstupních údajů daného modelu, a u níž proto lze mít za to, že řeší stejný zdroj nejistoty oceňování jako dodatečná úprava ocenění zohledňující budoucí administrativní náklady.</w:t>
            </w:r>
          </w:p>
        </w:tc>
      </w:tr>
      <w:tr w:rsidR="007266CF" w:rsidRPr="002A677E" w14:paraId="4E964311" w14:textId="77777777" w:rsidTr="007266CF">
        <w:tc>
          <w:tcPr>
            <w:tcW w:w="1101" w:type="dxa"/>
          </w:tcPr>
          <w:p w14:paraId="61D4819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14:paraId="307D0E5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PŘEDČASNÉ UKONČENÍ</w:t>
            </w:r>
          </w:p>
          <w:p w14:paraId="489D1E0A"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uplatněné na reálnou hodnotu instituce pro zohlednění očekávání smluvního nebo mimosmluvního předčasného ukončení, které není zachyceno v modelu oceňování, a u nichž proto lze mít za to, že řeší stejný zdroj nejistoty oceňování jako dodatečná úprava ocenění zohledňující předčasné ukončení.</w:t>
            </w:r>
          </w:p>
        </w:tc>
      </w:tr>
      <w:tr w:rsidR="007266CF" w:rsidRPr="002A677E" w14:paraId="7E531110" w14:textId="77777777" w:rsidTr="007266CF">
        <w:tc>
          <w:tcPr>
            <w:tcW w:w="1101" w:type="dxa"/>
          </w:tcPr>
          <w:p w14:paraId="7597D06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2392A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OPERAČNÍ RIZIKO</w:t>
            </w:r>
          </w:p>
          <w:p w14:paraId="5BBD0AC5"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Úpravy uplatněné na reálnou hodnotu instituce pro zohlednění rizikové přirážky, kterou by účastníci trhu vyžadovali jako kompenzaci operačních rizik plynoucích ze zajišťování, správy a vypořádání smluv portfolia, a u nichž proto lze mít za to, že řeší stejný zdroj nejistoty oceňování jako dodatečná úprava ocenění zohledňující operační riziko.</w:t>
            </w:r>
          </w:p>
        </w:tc>
      </w:tr>
      <w:tr w:rsidR="007266CF" w:rsidRPr="002A677E" w14:paraId="203F8A9E" w14:textId="77777777" w:rsidTr="007266CF">
        <w:tc>
          <w:tcPr>
            <w:tcW w:w="1101" w:type="dxa"/>
          </w:tcPr>
          <w:p w14:paraId="53C2896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91EE2C0"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ZISKY A ZTRÁTY PRVNÍHO DNE</w:t>
            </w:r>
          </w:p>
          <w:p w14:paraId="60EDDCE1"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pro zohlednění případů, kdy model oceňování spolu se všemi ostatními příslušnými úpravami reálné hodnoty použitelnými na pozici nebo portfolio neodrážel cenu zaplacenou nebo přijatou v prvním dni zaúčtování, tedy odklad zisků a ztrát prvního dne (IFRS 9 B odst. 5.1.2.A).</w:t>
            </w:r>
          </w:p>
        </w:tc>
      </w:tr>
      <w:tr w:rsidR="007266CF" w:rsidRPr="002A677E" w14:paraId="5D82C2BB" w14:textId="77777777" w:rsidTr="007266CF">
        <w:tc>
          <w:tcPr>
            <w:tcW w:w="1101" w:type="dxa"/>
          </w:tcPr>
          <w:p w14:paraId="40B591E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0AC630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VYSVĚTLUJÍCÍ POPIS</w:t>
            </w:r>
          </w:p>
          <w:p w14:paraId="4060D2C6"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Popis pozic, na něž se vztahovalo zacházení podle čl. 7 odst. 2 písm. b) nařízení v přenesené pravomoci (EU) 2016/101, a důvody, proč nebylo možné použít články 9 až 17 uvedeného nařízení.</w:t>
            </w:r>
          </w:p>
        </w:tc>
      </w:tr>
    </w:tbl>
    <w:p w14:paraId="7C7560BD" w14:textId="77777777" w:rsidR="007266CF" w:rsidRPr="002A677E" w:rsidRDefault="007266CF" w:rsidP="007266CF">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7266CF" w:rsidRPr="002A677E" w14:paraId="198DAF3E" w14:textId="77777777" w:rsidTr="007266CF">
        <w:tc>
          <w:tcPr>
            <w:tcW w:w="9288" w:type="dxa"/>
            <w:gridSpan w:val="2"/>
            <w:shd w:val="clear" w:color="auto" w:fill="CCCCCC"/>
          </w:tcPr>
          <w:p w14:paraId="3E0D2693"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Řádky</w:t>
            </w:r>
          </w:p>
        </w:tc>
      </w:tr>
      <w:tr w:rsidR="007266CF" w:rsidRPr="006223CC" w14:paraId="5AA6032A" w14:textId="77777777" w:rsidTr="007266CF">
        <w:tc>
          <w:tcPr>
            <w:tcW w:w="1101" w:type="dxa"/>
          </w:tcPr>
          <w:p w14:paraId="6B88AF3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5B5EA8D"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 xml:space="preserve">1. ZÁKLADNÍ POSTUP CELKEM </w:t>
            </w:r>
          </w:p>
          <w:p w14:paraId="5EF417E2" w14:textId="77777777" w:rsidR="007266CF" w:rsidRPr="006223CC" w:rsidRDefault="007266CF" w:rsidP="007266CF">
            <w:pPr>
              <w:spacing w:beforeLines="60" w:before="144" w:afterLines="60" w:after="144"/>
              <w:rPr>
                <w:rFonts w:ascii="Times New Roman" w:hAnsi="Times New Roman"/>
                <w:sz w:val="24"/>
                <w:lang w:val="fr-FR"/>
              </w:rPr>
            </w:pPr>
            <w:r>
              <w:rPr>
                <w:rFonts w:ascii="Times New Roman" w:hAnsi="Times New Roman"/>
                <w:sz w:val="24"/>
              </w:rPr>
              <w:t>Čl. 7 odst. </w:t>
            </w:r>
            <w:r w:rsidRPr="006223CC">
              <w:rPr>
                <w:rFonts w:ascii="Times New Roman" w:hAnsi="Times New Roman"/>
                <w:sz w:val="24"/>
                <w:lang w:val="fr-FR"/>
              </w:rPr>
              <w:t>2 nařízení v přenesené pravomoci (EU) 2016/101</w:t>
            </w:r>
          </w:p>
          <w:p w14:paraId="55453242" w14:textId="77777777" w:rsidR="007266CF" w:rsidRPr="006223CC" w:rsidRDefault="007266CF" w:rsidP="007266CF">
            <w:pPr>
              <w:spacing w:beforeLines="60" w:before="144" w:afterLines="60" w:after="144"/>
              <w:rPr>
                <w:rFonts w:ascii="Times New Roman" w:hAnsi="Times New Roman"/>
                <w:sz w:val="24"/>
                <w:lang w:val="fr-FR"/>
              </w:rPr>
            </w:pPr>
            <w:r w:rsidRPr="006223CC">
              <w:rPr>
                <w:rFonts w:ascii="Times New Roman" w:hAnsi="Times New Roman"/>
                <w:sz w:val="24"/>
                <w:lang w:val="fr-FR"/>
              </w:rPr>
              <w:t xml:space="preserve">U každé příslušné kategorie AVA uvedené ve sloupcích 0010 až 0110 celkové AVA vypočtené podle základního postupu, který je stanoven v kapitole 3 nařízení v přenesené pravomoci (EU) 2016/101, pro aktiva a závazky oceňované reálnou hodnotou zahrnuté do výpočtu limitu podle čl. 4 odst. 1 uvedeného nařízení. Jsou zahrnuty výhody diverzifikace vykázané v řádku 0140 podle čl. 9 odst. 6, čl. 10 odst. 7 a čl. 11 odst. 7 nařízení v přenesené pravomoci (EU) 2016/101. </w:t>
            </w:r>
          </w:p>
        </w:tc>
      </w:tr>
      <w:tr w:rsidR="007266CF" w:rsidRPr="006223CC" w14:paraId="7A0C7257" w14:textId="77777777" w:rsidTr="007266CF">
        <w:tc>
          <w:tcPr>
            <w:tcW w:w="1101" w:type="dxa"/>
          </w:tcPr>
          <w:p w14:paraId="2DD43F6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4290D710"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 xml:space="preserve">Z TOHO: OBCHODNÍ PORTFOLIO </w:t>
            </w:r>
          </w:p>
          <w:p w14:paraId="499764B1" w14:textId="77777777" w:rsidR="007266CF" w:rsidRPr="006223CC" w:rsidRDefault="007266CF" w:rsidP="007266CF">
            <w:pPr>
              <w:spacing w:beforeLines="60" w:before="144" w:afterLines="60" w:after="144"/>
              <w:rPr>
                <w:rFonts w:ascii="Times New Roman" w:hAnsi="Times New Roman"/>
                <w:sz w:val="24"/>
                <w:lang w:val="fr-FR"/>
              </w:rPr>
            </w:pPr>
            <w:r>
              <w:rPr>
                <w:rFonts w:ascii="Times New Roman" w:hAnsi="Times New Roman"/>
                <w:sz w:val="24"/>
              </w:rPr>
              <w:t>Čl. 7 odst. </w:t>
            </w:r>
            <w:r w:rsidRPr="006223CC">
              <w:rPr>
                <w:rFonts w:ascii="Times New Roman" w:hAnsi="Times New Roman"/>
                <w:sz w:val="24"/>
                <w:lang w:val="fr-FR"/>
              </w:rPr>
              <w:t>2 nařízení v přenesené pravomoci (EU) 2016/101</w:t>
            </w:r>
          </w:p>
          <w:p w14:paraId="4FFEB902" w14:textId="77777777" w:rsidR="007266CF" w:rsidRPr="006223CC" w:rsidRDefault="007266CF" w:rsidP="007266CF">
            <w:pPr>
              <w:spacing w:beforeLines="60" w:before="144" w:afterLines="60" w:after="144"/>
              <w:rPr>
                <w:rFonts w:ascii="Times New Roman" w:hAnsi="Times New Roman"/>
                <w:b/>
                <w:sz w:val="24"/>
                <w:u w:val="single"/>
                <w:lang w:val="fr-FR"/>
              </w:rPr>
            </w:pPr>
            <w:r w:rsidRPr="006223CC">
              <w:rPr>
                <w:rFonts w:ascii="Times New Roman" w:hAnsi="Times New Roman"/>
                <w:sz w:val="24"/>
                <w:lang w:val="fr-FR"/>
              </w:rPr>
              <w:t>U každé příslušné kategorie AVA uvedené ve sloupcích 0010 až 0110 podíl celkové AVA vykázané v řádku 0010, který plyne z pozicí obchodního portfolia (absolutní hodnota).</w:t>
            </w:r>
          </w:p>
        </w:tc>
      </w:tr>
      <w:tr w:rsidR="007266CF" w:rsidRPr="002A677E" w14:paraId="65F8F568" w14:textId="77777777" w:rsidTr="007266CF">
        <w:tc>
          <w:tcPr>
            <w:tcW w:w="1101" w:type="dxa"/>
          </w:tcPr>
          <w:p w14:paraId="4A8B740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14:paraId="62EF3DA2"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PORTFOLIA PODLE ČLÁNKŮ 9 AŽ 17 </w:t>
            </w:r>
            <w:r>
              <w:t xml:space="preserve"> </w:t>
            </w:r>
            <w:r>
              <w:rPr>
                <w:rFonts w:ascii="Times New Roman" w:hAnsi="Times New Roman"/>
                <w:b/>
                <w:sz w:val="24"/>
                <w:u w:val="single"/>
              </w:rPr>
              <w:t xml:space="preserve">NAŘÍZENÍ KOMISE V PŘENESENÉ PRAVOMOCI (EU) 2016/101 – CELKOVÁ AVA NA ÚROVNI KATEGORIE PO DIVERZIFIKACI </w:t>
            </w:r>
          </w:p>
          <w:p w14:paraId="0F1C4AD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7 odst. 2 písm. a) nařízení v přenesené pravomoci (EU) 2016/101.</w:t>
            </w:r>
          </w:p>
          <w:p w14:paraId="4B6EFB0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U každé příslušné kategorie AVA uvedené ve sloupcích 0010 až 0110 celkovou AVA vypočtenou podle článků 9 až 17 nařízení v přenesené pravomoci (EU) 2016/101 pro aktiva a závazky oceňované reálnou hodnotou zahrnuté do výpočtu limitu podle čl. 4 odst. 1 uvedeného nařízení, kromě aktiv a závazků oceňovaných reálnou hodnotou, na které se vztahuje zacházení popsané v čl. 7 odst. 2 písm. b) nařízení v přenesené pravomoci (EU) 2016/101. </w:t>
            </w:r>
          </w:p>
          <w:p w14:paraId="7BA14A3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Jsou zahrnuty AVA vypočtené podle článků 12 a 13 nařízení v přenesené pravomoci (EU) 2016/101, které jsou vykázané v řádcích 0050 a 0060 a zahrnuté do AVA zohledňujících nejistotu tržních cen, náklady na uzavření pozic a rizika modelů podle čl. 12 odst. 2 a čl. 13 odst. 2 uvedeného nařízení. </w:t>
            </w:r>
          </w:p>
          <w:p w14:paraId="75A8A71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Jsou zahrnuty výhody diverzifikace vykázané v řádku 0140 podle čl. 9 odst. 6, čl. 10 odst. 7 a čl. 11 odst. 7 nařízení v přenesené pravomoci (EU) 2016/101. </w:t>
            </w:r>
          </w:p>
          <w:p w14:paraId="621F4DC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Řádek 0030 je rozdílem mezi řádky 0040 a 0140. </w:t>
            </w:r>
          </w:p>
        </w:tc>
      </w:tr>
      <w:tr w:rsidR="007266CF" w:rsidRPr="002A677E" w14:paraId="258CF377" w14:textId="77777777" w:rsidTr="007266CF">
        <w:tc>
          <w:tcPr>
            <w:tcW w:w="1101" w:type="dxa"/>
          </w:tcPr>
          <w:p w14:paraId="1AEB969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14:paraId="5AFDB3DD"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 AVA NA ÚROVNI CELKOVÉ KATEGORIE PŘED DIVERZIFIKACÍ</w:t>
            </w:r>
          </w:p>
          <w:p w14:paraId="51EA134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U řádků 0090 až 0130 instituce přiřadí svá aktiva a závazky oceňované reálnou hodnotou zahrnuté do výpočtu limitu podle čl. 4 odst. 1 nařízení v přenesené pravomoci (EU) 2016/101 (obchodní a investiční portfolio) k následujícím kategoriím rizik: úrokové riziko, měnové riziko, úvěrové riziko, akciové riziko, komoditní riziko. </w:t>
            </w:r>
          </w:p>
          <w:p w14:paraId="1BF27D8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Instituce pro tento účel vycházejí ze své interní struktury řízení rizik a na základě mapování provedeného odborným úsudkem přidělí své linie podnikání nebo obchodní útvary k nejvhodnější kategorii rizik. AVA, úpravy reálné hodnoty a další požadované informace, které odpovídají přiřazeným liniím podnikání nebo obchodním útvarům, se přiřadí ke stejné příslušné kategorii rizik, aby se na úrovni řádku získal u každé kategorie rizik konzistentní přehled úprav uplatněných jak pro obezřetnostní, tak pro účetní účely, i indikace velikosti dotčených pozic (z hlediska aktiv a závazků oceňovaných reálnou hodnotou). Pokud se AVA nebo jiné úpravy počítají na různých úrovních agregace, zejména na úrovni podniků, vyvine instituce metodiku přiřazování AVA k příslušným souborům pozic. Metodika přiřazování vede k tomu, že řádek 0040 bude součtem řádků 0050 až 0130 u sloupců 0010 až 0100. </w:t>
            </w:r>
          </w:p>
          <w:p w14:paraId="40C5C19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Bez ohledu na použitý přístup musí být vykázané informace co nejvíce konzistentní na úrovni řádků, protože právě na této úrovni se budou poskytnuté informace porovnávat (hodnota AVA, vzestupná nejistota, reálné hodnoty a jejich případné úpravy). </w:t>
            </w:r>
          </w:p>
          <w:p w14:paraId="7DA07DC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Z rozčlenění v řádcích 0090 až 0130 jsou vyloučeny AVA vypočtené podle článků 12 a 13 nařízení v přenesené pravomoci (EU) 2016/101, které jsou vykázané v řádcích 0050 a 0060 a zahrnuté do AVA zohledňujících nejistotu </w:t>
            </w:r>
            <w:r>
              <w:rPr>
                <w:rFonts w:ascii="Times New Roman" w:hAnsi="Times New Roman"/>
                <w:sz w:val="24"/>
              </w:rPr>
              <w:lastRenderedPageBreak/>
              <w:t>tržních cen, náklady na uzavření pozic a rizika modelů podle čl. 12 odst. 2 a čl. 13 odst. 2 uvedeného nařízení.</w:t>
            </w:r>
          </w:p>
          <w:p w14:paraId="1105C61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Výhody diverzifikace se vykazují v řádku 0140 podle čl. 9 odst. 6, čl. 10 odst. 7 a čl. 11 odst. 7 nařízení v přenesené pravomoci (EU) 2016/101, a proto jsou z řádků 0040 až 0130 vyloučeny. </w:t>
            </w:r>
          </w:p>
        </w:tc>
      </w:tr>
      <w:tr w:rsidR="007266CF" w:rsidRPr="002A677E" w14:paraId="54ADBA19" w14:textId="77777777" w:rsidTr="007266CF">
        <w:tc>
          <w:tcPr>
            <w:tcW w:w="1101" w:type="dxa"/>
          </w:tcPr>
          <w:p w14:paraId="2B64DBE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5755AF58"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Z TOHO: AVA ZOHLEDŇUJÍCÍ NEPODCHYCENÁ ÚVĚROVÁ ROZPĚTÍ</w:t>
            </w:r>
          </w:p>
          <w:p w14:paraId="0D34AF2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105 odst. 10 nařízení (EU) č. 575/2013 a článku 12 nařízení v přenesené pravomoci (EU) 2016/101</w:t>
            </w:r>
          </w:p>
          <w:p w14:paraId="3930C33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Celková AVA vypočtená pro nepodchycená úvěrová rozpětí („AVA z CVA“) a její přidělení k AVA zohledňujícím nejistotu tržních cen, náklady na uzavření pozice nebo rizika modelů podle článku 12 nařízení v přenesené pravomoci (EU) 2016/101. </w:t>
            </w:r>
          </w:p>
          <w:p w14:paraId="1EBCD59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Sloupec 0110: Celková AVA se uvádí pouze pro informaci, protože její přidělení k AVA zohledňujícím nejistotu tržních cen, náklady na uzavření pozice nebo rizika modelů vede k jejímu zařazení – po zohlednění všech výhod diverzifikace – do příslušných AVA na úrovni kategorie. </w:t>
            </w:r>
          </w:p>
          <w:p w14:paraId="4D5BC55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Sloupce 0130 a 0140: Absolutní hodnota aktiv a závazků oceňovaných reálnou hodnotou zahrnutých do rozsahu výpočtu AVA zohledňujících nepodchycená úvěrová rozpětí. Pro účely výpočtu této AVA se již přesně odpovídající kompenzující aktiva a závazky oceňované reálnou hodnotou, které jsou vyloučeny z výpočtu limitu podle čl. 4 odst. 2 nařízení v přenesené pravomoci (EU) 2016/101, nepovažují za přesně odpovídající a kompenzující.</w:t>
            </w:r>
          </w:p>
        </w:tc>
      </w:tr>
      <w:tr w:rsidR="007266CF" w:rsidRPr="002A677E" w14:paraId="6B324D33" w14:textId="77777777" w:rsidTr="007266CF">
        <w:tc>
          <w:tcPr>
            <w:tcW w:w="1101" w:type="dxa"/>
          </w:tcPr>
          <w:p w14:paraId="27C92CB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6BC56E4D"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 xml:space="preserve">Z TOHO: AVA ZOHLEDŇUJÍCÍ INVESTIČNÍ NÁKLADY A NÁKLADY NA FINANCOVÁNÍ </w:t>
            </w:r>
          </w:p>
          <w:p w14:paraId="1025698D" w14:textId="77777777" w:rsidR="007266CF" w:rsidRPr="002A677E" w:rsidRDefault="007266CF" w:rsidP="007266CF">
            <w:pPr>
              <w:spacing w:beforeLines="60" w:before="144" w:afterLines="60" w:after="144"/>
              <w:rPr>
                <w:rFonts w:ascii="Times New Roman" w:hAnsi="Times New Roman"/>
                <w:caps/>
                <w:sz w:val="24"/>
                <w:u w:val="single"/>
              </w:rPr>
            </w:pPr>
            <w:r>
              <w:rPr>
                <w:rFonts w:ascii="Times New Roman" w:hAnsi="Times New Roman"/>
                <w:sz w:val="24"/>
              </w:rPr>
              <w:t>Ustanovení čl. 105 odst. 10 nařízení (EU) č. 575/2013 a článku 17 nařízení v přenesené pravomoci (EU) 2016/101</w:t>
            </w:r>
          </w:p>
          <w:p w14:paraId="064EF72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Celková AVA vypočtená pro investiční náklady a náklady na financování a její přidělení k AVA zohledňujícím nejistotu tržních cen, náklady na uzavření pozice nebo rizika modelů podle článku 13 nařízení v přenesené pravomoci (EU) 2016/101. </w:t>
            </w:r>
          </w:p>
          <w:p w14:paraId="1E6C5E1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Sloupec 0110: Celková AVA se uvádí pouze pro informaci, protože její přidělení k AVA zohledňujícím nejistotu tržních cen, náklady na uzavření pozice nebo rizika modelů vede k jejímu zařazení – po zohlednění všech výhod diverzifikace – do příslušných AVA na úrovni kategorie. </w:t>
            </w:r>
          </w:p>
          <w:p w14:paraId="3E62B12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Sloupce 0130 a 0140: Absolutní hodnota aktiv a závazků oceňovaných reálnou hodnotou zahrnutých do rozsahu výpočtu AVA zohledňující investiční náklady a náklady na financování. Pro účely výpočtu této AVA se již přesně odpovídající kompenzující aktiva a závazky oceňované reálnou hodnotou, které jsou vyloučeny z výpočtu limitu podle čl. 4 odst. 2 nařízení v přenesené pravomoci (EU) 2016/101, nepovažují za přesně odpovídající a kompenzující.</w:t>
            </w:r>
          </w:p>
        </w:tc>
      </w:tr>
      <w:tr w:rsidR="007266CF" w:rsidRPr="002A677E" w14:paraId="382A5898" w14:textId="77777777" w:rsidTr="007266CF">
        <w:tc>
          <w:tcPr>
            <w:tcW w:w="1101" w:type="dxa"/>
          </w:tcPr>
          <w:p w14:paraId="03C8944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40EDB0FA"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Z TOHO: AVA OCENĚNÁ NULOVOU HODNOTOU PODLE ČL. 9 ODST. 2</w:t>
            </w:r>
            <w:r>
              <w:rPr>
                <w:rFonts w:ascii="Times New Roman" w:hAnsi="Times New Roman"/>
                <w:sz w:val="24"/>
              </w:rPr>
              <w:t xml:space="preserve"> </w:t>
            </w:r>
            <w:r>
              <w:rPr>
                <w:rFonts w:ascii="Times New Roman" w:hAnsi="Times New Roman"/>
                <w:b/>
                <w:caps/>
                <w:sz w:val="24"/>
              </w:rPr>
              <w:t>nařízení v přenesené pravomoci (EU) 2016/101</w:t>
            </w:r>
          </w:p>
          <w:p w14:paraId="79AB355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Absolutní hodnota aktiv a závazků oceňovaných reálnou hodnotou odpovídajících oceňovaným expozicím, u nichž je prokázána nulová hodnota AVA podle čl. 9 odst. 2 nařízení v přenesené pravomoci (EU) 2016/101. </w:t>
            </w:r>
          </w:p>
        </w:tc>
      </w:tr>
      <w:tr w:rsidR="007266CF" w:rsidRPr="002A677E" w14:paraId="6F3BC6CA" w14:textId="77777777" w:rsidTr="007266CF">
        <w:tc>
          <w:tcPr>
            <w:tcW w:w="1101" w:type="dxa"/>
          </w:tcPr>
          <w:p w14:paraId="4B95A12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46541827"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Z TOHO: AVA OCENĚNÁ NULOVOU HODNOTOU PODLE ČL. 10 ODST. 2 A 3</w:t>
            </w:r>
            <w:r>
              <w:rPr>
                <w:rFonts w:ascii="Times New Roman" w:hAnsi="Times New Roman"/>
                <w:sz w:val="24"/>
              </w:rPr>
              <w:t xml:space="preserve"> </w:t>
            </w:r>
            <w:r>
              <w:rPr>
                <w:rFonts w:ascii="Times New Roman" w:hAnsi="Times New Roman"/>
                <w:b/>
                <w:caps/>
                <w:sz w:val="24"/>
              </w:rPr>
              <w:t>nařízení v přenesené pravomoci (EU) 2016/101</w:t>
            </w:r>
          </w:p>
          <w:p w14:paraId="232F78D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odpovídajících oceňovaným expozicím, u nichž je prokázána nulová hodnota dodatečné úpravy ocenění podle čl. 10 odst. 2 nebo čl. 10 odst. 3 nařízení v přenesené pravomoci (EU) 2016/101.</w:t>
            </w:r>
          </w:p>
        </w:tc>
      </w:tr>
      <w:tr w:rsidR="007266CF" w:rsidRPr="002A677E" w14:paraId="7F5A1B42" w14:textId="77777777" w:rsidTr="007266CF">
        <w:tc>
          <w:tcPr>
            <w:tcW w:w="1101" w:type="dxa"/>
          </w:tcPr>
          <w:p w14:paraId="634628C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597E5DD"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1.1.1.1 ÚROKOVÉ SAZBY</w:t>
            </w:r>
          </w:p>
        </w:tc>
      </w:tr>
      <w:tr w:rsidR="007266CF" w:rsidRPr="002A677E" w14:paraId="464DF395" w14:textId="77777777" w:rsidTr="007266CF">
        <w:tc>
          <w:tcPr>
            <w:tcW w:w="1101" w:type="dxa"/>
          </w:tcPr>
          <w:p w14:paraId="3ED4BA3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01F8F14E"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1.1.1.2 CIZÍ MĚNA</w:t>
            </w:r>
          </w:p>
        </w:tc>
      </w:tr>
      <w:tr w:rsidR="007266CF" w:rsidRPr="002A677E" w14:paraId="52BF7F76" w14:textId="77777777" w:rsidTr="007266CF">
        <w:tc>
          <w:tcPr>
            <w:tcW w:w="1101" w:type="dxa"/>
          </w:tcPr>
          <w:p w14:paraId="3786887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3F2D9525"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1.1.1.3 ÚVĚR</w:t>
            </w:r>
          </w:p>
        </w:tc>
      </w:tr>
      <w:tr w:rsidR="007266CF" w:rsidRPr="002A677E" w14:paraId="760A988D" w14:textId="77777777" w:rsidTr="007266CF">
        <w:tc>
          <w:tcPr>
            <w:tcW w:w="1101" w:type="dxa"/>
          </w:tcPr>
          <w:p w14:paraId="1789B59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19087F5C"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1.1.1.4 AKCIE</w:t>
            </w:r>
          </w:p>
        </w:tc>
      </w:tr>
      <w:tr w:rsidR="007266CF" w:rsidRPr="002A677E" w14:paraId="40A95739" w14:textId="77777777" w:rsidTr="007266CF">
        <w:tc>
          <w:tcPr>
            <w:tcW w:w="1101" w:type="dxa"/>
          </w:tcPr>
          <w:p w14:paraId="0F8B58E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6FDE5D2C"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1.1.1.5 KOMODITY</w:t>
            </w:r>
          </w:p>
        </w:tc>
      </w:tr>
      <w:tr w:rsidR="007266CF" w:rsidRPr="002A677E" w14:paraId="63BFB336" w14:textId="77777777" w:rsidTr="007266CF">
        <w:tc>
          <w:tcPr>
            <w:tcW w:w="1101" w:type="dxa"/>
          </w:tcPr>
          <w:p w14:paraId="3B83F17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4FD307D8"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1.1.2 (−) Výhody diverzifikace</w:t>
            </w:r>
          </w:p>
          <w:p w14:paraId="6DE0CA5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Celkové výhody diverzifikace. Součet hodnot uvedených v řádcích 0150 a 0160.</w:t>
            </w:r>
          </w:p>
        </w:tc>
      </w:tr>
      <w:tr w:rsidR="007266CF" w:rsidRPr="002A677E" w14:paraId="0A1D5A6D" w14:textId="77777777" w:rsidTr="007266CF">
        <w:tc>
          <w:tcPr>
            <w:tcW w:w="1101" w:type="dxa"/>
          </w:tcPr>
          <w:p w14:paraId="4C4B1AA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78493733"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1.1.2.1 (−) Výhoda diverzifikace vypočtená metodou 1</w:t>
            </w:r>
          </w:p>
          <w:p w14:paraId="2BD79FE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 kategorií dodatečných úprav ocenění agregovaných metodou 1 podle čl. 9 odst. 6, čl. 10 odst. 7 a čl. 11 odst. 6 nařízení v přenesené pravomoci (EU) 2016/101 rozdíl mezi součtem jednotlivých dodatečných úprav ocenění a celkovou dodatečnou úpravou ocenění na úrovni kategorie po zohlednění agregace.</w:t>
            </w:r>
          </w:p>
        </w:tc>
      </w:tr>
      <w:tr w:rsidR="007266CF" w:rsidRPr="002A677E" w14:paraId="70CF864E" w14:textId="77777777" w:rsidTr="007266CF">
        <w:tc>
          <w:tcPr>
            <w:tcW w:w="1101" w:type="dxa"/>
          </w:tcPr>
          <w:p w14:paraId="2322B95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062D7C8D"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1.1.2.2 (−) Výhoda diverzifikace vypočtená metodou 2</w:t>
            </w:r>
          </w:p>
          <w:p w14:paraId="1A0FF24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 kategorií dodatečných úprav ocenění agregovaných metodou 2 podle čl. 9 odst. 6, čl. 10 odst. 7 a čl. 11 odst. 6 nařízení v přenesené pravomoci (EU) 2016/101 rozdíl mezi součtem jednotlivých dodatečných úprav ocenění a celkovou dodatečnou úpravou ocenění na úrovni kategorie po zohlednění agregace.</w:t>
            </w:r>
          </w:p>
        </w:tc>
      </w:tr>
      <w:tr w:rsidR="007266CF" w:rsidRPr="002A677E" w14:paraId="499BD9BC" w14:textId="77777777" w:rsidTr="007266CF">
        <w:tc>
          <w:tcPr>
            <w:tcW w:w="1101" w:type="dxa"/>
          </w:tcPr>
          <w:p w14:paraId="646054B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5E9F16BF"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1.1.2.2* Doplňková položka: AVA před diverzifikací snížené o více než 90 % diverzifikací podle metody 2</w:t>
            </w:r>
          </w:p>
          <w:p w14:paraId="1838798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V terminologii metody 2 součet FV–PV pro všechny oceňované expozice, u nichž je APVA &lt; 10 % (FV – PV).</w:t>
            </w:r>
          </w:p>
        </w:tc>
      </w:tr>
      <w:tr w:rsidR="007266CF" w:rsidRPr="002A677E" w14:paraId="448F1BFC" w14:textId="77777777" w:rsidTr="007266CF">
        <w:tc>
          <w:tcPr>
            <w:tcW w:w="1101" w:type="dxa"/>
          </w:tcPr>
          <w:p w14:paraId="7AFCCE0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4F789605"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1.2 Portfolia vypočtená podle záložního postupu</w:t>
            </w:r>
          </w:p>
          <w:p w14:paraId="60200F9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Ustanovení čl. 7 odst. 2 písm. b) nařízení v přenesené pravomoci (EU) 2016/101.</w:t>
            </w:r>
          </w:p>
          <w:p w14:paraId="4901E7A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U portfolií, na něž se vztahuje záložní postup podle čl. 7 odst. 2 písm. b) nařízení v přenesené pravomoci (EU) 2016/101, se celková dodatečná úprava ocenění vypočte jako součet řádků 0190, 0200 a 0210. </w:t>
            </w:r>
          </w:p>
          <w:p w14:paraId="69217B9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Relevantní informace z rozvahy a další kontextuální informace se uvádějí ve sloupcích 0130 až 0260. Popis pozic a odůvodnění, proč nebylo možné použít články 9 až 17 nařízení v přenesené pravomoci (EU) 2016/101, se uvedou ve sloupci 0270. </w:t>
            </w:r>
          </w:p>
        </w:tc>
      </w:tr>
      <w:tr w:rsidR="007266CF" w:rsidRPr="002A677E" w14:paraId="3542027E" w14:textId="77777777" w:rsidTr="007266CF">
        <w:tc>
          <w:tcPr>
            <w:tcW w:w="1101" w:type="dxa"/>
          </w:tcPr>
          <w:p w14:paraId="41315B0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1D7D01A5"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1.2.1 Záložní postup; 100 % nerealizovaného zisku</w:t>
            </w:r>
          </w:p>
          <w:p w14:paraId="5FB4C6F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7 odst. 2 písm. b) bodu i) nařízení v přenesené pravomoci (EU) 2016/101.</w:t>
            </w:r>
          </w:p>
        </w:tc>
      </w:tr>
      <w:tr w:rsidR="007266CF" w:rsidRPr="002A677E" w14:paraId="79BBE85D" w14:textId="77777777" w:rsidTr="007266CF">
        <w:tc>
          <w:tcPr>
            <w:tcW w:w="1101" w:type="dxa"/>
          </w:tcPr>
          <w:p w14:paraId="406672E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35535E5D"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1.2.2 Záložní postup; 10 % pomyslné hodnoty</w:t>
            </w:r>
          </w:p>
          <w:p w14:paraId="5A57EA1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7 odst. 2 písm. b) bodu ii) nařízení v přenesené pravomoci (EU) 2016/101.</w:t>
            </w:r>
          </w:p>
        </w:tc>
      </w:tr>
      <w:tr w:rsidR="007266CF" w:rsidRPr="002A677E" w14:paraId="14355EF2" w14:textId="77777777" w:rsidTr="007266CF">
        <w:tc>
          <w:tcPr>
            <w:tcW w:w="1101" w:type="dxa"/>
          </w:tcPr>
          <w:p w14:paraId="38CE3597"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9EABACB" w14:textId="77777777" w:rsidR="007266CF" w:rsidRPr="002A677E" w:rsidRDefault="007266CF" w:rsidP="007266CF">
            <w:pPr>
              <w:spacing w:beforeLines="60" w:before="144" w:afterLines="60" w:after="144"/>
              <w:rPr>
                <w:rFonts w:ascii="Times New Roman" w:hAnsi="Times New Roman"/>
                <w:b/>
                <w:caps/>
                <w:sz w:val="24"/>
                <w:u w:val="single"/>
              </w:rPr>
            </w:pPr>
            <w:r>
              <w:rPr>
                <w:rFonts w:ascii="Times New Roman" w:hAnsi="Times New Roman"/>
                <w:b/>
                <w:caps/>
                <w:sz w:val="24"/>
                <w:u w:val="single"/>
              </w:rPr>
              <w:t>1.2.3 Záložní postup; 25 % počáteční hodnoty</w:t>
            </w:r>
          </w:p>
          <w:p w14:paraId="1D0CEEE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Ustanovení čl. 7 odst. 2 písm. b) bodu iii) nařízení v přenesené pravomoci (EU) 2016/101.</w:t>
            </w:r>
          </w:p>
        </w:tc>
      </w:tr>
    </w:tbl>
    <w:p w14:paraId="5E8833A4" w14:textId="77777777" w:rsidR="007266CF" w:rsidRPr="002A677E" w:rsidRDefault="007266CF" w:rsidP="007266CF">
      <w:pPr>
        <w:rPr>
          <w:rStyle w:val="InstructionsTabelleText"/>
          <w:rFonts w:ascii="Times New Roman" w:hAnsi="Times New Roman"/>
          <w:sz w:val="24"/>
        </w:rPr>
      </w:pPr>
    </w:p>
    <w:p w14:paraId="2A321098" w14:textId="77777777" w:rsidR="007266CF" w:rsidRPr="002A677E" w:rsidRDefault="007266CF" w:rsidP="007266CF">
      <w:pPr>
        <w:pStyle w:val="Instructionsberschrift2"/>
        <w:numPr>
          <w:ilvl w:val="0"/>
          <w:numId w:val="0"/>
        </w:numPr>
        <w:ind w:left="357" w:hanging="357"/>
        <w:rPr>
          <w:rFonts w:ascii="Times New Roman" w:hAnsi="Times New Roman"/>
          <w:sz w:val="24"/>
          <w:u w:val="none"/>
        </w:rPr>
      </w:pPr>
      <w:bookmarkStart w:id="342" w:name="_Toc116026864"/>
      <w:bookmarkStart w:id="343" w:name="_Toc119078021"/>
      <w:r>
        <w:rPr>
          <w:rFonts w:ascii="Times New Roman" w:hAnsi="Times New Roman"/>
          <w:sz w:val="24"/>
          <w:u w:val="none"/>
        </w:rPr>
        <w:t xml:space="preserve">6.3 </w:t>
      </w:r>
      <w:r>
        <w:rPr>
          <w:rFonts w:ascii="Times New Roman" w:hAnsi="Times New Roman"/>
          <w:sz w:val="24"/>
        </w:rPr>
        <w:t>C 32.03 – Obezřetné oceňování AVA zohledňující riziko modelů (PruVal 3)</w:t>
      </w:r>
      <w:bookmarkEnd w:id="342"/>
      <w:bookmarkEnd w:id="343"/>
    </w:p>
    <w:p w14:paraId="5DB34DEA" w14:textId="77777777" w:rsidR="007266CF" w:rsidRPr="002A677E" w:rsidRDefault="007266CF" w:rsidP="00A75C39">
      <w:pPr>
        <w:pStyle w:val="Instructionsberschrift2"/>
        <w:numPr>
          <w:ilvl w:val="3"/>
          <w:numId w:val="137"/>
        </w:numPr>
        <w:rPr>
          <w:rFonts w:ascii="Times New Roman" w:hAnsi="Times New Roman" w:cs="Times New Roman"/>
          <w:sz w:val="24"/>
          <w:u w:val="none"/>
        </w:rPr>
      </w:pPr>
      <w:bookmarkStart w:id="344" w:name="_Toc116026865"/>
      <w:bookmarkStart w:id="345" w:name="_Toc119078022"/>
      <w:r>
        <w:rPr>
          <w:rFonts w:ascii="Times New Roman" w:hAnsi="Times New Roman"/>
          <w:sz w:val="24"/>
        </w:rPr>
        <w:t>Obecné poznámky</w:t>
      </w:r>
      <w:bookmarkEnd w:id="344"/>
      <w:bookmarkEnd w:id="345"/>
      <w:r>
        <w:rPr>
          <w:rFonts w:ascii="Times New Roman" w:hAnsi="Times New Roman"/>
          <w:sz w:val="24"/>
          <w:u w:val="none"/>
        </w:rPr>
        <w:t xml:space="preserve"> </w:t>
      </w:r>
    </w:p>
    <w:p w14:paraId="42C0FAC6" w14:textId="77777777" w:rsidR="007266CF" w:rsidRPr="002A677E" w:rsidRDefault="007266CF" w:rsidP="007266CF">
      <w:pPr>
        <w:pStyle w:val="InstructionsText2"/>
        <w:numPr>
          <w:ilvl w:val="0"/>
          <w:numId w:val="0"/>
        </w:numPr>
        <w:ind w:left="1353" w:hanging="360"/>
      </w:pPr>
      <w:fldSimple w:instr=" seq paragraphs ">
        <w:r>
          <w:t>181</w:t>
        </w:r>
      </w:fldSimple>
      <w:r>
        <w:t>. Tuto šablonu vyplňují pouze instituce, které překračují prahovou hodnotu podle čl. 4 odst. 1 nařízení v přenesené pravomoci (EU) 2016/101. Instituce, které jsou součástí skupiny, která limit překračuje na konsolidovaném základě, jsou povinny tuto šablonu vykázat pouze v případě, že překračují limit i na své úrovni.</w:t>
      </w:r>
    </w:p>
    <w:p w14:paraId="006165EF" w14:textId="77777777" w:rsidR="007266CF" w:rsidRPr="002A677E" w:rsidRDefault="007266CF" w:rsidP="007266CF">
      <w:pPr>
        <w:pStyle w:val="InstructionsText2"/>
        <w:numPr>
          <w:ilvl w:val="0"/>
          <w:numId w:val="0"/>
        </w:numPr>
        <w:ind w:left="1353" w:hanging="360"/>
      </w:pPr>
      <w:fldSimple w:instr=" seq paragraphs ">
        <w:r>
          <w:t>182</w:t>
        </w:r>
      </w:fldSimple>
      <w:r>
        <w:t>. Tato šablona se použije k vykázání podrobných údajů o dvaceti nejvýznamnějších individuálních AVA zohledňujících rizika modelů v podobě objemu AVA, který přispívá k celkové AVA zohledňující riziko modelů na úrovni kategorie vypočtené podle článku 11 nařízení v přenesené pravomoci (EU) 2016/101. Tato informace odpovídá informaci vykázané ve sloupci 0050 šablony C 32.02.</w:t>
      </w:r>
    </w:p>
    <w:p w14:paraId="339039CC" w14:textId="77777777" w:rsidR="007266CF" w:rsidRPr="002A677E" w:rsidRDefault="007266CF" w:rsidP="007266CF">
      <w:pPr>
        <w:pStyle w:val="InstructionsText2"/>
        <w:numPr>
          <w:ilvl w:val="0"/>
          <w:numId w:val="0"/>
        </w:numPr>
        <w:ind w:left="1353" w:hanging="360"/>
      </w:pPr>
      <w:fldSimple w:instr=" seq paragraphs ">
        <w:r>
          <w:t>183</w:t>
        </w:r>
      </w:fldSimple>
      <w:r>
        <w:t xml:space="preserve">. Dvacet nejvýznamnějších individuálních AVA zohledňujících rizika modelů a odpovídající informace o produktech se vykazují v klesajícím pořadí počínaje nejvýznamnější individuální AVA zohledňující riziko modelů. </w:t>
      </w:r>
    </w:p>
    <w:p w14:paraId="3F0614E3" w14:textId="77777777" w:rsidR="007266CF" w:rsidRPr="002A677E" w:rsidRDefault="007266CF" w:rsidP="007266CF">
      <w:pPr>
        <w:pStyle w:val="InstructionsText2"/>
        <w:numPr>
          <w:ilvl w:val="0"/>
          <w:numId w:val="0"/>
        </w:numPr>
        <w:ind w:left="1353" w:hanging="360"/>
      </w:pPr>
      <w:fldSimple w:instr=" seq paragraphs ">
        <w:r>
          <w:t>184</w:t>
        </w:r>
      </w:fldSimple>
      <w:r>
        <w:t xml:space="preserve">. Produkty, které odpovídají těmto nejvýznamnějším individuálním AVA zohledňujícím rizika modelů, se vykazují za použití seznamu produktů vyžadovaného čl. 19 odst. 3 písm. a) nařízení v přenesené pravomoci (EU) 2016/101. </w:t>
      </w:r>
    </w:p>
    <w:p w14:paraId="675C1F28" w14:textId="77777777" w:rsidR="007266CF" w:rsidRPr="002A677E" w:rsidRDefault="007266CF" w:rsidP="007266CF">
      <w:pPr>
        <w:pStyle w:val="InstructionsText2"/>
        <w:numPr>
          <w:ilvl w:val="0"/>
          <w:numId w:val="0"/>
        </w:numPr>
        <w:ind w:left="1353" w:hanging="360"/>
      </w:pPr>
      <w:fldSimple w:instr=" seq paragraphs ">
        <w:r>
          <w:t>185</w:t>
        </w:r>
      </w:fldSimple>
      <w:r>
        <w:t xml:space="preserve">. Jsou-li produkty dostatečně homogenní z hlediska modelu oceňování a AVA zohledňující riziko modelů, sloučí se a vykáží na jednom řádku, aby tato šablona </w:t>
      </w:r>
      <w:r>
        <w:lastRenderedPageBreak/>
        <w:t>zajistila co nejvyšší pokrytí celkové AVA zohledňující riziko modelů na úrovni kategorie dané instituce.</w:t>
      </w:r>
    </w:p>
    <w:p w14:paraId="54242170" w14:textId="77777777" w:rsidR="007266CF" w:rsidRPr="002A677E" w:rsidRDefault="007266CF" w:rsidP="00A75C39">
      <w:pPr>
        <w:pStyle w:val="Instructionsberschrift2"/>
        <w:numPr>
          <w:ilvl w:val="3"/>
          <w:numId w:val="138"/>
        </w:numPr>
        <w:rPr>
          <w:rFonts w:ascii="Times New Roman" w:hAnsi="Times New Roman" w:cs="Times New Roman"/>
          <w:sz w:val="24"/>
        </w:rPr>
      </w:pPr>
      <w:bookmarkStart w:id="346" w:name="_Toc116026866"/>
      <w:bookmarkStart w:id="347" w:name="_Toc119078023"/>
      <w:r>
        <w:rPr>
          <w:rFonts w:ascii="Times New Roman" w:hAnsi="Times New Roman"/>
          <w:sz w:val="24"/>
        </w:rPr>
        <w:t>Pokyny pro konkrétní pozice</w:t>
      </w:r>
      <w:bookmarkEnd w:id="346"/>
      <w:bookmarkEnd w:id="347"/>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7266CF" w:rsidRPr="002A677E" w14:paraId="398BAE9C" w14:textId="77777777" w:rsidTr="007266CF">
        <w:tc>
          <w:tcPr>
            <w:tcW w:w="9322" w:type="dxa"/>
            <w:gridSpan w:val="2"/>
            <w:shd w:val="clear" w:color="auto" w:fill="CCCCCC"/>
          </w:tcPr>
          <w:p w14:paraId="0923B2B6"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Sloupce</w:t>
            </w:r>
          </w:p>
        </w:tc>
      </w:tr>
      <w:tr w:rsidR="007266CF" w:rsidRPr="002A677E" w14:paraId="1782B11D" w14:textId="77777777" w:rsidTr="007266CF">
        <w:tc>
          <w:tcPr>
            <w:tcW w:w="1101" w:type="dxa"/>
          </w:tcPr>
          <w:p w14:paraId="3EB65CE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5160524"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POŘADÍ</w:t>
            </w:r>
          </w:p>
          <w:p w14:paraId="68D03B60"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Pořadí je identifikátorem řádku a je pro každý řádek šablony jedinečné. Pořadí má číselnou podobu 1, 2, 3 atd., přičemž číslo 1 je přiřazeno nejvýznamnější individuální ACA zohledňující riziko modelů, číslo 2 druhé nejvýznamnější atd.</w:t>
            </w:r>
          </w:p>
        </w:tc>
      </w:tr>
      <w:tr w:rsidR="007266CF" w:rsidRPr="002A677E" w14:paraId="3CB5B2AB" w14:textId="77777777" w:rsidTr="007266CF">
        <w:tc>
          <w:tcPr>
            <w:tcW w:w="1101" w:type="dxa"/>
          </w:tcPr>
          <w:p w14:paraId="0BD153D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788A42AF"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6B2D1CC5"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sz w:val="24"/>
              </w:rPr>
              <w:t>Interní (alfanumerický) název modelu, který instituce používá k identifikaci modelu.</w:t>
            </w:r>
          </w:p>
        </w:tc>
      </w:tr>
      <w:tr w:rsidR="007266CF" w:rsidRPr="002A677E" w14:paraId="15232C31" w14:textId="77777777" w:rsidTr="007266CF">
        <w:tc>
          <w:tcPr>
            <w:tcW w:w="1101" w:type="dxa"/>
          </w:tcPr>
          <w:p w14:paraId="219422C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4B06681C"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KATEGORIE RIZIKA</w:t>
            </w:r>
          </w:p>
          <w:p w14:paraId="4FD4C8C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Kategorie rizika (úrokové, měnové, úvěrové, akciové, komoditní), která nejlépe charakterizuje produkt nebo skupinu produktů vyvolávajících AVA zohledňující riziko modelů.</w:t>
            </w:r>
          </w:p>
          <w:p w14:paraId="31271C2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Instituce vykazují tyto kódy:</w:t>
            </w:r>
          </w:p>
          <w:p w14:paraId="44702EA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IR – úroky</w:t>
            </w:r>
          </w:p>
          <w:p w14:paraId="1EB9B93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FX – cizí měna</w:t>
            </w:r>
          </w:p>
          <w:p w14:paraId="560468C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CR – úvěr</w:t>
            </w:r>
          </w:p>
          <w:p w14:paraId="02353BD2"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EQ – akcie</w:t>
            </w:r>
          </w:p>
          <w:p w14:paraId="4F44955F"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CO – komodity</w:t>
            </w:r>
          </w:p>
        </w:tc>
      </w:tr>
      <w:tr w:rsidR="007266CF" w:rsidRPr="002A677E" w14:paraId="2E8094E9" w14:textId="77777777" w:rsidTr="007266CF">
        <w:tc>
          <w:tcPr>
            <w:tcW w:w="1101" w:type="dxa"/>
          </w:tcPr>
          <w:p w14:paraId="016313A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50F54B20"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6D4FEE9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Interní (alfanumerický) název produktu nebo skupiny produktů v souladu se seznamem produktů vyžadovaným podle čl. 19 odst. 3 písm. a) nařízení v přenesené pravomoci (EU) 2016/101, pro jejichž oceňování se používá daný model.</w:t>
            </w:r>
          </w:p>
        </w:tc>
      </w:tr>
      <w:tr w:rsidR="007266CF" w:rsidRPr="006223CC" w14:paraId="35B226E1" w14:textId="77777777" w:rsidTr="007266CF">
        <w:tc>
          <w:tcPr>
            <w:tcW w:w="1101" w:type="dxa"/>
          </w:tcPr>
          <w:p w14:paraId="15DD6CEA"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6AA7FE4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POZOROVATELNOST</w:t>
            </w:r>
          </w:p>
          <w:p w14:paraId="49D40A78" w14:textId="77777777" w:rsidR="007266CF" w:rsidRPr="002A677E" w:rsidRDefault="007266CF" w:rsidP="007266CF">
            <w:pPr>
              <w:pStyle w:val="CommentText"/>
              <w:rPr>
                <w:rFonts w:ascii="Times New Roman" w:hAnsi="Times New Roman"/>
                <w:sz w:val="24"/>
                <w:szCs w:val="24"/>
              </w:rPr>
            </w:pPr>
            <w:r>
              <w:rPr>
                <w:rFonts w:ascii="Times New Roman" w:hAnsi="Times New Roman"/>
                <w:sz w:val="24"/>
              </w:rPr>
              <w:t>Počet pozorovaných cen produktu nebo skupiny produktů v posledních dvanácti měsících, které splňují některé z následujících kritérií:</w:t>
            </w:r>
          </w:p>
          <w:p w14:paraId="66A27B67" w14:textId="77777777" w:rsidR="007266CF" w:rsidRPr="006223CC" w:rsidRDefault="007266CF" w:rsidP="00A75C39">
            <w:pPr>
              <w:pStyle w:val="CommentText"/>
              <w:numPr>
                <w:ilvl w:val="0"/>
                <w:numId w:val="22"/>
              </w:numPr>
              <w:rPr>
                <w:rFonts w:ascii="Times New Roman" w:hAnsi="Times New Roman"/>
                <w:sz w:val="24"/>
                <w:szCs w:val="24"/>
                <w:lang w:val="fr-FR"/>
              </w:rPr>
            </w:pPr>
            <w:r w:rsidRPr="006223CC">
              <w:rPr>
                <w:rFonts w:ascii="Times New Roman" w:hAnsi="Times New Roman"/>
                <w:sz w:val="24"/>
                <w:lang w:val="fr-FR"/>
              </w:rPr>
              <w:t>pozorovaná cena je cena, za niž instituce provedla transakci,</w:t>
            </w:r>
          </w:p>
          <w:p w14:paraId="02650825" w14:textId="77777777" w:rsidR="007266CF" w:rsidRPr="006223CC" w:rsidRDefault="007266CF" w:rsidP="00A75C39">
            <w:pPr>
              <w:pStyle w:val="CommentText"/>
              <w:numPr>
                <w:ilvl w:val="0"/>
                <w:numId w:val="22"/>
              </w:numPr>
              <w:rPr>
                <w:rFonts w:ascii="Times New Roman" w:hAnsi="Times New Roman"/>
                <w:sz w:val="24"/>
                <w:szCs w:val="24"/>
                <w:lang w:val="fr-FR"/>
              </w:rPr>
            </w:pPr>
            <w:r w:rsidRPr="006223CC">
              <w:rPr>
                <w:rFonts w:ascii="Times New Roman" w:hAnsi="Times New Roman"/>
                <w:sz w:val="24"/>
                <w:lang w:val="fr-FR"/>
              </w:rPr>
              <w:t>je to ověřitelná cena pro skutečnou transakci mezi třetími stranami,</w:t>
            </w:r>
          </w:p>
          <w:p w14:paraId="78F6323A" w14:textId="77777777" w:rsidR="007266CF" w:rsidRPr="006223CC" w:rsidRDefault="007266CF" w:rsidP="00A75C39">
            <w:pPr>
              <w:pStyle w:val="CommentText"/>
              <w:numPr>
                <w:ilvl w:val="0"/>
                <w:numId w:val="22"/>
              </w:numPr>
              <w:rPr>
                <w:rFonts w:ascii="Times New Roman" w:hAnsi="Times New Roman"/>
                <w:sz w:val="24"/>
                <w:szCs w:val="24"/>
                <w:lang w:val="fr-FR"/>
              </w:rPr>
            </w:pPr>
            <w:r w:rsidRPr="006223CC">
              <w:rPr>
                <w:rFonts w:ascii="Times New Roman" w:hAnsi="Times New Roman"/>
                <w:sz w:val="24"/>
                <w:lang w:val="fr-FR"/>
              </w:rPr>
              <w:t>cena se získá z pevné nabídky.</w:t>
            </w:r>
          </w:p>
          <w:p w14:paraId="17F1E385" w14:textId="77777777" w:rsidR="007266CF" w:rsidRPr="006223CC" w:rsidRDefault="007266CF" w:rsidP="007266CF">
            <w:pPr>
              <w:pStyle w:val="CommentText"/>
              <w:rPr>
                <w:rStyle w:val="InstructionsTabelleberschrift"/>
                <w:rFonts w:ascii="Times New Roman" w:hAnsi="Times New Roman"/>
                <w:b w:val="0"/>
                <w:sz w:val="24"/>
                <w:szCs w:val="24"/>
                <w:u w:val="none"/>
                <w:lang w:val="fr-FR"/>
              </w:rPr>
            </w:pPr>
            <w:r w:rsidRPr="006223CC">
              <w:rPr>
                <w:rFonts w:ascii="Times New Roman" w:hAnsi="Times New Roman"/>
                <w:sz w:val="24"/>
                <w:lang w:val="fr-FR"/>
              </w:rPr>
              <w:t>Instituce vykazují jednu z těchto hodnot: „žádná“, „1-6“, „6-24“, „24-100“, „100+“.</w:t>
            </w:r>
          </w:p>
        </w:tc>
      </w:tr>
      <w:tr w:rsidR="007266CF" w:rsidRPr="006223CC" w14:paraId="6D851F59" w14:textId="77777777" w:rsidTr="007266CF">
        <w:tc>
          <w:tcPr>
            <w:tcW w:w="1101" w:type="dxa"/>
          </w:tcPr>
          <w:p w14:paraId="0E8A5D1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6D22A6B4"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ZOHLEDŇUJÍCÍ RIZIKO MODELŮ</w:t>
            </w:r>
          </w:p>
          <w:p w14:paraId="656235AF" w14:textId="77777777" w:rsidR="007266CF" w:rsidRPr="006223CC" w:rsidRDefault="007266CF" w:rsidP="007266CF">
            <w:pPr>
              <w:spacing w:beforeLines="60" w:before="144" w:afterLines="60" w:after="144"/>
              <w:rPr>
                <w:rStyle w:val="InstructionsTabelleberschrift"/>
                <w:rFonts w:ascii="Times New Roman" w:hAnsi="Times New Roman"/>
                <w:b w:val="0"/>
                <w:sz w:val="24"/>
                <w:u w:val="none"/>
                <w:lang w:val="fr-FR"/>
              </w:rPr>
            </w:pPr>
            <w:r>
              <w:rPr>
                <w:rStyle w:val="InstructionsTabelleberschrift"/>
                <w:rFonts w:ascii="Times New Roman" w:hAnsi="Times New Roman"/>
                <w:b w:val="0"/>
                <w:sz w:val="24"/>
                <w:u w:val="none"/>
              </w:rPr>
              <w:t>Čl. 11 odst. </w:t>
            </w:r>
            <w:r w:rsidRPr="006223CC">
              <w:rPr>
                <w:rStyle w:val="InstructionsTabelleberschrift"/>
                <w:rFonts w:ascii="Times New Roman" w:hAnsi="Times New Roman"/>
                <w:b w:val="0"/>
                <w:sz w:val="24"/>
                <w:u w:val="none"/>
                <w:lang w:val="fr-FR"/>
              </w:rPr>
              <w:t>1</w:t>
            </w:r>
            <w:r w:rsidRPr="006223CC">
              <w:rPr>
                <w:rFonts w:ascii="Times New Roman" w:hAnsi="Times New Roman"/>
                <w:sz w:val="24"/>
                <w:lang w:val="fr-FR"/>
              </w:rPr>
              <w:t xml:space="preserve"> nařízení v přenesené pravomoci (EU) 2016/101.</w:t>
            </w:r>
          </w:p>
          <w:p w14:paraId="03B262CE" w14:textId="77777777" w:rsidR="007266CF" w:rsidRPr="006223CC" w:rsidRDefault="007266CF" w:rsidP="007266CF">
            <w:pPr>
              <w:spacing w:beforeLines="60" w:before="144" w:afterLines="60" w:after="144"/>
              <w:rPr>
                <w:rStyle w:val="InstructionsTabelleberschrift"/>
                <w:rFonts w:ascii="Times New Roman" w:hAnsi="Times New Roman"/>
                <w:b w:val="0"/>
                <w:sz w:val="24"/>
                <w:u w:val="none"/>
                <w:lang w:val="fr-FR"/>
              </w:rPr>
            </w:pPr>
            <w:r w:rsidRPr="006223CC">
              <w:rPr>
                <w:rStyle w:val="InstructionsTabelleberschrift"/>
                <w:rFonts w:ascii="Times New Roman" w:hAnsi="Times New Roman"/>
                <w:b w:val="0"/>
                <w:sz w:val="24"/>
                <w:u w:val="none"/>
                <w:lang w:val="fr-FR"/>
              </w:rPr>
              <w:lastRenderedPageBreak/>
              <w:t>Individuální AVA zohledňující riziko modelů před výhodou diverzifikace, ale po započtení portfolia v příslušných případech.</w:t>
            </w:r>
          </w:p>
        </w:tc>
      </w:tr>
      <w:tr w:rsidR="007266CF" w:rsidRPr="002A677E" w14:paraId="44768B11" w14:textId="77777777" w:rsidTr="007266CF">
        <w:tc>
          <w:tcPr>
            <w:tcW w:w="1101" w:type="dxa"/>
          </w:tcPr>
          <w:p w14:paraId="2710811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14:paraId="3F35D8A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NA ZÁKLADĚ ODBORNÉHO ÚSUDKU</w:t>
            </w:r>
          </w:p>
          <w:p w14:paraId="0FC645F5" w14:textId="77777777" w:rsidR="007266CF" w:rsidRPr="002A677E" w:rsidRDefault="007266CF" w:rsidP="007266CF">
            <w:pPr>
              <w:spacing w:beforeLines="60" w:before="144" w:afterLines="60" w:after="144"/>
              <w:rPr>
                <w:rStyle w:val="InstructionsTabelleberschrift"/>
                <w:rFonts w:ascii="Times New Roman" w:hAnsi="Times New Roman"/>
                <w:sz w:val="24"/>
                <w:u w:val="none"/>
              </w:rPr>
            </w:pPr>
            <w:r>
              <w:rPr>
                <w:rFonts w:ascii="Times New Roman" w:hAnsi="Times New Roman"/>
                <w:sz w:val="24"/>
              </w:rPr>
              <w:t>Hodnoty ve sloupci 0050, které byly vypočteny na základě odborného úsudku podle čl. 11 odst. 4 nařízení v přenesené pravomoci (EU) 2016/101.</w:t>
            </w:r>
          </w:p>
        </w:tc>
      </w:tr>
      <w:tr w:rsidR="007266CF" w:rsidRPr="002A677E" w14:paraId="484C97DE" w14:textId="77777777" w:rsidTr="007266CF">
        <w:tc>
          <w:tcPr>
            <w:tcW w:w="1101" w:type="dxa"/>
          </w:tcPr>
          <w:p w14:paraId="12C1D47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310058B5"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AGREGOVANÉ METODOU 2</w:t>
            </w:r>
          </w:p>
          <w:p w14:paraId="7557E72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Hodnoty ve sloupci 0050, které byly agregovány podle metody 2 uvedené v příloze nařízení v přenesené pravomoci (EU) 2016/101. Tyto hodnoty odpovídají FV – PV v terminologii uvedené přílohy. </w:t>
            </w:r>
          </w:p>
        </w:tc>
      </w:tr>
      <w:tr w:rsidR="007266CF" w:rsidRPr="002A677E" w14:paraId="16483AEF" w14:textId="77777777" w:rsidTr="007266CF">
        <w:tc>
          <w:tcPr>
            <w:tcW w:w="1101" w:type="dxa"/>
          </w:tcPr>
          <w:p w14:paraId="3D6AF67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4B7F0741"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AGREGOVANÁ AVA VYPOČÍTANÁ METODOU 2</w:t>
            </w:r>
          </w:p>
          <w:p w14:paraId="63462D64"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Příspěvek k celkové AVA zohledňující riziko modelů na úrovni kategorie, který byl vypočítaný podle čl. 11 odst. 7</w:t>
            </w:r>
            <w:r>
              <w:rPr>
                <w:rFonts w:ascii="Times New Roman" w:hAnsi="Times New Roman"/>
                <w:sz w:val="24"/>
              </w:rPr>
              <w:t xml:space="preserve"> nařízení v přenesené pravomoci (EU) 2016/101, </w:t>
            </w:r>
            <w:r>
              <w:rPr>
                <w:rStyle w:val="InstructionsTabelleberschrift"/>
                <w:rFonts w:ascii="Times New Roman" w:hAnsi="Times New Roman"/>
                <w:b w:val="0"/>
                <w:sz w:val="24"/>
                <w:u w:val="none"/>
              </w:rPr>
              <w:t>k individuálním AVA zohledňujícím rizika modelů, které jsou agregovány metodou 2 stanovenou v příloze</w:t>
            </w:r>
            <w:r>
              <w:rPr>
                <w:rFonts w:ascii="Times New Roman" w:hAnsi="Times New Roman"/>
                <w:sz w:val="24"/>
              </w:rPr>
              <w:t xml:space="preserve"> uvedeného nařízení</w:t>
            </w:r>
            <w:r>
              <w:rPr>
                <w:rStyle w:val="InstructionsTabelleberschrift"/>
                <w:rFonts w:ascii="Times New Roman" w:hAnsi="Times New Roman"/>
                <w:b w:val="0"/>
                <w:sz w:val="24"/>
                <w:u w:val="none"/>
              </w:rPr>
              <w:t xml:space="preserve">. </w:t>
            </w:r>
            <w:r>
              <w:rPr>
                <w:rFonts w:ascii="Times New Roman" w:hAnsi="Times New Roman"/>
                <w:sz w:val="24"/>
              </w:rPr>
              <w:t>Uvedená hodnota odpovídá APVA v terminologii přílohy.</w:t>
            </w:r>
          </w:p>
        </w:tc>
      </w:tr>
      <w:tr w:rsidR="007266CF" w:rsidRPr="002A677E" w14:paraId="6FC6F279" w14:textId="77777777" w:rsidTr="007266CF">
        <w:tc>
          <w:tcPr>
            <w:tcW w:w="1101" w:type="dxa"/>
          </w:tcPr>
          <w:p w14:paraId="6C09A1F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0090 – 0100</w:t>
            </w:r>
          </w:p>
        </w:tc>
        <w:tc>
          <w:tcPr>
            <w:tcW w:w="8221" w:type="dxa"/>
          </w:tcPr>
          <w:p w14:paraId="4898457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A ZÁVAZKY OCEŇOVANÉ REÁLNOU HODNOTOU</w:t>
            </w:r>
          </w:p>
          <w:p w14:paraId="14ADEF6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Absolutní hodnota aktiv a závazků oceňovaných reálnou hodnotou za použití modelu uvedeného ve sloupci 0010, jak je vykázána v účetní závěrce v souladu s použitelným účetním rámcem. </w:t>
            </w:r>
          </w:p>
        </w:tc>
      </w:tr>
      <w:tr w:rsidR="007266CF" w:rsidRPr="002A677E" w14:paraId="643B946E" w14:textId="77777777" w:rsidTr="007266CF">
        <w:tc>
          <w:tcPr>
            <w:tcW w:w="1101" w:type="dxa"/>
          </w:tcPr>
          <w:p w14:paraId="3E510FE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46DC0C2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OCEŇOVANÁ REÁLNOU HODNOTOU</w:t>
            </w:r>
          </w:p>
          <w:p w14:paraId="02CBEC79" w14:textId="77777777" w:rsidR="007266CF" w:rsidRPr="002A677E" w:rsidRDefault="007266CF" w:rsidP="007266CF">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Absolutní hodnota aktiv oceňovaných reálnou hodnotou za použití modelu uvedeného ve sloupci 0010, jak je vykázána v účetní závěrce v souladu s použitelným účetním rámcem</w:t>
            </w:r>
            <w:r>
              <w:rPr>
                <w:rStyle w:val="InstructionsTabelleberschrift"/>
                <w:rFonts w:ascii="Times New Roman" w:hAnsi="Times New Roman"/>
                <w:b w:val="0"/>
                <w:sz w:val="24"/>
                <w:u w:val="none"/>
              </w:rPr>
              <w:t>.</w:t>
            </w:r>
          </w:p>
        </w:tc>
      </w:tr>
      <w:tr w:rsidR="007266CF" w:rsidRPr="002A677E" w14:paraId="016C5697" w14:textId="77777777" w:rsidTr="007266CF">
        <w:tc>
          <w:tcPr>
            <w:tcW w:w="1101" w:type="dxa"/>
          </w:tcPr>
          <w:p w14:paraId="5CBA1BD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6ACA52A7"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ZÁVAZKY OCEŇOVANÉ REÁLNOU HODNOTOU</w:t>
            </w:r>
          </w:p>
          <w:p w14:paraId="6ED1CB2C" w14:textId="77777777" w:rsidR="007266CF" w:rsidRPr="002A677E" w:rsidRDefault="007266CF" w:rsidP="007266CF">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Absolutní hodnota závazků oceňovaných reálnou hodnotou za použití modelu uvedeného ve sloupci 0010, jak je vykázána v účetní závěrce v souladu s použitelným účetním rámcem. </w:t>
            </w:r>
          </w:p>
        </w:tc>
      </w:tr>
      <w:tr w:rsidR="007266CF" w:rsidRPr="002A677E" w14:paraId="7DFC8272" w14:textId="77777777" w:rsidTr="007266CF">
        <w:tc>
          <w:tcPr>
            <w:tcW w:w="1101" w:type="dxa"/>
          </w:tcPr>
          <w:p w14:paraId="34429F3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7AE3024E"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 (TESTOVÁNÍ VÝSTUPNÍCH ÚDAJŮ)</w:t>
            </w:r>
          </w:p>
          <w:p w14:paraId="71DC634E"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Součet neupravených hodnot rozdílů („rozdíly z nezávislého ověřování cen“) vypočítaných na konci měsíce nejbližšího k datu vykazování postupem nezávislého ověřování cen provedeným podle čl. 105 odst. 8 </w:t>
            </w:r>
            <w:r>
              <w:rPr>
                <w:rFonts w:ascii="Times New Roman" w:hAnsi="Times New Roman"/>
                <w:sz w:val="24"/>
              </w:rPr>
              <w:t>nařízení (EU) č. 575/2013</w:t>
            </w:r>
            <w:r>
              <w:rPr>
                <w:rStyle w:val="InstructionsTabelleberschrift"/>
                <w:rFonts w:ascii="Times New Roman" w:hAnsi="Times New Roman"/>
                <w:b w:val="0"/>
                <w:sz w:val="24"/>
                <w:u w:val="none"/>
              </w:rPr>
              <w:t xml:space="preserve"> s ohledem na nejkvalitnější nezávislé údaje pro odpovídající produkt nebo skupinu produktů. </w:t>
            </w:r>
          </w:p>
          <w:p w14:paraId="2EDA9E66"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Neupravené hodnoty rozdílů se vztahují k neupraveným rozdílům mezi oceněním získaným ze systému obchodování a oceněním vyhodnoceným v rámci měsíčního postupu nezávislého ověřování cen.</w:t>
            </w:r>
          </w:p>
          <w:p w14:paraId="13FB7AA9"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Do výpočtu rozdílu z nezávislého ověřování cen se nezahrne žádná upravená hodnota rozdílu v účetních knihách a záznamech instituce k datu konce relevantního měsíce.</w:t>
            </w:r>
          </w:p>
          <w:p w14:paraId="319D6370"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Zahrnou se sem pouze výsledky, které byly kalibrovány z cen nástrojů, které by byly vztaženy k témuž produktu (testování výstupů). Do výpočtu se nezahrnou výsledky testů vstupních údajů, v nichž jsou vstupní údaje z trhu testovány oproti úrovním, které byly kalibrovány z různých produktů.</w:t>
            </w:r>
          </w:p>
        </w:tc>
      </w:tr>
      <w:tr w:rsidR="007266CF" w:rsidRPr="002A677E" w14:paraId="1CBCAD0C" w14:textId="77777777" w:rsidTr="007266CF">
        <w:tc>
          <w:tcPr>
            <w:tcW w:w="1101" w:type="dxa"/>
          </w:tcPr>
          <w:p w14:paraId="5B25498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0835CB2" w14:textId="77777777" w:rsidR="007266CF" w:rsidRPr="002A677E" w:rsidRDefault="007266CF" w:rsidP="007266CF">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POKRYTÍ NEZÁVISLÉHO OVĚŘOVÁNÍ CEN (TESTOVÁNÍ VÝSTUPNÍCH ÚDAJŮ)</w:t>
            </w:r>
          </w:p>
          <w:p w14:paraId="0A87F488" w14:textId="77777777" w:rsidR="007266CF" w:rsidRPr="002A677E" w:rsidRDefault="007266CF" w:rsidP="007266CF">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Procento pozic vztažených k modelu vážených AVA zohledňující riziko modelů, které je pokryto výsledky testování výstupních údajů pro nezávislé ověřování cen podle sloupce 0110.</w:t>
            </w:r>
          </w:p>
        </w:tc>
      </w:tr>
      <w:tr w:rsidR="007266CF" w:rsidRPr="002A677E" w14:paraId="2AC540E8" w14:textId="77777777" w:rsidTr="007266CF">
        <w:tc>
          <w:tcPr>
            <w:tcW w:w="1101" w:type="dxa"/>
          </w:tcPr>
          <w:p w14:paraId="0D475C3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05A93599"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ÚPRAVY REÁLNÉ HODNOTY</w:t>
            </w:r>
          </w:p>
          <w:p w14:paraId="4779E7FA"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reálné hodnoty uvedené ve sloupcích 0190 a 0240 šablony C 32.02, které byly použity na pozice vztahující se k</w:t>
            </w:r>
            <w:r>
              <w:rPr>
                <w:rFonts w:ascii="Times New Roman" w:hAnsi="Times New Roman"/>
                <w:sz w:val="24"/>
              </w:rPr>
              <w:t xml:space="preserve"> modelu ve sloupci 0010</w:t>
            </w:r>
            <w:r>
              <w:rPr>
                <w:rStyle w:val="InstructionsTabelleberschrift"/>
                <w:rFonts w:ascii="Times New Roman" w:hAnsi="Times New Roman"/>
                <w:b w:val="0"/>
                <w:sz w:val="24"/>
                <w:u w:val="none"/>
              </w:rPr>
              <w:t>.</w:t>
            </w:r>
          </w:p>
        </w:tc>
      </w:tr>
      <w:tr w:rsidR="007266CF" w:rsidRPr="002A677E" w14:paraId="57F8C672" w14:textId="77777777" w:rsidTr="007266CF">
        <w:tc>
          <w:tcPr>
            <w:tcW w:w="1101" w:type="dxa"/>
          </w:tcPr>
          <w:p w14:paraId="6C57CB0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7F141DE8"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ZISKY A ZTRÁTY PRVNÍHO DNE</w:t>
            </w:r>
          </w:p>
          <w:p w14:paraId="41CC5C2B"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Úpravy vymezené ve sloupci 0260 šablony C 32.02, které byly použity na pozice vztahující se k</w:t>
            </w:r>
            <w:r>
              <w:rPr>
                <w:rFonts w:ascii="Times New Roman" w:hAnsi="Times New Roman"/>
                <w:sz w:val="24"/>
              </w:rPr>
              <w:t xml:space="preserve"> modelu ve sloupci 0010</w:t>
            </w:r>
            <w:r>
              <w:rPr>
                <w:rStyle w:val="InstructionsTabelleberschrift"/>
                <w:rFonts w:ascii="Times New Roman" w:hAnsi="Times New Roman"/>
                <w:b w:val="0"/>
                <w:sz w:val="24"/>
                <w:u w:val="none"/>
              </w:rPr>
              <w:t>.</w:t>
            </w:r>
          </w:p>
        </w:tc>
      </w:tr>
    </w:tbl>
    <w:p w14:paraId="7DE1E1AC" w14:textId="77777777" w:rsidR="007266CF" w:rsidRPr="002A677E" w:rsidRDefault="007266CF" w:rsidP="007266CF">
      <w:pPr>
        <w:rPr>
          <w:rStyle w:val="InstructionsTabelleText"/>
          <w:rFonts w:ascii="Times New Roman" w:hAnsi="Times New Roman"/>
          <w:sz w:val="24"/>
        </w:rPr>
      </w:pPr>
    </w:p>
    <w:p w14:paraId="5D9B70A7" w14:textId="77777777" w:rsidR="007266CF" w:rsidRPr="00D768D3" w:rsidRDefault="007266CF" w:rsidP="007266CF">
      <w:pPr>
        <w:pStyle w:val="Instructionsberschrift2"/>
        <w:numPr>
          <w:ilvl w:val="0"/>
          <w:numId w:val="0"/>
        </w:numPr>
        <w:ind w:left="357" w:hanging="357"/>
        <w:rPr>
          <w:rFonts w:ascii="Times New Roman" w:hAnsi="Times New Roman"/>
          <w:sz w:val="24"/>
          <w:u w:val="none"/>
        </w:rPr>
      </w:pPr>
      <w:bookmarkStart w:id="348" w:name="_Toc116026867"/>
      <w:bookmarkStart w:id="349" w:name="_Toc119078024"/>
      <w:r>
        <w:rPr>
          <w:rFonts w:ascii="Times New Roman" w:hAnsi="Times New Roman"/>
          <w:sz w:val="24"/>
          <w:u w:val="none"/>
        </w:rPr>
        <w:t xml:space="preserve">6.4 </w:t>
      </w:r>
      <w:r>
        <w:rPr>
          <w:rFonts w:ascii="Times New Roman" w:hAnsi="Times New Roman"/>
          <w:sz w:val="24"/>
        </w:rPr>
        <w:t>C 32.04 - Obezřetné oceňování: AVA zohledňující koncentrované pozice (PruVal 4)</w:t>
      </w:r>
      <w:bookmarkEnd w:id="348"/>
      <w:bookmarkEnd w:id="349"/>
    </w:p>
    <w:p w14:paraId="2F3DA989" w14:textId="77777777" w:rsidR="007266CF" w:rsidRPr="002A677E" w:rsidRDefault="007266CF" w:rsidP="00A75C39">
      <w:pPr>
        <w:pStyle w:val="Instructionsberschrift2"/>
        <w:numPr>
          <w:ilvl w:val="3"/>
          <w:numId w:val="139"/>
        </w:numPr>
        <w:rPr>
          <w:rFonts w:ascii="Times New Roman" w:hAnsi="Times New Roman" w:cs="Times New Roman"/>
          <w:sz w:val="24"/>
          <w:u w:val="none"/>
        </w:rPr>
      </w:pPr>
      <w:bookmarkStart w:id="350" w:name="_Toc116026868"/>
      <w:bookmarkStart w:id="351" w:name="_Toc119078025"/>
      <w:r>
        <w:rPr>
          <w:rFonts w:ascii="Times New Roman" w:hAnsi="Times New Roman"/>
          <w:sz w:val="24"/>
        </w:rPr>
        <w:t>Obecné poznámky</w:t>
      </w:r>
      <w:bookmarkEnd w:id="350"/>
      <w:bookmarkEnd w:id="351"/>
      <w:r>
        <w:rPr>
          <w:rFonts w:ascii="Times New Roman" w:hAnsi="Times New Roman"/>
          <w:sz w:val="24"/>
          <w:u w:val="none"/>
        </w:rPr>
        <w:t xml:space="preserve"> </w:t>
      </w:r>
    </w:p>
    <w:p w14:paraId="6B9DB1B4" w14:textId="77777777" w:rsidR="007266CF" w:rsidRPr="002A677E" w:rsidRDefault="007266CF" w:rsidP="007266CF">
      <w:pPr>
        <w:pStyle w:val="InstructionsText2"/>
        <w:numPr>
          <w:ilvl w:val="0"/>
          <w:numId w:val="0"/>
        </w:numPr>
        <w:ind w:left="1353" w:hanging="360"/>
      </w:pPr>
      <w:fldSimple w:instr=" seq paragraphs ">
        <w:r>
          <w:t>186</w:t>
        </w:r>
      </w:fldSimple>
      <w:r>
        <w:t>. Tuto šablonu vyplňují pouze instituce, které překračují prahovou hodnotu podle čl. 4 odst. 1 nařízení v přenesené pravomoci (EU) 2016/101. Instituce, které jsou součástí skupiny, která prahovou hodnotu překračuje na konsolidovaném základě, vykazují tuto šablonu pouze v případě, že ji překračují i na své úrovni.</w:t>
      </w:r>
    </w:p>
    <w:p w14:paraId="1BB7246E" w14:textId="77777777" w:rsidR="007266CF" w:rsidRPr="002A677E" w:rsidRDefault="007266CF" w:rsidP="007266CF">
      <w:pPr>
        <w:pStyle w:val="InstructionsText2"/>
        <w:numPr>
          <w:ilvl w:val="0"/>
          <w:numId w:val="0"/>
        </w:numPr>
        <w:ind w:left="1353" w:hanging="360"/>
      </w:pPr>
      <w:fldSimple w:instr=" seq paragraphs ">
        <w:r>
          <w:t>187</w:t>
        </w:r>
      </w:fldSimple>
      <w:r>
        <w:t xml:space="preserve">. Tato šablona se použije k vykázání podrobných údajů o dvaceti nejvýznamnějších individuálních AVA zohledňujících koncentrované pozice v podobě objemu AVA, který přispívá k celkové AVA zohledňující koncentrované pozice na úrovni kategorie vypočtené podle článku 14 nařízení v přenesené pravomoci (EU) 2016/101. Tyto údaje odpovídají údajům vykázaným ve sloupci 0070 šablony C 32.02. </w:t>
      </w:r>
    </w:p>
    <w:p w14:paraId="5BFD41F0" w14:textId="77777777" w:rsidR="007266CF" w:rsidRPr="002A677E" w:rsidRDefault="007266CF" w:rsidP="007266CF">
      <w:pPr>
        <w:pStyle w:val="InstructionsText2"/>
        <w:numPr>
          <w:ilvl w:val="0"/>
          <w:numId w:val="0"/>
        </w:numPr>
        <w:ind w:left="1353" w:hanging="360"/>
      </w:pPr>
      <w:fldSimple w:instr=" seq paragraphs ">
        <w:r>
          <w:t>188</w:t>
        </w:r>
      </w:fldSimple>
      <w:r>
        <w:t>. Dvacet nejvýznamnějších individuálních AVA zohledňujících koncentrované pozice a odpovídající informace o produktech se vykazují v klesajícím pořadí počínaje nejvýznamnější individuální AVA zohledňující koncentrované pozice.</w:t>
      </w:r>
    </w:p>
    <w:p w14:paraId="1DD773F3" w14:textId="77777777" w:rsidR="007266CF" w:rsidRPr="002A677E" w:rsidRDefault="007266CF" w:rsidP="007266CF">
      <w:pPr>
        <w:pStyle w:val="InstructionsText2"/>
        <w:numPr>
          <w:ilvl w:val="0"/>
          <w:numId w:val="0"/>
        </w:numPr>
        <w:ind w:left="1353" w:hanging="360"/>
      </w:pPr>
      <w:fldSimple w:instr=" seq paragraphs ">
        <w:r>
          <w:t>189</w:t>
        </w:r>
      </w:fldSimple>
      <w:r>
        <w:t>. Produkty, které odpovídají těmto nejvýznamnějším individuálním AVA zohledňujícím koncentrované pozice, se vykazují za použití seznamu produktů vyžadovaného čl. 19 odst. 3 písm. a) nařízení v přenesené pravomoci (EU) 2016/101.</w:t>
      </w:r>
    </w:p>
    <w:p w14:paraId="6D87E9FF" w14:textId="77777777" w:rsidR="007266CF" w:rsidRPr="002A677E" w:rsidRDefault="007266CF" w:rsidP="007266CF">
      <w:pPr>
        <w:pStyle w:val="InstructionsText2"/>
        <w:numPr>
          <w:ilvl w:val="0"/>
          <w:numId w:val="0"/>
        </w:numPr>
        <w:ind w:left="1353" w:hanging="360"/>
      </w:pPr>
      <w:fldSimple w:instr=" seq paragraphs ">
        <w:r>
          <w:t>190</w:t>
        </w:r>
      </w:fldSimple>
      <w:r>
        <w:t>. Pozice, které jsou homogenní z hlediska metodiky výpočtu AVA, se, je-li to možné, agregují, aby se pokrytí touto šablonou zvýšilo na maximum.</w:t>
      </w:r>
    </w:p>
    <w:p w14:paraId="1228C8BC" w14:textId="77777777" w:rsidR="007266CF" w:rsidRPr="002A677E" w:rsidRDefault="007266CF" w:rsidP="00A75C39">
      <w:pPr>
        <w:pStyle w:val="Instructionsberschrift2"/>
        <w:numPr>
          <w:ilvl w:val="3"/>
          <w:numId w:val="140"/>
        </w:numPr>
        <w:rPr>
          <w:rFonts w:ascii="Times New Roman" w:hAnsi="Times New Roman" w:cs="Times New Roman"/>
          <w:sz w:val="24"/>
          <w:u w:val="none"/>
        </w:rPr>
      </w:pPr>
      <w:bookmarkStart w:id="352" w:name="_Toc116026869"/>
      <w:bookmarkStart w:id="353" w:name="_Toc119078026"/>
      <w:r>
        <w:rPr>
          <w:rFonts w:ascii="Times New Roman" w:hAnsi="Times New Roman"/>
          <w:sz w:val="24"/>
        </w:rPr>
        <w:t>Pokyny pro konkrétní pozice</w:t>
      </w:r>
      <w:bookmarkEnd w:id="352"/>
      <w:bookmarkEnd w:id="3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266CF" w:rsidRPr="002A677E" w14:paraId="227C6991" w14:textId="77777777" w:rsidTr="007266CF">
        <w:tc>
          <w:tcPr>
            <w:tcW w:w="8856" w:type="dxa"/>
            <w:gridSpan w:val="2"/>
            <w:shd w:val="clear" w:color="auto" w:fill="CCCCCC"/>
          </w:tcPr>
          <w:p w14:paraId="41A999C1" w14:textId="77777777" w:rsidR="007266CF" w:rsidRPr="002A677E" w:rsidRDefault="007266CF" w:rsidP="007266CF">
            <w:pPr>
              <w:spacing w:beforeLines="60" w:before="144" w:afterLines="60" w:after="144"/>
              <w:rPr>
                <w:rFonts w:ascii="Times New Roman" w:hAnsi="Times New Roman"/>
                <w:b/>
                <w:sz w:val="24"/>
              </w:rPr>
            </w:pPr>
            <w:r>
              <w:rPr>
                <w:rFonts w:ascii="Times New Roman" w:hAnsi="Times New Roman"/>
                <w:b/>
                <w:sz w:val="24"/>
              </w:rPr>
              <w:t>Sloupce</w:t>
            </w:r>
          </w:p>
        </w:tc>
      </w:tr>
      <w:tr w:rsidR="007266CF" w:rsidRPr="002A677E" w14:paraId="1576C8DC" w14:textId="77777777" w:rsidTr="007266CF">
        <w:tc>
          <w:tcPr>
            <w:tcW w:w="852" w:type="dxa"/>
          </w:tcPr>
          <w:p w14:paraId="19EA9B1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584CC321"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POŘADÍ</w:t>
            </w:r>
          </w:p>
          <w:p w14:paraId="13E6B9E9" w14:textId="77777777" w:rsidR="007266CF" w:rsidRPr="002A677E" w:rsidDel="003016B5" w:rsidRDefault="007266CF" w:rsidP="007266CF">
            <w:pPr>
              <w:spacing w:beforeLines="60" w:before="144" w:afterLines="60" w:after="144"/>
              <w:rPr>
                <w:rFonts w:ascii="Times New Roman" w:hAnsi="Times New Roman"/>
                <w:b/>
                <w:sz w:val="24"/>
                <w:u w:val="single"/>
              </w:rPr>
            </w:pPr>
            <w:r>
              <w:rPr>
                <w:rFonts w:ascii="Times New Roman" w:hAnsi="Times New Roman"/>
                <w:sz w:val="24"/>
              </w:rPr>
              <w:t>Pořadí je identifikátorem řádku a je pro každý řádek šablony jedinečné. Pořadí má číselnou podobu 1, 2, 3 atd., přičemž číslo 1 je přiřazeno nejvýznamnější individuální AVA zohledňující koncentrované pozice, číslo 2 druhé nejvýznamnější atd.</w:t>
            </w:r>
          </w:p>
        </w:tc>
      </w:tr>
      <w:tr w:rsidR="007266CF" w:rsidRPr="002A677E" w14:paraId="7DB3ADB5" w14:textId="77777777" w:rsidTr="007266CF">
        <w:tc>
          <w:tcPr>
            <w:tcW w:w="852" w:type="dxa"/>
          </w:tcPr>
          <w:p w14:paraId="09044FA8"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05708832"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KATEGORIE RIZIKA</w:t>
            </w:r>
          </w:p>
          <w:p w14:paraId="4925A76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Kategorie rizika (úrokové, měnové, úvěrové, akciové, komoditní), které nejlépe charakterizuje pozici.</w:t>
            </w:r>
          </w:p>
          <w:p w14:paraId="4494E27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Instituce vykazují tyto kódy:</w:t>
            </w:r>
          </w:p>
          <w:p w14:paraId="1EC05E86"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IR – úroky</w:t>
            </w:r>
          </w:p>
          <w:p w14:paraId="54F7011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FX – cizí měna</w:t>
            </w:r>
          </w:p>
          <w:p w14:paraId="22F2857C"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CR – úvěr</w:t>
            </w:r>
          </w:p>
          <w:p w14:paraId="4CF7B89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EQ – akcie</w:t>
            </w:r>
          </w:p>
          <w:p w14:paraId="567265A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CO – komodity</w:t>
            </w:r>
          </w:p>
        </w:tc>
      </w:tr>
      <w:tr w:rsidR="007266CF" w:rsidRPr="002A677E" w14:paraId="5C48B031" w14:textId="77777777" w:rsidTr="007266CF">
        <w:tc>
          <w:tcPr>
            <w:tcW w:w="852" w:type="dxa"/>
          </w:tcPr>
          <w:p w14:paraId="711BEF5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7BAB14E"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3030D42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Interní název produktu nebo skupiny produktů v souladu se seznamem produktů vyžadovaným podle čl. 19 odst. 3 písm. a) nařízení v přenesené pravomoci (EU) 2016/101.</w:t>
            </w:r>
          </w:p>
        </w:tc>
      </w:tr>
      <w:tr w:rsidR="007266CF" w:rsidRPr="002A677E" w14:paraId="3633C168" w14:textId="77777777" w:rsidTr="007266CF">
        <w:tc>
          <w:tcPr>
            <w:tcW w:w="852" w:type="dxa"/>
          </w:tcPr>
          <w:p w14:paraId="6B9C2C9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61670F5E"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PODKLADOVÝ NÁSTROJ</w:t>
            </w:r>
          </w:p>
          <w:p w14:paraId="49C56EAD"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Interní název podkladového nástroje nebo podkladových nástrojů v případě derivátů nebo nástrojů v případě nederivátů.</w:t>
            </w:r>
          </w:p>
        </w:tc>
      </w:tr>
      <w:tr w:rsidR="007266CF" w:rsidRPr="002A677E" w14:paraId="41112AB5" w14:textId="77777777" w:rsidTr="007266CF">
        <w:tc>
          <w:tcPr>
            <w:tcW w:w="852" w:type="dxa"/>
          </w:tcPr>
          <w:p w14:paraId="7A8F9575"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7165B22C"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VELIKOST KONCENTROVANÉ POZICE</w:t>
            </w:r>
          </w:p>
          <w:p w14:paraId="657127CF"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Velikost individuální koncentrované oceňované pozice podle čl. 14 odst. 1 písm. a) nařízení v přenesené pravomoci (EU) 2016/101 vyjádřená v jednotkách popsaných ve sloupci 0050. </w:t>
            </w:r>
          </w:p>
        </w:tc>
      </w:tr>
      <w:tr w:rsidR="007266CF" w:rsidRPr="002A677E" w14:paraId="2F422EA4" w14:textId="77777777" w:rsidTr="007266CF">
        <w:tc>
          <w:tcPr>
            <w:tcW w:w="852" w:type="dxa"/>
          </w:tcPr>
          <w:p w14:paraId="4AA03AEB"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0001290F" w14:textId="77777777" w:rsidR="007266CF" w:rsidRPr="002A677E" w:rsidRDefault="007266CF" w:rsidP="007266CF">
            <w:pPr>
              <w:spacing w:beforeLines="60" w:before="144" w:afterLines="60" w:after="144"/>
              <w:rPr>
                <w:rFonts w:ascii="Times New Roman" w:hAnsi="Times New Roman"/>
                <w:b/>
                <w:sz w:val="24"/>
                <w:u w:val="single"/>
              </w:rPr>
            </w:pPr>
            <w:r>
              <w:rPr>
                <w:rFonts w:ascii="Times New Roman" w:hAnsi="Times New Roman"/>
                <w:b/>
                <w:sz w:val="24"/>
                <w:u w:val="single"/>
              </w:rPr>
              <w:t>JEDNOTKA PRO MĚŘENÍ VELIKOSTI</w:t>
            </w:r>
          </w:p>
          <w:p w14:paraId="4790D634"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 xml:space="preserve">Jednotka pro měření velikosti, která se používá interně v rámci identifikace ověřované koncentrované pozice pro výpočet koncentrované pozice uvedené ve sloupci 0040. </w:t>
            </w:r>
          </w:p>
          <w:p w14:paraId="1A7653BF" w14:textId="77777777" w:rsidR="007266CF" w:rsidRPr="002A677E" w:rsidRDefault="007266CF" w:rsidP="007266CF">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V případě pozic v dluhopisech nebo akciích vykažte prosím jednotky používané</w:t>
            </w:r>
            <w:r>
              <w:rPr>
                <w:rFonts w:ascii="Times New Roman" w:hAnsi="Times New Roman"/>
                <w:sz w:val="24"/>
              </w:rPr>
              <w:t xml:space="preserve"> pro ‚interní řízení rizik, </w:t>
            </w:r>
            <w:r>
              <w:rPr>
                <w:rStyle w:val="InstructionsTabelleberschrift"/>
                <w:rFonts w:ascii="Times New Roman" w:hAnsi="Times New Roman"/>
                <w:b w:val="0"/>
                <w:sz w:val="24"/>
                <w:u w:val="none"/>
              </w:rPr>
              <w:t xml:space="preserve">například „počet dluhopisů“, „počet akcií“ nebo „tržní hodnota“. </w:t>
            </w:r>
          </w:p>
          <w:p w14:paraId="48779955" w14:textId="77777777" w:rsidR="007266CF" w:rsidRPr="002A677E" w:rsidRDefault="007266CF" w:rsidP="007266CF">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 případě pozic v derivátech vykažte jednotky používané pro interní řízení rizik, například „PV01: EUR na jeden základní bod paralelního posunu výnosové křivky“. </w:t>
            </w:r>
          </w:p>
        </w:tc>
      </w:tr>
      <w:tr w:rsidR="007266CF" w:rsidRPr="002A677E" w14:paraId="6A71D74E" w14:textId="77777777" w:rsidTr="007266CF">
        <w:tc>
          <w:tcPr>
            <w:tcW w:w="852" w:type="dxa"/>
          </w:tcPr>
          <w:p w14:paraId="19041E79"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14:paraId="4E11DA14"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TRŽNÍ HODNOTA</w:t>
            </w:r>
          </w:p>
          <w:p w14:paraId="1DE80E1B"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Tržní hodnota pozice.</w:t>
            </w:r>
          </w:p>
        </w:tc>
      </w:tr>
      <w:tr w:rsidR="007266CF" w:rsidRPr="002A677E" w14:paraId="2CAA8543" w14:textId="77777777" w:rsidTr="007266CF">
        <w:tc>
          <w:tcPr>
            <w:tcW w:w="852" w:type="dxa"/>
          </w:tcPr>
          <w:p w14:paraId="2C5DBFB3"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2390133D"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OBEZŘETNÉ OBDOBÍ PRO UZAVŘENÍ POZICE</w:t>
            </w:r>
          </w:p>
          <w:p w14:paraId="693EE380"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Obezřetné období pro uzavření pozice v počtu dní odhadnuté v souladu </w:t>
            </w:r>
            <w:r>
              <w:rPr>
                <w:rFonts w:ascii="Times New Roman" w:hAnsi="Times New Roman"/>
                <w:sz w:val="24"/>
              </w:rPr>
              <w:t xml:space="preserve">s čl. 14 odst. 1 písm. b) </w:t>
            </w:r>
            <w:r>
              <w:rPr>
                <w:rStyle w:val="InstructionsTabelleberschrift"/>
                <w:rFonts w:ascii="Times New Roman" w:hAnsi="Times New Roman"/>
                <w:b w:val="0"/>
                <w:sz w:val="24"/>
                <w:u w:val="none"/>
              </w:rPr>
              <w:t>nařízení</w:t>
            </w:r>
            <w:r>
              <w:rPr>
                <w:rFonts w:ascii="Times New Roman" w:hAnsi="Times New Roman"/>
                <w:sz w:val="24"/>
              </w:rPr>
              <w:t xml:space="preserve"> v přenesené pravomoci (EU) 2016/101</w:t>
            </w:r>
            <w:r>
              <w:rPr>
                <w:rStyle w:val="InstructionsTabelleberschrift"/>
                <w:rFonts w:ascii="Times New Roman" w:hAnsi="Times New Roman"/>
                <w:b w:val="0"/>
                <w:sz w:val="24"/>
                <w:u w:val="none"/>
              </w:rPr>
              <w:t>.</w:t>
            </w:r>
          </w:p>
        </w:tc>
      </w:tr>
      <w:tr w:rsidR="007266CF" w:rsidRPr="002A677E" w14:paraId="7AC4BBDF" w14:textId="77777777" w:rsidTr="007266CF">
        <w:tc>
          <w:tcPr>
            <w:tcW w:w="852" w:type="dxa"/>
          </w:tcPr>
          <w:p w14:paraId="24C71410"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0459708C"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ZOHLEDŇUJÍCÍ KONCENTROVANÉ POZICE</w:t>
            </w:r>
          </w:p>
          <w:p w14:paraId="763F7051"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Objem AVA zohledňující koncentrované pozice vypočtený podle čl. 14 odst. 1</w:t>
            </w:r>
            <w:r>
              <w:rPr>
                <w:rFonts w:ascii="Times New Roman" w:hAnsi="Times New Roman"/>
                <w:sz w:val="24"/>
              </w:rPr>
              <w:t xml:space="preserve"> nařízení v přenesené pravomoci (EU) 2016/101</w:t>
            </w:r>
            <w:r>
              <w:rPr>
                <w:rStyle w:val="InstructionsTabelleberschrift"/>
                <w:rFonts w:ascii="Times New Roman" w:hAnsi="Times New Roman"/>
                <w:b w:val="0"/>
                <w:sz w:val="24"/>
                <w:u w:val="none"/>
              </w:rPr>
              <w:t xml:space="preserve"> pro dané individuální koncentrované oceňované pozice.</w:t>
            </w:r>
          </w:p>
        </w:tc>
      </w:tr>
      <w:tr w:rsidR="007266CF" w:rsidRPr="002A677E" w14:paraId="335942A8" w14:textId="77777777" w:rsidTr="007266CF">
        <w:tc>
          <w:tcPr>
            <w:tcW w:w="852" w:type="dxa"/>
          </w:tcPr>
          <w:p w14:paraId="6868624E"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079033C4"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ÚPRAVA REÁLNÉ HODNOTY KONCENTROVANÉ POZICE</w:t>
            </w:r>
          </w:p>
          <w:p w14:paraId="421E891F"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veškerých úprav reálné hodnoty uplatněných pro zohlednění skutečnosti, že agregovaná pozice držená institucí je větší než běžně obchodovaný objem nebo větší než velikosti pozic, na nichž se zakládají nabídky cen nebo transakce, které se používají ke kalibraci cen nebo vstupních údajů používaných v modelech hodnocení.</w:t>
            </w:r>
          </w:p>
          <w:p w14:paraId="287F3677"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Vykázaná hodnota odpovídá hodnotě, která byla použita na příslušnou individuální koncentrovanou oceňovanou pozici.</w:t>
            </w:r>
          </w:p>
        </w:tc>
      </w:tr>
      <w:tr w:rsidR="007266CF" w:rsidRPr="002A677E" w14:paraId="0AB0D5F9" w14:textId="77777777" w:rsidTr="007266CF">
        <w:tc>
          <w:tcPr>
            <w:tcW w:w="852" w:type="dxa"/>
          </w:tcPr>
          <w:p w14:paraId="025EEF31" w14:textId="77777777" w:rsidR="007266CF" w:rsidRPr="002A677E" w:rsidRDefault="007266CF" w:rsidP="007266CF">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0F0ADB35" w14:textId="77777777" w:rsidR="007266CF" w:rsidRPr="002A677E" w:rsidRDefault="007266CF" w:rsidP="007266CF">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w:t>
            </w:r>
          </w:p>
          <w:p w14:paraId="2E8840C5"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Součet neupravených hodnot rozdílů („rozdíly z nezávislého ověřování cen“) vypočítaných na konci měsíce nejbližšího k datu vykazování postupem nezávislého ověřování cen provedeným podle čl. 105 odst. 8 </w:t>
            </w:r>
            <w:r>
              <w:rPr>
                <w:rFonts w:ascii="Times New Roman" w:hAnsi="Times New Roman"/>
                <w:sz w:val="24"/>
              </w:rPr>
              <w:t xml:space="preserve">nařízení (EU) č. 575/2013 </w:t>
            </w:r>
            <w:r>
              <w:rPr>
                <w:rStyle w:val="InstructionsTabelleberschrift"/>
                <w:rFonts w:ascii="Times New Roman" w:hAnsi="Times New Roman"/>
                <w:b w:val="0"/>
                <w:sz w:val="24"/>
                <w:u w:val="none"/>
              </w:rPr>
              <w:t xml:space="preserve">s ohledem na nejkvalitnější nezávislé údaje pro příslušnou individuální koncentrovanou oceňovanou pozici. </w:t>
            </w:r>
          </w:p>
          <w:p w14:paraId="3C299F1B"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Neupravené hodnoty rozdílů se vztahují k neupraveným rozdílům mezi oceněním získaným ze systému obchodování a oceněním vyhodnoceným v rámci měsíčního postupu nezávislého ověřování cen.</w:t>
            </w:r>
          </w:p>
          <w:p w14:paraId="23C9AAF9" w14:textId="77777777" w:rsidR="007266CF" w:rsidRPr="002A677E" w:rsidRDefault="007266CF" w:rsidP="007266CF">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tc>
      </w:tr>
    </w:tbl>
    <w:p w14:paraId="3D0D57D2" w14:textId="77777777" w:rsidR="007266CF" w:rsidRPr="002A677E" w:rsidRDefault="007266CF" w:rsidP="007266CF">
      <w:pPr>
        <w:rPr>
          <w:rStyle w:val="InstructionsTabelleText"/>
          <w:rFonts w:ascii="Times New Roman" w:hAnsi="Times New Roman"/>
          <w:sz w:val="24"/>
        </w:rPr>
      </w:pPr>
    </w:p>
    <w:p w14:paraId="43EEED21" w14:textId="77777777" w:rsidR="007266CF" w:rsidRPr="002A677E" w:rsidRDefault="007266CF" w:rsidP="00A75C39">
      <w:pPr>
        <w:pStyle w:val="Instructionsberschrift2"/>
        <w:numPr>
          <w:ilvl w:val="0"/>
          <w:numId w:val="141"/>
        </w:numPr>
        <w:rPr>
          <w:rFonts w:ascii="Times New Roman" w:hAnsi="Times New Roman" w:cs="Times New Roman"/>
          <w:sz w:val="24"/>
        </w:rPr>
      </w:pPr>
      <w:bookmarkStart w:id="354" w:name="_Toc116026870"/>
      <w:bookmarkStart w:id="355" w:name="_Toc119078027"/>
      <w:r>
        <w:rPr>
          <w:rFonts w:ascii="Times New Roman" w:hAnsi="Times New Roman"/>
          <w:sz w:val="24"/>
        </w:rPr>
        <w:lastRenderedPageBreak/>
        <w:t>C 33.00 – Expozice vůči vládním institucím (GOV)</w:t>
      </w:r>
      <w:bookmarkEnd w:id="354"/>
      <w:bookmarkEnd w:id="355"/>
    </w:p>
    <w:p w14:paraId="400BDCA9" w14:textId="77777777" w:rsidR="007266CF" w:rsidRPr="002A677E" w:rsidRDefault="007266CF" w:rsidP="00A75C39">
      <w:pPr>
        <w:pStyle w:val="Instructionsberschrift2"/>
        <w:numPr>
          <w:ilvl w:val="1"/>
          <w:numId w:val="142"/>
        </w:numPr>
        <w:rPr>
          <w:rFonts w:ascii="Times New Roman" w:hAnsi="Times New Roman" w:cs="Times New Roman"/>
          <w:sz w:val="24"/>
        </w:rPr>
      </w:pPr>
      <w:bookmarkStart w:id="356" w:name="_Toc116026871"/>
      <w:bookmarkStart w:id="357" w:name="_Toc119078028"/>
      <w:r>
        <w:rPr>
          <w:rFonts w:ascii="Times New Roman" w:hAnsi="Times New Roman"/>
          <w:sz w:val="24"/>
        </w:rPr>
        <w:t>Obecné poznámky</w:t>
      </w:r>
      <w:bookmarkEnd w:id="356"/>
      <w:bookmarkEnd w:id="357"/>
      <w:r>
        <w:rPr>
          <w:rFonts w:ascii="Times New Roman" w:hAnsi="Times New Roman"/>
          <w:sz w:val="24"/>
        </w:rPr>
        <w:t xml:space="preserve"> </w:t>
      </w:r>
    </w:p>
    <w:p w14:paraId="221D18C9" w14:textId="77777777" w:rsidR="007266CF" w:rsidRPr="002A677E" w:rsidRDefault="007266CF" w:rsidP="007266CF">
      <w:pPr>
        <w:pStyle w:val="InstructionsText2"/>
        <w:numPr>
          <w:ilvl w:val="0"/>
          <w:numId w:val="0"/>
        </w:numPr>
        <w:ind w:left="1353" w:hanging="360"/>
      </w:pPr>
      <w:fldSimple w:instr=" seq paragraphs ">
        <w:r>
          <w:t>191</w:t>
        </w:r>
      </w:fldSimple>
      <w:r>
        <w:t>.</w:t>
      </w:r>
      <w:r>
        <w:tab/>
        <w:t xml:space="preserve"> Informace pro účely šablony C 33.00 zahrnují všechny expozice vůči „vládním institucím“, jak je uvedeno v odst. 42 písm. b) přílohy V tohoto prováděcího nařízení.</w:t>
      </w:r>
    </w:p>
    <w:p w14:paraId="514CA53E" w14:textId="77777777" w:rsidR="007266CF" w:rsidRPr="002A677E" w:rsidRDefault="007266CF" w:rsidP="007266CF">
      <w:pPr>
        <w:pStyle w:val="InstructionsText2"/>
        <w:numPr>
          <w:ilvl w:val="0"/>
          <w:numId w:val="0"/>
        </w:numPr>
        <w:ind w:left="1353" w:hanging="360"/>
      </w:pPr>
      <w:fldSimple w:instr=" seq paragraphs ">
        <w:r>
          <w:t>192</w:t>
        </w:r>
      </w:fldSimple>
      <w:r>
        <w:t>.</w:t>
      </w:r>
      <w:r>
        <w:tab/>
        <w:t xml:space="preserve"> Pokud expozice vůči „vládním institucím“ podléhají kapitálovým požadavkům v souladu s částí třetí hlavou II nařízení (EU) č. 575/2013, zahrnují se tyto expozice do různých kategorií expozic v souladu s články 112 a 147 uvedeného nařízení, jak stanoví pokyny pro vyplnění šablon C 07.00, C 08.01 a C 08.02. </w:t>
      </w:r>
    </w:p>
    <w:p w14:paraId="046C2DA5" w14:textId="77777777" w:rsidR="007266CF" w:rsidRPr="002A677E" w:rsidRDefault="007266CF" w:rsidP="007266CF">
      <w:pPr>
        <w:pStyle w:val="InstructionsText2"/>
        <w:numPr>
          <w:ilvl w:val="0"/>
          <w:numId w:val="0"/>
        </w:numPr>
        <w:ind w:left="1353" w:hanging="360"/>
      </w:pPr>
      <w:fldSimple w:instr=" seq paragraphs ">
        <w:r>
          <w:t>193</w:t>
        </w:r>
      </w:fldSimple>
      <w:r>
        <w:t>.</w:t>
      </w:r>
      <w:r>
        <w:tab/>
        <w:t xml:space="preserve"> Při mapování kategorií expozic použitých pro výpočet kapitálových požadavků podle nařízení (EU) č. 575/2013 ke kategorii protistran „vládní instituce“ musí být dodrženy tabulka 2 (Standardizovaný přístup) a tabulka 3 (Přístup IRB), zařazené v části 3 přílohy V tohoto prováděcího nařízení. </w:t>
      </w:r>
    </w:p>
    <w:p w14:paraId="451FB88E" w14:textId="77777777" w:rsidR="007266CF" w:rsidRPr="002A677E" w:rsidRDefault="007266CF" w:rsidP="007266CF">
      <w:pPr>
        <w:pStyle w:val="InstructionsText2"/>
        <w:numPr>
          <w:ilvl w:val="0"/>
          <w:numId w:val="0"/>
        </w:numPr>
        <w:ind w:left="1353" w:hanging="360"/>
      </w:pPr>
      <w:fldSimple w:instr=" seq paragraphs ">
        <w:r>
          <w:t>194</w:t>
        </w:r>
      </w:fldSimple>
      <w:r>
        <w:t xml:space="preserve">. Informace se vykazují pro celkové agregované expozice (tj. součet hodnot ze všech zemí, ve kterých má banka expozice vůči státnímu dluhu) a pro každou zemi na základě sídla protistrany na principu bezprostředního dlužníka. </w:t>
      </w:r>
    </w:p>
    <w:p w14:paraId="6CF80077" w14:textId="77777777" w:rsidR="007266CF" w:rsidRPr="002A677E" w:rsidRDefault="007266CF" w:rsidP="007266CF">
      <w:pPr>
        <w:pStyle w:val="InstructionsText2"/>
        <w:numPr>
          <w:ilvl w:val="0"/>
          <w:numId w:val="0"/>
        </w:numPr>
        <w:ind w:left="1353" w:hanging="360"/>
      </w:pPr>
      <w:fldSimple w:instr=" seq paragraphs ">
        <w:r>
          <w:t>195</w:t>
        </w:r>
      </w:fldSimple>
      <w:r>
        <w:t>.</w:t>
      </w:r>
      <w:r>
        <w:tab/>
        <w:t xml:space="preserve"> Rozdělení expozic do kategorií expozic nebo jurisdikcí se provede bez zohlednění technik snižování úvěrového rizika, a zejména bez zohlednění substitučních účinků. Výpočet hodnot expozice a objemů rizikově vážených expozic pro každou kategorii expozic a každou jurisdikci však zahrnuje dopad technik snižování úvěrového rizika, včetně substitučních účinků. </w:t>
      </w:r>
    </w:p>
    <w:p w14:paraId="0136D01E" w14:textId="77777777" w:rsidR="007266CF" w:rsidRPr="002A677E" w:rsidRDefault="007266CF" w:rsidP="007266CF">
      <w:pPr>
        <w:pStyle w:val="InstructionsText2"/>
        <w:numPr>
          <w:ilvl w:val="0"/>
          <w:numId w:val="0"/>
        </w:numPr>
        <w:ind w:left="1353" w:hanging="360"/>
      </w:pPr>
      <w:fldSimple w:instr=" seq paragraphs ">
        <w:r>
          <w:t>196</w:t>
        </w:r>
      </w:fldSimple>
      <w:r>
        <w:t>.</w:t>
      </w:r>
      <w:r>
        <w:tab/>
        <w:t xml:space="preserve"> Na vykazování informací o expozicích vůči „vládním institucím“ podle jurisdikce sídla dané bezprostřední protistrany jiné než domácí jurisdikce vykazující instituce se vztahují prahové hodnoty stanovené v čl. 6 odst. 3 tohoto prováděcího nařízení.</w:t>
      </w:r>
    </w:p>
    <w:p w14:paraId="2EDABE2E" w14:textId="77777777" w:rsidR="007266CF" w:rsidRPr="002A677E" w:rsidRDefault="007266CF" w:rsidP="00A75C39">
      <w:pPr>
        <w:pStyle w:val="Instructionsberschrift2"/>
        <w:numPr>
          <w:ilvl w:val="1"/>
          <w:numId w:val="143"/>
        </w:numPr>
        <w:rPr>
          <w:rFonts w:ascii="Times New Roman" w:hAnsi="Times New Roman" w:cs="Times New Roman"/>
          <w:sz w:val="24"/>
        </w:rPr>
      </w:pPr>
      <w:bookmarkStart w:id="358" w:name="_Toc116026872"/>
      <w:bookmarkStart w:id="359" w:name="_Toc119078029"/>
      <w:r>
        <w:rPr>
          <w:rFonts w:ascii="Times New Roman" w:hAnsi="Times New Roman"/>
          <w:sz w:val="24"/>
        </w:rPr>
        <w:t>Oblast působnosti šablony</w:t>
      </w:r>
      <w:r>
        <w:t xml:space="preserve"> </w:t>
      </w:r>
      <w:r>
        <w:rPr>
          <w:rFonts w:ascii="Times New Roman" w:hAnsi="Times New Roman"/>
          <w:sz w:val="24"/>
        </w:rPr>
        <w:t>pro expozice vůči „vládním institucím“</w:t>
      </w:r>
      <w:bookmarkEnd w:id="358"/>
      <w:bookmarkEnd w:id="359"/>
    </w:p>
    <w:p w14:paraId="18BEB5CB" w14:textId="77777777" w:rsidR="007266CF" w:rsidRPr="002A677E" w:rsidRDefault="007266CF" w:rsidP="007266CF">
      <w:pPr>
        <w:pStyle w:val="InstructionsText2"/>
        <w:numPr>
          <w:ilvl w:val="0"/>
          <w:numId w:val="0"/>
        </w:numPr>
        <w:ind w:left="1353" w:hanging="360"/>
      </w:pPr>
      <w:fldSimple w:instr=" seq paragraphs ">
        <w:r>
          <w:t>197</w:t>
        </w:r>
      </w:fldSimple>
      <w:r>
        <w:t>.</w:t>
      </w:r>
      <w:r>
        <w:tab/>
        <w:t xml:space="preserve"> Oblast působnosti šablony GOV se týká přímých rozvahových, podrozvahových a derivátových expozic vůči „vládním institucím“ v bankovním i obchodním portfoliu. Nutná je nadto rovněž doplňková položka týkající se nepřímých expozic ve formě prodaných úvěrových derivátů na expozice vůči vládním institucím.</w:t>
      </w:r>
    </w:p>
    <w:p w14:paraId="6750EBDF" w14:textId="77777777" w:rsidR="007266CF" w:rsidRPr="002A677E" w:rsidRDefault="007266CF" w:rsidP="007266CF">
      <w:pPr>
        <w:pStyle w:val="InstructionsText2"/>
        <w:numPr>
          <w:ilvl w:val="0"/>
          <w:numId w:val="0"/>
        </w:numPr>
        <w:ind w:left="1353" w:hanging="360"/>
      </w:pPr>
      <w:fldSimple w:instr=" seq paragraphs ">
        <w:r>
          <w:t>198</w:t>
        </w:r>
      </w:fldSimple>
      <w:r>
        <w:t>.</w:t>
      </w:r>
      <w:r>
        <w:tab/>
        <w:t xml:space="preserve"> Expozice je přímou expozicí, jestliže bezprostřední protistranou je subjekt, který je „vládní institucí“ podle přílohy V odst. 42 písm. b) tohoto prováděcího nařízení. </w:t>
      </w:r>
    </w:p>
    <w:p w14:paraId="2675B845" w14:textId="77777777" w:rsidR="007266CF" w:rsidRPr="002A677E" w:rsidRDefault="007266CF" w:rsidP="007266CF">
      <w:pPr>
        <w:pStyle w:val="InstructionsText2"/>
        <w:numPr>
          <w:ilvl w:val="0"/>
          <w:numId w:val="0"/>
        </w:numPr>
        <w:ind w:left="1353" w:hanging="360"/>
      </w:pPr>
      <w:fldSimple w:instr=" seq paragraphs ">
        <w:r>
          <w:t>199</w:t>
        </w:r>
      </w:fldSimple>
      <w:r>
        <w:t>.</w:t>
      </w:r>
      <w:r>
        <w:tab/>
        <w:t xml:space="preserve"> Šablona je rozdělena do dvou částí. První je založena na členění expozic podle rizika, regulatorního přístupu a kategorií expozic, zatímco druhá je založena na členění podle zbytkové splatnosti.</w:t>
      </w:r>
    </w:p>
    <w:p w14:paraId="0D2B0098" w14:textId="77777777" w:rsidR="007266CF" w:rsidRPr="002A677E" w:rsidRDefault="007266CF" w:rsidP="00A75C39">
      <w:pPr>
        <w:pStyle w:val="Instructionsberschrift2"/>
        <w:numPr>
          <w:ilvl w:val="1"/>
          <w:numId w:val="144"/>
        </w:numPr>
        <w:rPr>
          <w:rFonts w:ascii="Times New Roman" w:hAnsi="Times New Roman" w:cs="Times New Roman"/>
          <w:sz w:val="24"/>
        </w:rPr>
      </w:pPr>
      <w:bookmarkStart w:id="360" w:name="_Toc116026873"/>
      <w:bookmarkStart w:id="361" w:name="_Toc119078030"/>
      <w:r>
        <w:rPr>
          <w:rFonts w:ascii="Times New Roman" w:hAnsi="Times New Roman"/>
          <w:sz w:val="24"/>
        </w:rPr>
        <w:t>Pokyny pro konkrétní pozice</w:t>
      </w:r>
      <w:bookmarkEnd w:id="360"/>
      <w:bookmarkEnd w:id="36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7266CF" w:rsidRPr="002A677E" w14:paraId="224E8A26" w14:textId="77777777" w:rsidTr="007266CF">
        <w:tc>
          <w:tcPr>
            <w:tcW w:w="1188" w:type="dxa"/>
            <w:shd w:val="pct25" w:color="auto" w:fill="auto"/>
          </w:tcPr>
          <w:p w14:paraId="45C26C4F"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Sloupce</w:t>
            </w:r>
          </w:p>
          <w:p w14:paraId="4EC1E92A" w14:textId="77777777" w:rsidR="007266CF" w:rsidRPr="002A677E" w:rsidRDefault="007266CF" w:rsidP="007266CF">
            <w:pPr>
              <w:spacing w:before="0" w:after="0"/>
              <w:ind w:left="33"/>
              <w:rPr>
                <w:rFonts w:ascii="Times New Roman" w:hAnsi="Times New Roman"/>
                <w:bCs/>
                <w:sz w:val="24"/>
                <w:lang w:eastAsia="de-DE"/>
              </w:rPr>
            </w:pPr>
          </w:p>
        </w:tc>
        <w:tc>
          <w:tcPr>
            <w:tcW w:w="8640" w:type="dxa"/>
            <w:shd w:val="pct25" w:color="auto" w:fill="auto"/>
          </w:tcPr>
          <w:p w14:paraId="001AE1A1"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Pokyny</w:t>
            </w:r>
          </w:p>
        </w:tc>
      </w:tr>
      <w:tr w:rsidR="007266CF" w:rsidRPr="002A677E" w14:paraId="48936D24" w14:textId="77777777" w:rsidTr="007266CF">
        <w:tc>
          <w:tcPr>
            <w:tcW w:w="1188" w:type="dxa"/>
            <w:tcBorders>
              <w:bottom w:val="single" w:sz="4" w:space="0" w:color="auto"/>
            </w:tcBorders>
          </w:tcPr>
          <w:p w14:paraId="3A16912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0ECC2426"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 xml:space="preserve">PŘÍMÉ EXPOZICE </w:t>
            </w:r>
          </w:p>
        </w:tc>
      </w:tr>
      <w:tr w:rsidR="007266CF" w:rsidRPr="002A677E" w14:paraId="37DC1929" w14:textId="77777777" w:rsidTr="007266CF">
        <w:tc>
          <w:tcPr>
            <w:tcW w:w="1188" w:type="dxa"/>
          </w:tcPr>
          <w:p w14:paraId="5ACEE5C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0010–0140</w:t>
            </w:r>
          </w:p>
        </w:tc>
        <w:tc>
          <w:tcPr>
            <w:tcW w:w="8640" w:type="dxa"/>
          </w:tcPr>
          <w:p w14:paraId="4E51EC1E"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ROZVAHOVÉ EXPOZICE</w:t>
            </w:r>
          </w:p>
        </w:tc>
      </w:tr>
      <w:tr w:rsidR="007266CF" w:rsidRPr="002A677E" w14:paraId="655A871E" w14:textId="77777777" w:rsidTr="007266CF">
        <w:tc>
          <w:tcPr>
            <w:tcW w:w="1188" w:type="dxa"/>
          </w:tcPr>
          <w:p w14:paraId="11BE00B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0010</w:t>
            </w:r>
          </w:p>
        </w:tc>
        <w:tc>
          <w:tcPr>
            <w:tcW w:w="8640" w:type="dxa"/>
          </w:tcPr>
          <w:p w14:paraId="412DC5D1"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 xml:space="preserve">Celková hrubá účetní hodnota nederivátových finančních aktiv </w:t>
            </w:r>
          </w:p>
          <w:p w14:paraId="140AC742" w14:textId="77777777" w:rsidR="007266CF" w:rsidRPr="002A677E" w:rsidRDefault="007266CF" w:rsidP="007266CF">
            <w:pPr>
              <w:spacing w:before="0" w:after="0"/>
              <w:ind w:left="33"/>
              <w:rPr>
                <w:rFonts w:ascii="Times New Roman" w:hAnsi="Times New Roman"/>
                <w:bCs/>
                <w:sz w:val="24"/>
                <w:lang w:eastAsia="de-DE"/>
              </w:rPr>
            </w:pPr>
          </w:p>
          <w:p w14:paraId="7C8AEAC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Souhrn hrubé účetní hodnoty (určené v souladu s odstavcem 34 v příloze V části 1 tohoto prováděcího nařízení) nederivátových finančních aktiv vůči vládním institucím, pro všechna účetní portfolia podle IFRS nebo národních GAAP vycházejících ze směrnice Rady 86/635/EHS, ve smyslu definice v odstavcích 15 až 22 v příloze V části 1 tohoto prováděcího nařízení, uvedená ve sloupcích 0030 až 0120. </w:t>
            </w:r>
          </w:p>
          <w:p w14:paraId="785D5F74" w14:textId="77777777" w:rsidR="007266CF" w:rsidRPr="002A677E" w:rsidRDefault="007266CF" w:rsidP="007266CF">
            <w:pPr>
              <w:spacing w:before="0" w:after="0"/>
              <w:ind w:left="33"/>
              <w:rPr>
                <w:rFonts w:ascii="Times New Roman" w:hAnsi="Times New Roman"/>
                <w:bCs/>
                <w:sz w:val="24"/>
                <w:lang w:eastAsia="de-DE"/>
              </w:rPr>
            </w:pPr>
          </w:p>
          <w:p w14:paraId="3123E7E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Obezřetnostní úpravy ocenění nesmí snížit hrubou účetní hodnotu obchodních a neobchodních expozic oceněných reálnou hodnotou.</w:t>
            </w:r>
          </w:p>
          <w:p w14:paraId="4983EE51" w14:textId="77777777" w:rsidR="007266CF" w:rsidRPr="002A677E" w:rsidRDefault="007266CF" w:rsidP="007266CF">
            <w:pPr>
              <w:spacing w:before="0" w:after="0"/>
              <w:rPr>
                <w:rFonts w:ascii="Times New Roman" w:hAnsi="Times New Roman"/>
                <w:bCs/>
                <w:sz w:val="24"/>
                <w:lang w:eastAsia="de-DE"/>
              </w:rPr>
            </w:pPr>
          </w:p>
        </w:tc>
      </w:tr>
      <w:tr w:rsidR="007266CF" w:rsidRPr="002A677E" w14:paraId="03FC829E" w14:textId="77777777" w:rsidTr="007266CF">
        <w:tc>
          <w:tcPr>
            <w:tcW w:w="1188" w:type="dxa"/>
          </w:tcPr>
          <w:p w14:paraId="5CFE871A"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0020</w:t>
            </w:r>
          </w:p>
        </w:tc>
        <w:tc>
          <w:tcPr>
            <w:tcW w:w="8640" w:type="dxa"/>
          </w:tcPr>
          <w:p w14:paraId="2B91DE4B"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Celková účetní hodnota nederivátových finančních aktiv (očištěná o krátké pozice)</w:t>
            </w:r>
          </w:p>
          <w:p w14:paraId="1609A1AA" w14:textId="77777777" w:rsidR="007266CF" w:rsidRPr="002A677E" w:rsidRDefault="007266CF" w:rsidP="007266CF">
            <w:pPr>
              <w:spacing w:before="0" w:after="0"/>
              <w:ind w:left="33"/>
              <w:rPr>
                <w:rFonts w:ascii="Times New Roman" w:hAnsi="Times New Roman"/>
                <w:bCs/>
                <w:sz w:val="24"/>
                <w:lang w:eastAsia="de-DE"/>
              </w:rPr>
            </w:pPr>
          </w:p>
          <w:p w14:paraId="0A8BB60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 účetní hodnoty (podle odstavce 27 v příloze V části 1 tohoto prováděcího nařízení) nederivátových finančních aktiv vůči vládním institucím, pro všechna účetní portfolia podle IFRS nebo národních GAAP vycházejících ze směrnice Rady 86/635/EHS, ve smyslu definice v odstavcích 15 až 22 v příloze V části 1 tohoto prováděcího nařízení, uvedená ve sloupcích 0030 až 0120, očištěný o krátké pozice.</w:t>
            </w:r>
          </w:p>
          <w:p w14:paraId="2CD1DD2B" w14:textId="77777777" w:rsidR="007266CF" w:rsidRPr="002A677E" w:rsidRDefault="007266CF" w:rsidP="007266CF">
            <w:pPr>
              <w:spacing w:before="0" w:after="0"/>
              <w:ind w:left="33"/>
              <w:rPr>
                <w:rFonts w:ascii="Times New Roman" w:hAnsi="Times New Roman"/>
                <w:bCs/>
                <w:sz w:val="24"/>
                <w:lang w:eastAsia="de-DE"/>
              </w:rPr>
            </w:pPr>
          </w:p>
          <w:p w14:paraId="0A1E72D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Má-li instituce pro stejnou zbytkovou splatnost a pro stejnou bezprostřední protistranu krátkou pozici, která je denominována ve stejné měně, účetní hodnota krátké pozice se započítá vůči účetní hodnotě přímé pozice. Tato čistá hodnota se považuje za nulovou, pokud je to záporná částka. Má-li instituce krátkou pozici bez odpovídající přímé pozice, částka krátké pozice se pro účely tohoto sloupce považuje za nulovou. </w:t>
            </w:r>
          </w:p>
          <w:p w14:paraId="4D279E9B" w14:textId="77777777" w:rsidR="007266CF" w:rsidRPr="002A677E" w:rsidDel="00FB1EBF" w:rsidRDefault="007266CF" w:rsidP="007266CF">
            <w:pPr>
              <w:spacing w:before="0" w:after="0"/>
              <w:ind w:left="33"/>
              <w:rPr>
                <w:rFonts w:ascii="Times New Roman" w:hAnsi="Times New Roman"/>
                <w:bCs/>
                <w:sz w:val="24"/>
                <w:lang w:eastAsia="de-DE"/>
              </w:rPr>
            </w:pPr>
          </w:p>
        </w:tc>
      </w:tr>
      <w:tr w:rsidR="007266CF" w:rsidRPr="002A677E" w14:paraId="44A0A769" w14:textId="77777777" w:rsidTr="007266CF">
        <w:tc>
          <w:tcPr>
            <w:tcW w:w="1188" w:type="dxa"/>
          </w:tcPr>
          <w:p w14:paraId="092BA6D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0030–0120</w:t>
            </w:r>
          </w:p>
        </w:tc>
        <w:tc>
          <w:tcPr>
            <w:tcW w:w="8640" w:type="dxa"/>
          </w:tcPr>
          <w:p w14:paraId="6AAD405A"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NEDERIVÁTOVÁ FINANČNÍ AKTIVA PODLE ÚČETNÍCH PORTFOLIÍ</w:t>
            </w:r>
          </w:p>
          <w:p w14:paraId="138AB542" w14:textId="77777777" w:rsidR="007266CF" w:rsidRPr="002A677E" w:rsidRDefault="007266CF" w:rsidP="007266CF">
            <w:pPr>
              <w:spacing w:before="0" w:after="0"/>
              <w:ind w:left="33"/>
              <w:rPr>
                <w:rFonts w:ascii="Times New Roman" w:hAnsi="Times New Roman"/>
                <w:bCs/>
                <w:sz w:val="24"/>
                <w:lang w:eastAsia="de-DE"/>
              </w:rPr>
            </w:pPr>
          </w:p>
          <w:p w14:paraId="4B58626B"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Souhrnná účetní hodnota nederivátových finančních aktiv, ve smyslu řádku této tabulky výše, vůči vládním institucím v členění podle účetního portfolia v rámci použitelného účetního rámce.</w:t>
            </w:r>
          </w:p>
          <w:p w14:paraId="18C47A9D" w14:textId="77777777" w:rsidR="007266CF" w:rsidRPr="002A677E" w:rsidDel="00FB1EBF" w:rsidRDefault="007266CF" w:rsidP="007266CF">
            <w:pPr>
              <w:spacing w:before="0" w:after="0"/>
              <w:ind w:left="33"/>
              <w:rPr>
                <w:rFonts w:ascii="Times New Roman" w:hAnsi="Times New Roman"/>
                <w:bCs/>
                <w:sz w:val="24"/>
                <w:lang w:eastAsia="de-DE"/>
              </w:rPr>
            </w:pPr>
          </w:p>
        </w:tc>
      </w:tr>
      <w:tr w:rsidR="007266CF" w:rsidRPr="002A677E" w14:paraId="4FD3A87D" w14:textId="77777777" w:rsidTr="007266CF">
        <w:tc>
          <w:tcPr>
            <w:tcW w:w="1188" w:type="dxa"/>
          </w:tcPr>
          <w:p w14:paraId="624340D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0030</w:t>
            </w:r>
          </w:p>
        </w:tc>
        <w:tc>
          <w:tcPr>
            <w:tcW w:w="8640" w:type="dxa"/>
          </w:tcPr>
          <w:p w14:paraId="491B157A" w14:textId="77777777" w:rsidR="007266CF" w:rsidRPr="002A677E" w:rsidRDefault="007266CF" w:rsidP="007266CF">
            <w:pPr>
              <w:spacing w:before="0" w:after="0"/>
              <w:ind w:left="33"/>
              <w:rPr>
                <w:rFonts w:ascii="Times New Roman" w:hAnsi="Times New Roman"/>
                <w:bCs/>
                <w:sz w:val="24"/>
              </w:rPr>
            </w:pPr>
            <w:r>
              <w:rPr>
                <w:rFonts w:ascii="Times New Roman" w:hAnsi="Times New Roman"/>
                <w:b/>
                <w:sz w:val="24"/>
                <w:u w:val="single"/>
              </w:rPr>
              <w:t>Finanční aktiva k obchodování</w:t>
            </w:r>
          </w:p>
          <w:p w14:paraId="2F13CAF4" w14:textId="77777777" w:rsidR="007266CF" w:rsidRPr="002A677E" w:rsidRDefault="007266CF" w:rsidP="007266CF">
            <w:pPr>
              <w:spacing w:before="0" w:after="0"/>
              <w:ind w:left="33"/>
              <w:rPr>
                <w:rFonts w:ascii="Times New Roman" w:hAnsi="Times New Roman"/>
                <w:bCs/>
                <w:sz w:val="24"/>
                <w:lang w:eastAsia="de-DE"/>
              </w:rPr>
            </w:pPr>
          </w:p>
          <w:p w14:paraId="255DC01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IFRS 7 odst. 8 písm. a) bod ii); IFRS 9 dodatek A</w:t>
            </w:r>
          </w:p>
          <w:p w14:paraId="18A011B2" w14:textId="77777777" w:rsidR="007266CF" w:rsidRPr="002A677E" w:rsidDel="00FB1EBF" w:rsidRDefault="007266CF" w:rsidP="007266CF">
            <w:pPr>
              <w:spacing w:before="0" w:after="0"/>
              <w:ind w:left="33"/>
              <w:rPr>
                <w:rFonts w:ascii="Times New Roman" w:hAnsi="Times New Roman"/>
                <w:bCs/>
                <w:sz w:val="24"/>
                <w:lang w:eastAsia="de-DE"/>
              </w:rPr>
            </w:pPr>
          </w:p>
        </w:tc>
      </w:tr>
      <w:tr w:rsidR="007266CF" w:rsidRPr="002A677E" w14:paraId="51C84383" w14:textId="77777777" w:rsidTr="007266CF">
        <w:tc>
          <w:tcPr>
            <w:tcW w:w="1188" w:type="dxa"/>
          </w:tcPr>
          <w:p w14:paraId="05F3A08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0040</w:t>
            </w:r>
          </w:p>
        </w:tc>
        <w:tc>
          <w:tcPr>
            <w:tcW w:w="8640" w:type="dxa"/>
          </w:tcPr>
          <w:p w14:paraId="6E62EC3B"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Obchodovatelná finanční aktiva</w:t>
            </w:r>
          </w:p>
          <w:p w14:paraId="640D7750" w14:textId="77777777" w:rsidR="007266CF" w:rsidRPr="002A677E" w:rsidRDefault="007266CF" w:rsidP="007266CF">
            <w:pPr>
              <w:spacing w:before="0" w:after="0"/>
              <w:ind w:left="33"/>
              <w:rPr>
                <w:rFonts w:ascii="Times New Roman" w:hAnsi="Times New Roman"/>
                <w:bCs/>
                <w:sz w:val="24"/>
                <w:lang w:eastAsia="de-DE"/>
              </w:rPr>
            </w:pPr>
          </w:p>
          <w:p w14:paraId="73A716D8"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Články 32 a 33 směrnice Rady 86/635/EHS; příloha V část 1 odstavec 16 tohoto prováděcího nařízení; čl. 8 odst. 1 písm. a) směrnice 2013/34/EU</w:t>
            </w:r>
          </w:p>
          <w:p w14:paraId="6C24540D" w14:textId="77777777" w:rsidR="007266CF" w:rsidRPr="002A677E" w:rsidRDefault="007266CF" w:rsidP="007266CF">
            <w:pPr>
              <w:spacing w:before="0" w:after="0"/>
              <w:ind w:left="33"/>
              <w:rPr>
                <w:rFonts w:ascii="Times New Roman" w:hAnsi="Times New Roman"/>
                <w:bCs/>
                <w:sz w:val="24"/>
                <w:lang w:eastAsia="de-DE"/>
              </w:rPr>
            </w:pPr>
          </w:p>
          <w:p w14:paraId="48B9730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0D7EBA93" w14:textId="77777777" w:rsidR="007266CF" w:rsidRPr="002A677E" w:rsidDel="00FB1EBF" w:rsidRDefault="007266CF" w:rsidP="007266CF">
            <w:pPr>
              <w:spacing w:before="0" w:after="0"/>
              <w:ind w:left="33"/>
              <w:rPr>
                <w:rFonts w:ascii="Times New Roman" w:hAnsi="Times New Roman"/>
                <w:bCs/>
                <w:sz w:val="24"/>
                <w:lang w:eastAsia="de-DE"/>
              </w:rPr>
            </w:pPr>
          </w:p>
        </w:tc>
      </w:tr>
      <w:tr w:rsidR="007266CF" w:rsidRPr="002A677E" w14:paraId="0A9C86EA" w14:textId="77777777" w:rsidTr="007266CF">
        <w:tc>
          <w:tcPr>
            <w:tcW w:w="1188" w:type="dxa"/>
          </w:tcPr>
          <w:p w14:paraId="0AD2D59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0050</w:t>
            </w:r>
          </w:p>
        </w:tc>
        <w:tc>
          <w:tcPr>
            <w:tcW w:w="8640" w:type="dxa"/>
          </w:tcPr>
          <w:p w14:paraId="55585233"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Neobchodní finanční aktiva povinně oceňovaná v reálné hodnotě vykázané do zisku nebo ztráty</w:t>
            </w:r>
          </w:p>
          <w:p w14:paraId="38565AA6" w14:textId="77777777" w:rsidR="007266CF" w:rsidRPr="002A677E" w:rsidRDefault="007266CF" w:rsidP="007266CF">
            <w:pPr>
              <w:spacing w:before="0" w:after="0"/>
              <w:ind w:left="33"/>
              <w:rPr>
                <w:rFonts w:ascii="Times New Roman" w:hAnsi="Times New Roman"/>
                <w:bCs/>
                <w:sz w:val="24"/>
                <w:lang w:eastAsia="de-DE"/>
              </w:rPr>
            </w:pPr>
          </w:p>
          <w:p w14:paraId="63E07043"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IFRS 7 odst. 8 písm. a) bod ii); IFRS 9 odst. 4.1.4</w:t>
            </w:r>
          </w:p>
          <w:p w14:paraId="343FB200"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5786C877" w14:textId="77777777" w:rsidTr="007266CF">
        <w:tc>
          <w:tcPr>
            <w:tcW w:w="1188" w:type="dxa"/>
          </w:tcPr>
          <w:p w14:paraId="31F07B7A"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0060</w:t>
            </w:r>
          </w:p>
        </w:tc>
        <w:tc>
          <w:tcPr>
            <w:tcW w:w="8640" w:type="dxa"/>
          </w:tcPr>
          <w:p w14:paraId="71BDC132"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Finanční aktiva v reálné hodnotě vykázané do zisku nebo ztráty</w:t>
            </w:r>
          </w:p>
          <w:p w14:paraId="17A99F1E" w14:textId="77777777" w:rsidR="007266CF" w:rsidRPr="002A677E" w:rsidRDefault="007266CF" w:rsidP="007266CF">
            <w:pPr>
              <w:spacing w:before="0" w:after="0"/>
              <w:ind w:left="33"/>
              <w:rPr>
                <w:rFonts w:ascii="Times New Roman" w:hAnsi="Times New Roman"/>
                <w:bCs/>
                <w:sz w:val="24"/>
                <w:lang w:eastAsia="de-DE"/>
              </w:rPr>
            </w:pPr>
          </w:p>
          <w:p w14:paraId="6149F06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IFRS 7 odst. 8 písm. a) bod i); IFRS 9 odst. 4.1.5 a čl. 8 odst. 1 písm. a) a čl. 8 odst. 6 směrnice 2013/34/EU</w:t>
            </w:r>
          </w:p>
          <w:p w14:paraId="6C997E14"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7F56A118" w14:textId="77777777" w:rsidTr="007266CF">
        <w:tc>
          <w:tcPr>
            <w:tcW w:w="1188" w:type="dxa"/>
          </w:tcPr>
          <w:p w14:paraId="68C5592A"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0070</w:t>
            </w:r>
          </w:p>
        </w:tc>
        <w:tc>
          <w:tcPr>
            <w:tcW w:w="8640" w:type="dxa"/>
          </w:tcPr>
          <w:p w14:paraId="75FA9B96"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Neobchodní nederivátová finanční aktiva v reálné hodnotě vykázané do zisku nebo ztráty</w:t>
            </w:r>
          </w:p>
          <w:p w14:paraId="2A2FC8F2" w14:textId="77777777" w:rsidR="007266CF" w:rsidRPr="002A677E" w:rsidRDefault="007266CF" w:rsidP="007266CF">
            <w:pPr>
              <w:spacing w:before="0" w:after="0"/>
              <w:ind w:left="33"/>
              <w:rPr>
                <w:rFonts w:ascii="Times New Roman" w:hAnsi="Times New Roman"/>
                <w:bCs/>
                <w:sz w:val="24"/>
                <w:lang w:eastAsia="de-DE"/>
              </w:rPr>
            </w:pPr>
          </w:p>
          <w:p w14:paraId="063CC4B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Ustanovení čl. 36 odst. 2 směrnice Rady 86/635/EHS; čl. 8 odst. 1 písm. a) směrnice 2013/34/EU</w:t>
            </w:r>
          </w:p>
          <w:p w14:paraId="64531098" w14:textId="77777777" w:rsidR="007266CF" w:rsidRPr="002A677E" w:rsidRDefault="007266CF" w:rsidP="007266CF">
            <w:pPr>
              <w:spacing w:before="0" w:after="0"/>
              <w:ind w:left="33"/>
              <w:rPr>
                <w:rFonts w:ascii="Times New Roman" w:hAnsi="Times New Roman"/>
                <w:bCs/>
                <w:sz w:val="24"/>
                <w:lang w:eastAsia="de-DE"/>
              </w:rPr>
            </w:pPr>
          </w:p>
          <w:p w14:paraId="61B083F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4BC27D88"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349C8FD8" w14:textId="77777777" w:rsidTr="007266CF">
        <w:tc>
          <w:tcPr>
            <w:tcW w:w="1188" w:type="dxa"/>
          </w:tcPr>
          <w:p w14:paraId="396F1BF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0080</w:t>
            </w:r>
          </w:p>
        </w:tc>
        <w:tc>
          <w:tcPr>
            <w:tcW w:w="8640" w:type="dxa"/>
          </w:tcPr>
          <w:p w14:paraId="7691A5EE"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Finanční aktiva v reálné hodnotě vykázané do ostatního úplného výsledku</w:t>
            </w:r>
          </w:p>
          <w:p w14:paraId="4C978050" w14:textId="77777777" w:rsidR="007266CF" w:rsidRPr="002A677E" w:rsidRDefault="007266CF" w:rsidP="007266CF">
            <w:pPr>
              <w:spacing w:before="0" w:after="0"/>
              <w:ind w:left="33"/>
              <w:rPr>
                <w:rFonts w:ascii="Times New Roman" w:hAnsi="Times New Roman"/>
                <w:bCs/>
                <w:sz w:val="24"/>
                <w:lang w:eastAsia="de-DE"/>
              </w:rPr>
            </w:pPr>
          </w:p>
          <w:p w14:paraId="6B2269C8"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IFRS 7 odst. 8 písm. d); IFRS 9 odst. 4.1.2A</w:t>
            </w:r>
          </w:p>
          <w:p w14:paraId="22410D00" w14:textId="77777777" w:rsidR="007266CF" w:rsidRPr="002A677E" w:rsidRDefault="007266CF" w:rsidP="007266CF">
            <w:pPr>
              <w:spacing w:before="0" w:after="0"/>
              <w:ind w:left="33"/>
              <w:rPr>
                <w:rFonts w:ascii="Times New Roman" w:hAnsi="Times New Roman"/>
                <w:b/>
                <w:bCs/>
                <w:sz w:val="24"/>
                <w:lang w:eastAsia="de-DE"/>
              </w:rPr>
            </w:pPr>
          </w:p>
        </w:tc>
      </w:tr>
      <w:tr w:rsidR="007266CF" w:rsidRPr="002A677E" w14:paraId="1E504AAD" w14:textId="77777777" w:rsidTr="007266CF">
        <w:tc>
          <w:tcPr>
            <w:tcW w:w="1188" w:type="dxa"/>
          </w:tcPr>
          <w:p w14:paraId="754718F3"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0090</w:t>
            </w:r>
          </w:p>
        </w:tc>
        <w:tc>
          <w:tcPr>
            <w:tcW w:w="8640" w:type="dxa"/>
          </w:tcPr>
          <w:p w14:paraId="4395070E"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Neobchodní nederivátová finanční aktiva v reálné hodnotě vykázané do vlastního kapitálu</w:t>
            </w:r>
          </w:p>
          <w:p w14:paraId="473C89C3" w14:textId="77777777" w:rsidR="007266CF" w:rsidRPr="002A677E" w:rsidRDefault="007266CF" w:rsidP="007266CF">
            <w:pPr>
              <w:spacing w:before="0" w:after="0"/>
              <w:ind w:left="33"/>
              <w:rPr>
                <w:rFonts w:ascii="Times New Roman" w:hAnsi="Times New Roman"/>
                <w:bCs/>
                <w:sz w:val="24"/>
                <w:lang w:eastAsia="de-DE"/>
              </w:rPr>
            </w:pPr>
          </w:p>
          <w:p w14:paraId="787DEA5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Ustanovení čl. 8 odst. 1 písm. a) a čl. 8 odst. 8 směrnice 2013/34/EU</w:t>
            </w:r>
          </w:p>
          <w:p w14:paraId="1193BFAF" w14:textId="77777777" w:rsidR="007266CF" w:rsidRPr="002A677E" w:rsidRDefault="007266CF" w:rsidP="007266CF">
            <w:pPr>
              <w:spacing w:before="0" w:after="0"/>
              <w:ind w:left="33"/>
              <w:rPr>
                <w:rFonts w:ascii="Times New Roman" w:hAnsi="Times New Roman"/>
                <w:bCs/>
                <w:sz w:val="24"/>
                <w:lang w:eastAsia="de-DE"/>
              </w:rPr>
            </w:pPr>
          </w:p>
          <w:p w14:paraId="6C2D595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22C9445C"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5CC2E3D7" w14:textId="77777777" w:rsidTr="007266CF">
        <w:tc>
          <w:tcPr>
            <w:tcW w:w="1188" w:type="dxa"/>
          </w:tcPr>
          <w:p w14:paraId="094D8CB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0100</w:t>
            </w:r>
          </w:p>
        </w:tc>
        <w:tc>
          <w:tcPr>
            <w:tcW w:w="8640" w:type="dxa"/>
          </w:tcPr>
          <w:p w14:paraId="7F1D09D8"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Finanční aktiva v naběhlé hodnotě</w:t>
            </w:r>
          </w:p>
          <w:p w14:paraId="180FA5D9" w14:textId="77777777" w:rsidR="007266CF" w:rsidRPr="002A677E" w:rsidRDefault="007266CF" w:rsidP="007266CF">
            <w:pPr>
              <w:spacing w:before="0" w:after="0"/>
              <w:ind w:left="33"/>
              <w:rPr>
                <w:rFonts w:ascii="Times New Roman" w:hAnsi="Times New Roman"/>
                <w:bCs/>
                <w:sz w:val="24"/>
                <w:lang w:eastAsia="de-DE"/>
              </w:rPr>
            </w:pPr>
          </w:p>
          <w:p w14:paraId="2B5A2B68" w14:textId="77777777" w:rsidR="007266CF" w:rsidRPr="002A677E" w:rsidDel="00501397" w:rsidRDefault="007266CF" w:rsidP="007266CF">
            <w:pPr>
              <w:spacing w:before="0" w:after="0"/>
              <w:ind w:left="33"/>
              <w:rPr>
                <w:rFonts w:ascii="Times New Roman" w:hAnsi="Times New Roman"/>
                <w:b/>
                <w:bCs/>
                <w:sz w:val="24"/>
                <w:u w:val="single"/>
              </w:rPr>
            </w:pPr>
            <w:r>
              <w:rPr>
                <w:rFonts w:ascii="Times New Roman" w:hAnsi="Times New Roman"/>
                <w:sz w:val="24"/>
              </w:rPr>
              <w:t>IFRS 7 odst. 8 písm. f); IFRS 9 odst. 4.1.2; příloha V část 1 odstavec 15 tohoto prováděcího nařízení</w:t>
            </w:r>
          </w:p>
          <w:p w14:paraId="3D4009C0"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0359F56A" w14:textId="77777777" w:rsidTr="007266CF">
        <w:tc>
          <w:tcPr>
            <w:tcW w:w="1188" w:type="dxa"/>
          </w:tcPr>
          <w:p w14:paraId="3BAB87D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0110</w:t>
            </w:r>
          </w:p>
        </w:tc>
        <w:tc>
          <w:tcPr>
            <w:tcW w:w="8640" w:type="dxa"/>
          </w:tcPr>
          <w:p w14:paraId="3E865F87"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Neobchodní nederivátová finanční aktiva oceněná pořizovací cenou</w:t>
            </w:r>
          </w:p>
          <w:p w14:paraId="440B8886" w14:textId="77777777" w:rsidR="007266CF" w:rsidRPr="002A677E" w:rsidRDefault="007266CF" w:rsidP="007266CF">
            <w:pPr>
              <w:spacing w:before="0" w:after="0"/>
              <w:ind w:left="33"/>
              <w:rPr>
                <w:rFonts w:ascii="Times New Roman" w:hAnsi="Times New Roman"/>
                <w:bCs/>
                <w:sz w:val="24"/>
                <w:lang w:eastAsia="de-DE"/>
              </w:rPr>
            </w:pPr>
          </w:p>
          <w:p w14:paraId="0981454A"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Článek 35 směrnice Rady 86/635/EHS;  čl. 6 odst. 1 písm. i) a čl. 8 odst. 2 směrnice 2013/34/EU;  příloha V část 1 odstavec 16 tohoto prováděcího nařízení</w:t>
            </w:r>
          </w:p>
          <w:p w14:paraId="3F4BDBBC" w14:textId="77777777" w:rsidR="007266CF" w:rsidRPr="002A677E" w:rsidRDefault="007266CF" w:rsidP="007266CF">
            <w:pPr>
              <w:spacing w:before="0" w:after="0"/>
              <w:ind w:left="33"/>
              <w:rPr>
                <w:rFonts w:ascii="Times New Roman" w:hAnsi="Times New Roman"/>
                <w:bCs/>
                <w:sz w:val="24"/>
                <w:lang w:eastAsia="de-DE"/>
              </w:rPr>
            </w:pPr>
          </w:p>
          <w:p w14:paraId="5C39897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265AC590"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074F723D" w14:textId="77777777" w:rsidTr="007266CF">
        <w:tc>
          <w:tcPr>
            <w:tcW w:w="1188" w:type="dxa"/>
          </w:tcPr>
          <w:p w14:paraId="2D289DA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0120</w:t>
            </w:r>
          </w:p>
        </w:tc>
        <w:tc>
          <w:tcPr>
            <w:tcW w:w="8640" w:type="dxa"/>
          </w:tcPr>
          <w:p w14:paraId="0A34E7B6"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Ostatní neobchodní nederivátová finanční aktiva</w:t>
            </w:r>
          </w:p>
          <w:p w14:paraId="2AA9F501" w14:textId="77777777" w:rsidR="007266CF" w:rsidRPr="002A677E" w:rsidRDefault="007266CF" w:rsidP="007266CF">
            <w:pPr>
              <w:spacing w:before="0" w:after="0"/>
              <w:ind w:left="33"/>
              <w:rPr>
                <w:rFonts w:ascii="Times New Roman" w:hAnsi="Times New Roman"/>
                <w:bCs/>
                <w:sz w:val="24"/>
                <w:lang w:eastAsia="de-DE"/>
              </w:rPr>
            </w:pPr>
          </w:p>
          <w:p w14:paraId="5528F091"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Článek 37 směrnice Rady 86/635/EHS; čl. 12 odst. 7 směrnice 2013/34/EU; příloha V část 1 odstavec 16 tohoto prováděcího nařízení</w:t>
            </w:r>
          </w:p>
          <w:p w14:paraId="1EA1D646" w14:textId="77777777" w:rsidR="007266CF" w:rsidRPr="002A677E" w:rsidRDefault="007266CF" w:rsidP="007266CF">
            <w:pPr>
              <w:spacing w:before="0" w:after="0"/>
              <w:ind w:left="33"/>
              <w:rPr>
                <w:rFonts w:ascii="Times New Roman" w:hAnsi="Times New Roman"/>
                <w:bCs/>
                <w:sz w:val="24"/>
                <w:lang w:eastAsia="de-DE"/>
              </w:rPr>
            </w:pPr>
          </w:p>
          <w:p w14:paraId="41A60EFA"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1A99549B"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4177ED85" w14:textId="77777777" w:rsidTr="007266CF">
        <w:tc>
          <w:tcPr>
            <w:tcW w:w="1188" w:type="dxa"/>
          </w:tcPr>
          <w:p w14:paraId="0DDE3CEB"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0130</w:t>
            </w:r>
          </w:p>
        </w:tc>
        <w:tc>
          <w:tcPr>
            <w:tcW w:w="8640" w:type="dxa"/>
          </w:tcPr>
          <w:p w14:paraId="21D3C409"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Krátké pozice</w:t>
            </w:r>
          </w:p>
          <w:p w14:paraId="54145DBE" w14:textId="77777777" w:rsidR="007266CF" w:rsidRPr="002A677E" w:rsidRDefault="007266CF" w:rsidP="007266CF">
            <w:pPr>
              <w:spacing w:before="0" w:after="0"/>
              <w:ind w:left="33"/>
              <w:rPr>
                <w:rFonts w:ascii="Times New Roman" w:hAnsi="Times New Roman"/>
                <w:bCs/>
                <w:sz w:val="24"/>
                <w:lang w:eastAsia="de-DE"/>
              </w:rPr>
            </w:pPr>
          </w:p>
          <w:p w14:paraId="2C5D1F03"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Účetní hodnota krátkých pozic ve smyslu IFRS 9 BA.7 písm. b), je-li přímou protistranou vládní instituce ve smyslu odstavců 155 až 160 této přílohy.</w:t>
            </w:r>
          </w:p>
          <w:p w14:paraId="0B7B7987" w14:textId="77777777" w:rsidR="007266CF" w:rsidRPr="002A677E" w:rsidRDefault="007266CF" w:rsidP="007266CF">
            <w:pPr>
              <w:spacing w:before="0" w:after="0"/>
              <w:ind w:left="33"/>
              <w:rPr>
                <w:rFonts w:ascii="Times New Roman" w:hAnsi="Times New Roman"/>
                <w:bCs/>
                <w:sz w:val="24"/>
                <w:lang w:eastAsia="de-DE"/>
              </w:rPr>
            </w:pPr>
          </w:p>
          <w:p w14:paraId="1AF1F5C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Krátké pozice vznikají v případech, kdy instituce prodává cenné papíry nabyté v reverzní repo operaci či vypůjčené v rámci transakce s půjčkou cenných papírů.</w:t>
            </w:r>
          </w:p>
          <w:p w14:paraId="4F6F976F" w14:textId="77777777" w:rsidR="007266CF" w:rsidRPr="002A677E" w:rsidRDefault="007266CF" w:rsidP="007266CF">
            <w:pPr>
              <w:spacing w:before="0" w:after="0"/>
              <w:ind w:left="33"/>
              <w:rPr>
                <w:rFonts w:ascii="Times New Roman" w:hAnsi="Times New Roman"/>
                <w:bCs/>
                <w:sz w:val="24"/>
                <w:lang w:eastAsia="de-DE"/>
              </w:rPr>
            </w:pPr>
          </w:p>
          <w:p w14:paraId="07114EA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Účetní hodnotou je reálná hodnota krátkých pozic.</w:t>
            </w:r>
          </w:p>
          <w:p w14:paraId="3E0206AC" w14:textId="77777777" w:rsidR="007266CF" w:rsidRPr="002A677E" w:rsidRDefault="007266CF" w:rsidP="007266CF">
            <w:pPr>
              <w:spacing w:before="0" w:after="0"/>
              <w:ind w:left="33"/>
              <w:rPr>
                <w:rFonts w:ascii="Times New Roman" w:hAnsi="Times New Roman"/>
                <w:bCs/>
                <w:sz w:val="24"/>
                <w:lang w:eastAsia="de-DE"/>
              </w:rPr>
            </w:pPr>
          </w:p>
          <w:p w14:paraId="6EC6D75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Krátké pozice musí být vykázány podle zbytkového koše splatností, jak je uvedeno v řádcích 0170 až 0230, a podle bezprostřední protistrany. </w:t>
            </w:r>
          </w:p>
          <w:p w14:paraId="5D3F084E" w14:textId="77777777" w:rsidR="007266CF" w:rsidRPr="002A677E" w:rsidRDefault="007266CF" w:rsidP="007266CF">
            <w:pPr>
              <w:spacing w:before="0" w:after="0"/>
              <w:ind w:left="33"/>
              <w:rPr>
                <w:rFonts w:ascii="Times New Roman" w:hAnsi="Times New Roman"/>
                <w:bCs/>
                <w:sz w:val="24"/>
                <w:lang w:eastAsia="de-DE"/>
              </w:rPr>
            </w:pPr>
          </w:p>
          <w:p w14:paraId="562E761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Krátké pozice vykázané v tomto sloupci mohou být započteny proti pozicím se stejnou zbytkovou splatností a bezprostřední protistranou denominovaným ve stejné měně, které se vykazují ve sloupcích 0030 až 0120, aby se získala čistá pozice, která se vykazuje ve sloupci 0020.</w:t>
            </w:r>
          </w:p>
          <w:p w14:paraId="4F74734B"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3D3B0708" w14:textId="77777777" w:rsidTr="007266CF">
        <w:tc>
          <w:tcPr>
            <w:tcW w:w="1188" w:type="dxa"/>
          </w:tcPr>
          <w:p w14:paraId="30DFE906" w14:textId="77777777" w:rsidR="007266CF" w:rsidRPr="002A677E" w:rsidDel="00E97A51" w:rsidRDefault="007266CF" w:rsidP="007266CF">
            <w:pPr>
              <w:spacing w:before="0" w:after="0"/>
              <w:ind w:left="33"/>
              <w:rPr>
                <w:rFonts w:ascii="Times New Roman" w:hAnsi="Times New Roman"/>
                <w:bCs/>
                <w:sz w:val="24"/>
              </w:rPr>
            </w:pPr>
            <w:r>
              <w:rPr>
                <w:rFonts w:ascii="Times New Roman" w:hAnsi="Times New Roman"/>
                <w:sz w:val="24"/>
              </w:rPr>
              <w:t>0140</w:t>
            </w:r>
          </w:p>
        </w:tc>
        <w:tc>
          <w:tcPr>
            <w:tcW w:w="8640" w:type="dxa"/>
          </w:tcPr>
          <w:p w14:paraId="18FB5FA0"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Z toho: Krátké pozice z reverzních repo operací klasifikované jako k obchodování nebo obchodovatelná finanční aktiva</w:t>
            </w:r>
          </w:p>
          <w:p w14:paraId="7E904BCC" w14:textId="77777777" w:rsidR="007266CF" w:rsidRPr="002A677E" w:rsidRDefault="007266CF" w:rsidP="007266CF">
            <w:pPr>
              <w:spacing w:before="0" w:after="0"/>
              <w:ind w:left="33"/>
              <w:rPr>
                <w:rFonts w:ascii="Times New Roman" w:hAnsi="Times New Roman"/>
                <w:bCs/>
                <w:sz w:val="24"/>
                <w:lang w:eastAsia="de-DE"/>
              </w:rPr>
            </w:pPr>
          </w:p>
          <w:p w14:paraId="00B8C6A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Účetní hodnota krátkých pozic ve smyslu definice v IFRS 9 BA.7 písm. b), které vznikají v případech, kdy instituce prodává cenné papíry nabyté v reverzních repo operacích, pokud přímou protistranou uvedených cenných papírů je vládní instituce, a jež jsou zahrnuty v účetních portfoliích finančních aktiv držených k obchodování nebo obchodovatelných (sloupec 0030 nebo 0040).</w:t>
            </w:r>
          </w:p>
          <w:p w14:paraId="4BAA8E2C" w14:textId="77777777" w:rsidR="007266CF" w:rsidRPr="002A677E" w:rsidRDefault="007266CF" w:rsidP="007266CF">
            <w:pPr>
              <w:spacing w:before="0" w:after="0"/>
              <w:ind w:left="33"/>
              <w:rPr>
                <w:rFonts w:ascii="Times New Roman" w:hAnsi="Times New Roman"/>
                <w:b/>
                <w:bCs/>
                <w:sz w:val="24"/>
                <w:u w:val="single"/>
                <w:lang w:eastAsia="de-DE"/>
              </w:rPr>
            </w:pPr>
          </w:p>
          <w:p w14:paraId="691D181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V tomto sloupci nejsou zahrnuty krátké pozice, které vznikají v případech, kdy prodané cenné papíry byly vypůjčeny v rámci transakce s půjčkou cenných papírů. </w:t>
            </w:r>
          </w:p>
          <w:p w14:paraId="1C31CABA" w14:textId="77777777" w:rsidR="007266CF" w:rsidRPr="002A677E" w:rsidDel="00E97A51" w:rsidRDefault="007266CF" w:rsidP="007266CF">
            <w:pPr>
              <w:spacing w:before="0" w:after="0"/>
              <w:ind w:left="33"/>
              <w:rPr>
                <w:rFonts w:ascii="Times New Roman" w:hAnsi="Times New Roman"/>
                <w:b/>
                <w:bCs/>
                <w:sz w:val="24"/>
                <w:u w:val="single"/>
                <w:lang w:eastAsia="de-DE"/>
              </w:rPr>
            </w:pPr>
          </w:p>
        </w:tc>
      </w:tr>
      <w:tr w:rsidR="007266CF" w:rsidRPr="002A677E" w:rsidDel="004A25FD" w14:paraId="505EDB7D" w14:textId="77777777" w:rsidTr="007266CF">
        <w:tc>
          <w:tcPr>
            <w:tcW w:w="1188" w:type="dxa"/>
          </w:tcPr>
          <w:p w14:paraId="1C897FFF" w14:textId="77777777" w:rsidR="007266CF" w:rsidRPr="002A677E" w:rsidDel="004A25FD" w:rsidRDefault="007266CF" w:rsidP="007266CF">
            <w:pPr>
              <w:spacing w:before="0" w:after="0"/>
              <w:ind w:left="33"/>
              <w:rPr>
                <w:rFonts w:ascii="Times New Roman" w:hAnsi="Times New Roman"/>
                <w:bCs/>
                <w:sz w:val="24"/>
              </w:rPr>
            </w:pPr>
            <w:r>
              <w:rPr>
                <w:rFonts w:ascii="Times New Roman" w:hAnsi="Times New Roman"/>
                <w:sz w:val="24"/>
              </w:rPr>
              <w:t>0150</w:t>
            </w:r>
          </w:p>
        </w:tc>
        <w:tc>
          <w:tcPr>
            <w:tcW w:w="8640" w:type="dxa"/>
          </w:tcPr>
          <w:p w14:paraId="6200150E"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Kumulované ztráty ze znehodnocení</w:t>
            </w:r>
          </w:p>
          <w:p w14:paraId="38349580" w14:textId="77777777" w:rsidR="007266CF" w:rsidRPr="002A677E" w:rsidRDefault="007266CF" w:rsidP="007266CF">
            <w:pPr>
              <w:spacing w:before="0" w:after="0"/>
              <w:ind w:left="33"/>
              <w:rPr>
                <w:rFonts w:ascii="Times New Roman" w:hAnsi="Times New Roman"/>
                <w:b/>
                <w:bCs/>
                <w:sz w:val="24"/>
                <w:u w:val="single"/>
                <w:lang w:eastAsia="de-DE"/>
              </w:rPr>
            </w:pPr>
          </w:p>
          <w:p w14:paraId="54581A0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 kumulovaných ztrát ze znehodnocení v souvislosti s nederivátovými finančními aktivy vykazovanými ve sloupcích 0080 až 0120 (příloha V část 2 odstavce 70 a 71 tohoto prováděcího nařízení)</w:t>
            </w:r>
          </w:p>
          <w:p w14:paraId="52EC5AA9" w14:textId="77777777" w:rsidR="007266CF" w:rsidRPr="002A677E" w:rsidDel="004A25FD" w:rsidRDefault="007266CF" w:rsidP="007266CF">
            <w:pPr>
              <w:spacing w:before="0" w:after="0"/>
              <w:ind w:left="33"/>
              <w:rPr>
                <w:rFonts w:ascii="Times New Roman" w:hAnsi="Times New Roman"/>
                <w:bCs/>
                <w:sz w:val="24"/>
                <w:lang w:eastAsia="de-DE"/>
              </w:rPr>
            </w:pPr>
          </w:p>
        </w:tc>
      </w:tr>
      <w:tr w:rsidR="007266CF" w:rsidRPr="002A677E" w14:paraId="5A960D61" w14:textId="77777777" w:rsidTr="007266CF">
        <w:tc>
          <w:tcPr>
            <w:tcW w:w="1188" w:type="dxa"/>
          </w:tcPr>
          <w:p w14:paraId="621718EF"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0160</w:t>
            </w:r>
          </w:p>
        </w:tc>
        <w:tc>
          <w:tcPr>
            <w:tcW w:w="8640" w:type="dxa"/>
          </w:tcPr>
          <w:p w14:paraId="2B247074"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Kumulované ztráty ze znehodnocení – z toho: z finančních aktiv oceněných reálnou hodnotou do ostatního úplného výsledku nebo z neobchodních nederivátových finančních aktiv oceněných reálnou hodnotou do vlastního kapitálu</w:t>
            </w:r>
          </w:p>
          <w:p w14:paraId="2FFACDA3" w14:textId="77777777" w:rsidR="007266CF" w:rsidRPr="002A677E" w:rsidRDefault="007266CF" w:rsidP="007266CF">
            <w:pPr>
              <w:spacing w:before="0" w:after="0"/>
              <w:ind w:left="33"/>
              <w:rPr>
                <w:rFonts w:ascii="Times New Roman" w:hAnsi="Times New Roman"/>
                <w:b/>
                <w:bCs/>
                <w:sz w:val="24"/>
                <w:u w:val="single"/>
                <w:lang w:eastAsia="de-DE"/>
              </w:rPr>
            </w:pPr>
          </w:p>
          <w:p w14:paraId="43AFA23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Souhrn kumulovaných ztrát ze znehodnocení v souvislosti s nederivátovými finančními aktivy vykazovanými ve sloupcích 0080 a 0090 </w:t>
            </w:r>
          </w:p>
          <w:p w14:paraId="43EF9E3B"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rsidDel="004A25FD" w14:paraId="600F19B1" w14:textId="77777777" w:rsidTr="007266CF">
        <w:tc>
          <w:tcPr>
            <w:tcW w:w="1188" w:type="dxa"/>
          </w:tcPr>
          <w:p w14:paraId="498C3B2C" w14:textId="77777777" w:rsidR="007266CF" w:rsidRPr="002A677E" w:rsidDel="004A25FD" w:rsidRDefault="007266CF" w:rsidP="007266CF">
            <w:pPr>
              <w:spacing w:before="0" w:after="0"/>
              <w:ind w:left="33"/>
              <w:rPr>
                <w:rFonts w:ascii="Times New Roman" w:hAnsi="Times New Roman"/>
                <w:bCs/>
                <w:sz w:val="24"/>
              </w:rPr>
            </w:pPr>
            <w:r>
              <w:rPr>
                <w:rFonts w:ascii="Times New Roman" w:hAnsi="Times New Roman"/>
                <w:sz w:val="24"/>
              </w:rPr>
              <w:t>0170</w:t>
            </w:r>
          </w:p>
        </w:tc>
        <w:tc>
          <w:tcPr>
            <w:tcW w:w="8640" w:type="dxa"/>
          </w:tcPr>
          <w:p w14:paraId="23C6E745"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rizika </w:t>
            </w:r>
          </w:p>
          <w:p w14:paraId="20A30534" w14:textId="77777777" w:rsidR="007266CF" w:rsidRPr="002A677E" w:rsidRDefault="007266CF" w:rsidP="007266CF">
            <w:pPr>
              <w:spacing w:before="0" w:after="0"/>
              <w:ind w:left="33"/>
              <w:rPr>
                <w:rFonts w:ascii="Times New Roman" w:hAnsi="Times New Roman"/>
                <w:b/>
                <w:bCs/>
                <w:sz w:val="24"/>
                <w:u w:val="single"/>
                <w:lang w:eastAsia="de-DE"/>
              </w:rPr>
            </w:pPr>
          </w:p>
          <w:p w14:paraId="290B6C2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0050, 0060, 0070, 0080 a 0090 (příloha V část 2 odstavec 69 tohoto prováděcího nařízení)</w:t>
            </w:r>
          </w:p>
          <w:p w14:paraId="36406929" w14:textId="77777777" w:rsidR="007266CF" w:rsidRPr="002A677E" w:rsidDel="004A25FD" w:rsidRDefault="007266CF" w:rsidP="007266CF">
            <w:pPr>
              <w:spacing w:before="0" w:after="0"/>
              <w:ind w:left="33"/>
              <w:rPr>
                <w:rFonts w:ascii="Times New Roman" w:hAnsi="Times New Roman"/>
                <w:bCs/>
                <w:sz w:val="24"/>
                <w:lang w:eastAsia="de-DE"/>
              </w:rPr>
            </w:pPr>
          </w:p>
        </w:tc>
      </w:tr>
      <w:tr w:rsidR="007266CF" w:rsidRPr="002A677E" w14:paraId="4E25B0E8" w14:textId="77777777" w:rsidTr="007266CF">
        <w:tc>
          <w:tcPr>
            <w:tcW w:w="1188" w:type="dxa"/>
          </w:tcPr>
          <w:p w14:paraId="3E59864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0180</w:t>
            </w:r>
          </w:p>
        </w:tc>
        <w:tc>
          <w:tcPr>
            <w:tcW w:w="8640" w:type="dxa"/>
          </w:tcPr>
          <w:p w14:paraId="0B81FA23"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Kumulované záporné změny reálné hodnoty z titulu úvěrového rizika - z toho: z neobchodních finančních aktiv povinně oceňovaných reálnou hodnotou vykázanou do zisku nebo ztráty, finančních aktiv v reálné hodnotě vykázané do zisku nebo ztráty nebo z neobchodních finančních aktiv v reálné hodnotě vykázané do zisku nebo ztráty</w:t>
            </w:r>
          </w:p>
          <w:p w14:paraId="1465D31B" w14:textId="77777777" w:rsidR="007266CF" w:rsidRPr="002A677E" w:rsidRDefault="007266CF" w:rsidP="007266CF">
            <w:pPr>
              <w:spacing w:before="0" w:after="0"/>
              <w:ind w:left="33"/>
              <w:rPr>
                <w:rFonts w:ascii="Times New Roman" w:hAnsi="Times New Roman"/>
                <w:bCs/>
                <w:sz w:val="24"/>
                <w:lang w:eastAsia="de-DE"/>
              </w:rPr>
            </w:pPr>
          </w:p>
          <w:p w14:paraId="216063B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0050, 0060 a 0070.</w:t>
            </w:r>
          </w:p>
          <w:p w14:paraId="09DF1498" w14:textId="77777777" w:rsidR="007266CF" w:rsidRPr="002A677E" w:rsidRDefault="007266CF" w:rsidP="007266CF">
            <w:pPr>
              <w:spacing w:before="0" w:after="0"/>
              <w:ind w:left="33"/>
              <w:rPr>
                <w:rFonts w:ascii="Times New Roman" w:hAnsi="Times New Roman"/>
                <w:bCs/>
                <w:sz w:val="24"/>
              </w:rPr>
            </w:pPr>
            <w:r>
              <w:rPr>
                <w:rFonts w:ascii="Times New Roman" w:hAnsi="Times New Roman"/>
                <w:b/>
                <w:sz w:val="24"/>
                <w:u w:val="single"/>
              </w:rPr>
              <w:t xml:space="preserve"> </w:t>
            </w:r>
          </w:p>
        </w:tc>
      </w:tr>
      <w:tr w:rsidR="007266CF" w:rsidRPr="002A677E" w14:paraId="6C060B14" w14:textId="77777777" w:rsidTr="007266CF">
        <w:tc>
          <w:tcPr>
            <w:tcW w:w="1188" w:type="dxa"/>
          </w:tcPr>
          <w:p w14:paraId="17009C2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0190</w:t>
            </w:r>
          </w:p>
        </w:tc>
        <w:tc>
          <w:tcPr>
            <w:tcW w:w="8640" w:type="dxa"/>
          </w:tcPr>
          <w:p w14:paraId="0D7294C1"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Kumulované záporné změny reálné hodnoty z titulu úvěrového rizika - z toho: z finančních aktiv oceněných reálnou hodnotou do ostatního úplného výsledku nebo z neobchodních nederivátových finančních aktiv oceněných reálnou hodnotou do vlastního kapitálu</w:t>
            </w:r>
          </w:p>
          <w:p w14:paraId="7FC15FC4" w14:textId="77777777" w:rsidR="007266CF" w:rsidRPr="002A677E" w:rsidRDefault="007266CF" w:rsidP="007266CF">
            <w:pPr>
              <w:spacing w:before="0" w:after="0"/>
              <w:ind w:left="33"/>
              <w:rPr>
                <w:rFonts w:ascii="Times New Roman" w:hAnsi="Times New Roman"/>
                <w:bCs/>
                <w:sz w:val="24"/>
                <w:lang w:eastAsia="de-DE"/>
              </w:rPr>
            </w:pPr>
          </w:p>
          <w:p w14:paraId="3883D02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0080 a 0090.</w:t>
            </w:r>
          </w:p>
          <w:p w14:paraId="33D42116"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4266767F" w14:textId="77777777" w:rsidTr="007266CF">
        <w:tc>
          <w:tcPr>
            <w:tcW w:w="1188" w:type="dxa"/>
          </w:tcPr>
          <w:p w14:paraId="3EE3E00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0200–0230</w:t>
            </w:r>
          </w:p>
        </w:tc>
        <w:tc>
          <w:tcPr>
            <w:tcW w:w="8640" w:type="dxa"/>
          </w:tcPr>
          <w:p w14:paraId="471707D9"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DERIVÁTY</w:t>
            </w:r>
          </w:p>
          <w:p w14:paraId="5994E15A" w14:textId="77777777" w:rsidR="007266CF" w:rsidRPr="002A677E" w:rsidRDefault="007266CF" w:rsidP="007266CF">
            <w:pPr>
              <w:spacing w:before="0" w:after="0"/>
              <w:ind w:left="33"/>
              <w:rPr>
                <w:rFonts w:ascii="Times New Roman" w:hAnsi="Times New Roman"/>
                <w:b/>
                <w:bCs/>
                <w:sz w:val="24"/>
                <w:u w:val="single"/>
                <w:lang w:eastAsia="de-DE"/>
              </w:rPr>
            </w:pPr>
          </w:p>
          <w:p w14:paraId="3F962B83"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Přímé derivátové pozice se vykazují ve sloupcích 0200 až 0230.</w:t>
            </w:r>
          </w:p>
          <w:p w14:paraId="7F10170E" w14:textId="77777777" w:rsidR="007266CF" w:rsidRPr="002A677E" w:rsidRDefault="007266CF" w:rsidP="007266CF">
            <w:pPr>
              <w:spacing w:before="0" w:after="0"/>
              <w:ind w:left="33"/>
              <w:rPr>
                <w:rFonts w:ascii="Times New Roman" w:hAnsi="Times New Roman"/>
                <w:b/>
                <w:bCs/>
                <w:sz w:val="24"/>
                <w:u w:val="single"/>
                <w:lang w:eastAsia="de-DE"/>
              </w:rPr>
            </w:pPr>
          </w:p>
          <w:p w14:paraId="2751657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Ohledně vykazování derivátů, které podléhají úvěrovému riziku protistrany i kapitálovým požadavkům souvisejícím s tržním rizikem, viz pokyny pro členění řádků.</w:t>
            </w:r>
          </w:p>
          <w:p w14:paraId="78ADE63C"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1F3DB53B" w14:textId="77777777" w:rsidTr="007266CF">
        <w:tc>
          <w:tcPr>
            <w:tcW w:w="1188" w:type="dxa"/>
          </w:tcPr>
          <w:p w14:paraId="6FDCB2C9"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0200–0210</w:t>
            </w:r>
          </w:p>
        </w:tc>
        <w:tc>
          <w:tcPr>
            <w:tcW w:w="8640" w:type="dxa"/>
          </w:tcPr>
          <w:p w14:paraId="00C3C242"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Deriváty s kladnou reálnou hodnotou</w:t>
            </w:r>
          </w:p>
          <w:p w14:paraId="71000D8E" w14:textId="77777777" w:rsidR="007266CF" w:rsidRPr="002A677E" w:rsidRDefault="007266CF" w:rsidP="007266CF">
            <w:pPr>
              <w:spacing w:before="0" w:after="0"/>
              <w:ind w:left="33"/>
              <w:rPr>
                <w:rFonts w:ascii="Times New Roman" w:hAnsi="Times New Roman"/>
                <w:bCs/>
                <w:sz w:val="24"/>
                <w:lang w:eastAsia="de-DE"/>
              </w:rPr>
            </w:pPr>
          </w:p>
          <w:p w14:paraId="2A14E78A"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Veškeré derivátové nástroje s vládní institucí coby protistranou s kladnou reálnou hodnotou pro instituci k datu vykazování bez ohledu na to, zda jsou tyto nástroje použity v kvalifikovaném zajišťovacím vztahu, drženy k obchodování nebo zahrnuty do obchodního portfolia podle IFRS a národních GAAP založených na směrnici Rady 86/635/EHS. </w:t>
            </w:r>
          </w:p>
          <w:p w14:paraId="7F036E2C" w14:textId="77777777" w:rsidR="007266CF" w:rsidRPr="002A677E" w:rsidRDefault="007266CF" w:rsidP="007266CF">
            <w:pPr>
              <w:spacing w:before="0" w:after="0"/>
              <w:ind w:left="33"/>
              <w:rPr>
                <w:rFonts w:ascii="Times New Roman" w:hAnsi="Times New Roman"/>
                <w:bCs/>
                <w:sz w:val="24"/>
                <w:lang w:eastAsia="de-DE"/>
              </w:rPr>
            </w:pPr>
          </w:p>
          <w:p w14:paraId="41A69468"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Zde se vykazují deriváty použité v ekonomickém zajištění v případech, kdy jsou zahrnuty v účetních portfoliích „obchodovatelné“ nebo „drženy k obchodování“ (příloha V, část 2, odstavce 120, 124, 125 a 137 až 140 tohoto prováděcího nařízení).</w:t>
            </w:r>
          </w:p>
          <w:p w14:paraId="2E982E87"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1ED3C986" w14:textId="77777777" w:rsidTr="007266CF">
        <w:tc>
          <w:tcPr>
            <w:tcW w:w="1188" w:type="dxa"/>
          </w:tcPr>
          <w:p w14:paraId="1D5E572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0200</w:t>
            </w:r>
          </w:p>
        </w:tc>
        <w:tc>
          <w:tcPr>
            <w:tcW w:w="8640" w:type="dxa"/>
          </w:tcPr>
          <w:p w14:paraId="474227EB"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 xml:space="preserve">Deriváty s kladnou reálnou hodnotou: Účetní hodnota </w:t>
            </w:r>
          </w:p>
          <w:p w14:paraId="5002376A" w14:textId="77777777" w:rsidR="007266CF" w:rsidRPr="002A677E" w:rsidRDefault="007266CF" w:rsidP="007266CF">
            <w:pPr>
              <w:spacing w:before="0" w:after="0"/>
              <w:ind w:left="33"/>
              <w:rPr>
                <w:rFonts w:ascii="Times New Roman" w:hAnsi="Times New Roman"/>
                <w:bCs/>
                <w:sz w:val="24"/>
                <w:lang w:eastAsia="de-DE"/>
              </w:rPr>
            </w:pPr>
          </w:p>
          <w:p w14:paraId="0014BD9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Účetní hodnota derivátů zaúčtovaných jako finanční aktiva k referenčnímu datu vykazování. </w:t>
            </w:r>
          </w:p>
          <w:p w14:paraId="36B93845" w14:textId="77777777" w:rsidR="007266CF" w:rsidRPr="002A677E" w:rsidRDefault="007266CF" w:rsidP="007266CF">
            <w:pPr>
              <w:spacing w:before="0" w:after="0"/>
              <w:ind w:left="33"/>
              <w:rPr>
                <w:rFonts w:ascii="Times New Roman" w:hAnsi="Times New Roman"/>
                <w:bCs/>
                <w:sz w:val="24"/>
                <w:lang w:eastAsia="de-DE"/>
              </w:rPr>
            </w:pPr>
          </w:p>
          <w:p w14:paraId="7AB08BA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Podle GAAP založených na směrnici Rady 86/635/EHS deriváty, které se vykazují v těchto sloupcích, zahrnují derivátové nástroje oceněné pořizovací cenou či nižší z pořizovací ceny nebo tržní hodnoty zahrnuté do obchodního portfolia nebo určené jako zajišťovací nástroje. </w:t>
            </w:r>
          </w:p>
          <w:p w14:paraId="61EB66CE"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18E38503" w14:textId="77777777" w:rsidTr="007266CF">
        <w:tc>
          <w:tcPr>
            <w:tcW w:w="1188" w:type="dxa"/>
          </w:tcPr>
          <w:p w14:paraId="3DE6E79B"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0210</w:t>
            </w:r>
          </w:p>
        </w:tc>
        <w:tc>
          <w:tcPr>
            <w:tcW w:w="8640" w:type="dxa"/>
          </w:tcPr>
          <w:p w14:paraId="5E4FFB8D"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Deriváty s kladnou reálnou hodnotou: Pomyslná hodnota</w:t>
            </w:r>
          </w:p>
          <w:p w14:paraId="3D722CAF" w14:textId="77777777" w:rsidR="007266CF" w:rsidRPr="002A677E" w:rsidRDefault="007266CF" w:rsidP="007266CF">
            <w:pPr>
              <w:spacing w:before="0" w:after="0"/>
              <w:ind w:left="33"/>
              <w:rPr>
                <w:rFonts w:ascii="Times New Roman" w:hAnsi="Times New Roman"/>
                <w:bCs/>
                <w:sz w:val="24"/>
                <w:lang w:eastAsia="de-DE"/>
              </w:rPr>
            </w:pPr>
          </w:p>
          <w:p w14:paraId="602914F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Podle IFRS i národních GAAP založených na směrnici Rady 86/635/EHS se jedná o pomyslnou hodnotu, ve smyslu přílohy V části 2 odstavců 133 až 135 tohoto prováděcího nařízení, všech derivátových smluv, které byly uzavřeny a k referenčnímu datu vykazování ještě nebyly vypořádány, jejichž protistranou je vládní instituce ve smyslu této přílohy odstavců 191 až 196 a reálná hodnota derivátu je pro instituci k referenčnímu datu kladná.</w:t>
            </w:r>
          </w:p>
          <w:p w14:paraId="2315DD9D"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3F90A291" w14:textId="77777777" w:rsidTr="007266CF">
        <w:tc>
          <w:tcPr>
            <w:tcW w:w="1188" w:type="dxa"/>
          </w:tcPr>
          <w:p w14:paraId="6B7287A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0220–0230</w:t>
            </w:r>
          </w:p>
        </w:tc>
        <w:tc>
          <w:tcPr>
            <w:tcW w:w="8640" w:type="dxa"/>
          </w:tcPr>
          <w:p w14:paraId="23CBCB8B"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Deriváty se zápornou reálnou hodnotou</w:t>
            </w:r>
          </w:p>
          <w:p w14:paraId="5C4C694A" w14:textId="77777777" w:rsidR="007266CF" w:rsidRPr="002A677E" w:rsidDel="00501397" w:rsidRDefault="007266CF" w:rsidP="007266CF">
            <w:pPr>
              <w:spacing w:before="0" w:after="0"/>
              <w:ind w:left="33"/>
              <w:rPr>
                <w:rFonts w:ascii="Times New Roman" w:hAnsi="Times New Roman"/>
                <w:bCs/>
                <w:sz w:val="24"/>
                <w:lang w:eastAsia="de-DE"/>
              </w:rPr>
            </w:pPr>
          </w:p>
          <w:p w14:paraId="7A7014E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Veškeré derivátové nástroje s vládní institucí coby protistranou se zápornou reálnou hodnotu pro instituci k referenčnímu datu vykázání bez ohledu na to, zda jsou tyto nástroje použity v kvalifikovaném zajišťovacím vztahu, nebo jsou drženy k obchodování či zahrnuty do obchodního portfolia podle IFRS a národních GAAP založených na směrnici Rady 86/635/EHS. </w:t>
            </w:r>
          </w:p>
          <w:p w14:paraId="38DE8D4D" w14:textId="77777777" w:rsidR="007266CF" w:rsidRPr="002A677E" w:rsidRDefault="007266CF" w:rsidP="007266CF">
            <w:pPr>
              <w:spacing w:before="0" w:after="0"/>
              <w:ind w:left="33"/>
              <w:rPr>
                <w:rFonts w:ascii="Times New Roman" w:hAnsi="Times New Roman"/>
                <w:bCs/>
                <w:sz w:val="24"/>
                <w:lang w:eastAsia="de-DE"/>
              </w:rPr>
            </w:pPr>
          </w:p>
          <w:p w14:paraId="4CDFA368"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Zde se vykazují deriváty použité v ekonomickém zajištění v případech, kdy jsou zahrnuty v účetních portfoliích „obchodovatelné“ nebo „k obchodování“ (příloha V, část 2, odstavce 120, 124, 125 a. 137 až 140 tohoto prováděcího nařízení).</w:t>
            </w:r>
          </w:p>
          <w:p w14:paraId="3A8C9DDB"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6B5AA4B0" w14:textId="77777777" w:rsidTr="007266CF">
        <w:tc>
          <w:tcPr>
            <w:tcW w:w="1188" w:type="dxa"/>
          </w:tcPr>
          <w:p w14:paraId="2AB95D8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0220</w:t>
            </w:r>
          </w:p>
        </w:tc>
        <w:tc>
          <w:tcPr>
            <w:tcW w:w="8640" w:type="dxa"/>
          </w:tcPr>
          <w:p w14:paraId="24450CFC"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 xml:space="preserve">Deriváty se zápornou reálnou hodnotou: Účetní hodnota </w:t>
            </w:r>
          </w:p>
          <w:p w14:paraId="080FE156" w14:textId="77777777" w:rsidR="007266CF" w:rsidRPr="002A677E" w:rsidRDefault="007266CF" w:rsidP="007266CF">
            <w:pPr>
              <w:spacing w:before="0" w:after="0"/>
              <w:ind w:left="33"/>
              <w:rPr>
                <w:rFonts w:ascii="Times New Roman" w:hAnsi="Times New Roman"/>
                <w:bCs/>
                <w:sz w:val="24"/>
                <w:lang w:eastAsia="de-DE"/>
              </w:rPr>
            </w:pPr>
          </w:p>
          <w:p w14:paraId="64446626"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Účetní hodnota derivátů zaúčtovaných jako finanční závazky k referenčnímu datu vykazování. </w:t>
            </w:r>
          </w:p>
          <w:p w14:paraId="2F0FABB4" w14:textId="77777777" w:rsidR="007266CF" w:rsidRPr="002A677E" w:rsidRDefault="007266CF" w:rsidP="007266CF">
            <w:pPr>
              <w:spacing w:before="0" w:after="0"/>
              <w:ind w:left="33"/>
              <w:rPr>
                <w:rFonts w:ascii="Times New Roman" w:hAnsi="Times New Roman"/>
                <w:bCs/>
                <w:sz w:val="24"/>
                <w:lang w:eastAsia="de-DE"/>
              </w:rPr>
            </w:pPr>
          </w:p>
          <w:p w14:paraId="073AE173"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Podle GAAP založených na směrnici Rady 86/635/EHS deriváty, které se vykazují v těchto sloupcích, zahrnují derivátové nástroje oceněné pořizovací cenou či nižší z pořizovací ceny nebo tržní hodnoty zahrnuté do obchodního portfolia nebo určené jako zajišťovací nástroje. </w:t>
            </w:r>
          </w:p>
          <w:p w14:paraId="78E7B012"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0FBFEB18" w14:textId="77777777" w:rsidTr="007266CF">
        <w:tc>
          <w:tcPr>
            <w:tcW w:w="1188" w:type="dxa"/>
          </w:tcPr>
          <w:p w14:paraId="0F6CE169"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0230</w:t>
            </w:r>
          </w:p>
        </w:tc>
        <w:tc>
          <w:tcPr>
            <w:tcW w:w="8640" w:type="dxa"/>
          </w:tcPr>
          <w:p w14:paraId="5F103B28" w14:textId="77777777" w:rsidR="007266CF" w:rsidRPr="002A677E" w:rsidRDefault="007266CF" w:rsidP="007266CF">
            <w:pPr>
              <w:spacing w:before="0" w:after="0"/>
              <w:rPr>
                <w:rFonts w:ascii="Times New Roman" w:hAnsi="Times New Roman"/>
                <w:b/>
                <w:bCs/>
                <w:sz w:val="24"/>
                <w:u w:val="single"/>
              </w:rPr>
            </w:pPr>
            <w:r>
              <w:rPr>
                <w:rFonts w:ascii="Times New Roman" w:hAnsi="Times New Roman"/>
                <w:b/>
                <w:sz w:val="24"/>
                <w:u w:val="single"/>
              </w:rPr>
              <w:t>Deriváty se zápornou reálnou hodnotou: Pomyslná hodnota</w:t>
            </w:r>
          </w:p>
          <w:p w14:paraId="0CBA4859" w14:textId="77777777" w:rsidR="007266CF" w:rsidRPr="002A677E" w:rsidRDefault="007266CF" w:rsidP="007266CF">
            <w:pPr>
              <w:spacing w:before="0" w:after="0"/>
              <w:ind w:left="33"/>
              <w:rPr>
                <w:rFonts w:ascii="Times New Roman" w:hAnsi="Times New Roman"/>
                <w:b/>
                <w:bCs/>
                <w:sz w:val="24"/>
                <w:u w:val="single"/>
                <w:lang w:eastAsia="de-DE"/>
              </w:rPr>
            </w:pPr>
          </w:p>
          <w:p w14:paraId="6176378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Podle IFRS i národních GAAP založených na směrnici Rady 86/635/EHS se jedná o pomyslnou hodnotu, ve smyslu přílohy V části 2 odstavců 133 až 135 tohoto prováděcího nařízení, všech derivátových smluv, které byly uzavřeny a k referenčnímu datu ještě nebyly vypořádány, jejichž protistranou je vládní instituce ve smyslu této přílohy odstavců 191 až 196 a reálná hodnota derivátu je pro instituci k referenčnímu datu záporná.</w:t>
            </w:r>
          </w:p>
          <w:p w14:paraId="0F3C1A0C"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4C69F288" w14:textId="77777777" w:rsidTr="007266CF">
        <w:tc>
          <w:tcPr>
            <w:tcW w:w="1188" w:type="dxa"/>
          </w:tcPr>
          <w:p w14:paraId="50AABC0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0240–0260</w:t>
            </w:r>
          </w:p>
        </w:tc>
        <w:tc>
          <w:tcPr>
            <w:tcW w:w="8640" w:type="dxa"/>
          </w:tcPr>
          <w:p w14:paraId="40FD31BD"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PODROZVAHOVÉ EXPOZICE</w:t>
            </w:r>
          </w:p>
        </w:tc>
      </w:tr>
      <w:tr w:rsidR="007266CF" w:rsidRPr="002A677E" w14:paraId="4AF532BA" w14:textId="77777777" w:rsidTr="007266CF">
        <w:tc>
          <w:tcPr>
            <w:tcW w:w="1188" w:type="dxa"/>
          </w:tcPr>
          <w:p w14:paraId="178A213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0240</w:t>
            </w:r>
          </w:p>
        </w:tc>
        <w:tc>
          <w:tcPr>
            <w:tcW w:w="8640" w:type="dxa"/>
          </w:tcPr>
          <w:p w14:paraId="29287A8B"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Nominální hodnota</w:t>
            </w:r>
          </w:p>
          <w:p w14:paraId="10F1F83F" w14:textId="77777777" w:rsidR="007266CF" w:rsidRPr="002A677E" w:rsidRDefault="007266CF" w:rsidP="007266CF">
            <w:pPr>
              <w:spacing w:before="0" w:after="0"/>
              <w:ind w:left="33"/>
              <w:rPr>
                <w:rFonts w:ascii="Times New Roman" w:hAnsi="Times New Roman"/>
                <w:bCs/>
                <w:sz w:val="24"/>
                <w:lang w:eastAsia="de-DE"/>
              </w:rPr>
            </w:pPr>
          </w:p>
          <w:p w14:paraId="2DCD42E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Je-li přímou protistranou podrozvahové položky vládní instituce ve smyslu definice v odstavců 155 až 160 této přílohy, jedná se o nominální hodnotu závazků a finančních záruk, které nejsou považovány za derivát v souladu s IFRS nebo podle národních GAAP založených na směrnici Rady 86/635/EHS (příloha V část 2 odstavce 102 až 119 tohoto prováděcího nařízení).</w:t>
            </w:r>
          </w:p>
          <w:p w14:paraId="368BA235" w14:textId="77777777" w:rsidR="007266CF" w:rsidRPr="002A677E" w:rsidRDefault="007266CF" w:rsidP="007266CF">
            <w:pPr>
              <w:spacing w:before="0" w:after="0"/>
              <w:ind w:left="33"/>
              <w:rPr>
                <w:rFonts w:ascii="Times New Roman" w:hAnsi="Times New Roman"/>
                <w:bCs/>
                <w:sz w:val="24"/>
                <w:lang w:eastAsia="de-DE"/>
              </w:rPr>
            </w:pPr>
          </w:p>
          <w:p w14:paraId="25DA9762" w14:textId="77777777" w:rsidR="007266CF" w:rsidRPr="002A677E" w:rsidDel="00501397" w:rsidRDefault="007266CF" w:rsidP="007266CF">
            <w:pPr>
              <w:spacing w:before="0" w:after="0"/>
              <w:ind w:left="33"/>
              <w:rPr>
                <w:rFonts w:ascii="Times New Roman" w:hAnsi="Times New Roman"/>
                <w:b/>
                <w:bCs/>
                <w:sz w:val="24"/>
                <w:u w:val="single"/>
              </w:rPr>
            </w:pPr>
            <w:r>
              <w:rPr>
                <w:rFonts w:ascii="Times New Roman" w:hAnsi="Times New Roman"/>
                <w:sz w:val="24"/>
              </w:rPr>
              <w:lastRenderedPageBreak/>
              <w:t xml:space="preserve">V souladu s přílohou V částí 2 odstavci 43 a 44 tohoto prováděcího nařízení je vládní instituce přímou protistranou: a) v poskytnuté finanční záruce, kdy je přímou protistranou zaručeného dluhového nástroje, a b) v úvěrovém příslibu a jiném poskytnutém příslibu, kdy je protistranou, jejíž úvěrové riziko je převzato vykazující institucí. </w:t>
            </w:r>
          </w:p>
          <w:p w14:paraId="4DEE530F"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4883D072" w14:textId="77777777" w:rsidTr="007266CF">
        <w:tc>
          <w:tcPr>
            <w:tcW w:w="1188" w:type="dxa"/>
          </w:tcPr>
          <w:p w14:paraId="3BA7DFF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0250</w:t>
            </w:r>
          </w:p>
        </w:tc>
        <w:tc>
          <w:tcPr>
            <w:tcW w:w="8640" w:type="dxa"/>
          </w:tcPr>
          <w:p w14:paraId="3247CAC4"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Rezervy</w:t>
            </w:r>
          </w:p>
          <w:p w14:paraId="073A9859" w14:textId="77777777" w:rsidR="007266CF" w:rsidRPr="002A677E" w:rsidRDefault="007266CF" w:rsidP="007266CF">
            <w:pPr>
              <w:spacing w:before="0" w:after="0"/>
              <w:ind w:left="33"/>
              <w:rPr>
                <w:rFonts w:ascii="Times New Roman" w:hAnsi="Times New Roman"/>
                <w:bCs/>
                <w:sz w:val="24"/>
                <w:lang w:eastAsia="de-DE"/>
              </w:rPr>
            </w:pPr>
          </w:p>
          <w:p w14:paraId="6DF34B5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„Závazky“, čl. 4 bod 6 písm. c) a „Podrozvahové položky“, čl. 27 odst. 11, čl. 28 odst. 8 a článek 33 směrnice Rady 86/635/EHS; IFRS 9 odst. 4.2.1 písm. c) bod ii) a písm. d) bod ii), odst. 5.5.20; IAS 37, IFRS 4, příloha V část 2.11 tohoto prováděcího nařízení.</w:t>
            </w:r>
          </w:p>
          <w:p w14:paraId="299D8373" w14:textId="77777777" w:rsidR="007266CF" w:rsidRPr="002A677E" w:rsidRDefault="007266CF" w:rsidP="007266CF">
            <w:pPr>
              <w:spacing w:before="0" w:after="0"/>
              <w:ind w:left="33"/>
              <w:rPr>
                <w:rFonts w:ascii="Times New Roman" w:hAnsi="Times New Roman"/>
                <w:bCs/>
                <w:sz w:val="24"/>
                <w:lang w:eastAsia="de-DE"/>
              </w:rPr>
            </w:pPr>
          </w:p>
          <w:p w14:paraId="1AC89398"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Ustanovení o podrozvahových expozicích bez ohledu na to, jak jsou oceňována, kromě těch, která jsou oceňována v reálné hodnotě vykázané do zisku nebo ztráty v souladu s IFRS 9.</w:t>
            </w:r>
          </w:p>
          <w:p w14:paraId="1BD2E645" w14:textId="77777777" w:rsidR="007266CF" w:rsidRPr="002A677E" w:rsidRDefault="007266CF" w:rsidP="007266CF">
            <w:pPr>
              <w:spacing w:before="0" w:after="0"/>
              <w:ind w:left="33"/>
              <w:rPr>
                <w:rFonts w:ascii="Times New Roman" w:hAnsi="Times New Roman"/>
                <w:bCs/>
                <w:sz w:val="24"/>
                <w:lang w:eastAsia="de-DE"/>
              </w:rPr>
            </w:pPr>
          </w:p>
          <w:p w14:paraId="04D89373"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Podle IFRS se znehodnocení poskytnutého úvěrového příslibu vykáže ve sloupci 150 v případech, kdy instituce není schopna samostatně určit očekávané úvěrové ztráty spojené s čerpanými a nečerpanými částkami dluhového nástroje. Jestliže kombinované očekávané úvěrové ztráty u tohoto finančního nástroje přesahují hrubou účetní hodnotu úvěrové složky daného nástroje, zbývající zůstatek očekávaných úvěrových ztrát se vykazuje jako rezerva ve sloupci 0250.</w:t>
            </w:r>
          </w:p>
          <w:p w14:paraId="039D66F7"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1F9DF198" w14:textId="77777777" w:rsidTr="007266CF">
        <w:tc>
          <w:tcPr>
            <w:tcW w:w="1188" w:type="dxa"/>
          </w:tcPr>
          <w:p w14:paraId="03E08088"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0260</w:t>
            </w:r>
          </w:p>
        </w:tc>
        <w:tc>
          <w:tcPr>
            <w:tcW w:w="8640" w:type="dxa"/>
          </w:tcPr>
          <w:p w14:paraId="56AF9016"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rizika </w:t>
            </w:r>
          </w:p>
          <w:p w14:paraId="28377C0D" w14:textId="77777777" w:rsidR="007266CF" w:rsidRPr="002A677E" w:rsidRDefault="007266CF" w:rsidP="007266CF">
            <w:pPr>
              <w:spacing w:before="0" w:after="0"/>
              <w:ind w:left="33"/>
              <w:rPr>
                <w:rFonts w:ascii="Times New Roman" w:hAnsi="Times New Roman"/>
                <w:b/>
                <w:bCs/>
                <w:sz w:val="24"/>
                <w:u w:val="single"/>
                <w:lang w:eastAsia="de-DE"/>
              </w:rPr>
            </w:pPr>
          </w:p>
          <w:p w14:paraId="739ED35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U podrozvahových položek oceněných reálnou hodnotou do zisku nebo ztráty v souladu s IFRS 9 se jedná o kumulované záporné změny reálné hodnoty z titulu úvěrového rizika (příloha V, část 2, odstavec 110 tohoto prováděcího nařízení)</w:t>
            </w:r>
          </w:p>
          <w:p w14:paraId="2F1DA70A"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7266CF" w:rsidRPr="002A677E" w14:paraId="5DD07778"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094A0839" w14:textId="77777777" w:rsidR="007266CF" w:rsidRPr="002A677E" w:rsidDel="008D1680" w:rsidRDefault="007266CF" w:rsidP="007266CF">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82A286D"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Doplňková položka: úvěrové deriváty prodané na expozice vůči vládním institucím</w:t>
            </w:r>
          </w:p>
          <w:p w14:paraId="045DE6DF" w14:textId="77777777" w:rsidR="007266CF" w:rsidRPr="002A677E" w:rsidRDefault="007266CF" w:rsidP="007266CF">
            <w:pPr>
              <w:spacing w:before="0" w:after="0"/>
              <w:ind w:left="33"/>
              <w:rPr>
                <w:rFonts w:ascii="Times New Roman" w:hAnsi="Times New Roman"/>
                <w:b/>
                <w:bCs/>
                <w:sz w:val="24"/>
                <w:u w:val="single"/>
                <w:lang w:eastAsia="de-DE"/>
              </w:rPr>
            </w:pPr>
          </w:p>
          <w:p w14:paraId="216EA38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Vykazují se úvěrové deriváty, které neodpovídají definici finančních záruk v příloze V části 2 odstavci 58, jež vykazující instituce uzavřela s jinými protistranami než s vládními institucemi a jejichž referenční expozicí je vládní instituce.</w:t>
            </w:r>
          </w:p>
          <w:p w14:paraId="2C83189A" w14:textId="77777777" w:rsidR="007266CF" w:rsidRPr="002A677E" w:rsidRDefault="007266CF" w:rsidP="007266CF">
            <w:pPr>
              <w:spacing w:before="0" w:after="0"/>
              <w:ind w:left="33"/>
              <w:rPr>
                <w:rFonts w:ascii="Times New Roman" w:hAnsi="Times New Roman"/>
                <w:bCs/>
                <w:sz w:val="24"/>
                <w:lang w:eastAsia="de-DE"/>
              </w:rPr>
            </w:pPr>
          </w:p>
          <w:p w14:paraId="3C53A12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Tyto sloupce se nevyplňují u expozic v členění podle rizika, regulatorního přístupu a kategorie expozic (řádky 0020 až 0160).</w:t>
            </w:r>
          </w:p>
          <w:p w14:paraId="6F59A9B5"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6D9799C4"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21841408" w14:textId="77777777" w:rsidR="007266CF" w:rsidRPr="002A677E" w:rsidDel="008D1680" w:rsidRDefault="007266CF" w:rsidP="007266CF">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3013DC9"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Deriváty s kladnou reálnou hodnotou – účetní hodnota</w:t>
            </w:r>
          </w:p>
          <w:p w14:paraId="41AC41C7" w14:textId="77777777" w:rsidR="007266CF" w:rsidRPr="002A677E" w:rsidRDefault="007266CF" w:rsidP="007266CF">
            <w:pPr>
              <w:spacing w:before="0" w:after="0"/>
              <w:ind w:left="33"/>
              <w:rPr>
                <w:rFonts w:ascii="Times New Roman" w:hAnsi="Times New Roman"/>
                <w:b/>
                <w:bCs/>
                <w:sz w:val="24"/>
                <w:u w:val="single"/>
                <w:lang w:eastAsia="de-DE"/>
              </w:rPr>
            </w:pPr>
          </w:p>
          <w:p w14:paraId="08644F81"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Souhrnná účetní hodnota úvěrových derivátů prodaných na expozice vůči vládním institucím, které mají pro instituci k referenčnímu datu vykazování kladnou reálnou hodnotu, aniž se zohlední obezřetností úpravy ocenění.</w:t>
            </w:r>
          </w:p>
          <w:p w14:paraId="0B4AC409" w14:textId="77777777" w:rsidR="007266CF" w:rsidRPr="002A677E" w:rsidRDefault="007266CF" w:rsidP="007266CF">
            <w:pPr>
              <w:spacing w:before="0" w:after="0"/>
              <w:ind w:left="33"/>
              <w:rPr>
                <w:rFonts w:ascii="Times New Roman" w:hAnsi="Times New Roman"/>
                <w:bCs/>
                <w:sz w:val="24"/>
                <w:lang w:eastAsia="de-DE"/>
              </w:rPr>
            </w:pPr>
          </w:p>
          <w:p w14:paraId="4E4F3B46"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U derivátů podle IFRS je hodnotou, jež má být vykázána v tomto sloupci, účetní hodnota derivátů, které jsou k datu vykazování finančními aktivy.</w:t>
            </w:r>
          </w:p>
          <w:p w14:paraId="50A1DA80" w14:textId="77777777" w:rsidR="007266CF" w:rsidRPr="002A677E" w:rsidRDefault="007266CF" w:rsidP="007266CF">
            <w:pPr>
              <w:spacing w:before="0" w:after="0"/>
              <w:ind w:left="33"/>
              <w:rPr>
                <w:rFonts w:ascii="Times New Roman" w:hAnsi="Times New Roman"/>
                <w:bCs/>
                <w:sz w:val="24"/>
                <w:lang w:eastAsia="de-DE"/>
              </w:rPr>
            </w:pPr>
          </w:p>
          <w:p w14:paraId="6C4833D1"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U derivátů podle GAAP založených na směrnici Rady 86/635/EHS je hodnotou, jež má být vykázána v tomto sloupci, reálná hodnota derivátů s kladnou reálnou hodnotou k referenčnímu datu vykazování nezávisle na tom, jak jsou zaúčtovány.</w:t>
            </w:r>
          </w:p>
          <w:p w14:paraId="28F8D888"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30FFDF1C"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6BF2F587" w14:textId="77777777" w:rsidR="007266CF" w:rsidRPr="002A677E" w:rsidDel="008D1680" w:rsidRDefault="007266CF" w:rsidP="007266CF">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2C229A9"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Deriváty se zápornou reálnou hodnotou – účetní hodnota</w:t>
            </w:r>
          </w:p>
          <w:p w14:paraId="4DC52EB5" w14:textId="77777777" w:rsidR="007266CF" w:rsidRPr="002A677E" w:rsidRDefault="007266CF" w:rsidP="007266CF">
            <w:pPr>
              <w:spacing w:before="0" w:after="0"/>
              <w:ind w:left="33"/>
              <w:rPr>
                <w:rFonts w:ascii="Times New Roman" w:hAnsi="Times New Roman"/>
                <w:b/>
                <w:bCs/>
                <w:sz w:val="24"/>
                <w:u w:val="single"/>
                <w:lang w:eastAsia="de-DE"/>
              </w:rPr>
            </w:pPr>
          </w:p>
          <w:p w14:paraId="209DA85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Souhrnná účetní hodnota úvěrových derivátů prodaných na expozice vůči vládním institucím, které mají pro instituci k referenčnímu datu vykazování zápornou reálnou hodnotu, aniž se zohlední obezřetností úpravy ocenění.</w:t>
            </w:r>
          </w:p>
          <w:p w14:paraId="5B4F586F" w14:textId="77777777" w:rsidR="007266CF" w:rsidRPr="002A677E" w:rsidRDefault="007266CF" w:rsidP="007266CF">
            <w:pPr>
              <w:spacing w:before="0" w:after="0"/>
              <w:ind w:left="33"/>
              <w:rPr>
                <w:rFonts w:ascii="Times New Roman" w:hAnsi="Times New Roman"/>
                <w:bCs/>
                <w:sz w:val="24"/>
                <w:lang w:eastAsia="de-DE"/>
              </w:rPr>
            </w:pPr>
          </w:p>
          <w:p w14:paraId="0E0083D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U derivátů podle IFRS je hodnotou, jež má být vykázána v tomto sloupci, účetní hodnota derivátů, které jsou k datu vykázání finančními závazky. </w:t>
            </w:r>
          </w:p>
          <w:p w14:paraId="44CE05E7" w14:textId="77777777" w:rsidR="007266CF" w:rsidRPr="002A677E" w:rsidRDefault="007266CF" w:rsidP="007266CF">
            <w:pPr>
              <w:spacing w:before="0" w:after="0"/>
              <w:ind w:left="33"/>
              <w:rPr>
                <w:rFonts w:ascii="Times New Roman" w:hAnsi="Times New Roman"/>
                <w:bCs/>
                <w:sz w:val="24"/>
                <w:lang w:eastAsia="de-DE"/>
              </w:rPr>
            </w:pPr>
          </w:p>
          <w:p w14:paraId="2EC53700"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sz w:val="24"/>
              </w:rPr>
              <w:t>U derivátů podle GAAP založených na směrnici Rady 86/635/EHS je hodnotou, jež má být vykázána v tomto sloupci, reálná hodnota derivátů se zápornou reálnou hodnotou k referenčnímu datu vykazování nezávisle na tom, jak jsou zaúčtovány.</w:t>
            </w:r>
            <w:r>
              <w:rPr>
                <w:rFonts w:ascii="Times New Roman" w:hAnsi="Times New Roman"/>
                <w:b/>
                <w:sz w:val="24"/>
                <w:u w:val="single"/>
              </w:rPr>
              <w:t xml:space="preserve"> </w:t>
            </w:r>
          </w:p>
          <w:p w14:paraId="5EDBCACC"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2BD3478E"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631EF755" w14:textId="77777777" w:rsidR="007266CF" w:rsidRPr="002A677E" w:rsidDel="008D1680" w:rsidRDefault="007266CF" w:rsidP="007266CF">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60360A1"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Hodnota expozice</w:t>
            </w:r>
          </w:p>
          <w:p w14:paraId="3A9ED7C8" w14:textId="77777777" w:rsidR="007266CF" w:rsidRPr="002A677E" w:rsidRDefault="007266CF" w:rsidP="007266CF">
            <w:pPr>
              <w:spacing w:before="0" w:after="0"/>
              <w:ind w:left="33"/>
              <w:rPr>
                <w:rFonts w:ascii="Times New Roman" w:hAnsi="Times New Roman"/>
                <w:b/>
                <w:bCs/>
                <w:sz w:val="24"/>
                <w:u w:val="single"/>
                <w:lang w:eastAsia="de-DE"/>
              </w:rPr>
            </w:pPr>
          </w:p>
          <w:p w14:paraId="7AC8DE9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Hodnota expozice u expozic, na které se použije rámec úvěrového rizika.</w:t>
            </w:r>
          </w:p>
          <w:p w14:paraId="070FEC8C" w14:textId="77777777" w:rsidR="007266CF" w:rsidRPr="002A677E" w:rsidRDefault="007266CF" w:rsidP="007266CF">
            <w:pPr>
              <w:spacing w:before="0" w:after="0"/>
              <w:ind w:left="33"/>
              <w:rPr>
                <w:rFonts w:ascii="Times New Roman" w:hAnsi="Times New Roman"/>
                <w:bCs/>
                <w:sz w:val="24"/>
                <w:lang w:eastAsia="de-DE"/>
              </w:rPr>
            </w:pPr>
          </w:p>
          <w:p w14:paraId="08F2786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Ohledně expozic, na něž se vztahuje standardizovaný přístup (SA): viz článek 111 nařízení (EU) č. 575/2013. Ohledně expozic, na něž se vztahuje přístup IRB: viz článek 166 a čl. 230 odst. 1 druhá věta nařízení (EU) č. 575/2013.</w:t>
            </w:r>
          </w:p>
          <w:p w14:paraId="59029E99" w14:textId="77777777" w:rsidR="007266CF" w:rsidRPr="002A677E" w:rsidRDefault="007266CF" w:rsidP="007266CF">
            <w:pPr>
              <w:spacing w:before="0" w:after="0"/>
              <w:ind w:left="33"/>
              <w:rPr>
                <w:rFonts w:ascii="Times New Roman" w:hAnsi="Times New Roman"/>
                <w:bCs/>
                <w:sz w:val="24"/>
                <w:lang w:eastAsia="de-DE"/>
              </w:rPr>
            </w:pPr>
          </w:p>
          <w:p w14:paraId="548B4BD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Ohledně vykazování derivátů, které podléhají úvěrovému riziku protistrany i kapitálovým požadavkům souvisejícím s tržním rizikem, viz pokyny pro členění řádků.</w:t>
            </w:r>
          </w:p>
          <w:p w14:paraId="7EE96565" w14:textId="77777777" w:rsidR="007266CF" w:rsidRPr="002A677E" w:rsidRDefault="007266CF" w:rsidP="007266CF">
            <w:pPr>
              <w:spacing w:before="0" w:after="0"/>
              <w:ind w:left="33"/>
              <w:rPr>
                <w:rFonts w:ascii="Times New Roman" w:hAnsi="Times New Roman"/>
                <w:bCs/>
                <w:sz w:val="24"/>
                <w:lang w:eastAsia="de-DE"/>
              </w:rPr>
            </w:pPr>
          </w:p>
          <w:p w14:paraId="5AE3E24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Expozice vykázané ve sloupcích 0270 a 0280 se pro účely tohoto sloupce nezohledňují, neboť hodnota v tomto sloupci je založena výhradně na přímých expozicích. </w:t>
            </w:r>
          </w:p>
          <w:p w14:paraId="736CB11B"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2DE528E0"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auto"/>
          </w:tcPr>
          <w:p w14:paraId="636CD80B"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A90672"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 xml:space="preserve">Objem rizikově vážených expozic </w:t>
            </w:r>
          </w:p>
          <w:p w14:paraId="2C692532" w14:textId="77777777" w:rsidR="007266CF" w:rsidRPr="002A677E" w:rsidRDefault="007266CF" w:rsidP="007266CF">
            <w:pPr>
              <w:spacing w:before="0" w:after="0"/>
              <w:ind w:left="33"/>
              <w:rPr>
                <w:rFonts w:ascii="Times New Roman" w:hAnsi="Times New Roman"/>
                <w:b/>
                <w:bCs/>
                <w:sz w:val="24"/>
                <w:u w:val="single"/>
                <w:lang w:eastAsia="de-DE"/>
              </w:rPr>
            </w:pPr>
          </w:p>
          <w:p w14:paraId="58C4CA93"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Objem rizikově vážených expozic u expozic, na které se použije rámec úvěrového rizika. </w:t>
            </w:r>
          </w:p>
          <w:p w14:paraId="109C5A53" w14:textId="77777777" w:rsidR="007266CF" w:rsidRPr="002A677E" w:rsidRDefault="007266CF" w:rsidP="007266CF">
            <w:pPr>
              <w:spacing w:before="0" w:after="0"/>
              <w:ind w:left="33"/>
              <w:rPr>
                <w:rFonts w:ascii="Times New Roman" w:hAnsi="Times New Roman"/>
                <w:bCs/>
                <w:sz w:val="24"/>
                <w:lang w:eastAsia="de-DE"/>
              </w:rPr>
            </w:pPr>
          </w:p>
          <w:p w14:paraId="5941CB5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Ohledně expozic, na něž se vztahuje standardizovaný přístup (SA): viz čl. 113 odst. 1 až 5 nařízení (EU) č. 575/2013 Ohledně expozic, na něž se vztahuje přístup IRB: viz čl. 153 odst. 1 a 3 nařízení (EU) č. 575/2013.</w:t>
            </w:r>
          </w:p>
          <w:p w14:paraId="4C2384E1" w14:textId="77777777" w:rsidR="007266CF" w:rsidRPr="002A677E" w:rsidRDefault="007266CF" w:rsidP="007266CF">
            <w:pPr>
              <w:spacing w:before="0" w:after="0"/>
              <w:ind w:left="33"/>
              <w:rPr>
                <w:rFonts w:ascii="Times New Roman" w:hAnsi="Times New Roman"/>
                <w:bCs/>
                <w:sz w:val="24"/>
                <w:lang w:eastAsia="de-DE"/>
              </w:rPr>
            </w:pPr>
          </w:p>
          <w:p w14:paraId="09AD7A4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Pro vykazování přímých expozic spadajících do oblasti působnosti článku 271 nařízení (EU) č. 575/2013, pokud jde o kapitálové požadavky týkající se úvěrového rizika protistrany i tržního rizika, viz pokyny pro členění řádků.</w:t>
            </w:r>
          </w:p>
          <w:p w14:paraId="5F3843F7" w14:textId="77777777" w:rsidR="007266CF" w:rsidRPr="002A677E" w:rsidRDefault="007266CF" w:rsidP="007266CF">
            <w:pPr>
              <w:spacing w:before="0" w:after="0"/>
              <w:ind w:left="33"/>
              <w:rPr>
                <w:rFonts w:ascii="Times New Roman" w:hAnsi="Times New Roman"/>
                <w:bCs/>
                <w:sz w:val="24"/>
                <w:lang w:eastAsia="de-DE"/>
              </w:rPr>
            </w:pPr>
          </w:p>
          <w:p w14:paraId="0C943C97"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sz w:val="24"/>
              </w:rPr>
              <w:t xml:space="preserve">Expozice vykázané ve sloupcích 0270 a 0280 se pro účely tohoto sloupce nezohledňují, neboť hodnota v tomto sloupci je založena výhradně na přímých expozicích. </w:t>
            </w:r>
          </w:p>
        </w:tc>
      </w:tr>
    </w:tbl>
    <w:p w14:paraId="4B5DDFCF" w14:textId="77777777" w:rsidR="007266CF" w:rsidRPr="002A677E" w:rsidRDefault="007266CF" w:rsidP="007266CF">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7266CF" w:rsidRPr="002A677E" w14:paraId="6925CF4E" w14:textId="77777777" w:rsidTr="007266CF">
        <w:tc>
          <w:tcPr>
            <w:tcW w:w="1188" w:type="dxa"/>
            <w:shd w:val="clear" w:color="auto" w:fill="CCCCCC"/>
          </w:tcPr>
          <w:p w14:paraId="6B5FD82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Řádky</w:t>
            </w:r>
          </w:p>
        </w:tc>
        <w:tc>
          <w:tcPr>
            <w:tcW w:w="8701" w:type="dxa"/>
            <w:shd w:val="clear" w:color="auto" w:fill="CCCCCC"/>
          </w:tcPr>
          <w:p w14:paraId="56F3FC6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Pokyny</w:t>
            </w:r>
          </w:p>
        </w:tc>
      </w:tr>
      <w:tr w:rsidR="007266CF" w:rsidRPr="002A677E" w14:paraId="0DC9B105" w14:textId="77777777" w:rsidTr="007266CF">
        <w:tc>
          <w:tcPr>
            <w:tcW w:w="9889" w:type="dxa"/>
            <w:gridSpan w:val="2"/>
          </w:tcPr>
          <w:p w14:paraId="6A8EDAC5"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ROZČLENĚNÍ EXPOZIC PODLE REGULATORNÍHO PŘÍSTUPU</w:t>
            </w:r>
          </w:p>
          <w:p w14:paraId="056BA5F1"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306947DE" w14:textId="77777777" w:rsidTr="007266CF">
        <w:tc>
          <w:tcPr>
            <w:tcW w:w="1188" w:type="dxa"/>
            <w:shd w:val="clear" w:color="auto" w:fill="auto"/>
          </w:tcPr>
          <w:p w14:paraId="0D98D593"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3B462A31"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Celkové expozice</w:t>
            </w:r>
          </w:p>
          <w:p w14:paraId="0DCD5FB6" w14:textId="77777777" w:rsidR="007266CF" w:rsidRPr="002A677E" w:rsidRDefault="007266CF" w:rsidP="007266CF">
            <w:pPr>
              <w:spacing w:before="0" w:after="0"/>
              <w:ind w:left="33"/>
              <w:rPr>
                <w:rFonts w:ascii="Times New Roman" w:hAnsi="Times New Roman"/>
                <w:b/>
                <w:bCs/>
                <w:sz w:val="24"/>
                <w:u w:val="single"/>
                <w:lang w:eastAsia="de-DE"/>
              </w:rPr>
            </w:pPr>
          </w:p>
          <w:p w14:paraId="1ADD8EA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Souhrn expozic vůči vládním institucím ve smyslu odstavců 191 až 196 této přílohy.</w:t>
            </w:r>
          </w:p>
          <w:p w14:paraId="40B665B9"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169CE18E" w14:textId="77777777" w:rsidTr="007266CF">
        <w:tc>
          <w:tcPr>
            <w:tcW w:w="1188" w:type="dxa"/>
          </w:tcPr>
          <w:p w14:paraId="51F6EB6F"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0020–0155</w:t>
            </w:r>
          </w:p>
        </w:tc>
        <w:tc>
          <w:tcPr>
            <w:tcW w:w="8701" w:type="dxa"/>
          </w:tcPr>
          <w:p w14:paraId="08B2EEB9" w14:textId="77777777" w:rsidR="007266CF" w:rsidRPr="002A677E" w:rsidRDefault="007266CF" w:rsidP="007266CF">
            <w:pPr>
              <w:spacing w:before="0" w:after="0"/>
              <w:ind w:left="33"/>
              <w:rPr>
                <w:rFonts w:ascii="Times New Roman" w:hAnsi="Times New Roman"/>
                <w:bCs/>
                <w:sz w:val="24"/>
              </w:rPr>
            </w:pPr>
            <w:r>
              <w:rPr>
                <w:rFonts w:ascii="Times New Roman" w:hAnsi="Times New Roman"/>
                <w:b/>
                <w:sz w:val="24"/>
                <w:u w:val="single"/>
              </w:rPr>
              <w:t>Expozice podle rámce úvěrového rizika</w:t>
            </w:r>
          </w:p>
          <w:p w14:paraId="537CEA2D" w14:textId="77777777" w:rsidR="007266CF" w:rsidRPr="002A677E" w:rsidRDefault="007266CF" w:rsidP="007266CF">
            <w:pPr>
              <w:spacing w:before="0" w:after="0"/>
              <w:ind w:left="33"/>
              <w:rPr>
                <w:rFonts w:ascii="Times New Roman" w:hAnsi="Times New Roman"/>
                <w:bCs/>
                <w:sz w:val="24"/>
                <w:lang w:eastAsia="de-DE"/>
              </w:rPr>
            </w:pPr>
          </w:p>
          <w:p w14:paraId="7A30984F"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 xml:space="preserve">Souhrn expozic vůči vládním institucím, jimž se přidělí riziková váha v souladu s částí třetí hlavou II nařízení (EU) č. 575/2013. Expozice podle rámce úvěrového rizika zahrnují expozice z investičního i obchodního portfolia, na něž se vztahuje kapitálový požadavek související s úvěrovým rizikem protistrany. </w:t>
            </w:r>
          </w:p>
          <w:p w14:paraId="35501858" w14:textId="77777777" w:rsidR="007266CF" w:rsidRPr="002A677E" w:rsidRDefault="007266CF" w:rsidP="007266CF">
            <w:pPr>
              <w:spacing w:before="0" w:after="0"/>
              <w:ind w:left="33"/>
              <w:rPr>
                <w:rFonts w:ascii="Times New Roman" w:hAnsi="Times New Roman"/>
                <w:bCs/>
                <w:sz w:val="24"/>
                <w:lang w:eastAsia="de-DE"/>
              </w:rPr>
            </w:pPr>
          </w:p>
          <w:p w14:paraId="5CC2B55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Přímé expozice spadající do oblasti působnosti článku 271 nařízení (EU) č. 575/2013, pokud jde o kapitálové požadavky týkající se úvěrového rizika protistrany i tržního rizika, se vykazují jak v řádcích pro úvěrové riziko (0020 až 0155), tak v řádku pro tržní riziko (řádek 0160): expozice z titulu úvěrového rizika protistrany se vykazují v řádcích úvěrového rizika, zatímco expozice z titulu tržního rizika se vykazují v řádku tržního rizika.</w:t>
            </w:r>
          </w:p>
          <w:p w14:paraId="34B4C957"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3DC74D2B" w14:textId="77777777" w:rsidTr="007266CF">
        <w:tc>
          <w:tcPr>
            <w:tcW w:w="1188" w:type="dxa"/>
          </w:tcPr>
          <w:p w14:paraId="1B85BAF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0030</w:t>
            </w:r>
          </w:p>
        </w:tc>
        <w:tc>
          <w:tcPr>
            <w:tcW w:w="8701" w:type="dxa"/>
          </w:tcPr>
          <w:p w14:paraId="74632A70"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Standardizovaný přístup</w:t>
            </w:r>
          </w:p>
          <w:p w14:paraId="1B60032D" w14:textId="77777777" w:rsidR="007266CF" w:rsidRPr="002A677E" w:rsidRDefault="007266CF" w:rsidP="007266CF">
            <w:pPr>
              <w:spacing w:before="0" w:after="0"/>
              <w:ind w:left="33"/>
              <w:rPr>
                <w:rFonts w:ascii="Times New Roman" w:hAnsi="Times New Roman"/>
                <w:bCs/>
                <w:sz w:val="24"/>
                <w:lang w:eastAsia="de-DE"/>
              </w:rPr>
            </w:pPr>
          </w:p>
          <w:p w14:paraId="4D668BD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kterým se přidělí riziková váha v souladu s částí třetí hlavou II kapitolou 2 nařízení (EU) č. 575/2013, včetně expozic z investičního portfolia, u kterých rizikové vážení v souladu s uvedenou kapitolou řeší úvěrové riziko protistrany.</w:t>
            </w:r>
          </w:p>
          <w:p w14:paraId="720ED326"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543E03F2" w14:textId="77777777" w:rsidTr="007266CF">
        <w:tc>
          <w:tcPr>
            <w:tcW w:w="1188" w:type="dxa"/>
          </w:tcPr>
          <w:p w14:paraId="21E847E9"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0040</w:t>
            </w:r>
          </w:p>
        </w:tc>
        <w:tc>
          <w:tcPr>
            <w:tcW w:w="8701" w:type="dxa"/>
          </w:tcPr>
          <w:p w14:paraId="671B6E97"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Ústřední vlády</w:t>
            </w:r>
          </w:p>
          <w:p w14:paraId="226E727F" w14:textId="77777777" w:rsidR="007266CF" w:rsidRPr="002A677E" w:rsidRDefault="007266CF" w:rsidP="007266CF">
            <w:pPr>
              <w:spacing w:before="0" w:after="0"/>
              <w:ind w:left="33"/>
              <w:rPr>
                <w:rFonts w:ascii="Times New Roman" w:hAnsi="Times New Roman"/>
                <w:bCs/>
                <w:sz w:val="24"/>
                <w:lang w:eastAsia="de-DE"/>
              </w:rPr>
            </w:pPr>
          </w:p>
          <w:p w14:paraId="022B2B3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ústředními vládními institucemi. Tyto expozice jsou přiřazeny ke kategorii expozic vůči „ústředním vládám nebo centrálním bankám“ v souladu s články 112 a 114 nařízení (EU) č. 575/2013,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4D266002"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3F5B5326" w14:textId="77777777" w:rsidTr="007266CF">
        <w:tc>
          <w:tcPr>
            <w:tcW w:w="1188" w:type="dxa"/>
          </w:tcPr>
          <w:p w14:paraId="6A2A35E0"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0050</w:t>
            </w:r>
          </w:p>
        </w:tc>
        <w:tc>
          <w:tcPr>
            <w:tcW w:w="8701" w:type="dxa"/>
          </w:tcPr>
          <w:p w14:paraId="7061BFD8"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Regionální vlády nebo místní orgány</w:t>
            </w:r>
          </w:p>
          <w:p w14:paraId="7109A9C4" w14:textId="77777777" w:rsidR="007266CF" w:rsidRPr="002A677E" w:rsidRDefault="007266CF" w:rsidP="007266CF">
            <w:pPr>
              <w:spacing w:before="0" w:after="0"/>
              <w:ind w:left="33"/>
              <w:rPr>
                <w:rFonts w:ascii="Times New Roman" w:hAnsi="Times New Roman"/>
                <w:bCs/>
                <w:sz w:val="24"/>
                <w:lang w:eastAsia="de-DE"/>
              </w:rPr>
            </w:pPr>
          </w:p>
          <w:p w14:paraId="1AC2BE6A"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regionálními vládními institucemi nebo místními orgány. Tyto expozice jsou přiřazeny ke kategorii expozic vůči „regionálním vládám nebo místním orgánům“ v souladu s články 112 a 115 nařízení (EU) č. 575/2013,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3C0FA5E0"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2675A6AC" w14:textId="77777777" w:rsidTr="007266CF">
        <w:tc>
          <w:tcPr>
            <w:tcW w:w="1188" w:type="dxa"/>
          </w:tcPr>
          <w:p w14:paraId="2D91AB4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0060</w:t>
            </w:r>
          </w:p>
        </w:tc>
        <w:tc>
          <w:tcPr>
            <w:tcW w:w="8701" w:type="dxa"/>
          </w:tcPr>
          <w:p w14:paraId="48658249"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Subjekty veřejného sektoru</w:t>
            </w:r>
          </w:p>
          <w:p w14:paraId="79441823" w14:textId="77777777" w:rsidR="007266CF" w:rsidRPr="002A677E" w:rsidRDefault="007266CF" w:rsidP="007266CF">
            <w:pPr>
              <w:spacing w:before="0" w:after="0"/>
              <w:ind w:left="33"/>
              <w:rPr>
                <w:rFonts w:ascii="Times New Roman" w:hAnsi="Times New Roman"/>
                <w:bCs/>
                <w:sz w:val="24"/>
                <w:lang w:eastAsia="de-DE"/>
              </w:rPr>
            </w:pPr>
          </w:p>
          <w:p w14:paraId="445EECF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subjekty veřejného sektoru. Tyto expozice jsou přiřazeny ke kategorii expozic vůči „subjektům veřejného sektoru“ v souladu s články 112 a 116 nařízení (EU) č. 575/2013,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08B51866"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48A94CF4" w14:textId="77777777" w:rsidTr="007266CF">
        <w:tc>
          <w:tcPr>
            <w:tcW w:w="1188" w:type="dxa"/>
          </w:tcPr>
          <w:p w14:paraId="0A87CF02"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0070</w:t>
            </w:r>
          </w:p>
        </w:tc>
        <w:tc>
          <w:tcPr>
            <w:tcW w:w="8701" w:type="dxa"/>
          </w:tcPr>
          <w:p w14:paraId="171D2DE3"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Mezinárodní organizace</w:t>
            </w:r>
          </w:p>
          <w:p w14:paraId="55760CBE" w14:textId="77777777" w:rsidR="007266CF" w:rsidRPr="002A677E" w:rsidRDefault="007266CF" w:rsidP="007266CF">
            <w:pPr>
              <w:spacing w:before="0" w:after="0"/>
              <w:ind w:left="33"/>
              <w:rPr>
                <w:rFonts w:ascii="Times New Roman" w:hAnsi="Times New Roman"/>
                <w:bCs/>
                <w:sz w:val="24"/>
                <w:lang w:eastAsia="de-DE"/>
              </w:rPr>
            </w:pPr>
          </w:p>
          <w:p w14:paraId="2CD3C67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Expozice vůči vládním institucím, které jsou mezinárodními organizacemi. Tyto expozice jsou přiřazeny ke kategoriím expozic vůči „mezinárodním organizacím“ v souladu s články 112 a 118 nařízení (EU) č. 575/2013,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53719D38"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42D9F7CE" w14:textId="77777777" w:rsidTr="007266CF">
        <w:tc>
          <w:tcPr>
            <w:tcW w:w="1188" w:type="dxa"/>
          </w:tcPr>
          <w:p w14:paraId="21F9FDCA"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0075</w:t>
            </w:r>
          </w:p>
        </w:tc>
        <w:tc>
          <w:tcPr>
            <w:tcW w:w="8701" w:type="dxa"/>
          </w:tcPr>
          <w:p w14:paraId="0E89FD5C"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Ostatní expozice vůči vládním institucím, na něž se vztahuje standardizovaný přístup</w:t>
            </w:r>
          </w:p>
          <w:p w14:paraId="5EC97721" w14:textId="77777777" w:rsidR="007266CF" w:rsidRPr="002A677E" w:rsidRDefault="007266CF" w:rsidP="007266CF">
            <w:pPr>
              <w:spacing w:before="0" w:after="0"/>
              <w:ind w:left="33"/>
              <w:rPr>
                <w:rFonts w:ascii="Times New Roman" w:hAnsi="Times New Roman"/>
                <w:bCs/>
                <w:sz w:val="24"/>
                <w:lang w:eastAsia="de-DE"/>
              </w:rPr>
            </w:pPr>
          </w:p>
          <w:p w14:paraId="71EC1C7B"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jiné než ty, které jsou zahrnuty v řádcích 0040 až 0070 výše, které jsou přiřazeny do tříd expozic, na něž se podle článku 112 nařízení (EU) č. 575/2013 vztahuje pro účely výpočtu kapitálových požadavků standardizovaný přístup.</w:t>
            </w:r>
          </w:p>
          <w:p w14:paraId="0A0D7F51"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40E61B7B" w14:textId="77777777" w:rsidTr="007266CF">
        <w:tc>
          <w:tcPr>
            <w:tcW w:w="1188" w:type="dxa"/>
          </w:tcPr>
          <w:p w14:paraId="3F046836"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0080</w:t>
            </w:r>
          </w:p>
        </w:tc>
        <w:tc>
          <w:tcPr>
            <w:tcW w:w="8701" w:type="dxa"/>
          </w:tcPr>
          <w:p w14:paraId="271EB94F"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Přístup založený na interním ratingu (IRB)</w:t>
            </w:r>
          </w:p>
          <w:p w14:paraId="60B7CF6F" w14:textId="77777777" w:rsidR="007266CF" w:rsidRPr="002A677E" w:rsidRDefault="007266CF" w:rsidP="007266CF">
            <w:pPr>
              <w:spacing w:before="0" w:after="0"/>
              <w:ind w:left="33"/>
              <w:rPr>
                <w:rFonts w:ascii="Times New Roman" w:hAnsi="Times New Roman"/>
                <w:bCs/>
                <w:sz w:val="24"/>
                <w:lang w:eastAsia="de-DE"/>
              </w:rPr>
            </w:pPr>
          </w:p>
          <w:p w14:paraId="069DB6F6"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kterým se přidělí riziková váha v souladu s částí třetí hlavou II kapitolou 3 nařízení (EU) č. 575/2013, včetně expozic z investičního portfolia, u kterých rizikové vážení v souladu s uvedenou kapitolou řeší úvěrové riziko protistrany.</w:t>
            </w:r>
          </w:p>
          <w:p w14:paraId="6B80A27A"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4CBEFBCB" w14:textId="77777777" w:rsidTr="007266CF">
        <w:tc>
          <w:tcPr>
            <w:tcW w:w="1188" w:type="dxa"/>
          </w:tcPr>
          <w:p w14:paraId="56B90C95"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0090</w:t>
            </w:r>
          </w:p>
        </w:tc>
        <w:tc>
          <w:tcPr>
            <w:tcW w:w="8701" w:type="dxa"/>
          </w:tcPr>
          <w:p w14:paraId="1424943C"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Ústřední vlády</w:t>
            </w:r>
          </w:p>
          <w:p w14:paraId="5A578F0C" w14:textId="77777777" w:rsidR="007266CF" w:rsidRPr="002A677E" w:rsidRDefault="007266CF" w:rsidP="007266CF">
            <w:pPr>
              <w:spacing w:before="0" w:after="0"/>
              <w:ind w:left="33"/>
              <w:rPr>
                <w:rFonts w:ascii="Times New Roman" w:hAnsi="Times New Roman"/>
                <w:bCs/>
                <w:sz w:val="24"/>
                <w:lang w:eastAsia="de-DE"/>
              </w:rPr>
            </w:pPr>
          </w:p>
          <w:p w14:paraId="6C17A39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ústředními vládami a které jsou přiřazeny ke kategorii expozic vůči „ústředním vládám a centrálním bankám“ v souladu s čl. 147 odst. 3 písm. a) nařízení (EU) č. 575/2013,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61EC9939"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53F27F7B" w14:textId="77777777" w:rsidTr="007266CF">
        <w:tc>
          <w:tcPr>
            <w:tcW w:w="1188" w:type="dxa"/>
          </w:tcPr>
          <w:p w14:paraId="55CE7DA7"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0100</w:t>
            </w:r>
          </w:p>
        </w:tc>
        <w:tc>
          <w:tcPr>
            <w:tcW w:w="8701" w:type="dxa"/>
          </w:tcPr>
          <w:p w14:paraId="6DB74083"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Regionální vlády nebo místní orgány [Ústřední vlády a centrální banky]</w:t>
            </w:r>
          </w:p>
          <w:p w14:paraId="2A32E16B" w14:textId="77777777" w:rsidR="007266CF" w:rsidRPr="002A677E" w:rsidRDefault="007266CF" w:rsidP="007266CF">
            <w:pPr>
              <w:spacing w:before="0" w:after="0"/>
              <w:ind w:left="33"/>
              <w:rPr>
                <w:rFonts w:ascii="Times New Roman" w:hAnsi="Times New Roman"/>
                <w:bCs/>
                <w:sz w:val="24"/>
                <w:lang w:eastAsia="de-DE"/>
              </w:rPr>
            </w:pPr>
          </w:p>
          <w:p w14:paraId="7CFE9B36"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regionálními vládními institucemi nebo místními orgány a které jsou přiřazeny ke kategorii expozic vůči „ústředním vládám a centrálním bankám“ v souladu s čl. 147 odst. 3 písm. a) nařízení (EU) č. 575/2013,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4E95628C"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31986A7A" w14:textId="77777777" w:rsidTr="007266CF">
        <w:tc>
          <w:tcPr>
            <w:tcW w:w="1188" w:type="dxa"/>
          </w:tcPr>
          <w:p w14:paraId="19117DB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0110</w:t>
            </w:r>
          </w:p>
        </w:tc>
        <w:tc>
          <w:tcPr>
            <w:tcW w:w="8701" w:type="dxa"/>
          </w:tcPr>
          <w:p w14:paraId="4F1145ED"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Regionální vlády nebo místní orgány [Instituce]</w:t>
            </w:r>
          </w:p>
          <w:p w14:paraId="64B46A84" w14:textId="77777777" w:rsidR="007266CF" w:rsidRPr="002A677E" w:rsidRDefault="007266CF" w:rsidP="007266CF">
            <w:pPr>
              <w:spacing w:before="0" w:after="0"/>
              <w:ind w:left="33"/>
              <w:rPr>
                <w:rFonts w:ascii="Times New Roman" w:hAnsi="Times New Roman"/>
                <w:bCs/>
                <w:sz w:val="24"/>
                <w:lang w:eastAsia="de-DE"/>
              </w:rPr>
            </w:pPr>
          </w:p>
          <w:p w14:paraId="7867267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regionálními vládními institucemi nebo místními orgány a které jsou přiřazeny ke kategorii expozic vůči „institucím“ v souladu s čl. 147 odst. 4 písm. a) nařízení (EU) č. 575/2013,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283C6FC4"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16E86047" w14:textId="77777777" w:rsidTr="007266CF">
        <w:tc>
          <w:tcPr>
            <w:tcW w:w="1188" w:type="dxa"/>
          </w:tcPr>
          <w:p w14:paraId="3F398D9B"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0120</w:t>
            </w:r>
          </w:p>
        </w:tc>
        <w:tc>
          <w:tcPr>
            <w:tcW w:w="8701" w:type="dxa"/>
          </w:tcPr>
          <w:p w14:paraId="1DFA517F"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Subjekty veřejného sektoru [Ústřední vlády a centrální banky]</w:t>
            </w:r>
          </w:p>
          <w:p w14:paraId="271534FA" w14:textId="77777777" w:rsidR="007266CF" w:rsidRPr="002A677E" w:rsidRDefault="007266CF" w:rsidP="007266CF">
            <w:pPr>
              <w:spacing w:before="0" w:after="0"/>
              <w:ind w:left="33"/>
              <w:rPr>
                <w:rFonts w:ascii="Times New Roman" w:hAnsi="Times New Roman"/>
                <w:bCs/>
                <w:sz w:val="24"/>
                <w:lang w:eastAsia="de-DE"/>
              </w:rPr>
            </w:pPr>
          </w:p>
          <w:p w14:paraId="739E2B5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subjekty veřejného sektoru v souladu s čl. 4 odst. 1 bodem 8 nařízení (EU) č. 575/2013 a které jsou přiřazeny ke kategorii expozic vůči „ústředním vládám a centrálním bankám“ v souladu s čl. 147 odst. 3 písm. a) uvedeného nařízení,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15F2991B"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132FFC5E" w14:textId="77777777" w:rsidTr="007266CF">
        <w:tc>
          <w:tcPr>
            <w:tcW w:w="1188" w:type="dxa"/>
          </w:tcPr>
          <w:p w14:paraId="6BC2317F"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0130</w:t>
            </w:r>
          </w:p>
        </w:tc>
        <w:tc>
          <w:tcPr>
            <w:tcW w:w="8701" w:type="dxa"/>
          </w:tcPr>
          <w:p w14:paraId="13F1CDB3"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Subjekty veřejného sektoru [Instituce]</w:t>
            </w:r>
          </w:p>
          <w:p w14:paraId="3E6D098B" w14:textId="77777777" w:rsidR="007266CF" w:rsidRPr="002A677E" w:rsidRDefault="007266CF" w:rsidP="007266CF">
            <w:pPr>
              <w:spacing w:before="0" w:after="0"/>
              <w:ind w:left="33"/>
              <w:rPr>
                <w:rFonts w:ascii="Times New Roman" w:hAnsi="Times New Roman"/>
                <w:bCs/>
                <w:sz w:val="24"/>
                <w:lang w:eastAsia="de-DE"/>
              </w:rPr>
            </w:pPr>
          </w:p>
          <w:p w14:paraId="7813F834"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subjekty veřejného sektoru v souladu s čl. 4 odst. 1 bodem 8 nařízení (EU) č. 575/2013 a které jsou přiřazeny ke kategorii expozic vůči „institucím“ v souladu s čl. 147 odst. 4 písm. b) uvedeného nařízení,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3125D382"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75787685" w14:textId="77777777" w:rsidTr="007266CF">
        <w:tc>
          <w:tcPr>
            <w:tcW w:w="1188" w:type="dxa"/>
          </w:tcPr>
          <w:p w14:paraId="32F16955" w14:textId="77777777" w:rsidR="007266CF" w:rsidRPr="002A677E" w:rsidDel="00C211CB" w:rsidRDefault="007266CF" w:rsidP="007266CF">
            <w:pPr>
              <w:spacing w:before="0" w:after="0"/>
              <w:ind w:left="33"/>
              <w:rPr>
                <w:rFonts w:ascii="Times New Roman" w:hAnsi="Times New Roman"/>
                <w:bCs/>
                <w:sz w:val="24"/>
              </w:rPr>
            </w:pPr>
            <w:r>
              <w:rPr>
                <w:rFonts w:ascii="Times New Roman" w:hAnsi="Times New Roman"/>
                <w:sz w:val="24"/>
              </w:rPr>
              <w:t>0140</w:t>
            </w:r>
          </w:p>
        </w:tc>
        <w:tc>
          <w:tcPr>
            <w:tcW w:w="8701" w:type="dxa"/>
          </w:tcPr>
          <w:p w14:paraId="7262AAC8"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Mezinárodní organizace [Ústřední vlády a centrální banky]</w:t>
            </w:r>
          </w:p>
          <w:p w14:paraId="4E3EB0BE" w14:textId="77777777" w:rsidR="007266CF" w:rsidRPr="002A677E" w:rsidRDefault="007266CF" w:rsidP="007266CF">
            <w:pPr>
              <w:spacing w:before="0" w:after="0"/>
              <w:ind w:left="33"/>
              <w:rPr>
                <w:rFonts w:ascii="Times New Roman" w:hAnsi="Times New Roman"/>
                <w:bCs/>
                <w:sz w:val="24"/>
                <w:lang w:eastAsia="de-DE"/>
              </w:rPr>
            </w:pPr>
          </w:p>
          <w:p w14:paraId="560F4D0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které jsou mezinárodními organizacemi a které jsou přiřazeny ke kategorii expozic vůči „ústředním vládám a centrálním bankám“ v souladu s čl. 147 odst. 3 písm. c) nařízení (EU) č. 575/2013,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240BD85F"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613D5DEA" w14:textId="77777777" w:rsidTr="007266CF">
        <w:tc>
          <w:tcPr>
            <w:tcW w:w="1188" w:type="dxa"/>
          </w:tcPr>
          <w:p w14:paraId="2967CD7F"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0155</w:t>
            </w:r>
          </w:p>
        </w:tc>
        <w:tc>
          <w:tcPr>
            <w:tcW w:w="8701" w:type="dxa"/>
          </w:tcPr>
          <w:p w14:paraId="0E433A4F"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Ostatní expozice vůči vládním institucím, na něž se vztahuje přístup IRB</w:t>
            </w:r>
          </w:p>
          <w:p w14:paraId="4420B2E1" w14:textId="77777777" w:rsidR="007266CF" w:rsidRPr="002A677E" w:rsidRDefault="007266CF" w:rsidP="007266CF">
            <w:pPr>
              <w:spacing w:before="0" w:after="0"/>
              <w:ind w:left="33"/>
              <w:rPr>
                <w:rFonts w:ascii="Times New Roman" w:hAnsi="Times New Roman"/>
                <w:bCs/>
                <w:sz w:val="24"/>
                <w:lang w:eastAsia="de-DE"/>
              </w:rPr>
            </w:pPr>
          </w:p>
          <w:p w14:paraId="357B34D6"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jiné než ty, které jsou zahrnuty v řádcích 0090 až 0140 výše, které jsou přiřazeny do tříd expozic, na něž se podle článku 147 nařízení (EU) č. 575/2013 vztahuje pro účely výpočtu kapitálových požadavků přístup IRB.</w:t>
            </w:r>
          </w:p>
          <w:p w14:paraId="52A6BA13" w14:textId="77777777" w:rsidR="007266CF" w:rsidRPr="002A677E" w:rsidRDefault="007266CF" w:rsidP="007266CF">
            <w:pPr>
              <w:spacing w:before="0" w:after="0"/>
              <w:ind w:left="33"/>
              <w:rPr>
                <w:rFonts w:ascii="Times New Roman" w:hAnsi="Times New Roman"/>
                <w:b/>
                <w:bCs/>
                <w:sz w:val="24"/>
                <w:u w:val="single"/>
                <w:lang w:eastAsia="de-DE"/>
              </w:rPr>
            </w:pPr>
          </w:p>
        </w:tc>
      </w:tr>
      <w:tr w:rsidR="007266CF" w:rsidRPr="002A677E" w14:paraId="71A0EC8E" w14:textId="77777777" w:rsidTr="007266CF">
        <w:tc>
          <w:tcPr>
            <w:tcW w:w="1188" w:type="dxa"/>
          </w:tcPr>
          <w:p w14:paraId="0A48D33F"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0160</w:t>
            </w:r>
          </w:p>
        </w:tc>
        <w:tc>
          <w:tcPr>
            <w:tcW w:w="8701" w:type="dxa"/>
          </w:tcPr>
          <w:p w14:paraId="26DCC751" w14:textId="77777777" w:rsidR="007266CF" w:rsidRPr="002A677E" w:rsidRDefault="007266CF" w:rsidP="007266CF">
            <w:pPr>
              <w:spacing w:before="0" w:after="0"/>
              <w:ind w:left="33"/>
              <w:rPr>
                <w:rFonts w:ascii="Times New Roman" w:hAnsi="Times New Roman"/>
                <w:b/>
                <w:bCs/>
                <w:sz w:val="24"/>
                <w:u w:val="single"/>
              </w:rPr>
            </w:pPr>
            <w:r>
              <w:rPr>
                <w:rFonts w:ascii="Times New Roman" w:hAnsi="Times New Roman"/>
                <w:b/>
                <w:sz w:val="24"/>
                <w:u w:val="single"/>
              </w:rPr>
              <w:t>Expozice podléhající tržnímu riziku</w:t>
            </w:r>
          </w:p>
          <w:p w14:paraId="7ED74770" w14:textId="77777777" w:rsidR="007266CF" w:rsidRPr="002A677E" w:rsidRDefault="007266CF" w:rsidP="007266CF">
            <w:pPr>
              <w:spacing w:before="0" w:after="0"/>
              <w:ind w:left="33"/>
              <w:rPr>
                <w:rFonts w:ascii="Times New Roman" w:hAnsi="Times New Roman"/>
                <w:bCs/>
                <w:sz w:val="24"/>
                <w:lang w:eastAsia="de-DE"/>
              </w:rPr>
            </w:pPr>
          </w:p>
          <w:p w14:paraId="23DC8BCD"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Tento řádek se vztahuje na pozice, pro které se vypočítává jeden z následujících kapitálových požadavků podle části třetí hlavy IV nařízení (EU) č. 575/2013:</w:t>
            </w:r>
          </w:p>
          <w:p w14:paraId="5EEBF18A" w14:textId="77777777" w:rsidR="007266CF" w:rsidRPr="002A677E" w:rsidRDefault="007266CF" w:rsidP="00A75C39">
            <w:pPr>
              <w:pStyle w:val="ListParagraph"/>
              <w:numPr>
                <w:ilvl w:val="0"/>
                <w:numId w:val="22"/>
              </w:numPr>
              <w:rPr>
                <w:rFonts w:ascii="Times New Roman" w:hAnsi="Times New Roman"/>
                <w:bCs/>
                <w:sz w:val="24"/>
              </w:rPr>
            </w:pPr>
            <w:r>
              <w:rPr>
                <w:rFonts w:ascii="Times New Roman" w:hAnsi="Times New Roman"/>
                <w:sz w:val="24"/>
              </w:rPr>
              <w:t>kapitálové požadavky k pozičnímu riziku v souladu s článkem 326 nařízení (EU) č. 575/2013</w:t>
            </w:r>
          </w:p>
          <w:p w14:paraId="1C9E3292" w14:textId="77777777" w:rsidR="007266CF" w:rsidRPr="002A677E" w:rsidRDefault="007266CF" w:rsidP="00A75C39">
            <w:pPr>
              <w:pStyle w:val="ListParagraph"/>
              <w:numPr>
                <w:ilvl w:val="0"/>
                <w:numId w:val="22"/>
              </w:numPr>
            </w:pPr>
            <w:r>
              <w:rPr>
                <w:rFonts w:ascii="Times New Roman" w:hAnsi="Times New Roman"/>
                <w:sz w:val="24"/>
              </w:rPr>
              <w:t xml:space="preserve">kapitálové požadavky ke specifickému nebo obecnému riziku v souladu s částí třetí hlavou IV kapitolou 5 nařízení (EU) č. 575/2013. </w:t>
            </w:r>
          </w:p>
          <w:p w14:paraId="7C06D30B"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Přímé expozice spadající do oblasti působnosti článku 271 nařízení (EU) č. 575/2013, pokud jde o kapitálové požadavky týkající se úvěrového rizika protistrany i tržního rizika, se vykazují jak v řádcích pro úvěrové riziko (0020 až 0155), tak v řádku pro tržní riziko (řádek 0160): expozice z titulu úvěrového rizika protistrany se vykáže v řádcích úvěrového rizika, zatímco expozice z titulu tržního rizika se vykáže v řádku tržního rizika.</w:t>
            </w:r>
          </w:p>
          <w:p w14:paraId="2CDB3C31" w14:textId="77777777" w:rsidR="007266CF" w:rsidRPr="002A677E" w:rsidRDefault="007266CF" w:rsidP="007266CF">
            <w:pPr>
              <w:spacing w:before="0" w:after="0"/>
              <w:ind w:left="33"/>
              <w:rPr>
                <w:rFonts w:ascii="Times New Roman" w:hAnsi="Times New Roman"/>
                <w:bCs/>
                <w:sz w:val="24"/>
                <w:lang w:eastAsia="de-DE"/>
              </w:rPr>
            </w:pPr>
          </w:p>
        </w:tc>
      </w:tr>
      <w:tr w:rsidR="007266CF" w:rsidRPr="002A677E" w14:paraId="04988C6B" w14:textId="77777777" w:rsidTr="007266CF">
        <w:tc>
          <w:tcPr>
            <w:tcW w:w="1188" w:type="dxa"/>
          </w:tcPr>
          <w:p w14:paraId="459FEBBC"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232377B8" w14:textId="77777777" w:rsidR="007266CF" w:rsidRPr="002A677E" w:rsidRDefault="007266CF" w:rsidP="007266CF">
            <w:pPr>
              <w:spacing w:before="0" w:after="0"/>
              <w:ind w:left="33"/>
              <w:rPr>
                <w:rFonts w:ascii="Times New Roman" w:hAnsi="Times New Roman"/>
                <w:b/>
                <w:bCs/>
                <w:sz w:val="24"/>
              </w:rPr>
            </w:pPr>
            <w:r>
              <w:rPr>
                <w:rFonts w:ascii="Times New Roman" w:hAnsi="Times New Roman"/>
                <w:b/>
                <w:sz w:val="24"/>
              </w:rPr>
              <w:t>ROZČLENĚNÍ EXPOZIC PODLE ZBYTKOVÉ SPLATNOSTI:</w:t>
            </w:r>
          </w:p>
          <w:p w14:paraId="22B4A151" w14:textId="77777777" w:rsidR="007266CF" w:rsidRPr="002A677E" w:rsidRDefault="007266CF" w:rsidP="007266CF">
            <w:pPr>
              <w:spacing w:before="0" w:after="0"/>
              <w:ind w:left="33"/>
              <w:rPr>
                <w:rFonts w:ascii="Times New Roman" w:hAnsi="Times New Roman"/>
                <w:bCs/>
                <w:sz w:val="24"/>
                <w:lang w:eastAsia="de-DE"/>
              </w:rPr>
            </w:pPr>
          </w:p>
          <w:p w14:paraId="069D613E"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Zbytková splatnost se pro všechny pozice vypočítává v dnech mezi smluvním datem splatnosti a referenčním datem vykazování.</w:t>
            </w:r>
          </w:p>
          <w:p w14:paraId="5EA83F91" w14:textId="77777777" w:rsidR="007266CF" w:rsidRPr="002A677E" w:rsidRDefault="007266CF" w:rsidP="007266CF">
            <w:pPr>
              <w:spacing w:before="0" w:after="0"/>
              <w:ind w:left="33"/>
              <w:rPr>
                <w:rFonts w:ascii="Times New Roman" w:hAnsi="Times New Roman"/>
                <w:bCs/>
                <w:sz w:val="24"/>
                <w:lang w:eastAsia="de-DE"/>
              </w:rPr>
            </w:pPr>
          </w:p>
          <w:p w14:paraId="779B98C8"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vůči vládním institucím se rozčlení podle zbytkové splatnosti a přiřadí ke stanoveným košům takto:</w:t>
            </w:r>
          </w:p>
          <w:p w14:paraId="27411B35" w14:textId="77777777" w:rsidR="007266CF" w:rsidRPr="002A677E" w:rsidRDefault="007266CF" w:rsidP="007266CF">
            <w:pPr>
              <w:spacing w:before="0" w:after="0"/>
              <w:ind w:left="33"/>
              <w:rPr>
                <w:rFonts w:ascii="Times New Roman" w:hAnsi="Times New Roman"/>
                <w:bCs/>
                <w:sz w:val="24"/>
                <w:lang w:eastAsia="de-DE"/>
              </w:rPr>
            </w:pPr>
          </w:p>
          <w:p w14:paraId="07BD7F1F" w14:textId="77777777" w:rsidR="007266CF" w:rsidRPr="002A677E" w:rsidRDefault="007266CF" w:rsidP="007266CF">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[ 0–3 M [</w:t>
            </w:r>
            <w:r>
              <w:rPr>
                <w:rFonts w:ascii="Times New Roman" w:hAnsi="Times New Roman"/>
                <w:sz w:val="24"/>
              </w:rPr>
              <w:t>: méně než 90 dní,</w:t>
            </w:r>
          </w:p>
          <w:p w14:paraId="0BC28AF4" w14:textId="77777777" w:rsidR="007266CF" w:rsidRPr="002A677E" w:rsidRDefault="007266CF" w:rsidP="007266CF">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 M – 1 R [</w:t>
            </w:r>
            <w:r>
              <w:rPr>
                <w:rFonts w:ascii="Times New Roman" w:hAnsi="Times New Roman"/>
                <w:sz w:val="24"/>
              </w:rPr>
              <w:t>: rovno nebo více než 90 dní a méně než 365 dní,</w:t>
            </w:r>
          </w:p>
          <w:p w14:paraId="41595914" w14:textId="77777777" w:rsidR="007266CF" w:rsidRPr="002A677E" w:rsidRDefault="007266CF" w:rsidP="007266CF">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 R – 2 R [</w:t>
            </w:r>
            <w:r>
              <w:rPr>
                <w:rFonts w:ascii="Times New Roman" w:hAnsi="Times New Roman"/>
                <w:sz w:val="24"/>
              </w:rPr>
              <w:t>: rovno nebo více než 365 dní a méně než 730 dní,</w:t>
            </w:r>
          </w:p>
          <w:p w14:paraId="1BBB3513" w14:textId="77777777" w:rsidR="007266CF" w:rsidRPr="002A677E" w:rsidRDefault="007266CF" w:rsidP="007266CF">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 R – 3 R [</w:t>
            </w:r>
            <w:r>
              <w:rPr>
                <w:rFonts w:ascii="Times New Roman" w:hAnsi="Times New Roman"/>
                <w:sz w:val="24"/>
              </w:rPr>
              <w:t>: rovno nebo více než 730 dní a méně než 1 095 dní,</w:t>
            </w:r>
          </w:p>
          <w:p w14:paraId="77EFE773" w14:textId="77777777" w:rsidR="007266CF" w:rsidRPr="002A677E" w:rsidRDefault="007266CF" w:rsidP="007266CF">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 R – 5 R [</w:t>
            </w:r>
            <w:r>
              <w:rPr>
                <w:rFonts w:ascii="Times New Roman" w:hAnsi="Times New Roman"/>
                <w:sz w:val="24"/>
              </w:rPr>
              <w:t>: rovno nebo více než 1 095 dní a méně než 1 825 dní,</w:t>
            </w:r>
          </w:p>
          <w:p w14:paraId="498F26E8" w14:textId="77777777" w:rsidR="007266CF" w:rsidRPr="002A677E" w:rsidRDefault="007266CF" w:rsidP="007266CF">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 R – 10 R [</w:t>
            </w:r>
            <w:r>
              <w:rPr>
                <w:rFonts w:ascii="Times New Roman" w:hAnsi="Times New Roman"/>
                <w:sz w:val="24"/>
              </w:rPr>
              <w:t>: rovno nebo více než 1 825 dní a méně než 3 650 dní,</w:t>
            </w:r>
          </w:p>
          <w:p w14:paraId="13D45D23" w14:textId="77777777" w:rsidR="007266CF" w:rsidRPr="002A677E" w:rsidRDefault="007266CF" w:rsidP="007266CF">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 R – více</w:t>
            </w:r>
            <w:r>
              <w:rPr>
                <w:rFonts w:ascii="Times New Roman" w:hAnsi="Times New Roman"/>
                <w:sz w:val="24"/>
              </w:rPr>
              <w:t>: rovno nebo více než 3 650 dní.</w:t>
            </w:r>
          </w:p>
          <w:p w14:paraId="5505CCCC" w14:textId="77777777" w:rsidR="007266CF" w:rsidRPr="002A677E" w:rsidRDefault="007266CF" w:rsidP="007266CF">
            <w:pPr>
              <w:spacing w:before="0" w:after="0"/>
              <w:ind w:left="808" w:hanging="360"/>
              <w:rPr>
                <w:rFonts w:ascii="Times New Roman" w:hAnsi="Times New Roman"/>
                <w:bCs/>
                <w:sz w:val="24"/>
                <w:lang w:eastAsia="de-DE"/>
              </w:rPr>
            </w:pPr>
          </w:p>
          <w:p w14:paraId="5A8E9A14" w14:textId="77777777" w:rsidR="007266CF" w:rsidRPr="002A677E" w:rsidRDefault="007266CF" w:rsidP="007266CF">
            <w:pPr>
              <w:spacing w:before="0" w:after="0"/>
              <w:rPr>
                <w:rFonts w:ascii="Times New Roman" w:hAnsi="Times New Roman"/>
                <w:bCs/>
                <w:sz w:val="24"/>
              </w:rPr>
            </w:pPr>
            <w:r>
              <w:rPr>
                <w:rFonts w:ascii="Times New Roman" w:hAnsi="Times New Roman"/>
                <w:sz w:val="24"/>
              </w:rPr>
              <w:t>Pokud smluvní datum splatnosti předchází referenčnímu datu vykazování (tj. rozdíl mezi referenčním datem vykazování a datem splatnosti je záporná hodnota), zařadí se expozice do koše [0–3 M].</w:t>
            </w:r>
          </w:p>
          <w:p w14:paraId="2BB9E7A7" w14:textId="77777777" w:rsidR="007266CF" w:rsidRPr="002A677E" w:rsidRDefault="007266CF" w:rsidP="007266CF">
            <w:pPr>
              <w:spacing w:before="0" w:after="0"/>
              <w:rPr>
                <w:rFonts w:ascii="Times New Roman" w:hAnsi="Times New Roman"/>
                <w:bCs/>
                <w:sz w:val="24"/>
                <w:lang w:eastAsia="de-DE"/>
              </w:rPr>
            </w:pPr>
          </w:p>
          <w:p w14:paraId="15F8CB36" w14:textId="77777777" w:rsidR="007266CF" w:rsidRPr="002A677E" w:rsidRDefault="007266CF" w:rsidP="007266CF">
            <w:pPr>
              <w:spacing w:before="0" w:after="0"/>
              <w:ind w:left="33"/>
              <w:rPr>
                <w:rFonts w:ascii="Times New Roman" w:hAnsi="Times New Roman"/>
                <w:bCs/>
                <w:sz w:val="24"/>
              </w:rPr>
            </w:pPr>
            <w:r>
              <w:rPr>
                <w:rFonts w:ascii="Times New Roman" w:hAnsi="Times New Roman"/>
                <w:sz w:val="24"/>
              </w:rPr>
              <w:t>Expozice bez zbytkové splatnosti se zařadí do koše zbytkové splatnosti na základě výpovědní lhůty nebo jiných smluvních údajů o splatnosti.  Pokud neexistuje předem stanovená výpovědní lhůta ani jiné smluvní údaje o splatnosti, expozice se zařadí do koše zbytkové splatnosti [10 R – více].</w:t>
            </w:r>
          </w:p>
        </w:tc>
      </w:tr>
    </w:tbl>
    <w:p w14:paraId="6B4FA861" w14:textId="77777777" w:rsidR="007266CF" w:rsidRPr="002A677E" w:rsidRDefault="007266CF" w:rsidP="007266CF">
      <w:pPr>
        <w:spacing w:after="0"/>
        <w:rPr>
          <w:rStyle w:val="InstructionsTabelleText"/>
          <w:rFonts w:ascii="Times New Roman" w:hAnsi="Times New Roman"/>
          <w:sz w:val="24"/>
        </w:rPr>
      </w:pPr>
    </w:p>
    <w:p w14:paraId="69FB8453" w14:textId="77777777" w:rsidR="007266CF" w:rsidRPr="002A677E" w:rsidRDefault="007266CF" w:rsidP="00A75C39">
      <w:pPr>
        <w:pStyle w:val="Instructionsberschrift2"/>
        <w:numPr>
          <w:ilvl w:val="0"/>
          <w:numId w:val="145"/>
        </w:numPr>
        <w:rPr>
          <w:rFonts w:ascii="Times New Roman" w:hAnsi="Times New Roman" w:cs="Times New Roman"/>
          <w:sz w:val="24"/>
          <w:u w:val="none"/>
        </w:rPr>
      </w:pPr>
      <w:bookmarkStart w:id="362" w:name="_Toc116026874"/>
      <w:bookmarkStart w:id="363" w:name="_Toc119078031"/>
      <w:r>
        <w:rPr>
          <w:rFonts w:ascii="Times New Roman" w:hAnsi="Times New Roman"/>
          <w:sz w:val="24"/>
          <w:u w:val="none"/>
        </w:rPr>
        <w:t>Krytí ztrát z nevýkonných expozic (NPE LC)</w:t>
      </w:r>
      <w:bookmarkEnd w:id="362"/>
      <w:bookmarkEnd w:id="363"/>
    </w:p>
    <w:p w14:paraId="7110645A" w14:textId="77777777" w:rsidR="007266CF" w:rsidRPr="002A677E" w:rsidRDefault="007266CF" w:rsidP="00A75C39">
      <w:pPr>
        <w:pStyle w:val="Instructionsberschrift2"/>
        <w:numPr>
          <w:ilvl w:val="1"/>
          <w:numId w:val="146"/>
        </w:numPr>
        <w:rPr>
          <w:rFonts w:ascii="Times New Roman" w:hAnsi="Times New Roman" w:cs="Times New Roman"/>
          <w:sz w:val="24"/>
          <w:u w:val="none"/>
        </w:rPr>
      </w:pPr>
      <w:bookmarkStart w:id="364" w:name="_Toc116026875"/>
      <w:bookmarkStart w:id="365" w:name="_Toc119078032"/>
      <w:r>
        <w:rPr>
          <w:rFonts w:ascii="Times New Roman" w:hAnsi="Times New Roman"/>
          <w:sz w:val="24"/>
          <w:u w:val="none"/>
        </w:rPr>
        <w:t>Obecné poznámky</w:t>
      </w:r>
      <w:bookmarkEnd w:id="364"/>
      <w:bookmarkEnd w:id="365"/>
      <w:r>
        <w:rPr>
          <w:rFonts w:ascii="Times New Roman" w:hAnsi="Times New Roman"/>
          <w:sz w:val="24"/>
          <w:u w:val="none"/>
        </w:rPr>
        <w:t xml:space="preserve"> </w:t>
      </w:r>
    </w:p>
    <w:p w14:paraId="1CE6C8BC" w14:textId="77777777" w:rsidR="007266CF" w:rsidRPr="002A677E" w:rsidRDefault="007266CF" w:rsidP="007266CF">
      <w:pPr>
        <w:pStyle w:val="InstructionsText2"/>
        <w:numPr>
          <w:ilvl w:val="0"/>
          <w:numId w:val="0"/>
        </w:numPr>
        <w:ind w:left="1353" w:hanging="360"/>
        <w:rPr>
          <w:noProof/>
        </w:rPr>
      </w:pPr>
      <w:fldSimple w:instr=" seq paragraphs ">
        <w:r>
          <w:t>200</w:t>
        </w:r>
      </w:fldSimple>
      <w:r>
        <w:t>. Šablony pro krytí ztrát z nevýkonných expozic obsahují informace o nevýkonných expozicích pro účely výpočtu minimálního požadavku krytí ztrát z nevýkonných expozic, jak je uvedeno v článcích 47a, 47b a 47c nařízení (EU) č. 575/2013.</w:t>
      </w:r>
    </w:p>
    <w:p w14:paraId="5CAF8779" w14:textId="77777777" w:rsidR="007266CF" w:rsidRPr="002A677E" w:rsidRDefault="007266CF" w:rsidP="007266CF">
      <w:pPr>
        <w:pStyle w:val="InstructionsText2"/>
        <w:numPr>
          <w:ilvl w:val="0"/>
          <w:numId w:val="0"/>
        </w:numPr>
        <w:ind w:left="1353" w:hanging="360"/>
      </w:pPr>
      <w:fldSimple w:instr=" seq paragraphs ">
        <w:r>
          <w:t>201</w:t>
        </w:r>
      </w:fldSimple>
      <w:r>
        <w:t>. Blok šablon sestává ze souboru tří šablon:</w:t>
      </w:r>
    </w:p>
    <w:p w14:paraId="54ED091E" w14:textId="77777777" w:rsidR="007266CF" w:rsidRDefault="007266CF" w:rsidP="00A75C39">
      <w:pPr>
        <w:pStyle w:val="ListParagraph"/>
        <w:numPr>
          <w:ilvl w:val="0"/>
          <w:numId w:val="28"/>
        </w:numPr>
        <w:ind w:left="1077" w:hanging="357"/>
        <w:rPr>
          <w:rFonts w:ascii="Times New Roman" w:hAnsi="Times New Roman"/>
          <w:sz w:val="24"/>
        </w:rPr>
      </w:pPr>
      <w:r>
        <w:rPr>
          <w:rFonts w:ascii="Times New Roman" w:hAnsi="Times New Roman"/>
          <w:sz w:val="24"/>
        </w:rPr>
        <w:t>Výpočet odpočtů u nevýkonných expozic (C 35.01): jedná se o šablonu přehledu uvádějící příslušnou výši nedostatečného krytí, vypočítanou jako rozdíl mezi požadavky na celkové minimální krytí pro nevýkonné expozice a celkovými rezervami a úpravami nebo odpočty, které již byly provedeny. Šablona zahrnuje jak nevýkonné expozice, u nichž nebyla poskytnuta úleva, tak nevýkonné expozice s úlevou.</w:t>
      </w:r>
    </w:p>
    <w:p w14:paraId="2483ADC6" w14:textId="77777777" w:rsidR="007266CF" w:rsidRPr="002A677E" w:rsidRDefault="007266CF" w:rsidP="00A75C39">
      <w:pPr>
        <w:pStyle w:val="ListParagraph"/>
        <w:numPr>
          <w:ilvl w:val="0"/>
          <w:numId w:val="28"/>
        </w:numPr>
        <w:ind w:left="1077" w:hanging="357"/>
        <w:rPr>
          <w:rFonts w:ascii="Times New Roman" w:hAnsi="Times New Roman"/>
          <w:sz w:val="24"/>
        </w:rPr>
      </w:pPr>
      <w:r>
        <w:rPr>
          <w:rFonts w:ascii="Times New Roman" w:hAnsi="Times New Roman"/>
          <w:sz w:val="24"/>
        </w:rPr>
        <w:t xml:space="preserve">Minimální požadavky na krytí a hodnoty expozic nevýkonných expozic, s výjimkou expozic s úlevou, na něž se vztahuje čl. 47c odst. 6 nařízení (EU) č. 575/2013 (C 35.02): v šabloně jsou vypočteny požadavky na celkové minimální krytí pro nevýkonné expozice, které nejsou nevýkonnými expozicemi s úlevou spadajícími pod čl. 47c odst. 6 nařízení (EU) č. 575/2013, a uvedeny faktory, které se použijí na hodnoty expozic pro účely tohoto výpočtu, a to s ohledem na to, zda je expozice </w:t>
      </w:r>
      <w:r>
        <w:rPr>
          <w:rFonts w:ascii="Times New Roman" w:hAnsi="Times New Roman"/>
          <w:sz w:val="24"/>
        </w:rPr>
        <w:lastRenderedPageBreak/>
        <w:t>zajištěná nebo nezajištěná, a s ohledem na dobu, která uplynula od okamžiku, kdy se expozice stala nevýkonnou.</w:t>
      </w:r>
    </w:p>
    <w:p w14:paraId="6AAE51A7" w14:textId="77777777" w:rsidR="007266CF" w:rsidRPr="002A677E" w:rsidRDefault="007266CF" w:rsidP="00A75C39">
      <w:pPr>
        <w:pStyle w:val="ListParagraph"/>
        <w:numPr>
          <w:ilvl w:val="0"/>
          <w:numId w:val="28"/>
        </w:numPr>
        <w:spacing w:line="276" w:lineRule="auto"/>
        <w:ind w:left="1077" w:hanging="357"/>
        <w:rPr>
          <w:rFonts w:ascii="Times New Roman" w:hAnsi="Times New Roman"/>
          <w:sz w:val="24"/>
        </w:rPr>
      </w:pPr>
      <w:r>
        <w:rPr>
          <w:rFonts w:ascii="Times New Roman" w:hAnsi="Times New Roman"/>
          <w:sz w:val="24"/>
        </w:rPr>
        <w:t xml:space="preserve">Minimální požadavky na krytí a hodnoty expozic nevýkonných expozic s úlevou, na něž se vztahuje čl. 47c odst. 6 nařízení (EU) č. 575/2013 (C 35.03): v šabloně jsou vypočteny celkové minimální požadavky na krytí pro nevýkonné expozice s úlevou, na něž se vztahuje čl. 47c odst. 6 nařízení (EU) č. 575/2013, a uvedeny faktory, které se použijí na hodnoty expozic pro účely tohoto výpočtu, a to s ohledem na to, zda je expozice zajištěná, nebo nezajištěná, a s ohledem na dobu, která uplynula od okamžiku, kdy se expozice stala nevýkonnou.  </w:t>
      </w:r>
    </w:p>
    <w:p w14:paraId="3C7F73DF" w14:textId="77777777" w:rsidR="007266CF" w:rsidRPr="002A677E" w:rsidRDefault="007266CF" w:rsidP="007266CF">
      <w:pPr>
        <w:pStyle w:val="InstructionsText2"/>
        <w:numPr>
          <w:ilvl w:val="0"/>
          <w:numId w:val="0"/>
        </w:numPr>
        <w:ind w:left="1353" w:hanging="360"/>
      </w:pPr>
      <w:fldSimple w:instr=" seq paragraphs ">
        <w:r>
          <w:t>202</w:t>
        </w:r>
      </w:fldSimple>
      <w:r>
        <w:t>.  Požadavek na minimální krytí ztrát u nevýkonných expozic se vztahuje na i) expozice vzniklé dne 26. dubna 2019 a po tomto datu, které se stanou nevýkonnými, a ii) expozice vzniklé před 26. dubnem 2019, které byly po tomto datu upraveny tak, že se zvýšila hodnota expozice vůči dlužníkovi (článek 469a nařízení (EU) č. 575/2013), které se stanou nevýkonnými.</w:t>
      </w:r>
    </w:p>
    <w:p w14:paraId="008D03B0" w14:textId="77777777" w:rsidR="007266CF" w:rsidRPr="002A677E" w:rsidRDefault="007266CF" w:rsidP="007266CF">
      <w:pPr>
        <w:pStyle w:val="InstructionsText2"/>
        <w:numPr>
          <w:ilvl w:val="0"/>
          <w:numId w:val="0"/>
        </w:numPr>
        <w:ind w:left="1353" w:hanging="360"/>
      </w:pPr>
      <w:fldSimple w:instr=" seq paragraphs ">
        <w:r>
          <w:t>203</w:t>
        </w:r>
      </w:fldSimple>
      <w:r>
        <w:t>. Instituce vypočítají odpočty pro nevýkonné expozice v souladu s čl. 47c odst. 1 písm. a) a b) nařízení (EU) č. 575/2013, včetně výpočtu minimálních požadavků na krytí a celkových rezerv a úprav nebo odpočtů, a to na úrovni jednotlivých expozic („ve spojení s transakcí“), a nikoli na úrovni dlužníka nebo portfolia.</w:t>
      </w:r>
    </w:p>
    <w:p w14:paraId="3CD329F7" w14:textId="77777777" w:rsidR="007266CF" w:rsidRPr="002A677E" w:rsidRDefault="007266CF" w:rsidP="007266CF">
      <w:pPr>
        <w:pStyle w:val="InstructionsText2"/>
        <w:numPr>
          <w:ilvl w:val="0"/>
          <w:numId w:val="0"/>
        </w:numPr>
        <w:ind w:left="1353" w:hanging="360"/>
      </w:pPr>
      <w:fldSimple w:instr=" seq paragraphs ">
        <w:r>
          <w:t>204</w:t>
        </w:r>
      </w:fldSimple>
      <w:r>
        <w:t>. Pro účely výpočtu odpočtů u nevýkonných expozic instituce rozlišují mezi nezajištěnou a zajištěnou částí nevýkonné expozice v souladu s čl. 47c odst. 1 nařízení (EU) č. 575/2013. Za tímto účelem instituce vykazují hodnoty expozic a minimální požadavky na krytí zvlášť pro nezajištěnou část nevýkonných expozic a pro zajištěnou část nevýkonných expozic.</w:t>
      </w:r>
    </w:p>
    <w:p w14:paraId="0BFDB6F6" w14:textId="77777777" w:rsidR="007266CF" w:rsidRPr="002A677E" w:rsidRDefault="007266CF" w:rsidP="007266CF">
      <w:pPr>
        <w:pStyle w:val="InstructionsText2"/>
        <w:numPr>
          <w:ilvl w:val="0"/>
          <w:numId w:val="0"/>
        </w:numPr>
        <w:ind w:left="1353" w:hanging="360"/>
      </w:pPr>
      <w:fldSimple w:instr=" seq paragraphs ">
        <w:r>
          <w:t>205</w:t>
        </w:r>
      </w:fldSimple>
      <w:r>
        <w:t xml:space="preserve">. Pro účely přiřazení příslušných použitelných faktorů a výpočtu minimálních požadavků na krytí instituce klasifikují zajištěnou část nevýkonných expozic v závislosti na druhu zajištění úvěrového rizika v souladu s čl. 47c odst. 3 nařízení (EU) č. 575/2013 takto: i) „zajištěna nemovitostmi nebo úvěrem na obytné nemovitosti zaručeným způsobilým poskytovatelem zajištění uvedeným v článku 201“, ii) „zajištěna jiným majetkovým nebo osobním zajištěním úvěrového rizika“ nebo iii) „na kterou poskytla záruku nebo kterou pojistila státní vývozní úvěrová agentura“. Je-li nevýkonná expozice zajištěna více než jedním druhem zajištění úvěrového rizika, její hodnota expozice se přiřadí podle kvality zajištění úvěrového rizika, počínaje zajištěním nejlepší kvality. </w:t>
      </w:r>
    </w:p>
    <w:p w14:paraId="1F60AC39" w14:textId="77777777" w:rsidR="007266CF" w:rsidRPr="002A677E" w:rsidRDefault="007266CF" w:rsidP="007266CF">
      <w:pPr>
        <w:pStyle w:val="Instructionsberschrift2"/>
        <w:numPr>
          <w:ilvl w:val="0"/>
          <w:numId w:val="0"/>
        </w:numPr>
        <w:ind w:left="357" w:hanging="357"/>
        <w:rPr>
          <w:rFonts w:ascii="Times New Roman" w:hAnsi="Times New Roman" w:cs="Times New Roman"/>
          <w:sz w:val="24"/>
          <w:u w:val="none"/>
        </w:rPr>
      </w:pPr>
      <w:bookmarkStart w:id="366" w:name="_Toc116026876"/>
      <w:bookmarkStart w:id="367" w:name="_Toc119078033"/>
      <w:r>
        <w:rPr>
          <w:rFonts w:ascii="Times New Roman" w:hAnsi="Times New Roman"/>
          <w:sz w:val="24"/>
          <w:u w:val="none"/>
        </w:rPr>
        <w:t>8.2 C 35.01 – VÝPOČET ODPOČTŮ U NEVÝKONNÝCH EXPOZIC (NPE LC1)</w:t>
      </w:r>
      <w:bookmarkEnd w:id="366"/>
      <w:bookmarkEnd w:id="367"/>
    </w:p>
    <w:p w14:paraId="5ABBCAAA" w14:textId="77777777" w:rsidR="007266CF" w:rsidRPr="002A677E" w:rsidRDefault="007266CF" w:rsidP="00A75C39">
      <w:pPr>
        <w:pStyle w:val="Instructionsberschrift2"/>
        <w:numPr>
          <w:ilvl w:val="2"/>
          <w:numId w:val="29"/>
        </w:numPr>
        <w:rPr>
          <w:rFonts w:ascii="Times New Roman" w:hAnsi="Times New Roman" w:cs="Times New Roman"/>
          <w:sz w:val="24"/>
        </w:rPr>
      </w:pPr>
      <w:bookmarkStart w:id="368" w:name="_Toc116026877"/>
      <w:bookmarkStart w:id="369" w:name="_Toc119078034"/>
      <w:r>
        <w:rPr>
          <w:rFonts w:ascii="Times New Roman" w:hAnsi="Times New Roman"/>
          <w:sz w:val="24"/>
        </w:rPr>
        <w:t>Pokyny pro konkrétní pozice</w:t>
      </w:r>
      <w:bookmarkEnd w:id="368"/>
      <w:bookmarkEnd w:id="369"/>
    </w:p>
    <w:p w14:paraId="715AD24B" w14:textId="77777777" w:rsidR="007266CF" w:rsidRPr="002A677E" w:rsidRDefault="007266CF" w:rsidP="007266CF">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331C2D1F"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4426EB9"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39E8334"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65756F63" w14:textId="77777777" w:rsidTr="007266CF">
        <w:tc>
          <w:tcPr>
            <w:tcW w:w="1188" w:type="dxa"/>
            <w:tcBorders>
              <w:top w:val="single" w:sz="4" w:space="0" w:color="auto"/>
              <w:left w:val="single" w:sz="4" w:space="0" w:color="auto"/>
              <w:bottom w:val="single" w:sz="4" w:space="0" w:color="auto"/>
              <w:right w:val="single" w:sz="4" w:space="0" w:color="auto"/>
            </w:tcBorders>
            <w:hideMark/>
          </w:tcPr>
          <w:p w14:paraId="5AFBBFD3" w14:textId="77777777" w:rsidR="007266CF" w:rsidRPr="002A677E" w:rsidRDefault="007266CF" w:rsidP="007266CF">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6FAD90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14:paraId="606466B6" w14:textId="77777777" w:rsidR="007266CF" w:rsidRPr="002A677E" w:rsidRDefault="007266CF" w:rsidP="007266CF">
            <w:pPr>
              <w:rPr>
                <w:rFonts w:ascii="Times New Roman" w:hAnsi="Times New Roman"/>
                <w:sz w:val="24"/>
              </w:rPr>
            </w:pPr>
            <w:r>
              <w:rPr>
                <w:rFonts w:ascii="Times New Roman" w:hAnsi="Times New Roman"/>
                <w:sz w:val="24"/>
              </w:rPr>
              <w:t xml:space="preserve">„Časem, který uplynul od okamžiku, kdy expozice byly klasifikovány jako nevýkonné“, se rozumí doba (v letech), která uplynula mezi okamžikem, kdy expozice byla klasifikována jako nevýkonná, a referenčním datem vykazování. V případě nakoupených </w:t>
            </w:r>
            <w:r>
              <w:rPr>
                <w:rFonts w:ascii="Times New Roman" w:hAnsi="Times New Roman"/>
                <w:sz w:val="24"/>
              </w:rPr>
              <w:lastRenderedPageBreak/>
              <w:t xml:space="preserve">nevýkonných expozic začíná lhůta (v letech) běžet ode dne, kdy byly expozice původně klasifikovány jako nevýkonné, a nikoli ode dne jejich nabytí. </w:t>
            </w:r>
          </w:p>
          <w:p w14:paraId="06C5426A" w14:textId="77777777" w:rsidR="007266CF" w:rsidRPr="002A677E" w:rsidRDefault="007266CF" w:rsidP="007266CF">
            <w:pPr>
              <w:rPr>
                <w:rFonts w:ascii="Times New Roman" w:hAnsi="Times New Roman"/>
                <w:sz w:val="24"/>
              </w:rPr>
            </w:pPr>
            <w:r>
              <w:rPr>
                <w:rFonts w:ascii="Times New Roman" w:hAnsi="Times New Roman"/>
                <w:sz w:val="24"/>
              </w:rPr>
              <w:t>Instituce vykazují údaje o expozicích, u nichž referenční datum spadá do časového intervalu odpovídajícího době (v letech) uplynulé od okamžiku, kdy expozice byly klasifikovány jako nevýkonné, bez ohledu na uplatnění opatření týkajících se úlevy.</w:t>
            </w:r>
          </w:p>
          <w:p w14:paraId="58919E5E" w14:textId="77777777" w:rsidR="007266CF" w:rsidRPr="002A677E" w:rsidRDefault="007266CF" w:rsidP="007266CF">
            <w:pPr>
              <w:rPr>
                <w:rFonts w:ascii="Times New Roman" w:hAnsi="Times New Roman"/>
                <w:sz w:val="24"/>
              </w:rPr>
            </w:pPr>
            <w:r>
              <w:rPr>
                <w:rFonts w:ascii="Times New Roman" w:hAnsi="Times New Roman"/>
                <w:sz w:val="24"/>
              </w:rPr>
              <w:t>V časovém intervalu „&gt; X rok(ů), &lt;= Y rok(ů)“ instituce vykazují údaje o expozicích, u nichž referenční datum odpovídá období mezi prvním a posledním dnem roku Y po klasifikaci těchto expozic jako nevýkonných.</w:t>
            </w:r>
          </w:p>
        </w:tc>
      </w:tr>
      <w:tr w:rsidR="007266CF" w:rsidRPr="002A677E" w14:paraId="67D57F56" w14:textId="77777777" w:rsidTr="007266CF">
        <w:tc>
          <w:tcPr>
            <w:tcW w:w="1188" w:type="dxa"/>
            <w:tcBorders>
              <w:top w:val="single" w:sz="4" w:space="0" w:color="auto"/>
              <w:left w:val="single" w:sz="4" w:space="0" w:color="auto"/>
              <w:bottom w:val="single" w:sz="4" w:space="0" w:color="auto"/>
              <w:right w:val="single" w:sz="4" w:space="0" w:color="auto"/>
            </w:tcBorders>
          </w:tcPr>
          <w:p w14:paraId="653F10BD" w14:textId="77777777" w:rsidR="007266CF" w:rsidRPr="002A677E" w:rsidRDefault="007266CF" w:rsidP="007266CF">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3F721274" w14:textId="77777777" w:rsidR="007266CF" w:rsidRPr="002A677E" w:rsidRDefault="007266CF" w:rsidP="007266CF">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Celkem</w:t>
            </w:r>
          </w:p>
          <w:p w14:paraId="163AC648" w14:textId="77777777" w:rsidR="007266CF" w:rsidRPr="002A677E" w:rsidRDefault="007266CF" w:rsidP="007266CF">
            <w:pPr>
              <w:rPr>
                <w:rFonts w:ascii="Times New Roman" w:hAnsi="Times New Roman"/>
                <w:sz w:val="24"/>
              </w:rPr>
            </w:pPr>
            <w:r>
              <w:rPr>
                <w:rFonts w:ascii="Times New Roman" w:hAnsi="Times New Roman"/>
                <w:sz w:val="24"/>
              </w:rPr>
              <w:t>Instituce vykazují součet všech sloupců od 0010 do 0100.</w:t>
            </w:r>
          </w:p>
        </w:tc>
      </w:tr>
    </w:tbl>
    <w:p w14:paraId="0482F584" w14:textId="77777777" w:rsidR="007266CF" w:rsidRPr="002A677E" w:rsidRDefault="007266CF" w:rsidP="007266CF">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085C9E01"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F117251"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B5B4B17"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0447A6E7" w14:textId="77777777" w:rsidTr="007266CF">
        <w:tc>
          <w:tcPr>
            <w:tcW w:w="1188" w:type="dxa"/>
            <w:tcBorders>
              <w:top w:val="single" w:sz="4" w:space="0" w:color="auto"/>
              <w:left w:val="single" w:sz="4" w:space="0" w:color="auto"/>
              <w:bottom w:val="single" w:sz="4" w:space="0" w:color="auto"/>
              <w:right w:val="single" w:sz="4" w:space="0" w:color="auto"/>
            </w:tcBorders>
            <w:hideMark/>
          </w:tcPr>
          <w:p w14:paraId="64264E60"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C9993B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Příslušná výše nedostatečného krytí</w:t>
            </w:r>
          </w:p>
          <w:p w14:paraId="1AC3A679" w14:textId="77777777" w:rsidR="007266CF" w:rsidRPr="002A677E" w:rsidRDefault="007266CF" w:rsidP="007266CF">
            <w:pPr>
              <w:rPr>
                <w:rFonts w:ascii="Times New Roman" w:hAnsi="Times New Roman"/>
                <w:sz w:val="24"/>
              </w:rPr>
            </w:pPr>
            <w:r>
              <w:rPr>
                <w:rFonts w:ascii="Times New Roman" w:hAnsi="Times New Roman"/>
                <w:sz w:val="24"/>
              </w:rPr>
              <w:t>Ustanovení čl. 47c odst. 1 nařízení (EU) č. 575/2013</w:t>
            </w:r>
          </w:p>
          <w:p w14:paraId="5ED63A22" w14:textId="77777777" w:rsidR="007266CF" w:rsidRPr="002A677E" w:rsidRDefault="007266CF" w:rsidP="007266CF">
            <w:pPr>
              <w:rPr>
                <w:rFonts w:ascii="Times New Roman" w:hAnsi="Times New Roman"/>
                <w:sz w:val="24"/>
              </w:rPr>
            </w:pPr>
            <w:r>
              <w:rPr>
                <w:rFonts w:ascii="Times New Roman" w:hAnsi="Times New Roman"/>
                <w:sz w:val="24"/>
              </w:rPr>
              <w:t>Pro výpočet příslušné výše nedostatečného krytí instituce odečtou celkové rezervy a úpravy nebo odpočty (omezené stropem) (řádek 0080) od požadavku na celkové minimální krytí pro nevýkonné expozice (řádek 0020).</w:t>
            </w:r>
          </w:p>
          <w:p w14:paraId="5B8123CF" w14:textId="77777777" w:rsidR="007266CF" w:rsidRPr="002A677E" w:rsidRDefault="007266CF" w:rsidP="007266CF">
            <w:pPr>
              <w:rPr>
                <w:rFonts w:ascii="Times New Roman" w:hAnsi="Times New Roman"/>
                <w:sz w:val="24"/>
              </w:rPr>
            </w:pPr>
            <w:r>
              <w:rPr>
                <w:rFonts w:ascii="Times New Roman" w:hAnsi="Times New Roman"/>
                <w:sz w:val="24"/>
              </w:rPr>
              <w:t>Příslušná výše nedostatečného krytí (tj. deficit v požadavku na celkové minimální krytí pro nevýkonné expozice) se rovná nule nebo je vyšší než nula.</w:t>
            </w:r>
          </w:p>
        </w:tc>
      </w:tr>
      <w:tr w:rsidR="007266CF" w:rsidRPr="002A677E" w14:paraId="0C7E0237" w14:textId="77777777" w:rsidTr="007266CF">
        <w:tc>
          <w:tcPr>
            <w:tcW w:w="1188" w:type="dxa"/>
            <w:tcBorders>
              <w:top w:val="single" w:sz="4" w:space="0" w:color="auto"/>
              <w:left w:val="single" w:sz="4" w:space="0" w:color="auto"/>
              <w:bottom w:val="single" w:sz="4" w:space="0" w:color="auto"/>
              <w:right w:val="single" w:sz="4" w:space="0" w:color="auto"/>
            </w:tcBorders>
          </w:tcPr>
          <w:p w14:paraId="4BDA9235"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1B27CE2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Celkový minimální požadavek na krytí pro nevýkonné expozice</w:t>
            </w:r>
          </w:p>
          <w:p w14:paraId="611B776B" w14:textId="77777777" w:rsidR="007266CF" w:rsidRPr="002A677E" w:rsidRDefault="007266CF" w:rsidP="007266CF">
            <w:pPr>
              <w:rPr>
                <w:rFonts w:ascii="Times New Roman" w:hAnsi="Times New Roman"/>
                <w:sz w:val="24"/>
              </w:rPr>
            </w:pPr>
            <w:r>
              <w:rPr>
                <w:rFonts w:ascii="Times New Roman" w:hAnsi="Times New Roman"/>
                <w:sz w:val="24"/>
              </w:rPr>
              <w:t>Ustanovení čl. 47c odst. 1 písm. a) nařízení (EU) č. 575/2013</w:t>
            </w:r>
          </w:p>
          <w:p w14:paraId="75C11CE2" w14:textId="77777777" w:rsidR="007266CF" w:rsidRPr="002A677E" w:rsidRDefault="007266CF" w:rsidP="007266CF">
            <w:pPr>
              <w:rPr>
                <w:rFonts w:ascii="Times New Roman" w:hAnsi="Times New Roman"/>
                <w:sz w:val="24"/>
              </w:rPr>
            </w:pPr>
            <w:r>
              <w:rPr>
                <w:rFonts w:ascii="Times New Roman" w:hAnsi="Times New Roman"/>
                <w:sz w:val="24"/>
              </w:rPr>
              <w:t xml:space="preserve">Pro výpočet požadavku na celkové minimální krytí pro nevýkonné expozice instituce sečtou minimální požadavek na krytí pro nezajištěnou část nevýkonných expozic (řádek 0030) a pro zajištěnou část nevýkonných expozic (řádek 0040). </w:t>
            </w:r>
          </w:p>
        </w:tc>
      </w:tr>
      <w:tr w:rsidR="007266CF" w:rsidRPr="006223CC" w14:paraId="2AAC9C17" w14:textId="77777777" w:rsidTr="007266CF">
        <w:tc>
          <w:tcPr>
            <w:tcW w:w="1188" w:type="dxa"/>
            <w:tcBorders>
              <w:top w:val="single" w:sz="4" w:space="0" w:color="auto"/>
              <w:left w:val="single" w:sz="4" w:space="0" w:color="auto"/>
              <w:bottom w:val="single" w:sz="4" w:space="0" w:color="auto"/>
              <w:right w:val="single" w:sz="4" w:space="0" w:color="auto"/>
            </w:tcBorders>
          </w:tcPr>
          <w:p w14:paraId="5927B20C"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2E66DCB" w14:textId="77777777" w:rsidR="007266CF" w:rsidRPr="002A677E" w:rsidRDefault="007266CF" w:rsidP="007266CF">
            <w:pPr>
              <w:rPr>
                <w:rFonts w:ascii="Times New Roman" w:hAnsi="Times New Roman"/>
                <w:sz w:val="24"/>
              </w:rPr>
            </w:pPr>
            <w:r>
              <w:rPr>
                <w:rFonts w:ascii="Times New Roman" w:hAnsi="Times New Roman"/>
                <w:b/>
                <w:sz w:val="24"/>
                <w:u w:val="single"/>
              </w:rPr>
              <w:t>Nezajištěná část nevýkonných expozic</w:t>
            </w:r>
            <w:r>
              <w:rPr>
                <w:rFonts w:ascii="Times New Roman" w:hAnsi="Times New Roman"/>
                <w:sz w:val="24"/>
              </w:rPr>
              <w:t xml:space="preserve"> </w:t>
            </w:r>
          </w:p>
          <w:p w14:paraId="3D0EF31E" w14:textId="77777777" w:rsidR="007266CF" w:rsidRPr="006223CC" w:rsidRDefault="007266CF" w:rsidP="007266CF">
            <w:pPr>
              <w:rPr>
                <w:rFonts w:ascii="Times New Roman" w:hAnsi="Times New Roman"/>
                <w:sz w:val="24"/>
                <w:lang w:val="fr-FR"/>
              </w:rPr>
            </w:pPr>
            <w:r>
              <w:rPr>
                <w:rFonts w:ascii="Times New Roman" w:hAnsi="Times New Roman"/>
                <w:sz w:val="24"/>
              </w:rPr>
              <w:t>Ustanovení čl. 47c odst. 1 písm. a) bodu i), čl. 47c odst. </w:t>
            </w:r>
            <w:r w:rsidRPr="006223CC">
              <w:rPr>
                <w:rFonts w:ascii="Times New Roman" w:hAnsi="Times New Roman"/>
                <w:sz w:val="24"/>
                <w:lang w:val="fr-FR"/>
              </w:rPr>
              <w:t>2, čl. 47c odst. 6 nařízení (EU) č. 575/2013</w:t>
            </w:r>
          </w:p>
          <w:p w14:paraId="01918EBC"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 xml:space="preserve">Instituce vykazuje celkový požadavek na minimální krytí pro nezajištěnou část nevýkonných expozic, tj. souhrn výpočtů na úrovni expozice. </w:t>
            </w:r>
          </w:p>
          <w:p w14:paraId="481D64B0"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 xml:space="preserve">Částka vykázaná v každém sloupci se rovná součtu částek vykázaných v řádku 0020 šablony C 35.02 a (v příslušných případech) řádku 0020 šablony C 35.03 v příslušných sloupcích. </w:t>
            </w:r>
          </w:p>
        </w:tc>
      </w:tr>
      <w:tr w:rsidR="007266CF" w:rsidRPr="002A677E" w14:paraId="5FDAEADD" w14:textId="77777777" w:rsidTr="007266CF">
        <w:tc>
          <w:tcPr>
            <w:tcW w:w="1188" w:type="dxa"/>
            <w:tcBorders>
              <w:top w:val="single" w:sz="4" w:space="0" w:color="auto"/>
              <w:left w:val="single" w:sz="4" w:space="0" w:color="auto"/>
              <w:bottom w:val="single" w:sz="4" w:space="0" w:color="auto"/>
              <w:right w:val="single" w:sz="4" w:space="0" w:color="auto"/>
            </w:tcBorders>
          </w:tcPr>
          <w:p w14:paraId="3AECEFBA"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B5967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Zajištěná část nevýkonných expozic</w:t>
            </w:r>
          </w:p>
          <w:p w14:paraId="0759987E" w14:textId="77777777" w:rsidR="007266CF" w:rsidRPr="002A677E" w:rsidRDefault="007266CF" w:rsidP="007266CF">
            <w:pPr>
              <w:rPr>
                <w:rFonts w:ascii="Times New Roman" w:hAnsi="Times New Roman"/>
                <w:sz w:val="24"/>
              </w:rPr>
            </w:pPr>
            <w:r>
              <w:rPr>
                <w:rFonts w:ascii="Times New Roman" w:hAnsi="Times New Roman"/>
                <w:sz w:val="24"/>
              </w:rPr>
              <w:t>Ustanovení čl. 47c odst. 1 písm. a) bodu ii), čl. 47c odst. 3, čl. 47c odst. 4, čl. 47c odst. 6 nařízení (EU) č. 575/2013</w:t>
            </w:r>
          </w:p>
          <w:p w14:paraId="133BBDAB" w14:textId="77777777" w:rsidR="007266CF" w:rsidRPr="002A677E" w:rsidRDefault="007266CF" w:rsidP="007266CF">
            <w:pPr>
              <w:rPr>
                <w:rFonts w:ascii="Times New Roman" w:hAnsi="Times New Roman"/>
                <w:sz w:val="24"/>
              </w:rPr>
            </w:pPr>
            <w:r>
              <w:rPr>
                <w:rFonts w:ascii="Times New Roman" w:hAnsi="Times New Roman"/>
                <w:sz w:val="24"/>
              </w:rPr>
              <w:t>Instituce vykazují celkový požadavek na minimální krytí pro zajištěnou část nevýkonných expozic, tj. souhrn výpočtů na úrovni expozice.</w:t>
            </w:r>
          </w:p>
          <w:p w14:paraId="75E7FCD2" w14:textId="77777777" w:rsidR="007266CF" w:rsidRPr="002A677E" w:rsidRDefault="007266CF" w:rsidP="007266CF">
            <w:pPr>
              <w:rPr>
                <w:rFonts w:ascii="Times New Roman" w:hAnsi="Times New Roman"/>
                <w:b/>
                <w:sz w:val="24"/>
                <w:u w:val="single"/>
              </w:rPr>
            </w:pPr>
            <w:r>
              <w:rPr>
                <w:rFonts w:ascii="Times New Roman" w:hAnsi="Times New Roman"/>
                <w:sz w:val="24"/>
              </w:rPr>
              <w:lastRenderedPageBreak/>
              <w:t>Částka vykázaná v každém sloupci se rovná součtu částek vykázaných v řádku 0030–0050 šablony C 35.02 a (v příslušných případech) řádku 0030–0040 šablony C 35.03 v příslušných sloupcích.</w:t>
            </w:r>
          </w:p>
        </w:tc>
      </w:tr>
      <w:tr w:rsidR="007266CF" w:rsidRPr="002A677E" w14:paraId="4C131B2B" w14:textId="77777777" w:rsidTr="007266CF">
        <w:tc>
          <w:tcPr>
            <w:tcW w:w="1188" w:type="dxa"/>
            <w:tcBorders>
              <w:top w:val="single" w:sz="4" w:space="0" w:color="auto"/>
              <w:left w:val="single" w:sz="4" w:space="0" w:color="auto"/>
              <w:bottom w:val="single" w:sz="4" w:space="0" w:color="auto"/>
              <w:right w:val="single" w:sz="4" w:space="0" w:color="auto"/>
            </w:tcBorders>
          </w:tcPr>
          <w:p w14:paraId="6C7113BF" w14:textId="77777777" w:rsidR="007266CF" w:rsidRPr="002A677E" w:rsidRDefault="007266CF" w:rsidP="007266CF">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90F8311"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Hodnota expozice</w:t>
            </w:r>
          </w:p>
          <w:p w14:paraId="7324069A" w14:textId="77777777" w:rsidR="007266CF" w:rsidRPr="002A677E" w:rsidRDefault="007266CF" w:rsidP="007266CF">
            <w:pPr>
              <w:rPr>
                <w:rFonts w:ascii="Times New Roman" w:hAnsi="Times New Roman"/>
                <w:sz w:val="24"/>
              </w:rPr>
            </w:pPr>
            <w:r>
              <w:rPr>
                <w:rFonts w:ascii="Times New Roman" w:hAnsi="Times New Roman"/>
                <w:sz w:val="24"/>
              </w:rPr>
              <w:t>Ustanovení čl. 47a odst. 2 nařízení (EU) č. 575/2013</w:t>
            </w:r>
          </w:p>
          <w:p w14:paraId="481E4392" w14:textId="77777777" w:rsidR="007266CF" w:rsidRPr="002A677E" w:rsidRDefault="007266CF" w:rsidP="007266CF">
            <w:pPr>
              <w:rPr>
                <w:rFonts w:ascii="Times New Roman" w:hAnsi="Times New Roman"/>
                <w:sz w:val="24"/>
              </w:rPr>
            </w:pPr>
            <w:r>
              <w:rPr>
                <w:rFonts w:ascii="Times New Roman" w:hAnsi="Times New Roman"/>
                <w:sz w:val="24"/>
              </w:rPr>
              <w:t xml:space="preserve">Instituce vykazují celkovou hodnotu expozice nevýkonných expozic, včetně nezajištěných i zajištěných expozic. Tato hodnota odpovídá součtu řádku 0060 a řádku 0070. </w:t>
            </w:r>
          </w:p>
        </w:tc>
      </w:tr>
      <w:tr w:rsidR="007266CF" w:rsidRPr="002A677E" w14:paraId="629FC025" w14:textId="77777777" w:rsidTr="007266CF">
        <w:tc>
          <w:tcPr>
            <w:tcW w:w="1188" w:type="dxa"/>
            <w:tcBorders>
              <w:top w:val="single" w:sz="4" w:space="0" w:color="auto"/>
              <w:left w:val="single" w:sz="4" w:space="0" w:color="auto"/>
              <w:bottom w:val="single" w:sz="4" w:space="0" w:color="auto"/>
              <w:right w:val="single" w:sz="4" w:space="0" w:color="auto"/>
            </w:tcBorders>
          </w:tcPr>
          <w:p w14:paraId="14062660"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AFAFDFA" w14:textId="77777777" w:rsidR="007266CF" w:rsidRPr="002A677E" w:rsidRDefault="007266CF" w:rsidP="007266CF">
            <w:pPr>
              <w:rPr>
                <w:rFonts w:ascii="Times New Roman" w:hAnsi="Times New Roman"/>
                <w:sz w:val="24"/>
              </w:rPr>
            </w:pPr>
            <w:r>
              <w:rPr>
                <w:rFonts w:ascii="Times New Roman" w:hAnsi="Times New Roman"/>
                <w:b/>
                <w:sz w:val="24"/>
                <w:u w:val="single"/>
              </w:rPr>
              <w:t>Nezajištěná část nevýkonných expozic</w:t>
            </w:r>
            <w:r>
              <w:rPr>
                <w:rFonts w:ascii="Times New Roman" w:hAnsi="Times New Roman"/>
                <w:sz w:val="24"/>
              </w:rPr>
              <w:t xml:space="preserve"> </w:t>
            </w:r>
          </w:p>
          <w:p w14:paraId="19EE3624" w14:textId="77777777" w:rsidR="007266CF" w:rsidRPr="002A677E" w:rsidRDefault="007266CF" w:rsidP="007266CF">
            <w:pPr>
              <w:rPr>
                <w:rFonts w:ascii="Times New Roman" w:hAnsi="Times New Roman"/>
                <w:sz w:val="24"/>
              </w:rPr>
            </w:pPr>
            <w:r>
              <w:rPr>
                <w:rFonts w:ascii="Times New Roman" w:hAnsi="Times New Roman"/>
                <w:sz w:val="24"/>
              </w:rPr>
              <w:t>Ustanovení čl. 47a odst. 2 a čl. 47c odst. 1 nařízení (EU) č. 575/2013</w:t>
            </w:r>
          </w:p>
        </w:tc>
      </w:tr>
      <w:tr w:rsidR="007266CF" w:rsidRPr="002A677E" w14:paraId="205729DC" w14:textId="77777777" w:rsidTr="007266CF">
        <w:tc>
          <w:tcPr>
            <w:tcW w:w="1188" w:type="dxa"/>
            <w:tcBorders>
              <w:top w:val="single" w:sz="4" w:space="0" w:color="auto"/>
              <w:left w:val="single" w:sz="4" w:space="0" w:color="auto"/>
              <w:bottom w:val="single" w:sz="4" w:space="0" w:color="auto"/>
              <w:right w:val="single" w:sz="4" w:space="0" w:color="auto"/>
            </w:tcBorders>
          </w:tcPr>
          <w:p w14:paraId="259B26B5"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C28AA5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Zajištěná část nevýkonných expozic</w:t>
            </w:r>
          </w:p>
          <w:p w14:paraId="4F1CD654" w14:textId="77777777" w:rsidR="007266CF" w:rsidRPr="002A677E" w:rsidRDefault="007266CF" w:rsidP="007266CF">
            <w:pPr>
              <w:rPr>
                <w:rFonts w:ascii="Times New Roman" w:hAnsi="Times New Roman"/>
                <w:b/>
                <w:sz w:val="24"/>
                <w:u w:val="single"/>
              </w:rPr>
            </w:pPr>
            <w:r>
              <w:rPr>
                <w:rFonts w:ascii="Times New Roman" w:hAnsi="Times New Roman"/>
                <w:sz w:val="24"/>
              </w:rPr>
              <w:t>Ustanovení čl. 47a odst. 2 a čl. 47c odst. 1 nařízení (EU) č. 575/2013</w:t>
            </w:r>
          </w:p>
        </w:tc>
      </w:tr>
      <w:tr w:rsidR="007266CF" w:rsidRPr="002A677E" w14:paraId="78FF04DC" w14:textId="77777777" w:rsidTr="007266CF">
        <w:trPr>
          <w:trHeight w:val="699"/>
        </w:trPr>
        <w:tc>
          <w:tcPr>
            <w:tcW w:w="1188" w:type="dxa"/>
            <w:tcBorders>
              <w:top w:val="single" w:sz="4" w:space="0" w:color="auto"/>
              <w:left w:val="single" w:sz="4" w:space="0" w:color="auto"/>
              <w:bottom w:val="single" w:sz="4" w:space="0" w:color="auto"/>
              <w:right w:val="single" w:sz="4" w:space="0" w:color="auto"/>
            </w:tcBorders>
          </w:tcPr>
          <w:p w14:paraId="4AEDB27D"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BE54FE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Rezervy a úpravy nebo odpočty celkem (omezené stropem)</w:t>
            </w:r>
          </w:p>
          <w:p w14:paraId="47366F36" w14:textId="77777777" w:rsidR="007266CF" w:rsidRPr="002A677E" w:rsidRDefault="007266CF" w:rsidP="007266CF">
            <w:pPr>
              <w:rPr>
                <w:rFonts w:ascii="Times New Roman" w:hAnsi="Times New Roman"/>
                <w:sz w:val="24"/>
              </w:rPr>
            </w:pPr>
            <w:r>
              <w:rPr>
                <w:rFonts w:ascii="Times New Roman" w:hAnsi="Times New Roman"/>
                <w:sz w:val="24"/>
              </w:rPr>
              <w:t>Instituce vykazují výši součtu položek uvedených v řádcích 0100–0150, jež je omezena stropem, v souladu s čl. 47c odst. 1 písm. b) nařízení (EU) č. 575/2013. Maximální limit pro rezervy a úpravy nebo odpočty omezené stropem je výše minimálního požadavku na krytí na úrovni expozice.</w:t>
            </w:r>
          </w:p>
          <w:p w14:paraId="0E5549DB" w14:textId="77777777" w:rsidR="007266CF" w:rsidRPr="002A677E" w:rsidRDefault="007266CF" w:rsidP="007266CF">
            <w:pPr>
              <w:rPr>
                <w:rFonts w:ascii="Times New Roman" w:hAnsi="Times New Roman"/>
                <w:sz w:val="24"/>
              </w:rPr>
            </w:pPr>
            <w:r>
              <w:rPr>
                <w:rFonts w:ascii="Times New Roman" w:hAnsi="Times New Roman"/>
                <w:sz w:val="24"/>
              </w:rPr>
              <w:t>Výše omezená stropem se vypočítá zvlášť pro každou expozici jako nižší částka mezi požadavkem na minimální krytí pro tuto expozici a celkovými rezervami a úpravami nebo odpočty pro tutéž expozici.</w:t>
            </w:r>
          </w:p>
        </w:tc>
      </w:tr>
      <w:tr w:rsidR="007266CF" w:rsidRPr="002A677E" w14:paraId="48217C7A" w14:textId="77777777" w:rsidTr="007266CF">
        <w:tc>
          <w:tcPr>
            <w:tcW w:w="1188" w:type="dxa"/>
            <w:tcBorders>
              <w:top w:val="single" w:sz="4" w:space="0" w:color="auto"/>
              <w:left w:val="single" w:sz="4" w:space="0" w:color="auto"/>
              <w:bottom w:val="single" w:sz="4" w:space="0" w:color="auto"/>
              <w:right w:val="single" w:sz="4" w:space="0" w:color="auto"/>
            </w:tcBorders>
          </w:tcPr>
          <w:p w14:paraId="6A6A75DD"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11388890"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Rezervy a úpravy nebo odpočty celkem (neomezené stropem)</w:t>
            </w:r>
          </w:p>
          <w:p w14:paraId="40DBB7A8" w14:textId="77777777" w:rsidR="007266CF" w:rsidRPr="002A677E" w:rsidRDefault="007266CF" w:rsidP="007266CF">
            <w:pPr>
              <w:jc w:val="left"/>
              <w:rPr>
                <w:rFonts w:ascii="Times New Roman" w:hAnsi="Times New Roman"/>
                <w:sz w:val="24"/>
              </w:rPr>
            </w:pPr>
            <w:r>
              <w:rPr>
                <w:rFonts w:ascii="Times New Roman" w:hAnsi="Times New Roman"/>
                <w:sz w:val="24"/>
              </w:rPr>
              <w:t xml:space="preserve">Instituce vykazují součet výší položek neomezených stropem uvedených v řádcích 0100–0150 v souladu s čl. 47c odst. 1 písm. b) nařízení (EU) č. 575/2013. Rezervy a úpravy nebo odpočty (neomezené stropem) se neomezují na výši minimálního požadavku na krytí na úrovni expozice.  </w:t>
            </w:r>
          </w:p>
        </w:tc>
      </w:tr>
      <w:tr w:rsidR="007266CF" w:rsidRPr="002A677E" w14:paraId="35137C31" w14:textId="77777777" w:rsidTr="007266CF">
        <w:tc>
          <w:tcPr>
            <w:tcW w:w="1188" w:type="dxa"/>
            <w:tcBorders>
              <w:top w:val="single" w:sz="4" w:space="0" w:color="auto"/>
              <w:left w:val="single" w:sz="4" w:space="0" w:color="auto"/>
              <w:bottom w:val="single" w:sz="4" w:space="0" w:color="auto"/>
              <w:right w:val="single" w:sz="4" w:space="0" w:color="auto"/>
            </w:tcBorders>
          </w:tcPr>
          <w:p w14:paraId="47B122FF" w14:textId="77777777" w:rsidR="007266CF" w:rsidRPr="002A677E" w:rsidRDefault="007266CF" w:rsidP="007266CF">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985FD5"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Specifické úpravy o úvěrové riziko</w:t>
            </w:r>
          </w:p>
          <w:p w14:paraId="7DA16E5A" w14:textId="77777777" w:rsidR="007266CF" w:rsidRPr="002A677E" w:rsidRDefault="007266CF" w:rsidP="007266CF">
            <w:pPr>
              <w:jc w:val="left"/>
              <w:rPr>
                <w:rFonts w:ascii="Times New Roman" w:hAnsi="Times New Roman"/>
                <w:sz w:val="24"/>
              </w:rPr>
            </w:pPr>
            <w:r>
              <w:rPr>
                <w:rFonts w:ascii="Times New Roman" w:hAnsi="Times New Roman"/>
                <w:sz w:val="24"/>
              </w:rPr>
              <w:t>Ustanovení čl. 47c odst. 1 písm. b) bodu i) nařízení (EU) č. 575/2013</w:t>
            </w:r>
          </w:p>
        </w:tc>
      </w:tr>
      <w:tr w:rsidR="007266CF" w:rsidRPr="002A677E" w14:paraId="61644881" w14:textId="77777777" w:rsidTr="007266CF">
        <w:tc>
          <w:tcPr>
            <w:tcW w:w="1188" w:type="dxa"/>
            <w:tcBorders>
              <w:top w:val="single" w:sz="4" w:space="0" w:color="auto"/>
              <w:left w:val="single" w:sz="4" w:space="0" w:color="auto"/>
              <w:bottom w:val="single" w:sz="4" w:space="0" w:color="auto"/>
              <w:right w:val="single" w:sz="4" w:space="0" w:color="auto"/>
            </w:tcBorders>
          </w:tcPr>
          <w:p w14:paraId="47902344"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7FA5BBC5"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Dodatečné úpravy ocenění</w:t>
            </w:r>
          </w:p>
          <w:p w14:paraId="14216D21" w14:textId="77777777" w:rsidR="007266CF" w:rsidRPr="002A677E" w:rsidRDefault="007266CF" w:rsidP="007266CF">
            <w:pPr>
              <w:jc w:val="left"/>
              <w:rPr>
                <w:rFonts w:ascii="Times New Roman" w:hAnsi="Times New Roman"/>
                <w:b/>
                <w:sz w:val="24"/>
                <w:u w:val="single"/>
              </w:rPr>
            </w:pPr>
            <w:r>
              <w:rPr>
                <w:rFonts w:ascii="Times New Roman" w:hAnsi="Times New Roman"/>
                <w:sz w:val="24"/>
              </w:rPr>
              <w:t>Ustanovení čl. 47c odst. 1 písm. b) bodu ii) nařízení (EU) č. 575/2013</w:t>
            </w:r>
          </w:p>
        </w:tc>
      </w:tr>
      <w:tr w:rsidR="007266CF" w:rsidRPr="002A677E" w14:paraId="22DDEA73" w14:textId="77777777" w:rsidTr="007266CF">
        <w:tc>
          <w:tcPr>
            <w:tcW w:w="1188" w:type="dxa"/>
            <w:tcBorders>
              <w:top w:val="single" w:sz="4" w:space="0" w:color="auto"/>
              <w:left w:val="single" w:sz="4" w:space="0" w:color="auto"/>
              <w:bottom w:val="single" w:sz="4" w:space="0" w:color="auto"/>
              <w:right w:val="single" w:sz="4" w:space="0" w:color="auto"/>
            </w:tcBorders>
          </w:tcPr>
          <w:p w14:paraId="5F3E5B92" w14:textId="77777777" w:rsidR="007266CF" w:rsidRPr="002A677E" w:rsidRDefault="007266CF" w:rsidP="007266CF">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4BE0A7"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Jiné odpočty kapitálu</w:t>
            </w:r>
          </w:p>
          <w:p w14:paraId="57F66718" w14:textId="77777777" w:rsidR="007266CF" w:rsidRPr="002A677E" w:rsidRDefault="007266CF" w:rsidP="007266CF">
            <w:pPr>
              <w:jc w:val="left"/>
              <w:rPr>
                <w:rFonts w:ascii="Times New Roman" w:hAnsi="Times New Roman"/>
                <w:b/>
                <w:sz w:val="24"/>
                <w:u w:val="single"/>
              </w:rPr>
            </w:pPr>
            <w:r>
              <w:rPr>
                <w:rFonts w:ascii="Times New Roman" w:hAnsi="Times New Roman"/>
                <w:sz w:val="24"/>
              </w:rPr>
              <w:t>Ustanovení čl. 47c odst. 1 písm. b) bodu iii) nařízení (EU) č. 575/2013</w:t>
            </w:r>
          </w:p>
        </w:tc>
      </w:tr>
      <w:tr w:rsidR="007266CF" w:rsidRPr="002A677E" w14:paraId="310B6CEA" w14:textId="77777777" w:rsidTr="007266CF">
        <w:tc>
          <w:tcPr>
            <w:tcW w:w="1188" w:type="dxa"/>
            <w:tcBorders>
              <w:top w:val="single" w:sz="4" w:space="0" w:color="auto"/>
              <w:left w:val="single" w:sz="4" w:space="0" w:color="auto"/>
              <w:bottom w:val="single" w:sz="4" w:space="0" w:color="auto"/>
              <w:right w:val="single" w:sz="4" w:space="0" w:color="auto"/>
            </w:tcBorders>
          </w:tcPr>
          <w:p w14:paraId="3677F261" w14:textId="77777777" w:rsidR="007266CF" w:rsidRPr="002A677E" w:rsidRDefault="007266CF" w:rsidP="007266CF">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329A3A59"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Nedostatek v krytí v rámci přístupu IRB</w:t>
            </w:r>
          </w:p>
          <w:p w14:paraId="61BD2A44" w14:textId="77777777" w:rsidR="007266CF" w:rsidRPr="002A677E" w:rsidRDefault="007266CF" w:rsidP="007266CF">
            <w:pPr>
              <w:jc w:val="left"/>
              <w:rPr>
                <w:rFonts w:ascii="Times New Roman" w:hAnsi="Times New Roman"/>
                <w:b/>
                <w:sz w:val="24"/>
                <w:u w:val="single"/>
              </w:rPr>
            </w:pPr>
            <w:r>
              <w:rPr>
                <w:rFonts w:ascii="Times New Roman" w:hAnsi="Times New Roman"/>
                <w:sz w:val="24"/>
              </w:rPr>
              <w:t>Ustanovení čl. 47c odst. 1 písm. b) bodu iv) nařízení (EU) č. 575/2013</w:t>
            </w:r>
          </w:p>
        </w:tc>
      </w:tr>
      <w:tr w:rsidR="007266CF" w:rsidRPr="002A677E" w14:paraId="44A52896" w14:textId="77777777" w:rsidTr="007266CF">
        <w:tc>
          <w:tcPr>
            <w:tcW w:w="1188" w:type="dxa"/>
            <w:tcBorders>
              <w:top w:val="single" w:sz="4" w:space="0" w:color="auto"/>
              <w:left w:val="single" w:sz="4" w:space="0" w:color="auto"/>
              <w:bottom w:val="single" w:sz="4" w:space="0" w:color="auto"/>
              <w:right w:val="single" w:sz="4" w:space="0" w:color="auto"/>
            </w:tcBorders>
          </w:tcPr>
          <w:p w14:paraId="1E5E0A4D" w14:textId="77777777" w:rsidR="007266CF" w:rsidRPr="002A677E" w:rsidRDefault="007266CF" w:rsidP="007266CF">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18BDF5C8"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Rozdíl mezi kupní cenou a částkou dlužnou dlužníkem</w:t>
            </w:r>
          </w:p>
          <w:p w14:paraId="4A8AA9E9" w14:textId="77777777" w:rsidR="007266CF" w:rsidRPr="002A677E" w:rsidRDefault="007266CF" w:rsidP="007266CF">
            <w:pPr>
              <w:jc w:val="left"/>
              <w:rPr>
                <w:rFonts w:ascii="Times New Roman" w:hAnsi="Times New Roman"/>
                <w:b/>
                <w:sz w:val="24"/>
                <w:u w:val="single"/>
              </w:rPr>
            </w:pPr>
            <w:r>
              <w:rPr>
                <w:rFonts w:ascii="Times New Roman" w:hAnsi="Times New Roman"/>
                <w:sz w:val="24"/>
              </w:rPr>
              <w:t>Ustanovení čl. 47c odst. 1 písm. b) bodu v) nařízení (EU) č. 575/2013</w:t>
            </w:r>
          </w:p>
        </w:tc>
      </w:tr>
      <w:tr w:rsidR="007266CF" w:rsidRPr="002A677E" w14:paraId="5CD1F881" w14:textId="77777777" w:rsidTr="007266CF">
        <w:tc>
          <w:tcPr>
            <w:tcW w:w="1188" w:type="dxa"/>
            <w:tcBorders>
              <w:top w:val="single" w:sz="4" w:space="0" w:color="auto"/>
              <w:left w:val="single" w:sz="4" w:space="0" w:color="auto"/>
              <w:bottom w:val="single" w:sz="4" w:space="0" w:color="auto"/>
              <w:right w:val="single" w:sz="4" w:space="0" w:color="auto"/>
            </w:tcBorders>
          </w:tcPr>
          <w:p w14:paraId="0F12CD46" w14:textId="77777777" w:rsidR="007266CF" w:rsidRPr="002A677E" w:rsidRDefault="007266CF" w:rsidP="007266CF">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5F59B48B"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Částky odepsané institucí od okamžiku, kdy byla expozice klasifikována jako nevýkonná</w:t>
            </w:r>
          </w:p>
          <w:p w14:paraId="0F702898" w14:textId="77777777" w:rsidR="007266CF" w:rsidRPr="002A677E" w:rsidRDefault="007266CF" w:rsidP="007266CF">
            <w:pPr>
              <w:jc w:val="left"/>
              <w:rPr>
                <w:rFonts w:ascii="Times New Roman" w:hAnsi="Times New Roman"/>
                <w:b/>
                <w:sz w:val="24"/>
                <w:u w:val="single"/>
              </w:rPr>
            </w:pPr>
            <w:r>
              <w:rPr>
                <w:rFonts w:ascii="Times New Roman" w:hAnsi="Times New Roman"/>
                <w:sz w:val="24"/>
              </w:rPr>
              <w:t>Ustanovení čl. 47c odst. 1 písm. b) bodu vi) nařízení (EU) č. 575/2013</w:t>
            </w:r>
          </w:p>
        </w:tc>
      </w:tr>
    </w:tbl>
    <w:p w14:paraId="7E3749EC" w14:textId="77777777" w:rsidR="007266CF" w:rsidRPr="002A677E" w:rsidRDefault="007266CF" w:rsidP="00A75C39">
      <w:pPr>
        <w:pStyle w:val="Instructionsberschrift2"/>
        <w:numPr>
          <w:ilvl w:val="1"/>
          <w:numId w:val="29"/>
        </w:numPr>
        <w:rPr>
          <w:rFonts w:ascii="Times New Roman" w:hAnsi="Times New Roman" w:cs="Times New Roman"/>
          <w:sz w:val="24"/>
        </w:rPr>
      </w:pPr>
      <w:bookmarkStart w:id="370" w:name="_Toc116026878"/>
      <w:bookmarkStart w:id="371" w:name="_Toc119078035"/>
      <w:r>
        <w:rPr>
          <w:rFonts w:ascii="Times New Roman" w:hAnsi="Times New Roman"/>
          <w:sz w:val="24"/>
        </w:rPr>
        <w:t>C 35.02 – MINIMÁLNÍ POŽADAVKY NA KRYTÍ A HODNOTY EXPOZIC NEVÝKONNÝCH EXPOZIC S VÝJIMKOU EXPOZIC S ÚLEVOU, NA NĚŽ SE VZTAHUJE ČL. 47C ODST. 6 NAŘÍZENÍ (EU) Č. 575/2013 (NPE LC2)</w:t>
      </w:r>
      <w:bookmarkEnd w:id="370"/>
      <w:bookmarkEnd w:id="371"/>
    </w:p>
    <w:p w14:paraId="2A1BD381" w14:textId="77777777" w:rsidR="007266CF" w:rsidRPr="002A677E" w:rsidRDefault="007266CF" w:rsidP="00A75C39">
      <w:pPr>
        <w:pStyle w:val="Instructionsberschrift2"/>
        <w:numPr>
          <w:ilvl w:val="2"/>
          <w:numId w:val="29"/>
        </w:numPr>
        <w:rPr>
          <w:rFonts w:ascii="Times New Roman" w:hAnsi="Times New Roman" w:cs="Times New Roman"/>
          <w:sz w:val="24"/>
        </w:rPr>
      </w:pPr>
      <w:bookmarkStart w:id="372" w:name="_Toc116026879"/>
      <w:bookmarkStart w:id="373" w:name="_Toc119078036"/>
      <w:r>
        <w:rPr>
          <w:rFonts w:ascii="Times New Roman" w:hAnsi="Times New Roman"/>
          <w:sz w:val="24"/>
        </w:rPr>
        <w:t>Pokyny pro konkrétní pozice</w:t>
      </w:r>
      <w:bookmarkEnd w:id="372"/>
      <w:bookmarkEnd w:id="37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04B20A6A"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88DBD94"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0AE95B5"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16CDBFEF" w14:textId="77777777" w:rsidTr="007266CF">
        <w:tc>
          <w:tcPr>
            <w:tcW w:w="1188" w:type="dxa"/>
            <w:tcBorders>
              <w:top w:val="single" w:sz="4" w:space="0" w:color="auto"/>
              <w:left w:val="single" w:sz="4" w:space="0" w:color="auto"/>
              <w:bottom w:val="single" w:sz="4" w:space="0" w:color="auto"/>
              <w:right w:val="single" w:sz="4" w:space="0" w:color="auto"/>
            </w:tcBorders>
            <w:hideMark/>
          </w:tcPr>
          <w:p w14:paraId="3D4626D3" w14:textId="77777777" w:rsidR="007266CF" w:rsidRPr="002A677E" w:rsidRDefault="007266CF" w:rsidP="007266CF">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474C4DD6"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14:paraId="5552D4C5" w14:textId="77777777" w:rsidR="007266CF" w:rsidRPr="002A677E" w:rsidRDefault="007266CF" w:rsidP="007266CF">
            <w:pPr>
              <w:rPr>
                <w:rFonts w:ascii="Times New Roman" w:hAnsi="Times New Roman"/>
                <w:sz w:val="24"/>
              </w:rPr>
            </w:pPr>
            <w:r>
              <w:rPr>
                <w:rFonts w:ascii="Times New Roman" w:hAnsi="Times New Roman"/>
                <w:sz w:val="24"/>
              </w:rPr>
              <w:t>„Časem, který uplynul od okamžiku, kdy expozice byly klasifikovány jako nevýkonné“, se rozumí doba (v letech), která uplynula od okamžiku, kdy expozice byly klasifikovány jako nevýkonné. Instituce vykazují údaje o expozicích, u nichž referenční datum spadá do časového intervalu odpovídajícího době (v letech) uplynulé od okamžiku, kdy expozice byly klasifikovány jako nevýkonné, bez ohledu na uplatnění opatření týkajících se úlevy.</w:t>
            </w:r>
          </w:p>
          <w:p w14:paraId="65B97516" w14:textId="77777777" w:rsidR="007266CF" w:rsidRPr="002A677E" w:rsidRDefault="007266CF" w:rsidP="007266CF">
            <w:pPr>
              <w:rPr>
                <w:rFonts w:ascii="Times New Roman" w:hAnsi="Times New Roman"/>
                <w:sz w:val="24"/>
              </w:rPr>
            </w:pPr>
            <w:r>
              <w:rPr>
                <w:rFonts w:ascii="Times New Roman" w:hAnsi="Times New Roman"/>
                <w:sz w:val="24"/>
              </w:rPr>
              <w:t>V časovém intervalu „&gt; X rok(ů), &lt;= Y rok(ů)“ instituce vykazují údaje o expozicích, u nichž referenční datum odpovídá období mezi prvním a posledním dnem roku Y po klasifikaci těchto expozic jako nevýkonných.</w:t>
            </w:r>
          </w:p>
        </w:tc>
      </w:tr>
      <w:tr w:rsidR="007266CF" w:rsidRPr="002A677E" w14:paraId="65F30A34" w14:textId="77777777" w:rsidTr="007266CF">
        <w:tc>
          <w:tcPr>
            <w:tcW w:w="1188" w:type="dxa"/>
            <w:tcBorders>
              <w:top w:val="single" w:sz="4" w:space="0" w:color="auto"/>
              <w:left w:val="single" w:sz="4" w:space="0" w:color="auto"/>
              <w:bottom w:val="single" w:sz="4" w:space="0" w:color="auto"/>
              <w:right w:val="single" w:sz="4" w:space="0" w:color="auto"/>
            </w:tcBorders>
          </w:tcPr>
          <w:p w14:paraId="6E48FFB9"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875C7D"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Celkem</w:t>
            </w:r>
          </w:p>
          <w:p w14:paraId="40F3D9B0" w14:textId="77777777" w:rsidR="007266CF" w:rsidRPr="002A677E" w:rsidRDefault="007266CF" w:rsidP="007266CF">
            <w:pPr>
              <w:rPr>
                <w:rFonts w:ascii="Times New Roman" w:hAnsi="Times New Roman"/>
                <w:sz w:val="24"/>
                <w:u w:val="single"/>
              </w:rPr>
            </w:pPr>
            <w:r>
              <w:rPr>
                <w:rFonts w:ascii="Times New Roman" w:hAnsi="Times New Roman"/>
                <w:sz w:val="24"/>
              </w:rPr>
              <w:t>Instituce vykazují součet všech sloupců od 0010 do 0100.</w:t>
            </w:r>
          </w:p>
        </w:tc>
      </w:tr>
    </w:tbl>
    <w:p w14:paraId="37DB6D52" w14:textId="77777777" w:rsidR="007266CF" w:rsidRPr="002A677E" w:rsidRDefault="007266CF" w:rsidP="007266CF">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6F5E0DAD"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7FDA300"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8632A63"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6223CC" w14:paraId="581DF251" w14:textId="77777777" w:rsidTr="007266CF">
        <w:tc>
          <w:tcPr>
            <w:tcW w:w="1188" w:type="dxa"/>
            <w:tcBorders>
              <w:top w:val="single" w:sz="4" w:space="0" w:color="auto"/>
              <w:left w:val="single" w:sz="4" w:space="0" w:color="auto"/>
              <w:bottom w:val="single" w:sz="4" w:space="0" w:color="auto"/>
              <w:right w:val="single" w:sz="4" w:space="0" w:color="auto"/>
            </w:tcBorders>
            <w:hideMark/>
          </w:tcPr>
          <w:p w14:paraId="063F8D67"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F205D1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Požadavek na celkové minimální krytí</w:t>
            </w:r>
          </w:p>
          <w:p w14:paraId="27A02FCC" w14:textId="77777777" w:rsidR="007266CF" w:rsidRPr="006223CC" w:rsidRDefault="007266CF" w:rsidP="007266CF">
            <w:pPr>
              <w:rPr>
                <w:rFonts w:ascii="Times New Roman" w:hAnsi="Times New Roman"/>
                <w:sz w:val="24"/>
                <w:lang w:val="fr-FR"/>
              </w:rPr>
            </w:pPr>
            <w:r>
              <w:rPr>
                <w:rFonts w:ascii="Times New Roman" w:hAnsi="Times New Roman"/>
                <w:sz w:val="24"/>
              </w:rPr>
              <w:t>Ustanovení čl. 47c odst. </w:t>
            </w:r>
            <w:r w:rsidRPr="006223CC">
              <w:rPr>
                <w:rFonts w:ascii="Times New Roman" w:hAnsi="Times New Roman"/>
                <w:sz w:val="24"/>
                <w:lang w:val="fr-FR"/>
              </w:rPr>
              <w:t>1 písm. a) nařízení (EU) č. 575/2013</w:t>
            </w:r>
          </w:p>
          <w:p w14:paraId="475662ED" w14:textId="77777777" w:rsidR="007266CF" w:rsidRPr="006223CC" w:rsidRDefault="007266CF" w:rsidP="007266CF">
            <w:pPr>
              <w:rPr>
                <w:rFonts w:ascii="Times New Roman" w:hAnsi="Times New Roman"/>
                <w:sz w:val="24"/>
                <w:lang w:val="fr-FR"/>
              </w:rPr>
            </w:pPr>
            <w:r w:rsidRPr="006223CC">
              <w:rPr>
                <w:rFonts w:ascii="Times New Roman" w:hAnsi="Times New Roman"/>
                <w:sz w:val="24"/>
                <w:lang w:val="fr-FR"/>
              </w:rPr>
              <w:t>Pro výpočet požadavku na celkové minimální krytí pro nevýkonné expozice, s výjimkou expozic s úlevou, na které se vztahuje čl. 47c odst. 6 nařízení (EU) č. 575/2013, instituce sečtou minimální požadavek na krytí pro nezajištěnou část nevýkonných expozic (řádek 0020) a minimální požadavek na krytí pro zajištěnou část nevýkonných expozic (řádky 0030–0050).</w:t>
            </w:r>
          </w:p>
        </w:tc>
      </w:tr>
      <w:tr w:rsidR="007266CF" w:rsidRPr="002A677E" w14:paraId="32593B37" w14:textId="77777777" w:rsidTr="007266CF">
        <w:tc>
          <w:tcPr>
            <w:tcW w:w="1188" w:type="dxa"/>
            <w:tcBorders>
              <w:top w:val="single" w:sz="4" w:space="0" w:color="auto"/>
              <w:left w:val="single" w:sz="4" w:space="0" w:color="auto"/>
              <w:bottom w:val="single" w:sz="4" w:space="0" w:color="auto"/>
              <w:right w:val="single" w:sz="4" w:space="0" w:color="auto"/>
            </w:tcBorders>
          </w:tcPr>
          <w:p w14:paraId="0FE5ED90" w14:textId="77777777" w:rsidR="007266CF" w:rsidRPr="002A677E" w:rsidRDefault="007266CF" w:rsidP="007266CF">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2D76284"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Nezajištěná část nevýkonných expozic</w:t>
            </w:r>
          </w:p>
          <w:p w14:paraId="1BEB1415" w14:textId="77777777" w:rsidR="007266CF" w:rsidRPr="002A677E" w:rsidRDefault="007266CF" w:rsidP="007266CF">
            <w:pPr>
              <w:rPr>
                <w:rFonts w:ascii="Times New Roman" w:hAnsi="Times New Roman"/>
                <w:sz w:val="24"/>
              </w:rPr>
            </w:pPr>
            <w:r>
              <w:rPr>
                <w:rFonts w:ascii="Times New Roman" w:hAnsi="Times New Roman"/>
                <w:sz w:val="24"/>
              </w:rPr>
              <w:t>Ustanovení čl. 47c odst. 1 písm. a) bodu i) a čl. 47c odst. 2 nařízení (EU) č. 575/2013</w:t>
            </w:r>
          </w:p>
          <w:p w14:paraId="246E30F7" w14:textId="77777777" w:rsidR="007266CF" w:rsidRPr="002A677E" w:rsidRDefault="007266CF" w:rsidP="007266CF">
            <w:pPr>
              <w:rPr>
                <w:rFonts w:ascii="Times New Roman" w:hAnsi="Times New Roman"/>
                <w:sz w:val="24"/>
              </w:rPr>
            </w:pPr>
            <w:r>
              <w:rPr>
                <w:rFonts w:ascii="Times New Roman" w:hAnsi="Times New Roman"/>
                <w:sz w:val="24"/>
              </w:rPr>
              <w:t>Požadavek na minimální krytí se vypočítá vynásobením souhrnných hodnot expozic v řádku 0070 odpovídajícím faktorem v příslušném sloupci.</w:t>
            </w:r>
          </w:p>
        </w:tc>
      </w:tr>
      <w:tr w:rsidR="007266CF" w:rsidRPr="002A677E" w14:paraId="1060D4F7" w14:textId="77777777" w:rsidTr="007266CF">
        <w:tc>
          <w:tcPr>
            <w:tcW w:w="1188" w:type="dxa"/>
            <w:tcBorders>
              <w:top w:val="single" w:sz="4" w:space="0" w:color="auto"/>
              <w:left w:val="single" w:sz="4" w:space="0" w:color="auto"/>
              <w:bottom w:val="single" w:sz="4" w:space="0" w:color="auto"/>
              <w:right w:val="single" w:sz="4" w:space="0" w:color="auto"/>
            </w:tcBorders>
          </w:tcPr>
          <w:p w14:paraId="24416B66"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7CC1E74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 xml:space="preserve">Část nevýkonných expozic, která je zajištěna nemovitostmi nebo úvěrem na obytné nemovitosti zaručeným způsobilým poskytovatelem zajištění  </w:t>
            </w:r>
          </w:p>
          <w:p w14:paraId="35D30DC6" w14:textId="77777777" w:rsidR="007266CF" w:rsidRPr="002A677E" w:rsidRDefault="007266CF" w:rsidP="007266CF">
            <w:pPr>
              <w:rPr>
                <w:rFonts w:ascii="Times New Roman" w:hAnsi="Times New Roman"/>
                <w:sz w:val="24"/>
              </w:rPr>
            </w:pPr>
            <w:r>
              <w:rPr>
                <w:rFonts w:ascii="Times New Roman" w:hAnsi="Times New Roman"/>
                <w:sz w:val="24"/>
              </w:rPr>
              <w:lastRenderedPageBreak/>
              <w:t>Ustanovení čl. 47c odst. 1 písm. a) bodu ii) a čl. 47c odst. 3 písm. a), b), c), d), f), h) a i) nařízení (EU) č. 575/2013</w:t>
            </w:r>
          </w:p>
          <w:p w14:paraId="7CC44390" w14:textId="77777777" w:rsidR="007266CF" w:rsidRPr="002A677E" w:rsidRDefault="007266CF" w:rsidP="007266CF">
            <w:pPr>
              <w:rPr>
                <w:rFonts w:ascii="Times New Roman" w:hAnsi="Times New Roman"/>
                <w:b/>
                <w:sz w:val="24"/>
                <w:u w:val="single"/>
              </w:rPr>
            </w:pPr>
            <w:r>
              <w:rPr>
                <w:rFonts w:ascii="Times New Roman" w:hAnsi="Times New Roman"/>
                <w:sz w:val="24"/>
              </w:rPr>
              <w:t>Požadavek na minimální krytí se vypočítá vynásobením souhrnných hodnot expozic v řádku 0080 odpovídajícím faktorem v příslušném sloupci.</w:t>
            </w:r>
          </w:p>
        </w:tc>
      </w:tr>
      <w:tr w:rsidR="007266CF" w:rsidRPr="002A677E" w14:paraId="1554C5E4" w14:textId="77777777" w:rsidTr="007266CF">
        <w:tc>
          <w:tcPr>
            <w:tcW w:w="1188" w:type="dxa"/>
            <w:tcBorders>
              <w:top w:val="single" w:sz="4" w:space="0" w:color="auto"/>
              <w:left w:val="single" w:sz="4" w:space="0" w:color="auto"/>
              <w:bottom w:val="single" w:sz="4" w:space="0" w:color="auto"/>
              <w:right w:val="single" w:sz="4" w:space="0" w:color="auto"/>
            </w:tcBorders>
          </w:tcPr>
          <w:p w14:paraId="6DD6BFB3" w14:textId="77777777" w:rsidR="007266CF" w:rsidRPr="002A677E" w:rsidRDefault="007266CF" w:rsidP="007266CF">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62852A2A"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14:paraId="29AF7C14" w14:textId="77777777" w:rsidR="007266CF" w:rsidRPr="002A677E" w:rsidRDefault="007266CF" w:rsidP="007266CF">
            <w:pPr>
              <w:rPr>
                <w:rFonts w:ascii="Times New Roman" w:hAnsi="Times New Roman"/>
                <w:sz w:val="24"/>
              </w:rPr>
            </w:pPr>
            <w:r>
              <w:rPr>
                <w:rFonts w:ascii="Times New Roman" w:hAnsi="Times New Roman"/>
                <w:sz w:val="24"/>
              </w:rPr>
              <w:t>Ustanovení čl. 47c odst. 1 písm. a) bodu ii) a čl. 47c odst. 3 písm. a), b), c), e) a g) nařízení (EU) č. 575/2013</w:t>
            </w:r>
          </w:p>
          <w:p w14:paraId="4C37D78B" w14:textId="77777777" w:rsidR="007266CF" w:rsidRPr="002A677E" w:rsidRDefault="007266CF" w:rsidP="007266CF">
            <w:pPr>
              <w:rPr>
                <w:rFonts w:ascii="Times New Roman" w:hAnsi="Times New Roman"/>
                <w:b/>
                <w:sz w:val="24"/>
                <w:u w:val="single"/>
              </w:rPr>
            </w:pPr>
            <w:r>
              <w:rPr>
                <w:rFonts w:ascii="Times New Roman" w:hAnsi="Times New Roman"/>
                <w:sz w:val="24"/>
              </w:rPr>
              <w:t>Požadavek na minimální krytí se vypočítá vynásobením souhrnných hodnot expozic v řádku 0090 odpovídajícím faktorem v příslušném sloupci.</w:t>
            </w:r>
          </w:p>
        </w:tc>
      </w:tr>
      <w:tr w:rsidR="007266CF" w:rsidRPr="006223CC" w14:paraId="7B0FE5D0" w14:textId="77777777" w:rsidTr="007266CF">
        <w:tc>
          <w:tcPr>
            <w:tcW w:w="1188" w:type="dxa"/>
            <w:tcBorders>
              <w:top w:val="single" w:sz="4" w:space="0" w:color="auto"/>
              <w:left w:val="single" w:sz="4" w:space="0" w:color="auto"/>
              <w:bottom w:val="single" w:sz="4" w:space="0" w:color="auto"/>
              <w:right w:val="single" w:sz="4" w:space="0" w:color="auto"/>
            </w:tcBorders>
          </w:tcPr>
          <w:p w14:paraId="70387FDC"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28E186D"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Část nevýkonných expozic, na kterou poskytla záruku nebo kterou pojistila státní vývozní úvěrová agentura</w:t>
            </w:r>
          </w:p>
          <w:p w14:paraId="604BF107" w14:textId="77777777" w:rsidR="007266CF" w:rsidRPr="006223CC" w:rsidRDefault="007266CF" w:rsidP="007266CF">
            <w:pPr>
              <w:jc w:val="left"/>
              <w:rPr>
                <w:rFonts w:ascii="Times New Roman" w:hAnsi="Times New Roman"/>
                <w:sz w:val="24"/>
                <w:lang w:val="fr-FR"/>
              </w:rPr>
            </w:pPr>
            <w:r w:rsidRPr="006223CC">
              <w:rPr>
                <w:rFonts w:ascii="Times New Roman" w:hAnsi="Times New Roman"/>
                <w:sz w:val="24"/>
                <w:lang w:val="fr-FR"/>
              </w:rPr>
              <w:t>Ustanovení čl. 47c odst. 4 nařízení (EU) č. 575/2013.</w:t>
            </w:r>
          </w:p>
          <w:p w14:paraId="5C6A74CE" w14:textId="77777777" w:rsidR="007266CF" w:rsidRPr="006223CC" w:rsidRDefault="007266CF" w:rsidP="007266CF">
            <w:pPr>
              <w:jc w:val="left"/>
              <w:rPr>
                <w:rFonts w:ascii="Times New Roman" w:hAnsi="Times New Roman"/>
                <w:b/>
                <w:sz w:val="24"/>
                <w:u w:val="single"/>
                <w:lang w:val="fr-FR"/>
              </w:rPr>
            </w:pPr>
            <w:r w:rsidRPr="006223CC">
              <w:rPr>
                <w:rFonts w:ascii="Times New Roman" w:hAnsi="Times New Roman"/>
                <w:sz w:val="24"/>
                <w:lang w:val="fr-FR"/>
              </w:rPr>
              <w:t>Požadavek na minimální krytí se vypočítá vynásobením souhrnných hodnot expozic v řádku 0100 odpovídajícím faktorem v příslušném sloupci.</w:t>
            </w:r>
          </w:p>
        </w:tc>
      </w:tr>
      <w:tr w:rsidR="007266CF" w:rsidRPr="002A677E" w14:paraId="5C6C2FC0" w14:textId="77777777" w:rsidTr="007266CF">
        <w:tc>
          <w:tcPr>
            <w:tcW w:w="1188" w:type="dxa"/>
            <w:tcBorders>
              <w:top w:val="single" w:sz="4" w:space="0" w:color="auto"/>
              <w:left w:val="single" w:sz="4" w:space="0" w:color="auto"/>
              <w:bottom w:val="single" w:sz="4" w:space="0" w:color="auto"/>
              <w:right w:val="single" w:sz="4" w:space="0" w:color="auto"/>
            </w:tcBorders>
          </w:tcPr>
          <w:p w14:paraId="2BF05ABE"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3ED6005E"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Hodnota expozice</w:t>
            </w:r>
          </w:p>
          <w:p w14:paraId="32D8EBB8" w14:textId="77777777" w:rsidR="007266CF" w:rsidRPr="002A677E" w:rsidRDefault="007266CF" w:rsidP="007266CF">
            <w:pPr>
              <w:jc w:val="left"/>
              <w:rPr>
                <w:rFonts w:ascii="Times New Roman" w:hAnsi="Times New Roman"/>
                <w:sz w:val="24"/>
              </w:rPr>
            </w:pPr>
            <w:r>
              <w:rPr>
                <w:rFonts w:ascii="Times New Roman" w:hAnsi="Times New Roman"/>
                <w:sz w:val="24"/>
              </w:rPr>
              <w:t>Ustanovení čl. 47a odst. 2 nařízení (EU) č. 575/2013</w:t>
            </w:r>
          </w:p>
          <w:p w14:paraId="46D7B5F4" w14:textId="77777777" w:rsidR="007266CF" w:rsidRPr="002A677E" w:rsidRDefault="007266CF" w:rsidP="007266CF">
            <w:pPr>
              <w:jc w:val="left"/>
              <w:rPr>
                <w:rFonts w:ascii="Times New Roman" w:hAnsi="Times New Roman"/>
                <w:b/>
                <w:sz w:val="24"/>
                <w:u w:val="single"/>
              </w:rPr>
            </w:pPr>
            <w:r>
              <w:rPr>
                <w:rFonts w:ascii="Times New Roman" w:hAnsi="Times New Roman"/>
                <w:sz w:val="24"/>
              </w:rPr>
              <w:t>Pro výpočet řádku 0060 instituce sečtou hodnoty expozic vykázané pro nezajištěnou část nevýkonných expozic (řádek 0070), část nevýkonných expozic, která je zajištěna nemovitostmi nebo úvěrem na obytné nemovitosti zaručeným způsobilým poskytovatelem zajištění (řádek 0080), část nevýkonných expozic, která je zajištěna jiným majetkovým nebo osobním zajištěním úvěrového rizika (řádek 0090), a část nevýkonných expozic, na kterou poskytla záruku nebo kterou pojistila státní vývozní úvěrová agentura (řádek 0100).</w:t>
            </w:r>
          </w:p>
        </w:tc>
      </w:tr>
      <w:tr w:rsidR="007266CF" w:rsidRPr="002A677E" w14:paraId="44CD6F8B" w14:textId="77777777" w:rsidTr="007266CF">
        <w:trPr>
          <w:trHeight w:val="800"/>
        </w:trPr>
        <w:tc>
          <w:tcPr>
            <w:tcW w:w="1188" w:type="dxa"/>
            <w:tcBorders>
              <w:top w:val="single" w:sz="4" w:space="0" w:color="auto"/>
              <w:left w:val="single" w:sz="4" w:space="0" w:color="auto"/>
              <w:bottom w:val="single" w:sz="4" w:space="0" w:color="auto"/>
              <w:right w:val="single" w:sz="4" w:space="0" w:color="auto"/>
            </w:tcBorders>
          </w:tcPr>
          <w:p w14:paraId="3D70B7FC"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284F1338"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Nezajištěná část nevýkonných expozic</w:t>
            </w:r>
          </w:p>
          <w:p w14:paraId="7CA1088F" w14:textId="77777777" w:rsidR="007266CF" w:rsidRPr="002A677E" w:rsidRDefault="007266CF" w:rsidP="007266CF">
            <w:pPr>
              <w:jc w:val="left"/>
              <w:rPr>
                <w:rFonts w:ascii="Times New Roman" w:hAnsi="Times New Roman"/>
                <w:sz w:val="24"/>
              </w:rPr>
            </w:pPr>
            <w:r>
              <w:rPr>
                <w:rFonts w:ascii="Times New Roman" w:hAnsi="Times New Roman"/>
                <w:sz w:val="24"/>
              </w:rPr>
              <w:t>Ustanovení čl. 47a odst. 2 a čl. 47c odst. 1 a 2 nařízení (EU) č. 575/2013</w:t>
            </w:r>
          </w:p>
          <w:p w14:paraId="48D23F26" w14:textId="77777777" w:rsidR="007266CF" w:rsidRPr="002A677E" w:rsidRDefault="007266CF" w:rsidP="007266CF">
            <w:pPr>
              <w:jc w:val="left"/>
              <w:rPr>
                <w:rFonts w:ascii="Times New Roman" w:hAnsi="Times New Roman"/>
                <w:sz w:val="24"/>
              </w:rPr>
            </w:pPr>
            <w:r>
              <w:rPr>
                <w:rFonts w:ascii="Times New Roman" w:hAnsi="Times New Roman"/>
                <w:sz w:val="24"/>
              </w:rPr>
              <w:t>Instituce vykazují celkovou hodnotu expozice nezajištěné části nevýkonných expozic v členění podle času, který uplynul od okamžiku, kdy expozice byly klasifikovány jako nevýkonné.</w:t>
            </w:r>
          </w:p>
        </w:tc>
      </w:tr>
      <w:tr w:rsidR="007266CF" w:rsidRPr="002A677E" w14:paraId="6ABDB2A2" w14:textId="77777777" w:rsidTr="007266CF">
        <w:tc>
          <w:tcPr>
            <w:tcW w:w="1188" w:type="dxa"/>
            <w:tcBorders>
              <w:top w:val="single" w:sz="4" w:space="0" w:color="auto"/>
              <w:left w:val="single" w:sz="4" w:space="0" w:color="auto"/>
              <w:bottom w:val="single" w:sz="4" w:space="0" w:color="auto"/>
              <w:right w:val="single" w:sz="4" w:space="0" w:color="auto"/>
            </w:tcBorders>
          </w:tcPr>
          <w:p w14:paraId="183D0010" w14:textId="77777777" w:rsidR="007266CF" w:rsidRPr="002A677E" w:rsidRDefault="007266CF" w:rsidP="007266CF">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7738341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14:paraId="42340F42" w14:textId="77777777" w:rsidR="007266CF" w:rsidRPr="002A677E" w:rsidRDefault="007266CF" w:rsidP="007266CF">
            <w:pPr>
              <w:rPr>
                <w:rFonts w:ascii="Times New Roman" w:hAnsi="Times New Roman"/>
                <w:sz w:val="24"/>
              </w:rPr>
            </w:pPr>
            <w:r>
              <w:rPr>
                <w:rFonts w:ascii="Times New Roman" w:hAnsi="Times New Roman"/>
                <w:sz w:val="24"/>
              </w:rPr>
              <w:t>Ustanovení čl. 47a odst. 2, čl. 47c odst. 1 a čl. 47c odst. 3 písm. a), b), c), d), f), h) a i) nařízení (EU) č. 575/2013</w:t>
            </w:r>
          </w:p>
          <w:p w14:paraId="623A1ED5"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celkovou hodnotu expozice částí nevýkonných expozic, které jsou zajištěny nemovitostmi v souladu s částí třetí hlavou II nařízení (EU) č. 575/2013 nebo které jsou úvěry na obytné nemovitosti zaručenými způsobilým poskytovatelem zajištění uvedeným v článku 201 zmíněného nařízení.</w:t>
            </w:r>
          </w:p>
        </w:tc>
      </w:tr>
      <w:tr w:rsidR="007266CF" w:rsidRPr="002A677E" w14:paraId="104C7797" w14:textId="77777777" w:rsidTr="007266CF">
        <w:tc>
          <w:tcPr>
            <w:tcW w:w="1188" w:type="dxa"/>
            <w:tcBorders>
              <w:top w:val="single" w:sz="4" w:space="0" w:color="auto"/>
              <w:left w:val="single" w:sz="4" w:space="0" w:color="auto"/>
              <w:bottom w:val="single" w:sz="4" w:space="0" w:color="auto"/>
              <w:right w:val="single" w:sz="4" w:space="0" w:color="auto"/>
            </w:tcBorders>
          </w:tcPr>
          <w:p w14:paraId="0A7AE837"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82B4705"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14:paraId="1F5057C5" w14:textId="77777777" w:rsidR="007266CF" w:rsidRPr="002A677E" w:rsidRDefault="007266CF" w:rsidP="007266CF">
            <w:pPr>
              <w:jc w:val="left"/>
              <w:rPr>
                <w:rFonts w:ascii="Times New Roman" w:hAnsi="Times New Roman"/>
                <w:sz w:val="24"/>
              </w:rPr>
            </w:pPr>
            <w:r>
              <w:rPr>
                <w:rFonts w:ascii="Times New Roman" w:hAnsi="Times New Roman"/>
                <w:sz w:val="24"/>
              </w:rPr>
              <w:lastRenderedPageBreak/>
              <w:t xml:space="preserve">Ustanovení čl. 47a odst. 2, čl. 47c odst. 1 a čl. 47c odst. 3 písm. a), b), c), e) a g) nařízení (EU) č. 575/2013 </w:t>
            </w:r>
          </w:p>
          <w:p w14:paraId="6843E8F2" w14:textId="77777777" w:rsidR="007266CF" w:rsidRPr="002A677E" w:rsidRDefault="007266CF" w:rsidP="007266CF">
            <w:pPr>
              <w:jc w:val="left"/>
              <w:rPr>
                <w:rFonts w:ascii="Times New Roman" w:hAnsi="Times New Roman"/>
                <w:sz w:val="24"/>
              </w:rPr>
            </w:pPr>
            <w:r>
              <w:rPr>
                <w:rFonts w:ascii="Times New Roman" w:hAnsi="Times New Roman"/>
                <w:sz w:val="24"/>
              </w:rPr>
              <w:t>Instituce vykazují celkovou hodnotu expozice částí nevýkonných expozic, které jsou zajištěny jiným majetkovým nebo osobním zajištěním úvěrového rizika podle části třetí hlavy II nařízení (EU) č. 575/2013.</w:t>
            </w:r>
          </w:p>
        </w:tc>
      </w:tr>
      <w:tr w:rsidR="007266CF" w:rsidRPr="002A677E" w14:paraId="0810186B" w14:textId="77777777" w:rsidTr="007266CF">
        <w:tc>
          <w:tcPr>
            <w:tcW w:w="1188" w:type="dxa"/>
            <w:tcBorders>
              <w:top w:val="single" w:sz="4" w:space="0" w:color="auto"/>
              <w:left w:val="single" w:sz="4" w:space="0" w:color="auto"/>
              <w:bottom w:val="single" w:sz="4" w:space="0" w:color="auto"/>
              <w:right w:val="single" w:sz="4" w:space="0" w:color="auto"/>
            </w:tcBorders>
          </w:tcPr>
          <w:p w14:paraId="60949001" w14:textId="77777777" w:rsidR="007266CF" w:rsidRPr="002A677E" w:rsidRDefault="007266CF" w:rsidP="007266CF">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3E656063"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Část nevýkonných expozic, na kterou poskytla záruku nebo kterou pojistila státní vývozní úvěrová agentura</w:t>
            </w:r>
          </w:p>
          <w:p w14:paraId="522F90A1" w14:textId="77777777" w:rsidR="007266CF" w:rsidRPr="002A677E" w:rsidRDefault="007266CF" w:rsidP="007266CF">
            <w:pPr>
              <w:jc w:val="left"/>
              <w:rPr>
                <w:rFonts w:ascii="Times New Roman" w:hAnsi="Times New Roman"/>
                <w:sz w:val="24"/>
              </w:rPr>
            </w:pPr>
            <w:r>
              <w:rPr>
                <w:rFonts w:ascii="Times New Roman" w:hAnsi="Times New Roman"/>
                <w:sz w:val="24"/>
              </w:rPr>
              <w:t>Ustanovení čl. 47a odst. 2 a čl. 47c odst. 4 nařízení (EU) č. 575/2013</w:t>
            </w:r>
          </w:p>
          <w:p w14:paraId="05CC4217" w14:textId="77777777" w:rsidR="007266CF" w:rsidRPr="002A677E" w:rsidRDefault="007266CF" w:rsidP="007266CF">
            <w:pPr>
              <w:jc w:val="left"/>
              <w:rPr>
                <w:rFonts w:ascii="Times New Roman" w:hAnsi="Times New Roman"/>
                <w:b/>
                <w:sz w:val="24"/>
                <w:u w:val="single"/>
              </w:rPr>
            </w:pPr>
            <w:r>
              <w:rPr>
                <w:rFonts w:ascii="Times New Roman" w:hAnsi="Times New Roman"/>
                <w:sz w:val="24"/>
              </w:rPr>
              <w:t>Instituce vykazují celkovou hodnotu expozice částí nevýkonných expozic, na které poskytla záruku nebo které pojistila státní vývozní úvěrová agentura nebo na které poskytl záruku nebo protizáruku jiný způsobilý poskytovatel zajištění, jak je uvedeno v čl. 47c odst. 4 nařízení (EU) č. 575/2013.</w:t>
            </w:r>
          </w:p>
        </w:tc>
      </w:tr>
    </w:tbl>
    <w:p w14:paraId="6C856CDA" w14:textId="77777777" w:rsidR="007266CF" w:rsidRPr="002A677E" w:rsidRDefault="007266CF" w:rsidP="007266CF">
      <w:pPr>
        <w:spacing w:before="0" w:after="160" w:line="259" w:lineRule="auto"/>
        <w:jc w:val="left"/>
        <w:rPr>
          <w:rFonts w:ascii="Times New Roman" w:hAnsi="Times New Roman"/>
          <w:sz w:val="24"/>
        </w:rPr>
      </w:pPr>
    </w:p>
    <w:p w14:paraId="55ADD8EF" w14:textId="77777777" w:rsidR="007266CF" w:rsidRPr="002A677E" w:rsidRDefault="007266CF" w:rsidP="00A75C39">
      <w:pPr>
        <w:pStyle w:val="Instructionsberschrift2"/>
        <w:numPr>
          <w:ilvl w:val="1"/>
          <w:numId w:val="29"/>
        </w:numPr>
        <w:rPr>
          <w:rFonts w:ascii="Times New Roman" w:hAnsi="Times New Roman" w:cs="Times New Roman"/>
          <w:sz w:val="24"/>
        </w:rPr>
      </w:pPr>
      <w:bookmarkStart w:id="374" w:name="_Toc116026880"/>
      <w:bookmarkStart w:id="375" w:name="_Toc119078037"/>
      <w:r>
        <w:rPr>
          <w:rFonts w:ascii="Times New Roman" w:hAnsi="Times New Roman"/>
          <w:sz w:val="24"/>
        </w:rPr>
        <w:t>C 35.03 – MINIMÁLNÍ POŽADAVKY NA KRYTÍ A HODNOTY EXPOZIC NEVÝKONNÝCH EXPOZIC S ÚLEVOU, NA NĚŽ SE VZTAHUJE ČL. 47C ODST. 6 NAŘÍZENÍ (EU) Č. 575/2013 (NPE LC3)</w:t>
      </w:r>
      <w:bookmarkEnd w:id="374"/>
      <w:bookmarkEnd w:id="375"/>
    </w:p>
    <w:p w14:paraId="09683ED7" w14:textId="77777777" w:rsidR="007266CF" w:rsidRPr="002A677E" w:rsidRDefault="007266CF" w:rsidP="00A75C39">
      <w:pPr>
        <w:pStyle w:val="Instructionsberschrift2"/>
        <w:numPr>
          <w:ilvl w:val="2"/>
          <w:numId w:val="29"/>
        </w:numPr>
        <w:rPr>
          <w:rFonts w:ascii="Times New Roman" w:hAnsi="Times New Roman" w:cs="Times New Roman"/>
          <w:sz w:val="24"/>
        </w:rPr>
      </w:pPr>
      <w:bookmarkStart w:id="376" w:name="_Toc116026881"/>
      <w:bookmarkStart w:id="377" w:name="_Toc119078038"/>
      <w:r>
        <w:rPr>
          <w:rFonts w:ascii="Times New Roman" w:hAnsi="Times New Roman"/>
          <w:sz w:val="24"/>
        </w:rPr>
        <w:t>Pokyny pro konkrétní pozice</w:t>
      </w:r>
      <w:bookmarkEnd w:id="376"/>
      <w:bookmarkEnd w:id="37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427E853C"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F3F74CD" w14:textId="77777777" w:rsidR="007266CF" w:rsidRPr="002A677E" w:rsidRDefault="007266CF" w:rsidP="007266CF">
            <w:pPr>
              <w:rPr>
                <w:rFonts w:ascii="Times New Roman" w:hAnsi="Times New Roman"/>
                <w:sz w:val="24"/>
              </w:rPr>
            </w:pPr>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070CD3D"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69B9C84D" w14:textId="77777777" w:rsidTr="007266CF">
        <w:tc>
          <w:tcPr>
            <w:tcW w:w="1188" w:type="dxa"/>
            <w:tcBorders>
              <w:top w:val="single" w:sz="4" w:space="0" w:color="auto"/>
              <w:left w:val="single" w:sz="4" w:space="0" w:color="auto"/>
              <w:bottom w:val="single" w:sz="4" w:space="0" w:color="auto"/>
              <w:right w:val="single" w:sz="4" w:space="0" w:color="auto"/>
            </w:tcBorders>
            <w:hideMark/>
          </w:tcPr>
          <w:p w14:paraId="0ACA341A" w14:textId="77777777" w:rsidR="007266CF" w:rsidRPr="002A677E" w:rsidRDefault="007266CF" w:rsidP="007266CF">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A3D931A"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14:paraId="7741151F" w14:textId="77777777" w:rsidR="007266CF" w:rsidRPr="002A677E" w:rsidRDefault="007266CF" w:rsidP="007266CF">
            <w:pPr>
              <w:rPr>
                <w:rFonts w:ascii="Times New Roman" w:hAnsi="Times New Roman"/>
                <w:sz w:val="24"/>
              </w:rPr>
            </w:pPr>
            <w:r>
              <w:rPr>
                <w:rFonts w:ascii="Times New Roman" w:hAnsi="Times New Roman"/>
                <w:sz w:val="24"/>
              </w:rPr>
              <w:t>„Časem, který uplynul od okamžiku, kdy expozice byly klasifikovány jako nevýkonné“, se rozumí doba (v letech), která uplynula od okamžiku, kdy expozice byly klasifikovány jako nevýkonné. Instituce vykazují údaje o expozicích, u nichž referenční datum spadá do časového intervalu odpovídajícího době (v letech) uplynulé od okamžiku, kdy expozice byly klasifikovány jako nevýkonné, bez ohledu na uplatnění opatření týkajících se úlevy.</w:t>
            </w:r>
          </w:p>
          <w:p w14:paraId="16D44DCF" w14:textId="77777777" w:rsidR="007266CF" w:rsidRPr="002A677E" w:rsidRDefault="007266CF" w:rsidP="007266CF">
            <w:pPr>
              <w:rPr>
                <w:rFonts w:ascii="Times New Roman" w:hAnsi="Times New Roman"/>
                <w:sz w:val="24"/>
              </w:rPr>
            </w:pPr>
            <w:r>
              <w:rPr>
                <w:rFonts w:ascii="Times New Roman" w:hAnsi="Times New Roman"/>
                <w:sz w:val="24"/>
              </w:rPr>
              <w:t>V časovém intervalu „&gt; X rok(ů), &lt;= Y rok(ů)“ instituce vykazují údaje o expozicích, u nichž referenční datum odpovídá období mezi prvním a posledním dnem roku Y po klasifikaci těchto expozic jako nevýkonných.</w:t>
            </w:r>
          </w:p>
        </w:tc>
      </w:tr>
      <w:tr w:rsidR="007266CF" w:rsidRPr="002A677E" w14:paraId="3D490986" w14:textId="77777777" w:rsidTr="007266CF">
        <w:tc>
          <w:tcPr>
            <w:tcW w:w="1188" w:type="dxa"/>
            <w:tcBorders>
              <w:top w:val="single" w:sz="4" w:space="0" w:color="auto"/>
              <w:left w:val="single" w:sz="4" w:space="0" w:color="auto"/>
              <w:bottom w:val="single" w:sz="4" w:space="0" w:color="auto"/>
              <w:right w:val="single" w:sz="4" w:space="0" w:color="auto"/>
            </w:tcBorders>
          </w:tcPr>
          <w:p w14:paraId="17462477"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78F1B1A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Celkem</w:t>
            </w:r>
          </w:p>
          <w:p w14:paraId="6B3A7936"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součet všech sloupců od 0010 do 0100.</w:t>
            </w:r>
          </w:p>
        </w:tc>
      </w:tr>
    </w:tbl>
    <w:p w14:paraId="35FF2BBA" w14:textId="77777777" w:rsidR="007266CF" w:rsidRPr="002A677E" w:rsidRDefault="007266CF" w:rsidP="007266CF">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7266CF" w:rsidRPr="002A677E" w14:paraId="2007901D" w14:textId="77777777" w:rsidTr="007266C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3D5471" w14:textId="77777777" w:rsidR="007266CF" w:rsidRPr="002A677E" w:rsidRDefault="007266CF" w:rsidP="007266CF">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DD2CAB" w14:textId="77777777" w:rsidR="007266CF" w:rsidRPr="002A677E" w:rsidRDefault="007266CF" w:rsidP="007266CF">
            <w:pPr>
              <w:rPr>
                <w:rFonts w:ascii="Times New Roman" w:hAnsi="Times New Roman"/>
                <w:sz w:val="24"/>
              </w:rPr>
            </w:pPr>
            <w:r>
              <w:rPr>
                <w:rFonts w:ascii="Times New Roman" w:hAnsi="Times New Roman"/>
                <w:sz w:val="24"/>
              </w:rPr>
              <w:t>Pokyny</w:t>
            </w:r>
          </w:p>
        </w:tc>
      </w:tr>
      <w:tr w:rsidR="007266CF" w:rsidRPr="002A677E" w14:paraId="55820818" w14:textId="77777777" w:rsidTr="007266CF">
        <w:tc>
          <w:tcPr>
            <w:tcW w:w="1188" w:type="dxa"/>
            <w:tcBorders>
              <w:top w:val="single" w:sz="4" w:space="0" w:color="auto"/>
              <w:left w:val="single" w:sz="4" w:space="0" w:color="auto"/>
              <w:bottom w:val="single" w:sz="4" w:space="0" w:color="auto"/>
              <w:right w:val="single" w:sz="4" w:space="0" w:color="auto"/>
            </w:tcBorders>
            <w:hideMark/>
          </w:tcPr>
          <w:p w14:paraId="5D3062E7" w14:textId="77777777" w:rsidR="007266CF" w:rsidRPr="002A677E" w:rsidRDefault="007266CF" w:rsidP="007266CF">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4F24DE"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Požadavek na celkové minimální krytí</w:t>
            </w:r>
          </w:p>
          <w:p w14:paraId="0B46102D" w14:textId="77777777" w:rsidR="007266CF" w:rsidRPr="002A677E" w:rsidRDefault="007266CF" w:rsidP="007266CF">
            <w:pPr>
              <w:rPr>
                <w:rFonts w:ascii="Times New Roman" w:hAnsi="Times New Roman"/>
                <w:sz w:val="24"/>
              </w:rPr>
            </w:pPr>
            <w:r>
              <w:rPr>
                <w:rFonts w:ascii="Times New Roman" w:hAnsi="Times New Roman"/>
                <w:sz w:val="24"/>
              </w:rPr>
              <w:t>Ustanovení čl. 47c odst. 1 písm. a) a čl. 47c odst. 6 nařízení (EU) č. 575/2013</w:t>
            </w:r>
          </w:p>
          <w:p w14:paraId="19E73251" w14:textId="77777777" w:rsidR="007266CF" w:rsidRPr="002A677E" w:rsidRDefault="007266CF" w:rsidP="007266CF">
            <w:pPr>
              <w:rPr>
                <w:rFonts w:ascii="Times New Roman" w:hAnsi="Times New Roman"/>
                <w:sz w:val="24"/>
              </w:rPr>
            </w:pPr>
            <w:r>
              <w:rPr>
                <w:rFonts w:ascii="Times New Roman" w:hAnsi="Times New Roman"/>
                <w:sz w:val="24"/>
              </w:rPr>
              <w:t xml:space="preserve">Pro výpočet požadavku na celkové minimální krytí nevýkonných expozic s úlevou, na něž se vztahuje čl. 47c odst. 6 nařízení (EU) č. 575/2013, instituce sečtou požadavky na minimální krytí nezajištěné části nevýkonných expozic s úlevou (řádek 0020), části nevýkonných expozic s úlevou zajištěných nemovitostmi nebo úvěrem na obytné nemovitosti zaručeným způsobilým poskytovatelem zajištění (řádek 0030) a části nevýkonných </w:t>
            </w:r>
            <w:r>
              <w:rPr>
                <w:rFonts w:ascii="Times New Roman" w:hAnsi="Times New Roman"/>
                <w:sz w:val="24"/>
              </w:rPr>
              <w:lastRenderedPageBreak/>
              <w:t>expozic s úlevou, které jsou zajištěny jiným majetkovým nebo osobním zajištěním úvěrového rizika (řádek 0040).</w:t>
            </w:r>
          </w:p>
        </w:tc>
      </w:tr>
      <w:tr w:rsidR="007266CF" w:rsidRPr="002A677E" w14:paraId="5804CFA3" w14:textId="77777777" w:rsidTr="007266CF">
        <w:tc>
          <w:tcPr>
            <w:tcW w:w="1188" w:type="dxa"/>
            <w:tcBorders>
              <w:top w:val="single" w:sz="4" w:space="0" w:color="auto"/>
              <w:left w:val="single" w:sz="4" w:space="0" w:color="auto"/>
              <w:bottom w:val="single" w:sz="4" w:space="0" w:color="auto"/>
              <w:right w:val="single" w:sz="4" w:space="0" w:color="auto"/>
            </w:tcBorders>
          </w:tcPr>
          <w:p w14:paraId="787D632C" w14:textId="77777777" w:rsidR="007266CF" w:rsidRPr="002A677E" w:rsidRDefault="007266CF" w:rsidP="007266CF">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7D5282BF"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Nezajištěná část nevýkonných expozic</w:t>
            </w:r>
          </w:p>
          <w:p w14:paraId="616ECBA7" w14:textId="77777777" w:rsidR="007266CF" w:rsidRPr="006223CC" w:rsidRDefault="007266CF" w:rsidP="007266CF">
            <w:pPr>
              <w:rPr>
                <w:rFonts w:ascii="Times New Roman" w:hAnsi="Times New Roman"/>
                <w:sz w:val="24"/>
                <w:lang w:val="fr-FR"/>
              </w:rPr>
            </w:pPr>
            <w:r>
              <w:rPr>
                <w:rFonts w:ascii="Times New Roman" w:hAnsi="Times New Roman"/>
                <w:sz w:val="24"/>
              </w:rPr>
              <w:t>Ustanovení čl. 47c odst. 1 písm. a) bodu i), čl. 47c odst. </w:t>
            </w:r>
            <w:r w:rsidRPr="006223CC">
              <w:rPr>
                <w:rFonts w:ascii="Times New Roman" w:hAnsi="Times New Roman"/>
                <w:sz w:val="24"/>
                <w:lang w:val="fr-FR"/>
              </w:rPr>
              <w:t>2, čl. 47c odst. 6 nařízení (EU) č. 575/2013</w:t>
            </w:r>
          </w:p>
          <w:p w14:paraId="72879FA7" w14:textId="77777777" w:rsidR="007266CF" w:rsidRPr="002A677E" w:rsidRDefault="007266CF" w:rsidP="007266CF">
            <w:pPr>
              <w:rPr>
                <w:rFonts w:ascii="Times New Roman" w:hAnsi="Times New Roman"/>
                <w:sz w:val="24"/>
              </w:rPr>
            </w:pPr>
            <w:r w:rsidRPr="006223CC">
              <w:rPr>
                <w:rFonts w:ascii="Times New Roman" w:hAnsi="Times New Roman"/>
                <w:sz w:val="24"/>
                <w:lang w:val="fr-FR"/>
              </w:rPr>
              <w:t>Instituce vykazují celkový požadavek na minimální krytí pro nezajištěnou část nevýkonných expozic s úlevou, na které se vztahuje čl. 47c odst. </w:t>
            </w:r>
            <w:r>
              <w:rPr>
                <w:rFonts w:ascii="Times New Roman" w:hAnsi="Times New Roman"/>
                <w:sz w:val="24"/>
              </w:rPr>
              <w:t>6 nařízení (EU) č. 575/2013, tj. souhrn výpočtů na úrovni expozice.</w:t>
            </w:r>
          </w:p>
        </w:tc>
      </w:tr>
      <w:tr w:rsidR="007266CF" w:rsidRPr="002A677E" w14:paraId="795EBC3F" w14:textId="77777777" w:rsidTr="007266CF">
        <w:tc>
          <w:tcPr>
            <w:tcW w:w="1188" w:type="dxa"/>
            <w:tcBorders>
              <w:top w:val="single" w:sz="4" w:space="0" w:color="auto"/>
              <w:left w:val="single" w:sz="4" w:space="0" w:color="auto"/>
              <w:bottom w:val="single" w:sz="4" w:space="0" w:color="auto"/>
              <w:right w:val="single" w:sz="4" w:space="0" w:color="auto"/>
            </w:tcBorders>
          </w:tcPr>
          <w:p w14:paraId="4B9E97BA" w14:textId="77777777" w:rsidR="007266CF" w:rsidRPr="002A677E" w:rsidRDefault="007266CF" w:rsidP="007266CF">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E2F898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14:paraId="20BC8492" w14:textId="77777777" w:rsidR="007266CF" w:rsidRPr="002A677E" w:rsidRDefault="007266CF" w:rsidP="007266CF">
            <w:pPr>
              <w:rPr>
                <w:rFonts w:ascii="Times New Roman" w:hAnsi="Times New Roman"/>
                <w:sz w:val="24"/>
              </w:rPr>
            </w:pPr>
            <w:r>
              <w:rPr>
                <w:rFonts w:ascii="Times New Roman" w:hAnsi="Times New Roman"/>
                <w:sz w:val="24"/>
              </w:rPr>
              <w:t>Ustanovení čl. 47c odst. 1 písm. a) bodu ii), čl. 47c odst. 3 písm. a), b), c), d), f), h) a i) a čl. 47c odst. 6 nařízení (EU) č. 575/2013</w:t>
            </w:r>
          </w:p>
          <w:p w14:paraId="7B369E2A" w14:textId="77777777" w:rsidR="007266CF" w:rsidRPr="002A677E" w:rsidRDefault="007266CF" w:rsidP="007266CF">
            <w:pPr>
              <w:rPr>
                <w:rFonts w:ascii="Times New Roman" w:hAnsi="Times New Roman"/>
                <w:b/>
                <w:sz w:val="24"/>
                <w:u w:val="single"/>
              </w:rPr>
            </w:pPr>
            <w:r>
              <w:rPr>
                <w:rFonts w:ascii="Times New Roman" w:hAnsi="Times New Roman"/>
                <w:sz w:val="24"/>
              </w:rPr>
              <w:t xml:space="preserve">Instituce vykazují celkový požadavek na minimální krytí pro části nevýkonných expozic s úlevou, které jsou zajištěny nemovitostmi podle části třetí hlavy II nařízení (EU) č. 575/2013 nebo které jsou úvěry na obytné nemovitosti zaručenými způsobilým poskytovatelem zajištění uvedeným v článku 201 zmíněného nařízení, na něž se vztahuje čl. 47c odst. 6 uvedeného nařízení, tj. souhrn výpočtů na úrovni expozice. </w:t>
            </w:r>
          </w:p>
        </w:tc>
      </w:tr>
      <w:tr w:rsidR="007266CF" w:rsidRPr="002A677E" w14:paraId="1BFFB159" w14:textId="77777777" w:rsidTr="007266CF">
        <w:tc>
          <w:tcPr>
            <w:tcW w:w="1188" w:type="dxa"/>
            <w:tcBorders>
              <w:top w:val="single" w:sz="4" w:space="0" w:color="auto"/>
              <w:left w:val="single" w:sz="4" w:space="0" w:color="auto"/>
              <w:bottom w:val="single" w:sz="4" w:space="0" w:color="auto"/>
              <w:right w:val="single" w:sz="4" w:space="0" w:color="auto"/>
            </w:tcBorders>
          </w:tcPr>
          <w:p w14:paraId="4268BAFE" w14:textId="77777777" w:rsidR="007266CF" w:rsidRPr="002A677E" w:rsidRDefault="007266CF" w:rsidP="007266CF">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46DA70B9" w14:textId="77777777" w:rsidR="007266CF" w:rsidRPr="002A677E" w:rsidRDefault="007266CF" w:rsidP="007266CF">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14:paraId="452349DD" w14:textId="77777777" w:rsidR="007266CF" w:rsidRPr="002A677E" w:rsidRDefault="007266CF" w:rsidP="007266CF">
            <w:pPr>
              <w:rPr>
                <w:rFonts w:ascii="Times New Roman" w:hAnsi="Times New Roman"/>
                <w:sz w:val="24"/>
              </w:rPr>
            </w:pPr>
            <w:r>
              <w:rPr>
                <w:rFonts w:ascii="Times New Roman" w:hAnsi="Times New Roman"/>
                <w:sz w:val="24"/>
              </w:rPr>
              <w:t>Ustanovení čl. 47c odst. 1 písm. a) bodu ii), čl. 47c odst. 3 písm. a), b), c), e) a g) a čl. 47c odst. 6 nařízení (EU) č. 575/2013</w:t>
            </w:r>
          </w:p>
          <w:p w14:paraId="75D58942" w14:textId="77777777" w:rsidR="007266CF" w:rsidRPr="002A677E" w:rsidRDefault="007266CF" w:rsidP="007266CF">
            <w:pPr>
              <w:rPr>
                <w:rFonts w:ascii="Times New Roman" w:hAnsi="Times New Roman"/>
                <w:sz w:val="24"/>
              </w:rPr>
            </w:pPr>
            <w:r>
              <w:rPr>
                <w:rFonts w:ascii="Times New Roman" w:hAnsi="Times New Roman"/>
                <w:sz w:val="24"/>
              </w:rPr>
              <w:t>Instituce vykazují celkový požadavek na minimální krytí pro části nevýkonných expozic s úlevou, které jsou zajištěny jiným majetkovým nebo osobním zajištěním úvěrového rizika, na které se vztahuje čl. 47c odst. 6 nařízení (EU) č. 575/2013, tj. souhrn výpočtů na úrovni expozice.</w:t>
            </w:r>
          </w:p>
        </w:tc>
      </w:tr>
      <w:tr w:rsidR="007266CF" w:rsidRPr="002A677E" w14:paraId="0817D965" w14:textId="77777777" w:rsidTr="007266CF">
        <w:tc>
          <w:tcPr>
            <w:tcW w:w="1188" w:type="dxa"/>
            <w:tcBorders>
              <w:top w:val="single" w:sz="4" w:space="0" w:color="auto"/>
              <w:left w:val="single" w:sz="4" w:space="0" w:color="auto"/>
              <w:bottom w:val="single" w:sz="4" w:space="0" w:color="auto"/>
              <w:right w:val="single" w:sz="4" w:space="0" w:color="auto"/>
            </w:tcBorders>
          </w:tcPr>
          <w:p w14:paraId="3B436D49" w14:textId="77777777" w:rsidR="007266CF" w:rsidRPr="002A677E" w:rsidRDefault="007266CF" w:rsidP="007266CF">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4C46E13"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Hodnota expozice</w:t>
            </w:r>
          </w:p>
          <w:p w14:paraId="1EBF9F9A" w14:textId="77777777" w:rsidR="007266CF" w:rsidRPr="002A677E" w:rsidRDefault="007266CF" w:rsidP="007266CF">
            <w:pPr>
              <w:rPr>
                <w:rFonts w:ascii="Times New Roman" w:hAnsi="Times New Roman"/>
                <w:sz w:val="24"/>
              </w:rPr>
            </w:pPr>
            <w:r>
              <w:rPr>
                <w:rFonts w:ascii="Times New Roman" w:hAnsi="Times New Roman"/>
                <w:sz w:val="24"/>
              </w:rPr>
              <w:t>Ustanovení čl. 47a odst. 2 a čl. 47c odst. 6 nařízení (EU) č. 575/2013</w:t>
            </w:r>
          </w:p>
          <w:p w14:paraId="385AA279" w14:textId="77777777" w:rsidR="007266CF" w:rsidRPr="002A677E" w:rsidRDefault="007266CF" w:rsidP="007266CF">
            <w:pPr>
              <w:rPr>
                <w:rFonts w:ascii="Times New Roman" w:hAnsi="Times New Roman"/>
                <w:b/>
                <w:sz w:val="24"/>
                <w:u w:val="single"/>
              </w:rPr>
            </w:pPr>
            <w:r>
              <w:rPr>
                <w:rFonts w:ascii="Times New Roman" w:hAnsi="Times New Roman"/>
                <w:sz w:val="24"/>
              </w:rPr>
              <w:t xml:space="preserve">Pro výpočet hodnoty expozice instituce sečtou hodnoty expozic vykázané pro nezajištěnou část nevýkonných expozic (řádek 0060), část nevýkonných expozic, která je zajištěna nemovitostmi nebo úvěrem na obytné nemovitosti zaručeným způsobilým poskytovatelem zajištění (řádek 0070) a v příslušných případech část nevýkonných expozic, která je zajištěna jiným majetkovým nebo osobním zajištěním úvěrového rizika (řádek 0120). </w:t>
            </w:r>
          </w:p>
        </w:tc>
      </w:tr>
      <w:tr w:rsidR="007266CF" w:rsidRPr="002A677E" w14:paraId="0C433E61" w14:textId="77777777" w:rsidTr="007266CF">
        <w:tc>
          <w:tcPr>
            <w:tcW w:w="1188" w:type="dxa"/>
            <w:tcBorders>
              <w:top w:val="single" w:sz="4" w:space="0" w:color="auto"/>
              <w:left w:val="single" w:sz="4" w:space="0" w:color="auto"/>
              <w:bottom w:val="single" w:sz="4" w:space="0" w:color="auto"/>
              <w:right w:val="single" w:sz="4" w:space="0" w:color="auto"/>
            </w:tcBorders>
          </w:tcPr>
          <w:p w14:paraId="15FBBE94" w14:textId="77777777" w:rsidR="007266CF" w:rsidRPr="002A677E" w:rsidRDefault="007266CF" w:rsidP="007266CF">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5CAE0C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Nezajištěná část nevýkonných expozic</w:t>
            </w:r>
          </w:p>
          <w:p w14:paraId="031ED252" w14:textId="77777777" w:rsidR="007266CF" w:rsidRPr="002A677E" w:rsidRDefault="007266CF" w:rsidP="007266CF">
            <w:pPr>
              <w:jc w:val="left"/>
              <w:rPr>
                <w:rFonts w:ascii="Times New Roman" w:hAnsi="Times New Roman"/>
                <w:sz w:val="24"/>
              </w:rPr>
            </w:pPr>
            <w:r>
              <w:rPr>
                <w:rFonts w:ascii="Times New Roman" w:hAnsi="Times New Roman"/>
                <w:sz w:val="24"/>
              </w:rPr>
              <w:t>Ustanovení čl. 47a odst. 2, čl. 47c odst. 1, 2 a 6 nařízení (EU) č. 575/2013</w:t>
            </w:r>
          </w:p>
          <w:p w14:paraId="50774FF5"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celkovou hodnotu expozice nezajištěné části nevýkonných expozic s úlevou, na které se vztahuje čl. 47c odst. 6 nařízení (EU) č. 575/2013, pokud bylo první opatření týkající se úlevy poskytnuto mezi prvním a posledním dnem druhého roku po klasifikaci expozice jako nevýkonné (&gt; 1 rok; &lt;= 2 roky).</w:t>
            </w:r>
          </w:p>
        </w:tc>
      </w:tr>
      <w:tr w:rsidR="007266CF" w:rsidRPr="002A677E" w14:paraId="5FFD9628" w14:textId="77777777" w:rsidTr="007266CF">
        <w:tc>
          <w:tcPr>
            <w:tcW w:w="1188" w:type="dxa"/>
            <w:tcBorders>
              <w:top w:val="single" w:sz="4" w:space="0" w:color="auto"/>
              <w:left w:val="single" w:sz="4" w:space="0" w:color="auto"/>
              <w:bottom w:val="single" w:sz="4" w:space="0" w:color="auto"/>
              <w:right w:val="single" w:sz="4" w:space="0" w:color="auto"/>
            </w:tcBorders>
          </w:tcPr>
          <w:p w14:paraId="0ABCC797" w14:textId="77777777" w:rsidR="007266CF" w:rsidRPr="002A677E" w:rsidRDefault="007266CF" w:rsidP="007266CF">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7418FC0"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14:paraId="79346C73" w14:textId="77777777" w:rsidR="007266CF" w:rsidRPr="002A677E" w:rsidRDefault="007266CF" w:rsidP="007266CF">
            <w:pPr>
              <w:rPr>
                <w:rFonts w:ascii="Times New Roman" w:hAnsi="Times New Roman"/>
                <w:sz w:val="24"/>
              </w:rPr>
            </w:pPr>
            <w:r>
              <w:rPr>
                <w:rFonts w:ascii="Times New Roman" w:hAnsi="Times New Roman"/>
                <w:sz w:val="24"/>
              </w:rPr>
              <w:lastRenderedPageBreak/>
              <w:t>Ustanovení čl. 47a odst. 2, čl. 47c odst. 1, čl. 47c odst. 3 písm. a), b), c), d), f), h) a i) a čl. 47c odst. 6 nařízení (EU) č. 575/2013</w:t>
            </w:r>
          </w:p>
          <w:p w14:paraId="6B315E5A"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celkovou hodnotu expozice částí nevýkonných expozic s úlevou, na které se vztahuje čl. 47c odst. 6 nařízení (EU) č. 575/2013, které jsou zajištěny nemovitostmi v souladu s částí třetí hlavou II uvedeného nařízení nebo které jsou úvěry na obytné nemovitosti zaručenými způsobilým poskytovatelem zajištění uvedeným v článku 201 uvedeného nařízení.</w:t>
            </w:r>
          </w:p>
        </w:tc>
      </w:tr>
      <w:tr w:rsidR="007266CF" w:rsidRPr="002A677E" w14:paraId="072E21F3" w14:textId="77777777" w:rsidTr="007266CF">
        <w:tc>
          <w:tcPr>
            <w:tcW w:w="1188" w:type="dxa"/>
            <w:tcBorders>
              <w:top w:val="single" w:sz="4" w:space="0" w:color="auto"/>
              <w:left w:val="single" w:sz="4" w:space="0" w:color="auto"/>
              <w:bottom w:val="single" w:sz="4" w:space="0" w:color="auto"/>
              <w:right w:val="single" w:sz="4" w:space="0" w:color="auto"/>
            </w:tcBorders>
          </w:tcPr>
          <w:p w14:paraId="1E76794A" w14:textId="77777777" w:rsidR="007266CF" w:rsidRPr="002A677E" w:rsidRDefault="007266CF" w:rsidP="007266CF">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4217CFE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&gt; 2 a &lt;= 3 roky po klasifikaci expozice jako nevýkonné</w:t>
            </w:r>
          </w:p>
          <w:p w14:paraId="26904184"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nemovitostmi nebo úvěry na obytné nemovitosti zaručenými způsobilým poskytovatelem zajištění, pokud bylo první opatření týkající se úlevy poskytnuto mezi prvním a posledním dnem třetího roku po klasifikaci expozice jako nevýkonné.</w:t>
            </w:r>
          </w:p>
        </w:tc>
      </w:tr>
      <w:tr w:rsidR="007266CF" w:rsidRPr="002A677E" w14:paraId="67555A5D" w14:textId="77777777" w:rsidTr="007266CF">
        <w:tc>
          <w:tcPr>
            <w:tcW w:w="1188" w:type="dxa"/>
            <w:tcBorders>
              <w:top w:val="single" w:sz="4" w:space="0" w:color="auto"/>
              <w:left w:val="single" w:sz="4" w:space="0" w:color="auto"/>
              <w:bottom w:val="single" w:sz="4" w:space="0" w:color="auto"/>
              <w:right w:val="single" w:sz="4" w:space="0" w:color="auto"/>
            </w:tcBorders>
          </w:tcPr>
          <w:p w14:paraId="0FD91536" w14:textId="77777777" w:rsidR="007266CF" w:rsidRPr="002A677E" w:rsidRDefault="007266CF" w:rsidP="007266CF">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160F795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&gt; 3 a &lt;= 4 roky po klasifikaci expozice jako nevýkonné</w:t>
            </w:r>
          </w:p>
          <w:p w14:paraId="6AAF6F7F"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nemovitostmi nebo úvěry na obytné nemovitosti zaručenými způsobilým poskytovatelem zajištění, pokud bylo první opatření týkající se úlevy poskytnuto mezi prvním a posledním dnem čtvrtého roku po klasifikaci expozice jako nevýkonné.</w:t>
            </w:r>
          </w:p>
        </w:tc>
      </w:tr>
      <w:tr w:rsidR="007266CF" w:rsidRPr="002A677E" w14:paraId="3CF8F1EE" w14:textId="77777777" w:rsidTr="007266CF">
        <w:tc>
          <w:tcPr>
            <w:tcW w:w="1188" w:type="dxa"/>
            <w:tcBorders>
              <w:top w:val="single" w:sz="4" w:space="0" w:color="auto"/>
              <w:left w:val="single" w:sz="4" w:space="0" w:color="auto"/>
              <w:bottom w:val="single" w:sz="4" w:space="0" w:color="auto"/>
              <w:right w:val="single" w:sz="4" w:space="0" w:color="auto"/>
            </w:tcBorders>
          </w:tcPr>
          <w:p w14:paraId="50788BF5" w14:textId="77777777" w:rsidR="007266CF" w:rsidRPr="002A677E" w:rsidRDefault="007266CF" w:rsidP="007266CF">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B9E1E9B"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&gt; 4 roky a &lt;= 5 let po klasifikaci expozice jako nevýkonné</w:t>
            </w:r>
          </w:p>
          <w:p w14:paraId="3C08E9AA"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nemovitostmi nebo úvěry na obytné nemovitosti zaručenými způsobilým poskytovatelem zajištění, pokud bylo první opatření týkající se úlevy poskytnuto mezi prvním a posledním dnem pátého roku po klasifikaci expozice jako nevýkonné.</w:t>
            </w:r>
          </w:p>
        </w:tc>
      </w:tr>
      <w:tr w:rsidR="007266CF" w:rsidRPr="002A677E" w14:paraId="7D51F2C4" w14:textId="77777777" w:rsidTr="007266CF">
        <w:tc>
          <w:tcPr>
            <w:tcW w:w="1188" w:type="dxa"/>
            <w:tcBorders>
              <w:top w:val="single" w:sz="4" w:space="0" w:color="auto"/>
              <w:left w:val="single" w:sz="4" w:space="0" w:color="auto"/>
              <w:bottom w:val="single" w:sz="4" w:space="0" w:color="auto"/>
              <w:right w:val="single" w:sz="4" w:space="0" w:color="auto"/>
            </w:tcBorders>
          </w:tcPr>
          <w:p w14:paraId="356602C4" w14:textId="77777777" w:rsidR="007266CF" w:rsidRPr="002A677E" w:rsidRDefault="007266CF" w:rsidP="007266CF">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584E1BC"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&gt; 5 a &lt;= 6 let po klasifikaci expozice jako nevýkonné</w:t>
            </w:r>
          </w:p>
          <w:p w14:paraId="75D4BC8A"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nemovitostmi nebo úvěry na obytné nemovitosti zaručenými způsobilým poskytovatelem zajištění, pokud bylo první opatření týkající se úlevy poskytnuto mezi prvním a posledním dnem šestého roku po klasifikaci expozice jako nevýkonné.</w:t>
            </w:r>
          </w:p>
        </w:tc>
      </w:tr>
      <w:tr w:rsidR="007266CF" w:rsidRPr="002A677E" w14:paraId="12C17804" w14:textId="77777777" w:rsidTr="007266CF">
        <w:tc>
          <w:tcPr>
            <w:tcW w:w="1188" w:type="dxa"/>
            <w:tcBorders>
              <w:top w:val="single" w:sz="4" w:space="0" w:color="auto"/>
              <w:left w:val="single" w:sz="4" w:space="0" w:color="auto"/>
              <w:bottom w:val="single" w:sz="4" w:space="0" w:color="auto"/>
              <w:right w:val="single" w:sz="4" w:space="0" w:color="auto"/>
            </w:tcBorders>
          </w:tcPr>
          <w:p w14:paraId="4BDB3420" w14:textId="77777777" w:rsidR="007266CF" w:rsidRPr="002A677E" w:rsidRDefault="007266CF" w:rsidP="007266CF">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36B9142" w14:textId="77777777" w:rsidR="007266CF" w:rsidRPr="002A677E" w:rsidRDefault="007266CF" w:rsidP="007266CF">
            <w:pPr>
              <w:rPr>
                <w:rFonts w:ascii="Times New Roman" w:hAnsi="Times New Roman"/>
                <w:b/>
                <w:sz w:val="24"/>
              </w:rPr>
            </w:pPr>
            <w:r>
              <w:rPr>
                <w:rFonts w:ascii="Times New Roman" w:hAnsi="Times New Roman"/>
                <w:b/>
                <w:sz w:val="24"/>
              </w:rPr>
              <w:t>Část nevýkonných expozic, která je zajištěna jiným majetkovým nebo osobním zajištěním úvěrového rizika</w:t>
            </w:r>
          </w:p>
          <w:p w14:paraId="40B05E74" w14:textId="77777777" w:rsidR="007266CF" w:rsidRPr="002A677E" w:rsidRDefault="007266CF" w:rsidP="007266CF">
            <w:pPr>
              <w:jc w:val="left"/>
              <w:rPr>
                <w:rFonts w:ascii="Times New Roman" w:hAnsi="Times New Roman"/>
                <w:sz w:val="24"/>
              </w:rPr>
            </w:pPr>
            <w:r>
              <w:rPr>
                <w:rFonts w:ascii="Times New Roman" w:hAnsi="Times New Roman"/>
                <w:sz w:val="24"/>
              </w:rPr>
              <w:t>Ustanovení čl. 47c odst. 1, čl. 47c odst. 3 písm. a), b), c), e) a g) a čl. 47c odst. 6 nařízení (EU) č. 575/2013</w:t>
            </w:r>
          </w:p>
          <w:p w14:paraId="49245AF0"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celkovou hodnotu expozice částí nevýkonných expozic s úlevou, na které se vztahuje čl. 47c odst. 6 nařízení (EU) č. 575/2013 a které jsou zajištěny jiným majetkovým nebo osobním zajištěním úvěrového rizika podle části třetí hlavy II nařízení (EU) č. 575/2013.</w:t>
            </w:r>
          </w:p>
        </w:tc>
      </w:tr>
      <w:tr w:rsidR="007266CF" w:rsidRPr="002A677E" w14:paraId="0A0C6D2D" w14:textId="77777777" w:rsidTr="007266CF">
        <w:tc>
          <w:tcPr>
            <w:tcW w:w="1188" w:type="dxa"/>
            <w:tcBorders>
              <w:top w:val="single" w:sz="4" w:space="0" w:color="auto"/>
              <w:left w:val="single" w:sz="4" w:space="0" w:color="auto"/>
              <w:bottom w:val="single" w:sz="4" w:space="0" w:color="auto"/>
              <w:right w:val="single" w:sz="4" w:space="0" w:color="auto"/>
            </w:tcBorders>
          </w:tcPr>
          <w:p w14:paraId="2325E83A" w14:textId="77777777" w:rsidR="007266CF" w:rsidRPr="002A677E" w:rsidRDefault="007266CF" w:rsidP="007266CF">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004ACA72"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&gt; 2 a &lt;= 3 roky po klasifikaci expozice jako nevýkonné</w:t>
            </w:r>
          </w:p>
          <w:p w14:paraId="504534EE" w14:textId="77777777" w:rsidR="007266CF" w:rsidRPr="002A677E" w:rsidRDefault="007266CF" w:rsidP="007266CF">
            <w:pPr>
              <w:rPr>
                <w:rFonts w:ascii="Times New Roman" w:hAnsi="Times New Roman"/>
                <w:b/>
                <w:sz w:val="24"/>
              </w:rPr>
            </w:pPr>
            <w:r>
              <w:rPr>
                <w:rFonts w:ascii="Times New Roman" w:hAnsi="Times New Roman"/>
                <w:sz w:val="24"/>
              </w:rPr>
              <w:lastRenderedPageBreak/>
              <w:t>Instituce vykazují hodnotu expozice nevýkonných expozic s úlevou, na které se vztahuje čl. 47c odst. 6 nařízení (EU) č. 575/2013 a které jsou zajištěny jiným majetkovým nebo osobním zajištěním úvěrového rizika, pokud bylo první opatření týkající se úlevy poskytnuto mezi prvním a posledním dnem třetího roku po klasifikaci expozice jako nevýkonné.</w:t>
            </w:r>
          </w:p>
        </w:tc>
      </w:tr>
      <w:tr w:rsidR="007266CF" w:rsidRPr="002A677E" w14:paraId="629F467A" w14:textId="77777777" w:rsidTr="007266CF">
        <w:tc>
          <w:tcPr>
            <w:tcW w:w="1188" w:type="dxa"/>
            <w:tcBorders>
              <w:top w:val="single" w:sz="4" w:space="0" w:color="auto"/>
              <w:left w:val="single" w:sz="4" w:space="0" w:color="auto"/>
              <w:bottom w:val="single" w:sz="4" w:space="0" w:color="auto"/>
              <w:right w:val="single" w:sz="4" w:space="0" w:color="auto"/>
            </w:tcBorders>
          </w:tcPr>
          <w:p w14:paraId="19C509A1" w14:textId="77777777" w:rsidR="007266CF" w:rsidRPr="002A677E" w:rsidRDefault="007266CF" w:rsidP="007266CF">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370F1465"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&gt; 3 a &lt;= 4 roky po klasifikaci expozice jako nevýkonné</w:t>
            </w:r>
          </w:p>
          <w:p w14:paraId="588E354A"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jiným majetkovým nebo osobním zajištěním úvěrového rizika, pokud bylo první opatření týkající se úlevy poskytnuto mezi prvním a posledním dnem čtvrtého roku po klasifikaci expozice jako nevýkonné.</w:t>
            </w:r>
          </w:p>
        </w:tc>
      </w:tr>
      <w:tr w:rsidR="007266CF" w:rsidRPr="002A677E" w14:paraId="48F65EF2" w14:textId="77777777" w:rsidTr="007266CF">
        <w:tc>
          <w:tcPr>
            <w:tcW w:w="1188" w:type="dxa"/>
            <w:tcBorders>
              <w:top w:val="single" w:sz="4" w:space="0" w:color="auto"/>
              <w:left w:val="single" w:sz="4" w:space="0" w:color="auto"/>
              <w:bottom w:val="single" w:sz="4" w:space="0" w:color="auto"/>
              <w:right w:val="single" w:sz="4" w:space="0" w:color="auto"/>
            </w:tcBorders>
          </w:tcPr>
          <w:p w14:paraId="135F940F" w14:textId="77777777" w:rsidR="007266CF" w:rsidRPr="002A677E" w:rsidRDefault="007266CF" w:rsidP="007266CF">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BFBFD7"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&gt; 4 roky a &lt;= 5 let po klasifikaci expozice jako nevýkonné</w:t>
            </w:r>
          </w:p>
          <w:p w14:paraId="5B2F8461"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jiným majetkovým nebo osobním zajištěním úvěrového rizika, pokud bylo první opatření týkající se úlevy poskytnuto mezi prvním a posledním dnem pátého roku po klasifikaci expozice jako nevýkonné.</w:t>
            </w:r>
          </w:p>
        </w:tc>
      </w:tr>
      <w:tr w:rsidR="007266CF" w:rsidRPr="002A677E" w14:paraId="52F2C7C5" w14:textId="77777777" w:rsidTr="007266CF">
        <w:tc>
          <w:tcPr>
            <w:tcW w:w="1188" w:type="dxa"/>
            <w:tcBorders>
              <w:top w:val="single" w:sz="4" w:space="0" w:color="auto"/>
              <w:left w:val="single" w:sz="4" w:space="0" w:color="auto"/>
              <w:bottom w:val="single" w:sz="4" w:space="0" w:color="auto"/>
              <w:right w:val="single" w:sz="4" w:space="0" w:color="auto"/>
            </w:tcBorders>
          </w:tcPr>
          <w:p w14:paraId="2EA53E5C" w14:textId="77777777" w:rsidR="007266CF" w:rsidRPr="002A677E" w:rsidRDefault="007266CF" w:rsidP="007266CF">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4561E19" w14:textId="77777777" w:rsidR="007266CF" w:rsidRPr="002A677E" w:rsidRDefault="007266CF" w:rsidP="007266CF">
            <w:pPr>
              <w:rPr>
                <w:rFonts w:ascii="Times New Roman" w:hAnsi="Times New Roman"/>
                <w:b/>
                <w:sz w:val="24"/>
                <w:u w:val="single"/>
              </w:rPr>
            </w:pPr>
            <w:r>
              <w:rPr>
                <w:rFonts w:ascii="Times New Roman" w:hAnsi="Times New Roman"/>
                <w:b/>
                <w:sz w:val="24"/>
                <w:u w:val="single"/>
              </w:rPr>
              <w:t>&gt; 5 a &lt;= 6 let po klasifikaci expozice jako nevýkonné</w:t>
            </w:r>
          </w:p>
          <w:p w14:paraId="46CD7448" w14:textId="77777777" w:rsidR="007266CF" w:rsidRPr="002A677E" w:rsidRDefault="007266CF" w:rsidP="007266CF">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jiným majetkovým nebo osobním zajištěním úvěrového rizika, pokud bylo první opatření týkající se úlevy poskytnuto mezi prvním a posledním dnem šestého roku po klasifikaci expozice jako nevýkonné.“</w:t>
            </w:r>
          </w:p>
        </w:tc>
      </w:tr>
    </w:tbl>
    <w:p w14:paraId="46E6B3B2" w14:textId="77777777" w:rsidR="007266CF" w:rsidRPr="002A677E" w:rsidRDefault="007266CF" w:rsidP="007266CF">
      <w:pPr>
        <w:spacing w:after="0"/>
        <w:rPr>
          <w:rStyle w:val="InstructionsTabelleText"/>
          <w:rFonts w:ascii="Times New Roman" w:hAnsi="Times New Roman"/>
          <w:sz w:val="24"/>
        </w:rPr>
      </w:pPr>
    </w:p>
    <w:p w14:paraId="165A7319" w14:textId="77777777" w:rsidR="007266CF" w:rsidRPr="007266CF" w:rsidRDefault="007266CF" w:rsidP="007266CF">
      <w:pPr>
        <w:rPr>
          <w:lang w:eastAsia="x-none"/>
        </w:rPr>
      </w:pPr>
    </w:p>
    <w:p w14:paraId="661FC092" w14:textId="77777777" w:rsidR="00304CA5" w:rsidRPr="002A677E" w:rsidRDefault="00304CA5" w:rsidP="00487A02">
      <w:pPr>
        <w:pStyle w:val="InstructionsText2"/>
        <w:numPr>
          <w:ilvl w:val="0"/>
          <w:numId w:val="0"/>
        </w:numPr>
        <w:ind w:left="1353" w:hanging="360"/>
      </w:pPr>
    </w:p>
    <w:p w14:paraId="59BBB927" w14:textId="60AE41B4" w:rsidR="00DD00B4" w:rsidRPr="00A75C39" w:rsidRDefault="00DD00B4" w:rsidP="006223CC">
      <w:pPr>
        <w:pStyle w:val="Instructionsberschrift2"/>
        <w:numPr>
          <w:ilvl w:val="0"/>
          <w:numId w:val="0"/>
        </w:numPr>
        <w:ind w:left="357" w:hanging="357"/>
        <w:rPr>
          <w:rStyle w:val="InstructionsTabelleText"/>
          <w:rFonts w:ascii="Times New Roman" w:hAnsi="Times New Roman"/>
          <w:sz w:val="24"/>
          <w:lang w:val="fr-FR"/>
        </w:rPr>
      </w:pPr>
      <w:bookmarkStart w:id="378" w:name="_Toc264033192"/>
      <w:bookmarkEnd w:id="378"/>
      <w:bookmarkEnd w:id="0"/>
      <w:bookmarkEnd w:id="1"/>
    </w:p>
    <w:sectPr w:rsidR="00DD00B4" w:rsidRPr="00A75C39"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7266CF" w:rsidRDefault="007266CF" w:rsidP="00D946DB">
      <w:pPr>
        <w:spacing w:before="0" w:after="0"/>
      </w:pPr>
      <w:r>
        <w:separator/>
      </w:r>
    </w:p>
  </w:endnote>
  <w:endnote w:type="continuationSeparator" w:id="0">
    <w:p w14:paraId="7F0097E6" w14:textId="77777777" w:rsidR="007266CF" w:rsidRDefault="007266CF" w:rsidP="00D946DB">
      <w:pPr>
        <w:spacing w:before="0" w:after="0"/>
      </w:pPr>
      <w:r>
        <w:continuationSeparator/>
      </w:r>
    </w:p>
  </w:endnote>
  <w:endnote w:type="continuationNotice" w:id="1">
    <w:p w14:paraId="582EA0C6" w14:textId="77777777" w:rsidR="007266CF" w:rsidRDefault="007266C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01BF9D92" w:rsidR="007266CF" w:rsidRPr="00ED1956" w:rsidRDefault="007266CF">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A75C39">
      <w:rPr>
        <w:rFonts w:ascii="Times New Roman" w:hAnsi="Times New Roman"/>
        <w:noProof/>
        <w:sz w:val="22"/>
        <w:szCs w:val="22"/>
      </w:rPr>
      <w:t>3</w:t>
    </w:r>
    <w:r w:rsidRPr="00ED1956">
      <w:rPr>
        <w:rFonts w:ascii="Times New Roman" w:hAnsi="Times New Roman"/>
        <w:sz w:val="22"/>
        <w:szCs w:val="22"/>
      </w:rPr>
      <w:fldChar w:fldCharType="end"/>
    </w:r>
  </w:p>
  <w:p w14:paraId="4D97BBA9" w14:textId="77777777" w:rsidR="007266CF" w:rsidRDefault="007266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0DDD62B8" w:rsidR="007266CF" w:rsidRPr="00E85358" w:rsidRDefault="007266CF">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A75C39">
      <w:rPr>
        <w:noProof/>
        <w:sz w:val="22"/>
        <w:szCs w:val="22"/>
      </w:rPr>
      <w:t>1</w:t>
    </w:r>
    <w:r w:rsidRPr="00E85358">
      <w:rPr>
        <w:noProof/>
        <w:sz w:val="22"/>
        <w:szCs w:val="22"/>
      </w:rPr>
      <w:fldChar w:fldCharType="end"/>
    </w:r>
  </w:p>
  <w:p w14:paraId="0503D57B" w14:textId="77777777" w:rsidR="007266CF" w:rsidRDefault="007266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7266CF" w:rsidRDefault="007266CF">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7266CF" w:rsidRDefault="007266CF">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388AEFA7" w:rsidR="007266CF" w:rsidRPr="00ED1956" w:rsidRDefault="007266CF">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A75C39">
      <w:rPr>
        <w:rFonts w:ascii="Times New Roman" w:hAnsi="Times New Roman"/>
        <w:noProof/>
        <w:sz w:val="20"/>
        <w:szCs w:val="20"/>
      </w:rPr>
      <w:t>10</w:t>
    </w:r>
    <w:r w:rsidRPr="00ED1956">
      <w:rPr>
        <w:rFonts w:ascii="Times New Roman" w:hAnsi="Times New Roman"/>
        <w:sz w:val="20"/>
        <w:szCs w:val="20"/>
      </w:rPr>
      <w:fldChar w:fldCharType="end"/>
    </w:r>
  </w:p>
  <w:p w14:paraId="416ED6B6" w14:textId="77777777" w:rsidR="007266CF" w:rsidRPr="00A772B4" w:rsidRDefault="007266CF"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7266CF" w:rsidRDefault="007266CF" w:rsidP="00D946DB">
      <w:pPr>
        <w:spacing w:before="0" w:after="0"/>
      </w:pPr>
      <w:r>
        <w:separator/>
      </w:r>
    </w:p>
  </w:footnote>
  <w:footnote w:type="continuationSeparator" w:id="0">
    <w:p w14:paraId="3252B889" w14:textId="77777777" w:rsidR="007266CF" w:rsidRDefault="007266CF" w:rsidP="00D946DB">
      <w:pPr>
        <w:spacing w:before="0" w:after="0"/>
      </w:pPr>
      <w:r>
        <w:continuationSeparator/>
      </w:r>
    </w:p>
  </w:footnote>
  <w:footnote w:type="continuationNotice" w:id="1">
    <w:p w14:paraId="467512DB" w14:textId="77777777" w:rsidR="007266CF" w:rsidRDefault="007266CF">
      <w:pPr>
        <w:spacing w:before="0" w:after="0"/>
      </w:pPr>
    </w:p>
  </w:footnote>
  <w:footnote w:id="2">
    <w:p w14:paraId="4995C396" w14:textId="77777777" w:rsidR="007266CF" w:rsidRPr="005B592F" w:rsidRDefault="007266CF" w:rsidP="007266CF">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Nařízení Komise v přenesené pravomoci (EU) č. 241/2014 ze dne 7. ledna 2014, kterým se doplňuje nařízení Evropského parlamentu a Rady (EU) č. 575/2013, pokud jde o regulační technické normy pro kapitálové požadavky na instituce (Úř. věst. L 74, 14.3.2014, s. 8)</w:t>
      </w:r>
      <w:r>
        <w:rPr>
          <w:rStyle w:val="Emphasis"/>
          <w:color w:val="444444"/>
          <w:sz w:val="20"/>
        </w:rPr>
        <w:t>.</w:t>
      </w:r>
    </w:p>
  </w:footnote>
  <w:footnote w:id="3">
    <w:p w14:paraId="117D2ABC" w14:textId="77777777" w:rsidR="007266CF" w:rsidRPr="005B592F" w:rsidRDefault="007266CF" w:rsidP="007266CF">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Sedmá směrnice Rady 83/349/EHS ze dne 13. června 1983, založená na čl. 54 odst. 3 písm. g) Smlouvy o konsolidovaných účetních závěrkách (Úř. věst. L 193, 18.7.1983, s. 1).</w:t>
      </w:r>
    </w:p>
  </w:footnote>
  <w:footnote w:id="4">
    <w:p w14:paraId="09DD2E97" w14:textId="77777777" w:rsidR="007266CF" w:rsidRPr="005B592F" w:rsidRDefault="007266CF" w:rsidP="007266CF">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Směrnice Evropského parlamentu a Rady 2009/65/ES ze dne 13. července 2009 o koordinaci právních a správních předpisů týkajících se subjektů kolektivního investování do převoditelných cenných papírů (SKIPCP) (Úř. věst. L 302, 17.11.2009, s. 32).</w:t>
      </w:r>
    </w:p>
  </w:footnote>
  <w:footnote w:id="5">
    <w:p w14:paraId="0551047E" w14:textId="77777777" w:rsidR="007266CF" w:rsidRPr="0002267E" w:rsidRDefault="007266CF" w:rsidP="007266CF">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Nařízení Komise v přenesené pravomoci (EU) č. 1152/2014 ze dne 4. června 2014, kterým se doplňuje směrnice Evropského parlamentu a Rady 2013/36/EU, pokud jde o regulační technické normy pro určování zeměpisné oblasti rozhodných úvěrových expozic pro výpočet individuální sazby proticyklické kapitálové rezervy (Úř. věst. L 309, 30.10.2014, s. 5).</w:t>
      </w:r>
    </w:p>
  </w:footnote>
  <w:footnote w:id="6">
    <w:p w14:paraId="1025FAA4" w14:textId="77777777" w:rsidR="007266CF" w:rsidRPr="0002267E" w:rsidRDefault="007266CF" w:rsidP="007266CF">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Nařízení Evropského parlamentu a Rady (EU) 2017/2402 ze dne 12. prosince 2017, kterým se stanoví obecný rámec pro sekuritizaci a vytváří se zvláštní rámec pro jednoduchou, transparentní a standardizovanou sekuritizaci a kterým se mění směrnice 2009/65/ES, 2009/138/ES, 2011/61/EU a nařízení (ES) č. 1060/2009 a (EU) č. 648/2012 (Úř. věst. L 347, 28.12.2017, s. 35).</w:t>
      </w:r>
    </w:p>
  </w:footnote>
  <w:footnote w:id="7">
    <w:p w14:paraId="1C0D2725" w14:textId="77777777" w:rsidR="007266CF" w:rsidRPr="002409C1" w:rsidRDefault="007266CF" w:rsidP="007266CF">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„Samostatné instituce“ nejsou součástí skupiny, ani neuplatňují konsolidaci ve stejné zemi, kde podléhají kapitálovým požadavkům.</w:t>
      </w:r>
    </w:p>
  </w:footnote>
  <w:footnote w:id="8">
    <w:p w14:paraId="3FA36772" w14:textId="77777777" w:rsidR="007266CF" w:rsidRPr="00B828CC" w:rsidRDefault="007266CF" w:rsidP="007266CF">
      <w:pPr>
        <w:pStyle w:val="FootnoteText"/>
      </w:pPr>
      <w:r>
        <w:rPr>
          <w:rStyle w:val="FootnoteReference"/>
        </w:rPr>
        <w:footnoteRef/>
      </w:r>
      <w:r>
        <w:t xml:space="preserve"> </w:t>
      </w:r>
      <w:r>
        <w:rPr>
          <w:rFonts w:ascii="Times New Roman" w:hAnsi="Times New Roman"/>
          <w:sz w:val="20"/>
        </w:rPr>
        <w:t>Nařízení Komise v přenesené pravomoci (EU) č. 525/2014 ze dne 12. března 2014, kterým se doplňuje nařízení Evropského parlamentu a Rady (EU) č. 575/2013, pokud jde o regulační technické normy definující termín „trh“ (Úř. věst. L 148, 20.5.2014, s. 15).</w:t>
      </w:r>
    </w:p>
  </w:footnote>
  <w:footnote w:id="9">
    <w:p w14:paraId="7AC4524F" w14:textId="77777777" w:rsidR="007266CF" w:rsidRPr="00A11C6E" w:rsidRDefault="007266CF" w:rsidP="007266CF">
      <w:pPr>
        <w:pStyle w:val="FootnoteText"/>
      </w:pPr>
      <w:r>
        <w:rPr>
          <w:rStyle w:val="FootnoteReference"/>
        </w:rPr>
        <w:footnoteRef/>
      </w:r>
      <w:r>
        <w:t xml:space="preserve"> Prováděcí nařízení Komise (EU) č. 945/2014 ze dne 4. září 2014, kterým se stanoví prováděcí technické normy, pokud jde o relevantní vhodně diverzifikované indexy podle nařízení Evropského parlamentu a Rady (EU) č. 575/2013.</w:t>
      </w:r>
    </w:p>
  </w:footnote>
  <w:footnote w:id="10">
    <w:p w14:paraId="58968EFE" w14:textId="77777777" w:rsidR="007266CF" w:rsidRPr="00B828CC" w:rsidRDefault="007266CF" w:rsidP="007266CF">
      <w:pPr>
        <w:pStyle w:val="FootnoteText"/>
      </w:pPr>
      <w:r>
        <w:rPr>
          <w:rStyle w:val="FootnoteReference"/>
        </w:rPr>
        <w:footnoteRef/>
      </w:r>
      <w:r>
        <w:t xml:space="preserve"> Nařízení Komise v přenesené pravomoci (EU) 2016/101 ze dne 26. října 2015, kterým se doplňuje nařízení Evropského parlamentu a Rady (EU) č. 575/2013, pokud jde o regulační technické normy ohledně obezřetného oceňování podle čl. 105 odst. 14 (Úř. věst. L 21, 28.1.2016, s. 54).</w:t>
      </w:r>
    </w:p>
  </w:footnote>
  <w:footnote w:id="11">
    <w:p w14:paraId="22F88E80" w14:textId="77777777" w:rsidR="007266CF" w:rsidRPr="009B688D" w:rsidRDefault="007266CF" w:rsidP="007266C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Nařízení Evropského parlamentu a Rady (ES) č. 1606/2002 ze dne 19. července 2002 o uplatňování mezinárodních účetních standardů (</w:t>
      </w:r>
      <w:r>
        <w:rPr>
          <w:rStyle w:val="Emphasis"/>
          <w:i w:val="0"/>
          <w:sz w:val="20"/>
        </w:rPr>
        <w:t>Úř. věst. L 243, 11.9.2002, s. 1).</w:t>
      </w:r>
    </w:p>
    <w:p w14:paraId="347F9161" w14:textId="77777777" w:rsidR="007266CF" w:rsidRPr="0016282F" w:rsidRDefault="007266CF" w:rsidP="007266CF">
      <w:pPr>
        <w:pStyle w:val="FootnoteText"/>
        <w:ind w:left="567" w:hanging="567"/>
      </w:pPr>
    </w:p>
  </w:footnote>
  <w:footnote w:id="12">
    <w:p w14:paraId="1CF8F7A7" w14:textId="77777777" w:rsidR="007266CF" w:rsidRPr="00535792" w:rsidRDefault="007266CF" w:rsidP="007266CF">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Směrnice Evropského parlamentu a Rady 2013/34/EU o ročních účetních závěrkách, konsolidovaných účetních závěrkách a souvisejících zprávách některých forem podniků, o změně směrnice Evropského parlamentu a Rady 2006/43/ES a o zrušení směrnic Rady 78/660/EHS a 83/349/EHS (Úř. věst.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7266CF" w:rsidRDefault="007266CF">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7266CF" w:rsidRPr="003B6094" w:rsidRDefault="007266CF">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7266CF" w:rsidRPr="003B6094" w:rsidRDefault="007266CF">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7266CF" w:rsidRDefault="007266CF">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7266CF" w:rsidRPr="003B6094" w:rsidRDefault="007266CF">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7266CF" w:rsidRPr="003B6094" w:rsidRDefault="007266CF">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7266CF" w:rsidRDefault="007266CF">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7266CF" w:rsidRPr="003B6094" w:rsidRDefault="007266CF">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7266CF" w:rsidRPr="003B6094" w:rsidRDefault="007266CF">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7266CF" w:rsidRDefault="007266CF">
    <w:pPr>
      <w:rPr>
        <w:rFonts w:ascii="Arial" w:hAnsi="Arial" w:cs="Arial"/>
      </w:rPr>
    </w:pPr>
    <w:r>
      <w:rPr>
        <w:rFonts w:ascii="Arial" w:hAnsi="Arial" w:cs="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7266CF" w:rsidRPr="003B6094" w:rsidRDefault="007266CF">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7266CF" w:rsidRPr="003B6094" w:rsidRDefault="007266CF">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D05507"/>
    <w:multiLevelType w:val="multilevel"/>
    <w:tmpl w:val="9EB4E4E2"/>
    <w:lvl w:ilvl="0">
      <w:start w:val="3"/>
      <w:numFmt w:val="decimal"/>
      <w:lvlText w:val="%1."/>
      <w:lvlJc w:val="left"/>
      <w:pPr>
        <w:ind w:left="540" w:hanging="540"/>
      </w:pPr>
      <w:rPr>
        <w:rFonts w:hint="default"/>
      </w:rPr>
    </w:lvl>
    <w:lvl w:ilvl="1">
      <w:start w:val="3"/>
      <w:numFmt w:val="none"/>
      <w:lvlText w:val="5.6."/>
      <w:lvlJc w:val="left"/>
      <w:pPr>
        <w:ind w:left="540" w:hanging="540"/>
      </w:pPr>
      <w:rPr>
        <w:rFonts w:hint="default"/>
      </w:rPr>
    </w:lvl>
    <w:lvl w:ilvl="2">
      <w:start w:val="1"/>
      <w:numFmt w:val="none"/>
      <w:lvlText w:val="5.6.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96705C"/>
    <w:multiLevelType w:val="multilevel"/>
    <w:tmpl w:val="6E64615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3."/>
      <w:lvlJc w:val="left"/>
      <w:pPr>
        <w:ind w:left="720" w:hanging="720"/>
      </w:pPr>
      <w:rPr>
        <w:rFonts w:hint="default"/>
      </w:rPr>
    </w:lvl>
    <w:lvl w:ilvl="3">
      <w:start w:val="1"/>
      <w:numFmt w:val="decimal"/>
      <w:lvlText w:val="%1.4.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820302"/>
    <w:multiLevelType w:val="multilevel"/>
    <w:tmpl w:val="F69A1106"/>
    <w:lvl w:ilvl="0">
      <w:start w:val="3"/>
      <w:numFmt w:val="decimal"/>
      <w:lvlText w:val="%1."/>
      <w:lvlJc w:val="left"/>
      <w:pPr>
        <w:ind w:left="540" w:hanging="540"/>
      </w:pPr>
      <w:rPr>
        <w:rFonts w:hint="default"/>
      </w:rPr>
    </w:lvl>
    <w:lvl w:ilvl="1">
      <w:start w:val="3"/>
      <w:numFmt w:val="none"/>
      <w:lvlText w:val="6.2."/>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2.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9B04AFE"/>
    <w:multiLevelType w:val="multilevel"/>
    <w:tmpl w:val="BB60F87C"/>
    <w:lvl w:ilvl="0">
      <w:start w:val="3"/>
      <w:numFmt w:val="decimal"/>
      <w:lvlText w:val="%1."/>
      <w:lvlJc w:val="left"/>
      <w:pPr>
        <w:ind w:left="540" w:hanging="540"/>
      </w:pPr>
      <w:rPr>
        <w:rFonts w:hint="default"/>
      </w:rPr>
    </w:lvl>
    <w:lvl w:ilvl="1">
      <w:start w:val="3"/>
      <w:numFmt w:val="decimal"/>
      <w:lvlText w:val="%2.7."/>
      <w:lvlJc w:val="left"/>
      <w:pPr>
        <w:ind w:left="540" w:hanging="540"/>
      </w:pPr>
      <w:rPr>
        <w:rFonts w:hint="default"/>
      </w:rPr>
    </w:lvl>
    <w:lvl w:ilvl="2">
      <w:start w:val="1"/>
      <w:numFmt w:val="decimal"/>
      <w:lvlText w:val="%1.7.1."/>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DF0EE5"/>
    <w:multiLevelType w:val="multilevel"/>
    <w:tmpl w:val="242625F6"/>
    <w:lvl w:ilvl="0">
      <w:start w:val="3"/>
      <w:numFmt w:val="decimal"/>
      <w:lvlText w:val="%1."/>
      <w:lvlJc w:val="left"/>
      <w:pPr>
        <w:ind w:left="540" w:hanging="540"/>
      </w:pPr>
      <w:rPr>
        <w:rFonts w:hint="default"/>
      </w:rPr>
    </w:lvl>
    <w:lvl w:ilvl="1">
      <w:start w:val="3"/>
      <w:numFmt w:val="none"/>
      <w:lvlText w:val="5.3."/>
      <w:lvlJc w:val="left"/>
      <w:pPr>
        <w:ind w:left="540" w:hanging="540"/>
      </w:pPr>
      <w:rPr>
        <w:rFonts w:hint="default"/>
      </w:rPr>
    </w:lvl>
    <w:lvl w:ilvl="2">
      <w:start w:val="1"/>
      <w:numFmt w:val="none"/>
      <w:lvlText w:val="5.3.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596B83"/>
    <w:multiLevelType w:val="multilevel"/>
    <w:tmpl w:val="30BC15CC"/>
    <w:lvl w:ilvl="0">
      <w:start w:val="3"/>
      <w:numFmt w:val="decimal"/>
      <w:lvlText w:val="%1."/>
      <w:lvlJc w:val="left"/>
      <w:pPr>
        <w:ind w:left="540" w:hanging="540"/>
      </w:pPr>
      <w:rPr>
        <w:rFonts w:hint="default"/>
      </w:rPr>
    </w:lvl>
    <w:lvl w:ilvl="1">
      <w:start w:val="3"/>
      <w:numFmt w:val="none"/>
      <w:lvlText w:val="5.1."/>
      <w:lvlJc w:val="left"/>
      <w:pPr>
        <w:ind w:left="540" w:hanging="540"/>
      </w:pPr>
      <w:rPr>
        <w:rFonts w:hint="default"/>
      </w:rPr>
    </w:lvl>
    <w:lvl w:ilvl="2">
      <w:start w:val="1"/>
      <w:numFmt w:val="none"/>
      <w:lvlText w:val="4.2.3."/>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CD62C0F"/>
    <w:multiLevelType w:val="multilevel"/>
    <w:tmpl w:val="AC7EE338"/>
    <w:lvl w:ilvl="0">
      <w:start w:val="3"/>
      <w:numFmt w:val="decimal"/>
      <w:lvlText w:val="%1."/>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1.2."/>
      <w:lvlJc w:val="left"/>
      <w:pPr>
        <w:ind w:left="720" w:hanging="720"/>
      </w:pPr>
      <w:rPr>
        <w:rFonts w:hint="default"/>
      </w:rPr>
    </w:lvl>
    <w:lvl w:ilvl="3">
      <w:start w:val="1"/>
      <w:numFmt w:val="decimal"/>
      <w:lvlText w:val="%1.2.4.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2F6065"/>
    <w:multiLevelType w:val="multilevel"/>
    <w:tmpl w:val="2938A796"/>
    <w:lvl w:ilvl="0">
      <w:start w:val="3"/>
      <w:numFmt w:val="decimal"/>
      <w:lvlText w:val="%1."/>
      <w:lvlJc w:val="left"/>
      <w:pPr>
        <w:ind w:left="540" w:hanging="540"/>
      </w:pPr>
      <w:rPr>
        <w:rFonts w:hint="default"/>
      </w:rPr>
    </w:lvl>
    <w:lvl w:ilvl="1">
      <w:start w:val="3"/>
      <w:numFmt w:val="decimal"/>
      <w:lvlText w:val="%2.8."/>
      <w:lvlJc w:val="left"/>
      <w:pPr>
        <w:ind w:left="540" w:hanging="540"/>
      </w:pPr>
      <w:rPr>
        <w:rFonts w:hint="default"/>
      </w:rPr>
    </w:lvl>
    <w:lvl w:ilvl="2">
      <w:start w:val="1"/>
      <w:numFmt w:val="decimal"/>
      <w:lvlText w:val="%1.8.1."/>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EC43A85"/>
    <w:multiLevelType w:val="multilevel"/>
    <w:tmpl w:val="4768D9B0"/>
    <w:lvl w:ilvl="0">
      <w:start w:val="3"/>
      <w:numFmt w:val="decimal"/>
      <w:lvlText w:val="%1."/>
      <w:lvlJc w:val="left"/>
      <w:pPr>
        <w:ind w:left="540" w:hanging="540"/>
      </w:pPr>
      <w:rPr>
        <w:rFonts w:hint="default"/>
      </w:rPr>
    </w:lvl>
    <w:lvl w:ilvl="1">
      <w:start w:val="3"/>
      <w:numFmt w:val="none"/>
      <w:lvlText w:val="5.2."/>
      <w:lvlJc w:val="left"/>
      <w:pPr>
        <w:ind w:left="540" w:hanging="540"/>
      </w:pPr>
      <w:rPr>
        <w:rFonts w:hint="default"/>
      </w:rPr>
    </w:lvl>
    <w:lvl w:ilvl="2">
      <w:start w:val="1"/>
      <w:numFmt w:val="none"/>
      <w:lvlText w:val="5.2.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835378"/>
    <w:multiLevelType w:val="multilevel"/>
    <w:tmpl w:val="41ACAD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1692E97"/>
    <w:multiLevelType w:val="multilevel"/>
    <w:tmpl w:val="0702119E"/>
    <w:lvl w:ilvl="0">
      <w:start w:val="3"/>
      <w:numFmt w:val="decimal"/>
      <w:lvlText w:val="%1."/>
      <w:lvlJc w:val="left"/>
      <w:pPr>
        <w:ind w:left="540" w:hanging="540"/>
      </w:pPr>
      <w:rPr>
        <w:rFonts w:hint="default"/>
      </w:rPr>
    </w:lvl>
    <w:lvl w:ilvl="1">
      <w:start w:val="3"/>
      <w:numFmt w:val="none"/>
      <w:lvlText w:val="6.2."/>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4.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073F72"/>
    <w:multiLevelType w:val="multilevel"/>
    <w:tmpl w:val="2CE2626C"/>
    <w:lvl w:ilvl="0">
      <w:start w:val="3"/>
      <w:numFmt w:val="none"/>
      <w:lvlText w:val="7."/>
      <w:lvlJc w:val="left"/>
      <w:pPr>
        <w:ind w:left="540" w:hanging="540"/>
      </w:pPr>
      <w:rPr>
        <w:rFonts w:hint="default"/>
      </w:rPr>
    </w:lvl>
    <w:lvl w:ilvl="1">
      <w:start w:val="3"/>
      <w:numFmt w:val="none"/>
      <w:lvlText w:val="6.2."/>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4.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6F56BA0"/>
    <w:multiLevelType w:val="multilevel"/>
    <w:tmpl w:val="A16071A2"/>
    <w:lvl w:ilvl="0">
      <w:start w:val="3"/>
      <w:numFmt w:val="decimal"/>
      <w:lvlText w:val="%1."/>
      <w:lvlJc w:val="left"/>
      <w:pPr>
        <w:ind w:left="540" w:hanging="540"/>
      </w:pPr>
      <w:rPr>
        <w:rFonts w:hint="default"/>
      </w:rPr>
    </w:lvl>
    <w:lvl w:ilvl="1">
      <w:start w:val="3"/>
      <w:numFmt w:val="none"/>
      <w:lvlText w:val="8.1."/>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39666B"/>
    <w:multiLevelType w:val="multilevel"/>
    <w:tmpl w:val="08645FA0"/>
    <w:lvl w:ilvl="0">
      <w:start w:val="3"/>
      <w:numFmt w:val="decimal"/>
      <w:lvlText w:val="%1."/>
      <w:lvlJc w:val="left"/>
      <w:pPr>
        <w:ind w:left="540" w:hanging="540"/>
      </w:pPr>
      <w:rPr>
        <w:rFonts w:hint="default"/>
      </w:rPr>
    </w:lvl>
    <w:lvl w:ilvl="1">
      <w:start w:val="3"/>
      <w:numFmt w:val="none"/>
      <w:lvlText w:val="6.2."/>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965781E"/>
    <w:multiLevelType w:val="multilevel"/>
    <w:tmpl w:val="A5C89A4A"/>
    <w:lvl w:ilvl="0">
      <w:start w:val="3"/>
      <w:numFmt w:val="decimal"/>
      <w:lvlText w:val="%1."/>
      <w:lvlJc w:val="left"/>
      <w:pPr>
        <w:ind w:left="540" w:hanging="540"/>
      </w:pPr>
      <w:rPr>
        <w:rFonts w:hint="default"/>
      </w:rPr>
    </w:lvl>
    <w:lvl w:ilvl="1">
      <w:start w:val="3"/>
      <w:numFmt w:val="decimal"/>
      <w:lvlText w:val="%1.5."/>
      <w:lvlJc w:val="left"/>
      <w:pPr>
        <w:ind w:left="540" w:hanging="540"/>
      </w:pPr>
      <w:rPr>
        <w:rFonts w:hint="default"/>
      </w:rPr>
    </w:lvl>
    <w:lvl w:ilvl="2">
      <w:start w:val="1"/>
      <w:numFmt w:val="decimal"/>
      <w:lvlText w:val="%1.4.3."/>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1D3C4459"/>
    <w:multiLevelType w:val="multilevel"/>
    <w:tmpl w:val="116A7E62"/>
    <w:lvl w:ilvl="0">
      <w:start w:val="3"/>
      <w:numFmt w:val="decimal"/>
      <w:lvlText w:val="%1."/>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2.2."/>
      <w:lvlJc w:val="left"/>
      <w:pPr>
        <w:ind w:left="720" w:hanging="720"/>
      </w:pPr>
      <w:rPr>
        <w:rFonts w:hint="default"/>
      </w:rPr>
    </w:lvl>
    <w:lvl w:ilvl="3">
      <w:start w:val="1"/>
      <w:numFmt w:val="none"/>
      <w:lvlText w:val="4.2.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D805CEE"/>
    <w:multiLevelType w:val="multilevel"/>
    <w:tmpl w:val="0B46DD32"/>
    <w:lvl w:ilvl="0">
      <w:start w:val="1"/>
      <w:numFmt w:val="decimal"/>
      <w:lvlText w:val="%1.6.1."/>
      <w:lvlJc w:val="left"/>
      <w:pPr>
        <w:ind w:left="720" w:hanging="360"/>
      </w:pPr>
      <w:rPr>
        <w:rFonts w:hint="default"/>
      </w:rPr>
    </w:lvl>
    <w:lvl w:ilvl="1">
      <w:start w:val="6"/>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1DCE224F"/>
    <w:multiLevelType w:val="multilevel"/>
    <w:tmpl w:val="DEDE6D72"/>
    <w:lvl w:ilvl="0">
      <w:start w:val="3"/>
      <w:numFmt w:val="decimal"/>
      <w:lvlText w:val="%1."/>
      <w:lvlJc w:val="left"/>
      <w:pPr>
        <w:ind w:left="540" w:hanging="540"/>
      </w:pPr>
      <w:rPr>
        <w:rFonts w:hint="default"/>
      </w:rPr>
    </w:lvl>
    <w:lvl w:ilvl="1">
      <w:start w:val="3"/>
      <w:numFmt w:val="none"/>
      <w:lvlText w:val="5.8."/>
      <w:lvlJc w:val="left"/>
      <w:pPr>
        <w:ind w:left="540" w:hanging="540"/>
      </w:pPr>
      <w:rPr>
        <w:rFonts w:hint="default"/>
      </w:rPr>
    </w:lvl>
    <w:lvl w:ilvl="2">
      <w:start w:val="1"/>
      <w:numFmt w:val="none"/>
      <w:lvlText w:val="5.7.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E666221"/>
    <w:multiLevelType w:val="multilevel"/>
    <w:tmpl w:val="D98A108C"/>
    <w:lvl w:ilvl="0">
      <w:start w:val="3"/>
      <w:numFmt w:val="decimal"/>
      <w:lvlText w:val="%1."/>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2.3."/>
      <w:lvlJc w:val="left"/>
      <w:pPr>
        <w:ind w:left="720" w:hanging="720"/>
      </w:pPr>
      <w:rPr>
        <w:rFonts w:hint="default"/>
      </w:rPr>
    </w:lvl>
    <w:lvl w:ilvl="3">
      <w:start w:val="1"/>
      <w:numFmt w:val="none"/>
      <w:lvlText w:val="4.2.3.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F997830"/>
    <w:multiLevelType w:val="multilevel"/>
    <w:tmpl w:val="1180C340"/>
    <w:lvl w:ilvl="0">
      <w:start w:val="3"/>
      <w:numFmt w:val="decimal"/>
      <w:lvlText w:val="%1."/>
      <w:lvlJc w:val="left"/>
      <w:pPr>
        <w:ind w:left="540" w:hanging="540"/>
      </w:pPr>
      <w:rPr>
        <w:rFonts w:hint="default"/>
      </w:rPr>
    </w:lvl>
    <w:lvl w:ilvl="1">
      <w:start w:val="3"/>
      <w:numFmt w:val="none"/>
      <w:lvlText w:val="5.7."/>
      <w:lvlJc w:val="left"/>
      <w:pPr>
        <w:ind w:left="540" w:hanging="540"/>
      </w:pPr>
      <w:rPr>
        <w:rFonts w:hint="default"/>
      </w:rPr>
    </w:lvl>
    <w:lvl w:ilvl="2">
      <w:start w:val="1"/>
      <w:numFmt w:val="none"/>
      <w:lvlText w:val="5.7.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08C4701"/>
    <w:multiLevelType w:val="multilevel"/>
    <w:tmpl w:val="4E1ABC5A"/>
    <w:lvl w:ilvl="0">
      <w:start w:val="1"/>
      <w:numFmt w:val="none"/>
      <w:lvlText w:val="3."/>
      <w:lvlJc w:val="left"/>
      <w:pPr>
        <w:ind w:left="360" w:hanging="360"/>
      </w:pPr>
      <w:rPr>
        <w:rFonts w:hint="default"/>
      </w:rPr>
    </w:lvl>
    <w:lvl w:ilvl="1">
      <w:start w:val="1"/>
      <w:numFmt w:val="none"/>
      <w:lvlText w:val="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C84534"/>
    <w:multiLevelType w:val="multilevel"/>
    <w:tmpl w:val="3BD24CA6"/>
    <w:lvl w:ilvl="0">
      <w:start w:val="3"/>
      <w:numFmt w:val="decimal"/>
      <w:lvlText w:val="%1."/>
      <w:lvlJc w:val="left"/>
      <w:pPr>
        <w:ind w:left="540" w:hanging="540"/>
      </w:pPr>
      <w:rPr>
        <w:rFonts w:hint="default"/>
      </w:rPr>
    </w:lvl>
    <w:lvl w:ilvl="1">
      <w:start w:val="3"/>
      <w:numFmt w:val="none"/>
      <w:lvlText w:val="5.4."/>
      <w:lvlJc w:val="left"/>
      <w:pPr>
        <w:ind w:left="540" w:hanging="540"/>
      </w:pPr>
      <w:rPr>
        <w:rFonts w:hint="default"/>
      </w:rPr>
    </w:lvl>
    <w:lvl w:ilvl="2">
      <w:start w:val="1"/>
      <w:numFmt w:val="none"/>
      <w:lvlText w:val="5.4.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2E1C6B"/>
    <w:multiLevelType w:val="multilevel"/>
    <w:tmpl w:val="2D9291D2"/>
    <w:lvl w:ilvl="0">
      <w:start w:val="3"/>
      <w:numFmt w:val="decimal"/>
      <w:lvlText w:val="%1."/>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2.2."/>
      <w:lvlJc w:val="left"/>
      <w:pPr>
        <w:ind w:left="720" w:hanging="720"/>
      </w:pPr>
      <w:rPr>
        <w:rFonts w:hint="default"/>
      </w:rPr>
    </w:lvl>
    <w:lvl w:ilvl="3">
      <w:start w:val="1"/>
      <w:numFmt w:val="decimal"/>
      <w:lvlText w:val="%1.2.4.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2747222"/>
    <w:multiLevelType w:val="multilevel"/>
    <w:tmpl w:val="C4FEE5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4."/>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3.2%3.4.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338468D"/>
    <w:multiLevelType w:val="multilevel"/>
    <w:tmpl w:val="58F052D4"/>
    <w:lvl w:ilvl="0">
      <w:start w:val="3"/>
      <w:numFmt w:val="decimal"/>
      <w:lvlText w:val="%1."/>
      <w:lvlJc w:val="left"/>
      <w:pPr>
        <w:ind w:left="540" w:hanging="540"/>
      </w:pPr>
      <w:rPr>
        <w:rFonts w:hint="default"/>
      </w:rPr>
    </w:lvl>
    <w:lvl w:ilvl="1">
      <w:start w:val="3"/>
      <w:numFmt w:val="decimal"/>
      <w:lvlText w:val="%2.8."/>
      <w:lvlJc w:val="left"/>
      <w:pPr>
        <w:ind w:left="540" w:hanging="540"/>
      </w:pPr>
      <w:rPr>
        <w:rFonts w:hint="default"/>
      </w:rPr>
    </w:lvl>
    <w:lvl w:ilvl="2">
      <w:start w:val="1"/>
      <w:numFmt w:val="decimal"/>
      <w:lvlText w:val="%1.8.4."/>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3A94540"/>
    <w:multiLevelType w:val="multilevel"/>
    <w:tmpl w:val="B0264B3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cs="Arial" w:hint="default"/>
        <w:u w:val="none"/>
      </w:rPr>
    </w:lvl>
    <w:lvl w:ilvl="2">
      <w:start w:val="1"/>
      <w:numFmt w:val="decimal"/>
      <w:isLgl/>
      <w:lvlText w:val="3.%2.3."/>
      <w:lvlJc w:val="left"/>
      <w:pPr>
        <w:ind w:left="1080" w:hanging="720"/>
      </w:pPr>
      <w:rPr>
        <w:rFonts w:cs="Arial" w:hint="default"/>
        <w:u w:val="none"/>
      </w:rPr>
    </w:lvl>
    <w:lvl w:ilvl="3">
      <w:start w:val="1"/>
      <w:numFmt w:val="decimal"/>
      <w:isLgl/>
      <w:lvlText w:val="%1.%2.%3.%4"/>
      <w:lvlJc w:val="left"/>
      <w:pPr>
        <w:ind w:left="1080" w:hanging="720"/>
      </w:pPr>
      <w:rPr>
        <w:rFonts w:cs="Arial" w:hint="default"/>
        <w:u w:val="none"/>
      </w:rPr>
    </w:lvl>
    <w:lvl w:ilvl="4">
      <w:start w:val="1"/>
      <w:numFmt w:val="decimal"/>
      <w:isLgl/>
      <w:lvlText w:val="%1.%2.%3.%4.%5"/>
      <w:lvlJc w:val="left"/>
      <w:pPr>
        <w:ind w:left="1440" w:hanging="1080"/>
      </w:pPr>
      <w:rPr>
        <w:rFonts w:cs="Arial" w:hint="default"/>
        <w:u w:val="none"/>
      </w:rPr>
    </w:lvl>
    <w:lvl w:ilvl="5">
      <w:start w:val="1"/>
      <w:numFmt w:val="decimal"/>
      <w:isLgl/>
      <w:lvlText w:val="%1.%2.%3.%4.%5.%6"/>
      <w:lvlJc w:val="left"/>
      <w:pPr>
        <w:ind w:left="1440" w:hanging="1080"/>
      </w:pPr>
      <w:rPr>
        <w:rFonts w:cs="Arial" w:hint="default"/>
        <w:u w:val="none"/>
      </w:rPr>
    </w:lvl>
    <w:lvl w:ilvl="6">
      <w:start w:val="1"/>
      <w:numFmt w:val="decimal"/>
      <w:isLgl/>
      <w:lvlText w:val="%1.%2.%3.%4.%5.%6.%7"/>
      <w:lvlJc w:val="left"/>
      <w:pPr>
        <w:ind w:left="1800" w:hanging="1440"/>
      </w:pPr>
      <w:rPr>
        <w:rFonts w:cs="Arial" w:hint="default"/>
        <w:u w:val="none"/>
      </w:rPr>
    </w:lvl>
    <w:lvl w:ilvl="7">
      <w:start w:val="1"/>
      <w:numFmt w:val="decimal"/>
      <w:isLgl/>
      <w:lvlText w:val="%1.%2.%3.%4.%5.%6.%7.%8"/>
      <w:lvlJc w:val="left"/>
      <w:pPr>
        <w:ind w:left="1800" w:hanging="1440"/>
      </w:pPr>
      <w:rPr>
        <w:rFonts w:cs="Arial" w:hint="default"/>
        <w:u w:val="none"/>
      </w:rPr>
    </w:lvl>
    <w:lvl w:ilvl="8">
      <w:start w:val="1"/>
      <w:numFmt w:val="decimal"/>
      <w:isLgl/>
      <w:lvlText w:val="%1.%2.%3.%4.%5.%6.%7.%8.%9"/>
      <w:lvlJc w:val="left"/>
      <w:pPr>
        <w:ind w:left="2160" w:hanging="1800"/>
      </w:pPr>
      <w:rPr>
        <w:rFonts w:cs="Arial" w:hint="default"/>
        <w:u w:val="none"/>
      </w:rPr>
    </w:lvl>
  </w:abstractNum>
  <w:abstractNum w:abstractNumId="35" w15:restartNumberingAfterBreak="0">
    <w:nsid w:val="242D0F09"/>
    <w:multiLevelType w:val="multilevel"/>
    <w:tmpl w:val="E74AB0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5795F7A"/>
    <w:multiLevelType w:val="multilevel"/>
    <w:tmpl w:val="CB10D816"/>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58752EB"/>
    <w:multiLevelType w:val="multilevel"/>
    <w:tmpl w:val="2DCE8A86"/>
    <w:lvl w:ilvl="0">
      <w:start w:val="3"/>
      <w:numFmt w:val="decimal"/>
      <w:lvlText w:val="%1."/>
      <w:lvlJc w:val="left"/>
      <w:pPr>
        <w:ind w:left="540" w:hanging="540"/>
      </w:pPr>
      <w:rPr>
        <w:rFonts w:hint="default"/>
      </w:rPr>
    </w:lvl>
    <w:lvl w:ilvl="1">
      <w:start w:val="3"/>
      <w:numFmt w:val="none"/>
      <w:lvlText w:val="5.7."/>
      <w:lvlJc w:val="left"/>
      <w:pPr>
        <w:ind w:left="540" w:hanging="540"/>
      </w:pPr>
      <w:rPr>
        <w:rFonts w:hint="default"/>
      </w:rPr>
    </w:lvl>
    <w:lvl w:ilvl="2">
      <w:start w:val="1"/>
      <w:numFmt w:val="none"/>
      <w:lvlText w:val="5.6.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63B5509"/>
    <w:multiLevelType w:val="multilevel"/>
    <w:tmpl w:val="C1D6B5C4"/>
    <w:lvl w:ilvl="0">
      <w:start w:val="3"/>
      <w:numFmt w:val="decimal"/>
      <w:lvlText w:val="%1."/>
      <w:lvlJc w:val="left"/>
      <w:pPr>
        <w:ind w:left="540" w:hanging="540"/>
      </w:pPr>
      <w:rPr>
        <w:rFonts w:hint="default"/>
      </w:rPr>
    </w:lvl>
    <w:lvl w:ilvl="1">
      <w:start w:val="3"/>
      <w:numFmt w:val="none"/>
      <w:lvlText w:val="5.6."/>
      <w:lvlJc w:val="left"/>
      <w:pPr>
        <w:ind w:left="540" w:hanging="540"/>
      </w:pPr>
      <w:rPr>
        <w:rFonts w:hint="default"/>
      </w:rPr>
    </w:lvl>
    <w:lvl w:ilvl="2">
      <w:start w:val="1"/>
      <w:numFmt w:val="none"/>
      <w:lvlText w:val="5.6.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65672E4"/>
    <w:multiLevelType w:val="multilevel"/>
    <w:tmpl w:val="70C0DBE4"/>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6682101"/>
    <w:multiLevelType w:val="multilevel"/>
    <w:tmpl w:val="328EC50E"/>
    <w:lvl w:ilvl="0">
      <w:start w:val="1"/>
      <w:numFmt w:val="none"/>
      <w:lvlText w:val="1.6.2."/>
      <w:lvlJc w:val="left"/>
      <w:pPr>
        <w:ind w:left="720" w:hanging="360"/>
      </w:pPr>
      <w:rPr>
        <w:rFonts w:hint="default"/>
      </w:rPr>
    </w:lvl>
    <w:lvl w:ilvl="1">
      <w:start w:val="6"/>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1" w15:restartNumberingAfterBreak="0">
    <w:nsid w:val="27AC3876"/>
    <w:multiLevelType w:val="multilevel"/>
    <w:tmpl w:val="0B68D0F4"/>
    <w:lvl w:ilvl="0">
      <w:start w:val="1"/>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7CF78AA"/>
    <w:multiLevelType w:val="multilevel"/>
    <w:tmpl w:val="0F965FD6"/>
    <w:lvl w:ilvl="0">
      <w:start w:val="3"/>
      <w:numFmt w:val="decimal"/>
      <w:lvlText w:val="%1."/>
      <w:lvlJc w:val="left"/>
      <w:pPr>
        <w:ind w:left="540" w:hanging="540"/>
      </w:pPr>
      <w:rPr>
        <w:rFonts w:hint="default"/>
      </w:rPr>
    </w:lvl>
    <w:lvl w:ilvl="1">
      <w:start w:val="3"/>
      <w:numFmt w:val="none"/>
      <w:lvlText w:val="5.2."/>
      <w:lvlJc w:val="left"/>
      <w:pPr>
        <w:ind w:left="540" w:hanging="540"/>
      </w:pPr>
      <w:rPr>
        <w:rFonts w:hint="default"/>
      </w:rPr>
    </w:lvl>
    <w:lvl w:ilvl="2">
      <w:start w:val="1"/>
      <w:numFmt w:val="none"/>
      <w:lvlText w:val="5.1.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8656672"/>
    <w:multiLevelType w:val="multilevel"/>
    <w:tmpl w:val="185CD04A"/>
    <w:lvl w:ilvl="0">
      <w:start w:val="1"/>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8AA3CBD"/>
    <w:multiLevelType w:val="multilevel"/>
    <w:tmpl w:val="BE86D50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cs="Arial" w:hint="default"/>
        <w:u w:val="none"/>
      </w:rPr>
    </w:lvl>
    <w:lvl w:ilvl="2">
      <w:start w:val="1"/>
      <w:numFmt w:val="decimal"/>
      <w:isLgl/>
      <w:lvlText w:val="3.%2.2."/>
      <w:lvlJc w:val="left"/>
      <w:pPr>
        <w:ind w:left="1080" w:hanging="720"/>
      </w:pPr>
      <w:rPr>
        <w:rFonts w:cs="Arial" w:hint="default"/>
        <w:u w:val="none"/>
      </w:rPr>
    </w:lvl>
    <w:lvl w:ilvl="3">
      <w:start w:val="1"/>
      <w:numFmt w:val="decimal"/>
      <w:isLgl/>
      <w:lvlText w:val="3.%2.3.%4"/>
      <w:lvlJc w:val="left"/>
      <w:pPr>
        <w:ind w:left="1080" w:hanging="720"/>
      </w:pPr>
      <w:rPr>
        <w:rFonts w:cs="Arial" w:hint="default"/>
        <w:u w:val="none"/>
      </w:rPr>
    </w:lvl>
    <w:lvl w:ilvl="4">
      <w:start w:val="1"/>
      <w:numFmt w:val="decimal"/>
      <w:isLgl/>
      <w:lvlText w:val="%1.%2.%3.%4.%5"/>
      <w:lvlJc w:val="left"/>
      <w:pPr>
        <w:ind w:left="1440" w:hanging="1080"/>
      </w:pPr>
      <w:rPr>
        <w:rFonts w:cs="Arial" w:hint="default"/>
        <w:u w:val="none"/>
      </w:rPr>
    </w:lvl>
    <w:lvl w:ilvl="5">
      <w:start w:val="1"/>
      <w:numFmt w:val="decimal"/>
      <w:isLgl/>
      <w:lvlText w:val="%1.%2.%3.%4.%5.%6"/>
      <w:lvlJc w:val="left"/>
      <w:pPr>
        <w:ind w:left="1440" w:hanging="1080"/>
      </w:pPr>
      <w:rPr>
        <w:rFonts w:cs="Arial" w:hint="default"/>
        <w:u w:val="none"/>
      </w:rPr>
    </w:lvl>
    <w:lvl w:ilvl="6">
      <w:start w:val="1"/>
      <w:numFmt w:val="decimal"/>
      <w:isLgl/>
      <w:lvlText w:val="%1.%2.%3.%4.%5.%6.%7"/>
      <w:lvlJc w:val="left"/>
      <w:pPr>
        <w:ind w:left="1800" w:hanging="1440"/>
      </w:pPr>
      <w:rPr>
        <w:rFonts w:cs="Arial" w:hint="default"/>
        <w:u w:val="none"/>
      </w:rPr>
    </w:lvl>
    <w:lvl w:ilvl="7">
      <w:start w:val="1"/>
      <w:numFmt w:val="decimal"/>
      <w:isLgl/>
      <w:lvlText w:val="%1.%2.%3.%4.%5.%6.%7.%8"/>
      <w:lvlJc w:val="left"/>
      <w:pPr>
        <w:ind w:left="1800" w:hanging="1440"/>
      </w:pPr>
      <w:rPr>
        <w:rFonts w:cs="Arial" w:hint="default"/>
        <w:u w:val="none"/>
      </w:rPr>
    </w:lvl>
    <w:lvl w:ilvl="8">
      <w:start w:val="1"/>
      <w:numFmt w:val="decimal"/>
      <w:isLgl/>
      <w:lvlText w:val="%1.%2.%3.%4.%5.%6.%7.%8.%9"/>
      <w:lvlJc w:val="left"/>
      <w:pPr>
        <w:ind w:left="2160" w:hanging="1800"/>
      </w:pPr>
      <w:rPr>
        <w:rFonts w:cs="Arial" w:hint="default"/>
        <w:u w:val="none"/>
      </w:rPr>
    </w:lvl>
  </w:abstractNum>
  <w:abstractNum w:abstractNumId="45" w15:restartNumberingAfterBreak="0">
    <w:nsid w:val="28EC2233"/>
    <w:multiLevelType w:val="multilevel"/>
    <w:tmpl w:val="84AC5C1C"/>
    <w:lvl w:ilvl="0">
      <w:start w:val="3"/>
      <w:numFmt w:val="decimal"/>
      <w:lvlText w:val="%1."/>
      <w:lvlJc w:val="left"/>
      <w:pPr>
        <w:ind w:left="540" w:hanging="540"/>
      </w:pPr>
      <w:rPr>
        <w:rFonts w:hint="default"/>
      </w:rPr>
    </w:lvl>
    <w:lvl w:ilvl="1">
      <w:start w:val="3"/>
      <w:numFmt w:val="none"/>
      <w:lvlText w:val="5.4."/>
      <w:lvlJc w:val="left"/>
      <w:pPr>
        <w:ind w:left="540" w:hanging="540"/>
      </w:pPr>
      <w:rPr>
        <w:rFonts w:hint="default"/>
      </w:rPr>
    </w:lvl>
    <w:lvl w:ilvl="2">
      <w:start w:val="1"/>
      <w:numFmt w:val="none"/>
      <w:lvlText w:val="5.3.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8FA4214"/>
    <w:multiLevelType w:val="multilevel"/>
    <w:tmpl w:val="A44A39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4."/>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3.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49" w15:restartNumberingAfterBreak="0">
    <w:nsid w:val="2B4D750D"/>
    <w:multiLevelType w:val="multilevel"/>
    <w:tmpl w:val="A6C4255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4.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2CF0415C"/>
    <w:multiLevelType w:val="multilevel"/>
    <w:tmpl w:val="1F1A95E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DEF58F3"/>
    <w:multiLevelType w:val="multilevel"/>
    <w:tmpl w:val="B0E25526"/>
    <w:lvl w:ilvl="0">
      <w:start w:val="3"/>
      <w:numFmt w:val="decimal"/>
      <w:lvlText w:val="%1."/>
      <w:lvlJc w:val="left"/>
      <w:pPr>
        <w:ind w:left="540" w:hanging="540"/>
      </w:pPr>
      <w:rPr>
        <w:rFonts w:hint="default"/>
      </w:rPr>
    </w:lvl>
    <w:lvl w:ilvl="1">
      <w:start w:val="3"/>
      <w:numFmt w:val="none"/>
      <w:lvlText w:val="5.1."/>
      <w:lvlJc w:val="left"/>
      <w:pPr>
        <w:ind w:left="540" w:hanging="540"/>
      </w:pPr>
      <w:rPr>
        <w:rFonts w:hint="default"/>
      </w:rPr>
    </w:lvl>
    <w:lvl w:ilvl="2">
      <w:start w:val="1"/>
      <w:numFmt w:val="none"/>
      <w:lvlText w:val="5.1.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F7D7F02"/>
    <w:multiLevelType w:val="multilevel"/>
    <w:tmpl w:val="0407001D"/>
    <w:numStyleLink w:val="Formatvorlage3"/>
  </w:abstractNum>
  <w:abstractNum w:abstractNumId="54" w15:restartNumberingAfterBreak="0">
    <w:nsid w:val="2FDD7BBB"/>
    <w:multiLevelType w:val="multilevel"/>
    <w:tmpl w:val="8F1EE5E6"/>
    <w:lvl w:ilvl="0">
      <w:start w:val="3"/>
      <w:numFmt w:val="decimal"/>
      <w:lvlText w:val="%1."/>
      <w:lvlJc w:val="left"/>
      <w:pPr>
        <w:ind w:left="540" w:hanging="540"/>
      </w:pPr>
      <w:rPr>
        <w:rFonts w:hint="default"/>
      </w:rPr>
    </w:lvl>
    <w:lvl w:ilvl="1">
      <w:start w:val="3"/>
      <w:numFmt w:val="none"/>
      <w:lvlText w:val="5.8."/>
      <w:lvlJc w:val="left"/>
      <w:pPr>
        <w:ind w:left="540" w:hanging="540"/>
      </w:pPr>
      <w:rPr>
        <w:rFonts w:hint="default"/>
      </w:rPr>
    </w:lvl>
    <w:lvl w:ilvl="2">
      <w:start w:val="1"/>
      <w:numFmt w:val="none"/>
      <w:lvlText w:val="5.8.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1110388"/>
    <w:multiLevelType w:val="multilevel"/>
    <w:tmpl w:val="0A98CF60"/>
    <w:lvl w:ilvl="0">
      <w:start w:val="3"/>
      <w:numFmt w:val="decimal"/>
      <w:lvlText w:val="%1."/>
      <w:lvlJc w:val="left"/>
      <w:pPr>
        <w:ind w:left="540" w:hanging="540"/>
      </w:pPr>
      <w:rPr>
        <w:rFonts w:hint="default"/>
      </w:rPr>
    </w:lvl>
    <w:lvl w:ilvl="1">
      <w:start w:val="3"/>
      <w:numFmt w:val="none"/>
      <w:lvlText w:val="6.1."/>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1A00FB7"/>
    <w:multiLevelType w:val="multilevel"/>
    <w:tmpl w:val="CE647144"/>
    <w:lvl w:ilvl="0">
      <w:start w:val="3"/>
      <w:numFmt w:val="decimal"/>
      <w:lvlText w:val="%1."/>
      <w:lvlJc w:val="left"/>
      <w:pPr>
        <w:ind w:left="540" w:hanging="540"/>
      </w:pPr>
      <w:rPr>
        <w:rFonts w:hint="default"/>
      </w:rPr>
    </w:lvl>
    <w:lvl w:ilvl="1">
      <w:start w:val="3"/>
      <w:numFmt w:val="none"/>
      <w:lvlText w:val="5.4."/>
      <w:lvlJc w:val="left"/>
      <w:pPr>
        <w:ind w:left="540" w:hanging="540"/>
      </w:pPr>
      <w:rPr>
        <w:rFonts w:hint="default"/>
      </w:rPr>
    </w:lvl>
    <w:lvl w:ilvl="2">
      <w:start w:val="1"/>
      <w:numFmt w:val="none"/>
      <w:lvlText w:val="5.4.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1DF03AA"/>
    <w:multiLevelType w:val="hybridMultilevel"/>
    <w:tmpl w:val="85163378"/>
    <w:lvl w:ilvl="0" w:tplc="236EA62C">
      <w:start w:val="1"/>
      <w:numFmt w:val="decimal"/>
      <w:lvlText w:val="%1."/>
      <w:lvlJc w:val="left"/>
      <w:pPr>
        <w:ind w:left="1353" w:hanging="360"/>
      </w:pPr>
      <w:rPr>
        <w:rFonts w:cs="Times New Roman"/>
      </w:rPr>
    </w:lvl>
    <w:lvl w:ilvl="1" w:tplc="08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9" w15:restartNumberingAfterBreak="0">
    <w:nsid w:val="330A3EFF"/>
    <w:multiLevelType w:val="multilevel"/>
    <w:tmpl w:val="D9BA3F9E"/>
    <w:lvl w:ilvl="0">
      <w:start w:val="3"/>
      <w:numFmt w:val="decimal"/>
      <w:lvlText w:val="%1."/>
      <w:lvlJc w:val="left"/>
      <w:pPr>
        <w:ind w:left="540" w:hanging="540"/>
      </w:pPr>
      <w:rPr>
        <w:rFonts w:hint="default"/>
      </w:rPr>
    </w:lvl>
    <w:lvl w:ilvl="1">
      <w:start w:val="3"/>
      <w:numFmt w:val="none"/>
      <w:lvlText w:val="6.2."/>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4.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4124300"/>
    <w:multiLevelType w:val="multilevel"/>
    <w:tmpl w:val="30B0380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42B06CA"/>
    <w:multiLevelType w:val="multilevel"/>
    <w:tmpl w:val="C7B01E50"/>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461394D"/>
    <w:multiLevelType w:val="multilevel"/>
    <w:tmpl w:val="3C4802D6"/>
    <w:lvl w:ilvl="0">
      <w:start w:val="3"/>
      <w:numFmt w:val="decimal"/>
      <w:lvlText w:val="%1."/>
      <w:lvlJc w:val="left"/>
      <w:pPr>
        <w:ind w:left="540" w:hanging="540"/>
      </w:pPr>
      <w:rPr>
        <w:rFonts w:hint="default"/>
      </w:rPr>
    </w:lvl>
    <w:lvl w:ilvl="1">
      <w:start w:val="3"/>
      <w:numFmt w:val="decimal"/>
      <w:lvlText w:val="%2.6."/>
      <w:lvlJc w:val="left"/>
      <w:pPr>
        <w:ind w:left="540" w:hanging="540"/>
      </w:pPr>
      <w:rPr>
        <w:rFonts w:hint="default"/>
      </w:rPr>
    </w:lvl>
    <w:lvl w:ilvl="2">
      <w:start w:val="1"/>
      <w:numFmt w:val="decimal"/>
      <w:lvlText w:val="%1.6.1."/>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4A7386B"/>
    <w:multiLevelType w:val="multilevel"/>
    <w:tmpl w:val="D8A8662A"/>
    <w:lvl w:ilvl="0">
      <w:start w:val="3"/>
      <w:numFmt w:val="none"/>
      <w:lvlText w:val="6."/>
      <w:lvlJc w:val="left"/>
      <w:pPr>
        <w:ind w:left="540" w:hanging="540"/>
      </w:pPr>
      <w:rPr>
        <w:rFonts w:hint="default"/>
      </w:rPr>
    </w:lvl>
    <w:lvl w:ilvl="1">
      <w:start w:val="3"/>
      <w:numFmt w:val="none"/>
      <w:lvlText w:val="5.8."/>
      <w:lvlJc w:val="left"/>
      <w:pPr>
        <w:ind w:left="540" w:hanging="540"/>
      </w:pPr>
      <w:rPr>
        <w:rFonts w:hint="default"/>
      </w:rPr>
    </w:lvl>
    <w:lvl w:ilvl="2">
      <w:start w:val="1"/>
      <w:numFmt w:val="none"/>
      <w:lvlText w:val="5.8.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5105D0D"/>
    <w:multiLevelType w:val="multilevel"/>
    <w:tmpl w:val="26FA8E9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1850D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67" w15:restartNumberingAfterBreak="0">
    <w:nsid w:val="384325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94B1F83"/>
    <w:multiLevelType w:val="multilevel"/>
    <w:tmpl w:val="DC203EB4"/>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none"/>
      <w:lvlText w:val="4.1.2."/>
      <w:lvlJc w:val="left"/>
      <w:pPr>
        <w:ind w:left="720" w:hanging="720"/>
      </w:pPr>
      <w:rPr>
        <w:rFonts w:hint="default"/>
      </w:rPr>
    </w:lvl>
    <w:lvl w:ilvl="3">
      <w:start w:val="1"/>
      <w:numFmt w:val="decimal"/>
      <w:lvlText w:val="%1.2.4.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71" w15:restartNumberingAfterBreak="0">
    <w:nsid w:val="3AD005FB"/>
    <w:multiLevelType w:val="multilevel"/>
    <w:tmpl w:val="3A8EEB0E"/>
    <w:lvl w:ilvl="0">
      <w:start w:val="3"/>
      <w:numFmt w:val="decimal"/>
      <w:lvlText w:val="%1."/>
      <w:lvlJc w:val="left"/>
      <w:pPr>
        <w:ind w:left="540" w:hanging="540"/>
      </w:pPr>
      <w:rPr>
        <w:rFonts w:hint="default"/>
      </w:rPr>
    </w:lvl>
    <w:lvl w:ilvl="1">
      <w:start w:val="3"/>
      <w:numFmt w:val="none"/>
      <w:lvlText w:val="6.1."/>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1.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B892BEB"/>
    <w:multiLevelType w:val="multilevel"/>
    <w:tmpl w:val="88606094"/>
    <w:lvl w:ilvl="0">
      <w:start w:val="3"/>
      <w:numFmt w:val="decimal"/>
      <w:lvlText w:val="%1."/>
      <w:lvlJc w:val="left"/>
      <w:pPr>
        <w:ind w:left="540" w:hanging="540"/>
      </w:pPr>
      <w:rPr>
        <w:rFonts w:hint="default"/>
      </w:rPr>
    </w:lvl>
    <w:lvl w:ilvl="1">
      <w:start w:val="3"/>
      <w:numFmt w:val="none"/>
      <w:lvlText w:val="6.2."/>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3.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3DA075BF"/>
    <w:multiLevelType w:val="multilevel"/>
    <w:tmpl w:val="3BC8E742"/>
    <w:lvl w:ilvl="0">
      <w:start w:val="3"/>
      <w:numFmt w:val="decimal"/>
      <w:lvlText w:val="%1."/>
      <w:lvlJc w:val="left"/>
      <w:pPr>
        <w:ind w:left="540" w:hanging="540"/>
      </w:pPr>
      <w:rPr>
        <w:rFonts w:hint="default"/>
      </w:rPr>
    </w:lvl>
    <w:lvl w:ilvl="1">
      <w:start w:val="3"/>
      <w:numFmt w:val="decimal"/>
      <w:lvlText w:val="%1.5."/>
      <w:lvlJc w:val="left"/>
      <w:pPr>
        <w:ind w:left="540" w:hanging="540"/>
      </w:pPr>
      <w:rPr>
        <w:rFonts w:hint="default"/>
      </w:rPr>
    </w:lvl>
    <w:lvl w:ilvl="2">
      <w:start w:val="1"/>
      <w:numFmt w:val="decimal"/>
      <w:lvlText w:val="%1.5.1."/>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F607DFB"/>
    <w:multiLevelType w:val="multilevel"/>
    <w:tmpl w:val="C608C47A"/>
    <w:lvl w:ilvl="0">
      <w:start w:val="3"/>
      <w:numFmt w:val="none"/>
      <w:lvlText w:val="5."/>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2.3."/>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1883DA0"/>
    <w:multiLevelType w:val="multilevel"/>
    <w:tmpl w:val="613486E8"/>
    <w:lvl w:ilvl="0">
      <w:start w:val="3"/>
      <w:numFmt w:val="decimal"/>
      <w:lvlText w:val="%1."/>
      <w:lvlJc w:val="left"/>
      <w:pPr>
        <w:ind w:left="540" w:hanging="540"/>
      </w:pPr>
      <w:rPr>
        <w:rFonts w:hint="default"/>
      </w:rPr>
    </w:lvl>
    <w:lvl w:ilvl="1">
      <w:start w:val="3"/>
      <w:numFmt w:val="none"/>
      <w:lvlText w:val="5.1."/>
      <w:lvlJc w:val="left"/>
      <w:pPr>
        <w:ind w:left="540" w:hanging="540"/>
      </w:pPr>
      <w:rPr>
        <w:rFonts w:hint="default"/>
      </w:rPr>
    </w:lvl>
    <w:lvl w:ilvl="2">
      <w:start w:val="1"/>
      <w:numFmt w:val="none"/>
      <w:lvlText w:val="5.1.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41E82F2B"/>
    <w:multiLevelType w:val="multilevel"/>
    <w:tmpl w:val="619AE714"/>
    <w:lvl w:ilvl="0">
      <w:start w:val="3"/>
      <w:numFmt w:val="decimal"/>
      <w:lvlText w:val="%1."/>
      <w:lvlJc w:val="left"/>
      <w:pPr>
        <w:ind w:left="540" w:hanging="540"/>
      </w:pPr>
      <w:rPr>
        <w:rFonts w:hint="default"/>
      </w:rPr>
    </w:lvl>
    <w:lvl w:ilvl="1">
      <w:start w:val="3"/>
      <w:numFmt w:val="none"/>
      <w:lvlText w:val="7.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42502619"/>
    <w:multiLevelType w:val="multilevel"/>
    <w:tmpl w:val="2F8EC1A6"/>
    <w:lvl w:ilvl="0">
      <w:start w:val="3"/>
      <w:numFmt w:val="decimal"/>
      <w:lvlText w:val="%1."/>
      <w:lvlJc w:val="left"/>
      <w:pPr>
        <w:ind w:left="540" w:hanging="540"/>
      </w:pPr>
      <w:rPr>
        <w:rFonts w:hint="default"/>
      </w:rPr>
    </w:lvl>
    <w:lvl w:ilvl="1">
      <w:start w:val="3"/>
      <w:numFmt w:val="none"/>
      <w:lvlText w:val="5.3."/>
      <w:lvlJc w:val="left"/>
      <w:pPr>
        <w:ind w:left="540" w:hanging="540"/>
      </w:pPr>
      <w:rPr>
        <w:rFonts w:hint="default"/>
      </w:rPr>
    </w:lvl>
    <w:lvl w:ilvl="2">
      <w:start w:val="1"/>
      <w:numFmt w:val="none"/>
      <w:lvlText w:val="5.3.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44594417"/>
    <w:multiLevelType w:val="multilevel"/>
    <w:tmpl w:val="BB52CECE"/>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3."/>
      <w:lvlJc w:val="left"/>
      <w:pPr>
        <w:ind w:left="720" w:hanging="720"/>
      </w:pPr>
      <w:rPr>
        <w:rFonts w:hint="default"/>
      </w:rPr>
    </w:lvl>
    <w:lvl w:ilvl="3">
      <w:start w:val="1"/>
      <w:numFmt w:val="decimal"/>
      <w:lvlText w:val="%1.4.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46043DF5"/>
    <w:multiLevelType w:val="multilevel"/>
    <w:tmpl w:val="AA9E23DC"/>
    <w:lvl w:ilvl="0">
      <w:start w:val="3"/>
      <w:numFmt w:val="decimal"/>
      <w:lvlText w:val="%1."/>
      <w:lvlJc w:val="left"/>
      <w:pPr>
        <w:ind w:left="540" w:hanging="540"/>
      </w:pPr>
      <w:rPr>
        <w:rFonts w:hint="default"/>
      </w:rPr>
    </w:lvl>
    <w:lvl w:ilvl="1">
      <w:start w:val="3"/>
      <w:numFmt w:val="none"/>
      <w:lvlText w:val="5.2."/>
      <w:lvlJc w:val="left"/>
      <w:pPr>
        <w:ind w:left="540" w:hanging="540"/>
      </w:pPr>
      <w:rPr>
        <w:rFonts w:hint="default"/>
      </w:rPr>
    </w:lvl>
    <w:lvl w:ilvl="2">
      <w:start w:val="1"/>
      <w:numFmt w:val="none"/>
      <w:lvlText w:val="5.2.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76E78C4"/>
    <w:multiLevelType w:val="multilevel"/>
    <w:tmpl w:val="2FD21A62"/>
    <w:lvl w:ilvl="0">
      <w:start w:val="1"/>
      <w:numFmt w:val="decimal"/>
      <w:lvlText w:val="%1."/>
      <w:lvlJc w:val="left"/>
      <w:pPr>
        <w:ind w:left="360" w:hanging="360"/>
      </w:pPr>
      <w:rPr>
        <w:rFonts w:hint="default"/>
      </w:rPr>
    </w:lvl>
    <w:lvl w:ilvl="1">
      <w:start w:val="1"/>
      <w:numFmt w:val="decimal"/>
      <w:lvlText w:val="%1.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7BC37B9"/>
    <w:multiLevelType w:val="multilevel"/>
    <w:tmpl w:val="13DAE0FE"/>
    <w:lvl w:ilvl="0">
      <w:start w:val="1"/>
      <w:numFmt w:val="decimal"/>
      <w:lvlText w:val="%1."/>
      <w:lvlJc w:val="left"/>
      <w:pPr>
        <w:ind w:left="717" w:hanging="360"/>
      </w:pPr>
    </w:lvl>
    <w:lvl w:ilvl="1">
      <w:start w:val="1"/>
      <w:numFmt w:val="decimal"/>
      <w:isLgl/>
      <w:lvlText w:val="%1.%2."/>
      <w:lvlJc w:val="left"/>
      <w:pPr>
        <w:ind w:left="1062" w:hanging="705"/>
      </w:pPr>
      <w:rPr>
        <w:rFonts w:cs="Arial" w:hint="default"/>
      </w:rPr>
    </w:lvl>
    <w:lvl w:ilvl="2">
      <w:start w:val="1"/>
      <w:numFmt w:val="decimal"/>
      <w:isLgl/>
      <w:lvlText w:val="%1.%2.%3."/>
      <w:lvlJc w:val="left"/>
      <w:pPr>
        <w:ind w:left="1077" w:hanging="720"/>
      </w:pPr>
      <w:rPr>
        <w:rFonts w:cs="Arial" w:hint="default"/>
      </w:rPr>
    </w:lvl>
    <w:lvl w:ilvl="3">
      <w:start w:val="1"/>
      <w:numFmt w:val="decimal"/>
      <w:isLgl/>
      <w:lvlText w:val="%1.%2.%3.%4."/>
      <w:lvlJc w:val="left"/>
      <w:pPr>
        <w:ind w:left="1077" w:hanging="720"/>
      </w:pPr>
      <w:rPr>
        <w:rFonts w:cs="Arial" w:hint="default"/>
      </w:rPr>
    </w:lvl>
    <w:lvl w:ilvl="4">
      <w:start w:val="1"/>
      <w:numFmt w:val="decimal"/>
      <w:isLgl/>
      <w:lvlText w:val="%1.%2.%3.%4.%5."/>
      <w:lvlJc w:val="left"/>
      <w:pPr>
        <w:ind w:left="1437" w:hanging="1080"/>
      </w:pPr>
      <w:rPr>
        <w:rFonts w:cs="Arial" w:hint="default"/>
      </w:rPr>
    </w:lvl>
    <w:lvl w:ilvl="5">
      <w:start w:val="1"/>
      <w:numFmt w:val="decimal"/>
      <w:isLgl/>
      <w:lvlText w:val="%1.%2.%3.%4.%5.%6."/>
      <w:lvlJc w:val="left"/>
      <w:pPr>
        <w:ind w:left="1437" w:hanging="1080"/>
      </w:pPr>
      <w:rPr>
        <w:rFonts w:cs="Arial" w:hint="default"/>
      </w:rPr>
    </w:lvl>
    <w:lvl w:ilvl="6">
      <w:start w:val="1"/>
      <w:numFmt w:val="decimal"/>
      <w:isLgl/>
      <w:lvlText w:val="%1.%2.%3.%4.%5.%6.%7."/>
      <w:lvlJc w:val="left"/>
      <w:pPr>
        <w:ind w:left="1797" w:hanging="1440"/>
      </w:pPr>
      <w:rPr>
        <w:rFonts w:cs="Arial" w:hint="default"/>
      </w:rPr>
    </w:lvl>
    <w:lvl w:ilvl="7">
      <w:start w:val="1"/>
      <w:numFmt w:val="decimal"/>
      <w:isLgl/>
      <w:lvlText w:val="%1.%2.%3.%4.%5.%6.%7.%8."/>
      <w:lvlJc w:val="left"/>
      <w:pPr>
        <w:ind w:left="1797" w:hanging="1440"/>
      </w:pPr>
      <w:rPr>
        <w:rFonts w:cs="Arial" w:hint="default"/>
      </w:rPr>
    </w:lvl>
    <w:lvl w:ilvl="8">
      <w:start w:val="1"/>
      <w:numFmt w:val="decimal"/>
      <w:isLgl/>
      <w:lvlText w:val="%1.%2.%3.%4.%5.%6.%7.%8.%9."/>
      <w:lvlJc w:val="left"/>
      <w:pPr>
        <w:ind w:left="2157" w:hanging="1800"/>
      </w:pPr>
      <w:rPr>
        <w:rFonts w:cs="Arial" w:hint="default"/>
      </w:rPr>
    </w:lvl>
  </w:abstractNum>
  <w:abstractNum w:abstractNumId="8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489845BE"/>
    <w:multiLevelType w:val="multilevel"/>
    <w:tmpl w:val="38E8A2FE"/>
    <w:lvl w:ilvl="0">
      <w:start w:val="3"/>
      <w:numFmt w:val="decimal"/>
      <w:lvlText w:val="%1."/>
      <w:lvlJc w:val="left"/>
      <w:pPr>
        <w:ind w:left="540" w:hanging="540"/>
      </w:pPr>
      <w:rPr>
        <w:rFonts w:hint="default"/>
      </w:rPr>
    </w:lvl>
    <w:lvl w:ilvl="1">
      <w:start w:val="3"/>
      <w:numFmt w:val="decimal"/>
      <w:lvlText w:val="%2.7."/>
      <w:lvlJc w:val="left"/>
      <w:pPr>
        <w:ind w:left="540" w:hanging="540"/>
      </w:pPr>
      <w:rPr>
        <w:rFonts w:hint="default"/>
      </w:rPr>
    </w:lvl>
    <w:lvl w:ilvl="2">
      <w:start w:val="1"/>
      <w:numFmt w:val="decimal"/>
      <w:lvlText w:val="%1.6.2."/>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495B63D2"/>
    <w:multiLevelType w:val="hybridMultilevel"/>
    <w:tmpl w:val="AF560972"/>
    <w:lvl w:ilvl="0" w:tplc="F46EB4E6">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9D66A85"/>
    <w:multiLevelType w:val="multilevel"/>
    <w:tmpl w:val="EDAA2646"/>
    <w:lvl w:ilvl="0">
      <w:start w:val="1"/>
      <w:numFmt w:val="decimal"/>
      <w:lvlText w:val="%1.5.1."/>
      <w:lvlJc w:val="left"/>
      <w:pPr>
        <w:ind w:left="720" w:hanging="360"/>
      </w:pPr>
      <w:rPr>
        <w:rFonts w:hint="default"/>
      </w:rPr>
    </w:lvl>
    <w:lvl w:ilvl="1">
      <w:start w:val="6"/>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9" w15:restartNumberingAfterBreak="0">
    <w:nsid w:val="4D742268"/>
    <w:multiLevelType w:val="multilevel"/>
    <w:tmpl w:val="02D01D90"/>
    <w:lvl w:ilvl="0">
      <w:start w:val="3"/>
      <w:numFmt w:val="decimal"/>
      <w:lvlText w:val="%1."/>
      <w:lvlJc w:val="left"/>
      <w:pPr>
        <w:ind w:left="540" w:hanging="540"/>
      </w:pPr>
      <w:rPr>
        <w:rFonts w:hint="default"/>
      </w:rPr>
    </w:lvl>
    <w:lvl w:ilvl="1">
      <w:start w:val="3"/>
      <w:numFmt w:val="decimal"/>
      <w:lvlText w:val="%2.6."/>
      <w:lvlJc w:val="left"/>
      <w:pPr>
        <w:ind w:left="540" w:hanging="540"/>
      </w:pPr>
      <w:rPr>
        <w:rFonts w:hint="default"/>
      </w:rPr>
    </w:lvl>
    <w:lvl w:ilvl="2">
      <w:start w:val="1"/>
      <w:numFmt w:val="decimal"/>
      <w:lvlText w:val="%1.5.2."/>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2" w15:restartNumberingAfterBreak="0">
    <w:nsid w:val="4FBF0A1F"/>
    <w:multiLevelType w:val="multilevel"/>
    <w:tmpl w:val="B986C37A"/>
    <w:lvl w:ilvl="0">
      <w:start w:val="3"/>
      <w:numFmt w:val="decimal"/>
      <w:lvlText w:val="%1."/>
      <w:lvlJc w:val="left"/>
      <w:pPr>
        <w:ind w:left="540" w:hanging="540"/>
      </w:pPr>
      <w:rPr>
        <w:rFonts w:hint="default"/>
      </w:rPr>
    </w:lvl>
    <w:lvl w:ilvl="1">
      <w:start w:val="3"/>
      <w:numFmt w:val="none"/>
      <w:lvlText w:val="7.3."/>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0E7717E"/>
    <w:multiLevelType w:val="multilevel"/>
    <w:tmpl w:val="0ABAD22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cs="Arial" w:hint="default"/>
        <w:u w:val="none"/>
      </w:rPr>
    </w:lvl>
    <w:lvl w:ilvl="2">
      <w:start w:val="1"/>
      <w:numFmt w:val="decimal"/>
      <w:isLgl/>
      <w:lvlText w:val="3.%2.2."/>
      <w:lvlJc w:val="left"/>
      <w:pPr>
        <w:ind w:left="1080" w:hanging="720"/>
      </w:pPr>
      <w:rPr>
        <w:rFonts w:cs="Arial" w:hint="default"/>
        <w:u w:val="none"/>
      </w:rPr>
    </w:lvl>
    <w:lvl w:ilvl="3">
      <w:start w:val="1"/>
      <w:numFmt w:val="decimal"/>
      <w:isLgl/>
      <w:lvlText w:val="%1.%2.%3.%4"/>
      <w:lvlJc w:val="left"/>
      <w:pPr>
        <w:ind w:left="1080" w:hanging="720"/>
      </w:pPr>
      <w:rPr>
        <w:rFonts w:cs="Arial" w:hint="default"/>
        <w:u w:val="none"/>
      </w:rPr>
    </w:lvl>
    <w:lvl w:ilvl="4">
      <w:start w:val="1"/>
      <w:numFmt w:val="decimal"/>
      <w:isLgl/>
      <w:lvlText w:val="%1.%2.%3.%4.%5"/>
      <w:lvlJc w:val="left"/>
      <w:pPr>
        <w:ind w:left="1440" w:hanging="1080"/>
      </w:pPr>
      <w:rPr>
        <w:rFonts w:cs="Arial" w:hint="default"/>
        <w:u w:val="none"/>
      </w:rPr>
    </w:lvl>
    <w:lvl w:ilvl="5">
      <w:start w:val="1"/>
      <w:numFmt w:val="decimal"/>
      <w:isLgl/>
      <w:lvlText w:val="%1.%2.%3.%4.%5.%6"/>
      <w:lvlJc w:val="left"/>
      <w:pPr>
        <w:ind w:left="1440" w:hanging="1080"/>
      </w:pPr>
      <w:rPr>
        <w:rFonts w:cs="Arial" w:hint="default"/>
        <w:u w:val="none"/>
      </w:rPr>
    </w:lvl>
    <w:lvl w:ilvl="6">
      <w:start w:val="1"/>
      <w:numFmt w:val="decimal"/>
      <w:isLgl/>
      <w:lvlText w:val="%1.%2.%3.%4.%5.%6.%7"/>
      <w:lvlJc w:val="left"/>
      <w:pPr>
        <w:ind w:left="1800" w:hanging="1440"/>
      </w:pPr>
      <w:rPr>
        <w:rFonts w:cs="Arial" w:hint="default"/>
        <w:u w:val="none"/>
      </w:rPr>
    </w:lvl>
    <w:lvl w:ilvl="7">
      <w:start w:val="1"/>
      <w:numFmt w:val="decimal"/>
      <w:isLgl/>
      <w:lvlText w:val="%1.%2.%3.%4.%5.%6.%7.%8"/>
      <w:lvlJc w:val="left"/>
      <w:pPr>
        <w:ind w:left="1800" w:hanging="1440"/>
      </w:pPr>
      <w:rPr>
        <w:rFonts w:cs="Arial" w:hint="default"/>
        <w:u w:val="none"/>
      </w:rPr>
    </w:lvl>
    <w:lvl w:ilvl="8">
      <w:start w:val="1"/>
      <w:numFmt w:val="decimal"/>
      <w:isLgl/>
      <w:lvlText w:val="%1.%2.%3.%4.%5.%6.%7.%8.%9"/>
      <w:lvlJc w:val="left"/>
      <w:pPr>
        <w:ind w:left="2160" w:hanging="1800"/>
      </w:pPr>
      <w:rPr>
        <w:rFonts w:cs="Arial" w:hint="default"/>
        <w:u w:val="none"/>
      </w:rPr>
    </w:lvl>
  </w:abstractNum>
  <w:abstractNum w:abstractNumId="95" w15:restartNumberingAfterBreak="0">
    <w:nsid w:val="51FE49DE"/>
    <w:multiLevelType w:val="multilevel"/>
    <w:tmpl w:val="4ECAF742"/>
    <w:lvl w:ilvl="0">
      <w:start w:val="3"/>
      <w:numFmt w:val="decimal"/>
      <w:lvlText w:val="%1."/>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2.1."/>
      <w:lvlJc w:val="left"/>
      <w:pPr>
        <w:ind w:left="720" w:hanging="720"/>
      </w:pPr>
      <w:rPr>
        <w:rFonts w:hint="default"/>
      </w:rPr>
    </w:lvl>
    <w:lvl w:ilvl="3">
      <w:start w:val="1"/>
      <w:numFmt w:val="decimal"/>
      <w:lvlText w:val="%1.2.4.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522F2776"/>
    <w:multiLevelType w:val="multilevel"/>
    <w:tmpl w:val="54F81068"/>
    <w:lvl w:ilvl="0">
      <w:start w:val="1"/>
      <w:numFmt w:val="none"/>
      <w:lvlText w:val="1.6.3.1."/>
      <w:lvlJc w:val="left"/>
      <w:pPr>
        <w:ind w:left="720" w:hanging="360"/>
      </w:pPr>
      <w:rPr>
        <w:rFonts w:hint="default"/>
      </w:rPr>
    </w:lvl>
    <w:lvl w:ilvl="1">
      <w:start w:val="6"/>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7" w15:restartNumberingAfterBreak="0">
    <w:nsid w:val="52322220"/>
    <w:multiLevelType w:val="multilevel"/>
    <w:tmpl w:val="C0F64940"/>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5."/>
      <w:lvlJc w:val="left"/>
      <w:pPr>
        <w:ind w:left="720" w:hanging="720"/>
      </w:pPr>
      <w:rPr>
        <w:rFonts w:hint="default"/>
      </w:rPr>
    </w:lvl>
    <w:lvl w:ilvl="3">
      <w:start w:val="1"/>
      <w:numFmt w:val="decimal"/>
      <w:lvlText w:val="%1.2.4.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57437C9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9" w15:restartNumberingAfterBreak="0">
    <w:nsid w:val="592E109C"/>
    <w:multiLevelType w:val="multilevel"/>
    <w:tmpl w:val="16005B06"/>
    <w:lvl w:ilvl="0">
      <w:start w:val="3"/>
      <w:numFmt w:val="decimal"/>
      <w:lvlText w:val="%1."/>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2.3."/>
      <w:lvlJc w:val="left"/>
      <w:pPr>
        <w:ind w:left="720" w:hanging="720"/>
      </w:pPr>
      <w:rPr>
        <w:rFonts w:hint="default"/>
      </w:rPr>
    </w:lvl>
    <w:lvl w:ilvl="3">
      <w:start w:val="1"/>
      <w:numFmt w:val="none"/>
      <w:lvlText w:val="4.2.2.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0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02" w15:restartNumberingAfterBreak="0">
    <w:nsid w:val="6045798F"/>
    <w:multiLevelType w:val="multilevel"/>
    <w:tmpl w:val="37727652"/>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04C050A"/>
    <w:multiLevelType w:val="multilevel"/>
    <w:tmpl w:val="600AD6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60A7277C"/>
    <w:multiLevelType w:val="multilevel"/>
    <w:tmpl w:val="09A08C1A"/>
    <w:lvl w:ilvl="0">
      <w:start w:val="3"/>
      <w:numFmt w:val="decimal"/>
      <w:lvlText w:val="%1."/>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2.3."/>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124682A"/>
    <w:multiLevelType w:val="multilevel"/>
    <w:tmpl w:val="46A24796"/>
    <w:lvl w:ilvl="0">
      <w:start w:val="3"/>
      <w:numFmt w:val="decimal"/>
      <w:lvlText w:val="%1."/>
      <w:lvlJc w:val="left"/>
      <w:pPr>
        <w:ind w:left="540" w:hanging="540"/>
      </w:pPr>
      <w:rPr>
        <w:rFonts w:hint="default"/>
      </w:rPr>
    </w:lvl>
    <w:lvl w:ilvl="1">
      <w:start w:val="3"/>
      <w:numFmt w:val="none"/>
      <w:lvlText w:val="5.5."/>
      <w:lvlJc w:val="left"/>
      <w:pPr>
        <w:ind w:left="540" w:hanging="540"/>
      </w:pPr>
      <w:rPr>
        <w:rFonts w:hint="default"/>
      </w:rPr>
    </w:lvl>
    <w:lvl w:ilvl="2">
      <w:start w:val="1"/>
      <w:numFmt w:val="none"/>
      <w:lvlText w:val="5.5.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1720E20"/>
    <w:multiLevelType w:val="multilevel"/>
    <w:tmpl w:val="6DB05C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4."/>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229075E"/>
    <w:multiLevelType w:val="multilevel"/>
    <w:tmpl w:val="F2F404A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cs="Arial" w:hint="default"/>
        <w:u w:val="none"/>
      </w:rPr>
    </w:lvl>
    <w:lvl w:ilvl="2">
      <w:start w:val="1"/>
      <w:numFmt w:val="decimal"/>
      <w:isLgl/>
      <w:lvlText w:val="3.%2.4."/>
      <w:lvlJc w:val="left"/>
      <w:pPr>
        <w:ind w:left="1080" w:hanging="720"/>
      </w:pPr>
      <w:rPr>
        <w:rFonts w:cs="Arial" w:hint="default"/>
        <w:u w:val="none"/>
      </w:rPr>
    </w:lvl>
    <w:lvl w:ilvl="3">
      <w:start w:val="1"/>
      <w:numFmt w:val="decimal"/>
      <w:isLgl/>
      <w:lvlText w:val="3.%2.3.%4"/>
      <w:lvlJc w:val="left"/>
      <w:pPr>
        <w:ind w:left="1080" w:hanging="720"/>
      </w:pPr>
      <w:rPr>
        <w:rFonts w:cs="Arial" w:hint="default"/>
        <w:u w:val="none"/>
      </w:rPr>
    </w:lvl>
    <w:lvl w:ilvl="4">
      <w:start w:val="1"/>
      <w:numFmt w:val="decimal"/>
      <w:isLgl/>
      <w:lvlText w:val="%1.%2.%3.%4.%5"/>
      <w:lvlJc w:val="left"/>
      <w:pPr>
        <w:ind w:left="1440" w:hanging="1080"/>
      </w:pPr>
      <w:rPr>
        <w:rFonts w:cs="Arial" w:hint="default"/>
        <w:u w:val="none"/>
      </w:rPr>
    </w:lvl>
    <w:lvl w:ilvl="5">
      <w:start w:val="1"/>
      <w:numFmt w:val="decimal"/>
      <w:isLgl/>
      <w:lvlText w:val="%1.%2.%3.%4.%5.%6"/>
      <w:lvlJc w:val="left"/>
      <w:pPr>
        <w:ind w:left="1440" w:hanging="1080"/>
      </w:pPr>
      <w:rPr>
        <w:rFonts w:cs="Arial" w:hint="default"/>
        <w:u w:val="none"/>
      </w:rPr>
    </w:lvl>
    <w:lvl w:ilvl="6">
      <w:start w:val="1"/>
      <w:numFmt w:val="decimal"/>
      <w:isLgl/>
      <w:lvlText w:val="%1.%2.%3.%4.%5.%6.%7"/>
      <w:lvlJc w:val="left"/>
      <w:pPr>
        <w:ind w:left="1800" w:hanging="1440"/>
      </w:pPr>
      <w:rPr>
        <w:rFonts w:cs="Arial" w:hint="default"/>
        <w:u w:val="none"/>
      </w:rPr>
    </w:lvl>
    <w:lvl w:ilvl="7">
      <w:start w:val="1"/>
      <w:numFmt w:val="decimal"/>
      <w:isLgl/>
      <w:lvlText w:val="%1.%2.%3.%4.%5.%6.%7.%8"/>
      <w:lvlJc w:val="left"/>
      <w:pPr>
        <w:ind w:left="1800" w:hanging="1440"/>
      </w:pPr>
      <w:rPr>
        <w:rFonts w:cs="Arial" w:hint="default"/>
        <w:u w:val="none"/>
      </w:rPr>
    </w:lvl>
    <w:lvl w:ilvl="8">
      <w:start w:val="1"/>
      <w:numFmt w:val="decimal"/>
      <w:isLgl/>
      <w:lvlText w:val="%1.%2.%3.%4.%5.%6.%7.%8.%9"/>
      <w:lvlJc w:val="left"/>
      <w:pPr>
        <w:ind w:left="2160" w:hanging="1800"/>
      </w:pPr>
      <w:rPr>
        <w:rFonts w:cs="Arial" w:hint="default"/>
        <w:u w:val="none"/>
      </w:rPr>
    </w:lvl>
  </w:abstractNum>
  <w:abstractNum w:abstractNumId="109"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64D45E70"/>
    <w:multiLevelType w:val="multilevel"/>
    <w:tmpl w:val="A0F678EA"/>
    <w:lvl w:ilvl="0">
      <w:start w:val="3"/>
      <w:numFmt w:val="decimal"/>
      <w:lvlText w:val="%1."/>
      <w:lvlJc w:val="left"/>
      <w:pPr>
        <w:ind w:left="540" w:hanging="540"/>
      </w:pPr>
      <w:rPr>
        <w:rFonts w:hint="default"/>
      </w:rPr>
    </w:lvl>
    <w:lvl w:ilvl="1">
      <w:start w:val="3"/>
      <w:numFmt w:val="none"/>
      <w:lvlText w:val="5.6."/>
      <w:lvlJc w:val="left"/>
      <w:pPr>
        <w:ind w:left="540" w:hanging="540"/>
      </w:pPr>
      <w:rPr>
        <w:rFonts w:hint="default"/>
      </w:rPr>
    </w:lvl>
    <w:lvl w:ilvl="2">
      <w:start w:val="1"/>
      <w:numFmt w:val="none"/>
      <w:lvlText w:val="5.5.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13" w15:restartNumberingAfterBreak="0">
    <w:nsid w:val="675F0729"/>
    <w:multiLevelType w:val="multilevel"/>
    <w:tmpl w:val="4588C660"/>
    <w:lvl w:ilvl="0">
      <w:start w:val="3"/>
      <w:numFmt w:val="decimal"/>
      <w:lvlText w:val="%1."/>
      <w:lvlJc w:val="left"/>
      <w:pPr>
        <w:ind w:left="540" w:hanging="540"/>
      </w:pPr>
      <w:rPr>
        <w:rFonts w:hint="default"/>
      </w:rPr>
    </w:lvl>
    <w:lvl w:ilvl="1">
      <w:start w:val="3"/>
      <w:numFmt w:val="none"/>
      <w:lvlText w:val="6.2."/>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7EE4FDA"/>
    <w:multiLevelType w:val="multilevel"/>
    <w:tmpl w:val="A4747BA0"/>
    <w:lvl w:ilvl="0">
      <w:start w:val="1"/>
      <w:numFmt w:val="none"/>
      <w:lvlText w:val="1.6.3."/>
      <w:lvlJc w:val="left"/>
      <w:pPr>
        <w:ind w:left="720" w:hanging="360"/>
      </w:pPr>
      <w:rPr>
        <w:rFonts w:hint="default"/>
      </w:rPr>
    </w:lvl>
    <w:lvl w:ilvl="1">
      <w:start w:val="6"/>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6" w15:restartNumberingAfterBreak="0">
    <w:nsid w:val="69D42993"/>
    <w:multiLevelType w:val="multilevel"/>
    <w:tmpl w:val="434C39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18" w15:restartNumberingAfterBreak="0">
    <w:nsid w:val="6AB15A6D"/>
    <w:multiLevelType w:val="multilevel"/>
    <w:tmpl w:val="6D666A02"/>
    <w:lvl w:ilvl="0">
      <w:start w:val="1"/>
      <w:numFmt w:val="decimal"/>
      <w:lvlText w:val="%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0" w15:restartNumberingAfterBreak="0">
    <w:nsid w:val="6C413E9A"/>
    <w:multiLevelType w:val="multilevel"/>
    <w:tmpl w:val="0E7E6FE8"/>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6CA53AC6"/>
    <w:multiLevelType w:val="multilevel"/>
    <w:tmpl w:val="4112C97E"/>
    <w:lvl w:ilvl="0">
      <w:start w:val="3"/>
      <w:numFmt w:val="decimal"/>
      <w:lvlText w:val="%1."/>
      <w:lvlJc w:val="left"/>
      <w:pPr>
        <w:ind w:left="540" w:hanging="540"/>
      </w:pPr>
      <w:rPr>
        <w:rFonts w:hint="default"/>
      </w:rPr>
    </w:lvl>
    <w:lvl w:ilvl="1">
      <w:start w:val="3"/>
      <w:numFmt w:val="none"/>
      <w:lvlText w:val="5.7."/>
      <w:lvlJc w:val="left"/>
      <w:pPr>
        <w:ind w:left="540" w:hanging="540"/>
      </w:pPr>
      <w:rPr>
        <w:rFonts w:hint="default"/>
      </w:rPr>
    </w:lvl>
    <w:lvl w:ilvl="2">
      <w:start w:val="1"/>
      <w:numFmt w:val="none"/>
      <w:lvlText w:val="5.7.1."/>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6D2E49A0"/>
    <w:multiLevelType w:val="multilevel"/>
    <w:tmpl w:val="D04EF83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2."/>
      <w:lvlJc w:val="left"/>
      <w:pPr>
        <w:ind w:left="720" w:hanging="720"/>
      </w:pPr>
      <w:rPr>
        <w:rFonts w:hint="default"/>
      </w:rPr>
    </w:lvl>
    <w:lvl w:ilvl="3">
      <w:start w:val="1"/>
      <w:numFmt w:val="decimal"/>
      <w:lvlText w:val="%1.4.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6F295293"/>
    <w:multiLevelType w:val="multilevel"/>
    <w:tmpl w:val="CE6C9D92"/>
    <w:lvl w:ilvl="0">
      <w:start w:val="3"/>
      <w:numFmt w:val="decimal"/>
      <w:lvlText w:val="%1."/>
      <w:lvlJc w:val="left"/>
      <w:pPr>
        <w:ind w:left="540" w:hanging="540"/>
      </w:pPr>
      <w:rPr>
        <w:rFonts w:hint="default"/>
      </w:rPr>
    </w:lvl>
    <w:lvl w:ilvl="1">
      <w:start w:val="3"/>
      <w:numFmt w:val="decimal"/>
      <w:lvlText w:val="%1.5."/>
      <w:lvlJc w:val="left"/>
      <w:pPr>
        <w:ind w:left="540" w:hanging="540"/>
      </w:pPr>
      <w:rPr>
        <w:rFonts w:hint="default"/>
      </w:rPr>
    </w:lvl>
    <w:lvl w:ilvl="2">
      <w:start w:val="1"/>
      <w:numFmt w:val="decimal"/>
      <w:lvlText w:val="%1.5.2."/>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125" w15:restartNumberingAfterBreak="0">
    <w:nsid w:val="6F53217E"/>
    <w:multiLevelType w:val="multilevel"/>
    <w:tmpl w:val="BB5421D2"/>
    <w:lvl w:ilvl="0">
      <w:start w:val="3"/>
      <w:numFmt w:val="decimal"/>
      <w:lvlText w:val="%1."/>
      <w:lvlJc w:val="left"/>
      <w:pPr>
        <w:ind w:left="540" w:hanging="540"/>
      </w:pPr>
      <w:rPr>
        <w:rFonts w:hint="default"/>
      </w:rPr>
    </w:lvl>
    <w:lvl w:ilvl="1">
      <w:start w:val="3"/>
      <w:numFmt w:val="none"/>
      <w:lvlText w:val="5.5."/>
      <w:lvlJc w:val="left"/>
      <w:pPr>
        <w:ind w:left="540" w:hanging="540"/>
      </w:pPr>
      <w:rPr>
        <w:rFonts w:hint="default"/>
      </w:rPr>
    </w:lvl>
    <w:lvl w:ilvl="2">
      <w:start w:val="1"/>
      <w:numFmt w:val="none"/>
      <w:lvlText w:val="5.4.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FDE5B99"/>
    <w:multiLevelType w:val="multilevel"/>
    <w:tmpl w:val="57BE71C4"/>
    <w:lvl w:ilvl="0">
      <w:start w:val="3"/>
      <w:numFmt w:val="decimal"/>
      <w:lvlText w:val="%1."/>
      <w:lvlJc w:val="left"/>
      <w:pPr>
        <w:ind w:left="540" w:hanging="540"/>
      </w:pPr>
      <w:rPr>
        <w:rFonts w:hint="default"/>
      </w:rPr>
    </w:lvl>
    <w:lvl w:ilvl="1">
      <w:start w:val="3"/>
      <w:numFmt w:val="none"/>
      <w:lvlText w:val="5.3."/>
      <w:lvlJc w:val="left"/>
      <w:pPr>
        <w:ind w:left="540" w:hanging="540"/>
      </w:pPr>
      <w:rPr>
        <w:rFonts w:hint="default"/>
      </w:rPr>
    </w:lvl>
    <w:lvl w:ilvl="2">
      <w:start w:val="1"/>
      <w:numFmt w:val="none"/>
      <w:lvlText w:val="5.2.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70C92911"/>
    <w:multiLevelType w:val="multilevel"/>
    <w:tmpl w:val="0E683028"/>
    <w:lvl w:ilvl="0">
      <w:start w:val="3"/>
      <w:numFmt w:val="decimal"/>
      <w:lvlText w:val="%1."/>
      <w:lvlJc w:val="left"/>
      <w:pPr>
        <w:ind w:left="540" w:hanging="540"/>
      </w:pPr>
      <w:rPr>
        <w:rFonts w:hint="default"/>
      </w:rPr>
    </w:lvl>
    <w:lvl w:ilvl="1">
      <w:start w:val="3"/>
      <w:numFmt w:val="none"/>
      <w:lvlText w:val="7.1."/>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1B92850"/>
    <w:multiLevelType w:val="multilevel"/>
    <w:tmpl w:val="C0F64940"/>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5."/>
      <w:lvlJc w:val="left"/>
      <w:pPr>
        <w:ind w:left="720" w:hanging="720"/>
      </w:pPr>
      <w:rPr>
        <w:rFonts w:hint="default"/>
      </w:rPr>
    </w:lvl>
    <w:lvl w:ilvl="3">
      <w:start w:val="1"/>
      <w:numFmt w:val="decimal"/>
      <w:lvlText w:val="%1.2.4.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2B3046B"/>
    <w:multiLevelType w:val="multilevel"/>
    <w:tmpl w:val="4392AFEA"/>
    <w:lvl w:ilvl="0">
      <w:start w:val="3"/>
      <w:numFmt w:val="decimal"/>
      <w:lvlText w:val="%1."/>
      <w:lvlJc w:val="left"/>
      <w:pPr>
        <w:ind w:left="540" w:hanging="540"/>
      </w:pPr>
      <w:rPr>
        <w:rFonts w:hint="default"/>
      </w:rPr>
    </w:lvl>
    <w:lvl w:ilvl="1">
      <w:start w:val="3"/>
      <w:numFmt w:val="decimal"/>
      <w:lvlText w:val="%2.7."/>
      <w:lvlJc w:val="left"/>
      <w:pPr>
        <w:ind w:left="540" w:hanging="540"/>
      </w:pPr>
      <w:rPr>
        <w:rFonts w:hint="default"/>
      </w:rPr>
    </w:lvl>
    <w:lvl w:ilvl="2">
      <w:start w:val="1"/>
      <w:numFmt w:val="decimal"/>
      <w:lvlText w:val="%1.7.2."/>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74EC4D66"/>
    <w:multiLevelType w:val="multilevel"/>
    <w:tmpl w:val="C7046664"/>
    <w:lvl w:ilvl="0">
      <w:start w:val="3"/>
      <w:numFmt w:val="decimal"/>
      <w:lvlText w:val="%1."/>
      <w:lvlJc w:val="left"/>
      <w:pPr>
        <w:ind w:left="540" w:hanging="540"/>
      </w:pPr>
      <w:rPr>
        <w:rFonts w:hint="default"/>
      </w:rPr>
    </w:lvl>
    <w:lvl w:ilvl="1">
      <w:start w:val="3"/>
      <w:numFmt w:val="none"/>
      <w:lvlText w:val="6.2."/>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1.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5C013C6"/>
    <w:multiLevelType w:val="multilevel"/>
    <w:tmpl w:val="EF8C4F3C"/>
    <w:lvl w:ilvl="0">
      <w:start w:val="3"/>
      <w:numFmt w:val="decimal"/>
      <w:lvlText w:val="%1."/>
      <w:lvlJc w:val="left"/>
      <w:pPr>
        <w:ind w:left="540" w:hanging="540"/>
      </w:pPr>
      <w:rPr>
        <w:rFonts w:hint="default"/>
      </w:rPr>
    </w:lvl>
    <w:lvl w:ilvl="1">
      <w:start w:val="3"/>
      <w:numFmt w:val="decimal"/>
      <w:lvlText w:val="%2.6."/>
      <w:lvlJc w:val="left"/>
      <w:pPr>
        <w:ind w:left="540" w:hanging="540"/>
      </w:pPr>
      <w:rPr>
        <w:rFonts w:hint="default"/>
      </w:rPr>
    </w:lvl>
    <w:lvl w:ilvl="2">
      <w:start w:val="1"/>
      <w:numFmt w:val="decimal"/>
      <w:lvlText w:val="%1.6.2."/>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75DC45D8"/>
    <w:multiLevelType w:val="multilevel"/>
    <w:tmpl w:val="A874E982"/>
    <w:lvl w:ilvl="0">
      <w:start w:val="3"/>
      <w:numFmt w:val="decimal"/>
      <w:lvlText w:val="%1."/>
      <w:lvlJc w:val="left"/>
      <w:pPr>
        <w:ind w:left="540" w:hanging="540"/>
      </w:pPr>
      <w:rPr>
        <w:rFonts w:hint="default"/>
      </w:rPr>
    </w:lvl>
    <w:lvl w:ilvl="1">
      <w:start w:val="3"/>
      <w:numFmt w:val="none"/>
      <w:lvlText w:val="5.5."/>
      <w:lvlJc w:val="left"/>
      <w:pPr>
        <w:ind w:left="540" w:hanging="540"/>
      </w:pPr>
      <w:rPr>
        <w:rFonts w:hint="default"/>
      </w:rPr>
    </w:lvl>
    <w:lvl w:ilvl="2">
      <w:start w:val="1"/>
      <w:numFmt w:val="none"/>
      <w:lvlText w:val="5.5.2."/>
      <w:lvlJc w:val="left"/>
      <w:pPr>
        <w:ind w:left="720" w:hanging="720"/>
      </w:pPr>
      <w:rPr>
        <w:rFonts w:hint="default"/>
      </w:rPr>
    </w:lvl>
    <w:lvl w:ilvl="3">
      <w:start w:val="1"/>
      <w:numFmt w:val="none"/>
      <w:lvlText w:val="4.2.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76B42E0B"/>
    <w:multiLevelType w:val="multilevel"/>
    <w:tmpl w:val="E744C6D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4.4.%3"/>
      <w:lvlJc w:val="left"/>
      <w:pPr>
        <w:ind w:left="720" w:hanging="720"/>
      </w:pPr>
      <w:rPr>
        <w:rFonts w:hint="default"/>
      </w:rPr>
    </w:lvl>
    <w:lvl w:ilvl="3">
      <w:start w:val="1"/>
      <w:numFmt w:val="decimal"/>
      <w:lvlText w:val="%1.2.4.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9" w15:restartNumberingAfterBreak="0">
    <w:nsid w:val="779E311F"/>
    <w:multiLevelType w:val="multilevel"/>
    <w:tmpl w:val="78467A8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cs="Arial" w:hint="default"/>
        <w:u w:val="none"/>
      </w:rPr>
    </w:lvl>
    <w:lvl w:ilvl="2">
      <w:start w:val="1"/>
      <w:numFmt w:val="decimal"/>
      <w:isLgl/>
      <w:lvlText w:val="3.%2.%3"/>
      <w:lvlJc w:val="left"/>
      <w:pPr>
        <w:ind w:left="1080" w:hanging="720"/>
      </w:pPr>
      <w:rPr>
        <w:rFonts w:cs="Arial" w:hint="default"/>
        <w:u w:val="none"/>
      </w:rPr>
    </w:lvl>
    <w:lvl w:ilvl="3">
      <w:start w:val="1"/>
      <w:numFmt w:val="decimal"/>
      <w:isLgl/>
      <w:lvlText w:val="%1.%2.%3.%4"/>
      <w:lvlJc w:val="left"/>
      <w:pPr>
        <w:ind w:left="1080" w:hanging="720"/>
      </w:pPr>
      <w:rPr>
        <w:rFonts w:cs="Arial" w:hint="default"/>
        <w:u w:val="none"/>
      </w:rPr>
    </w:lvl>
    <w:lvl w:ilvl="4">
      <w:start w:val="1"/>
      <w:numFmt w:val="decimal"/>
      <w:isLgl/>
      <w:lvlText w:val="%1.%2.%3.%4.%5"/>
      <w:lvlJc w:val="left"/>
      <w:pPr>
        <w:ind w:left="1440" w:hanging="1080"/>
      </w:pPr>
      <w:rPr>
        <w:rFonts w:cs="Arial" w:hint="default"/>
        <w:u w:val="none"/>
      </w:rPr>
    </w:lvl>
    <w:lvl w:ilvl="5">
      <w:start w:val="1"/>
      <w:numFmt w:val="decimal"/>
      <w:isLgl/>
      <w:lvlText w:val="%1.%2.%3.%4.%5.%6"/>
      <w:lvlJc w:val="left"/>
      <w:pPr>
        <w:ind w:left="1440" w:hanging="1080"/>
      </w:pPr>
      <w:rPr>
        <w:rFonts w:cs="Arial" w:hint="default"/>
        <w:u w:val="none"/>
      </w:rPr>
    </w:lvl>
    <w:lvl w:ilvl="6">
      <w:start w:val="1"/>
      <w:numFmt w:val="decimal"/>
      <w:isLgl/>
      <w:lvlText w:val="%1.%2.%3.%4.%5.%6.%7"/>
      <w:lvlJc w:val="left"/>
      <w:pPr>
        <w:ind w:left="1800" w:hanging="1440"/>
      </w:pPr>
      <w:rPr>
        <w:rFonts w:cs="Arial" w:hint="default"/>
        <w:u w:val="none"/>
      </w:rPr>
    </w:lvl>
    <w:lvl w:ilvl="7">
      <w:start w:val="1"/>
      <w:numFmt w:val="decimal"/>
      <w:isLgl/>
      <w:lvlText w:val="%1.%2.%3.%4.%5.%6.%7.%8"/>
      <w:lvlJc w:val="left"/>
      <w:pPr>
        <w:ind w:left="1800" w:hanging="1440"/>
      </w:pPr>
      <w:rPr>
        <w:rFonts w:cs="Arial" w:hint="default"/>
        <w:u w:val="none"/>
      </w:rPr>
    </w:lvl>
    <w:lvl w:ilvl="8">
      <w:start w:val="1"/>
      <w:numFmt w:val="decimal"/>
      <w:isLgl/>
      <w:lvlText w:val="%1.%2.%3.%4.%5.%6.%7.%8.%9"/>
      <w:lvlJc w:val="left"/>
      <w:pPr>
        <w:ind w:left="2160" w:hanging="1800"/>
      </w:pPr>
      <w:rPr>
        <w:rFonts w:cs="Arial" w:hint="default"/>
        <w:u w:val="none"/>
      </w:rPr>
    </w:lvl>
  </w:abstractNum>
  <w:abstractNum w:abstractNumId="14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15:restartNumberingAfterBreak="0">
    <w:nsid w:val="7986556B"/>
    <w:multiLevelType w:val="multilevel"/>
    <w:tmpl w:val="50FE9B7A"/>
    <w:lvl w:ilvl="0">
      <w:start w:val="3"/>
      <w:numFmt w:val="decimal"/>
      <w:lvlText w:val="%1."/>
      <w:lvlJc w:val="left"/>
      <w:pPr>
        <w:ind w:left="540" w:hanging="540"/>
      </w:pPr>
      <w:rPr>
        <w:rFonts w:hint="default"/>
      </w:rPr>
    </w:lvl>
    <w:lvl w:ilvl="1">
      <w:start w:val="3"/>
      <w:numFmt w:val="none"/>
      <w:lvlText w:val="4.2."/>
      <w:lvlJc w:val="left"/>
      <w:pPr>
        <w:ind w:left="540" w:hanging="540"/>
      </w:pPr>
      <w:rPr>
        <w:rFonts w:hint="default"/>
      </w:rPr>
    </w:lvl>
    <w:lvl w:ilvl="2">
      <w:start w:val="1"/>
      <w:numFmt w:val="none"/>
      <w:lvlText w:val="4.2.2."/>
      <w:lvlJc w:val="left"/>
      <w:pPr>
        <w:ind w:left="720" w:hanging="720"/>
      </w:pPr>
      <w:rPr>
        <w:rFonts w:hint="default"/>
      </w:rPr>
    </w:lvl>
    <w:lvl w:ilvl="3">
      <w:start w:val="1"/>
      <w:numFmt w:val="none"/>
      <w:lvlText w:val="4.2.2.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9E769AA"/>
    <w:multiLevelType w:val="multilevel"/>
    <w:tmpl w:val="68224526"/>
    <w:lvl w:ilvl="0">
      <w:start w:val="3"/>
      <w:numFmt w:val="decimal"/>
      <w:lvlText w:val="%1."/>
      <w:lvlJc w:val="left"/>
      <w:pPr>
        <w:ind w:left="540" w:hanging="540"/>
      </w:pPr>
      <w:rPr>
        <w:rFonts w:hint="default"/>
      </w:rPr>
    </w:lvl>
    <w:lvl w:ilvl="1">
      <w:start w:val="3"/>
      <w:numFmt w:val="decimal"/>
      <w:lvlText w:val="%2.8."/>
      <w:lvlJc w:val="left"/>
      <w:pPr>
        <w:ind w:left="540" w:hanging="540"/>
      </w:pPr>
      <w:rPr>
        <w:rFonts w:hint="default"/>
      </w:rPr>
    </w:lvl>
    <w:lvl w:ilvl="2">
      <w:start w:val="1"/>
      <w:numFmt w:val="decimal"/>
      <w:lvlText w:val="%1.7.2."/>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7A7362F6"/>
    <w:multiLevelType w:val="multilevel"/>
    <w:tmpl w:val="F774B9C2"/>
    <w:lvl w:ilvl="0">
      <w:start w:val="3"/>
      <w:numFmt w:val="decimal"/>
      <w:lvlText w:val="%1."/>
      <w:lvlJc w:val="left"/>
      <w:pPr>
        <w:ind w:left="540" w:hanging="540"/>
      </w:pPr>
      <w:rPr>
        <w:rFonts w:hint="default"/>
      </w:rPr>
    </w:lvl>
    <w:lvl w:ilvl="1">
      <w:start w:val="3"/>
      <w:numFmt w:val="none"/>
      <w:lvlText w:val="6.1."/>
      <w:lvlJc w:val="left"/>
      <w:pPr>
        <w:ind w:left="540" w:hanging="540"/>
      </w:pPr>
      <w:rPr>
        <w:rFonts w:hint="default"/>
      </w:rPr>
    </w:lvl>
    <w:lvl w:ilvl="2">
      <w:start w:val="1"/>
      <w:numFmt w:val="decimal"/>
      <w:lvlText w:val="%1.%2.%3."/>
      <w:lvlJc w:val="left"/>
      <w:pPr>
        <w:ind w:left="720" w:hanging="720"/>
      </w:pPr>
      <w:rPr>
        <w:rFonts w:hint="default"/>
      </w:rPr>
    </w:lvl>
    <w:lvl w:ilvl="3">
      <w:start w:val="1"/>
      <w:numFmt w:val="none"/>
      <w:lvlText w:val="6.1.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7BC16C69"/>
    <w:multiLevelType w:val="multilevel"/>
    <w:tmpl w:val="A91C0B4A"/>
    <w:lvl w:ilvl="0">
      <w:start w:val="3"/>
      <w:numFmt w:val="none"/>
      <w:lvlText w:val="8."/>
      <w:lvlJc w:val="left"/>
      <w:pPr>
        <w:ind w:left="540" w:hanging="540"/>
      </w:pPr>
      <w:rPr>
        <w:rFonts w:hint="default"/>
      </w:rPr>
    </w:lvl>
    <w:lvl w:ilvl="1">
      <w:start w:val="3"/>
      <w:numFmt w:val="none"/>
      <w:lvlText w:val="7.3."/>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C825F17"/>
    <w:multiLevelType w:val="multilevel"/>
    <w:tmpl w:val="87204BBA"/>
    <w:lvl w:ilvl="0">
      <w:start w:val="1"/>
      <w:numFmt w:val="decimal"/>
      <w:lvlText w:val="%1.5.1."/>
      <w:lvlJc w:val="left"/>
      <w:pPr>
        <w:ind w:left="720" w:hanging="360"/>
      </w:pPr>
      <w:rPr>
        <w:rFonts w:hint="default"/>
      </w:rPr>
    </w:lvl>
    <w:lvl w:ilvl="1">
      <w:start w:val="5"/>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6" w15:restartNumberingAfterBreak="0">
    <w:nsid w:val="7DB977BF"/>
    <w:multiLevelType w:val="multilevel"/>
    <w:tmpl w:val="8BA0E3F6"/>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3."/>
      <w:lvlJc w:val="left"/>
      <w:pPr>
        <w:ind w:left="720" w:hanging="720"/>
      </w:pPr>
      <w:rPr>
        <w:rFonts w:hint="default"/>
      </w:rPr>
    </w:lvl>
    <w:lvl w:ilvl="3">
      <w:start w:val="1"/>
      <w:numFmt w:val="decimal"/>
      <w:lvlText w:val="%1.4.3.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01"/>
  </w:num>
  <w:num w:numId="3">
    <w:abstractNumId w:val="131"/>
  </w:num>
  <w:num w:numId="4">
    <w:abstractNumId w:val="87"/>
  </w:num>
  <w:num w:numId="5">
    <w:abstractNumId w:val="115"/>
  </w:num>
  <w:num w:numId="6">
    <w:abstractNumId w:val="73"/>
  </w:num>
  <w:num w:numId="7">
    <w:abstractNumId w:val="130"/>
  </w:num>
  <w:num w:numId="8">
    <w:abstractNumId w:val="22"/>
  </w:num>
  <w:num w:numId="9">
    <w:abstractNumId w:val="110"/>
  </w:num>
  <w:num w:numId="10">
    <w:abstractNumId w:val="66"/>
  </w:num>
  <w:num w:numId="11">
    <w:abstractNumId w:val="91"/>
  </w:num>
  <w:num w:numId="12">
    <w:abstractNumId w:val="47"/>
  </w:num>
  <w:num w:numId="13">
    <w:abstractNumId w:val="112"/>
  </w:num>
  <w:num w:numId="14">
    <w:abstractNumId w:val="100"/>
  </w:num>
  <w:num w:numId="15">
    <w:abstractNumId w:val="58"/>
  </w:num>
  <w:num w:numId="16">
    <w:abstractNumId w:val="90"/>
  </w:num>
  <w:num w:numId="17">
    <w:abstractNumId w:val="53"/>
  </w:num>
  <w:num w:numId="18">
    <w:abstractNumId w:val="117"/>
  </w:num>
  <w:num w:numId="19">
    <w:abstractNumId w:val="17"/>
  </w:num>
  <w:num w:numId="20">
    <w:abstractNumId w:val="18"/>
  </w:num>
  <w:num w:numId="21">
    <w:abstractNumId w:val="104"/>
  </w:num>
  <w:num w:numId="22">
    <w:abstractNumId w:val="135"/>
  </w:num>
  <w:num w:numId="23">
    <w:abstractNumId w:val="31"/>
  </w:num>
  <w:num w:numId="24">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num>
  <w:num w:numId="26">
    <w:abstractNumId w:val="140"/>
  </w:num>
  <w:num w:numId="27">
    <w:abstractNumId w:val="6"/>
  </w:num>
  <w:num w:numId="28">
    <w:abstractNumId w:val="124"/>
  </w:num>
  <w:num w:numId="29">
    <w:abstractNumId w:val="133"/>
  </w:num>
  <w:num w:numId="30">
    <w:abstractNumId w:val="80"/>
  </w:num>
  <w:num w:numId="31">
    <w:abstractNumId w:val="4"/>
  </w:num>
  <w:num w:numId="32">
    <w:abstractNumId w:val="69"/>
  </w:num>
  <w:num w:numId="33">
    <w:abstractNumId w:val="128"/>
  </w:num>
  <w:num w:numId="34">
    <w:abstractNumId w:val="2"/>
  </w:num>
  <w:num w:numId="35">
    <w:abstractNumId w:val="119"/>
  </w:num>
  <w:num w:numId="36">
    <w:abstractNumId w:val="93"/>
  </w:num>
  <w:num w:numId="37">
    <w:abstractNumId w:val="0"/>
  </w:num>
  <w:num w:numId="38">
    <w:abstractNumId w:val="48"/>
  </w:num>
  <w:num w:numId="39">
    <w:abstractNumId w:val="84"/>
  </w:num>
  <w:num w:numId="40">
    <w:abstractNumId w:val="70"/>
  </w:num>
  <w:num w:numId="41">
    <w:abstractNumId w:val="83"/>
  </w:num>
  <w:num w:numId="42">
    <w:abstractNumId w:val="65"/>
  </w:num>
  <w:num w:numId="43">
    <w:abstractNumId w:val="98"/>
  </w:num>
  <w:num w:numId="44">
    <w:abstractNumId w:val="67"/>
  </w:num>
  <w:num w:numId="45">
    <w:abstractNumId w:val="82"/>
  </w:num>
  <w:num w:numId="46">
    <w:abstractNumId w:val="14"/>
  </w:num>
  <w:num w:numId="47">
    <w:abstractNumId w:val="102"/>
  </w:num>
  <w:num w:numId="48">
    <w:abstractNumId w:val="86"/>
  </w:num>
  <w:num w:numId="49">
    <w:abstractNumId w:val="39"/>
  </w:num>
  <w:num w:numId="50">
    <w:abstractNumId w:val="145"/>
  </w:num>
  <w:num w:numId="51">
    <w:abstractNumId w:val="88"/>
  </w:num>
  <w:num w:numId="52">
    <w:abstractNumId w:val="24"/>
  </w:num>
  <w:num w:numId="53">
    <w:abstractNumId w:val="40"/>
  </w:num>
  <w:num w:numId="54">
    <w:abstractNumId w:val="96"/>
  </w:num>
  <w:num w:numId="55">
    <w:abstractNumId w:val="60"/>
  </w:num>
  <w:num w:numId="56">
    <w:abstractNumId w:val="118"/>
  </w:num>
  <w:num w:numId="57">
    <w:abstractNumId w:val="41"/>
  </w:num>
  <w:num w:numId="58">
    <w:abstractNumId w:val="43"/>
  </w:num>
  <w:num w:numId="59">
    <w:abstractNumId w:val="28"/>
  </w:num>
  <w:num w:numId="60">
    <w:abstractNumId w:val="51"/>
  </w:num>
  <w:num w:numId="61">
    <w:abstractNumId w:val="120"/>
  </w:num>
  <w:num w:numId="62">
    <w:abstractNumId w:val="64"/>
  </w:num>
  <w:num w:numId="63">
    <w:abstractNumId w:val="36"/>
  </w:num>
  <w:num w:numId="64">
    <w:abstractNumId w:val="103"/>
  </w:num>
  <w:num w:numId="65">
    <w:abstractNumId w:val="35"/>
  </w:num>
  <w:num w:numId="66">
    <w:abstractNumId w:val="116"/>
  </w:num>
  <w:num w:numId="67">
    <w:abstractNumId w:val="107"/>
  </w:num>
  <w:num w:numId="68">
    <w:abstractNumId w:val="46"/>
  </w:num>
  <w:num w:numId="69">
    <w:abstractNumId w:val="32"/>
  </w:num>
  <w:num w:numId="70">
    <w:abstractNumId w:val="49"/>
  </w:num>
  <w:num w:numId="71">
    <w:abstractNumId w:val="129"/>
  </w:num>
  <w:num w:numId="72">
    <w:abstractNumId w:val="97"/>
  </w:num>
  <w:num w:numId="73">
    <w:abstractNumId w:val="139"/>
  </w:num>
  <w:num w:numId="74">
    <w:abstractNumId w:val="94"/>
  </w:num>
  <w:num w:numId="75">
    <w:abstractNumId w:val="34"/>
  </w:num>
  <w:num w:numId="76">
    <w:abstractNumId w:val="44"/>
  </w:num>
  <w:num w:numId="77">
    <w:abstractNumId w:val="108"/>
  </w:num>
  <w:num w:numId="78">
    <w:abstractNumId w:val="57"/>
  </w:num>
  <w:num w:numId="79">
    <w:abstractNumId w:val="61"/>
  </w:num>
  <w:num w:numId="80">
    <w:abstractNumId w:val="122"/>
  </w:num>
  <w:num w:numId="81">
    <w:abstractNumId w:val="79"/>
  </w:num>
  <w:num w:numId="82">
    <w:abstractNumId w:val="3"/>
  </w:num>
  <w:num w:numId="83">
    <w:abstractNumId w:val="146"/>
  </w:num>
  <w:num w:numId="84">
    <w:abstractNumId w:val="21"/>
  </w:num>
  <w:num w:numId="85">
    <w:abstractNumId w:val="74"/>
  </w:num>
  <w:num w:numId="86">
    <w:abstractNumId w:val="123"/>
  </w:num>
  <w:num w:numId="87">
    <w:abstractNumId w:val="89"/>
  </w:num>
  <w:num w:numId="88">
    <w:abstractNumId w:val="62"/>
  </w:num>
  <w:num w:numId="89">
    <w:abstractNumId w:val="136"/>
  </w:num>
  <w:num w:numId="90">
    <w:abstractNumId w:val="85"/>
  </w:num>
  <w:num w:numId="91">
    <w:abstractNumId w:val="8"/>
  </w:num>
  <w:num w:numId="92">
    <w:abstractNumId w:val="132"/>
  </w:num>
  <w:num w:numId="93">
    <w:abstractNumId w:val="142"/>
  </w:num>
  <w:num w:numId="94">
    <w:abstractNumId w:val="12"/>
  </w:num>
  <w:num w:numId="95">
    <w:abstractNumId w:val="33"/>
  </w:num>
  <w:num w:numId="96">
    <w:abstractNumId w:val="138"/>
  </w:num>
  <w:num w:numId="97">
    <w:abstractNumId w:val="68"/>
  </w:num>
  <w:num w:numId="98">
    <w:abstractNumId w:val="11"/>
  </w:num>
  <w:num w:numId="99">
    <w:abstractNumId w:val="95"/>
  </w:num>
  <w:num w:numId="100">
    <w:abstractNumId w:val="30"/>
  </w:num>
  <w:num w:numId="101">
    <w:abstractNumId w:val="23"/>
  </w:num>
  <w:num w:numId="102">
    <w:abstractNumId w:val="141"/>
  </w:num>
  <w:num w:numId="103">
    <w:abstractNumId w:val="99"/>
  </w:num>
  <w:num w:numId="104">
    <w:abstractNumId w:val="26"/>
  </w:num>
  <w:num w:numId="105">
    <w:abstractNumId w:val="105"/>
  </w:num>
  <w:num w:numId="106">
    <w:abstractNumId w:val="75"/>
  </w:num>
  <w:num w:numId="107">
    <w:abstractNumId w:val="10"/>
  </w:num>
  <w:num w:numId="108">
    <w:abstractNumId w:val="52"/>
  </w:num>
  <w:num w:numId="109">
    <w:abstractNumId w:val="76"/>
  </w:num>
  <w:num w:numId="110">
    <w:abstractNumId w:val="42"/>
  </w:num>
  <w:num w:numId="111">
    <w:abstractNumId w:val="81"/>
  </w:num>
  <w:num w:numId="112">
    <w:abstractNumId w:val="13"/>
  </w:num>
  <w:num w:numId="113">
    <w:abstractNumId w:val="126"/>
  </w:num>
  <w:num w:numId="114">
    <w:abstractNumId w:val="9"/>
  </w:num>
  <w:num w:numId="115">
    <w:abstractNumId w:val="78"/>
  </w:num>
  <w:num w:numId="116">
    <w:abstractNumId w:val="45"/>
  </w:num>
  <w:num w:numId="117">
    <w:abstractNumId w:val="29"/>
  </w:num>
  <w:num w:numId="118">
    <w:abstractNumId w:val="56"/>
  </w:num>
  <w:num w:numId="119">
    <w:abstractNumId w:val="125"/>
  </w:num>
  <w:num w:numId="120">
    <w:abstractNumId w:val="106"/>
  </w:num>
  <w:num w:numId="121">
    <w:abstractNumId w:val="137"/>
  </w:num>
  <w:num w:numId="122">
    <w:abstractNumId w:val="111"/>
  </w:num>
  <w:num w:numId="123">
    <w:abstractNumId w:val="38"/>
  </w:num>
  <w:num w:numId="124">
    <w:abstractNumId w:val="1"/>
  </w:num>
  <w:num w:numId="125">
    <w:abstractNumId w:val="37"/>
  </w:num>
  <w:num w:numId="126">
    <w:abstractNumId w:val="121"/>
  </w:num>
  <w:num w:numId="127">
    <w:abstractNumId w:val="27"/>
  </w:num>
  <w:num w:numId="128">
    <w:abstractNumId w:val="25"/>
  </w:num>
  <w:num w:numId="129">
    <w:abstractNumId w:val="54"/>
  </w:num>
  <w:num w:numId="130">
    <w:abstractNumId w:val="63"/>
  </w:num>
  <w:num w:numId="131">
    <w:abstractNumId w:val="55"/>
  </w:num>
  <w:num w:numId="132">
    <w:abstractNumId w:val="71"/>
  </w:num>
  <w:num w:numId="133">
    <w:abstractNumId w:val="143"/>
  </w:num>
  <w:num w:numId="134">
    <w:abstractNumId w:val="134"/>
  </w:num>
  <w:num w:numId="135">
    <w:abstractNumId w:val="113"/>
  </w:num>
  <w:num w:numId="136">
    <w:abstractNumId w:val="7"/>
  </w:num>
  <w:num w:numId="137">
    <w:abstractNumId w:val="72"/>
  </w:num>
  <w:num w:numId="138">
    <w:abstractNumId w:val="20"/>
  </w:num>
  <w:num w:numId="139">
    <w:abstractNumId w:val="59"/>
  </w:num>
  <w:num w:numId="140">
    <w:abstractNumId w:val="15"/>
  </w:num>
  <w:num w:numId="141">
    <w:abstractNumId w:val="16"/>
  </w:num>
  <w:num w:numId="142">
    <w:abstractNumId w:val="127"/>
  </w:num>
  <w:num w:numId="143">
    <w:abstractNumId w:val="77"/>
  </w:num>
  <w:num w:numId="144">
    <w:abstractNumId w:val="92"/>
  </w:num>
  <w:num w:numId="145">
    <w:abstractNumId w:val="144"/>
  </w:num>
  <w:num w:numId="146">
    <w:abstractNumId w:val="19"/>
  </w:num>
  <w:num w:numId="147">
    <w:abstractNumId w:val="114"/>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fr-FR" w:vendorID="64" w:dllVersion="131078" w:nlCheck="1" w:checkStyle="0"/>
  <w:activeWritingStyle w:appName="MSWord" w:lang="es-ES_tradnl"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3CC"/>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66CF"/>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5C39"/>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35"/>
      </w:numPr>
    </w:pPr>
  </w:style>
  <w:style w:type="paragraph" w:customStyle="1" w:styleId="Numberedtitlelevel2">
    <w:name w:val="Numbered title level 2"/>
    <w:basedOn w:val="Titlelevel2"/>
    <w:next w:val="body"/>
    <w:qFormat/>
    <w:rsid w:val="00595FAD"/>
    <w:pPr>
      <w:numPr>
        <w:ilvl w:val="1"/>
        <w:numId w:val="3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33"/>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34"/>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31"/>
      </w:numPr>
    </w:pPr>
    <w:rPr>
      <w:szCs w:val="22"/>
    </w:rPr>
  </w:style>
  <w:style w:type="paragraph" w:customStyle="1" w:styleId="bullet2">
    <w:name w:val="bullet 2"/>
    <w:basedOn w:val="body"/>
    <w:qFormat/>
    <w:rsid w:val="00595FAD"/>
    <w:pPr>
      <w:numPr>
        <w:numId w:val="30"/>
      </w:numPr>
    </w:pPr>
    <w:rPr>
      <w:szCs w:val="22"/>
    </w:rPr>
  </w:style>
  <w:style w:type="paragraph" w:customStyle="1" w:styleId="Numberedtitlelevel3">
    <w:name w:val="Numbered title level 3"/>
    <w:basedOn w:val="Titlelevel3"/>
    <w:next w:val="body"/>
    <w:qFormat/>
    <w:rsid w:val="00595FAD"/>
    <w:pPr>
      <w:numPr>
        <w:ilvl w:val="2"/>
        <w:numId w:val="3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3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3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3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3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C067C-EF8D-42D7-B508-B2E498CD4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275</Pages>
  <Words>90798</Words>
  <Characters>513009</Characters>
  <Application>Microsoft Office Word</Application>
  <DocSecurity>0</DocSecurity>
  <Lines>13154</Lines>
  <Paragraphs>7547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596260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