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23B806" w14:textId="07000D86" w:rsidR="009E7D0C" w:rsidRPr="00E07C9A" w:rsidRDefault="009E7D0C" w:rsidP="00A33695">
      <w:pPr>
        <w:jc w:val="center"/>
        <w:rPr>
          <w:rFonts w:ascii="Times New Roman" w:hAnsi="Times New Roman"/>
          <w:sz w:val="24"/>
        </w:rPr>
      </w:pPr>
      <w:bookmarkStart w:id="0" w:name="_Toc262568021"/>
      <w:bookmarkStart w:id="1" w:name="_Toc295829847"/>
      <w:r w:rsidRPr="00E07C9A">
        <w:rPr>
          <w:rFonts w:ascii="Times New Roman" w:hAnsi="Times New Roman"/>
          <w:sz w:val="24"/>
        </w:rPr>
        <w:t>SK</w:t>
      </w:r>
    </w:p>
    <w:p w14:paraId="2704A83C" w14:textId="77777777" w:rsidR="009E7D0C" w:rsidRPr="00E07C9A" w:rsidRDefault="009E7D0C" w:rsidP="00A33695">
      <w:pPr>
        <w:jc w:val="center"/>
        <w:rPr>
          <w:rFonts w:ascii="Times New Roman" w:hAnsi="Times New Roman"/>
          <w:sz w:val="24"/>
        </w:rPr>
      </w:pPr>
    </w:p>
    <w:p w14:paraId="24333E7A" w14:textId="5D6FD9D5" w:rsidR="008D696E" w:rsidRPr="00E07C9A" w:rsidRDefault="008D696E" w:rsidP="00A33695">
      <w:pPr>
        <w:jc w:val="center"/>
        <w:rPr>
          <w:rFonts w:ascii="Times New Roman" w:hAnsi="Times New Roman"/>
          <w:sz w:val="24"/>
        </w:rPr>
      </w:pPr>
      <w:r w:rsidRPr="00E07C9A">
        <w:rPr>
          <w:rFonts w:ascii="Times New Roman" w:hAnsi="Times New Roman"/>
          <w:sz w:val="24"/>
        </w:rPr>
        <w:t>PRÍLOHA II</w:t>
      </w:r>
    </w:p>
    <w:p w14:paraId="37362007" w14:textId="6FB5EC15" w:rsidR="002648B0" w:rsidRPr="00E07C9A" w:rsidRDefault="008D696E" w:rsidP="00A33695">
      <w:pPr>
        <w:jc w:val="center"/>
        <w:rPr>
          <w:rFonts w:ascii="Times New Roman" w:hAnsi="Times New Roman"/>
          <w:sz w:val="24"/>
        </w:rPr>
      </w:pPr>
      <w:r w:rsidRPr="00E07C9A">
        <w:rPr>
          <w:rFonts w:ascii="Times New Roman" w:hAnsi="Times New Roman"/>
          <w:sz w:val="24"/>
        </w:rPr>
        <w:t>„PRÍLOHA II</w:t>
      </w:r>
    </w:p>
    <w:p w14:paraId="327777EC" w14:textId="77777777" w:rsidR="002648B0" w:rsidRPr="00E07C9A" w:rsidRDefault="00D11E4C" w:rsidP="00C87CEE">
      <w:pPr>
        <w:jc w:val="center"/>
        <w:rPr>
          <w:rFonts w:ascii="Times New Roman" w:hAnsi="Times New Roman"/>
          <w:b/>
          <w:sz w:val="24"/>
        </w:rPr>
      </w:pPr>
      <w:r w:rsidRPr="00E07C9A">
        <w:rPr>
          <w:rFonts w:ascii="Times New Roman" w:hAnsi="Times New Roman"/>
          <w:b/>
          <w:sz w:val="24"/>
        </w:rPr>
        <w:t>POKYNY NA VYKAZOVANIE VLASTNÝCH ZDROJOV A POŽIADAVIEK NA VLASTNÉ ZDROJE</w:t>
      </w:r>
    </w:p>
    <w:p w14:paraId="2C40683C" w14:textId="63ECB3B8" w:rsidR="00436204" w:rsidRPr="00E07C9A" w:rsidRDefault="00436204" w:rsidP="00C87CEE">
      <w:pPr>
        <w:jc w:val="center"/>
        <w:rPr>
          <w:rFonts w:ascii="Times New Roman" w:hAnsi="Times New Roman"/>
          <w:b/>
          <w:sz w:val="24"/>
          <w:lang w:eastAsia="de-DE"/>
        </w:rPr>
      </w:pPr>
      <w:bookmarkStart w:id="2" w:name="_GoBack"/>
      <w:bookmarkEnd w:id="2"/>
    </w:p>
    <w:p w14:paraId="3DEB94EC" w14:textId="77777777" w:rsidR="00783881" w:rsidRPr="00E07C9A" w:rsidRDefault="002648B0" w:rsidP="00487A02">
      <w:pPr>
        <w:pStyle w:val="InstructionsText"/>
      </w:pPr>
      <w:r w:rsidRPr="00E07C9A">
        <w:t>Obsah</w:t>
      </w:r>
    </w:p>
    <w:p w14:paraId="136B153D" w14:textId="3C00B55C" w:rsidR="00DE63C7" w:rsidRPr="00E07C9A" w:rsidRDefault="00745369">
      <w:pPr>
        <w:pStyle w:val="TOC2"/>
        <w:rPr>
          <w:rFonts w:ascii="Times New Roman" w:eastAsiaTheme="minorEastAsia" w:hAnsi="Times New Roman"/>
          <w:b w:val="0"/>
          <w:smallCaps w:val="0"/>
          <w:sz w:val="22"/>
          <w:lang w:eastAsia="sk-SK"/>
        </w:rPr>
      </w:pPr>
      <w:r w:rsidRPr="00E07C9A">
        <w:rPr>
          <w:rFonts w:ascii="Times New Roman" w:hAnsi="Times New Roman"/>
          <w:noProof w:val="0"/>
          <w:sz w:val="24"/>
        </w:rPr>
        <w:fldChar w:fldCharType="begin"/>
      </w:r>
      <w:r w:rsidRPr="00E07C9A">
        <w:rPr>
          <w:rFonts w:ascii="Times New Roman" w:hAnsi="Times New Roman"/>
          <w:noProof w:val="0"/>
          <w:sz w:val="24"/>
        </w:rPr>
        <w:instrText xml:space="preserve"> TOC \o "1-3" \h \z \u </w:instrText>
      </w:r>
      <w:r w:rsidRPr="00E07C9A">
        <w:rPr>
          <w:rFonts w:ascii="Times New Roman" w:hAnsi="Times New Roman"/>
          <w:noProof w:val="0"/>
          <w:sz w:val="24"/>
        </w:rPr>
        <w:fldChar w:fldCharType="separate"/>
      </w:r>
      <w:hyperlink w:anchor="_Toc115857745" w:history="1">
        <w:r w:rsidR="00DE63C7" w:rsidRPr="00E07C9A">
          <w:rPr>
            <w:rStyle w:val="Hyperlink"/>
            <w:rFonts w:ascii="Times New Roman" w:hAnsi="Times New Roman"/>
          </w:rPr>
          <w:t>ČASŤ I: VŠEOBECNÉ POKYNY</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_Toc115857745 \h </w:instrText>
        </w:r>
        <w:r w:rsidR="00DE63C7" w:rsidRPr="00E07C9A">
          <w:rPr>
            <w:rFonts w:ascii="Times New Roman" w:hAnsi="Times New Roman"/>
            <w:webHidden/>
          </w:rPr>
        </w:r>
        <w:r w:rsidR="00DE63C7" w:rsidRPr="00E07C9A">
          <w:rPr>
            <w:rFonts w:ascii="Times New Roman" w:hAnsi="Times New Roman"/>
            <w:webHidden/>
          </w:rPr>
          <w:fldChar w:fldCharType="separate"/>
        </w:r>
        <w:r w:rsidR="00132AEE">
          <w:rPr>
            <w:rFonts w:ascii="Times New Roman" w:hAnsi="Times New Roman"/>
            <w:webHidden/>
          </w:rPr>
          <w:t>7</w:t>
        </w:r>
        <w:r w:rsidR="00DE63C7" w:rsidRPr="00E07C9A">
          <w:rPr>
            <w:rFonts w:ascii="Times New Roman" w:hAnsi="Times New Roman"/>
            <w:webHidden/>
          </w:rPr>
          <w:fldChar w:fldCharType="end"/>
        </w:r>
      </w:hyperlink>
    </w:p>
    <w:p w14:paraId="0E1A7F62" w14:textId="29B30385" w:rsidR="00DE63C7" w:rsidRPr="00E07C9A" w:rsidRDefault="00132AEE">
      <w:pPr>
        <w:pStyle w:val="TOC2"/>
        <w:rPr>
          <w:rFonts w:ascii="Times New Roman" w:eastAsiaTheme="minorEastAsia" w:hAnsi="Times New Roman"/>
          <w:b w:val="0"/>
          <w:smallCaps w:val="0"/>
          <w:sz w:val="22"/>
          <w:lang w:eastAsia="sk-SK"/>
        </w:rPr>
      </w:pPr>
      <w:hyperlink w:anchor="_Toc115857746" w:history="1">
        <w:r w:rsidR="00DE63C7" w:rsidRPr="00E07C9A">
          <w:rPr>
            <w:rStyle w:val="Hyperlink"/>
            <w:rFonts w:ascii="Times New Roman" w:hAnsi="Times New Roman"/>
          </w:rPr>
          <w:t>1.</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ŠTRUKTÚRA A PRAVIDLÁ</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_Toc115857746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7</w:t>
        </w:r>
        <w:r w:rsidR="00DE63C7" w:rsidRPr="00E07C9A">
          <w:rPr>
            <w:rFonts w:ascii="Times New Roman" w:hAnsi="Times New Roman"/>
            <w:webHidden/>
          </w:rPr>
          <w:fldChar w:fldCharType="end"/>
        </w:r>
      </w:hyperlink>
    </w:p>
    <w:p w14:paraId="29958B40" w14:textId="728D1DE3" w:rsidR="00DE63C7" w:rsidRPr="00E07C9A" w:rsidRDefault="00132AEE">
      <w:pPr>
        <w:pStyle w:val="TOC2"/>
        <w:rPr>
          <w:rFonts w:ascii="Times New Roman" w:eastAsiaTheme="minorEastAsia" w:hAnsi="Times New Roman"/>
          <w:b w:val="0"/>
          <w:smallCaps w:val="0"/>
          <w:sz w:val="22"/>
          <w:lang w:eastAsia="sk-SK"/>
        </w:rPr>
      </w:pPr>
      <w:hyperlink w:anchor="_Toc115857747" w:history="1">
        <w:r w:rsidR="00DE63C7" w:rsidRPr="00E07C9A">
          <w:rPr>
            <w:rStyle w:val="Hyperlink"/>
            <w:rFonts w:ascii="Times New Roman" w:hAnsi="Times New Roman"/>
          </w:rPr>
          <w:t>1.1.</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ŠTRUKTÚRA</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_Toc115857747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7</w:t>
        </w:r>
        <w:r w:rsidR="00DE63C7" w:rsidRPr="00E07C9A">
          <w:rPr>
            <w:rFonts w:ascii="Times New Roman" w:hAnsi="Times New Roman"/>
            <w:webHidden/>
          </w:rPr>
          <w:fldChar w:fldCharType="end"/>
        </w:r>
      </w:hyperlink>
    </w:p>
    <w:p w14:paraId="690BD603" w14:textId="1932E702" w:rsidR="00DE63C7" w:rsidRPr="00E07C9A" w:rsidRDefault="00132AEE">
      <w:pPr>
        <w:pStyle w:val="TOC2"/>
        <w:rPr>
          <w:rFonts w:ascii="Times New Roman" w:eastAsiaTheme="minorEastAsia" w:hAnsi="Times New Roman"/>
          <w:b w:val="0"/>
          <w:smallCaps w:val="0"/>
          <w:sz w:val="22"/>
          <w:lang w:eastAsia="sk-SK"/>
        </w:rPr>
      </w:pPr>
      <w:hyperlink w:anchor="_Toc115857748" w:history="1">
        <w:r w:rsidR="00DE63C7" w:rsidRPr="00E07C9A">
          <w:rPr>
            <w:rStyle w:val="Hyperlink"/>
            <w:rFonts w:ascii="Times New Roman" w:hAnsi="Times New Roman"/>
          </w:rPr>
          <w:t>1.2.</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Pravidlá číslovania</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_Toc115857748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7</w:t>
        </w:r>
        <w:r w:rsidR="00DE63C7" w:rsidRPr="00E07C9A">
          <w:rPr>
            <w:rFonts w:ascii="Times New Roman" w:hAnsi="Times New Roman"/>
            <w:webHidden/>
          </w:rPr>
          <w:fldChar w:fldCharType="end"/>
        </w:r>
      </w:hyperlink>
    </w:p>
    <w:p w14:paraId="061E2109" w14:textId="158387AF" w:rsidR="00DE63C7" w:rsidRPr="00E07C9A" w:rsidRDefault="00132AEE">
      <w:pPr>
        <w:pStyle w:val="TOC2"/>
        <w:rPr>
          <w:rFonts w:ascii="Times New Roman" w:eastAsiaTheme="minorEastAsia" w:hAnsi="Times New Roman"/>
          <w:b w:val="0"/>
          <w:smallCaps w:val="0"/>
          <w:sz w:val="22"/>
          <w:lang w:eastAsia="sk-SK"/>
        </w:rPr>
      </w:pPr>
      <w:hyperlink w:anchor="_Toc115857749" w:history="1">
        <w:r w:rsidR="00DE63C7" w:rsidRPr="00E07C9A">
          <w:rPr>
            <w:rStyle w:val="Hyperlink"/>
            <w:rFonts w:ascii="Times New Roman" w:hAnsi="Times New Roman"/>
          </w:rPr>
          <w:t>1.3.</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Pravidlá používania znamienok</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_Toc115857749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8</w:t>
        </w:r>
        <w:r w:rsidR="00DE63C7" w:rsidRPr="00E07C9A">
          <w:rPr>
            <w:rFonts w:ascii="Times New Roman" w:hAnsi="Times New Roman"/>
            <w:webHidden/>
          </w:rPr>
          <w:fldChar w:fldCharType="end"/>
        </w:r>
      </w:hyperlink>
    </w:p>
    <w:p w14:paraId="4CE617FB" w14:textId="092ED1F8" w:rsidR="00DE63C7" w:rsidRPr="00E07C9A" w:rsidRDefault="00132AEE">
      <w:pPr>
        <w:pStyle w:val="TOC2"/>
        <w:rPr>
          <w:rFonts w:ascii="Times New Roman" w:eastAsiaTheme="minorEastAsia" w:hAnsi="Times New Roman"/>
          <w:b w:val="0"/>
          <w:smallCaps w:val="0"/>
          <w:sz w:val="22"/>
          <w:lang w:eastAsia="sk-SK"/>
        </w:rPr>
      </w:pPr>
      <w:hyperlink w:anchor="_Toc115857750" w:history="1">
        <w:r w:rsidR="00DE63C7" w:rsidRPr="00E07C9A">
          <w:rPr>
            <w:rStyle w:val="Hyperlink"/>
            <w:rFonts w:ascii="Times New Roman" w:hAnsi="Times New Roman"/>
          </w:rPr>
          <w:t>ČASŤ II: POKYNY TÝKAJÚCE SA VZOROV</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_Toc115857750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9</w:t>
        </w:r>
        <w:r w:rsidR="00DE63C7" w:rsidRPr="00E07C9A">
          <w:rPr>
            <w:rFonts w:ascii="Times New Roman" w:hAnsi="Times New Roman"/>
            <w:webHidden/>
          </w:rPr>
          <w:fldChar w:fldCharType="end"/>
        </w:r>
      </w:hyperlink>
    </w:p>
    <w:p w14:paraId="3232DD7D" w14:textId="2AA4612B" w:rsidR="00DE63C7" w:rsidRPr="00E07C9A" w:rsidRDefault="00132AEE">
      <w:pPr>
        <w:pStyle w:val="TOC2"/>
        <w:rPr>
          <w:rFonts w:ascii="Times New Roman" w:eastAsiaTheme="minorEastAsia" w:hAnsi="Times New Roman"/>
          <w:b w:val="0"/>
          <w:smallCaps w:val="0"/>
          <w:sz w:val="22"/>
          <w:lang w:eastAsia="sk-SK"/>
        </w:rPr>
      </w:pPr>
      <w:hyperlink w:anchor="_Toc115857751" w:history="1">
        <w:r w:rsidR="00DE63C7" w:rsidRPr="00E07C9A">
          <w:rPr>
            <w:rStyle w:val="Hyperlink"/>
            <w:rFonts w:ascii="Times New Roman" w:hAnsi="Times New Roman"/>
          </w:rPr>
          <w:t>1.</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Prehľad kapitálovej primeranosti („CA“)</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_Toc115857751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9</w:t>
        </w:r>
        <w:r w:rsidR="00DE63C7" w:rsidRPr="00E07C9A">
          <w:rPr>
            <w:rFonts w:ascii="Times New Roman" w:hAnsi="Times New Roman"/>
            <w:webHidden/>
          </w:rPr>
          <w:fldChar w:fldCharType="end"/>
        </w:r>
      </w:hyperlink>
    </w:p>
    <w:p w14:paraId="6467CE10" w14:textId="4006DED1" w:rsidR="00DE63C7" w:rsidRPr="00E07C9A" w:rsidRDefault="00132AEE">
      <w:pPr>
        <w:pStyle w:val="TOC2"/>
        <w:rPr>
          <w:rFonts w:ascii="Times New Roman" w:eastAsiaTheme="minorEastAsia" w:hAnsi="Times New Roman"/>
          <w:b w:val="0"/>
          <w:smallCaps w:val="0"/>
          <w:sz w:val="22"/>
          <w:lang w:eastAsia="sk-SK"/>
        </w:rPr>
      </w:pPr>
      <w:hyperlink w:anchor="_Toc115857752" w:history="1">
        <w:r w:rsidR="00DE63C7" w:rsidRPr="00E07C9A">
          <w:rPr>
            <w:rStyle w:val="Hyperlink"/>
            <w:rFonts w:ascii="Times New Roman" w:hAnsi="Times New Roman"/>
          </w:rPr>
          <w:t>1.1.</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Všeobecné poznámky</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_Toc115857752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9</w:t>
        </w:r>
        <w:r w:rsidR="00DE63C7" w:rsidRPr="00E07C9A">
          <w:rPr>
            <w:rFonts w:ascii="Times New Roman" w:hAnsi="Times New Roman"/>
            <w:webHidden/>
          </w:rPr>
          <w:fldChar w:fldCharType="end"/>
        </w:r>
      </w:hyperlink>
    </w:p>
    <w:p w14:paraId="7D592ADA" w14:textId="4AAF249D" w:rsidR="00DE63C7" w:rsidRPr="00E07C9A" w:rsidRDefault="00132AEE">
      <w:pPr>
        <w:pStyle w:val="TOC2"/>
        <w:rPr>
          <w:rFonts w:ascii="Times New Roman" w:eastAsiaTheme="minorEastAsia" w:hAnsi="Times New Roman"/>
          <w:b w:val="0"/>
          <w:smallCaps w:val="0"/>
          <w:sz w:val="22"/>
          <w:lang w:eastAsia="sk-SK"/>
        </w:rPr>
      </w:pPr>
      <w:hyperlink w:anchor="_Toc115857753" w:history="1">
        <w:r w:rsidR="00DE63C7" w:rsidRPr="00E07C9A">
          <w:rPr>
            <w:rStyle w:val="Hyperlink"/>
            <w:rFonts w:ascii="Times New Roman" w:hAnsi="Times New Roman"/>
          </w:rPr>
          <w:t>1.2.</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C 01.00 – VLASTNÉ ZDROJE (CA1)</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_Toc115857753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10</w:t>
        </w:r>
        <w:r w:rsidR="00DE63C7" w:rsidRPr="00E07C9A">
          <w:rPr>
            <w:rFonts w:ascii="Times New Roman" w:hAnsi="Times New Roman"/>
            <w:webHidden/>
          </w:rPr>
          <w:fldChar w:fldCharType="end"/>
        </w:r>
      </w:hyperlink>
    </w:p>
    <w:p w14:paraId="60CDF4BD" w14:textId="7FD93835" w:rsidR="00DE63C7" w:rsidRPr="00E07C9A" w:rsidRDefault="00132AEE">
      <w:pPr>
        <w:pStyle w:val="TOC2"/>
        <w:rPr>
          <w:rFonts w:ascii="Times New Roman" w:eastAsiaTheme="minorEastAsia" w:hAnsi="Times New Roman"/>
          <w:b w:val="0"/>
          <w:smallCaps w:val="0"/>
          <w:sz w:val="22"/>
          <w:lang w:eastAsia="sk-SK"/>
        </w:rPr>
      </w:pPr>
      <w:hyperlink w:anchor="_Toc115857754" w:history="1">
        <w:r w:rsidR="00DE63C7" w:rsidRPr="00E07C9A">
          <w:rPr>
            <w:rStyle w:val="Hyperlink"/>
            <w:rFonts w:ascii="Times New Roman" w:hAnsi="Times New Roman"/>
          </w:rPr>
          <w:t>1.2.1.</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Pokyny týkajúce sa konkrétnych pozícií</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_Toc115857754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10</w:t>
        </w:r>
        <w:r w:rsidR="00DE63C7" w:rsidRPr="00E07C9A">
          <w:rPr>
            <w:rFonts w:ascii="Times New Roman" w:hAnsi="Times New Roman"/>
            <w:webHidden/>
          </w:rPr>
          <w:fldChar w:fldCharType="end"/>
        </w:r>
      </w:hyperlink>
    </w:p>
    <w:p w14:paraId="5832E720" w14:textId="45F9A617" w:rsidR="00DE63C7" w:rsidRPr="00E07C9A" w:rsidRDefault="00132AEE">
      <w:pPr>
        <w:pStyle w:val="TOC2"/>
        <w:rPr>
          <w:rFonts w:ascii="Times New Roman" w:eastAsiaTheme="minorEastAsia" w:hAnsi="Times New Roman"/>
          <w:b w:val="0"/>
          <w:smallCaps w:val="0"/>
          <w:sz w:val="22"/>
          <w:lang w:eastAsia="sk-SK"/>
        </w:rPr>
      </w:pPr>
      <w:hyperlink w:anchor="_Toc115857755" w:history="1">
        <w:r w:rsidR="00DE63C7" w:rsidRPr="00E07C9A">
          <w:rPr>
            <w:rStyle w:val="Hyperlink"/>
            <w:rFonts w:ascii="Times New Roman" w:hAnsi="Times New Roman"/>
          </w:rPr>
          <w:t>1.3.</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C 02.00 – POŽIADAVKY NA VLASTNÉ ZDROJE (CA2)</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_Toc115857755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28</w:t>
        </w:r>
        <w:r w:rsidR="00DE63C7" w:rsidRPr="00E07C9A">
          <w:rPr>
            <w:rFonts w:ascii="Times New Roman" w:hAnsi="Times New Roman"/>
            <w:webHidden/>
          </w:rPr>
          <w:fldChar w:fldCharType="end"/>
        </w:r>
      </w:hyperlink>
    </w:p>
    <w:p w14:paraId="33D9A91E" w14:textId="2082652C" w:rsidR="00DE63C7" w:rsidRPr="00E07C9A" w:rsidRDefault="00132AEE">
      <w:pPr>
        <w:pStyle w:val="TOC2"/>
        <w:rPr>
          <w:rFonts w:ascii="Times New Roman" w:eastAsiaTheme="minorEastAsia" w:hAnsi="Times New Roman"/>
          <w:b w:val="0"/>
          <w:smallCaps w:val="0"/>
          <w:sz w:val="22"/>
          <w:lang w:eastAsia="sk-SK"/>
        </w:rPr>
      </w:pPr>
      <w:hyperlink w:anchor="_Toc115857756" w:history="1">
        <w:r w:rsidR="00DE63C7" w:rsidRPr="00E07C9A">
          <w:rPr>
            <w:rStyle w:val="Hyperlink"/>
            <w:rFonts w:ascii="Times New Roman" w:hAnsi="Times New Roman"/>
          </w:rPr>
          <w:t>1.3.1.</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Pokyny týkajúce sa konkrétnych pozícií</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_Toc115857756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28</w:t>
        </w:r>
        <w:r w:rsidR="00DE63C7" w:rsidRPr="00E07C9A">
          <w:rPr>
            <w:rFonts w:ascii="Times New Roman" w:hAnsi="Times New Roman"/>
            <w:webHidden/>
          </w:rPr>
          <w:fldChar w:fldCharType="end"/>
        </w:r>
      </w:hyperlink>
    </w:p>
    <w:p w14:paraId="4039AC5B" w14:textId="1BCDB98A" w:rsidR="00DE63C7" w:rsidRPr="00E07C9A" w:rsidRDefault="00132AEE">
      <w:pPr>
        <w:pStyle w:val="TOC2"/>
        <w:rPr>
          <w:rFonts w:ascii="Times New Roman" w:eastAsiaTheme="minorEastAsia" w:hAnsi="Times New Roman"/>
          <w:b w:val="0"/>
          <w:smallCaps w:val="0"/>
          <w:sz w:val="22"/>
          <w:lang w:eastAsia="sk-SK"/>
        </w:rPr>
      </w:pPr>
      <w:hyperlink w:anchor="_Toc115857757" w:history="1">
        <w:r w:rsidR="00DE63C7" w:rsidRPr="00E07C9A">
          <w:rPr>
            <w:rStyle w:val="Hyperlink"/>
            <w:rFonts w:ascii="Times New Roman" w:hAnsi="Times New Roman"/>
          </w:rPr>
          <w:t>1.4.</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C 03.00 – PODIELY A ÚROVNE KAPITÁLU (CA3)</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_Toc115857757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36</w:t>
        </w:r>
        <w:r w:rsidR="00DE63C7" w:rsidRPr="00E07C9A">
          <w:rPr>
            <w:rFonts w:ascii="Times New Roman" w:hAnsi="Times New Roman"/>
            <w:webHidden/>
          </w:rPr>
          <w:fldChar w:fldCharType="end"/>
        </w:r>
      </w:hyperlink>
    </w:p>
    <w:p w14:paraId="7F95EB55" w14:textId="794E1C35" w:rsidR="00DE63C7" w:rsidRPr="00E07C9A" w:rsidRDefault="00132AEE">
      <w:pPr>
        <w:pStyle w:val="TOC2"/>
        <w:rPr>
          <w:rFonts w:ascii="Times New Roman" w:eastAsiaTheme="minorEastAsia" w:hAnsi="Times New Roman"/>
          <w:b w:val="0"/>
          <w:smallCaps w:val="0"/>
          <w:sz w:val="22"/>
          <w:lang w:eastAsia="sk-SK"/>
        </w:rPr>
      </w:pPr>
      <w:hyperlink w:anchor="_Toc115857758" w:history="1">
        <w:r w:rsidR="00DE63C7" w:rsidRPr="00E07C9A">
          <w:rPr>
            <w:rStyle w:val="Hyperlink"/>
            <w:rFonts w:ascii="Times New Roman" w:hAnsi="Times New Roman"/>
          </w:rPr>
          <w:t>1.4.1.</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Pokyny týkajúce sa konkrétnych pozícií</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_Toc115857758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36</w:t>
        </w:r>
        <w:r w:rsidR="00DE63C7" w:rsidRPr="00E07C9A">
          <w:rPr>
            <w:rFonts w:ascii="Times New Roman" w:hAnsi="Times New Roman"/>
            <w:webHidden/>
          </w:rPr>
          <w:fldChar w:fldCharType="end"/>
        </w:r>
      </w:hyperlink>
    </w:p>
    <w:p w14:paraId="357218A3" w14:textId="7946CFA5" w:rsidR="00DE63C7" w:rsidRPr="00E07C9A" w:rsidRDefault="00132AEE">
      <w:pPr>
        <w:pStyle w:val="TOC2"/>
        <w:rPr>
          <w:rFonts w:ascii="Times New Roman" w:eastAsiaTheme="minorEastAsia" w:hAnsi="Times New Roman"/>
          <w:b w:val="0"/>
          <w:smallCaps w:val="0"/>
          <w:sz w:val="22"/>
          <w:lang w:eastAsia="sk-SK"/>
        </w:rPr>
      </w:pPr>
      <w:hyperlink w:anchor="_Toc115857759" w:history="1">
        <w:r w:rsidR="00DE63C7" w:rsidRPr="00E07C9A">
          <w:rPr>
            <w:rStyle w:val="Hyperlink"/>
            <w:rFonts w:ascii="Times New Roman" w:hAnsi="Times New Roman"/>
          </w:rPr>
          <w:t>1.5.</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C 04.00 – DOPLŇUJÚCE POLOŽKY (CA4)</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_Toc115857759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39</w:t>
        </w:r>
        <w:r w:rsidR="00DE63C7" w:rsidRPr="00E07C9A">
          <w:rPr>
            <w:rFonts w:ascii="Times New Roman" w:hAnsi="Times New Roman"/>
            <w:webHidden/>
          </w:rPr>
          <w:fldChar w:fldCharType="end"/>
        </w:r>
      </w:hyperlink>
    </w:p>
    <w:p w14:paraId="7527E952" w14:textId="58A720A4" w:rsidR="00DE63C7" w:rsidRPr="00E07C9A" w:rsidRDefault="00132AEE">
      <w:pPr>
        <w:pStyle w:val="TOC2"/>
        <w:rPr>
          <w:rFonts w:ascii="Times New Roman" w:eastAsiaTheme="minorEastAsia" w:hAnsi="Times New Roman"/>
          <w:b w:val="0"/>
          <w:smallCaps w:val="0"/>
          <w:sz w:val="22"/>
          <w:lang w:eastAsia="sk-SK"/>
        </w:rPr>
      </w:pPr>
      <w:hyperlink w:anchor="_Toc115857760" w:history="1">
        <w:r w:rsidR="00DE63C7" w:rsidRPr="00E07C9A">
          <w:rPr>
            <w:rStyle w:val="Hyperlink"/>
            <w:rFonts w:ascii="Times New Roman" w:hAnsi="Times New Roman"/>
          </w:rPr>
          <w:t>1.5.1.</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Pokyny týkajúce sa konkrétnych pozícií</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_Toc115857760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39</w:t>
        </w:r>
        <w:r w:rsidR="00DE63C7" w:rsidRPr="00E07C9A">
          <w:rPr>
            <w:rFonts w:ascii="Times New Roman" w:hAnsi="Times New Roman"/>
            <w:webHidden/>
          </w:rPr>
          <w:fldChar w:fldCharType="end"/>
        </w:r>
      </w:hyperlink>
    </w:p>
    <w:p w14:paraId="172EF344" w14:textId="6C0EA461" w:rsidR="00DE63C7" w:rsidRPr="00E07C9A" w:rsidRDefault="00132AEE">
      <w:pPr>
        <w:pStyle w:val="TOC2"/>
        <w:rPr>
          <w:rFonts w:ascii="Times New Roman" w:eastAsiaTheme="minorEastAsia" w:hAnsi="Times New Roman"/>
          <w:b w:val="0"/>
          <w:smallCaps w:val="0"/>
          <w:sz w:val="22"/>
          <w:lang w:eastAsia="sk-SK"/>
        </w:rPr>
      </w:pPr>
      <w:hyperlink w:anchor="_Toc115857761" w:history="1">
        <w:r w:rsidR="00DE63C7" w:rsidRPr="00E07C9A">
          <w:rPr>
            <w:rStyle w:val="Hyperlink"/>
            <w:rFonts w:ascii="Times New Roman" w:hAnsi="Times New Roman"/>
          </w:rPr>
          <w:t>1.6.</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PRECHODNÉ USTANOVENIA</w:t>
        </w:r>
        <w:r w:rsidR="009912F8" w:rsidRPr="00E07C9A">
          <w:rPr>
            <w:rStyle w:val="Hyperlink"/>
            <w:rFonts w:ascii="Times New Roman" w:hAnsi="Times New Roman"/>
          </w:rPr>
          <w:t xml:space="preserve"> a </w:t>
        </w:r>
        <w:r w:rsidR="00DE63C7" w:rsidRPr="00E07C9A">
          <w:rPr>
            <w:rStyle w:val="Hyperlink"/>
            <w:rFonts w:ascii="Times New Roman" w:hAnsi="Times New Roman"/>
          </w:rPr>
          <w:t>NÁSTROJE ZACHOVANÉ</w:t>
        </w:r>
        <w:r w:rsidR="009912F8" w:rsidRPr="00E07C9A">
          <w:rPr>
            <w:rStyle w:val="Hyperlink"/>
            <w:rFonts w:ascii="Times New Roman" w:hAnsi="Times New Roman"/>
          </w:rPr>
          <w:t xml:space="preserve"> V </w:t>
        </w:r>
        <w:r w:rsidR="00DE63C7" w:rsidRPr="00E07C9A">
          <w:rPr>
            <w:rStyle w:val="Hyperlink"/>
            <w:rFonts w:ascii="Times New Roman" w:hAnsi="Times New Roman"/>
          </w:rPr>
          <w:t>PREDCHÁDZAJÚCOM STAVE: NÁSTROJE NEPREDSTAVUJÚCE ŠTÁTNU POMOC (CA5)</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_Toc115857761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57</w:t>
        </w:r>
        <w:r w:rsidR="00DE63C7" w:rsidRPr="00E07C9A">
          <w:rPr>
            <w:rFonts w:ascii="Times New Roman" w:hAnsi="Times New Roman"/>
            <w:webHidden/>
          </w:rPr>
          <w:fldChar w:fldCharType="end"/>
        </w:r>
      </w:hyperlink>
    </w:p>
    <w:p w14:paraId="7F373092" w14:textId="62248325" w:rsidR="00DE63C7" w:rsidRPr="00E07C9A" w:rsidRDefault="00132AEE">
      <w:pPr>
        <w:pStyle w:val="TOC2"/>
        <w:rPr>
          <w:rFonts w:ascii="Times New Roman" w:eastAsiaTheme="minorEastAsia" w:hAnsi="Times New Roman"/>
          <w:b w:val="0"/>
          <w:smallCaps w:val="0"/>
          <w:sz w:val="22"/>
          <w:lang w:eastAsia="sk-SK"/>
        </w:rPr>
      </w:pPr>
      <w:hyperlink w:anchor="_Toc115857762" w:history="1">
        <w:r w:rsidR="00DE63C7" w:rsidRPr="00E07C9A">
          <w:rPr>
            <w:rStyle w:val="Hyperlink"/>
            <w:rFonts w:ascii="Times New Roman" w:hAnsi="Times New Roman"/>
          </w:rPr>
          <w:t>1.6.1.</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Všeobecné poznámky</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_Toc115857762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57</w:t>
        </w:r>
        <w:r w:rsidR="00DE63C7" w:rsidRPr="00E07C9A">
          <w:rPr>
            <w:rFonts w:ascii="Times New Roman" w:hAnsi="Times New Roman"/>
            <w:webHidden/>
          </w:rPr>
          <w:fldChar w:fldCharType="end"/>
        </w:r>
      </w:hyperlink>
    </w:p>
    <w:p w14:paraId="034F4C13" w14:textId="0FFEFED5" w:rsidR="00DE63C7" w:rsidRPr="00E07C9A" w:rsidRDefault="00132AEE">
      <w:pPr>
        <w:pStyle w:val="TOC2"/>
        <w:rPr>
          <w:rFonts w:ascii="Times New Roman" w:eastAsiaTheme="minorEastAsia" w:hAnsi="Times New Roman"/>
          <w:b w:val="0"/>
          <w:smallCaps w:val="0"/>
          <w:sz w:val="22"/>
          <w:lang w:eastAsia="sk-SK"/>
        </w:rPr>
      </w:pPr>
      <w:hyperlink w:anchor="_Toc115857763" w:history="1">
        <w:r w:rsidR="00DE63C7" w:rsidRPr="00E07C9A">
          <w:rPr>
            <w:rStyle w:val="Hyperlink"/>
            <w:rFonts w:ascii="Times New Roman" w:hAnsi="Times New Roman"/>
          </w:rPr>
          <w:t>1.6.2.</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C 05.01 – PRECHODNÉ USTANOVENIA (CA5.1)</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_Toc115857763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58</w:t>
        </w:r>
        <w:r w:rsidR="00DE63C7" w:rsidRPr="00E07C9A">
          <w:rPr>
            <w:rFonts w:ascii="Times New Roman" w:hAnsi="Times New Roman"/>
            <w:webHidden/>
          </w:rPr>
          <w:fldChar w:fldCharType="end"/>
        </w:r>
      </w:hyperlink>
    </w:p>
    <w:p w14:paraId="14263246" w14:textId="462723B2" w:rsidR="00DE63C7" w:rsidRPr="00E07C9A" w:rsidRDefault="00132AEE">
      <w:pPr>
        <w:pStyle w:val="TOC2"/>
        <w:rPr>
          <w:rFonts w:ascii="Times New Roman" w:eastAsiaTheme="minorEastAsia" w:hAnsi="Times New Roman"/>
          <w:b w:val="0"/>
          <w:smallCaps w:val="0"/>
          <w:sz w:val="22"/>
          <w:lang w:eastAsia="sk-SK"/>
        </w:rPr>
      </w:pPr>
      <w:hyperlink w:anchor="_Toc115857764" w:history="1">
        <w:r w:rsidR="00DE63C7" w:rsidRPr="00E07C9A">
          <w:rPr>
            <w:rStyle w:val="Hyperlink"/>
            <w:rFonts w:ascii="Times New Roman" w:hAnsi="Times New Roman"/>
          </w:rPr>
          <w:t>1.6.2.1.</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Pokyny týkajúce sa konkrétnych pozícií</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_Toc115857764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58</w:t>
        </w:r>
        <w:r w:rsidR="00DE63C7" w:rsidRPr="00E07C9A">
          <w:rPr>
            <w:rFonts w:ascii="Times New Roman" w:hAnsi="Times New Roman"/>
            <w:webHidden/>
          </w:rPr>
          <w:fldChar w:fldCharType="end"/>
        </w:r>
      </w:hyperlink>
    </w:p>
    <w:p w14:paraId="186351D8" w14:textId="23F84061" w:rsidR="00DE63C7" w:rsidRPr="00E07C9A" w:rsidRDefault="00132AEE">
      <w:pPr>
        <w:pStyle w:val="TOC2"/>
        <w:rPr>
          <w:rFonts w:ascii="Times New Roman" w:eastAsiaTheme="minorEastAsia" w:hAnsi="Times New Roman"/>
          <w:b w:val="0"/>
          <w:smallCaps w:val="0"/>
          <w:sz w:val="22"/>
          <w:lang w:eastAsia="sk-SK"/>
        </w:rPr>
      </w:pPr>
      <w:hyperlink w:anchor="_Toc115857765" w:history="1">
        <w:r w:rsidR="00DE63C7" w:rsidRPr="00E07C9A">
          <w:rPr>
            <w:rStyle w:val="Hyperlink"/>
            <w:rFonts w:ascii="Times New Roman" w:hAnsi="Times New Roman"/>
          </w:rPr>
          <w:t>1.6.3.</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C 05.02 – NÁSTROJE ZACHOVANÉ</w:t>
        </w:r>
        <w:r w:rsidR="009912F8" w:rsidRPr="00E07C9A">
          <w:rPr>
            <w:rStyle w:val="Hyperlink"/>
            <w:rFonts w:ascii="Times New Roman" w:hAnsi="Times New Roman"/>
          </w:rPr>
          <w:t xml:space="preserve"> V </w:t>
        </w:r>
        <w:r w:rsidR="00DE63C7" w:rsidRPr="00E07C9A">
          <w:rPr>
            <w:rStyle w:val="Hyperlink"/>
            <w:rFonts w:ascii="Times New Roman" w:hAnsi="Times New Roman"/>
          </w:rPr>
          <w:t>PREDCHÁDZAJÚCOM STAVE: NÁSTROJE NEPREDSTAVUJÚCE ŠTÁTNU POMOC (CA5.2)</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_Toc115857765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63</w:t>
        </w:r>
        <w:r w:rsidR="00DE63C7" w:rsidRPr="00E07C9A">
          <w:rPr>
            <w:rFonts w:ascii="Times New Roman" w:hAnsi="Times New Roman"/>
            <w:webHidden/>
          </w:rPr>
          <w:fldChar w:fldCharType="end"/>
        </w:r>
      </w:hyperlink>
    </w:p>
    <w:p w14:paraId="35478E9B" w14:textId="67248582" w:rsidR="00DE63C7" w:rsidRPr="00E07C9A" w:rsidRDefault="00132AEE">
      <w:pPr>
        <w:pStyle w:val="TOC2"/>
        <w:rPr>
          <w:rFonts w:ascii="Times New Roman" w:eastAsiaTheme="minorEastAsia" w:hAnsi="Times New Roman"/>
          <w:b w:val="0"/>
          <w:smallCaps w:val="0"/>
          <w:sz w:val="22"/>
          <w:lang w:eastAsia="sk-SK"/>
        </w:rPr>
      </w:pPr>
      <w:hyperlink w:anchor="_Toc115857766" w:history="1">
        <w:r w:rsidR="00DE63C7" w:rsidRPr="00E07C9A">
          <w:rPr>
            <w:rStyle w:val="Hyperlink"/>
            <w:rFonts w:ascii="Times New Roman" w:hAnsi="Times New Roman"/>
          </w:rPr>
          <w:t>1.6.3.1.</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Pokyny týkajúce sa konkrétnych pozícií</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_Toc115857766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63</w:t>
        </w:r>
        <w:r w:rsidR="00DE63C7" w:rsidRPr="00E07C9A">
          <w:rPr>
            <w:rFonts w:ascii="Times New Roman" w:hAnsi="Times New Roman"/>
            <w:webHidden/>
          </w:rPr>
          <w:fldChar w:fldCharType="end"/>
        </w:r>
      </w:hyperlink>
    </w:p>
    <w:p w14:paraId="1536A08F" w14:textId="13CCC1F1" w:rsidR="00DE63C7" w:rsidRPr="00E07C9A" w:rsidRDefault="00132AEE">
      <w:pPr>
        <w:pStyle w:val="TOC2"/>
        <w:rPr>
          <w:rFonts w:ascii="Times New Roman" w:eastAsiaTheme="minorEastAsia" w:hAnsi="Times New Roman"/>
          <w:b w:val="0"/>
          <w:smallCaps w:val="0"/>
          <w:sz w:val="22"/>
          <w:lang w:eastAsia="sk-SK"/>
        </w:rPr>
      </w:pPr>
      <w:hyperlink w:anchor="_Toc115857767" w:history="1">
        <w:r w:rsidR="00DE63C7" w:rsidRPr="00E07C9A">
          <w:rPr>
            <w:rStyle w:val="Hyperlink"/>
            <w:rFonts w:ascii="Times New Roman" w:hAnsi="Times New Roman"/>
          </w:rPr>
          <w:t>2.</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SKUPINOVÁ SOLVENTNOSŤ: INFORMÁCIE</w:t>
        </w:r>
        <w:r w:rsidR="009912F8" w:rsidRPr="00E07C9A">
          <w:rPr>
            <w:rStyle w:val="Hyperlink"/>
            <w:rFonts w:ascii="Times New Roman" w:hAnsi="Times New Roman"/>
          </w:rPr>
          <w:t xml:space="preserve"> O </w:t>
        </w:r>
        <w:r w:rsidR="00DE63C7" w:rsidRPr="00E07C9A">
          <w:rPr>
            <w:rStyle w:val="Hyperlink"/>
            <w:rFonts w:ascii="Times New Roman" w:hAnsi="Times New Roman"/>
          </w:rPr>
          <w:t>PRIDRUŽENÝCH SUBJEKTOCH (GS)</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_Toc115857767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67</w:t>
        </w:r>
        <w:r w:rsidR="00DE63C7" w:rsidRPr="00E07C9A">
          <w:rPr>
            <w:rFonts w:ascii="Times New Roman" w:hAnsi="Times New Roman"/>
            <w:webHidden/>
          </w:rPr>
          <w:fldChar w:fldCharType="end"/>
        </w:r>
      </w:hyperlink>
    </w:p>
    <w:p w14:paraId="6BBA5607" w14:textId="0017B742" w:rsidR="00DE63C7" w:rsidRPr="00E07C9A" w:rsidRDefault="00132AEE">
      <w:pPr>
        <w:pStyle w:val="TOC2"/>
        <w:rPr>
          <w:rFonts w:ascii="Times New Roman" w:eastAsiaTheme="minorEastAsia" w:hAnsi="Times New Roman"/>
          <w:b w:val="0"/>
          <w:smallCaps w:val="0"/>
          <w:sz w:val="22"/>
          <w:lang w:eastAsia="sk-SK"/>
        </w:rPr>
      </w:pPr>
      <w:hyperlink w:anchor="_Toc115857768" w:history="1">
        <w:r w:rsidR="00DE63C7" w:rsidRPr="00E07C9A">
          <w:rPr>
            <w:rStyle w:val="Hyperlink"/>
            <w:rFonts w:ascii="Times New Roman" w:hAnsi="Times New Roman"/>
          </w:rPr>
          <w:t>2.1.</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Všeobecné poznámky</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_Toc115857768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67</w:t>
        </w:r>
        <w:r w:rsidR="00DE63C7" w:rsidRPr="00E07C9A">
          <w:rPr>
            <w:rFonts w:ascii="Times New Roman" w:hAnsi="Times New Roman"/>
            <w:webHidden/>
          </w:rPr>
          <w:fldChar w:fldCharType="end"/>
        </w:r>
      </w:hyperlink>
    </w:p>
    <w:p w14:paraId="668340B4" w14:textId="456603CC" w:rsidR="00DE63C7" w:rsidRPr="00E07C9A" w:rsidRDefault="00132AEE">
      <w:pPr>
        <w:pStyle w:val="TOC2"/>
        <w:rPr>
          <w:rFonts w:ascii="Times New Roman" w:eastAsiaTheme="minorEastAsia" w:hAnsi="Times New Roman"/>
          <w:b w:val="0"/>
          <w:smallCaps w:val="0"/>
          <w:sz w:val="22"/>
          <w:lang w:eastAsia="sk-SK"/>
        </w:rPr>
      </w:pPr>
      <w:hyperlink w:anchor="_Toc115857769" w:history="1">
        <w:r w:rsidR="00DE63C7" w:rsidRPr="00E07C9A">
          <w:rPr>
            <w:rStyle w:val="Hyperlink"/>
            <w:rFonts w:ascii="Times New Roman" w:hAnsi="Times New Roman"/>
          </w:rPr>
          <w:t>2.2.</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Podrobné informácie</w:t>
        </w:r>
        <w:r w:rsidR="009912F8" w:rsidRPr="00E07C9A">
          <w:rPr>
            <w:rStyle w:val="Hyperlink"/>
            <w:rFonts w:ascii="Times New Roman" w:hAnsi="Times New Roman"/>
          </w:rPr>
          <w:t xml:space="preserve"> o </w:t>
        </w:r>
        <w:r w:rsidR="00DE63C7" w:rsidRPr="00E07C9A">
          <w:rPr>
            <w:rStyle w:val="Hyperlink"/>
            <w:rFonts w:ascii="Times New Roman" w:hAnsi="Times New Roman"/>
          </w:rPr>
          <w:t>skupinovej solventnosti</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_Toc115857769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67</w:t>
        </w:r>
        <w:r w:rsidR="00DE63C7" w:rsidRPr="00E07C9A">
          <w:rPr>
            <w:rFonts w:ascii="Times New Roman" w:hAnsi="Times New Roman"/>
            <w:webHidden/>
          </w:rPr>
          <w:fldChar w:fldCharType="end"/>
        </w:r>
      </w:hyperlink>
    </w:p>
    <w:p w14:paraId="54562476" w14:textId="2889D184" w:rsidR="00DE63C7" w:rsidRPr="00E07C9A" w:rsidRDefault="00132AEE">
      <w:pPr>
        <w:pStyle w:val="TOC2"/>
        <w:rPr>
          <w:rFonts w:ascii="Times New Roman" w:eastAsiaTheme="minorEastAsia" w:hAnsi="Times New Roman"/>
          <w:b w:val="0"/>
          <w:smallCaps w:val="0"/>
          <w:sz w:val="22"/>
          <w:lang w:eastAsia="sk-SK"/>
        </w:rPr>
      </w:pPr>
      <w:hyperlink w:anchor="_Toc115857770" w:history="1">
        <w:r w:rsidR="00DE63C7" w:rsidRPr="00E07C9A">
          <w:rPr>
            <w:rStyle w:val="Hyperlink"/>
            <w:rFonts w:ascii="Times New Roman" w:hAnsi="Times New Roman"/>
          </w:rPr>
          <w:t>2.3.</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Informácie</w:t>
        </w:r>
        <w:r w:rsidR="009912F8" w:rsidRPr="00E07C9A">
          <w:rPr>
            <w:rStyle w:val="Hyperlink"/>
            <w:rFonts w:ascii="Times New Roman" w:hAnsi="Times New Roman"/>
          </w:rPr>
          <w:t xml:space="preserve"> o </w:t>
        </w:r>
        <w:r w:rsidR="00DE63C7" w:rsidRPr="00E07C9A">
          <w:rPr>
            <w:rStyle w:val="Hyperlink"/>
            <w:rFonts w:ascii="Times New Roman" w:hAnsi="Times New Roman"/>
          </w:rPr>
          <w:t>príspevkoch jednotlivých subjektov</w:t>
        </w:r>
        <w:r w:rsidR="009912F8" w:rsidRPr="00E07C9A">
          <w:rPr>
            <w:rStyle w:val="Hyperlink"/>
            <w:rFonts w:ascii="Times New Roman" w:hAnsi="Times New Roman"/>
          </w:rPr>
          <w:t xml:space="preserve"> k </w:t>
        </w:r>
        <w:r w:rsidR="00DE63C7" w:rsidRPr="00E07C9A">
          <w:rPr>
            <w:rStyle w:val="Hyperlink"/>
            <w:rFonts w:ascii="Times New Roman" w:hAnsi="Times New Roman"/>
          </w:rPr>
          <w:t>skupinovej solventnosti</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_Toc115857770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67</w:t>
        </w:r>
        <w:r w:rsidR="00DE63C7" w:rsidRPr="00E07C9A">
          <w:rPr>
            <w:rFonts w:ascii="Times New Roman" w:hAnsi="Times New Roman"/>
            <w:webHidden/>
          </w:rPr>
          <w:fldChar w:fldCharType="end"/>
        </w:r>
      </w:hyperlink>
    </w:p>
    <w:p w14:paraId="07C1B25D" w14:textId="5C4DFDBE" w:rsidR="00DE63C7" w:rsidRPr="00E07C9A" w:rsidRDefault="00132AEE">
      <w:pPr>
        <w:pStyle w:val="TOC2"/>
        <w:rPr>
          <w:rFonts w:ascii="Times New Roman" w:eastAsiaTheme="minorEastAsia" w:hAnsi="Times New Roman"/>
          <w:b w:val="0"/>
          <w:smallCaps w:val="0"/>
          <w:sz w:val="22"/>
          <w:lang w:eastAsia="sk-SK"/>
        </w:rPr>
      </w:pPr>
      <w:hyperlink w:anchor="_Toc115857771" w:history="1">
        <w:r w:rsidR="00DE63C7" w:rsidRPr="00E07C9A">
          <w:rPr>
            <w:rStyle w:val="Hyperlink"/>
            <w:rFonts w:ascii="Times New Roman" w:hAnsi="Times New Roman"/>
          </w:rPr>
          <w:t>2.4.</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C 06.01 – SKUPINOVÁ SOLVENTNOSŤ: INFORMÁCIE</w:t>
        </w:r>
        <w:r w:rsidR="009912F8" w:rsidRPr="00E07C9A">
          <w:rPr>
            <w:rStyle w:val="Hyperlink"/>
            <w:rFonts w:ascii="Times New Roman" w:hAnsi="Times New Roman"/>
          </w:rPr>
          <w:t xml:space="preserve"> O </w:t>
        </w:r>
        <w:r w:rsidR="00DE63C7" w:rsidRPr="00E07C9A">
          <w:rPr>
            <w:rStyle w:val="Hyperlink"/>
            <w:rFonts w:ascii="Times New Roman" w:hAnsi="Times New Roman"/>
          </w:rPr>
          <w:t>PRIDRUŽENÝCH SUBJEKTOCH – Spolu (GS Total)</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_Toc115857771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68</w:t>
        </w:r>
        <w:r w:rsidR="00DE63C7" w:rsidRPr="00E07C9A">
          <w:rPr>
            <w:rFonts w:ascii="Times New Roman" w:hAnsi="Times New Roman"/>
            <w:webHidden/>
          </w:rPr>
          <w:fldChar w:fldCharType="end"/>
        </w:r>
      </w:hyperlink>
    </w:p>
    <w:p w14:paraId="2CE4580D" w14:textId="38E4C7D9" w:rsidR="00DE63C7" w:rsidRPr="00E07C9A" w:rsidRDefault="00132AEE">
      <w:pPr>
        <w:pStyle w:val="TOC2"/>
        <w:rPr>
          <w:rFonts w:ascii="Times New Roman" w:eastAsiaTheme="minorEastAsia" w:hAnsi="Times New Roman"/>
          <w:b w:val="0"/>
          <w:smallCaps w:val="0"/>
          <w:sz w:val="22"/>
          <w:lang w:eastAsia="sk-SK"/>
        </w:rPr>
      </w:pPr>
      <w:hyperlink w:anchor="_Toc115857772" w:history="1">
        <w:r w:rsidR="00DE63C7" w:rsidRPr="00E07C9A">
          <w:rPr>
            <w:rStyle w:val="Hyperlink"/>
            <w:rFonts w:ascii="Times New Roman" w:hAnsi="Times New Roman"/>
          </w:rPr>
          <w:t>2.5.</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C 06.02 – SKUPINOVÁ SOLVENTNOSŤ: INFORMÁCIE</w:t>
        </w:r>
        <w:r w:rsidR="009912F8" w:rsidRPr="00E07C9A">
          <w:rPr>
            <w:rStyle w:val="Hyperlink"/>
            <w:rFonts w:ascii="Times New Roman" w:hAnsi="Times New Roman"/>
          </w:rPr>
          <w:t xml:space="preserve"> O </w:t>
        </w:r>
        <w:r w:rsidR="00DE63C7" w:rsidRPr="00E07C9A">
          <w:rPr>
            <w:rStyle w:val="Hyperlink"/>
            <w:rFonts w:ascii="Times New Roman" w:hAnsi="Times New Roman"/>
          </w:rPr>
          <w:t>PRIDRUŽENÝCH SUBJEKTOCH (GS)</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_Toc115857772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69</w:t>
        </w:r>
        <w:r w:rsidR="00DE63C7" w:rsidRPr="00E07C9A">
          <w:rPr>
            <w:rFonts w:ascii="Times New Roman" w:hAnsi="Times New Roman"/>
            <w:webHidden/>
          </w:rPr>
          <w:fldChar w:fldCharType="end"/>
        </w:r>
      </w:hyperlink>
    </w:p>
    <w:p w14:paraId="4F12C263" w14:textId="6367CEEA" w:rsidR="00DE63C7" w:rsidRPr="00E07C9A" w:rsidRDefault="00132AEE">
      <w:pPr>
        <w:pStyle w:val="TOC2"/>
        <w:rPr>
          <w:rFonts w:ascii="Times New Roman" w:eastAsiaTheme="minorEastAsia" w:hAnsi="Times New Roman"/>
          <w:b w:val="0"/>
          <w:smallCaps w:val="0"/>
          <w:sz w:val="22"/>
          <w:lang w:eastAsia="sk-SK"/>
        </w:rPr>
      </w:pPr>
      <w:hyperlink w:anchor="_Toc115857773" w:history="1">
        <w:r w:rsidR="00DE63C7" w:rsidRPr="00E07C9A">
          <w:rPr>
            <w:rStyle w:val="Hyperlink"/>
            <w:rFonts w:ascii="Times New Roman" w:hAnsi="Times New Roman"/>
          </w:rPr>
          <w:t>3.</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Vzory pre kreditné riziko</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_Toc115857773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78</w:t>
        </w:r>
        <w:r w:rsidR="00DE63C7" w:rsidRPr="00E07C9A">
          <w:rPr>
            <w:rFonts w:ascii="Times New Roman" w:hAnsi="Times New Roman"/>
            <w:webHidden/>
          </w:rPr>
          <w:fldChar w:fldCharType="end"/>
        </w:r>
      </w:hyperlink>
    </w:p>
    <w:p w14:paraId="1DB83DBD" w14:textId="7CB0E536" w:rsidR="00DE63C7" w:rsidRPr="00E07C9A" w:rsidRDefault="00132AEE">
      <w:pPr>
        <w:pStyle w:val="TOC2"/>
        <w:rPr>
          <w:rFonts w:ascii="Times New Roman" w:eastAsiaTheme="minorEastAsia" w:hAnsi="Times New Roman"/>
          <w:b w:val="0"/>
          <w:smallCaps w:val="0"/>
          <w:sz w:val="22"/>
          <w:lang w:eastAsia="sk-SK"/>
        </w:rPr>
      </w:pPr>
      <w:hyperlink w:anchor="_Toc115857774" w:history="1">
        <w:r w:rsidR="00DE63C7" w:rsidRPr="00E07C9A">
          <w:rPr>
            <w:rStyle w:val="Hyperlink"/>
            <w:rFonts w:ascii="Times New Roman" w:hAnsi="Times New Roman"/>
          </w:rPr>
          <w:t>3.1.</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Všeobecné poznámky</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_Toc115857774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78</w:t>
        </w:r>
        <w:r w:rsidR="00DE63C7" w:rsidRPr="00E07C9A">
          <w:rPr>
            <w:rFonts w:ascii="Times New Roman" w:hAnsi="Times New Roman"/>
            <w:webHidden/>
          </w:rPr>
          <w:fldChar w:fldCharType="end"/>
        </w:r>
      </w:hyperlink>
    </w:p>
    <w:p w14:paraId="4025331B" w14:textId="243A6721" w:rsidR="00DE63C7" w:rsidRPr="00E07C9A" w:rsidRDefault="00132AEE">
      <w:pPr>
        <w:pStyle w:val="TOC2"/>
        <w:rPr>
          <w:rFonts w:ascii="Times New Roman" w:eastAsiaTheme="minorEastAsia" w:hAnsi="Times New Roman"/>
          <w:b w:val="0"/>
          <w:smallCaps w:val="0"/>
          <w:sz w:val="22"/>
          <w:lang w:eastAsia="sk-SK"/>
        </w:rPr>
      </w:pPr>
      <w:hyperlink w:anchor="_Toc115857775" w:history="1">
        <w:r w:rsidR="00DE63C7" w:rsidRPr="00E07C9A">
          <w:rPr>
            <w:rStyle w:val="Hyperlink"/>
            <w:rFonts w:ascii="Times New Roman" w:hAnsi="Times New Roman"/>
          </w:rPr>
          <w:t>3.1.1.</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Vykazovanie postupov zmierňovania kreditného rizika (CRM) so substitučným účinkom</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_Toc115857775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78</w:t>
        </w:r>
        <w:r w:rsidR="00DE63C7" w:rsidRPr="00E07C9A">
          <w:rPr>
            <w:rFonts w:ascii="Times New Roman" w:hAnsi="Times New Roman"/>
            <w:webHidden/>
          </w:rPr>
          <w:fldChar w:fldCharType="end"/>
        </w:r>
      </w:hyperlink>
    </w:p>
    <w:p w14:paraId="6E267C88" w14:textId="26D8E5B7" w:rsidR="00DE63C7" w:rsidRPr="00E07C9A" w:rsidRDefault="00132AEE">
      <w:pPr>
        <w:pStyle w:val="TOC2"/>
        <w:rPr>
          <w:rFonts w:ascii="Times New Roman" w:eastAsiaTheme="minorEastAsia" w:hAnsi="Times New Roman"/>
          <w:b w:val="0"/>
          <w:smallCaps w:val="0"/>
          <w:sz w:val="22"/>
          <w:lang w:eastAsia="sk-SK"/>
        </w:rPr>
      </w:pPr>
      <w:hyperlink w:anchor="_Toc115857776" w:history="1">
        <w:r w:rsidR="00DE63C7" w:rsidRPr="00E07C9A">
          <w:rPr>
            <w:rStyle w:val="Hyperlink"/>
            <w:rFonts w:ascii="Times New Roman" w:hAnsi="Times New Roman"/>
          </w:rPr>
          <w:t>3.1.2.</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Vykazovanie kreditného rizika protistrany</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_Toc115857776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78</w:t>
        </w:r>
        <w:r w:rsidR="00DE63C7" w:rsidRPr="00E07C9A">
          <w:rPr>
            <w:rFonts w:ascii="Times New Roman" w:hAnsi="Times New Roman"/>
            <w:webHidden/>
          </w:rPr>
          <w:fldChar w:fldCharType="end"/>
        </w:r>
      </w:hyperlink>
    </w:p>
    <w:p w14:paraId="5584528F" w14:textId="3EE043FF" w:rsidR="00DE63C7" w:rsidRPr="00E07C9A" w:rsidRDefault="00132AEE">
      <w:pPr>
        <w:pStyle w:val="TOC2"/>
        <w:rPr>
          <w:rFonts w:ascii="Times New Roman" w:eastAsiaTheme="minorEastAsia" w:hAnsi="Times New Roman"/>
          <w:b w:val="0"/>
          <w:smallCaps w:val="0"/>
          <w:sz w:val="22"/>
          <w:lang w:eastAsia="sk-SK"/>
        </w:rPr>
      </w:pPr>
      <w:hyperlink w:anchor="_Toc115857777" w:history="1">
        <w:r w:rsidR="00DE63C7" w:rsidRPr="00E07C9A">
          <w:rPr>
            <w:rStyle w:val="Hyperlink"/>
            <w:rFonts w:ascii="Times New Roman" w:hAnsi="Times New Roman"/>
          </w:rPr>
          <w:t>3.2.</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C 07.00 – Kreditné riziko</w:t>
        </w:r>
        <w:r w:rsidR="009912F8" w:rsidRPr="00E07C9A">
          <w:rPr>
            <w:rStyle w:val="Hyperlink"/>
            <w:rFonts w:ascii="Times New Roman" w:hAnsi="Times New Roman"/>
          </w:rPr>
          <w:t xml:space="preserve"> a </w:t>
        </w:r>
        <w:r w:rsidR="00DE63C7" w:rsidRPr="00E07C9A">
          <w:rPr>
            <w:rStyle w:val="Hyperlink"/>
            <w:rFonts w:ascii="Times New Roman" w:hAnsi="Times New Roman"/>
          </w:rPr>
          <w:t>kreditné riziko protistrany</w:t>
        </w:r>
        <w:r w:rsidR="009912F8" w:rsidRPr="00E07C9A">
          <w:rPr>
            <w:rStyle w:val="Hyperlink"/>
            <w:rFonts w:ascii="Times New Roman" w:hAnsi="Times New Roman"/>
          </w:rPr>
          <w:t xml:space="preserve"> a </w:t>
        </w:r>
        <w:r w:rsidR="00DE63C7" w:rsidRPr="00E07C9A">
          <w:rPr>
            <w:rStyle w:val="Hyperlink"/>
            <w:rFonts w:ascii="Times New Roman" w:hAnsi="Times New Roman"/>
          </w:rPr>
          <w:t>bezodplatné dodanie: Štandardizovaný prístup ku kapitálovým požiadavkám (CR SA)</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_Toc115857777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78</w:t>
        </w:r>
        <w:r w:rsidR="00DE63C7" w:rsidRPr="00E07C9A">
          <w:rPr>
            <w:rFonts w:ascii="Times New Roman" w:hAnsi="Times New Roman"/>
            <w:webHidden/>
          </w:rPr>
          <w:fldChar w:fldCharType="end"/>
        </w:r>
      </w:hyperlink>
    </w:p>
    <w:p w14:paraId="50601A2E" w14:textId="32E2F742" w:rsidR="00DE63C7" w:rsidRPr="00E07C9A" w:rsidRDefault="00132AEE">
      <w:pPr>
        <w:pStyle w:val="TOC2"/>
        <w:rPr>
          <w:rFonts w:ascii="Times New Roman" w:eastAsiaTheme="minorEastAsia" w:hAnsi="Times New Roman"/>
          <w:b w:val="0"/>
          <w:smallCaps w:val="0"/>
          <w:sz w:val="22"/>
          <w:lang w:eastAsia="sk-SK"/>
        </w:rPr>
      </w:pPr>
      <w:hyperlink w:anchor="_Toc115857778" w:history="1">
        <w:r w:rsidR="00DE63C7" w:rsidRPr="00E07C9A">
          <w:rPr>
            <w:rStyle w:val="Hyperlink"/>
            <w:rFonts w:ascii="Times New Roman" w:hAnsi="Times New Roman"/>
          </w:rPr>
          <w:t>3.2.1.</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Všeobecné poznámky</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_Toc115857778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78</w:t>
        </w:r>
        <w:r w:rsidR="00DE63C7" w:rsidRPr="00E07C9A">
          <w:rPr>
            <w:rFonts w:ascii="Times New Roman" w:hAnsi="Times New Roman"/>
            <w:webHidden/>
          </w:rPr>
          <w:fldChar w:fldCharType="end"/>
        </w:r>
      </w:hyperlink>
    </w:p>
    <w:p w14:paraId="11D93593" w14:textId="090E82C9" w:rsidR="00DE63C7" w:rsidRPr="00E07C9A" w:rsidRDefault="00132AEE">
      <w:pPr>
        <w:pStyle w:val="TOC2"/>
        <w:rPr>
          <w:rFonts w:ascii="Times New Roman" w:eastAsiaTheme="minorEastAsia" w:hAnsi="Times New Roman"/>
          <w:b w:val="0"/>
          <w:smallCaps w:val="0"/>
          <w:sz w:val="22"/>
          <w:lang w:eastAsia="sk-SK"/>
        </w:rPr>
      </w:pPr>
      <w:hyperlink w:anchor="_Toc115857779" w:history="1">
        <w:r w:rsidR="00DE63C7" w:rsidRPr="00E07C9A">
          <w:rPr>
            <w:rStyle w:val="Hyperlink"/>
            <w:rFonts w:ascii="Times New Roman" w:hAnsi="Times New Roman"/>
          </w:rPr>
          <w:t>3.2.2.</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Rozsah vzoru CR SA</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_Toc115857779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79</w:t>
        </w:r>
        <w:r w:rsidR="00DE63C7" w:rsidRPr="00E07C9A">
          <w:rPr>
            <w:rFonts w:ascii="Times New Roman" w:hAnsi="Times New Roman"/>
            <w:webHidden/>
          </w:rPr>
          <w:fldChar w:fldCharType="end"/>
        </w:r>
      </w:hyperlink>
    </w:p>
    <w:p w14:paraId="54E8FA3B" w14:textId="7C23CA9B" w:rsidR="00DE63C7" w:rsidRPr="00E07C9A" w:rsidRDefault="00132AEE">
      <w:pPr>
        <w:pStyle w:val="TOC2"/>
        <w:rPr>
          <w:rFonts w:ascii="Times New Roman" w:eastAsiaTheme="minorEastAsia" w:hAnsi="Times New Roman"/>
          <w:b w:val="0"/>
          <w:smallCaps w:val="0"/>
          <w:sz w:val="22"/>
          <w:lang w:eastAsia="sk-SK"/>
        </w:rPr>
      </w:pPr>
      <w:hyperlink w:anchor="_Toc115857780" w:history="1">
        <w:r w:rsidR="00DE63C7" w:rsidRPr="00E07C9A">
          <w:rPr>
            <w:rStyle w:val="Hyperlink"/>
            <w:rFonts w:ascii="Times New Roman" w:hAnsi="Times New Roman"/>
          </w:rPr>
          <w:t>3.2.3.</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 xml:space="preserve"> Zaradenie expozícií do tried expozícií</w:t>
        </w:r>
        <w:r w:rsidR="009912F8" w:rsidRPr="00E07C9A">
          <w:rPr>
            <w:rStyle w:val="Hyperlink"/>
            <w:rFonts w:ascii="Times New Roman" w:hAnsi="Times New Roman"/>
          </w:rPr>
          <w:t xml:space="preserve"> v </w:t>
        </w:r>
        <w:r w:rsidR="00DE63C7" w:rsidRPr="00E07C9A">
          <w:rPr>
            <w:rStyle w:val="Hyperlink"/>
            <w:rFonts w:ascii="Times New Roman" w:hAnsi="Times New Roman"/>
          </w:rPr>
          <w:t>rámci štandardizovaného prístupu</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_Toc115857780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80</w:t>
        </w:r>
        <w:r w:rsidR="00DE63C7" w:rsidRPr="00E07C9A">
          <w:rPr>
            <w:rFonts w:ascii="Times New Roman" w:hAnsi="Times New Roman"/>
            <w:webHidden/>
          </w:rPr>
          <w:fldChar w:fldCharType="end"/>
        </w:r>
      </w:hyperlink>
    </w:p>
    <w:p w14:paraId="08D47B42" w14:textId="3CAF78A2" w:rsidR="00DE63C7" w:rsidRPr="00E07C9A" w:rsidRDefault="00132AEE">
      <w:pPr>
        <w:pStyle w:val="TOC2"/>
        <w:rPr>
          <w:rFonts w:ascii="Times New Roman" w:eastAsiaTheme="minorEastAsia" w:hAnsi="Times New Roman"/>
          <w:b w:val="0"/>
          <w:smallCaps w:val="0"/>
          <w:sz w:val="22"/>
          <w:lang w:eastAsia="sk-SK"/>
        </w:rPr>
      </w:pPr>
      <w:hyperlink w:anchor="_Toc115857781" w:history="1">
        <w:r w:rsidR="00DE63C7" w:rsidRPr="00E07C9A">
          <w:rPr>
            <w:rStyle w:val="Hyperlink"/>
            <w:rFonts w:ascii="Times New Roman" w:hAnsi="Times New Roman"/>
          </w:rPr>
          <w:t>3.2.4.</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Objasnenie rozsahu niektorých osobitných tried expozícií uvedených</w:t>
        </w:r>
        <w:r w:rsidR="009912F8" w:rsidRPr="00E07C9A">
          <w:rPr>
            <w:rStyle w:val="Hyperlink"/>
            <w:rFonts w:ascii="Times New Roman" w:hAnsi="Times New Roman"/>
          </w:rPr>
          <w:t xml:space="preserve"> v </w:t>
        </w:r>
        <w:r w:rsidR="00DE63C7" w:rsidRPr="00E07C9A">
          <w:rPr>
            <w:rStyle w:val="Hyperlink"/>
            <w:rFonts w:ascii="Times New Roman" w:hAnsi="Times New Roman"/>
          </w:rPr>
          <w:t xml:space="preserve">článku 112 nariadenia (EÚ) </w:t>
        </w:r>
        <w:r w:rsidR="009912F8" w:rsidRPr="00E07C9A">
          <w:rPr>
            <w:rStyle w:val="Hyperlink"/>
            <w:rFonts w:ascii="Times New Roman" w:hAnsi="Times New Roman"/>
          </w:rPr>
          <w:t>č. 575/2013</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_Toc115857781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86</w:t>
        </w:r>
        <w:r w:rsidR="00DE63C7" w:rsidRPr="00E07C9A">
          <w:rPr>
            <w:rFonts w:ascii="Times New Roman" w:hAnsi="Times New Roman"/>
            <w:webHidden/>
          </w:rPr>
          <w:fldChar w:fldCharType="end"/>
        </w:r>
      </w:hyperlink>
    </w:p>
    <w:p w14:paraId="5A8953F0" w14:textId="645899F7" w:rsidR="00DE63C7" w:rsidRPr="00E07C9A" w:rsidRDefault="00132AEE">
      <w:pPr>
        <w:pStyle w:val="TOC2"/>
        <w:rPr>
          <w:rFonts w:ascii="Times New Roman" w:eastAsiaTheme="minorEastAsia" w:hAnsi="Times New Roman"/>
          <w:b w:val="0"/>
          <w:smallCaps w:val="0"/>
          <w:sz w:val="22"/>
          <w:lang w:eastAsia="sk-SK"/>
        </w:rPr>
      </w:pPr>
      <w:hyperlink w:anchor="_Toc115857782" w:history="1">
        <w:r w:rsidR="00DE63C7" w:rsidRPr="00E07C9A">
          <w:rPr>
            <w:rStyle w:val="Hyperlink"/>
            <w:rFonts w:ascii="Times New Roman" w:hAnsi="Times New Roman"/>
          </w:rPr>
          <w:t>3.2.4.1.</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Trieda expozícií „inštitúcie“</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_Toc115857782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86</w:t>
        </w:r>
        <w:r w:rsidR="00DE63C7" w:rsidRPr="00E07C9A">
          <w:rPr>
            <w:rFonts w:ascii="Times New Roman" w:hAnsi="Times New Roman"/>
            <w:webHidden/>
          </w:rPr>
          <w:fldChar w:fldCharType="end"/>
        </w:r>
      </w:hyperlink>
    </w:p>
    <w:p w14:paraId="61660A88" w14:textId="52BE9018" w:rsidR="00DE63C7" w:rsidRPr="00E07C9A" w:rsidRDefault="00132AEE">
      <w:pPr>
        <w:pStyle w:val="TOC2"/>
        <w:rPr>
          <w:rFonts w:ascii="Times New Roman" w:eastAsiaTheme="minorEastAsia" w:hAnsi="Times New Roman"/>
          <w:b w:val="0"/>
          <w:smallCaps w:val="0"/>
          <w:sz w:val="22"/>
          <w:lang w:eastAsia="sk-SK"/>
        </w:rPr>
      </w:pPr>
      <w:hyperlink w:anchor="_Toc115857783" w:history="1">
        <w:r w:rsidR="00DE63C7" w:rsidRPr="00E07C9A">
          <w:rPr>
            <w:rStyle w:val="Hyperlink"/>
            <w:rFonts w:ascii="Times New Roman" w:hAnsi="Times New Roman"/>
          </w:rPr>
          <w:t>3.2.4.2.</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Trieda expozícií „kryté dlhopisy“</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_Toc115857783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86</w:t>
        </w:r>
        <w:r w:rsidR="00DE63C7" w:rsidRPr="00E07C9A">
          <w:rPr>
            <w:rFonts w:ascii="Times New Roman" w:hAnsi="Times New Roman"/>
            <w:webHidden/>
          </w:rPr>
          <w:fldChar w:fldCharType="end"/>
        </w:r>
      </w:hyperlink>
    </w:p>
    <w:p w14:paraId="22AEF646" w14:textId="2DE48C01" w:rsidR="00DE63C7" w:rsidRPr="00E07C9A" w:rsidRDefault="00132AEE">
      <w:pPr>
        <w:pStyle w:val="TOC2"/>
        <w:rPr>
          <w:rFonts w:ascii="Times New Roman" w:eastAsiaTheme="minorEastAsia" w:hAnsi="Times New Roman"/>
          <w:b w:val="0"/>
          <w:smallCaps w:val="0"/>
          <w:sz w:val="22"/>
          <w:lang w:eastAsia="sk-SK"/>
        </w:rPr>
      </w:pPr>
      <w:hyperlink w:anchor="_Toc115857784" w:history="1">
        <w:r w:rsidR="00DE63C7" w:rsidRPr="00E07C9A">
          <w:rPr>
            <w:rStyle w:val="Hyperlink"/>
            <w:rFonts w:ascii="Times New Roman" w:hAnsi="Times New Roman"/>
          </w:rPr>
          <w:t>3.2.4.3.</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Trieda expozícií „podniky kolektívneho investovania“</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_Toc115857784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86</w:t>
        </w:r>
        <w:r w:rsidR="00DE63C7" w:rsidRPr="00E07C9A">
          <w:rPr>
            <w:rFonts w:ascii="Times New Roman" w:hAnsi="Times New Roman"/>
            <w:webHidden/>
          </w:rPr>
          <w:fldChar w:fldCharType="end"/>
        </w:r>
      </w:hyperlink>
    </w:p>
    <w:p w14:paraId="2D2AA05D" w14:textId="461AE3C0" w:rsidR="00DE63C7" w:rsidRPr="00E07C9A" w:rsidRDefault="00132AEE">
      <w:pPr>
        <w:pStyle w:val="TOC2"/>
        <w:rPr>
          <w:rFonts w:ascii="Times New Roman" w:eastAsiaTheme="minorEastAsia" w:hAnsi="Times New Roman"/>
          <w:b w:val="0"/>
          <w:smallCaps w:val="0"/>
          <w:sz w:val="22"/>
          <w:lang w:eastAsia="sk-SK"/>
        </w:rPr>
      </w:pPr>
      <w:hyperlink w:anchor="_Toc115857785" w:history="1">
        <w:r w:rsidR="00DE63C7" w:rsidRPr="00E07C9A">
          <w:rPr>
            <w:rStyle w:val="Hyperlink"/>
            <w:rFonts w:ascii="Times New Roman" w:hAnsi="Times New Roman"/>
          </w:rPr>
          <w:t>3.2.5.</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Pokyny týkajúce sa konkrétnych pozícií</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_Toc115857785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87</w:t>
        </w:r>
        <w:r w:rsidR="00DE63C7" w:rsidRPr="00E07C9A">
          <w:rPr>
            <w:rFonts w:ascii="Times New Roman" w:hAnsi="Times New Roman"/>
            <w:webHidden/>
          </w:rPr>
          <w:fldChar w:fldCharType="end"/>
        </w:r>
      </w:hyperlink>
    </w:p>
    <w:p w14:paraId="5756EDD2" w14:textId="49F20DB4" w:rsidR="00DE63C7" w:rsidRPr="00E07C9A" w:rsidRDefault="00132AEE">
      <w:pPr>
        <w:pStyle w:val="TOC2"/>
        <w:rPr>
          <w:rFonts w:ascii="Times New Roman" w:eastAsiaTheme="minorEastAsia" w:hAnsi="Times New Roman"/>
          <w:b w:val="0"/>
          <w:smallCaps w:val="0"/>
          <w:sz w:val="22"/>
          <w:lang w:eastAsia="sk-SK"/>
        </w:rPr>
      </w:pPr>
      <w:hyperlink w:anchor="_Toc115857786" w:history="1">
        <w:r w:rsidR="00DE63C7" w:rsidRPr="00E07C9A">
          <w:rPr>
            <w:rStyle w:val="Hyperlink"/>
            <w:rFonts w:ascii="Times New Roman" w:hAnsi="Times New Roman"/>
          </w:rPr>
          <w:t>3.3.</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Kreditné riziko</w:t>
        </w:r>
        <w:r w:rsidR="009912F8" w:rsidRPr="00E07C9A">
          <w:rPr>
            <w:rStyle w:val="Hyperlink"/>
            <w:rFonts w:ascii="Times New Roman" w:hAnsi="Times New Roman"/>
          </w:rPr>
          <w:t xml:space="preserve"> a </w:t>
        </w:r>
        <w:r w:rsidR="00DE63C7" w:rsidRPr="00E07C9A">
          <w:rPr>
            <w:rStyle w:val="Hyperlink"/>
            <w:rFonts w:ascii="Times New Roman" w:hAnsi="Times New Roman"/>
          </w:rPr>
          <w:t>kreditné riziko protistrany</w:t>
        </w:r>
        <w:r w:rsidR="009912F8" w:rsidRPr="00E07C9A">
          <w:rPr>
            <w:rStyle w:val="Hyperlink"/>
            <w:rFonts w:ascii="Times New Roman" w:hAnsi="Times New Roman"/>
          </w:rPr>
          <w:t xml:space="preserve"> a </w:t>
        </w:r>
        <w:r w:rsidR="00DE63C7" w:rsidRPr="00E07C9A">
          <w:rPr>
            <w:rStyle w:val="Hyperlink"/>
            <w:rFonts w:ascii="Times New Roman" w:hAnsi="Times New Roman"/>
          </w:rPr>
          <w:t>bezodplatné dodanie: Prístup IRB</w:t>
        </w:r>
        <w:r w:rsidR="009912F8" w:rsidRPr="00E07C9A">
          <w:rPr>
            <w:rStyle w:val="Hyperlink"/>
            <w:rFonts w:ascii="Times New Roman" w:hAnsi="Times New Roman"/>
          </w:rPr>
          <w:t xml:space="preserve"> k </w:t>
        </w:r>
        <w:r w:rsidR="00DE63C7" w:rsidRPr="00E07C9A">
          <w:rPr>
            <w:rStyle w:val="Hyperlink"/>
            <w:rFonts w:ascii="Times New Roman" w:hAnsi="Times New Roman"/>
          </w:rPr>
          <w:t>požiadavkám na vlastné zdroje (CR IRB)</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_Toc115857786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96</w:t>
        </w:r>
        <w:r w:rsidR="00DE63C7" w:rsidRPr="00E07C9A">
          <w:rPr>
            <w:rFonts w:ascii="Times New Roman" w:hAnsi="Times New Roman"/>
            <w:webHidden/>
          </w:rPr>
          <w:fldChar w:fldCharType="end"/>
        </w:r>
      </w:hyperlink>
    </w:p>
    <w:p w14:paraId="3CEE698E" w14:textId="48E7BF7C" w:rsidR="00DE63C7" w:rsidRPr="00E07C9A" w:rsidRDefault="00132AEE">
      <w:pPr>
        <w:pStyle w:val="TOC2"/>
        <w:rPr>
          <w:rFonts w:ascii="Times New Roman" w:eastAsiaTheme="minorEastAsia" w:hAnsi="Times New Roman"/>
          <w:b w:val="0"/>
          <w:smallCaps w:val="0"/>
          <w:sz w:val="22"/>
          <w:lang w:eastAsia="sk-SK"/>
        </w:rPr>
      </w:pPr>
      <w:hyperlink w:anchor="_Toc115857787" w:history="1">
        <w:r w:rsidR="00DE63C7" w:rsidRPr="00E07C9A">
          <w:rPr>
            <w:rStyle w:val="Hyperlink"/>
            <w:rFonts w:ascii="Times New Roman" w:hAnsi="Times New Roman"/>
          </w:rPr>
          <w:t>3.3.1.</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Rozsah vzoru CR IRB</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_Toc115857787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96</w:t>
        </w:r>
        <w:r w:rsidR="00DE63C7" w:rsidRPr="00E07C9A">
          <w:rPr>
            <w:rFonts w:ascii="Times New Roman" w:hAnsi="Times New Roman"/>
            <w:webHidden/>
          </w:rPr>
          <w:fldChar w:fldCharType="end"/>
        </w:r>
      </w:hyperlink>
    </w:p>
    <w:p w14:paraId="21544561" w14:textId="28CCB889" w:rsidR="00DE63C7" w:rsidRPr="00E07C9A" w:rsidRDefault="00132AEE">
      <w:pPr>
        <w:pStyle w:val="TOC2"/>
        <w:rPr>
          <w:rFonts w:ascii="Times New Roman" w:eastAsiaTheme="minorEastAsia" w:hAnsi="Times New Roman"/>
          <w:b w:val="0"/>
          <w:smallCaps w:val="0"/>
          <w:sz w:val="22"/>
          <w:lang w:eastAsia="sk-SK"/>
        </w:rPr>
      </w:pPr>
      <w:hyperlink w:anchor="_Toc115857788" w:history="1">
        <w:r w:rsidR="00DE63C7" w:rsidRPr="00E07C9A">
          <w:rPr>
            <w:rStyle w:val="Hyperlink"/>
            <w:rFonts w:ascii="Times New Roman" w:hAnsi="Times New Roman"/>
          </w:rPr>
          <w:t>3.3.2.</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Prehľad vzoru CR IRB</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_Toc115857788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97</w:t>
        </w:r>
        <w:r w:rsidR="00DE63C7" w:rsidRPr="00E07C9A">
          <w:rPr>
            <w:rFonts w:ascii="Times New Roman" w:hAnsi="Times New Roman"/>
            <w:webHidden/>
          </w:rPr>
          <w:fldChar w:fldCharType="end"/>
        </w:r>
      </w:hyperlink>
    </w:p>
    <w:p w14:paraId="38F65715" w14:textId="17DE6FD0" w:rsidR="00DE63C7" w:rsidRPr="00E07C9A" w:rsidRDefault="00132AEE">
      <w:pPr>
        <w:pStyle w:val="TOC2"/>
        <w:rPr>
          <w:rFonts w:ascii="Times New Roman" w:eastAsiaTheme="minorEastAsia" w:hAnsi="Times New Roman"/>
          <w:b w:val="0"/>
          <w:smallCaps w:val="0"/>
          <w:sz w:val="22"/>
          <w:lang w:eastAsia="sk-SK"/>
        </w:rPr>
      </w:pPr>
      <w:hyperlink w:anchor="_Toc115857789" w:history="1">
        <w:r w:rsidR="00DE63C7" w:rsidRPr="00E07C9A">
          <w:rPr>
            <w:rStyle w:val="Hyperlink"/>
            <w:rFonts w:ascii="Times New Roman" w:hAnsi="Times New Roman"/>
          </w:rPr>
          <w:t>3.3.3.</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C 08.01 – Kreditné riziko</w:t>
        </w:r>
        <w:r w:rsidR="009912F8" w:rsidRPr="00E07C9A">
          <w:rPr>
            <w:rStyle w:val="Hyperlink"/>
            <w:rFonts w:ascii="Times New Roman" w:hAnsi="Times New Roman"/>
          </w:rPr>
          <w:t xml:space="preserve"> a </w:t>
        </w:r>
        <w:r w:rsidR="00DE63C7" w:rsidRPr="00E07C9A">
          <w:rPr>
            <w:rStyle w:val="Hyperlink"/>
            <w:rFonts w:ascii="Times New Roman" w:hAnsi="Times New Roman"/>
          </w:rPr>
          <w:t>kreditné riziko protistrany</w:t>
        </w:r>
        <w:r w:rsidR="009912F8" w:rsidRPr="00E07C9A">
          <w:rPr>
            <w:rStyle w:val="Hyperlink"/>
            <w:rFonts w:ascii="Times New Roman" w:hAnsi="Times New Roman"/>
          </w:rPr>
          <w:t xml:space="preserve"> a </w:t>
        </w:r>
        <w:r w:rsidR="00DE63C7" w:rsidRPr="00E07C9A">
          <w:rPr>
            <w:rStyle w:val="Hyperlink"/>
            <w:rFonts w:ascii="Times New Roman" w:hAnsi="Times New Roman"/>
          </w:rPr>
          <w:t>bezodplatné dodanie: Prístup IRB ku kapitálovým požiadavkám (CR IRB 1)</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_Toc115857789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98</w:t>
        </w:r>
        <w:r w:rsidR="00DE63C7" w:rsidRPr="00E07C9A">
          <w:rPr>
            <w:rFonts w:ascii="Times New Roman" w:hAnsi="Times New Roman"/>
            <w:webHidden/>
          </w:rPr>
          <w:fldChar w:fldCharType="end"/>
        </w:r>
      </w:hyperlink>
    </w:p>
    <w:p w14:paraId="5D7786FC" w14:textId="1F1A6D09" w:rsidR="00DE63C7" w:rsidRPr="00E07C9A" w:rsidRDefault="00132AEE">
      <w:pPr>
        <w:pStyle w:val="TOC2"/>
        <w:rPr>
          <w:rFonts w:ascii="Times New Roman" w:eastAsiaTheme="minorEastAsia" w:hAnsi="Times New Roman"/>
          <w:b w:val="0"/>
          <w:smallCaps w:val="0"/>
          <w:sz w:val="22"/>
          <w:lang w:eastAsia="sk-SK"/>
        </w:rPr>
      </w:pPr>
      <w:hyperlink w:anchor="_Toc115857790" w:history="1">
        <w:r w:rsidR="00DE63C7" w:rsidRPr="00E07C9A">
          <w:rPr>
            <w:rStyle w:val="Hyperlink"/>
            <w:rFonts w:ascii="Times New Roman" w:hAnsi="Times New Roman"/>
          </w:rPr>
          <w:t>3.3.3.1.</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Pokyny týkajúce sa konkrétnych pozícií</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_Toc115857790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98</w:t>
        </w:r>
        <w:r w:rsidR="00DE63C7" w:rsidRPr="00E07C9A">
          <w:rPr>
            <w:rFonts w:ascii="Times New Roman" w:hAnsi="Times New Roman"/>
            <w:webHidden/>
          </w:rPr>
          <w:fldChar w:fldCharType="end"/>
        </w:r>
      </w:hyperlink>
    </w:p>
    <w:p w14:paraId="4D8260E4" w14:textId="0F590B48" w:rsidR="00DE63C7" w:rsidRPr="00E07C9A" w:rsidRDefault="00132AEE">
      <w:pPr>
        <w:pStyle w:val="TOC2"/>
        <w:rPr>
          <w:rFonts w:ascii="Times New Roman" w:eastAsiaTheme="minorEastAsia" w:hAnsi="Times New Roman"/>
          <w:b w:val="0"/>
          <w:smallCaps w:val="0"/>
          <w:sz w:val="22"/>
          <w:lang w:eastAsia="sk-SK"/>
        </w:rPr>
      </w:pPr>
      <w:hyperlink w:anchor="_Toc115857791" w:history="1">
        <w:r w:rsidR="00DE63C7" w:rsidRPr="00E07C9A">
          <w:rPr>
            <w:rStyle w:val="Hyperlink"/>
            <w:rFonts w:ascii="Times New Roman" w:hAnsi="Times New Roman"/>
          </w:rPr>
          <w:t>3.3.4.</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C 08.02 – Kreditné riziko</w:t>
        </w:r>
        <w:r w:rsidR="009912F8" w:rsidRPr="00E07C9A">
          <w:rPr>
            <w:rStyle w:val="Hyperlink"/>
            <w:rFonts w:ascii="Times New Roman" w:hAnsi="Times New Roman"/>
          </w:rPr>
          <w:t xml:space="preserve"> a </w:t>
        </w:r>
        <w:r w:rsidR="00DE63C7" w:rsidRPr="00E07C9A">
          <w:rPr>
            <w:rStyle w:val="Hyperlink"/>
            <w:rFonts w:ascii="Times New Roman" w:hAnsi="Times New Roman"/>
          </w:rPr>
          <w:t>kreditné riziko protistrany</w:t>
        </w:r>
        <w:r w:rsidR="009912F8" w:rsidRPr="00E07C9A">
          <w:rPr>
            <w:rStyle w:val="Hyperlink"/>
            <w:rFonts w:ascii="Times New Roman" w:hAnsi="Times New Roman"/>
          </w:rPr>
          <w:t xml:space="preserve"> a </w:t>
        </w:r>
        <w:r w:rsidR="00DE63C7" w:rsidRPr="00E07C9A">
          <w:rPr>
            <w:rStyle w:val="Hyperlink"/>
            <w:rFonts w:ascii="Times New Roman" w:hAnsi="Times New Roman"/>
          </w:rPr>
          <w:t>bezodplatné dodanie: Prístup IRB ku kapitálovým požiadavkám: rozčlenenie podľa ratingových stupňov alebo skupín dlžníkov (vzor CR IRB 2)</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_Toc115857791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109</w:t>
        </w:r>
        <w:r w:rsidR="00DE63C7" w:rsidRPr="00E07C9A">
          <w:rPr>
            <w:rFonts w:ascii="Times New Roman" w:hAnsi="Times New Roman"/>
            <w:webHidden/>
          </w:rPr>
          <w:fldChar w:fldCharType="end"/>
        </w:r>
      </w:hyperlink>
    </w:p>
    <w:p w14:paraId="1DCBE186" w14:textId="65179F33" w:rsidR="00DE63C7" w:rsidRPr="00E07C9A" w:rsidRDefault="00132AEE">
      <w:pPr>
        <w:pStyle w:val="TOC2"/>
        <w:rPr>
          <w:rFonts w:ascii="Times New Roman" w:eastAsiaTheme="minorEastAsia" w:hAnsi="Times New Roman"/>
          <w:b w:val="0"/>
          <w:smallCaps w:val="0"/>
          <w:sz w:val="22"/>
          <w:lang w:eastAsia="sk-SK"/>
        </w:rPr>
      </w:pPr>
      <w:hyperlink w:anchor="_Toc115857792" w:history="1">
        <w:r w:rsidR="00DE63C7" w:rsidRPr="00E07C9A">
          <w:rPr>
            <w:rStyle w:val="Hyperlink"/>
            <w:rFonts w:ascii="Times New Roman" w:hAnsi="Times New Roman"/>
          </w:rPr>
          <w:t>3.3.1.</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C 08.03 – Kreditné riziko</w:t>
        </w:r>
        <w:r w:rsidR="009912F8" w:rsidRPr="00E07C9A">
          <w:rPr>
            <w:rStyle w:val="Hyperlink"/>
            <w:rFonts w:ascii="Times New Roman" w:hAnsi="Times New Roman"/>
          </w:rPr>
          <w:t xml:space="preserve"> a </w:t>
        </w:r>
        <w:r w:rsidR="00DE63C7" w:rsidRPr="00E07C9A">
          <w:rPr>
            <w:rStyle w:val="Hyperlink"/>
            <w:rFonts w:ascii="Times New Roman" w:hAnsi="Times New Roman"/>
          </w:rPr>
          <w:t>bezodplatné dodanie: prístup IRB ku kapitálovým požiadavkám [rozčlenenie podľa rozsahu PD (CR IRB 3)]</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_Toc115857792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110</w:t>
        </w:r>
        <w:r w:rsidR="00DE63C7" w:rsidRPr="00E07C9A">
          <w:rPr>
            <w:rFonts w:ascii="Times New Roman" w:hAnsi="Times New Roman"/>
            <w:webHidden/>
          </w:rPr>
          <w:fldChar w:fldCharType="end"/>
        </w:r>
      </w:hyperlink>
    </w:p>
    <w:p w14:paraId="31978B3A" w14:textId="26C16623" w:rsidR="00DE63C7" w:rsidRPr="00E07C9A" w:rsidRDefault="00132AEE">
      <w:pPr>
        <w:pStyle w:val="TOC2"/>
        <w:rPr>
          <w:rFonts w:ascii="Times New Roman" w:eastAsiaTheme="minorEastAsia" w:hAnsi="Times New Roman"/>
          <w:b w:val="0"/>
          <w:smallCaps w:val="0"/>
          <w:sz w:val="22"/>
          <w:lang w:eastAsia="sk-SK"/>
        </w:rPr>
      </w:pPr>
      <w:hyperlink w:anchor="_Toc115857793" w:history="1">
        <w:r w:rsidR="00DE63C7" w:rsidRPr="00E07C9A">
          <w:rPr>
            <w:rStyle w:val="Hyperlink"/>
            <w:rFonts w:ascii="Times New Roman" w:hAnsi="Times New Roman"/>
          </w:rPr>
          <w:t>3.3.1.1.</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Všeobecné poznámky</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_Toc115857793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110</w:t>
        </w:r>
        <w:r w:rsidR="00DE63C7" w:rsidRPr="00E07C9A">
          <w:rPr>
            <w:rFonts w:ascii="Times New Roman" w:hAnsi="Times New Roman"/>
            <w:webHidden/>
          </w:rPr>
          <w:fldChar w:fldCharType="end"/>
        </w:r>
      </w:hyperlink>
    </w:p>
    <w:p w14:paraId="1DC4F6BB" w14:textId="02B7AF65" w:rsidR="00DE63C7" w:rsidRPr="00E07C9A" w:rsidRDefault="00132AEE">
      <w:pPr>
        <w:pStyle w:val="TOC2"/>
        <w:rPr>
          <w:rFonts w:ascii="Times New Roman" w:eastAsiaTheme="minorEastAsia" w:hAnsi="Times New Roman"/>
          <w:b w:val="0"/>
          <w:smallCaps w:val="0"/>
          <w:sz w:val="22"/>
          <w:lang w:eastAsia="sk-SK"/>
        </w:rPr>
      </w:pPr>
      <w:hyperlink w:anchor="_Toc115857794" w:history="1">
        <w:r w:rsidR="00DE63C7" w:rsidRPr="00E07C9A">
          <w:rPr>
            <w:rStyle w:val="Hyperlink"/>
            <w:rFonts w:ascii="Times New Roman" w:hAnsi="Times New Roman"/>
          </w:rPr>
          <w:t>3.3.1.2.</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Pokyny týkajúce sa konkrétnych pozícií</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_Toc115857794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110</w:t>
        </w:r>
        <w:r w:rsidR="00DE63C7" w:rsidRPr="00E07C9A">
          <w:rPr>
            <w:rFonts w:ascii="Times New Roman" w:hAnsi="Times New Roman"/>
            <w:webHidden/>
          </w:rPr>
          <w:fldChar w:fldCharType="end"/>
        </w:r>
      </w:hyperlink>
    </w:p>
    <w:p w14:paraId="283A226D" w14:textId="1830F5A4" w:rsidR="00DE63C7" w:rsidRPr="00E07C9A" w:rsidRDefault="00132AEE">
      <w:pPr>
        <w:pStyle w:val="TOC2"/>
        <w:rPr>
          <w:rFonts w:ascii="Times New Roman" w:eastAsiaTheme="minorEastAsia" w:hAnsi="Times New Roman"/>
          <w:b w:val="0"/>
          <w:smallCaps w:val="0"/>
          <w:sz w:val="22"/>
          <w:lang w:eastAsia="sk-SK"/>
        </w:rPr>
      </w:pPr>
      <w:hyperlink w:anchor="_Toc115857795" w:history="1">
        <w:r w:rsidR="00DE63C7" w:rsidRPr="00E07C9A">
          <w:rPr>
            <w:rStyle w:val="Hyperlink"/>
            <w:rFonts w:ascii="Times New Roman" w:hAnsi="Times New Roman"/>
          </w:rPr>
          <w:t>3.3.2.</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C 08.04 – Kreditné riziko</w:t>
        </w:r>
        <w:r w:rsidR="009912F8" w:rsidRPr="00E07C9A">
          <w:rPr>
            <w:rStyle w:val="Hyperlink"/>
            <w:rFonts w:ascii="Times New Roman" w:hAnsi="Times New Roman"/>
          </w:rPr>
          <w:t xml:space="preserve"> a </w:t>
        </w:r>
        <w:r w:rsidR="00DE63C7" w:rsidRPr="00E07C9A">
          <w:rPr>
            <w:rStyle w:val="Hyperlink"/>
            <w:rFonts w:ascii="Times New Roman" w:hAnsi="Times New Roman"/>
          </w:rPr>
          <w:t>bezodplatné dodanie: prístup IRB ku kapitálovým požiadavkám [výkazy peňažných tokov RWEA (CR IRB 4)]</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_Toc115857795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112</w:t>
        </w:r>
        <w:r w:rsidR="00DE63C7" w:rsidRPr="00E07C9A">
          <w:rPr>
            <w:rFonts w:ascii="Times New Roman" w:hAnsi="Times New Roman"/>
            <w:webHidden/>
          </w:rPr>
          <w:fldChar w:fldCharType="end"/>
        </w:r>
      </w:hyperlink>
    </w:p>
    <w:p w14:paraId="594775CE" w14:textId="45471410" w:rsidR="00DE63C7" w:rsidRPr="00E07C9A" w:rsidRDefault="00132AEE">
      <w:pPr>
        <w:pStyle w:val="TOC2"/>
        <w:rPr>
          <w:rFonts w:ascii="Times New Roman" w:eastAsiaTheme="minorEastAsia" w:hAnsi="Times New Roman"/>
          <w:b w:val="0"/>
          <w:smallCaps w:val="0"/>
          <w:sz w:val="22"/>
          <w:lang w:eastAsia="sk-SK"/>
        </w:rPr>
      </w:pPr>
      <w:hyperlink w:anchor="_Toc115857796" w:history="1">
        <w:r w:rsidR="00DE63C7" w:rsidRPr="00E07C9A">
          <w:rPr>
            <w:rStyle w:val="Hyperlink"/>
            <w:rFonts w:ascii="Times New Roman" w:hAnsi="Times New Roman"/>
          </w:rPr>
          <w:t>3.3.2.1.</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Všeobecné poznámky</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_Toc115857796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112</w:t>
        </w:r>
        <w:r w:rsidR="00DE63C7" w:rsidRPr="00E07C9A">
          <w:rPr>
            <w:rFonts w:ascii="Times New Roman" w:hAnsi="Times New Roman"/>
            <w:webHidden/>
          </w:rPr>
          <w:fldChar w:fldCharType="end"/>
        </w:r>
      </w:hyperlink>
    </w:p>
    <w:p w14:paraId="257F413F" w14:textId="51F509C7" w:rsidR="00DE63C7" w:rsidRPr="00E07C9A" w:rsidRDefault="00132AEE">
      <w:pPr>
        <w:pStyle w:val="TOC2"/>
        <w:rPr>
          <w:rFonts w:ascii="Times New Roman" w:eastAsiaTheme="minorEastAsia" w:hAnsi="Times New Roman"/>
          <w:b w:val="0"/>
          <w:smallCaps w:val="0"/>
          <w:sz w:val="22"/>
          <w:lang w:eastAsia="sk-SK"/>
        </w:rPr>
      </w:pPr>
      <w:hyperlink w:anchor="_Toc115857797" w:history="1">
        <w:r w:rsidR="00DE63C7" w:rsidRPr="00E07C9A">
          <w:rPr>
            <w:rStyle w:val="Hyperlink"/>
            <w:rFonts w:ascii="Times New Roman" w:hAnsi="Times New Roman"/>
          </w:rPr>
          <w:t>3.3.2.2.</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Pokyny týkajúce sa konkrétnych pozícií</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_Toc115857797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113</w:t>
        </w:r>
        <w:r w:rsidR="00DE63C7" w:rsidRPr="00E07C9A">
          <w:rPr>
            <w:rFonts w:ascii="Times New Roman" w:hAnsi="Times New Roman"/>
            <w:webHidden/>
          </w:rPr>
          <w:fldChar w:fldCharType="end"/>
        </w:r>
      </w:hyperlink>
    </w:p>
    <w:p w14:paraId="1DF6C676" w14:textId="2EFE6A51" w:rsidR="00DE63C7" w:rsidRPr="00E07C9A" w:rsidRDefault="00132AEE">
      <w:pPr>
        <w:pStyle w:val="TOC2"/>
        <w:rPr>
          <w:rFonts w:ascii="Times New Roman" w:eastAsiaTheme="minorEastAsia" w:hAnsi="Times New Roman"/>
          <w:b w:val="0"/>
          <w:smallCaps w:val="0"/>
          <w:sz w:val="22"/>
          <w:lang w:eastAsia="sk-SK"/>
        </w:rPr>
      </w:pPr>
      <w:hyperlink w:anchor="_Toc115857798" w:history="1">
        <w:r w:rsidR="00DE63C7" w:rsidRPr="00E07C9A">
          <w:rPr>
            <w:rStyle w:val="Hyperlink"/>
            <w:rFonts w:ascii="Times New Roman" w:hAnsi="Times New Roman"/>
          </w:rPr>
          <w:t>3.3.3.</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C 08.05 – Kreditné riziko</w:t>
        </w:r>
        <w:r w:rsidR="009912F8" w:rsidRPr="00E07C9A">
          <w:rPr>
            <w:rStyle w:val="Hyperlink"/>
            <w:rFonts w:ascii="Times New Roman" w:hAnsi="Times New Roman"/>
          </w:rPr>
          <w:t xml:space="preserve"> a </w:t>
        </w:r>
        <w:r w:rsidR="00DE63C7" w:rsidRPr="00E07C9A">
          <w:rPr>
            <w:rStyle w:val="Hyperlink"/>
            <w:rFonts w:ascii="Times New Roman" w:hAnsi="Times New Roman"/>
          </w:rPr>
          <w:t>bezodplatné dodanie: prístup IRB ku kapitálovým požiadavkám [spätné testovanie PD (CR IRB 5)]</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_Toc115857798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114</w:t>
        </w:r>
        <w:r w:rsidR="00DE63C7" w:rsidRPr="00E07C9A">
          <w:rPr>
            <w:rFonts w:ascii="Times New Roman" w:hAnsi="Times New Roman"/>
            <w:webHidden/>
          </w:rPr>
          <w:fldChar w:fldCharType="end"/>
        </w:r>
      </w:hyperlink>
    </w:p>
    <w:p w14:paraId="1F2855AA" w14:textId="071A8708" w:rsidR="00DE63C7" w:rsidRPr="00E07C9A" w:rsidRDefault="00132AEE">
      <w:pPr>
        <w:pStyle w:val="TOC2"/>
        <w:rPr>
          <w:rFonts w:ascii="Times New Roman" w:eastAsiaTheme="minorEastAsia" w:hAnsi="Times New Roman"/>
          <w:b w:val="0"/>
          <w:smallCaps w:val="0"/>
          <w:sz w:val="22"/>
          <w:lang w:eastAsia="sk-SK"/>
        </w:rPr>
      </w:pPr>
      <w:hyperlink w:anchor="_Toc115857799" w:history="1">
        <w:r w:rsidR="00DE63C7" w:rsidRPr="00E07C9A">
          <w:rPr>
            <w:rStyle w:val="Hyperlink"/>
            <w:rFonts w:ascii="Times New Roman" w:hAnsi="Times New Roman"/>
          </w:rPr>
          <w:t>3.3.3.1.</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Všeobecné poznámky</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_Toc115857799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114</w:t>
        </w:r>
        <w:r w:rsidR="00DE63C7" w:rsidRPr="00E07C9A">
          <w:rPr>
            <w:rFonts w:ascii="Times New Roman" w:hAnsi="Times New Roman"/>
            <w:webHidden/>
          </w:rPr>
          <w:fldChar w:fldCharType="end"/>
        </w:r>
      </w:hyperlink>
    </w:p>
    <w:p w14:paraId="696B2875" w14:textId="5D3E9203" w:rsidR="00DE63C7" w:rsidRPr="00E07C9A" w:rsidRDefault="00132AEE">
      <w:pPr>
        <w:pStyle w:val="TOC2"/>
        <w:rPr>
          <w:rFonts w:ascii="Times New Roman" w:eastAsiaTheme="minorEastAsia" w:hAnsi="Times New Roman"/>
          <w:b w:val="0"/>
          <w:smallCaps w:val="0"/>
          <w:sz w:val="22"/>
          <w:lang w:eastAsia="sk-SK"/>
        </w:rPr>
      </w:pPr>
      <w:hyperlink w:anchor="_Toc115857800" w:history="1">
        <w:r w:rsidR="00DE63C7" w:rsidRPr="00E07C9A">
          <w:rPr>
            <w:rStyle w:val="Hyperlink"/>
            <w:rFonts w:ascii="Times New Roman" w:hAnsi="Times New Roman"/>
          </w:rPr>
          <w:t>3.3.3.2.</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Pokyny týkajúce sa konkrétnych pozícií</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_Toc115857800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115</w:t>
        </w:r>
        <w:r w:rsidR="00DE63C7" w:rsidRPr="00E07C9A">
          <w:rPr>
            <w:rFonts w:ascii="Times New Roman" w:hAnsi="Times New Roman"/>
            <w:webHidden/>
          </w:rPr>
          <w:fldChar w:fldCharType="end"/>
        </w:r>
      </w:hyperlink>
    </w:p>
    <w:p w14:paraId="4EFBF834" w14:textId="1E0258A4" w:rsidR="00DE63C7" w:rsidRPr="00E07C9A" w:rsidRDefault="00132AEE">
      <w:pPr>
        <w:pStyle w:val="TOC2"/>
        <w:rPr>
          <w:rFonts w:ascii="Times New Roman" w:eastAsiaTheme="minorEastAsia" w:hAnsi="Times New Roman"/>
          <w:b w:val="0"/>
          <w:smallCaps w:val="0"/>
          <w:sz w:val="22"/>
          <w:lang w:eastAsia="sk-SK"/>
        </w:rPr>
      </w:pPr>
      <w:hyperlink w:anchor="_Toc115857801" w:history="1">
        <w:r w:rsidR="00DE63C7" w:rsidRPr="00E07C9A">
          <w:rPr>
            <w:rStyle w:val="Hyperlink"/>
            <w:rFonts w:ascii="Times New Roman" w:hAnsi="Times New Roman"/>
          </w:rPr>
          <w:t>3.3.4.</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C 08.05.1 – Kreditné riziko</w:t>
        </w:r>
        <w:r w:rsidR="009912F8" w:rsidRPr="00E07C9A">
          <w:rPr>
            <w:rStyle w:val="Hyperlink"/>
            <w:rFonts w:ascii="Times New Roman" w:hAnsi="Times New Roman"/>
          </w:rPr>
          <w:t xml:space="preserve"> a </w:t>
        </w:r>
        <w:r w:rsidR="00DE63C7" w:rsidRPr="00E07C9A">
          <w:rPr>
            <w:rStyle w:val="Hyperlink"/>
            <w:rFonts w:ascii="Times New Roman" w:hAnsi="Times New Roman"/>
          </w:rPr>
          <w:t xml:space="preserve">bezodplatné dodanie: Prístup IRB ku kapitálovým požiadavkám: spätné testovanie PD podľa článku 180 ods. 1 písm. f) nariadenia (EÚ) </w:t>
        </w:r>
        <w:r w:rsidR="009912F8" w:rsidRPr="00E07C9A">
          <w:rPr>
            <w:rStyle w:val="Hyperlink"/>
            <w:rFonts w:ascii="Times New Roman" w:hAnsi="Times New Roman"/>
          </w:rPr>
          <w:t>č. 575/2013</w:t>
        </w:r>
        <w:r w:rsidR="00DE63C7" w:rsidRPr="00E07C9A">
          <w:rPr>
            <w:rStyle w:val="Hyperlink"/>
            <w:rFonts w:ascii="Times New Roman" w:hAnsi="Times New Roman"/>
          </w:rPr>
          <w:t xml:space="preserve"> (CR IRB 5B)</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_Toc115857801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116</w:t>
        </w:r>
        <w:r w:rsidR="00DE63C7" w:rsidRPr="00E07C9A">
          <w:rPr>
            <w:rFonts w:ascii="Times New Roman" w:hAnsi="Times New Roman"/>
            <w:webHidden/>
          </w:rPr>
          <w:fldChar w:fldCharType="end"/>
        </w:r>
      </w:hyperlink>
    </w:p>
    <w:p w14:paraId="336DCBB7" w14:textId="45C3A849" w:rsidR="00DE63C7" w:rsidRPr="00E07C9A" w:rsidRDefault="00132AEE">
      <w:pPr>
        <w:pStyle w:val="TOC2"/>
        <w:rPr>
          <w:rFonts w:ascii="Times New Roman" w:eastAsiaTheme="minorEastAsia" w:hAnsi="Times New Roman"/>
          <w:b w:val="0"/>
          <w:smallCaps w:val="0"/>
          <w:sz w:val="22"/>
          <w:lang w:eastAsia="sk-SK"/>
        </w:rPr>
      </w:pPr>
      <w:hyperlink w:anchor="_Toc115857802" w:history="1">
        <w:r w:rsidR="00DE63C7" w:rsidRPr="00E07C9A">
          <w:rPr>
            <w:rStyle w:val="Hyperlink"/>
            <w:rFonts w:ascii="Times New Roman" w:hAnsi="Times New Roman"/>
          </w:rPr>
          <w:t>3.3.4.1.</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Pokyny týkajúce sa konkrétnych pozícií</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_Toc115857802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116</w:t>
        </w:r>
        <w:r w:rsidR="00DE63C7" w:rsidRPr="00E07C9A">
          <w:rPr>
            <w:rFonts w:ascii="Times New Roman" w:hAnsi="Times New Roman"/>
            <w:webHidden/>
          </w:rPr>
          <w:fldChar w:fldCharType="end"/>
        </w:r>
      </w:hyperlink>
    </w:p>
    <w:p w14:paraId="162D09BE" w14:textId="7B9BE91F" w:rsidR="00DE63C7" w:rsidRPr="00E07C9A" w:rsidRDefault="00132AEE">
      <w:pPr>
        <w:pStyle w:val="TOC2"/>
        <w:rPr>
          <w:rFonts w:ascii="Times New Roman" w:eastAsiaTheme="minorEastAsia" w:hAnsi="Times New Roman"/>
          <w:b w:val="0"/>
          <w:smallCaps w:val="0"/>
          <w:sz w:val="22"/>
          <w:lang w:eastAsia="sk-SK"/>
        </w:rPr>
      </w:pPr>
      <w:hyperlink w:anchor="_Toc115857803" w:history="1">
        <w:r w:rsidR="00DE63C7" w:rsidRPr="00E07C9A">
          <w:rPr>
            <w:rStyle w:val="Hyperlink"/>
            <w:rFonts w:ascii="Times New Roman" w:hAnsi="Times New Roman"/>
          </w:rPr>
          <w:t>3.3.5.</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C 08.06 – Kreditné riziko</w:t>
        </w:r>
        <w:r w:rsidR="009912F8" w:rsidRPr="00E07C9A">
          <w:rPr>
            <w:rStyle w:val="Hyperlink"/>
            <w:rFonts w:ascii="Times New Roman" w:hAnsi="Times New Roman"/>
          </w:rPr>
          <w:t xml:space="preserve"> a </w:t>
        </w:r>
        <w:r w:rsidR="00DE63C7" w:rsidRPr="00E07C9A">
          <w:rPr>
            <w:rStyle w:val="Hyperlink"/>
            <w:rFonts w:ascii="Times New Roman" w:hAnsi="Times New Roman"/>
          </w:rPr>
          <w:t>bezodplatné dodanie: prístup IRB ku kapitálovým požiadavkám [prístup spočívajúci</w:t>
        </w:r>
        <w:r w:rsidR="009912F8" w:rsidRPr="00E07C9A">
          <w:rPr>
            <w:rStyle w:val="Hyperlink"/>
            <w:rFonts w:ascii="Times New Roman" w:hAnsi="Times New Roman"/>
          </w:rPr>
          <w:t xml:space="preserve"> v </w:t>
        </w:r>
        <w:r w:rsidR="00DE63C7" w:rsidRPr="00E07C9A">
          <w:rPr>
            <w:rStyle w:val="Hyperlink"/>
            <w:rFonts w:ascii="Times New Roman" w:hAnsi="Times New Roman"/>
          </w:rPr>
          <w:t>zaradení špecializovaného financovania (CR IRB 6)]</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_Toc115857803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116</w:t>
        </w:r>
        <w:r w:rsidR="00DE63C7" w:rsidRPr="00E07C9A">
          <w:rPr>
            <w:rFonts w:ascii="Times New Roman" w:hAnsi="Times New Roman"/>
            <w:webHidden/>
          </w:rPr>
          <w:fldChar w:fldCharType="end"/>
        </w:r>
      </w:hyperlink>
    </w:p>
    <w:p w14:paraId="58DB84D4" w14:textId="58DB5F09" w:rsidR="00DE63C7" w:rsidRPr="00E07C9A" w:rsidRDefault="00132AEE">
      <w:pPr>
        <w:pStyle w:val="TOC2"/>
        <w:rPr>
          <w:rFonts w:ascii="Times New Roman" w:eastAsiaTheme="minorEastAsia" w:hAnsi="Times New Roman"/>
          <w:b w:val="0"/>
          <w:smallCaps w:val="0"/>
          <w:sz w:val="22"/>
          <w:lang w:eastAsia="sk-SK"/>
        </w:rPr>
      </w:pPr>
      <w:hyperlink w:anchor="_Toc115857804" w:history="1">
        <w:r w:rsidR="00DE63C7" w:rsidRPr="00E07C9A">
          <w:rPr>
            <w:rStyle w:val="Hyperlink"/>
            <w:rFonts w:ascii="Times New Roman" w:hAnsi="Times New Roman"/>
          </w:rPr>
          <w:t>3.3.5.1.</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Všeobecné poznámky</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_Toc115857804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116</w:t>
        </w:r>
        <w:r w:rsidR="00DE63C7" w:rsidRPr="00E07C9A">
          <w:rPr>
            <w:rFonts w:ascii="Times New Roman" w:hAnsi="Times New Roman"/>
            <w:webHidden/>
          </w:rPr>
          <w:fldChar w:fldCharType="end"/>
        </w:r>
      </w:hyperlink>
    </w:p>
    <w:p w14:paraId="7883ABCD" w14:textId="77DB57C3" w:rsidR="00DE63C7" w:rsidRPr="00E07C9A" w:rsidRDefault="00132AEE">
      <w:pPr>
        <w:pStyle w:val="TOC2"/>
        <w:rPr>
          <w:rFonts w:ascii="Times New Roman" w:eastAsiaTheme="minorEastAsia" w:hAnsi="Times New Roman"/>
          <w:b w:val="0"/>
          <w:smallCaps w:val="0"/>
          <w:sz w:val="22"/>
          <w:lang w:eastAsia="sk-SK"/>
        </w:rPr>
      </w:pPr>
      <w:hyperlink w:anchor="_Toc115857805" w:history="1">
        <w:r w:rsidR="00DE63C7" w:rsidRPr="00E07C9A">
          <w:rPr>
            <w:rStyle w:val="Hyperlink"/>
            <w:rFonts w:ascii="Times New Roman" w:hAnsi="Times New Roman"/>
          </w:rPr>
          <w:t>3.3.5.2.</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Pokyny týkajúce sa konkrétnych pozícií</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_Toc115857805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117</w:t>
        </w:r>
        <w:r w:rsidR="00DE63C7" w:rsidRPr="00E07C9A">
          <w:rPr>
            <w:rFonts w:ascii="Times New Roman" w:hAnsi="Times New Roman"/>
            <w:webHidden/>
          </w:rPr>
          <w:fldChar w:fldCharType="end"/>
        </w:r>
      </w:hyperlink>
    </w:p>
    <w:p w14:paraId="6E62E22A" w14:textId="49B279BB" w:rsidR="00DE63C7" w:rsidRPr="00E07C9A" w:rsidRDefault="00132AEE">
      <w:pPr>
        <w:pStyle w:val="TOC2"/>
        <w:rPr>
          <w:rFonts w:ascii="Times New Roman" w:eastAsiaTheme="minorEastAsia" w:hAnsi="Times New Roman"/>
          <w:b w:val="0"/>
          <w:smallCaps w:val="0"/>
          <w:sz w:val="22"/>
          <w:lang w:eastAsia="sk-SK"/>
        </w:rPr>
      </w:pPr>
      <w:hyperlink w:anchor="_Toc115857806" w:history="1">
        <w:r w:rsidR="00DE63C7" w:rsidRPr="00E07C9A">
          <w:rPr>
            <w:rStyle w:val="Hyperlink"/>
            <w:rFonts w:ascii="Times New Roman" w:hAnsi="Times New Roman"/>
          </w:rPr>
          <w:t>3.3.6.</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C 08.07 – Kreditné riziko</w:t>
        </w:r>
        <w:r w:rsidR="009912F8" w:rsidRPr="00E07C9A">
          <w:rPr>
            <w:rStyle w:val="Hyperlink"/>
            <w:rFonts w:ascii="Times New Roman" w:hAnsi="Times New Roman"/>
          </w:rPr>
          <w:t xml:space="preserve"> a </w:t>
        </w:r>
        <w:r w:rsidR="00DE63C7" w:rsidRPr="00E07C9A">
          <w:rPr>
            <w:rStyle w:val="Hyperlink"/>
            <w:rFonts w:ascii="Times New Roman" w:hAnsi="Times New Roman"/>
          </w:rPr>
          <w:t>bezodplatné dodanie: prístup IRB ku kapitálovým požiadavkám [rozsah používania prístupov IRB</w:t>
        </w:r>
        <w:r w:rsidR="009912F8" w:rsidRPr="00E07C9A">
          <w:rPr>
            <w:rStyle w:val="Hyperlink"/>
            <w:rFonts w:ascii="Times New Roman" w:hAnsi="Times New Roman"/>
          </w:rPr>
          <w:t xml:space="preserve"> a </w:t>
        </w:r>
        <w:r w:rsidR="00DE63C7" w:rsidRPr="00E07C9A">
          <w:rPr>
            <w:rStyle w:val="Hyperlink"/>
            <w:rFonts w:ascii="Times New Roman" w:hAnsi="Times New Roman"/>
          </w:rPr>
          <w:t>SA (CR IRB 7)]</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_Toc115857806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118</w:t>
        </w:r>
        <w:r w:rsidR="00DE63C7" w:rsidRPr="00E07C9A">
          <w:rPr>
            <w:rFonts w:ascii="Times New Roman" w:hAnsi="Times New Roman"/>
            <w:webHidden/>
          </w:rPr>
          <w:fldChar w:fldCharType="end"/>
        </w:r>
      </w:hyperlink>
    </w:p>
    <w:p w14:paraId="628B477D" w14:textId="0F3C94C1" w:rsidR="00DE63C7" w:rsidRPr="00E07C9A" w:rsidRDefault="00132AEE">
      <w:pPr>
        <w:pStyle w:val="TOC2"/>
        <w:rPr>
          <w:rFonts w:ascii="Times New Roman" w:eastAsiaTheme="minorEastAsia" w:hAnsi="Times New Roman"/>
          <w:b w:val="0"/>
          <w:smallCaps w:val="0"/>
          <w:sz w:val="22"/>
          <w:lang w:eastAsia="sk-SK"/>
        </w:rPr>
      </w:pPr>
      <w:hyperlink w:anchor="_Toc115857807" w:history="1">
        <w:r w:rsidR="00DE63C7" w:rsidRPr="00E07C9A">
          <w:rPr>
            <w:rStyle w:val="Hyperlink"/>
            <w:rFonts w:ascii="Times New Roman" w:hAnsi="Times New Roman"/>
          </w:rPr>
          <w:t>3.3.6.1.</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Všeobecné poznámky</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_Toc115857807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118</w:t>
        </w:r>
        <w:r w:rsidR="00DE63C7" w:rsidRPr="00E07C9A">
          <w:rPr>
            <w:rFonts w:ascii="Times New Roman" w:hAnsi="Times New Roman"/>
            <w:webHidden/>
          </w:rPr>
          <w:fldChar w:fldCharType="end"/>
        </w:r>
      </w:hyperlink>
    </w:p>
    <w:p w14:paraId="14426559" w14:textId="1299EA4F" w:rsidR="00DE63C7" w:rsidRPr="00E07C9A" w:rsidRDefault="00132AEE">
      <w:pPr>
        <w:pStyle w:val="TOC2"/>
        <w:rPr>
          <w:rFonts w:ascii="Times New Roman" w:eastAsiaTheme="minorEastAsia" w:hAnsi="Times New Roman"/>
          <w:b w:val="0"/>
          <w:smallCaps w:val="0"/>
          <w:sz w:val="22"/>
          <w:lang w:eastAsia="sk-SK"/>
        </w:rPr>
      </w:pPr>
      <w:hyperlink w:anchor="_Toc115857808" w:history="1">
        <w:r w:rsidR="00DE63C7" w:rsidRPr="00E07C9A">
          <w:rPr>
            <w:rStyle w:val="Hyperlink"/>
            <w:rFonts w:ascii="Times New Roman" w:hAnsi="Times New Roman"/>
          </w:rPr>
          <w:t>3.3.6.2.</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Pokyny týkajúce sa konkrétnych pozícií</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_Toc115857808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118</w:t>
        </w:r>
        <w:r w:rsidR="00DE63C7" w:rsidRPr="00E07C9A">
          <w:rPr>
            <w:rFonts w:ascii="Times New Roman" w:hAnsi="Times New Roman"/>
            <w:webHidden/>
          </w:rPr>
          <w:fldChar w:fldCharType="end"/>
        </w:r>
      </w:hyperlink>
    </w:p>
    <w:p w14:paraId="5236C020" w14:textId="39B1F48C" w:rsidR="00DE63C7" w:rsidRPr="00E07C9A" w:rsidRDefault="00132AEE">
      <w:pPr>
        <w:pStyle w:val="TOC2"/>
        <w:rPr>
          <w:rFonts w:ascii="Times New Roman" w:eastAsiaTheme="minorEastAsia" w:hAnsi="Times New Roman"/>
          <w:b w:val="0"/>
          <w:smallCaps w:val="0"/>
          <w:sz w:val="22"/>
          <w:lang w:eastAsia="sk-SK"/>
        </w:rPr>
      </w:pPr>
      <w:hyperlink w:anchor="_Toc115857809" w:history="1">
        <w:r w:rsidR="00DE63C7" w:rsidRPr="00E07C9A">
          <w:rPr>
            <w:rStyle w:val="Hyperlink"/>
            <w:rFonts w:ascii="Times New Roman" w:hAnsi="Times New Roman"/>
          </w:rPr>
          <w:t>3.4.</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Kreditné riziko</w:t>
        </w:r>
        <w:r w:rsidR="009912F8" w:rsidRPr="00E07C9A">
          <w:rPr>
            <w:rStyle w:val="Hyperlink"/>
            <w:rFonts w:ascii="Times New Roman" w:hAnsi="Times New Roman"/>
          </w:rPr>
          <w:t xml:space="preserve"> a </w:t>
        </w:r>
        <w:r w:rsidR="00DE63C7" w:rsidRPr="00E07C9A">
          <w:rPr>
            <w:rStyle w:val="Hyperlink"/>
            <w:rFonts w:ascii="Times New Roman" w:hAnsi="Times New Roman"/>
          </w:rPr>
          <w:t>kreditné riziko protistrany</w:t>
        </w:r>
        <w:r w:rsidR="009912F8" w:rsidRPr="00E07C9A">
          <w:rPr>
            <w:rStyle w:val="Hyperlink"/>
            <w:rFonts w:ascii="Times New Roman" w:hAnsi="Times New Roman"/>
          </w:rPr>
          <w:t xml:space="preserve"> a </w:t>
        </w:r>
        <w:r w:rsidR="00DE63C7" w:rsidRPr="00E07C9A">
          <w:rPr>
            <w:rStyle w:val="Hyperlink"/>
            <w:rFonts w:ascii="Times New Roman" w:hAnsi="Times New Roman"/>
          </w:rPr>
          <w:t>bezodplatné dodanie: informácie</w:t>
        </w:r>
        <w:r w:rsidR="009912F8" w:rsidRPr="00E07C9A">
          <w:rPr>
            <w:rStyle w:val="Hyperlink"/>
            <w:rFonts w:ascii="Times New Roman" w:hAnsi="Times New Roman"/>
          </w:rPr>
          <w:t xml:space="preserve"> s </w:t>
        </w:r>
        <w:r w:rsidR="00DE63C7" w:rsidRPr="00E07C9A">
          <w:rPr>
            <w:rStyle w:val="Hyperlink"/>
            <w:rFonts w:ascii="Times New Roman" w:hAnsi="Times New Roman"/>
          </w:rPr>
          <w:t>geografickým rozčlenením</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_Toc115857809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119</w:t>
        </w:r>
        <w:r w:rsidR="00DE63C7" w:rsidRPr="00E07C9A">
          <w:rPr>
            <w:rFonts w:ascii="Times New Roman" w:hAnsi="Times New Roman"/>
            <w:webHidden/>
          </w:rPr>
          <w:fldChar w:fldCharType="end"/>
        </w:r>
      </w:hyperlink>
    </w:p>
    <w:p w14:paraId="19757FB1" w14:textId="447873F0" w:rsidR="00DE63C7" w:rsidRPr="00E07C9A" w:rsidRDefault="00132AEE">
      <w:pPr>
        <w:pStyle w:val="TOC2"/>
        <w:rPr>
          <w:rFonts w:ascii="Times New Roman" w:eastAsiaTheme="minorEastAsia" w:hAnsi="Times New Roman"/>
          <w:b w:val="0"/>
          <w:smallCaps w:val="0"/>
          <w:sz w:val="22"/>
          <w:lang w:eastAsia="sk-SK"/>
        </w:rPr>
      </w:pPr>
      <w:hyperlink w:anchor="_Toc115857810" w:history="1">
        <w:r w:rsidR="00DE63C7" w:rsidRPr="00E07C9A">
          <w:rPr>
            <w:rStyle w:val="Hyperlink"/>
            <w:rFonts w:ascii="Times New Roman" w:hAnsi="Times New Roman"/>
          </w:rPr>
          <w:t>3.4.1.</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C 09.01 – Geografické rozčlenenie expozícií podľa sídla dlžníka: expozície SA (CR GB 1)</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_Toc115857810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120</w:t>
        </w:r>
        <w:r w:rsidR="00DE63C7" w:rsidRPr="00E07C9A">
          <w:rPr>
            <w:rFonts w:ascii="Times New Roman" w:hAnsi="Times New Roman"/>
            <w:webHidden/>
          </w:rPr>
          <w:fldChar w:fldCharType="end"/>
        </w:r>
      </w:hyperlink>
    </w:p>
    <w:p w14:paraId="4BB06AA3" w14:textId="723998DA" w:rsidR="00DE63C7" w:rsidRPr="00E07C9A" w:rsidRDefault="00132AEE">
      <w:pPr>
        <w:pStyle w:val="TOC2"/>
        <w:rPr>
          <w:rFonts w:ascii="Times New Roman" w:eastAsiaTheme="minorEastAsia" w:hAnsi="Times New Roman"/>
          <w:b w:val="0"/>
          <w:smallCaps w:val="0"/>
          <w:sz w:val="22"/>
          <w:lang w:eastAsia="sk-SK"/>
        </w:rPr>
      </w:pPr>
      <w:hyperlink w:anchor="_Toc115857811" w:history="1">
        <w:r w:rsidR="00DE63C7" w:rsidRPr="00E07C9A">
          <w:rPr>
            <w:rStyle w:val="Hyperlink"/>
            <w:rFonts w:ascii="Times New Roman" w:hAnsi="Times New Roman"/>
          </w:rPr>
          <w:t>3.4.1.1.</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Pokyny týkajúce sa konkrétnych pozícií</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_Toc115857811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120</w:t>
        </w:r>
        <w:r w:rsidR="00DE63C7" w:rsidRPr="00E07C9A">
          <w:rPr>
            <w:rFonts w:ascii="Times New Roman" w:hAnsi="Times New Roman"/>
            <w:webHidden/>
          </w:rPr>
          <w:fldChar w:fldCharType="end"/>
        </w:r>
      </w:hyperlink>
    </w:p>
    <w:p w14:paraId="49F7D80A" w14:textId="0A36BA35" w:rsidR="00DE63C7" w:rsidRPr="00E07C9A" w:rsidRDefault="00132AEE">
      <w:pPr>
        <w:pStyle w:val="TOC2"/>
        <w:rPr>
          <w:rFonts w:ascii="Times New Roman" w:eastAsiaTheme="minorEastAsia" w:hAnsi="Times New Roman"/>
          <w:b w:val="0"/>
          <w:smallCaps w:val="0"/>
          <w:sz w:val="22"/>
          <w:lang w:eastAsia="sk-SK"/>
        </w:rPr>
      </w:pPr>
      <w:hyperlink w:anchor="_Toc115857812" w:history="1">
        <w:r w:rsidR="00DE63C7" w:rsidRPr="00E07C9A">
          <w:rPr>
            <w:rStyle w:val="Hyperlink"/>
            <w:rFonts w:ascii="Times New Roman" w:hAnsi="Times New Roman"/>
          </w:rPr>
          <w:t>3.4.2.</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C 09.02 – Geografické rozčlenenie expozícií podľa sídla dlžníka: expozície IRB (CR GB 2)</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_Toc115857812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123</w:t>
        </w:r>
        <w:r w:rsidR="00DE63C7" w:rsidRPr="00E07C9A">
          <w:rPr>
            <w:rFonts w:ascii="Times New Roman" w:hAnsi="Times New Roman"/>
            <w:webHidden/>
          </w:rPr>
          <w:fldChar w:fldCharType="end"/>
        </w:r>
      </w:hyperlink>
    </w:p>
    <w:p w14:paraId="4427D5E5" w14:textId="179CC58C" w:rsidR="00DE63C7" w:rsidRPr="00E07C9A" w:rsidRDefault="00132AEE">
      <w:pPr>
        <w:pStyle w:val="TOC2"/>
        <w:rPr>
          <w:rFonts w:ascii="Times New Roman" w:eastAsiaTheme="minorEastAsia" w:hAnsi="Times New Roman"/>
          <w:b w:val="0"/>
          <w:smallCaps w:val="0"/>
          <w:sz w:val="22"/>
          <w:lang w:eastAsia="sk-SK"/>
        </w:rPr>
      </w:pPr>
      <w:hyperlink w:anchor="_Toc115857813" w:history="1">
        <w:r w:rsidR="00DE63C7" w:rsidRPr="00E07C9A">
          <w:rPr>
            <w:rStyle w:val="Hyperlink"/>
            <w:rFonts w:ascii="Times New Roman" w:hAnsi="Times New Roman"/>
          </w:rPr>
          <w:t>3.4.2.1.</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Pokyny týkajúce sa konkrétnych pozícií</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_Toc115857813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123</w:t>
        </w:r>
        <w:r w:rsidR="00DE63C7" w:rsidRPr="00E07C9A">
          <w:rPr>
            <w:rFonts w:ascii="Times New Roman" w:hAnsi="Times New Roman"/>
            <w:webHidden/>
          </w:rPr>
          <w:fldChar w:fldCharType="end"/>
        </w:r>
      </w:hyperlink>
    </w:p>
    <w:p w14:paraId="47457900" w14:textId="7BC29CA7" w:rsidR="00DE63C7" w:rsidRPr="00E07C9A" w:rsidRDefault="00132AEE">
      <w:pPr>
        <w:pStyle w:val="TOC2"/>
        <w:rPr>
          <w:rFonts w:ascii="Times New Roman" w:eastAsiaTheme="minorEastAsia" w:hAnsi="Times New Roman"/>
          <w:b w:val="0"/>
          <w:smallCaps w:val="0"/>
          <w:sz w:val="22"/>
          <w:lang w:eastAsia="sk-SK"/>
        </w:rPr>
      </w:pPr>
      <w:hyperlink w:anchor="_Toc115857814" w:history="1">
        <w:r w:rsidR="00DE63C7" w:rsidRPr="00E07C9A">
          <w:rPr>
            <w:rStyle w:val="Hyperlink"/>
            <w:rFonts w:ascii="Times New Roman" w:hAnsi="Times New Roman"/>
          </w:rPr>
          <w:t>3.4.3.</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C 09.04 – Rozčlenenie expozícií voči kreditnému riziku relevantných pre výpočet proticyklického vankúša podľa krajín</w:t>
        </w:r>
        <w:r w:rsidR="009912F8" w:rsidRPr="00E07C9A">
          <w:rPr>
            <w:rStyle w:val="Hyperlink"/>
            <w:rFonts w:ascii="Times New Roman" w:hAnsi="Times New Roman"/>
          </w:rPr>
          <w:t xml:space="preserve"> a </w:t>
        </w:r>
        <w:r w:rsidR="00DE63C7" w:rsidRPr="00E07C9A">
          <w:rPr>
            <w:rStyle w:val="Hyperlink"/>
            <w:rFonts w:ascii="Times New Roman" w:hAnsi="Times New Roman"/>
          </w:rPr>
          <w:t>miery proticyklického vankúša špecifického pre inštitúciu (CCB)</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_Toc115857814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127</w:t>
        </w:r>
        <w:r w:rsidR="00DE63C7" w:rsidRPr="00E07C9A">
          <w:rPr>
            <w:rFonts w:ascii="Times New Roman" w:hAnsi="Times New Roman"/>
            <w:webHidden/>
          </w:rPr>
          <w:fldChar w:fldCharType="end"/>
        </w:r>
      </w:hyperlink>
    </w:p>
    <w:p w14:paraId="4F3FC16D" w14:textId="7C7FD7AF" w:rsidR="00DE63C7" w:rsidRPr="00E07C9A" w:rsidRDefault="00132AEE">
      <w:pPr>
        <w:pStyle w:val="TOC2"/>
        <w:rPr>
          <w:rFonts w:ascii="Times New Roman" w:eastAsiaTheme="minorEastAsia" w:hAnsi="Times New Roman"/>
          <w:b w:val="0"/>
          <w:smallCaps w:val="0"/>
          <w:sz w:val="22"/>
          <w:lang w:eastAsia="sk-SK"/>
        </w:rPr>
      </w:pPr>
      <w:hyperlink w:anchor="_Toc115857815" w:history="1">
        <w:r w:rsidR="00DE63C7" w:rsidRPr="00E07C9A">
          <w:rPr>
            <w:rStyle w:val="Hyperlink"/>
            <w:rFonts w:ascii="Times New Roman" w:hAnsi="Times New Roman"/>
          </w:rPr>
          <w:t>3.4.3.1.</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Všeobecné poznámky</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_Toc115857815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127</w:t>
        </w:r>
        <w:r w:rsidR="00DE63C7" w:rsidRPr="00E07C9A">
          <w:rPr>
            <w:rFonts w:ascii="Times New Roman" w:hAnsi="Times New Roman"/>
            <w:webHidden/>
          </w:rPr>
          <w:fldChar w:fldCharType="end"/>
        </w:r>
      </w:hyperlink>
    </w:p>
    <w:p w14:paraId="5BEC56ED" w14:textId="09F5A3D7" w:rsidR="00DE63C7" w:rsidRPr="00E07C9A" w:rsidRDefault="00132AEE">
      <w:pPr>
        <w:pStyle w:val="TOC2"/>
        <w:rPr>
          <w:rFonts w:ascii="Times New Roman" w:eastAsiaTheme="minorEastAsia" w:hAnsi="Times New Roman"/>
          <w:b w:val="0"/>
          <w:smallCaps w:val="0"/>
          <w:sz w:val="22"/>
          <w:lang w:eastAsia="sk-SK"/>
        </w:rPr>
      </w:pPr>
      <w:hyperlink w:anchor="_Toc115857816" w:history="1">
        <w:r w:rsidR="00DE63C7" w:rsidRPr="00E07C9A">
          <w:rPr>
            <w:rStyle w:val="Hyperlink"/>
            <w:rFonts w:ascii="Times New Roman" w:hAnsi="Times New Roman"/>
          </w:rPr>
          <w:t>3.4.3.2.</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Pokyny týkajúce sa konkrétnych pozícií</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_Toc115857816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127</w:t>
        </w:r>
        <w:r w:rsidR="00DE63C7" w:rsidRPr="00E07C9A">
          <w:rPr>
            <w:rFonts w:ascii="Times New Roman" w:hAnsi="Times New Roman"/>
            <w:webHidden/>
          </w:rPr>
          <w:fldChar w:fldCharType="end"/>
        </w:r>
      </w:hyperlink>
    </w:p>
    <w:p w14:paraId="14CFA442" w14:textId="0A7FBBC8" w:rsidR="00DE63C7" w:rsidRPr="00E07C9A" w:rsidRDefault="00132AEE">
      <w:pPr>
        <w:pStyle w:val="TOC2"/>
        <w:rPr>
          <w:rFonts w:ascii="Times New Roman" w:eastAsiaTheme="minorEastAsia" w:hAnsi="Times New Roman"/>
          <w:b w:val="0"/>
          <w:smallCaps w:val="0"/>
          <w:sz w:val="22"/>
          <w:lang w:eastAsia="sk-SK"/>
        </w:rPr>
      </w:pPr>
      <w:hyperlink w:anchor="_Toc115857817" w:history="1">
        <w:r w:rsidR="00DE63C7" w:rsidRPr="00E07C9A">
          <w:rPr>
            <w:rStyle w:val="Hyperlink"/>
            <w:rFonts w:ascii="Times New Roman" w:hAnsi="Times New Roman"/>
          </w:rPr>
          <w:t>3.5.</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C 10.01</w:t>
        </w:r>
        <w:r w:rsidR="009912F8" w:rsidRPr="00E07C9A">
          <w:rPr>
            <w:rStyle w:val="Hyperlink"/>
            <w:rFonts w:ascii="Times New Roman" w:hAnsi="Times New Roman"/>
          </w:rPr>
          <w:t xml:space="preserve"> a </w:t>
        </w:r>
        <w:r w:rsidR="00DE63C7" w:rsidRPr="00E07C9A">
          <w:rPr>
            <w:rStyle w:val="Hyperlink"/>
            <w:rFonts w:ascii="Times New Roman" w:hAnsi="Times New Roman"/>
          </w:rPr>
          <w:t>C 10.02 – Kapitálové expozície</w:t>
        </w:r>
        <w:r w:rsidR="009912F8" w:rsidRPr="00E07C9A">
          <w:rPr>
            <w:rStyle w:val="Hyperlink"/>
            <w:rFonts w:ascii="Times New Roman" w:hAnsi="Times New Roman"/>
          </w:rPr>
          <w:t xml:space="preserve"> v </w:t>
        </w:r>
        <w:r w:rsidR="00DE63C7" w:rsidRPr="00E07C9A">
          <w:rPr>
            <w:rStyle w:val="Hyperlink"/>
            <w:rFonts w:ascii="Times New Roman" w:hAnsi="Times New Roman"/>
          </w:rPr>
          <w:t>rámci prístupu interných ratingov (CR EQU IRB 1</w:t>
        </w:r>
        <w:r w:rsidR="009912F8" w:rsidRPr="00E07C9A">
          <w:rPr>
            <w:rStyle w:val="Hyperlink"/>
            <w:rFonts w:ascii="Times New Roman" w:hAnsi="Times New Roman"/>
          </w:rPr>
          <w:t xml:space="preserve"> a </w:t>
        </w:r>
        <w:r w:rsidR="00DE63C7" w:rsidRPr="00E07C9A">
          <w:rPr>
            <w:rStyle w:val="Hyperlink"/>
            <w:rFonts w:ascii="Times New Roman" w:hAnsi="Times New Roman"/>
          </w:rPr>
          <w:t>CR EQU IRB 2)</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_Toc115857817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132</w:t>
        </w:r>
        <w:r w:rsidR="00DE63C7" w:rsidRPr="00E07C9A">
          <w:rPr>
            <w:rFonts w:ascii="Times New Roman" w:hAnsi="Times New Roman"/>
            <w:webHidden/>
          </w:rPr>
          <w:fldChar w:fldCharType="end"/>
        </w:r>
      </w:hyperlink>
    </w:p>
    <w:p w14:paraId="7CDD2980" w14:textId="5C2E53F3" w:rsidR="00DE63C7" w:rsidRPr="00E07C9A" w:rsidRDefault="00132AEE">
      <w:pPr>
        <w:pStyle w:val="TOC2"/>
        <w:rPr>
          <w:rFonts w:ascii="Times New Roman" w:eastAsiaTheme="minorEastAsia" w:hAnsi="Times New Roman"/>
          <w:b w:val="0"/>
          <w:smallCaps w:val="0"/>
          <w:sz w:val="22"/>
          <w:lang w:eastAsia="sk-SK"/>
        </w:rPr>
      </w:pPr>
      <w:hyperlink w:anchor="_Toc115857818" w:history="1">
        <w:r w:rsidR="00DE63C7" w:rsidRPr="00E07C9A">
          <w:rPr>
            <w:rStyle w:val="Hyperlink"/>
            <w:rFonts w:ascii="Times New Roman" w:hAnsi="Times New Roman"/>
          </w:rPr>
          <w:t>3.5.1.</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Všeobecné poznámky</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_Toc115857818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132</w:t>
        </w:r>
        <w:r w:rsidR="00DE63C7" w:rsidRPr="00E07C9A">
          <w:rPr>
            <w:rFonts w:ascii="Times New Roman" w:hAnsi="Times New Roman"/>
            <w:webHidden/>
          </w:rPr>
          <w:fldChar w:fldCharType="end"/>
        </w:r>
      </w:hyperlink>
    </w:p>
    <w:p w14:paraId="4B8E162D" w14:textId="6D834555" w:rsidR="00DE63C7" w:rsidRPr="00E07C9A" w:rsidRDefault="00132AEE">
      <w:pPr>
        <w:pStyle w:val="TOC2"/>
        <w:rPr>
          <w:rFonts w:ascii="Times New Roman" w:eastAsiaTheme="minorEastAsia" w:hAnsi="Times New Roman"/>
          <w:b w:val="0"/>
          <w:smallCaps w:val="0"/>
          <w:sz w:val="22"/>
          <w:lang w:eastAsia="sk-SK"/>
        </w:rPr>
      </w:pPr>
      <w:hyperlink w:anchor="_Toc115857819" w:history="1">
        <w:r w:rsidR="00DE63C7" w:rsidRPr="00E07C9A">
          <w:rPr>
            <w:rStyle w:val="Hyperlink"/>
            <w:rFonts w:ascii="Times New Roman" w:hAnsi="Times New Roman"/>
          </w:rPr>
          <w:t>3.5.2.</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Pokyny týkajúce sa konkrétnych pozícií (uplatniteľné na obidva vzory CR EQU IRB 1</w:t>
        </w:r>
        <w:r w:rsidR="009912F8" w:rsidRPr="00E07C9A">
          <w:rPr>
            <w:rStyle w:val="Hyperlink"/>
            <w:rFonts w:ascii="Times New Roman" w:hAnsi="Times New Roman"/>
          </w:rPr>
          <w:t xml:space="preserve"> a </w:t>
        </w:r>
        <w:r w:rsidR="00DE63C7" w:rsidRPr="00E07C9A">
          <w:rPr>
            <w:rStyle w:val="Hyperlink"/>
            <w:rFonts w:ascii="Times New Roman" w:hAnsi="Times New Roman"/>
          </w:rPr>
          <w:t>CR EQU IRB 2)</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_Toc115857819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133</w:t>
        </w:r>
        <w:r w:rsidR="00DE63C7" w:rsidRPr="00E07C9A">
          <w:rPr>
            <w:rFonts w:ascii="Times New Roman" w:hAnsi="Times New Roman"/>
            <w:webHidden/>
          </w:rPr>
          <w:fldChar w:fldCharType="end"/>
        </w:r>
      </w:hyperlink>
    </w:p>
    <w:p w14:paraId="24F58DCC" w14:textId="35D08606" w:rsidR="00DE63C7" w:rsidRPr="00E07C9A" w:rsidRDefault="00132AEE">
      <w:pPr>
        <w:pStyle w:val="TOC2"/>
        <w:rPr>
          <w:rFonts w:ascii="Times New Roman" w:eastAsiaTheme="minorEastAsia" w:hAnsi="Times New Roman"/>
          <w:b w:val="0"/>
          <w:smallCaps w:val="0"/>
          <w:sz w:val="22"/>
          <w:lang w:eastAsia="sk-SK"/>
        </w:rPr>
      </w:pPr>
      <w:hyperlink w:anchor="_Toc115857820" w:history="1">
        <w:r w:rsidR="00DE63C7" w:rsidRPr="00E07C9A">
          <w:rPr>
            <w:rStyle w:val="Hyperlink"/>
            <w:rFonts w:ascii="Times New Roman" w:hAnsi="Times New Roman"/>
          </w:rPr>
          <w:t>3.6.</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C 11.00 – Riziko vyrovnania/dodania (CR SETT)</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_Toc115857820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137</w:t>
        </w:r>
        <w:r w:rsidR="00DE63C7" w:rsidRPr="00E07C9A">
          <w:rPr>
            <w:rFonts w:ascii="Times New Roman" w:hAnsi="Times New Roman"/>
            <w:webHidden/>
          </w:rPr>
          <w:fldChar w:fldCharType="end"/>
        </w:r>
      </w:hyperlink>
    </w:p>
    <w:p w14:paraId="7B4D8F97" w14:textId="20EA5C62" w:rsidR="00DE63C7" w:rsidRPr="00E07C9A" w:rsidRDefault="00132AEE">
      <w:pPr>
        <w:pStyle w:val="TOC2"/>
        <w:rPr>
          <w:rFonts w:ascii="Times New Roman" w:eastAsiaTheme="minorEastAsia" w:hAnsi="Times New Roman"/>
          <w:b w:val="0"/>
          <w:smallCaps w:val="0"/>
          <w:sz w:val="22"/>
          <w:lang w:eastAsia="sk-SK"/>
        </w:rPr>
      </w:pPr>
      <w:hyperlink w:anchor="_Toc115857821" w:history="1">
        <w:r w:rsidR="00DE63C7" w:rsidRPr="00E07C9A">
          <w:rPr>
            <w:rStyle w:val="Hyperlink"/>
            <w:rFonts w:ascii="Times New Roman" w:hAnsi="Times New Roman"/>
          </w:rPr>
          <w:t>3.6.1.</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Všeobecné poznámky</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_Toc115857821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137</w:t>
        </w:r>
        <w:r w:rsidR="00DE63C7" w:rsidRPr="00E07C9A">
          <w:rPr>
            <w:rFonts w:ascii="Times New Roman" w:hAnsi="Times New Roman"/>
            <w:webHidden/>
          </w:rPr>
          <w:fldChar w:fldCharType="end"/>
        </w:r>
      </w:hyperlink>
    </w:p>
    <w:p w14:paraId="698A94CE" w14:textId="4FB39983" w:rsidR="00DE63C7" w:rsidRPr="00E07C9A" w:rsidRDefault="00132AEE">
      <w:pPr>
        <w:pStyle w:val="TOC2"/>
        <w:rPr>
          <w:rFonts w:ascii="Times New Roman" w:eastAsiaTheme="minorEastAsia" w:hAnsi="Times New Roman"/>
          <w:b w:val="0"/>
          <w:smallCaps w:val="0"/>
          <w:sz w:val="22"/>
          <w:lang w:eastAsia="sk-SK"/>
        </w:rPr>
      </w:pPr>
      <w:hyperlink w:anchor="_Toc115857822" w:history="1">
        <w:r w:rsidR="00DE63C7" w:rsidRPr="00E07C9A">
          <w:rPr>
            <w:rStyle w:val="Hyperlink"/>
            <w:rFonts w:ascii="Times New Roman" w:hAnsi="Times New Roman"/>
          </w:rPr>
          <w:t>3.6.2.</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Pokyny týkajúce sa konkrétnych pozícií</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_Toc115857822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138</w:t>
        </w:r>
        <w:r w:rsidR="00DE63C7" w:rsidRPr="00E07C9A">
          <w:rPr>
            <w:rFonts w:ascii="Times New Roman" w:hAnsi="Times New Roman"/>
            <w:webHidden/>
          </w:rPr>
          <w:fldChar w:fldCharType="end"/>
        </w:r>
      </w:hyperlink>
    </w:p>
    <w:p w14:paraId="047B93E8" w14:textId="64AFADD0" w:rsidR="00DE63C7" w:rsidRPr="00E07C9A" w:rsidRDefault="00132AEE">
      <w:pPr>
        <w:pStyle w:val="TOC2"/>
        <w:rPr>
          <w:rFonts w:ascii="Times New Roman" w:eastAsiaTheme="minorEastAsia" w:hAnsi="Times New Roman"/>
          <w:b w:val="0"/>
          <w:smallCaps w:val="0"/>
          <w:sz w:val="22"/>
          <w:lang w:eastAsia="sk-SK"/>
        </w:rPr>
      </w:pPr>
      <w:hyperlink w:anchor="_Toc115857823" w:history="1">
        <w:r w:rsidR="00DE63C7" w:rsidRPr="00E07C9A">
          <w:rPr>
            <w:rStyle w:val="Hyperlink"/>
            <w:rFonts w:ascii="Times New Roman" w:hAnsi="Times New Roman"/>
          </w:rPr>
          <w:t>3.7.</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C 13.01 – Kreditné riziko – Sekuritizácie (CR SEC)</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_Toc115857823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141</w:t>
        </w:r>
        <w:r w:rsidR="00DE63C7" w:rsidRPr="00E07C9A">
          <w:rPr>
            <w:rFonts w:ascii="Times New Roman" w:hAnsi="Times New Roman"/>
            <w:webHidden/>
          </w:rPr>
          <w:fldChar w:fldCharType="end"/>
        </w:r>
      </w:hyperlink>
    </w:p>
    <w:p w14:paraId="13E5E26E" w14:textId="7B1DA086" w:rsidR="00DE63C7" w:rsidRPr="00E07C9A" w:rsidRDefault="00132AEE">
      <w:pPr>
        <w:pStyle w:val="TOC2"/>
        <w:rPr>
          <w:rFonts w:ascii="Times New Roman" w:eastAsiaTheme="minorEastAsia" w:hAnsi="Times New Roman"/>
          <w:b w:val="0"/>
          <w:smallCaps w:val="0"/>
          <w:sz w:val="22"/>
          <w:lang w:eastAsia="sk-SK"/>
        </w:rPr>
      </w:pPr>
      <w:hyperlink w:anchor="_Toc115857824" w:history="1">
        <w:r w:rsidR="00DE63C7" w:rsidRPr="00E07C9A">
          <w:rPr>
            <w:rStyle w:val="Hyperlink"/>
            <w:rFonts w:ascii="Times New Roman" w:hAnsi="Times New Roman"/>
          </w:rPr>
          <w:t>3.7.1.</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Všeobecné poznámky</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_Toc115857824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141</w:t>
        </w:r>
        <w:r w:rsidR="00DE63C7" w:rsidRPr="00E07C9A">
          <w:rPr>
            <w:rFonts w:ascii="Times New Roman" w:hAnsi="Times New Roman"/>
            <w:webHidden/>
          </w:rPr>
          <w:fldChar w:fldCharType="end"/>
        </w:r>
      </w:hyperlink>
    </w:p>
    <w:p w14:paraId="752C63CF" w14:textId="56FA9FF8" w:rsidR="00DE63C7" w:rsidRPr="00E07C9A" w:rsidRDefault="00132AEE">
      <w:pPr>
        <w:pStyle w:val="TOC2"/>
        <w:rPr>
          <w:rFonts w:ascii="Times New Roman" w:eastAsiaTheme="minorEastAsia" w:hAnsi="Times New Roman"/>
          <w:b w:val="0"/>
          <w:smallCaps w:val="0"/>
          <w:sz w:val="22"/>
          <w:lang w:eastAsia="sk-SK"/>
        </w:rPr>
      </w:pPr>
      <w:hyperlink w:anchor="_Toc115857825" w:history="1">
        <w:r w:rsidR="00DE63C7" w:rsidRPr="00E07C9A">
          <w:rPr>
            <w:rStyle w:val="Hyperlink"/>
            <w:rFonts w:ascii="Times New Roman" w:hAnsi="Times New Roman"/>
          </w:rPr>
          <w:t>3.7.2.</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Pokyny týkajúce sa konkrétnych pozícií</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_Toc115857825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141</w:t>
        </w:r>
        <w:r w:rsidR="00DE63C7" w:rsidRPr="00E07C9A">
          <w:rPr>
            <w:rFonts w:ascii="Times New Roman" w:hAnsi="Times New Roman"/>
            <w:webHidden/>
          </w:rPr>
          <w:fldChar w:fldCharType="end"/>
        </w:r>
      </w:hyperlink>
    </w:p>
    <w:p w14:paraId="42FDF1D6" w14:textId="29403F6A" w:rsidR="00DE63C7" w:rsidRPr="00E07C9A" w:rsidRDefault="00132AEE">
      <w:pPr>
        <w:pStyle w:val="TOC2"/>
        <w:rPr>
          <w:rFonts w:ascii="Times New Roman" w:eastAsiaTheme="minorEastAsia" w:hAnsi="Times New Roman"/>
          <w:b w:val="0"/>
          <w:smallCaps w:val="0"/>
          <w:sz w:val="22"/>
          <w:lang w:eastAsia="sk-SK"/>
        </w:rPr>
      </w:pPr>
      <w:hyperlink w:anchor="_Toc115857826" w:history="1">
        <w:r w:rsidR="00DE63C7" w:rsidRPr="00E07C9A">
          <w:rPr>
            <w:rStyle w:val="Hyperlink"/>
            <w:rFonts w:ascii="Times New Roman" w:hAnsi="Times New Roman"/>
          </w:rPr>
          <w:t>3,8.</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Podrobné informácie</w:t>
        </w:r>
        <w:r w:rsidR="009912F8" w:rsidRPr="00E07C9A">
          <w:rPr>
            <w:rStyle w:val="Hyperlink"/>
            <w:rFonts w:ascii="Times New Roman" w:hAnsi="Times New Roman"/>
          </w:rPr>
          <w:t xml:space="preserve"> o </w:t>
        </w:r>
        <w:r w:rsidR="00DE63C7" w:rsidRPr="00E07C9A">
          <w:rPr>
            <w:rStyle w:val="Hyperlink"/>
            <w:rFonts w:ascii="Times New Roman" w:hAnsi="Times New Roman"/>
          </w:rPr>
          <w:t>sekuritizáciách (SEC DETAILS)</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_Toc115857826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155</w:t>
        </w:r>
        <w:r w:rsidR="00DE63C7" w:rsidRPr="00E07C9A">
          <w:rPr>
            <w:rFonts w:ascii="Times New Roman" w:hAnsi="Times New Roman"/>
            <w:webHidden/>
          </w:rPr>
          <w:fldChar w:fldCharType="end"/>
        </w:r>
      </w:hyperlink>
    </w:p>
    <w:p w14:paraId="23337F7A" w14:textId="184A2F14" w:rsidR="00DE63C7" w:rsidRPr="00E07C9A" w:rsidRDefault="00132AEE">
      <w:pPr>
        <w:pStyle w:val="TOC2"/>
        <w:rPr>
          <w:rFonts w:ascii="Times New Roman" w:eastAsiaTheme="minorEastAsia" w:hAnsi="Times New Roman"/>
          <w:b w:val="0"/>
          <w:smallCaps w:val="0"/>
          <w:sz w:val="22"/>
          <w:lang w:eastAsia="sk-SK"/>
        </w:rPr>
      </w:pPr>
      <w:hyperlink w:anchor="_Toc115857827" w:history="1">
        <w:r w:rsidR="00DE63C7" w:rsidRPr="00E07C9A">
          <w:rPr>
            <w:rStyle w:val="Hyperlink"/>
            <w:rFonts w:ascii="Times New Roman" w:hAnsi="Times New Roman"/>
          </w:rPr>
          <w:t>3.8.1.</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Rozsah vzoru SEC DETAILS</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_Toc115857827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155</w:t>
        </w:r>
        <w:r w:rsidR="00DE63C7" w:rsidRPr="00E07C9A">
          <w:rPr>
            <w:rFonts w:ascii="Times New Roman" w:hAnsi="Times New Roman"/>
            <w:webHidden/>
          </w:rPr>
          <w:fldChar w:fldCharType="end"/>
        </w:r>
      </w:hyperlink>
    </w:p>
    <w:p w14:paraId="09AE31E8" w14:textId="17E799A8" w:rsidR="00DE63C7" w:rsidRPr="00E07C9A" w:rsidRDefault="00132AEE">
      <w:pPr>
        <w:pStyle w:val="TOC2"/>
        <w:rPr>
          <w:rFonts w:ascii="Times New Roman" w:eastAsiaTheme="minorEastAsia" w:hAnsi="Times New Roman"/>
          <w:b w:val="0"/>
          <w:smallCaps w:val="0"/>
          <w:sz w:val="22"/>
          <w:lang w:eastAsia="sk-SK"/>
        </w:rPr>
      </w:pPr>
      <w:hyperlink w:anchor="_Toc115857828" w:history="1">
        <w:r w:rsidR="00DE63C7" w:rsidRPr="00E07C9A">
          <w:rPr>
            <w:rStyle w:val="Hyperlink"/>
            <w:rFonts w:ascii="Times New Roman" w:hAnsi="Times New Roman"/>
          </w:rPr>
          <w:t>3.8.2. Rozčlenenie vzoru SEC DETAILS</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_Toc115857828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156</w:t>
        </w:r>
        <w:r w:rsidR="00DE63C7" w:rsidRPr="00E07C9A">
          <w:rPr>
            <w:rFonts w:ascii="Times New Roman" w:hAnsi="Times New Roman"/>
            <w:webHidden/>
          </w:rPr>
          <w:fldChar w:fldCharType="end"/>
        </w:r>
      </w:hyperlink>
    </w:p>
    <w:p w14:paraId="7ABD48CD" w14:textId="43367BE2" w:rsidR="00DE63C7" w:rsidRPr="00E07C9A" w:rsidRDefault="00132AEE">
      <w:pPr>
        <w:pStyle w:val="TOC2"/>
        <w:rPr>
          <w:rFonts w:ascii="Times New Roman" w:eastAsiaTheme="minorEastAsia" w:hAnsi="Times New Roman"/>
          <w:b w:val="0"/>
          <w:smallCaps w:val="0"/>
          <w:sz w:val="22"/>
          <w:lang w:eastAsia="sk-SK"/>
        </w:rPr>
      </w:pPr>
      <w:hyperlink w:anchor="_Toc115857829" w:history="1">
        <w:r w:rsidR="00DE63C7" w:rsidRPr="00E07C9A">
          <w:rPr>
            <w:rStyle w:val="Hyperlink"/>
            <w:rFonts w:ascii="Times New Roman" w:hAnsi="Times New Roman"/>
          </w:rPr>
          <w:t>3.8.3. C 14.00 – Podrobné informácie</w:t>
        </w:r>
        <w:r w:rsidR="009912F8" w:rsidRPr="00E07C9A">
          <w:rPr>
            <w:rStyle w:val="Hyperlink"/>
            <w:rFonts w:ascii="Times New Roman" w:hAnsi="Times New Roman"/>
          </w:rPr>
          <w:t xml:space="preserve"> o </w:t>
        </w:r>
        <w:r w:rsidR="00DE63C7" w:rsidRPr="00E07C9A">
          <w:rPr>
            <w:rStyle w:val="Hyperlink"/>
            <w:rFonts w:ascii="Times New Roman" w:hAnsi="Times New Roman"/>
          </w:rPr>
          <w:t>sekuritizáciách (SEC DETAILS)</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_Toc115857829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156</w:t>
        </w:r>
        <w:r w:rsidR="00DE63C7" w:rsidRPr="00E07C9A">
          <w:rPr>
            <w:rFonts w:ascii="Times New Roman" w:hAnsi="Times New Roman"/>
            <w:webHidden/>
          </w:rPr>
          <w:fldChar w:fldCharType="end"/>
        </w:r>
      </w:hyperlink>
    </w:p>
    <w:p w14:paraId="4A9ED12A" w14:textId="629189A6" w:rsidR="00DE63C7" w:rsidRPr="00E07C9A" w:rsidRDefault="00132AEE">
      <w:pPr>
        <w:pStyle w:val="TOC2"/>
        <w:rPr>
          <w:rFonts w:ascii="Times New Roman" w:eastAsiaTheme="minorEastAsia" w:hAnsi="Times New Roman"/>
          <w:b w:val="0"/>
          <w:smallCaps w:val="0"/>
          <w:sz w:val="22"/>
          <w:lang w:eastAsia="sk-SK"/>
        </w:rPr>
      </w:pPr>
      <w:hyperlink w:anchor="_Toc115857830" w:history="1">
        <w:r w:rsidR="00DE63C7" w:rsidRPr="00E07C9A">
          <w:rPr>
            <w:rStyle w:val="Hyperlink"/>
            <w:rFonts w:ascii="Times New Roman" w:hAnsi="Times New Roman"/>
          </w:rPr>
          <w:t>3.8.4.</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C 14.01 – Podrobné informácie</w:t>
        </w:r>
        <w:r w:rsidR="009912F8" w:rsidRPr="00E07C9A">
          <w:rPr>
            <w:rStyle w:val="Hyperlink"/>
            <w:rFonts w:ascii="Times New Roman" w:hAnsi="Times New Roman"/>
          </w:rPr>
          <w:t xml:space="preserve"> o </w:t>
        </w:r>
        <w:r w:rsidR="00DE63C7" w:rsidRPr="00E07C9A">
          <w:rPr>
            <w:rStyle w:val="Hyperlink"/>
            <w:rFonts w:ascii="Times New Roman" w:hAnsi="Times New Roman"/>
          </w:rPr>
          <w:t>sekuritizáciách (SEC DETAILS 2)</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_Toc115857830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172</w:t>
        </w:r>
        <w:r w:rsidR="00DE63C7" w:rsidRPr="00E07C9A">
          <w:rPr>
            <w:rFonts w:ascii="Times New Roman" w:hAnsi="Times New Roman"/>
            <w:webHidden/>
          </w:rPr>
          <w:fldChar w:fldCharType="end"/>
        </w:r>
      </w:hyperlink>
    </w:p>
    <w:p w14:paraId="49CB194A" w14:textId="1DA81BB6" w:rsidR="00DE63C7" w:rsidRPr="00E07C9A" w:rsidRDefault="00132AEE">
      <w:pPr>
        <w:pStyle w:val="TOC2"/>
        <w:rPr>
          <w:rFonts w:ascii="Times New Roman" w:eastAsiaTheme="minorEastAsia" w:hAnsi="Times New Roman"/>
          <w:b w:val="0"/>
          <w:smallCaps w:val="0"/>
          <w:sz w:val="22"/>
          <w:lang w:eastAsia="sk-SK"/>
        </w:rPr>
      </w:pPr>
      <w:hyperlink w:anchor="_Toc115857831" w:history="1">
        <w:r w:rsidR="00DE63C7" w:rsidRPr="00E07C9A">
          <w:rPr>
            <w:rStyle w:val="Hyperlink"/>
            <w:rFonts w:ascii="Times New Roman" w:hAnsi="Times New Roman"/>
          </w:rPr>
          <w:t>3.9.</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Kreditné riziko protistrany</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_Toc115857831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175</w:t>
        </w:r>
        <w:r w:rsidR="00DE63C7" w:rsidRPr="00E07C9A">
          <w:rPr>
            <w:rFonts w:ascii="Times New Roman" w:hAnsi="Times New Roman"/>
            <w:webHidden/>
          </w:rPr>
          <w:fldChar w:fldCharType="end"/>
        </w:r>
      </w:hyperlink>
    </w:p>
    <w:p w14:paraId="0F960E58" w14:textId="62D217FF" w:rsidR="00DE63C7" w:rsidRPr="00E07C9A" w:rsidRDefault="00132AEE">
      <w:pPr>
        <w:pStyle w:val="TOC2"/>
        <w:rPr>
          <w:rFonts w:ascii="Times New Roman" w:eastAsiaTheme="minorEastAsia" w:hAnsi="Times New Roman"/>
          <w:b w:val="0"/>
          <w:smallCaps w:val="0"/>
          <w:sz w:val="22"/>
          <w:lang w:eastAsia="sk-SK"/>
        </w:rPr>
      </w:pPr>
      <w:hyperlink w:anchor="_Toc115857832" w:history="1">
        <w:r w:rsidR="00DE63C7" w:rsidRPr="00E07C9A">
          <w:rPr>
            <w:rStyle w:val="Hyperlink"/>
            <w:rFonts w:ascii="Times New Roman" w:hAnsi="Times New Roman"/>
          </w:rPr>
          <w:t>3.9.1.</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Rozsah pôsobnosti vzorov pre kreditné riziko protistrany</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_Toc115857832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175</w:t>
        </w:r>
        <w:r w:rsidR="00DE63C7" w:rsidRPr="00E07C9A">
          <w:rPr>
            <w:rFonts w:ascii="Times New Roman" w:hAnsi="Times New Roman"/>
            <w:webHidden/>
          </w:rPr>
          <w:fldChar w:fldCharType="end"/>
        </w:r>
      </w:hyperlink>
    </w:p>
    <w:p w14:paraId="0AB0ED03" w14:textId="1B67396E" w:rsidR="00DE63C7" w:rsidRPr="00E07C9A" w:rsidRDefault="00132AEE">
      <w:pPr>
        <w:pStyle w:val="TOC2"/>
        <w:rPr>
          <w:rFonts w:ascii="Times New Roman" w:eastAsiaTheme="minorEastAsia" w:hAnsi="Times New Roman"/>
          <w:b w:val="0"/>
          <w:smallCaps w:val="0"/>
          <w:sz w:val="22"/>
          <w:lang w:eastAsia="sk-SK"/>
        </w:rPr>
      </w:pPr>
      <w:hyperlink w:anchor="_Toc115857833" w:history="1">
        <w:r w:rsidR="00DE63C7" w:rsidRPr="00E07C9A">
          <w:rPr>
            <w:rStyle w:val="Hyperlink"/>
            <w:rFonts w:ascii="Times New Roman" w:hAnsi="Times New Roman"/>
          </w:rPr>
          <w:t>3.9.2.</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C 34.01 –⁠ Objem derivátových činností</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_Toc115857833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176</w:t>
        </w:r>
        <w:r w:rsidR="00DE63C7" w:rsidRPr="00E07C9A">
          <w:rPr>
            <w:rFonts w:ascii="Times New Roman" w:hAnsi="Times New Roman"/>
            <w:webHidden/>
          </w:rPr>
          <w:fldChar w:fldCharType="end"/>
        </w:r>
      </w:hyperlink>
    </w:p>
    <w:p w14:paraId="4081318E" w14:textId="0622A46A" w:rsidR="00DE63C7" w:rsidRPr="00E07C9A" w:rsidRDefault="00132AEE">
      <w:pPr>
        <w:pStyle w:val="TOC2"/>
        <w:rPr>
          <w:rFonts w:ascii="Times New Roman" w:eastAsiaTheme="minorEastAsia" w:hAnsi="Times New Roman"/>
          <w:b w:val="0"/>
          <w:smallCaps w:val="0"/>
          <w:sz w:val="22"/>
          <w:lang w:eastAsia="sk-SK"/>
        </w:rPr>
      </w:pPr>
      <w:hyperlink w:anchor="_Toc115857834" w:history="1">
        <w:r w:rsidR="00DE63C7" w:rsidRPr="00E07C9A">
          <w:rPr>
            <w:rStyle w:val="Hyperlink"/>
            <w:rFonts w:ascii="Times New Roman" w:hAnsi="Times New Roman"/>
          </w:rPr>
          <w:t>3.9.2.1.</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Všeobecné poznámky</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_Toc115857834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176</w:t>
        </w:r>
        <w:r w:rsidR="00DE63C7" w:rsidRPr="00E07C9A">
          <w:rPr>
            <w:rFonts w:ascii="Times New Roman" w:hAnsi="Times New Roman"/>
            <w:webHidden/>
          </w:rPr>
          <w:fldChar w:fldCharType="end"/>
        </w:r>
      </w:hyperlink>
    </w:p>
    <w:p w14:paraId="3756E788" w14:textId="28A6E4BC" w:rsidR="00DE63C7" w:rsidRPr="00E07C9A" w:rsidRDefault="00132AEE">
      <w:pPr>
        <w:pStyle w:val="TOC2"/>
        <w:rPr>
          <w:rFonts w:ascii="Times New Roman" w:eastAsiaTheme="minorEastAsia" w:hAnsi="Times New Roman"/>
          <w:b w:val="0"/>
          <w:smallCaps w:val="0"/>
          <w:sz w:val="22"/>
          <w:lang w:eastAsia="sk-SK"/>
        </w:rPr>
      </w:pPr>
      <w:hyperlink w:anchor="_Toc115857835" w:history="1">
        <w:r w:rsidR="00DE63C7" w:rsidRPr="00E07C9A">
          <w:rPr>
            <w:rStyle w:val="Hyperlink"/>
            <w:rFonts w:ascii="Times New Roman" w:hAnsi="Times New Roman"/>
          </w:rPr>
          <w:t>3.9.2.2.</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Pokyny týkajúce sa konkrétnych pozícií</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_Toc115857835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176</w:t>
        </w:r>
        <w:r w:rsidR="00DE63C7" w:rsidRPr="00E07C9A">
          <w:rPr>
            <w:rFonts w:ascii="Times New Roman" w:hAnsi="Times New Roman"/>
            <w:webHidden/>
          </w:rPr>
          <w:fldChar w:fldCharType="end"/>
        </w:r>
      </w:hyperlink>
    </w:p>
    <w:p w14:paraId="1BFD292C" w14:textId="3F9C4EA1" w:rsidR="00DE63C7" w:rsidRPr="00E07C9A" w:rsidRDefault="00132AEE">
      <w:pPr>
        <w:pStyle w:val="TOC2"/>
        <w:rPr>
          <w:rFonts w:ascii="Times New Roman" w:eastAsiaTheme="minorEastAsia" w:hAnsi="Times New Roman"/>
          <w:b w:val="0"/>
          <w:smallCaps w:val="0"/>
          <w:sz w:val="22"/>
          <w:lang w:eastAsia="sk-SK"/>
        </w:rPr>
      </w:pPr>
      <w:hyperlink w:anchor="_Toc115857836" w:history="1">
        <w:r w:rsidR="00DE63C7" w:rsidRPr="00E07C9A">
          <w:rPr>
            <w:rStyle w:val="Hyperlink"/>
            <w:rFonts w:ascii="Times New Roman" w:hAnsi="Times New Roman"/>
          </w:rPr>
          <w:t>3.9.3.</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C 34.02 – Expozície voči CCR podľa prístupu</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_Toc115857836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178</w:t>
        </w:r>
        <w:r w:rsidR="00DE63C7" w:rsidRPr="00E07C9A">
          <w:rPr>
            <w:rFonts w:ascii="Times New Roman" w:hAnsi="Times New Roman"/>
            <w:webHidden/>
          </w:rPr>
          <w:fldChar w:fldCharType="end"/>
        </w:r>
      </w:hyperlink>
    </w:p>
    <w:p w14:paraId="5A212B83" w14:textId="08115031" w:rsidR="00DE63C7" w:rsidRPr="00E07C9A" w:rsidRDefault="00132AEE">
      <w:pPr>
        <w:pStyle w:val="TOC2"/>
        <w:rPr>
          <w:rFonts w:ascii="Times New Roman" w:eastAsiaTheme="minorEastAsia" w:hAnsi="Times New Roman"/>
          <w:b w:val="0"/>
          <w:smallCaps w:val="0"/>
          <w:sz w:val="22"/>
          <w:lang w:eastAsia="sk-SK"/>
        </w:rPr>
      </w:pPr>
      <w:hyperlink w:anchor="_Toc115857837" w:history="1">
        <w:r w:rsidR="00DE63C7" w:rsidRPr="00E07C9A">
          <w:rPr>
            <w:rStyle w:val="Hyperlink"/>
            <w:rFonts w:ascii="Times New Roman" w:hAnsi="Times New Roman"/>
          </w:rPr>
          <w:t>3.9.3.1.</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Všeobecné poznámky</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_Toc115857837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178</w:t>
        </w:r>
        <w:r w:rsidR="00DE63C7" w:rsidRPr="00E07C9A">
          <w:rPr>
            <w:rFonts w:ascii="Times New Roman" w:hAnsi="Times New Roman"/>
            <w:webHidden/>
          </w:rPr>
          <w:fldChar w:fldCharType="end"/>
        </w:r>
      </w:hyperlink>
    </w:p>
    <w:p w14:paraId="458F3913" w14:textId="32B7A861" w:rsidR="00DE63C7" w:rsidRPr="00E07C9A" w:rsidRDefault="00132AEE">
      <w:pPr>
        <w:pStyle w:val="TOC2"/>
        <w:rPr>
          <w:rFonts w:ascii="Times New Roman" w:eastAsiaTheme="minorEastAsia" w:hAnsi="Times New Roman"/>
          <w:b w:val="0"/>
          <w:smallCaps w:val="0"/>
          <w:sz w:val="22"/>
          <w:lang w:eastAsia="sk-SK"/>
        </w:rPr>
      </w:pPr>
      <w:hyperlink w:anchor="_Toc115857838" w:history="1">
        <w:r w:rsidR="00DE63C7" w:rsidRPr="00E07C9A">
          <w:rPr>
            <w:rStyle w:val="Hyperlink"/>
            <w:rFonts w:ascii="Times New Roman" w:hAnsi="Times New Roman"/>
          </w:rPr>
          <w:t>3.9.3.2.</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Pokyny týkajúce sa konkrétnych pozícií</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_Toc115857838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178</w:t>
        </w:r>
        <w:r w:rsidR="00DE63C7" w:rsidRPr="00E07C9A">
          <w:rPr>
            <w:rFonts w:ascii="Times New Roman" w:hAnsi="Times New Roman"/>
            <w:webHidden/>
          </w:rPr>
          <w:fldChar w:fldCharType="end"/>
        </w:r>
      </w:hyperlink>
    </w:p>
    <w:p w14:paraId="228D6ABE" w14:textId="23041348" w:rsidR="00DE63C7" w:rsidRPr="00E07C9A" w:rsidRDefault="00132AEE">
      <w:pPr>
        <w:pStyle w:val="TOC2"/>
        <w:rPr>
          <w:rFonts w:ascii="Times New Roman" w:eastAsiaTheme="minorEastAsia" w:hAnsi="Times New Roman"/>
          <w:b w:val="0"/>
          <w:smallCaps w:val="0"/>
          <w:sz w:val="22"/>
          <w:lang w:eastAsia="sk-SK"/>
        </w:rPr>
      </w:pPr>
      <w:hyperlink w:anchor="_Toc115857839" w:history="1">
        <w:r w:rsidR="00DE63C7" w:rsidRPr="00E07C9A">
          <w:rPr>
            <w:rStyle w:val="Hyperlink"/>
            <w:rFonts w:ascii="Times New Roman" w:hAnsi="Times New Roman"/>
          </w:rPr>
          <w:t>3.9.4.</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C 34.03 –⁠ Expozície voči CCR,</w:t>
        </w:r>
        <w:r w:rsidR="009912F8" w:rsidRPr="00E07C9A">
          <w:rPr>
            <w:rStyle w:val="Hyperlink"/>
            <w:rFonts w:ascii="Times New Roman" w:hAnsi="Times New Roman"/>
          </w:rPr>
          <w:t xml:space="preserve"> s </w:t>
        </w:r>
        <w:r w:rsidR="00DE63C7" w:rsidRPr="00E07C9A">
          <w:rPr>
            <w:rStyle w:val="Hyperlink"/>
            <w:rFonts w:ascii="Times New Roman" w:hAnsi="Times New Roman"/>
          </w:rPr>
          <w:t>ktorými sa zaobchádza podľa štandardizovaných prístupov: prístup SA-CCR</w:t>
        </w:r>
        <w:r w:rsidR="009912F8" w:rsidRPr="00E07C9A">
          <w:rPr>
            <w:rStyle w:val="Hyperlink"/>
            <w:rFonts w:ascii="Times New Roman" w:hAnsi="Times New Roman"/>
          </w:rPr>
          <w:t xml:space="preserve"> a </w:t>
        </w:r>
        <w:r w:rsidR="00DE63C7" w:rsidRPr="00E07C9A">
          <w:rPr>
            <w:rStyle w:val="Hyperlink"/>
            <w:rFonts w:ascii="Times New Roman" w:hAnsi="Times New Roman"/>
          </w:rPr>
          <w:t>zjednodušený prístup SA-CCR</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_Toc115857839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185</w:t>
        </w:r>
        <w:r w:rsidR="00DE63C7" w:rsidRPr="00E07C9A">
          <w:rPr>
            <w:rFonts w:ascii="Times New Roman" w:hAnsi="Times New Roman"/>
            <w:webHidden/>
          </w:rPr>
          <w:fldChar w:fldCharType="end"/>
        </w:r>
      </w:hyperlink>
    </w:p>
    <w:p w14:paraId="2644B086" w14:textId="62E4438E" w:rsidR="00DE63C7" w:rsidRPr="00E07C9A" w:rsidRDefault="00132AEE">
      <w:pPr>
        <w:pStyle w:val="TOC2"/>
        <w:rPr>
          <w:rFonts w:ascii="Times New Roman" w:eastAsiaTheme="minorEastAsia" w:hAnsi="Times New Roman"/>
          <w:b w:val="0"/>
          <w:smallCaps w:val="0"/>
          <w:sz w:val="22"/>
          <w:lang w:eastAsia="sk-SK"/>
        </w:rPr>
      </w:pPr>
      <w:hyperlink w:anchor="_Toc115857840" w:history="1">
        <w:r w:rsidR="00DE63C7" w:rsidRPr="00E07C9A">
          <w:rPr>
            <w:rStyle w:val="Hyperlink"/>
            <w:rFonts w:ascii="Times New Roman" w:hAnsi="Times New Roman"/>
          </w:rPr>
          <w:t>3.9.4.1.</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Všeobecné poznámky</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_Toc115857840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185</w:t>
        </w:r>
        <w:r w:rsidR="00DE63C7" w:rsidRPr="00E07C9A">
          <w:rPr>
            <w:rFonts w:ascii="Times New Roman" w:hAnsi="Times New Roman"/>
            <w:webHidden/>
          </w:rPr>
          <w:fldChar w:fldCharType="end"/>
        </w:r>
      </w:hyperlink>
    </w:p>
    <w:p w14:paraId="3434D2AE" w14:textId="7ADCD5C1" w:rsidR="00DE63C7" w:rsidRPr="00E07C9A" w:rsidRDefault="00132AEE">
      <w:pPr>
        <w:pStyle w:val="TOC2"/>
        <w:rPr>
          <w:rFonts w:ascii="Times New Roman" w:eastAsiaTheme="minorEastAsia" w:hAnsi="Times New Roman"/>
          <w:b w:val="0"/>
          <w:smallCaps w:val="0"/>
          <w:sz w:val="22"/>
          <w:lang w:eastAsia="sk-SK"/>
        </w:rPr>
      </w:pPr>
      <w:hyperlink w:anchor="_Toc115857841" w:history="1">
        <w:r w:rsidR="00DE63C7" w:rsidRPr="00E07C9A">
          <w:rPr>
            <w:rStyle w:val="Hyperlink"/>
            <w:rFonts w:ascii="Times New Roman" w:hAnsi="Times New Roman"/>
          </w:rPr>
          <w:t>3.9.4.2.</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Pokyny týkajúce sa konkrétnych pozícií</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_Toc115857841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186</w:t>
        </w:r>
        <w:r w:rsidR="00DE63C7" w:rsidRPr="00E07C9A">
          <w:rPr>
            <w:rFonts w:ascii="Times New Roman" w:hAnsi="Times New Roman"/>
            <w:webHidden/>
          </w:rPr>
          <w:fldChar w:fldCharType="end"/>
        </w:r>
      </w:hyperlink>
    </w:p>
    <w:p w14:paraId="69833A6B" w14:textId="221254C7" w:rsidR="00DE63C7" w:rsidRPr="00E07C9A" w:rsidRDefault="00132AEE">
      <w:pPr>
        <w:pStyle w:val="TOC2"/>
        <w:rPr>
          <w:rFonts w:ascii="Times New Roman" w:eastAsiaTheme="minorEastAsia" w:hAnsi="Times New Roman"/>
          <w:b w:val="0"/>
          <w:smallCaps w:val="0"/>
          <w:sz w:val="22"/>
          <w:lang w:eastAsia="sk-SK"/>
        </w:rPr>
      </w:pPr>
      <w:hyperlink w:anchor="_Toc115857842" w:history="1">
        <w:r w:rsidR="00DE63C7" w:rsidRPr="00E07C9A">
          <w:rPr>
            <w:rStyle w:val="Hyperlink"/>
            <w:rFonts w:ascii="Times New Roman" w:hAnsi="Times New Roman"/>
          </w:rPr>
          <w:t>3.9.5.</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C 34.04 –⁠ Expozície voči CCR,</w:t>
        </w:r>
        <w:r w:rsidR="009912F8" w:rsidRPr="00E07C9A">
          <w:rPr>
            <w:rStyle w:val="Hyperlink"/>
            <w:rFonts w:ascii="Times New Roman" w:hAnsi="Times New Roman"/>
          </w:rPr>
          <w:t xml:space="preserve"> s </w:t>
        </w:r>
        <w:r w:rsidR="00DE63C7" w:rsidRPr="00E07C9A">
          <w:rPr>
            <w:rStyle w:val="Hyperlink"/>
            <w:rFonts w:ascii="Times New Roman" w:hAnsi="Times New Roman"/>
          </w:rPr>
          <w:t>ktorými sa zaobchádza podľa metódy pôvodnej expozície (OEM)</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_Toc115857842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188</w:t>
        </w:r>
        <w:r w:rsidR="00DE63C7" w:rsidRPr="00E07C9A">
          <w:rPr>
            <w:rFonts w:ascii="Times New Roman" w:hAnsi="Times New Roman"/>
            <w:webHidden/>
          </w:rPr>
          <w:fldChar w:fldCharType="end"/>
        </w:r>
      </w:hyperlink>
    </w:p>
    <w:p w14:paraId="6A651993" w14:textId="444C5CB6" w:rsidR="00DE63C7" w:rsidRPr="00E07C9A" w:rsidRDefault="00132AEE">
      <w:pPr>
        <w:pStyle w:val="TOC2"/>
        <w:rPr>
          <w:rFonts w:ascii="Times New Roman" w:eastAsiaTheme="minorEastAsia" w:hAnsi="Times New Roman"/>
          <w:b w:val="0"/>
          <w:smallCaps w:val="0"/>
          <w:sz w:val="22"/>
          <w:lang w:eastAsia="sk-SK"/>
        </w:rPr>
      </w:pPr>
      <w:hyperlink w:anchor="_Toc115857843" w:history="1">
        <w:r w:rsidR="00DE63C7" w:rsidRPr="00E07C9A">
          <w:rPr>
            <w:rStyle w:val="Hyperlink"/>
            <w:rFonts w:ascii="Times New Roman" w:hAnsi="Times New Roman"/>
          </w:rPr>
          <w:t>3.9.5.1.</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Pokyny týkajúce sa konkrétnych pozícií</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_Toc115857843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188</w:t>
        </w:r>
        <w:r w:rsidR="00DE63C7" w:rsidRPr="00E07C9A">
          <w:rPr>
            <w:rFonts w:ascii="Times New Roman" w:hAnsi="Times New Roman"/>
            <w:webHidden/>
          </w:rPr>
          <w:fldChar w:fldCharType="end"/>
        </w:r>
      </w:hyperlink>
    </w:p>
    <w:p w14:paraId="4392FC29" w14:textId="186AEBFA" w:rsidR="00DE63C7" w:rsidRPr="00E07C9A" w:rsidRDefault="00132AEE">
      <w:pPr>
        <w:pStyle w:val="TOC2"/>
        <w:rPr>
          <w:rFonts w:ascii="Times New Roman" w:eastAsiaTheme="minorEastAsia" w:hAnsi="Times New Roman"/>
          <w:b w:val="0"/>
          <w:smallCaps w:val="0"/>
          <w:sz w:val="22"/>
          <w:lang w:eastAsia="sk-SK"/>
        </w:rPr>
      </w:pPr>
      <w:hyperlink w:anchor="_Toc115857844" w:history="1">
        <w:r w:rsidR="00DE63C7" w:rsidRPr="00E07C9A">
          <w:rPr>
            <w:rStyle w:val="Hyperlink"/>
            <w:rFonts w:ascii="Times New Roman" w:hAnsi="Times New Roman"/>
          </w:rPr>
          <w:t>3.9.6.</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C 34.05 –⁠ Expozície voči CCR,</w:t>
        </w:r>
        <w:r w:rsidR="009912F8" w:rsidRPr="00E07C9A">
          <w:rPr>
            <w:rStyle w:val="Hyperlink"/>
            <w:rFonts w:ascii="Times New Roman" w:hAnsi="Times New Roman"/>
          </w:rPr>
          <w:t xml:space="preserve"> s </w:t>
        </w:r>
        <w:r w:rsidR="00DE63C7" w:rsidRPr="00E07C9A">
          <w:rPr>
            <w:rStyle w:val="Hyperlink"/>
            <w:rFonts w:ascii="Times New Roman" w:hAnsi="Times New Roman"/>
          </w:rPr>
          <w:t>ktorými sa zaobchádza podľa metódy interných modelov (IMM)</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_Toc115857844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189</w:t>
        </w:r>
        <w:r w:rsidR="00DE63C7" w:rsidRPr="00E07C9A">
          <w:rPr>
            <w:rFonts w:ascii="Times New Roman" w:hAnsi="Times New Roman"/>
            <w:webHidden/>
          </w:rPr>
          <w:fldChar w:fldCharType="end"/>
        </w:r>
      </w:hyperlink>
    </w:p>
    <w:p w14:paraId="78E08FFA" w14:textId="09D95E30" w:rsidR="00DE63C7" w:rsidRPr="00E07C9A" w:rsidRDefault="00132AEE">
      <w:pPr>
        <w:pStyle w:val="TOC2"/>
        <w:rPr>
          <w:rFonts w:ascii="Times New Roman" w:eastAsiaTheme="minorEastAsia" w:hAnsi="Times New Roman"/>
          <w:b w:val="0"/>
          <w:smallCaps w:val="0"/>
          <w:sz w:val="22"/>
          <w:lang w:eastAsia="sk-SK"/>
        </w:rPr>
      </w:pPr>
      <w:hyperlink w:anchor="_Toc115857845" w:history="1">
        <w:r w:rsidR="00DE63C7" w:rsidRPr="00E07C9A">
          <w:rPr>
            <w:rStyle w:val="Hyperlink"/>
            <w:rFonts w:ascii="Times New Roman" w:hAnsi="Times New Roman"/>
          </w:rPr>
          <w:t>3.9.6.1.</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Pokyny týkajúce sa konkrétnych pozícií</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_Toc115857845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189</w:t>
        </w:r>
        <w:r w:rsidR="00DE63C7" w:rsidRPr="00E07C9A">
          <w:rPr>
            <w:rFonts w:ascii="Times New Roman" w:hAnsi="Times New Roman"/>
            <w:webHidden/>
          </w:rPr>
          <w:fldChar w:fldCharType="end"/>
        </w:r>
      </w:hyperlink>
    </w:p>
    <w:p w14:paraId="5A0056EA" w14:textId="15B3F6C3" w:rsidR="00DE63C7" w:rsidRPr="00E07C9A" w:rsidRDefault="00132AEE">
      <w:pPr>
        <w:pStyle w:val="TOC2"/>
        <w:rPr>
          <w:rFonts w:ascii="Times New Roman" w:eastAsiaTheme="minorEastAsia" w:hAnsi="Times New Roman"/>
          <w:b w:val="0"/>
          <w:smallCaps w:val="0"/>
          <w:sz w:val="22"/>
          <w:lang w:eastAsia="sk-SK"/>
        </w:rPr>
      </w:pPr>
      <w:hyperlink w:anchor="_Toc115857846" w:history="1">
        <w:r w:rsidR="00DE63C7" w:rsidRPr="00E07C9A">
          <w:rPr>
            <w:rStyle w:val="Hyperlink"/>
            <w:rFonts w:ascii="Times New Roman" w:hAnsi="Times New Roman"/>
          </w:rPr>
          <w:t>3.9.7.</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C 34.06 – Dvadsať najvýznamnejších protistrán</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_Toc115857846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191</w:t>
        </w:r>
        <w:r w:rsidR="00DE63C7" w:rsidRPr="00E07C9A">
          <w:rPr>
            <w:rFonts w:ascii="Times New Roman" w:hAnsi="Times New Roman"/>
            <w:webHidden/>
          </w:rPr>
          <w:fldChar w:fldCharType="end"/>
        </w:r>
      </w:hyperlink>
    </w:p>
    <w:p w14:paraId="5A133AD4" w14:textId="4B5FB4A4" w:rsidR="00DE63C7" w:rsidRPr="00E07C9A" w:rsidRDefault="00132AEE">
      <w:pPr>
        <w:pStyle w:val="TOC2"/>
        <w:rPr>
          <w:rFonts w:ascii="Times New Roman" w:eastAsiaTheme="minorEastAsia" w:hAnsi="Times New Roman"/>
          <w:b w:val="0"/>
          <w:smallCaps w:val="0"/>
          <w:sz w:val="22"/>
          <w:lang w:eastAsia="sk-SK"/>
        </w:rPr>
      </w:pPr>
      <w:hyperlink w:anchor="_Toc115857847" w:history="1">
        <w:r w:rsidR="00DE63C7" w:rsidRPr="00E07C9A">
          <w:rPr>
            <w:rStyle w:val="Hyperlink"/>
            <w:rFonts w:ascii="Times New Roman" w:hAnsi="Times New Roman"/>
          </w:rPr>
          <w:t>3.9.7.1.</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Všeobecné poznámky</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_Toc115857847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191</w:t>
        </w:r>
        <w:r w:rsidR="00DE63C7" w:rsidRPr="00E07C9A">
          <w:rPr>
            <w:rFonts w:ascii="Times New Roman" w:hAnsi="Times New Roman"/>
            <w:webHidden/>
          </w:rPr>
          <w:fldChar w:fldCharType="end"/>
        </w:r>
      </w:hyperlink>
    </w:p>
    <w:p w14:paraId="2EC4BF78" w14:textId="6DA2A9B4" w:rsidR="00DE63C7" w:rsidRPr="00E07C9A" w:rsidRDefault="00132AEE">
      <w:pPr>
        <w:pStyle w:val="TOC2"/>
        <w:rPr>
          <w:rFonts w:ascii="Times New Roman" w:eastAsiaTheme="minorEastAsia" w:hAnsi="Times New Roman"/>
          <w:b w:val="0"/>
          <w:smallCaps w:val="0"/>
          <w:sz w:val="22"/>
          <w:lang w:eastAsia="sk-SK"/>
        </w:rPr>
      </w:pPr>
      <w:hyperlink w:anchor="_Toc115857848" w:history="1">
        <w:r w:rsidR="00DE63C7" w:rsidRPr="00E07C9A">
          <w:rPr>
            <w:rStyle w:val="Hyperlink"/>
            <w:rFonts w:ascii="Times New Roman" w:hAnsi="Times New Roman"/>
          </w:rPr>
          <w:t>3.9.7.2.</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Pokyny týkajúce sa konkrétnych pozícií</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_Toc115857848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191</w:t>
        </w:r>
        <w:r w:rsidR="00DE63C7" w:rsidRPr="00E07C9A">
          <w:rPr>
            <w:rFonts w:ascii="Times New Roman" w:hAnsi="Times New Roman"/>
            <w:webHidden/>
          </w:rPr>
          <w:fldChar w:fldCharType="end"/>
        </w:r>
      </w:hyperlink>
    </w:p>
    <w:p w14:paraId="4CF21A03" w14:textId="1C5ED13B" w:rsidR="00DE63C7" w:rsidRPr="00E07C9A" w:rsidRDefault="00132AEE">
      <w:pPr>
        <w:pStyle w:val="TOC2"/>
        <w:rPr>
          <w:rFonts w:ascii="Times New Roman" w:eastAsiaTheme="minorEastAsia" w:hAnsi="Times New Roman"/>
          <w:b w:val="0"/>
          <w:smallCaps w:val="0"/>
          <w:sz w:val="22"/>
          <w:lang w:eastAsia="sk-SK"/>
        </w:rPr>
      </w:pPr>
      <w:hyperlink w:anchor="_Toc115857849" w:history="1">
        <w:r w:rsidR="00DE63C7" w:rsidRPr="00E07C9A">
          <w:rPr>
            <w:rStyle w:val="Hyperlink"/>
            <w:rFonts w:ascii="Times New Roman" w:hAnsi="Times New Roman"/>
          </w:rPr>
          <w:t>3.9.8.</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C 34.07 – Prístup IRB – expozície voči CCR podľa triedy expozícií</w:t>
        </w:r>
        <w:r w:rsidR="009912F8" w:rsidRPr="00E07C9A">
          <w:rPr>
            <w:rStyle w:val="Hyperlink"/>
            <w:rFonts w:ascii="Times New Roman" w:hAnsi="Times New Roman"/>
          </w:rPr>
          <w:t xml:space="preserve"> a </w:t>
        </w:r>
        <w:r w:rsidR="00DE63C7" w:rsidRPr="00E07C9A">
          <w:rPr>
            <w:rStyle w:val="Hyperlink"/>
            <w:rFonts w:ascii="Times New Roman" w:hAnsi="Times New Roman"/>
          </w:rPr>
          <w:t>stupnice PD</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_Toc115857849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193</w:t>
        </w:r>
        <w:r w:rsidR="00DE63C7" w:rsidRPr="00E07C9A">
          <w:rPr>
            <w:rFonts w:ascii="Times New Roman" w:hAnsi="Times New Roman"/>
            <w:webHidden/>
          </w:rPr>
          <w:fldChar w:fldCharType="end"/>
        </w:r>
      </w:hyperlink>
    </w:p>
    <w:p w14:paraId="7EDCC080" w14:textId="1DA30DDC" w:rsidR="00DE63C7" w:rsidRPr="00E07C9A" w:rsidRDefault="00132AEE">
      <w:pPr>
        <w:pStyle w:val="TOC2"/>
        <w:rPr>
          <w:rFonts w:ascii="Times New Roman" w:eastAsiaTheme="minorEastAsia" w:hAnsi="Times New Roman"/>
          <w:b w:val="0"/>
          <w:smallCaps w:val="0"/>
          <w:sz w:val="22"/>
          <w:lang w:eastAsia="sk-SK"/>
        </w:rPr>
      </w:pPr>
      <w:hyperlink w:anchor="_Toc115857850" w:history="1">
        <w:r w:rsidR="00DE63C7" w:rsidRPr="00E07C9A">
          <w:rPr>
            <w:rStyle w:val="Hyperlink"/>
            <w:rFonts w:ascii="Times New Roman" w:hAnsi="Times New Roman"/>
          </w:rPr>
          <w:t>3.9.8.1.</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Všeobecné poznámky</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_Toc115857850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193</w:t>
        </w:r>
        <w:r w:rsidR="00DE63C7" w:rsidRPr="00E07C9A">
          <w:rPr>
            <w:rFonts w:ascii="Times New Roman" w:hAnsi="Times New Roman"/>
            <w:webHidden/>
          </w:rPr>
          <w:fldChar w:fldCharType="end"/>
        </w:r>
      </w:hyperlink>
    </w:p>
    <w:p w14:paraId="75D1DF6A" w14:textId="3734B014" w:rsidR="00DE63C7" w:rsidRPr="00E07C9A" w:rsidRDefault="00132AEE">
      <w:pPr>
        <w:pStyle w:val="TOC2"/>
        <w:rPr>
          <w:rFonts w:ascii="Times New Roman" w:eastAsiaTheme="minorEastAsia" w:hAnsi="Times New Roman"/>
          <w:b w:val="0"/>
          <w:smallCaps w:val="0"/>
          <w:sz w:val="22"/>
          <w:lang w:eastAsia="sk-SK"/>
        </w:rPr>
      </w:pPr>
      <w:hyperlink w:anchor="_Toc115857851" w:history="1">
        <w:r w:rsidR="00DE63C7" w:rsidRPr="00E07C9A">
          <w:rPr>
            <w:rStyle w:val="Hyperlink"/>
            <w:rFonts w:ascii="Times New Roman" w:hAnsi="Times New Roman"/>
          </w:rPr>
          <w:t>3.9.8.2.</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Pokyny týkajúce sa konkrétnych pozícií</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_Toc115857851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194</w:t>
        </w:r>
        <w:r w:rsidR="00DE63C7" w:rsidRPr="00E07C9A">
          <w:rPr>
            <w:rFonts w:ascii="Times New Roman" w:hAnsi="Times New Roman"/>
            <w:webHidden/>
          </w:rPr>
          <w:fldChar w:fldCharType="end"/>
        </w:r>
      </w:hyperlink>
    </w:p>
    <w:p w14:paraId="0F74DB86" w14:textId="1A9EBAB8" w:rsidR="00DE63C7" w:rsidRPr="00E07C9A" w:rsidRDefault="00132AEE">
      <w:pPr>
        <w:pStyle w:val="TOC2"/>
        <w:rPr>
          <w:rFonts w:ascii="Times New Roman" w:eastAsiaTheme="minorEastAsia" w:hAnsi="Times New Roman"/>
          <w:b w:val="0"/>
          <w:smallCaps w:val="0"/>
          <w:sz w:val="22"/>
          <w:lang w:eastAsia="sk-SK"/>
        </w:rPr>
      </w:pPr>
      <w:hyperlink w:anchor="_Toc115857852" w:history="1">
        <w:r w:rsidR="00DE63C7" w:rsidRPr="00E07C9A">
          <w:rPr>
            <w:rStyle w:val="Hyperlink"/>
            <w:rFonts w:ascii="Times New Roman" w:hAnsi="Times New Roman"/>
          </w:rPr>
          <w:t>3.9.9.</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C 34.08 – Zloženie kolaterálu pre expozície voči CCR</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_Toc115857852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195</w:t>
        </w:r>
        <w:r w:rsidR="00DE63C7" w:rsidRPr="00E07C9A">
          <w:rPr>
            <w:rFonts w:ascii="Times New Roman" w:hAnsi="Times New Roman"/>
            <w:webHidden/>
          </w:rPr>
          <w:fldChar w:fldCharType="end"/>
        </w:r>
      </w:hyperlink>
    </w:p>
    <w:p w14:paraId="11165A75" w14:textId="4A150C5D" w:rsidR="00DE63C7" w:rsidRPr="00E07C9A" w:rsidRDefault="00132AEE">
      <w:pPr>
        <w:pStyle w:val="TOC2"/>
        <w:rPr>
          <w:rFonts w:ascii="Times New Roman" w:eastAsiaTheme="minorEastAsia" w:hAnsi="Times New Roman"/>
          <w:b w:val="0"/>
          <w:smallCaps w:val="0"/>
          <w:sz w:val="22"/>
          <w:lang w:eastAsia="sk-SK"/>
        </w:rPr>
      </w:pPr>
      <w:hyperlink w:anchor="_Toc115857853" w:history="1">
        <w:r w:rsidR="00DE63C7" w:rsidRPr="00E07C9A">
          <w:rPr>
            <w:rStyle w:val="Hyperlink"/>
            <w:rFonts w:ascii="Times New Roman" w:hAnsi="Times New Roman"/>
          </w:rPr>
          <w:t>3.9.9.1.</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Všeobecné poznámky</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_Toc115857853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195</w:t>
        </w:r>
        <w:r w:rsidR="00DE63C7" w:rsidRPr="00E07C9A">
          <w:rPr>
            <w:rFonts w:ascii="Times New Roman" w:hAnsi="Times New Roman"/>
            <w:webHidden/>
          </w:rPr>
          <w:fldChar w:fldCharType="end"/>
        </w:r>
      </w:hyperlink>
    </w:p>
    <w:p w14:paraId="2198E584" w14:textId="03AE7401" w:rsidR="00DE63C7" w:rsidRPr="00E07C9A" w:rsidRDefault="00132AEE">
      <w:pPr>
        <w:pStyle w:val="TOC2"/>
        <w:rPr>
          <w:rFonts w:ascii="Times New Roman" w:eastAsiaTheme="minorEastAsia" w:hAnsi="Times New Roman"/>
          <w:b w:val="0"/>
          <w:smallCaps w:val="0"/>
          <w:sz w:val="22"/>
          <w:lang w:eastAsia="sk-SK"/>
        </w:rPr>
      </w:pPr>
      <w:hyperlink w:anchor="_Toc115857854" w:history="1">
        <w:r w:rsidR="00DE63C7" w:rsidRPr="00E07C9A">
          <w:rPr>
            <w:rStyle w:val="Hyperlink"/>
            <w:rFonts w:ascii="Times New Roman" w:hAnsi="Times New Roman"/>
          </w:rPr>
          <w:t>3.9.9.2.</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Pokyny týkajúce sa konkrétnych pozícií</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_Toc115857854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195</w:t>
        </w:r>
        <w:r w:rsidR="00DE63C7" w:rsidRPr="00E07C9A">
          <w:rPr>
            <w:rFonts w:ascii="Times New Roman" w:hAnsi="Times New Roman"/>
            <w:webHidden/>
          </w:rPr>
          <w:fldChar w:fldCharType="end"/>
        </w:r>
      </w:hyperlink>
    </w:p>
    <w:p w14:paraId="01A9B679" w14:textId="6A90A722" w:rsidR="00DE63C7" w:rsidRPr="00E07C9A" w:rsidRDefault="00132AEE">
      <w:pPr>
        <w:pStyle w:val="TOC2"/>
        <w:rPr>
          <w:rFonts w:ascii="Times New Roman" w:eastAsiaTheme="minorEastAsia" w:hAnsi="Times New Roman"/>
          <w:b w:val="0"/>
          <w:smallCaps w:val="0"/>
          <w:sz w:val="22"/>
          <w:lang w:eastAsia="sk-SK"/>
        </w:rPr>
      </w:pPr>
      <w:hyperlink w:anchor="_Toc115857855" w:history="1">
        <w:r w:rsidR="00DE63C7" w:rsidRPr="00E07C9A">
          <w:rPr>
            <w:rStyle w:val="Hyperlink"/>
            <w:rFonts w:ascii="Times New Roman" w:hAnsi="Times New Roman"/>
          </w:rPr>
          <w:t>3.9.10.</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C 34.09 – Expozície kreditných derivátov</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_Toc115857855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197</w:t>
        </w:r>
        <w:r w:rsidR="00DE63C7" w:rsidRPr="00E07C9A">
          <w:rPr>
            <w:rFonts w:ascii="Times New Roman" w:hAnsi="Times New Roman"/>
            <w:webHidden/>
          </w:rPr>
          <w:fldChar w:fldCharType="end"/>
        </w:r>
      </w:hyperlink>
    </w:p>
    <w:p w14:paraId="66C9F84D" w14:textId="47A62794" w:rsidR="00DE63C7" w:rsidRPr="00E07C9A" w:rsidRDefault="00132AEE">
      <w:pPr>
        <w:pStyle w:val="TOC2"/>
        <w:rPr>
          <w:rFonts w:ascii="Times New Roman" w:eastAsiaTheme="minorEastAsia" w:hAnsi="Times New Roman"/>
          <w:b w:val="0"/>
          <w:smallCaps w:val="0"/>
          <w:sz w:val="22"/>
          <w:lang w:eastAsia="sk-SK"/>
        </w:rPr>
      </w:pPr>
      <w:hyperlink w:anchor="_Toc115857856" w:history="1">
        <w:r w:rsidR="00DE63C7" w:rsidRPr="00E07C9A">
          <w:rPr>
            <w:rStyle w:val="Hyperlink"/>
            <w:rFonts w:ascii="Times New Roman" w:hAnsi="Times New Roman"/>
          </w:rPr>
          <w:t>3.9.10.1.</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Pokyny týkajúce sa konkrétnych pozícií</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_Toc115857856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197</w:t>
        </w:r>
        <w:r w:rsidR="00DE63C7" w:rsidRPr="00E07C9A">
          <w:rPr>
            <w:rFonts w:ascii="Times New Roman" w:hAnsi="Times New Roman"/>
            <w:webHidden/>
          </w:rPr>
          <w:fldChar w:fldCharType="end"/>
        </w:r>
      </w:hyperlink>
    </w:p>
    <w:p w14:paraId="6D479297" w14:textId="648B4DA0" w:rsidR="00DE63C7" w:rsidRPr="00E07C9A" w:rsidRDefault="00132AEE">
      <w:pPr>
        <w:pStyle w:val="TOC2"/>
        <w:rPr>
          <w:rFonts w:ascii="Times New Roman" w:eastAsiaTheme="minorEastAsia" w:hAnsi="Times New Roman"/>
          <w:b w:val="0"/>
          <w:smallCaps w:val="0"/>
          <w:sz w:val="22"/>
          <w:lang w:eastAsia="sk-SK"/>
        </w:rPr>
      </w:pPr>
      <w:hyperlink w:anchor="_Toc115857857" w:history="1">
        <w:r w:rsidR="00DE63C7" w:rsidRPr="00E07C9A">
          <w:rPr>
            <w:rStyle w:val="Hyperlink"/>
            <w:rFonts w:ascii="Times New Roman" w:hAnsi="Times New Roman"/>
          </w:rPr>
          <w:t>3.9.11.</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C 34.10 – Expozície voči centrálnym protistranám</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_Toc115857857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197</w:t>
        </w:r>
        <w:r w:rsidR="00DE63C7" w:rsidRPr="00E07C9A">
          <w:rPr>
            <w:rFonts w:ascii="Times New Roman" w:hAnsi="Times New Roman"/>
            <w:webHidden/>
          </w:rPr>
          <w:fldChar w:fldCharType="end"/>
        </w:r>
      </w:hyperlink>
    </w:p>
    <w:p w14:paraId="6DCF9061" w14:textId="6E1EDF02" w:rsidR="00DE63C7" w:rsidRPr="00E07C9A" w:rsidRDefault="00132AEE">
      <w:pPr>
        <w:pStyle w:val="TOC2"/>
        <w:rPr>
          <w:rFonts w:ascii="Times New Roman" w:eastAsiaTheme="minorEastAsia" w:hAnsi="Times New Roman"/>
          <w:b w:val="0"/>
          <w:smallCaps w:val="0"/>
          <w:sz w:val="22"/>
          <w:lang w:eastAsia="sk-SK"/>
        </w:rPr>
      </w:pPr>
      <w:hyperlink w:anchor="_Toc115857858" w:history="1">
        <w:r w:rsidR="00DE63C7" w:rsidRPr="00E07C9A">
          <w:rPr>
            <w:rStyle w:val="Hyperlink"/>
            <w:rFonts w:ascii="Times New Roman" w:hAnsi="Times New Roman"/>
          </w:rPr>
          <w:t>3.9.11.1.</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Všeobecné poznámky</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_Toc115857858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197</w:t>
        </w:r>
        <w:r w:rsidR="00DE63C7" w:rsidRPr="00E07C9A">
          <w:rPr>
            <w:rFonts w:ascii="Times New Roman" w:hAnsi="Times New Roman"/>
            <w:webHidden/>
          </w:rPr>
          <w:fldChar w:fldCharType="end"/>
        </w:r>
      </w:hyperlink>
    </w:p>
    <w:p w14:paraId="4EE2DE3C" w14:textId="5F21F5A1" w:rsidR="00DE63C7" w:rsidRPr="00E07C9A" w:rsidRDefault="00132AEE">
      <w:pPr>
        <w:pStyle w:val="TOC2"/>
        <w:rPr>
          <w:rFonts w:ascii="Times New Roman" w:eastAsiaTheme="minorEastAsia" w:hAnsi="Times New Roman"/>
          <w:b w:val="0"/>
          <w:smallCaps w:val="0"/>
          <w:sz w:val="22"/>
          <w:lang w:eastAsia="sk-SK"/>
        </w:rPr>
      </w:pPr>
      <w:hyperlink w:anchor="_Toc115857859" w:history="1">
        <w:r w:rsidR="00DE63C7" w:rsidRPr="00E07C9A">
          <w:rPr>
            <w:rStyle w:val="Hyperlink"/>
            <w:rFonts w:ascii="Times New Roman" w:hAnsi="Times New Roman"/>
          </w:rPr>
          <w:t>3.9.11.2.</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Pokyny týkajúce sa konkrétnych pozícií</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_Toc115857859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198</w:t>
        </w:r>
        <w:r w:rsidR="00DE63C7" w:rsidRPr="00E07C9A">
          <w:rPr>
            <w:rFonts w:ascii="Times New Roman" w:hAnsi="Times New Roman"/>
            <w:webHidden/>
          </w:rPr>
          <w:fldChar w:fldCharType="end"/>
        </w:r>
      </w:hyperlink>
    </w:p>
    <w:p w14:paraId="70748D85" w14:textId="44F8453C" w:rsidR="00DE63C7" w:rsidRPr="00E07C9A" w:rsidRDefault="00132AEE">
      <w:pPr>
        <w:pStyle w:val="TOC2"/>
        <w:rPr>
          <w:rFonts w:ascii="Times New Roman" w:eastAsiaTheme="minorEastAsia" w:hAnsi="Times New Roman"/>
          <w:b w:val="0"/>
          <w:smallCaps w:val="0"/>
          <w:sz w:val="22"/>
          <w:lang w:eastAsia="sk-SK"/>
        </w:rPr>
      </w:pPr>
      <w:hyperlink w:anchor="_Toc115857860" w:history="1">
        <w:r w:rsidR="00DE63C7" w:rsidRPr="00E07C9A">
          <w:rPr>
            <w:rStyle w:val="Hyperlink"/>
            <w:rFonts w:ascii="Times New Roman" w:hAnsi="Times New Roman"/>
          </w:rPr>
          <w:t>3.9.12.</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C 34.11 – Výkazy peňažných tokov hodnôt rizikovo vážených expozícií (RWEA) voči CCR podľa IMM</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_Toc115857860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199</w:t>
        </w:r>
        <w:r w:rsidR="00DE63C7" w:rsidRPr="00E07C9A">
          <w:rPr>
            <w:rFonts w:ascii="Times New Roman" w:hAnsi="Times New Roman"/>
            <w:webHidden/>
          </w:rPr>
          <w:fldChar w:fldCharType="end"/>
        </w:r>
      </w:hyperlink>
    </w:p>
    <w:p w14:paraId="42660C78" w14:textId="2AAD4BD8" w:rsidR="00DE63C7" w:rsidRPr="00E07C9A" w:rsidRDefault="00132AEE">
      <w:pPr>
        <w:pStyle w:val="TOC2"/>
        <w:rPr>
          <w:rFonts w:ascii="Times New Roman" w:eastAsiaTheme="minorEastAsia" w:hAnsi="Times New Roman"/>
          <w:b w:val="0"/>
          <w:smallCaps w:val="0"/>
          <w:sz w:val="22"/>
          <w:lang w:eastAsia="sk-SK"/>
        </w:rPr>
      </w:pPr>
      <w:hyperlink w:anchor="_Toc115857861" w:history="1">
        <w:r w:rsidR="00DE63C7" w:rsidRPr="00E07C9A">
          <w:rPr>
            <w:rStyle w:val="Hyperlink"/>
            <w:rFonts w:ascii="Times New Roman" w:hAnsi="Times New Roman"/>
          </w:rPr>
          <w:t>3.9.12.1.</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Všeobecné poznámky</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_Toc115857861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199</w:t>
        </w:r>
        <w:r w:rsidR="00DE63C7" w:rsidRPr="00E07C9A">
          <w:rPr>
            <w:rFonts w:ascii="Times New Roman" w:hAnsi="Times New Roman"/>
            <w:webHidden/>
          </w:rPr>
          <w:fldChar w:fldCharType="end"/>
        </w:r>
      </w:hyperlink>
    </w:p>
    <w:p w14:paraId="5FF939D3" w14:textId="4A0167C3" w:rsidR="00DE63C7" w:rsidRPr="00E07C9A" w:rsidRDefault="00132AEE">
      <w:pPr>
        <w:pStyle w:val="TOC2"/>
        <w:rPr>
          <w:rFonts w:ascii="Times New Roman" w:eastAsiaTheme="minorEastAsia" w:hAnsi="Times New Roman"/>
          <w:b w:val="0"/>
          <w:smallCaps w:val="0"/>
          <w:sz w:val="22"/>
          <w:lang w:eastAsia="sk-SK"/>
        </w:rPr>
      </w:pPr>
      <w:hyperlink w:anchor="_Toc115857862" w:history="1">
        <w:r w:rsidR="00DE63C7" w:rsidRPr="00E07C9A">
          <w:rPr>
            <w:rStyle w:val="Hyperlink"/>
            <w:rFonts w:ascii="Times New Roman" w:hAnsi="Times New Roman"/>
          </w:rPr>
          <w:t>3.9.12.2.</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Pokyny týkajúce sa konkrétnych pozícií</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_Toc115857862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199</w:t>
        </w:r>
        <w:r w:rsidR="00DE63C7" w:rsidRPr="00E07C9A">
          <w:rPr>
            <w:rFonts w:ascii="Times New Roman" w:hAnsi="Times New Roman"/>
            <w:webHidden/>
          </w:rPr>
          <w:fldChar w:fldCharType="end"/>
        </w:r>
      </w:hyperlink>
    </w:p>
    <w:p w14:paraId="772C3282" w14:textId="228AF9D2" w:rsidR="00DE63C7" w:rsidRPr="00E07C9A" w:rsidRDefault="00132AEE">
      <w:pPr>
        <w:pStyle w:val="TOC2"/>
        <w:rPr>
          <w:rFonts w:ascii="Times New Roman" w:eastAsiaTheme="minorEastAsia" w:hAnsi="Times New Roman"/>
          <w:b w:val="0"/>
          <w:smallCaps w:val="0"/>
          <w:sz w:val="22"/>
          <w:lang w:eastAsia="sk-SK"/>
        </w:rPr>
      </w:pPr>
      <w:hyperlink w:anchor="_Toc115857863" w:history="1">
        <w:r w:rsidR="00DE63C7" w:rsidRPr="00E07C9A">
          <w:rPr>
            <w:rStyle w:val="Hyperlink"/>
            <w:rFonts w:ascii="Times New Roman" w:hAnsi="Times New Roman"/>
          </w:rPr>
          <w:t>4.</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Vzory pre operačné riziko</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_Toc115857863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201</w:t>
        </w:r>
        <w:r w:rsidR="00DE63C7" w:rsidRPr="00E07C9A">
          <w:rPr>
            <w:rFonts w:ascii="Times New Roman" w:hAnsi="Times New Roman"/>
            <w:webHidden/>
          </w:rPr>
          <w:fldChar w:fldCharType="end"/>
        </w:r>
      </w:hyperlink>
    </w:p>
    <w:p w14:paraId="759AA3C7" w14:textId="375A945C" w:rsidR="00DE63C7" w:rsidRPr="00E07C9A" w:rsidRDefault="00132AEE">
      <w:pPr>
        <w:pStyle w:val="TOC2"/>
        <w:rPr>
          <w:rFonts w:ascii="Times New Roman" w:eastAsiaTheme="minorEastAsia" w:hAnsi="Times New Roman"/>
          <w:b w:val="0"/>
          <w:smallCaps w:val="0"/>
          <w:sz w:val="22"/>
          <w:lang w:eastAsia="sk-SK"/>
        </w:rPr>
      </w:pPr>
      <w:hyperlink w:anchor="_Toc115857864" w:history="1">
        <w:r w:rsidR="00DE63C7" w:rsidRPr="00E07C9A">
          <w:rPr>
            <w:rStyle w:val="Hyperlink"/>
            <w:rFonts w:ascii="Times New Roman" w:hAnsi="Times New Roman"/>
          </w:rPr>
          <w:t>4.1.</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 xml:space="preserve"> C 16.00 – Operačné riziko (OPR)</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_Toc115857864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201</w:t>
        </w:r>
        <w:r w:rsidR="00DE63C7" w:rsidRPr="00E07C9A">
          <w:rPr>
            <w:rFonts w:ascii="Times New Roman" w:hAnsi="Times New Roman"/>
            <w:webHidden/>
          </w:rPr>
          <w:fldChar w:fldCharType="end"/>
        </w:r>
      </w:hyperlink>
    </w:p>
    <w:p w14:paraId="488A018D" w14:textId="58487A66" w:rsidR="00DE63C7" w:rsidRPr="00E07C9A" w:rsidRDefault="00132AEE">
      <w:pPr>
        <w:pStyle w:val="TOC2"/>
        <w:rPr>
          <w:rFonts w:ascii="Times New Roman" w:eastAsiaTheme="minorEastAsia" w:hAnsi="Times New Roman"/>
          <w:b w:val="0"/>
          <w:smallCaps w:val="0"/>
          <w:sz w:val="22"/>
          <w:lang w:eastAsia="sk-SK"/>
        </w:rPr>
      </w:pPr>
      <w:hyperlink w:anchor="_Toc115857865" w:history="1">
        <w:r w:rsidR="00DE63C7" w:rsidRPr="00E07C9A">
          <w:rPr>
            <w:rStyle w:val="Hyperlink"/>
            <w:rFonts w:ascii="Times New Roman" w:hAnsi="Times New Roman"/>
          </w:rPr>
          <w:t>4.1.1.</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Všeobecné poznámky</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_Toc115857865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201</w:t>
        </w:r>
        <w:r w:rsidR="00DE63C7" w:rsidRPr="00E07C9A">
          <w:rPr>
            <w:rFonts w:ascii="Times New Roman" w:hAnsi="Times New Roman"/>
            <w:webHidden/>
          </w:rPr>
          <w:fldChar w:fldCharType="end"/>
        </w:r>
      </w:hyperlink>
    </w:p>
    <w:p w14:paraId="716A6C97" w14:textId="2992FF65" w:rsidR="00DE63C7" w:rsidRPr="00E07C9A" w:rsidRDefault="00132AEE">
      <w:pPr>
        <w:pStyle w:val="TOC2"/>
        <w:rPr>
          <w:rFonts w:ascii="Times New Roman" w:eastAsiaTheme="minorEastAsia" w:hAnsi="Times New Roman"/>
          <w:b w:val="0"/>
          <w:smallCaps w:val="0"/>
          <w:sz w:val="22"/>
          <w:lang w:eastAsia="sk-SK"/>
        </w:rPr>
      </w:pPr>
      <w:hyperlink w:anchor="_Toc115857866" w:history="1">
        <w:r w:rsidR="00DE63C7" w:rsidRPr="00E07C9A">
          <w:rPr>
            <w:rStyle w:val="Hyperlink"/>
            <w:rFonts w:ascii="Times New Roman" w:hAnsi="Times New Roman"/>
          </w:rPr>
          <w:t>4.1.2.</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Pokyny týkajúce sa konkrétnych pozícií</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_Toc115857866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202</w:t>
        </w:r>
        <w:r w:rsidR="00DE63C7" w:rsidRPr="00E07C9A">
          <w:rPr>
            <w:rFonts w:ascii="Times New Roman" w:hAnsi="Times New Roman"/>
            <w:webHidden/>
          </w:rPr>
          <w:fldChar w:fldCharType="end"/>
        </w:r>
      </w:hyperlink>
    </w:p>
    <w:p w14:paraId="1AD4CC0D" w14:textId="2A7BE2F5" w:rsidR="00DE63C7" w:rsidRPr="00E07C9A" w:rsidRDefault="00132AEE">
      <w:pPr>
        <w:pStyle w:val="TOC2"/>
        <w:rPr>
          <w:rFonts w:ascii="Times New Roman" w:eastAsiaTheme="minorEastAsia" w:hAnsi="Times New Roman"/>
          <w:b w:val="0"/>
          <w:smallCaps w:val="0"/>
          <w:sz w:val="22"/>
          <w:lang w:eastAsia="sk-SK"/>
        </w:rPr>
      </w:pPr>
      <w:hyperlink w:anchor="_Toc115857867" w:history="1">
        <w:r w:rsidR="00DE63C7" w:rsidRPr="00E07C9A">
          <w:rPr>
            <w:rStyle w:val="Hyperlink"/>
            <w:rFonts w:ascii="Times New Roman" w:hAnsi="Times New Roman"/>
          </w:rPr>
          <w:t>4.2.</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Operačné riziko: podrobné informácie</w:t>
        </w:r>
        <w:r w:rsidR="009912F8" w:rsidRPr="00E07C9A">
          <w:rPr>
            <w:rStyle w:val="Hyperlink"/>
            <w:rFonts w:ascii="Times New Roman" w:hAnsi="Times New Roman"/>
          </w:rPr>
          <w:t xml:space="preserve"> o </w:t>
        </w:r>
        <w:r w:rsidR="00DE63C7" w:rsidRPr="00E07C9A">
          <w:rPr>
            <w:rStyle w:val="Hyperlink"/>
            <w:rFonts w:ascii="Times New Roman" w:hAnsi="Times New Roman"/>
          </w:rPr>
          <w:t>stratách</w:t>
        </w:r>
        <w:r w:rsidR="009912F8" w:rsidRPr="00E07C9A">
          <w:rPr>
            <w:rStyle w:val="Hyperlink"/>
            <w:rFonts w:ascii="Times New Roman" w:hAnsi="Times New Roman"/>
          </w:rPr>
          <w:t xml:space="preserve"> v </w:t>
        </w:r>
        <w:r w:rsidR="00DE63C7" w:rsidRPr="00E07C9A">
          <w:rPr>
            <w:rStyle w:val="Hyperlink"/>
            <w:rFonts w:ascii="Times New Roman" w:hAnsi="Times New Roman"/>
          </w:rPr>
          <w:t>poslednom roku (OPR DETAILS)</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_Toc115857867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205</w:t>
        </w:r>
        <w:r w:rsidR="00DE63C7" w:rsidRPr="00E07C9A">
          <w:rPr>
            <w:rFonts w:ascii="Times New Roman" w:hAnsi="Times New Roman"/>
            <w:webHidden/>
          </w:rPr>
          <w:fldChar w:fldCharType="end"/>
        </w:r>
      </w:hyperlink>
    </w:p>
    <w:p w14:paraId="70A4D77A" w14:textId="4514C10C" w:rsidR="00DE63C7" w:rsidRPr="00E07C9A" w:rsidRDefault="00132AEE">
      <w:pPr>
        <w:pStyle w:val="TOC2"/>
        <w:rPr>
          <w:rFonts w:ascii="Times New Roman" w:eastAsiaTheme="minorEastAsia" w:hAnsi="Times New Roman"/>
          <w:b w:val="0"/>
          <w:smallCaps w:val="0"/>
          <w:sz w:val="22"/>
          <w:lang w:eastAsia="sk-SK"/>
        </w:rPr>
      </w:pPr>
      <w:hyperlink w:anchor="_Toc115857868" w:history="1">
        <w:r w:rsidR="00DE63C7" w:rsidRPr="00E07C9A">
          <w:rPr>
            <w:rStyle w:val="Hyperlink"/>
            <w:rFonts w:ascii="Times New Roman" w:hAnsi="Times New Roman"/>
          </w:rPr>
          <w:t>4.2.1.</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Všeobecné poznámky</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_Toc115857868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205</w:t>
        </w:r>
        <w:r w:rsidR="00DE63C7" w:rsidRPr="00E07C9A">
          <w:rPr>
            <w:rFonts w:ascii="Times New Roman" w:hAnsi="Times New Roman"/>
            <w:webHidden/>
          </w:rPr>
          <w:fldChar w:fldCharType="end"/>
        </w:r>
      </w:hyperlink>
    </w:p>
    <w:p w14:paraId="7EEB4B78" w14:textId="0F002448" w:rsidR="00DE63C7" w:rsidRPr="00E07C9A" w:rsidRDefault="00132AEE">
      <w:pPr>
        <w:pStyle w:val="TOC2"/>
        <w:rPr>
          <w:rFonts w:ascii="Times New Roman" w:eastAsiaTheme="minorEastAsia" w:hAnsi="Times New Roman"/>
          <w:b w:val="0"/>
          <w:smallCaps w:val="0"/>
          <w:sz w:val="22"/>
          <w:lang w:eastAsia="sk-SK"/>
        </w:rPr>
      </w:pPr>
      <w:hyperlink w:anchor="_Toc115857869" w:history="1">
        <w:r w:rsidR="00DE63C7" w:rsidRPr="00E07C9A">
          <w:rPr>
            <w:rStyle w:val="Hyperlink"/>
            <w:rFonts w:ascii="Times New Roman" w:hAnsi="Times New Roman"/>
          </w:rPr>
          <w:t>4.2.2.</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C 17.01: Straty</w:t>
        </w:r>
        <w:r w:rsidR="009912F8" w:rsidRPr="00E07C9A">
          <w:rPr>
            <w:rStyle w:val="Hyperlink"/>
            <w:rFonts w:ascii="Times New Roman" w:hAnsi="Times New Roman"/>
          </w:rPr>
          <w:t xml:space="preserve"> a </w:t>
        </w:r>
        <w:r w:rsidR="00DE63C7" w:rsidRPr="00E07C9A">
          <w:rPr>
            <w:rStyle w:val="Hyperlink"/>
            <w:rFonts w:ascii="Times New Roman" w:hAnsi="Times New Roman"/>
          </w:rPr>
          <w:t>náhrady</w:t>
        </w:r>
        <w:r w:rsidR="009912F8" w:rsidRPr="00E07C9A">
          <w:rPr>
            <w:rStyle w:val="Hyperlink"/>
            <w:rFonts w:ascii="Times New Roman" w:hAnsi="Times New Roman"/>
          </w:rPr>
          <w:t xml:space="preserve"> z </w:t>
        </w:r>
        <w:r w:rsidR="00DE63C7" w:rsidRPr="00E07C9A">
          <w:rPr>
            <w:rStyle w:val="Hyperlink"/>
            <w:rFonts w:ascii="Times New Roman" w:hAnsi="Times New Roman"/>
          </w:rPr>
          <w:t>operačného rizika podľa obchodných línií</w:t>
        </w:r>
        <w:r w:rsidR="009912F8" w:rsidRPr="00E07C9A">
          <w:rPr>
            <w:rStyle w:val="Hyperlink"/>
            <w:rFonts w:ascii="Times New Roman" w:hAnsi="Times New Roman"/>
          </w:rPr>
          <w:t xml:space="preserve"> a </w:t>
        </w:r>
        <w:r w:rsidR="00DE63C7" w:rsidRPr="00E07C9A">
          <w:rPr>
            <w:rStyle w:val="Hyperlink"/>
            <w:rFonts w:ascii="Times New Roman" w:hAnsi="Times New Roman"/>
          </w:rPr>
          <w:t>druhov stratových udalostí</w:t>
        </w:r>
        <w:r w:rsidR="009912F8" w:rsidRPr="00E07C9A">
          <w:rPr>
            <w:rStyle w:val="Hyperlink"/>
            <w:rFonts w:ascii="Times New Roman" w:hAnsi="Times New Roman"/>
          </w:rPr>
          <w:t xml:space="preserve"> v </w:t>
        </w:r>
        <w:r w:rsidR="00DE63C7" w:rsidRPr="00E07C9A">
          <w:rPr>
            <w:rStyle w:val="Hyperlink"/>
            <w:rFonts w:ascii="Times New Roman" w:hAnsi="Times New Roman"/>
          </w:rPr>
          <w:t>poslednom roku (OPR DETAILS 1)</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_Toc115857869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207</w:t>
        </w:r>
        <w:r w:rsidR="00DE63C7" w:rsidRPr="00E07C9A">
          <w:rPr>
            <w:rFonts w:ascii="Times New Roman" w:hAnsi="Times New Roman"/>
            <w:webHidden/>
          </w:rPr>
          <w:fldChar w:fldCharType="end"/>
        </w:r>
      </w:hyperlink>
    </w:p>
    <w:p w14:paraId="23BB2704" w14:textId="4E08C4D4" w:rsidR="00DE63C7" w:rsidRPr="00E07C9A" w:rsidRDefault="00132AEE">
      <w:pPr>
        <w:pStyle w:val="TOC2"/>
        <w:rPr>
          <w:rFonts w:ascii="Times New Roman" w:eastAsiaTheme="minorEastAsia" w:hAnsi="Times New Roman"/>
          <w:b w:val="0"/>
          <w:smallCaps w:val="0"/>
          <w:sz w:val="22"/>
          <w:lang w:eastAsia="sk-SK"/>
        </w:rPr>
      </w:pPr>
      <w:hyperlink w:anchor="_Toc115857870" w:history="1">
        <w:r w:rsidR="00DE63C7" w:rsidRPr="00E07C9A">
          <w:rPr>
            <w:rStyle w:val="Hyperlink"/>
            <w:rFonts w:ascii="Times New Roman" w:hAnsi="Times New Roman"/>
          </w:rPr>
          <w:t>4.2.2.1.</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Všeobecné poznámky</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_Toc115857870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207</w:t>
        </w:r>
        <w:r w:rsidR="00DE63C7" w:rsidRPr="00E07C9A">
          <w:rPr>
            <w:rFonts w:ascii="Times New Roman" w:hAnsi="Times New Roman"/>
            <w:webHidden/>
          </w:rPr>
          <w:fldChar w:fldCharType="end"/>
        </w:r>
      </w:hyperlink>
    </w:p>
    <w:p w14:paraId="5DD497FF" w14:textId="609C7986" w:rsidR="00DE63C7" w:rsidRPr="00E07C9A" w:rsidRDefault="00132AEE">
      <w:pPr>
        <w:pStyle w:val="TOC2"/>
        <w:rPr>
          <w:rFonts w:ascii="Times New Roman" w:eastAsiaTheme="minorEastAsia" w:hAnsi="Times New Roman"/>
          <w:b w:val="0"/>
          <w:smallCaps w:val="0"/>
          <w:sz w:val="22"/>
          <w:lang w:eastAsia="sk-SK"/>
        </w:rPr>
      </w:pPr>
      <w:hyperlink w:anchor="_Toc115857871" w:history="1">
        <w:r w:rsidR="00DE63C7" w:rsidRPr="00E07C9A">
          <w:rPr>
            <w:rStyle w:val="Hyperlink"/>
            <w:rFonts w:ascii="Times New Roman" w:hAnsi="Times New Roman"/>
          </w:rPr>
          <w:t>4.2.2.2.</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Pokyny týkajúce sa konkrétnych pozícií</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_Toc115857871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207</w:t>
        </w:r>
        <w:r w:rsidR="00DE63C7" w:rsidRPr="00E07C9A">
          <w:rPr>
            <w:rFonts w:ascii="Times New Roman" w:hAnsi="Times New Roman"/>
            <w:webHidden/>
          </w:rPr>
          <w:fldChar w:fldCharType="end"/>
        </w:r>
      </w:hyperlink>
    </w:p>
    <w:p w14:paraId="3FD7FFC8" w14:textId="60AC7AC9" w:rsidR="00DE63C7" w:rsidRPr="00E07C9A" w:rsidRDefault="00132AEE">
      <w:pPr>
        <w:pStyle w:val="TOC2"/>
        <w:rPr>
          <w:rFonts w:ascii="Times New Roman" w:eastAsiaTheme="minorEastAsia" w:hAnsi="Times New Roman"/>
          <w:b w:val="0"/>
          <w:smallCaps w:val="0"/>
          <w:sz w:val="22"/>
          <w:lang w:eastAsia="sk-SK"/>
        </w:rPr>
      </w:pPr>
      <w:hyperlink w:anchor="_Toc115857872" w:history="1">
        <w:r w:rsidR="00DE63C7" w:rsidRPr="00E07C9A">
          <w:rPr>
            <w:rStyle w:val="Hyperlink"/>
            <w:rFonts w:ascii="Times New Roman" w:hAnsi="Times New Roman"/>
          </w:rPr>
          <w:t>4.2.3.</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C 17.02: Operačné riziko: podrobné informácie</w:t>
        </w:r>
        <w:r w:rsidR="009912F8" w:rsidRPr="00E07C9A">
          <w:rPr>
            <w:rStyle w:val="Hyperlink"/>
            <w:rFonts w:ascii="Times New Roman" w:hAnsi="Times New Roman"/>
          </w:rPr>
          <w:t xml:space="preserve"> o </w:t>
        </w:r>
        <w:r w:rsidR="00DE63C7" w:rsidRPr="00E07C9A">
          <w:rPr>
            <w:rStyle w:val="Hyperlink"/>
            <w:rFonts w:ascii="Times New Roman" w:hAnsi="Times New Roman"/>
          </w:rPr>
          <w:t>najväčších stratových udalostiach</w:t>
        </w:r>
        <w:r w:rsidR="009912F8" w:rsidRPr="00E07C9A">
          <w:rPr>
            <w:rStyle w:val="Hyperlink"/>
            <w:rFonts w:ascii="Times New Roman" w:hAnsi="Times New Roman"/>
          </w:rPr>
          <w:t xml:space="preserve"> v </w:t>
        </w:r>
        <w:r w:rsidR="00DE63C7" w:rsidRPr="00E07C9A">
          <w:rPr>
            <w:rStyle w:val="Hyperlink"/>
            <w:rFonts w:ascii="Times New Roman" w:hAnsi="Times New Roman"/>
          </w:rPr>
          <w:t>poslednom roku (OPR DETAILS 2)</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_Toc115857872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214</w:t>
        </w:r>
        <w:r w:rsidR="00DE63C7" w:rsidRPr="00E07C9A">
          <w:rPr>
            <w:rFonts w:ascii="Times New Roman" w:hAnsi="Times New Roman"/>
            <w:webHidden/>
          </w:rPr>
          <w:fldChar w:fldCharType="end"/>
        </w:r>
      </w:hyperlink>
    </w:p>
    <w:p w14:paraId="5C7C75F2" w14:textId="248D01E9" w:rsidR="00DE63C7" w:rsidRPr="00E07C9A" w:rsidRDefault="00132AEE">
      <w:pPr>
        <w:pStyle w:val="TOC2"/>
        <w:rPr>
          <w:rFonts w:ascii="Times New Roman" w:eastAsiaTheme="minorEastAsia" w:hAnsi="Times New Roman"/>
          <w:b w:val="0"/>
          <w:smallCaps w:val="0"/>
          <w:sz w:val="22"/>
          <w:lang w:eastAsia="sk-SK"/>
        </w:rPr>
      </w:pPr>
      <w:hyperlink w:anchor="_Toc115857873" w:history="1">
        <w:r w:rsidR="00DE63C7" w:rsidRPr="00E07C9A">
          <w:rPr>
            <w:rStyle w:val="Hyperlink"/>
            <w:rFonts w:ascii="Times New Roman" w:hAnsi="Times New Roman"/>
          </w:rPr>
          <w:t>4.2.3.1.</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Všeobecné poznámky</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_Toc115857873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214</w:t>
        </w:r>
        <w:r w:rsidR="00DE63C7" w:rsidRPr="00E07C9A">
          <w:rPr>
            <w:rFonts w:ascii="Times New Roman" w:hAnsi="Times New Roman"/>
            <w:webHidden/>
          </w:rPr>
          <w:fldChar w:fldCharType="end"/>
        </w:r>
      </w:hyperlink>
    </w:p>
    <w:p w14:paraId="2DC59A09" w14:textId="4D23C9AA" w:rsidR="00DE63C7" w:rsidRPr="00E07C9A" w:rsidRDefault="00132AEE">
      <w:pPr>
        <w:pStyle w:val="TOC2"/>
        <w:rPr>
          <w:rFonts w:ascii="Times New Roman" w:eastAsiaTheme="minorEastAsia" w:hAnsi="Times New Roman"/>
          <w:b w:val="0"/>
          <w:smallCaps w:val="0"/>
          <w:sz w:val="22"/>
          <w:lang w:eastAsia="sk-SK"/>
        </w:rPr>
      </w:pPr>
      <w:hyperlink w:anchor="_Toc115857874" w:history="1">
        <w:r w:rsidR="00DE63C7" w:rsidRPr="00E07C9A">
          <w:rPr>
            <w:rStyle w:val="Hyperlink"/>
            <w:rFonts w:ascii="Times New Roman" w:hAnsi="Times New Roman"/>
          </w:rPr>
          <w:t>4.2.3.2.</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Pokyny týkajúce sa konkrétnych pozícií</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_Toc115857874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215</w:t>
        </w:r>
        <w:r w:rsidR="00DE63C7" w:rsidRPr="00E07C9A">
          <w:rPr>
            <w:rFonts w:ascii="Times New Roman" w:hAnsi="Times New Roman"/>
            <w:webHidden/>
          </w:rPr>
          <w:fldChar w:fldCharType="end"/>
        </w:r>
      </w:hyperlink>
    </w:p>
    <w:p w14:paraId="10B30BF0" w14:textId="78028539" w:rsidR="00DE63C7" w:rsidRPr="00E07C9A" w:rsidRDefault="00132AEE">
      <w:pPr>
        <w:pStyle w:val="TOC2"/>
        <w:rPr>
          <w:rFonts w:ascii="Times New Roman" w:eastAsiaTheme="minorEastAsia" w:hAnsi="Times New Roman"/>
          <w:b w:val="0"/>
          <w:smallCaps w:val="0"/>
          <w:sz w:val="22"/>
          <w:lang w:eastAsia="sk-SK"/>
        </w:rPr>
      </w:pPr>
      <w:hyperlink w:anchor="_Toc115857875" w:history="1">
        <w:r w:rsidR="00DE63C7" w:rsidRPr="00E07C9A">
          <w:rPr>
            <w:rStyle w:val="Hyperlink"/>
            <w:rFonts w:ascii="Times New Roman" w:hAnsi="Times New Roman"/>
          </w:rPr>
          <w:t>5.</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Vzory pre trhové riziko</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_Toc115857875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217</w:t>
        </w:r>
        <w:r w:rsidR="00DE63C7" w:rsidRPr="00E07C9A">
          <w:rPr>
            <w:rFonts w:ascii="Times New Roman" w:hAnsi="Times New Roman"/>
            <w:webHidden/>
          </w:rPr>
          <w:fldChar w:fldCharType="end"/>
        </w:r>
      </w:hyperlink>
    </w:p>
    <w:p w14:paraId="3FDDA04C" w14:textId="77D70609" w:rsidR="00DE63C7" w:rsidRPr="00E07C9A" w:rsidRDefault="00132AEE">
      <w:pPr>
        <w:pStyle w:val="TOC2"/>
        <w:rPr>
          <w:rFonts w:ascii="Times New Roman" w:eastAsiaTheme="minorEastAsia" w:hAnsi="Times New Roman"/>
          <w:b w:val="0"/>
          <w:smallCaps w:val="0"/>
          <w:sz w:val="22"/>
          <w:lang w:eastAsia="sk-SK"/>
        </w:rPr>
      </w:pPr>
      <w:hyperlink w:anchor="_Toc115857876" w:history="1">
        <w:r w:rsidR="00DE63C7" w:rsidRPr="00E07C9A">
          <w:rPr>
            <w:rStyle w:val="Hyperlink"/>
            <w:rFonts w:ascii="Times New Roman" w:hAnsi="Times New Roman"/>
          </w:rPr>
          <w:t>5.1.</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C 18.00 – Trhové riziko: štandardizovaný prístup pre pozičné riziká obchodovaných dlhových nástrojov (MKR SA TDI)</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_Toc115857876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217</w:t>
        </w:r>
        <w:r w:rsidR="00DE63C7" w:rsidRPr="00E07C9A">
          <w:rPr>
            <w:rFonts w:ascii="Times New Roman" w:hAnsi="Times New Roman"/>
            <w:webHidden/>
          </w:rPr>
          <w:fldChar w:fldCharType="end"/>
        </w:r>
      </w:hyperlink>
    </w:p>
    <w:p w14:paraId="345B6099" w14:textId="046E52F1" w:rsidR="00DE63C7" w:rsidRPr="00E07C9A" w:rsidRDefault="00132AEE">
      <w:pPr>
        <w:pStyle w:val="TOC2"/>
        <w:rPr>
          <w:rFonts w:ascii="Times New Roman" w:eastAsiaTheme="minorEastAsia" w:hAnsi="Times New Roman"/>
          <w:b w:val="0"/>
          <w:smallCaps w:val="0"/>
          <w:sz w:val="22"/>
          <w:lang w:eastAsia="sk-SK"/>
        </w:rPr>
      </w:pPr>
      <w:hyperlink w:anchor="_Toc115857877" w:history="1">
        <w:r w:rsidR="00DE63C7" w:rsidRPr="00E07C9A">
          <w:rPr>
            <w:rStyle w:val="Hyperlink"/>
            <w:rFonts w:ascii="Times New Roman" w:hAnsi="Times New Roman"/>
          </w:rPr>
          <w:t>5.1.1.</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Všeobecné poznámky</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_Toc115857877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217</w:t>
        </w:r>
        <w:r w:rsidR="00DE63C7" w:rsidRPr="00E07C9A">
          <w:rPr>
            <w:rFonts w:ascii="Times New Roman" w:hAnsi="Times New Roman"/>
            <w:webHidden/>
          </w:rPr>
          <w:fldChar w:fldCharType="end"/>
        </w:r>
      </w:hyperlink>
    </w:p>
    <w:p w14:paraId="30959105" w14:textId="7BAB9346" w:rsidR="00DE63C7" w:rsidRPr="00E07C9A" w:rsidRDefault="00132AEE">
      <w:pPr>
        <w:pStyle w:val="TOC2"/>
        <w:rPr>
          <w:rFonts w:ascii="Times New Roman" w:eastAsiaTheme="minorEastAsia" w:hAnsi="Times New Roman"/>
          <w:b w:val="0"/>
          <w:smallCaps w:val="0"/>
          <w:sz w:val="22"/>
          <w:lang w:eastAsia="sk-SK"/>
        </w:rPr>
      </w:pPr>
      <w:hyperlink w:anchor="_Toc115857878" w:history="1">
        <w:r w:rsidR="00DE63C7" w:rsidRPr="00E07C9A">
          <w:rPr>
            <w:rStyle w:val="Hyperlink"/>
            <w:rFonts w:ascii="Times New Roman" w:hAnsi="Times New Roman"/>
          </w:rPr>
          <w:t>5.1.2.</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Pokyny týkajúce sa konkrétnych pozícií</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_Toc115857878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217</w:t>
        </w:r>
        <w:r w:rsidR="00DE63C7" w:rsidRPr="00E07C9A">
          <w:rPr>
            <w:rFonts w:ascii="Times New Roman" w:hAnsi="Times New Roman"/>
            <w:webHidden/>
          </w:rPr>
          <w:fldChar w:fldCharType="end"/>
        </w:r>
      </w:hyperlink>
    </w:p>
    <w:p w14:paraId="74E93292" w14:textId="3C3AFB4B" w:rsidR="00DE63C7" w:rsidRPr="00E07C9A" w:rsidRDefault="00132AEE">
      <w:pPr>
        <w:pStyle w:val="TOC2"/>
        <w:rPr>
          <w:rFonts w:ascii="Times New Roman" w:eastAsiaTheme="minorEastAsia" w:hAnsi="Times New Roman"/>
          <w:b w:val="0"/>
          <w:smallCaps w:val="0"/>
          <w:sz w:val="22"/>
          <w:lang w:eastAsia="sk-SK"/>
        </w:rPr>
      </w:pPr>
      <w:hyperlink w:anchor="_Toc115857879" w:history="1">
        <w:r w:rsidR="00DE63C7" w:rsidRPr="00E07C9A">
          <w:rPr>
            <w:rStyle w:val="Hyperlink"/>
            <w:rFonts w:ascii="Times New Roman" w:hAnsi="Times New Roman"/>
          </w:rPr>
          <w:t>5.2.</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C 19.00 – TRHOVÉ RIZIKO: ŠTANDARDIZOVANÝ PRÍSTUP PRE ŠPECIFICKÉ RIZIKO</w:t>
        </w:r>
        <w:r w:rsidR="009912F8" w:rsidRPr="00E07C9A">
          <w:rPr>
            <w:rStyle w:val="Hyperlink"/>
            <w:rFonts w:ascii="Times New Roman" w:hAnsi="Times New Roman"/>
          </w:rPr>
          <w:t xml:space="preserve"> V </w:t>
        </w:r>
        <w:r w:rsidR="00DE63C7" w:rsidRPr="00E07C9A">
          <w:rPr>
            <w:rStyle w:val="Hyperlink"/>
            <w:rFonts w:ascii="Times New Roman" w:hAnsi="Times New Roman"/>
          </w:rPr>
          <w:t>SEKURITIZÁCIÁCH (VZOR MKR SA SEC)</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_Toc115857879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220</w:t>
        </w:r>
        <w:r w:rsidR="00DE63C7" w:rsidRPr="00E07C9A">
          <w:rPr>
            <w:rFonts w:ascii="Times New Roman" w:hAnsi="Times New Roman"/>
            <w:webHidden/>
          </w:rPr>
          <w:fldChar w:fldCharType="end"/>
        </w:r>
      </w:hyperlink>
    </w:p>
    <w:p w14:paraId="31460F5D" w14:textId="22CB3F8D" w:rsidR="00DE63C7" w:rsidRPr="00E07C9A" w:rsidRDefault="00132AEE">
      <w:pPr>
        <w:pStyle w:val="TOC2"/>
        <w:rPr>
          <w:rFonts w:ascii="Times New Roman" w:eastAsiaTheme="minorEastAsia" w:hAnsi="Times New Roman"/>
          <w:b w:val="0"/>
          <w:smallCaps w:val="0"/>
          <w:sz w:val="22"/>
          <w:lang w:eastAsia="sk-SK"/>
        </w:rPr>
      </w:pPr>
      <w:hyperlink w:anchor="_Toc115857880" w:history="1">
        <w:r w:rsidR="00DE63C7" w:rsidRPr="00E07C9A">
          <w:rPr>
            <w:rStyle w:val="Hyperlink"/>
            <w:rFonts w:ascii="Times New Roman" w:hAnsi="Times New Roman"/>
          </w:rPr>
          <w:t>5.2.1.</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Všeobecné poznámky</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_Toc115857880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220</w:t>
        </w:r>
        <w:r w:rsidR="00DE63C7" w:rsidRPr="00E07C9A">
          <w:rPr>
            <w:rFonts w:ascii="Times New Roman" w:hAnsi="Times New Roman"/>
            <w:webHidden/>
          </w:rPr>
          <w:fldChar w:fldCharType="end"/>
        </w:r>
      </w:hyperlink>
    </w:p>
    <w:p w14:paraId="67C8343B" w14:textId="4CE9856B" w:rsidR="00DE63C7" w:rsidRPr="00E07C9A" w:rsidRDefault="00132AEE">
      <w:pPr>
        <w:pStyle w:val="TOC2"/>
        <w:rPr>
          <w:rFonts w:ascii="Times New Roman" w:eastAsiaTheme="minorEastAsia" w:hAnsi="Times New Roman"/>
          <w:b w:val="0"/>
          <w:smallCaps w:val="0"/>
          <w:sz w:val="22"/>
          <w:lang w:eastAsia="sk-SK"/>
        </w:rPr>
      </w:pPr>
      <w:hyperlink w:anchor="_Toc115857881" w:history="1">
        <w:r w:rsidR="00DE63C7" w:rsidRPr="00E07C9A">
          <w:rPr>
            <w:rStyle w:val="Hyperlink"/>
            <w:rFonts w:ascii="Times New Roman" w:hAnsi="Times New Roman"/>
          </w:rPr>
          <w:t>5.2.2.</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Pokyny týkajúce sa konkrétnych pozícií</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_Toc115857881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220</w:t>
        </w:r>
        <w:r w:rsidR="00DE63C7" w:rsidRPr="00E07C9A">
          <w:rPr>
            <w:rFonts w:ascii="Times New Roman" w:hAnsi="Times New Roman"/>
            <w:webHidden/>
          </w:rPr>
          <w:fldChar w:fldCharType="end"/>
        </w:r>
      </w:hyperlink>
    </w:p>
    <w:p w14:paraId="0688A649" w14:textId="43F135A6" w:rsidR="00DE63C7" w:rsidRPr="00E07C9A" w:rsidRDefault="00132AEE">
      <w:pPr>
        <w:pStyle w:val="TOC2"/>
        <w:rPr>
          <w:rFonts w:ascii="Times New Roman" w:eastAsiaTheme="minorEastAsia" w:hAnsi="Times New Roman"/>
          <w:b w:val="0"/>
          <w:smallCaps w:val="0"/>
          <w:sz w:val="22"/>
          <w:lang w:eastAsia="sk-SK"/>
        </w:rPr>
      </w:pPr>
      <w:hyperlink w:anchor="_Toc115857882" w:history="1">
        <w:r w:rsidR="00DE63C7" w:rsidRPr="00E07C9A">
          <w:rPr>
            <w:rStyle w:val="Hyperlink"/>
            <w:rFonts w:ascii="Times New Roman" w:hAnsi="Times New Roman"/>
          </w:rPr>
          <w:t>5.3.</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C 20.00 – TRHOVÉ RIZIKO: ŠTANDARDIZOVANÝ PRÍSTUP PRE ŠPECIFICKÉ RIZIKO PRE POZÍCIE ZARADENÉ DO KORELAČNÉHO OBCHODNÉHO PORTFÓLIA (MKR SA CTP)</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_Toc115857882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222</w:t>
        </w:r>
        <w:r w:rsidR="00DE63C7" w:rsidRPr="00E07C9A">
          <w:rPr>
            <w:rFonts w:ascii="Times New Roman" w:hAnsi="Times New Roman"/>
            <w:webHidden/>
          </w:rPr>
          <w:fldChar w:fldCharType="end"/>
        </w:r>
      </w:hyperlink>
    </w:p>
    <w:p w14:paraId="435FF2BF" w14:textId="0FF76540" w:rsidR="00DE63C7" w:rsidRPr="00E07C9A" w:rsidRDefault="00132AEE">
      <w:pPr>
        <w:pStyle w:val="TOC2"/>
        <w:rPr>
          <w:rFonts w:ascii="Times New Roman" w:eastAsiaTheme="minorEastAsia" w:hAnsi="Times New Roman"/>
          <w:b w:val="0"/>
          <w:smallCaps w:val="0"/>
          <w:sz w:val="22"/>
          <w:lang w:eastAsia="sk-SK"/>
        </w:rPr>
      </w:pPr>
      <w:hyperlink w:anchor="_Toc115857883" w:history="1">
        <w:r w:rsidR="00DE63C7" w:rsidRPr="00E07C9A">
          <w:rPr>
            <w:rStyle w:val="Hyperlink"/>
            <w:rFonts w:ascii="Times New Roman" w:hAnsi="Times New Roman"/>
          </w:rPr>
          <w:t>5.3.1.</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Všeobecné poznámky</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_Toc115857883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222</w:t>
        </w:r>
        <w:r w:rsidR="00DE63C7" w:rsidRPr="00E07C9A">
          <w:rPr>
            <w:rFonts w:ascii="Times New Roman" w:hAnsi="Times New Roman"/>
            <w:webHidden/>
          </w:rPr>
          <w:fldChar w:fldCharType="end"/>
        </w:r>
      </w:hyperlink>
    </w:p>
    <w:p w14:paraId="52F05404" w14:textId="1EDBAB81" w:rsidR="00DE63C7" w:rsidRPr="00E07C9A" w:rsidRDefault="00132AEE">
      <w:pPr>
        <w:pStyle w:val="TOC2"/>
        <w:rPr>
          <w:rFonts w:ascii="Times New Roman" w:eastAsiaTheme="minorEastAsia" w:hAnsi="Times New Roman"/>
          <w:b w:val="0"/>
          <w:smallCaps w:val="0"/>
          <w:sz w:val="22"/>
          <w:lang w:eastAsia="sk-SK"/>
        </w:rPr>
      </w:pPr>
      <w:hyperlink w:anchor="_Toc115857884" w:history="1">
        <w:r w:rsidR="00DE63C7" w:rsidRPr="00E07C9A">
          <w:rPr>
            <w:rStyle w:val="Hyperlink"/>
            <w:rFonts w:ascii="Times New Roman" w:hAnsi="Times New Roman"/>
          </w:rPr>
          <w:t>5.3.2.</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Pokyny týkajúce sa konkrétnych pozícií</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_Toc115857884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223</w:t>
        </w:r>
        <w:r w:rsidR="00DE63C7" w:rsidRPr="00E07C9A">
          <w:rPr>
            <w:rFonts w:ascii="Times New Roman" w:hAnsi="Times New Roman"/>
            <w:webHidden/>
          </w:rPr>
          <w:fldChar w:fldCharType="end"/>
        </w:r>
      </w:hyperlink>
    </w:p>
    <w:p w14:paraId="68D3F3FE" w14:textId="642CE431" w:rsidR="00DE63C7" w:rsidRPr="00E07C9A" w:rsidRDefault="00132AEE">
      <w:pPr>
        <w:pStyle w:val="TOC2"/>
        <w:rPr>
          <w:rFonts w:ascii="Times New Roman" w:eastAsiaTheme="minorEastAsia" w:hAnsi="Times New Roman"/>
          <w:b w:val="0"/>
          <w:smallCaps w:val="0"/>
          <w:sz w:val="22"/>
          <w:lang w:eastAsia="sk-SK"/>
        </w:rPr>
      </w:pPr>
      <w:hyperlink w:anchor="_Toc115857885" w:history="1">
        <w:r w:rsidR="00DE63C7" w:rsidRPr="00E07C9A">
          <w:rPr>
            <w:rStyle w:val="Hyperlink"/>
            <w:rFonts w:ascii="Times New Roman" w:hAnsi="Times New Roman"/>
          </w:rPr>
          <w:t>5.4.</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C 21.00 – Trhové riziko: štandardizovaný prístup pre pozičné riziko</w:t>
        </w:r>
        <w:r w:rsidR="009912F8" w:rsidRPr="00E07C9A">
          <w:rPr>
            <w:rStyle w:val="Hyperlink"/>
            <w:rFonts w:ascii="Times New Roman" w:hAnsi="Times New Roman"/>
          </w:rPr>
          <w:t xml:space="preserve"> v </w:t>
        </w:r>
        <w:r w:rsidR="00DE63C7" w:rsidRPr="00E07C9A">
          <w:rPr>
            <w:rStyle w:val="Hyperlink"/>
            <w:rFonts w:ascii="Times New Roman" w:hAnsi="Times New Roman"/>
          </w:rPr>
          <w:t>kapitálových cenných papieroch (MKR SA EQU)</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_Toc115857885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225</w:t>
        </w:r>
        <w:r w:rsidR="00DE63C7" w:rsidRPr="00E07C9A">
          <w:rPr>
            <w:rFonts w:ascii="Times New Roman" w:hAnsi="Times New Roman"/>
            <w:webHidden/>
          </w:rPr>
          <w:fldChar w:fldCharType="end"/>
        </w:r>
      </w:hyperlink>
    </w:p>
    <w:p w14:paraId="26444F9C" w14:textId="7A602E08" w:rsidR="00DE63C7" w:rsidRPr="00E07C9A" w:rsidRDefault="00132AEE">
      <w:pPr>
        <w:pStyle w:val="TOC2"/>
        <w:rPr>
          <w:rFonts w:ascii="Times New Roman" w:eastAsiaTheme="minorEastAsia" w:hAnsi="Times New Roman"/>
          <w:b w:val="0"/>
          <w:smallCaps w:val="0"/>
          <w:sz w:val="22"/>
          <w:lang w:eastAsia="sk-SK"/>
        </w:rPr>
      </w:pPr>
      <w:hyperlink w:anchor="_Toc115857886" w:history="1">
        <w:r w:rsidR="00DE63C7" w:rsidRPr="00E07C9A">
          <w:rPr>
            <w:rStyle w:val="Hyperlink"/>
            <w:rFonts w:ascii="Times New Roman" w:hAnsi="Times New Roman"/>
          </w:rPr>
          <w:t>5.4.1.</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Všeobecné poznámky</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_Toc115857886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225</w:t>
        </w:r>
        <w:r w:rsidR="00DE63C7" w:rsidRPr="00E07C9A">
          <w:rPr>
            <w:rFonts w:ascii="Times New Roman" w:hAnsi="Times New Roman"/>
            <w:webHidden/>
          </w:rPr>
          <w:fldChar w:fldCharType="end"/>
        </w:r>
      </w:hyperlink>
    </w:p>
    <w:p w14:paraId="25AEE293" w14:textId="495ED7A1" w:rsidR="00DE63C7" w:rsidRPr="00E07C9A" w:rsidRDefault="00132AEE">
      <w:pPr>
        <w:pStyle w:val="TOC2"/>
        <w:rPr>
          <w:rFonts w:ascii="Times New Roman" w:eastAsiaTheme="minorEastAsia" w:hAnsi="Times New Roman"/>
          <w:b w:val="0"/>
          <w:smallCaps w:val="0"/>
          <w:sz w:val="22"/>
          <w:lang w:eastAsia="sk-SK"/>
        </w:rPr>
      </w:pPr>
      <w:hyperlink w:anchor="_Toc115857887" w:history="1">
        <w:r w:rsidR="00DE63C7" w:rsidRPr="00E07C9A">
          <w:rPr>
            <w:rStyle w:val="Hyperlink"/>
            <w:rFonts w:ascii="Times New Roman" w:hAnsi="Times New Roman"/>
          </w:rPr>
          <w:t>5.4.2.</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Pokyny týkajúce sa konkrétnych pozícií</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_Toc115857887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226</w:t>
        </w:r>
        <w:r w:rsidR="00DE63C7" w:rsidRPr="00E07C9A">
          <w:rPr>
            <w:rFonts w:ascii="Times New Roman" w:hAnsi="Times New Roman"/>
            <w:webHidden/>
          </w:rPr>
          <w:fldChar w:fldCharType="end"/>
        </w:r>
      </w:hyperlink>
    </w:p>
    <w:p w14:paraId="4136DF25" w14:textId="3CC39A53" w:rsidR="00DE63C7" w:rsidRPr="00E07C9A" w:rsidRDefault="00132AEE">
      <w:pPr>
        <w:pStyle w:val="TOC2"/>
        <w:rPr>
          <w:rFonts w:ascii="Times New Roman" w:eastAsiaTheme="minorEastAsia" w:hAnsi="Times New Roman"/>
          <w:b w:val="0"/>
          <w:smallCaps w:val="0"/>
          <w:sz w:val="22"/>
          <w:lang w:eastAsia="sk-SK"/>
        </w:rPr>
      </w:pPr>
      <w:hyperlink w:anchor="_Toc115857888" w:history="1">
        <w:r w:rsidR="00DE63C7" w:rsidRPr="00E07C9A">
          <w:rPr>
            <w:rStyle w:val="Hyperlink"/>
            <w:rFonts w:ascii="Times New Roman" w:hAnsi="Times New Roman"/>
          </w:rPr>
          <w:t>5.5.</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C 22.00 – Trhové riziko: štandardizované prístupy pre devízové riziko (MKR SA FX)</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_Toc115857888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228</w:t>
        </w:r>
        <w:r w:rsidR="00DE63C7" w:rsidRPr="00E07C9A">
          <w:rPr>
            <w:rFonts w:ascii="Times New Roman" w:hAnsi="Times New Roman"/>
            <w:webHidden/>
          </w:rPr>
          <w:fldChar w:fldCharType="end"/>
        </w:r>
      </w:hyperlink>
    </w:p>
    <w:p w14:paraId="711B5BB1" w14:textId="5365B6A4" w:rsidR="00DE63C7" w:rsidRPr="00E07C9A" w:rsidRDefault="00132AEE">
      <w:pPr>
        <w:pStyle w:val="TOC2"/>
        <w:rPr>
          <w:rFonts w:ascii="Times New Roman" w:eastAsiaTheme="minorEastAsia" w:hAnsi="Times New Roman"/>
          <w:b w:val="0"/>
          <w:smallCaps w:val="0"/>
          <w:sz w:val="22"/>
          <w:lang w:eastAsia="sk-SK"/>
        </w:rPr>
      </w:pPr>
      <w:hyperlink w:anchor="_Toc115857889" w:history="1">
        <w:r w:rsidR="00DE63C7" w:rsidRPr="00E07C9A">
          <w:rPr>
            <w:rStyle w:val="Hyperlink"/>
            <w:rFonts w:ascii="Times New Roman" w:hAnsi="Times New Roman"/>
          </w:rPr>
          <w:t>5.5.1.</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Všeobecné poznámky</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_Toc115857889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228</w:t>
        </w:r>
        <w:r w:rsidR="00DE63C7" w:rsidRPr="00E07C9A">
          <w:rPr>
            <w:rFonts w:ascii="Times New Roman" w:hAnsi="Times New Roman"/>
            <w:webHidden/>
          </w:rPr>
          <w:fldChar w:fldCharType="end"/>
        </w:r>
      </w:hyperlink>
    </w:p>
    <w:p w14:paraId="4199798E" w14:textId="2C3E2492" w:rsidR="00DE63C7" w:rsidRPr="00E07C9A" w:rsidRDefault="00132AEE">
      <w:pPr>
        <w:pStyle w:val="TOC2"/>
        <w:rPr>
          <w:rFonts w:ascii="Times New Roman" w:eastAsiaTheme="minorEastAsia" w:hAnsi="Times New Roman"/>
          <w:b w:val="0"/>
          <w:smallCaps w:val="0"/>
          <w:sz w:val="22"/>
          <w:lang w:eastAsia="sk-SK"/>
        </w:rPr>
      </w:pPr>
      <w:hyperlink w:anchor="_Toc115857890" w:history="1">
        <w:r w:rsidR="00DE63C7" w:rsidRPr="00E07C9A">
          <w:rPr>
            <w:rStyle w:val="Hyperlink"/>
            <w:rFonts w:ascii="Times New Roman" w:hAnsi="Times New Roman"/>
          </w:rPr>
          <w:t>5.5.2.</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Pokyny týkajúce sa konkrétnych pozícií</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_Toc115857890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228</w:t>
        </w:r>
        <w:r w:rsidR="00DE63C7" w:rsidRPr="00E07C9A">
          <w:rPr>
            <w:rFonts w:ascii="Times New Roman" w:hAnsi="Times New Roman"/>
            <w:webHidden/>
          </w:rPr>
          <w:fldChar w:fldCharType="end"/>
        </w:r>
      </w:hyperlink>
    </w:p>
    <w:p w14:paraId="37D917ED" w14:textId="502AB6D7" w:rsidR="00DE63C7" w:rsidRPr="00E07C9A" w:rsidRDefault="00132AEE">
      <w:pPr>
        <w:pStyle w:val="TOC2"/>
        <w:rPr>
          <w:rFonts w:ascii="Times New Roman" w:eastAsiaTheme="minorEastAsia" w:hAnsi="Times New Roman"/>
          <w:b w:val="0"/>
          <w:smallCaps w:val="0"/>
          <w:sz w:val="22"/>
          <w:lang w:eastAsia="sk-SK"/>
        </w:rPr>
      </w:pPr>
      <w:hyperlink w:anchor="_Toc115857891" w:history="1">
        <w:r w:rsidR="00DE63C7" w:rsidRPr="00E07C9A">
          <w:rPr>
            <w:rStyle w:val="Hyperlink"/>
            <w:rFonts w:ascii="Times New Roman" w:hAnsi="Times New Roman"/>
          </w:rPr>
          <w:t>5.6.</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C 23.00 – Trhové riziko: štandardizované prístupy pre komodity (MKR SA COM)</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_Toc115857891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231</w:t>
        </w:r>
        <w:r w:rsidR="00DE63C7" w:rsidRPr="00E07C9A">
          <w:rPr>
            <w:rFonts w:ascii="Times New Roman" w:hAnsi="Times New Roman"/>
            <w:webHidden/>
          </w:rPr>
          <w:fldChar w:fldCharType="end"/>
        </w:r>
      </w:hyperlink>
    </w:p>
    <w:p w14:paraId="1E77A2AF" w14:textId="75826663" w:rsidR="00DE63C7" w:rsidRPr="00E07C9A" w:rsidRDefault="00132AEE">
      <w:pPr>
        <w:pStyle w:val="TOC2"/>
        <w:rPr>
          <w:rFonts w:ascii="Times New Roman" w:eastAsiaTheme="minorEastAsia" w:hAnsi="Times New Roman"/>
          <w:b w:val="0"/>
          <w:smallCaps w:val="0"/>
          <w:sz w:val="22"/>
          <w:lang w:eastAsia="sk-SK"/>
        </w:rPr>
      </w:pPr>
      <w:hyperlink w:anchor="_Toc115857892" w:history="1">
        <w:r w:rsidR="00DE63C7" w:rsidRPr="00E07C9A">
          <w:rPr>
            <w:rStyle w:val="Hyperlink"/>
            <w:rFonts w:ascii="Times New Roman" w:hAnsi="Times New Roman"/>
          </w:rPr>
          <w:t>5.6.1.</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Všeobecné poznámky</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_Toc115857892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231</w:t>
        </w:r>
        <w:r w:rsidR="00DE63C7" w:rsidRPr="00E07C9A">
          <w:rPr>
            <w:rFonts w:ascii="Times New Roman" w:hAnsi="Times New Roman"/>
            <w:webHidden/>
          </w:rPr>
          <w:fldChar w:fldCharType="end"/>
        </w:r>
      </w:hyperlink>
    </w:p>
    <w:p w14:paraId="6EA8E744" w14:textId="02094CD4" w:rsidR="00DE63C7" w:rsidRPr="00E07C9A" w:rsidRDefault="00132AEE">
      <w:pPr>
        <w:pStyle w:val="TOC2"/>
        <w:rPr>
          <w:rFonts w:ascii="Times New Roman" w:eastAsiaTheme="minorEastAsia" w:hAnsi="Times New Roman"/>
          <w:b w:val="0"/>
          <w:smallCaps w:val="0"/>
          <w:sz w:val="22"/>
          <w:lang w:eastAsia="sk-SK"/>
        </w:rPr>
      </w:pPr>
      <w:hyperlink w:anchor="_Toc115857893" w:history="1">
        <w:r w:rsidR="00DE63C7" w:rsidRPr="00E07C9A">
          <w:rPr>
            <w:rStyle w:val="Hyperlink"/>
            <w:rFonts w:ascii="Times New Roman" w:hAnsi="Times New Roman"/>
          </w:rPr>
          <w:t>5.6.2.</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Pokyny týkajúce sa konkrétnych pozícií</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_Toc115857893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231</w:t>
        </w:r>
        <w:r w:rsidR="00DE63C7" w:rsidRPr="00E07C9A">
          <w:rPr>
            <w:rFonts w:ascii="Times New Roman" w:hAnsi="Times New Roman"/>
            <w:webHidden/>
          </w:rPr>
          <w:fldChar w:fldCharType="end"/>
        </w:r>
      </w:hyperlink>
    </w:p>
    <w:p w14:paraId="60BD17C8" w14:textId="23360456" w:rsidR="00DE63C7" w:rsidRPr="00E07C9A" w:rsidRDefault="00132AEE">
      <w:pPr>
        <w:pStyle w:val="TOC2"/>
        <w:rPr>
          <w:rFonts w:ascii="Times New Roman" w:eastAsiaTheme="minorEastAsia" w:hAnsi="Times New Roman"/>
          <w:b w:val="0"/>
          <w:smallCaps w:val="0"/>
          <w:sz w:val="22"/>
          <w:lang w:eastAsia="sk-SK"/>
        </w:rPr>
      </w:pPr>
      <w:hyperlink w:anchor="_Toc115857894" w:history="1">
        <w:r w:rsidR="00DE63C7" w:rsidRPr="00E07C9A">
          <w:rPr>
            <w:rStyle w:val="Hyperlink"/>
            <w:rFonts w:ascii="Times New Roman" w:hAnsi="Times New Roman"/>
          </w:rPr>
          <w:t>5.7.</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C 24.00 – Interný model trhového rizika (MKR IM)</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_Toc115857894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232</w:t>
        </w:r>
        <w:r w:rsidR="00DE63C7" w:rsidRPr="00E07C9A">
          <w:rPr>
            <w:rFonts w:ascii="Times New Roman" w:hAnsi="Times New Roman"/>
            <w:webHidden/>
          </w:rPr>
          <w:fldChar w:fldCharType="end"/>
        </w:r>
      </w:hyperlink>
    </w:p>
    <w:p w14:paraId="51464C11" w14:textId="1A1B8731" w:rsidR="00DE63C7" w:rsidRPr="00E07C9A" w:rsidRDefault="00132AEE">
      <w:pPr>
        <w:pStyle w:val="TOC2"/>
        <w:rPr>
          <w:rFonts w:ascii="Times New Roman" w:eastAsiaTheme="minorEastAsia" w:hAnsi="Times New Roman"/>
          <w:b w:val="0"/>
          <w:smallCaps w:val="0"/>
          <w:sz w:val="22"/>
          <w:lang w:eastAsia="sk-SK"/>
        </w:rPr>
      </w:pPr>
      <w:hyperlink w:anchor="_Toc115857895" w:history="1">
        <w:r w:rsidR="00DE63C7" w:rsidRPr="00E07C9A">
          <w:rPr>
            <w:rStyle w:val="Hyperlink"/>
            <w:rFonts w:ascii="Times New Roman" w:hAnsi="Times New Roman"/>
          </w:rPr>
          <w:t>5.7.1.</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Všeobecné poznámky</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_Toc115857895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232</w:t>
        </w:r>
        <w:r w:rsidR="00DE63C7" w:rsidRPr="00E07C9A">
          <w:rPr>
            <w:rFonts w:ascii="Times New Roman" w:hAnsi="Times New Roman"/>
            <w:webHidden/>
          </w:rPr>
          <w:fldChar w:fldCharType="end"/>
        </w:r>
      </w:hyperlink>
    </w:p>
    <w:p w14:paraId="10E0FE0C" w14:textId="0E7FEFCC" w:rsidR="00DE63C7" w:rsidRPr="00E07C9A" w:rsidRDefault="00132AEE">
      <w:pPr>
        <w:pStyle w:val="TOC2"/>
        <w:rPr>
          <w:rFonts w:ascii="Times New Roman" w:eastAsiaTheme="minorEastAsia" w:hAnsi="Times New Roman"/>
          <w:b w:val="0"/>
          <w:smallCaps w:val="0"/>
          <w:sz w:val="22"/>
          <w:lang w:eastAsia="sk-SK"/>
        </w:rPr>
      </w:pPr>
      <w:hyperlink w:anchor="_Toc115857896" w:history="1">
        <w:r w:rsidR="00DE63C7" w:rsidRPr="00E07C9A">
          <w:rPr>
            <w:rStyle w:val="Hyperlink"/>
            <w:rFonts w:ascii="Times New Roman" w:hAnsi="Times New Roman"/>
          </w:rPr>
          <w:t>5.7.2.</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Pokyny týkajúce sa konkrétnych pozícií</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_Toc115857896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233</w:t>
        </w:r>
        <w:r w:rsidR="00DE63C7" w:rsidRPr="00E07C9A">
          <w:rPr>
            <w:rFonts w:ascii="Times New Roman" w:hAnsi="Times New Roman"/>
            <w:webHidden/>
          </w:rPr>
          <w:fldChar w:fldCharType="end"/>
        </w:r>
      </w:hyperlink>
    </w:p>
    <w:p w14:paraId="227ECBFB" w14:textId="4BCFDE76" w:rsidR="00DE63C7" w:rsidRPr="00E07C9A" w:rsidRDefault="00132AEE">
      <w:pPr>
        <w:pStyle w:val="TOC2"/>
        <w:rPr>
          <w:rFonts w:ascii="Times New Roman" w:eastAsiaTheme="minorEastAsia" w:hAnsi="Times New Roman"/>
          <w:b w:val="0"/>
          <w:smallCaps w:val="0"/>
          <w:sz w:val="22"/>
          <w:lang w:eastAsia="sk-SK"/>
        </w:rPr>
      </w:pPr>
      <w:hyperlink w:anchor="_Toc115857897" w:history="1">
        <w:r w:rsidR="00DE63C7" w:rsidRPr="00E07C9A">
          <w:rPr>
            <w:rStyle w:val="Hyperlink"/>
            <w:rFonts w:ascii="Times New Roman" w:hAnsi="Times New Roman"/>
          </w:rPr>
          <w:t>5.8.</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C 25.00 – RIZIKO ÚPRAVY OCENENIA POHĽADÁVOK (CVA)</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_Toc115857897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236</w:t>
        </w:r>
        <w:r w:rsidR="00DE63C7" w:rsidRPr="00E07C9A">
          <w:rPr>
            <w:rFonts w:ascii="Times New Roman" w:hAnsi="Times New Roman"/>
            <w:webHidden/>
          </w:rPr>
          <w:fldChar w:fldCharType="end"/>
        </w:r>
      </w:hyperlink>
    </w:p>
    <w:p w14:paraId="756429CE" w14:textId="5D251A00" w:rsidR="00DE63C7" w:rsidRPr="00E07C9A" w:rsidRDefault="00132AEE">
      <w:pPr>
        <w:pStyle w:val="TOC2"/>
        <w:rPr>
          <w:rFonts w:ascii="Times New Roman" w:eastAsiaTheme="minorEastAsia" w:hAnsi="Times New Roman"/>
          <w:b w:val="0"/>
          <w:smallCaps w:val="0"/>
          <w:sz w:val="22"/>
          <w:lang w:eastAsia="sk-SK"/>
        </w:rPr>
      </w:pPr>
      <w:hyperlink w:anchor="_Toc115857898" w:history="1">
        <w:r w:rsidR="00DE63C7" w:rsidRPr="00E07C9A">
          <w:rPr>
            <w:rStyle w:val="Hyperlink"/>
            <w:rFonts w:ascii="Times New Roman" w:hAnsi="Times New Roman"/>
          </w:rPr>
          <w:t>5.8.1.</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Pokyny týkajúce sa konkrétnych pozícií</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_Toc115857898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236</w:t>
        </w:r>
        <w:r w:rsidR="00DE63C7" w:rsidRPr="00E07C9A">
          <w:rPr>
            <w:rFonts w:ascii="Times New Roman" w:hAnsi="Times New Roman"/>
            <w:webHidden/>
          </w:rPr>
          <w:fldChar w:fldCharType="end"/>
        </w:r>
      </w:hyperlink>
    </w:p>
    <w:p w14:paraId="1EA4CAEF" w14:textId="77F9ACDE" w:rsidR="00DE63C7" w:rsidRPr="00E07C9A" w:rsidRDefault="00132AEE">
      <w:pPr>
        <w:pStyle w:val="TOC2"/>
        <w:rPr>
          <w:rFonts w:ascii="Times New Roman" w:eastAsiaTheme="minorEastAsia" w:hAnsi="Times New Roman"/>
          <w:b w:val="0"/>
          <w:smallCaps w:val="0"/>
          <w:sz w:val="22"/>
          <w:lang w:eastAsia="sk-SK"/>
        </w:rPr>
      </w:pPr>
      <w:hyperlink w:anchor="_Toc115857899" w:history="1">
        <w:r w:rsidR="00DE63C7" w:rsidRPr="00E07C9A">
          <w:rPr>
            <w:rStyle w:val="Hyperlink"/>
            <w:rFonts w:ascii="Times New Roman" w:hAnsi="Times New Roman"/>
          </w:rPr>
          <w:t>6.</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Obozretné oceňovanie (PruVal)</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_Toc115857899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238</w:t>
        </w:r>
        <w:r w:rsidR="00DE63C7" w:rsidRPr="00E07C9A">
          <w:rPr>
            <w:rFonts w:ascii="Times New Roman" w:hAnsi="Times New Roman"/>
            <w:webHidden/>
          </w:rPr>
          <w:fldChar w:fldCharType="end"/>
        </w:r>
      </w:hyperlink>
    </w:p>
    <w:p w14:paraId="3309F97C" w14:textId="5C85C6F0" w:rsidR="00DE63C7" w:rsidRPr="00E07C9A" w:rsidRDefault="00132AEE">
      <w:pPr>
        <w:pStyle w:val="TOC2"/>
        <w:rPr>
          <w:rFonts w:ascii="Times New Roman" w:eastAsiaTheme="minorEastAsia" w:hAnsi="Times New Roman"/>
          <w:b w:val="0"/>
          <w:smallCaps w:val="0"/>
          <w:sz w:val="22"/>
          <w:lang w:eastAsia="sk-SK"/>
        </w:rPr>
      </w:pPr>
      <w:hyperlink w:anchor="_Toc115857900" w:history="1">
        <w:r w:rsidR="00DE63C7" w:rsidRPr="00E07C9A">
          <w:rPr>
            <w:rStyle w:val="Hyperlink"/>
            <w:rFonts w:ascii="Times New Roman" w:hAnsi="Times New Roman"/>
          </w:rPr>
          <w:t>6.1.</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C 32.01 – Obozretné oceňovanie: reálnou hodnotou ocenené aktíva</w:t>
        </w:r>
        <w:r w:rsidR="009912F8" w:rsidRPr="00E07C9A">
          <w:rPr>
            <w:rStyle w:val="Hyperlink"/>
            <w:rFonts w:ascii="Times New Roman" w:hAnsi="Times New Roman"/>
          </w:rPr>
          <w:t xml:space="preserve"> a </w:t>
        </w:r>
        <w:r w:rsidR="00DE63C7" w:rsidRPr="00E07C9A">
          <w:rPr>
            <w:rStyle w:val="Hyperlink"/>
            <w:rFonts w:ascii="Times New Roman" w:hAnsi="Times New Roman"/>
          </w:rPr>
          <w:t>záväzky (PruVal 1)</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_Toc115857900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238</w:t>
        </w:r>
        <w:r w:rsidR="00DE63C7" w:rsidRPr="00E07C9A">
          <w:rPr>
            <w:rFonts w:ascii="Times New Roman" w:hAnsi="Times New Roman"/>
            <w:webHidden/>
          </w:rPr>
          <w:fldChar w:fldCharType="end"/>
        </w:r>
      </w:hyperlink>
    </w:p>
    <w:p w14:paraId="20B4C88A" w14:textId="0A78C93B" w:rsidR="00DE63C7" w:rsidRPr="00E07C9A" w:rsidRDefault="00132AEE">
      <w:pPr>
        <w:pStyle w:val="TOC2"/>
        <w:rPr>
          <w:rFonts w:ascii="Times New Roman" w:eastAsiaTheme="minorEastAsia" w:hAnsi="Times New Roman"/>
          <w:b w:val="0"/>
          <w:smallCaps w:val="0"/>
          <w:sz w:val="22"/>
          <w:lang w:eastAsia="sk-SK"/>
        </w:rPr>
      </w:pPr>
      <w:hyperlink w:anchor="_Toc115857901" w:history="1">
        <w:r w:rsidR="00DE63C7" w:rsidRPr="00E07C9A">
          <w:rPr>
            <w:rStyle w:val="Hyperlink"/>
            <w:rFonts w:ascii="Times New Roman" w:hAnsi="Times New Roman"/>
          </w:rPr>
          <w:t>6.1.1.</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Všeobecné poznámky</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_Toc115857901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238</w:t>
        </w:r>
        <w:r w:rsidR="00DE63C7" w:rsidRPr="00E07C9A">
          <w:rPr>
            <w:rFonts w:ascii="Times New Roman" w:hAnsi="Times New Roman"/>
            <w:webHidden/>
          </w:rPr>
          <w:fldChar w:fldCharType="end"/>
        </w:r>
      </w:hyperlink>
    </w:p>
    <w:p w14:paraId="527E1C57" w14:textId="13C282FE" w:rsidR="00DE63C7" w:rsidRPr="00E07C9A" w:rsidRDefault="00132AEE">
      <w:pPr>
        <w:pStyle w:val="TOC2"/>
        <w:rPr>
          <w:rFonts w:ascii="Times New Roman" w:eastAsiaTheme="minorEastAsia" w:hAnsi="Times New Roman"/>
          <w:b w:val="0"/>
          <w:smallCaps w:val="0"/>
          <w:sz w:val="22"/>
          <w:lang w:eastAsia="sk-SK"/>
        </w:rPr>
      </w:pPr>
      <w:hyperlink w:anchor="_Toc115857902" w:history="1">
        <w:r w:rsidR="00DE63C7" w:rsidRPr="00E07C9A">
          <w:rPr>
            <w:rStyle w:val="Hyperlink"/>
            <w:rFonts w:ascii="Times New Roman" w:hAnsi="Times New Roman"/>
          </w:rPr>
          <w:t>6.1.2.</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Pokyny týkajúce sa konkrétnych pozícií</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_Toc115857902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239</w:t>
        </w:r>
        <w:r w:rsidR="00DE63C7" w:rsidRPr="00E07C9A">
          <w:rPr>
            <w:rFonts w:ascii="Times New Roman" w:hAnsi="Times New Roman"/>
            <w:webHidden/>
          </w:rPr>
          <w:fldChar w:fldCharType="end"/>
        </w:r>
      </w:hyperlink>
    </w:p>
    <w:p w14:paraId="4B121703" w14:textId="6EC8A3BE" w:rsidR="00DE63C7" w:rsidRPr="00E07C9A" w:rsidRDefault="00132AEE">
      <w:pPr>
        <w:pStyle w:val="TOC2"/>
        <w:rPr>
          <w:rFonts w:ascii="Times New Roman" w:eastAsiaTheme="minorEastAsia" w:hAnsi="Times New Roman"/>
          <w:b w:val="0"/>
          <w:smallCaps w:val="0"/>
          <w:sz w:val="22"/>
          <w:lang w:eastAsia="sk-SK"/>
        </w:rPr>
      </w:pPr>
      <w:hyperlink w:anchor="_Toc115857903" w:history="1">
        <w:r w:rsidR="00DE63C7" w:rsidRPr="00E07C9A">
          <w:rPr>
            <w:rStyle w:val="Hyperlink"/>
            <w:rFonts w:ascii="Times New Roman" w:hAnsi="Times New Roman"/>
          </w:rPr>
          <w:t>6.2.</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C 32.02 – Obozretné oceňovanie: základný postup (PruVal 2)</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_Toc115857903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244</w:t>
        </w:r>
        <w:r w:rsidR="00DE63C7" w:rsidRPr="00E07C9A">
          <w:rPr>
            <w:rFonts w:ascii="Times New Roman" w:hAnsi="Times New Roman"/>
            <w:webHidden/>
          </w:rPr>
          <w:fldChar w:fldCharType="end"/>
        </w:r>
      </w:hyperlink>
    </w:p>
    <w:p w14:paraId="1009AD07" w14:textId="3BF0E219" w:rsidR="00DE63C7" w:rsidRPr="00E07C9A" w:rsidRDefault="00132AEE">
      <w:pPr>
        <w:pStyle w:val="TOC2"/>
        <w:rPr>
          <w:rFonts w:ascii="Times New Roman" w:eastAsiaTheme="minorEastAsia" w:hAnsi="Times New Roman"/>
          <w:b w:val="0"/>
          <w:smallCaps w:val="0"/>
          <w:sz w:val="22"/>
          <w:lang w:eastAsia="sk-SK"/>
        </w:rPr>
      </w:pPr>
      <w:hyperlink w:anchor="_Toc115857904" w:history="1">
        <w:r w:rsidR="00DE63C7" w:rsidRPr="00E07C9A">
          <w:rPr>
            <w:rStyle w:val="Hyperlink"/>
            <w:rFonts w:ascii="Times New Roman" w:hAnsi="Times New Roman"/>
          </w:rPr>
          <w:t>6.2.1.</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Všeobecné poznámky</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_Toc115857904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244</w:t>
        </w:r>
        <w:r w:rsidR="00DE63C7" w:rsidRPr="00E07C9A">
          <w:rPr>
            <w:rFonts w:ascii="Times New Roman" w:hAnsi="Times New Roman"/>
            <w:webHidden/>
          </w:rPr>
          <w:fldChar w:fldCharType="end"/>
        </w:r>
      </w:hyperlink>
    </w:p>
    <w:p w14:paraId="5E3F9E56" w14:textId="4AD9C433" w:rsidR="00DE63C7" w:rsidRPr="00E07C9A" w:rsidRDefault="00132AEE">
      <w:pPr>
        <w:pStyle w:val="TOC2"/>
        <w:rPr>
          <w:rFonts w:ascii="Times New Roman" w:eastAsiaTheme="minorEastAsia" w:hAnsi="Times New Roman"/>
          <w:b w:val="0"/>
          <w:smallCaps w:val="0"/>
          <w:sz w:val="22"/>
          <w:lang w:eastAsia="sk-SK"/>
        </w:rPr>
      </w:pPr>
      <w:hyperlink w:anchor="_Toc115857905" w:history="1">
        <w:r w:rsidR="00DE63C7" w:rsidRPr="00E07C9A">
          <w:rPr>
            <w:rStyle w:val="Hyperlink"/>
            <w:rFonts w:ascii="Times New Roman" w:hAnsi="Times New Roman"/>
          </w:rPr>
          <w:t>6.2.2.</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Pokyny týkajúce sa konkrétnych pozícií</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_Toc115857905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245</w:t>
        </w:r>
        <w:r w:rsidR="00DE63C7" w:rsidRPr="00E07C9A">
          <w:rPr>
            <w:rFonts w:ascii="Times New Roman" w:hAnsi="Times New Roman"/>
            <w:webHidden/>
          </w:rPr>
          <w:fldChar w:fldCharType="end"/>
        </w:r>
      </w:hyperlink>
    </w:p>
    <w:p w14:paraId="49AA3D4E" w14:textId="58A429C8" w:rsidR="00DE63C7" w:rsidRPr="00E07C9A" w:rsidRDefault="00132AEE">
      <w:pPr>
        <w:pStyle w:val="TOC2"/>
        <w:rPr>
          <w:rFonts w:ascii="Times New Roman" w:eastAsiaTheme="minorEastAsia" w:hAnsi="Times New Roman"/>
          <w:b w:val="0"/>
          <w:smallCaps w:val="0"/>
          <w:sz w:val="22"/>
          <w:lang w:eastAsia="sk-SK"/>
        </w:rPr>
      </w:pPr>
      <w:hyperlink w:anchor="_Toc115857906" w:history="1">
        <w:r w:rsidR="00DE63C7" w:rsidRPr="00E07C9A">
          <w:rPr>
            <w:rStyle w:val="Hyperlink"/>
            <w:rFonts w:ascii="Times New Roman" w:hAnsi="Times New Roman"/>
          </w:rPr>
          <w:t>6.3. C 32.03 – Obozretné oceňovanie: dodatočná úprava ocenenia zohľadňujúca riziko modelov (PruVal 3)</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_Toc115857906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256</w:t>
        </w:r>
        <w:r w:rsidR="00DE63C7" w:rsidRPr="00E07C9A">
          <w:rPr>
            <w:rFonts w:ascii="Times New Roman" w:hAnsi="Times New Roman"/>
            <w:webHidden/>
          </w:rPr>
          <w:fldChar w:fldCharType="end"/>
        </w:r>
      </w:hyperlink>
    </w:p>
    <w:p w14:paraId="22FEC10A" w14:textId="3B71AD16" w:rsidR="00DE63C7" w:rsidRPr="00E07C9A" w:rsidRDefault="00132AEE">
      <w:pPr>
        <w:pStyle w:val="TOC2"/>
        <w:rPr>
          <w:rFonts w:ascii="Times New Roman" w:eastAsiaTheme="minorEastAsia" w:hAnsi="Times New Roman"/>
          <w:b w:val="0"/>
          <w:smallCaps w:val="0"/>
          <w:sz w:val="22"/>
          <w:lang w:eastAsia="sk-SK"/>
        </w:rPr>
      </w:pPr>
      <w:hyperlink w:anchor="_Toc115857907" w:history="1">
        <w:r w:rsidR="00DE63C7" w:rsidRPr="00E07C9A">
          <w:rPr>
            <w:rStyle w:val="Hyperlink"/>
            <w:rFonts w:ascii="Times New Roman" w:hAnsi="Times New Roman"/>
          </w:rPr>
          <w:t>6.3.1.</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Všeobecné poznámky</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_Toc115857907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256</w:t>
        </w:r>
        <w:r w:rsidR="00DE63C7" w:rsidRPr="00E07C9A">
          <w:rPr>
            <w:rFonts w:ascii="Times New Roman" w:hAnsi="Times New Roman"/>
            <w:webHidden/>
          </w:rPr>
          <w:fldChar w:fldCharType="end"/>
        </w:r>
      </w:hyperlink>
    </w:p>
    <w:p w14:paraId="22405F19" w14:textId="77E7028F" w:rsidR="00DE63C7" w:rsidRPr="00E07C9A" w:rsidRDefault="00132AEE">
      <w:pPr>
        <w:pStyle w:val="TOC2"/>
        <w:rPr>
          <w:rFonts w:ascii="Times New Roman" w:eastAsiaTheme="minorEastAsia" w:hAnsi="Times New Roman"/>
          <w:b w:val="0"/>
          <w:smallCaps w:val="0"/>
          <w:sz w:val="22"/>
          <w:lang w:eastAsia="sk-SK"/>
        </w:rPr>
      </w:pPr>
      <w:hyperlink w:anchor="_Toc115857908" w:history="1">
        <w:r w:rsidR="00DE63C7" w:rsidRPr="00E07C9A">
          <w:rPr>
            <w:rStyle w:val="Hyperlink"/>
            <w:rFonts w:ascii="Times New Roman" w:hAnsi="Times New Roman"/>
          </w:rPr>
          <w:t>6.3.2.</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Pokyny týkajúce sa konkrétnych pozícií</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_Toc115857908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256</w:t>
        </w:r>
        <w:r w:rsidR="00DE63C7" w:rsidRPr="00E07C9A">
          <w:rPr>
            <w:rFonts w:ascii="Times New Roman" w:hAnsi="Times New Roman"/>
            <w:webHidden/>
          </w:rPr>
          <w:fldChar w:fldCharType="end"/>
        </w:r>
      </w:hyperlink>
    </w:p>
    <w:p w14:paraId="1A8CF9FB" w14:textId="578FEDD1" w:rsidR="00DE63C7" w:rsidRPr="00E07C9A" w:rsidRDefault="00132AEE">
      <w:pPr>
        <w:pStyle w:val="TOC2"/>
        <w:rPr>
          <w:rFonts w:ascii="Times New Roman" w:eastAsiaTheme="minorEastAsia" w:hAnsi="Times New Roman"/>
          <w:b w:val="0"/>
          <w:smallCaps w:val="0"/>
          <w:sz w:val="22"/>
          <w:lang w:eastAsia="sk-SK"/>
        </w:rPr>
      </w:pPr>
      <w:hyperlink w:anchor="_Toc115857909" w:history="1">
        <w:r w:rsidR="00DE63C7" w:rsidRPr="00E07C9A">
          <w:rPr>
            <w:rStyle w:val="Hyperlink"/>
            <w:rFonts w:ascii="Times New Roman" w:hAnsi="Times New Roman"/>
          </w:rPr>
          <w:t>6.4. C 32.04 – Obozretné oceňovanie: dodatočná úprava ocenenia zohľadňujúca koncentrované pozície (PruVal 4)</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_Toc115857909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259</w:t>
        </w:r>
        <w:r w:rsidR="00DE63C7" w:rsidRPr="00E07C9A">
          <w:rPr>
            <w:rFonts w:ascii="Times New Roman" w:hAnsi="Times New Roman"/>
            <w:webHidden/>
          </w:rPr>
          <w:fldChar w:fldCharType="end"/>
        </w:r>
      </w:hyperlink>
    </w:p>
    <w:p w14:paraId="2D5ED8FE" w14:textId="075105AC" w:rsidR="00DE63C7" w:rsidRPr="00E07C9A" w:rsidRDefault="00132AEE">
      <w:pPr>
        <w:pStyle w:val="TOC2"/>
        <w:rPr>
          <w:rFonts w:ascii="Times New Roman" w:eastAsiaTheme="minorEastAsia" w:hAnsi="Times New Roman"/>
          <w:b w:val="0"/>
          <w:smallCaps w:val="0"/>
          <w:sz w:val="22"/>
          <w:lang w:eastAsia="sk-SK"/>
        </w:rPr>
      </w:pPr>
      <w:hyperlink w:anchor="_Toc115857910" w:history="1">
        <w:r w:rsidR="00DE63C7" w:rsidRPr="00E07C9A">
          <w:rPr>
            <w:rStyle w:val="Hyperlink"/>
            <w:rFonts w:ascii="Times New Roman" w:hAnsi="Times New Roman"/>
          </w:rPr>
          <w:t>6.4.1.</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Všeobecné poznámky</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_Toc115857910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259</w:t>
        </w:r>
        <w:r w:rsidR="00DE63C7" w:rsidRPr="00E07C9A">
          <w:rPr>
            <w:rFonts w:ascii="Times New Roman" w:hAnsi="Times New Roman"/>
            <w:webHidden/>
          </w:rPr>
          <w:fldChar w:fldCharType="end"/>
        </w:r>
      </w:hyperlink>
    </w:p>
    <w:p w14:paraId="2AB754B4" w14:textId="5F74736C" w:rsidR="00DE63C7" w:rsidRPr="00E07C9A" w:rsidRDefault="00132AEE">
      <w:pPr>
        <w:pStyle w:val="TOC2"/>
        <w:rPr>
          <w:rFonts w:ascii="Times New Roman" w:eastAsiaTheme="minorEastAsia" w:hAnsi="Times New Roman"/>
          <w:b w:val="0"/>
          <w:smallCaps w:val="0"/>
          <w:sz w:val="22"/>
          <w:lang w:eastAsia="sk-SK"/>
        </w:rPr>
      </w:pPr>
      <w:hyperlink w:anchor="_Toc115857911" w:history="1">
        <w:r w:rsidR="00DE63C7" w:rsidRPr="00E07C9A">
          <w:rPr>
            <w:rStyle w:val="Hyperlink"/>
            <w:rFonts w:ascii="Times New Roman" w:hAnsi="Times New Roman"/>
          </w:rPr>
          <w:t>6.4.2.</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Pokyny týkajúce sa konkrétnych pozícií</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_Toc115857911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260</w:t>
        </w:r>
        <w:r w:rsidR="00DE63C7" w:rsidRPr="00E07C9A">
          <w:rPr>
            <w:rFonts w:ascii="Times New Roman" w:hAnsi="Times New Roman"/>
            <w:webHidden/>
          </w:rPr>
          <w:fldChar w:fldCharType="end"/>
        </w:r>
      </w:hyperlink>
    </w:p>
    <w:p w14:paraId="56393B5B" w14:textId="5CA4F2AF" w:rsidR="00DE63C7" w:rsidRPr="00E07C9A" w:rsidRDefault="00132AEE">
      <w:pPr>
        <w:pStyle w:val="TOC2"/>
        <w:rPr>
          <w:rFonts w:ascii="Times New Roman" w:eastAsiaTheme="minorEastAsia" w:hAnsi="Times New Roman"/>
          <w:b w:val="0"/>
          <w:smallCaps w:val="0"/>
          <w:sz w:val="22"/>
          <w:lang w:eastAsia="sk-SK"/>
        </w:rPr>
      </w:pPr>
      <w:hyperlink w:anchor="_Toc115857912" w:history="1">
        <w:r w:rsidR="00DE63C7" w:rsidRPr="00E07C9A">
          <w:rPr>
            <w:rStyle w:val="Hyperlink"/>
            <w:rFonts w:ascii="Times New Roman" w:hAnsi="Times New Roman"/>
          </w:rPr>
          <w:t>7.</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C 33.00 – Expozície voči orgánom verejnej správy (GOV)</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_Toc115857912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262</w:t>
        </w:r>
        <w:r w:rsidR="00DE63C7" w:rsidRPr="00E07C9A">
          <w:rPr>
            <w:rFonts w:ascii="Times New Roman" w:hAnsi="Times New Roman"/>
            <w:webHidden/>
          </w:rPr>
          <w:fldChar w:fldCharType="end"/>
        </w:r>
      </w:hyperlink>
    </w:p>
    <w:p w14:paraId="6CA6F436" w14:textId="681B55A4" w:rsidR="00DE63C7" w:rsidRPr="00E07C9A" w:rsidRDefault="00132AEE">
      <w:pPr>
        <w:pStyle w:val="TOC2"/>
        <w:rPr>
          <w:rFonts w:ascii="Times New Roman" w:eastAsiaTheme="minorEastAsia" w:hAnsi="Times New Roman"/>
          <w:b w:val="0"/>
          <w:smallCaps w:val="0"/>
          <w:sz w:val="22"/>
          <w:lang w:eastAsia="sk-SK"/>
        </w:rPr>
      </w:pPr>
      <w:hyperlink w:anchor="_Toc115857913" w:history="1">
        <w:r w:rsidR="00DE63C7" w:rsidRPr="00E07C9A">
          <w:rPr>
            <w:rStyle w:val="Hyperlink"/>
            <w:rFonts w:ascii="Times New Roman" w:hAnsi="Times New Roman"/>
          </w:rPr>
          <w:t>7.1.</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Všeobecné poznámky</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_Toc115857913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262</w:t>
        </w:r>
        <w:r w:rsidR="00DE63C7" w:rsidRPr="00E07C9A">
          <w:rPr>
            <w:rFonts w:ascii="Times New Roman" w:hAnsi="Times New Roman"/>
            <w:webHidden/>
          </w:rPr>
          <w:fldChar w:fldCharType="end"/>
        </w:r>
      </w:hyperlink>
    </w:p>
    <w:p w14:paraId="5BF3B9DF" w14:textId="368056F3" w:rsidR="00DE63C7" w:rsidRPr="00E07C9A" w:rsidRDefault="00132AEE">
      <w:pPr>
        <w:pStyle w:val="TOC2"/>
        <w:rPr>
          <w:rFonts w:ascii="Times New Roman" w:eastAsiaTheme="minorEastAsia" w:hAnsi="Times New Roman"/>
          <w:b w:val="0"/>
          <w:smallCaps w:val="0"/>
          <w:sz w:val="22"/>
          <w:lang w:eastAsia="sk-SK"/>
        </w:rPr>
      </w:pPr>
      <w:hyperlink w:anchor="_Toc115857914" w:history="1">
        <w:r w:rsidR="00DE63C7" w:rsidRPr="00E07C9A">
          <w:rPr>
            <w:rStyle w:val="Hyperlink"/>
            <w:rFonts w:ascii="Times New Roman" w:hAnsi="Times New Roman"/>
          </w:rPr>
          <w:t>7.2.</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Rozsah vzoru</w:t>
        </w:r>
        <w:r w:rsidR="009912F8" w:rsidRPr="00E07C9A">
          <w:rPr>
            <w:rStyle w:val="Hyperlink"/>
            <w:rFonts w:ascii="Times New Roman" w:hAnsi="Times New Roman"/>
          </w:rPr>
          <w:t xml:space="preserve"> o </w:t>
        </w:r>
        <w:r w:rsidR="00DE63C7" w:rsidRPr="00E07C9A">
          <w:rPr>
            <w:rStyle w:val="Hyperlink"/>
            <w:rFonts w:ascii="Times New Roman" w:hAnsi="Times New Roman"/>
          </w:rPr>
          <w:t>expozíciách voči „orgánom verejnej správy“</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_Toc115857914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262</w:t>
        </w:r>
        <w:r w:rsidR="00DE63C7" w:rsidRPr="00E07C9A">
          <w:rPr>
            <w:rFonts w:ascii="Times New Roman" w:hAnsi="Times New Roman"/>
            <w:webHidden/>
          </w:rPr>
          <w:fldChar w:fldCharType="end"/>
        </w:r>
      </w:hyperlink>
    </w:p>
    <w:p w14:paraId="302E7C66" w14:textId="38A78C35" w:rsidR="00DE63C7" w:rsidRPr="00E07C9A" w:rsidRDefault="00132AEE">
      <w:pPr>
        <w:pStyle w:val="TOC2"/>
        <w:rPr>
          <w:rFonts w:ascii="Times New Roman" w:eastAsiaTheme="minorEastAsia" w:hAnsi="Times New Roman"/>
          <w:b w:val="0"/>
          <w:smallCaps w:val="0"/>
          <w:sz w:val="22"/>
          <w:lang w:eastAsia="sk-SK"/>
        </w:rPr>
      </w:pPr>
      <w:hyperlink w:anchor="_Toc115857915" w:history="1">
        <w:r w:rsidR="00DE63C7" w:rsidRPr="00E07C9A">
          <w:rPr>
            <w:rStyle w:val="Hyperlink"/>
            <w:rFonts w:ascii="Times New Roman" w:hAnsi="Times New Roman"/>
          </w:rPr>
          <w:t>7.3.</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Pokyny týkajúce sa konkrétnych pozícií</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_Toc115857915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263</w:t>
        </w:r>
        <w:r w:rsidR="00DE63C7" w:rsidRPr="00E07C9A">
          <w:rPr>
            <w:rFonts w:ascii="Times New Roman" w:hAnsi="Times New Roman"/>
            <w:webHidden/>
          </w:rPr>
          <w:fldChar w:fldCharType="end"/>
        </w:r>
      </w:hyperlink>
    </w:p>
    <w:p w14:paraId="02672D79" w14:textId="5E320C3A" w:rsidR="00DE63C7" w:rsidRPr="00E07C9A" w:rsidRDefault="00132AEE">
      <w:pPr>
        <w:pStyle w:val="TOC2"/>
        <w:rPr>
          <w:rFonts w:ascii="Times New Roman" w:eastAsiaTheme="minorEastAsia" w:hAnsi="Times New Roman"/>
          <w:b w:val="0"/>
          <w:smallCaps w:val="0"/>
          <w:sz w:val="22"/>
          <w:lang w:eastAsia="sk-SK"/>
        </w:rPr>
      </w:pPr>
      <w:hyperlink w:anchor="_Toc115857916" w:history="1">
        <w:r w:rsidR="00DE63C7" w:rsidRPr="00E07C9A">
          <w:rPr>
            <w:rStyle w:val="Hyperlink"/>
            <w:rFonts w:ascii="Times New Roman" w:hAnsi="Times New Roman"/>
          </w:rPr>
          <w:t>8.</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Krytie strát pri problémových expozíciách (NPE LC)</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_Toc115857916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274</w:t>
        </w:r>
        <w:r w:rsidR="00DE63C7" w:rsidRPr="00E07C9A">
          <w:rPr>
            <w:rFonts w:ascii="Times New Roman" w:hAnsi="Times New Roman"/>
            <w:webHidden/>
          </w:rPr>
          <w:fldChar w:fldCharType="end"/>
        </w:r>
      </w:hyperlink>
    </w:p>
    <w:p w14:paraId="4B483B52" w14:textId="5C7C3AA8" w:rsidR="00DE63C7" w:rsidRPr="00E07C9A" w:rsidRDefault="00132AEE">
      <w:pPr>
        <w:pStyle w:val="TOC2"/>
        <w:rPr>
          <w:rFonts w:ascii="Times New Roman" w:eastAsiaTheme="minorEastAsia" w:hAnsi="Times New Roman"/>
          <w:b w:val="0"/>
          <w:smallCaps w:val="0"/>
          <w:sz w:val="22"/>
          <w:lang w:eastAsia="sk-SK"/>
        </w:rPr>
      </w:pPr>
      <w:hyperlink w:anchor="_Toc115857917" w:history="1">
        <w:r w:rsidR="00DE63C7" w:rsidRPr="00E07C9A">
          <w:rPr>
            <w:rStyle w:val="Hyperlink"/>
            <w:rFonts w:ascii="Times New Roman" w:hAnsi="Times New Roman"/>
          </w:rPr>
          <w:t>8.1.</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Všeobecné poznámky</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_Toc115857917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274</w:t>
        </w:r>
        <w:r w:rsidR="00DE63C7" w:rsidRPr="00E07C9A">
          <w:rPr>
            <w:rFonts w:ascii="Times New Roman" w:hAnsi="Times New Roman"/>
            <w:webHidden/>
          </w:rPr>
          <w:fldChar w:fldCharType="end"/>
        </w:r>
      </w:hyperlink>
    </w:p>
    <w:p w14:paraId="2D1893C1" w14:textId="21BB0D10" w:rsidR="00DE63C7" w:rsidRPr="00E07C9A" w:rsidRDefault="00132AEE">
      <w:pPr>
        <w:pStyle w:val="TOC2"/>
        <w:rPr>
          <w:rFonts w:ascii="Times New Roman" w:eastAsiaTheme="minorEastAsia" w:hAnsi="Times New Roman"/>
          <w:b w:val="0"/>
          <w:smallCaps w:val="0"/>
          <w:sz w:val="22"/>
          <w:lang w:eastAsia="sk-SK"/>
        </w:rPr>
      </w:pPr>
      <w:hyperlink w:anchor="_Toc115857918" w:history="1">
        <w:r w:rsidR="00DE63C7" w:rsidRPr="00E07C9A">
          <w:rPr>
            <w:rStyle w:val="Hyperlink"/>
            <w:rFonts w:ascii="Times New Roman" w:hAnsi="Times New Roman"/>
          </w:rPr>
          <w:t>8.2. C 35.01 – VÝPOČET ODPOČTOV PRI PROBLÉMOVÝCH EXPOZÍCIÁCH (NPE LC1)</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_Toc115857918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275</w:t>
        </w:r>
        <w:r w:rsidR="00DE63C7" w:rsidRPr="00E07C9A">
          <w:rPr>
            <w:rFonts w:ascii="Times New Roman" w:hAnsi="Times New Roman"/>
            <w:webHidden/>
          </w:rPr>
          <w:fldChar w:fldCharType="end"/>
        </w:r>
      </w:hyperlink>
    </w:p>
    <w:p w14:paraId="22E9313A" w14:textId="1601DC68" w:rsidR="00DE63C7" w:rsidRPr="00E07C9A" w:rsidRDefault="00132AEE">
      <w:pPr>
        <w:pStyle w:val="TOC2"/>
        <w:rPr>
          <w:rFonts w:ascii="Times New Roman" w:eastAsiaTheme="minorEastAsia" w:hAnsi="Times New Roman"/>
          <w:b w:val="0"/>
          <w:smallCaps w:val="0"/>
          <w:sz w:val="22"/>
          <w:lang w:eastAsia="sk-SK"/>
        </w:rPr>
      </w:pPr>
      <w:hyperlink w:anchor="_Toc115857919" w:history="1">
        <w:r w:rsidR="00DE63C7" w:rsidRPr="00E07C9A">
          <w:rPr>
            <w:rStyle w:val="Hyperlink"/>
            <w:rFonts w:ascii="Times New Roman" w:hAnsi="Times New Roman"/>
          </w:rPr>
          <w:t>8.2.1.</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Pokyny týkajúce sa konkrétnych pozícií</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_Toc115857919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275</w:t>
        </w:r>
        <w:r w:rsidR="00DE63C7" w:rsidRPr="00E07C9A">
          <w:rPr>
            <w:rFonts w:ascii="Times New Roman" w:hAnsi="Times New Roman"/>
            <w:webHidden/>
          </w:rPr>
          <w:fldChar w:fldCharType="end"/>
        </w:r>
      </w:hyperlink>
    </w:p>
    <w:p w14:paraId="671236F0" w14:textId="07F909C2" w:rsidR="00DE63C7" w:rsidRPr="00E07C9A" w:rsidRDefault="00132AEE">
      <w:pPr>
        <w:pStyle w:val="TOC2"/>
        <w:rPr>
          <w:rFonts w:ascii="Times New Roman" w:eastAsiaTheme="minorEastAsia" w:hAnsi="Times New Roman"/>
          <w:b w:val="0"/>
          <w:smallCaps w:val="0"/>
          <w:sz w:val="22"/>
          <w:lang w:eastAsia="sk-SK"/>
        </w:rPr>
      </w:pPr>
      <w:hyperlink w:anchor="_Toc115857920" w:history="1">
        <w:r w:rsidR="00DE63C7" w:rsidRPr="00E07C9A">
          <w:rPr>
            <w:rStyle w:val="Hyperlink"/>
            <w:rFonts w:ascii="Times New Roman" w:hAnsi="Times New Roman"/>
          </w:rPr>
          <w:t>8.3.</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C 35.02 – MINIMÁLNE POŽIADAVKY NA KRYTIE A HODNOTY EXPOZÍCIÍ PRI PROBLÉMOVÝCH EXPOZÍCIÁCH OKREM EXPOZÍCIÍ</w:t>
        </w:r>
        <w:r w:rsidR="009912F8" w:rsidRPr="00E07C9A">
          <w:rPr>
            <w:rStyle w:val="Hyperlink"/>
            <w:rFonts w:ascii="Times New Roman" w:hAnsi="Times New Roman"/>
          </w:rPr>
          <w:t xml:space="preserve"> S </w:t>
        </w:r>
        <w:r w:rsidR="00DE63C7" w:rsidRPr="00E07C9A">
          <w:rPr>
            <w:rStyle w:val="Hyperlink"/>
            <w:rFonts w:ascii="Times New Roman" w:hAnsi="Times New Roman"/>
          </w:rPr>
          <w:t>ÚĽAVOU, NA KTORÉ SA VZŤAHUJE ČLÁNOK 47C ODS. 6 NARIADENIA (EÚ) Č. 575/2013 (NPE LC2)</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_Toc115857920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277</w:t>
        </w:r>
        <w:r w:rsidR="00DE63C7" w:rsidRPr="00E07C9A">
          <w:rPr>
            <w:rFonts w:ascii="Times New Roman" w:hAnsi="Times New Roman"/>
            <w:webHidden/>
          </w:rPr>
          <w:fldChar w:fldCharType="end"/>
        </w:r>
      </w:hyperlink>
    </w:p>
    <w:p w14:paraId="40D29038" w14:textId="27A9199B" w:rsidR="00DE63C7" w:rsidRPr="00E07C9A" w:rsidRDefault="00132AEE">
      <w:pPr>
        <w:pStyle w:val="TOC2"/>
        <w:rPr>
          <w:rFonts w:ascii="Times New Roman" w:eastAsiaTheme="minorEastAsia" w:hAnsi="Times New Roman"/>
          <w:b w:val="0"/>
          <w:smallCaps w:val="0"/>
          <w:sz w:val="22"/>
          <w:lang w:eastAsia="sk-SK"/>
        </w:rPr>
      </w:pPr>
      <w:hyperlink w:anchor="_Toc115857921" w:history="1">
        <w:r w:rsidR="00DE63C7" w:rsidRPr="00E07C9A">
          <w:rPr>
            <w:rStyle w:val="Hyperlink"/>
            <w:rFonts w:ascii="Times New Roman" w:hAnsi="Times New Roman"/>
          </w:rPr>
          <w:t>8.3.1.</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Pokyny týkajúce sa konkrétnych pozícií</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_Toc115857921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277</w:t>
        </w:r>
        <w:r w:rsidR="00DE63C7" w:rsidRPr="00E07C9A">
          <w:rPr>
            <w:rFonts w:ascii="Times New Roman" w:hAnsi="Times New Roman"/>
            <w:webHidden/>
          </w:rPr>
          <w:fldChar w:fldCharType="end"/>
        </w:r>
      </w:hyperlink>
    </w:p>
    <w:p w14:paraId="68F397EC" w14:textId="24DBDC97" w:rsidR="00DE63C7" w:rsidRPr="00E07C9A" w:rsidRDefault="00132AEE">
      <w:pPr>
        <w:pStyle w:val="TOC2"/>
        <w:rPr>
          <w:rFonts w:ascii="Times New Roman" w:eastAsiaTheme="minorEastAsia" w:hAnsi="Times New Roman"/>
          <w:b w:val="0"/>
          <w:smallCaps w:val="0"/>
          <w:sz w:val="22"/>
          <w:lang w:eastAsia="sk-SK"/>
        </w:rPr>
      </w:pPr>
      <w:hyperlink w:anchor="_Toc115857922" w:history="1">
        <w:r w:rsidR="00DE63C7" w:rsidRPr="00E07C9A">
          <w:rPr>
            <w:rStyle w:val="Hyperlink"/>
            <w:rFonts w:ascii="Times New Roman" w:hAnsi="Times New Roman"/>
          </w:rPr>
          <w:t>8.4.</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C 35.03 – MINIMÁLNE POŽIADAVKY NA KRYTIE A HODNOTY EXPOZÍCIÍ PRI PROBLÉMOVÝCH EXPOZÍCIÁCH</w:t>
        </w:r>
        <w:r w:rsidR="009912F8" w:rsidRPr="00E07C9A">
          <w:rPr>
            <w:rStyle w:val="Hyperlink"/>
            <w:rFonts w:ascii="Times New Roman" w:hAnsi="Times New Roman"/>
          </w:rPr>
          <w:t xml:space="preserve"> S </w:t>
        </w:r>
        <w:r w:rsidR="00DE63C7" w:rsidRPr="00E07C9A">
          <w:rPr>
            <w:rStyle w:val="Hyperlink"/>
            <w:rFonts w:ascii="Times New Roman" w:hAnsi="Times New Roman"/>
          </w:rPr>
          <w:t>ÚĽAVOU, NA KTORÉ SA VZŤAHUJE ČLÁNOK 47C ODS. 6 NARIADENIA (EÚ) Č. 575/2013 (NPE LC3)</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_Toc115857922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280</w:t>
        </w:r>
        <w:r w:rsidR="00DE63C7" w:rsidRPr="00E07C9A">
          <w:rPr>
            <w:rFonts w:ascii="Times New Roman" w:hAnsi="Times New Roman"/>
            <w:webHidden/>
          </w:rPr>
          <w:fldChar w:fldCharType="end"/>
        </w:r>
      </w:hyperlink>
    </w:p>
    <w:p w14:paraId="641821EF" w14:textId="00AC5097" w:rsidR="00DE63C7" w:rsidRPr="00E07C9A" w:rsidRDefault="00132AEE">
      <w:pPr>
        <w:pStyle w:val="TOC2"/>
        <w:rPr>
          <w:rFonts w:ascii="Times New Roman" w:eastAsiaTheme="minorEastAsia" w:hAnsi="Times New Roman"/>
          <w:b w:val="0"/>
          <w:smallCaps w:val="0"/>
          <w:sz w:val="22"/>
          <w:lang w:eastAsia="sk-SK"/>
        </w:rPr>
      </w:pPr>
      <w:hyperlink w:anchor="_Toc115857923" w:history="1">
        <w:r w:rsidR="00DE63C7" w:rsidRPr="00E07C9A">
          <w:rPr>
            <w:rStyle w:val="Hyperlink"/>
            <w:rFonts w:ascii="Times New Roman" w:hAnsi="Times New Roman"/>
          </w:rPr>
          <w:t>8.4.1.</w:t>
        </w:r>
        <w:r w:rsidR="00DE63C7" w:rsidRPr="00E07C9A">
          <w:rPr>
            <w:rFonts w:ascii="Times New Roman" w:eastAsiaTheme="minorEastAsia" w:hAnsi="Times New Roman"/>
            <w:b w:val="0"/>
            <w:smallCaps w:val="0"/>
            <w:sz w:val="22"/>
            <w:lang w:eastAsia="sk-SK"/>
          </w:rPr>
          <w:tab/>
        </w:r>
        <w:r w:rsidR="00DE63C7" w:rsidRPr="00E07C9A">
          <w:rPr>
            <w:rStyle w:val="Hyperlink"/>
            <w:rFonts w:ascii="Times New Roman" w:hAnsi="Times New Roman"/>
          </w:rPr>
          <w:t>Pokyny týkajúce sa konkrétnych pozícií</w:t>
        </w:r>
        <w:r w:rsidR="00DE63C7" w:rsidRPr="00E07C9A">
          <w:rPr>
            <w:rFonts w:ascii="Times New Roman" w:hAnsi="Times New Roman"/>
            <w:webHidden/>
          </w:rPr>
          <w:tab/>
        </w:r>
        <w:r w:rsidR="00DE63C7" w:rsidRPr="00E07C9A">
          <w:rPr>
            <w:rFonts w:ascii="Times New Roman" w:hAnsi="Times New Roman"/>
            <w:webHidden/>
          </w:rPr>
          <w:fldChar w:fldCharType="begin"/>
        </w:r>
        <w:r w:rsidR="00DE63C7" w:rsidRPr="00E07C9A">
          <w:rPr>
            <w:rFonts w:ascii="Times New Roman" w:hAnsi="Times New Roman"/>
            <w:webHidden/>
          </w:rPr>
          <w:instrText xml:space="preserve"> PAGEREF _Toc115857923 \h </w:instrText>
        </w:r>
        <w:r w:rsidR="00DE63C7" w:rsidRPr="00E07C9A">
          <w:rPr>
            <w:rFonts w:ascii="Times New Roman" w:hAnsi="Times New Roman"/>
            <w:webHidden/>
          </w:rPr>
        </w:r>
        <w:r w:rsidR="00DE63C7" w:rsidRPr="00E07C9A">
          <w:rPr>
            <w:rFonts w:ascii="Times New Roman" w:hAnsi="Times New Roman"/>
            <w:webHidden/>
          </w:rPr>
          <w:fldChar w:fldCharType="separate"/>
        </w:r>
        <w:r>
          <w:rPr>
            <w:rFonts w:ascii="Times New Roman" w:hAnsi="Times New Roman"/>
            <w:webHidden/>
          </w:rPr>
          <w:t>280</w:t>
        </w:r>
        <w:r w:rsidR="00DE63C7" w:rsidRPr="00E07C9A">
          <w:rPr>
            <w:rFonts w:ascii="Times New Roman" w:hAnsi="Times New Roman"/>
            <w:webHidden/>
          </w:rPr>
          <w:fldChar w:fldCharType="end"/>
        </w:r>
      </w:hyperlink>
    </w:p>
    <w:p w14:paraId="4325A1DC" w14:textId="53D4526E" w:rsidR="002648B0" w:rsidRPr="00E07C9A" w:rsidRDefault="00745369" w:rsidP="00005FFC">
      <w:pPr>
        <w:rPr>
          <w:rFonts w:ascii="Times New Roman" w:hAnsi="Times New Roman"/>
          <w:sz w:val="24"/>
        </w:rPr>
        <w:sectPr w:rsidR="002648B0" w:rsidRPr="00E07C9A" w:rsidSect="004D4419">
          <w:headerReference w:type="even" r:id="rId8"/>
          <w:footerReference w:type="default" r:id="rId9"/>
          <w:footerReference w:type="first" r:id="rId10"/>
          <w:endnotePr>
            <w:numFmt w:val="decimal"/>
          </w:endnotePr>
          <w:type w:val="continuous"/>
          <w:pgSz w:w="11906" w:h="16838"/>
          <w:pgMar w:top="1417" w:right="1417" w:bottom="1134" w:left="1417" w:header="708" w:footer="708" w:gutter="0"/>
          <w:cols w:space="708"/>
          <w:titlePg/>
          <w:docGrid w:linePitch="360"/>
        </w:sectPr>
      </w:pPr>
      <w:r w:rsidRPr="00E07C9A">
        <w:rPr>
          <w:rFonts w:ascii="Times New Roman" w:hAnsi="Times New Roman"/>
          <w:sz w:val="24"/>
        </w:rPr>
        <w:fldChar w:fldCharType="end"/>
      </w:r>
    </w:p>
    <w:p w14:paraId="15BF459F" w14:textId="77777777" w:rsidR="007B4FD3" w:rsidRPr="00E07C9A" w:rsidRDefault="007B4FD3" w:rsidP="00EC5046">
      <w:pPr>
        <w:rPr>
          <w:rFonts w:ascii="Times New Roman" w:hAnsi="Times New Roman"/>
          <w:sz w:val="24"/>
        </w:rPr>
      </w:pPr>
    </w:p>
    <w:p w14:paraId="65DEB04A" w14:textId="77777777" w:rsidR="002648B0" w:rsidRPr="00E07C9A" w:rsidRDefault="002648B0" w:rsidP="00D64B66">
      <w:pPr>
        <w:pStyle w:val="Heading2"/>
        <w:rPr>
          <w:rFonts w:ascii="Times New Roman" w:hAnsi="Times New Roman"/>
        </w:rPr>
      </w:pPr>
      <w:bookmarkStart w:id="3" w:name="_Toc264038394"/>
      <w:bookmarkStart w:id="4" w:name="_Toc360188317"/>
      <w:bookmarkStart w:id="5" w:name="_Toc473560865"/>
      <w:bookmarkStart w:id="6" w:name="_Toc115857745"/>
      <w:r w:rsidRPr="00E07C9A">
        <w:rPr>
          <w:rFonts w:ascii="Times New Roman" w:hAnsi="Times New Roman"/>
        </w:rPr>
        <w:t>ČASŤ I:</w:t>
      </w:r>
      <w:bookmarkEnd w:id="3"/>
      <w:r w:rsidRPr="00E07C9A">
        <w:rPr>
          <w:rFonts w:ascii="Times New Roman" w:hAnsi="Times New Roman"/>
        </w:rPr>
        <w:t xml:space="preserve"> VŠEOBECNÉ POKYNY</w:t>
      </w:r>
      <w:bookmarkEnd w:id="4"/>
      <w:bookmarkEnd w:id="5"/>
      <w:bookmarkEnd w:id="6"/>
    </w:p>
    <w:p w14:paraId="2B1DE452" w14:textId="1F956A89" w:rsidR="002648B0" w:rsidRPr="00E07C9A" w:rsidRDefault="00125707" w:rsidP="0023700C">
      <w:pPr>
        <w:pStyle w:val="Instructionsberschrift2"/>
        <w:numPr>
          <w:ilvl w:val="0"/>
          <w:numId w:val="0"/>
        </w:numPr>
        <w:ind w:left="357" w:hanging="357"/>
        <w:rPr>
          <w:rFonts w:ascii="Times New Roman" w:hAnsi="Times New Roman" w:cs="Times New Roman"/>
          <w:sz w:val="24"/>
          <w:u w:val="none"/>
        </w:rPr>
      </w:pPr>
      <w:bookmarkStart w:id="7" w:name="_Toc360188318"/>
      <w:bookmarkStart w:id="8" w:name="_Toc473560866"/>
      <w:bookmarkStart w:id="9" w:name="_Toc115857746"/>
      <w:r w:rsidRPr="00E07C9A">
        <w:rPr>
          <w:rFonts w:ascii="Times New Roman" w:hAnsi="Times New Roman" w:cs="Times New Roman"/>
          <w:sz w:val="24"/>
          <w:u w:val="none"/>
        </w:rPr>
        <w:t>1.</w:t>
      </w:r>
      <w:r w:rsidRPr="00E07C9A">
        <w:rPr>
          <w:rFonts w:ascii="Times New Roman" w:hAnsi="Times New Roman" w:cs="Times New Roman"/>
          <w:u w:val="none"/>
        </w:rPr>
        <w:tab/>
      </w:r>
      <w:r w:rsidRPr="00E07C9A">
        <w:rPr>
          <w:rFonts w:ascii="Times New Roman" w:hAnsi="Times New Roman" w:cs="Times New Roman"/>
          <w:sz w:val="24"/>
          <w:u w:val="none"/>
        </w:rPr>
        <w:t>ŠTRUKTÚRA A PRAVIDLÁ</w:t>
      </w:r>
      <w:bookmarkEnd w:id="7"/>
      <w:bookmarkEnd w:id="8"/>
      <w:bookmarkEnd w:id="9"/>
    </w:p>
    <w:p w14:paraId="34CCE4AC" w14:textId="04EB4EEC" w:rsidR="002648B0" w:rsidRPr="00E07C9A" w:rsidRDefault="00125707" w:rsidP="00304CA5">
      <w:pPr>
        <w:pStyle w:val="Instructionsberschrift2"/>
        <w:numPr>
          <w:ilvl w:val="0"/>
          <w:numId w:val="0"/>
        </w:numPr>
        <w:ind w:left="357" w:hanging="357"/>
        <w:rPr>
          <w:rFonts w:ascii="Times New Roman" w:hAnsi="Times New Roman" w:cs="Times New Roman"/>
          <w:sz w:val="24"/>
          <w:u w:val="none"/>
        </w:rPr>
      </w:pPr>
      <w:bookmarkStart w:id="10" w:name="_Toc360188319"/>
      <w:bookmarkStart w:id="11" w:name="_Toc473560867"/>
      <w:bookmarkStart w:id="12" w:name="_Toc115857747"/>
      <w:bookmarkStart w:id="13" w:name="_Toc264038399"/>
      <w:bookmarkStart w:id="14" w:name="_Toc294018834"/>
      <w:r w:rsidRPr="00E07C9A">
        <w:rPr>
          <w:rFonts w:ascii="Times New Roman" w:hAnsi="Times New Roman" w:cs="Times New Roman"/>
          <w:sz w:val="24"/>
          <w:u w:val="none"/>
        </w:rPr>
        <w:t>1.1.</w:t>
      </w:r>
      <w:r w:rsidRPr="00E07C9A">
        <w:rPr>
          <w:rFonts w:ascii="Times New Roman" w:hAnsi="Times New Roman" w:cs="Times New Roman"/>
          <w:u w:val="none"/>
        </w:rPr>
        <w:tab/>
      </w:r>
      <w:r w:rsidRPr="00E07C9A">
        <w:rPr>
          <w:rFonts w:ascii="Times New Roman" w:hAnsi="Times New Roman" w:cs="Times New Roman"/>
          <w:sz w:val="24"/>
          <w:u w:val="none"/>
        </w:rPr>
        <w:t>ŠTRUKTÚRA</w:t>
      </w:r>
      <w:bookmarkEnd w:id="10"/>
      <w:bookmarkEnd w:id="11"/>
      <w:bookmarkEnd w:id="12"/>
    </w:p>
    <w:p w14:paraId="336D6DE1" w14:textId="49119779" w:rsidR="002648B0" w:rsidRPr="00E07C9A" w:rsidRDefault="002A18DE" w:rsidP="00487A02">
      <w:pPr>
        <w:pStyle w:val="InstructionsText2"/>
        <w:numPr>
          <w:ilvl w:val="0"/>
          <w:numId w:val="0"/>
        </w:numPr>
        <w:ind w:left="1353" w:hanging="360"/>
      </w:pPr>
      <w:fldSimple w:instr=" seq paragraphs ">
        <w:r w:rsidR="00132AEE">
          <w:rPr>
            <w:noProof/>
          </w:rPr>
          <w:t>1</w:t>
        </w:r>
      </w:fldSimple>
      <w:r w:rsidR="00C3070C" w:rsidRPr="00E07C9A">
        <w:t>.</w:t>
      </w:r>
      <w:r w:rsidR="00C3070C" w:rsidRPr="00E07C9A">
        <w:tab/>
        <w:t>Rámec sa celkovo týka šiestich tém:</w:t>
      </w:r>
    </w:p>
    <w:p w14:paraId="081D30F3" w14:textId="77777777" w:rsidR="002648B0" w:rsidRPr="00E07C9A" w:rsidRDefault="00125707" w:rsidP="00487A02">
      <w:pPr>
        <w:pStyle w:val="InstructionsText2"/>
        <w:numPr>
          <w:ilvl w:val="0"/>
          <w:numId w:val="0"/>
        </w:numPr>
        <w:ind w:left="1353" w:hanging="360"/>
      </w:pPr>
      <w:r w:rsidRPr="00E07C9A">
        <w:t>a)</w:t>
      </w:r>
      <w:r w:rsidRPr="00E07C9A">
        <w:tab/>
        <w:t>kapitálová primeranosť, prehľad regulatórneho kapitálu; celková hodnota rizikovej expozície; obozretné oceňovanie; krytie strát pri problémových expozíciách;</w:t>
      </w:r>
    </w:p>
    <w:p w14:paraId="62EB9671" w14:textId="77777777" w:rsidR="00436204" w:rsidRPr="00E07C9A" w:rsidRDefault="00125707" w:rsidP="00487A02">
      <w:pPr>
        <w:pStyle w:val="InstructionsText2"/>
        <w:numPr>
          <w:ilvl w:val="0"/>
          <w:numId w:val="0"/>
        </w:numPr>
        <w:ind w:left="1353" w:hanging="360"/>
      </w:pPr>
      <w:r w:rsidRPr="00E07C9A">
        <w:t>b)</w:t>
      </w:r>
      <w:r w:rsidRPr="00E07C9A">
        <w:tab/>
        <w:t>skupinová solventnosť, prehľad plnenia požiadaviek na platobnú schopnosť všetkými individuálnymi subjektmi zahrnutými do rozsahu konsolidácie vykazujúceho subjektu;</w:t>
      </w:r>
    </w:p>
    <w:p w14:paraId="02F767CA" w14:textId="2066606A" w:rsidR="002648B0" w:rsidRPr="00E07C9A" w:rsidRDefault="00125707" w:rsidP="00487A02">
      <w:pPr>
        <w:pStyle w:val="InstructionsText2"/>
        <w:numPr>
          <w:ilvl w:val="0"/>
          <w:numId w:val="0"/>
        </w:numPr>
        <w:ind w:left="1353" w:hanging="360"/>
      </w:pPr>
      <w:r w:rsidRPr="00E07C9A">
        <w:t>c)</w:t>
      </w:r>
      <w:r w:rsidRPr="00E07C9A">
        <w:tab/>
        <w:t>kreditné riziko (vrátane rizika protistrany, rizika zníženia kvality pohľadávok</w:t>
      </w:r>
      <w:r w:rsidR="009912F8" w:rsidRPr="00E07C9A">
        <w:t xml:space="preserve"> z </w:t>
      </w:r>
      <w:r w:rsidRPr="00E07C9A">
        <w:t>iných ako kreditných dôvodov</w:t>
      </w:r>
      <w:r w:rsidR="009912F8" w:rsidRPr="00E07C9A">
        <w:t xml:space="preserve"> a </w:t>
      </w:r>
      <w:r w:rsidRPr="00E07C9A">
        <w:t>rizika vyrovnania);</w:t>
      </w:r>
    </w:p>
    <w:p w14:paraId="685551B9" w14:textId="5BD0E9BB" w:rsidR="002648B0" w:rsidRPr="00E07C9A" w:rsidRDefault="00125707" w:rsidP="00487A02">
      <w:pPr>
        <w:pStyle w:val="InstructionsText2"/>
        <w:numPr>
          <w:ilvl w:val="0"/>
          <w:numId w:val="0"/>
        </w:numPr>
        <w:ind w:left="1353" w:hanging="360"/>
      </w:pPr>
      <w:r w:rsidRPr="00E07C9A">
        <w:t>d)</w:t>
      </w:r>
      <w:r w:rsidRPr="00E07C9A">
        <w:tab/>
        <w:t>trhové riziko (vrátane pozičného rizika</w:t>
      </w:r>
      <w:r w:rsidR="009912F8" w:rsidRPr="00E07C9A">
        <w:t xml:space="preserve"> v </w:t>
      </w:r>
      <w:r w:rsidRPr="00E07C9A">
        <w:t>obchodnej knihe, devízového rizika, komoditného rizika</w:t>
      </w:r>
      <w:r w:rsidR="009912F8" w:rsidRPr="00E07C9A">
        <w:t xml:space="preserve"> a </w:t>
      </w:r>
      <w:r w:rsidRPr="00E07C9A">
        <w:t>rizika úpravy ocenenia pohľadávky);</w:t>
      </w:r>
    </w:p>
    <w:p w14:paraId="2C2D1FE5" w14:textId="77777777" w:rsidR="00C44C83" w:rsidRPr="00E07C9A" w:rsidRDefault="00125707" w:rsidP="00487A02">
      <w:pPr>
        <w:pStyle w:val="InstructionsText2"/>
        <w:numPr>
          <w:ilvl w:val="0"/>
          <w:numId w:val="0"/>
        </w:numPr>
        <w:ind w:left="1353" w:hanging="360"/>
      </w:pPr>
      <w:r w:rsidRPr="00E07C9A">
        <w:t>e)</w:t>
      </w:r>
      <w:r w:rsidRPr="00E07C9A">
        <w:tab/>
        <w:t>operačné riziko;</w:t>
      </w:r>
    </w:p>
    <w:p w14:paraId="5A2D5E12" w14:textId="66F1B60C" w:rsidR="002648B0" w:rsidRPr="00E07C9A" w:rsidRDefault="00C44C83" w:rsidP="00487A02">
      <w:pPr>
        <w:pStyle w:val="InstructionsText2"/>
        <w:numPr>
          <w:ilvl w:val="0"/>
          <w:numId w:val="0"/>
        </w:numPr>
        <w:ind w:left="1353" w:hanging="360"/>
      </w:pPr>
      <w:r w:rsidRPr="00E07C9A">
        <w:t>f) expozície voči orgánom verejnej správy.</w:t>
      </w:r>
    </w:p>
    <w:p w14:paraId="197EB621" w14:textId="146ED0F9" w:rsidR="002648B0" w:rsidRPr="00E07C9A" w:rsidRDefault="002A18DE" w:rsidP="00487A02">
      <w:pPr>
        <w:pStyle w:val="InstructionsText2"/>
        <w:numPr>
          <w:ilvl w:val="0"/>
          <w:numId w:val="0"/>
        </w:numPr>
        <w:ind w:left="1353" w:hanging="360"/>
      </w:pPr>
      <w:fldSimple w:instr=" seq paragraphs ">
        <w:r w:rsidR="00132AEE">
          <w:rPr>
            <w:noProof/>
          </w:rPr>
          <w:t>2</w:t>
        </w:r>
      </w:fldSimple>
      <w:r w:rsidR="00C3070C" w:rsidRPr="00E07C9A">
        <w:t>.</w:t>
      </w:r>
      <w:r w:rsidR="00C3070C" w:rsidRPr="00E07C9A">
        <w:tab/>
        <w:t>Pre každý vzor sa uvádzajú odkazy na právne predpisy.</w:t>
      </w:r>
      <w:r w:rsidR="009912F8" w:rsidRPr="00E07C9A">
        <w:t xml:space="preserve"> V </w:t>
      </w:r>
      <w:r w:rsidR="00C3070C" w:rsidRPr="00E07C9A">
        <w:t>tejto časti tohto vykonávacieho nariadenia sa uvádzajú ďalšie podrobné informácie týkajúce sa všeobecnejších aspektov vykazovania pre jednotlivé bloky vzorov, pokyny týkajúce sa konkrétnych pozícií, ako aj pravidlá validácie.</w:t>
      </w:r>
    </w:p>
    <w:p w14:paraId="2D1DBE72" w14:textId="738187F1" w:rsidR="005643EA" w:rsidRPr="00E07C9A" w:rsidRDefault="002A18DE" w:rsidP="00487A02">
      <w:pPr>
        <w:pStyle w:val="InstructionsText2"/>
        <w:numPr>
          <w:ilvl w:val="0"/>
          <w:numId w:val="0"/>
        </w:numPr>
        <w:ind w:left="1353" w:hanging="360"/>
      </w:pPr>
      <w:fldSimple w:instr=" seq paragraphs ">
        <w:r w:rsidR="00132AEE">
          <w:rPr>
            <w:noProof/>
          </w:rPr>
          <w:t>3</w:t>
        </w:r>
      </w:fldSimple>
      <w:r w:rsidR="00C3070C" w:rsidRPr="00E07C9A">
        <w:t>.</w:t>
      </w:r>
      <w:r w:rsidR="00C3070C" w:rsidRPr="00E07C9A">
        <w:tab/>
        <w:t>Inštitúcie majú vykazovať len vzory, ktoré sú pre ne relevantné</w:t>
      </w:r>
      <w:r w:rsidR="009912F8" w:rsidRPr="00E07C9A">
        <w:t xml:space="preserve"> v </w:t>
      </w:r>
      <w:r w:rsidR="00C3070C" w:rsidRPr="00E07C9A">
        <w:t>závislosti od postupu používaného na určenie požiadaviek na vlastné zdroje.</w:t>
      </w:r>
    </w:p>
    <w:p w14:paraId="691FE691" w14:textId="77777777" w:rsidR="002648B0" w:rsidRPr="00E07C9A" w:rsidRDefault="00125707" w:rsidP="0023700C">
      <w:pPr>
        <w:pStyle w:val="Instructionsberschrift2"/>
        <w:numPr>
          <w:ilvl w:val="0"/>
          <w:numId w:val="0"/>
        </w:numPr>
        <w:ind w:left="357" w:hanging="357"/>
        <w:rPr>
          <w:rFonts w:ascii="Times New Roman" w:hAnsi="Times New Roman" w:cs="Times New Roman"/>
          <w:sz w:val="24"/>
          <w:u w:val="none"/>
        </w:rPr>
      </w:pPr>
      <w:bookmarkStart w:id="15" w:name="_Toc360188320"/>
      <w:bookmarkStart w:id="16" w:name="_Toc473560868"/>
      <w:bookmarkStart w:id="17" w:name="_Toc115857748"/>
      <w:r w:rsidRPr="00E07C9A">
        <w:rPr>
          <w:rFonts w:ascii="Times New Roman" w:hAnsi="Times New Roman" w:cs="Times New Roman"/>
          <w:sz w:val="24"/>
          <w:u w:val="none"/>
        </w:rPr>
        <w:t>1.2.</w:t>
      </w:r>
      <w:r w:rsidRPr="00E07C9A">
        <w:rPr>
          <w:rFonts w:ascii="Times New Roman" w:hAnsi="Times New Roman" w:cs="Times New Roman"/>
          <w:u w:val="none"/>
        </w:rPr>
        <w:tab/>
      </w:r>
      <w:r w:rsidRPr="00E07C9A">
        <w:rPr>
          <w:rFonts w:ascii="Times New Roman" w:hAnsi="Times New Roman" w:cs="Times New Roman"/>
          <w:sz w:val="24"/>
          <w:u w:val="none"/>
        </w:rPr>
        <w:t>Pravidlá číslovania</w:t>
      </w:r>
      <w:bookmarkEnd w:id="15"/>
      <w:bookmarkEnd w:id="16"/>
      <w:bookmarkEnd w:id="17"/>
    </w:p>
    <w:p w14:paraId="07DD29A3" w14:textId="4EF85984" w:rsidR="002648B0" w:rsidRPr="00E07C9A" w:rsidRDefault="002A18DE" w:rsidP="00487A02">
      <w:pPr>
        <w:pStyle w:val="InstructionsText2"/>
        <w:numPr>
          <w:ilvl w:val="0"/>
          <w:numId w:val="0"/>
        </w:numPr>
        <w:ind w:left="1353" w:hanging="360"/>
      </w:pPr>
      <w:fldSimple w:instr=" seq paragraphs ">
        <w:r w:rsidR="00132AEE">
          <w:rPr>
            <w:noProof/>
          </w:rPr>
          <w:t>4</w:t>
        </w:r>
      </w:fldSimple>
      <w:r w:rsidR="00C3070C" w:rsidRPr="00E07C9A">
        <w:t>.</w:t>
      </w:r>
      <w:r w:rsidR="00C3070C" w:rsidRPr="00E07C9A">
        <w:tab/>
        <w:t>V dokumente sa pri odkaze na stĺpce, riadky</w:t>
      </w:r>
      <w:r w:rsidR="009912F8" w:rsidRPr="00E07C9A">
        <w:t xml:space="preserve"> a </w:t>
      </w:r>
      <w:r w:rsidR="00C3070C" w:rsidRPr="00E07C9A">
        <w:t>bunky vzorov používajú pravidlá označovania stanovené</w:t>
      </w:r>
      <w:r w:rsidR="009912F8" w:rsidRPr="00E07C9A">
        <w:t xml:space="preserve"> v </w:t>
      </w:r>
      <w:r w:rsidR="00C3070C" w:rsidRPr="00E07C9A">
        <w:t>bodoch 5 až 8.</w:t>
      </w:r>
      <w:r w:rsidR="009912F8" w:rsidRPr="00E07C9A">
        <w:t xml:space="preserve"> V </w:t>
      </w:r>
      <w:r w:rsidR="00C3070C" w:rsidRPr="00E07C9A">
        <w:t>pravidlách validácie sa uvedené číselné kódy používajú vo veľkej miere.</w:t>
      </w:r>
    </w:p>
    <w:p w14:paraId="4A930757" w14:textId="127B9A71" w:rsidR="005643EA" w:rsidRPr="00E07C9A" w:rsidRDefault="002A18DE" w:rsidP="00487A02">
      <w:pPr>
        <w:pStyle w:val="InstructionsText2"/>
        <w:numPr>
          <w:ilvl w:val="0"/>
          <w:numId w:val="0"/>
        </w:numPr>
        <w:ind w:left="1353" w:hanging="360"/>
      </w:pPr>
      <w:fldSimple w:instr=" seq paragraphs ">
        <w:r w:rsidR="00132AEE">
          <w:rPr>
            <w:noProof/>
          </w:rPr>
          <w:t>5</w:t>
        </w:r>
      </w:fldSimple>
      <w:r w:rsidR="00C3070C" w:rsidRPr="00E07C9A">
        <w:t>.</w:t>
      </w:r>
      <w:r w:rsidR="00C3070C" w:rsidRPr="00E07C9A">
        <w:tab/>
        <w:t>V pokynoch sa používa tento všeobecný zápis: {vzor; riadok; stĺpec}.</w:t>
      </w:r>
    </w:p>
    <w:p w14:paraId="058D6622" w14:textId="081B8946" w:rsidR="002648B0" w:rsidRPr="00E07C9A" w:rsidRDefault="002A18DE" w:rsidP="00487A02">
      <w:pPr>
        <w:pStyle w:val="InstructionsText2"/>
        <w:numPr>
          <w:ilvl w:val="0"/>
          <w:numId w:val="0"/>
        </w:numPr>
        <w:ind w:left="1353" w:hanging="360"/>
      </w:pPr>
      <w:fldSimple w:instr=" seq paragraphs ">
        <w:r w:rsidR="00132AEE">
          <w:rPr>
            <w:noProof/>
          </w:rPr>
          <w:t>6</w:t>
        </w:r>
      </w:fldSimple>
      <w:r w:rsidR="00C3070C" w:rsidRPr="00E07C9A">
        <w:t>.</w:t>
      </w:r>
      <w:r w:rsidR="00C3070C" w:rsidRPr="00E07C9A">
        <w:tab/>
        <w:t>V prípade validácií</w:t>
      </w:r>
      <w:r w:rsidR="009912F8" w:rsidRPr="00E07C9A">
        <w:t xml:space="preserve"> v </w:t>
      </w:r>
      <w:r w:rsidR="00C3070C" w:rsidRPr="00E07C9A">
        <w:t>rámci jediného vzoru,</w:t>
      </w:r>
      <w:r w:rsidR="009912F8" w:rsidRPr="00E07C9A">
        <w:t xml:space="preserve"> v </w:t>
      </w:r>
      <w:r w:rsidR="00C3070C" w:rsidRPr="00E07C9A">
        <w:t>ktorom sa používajú len údajové body daného vzoru, zápis neodkazuje na vzor: {riadok; stĺpec}.</w:t>
      </w:r>
    </w:p>
    <w:p w14:paraId="1C93CB72" w14:textId="4DCA2815" w:rsidR="005643EA" w:rsidRPr="00E07C9A" w:rsidRDefault="002A18DE" w:rsidP="00487A02">
      <w:pPr>
        <w:pStyle w:val="InstructionsText2"/>
        <w:numPr>
          <w:ilvl w:val="0"/>
          <w:numId w:val="0"/>
        </w:numPr>
        <w:ind w:left="1353" w:hanging="360"/>
      </w:pPr>
      <w:fldSimple w:instr=" seq paragraphs ">
        <w:r w:rsidR="00132AEE">
          <w:rPr>
            <w:noProof/>
          </w:rPr>
          <w:t>7</w:t>
        </w:r>
      </w:fldSimple>
      <w:r w:rsidR="00C3070C" w:rsidRPr="00E07C9A">
        <w:t>.</w:t>
      </w:r>
      <w:r w:rsidR="00C3070C" w:rsidRPr="00E07C9A">
        <w:tab/>
        <w:t>V prípade vzorov len</w:t>
      </w:r>
      <w:r w:rsidR="009912F8" w:rsidRPr="00E07C9A">
        <w:t xml:space="preserve"> s </w:t>
      </w:r>
      <w:r w:rsidR="00C3070C" w:rsidRPr="00E07C9A">
        <w:t>jedným stĺpcom sa odkazuje len na riadky. {vzor; riadok}</w:t>
      </w:r>
    </w:p>
    <w:p w14:paraId="6CF08484" w14:textId="78F05072" w:rsidR="002648B0" w:rsidRPr="00E07C9A" w:rsidRDefault="002A18DE" w:rsidP="00487A02">
      <w:pPr>
        <w:pStyle w:val="InstructionsText2"/>
        <w:numPr>
          <w:ilvl w:val="0"/>
          <w:numId w:val="0"/>
        </w:numPr>
        <w:ind w:left="1353" w:hanging="360"/>
      </w:pPr>
      <w:fldSimple w:instr=" seq paragraphs ">
        <w:r w:rsidR="00132AEE">
          <w:rPr>
            <w:noProof/>
          </w:rPr>
          <w:t>8</w:t>
        </w:r>
      </w:fldSimple>
      <w:r w:rsidR="00C3070C" w:rsidRPr="00E07C9A">
        <w:t>.</w:t>
      </w:r>
      <w:r w:rsidR="00C3070C" w:rsidRPr="00E07C9A">
        <w:tab/>
        <w:t>Symbol hviezdičky sa používa na vyjadrenie toho, že validácia sa vykonáva pre skôr vymedzené riadky alebo stĺpce.</w:t>
      </w:r>
    </w:p>
    <w:p w14:paraId="6218AD51" w14:textId="7C8DFB3D" w:rsidR="002648B0" w:rsidRPr="00E07C9A" w:rsidRDefault="00125707" w:rsidP="0023700C">
      <w:pPr>
        <w:pStyle w:val="Instructionsberschrift2"/>
        <w:numPr>
          <w:ilvl w:val="0"/>
          <w:numId w:val="0"/>
        </w:numPr>
        <w:ind w:left="357" w:hanging="357"/>
        <w:rPr>
          <w:rFonts w:ascii="Times New Roman" w:hAnsi="Times New Roman" w:cs="Times New Roman"/>
          <w:sz w:val="24"/>
          <w:u w:val="none"/>
        </w:rPr>
      </w:pPr>
      <w:bookmarkStart w:id="18" w:name="_Toc360188321"/>
      <w:bookmarkStart w:id="19" w:name="_Toc473560869"/>
      <w:bookmarkStart w:id="20" w:name="_Toc115857749"/>
      <w:r w:rsidRPr="00E07C9A">
        <w:rPr>
          <w:rFonts w:ascii="Times New Roman" w:hAnsi="Times New Roman" w:cs="Times New Roman"/>
          <w:sz w:val="24"/>
          <w:u w:val="none"/>
        </w:rPr>
        <w:lastRenderedPageBreak/>
        <w:t>1.3.</w:t>
      </w:r>
      <w:r w:rsidRPr="00E07C9A">
        <w:rPr>
          <w:rFonts w:ascii="Times New Roman" w:hAnsi="Times New Roman" w:cs="Times New Roman"/>
          <w:u w:val="none"/>
        </w:rPr>
        <w:tab/>
      </w:r>
      <w:r w:rsidRPr="00E07C9A">
        <w:rPr>
          <w:rFonts w:ascii="Times New Roman" w:hAnsi="Times New Roman" w:cs="Times New Roman"/>
          <w:sz w:val="24"/>
          <w:u w:val="none"/>
        </w:rPr>
        <w:t>Pravidlá používania znamienok</w:t>
      </w:r>
      <w:bookmarkEnd w:id="13"/>
      <w:bookmarkEnd w:id="14"/>
      <w:bookmarkEnd w:id="18"/>
      <w:bookmarkEnd w:id="19"/>
      <w:bookmarkEnd w:id="20"/>
    </w:p>
    <w:p w14:paraId="67BDF5E2" w14:textId="0E848C6B" w:rsidR="002648B0" w:rsidRPr="00E07C9A" w:rsidRDefault="002A18DE" w:rsidP="00487A02">
      <w:pPr>
        <w:pStyle w:val="InstructionsText2"/>
        <w:numPr>
          <w:ilvl w:val="0"/>
          <w:numId w:val="0"/>
        </w:numPr>
        <w:ind w:left="1353" w:hanging="360"/>
      </w:pPr>
      <w:fldSimple w:instr=" seq paragraphs ">
        <w:r w:rsidR="00132AEE">
          <w:rPr>
            <w:noProof/>
          </w:rPr>
          <w:t>9</w:t>
        </w:r>
      </w:fldSimple>
      <w:r w:rsidR="00C3070C" w:rsidRPr="00E07C9A">
        <w:t>.</w:t>
      </w:r>
      <w:r w:rsidR="00C3070C" w:rsidRPr="00E07C9A">
        <w:tab/>
        <w:t>Každá hodnota, ktorou sa zvyšujú vlastné zdroje alebo kapitálové požiadavky, sa vykazuje ako kladné číslo. Naopak, každá hodnota, ktorou sa znižujú celkové vlastné zdroje alebo kapitálové požiadavky, sa vykazuje ako záporné číslo. Ak je pred označením položky záporné znamienko (–), pre túto položku sa neočakáva zadanie kladného čísla.</w:t>
      </w:r>
    </w:p>
    <w:p w14:paraId="69E08A1F" w14:textId="6ECEF544" w:rsidR="00304CA5" w:rsidRPr="00E07C9A" w:rsidRDefault="002A18DE" w:rsidP="00487A02">
      <w:pPr>
        <w:pStyle w:val="InstructionsText2"/>
        <w:numPr>
          <w:ilvl w:val="0"/>
          <w:numId w:val="0"/>
        </w:numPr>
        <w:ind w:left="1353" w:hanging="360"/>
      </w:pPr>
      <w:fldSimple w:instr=" seq paragraphs ">
        <w:r w:rsidR="00132AEE">
          <w:rPr>
            <w:noProof/>
          </w:rPr>
          <w:t>10</w:t>
        </w:r>
      </w:fldSimple>
      <w:r w:rsidR="00C3070C" w:rsidRPr="00E07C9A">
        <w:t>. . [Nevypĺňa sa.]</w:t>
      </w:r>
    </w:p>
    <w:p w14:paraId="661FC092" w14:textId="77777777" w:rsidR="00304CA5" w:rsidRPr="00E07C9A" w:rsidRDefault="00304CA5" w:rsidP="00487A02">
      <w:pPr>
        <w:pStyle w:val="InstructionsText2"/>
        <w:numPr>
          <w:ilvl w:val="0"/>
          <w:numId w:val="0"/>
        </w:numPr>
        <w:ind w:left="1353" w:hanging="360"/>
      </w:pPr>
    </w:p>
    <w:p w14:paraId="6B2B7DCC" w14:textId="77777777" w:rsidR="002648B0" w:rsidRPr="00E07C9A" w:rsidRDefault="002648B0" w:rsidP="00487A02">
      <w:pPr>
        <w:pStyle w:val="InstructionsText2"/>
        <w:sectPr w:rsidR="002648B0" w:rsidRPr="00E07C9A" w:rsidSect="00A801A9">
          <w:endnotePr>
            <w:numFmt w:val="decimal"/>
          </w:endnotePr>
          <w:pgSz w:w="11906" w:h="16838"/>
          <w:pgMar w:top="1417" w:right="1417" w:bottom="1134" w:left="1417" w:header="708" w:footer="708" w:gutter="0"/>
          <w:cols w:space="708"/>
          <w:rtlGutter/>
          <w:docGrid w:linePitch="360"/>
        </w:sectPr>
      </w:pPr>
      <w:bookmarkStart w:id="21" w:name="_Toc264033192"/>
      <w:bookmarkEnd w:id="21"/>
    </w:p>
    <w:p w14:paraId="7E85F65D" w14:textId="77777777" w:rsidR="002648B0" w:rsidRPr="00E07C9A" w:rsidRDefault="002648B0" w:rsidP="00005FFC">
      <w:pPr>
        <w:rPr>
          <w:rFonts w:ascii="Times New Roman" w:hAnsi="Times New Roman"/>
          <w:sz w:val="24"/>
        </w:rPr>
      </w:pPr>
    </w:p>
    <w:p w14:paraId="74494658" w14:textId="77777777" w:rsidR="002648B0" w:rsidRPr="00E07C9A" w:rsidRDefault="002648B0" w:rsidP="00D64B66">
      <w:pPr>
        <w:pStyle w:val="Heading2"/>
        <w:rPr>
          <w:rFonts w:ascii="Times New Roman" w:hAnsi="Times New Roman"/>
        </w:rPr>
      </w:pPr>
      <w:bookmarkStart w:id="22" w:name="_Toc360188322"/>
      <w:bookmarkStart w:id="23" w:name="_Toc473560870"/>
      <w:bookmarkStart w:id="24" w:name="_Toc115857750"/>
      <w:r w:rsidRPr="00E07C9A">
        <w:rPr>
          <w:rFonts w:ascii="Times New Roman" w:hAnsi="Times New Roman"/>
        </w:rPr>
        <w:t>ČASŤ II: POKYNY TÝKAJÚCE SA VZOROV</w:t>
      </w:r>
      <w:bookmarkEnd w:id="22"/>
      <w:bookmarkEnd w:id="23"/>
      <w:bookmarkEnd w:id="24"/>
    </w:p>
    <w:p w14:paraId="3A1C81D9" w14:textId="77777777" w:rsidR="002648B0" w:rsidRPr="00E07C9A" w:rsidRDefault="00125707" w:rsidP="0023700C">
      <w:pPr>
        <w:pStyle w:val="Instructionsberschrift2"/>
        <w:numPr>
          <w:ilvl w:val="0"/>
          <w:numId w:val="0"/>
        </w:numPr>
        <w:ind w:left="357" w:hanging="357"/>
        <w:rPr>
          <w:rFonts w:ascii="Times New Roman" w:hAnsi="Times New Roman" w:cs="Times New Roman"/>
          <w:sz w:val="24"/>
          <w:u w:val="none"/>
        </w:rPr>
      </w:pPr>
      <w:bookmarkStart w:id="25" w:name="_Toc360188323"/>
      <w:bookmarkStart w:id="26" w:name="_Toc473560871"/>
      <w:bookmarkStart w:id="27" w:name="_Toc115857751"/>
      <w:r w:rsidRPr="00E07C9A">
        <w:rPr>
          <w:rFonts w:ascii="Times New Roman" w:hAnsi="Times New Roman" w:cs="Times New Roman"/>
          <w:sz w:val="24"/>
          <w:u w:val="none"/>
        </w:rPr>
        <w:t>1.</w:t>
      </w:r>
      <w:r w:rsidRPr="00E07C9A">
        <w:rPr>
          <w:rFonts w:ascii="Times New Roman" w:hAnsi="Times New Roman" w:cs="Times New Roman"/>
          <w:u w:val="none"/>
        </w:rPr>
        <w:tab/>
      </w:r>
      <w:r w:rsidRPr="00E07C9A">
        <w:rPr>
          <w:rFonts w:ascii="Times New Roman" w:hAnsi="Times New Roman" w:cs="Times New Roman"/>
          <w:sz w:val="24"/>
          <w:u w:val="none"/>
        </w:rPr>
        <w:t>Prehľad kapitálovej primeranosti</w:t>
      </w:r>
      <w:bookmarkEnd w:id="25"/>
      <w:r w:rsidRPr="00E07C9A">
        <w:rPr>
          <w:rFonts w:ascii="Times New Roman" w:hAnsi="Times New Roman" w:cs="Times New Roman"/>
          <w:sz w:val="24"/>
          <w:u w:val="none"/>
        </w:rPr>
        <w:t xml:space="preserve"> („CA“)</w:t>
      </w:r>
      <w:bookmarkEnd w:id="26"/>
      <w:bookmarkEnd w:id="27"/>
    </w:p>
    <w:p w14:paraId="72AE409D" w14:textId="77777777" w:rsidR="002648B0" w:rsidRPr="00E07C9A" w:rsidRDefault="00125707" w:rsidP="0023700C">
      <w:pPr>
        <w:pStyle w:val="Instructionsberschrift2"/>
        <w:numPr>
          <w:ilvl w:val="0"/>
          <w:numId w:val="0"/>
        </w:numPr>
        <w:ind w:left="357" w:hanging="357"/>
        <w:rPr>
          <w:rFonts w:ascii="Times New Roman" w:hAnsi="Times New Roman" w:cs="Times New Roman"/>
          <w:sz w:val="24"/>
          <w:u w:val="none"/>
        </w:rPr>
      </w:pPr>
      <w:bookmarkStart w:id="28" w:name="_Toc308175819"/>
      <w:bookmarkStart w:id="29" w:name="_Toc360188324"/>
      <w:bookmarkStart w:id="30" w:name="_Toc473560872"/>
      <w:bookmarkStart w:id="31" w:name="_Toc115857752"/>
      <w:r w:rsidRPr="00E07C9A">
        <w:rPr>
          <w:rFonts w:ascii="Times New Roman" w:hAnsi="Times New Roman" w:cs="Times New Roman"/>
          <w:sz w:val="24"/>
          <w:u w:val="none"/>
        </w:rPr>
        <w:t>1.1.</w:t>
      </w:r>
      <w:r w:rsidRPr="00E07C9A">
        <w:rPr>
          <w:rFonts w:ascii="Times New Roman" w:hAnsi="Times New Roman" w:cs="Times New Roman"/>
          <w:u w:val="none"/>
        </w:rPr>
        <w:tab/>
      </w:r>
      <w:r w:rsidRPr="00E07C9A">
        <w:rPr>
          <w:rFonts w:ascii="Times New Roman" w:hAnsi="Times New Roman" w:cs="Times New Roman"/>
          <w:sz w:val="24"/>
          <w:u w:val="none"/>
        </w:rPr>
        <w:t>Všeobecné poznámky</w:t>
      </w:r>
      <w:bookmarkEnd w:id="28"/>
      <w:bookmarkEnd w:id="29"/>
      <w:bookmarkEnd w:id="30"/>
      <w:bookmarkEnd w:id="31"/>
    </w:p>
    <w:p w14:paraId="07C44499" w14:textId="7A85BE2A" w:rsidR="009912F8" w:rsidRPr="00E07C9A" w:rsidRDefault="002A18DE" w:rsidP="00487A02">
      <w:pPr>
        <w:pStyle w:val="InstructionsText2"/>
        <w:numPr>
          <w:ilvl w:val="0"/>
          <w:numId w:val="0"/>
        </w:numPr>
        <w:ind w:left="1353" w:hanging="360"/>
      </w:pPr>
      <w:fldSimple w:instr=" seq paragraphs ">
        <w:r w:rsidR="00132AEE">
          <w:rPr>
            <w:noProof/>
          </w:rPr>
          <w:t>11</w:t>
        </w:r>
      </w:fldSimple>
      <w:r w:rsidR="00C3070C" w:rsidRPr="00E07C9A">
        <w:t>.</w:t>
      </w:r>
      <w:r w:rsidR="00C3070C" w:rsidRPr="00E07C9A">
        <w:tab/>
        <w:t>Vzory CA obsahujú informácie</w:t>
      </w:r>
      <w:r w:rsidR="009912F8" w:rsidRPr="00E07C9A">
        <w:t xml:space="preserve"> o </w:t>
      </w:r>
      <w:r w:rsidR="00C3070C" w:rsidRPr="00E07C9A">
        <w:t>čitateľoch piliera 1 (vlastné zdroje, Tier 1, vlastný kapitál Tier 1), menovateli (požiadavky na vlastné zdroje)</w:t>
      </w:r>
      <w:r w:rsidR="009912F8" w:rsidRPr="00E07C9A">
        <w:t xml:space="preserve"> a o </w:t>
      </w:r>
      <w:r w:rsidR="00C3070C" w:rsidRPr="00E07C9A">
        <w:t xml:space="preserve">uplatňovaní prechodných ustanovení nariadenia (EÚ) </w:t>
      </w:r>
      <w:r w:rsidR="009912F8" w:rsidRPr="00E07C9A">
        <w:t>č. 575/2013 a </w:t>
      </w:r>
      <w:r w:rsidR="00C3070C" w:rsidRPr="00E07C9A">
        <w:t>smernice 2013/36/EÚ</w:t>
      </w:r>
      <w:r w:rsidR="009912F8" w:rsidRPr="00E07C9A">
        <w:t xml:space="preserve"> a </w:t>
      </w:r>
      <w:r w:rsidR="00C3070C" w:rsidRPr="00E07C9A">
        <w:t>sú rozdelené do piatich vzorov</w:t>
      </w:r>
      <w:r w:rsidR="009912F8" w:rsidRPr="00E07C9A">
        <w:t>:</w:t>
      </w:r>
    </w:p>
    <w:p w14:paraId="522AAFB4" w14:textId="0F59568E" w:rsidR="005643EA" w:rsidRPr="00E07C9A" w:rsidRDefault="00125707" w:rsidP="00487A02">
      <w:pPr>
        <w:pStyle w:val="InstructionsText2"/>
        <w:numPr>
          <w:ilvl w:val="0"/>
          <w:numId w:val="0"/>
        </w:numPr>
        <w:ind w:left="1353" w:hanging="360"/>
      </w:pPr>
      <w:r w:rsidRPr="00E07C9A">
        <w:t>a)</w:t>
      </w:r>
      <w:r w:rsidRPr="00E07C9A">
        <w:tab/>
        <w:t>Vzor CA1 obsahuje hodnotu vlastných zdrojov inštitúcií rozčlenenú na položky potrebné na dosiahnutie tejto hodnoty. Získaná výška vlastných zdrojov zahŕňa súhrnný účinok uplatňovania prechodnýc</w:t>
      </w:r>
      <w:r w:rsidR="009912F8" w:rsidRPr="00E07C9A">
        <w:t>h ustanovení nariadenia (EÚ) č. 575/2013 a </w:t>
      </w:r>
      <w:r w:rsidRPr="00E07C9A">
        <w:t>smernice 2013/36/EÚ podľa typu kapitálu;</w:t>
      </w:r>
    </w:p>
    <w:p w14:paraId="4AA37357" w14:textId="2E73FF2A" w:rsidR="005643EA" w:rsidRPr="00E07C9A" w:rsidRDefault="00125707" w:rsidP="00487A02">
      <w:pPr>
        <w:pStyle w:val="InstructionsText2"/>
        <w:numPr>
          <w:ilvl w:val="0"/>
          <w:numId w:val="0"/>
        </w:numPr>
        <w:ind w:left="1353" w:hanging="360"/>
      </w:pPr>
      <w:r w:rsidRPr="00E07C9A">
        <w:t>b)</w:t>
      </w:r>
      <w:r w:rsidRPr="00E07C9A">
        <w:tab/>
        <w:t>Vo vzore CA2 sú zhrnuté celkové hodnoty rizikových expozícií podľa vymedzenia</w:t>
      </w:r>
      <w:r w:rsidR="009912F8" w:rsidRPr="00E07C9A">
        <w:t xml:space="preserve"> v </w:t>
      </w:r>
      <w:r w:rsidRPr="00E07C9A">
        <w:t xml:space="preserve">článku 92 ods. 3 nariadenia (EÚ) </w:t>
      </w:r>
      <w:r w:rsidR="009912F8" w:rsidRPr="00E07C9A">
        <w:t>č. 575/2013</w:t>
      </w:r>
      <w:r w:rsidRPr="00E07C9A">
        <w:t>;</w:t>
      </w:r>
    </w:p>
    <w:p w14:paraId="7B8CC078" w14:textId="256BFDAC" w:rsidR="005643EA" w:rsidRPr="00E07C9A" w:rsidRDefault="00125707" w:rsidP="00487A02">
      <w:pPr>
        <w:pStyle w:val="InstructionsText2"/>
        <w:numPr>
          <w:ilvl w:val="0"/>
          <w:numId w:val="0"/>
        </w:numPr>
        <w:ind w:left="1353" w:hanging="360"/>
      </w:pPr>
      <w:r w:rsidRPr="00E07C9A">
        <w:t>c)</w:t>
      </w:r>
      <w:r w:rsidRPr="00E07C9A">
        <w:tab/>
        <w:t>Vzor CA3 obsahuje ukazovatele, pre ktoré sa</w:t>
      </w:r>
      <w:r w:rsidR="009912F8" w:rsidRPr="00E07C9A">
        <w:t xml:space="preserve"> v </w:t>
      </w:r>
      <w:r w:rsidRPr="00E07C9A">
        <w:t xml:space="preserve">nariadení (EÚ) </w:t>
      </w:r>
      <w:r w:rsidR="009912F8" w:rsidRPr="00E07C9A">
        <w:t>č. 575/2013</w:t>
      </w:r>
      <w:r w:rsidRPr="00E07C9A">
        <w:t xml:space="preserve"> stanovuje minimálna úroveň, podiely piliera 2</w:t>
      </w:r>
      <w:r w:rsidR="009912F8" w:rsidRPr="00E07C9A">
        <w:t xml:space="preserve"> a </w:t>
      </w:r>
      <w:r w:rsidRPr="00E07C9A">
        <w:t>určité ďalšie súvisiace údaje;</w:t>
      </w:r>
    </w:p>
    <w:p w14:paraId="0F9D1177" w14:textId="77777777" w:rsidR="009912F8" w:rsidRPr="00E07C9A" w:rsidRDefault="00125707" w:rsidP="00487A02">
      <w:pPr>
        <w:pStyle w:val="InstructionsText2"/>
        <w:numPr>
          <w:ilvl w:val="0"/>
          <w:numId w:val="0"/>
        </w:numPr>
        <w:ind w:left="1353" w:hanging="360"/>
      </w:pPr>
      <w:r w:rsidRPr="00E07C9A">
        <w:t>d)</w:t>
      </w:r>
      <w:r w:rsidRPr="00E07C9A">
        <w:tab/>
        <w:t>Vzor CA4 obsahuje doplňujúce položky potrebné, okrem iného, na výpočet položiek vo vzore CA1, ako aj informácie týkajúce sa kapitálových vankúšov smernice 2013/36/EÚ</w:t>
      </w:r>
      <w:r w:rsidR="009912F8" w:rsidRPr="00E07C9A">
        <w:t>;</w:t>
      </w:r>
    </w:p>
    <w:p w14:paraId="3B08263D" w14:textId="0D1BC463" w:rsidR="005643EA" w:rsidRPr="00E07C9A" w:rsidRDefault="00125707" w:rsidP="00487A02">
      <w:pPr>
        <w:pStyle w:val="InstructionsText2"/>
        <w:numPr>
          <w:ilvl w:val="0"/>
          <w:numId w:val="0"/>
        </w:numPr>
        <w:ind w:left="1353" w:hanging="360"/>
      </w:pPr>
      <w:r w:rsidRPr="00E07C9A">
        <w:t>e)</w:t>
      </w:r>
      <w:r w:rsidRPr="00E07C9A">
        <w:tab/>
        <w:t xml:space="preserve">Vzor CA5 obsahuje údaje potrebné na výpočet účinku uplatňovania prechodných ustanovení nariadenia (EÚ) </w:t>
      </w:r>
      <w:r w:rsidR="009912F8" w:rsidRPr="00E07C9A">
        <w:t>č. 575/2013</w:t>
      </w:r>
      <w:r w:rsidRPr="00E07C9A">
        <w:t xml:space="preserve"> na vlastné zdroje. Vzor CA5 prestane existovať po uplynutí platnosti uvedených prechodných ustanovení.</w:t>
      </w:r>
    </w:p>
    <w:p w14:paraId="42AFBB71" w14:textId="009F0CCA" w:rsidR="00783881" w:rsidRPr="00E07C9A" w:rsidRDefault="002A18DE" w:rsidP="00487A02">
      <w:pPr>
        <w:pStyle w:val="InstructionsText2"/>
        <w:numPr>
          <w:ilvl w:val="0"/>
          <w:numId w:val="0"/>
        </w:numPr>
        <w:ind w:left="1353" w:hanging="360"/>
      </w:pPr>
      <w:fldSimple w:instr=" seq paragraphs ">
        <w:r w:rsidR="00132AEE">
          <w:rPr>
            <w:noProof/>
          </w:rPr>
          <w:t>12</w:t>
        </w:r>
      </w:fldSimple>
      <w:r w:rsidR="00C3070C" w:rsidRPr="00E07C9A">
        <w:t>.</w:t>
      </w:r>
      <w:r w:rsidR="00C3070C" w:rsidRPr="00E07C9A">
        <w:tab/>
        <w:t>Vzory sa majú vzťahovať na všetky vykazujúce subjekty bez ohľadu na používané účtovné štandardy, aj keď niektoré položky</w:t>
      </w:r>
      <w:r w:rsidR="009912F8" w:rsidRPr="00E07C9A">
        <w:t xml:space="preserve"> v </w:t>
      </w:r>
      <w:r w:rsidR="00C3070C" w:rsidRPr="00E07C9A">
        <w:t>čitateli sú špecifické pre subjekty, ktoré používajú pravidlá oceňovania podľa IAS/IFRS. Informácie</w:t>
      </w:r>
      <w:r w:rsidR="009912F8" w:rsidRPr="00E07C9A">
        <w:t xml:space="preserve"> v </w:t>
      </w:r>
      <w:r w:rsidR="00C3070C" w:rsidRPr="00E07C9A">
        <w:t>menovateli sú vo všeobecnosti spojené</w:t>
      </w:r>
      <w:r w:rsidR="009912F8" w:rsidRPr="00E07C9A">
        <w:t xml:space="preserve"> s </w:t>
      </w:r>
      <w:r w:rsidR="00C3070C" w:rsidRPr="00E07C9A">
        <w:t>konečnými výsledkami vykazovanými</w:t>
      </w:r>
      <w:r w:rsidR="009912F8" w:rsidRPr="00E07C9A">
        <w:t xml:space="preserve"> v </w:t>
      </w:r>
      <w:r w:rsidR="00C3070C" w:rsidRPr="00E07C9A">
        <w:t>príslušných vzoroch na výpočet celkovej hodnoty rizikovej expozície.</w:t>
      </w:r>
    </w:p>
    <w:p w14:paraId="0C74E295" w14:textId="350BE7FA" w:rsidR="009912F8" w:rsidRPr="00E07C9A" w:rsidRDefault="002A18DE" w:rsidP="00487A02">
      <w:pPr>
        <w:pStyle w:val="InstructionsText2"/>
        <w:numPr>
          <w:ilvl w:val="0"/>
          <w:numId w:val="0"/>
        </w:numPr>
        <w:ind w:left="1353" w:hanging="360"/>
      </w:pPr>
      <w:fldSimple w:instr=" seq paragraphs ">
        <w:r w:rsidR="00132AEE">
          <w:rPr>
            <w:noProof/>
          </w:rPr>
          <w:t>13</w:t>
        </w:r>
      </w:fldSimple>
      <w:r w:rsidR="00C3070C" w:rsidRPr="00E07C9A">
        <w:t>.</w:t>
      </w:r>
      <w:r w:rsidR="00C3070C" w:rsidRPr="00E07C9A">
        <w:tab/>
        <w:t>Celkové vlastné zdroje sa skladajú</w:t>
      </w:r>
      <w:r w:rsidR="009912F8" w:rsidRPr="00E07C9A">
        <w:t xml:space="preserve"> z </w:t>
      </w:r>
      <w:r w:rsidR="00C3070C" w:rsidRPr="00E07C9A">
        <w:t>rôznych typov kapitálu: kapitál Tier 1 (T1), ktorý je súčtom vlastného kapitálu Tier 1 (CET1), dodatočného kapitálu Tier 1 (AT1)</w:t>
      </w:r>
      <w:r w:rsidR="009912F8" w:rsidRPr="00E07C9A">
        <w:t xml:space="preserve"> a </w:t>
      </w:r>
      <w:r w:rsidR="00C3070C" w:rsidRPr="00E07C9A">
        <w:t>kapitálu Tier 2 (T2)</w:t>
      </w:r>
      <w:r w:rsidR="009912F8" w:rsidRPr="00E07C9A">
        <w:t>.</w:t>
      </w:r>
    </w:p>
    <w:p w14:paraId="7CAE4F09" w14:textId="3E5B869E" w:rsidR="00783881" w:rsidRPr="00E07C9A" w:rsidRDefault="002A18DE" w:rsidP="00487A02">
      <w:pPr>
        <w:pStyle w:val="InstructionsText2"/>
        <w:numPr>
          <w:ilvl w:val="0"/>
          <w:numId w:val="0"/>
        </w:numPr>
        <w:ind w:left="1353" w:hanging="360"/>
      </w:pPr>
      <w:fldSimple w:instr=" seq paragraphs ">
        <w:r w:rsidR="00132AEE">
          <w:rPr>
            <w:noProof/>
          </w:rPr>
          <w:t>14</w:t>
        </w:r>
      </w:fldSimple>
      <w:r w:rsidR="00C3070C" w:rsidRPr="00E07C9A">
        <w:t>.</w:t>
      </w:r>
      <w:r w:rsidR="00C3070C" w:rsidRPr="00E07C9A">
        <w:tab/>
        <w:t xml:space="preserve">S uplatňovaním prechodných ustanovení nariadenia (EÚ) </w:t>
      </w:r>
      <w:r w:rsidR="009912F8" w:rsidRPr="00E07C9A">
        <w:t>č. 575/2013 a </w:t>
      </w:r>
      <w:r w:rsidR="00C3070C" w:rsidRPr="00E07C9A">
        <w:t>smernice 2013/36/EÚ sa vo vzoroch CA zaobchádza takto:</w:t>
      </w:r>
    </w:p>
    <w:p w14:paraId="461AFACA" w14:textId="5ECF4C0E" w:rsidR="00783881" w:rsidRPr="00E07C9A" w:rsidRDefault="00125707" w:rsidP="00487A02">
      <w:pPr>
        <w:pStyle w:val="InstructionsText2"/>
        <w:numPr>
          <w:ilvl w:val="0"/>
          <w:numId w:val="0"/>
        </w:numPr>
        <w:ind w:left="1353" w:hanging="360"/>
      </w:pPr>
      <w:r w:rsidRPr="00E07C9A">
        <w:t>a)</w:t>
      </w:r>
      <w:r w:rsidRPr="00E07C9A">
        <w:tab/>
        <w:t>Položky vo vzore CA1 sa vo všeobecnosti uvádzajú pred uplatnením prechodných úprav. Znamená to, že číselné hodnoty</w:t>
      </w:r>
      <w:r w:rsidR="009912F8" w:rsidRPr="00E07C9A">
        <w:t xml:space="preserve"> v </w:t>
      </w:r>
      <w:r w:rsidRPr="00E07C9A">
        <w:t>položkách CA1 sa vypočítavajú podľa záverečných ustanovení (t. j. akoby neexistovali prechodné ustanovenia)</w:t>
      </w:r>
      <w:r w:rsidR="009912F8" w:rsidRPr="00E07C9A">
        <w:t xml:space="preserve"> s </w:t>
      </w:r>
      <w:r w:rsidRPr="00E07C9A">
        <w:t>výnimkou položiek,</w:t>
      </w:r>
      <w:r w:rsidR="009912F8" w:rsidRPr="00E07C9A">
        <w:t xml:space="preserve"> v </w:t>
      </w:r>
      <w:r w:rsidRPr="00E07C9A">
        <w:t>ktorých sa sumarizuje účinok uvedených prechodných ustanovení. Pre každý typ kapitálu (t. j. CET1, AT1</w:t>
      </w:r>
      <w:r w:rsidR="009912F8" w:rsidRPr="00E07C9A">
        <w:t xml:space="preserve"> a </w:t>
      </w:r>
      <w:r w:rsidRPr="00E07C9A">
        <w:t>T2) existujú tri rôzne položky,</w:t>
      </w:r>
      <w:r w:rsidR="009912F8" w:rsidRPr="00E07C9A">
        <w:t xml:space="preserve"> v </w:t>
      </w:r>
      <w:r w:rsidRPr="00E07C9A">
        <w:t>ktorých sú zahrnuté všetky úpravy vyplývajúce</w:t>
      </w:r>
      <w:r w:rsidR="009912F8" w:rsidRPr="00E07C9A">
        <w:t xml:space="preserve"> z </w:t>
      </w:r>
      <w:r w:rsidRPr="00E07C9A">
        <w:t>uvedených prechodných ustanovení.</w:t>
      </w:r>
    </w:p>
    <w:p w14:paraId="1413EE3A" w14:textId="213CA362" w:rsidR="00113EA5" w:rsidRPr="00E07C9A" w:rsidRDefault="00125707" w:rsidP="00487A02">
      <w:pPr>
        <w:pStyle w:val="InstructionsText2"/>
        <w:numPr>
          <w:ilvl w:val="0"/>
          <w:numId w:val="0"/>
        </w:numPr>
        <w:ind w:left="1353" w:hanging="360"/>
      </w:pPr>
      <w:r w:rsidRPr="00E07C9A">
        <w:lastRenderedPageBreak/>
        <w:t>b)</w:t>
      </w:r>
      <w:r w:rsidRPr="00E07C9A">
        <w:tab/>
        <w:t>Prechodné ustanovenia môžu ovplyvniť aj nedostatok AT1</w:t>
      </w:r>
      <w:r w:rsidR="009912F8" w:rsidRPr="00E07C9A">
        <w:t xml:space="preserve"> a </w:t>
      </w:r>
      <w:r w:rsidRPr="00E07C9A">
        <w:t>T2 [t. j. AT1 alebo T2 nadbytok odpočtov podľa ustanovení článku 36 ods. 1 písm. j)</w:t>
      </w:r>
      <w:r w:rsidR="009912F8" w:rsidRPr="00E07C9A">
        <w:t xml:space="preserve"> a </w:t>
      </w:r>
      <w:r w:rsidRPr="00E07C9A">
        <w:t xml:space="preserve">článku 56 písm. e) nariadenia (EÚ) </w:t>
      </w:r>
      <w:r w:rsidR="009912F8" w:rsidRPr="00E07C9A">
        <w:t>č. 575/2013</w:t>
      </w:r>
      <w:r w:rsidRPr="00E07C9A">
        <w:t>],</w:t>
      </w:r>
      <w:r w:rsidR="009912F8" w:rsidRPr="00E07C9A">
        <w:t xml:space="preserve"> a </w:t>
      </w:r>
      <w:r w:rsidRPr="00E07C9A">
        <w:t>položky obsahujúce tieto nedostatky tak môžu nepriamo odzrkadľovať účinok uvedených prechodných ustanovení.</w:t>
      </w:r>
    </w:p>
    <w:p w14:paraId="5BC61AA0" w14:textId="7E5186D0" w:rsidR="009912F8" w:rsidRPr="00E07C9A" w:rsidRDefault="00125707" w:rsidP="00487A02">
      <w:pPr>
        <w:pStyle w:val="InstructionsText2"/>
        <w:numPr>
          <w:ilvl w:val="0"/>
          <w:numId w:val="0"/>
        </w:numPr>
        <w:ind w:left="1353" w:hanging="360"/>
      </w:pPr>
      <w:r w:rsidRPr="00E07C9A">
        <w:t>c)</w:t>
      </w:r>
      <w:r w:rsidRPr="00E07C9A">
        <w:tab/>
        <w:t xml:space="preserve">Vzor CA5 sa používa výlučne na vykazovanie účinku spôsobeného uplatňovaním prechodných ustanovení nariadenia (EÚ) </w:t>
      </w:r>
      <w:r w:rsidR="009912F8" w:rsidRPr="00E07C9A">
        <w:t>č. 575/2013.</w:t>
      </w:r>
    </w:p>
    <w:p w14:paraId="2502A202" w14:textId="642102FD" w:rsidR="009912F8" w:rsidRPr="00E07C9A" w:rsidRDefault="002A18DE" w:rsidP="00487A02">
      <w:pPr>
        <w:pStyle w:val="InstructionsText2"/>
        <w:numPr>
          <w:ilvl w:val="0"/>
          <w:numId w:val="0"/>
        </w:numPr>
        <w:ind w:left="1353" w:hanging="360"/>
      </w:pPr>
      <w:fldSimple w:instr=" seq paragraphs ">
        <w:r w:rsidR="00132AEE">
          <w:rPr>
            <w:noProof/>
          </w:rPr>
          <w:t>15</w:t>
        </w:r>
      </w:fldSimple>
      <w:r w:rsidR="00C3070C" w:rsidRPr="00E07C9A">
        <w:t>.</w:t>
      </w:r>
      <w:r w:rsidR="00C3070C" w:rsidRPr="00E07C9A">
        <w:tab/>
        <w:t>Prístup</w:t>
      </w:r>
      <w:r w:rsidR="009912F8" w:rsidRPr="00E07C9A">
        <w:t xml:space="preserve"> k </w:t>
      </w:r>
      <w:r w:rsidR="00C3070C" w:rsidRPr="00E07C9A">
        <w:t>požiadavkám piliera II sa môže</w:t>
      </w:r>
      <w:r w:rsidR="009912F8" w:rsidRPr="00E07C9A">
        <w:t xml:space="preserve"> v </w:t>
      </w:r>
      <w:r w:rsidR="00C3070C" w:rsidRPr="00E07C9A">
        <w:t xml:space="preserve">rámci Únie líšiť (článok 104a ods. 1 smernice 2013/36/EÚ sa musí transponovať do vnútroštátnych právnych predpisov). Do vykazovania platobnej schopnosti požadovaného na základe nariadenia (EÚ) </w:t>
      </w:r>
      <w:r w:rsidR="009912F8" w:rsidRPr="00E07C9A">
        <w:t>č. 575/2013</w:t>
      </w:r>
      <w:r w:rsidR="00C3070C" w:rsidRPr="00E07C9A">
        <w:t xml:space="preserve"> sa zahrnie len vplyv požiadaviek piliera II na pomer platobnej schopnosti alebo cieľový pomer</w:t>
      </w:r>
      <w:r w:rsidR="009912F8" w:rsidRPr="00E07C9A">
        <w:t>.</w:t>
      </w:r>
    </w:p>
    <w:p w14:paraId="4913F19A" w14:textId="2BC8C748" w:rsidR="005643EA" w:rsidRPr="00E07C9A" w:rsidRDefault="00125707" w:rsidP="00487A02">
      <w:pPr>
        <w:pStyle w:val="InstructionsText2"/>
        <w:numPr>
          <w:ilvl w:val="0"/>
          <w:numId w:val="0"/>
        </w:numPr>
        <w:ind w:left="1353" w:hanging="360"/>
      </w:pPr>
      <w:r w:rsidRPr="00E07C9A">
        <w:t>a)</w:t>
      </w:r>
      <w:r w:rsidRPr="00E07C9A">
        <w:tab/>
        <w:t>Vzory CA1, CA2 alebo CA5 obsahujú len údaje</w:t>
      </w:r>
      <w:r w:rsidR="009912F8" w:rsidRPr="00E07C9A">
        <w:t xml:space="preserve"> o </w:t>
      </w:r>
      <w:r w:rsidRPr="00E07C9A">
        <w:t>otázkach piliera I.</w:t>
      </w:r>
    </w:p>
    <w:p w14:paraId="1D28867A" w14:textId="77777777" w:rsidR="005643EA" w:rsidRPr="00E07C9A" w:rsidRDefault="00125707" w:rsidP="00487A02">
      <w:pPr>
        <w:pStyle w:val="InstructionsText2"/>
        <w:numPr>
          <w:ilvl w:val="0"/>
          <w:numId w:val="0"/>
        </w:numPr>
        <w:ind w:left="1353" w:hanging="360"/>
      </w:pPr>
      <w:r w:rsidRPr="00E07C9A">
        <w:t>b)</w:t>
      </w:r>
      <w:r w:rsidRPr="00E07C9A">
        <w:tab/>
        <w:t>Vzor CA3 obsahuje súhrnný účinok dodatočných požiadaviek piliera II na pomer platobnej schopnosti. Zameriava sa najmä na samotné cieľové pomery. Neexistuje žiadne ďalšie prepojenie so vzormi CA1, CA2 ani CA5.</w:t>
      </w:r>
    </w:p>
    <w:p w14:paraId="36BBAE84" w14:textId="1FB09298" w:rsidR="005643EA" w:rsidRPr="00E07C9A" w:rsidRDefault="00125707" w:rsidP="00487A02">
      <w:pPr>
        <w:pStyle w:val="InstructionsText2"/>
        <w:numPr>
          <w:ilvl w:val="0"/>
          <w:numId w:val="0"/>
        </w:numPr>
        <w:ind w:left="1353" w:hanging="360"/>
      </w:pPr>
      <w:r w:rsidRPr="00E07C9A">
        <w:t>c)</w:t>
      </w:r>
      <w:r w:rsidRPr="00E07C9A">
        <w:tab/>
        <w:t>Vzor CA4 obsahuje jednu bunku týkajúcu sa dodatočných požiadaviek na vlastné zdroje súvisiacich</w:t>
      </w:r>
      <w:r w:rsidR="009912F8" w:rsidRPr="00E07C9A">
        <w:t xml:space="preserve"> s </w:t>
      </w:r>
      <w:r w:rsidRPr="00E07C9A">
        <w:t>pilierom II. Uvedená bunka nie je prostredníctvom pravidiel validácie vôbec spojená</w:t>
      </w:r>
      <w:r w:rsidR="009912F8" w:rsidRPr="00E07C9A">
        <w:t xml:space="preserve"> s </w:t>
      </w:r>
      <w:r w:rsidRPr="00E07C9A">
        <w:t>podielmi kapitálu vzoru CA3</w:t>
      </w:r>
      <w:r w:rsidR="009912F8" w:rsidRPr="00E07C9A">
        <w:t xml:space="preserve"> a </w:t>
      </w:r>
      <w:r w:rsidRPr="00E07C9A">
        <w:t>odzrkadľuje článok 104a ods. 1 smernice 2013/36/EÚ,</w:t>
      </w:r>
      <w:r w:rsidR="009912F8" w:rsidRPr="00E07C9A">
        <w:t xml:space="preserve"> v </w:t>
      </w:r>
      <w:r w:rsidRPr="00E07C9A">
        <w:t>ktorom sa výslovne uvádzajú dodatočné požiadavky na vlastné zdroje ako jedna</w:t>
      </w:r>
      <w:r w:rsidR="009912F8" w:rsidRPr="00E07C9A">
        <w:t xml:space="preserve"> z </w:t>
      </w:r>
      <w:r w:rsidRPr="00E07C9A">
        <w:t>možností pre rozhodnutia piliera II.</w:t>
      </w:r>
    </w:p>
    <w:p w14:paraId="30172554" w14:textId="77777777" w:rsidR="009912F8" w:rsidRPr="00E07C9A" w:rsidRDefault="00125707" w:rsidP="0023700C">
      <w:pPr>
        <w:pStyle w:val="Instructionsberschrift2"/>
        <w:numPr>
          <w:ilvl w:val="0"/>
          <w:numId w:val="0"/>
        </w:numPr>
        <w:ind w:left="357" w:hanging="357"/>
        <w:rPr>
          <w:rFonts w:ascii="Times New Roman" w:hAnsi="Times New Roman" w:cs="Times New Roman"/>
          <w:sz w:val="24"/>
        </w:rPr>
      </w:pPr>
      <w:bookmarkStart w:id="32" w:name="_Toc473560873"/>
      <w:bookmarkStart w:id="33" w:name="_Toc115857753"/>
      <w:bookmarkStart w:id="34" w:name="_Toc308175820"/>
      <w:bookmarkStart w:id="35" w:name="_Toc360188325"/>
      <w:r w:rsidRPr="00E07C9A">
        <w:rPr>
          <w:rFonts w:ascii="Times New Roman" w:hAnsi="Times New Roman" w:cs="Times New Roman"/>
          <w:sz w:val="24"/>
          <w:u w:val="none"/>
        </w:rPr>
        <w:t>1.2.</w:t>
      </w:r>
      <w:r w:rsidRPr="002A18DE">
        <w:rPr>
          <w:rFonts w:ascii="Times New Roman" w:hAnsi="Times New Roman" w:cs="Times New Roman"/>
          <w:u w:val="none"/>
        </w:rPr>
        <w:tab/>
      </w:r>
      <w:r w:rsidRPr="00E07C9A">
        <w:rPr>
          <w:rFonts w:ascii="Times New Roman" w:hAnsi="Times New Roman" w:cs="Times New Roman"/>
          <w:sz w:val="24"/>
        </w:rPr>
        <w:t>C 01.00 – VLASTNÉ ZDROJE (CA1)</w:t>
      </w:r>
      <w:bookmarkEnd w:id="32"/>
      <w:bookmarkEnd w:id="33"/>
      <w:bookmarkEnd w:id="34"/>
      <w:bookmarkEnd w:id="35"/>
    </w:p>
    <w:p w14:paraId="2A108929" w14:textId="01E7AE52" w:rsidR="002648B0" w:rsidRPr="00E07C9A" w:rsidRDefault="00125707" w:rsidP="0023700C">
      <w:pPr>
        <w:pStyle w:val="Instructionsberschrift2"/>
        <w:numPr>
          <w:ilvl w:val="0"/>
          <w:numId w:val="0"/>
        </w:numPr>
        <w:ind w:left="357" w:hanging="357"/>
        <w:rPr>
          <w:rFonts w:ascii="Times New Roman" w:hAnsi="Times New Roman" w:cs="Times New Roman"/>
          <w:sz w:val="24"/>
        </w:rPr>
      </w:pPr>
      <w:bookmarkStart w:id="36" w:name="_Toc308175821"/>
      <w:bookmarkStart w:id="37" w:name="_Toc310414968"/>
      <w:bookmarkStart w:id="38" w:name="_Toc360188326"/>
      <w:bookmarkStart w:id="39" w:name="_Toc473560874"/>
      <w:bookmarkStart w:id="40" w:name="_Toc115857754"/>
      <w:r w:rsidRPr="00E07C9A">
        <w:rPr>
          <w:rFonts w:ascii="Times New Roman" w:hAnsi="Times New Roman" w:cs="Times New Roman"/>
          <w:sz w:val="24"/>
          <w:u w:val="none"/>
        </w:rPr>
        <w:t>1.2.1.</w:t>
      </w:r>
      <w:r w:rsidRPr="002A18DE">
        <w:rPr>
          <w:rFonts w:ascii="Times New Roman" w:hAnsi="Times New Roman" w:cs="Times New Roman"/>
          <w:u w:val="none"/>
        </w:rPr>
        <w:tab/>
      </w:r>
      <w:r w:rsidRPr="00E07C9A">
        <w:rPr>
          <w:rFonts w:ascii="Times New Roman" w:hAnsi="Times New Roman" w:cs="Times New Roman"/>
          <w:sz w:val="24"/>
        </w:rPr>
        <w:t xml:space="preserve">Pokyny týkajúce sa konkrétnych </w:t>
      </w:r>
      <w:bookmarkEnd w:id="36"/>
      <w:bookmarkEnd w:id="37"/>
      <w:r w:rsidRPr="00E07C9A">
        <w:rPr>
          <w:rFonts w:ascii="Times New Roman" w:hAnsi="Times New Roman" w:cs="Times New Roman"/>
          <w:sz w:val="24"/>
        </w:rPr>
        <w:t>pozícií</w:t>
      </w:r>
      <w:bookmarkEnd w:id="38"/>
      <w:bookmarkEnd w:id="39"/>
      <w:bookmarkEnd w:id="40"/>
    </w:p>
    <w:p w14:paraId="576AA95C" w14:textId="77777777" w:rsidR="002648B0" w:rsidRPr="00E07C9A" w:rsidRDefault="002648B0" w:rsidP="00487A02">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E07C9A" w14:paraId="0F33A6E7" w14:textId="77777777" w:rsidTr="00D731E3">
        <w:tc>
          <w:tcPr>
            <w:tcW w:w="1129" w:type="dxa"/>
            <w:shd w:val="clear" w:color="auto" w:fill="D9D9D9"/>
          </w:tcPr>
          <w:p w14:paraId="31F0027E" w14:textId="77777777" w:rsidR="005643EA" w:rsidRPr="00E07C9A" w:rsidRDefault="002648B0" w:rsidP="00487A02">
            <w:pPr>
              <w:pStyle w:val="InstructionsText"/>
              <w:rPr>
                <w:rStyle w:val="InstructionsTabelleText"/>
                <w:rFonts w:ascii="Times New Roman" w:hAnsi="Times New Roman"/>
                <w:bCs/>
                <w:sz w:val="24"/>
              </w:rPr>
            </w:pPr>
            <w:r w:rsidRPr="00E07C9A">
              <w:rPr>
                <w:rStyle w:val="InstructionsTabelleText"/>
                <w:rFonts w:ascii="Times New Roman" w:hAnsi="Times New Roman"/>
                <w:sz w:val="24"/>
              </w:rPr>
              <w:t>Riadok</w:t>
            </w:r>
          </w:p>
        </w:tc>
        <w:tc>
          <w:tcPr>
            <w:tcW w:w="7620" w:type="dxa"/>
            <w:shd w:val="clear" w:color="auto" w:fill="D9D9D9"/>
          </w:tcPr>
          <w:p w14:paraId="5F9C6DF8" w14:textId="687EFC38" w:rsidR="005643EA" w:rsidRPr="00E07C9A" w:rsidRDefault="002648B0" w:rsidP="00487A02">
            <w:pPr>
              <w:pStyle w:val="InstructionsText"/>
              <w:rPr>
                <w:rStyle w:val="InstructionsTabelleText"/>
                <w:rFonts w:ascii="Times New Roman" w:hAnsi="Times New Roman"/>
                <w:bCs/>
                <w:sz w:val="24"/>
              </w:rPr>
            </w:pPr>
            <w:r w:rsidRPr="00E07C9A">
              <w:rPr>
                <w:rStyle w:val="InstructionsTabelleText"/>
                <w:rFonts w:ascii="Times New Roman" w:hAnsi="Times New Roman"/>
                <w:sz w:val="24"/>
              </w:rPr>
              <w:t>Odkazy na právne predpisy</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pokyny</w:t>
            </w:r>
          </w:p>
        </w:tc>
      </w:tr>
      <w:tr w:rsidR="002648B0" w:rsidRPr="00E07C9A" w14:paraId="4DF964B1" w14:textId="77777777" w:rsidTr="00D731E3">
        <w:tc>
          <w:tcPr>
            <w:tcW w:w="1129" w:type="dxa"/>
          </w:tcPr>
          <w:p w14:paraId="4B969D4C" w14:textId="77777777" w:rsidR="002648B0" w:rsidRPr="00E07C9A" w:rsidRDefault="00A53185"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0010</w:t>
            </w:r>
          </w:p>
        </w:tc>
        <w:tc>
          <w:tcPr>
            <w:tcW w:w="7620" w:type="dxa"/>
          </w:tcPr>
          <w:p w14:paraId="6C1D3AFB" w14:textId="77777777" w:rsidR="00D7242F" w:rsidRPr="00E07C9A" w:rsidRDefault="00C66473"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1.</w:t>
            </w:r>
            <w:r w:rsidRPr="00E07C9A">
              <w:tab/>
            </w:r>
            <w:r w:rsidRPr="00E07C9A">
              <w:rPr>
                <w:rStyle w:val="InstructionsTabelleberschrift"/>
                <w:rFonts w:ascii="Times New Roman" w:hAnsi="Times New Roman"/>
                <w:sz w:val="24"/>
              </w:rPr>
              <w:t>Vlastné zdroje</w:t>
            </w:r>
          </w:p>
          <w:p w14:paraId="386CAF3D" w14:textId="22B7DC38" w:rsidR="005643EA" w:rsidRPr="00E07C9A" w:rsidRDefault="002648B0"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Článok 4 ods. 1 bod 118</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 xml:space="preserve">článok 72 </w:t>
            </w:r>
            <w:r w:rsidRPr="00E07C9A">
              <w:t xml:space="preserve">nariadenia (EÚ) </w:t>
            </w:r>
            <w:r w:rsidR="009912F8" w:rsidRPr="00E07C9A">
              <w:t>č. 575/2013</w:t>
            </w:r>
          </w:p>
          <w:p w14:paraId="3C8B7AF9" w14:textId="677836F1" w:rsidR="005643EA" w:rsidRPr="00E07C9A" w:rsidRDefault="002648B0" w:rsidP="00487A02">
            <w:pPr>
              <w:pStyle w:val="InstructionsText"/>
              <w:rPr>
                <w:rStyle w:val="InstructionsTabelleberschrift"/>
                <w:rFonts w:ascii="Times New Roman" w:hAnsi="Times New Roman"/>
                <w:sz w:val="24"/>
              </w:rPr>
            </w:pPr>
            <w:r w:rsidRPr="00E07C9A">
              <w:rPr>
                <w:rStyle w:val="FormatvorlageInstructionsTabelleText"/>
                <w:rFonts w:ascii="Times New Roman" w:hAnsi="Times New Roman"/>
                <w:sz w:val="24"/>
              </w:rPr>
              <w:t>Vlastné zdroje inštitúcie pozostávajú zo súčtu jej kapitálu Tier 1</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kapitálu Tier 2.</w:t>
            </w:r>
          </w:p>
        </w:tc>
      </w:tr>
      <w:tr w:rsidR="00666996" w:rsidRPr="00E07C9A" w14:paraId="52FC579E" w14:textId="77777777" w:rsidTr="00D731E3">
        <w:tc>
          <w:tcPr>
            <w:tcW w:w="1129" w:type="dxa"/>
          </w:tcPr>
          <w:p w14:paraId="7398CA04" w14:textId="77777777" w:rsidR="00666996" w:rsidRPr="00E07C9A" w:rsidRDefault="00A53185"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0015</w:t>
            </w:r>
          </w:p>
        </w:tc>
        <w:tc>
          <w:tcPr>
            <w:tcW w:w="7620" w:type="dxa"/>
          </w:tcPr>
          <w:p w14:paraId="478AF4FD" w14:textId="77777777" w:rsidR="005643EA" w:rsidRPr="00E07C9A" w:rsidRDefault="00666996"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1.1.</w:t>
            </w:r>
            <w:r w:rsidRPr="00E07C9A">
              <w:tab/>
            </w:r>
            <w:r w:rsidRPr="00E07C9A">
              <w:rPr>
                <w:rStyle w:val="InstructionsTabelleberschrift"/>
                <w:rFonts w:ascii="Times New Roman" w:hAnsi="Times New Roman"/>
                <w:sz w:val="24"/>
              </w:rPr>
              <w:t>Kapitál Tier 1</w:t>
            </w:r>
          </w:p>
          <w:p w14:paraId="38E5595D" w14:textId="3B3790B9" w:rsidR="005643EA" w:rsidRPr="00E07C9A" w:rsidRDefault="00666996"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Článok 25</w:t>
            </w:r>
            <w:r w:rsidR="009912F8" w:rsidRPr="00E07C9A">
              <w:rPr>
                <w:rStyle w:val="FormatvorlageInstructionsTabelleText"/>
                <w:rFonts w:ascii="Times New Roman" w:hAnsi="Times New Roman"/>
                <w:sz w:val="24"/>
              </w:rPr>
              <w:t xml:space="preserve"> </w:t>
            </w:r>
            <w:r w:rsidRPr="00E07C9A">
              <w:t xml:space="preserve">nariadenia (EÚ) </w:t>
            </w:r>
            <w:r w:rsidR="009912F8" w:rsidRPr="00E07C9A">
              <w:t>č. 575/2013</w:t>
            </w:r>
          </w:p>
          <w:p w14:paraId="51A21B40" w14:textId="0CF753A5" w:rsidR="005643EA" w:rsidRPr="00E07C9A" w:rsidRDefault="00666996" w:rsidP="00487A02">
            <w:pPr>
              <w:pStyle w:val="InstructionsText"/>
              <w:rPr>
                <w:rStyle w:val="InstructionsTabelleberschrift"/>
                <w:rFonts w:ascii="Times New Roman" w:hAnsi="Times New Roman"/>
                <w:sz w:val="24"/>
              </w:rPr>
            </w:pPr>
            <w:r w:rsidRPr="00E07C9A">
              <w:rPr>
                <w:rStyle w:val="FormatvorlageInstructionsTabelleText"/>
                <w:rFonts w:ascii="Times New Roman" w:hAnsi="Times New Roman"/>
                <w:sz w:val="24"/>
              </w:rPr>
              <w:t>Kapitál Tier 1 je súčtom vlastného kapitálu Tier 1</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 xml:space="preserve">dodatočného kapitálu Tier 1. </w:t>
            </w:r>
          </w:p>
        </w:tc>
      </w:tr>
      <w:tr w:rsidR="002648B0" w:rsidRPr="00E07C9A" w14:paraId="35B60C57" w14:textId="77777777" w:rsidTr="00D731E3">
        <w:tc>
          <w:tcPr>
            <w:tcW w:w="1129" w:type="dxa"/>
          </w:tcPr>
          <w:p w14:paraId="35BA1B6C" w14:textId="77777777" w:rsidR="002648B0" w:rsidRPr="00E07C9A" w:rsidRDefault="00A53185"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0020</w:t>
            </w:r>
          </w:p>
        </w:tc>
        <w:tc>
          <w:tcPr>
            <w:tcW w:w="7620" w:type="dxa"/>
          </w:tcPr>
          <w:p w14:paraId="3FBABB9A" w14:textId="77777777" w:rsidR="005643EA" w:rsidRPr="00E07C9A" w:rsidRDefault="00666996"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1.1.1.</w:t>
            </w:r>
            <w:r w:rsidRPr="00E07C9A">
              <w:tab/>
            </w:r>
            <w:r w:rsidRPr="00E07C9A">
              <w:rPr>
                <w:rStyle w:val="InstructionsTabelleberschrift"/>
                <w:rFonts w:ascii="Times New Roman" w:hAnsi="Times New Roman"/>
                <w:sz w:val="24"/>
              </w:rPr>
              <w:t>Vlastný kapitál Tier 1 (CET1)</w:t>
            </w:r>
          </w:p>
          <w:p w14:paraId="79BBD3B7" w14:textId="72185155" w:rsidR="005643EA" w:rsidRPr="00E07C9A" w:rsidRDefault="002648B0"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Článok 50</w:t>
            </w:r>
            <w:r w:rsidR="009912F8" w:rsidRPr="00E07C9A">
              <w:rPr>
                <w:rStyle w:val="FormatvorlageInstructionsTabelleText"/>
                <w:rFonts w:ascii="Times New Roman" w:hAnsi="Times New Roman"/>
                <w:sz w:val="24"/>
              </w:rPr>
              <w:t xml:space="preserve"> </w:t>
            </w:r>
            <w:r w:rsidRPr="00E07C9A">
              <w:t xml:space="preserve">nariadenia (EÚ) </w:t>
            </w:r>
            <w:r w:rsidR="009912F8" w:rsidRPr="00E07C9A">
              <w:t>č. 575/2013</w:t>
            </w:r>
          </w:p>
        </w:tc>
      </w:tr>
      <w:tr w:rsidR="002648B0" w:rsidRPr="00E07C9A" w14:paraId="6AFFA79C" w14:textId="77777777" w:rsidTr="00D731E3">
        <w:tc>
          <w:tcPr>
            <w:tcW w:w="1129" w:type="dxa"/>
          </w:tcPr>
          <w:p w14:paraId="24043EFF" w14:textId="77777777" w:rsidR="002648B0" w:rsidRPr="00E07C9A" w:rsidRDefault="00A53185"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0030</w:t>
            </w:r>
          </w:p>
        </w:tc>
        <w:tc>
          <w:tcPr>
            <w:tcW w:w="7620" w:type="dxa"/>
          </w:tcPr>
          <w:p w14:paraId="51F18ADC" w14:textId="378613A0" w:rsidR="005643EA" w:rsidRPr="00E07C9A" w:rsidRDefault="000120EB"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1.1.1.1.</w:t>
            </w:r>
            <w:r w:rsidRPr="00E07C9A">
              <w:tab/>
            </w:r>
            <w:r w:rsidRPr="00E07C9A">
              <w:rPr>
                <w:rStyle w:val="InstructionsTabelleberschrift"/>
                <w:rFonts w:ascii="Times New Roman" w:hAnsi="Times New Roman"/>
                <w:sz w:val="24"/>
              </w:rPr>
              <w:t>Kapitálové nástroje</w:t>
            </w:r>
            <w:r w:rsidR="009912F8" w:rsidRPr="00E07C9A">
              <w:rPr>
                <w:rStyle w:val="InstructionsTabelleberschrift"/>
                <w:rFonts w:ascii="Times New Roman" w:hAnsi="Times New Roman"/>
                <w:sz w:val="24"/>
              </w:rPr>
              <w:t xml:space="preserve"> a </w:t>
            </w:r>
            <w:r w:rsidRPr="00E07C9A">
              <w:rPr>
                <w:rStyle w:val="InstructionsTabelleberschrift"/>
                <w:rFonts w:ascii="Times New Roman" w:hAnsi="Times New Roman"/>
                <w:sz w:val="24"/>
              </w:rPr>
              <w:t>emisné ážiá prípustné ako kapitál CET1</w:t>
            </w:r>
          </w:p>
          <w:p w14:paraId="3A690C0A" w14:textId="3E422F08" w:rsidR="005643EA" w:rsidRPr="00E07C9A" w:rsidRDefault="002648B0" w:rsidP="00467F65">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Článok 26 ods. 1 písm. a)</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(b), články 27 až 30, článok 36 ods. 1 písm. f)</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 xml:space="preserve">článok 42 </w:t>
            </w:r>
            <w:r w:rsidRPr="00E07C9A">
              <w:t xml:space="preserve">nariadenia (EÚ) </w:t>
            </w:r>
            <w:r w:rsidR="009912F8" w:rsidRPr="00E07C9A">
              <w:t>č. 575/2013</w:t>
            </w:r>
          </w:p>
        </w:tc>
      </w:tr>
      <w:tr w:rsidR="002648B0" w:rsidRPr="00E07C9A" w14:paraId="381D8AD5" w14:textId="77777777" w:rsidTr="00D731E3">
        <w:tc>
          <w:tcPr>
            <w:tcW w:w="1129" w:type="dxa"/>
          </w:tcPr>
          <w:p w14:paraId="6CCDEC8D" w14:textId="77777777" w:rsidR="002648B0" w:rsidRPr="00E07C9A" w:rsidRDefault="00A53185"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lastRenderedPageBreak/>
              <w:t>0040</w:t>
            </w:r>
          </w:p>
        </w:tc>
        <w:tc>
          <w:tcPr>
            <w:tcW w:w="7620" w:type="dxa"/>
          </w:tcPr>
          <w:p w14:paraId="32F8D82E" w14:textId="77777777" w:rsidR="005643EA" w:rsidRPr="00E07C9A" w:rsidRDefault="00666996"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1.1.1.1.1.</w:t>
            </w:r>
            <w:r w:rsidRPr="00E07C9A">
              <w:tab/>
            </w:r>
            <w:r w:rsidRPr="00E07C9A">
              <w:rPr>
                <w:rStyle w:val="InstructionsTabelleberschrift"/>
                <w:rFonts w:ascii="Times New Roman" w:hAnsi="Times New Roman"/>
                <w:sz w:val="24"/>
              </w:rPr>
              <w:t>Úplne splatené kapitálové nástroje</w:t>
            </w:r>
          </w:p>
          <w:p w14:paraId="0F8A3967" w14:textId="5245F01F" w:rsidR="005643EA" w:rsidRPr="00E07C9A" w:rsidRDefault="002648B0"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Článok 26 ods. 1 písm. a)</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články 27 až 31</w:t>
            </w:r>
            <w:r w:rsidRPr="00E07C9A">
              <w:t xml:space="preserve">nariadenia (EÚ) </w:t>
            </w:r>
            <w:r w:rsidR="009912F8" w:rsidRPr="00E07C9A">
              <w:t>č. 575/2013</w:t>
            </w:r>
          </w:p>
          <w:p w14:paraId="44C8CBFB" w14:textId="56171654" w:rsidR="00FE3BD8" w:rsidRPr="00E07C9A" w:rsidRDefault="00543DBD"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Zahrnú sa kapitálové nástroje vzájomných spoločností, družstevných spoločností alebo podobných inštitúcií [články 27</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29</w:t>
            </w:r>
            <w:r w:rsidRPr="00E07C9A">
              <w:t xml:space="preserve"> nariadenia (EÚ) </w:t>
            </w:r>
            <w:r w:rsidR="009912F8" w:rsidRPr="00E07C9A">
              <w:t>č. 575/2013</w:t>
            </w:r>
            <w:r w:rsidRPr="00E07C9A">
              <w:t>)]</w:t>
            </w:r>
            <w:r w:rsidRPr="00E07C9A">
              <w:rPr>
                <w:rStyle w:val="FormatvorlageInstructionsTabelleText"/>
                <w:rFonts w:ascii="Times New Roman" w:hAnsi="Times New Roman"/>
                <w:sz w:val="24"/>
              </w:rPr>
              <w:t>.</w:t>
            </w:r>
          </w:p>
          <w:p w14:paraId="6646326D" w14:textId="45EA4150" w:rsidR="00FE3BD8" w:rsidRPr="00E07C9A" w:rsidRDefault="002648B0"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Emisné ážio súvisiace</w:t>
            </w:r>
            <w:r w:rsidR="009912F8" w:rsidRPr="00E07C9A">
              <w:rPr>
                <w:rStyle w:val="FormatvorlageInstructionsTabelleText"/>
                <w:rFonts w:ascii="Times New Roman" w:hAnsi="Times New Roman"/>
                <w:sz w:val="24"/>
              </w:rPr>
              <w:t xml:space="preserve"> s </w:t>
            </w:r>
            <w:r w:rsidRPr="00E07C9A">
              <w:rPr>
                <w:rStyle w:val="FormatvorlageInstructionsTabelleText"/>
                <w:rFonts w:ascii="Times New Roman" w:hAnsi="Times New Roman"/>
                <w:sz w:val="24"/>
              </w:rPr>
              <w:t>týmito nástrojmi sa sem nezahŕňa.</w:t>
            </w:r>
          </w:p>
          <w:p w14:paraId="2E095C10" w14:textId="4A83E622" w:rsidR="005643EA" w:rsidRPr="00E07C9A" w:rsidRDefault="00543DBD" w:rsidP="00B704AB">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Kapitálové nástroje upísané orgánmi verejnej moci</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núdzových situáciách sa zahrnú vtedy, ak sú splnené všetky podmienky článku 31</w:t>
            </w:r>
            <w:r w:rsidRPr="00E07C9A">
              <w:t xml:space="preserve"> nariadenia (EÚ) </w:t>
            </w:r>
            <w:r w:rsidR="009912F8" w:rsidRPr="00E07C9A">
              <w:t>č. 575/2013</w:t>
            </w:r>
            <w:r w:rsidRPr="00E07C9A">
              <w:rPr>
                <w:rStyle w:val="FormatvorlageInstructionsTabelleText"/>
                <w:rFonts w:ascii="Times New Roman" w:hAnsi="Times New Roman"/>
                <w:sz w:val="24"/>
              </w:rPr>
              <w:t>.</w:t>
            </w:r>
          </w:p>
        </w:tc>
      </w:tr>
      <w:tr w:rsidR="00216D67" w:rsidRPr="00E07C9A" w14:paraId="4E73C954" w14:textId="77777777" w:rsidTr="00D731E3">
        <w:tc>
          <w:tcPr>
            <w:tcW w:w="1129" w:type="dxa"/>
          </w:tcPr>
          <w:p w14:paraId="6063EFFC" w14:textId="77777777" w:rsidR="00216D67" w:rsidRPr="00E07C9A" w:rsidRDefault="00A53185"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0045</w:t>
            </w:r>
          </w:p>
        </w:tc>
        <w:tc>
          <w:tcPr>
            <w:tcW w:w="7620" w:type="dxa"/>
          </w:tcPr>
          <w:p w14:paraId="74FA71E2" w14:textId="6476F10A" w:rsidR="00216D67" w:rsidRPr="00E07C9A" w:rsidRDefault="00DD2C1E"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1.1.1.1.1.*</w:t>
            </w:r>
            <w:r w:rsidRPr="00E07C9A">
              <w:tab/>
            </w:r>
            <w:r w:rsidRPr="00E07C9A">
              <w:rPr>
                <w:rStyle w:val="InstructionsTabelleberschrift"/>
                <w:rFonts w:ascii="Times New Roman" w:hAnsi="Times New Roman"/>
                <w:sz w:val="24"/>
              </w:rPr>
              <w:t>Z čoho: kapitálové nástroje upísané orgánmi verejnej moci</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núdzových situáciách</w:t>
            </w:r>
          </w:p>
          <w:p w14:paraId="46EFD50D" w14:textId="148424C3" w:rsidR="00216D67" w:rsidRPr="00E07C9A" w:rsidRDefault="00216D67" w:rsidP="00487A02">
            <w:pPr>
              <w:pStyle w:val="InstructionsText"/>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Článok 31</w:t>
            </w:r>
            <w:r w:rsidR="009912F8" w:rsidRPr="00E07C9A">
              <w:rPr>
                <w:rStyle w:val="InstructionsTabelleberschrift"/>
                <w:rFonts w:ascii="Times New Roman" w:hAnsi="Times New Roman"/>
                <w:b w:val="0"/>
                <w:sz w:val="24"/>
                <w:u w:val="none"/>
              </w:rPr>
              <w:t xml:space="preserve"> </w:t>
            </w:r>
            <w:r w:rsidRPr="00E07C9A">
              <w:t xml:space="preserve">nariadenia (EÚ) </w:t>
            </w:r>
            <w:r w:rsidR="009912F8" w:rsidRPr="00E07C9A">
              <w:t>č. 575/2013</w:t>
            </w:r>
          </w:p>
          <w:p w14:paraId="79CD2790" w14:textId="3C72E9C6" w:rsidR="00216D67" w:rsidRPr="00E07C9A" w:rsidRDefault="00216D67"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b w:val="0"/>
                <w:sz w:val="24"/>
                <w:u w:val="none"/>
              </w:rPr>
              <w:t>Kapitálové nástroje upísané orgánmi verejnej moci</w:t>
            </w:r>
            <w:r w:rsidR="009912F8" w:rsidRPr="00E07C9A">
              <w:rPr>
                <w:rStyle w:val="InstructionsTabelleberschrift"/>
                <w:rFonts w:ascii="Times New Roman" w:hAnsi="Times New Roman"/>
                <w:b w:val="0"/>
                <w:sz w:val="24"/>
                <w:u w:val="none"/>
              </w:rPr>
              <w:t xml:space="preserve"> v </w:t>
            </w:r>
            <w:r w:rsidRPr="00E07C9A">
              <w:rPr>
                <w:rStyle w:val="InstructionsTabelleberschrift"/>
                <w:rFonts w:ascii="Times New Roman" w:hAnsi="Times New Roman"/>
                <w:b w:val="0"/>
                <w:sz w:val="24"/>
                <w:u w:val="none"/>
              </w:rPr>
              <w:t>núdzových situáciách sa zahrnú do kapitálu CET1 vtedy, ak sú splnené všetky podmienky článku 31</w:t>
            </w:r>
            <w:r w:rsidRPr="00E07C9A">
              <w:t xml:space="preserve"> nariadenia (EÚ) </w:t>
            </w:r>
            <w:r w:rsidR="009912F8" w:rsidRPr="00E07C9A">
              <w:t>č. 575/2013</w:t>
            </w:r>
            <w:r w:rsidRPr="00E07C9A">
              <w:rPr>
                <w:rStyle w:val="InstructionsTabelleberschrift"/>
                <w:rFonts w:ascii="Times New Roman" w:hAnsi="Times New Roman"/>
                <w:b w:val="0"/>
                <w:sz w:val="24"/>
                <w:u w:val="none"/>
              </w:rPr>
              <w:t>.</w:t>
            </w:r>
          </w:p>
        </w:tc>
      </w:tr>
      <w:tr w:rsidR="002648B0" w:rsidRPr="00E07C9A" w14:paraId="1CBAD62F" w14:textId="77777777" w:rsidTr="00D731E3">
        <w:tc>
          <w:tcPr>
            <w:tcW w:w="1129" w:type="dxa"/>
          </w:tcPr>
          <w:p w14:paraId="4AFF8BD5" w14:textId="77777777" w:rsidR="002648B0" w:rsidRPr="00E07C9A" w:rsidRDefault="00A53185"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0050</w:t>
            </w:r>
          </w:p>
        </w:tc>
        <w:tc>
          <w:tcPr>
            <w:tcW w:w="7620" w:type="dxa"/>
          </w:tcPr>
          <w:p w14:paraId="48A44EEF" w14:textId="77777777" w:rsidR="005643EA" w:rsidRPr="00E07C9A" w:rsidRDefault="00666996" w:rsidP="00487A02">
            <w:pPr>
              <w:pStyle w:val="InstructionsText"/>
              <w:rPr>
                <w:rStyle w:val="FormatvorlageInstructionsTabelleText"/>
                <w:rFonts w:ascii="Times New Roman" w:hAnsi="Times New Roman"/>
                <w:b/>
                <w:sz w:val="24"/>
                <w:u w:val="single"/>
              </w:rPr>
            </w:pPr>
            <w:r w:rsidRPr="00E07C9A">
              <w:rPr>
                <w:rStyle w:val="InstructionsTabelleberschrift"/>
                <w:rFonts w:ascii="Times New Roman" w:hAnsi="Times New Roman"/>
                <w:sz w:val="24"/>
              </w:rPr>
              <w:t>1.1.1.1.2.*</w:t>
            </w:r>
            <w:r w:rsidRPr="00E07C9A">
              <w:tab/>
            </w:r>
            <w:r w:rsidRPr="00E07C9A">
              <w:rPr>
                <w:rStyle w:val="InstructionsTabelleberschrift"/>
                <w:rFonts w:ascii="Times New Roman" w:hAnsi="Times New Roman"/>
                <w:sz w:val="24"/>
              </w:rPr>
              <w:t>Doplňujúca položka: neprípustné kapitálové nástroje</w:t>
            </w:r>
          </w:p>
          <w:p w14:paraId="6274F785" w14:textId="6C9B791B" w:rsidR="005643EA" w:rsidRPr="00E07C9A" w:rsidRDefault="002648B0"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Článok 28 ods. 1 písm. b), l)</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 xml:space="preserve">m) </w:t>
            </w:r>
            <w:r w:rsidRPr="00E07C9A">
              <w:t xml:space="preserve">nariadenia (EÚ) </w:t>
            </w:r>
            <w:r w:rsidR="009912F8" w:rsidRPr="00E07C9A">
              <w:t>č. 575/2013</w:t>
            </w:r>
          </w:p>
          <w:p w14:paraId="3C489B35" w14:textId="57D7BBB8" w:rsidR="005643EA" w:rsidRPr="00E07C9A" w:rsidRDefault="002648B0"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Podmienky</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týchto písmenách vyjadrujú rôzne situácie kapitálu, ktoré sa môžu zmeniť, preto hodnota vykazovaná</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tomto riadku môže byť</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ďalších obdobiach prípustná.</w:t>
            </w:r>
          </w:p>
          <w:p w14:paraId="48771DB0" w14:textId="79E02B35" w:rsidR="005643EA" w:rsidRPr="00E07C9A" w:rsidRDefault="002648B0"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Vykazovaná hodnota nezahŕňa emisné ážio súvisiace</w:t>
            </w:r>
            <w:r w:rsidR="009912F8" w:rsidRPr="00E07C9A">
              <w:rPr>
                <w:rStyle w:val="FormatvorlageInstructionsTabelleText"/>
                <w:rFonts w:ascii="Times New Roman" w:hAnsi="Times New Roman"/>
                <w:sz w:val="24"/>
              </w:rPr>
              <w:t xml:space="preserve"> s </w:t>
            </w:r>
            <w:r w:rsidRPr="00E07C9A">
              <w:rPr>
                <w:rStyle w:val="FormatvorlageInstructionsTabelleText"/>
                <w:rFonts w:ascii="Times New Roman" w:hAnsi="Times New Roman"/>
                <w:sz w:val="24"/>
              </w:rPr>
              <w:t>nástrojmi.</w:t>
            </w:r>
          </w:p>
        </w:tc>
      </w:tr>
      <w:tr w:rsidR="002648B0" w:rsidRPr="00E07C9A" w14:paraId="03B33CB1" w14:textId="77777777" w:rsidTr="00D731E3">
        <w:tc>
          <w:tcPr>
            <w:tcW w:w="1129" w:type="dxa"/>
          </w:tcPr>
          <w:p w14:paraId="46B79C78" w14:textId="77777777" w:rsidR="002648B0" w:rsidRPr="00E07C9A" w:rsidRDefault="00A53185"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0060</w:t>
            </w:r>
          </w:p>
        </w:tc>
        <w:tc>
          <w:tcPr>
            <w:tcW w:w="7620" w:type="dxa"/>
          </w:tcPr>
          <w:p w14:paraId="0CFA87CE" w14:textId="77777777" w:rsidR="005643EA" w:rsidRPr="00E07C9A" w:rsidRDefault="00666996" w:rsidP="00487A02">
            <w:pPr>
              <w:pStyle w:val="InstructionsText"/>
              <w:rPr>
                <w:rStyle w:val="FormatvorlageInstructionsTabelleText"/>
                <w:rFonts w:ascii="Times New Roman" w:hAnsi="Times New Roman"/>
                <w:b/>
                <w:sz w:val="24"/>
                <w:u w:val="single"/>
              </w:rPr>
            </w:pPr>
            <w:r w:rsidRPr="00E07C9A">
              <w:rPr>
                <w:rStyle w:val="InstructionsTabelleberschrift"/>
                <w:rFonts w:ascii="Times New Roman" w:hAnsi="Times New Roman"/>
                <w:sz w:val="24"/>
              </w:rPr>
              <w:t>1.1.1.1.3.</w:t>
            </w:r>
            <w:r w:rsidRPr="00E07C9A">
              <w:tab/>
            </w:r>
            <w:r w:rsidRPr="00E07C9A">
              <w:rPr>
                <w:rStyle w:val="InstructionsTabelleberschrift"/>
                <w:rFonts w:ascii="Times New Roman" w:hAnsi="Times New Roman"/>
                <w:sz w:val="24"/>
              </w:rPr>
              <w:t>Emisné ážio</w:t>
            </w:r>
          </w:p>
          <w:p w14:paraId="0238A602" w14:textId="4CBE49CD" w:rsidR="005643EA" w:rsidRPr="00E07C9A" w:rsidRDefault="002648B0"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 xml:space="preserve">Článok 4 ods. 1 bod 124, článok 26 ods. 1 písm. b) </w:t>
            </w:r>
            <w:r w:rsidRPr="00E07C9A">
              <w:t xml:space="preserve">nariadenia (EÚ) </w:t>
            </w:r>
            <w:r w:rsidR="009912F8" w:rsidRPr="00E07C9A">
              <w:t>č. 575/2013</w:t>
            </w:r>
          </w:p>
          <w:p w14:paraId="3D673852" w14:textId="3A6EE456" w:rsidR="009912F8" w:rsidRPr="00E07C9A" w:rsidRDefault="002648B0"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Emisné ážio má ten istý význam ako</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uplatniteľnom účtovnom štandarde</w:t>
            </w:r>
            <w:r w:rsidR="009912F8" w:rsidRPr="00E07C9A">
              <w:rPr>
                <w:rStyle w:val="FormatvorlageInstructionsTabelleText"/>
                <w:rFonts w:ascii="Times New Roman" w:hAnsi="Times New Roman"/>
                <w:sz w:val="24"/>
              </w:rPr>
              <w:t>.</w:t>
            </w:r>
          </w:p>
          <w:p w14:paraId="47041C01" w14:textId="1D394E34" w:rsidR="005643EA" w:rsidRPr="00E07C9A" w:rsidRDefault="002648B0"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Hodnota, ktorá sa má vykázať</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tejto položke, zodpovedá časti súvisiacej</w:t>
            </w:r>
            <w:r w:rsidR="009912F8" w:rsidRPr="00E07C9A">
              <w:rPr>
                <w:rStyle w:val="FormatvorlageInstructionsTabelleText"/>
                <w:rFonts w:ascii="Times New Roman" w:hAnsi="Times New Roman"/>
                <w:sz w:val="24"/>
              </w:rPr>
              <w:t xml:space="preserve"> s </w:t>
            </w:r>
            <w:r w:rsidRPr="00E07C9A">
              <w:rPr>
                <w:rStyle w:val="FormatvorlageInstructionsTabelleText"/>
                <w:rFonts w:ascii="Times New Roman" w:hAnsi="Times New Roman"/>
                <w:sz w:val="24"/>
              </w:rPr>
              <w:t xml:space="preserve">„úplne splatenými kapitálovými nástrojmi“. </w:t>
            </w:r>
          </w:p>
        </w:tc>
      </w:tr>
      <w:tr w:rsidR="002648B0" w:rsidRPr="00E07C9A" w14:paraId="657BC06E" w14:textId="77777777" w:rsidTr="00D731E3">
        <w:tc>
          <w:tcPr>
            <w:tcW w:w="1129" w:type="dxa"/>
          </w:tcPr>
          <w:p w14:paraId="0E2BFC1D" w14:textId="77777777" w:rsidR="002648B0" w:rsidRPr="00E07C9A" w:rsidRDefault="00A53185"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0070</w:t>
            </w:r>
          </w:p>
        </w:tc>
        <w:tc>
          <w:tcPr>
            <w:tcW w:w="7620" w:type="dxa"/>
          </w:tcPr>
          <w:p w14:paraId="4873A5A6" w14:textId="77777777" w:rsidR="005643EA" w:rsidRPr="00E07C9A" w:rsidRDefault="00666996" w:rsidP="00487A02">
            <w:pPr>
              <w:pStyle w:val="InstructionsText"/>
              <w:rPr>
                <w:rStyle w:val="FormatvorlageInstructionsTabelleText"/>
                <w:rFonts w:ascii="Times New Roman" w:hAnsi="Times New Roman"/>
                <w:b/>
                <w:sz w:val="24"/>
                <w:u w:val="single"/>
              </w:rPr>
            </w:pPr>
            <w:r w:rsidRPr="00E07C9A">
              <w:rPr>
                <w:rStyle w:val="InstructionsTabelleberschrift"/>
                <w:rFonts w:ascii="Times New Roman" w:hAnsi="Times New Roman"/>
                <w:sz w:val="24"/>
              </w:rPr>
              <w:t>1.1.1.1.4.</w:t>
            </w:r>
            <w:r w:rsidRPr="00E07C9A">
              <w:tab/>
            </w:r>
            <w:r w:rsidRPr="00E07C9A">
              <w:rPr>
                <w:rStyle w:val="InstructionsTabelleberschrift"/>
                <w:rFonts w:ascii="Times New Roman" w:hAnsi="Times New Roman"/>
                <w:sz w:val="24"/>
              </w:rPr>
              <w:t>(–) Nástroje vlastného CET1</w:t>
            </w:r>
          </w:p>
          <w:p w14:paraId="17A6A53A" w14:textId="25585013" w:rsidR="005643EA" w:rsidRPr="00E07C9A" w:rsidRDefault="002648B0"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Článok 36 ods. 1 písm. f)</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 xml:space="preserve">článok 42 </w:t>
            </w:r>
            <w:r w:rsidRPr="00E07C9A">
              <w:t xml:space="preserve">nariadenia (EÚ) </w:t>
            </w:r>
            <w:r w:rsidR="009912F8" w:rsidRPr="00E07C9A">
              <w:t>č. 575/2013</w:t>
            </w:r>
          </w:p>
          <w:p w14:paraId="6F1D6654" w14:textId="7562D639" w:rsidR="005643EA" w:rsidRPr="00E07C9A" w:rsidRDefault="002648B0"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Vlastný CET1 držaný vykazujúcou inštitúciou alebo skupinou</w:t>
            </w:r>
            <w:r w:rsidR="009912F8" w:rsidRPr="00E07C9A">
              <w:rPr>
                <w:rStyle w:val="FormatvorlageInstructionsTabelleText"/>
                <w:rFonts w:ascii="Times New Roman" w:hAnsi="Times New Roman"/>
                <w:sz w:val="24"/>
              </w:rPr>
              <w:t xml:space="preserve"> k </w:t>
            </w:r>
            <w:r w:rsidRPr="00E07C9A">
              <w:rPr>
                <w:rStyle w:val="FormatvorlageInstructionsTabelleText"/>
                <w:rFonts w:ascii="Times New Roman" w:hAnsi="Times New Roman"/>
                <w:sz w:val="24"/>
              </w:rPr>
              <w:t>dátumu vykazovania</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hodnoty nástrojov CET1, ktoré sa majú odpočítať</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súlade</w:t>
            </w:r>
            <w:r w:rsidR="009912F8" w:rsidRPr="00E07C9A">
              <w:rPr>
                <w:rStyle w:val="FormatvorlageInstructionsTabelleText"/>
                <w:rFonts w:ascii="Times New Roman" w:hAnsi="Times New Roman"/>
                <w:sz w:val="24"/>
              </w:rPr>
              <w:t xml:space="preserve"> s </w:t>
            </w:r>
            <w:r w:rsidRPr="00E07C9A">
              <w:rPr>
                <w:rStyle w:val="FormatvorlageInstructionsTabelleText"/>
                <w:rFonts w:ascii="Times New Roman" w:hAnsi="Times New Roman"/>
                <w:sz w:val="24"/>
              </w:rPr>
              <w:t>článkom 28 ods. 2 delegovaného nariadenia Komisie (EÚ) č. 241/2014</w:t>
            </w:r>
            <w:r w:rsidRPr="00E07C9A">
              <w:rPr>
                <w:rStyle w:val="FootnoteReference"/>
                <w:rFonts w:ascii="Times New Roman" w:hAnsi="Times New Roman"/>
                <w:bCs/>
                <w:sz w:val="24"/>
                <w:szCs w:val="24"/>
                <w:vertAlign w:val="superscript"/>
              </w:rPr>
              <w:footnoteReference w:id="2"/>
            </w:r>
            <w:r w:rsidRPr="00E07C9A">
              <w:rPr>
                <w:rStyle w:val="FormatvorlageInstructionsTabelleText"/>
                <w:rFonts w:ascii="Times New Roman" w:hAnsi="Times New Roman"/>
                <w:sz w:val="24"/>
              </w:rPr>
              <w:t>.</w:t>
            </w:r>
            <w:r w:rsidR="009912F8" w:rsidRPr="00E07C9A">
              <w:rPr>
                <w:rStyle w:val="FormatvorlageInstructionsTabelleText"/>
                <w:rFonts w:ascii="Times New Roman" w:hAnsi="Times New Roman"/>
                <w:sz w:val="24"/>
              </w:rPr>
              <w:t xml:space="preserve"> S </w:t>
            </w:r>
            <w:r w:rsidRPr="00E07C9A">
              <w:rPr>
                <w:rStyle w:val="FormatvorlageInstructionsTabelleText"/>
                <w:rFonts w:ascii="Times New Roman" w:hAnsi="Times New Roman"/>
                <w:sz w:val="24"/>
              </w:rPr>
              <w:t>výhradou výnimiek</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 xml:space="preserve">článku 42 </w:t>
            </w:r>
            <w:r w:rsidRPr="00E07C9A">
              <w:t xml:space="preserve">nariadenia (EÚ) </w:t>
            </w:r>
            <w:r w:rsidR="009912F8" w:rsidRPr="00E07C9A">
              <w:t>č. 575/2013</w:t>
            </w:r>
            <w:r w:rsidRPr="00E07C9A">
              <w:rPr>
                <w:rStyle w:val="FormatvorlageInstructionsTabelleText"/>
                <w:rFonts w:ascii="Times New Roman" w:hAnsi="Times New Roman"/>
                <w:sz w:val="24"/>
              </w:rPr>
              <w:t>.</w:t>
            </w:r>
          </w:p>
          <w:p w14:paraId="55EB9090" w14:textId="77777777" w:rsidR="005643EA" w:rsidRPr="00E07C9A" w:rsidRDefault="002648B0"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V tomto riadku sa nevykazujú podiely na akciách zahrnuté ako „neprípustné kapitálové nástroje“.</w:t>
            </w:r>
          </w:p>
          <w:p w14:paraId="4915BB74" w14:textId="3BFD20D4" w:rsidR="005643EA" w:rsidRPr="00E07C9A" w:rsidRDefault="002648B0"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Vykazovaná hodnota zahŕňa emisné ážio súvisiace</w:t>
            </w:r>
            <w:r w:rsidR="009912F8" w:rsidRPr="00E07C9A">
              <w:rPr>
                <w:rStyle w:val="FormatvorlageInstructionsTabelleText"/>
                <w:rFonts w:ascii="Times New Roman" w:hAnsi="Times New Roman"/>
                <w:sz w:val="24"/>
              </w:rPr>
              <w:t xml:space="preserve"> s </w:t>
            </w:r>
            <w:r w:rsidRPr="00E07C9A">
              <w:rPr>
                <w:rStyle w:val="FormatvorlageInstructionsTabelleText"/>
                <w:rFonts w:ascii="Times New Roman" w:hAnsi="Times New Roman"/>
                <w:sz w:val="24"/>
              </w:rPr>
              <w:t>vlastnými akciami.</w:t>
            </w:r>
          </w:p>
          <w:p w14:paraId="61C5347E" w14:textId="6E731DEE" w:rsidR="005643EA" w:rsidRPr="00E07C9A" w:rsidRDefault="002648B0"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lastRenderedPageBreak/>
              <w:t>Položky 1.1.1.1.4 až 1.1.1.1.4.3 nezahŕňajú skutočné alebo podmienené záväzky kúpiť nástroje vlastného CET1. Skutočné alebo podmienené záväzky kúpiť nástroje vlastného CET1 sa vykazujú osobitne</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položke 1.1.1.1.5.</w:t>
            </w:r>
          </w:p>
        </w:tc>
      </w:tr>
      <w:tr w:rsidR="002648B0" w:rsidRPr="00E07C9A" w14:paraId="24A9D21A" w14:textId="77777777" w:rsidTr="00D731E3">
        <w:tc>
          <w:tcPr>
            <w:tcW w:w="1129" w:type="dxa"/>
          </w:tcPr>
          <w:p w14:paraId="57922310" w14:textId="77777777" w:rsidR="002648B0" w:rsidRPr="00E07C9A" w:rsidRDefault="00252454"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lastRenderedPageBreak/>
              <w:t>0080</w:t>
            </w:r>
          </w:p>
        </w:tc>
        <w:tc>
          <w:tcPr>
            <w:tcW w:w="7620" w:type="dxa"/>
          </w:tcPr>
          <w:p w14:paraId="1C57F442" w14:textId="77777777" w:rsidR="005643EA" w:rsidRPr="00E07C9A" w:rsidRDefault="00666996" w:rsidP="00487A02">
            <w:pPr>
              <w:pStyle w:val="InstructionsText"/>
              <w:rPr>
                <w:rStyle w:val="FormatvorlageInstructionsTabelleText"/>
                <w:rFonts w:ascii="Times New Roman" w:hAnsi="Times New Roman"/>
                <w:b/>
                <w:sz w:val="24"/>
                <w:u w:val="single"/>
              </w:rPr>
            </w:pPr>
            <w:r w:rsidRPr="00E07C9A">
              <w:rPr>
                <w:rStyle w:val="InstructionsTabelleberschrift"/>
                <w:rFonts w:ascii="Times New Roman" w:hAnsi="Times New Roman"/>
                <w:sz w:val="24"/>
              </w:rPr>
              <w:t>1.1.1.1.4.1.</w:t>
            </w:r>
            <w:r w:rsidRPr="00E07C9A">
              <w:tab/>
            </w:r>
            <w:r w:rsidRPr="00E07C9A">
              <w:rPr>
                <w:rStyle w:val="InstructionsTabelleberschrift"/>
                <w:rFonts w:ascii="Times New Roman" w:hAnsi="Times New Roman"/>
                <w:sz w:val="24"/>
              </w:rPr>
              <w:t>(–) Priame podiely na nástrojoch CET1</w:t>
            </w:r>
          </w:p>
          <w:p w14:paraId="75423A7A" w14:textId="71D77BCC" w:rsidR="005643EA" w:rsidRPr="00E07C9A" w:rsidRDefault="002648B0"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Článok 36 ods. 1 písm. f)</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 xml:space="preserve">článok 42 </w:t>
            </w:r>
            <w:r w:rsidRPr="00E07C9A">
              <w:t xml:space="preserve">nariadenia (EÚ) </w:t>
            </w:r>
            <w:r w:rsidR="009912F8" w:rsidRPr="00E07C9A">
              <w:t>č. 575/2013</w:t>
            </w:r>
          </w:p>
          <w:p w14:paraId="5E12C13B" w14:textId="3A2470D7" w:rsidR="009912F8" w:rsidRPr="00E07C9A" w:rsidRDefault="002648B0"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Nástroje vlastného kapitálu Tier 1 zahrnuté</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položke 1.1.1.1 držané inštitúciami konsolidovanej skupiny</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hodnoty nástrojov CET1, ktoré sa majú odpočítať</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súlade</w:t>
            </w:r>
            <w:r w:rsidR="009912F8" w:rsidRPr="00E07C9A">
              <w:rPr>
                <w:rStyle w:val="FormatvorlageInstructionsTabelleText"/>
                <w:rFonts w:ascii="Times New Roman" w:hAnsi="Times New Roman"/>
                <w:sz w:val="24"/>
              </w:rPr>
              <w:t xml:space="preserve"> s </w:t>
            </w:r>
            <w:r w:rsidRPr="00E07C9A">
              <w:rPr>
                <w:rStyle w:val="FormatvorlageInstructionsTabelleText"/>
                <w:rFonts w:ascii="Times New Roman" w:hAnsi="Times New Roman"/>
                <w:sz w:val="24"/>
              </w:rPr>
              <w:t>článkom 28 ods. 2 delegovaného nariadenia Komisie (EÚ) č. 241/2014</w:t>
            </w:r>
            <w:r w:rsidR="009912F8" w:rsidRPr="00E07C9A">
              <w:rPr>
                <w:rStyle w:val="FormatvorlageInstructionsTabelleText"/>
                <w:rFonts w:ascii="Times New Roman" w:hAnsi="Times New Roman"/>
                <w:sz w:val="24"/>
              </w:rPr>
              <w:t>.</w:t>
            </w:r>
          </w:p>
          <w:p w14:paraId="52B27E73" w14:textId="2F7D6177" w:rsidR="005643EA" w:rsidRPr="00E07C9A" w:rsidRDefault="002648B0" w:rsidP="00467F65">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Vykazovaná hodnota zahŕňa podiely</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obchodnej knihe vypočítané na základe čistej dlhej pozície, ako sa stanovuje</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článku 42 písm. a)</w:t>
            </w:r>
            <w:r w:rsidRPr="00E07C9A">
              <w:t xml:space="preserve"> nariadenia (EÚ) </w:t>
            </w:r>
            <w:r w:rsidR="009912F8" w:rsidRPr="00E07C9A">
              <w:t>č. 575/2013</w:t>
            </w:r>
            <w:r w:rsidRPr="00E07C9A">
              <w:rPr>
                <w:rStyle w:val="FormatvorlageInstructionsTabelleText"/>
                <w:rFonts w:ascii="Times New Roman" w:hAnsi="Times New Roman"/>
                <w:sz w:val="24"/>
              </w:rPr>
              <w:t>.</w:t>
            </w:r>
          </w:p>
        </w:tc>
      </w:tr>
      <w:tr w:rsidR="002648B0" w:rsidRPr="00E07C9A" w14:paraId="2F5254D4" w14:textId="77777777" w:rsidTr="00D731E3">
        <w:tc>
          <w:tcPr>
            <w:tcW w:w="1129" w:type="dxa"/>
          </w:tcPr>
          <w:p w14:paraId="21EDFE7F" w14:textId="77777777" w:rsidR="002648B0" w:rsidRPr="00E07C9A" w:rsidRDefault="00252454"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0090</w:t>
            </w:r>
          </w:p>
        </w:tc>
        <w:tc>
          <w:tcPr>
            <w:tcW w:w="7620" w:type="dxa"/>
          </w:tcPr>
          <w:p w14:paraId="424919D1" w14:textId="77777777" w:rsidR="005643EA" w:rsidRPr="00E07C9A" w:rsidRDefault="00666996" w:rsidP="00487A02">
            <w:pPr>
              <w:pStyle w:val="InstructionsText"/>
              <w:rPr>
                <w:rStyle w:val="FormatvorlageInstructionsTabelleText"/>
                <w:rFonts w:ascii="Times New Roman" w:hAnsi="Times New Roman"/>
                <w:b/>
                <w:sz w:val="24"/>
                <w:u w:val="single"/>
              </w:rPr>
            </w:pPr>
            <w:r w:rsidRPr="00E07C9A">
              <w:rPr>
                <w:rStyle w:val="InstructionsTabelleberschrift"/>
                <w:rFonts w:ascii="Times New Roman" w:hAnsi="Times New Roman"/>
                <w:sz w:val="24"/>
              </w:rPr>
              <w:t>1.1.1.1.4.2.</w:t>
            </w:r>
            <w:r w:rsidRPr="00E07C9A">
              <w:tab/>
            </w:r>
            <w:r w:rsidRPr="00E07C9A">
              <w:rPr>
                <w:rStyle w:val="InstructionsTabelleberschrift"/>
                <w:rFonts w:ascii="Times New Roman" w:hAnsi="Times New Roman"/>
                <w:sz w:val="24"/>
              </w:rPr>
              <w:t>(–) Nepriame podiely na nástrojoch CET1</w:t>
            </w:r>
          </w:p>
          <w:p w14:paraId="09702BF0" w14:textId="39D05C25" w:rsidR="005643EA" w:rsidRPr="00E07C9A" w:rsidRDefault="00805255" w:rsidP="00467F65">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Článok 4 ods. 1 bod 114, článok 36 ods. 1 písm. f)</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 xml:space="preserve">článok 42 </w:t>
            </w:r>
            <w:r w:rsidRPr="00E07C9A">
              <w:t xml:space="preserve">nariadenia (EÚ) </w:t>
            </w:r>
            <w:r w:rsidR="009912F8" w:rsidRPr="00E07C9A">
              <w:t>č. 575/2013</w:t>
            </w:r>
          </w:p>
        </w:tc>
      </w:tr>
      <w:tr w:rsidR="002648B0" w:rsidRPr="00E07C9A" w14:paraId="34033278" w14:textId="77777777" w:rsidTr="00D731E3">
        <w:tc>
          <w:tcPr>
            <w:tcW w:w="1129" w:type="dxa"/>
          </w:tcPr>
          <w:p w14:paraId="048D1D2A" w14:textId="77777777" w:rsidR="005643EA" w:rsidRPr="00E07C9A" w:rsidRDefault="00252454"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0091</w:t>
            </w:r>
          </w:p>
        </w:tc>
        <w:tc>
          <w:tcPr>
            <w:tcW w:w="7620" w:type="dxa"/>
          </w:tcPr>
          <w:p w14:paraId="34A4870F" w14:textId="77777777" w:rsidR="005643EA" w:rsidRPr="00E07C9A" w:rsidRDefault="00666996" w:rsidP="00487A02">
            <w:pPr>
              <w:pStyle w:val="InstructionsText"/>
              <w:rPr>
                <w:rStyle w:val="FormatvorlageInstructionsTabelleText"/>
                <w:rFonts w:ascii="Times New Roman" w:hAnsi="Times New Roman"/>
                <w:b/>
                <w:sz w:val="24"/>
                <w:u w:val="single"/>
              </w:rPr>
            </w:pPr>
            <w:r w:rsidRPr="00E07C9A">
              <w:rPr>
                <w:rStyle w:val="InstructionsTabelleberschrift"/>
                <w:rFonts w:ascii="Times New Roman" w:hAnsi="Times New Roman"/>
                <w:sz w:val="24"/>
              </w:rPr>
              <w:t>1.1.1.1.4.3.</w:t>
            </w:r>
            <w:r w:rsidRPr="00E07C9A">
              <w:tab/>
            </w:r>
            <w:r w:rsidRPr="00E07C9A">
              <w:rPr>
                <w:rStyle w:val="InstructionsTabelleberschrift"/>
                <w:rFonts w:ascii="Times New Roman" w:hAnsi="Times New Roman"/>
                <w:sz w:val="24"/>
              </w:rPr>
              <w:t>(–) Syntetické podiely na nástrojoch CET1</w:t>
            </w:r>
          </w:p>
          <w:p w14:paraId="26DE2A22" w14:textId="0967FBE6" w:rsidR="005643EA" w:rsidRPr="00E07C9A" w:rsidRDefault="00805255" w:rsidP="00467F65">
            <w:pPr>
              <w:pStyle w:val="InstructionsText"/>
              <w:rPr>
                <w:rStyle w:val="InstructionsTabelleberschrift"/>
                <w:rFonts w:ascii="Times New Roman" w:hAnsi="Times New Roman"/>
                <w:b w:val="0"/>
                <w:sz w:val="24"/>
                <w:u w:val="none"/>
              </w:rPr>
            </w:pPr>
            <w:r w:rsidRPr="00E07C9A">
              <w:rPr>
                <w:rStyle w:val="FormatvorlageInstructionsTabelleText"/>
                <w:rFonts w:ascii="Times New Roman" w:hAnsi="Times New Roman"/>
                <w:sz w:val="24"/>
              </w:rPr>
              <w:t>Článok 4 ods. 1 bod 126, článok 36 ods. 1 písm. f)</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 xml:space="preserve">článok 42 </w:t>
            </w:r>
            <w:r w:rsidRPr="00E07C9A">
              <w:t xml:space="preserve">nariadenia (EÚ) </w:t>
            </w:r>
            <w:r w:rsidR="009912F8" w:rsidRPr="00E07C9A">
              <w:t>č. 575/2013</w:t>
            </w:r>
          </w:p>
        </w:tc>
      </w:tr>
      <w:tr w:rsidR="002648B0" w:rsidRPr="00E07C9A" w14:paraId="2452134E" w14:textId="77777777" w:rsidTr="00D731E3">
        <w:tc>
          <w:tcPr>
            <w:tcW w:w="1129" w:type="dxa"/>
          </w:tcPr>
          <w:p w14:paraId="79B3F072" w14:textId="77777777" w:rsidR="002648B0" w:rsidRPr="00E07C9A" w:rsidRDefault="00252454"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0092</w:t>
            </w:r>
          </w:p>
        </w:tc>
        <w:tc>
          <w:tcPr>
            <w:tcW w:w="7620" w:type="dxa"/>
          </w:tcPr>
          <w:p w14:paraId="071C30DD" w14:textId="77777777" w:rsidR="005643EA" w:rsidRPr="00E07C9A" w:rsidRDefault="00666996"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1.1.1.1.5.</w:t>
            </w:r>
            <w:r w:rsidRPr="00E07C9A">
              <w:tab/>
            </w:r>
            <w:r w:rsidRPr="00E07C9A">
              <w:rPr>
                <w:rStyle w:val="InstructionsTabelleberschrift"/>
                <w:rFonts w:ascii="Times New Roman" w:hAnsi="Times New Roman"/>
                <w:sz w:val="24"/>
              </w:rPr>
              <w:t>(–) Skutočné alebo podmienené záväzky kúpiť nástroje vlastného CET1</w:t>
            </w:r>
          </w:p>
          <w:p w14:paraId="5F8B540B" w14:textId="68EFE648" w:rsidR="005643EA" w:rsidRPr="00E07C9A" w:rsidRDefault="002648B0"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Článok 36 ods. 1 písm. f)</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 xml:space="preserve">článok 42 </w:t>
            </w:r>
            <w:r w:rsidRPr="00E07C9A">
              <w:t xml:space="preserve">nariadenia (EÚ) </w:t>
            </w:r>
            <w:r w:rsidR="009912F8" w:rsidRPr="00E07C9A">
              <w:t>č. 575/2013</w:t>
            </w:r>
          </w:p>
          <w:p w14:paraId="7F2407F4" w14:textId="12BFB74F" w:rsidR="005643EA" w:rsidRPr="00E07C9A" w:rsidRDefault="002648B0" w:rsidP="00467F65">
            <w:pPr>
              <w:pStyle w:val="InstructionsText"/>
              <w:rPr>
                <w:rStyle w:val="InstructionsTabelleberschrift"/>
                <w:rFonts w:ascii="Times New Roman" w:hAnsi="Times New Roman"/>
                <w:b w:val="0"/>
                <w:bCs w:val="0"/>
                <w:sz w:val="24"/>
                <w:u w:val="none"/>
              </w:rPr>
            </w:pPr>
            <w:r w:rsidRPr="00E07C9A">
              <w:rPr>
                <w:rStyle w:val="InstructionsTabelleberschrift"/>
                <w:rFonts w:ascii="Times New Roman" w:hAnsi="Times New Roman"/>
                <w:b w:val="0"/>
                <w:sz w:val="24"/>
                <w:u w:val="none"/>
              </w:rPr>
              <w:t>Podľa článku 36 ods. 1</w:t>
            </w:r>
            <w:r w:rsidRPr="00E07C9A">
              <w:rPr>
                <w:rStyle w:val="FormatvorlageInstructionsTabelleText"/>
                <w:rFonts w:ascii="Times New Roman" w:hAnsi="Times New Roman"/>
                <w:sz w:val="24"/>
              </w:rPr>
              <w:t xml:space="preserve">písm. f) </w:t>
            </w:r>
            <w:r w:rsidRPr="00E07C9A">
              <w:t xml:space="preserve">nariadenia (EÚ) </w:t>
            </w:r>
            <w:r w:rsidR="009912F8" w:rsidRPr="00E07C9A">
              <w:t>č. 575/2013</w:t>
            </w:r>
            <w:r w:rsidRPr="00E07C9A">
              <w:t xml:space="preserve"> sa odpočítajú „nástroje vlastného kapitálu Tier 1, na ktoré sa vzťahuje skutočný alebo podmienený záväzok inštitúcie kúpiť na základe existujúcej zmluvnej povinnosti“.</w:t>
            </w:r>
          </w:p>
        </w:tc>
      </w:tr>
      <w:tr w:rsidR="002648B0" w:rsidRPr="00E07C9A" w14:paraId="57B96802" w14:textId="77777777" w:rsidTr="00D731E3">
        <w:tc>
          <w:tcPr>
            <w:tcW w:w="1129" w:type="dxa"/>
          </w:tcPr>
          <w:p w14:paraId="7BBB4DF5" w14:textId="77777777" w:rsidR="002648B0" w:rsidRPr="00E07C9A" w:rsidRDefault="00252454"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0130</w:t>
            </w:r>
          </w:p>
        </w:tc>
        <w:tc>
          <w:tcPr>
            <w:tcW w:w="7620" w:type="dxa"/>
          </w:tcPr>
          <w:p w14:paraId="5BAA99CD" w14:textId="77777777" w:rsidR="005643EA" w:rsidRPr="00E07C9A" w:rsidRDefault="00666996" w:rsidP="00487A02">
            <w:pPr>
              <w:pStyle w:val="InstructionsText"/>
              <w:rPr>
                <w:rStyle w:val="FormatvorlageInstructionsTabelleText"/>
                <w:rFonts w:ascii="Times New Roman" w:hAnsi="Times New Roman"/>
                <w:b/>
                <w:sz w:val="24"/>
                <w:u w:val="single"/>
              </w:rPr>
            </w:pPr>
            <w:r w:rsidRPr="00E07C9A">
              <w:rPr>
                <w:rStyle w:val="InstructionsTabelleberschrift"/>
                <w:rFonts w:ascii="Times New Roman" w:hAnsi="Times New Roman"/>
                <w:sz w:val="24"/>
              </w:rPr>
              <w:t>1.1.1.2.</w:t>
            </w:r>
            <w:r w:rsidRPr="00E07C9A">
              <w:tab/>
            </w:r>
            <w:r w:rsidRPr="00E07C9A">
              <w:rPr>
                <w:rStyle w:val="InstructionsTabelleberschrift"/>
                <w:rFonts w:ascii="Times New Roman" w:hAnsi="Times New Roman"/>
                <w:sz w:val="24"/>
              </w:rPr>
              <w:t>Nerozdelené zisky</w:t>
            </w:r>
          </w:p>
          <w:p w14:paraId="3ADB3998" w14:textId="637D1C9F" w:rsidR="005643EA" w:rsidRPr="00E07C9A" w:rsidRDefault="002648B0"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Článok 26 ods. 1 písm. c)</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článok 26 ods. 2</w:t>
            </w:r>
            <w:r w:rsidRPr="00E07C9A">
              <w:t xml:space="preserve">nariadenia (EÚ) </w:t>
            </w:r>
            <w:r w:rsidR="009912F8" w:rsidRPr="00E07C9A">
              <w:t>č. 575/2013</w:t>
            </w:r>
          </w:p>
          <w:p w14:paraId="073D5A2F" w14:textId="27387756" w:rsidR="005643EA" w:rsidRPr="00E07C9A" w:rsidRDefault="002648B0"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Nerozdelené zisky zahŕňajú nerozdelené zisky</w:t>
            </w:r>
            <w:r w:rsidR="009912F8" w:rsidRPr="00E07C9A">
              <w:rPr>
                <w:rStyle w:val="FormatvorlageInstructionsTabelleText"/>
                <w:rFonts w:ascii="Times New Roman" w:hAnsi="Times New Roman"/>
                <w:sz w:val="24"/>
              </w:rPr>
              <w:t xml:space="preserve"> z </w:t>
            </w:r>
            <w:r w:rsidRPr="00E07C9A">
              <w:rPr>
                <w:rStyle w:val="FormatvorlageInstructionsTabelleText"/>
                <w:rFonts w:ascii="Times New Roman" w:hAnsi="Times New Roman"/>
                <w:sz w:val="24"/>
              </w:rPr>
              <w:t>predchádzajúceho roka</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prípustné predbežné alebo koncoročné zisky.</w:t>
            </w:r>
          </w:p>
        </w:tc>
      </w:tr>
      <w:tr w:rsidR="002648B0" w:rsidRPr="00E07C9A" w14:paraId="40435219" w14:textId="77777777" w:rsidTr="00D731E3">
        <w:tc>
          <w:tcPr>
            <w:tcW w:w="1129" w:type="dxa"/>
          </w:tcPr>
          <w:p w14:paraId="7ED7F1A2" w14:textId="77777777" w:rsidR="002648B0" w:rsidRPr="00E07C9A" w:rsidRDefault="00252454"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0140</w:t>
            </w:r>
          </w:p>
        </w:tc>
        <w:tc>
          <w:tcPr>
            <w:tcW w:w="7620" w:type="dxa"/>
          </w:tcPr>
          <w:p w14:paraId="3D5DDD0C" w14:textId="164ED0D8" w:rsidR="005643EA" w:rsidRPr="00E07C9A" w:rsidRDefault="00666996" w:rsidP="00487A02">
            <w:pPr>
              <w:pStyle w:val="InstructionsText"/>
              <w:rPr>
                <w:rStyle w:val="FormatvorlageInstructionsTabelleText"/>
                <w:rFonts w:ascii="Times New Roman" w:hAnsi="Times New Roman"/>
                <w:b/>
                <w:sz w:val="24"/>
                <w:u w:val="single"/>
              </w:rPr>
            </w:pPr>
            <w:r w:rsidRPr="00E07C9A">
              <w:rPr>
                <w:rStyle w:val="InstructionsTabelleberschrift"/>
                <w:rFonts w:ascii="Times New Roman" w:hAnsi="Times New Roman"/>
                <w:sz w:val="24"/>
              </w:rPr>
              <w:t>1.1.1.2.1.</w:t>
            </w:r>
            <w:r w:rsidRPr="00E07C9A">
              <w:tab/>
            </w:r>
            <w:r w:rsidRPr="00E07C9A">
              <w:rPr>
                <w:rStyle w:val="InstructionsTabelleberschrift"/>
                <w:rFonts w:ascii="Times New Roman" w:hAnsi="Times New Roman"/>
                <w:sz w:val="24"/>
              </w:rPr>
              <w:t>Nerozdelené zisky</w:t>
            </w:r>
            <w:r w:rsidR="009912F8" w:rsidRPr="00E07C9A">
              <w:rPr>
                <w:rStyle w:val="InstructionsTabelleberschrift"/>
                <w:rFonts w:ascii="Times New Roman" w:hAnsi="Times New Roman"/>
                <w:sz w:val="24"/>
              </w:rPr>
              <w:t xml:space="preserve"> z </w:t>
            </w:r>
            <w:r w:rsidRPr="00E07C9A">
              <w:rPr>
                <w:rStyle w:val="InstructionsTabelleberschrift"/>
                <w:rFonts w:ascii="Times New Roman" w:hAnsi="Times New Roman"/>
                <w:sz w:val="24"/>
              </w:rPr>
              <w:t>predchádzajúcich rokov</w:t>
            </w:r>
          </w:p>
          <w:p w14:paraId="54F5DF50" w14:textId="49FA245F" w:rsidR="005643EA" w:rsidRPr="00E07C9A" w:rsidRDefault="002648B0"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Článok 4 ods. 1 bod 123</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 xml:space="preserve">článok 26 ods. 1 písm. c) </w:t>
            </w:r>
            <w:r w:rsidR="009912F8" w:rsidRPr="00E07C9A">
              <w:t>nariadenia (EÚ) č. 575/2013</w:t>
            </w:r>
          </w:p>
          <w:p w14:paraId="7784E49D" w14:textId="1A20AE7D" w:rsidR="005643EA" w:rsidRPr="00E07C9A" w:rsidRDefault="002648B0"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 xml:space="preserve">V článku 4 ods. 1 bode 123 </w:t>
            </w:r>
            <w:r w:rsidRPr="00E07C9A">
              <w:t xml:space="preserve">nariadenia (EÚ) </w:t>
            </w:r>
            <w:r w:rsidR="009912F8" w:rsidRPr="00E07C9A">
              <w:t>č. 575/2013</w:t>
            </w:r>
            <w:r w:rsidRPr="00E07C9A">
              <w:t xml:space="preserve"> </w:t>
            </w:r>
            <w:r w:rsidRPr="00E07C9A">
              <w:rPr>
                <w:rStyle w:val="FormatvorlageInstructionsTabelleText"/>
                <w:rFonts w:ascii="Times New Roman" w:hAnsi="Times New Roman"/>
                <w:sz w:val="24"/>
              </w:rPr>
              <w:t>sa nerozdelené zisky vymedzujú ako „zisky</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straty prenesené po použití konečného zisku alebo straty</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súlade</w:t>
            </w:r>
            <w:r w:rsidR="009912F8" w:rsidRPr="00E07C9A">
              <w:rPr>
                <w:rStyle w:val="FormatvorlageInstructionsTabelleText"/>
                <w:rFonts w:ascii="Times New Roman" w:hAnsi="Times New Roman"/>
                <w:sz w:val="24"/>
              </w:rPr>
              <w:t xml:space="preserve"> s </w:t>
            </w:r>
            <w:r w:rsidRPr="00E07C9A">
              <w:rPr>
                <w:rStyle w:val="FormatvorlageInstructionsTabelleText"/>
                <w:rFonts w:ascii="Times New Roman" w:hAnsi="Times New Roman"/>
                <w:sz w:val="24"/>
              </w:rPr>
              <w:t>uplatniteľným účtovným rámcom“.</w:t>
            </w:r>
          </w:p>
        </w:tc>
      </w:tr>
      <w:tr w:rsidR="002648B0" w:rsidRPr="00E07C9A" w14:paraId="4FBC3144" w14:textId="77777777" w:rsidTr="00D731E3">
        <w:tc>
          <w:tcPr>
            <w:tcW w:w="1129" w:type="dxa"/>
          </w:tcPr>
          <w:p w14:paraId="71B154AF" w14:textId="77777777" w:rsidR="002648B0" w:rsidRPr="00E07C9A" w:rsidRDefault="00252454"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0150</w:t>
            </w:r>
          </w:p>
        </w:tc>
        <w:tc>
          <w:tcPr>
            <w:tcW w:w="7620" w:type="dxa"/>
          </w:tcPr>
          <w:p w14:paraId="3B0AA1FB" w14:textId="77777777" w:rsidR="005643EA" w:rsidRPr="00E07C9A" w:rsidRDefault="00666996" w:rsidP="00487A02">
            <w:pPr>
              <w:pStyle w:val="InstructionsText"/>
              <w:rPr>
                <w:rStyle w:val="FormatvorlageInstructionsTabelleText"/>
                <w:rFonts w:ascii="Times New Roman" w:hAnsi="Times New Roman"/>
                <w:b/>
                <w:sz w:val="24"/>
                <w:u w:val="single"/>
              </w:rPr>
            </w:pPr>
            <w:r w:rsidRPr="00E07C9A">
              <w:rPr>
                <w:rStyle w:val="InstructionsTabelleberschrift"/>
                <w:rFonts w:ascii="Times New Roman" w:hAnsi="Times New Roman"/>
                <w:sz w:val="24"/>
              </w:rPr>
              <w:t>1.1.1.2.2.</w:t>
            </w:r>
            <w:r w:rsidRPr="00E07C9A">
              <w:tab/>
            </w:r>
            <w:r w:rsidRPr="00E07C9A">
              <w:rPr>
                <w:rStyle w:val="InstructionsTabelleberschrift"/>
                <w:rFonts w:ascii="Times New Roman" w:hAnsi="Times New Roman"/>
                <w:sz w:val="24"/>
              </w:rPr>
              <w:t>Prípustný zisk alebo strata</w:t>
            </w:r>
          </w:p>
          <w:p w14:paraId="21F4DCF2" w14:textId="1526747C" w:rsidR="005643EA" w:rsidRPr="00E07C9A" w:rsidRDefault="002648B0"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Článok 4 ods. 1 bod 121, článok 26 ods. 2</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 xml:space="preserve">článok 36 ods. 1 písm. a) </w:t>
            </w:r>
            <w:r w:rsidRPr="00E07C9A">
              <w:t xml:space="preserve">nariadenia (EÚ) </w:t>
            </w:r>
            <w:r w:rsidR="009912F8" w:rsidRPr="00E07C9A">
              <w:t>č. 575/2013</w:t>
            </w:r>
          </w:p>
          <w:p w14:paraId="6212BB75" w14:textId="28617B8E" w:rsidR="009912F8" w:rsidRPr="00E07C9A" w:rsidRDefault="002648B0"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lastRenderedPageBreak/>
              <w:t xml:space="preserve">V článku 26 ods. 2 </w:t>
            </w:r>
            <w:r w:rsidRPr="00E07C9A">
              <w:t xml:space="preserve">nariadenia (EÚ) </w:t>
            </w:r>
            <w:r w:rsidR="009912F8" w:rsidRPr="00E07C9A">
              <w:t xml:space="preserve">č. 575/2013 </w:t>
            </w:r>
            <w:r w:rsidRPr="00E07C9A">
              <w:rPr>
                <w:rStyle w:val="FormatvorlageInstructionsTabelleText"/>
                <w:rFonts w:ascii="Times New Roman" w:hAnsi="Times New Roman"/>
                <w:sz w:val="24"/>
              </w:rPr>
              <w:t>sa umožňuje do nerozdelených ziskov zahrnúť predbežné alebo koncoročné zisky,</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to</w:t>
            </w:r>
            <w:r w:rsidR="009912F8" w:rsidRPr="00E07C9A">
              <w:rPr>
                <w:rStyle w:val="FormatvorlageInstructionsTabelleText"/>
                <w:rFonts w:ascii="Times New Roman" w:hAnsi="Times New Roman"/>
                <w:sz w:val="24"/>
              </w:rPr>
              <w:t xml:space="preserve"> s </w:t>
            </w:r>
            <w:r w:rsidRPr="00E07C9A">
              <w:rPr>
                <w:rStyle w:val="FormatvorlageInstructionsTabelleText"/>
                <w:rFonts w:ascii="Times New Roman" w:hAnsi="Times New Roman"/>
                <w:sz w:val="24"/>
              </w:rPr>
              <w:t>predchádzajúcim súhlasom príslušných orgánov, ak sú splnené určité podmienky</w:t>
            </w:r>
            <w:r w:rsidR="009912F8" w:rsidRPr="00E07C9A">
              <w:rPr>
                <w:rStyle w:val="FormatvorlageInstructionsTabelleText"/>
                <w:rFonts w:ascii="Times New Roman" w:hAnsi="Times New Roman"/>
                <w:sz w:val="24"/>
              </w:rPr>
              <w:t>.</w:t>
            </w:r>
          </w:p>
          <w:p w14:paraId="59132D42" w14:textId="7768C6C9" w:rsidR="005643EA" w:rsidRPr="00E07C9A" w:rsidRDefault="002648B0" w:rsidP="00467F65">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Na druhej strane sa od CET1 odpočítajú straty, ako sa stanovuje</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 xml:space="preserve">článku 36 ods. 1 písm. a) </w:t>
            </w:r>
            <w:r w:rsidRPr="00E07C9A">
              <w:t xml:space="preserve">nariadenia (EÚ) </w:t>
            </w:r>
            <w:r w:rsidR="009912F8" w:rsidRPr="00E07C9A">
              <w:t>č. 575/2013</w:t>
            </w:r>
            <w:r w:rsidRPr="00E07C9A">
              <w:rPr>
                <w:rStyle w:val="FormatvorlageInstructionsTabelleText"/>
                <w:rFonts w:ascii="Times New Roman" w:hAnsi="Times New Roman"/>
                <w:sz w:val="24"/>
              </w:rPr>
              <w:t>.</w:t>
            </w:r>
          </w:p>
        </w:tc>
      </w:tr>
      <w:tr w:rsidR="002648B0" w:rsidRPr="00E07C9A" w14:paraId="3AC14AD7" w14:textId="77777777" w:rsidTr="00D731E3">
        <w:tc>
          <w:tcPr>
            <w:tcW w:w="1129" w:type="dxa"/>
          </w:tcPr>
          <w:p w14:paraId="01BAD3F3" w14:textId="77777777" w:rsidR="002648B0" w:rsidRPr="00E07C9A" w:rsidRDefault="00252454"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lastRenderedPageBreak/>
              <w:t>0160</w:t>
            </w:r>
          </w:p>
        </w:tc>
        <w:tc>
          <w:tcPr>
            <w:tcW w:w="7620" w:type="dxa"/>
          </w:tcPr>
          <w:p w14:paraId="7761C75F" w14:textId="77777777" w:rsidR="005643EA" w:rsidRPr="00E07C9A" w:rsidRDefault="00666996" w:rsidP="00487A02">
            <w:pPr>
              <w:pStyle w:val="InstructionsText"/>
              <w:rPr>
                <w:rStyle w:val="FormatvorlageInstructionsTabelleText"/>
                <w:rFonts w:ascii="Times New Roman" w:hAnsi="Times New Roman"/>
                <w:b/>
                <w:sz w:val="24"/>
                <w:u w:val="single"/>
              </w:rPr>
            </w:pPr>
            <w:r w:rsidRPr="00E07C9A">
              <w:rPr>
                <w:rStyle w:val="InstructionsTabelleberschrift"/>
                <w:rFonts w:ascii="Times New Roman" w:hAnsi="Times New Roman"/>
                <w:sz w:val="24"/>
              </w:rPr>
              <w:t>1.1.1.2.2.1.</w:t>
            </w:r>
            <w:r w:rsidRPr="00E07C9A">
              <w:tab/>
            </w:r>
            <w:r w:rsidRPr="00E07C9A">
              <w:rPr>
                <w:rStyle w:val="InstructionsTabelleberschrift"/>
                <w:rFonts w:ascii="Times New Roman" w:hAnsi="Times New Roman"/>
                <w:sz w:val="24"/>
              </w:rPr>
              <w:t>Zisk alebo strata pripísateľná vlastníkom materskej spoločnosti</w:t>
            </w:r>
          </w:p>
          <w:p w14:paraId="7D2A8D42" w14:textId="3518DD79" w:rsidR="005643EA" w:rsidRPr="00E07C9A" w:rsidRDefault="002648B0"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Článok 26 ods. 2</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 xml:space="preserve">článok 36 ods. 1 písm. a) </w:t>
            </w:r>
            <w:r w:rsidRPr="00E07C9A">
              <w:t xml:space="preserve">nariadenia (EÚ) </w:t>
            </w:r>
            <w:r w:rsidR="009912F8" w:rsidRPr="00E07C9A">
              <w:t>č. 575/2013</w:t>
            </w:r>
          </w:p>
          <w:p w14:paraId="647A1695" w14:textId="26315503" w:rsidR="005643EA" w:rsidRPr="00E07C9A" w:rsidRDefault="002648B0"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Vykazovaná hodnota je zisk alebo strata, ktoré sú vykázané</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účtovnom výkaze ziskov</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strát.</w:t>
            </w:r>
          </w:p>
        </w:tc>
      </w:tr>
      <w:tr w:rsidR="002648B0" w:rsidRPr="00E07C9A" w14:paraId="49949D25" w14:textId="77777777" w:rsidTr="00D731E3">
        <w:tc>
          <w:tcPr>
            <w:tcW w:w="1129" w:type="dxa"/>
          </w:tcPr>
          <w:p w14:paraId="2460E57C" w14:textId="77777777" w:rsidR="002648B0" w:rsidRPr="00E07C9A" w:rsidRDefault="00A20B73"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0170</w:t>
            </w:r>
          </w:p>
        </w:tc>
        <w:tc>
          <w:tcPr>
            <w:tcW w:w="7620" w:type="dxa"/>
          </w:tcPr>
          <w:p w14:paraId="3450958C" w14:textId="77777777" w:rsidR="005643EA" w:rsidRPr="00E07C9A" w:rsidRDefault="00666996"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1.1.1.2.2.2.</w:t>
            </w:r>
            <w:r w:rsidRPr="00E07C9A">
              <w:tab/>
            </w:r>
            <w:r w:rsidRPr="00E07C9A">
              <w:rPr>
                <w:rStyle w:val="InstructionsTabelleberschrift"/>
                <w:rFonts w:ascii="Times New Roman" w:hAnsi="Times New Roman"/>
                <w:sz w:val="24"/>
              </w:rPr>
              <w:t>(–) Neprípustná časť predbežného alebo koncoročného zisku</w:t>
            </w:r>
          </w:p>
          <w:p w14:paraId="1285EAFD" w14:textId="7C630307" w:rsidR="005643EA" w:rsidRPr="00E07C9A" w:rsidRDefault="002648B0"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 xml:space="preserve">Článok 26 ods. 2 </w:t>
            </w:r>
            <w:r w:rsidRPr="00E07C9A">
              <w:t xml:space="preserve">nariadenia (EÚ) </w:t>
            </w:r>
            <w:r w:rsidR="009912F8" w:rsidRPr="00E07C9A">
              <w:t>č. 575/2013</w:t>
            </w:r>
          </w:p>
          <w:p w14:paraId="36949832" w14:textId="7261A076" w:rsidR="005643EA" w:rsidRPr="00E07C9A" w:rsidRDefault="002648B0"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V tomto riadku sa neuvádza žiadny údaj, ak inštitúcia za referenčné obdobie vykázala straty, pretože straty sa</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plnej miere odpočítavajú od CET1.</w:t>
            </w:r>
          </w:p>
          <w:p w14:paraId="7D9F770C" w14:textId="06EBB219" w:rsidR="005643EA" w:rsidRPr="00E07C9A" w:rsidRDefault="002648B0"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 xml:space="preserve">Ak inštitúcia vykazuje zisky, vykazuje sa časť, ktorá nie je prípustná podľa článku 26 ods. 2 </w:t>
            </w:r>
            <w:r w:rsidRPr="00E07C9A">
              <w:t xml:space="preserve">nariadenia (EÚ) </w:t>
            </w:r>
            <w:r w:rsidR="009912F8" w:rsidRPr="00E07C9A">
              <w:t xml:space="preserve">č. 575/2013 </w:t>
            </w:r>
            <w:r w:rsidRPr="00E07C9A">
              <w:rPr>
                <w:rStyle w:val="FormatvorlageInstructionsTabelleText"/>
                <w:rFonts w:ascii="Times New Roman" w:hAnsi="Times New Roman"/>
                <w:sz w:val="24"/>
              </w:rPr>
              <w:t>(t. j. zisky neoverené audítorom</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predpokladané platby alebo dividendy).</w:t>
            </w:r>
          </w:p>
          <w:p w14:paraId="69A71319" w14:textId="425AD54A" w:rsidR="005643EA" w:rsidRPr="00E07C9A" w:rsidRDefault="002648B0"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Treba poznamenať, že</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prípade ziskov sa hodnota, ktorú treba odpočítať, rovná najmenej predbežným dividendám.</w:t>
            </w:r>
          </w:p>
        </w:tc>
      </w:tr>
      <w:tr w:rsidR="002648B0" w:rsidRPr="00E07C9A" w14:paraId="33F9A001" w14:textId="77777777" w:rsidTr="00D731E3">
        <w:tc>
          <w:tcPr>
            <w:tcW w:w="1129" w:type="dxa"/>
          </w:tcPr>
          <w:p w14:paraId="655D5FF8" w14:textId="77777777" w:rsidR="002648B0" w:rsidRPr="00E07C9A" w:rsidRDefault="00A20B73"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0180</w:t>
            </w:r>
          </w:p>
        </w:tc>
        <w:tc>
          <w:tcPr>
            <w:tcW w:w="7620" w:type="dxa"/>
          </w:tcPr>
          <w:p w14:paraId="4A378A87" w14:textId="77777777" w:rsidR="005643EA" w:rsidRPr="00E07C9A" w:rsidRDefault="00666996" w:rsidP="00487A02">
            <w:pPr>
              <w:pStyle w:val="InstructionsText"/>
              <w:rPr>
                <w:rStyle w:val="FormatvorlageInstructionsTabelleText"/>
                <w:rFonts w:ascii="Times New Roman" w:hAnsi="Times New Roman"/>
                <w:b/>
                <w:sz w:val="24"/>
                <w:u w:val="single"/>
              </w:rPr>
            </w:pPr>
            <w:r w:rsidRPr="00E07C9A">
              <w:rPr>
                <w:rStyle w:val="InstructionsTabelleberschrift"/>
                <w:rFonts w:ascii="Times New Roman" w:hAnsi="Times New Roman"/>
                <w:sz w:val="24"/>
              </w:rPr>
              <w:t>1.1.1.3.</w:t>
            </w:r>
            <w:r w:rsidRPr="00E07C9A">
              <w:tab/>
            </w:r>
            <w:r w:rsidRPr="00E07C9A">
              <w:rPr>
                <w:rStyle w:val="InstructionsTabelleberschrift"/>
                <w:rFonts w:ascii="Times New Roman" w:hAnsi="Times New Roman"/>
                <w:sz w:val="24"/>
              </w:rPr>
              <w:t>Akumulovaný iný komplexný účtovný výsledok</w:t>
            </w:r>
          </w:p>
          <w:p w14:paraId="4FCA4A4A" w14:textId="20696CA8" w:rsidR="005643EA" w:rsidRPr="00E07C9A" w:rsidRDefault="002648B0"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Článok 4 ods. 1 bod 100</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 xml:space="preserve">článok 26 ods. 1 písm. d) </w:t>
            </w:r>
            <w:r w:rsidR="009912F8" w:rsidRPr="00E07C9A">
              <w:t>nariadenia (EÚ) č. 575/2013</w:t>
            </w:r>
          </w:p>
          <w:p w14:paraId="1E90CC48" w14:textId="5AB45A0F" w:rsidR="005643EA" w:rsidRPr="00E07C9A" w:rsidRDefault="002648B0"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Vykazuje sa hodnota po odpočítaní daňových poplatkov, ktoré sa predpokladajú</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čase výpočtu,</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pred uplatnením prudenciálnych filtrov. Vykazovaná hodnota sa určuje</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súlade</w:t>
            </w:r>
            <w:r w:rsidR="009912F8" w:rsidRPr="00E07C9A">
              <w:rPr>
                <w:rStyle w:val="FormatvorlageInstructionsTabelleText"/>
                <w:rFonts w:ascii="Times New Roman" w:hAnsi="Times New Roman"/>
                <w:sz w:val="24"/>
              </w:rPr>
              <w:t xml:space="preserve"> s </w:t>
            </w:r>
            <w:r w:rsidRPr="00E07C9A">
              <w:rPr>
                <w:rStyle w:val="FormatvorlageInstructionsTabelleText"/>
                <w:rFonts w:ascii="Times New Roman" w:hAnsi="Times New Roman"/>
                <w:sz w:val="24"/>
              </w:rPr>
              <w:t xml:space="preserve">článkom 13 ods. 4 delegovaného nariadenia Komisie (EÚ) č. 241/2014. </w:t>
            </w:r>
          </w:p>
        </w:tc>
      </w:tr>
      <w:tr w:rsidR="002648B0" w:rsidRPr="00E07C9A" w14:paraId="53147632" w14:textId="77777777" w:rsidTr="00D731E3">
        <w:tc>
          <w:tcPr>
            <w:tcW w:w="1129" w:type="dxa"/>
          </w:tcPr>
          <w:p w14:paraId="0A7C0289" w14:textId="77777777" w:rsidR="002648B0" w:rsidRPr="00E07C9A" w:rsidRDefault="00A20B73"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0200</w:t>
            </w:r>
          </w:p>
        </w:tc>
        <w:tc>
          <w:tcPr>
            <w:tcW w:w="7620" w:type="dxa"/>
          </w:tcPr>
          <w:p w14:paraId="5279EFC6" w14:textId="77777777" w:rsidR="005643EA" w:rsidRPr="00E07C9A" w:rsidRDefault="00666996" w:rsidP="00487A02">
            <w:pPr>
              <w:pStyle w:val="InstructionsText"/>
              <w:rPr>
                <w:rStyle w:val="FormatvorlageInstructionsTabelleText"/>
                <w:rFonts w:ascii="Times New Roman" w:hAnsi="Times New Roman"/>
                <w:b/>
                <w:sz w:val="24"/>
                <w:u w:val="single"/>
              </w:rPr>
            </w:pPr>
            <w:r w:rsidRPr="00E07C9A">
              <w:rPr>
                <w:rStyle w:val="InstructionsTabelleberschrift"/>
                <w:rFonts w:ascii="Times New Roman" w:hAnsi="Times New Roman"/>
                <w:sz w:val="24"/>
              </w:rPr>
              <w:t>1.1.1.4.</w:t>
            </w:r>
            <w:r w:rsidRPr="00E07C9A">
              <w:tab/>
            </w:r>
            <w:r w:rsidRPr="00E07C9A">
              <w:rPr>
                <w:rStyle w:val="InstructionsTabelleberschrift"/>
                <w:rFonts w:ascii="Times New Roman" w:hAnsi="Times New Roman"/>
                <w:sz w:val="24"/>
              </w:rPr>
              <w:t>Ostatné rezervy</w:t>
            </w:r>
          </w:p>
          <w:p w14:paraId="2AF06D00" w14:textId="778400C5" w:rsidR="005643EA" w:rsidRPr="00E07C9A" w:rsidRDefault="002648B0"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Článok 4 ods. 1 bod 117</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 xml:space="preserve">článok 26 ods. 1 písm. e) </w:t>
            </w:r>
            <w:r w:rsidR="009912F8" w:rsidRPr="00E07C9A">
              <w:t>nariadenia (EÚ) č. 575/2013</w:t>
            </w:r>
          </w:p>
          <w:p w14:paraId="64926C51" w14:textId="105B5238" w:rsidR="005643EA" w:rsidRPr="00E07C9A" w:rsidRDefault="002648B0"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Ostatné rezervy sa</w:t>
            </w:r>
            <w:r w:rsidR="009912F8" w:rsidRPr="00E07C9A">
              <w:rPr>
                <w:rStyle w:val="FormatvorlageInstructionsTabelleText"/>
                <w:rFonts w:ascii="Times New Roman" w:hAnsi="Times New Roman"/>
                <w:sz w:val="24"/>
              </w:rPr>
              <w:t xml:space="preserve"> v </w:t>
            </w:r>
            <w:r w:rsidRPr="00E07C9A">
              <w:t xml:space="preserve">nariadení (EÚ) </w:t>
            </w:r>
            <w:r w:rsidR="009912F8" w:rsidRPr="00E07C9A">
              <w:t>č. 575/2013</w:t>
            </w:r>
            <w:r w:rsidRPr="00E07C9A">
              <w:t xml:space="preserve"> </w:t>
            </w:r>
            <w:r w:rsidRPr="00E07C9A">
              <w:rPr>
                <w:rStyle w:val="FormatvorlageInstructionsTabelleText"/>
                <w:rFonts w:ascii="Times New Roman" w:hAnsi="Times New Roman"/>
                <w:sz w:val="24"/>
              </w:rPr>
              <w:t>vymedzujú ako „rezervy</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zmysle uplatniteľného účtovného rámca, na ktoré sa vzťahuje požiadavka zverejnenia podľa daného uplatniteľného účtovného štandardu, okrem akýchkoľvek súm, ktoré už boli zahrnuté do akumulovaného iného komplexného účtovného výsledku alebo do nerozdelených ziskov“.</w:t>
            </w:r>
          </w:p>
          <w:p w14:paraId="60525F07" w14:textId="303A9E5A" w:rsidR="005643EA" w:rsidRPr="00E07C9A" w:rsidRDefault="002648B0"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Vykazuje sa hodnota po odpočítaní daňových poplatkov, ktoré sa predpokladajú</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čase výpočtu.</w:t>
            </w:r>
          </w:p>
        </w:tc>
      </w:tr>
      <w:tr w:rsidR="002648B0" w:rsidRPr="00E07C9A" w14:paraId="6D374D3A" w14:textId="77777777" w:rsidTr="00D731E3">
        <w:tc>
          <w:tcPr>
            <w:tcW w:w="1129" w:type="dxa"/>
          </w:tcPr>
          <w:p w14:paraId="53073028" w14:textId="77777777" w:rsidR="002648B0" w:rsidRPr="00E07C9A" w:rsidRDefault="00A20B73"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0210</w:t>
            </w:r>
          </w:p>
        </w:tc>
        <w:tc>
          <w:tcPr>
            <w:tcW w:w="7620" w:type="dxa"/>
          </w:tcPr>
          <w:p w14:paraId="55CF601F" w14:textId="77777777" w:rsidR="005643EA" w:rsidRPr="00E07C9A" w:rsidRDefault="00666996" w:rsidP="00487A02">
            <w:pPr>
              <w:pStyle w:val="InstructionsText"/>
              <w:rPr>
                <w:rStyle w:val="FormatvorlageInstructionsTabelleText"/>
                <w:rFonts w:ascii="Times New Roman" w:hAnsi="Times New Roman"/>
                <w:b/>
                <w:sz w:val="24"/>
                <w:u w:val="single"/>
              </w:rPr>
            </w:pPr>
            <w:r w:rsidRPr="00E07C9A">
              <w:rPr>
                <w:rStyle w:val="InstructionsTabelleberschrift"/>
                <w:rFonts w:ascii="Times New Roman" w:hAnsi="Times New Roman"/>
                <w:sz w:val="24"/>
              </w:rPr>
              <w:t>1.1.1.5.</w:t>
            </w:r>
            <w:r w:rsidRPr="00E07C9A">
              <w:tab/>
            </w:r>
            <w:r w:rsidRPr="00E07C9A">
              <w:rPr>
                <w:rStyle w:val="InstructionsTabelleberschrift"/>
                <w:rFonts w:ascii="Times New Roman" w:hAnsi="Times New Roman"/>
                <w:sz w:val="24"/>
              </w:rPr>
              <w:t>Fondy pre všeobecné bankové riziká</w:t>
            </w:r>
          </w:p>
          <w:p w14:paraId="0FA76D31" w14:textId="0457A8A5" w:rsidR="005643EA" w:rsidRPr="00E07C9A" w:rsidRDefault="002648B0"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Článok 4 ods. 1 bod 112</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 xml:space="preserve">článok 26 ods. 1 písm. f) </w:t>
            </w:r>
            <w:r w:rsidR="009912F8" w:rsidRPr="00E07C9A">
              <w:t>nariadenia (EÚ) č. 575/2013</w:t>
            </w:r>
          </w:p>
          <w:p w14:paraId="2514A1CE" w14:textId="63F75BDF" w:rsidR="005643EA" w:rsidRPr="00E07C9A" w:rsidRDefault="002648B0"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lastRenderedPageBreak/>
              <w:t>Fondy pre všeobecné bankové riziká sa</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 xml:space="preserve">článku 38 </w:t>
            </w:r>
            <w:r w:rsidRPr="00E07C9A">
              <w:t>smernice Rady 86/635/EHS</w:t>
            </w:r>
            <w:r w:rsidRPr="00E07C9A">
              <w:rPr>
                <w:rStyle w:val="FormatvorlageInstructionsTabelleText"/>
                <w:rFonts w:ascii="Times New Roman" w:hAnsi="Times New Roman"/>
                <w:sz w:val="24"/>
              </w:rPr>
              <w:t xml:space="preserve"> vymedzujú ako „sumy, ktoré sa úverová inštitúcia rozhodne odložiť, aby pokryla také riziká, ak si to konkrétne riziká súvisiace</w:t>
            </w:r>
            <w:r w:rsidR="009912F8" w:rsidRPr="00E07C9A">
              <w:rPr>
                <w:rStyle w:val="FormatvorlageInstructionsTabelleText"/>
                <w:rFonts w:ascii="Times New Roman" w:hAnsi="Times New Roman"/>
                <w:sz w:val="24"/>
              </w:rPr>
              <w:t xml:space="preserve"> s </w:t>
            </w:r>
            <w:r w:rsidRPr="00E07C9A">
              <w:rPr>
                <w:rStyle w:val="FormatvorlageInstructionsTabelleText"/>
                <w:rFonts w:ascii="Times New Roman" w:hAnsi="Times New Roman"/>
                <w:sz w:val="24"/>
              </w:rPr>
              <w:t>bankovníctvom vyžadujú“.</w:t>
            </w:r>
          </w:p>
          <w:p w14:paraId="23902DBC" w14:textId="59B32148" w:rsidR="005643EA" w:rsidRPr="00E07C9A" w:rsidRDefault="002648B0"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Vykazuje sa hodnota po odpočítaní daňových poplatkov, ktoré sa predpokladajú</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čase výpočtu.</w:t>
            </w:r>
          </w:p>
        </w:tc>
      </w:tr>
      <w:tr w:rsidR="002648B0" w:rsidRPr="00E07C9A" w14:paraId="0A60FFDD" w14:textId="77777777" w:rsidTr="00D731E3">
        <w:tc>
          <w:tcPr>
            <w:tcW w:w="1129" w:type="dxa"/>
          </w:tcPr>
          <w:p w14:paraId="7D9A924B" w14:textId="77777777" w:rsidR="002648B0" w:rsidRPr="00E07C9A" w:rsidRDefault="00A20B73"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lastRenderedPageBreak/>
              <w:t>0220</w:t>
            </w:r>
          </w:p>
        </w:tc>
        <w:tc>
          <w:tcPr>
            <w:tcW w:w="7620" w:type="dxa"/>
          </w:tcPr>
          <w:p w14:paraId="2DEB3A90" w14:textId="401172EA" w:rsidR="005643EA" w:rsidRPr="00E07C9A" w:rsidRDefault="00666996" w:rsidP="00487A02">
            <w:pPr>
              <w:pStyle w:val="InstructionsText"/>
              <w:rPr>
                <w:rStyle w:val="FormatvorlageInstructionsTabelleText"/>
                <w:rFonts w:ascii="Times New Roman" w:hAnsi="Times New Roman"/>
                <w:b/>
                <w:sz w:val="24"/>
                <w:u w:val="single"/>
              </w:rPr>
            </w:pPr>
            <w:r w:rsidRPr="00E07C9A">
              <w:rPr>
                <w:rStyle w:val="InstructionsTabelleberschrift"/>
                <w:rFonts w:ascii="Times New Roman" w:hAnsi="Times New Roman"/>
                <w:sz w:val="24"/>
              </w:rPr>
              <w:t>1.1.1.6.</w:t>
            </w:r>
            <w:r w:rsidRPr="00E07C9A">
              <w:tab/>
            </w:r>
            <w:r w:rsidRPr="00E07C9A">
              <w:rPr>
                <w:rStyle w:val="InstructionsTabelleberschrift"/>
                <w:rFonts w:ascii="Times New Roman" w:hAnsi="Times New Roman"/>
                <w:sz w:val="24"/>
              </w:rPr>
              <w:t>Prechodné úpravy na základe nástrojov kapitálu CET1, ktoré sa zachovali</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predchádzajúcom stave</w:t>
            </w:r>
          </w:p>
          <w:p w14:paraId="34326EC5" w14:textId="7FF4A210" w:rsidR="005643EA" w:rsidRPr="00E07C9A" w:rsidRDefault="002648B0"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Článok 483 ods. 1, 2</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3</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články 484 až 487</w:t>
            </w:r>
            <w:r w:rsidRPr="00E07C9A">
              <w:t xml:space="preserve">nariadenia (EÚ) </w:t>
            </w:r>
            <w:r w:rsidR="009912F8" w:rsidRPr="00E07C9A">
              <w:t>č. 575/2013</w:t>
            </w:r>
          </w:p>
          <w:p w14:paraId="0DD047D9" w14:textId="5402E7F4" w:rsidR="005643EA" w:rsidRPr="00E07C9A" w:rsidRDefault="002648B0"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Hodnota kapitálových nástrojov, ktoré sa prechodne zachovali</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predchádzajúcom stave ako CET1. Vykazovaná hodnota sa získa priamo zo vzoru CA5.</w:t>
            </w:r>
          </w:p>
        </w:tc>
      </w:tr>
      <w:tr w:rsidR="002648B0" w:rsidRPr="00E07C9A" w14:paraId="03EC0373" w14:textId="77777777" w:rsidTr="00D731E3">
        <w:tc>
          <w:tcPr>
            <w:tcW w:w="1129" w:type="dxa"/>
          </w:tcPr>
          <w:p w14:paraId="46448552" w14:textId="77777777" w:rsidR="002648B0" w:rsidRPr="00E07C9A" w:rsidRDefault="00A20B73"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0230</w:t>
            </w:r>
          </w:p>
        </w:tc>
        <w:tc>
          <w:tcPr>
            <w:tcW w:w="7620" w:type="dxa"/>
          </w:tcPr>
          <w:p w14:paraId="4DBB71EE" w14:textId="4692967E" w:rsidR="005643EA" w:rsidRPr="00E07C9A" w:rsidRDefault="00666996" w:rsidP="00487A02">
            <w:pPr>
              <w:pStyle w:val="InstructionsText"/>
              <w:rPr>
                <w:rStyle w:val="FormatvorlageInstructionsTabelleText"/>
                <w:rFonts w:ascii="Times New Roman" w:hAnsi="Times New Roman"/>
                <w:b/>
                <w:sz w:val="24"/>
                <w:u w:val="single"/>
              </w:rPr>
            </w:pPr>
            <w:r w:rsidRPr="00E07C9A">
              <w:rPr>
                <w:rStyle w:val="InstructionsTabelleberschrift"/>
                <w:rFonts w:ascii="Times New Roman" w:hAnsi="Times New Roman"/>
                <w:sz w:val="24"/>
              </w:rPr>
              <w:t>1.1.1.7.</w:t>
            </w:r>
            <w:r w:rsidRPr="00E07C9A">
              <w:tab/>
            </w:r>
            <w:r w:rsidRPr="00E07C9A">
              <w:rPr>
                <w:rStyle w:val="InstructionsTabelleberschrift"/>
                <w:rFonts w:ascii="Times New Roman" w:hAnsi="Times New Roman"/>
                <w:sz w:val="24"/>
              </w:rPr>
              <w:t>Menšinová účasť uznaná</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kapitáli CET1</w:t>
            </w:r>
          </w:p>
          <w:p w14:paraId="2B0E9AD1" w14:textId="2876D6C9" w:rsidR="005643EA" w:rsidRPr="00E07C9A" w:rsidRDefault="002648B0"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Článok 4 ods. 1 bod 120</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 xml:space="preserve">článok 84 </w:t>
            </w:r>
            <w:r w:rsidRPr="00E07C9A">
              <w:t xml:space="preserve">nariadenia (EÚ) </w:t>
            </w:r>
            <w:r w:rsidR="009912F8" w:rsidRPr="00E07C9A">
              <w:t>č. 575/2013</w:t>
            </w:r>
          </w:p>
          <w:p w14:paraId="6A561838" w14:textId="370F5009" w:rsidR="005643EA" w:rsidRPr="00E07C9A" w:rsidRDefault="002648B0"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Súčet všetkých hodnôt menšinových účastí dcérskych spoločností, ktoré sú zahrnuté</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konsolidovanom CET1.</w:t>
            </w:r>
          </w:p>
        </w:tc>
      </w:tr>
      <w:tr w:rsidR="002648B0" w:rsidRPr="00E07C9A" w14:paraId="194284D4" w14:textId="77777777" w:rsidTr="00D731E3">
        <w:tc>
          <w:tcPr>
            <w:tcW w:w="1129" w:type="dxa"/>
          </w:tcPr>
          <w:p w14:paraId="104D03DC" w14:textId="77777777" w:rsidR="002648B0" w:rsidRPr="00E07C9A" w:rsidRDefault="00A20B73"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0240</w:t>
            </w:r>
          </w:p>
        </w:tc>
        <w:tc>
          <w:tcPr>
            <w:tcW w:w="7620" w:type="dxa"/>
          </w:tcPr>
          <w:p w14:paraId="7599C16C" w14:textId="77777777" w:rsidR="005643EA" w:rsidRPr="00E07C9A" w:rsidRDefault="002648B0" w:rsidP="00487A02">
            <w:pPr>
              <w:pStyle w:val="InstructionsText"/>
              <w:rPr>
                <w:rStyle w:val="FormatvorlageInstructionsTabelleText"/>
                <w:rFonts w:ascii="Times New Roman" w:hAnsi="Times New Roman"/>
                <w:b/>
                <w:sz w:val="24"/>
                <w:u w:val="single"/>
              </w:rPr>
            </w:pPr>
            <w:r w:rsidRPr="00E07C9A">
              <w:rPr>
                <w:rStyle w:val="InstructionsTabelleberschrift"/>
                <w:rFonts w:ascii="Times New Roman" w:hAnsi="Times New Roman"/>
                <w:sz w:val="24"/>
              </w:rPr>
              <w:t>1.1.1.8.</w:t>
            </w:r>
            <w:r w:rsidRPr="00E07C9A">
              <w:tab/>
            </w:r>
            <w:r w:rsidRPr="00E07C9A">
              <w:rPr>
                <w:rStyle w:val="InstructionsTabelleberschrift"/>
                <w:rFonts w:ascii="Times New Roman" w:hAnsi="Times New Roman"/>
                <w:sz w:val="24"/>
              </w:rPr>
              <w:t>Prechodné úpravy na základe dodatočných menšinových účastí</w:t>
            </w:r>
          </w:p>
          <w:p w14:paraId="269E3669" w14:textId="05648D6B" w:rsidR="005643EA" w:rsidRPr="00E07C9A" w:rsidRDefault="002648B0"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Články 479</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 xml:space="preserve">480 </w:t>
            </w:r>
            <w:r w:rsidRPr="00E07C9A">
              <w:t xml:space="preserve">nariadenia (EÚ) </w:t>
            </w:r>
            <w:r w:rsidR="009912F8" w:rsidRPr="00E07C9A">
              <w:t>č. 575/2013</w:t>
            </w:r>
          </w:p>
          <w:p w14:paraId="1E9A1C75" w14:textId="77777777" w:rsidR="005643EA" w:rsidRPr="00E07C9A" w:rsidRDefault="002648B0"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Úpravy menšinových účastí na základe prechodných ustanovení. Táto položka sa získa priamo zo vzoru CA5.</w:t>
            </w:r>
          </w:p>
        </w:tc>
      </w:tr>
      <w:tr w:rsidR="002648B0" w:rsidRPr="00E07C9A" w14:paraId="742514AD" w14:textId="77777777" w:rsidTr="00D731E3">
        <w:tc>
          <w:tcPr>
            <w:tcW w:w="1129" w:type="dxa"/>
          </w:tcPr>
          <w:p w14:paraId="27EE8811" w14:textId="77777777" w:rsidR="002648B0" w:rsidRPr="00E07C9A" w:rsidRDefault="00A20B73"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0250</w:t>
            </w:r>
          </w:p>
        </w:tc>
        <w:tc>
          <w:tcPr>
            <w:tcW w:w="7620" w:type="dxa"/>
          </w:tcPr>
          <w:p w14:paraId="04E6BFDB" w14:textId="77777777" w:rsidR="005643EA" w:rsidRPr="00E07C9A" w:rsidRDefault="002648B0" w:rsidP="00487A02">
            <w:pPr>
              <w:pStyle w:val="InstructionsText"/>
              <w:rPr>
                <w:rStyle w:val="FormatvorlageInstructionsTabelleText"/>
                <w:rFonts w:ascii="Times New Roman" w:hAnsi="Times New Roman"/>
                <w:b/>
                <w:sz w:val="24"/>
                <w:u w:val="single"/>
              </w:rPr>
            </w:pPr>
            <w:r w:rsidRPr="00E07C9A">
              <w:rPr>
                <w:rStyle w:val="InstructionsTabelleberschrift"/>
                <w:rFonts w:ascii="Times New Roman" w:hAnsi="Times New Roman"/>
                <w:sz w:val="24"/>
              </w:rPr>
              <w:t>1.1.1.9.</w:t>
            </w:r>
            <w:r w:rsidRPr="00E07C9A">
              <w:tab/>
            </w:r>
            <w:r w:rsidRPr="00E07C9A">
              <w:rPr>
                <w:rStyle w:val="InstructionsTabelleberschrift"/>
                <w:rFonts w:ascii="Times New Roman" w:hAnsi="Times New Roman"/>
                <w:sz w:val="24"/>
              </w:rPr>
              <w:t>Úpravy CET1 na základe prudenciálnych filtrov</w:t>
            </w:r>
          </w:p>
          <w:p w14:paraId="235AF992" w14:textId="627B74A4" w:rsidR="005643EA" w:rsidRPr="00E07C9A" w:rsidRDefault="002648B0"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 xml:space="preserve">Články 32 až 35 </w:t>
            </w:r>
            <w:r w:rsidRPr="00E07C9A">
              <w:t xml:space="preserve">nariadenia (EÚ) </w:t>
            </w:r>
            <w:r w:rsidR="009912F8" w:rsidRPr="00E07C9A">
              <w:t xml:space="preserve">č. 575/2013 </w:t>
            </w:r>
          </w:p>
        </w:tc>
      </w:tr>
      <w:tr w:rsidR="002648B0" w:rsidRPr="00E07C9A" w14:paraId="6677C476" w14:textId="77777777" w:rsidTr="00D731E3">
        <w:tc>
          <w:tcPr>
            <w:tcW w:w="1129" w:type="dxa"/>
          </w:tcPr>
          <w:p w14:paraId="4D972B5B" w14:textId="77777777" w:rsidR="002648B0" w:rsidRPr="00E07C9A" w:rsidRDefault="00A20B73"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0260</w:t>
            </w:r>
          </w:p>
        </w:tc>
        <w:tc>
          <w:tcPr>
            <w:tcW w:w="7620" w:type="dxa"/>
          </w:tcPr>
          <w:p w14:paraId="3B671B4C" w14:textId="77777777" w:rsidR="005643EA" w:rsidRPr="00E07C9A" w:rsidRDefault="002648B0" w:rsidP="00487A02">
            <w:pPr>
              <w:pStyle w:val="InstructionsText"/>
              <w:rPr>
                <w:rStyle w:val="FormatvorlageInstructionsTabelleText"/>
                <w:rFonts w:ascii="Times New Roman" w:hAnsi="Times New Roman"/>
                <w:b/>
                <w:sz w:val="24"/>
                <w:u w:val="single"/>
              </w:rPr>
            </w:pPr>
            <w:r w:rsidRPr="00E07C9A">
              <w:rPr>
                <w:rStyle w:val="InstructionsTabelleberschrift"/>
                <w:rFonts w:ascii="Times New Roman" w:hAnsi="Times New Roman"/>
                <w:sz w:val="24"/>
              </w:rPr>
              <w:t>1.1.1.9.1.</w:t>
            </w:r>
            <w:r w:rsidRPr="00E07C9A">
              <w:tab/>
            </w:r>
            <w:r w:rsidRPr="00E07C9A">
              <w:rPr>
                <w:rStyle w:val="InstructionsTabelleberschrift"/>
                <w:rFonts w:ascii="Times New Roman" w:hAnsi="Times New Roman"/>
                <w:sz w:val="24"/>
              </w:rPr>
              <w:t>(–) Zvýšenie vlastného kapitálu vyplývajúce zo sekuritizovaných aktív</w:t>
            </w:r>
          </w:p>
          <w:p w14:paraId="7D8F1942" w14:textId="0D3B5C18" w:rsidR="005643EA" w:rsidRPr="00E07C9A" w:rsidRDefault="002648B0"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 xml:space="preserve">Článok 32 ods. 1 </w:t>
            </w:r>
            <w:r w:rsidRPr="00E07C9A">
              <w:t xml:space="preserve">nariadenia (EÚ) </w:t>
            </w:r>
            <w:r w:rsidR="009912F8" w:rsidRPr="00E07C9A">
              <w:t>č. 575/2013</w:t>
            </w:r>
          </w:p>
          <w:p w14:paraId="75C8F355" w14:textId="77777777" w:rsidR="005643EA" w:rsidRPr="00E07C9A" w:rsidRDefault="002648B0"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Vykazovaná hodnota je zvýšenie vlastného kapitálu inštitúcie vyplývajúce zo sekuritizovaných aktív podľa uplatniteľného účtovného štandardu.</w:t>
            </w:r>
          </w:p>
          <w:p w14:paraId="392BF58C" w14:textId="3242763C" w:rsidR="005643EA" w:rsidRPr="00E07C9A" w:rsidRDefault="002648B0"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Táto položka zahŕňa napríklad budúci príjem</w:t>
            </w:r>
            <w:r w:rsidR="009912F8" w:rsidRPr="00E07C9A">
              <w:rPr>
                <w:rStyle w:val="FormatvorlageInstructionsTabelleText"/>
                <w:rFonts w:ascii="Times New Roman" w:hAnsi="Times New Roman"/>
                <w:sz w:val="24"/>
              </w:rPr>
              <w:t xml:space="preserve"> z </w:t>
            </w:r>
            <w:r w:rsidRPr="00E07C9A">
              <w:rPr>
                <w:rStyle w:val="FormatvorlageInstructionsTabelleText"/>
                <w:rFonts w:ascii="Times New Roman" w:hAnsi="Times New Roman"/>
                <w:sz w:val="24"/>
              </w:rPr>
              <w:t>marže, ktorý vedie</w:t>
            </w:r>
            <w:r w:rsidR="009912F8" w:rsidRPr="00E07C9A">
              <w:rPr>
                <w:rStyle w:val="FormatvorlageInstructionsTabelleText"/>
                <w:rFonts w:ascii="Times New Roman" w:hAnsi="Times New Roman"/>
                <w:sz w:val="24"/>
              </w:rPr>
              <w:t xml:space="preserve"> k </w:t>
            </w:r>
            <w:r w:rsidRPr="00E07C9A">
              <w:rPr>
                <w:rStyle w:val="FormatvorlageInstructionsTabelleText"/>
                <w:rFonts w:ascii="Times New Roman" w:hAnsi="Times New Roman"/>
                <w:sz w:val="24"/>
              </w:rPr>
              <w:t>zisku</w:t>
            </w:r>
            <w:r w:rsidR="009912F8" w:rsidRPr="00E07C9A">
              <w:rPr>
                <w:rStyle w:val="FormatvorlageInstructionsTabelleText"/>
                <w:rFonts w:ascii="Times New Roman" w:hAnsi="Times New Roman"/>
                <w:sz w:val="24"/>
              </w:rPr>
              <w:t xml:space="preserve"> z </w:t>
            </w:r>
            <w:r w:rsidRPr="00E07C9A">
              <w:rPr>
                <w:rStyle w:val="FormatvorlageInstructionsTabelleText"/>
                <w:rFonts w:ascii="Times New Roman" w:hAnsi="Times New Roman"/>
                <w:sz w:val="24"/>
              </w:rPr>
              <w:t>predaja pre inštitúciu, alebo pre originátorov čisté zisky vyplývajúce</w:t>
            </w:r>
            <w:r w:rsidR="009912F8" w:rsidRPr="00E07C9A">
              <w:rPr>
                <w:rStyle w:val="FormatvorlageInstructionsTabelleText"/>
                <w:rFonts w:ascii="Times New Roman" w:hAnsi="Times New Roman"/>
                <w:sz w:val="24"/>
              </w:rPr>
              <w:t xml:space="preserve"> z </w:t>
            </w:r>
            <w:r w:rsidRPr="00E07C9A">
              <w:rPr>
                <w:rStyle w:val="FormatvorlageInstructionsTabelleText"/>
                <w:rFonts w:ascii="Times New Roman" w:hAnsi="Times New Roman"/>
                <w:sz w:val="24"/>
              </w:rPr>
              <w:t>kapitalizácie budúceho príjmu zo sekuritizovaných aktív, ktoré umožňujú zvýšenie kreditnej kvality pozícií</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sekuritizácii.</w:t>
            </w:r>
          </w:p>
        </w:tc>
      </w:tr>
      <w:tr w:rsidR="002648B0" w:rsidRPr="00E07C9A" w14:paraId="2082B334" w14:textId="77777777" w:rsidTr="00D731E3">
        <w:tc>
          <w:tcPr>
            <w:tcW w:w="1129" w:type="dxa"/>
          </w:tcPr>
          <w:p w14:paraId="1BB8E372" w14:textId="77777777" w:rsidR="002648B0" w:rsidRPr="00E07C9A" w:rsidRDefault="00A20B73"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0270</w:t>
            </w:r>
          </w:p>
        </w:tc>
        <w:tc>
          <w:tcPr>
            <w:tcW w:w="7620" w:type="dxa"/>
          </w:tcPr>
          <w:p w14:paraId="1EFA5A91" w14:textId="77777777" w:rsidR="005643EA" w:rsidRPr="00E07C9A" w:rsidRDefault="002648B0"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1.1.1.9.2.</w:t>
            </w:r>
            <w:r w:rsidRPr="00E07C9A">
              <w:tab/>
            </w:r>
            <w:r w:rsidRPr="00E07C9A">
              <w:rPr>
                <w:rStyle w:val="InstructionsTabelleberschrift"/>
                <w:rFonts w:ascii="Times New Roman" w:hAnsi="Times New Roman"/>
                <w:sz w:val="24"/>
              </w:rPr>
              <w:t>Rezerva na hedžing peňažných tokov</w:t>
            </w:r>
          </w:p>
          <w:p w14:paraId="05713177" w14:textId="3533EED2" w:rsidR="005643EA" w:rsidRPr="00E07C9A" w:rsidRDefault="002648B0"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 xml:space="preserve">Článok 33 ods. 1 písm. a) </w:t>
            </w:r>
            <w:r w:rsidRPr="00E07C9A">
              <w:t xml:space="preserve">nariadenia (EÚ) </w:t>
            </w:r>
            <w:r w:rsidR="009912F8" w:rsidRPr="00E07C9A">
              <w:t>č. 575/2013</w:t>
            </w:r>
          </w:p>
          <w:p w14:paraId="62834BF7" w14:textId="42A26611" w:rsidR="005643EA" w:rsidRPr="00E07C9A" w:rsidRDefault="002648B0"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Vykazovaná hodnota môže byť kladná alebo záporná. Hodnota je kladná, keď hedžing peňažných tokov vedie</w:t>
            </w:r>
            <w:r w:rsidR="009912F8" w:rsidRPr="00E07C9A">
              <w:rPr>
                <w:rStyle w:val="FormatvorlageInstructionsTabelleText"/>
                <w:rFonts w:ascii="Times New Roman" w:hAnsi="Times New Roman"/>
                <w:sz w:val="24"/>
              </w:rPr>
              <w:t xml:space="preserve"> k </w:t>
            </w:r>
            <w:r w:rsidRPr="00E07C9A">
              <w:rPr>
                <w:rStyle w:val="FormatvorlageInstructionsTabelleText"/>
                <w:rFonts w:ascii="Times New Roman" w:hAnsi="Times New Roman"/>
                <w:sz w:val="24"/>
              </w:rPr>
              <w:t>strate (t. j. keď znižuje účtovný vlastný kapitál),</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naopak. Znamienko je teda opačné ako znamienko použité</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účtovných výkazoch.</w:t>
            </w:r>
          </w:p>
          <w:p w14:paraId="6206233D" w14:textId="37B9C8FF" w:rsidR="005643EA" w:rsidRPr="00E07C9A" w:rsidRDefault="002648B0"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Hodnota sa uvádza po odpočítaní daňových poplatkov, ktoré sa očakávajú</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čase výpočtu.</w:t>
            </w:r>
          </w:p>
        </w:tc>
      </w:tr>
      <w:tr w:rsidR="002648B0" w:rsidRPr="00E07C9A" w14:paraId="0AB7916A" w14:textId="77777777" w:rsidTr="00D731E3">
        <w:tc>
          <w:tcPr>
            <w:tcW w:w="1129" w:type="dxa"/>
          </w:tcPr>
          <w:p w14:paraId="512195C6" w14:textId="77777777" w:rsidR="002648B0" w:rsidRPr="00E07C9A" w:rsidRDefault="00A20B73"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lastRenderedPageBreak/>
              <w:t>0280</w:t>
            </w:r>
          </w:p>
        </w:tc>
        <w:tc>
          <w:tcPr>
            <w:tcW w:w="7620" w:type="dxa"/>
          </w:tcPr>
          <w:p w14:paraId="107BBC80" w14:textId="0688E970" w:rsidR="005643EA" w:rsidRPr="00E07C9A" w:rsidRDefault="002648B0" w:rsidP="00487A02">
            <w:pPr>
              <w:pStyle w:val="InstructionsText"/>
              <w:rPr>
                <w:rStyle w:val="FormatvorlageInstructionsTabelleText"/>
                <w:rFonts w:ascii="Times New Roman" w:hAnsi="Times New Roman"/>
                <w:b/>
                <w:sz w:val="24"/>
                <w:u w:val="single"/>
              </w:rPr>
            </w:pPr>
            <w:r w:rsidRPr="00E07C9A">
              <w:rPr>
                <w:rStyle w:val="InstructionsTabelleberschrift"/>
                <w:rFonts w:ascii="Times New Roman" w:hAnsi="Times New Roman"/>
                <w:sz w:val="24"/>
              </w:rPr>
              <w:t>1.1.1.9.3.</w:t>
            </w:r>
            <w:r w:rsidRPr="00E07C9A">
              <w:tab/>
            </w:r>
            <w:r w:rsidRPr="00E07C9A">
              <w:rPr>
                <w:rStyle w:val="InstructionsTabelleberschrift"/>
                <w:rFonts w:ascii="Times New Roman" w:hAnsi="Times New Roman"/>
                <w:sz w:val="24"/>
              </w:rPr>
              <w:t>Kumulatívne zisky</w:t>
            </w:r>
            <w:r w:rsidR="009912F8" w:rsidRPr="00E07C9A">
              <w:rPr>
                <w:rStyle w:val="InstructionsTabelleberschrift"/>
                <w:rFonts w:ascii="Times New Roman" w:hAnsi="Times New Roman"/>
                <w:sz w:val="24"/>
              </w:rPr>
              <w:t xml:space="preserve"> a </w:t>
            </w:r>
            <w:r w:rsidRPr="00E07C9A">
              <w:rPr>
                <w:rStyle w:val="InstructionsTabelleberschrift"/>
                <w:rFonts w:ascii="Times New Roman" w:hAnsi="Times New Roman"/>
                <w:sz w:val="24"/>
              </w:rPr>
              <w:t>straty spôsobené zmenami vlastného kreditného rizika reálnou hodnotou ocenených záväzkov</w:t>
            </w:r>
          </w:p>
          <w:p w14:paraId="75FB3FBB" w14:textId="3B9CF9A1" w:rsidR="005643EA" w:rsidRPr="00E07C9A" w:rsidRDefault="002648B0"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 xml:space="preserve">Článok 33 ods. 1 písm. b) </w:t>
            </w:r>
            <w:r w:rsidRPr="00E07C9A">
              <w:t xml:space="preserve">nariadenia (EÚ) </w:t>
            </w:r>
            <w:r w:rsidR="009912F8" w:rsidRPr="00E07C9A">
              <w:t>č. 575/2013</w:t>
            </w:r>
          </w:p>
          <w:p w14:paraId="42C8E2D8" w14:textId="622814C1" w:rsidR="005643EA" w:rsidRPr="00E07C9A" w:rsidRDefault="002648B0"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Vykazovaná hodnota môže byť kladná alebo záporná. Hodnota je kladná, keď nastala strata spôsobená zmenami vlastného kreditného rizika (t. j. keď znižuje účtovný vlastný kapitál),</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naopak. Znamienko je teda opačné ako znamienko použité</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účtovných výkazoch.</w:t>
            </w:r>
          </w:p>
          <w:p w14:paraId="2FB34054" w14:textId="77777777" w:rsidR="005643EA" w:rsidRPr="00E07C9A" w:rsidRDefault="002648B0"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Zisk neoverený audítorom sa do tejto položky nezahŕňa.</w:t>
            </w:r>
          </w:p>
        </w:tc>
      </w:tr>
      <w:tr w:rsidR="00666996" w:rsidRPr="00E07C9A" w14:paraId="09DA3158" w14:textId="77777777" w:rsidTr="00D731E3">
        <w:tc>
          <w:tcPr>
            <w:tcW w:w="1129" w:type="dxa"/>
          </w:tcPr>
          <w:p w14:paraId="3F523A24" w14:textId="77777777" w:rsidR="00666996" w:rsidRPr="00E07C9A" w:rsidRDefault="007C2334"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0285</w:t>
            </w:r>
          </w:p>
        </w:tc>
        <w:tc>
          <w:tcPr>
            <w:tcW w:w="7620" w:type="dxa"/>
          </w:tcPr>
          <w:p w14:paraId="508D5E7A" w14:textId="44D13988" w:rsidR="005643EA" w:rsidRPr="00E07C9A" w:rsidRDefault="00855D5F" w:rsidP="00487A02">
            <w:pPr>
              <w:pStyle w:val="InstructionsText"/>
              <w:rPr>
                <w:rStyle w:val="FormatvorlageInstructionsTabelleText"/>
                <w:rFonts w:ascii="Times New Roman" w:hAnsi="Times New Roman"/>
                <w:b/>
                <w:sz w:val="24"/>
                <w:u w:val="single"/>
              </w:rPr>
            </w:pPr>
            <w:r w:rsidRPr="00E07C9A">
              <w:rPr>
                <w:rStyle w:val="InstructionsTabelleberschrift"/>
                <w:rFonts w:ascii="Times New Roman" w:hAnsi="Times New Roman"/>
                <w:sz w:val="24"/>
              </w:rPr>
              <w:t>1.1.1.9.4.</w:t>
            </w:r>
            <w:r w:rsidRPr="00E07C9A">
              <w:tab/>
            </w:r>
            <w:r w:rsidRPr="00E07C9A">
              <w:rPr>
                <w:rStyle w:val="InstructionsTabelleberschrift"/>
                <w:rFonts w:ascii="Times New Roman" w:hAnsi="Times New Roman"/>
                <w:sz w:val="24"/>
              </w:rPr>
              <w:t>Reálnou hodnotou ocenené zisky</w:t>
            </w:r>
            <w:r w:rsidR="009912F8" w:rsidRPr="00E07C9A">
              <w:rPr>
                <w:rStyle w:val="InstructionsTabelleberschrift"/>
                <w:rFonts w:ascii="Times New Roman" w:hAnsi="Times New Roman"/>
                <w:sz w:val="24"/>
              </w:rPr>
              <w:t xml:space="preserve"> a </w:t>
            </w:r>
            <w:r w:rsidRPr="00E07C9A">
              <w:rPr>
                <w:rStyle w:val="InstructionsTabelleberschrift"/>
                <w:rFonts w:ascii="Times New Roman" w:hAnsi="Times New Roman"/>
                <w:sz w:val="24"/>
              </w:rPr>
              <w:t>straty vyplývajúce</w:t>
            </w:r>
            <w:r w:rsidR="009912F8" w:rsidRPr="00E07C9A">
              <w:rPr>
                <w:rStyle w:val="InstructionsTabelleberschrift"/>
                <w:rFonts w:ascii="Times New Roman" w:hAnsi="Times New Roman"/>
                <w:sz w:val="24"/>
              </w:rPr>
              <w:t xml:space="preserve"> z </w:t>
            </w:r>
            <w:r w:rsidRPr="00E07C9A">
              <w:rPr>
                <w:rStyle w:val="InstructionsTabelleberschrift"/>
                <w:rFonts w:ascii="Times New Roman" w:hAnsi="Times New Roman"/>
                <w:sz w:val="24"/>
              </w:rPr>
              <w:t>vlastného kreditného rizika inštitúcie súvisiaceho</w:t>
            </w:r>
            <w:r w:rsidR="009912F8" w:rsidRPr="00E07C9A">
              <w:rPr>
                <w:rStyle w:val="InstructionsTabelleberschrift"/>
                <w:rFonts w:ascii="Times New Roman" w:hAnsi="Times New Roman"/>
                <w:sz w:val="24"/>
              </w:rPr>
              <w:t xml:space="preserve"> s </w:t>
            </w:r>
            <w:r w:rsidRPr="00E07C9A">
              <w:rPr>
                <w:rStyle w:val="InstructionsTabelleberschrift"/>
                <w:rFonts w:ascii="Times New Roman" w:hAnsi="Times New Roman"/>
                <w:sz w:val="24"/>
              </w:rPr>
              <w:t>derivátovými záväzkami</w:t>
            </w:r>
          </w:p>
          <w:p w14:paraId="5A6E61A2" w14:textId="6B5D1658" w:rsidR="005643EA" w:rsidRPr="00E07C9A" w:rsidRDefault="00855D5F"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Článok 33 ods. 1 písm. c)</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článok 33 ods. 2</w:t>
            </w:r>
            <w:r w:rsidRPr="00E07C9A">
              <w:t xml:space="preserve">nariadenia (EÚ) </w:t>
            </w:r>
            <w:r w:rsidR="009912F8" w:rsidRPr="00E07C9A">
              <w:t>č. 575/2013</w:t>
            </w:r>
          </w:p>
          <w:p w14:paraId="57A47298" w14:textId="57D1E0D9" w:rsidR="005643EA" w:rsidRPr="00E07C9A" w:rsidRDefault="00666996"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Vykazovaná hodnota môže byť kladná alebo záporná. Hodnota je kladná, keď nastane strata spôsobená zmenami vlastného kreditného rizika,</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naopak. Znamienko je teda opačné ako znamienko použité</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účtovných výkazoch.</w:t>
            </w:r>
          </w:p>
          <w:p w14:paraId="5ACD1CE4" w14:textId="77777777" w:rsidR="005643EA" w:rsidRPr="00E07C9A" w:rsidRDefault="00666996" w:rsidP="00487A02">
            <w:pPr>
              <w:pStyle w:val="InstructionsText"/>
              <w:rPr>
                <w:rStyle w:val="InstructionsTabelleberschrift"/>
                <w:rFonts w:ascii="Times New Roman" w:hAnsi="Times New Roman"/>
                <w:b w:val="0"/>
                <w:sz w:val="24"/>
                <w:u w:val="none"/>
              </w:rPr>
            </w:pPr>
            <w:r w:rsidRPr="00E07C9A">
              <w:rPr>
                <w:rStyle w:val="FormatvorlageInstructionsTabelleText"/>
                <w:rFonts w:ascii="Times New Roman" w:hAnsi="Times New Roman"/>
                <w:sz w:val="24"/>
              </w:rPr>
              <w:t>Zisk neoverený audítorom sa do tejto položky nezahŕňa.</w:t>
            </w:r>
          </w:p>
        </w:tc>
      </w:tr>
      <w:tr w:rsidR="00666996" w:rsidRPr="00E07C9A" w14:paraId="42EAF179" w14:textId="77777777" w:rsidTr="00D731E3">
        <w:tc>
          <w:tcPr>
            <w:tcW w:w="1129" w:type="dxa"/>
          </w:tcPr>
          <w:p w14:paraId="12A3C0A2" w14:textId="77777777" w:rsidR="00666996" w:rsidRPr="00E07C9A" w:rsidRDefault="007C2334"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0290</w:t>
            </w:r>
          </w:p>
        </w:tc>
        <w:tc>
          <w:tcPr>
            <w:tcW w:w="7620" w:type="dxa"/>
          </w:tcPr>
          <w:p w14:paraId="2F21BB27" w14:textId="77777777" w:rsidR="005643EA" w:rsidRPr="00E07C9A" w:rsidRDefault="00855D5F" w:rsidP="00487A02">
            <w:pPr>
              <w:pStyle w:val="InstructionsText"/>
              <w:rPr>
                <w:rStyle w:val="FormatvorlageInstructionsTabelleText"/>
                <w:rFonts w:ascii="Times New Roman" w:hAnsi="Times New Roman"/>
                <w:b/>
                <w:sz w:val="24"/>
                <w:u w:val="single"/>
              </w:rPr>
            </w:pPr>
            <w:r w:rsidRPr="00E07C9A">
              <w:rPr>
                <w:rStyle w:val="InstructionsTabelleberschrift"/>
                <w:rFonts w:ascii="Times New Roman" w:hAnsi="Times New Roman"/>
                <w:sz w:val="24"/>
              </w:rPr>
              <w:t>1.1.1.9.5.</w:t>
            </w:r>
            <w:r w:rsidRPr="00E07C9A">
              <w:tab/>
            </w:r>
            <w:r w:rsidRPr="00E07C9A">
              <w:rPr>
                <w:rStyle w:val="InstructionsTabelleberschrift"/>
                <w:rFonts w:ascii="Times New Roman" w:hAnsi="Times New Roman"/>
                <w:sz w:val="24"/>
              </w:rPr>
              <w:t>(–) Úpravy ocenenia spôsobené požiadavkami na obozretné oceňovanie</w:t>
            </w:r>
          </w:p>
          <w:p w14:paraId="3C1598C4" w14:textId="43703DBC" w:rsidR="005643EA" w:rsidRPr="00E07C9A" w:rsidRDefault="00666996"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Články 34</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 xml:space="preserve">105 </w:t>
            </w:r>
            <w:r w:rsidRPr="00E07C9A">
              <w:t xml:space="preserve">nariadenia (EÚ) </w:t>
            </w:r>
            <w:r w:rsidR="009912F8" w:rsidRPr="00E07C9A">
              <w:t>č. 575/2013</w:t>
            </w:r>
          </w:p>
          <w:p w14:paraId="239269A0" w14:textId="63901D2D" w:rsidR="005643EA" w:rsidRPr="00E07C9A" w:rsidRDefault="00666996"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Úpravy reálnej hodnoty expozícií zahrnutých</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obchodnej knihe alebo neobchodnej knihe</w:t>
            </w:r>
            <w:r w:rsidR="009912F8" w:rsidRPr="00E07C9A">
              <w:rPr>
                <w:rStyle w:val="FormatvorlageInstructionsTabelleText"/>
                <w:rFonts w:ascii="Times New Roman" w:hAnsi="Times New Roman"/>
                <w:sz w:val="24"/>
              </w:rPr>
              <w:t xml:space="preserve"> z </w:t>
            </w:r>
            <w:r w:rsidRPr="00E07C9A">
              <w:rPr>
                <w:rStyle w:val="FormatvorlageInstructionsTabelleText"/>
                <w:rFonts w:ascii="Times New Roman" w:hAnsi="Times New Roman"/>
                <w:sz w:val="24"/>
              </w:rPr>
              <w:t>dôvodu prísnejších zásad obozretného oceňovania stanovených</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 xml:space="preserve">článku 105 </w:t>
            </w:r>
            <w:r w:rsidRPr="00E07C9A">
              <w:t xml:space="preserve">nariadenia (EÚ) </w:t>
            </w:r>
            <w:r w:rsidR="009912F8" w:rsidRPr="00E07C9A">
              <w:t>č. 575/2013</w:t>
            </w:r>
            <w:r w:rsidRPr="00E07C9A">
              <w:t>.</w:t>
            </w:r>
          </w:p>
        </w:tc>
      </w:tr>
      <w:tr w:rsidR="00666996" w:rsidRPr="00E07C9A" w14:paraId="77E0D073" w14:textId="77777777" w:rsidTr="00D731E3">
        <w:tc>
          <w:tcPr>
            <w:tcW w:w="1129" w:type="dxa"/>
          </w:tcPr>
          <w:p w14:paraId="4A3E7A56" w14:textId="77777777" w:rsidR="00666996" w:rsidRPr="00E07C9A" w:rsidRDefault="007C2334"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0300</w:t>
            </w:r>
          </w:p>
        </w:tc>
        <w:tc>
          <w:tcPr>
            <w:tcW w:w="7620" w:type="dxa"/>
          </w:tcPr>
          <w:p w14:paraId="59E804BD" w14:textId="77777777" w:rsidR="005643EA" w:rsidRPr="00E07C9A" w:rsidRDefault="00855D5F" w:rsidP="00487A02">
            <w:pPr>
              <w:pStyle w:val="InstructionsText"/>
              <w:rPr>
                <w:rStyle w:val="FormatvorlageInstructionsTabelleText"/>
                <w:rFonts w:ascii="Times New Roman" w:hAnsi="Times New Roman"/>
                <w:b/>
                <w:sz w:val="24"/>
                <w:u w:val="single"/>
              </w:rPr>
            </w:pPr>
            <w:r w:rsidRPr="00E07C9A">
              <w:rPr>
                <w:rStyle w:val="InstructionsTabelleberschrift"/>
                <w:rFonts w:ascii="Times New Roman" w:hAnsi="Times New Roman"/>
                <w:sz w:val="24"/>
              </w:rPr>
              <w:t>1.1.1.10.</w:t>
            </w:r>
            <w:r w:rsidRPr="00E07C9A">
              <w:tab/>
            </w:r>
            <w:r w:rsidRPr="00E07C9A">
              <w:rPr>
                <w:rStyle w:val="InstructionsTabelleberschrift"/>
                <w:rFonts w:ascii="Times New Roman" w:hAnsi="Times New Roman"/>
                <w:sz w:val="24"/>
              </w:rPr>
              <w:t>(–) Goodwill</w:t>
            </w:r>
          </w:p>
          <w:p w14:paraId="350ABC26" w14:textId="131A8905" w:rsidR="005643EA" w:rsidRPr="00E07C9A" w:rsidRDefault="00666996" w:rsidP="001D3CE7">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Článok 4 ods. 1 bod 113, článok 36 ods. 1 písm. b)</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 xml:space="preserve">článok 37 </w:t>
            </w:r>
            <w:r w:rsidRPr="00E07C9A">
              <w:t xml:space="preserve">nariadenia (EÚ) </w:t>
            </w:r>
            <w:r w:rsidR="009912F8" w:rsidRPr="00E07C9A">
              <w:t>č. 575/2013</w:t>
            </w:r>
          </w:p>
        </w:tc>
      </w:tr>
      <w:tr w:rsidR="00666996" w:rsidRPr="00E07C9A" w14:paraId="7A30C744" w14:textId="77777777" w:rsidTr="00D731E3">
        <w:tc>
          <w:tcPr>
            <w:tcW w:w="1129" w:type="dxa"/>
          </w:tcPr>
          <w:p w14:paraId="06A9B308" w14:textId="77777777" w:rsidR="00666996" w:rsidRPr="00E07C9A" w:rsidRDefault="007C2334"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0310</w:t>
            </w:r>
          </w:p>
        </w:tc>
        <w:tc>
          <w:tcPr>
            <w:tcW w:w="7620" w:type="dxa"/>
          </w:tcPr>
          <w:p w14:paraId="3745F912" w14:textId="77777777" w:rsidR="005643EA" w:rsidRPr="00E07C9A" w:rsidRDefault="00855D5F" w:rsidP="00487A02">
            <w:pPr>
              <w:pStyle w:val="InstructionsText"/>
              <w:rPr>
                <w:rStyle w:val="FormatvorlageInstructionsTabelleText"/>
                <w:rFonts w:ascii="Times New Roman" w:hAnsi="Times New Roman"/>
                <w:b/>
                <w:sz w:val="24"/>
                <w:u w:val="single"/>
              </w:rPr>
            </w:pPr>
            <w:r w:rsidRPr="00E07C9A">
              <w:rPr>
                <w:rStyle w:val="InstructionsTabelleberschrift"/>
                <w:rFonts w:ascii="Times New Roman" w:hAnsi="Times New Roman"/>
                <w:sz w:val="24"/>
              </w:rPr>
              <w:t>1.1.1.10.1.</w:t>
            </w:r>
            <w:r w:rsidRPr="00E07C9A">
              <w:tab/>
            </w:r>
            <w:r w:rsidRPr="00E07C9A">
              <w:rPr>
                <w:rStyle w:val="InstructionsTabelleberschrift"/>
                <w:rFonts w:ascii="Times New Roman" w:hAnsi="Times New Roman"/>
                <w:sz w:val="24"/>
              </w:rPr>
              <w:t>(–) Goodwill účtovaný ako nehmotné aktívum</w:t>
            </w:r>
          </w:p>
          <w:p w14:paraId="1271061A" w14:textId="3D54D7EB" w:rsidR="005643EA" w:rsidRPr="00E07C9A" w:rsidRDefault="00666996"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Článok 4 ods. 1 bod 113</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 xml:space="preserve">článok 36 ods. 1 písm. b) </w:t>
            </w:r>
            <w:r w:rsidRPr="00E07C9A">
              <w:t xml:space="preserve">nariadenia (EÚ) </w:t>
            </w:r>
            <w:r w:rsidR="009912F8" w:rsidRPr="00E07C9A">
              <w:t>č. 575/2013</w:t>
            </w:r>
          </w:p>
          <w:p w14:paraId="1503CFC4" w14:textId="2754AC27" w:rsidR="005643EA" w:rsidRPr="00E07C9A" w:rsidRDefault="00666996"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Goodwill má ten istý význam ako</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uplatniteľnom účtovnom štandarde.</w:t>
            </w:r>
          </w:p>
          <w:p w14:paraId="4E464E25" w14:textId="6C035F34" w:rsidR="005643EA" w:rsidRPr="00E07C9A" w:rsidRDefault="00666996"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Tu vykazovaná hodnota je rovnaká ako hodnota vykazovaná</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súvahe.</w:t>
            </w:r>
          </w:p>
        </w:tc>
      </w:tr>
      <w:tr w:rsidR="00666996" w:rsidRPr="00E07C9A" w14:paraId="4B8A9B4D" w14:textId="77777777" w:rsidTr="00D731E3">
        <w:tc>
          <w:tcPr>
            <w:tcW w:w="1129" w:type="dxa"/>
          </w:tcPr>
          <w:p w14:paraId="3C597623" w14:textId="77777777" w:rsidR="00666996" w:rsidRPr="00E07C9A" w:rsidRDefault="007C2334"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0320</w:t>
            </w:r>
          </w:p>
        </w:tc>
        <w:tc>
          <w:tcPr>
            <w:tcW w:w="7620" w:type="dxa"/>
          </w:tcPr>
          <w:p w14:paraId="4F15EF0F" w14:textId="77777777" w:rsidR="005643EA" w:rsidRPr="00E07C9A" w:rsidRDefault="00855D5F"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1.1.1.10.2.</w:t>
            </w:r>
            <w:r w:rsidRPr="00E07C9A">
              <w:tab/>
            </w:r>
            <w:r w:rsidRPr="00E07C9A">
              <w:rPr>
                <w:rStyle w:val="InstructionsTabelleberschrift"/>
                <w:rFonts w:ascii="Times New Roman" w:hAnsi="Times New Roman"/>
                <w:sz w:val="24"/>
              </w:rPr>
              <w:t>(–) Goodwill zahrnutý do ocenenia významných investícií</w:t>
            </w:r>
          </w:p>
          <w:p w14:paraId="17810431" w14:textId="4EB70454" w:rsidR="005643EA" w:rsidRPr="00E07C9A" w:rsidRDefault="00666996"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Článok 37 písm. b)</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 xml:space="preserve">článok 43 </w:t>
            </w:r>
            <w:r w:rsidRPr="00E07C9A">
              <w:t xml:space="preserve">nariadenia (EÚ) </w:t>
            </w:r>
            <w:r w:rsidR="009912F8" w:rsidRPr="00E07C9A">
              <w:t>č. 575/2013</w:t>
            </w:r>
          </w:p>
        </w:tc>
      </w:tr>
      <w:tr w:rsidR="00666996" w:rsidRPr="00E07C9A" w14:paraId="50B3ACBE" w14:textId="77777777" w:rsidTr="00D731E3">
        <w:tc>
          <w:tcPr>
            <w:tcW w:w="1129" w:type="dxa"/>
          </w:tcPr>
          <w:p w14:paraId="1F74A819" w14:textId="77777777" w:rsidR="00666996" w:rsidRPr="00E07C9A" w:rsidRDefault="007C2334"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0330</w:t>
            </w:r>
          </w:p>
        </w:tc>
        <w:tc>
          <w:tcPr>
            <w:tcW w:w="7620" w:type="dxa"/>
          </w:tcPr>
          <w:p w14:paraId="596199BA" w14:textId="7DD36385" w:rsidR="005643EA" w:rsidRPr="00E07C9A" w:rsidRDefault="00AD70F1" w:rsidP="00487A02">
            <w:pPr>
              <w:pStyle w:val="InstructionsText"/>
              <w:rPr>
                <w:rStyle w:val="FormatvorlageInstructionsTabelleText"/>
                <w:rFonts w:ascii="Times New Roman" w:hAnsi="Times New Roman"/>
                <w:b/>
                <w:sz w:val="24"/>
                <w:u w:val="single"/>
              </w:rPr>
            </w:pPr>
            <w:r w:rsidRPr="00E07C9A">
              <w:rPr>
                <w:rStyle w:val="InstructionsTabelleberschrift"/>
                <w:rFonts w:ascii="Times New Roman" w:hAnsi="Times New Roman"/>
                <w:sz w:val="24"/>
              </w:rPr>
              <w:t>1.1.1.10.3.</w:t>
            </w:r>
            <w:r w:rsidRPr="00E07C9A">
              <w:tab/>
            </w:r>
            <w:r w:rsidRPr="00E07C9A">
              <w:rPr>
                <w:rStyle w:val="InstructionsTabelleberschrift"/>
                <w:rFonts w:ascii="Times New Roman" w:hAnsi="Times New Roman"/>
                <w:sz w:val="24"/>
              </w:rPr>
              <w:t>Odložené daňové záväzky spojené</w:t>
            </w:r>
            <w:r w:rsidR="009912F8" w:rsidRPr="00E07C9A">
              <w:rPr>
                <w:rStyle w:val="InstructionsTabelleberschrift"/>
                <w:rFonts w:ascii="Times New Roman" w:hAnsi="Times New Roman"/>
                <w:sz w:val="24"/>
              </w:rPr>
              <w:t xml:space="preserve"> s </w:t>
            </w:r>
            <w:r w:rsidRPr="00E07C9A">
              <w:rPr>
                <w:rStyle w:val="InstructionsTabelleberschrift"/>
                <w:rFonts w:ascii="Times New Roman" w:hAnsi="Times New Roman"/>
                <w:sz w:val="24"/>
              </w:rPr>
              <w:t>goodwillom</w:t>
            </w:r>
          </w:p>
          <w:p w14:paraId="10535BD3" w14:textId="2050D7BC" w:rsidR="005643EA" w:rsidRPr="00E07C9A" w:rsidRDefault="00666996"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 xml:space="preserve">Článok 37 písm. a) </w:t>
            </w:r>
            <w:r w:rsidRPr="00E07C9A">
              <w:t xml:space="preserve">nariadenia (EÚ) </w:t>
            </w:r>
            <w:r w:rsidR="009912F8" w:rsidRPr="00E07C9A">
              <w:t>č. 575/2013</w:t>
            </w:r>
          </w:p>
          <w:p w14:paraId="68F66CAA" w14:textId="77777777" w:rsidR="005643EA" w:rsidRPr="00E07C9A" w:rsidRDefault="00666996"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Hodnota odložených daňových záväzkov, ktoré by zanikli, ak by sa kvalita goodwillu zhoršila alebo ak by sa podľa uplatniteľného účtovného štandardu ukončilo jeho vykazovanie.</w:t>
            </w:r>
          </w:p>
        </w:tc>
      </w:tr>
      <w:tr w:rsidR="00D731E3" w:rsidRPr="00E07C9A" w14:paraId="6770CC20" w14:textId="77777777" w:rsidTr="00D731E3">
        <w:tc>
          <w:tcPr>
            <w:tcW w:w="1129" w:type="dxa"/>
          </w:tcPr>
          <w:p w14:paraId="17F6DFF3" w14:textId="77777777" w:rsidR="00D731E3" w:rsidRPr="00E07C9A" w:rsidRDefault="007C2334"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0335</w:t>
            </w:r>
          </w:p>
        </w:tc>
        <w:tc>
          <w:tcPr>
            <w:tcW w:w="7620" w:type="dxa"/>
          </w:tcPr>
          <w:p w14:paraId="74FA2878" w14:textId="09271134" w:rsidR="00D731E3" w:rsidRPr="00E07C9A" w:rsidRDefault="00D731E3"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1.1.1.10.4.</w:t>
            </w:r>
            <w:r w:rsidRPr="00E07C9A">
              <w:tab/>
            </w:r>
            <w:r w:rsidRPr="00E07C9A">
              <w:rPr>
                <w:rStyle w:val="InstructionsTabelleberschrift"/>
                <w:rFonts w:ascii="Times New Roman" w:hAnsi="Times New Roman"/>
                <w:sz w:val="24"/>
              </w:rPr>
              <w:t>Účtovné precenenie goodwillu dcérskych spoločností prisúditeľného tretím osobám odvodené</w:t>
            </w:r>
            <w:r w:rsidR="009912F8" w:rsidRPr="00E07C9A">
              <w:rPr>
                <w:rStyle w:val="InstructionsTabelleberschrift"/>
                <w:rFonts w:ascii="Times New Roman" w:hAnsi="Times New Roman"/>
                <w:sz w:val="24"/>
              </w:rPr>
              <w:t xml:space="preserve"> z </w:t>
            </w:r>
            <w:r w:rsidRPr="00E07C9A">
              <w:rPr>
                <w:rStyle w:val="InstructionsTabelleberschrift"/>
                <w:rFonts w:ascii="Times New Roman" w:hAnsi="Times New Roman"/>
                <w:sz w:val="24"/>
              </w:rPr>
              <w:t>konsolidácie dcérskych spoločností</w:t>
            </w:r>
          </w:p>
          <w:p w14:paraId="3BEF7077" w14:textId="03E671DC" w:rsidR="00D731E3" w:rsidRPr="00E07C9A" w:rsidRDefault="00D731E3"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lastRenderedPageBreak/>
              <w:t xml:space="preserve">Článok 37 písm. c) </w:t>
            </w:r>
            <w:r w:rsidRPr="00E07C9A">
              <w:t xml:space="preserve">nariadenia (EÚ) </w:t>
            </w:r>
            <w:r w:rsidR="009912F8" w:rsidRPr="00E07C9A">
              <w:t>č. 575/2013</w:t>
            </w:r>
          </w:p>
          <w:p w14:paraId="6BBA5C38" w14:textId="3166133D" w:rsidR="00D731E3" w:rsidRPr="00E07C9A" w:rsidRDefault="00D731E3" w:rsidP="007079CE">
            <w:pPr>
              <w:pStyle w:val="InstructionsText"/>
              <w:rPr>
                <w:rStyle w:val="InstructionsTabelleberschrift"/>
                <w:rFonts w:ascii="Times New Roman" w:hAnsi="Times New Roman"/>
                <w:sz w:val="24"/>
              </w:rPr>
            </w:pPr>
            <w:r w:rsidRPr="00E07C9A">
              <w:rPr>
                <w:rStyle w:val="FormatvorlageInstructionsTabelleText"/>
                <w:rFonts w:ascii="Times New Roman" w:hAnsi="Times New Roman"/>
                <w:sz w:val="24"/>
              </w:rPr>
              <w:t>Hodnota účtovného precenenia goodwillu dcérskych spoločností prisúditeľného iným osobám, než sú podniky zahrnuté do konsolidácie podľa prvej časti hlavy II kapitoly 2, odvodená</w:t>
            </w:r>
            <w:r w:rsidR="009912F8" w:rsidRPr="00E07C9A">
              <w:rPr>
                <w:rStyle w:val="FormatvorlageInstructionsTabelleText"/>
                <w:rFonts w:ascii="Times New Roman" w:hAnsi="Times New Roman"/>
                <w:sz w:val="24"/>
              </w:rPr>
              <w:t xml:space="preserve"> z </w:t>
            </w:r>
            <w:r w:rsidRPr="00E07C9A">
              <w:rPr>
                <w:rStyle w:val="FormatvorlageInstructionsTabelleText"/>
                <w:rFonts w:ascii="Times New Roman" w:hAnsi="Times New Roman"/>
                <w:sz w:val="24"/>
              </w:rPr>
              <w:t>konsolidácie dcérskych spoločností.</w:t>
            </w:r>
          </w:p>
        </w:tc>
      </w:tr>
      <w:tr w:rsidR="00D731E3" w:rsidRPr="00E07C9A" w14:paraId="72173EEA" w14:textId="77777777" w:rsidTr="00D731E3">
        <w:tc>
          <w:tcPr>
            <w:tcW w:w="1129" w:type="dxa"/>
          </w:tcPr>
          <w:p w14:paraId="6D53C429" w14:textId="77777777" w:rsidR="00D731E3" w:rsidRPr="00E07C9A" w:rsidRDefault="003172C8"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lastRenderedPageBreak/>
              <w:t>0340</w:t>
            </w:r>
          </w:p>
        </w:tc>
        <w:tc>
          <w:tcPr>
            <w:tcW w:w="7620" w:type="dxa"/>
          </w:tcPr>
          <w:p w14:paraId="41993F3F" w14:textId="77777777" w:rsidR="00D731E3" w:rsidRPr="00E07C9A" w:rsidRDefault="00D731E3" w:rsidP="00487A02">
            <w:pPr>
              <w:pStyle w:val="InstructionsText"/>
              <w:rPr>
                <w:rStyle w:val="FormatvorlageInstructionsTabelleText"/>
                <w:rFonts w:ascii="Times New Roman" w:hAnsi="Times New Roman"/>
                <w:b/>
                <w:sz w:val="24"/>
                <w:u w:val="single"/>
              </w:rPr>
            </w:pPr>
            <w:r w:rsidRPr="00E07C9A">
              <w:rPr>
                <w:rStyle w:val="InstructionsTabelleberschrift"/>
                <w:rFonts w:ascii="Times New Roman" w:hAnsi="Times New Roman"/>
                <w:sz w:val="24"/>
              </w:rPr>
              <w:t>1.1.1.11.</w:t>
            </w:r>
            <w:r w:rsidRPr="00E07C9A">
              <w:tab/>
            </w:r>
            <w:r w:rsidRPr="00E07C9A">
              <w:rPr>
                <w:rStyle w:val="InstructionsTabelleberschrift"/>
                <w:rFonts w:ascii="Times New Roman" w:hAnsi="Times New Roman"/>
                <w:sz w:val="24"/>
              </w:rPr>
              <w:t>(–) Ostatné nehmotné aktíva</w:t>
            </w:r>
          </w:p>
          <w:p w14:paraId="2F1C3286" w14:textId="440EE01B" w:rsidR="00D731E3" w:rsidRPr="00E07C9A" w:rsidRDefault="00D731E3"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Článok 4 ods. 1 bod 115, článok 36 ods. 1 písm. b)</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článok 37 písm. a)</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c)</w:t>
            </w:r>
            <w:r w:rsidRPr="00E07C9A">
              <w:t xml:space="preserve">nariadenia (EÚ) </w:t>
            </w:r>
            <w:r w:rsidR="009912F8" w:rsidRPr="00E07C9A">
              <w:t>č. 575/2013</w:t>
            </w:r>
          </w:p>
          <w:p w14:paraId="67CB01F7" w14:textId="77777777" w:rsidR="00D731E3" w:rsidRPr="00E07C9A" w:rsidRDefault="00D731E3"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Ostatné nehmotné aktíva sú nehmotné aktíva podľa uplatniteľného účtovného štandardu, bez goodwillu, tiež podľa uplatniteľného účtovného štandardu.</w:t>
            </w:r>
          </w:p>
        </w:tc>
      </w:tr>
      <w:tr w:rsidR="00D731E3" w:rsidRPr="00E07C9A" w14:paraId="777467A3" w14:textId="77777777" w:rsidTr="00D731E3">
        <w:tc>
          <w:tcPr>
            <w:tcW w:w="1129" w:type="dxa"/>
          </w:tcPr>
          <w:p w14:paraId="00D57D37" w14:textId="77777777" w:rsidR="00D731E3" w:rsidRPr="00E07C9A" w:rsidRDefault="003172C8"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0350</w:t>
            </w:r>
          </w:p>
        </w:tc>
        <w:tc>
          <w:tcPr>
            <w:tcW w:w="7620" w:type="dxa"/>
          </w:tcPr>
          <w:p w14:paraId="1931512B" w14:textId="77777777" w:rsidR="00D731E3" w:rsidRPr="00E07C9A" w:rsidRDefault="00D731E3" w:rsidP="00487A02">
            <w:pPr>
              <w:pStyle w:val="InstructionsText"/>
              <w:rPr>
                <w:rStyle w:val="FormatvorlageInstructionsTabelleText"/>
                <w:rFonts w:ascii="Times New Roman" w:hAnsi="Times New Roman"/>
                <w:b/>
                <w:sz w:val="24"/>
                <w:u w:val="single"/>
              </w:rPr>
            </w:pPr>
            <w:r w:rsidRPr="00E07C9A">
              <w:rPr>
                <w:rStyle w:val="InstructionsTabelleberschrift"/>
                <w:rFonts w:ascii="Times New Roman" w:hAnsi="Times New Roman"/>
                <w:sz w:val="24"/>
              </w:rPr>
              <w:t>1.1.1.11.1.</w:t>
            </w:r>
            <w:r w:rsidRPr="00E07C9A">
              <w:tab/>
            </w:r>
            <w:r w:rsidRPr="00E07C9A">
              <w:rPr>
                <w:rStyle w:val="InstructionsTabelleberschrift"/>
                <w:rFonts w:ascii="Times New Roman" w:hAnsi="Times New Roman"/>
                <w:sz w:val="24"/>
              </w:rPr>
              <w:t>(–) Ostatné nehmotné aktíva pred odpočítaním odložených daňových záväzkov</w:t>
            </w:r>
          </w:p>
          <w:p w14:paraId="14039C37" w14:textId="7A91A2CA" w:rsidR="00D731E3" w:rsidRPr="00E07C9A" w:rsidRDefault="00D731E3"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Článok 4 ods. 1 bod 115</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 xml:space="preserve">článok 36 ods. 1 písm. b) </w:t>
            </w:r>
            <w:r w:rsidRPr="00E07C9A">
              <w:t xml:space="preserve">nariadenia (EÚ) </w:t>
            </w:r>
            <w:r w:rsidR="009912F8" w:rsidRPr="00E07C9A">
              <w:t>č. 575/2013</w:t>
            </w:r>
          </w:p>
          <w:p w14:paraId="698CB4CB" w14:textId="31EDDE78" w:rsidR="00D731E3" w:rsidRPr="00E07C9A" w:rsidRDefault="00D731E3"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Ostatné nehmotné aktíva sú nehmotné aktíva podľa uplatniteľného účtovného štandardu, bez goodwillu, tiež</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súlade</w:t>
            </w:r>
            <w:r w:rsidR="009912F8" w:rsidRPr="00E07C9A">
              <w:rPr>
                <w:rStyle w:val="FormatvorlageInstructionsTabelleText"/>
                <w:rFonts w:ascii="Times New Roman" w:hAnsi="Times New Roman"/>
                <w:sz w:val="24"/>
              </w:rPr>
              <w:t xml:space="preserve"> s </w:t>
            </w:r>
            <w:r w:rsidRPr="00E07C9A">
              <w:rPr>
                <w:rStyle w:val="FormatvorlageInstructionsTabelleText"/>
                <w:rFonts w:ascii="Times New Roman" w:hAnsi="Times New Roman"/>
                <w:sz w:val="24"/>
              </w:rPr>
              <w:t>uplatniteľným účtovným štandardom.</w:t>
            </w:r>
          </w:p>
          <w:p w14:paraId="5600CAE4" w14:textId="01AD360A" w:rsidR="00D731E3" w:rsidRPr="00E07C9A" w:rsidRDefault="00D731E3" w:rsidP="00176495">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Hodnota vykazovaná</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tomto riadku zodpovedá hodnote nehmotných aktív zahrnutých</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súvahe</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súlade</w:t>
            </w:r>
            <w:r w:rsidR="009912F8" w:rsidRPr="00E07C9A">
              <w:rPr>
                <w:rStyle w:val="FormatvorlageInstructionsTabelleText"/>
                <w:rFonts w:ascii="Times New Roman" w:hAnsi="Times New Roman"/>
                <w:sz w:val="24"/>
              </w:rPr>
              <w:t xml:space="preserve"> s </w:t>
            </w:r>
            <w:r w:rsidRPr="00E07C9A">
              <w:rPr>
                <w:rStyle w:val="FormatvorlageInstructionsTabelleText"/>
                <w:rFonts w:ascii="Times New Roman" w:hAnsi="Times New Roman"/>
                <w:sz w:val="24"/>
              </w:rPr>
              <w:t>uplatniteľným účtovným štandardom okrem goodwillu</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hodnoty obozretne ocenených softvérových aktív, ktorá nie je odpočítaná od položiek CET1</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súlade</w:t>
            </w:r>
            <w:r w:rsidR="009912F8" w:rsidRPr="00E07C9A">
              <w:rPr>
                <w:rStyle w:val="FormatvorlageInstructionsTabelleText"/>
                <w:rFonts w:ascii="Times New Roman" w:hAnsi="Times New Roman"/>
                <w:sz w:val="24"/>
              </w:rPr>
              <w:t xml:space="preserve"> s </w:t>
            </w:r>
            <w:r w:rsidRPr="00E07C9A">
              <w:rPr>
                <w:rStyle w:val="FormatvorlageInstructionsTabelleText"/>
                <w:rFonts w:ascii="Times New Roman" w:hAnsi="Times New Roman"/>
                <w:sz w:val="24"/>
              </w:rPr>
              <w:t xml:space="preserve">článkom 36 ods. 1 písm. b) nariadenia (EÚ) </w:t>
            </w:r>
            <w:r w:rsidR="009912F8" w:rsidRPr="00E07C9A">
              <w:rPr>
                <w:rStyle w:val="FormatvorlageInstructionsTabelleText"/>
                <w:rFonts w:ascii="Times New Roman" w:hAnsi="Times New Roman"/>
                <w:sz w:val="24"/>
              </w:rPr>
              <w:t>č. 575/2013</w:t>
            </w:r>
            <w:r w:rsidRPr="00E07C9A">
              <w:rPr>
                <w:rStyle w:val="FormatvorlageInstructionsTabelleText"/>
                <w:rFonts w:ascii="Times New Roman" w:hAnsi="Times New Roman"/>
                <w:sz w:val="24"/>
              </w:rPr>
              <w:t>.</w:t>
            </w:r>
          </w:p>
        </w:tc>
      </w:tr>
      <w:tr w:rsidR="0082014C" w:rsidRPr="00E07C9A" w14:paraId="3F1BF3D9" w14:textId="77777777" w:rsidTr="00D731E3">
        <w:tc>
          <w:tcPr>
            <w:tcW w:w="1129" w:type="dxa"/>
          </w:tcPr>
          <w:p w14:paraId="4AE8ED50" w14:textId="5EC0B2A8" w:rsidR="0082014C" w:rsidRPr="00E07C9A" w:rsidRDefault="0082014C" w:rsidP="0082014C">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0352</w:t>
            </w:r>
          </w:p>
        </w:tc>
        <w:tc>
          <w:tcPr>
            <w:tcW w:w="7620" w:type="dxa"/>
          </w:tcPr>
          <w:p w14:paraId="337191E1" w14:textId="060C7A3E" w:rsidR="0082014C" w:rsidRPr="00E07C9A" w:rsidRDefault="0082014C" w:rsidP="0082014C">
            <w:pPr>
              <w:pStyle w:val="InstructionsText"/>
              <w:rPr>
                <w:rStyle w:val="FormatvorlageInstructionsTabelleText"/>
                <w:rFonts w:ascii="Times New Roman" w:hAnsi="Times New Roman"/>
                <w:b/>
                <w:sz w:val="24"/>
                <w:u w:val="single"/>
              </w:rPr>
            </w:pPr>
            <w:r w:rsidRPr="00E07C9A">
              <w:rPr>
                <w:rStyle w:val="InstructionsTabelleberschrift"/>
                <w:rFonts w:ascii="Times New Roman" w:hAnsi="Times New Roman"/>
                <w:sz w:val="24"/>
              </w:rPr>
              <w:t>1.1.1.11.1.1 (–)</w:t>
            </w:r>
            <w:r w:rsidR="009912F8" w:rsidRPr="00E07C9A">
              <w:rPr>
                <w:rStyle w:val="InstructionsTabelleberschrift"/>
                <w:rFonts w:ascii="Times New Roman" w:hAnsi="Times New Roman"/>
                <w:sz w:val="24"/>
              </w:rPr>
              <w:t xml:space="preserve"> Z </w:t>
            </w:r>
            <w:r w:rsidRPr="00E07C9A">
              <w:rPr>
                <w:rStyle w:val="InstructionsTabelleberschrift"/>
                <w:rFonts w:ascii="Times New Roman" w:hAnsi="Times New Roman"/>
                <w:sz w:val="24"/>
              </w:rPr>
              <w:t>čoho: softvérové aktíva účtované ako ostatné nehmotné aktíva pred odpočítaním odložených daňových záväzkov</w:t>
            </w:r>
          </w:p>
          <w:p w14:paraId="26F640AD" w14:textId="558F429B" w:rsidR="0082014C" w:rsidRPr="00E07C9A" w:rsidRDefault="0082014C" w:rsidP="0082014C">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 xml:space="preserve">Článok 4 ods. 1 bod 115 </w:t>
            </w:r>
            <w:r w:rsidRPr="00E07C9A">
              <w:t xml:space="preserve">nariadenia (EÚ) </w:t>
            </w:r>
            <w:r w:rsidR="009912F8" w:rsidRPr="00E07C9A">
              <w:t>č. 575/2013</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 xml:space="preserve">článok 36 ods. 1 písm. b) </w:t>
            </w:r>
            <w:r w:rsidRPr="00E07C9A">
              <w:t xml:space="preserve">nariadenia (EÚ) </w:t>
            </w:r>
            <w:r w:rsidR="009912F8" w:rsidRPr="00E07C9A">
              <w:t>č. 575/2013</w:t>
            </w:r>
          </w:p>
          <w:p w14:paraId="5D7E8804" w14:textId="4F6F545F" w:rsidR="0082014C" w:rsidRPr="00E07C9A" w:rsidRDefault="0082014C" w:rsidP="0082014C">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Hodnota softvérových aktív účtovaných ako nehmotné aktíva, ktorá je odpočítaná od položiek CET1</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súlade</w:t>
            </w:r>
            <w:r w:rsidR="009912F8" w:rsidRPr="00E07C9A">
              <w:rPr>
                <w:rStyle w:val="FormatvorlageInstructionsTabelleText"/>
                <w:rFonts w:ascii="Times New Roman" w:hAnsi="Times New Roman"/>
                <w:sz w:val="24"/>
              </w:rPr>
              <w:t xml:space="preserve"> s </w:t>
            </w:r>
            <w:r w:rsidRPr="00E07C9A">
              <w:rPr>
                <w:rStyle w:val="FormatvorlageInstructionsTabelleText"/>
                <w:rFonts w:ascii="Times New Roman" w:hAnsi="Times New Roman"/>
                <w:sz w:val="24"/>
              </w:rPr>
              <w:t xml:space="preserve">článkom 36 ods. 1 písm. b) nariadenia (EÚ) </w:t>
            </w:r>
            <w:r w:rsidR="009912F8" w:rsidRPr="00E07C9A">
              <w:rPr>
                <w:rStyle w:val="FormatvorlageInstructionsTabelleText"/>
                <w:rFonts w:ascii="Times New Roman" w:hAnsi="Times New Roman"/>
                <w:sz w:val="24"/>
              </w:rPr>
              <w:t>č. 575/2013 a </w:t>
            </w:r>
            <w:r w:rsidRPr="00E07C9A">
              <w:rPr>
                <w:rStyle w:val="FormatvorlageInstructionsTabelleText"/>
                <w:rFonts w:ascii="Times New Roman" w:hAnsi="Times New Roman"/>
                <w:sz w:val="24"/>
              </w:rPr>
              <w:t>článkom 13a delegovaného nariadenia (EÚ) č. 241/2014</w:t>
            </w:r>
            <w:r w:rsidRPr="00E07C9A">
              <w:t xml:space="preserve">. </w:t>
            </w:r>
            <w:r w:rsidRPr="00E07C9A">
              <w:rPr>
                <w:rStyle w:val="FormatvorlageInstructionsTabelleText"/>
                <w:rFonts w:ascii="Times New Roman" w:hAnsi="Times New Roman"/>
                <w:sz w:val="24"/>
              </w:rPr>
              <w:t>Vo vykazovanej hodnote sa neposudzujú účinky uplatňovania zaobchádzania stanoveného</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 xml:space="preserve">článku 37 písm. a) </w:t>
            </w:r>
            <w:r w:rsidRPr="00E07C9A">
              <w:t xml:space="preserve">nariadenia (EÚ) </w:t>
            </w:r>
            <w:r w:rsidR="009912F8" w:rsidRPr="00E07C9A">
              <w:t>č. 575/2013</w:t>
            </w:r>
            <w:r w:rsidR="009912F8" w:rsidRPr="00E07C9A">
              <w:rPr>
                <w:rStyle w:val="FormatvorlageInstructionsTabelleText"/>
                <w:rFonts w:ascii="Times New Roman" w:hAnsi="Times New Roman"/>
                <w:sz w:val="24"/>
              </w:rPr>
              <w:t xml:space="preserve"> s </w:t>
            </w:r>
            <w:r w:rsidRPr="00E07C9A">
              <w:rPr>
                <w:rStyle w:val="FormatvorlageInstructionsTabelleText"/>
                <w:rFonts w:ascii="Times New Roman" w:hAnsi="Times New Roman"/>
                <w:sz w:val="24"/>
              </w:rPr>
              <w:t>odkazom na odložené daňové záväzky súvisiace</w:t>
            </w:r>
            <w:r w:rsidR="009912F8" w:rsidRPr="00E07C9A">
              <w:rPr>
                <w:rStyle w:val="FormatvorlageInstructionsTabelleText"/>
                <w:rFonts w:ascii="Times New Roman" w:hAnsi="Times New Roman"/>
                <w:sz w:val="24"/>
              </w:rPr>
              <w:t xml:space="preserve"> s </w:t>
            </w:r>
            <w:r w:rsidRPr="00E07C9A">
              <w:rPr>
                <w:rStyle w:val="FormatvorlageInstructionsTabelleText"/>
                <w:rFonts w:ascii="Times New Roman" w:hAnsi="Times New Roman"/>
                <w:sz w:val="24"/>
              </w:rPr>
              <w:t>uvedenými softvérovými aktívami.</w:t>
            </w:r>
          </w:p>
          <w:p w14:paraId="64E4F871" w14:textId="34B65F77" w:rsidR="0082014C" w:rsidRPr="00E07C9A" w:rsidRDefault="0082014C" w:rsidP="004E6AC0">
            <w:pPr>
              <w:pStyle w:val="InstructionsText"/>
              <w:rPr>
                <w:rStyle w:val="InstructionsTabelleberschrift"/>
                <w:rFonts w:ascii="Times New Roman" w:hAnsi="Times New Roman"/>
                <w:sz w:val="24"/>
              </w:rPr>
            </w:pPr>
            <w:r w:rsidRPr="00E07C9A">
              <w:rPr>
                <w:rStyle w:val="FormatvorlageInstructionsTabelleText"/>
                <w:rFonts w:ascii="Times New Roman" w:hAnsi="Times New Roman"/>
                <w:sz w:val="24"/>
              </w:rPr>
              <w:t>Ak sa inštitúcia rozhodne, že</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plnej miere odpočíta svoje softvérové aktíva</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súlade</w:t>
            </w:r>
            <w:r w:rsidR="009912F8" w:rsidRPr="00E07C9A">
              <w:rPr>
                <w:rStyle w:val="FormatvorlageInstructionsTabelleText"/>
                <w:rFonts w:ascii="Times New Roman" w:hAnsi="Times New Roman"/>
                <w:sz w:val="24"/>
              </w:rPr>
              <w:t xml:space="preserve"> s </w:t>
            </w:r>
            <w:r w:rsidRPr="00E07C9A">
              <w:rPr>
                <w:rStyle w:val="FormatvorlageInstructionsTabelleText"/>
                <w:rFonts w:ascii="Times New Roman" w:hAnsi="Times New Roman"/>
                <w:sz w:val="24"/>
              </w:rPr>
              <w:t xml:space="preserve">článkom 3 </w:t>
            </w:r>
            <w:r w:rsidRPr="00E07C9A">
              <w:t xml:space="preserve">nariadenia (EÚ) </w:t>
            </w:r>
            <w:r w:rsidR="009912F8" w:rsidRPr="00E07C9A">
              <w:t>č. 575/2013</w:t>
            </w:r>
            <w:r w:rsidRPr="00E07C9A">
              <w:rPr>
                <w:rStyle w:val="FormatvorlageInstructionsTabelleText"/>
                <w:rFonts w:ascii="Times New Roman" w:hAnsi="Times New Roman"/>
                <w:sz w:val="24"/>
              </w:rPr>
              <w:t xml:space="preserve"> namiesto uplatňovania zaobchádzania podľa článku 13a delegovaného nariadenia (EÚ) č. 241/2014, hodnota vykazovaná</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tomto riadku zodpovedá hodnote softvérových aktív účtovaných ako nehmotné aktíva</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súlade</w:t>
            </w:r>
            <w:r w:rsidR="009912F8" w:rsidRPr="00E07C9A">
              <w:rPr>
                <w:rStyle w:val="FormatvorlageInstructionsTabelleText"/>
                <w:rFonts w:ascii="Times New Roman" w:hAnsi="Times New Roman"/>
                <w:sz w:val="24"/>
              </w:rPr>
              <w:t xml:space="preserve"> s </w:t>
            </w:r>
            <w:r w:rsidRPr="00E07C9A">
              <w:rPr>
                <w:rStyle w:val="FormatvorlageInstructionsTabelleText"/>
                <w:rFonts w:ascii="Times New Roman" w:hAnsi="Times New Roman"/>
                <w:sz w:val="24"/>
              </w:rPr>
              <w:t>uplatniteľným účtovným štandardom.</w:t>
            </w:r>
          </w:p>
        </w:tc>
      </w:tr>
      <w:tr w:rsidR="00D731E3" w:rsidRPr="00E07C9A" w14:paraId="533C4B4D" w14:textId="77777777" w:rsidTr="00D731E3">
        <w:tc>
          <w:tcPr>
            <w:tcW w:w="1129" w:type="dxa"/>
          </w:tcPr>
          <w:p w14:paraId="47B8DE1D" w14:textId="77777777" w:rsidR="00D731E3" w:rsidRPr="00E07C9A" w:rsidRDefault="003172C8"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0360</w:t>
            </w:r>
          </w:p>
        </w:tc>
        <w:tc>
          <w:tcPr>
            <w:tcW w:w="7620" w:type="dxa"/>
          </w:tcPr>
          <w:p w14:paraId="1A2DC8CB" w14:textId="087FE67A" w:rsidR="00D731E3" w:rsidRPr="00E07C9A" w:rsidRDefault="00D731E3"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1.1.1.11.2.</w:t>
            </w:r>
            <w:r w:rsidRPr="00E07C9A">
              <w:tab/>
            </w:r>
            <w:r w:rsidRPr="00E07C9A">
              <w:rPr>
                <w:rStyle w:val="InstructionsTabelleberschrift"/>
                <w:rFonts w:ascii="Times New Roman" w:hAnsi="Times New Roman"/>
                <w:sz w:val="24"/>
              </w:rPr>
              <w:t>Odložené daňové záväzky spojené</w:t>
            </w:r>
            <w:r w:rsidR="009912F8" w:rsidRPr="00E07C9A">
              <w:rPr>
                <w:rStyle w:val="InstructionsTabelleberschrift"/>
                <w:rFonts w:ascii="Times New Roman" w:hAnsi="Times New Roman"/>
                <w:sz w:val="24"/>
              </w:rPr>
              <w:t xml:space="preserve"> s </w:t>
            </w:r>
            <w:r w:rsidRPr="00E07C9A">
              <w:rPr>
                <w:rStyle w:val="InstructionsTabelleberschrift"/>
                <w:rFonts w:ascii="Times New Roman" w:hAnsi="Times New Roman"/>
                <w:sz w:val="24"/>
              </w:rPr>
              <w:t>ostatnými nehmotnými aktívami</w:t>
            </w:r>
          </w:p>
          <w:p w14:paraId="697CC772" w14:textId="6721A0A5" w:rsidR="00D731E3" w:rsidRPr="00E07C9A" w:rsidRDefault="00D731E3"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 xml:space="preserve">Článok 37 písm. a) </w:t>
            </w:r>
            <w:r w:rsidRPr="00E07C9A">
              <w:t xml:space="preserve">nariadenia (EÚ) </w:t>
            </w:r>
            <w:r w:rsidR="009912F8" w:rsidRPr="00E07C9A">
              <w:t>č. 575/2013</w:t>
            </w:r>
          </w:p>
          <w:p w14:paraId="72FC46FD" w14:textId="53F23DB2" w:rsidR="00D731E3" w:rsidRPr="00E07C9A" w:rsidRDefault="00D731E3" w:rsidP="00D21548">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Hodnota odložených daňových záväzkov, ktoré by zanikli, ak by sa hodnota iných nehmotných aktív než goodwill</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 xml:space="preserve">obozretne ocenené softvérové aktíva </w:t>
            </w:r>
            <w:r w:rsidRPr="00E07C9A">
              <w:rPr>
                <w:rStyle w:val="FormatvorlageInstructionsTabelleText"/>
                <w:rFonts w:ascii="Times New Roman" w:hAnsi="Times New Roman"/>
                <w:sz w:val="24"/>
              </w:rPr>
              <w:lastRenderedPageBreak/>
              <w:t>vyňaté</w:t>
            </w:r>
            <w:r w:rsidR="009912F8" w:rsidRPr="00E07C9A">
              <w:rPr>
                <w:rStyle w:val="FormatvorlageInstructionsTabelleText"/>
                <w:rFonts w:ascii="Times New Roman" w:hAnsi="Times New Roman"/>
                <w:sz w:val="24"/>
              </w:rPr>
              <w:t xml:space="preserve"> z </w:t>
            </w:r>
            <w:r w:rsidRPr="00E07C9A">
              <w:rPr>
                <w:rStyle w:val="FormatvorlageInstructionsTabelleText"/>
                <w:rFonts w:ascii="Times New Roman" w:hAnsi="Times New Roman"/>
                <w:sz w:val="24"/>
              </w:rPr>
              <w:t>odpočtu od položiek CET1</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súlade</w:t>
            </w:r>
            <w:r w:rsidR="009912F8" w:rsidRPr="00E07C9A">
              <w:rPr>
                <w:rStyle w:val="FormatvorlageInstructionsTabelleText"/>
                <w:rFonts w:ascii="Times New Roman" w:hAnsi="Times New Roman"/>
                <w:sz w:val="24"/>
              </w:rPr>
              <w:t xml:space="preserve"> s </w:t>
            </w:r>
            <w:r w:rsidRPr="00E07C9A">
              <w:rPr>
                <w:rStyle w:val="FormatvorlageInstructionsTabelleText"/>
                <w:rFonts w:ascii="Times New Roman" w:hAnsi="Times New Roman"/>
                <w:sz w:val="24"/>
              </w:rPr>
              <w:t>článkom 13a delegovaného nariadenia (EÚ) č. 241/2014 zhoršila alebo ak by sa podľa uplatniteľného účtovného štandardu ukončilo ich vykazovanie.</w:t>
            </w:r>
          </w:p>
        </w:tc>
      </w:tr>
      <w:tr w:rsidR="00A95150" w:rsidRPr="00E07C9A" w14:paraId="16944B76" w14:textId="77777777" w:rsidTr="00D731E3">
        <w:tc>
          <w:tcPr>
            <w:tcW w:w="1129" w:type="dxa"/>
          </w:tcPr>
          <w:p w14:paraId="018231F1" w14:textId="0083AFB3" w:rsidR="00A95150" w:rsidRPr="00E07C9A" w:rsidRDefault="00A95150" w:rsidP="00A95150">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lastRenderedPageBreak/>
              <w:t>0362</w:t>
            </w:r>
          </w:p>
        </w:tc>
        <w:tc>
          <w:tcPr>
            <w:tcW w:w="7620" w:type="dxa"/>
          </w:tcPr>
          <w:p w14:paraId="0827EDD5" w14:textId="33A0E446" w:rsidR="00A95150" w:rsidRPr="00E07C9A" w:rsidRDefault="00A95150" w:rsidP="00A95150">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1.1.1.11.2.1</w:t>
            </w:r>
            <w:r w:rsidRPr="00E07C9A">
              <w:tab/>
            </w:r>
            <w:r w:rsidRPr="00E07C9A">
              <w:rPr>
                <w:rStyle w:val="InstructionsTabelleberschrift"/>
                <w:rFonts w:ascii="Times New Roman" w:hAnsi="Times New Roman"/>
                <w:sz w:val="24"/>
              </w:rPr>
              <w:t>Odložené daňové záväzky spojené so softvérovými aktívami účtovanými ako nehmotné aktíva</w:t>
            </w:r>
          </w:p>
          <w:p w14:paraId="7EDBB408" w14:textId="3D3D16E0" w:rsidR="00A95150" w:rsidRPr="00E07C9A" w:rsidRDefault="00A95150" w:rsidP="00A95150">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 xml:space="preserve">Článok 37 písm. a) </w:t>
            </w:r>
            <w:r w:rsidRPr="00E07C9A">
              <w:t xml:space="preserve">nariadenia (EÚ) </w:t>
            </w:r>
            <w:r w:rsidR="009912F8" w:rsidRPr="00E07C9A">
              <w:t>č. 575/2013</w:t>
            </w:r>
          </w:p>
          <w:p w14:paraId="7AC299D4" w14:textId="2A7366F3" w:rsidR="00A95150" w:rsidRPr="00E07C9A" w:rsidRDefault="00A95150" w:rsidP="00A95150">
            <w:pPr>
              <w:pStyle w:val="InstructionsText"/>
              <w:rPr>
                <w:rStyle w:val="InstructionsTabelleberschrift"/>
                <w:rFonts w:ascii="Times New Roman" w:hAnsi="Times New Roman"/>
                <w:sz w:val="24"/>
              </w:rPr>
            </w:pPr>
            <w:r w:rsidRPr="00E07C9A">
              <w:rPr>
                <w:rStyle w:val="FormatvorlageInstructionsTabelleText"/>
                <w:rFonts w:ascii="Times New Roman" w:hAnsi="Times New Roman"/>
                <w:sz w:val="24"/>
              </w:rPr>
              <w:t>Časť odložených daňových záväzkov, ktorá súvisí</w:t>
            </w:r>
            <w:r w:rsidR="009912F8" w:rsidRPr="00E07C9A">
              <w:rPr>
                <w:rStyle w:val="FormatvorlageInstructionsTabelleText"/>
                <w:rFonts w:ascii="Times New Roman" w:hAnsi="Times New Roman"/>
                <w:sz w:val="24"/>
              </w:rPr>
              <w:t xml:space="preserve"> s </w:t>
            </w:r>
            <w:r w:rsidRPr="00E07C9A">
              <w:rPr>
                <w:rStyle w:val="FormatvorlageInstructionsTabelleText"/>
                <w:rFonts w:ascii="Times New Roman" w:hAnsi="Times New Roman"/>
                <w:sz w:val="24"/>
              </w:rPr>
              <w:t>hodnotou softvérových aktív účtovaných ako nehmotné aktíva, ktorá je odpočítaná od položiek CET1</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súlade</w:t>
            </w:r>
            <w:r w:rsidR="009912F8" w:rsidRPr="00E07C9A">
              <w:rPr>
                <w:rStyle w:val="FormatvorlageInstructionsTabelleText"/>
                <w:rFonts w:ascii="Times New Roman" w:hAnsi="Times New Roman"/>
                <w:sz w:val="24"/>
              </w:rPr>
              <w:t xml:space="preserve"> s </w:t>
            </w:r>
            <w:r w:rsidRPr="00E07C9A">
              <w:rPr>
                <w:rStyle w:val="FormatvorlageInstructionsTabelleText"/>
                <w:rFonts w:ascii="Times New Roman" w:hAnsi="Times New Roman"/>
                <w:sz w:val="24"/>
              </w:rPr>
              <w:t xml:space="preserve">článkom 36 ods. 1 písm. b) </w:t>
            </w:r>
            <w:r w:rsidRPr="00E07C9A">
              <w:t xml:space="preserve">nariadenia (EÚ) </w:t>
            </w:r>
            <w:r w:rsidR="009912F8" w:rsidRPr="00E07C9A">
              <w:t>č. 575/2013 a </w:t>
            </w:r>
            <w:r w:rsidRPr="00E07C9A">
              <w:t>článkom</w:t>
            </w:r>
            <w:r w:rsidRPr="00E07C9A">
              <w:rPr>
                <w:rStyle w:val="FormatvorlageInstructionsTabelleText"/>
                <w:rFonts w:ascii="Times New Roman" w:hAnsi="Times New Roman"/>
                <w:sz w:val="24"/>
              </w:rPr>
              <w:t xml:space="preserve"> 13a delegovaného nariadenia (EÚ) č. 241/2014 alebo článkom 3 </w:t>
            </w:r>
            <w:r w:rsidRPr="00E07C9A">
              <w:t xml:space="preserve">nariadenia (EÚ) </w:t>
            </w:r>
            <w:r w:rsidR="009912F8" w:rsidRPr="00E07C9A">
              <w:t>č. 575/2013</w:t>
            </w:r>
            <w:r w:rsidRPr="00E07C9A">
              <w:rPr>
                <w:rStyle w:val="FormatvorlageInstructionsTabelleText"/>
                <w:rFonts w:ascii="Times New Roman" w:hAnsi="Times New Roman"/>
                <w:sz w:val="24"/>
              </w:rPr>
              <w:t>.</w:t>
            </w:r>
          </w:p>
        </w:tc>
      </w:tr>
      <w:tr w:rsidR="0022315F" w:rsidRPr="00E07C9A" w14:paraId="215622DA" w14:textId="77777777" w:rsidTr="00D731E3">
        <w:tc>
          <w:tcPr>
            <w:tcW w:w="1129" w:type="dxa"/>
          </w:tcPr>
          <w:p w14:paraId="4B219852" w14:textId="77777777" w:rsidR="0022315F" w:rsidRPr="00E07C9A" w:rsidRDefault="00CF1093"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0365</w:t>
            </w:r>
          </w:p>
        </w:tc>
        <w:tc>
          <w:tcPr>
            <w:tcW w:w="7620" w:type="dxa"/>
          </w:tcPr>
          <w:p w14:paraId="62DD6957" w14:textId="0F4D8C03" w:rsidR="0022315F" w:rsidRPr="00E07C9A" w:rsidRDefault="0022315F"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1.1.1.11.3.</w:t>
            </w:r>
            <w:r w:rsidRPr="00E07C9A">
              <w:tab/>
            </w:r>
            <w:r w:rsidRPr="00E07C9A">
              <w:rPr>
                <w:rStyle w:val="InstructionsTabelleberschrift"/>
                <w:rFonts w:ascii="Times New Roman" w:hAnsi="Times New Roman"/>
                <w:sz w:val="24"/>
              </w:rPr>
              <w:t>Účtovné precenenie ostatných nehmotných aktív dcérskych spoločností, ktoré sú prisúditeľné tretím osobám, odvodené</w:t>
            </w:r>
            <w:r w:rsidR="009912F8" w:rsidRPr="00E07C9A">
              <w:rPr>
                <w:rStyle w:val="InstructionsTabelleberschrift"/>
                <w:rFonts w:ascii="Times New Roman" w:hAnsi="Times New Roman"/>
                <w:sz w:val="24"/>
              </w:rPr>
              <w:t xml:space="preserve"> z </w:t>
            </w:r>
            <w:r w:rsidRPr="00E07C9A">
              <w:rPr>
                <w:rStyle w:val="InstructionsTabelleberschrift"/>
                <w:rFonts w:ascii="Times New Roman" w:hAnsi="Times New Roman"/>
                <w:sz w:val="24"/>
              </w:rPr>
              <w:t>konsolidácie dcérskych spoločností</w:t>
            </w:r>
          </w:p>
          <w:p w14:paraId="631F097E" w14:textId="69B95FF1" w:rsidR="0022315F" w:rsidRPr="00E07C9A" w:rsidRDefault="0022315F"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 xml:space="preserve">Článok 37 písm. c) </w:t>
            </w:r>
            <w:r w:rsidRPr="00E07C9A">
              <w:t xml:space="preserve">nariadenia (EÚ) </w:t>
            </w:r>
            <w:r w:rsidR="009912F8" w:rsidRPr="00E07C9A">
              <w:t>č. 575/2013</w:t>
            </w:r>
          </w:p>
          <w:p w14:paraId="38BC0D47" w14:textId="1DA67101" w:rsidR="0022315F" w:rsidRPr="00E07C9A" w:rsidRDefault="0022315F" w:rsidP="007079CE">
            <w:pPr>
              <w:pStyle w:val="InstructionsText"/>
              <w:rPr>
                <w:rStyle w:val="InstructionsTabelleberschrift"/>
                <w:rFonts w:ascii="Times New Roman" w:hAnsi="Times New Roman"/>
                <w:sz w:val="24"/>
              </w:rPr>
            </w:pPr>
            <w:r w:rsidRPr="00E07C9A">
              <w:rPr>
                <w:rStyle w:val="FormatvorlageInstructionsTabelleText"/>
                <w:rFonts w:ascii="Times New Roman" w:hAnsi="Times New Roman"/>
                <w:sz w:val="24"/>
              </w:rPr>
              <w:t>Hodnota účtovného precenenia iných nehmotných aktív dcérskych spoločností, než je goodwill, prisúditeľných iným osobám, než sú podniky zahrnuté do konsolidácie podľa prvej časti hlavy II kapitoly 2, odvodená</w:t>
            </w:r>
            <w:r w:rsidR="009912F8" w:rsidRPr="00E07C9A">
              <w:rPr>
                <w:rStyle w:val="FormatvorlageInstructionsTabelleText"/>
                <w:rFonts w:ascii="Times New Roman" w:hAnsi="Times New Roman"/>
                <w:sz w:val="24"/>
              </w:rPr>
              <w:t xml:space="preserve"> z </w:t>
            </w:r>
            <w:r w:rsidRPr="00E07C9A">
              <w:rPr>
                <w:rStyle w:val="FormatvorlageInstructionsTabelleText"/>
                <w:rFonts w:ascii="Times New Roman" w:hAnsi="Times New Roman"/>
                <w:sz w:val="24"/>
              </w:rPr>
              <w:t>konsolidácie dcérskych spoločností.</w:t>
            </w:r>
          </w:p>
        </w:tc>
      </w:tr>
      <w:tr w:rsidR="0022315F" w:rsidRPr="00E07C9A" w14:paraId="07140902" w14:textId="77777777" w:rsidTr="00D731E3">
        <w:tc>
          <w:tcPr>
            <w:tcW w:w="1129" w:type="dxa"/>
          </w:tcPr>
          <w:p w14:paraId="0083D8AB" w14:textId="77777777" w:rsidR="0022315F" w:rsidRPr="00E07C9A" w:rsidRDefault="00CF1093"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0370</w:t>
            </w:r>
          </w:p>
        </w:tc>
        <w:tc>
          <w:tcPr>
            <w:tcW w:w="7620" w:type="dxa"/>
          </w:tcPr>
          <w:p w14:paraId="5D1BD8EF" w14:textId="3EA5283C" w:rsidR="0022315F" w:rsidRPr="00E07C9A" w:rsidRDefault="0022315F" w:rsidP="00487A02">
            <w:pPr>
              <w:pStyle w:val="InstructionsText"/>
              <w:rPr>
                <w:rStyle w:val="FormatvorlageInstructionsTabelleText"/>
                <w:rFonts w:ascii="Times New Roman" w:hAnsi="Times New Roman"/>
                <w:b/>
                <w:sz w:val="24"/>
                <w:u w:val="single"/>
              </w:rPr>
            </w:pPr>
            <w:r w:rsidRPr="00E07C9A">
              <w:rPr>
                <w:rStyle w:val="InstructionsTabelleberschrift"/>
                <w:rFonts w:ascii="Times New Roman" w:hAnsi="Times New Roman"/>
                <w:sz w:val="24"/>
              </w:rPr>
              <w:t>1.1.1.12.</w:t>
            </w:r>
            <w:r w:rsidRPr="00E07C9A">
              <w:tab/>
            </w:r>
            <w:r w:rsidRPr="00E07C9A">
              <w:rPr>
                <w:rStyle w:val="InstructionsTabelleberschrift"/>
                <w:rFonts w:ascii="Times New Roman" w:hAnsi="Times New Roman"/>
                <w:sz w:val="24"/>
              </w:rPr>
              <w:t>(–) Odložené daňové pohľadávky, ktoré závisia od budúcej ziskovosti</w:t>
            </w:r>
            <w:r w:rsidR="009912F8" w:rsidRPr="00E07C9A">
              <w:rPr>
                <w:rStyle w:val="InstructionsTabelleberschrift"/>
                <w:rFonts w:ascii="Times New Roman" w:hAnsi="Times New Roman"/>
                <w:sz w:val="24"/>
              </w:rPr>
              <w:t xml:space="preserve"> a </w:t>
            </w:r>
            <w:r w:rsidRPr="00E07C9A">
              <w:rPr>
                <w:rStyle w:val="InstructionsTabelleberschrift"/>
                <w:rFonts w:ascii="Times New Roman" w:hAnsi="Times New Roman"/>
                <w:sz w:val="24"/>
              </w:rPr>
              <w:t>nevyplývajú</w:t>
            </w:r>
            <w:r w:rsidR="009912F8" w:rsidRPr="00E07C9A">
              <w:rPr>
                <w:rStyle w:val="InstructionsTabelleberschrift"/>
                <w:rFonts w:ascii="Times New Roman" w:hAnsi="Times New Roman"/>
                <w:sz w:val="24"/>
              </w:rPr>
              <w:t xml:space="preserve"> z </w:t>
            </w:r>
            <w:r w:rsidRPr="00E07C9A">
              <w:rPr>
                <w:rStyle w:val="InstructionsTabelleberschrift"/>
                <w:rFonts w:ascii="Times New Roman" w:hAnsi="Times New Roman"/>
                <w:sz w:val="24"/>
              </w:rPr>
              <w:t>dočasných rozdielov, po odpočítaní prislúchajúcich daňových záväzkov</w:t>
            </w:r>
          </w:p>
          <w:p w14:paraId="105E273D" w14:textId="052EBB97" w:rsidR="0022315F" w:rsidRPr="00E07C9A" w:rsidRDefault="0022315F"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Článok 36 ods. 1 písm. c)</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 xml:space="preserve">článok 38 </w:t>
            </w:r>
            <w:r w:rsidRPr="00E07C9A">
              <w:t xml:space="preserve">nariadenia (EÚ) </w:t>
            </w:r>
            <w:r w:rsidR="009912F8" w:rsidRPr="00E07C9A">
              <w:t>č. 575/2013</w:t>
            </w:r>
          </w:p>
        </w:tc>
      </w:tr>
      <w:tr w:rsidR="0022315F" w:rsidRPr="00E07C9A" w14:paraId="549330D3" w14:textId="77777777" w:rsidTr="00D731E3">
        <w:tc>
          <w:tcPr>
            <w:tcW w:w="1129" w:type="dxa"/>
          </w:tcPr>
          <w:p w14:paraId="26AA4DE5" w14:textId="77777777" w:rsidR="0022315F" w:rsidRPr="00E07C9A" w:rsidRDefault="00CF1093"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0380</w:t>
            </w:r>
          </w:p>
        </w:tc>
        <w:tc>
          <w:tcPr>
            <w:tcW w:w="7620" w:type="dxa"/>
          </w:tcPr>
          <w:p w14:paraId="6E7B1E8F" w14:textId="43886DB0" w:rsidR="0022315F" w:rsidRPr="00E07C9A" w:rsidRDefault="0022315F" w:rsidP="00487A02">
            <w:pPr>
              <w:pStyle w:val="InstructionsText"/>
              <w:rPr>
                <w:rStyle w:val="FormatvorlageInstructionsTabelleText"/>
                <w:rFonts w:ascii="Times New Roman" w:hAnsi="Times New Roman"/>
                <w:b/>
                <w:sz w:val="24"/>
                <w:u w:val="single"/>
              </w:rPr>
            </w:pPr>
            <w:r w:rsidRPr="00E07C9A">
              <w:rPr>
                <w:rStyle w:val="InstructionsTabelleberschrift"/>
                <w:rFonts w:ascii="Times New Roman" w:hAnsi="Times New Roman"/>
                <w:sz w:val="24"/>
              </w:rPr>
              <w:t>1.1.1.13.</w:t>
            </w:r>
            <w:r w:rsidRPr="00E07C9A">
              <w:tab/>
            </w:r>
            <w:r w:rsidRPr="00E07C9A">
              <w:rPr>
                <w:rStyle w:val="InstructionsTabelleberschrift"/>
                <w:rFonts w:ascii="Times New Roman" w:hAnsi="Times New Roman"/>
                <w:sz w:val="24"/>
              </w:rPr>
              <w:t>(–) Schodok úprav kreditného rizika</w:t>
            </w:r>
            <w:r w:rsidR="009912F8" w:rsidRPr="00E07C9A">
              <w:rPr>
                <w:rStyle w:val="InstructionsTabelleberschrift"/>
                <w:rFonts w:ascii="Times New Roman" w:hAnsi="Times New Roman"/>
                <w:sz w:val="24"/>
              </w:rPr>
              <w:t xml:space="preserve"> o </w:t>
            </w:r>
            <w:r w:rsidRPr="00E07C9A">
              <w:rPr>
                <w:rStyle w:val="InstructionsTabelleberschrift"/>
                <w:rFonts w:ascii="Times New Roman" w:hAnsi="Times New Roman"/>
                <w:sz w:val="24"/>
              </w:rPr>
              <w:t>očakávané straty</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rámci prístupu IRB</w:t>
            </w:r>
          </w:p>
          <w:p w14:paraId="04504206" w14:textId="4D157AD1" w:rsidR="0022315F" w:rsidRPr="00E07C9A" w:rsidRDefault="0022315F"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Článok 36 ods. 1 písm. d), články 40, 158</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 xml:space="preserve">159 </w:t>
            </w:r>
            <w:r w:rsidRPr="00E07C9A">
              <w:t xml:space="preserve">nariadenia (EÚ) </w:t>
            </w:r>
            <w:r w:rsidR="009912F8" w:rsidRPr="00E07C9A">
              <w:t>č. 575/2013</w:t>
            </w:r>
          </w:p>
          <w:p w14:paraId="16018D37" w14:textId="6FF3D4F5" w:rsidR="0022315F" w:rsidRPr="00E07C9A" w:rsidRDefault="0022315F"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Hodnota, ktorá sa má vykázať, sa neznižuje</w:t>
            </w:r>
            <w:r w:rsidR="009912F8" w:rsidRPr="00E07C9A">
              <w:rPr>
                <w:rStyle w:val="FormatvorlageInstructionsTabelleText"/>
                <w:rFonts w:ascii="Times New Roman" w:hAnsi="Times New Roman"/>
                <w:sz w:val="24"/>
              </w:rPr>
              <w:t xml:space="preserve"> o </w:t>
            </w:r>
            <w:r w:rsidRPr="00E07C9A">
              <w:rPr>
                <w:rStyle w:val="FormatvorlageInstructionsTabelleText"/>
                <w:rFonts w:ascii="Times New Roman" w:hAnsi="Times New Roman"/>
                <w:sz w:val="24"/>
              </w:rPr>
              <w:t>zvýšenie výšky odložených daňových pohľadávok, ktoré závisia od budúcej ziskovosti, ani</w:t>
            </w:r>
            <w:r w:rsidR="009912F8" w:rsidRPr="00E07C9A">
              <w:rPr>
                <w:rStyle w:val="FormatvorlageInstructionsTabelleText"/>
                <w:rFonts w:ascii="Times New Roman" w:hAnsi="Times New Roman"/>
                <w:sz w:val="24"/>
              </w:rPr>
              <w:t xml:space="preserve"> o </w:t>
            </w:r>
            <w:r w:rsidRPr="00E07C9A">
              <w:rPr>
                <w:rStyle w:val="FormatvorlageInstructionsTabelleText"/>
                <w:rFonts w:ascii="Times New Roman" w:hAnsi="Times New Roman"/>
                <w:sz w:val="24"/>
              </w:rPr>
              <w:t>iný dodatočný daňový efekt, ktorý by mohol nastať, pokiaľ by sa rezervy zvýšili na úroveň očakávaných strát [článok 40</w:t>
            </w:r>
            <w:r w:rsidRPr="00E07C9A">
              <w:t xml:space="preserve"> nariadenia (EÚ) </w:t>
            </w:r>
            <w:r w:rsidR="009912F8" w:rsidRPr="00E07C9A">
              <w:t>č. 575/2013</w:t>
            </w:r>
            <w:r w:rsidRPr="00E07C9A">
              <w:rPr>
                <w:rStyle w:val="FormatvorlageInstructionsTabelleText"/>
                <w:rFonts w:ascii="Times New Roman" w:hAnsi="Times New Roman"/>
                <w:sz w:val="24"/>
              </w:rPr>
              <w:t>].</w:t>
            </w:r>
          </w:p>
        </w:tc>
      </w:tr>
      <w:tr w:rsidR="0022315F" w:rsidRPr="00E07C9A" w14:paraId="17168DA9" w14:textId="77777777" w:rsidTr="00D731E3">
        <w:tc>
          <w:tcPr>
            <w:tcW w:w="1129" w:type="dxa"/>
          </w:tcPr>
          <w:p w14:paraId="2DC4F12F" w14:textId="77777777" w:rsidR="0022315F" w:rsidRPr="00E07C9A" w:rsidRDefault="00CF1093"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0390</w:t>
            </w:r>
          </w:p>
        </w:tc>
        <w:tc>
          <w:tcPr>
            <w:tcW w:w="7620" w:type="dxa"/>
          </w:tcPr>
          <w:p w14:paraId="77656C71" w14:textId="77777777" w:rsidR="0022315F" w:rsidRPr="00E07C9A" w:rsidRDefault="0022315F" w:rsidP="00487A02">
            <w:pPr>
              <w:pStyle w:val="InstructionsText"/>
              <w:rPr>
                <w:rStyle w:val="FormatvorlageInstructionsTabelleText"/>
                <w:rFonts w:ascii="Times New Roman" w:hAnsi="Times New Roman"/>
                <w:b/>
                <w:sz w:val="24"/>
                <w:u w:val="single"/>
              </w:rPr>
            </w:pPr>
            <w:r w:rsidRPr="00E07C9A">
              <w:rPr>
                <w:rStyle w:val="InstructionsTabelleberschrift"/>
                <w:rFonts w:ascii="Times New Roman" w:hAnsi="Times New Roman"/>
                <w:sz w:val="24"/>
              </w:rPr>
              <w:t>1.1.1.14.</w:t>
            </w:r>
            <w:r w:rsidRPr="00E07C9A">
              <w:tab/>
            </w:r>
            <w:r w:rsidRPr="00E07C9A">
              <w:rPr>
                <w:rStyle w:val="InstructionsTabelleberschrift"/>
                <w:rFonts w:ascii="Times New Roman" w:hAnsi="Times New Roman"/>
                <w:sz w:val="24"/>
              </w:rPr>
              <w:t>(–) Majetok dôchodkového fondu so stanovenými požitkami</w:t>
            </w:r>
          </w:p>
          <w:p w14:paraId="08FE1920" w14:textId="72B9B835" w:rsidR="0022315F" w:rsidRPr="00E07C9A" w:rsidRDefault="0022315F" w:rsidP="001D3CE7">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Článok 4 ods. 1 bod 109, článok 36 ods. 1 písm. e)</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 xml:space="preserve">článok 41 </w:t>
            </w:r>
            <w:r w:rsidRPr="00E07C9A">
              <w:t xml:space="preserve">nariadenia (EÚ) </w:t>
            </w:r>
            <w:r w:rsidR="009912F8" w:rsidRPr="00E07C9A">
              <w:t>č. 575/2013</w:t>
            </w:r>
          </w:p>
        </w:tc>
      </w:tr>
      <w:tr w:rsidR="0022315F" w:rsidRPr="00E07C9A" w14:paraId="15E61181" w14:textId="77777777" w:rsidTr="00D731E3">
        <w:tc>
          <w:tcPr>
            <w:tcW w:w="1129" w:type="dxa"/>
          </w:tcPr>
          <w:p w14:paraId="5745463D" w14:textId="77777777" w:rsidR="0022315F" w:rsidRPr="00E07C9A" w:rsidRDefault="00CF1093"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0400</w:t>
            </w:r>
          </w:p>
        </w:tc>
        <w:tc>
          <w:tcPr>
            <w:tcW w:w="7620" w:type="dxa"/>
          </w:tcPr>
          <w:p w14:paraId="26DF9EAE" w14:textId="77777777" w:rsidR="009912F8" w:rsidRPr="00E07C9A" w:rsidRDefault="0022315F"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1.1.1.14.1.</w:t>
            </w:r>
            <w:r w:rsidRPr="00E07C9A">
              <w:tab/>
            </w:r>
            <w:r w:rsidRPr="00E07C9A">
              <w:rPr>
                <w:rStyle w:val="InstructionsTabelleberschrift"/>
                <w:rFonts w:ascii="Times New Roman" w:hAnsi="Times New Roman"/>
                <w:sz w:val="24"/>
              </w:rPr>
              <w:t>(–) Majetok dôchodkového fondu so stanovenými požitkami</w:t>
            </w:r>
          </w:p>
          <w:p w14:paraId="1B1D7EAC" w14:textId="024C8BBE" w:rsidR="0022315F" w:rsidRPr="00E07C9A" w:rsidRDefault="0022315F"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Článok 4 ods. 1 bod 109</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 xml:space="preserve">článok 36 ods. 1 písm. e) </w:t>
            </w:r>
            <w:r w:rsidRPr="00E07C9A">
              <w:t xml:space="preserve">nariadenia (EÚ) </w:t>
            </w:r>
            <w:r w:rsidR="009912F8" w:rsidRPr="00E07C9A">
              <w:t>č. 575/2013</w:t>
            </w:r>
          </w:p>
          <w:p w14:paraId="55915431" w14:textId="5EB8B3F8" w:rsidR="0022315F" w:rsidRPr="00E07C9A" w:rsidRDefault="0022315F"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Majetok dôchodkového fondu so stanovenými požitkami sa vymedzuje ako „aktíva dôchodkového fondu alebo programu</w:t>
            </w:r>
            <w:r w:rsidR="009912F8" w:rsidRPr="00E07C9A">
              <w:rPr>
                <w:rStyle w:val="FormatvorlageInstructionsTabelleText"/>
                <w:rFonts w:ascii="Times New Roman" w:hAnsi="Times New Roman"/>
                <w:sz w:val="24"/>
              </w:rPr>
              <w:t xml:space="preserve"> s </w:t>
            </w:r>
            <w:r w:rsidRPr="00E07C9A">
              <w:rPr>
                <w:rStyle w:val="FormatvorlageInstructionsTabelleText"/>
                <w:rFonts w:ascii="Times New Roman" w:hAnsi="Times New Roman"/>
                <w:sz w:val="24"/>
              </w:rPr>
              <w:t>definovanými dávkami, ktoré sa vypočítajú po ich znížení</w:t>
            </w:r>
            <w:r w:rsidR="009912F8" w:rsidRPr="00E07C9A">
              <w:rPr>
                <w:rStyle w:val="FormatvorlageInstructionsTabelleText"/>
                <w:rFonts w:ascii="Times New Roman" w:hAnsi="Times New Roman"/>
                <w:sz w:val="24"/>
              </w:rPr>
              <w:t xml:space="preserve"> o </w:t>
            </w:r>
            <w:r w:rsidRPr="00E07C9A">
              <w:rPr>
                <w:rStyle w:val="FormatvorlageInstructionsTabelleText"/>
                <w:rFonts w:ascii="Times New Roman" w:hAnsi="Times New Roman"/>
                <w:sz w:val="24"/>
              </w:rPr>
              <w:t>výšku záväzkov</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rámci toho istého fondu alebo programu“.</w:t>
            </w:r>
          </w:p>
          <w:p w14:paraId="4357AF1F" w14:textId="058CA34E" w:rsidR="0022315F" w:rsidRPr="00E07C9A" w:rsidRDefault="0022315F"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lastRenderedPageBreak/>
              <w:t>Hodnota vykazovaná</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tomto riadku zodpovedá hodnote vykázanej</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súvahe (ak sa vykazuje osobitne).</w:t>
            </w:r>
          </w:p>
        </w:tc>
      </w:tr>
      <w:tr w:rsidR="0022315F" w:rsidRPr="00E07C9A" w14:paraId="3D1FB7D3" w14:textId="77777777" w:rsidTr="00D731E3">
        <w:tc>
          <w:tcPr>
            <w:tcW w:w="1129" w:type="dxa"/>
          </w:tcPr>
          <w:p w14:paraId="363A4227" w14:textId="77777777" w:rsidR="0022315F" w:rsidRPr="00E07C9A" w:rsidRDefault="00CF1093"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lastRenderedPageBreak/>
              <w:t>0410</w:t>
            </w:r>
          </w:p>
        </w:tc>
        <w:tc>
          <w:tcPr>
            <w:tcW w:w="7620" w:type="dxa"/>
          </w:tcPr>
          <w:p w14:paraId="7408A629" w14:textId="132F3CAE" w:rsidR="0022315F" w:rsidRPr="00E07C9A" w:rsidRDefault="0022315F" w:rsidP="00487A02">
            <w:pPr>
              <w:pStyle w:val="InstructionsText"/>
              <w:rPr>
                <w:rStyle w:val="FormatvorlageInstructionsTabelleText"/>
                <w:rFonts w:ascii="Times New Roman" w:hAnsi="Times New Roman"/>
                <w:b/>
                <w:sz w:val="24"/>
                <w:u w:val="single"/>
              </w:rPr>
            </w:pPr>
            <w:r w:rsidRPr="00E07C9A">
              <w:rPr>
                <w:rStyle w:val="InstructionsTabelleberschrift"/>
                <w:rFonts w:ascii="Times New Roman" w:hAnsi="Times New Roman"/>
                <w:sz w:val="24"/>
              </w:rPr>
              <w:t>1.1.1.14.2.</w:t>
            </w:r>
            <w:r w:rsidRPr="00E07C9A">
              <w:tab/>
            </w:r>
            <w:r w:rsidRPr="00E07C9A">
              <w:rPr>
                <w:rStyle w:val="InstructionsTabelleberschrift"/>
                <w:rFonts w:ascii="Times New Roman" w:hAnsi="Times New Roman"/>
                <w:sz w:val="24"/>
              </w:rPr>
              <w:t>Odložené daňové záväzky spojené</w:t>
            </w:r>
            <w:r w:rsidR="009912F8" w:rsidRPr="00E07C9A">
              <w:rPr>
                <w:rStyle w:val="InstructionsTabelleberschrift"/>
                <w:rFonts w:ascii="Times New Roman" w:hAnsi="Times New Roman"/>
                <w:sz w:val="24"/>
              </w:rPr>
              <w:t xml:space="preserve"> s </w:t>
            </w:r>
            <w:r w:rsidRPr="00E07C9A">
              <w:rPr>
                <w:rStyle w:val="InstructionsTabelleberschrift"/>
                <w:rFonts w:ascii="Times New Roman" w:hAnsi="Times New Roman"/>
                <w:sz w:val="24"/>
              </w:rPr>
              <w:t>majetkom dôchodkového fondu so stanovenými požitkami</w:t>
            </w:r>
          </w:p>
          <w:p w14:paraId="0ADB647D" w14:textId="1C0A3707" w:rsidR="0022315F" w:rsidRPr="00E07C9A" w:rsidRDefault="0022315F"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Článok 4 ods. 1 body 108</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109</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 xml:space="preserve">článok 41 ods. 1 písm. a) </w:t>
            </w:r>
            <w:r w:rsidRPr="00E07C9A">
              <w:t xml:space="preserve">nariadenia (EÚ) </w:t>
            </w:r>
            <w:r w:rsidR="009912F8" w:rsidRPr="00E07C9A">
              <w:t>č. 575/2013</w:t>
            </w:r>
          </w:p>
          <w:p w14:paraId="1DAAD0FA" w14:textId="77777777" w:rsidR="0022315F" w:rsidRPr="00E07C9A" w:rsidRDefault="0022315F"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Hodnota odložených daňových záväzkov, ktoré by zanikli, ak by sa kvalita majetku dôchodkového fondu so stanovenými požitkami zhoršila alebo ak by sa podľa uplatniteľného účtovného štandardu ukončilo jeho vykazovanie.</w:t>
            </w:r>
          </w:p>
        </w:tc>
      </w:tr>
      <w:tr w:rsidR="0022315F" w:rsidRPr="00E07C9A" w14:paraId="6719402F" w14:textId="77777777" w:rsidTr="00D731E3">
        <w:tc>
          <w:tcPr>
            <w:tcW w:w="1129" w:type="dxa"/>
          </w:tcPr>
          <w:p w14:paraId="04DBEB8E" w14:textId="77777777" w:rsidR="0022315F" w:rsidRPr="00E07C9A" w:rsidRDefault="00CF1093"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0420</w:t>
            </w:r>
          </w:p>
        </w:tc>
        <w:tc>
          <w:tcPr>
            <w:tcW w:w="7620" w:type="dxa"/>
          </w:tcPr>
          <w:p w14:paraId="03E84828" w14:textId="77777777" w:rsidR="0022315F" w:rsidRPr="00E07C9A" w:rsidRDefault="0022315F" w:rsidP="00487A02">
            <w:pPr>
              <w:pStyle w:val="InstructionsText"/>
              <w:rPr>
                <w:rStyle w:val="FormatvorlageInstructionsTabelleText"/>
                <w:rFonts w:ascii="Times New Roman" w:hAnsi="Times New Roman"/>
                <w:b/>
                <w:sz w:val="24"/>
                <w:u w:val="single"/>
              </w:rPr>
            </w:pPr>
            <w:r w:rsidRPr="00E07C9A">
              <w:rPr>
                <w:rStyle w:val="InstructionsTabelleberschrift"/>
                <w:rFonts w:ascii="Times New Roman" w:hAnsi="Times New Roman"/>
                <w:sz w:val="24"/>
              </w:rPr>
              <w:t>1.1.1.14.3.</w:t>
            </w:r>
            <w:r w:rsidRPr="00E07C9A">
              <w:tab/>
            </w:r>
            <w:r w:rsidRPr="00E07C9A">
              <w:rPr>
                <w:rStyle w:val="InstructionsTabelleberschrift"/>
                <w:rFonts w:ascii="Times New Roman" w:hAnsi="Times New Roman"/>
                <w:sz w:val="24"/>
              </w:rPr>
              <w:t>Majetok dôchodkového fondu so stanovenými požitkami, ktorý môže inštitúcia neobmedzene využívať</w:t>
            </w:r>
          </w:p>
          <w:p w14:paraId="0124E866" w14:textId="15E3CA2D" w:rsidR="0022315F" w:rsidRPr="00E07C9A" w:rsidRDefault="0022315F"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Článok 4 ods. 1 bod 109</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 xml:space="preserve">článok 41 ods. 1 písm. b) </w:t>
            </w:r>
            <w:r w:rsidR="009912F8" w:rsidRPr="00E07C9A">
              <w:t>nariadenia (EÚ) č. 575/2013</w:t>
            </w:r>
          </w:p>
          <w:p w14:paraId="7FF43790" w14:textId="77777777" w:rsidR="0022315F" w:rsidRPr="00E07C9A" w:rsidRDefault="0022315F"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Táto položka sa vypĺňa, len keď príslušný orgán vopred udelil súhlas na zníženie výšky majetku dôchodkového fondu so stanovenými požitkami, ktorý sa má odpočítať.</w:t>
            </w:r>
          </w:p>
          <w:p w14:paraId="57049D74" w14:textId="5DDBF67A" w:rsidR="0022315F" w:rsidRPr="00E07C9A" w:rsidRDefault="0022315F"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Aktívam</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tomto riadku sa priradí riziková váha pre požiadavky na kreditné riziko.</w:t>
            </w:r>
          </w:p>
        </w:tc>
      </w:tr>
      <w:tr w:rsidR="0022315F" w:rsidRPr="00E07C9A" w14:paraId="5A8DAB05" w14:textId="77777777" w:rsidTr="00D731E3">
        <w:tc>
          <w:tcPr>
            <w:tcW w:w="1129" w:type="dxa"/>
          </w:tcPr>
          <w:p w14:paraId="4EC02B22" w14:textId="77777777" w:rsidR="0022315F" w:rsidRPr="00E07C9A" w:rsidRDefault="00CF1093"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0430</w:t>
            </w:r>
          </w:p>
        </w:tc>
        <w:tc>
          <w:tcPr>
            <w:tcW w:w="7620" w:type="dxa"/>
          </w:tcPr>
          <w:p w14:paraId="3D438BF2" w14:textId="77777777" w:rsidR="0022315F" w:rsidRPr="00E07C9A" w:rsidRDefault="0022315F" w:rsidP="00487A02">
            <w:pPr>
              <w:pStyle w:val="InstructionsText"/>
              <w:rPr>
                <w:rStyle w:val="FormatvorlageInstructionsTabelleText"/>
                <w:rFonts w:ascii="Times New Roman" w:hAnsi="Times New Roman"/>
                <w:b/>
                <w:sz w:val="24"/>
                <w:u w:val="single"/>
              </w:rPr>
            </w:pPr>
            <w:r w:rsidRPr="00E07C9A">
              <w:rPr>
                <w:rStyle w:val="InstructionsTabelleberschrift"/>
                <w:rFonts w:ascii="Times New Roman" w:hAnsi="Times New Roman"/>
                <w:sz w:val="24"/>
              </w:rPr>
              <w:t>1.1.1.15.</w:t>
            </w:r>
            <w:r w:rsidRPr="00E07C9A">
              <w:tab/>
            </w:r>
            <w:r w:rsidRPr="00E07C9A">
              <w:rPr>
                <w:rStyle w:val="InstructionsTabelleberschrift"/>
                <w:rFonts w:ascii="Times New Roman" w:hAnsi="Times New Roman"/>
                <w:sz w:val="24"/>
              </w:rPr>
              <w:t>(–) Recipročné krížové podiely na kapitáli CET1</w:t>
            </w:r>
          </w:p>
          <w:p w14:paraId="635C9F86" w14:textId="65405FDC" w:rsidR="0022315F" w:rsidRPr="00E07C9A" w:rsidRDefault="0022315F"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Článok 4 ods. 1 bod 122, článok 36 ods. 1 písm. g)</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 xml:space="preserve">článok 44 </w:t>
            </w:r>
            <w:r w:rsidRPr="00E07C9A">
              <w:t xml:space="preserve">nariadenia (EÚ) </w:t>
            </w:r>
            <w:r w:rsidR="009912F8" w:rsidRPr="00E07C9A">
              <w:t>č. 575/2013</w:t>
            </w:r>
          </w:p>
          <w:p w14:paraId="7360C4FF" w14:textId="2EF58957" w:rsidR="0022315F" w:rsidRPr="00E07C9A" w:rsidRDefault="0022315F"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Podiely na nástrojoch CET1 subjektov finančného sektora [podľa vymedzenia</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článku 4 ods. 1 bode 27</w:t>
            </w:r>
            <w:r w:rsidRPr="00E07C9A">
              <w:t xml:space="preserve"> nariadenia (EÚ) </w:t>
            </w:r>
            <w:r w:rsidR="009912F8" w:rsidRPr="00E07C9A">
              <w:t>č. 575/2013</w:t>
            </w:r>
            <w:r w:rsidRPr="00E07C9A">
              <w:rPr>
                <w:rStyle w:val="FormatvorlageInstructionsTabelleText"/>
                <w:rFonts w:ascii="Times New Roman" w:hAnsi="Times New Roman"/>
                <w:sz w:val="24"/>
              </w:rPr>
              <w:t>], keď existuje recipročný krížový podiel,</w:t>
            </w:r>
            <w:r w:rsidR="009912F8" w:rsidRPr="00E07C9A">
              <w:rPr>
                <w:rStyle w:val="FormatvorlageInstructionsTabelleText"/>
                <w:rFonts w:ascii="Times New Roman" w:hAnsi="Times New Roman"/>
                <w:sz w:val="24"/>
              </w:rPr>
              <w:t xml:space="preserve"> o </w:t>
            </w:r>
            <w:r w:rsidRPr="00E07C9A">
              <w:rPr>
                <w:rStyle w:val="FormatvorlageInstructionsTabelleText"/>
                <w:rFonts w:ascii="Times New Roman" w:hAnsi="Times New Roman"/>
                <w:sz w:val="24"/>
              </w:rPr>
              <w:t>ktorom sa príslušný orgán domnieva, že má umelo zvyšovať vlastné zdroje inštitúcie.</w:t>
            </w:r>
          </w:p>
          <w:p w14:paraId="62726B5D" w14:textId="584D85C4" w:rsidR="0022315F" w:rsidRPr="00E07C9A" w:rsidRDefault="0022315F"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Vykazovaná hodnota sa vypočíta na základe brutto dlhých pozícií</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zahŕňa poistné položky vlastných zdrojov Tier 1.</w:t>
            </w:r>
          </w:p>
        </w:tc>
      </w:tr>
      <w:tr w:rsidR="0022315F" w:rsidRPr="00E07C9A" w14:paraId="03DEEE24" w14:textId="77777777" w:rsidTr="00D731E3">
        <w:tc>
          <w:tcPr>
            <w:tcW w:w="1129" w:type="dxa"/>
          </w:tcPr>
          <w:p w14:paraId="07E6CFAA" w14:textId="77777777" w:rsidR="0022315F" w:rsidRPr="00E07C9A" w:rsidRDefault="00CF1093"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0440</w:t>
            </w:r>
          </w:p>
        </w:tc>
        <w:tc>
          <w:tcPr>
            <w:tcW w:w="7620" w:type="dxa"/>
          </w:tcPr>
          <w:p w14:paraId="3ACE571B" w14:textId="77777777" w:rsidR="009912F8" w:rsidRPr="00E07C9A" w:rsidRDefault="0022315F"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1.1.1.16.</w:t>
            </w:r>
            <w:r w:rsidRPr="00E07C9A">
              <w:tab/>
            </w:r>
            <w:r w:rsidRPr="00E07C9A">
              <w:rPr>
                <w:rStyle w:val="InstructionsTabelleberschrift"/>
                <w:rFonts w:ascii="Times New Roman" w:hAnsi="Times New Roman"/>
                <w:sz w:val="24"/>
              </w:rPr>
              <w:t>(–) Nadbytok odpočtov od položiek AT1 presahujúci kapitál AT1</w:t>
            </w:r>
          </w:p>
          <w:p w14:paraId="2C188D37" w14:textId="25648343" w:rsidR="0022315F" w:rsidRPr="00E07C9A" w:rsidRDefault="0022315F"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 xml:space="preserve">Článok 36 ods. 1 písm. j) </w:t>
            </w:r>
            <w:r w:rsidRPr="00E07C9A">
              <w:t xml:space="preserve">nariadenia (EÚ) </w:t>
            </w:r>
            <w:r w:rsidR="009912F8" w:rsidRPr="00E07C9A">
              <w:t>č. 575/2013</w:t>
            </w:r>
          </w:p>
          <w:p w14:paraId="44EE4521" w14:textId="23A356A9" w:rsidR="0022315F" w:rsidRPr="00E07C9A" w:rsidRDefault="0022315F"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Hodnota, ktorá sa má vykázať, sa preberie priamo zo vzoru CA1</w:t>
            </w:r>
            <w:r w:rsidR="009912F8" w:rsidRPr="00E07C9A">
              <w:rPr>
                <w:rStyle w:val="FormatvorlageInstructionsTabelleText"/>
                <w:rFonts w:ascii="Times New Roman" w:hAnsi="Times New Roman"/>
                <w:sz w:val="24"/>
              </w:rPr>
              <w:t xml:space="preserve"> z </w:t>
            </w:r>
            <w:r w:rsidRPr="00E07C9A">
              <w:rPr>
                <w:rStyle w:val="FormatvorlageInstructionsTabelleText"/>
                <w:rFonts w:ascii="Times New Roman" w:hAnsi="Times New Roman"/>
                <w:sz w:val="24"/>
              </w:rPr>
              <w:t>položky „nadbytok odpočtov od položiek AT1 presahujúci kapitál AT1“. Hodnota sa musí odpočítať od CET1.</w:t>
            </w:r>
          </w:p>
        </w:tc>
      </w:tr>
      <w:tr w:rsidR="0022315F" w:rsidRPr="00E07C9A" w14:paraId="59E5FC5E" w14:textId="77777777" w:rsidTr="00D731E3">
        <w:tc>
          <w:tcPr>
            <w:tcW w:w="1129" w:type="dxa"/>
          </w:tcPr>
          <w:p w14:paraId="1A6284D1" w14:textId="77777777" w:rsidR="0022315F" w:rsidRPr="00E07C9A" w:rsidRDefault="00CF1093"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0450</w:t>
            </w:r>
          </w:p>
        </w:tc>
        <w:tc>
          <w:tcPr>
            <w:tcW w:w="7620" w:type="dxa"/>
          </w:tcPr>
          <w:p w14:paraId="508E0012" w14:textId="6C440032" w:rsidR="0022315F" w:rsidRPr="00E07C9A" w:rsidRDefault="0022315F" w:rsidP="00487A02">
            <w:pPr>
              <w:pStyle w:val="InstructionsText"/>
              <w:rPr>
                <w:rStyle w:val="FormatvorlageInstructionsTabelleText"/>
                <w:rFonts w:ascii="Times New Roman" w:hAnsi="Times New Roman"/>
                <w:b/>
                <w:sz w:val="24"/>
                <w:u w:val="single"/>
              </w:rPr>
            </w:pPr>
            <w:r w:rsidRPr="00E07C9A">
              <w:rPr>
                <w:rStyle w:val="InstructionsTabelleberschrift"/>
                <w:rFonts w:ascii="Times New Roman" w:hAnsi="Times New Roman"/>
                <w:sz w:val="24"/>
              </w:rPr>
              <w:t>1.1.1.17.</w:t>
            </w:r>
            <w:r w:rsidRPr="00E07C9A">
              <w:tab/>
            </w:r>
            <w:r w:rsidRPr="00E07C9A">
              <w:rPr>
                <w:rStyle w:val="InstructionsTabelleberschrift"/>
                <w:rFonts w:ascii="Times New Roman" w:hAnsi="Times New Roman"/>
                <w:sz w:val="24"/>
              </w:rPr>
              <w:t>(–) Kvalifikované účasti mimo finančného sektora, na ktoré sa alternatívne môže uplatniť riziková váha 1 250</w:t>
            </w:r>
            <w:r w:rsidR="009912F8" w:rsidRPr="00E07C9A">
              <w:rPr>
                <w:rStyle w:val="InstructionsTabelleberschrift"/>
                <w:rFonts w:ascii="Times New Roman" w:hAnsi="Times New Roman"/>
                <w:sz w:val="24"/>
              </w:rPr>
              <w:t> %</w:t>
            </w:r>
          </w:p>
          <w:p w14:paraId="72A58A94" w14:textId="2468B632" w:rsidR="0022315F" w:rsidRPr="00E07C9A" w:rsidRDefault="0022315F"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Článok 4 ods. 1 bod 36, článok 36 ods. 1 písm. k) bodu i)</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 xml:space="preserve">články 89 až 91 </w:t>
            </w:r>
            <w:r w:rsidRPr="00E07C9A">
              <w:t xml:space="preserve">nariadenia (EÚ) </w:t>
            </w:r>
            <w:r w:rsidR="009912F8" w:rsidRPr="00E07C9A">
              <w:t>č. 575/2013</w:t>
            </w:r>
          </w:p>
          <w:p w14:paraId="53C23A03" w14:textId="2FE16247" w:rsidR="0022315F" w:rsidRPr="00E07C9A" w:rsidRDefault="0022315F"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Kvalifikované účasti sa vymedzujú ako „priamy alebo nepriamy podiel</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podniku, ktorý predstavuje aspoň 10</w:t>
            </w:r>
            <w:r w:rsidR="009912F8" w:rsidRPr="00E07C9A">
              <w:t> %</w:t>
            </w:r>
            <w:r w:rsidRPr="00E07C9A">
              <w:rPr>
                <w:rStyle w:val="FormatvorlageInstructionsTabelleText"/>
                <w:rFonts w:ascii="Times New Roman" w:hAnsi="Times New Roman"/>
                <w:sz w:val="24"/>
              </w:rPr>
              <w:t xml:space="preserve"> základného imania alebo hlasovacích práv, alebo ktorý umožňuje vykonávať významný vplyv na riadenie tohto podniku“.</w:t>
            </w:r>
          </w:p>
          <w:p w14:paraId="5D3874CE" w14:textId="24D0D924" w:rsidR="0022315F" w:rsidRPr="00E07C9A" w:rsidRDefault="0022315F"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lastRenderedPageBreak/>
              <w:t>Podľa článku 36 ods. 1 písm. k) bodu i)</w:t>
            </w:r>
            <w:r w:rsidRPr="00E07C9A">
              <w:t xml:space="preserve"> nariadenia (EÚ) </w:t>
            </w:r>
            <w:r w:rsidR="009912F8" w:rsidRPr="00E07C9A">
              <w:t>č. 575/2013</w:t>
            </w:r>
            <w:r w:rsidRPr="00E07C9A">
              <w:t xml:space="preserve"> </w:t>
            </w:r>
            <w:r w:rsidRPr="00E07C9A">
              <w:rPr>
                <w:rStyle w:val="FormatvorlageInstructionsTabelleText"/>
                <w:rFonts w:ascii="Times New Roman" w:hAnsi="Times New Roman"/>
                <w:sz w:val="24"/>
              </w:rPr>
              <w:t>sa kvalifikované účasti môžu alternatívne odpočítať od CET1 (s použitím tejto položky) alebo sa na ne môže uplatniť riziková váha 1 250</w:t>
            </w:r>
            <w:r w:rsidR="009912F8" w:rsidRPr="00E07C9A">
              <w:t> %</w:t>
            </w:r>
            <w:r w:rsidRPr="00E07C9A">
              <w:rPr>
                <w:rStyle w:val="FormatvorlageInstructionsTabelleText"/>
                <w:rFonts w:ascii="Times New Roman" w:hAnsi="Times New Roman"/>
                <w:sz w:val="24"/>
              </w:rPr>
              <w:t>.</w:t>
            </w:r>
          </w:p>
        </w:tc>
      </w:tr>
      <w:tr w:rsidR="0022315F" w:rsidRPr="00E07C9A" w14:paraId="70C6DA96" w14:textId="77777777" w:rsidTr="00D731E3">
        <w:tc>
          <w:tcPr>
            <w:tcW w:w="1129" w:type="dxa"/>
          </w:tcPr>
          <w:p w14:paraId="670F93D0" w14:textId="77777777" w:rsidR="0022315F" w:rsidRPr="00E07C9A" w:rsidRDefault="00CF1093"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lastRenderedPageBreak/>
              <w:t>0460</w:t>
            </w:r>
          </w:p>
        </w:tc>
        <w:tc>
          <w:tcPr>
            <w:tcW w:w="7620" w:type="dxa"/>
          </w:tcPr>
          <w:p w14:paraId="5BA68174" w14:textId="37378054" w:rsidR="0022315F" w:rsidRPr="00E07C9A" w:rsidRDefault="0022315F" w:rsidP="00487A02">
            <w:pPr>
              <w:pStyle w:val="InstructionsText"/>
              <w:rPr>
                <w:rStyle w:val="FormatvorlageInstructionsTabelleText"/>
                <w:rFonts w:ascii="Times New Roman" w:hAnsi="Times New Roman"/>
                <w:b/>
                <w:sz w:val="24"/>
                <w:u w:val="single"/>
              </w:rPr>
            </w:pPr>
            <w:r w:rsidRPr="00E07C9A">
              <w:rPr>
                <w:rStyle w:val="InstructionsTabelleberschrift"/>
                <w:rFonts w:ascii="Times New Roman" w:hAnsi="Times New Roman"/>
                <w:sz w:val="24"/>
              </w:rPr>
              <w:t>1.1.1.18.</w:t>
            </w:r>
            <w:r w:rsidRPr="00E07C9A">
              <w:tab/>
            </w:r>
            <w:r w:rsidRPr="00E07C9A">
              <w:rPr>
                <w:rStyle w:val="InstructionsTabelleberschrift"/>
                <w:rFonts w:ascii="Times New Roman" w:hAnsi="Times New Roman"/>
                <w:sz w:val="24"/>
              </w:rPr>
              <w:t>(–) Sekuritizačné pozície, na ktoré sa alternatívne môže uplatniť riziková váha</w:t>
            </w:r>
            <w:r w:rsidRPr="00E07C9A">
              <w:t xml:space="preserve"> </w:t>
            </w:r>
            <w:r w:rsidRPr="00E07C9A">
              <w:rPr>
                <w:rStyle w:val="InstructionsTabelleberschrift"/>
                <w:rFonts w:ascii="Times New Roman" w:hAnsi="Times New Roman"/>
                <w:sz w:val="24"/>
              </w:rPr>
              <w:t>1 250</w:t>
            </w:r>
            <w:r w:rsidR="009912F8" w:rsidRPr="00E07C9A">
              <w:rPr>
                <w:rStyle w:val="InstructionsTabelleberschrift"/>
                <w:rFonts w:ascii="Times New Roman" w:hAnsi="Times New Roman"/>
                <w:sz w:val="24"/>
              </w:rPr>
              <w:t> %</w:t>
            </w:r>
          </w:p>
          <w:p w14:paraId="53BDD442" w14:textId="22B5CCC1" w:rsidR="009912F8" w:rsidRPr="00E07C9A" w:rsidRDefault="0022315F"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Článok 244 ods. 1 písm. b), článok 245 ods. 1 písm. b)</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 xml:space="preserve">článok 253 ods. 1 </w:t>
            </w:r>
            <w:r w:rsidRPr="00E07C9A">
              <w:t xml:space="preserve">nariadenia (EÚ) </w:t>
            </w:r>
            <w:r w:rsidR="009912F8" w:rsidRPr="00E07C9A">
              <w:t>č. 575/2013</w:t>
            </w:r>
            <w:r w:rsidR="009912F8" w:rsidRPr="00E07C9A">
              <w:rPr>
                <w:rStyle w:val="FormatvorlageInstructionsTabelleText"/>
                <w:rFonts w:ascii="Times New Roman" w:hAnsi="Times New Roman"/>
                <w:sz w:val="24"/>
              </w:rPr>
              <w:t>.</w:t>
            </w:r>
          </w:p>
          <w:p w14:paraId="18AAF006" w14:textId="5803AA2D" w:rsidR="0022315F" w:rsidRPr="00E07C9A" w:rsidRDefault="0022315F" w:rsidP="001D3CE7">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V tejto položke sa vykazujú sekuritizačné pozície, na ktoré sa vzťahuje riziková váha 1 250</w:t>
            </w:r>
            <w:r w:rsidR="009912F8" w:rsidRPr="00E07C9A">
              <w:t> %</w:t>
            </w:r>
            <w:r w:rsidRPr="00E07C9A">
              <w:rPr>
                <w:rStyle w:val="FormatvorlageInstructionsTabelleText"/>
                <w:rFonts w:ascii="Times New Roman" w:hAnsi="Times New Roman"/>
                <w:sz w:val="24"/>
              </w:rPr>
              <w:t>, ale ktoré sa alternatívne môžu odpočítať od CET1</w:t>
            </w:r>
            <w:r w:rsidRPr="00E07C9A">
              <w:t xml:space="preserve"> [článok 36 ods. 1 písm. k) bod ii) nariadenia (EÚ) </w:t>
            </w:r>
            <w:r w:rsidR="009912F8" w:rsidRPr="00E07C9A">
              <w:t>č. 575/2013</w:t>
            </w:r>
            <w:r w:rsidRPr="00E07C9A">
              <w:t>].</w:t>
            </w:r>
          </w:p>
        </w:tc>
      </w:tr>
      <w:tr w:rsidR="0022315F" w:rsidRPr="00E07C9A" w14:paraId="63F31664" w14:textId="77777777" w:rsidTr="00D731E3">
        <w:tc>
          <w:tcPr>
            <w:tcW w:w="1129" w:type="dxa"/>
          </w:tcPr>
          <w:p w14:paraId="17BCA67A" w14:textId="77777777" w:rsidR="0022315F" w:rsidRPr="00E07C9A" w:rsidRDefault="00CF1093"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0470</w:t>
            </w:r>
          </w:p>
        </w:tc>
        <w:tc>
          <w:tcPr>
            <w:tcW w:w="7620" w:type="dxa"/>
          </w:tcPr>
          <w:p w14:paraId="3B4B6512" w14:textId="23E98070" w:rsidR="0022315F" w:rsidRPr="00E07C9A" w:rsidRDefault="0022315F" w:rsidP="00487A02">
            <w:pPr>
              <w:pStyle w:val="InstructionsText"/>
              <w:rPr>
                <w:rStyle w:val="FormatvorlageInstructionsTabelleText"/>
                <w:rFonts w:ascii="Times New Roman" w:hAnsi="Times New Roman"/>
                <w:b/>
                <w:sz w:val="24"/>
                <w:u w:val="single"/>
              </w:rPr>
            </w:pPr>
            <w:r w:rsidRPr="00E07C9A">
              <w:rPr>
                <w:rStyle w:val="InstructionsTabelleberschrift"/>
                <w:rFonts w:ascii="Times New Roman" w:hAnsi="Times New Roman"/>
                <w:sz w:val="24"/>
              </w:rPr>
              <w:t>1.1.1.19.</w:t>
            </w:r>
            <w:r w:rsidRPr="00E07C9A">
              <w:tab/>
            </w:r>
            <w:r w:rsidRPr="00E07C9A">
              <w:rPr>
                <w:rStyle w:val="InstructionsTabelleberschrift"/>
                <w:rFonts w:ascii="Times New Roman" w:hAnsi="Times New Roman"/>
                <w:sz w:val="24"/>
              </w:rPr>
              <w:t>(–) Bezodplatné dodania, na ktoré sa alternatívne môže uplatniť riziková váha</w:t>
            </w:r>
            <w:r w:rsidRPr="00E07C9A">
              <w:t xml:space="preserve"> </w:t>
            </w:r>
            <w:r w:rsidRPr="00E07C9A">
              <w:rPr>
                <w:rStyle w:val="InstructionsTabelleberschrift"/>
                <w:rFonts w:ascii="Times New Roman" w:hAnsi="Times New Roman"/>
                <w:sz w:val="24"/>
              </w:rPr>
              <w:t>1 250</w:t>
            </w:r>
            <w:r w:rsidR="009912F8" w:rsidRPr="00E07C9A">
              <w:rPr>
                <w:rStyle w:val="InstructionsTabelleberschrift"/>
                <w:rFonts w:ascii="Times New Roman" w:hAnsi="Times New Roman"/>
                <w:sz w:val="24"/>
              </w:rPr>
              <w:t> %</w:t>
            </w:r>
          </w:p>
          <w:p w14:paraId="567139B5" w14:textId="7F35F454" w:rsidR="0022315F" w:rsidRPr="00E07C9A" w:rsidRDefault="0022315F"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Článok 36 ods. 1 písm. k) bod iii)</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článok 379 ods. 3</w:t>
            </w:r>
            <w:r w:rsidR="009912F8" w:rsidRPr="00E07C9A">
              <w:t>nariadenia (EÚ) č. 575/2013</w:t>
            </w:r>
          </w:p>
          <w:p w14:paraId="50BFAA3F" w14:textId="04325FD5" w:rsidR="0022315F" w:rsidRPr="00E07C9A" w:rsidRDefault="0022315F" w:rsidP="001D3CE7">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Bezodplatné dodania podliehajú rizikovej váhe 1 250</w:t>
            </w:r>
            <w:r w:rsidR="009912F8" w:rsidRPr="00E07C9A">
              <w:t> %</w:t>
            </w:r>
            <w:r w:rsidRPr="00E07C9A">
              <w:rPr>
                <w:rStyle w:val="FormatvorlageInstructionsTabelleText"/>
                <w:rFonts w:ascii="Times New Roman" w:hAnsi="Times New Roman"/>
                <w:sz w:val="24"/>
              </w:rPr>
              <w:t xml:space="preserve"> po 5 dňoch po druhej zmluvnej platbe alebo časti dodania do ukončenia transakcie podľa požiadaviek na vlastné zdroje pre riziko vyrovnania. Alternatívne ich možno odpočítať od CET1 [článok 36 ods. 1 písm. k) bod iii)</w:t>
            </w:r>
            <w:r w:rsidRPr="00E07C9A">
              <w:t xml:space="preserve"> nariadenia (EÚ) </w:t>
            </w:r>
            <w:r w:rsidR="009912F8" w:rsidRPr="00E07C9A">
              <w:t>č. 575/2013</w:t>
            </w:r>
            <w:r w:rsidRPr="00E07C9A">
              <w:rPr>
                <w:rStyle w:val="FormatvorlageInstructionsTabelleText"/>
                <w:rFonts w:ascii="Times New Roman" w:hAnsi="Times New Roman"/>
                <w:sz w:val="24"/>
              </w:rPr>
              <w:t>].</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druhom spomenutom prípade sa vykazujú</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tejto položke.</w:t>
            </w:r>
          </w:p>
        </w:tc>
      </w:tr>
      <w:tr w:rsidR="0022315F" w:rsidRPr="00E07C9A" w14:paraId="1B3ABFC9" w14:textId="77777777" w:rsidTr="00D731E3">
        <w:tc>
          <w:tcPr>
            <w:tcW w:w="1129" w:type="dxa"/>
          </w:tcPr>
          <w:p w14:paraId="7FAEDC8E" w14:textId="77777777" w:rsidR="0022315F" w:rsidRPr="00E07C9A" w:rsidRDefault="00CF1093"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0471</w:t>
            </w:r>
          </w:p>
        </w:tc>
        <w:tc>
          <w:tcPr>
            <w:tcW w:w="7620" w:type="dxa"/>
          </w:tcPr>
          <w:p w14:paraId="725038CE" w14:textId="0A485018" w:rsidR="0022315F" w:rsidRPr="00E07C9A" w:rsidRDefault="0022315F"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1.1.1.20.</w:t>
            </w:r>
            <w:r w:rsidRPr="00E07C9A">
              <w:tab/>
            </w:r>
            <w:r w:rsidRPr="00E07C9A">
              <w:rPr>
                <w:rStyle w:val="InstructionsTabelleberschrift"/>
                <w:rFonts w:ascii="Times New Roman" w:hAnsi="Times New Roman"/>
                <w:sz w:val="24"/>
              </w:rPr>
              <w:t>(–) Pozície</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koši, pre ktoré inštitúcia nevie stanoviť rizikovú váhu</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rámci prístupu IRB</w:t>
            </w:r>
            <w:r w:rsidR="009912F8" w:rsidRPr="00E07C9A">
              <w:rPr>
                <w:rStyle w:val="InstructionsTabelleberschrift"/>
                <w:rFonts w:ascii="Times New Roman" w:hAnsi="Times New Roman"/>
                <w:sz w:val="24"/>
              </w:rPr>
              <w:t xml:space="preserve"> a </w:t>
            </w:r>
            <w:r w:rsidRPr="00E07C9A">
              <w:rPr>
                <w:rStyle w:val="InstructionsTabelleberschrift"/>
                <w:rFonts w:ascii="Times New Roman" w:hAnsi="Times New Roman"/>
                <w:sz w:val="24"/>
              </w:rPr>
              <w:t>na ktoré sa alternatívne môže uplatniť riziková váha 1 250</w:t>
            </w:r>
            <w:r w:rsidR="009912F8" w:rsidRPr="00E07C9A">
              <w:rPr>
                <w:rStyle w:val="InstructionsTabelleberschrift"/>
                <w:rFonts w:ascii="Times New Roman" w:hAnsi="Times New Roman"/>
                <w:sz w:val="24"/>
              </w:rPr>
              <w:t> %</w:t>
            </w:r>
          </w:p>
          <w:p w14:paraId="0AA0358B" w14:textId="780AAEC5" w:rsidR="0022315F" w:rsidRPr="00E07C9A" w:rsidRDefault="0022315F" w:rsidP="00487A02">
            <w:pPr>
              <w:pStyle w:val="InstructionsText"/>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Článok 36 ods. 1 písm. k) bod iv)</w:t>
            </w:r>
            <w:r w:rsidR="009912F8" w:rsidRPr="00E07C9A">
              <w:rPr>
                <w:rStyle w:val="InstructionsTabelleberschrift"/>
                <w:rFonts w:ascii="Times New Roman" w:hAnsi="Times New Roman"/>
                <w:b w:val="0"/>
                <w:sz w:val="24"/>
                <w:u w:val="none"/>
              </w:rPr>
              <w:t xml:space="preserve"> a </w:t>
            </w:r>
            <w:r w:rsidRPr="00E07C9A">
              <w:rPr>
                <w:rStyle w:val="InstructionsTabelleberschrift"/>
                <w:rFonts w:ascii="Times New Roman" w:hAnsi="Times New Roman"/>
                <w:b w:val="0"/>
                <w:sz w:val="24"/>
                <w:u w:val="none"/>
              </w:rPr>
              <w:t>článok 153 ods. 8</w:t>
            </w:r>
            <w:r w:rsidR="009912F8" w:rsidRPr="00E07C9A">
              <w:t>nariadenia (EÚ) č. 575/2013</w:t>
            </w:r>
          </w:p>
          <w:p w14:paraId="3F32CEF7" w14:textId="3B3F4840" w:rsidR="0022315F" w:rsidRPr="00E07C9A" w:rsidRDefault="0022315F" w:rsidP="00487A02">
            <w:pPr>
              <w:pStyle w:val="InstructionsText"/>
              <w:rPr>
                <w:rStyle w:val="InstructionsTabelleberschrift"/>
                <w:rFonts w:ascii="Times New Roman" w:hAnsi="Times New Roman"/>
                <w:b w:val="0"/>
                <w:sz w:val="24"/>
                <w:u w:val="none"/>
              </w:rPr>
            </w:pPr>
            <w:r w:rsidRPr="00E07C9A">
              <w:rPr>
                <w:rStyle w:val="FormatvorlageInstructionsTabelleText"/>
                <w:rFonts w:ascii="Times New Roman" w:hAnsi="Times New Roman"/>
                <w:sz w:val="24"/>
              </w:rPr>
              <w:t>V súlade</w:t>
            </w:r>
            <w:r w:rsidR="009912F8" w:rsidRPr="00E07C9A">
              <w:t xml:space="preserve"> s </w:t>
            </w:r>
            <w:r w:rsidRPr="00E07C9A">
              <w:rPr>
                <w:rStyle w:val="InstructionsTabelleberschrift"/>
                <w:rFonts w:ascii="Times New Roman" w:hAnsi="Times New Roman"/>
                <w:b w:val="0"/>
                <w:sz w:val="24"/>
                <w:u w:val="none"/>
              </w:rPr>
              <w:t>článkom 36 ods. 1 písm. k) bodom iv)</w:t>
            </w:r>
            <w:r w:rsidRPr="00E07C9A">
              <w:t xml:space="preserve"> nariadenia (EÚ) </w:t>
            </w:r>
            <w:r w:rsidR="009912F8" w:rsidRPr="00E07C9A">
              <w:t>č. 575/2013</w:t>
            </w:r>
            <w:r w:rsidRPr="00E07C9A">
              <w:rPr>
                <w:rStyle w:val="FormatvorlageInstructionsTabelleText"/>
                <w:rFonts w:ascii="Times New Roman" w:hAnsi="Times New Roman"/>
                <w:sz w:val="24"/>
              </w:rPr>
              <w:t xml:space="preserve"> možno</w:t>
            </w:r>
            <w:r w:rsidRPr="00E07C9A">
              <w:t xml:space="preserve"> </w:t>
            </w:r>
            <w:r w:rsidRPr="00E07C9A">
              <w:rPr>
                <w:rStyle w:val="InstructionsTabelleberschrift"/>
                <w:rFonts w:ascii="Times New Roman" w:hAnsi="Times New Roman"/>
                <w:b w:val="0"/>
                <w:sz w:val="24"/>
                <w:u w:val="none"/>
              </w:rPr>
              <w:t>pozície</w:t>
            </w:r>
            <w:r w:rsidR="009912F8" w:rsidRPr="00E07C9A">
              <w:rPr>
                <w:rStyle w:val="InstructionsTabelleberschrift"/>
                <w:rFonts w:ascii="Times New Roman" w:hAnsi="Times New Roman"/>
                <w:b w:val="0"/>
                <w:sz w:val="24"/>
                <w:u w:val="none"/>
              </w:rPr>
              <w:t xml:space="preserve"> v </w:t>
            </w:r>
            <w:r w:rsidRPr="00E07C9A">
              <w:rPr>
                <w:rStyle w:val="InstructionsTabelleberschrift"/>
                <w:rFonts w:ascii="Times New Roman" w:hAnsi="Times New Roman"/>
                <w:b w:val="0"/>
                <w:sz w:val="24"/>
                <w:u w:val="none"/>
              </w:rPr>
              <w:t>koši, pre ktoré inštitúcia nevie stanoviť rizikovú váhu</w:t>
            </w:r>
            <w:r w:rsidR="009912F8" w:rsidRPr="00E07C9A">
              <w:rPr>
                <w:rStyle w:val="InstructionsTabelleberschrift"/>
                <w:rFonts w:ascii="Times New Roman" w:hAnsi="Times New Roman"/>
                <w:b w:val="0"/>
                <w:sz w:val="24"/>
                <w:u w:val="none"/>
              </w:rPr>
              <w:t xml:space="preserve"> v </w:t>
            </w:r>
            <w:r w:rsidRPr="00E07C9A">
              <w:rPr>
                <w:rStyle w:val="InstructionsTabelleberschrift"/>
                <w:rFonts w:ascii="Times New Roman" w:hAnsi="Times New Roman"/>
                <w:b w:val="0"/>
                <w:sz w:val="24"/>
                <w:u w:val="none"/>
              </w:rPr>
              <w:t>rámci prístupu IRB</w:t>
            </w:r>
            <w:r w:rsidRPr="00E07C9A">
              <w:t xml:space="preserve">, </w:t>
            </w:r>
            <w:r w:rsidRPr="00E07C9A">
              <w:rPr>
                <w:rStyle w:val="FormatvorlageInstructionsTabelleText"/>
                <w:rFonts w:ascii="Times New Roman" w:hAnsi="Times New Roman"/>
                <w:sz w:val="24"/>
              </w:rPr>
              <w:t>alternatívne odpočítať od CET1 (s použitím tejto položky) alebo sa na ne môže uplatniť riziková váha 1 250</w:t>
            </w:r>
            <w:r w:rsidR="009912F8" w:rsidRPr="00E07C9A">
              <w:rPr>
                <w:rStyle w:val="FormatvorlageInstructionsTabelleText"/>
                <w:rFonts w:ascii="Times New Roman" w:hAnsi="Times New Roman"/>
                <w:sz w:val="24"/>
              </w:rPr>
              <w:t> %</w:t>
            </w:r>
            <w:r w:rsidRPr="00E07C9A">
              <w:rPr>
                <w:rStyle w:val="FormatvorlageInstructionsTabelleText"/>
                <w:rFonts w:ascii="Times New Roman" w:hAnsi="Times New Roman"/>
                <w:sz w:val="24"/>
              </w:rPr>
              <w:t>.</w:t>
            </w:r>
          </w:p>
        </w:tc>
      </w:tr>
      <w:tr w:rsidR="0022315F" w:rsidRPr="00E07C9A" w14:paraId="66EC04EB" w14:textId="77777777" w:rsidTr="00D731E3">
        <w:tc>
          <w:tcPr>
            <w:tcW w:w="1129" w:type="dxa"/>
          </w:tcPr>
          <w:p w14:paraId="37DC44A2" w14:textId="77777777" w:rsidR="0022315F" w:rsidRPr="00E07C9A" w:rsidRDefault="00CF1093"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0472</w:t>
            </w:r>
          </w:p>
        </w:tc>
        <w:tc>
          <w:tcPr>
            <w:tcW w:w="7620" w:type="dxa"/>
          </w:tcPr>
          <w:p w14:paraId="1841C0B0" w14:textId="469A7901" w:rsidR="0022315F" w:rsidRPr="00E07C9A" w:rsidRDefault="0022315F"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1.1.1.21.</w:t>
            </w:r>
            <w:r w:rsidRPr="00E07C9A">
              <w:tab/>
            </w:r>
            <w:r w:rsidRPr="00E07C9A">
              <w:rPr>
                <w:rStyle w:val="InstructionsTabelleberschrift"/>
                <w:rFonts w:ascii="Times New Roman" w:hAnsi="Times New Roman"/>
                <w:sz w:val="24"/>
              </w:rPr>
              <w:t>(–) Kapitálové expozície</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rámci prístupu interných modelov, na ktoré sa alternatívne môže uplatniť riziková váha</w:t>
            </w:r>
            <w:r w:rsidRPr="00E07C9A">
              <w:t xml:space="preserve"> </w:t>
            </w:r>
            <w:r w:rsidRPr="00E07C9A">
              <w:rPr>
                <w:rStyle w:val="InstructionsTabelleberschrift"/>
                <w:rFonts w:ascii="Times New Roman" w:hAnsi="Times New Roman"/>
                <w:sz w:val="24"/>
              </w:rPr>
              <w:t>1 250</w:t>
            </w:r>
            <w:r w:rsidR="009912F8" w:rsidRPr="00E07C9A">
              <w:rPr>
                <w:rStyle w:val="InstructionsTabelleberschrift"/>
                <w:rFonts w:ascii="Times New Roman" w:hAnsi="Times New Roman"/>
                <w:sz w:val="24"/>
              </w:rPr>
              <w:t> %</w:t>
            </w:r>
          </w:p>
          <w:p w14:paraId="2D89DE81" w14:textId="3D36691F" w:rsidR="0022315F" w:rsidRPr="00E07C9A" w:rsidRDefault="00634EC4" w:rsidP="00487A02">
            <w:pPr>
              <w:pStyle w:val="InstructionsText"/>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Článok 36 ods. 1 písm. k) bod v)</w:t>
            </w:r>
            <w:r w:rsidR="009912F8" w:rsidRPr="00E07C9A">
              <w:rPr>
                <w:rStyle w:val="InstructionsTabelleberschrift"/>
                <w:rFonts w:ascii="Times New Roman" w:hAnsi="Times New Roman"/>
                <w:b w:val="0"/>
                <w:sz w:val="24"/>
                <w:u w:val="none"/>
              </w:rPr>
              <w:t xml:space="preserve"> a </w:t>
            </w:r>
            <w:r w:rsidRPr="00E07C9A">
              <w:rPr>
                <w:rStyle w:val="InstructionsTabelleberschrift"/>
                <w:rFonts w:ascii="Times New Roman" w:hAnsi="Times New Roman"/>
                <w:b w:val="0"/>
                <w:sz w:val="24"/>
                <w:u w:val="none"/>
              </w:rPr>
              <w:t>článok 155 ods. 4</w:t>
            </w:r>
            <w:r w:rsidR="009912F8" w:rsidRPr="00E07C9A">
              <w:t>nariadenia (EÚ) č. 575/2013</w:t>
            </w:r>
          </w:p>
          <w:p w14:paraId="1D29C80B" w14:textId="1A38B9FE" w:rsidR="0022315F" w:rsidRPr="00E07C9A" w:rsidRDefault="0022315F" w:rsidP="00CE5754">
            <w:pPr>
              <w:pStyle w:val="InstructionsText"/>
              <w:rPr>
                <w:rStyle w:val="InstructionsTabelleberschrift"/>
                <w:rFonts w:ascii="Times New Roman" w:hAnsi="Times New Roman"/>
                <w:b w:val="0"/>
                <w:sz w:val="24"/>
                <w:u w:val="none"/>
              </w:rPr>
            </w:pPr>
            <w:r w:rsidRPr="00E07C9A">
              <w:rPr>
                <w:rStyle w:val="FormatvorlageInstructionsTabelleText"/>
                <w:rFonts w:ascii="Times New Roman" w:hAnsi="Times New Roman"/>
                <w:sz w:val="24"/>
              </w:rPr>
              <w:t xml:space="preserve">Podľa článku 36 ods. 1 písm. k) bodu v) </w:t>
            </w:r>
            <w:r w:rsidRPr="00E07C9A">
              <w:t xml:space="preserve">nariadenia (EÚ) </w:t>
            </w:r>
            <w:r w:rsidR="009912F8" w:rsidRPr="00E07C9A">
              <w:t>č. 575/2013</w:t>
            </w:r>
            <w:r w:rsidRPr="00E07C9A">
              <w:rPr>
                <w:rStyle w:val="FormatvorlageInstructionsTabelleText"/>
                <w:rFonts w:ascii="Times New Roman" w:hAnsi="Times New Roman"/>
                <w:sz w:val="24"/>
              </w:rPr>
              <w:t xml:space="preserve"> </w:t>
            </w:r>
            <w:r w:rsidRPr="00E07C9A">
              <w:rPr>
                <w:rStyle w:val="InstructionsTabelleberschrift"/>
                <w:rFonts w:ascii="Times New Roman" w:hAnsi="Times New Roman"/>
                <w:b w:val="0"/>
                <w:sz w:val="24"/>
                <w:u w:val="none"/>
              </w:rPr>
              <w:t>sa kapitálové expozície</w:t>
            </w:r>
            <w:r w:rsidR="009912F8" w:rsidRPr="00E07C9A">
              <w:rPr>
                <w:rStyle w:val="InstructionsTabelleberschrift"/>
                <w:rFonts w:ascii="Times New Roman" w:hAnsi="Times New Roman"/>
                <w:b w:val="0"/>
                <w:sz w:val="24"/>
                <w:u w:val="none"/>
              </w:rPr>
              <w:t xml:space="preserve"> v </w:t>
            </w:r>
            <w:r w:rsidRPr="00E07C9A">
              <w:rPr>
                <w:rStyle w:val="InstructionsTabelleberschrift"/>
                <w:rFonts w:ascii="Times New Roman" w:hAnsi="Times New Roman"/>
                <w:b w:val="0"/>
                <w:sz w:val="24"/>
                <w:u w:val="none"/>
              </w:rPr>
              <w:t>rámci prístupu interných modelov</w:t>
            </w:r>
            <w:r w:rsidRPr="00E07C9A">
              <w:rPr>
                <w:rStyle w:val="FormatvorlageInstructionsTabelleText"/>
                <w:rFonts w:ascii="Times New Roman" w:hAnsi="Times New Roman"/>
                <w:sz w:val="24"/>
              </w:rPr>
              <w:t xml:space="preserve"> môžu alternatívne odpočítať od CET1 (s použitím tejto položky) alebo sa na ne môže uplatniť riziková váha 1 250</w:t>
            </w:r>
            <w:r w:rsidR="009912F8" w:rsidRPr="00E07C9A">
              <w:t> %</w:t>
            </w:r>
            <w:r w:rsidRPr="00E07C9A">
              <w:rPr>
                <w:rStyle w:val="FormatvorlageInstructionsTabelleText"/>
                <w:rFonts w:ascii="Times New Roman" w:hAnsi="Times New Roman"/>
                <w:sz w:val="24"/>
              </w:rPr>
              <w:t>.</w:t>
            </w:r>
          </w:p>
        </w:tc>
      </w:tr>
      <w:tr w:rsidR="0022315F" w:rsidRPr="00E07C9A" w14:paraId="47A9042B" w14:textId="77777777" w:rsidTr="00D731E3">
        <w:tc>
          <w:tcPr>
            <w:tcW w:w="1129" w:type="dxa"/>
          </w:tcPr>
          <w:p w14:paraId="07858AAF" w14:textId="77777777" w:rsidR="0022315F" w:rsidRPr="00E07C9A" w:rsidRDefault="00CF1093"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0480</w:t>
            </w:r>
          </w:p>
        </w:tc>
        <w:tc>
          <w:tcPr>
            <w:tcW w:w="7620" w:type="dxa"/>
          </w:tcPr>
          <w:p w14:paraId="292610DA" w14:textId="7A4EA66B" w:rsidR="0022315F" w:rsidRPr="00E07C9A" w:rsidRDefault="0022315F" w:rsidP="00487A02">
            <w:pPr>
              <w:pStyle w:val="InstructionsText"/>
              <w:rPr>
                <w:rStyle w:val="FormatvorlageInstructionsTabelleText"/>
                <w:rFonts w:ascii="Times New Roman" w:hAnsi="Times New Roman"/>
                <w:b/>
                <w:sz w:val="24"/>
                <w:u w:val="single"/>
              </w:rPr>
            </w:pPr>
            <w:r w:rsidRPr="00E07C9A">
              <w:rPr>
                <w:rStyle w:val="InstructionsTabelleberschrift"/>
                <w:rFonts w:ascii="Times New Roman" w:hAnsi="Times New Roman"/>
                <w:sz w:val="24"/>
              </w:rPr>
              <w:t>1.1.1.22.</w:t>
            </w:r>
            <w:r w:rsidRPr="00E07C9A">
              <w:tab/>
            </w:r>
            <w:r w:rsidRPr="00E07C9A">
              <w:rPr>
                <w:rStyle w:val="InstructionsTabelleberschrift"/>
                <w:rFonts w:ascii="Times New Roman" w:hAnsi="Times New Roman"/>
                <w:sz w:val="24"/>
              </w:rPr>
              <w:t>(–) Nástroje CET1 subjektov finančného sektora,</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ktorých inštitúcia nemá významnú investíciu</w:t>
            </w:r>
          </w:p>
          <w:p w14:paraId="3461344B" w14:textId="05A498AA" w:rsidR="0022315F" w:rsidRPr="00E07C9A" w:rsidRDefault="0022315F"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Článok 4 ods. 1 bod 27, článok 36 ods. 1 písm. h), články 43 až 46, článok 49 ods. 2</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3</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 xml:space="preserve">článok 79 </w:t>
            </w:r>
            <w:r w:rsidRPr="00E07C9A">
              <w:t xml:space="preserve">nariadenia (EÚ) </w:t>
            </w:r>
            <w:r w:rsidR="009912F8" w:rsidRPr="00E07C9A">
              <w:t>č. 575/2013</w:t>
            </w:r>
          </w:p>
          <w:p w14:paraId="101FE476" w14:textId="7D8E3B09" w:rsidR="0022315F" w:rsidRPr="00E07C9A" w:rsidRDefault="0022315F"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lastRenderedPageBreak/>
              <w:t>Časť podielov inštitúcie na nástrojoch subjektov finančného sektora [podľa vymedzenia</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 xml:space="preserve">článku 4 ods. 1 bode 27 </w:t>
            </w:r>
            <w:r w:rsidRPr="00E07C9A">
              <w:t xml:space="preserve">nariadenia (EÚ) </w:t>
            </w:r>
            <w:r w:rsidR="009912F8" w:rsidRPr="00E07C9A">
              <w:t>č. 575/2013</w:t>
            </w:r>
            <w:r w:rsidRPr="00E07C9A">
              <w:rPr>
                <w:rStyle w:val="FormatvorlageInstructionsTabelleText"/>
                <w:rFonts w:ascii="Times New Roman" w:hAnsi="Times New Roman"/>
                <w:sz w:val="24"/>
              </w:rPr>
              <w:t>], keď inštitúcia nemá významnú investíciu, ktorá sa musí odpočítať od CET1.</w:t>
            </w:r>
          </w:p>
          <w:p w14:paraId="328C33B9" w14:textId="040DD9B8" w:rsidR="0022315F" w:rsidRPr="00E07C9A" w:rsidRDefault="0022315F" w:rsidP="00634EC4">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Pozri alternatívy</w:t>
            </w:r>
            <w:r w:rsidR="009912F8" w:rsidRPr="00E07C9A">
              <w:rPr>
                <w:rStyle w:val="FormatvorlageInstructionsTabelleText"/>
                <w:rFonts w:ascii="Times New Roman" w:hAnsi="Times New Roman"/>
                <w:sz w:val="24"/>
              </w:rPr>
              <w:t xml:space="preserve"> k </w:t>
            </w:r>
            <w:r w:rsidRPr="00E07C9A">
              <w:rPr>
                <w:rStyle w:val="FormatvorlageInstructionsTabelleText"/>
                <w:rFonts w:ascii="Times New Roman" w:hAnsi="Times New Roman"/>
                <w:sz w:val="24"/>
              </w:rPr>
              <w:t>odpočítaniu, keď sa uplatňuje konsolidácia (článok 49 ods. 2</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3).</w:t>
            </w:r>
          </w:p>
        </w:tc>
      </w:tr>
      <w:tr w:rsidR="0022315F" w:rsidRPr="00E07C9A" w14:paraId="0F8D9170" w14:textId="77777777" w:rsidTr="00D731E3">
        <w:tc>
          <w:tcPr>
            <w:tcW w:w="1129" w:type="dxa"/>
          </w:tcPr>
          <w:p w14:paraId="3A11B5CC" w14:textId="77777777" w:rsidR="0022315F" w:rsidRPr="00E07C9A" w:rsidRDefault="00CF1093"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lastRenderedPageBreak/>
              <w:t>0490</w:t>
            </w:r>
          </w:p>
        </w:tc>
        <w:tc>
          <w:tcPr>
            <w:tcW w:w="7620" w:type="dxa"/>
          </w:tcPr>
          <w:p w14:paraId="54781439" w14:textId="420D8C24" w:rsidR="0022315F" w:rsidRPr="00E07C9A" w:rsidRDefault="0022315F" w:rsidP="00487A02">
            <w:pPr>
              <w:pStyle w:val="InstructionsText"/>
              <w:rPr>
                <w:rStyle w:val="FormatvorlageInstructionsTabelleText"/>
                <w:rFonts w:ascii="Times New Roman" w:hAnsi="Times New Roman"/>
                <w:b/>
                <w:sz w:val="24"/>
                <w:u w:val="single"/>
              </w:rPr>
            </w:pPr>
            <w:r w:rsidRPr="00E07C9A">
              <w:rPr>
                <w:rStyle w:val="InstructionsTabelleberschrift"/>
                <w:rFonts w:ascii="Times New Roman" w:hAnsi="Times New Roman"/>
                <w:sz w:val="24"/>
              </w:rPr>
              <w:t>1.1.1.23.</w:t>
            </w:r>
            <w:r w:rsidRPr="00E07C9A">
              <w:tab/>
            </w:r>
            <w:r w:rsidRPr="00E07C9A">
              <w:rPr>
                <w:rStyle w:val="InstructionsTabelleberschrift"/>
                <w:rFonts w:ascii="Times New Roman" w:hAnsi="Times New Roman"/>
                <w:sz w:val="24"/>
              </w:rPr>
              <w:t>(–) Odpočítateľné odložené daňové pohľadávky, ktoré závisia od budúcej ziskovosti</w:t>
            </w:r>
            <w:r w:rsidR="009912F8" w:rsidRPr="00E07C9A">
              <w:rPr>
                <w:rStyle w:val="InstructionsTabelleberschrift"/>
                <w:rFonts w:ascii="Times New Roman" w:hAnsi="Times New Roman"/>
                <w:sz w:val="24"/>
              </w:rPr>
              <w:t xml:space="preserve"> a </w:t>
            </w:r>
            <w:r w:rsidRPr="00E07C9A">
              <w:rPr>
                <w:rStyle w:val="InstructionsTabelleberschrift"/>
                <w:rFonts w:ascii="Times New Roman" w:hAnsi="Times New Roman"/>
                <w:sz w:val="24"/>
              </w:rPr>
              <w:t>vyplývajú</w:t>
            </w:r>
            <w:r w:rsidR="009912F8" w:rsidRPr="00E07C9A">
              <w:rPr>
                <w:rStyle w:val="InstructionsTabelleberschrift"/>
                <w:rFonts w:ascii="Times New Roman" w:hAnsi="Times New Roman"/>
                <w:sz w:val="24"/>
              </w:rPr>
              <w:t xml:space="preserve"> z </w:t>
            </w:r>
            <w:r w:rsidRPr="00E07C9A">
              <w:rPr>
                <w:rStyle w:val="InstructionsTabelleberschrift"/>
                <w:rFonts w:ascii="Times New Roman" w:hAnsi="Times New Roman"/>
                <w:sz w:val="24"/>
              </w:rPr>
              <w:t>dočasných rozdielov</w:t>
            </w:r>
          </w:p>
          <w:p w14:paraId="1DACA2A1" w14:textId="28C43E5D" w:rsidR="0022315F" w:rsidRPr="00E07C9A" w:rsidRDefault="0022315F"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Článok 36 ods. 1 písm. c), článok 38</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 xml:space="preserve">článok 48 ods. 1 písm. a) </w:t>
            </w:r>
            <w:r w:rsidRPr="00E07C9A">
              <w:t xml:space="preserve">nariadenia (EÚ) </w:t>
            </w:r>
            <w:r w:rsidR="009912F8" w:rsidRPr="00E07C9A">
              <w:t>č. 575/2013</w:t>
            </w:r>
          </w:p>
          <w:p w14:paraId="02E7BEC1" w14:textId="13542184" w:rsidR="0022315F" w:rsidRPr="00E07C9A" w:rsidRDefault="0022315F" w:rsidP="00634EC4">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Časť odložených daňových pohľadávok, ktoré závisia od budúcej ziskovosti</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vyplývajú</w:t>
            </w:r>
            <w:r w:rsidR="009912F8" w:rsidRPr="00E07C9A">
              <w:rPr>
                <w:rStyle w:val="FormatvorlageInstructionsTabelleText"/>
                <w:rFonts w:ascii="Times New Roman" w:hAnsi="Times New Roman"/>
                <w:sz w:val="24"/>
              </w:rPr>
              <w:t xml:space="preserve"> z </w:t>
            </w:r>
            <w:r w:rsidRPr="00E07C9A">
              <w:rPr>
                <w:rStyle w:val="FormatvorlageInstructionsTabelleText"/>
                <w:rFonts w:ascii="Times New Roman" w:hAnsi="Times New Roman"/>
                <w:sz w:val="24"/>
              </w:rPr>
              <w:t>dočasných rozdielov (čistá hodnota časti súvisiacich odložených daňových záväzkov pridelenej na odložené daňové pohľadávky, ktoré vyplývajú</w:t>
            </w:r>
            <w:r w:rsidR="009912F8" w:rsidRPr="00E07C9A">
              <w:rPr>
                <w:rStyle w:val="FormatvorlageInstructionsTabelleText"/>
                <w:rFonts w:ascii="Times New Roman" w:hAnsi="Times New Roman"/>
                <w:sz w:val="24"/>
              </w:rPr>
              <w:t xml:space="preserve"> z </w:t>
            </w:r>
            <w:r w:rsidRPr="00E07C9A">
              <w:rPr>
                <w:rStyle w:val="FormatvorlageInstructionsTabelleText"/>
                <w:rFonts w:ascii="Times New Roman" w:hAnsi="Times New Roman"/>
                <w:sz w:val="24"/>
              </w:rPr>
              <w:t>dočasných rozdielov), ktorá sa má podľa článku 38 ods. 5 písm. b)</w:t>
            </w:r>
            <w:r w:rsidRPr="00E07C9A">
              <w:t xml:space="preserve"> nariadenia (EÚ) </w:t>
            </w:r>
            <w:r w:rsidR="009912F8" w:rsidRPr="00E07C9A">
              <w:t>č. 575/2013</w:t>
            </w:r>
            <w:r w:rsidRPr="00E07C9A">
              <w:t xml:space="preserve"> </w:t>
            </w:r>
            <w:r w:rsidRPr="00E07C9A">
              <w:rPr>
                <w:rStyle w:val="FormatvorlageInstructionsTabelleText"/>
                <w:rFonts w:ascii="Times New Roman" w:hAnsi="Times New Roman"/>
                <w:sz w:val="24"/>
              </w:rPr>
              <w:t>odpočítať, pričom sa uplatňuje prahová hodnota</w:t>
            </w:r>
            <w:r w:rsidRPr="00E07C9A">
              <w:t xml:space="preserve"> </w:t>
            </w:r>
            <w:r w:rsidRPr="00E07C9A">
              <w:rPr>
                <w:rStyle w:val="FormatvorlageInstructionsTabelleText"/>
                <w:rFonts w:ascii="Times New Roman" w:hAnsi="Times New Roman"/>
                <w:sz w:val="24"/>
              </w:rPr>
              <w:t>10</w:t>
            </w:r>
            <w:r w:rsidR="009912F8" w:rsidRPr="00E07C9A">
              <w:rPr>
                <w:rStyle w:val="FormatvorlageInstructionsTabelleText"/>
                <w:rFonts w:ascii="Times New Roman" w:hAnsi="Times New Roman"/>
                <w:sz w:val="24"/>
              </w:rPr>
              <w:t> %</w:t>
            </w:r>
            <w:r w:rsidRPr="00E07C9A">
              <w:rPr>
                <w:rStyle w:val="FormatvorlageInstructionsTabelleText"/>
                <w:rFonts w:ascii="Times New Roman" w:hAnsi="Times New Roman"/>
                <w:sz w:val="24"/>
              </w:rPr>
              <w:t xml:space="preserve"> uvedená</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článku 48 ods. 1 písm. a)</w:t>
            </w:r>
            <w:r w:rsidRPr="00E07C9A">
              <w:t xml:space="preserve"> uvedeného nariadenia</w:t>
            </w:r>
            <w:r w:rsidRPr="00E07C9A">
              <w:rPr>
                <w:rStyle w:val="FormatvorlageInstructionsTabelleText"/>
                <w:rFonts w:ascii="Times New Roman" w:hAnsi="Times New Roman"/>
                <w:sz w:val="24"/>
              </w:rPr>
              <w:t>.</w:t>
            </w:r>
          </w:p>
        </w:tc>
      </w:tr>
      <w:tr w:rsidR="0022315F" w:rsidRPr="00E07C9A" w14:paraId="40BA40BA" w14:textId="77777777" w:rsidTr="00D731E3">
        <w:tc>
          <w:tcPr>
            <w:tcW w:w="1129" w:type="dxa"/>
          </w:tcPr>
          <w:p w14:paraId="45112651" w14:textId="77777777" w:rsidR="0022315F" w:rsidRPr="00E07C9A" w:rsidRDefault="00CF1093"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0500</w:t>
            </w:r>
          </w:p>
        </w:tc>
        <w:tc>
          <w:tcPr>
            <w:tcW w:w="7620" w:type="dxa"/>
          </w:tcPr>
          <w:p w14:paraId="3DF7DDD9" w14:textId="7050F4CC" w:rsidR="0022315F" w:rsidRPr="00E07C9A" w:rsidRDefault="0022315F" w:rsidP="00487A02">
            <w:pPr>
              <w:pStyle w:val="InstructionsText"/>
              <w:rPr>
                <w:rStyle w:val="FormatvorlageInstructionsTabelleText"/>
                <w:rFonts w:ascii="Times New Roman" w:hAnsi="Times New Roman"/>
                <w:b/>
                <w:sz w:val="24"/>
                <w:u w:val="single"/>
              </w:rPr>
            </w:pPr>
            <w:r w:rsidRPr="00E07C9A">
              <w:rPr>
                <w:rStyle w:val="InstructionsTabelleberschrift"/>
                <w:rFonts w:ascii="Times New Roman" w:hAnsi="Times New Roman"/>
                <w:sz w:val="24"/>
              </w:rPr>
              <w:t>1.1.1.24.</w:t>
            </w:r>
            <w:r w:rsidRPr="00E07C9A">
              <w:tab/>
            </w:r>
            <w:r w:rsidRPr="00E07C9A">
              <w:rPr>
                <w:rStyle w:val="InstructionsTabelleberschrift"/>
                <w:rFonts w:ascii="Times New Roman" w:hAnsi="Times New Roman"/>
                <w:sz w:val="24"/>
              </w:rPr>
              <w:t>(–) Nástroje CET1 subjektov finančného sektora,</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ktorých inštitúcia má významnú investíciu</w:t>
            </w:r>
          </w:p>
          <w:p w14:paraId="6906A14D" w14:textId="31FE3578" w:rsidR="0022315F" w:rsidRPr="00E07C9A" w:rsidRDefault="0022315F"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 xml:space="preserve"> Článok 4 ods. 1 bod 27, článok 36 ods. 1 písm. i), články 43, 45, 47, článok 48 ods. 2 písm. b), článok 49 ods. 1, 2</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3</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 xml:space="preserve">článok 79 </w:t>
            </w:r>
            <w:r w:rsidR="009912F8" w:rsidRPr="00E07C9A">
              <w:t>nariadenia (EÚ) č. 575/2013</w:t>
            </w:r>
          </w:p>
          <w:p w14:paraId="3E66EE26" w14:textId="7F20AF17" w:rsidR="0022315F" w:rsidRPr="00E07C9A" w:rsidRDefault="0022315F"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Časť podielov inštitúcie na nástrojoch CET1 subjektov finančného sektora [podľa vymedzenia</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článku 4 ods. 1 bode 27</w:t>
            </w:r>
            <w:r w:rsidRPr="00E07C9A">
              <w:t xml:space="preserve"> nariadenia (EÚ) </w:t>
            </w:r>
            <w:r w:rsidR="009912F8" w:rsidRPr="00E07C9A">
              <w:t>č. 575/2013</w:t>
            </w:r>
            <w:r w:rsidRPr="00E07C9A">
              <w:rPr>
                <w:rStyle w:val="FormatvorlageInstructionsTabelleText"/>
                <w:rFonts w:ascii="Times New Roman" w:hAnsi="Times New Roman"/>
                <w:sz w:val="24"/>
              </w:rPr>
              <w:t>], keď inštitúcia má významnú investíciu, ktorá sa musí odpočítať, pričom sa uplatní prahová hodnota 10</w:t>
            </w:r>
            <w:r w:rsidR="009912F8" w:rsidRPr="00E07C9A">
              <w:t> %</w:t>
            </w:r>
            <w:r w:rsidRPr="00E07C9A">
              <w:rPr>
                <w:rStyle w:val="FormatvorlageInstructionsTabelleText"/>
                <w:rFonts w:ascii="Times New Roman" w:hAnsi="Times New Roman"/>
                <w:sz w:val="24"/>
              </w:rPr>
              <w:t xml:space="preserve"> uvedená</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článku 48 ods. 1 písm. b)</w:t>
            </w:r>
            <w:r w:rsidRPr="00E07C9A">
              <w:t xml:space="preserve"> uvedeného nariadenia</w:t>
            </w:r>
            <w:r w:rsidRPr="00E07C9A">
              <w:rPr>
                <w:rStyle w:val="FormatvorlageInstructionsTabelleText"/>
                <w:rFonts w:ascii="Times New Roman" w:hAnsi="Times New Roman"/>
                <w:sz w:val="24"/>
              </w:rPr>
              <w:t>.</w:t>
            </w:r>
          </w:p>
          <w:p w14:paraId="0DCB0638" w14:textId="64CCF488" w:rsidR="0022315F" w:rsidRPr="00E07C9A" w:rsidRDefault="0022315F" w:rsidP="00634EC4">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Pozri alternatívy</w:t>
            </w:r>
            <w:r w:rsidR="009912F8" w:rsidRPr="00E07C9A">
              <w:rPr>
                <w:rStyle w:val="FormatvorlageInstructionsTabelleText"/>
                <w:rFonts w:ascii="Times New Roman" w:hAnsi="Times New Roman"/>
                <w:sz w:val="24"/>
              </w:rPr>
              <w:t xml:space="preserve"> k </w:t>
            </w:r>
            <w:r w:rsidRPr="00E07C9A">
              <w:rPr>
                <w:rStyle w:val="FormatvorlageInstructionsTabelleText"/>
                <w:rFonts w:ascii="Times New Roman" w:hAnsi="Times New Roman"/>
                <w:sz w:val="24"/>
              </w:rPr>
              <w:t>odpočítaniu, keď sa uplatňuje konsolidácia [článok 49 ods. 1, 2</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3</w:t>
            </w:r>
            <w:r w:rsidRPr="00E07C9A">
              <w:t xml:space="preserve"> nariadenia (EÚ) </w:t>
            </w:r>
            <w:r w:rsidR="009912F8" w:rsidRPr="00E07C9A">
              <w:t>č. 575/2013</w:t>
            </w:r>
            <w:r w:rsidRPr="00E07C9A">
              <w:rPr>
                <w:rStyle w:val="FormatvorlageInstructionsTabelleText"/>
                <w:rFonts w:ascii="Times New Roman" w:hAnsi="Times New Roman"/>
                <w:sz w:val="24"/>
              </w:rPr>
              <w:t>].</w:t>
            </w:r>
          </w:p>
        </w:tc>
      </w:tr>
      <w:tr w:rsidR="0022315F" w:rsidRPr="00E07C9A" w14:paraId="20A70AC8" w14:textId="77777777" w:rsidTr="00D731E3">
        <w:tc>
          <w:tcPr>
            <w:tcW w:w="1129" w:type="dxa"/>
          </w:tcPr>
          <w:p w14:paraId="4451E3C1" w14:textId="77777777" w:rsidR="0022315F" w:rsidRPr="00E07C9A" w:rsidRDefault="00CF1093"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0510</w:t>
            </w:r>
          </w:p>
        </w:tc>
        <w:tc>
          <w:tcPr>
            <w:tcW w:w="7620" w:type="dxa"/>
          </w:tcPr>
          <w:p w14:paraId="149B4832" w14:textId="52F116AB" w:rsidR="0022315F" w:rsidRPr="00E07C9A" w:rsidRDefault="0022315F" w:rsidP="00487A02">
            <w:pPr>
              <w:pStyle w:val="InstructionsText"/>
              <w:rPr>
                <w:rStyle w:val="FormatvorlageInstructionsTabelleText"/>
                <w:rFonts w:ascii="Times New Roman" w:hAnsi="Times New Roman"/>
                <w:b/>
                <w:sz w:val="24"/>
                <w:u w:val="single"/>
              </w:rPr>
            </w:pPr>
            <w:r w:rsidRPr="00E07C9A">
              <w:rPr>
                <w:rStyle w:val="InstructionsTabelleberschrift"/>
                <w:rFonts w:ascii="Times New Roman" w:hAnsi="Times New Roman"/>
                <w:sz w:val="24"/>
              </w:rPr>
              <w:t>1.1.1.25.</w:t>
            </w:r>
            <w:r w:rsidRPr="00E07C9A">
              <w:tab/>
            </w:r>
            <w:r w:rsidRPr="00E07C9A">
              <w:rPr>
                <w:rStyle w:val="InstructionsTabelleberschrift"/>
                <w:rFonts w:ascii="Times New Roman" w:hAnsi="Times New Roman"/>
                <w:sz w:val="24"/>
              </w:rPr>
              <w:t>(–) Hodnota, ktorá presahuje prahovú hodnotu 17,65</w:t>
            </w:r>
            <w:r w:rsidR="009912F8" w:rsidRPr="00E07C9A">
              <w:rPr>
                <w:rStyle w:val="InstructionsTabelleberschrift"/>
                <w:rFonts w:ascii="Times New Roman" w:hAnsi="Times New Roman"/>
                <w:sz w:val="24"/>
              </w:rPr>
              <w:t> %</w:t>
            </w:r>
          </w:p>
          <w:p w14:paraId="242D5AEA" w14:textId="66E8DAD3" w:rsidR="0022315F" w:rsidRPr="00E07C9A" w:rsidRDefault="0022315F"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 xml:space="preserve">Článok 48 ods. 2 </w:t>
            </w:r>
            <w:r w:rsidRPr="00E07C9A">
              <w:t xml:space="preserve">nariadenia (EÚ) </w:t>
            </w:r>
            <w:r w:rsidR="009912F8" w:rsidRPr="00E07C9A">
              <w:t>č. 575/2013</w:t>
            </w:r>
          </w:p>
          <w:p w14:paraId="7B05980C" w14:textId="7046D0A8" w:rsidR="0022315F" w:rsidRPr="00E07C9A" w:rsidRDefault="0022315F" w:rsidP="00566DB5">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Časť odložených daňových pohľadávok, ktoré závisia od budúcej ziskovosti</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vyplývajú</w:t>
            </w:r>
            <w:r w:rsidR="009912F8" w:rsidRPr="00E07C9A">
              <w:rPr>
                <w:rStyle w:val="FormatvorlageInstructionsTabelleText"/>
                <w:rFonts w:ascii="Times New Roman" w:hAnsi="Times New Roman"/>
                <w:sz w:val="24"/>
              </w:rPr>
              <w:t xml:space="preserve"> z </w:t>
            </w:r>
            <w:r w:rsidRPr="00E07C9A">
              <w:rPr>
                <w:rStyle w:val="FormatvorlageInstructionsTabelleText"/>
                <w:rFonts w:ascii="Times New Roman" w:hAnsi="Times New Roman"/>
                <w:sz w:val="24"/>
              </w:rPr>
              <w:t>dočasných rozdielov,</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priame, nepriame</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syntetické podiely inštitúcie na nástrojoch CET1 subjektov finančného sektora [podľa vymedzenia</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článku 4 ods. 1 bode 27</w:t>
            </w:r>
            <w:r w:rsidRPr="00E07C9A">
              <w:t xml:space="preserve"> nariadenia (EÚ) </w:t>
            </w:r>
            <w:r w:rsidR="009912F8" w:rsidRPr="00E07C9A">
              <w:t>č. 575/2013</w:t>
            </w:r>
            <w:r w:rsidRPr="00E07C9A">
              <w:rPr>
                <w:rStyle w:val="FormatvorlageInstructionsTabelleText"/>
                <w:rFonts w:ascii="Times New Roman" w:hAnsi="Times New Roman"/>
                <w:sz w:val="24"/>
              </w:rPr>
              <w:t>], keď inštitúcia má významnú investíciu, ktorá sa musí odpočítať, pričom sa uplatňuje prahová hodnota 17,65</w:t>
            </w:r>
            <w:r w:rsidR="009912F8" w:rsidRPr="00E07C9A">
              <w:rPr>
                <w:rStyle w:val="FormatvorlageInstructionsTabelleText"/>
                <w:rFonts w:ascii="Times New Roman" w:hAnsi="Times New Roman"/>
                <w:sz w:val="24"/>
              </w:rPr>
              <w:t> %</w:t>
            </w:r>
            <w:r w:rsidRPr="00E07C9A">
              <w:rPr>
                <w:rStyle w:val="FormatvorlageInstructionsTabelleText"/>
                <w:rFonts w:ascii="Times New Roman" w:hAnsi="Times New Roman"/>
                <w:sz w:val="24"/>
              </w:rPr>
              <w:t xml:space="preserve"> uvedená</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článku 48 ods. 2</w:t>
            </w:r>
            <w:r w:rsidRPr="00E07C9A">
              <w:t xml:space="preserve"> uvedeného nariadenia</w:t>
            </w:r>
            <w:r w:rsidRPr="00E07C9A">
              <w:rPr>
                <w:rStyle w:val="FormatvorlageInstructionsTabelleText"/>
                <w:rFonts w:ascii="Times New Roman" w:hAnsi="Times New Roman"/>
                <w:sz w:val="24"/>
              </w:rPr>
              <w:t>.</w:t>
            </w:r>
          </w:p>
        </w:tc>
      </w:tr>
      <w:tr w:rsidR="0022315F" w:rsidRPr="00E07C9A" w14:paraId="65FBA706" w14:textId="77777777" w:rsidTr="00D731E3">
        <w:tc>
          <w:tcPr>
            <w:tcW w:w="1129" w:type="dxa"/>
          </w:tcPr>
          <w:p w14:paraId="43556F66" w14:textId="77777777" w:rsidR="0022315F" w:rsidRPr="00E07C9A" w:rsidRDefault="00CF1093"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0511</w:t>
            </w:r>
          </w:p>
        </w:tc>
        <w:tc>
          <w:tcPr>
            <w:tcW w:w="7620" w:type="dxa"/>
          </w:tcPr>
          <w:p w14:paraId="3F9F869A" w14:textId="2E42D6DF" w:rsidR="0022315F" w:rsidRPr="00E07C9A" w:rsidRDefault="0022315F"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1.1.1.25.1.</w:t>
            </w:r>
            <w:r w:rsidRPr="00E07C9A">
              <w:tab/>
            </w:r>
            <w:r w:rsidRPr="00E07C9A">
              <w:rPr>
                <w:rStyle w:val="InstructionsTabelleberschrift"/>
                <w:rFonts w:ascii="Times New Roman" w:hAnsi="Times New Roman"/>
                <w:sz w:val="24"/>
              </w:rPr>
              <w:t>(–) Hodnota, ktorá presahuje prahovú hodnotu 17,65</w:t>
            </w:r>
            <w:r w:rsidR="009912F8" w:rsidRPr="00E07C9A">
              <w:rPr>
                <w:rStyle w:val="InstructionsTabelleberschrift"/>
                <w:rFonts w:ascii="Times New Roman" w:hAnsi="Times New Roman"/>
                <w:sz w:val="24"/>
              </w:rPr>
              <w:t> % v </w:t>
            </w:r>
            <w:r w:rsidRPr="00E07C9A">
              <w:rPr>
                <w:rStyle w:val="InstructionsTabelleberschrift"/>
                <w:rFonts w:ascii="Times New Roman" w:hAnsi="Times New Roman"/>
                <w:sz w:val="24"/>
              </w:rPr>
              <w:t>súvislosti</w:t>
            </w:r>
            <w:r w:rsidR="009912F8" w:rsidRPr="00E07C9A">
              <w:rPr>
                <w:rStyle w:val="InstructionsTabelleberschrift"/>
                <w:rFonts w:ascii="Times New Roman" w:hAnsi="Times New Roman"/>
                <w:sz w:val="24"/>
              </w:rPr>
              <w:t xml:space="preserve"> s </w:t>
            </w:r>
            <w:r w:rsidRPr="00E07C9A">
              <w:rPr>
                <w:rStyle w:val="InstructionsTabelleberschrift"/>
                <w:rFonts w:ascii="Times New Roman" w:hAnsi="Times New Roman"/>
                <w:sz w:val="24"/>
              </w:rPr>
              <w:t>nástrojmi CET1 subjektov finančného sektora,</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ktorých inštitúcia má významnú investíciu</w:t>
            </w:r>
          </w:p>
        </w:tc>
      </w:tr>
      <w:tr w:rsidR="0022315F" w:rsidRPr="00E07C9A" w14:paraId="272E4CF2" w14:textId="77777777" w:rsidTr="00D731E3">
        <w:tc>
          <w:tcPr>
            <w:tcW w:w="1129" w:type="dxa"/>
          </w:tcPr>
          <w:p w14:paraId="02436C4C" w14:textId="77777777" w:rsidR="0022315F" w:rsidRPr="00E07C9A" w:rsidRDefault="00CF1093"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0512</w:t>
            </w:r>
          </w:p>
        </w:tc>
        <w:tc>
          <w:tcPr>
            <w:tcW w:w="7620" w:type="dxa"/>
          </w:tcPr>
          <w:p w14:paraId="6F9E4E4A" w14:textId="2C83C2C4" w:rsidR="0022315F" w:rsidRPr="00E07C9A" w:rsidRDefault="0022315F"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1.1.1.25.2.</w:t>
            </w:r>
            <w:r w:rsidRPr="00E07C9A">
              <w:tab/>
            </w:r>
            <w:r w:rsidRPr="00E07C9A">
              <w:rPr>
                <w:rStyle w:val="InstructionsTabelleberschrift"/>
                <w:rFonts w:ascii="Times New Roman" w:hAnsi="Times New Roman"/>
                <w:sz w:val="24"/>
              </w:rPr>
              <w:t>(–) Hodnota, ktorá presahuje prahovú hodnotu 17,65</w:t>
            </w:r>
            <w:r w:rsidR="009912F8" w:rsidRPr="00E07C9A">
              <w:rPr>
                <w:rStyle w:val="InstructionsTabelleberschrift"/>
                <w:rFonts w:ascii="Times New Roman" w:hAnsi="Times New Roman"/>
                <w:sz w:val="24"/>
              </w:rPr>
              <w:t> % v </w:t>
            </w:r>
            <w:r w:rsidRPr="00E07C9A">
              <w:rPr>
                <w:rStyle w:val="InstructionsTabelleberschrift"/>
                <w:rFonts w:ascii="Times New Roman" w:hAnsi="Times New Roman"/>
                <w:sz w:val="24"/>
              </w:rPr>
              <w:t>súvislosti</w:t>
            </w:r>
            <w:r w:rsidR="009912F8" w:rsidRPr="00E07C9A">
              <w:rPr>
                <w:rStyle w:val="InstructionsTabelleberschrift"/>
                <w:rFonts w:ascii="Times New Roman" w:hAnsi="Times New Roman"/>
                <w:sz w:val="24"/>
              </w:rPr>
              <w:t xml:space="preserve"> s </w:t>
            </w:r>
            <w:r w:rsidRPr="00E07C9A">
              <w:rPr>
                <w:rStyle w:val="InstructionsTabelleberschrift"/>
                <w:rFonts w:ascii="Times New Roman" w:hAnsi="Times New Roman"/>
                <w:sz w:val="24"/>
              </w:rPr>
              <w:t>odloženými daňovými pohľadávkami vyplývajúcimi</w:t>
            </w:r>
            <w:r w:rsidR="009912F8" w:rsidRPr="00E07C9A">
              <w:rPr>
                <w:rStyle w:val="InstructionsTabelleberschrift"/>
                <w:rFonts w:ascii="Times New Roman" w:hAnsi="Times New Roman"/>
                <w:sz w:val="24"/>
              </w:rPr>
              <w:t xml:space="preserve"> z </w:t>
            </w:r>
            <w:r w:rsidRPr="00E07C9A">
              <w:rPr>
                <w:rStyle w:val="InstructionsTabelleberschrift"/>
                <w:rFonts w:ascii="Times New Roman" w:hAnsi="Times New Roman"/>
                <w:sz w:val="24"/>
              </w:rPr>
              <w:t>dočasných rozdielov</w:t>
            </w:r>
          </w:p>
        </w:tc>
      </w:tr>
      <w:tr w:rsidR="0022315F" w:rsidRPr="00E07C9A" w14:paraId="6526CCCF" w14:textId="77777777" w:rsidTr="00D731E3">
        <w:tc>
          <w:tcPr>
            <w:tcW w:w="1129" w:type="dxa"/>
          </w:tcPr>
          <w:p w14:paraId="364AA539" w14:textId="77777777" w:rsidR="0022315F" w:rsidRPr="00E07C9A" w:rsidRDefault="00CF1093"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0513</w:t>
            </w:r>
          </w:p>
        </w:tc>
        <w:tc>
          <w:tcPr>
            <w:tcW w:w="7620" w:type="dxa"/>
          </w:tcPr>
          <w:p w14:paraId="68B15638" w14:textId="77777777" w:rsidR="0022315F" w:rsidRPr="00E07C9A" w:rsidRDefault="0022315F"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1.1.1.25A (–) Nedostatočné krytie pri problémových expozíciách</w:t>
            </w:r>
          </w:p>
          <w:p w14:paraId="76458C5D" w14:textId="41DF97B7" w:rsidR="0022315F" w:rsidRPr="00E07C9A" w:rsidRDefault="0044539D" w:rsidP="00634EC4">
            <w:pPr>
              <w:pStyle w:val="InstructionsText"/>
              <w:rPr>
                <w:rStyle w:val="InstructionsTabelleberschrift"/>
                <w:rFonts w:ascii="Times New Roman" w:hAnsi="Times New Roman"/>
                <w:sz w:val="24"/>
              </w:rPr>
            </w:pPr>
            <w:r w:rsidRPr="00E07C9A">
              <w:rPr>
                <w:rStyle w:val="FormatvorlageInstructionsTabelleText"/>
                <w:rFonts w:ascii="Times New Roman" w:hAnsi="Times New Roman"/>
                <w:sz w:val="24"/>
              </w:rPr>
              <w:lastRenderedPageBreak/>
              <w:t xml:space="preserve"> Článok 36 ods. 1 písm. m)</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 xml:space="preserve">článok 47c </w:t>
            </w:r>
            <w:r w:rsidRPr="00E07C9A">
              <w:t xml:space="preserve">nariadenia (EÚ) </w:t>
            </w:r>
            <w:r w:rsidR="009912F8" w:rsidRPr="00E07C9A">
              <w:t>č. 575/2013</w:t>
            </w:r>
          </w:p>
        </w:tc>
      </w:tr>
      <w:tr w:rsidR="0022315F" w:rsidRPr="00E07C9A" w14:paraId="56B584B6" w14:textId="77777777" w:rsidTr="00D731E3">
        <w:tc>
          <w:tcPr>
            <w:tcW w:w="1129" w:type="dxa"/>
          </w:tcPr>
          <w:p w14:paraId="1C8C1950" w14:textId="77777777" w:rsidR="0022315F" w:rsidRPr="00E07C9A" w:rsidRDefault="00CF1093"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lastRenderedPageBreak/>
              <w:t>0514</w:t>
            </w:r>
          </w:p>
        </w:tc>
        <w:tc>
          <w:tcPr>
            <w:tcW w:w="7620" w:type="dxa"/>
          </w:tcPr>
          <w:p w14:paraId="45B3CC0F" w14:textId="77777777" w:rsidR="0022315F" w:rsidRPr="00E07C9A" w:rsidRDefault="0022315F"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1.1.1.25B (–) Schodky prísľubov minimálnej hodnoty</w:t>
            </w:r>
          </w:p>
          <w:p w14:paraId="1DA8258E" w14:textId="64D9D2F9" w:rsidR="0022315F" w:rsidRPr="00E07C9A" w:rsidRDefault="00634EC4" w:rsidP="00487A02">
            <w:pPr>
              <w:pStyle w:val="InstructionsText"/>
              <w:rPr>
                <w:rStyle w:val="InstructionsTabelleberschrift"/>
                <w:rFonts w:ascii="Times New Roman" w:hAnsi="Times New Roman"/>
                <w:sz w:val="24"/>
              </w:rPr>
            </w:pPr>
            <w:r w:rsidRPr="00E07C9A">
              <w:rPr>
                <w:rStyle w:val="FormatvorlageInstructionsTabelleText"/>
                <w:rFonts w:ascii="Times New Roman" w:hAnsi="Times New Roman"/>
                <w:sz w:val="24"/>
              </w:rPr>
              <w:t>Článok 36 ods. 1 písm. n)</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článok 132c ods. 2</w:t>
            </w:r>
            <w:r w:rsidRPr="00E07C9A">
              <w:t xml:space="preserve">nariadenia (EÚ) </w:t>
            </w:r>
            <w:r w:rsidR="009912F8" w:rsidRPr="00E07C9A">
              <w:t>č. 575/2013</w:t>
            </w:r>
          </w:p>
        </w:tc>
      </w:tr>
      <w:tr w:rsidR="0022315F" w:rsidRPr="00E07C9A" w14:paraId="6CF8BC09" w14:textId="77777777" w:rsidTr="00D731E3">
        <w:tc>
          <w:tcPr>
            <w:tcW w:w="1129" w:type="dxa"/>
          </w:tcPr>
          <w:p w14:paraId="0CB128F1" w14:textId="77777777" w:rsidR="0022315F" w:rsidRPr="00E07C9A" w:rsidRDefault="00CF1093"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0515</w:t>
            </w:r>
          </w:p>
        </w:tc>
        <w:tc>
          <w:tcPr>
            <w:tcW w:w="7620" w:type="dxa"/>
          </w:tcPr>
          <w:p w14:paraId="037C4B78" w14:textId="77777777" w:rsidR="0022315F" w:rsidRPr="00E07C9A" w:rsidRDefault="0022315F"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1.1.1.25C (–) Iné predpokladané daňové poplatky</w:t>
            </w:r>
          </w:p>
          <w:p w14:paraId="5267EA9F" w14:textId="1BABB8A3" w:rsidR="0022315F" w:rsidRPr="00E07C9A" w:rsidRDefault="00634EC4" w:rsidP="00487A02">
            <w:pPr>
              <w:pStyle w:val="InstructionsText"/>
              <w:rPr>
                <w:rStyle w:val="FormatvorlageInstructionsTabelleText"/>
                <w:rFonts w:ascii="Times New Roman" w:hAnsi="Times New Roman"/>
                <w:b/>
                <w:sz w:val="24"/>
              </w:rPr>
            </w:pPr>
            <w:r w:rsidRPr="00E07C9A">
              <w:rPr>
                <w:rStyle w:val="FormatvorlageInstructionsTabelleText"/>
                <w:rFonts w:ascii="Times New Roman" w:hAnsi="Times New Roman"/>
                <w:sz w:val="24"/>
              </w:rPr>
              <w:t xml:space="preserve">Článok 36 ods. 1 písm. l) </w:t>
            </w:r>
            <w:r w:rsidRPr="00E07C9A">
              <w:t xml:space="preserve">nariadenia (EÚ) </w:t>
            </w:r>
            <w:r w:rsidR="009912F8" w:rsidRPr="00E07C9A">
              <w:t>č. 575/2013</w:t>
            </w:r>
          </w:p>
          <w:p w14:paraId="77A0C028" w14:textId="03AEA264" w:rsidR="0022315F" w:rsidRPr="00E07C9A" w:rsidRDefault="0022315F" w:rsidP="00487A02">
            <w:pPr>
              <w:pStyle w:val="InstructionsText"/>
              <w:rPr>
                <w:rStyle w:val="InstructionsTabelleberschrift"/>
                <w:rFonts w:ascii="Times New Roman" w:hAnsi="Times New Roman"/>
                <w:sz w:val="24"/>
              </w:rPr>
            </w:pPr>
            <w:r w:rsidRPr="00E07C9A">
              <w:rPr>
                <w:rStyle w:val="FormatvorlageInstructionsTabelleText"/>
                <w:rFonts w:ascii="Times New Roman" w:hAnsi="Times New Roman"/>
                <w:sz w:val="24"/>
              </w:rPr>
              <w:t>Daňové poplatky súvisiace</w:t>
            </w:r>
            <w:r w:rsidR="009912F8" w:rsidRPr="00E07C9A">
              <w:rPr>
                <w:rStyle w:val="FormatvorlageInstructionsTabelleText"/>
                <w:rFonts w:ascii="Times New Roman" w:hAnsi="Times New Roman"/>
                <w:sz w:val="24"/>
              </w:rPr>
              <w:t xml:space="preserve"> s </w:t>
            </w:r>
            <w:r w:rsidRPr="00E07C9A">
              <w:rPr>
                <w:rStyle w:val="FormatvorlageInstructionsTabelleText"/>
                <w:rFonts w:ascii="Times New Roman" w:hAnsi="Times New Roman"/>
                <w:sz w:val="24"/>
              </w:rPr>
              <w:t>položkami CET1 predpokladané</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momente ich výpočtu okrem daňových poplatkov, ktoré už boli zohľadnené</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ktoromkoľvek inom riadku obsahujúcom položky CET1 tak, že znížili sumu príslušnej položky CET1.</w:t>
            </w:r>
          </w:p>
        </w:tc>
      </w:tr>
      <w:tr w:rsidR="0022315F" w:rsidRPr="00E07C9A" w14:paraId="270A6EFF" w14:textId="77777777" w:rsidTr="00D731E3">
        <w:tc>
          <w:tcPr>
            <w:tcW w:w="1129" w:type="dxa"/>
          </w:tcPr>
          <w:p w14:paraId="1D5288B4" w14:textId="77777777" w:rsidR="0022315F" w:rsidRPr="00E07C9A" w:rsidRDefault="00CF1093"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0520</w:t>
            </w:r>
          </w:p>
        </w:tc>
        <w:tc>
          <w:tcPr>
            <w:tcW w:w="7620" w:type="dxa"/>
          </w:tcPr>
          <w:p w14:paraId="0253165E" w14:textId="77777777" w:rsidR="0022315F" w:rsidRPr="00E07C9A" w:rsidRDefault="0022315F" w:rsidP="00487A02">
            <w:pPr>
              <w:pStyle w:val="InstructionsText"/>
              <w:rPr>
                <w:rStyle w:val="FormatvorlageInstructionsTabelleText"/>
                <w:rFonts w:ascii="Times New Roman" w:hAnsi="Times New Roman"/>
                <w:b/>
                <w:sz w:val="24"/>
                <w:u w:val="single"/>
              </w:rPr>
            </w:pPr>
            <w:r w:rsidRPr="00E07C9A">
              <w:rPr>
                <w:rStyle w:val="InstructionsTabelleberschrift"/>
                <w:rFonts w:ascii="Times New Roman" w:hAnsi="Times New Roman"/>
                <w:sz w:val="24"/>
              </w:rPr>
              <w:t>1.1.1.26.</w:t>
            </w:r>
            <w:r w:rsidRPr="00E07C9A">
              <w:tab/>
            </w:r>
            <w:r w:rsidRPr="00E07C9A">
              <w:rPr>
                <w:rStyle w:val="InstructionsTabelleberschrift"/>
                <w:rFonts w:ascii="Times New Roman" w:hAnsi="Times New Roman"/>
                <w:sz w:val="24"/>
              </w:rPr>
              <w:t>Ostatné prechodné úpravy kapitálu CET1</w:t>
            </w:r>
          </w:p>
          <w:p w14:paraId="488DD7BC" w14:textId="45A77219" w:rsidR="0022315F" w:rsidRPr="00E07C9A" w:rsidRDefault="0022315F"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Články 469 až 478</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 xml:space="preserve">článok 481 </w:t>
            </w:r>
            <w:r w:rsidRPr="00E07C9A">
              <w:t xml:space="preserve">nariadenia (EÚ) </w:t>
            </w:r>
            <w:r w:rsidR="009912F8" w:rsidRPr="00E07C9A">
              <w:t>č. 575/2013</w:t>
            </w:r>
          </w:p>
          <w:p w14:paraId="049A1B00" w14:textId="77777777" w:rsidR="0022315F" w:rsidRPr="00E07C9A" w:rsidRDefault="0022315F"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Úpravy odpočtov na základe prechodných ustanovení. Vykazovaná hodnota sa získa priamo zo vzoru CA5.</w:t>
            </w:r>
          </w:p>
        </w:tc>
      </w:tr>
      <w:tr w:rsidR="0022315F" w:rsidRPr="00E07C9A" w14:paraId="7B4D2E5B" w14:textId="77777777" w:rsidTr="00D731E3">
        <w:tc>
          <w:tcPr>
            <w:tcW w:w="1129" w:type="dxa"/>
          </w:tcPr>
          <w:p w14:paraId="5650F59E" w14:textId="77777777" w:rsidR="0022315F" w:rsidRPr="00E07C9A" w:rsidRDefault="00CF1093"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0524</w:t>
            </w:r>
          </w:p>
        </w:tc>
        <w:tc>
          <w:tcPr>
            <w:tcW w:w="7620" w:type="dxa"/>
          </w:tcPr>
          <w:p w14:paraId="7AEB8516" w14:textId="4569BDE5" w:rsidR="0022315F" w:rsidRPr="00E07C9A" w:rsidRDefault="0022315F"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1.1.1.27.</w:t>
            </w:r>
            <w:r w:rsidRPr="00E07C9A">
              <w:tab/>
            </w:r>
            <w:r w:rsidRPr="00E07C9A">
              <w:rPr>
                <w:rStyle w:val="InstructionsTabelleberschrift"/>
                <w:rFonts w:ascii="Times New Roman" w:hAnsi="Times New Roman"/>
                <w:sz w:val="24"/>
              </w:rPr>
              <w:t xml:space="preserve">(–) Dodatočné odpočty kapitálu CET1 na základe článku 3 nariadenia (EÚ) </w:t>
            </w:r>
            <w:r w:rsidR="009912F8" w:rsidRPr="00E07C9A">
              <w:rPr>
                <w:rStyle w:val="InstructionsTabelleberschrift"/>
                <w:rFonts w:ascii="Times New Roman" w:hAnsi="Times New Roman"/>
                <w:sz w:val="24"/>
              </w:rPr>
              <w:t>č. 575/2013</w:t>
            </w:r>
          </w:p>
          <w:p w14:paraId="2FCD75D4" w14:textId="11968C42" w:rsidR="0022315F" w:rsidRPr="00E07C9A" w:rsidRDefault="0022315F" w:rsidP="00487A02">
            <w:pPr>
              <w:pStyle w:val="InstructionsText"/>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 xml:space="preserve">Článok 3 </w:t>
            </w:r>
            <w:r w:rsidRPr="00E07C9A">
              <w:t xml:space="preserve">nariadenia (EÚ) </w:t>
            </w:r>
            <w:r w:rsidR="009912F8" w:rsidRPr="00E07C9A">
              <w:t>č. 575/2013</w:t>
            </w:r>
          </w:p>
          <w:p w14:paraId="385DA344" w14:textId="37F63C2A" w:rsidR="00A95150" w:rsidRPr="00E07C9A" w:rsidRDefault="00A95150" w:rsidP="00A95150">
            <w:pPr>
              <w:pStyle w:val="InstructionsText"/>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Ak sa inštitúcia rozhodne, že</w:t>
            </w:r>
            <w:r w:rsidR="009912F8" w:rsidRPr="00E07C9A">
              <w:rPr>
                <w:rStyle w:val="InstructionsTabelleberschrift"/>
                <w:rFonts w:ascii="Times New Roman" w:hAnsi="Times New Roman"/>
                <w:b w:val="0"/>
                <w:sz w:val="24"/>
                <w:u w:val="none"/>
              </w:rPr>
              <w:t xml:space="preserve"> v </w:t>
            </w:r>
            <w:r w:rsidRPr="00E07C9A">
              <w:rPr>
                <w:rStyle w:val="InstructionsTabelleberschrift"/>
                <w:rFonts w:ascii="Times New Roman" w:hAnsi="Times New Roman"/>
                <w:b w:val="0"/>
                <w:sz w:val="24"/>
                <w:u w:val="none"/>
              </w:rPr>
              <w:t>plnej miere odpočíta svoje softvérové aktíva</w:t>
            </w:r>
            <w:r w:rsidR="009912F8" w:rsidRPr="00E07C9A">
              <w:rPr>
                <w:rStyle w:val="InstructionsTabelleberschrift"/>
                <w:rFonts w:ascii="Times New Roman" w:hAnsi="Times New Roman"/>
                <w:b w:val="0"/>
                <w:sz w:val="24"/>
                <w:u w:val="none"/>
              </w:rPr>
              <w:t xml:space="preserve"> v </w:t>
            </w:r>
            <w:r w:rsidRPr="00E07C9A">
              <w:rPr>
                <w:rStyle w:val="InstructionsTabelleberschrift"/>
                <w:rFonts w:ascii="Times New Roman" w:hAnsi="Times New Roman"/>
                <w:b w:val="0"/>
                <w:sz w:val="24"/>
                <w:u w:val="none"/>
              </w:rPr>
              <w:t>súlade</w:t>
            </w:r>
            <w:r w:rsidR="009912F8" w:rsidRPr="00E07C9A">
              <w:rPr>
                <w:rStyle w:val="InstructionsTabelleberschrift"/>
                <w:rFonts w:ascii="Times New Roman" w:hAnsi="Times New Roman"/>
                <w:b w:val="0"/>
                <w:sz w:val="24"/>
                <w:u w:val="none"/>
              </w:rPr>
              <w:t xml:space="preserve"> s </w:t>
            </w:r>
            <w:r w:rsidRPr="00E07C9A">
              <w:rPr>
                <w:rStyle w:val="InstructionsTabelleberschrift"/>
                <w:rFonts w:ascii="Times New Roman" w:hAnsi="Times New Roman"/>
                <w:b w:val="0"/>
                <w:sz w:val="24"/>
                <w:u w:val="none"/>
              </w:rPr>
              <w:t xml:space="preserve">článkom 3 </w:t>
            </w:r>
            <w:r w:rsidRPr="00E07C9A">
              <w:t xml:space="preserve">nariadenia (EÚ) </w:t>
            </w:r>
            <w:r w:rsidR="009912F8" w:rsidRPr="00E07C9A">
              <w:t>č. 575/2013</w:t>
            </w:r>
            <w:r w:rsidRPr="00E07C9A">
              <w:rPr>
                <w:rStyle w:val="InstructionsTabelleberschrift"/>
                <w:rFonts w:ascii="Times New Roman" w:hAnsi="Times New Roman"/>
                <w:b w:val="0"/>
                <w:sz w:val="24"/>
                <w:u w:val="none"/>
              </w:rPr>
              <w:t xml:space="preserve"> namiesto uplatňovania zaobchádzania podľa článku 13a delegovaného nariadenia (EÚ) č. 241/2014, dodatočná odpočítaná hodnota sa nevykazuje</w:t>
            </w:r>
            <w:r w:rsidR="009912F8" w:rsidRPr="00E07C9A">
              <w:rPr>
                <w:rStyle w:val="InstructionsTabelleberschrift"/>
                <w:rFonts w:ascii="Times New Roman" w:hAnsi="Times New Roman"/>
                <w:b w:val="0"/>
                <w:sz w:val="24"/>
                <w:u w:val="none"/>
              </w:rPr>
              <w:t xml:space="preserve"> v </w:t>
            </w:r>
            <w:r w:rsidRPr="00E07C9A">
              <w:rPr>
                <w:rStyle w:val="InstructionsTabelleberschrift"/>
                <w:rFonts w:ascii="Times New Roman" w:hAnsi="Times New Roman"/>
                <w:b w:val="0"/>
                <w:sz w:val="24"/>
                <w:u w:val="none"/>
              </w:rPr>
              <w:t>tomto riadku, ale</w:t>
            </w:r>
            <w:r w:rsidR="009912F8" w:rsidRPr="00E07C9A">
              <w:rPr>
                <w:rStyle w:val="InstructionsTabelleberschrift"/>
                <w:rFonts w:ascii="Times New Roman" w:hAnsi="Times New Roman"/>
                <w:b w:val="0"/>
                <w:sz w:val="24"/>
                <w:u w:val="none"/>
              </w:rPr>
              <w:t xml:space="preserve"> v </w:t>
            </w:r>
            <w:r w:rsidRPr="00E07C9A">
              <w:rPr>
                <w:rStyle w:val="InstructionsTabelleberschrift"/>
                <w:rFonts w:ascii="Times New Roman" w:hAnsi="Times New Roman"/>
                <w:b w:val="0"/>
                <w:sz w:val="24"/>
                <w:u w:val="none"/>
              </w:rPr>
              <w:t>riadku 0352.</w:t>
            </w:r>
          </w:p>
        </w:tc>
      </w:tr>
      <w:tr w:rsidR="0022315F" w:rsidRPr="00E07C9A" w14:paraId="37D36F0C" w14:textId="77777777" w:rsidTr="00D731E3">
        <w:tc>
          <w:tcPr>
            <w:tcW w:w="1129" w:type="dxa"/>
          </w:tcPr>
          <w:p w14:paraId="5AF86446" w14:textId="77777777" w:rsidR="0022315F" w:rsidRPr="00E07C9A" w:rsidRDefault="00CF1093"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0529</w:t>
            </w:r>
          </w:p>
        </w:tc>
        <w:tc>
          <w:tcPr>
            <w:tcW w:w="7620" w:type="dxa"/>
          </w:tcPr>
          <w:p w14:paraId="062BBE28" w14:textId="77777777" w:rsidR="0022315F" w:rsidRPr="00E07C9A" w:rsidRDefault="0022315F"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1.1.1.28.</w:t>
            </w:r>
            <w:r w:rsidRPr="00E07C9A">
              <w:tab/>
            </w:r>
            <w:r w:rsidRPr="00E07C9A">
              <w:rPr>
                <w:rStyle w:val="InstructionsTabelleberschrift"/>
                <w:rFonts w:ascii="Times New Roman" w:hAnsi="Times New Roman"/>
                <w:sz w:val="24"/>
              </w:rPr>
              <w:t>Prvky alebo odpočty kapitálu CET1 – iné</w:t>
            </w:r>
          </w:p>
          <w:p w14:paraId="64797BAE" w14:textId="57633763" w:rsidR="009912F8" w:rsidRPr="00E07C9A" w:rsidRDefault="0022315F" w:rsidP="00487A02">
            <w:pPr>
              <w:pStyle w:val="InstructionsText"/>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Týmto riadkom sa má poskytovať flexibilita výlučne na účely vykazovania. Vypĺňa sa len</w:t>
            </w:r>
            <w:r w:rsidR="009912F8" w:rsidRPr="00E07C9A">
              <w:rPr>
                <w:rStyle w:val="InstructionsTabelleberschrift"/>
                <w:rFonts w:ascii="Times New Roman" w:hAnsi="Times New Roman"/>
                <w:b w:val="0"/>
                <w:sz w:val="24"/>
                <w:u w:val="none"/>
              </w:rPr>
              <w:t xml:space="preserve"> v </w:t>
            </w:r>
            <w:r w:rsidRPr="00E07C9A">
              <w:rPr>
                <w:rStyle w:val="InstructionsTabelleberschrift"/>
                <w:rFonts w:ascii="Times New Roman" w:hAnsi="Times New Roman"/>
                <w:b w:val="0"/>
                <w:sz w:val="24"/>
                <w:u w:val="none"/>
              </w:rPr>
              <w:t>ojedinelých prípadoch, keď nebolo prijaté konečné rozhodnutie</w:t>
            </w:r>
            <w:r w:rsidR="009912F8" w:rsidRPr="00E07C9A">
              <w:rPr>
                <w:rStyle w:val="InstructionsTabelleberschrift"/>
                <w:rFonts w:ascii="Times New Roman" w:hAnsi="Times New Roman"/>
                <w:b w:val="0"/>
                <w:sz w:val="24"/>
                <w:u w:val="none"/>
              </w:rPr>
              <w:t xml:space="preserve"> o </w:t>
            </w:r>
            <w:r w:rsidRPr="00E07C9A">
              <w:rPr>
                <w:rStyle w:val="InstructionsTabelleberschrift"/>
                <w:rFonts w:ascii="Times New Roman" w:hAnsi="Times New Roman"/>
                <w:b w:val="0"/>
                <w:sz w:val="24"/>
                <w:u w:val="none"/>
              </w:rPr>
              <w:t>vykázaní určitých kapitálových položiek/odpočtov</w:t>
            </w:r>
            <w:r w:rsidR="009912F8" w:rsidRPr="00E07C9A">
              <w:rPr>
                <w:rStyle w:val="InstructionsTabelleberschrift"/>
                <w:rFonts w:ascii="Times New Roman" w:hAnsi="Times New Roman"/>
                <w:b w:val="0"/>
                <w:sz w:val="24"/>
                <w:u w:val="none"/>
              </w:rPr>
              <w:t xml:space="preserve"> v </w:t>
            </w:r>
            <w:r w:rsidRPr="00E07C9A">
              <w:rPr>
                <w:rStyle w:val="InstructionsTabelleberschrift"/>
                <w:rFonts w:ascii="Times New Roman" w:hAnsi="Times New Roman"/>
                <w:b w:val="0"/>
                <w:sz w:val="24"/>
                <w:u w:val="none"/>
              </w:rPr>
              <w:t>aktuálnom vzore CA1. Tento riadok sa preto vypĺňa, len keď prvok kapitálu CET1 alebo odpočet od prvku CET1 nie je možné priradiť</w:t>
            </w:r>
            <w:r w:rsidR="009912F8" w:rsidRPr="00E07C9A">
              <w:rPr>
                <w:rStyle w:val="InstructionsTabelleberschrift"/>
                <w:rFonts w:ascii="Times New Roman" w:hAnsi="Times New Roman"/>
                <w:b w:val="0"/>
                <w:sz w:val="24"/>
                <w:u w:val="none"/>
              </w:rPr>
              <w:t xml:space="preserve"> k </w:t>
            </w:r>
            <w:r w:rsidRPr="00E07C9A">
              <w:rPr>
                <w:rStyle w:val="InstructionsTabelleberschrift"/>
                <w:rFonts w:ascii="Times New Roman" w:hAnsi="Times New Roman"/>
                <w:b w:val="0"/>
                <w:sz w:val="24"/>
                <w:u w:val="none"/>
              </w:rPr>
              <w:t>žiadnemu</w:t>
            </w:r>
            <w:r w:rsidR="009912F8" w:rsidRPr="00E07C9A">
              <w:rPr>
                <w:rStyle w:val="InstructionsTabelleberschrift"/>
                <w:rFonts w:ascii="Times New Roman" w:hAnsi="Times New Roman"/>
                <w:b w:val="0"/>
                <w:sz w:val="24"/>
                <w:u w:val="none"/>
              </w:rPr>
              <w:t xml:space="preserve"> z </w:t>
            </w:r>
            <w:r w:rsidRPr="00E07C9A">
              <w:rPr>
                <w:rStyle w:val="InstructionsTabelleberschrift"/>
                <w:rFonts w:ascii="Times New Roman" w:hAnsi="Times New Roman"/>
                <w:b w:val="0"/>
                <w:sz w:val="24"/>
                <w:u w:val="none"/>
              </w:rPr>
              <w:t>riadkov 020 až 524</w:t>
            </w:r>
            <w:r w:rsidR="009912F8" w:rsidRPr="00E07C9A">
              <w:rPr>
                <w:rStyle w:val="InstructionsTabelleberschrift"/>
                <w:rFonts w:ascii="Times New Roman" w:hAnsi="Times New Roman"/>
                <w:b w:val="0"/>
                <w:sz w:val="24"/>
                <w:u w:val="none"/>
              </w:rPr>
              <w:t>.</w:t>
            </w:r>
          </w:p>
          <w:p w14:paraId="1A5B3380" w14:textId="3979D818" w:rsidR="0022315F" w:rsidRPr="00E07C9A" w:rsidRDefault="0022315F" w:rsidP="00487A02">
            <w:pPr>
              <w:pStyle w:val="InstructionsText"/>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Tento riadok sa nepoužíva na začlenenie kapitálových položiek/odpočtov, ktoré nepokrýva</w:t>
            </w:r>
            <w:r w:rsidRPr="00E07C9A">
              <w:t xml:space="preserve"> nariadenie (EÚ) </w:t>
            </w:r>
            <w:r w:rsidR="009912F8" w:rsidRPr="00E07C9A">
              <w:t>č. 575/2013</w:t>
            </w:r>
            <w:r w:rsidRPr="00E07C9A">
              <w:rPr>
                <w:rStyle w:val="InstructionsTabelleberschrift"/>
                <w:rFonts w:ascii="Times New Roman" w:hAnsi="Times New Roman"/>
                <w:b w:val="0"/>
                <w:sz w:val="24"/>
                <w:u w:val="none"/>
              </w:rPr>
              <w:t>, do výpočtu pomerov platobnej schopnosti [napr. začlenenie vnútroštátnych kapitálových položiek/odpočtov, ktoré nepatria do rozsahu pôsobnosti</w:t>
            </w:r>
            <w:r w:rsidRPr="00E07C9A">
              <w:t xml:space="preserve"> nariadenia (EÚ) </w:t>
            </w:r>
            <w:r w:rsidR="009912F8" w:rsidRPr="00E07C9A">
              <w:t>č. 575/2013</w:t>
            </w:r>
            <w:r w:rsidRPr="00E07C9A">
              <w:rPr>
                <w:rStyle w:val="InstructionsTabelleberschrift"/>
                <w:rFonts w:ascii="Times New Roman" w:hAnsi="Times New Roman"/>
                <w:b w:val="0"/>
                <w:sz w:val="24"/>
                <w:u w:val="none"/>
              </w:rPr>
              <w:t>)].</w:t>
            </w:r>
          </w:p>
        </w:tc>
      </w:tr>
      <w:tr w:rsidR="0022315F" w:rsidRPr="00E07C9A" w14:paraId="684DBDB0" w14:textId="77777777" w:rsidTr="00D731E3">
        <w:tc>
          <w:tcPr>
            <w:tcW w:w="1129" w:type="dxa"/>
          </w:tcPr>
          <w:p w14:paraId="4557E604" w14:textId="77777777" w:rsidR="0022315F" w:rsidRPr="00E07C9A" w:rsidRDefault="00CF1093"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0530</w:t>
            </w:r>
          </w:p>
        </w:tc>
        <w:tc>
          <w:tcPr>
            <w:tcW w:w="7620" w:type="dxa"/>
          </w:tcPr>
          <w:p w14:paraId="58200C4E" w14:textId="77777777" w:rsidR="0022315F" w:rsidRPr="00E07C9A" w:rsidRDefault="0022315F" w:rsidP="00487A02">
            <w:pPr>
              <w:pStyle w:val="InstructionsText"/>
              <w:rPr>
                <w:rStyle w:val="FormatvorlageInstructionsTabelleText"/>
                <w:rFonts w:ascii="Times New Roman" w:hAnsi="Times New Roman"/>
                <w:b/>
                <w:sz w:val="24"/>
                <w:u w:val="single"/>
              </w:rPr>
            </w:pPr>
            <w:r w:rsidRPr="00E07C9A">
              <w:rPr>
                <w:rStyle w:val="InstructionsTabelleberschrift"/>
                <w:rFonts w:ascii="Times New Roman" w:hAnsi="Times New Roman"/>
                <w:sz w:val="24"/>
              </w:rPr>
              <w:t>1.1.2.</w:t>
            </w:r>
            <w:r w:rsidRPr="00E07C9A">
              <w:tab/>
            </w:r>
            <w:r w:rsidRPr="00E07C9A">
              <w:rPr>
                <w:rStyle w:val="InstructionsTabelleberschrift"/>
                <w:rFonts w:ascii="Times New Roman" w:hAnsi="Times New Roman"/>
                <w:sz w:val="24"/>
              </w:rPr>
              <w:t>DODATOČNÝ KAPITÁL TIER 1</w:t>
            </w:r>
          </w:p>
          <w:p w14:paraId="6084F8E8" w14:textId="1C24D8E7" w:rsidR="0022315F" w:rsidRPr="00E07C9A" w:rsidRDefault="0022315F"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 xml:space="preserve">Článok 61 </w:t>
            </w:r>
            <w:r w:rsidRPr="00E07C9A">
              <w:t xml:space="preserve">nariadenia (EÚ) </w:t>
            </w:r>
            <w:r w:rsidR="009912F8" w:rsidRPr="00E07C9A">
              <w:t>č. 575/2013</w:t>
            </w:r>
          </w:p>
        </w:tc>
      </w:tr>
      <w:tr w:rsidR="0022315F" w:rsidRPr="00E07C9A" w14:paraId="64E16F46" w14:textId="77777777" w:rsidTr="00D731E3">
        <w:tc>
          <w:tcPr>
            <w:tcW w:w="1129" w:type="dxa"/>
          </w:tcPr>
          <w:p w14:paraId="0972E7E0" w14:textId="77777777" w:rsidR="0022315F" w:rsidRPr="00E07C9A" w:rsidRDefault="00CF1093"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0540</w:t>
            </w:r>
          </w:p>
        </w:tc>
        <w:tc>
          <w:tcPr>
            <w:tcW w:w="7620" w:type="dxa"/>
          </w:tcPr>
          <w:p w14:paraId="1836352C" w14:textId="581C858A" w:rsidR="0022315F" w:rsidRPr="00E07C9A" w:rsidRDefault="0022315F" w:rsidP="00487A02">
            <w:pPr>
              <w:pStyle w:val="InstructionsText"/>
              <w:rPr>
                <w:rStyle w:val="FormatvorlageInstructionsTabelleText"/>
                <w:rFonts w:ascii="Times New Roman" w:hAnsi="Times New Roman"/>
                <w:b/>
                <w:sz w:val="24"/>
                <w:u w:val="single"/>
              </w:rPr>
            </w:pPr>
            <w:r w:rsidRPr="00E07C9A">
              <w:rPr>
                <w:rStyle w:val="InstructionsTabelleberschrift"/>
                <w:rFonts w:ascii="Times New Roman" w:hAnsi="Times New Roman"/>
                <w:sz w:val="24"/>
              </w:rPr>
              <w:t>1.1.2.1.</w:t>
            </w:r>
            <w:r w:rsidRPr="00E07C9A">
              <w:tab/>
            </w:r>
            <w:r w:rsidRPr="00E07C9A">
              <w:rPr>
                <w:rStyle w:val="InstructionsTabelleberschrift"/>
                <w:rFonts w:ascii="Times New Roman" w:hAnsi="Times New Roman"/>
                <w:sz w:val="24"/>
              </w:rPr>
              <w:t>Kapitálové nástroje</w:t>
            </w:r>
            <w:r w:rsidR="009912F8" w:rsidRPr="00E07C9A">
              <w:rPr>
                <w:rStyle w:val="InstructionsTabelleberschrift"/>
                <w:rFonts w:ascii="Times New Roman" w:hAnsi="Times New Roman"/>
                <w:sz w:val="24"/>
              </w:rPr>
              <w:t xml:space="preserve"> a </w:t>
            </w:r>
            <w:r w:rsidRPr="00E07C9A">
              <w:rPr>
                <w:rStyle w:val="InstructionsTabelleberschrift"/>
                <w:rFonts w:ascii="Times New Roman" w:hAnsi="Times New Roman"/>
                <w:sz w:val="24"/>
              </w:rPr>
              <w:t>emisné ážiá prípustné ako kapitál AT1</w:t>
            </w:r>
          </w:p>
          <w:p w14:paraId="72A2A6AF" w14:textId="779523E4" w:rsidR="0022315F" w:rsidRPr="00E07C9A" w:rsidRDefault="0022315F" w:rsidP="00634EC4">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Článok 51 písm. a), články 52, 53</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54, článok 56 písm. a)</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 xml:space="preserve">článok 57 </w:t>
            </w:r>
            <w:r w:rsidRPr="00E07C9A">
              <w:t xml:space="preserve">nariadenia (EÚ) </w:t>
            </w:r>
            <w:r w:rsidR="009912F8" w:rsidRPr="00E07C9A">
              <w:t>č. 575/2013</w:t>
            </w:r>
          </w:p>
        </w:tc>
      </w:tr>
      <w:tr w:rsidR="0022315F" w:rsidRPr="00E07C9A" w14:paraId="377F55D4" w14:textId="77777777" w:rsidTr="00D731E3">
        <w:tc>
          <w:tcPr>
            <w:tcW w:w="1129" w:type="dxa"/>
          </w:tcPr>
          <w:p w14:paraId="3776B941" w14:textId="77777777" w:rsidR="0022315F" w:rsidRPr="00E07C9A" w:rsidRDefault="00CF1093"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0551</w:t>
            </w:r>
          </w:p>
        </w:tc>
        <w:tc>
          <w:tcPr>
            <w:tcW w:w="7620" w:type="dxa"/>
          </w:tcPr>
          <w:p w14:paraId="60ADD0DF" w14:textId="77777777" w:rsidR="0022315F" w:rsidRPr="00E07C9A" w:rsidRDefault="0022315F" w:rsidP="00487A02">
            <w:pPr>
              <w:pStyle w:val="InstructionsText"/>
              <w:rPr>
                <w:rStyle w:val="FormatvorlageInstructionsTabelleText"/>
                <w:rFonts w:ascii="Times New Roman" w:hAnsi="Times New Roman"/>
                <w:b/>
                <w:sz w:val="24"/>
                <w:u w:val="single"/>
              </w:rPr>
            </w:pPr>
            <w:r w:rsidRPr="00E07C9A">
              <w:rPr>
                <w:rStyle w:val="InstructionsTabelleberschrift"/>
                <w:rFonts w:ascii="Times New Roman" w:hAnsi="Times New Roman"/>
                <w:sz w:val="24"/>
              </w:rPr>
              <w:t>1.1.2.1.1.</w:t>
            </w:r>
            <w:r w:rsidRPr="00E07C9A">
              <w:tab/>
            </w:r>
            <w:r w:rsidRPr="00E07C9A">
              <w:rPr>
                <w:rStyle w:val="InstructionsTabelleberschrift"/>
                <w:rFonts w:ascii="Times New Roman" w:hAnsi="Times New Roman"/>
                <w:sz w:val="24"/>
              </w:rPr>
              <w:t>Úplne splatené, priamo emitované kapitálové nástroje</w:t>
            </w:r>
          </w:p>
          <w:p w14:paraId="0732E830" w14:textId="1868144F" w:rsidR="0022315F" w:rsidRPr="00E07C9A" w:rsidRDefault="0022315F"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Článok 51 písm. a)</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články 52, 53</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54</w:t>
            </w:r>
            <w:r w:rsidRPr="00E07C9A">
              <w:t xml:space="preserve">nariadenia (EÚ) </w:t>
            </w:r>
            <w:r w:rsidR="009912F8" w:rsidRPr="00E07C9A">
              <w:t>č. 575/2013</w:t>
            </w:r>
          </w:p>
          <w:p w14:paraId="47021F80" w14:textId="04CFCD49" w:rsidR="0022315F" w:rsidRPr="00E07C9A" w:rsidRDefault="0022315F"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lastRenderedPageBreak/>
              <w:t>Vykazovaná hodnota nezahŕňa emisné ážio súvisiace</w:t>
            </w:r>
            <w:r w:rsidR="009912F8" w:rsidRPr="00E07C9A">
              <w:rPr>
                <w:rStyle w:val="FormatvorlageInstructionsTabelleText"/>
                <w:rFonts w:ascii="Times New Roman" w:hAnsi="Times New Roman"/>
                <w:sz w:val="24"/>
              </w:rPr>
              <w:t xml:space="preserve"> s </w:t>
            </w:r>
            <w:r w:rsidRPr="00E07C9A">
              <w:rPr>
                <w:rStyle w:val="FormatvorlageInstructionsTabelleText"/>
                <w:rFonts w:ascii="Times New Roman" w:hAnsi="Times New Roman"/>
                <w:sz w:val="24"/>
              </w:rPr>
              <w:t>nástrojmi.</w:t>
            </w:r>
          </w:p>
        </w:tc>
      </w:tr>
      <w:tr w:rsidR="0022315F" w:rsidRPr="00E07C9A" w14:paraId="4C04295E" w14:textId="77777777" w:rsidTr="00D731E3">
        <w:tc>
          <w:tcPr>
            <w:tcW w:w="1129" w:type="dxa"/>
          </w:tcPr>
          <w:p w14:paraId="2B0C882C" w14:textId="77777777" w:rsidR="0022315F" w:rsidRPr="00E07C9A" w:rsidRDefault="00CF1093"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lastRenderedPageBreak/>
              <w:t>0560</w:t>
            </w:r>
          </w:p>
        </w:tc>
        <w:tc>
          <w:tcPr>
            <w:tcW w:w="7620" w:type="dxa"/>
          </w:tcPr>
          <w:p w14:paraId="1AD0D7E1" w14:textId="77777777" w:rsidR="0022315F" w:rsidRPr="00E07C9A" w:rsidRDefault="0022315F" w:rsidP="00487A02">
            <w:pPr>
              <w:pStyle w:val="InstructionsText"/>
              <w:rPr>
                <w:rStyle w:val="FormatvorlageInstructionsTabelleText"/>
                <w:rFonts w:ascii="Times New Roman" w:hAnsi="Times New Roman"/>
                <w:b/>
                <w:sz w:val="24"/>
                <w:u w:val="single"/>
              </w:rPr>
            </w:pPr>
            <w:r w:rsidRPr="00E07C9A">
              <w:rPr>
                <w:rStyle w:val="InstructionsTabelleberschrift"/>
                <w:rFonts w:ascii="Times New Roman" w:hAnsi="Times New Roman"/>
                <w:sz w:val="24"/>
              </w:rPr>
              <w:t>1.1.2.1.2. (*)</w:t>
            </w:r>
            <w:r w:rsidRPr="00E07C9A">
              <w:tab/>
            </w:r>
            <w:r w:rsidRPr="00E07C9A">
              <w:rPr>
                <w:rStyle w:val="InstructionsTabelleberschrift"/>
                <w:rFonts w:ascii="Times New Roman" w:hAnsi="Times New Roman"/>
                <w:sz w:val="24"/>
              </w:rPr>
              <w:t>Doplňujúca položka: neprípustné kapitálové nástroje</w:t>
            </w:r>
          </w:p>
          <w:p w14:paraId="58F688AF" w14:textId="07455FDF" w:rsidR="0022315F" w:rsidRPr="00E07C9A" w:rsidRDefault="0022315F"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Článok 52 ods. 1 písm. c), e)</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f)</w:t>
            </w:r>
            <w:r w:rsidRPr="00E07C9A">
              <w:t xml:space="preserve"> nariadenia (EÚ) </w:t>
            </w:r>
            <w:r w:rsidR="009912F8" w:rsidRPr="00E07C9A">
              <w:t>č. 575/2013</w:t>
            </w:r>
          </w:p>
          <w:p w14:paraId="04E69963" w14:textId="30A359C9" w:rsidR="0022315F" w:rsidRPr="00E07C9A" w:rsidRDefault="0022315F"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Podmienky</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týchto písmenách vyjadrujú rôzne situácie kapitálu, ktoré sa môžu zmeniť, preto hodnota vykazovaná</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tomto riadku môže byť</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ďalších obdobiach prípustná.</w:t>
            </w:r>
          </w:p>
          <w:p w14:paraId="1D972F74" w14:textId="17F825C5" w:rsidR="0022315F" w:rsidRPr="00E07C9A" w:rsidRDefault="0022315F"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Vykazovaná hodnota nezahŕňa emisné ážio súvisiace</w:t>
            </w:r>
            <w:r w:rsidR="009912F8" w:rsidRPr="00E07C9A">
              <w:rPr>
                <w:rStyle w:val="FormatvorlageInstructionsTabelleText"/>
                <w:rFonts w:ascii="Times New Roman" w:hAnsi="Times New Roman"/>
                <w:sz w:val="24"/>
              </w:rPr>
              <w:t xml:space="preserve"> s </w:t>
            </w:r>
            <w:r w:rsidRPr="00E07C9A">
              <w:rPr>
                <w:rStyle w:val="FormatvorlageInstructionsTabelleText"/>
                <w:rFonts w:ascii="Times New Roman" w:hAnsi="Times New Roman"/>
                <w:sz w:val="24"/>
              </w:rPr>
              <w:t>nástrojmi.</w:t>
            </w:r>
          </w:p>
        </w:tc>
      </w:tr>
      <w:tr w:rsidR="0022315F" w:rsidRPr="00E07C9A" w14:paraId="4A20E138" w14:textId="77777777" w:rsidTr="00D731E3">
        <w:tc>
          <w:tcPr>
            <w:tcW w:w="1129" w:type="dxa"/>
          </w:tcPr>
          <w:p w14:paraId="56B3C5C7" w14:textId="77777777" w:rsidR="0022315F" w:rsidRPr="00E07C9A" w:rsidRDefault="00CF1093"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0571</w:t>
            </w:r>
          </w:p>
        </w:tc>
        <w:tc>
          <w:tcPr>
            <w:tcW w:w="7620" w:type="dxa"/>
          </w:tcPr>
          <w:p w14:paraId="49B739D6" w14:textId="77777777" w:rsidR="0022315F" w:rsidRPr="00E07C9A" w:rsidRDefault="0022315F" w:rsidP="00487A02">
            <w:pPr>
              <w:pStyle w:val="InstructionsText"/>
              <w:rPr>
                <w:rStyle w:val="FormatvorlageInstructionsTabelleText"/>
                <w:rFonts w:ascii="Times New Roman" w:hAnsi="Times New Roman"/>
                <w:b/>
                <w:sz w:val="24"/>
                <w:u w:val="single"/>
              </w:rPr>
            </w:pPr>
            <w:r w:rsidRPr="00E07C9A">
              <w:rPr>
                <w:rStyle w:val="InstructionsTabelleberschrift"/>
                <w:rFonts w:ascii="Times New Roman" w:hAnsi="Times New Roman"/>
                <w:sz w:val="24"/>
              </w:rPr>
              <w:t>1.1.2.1.3.</w:t>
            </w:r>
            <w:r w:rsidRPr="00E07C9A">
              <w:tab/>
            </w:r>
            <w:r w:rsidRPr="00E07C9A">
              <w:rPr>
                <w:rStyle w:val="InstructionsTabelleberschrift"/>
                <w:rFonts w:ascii="Times New Roman" w:hAnsi="Times New Roman"/>
                <w:sz w:val="24"/>
              </w:rPr>
              <w:t>Emisné ážio</w:t>
            </w:r>
          </w:p>
          <w:p w14:paraId="153298B7" w14:textId="22A9B62B" w:rsidR="0022315F" w:rsidRPr="00E07C9A" w:rsidRDefault="0022315F"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 xml:space="preserve">Článok 51 písm. b) </w:t>
            </w:r>
            <w:r w:rsidRPr="00E07C9A">
              <w:t xml:space="preserve">nariadenia (EÚ) </w:t>
            </w:r>
            <w:r w:rsidR="009912F8" w:rsidRPr="00E07C9A">
              <w:t>č. 575/2013</w:t>
            </w:r>
          </w:p>
          <w:p w14:paraId="51197361" w14:textId="0A3F4638" w:rsidR="0022315F" w:rsidRPr="00E07C9A" w:rsidRDefault="0022315F"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Emisné ážio má ten istý význam ako</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uplatniteľnom účtovnom štandarde.</w:t>
            </w:r>
          </w:p>
          <w:p w14:paraId="586C3457" w14:textId="61E1251A" w:rsidR="0022315F" w:rsidRPr="00E07C9A" w:rsidRDefault="0022315F"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Hodnota, ktorá sa má vykázať</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tejto položke, zodpovedá časti súvisiacej</w:t>
            </w:r>
            <w:r w:rsidR="009912F8" w:rsidRPr="00E07C9A">
              <w:rPr>
                <w:rStyle w:val="FormatvorlageInstructionsTabelleText"/>
                <w:rFonts w:ascii="Times New Roman" w:hAnsi="Times New Roman"/>
                <w:sz w:val="24"/>
              </w:rPr>
              <w:t xml:space="preserve"> s </w:t>
            </w:r>
            <w:r w:rsidRPr="00E07C9A">
              <w:rPr>
                <w:rStyle w:val="FormatvorlageInstructionsTabelleText"/>
                <w:rFonts w:ascii="Times New Roman" w:hAnsi="Times New Roman"/>
                <w:sz w:val="24"/>
              </w:rPr>
              <w:t>„úplne splatenými</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priamo emitovanými kapitálovými nástrojmi“.</w:t>
            </w:r>
          </w:p>
        </w:tc>
      </w:tr>
      <w:tr w:rsidR="0022315F" w:rsidRPr="00E07C9A" w14:paraId="16672D93" w14:textId="77777777" w:rsidTr="00D731E3">
        <w:tc>
          <w:tcPr>
            <w:tcW w:w="1129" w:type="dxa"/>
          </w:tcPr>
          <w:p w14:paraId="6A6D0598" w14:textId="77777777" w:rsidR="0022315F" w:rsidRPr="00E07C9A" w:rsidRDefault="00CF1093"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0580</w:t>
            </w:r>
          </w:p>
        </w:tc>
        <w:tc>
          <w:tcPr>
            <w:tcW w:w="7620" w:type="dxa"/>
          </w:tcPr>
          <w:p w14:paraId="737C99C4" w14:textId="77777777" w:rsidR="0022315F" w:rsidRPr="00E07C9A" w:rsidRDefault="0022315F" w:rsidP="00487A02">
            <w:pPr>
              <w:pStyle w:val="InstructionsText"/>
              <w:rPr>
                <w:rStyle w:val="FormatvorlageInstructionsTabelleText"/>
                <w:rFonts w:ascii="Times New Roman" w:hAnsi="Times New Roman"/>
                <w:b/>
                <w:sz w:val="24"/>
                <w:u w:val="single"/>
              </w:rPr>
            </w:pPr>
            <w:r w:rsidRPr="00E07C9A">
              <w:rPr>
                <w:rStyle w:val="InstructionsTabelleberschrift"/>
                <w:rFonts w:ascii="Times New Roman" w:hAnsi="Times New Roman"/>
                <w:sz w:val="24"/>
              </w:rPr>
              <w:t>1.1.2.1.4.</w:t>
            </w:r>
            <w:r w:rsidRPr="00E07C9A">
              <w:tab/>
            </w:r>
            <w:r w:rsidRPr="00E07C9A">
              <w:rPr>
                <w:rStyle w:val="InstructionsTabelleberschrift"/>
                <w:rFonts w:ascii="Times New Roman" w:hAnsi="Times New Roman"/>
                <w:sz w:val="24"/>
              </w:rPr>
              <w:t>(–) Nástroje vlastného AT1</w:t>
            </w:r>
          </w:p>
          <w:p w14:paraId="0E23F695" w14:textId="17B04A45" w:rsidR="0022315F" w:rsidRPr="00E07C9A" w:rsidRDefault="00634EC4"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Článok 52 ods. 1 písm. b), článok 56 písm. a)</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 xml:space="preserve">článok 57 </w:t>
            </w:r>
            <w:r w:rsidRPr="00E07C9A">
              <w:t xml:space="preserve">nariadenia (EÚ) </w:t>
            </w:r>
            <w:r w:rsidR="009912F8" w:rsidRPr="00E07C9A">
              <w:t>č. 575/2013</w:t>
            </w:r>
          </w:p>
          <w:p w14:paraId="14B767B5" w14:textId="56E28151" w:rsidR="0022315F" w:rsidRPr="00E07C9A" w:rsidRDefault="0022315F"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Nástroje vlastného AT1 držané vykazujúcou inštitúciou alebo skupinou</w:t>
            </w:r>
            <w:r w:rsidR="009912F8" w:rsidRPr="00E07C9A">
              <w:rPr>
                <w:rStyle w:val="FormatvorlageInstructionsTabelleText"/>
                <w:rFonts w:ascii="Times New Roman" w:hAnsi="Times New Roman"/>
                <w:sz w:val="24"/>
              </w:rPr>
              <w:t xml:space="preserve"> k </w:t>
            </w:r>
            <w:r w:rsidRPr="00E07C9A">
              <w:rPr>
                <w:rStyle w:val="FormatvorlageInstructionsTabelleText"/>
                <w:rFonts w:ascii="Times New Roman" w:hAnsi="Times New Roman"/>
                <w:sz w:val="24"/>
              </w:rPr>
              <w:t>dátumu vykazovania</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hodnoty nástrojov AT1, ktoré sa majú odpočítať</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súlade</w:t>
            </w:r>
            <w:r w:rsidR="009912F8" w:rsidRPr="00E07C9A">
              <w:rPr>
                <w:rStyle w:val="FormatvorlageInstructionsTabelleText"/>
                <w:rFonts w:ascii="Times New Roman" w:hAnsi="Times New Roman"/>
                <w:sz w:val="24"/>
              </w:rPr>
              <w:t xml:space="preserve"> s </w:t>
            </w:r>
            <w:r w:rsidRPr="00E07C9A">
              <w:rPr>
                <w:rStyle w:val="FormatvorlageInstructionsTabelleText"/>
                <w:rFonts w:ascii="Times New Roman" w:hAnsi="Times New Roman"/>
                <w:sz w:val="24"/>
              </w:rPr>
              <w:t>článkom 28 ods. 2 delegovaného nariadenia (EÚ) č. 241/2014.</w:t>
            </w:r>
            <w:r w:rsidR="009912F8" w:rsidRPr="00E07C9A">
              <w:rPr>
                <w:rStyle w:val="FormatvorlageInstructionsTabelleText"/>
                <w:rFonts w:ascii="Times New Roman" w:hAnsi="Times New Roman"/>
                <w:sz w:val="24"/>
              </w:rPr>
              <w:t xml:space="preserve"> S </w:t>
            </w:r>
            <w:r w:rsidRPr="00E07C9A">
              <w:rPr>
                <w:rStyle w:val="FormatvorlageInstructionsTabelleText"/>
                <w:rFonts w:ascii="Times New Roman" w:hAnsi="Times New Roman"/>
                <w:sz w:val="24"/>
              </w:rPr>
              <w:t>výhradou výnimiek</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 xml:space="preserve">článku 57 </w:t>
            </w:r>
            <w:r w:rsidRPr="00E07C9A">
              <w:t xml:space="preserve">nariadenia (EÚ) </w:t>
            </w:r>
            <w:r w:rsidR="009912F8" w:rsidRPr="00E07C9A">
              <w:t>č. 575/2013</w:t>
            </w:r>
            <w:r w:rsidRPr="00E07C9A">
              <w:rPr>
                <w:rStyle w:val="FormatvorlageInstructionsTabelleText"/>
                <w:rFonts w:ascii="Times New Roman" w:hAnsi="Times New Roman"/>
                <w:sz w:val="24"/>
              </w:rPr>
              <w:t>.</w:t>
            </w:r>
          </w:p>
          <w:p w14:paraId="5B12395C" w14:textId="77777777" w:rsidR="0022315F" w:rsidRPr="00E07C9A" w:rsidRDefault="0022315F"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V tomto riadku sa nevykazujú podiely na akciách zahrnuté ako „neprípustné kapitálové nástroje“.</w:t>
            </w:r>
          </w:p>
          <w:p w14:paraId="652F5782" w14:textId="40600EB5" w:rsidR="0022315F" w:rsidRPr="00E07C9A" w:rsidRDefault="0022315F"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Vykazovaná hodnota zahŕňa emisné ážio súvisiace</w:t>
            </w:r>
            <w:r w:rsidR="009912F8" w:rsidRPr="00E07C9A">
              <w:rPr>
                <w:rStyle w:val="FormatvorlageInstructionsTabelleText"/>
                <w:rFonts w:ascii="Times New Roman" w:hAnsi="Times New Roman"/>
                <w:sz w:val="24"/>
              </w:rPr>
              <w:t xml:space="preserve"> s </w:t>
            </w:r>
            <w:r w:rsidRPr="00E07C9A">
              <w:rPr>
                <w:rStyle w:val="FormatvorlageInstructionsTabelleText"/>
                <w:rFonts w:ascii="Times New Roman" w:hAnsi="Times New Roman"/>
                <w:sz w:val="24"/>
              </w:rPr>
              <w:t>vlastnými akciami.</w:t>
            </w:r>
          </w:p>
          <w:p w14:paraId="643D154E" w14:textId="73319838" w:rsidR="0022315F" w:rsidRPr="00E07C9A" w:rsidRDefault="0022315F" w:rsidP="007F6E9E">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Položky 1.1.2.1.4 až 1.1.2.1.4.3 nezahŕňajú skutočné alebo podmienené záväzky kúpiť nástroje vlastného AT1. Skutočné alebo podmienené záväzky kúpiť nástroje vlastného AT1 sa vykazujú osobitne</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položke 1.1.2.1.5.</w:t>
            </w:r>
          </w:p>
        </w:tc>
      </w:tr>
      <w:tr w:rsidR="0022315F" w:rsidRPr="00E07C9A" w14:paraId="30F256BF" w14:textId="77777777" w:rsidTr="00D731E3">
        <w:tc>
          <w:tcPr>
            <w:tcW w:w="1129" w:type="dxa"/>
          </w:tcPr>
          <w:p w14:paraId="0F4C2AE2" w14:textId="77777777" w:rsidR="0022315F" w:rsidRPr="00E07C9A" w:rsidRDefault="00CF1093"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0590</w:t>
            </w:r>
          </w:p>
        </w:tc>
        <w:tc>
          <w:tcPr>
            <w:tcW w:w="7620" w:type="dxa"/>
          </w:tcPr>
          <w:p w14:paraId="7815E8B4" w14:textId="77777777" w:rsidR="0022315F" w:rsidRPr="00E07C9A" w:rsidRDefault="0022315F" w:rsidP="00487A02">
            <w:pPr>
              <w:pStyle w:val="InstructionsText"/>
              <w:rPr>
                <w:rStyle w:val="FormatvorlageInstructionsTabelleText"/>
                <w:rFonts w:ascii="Times New Roman" w:hAnsi="Times New Roman"/>
                <w:b/>
                <w:sz w:val="24"/>
                <w:u w:val="single"/>
              </w:rPr>
            </w:pPr>
            <w:r w:rsidRPr="00E07C9A">
              <w:rPr>
                <w:rStyle w:val="InstructionsTabelleberschrift"/>
                <w:rFonts w:ascii="Times New Roman" w:hAnsi="Times New Roman"/>
                <w:sz w:val="24"/>
              </w:rPr>
              <w:t>1.1.2.1.4.1.</w:t>
            </w:r>
            <w:r w:rsidRPr="00E07C9A">
              <w:tab/>
            </w:r>
            <w:r w:rsidRPr="00E07C9A">
              <w:rPr>
                <w:rStyle w:val="InstructionsTabelleberschrift"/>
                <w:rFonts w:ascii="Times New Roman" w:hAnsi="Times New Roman"/>
                <w:sz w:val="24"/>
              </w:rPr>
              <w:t>(–) Priame podiely na nástrojoch AT1</w:t>
            </w:r>
          </w:p>
          <w:p w14:paraId="7B8D41F7" w14:textId="5CD805D1" w:rsidR="0022315F" w:rsidRPr="00E07C9A" w:rsidRDefault="0022315F"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 xml:space="preserve"> Článok 4 ods. 1 bod 144, článok 52 ods. 1 písm. b), článok 56 písm. a)</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článok 57</w:t>
            </w:r>
            <w:r w:rsidRPr="00E07C9A">
              <w:t xml:space="preserve">nariadenia (EÚ) </w:t>
            </w:r>
            <w:r w:rsidR="009912F8" w:rsidRPr="00E07C9A">
              <w:t>č. 575/2013</w:t>
            </w:r>
          </w:p>
          <w:p w14:paraId="7528953E" w14:textId="3E68B71E" w:rsidR="0022315F" w:rsidRPr="00E07C9A" w:rsidRDefault="0022315F"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Nástroje dodatočného kapitálu Tier 1 zahrnuté</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položke 1.1.2.1.1 držané inštitúciami konsolidovanej skupiny</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hodnoty nástrojov AT1, ktoré sa majú odpočítať</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súlade</w:t>
            </w:r>
            <w:r w:rsidR="009912F8" w:rsidRPr="00E07C9A">
              <w:rPr>
                <w:rStyle w:val="FormatvorlageInstructionsTabelleText"/>
                <w:rFonts w:ascii="Times New Roman" w:hAnsi="Times New Roman"/>
                <w:sz w:val="24"/>
              </w:rPr>
              <w:t xml:space="preserve"> s </w:t>
            </w:r>
            <w:r w:rsidRPr="00E07C9A">
              <w:rPr>
                <w:rStyle w:val="FormatvorlageInstructionsTabelleText"/>
                <w:rFonts w:ascii="Times New Roman" w:hAnsi="Times New Roman"/>
                <w:sz w:val="24"/>
              </w:rPr>
              <w:t>článkom 28 ods. 2 delegovaného nariaden</w:t>
            </w:r>
            <w:r w:rsidR="009912F8" w:rsidRPr="00E07C9A">
              <w:rPr>
                <w:rStyle w:val="FormatvorlageInstructionsTabelleText"/>
                <w:rFonts w:ascii="Times New Roman" w:hAnsi="Times New Roman"/>
                <w:sz w:val="24"/>
              </w:rPr>
              <w:t>ia (EÚ) č. </w:t>
            </w:r>
            <w:r w:rsidRPr="00E07C9A">
              <w:rPr>
                <w:rStyle w:val="FormatvorlageInstructionsTabelleText"/>
                <w:rFonts w:ascii="Times New Roman" w:hAnsi="Times New Roman"/>
                <w:sz w:val="24"/>
              </w:rPr>
              <w:t xml:space="preserve">241/2014. </w:t>
            </w:r>
          </w:p>
        </w:tc>
      </w:tr>
      <w:tr w:rsidR="0022315F" w:rsidRPr="00E07C9A" w14:paraId="2736D86F" w14:textId="77777777" w:rsidTr="00D731E3">
        <w:tc>
          <w:tcPr>
            <w:tcW w:w="1129" w:type="dxa"/>
          </w:tcPr>
          <w:p w14:paraId="5BF6B487" w14:textId="77777777" w:rsidR="0022315F" w:rsidRPr="00E07C9A" w:rsidRDefault="00CF1093"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0620</w:t>
            </w:r>
          </w:p>
        </w:tc>
        <w:tc>
          <w:tcPr>
            <w:tcW w:w="7620" w:type="dxa"/>
          </w:tcPr>
          <w:p w14:paraId="22788266" w14:textId="77777777" w:rsidR="0022315F" w:rsidRPr="00E07C9A" w:rsidRDefault="0022315F" w:rsidP="00487A02">
            <w:pPr>
              <w:pStyle w:val="InstructionsText"/>
              <w:rPr>
                <w:rStyle w:val="FormatvorlageInstructionsTabelleText"/>
                <w:rFonts w:ascii="Times New Roman" w:hAnsi="Times New Roman"/>
                <w:b/>
                <w:sz w:val="24"/>
                <w:u w:val="single"/>
              </w:rPr>
            </w:pPr>
            <w:r w:rsidRPr="00E07C9A">
              <w:rPr>
                <w:rStyle w:val="InstructionsTabelleberschrift"/>
                <w:rFonts w:ascii="Times New Roman" w:hAnsi="Times New Roman"/>
                <w:sz w:val="24"/>
              </w:rPr>
              <w:t>1.1.2.1.4.2.</w:t>
            </w:r>
            <w:r w:rsidRPr="00E07C9A">
              <w:tab/>
            </w:r>
            <w:r w:rsidRPr="00E07C9A">
              <w:rPr>
                <w:rStyle w:val="InstructionsTabelleberschrift"/>
                <w:rFonts w:ascii="Times New Roman" w:hAnsi="Times New Roman"/>
                <w:sz w:val="24"/>
              </w:rPr>
              <w:t>(–) Nepriame podiely na nástrojoch AT1</w:t>
            </w:r>
          </w:p>
          <w:p w14:paraId="042F575A" w14:textId="26B667ED" w:rsidR="0022315F" w:rsidRPr="00E07C9A" w:rsidRDefault="0022315F" w:rsidP="00634EC4">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Článok 52 ods. 1 písm. b) bod ii), článok 56 písm. a)</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 xml:space="preserve">článok 57 </w:t>
            </w:r>
            <w:r w:rsidRPr="00E07C9A">
              <w:t xml:space="preserve">nariadenia (EÚ) </w:t>
            </w:r>
            <w:r w:rsidR="009912F8" w:rsidRPr="00E07C9A">
              <w:t>č. 575/2013</w:t>
            </w:r>
          </w:p>
        </w:tc>
      </w:tr>
      <w:tr w:rsidR="0022315F" w:rsidRPr="00E07C9A" w14:paraId="608989AC" w14:textId="77777777" w:rsidTr="00D731E3">
        <w:tc>
          <w:tcPr>
            <w:tcW w:w="1129" w:type="dxa"/>
          </w:tcPr>
          <w:p w14:paraId="7E19F1C3" w14:textId="77777777" w:rsidR="0022315F" w:rsidRPr="00E07C9A" w:rsidRDefault="00CF1093"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0621</w:t>
            </w:r>
          </w:p>
        </w:tc>
        <w:tc>
          <w:tcPr>
            <w:tcW w:w="7620" w:type="dxa"/>
          </w:tcPr>
          <w:p w14:paraId="445CC511" w14:textId="77777777" w:rsidR="0022315F" w:rsidRPr="00E07C9A" w:rsidRDefault="0022315F" w:rsidP="00487A02">
            <w:pPr>
              <w:pStyle w:val="InstructionsText"/>
            </w:pPr>
            <w:r w:rsidRPr="00E07C9A">
              <w:rPr>
                <w:rStyle w:val="InstructionsTabelleberschrift"/>
                <w:rFonts w:ascii="Times New Roman" w:hAnsi="Times New Roman"/>
                <w:sz w:val="24"/>
              </w:rPr>
              <w:t>1.1.2.1.4.3.</w:t>
            </w:r>
            <w:r w:rsidRPr="00E07C9A">
              <w:tab/>
            </w:r>
            <w:r w:rsidRPr="00E07C9A">
              <w:rPr>
                <w:rStyle w:val="InstructionsTabelleberschrift"/>
                <w:rFonts w:ascii="Times New Roman" w:hAnsi="Times New Roman"/>
                <w:sz w:val="24"/>
              </w:rPr>
              <w:t>(–) Syntetické podiely na nástrojoch AT1</w:t>
            </w:r>
          </w:p>
          <w:p w14:paraId="36010780" w14:textId="0F710C48" w:rsidR="0022315F" w:rsidRPr="00E07C9A" w:rsidRDefault="0022315F" w:rsidP="00BA5699">
            <w:pPr>
              <w:pStyle w:val="InstructionsText"/>
              <w:rPr>
                <w:rStyle w:val="InstructionsTabelleberschrift"/>
                <w:rFonts w:ascii="Times New Roman" w:hAnsi="Times New Roman"/>
                <w:b w:val="0"/>
                <w:bCs w:val="0"/>
                <w:sz w:val="24"/>
                <w:u w:val="none"/>
              </w:rPr>
            </w:pPr>
            <w:r w:rsidRPr="00E07C9A">
              <w:t xml:space="preserve"> Článok 4 ods. 1 bod 126, článok 52 ods. 1 písm. b), článok 56 písm. a)</w:t>
            </w:r>
            <w:r w:rsidR="009912F8" w:rsidRPr="00E07C9A">
              <w:t xml:space="preserve"> a </w:t>
            </w:r>
            <w:r w:rsidRPr="00E07C9A">
              <w:rPr>
                <w:rStyle w:val="FormatvorlageInstructionsTabelleText"/>
                <w:rFonts w:ascii="Times New Roman" w:hAnsi="Times New Roman"/>
                <w:sz w:val="24"/>
              </w:rPr>
              <w:t>článok 57</w:t>
            </w:r>
            <w:r w:rsidRPr="00E07C9A">
              <w:t xml:space="preserve">nariadenia (EÚ) </w:t>
            </w:r>
            <w:r w:rsidR="009912F8" w:rsidRPr="00E07C9A">
              <w:t>č. 575/2013</w:t>
            </w:r>
          </w:p>
        </w:tc>
      </w:tr>
      <w:tr w:rsidR="0022315F" w:rsidRPr="00E07C9A" w14:paraId="0587899F" w14:textId="77777777" w:rsidTr="00D731E3">
        <w:tc>
          <w:tcPr>
            <w:tcW w:w="1129" w:type="dxa"/>
          </w:tcPr>
          <w:p w14:paraId="177372F7" w14:textId="77777777" w:rsidR="0022315F" w:rsidRPr="00E07C9A" w:rsidRDefault="00CF1093"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lastRenderedPageBreak/>
              <w:t>0622</w:t>
            </w:r>
          </w:p>
        </w:tc>
        <w:tc>
          <w:tcPr>
            <w:tcW w:w="7620" w:type="dxa"/>
          </w:tcPr>
          <w:p w14:paraId="430E1B49" w14:textId="77777777" w:rsidR="0022315F" w:rsidRPr="00E07C9A" w:rsidRDefault="0022315F" w:rsidP="00487A02">
            <w:pPr>
              <w:pStyle w:val="InstructionsText"/>
              <w:rPr>
                <w:rStyle w:val="FormatvorlageInstructionsTabelleText"/>
                <w:rFonts w:ascii="Times New Roman" w:hAnsi="Times New Roman"/>
                <w:b/>
                <w:sz w:val="24"/>
                <w:u w:val="single"/>
              </w:rPr>
            </w:pPr>
            <w:r w:rsidRPr="00E07C9A">
              <w:rPr>
                <w:rStyle w:val="InstructionsTabelleberschrift"/>
                <w:rFonts w:ascii="Times New Roman" w:hAnsi="Times New Roman"/>
                <w:sz w:val="24"/>
              </w:rPr>
              <w:t>1.1.2.1.5.</w:t>
            </w:r>
            <w:r w:rsidRPr="00E07C9A">
              <w:tab/>
            </w:r>
            <w:r w:rsidRPr="00E07C9A">
              <w:rPr>
                <w:rStyle w:val="InstructionsTabelleberschrift"/>
                <w:rFonts w:ascii="Times New Roman" w:hAnsi="Times New Roman"/>
                <w:sz w:val="24"/>
              </w:rPr>
              <w:t>(–) Skutočné alebo podmienené záväzky kúpiť nástroje vlastného AT1</w:t>
            </w:r>
          </w:p>
          <w:p w14:paraId="0F39AA25" w14:textId="777B3D4C" w:rsidR="0022315F" w:rsidRPr="00E07C9A" w:rsidRDefault="00BA5699"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Článok 56 písm. a)</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 xml:space="preserve">článok 57 </w:t>
            </w:r>
            <w:r w:rsidRPr="00E07C9A">
              <w:t xml:space="preserve">nariadenia (EÚ) </w:t>
            </w:r>
            <w:r w:rsidR="009912F8" w:rsidRPr="00E07C9A">
              <w:t>č. 575/2013</w:t>
            </w:r>
          </w:p>
          <w:p w14:paraId="32411320" w14:textId="610FD31A" w:rsidR="0022315F" w:rsidRPr="00E07C9A" w:rsidRDefault="0022315F"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b w:val="0"/>
                <w:sz w:val="24"/>
                <w:u w:val="none"/>
              </w:rPr>
              <w:t xml:space="preserve">Podľa </w:t>
            </w:r>
            <w:r w:rsidRPr="00E07C9A">
              <w:rPr>
                <w:rStyle w:val="FormatvorlageInstructionsTabelleText"/>
                <w:rFonts w:ascii="Times New Roman" w:hAnsi="Times New Roman"/>
                <w:sz w:val="24"/>
              </w:rPr>
              <w:t>článku 56 písm. a)</w:t>
            </w:r>
            <w:r w:rsidR="009912F8" w:rsidRPr="00E07C9A">
              <w:rPr>
                <w:rStyle w:val="FormatvorlageInstructionsTabelleText"/>
                <w:rFonts w:ascii="Times New Roman" w:hAnsi="Times New Roman"/>
                <w:sz w:val="24"/>
              </w:rPr>
              <w:t xml:space="preserve"> </w:t>
            </w:r>
            <w:r w:rsidRPr="00E07C9A">
              <w:t xml:space="preserve">nariadenia (EÚ) </w:t>
            </w:r>
            <w:r w:rsidR="009912F8" w:rsidRPr="00E07C9A">
              <w:t>č. 575/2013</w:t>
            </w:r>
            <w:r w:rsidRPr="00E07C9A">
              <w:rPr>
                <w:rStyle w:val="InstructionsTabelleberschrift"/>
                <w:rFonts w:ascii="Times New Roman" w:hAnsi="Times New Roman"/>
                <w:b w:val="0"/>
                <w:sz w:val="24"/>
                <w:u w:val="none"/>
              </w:rPr>
              <w:t>sa odpočítavajú „</w:t>
            </w:r>
            <w:r w:rsidRPr="00E07C9A">
              <w:t>nástroje vlastného dodatočného kapitálu Tier 1, ktoré by inštitúcia mohla byť povinná odkúpiť</w:t>
            </w:r>
            <w:r w:rsidR="009912F8" w:rsidRPr="00E07C9A">
              <w:t xml:space="preserve"> v </w:t>
            </w:r>
            <w:r w:rsidRPr="00E07C9A">
              <w:t>dôsledku existujúcich zmluvných záväzkov“.</w:t>
            </w:r>
          </w:p>
        </w:tc>
      </w:tr>
      <w:tr w:rsidR="0022315F" w:rsidRPr="00E07C9A" w14:paraId="77B4803A" w14:textId="77777777" w:rsidTr="00D731E3">
        <w:tc>
          <w:tcPr>
            <w:tcW w:w="1129" w:type="dxa"/>
          </w:tcPr>
          <w:p w14:paraId="3BB747D1" w14:textId="77777777" w:rsidR="0022315F" w:rsidRPr="00E07C9A" w:rsidRDefault="00CF1093"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0660</w:t>
            </w:r>
          </w:p>
        </w:tc>
        <w:tc>
          <w:tcPr>
            <w:tcW w:w="7620" w:type="dxa"/>
          </w:tcPr>
          <w:p w14:paraId="014AF977" w14:textId="60F43708" w:rsidR="0022315F" w:rsidRPr="00E07C9A" w:rsidRDefault="0022315F" w:rsidP="00487A02">
            <w:pPr>
              <w:pStyle w:val="InstructionsText"/>
              <w:rPr>
                <w:rStyle w:val="FormatvorlageInstructionsTabelleText"/>
                <w:rFonts w:ascii="Times New Roman" w:hAnsi="Times New Roman"/>
                <w:b/>
                <w:sz w:val="24"/>
                <w:u w:val="single"/>
              </w:rPr>
            </w:pPr>
            <w:r w:rsidRPr="00E07C9A">
              <w:rPr>
                <w:rStyle w:val="InstructionsTabelleberschrift"/>
                <w:rFonts w:ascii="Times New Roman" w:hAnsi="Times New Roman"/>
                <w:sz w:val="24"/>
              </w:rPr>
              <w:t>1.1.2.2.</w:t>
            </w:r>
            <w:r w:rsidRPr="00E07C9A">
              <w:tab/>
            </w:r>
            <w:r w:rsidRPr="00E07C9A">
              <w:rPr>
                <w:rStyle w:val="InstructionsTabelleberschrift"/>
                <w:rFonts w:ascii="Times New Roman" w:hAnsi="Times New Roman"/>
                <w:sz w:val="24"/>
              </w:rPr>
              <w:t>Prechodné úpravy na základe nástrojov kapitálu AT1, ktoré sa zachovali</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predchádzajúcom stave</w:t>
            </w:r>
          </w:p>
          <w:p w14:paraId="34510A38" w14:textId="3DCEEF49" w:rsidR="0022315F" w:rsidRPr="00E07C9A" w:rsidRDefault="0022315F"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Článok 483 ods. 4</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5, články 484 až 487, články 489</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491</w:t>
            </w:r>
            <w:r w:rsidRPr="00E07C9A">
              <w:t xml:space="preserve">nariadenia (EÚ) </w:t>
            </w:r>
            <w:r w:rsidR="009912F8" w:rsidRPr="00E07C9A">
              <w:t>č. 575/2013</w:t>
            </w:r>
          </w:p>
          <w:p w14:paraId="2401E4D5" w14:textId="7E7F2CDA" w:rsidR="0022315F" w:rsidRPr="00E07C9A" w:rsidRDefault="0022315F"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Hodnota kapitálových nástrojov, ktoré sa prechodne zachovali</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predchádzajúcom stave ako AT1. Vykazovaná hodnota sa získa priamo zo vzoru CA5.</w:t>
            </w:r>
          </w:p>
        </w:tc>
      </w:tr>
      <w:tr w:rsidR="0022315F" w:rsidRPr="00E07C9A" w14:paraId="05746E43" w14:textId="77777777" w:rsidTr="00D731E3">
        <w:tc>
          <w:tcPr>
            <w:tcW w:w="1129" w:type="dxa"/>
          </w:tcPr>
          <w:p w14:paraId="62A82625" w14:textId="77777777" w:rsidR="0022315F" w:rsidRPr="00E07C9A" w:rsidRDefault="00CF1093"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0670</w:t>
            </w:r>
          </w:p>
        </w:tc>
        <w:tc>
          <w:tcPr>
            <w:tcW w:w="7620" w:type="dxa"/>
          </w:tcPr>
          <w:p w14:paraId="67CC3F6B" w14:textId="4A25F47D" w:rsidR="0022315F" w:rsidRPr="00E07C9A" w:rsidRDefault="0022315F" w:rsidP="00487A02">
            <w:pPr>
              <w:pStyle w:val="InstructionsText"/>
              <w:rPr>
                <w:rStyle w:val="FormatvorlageInstructionsTabelleText"/>
                <w:rFonts w:ascii="Times New Roman" w:hAnsi="Times New Roman"/>
                <w:b/>
                <w:sz w:val="24"/>
                <w:u w:val="single"/>
              </w:rPr>
            </w:pPr>
            <w:r w:rsidRPr="00E07C9A">
              <w:rPr>
                <w:rStyle w:val="InstructionsTabelleberschrift"/>
                <w:rFonts w:ascii="Times New Roman" w:hAnsi="Times New Roman"/>
                <w:sz w:val="24"/>
              </w:rPr>
              <w:t>1.1.2.3.</w:t>
            </w:r>
            <w:r w:rsidRPr="00E07C9A">
              <w:tab/>
            </w:r>
            <w:r w:rsidRPr="00E07C9A">
              <w:rPr>
                <w:rStyle w:val="InstructionsTabelleberschrift"/>
                <w:rFonts w:ascii="Times New Roman" w:hAnsi="Times New Roman"/>
                <w:sz w:val="24"/>
              </w:rPr>
              <w:t>Nástroje emitované dcérskymi spoločnosťami, ktoré sa uznali</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kapitáli AT1</w:t>
            </w:r>
          </w:p>
          <w:p w14:paraId="21A9CDE1" w14:textId="1B037473" w:rsidR="0022315F" w:rsidRPr="00E07C9A" w:rsidRDefault="0022315F"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Články 83, 85</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 xml:space="preserve">86 </w:t>
            </w:r>
            <w:r w:rsidRPr="00E07C9A">
              <w:t xml:space="preserve">nariadenia (EÚ) </w:t>
            </w:r>
            <w:r w:rsidR="009912F8" w:rsidRPr="00E07C9A">
              <w:t>č. 575/2013</w:t>
            </w:r>
          </w:p>
          <w:p w14:paraId="0A4BFAB2" w14:textId="77777777" w:rsidR="0022315F" w:rsidRPr="00E07C9A" w:rsidRDefault="0022315F"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Súčet všetkých hodnôt kvalifikovaného kapitálu T1 dcérskych spoločností, ktorý sa zahŕňa do konsolidovaného AT1.</w:t>
            </w:r>
          </w:p>
          <w:p w14:paraId="1FDD3CDB" w14:textId="34BC16EF" w:rsidR="0022315F" w:rsidRPr="00E07C9A" w:rsidRDefault="0022315F"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Zahrnie sa kvalifikovaný kapitál AT1 emitovaný účelovo vytvoreným subjektom [článok 83</w:t>
            </w:r>
            <w:r w:rsidRPr="00E07C9A">
              <w:t xml:space="preserve"> nariadenia (EÚ) </w:t>
            </w:r>
            <w:r w:rsidR="009912F8" w:rsidRPr="00E07C9A">
              <w:t>č. 575/2013</w:t>
            </w:r>
            <w:r w:rsidRPr="00E07C9A">
              <w:rPr>
                <w:rStyle w:val="FormatvorlageInstructionsTabelleText"/>
                <w:rFonts w:ascii="Times New Roman" w:hAnsi="Times New Roman"/>
                <w:sz w:val="24"/>
              </w:rPr>
              <w:t>].</w:t>
            </w:r>
          </w:p>
        </w:tc>
      </w:tr>
      <w:tr w:rsidR="0022315F" w:rsidRPr="00E07C9A" w14:paraId="7E7583D8" w14:textId="77777777" w:rsidTr="00D731E3">
        <w:tc>
          <w:tcPr>
            <w:tcW w:w="1129" w:type="dxa"/>
          </w:tcPr>
          <w:p w14:paraId="5EB6A581" w14:textId="77777777" w:rsidR="0022315F" w:rsidRPr="00E07C9A" w:rsidRDefault="00CF1093"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0680</w:t>
            </w:r>
          </w:p>
        </w:tc>
        <w:tc>
          <w:tcPr>
            <w:tcW w:w="7620" w:type="dxa"/>
          </w:tcPr>
          <w:p w14:paraId="1FF8234D" w14:textId="71727D54" w:rsidR="0022315F" w:rsidRPr="00E07C9A" w:rsidRDefault="0022315F" w:rsidP="00487A02">
            <w:pPr>
              <w:pStyle w:val="InstructionsText"/>
              <w:rPr>
                <w:rStyle w:val="FormatvorlageInstructionsTabelleText"/>
                <w:rFonts w:ascii="Times New Roman" w:hAnsi="Times New Roman"/>
                <w:b/>
                <w:sz w:val="24"/>
                <w:u w:val="single"/>
              </w:rPr>
            </w:pPr>
            <w:r w:rsidRPr="00E07C9A">
              <w:rPr>
                <w:rStyle w:val="InstructionsTabelleberschrift"/>
                <w:rFonts w:ascii="Times New Roman" w:hAnsi="Times New Roman"/>
                <w:sz w:val="24"/>
              </w:rPr>
              <w:t>1.1.2.4.</w:t>
            </w:r>
            <w:r w:rsidRPr="00E07C9A">
              <w:tab/>
            </w:r>
            <w:r w:rsidRPr="00E07C9A">
              <w:rPr>
                <w:rStyle w:val="InstructionsTabelleberschrift"/>
                <w:rFonts w:ascii="Times New Roman" w:hAnsi="Times New Roman"/>
                <w:sz w:val="24"/>
              </w:rPr>
              <w:t>Prechodné úpravy na základe dodatočného vykázania nástrojov emitovaných dcérskymi spoločnosťami</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kapitáli AT1</w:t>
            </w:r>
          </w:p>
          <w:p w14:paraId="0D6F07DC" w14:textId="6043B2BA" w:rsidR="0022315F" w:rsidRPr="00E07C9A" w:rsidRDefault="0022315F"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 xml:space="preserve">Článok 480 </w:t>
            </w:r>
            <w:r w:rsidRPr="00E07C9A">
              <w:t xml:space="preserve">nariadenia (EÚ) </w:t>
            </w:r>
            <w:r w:rsidR="009912F8" w:rsidRPr="00E07C9A">
              <w:t>č. 575/2013</w:t>
            </w:r>
          </w:p>
          <w:p w14:paraId="778D2FF3" w14:textId="77777777" w:rsidR="0022315F" w:rsidRPr="00E07C9A" w:rsidRDefault="0022315F"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Úpravy kvalifikovaného kapitálu T1 zahrnutého do konsolidovaného kapitálu AT1 na základe prechodných ustanovení. Táto položka sa získa priamo zo vzoru CA5.</w:t>
            </w:r>
          </w:p>
        </w:tc>
      </w:tr>
      <w:tr w:rsidR="0022315F" w:rsidRPr="00E07C9A" w14:paraId="19AFFA2C" w14:textId="77777777" w:rsidTr="00D731E3">
        <w:tc>
          <w:tcPr>
            <w:tcW w:w="1129" w:type="dxa"/>
          </w:tcPr>
          <w:p w14:paraId="7D4FFE5C" w14:textId="77777777" w:rsidR="0022315F" w:rsidRPr="00E07C9A" w:rsidRDefault="00CF1093"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0690</w:t>
            </w:r>
          </w:p>
        </w:tc>
        <w:tc>
          <w:tcPr>
            <w:tcW w:w="7620" w:type="dxa"/>
          </w:tcPr>
          <w:p w14:paraId="00DE0A3C" w14:textId="77777777" w:rsidR="0022315F" w:rsidRPr="00E07C9A" w:rsidRDefault="0022315F" w:rsidP="00487A02">
            <w:pPr>
              <w:pStyle w:val="InstructionsText"/>
              <w:rPr>
                <w:rStyle w:val="FormatvorlageInstructionsTabelleText"/>
                <w:rFonts w:ascii="Times New Roman" w:hAnsi="Times New Roman"/>
                <w:b/>
                <w:sz w:val="24"/>
                <w:u w:val="single"/>
              </w:rPr>
            </w:pPr>
            <w:r w:rsidRPr="00E07C9A">
              <w:rPr>
                <w:rStyle w:val="InstructionsTabelleberschrift"/>
                <w:rFonts w:ascii="Times New Roman" w:hAnsi="Times New Roman"/>
                <w:sz w:val="24"/>
              </w:rPr>
              <w:t>1.1.2.5.</w:t>
            </w:r>
            <w:r w:rsidRPr="00E07C9A">
              <w:tab/>
            </w:r>
            <w:r w:rsidRPr="00E07C9A">
              <w:rPr>
                <w:rStyle w:val="InstructionsTabelleberschrift"/>
                <w:rFonts w:ascii="Times New Roman" w:hAnsi="Times New Roman"/>
                <w:sz w:val="24"/>
              </w:rPr>
              <w:t>(–) Recipročné krížové podiely na kapitáli AT1</w:t>
            </w:r>
          </w:p>
          <w:p w14:paraId="613B482E" w14:textId="61D785D9" w:rsidR="0022315F" w:rsidRPr="00E07C9A" w:rsidRDefault="0022315F"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 xml:space="preserve"> Článok 4 ods. 1 bod 122, článok 56 písm. b)</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 xml:space="preserve">článok 58 </w:t>
            </w:r>
            <w:r w:rsidRPr="00E07C9A">
              <w:t xml:space="preserve">nariadenia (EÚ) </w:t>
            </w:r>
            <w:r w:rsidR="009912F8" w:rsidRPr="00E07C9A">
              <w:t>č. 575/2013</w:t>
            </w:r>
          </w:p>
          <w:p w14:paraId="3A4D093E" w14:textId="65DDB307" w:rsidR="0022315F" w:rsidRPr="00E07C9A" w:rsidRDefault="0022315F"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Podiely na nástrojoch AT1 subjektov finančného sektora [podľa vymedzenia</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článku 4 ods. 1 bode 27</w:t>
            </w:r>
            <w:r w:rsidRPr="00E07C9A">
              <w:t xml:space="preserve"> nariadenia (EÚ) </w:t>
            </w:r>
            <w:r w:rsidR="009912F8" w:rsidRPr="00E07C9A">
              <w:t>č. 575/2013</w:t>
            </w:r>
            <w:r w:rsidRPr="00E07C9A">
              <w:rPr>
                <w:rStyle w:val="FormatvorlageInstructionsTabelleText"/>
                <w:rFonts w:ascii="Times New Roman" w:hAnsi="Times New Roman"/>
                <w:sz w:val="24"/>
              </w:rPr>
              <w:t>], keď existuje recipročný krížový podiel,</w:t>
            </w:r>
            <w:r w:rsidR="009912F8" w:rsidRPr="00E07C9A">
              <w:rPr>
                <w:rStyle w:val="FormatvorlageInstructionsTabelleText"/>
                <w:rFonts w:ascii="Times New Roman" w:hAnsi="Times New Roman"/>
                <w:sz w:val="24"/>
              </w:rPr>
              <w:t xml:space="preserve"> o </w:t>
            </w:r>
            <w:r w:rsidRPr="00E07C9A">
              <w:rPr>
                <w:rStyle w:val="FormatvorlageInstructionsTabelleText"/>
                <w:rFonts w:ascii="Times New Roman" w:hAnsi="Times New Roman"/>
                <w:sz w:val="24"/>
              </w:rPr>
              <w:t>ktorom sa príslušný orgán domnieva, že má umelo zvyšovať vlastné zdroje inštitúcie.</w:t>
            </w:r>
          </w:p>
          <w:p w14:paraId="3868707B" w14:textId="4975096D" w:rsidR="0022315F" w:rsidRPr="00E07C9A" w:rsidRDefault="0022315F"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Vykazovaná hodnota sa vypočíta na základe brutto dlhých pozícií</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zahŕňa dodatočné poistné položky vlastných zdrojov Tier 1.</w:t>
            </w:r>
          </w:p>
        </w:tc>
      </w:tr>
      <w:tr w:rsidR="0022315F" w:rsidRPr="00E07C9A" w14:paraId="09AAF0BF" w14:textId="77777777" w:rsidTr="00D731E3">
        <w:tc>
          <w:tcPr>
            <w:tcW w:w="1129" w:type="dxa"/>
          </w:tcPr>
          <w:p w14:paraId="0F1D3B82" w14:textId="77777777" w:rsidR="0022315F" w:rsidRPr="00E07C9A" w:rsidRDefault="00CF1093"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0700</w:t>
            </w:r>
          </w:p>
        </w:tc>
        <w:tc>
          <w:tcPr>
            <w:tcW w:w="7620" w:type="dxa"/>
          </w:tcPr>
          <w:p w14:paraId="6F80B5AD" w14:textId="67993B91" w:rsidR="0022315F" w:rsidRPr="00E07C9A" w:rsidRDefault="0022315F" w:rsidP="00487A02">
            <w:pPr>
              <w:pStyle w:val="InstructionsText"/>
              <w:rPr>
                <w:rStyle w:val="FormatvorlageInstructionsTabelleText"/>
                <w:rFonts w:ascii="Times New Roman" w:hAnsi="Times New Roman"/>
                <w:b/>
                <w:sz w:val="24"/>
                <w:u w:val="single"/>
              </w:rPr>
            </w:pPr>
            <w:r w:rsidRPr="00E07C9A">
              <w:rPr>
                <w:rStyle w:val="InstructionsTabelleberschrift"/>
                <w:rFonts w:ascii="Times New Roman" w:hAnsi="Times New Roman"/>
                <w:sz w:val="24"/>
              </w:rPr>
              <w:t>1.1.2.6.</w:t>
            </w:r>
            <w:r w:rsidRPr="00E07C9A">
              <w:tab/>
            </w:r>
            <w:r w:rsidRPr="00E07C9A">
              <w:rPr>
                <w:rStyle w:val="InstructionsTabelleberschrift"/>
                <w:rFonts w:ascii="Times New Roman" w:hAnsi="Times New Roman"/>
                <w:sz w:val="24"/>
              </w:rPr>
              <w:t>(–) Nástroje AT1 subjektov finančného sektora,</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ktorých inštitúcia nemá významnú investíciu</w:t>
            </w:r>
          </w:p>
          <w:p w14:paraId="37C6AAAE" w14:textId="36A101F6" w:rsidR="0022315F" w:rsidRPr="00E07C9A" w:rsidRDefault="00BA5699"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Článok 4 ods. 1 bod 27, článok 56 písm. c), články 59, 60</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 xml:space="preserve">79 </w:t>
            </w:r>
            <w:r w:rsidRPr="00E07C9A">
              <w:t xml:space="preserve">nariadenia (EÚ) </w:t>
            </w:r>
            <w:r w:rsidR="009912F8" w:rsidRPr="00E07C9A">
              <w:t>č. 575/2013</w:t>
            </w:r>
          </w:p>
          <w:p w14:paraId="5B8EA05D" w14:textId="5D4454A2" w:rsidR="0022315F" w:rsidRPr="00E07C9A" w:rsidRDefault="0022315F"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lastRenderedPageBreak/>
              <w:t>Časť podielov inštitúcie na nástrojoch subjektov finančného sektora [podľa vymedzenia</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 xml:space="preserve">článku 4 ods. 1 bode 27 </w:t>
            </w:r>
            <w:r w:rsidRPr="00E07C9A">
              <w:t xml:space="preserve">nariadenia (EÚ) </w:t>
            </w:r>
            <w:r w:rsidR="009912F8" w:rsidRPr="00E07C9A">
              <w:t>č. 575/2013</w:t>
            </w:r>
            <w:r w:rsidRPr="00E07C9A">
              <w:rPr>
                <w:rStyle w:val="FormatvorlageInstructionsTabelleText"/>
                <w:rFonts w:ascii="Times New Roman" w:hAnsi="Times New Roman"/>
                <w:sz w:val="24"/>
              </w:rPr>
              <w:t>], keď inštitúcia nemá významnú investíciu, ktorá sa musí odpočítať od AT1.</w:t>
            </w:r>
          </w:p>
        </w:tc>
      </w:tr>
      <w:tr w:rsidR="0022315F" w:rsidRPr="00E07C9A" w14:paraId="1CDD721D" w14:textId="77777777" w:rsidTr="00D731E3">
        <w:tc>
          <w:tcPr>
            <w:tcW w:w="1129" w:type="dxa"/>
          </w:tcPr>
          <w:p w14:paraId="7DE28482" w14:textId="77777777" w:rsidR="0022315F" w:rsidRPr="00E07C9A" w:rsidRDefault="00CF1093"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lastRenderedPageBreak/>
              <w:t>0710</w:t>
            </w:r>
          </w:p>
        </w:tc>
        <w:tc>
          <w:tcPr>
            <w:tcW w:w="7620" w:type="dxa"/>
          </w:tcPr>
          <w:p w14:paraId="7602671C" w14:textId="5E8A30C1" w:rsidR="0022315F" w:rsidRPr="00E07C9A" w:rsidRDefault="0022315F" w:rsidP="00487A02">
            <w:pPr>
              <w:pStyle w:val="InstructionsText"/>
              <w:rPr>
                <w:rStyle w:val="FormatvorlageInstructionsTabelleText"/>
                <w:rFonts w:ascii="Times New Roman" w:hAnsi="Times New Roman"/>
                <w:b/>
                <w:sz w:val="24"/>
                <w:u w:val="single"/>
              </w:rPr>
            </w:pPr>
            <w:r w:rsidRPr="00E07C9A">
              <w:rPr>
                <w:rStyle w:val="InstructionsTabelleberschrift"/>
                <w:rFonts w:ascii="Times New Roman" w:hAnsi="Times New Roman"/>
                <w:sz w:val="24"/>
              </w:rPr>
              <w:t>1.1.2.7.</w:t>
            </w:r>
            <w:r w:rsidRPr="00E07C9A">
              <w:tab/>
            </w:r>
            <w:r w:rsidRPr="00E07C9A">
              <w:rPr>
                <w:rStyle w:val="InstructionsTabelleberschrift"/>
                <w:rFonts w:ascii="Times New Roman" w:hAnsi="Times New Roman"/>
                <w:sz w:val="24"/>
              </w:rPr>
              <w:t>(–) Nástroje AT1 subjektov finančného sektora,</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ktorých inštitúcia má významnú investíciu</w:t>
            </w:r>
          </w:p>
          <w:p w14:paraId="553A8EFD" w14:textId="5535D324" w:rsidR="0022315F" w:rsidRPr="00E07C9A" w:rsidRDefault="00BA5699"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Článok 4 ods. 1 bod 27, článok 56 písm. d), články 59</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 xml:space="preserve">79 </w:t>
            </w:r>
            <w:r w:rsidRPr="00E07C9A">
              <w:t xml:space="preserve">nariadenia (EÚ) </w:t>
            </w:r>
            <w:r w:rsidR="009912F8" w:rsidRPr="00E07C9A">
              <w:t>č. 575/2013</w:t>
            </w:r>
          </w:p>
          <w:p w14:paraId="428C5674" w14:textId="3924E1FD" w:rsidR="0022315F" w:rsidRPr="00E07C9A" w:rsidRDefault="0022315F"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Podiely inštitúcie na nástrojoch AT1 subjektov finančného sektora [podľa vymedzenia</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článku 4 ods. 1 bode 27</w:t>
            </w:r>
            <w:r w:rsidRPr="00E07C9A">
              <w:t xml:space="preserve"> nariadenia (EÚ) </w:t>
            </w:r>
            <w:r w:rsidR="009912F8" w:rsidRPr="00E07C9A">
              <w:t>č. 575/2013</w:t>
            </w:r>
            <w:r w:rsidRPr="00E07C9A">
              <w:rPr>
                <w:rStyle w:val="FormatvorlageInstructionsTabelleText"/>
                <w:rFonts w:ascii="Times New Roman" w:hAnsi="Times New Roman"/>
                <w:sz w:val="24"/>
              </w:rPr>
              <w:t>], keď inštitúcia má významnú investíciu, sa odpočítajú</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plnej výške.</w:t>
            </w:r>
          </w:p>
        </w:tc>
      </w:tr>
      <w:tr w:rsidR="0022315F" w:rsidRPr="00E07C9A" w14:paraId="2DA2C533" w14:textId="77777777" w:rsidTr="00D731E3">
        <w:tc>
          <w:tcPr>
            <w:tcW w:w="1129" w:type="dxa"/>
          </w:tcPr>
          <w:p w14:paraId="766F916F" w14:textId="77777777" w:rsidR="0022315F" w:rsidRPr="00E07C9A" w:rsidRDefault="00CF1093"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0720</w:t>
            </w:r>
          </w:p>
        </w:tc>
        <w:tc>
          <w:tcPr>
            <w:tcW w:w="7620" w:type="dxa"/>
          </w:tcPr>
          <w:p w14:paraId="5F391E51" w14:textId="77777777" w:rsidR="009912F8" w:rsidRPr="00E07C9A" w:rsidRDefault="0022315F"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1.1.2.8.</w:t>
            </w:r>
            <w:r w:rsidRPr="00E07C9A">
              <w:tab/>
            </w:r>
            <w:r w:rsidRPr="00E07C9A">
              <w:rPr>
                <w:rStyle w:val="InstructionsTabelleberschrift"/>
                <w:rFonts w:ascii="Times New Roman" w:hAnsi="Times New Roman"/>
                <w:sz w:val="24"/>
              </w:rPr>
              <w:t>(–) Nadbytok odpočtov od položiek T2 presahujúci kapitál T2</w:t>
            </w:r>
          </w:p>
          <w:p w14:paraId="6160D036" w14:textId="7CA996E7" w:rsidR="0022315F" w:rsidRPr="00E07C9A" w:rsidRDefault="00BA5699"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 xml:space="preserve">Článok 56 písm. e) </w:t>
            </w:r>
            <w:r w:rsidRPr="00E07C9A">
              <w:t xml:space="preserve">nariadenia (EÚ) </w:t>
            </w:r>
            <w:r w:rsidR="009912F8" w:rsidRPr="00E07C9A">
              <w:t>č. 575/2013</w:t>
            </w:r>
          </w:p>
          <w:p w14:paraId="5A208BDF" w14:textId="77508003" w:rsidR="0022315F" w:rsidRPr="00E07C9A" w:rsidRDefault="0022315F"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Hodnota, ktorá sa má vykázať, sa získa priamo zo vzoru CA1</w:t>
            </w:r>
            <w:r w:rsidR="009912F8" w:rsidRPr="00E07C9A">
              <w:rPr>
                <w:rStyle w:val="FormatvorlageInstructionsTabelleText"/>
                <w:rFonts w:ascii="Times New Roman" w:hAnsi="Times New Roman"/>
                <w:sz w:val="24"/>
              </w:rPr>
              <w:t xml:space="preserve"> z </w:t>
            </w:r>
            <w:r w:rsidRPr="00E07C9A">
              <w:rPr>
                <w:rStyle w:val="FormatvorlageInstructionsTabelleText"/>
                <w:rFonts w:ascii="Times New Roman" w:hAnsi="Times New Roman"/>
                <w:sz w:val="24"/>
              </w:rPr>
              <w:t>položky „nadbytok odpočtov od položiek T2 presahujúci kapitál T2“ (odpočítané</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AT1).</w:t>
            </w:r>
          </w:p>
        </w:tc>
      </w:tr>
      <w:tr w:rsidR="0022315F" w:rsidRPr="00E07C9A" w14:paraId="3441D1E2" w14:textId="77777777" w:rsidTr="00D731E3">
        <w:tc>
          <w:tcPr>
            <w:tcW w:w="1129" w:type="dxa"/>
          </w:tcPr>
          <w:p w14:paraId="5874118A" w14:textId="77777777" w:rsidR="0022315F" w:rsidRPr="00E07C9A" w:rsidRDefault="00CF1093"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0730</w:t>
            </w:r>
          </w:p>
        </w:tc>
        <w:tc>
          <w:tcPr>
            <w:tcW w:w="7620" w:type="dxa"/>
          </w:tcPr>
          <w:p w14:paraId="77D1B711" w14:textId="77777777" w:rsidR="0022315F" w:rsidRPr="00E07C9A" w:rsidRDefault="0022315F"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1.1.2.9.</w:t>
            </w:r>
            <w:r w:rsidRPr="00E07C9A">
              <w:tab/>
            </w:r>
            <w:r w:rsidRPr="00E07C9A">
              <w:rPr>
                <w:rStyle w:val="InstructionsTabelleberschrift"/>
                <w:rFonts w:ascii="Times New Roman" w:hAnsi="Times New Roman"/>
                <w:sz w:val="24"/>
              </w:rPr>
              <w:t>Ostatné prechodné úpravy kapitálu AT1</w:t>
            </w:r>
          </w:p>
          <w:p w14:paraId="43690282" w14:textId="092D003D" w:rsidR="0022315F" w:rsidRPr="00E07C9A" w:rsidRDefault="0022315F"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Články 472, 473a, 474, 475, 478</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 xml:space="preserve">481 </w:t>
            </w:r>
            <w:r w:rsidRPr="00E07C9A">
              <w:t xml:space="preserve">nariadenia (EÚ) </w:t>
            </w:r>
            <w:r w:rsidR="009912F8" w:rsidRPr="00E07C9A">
              <w:t>č. 575/2013</w:t>
            </w:r>
          </w:p>
          <w:p w14:paraId="2E920E78" w14:textId="77777777" w:rsidR="0022315F" w:rsidRPr="00E07C9A" w:rsidRDefault="0022315F"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Úpravy na základe prechodných ustanovení. Vykazovaná hodnota sa získa priamo zo vzoru CA5.</w:t>
            </w:r>
          </w:p>
        </w:tc>
      </w:tr>
      <w:tr w:rsidR="0022315F" w:rsidRPr="00E07C9A" w14:paraId="15DAAB4F" w14:textId="77777777" w:rsidTr="00D731E3">
        <w:tc>
          <w:tcPr>
            <w:tcW w:w="1129" w:type="dxa"/>
          </w:tcPr>
          <w:p w14:paraId="5C1D9F18" w14:textId="77777777" w:rsidR="0022315F" w:rsidRPr="00E07C9A" w:rsidRDefault="00CF1093"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0740</w:t>
            </w:r>
          </w:p>
        </w:tc>
        <w:tc>
          <w:tcPr>
            <w:tcW w:w="7620" w:type="dxa"/>
          </w:tcPr>
          <w:p w14:paraId="776D4D4F" w14:textId="6C54F39E" w:rsidR="0022315F" w:rsidRPr="00E07C9A" w:rsidRDefault="0022315F" w:rsidP="00487A02">
            <w:pPr>
              <w:pStyle w:val="InstructionsText"/>
              <w:rPr>
                <w:rStyle w:val="FormatvorlageInstructionsTabelleText"/>
                <w:rFonts w:ascii="Times New Roman" w:hAnsi="Times New Roman"/>
                <w:b/>
                <w:sz w:val="24"/>
                <w:u w:val="single"/>
              </w:rPr>
            </w:pPr>
            <w:r w:rsidRPr="00E07C9A">
              <w:rPr>
                <w:rStyle w:val="InstructionsTabelleberschrift"/>
                <w:rFonts w:ascii="Times New Roman" w:hAnsi="Times New Roman"/>
                <w:sz w:val="24"/>
              </w:rPr>
              <w:t>1.1.2.10.</w:t>
            </w:r>
            <w:r w:rsidRPr="00E07C9A">
              <w:tab/>
            </w:r>
            <w:r w:rsidRPr="00E07C9A">
              <w:rPr>
                <w:rStyle w:val="InstructionsTabelleberschrift"/>
                <w:rFonts w:ascii="Times New Roman" w:hAnsi="Times New Roman"/>
                <w:sz w:val="24"/>
              </w:rPr>
              <w:t>Nadbytok odpočtov od položiek AT1 presahujúci kapitál AT1 (odpočítané</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CET1)</w:t>
            </w:r>
          </w:p>
          <w:p w14:paraId="373BB7A0" w14:textId="1FE59C46" w:rsidR="0022315F" w:rsidRPr="00E07C9A" w:rsidRDefault="0022315F"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 xml:space="preserve">Článok 36 ods. 1 písm. j) </w:t>
            </w:r>
            <w:r w:rsidRPr="00E07C9A">
              <w:t xml:space="preserve">nariadenia (EÚ) </w:t>
            </w:r>
            <w:r w:rsidR="009912F8" w:rsidRPr="00E07C9A">
              <w:t>č. 575/2013</w:t>
            </w:r>
          </w:p>
          <w:p w14:paraId="09004C92" w14:textId="482BAF99" w:rsidR="0022315F" w:rsidRPr="00E07C9A" w:rsidRDefault="0022315F"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Dodatočný kapitál Tier 1 nemôže byť záporný, ale je možné, aby odpočty AT1 boli väčšie než kapitál AT1 plus súvisiace emisné ážio.</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tomto prípade sa AT1 musí rovnať nule</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nadbytok odpočtov AT1 sa musí odpočítať od CET1.</w:t>
            </w:r>
          </w:p>
          <w:p w14:paraId="6B862F8A" w14:textId="77777777" w:rsidR="0022315F" w:rsidRPr="00E07C9A" w:rsidRDefault="0022315F"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Touto položkou sa dosiahne, že súčet položiek 1.1.2.1 až 1.1.2.12 nie je nikdy nižší než nula. Keď je táto položka kladná, položka 1.1.1.16 je inverznou hodnotou tohto čísla.</w:t>
            </w:r>
          </w:p>
        </w:tc>
      </w:tr>
      <w:tr w:rsidR="0022315F" w:rsidRPr="00E07C9A" w14:paraId="480AC517" w14:textId="77777777" w:rsidTr="00D731E3">
        <w:tc>
          <w:tcPr>
            <w:tcW w:w="1129" w:type="dxa"/>
          </w:tcPr>
          <w:p w14:paraId="00EAB804" w14:textId="77777777" w:rsidR="0022315F" w:rsidRPr="00E07C9A" w:rsidRDefault="00CF1093"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0744</w:t>
            </w:r>
          </w:p>
        </w:tc>
        <w:tc>
          <w:tcPr>
            <w:tcW w:w="7620" w:type="dxa"/>
          </w:tcPr>
          <w:p w14:paraId="47A21B6A" w14:textId="596B8837" w:rsidR="0022315F" w:rsidRPr="00E07C9A" w:rsidRDefault="0022315F"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1.1.2.11.</w:t>
            </w:r>
            <w:r w:rsidRPr="00E07C9A">
              <w:tab/>
            </w:r>
            <w:r w:rsidRPr="00E07C9A">
              <w:rPr>
                <w:rStyle w:val="InstructionsTabelleberschrift"/>
                <w:rFonts w:ascii="Times New Roman" w:hAnsi="Times New Roman"/>
                <w:sz w:val="24"/>
              </w:rPr>
              <w:t xml:space="preserve">(–) Dodatočné odpočty kapitálu AT1 na základe článku 3 nariadenia (EÚ) </w:t>
            </w:r>
            <w:r w:rsidR="009912F8" w:rsidRPr="00E07C9A">
              <w:rPr>
                <w:rStyle w:val="InstructionsTabelleberschrift"/>
                <w:rFonts w:ascii="Times New Roman" w:hAnsi="Times New Roman"/>
                <w:sz w:val="24"/>
              </w:rPr>
              <w:t>č. 575/2013</w:t>
            </w:r>
          </w:p>
          <w:p w14:paraId="3102808F" w14:textId="2799247C" w:rsidR="0022315F" w:rsidRPr="00E07C9A" w:rsidRDefault="0022315F" w:rsidP="00487A02">
            <w:pPr>
              <w:pStyle w:val="InstructionsText"/>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 xml:space="preserve">Článok 3 </w:t>
            </w:r>
            <w:r w:rsidRPr="00E07C9A">
              <w:t xml:space="preserve">nariadenia (EÚ) </w:t>
            </w:r>
            <w:r w:rsidR="009912F8" w:rsidRPr="00E07C9A">
              <w:t>č. 575/2013</w:t>
            </w:r>
          </w:p>
        </w:tc>
      </w:tr>
      <w:tr w:rsidR="0022315F" w:rsidRPr="00E07C9A" w14:paraId="60F9DA61" w14:textId="77777777" w:rsidTr="00D731E3">
        <w:tc>
          <w:tcPr>
            <w:tcW w:w="1129" w:type="dxa"/>
          </w:tcPr>
          <w:p w14:paraId="6037E6B5" w14:textId="77777777" w:rsidR="0022315F" w:rsidRPr="00E07C9A" w:rsidRDefault="00CF1093"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0748</w:t>
            </w:r>
          </w:p>
        </w:tc>
        <w:tc>
          <w:tcPr>
            <w:tcW w:w="7620" w:type="dxa"/>
          </w:tcPr>
          <w:p w14:paraId="5B9AA869" w14:textId="77777777" w:rsidR="0022315F" w:rsidRPr="00E07C9A" w:rsidRDefault="0022315F" w:rsidP="00487A02">
            <w:pPr>
              <w:pStyle w:val="InstructionsText"/>
              <w:rPr>
                <w:rStyle w:val="InstructionsTabelleberschrift"/>
                <w:rFonts w:ascii="Times New Roman" w:hAnsi="Times New Roman"/>
                <w:b w:val="0"/>
                <w:sz w:val="24"/>
                <w:u w:val="none"/>
              </w:rPr>
            </w:pPr>
            <w:r w:rsidRPr="00E07C9A">
              <w:rPr>
                <w:rStyle w:val="InstructionsTabelleberschrift"/>
                <w:rFonts w:ascii="Times New Roman" w:hAnsi="Times New Roman"/>
                <w:sz w:val="24"/>
              </w:rPr>
              <w:t>1.1.2.12.</w:t>
            </w:r>
            <w:r w:rsidRPr="00E07C9A">
              <w:tab/>
            </w:r>
            <w:r w:rsidRPr="00E07C9A">
              <w:rPr>
                <w:rStyle w:val="InstructionsTabelleberschrift"/>
                <w:rFonts w:ascii="Times New Roman" w:hAnsi="Times New Roman"/>
                <w:sz w:val="24"/>
              </w:rPr>
              <w:t>Prvky alebo odpočty kapitálu AT1 – iné</w:t>
            </w:r>
          </w:p>
          <w:p w14:paraId="1CC73464" w14:textId="089C4E9F" w:rsidR="009912F8" w:rsidRPr="00E07C9A" w:rsidRDefault="0022315F" w:rsidP="00487A02">
            <w:pPr>
              <w:pStyle w:val="InstructionsText"/>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Týmto riadkom sa má poskytovať flexibilita výlučne na účely vykazovania. Vypĺňa sa len</w:t>
            </w:r>
            <w:r w:rsidR="009912F8" w:rsidRPr="00E07C9A">
              <w:rPr>
                <w:rStyle w:val="InstructionsTabelleberschrift"/>
                <w:rFonts w:ascii="Times New Roman" w:hAnsi="Times New Roman"/>
                <w:b w:val="0"/>
                <w:sz w:val="24"/>
                <w:u w:val="none"/>
              </w:rPr>
              <w:t xml:space="preserve"> v </w:t>
            </w:r>
            <w:r w:rsidRPr="00E07C9A">
              <w:rPr>
                <w:rStyle w:val="InstructionsTabelleberschrift"/>
                <w:rFonts w:ascii="Times New Roman" w:hAnsi="Times New Roman"/>
                <w:b w:val="0"/>
                <w:sz w:val="24"/>
                <w:u w:val="none"/>
              </w:rPr>
              <w:t>ojedinelých prípadoch, keď nebolo prijaté konečné rozhodnutie</w:t>
            </w:r>
            <w:r w:rsidR="009912F8" w:rsidRPr="00E07C9A">
              <w:rPr>
                <w:rStyle w:val="InstructionsTabelleberschrift"/>
                <w:rFonts w:ascii="Times New Roman" w:hAnsi="Times New Roman"/>
                <w:b w:val="0"/>
                <w:sz w:val="24"/>
                <w:u w:val="none"/>
              </w:rPr>
              <w:t xml:space="preserve"> o </w:t>
            </w:r>
            <w:r w:rsidRPr="00E07C9A">
              <w:rPr>
                <w:rStyle w:val="InstructionsTabelleberschrift"/>
                <w:rFonts w:ascii="Times New Roman" w:hAnsi="Times New Roman"/>
                <w:b w:val="0"/>
                <w:sz w:val="24"/>
                <w:u w:val="none"/>
              </w:rPr>
              <w:t>vykázaní určitých kapitálových položiek/odpočtov</w:t>
            </w:r>
            <w:r w:rsidR="009912F8" w:rsidRPr="00E07C9A">
              <w:rPr>
                <w:rStyle w:val="InstructionsTabelleberschrift"/>
                <w:rFonts w:ascii="Times New Roman" w:hAnsi="Times New Roman"/>
                <w:b w:val="0"/>
                <w:sz w:val="24"/>
                <w:u w:val="none"/>
              </w:rPr>
              <w:t xml:space="preserve"> v </w:t>
            </w:r>
            <w:r w:rsidRPr="00E07C9A">
              <w:rPr>
                <w:rStyle w:val="InstructionsTabelleberschrift"/>
                <w:rFonts w:ascii="Times New Roman" w:hAnsi="Times New Roman"/>
                <w:b w:val="0"/>
                <w:sz w:val="24"/>
                <w:u w:val="none"/>
              </w:rPr>
              <w:t>aktuálnom vzore CA1. Tento riadok sa preto vypĺňa, len keď prvok kapitálu AT1 alebo odpočet od prvku AT1 nie je možné priradiť</w:t>
            </w:r>
            <w:r w:rsidR="009912F8" w:rsidRPr="00E07C9A">
              <w:rPr>
                <w:rStyle w:val="InstructionsTabelleberschrift"/>
                <w:rFonts w:ascii="Times New Roman" w:hAnsi="Times New Roman"/>
                <w:b w:val="0"/>
                <w:sz w:val="24"/>
                <w:u w:val="none"/>
              </w:rPr>
              <w:t xml:space="preserve"> k </w:t>
            </w:r>
            <w:r w:rsidRPr="00E07C9A">
              <w:rPr>
                <w:rStyle w:val="InstructionsTabelleberschrift"/>
                <w:rFonts w:ascii="Times New Roman" w:hAnsi="Times New Roman"/>
                <w:b w:val="0"/>
                <w:sz w:val="24"/>
                <w:u w:val="none"/>
              </w:rPr>
              <w:t>žiadnemu</w:t>
            </w:r>
            <w:r w:rsidR="009912F8" w:rsidRPr="00E07C9A">
              <w:rPr>
                <w:rStyle w:val="InstructionsTabelleberschrift"/>
                <w:rFonts w:ascii="Times New Roman" w:hAnsi="Times New Roman"/>
                <w:b w:val="0"/>
                <w:sz w:val="24"/>
                <w:u w:val="none"/>
              </w:rPr>
              <w:t xml:space="preserve"> z </w:t>
            </w:r>
            <w:r w:rsidRPr="00E07C9A">
              <w:rPr>
                <w:rStyle w:val="InstructionsTabelleberschrift"/>
                <w:rFonts w:ascii="Times New Roman" w:hAnsi="Times New Roman"/>
                <w:b w:val="0"/>
                <w:sz w:val="24"/>
                <w:u w:val="none"/>
              </w:rPr>
              <w:t>riadkov 530 až 744</w:t>
            </w:r>
            <w:r w:rsidR="009912F8" w:rsidRPr="00E07C9A">
              <w:rPr>
                <w:rStyle w:val="InstructionsTabelleberschrift"/>
                <w:rFonts w:ascii="Times New Roman" w:hAnsi="Times New Roman"/>
                <w:b w:val="0"/>
                <w:sz w:val="24"/>
                <w:u w:val="none"/>
              </w:rPr>
              <w:t>.</w:t>
            </w:r>
          </w:p>
          <w:p w14:paraId="27256754" w14:textId="1F18DA2C" w:rsidR="0022315F" w:rsidRPr="00E07C9A" w:rsidRDefault="0022315F" w:rsidP="00566DB5">
            <w:pPr>
              <w:pStyle w:val="InstructionsText"/>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Tento riadok sa nepoužíva na začlenenie kapitálových položiek/odpočtov, ktoré nepokrýva</w:t>
            </w:r>
            <w:r w:rsidRPr="00E07C9A">
              <w:t xml:space="preserve"> nariadenie (EÚ) </w:t>
            </w:r>
            <w:r w:rsidR="009912F8" w:rsidRPr="00E07C9A">
              <w:t>č. 575/2013</w:t>
            </w:r>
            <w:r w:rsidRPr="00E07C9A">
              <w:rPr>
                <w:rStyle w:val="InstructionsTabelleberschrift"/>
                <w:rFonts w:ascii="Times New Roman" w:hAnsi="Times New Roman"/>
                <w:b w:val="0"/>
                <w:sz w:val="24"/>
                <w:u w:val="none"/>
              </w:rPr>
              <w:t>, do výpočtu pomerov platobnej schopnosti (napr. začlenenie vnútroštátnych kapitálových položiek/odpočtov, ktoré nepatria do rozsahu pôsobnosti</w:t>
            </w:r>
            <w:r w:rsidRPr="00E07C9A">
              <w:t xml:space="preserve"> uvedeného nariadenia</w:t>
            </w:r>
            <w:r w:rsidRPr="00E07C9A">
              <w:rPr>
                <w:rStyle w:val="InstructionsTabelleberschrift"/>
                <w:rFonts w:ascii="Times New Roman" w:hAnsi="Times New Roman"/>
                <w:b w:val="0"/>
                <w:sz w:val="24"/>
                <w:u w:val="none"/>
              </w:rPr>
              <w:t>).</w:t>
            </w:r>
          </w:p>
        </w:tc>
      </w:tr>
      <w:tr w:rsidR="0022315F" w:rsidRPr="00E07C9A" w14:paraId="1E471132" w14:textId="77777777" w:rsidTr="00D731E3">
        <w:tc>
          <w:tcPr>
            <w:tcW w:w="1129" w:type="dxa"/>
          </w:tcPr>
          <w:p w14:paraId="6C3BA569" w14:textId="77777777" w:rsidR="0022315F" w:rsidRPr="00E07C9A" w:rsidRDefault="00CF1093"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lastRenderedPageBreak/>
              <w:t>0750</w:t>
            </w:r>
          </w:p>
        </w:tc>
        <w:tc>
          <w:tcPr>
            <w:tcW w:w="7620" w:type="dxa"/>
          </w:tcPr>
          <w:p w14:paraId="474595BF" w14:textId="77777777" w:rsidR="0022315F" w:rsidRPr="00E07C9A" w:rsidRDefault="0022315F" w:rsidP="00487A02">
            <w:pPr>
              <w:pStyle w:val="InstructionsText"/>
              <w:rPr>
                <w:rStyle w:val="FormatvorlageInstructionsTabelleText"/>
                <w:rFonts w:ascii="Times New Roman" w:hAnsi="Times New Roman"/>
                <w:b/>
                <w:sz w:val="24"/>
                <w:u w:val="single"/>
              </w:rPr>
            </w:pPr>
            <w:r w:rsidRPr="00E07C9A">
              <w:rPr>
                <w:rStyle w:val="InstructionsTabelleberschrift"/>
                <w:rFonts w:ascii="Times New Roman" w:hAnsi="Times New Roman"/>
                <w:sz w:val="24"/>
              </w:rPr>
              <w:t>1.2.</w:t>
            </w:r>
            <w:r w:rsidRPr="00E07C9A">
              <w:tab/>
            </w:r>
            <w:r w:rsidRPr="00E07C9A">
              <w:rPr>
                <w:rStyle w:val="InstructionsTabelleberschrift"/>
                <w:rFonts w:ascii="Times New Roman" w:hAnsi="Times New Roman"/>
                <w:sz w:val="24"/>
              </w:rPr>
              <w:t>KAPITÁL TIER 2</w:t>
            </w:r>
          </w:p>
          <w:p w14:paraId="538E89BE" w14:textId="37255023" w:rsidR="0022315F" w:rsidRPr="00E07C9A" w:rsidRDefault="0022315F"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 xml:space="preserve">Článok 71 </w:t>
            </w:r>
            <w:r w:rsidRPr="00E07C9A">
              <w:t xml:space="preserve">nariadenia (EÚ) </w:t>
            </w:r>
            <w:r w:rsidR="009912F8" w:rsidRPr="00E07C9A">
              <w:t>č. 575/2013</w:t>
            </w:r>
          </w:p>
        </w:tc>
      </w:tr>
      <w:tr w:rsidR="0022315F" w:rsidRPr="00E07C9A" w14:paraId="472DD548" w14:textId="77777777" w:rsidTr="00D731E3">
        <w:tc>
          <w:tcPr>
            <w:tcW w:w="1129" w:type="dxa"/>
          </w:tcPr>
          <w:p w14:paraId="276B7678" w14:textId="77777777" w:rsidR="0022315F" w:rsidRPr="00E07C9A" w:rsidRDefault="00CF1093"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0760</w:t>
            </w:r>
          </w:p>
        </w:tc>
        <w:tc>
          <w:tcPr>
            <w:tcW w:w="7620" w:type="dxa"/>
          </w:tcPr>
          <w:p w14:paraId="60ACA21F" w14:textId="4073A66F" w:rsidR="0022315F" w:rsidRPr="00E07C9A" w:rsidRDefault="0022315F" w:rsidP="00487A02">
            <w:pPr>
              <w:pStyle w:val="InstructionsText"/>
              <w:rPr>
                <w:rStyle w:val="FormatvorlageInstructionsTabelleText"/>
                <w:rFonts w:ascii="Times New Roman" w:hAnsi="Times New Roman"/>
                <w:b/>
                <w:sz w:val="24"/>
                <w:u w:val="single"/>
              </w:rPr>
            </w:pPr>
            <w:r w:rsidRPr="00E07C9A">
              <w:rPr>
                <w:rStyle w:val="InstructionsTabelleberschrift"/>
                <w:rFonts w:ascii="Times New Roman" w:hAnsi="Times New Roman"/>
                <w:sz w:val="24"/>
              </w:rPr>
              <w:t>1.2.1.</w:t>
            </w:r>
            <w:r w:rsidRPr="00E07C9A">
              <w:tab/>
            </w:r>
            <w:r w:rsidRPr="00E07C9A">
              <w:rPr>
                <w:rStyle w:val="InstructionsTabelleberschrift"/>
                <w:rFonts w:ascii="Times New Roman" w:hAnsi="Times New Roman"/>
                <w:sz w:val="24"/>
              </w:rPr>
              <w:t>Kapitálové nástroje</w:t>
            </w:r>
            <w:r w:rsidR="009912F8" w:rsidRPr="00E07C9A">
              <w:rPr>
                <w:rStyle w:val="InstructionsTabelleberschrift"/>
                <w:rFonts w:ascii="Times New Roman" w:hAnsi="Times New Roman"/>
                <w:sz w:val="24"/>
              </w:rPr>
              <w:t xml:space="preserve"> a </w:t>
            </w:r>
            <w:r w:rsidRPr="00E07C9A">
              <w:rPr>
                <w:rStyle w:val="InstructionsTabelleberschrift"/>
                <w:rFonts w:ascii="Times New Roman" w:hAnsi="Times New Roman"/>
                <w:sz w:val="24"/>
              </w:rPr>
              <w:t>emisné ážiá prípustné ako kapitál T2</w:t>
            </w:r>
          </w:p>
          <w:p w14:paraId="59D478DE" w14:textId="258FE491" w:rsidR="0022315F" w:rsidRPr="00E07C9A" w:rsidRDefault="0022315F" w:rsidP="00BA5699">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Článok 62 písm. a), články 63 až 65, článok 66 písm. a)</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 xml:space="preserve">článok 67 </w:t>
            </w:r>
            <w:r w:rsidRPr="00E07C9A">
              <w:t xml:space="preserve">nariadenia (EÚ) </w:t>
            </w:r>
            <w:r w:rsidR="009912F8" w:rsidRPr="00E07C9A">
              <w:t>č. 575/2013</w:t>
            </w:r>
          </w:p>
        </w:tc>
      </w:tr>
      <w:tr w:rsidR="0022315F" w:rsidRPr="00E07C9A" w14:paraId="48D0F570" w14:textId="77777777" w:rsidTr="00D731E3">
        <w:tc>
          <w:tcPr>
            <w:tcW w:w="1129" w:type="dxa"/>
          </w:tcPr>
          <w:p w14:paraId="445C15EE" w14:textId="77777777" w:rsidR="0022315F" w:rsidRPr="00E07C9A" w:rsidRDefault="00CF1093"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0771</w:t>
            </w:r>
          </w:p>
        </w:tc>
        <w:tc>
          <w:tcPr>
            <w:tcW w:w="7620" w:type="dxa"/>
          </w:tcPr>
          <w:p w14:paraId="1BC21F15" w14:textId="77777777" w:rsidR="0022315F" w:rsidRPr="00E07C9A" w:rsidRDefault="0022315F" w:rsidP="00487A02">
            <w:pPr>
              <w:pStyle w:val="InstructionsText"/>
              <w:rPr>
                <w:rStyle w:val="FormatvorlageInstructionsTabelleText"/>
                <w:rFonts w:ascii="Times New Roman" w:hAnsi="Times New Roman"/>
                <w:b/>
                <w:sz w:val="24"/>
                <w:u w:val="single"/>
              </w:rPr>
            </w:pPr>
            <w:r w:rsidRPr="00E07C9A">
              <w:rPr>
                <w:rStyle w:val="InstructionsTabelleberschrift"/>
                <w:rFonts w:ascii="Times New Roman" w:hAnsi="Times New Roman"/>
                <w:sz w:val="24"/>
              </w:rPr>
              <w:t>1.2.1.1.</w:t>
            </w:r>
            <w:r w:rsidRPr="00E07C9A">
              <w:tab/>
            </w:r>
            <w:r w:rsidRPr="00E07C9A">
              <w:rPr>
                <w:rStyle w:val="InstructionsTabelleberschrift"/>
                <w:rFonts w:ascii="Times New Roman" w:hAnsi="Times New Roman"/>
                <w:sz w:val="24"/>
              </w:rPr>
              <w:t>Úplne splatené, priamo emitované kapitálové nástroje</w:t>
            </w:r>
          </w:p>
          <w:p w14:paraId="012F3762" w14:textId="6A056F04" w:rsidR="0022315F" w:rsidRPr="00E07C9A" w:rsidRDefault="00BA5699"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Článok 62 písm. a), články 63</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65</w:t>
            </w:r>
            <w:r w:rsidRPr="00E07C9A">
              <w:t xml:space="preserve">nariadenia (EÚ) </w:t>
            </w:r>
            <w:r w:rsidR="009912F8" w:rsidRPr="00E07C9A">
              <w:t>č. 575/2013</w:t>
            </w:r>
          </w:p>
          <w:p w14:paraId="06D4CDF1" w14:textId="32BB5F60" w:rsidR="009912F8" w:rsidRPr="00E07C9A" w:rsidRDefault="0022315F"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Vykazovaná hodnota nezahŕňa emisné ážio súvisiace</w:t>
            </w:r>
            <w:r w:rsidR="009912F8" w:rsidRPr="00E07C9A">
              <w:rPr>
                <w:rStyle w:val="FormatvorlageInstructionsTabelleText"/>
                <w:rFonts w:ascii="Times New Roman" w:hAnsi="Times New Roman"/>
                <w:sz w:val="24"/>
              </w:rPr>
              <w:t xml:space="preserve"> s </w:t>
            </w:r>
            <w:r w:rsidRPr="00E07C9A">
              <w:rPr>
                <w:rStyle w:val="FormatvorlageInstructionsTabelleText"/>
                <w:rFonts w:ascii="Times New Roman" w:hAnsi="Times New Roman"/>
                <w:sz w:val="24"/>
              </w:rPr>
              <w:t>nástrojmi</w:t>
            </w:r>
            <w:r w:rsidR="009912F8" w:rsidRPr="00E07C9A">
              <w:rPr>
                <w:rStyle w:val="FormatvorlageInstructionsTabelleText"/>
                <w:rFonts w:ascii="Times New Roman" w:hAnsi="Times New Roman"/>
                <w:sz w:val="24"/>
              </w:rPr>
              <w:t>.</w:t>
            </w:r>
          </w:p>
          <w:p w14:paraId="56D51D46" w14:textId="409CBD56" w:rsidR="0022315F" w:rsidRPr="00E07C9A" w:rsidRDefault="0022315F"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Kapitálové nástroje môžu pozostávať</w:t>
            </w:r>
            <w:r w:rsidR="009912F8" w:rsidRPr="00E07C9A">
              <w:rPr>
                <w:rStyle w:val="FormatvorlageInstructionsTabelleText"/>
                <w:rFonts w:ascii="Times New Roman" w:hAnsi="Times New Roman"/>
                <w:sz w:val="24"/>
              </w:rPr>
              <w:t xml:space="preserve"> z </w:t>
            </w:r>
            <w:r w:rsidRPr="00E07C9A">
              <w:rPr>
                <w:rStyle w:val="FormatvorlageInstructionsTabelleText"/>
                <w:rFonts w:ascii="Times New Roman" w:hAnsi="Times New Roman"/>
                <w:sz w:val="24"/>
              </w:rPr>
              <w:t>vlastného imania alebo záväzkov vrátane podriadených úverov, ktoré spĺňajú kritériá prípustnosti.</w:t>
            </w:r>
          </w:p>
        </w:tc>
      </w:tr>
      <w:tr w:rsidR="0022315F" w:rsidRPr="00E07C9A" w14:paraId="4F09D0C4" w14:textId="77777777" w:rsidTr="00D731E3">
        <w:tc>
          <w:tcPr>
            <w:tcW w:w="1129" w:type="dxa"/>
          </w:tcPr>
          <w:p w14:paraId="1364942B" w14:textId="77777777" w:rsidR="0022315F" w:rsidRPr="00E07C9A" w:rsidRDefault="00CF1093"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0780</w:t>
            </w:r>
          </w:p>
        </w:tc>
        <w:tc>
          <w:tcPr>
            <w:tcW w:w="7620" w:type="dxa"/>
          </w:tcPr>
          <w:p w14:paraId="1494FE3B" w14:textId="77777777" w:rsidR="0022315F" w:rsidRPr="00E07C9A" w:rsidRDefault="0022315F" w:rsidP="00487A02">
            <w:pPr>
              <w:pStyle w:val="InstructionsText"/>
              <w:rPr>
                <w:rStyle w:val="FormatvorlageInstructionsTabelleText"/>
                <w:rFonts w:ascii="Times New Roman" w:hAnsi="Times New Roman"/>
                <w:b/>
                <w:sz w:val="24"/>
                <w:u w:val="single"/>
              </w:rPr>
            </w:pPr>
            <w:r w:rsidRPr="00E07C9A">
              <w:rPr>
                <w:rStyle w:val="InstructionsTabelleberschrift"/>
                <w:rFonts w:ascii="Times New Roman" w:hAnsi="Times New Roman"/>
                <w:sz w:val="24"/>
              </w:rPr>
              <w:t>1.2.1.2. (*)</w:t>
            </w:r>
            <w:r w:rsidRPr="00E07C9A">
              <w:tab/>
            </w:r>
            <w:r w:rsidRPr="00E07C9A">
              <w:rPr>
                <w:rStyle w:val="InstructionsTabelleberschrift"/>
                <w:rFonts w:ascii="Times New Roman" w:hAnsi="Times New Roman"/>
                <w:sz w:val="24"/>
              </w:rPr>
              <w:t>Doplňujúca položka: neprípustné</w:t>
            </w:r>
            <w:r w:rsidRPr="00E07C9A">
              <w:t xml:space="preserve"> </w:t>
            </w:r>
            <w:r w:rsidRPr="00E07C9A">
              <w:rPr>
                <w:rStyle w:val="InstructionsTabelleberschrift"/>
                <w:rFonts w:ascii="Times New Roman" w:hAnsi="Times New Roman"/>
                <w:sz w:val="24"/>
              </w:rPr>
              <w:t>kapitálové nástroje</w:t>
            </w:r>
          </w:p>
          <w:p w14:paraId="32E9D149" w14:textId="04406F03" w:rsidR="0022315F" w:rsidRPr="00E07C9A" w:rsidRDefault="0022315F"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Článok 63 písm. c), e)</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f)</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článok 64</w:t>
            </w:r>
            <w:r w:rsidRPr="00E07C9A">
              <w:t xml:space="preserve"> nariadenia (EÚ) </w:t>
            </w:r>
            <w:r w:rsidR="009912F8" w:rsidRPr="00E07C9A">
              <w:t>č. 575/2013</w:t>
            </w:r>
          </w:p>
          <w:p w14:paraId="4F0EABAB" w14:textId="2F1FB895" w:rsidR="0022315F" w:rsidRPr="00E07C9A" w:rsidRDefault="0022315F"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Podmienky</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týchto písmenách vyjadrujú rôzne situácie kapitálu, ktoré sa môžu zmeniť, preto hodnota vykazovaná</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tomto riadku môže byť</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ďalších obdobiach prípustná.</w:t>
            </w:r>
          </w:p>
          <w:p w14:paraId="00DCAA46" w14:textId="0A160294" w:rsidR="0022315F" w:rsidRPr="00E07C9A" w:rsidRDefault="0022315F"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Vykazovaná hodnota nezahŕňa emisné ážio súvisiace</w:t>
            </w:r>
            <w:r w:rsidR="009912F8" w:rsidRPr="00E07C9A">
              <w:rPr>
                <w:rStyle w:val="FormatvorlageInstructionsTabelleText"/>
                <w:rFonts w:ascii="Times New Roman" w:hAnsi="Times New Roman"/>
                <w:sz w:val="24"/>
              </w:rPr>
              <w:t xml:space="preserve"> s </w:t>
            </w:r>
            <w:r w:rsidRPr="00E07C9A">
              <w:rPr>
                <w:rStyle w:val="FormatvorlageInstructionsTabelleText"/>
                <w:rFonts w:ascii="Times New Roman" w:hAnsi="Times New Roman"/>
                <w:sz w:val="24"/>
              </w:rPr>
              <w:t>nástrojmi.</w:t>
            </w:r>
          </w:p>
          <w:p w14:paraId="2C7CE92B" w14:textId="3C083A2E" w:rsidR="0022315F" w:rsidRPr="00E07C9A" w:rsidRDefault="0022315F"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Kapitálové nástroje môžu pozostávať</w:t>
            </w:r>
            <w:r w:rsidR="009912F8" w:rsidRPr="00E07C9A">
              <w:rPr>
                <w:rStyle w:val="FormatvorlageInstructionsTabelleText"/>
                <w:rFonts w:ascii="Times New Roman" w:hAnsi="Times New Roman"/>
                <w:sz w:val="24"/>
              </w:rPr>
              <w:t xml:space="preserve"> z </w:t>
            </w:r>
            <w:r w:rsidRPr="00E07C9A">
              <w:rPr>
                <w:rStyle w:val="FormatvorlageInstructionsTabelleText"/>
                <w:rFonts w:ascii="Times New Roman" w:hAnsi="Times New Roman"/>
                <w:sz w:val="24"/>
              </w:rPr>
              <w:t>vlastného imania alebo záväzkov vrátane podriadených úverov.</w:t>
            </w:r>
          </w:p>
        </w:tc>
      </w:tr>
      <w:tr w:rsidR="0022315F" w:rsidRPr="00E07C9A" w14:paraId="79D16C54" w14:textId="77777777" w:rsidTr="00D731E3">
        <w:tc>
          <w:tcPr>
            <w:tcW w:w="1129" w:type="dxa"/>
          </w:tcPr>
          <w:p w14:paraId="469AD2BF" w14:textId="77777777" w:rsidR="0022315F" w:rsidRPr="00E07C9A" w:rsidRDefault="00CF1093"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0791</w:t>
            </w:r>
          </w:p>
        </w:tc>
        <w:tc>
          <w:tcPr>
            <w:tcW w:w="7620" w:type="dxa"/>
          </w:tcPr>
          <w:p w14:paraId="3C93BBF5" w14:textId="77777777" w:rsidR="0022315F" w:rsidRPr="00E07C9A" w:rsidRDefault="0022315F" w:rsidP="00487A02">
            <w:pPr>
              <w:pStyle w:val="InstructionsText"/>
              <w:rPr>
                <w:rStyle w:val="FormatvorlageInstructionsTabelleText"/>
                <w:rFonts w:ascii="Times New Roman" w:hAnsi="Times New Roman"/>
                <w:b/>
                <w:sz w:val="24"/>
                <w:u w:val="single"/>
              </w:rPr>
            </w:pPr>
            <w:r w:rsidRPr="00E07C9A">
              <w:rPr>
                <w:rStyle w:val="InstructionsTabelleberschrift"/>
                <w:rFonts w:ascii="Times New Roman" w:hAnsi="Times New Roman"/>
                <w:sz w:val="24"/>
              </w:rPr>
              <w:t>1.2.1.3.</w:t>
            </w:r>
            <w:r w:rsidRPr="00E07C9A">
              <w:tab/>
            </w:r>
            <w:r w:rsidRPr="00E07C9A">
              <w:rPr>
                <w:rStyle w:val="InstructionsTabelleberschrift"/>
                <w:rFonts w:ascii="Times New Roman" w:hAnsi="Times New Roman"/>
                <w:sz w:val="24"/>
              </w:rPr>
              <w:t>Emisné ážio</w:t>
            </w:r>
          </w:p>
          <w:p w14:paraId="0A9E864A" w14:textId="1B42CAEC" w:rsidR="0022315F" w:rsidRPr="00E07C9A" w:rsidRDefault="00BA5699"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Článok 62 písm. b)</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 xml:space="preserve">článok 65 </w:t>
            </w:r>
            <w:r w:rsidRPr="00E07C9A">
              <w:t xml:space="preserve">nariadenia (EÚ) </w:t>
            </w:r>
            <w:r w:rsidR="009912F8" w:rsidRPr="00E07C9A">
              <w:t>č. 575/2013</w:t>
            </w:r>
          </w:p>
          <w:p w14:paraId="26773DA1" w14:textId="62586D69" w:rsidR="009912F8" w:rsidRPr="00E07C9A" w:rsidRDefault="0022315F"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Emisné ážio má ten istý význam ako</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uplatniteľnom účtovnom štandarde</w:t>
            </w:r>
            <w:r w:rsidR="009912F8" w:rsidRPr="00E07C9A">
              <w:rPr>
                <w:rStyle w:val="FormatvorlageInstructionsTabelleText"/>
                <w:rFonts w:ascii="Times New Roman" w:hAnsi="Times New Roman"/>
                <w:sz w:val="24"/>
              </w:rPr>
              <w:t>.</w:t>
            </w:r>
          </w:p>
          <w:p w14:paraId="5678F810" w14:textId="5685756A" w:rsidR="0022315F" w:rsidRPr="00E07C9A" w:rsidRDefault="0022315F"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Hodnota, ktorá sa má vykázať</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tejto položke, zodpovedá časti súvisiacej</w:t>
            </w:r>
            <w:r w:rsidR="009912F8" w:rsidRPr="00E07C9A">
              <w:rPr>
                <w:rStyle w:val="FormatvorlageInstructionsTabelleText"/>
                <w:rFonts w:ascii="Times New Roman" w:hAnsi="Times New Roman"/>
                <w:sz w:val="24"/>
              </w:rPr>
              <w:t xml:space="preserve"> s </w:t>
            </w:r>
            <w:r w:rsidRPr="00E07C9A">
              <w:rPr>
                <w:rStyle w:val="FormatvorlageInstructionsTabelleText"/>
                <w:rFonts w:ascii="Times New Roman" w:hAnsi="Times New Roman"/>
                <w:sz w:val="24"/>
              </w:rPr>
              <w:t>„úplne splatenými</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priamo emitovanými kapitálovými nástrojmi“.</w:t>
            </w:r>
          </w:p>
        </w:tc>
      </w:tr>
      <w:tr w:rsidR="0022315F" w:rsidRPr="00E07C9A" w14:paraId="616E4FDE" w14:textId="77777777" w:rsidTr="00D731E3">
        <w:tc>
          <w:tcPr>
            <w:tcW w:w="1129" w:type="dxa"/>
          </w:tcPr>
          <w:p w14:paraId="7235CFA5" w14:textId="77777777" w:rsidR="0022315F" w:rsidRPr="00E07C9A" w:rsidRDefault="00CF1093"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0800</w:t>
            </w:r>
          </w:p>
        </w:tc>
        <w:tc>
          <w:tcPr>
            <w:tcW w:w="7620" w:type="dxa"/>
          </w:tcPr>
          <w:p w14:paraId="156BD3F9" w14:textId="77777777" w:rsidR="0022315F" w:rsidRPr="00E07C9A" w:rsidRDefault="0022315F" w:rsidP="00487A02">
            <w:pPr>
              <w:pStyle w:val="InstructionsText"/>
              <w:rPr>
                <w:rStyle w:val="FormatvorlageInstructionsTabelleText"/>
                <w:rFonts w:ascii="Times New Roman" w:hAnsi="Times New Roman"/>
                <w:b/>
                <w:sz w:val="24"/>
                <w:u w:val="single"/>
              </w:rPr>
            </w:pPr>
            <w:r w:rsidRPr="00E07C9A">
              <w:rPr>
                <w:rStyle w:val="InstructionsTabelleberschrift"/>
                <w:rFonts w:ascii="Times New Roman" w:hAnsi="Times New Roman"/>
                <w:sz w:val="24"/>
              </w:rPr>
              <w:t>1.2.1.4.</w:t>
            </w:r>
            <w:r w:rsidRPr="00E07C9A">
              <w:tab/>
            </w:r>
            <w:r w:rsidRPr="00E07C9A">
              <w:rPr>
                <w:rStyle w:val="InstructionsTabelleberschrift"/>
                <w:rFonts w:ascii="Times New Roman" w:hAnsi="Times New Roman"/>
                <w:sz w:val="24"/>
              </w:rPr>
              <w:t>(–) Nástroje vlastného T2</w:t>
            </w:r>
          </w:p>
          <w:p w14:paraId="64AFA1A4" w14:textId="0A47B46E" w:rsidR="0022315F" w:rsidRPr="00E07C9A" w:rsidRDefault="0022315F"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 xml:space="preserve"> Článok 63 písm. b) bod i), článok 66 písm. a)</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 xml:space="preserve">článok 67 </w:t>
            </w:r>
            <w:r w:rsidRPr="00E07C9A">
              <w:t xml:space="preserve">nariadenia (EÚ) </w:t>
            </w:r>
            <w:r w:rsidR="009912F8" w:rsidRPr="00E07C9A">
              <w:t>č. 575/2013</w:t>
            </w:r>
          </w:p>
          <w:p w14:paraId="40D8F488" w14:textId="1A5A64E9" w:rsidR="0022315F" w:rsidRPr="00E07C9A" w:rsidRDefault="0022315F"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Nástroje vlastného T2 držané vykazujúcou inštitúciou alebo skupinou</w:t>
            </w:r>
            <w:r w:rsidR="009912F8" w:rsidRPr="00E07C9A">
              <w:rPr>
                <w:rStyle w:val="FormatvorlageInstructionsTabelleText"/>
                <w:rFonts w:ascii="Times New Roman" w:hAnsi="Times New Roman"/>
                <w:sz w:val="24"/>
              </w:rPr>
              <w:t xml:space="preserve"> k </w:t>
            </w:r>
            <w:r w:rsidRPr="00E07C9A">
              <w:rPr>
                <w:rStyle w:val="FormatvorlageInstructionsTabelleText"/>
                <w:rFonts w:ascii="Times New Roman" w:hAnsi="Times New Roman"/>
                <w:sz w:val="24"/>
              </w:rPr>
              <w:t>dátumu vykazovania</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hodnoty nástrojov T2, ktoré sa majú odpočítať</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súlade</w:t>
            </w:r>
            <w:r w:rsidR="009912F8" w:rsidRPr="00E07C9A">
              <w:rPr>
                <w:rStyle w:val="FormatvorlageInstructionsTabelleText"/>
                <w:rFonts w:ascii="Times New Roman" w:hAnsi="Times New Roman"/>
                <w:sz w:val="24"/>
              </w:rPr>
              <w:t xml:space="preserve"> s </w:t>
            </w:r>
            <w:r w:rsidRPr="00E07C9A">
              <w:rPr>
                <w:rStyle w:val="FormatvorlageInstructionsTabelleText"/>
                <w:rFonts w:ascii="Times New Roman" w:hAnsi="Times New Roman"/>
                <w:sz w:val="24"/>
              </w:rPr>
              <w:t>článkom 28 ods. 2 delegovaného nariadenia (EÚ) č. 241/2014.</w:t>
            </w:r>
            <w:r w:rsidR="009912F8" w:rsidRPr="00E07C9A">
              <w:rPr>
                <w:rStyle w:val="FormatvorlageInstructionsTabelleText"/>
                <w:rFonts w:ascii="Times New Roman" w:hAnsi="Times New Roman"/>
                <w:sz w:val="24"/>
              </w:rPr>
              <w:t xml:space="preserve"> S </w:t>
            </w:r>
            <w:r w:rsidRPr="00E07C9A">
              <w:rPr>
                <w:rStyle w:val="FormatvorlageInstructionsTabelleText"/>
                <w:rFonts w:ascii="Times New Roman" w:hAnsi="Times New Roman"/>
                <w:sz w:val="24"/>
              </w:rPr>
              <w:t>výhradou výnimiek</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 xml:space="preserve">článku 67 </w:t>
            </w:r>
            <w:r w:rsidRPr="00E07C9A">
              <w:t xml:space="preserve">nariadenia (EÚ) </w:t>
            </w:r>
            <w:r w:rsidR="009912F8" w:rsidRPr="00E07C9A">
              <w:t>č. 575/2013</w:t>
            </w:r>
            <w:r w:rsidRPr="00E07C9A">
              <w:rPr>
                <w:rStyle w:val="FormatvorlageInstructionsTabelleText"/>
                <w:rFonts w:ascii="Times New Roman" w:hAnsi="Times New Roman"/>
                <w:sz w:val="24"/>
              </w:rPr>
              <w:t>.</w:t>
            </w:r>
          </w:p>
          <w:p w14:paraId="5E29EB15" w14:textId="77777777" w:rsidR="0022315F" w:rsidRPr="00E07C9A" w:rsidRDefault="0022315F"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V tomto riadku sa nevykazujú podiely na akciách zahrnuté ako „neprípustné kapitálové nástroje“.</w:t>
            </w:r>
          </w:p>
          <w:p w14:paraId="092C7121" w14:textId="72BAF243" w:rsidR="0022315F" w:rsidRPr="00E07C9A" w:rsidRDefault="0022315F"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Vykazovaná hodnota zahŕňa emisné ážio súvisiace</w:t>
            </w:r>
            <w:r w:rsidR="009912F8" w:rsidRPr="00E07C9A">
              <w:rPr>
                <w:rStyle w:val="FormatvorlageInstructionsTabelleText"/>
                <w:rFonts w:ascii="Times New Roman" w:hAnsi="Times New Roman"/>
                <w:sz w:val="24"/>
              </w:rPr>
              <w:t xml:space="preserve"> s </w:t>
            </w:r>
            <w:r w:rsidRPr="00E07C9A">
              <w:rPr>
                <w:rStyle w:val="FormatvorlageInstructionsTabelleText"/>
                <w:rFonts w:ascii="Times New Roman" w:hAnsi="Times New Roman"/>
                <w:sz w:val="24"/>
              </w:rPr>
              <w:t>vlastnými akciami.</w:t>
            </w:r>
          </w:p>
          <w:p w14:paraId="08FCB311" w14:textId="44AE2D51" w:rsidR="0022315F" w:rsidRPr="00E07C9A" w:rsidRDefault="0022315F"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Položky 1.2.1.4 až 1.2.1.4.3 nezahŕňajú skutočné alebo podmienené záväzky kúpiť nástroje vlastného T2. Skutočné alebo podmienené záväzky kúpiť nástroje vlastného T2 sa vykazujú osobitne</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položke 1.2.1.5.</w:t>
            </w:r>
          </w:p>
        </w:tc>
      </w:tr>
      <w:tr w:rsidR="0022315F" w:rsidRPr="00E07C9A" w14:paraId="41FA271A" w14:textId="77777777" w:rsidTr="00D731E3">
        <w:tc>
          <w:tcPr>
            <w:tcW w:w="1129" w:type="dxa"/>
          </w:tcPr>
          <w:p w14:paraId="5FFAD66E" w14:textId="77777777" w:rsidR="0022315F" w:rsidRPr="00E07C9A" w:rsidRDefault="00CF1093"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0810</w:t>
            </w:r>
          </w:p>
        </w:tc>
        <w:tc>
          <w:tcPr>
            <w:tcW w:w="7620" w:type="dxa"/>
          </w:tcPr>
          <w:p w14:paraId="3501318C" w14:textId="77777777" w:rsidR="0022315F" w:rsidRPr="00E07C9A" w:rsidRDefault="0022315F" w:rsidP="00487A02">
            <w:pPr>
              <w:pStyle w:val="InstructionsText"/>
              <w:rPr>
                <w:rStyle w:val="FormatvorlageInstructionsTabelleText"/>
                <w:rFonts w:ascii="Times New Roman" w:hAnsi="Times New Roman"/>
                <w:b/>
                <w:sz w:val="24"/>
                <w:u w:val="single"/>
              </w:rPr>
            </w:pPr>
            <w:r w:rsidRPr="00E07C9A">
              <w:rPr>
                <w:rStyle w:val="InstructionsTabelleberschrift"/>
                <w:rFonts w:ascii="Times New Roman" w:hAnsi="Times New Roman"/>
                <w:sz w:val="24"/>
              </w:rPr>
              <w:t>1.2.1.4.1.</w:t>
            </w:r>
            <w:r w:rsidRPr="00E07C9A">
              <w:tab/>
            </w:r>
            <w:r w:rsidRPr="00E07C9A">
              <w:rPr>
                <w:rStyle w:val="InstructionsTabelleberschrift"/>
                <w:rFonts w:ascii="Times New Roman" w:hAnsi="Times New Roman"/>
                <w:sz w:val="24"/>
              </w:rPr>
              <w:t>(–) Priame podiely na nástrojoch T2</w:t>
            </w:r>
          </w:p>
          <w:p w14:paraId="09D69DCE" w14:textId="17AF4924" w:rsidR="0022315F" w:rsidRPr="00E07C9A" w:rsidRDefault="00BA5699"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lastRenderedPageBreak/>
              <w:t>Článok 63 písm. b), článok 66 písm. a)</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 xml:space="preserve">článok 67 </w:t>
            </w:r>
            <w:r w:rsidRPr="00E07C9A">
              <w:t xml:space="preserve">nariadenia (EÚ) </w:t>
            </w:r>
            <w:r w:rsidR="009912F8" w:rsidRPr="00E07C9A">
              <w:t>č. 575/2013</w:t>
            </w:r>
          </w:p>
          <w:p w14:paraId="0970A86E" w14:textId="194C1C4D" w:rsidR="0022315F" w:rsidRPr="00E07C9A" w:rsidRDefault="0022315F"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Nástroje kapitálu Tier 2 zahrnuté</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položke 1.2.1.1 držané inštitúciami konsolidovanej skupiny</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hodnoty nástrojov T2, ktoré sa majú odpočítať</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súlade</w:t>
            </w:r>
            <w:r w:rsidR="009912F8" w:rsidRPr="00E07C9A">
              <w:rPr>
                <w:rStyle w:val="FormatvorlageInstructionsTabelleText"/>
                <w:rFonts w:ascii="Times New Roman" w:hAnsi="Times New Roman"/>
                <w:sz w:val="24"/>
              </w:rPr>
              <w:t xml:space="preserve"> s </w:t>
            </w:r>
            <w:r w:rsidRPr="00E07C9A">
              <w:rPr>
                <w:rStyle w:val="FormatvorlageInstructionsTabelleText"/>
                <w:rFonts w:ascii="Times New Roman" w:hAnsi="Times New Roman"/>
                <w:sz w:val="24"/>
              </w:rPr>
              <w:t xml:space="preserve">článkom 28 ods. 2 delegovaného nariadenia (EÚ) č. 241/2014. </w:t>
            </w:r>
          </w:p>
        </w:tc>
      </w:tr>
      <w:tr w:rsidR="0022315F" w:rsidRPr="00E07C9A" w14:paraId="2AF23AB3" w14:textId="77777777" w:rsidTr="00D731E3">
        <w:tc>
          <w:tcPr>
            <w:tcW w:w="1129" w:type="dxa"/>
          </w:tcPr>
          <w:p w14:paraId="34BAF18E" w14:textId="77777777" w:rsidR="0022315F" w:rsidRPr="00E07C9A" w:rsidRDefault="00CF1093"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lastRenderedPageBreak/>
              <w:t>0840</w:t>
            </w:r>
          </w:p>
        </w:tc>
        <w:tc>
          <w:tcPr>
            <w:tcW w:w="7620" w:type="dxa"/>
          </w:tcPr>
          <w:p w14:paraId="02D197A7" w14:textId="77777777" w:rsidR="0022315F" w:rsidRPr="00E07C9A" w:rsidRDefault="0022315F" w:rsidP="00487A02">
            <w:pPr>
              <w:pStyle w:val="InstructionsText"/>
              <w:rPr>
                <w:rStyle w:val="FormatvorlageInstructionsTabelleText"/>
                <w:rFonts w:ascii="Times New Roman" w:hAnsi="Times New Roman"/>
                <w:b/>
                <w:sz w:val="24"/>
                <w:u w:val="single"/>
              </w:rPr>
            </w:pPr>
            <w:r w:rsidRPr="00E07C9A">
              <w:rPr>
                <w:rStyle w:val="InstructionsTabelleberschrift"/>
                <w:rFonts w:ascii="Times New Roman" w:hAnsi="Times New Roman"/>
                <w:sz w:val="24"/>
              </w:rPr>
              <w:t>1.2.1.4.2.</w:t>
            </w:r>
            <w:r w:rsidRPr="00E07C9A">
              <w:tab/>
            </w:r>
            <w:r w:rsidRPr="00E07C9A">
              <w:rPr>
                <w:rStyle w:val="InstructionsTabelleberschrift"/>
                <w:rFonts w:ascii="Times New Roman" w:hAnsi="Times New Roman"/>
                <w:sz w:val="24"/>
              </w:rPr>
              <w:t>(–) Nepriame podiely na nástrojoch T2</w:t>
            </w:r>
          </w:p>
          <w:p w14:paraId="3DB38496" w14:textId="1A11D384" w:rsidR="0022315F" w:rsidRPr="00E07C9A" w:rsidRDefault="0022315F" w:rsidP="00BA5699">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 xml:space="preserve"> Článok 4 ods. 1 bod 114, článok 63 písm. b), článok 66 písm. a)</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článok 67</w:t>
            </w:r>
            <w:r w:rsidRPr="00E07C9A">
              <w:t xml:space="preserve">nariadenia (EÚ) </w:t>
            </w:r>
            <w:r w:rsidR="009912F8" w:rsidRPr="00E07C9A">
              <w:t>č. 575/2013</w:t>
            </w:r>
          </w:p>
        </w:tc>
      </w:tr>
      <w:tr w:rsidR="0022315F" w:rsidRPr="00E07C9A" w14:paraId="1686A030" w14:textId="77777777" w:rsidTr="00D731E3">
        <w:tc>
          <w:tcPr>
            <w:tcW w:w="1129" w:type="dxa"/>
          </w:tcPr>
          <w:p w14:paraId="29C2A518" w14:textId="77777777" w:rsidR="0022315F" w:rsidRPr="00E07C9A" w:rsidRDefault="00CF1093"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0841</w:t>
            </w:r>
          </w:p>
        </w:tc>
        <w:tc>
          <w:tcPr>
            <w:tcW w:w="7620" w:type="dxa"/>
          </w:tcPr>
          <w:p w14:paraId="2B4448CF" w14:textId="77777777" w:rsidR="0022315F" w:rsidRPr="00E07C9A" w:rsidRDefault="0022315F" w:rsidP="00487A02">
            <w:pPr>
              <w:pStyle w:val="InstructionsText"/>
              <w:rPr>
                <w:rStyle w:val="FormatvorlageInstructionsTabelleText"/>
                <w:rFonts w:ascii="Times New Roman" w:hAnsi="Times New Roman"/>
                <w:b/>
                <w:sz w:val="24"/>
                <w:u w:val="single"/>
              </w:rPr>
            </w:pPr>
            <w:r w:rsidRPr="00E07C9A">
              <w:rPr>
                <w:rStyle w:val="InstructionsTabelleberschrift"/>
                <w:rFonts w:ascii="Times New Roman" w:hAnsi="Times New Roman"/>
                <w:sz w:val="24"/>
              </w:rPr>
              <w:t>1.2.1.4.3.</w:t>
            </w:r>
            <w:r w:rsidRPr="00E07C9A">
              <w:tab/>
            </w:r>
            <w:r w:rsidRPr="00E07C9A">
              <w:rPr>
                <w:rStyle w:val="InstructionsTabelleberschrift"/>
                <w:rFonts w:ascii="Times New Roman" w:hAnsi="Times New Roman"/>
                <w:sz w:val="24"/>
              </w:rPr>
              <w:t>(–) Syntetické podiely na nástrojoch T2</w:t>
            </w:r>
          </w:p>
          <w:p w14:paraId="75AA04CA" w14:textId="5A35F67D" w:rsidR="0022315F" w:rsidRPr="00E07C9A" w:rsidRDefault="0022315F" w:rsidP="00BA5699">
            <w:pPr>
              <w:pStyle w:val="InstructionsText"/>
              <w:rPr>
                <w:rStyle w:val="InstructionsTabelleberschrift"/>
                <w:rFonts w:ascii="Times New Roman" w:hAnsi="Times New Roman"/>
                <w:b w:val="0"/>
                <w:sz w:val="24"/>
                <w:u w:val="none"/>
              </w:rPr>
            </w:pPr>
            <w:r w:rsidRPr="00E07C9A">
              <w:rPr>
                <w:rStyle w:val="FormatvorlageInstructionsTabelleText"/>
                <w:rFonts w:ascii="Times New Roman" w:hAnsi="Times New Roman"/>
                <w:sz w:val="24"/>
              </w:rPr>
              <w:t>Článok 4 ods. 1 bod 126, článok 63 písm. b), článok 66 písm. a)</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článok 67</w:t>
            </w:r>
            <w:r w:rsidRPr="00E07C9A">
              <w:t xml:space="preserve">nariadenia (EÚ) </w:t>
            </w:r>
            <w:r w:rsidR="009912F8" w:rsidRPr="00E07C9A">
              <w:t>č. 575/2013</w:t>
            </w:r>
          </w:p>
        </w:tc>
      </w:tr>
      <w:tr w:rsidR="0022315F" w:rsidRPr="00E07C9A" w14:paraId="02E95398" w14:textId="77777777" w:rsidTr="00D731E3">
        <w:tc>
          <w:tcPr>
            <w:tcW w:w="1129" w:type="dxa"/>
          </w:tcPr>
          <w:p w14:paraId="45BC0D01" w14:textId="77777777" w:rsidR="0022315F" w:rsidRPr="00E07C9A" w:rsidRDefault="00CF1093"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0842</w:t>
            </w:r>
          </w:p>
        </w:tc>
        <w:tc>
          <w:tcPr>
            <w:tcW w:w="7620" w:type="dxa"/>
          </w:tcPr>
          <w:p w14:paraId="5A4BC8B6" w14:textId="77777777" w:rsidR="0022315F" w:rsidRPr="00E07C9A" w:rsidRDefault="0022315F" w:rsidP="00487A02">
            <w:pPr>
              <w:pStyle w:val="InstructionsText"/>
              <w:rPr>
                <w:rStyle w:val="InstructionsTabelleberschrift"/>
                <w:rFonts w:ascii="Times New Roman" w:hAnsi="Times New Roman"/>
                <w:b w:val="0"/>
                <w:sz w:val="24"/>
              </w:rPr>
            </w:pPr>
            <w:r w:rsidRPr="00E07C9A">
              <w:rPr>
                <w:rStyle w:val="InstructionsTabelleberschrift"/>
                <w:rFonts w:ascii="Times New Roman" w:hAnsi="Times New Roman"/>
                <w:sz w:val="24"/>
              </w:rPr>
              <w:t>1.2.1.5.</w:t>
            </w:r>
            <w:r w:rsidRPr="00E07C9A">
              <w:tab/>
            </w:r>
            <w:r w:rsidRPr="00E07C9A">
              <w:rPr>
                <w:rStyle w:val="InstructionsTabelleberschrift"/>
                <w:rFonts w:ascii="Times New Roman" w:hAnsi="Times New Roman"/>
                <w:sz w:val="24"/>
              </w:rPr>
              <w:t>(–) Skutočné alebo podmienené záväzky kúpiť nástroje vlastného T2</w:t>
            </w:r>
          </w:p>
          <w:p w14:paraId="285FD6CB" w14:textId="5BA0E4CC" w:rsidR="0022315F" w:rsidRPr="00E07C9A" w:rsidRDefault="00BA5699"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Článok 66 písm. a)</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 xml:space="preserve">článok 67 </w:t>
            </w:r>
            <w:r w:rsidRPr="00E07C9A">
              <w:t xml:space="preserve">nariadenia (EÚ) </w:t>
            </w:r>
            <w:r w:rsidR="009912F8" w:rsidRPr="00E07C9A">
              <w:t>č. 575/2013</w:t>
            </w:r>
          </w:p>
          <w:p w14:paraId="7FBFFA11" w14:textId="45CFED4A" w:rsidR="0022315F" w:rsidRPr="00E07C9A" w:rsidRDefault="0022315F" w:rsidP="00487A02">
            <w:pPr>
              <w:pStyle w:val="InstructionsText"/>
              <w:rPr>
                <w:rStyle w:val="InstructionsTabelleberschrift"/>
                <w:rFonts w:ascii="Times New Roman" w:hAnsi="Times New Roman"/>
                <w:b w:val="0"/>
                <w:bCs w:val="0"/>
                <w:sz w:val="24"/>
                <w:u w:val="none"/>
              </w:rPr>
            </w:pPr>
            <w:r w:rsidRPr="00E07C9A">
              <w:rPr>
                <w:rStyle w:val="InstructionsTabelleberschrift"/>
                <w:rFonts w:ascii="Times New Roman" w:hAnsi="Times New Roman"/>
                <w:b w:val="0"/>
                <w:u w:val="none"/>
              </w:rPr>
              <w:t xml:space="preserve">Podľa </w:t>
            </w:r>
            <w:r w:rsidRPr="00E07C9A">
              <w:rPr>
                <w:rStyle w:val="FormatvorlageInstructionsTabelleText"/>
                <w:rFonts w:ascii="Times New Roman" w:hAnsi="Times New Roman"/>
              </w:rPr>
              <w:t xml:space="preserve">článku 66 písm. a) </w:t>
            </w:r>
            <w:r w:rsidRPr="00E07C9A">
              <w:t xml:space="preserve">nariadenia (EÚ) </w:t>
            </w:r>
            <w:r w:rsidR="009912F8" w:rsidRPr="00E07C9A">
              <w:t>č. 575/2013</w:t>
            </w:r>
            <w:r w:rsidRPr="00E07C9A">
              <w:rPr>
                <w:rStyle w:val="InstructionsTabelleberschrift"/>
                <w:rFonts w:ascii="Times New Roman" w:hAnsi="Times New Roman"/>
                <w:b w:val="0"/>
                <w:sz w:val="24"/>
                <w:u w:val="none"/>
              </w:rPr>
              <w:t>sa odpočítavajú „</w:t>
            </w:r>
            <w:r w:rsidRPr="00E07C9A">
              <w:t>nástroje vlastného kapitálu Tier 2, ktoré by inštitúcia mohla byť povinná odkúpiť</w:t>
            </w:r>
            <w:r w:rsidR="009912F8" w:rsidRPr="00E07C9A">
              <w:t xml:space="preserve"> v </w:t>
            </w:r>
            <w:r w:rsidRPr="00E07C9A">
              <w:t>dôsledku existujúcich zmluvných záväzkov“.</w:t>
            </w:r>
          </w:p>
        </w:tc>
      </w:tr>
      <w:tr w:rsidR="0022315F" w:rsidRPr="00E07C9A" w14:paraId="4331C215" w14:textId="77777777" w:rsidTr="00D731E3">
        <w:tc>
          <w:tcPr>
            <w:tcW w:w="1129" w:type="dxa"/>
          </w:tcPr>
          <w:p w14:paraId="4C38939C" w14:textId="77777777" w:rsidR="0022315F" w:rsidRPr="00E07C9A" w:rsidRDefault="00CF1093"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0880</w:t>
            </w:r>
          </w:p>
        </w:tc>
        <w:tc>
          <w:tcPr>
            <w:tcW w:w="7620" w:type="dxa"/>
          </w:tcPr>
          <w:p w14:paraId="7D830DA9" w14:textId="77777777" w:rsidR="009912F8" w:rsidRPr="00E07C9A" w:rsidRDefault="0022315F"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1.2.2.</w:t>
            </w:r>
            <w:r w:rsidRPr="00E07C9A">
              <w:tab/>
            </w:r>
            <w:r w:rsidRPr="00E07C9A">
              <w:rPr>
                <w:rStyle w:val="InstructionsTabelleberschrift"/>
                <w:rFonts w:ascii="Times New Roman" w:hAnsi="Times New Roman"/>
                <w:sz w:val="24"/>
              </w:rPr>
              <w:t>Prechodné úpravy na základe nástrojov kapitálu T2, ktoré sa zachovali</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predchádzajúcom stave</w:t>
            </w:r>
          </w:p>
          <w:p w14:paraId="1FC43F31" w14:textId="2433A136" w:rsidR="0022315F" w:rsidRPr="00E07C9A" w:rsidRDefault="0022315F"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Článok 483 ods. 6</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7, články 484, 486, 488, 490</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491</w:t>
            </w:r>
            <w:r w:rsidR="009912F8" w:rsidRPr="00E07C9A">
              <w:t>nariadenia (EÚ) č. 575/2013</w:t>
            </w:r>
          </w:p>
          <w:p w14:paraId="46B90641" w14:textId="5F7AC26F" w:rsidR="0022315F" w:rsidRPr="00E07C9A" w:rsidRDefault="0022315F"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Hodnota kapitálových nástrojov, ktoré sa prechodne zachovali</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predchádzajúcom stave ako T2. Vykazovaná hodnota sa získa priamo zo vzoru CA5.</w:t>
            </w:r>
          </w:p>
        </w:tc>
      </w:tr>
      <w:tr w:rsidR="0022315F" w:rsidRPr="00E07C9A" w14:paraId="0EBBC9A0" w14:textId="77777777" w:rsidTr="00D731E3">
        <w:tc>
          <w:tcPr>
            <w:tcW w:w="1129" w:type="dxa"/>
          </w:tcPr>
          <w:p w14:paraId="66EF6AA1" w14:textId="77777777" w:rsidR="0022315F" w:rsidRPr="00E07C9A" w:rsidRDefault="00CF1093"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0890</w:t>
            </w:r>
          </w:p>
        </w:tc>
        <w:tc>
          <w:tcPr>
            <w:tcW w:w="7620" w:type="dxa"/>
          </w:tcPr>
          <w:p w14:paraId="09DA9BE0" w14:textId="2FB00E2F" w:rsidR="0022315F" w:rsidRPr="00E07C9A" w:rsidRDefault="0022315F" w:rsidP="00487A02">
            <w:pPr>
              <w:pStyle w:val="InstructionsText"/>
              <w:rPr>
                <w:rStyle w:val="FormatvorlageInstructionsTabelleText"/>
                <w:rFonts w:ascii="Times New Roman" w:hAnsi="Times New Roman"/>
                <w:b/>
                <w:sz w:val="24"/>
                <w:u w:val="single"/>
              </w:rPr>
            </w:pPr>
            <w:r w:rsidRPr="00E07C9A">
              <w:rPr>
                <w:rStyle w:val="InstructionsTabelleberschrift"/>
                <w:rFonts w:ascii="Times New Roman" w:hAnsi="Times New Roman"/>
                <w:sz w:val="24"/>
              </w:rPr>
              <w:t>1.2.3.</w:t>
            </w:r>
            <w:r w:rsidRPr="00E07C9A">
              <w:tab/>
            </w:r>
            <w:r w:rsidRPr="00E07C9A">
              <w:rPr>
                <w:rStyle w:val="InstructionsTabelleberschrift"/>
                <w:rFonts w:ascii="Times New Roman" w:hAnsi="Times New Roman"/>
                <w:sz w:val="24"/>
              </w:rPr>
              <w:t>Nástroje emitované dcérskymi spoločnosťami, ktoré sa uznali</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kapitáli T2</w:t>
            </w:r>
          </w:p>
          <w:p w14:paraId="229A9DBE" w14:textId="3359F90B" w:rsidR="0022315F" w:rsidRPr="00E07C9A" w:rsidRDefault="0022315F"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Články 83, 87</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 xml:space="preserve">88 </w:t>
            </w:r>
            <w:r w:rsidRPr="00E07C9A">
              <w:t xml:space="preserve">nariadenia (EÚ) </w:t>
            </w:r>
            <w:r w:rsidR="009912F8" w:rsidRPr="00E07C9A">
              <w:t>č. 575/2013</w:t>
            </w:r>
          </w:p>
          <w:p w14:paraId="20A252CC" w14:textId="77777777" w:rsidR="0022315F" w:rsidRPr="00E07C9A" w:rsidRDefault="0022315F"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Súčet všetkých hodnôt kvalifikovaných vlastných zdrojov dcérskych spoločností, ktoré sa zahrnuli do konsolidovaného T2.</w:t>
            </w:r>
          </w:p>
          <w:p w14:paraId="0E4F2E9C" w14:textId="1B688B8E" w:rsidR="0022315F" w:rsidRPr="00E07C9A" w:rsidRDefault="0022315F"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Zahrnie sa kvalifikovaný kapitál Tier 2 emitovaný účelovo vytvoreným subjektom [článok 83</w:t>
            </w:r>
            <w:r w:rsidRPr="00E07C9A">
              <w:t xml:space="preserve"> nariadenia (EÚ) </w:t>
            </w:r>
            <w:r w:rsidR="009912F8" w:rsidRPr="00E07C9A">
              <w:t>č. 575/2013</w:t>
            </w:r>
            <w:r w:rsidRPr="00E07C9A">
              <w:rPr>
                <w:rStyle w:val="FormatvorlageInstructionsTabelleText"/>
                <w:rFonts w:ascii="Times New Roman" w:hAnsi="Times New Roman"/>
                <w:sz w:val="24"/>
              </w:rPr>
              <w:t>].</w:t>
            </w:r>
          </w:p>
        </w:tc>
      </w:tr>
      <w:tr w:rsidR="0022315F" w:rsidRPr="00E07C9A" w14:paraId="7AB22DD6" w14:textId="77777777" w:rsidTr="00D731E3">
        <w:tc>
          <w:tcPr>
            <w:tcW w:w="1129" w:type="dxa"/>
          </w:tcPr>
          <w:p w14:paraId="5532C661" w14:textId="77777777" w:rsidR="0022315F" w:rsidRPr="00E07C9A" w:rsidRDefault="00CF1093"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0900</w:t>
            </w:r>
          </w:p>
        </w:tc>
        <w:tc>
          <w:tcPr>
            <w:tcW w:w="7620" w:type="dxa"/>
          </w:tcPr>
          <w:p w14:paraId="17F16D7A" w14:textId="41CA4094" w:rsidR="0022315F" w:rsidRPr="00E07C9A" w:rsidRDefault="0022315F" w:rsidP="00487A02">
            <w:pPr>
              <w:pStyle w:val="InstructionsText"/>
              <w:rPr>
                <w:rStyle w:val="FormatvorlageInstructionsTabelleText"/>
                <w:rFonts w:ascii="Times New Roman" w:hAnsi="Times New Roman"/>
                <w:b/>
                <w:sz w:val="24"/>
                <w:u w:val="single"/>
              </w:rPr>
            </w:pPr>
            <w:r w:rsidRPr="00E07C9A">
              <w:rPr>
                <w:rStyle w:val="InstructionsTabelleberschrift"/>
                <w:rFonts w:ascii="Times New Roman" w:hAnsi="Times New Roman"/>
                <w:sz w:val="24"/>
              </w:rPr>
              <w:t>1.2.4.</w:t>
            </w:r>
            <w:r w:rsidRPr="00E07C9A">
              <w:tab/>
            </w:r>
            <w:r w:rsidRPr="00E07C9A">
              <w:rPr>
                <w:rStyle w:val="InstructionsTabelleberschrift"/>
                <w:rFonts w:ascii="Times New Roman" w:hAnsi="Times New Roman"/>
                <w:sz w:val="24"/>
              </w:rPr>
              <w:t>Prechodné úpravy na základe dodatočného vykázania nástrojov emitovaných dcérskymi spoločnosťami</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kapitáli T2</w:t>
            </w:r>
          </w:p>
          <w:p w14:paraId="2401ACED" w14:textId="6CD02D4A" w:rsidR="0022315F" w:rsidRPr="00E07C9A" w:rsidRDefault="0022315F"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 xml:space="preserve">Článok 480 </w:t>
            </w:r>
            <w:r w:rsidRPr="00E07C9A">
              <w:t xml:space="preserve">nariadenia (EÚ) </w:t>
            </w:r>
            <w:r w:rsidR="009912F8" w:rsidRPr="00E07C9A">
              <w:t>č. 575/2013</w:t>
            </w:r>
          </w:p>
          <w:p w14:paraId="6F53BE23" w14:textId="77777777" w:rsidR="0022315F" w:rsidRPr="00E07C9A" w:rsidRDefault="0022315F"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Úpravy kvalifikovaných vlastných zdrojov zahrnutých do konsolidovaného kapitálu T2 na základe prechodných ustanovení. Táto položka sa získa priamo zo vzoru CA5.</w:t>
            </w:r>
          </w:p>
        </w:tc>
      </w:tr>
      <w:tr w:rsidR="0022315F" w:rsidRPr="00E07C9A" w14:paraId="50A0FEF3" w14:textId="77777777" w:rsidTr="00D731E3">
        <w:tc>
          <w:tcPr>
            <w:tcW w:w="1129" w:type="dxa"/>
          </w:tcPr>
          <w:p w14:paraId="209564F4" w14:textId="77777777" w:rsidR="0022315F" w:rsidRPr="00E07C9A" w:rsidRDefault="00CF1093"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0910</w:t>
            </w:r>
          </w:p>
        </w:tc>
        <w:tc>
          <w:tcPr>
            <w:tcW w:w="7620" w:type="dxa"/>
          </w:tcPr>
          <w:p w14:paraId="1E4EA202" w14:textId="77777777" w:rsidR="0022315F" w:rsidRPr="00E07C9A" w:rsidRDefault="0022315F" w:rsidP="00487A02">
            <w:pPr>
              <w:pStyle w:val="InstructionsText"/>
              <w:rPr>
                <w:rStyle w:val="FormatvorlageInstructionsTabelleText"/>
                <w:rFonts w:ascii="Times New Roman" w:hAnsi="Times New Roman"/>
                <w:b/>
                <w:sz w:val="24"/>
                <w:u w:val="single"/>
              </w:rPr>
            </w:pPr>
            <w:r w:rsidRPr="00E07C9A">
              <w:rPr>
                <w:rStyle w:val="InstructionsTabelleberschrift"/>
                <w:rFonts w:ascii="Times New Roman" w:hAnsi="Times New Roman"/>
                <w:sz w:val="24"/>
              </w:rPr>
              <w:t>1.2.5.</w:t>
            </w:r>
            <w:r w:rsidRPr="00E07C9A">
              <w:tab/>
            </w:r>
            <w:r w:rsidRPr="00E07C9A">
              <w:rPr>
                <w:rStyle w:val="InstructionsTabelleberschrift"/>
                <w:rFonts w:ascii="Times New Roman" w:hAnsi="Times New Roman"/>
                <w:sz w:val="24"/>
              </w:rPr>
              <w:t>Nadbytok rezerv nad prípustnými očakávanými stratami pri prístupe IRB</w:t>
            </w:r>
          </w:p>
          <w:p w14:paraId="49A9F780" w14:textId="376E6A31" w:rsidR="0022315F" w:rsidRPr="00E07C9A" w:rsidRDefault="0022315F"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 xml:space="preserve">Článok 62 písm. d) </w:t>
            </w:r>
            <w:r w:rsidRPr="00E07C9A">
              <w:t xml:space="preserve">nariadenia (EÚ) </w:t>
            </w:r>
            <w:r w:rsidR="009912F8" w:rsidRPr="00E07C9A">
              <w:t xml:space="preserve">č. 575/2013 </w:t>
            </w:r>
          </w:p>
          <w:p w14:paraId="1888BC00" w14:textId="4EAA1CB2" w:rsidR="0022315F" w:rsidRPr="00E07C9A" w:rsidRDefault="0022315F"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lastRenderedPageBreak/>
              <w:t>V prípade inštitúcií, ktoré vypočítavajú hodnoty rizikovo vážených expozícií</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súlade</w:t>
            </w:r>
            <w:r w:rsidR="009912F8" w:rsidRPr="00E07C9A">
              <w:rPr>
                <w:rStyle w:val="FormatvorlageInstructionsTabelleText"/>
                <w:rFonts w:ascii="Times New Roman" w:hAnsi="Times New Roman"/>
                <w:sz w:val="24"/>
              </w:rPr>
              <w:t xml:space="preserve"> s </w:t>
            </w:r>
            <w:r w:rsidRPr="00E07C9A">
              <w:rPr>
                <w:rStyle w:val="FormatvorlageInstructionsTabelleText"/>
                <w:rFonts w:ascii="Times New Roman" w:hAnsi="Times New Roman"/>
                <w:sz w:val="24"/>
              </w:rPr>
              <w:t>prístupom IRB, obsahuje táto položka kladné hodnoty vyplývajúce</w:t>
            </w:r>
            <w:r w:rsidR="009912F8" w:rsidRPr="00E07C9A">
              <w:rPr>
                <w:rStyle w:val="FormatvorlageInstructionsTabelleText"/>
                <w:rFonts w:ascii="Times New Roman" w:hAnsi="Times New Roman"/>
                <w:sz w:val="24"/>
              </w:rPr>
              <w:t xml:space="preserve"> z </w:t>
            </w:r>
            <w:r w:rsidRPr="00E07C9A">
              <w:rPr>
                <w:rStyle w:val="FormatvorlageInstructionsTabelleText"/>
                <w:rFonts w:ascii="Times New Roman" w:hAnsi="Times New Roman"/>
                <w:sz w:val="24"/>
              </w:rPr>
              <w:t>porovnania rezerv</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očakávaných strát, ktoré sú prípustné ako kapitál T2.</w:t>
            </w:r>
          </w:p>
        </w:tc>
      </w:tr>
      <w:tr w:rsidR="0022315F" w:rsidRPr="00E07C9A" w14:paraId="62291C79" w14:textId="77777777" w:rsidTr="00D731E3">
        <w:tc>
          <w:tcPr>
            <w:tcW w:w="1129" w:type="dxa"/>
          </w:tcPr>
          <w:p w14:paraId="4B619DE6" w14:textId="77777777" w:rsidR="0022315F" w:rsidRPr="00E07C9A" w:rsidRDefault="00CF1093"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lastRenderedPageBreak/>
              <w:t>0920</w:t>
            </w:r>
          </w:p>
        </w:tc>
        <w:tc>
          <w:tcPr>
            <w:tcW w:w="7620" w:type="dxa"/>
          </w:tcPr>
          <w:p w14:paraId="7AF3506D" w14:textId="00C00C40" w:rsidR="0022315F" w:rsidRPr="00E07C9A" w:rsidRDefault="0022315F" w:rsidP="00487A02">
            <w:pPr>
              <w:pStyle w:val="InstructionsText"/>
              <w:rPr>
                <w:rStyle w:val="FormatvorlageInstructionsTabelleText"/>
                <w:rFonts w:ascii="Times New Roman" w:hAnsi="Times New Roman"/>
                <w:b/>
                <w:sz w:val="24"/>
                <w:u w:val="single"/>
              </w:rPr>
            </w:pPr>
            <w:r w:rsidRPr="00E07C9A">
              <w:rPr>
                <w:rStyle w:val="InstructionsTabelleberschrift"/>
                <w:rFonts w:ascii="Times New Roman" w:hAnsi="Times New Roman"/>
                <w:sz w:val="24"/>
              </w:rPr>
              <w:t>1.2.6.</w:t>
            </w:r>
            <w:r w:rsidRPr="00E07C9A">
              <w:tab/>
            </w:r>
            <w:r w:rsidRPr="00E07C9A">
              <w:rPr>
                <w:rStyle w:val="InstructionsTabelleberschrift"/>
                <w:rFonts w:ascii="Times New Roman" w:hAnsi="Times New Roman"/>
                <w:sz w:val="24"/>
              </w:rPr>
              <w:t>Všeobecné úpravy kreditného rizika</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rámci štandardizovaného prístupu</w:t>
            </w:r>
          </w:p>
          <w:p w14:paraId="63615790" w14:textId="0F921951" w:rsidR="0022315F" w:rsidRPr="00E07C9A" w:rsidRDefault="002A67C8"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 xml:space="preserve">Článok 62 písm. c) </w:t>
            </w:r>
            <w:r w:rsidRPr="00E07C9A">
              <w:t xml:space="preserve">nariadenia (EÚ) </w:t>
            </w:r>
            <w:r w:rsidR="009912F8" w:rsidRPr="00E07C9A">
              <w:t>č. 575/2013</w:t>
            </w:r>
          </w:p>
          <w:p w14:paraId="286913CB" w14:textId="131CD3AE" w:rsidR="0022315F" w:rsidRPr="00E07C9A" w:rsidRDefault="0022315F"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V prípade inštitúcií, ktoré vypočítavajú hodnoty rizikovo vážených expozícií</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súlade so štandardizovaným prístupom, obsahuje táto položka všeobecné úpravy kreditného rizika prípustné ako kapitál T2.</w:t>
            </w:r>
          </w:p>
        </w:tc>
      </w:tr>
      <w:tr w:rsidR="0022315F" w:rsidRPr="00E07C9A" w14:paraId="0992E1B0" w14:textId="77777777" w:rsidTr="00D731E3">
        <w:tc>
          <w:tcPr>
            <w:tcW w:w="1129" w:type="dxa"/>
          </w:tcPr>
          <w:p w14:paraId="5E3643F8" w14:textId="77777777" w:rsidR="0022315F" w:rsidRPr="00E07C9A" w:rsidRDefault="00CF1093"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0930</w:t>
            </w:r>
          </w:p>
        </w:tc>
        <w:tc>
          <w:tcPr>
            <w:tcW w:w="7620" w:type="dxa"/>
          </w:tcPr>
          <w:p w14:paraId="62DA5E27" w14:textId="77777777" w:rsidR="0022315F" w:rsidRPr="00E07C9A" w:rsidRDefault="0022315F" w:rsidP="00487A02">
            <w:pPr>
              <w:pStyle w:val="InstructionsText"/>
              <w:rPr>
                <w:rStyle w:val="FormatvorlageInstructionsTabelleText"/>
                <w:rFonts w:ascii="Times New Roman" w:hAnsi="Times New Roman"/>
                <w:b/>
                <w:sz w:val="24"/>
                <w:u w:val="single"/>
              </w:rPr>
            </w:pPr>
            <w:r w:rsidRPr="00E07C9A">
              <w:rPr>
                <w:rStyle w:val="InstructionsTabelleberschrift"/>
                <w:rFonts w:ascii="Times New Roman" w:hAnsi="Times New Roman"/>
                <w:sz w:val="24"/>
              </w:rPr>
              <w:t>1.2.7.</w:t>
            </w:r>
            <w:r w:rsidRPr="00E07C9A">
              <w:tab/>
            </w:r>
            <w:r w:rsidRPr="00E07C9A">
              <w:rPr>
                <w:rStyle w:val="InstructionsTabelleberschrift"/>
                <w:rFonts w:ascii="Times New Roman" w:hAnsi="Times New Roman"/>
                <w:sz w:val="24"/>
              </w:rPr>
              <w:t>(–) Recipročné krížové podiely na kapitáli T2</w:t>
            </w:r>
          </w:p>
          <w:p w14:paraId="6E5AEEEF" w14:textId="2E03452A" w:rsidR="0022315F" w:rsidRPr="00E07C9A" w:rsidRDefault="0022315F"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Článok 4 ods. 1 bod 122, článok 66 písm. b)</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 xml:space="preserve">článok 68 </w:t>
            </w:r>
            <w:r w:rsidRPr="00E07C9A">
              <w:t xml:space="preserve">nariadenia (EÚ) </w:t>
            </w:r>
            <w:r w:rsidR="009912F8" w:rsidRPr="00E07C9A">
              <w:t>č. 575/2013</w:t>
            </w:r>
          </w:p>
          <w:p w14:paraId="318D2ED3" w14:textId="4A173305" w:rsidR="0022315F" w:rsidRPr="00E07C9A" w:rsidRDefault="0022315F"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Podiely na nástrojoch T2 subjektov finančného sektora [podľa vymedzenia</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článku 4 ods. 1 bode 27</w:t>
            </w:r>
            <w:r w:rsidRPr="00E07C9A">
              <w:t xml:space="preserve"> nariadenia (EÚ) </w:t>
            </w:r>
            <w:r w:rsidR="009912F8" w:rsidRPr="00E07C9A">
              <w:t>č. 575/2013</w:t>
            </w:r>
            <w:r w:rsidRPr="00E07C9A">
              <w:rPr>
                <w:rStyle w:val="FormatvorlageInstructionsTabelleText"/>
                <w:rFonts w:ascii="Times New Roman" w:hAnsi="Times New Roman"/>
                <w:sz w:val="24"/>
              </w:rPr>
              <w:t>], keď existuje recipročný krížový podiel,</w:t>
            </w:r>
            <w:r w:rsidR="009912F8" w:rsidRPr="00E07C9A">
              <w:rPr>
                <w:rStyle w:val="FormatvorlageInstructionsTabelleText"/>
                <w:rFonts w:ascii="Times New Roman" w:hAnsi="Times New Roman"/>
                <w:sz w:val="24"/>
              </w:rPr>
              <w:t xml:space="preserve"> o </w:t>
            </w:r>
            <w:r w:rsidRPr="00E07C9A">
              <w:rPr>
                <w:rStyle w:val="FormatvorlageInstructionsTabelleText"/>
                <w:rFonts w:ascii="Times New Roman" w:hAnsi="Times New Roman"/>
                <w:sz w:val="24"/>
              </w:rPr>
              <w:t>ktorom sa príslušný orgán domnieva, že má umelo zvyšovať vlastné zdroje inštitúcie.</w:t>
            </w:r>
          </w:p>
          <w:p w14:paraId="104A32FE" w14:textId="7915809C" w:rsidR="0022315F" w:rsidRPr="00E07C9A" w:rsidRDefault="0022315F"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Vykazovaná hodnota sa vypočíta na základe brutto dlhých pozícií</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zahŕňa poistné položky vlastných zdrojov Tier 2</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Tier 3.</w:t>
            </w:r>
          </w:p>
        </w:tc>
      </w:tr>
      <w:tr w:rsidR="0022315F" w:rsidRPr="00E07C9A" w14:paraId="712AFBD1" w14:textId="77777777" w:rsidTr="00D731E3">
        <w:tc>
          <w:tcPr>
            <w:tcW w:w="1129" w:type="dxa"/>
          </w:tcPr>
          <w:p w14:paraId="62E8E53E" w14:textId="77777777" w:rsidR="0022315F" w:rsidRPr="00E07C9A" w:rsidRDefault="00CF1093"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0940</w:t>
            </w:r>
          </w:p>
        </w:tc>
        <w:tc>
          <w:tcPr>
            <w:tcW w:w="7620" w:type="dxa"/>
          </w:tcPr>
          <w:p w14:paraId="1BAF603B" w14:textId="764B8B27" w:rsidR="0022315F" w:rsidRPr="00E07C9A" w:rsidRDefault="0022315F" w:rsidP="00487A02">
            <w:pPr>
              <w:pStyle w:val="InstructionsText"/>
              <w:rPr>
                <w:rStyle w:val="FormatvorlageInstructionsTabelleText"/>
                <w:rFonts w:ascii="Times New Roman" w:hAnsi="Times New Roman"/>
                <w:b/>
                <w:sz w:val="24"/>
                <w:u w:val="single"/>
              </w:rPr>
            </w:pPr>
            <w:r w:rsidRPr="00E07C9A">
              <w:rPr>
                <w:rStyle w:val="InstructionsTabelleberschrift"/>
                <w:rFonts w:ascii="Times New Roman" w:hAnsi="Times New Roman"/>
                <w:sz w:val="24"/>
              </w:rPr>
              <w:t>1.2.8.</w:t>
            </w:r>
            <w:r w:rsidRPr="00E07C9A">
              <w:tab/>
            </w:r>
            <w:r w:rsidRPr="00E07C9A">
              <w:rPr>
                <w:rStyle w:val="InstructionsTabelleberschrift"/>
                <w:rFonts w:ascii="Times New Roman" w:hAnsi="Times New Roman"/>
                <w:sz w:val="24"/>
              </w:rPr>
              <w:t>(–) Nástroje T2 subjektov finančného sektora,</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ktorých inštitúcia nemá významnú investíciu</w:t>
            </w:r>
          </w:p>
          <w:p w14:paraId="320B6FB5" w14:textId="4FAD278E" w:rsidR="0022315F" w:rsidRPr="00E07C9A" w:rsidRDefault="002A67C8"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Článok 4 ods. 1 bod 27, článok 66 písm. c), články 68 až 70</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 xml:space="preserve">článok 79 </w:t>
            </w:r>
            <w:r w:rsidRPr="00E07C9A">
              <w:t xml:space="preserve">nariadenia (EÚ) </w:t>
            </w:r>
            <w:r w:rsidR="009912F8" w:rsidRPr="00E07C9A">
              <w:t>č. 575/2013</w:t>
            </w:r>
          </w:p>
          <w:p w14:paraId="7BC93609" w14:textId="03C9130D" w:rsidR="0022315F" w:rsidRPr="00E07C9A" w:rsidRDefault="0022315F"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Časť podielov inštitúcie na nástrojoch subjektov finančného sektora [podľa vymedzenia</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 xml:space="preserve">článku 4 ods. 1 bode 27 </w:t>
            </w:r>
            <w:r w:rsidRPr="00E07C9A">
              <w:t xml:space="preserve">nariadenia (EÚ) </w:t>
            </w:r>
            <w:r w:rsidR="009912F8" w:rsidRPr="00E07C9A">
              <w:t>č. 575/2013</w:t>
            </w:r>
            <w:r w:rsidRPr="00E07C9A">
              <w:rPr>
                <w:rStyle w:val="FormatvorlageInstructionsTabelleText"/>
                <w:rFonts w:ascii="Times New Roman" w:hAnsi="Times New Roman"/>
                <w:sz w:val="24"/>
              </w:rPr>
              <w:t>], keď inštitúcia nemá významnú investíciu, ktorá sa musí odpočítať od T2.</w:t>
            </w:r>
          </w:p>
        </w:tc>
      </w:tr>
      <w:tr w:rsidR="0022315F" w:rsidRPr="00E07C9A" w14:paraId="0E363C3F" w14:textId="77777777" w:rsidTr="00D731E3">
        <w:tc>
          <w:tcPr>
            <w:tcW w:w="1129" w:type="dxa"/>
          </w:tcPr>
          <w:p w14:paraId="190B6735" w14:textId="77777777" w:rsidR="0022315F" w:rsidRPr="00E07C9A" w:rsidRDefault="00CF1093"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0950</w:t>
            </w:r>
          </w:p>
        </w:tc>
        <w:tc>
          <w:tcPr>
            <w:tcW w:w="7620" w:type="dxa"/>
          </w:tcPr>
          <w:p w14:paraId="65830D7B" w14:textId="2E8AD623" w:rsidR="0022315F" w:rsidRPr="00E07C9A" w:rsidRDefault="0022315F" w:rsidP="00487A02">
            <w:pPr>
              <w:pStyle w:val="InstructionsText"/>
              <w:rPr>
                <w:rStyle w:val="FormatvorlageInstructionsTabelleText"/>
                <w:rFonts w:ascii="Times New Roman" w:hAnsi="Times New Roman"/>
                <w:b/>
                <w:sz w:val="24"/>
                <w:u w:val="single"/>
              </w:rPr>
            </w:pPr>
            <w:r w:rsidRPr="00E07C9A">
              <w:rPr>
                <w:rStyle w:val="InstructionsTabelleberschrift"/>
                <w:rFonts w:ascii="Times New Roman" w:hAnsi="Times New Roman"/>
                <w:sz w:val="24"/>
              </w:rPr>
              <w:t>1.2.9.</w:t>
            </w:r>
            <w:r w:rsidRPr="00E07C9A">
              <w:tab/>
            </w:r>
            <w:r w:rsidRPr="00E07C9A">
              <w:rPr>
                <w:rStyle w:val="InstructionsTabelleberschrift"/>
                <w:rFonts w:ascii="Times New Roman" w:hAnsi="Times New Roman"/>
                <w:sz w:val="24"/>
              </w:rPr>
              <w:t>(–) Nástroje T2 subjektov finančného sektora,</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ktorých inštitúcia má významnú investíciu</w:t>
            </w:r>
          </w:p>
          <w:p w14:paraId="6FA90E7C" w14:textId="357BA8FE" w:rsidR="0022315F" w:rsidRPr="00E07C9A" w:rsidRDefault="002A67C8"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Článok 4 ods. 1 bod 27, článok 66 písm. d), články 68, 69</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 xml:space="preserve">79 </w:t>
            </w:r>
            <w:r w:rsidRPr="00E07C9A">
              <w:t xml:space="preserve">nariadenia (EÚ) </w:t>
            </w:r>
            <w:r w:rsidR="009912F8" w:rsidRPr="00E07C9A">
              <w:t>č. 575/2013</w:t>
            </w:r>
          </w:p>
          <w:p w14:paraId="439D8CFA" w14:textId="2B73DF55" w:rsidR="0022315F" w:rsidRPr="00E07C9A" w:rsidRDefault="0022315F"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Podiely inštitúcie na nástrojoch T2 subjektov finančného sektora [podľa vymedzenia</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článku 4 ods. 1 bode 27</w:t>
            </w:r>
            <w:r w:rsidRPr="00E07C9A">
              <w:t xml:space="preserve"> nariadenia (EÚ) </w:t>
            </w:r>
            <w:r w:rsidR="009912F8" w:rsidRPr="00E07C9A">
              <w:t>č. 575/2013</w:t>
            </w:r>
            <w:r w:rsidRPr="00E07C9A">
              <w:rPr>
                <w:rStyle w:val="FormatvorlageInstructionsTabelleText"/>
                <w:rFonts w:ascii="Times New Roman" w:hAnsi="Times New Roman"/>
                <w:sz w:val="24"/>
              </w:rPr>
              <w:t>], keď inštitúcia má významnú investíciu, sa odpočítajú</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plnej výške.</w:t>
            </w:r>
          </w:p>
        </w:tc>
      </w:tr>
      <w:tr w:rsidR="0022315F" w:rsidRPr="00E07C9A" w14:paraId="2AD5C06C" w14:textId="77777777" w:rsidTr="00D731E3">
        <w:tc>
          <w:tcPr>
            <w:tcW w:w="1129" w:type="dxa"/>
          </w:tcPr>
          <w:p w14:paraId="51B2062A" w14:textId="77777777" w:rsidR="0022315F" w:rsidRPr="00E07C9A" w:rsidRDefault="00CF1093"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0955</w:t>
            </w:r>
          </w:p>
        </w:tc>
        <w:tc>
          <w:tcPr>
            <w:tcW w:w="7620" w:type="dxa"/>
          </w:tcPr>
          <w:p w14:paraId="35A36BD3" w14:textId="77777777" w:rsidR="0022315F" w:rsidRPr="00E07C9A" w:rsidRDefault="0022315F"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1.2.9A</w:t>
            </w:r>
            <w:r w:rsidRPr="00E07C9A">
              <w:tab/>
            </w:r>
            <w:r w:rsidRPr="00E07C9A">
              <w:rPr>
                <w:rStyle w:val="InstructionsTabelleberschrift"/>
                <w:rFonts w:ascii="Times New Roman" w:hAnsi="Times New Roman"/>
                <w:sz w:val="24"/>
              </w:rPr>
              <w:t>(–) Nadbytok odpočtov od oprávnených záväzkov presahujúci oprávnené záväzky</w:t>
            </w:r>
          </w:p>
          <w:p w14:paraId="596C4D13" w14:textId="45E2ACBB" w:rsidR="0022315F" w:rsidRPr="00E07C9A" w:rsidRDefault="0022315F" w:rsidP="00487A02">
            <w:pPr>
              <w:pStyle w:val="InstructionsText"/>
              <w:rPr>
                <w:rStyle w:val="InstructionsTabelleberschrift"/>
                <w:rFonts w:ascii="Times New Roman" w:hAnsi="Times New Roman"/>
                <w:sz w:val="24"/>
              </w:rPr>
            </w:pPr>
            <w:r w:rsidRPr="00E07C9A">
              <w:rPr>
                <w:rStyle w:val="FormatvorlageInstructionsTabelleText"/>
                <w:rFonts w:ascii="Times New Roman" w:hAnsi="Times New Roman"/>
                <w:sz w:val="24"/>
              </w:rPr>
              <w:t>Článok 66 písm. e)</w:t>
            </w:r>
            <w:r w:rsidRPr="00E07C9A">
              <w:t xml:space="preserve"> nariadenia (EÚ) </w:t>
            </w:r>
            <w:r w:rsidR="009912F8" w:rsidRPr="00E07C9A">
              <w:t>č. 575/2013</w:t>
            </w:r>
          </w:p>
        </w:tc>
      </w:tr>
      <w:tr w:rsidR="0022315F" w:rsidRPr="00E07C9A" w14:paraId="76AF9E14" w14:textId="77777777" w:rsidTr="00D731E3">
        <w:tc>
          <w:tcPr>
            <w:tcW w:w="1129" w:type="dxa"/>
          </w:tcPr>
          <w:p w14:paraId="6543C600" w14:textId="77777777" w:rsidR="0022315F" w:rsidRPr="00E07C9A" w:rsidRDefault="00CF1093"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0960</w:t>
            </w:r>
          </w:p>
        </w:tc>
        <w:tc>
          <w:tcPr>
            <w:tcW w:w="7620" w:type="dxa"/>
          </w:tcPr>
          <w:p w14:paraId="740FD4E0" w14:textId="77777777" w:rsidR="0022315F" w:rsidRPr="00E07C9A" w:rsidRDefault="0022315F" w:rsidP="00487A02">
            <w:pPr>
              <w:pStyle w:val="InstructionsText"/>
              <w:rPr>
                <w:rStyle w:val="FormatvorlageInstructionsTabelleText"/>
                <w:rFonts w:ascii="Times New Roman" w:hAnsi="Times New Roman"/>
                <w:b/>
                <w:sz w:val="24"/>
                <w:u w:val="single"/>
              </w:rPr>
            </w:pPr>
            <w:r w:rsidRPr="00E07C9A">
              <w:rPr>
                <w:rStyle w:val="InstructionsTabelleberschrift"/>
                <w:rFonts w:ascii="Times New Roman" w:hAnsi="Times New Roman"/>
                <w:sz w:val="24"/>
              </w:rPr>
              <w:t>1.2.10.</w:t>
            </w:r>
            <w:r w:rsidRPr="00E07C9A">
              <w:tab/>
            </w:r>
            <w:r w:rsidRPr="00E07C9A">
              <w:rPr>
                <w:rStyle w:val="InstructionsTabelleberschrift"/>
                <w:rFonts w:ascii="Times New Roman" w:hAnsi="Times New Roman"/>
                <w:sz w:val="24"/>
              </w:rPr>
              <w:t>Ostatné prechodné úpravy kapitálu T2</w:t>
            </w:r>
          </w:p>
          <w:p w14:paraId="1E667E47" w14:textId="135AEBE7" w:rsidR="0022315F" w:rsidRPr="00E07C9A" w:rsidRDefault="0022315F"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Články 472, 473a, 476, 477, 478</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 xml:space="preserve">481 </w:t>
            </w:r>
            <w:r w:rsidRPr="00E07C9A">
              <w:t xml:space="preserve">nariadenia (EÚ) </w:t>
            </w:r>
            <w:r w:rsidR="009912F8" w:rsidRPr="00E07C9A">
              <w:t>č. 575/2013</w:t>
            </w:r>
          </w:p>
          <w:p w14:paraId="5D0728A8" w14:textId="77777777" w:rsidR="0022315F" w:rsidRPr="00E07C9A" w:rsidRDefault="0022315F"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Úpravy na základe prechodných ustanovení. Vykazovaná hodnota sa získa priamo zo vzoru CA5.</w:t>
            </w:r>
          </w:p>
        </w:tc>
      </w:tr>
      <w:tr w:rsidR="0022315F" w:rsidRPr="00E07C9A" w14:paraId="74FD62BE" w14:textId="77777777" w:rsidTr="00D731E3">
        <w:tc>
          <w:tcPr>
            <w:tcW w:w="1129" w:type="dxa"/>
          </w:tcPr>
          <w:p w14:paraId="4A50586E" w14:textId="77777777" w:rsidR="0022315F" w:rsidRPr="00E07C9A" w:rsidRDefault="00CF1093"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lastRenderedPageBreak/>
              <w:t>0970</w:t>
            </w:r>
          </w:p>
        </w:tc>
        <w:tc>
          <w:tcPr>
            <w:tcW w:w="7620" w:type="dxa"/>
          </w:tcPr>
          <w:p w14:paraId="075D54D9" w14:textId="7F3301B5" w:rsidR="0022315F" w:rsidRPr="00E07C9A" w:rsidRDefault="0022315F" w:rsidP="00487A02">
            <w:pPr>
              <w:pStyle w:val="InstructionsText"/>
              <w:rPr>
                <w:rStyle w:val="FormatvorlageInstructionsTabelleText"/>
                <w:rFonts w:ascii="Times New Roman" w:hAnsi="Times New Roman"/>
                <w:b/>
                <w:sz w:val="24"/>
                <w:u w:val="single"/>
              </w:rPr>
            </w:pPr>
            <w:r w:rsidRPr="00E07C9A">
              <w:rPr>
                <w:rStyle w:val="InstructionsTabelleberschrift"/>
                <w:rFonts w:ascii="Times New Roman" w:hAnsi="Times New Roman"/>
                <w:sz w:val="24"/>
              </w:rPr>
              <w:t>1.2.11.</w:t>
            </w:r>
            <w:r w:rsidRPr="00E07C9A">
              <w:tab/>
            </w:r>
            <w:r w:rsidRPr="00E07C9A">
              <w:rPr>
                <w:rStyle w:val="InstructionsTabelleberschrift"/>
                <w:rFonts w:ascii="Times New Roman" w:hAnsi="Times New Roman"/>
                <w:sz w:val="24"/>
              </w:rPr>
              <w:t>Nadbytok odpočtov od položiek T2 presahujúci kapitál T2 (odpočítané</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AT1)</w:t>
            </w:r>
          </w:p>
          <w:p w14:paraId="228CB6FD" w14:textId="281CE566" w:rsidR="0022315F" w:rsidRPr="00E07C9A" w:rsidRDefault="0022315F"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 xml:space="preserve">Článok 56 písm. e) </w:t>
            </w:r>
            <w:r w:rsidRPr="00E07C9A">
              <w:t xml:space="preserve">nariadenia (EÚ) </w:t>
            </w:r>
            <w:r w:rsidR="009912F8" w:rsidRPr="00E07C9A">
              <w:t>č. 575/2013</w:t>
            </w:r>
          </w:p>
          <w:p w14:paraId="0B54DD8F" w14:textId="23C8BBB2" w:rsidR="0022315F" w:rsidRPr="00E07C9A" w:rsidRDefault="0022315F"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Tier 2 nemôže byť záporný, ale je možné, že odpočty T2 sú väčšie než kapitál T2 plus súvisiace emisné ážio.</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tomto prípade je T2 rovné nule</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nadbytok odpočtov T2 sa odpočíta od AT1.</w:t>
            </w:r>
          </w:p>
          <w:p w14:paraId="51C45BAA" w14:textId="77777777" w:rsidR="0022315F" w:rsidRPr="00E07C9A" w:rsidRDefault="0022315F"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Touto položkou sa dosiahne, že súčet položiek 1.2.1 až 1.2.13 nie je nikdy nižší než nula. Keď je táto položka kladná, položka 1.1.2.8 je inverznou hodnotou tohto čísla.</w:t>
            </w:r>
          </w:p>
        </w:tc>
      </w:tr>
      <w:tr w:rsidR="0022315F" w:rsidRPr="00E07C9A" w14:paraId="1ABF0B59" w14:textId="77777777" w:rsidTr="00D731E3">
        <w:tc>
          <w:tcPr>
            <w:tcW w:w="1129" w:type="dxa"/>
          </w:tcPr>
          <w:p w14:paraId="37C218FF" w14:textId="77777777" w:rsidR="0022315F" w:rsidRPr="00E07C9A" w:rsidDel="00BD687C" w:rsidRDefault="00CF1093"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0974</w:t>
            </w:r>
          </w:p>
        </w:tc>
        <w:tc>
          <w:tcPr>
            <w:tcW w:w="7620" w:type="dxa"/>
          </w:tcPr>
          <w:p w14:paraId="2C45BFC9" w14:textId="4F5413F3" w:rsidR="0022315F" w:rsidRPr="00E07C9A" w:rsidRDefault="0022315F"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1.2.12.</w:t>
            </w:r>
            <w:r w:rsidRPr="00E07C9A">
              <w:tab/>
            </w:r>
            <w:r w:rsidRPr="00E07C9A">
              <w:rPr>
                <w:rStyle w:val="InstructionsTabelleberschrift"/>
                <w:rFonts w:ascii="Times New Roman" w:hAnsi="Times New Roman"/>
                <w:sz w:val="24"/>
              </w:rPr>
              <w:t xml:space="preserve">(–) Dodatočné odpočty kapitálu T2 na základe článku 3 nariadenia (EÚ) </w:t>
            </w:r>
            <w:r w:rsidR="009912F8" w:rsidRPr="00E07C9A">
              <w:rPr>
                <w:rStyle w:val="InstructionsTabelleberschrift"/>
                <w:rFonts w:ascii="Times New Roman" w:hAnsi="Times New Roman"/>
                <w:sz w:val="24"/>
              </w:rPr>
              <w:t>č. 575/2013</w:t>
            </w:r>
          </w:p>
          <w:p w14:paraId="0ADB50FF" w14:textId="56355742" w:rsidR="0022315F" w:rsidRPr="00E07C9A" w:rsidRDefault="0022315F" w:rsidP="00487A02">
            <w:pPr>
              <w:pStyle w:val="InstructionsText"/>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 xml:space="preserve">Článok 3 </w:t>
            </w:r>
            <w:r w:rsidRPr="00E07C9A">
              <w:t xml:space="preserve">nariadenia (EÚ) </w:t>
            </w:r>
            <w:r w:rsidR="009912F8" w:rsidRPr="00E07C9A">
              <w:t>č. 575/2013</w:t>
            </w:r>
          </w:p>
        </w:tc>
      </w:tr>
      <w:tr w:rsidR="0022315F" w:rsidRPr="00E07C9A" w14:paraId="486CEA55" w14:textId="77777777" w:rsidTr="00D731E3">
        <w:tc>
          <w:tcPr>
            <w:tcW w:w="1129" w:type="dxa"/>
          </w:tcPr>
          <w:p w14:paraId="2E231E77" w14:textId="77777777" w:rsidR="0022315F" w:rsidRPr="00E07C9A" w:rsidRDefault="00CF1093"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0978</w:t>
            </w:r>
          </w:p>
        </w:tc>
        <w:tc>
          <w:tcPr>
            <w:tcW w:w="7620" w:type="dxa"/>
          </w:tcPr>
          <w:p w14:paraId="2608B08A" w14:textId="77777777" w:rsidR="009912F8" w:rsidRPr="00E07C9A" w:rsidRDefault="0022315F"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1.2.13.</w:t>
            </w:r>
            <w:r w:rsidRPr="00E07C9A">
              <w:tab/>
            </w:r>
            <w:r w:rsidRPr="00E07C9A">
              <w:rPr>
                <w:rStyle w:val="InstructionsTabelleberschrift"/>
                <w:rFonts w:ascii="Times New Roman" w:hAnsi="Times New Roman"/>
                <w:sz w:val="24"/>
              </w:rPr>
              <w:t>Prvky alebo odpočty kapitálu T2 – iné</w:t>
            </w:r>
          </w:p>
          <w:p w14:paraId="326069CB" w14:textId="27B0004F" w:rsidR="009912F8" w:rsidRPr="00E07C9A" w:rsidRDefault="0022315F" w:rsidP="00487A02">
            <w:pPr>
              <w:pStyle w:val="InstructionsText"/>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Týmto riadkom sa poskytuje flexibilita výlučne na účely vykazovania. Vypĺňa sa len</w:t>
            </w:r>
            <w:r w:rsidR="009912F8" w:rsidRPr="00E07C9A">
              <w:rPr>
                <w:rStyle w:val="InstructionsTabelleberschrift"/>
                <w:rFonts w:ascii="Times New Roman" w:hAnsi="Times New Roman"/>
                <w:b w:val="0"/>
                <w:sz w:val="24"/>
                <w:u w:val="none"/>
              </w:rPr>
              <w:t xml:space="preserve"> v </w:t>
            </w:r>
            <w:r w:rsidRPr="00E07C9A">
              <w:rPr>
                <w:rStyle w:val="InstructionsTabelleberschrift"/>
                <w:rFonts w:ascii="Times New Roman" w:hAnsi="Times New Roman"/>
                <w:b w:val="0"/>
                <w:sz w:val="24"/>
                <w:u w:val="none"/>
              </w:rPr>
              <w:t>ojedinelých prípadoch, keď nebolo prijaté konečné rozhodnutie</w:t>
            </w:r>
            <w:r w:rsidR="009912F8" w:rsidRPr="00E07C9A">
              <w:rPr>
                <w:rStyle w:val="InstructionsTabelleberschrift"/>
                <w:rFonts w:ascii="Times New Roman" w:hAnsi="Times New Roman"/>
                <w:b w:val="0"/>
                <w:sz w:val="24"/>
                <w:u w:val="none"/>
              </w:rPr>
              <w:t xml:space="preserve"> o </w:t>
            </w:r>
            <w:r w:rsidRPr="00E07C9A">
              <w:rPr>
                <w:rStyle w:val="InstructionsTabelleberschrift"/>
                <w:rFonts w:ascii="Times New Roman" w:hAnsi="Times New Roman"/>
                <w:b w:val="0"/>
                <w:sz w:val="24"/>
                <w:u w:val="none"/>
              </w:rPr>
              <w:t>vykázaní určitých kapitálových položiek/odpočtov</w:t>
            </w:r>
            <w:r w:rsidR="009912F8" w:rsidRPr="00E07C9A">
              <w:rPr>
                <w:rStyle w:val="InstructionsTabelleberschrift"/>
                <w:rFonts w:ascii="Times New Roman" w:hAnsi="Times New Roman"/>
                <w:b w:val="0"/>
                <w:sz w:val="24"/>
                <w:u w:val="none"/>
              </w:rPr>
              <w:t xml:space="preserve"> v </w:t>
            </w:r>
            <w:r w:rsidRPr="00E07C9A">
              <w:rPr>
                <w:rStyle w:val="InstructionsTabelleberschrift"/>
                <w:rFonts w:ascii="Times New Roman" w:hAnsi="Times New Roman"/>
                <w:b w:val="0"/>
                <w:sz w:val="24"/>
                <w:u w:val="none"/>
              </w:rPr>
              <w:t>aktuálnom vzore CA1. Tento riadok sa preto vypĺňa, len keď prvok kapitálu T2 alebo odpočet od prvku T2 nie je možné priradiť</w:t>
            </w:r>
            <w:r w:rsidR="009912F8" w:rsidRPr="00E07C9A">
              <w:rPr>
                <w:rStyle w:val="InstructionsTabelleberschrift"/>
                <w:rFonts w:ascii="Times New Roman" w:hAnsi="Times New Roman"/>
                <w:b w:val="0"/>
                <w:sz w:val="24"/>
                <w:u w:val="none"/>
              </w:rPr>
              <w:t xml:space="preserve"> k </w:t>
            </w:r>
            <w:r w:rsidRPr="00E07C9A">
              <w:rPr>
                <w:rStyle w:val="InstructionsTabelleberschrift"/>
                <w:rFonts w:ascii="Times New Roman" w:hAnsi="Times New Roman"/>
                <w:b w:val="0"/>
                <w:sz w:val="24"/>
                <w:u w:val="none"/>
              </w:rPr>
              <w:t>žiadnemu</w:t>
            </w:r>
            <w:r w:rsidR="009912F8" w:rsidRPr="00E07C9A">
              <w:rPr>
                <w:rStyle w:val="InstructionsTabelleberschrift"/>
                <w:rFonts w:ascii="Times New Roman" w:hAnsi="Times New Roman"/>
                <w:b w:val="0"/>
                <w:sz w:val="24"/>
                <w:u w:val="none"/>
              </w:rPr>
              <w:t xml:space="preserve"> z </w:t>
            </w:r>
            <w:r w:rsidRPr="00E07C9A">
              <w:rPr>
                <w:rStyle w:val="InstructionsTabelleberschrift"/>
                <w:rFonts w:ascii="Times New Roman" w:hAnsi="Times New Roman"/>
                <w:b w:val="0"/>
                <w:sz w:val="24"/>
                <w:u w:val="none"/>
              </w:rPr>
              <w:t>riadkov 750 až 974</w:t>
            </w:r>
            <w:r w:rsidR="009912F8" w:rsidRPr="00E07C9A">
              <w:rPr>
                <w:rStyle w:val="InstructionsTabelleberschrift"/>
                <w:rFonts w:ascii="Times New Roman" w:hAnsi="Times New Roman"/>
                <w:b w:val="0"/>
                <w:sz w:val="24"/>
                <w:u w:val="none"/>
              </w:rPr>
              <w:t>.</w:t>
            </w:r>
          </w:p>
          <w:p w14:paraId="4B81AA3E" w14:textId="4B68694E" w:rsidR="0022315F" w:rsidRPr="00E07C9A" w:rsidRDefault="0022315F" w:rsidP="00566DB5">
            <w:pPr>
              <w:pStyle w:val="InstructionsText"/>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Tento riadok sa nepoužíva na začlenenie kapitálových položiek/odpočtov, ktoré nepokrýva</w:t>
            </w:r>
            <w:r w:rsidRPr="00E07C9A">
              <w:t xml:space="preserve"> nariadenie (EÚ) </w:t>
            </w:r>
            <w:r w:rsidR="009912F8" w:rsidRPr="00E07C9A">
              <w:t>č. 575/2013</w:t>
            </w:r>
            <w:r w:rsidRPr="00E07C9A">
              <w:rPr>
                <w:rStyle w:val="InstructionsTabelleberschrift"/>
                <w:rFonts w:ascii="Times New Roman" w:hAnsi="Times New Roman"/>
                <w:b w:val="0"/>
                <w:sz w:val="24"/>
                <w:u w:val="none"/>
              </w:rPr>
              <w:t>, do výpočtu pomerov platobnej schopnosti (napr. začlenenie vnútroštátnych kapitálových položiek/odpočtov, ktoré nepatria do rozsahu pôsobnosti</w:t>
            </w:r>
            <w:r w:rsidRPr="00E07C9A">
              <w:t xml:space="preserve"> uvedeného nariadenia</w:t>
            </w:r>
            <w:r w:rsidRPr="00E07C9A">
              <w:rPr>
                <w:rStyle w:val="InstructionsTabelleberschrift"/>
                <w:rFonts w:ascii="Times New Roman" w:hAnsi="Times New Roman"/>
                <w:b w:val="0"/>
                <w:sz w:val="24"/>
                <w:u w:val="none"/>
              </w:rPr>
              <w:t>).</w:t>
            </w:r>
          </w:p>
        </w:tc>
      </w:tr>
    </w:tbl>
    <w:p w14:paraId="1566A89B" w14:textId="77777777" w:rsidR="005643EA" w:rsidRPr="00E07C9A" w:rsidRDefault="005643EA" w:rsidP="00487A02">
      <w:pPr>
        <w:pStyle w:val="InstructionsText"/>
      </w:pPr>
    </w:p>
    <w:p w14:paraId="05F30B3B" w14:textId="77777777" w:rsidR="009912F8" w:rsidRPr="00E07C9A" w:rsidRDefault="00125707" w:rsidP="0023700C">
      <w:pPr>
        <w:pStyle w:val="Instructionsberschrift2"/>
        <w:numPr>
          <w:ilvl w:val="0"/>
          <w:numId w:val="0"/>
        </w:numPr>
        <w:ind w:left="357" w:hanging="357"/>
        <w:rPr>
          <w:rFonts w:ascii="Times New Roman" w:hAnsi="Times New Roman" w:cs="Times New Roman"/>
          <w:sz w:val="24"/>
        </w:rPr>
      </w:pPr>
      <w:bookmarkStart w:id="41" w:name="_Toc473560875"/>
      <w:bookmarkStart w:id="42" w:name="_Toc115857755"/>
      <w:bookmarkStart w:id="43" w:name="_Toc308175823"/>
      <w:bookmarkStart w:id="44" w:name="_Toc360188327"/>
      <w:r w:rsidRPr="00E07C9A">
        <w:rPr>
          <w:rFonts w:ascii="Times New Roman" w:hAnsi="Times New Roman" w:cs="Times New Roman"/>
          <w:sz w:val="24"/>
          <w:u w:val="none"/>
        </w:rPr>
        <w:t>1.3</w:t>
      </w:r>
      <w:r w:rsidRPr="002A18DE">
        <w:rPr>
          <w:rFonts w:ascii="Times New Roman" w:hAnsi="Times New Roman" w:cs="Times New Roman"/>
          <w:sz w:val="24"/>
          <w:u w:val="none"/>
        </w:rPr>
        <w:t>.</w:t>
      </w:r>
      <w:r w:rsidRPr="002A18DE">
        <w:rPr>
          <w:rFonts w:ascii="Times New Roman" w:hAnsi="Times New Roman" w:cs="Times New Roman"/>
          <w:u w:val="none"/>
        </w:rPr>
        <w:tab/>
      </w:r>
      <w:r w:rsidRPr="00E07C9A">
        <w:rPr>
          <w:rFonts w:ascii="Times New Roman" w:hAnsi="Times New Roman" w:cs="Times New Roman"/>
          <w:sz w:val="24"/>
        </w:rPr>
        <w:t>C 02.00 – POŽIADAVKY NA VLASTNÉ ZDROJE (CA2)</w:t>
      </w:r>
      <w:bookmarkEnd w:id="41"/>
      <w:bookmarkEnd w:id="42"/>
      <w:bookmarkEnd w:id="43"/>
      <w:bookmarkEnd w:id="44"/>
    </w:p>
    <w:p w14:paraId="3DB9FE2A" w14:textId="36696FCE" w:rsidR="002648B0" w:rsidRPr="00E07C9A" w:rsidRDefault="00125707" w:rsidP="0023700C">
      <w:pPr>
        <w:pStyle w:val="Instructionsberschrift2"/>
        <w:numPr>
          <w:ilvl w:val="0"/>
          <w:numId w:val="0"/>
        </w:numPr>
        <w:ind w:left="357" w:hanging="357"/>
        <w:rPr>
          <w:rFonts w:ascii="Times New Roman" w:hAnsi="Times New Roman" w:cs="Times New Roman"/>
          <w:sz w:val="24"/>
        </w:rPr>
      </w:pPr>
      <w:bookmarkStart w:id="45" w:name="_Toc308175824"/>
      <w:bookmarkStart w:id="46" w:name="_Toc310414970"/>
      <w:bookmarkStart w:id="47" w:name="_Toc360188328"/>
      <w:bookmarkStart w:id="48" w:name="_Toc473560876"/>
      <w:bookmarkStart w:id="49" w:name="_Toc115857756"/>
      <w:r w:rsidRPr="00E07C9A">
        <w:rPr>
          <w:rFonts w:ascii="Times New Roman" w:hAnsi="Times New Roman" w:cs="Times New Roman"/>
          <w:sz w:val="24"/>
          <w:u w:val="none"/>
        </w:rPr>
        <w:t>1.3.1.</w:t>
      </w:r>
      <w:r w:rsidRPr="002A18DE">
        <w:rPr>
          <w:rFonts w:ascii="Times New Roman" w:hAnsi="Times New Roman" w:cs="Times New Roman"/>
          <w:u w:val="none"/>
        </w:rPr>
        <w:tab/>
      </w:r>
      <w:r w:rsidRPr="00E07C9A">
        <w:rPr>
          <w:rFonts w:ascii="Times New Roman" w:hAnsi="Times New Roman" w:cs="Times New Roman"/>
          <w:sz w:val="24"/>
        </w:rPr>
        <w:t xml:space="preserve">Pokyny týkajúce sa konkrétnych </w:t>
      </w:r>
      <w:bookmarkEnd w:id="45"/>
      <w:bookmarkEnd w:id="46"/>
      <w:r w:rsidRPr="00E07C9A">
        <w:rPr>
          <w:rFonts w:ascii="Times New Roman" w:hAnsi="Times New Roman" w:cs="Times New Roman"/>
          <w:sz w:val="24"/>
        </w:rPr>
        <w:t>pozícií</w:t>
      </w:r>
      <w:bookmarkEnd w:id="47"/>
      <w:bookmarkEnd w:id="48"/>
      <w:bookmarkEnd w:id="49"/>
    </w:p>
    <w:p w14:paraId="2358622F" w14:textId="77777777" w:rsidR="002648B0" w:rsidRPr="00E07C9A" w:rsidRDefault="002648B0" w:rsidP="00D946DB">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2648B0" w:rsidRPr="00E07C9A" w14:paraId="03B492F7" w14:textId="77777777" w:rsidTr="00672D2A">
        <w:tc>
          <w:tcPr>
            <w:tcW w:w="1591" w:type="dxa"/>
            <w:shd w:val="clear" w:color="auto" w:fill="D9D9D9"/>
          </w:tcPr>
          <w:p w14:paraId="10BB5F26" w14:textId="77777777" w:rsidR="002648B0" w:rsidRPr="00E07C9A" w:rsidRDefault="002648B0" w:rsidP="00487A02">
            <w:pPr>
              <w:pStyle w:val="InstructionsText"/>
            </w:pPr>
            <w:r w:rsidRPr="00E07C9A">
              <w:t>Riadok</w:t>
            </w:r>
          </w:p>
        </w:tc>
        <w:tc>
          <w:tcPr>
            <w:tcW w:w="7274" w:type="dxa"/>
            <w:shd w:val="clear" w:color="auto" w:fill="D9D9D9"/>
          </w:tcPr>
          <w:p w14:paraId="7F3DDF83" w14:textId="23FE7F13" w:rsidR="005643EA" w:rsidRPr="00E07C9A" w:rsidRDefault="002648B0" w:rsidP="00487A02">
            <w:pPr>
              <w:pStyle w:val="InstructionsText"/>
            </w:pPr>
            <w:r w:rsidRPr="00E07C9A">
              <w:t>Odkazy na právne predpisy</w:t>
            </w:r>
            <w:r w:rsidR="009912F8" w:rsidRPr="00E07C9A">
              <w:t xml:space="preserve"> a </w:t>
            </w:r>
            <w:r w:rsidRPr="00E07C9A">
              <w:t>pokyny</w:t>
            </w:r>
          </w:p>
        </w:tc>
      </w:tr>
      <w:tr w:rsidR="002648B0" w:rsidRPr="00E07C9A" w14:paraId="35C09BD0" w14:textId="77777777" w:rsidTr="00672D2A">
        <w:tc>
          <w:tcPr>
            <w:tcW w:w="1591" w:type="dxa"/>
          </w:tcPr>
          <w:p w14:paraId="4176B046" w14:textId="77777777" w:rsidR="002648B0" w:rsidRPr="00E07C9A" w:rsidRDefault="00CF1093" w:rsidP="00487A02">
            <w:pPr>
              <w:pStyle w:val="InstructionsText"/>
            </w:pPr>
            <w:r w:rsidRPr="00E07C9A">
              <w:t>0010</w:t>
            </w:r>
          </w:p>
        </w:tc>
        <w:tc>
          <w:tcPr>
            <w:tcW w:w="7274" w:type="dxa"/>
          </w:tcPr>
          <w:p w14:paraId="01553D28" w14:textId="77777777" w:rsidR="005643EA" w:rsidRPr="00E07C9A" w:rsidRDefault="00C66473" w:rsidP="00487A02">
            <w:pPr>
              <w:pStyle w:val="InstructionsText"/>
            </w:pPr>
            <w:r w:rsidRPr="00E07C9A">
              <w:rPr>
                <w:rStyle w:val="InstructionsTabelleberschrift"/>
                <w:rFonts w:ascii="Times New Roman" w:hAnsi="Times New Roman"/>
                <w:sz w:val="24"/>
              </w:rPr>
              <w:t>1.</w:t>
            </w:r>
            <w:r w:rsidRPr="00E07C9A">
              <w:tab/>
            </w:r>
            <w:r w:rsidRPr="00E07C9A">
              <w:rPr>
                <w:rStyle w:val="InstructionsTabelleberschrift"/>
                <w:rFonts w:ascii="Times New Roman" w:hAnsi="Times New Roman"/>
                <w:sz w:val="24"/>
              </w:rPr>
              <w:t>CELKOVÁ HODNOTA RIZIKOVEJ EXPOZÍCIE</w:t>
            </w:r>
          </w:p>
          <w:p w14:paraId="3E17E533" w14:textId="3B210A31" w:rsidR="002648B0" w:rsidRPr="00E07C9A" w:rsidRDefault="002648B0" w:rsidP="00487A02">
            <w:pPr>
              <w:pStyle w:val="InstructionsText"/>
            </w:pPr>
            <w:r w:rsidRPr="00E07C9A">
              <w:t>Článok 92 ods. 3</w:t>
            </w:r>
            <w:r w:rsidR="009912F8" w:rsidRPr="00E07C9A">
              <w:t xml:space="preserve"> a </w:t>
            </w:r>
            <w:r w:rsidRPr="00E07C9A">
              <w:t>články 95, 96</w:t>
            </w:r>
            <w:r w:rsidR="009912F8" w:rsidRPr="00E07C9A">
              <w:t xml:space="preserve"> a </w:t>
            </w:r>
            <w:r w:rsidRPr="00E07C9A">
              <w:t xml:space="preserve">98 nariadenia (EÚ) </w:t>
            </w:r>
            <w:r w:rsidR="009912F8" w:rsidRPr="00E07C9A">
              <w:t>č. 575/2013</w:t>
            </w:r>
          </w:p>
        </w:tc>
      </w:tr>
      <w:tr w:rsidR="002648B0" w:rsidRPr="00E07C9A" w14:paraId="2A92A828" w14:textId="77777777" w:rsidTr="00672D2A">
        <w:tc>
          <w:tcPr>
            <w:tcW w:w="1591" w:type="dxa"/>
          </w:tcPr>
          <w:p w14:paraId="3926480A" w14:textId="77777777" w:rsidR="002648B0" w:rsidRPr="00E07C9A" w:rsidRDefault="00CF1093" w:rsidP="00487A02">
            <w:pPr>
              <w:pStyle w:val="InstructionsText"/>
            </w:pPr>
            <w:r w:rsidRPr="00E07C9A">
              <w:t>0020</w:t>
            </w:r>
          </w:p>
        </w:tc>
        <w:tc>
          <w:tcPr>
            <w:tcW w:w="7274" w:type="dxa"/>
          </w:tcPr>
          <w:p w14:paraId="0CA67A6F" w14:textId="3470B627" w:rsidR="005643EA" w:rsidRPr="00E07C9A" w:rsidRDefault="002648B0" w:rsidP="00487A02">
            <w:pPr>
              <w:pStyle w:val="InstructionsText"/>
            </w:pPr>
            <w:r w:rsidRPr="00E07C9A">
              <w:rPr>
                <w:rStyle w:val="InstructionsTabelleberschrift"/>
                <w:rFonts w:ascii="Times New Roman" w:hAnsi="Times New Roman"/>
                <w:sz w:val="24"/>
              </w:rPr>
              <w:t>1.*</w:t>
            </w:r>
            <w:r w:rsidRPr="00E07C9A">
              <w:tab/>
            </w:r>
            <w:r w:rsidRPr="00E07C9A">
              <w:rPr>
                <w:rStyle w:val="InstructionsTabelleberschrift"/>
                <w:rFonts w:ascii="Times New Roman" w:hAnsi="Times New Roman"/>
                <w:sz w:val="24"/>
              </w:rPr>
              <w:t>Z čoho: investičné spoločnosti podľa článku 95 ods. 2</w:t>
            </w:r>
            <w:r w:rsidR="009912F8" w:rsidRPr="00E07C9A">
              <w:rPr>
                <w:rStyle w:val="InstructionsTabelleberschrift"/>
                <w:rFonts w:ascii="Times New Roman" w:hAnsi="Times New Roman"/>
                <w:sz w:val="24"/>
              </w:rPr>
              <w:t xml:space="preserve"> a </w:t>
            </w:r>
            <w:r w:rsidRPr="00E07C9A">
              <w:rPr>
                <w:rStyle w:val="InstructionsTabelleberschrift"/>
                <w:rFonts w:ascii="Times New Roman" w:hAnsi="Times New Roman"/>
                <w:sz w:val="24"/>
              </w:rPr>
              <w:t xml:space="preserve">článku 98 nariadenia (EÚ) </w:t>
            </w:r>
            <w:r w:rsidR="009912F8" w:rsidRPr="00E07C9A">
              <w:rPr>
                <w:rStyle w:val="InstructionsTabelleberschrift"/>
                <w:rFonts w:ascii="Times New Roman" w:hAnsi="Times New Roman"/>
                <w:sz w:val="24"/>
              </w:rPr>
              <w:t>č. 575/2013</w:t>
            </w:r>
          </w:p>
          <w:p w14:paraId="69B39CC9" w14:textId="62F5BBD9" w:rsidR="005643EA" w:rsidRPr="00E07C9A" w:rsidRDefault="002648B0" w:rsidP="00487A02">
            <w:pPr>
              <w:pStyle w:val="InstructionsText"/>
            </w:pPr>
            <w:r w:rsidRPr="00E07C9A">
              <w:t xml:space="preserve">V prípade investičných spoločností podľa článku 95 ods. </w:t>
            </w:r>
            <w:r w:rsidRPr="00E07C9A">
              <w:rPr>
                <w:rStyle w:val="FormatvorlageInstructionsTabelleText"/>
                <w:rFonts w:ascii="Times New Roman" w:hAnsi="Times New Roman"/>
                <w:sz w:val="24"/>
              </w:rPr>
              <w:t>2</w:t>
            </w:r>
            <w:r w:rsidR="009912F8" w:rsidRPr="00E07C9A">
              <w:t xml:space="preserve"> a </w:t>
            </w:r>
            <w:r w:rsidRPr="00E07C9A">
              <w:t xml:space="preserve">článku 98 nariadenia (EÚ) </w:t>
            </w:r>
            <w:r w:rsidR="009912F8" w:rsidRPr="00E07C9A">
              <w:t>č. 575/2013</w:t>
            </w:r>
          </w:p>
        </w:tc>
      </w:tr>
      <w:tr w:rsidR="002648B0" w:rsidRPr="00E07C9A" w14:paraId="2F866E8B" w14:textId="77777777" w:rsidTr="00672D2A">
        <w:tc>
          <w:tcPr>
            <w:tcW w:w="1591" w:type="dxa"/>
          </w:tcPr>
          <w:p w14:paraId="5749D7E7" w14:textId="77777777" w:rsidR="002648B0" w:rsidRPr="00E07C9A" w:rsidRDefault="00CF1093" w:rsidP="00487A02">
            <w:pPr>
              <w:pStyle w:val="InstructionsText"/>
            </w:pPr>
            <w:r w:rsidRPr="00E07C9A">
              <w:t>0030</w:t>
            </w:r>
          </w:p>
        </w:tc>
        <w:tc>
          <w:tcPr>
            <w:tcW w:w="7274" w:type="dxa"/>
          </w:tcPr>
          <w:p w14:paraId="46EC9CCC" w14:textId="5A80468D" w:rsidR="005643EA" w:rsidRPr="00E07C9A" w:rsidRDefault="002648B0" w:rsidP="00487A02">
            <w:pPr>
              <w:pStyle w:val="InstructionsText"/>
            </w:pPr>
            <w:r w:rsidRPr="00E07C9A">
              <w:rPr>
                <w:rStyle w:val="InstructionsTabelleberschrift"/>
                <w:rFonts w:ascii="Times New Roman" w:hAnsi="Times New Roman"/>
                <w:sz w:val="24"/>
              </w:rPr>
              <w:t>1.**</w:t>
            </w:r>
            <w:r w:rsidRPr="00E07C9A">
              <w:tab/>
            </w:r>
            <w:r w:rsidRPr="00E07C9A">
              <w:rPr>
                <w:rStyle w:val="InstructionsTabelleberschrift"/>
                <w:rFonts w:ascii="Times New Roman" w:hAnsi="Times New Roman"/>
                <w:sz w:val="24"/>
              </w:rPr>
              <w:t>Z čoho: investičné spoločnosti podľa článku 96 ods. 2</w:t>
            </w:r>
            <w:r w:rsidR="009912F8" w:rsidRPr="00E07C9A">
              <w:rPr>
                <w:rStyle w:val="InstructionsTabelleberschrift"/>
                <w:rFonts w:ascii="Times New Roman" w:hAnsi="Times New Roman"/>
                <w:sz w:val="24"/>
              </w:rPr>
              <w:t xml:space="preserve"> a </w:t>
            </w:r>
            <w:r w:rsidRPr="00E07C9A">
              <w:rPr>
                <w:rStyle w:val="InstructionsTabelleberschrift"/>
                <w:rFonts w:ascii="Times New Roman" w:hAnsi="Times New Roman"/>
                <w:sz w:val="24"/>
              </w:rPr>
              <w:t xml:space="preserve">článku 97 nariadenia (EÚ) </w:t>
            </w:r>
            <w:r w:rsidR="009912F8" w:rsidRPr="00E07C9A">
              <w:rPr>
                <w:rStyle w:val="InstructionsTabelleberschrift"/>
                <w:rFonts w:ascii="Times New Roman" w:hAnsi="Times New Roman"/>
                <w:sz w:val="24"/>
              </w:rPr>
              <w:t>č. 575/2013</w:t>
            </w:r>
          </w:p>
          <w:p w14:paraId="7E481CD1" w14:textId="7F16D095" w:rsidR="005643EA" w:rsidRPr="00E07C9A" w:rsidRDefault="002648B0" w:rsidP="00487A02">
            <w:pPr>
              <w:pStyle w:val="InstructionsText"/>
            </w:pPr>
            <w:r w:rsidRPr="00E07C9A">
              <w:t xml:space="preserve">V prípade investičných spoločností podľa článku 96 ods. </w:t>
            </w:r>
            <w:r w:rsidRPr="00E07C9A">
              <w:rPr>
                <w:rStyle w:val="FormatvorlageInstructionsTabelleText"/>
                <w:rFonts w:ascii="Times New Roman" w:hAnsi="Times New Roman"/>
                <w:sz w:val="24"/>
              </w:rPr>
              <w:t>2</w:t>
            </w:r>
            <w:r w:rsidR="009912F8" w:rsidRPr="00E07C9A">
              <w:t xml:space="preserve"> a </w:t>
            </w:r>
            <w:r w:rsidRPr="00E07C9A">
              <w:t xml:space="preserve">článku 97 nariadenia (EÚ) </w:t>
            </w:r>
            <w:r w:rsidR="009912F8" w:rsidRPr="00E07C9A">
              <w:t>č. 575/2013</w:t>
            </w:r>
          </w:p>
        </w:tc>
      </w:tr>
      <w:tr w:rsidR="002648B0" w:rsidRPr="00E07C9A" w14:paraId="171DE218" w14:textId="77777777" w:rsidTr="00672D2A">
        <w:tc>
          <w:tcPr>
            <w:tcW w:w="1591" w:type="dxa"/>
          </w:tcPr>
          <w:p w14:paraId="534BA4A2" w14:textId="77777777" w:rsidR="002648B0" w:rsidRPr="00E07C9A" w:rsidRDefault="00CF1093"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lastRenderedPageBreak/>
              <w:t>0040</w:t>
            </w:r>
          </w:p>
        </w:tc>
        <w:tc>
          <w:tcPr>
            <w:tcW w:w="7274" w:type="dxa"/>
          </w:tcPr>
          <w:p w14:paraId="17F7C866" w14:textId="2EF86011" w:rsidR="005643EA" w:rsidRPr="00E07C9A" w:rsidRDefault="002648B0" w:rsidP="00487A02">
            <w:pPr>
              <w:pStyle w:val="InstructionsText"/>
              <w:rPr>
                <w:rStyle w:val="FormatvorlageInstructionsTabelleText"/>
                <w:rFonts w:ascii="Times New Roman" w:hAnsi="Times New Roman"/>
                <w:b/>
                <w:sz w:val="24"/>
                <w:u w:val="single"/>
              </w:rPr>
            </w:pPr>
            <w:r w:rsidRPr="00E07C9A">
              <w:rPr>
                <w:rStyle w:val="InstructionsTabelleberschrift"/>
                <w:rFonts w:ascii="Times New Roman" w:hAnsi="Times New Roman"/>
                <w:sz w:val="24"/>
              </w:rPr>
              <w:t>1.1.</w:t>
            </w:r>
            <w:r w:rsidRPr="00E07C9A">
              <w:tab/>
            </w:r>
            <w:r w:rsidRPr="00E07C9A">
              <w:rPr>
                <w:rStyle w:val="InstructionsTabelleberschrift"/>
                <w:rFonts w:ascii="Times New Roman" w:hAnsi="Times New Roman"/>
                <w:sz w:val="24"/>
              </w:rPr>
              <w:t>HODNOTY RIZIKOVO VÁŽENÝCH EXPOZÍCIÍ PRE KREDITNÉ RIZIKO, KREDITNÉ RIZIKO PROTISTRANY A RIZIKO ZNÍŽENIA KVALITY POHĽADÁVOK</w:t>
            </w:r>
            <w:r w:rsidR="009912F8" w:rsidRPr="00E07C9A">
              <w:rPr>
                <w:rStyle w:val="InstructionsTabelleberschrift"/>
                <w:rFonts w:ascii="Times New Roman" w:hAnsi="Times New Roman"/>
                <w:sz w:val="24"/>
              </w:rPr>
              <w:t xml:space="preserve"> Z </w:t>
            </w:r>
            <w:r w:rsidRPr="00E07C9A">
              <w:rPr>
                <w:rStyle w:val="InstructionsTabelleberschrift"/>
                <w:rFonts w:ascii="Times New Roman" w:hAnsi="Times New Roman"/>
                <w:sz w:val="24"/>
              </w:rPr>
              <w:t>INÝCH AKO KREDITNÝCH DÔVODOV A BEZODPLATNÉ DODANIE</w:t>
            </w:r>
          </w:p>
          <w:p w14:paraId="17CFB9F6" w14:textId="067B9BA5" w:rsidR="005643EA" w:rsidRPr="00E07C9A" w:rsidRDefault="002648B0"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Článok 92 ods. 3 písm. a)</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 xml:space="preserve">f) </w:t>
            </w:r>
            <w:r w:rsidRPr="00E07C9A">
              <w:t xml:space="preserve">nariadenia (EÚ) </w:t>
            </w:r>
            <w:r w:rsidR="009912F8" w:rsidRPr="00E07C9A">
              <w:t>č. 575/2013</w:t>
            </w:r>
          </w:p>
        </w:tc>
      </w:tr>
      <w:tr w:rsidR="002648B0" w:rsidRPr="00E07C9A" w14:paraId="241FA5E5" w14:textId="77777777" w:rsidTr="00672D2A">
        <w:tc>
          <w:tcPr>
            <w:tcW w:w="1591" w:type="dxa"/>
          </w:tcPr>
          <w:p w14:paraId="70777062" w14:textId="77777777" w:rsidR="002648B0" w:rsidRPr="00E07C9A" w:rsidRDefault="00CF1093"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0050</w:t>
            </w:r>
          </w:p>
        </w:tc>
        <w:tc>
          <w:tcPr>
            <w:tcW w:w="7274" w:type="dxa"/>
          </w:tcPr>
          <w:p w14:paraId="311F4C40" w14:textId="77777777" w:rsidR="005643EA" w:rsidRPr="00E07C9A" w:rsidRDefault="002648B0"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1.1.1.</w:t>
            </w:r>
            <w:r w:rsidRPr="00E07C9A">
              <w:tab/>
            </w:r>
            <w:r w:rsidRPr="00E07C9A">
              <w:rPr>
                <w:rStyle w:val="InstructionsTabelleberschrift"/>
                <w:rFonts w:ascii="Times New Roman" w:hAnsi="Times New Roman"/>
                <w:sz w:val="24"/>
              </w:rPr>
              <w:t>Štandardizovaný prístup (SA)</w:t>
            </w:r>
          </w:p>
          <w:p w14:paraId="18BCF56A" w14:textId="25738945" w:rsidR="002648B0" w:rsidRPr="00E07C9A" w:rsidRDefault="002648B0" w:rsidP="00487A02">
            <w:pPr>
              <w:pStyle w:val="InstructionsText"/>
              <w:rPr>
                <w:rStyle w:val="FormatvorlageInstructionsTabelleText"/>
                <w:rFonts w:ascii="Times New Roman" w:hAnsi="Times New Roman"/>
                <w:sz w:val="24"/>
              </w:rPr>
            </w:pPr>
            <w:r w:rsidRPr="00E07C9A">
              <w:rPr>
                <w:rStyle w:val="InstructionsTabelleberschrift"/>
                <w:rFonts w:ascii="Times New Roman" w:hAnsi="Times New Roman"/>
                <w:b w:val="0"/>
                <w:sz w:val="24"/>
                <w:u w:val="none"/>
              </w:rPr>
              <w:t>Vzory CR SA</w:t>
            </w:r>
            <w:r w:rsidR="009912F8" w:rsidRPr="00E07C9A">
              <w:rPr>
                <w:rStyle w:val="InstructionsTabelleberschrift"/>
                <w:rFonts w:ascii="Times New Roman" w:hAnsi="Times New Roman"/>
                <w:b w:val="0"/>
                <w:sz w:val="24"/>
                <w:u w:val="none"/>
              </w:rPr>
              <w:t xml:space="preserve"> a </w:t>
            </w:r>
            <w:r w:rsidRPr="00E07C9A">
              <w:rPr>
                <w:rStyle w:val="InstructionsTabelleberschrift"/>
                <w:rFonts w:ascii="Times New Roman" w:hAnsi="Times New Roman"/>
                <w:b w:val="0"/>
                <w:sz w:val="24"/>
                <w:u w:val="none"/>
              </w:rPr>
              <w:t>SEC SA na úrovni celkových expozícií</w:t>
            </w:r>
          </w:p>
        </w:tc>
      </w:tr>
      <w:tr w:rsidR="00802958" w:rsidRPr="00E07C9A" w14:paraId="786560DC" w14:textId="77777777" w:rsidTr="00672D2A">
        <w:tc>
          <w:tcPr>
            <w:tcW w:w="1591" w:type="dxa"/>
          </w:tcPr>
          <w:p w14:paraId="6D2C197B" w14:textId="77777777" w:rsidR="00802958" w:rsidRPr="00E07C9A" w:rsidRDefault="00CF1093"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0051</w:t>
            </w:r>
          </w:p>
        </w:tc>
        <w:tc>
          <w:tcPr>
            <w:tcW w:w="7274" w:type="dxa"/>
          </w:tcPr>
          <w:p w14:paraId="4FDA74F9" w14:textId="057E6E1B" w:rsidR="00802958" w:rsidRPr="00E07C9A" w:rsidRDefault="00802958"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1.1.1.*</w:t>
            </w:r>
            <w:r w:rsidRPr="00E07C9A">
              <w:tab/>
            </w:r>
            <w:r w:rsidRPr="00E07C9A">
              <w:rPr>
                <w:rStyle w:val="InstructionsTabelleberschrift"/>
                <w:rFonts w:ascii="Times New Roman" w:hAnsi="Times New Roman"/>
                <w:sz w:val="24"/>
              </w:rPr>
              <w:t xml:space="preserve">Z čoho: dodatočné prísnejšie prudenciálne požiadavky na základe článku 124 nariadenia (EÚ) </w:t>
            </w:r>
            <w:r w:rsidR="009912F8" w:rsidRPr="00E07C9A">
              <w:rPr>
                <w:rStyle w:val="InstructionsTabelleberschrift"/>
                <w:rFonts w:ascii="Times New Roman" w:hAnsi="Times New Roman"/>
                <w:sz w:val="24"/>
              </w:rPr>
              <w:t>č. 575/2013</w:t>
            </w:r>
          </w:p>
          <w:p w14:paraId="0AC666E0" w14:textId="2432B804" w:rsidR="00802958" w:rsidRPr="00E07C9A" w:rsidRDefault="004852B9" w:rsidP="002A67C8">
            <w:pPr>
              <w:pStyle w:val="InstructionsText"/>
              <w:rPr>
                <w:rStyle w:val="InstructionsTabelleberschrift"/>
                <w:rFonts w:ascii="Times New Roman" w:hAnsi="Times New Roman"/>
                <w:sz w:val="24"/>
              </w:rPr>
            </w:pPr>
            <w:r w:rsidRPr="00E07C9A">
              <w:t>Inštitúcie vykazujú dodatočné hodnoty rizikových expozícií potrebné na splnenie prísnejších prudenciálnych požiadaviek, ako im boli oznámené po konzultácii</w:t>
            </w:r>
            <w:r w:rsidR="009912F8" w:rsidRPr="00E07C9A">
              <w:t xml:space="preserve"> s </w:t>
            </w:r>
            <w:r w:rsidRPr="00E07C9A">
              <w:t>EBA,</w:t>
            </w:r>
            <w:r w:rsidR="009912F8" w:rsidRPr="00E07C9A">
              <w:t xml:space="preserve"> v </w:t>
            </w:r>
            <w:r w:rsidRPr="00E07C9A">
              <w:t>súlade</w:t>
            </w:r>
            <w:r w:rsidR="009912F8" w:rsidRPr="00E07C9A">
              <w:t xml:space="preserve"> s </w:t>
            </w:r>
            <w:r w:rsidRPr="00E07C9A">
              <w:t>článkom 124 ods. 2</w:t>
            </w:r>
            <w:r w:rsidR="009912F8" w:rsidRPr="00E07C9A">
              <w:t xml:space="preserve"> a </w:t>
            </w:r>
            <w:r w:rsidRPr="00E07C9A">
              <w:t xml:space="preserve">5 nariadenia (EÚ) </w:t>
            </w:r>
            <w:r w:rsidR="009912F8" w:rsidRPr="00E07C9A">
              <w:t>č. 575/2013</w:t>
            </w:r>
            <w:r w:rsidRPr="00E07C9A">
              <w:t>.</w:t>
            </w:r>
          </w:p>
        </w:tc>
      </w:tr>
      <w:tr w:rsidR="002648B0" w:rsidRPr="00E07C9A" w14:paraId="2D666492" w14:textId="77777777" w:rsidTr="00672D2A">
        <w:tc>
          <w:tcPr>
            <w:tcW w:w="1591" w:type="dxa"/>
          </w:tcPr>
          <w:p w14:paraId="6441CEAE" w14:textId="77777777" w:rsidR="002648B0" w:rsidRPr="00E07C9A" w:rsidRDefault="00CF1093"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0060</w:t>
            </w:r>
          </w:p>
        </w:tc>
        <w:tc>
          <w:tcPr>
            <w:tcW w:w="7274" w:type="dxa"/>
          </w:tcPr>
          <w:p w14:paraId="4BA2E5AB" w14:textId="77777777" w:rsidR="00C44421" w:rsidRPr="00E07C9A" w:rsidRDefault="00C44421" w:rsidP="00487A02">
            <w:pPr>
              <w:pStyle w:val="InstructionsText"/>
              <w:rPr>
                <w:rStyle w:val="FormatvorlageInstructionsTabelleText"/>
                <w:rFonts w:ascii="Times New Roman" w:hAnsi="Times New Roman"/>
                <w:b/>
                <w:sz w:val="24"/>
                <w:u w:val="single"/>
              </w:rPr>
            </w:pPr>
            <w:r w:rsidRPr="00E07C9A">
              <w:rPr>
                <w:rStyle w:val="InstructionsTabelleberschrift"/>
                <w:rFonts w:ascii="Times New Roman" w:hAnsi="Times New Roman"/>
                <w:sz w:val="24"/>
              </w:rPr>
              <w:t>1.1.1.1.</w:t>
            </w:r>
            <w:r w:rsidRPr="00E07C9A">
              <w:tab/>
            </w:r>
            <w:r w:rsidRPr="00E07C9A">
              <w:rPr>
                <w:rStyle w:val="InstructionsTabelleberschrift"/>
                <w:rFonts w:ascii="Times New Roman" w:hAnsi="Times New Roman"/>
                <w:sz w:val="24"/>
              </w:rPr>
              <w:t>Triedy expozícií SA bez sekuritizačných pozícií</w:t>
            </w:r>
          </w:p>
          <w:p w14:paraId="43519FA5" w14:textId="0F985D62" w:rsidR="002648B0" w:rsidRPr="00E07C9A" w:rsidRDefault="002648B0"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 xml:space="preserve">Vzor CR SA na úrovni celkových expozícií Triedy expozícií SA </w:t>
            </w:r>
            <w:r w:rsidRPr="00E07C9A">
              <w:rPr>
                <w:rStyle w:val="InstructionsTabelleberschrift"/>
                <w:rFonts w:ascii="Times New Roman" w:hAnsi="Times New Roman"/>
                <w:b w:val="0"/>
                <w:sz w:val="24"/>
                <w:u w:val="none"/>
              </w:rPr>
              <w:t>sú</w:t>
            </w:r>
            <w:r w:rsidRPr="00E07C9A">
              <w:rPr>
                <w:rStyle w:val="FormatvorlageInstructionsTabelleText"/>
                <w:rFonts w:ascii="Times New Roman" w:hAnsi="Times New Roman"/>
                <w:sz w:val="24"/>
              </w:rPr>
              <w:t xml:space="preserve"> triedy uvedené</w:t>
            </w:r>
            <w:r w:rsidR="009912F8" w:rsidRPr="00E07C9A">
              <w:rPr>
                <w:rStyle w:val="FormatvorlageInstructionsTabelleText"/>
                <w:rFonts w:ascii="Times New Roman" w:hAnsi="Times New Roman"/>
                <w:sz w:val="24"/>
              </w:rPr>
              <w:t xml:space="preserve"> v </w:t>
            </w:r>
            <w:r w:rsidRPr="00E07C9A">
              <w:t xml:space="preserve">článku 112 nariadenia (EÚ) </w:t>
            </w:r>
            <w:r w:rsidR="009912F8" w:rsidRPr="00E07C9A">
              <w:t>č. 575/2013</w:t>
            </w:r>
            <w:r w:rsidRPr="00E07C9A">
              <w:rPr>
                <w:rStyle w:val="FormatvorlageInstructionsTabelleText"/>
                <w:rFonts w:ascii="Times New Roman" w:hAnsi="Times New Roman"/>
                <w:sz w:val="24"/>
              </w:rPr>
              <w:t xml:space="preserve"> bez sekuritizačných pozícií.</w:t>
            </w:r>
          </w:p>
        </w:tc>
      </w:tr>
      <w:tr w:rsidR="002648B0" w:rsidRPr="00E07C9A" w14:paraId="1E666BE0" w14:textId="77777777" w:rsidTr="00672D2A">
        <w:tc>
          <w:tcPr>
            <w:tcW w:w="1591" w:type="dxa"/>
          </w:tcPr>
          <w:p w14:paraId="4C2CF088" w14:textId="77777777" w:rsidR="002648B0" w:rsidRPr="00E07C9A" w:rsidRDefault="00CF1093"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0070</w:t>
            </w:r>
          </w:p>
        </w:tc>
        <w:tc>
          <w:tcPr>
            <w:tcW w:w="7274" w:type="dxa"/>
          </w:tcPr>
          <w:p w14:paraId="731473C9" w14:textId="77777777" w:rsidR="005643EA" w:rsidRPr="00E07C9A" w:rsidRDefault="002648B0" w:rsidP="00487A02">
            <w:pPr>
              <w:pStyle w:val="InstructionsText"/>
              <w:rPr>
                <w:rStyle w:val="FormatvorlageInstructionsTabelleText"/>
                <w:rFonts w:ascii="Times New Roman" w:hAnsi="Times New Roman"/>
                <w:b/>
                <w:sz w:val="24"/>
                <w:u w:val="single"/>
              </w:rPr>
            </w:pPr>
            <w:r w:rsidRPr="00E07C9A">
              <w:rPr>
                <w:rStyle w:val="InstructionsTabelleberschrift"/>
                <w:rFonts w:ascii="Times New Roman" w:hAnsi="Times New Roman"/>
                <w:sz w:val="24"/>
              </w:rPr>
              <w:t>1.1.1.1.01.</w:t>
            </w:r>
            <w:r w:rsidRPr="00E07C9A">
              <w:tab/>
            </w:r>
            <w:r w:rsidRPr="00E07C9A">
              <w:rPr>
                <w:rStyle w:val="InstructionsTabelleberschrift"/>
                <w:rFonts w:ascii="Times New Roman" w:hAnsi="Times New Roman"/>
                <w:sz w:val="24"/>
              </w:rPr>
              <w:t>Ústredné vlády alebo centrálne banky</w:t>
            </w:r>
          </w:p>
          <w:p w14:paraId="72AAD2D0" w14:textId="77777777" w:rsidR="00496C53" w:rsidRPr="00E07C9A" w:rsidRDefault="00D212FE" w:rsidP="00487A02">
            <w:pPr>
              <w:pStyle w:val="InstructionsText"/>
              <w:rPr>
                <w:rStyle w:val="FormatvorlageInstructionsTabelleText"/>
                <w:rFonts w:ascii="Times New Roman" w:hAnsi="Times New Roman"/>
                <w:bCs w:val="0"/>
                <w:sz w:val="24"/>
              </w:rPr>
            </w:pPr>
            <w:r w:rsidRPr="00E07C9A">
              <w:rPr>
                <w:rStyle w:val="FormatvorlageInstructionsTabelleText"/>
                <w:rFonts w:ascii="Times New Roman" w:hAnsi="Times New Roman"/>
                <w:sz w:val="24"/>
              </w:rPr>
              <w:t>Pozri vzor CR SA.</w:t>
            </w:r>
          </w:p>
        </w:tc>
      </w:tr>
      <w:tr w:rsidR="002648B0" w:rsidRPr="00E07C9A" w14:paraId="3E399336" w14:textId="77777777" w:rsidTr="00672D2A">
        <w:tc>
          <w:tcPr>
            <w:tcW w:w="1591" w:type="dxa"/>
          </w:tcPr>
          <w:p w14:paraId="5A454305" w14:textId="77777777" w:rsidR="00783881" w:rsidRPr="00E07C9A" w:rsidRDefault="00CF1093"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0080</w:t>
            </w:r>
          </w:p>
        </w:tc>
        <w:tc>
          <w:tcPr>
            <w:tcW w:w="7274" w:type="dxa"/>
          </w:tcPr>
          <w:p w14:paraId="2E28FE12" w14:textId="77777777" w:rsidR="00783881" w:rsidRPr="00E07C9A" w:rsidRDefault="002648B0" w:rsidP="00487A02">
            <w:pPr>
              <w:pStyle w:val="InstructionsText"/>
              <w:rPr>
                <w:rStyle w:val="FormatvorlageInstructionsTabelleText"/>
                <w:rFonts w:ascii="Times New Roman" w:hAnsi="Times New Roman"/>
                <w:b/>
                <w:sz w:val="24"/>
                <w:u w:val="single"/>
              </w:rPr>
            </w:pPr>
            <w:r w:rsidRPr="00E07C9A">
              <w:rPr>
                <w:rStyle w:val="InstructionsTabelleberschrift"/>
                <w:rFonts w:ascii="Times New Roman" w:hAnsi="Times New Roman"/>
                <w:sz w:val="24"/>
              </w:rPr>
              <w:t>1.1.1.1.02.</w:t>
            </w:r>
            <w:r w:rsidRPr="00E07C9A">
              <w:tab/>
            </w:r>
            <w:r w:rsidRPr="00E07C9A">
              <w:rPr>
                <w:rStyle w:val="InstructionsTabelleberschrift"/>
                <w:rFonts w:ascii="Times New Roman" w:hAnsi="Times New Roman"/>
                <w:sz w:val="24"/>
              </w:rPr>
              <w:t>Regionálne vlády alebo miestne orgány</w:t>
            </w:r>
          </w:p>
          <w:p w14:paraId="75A7B78D" w14:textId="77777777" w:rsidR="002648B0" w:rsidRPr="00E07C9A" w:rsidRDefault="00D212FE"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Pozri vzor CR SA.</w:t>
            </w:r>
          </w:p>
        </w:tc>
      </w:tr>
      <w:tr w:rsidR="002648B0" w:rsidRPr="00E07C9A" w14:paraId="6825644C" w14:textId="77777777" w:rsidTr="00672D2A">
        <w:tc>
          <w:tcPr>
            <w:tcW w:w="1591" w:type="dxa"/>
          </w:tcPr>
          <w:p w14:paraId="41D1432D" w14:textId="77777777" w:rsidR="00783881" w:rsidRPr="00E07C9A" w:rsidRDefault="00CF1093"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0090</w:t>
            </w:r>
          </w:p>
        </w:tc>
        <w:tc>
          <w:tcPr>
            <w:tcW w:w="7274" w:type="dxa"/>
          </w:tcPr>
          <w:p w14:paraId="140AF6E8" w14:textId="77777777" w:rsidR="005643EA" w:rsidRPr="00E07C9A" w:rsidRDefault="002648B0" w:rsidP="00487A02">
            <w:pPr>
              <w:pStyle w:val="InstructionsText"/>
              <w:rPr>
                <w:rStyle w:val="FormatvorlageInstructionsTabelleText"/>
                <w:rFonts w:ascii="Times New Roman" w:hAnsi="Times New Roman"/>
                <w:b/>
                <w:bCs w:val="0"/>
                <w:sz w:val="24"/>
                <w:u w:val="single"/>
              </w:rPr>
            </w:pPr>
            <w:r w:rsidRPr="00E07C9A">
              <w:rPr>
                <w:rStyle w:val="InstructionsTabelleberschrift"/>
                <w:rFonts w:ascii="Times New Roman" w:hAnsi="Times New Roman"/>
                <w:sz w:val="24"/>
              </w:rPr>
              <w:t>1.1.1.1.03.</w:t>
            </w:r>
            <w:r w:rsidRPr="00E07C9A">
              <w:tab/>
            </w:r>
            <w:r w:rsidRPr="00E07C9A">
              <w:rPr>
                <w:rStyle w:val="InstructionsTabelleberschrift"/>
                <w:rFonts w:ascii="Times New Roman" w:hAnsi="Times New Roman"/>
                <w:sz w:val="24"/>
              </w:rPr>
              <w:t>Subjekty verejného sektora</w:t>
            </w:r>
          </w:p>
          <w:p w14:paraId="03AEE8CB" w14:textId="77777777" w:rsidR="002648B0" w:rsidRPr="00E07C9A" w:rsidRDefault="00D212FE"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Pozri vzor CR SA.</w:t>
            </w:r>
          </w:p>
        </w:tc>
      </w:tr>
      <w:tr w:rsidR="002648B0" w:rsidRPr="00E07C9A" w14:paraId="0C8A7396" w14:textId="77777777" w:rsidTr="00672D2A">
        <w:tc>
          <w:tcPr>
            <w:tcW w:w="1591" w:type="dxa"/>
          </w:tcPr>
          <w:p w14:paraId="7D85AC6B" w14:textId="77777777" w:rsidR="00783881" w:rsidRPr="00E07C9A" w:rsidRDefault="00CF1093"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0100</w:t>
            </w:r>
          </w:p>
        </w:tc>
        <w:tc>
          <w:tcPr>
            <w:tcW w:w="7274" w:type="dxa"/>
          </w:tcPr>
          <w:p w14:paraId="0C348BE5" w14:textId="77777777" w:rsidR="002648B0" w:rsidRPr="00E07C9A" w:rsidRDefault="002648B0" w:rsidP="00487A02">
            <w:pPr>
              <w:pStyle w:val="InstructionsText"/>
              <w:rPr>
                <w:rStyle w:val="FormatvorlageInstructionsTabelleText"/>
                <w:rFonts w:ascii="Times New Roman" w:hAnsi="Times New Roman"/>
                <w:b/>
                <w:sz w:val="24"/>
                <w:u w:val="single"/>
              </w:rPr>
            </w:pPr>
            <w:r w:rsidRPr="00E07C9A">
              <w:rPr>
                <w:rStyle w:val="InstructionsTabelleberschrift"/>
                <w:rFonts w:ascii="Times New Roman" w:hAnsi="Times New Roman"/>
                <w:sz w:val="24"/>
              </w:rPr>
              <w:t>1.1.1.1.04.</w:t>
            </w:r>
            <w:r w:rsidRPr="00E07C9A">
              <w:tab/>
            </w:r>
            <w:r w:rsidRPr="00E07C9A">
              <w:rPr>
                <w:rStyle w:val="InstructionsTabelleberschrift"/>
                <w:rFonts w:ascii="Times New Roman" w:hAnsi="Times New Roman"/>
                <w:sz w:val="24"/>
              </w:rPr>
              <w:t>Multilaterálne rozvojové banky</w:t>
            </w:r>
          </w:p>
          <w:p w14:paraId="56E78FF4" w14:textId="77777777" w:rsidR="002648B0" w:rsidRPr="00E07C9A" w:rsidRDefault="00D212FE"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 xml:space="preserve">Pozri vzor CR SA. </w:t>
            </w:r>
          </w:p>
        </w:tc>
      </w:tr>
      <w:tr w:rsidR="002648B0" w:rsidRPr="00E07C9A" w14:paraId="211F4AF9" w14:textId="77777777" w:rsidTr="00672D2A">
        <w:tc>
          <w:tcPr>
            <w:tcW w:w="1591" w:type="dxa"/>
          </w:tcPr>
          <w:p w14:paraId="36810335" w14:textId="77777777" w:rsidR="00783881" w:rsidRPr="00E07C9A" w:rsidRDefault="00CF1093"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0110</w:t>
            </w:r>
          </w:p>
        </w:tc>
        <w:tc>
          <w:tcPr>
            <w:tcW w:w="7274" w:type="dxa"/>
          </w:tcPr>
          <w:p w14:paraId="0E64C732" w14:textId="77777777" w:rsidR="005643EA" w:rsidRPr="00E07C9A" w:rsidRDefault="002648B0" w:rsidP="00487A02">
            <w:pPr>
              <w:pStyle w:val="InstructionsText"/>
              <w:rPr>
                <w:rStyle w:val="FormatvorlageInstructionsTabelleText"/>
                <w:rFonts w:ascii="Times New Roman" w:hAnsi="Times New Roman"/>
                <w:b/>
                <w:sz w:val="24"/>
                <w:u w:val="single"/>
              </w:rPr>
            </w:pPr>
            <w:r w:rsidRPr="00E07C9A">
              <w:rPr>
                <w:rStyle w:val="InstructionsTabelleberschrift"/>
                <w:rFonts w:ascii="Times New Roman" w:hAnsi="Times New Roman"/>
                <w:sz w:val="24"/>
              </w:rPr>
              <w:t>1.1.1.1.05.</w:t>
            </w:r>
            <w:r w:rsidRPr="00E07C9A">
              <w:tab/>
            </w:r>
            <w:r w:rsidRPr="00E07C9A">
              <w:rPr>
                <w:rStyle w:val="InstructionsTabelleberschrift"/>
                <w:rFonts w:ascii="Times New Roman" w:hAnsi="Times New Roman"/>
                <w:sz w:val="24"/>
              </w:rPr>
              <w:t>Medzinárodné organizácie</w:t>
            </w:r>
          </w:p>
          <w:p w14:paraId="4B3A92D1" w14:textId="77777777" w:rsidR="002648B0" w:rsidRPr="00E07C9A" w:rsidRDefault="00783881"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Pozri vzor CR SA.</w:t>
            </w:r>
          </w:p>
        </w:tc>
      </w:tr>
      <w:tr w:rsidR="002648B0" w:rsidRPr="00E07C9A" w14:paraId="07BF2525" w14:textId="77777777" w:rsidTr="00672D2A">
        <w:tc>
          <w:tcPr>
            <w:tcW w:w="1591" w:type="dxa"/>
          </w:tcPr>
          <w:p w14:paraId="488BED47" w14:textId="77777777" w:rsidR="00783881" w:rsidRPr="00E07C9A" w:rsidRDefault="00CF1093"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0120</w:t>
            </w:r>
          </w:p>
        </w:tc>
        <w:tc>
          <w:tcPr>
            <w:tcW w:w="7274" w:type="dxa"/>
          </w:tcPr>
          <w:p w14:paraId="3B1A86D3" w14:textId="77777777" w:rsidR="005643EA" w:rsidRPr="00E07C9A" w:rsidRDefault="00783881" w:rsidP="00487A02">
            <w:pPr>
              <w:pStyle w:val="InstructionsText"/>
              <w:rPr>
                <w:rStyle w:val="FormatvorlageInstructionsTabelleText"/>
                <w:rFonts w:ascii="Times New Roman" w:hAnsi="Times New Roman"/>
                <w:b/>
                <w:sz w:val="24"/>
                <w:u w:val="single"/>
              </w:rPr>
            </w:pPr>
            <w:r w:rsidRPr="00E07C9A">
              <w:rPr>
                <w:rStyle w:val="InstructionsTabelleberschrift"/>
                <w:rFonts w:ascii="Times New Roman" w:hAnsi="Times New Roman"/>
                <w:sz w:val="24"/>
              </w:rPr>
              <w:t>1.1.1.1.06.</w:t>
            </w:r>
            <w:r w:rsidRPr="00E07C9A">
              <w:tab/>
            </w:r>
            <w:r w:rsidRPr="00E07C9A">
              <w:rPr>
                <w:rStyle w:val="InstructionsTabelleberschrift"/>
                <w:rFonts w:ascii="Times New Roman" w:hAnsi="Times New Roman"/>
                <w:sz w:val="24"/>
              </w:rPr>
              <w:t>Inštitúcie</w:t>
            </w:r>
          </w:p>
          <w:p w14:paraId="03B311D1" w14:textId="77777777" w:rsidR="002648B0" w:rsidRPr="00E07C9A" w:rsidRDefault="00783881"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Pozri vzor CR SA.</w:t>
            </w:r>
          </w:p>
        </w:tc>
      </w:tr>
      <w:tr w:rsidR="002648B0" w:rsidRPr="00E07C9A" w14:paraId="73DEFD8C" w14:textId="77777777" w:rsidTr="00672D2A">
        <w:tc>
          <w:tcPr>
            <w:tcW w:w="1591" w:type="dxa"/>
          </w:tcPr>
          <w:p w14:paraId="4B00A1FB" w14:textId="77777777" w:rsidR="00783881" w:rsidRPr="00E07C9A" w:rsidRDefault="00B13F06"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0130</w:t>
            </w:r>
          </w:p>
        </w:tc>
        <w:tc>
          <w:tcPr>
            <w:tcW w:w="7274" w:type="dxa"/>
          </w:tcPr>
          <w:p w14:paraId="7252F418" w14:textId="77777777" w:rsidR="00783881" w:rsidRPr="00E07C9A" w:rsidRDefault="002648B0" w:rsidP="00487A02">
            <w:pPr>
              <w:pStyle w:val="InstructionsText"/>
              <w:rPr>
                <w:rStyle w:val="FormatvorlageInstructionsTabelleText"/>
                <w:rFonts w:ascii="Times New Roman" w:hAnsi="Times New Roman"/>
                <w:b/>
                <w:sz w:val="24"/>
                <w:u w:val="single"/>
              </w:rPr>
            </w:pPr>
            <w:r w:rsidRPr="00E07C9A">
              <w:rPr>
                <w:rStyle w:val="InstructionsTabelleberschrift"/>
                <w:rFonts w:ascii="Times New Roman" w:hAnsi="Times New Roman"/>
                <w:sz w:val="24"/>
              </w:rPr>
              <w:t>1.1.1.1.07.</w:t>
            </w:r>
            <w:r w:rsidRPr="00E07C9A">
              <w:tab/>
            </w:r>
            <w:r w:rsidRPr="00E07C9A">
              <w:rPr>
                <w:rStyle w:val="InstructionsTabelleberschrift"/>
                <w:rFonts w:ascii="Times New Roman" w:hAnsi="Times New Roman"/>
                <w:sz w:val="24"/>
              </w:rPr>
              <w:t>Podnikateľské subjekty</w:t>
            </w:r>
          </w:p>
          <w:p w14:paraId="736B3BB8" w14:textId="77777777" w:rsidR="002648B0" w:rsidRPr="00E07C9A" w:rsidRDefault="00D212FE"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Pozri vzor CR SA.</w:t>
            </w:r>
          </w:p>
        </w:tc>
      </w:tr>
      <w:tr w:rsidR="002648B0" w:rsidRPr="00E07C9A" w14:paraId="3E980E73" w14:textId="77777777" w:rsidTr="00672D2A">
        <w:tc>
          <w:tcPr>
            <w:tcW w:w="1591" w:type="dxa"/>
          </w:tcPr>
          <w:p w14:paraId="4CB1DFDE" w14:textId="77777777" w:rsidR="00783881" w:rsidRPr="00E07C9A" w:rsidRDefault="00B13F06"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0140</w:t>
            </w:r>
          </w:p>
        </w:tc>
        <w:tc>
          <w:tcPr>
            <w:tcW w:w="7274" w:type="dxa"/>
          </w:tcPr>
          <w:p w14:paraId="5EE612CD" w14:textId="77777777" w:rsidR="005643EA" w:rsidRPr="00E07C9A" w:rsidRDefault="002648B0" w:rsidP="00487A02">
            <w:pPr>
              <w:pStyle w:val="InstructionsText"/>
              <w:rPr>
                <w:rStyle w:val="FormatvorlageInstructionsTabelleText"/>
                <w:rFonts w:ascii="Times New Roman" w:hAnsi="Times New Roman"/>
                <w:b/>
                <w:bCs w:val="0"/>
                <w:sz w:val="24"/>
                <w:u w:val="single"/>
              </w:rPr>
            </w:pPr>
            <w:r w:rsidRPr="00E07C9A">
              <w:rPr>
                <w:rStyle w:val="InstructionsTabelleberschrift"/>
                <w:rFonts w:ascii="Times New Roman" w:hAnsi="Times New Roman"/>
                <w:sz w:val="24"/>
              </w:rPr>
              <w:t>1.1.1.1.08.</w:t>
            </w:r>
            <w:r w:rsidRPr="00E07C9A">
              <w:tab/>
            </w:r>
            <w:r w:rsidRPr="00E07C9A">
              <w:rPr>
                <w:rStyle w:val="InstructionsTabelleberschrift"/>
                <w:rFonts w:ascii="Times New Roman" w:hAnsi="Times New Roman"/>
                <w:sz w:val="24"/>
              </w:rPr>
              <w:t>Retailové subjekty</w:t>
            </w:r>
          </w:p>
          <w:p w14:paraId="3B6C236E" w14:textId="77777777" w:rsidR="002648B0" w:rsidRPr="00E07C9A" w:rsidRDefault="00D212FE"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Pozri vzor CR SA.</w:t>
            </w:r>
          </w:p>
        </w:tc>
      </w:tr>
      <w:tr w:rsidR="002648B0" w:rsidRPr="00E07C9A" w14:paraId="318FBF2E" w14:textId="77777777" w:rsidTr="00672D2A">
        <w:tc>
          <w:tcPr>
            <w:tcW w:w="1591" w:type="dxa"/>
          </w:tcPr>
          <w:p w14:paraId="6A6F234C" w14:textId="77777777" w:rsidR="002648B0" w:rsidRPr="00E07C9A" w:rsidRDefault="00B13F06"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0150</w:t>
            </w:r>
          </w:p>
        </w:tc>
        <w:tc>
          <w:tcPr>
            <w:tcW w:w="7274" w:type="dxa"/>
          </w:tcPr>
          <w:p w14:paraId="44AA0C6D" w14:textId="77777777" w:rsidR="005643EA" w:rsidRPr="00E07C9A" w:rsidRDefault="002648B0" w:rsidP="00487A02">
            <w:pPr>
              <w:pStyle w:val="InstructionsText"/>
              <w:rPr>
                <w:rStyle w:val="InstructionsTabelleberschrift"/>
                <w:rFonts w:ascii="Times New Roman" w:hAnsi="Times New Roman"/>
                <w:bCs w:val="0"/>
                <w:sz w:val="24"/>
              </w:rPr>
            </w:pPr>
            <w:r w:rsidRPr="00E07C9A">
              <w:rPr>
                <w:rStyle w:val="InstructionsTabelleberschrift"/>
                <w:rFonts w:ascii="Times New Roman" w:hAnsi="Times New Roman"/>
                <w:sz w:val="24"/>
              </w:rPr>
              <w:t>1.1.1.1.09.</w:t>
            </w:r>
            <w:r w:rsidRPr="00E07C9A">
              <w:tab/>
            </w:r>
            <w:r w:rsidRPr="00E07C9A">
              <w:rPr>
                <w:rStyle w:val="InstructionsTabelleberschrift"/>
                <w:rFonts w:ascii="Times New Roman" w:hAnsi="Times New Roman"/>
                <w:sz w:val="24"/>
              </w:rPr>
              <w:t>Zabezpečené hypotékami na nehnuteľný majetok</w:t>
            </w:r>
          </w:p>
          <w:p w14:paraId="4AAB8811" w14:textId="77777777" w:rsidR="002648B0" w:rsidRPr="00E07C9A" w:rsidRDefault="00D212FE"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Pozri vzor CR SA.</w:t>
            </w:r>
          </w:p>
        </w:tc>
      </w:tr>
      <w:tr w:rsidR="002648B0" w:rsidRPr="00E07C9A" w14:paraId="74BB68C5" w14:textId="77777777" w:rsidTr="00672D2A">
        <w:tc>
          <w:tcPr>
            <w:tcW w:w="1591" w:type="dxa"/>
          </w:tcPr>
          <w:p w14:paraId="72A61ABB" w14:textId="77777777" w:rsidR="002648B0" w:rsidRPr="00E07C9A" w:rsidRDefault="00B13F06"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0160</w:t>
            </w:r>
          </w:p>
        </w:tc>
        <w:tc>
          <w:tcPr>
            <w:tcW w:w="7274" w:type="dxa"/>
          </w:tcPr>
          <w:p w14:paraId="695C5BA9" w14:textId="2CAED7C9" w:rsidR="005643EA" w:rsidRPr="00E07C9A" w:rsidRDefault="002648B0" w:rsidP="00487A02">
            <w:pPr>
              <w:pStyle w:val="InstructionsText"/>
              <w:rPr>
                <w:rStyle w:val="InstructionsTabelleberschrift"/>
                <w:rFonts w:ascii="Times New Roman" w:hAnsi="Times New Roman"/>
                <w:bCs w:val="0"/>
                <w:sz w:val="24"/>
              </w:rPr>
            </w:pPr>
            <w:r w:rsidRPr="00E07C9A">
              <w:rPr>
                <w:rStyle w:val="InstructionsTabelleberschrift"/>
                <w:rFonts w:ascii="Times New Roman" w:hAnsi="Times New Roman"/>
                <w:sz w:val="24"/>
              </w:rPr>
              <w:t>1.1.1.1.10.</w:t>
            </w:r>
            <w:r w:rsidRPr="00E07C9A">
              <w:tab/>
            </w:r>
            <w:r w:rsidRPr="00E07C9A">
              <w:rPr>
                <w:rStyle w:val="InstructionsTabelleberschrift"/>
                <w:rFonts w:ascii="Times New Roman" w:hAnsi="Times New Roman"/>
                <w:sz w:val="24"/>
              </w:rPr>
              <w:t>Expozície</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stave zlyhania</w:t>
            </w:r>
          </w:p>
          <w:p w14:paraId="1735599C" w14:textId="77777777" w:rsidR="002648B0" w:rsidRPr="00E07C9A" w:rsidRDefault="00D212FE"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lastRenderedPageBreak/>
              <w:t>Pozri vzor CR SA.</w:t>
            </w:r>
          </w:p>
        </w:tc>
      </w:tr>
      <w:tr w:rsidR="002648B0" w:rsidRPr="00E07C9A" w14:paraId="6985A5C4" w14:textId="77777777" w:rsidTr="00672D2A">
        <w:tc>
          <w:tcPr>
            <w:tcW w:w="1591" w:type="dxa"/>
          </w:tcPr>
          <w:p w14:paraId="54AF491F" w14:textId="77777777" w:rsidR="00783881" w:rsidRPr="00E07C9A" w:rsidRDefault="00B13F06"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lastRenderedPageBreak/>
              <w:t>0170</w:t>
            </w:r>
          </w:p>
        </w:tc>
        <w:tc>
          <w:tcPr>
            <w:tcW w:w="7274" w:type="dxa"/>
          </w:tcPr>
          <w:p w14:paraId="63951854" w14:textId="2EA6E9DA" w:rsidR="00783881" w:rsidRPr="00E07C9A" w:rsidRDefault="002648B0"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1.1.1.1.11.</w:t>
            </w:r>
            <w:r w:rsidRPr="00E07C9A">
              <w:tab/>
            </w:r>
            <w:r w:rsidRPr="00E07C9A">
              <w:rPr>
                <w:rStyle w:val="InstructionsTabelleberschrift"/>
                <w:rFonts w:ascii="Times New Roman" w:hAnsi="Times New Roman"/>
                <w:sz w:val="24"/>
              </w:rPr>
              <w:t>Položky spojené</w:t>
            </w:r>
            <w:r w:rsidR="009912F8" w:rsidRPr="00E07C9A">
              <w:rPr>
                <w:rStyle w:val="InstructionsTabelleberschrift"/>
                <w:rFonts w:ascii="Times New Roman" w:hAnsi="Times New Roman"/>
                <w:sz w:val="24"/>
              </w:rPr>
              <w:t xml:space="preserve"> s </w:t>
            </w:r>
            <w:r w:rsidRPr="00E07C9A">
              <w:rPr>
                <w:rStyle w:val="InstructionsTabelleberschrift"/>
                <w:rFonts w:ascii="Times New Roman" w:hAnsi="Times New Roman"/>
                <w:sz w:val="24"/>
              </w:rPr>
              <w:t>mimoriadne vysokým stupňom rizika</w:t>
            </w:r>
          </w:p>
          <w:p w14:paraId="69D34832" w14:textId="77777777" w:rsidR="002648B0" w:rsidRPr="00E07C9A" w:rsidRDefault="00D212FE"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Pozri vzor CR SA.</w:t>
            </w:r>
          </w:p>
        </w:tc>
      </w:tr>
      <w:tr w:rsidR="002648B0" w:rsidRPr="00E07C9A" w14:paraId="221A387D" w14:textId="77777777" w:rsidTr="00672D2A">
        <w:tc>
          <w:tcPr>
            <w:tcW w:w="1591" w:type="dxa"/>
          </w:tcPr>
          <w:p w14:paraId="473536DB" w14:textId="77777777" w:rsidR="00783881" w:rsidRPr="00E07C9A" w:rsidRDefault="00B13F06"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0180</w:t>
            </w:r>
          </w:p>
        </w:tc>
        <w:tc>
          <w:tcPr>
            <w:tcW w:w="7274" w:type="dxa"/>
          </w:tcPr>
          <w:p w14:paraId="5F86438D" w14:textId="77777777" w:rsidR="005643EA" w:rsidRPr="00E07C9A" w:rsidRDefault="002648B0" w:rsidP="00487A02">
            <w:pPr>
              <w:pStyle w:val="InstructionsText"/>
              <w:rPr>
                <w:rStyle w:val="InstructionsTabelleberschrift"/>
                <w:rFonts w:ascii="Times New Roman" w:hAnsi="Times New Roman"/>
                <w:bCs w:val="0"/>
                <w:sz w:val="24"/>
              </w:rPr>
            </w:pPr>
            <w:r w:rsidRPr="00E07C9A">
              <w:rPr>
                <w:rStyle w:val="InstructionsTabelleberschrift"/>
                <w:rFonts w:ascii="Times New Roman" w:hAnsi="Times New Roman"/>
                <w:sz w:val="24"/>
              </w:rPr>
              <w:t>1.1.1.1.12.</w:t>
            </w:r>
            <w:r w:rsidRPr="00E07C9A">
              <w:tab/>
            </w:r>
            <w:r w:rsidRPr="00E07C9A">
              <w:rPr>
                <w:rStyle w:val="InstructionsTabelleberschrift"/>
                <w:rFonts w:ascii="Times New Roman" w:hAnsi="Times New Roman"/>
                <w:sz w:val="24"/>
              </w:rPr>
              <w:t>Kryté dlhopisy</w:t>
            </w:r>
          </w:p>
          <w:p w14:paraId="3CDA69D1" w14:textId="77777777" w:rsidR="002648B0" w:rsidRPr="00E07C9A" w:rsidRDefault="00D212FE"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Pozri vzor CR SA.</w:t>
            </w:r>
          </w:p>
        </w:tc>
      </w:tr>
      <w:tr w:rsidR="002648B0" w:rsidRPr="00E07C9A" w14:paraId="053E872A" w14:textId="77777777" w:rsidTr="00672D2A">
        <w:tc>
          <w:tcPr>
            <w:tcW w:w="1591" w:type="dxa"/>
          </w:tcPr>
          <w:p w14:paraId="62F5EAC6" w14:textId="77777777" w:rsidR="002648B0" w:rsidRPr="00E07C9A" w:rsidRDefault="00B13F06"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0190</w:t>
            </w:r>
          </w:p>
        </w:tc>
        <w:tc>
          <w:tcPr>
            <w:tcW w:w="7274" w:type="dxa"/>
          </w:tcPr>
          <w:p w14:paraId="0F3CA631" w14:textId="50C69130" w:rsidR="005643EA" w:rsidRPr="00E07C9A" w:rsidRDefault="002648B0" w:rsidP="00487A02">
            <w:pPr>
              <w:pStyle w:val="InstructionsText"/>
              <w:rPr>
                <w:rStyle w:val="InstructionsTabelleberschrift"/>
                <w:rFonts w:ascii="Times New Roman" w:hAnsi="Times New Roman"/>
                <w:bCs w:val="0"/>
                <w:sz w:val="24"/>
              </w:rPr>
            </w:pPr>
            <w:r w:rsidRPr="00E07C9A">
              <w:rPr>
                <w:rStyle w:val="InstructionsTabelleberschrift"/>
                <w:rFonts w:ascii="Times New Roman" w:hAnsi="Times New Roman"/>
                <w:sz w:val="24"/>
              </w:rPr>
              <w:t>1.1.1.1.13.</w:t>
            </w:r>
            <w:r w:rsidRPr="00E07C9A">
              <w:tab/>
            </w:r>
            <w:r w:rsidRPr="00E07C9A">
              <w:rPr>
                <w:rStyle w:val="InstructionsTabelleberschrift"/>
                <w:rFonts w:ascii="Times New Roman" w:hAnsi="Times New Roman"/>
                <w:sz w:val="24"/>
              </w:rPr>
              <w:t>Pohľadávky voči inštitúciám</w:t>
            </w:r>
            <w:r w:rsidR="009912F8" w:rsidRPr="00E07C9A">
              <w:rPr>
                <w:rStyle w:val="InstructionsTabelleberschrift"/>
                <w:rFonts w:ascii="Times New Roman" w:hAnsi="Times New Roman"/>
                <w:sz w:val="24"/>
              </w:rPr>
              <w:t xml:space="preserve"> a </w:t>
            </w:r>
            <w:r w:rsidRPr="00E07C9A">
              <w:rPr>
                <w:rStyle w:val="InstructionsTabelleberschrift"/>
                <w:rFonts w:ascii="Times New Roman" w:hAnsi="Times New Roman"/>
                <w:sz w:val="24"/>
              </w:rPr>
              <w:t>podnikateľským subjektom</w:t>
            </w:r>
            <w:r w:rsidR="009912F8" w:rsidRPr="00E07C9A">
              <w:rPr>
                <w:rStyle w:val="InstructionsTabelleberschrift"/>
                <w:rFonts w:ascii="Times New Roman" w:hAnsi="Times New Roman"/>
                <w:sz w:val="24"/>
              </w:rPr>
              <w:t xml:space="preserve"> s </w:t>
            </w:r>
            <w:r w:rsidRPr="00E07C9A">
              <w:rPr>
                <w:rStyle w:val="InstructionsTabelleberschrift"/>
                <w:rFonts w:ascii="Times New Roman" w:hAnsi="Times New Roman"/>
                <w:sz w:val="24"/>
              </w:rPr>
              <w:t>krátkodobým ratingovým hodnotením</w:t>
            </w:r>
          </w:p>
          <w:p w14:paraId="24C06DBC" w14:textId="77777777" w:rsidR="002648B0" w:rsidRPr="00E07C9A" w:rsidRDefault="00D212FE"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Pozri vzor CR SA.</w:t>
            </w:r>
          </w:p>
        </w:tc>
      </w:tr>
      <w:tr w:rsidR="002648B0" w:rsidRPr="00E07C9A" w14:paraId="0F4E1932" w14:textId="77777777" w:rsidTr="00672D2A">
        <w:tc>
          <w:tcPr>
            <w:tcW w:w="1591" w:type="dxa"/>
          </w:tcPr>
          <w:p w14:paraId="4AD3FCC5" w14:textId="77777777" w:rsidR="005643EA" w:rsidRPr="00E07C9A" w:rsidRDefault="00B13F06" w:rsidP="00487A02">
            <w:pPr>
              <w:pStyle w:val="InstructionsText"/>
              <w:rPr>
                <w:rStyle w:val="FormatvorlageInstructionsTabelleText"/>
                <w:rFonts w:ascii="Times New Roman" w:hAnsi="Times New Roman"/>
                <w:bCs w:val="0"/>
                <w:sz w:val="24"/>
              </w:rPr>
            </w:pPr>
            <w:r w:rsidRPr="00E07C9A">
              <w:rPr>
                <w:rStyle w:val="FormatvorlageInstructionsTabelleText"/>
                <w:rFonts w:ascii="Times New Roman" w:hAnsi="Times New Roman"/>
                <w:sz w:val="24"/>
              </w:rPr>
              <w:t>0200</w:t>
            </w:r>
          </w:p>
        </w:tc>
        <w:tc>
          <w:tcPr>
            <w:tcW w:w="7274" w:type="dxa"/>
          </w:tcPr>
          <w:p w14:paraId="4194F958" w14:textId="77777777" w:rsidR="005643EA" w:rsidRPr="00E07C9A" w:rsidRDefault="002648B0" w:rsidP="00487A02">
            <w:pPr>
              <w:pStyle w:val="InstructionsText"/>
              <w:rPr>
                <w:rStyle w:val="FormatvorlageInstructionsTabelleText"/>
                <w:rFonts w:ascii="Times New Roman" w:hAnsi="Times New Roman"/>
                <w:bCs w:val="0"/>
                <w:sz w:val="24"/>
              </w:rPr>
            </w:pPr>
            <w:r w:rsidRPr="00E07C9A">
              <w:rPr>
                <w:rStyle w:val="InstructionsTabelleberschrift"/>
                <w:rFonts w:ascii="Times New Roman" w:hAnsi="Times New Roman"/>
                <w:sz w:val="24"/>
              </w:rPr>
              <w:t>1.1.1.1.14.</w:t>
            </w:r>
            <w:r w:rsidRPr="00E07C9A">
              <w:tab/>
            </w:r>
            <w:r w:rsidRPr="00E07C9A">
              <w:rPr>
                <w:rStyle w:val="InstructionsTabelleberschrift"/>
                <w:rFonts w:ascii="Times New Roman" w:hAnsi="Times New Roman"/>
                <w:sz w:val="24"/>
              </w:rPr>
              <w:t>Podniky kolektívneho investovania (PKI)</w:t>
            </w:r>
          </w:p>
          <w:p w14:paraId="0B2E6E67" w14:textId="77777777" w:rsidR="002648B0" w:rsidRPr="00E07C9A" w:rsidRDefault="00D212FE"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Pozri vzor CR SA.</w:t>
            </w:r>
          </w:p>
        </w:tc>
      </w:tr>
      <w:tr w:rsidR="002648B0" w:rsidRPr="00E07C9A" w14:paraId="2CBE2222" w14:textId="77777777" w:rsidTr="00672D2A">
        <w:tc>
          <w:tcPr>
            <w:tcW w:w="1591" w:type="dxa"/>
          </w:tcPr>
          <w:p w14:paraId="42295A59" w14:textId="77777777" w:rsidR="002648B0" w:rsidRPr="00E07C9A" w:rsidRDefault="00B13F06"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0210</w:t>
            </w:r>
          </w:p>
        </w:tc>
        <w:tc>
          <w:tcPr>
            <w:tcW w:w="7274" w:type="dxa"/>
          </w:tcPr>
          <w:p w14:paraId="477BD13D" w14:textId="77777777" w:rsidR="005643EA" w:rsidRPr="00E07C9A" w:rsidRDefault="002648B0" w:rsidP="00487A02">
            <w:pPr>
              <w:pStyle w:val="InstructionsText"/>
              <w:rPr>
                <w:rStyle w:val="InstructionsTabelleberschrift"/>
                <w:rFonts w:ascii="Times New Roman" w:hAnsi="Times New Roman"/>
                <w:bCs w:val="0"/>
                <w:sz w:val="24"/>
              </w:rPr>
            </w:pPr>
            <w:r w:rsidRPr="00E07C9A">
              <w:rPr>
                <w:rStyle w:val="InstructionsTabelleberschrift"/>
                <w:rFonts w:ascii="Times New Roman" w:hAnsi="Times New Roman"/>
                <w:sz w:val="24"/>
              </w:rPr>
              <w:t>1.1.1.1.15.</w:t>
            </w:r>
            <w:r w:rsidRPr="00E07C9A">
              <w:tab/>
            </w:r>
            <w:r w:rsidRPr="00E07C9A">
              <w:rPr>
                <w:rStyle w:val="InstructionsTabelleberschrift"/>
                <w:rFonts w:ascii="Times New Roman" w:hAnsi="Times New Roman"/>
                <w:sz w:val="24"/>
              </w:rPr>
              <w:t>Vlastné imanie</w:t>
            </w:r>
          </w:p>
          <w:p w14:paraId="7416E0E2" w14:textId="77777777" w:rsidR="002648B0" w:rsidRPr="00E07C9A" w:rsidRDefault="00D212FE" w:rsidP="007106FB">
            <w:pPr>
              <w:rPr>
                <w:rStyle w:val="FormatvorlageInstructionsTabelleText"/>
                <w:rFonts w:ascii="Times New Roman" w:hAnsi="Times New Roman"/>
                <w:sz w:val="24"/>
              </w:rPr>
            </w:pPr>
            <w:r w:rsidRPr="00E07C9A">
              <w:rPr>
                <w:rStyle w:val="FormatvorlageInstructionsTabelleText"/>
                <w:rFonts w:ascii="Times New Roman" w:hAnsi="Times New Roman"/>
                <w:sz w:val="24"/>
              </w:rPr>
              <w:t>Pozri vzor CR SA.</w:t>
            </w:r>
          </w:p>
        </w:tc>
      </w:tr>
      <w:tr w:rsidR="002648B0" w:rsidRPr="00E07C9A" w14:paraId="3A868BEA" w14:textId="77777777" w:rsidTr="00672D2A">
        <w:tc>
          <w:tcPr>
            <w:tcW w:w="1591" w:type="dxa"/>
          </w:tcPr>
          <w:p w14:paraId="153038B6" w14:textId="77777777" w:rsidR="002648B0" w:rsidRPr="00E07C9A" w:rsidRDefault="00B13F06"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0211</w:t>
            </w:r>
          </w:p>
        </w:tc>
        <w:tc>
          <w:tcPr>
            <w:tcW w:w="7274" w:type="dxa"/>
          </w:tcPr>
          <w:p w14:paraId="75FC6718" w14:textId="77777777" w:rsidR="005643EA" w:rsidRPr="00E07C9A" w:rsidRDefault="002648B0" w:rsidP="00487A02">
            <w:pPr>
              <w:pStyle w:val="InstructionsText"/>
              <w:rPr>
                <w:rStyle w:val="InstructionsTabelleberschrift"/>
                <w:rFonts w:ascii="Times New Roman" w:hAnsi="Times New Roman"/>
                <w:bCs w:val="0"/>
                <w:sz w:val="24"/>
              </w:rPr>
            </w:pPr>
            <w:r w:rsidRPr="00E07C9A">
              <w:rPr>
                <w:rStyle w:val="InstructionsTabelleberschrift"/>
                <w:rFonts w:ascii="Times New Roman" w:hAnsi="Times New Roman"/>
                <w:sz w:val="24"/>
              </w:rPr>
              <w:t>1.1.1.1.16.</w:t>
            </w:r>
            <w:r w:rsidRPr="00E07C9A">
              <w:tab/>
            </w:r>
            <w:r w:rsidRPr="00E07C9A">
              <w:rPr>
                <w:rStyle w:val="InstructionsTabelleberschrift"/>
                <w:rFonts w:ascii="Times New Roman" w:hAnsi="Times New Roman"/>
                <w:sz w:val="24"/>
              </w:rPr>
              <w:t>Ostatné položky</w:t>
            </w:r>
          </w:p>
          <w:p w14:paraId="6F0C00C6" w14:textId="77777777" w:rsidR="005643EA" w:rsidRPr="00E07C9A" w:rsidRDefault="00D212FE" w:rsidP="00487A02">
            <w:pPr>
              <w:pStyle w:val="InstructionsText"/>
              <w:rPr>
                <w:rStyle w:val="InstructionsTabelleberschrift"/>
                <w:rFonts w:ascii="Times New Roman" w:hAnsi="Times New Roman"/>
                <w:bCs w:val="0"/>
                <w:sz w:val="24"/>
              </w:rPr>
            </w:pPr>
            <w:r w:rsidRPr="00E07C9A">
              <w:rPr>
                <w:rStyle w:val="FormatvorlageInstructionsTabelleText"/>
                <w:rFonts w:ascii="Times New Roman" w:hAnsi="Times New Roman"/>
                <w:sz w:val="24"/>
              </w:rPr>
              <w:t>Pozri vzor CR SA.</w:t>
            </w:r>
          </w:p>
        </w:tc>
      </w:tr>
      <w:tr w:rsidR="00A95150" w:rsidRPr="00E07C9A" w14:paraId="2288F2D2" w14:textId="77777777" w:rsidTr="00672D2A">
        <w:tc>
          <w:tcPr>
            <w:tcW w:w="1591" w:type="dxa"/>
          </w:tcPr>
          <w:p w14:paraId="25EFDC23" w14:textId="14EDE543" w:rsidR="00A95150" w:rsidRPr="00E07C9A" w:rsidRDefault="00A95150" w:rsidP="00A95150">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0212</w:t>
            </w:r>
          </w:p>
        </w:tc>
        <w:tc>
          <w:tcPr>
            <w:tcW w:w="7274" w:type="dxa"/>
          </w:tcPr>
          <w:p w14:paraId="05810047" w14:textId="299FE81D" w:rsidR="00A95150" w:rsidRPr="00E07C9A" w:rsidRDefault="00A95150" w:rsidP="00A95150">
            <w:pPr>
              <w:pStyle w:val="InstructionsText"/>
              <w:rPr>
                <w:rStyle w:val="InstructionsTabelleberschrift"/>
                <w:rFonts w:ascii="Times New Roman" w:hAnsi="Times New Roman"/>
                <w:bCs w:val="0"/>
                <w:sz w:val="24"/>
              </w:rPr>
            </w:pPr>
            <w:r w:rsidRPr="00E07C9A">
              <w:rPr>
                <w:rStyle w:val="InstructionsTabelleberschrift"/>
                <w:rFonts w:ascii="Times New Roman" w:hAnsi="Times New Roman"/>
                <w:sz w:val="24"/>
              </w:rPr>
              <w:t>1.1.1.1.16.1</w:t>
            </w:r>
            <w:r w:rsidRPr="00E07C9A">
              <w:tab/>
            </w:r>
            <w:r w:rsidRPr="00E07C9A">
              <w:rPr>
                <w:rStyle w:val="InstructionsTabelleberschrift"/>
                <w:rFonts w:ascii="Times New Roman" w:hAnsi="Times New Roman"/>
                <w:sz w:val="24"/>
              </w:rPr>
              <w:t>Z čoho: softvérové aktíva účtované ako nehmotné aktíva</w:t>
            </w:r>
          </w:p>
          <w:p w14:paraId="7DDD0154" w14:textId="255D51A7" w:rsidR="00A95150" w:rsidRPr="00E07C9A" w:rsidRDefault="00A95150" w:rsidP="00566DB5">
            <w:pPr>
              <w:pStyle w:val="InstructionsText"/>
              <w:rPr>
                <w:rStyle w:val="InstructionsTabelleberschrift"/>
                <w:rFonts w:ascii="Times New Roman" w:hAnsi="Times New Roman"/>
                <w:sz w:val="24"/>
              </w:rPr>
            </w:pPr>
            <w:r w:rsidRPr="00E07C9A">
              <w:rPr>
                <w:rStyle w:val="FormatvorlageInstructionsTabelleText"/>
                <w:rFonts w:ascii="Times New Roman" w:hAnsi="Times New Roman"/>
                <w:sz w:val="24"/>
              </w:rPr>
              <w:t>Hodnota rizikovo váženej expozície týkajúca sa časti softvérových aktív účtovaných ako nehmotné aktíva, ktorá nie je odpočítaná od položiek CET1</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súlade</w:t>
            </w:r>
            <w:r w:rsidR="009912F8" w:rsidRPr="00E07C9A">
              <w:rPr>
                <w:rStyle w:val="FormatvorlageInstructionsTabelleText"/>
                <w:rFonts w:ascii="Times New Roman" w:hAnsi="Times New Roman"/>
                <w:sz w:val="24"/>
              </w:rPr>
              <w:t xml:space="preserve"> s </w:t>
            </w:r>
            <w:r w:rsidRPr="00E07C9A">
              <w:rPr>
                <w:rStyle w:val="FormatvorlageInstructionsTabelleText"/>
                <w:rFonts w:ascii="Times New Roman" w:hAnsi="Times New Roman"/>
                <w:sz w:val="24"/>
              </w:rPr>
              <w:t>článkom 36 ods. 1 písm. b)</w:t>
            </w:r>
            <w:r w:rsidRPr="00E07C9A">
              <w:t xml:space="preserve"> nariadenia (EÚ) </w:t>
            </w:r>
            <w:r w:rsidR="009912F8" w:rsidRPr="00E07C9A">
              <w:t>č. 575/2013</w:t>
            </w:r>
            <w:r w:rsidRPr="00E07C9A">
              <w:rPr>
                <w:rStyle w:val="FormatvorlageInstructionsTabelleText"/>
                <w:rFonts w:ascii="Times New Roman" w:hAnsi="Times New Roman"/>
                <w:sz w:val="24"/>
              </w:rPr>
              <w:t>, ale je rizikovo vážená</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súlade</w:t>
            </w:r>
            <w:r w:rsidR="009912F8" w:rsidRPr="00E07C9A">
              <w:rPr>
                <w:rStyle w:val="FormatvorlageInstructionsTabelleText"/>
                <w:rFonts w:ascii="Times New Roman" w:hAnsi="Times New Roman"/>
                <w:sz w:val="24"/>
              </w:rPr>
              <w:t xml:space="preserve"> s </w:t>
            </w:r>
            <w:r w:rsidRPr="00E07C9A">
              <w:rPr>
                <w:rStyle w:val="FormatvorlageInstructionsTabelleText"/>
                <w:rFonts w:ascii="Times New Roman" w:hAnsi="Times New Roman"/>
                <w:sz w:val="24"/>
              </w:rPr>
              <w:t>článkom 113 ods. 5</w:t>
            </w:r>
            <w:r w:rsidRPr="00E07C9A">
              <w:t xml:space="preserve"> uvedeného nariadenia</w:t>
            </w:r>
            <w:r w:rsidRPr="00E07C9A">
              <w:rPr>
                <w:rStyle w:val="FormatvorlageInstructionsTabelleText"/>
                <w:rFonts w:ascii="Times New Roman" w:hAnsi="Times New Roman"/>
                <w:sz w:val="24"/>
              </w:rPr>
              <w:t>.</w:t>
            </w:r>
          </w:p>
        </w:tc>
      </w:tr>
      <w:tr w:rsidR="002648B0" w:rsidRPr="00E07C9A" w14:paraId="0D66DAF8" w14:textId="77777777" w:rsidTr="00672D2A">
        <w:tc>
          <w:tcPr>
            <w:tcW w:w="1591" w:type="dxa"/>
          </w:tcPr>
          <w:p w14:paraId="56B25DB5" w14:textId="77777777" w:rsidR="002648B0" w:rsidRPr="00E07C9A" w:rsidRDefault="00B13F06"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0240</w:t>
            </w:r>
          </w:p>
        </w:tc>
        <w:tc>
          <w:tcPr>
            <w:tcW w:w="7274" w:type="dxa"/>
          </w:tcPr>
          <w:p w14:paraId="13C1D075" w14:textId="77777777" w:rsidR="005643EA" w:rsidRPr="00E07C9A" w:rsidRDefault="002648B0" w:rsidP="00487A02">
            <w:pPr>
              <w:pStyle w:val="InstructionsText"/>
              <w:rPr>
                <w:rStyle w:val="FormatvorlageInstructionsTabelleText"/>
                <w:rFonts w:ascii="Times New Roman" w:hAnsi="Times New Roman"/>
                <w:sz w:val="24"/>
              </w:rPr>
            </w:pPr>
            <w:r w:rsidRPr="00E07C9A">
              <w:rPr>
                <w:rStyle w:val="InstructionsTabelleberschrift"/>
                <w:rFonts w:ascii="Times New Roman" w:hAnsi="Times New Roman"/>
                <w:sz w:val="24"/>
              </w:rPr>
              <w:t>1.1.2.</w:t>
            </w:r>
            <w:r w:rsidRPr="00E07C9A">
              <w:tab/>
            </w:r>
            <w:r w:rsidRPr="00E07C9A">
              <w:rPr>
                <w:rStyle w:val="InstructionsTabelleberschrift"/>
                <w:rFonts w:ascii="Times New Roman" w:hAnsi="Times New Roman"/>
                <w:sz w:val="24"/>
              </w:rPr>
              <w:t xml:space="preserve">Prístup interných ratingov (IRB) </w:t>
            </w:r>
          </w:p>
        </w:tc>
      </w:tr>
      <w:tr w:rsidR="00802958" w:rsidRPr="00E07C9A" w14:paraId="1FDB156B" w14:textId="77777777" w:rsidTr="00672D2A">
        <w:tc>
          <w:tcPr>
            <w:tcW w:w="1591" w:type="dxa"/>
          </w:tcPr>
          <w:p w14:paraId="3DEB13FE" w14:textId="77777777" w:rsidR="00802958" w:rsidRPr="00E07C9A" w:rsidRDefault="00B13F06"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0241</w:t>
            </w:r>
          </w:p>
        </w:tc>
        <w:tc>
          <w:tcPr>
            <w:tcW w:w="7274" w:type="dxa"/>
          </w:tcPr>
          <w:p w14:paraId="7E6ABE14" w14:textId="3D4ED2C6" w:rsidR="00802958" w:rsidRPr="00E07C9A" w:rsidRDefault="00802958"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1.1.2.*</w:t>
            </w:r>
            <w:r w:rsidRPr="00E07C9A">
              <w:tab/>
            </w:r>
            <w:r w:rsidRPr="00E07C9A">
              <w:rPr>
                <w:rStyle w:val="InstructionsTabelleberschrift"/>
                <w:rFonts w:ascii="Times New Roman" w:hAnsi="Times New Roman"/>
                <w:sz w:val="24"/>
              </w:rPr>
              <w:t xml:space="preserve">Z čoho: dodatočné prísnejšie prudenciálne požiadavky na základe článku 164 nariadenia (EÚ) </w:t>
            </w:r>
            <w:r w:rsidR="009912F8" w:rsidRPr="00E07C9A">
              <w:rPr>
                <w:rStyle w:val="InstructionsTabelleberschrift"/>
                <w:rFonts w:ascii="Times New Roman" w:hAnsi="Times New Roman"/>
                <w:sz w:val="24"/>
              </w:rPr>
              <w:t>č. 575/2013</w:t>
            </w:r>
          </w:p>
          <w:p w14:paraId="600AF80E" w14:textId="4CCB98C7" w:rsidR="00802958" w:rsidRPr="00E07C9A" w:rsidRDefault="004852B9" w:rsidP="002A67C8">
            <w:pPr>
              <w:pStyle w:val="InstructionsText"/>
              <w:rPr>
                <w:rStyle w:val="InstructionsTabelleberschrift"/>
                <w:rFonts w:ascii="Times New Roman" w:hAnsi="Times New Roman"/>
                <w:sz w:val="24"/>
              </w:rPr>
            </w:pPr>
            <w:r w:rsidRPr="00E07C9A">
              <w:t>Inštitúcie vykazujú dodatočné hodnoty rizikových expozícií potrebné na splnenie prísnejších prudenciálnych požiadaviek, ako im boli oznámené po notifikácii EBA,</w:t>
            </w:r>
            <w:r w:rsidR="009912F8" w:rsidRPr="00E07C9A">
              <w:t xml:space="preserve"> v </w:t>
            </w:r>
            <w:r w:rsidRPr="00E07C9A">
              <w:t>súlade</w:t>
            </w:r>
            <w:r w:rsidR="009912F8" w:rsidRPr="00E07C9A">
              <w:t xml:space="preserve"> s </w:t>
            </w:r>
            <w:r w:rsidRPr="00E07C9A">
              <w:t>článkom 164 ods. 5</w:t>
            </w:r>
            <w:r w:rsidR="009912F8" w:rsidRPr="00E07C9A">
              <w:t xml:space="preserve"> a </w:t>
            </w:r>
            <w:r w:rsidRPr="00E07C9A">
              <w:t xml:space="preserve">7 nariadenia (EÚ) </w:t>
            </w:r>
            <w:r w:rsidR="009912F8" w:rsidRPr="00E07C9A">
              <w:t>č. 575/2013</w:t>
            </w:r>
            <w:r w:rsidRPr="00E07C9A">
              <w:t>.</w:t>
            </w:r>
          </w:p>
        </w:tc>
      </w:tr>
      <w:tr w:rsidR="00802958" w:rsidRPr="00E07C9A" w14:paraId="6FA35CD8" w14:textId="77777777" w:rsidTr="00672D2A">
        <w:tc>
          <w:tcPr>
            <w:tcW w:w="1591" w:type="dxa"/>
          </w:tcPr>
          <w:p w14:paraId="32D165AA" w14:textId="77777777" w:rsidR="00802958" w:rsidRPr="00E07C9A" w:rsidRDefault="00B13F06"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0242</w:t>
            </w:r>
          </w:p>
        </w:tc>
        <w:tc>
          <w:tcPr>
            <w:tcW w:w="7274" w:type="dxa"/>
          </w:tcPr>
          <w:p w14:paraId="263602A7" w14:textId="54F87DD2" w:rsidR="00802958" w:rsidRPr="00E07C9A" w:rsidRDefault="00802958"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1.1.2.**</w:t>
            </w:r>
            <w:r w:rsidRPr="00E07C9A">
              <w:tab/>
            </w:r>
            <w:r w:rsidRPr="00E07C9A">
              <w:rPr>
                <w:rStyle w:val="InstructionsTabelleberschrift"/>
                <w:rFonts w:ascii="Times New Roman" w:hAnsi="Times New Roman"/>
                <w:sz w:val="24"/>
              </w:rPr>
              <w:t xml:space="preserve">Z čoho: dodatočné prísnejšie prudenciálne požiadavky na základe článku 124 nariadenia (EÚ) </w:t>
            </w:r>
            <w:r w:rsidR="009912F8" w:rsidRPr="00E07C9A">
              <w:rPr>
                <w:rStyle w:val="InstructionsTabelleberschrift"/>
                <w:rFonts w:ascii="Times New Roman" w:hAnsi="Times New Roman"/>
                <w:sz w:val="24"/>
              </w:rPr>
              <w:t>č. 575/2013</w:t>
            </w:r>
          </w:p>
          <w:p w14:paraId="0110769F" w14:textId="7E1C42C0" w:rsidR="00802958" w:rsidRPr="00E07C9A" w:rsidRDefault="004852B9" w:rsidP="002A67C8">
            <w:pPr>
              <w:pStyle w:val="InstructionsText"/>
              <w:rPr>
                <w:rStyle w:val="InstructionsTabelleberschrift"/>
                <w:rFonts w:ascii="Times New Roman" w:hAnsi="Times New Roman"/>
                <w:sz w:val="24"/>
              </w:rPr>
            </w:pPr>
            <w:r w:rsidRPr="00E07C9A">
              <w:t>Inštitúcie vykazujú dodatočné hodnoty rizikových expozícií potrebné na splnenie prísnejších prudenciálnych požiadaviek, ktoré stanovili príslušné orgány po konzultácii</w:t>
            </w:r>
            <w:r w:rsidR="009912F8" w:rsidRPr="00E07C9A">
              <w:t xml:space="preserve"> s </w:t>
            </w:r>
            <w:r w:rsidRPr="00E07C9A">
              <w:t>EBA, ako sa stanovuje</w:t>
            </w:r>
            <w:r w:rsidR="009912F8" w:rsidRPr="00E07C9A">
              <w:t xml:space="preserve"> v </w:t>
            </w:r>
            <w:r w:rsidRPr="00E07C9A">
              <w:t>článku 124 ods. 2</w:t>
            </w:r>
            <w:r w:rsidR="009912F8" w:rsidRPr="00E07C9A">
              <w:t xml:space="preserve"> a </w:t>
            </w:r>
            <w:r w:rsidRPr="00E07C9A">
              <w:t xml:space="preserve">5 nariadenia (EÚ) </w:t>
            </w:r>
            <w:r w:rsidR="009912F8" w:rsidRPr="00E07C9A">
              <w:t>č. 575/2013</w:t>
            </w:r>
            <w:r w:rsidRPr="00E07C9A">
              <w:t>,</w:t>
            </w:r>
            <w:r w:rsidR="009912F8" w:rsidRPr="00E07C9A">
              <w:t xml:space="preserve"> a </w:t>
            </w:r>
            <w:r w:rsidRPr="00E07C9A">
              <w:t>ktoré sa týkajú limitov platiacich pre prípustnú trhovú hodnotu kolaterálu, ako je stanovené</w:t>
            </w:r>
            <w:r w:rsidR="009912F8" w:rsidRPr="00E07C9A">
              <w:t xml:space="preserve"> v </w:t>
            </w:r>
            <w:r w:rsidRPr="00E07C9A">
              <w:t>článku 125 ods. 2 písm. d)</w:t>
            </w:r>
            <w:r w:rsidR="009912F8" w:rsidRPr="00E07C9A">
              <w:t xml:space="preserve"> a </w:t>
            </w:r>
            <w:r w:rsidRPr="00E07C9A">
              <w:t>článku 126 ods. 2 písm. d) uvedeného nariadenia.</w:t>
            </w:r>
          </w:p>
        </w:tc>
      </w:tr>
      <w:tr w:rsidR="00802958" w:rsidRPr="00E07C9A" w14:paraId="7092FA55" w14:textId="77777777" w:rsidTr="00672D2A">
        <w:tc>
          <w:tcPr>
            <w:tcW w:w="1591" w:type="dxa"/>
          </w:tcPr>
          <w:p w14:paraId="692DB551" w14:textId="77777777" w:rsidR="00802958" w:rsidRPr="00E07C9A" w:rsidRDefault="00B13F06"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0250</w:t>
            </w:r>
          </w:p>
        </w:tc>
        <w:tc>
          <w:tcPr>
            <w:tcW w:w="7274" w:type="dxa"/>
          </w:tcPr>
          <w:p w14:paraId="1991CA8E" w14:textId="0A9C3F1D" w:rsidR="00802958" w:rsidRPr="00E07C9A" w:rsidRDefault="00802958"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1.1.2.1.</w:t>
            </w:r>
            <w:r w:rsidRPr="00E07C9A">
              <w:tab/>
            </w:r>
            <w:r w:rsidRPr="00E07C9A">
              <w:rPr>
                <w:rStyle w:val="InstructionsTabelleberschrift"/>
                <w:rFonts w:ascii="Times New Roman" w:hAnsi="Times New Roman"/>
                <w:sz w:val="24"/>
              </w:rPr>
              <w:t>Prístupy IRB, keď sa nepoužívajú vlastné odhady straty</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prípade zlyhania (LGD) ani konverzné faktory</w:t>
            </w:r>
          </w:p>
          <w:p w14:paraId="0914732B" w14:textId="77777777" w:rsidR="00802958" w:rsidRPr="00E07C9A" w:rsidRDefault="00802958" w:rsidP="006A6822">
            <w:pPr>
              <w:rPr>
                <w:rStyle w:val="FormatvorlageInstructionsTabelleText"/>
                <w:rFonts w:ascii="Times New Roman" w:hAnsi="Times New Roman"/>
                <w:sz w:val="24"/>
              </w:rPr>
            </w:pPr>
            <w:r w:rsidRPr="00E07C9A">
              <w:rPr>
                <w:rStyle w:val="FormatvorlageInstructionsTabelleText"/>
                <w:rFonts w:ascii="Times New Roman" w:hAnsi="Times New Roman"/>
                <w:sz w:val="24"/>
              </w:rPr>
              <w:lastRenderedPageBreak/>
              <w:t>Vzor CR IRB na úrovni celkových expozícií (keď sa nepoužívajú vlastné odhady LGD alebo konverzné faktory)</w:t>
            </w:r>
          </w:p>
        </w:tc>
      </w:tr>
      <w:tr w:rsidR="00802958" w:rsidRPr="00E07C9A" w14:paraId="7844F637" w14:textId="77777777" w:rsidTr="00672D2A">
        <w:tc>
          <w:tcPr>
            <w:tcW w:w="1591" w:type="dxa"/>
          </w:tcPr>
          <w:p w14:paraId="519A742E" w14:textId="77777777" w:rsidR="00802958" w:rsidRPr="00E07C9A" w:rsidRDefault="00B13F06"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lastRenderedPageBreak/>
              <w:t>0260</w:t>
            </w:r>
          </w:p>
        </w:tc>
        <w:tc>
          <w:tcPr>
            <w:tcW w:w="7274" w:type="dxa"/>
          </w:tcPr>
          <w:p w14:paraId="2D67F8BB" w14:textId="3E8C5355" w:rsidR="00802958" w:rsidRPr="00E07C9A" w:rsidRDefault="00802958"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1.1.2.1.01.</w:t>
            </w:r>
            <w:r w:rsidRPr="00E07C9A">
              <w:tab/>
            </w:r>
            <w:r w:rsidRPr="00E07C9A">
              <w:rPr>
                <w:rStyle w:val="InstructionsTabelleberschrift"/>
                <w:rFonts w:ascii="Times New Roman" w:hAnsi="Times New Roman"/>
                <w:sz w:val="24"/>
              </w:rPr>
              <w:t>Ústredné vlády</w:t>
            </w:r>
            <w:r w:rsidR="009912F8" w:rsidRPr="00E07C9A">
              <w:rPr>
                <w:rStyle w:val="InstructionsTabelleberschrift"/>
                <w:rFonts w:ascii="Times New Roman" w:hAnsi="Times New Roman"/>
                <w:sz w:val="24"/>
              </w:rPr>
              <w:t xml:space="preserve"> a </w:t>
            </w:r>
            <w:r w:rsidRPr="00E07C9A">
              <w:rPr>
                <w:rStyle w:val="InstructionsTabelleberschrift"/>
                <w:rFonts w:ascii="Times New Roman" w:hAnsi="Times New Roman"/>
                <w:sz w:val="24"/>
              </w:rPr>
              <w:t>centrálne banky</w:t>
            </w:r>
          </w:p>
          <w:p w14:paraId="08BDE69E" w14:textId="77777777" w:rsidR="00802958" w:rsidRPr="00E07C9A" w:rsidRDefault="00802958" w:rsidP="00802958">
            <w:pPr>
              <w:rPr>
                <w:rStyle w:val="FormatvorlageInstructionsTabelleText"/>
                <w:rFonts w:ascii="Times New Roman" w:hAnsi="Times New Roman"/>
                <w:sz w:val="24"/>
              </w:rPr>
            </w:pPr>
            <w:r w:rsidRPr="00E07C9A">
              <w:rPr>
                <w:rStyle w:val="FormatvorlageInstructionsTabelleText"/>
                <w:rFonts w:ascii="Times New Roman" w:hAnsi="Times New Roman"/>
                <w:sz w:val="24"/>
              </w:rPr>
              <w:t>Pozri vzor CR IRB.</w:t>
            </w:r>
          </w:p>
        </w:tc>
      </w:tr>
      <w:tr w:rsidR="00802958" w:rsidRPr="00E07C9A" w14:paraId="6249E5E2" w14:textId="77777777" w:rsidTr="00672D2A">
        <w:tc>
          <w:tcPr>
            <w:tcW w:w="1591" w:type="dxa"/>
          </w:tcPr>
          <w:p w14:paraId="08A68C60" w14:textId="77777777" w:rsidR="00802958" w:rsidRPr="00E07C9A" w:rsidRDefault="00B13F06"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0270</w:t>
            </w:r>
          </w:p>
        </w:tc>
        <w:tc>
          <w:tcPr>
            <w:tcW w:w="7274" w:type="dxa"/>
          </w:tcPr>
          <w:p w14:paraId="78640408" w14:textId="77777777" w:rsidR="00802958" w:rsidRPr="00E07C9A" w:rsidRDefault="00802958" w:rsidP="00487A02">
            <w:pPr>
              <w:pStyle w:val="InstructionsText"/>
              <w:rPr>
                <w:rStyle w:val="InstructionsTabelleberschrift"/>
                <w:rFonts w:ascii="Times New Roman" w:hAnsi="Times New Roman"/>
                <w:bCs w:val="0"/>
                <w:sz w:val="24"/>
              </w:rPr>
            </w:pPr>
            <w:r w:rsidRPr="00E07C9A">
              <w:rPr>
                <w:rStyle w:val="InstructionsTabelleberschrift"/>
                <w:rFonts w:ascii="Times New Roman" w:hAnsi="Times New Roman"/>
                <w:sz w:val="24"/>
              </w:rPr>
              <w:t>1.1.2.1.02.</w:t>
            </w:r>
            <w:r w:rsidRPr="00E07C9A">
              <w:tab/>
            </w:r>
            <w:r w:rsidRPr="00E07C9A">
              <w:rPr>
                <w:rStyle w:val="InstructionsTabelleberschrift"/>
                <w:rFonts w:ascii="Times New Roman" w:hAnsi="Times New Roman"/>
                <w:sz w:val="24"/>
              </w:rPr>
              <w:t>Inštitúcie</w:t>
            </w:r>
          </w:p>
          <w:p w14:paraId="2FFB99D9" w14:textId="77777777" w:rsidR="00802958" w:rsidRPr="00E07C9A" w:rsidRDefault="00802958" w:rsidP="00802958">
            <w:pPr>
              <w:rPr>
                <w:rStyle w:val="FormatvorlageInstructionsTabelleText"/>
                <w:rFonts w:ascii="Times New Roman" w:hAnsi="Times New Roman"/>
                <w:sz w:val="24"/>
              </w:rPr>
            </w:pPr>
            <w:r w:rsidRPr="00E07C9A">
              <w:rPr>
                <w:rStyle w:val="FormatvorlageInstructionsTabelleText"/>
                <w:rFonts w:ascii="Times New Roman" w:hAnsi="Times New Roman"/>
                <w:sz w:val="24"/>
              </w:rPr>
              <w:t>Pozri vzor CR IRB.</w:t>
            </w:r>
          </w:p>
        </w:tc>
      </w:tr>
      <w:tr w:rsidR="00802958" w:rsidRPr="00E07C9A" w14:paraId="47A3A63A" w14:textId="77777777" w:rsidTr="00672D2A">
        <w:tc>
          <w:tcPr>
            <w:tcW w:w="1591" w:type="dxa"/>
          </w:tcPr>
          <w:p w14:paraId="4804F6F4" w14:textId="77777777" w:rsidR="00802958" w:rsidRPr="00E07C9A" w:rsidRDefault="00B13F06"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0280</w:t>
            </w:r>
          </w:p>
        </w:tc>
        <w:tc>
          <w:tcPr>
            <w:tcW w:w="7274" w:type="dxa"/>
          </w:tcPr>
          <w:p w14:paraId="0182BF0B" w14:textId="62A4C815" w:rsidR="00802958" w:rsidRPr="00E07C9A" w:rsidRDefault="00802958" w:rsidP="00487A02">
            <w:pPr>
              <w:pStyle w:val="InstructionsText"/>
              <w:rPr>
                <w:rStyle w:val="InstructionsTabelleberschrift"/>
                <w:rFonts w:ascii="Times New Roman" w:hAnsi="Times New Roman"/>
                <w:bCs w:val="0"/>
                <w:sz w:val="24"/>
              </w:rPr>
            </w:pPr>
            <w:r w:rsidRPr="00E07C9A">
              <w:rPr>
                <w:rStyle w:val="InstructionsTabelleberschrift"/>
                <w:rFonts w:ascii="Times New Roman" w:hAnsi="Times New Roman"/>
                <w:sz w:val="24"/>
              </w:rPr>
              <w:t>1.1.2.1.03.</w:t>
            </w:r>
            <w:r w:rsidRPr="00E07C9A">
              <w:tab/>
            </w:r>
            <w:r w:rsidRPr="00E07C9A">
              <w:rPr>
                <w:rStyle w:val="InstructionsTabelleberschrift"/>
                <w:rFonts w:ascii="Times New Roman" w:hAnsi="Times New Roman"/>
                <w:sz w:val="24"/>
              </w:rPr>
              <w:t>Podnikateľské subjekty – malé</w:t>
            </w:r>
            <w:r w:rsidR="009912F8" w:rsidRPr="00E07C9A">
              <w:rPr>
                <w:rStyle w:val="InstructionsTabelleberschrift"/>
                <w:rFonts w:ascii="Times New Roman" w:hAnsi="Times New Roman"/>
                <w:sz w:val="24"/>
              </w:rPr>
              <w:t xml:space="preserve"> a </w:t>
            </w:r>
            <w:r w:rsidRPr="00E07C9A">
              <w:rPr>
                <w:rStyle w:val="InstructionsTabelleberschrift"/>
                <w:rFonts w:ascii="Times New Roman" w:hAnsi="Times New Roman"/>
                <w:sz w:val="24"/>
              </w:rPr>
              <w:t>stredné podniky (MSP)</w:t>
            </w:r>
          </w:p>
          <w:p w14:paraId="0FE7B8A7" w14:textId="77777777" w:rsidR="00802958" w:rsidRPr="00E07C9A" w:rsidRDefault="00802958" w:rsidP="00802958">
            <w:pPr>
              <w:rPr>
                <w:rStyle w:val="FormatvorlageInstructionsTabelleText"/>
                <w:rFonts w:ascii="Times New Roman" w:hAnsi="Times New Roman"/>
                <w:sz w:val="24"/>
              </w:rPr>
            </w:pPr>
            <w:r w:rsidRPr="00E07C9A">
              <w:rPr>
                <w:rStyle w:val="FormatvorlageInstructionsTabelleText"/>
                <w:rFonts w:ascii="Times New Roman" w:hAnsi="Times New Roman"/>
                <w:sz w:val="24"/>
              </w:rPr>
              <w:t>Pozri vzor CR IRB.</w:t>
            </w:r>
          </w:p>
        </w:tc>
      </w:tr>
      <w:tr w:rsidR="00802958" w:rsidRPr="00E07C9A" w14:paraId="2F4BDAFA" w14:textId="77777777" w:rsidTr="00672D2A">
        <w:tc>
          <w:tcPr>
            <w:tcW w:w="1591" w:type="dxa"/>
          </w:tcPr>
          <w:p w14:paraId="6C2CCFF4" w14:textId="77777777" w:rsidR="00802958" w:rsidRPr="00E07C9A" w:rsidRDefault="00B13F06"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0290</w:t>
            </w:r>
          </w:p>
        </w:tc>
        <w:tc>
          <w:tcPr>
            <w:tcW w:w="7274" w:type="dxa"/>
          </w:tcPr>
          <w:p w14:paraId="0E32B3BD" w14:textId="77777777" w:rsidR="00802958" w:rsidRPr="00E07C9A" w:rsidRDefault="00802958" w:rsidP="00487A02">
            <w:pPr>
              <w:pStyle w:val="InstructionsText"/>
              <w:rPr>
                <w:rStyle w:val="InstructionsTabelleberschrift"/>
                <w:rFonts w:ascii="Times New Roman" w:hAnsi="Times New Roman"/>
                <w:bCs w:val="0"/>
                <w:sz w:val="24"/>
              </w:rPr>
            </w:pPr>
            <w:r w:rsidRPr="00E07C9A">
              <w:rPr>
                <w:rStyle w:val="InstructionsTabelleberschrift"/>
                <w:rFonts w:ascii="Times New Roman" w:hAnsi="Times New Roman"/>
                <w:sz w:val="24"/>
              </w:rPr>
              <w:t>1.1.2.1.04.</w:t>
            </w:r>
            <w:r w:rsidRPr="00E07C9A">
              <w:tab/>
            </w:r>
            <w:r w:rsidRPr="00E07C9A">
              <w:rPr>
                <w:rStyle w:val="InstructionsTabelleberschrift"/>
                <w:rFonts w:ascii="Times New Roman" w:hAnsi="Times New Roman"/>
                <w:sz w:val="24"/>
              </w:rPr>
              <w:t>Podnikateľské subjekty – špecializované financovanie</w:t>
            </w:r>
          </w:p>
          <w:p w14:paraId="4A2602F2" w14:textId="77777777" w:rsidR="00802958" w:rsidRPr="00E07C9A" w:rsidRDefault="00802958" w:rsidP="00802958">
            <w:pPr>
              <w:rPr>
                <w:rStyle w:val="FormatvorlageInstructionsTabelleText"/>
                <w:rFonts w:ascii="Times New Roman" w:hAnsi="Times New Roman"/>
                <w:sz w:val="24"/>
              </w:rPr>
            </w:pPr>
            <w:r w:rsidRPr="00E07C9A">
              <w:rPr>
                <w:rStyle w:val="FormatvorlageInstructionsTabelleText"/>
                <w:rFonts w:ascii="Times New Roman" w:hAnsi="Times New Roman"/>
                <w:sz w:val="24"/>
              </w:rPr>
              <w:t xml:space="preserve">Pozri vzor CR IRB. </w:t>
            </w:r>
          </w:p>
        </w:tc>
      </w:tr>
      <w:tr w:rsidR="00802958" w:rsidRPr="00E07C9A" w14:paraId="4EB24721" w14:textId="77777777" w:rsidTr="00672D2A">
        <w:tc>
          <w:tcPr>
            <w:tcW w:w="1591" w:type="dxa"/>
          </w:tcPr>
          <w:p w14:paraId="0C1C733A" w14:textId="77777777" w:rsidR="00802958" w:rsidRPr="00E07C9A" w:rsidRDefault="00B13F06"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0300</w:t>
            </w:r>
          </w:p>
        </w:tc>
        <w:tc>
          <w:tcPr>
            <w:tcW w:w="7274" w:type="dxa"/>
          </w:tcPr>
          <w:p w14:paraId="3A7D39B5" w14:textId="77777777" w:rsidR="00802958" w:rsidRPr="00E07C9A" w:rsidRDefault="00802958" w:rsidP="00487A02">
            <w:pPr>
              <w:pStyle w:val="InstructionsText"/>
              <w:rPr>
                <w:rStyle w:val="InstructionsTabelleberschrift"/>
                <w:rFonts w:ascii="Times New Roman" w:hAnsi="Times New Roman"/>
                <w:bCs w:val="0"/>
                <w:sz w:val="24"/>
              </w:rPr>
            </w:pPr>
            <w:r w:rsidRPr="00E07C9A">
              <w:rPr>
                <w:rStyle w:val="InstructionsTabelleberschrift"/>
                <w:rFonts w:ascii="Times New Roman" w:hAnsi="Times New Roman"/>
                <w:sz w:val="24"/>
              </w:rPr>
              <w:t>1.1.2.1.05.</w:t>
            </w:r>
            <w:r w:rsidRPr="00E07C9A">
              <w:tab/>
            </w:r>
            <w:r w:rsidRPr="00E07C9A">
              <w:rPr>
                <w:rStyle w:val="InstructionsTabelleberschrift"/>
                <w:rFonts w:ascii="Times New Roman" w:hAnsi="Times New Roman"/>
                <w:sz w:val="24"/>
              </w:rPr>
              <w:t>Podnikateľské subjekty – iné</w:t>
            </w:r>
          </w:p>
          <w:p w14:paraId="711BB316" w14:textId="77777777" w:rsidR="00802958" w:rsidRPr="00E07C9A" w:rsidRDefault="00802958" w:rsidP="00802958">
            <w:pPr>
              <w:rPr>
                <w:rStyle w:val="FormatvorlageInstructionsTabelleText"/>
                <w:rFonts w:ascii="Times New Roman" w:hAnsi="Times New Roman"/>
                <w:sz w:val="24"/>
              </w:rPr>
            </w:pPr>
            <w:r w:rsidRPr="00E07C9A">
              <w:rPr>
                <w:rStyle w:val="FormatvorlageInstructionsTabelleText"/>
                <w:rFonts w:ascii="Times New Roman" w:hAnsi="Times New Roman"/>
                <w:sz w:val="24"/>
              </w:rPr>
              <w:t>Pozri vzor CR IRB.</w:t>
            </w:r>
          </w:p>
        </w:tc>
      </w:tr>
      <w:tr w:rsidR="00802958" w:rsidRPr="00E07C9A" w14:paraId="2A148698" w14:textId="77777777" w:rsidTr="00672D2A">
        <w:tc>
          <w:tcPr>
            <w:tcW w:w="1591" w:type="dxa"/>
          </w:tcPr>
          <w:p w14:paraId="285FABCF" w14:textId="77777777" w:rsidR="00802958" w:rsidRPr="00E07C9A" w:rsidRDefault="00B13F06"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0310</w:t>
            </w:r>
          </w:p>
        </w:tc>
        <w:tc>
          <w:tcPr>
            <w:tcW w:w="7274" w:type="dxa"/>
          </w:tcPr>
          <w:p w14:paraId="794EF079" w14:textId="77777777" w:rsidR="00802958" w:rsidRPr="00E07C9A" w:rsidRDefault="00802958" w:rsidP="00487A02">
            <w:pPr>
              <w:pStyle w:val="InstructionsText"/>
              <w:rPr>
                <w:rStyle w:val="InstructionsTabelleberschrift"/>
                <w:rFonts w:ascii="Times New Roman" w:hAnsi="Times New Roman"/>
                <w:bCs w:val="0"/>
                <w:sz w:val="24"/>
              </w:rPr>
            </w:pPr>
            <w:r w:rsidRPr="00E07C9A">
              <w:rPr>
                <w:rStyle w:val="InstructionsTabelleberschrift"/>
                <w:rFonts w:ascii="Times New Roman" w:hAnsi="Times New Roman"/>
                <w:sz w:val="24"/>
              </w:rPr>
              <w:t>1.1.2.2.</w:t>
            </w:r>
            <w:r w:rsidRPr="00E07C9A">
              <w:tab/>
            </w:r>
            <w:r w:rsidRPr="00E07C9A">
              <w:rPr>
                <w:rStyle w:val="InstructionsTabelleberschrift"/>
                <w:rFonts w:ascii="Times New Roman" w:hAnsi="Times New Roman"/>
                <w:sz w:val="24"/>
              </w:rPr>
              <w:t>Prístupy IRB, keď sa používajú vlastné odhady LGD a/alebo konverzný faktor</w:t>
            </w:r>
          </w:p>
          <w:p w14:paraId="646C4EB6" w14:textId="77777777" w:rsidR="00802958" w:rsidRPr="00E07C9A" w:rsidRDefault="00802958" w:rsidP="00802958">
            <w:pPr>
              <w:rPr>
                <w:rStyle w:val="FormatvorlageInstructionsTabelleText"/>
                <w:rFonts w:ascii="Times New Roman" w:hAnsi="Times New Roman"/>
                <w:sz w:val="24"/>
              </w:rPr>
            </w:pPr>
            <w:r w:rsidRPr="00E07C9A">
              <w:rPr>
                <w:rStyle w:val="FormatvorlageInstructionsTabelleText"/>
                <w:rFonts w:ascii="Times New Roman" w:hAnsi="Times New Roman"/>
                <w:sz w:val="24"/>
              </w:rPr>
              <w:t>Vzor CR IRB na úrovni celkových expozícií (keď sa používajú vlastné odhady LGD a/alebo konverzný faktor)</w:t>
            </w:r>
          </w:p>
        </w:tc>
      </w:tr>
      <w:tr w:rsidR="00802958" w:rsidRPr="00E07C9A" w14:paraId="271BD282" w14:textId="77777777" w:rsidTr="00672D2A">
        <w:tc>
          <w:tcPr>
            <w:tcW w:w="1591" w:type="dxa"/>
          </w:tcPr>
          <w:p w14:paraId="707C2CF6" w14:textId="77777777" w:rsidR="00802958" w:rsidRPr="00E07C9A" w:rsidRDefault="00B13F06"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0320</w:t>
            </w:r>
          </w:p>
        </w:tc>
        <w:tc>
          <w:tcPr>
            <w:tcW w:w="7274" w:type="dxa"/>
          </w:tcPr>
          <w:p w14:paraId="66D5DEF6" w14:textId="258ED8B6" w:rsidR="00802958" w:rsidRPr="00E07C9A" w:rsidRDefault="00802958"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1.1.2.2.01.</w:t>
            </w:r>
            <w:r w:rsidRPr="00E07C9A">
              <w:tab/>
            </w:r>
            <w:r w:rsidRPr="00E07C9A">
              <w:rPr>
                <w:rStyle w:val="InstructionsTabelleberschrift"/>
                <w:rFonts w:ascii="Times New Roman" w:hAnsi="Times New Roman"/>
                <w:sz w:val="24"/>
              </w:rPr>
              <w:t>Ústredné vlády</w:t>
            </w:r>
            <w:r w:rsidR="009912F8" w:rsidRPr="00E07C9A">
              <w:rPr>
                <w:rStyle w:val="InstructionsTabelleberschrift"/>
                <w:rFonts w:ascii="Times New Roman" w:hAnsi="Times New Roman"/>
                <w:sz w:val="24"/>
              </w:rPr>
              <w:t xml:space="preserve"> a </w:t>
            </w:r>
            <w:r w:rsidRPr="00E07C9A">
              <w:rPr>
                <w:rStyle w:val="InstructionsTabelleberschrift"/>
                <w:rFonts w:ascii="Times New Roman" w:hAnsi="Times New Roman"/>
                <w:sz w:val="24"/>
              </w:rPr>
              <w:t>centrálne banky</w:t>
            </w:r>
          </w:p>
          <w:p w14:paraId="35D77E7A" w14:textId="77777777" w:rsidR="00802958" w:rsidRPr="00E07C9A" w:rsidRDefault="00802958" w:rsidP="00802958">
            <w:pPr>
              <w:rPr>
                <w:rStyle w:val="FormatvorlageInstructionsTabelleText"/>
                <w:rFonts w:ascii="Times New Roman" w:hAnsi="Times New Roman"/>
                <w:sz w:val="24"/>
              </w:rPr>
            </w:pPr>
            <w:r w:rsidRPr="00E07C9A">
              <w:rPr>
                <w:rStyle w:val="FormatvorlageInstructionsTabelleText"/>
                <w:rFonts w:ascii="Times New Roman" w:hAnsi="Times New Roman"/>
                <w:sz w:val="24"/>
              </w:rPr>
              <w:t>Pozri vzor CR IRB.</w:t>
            </w:r>
          </w:p>
        </w:tc>
      </w:tr>
      <w:tr w:rsidR="00802958" w:rsidRPr="00E07C9A" w14:paraId="3E923588" w14:textId="77777777" w:rsidTr="00672D2A">
        <w:tc>
          <w:tcPr>
            <w:tcW w:w="1591" w:type="dxa"/>
          </w:tcPr>
          <w:p w14:paraId="716783F0" w14:textId="77777777" w:rsidR="00802958" w:rsidRPr="00E07C9A" w:rsidRDefault="00B13F06"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0330</w:t>
            </w:r>
          </w:p>
        </w:tc>
        <w:tc>
          <w:tcPr>
            <w:tcW w:w="7274" w:type="dxa"/>
          </w:tcPr>
          <w:p w14:paraId="2B3D8FAA" w14:textId="77777777" w:rsidR="00802958" w:rsidRPr="00E07C9A" w:rsidRDefault="00802958" w:rsidP="00487A02">
            <w:pPr>
              <w:pStyle w:val="InstructionsText"/>
              <w:rPr>
                <w:rStyle w:val="InstructionsTabelleberschrift"/>
                <w:rFonts w:ascii="Times New Roman" w:hAnsi="Times New Roman"/>
                <w:bCs w:val="0"/>
                <w:sz w:val="24"/>
              </w:rPr>
            </w:pPr>
            <w:r w:rsidRPr="00E07C9A">
              <w:rPr>
                <w:rStyle w:val="InstructionsTabelleberschrift"/>
                <w:rFonts w:ascii="Times New Roman" w:hAnsi="Times New Roman"/>
                <w:sz w:val="24"/>
              </w:rPr>
              <w:t>1.1.2.2.02.</w:t>
            </w:r>
            <w:r w:rsidRPr="00E07C9A">
              <w:tab/>
            </w:r>
            <w:r w:rsidRPr="00E07C9A">
              <w:rPr>
                <w:rStyle w:val="InstructionsTabelleberschrift"/>
                <w:rFonts w:ascii="Times New Roman" w:hAnsi="Times New Roman"/>
                <w:sz w:val="24"/>
              </w:rPr>
              <w:t>Inštitúcie</w:t>
            </w:r>
          </w:p>
          <w:p w14:paraId="73BD41CC" w14:textId="77777777" w:rsidR="00802958" w:rsidRPr="00E07C9A" w:rsidRDefault="00802958" w:rsidP="00802958">
            <w:pPr>
              <w:rPr>
                <w:rStyle w:val="FormatvorlageInstructionsTabelleText"/>
                <w:rFonts w:ascii="Times New Roman" w:hAnsi="Times New Roman"/>
                <w:sz w:val="24"/>
              </w:rPr>
            </w:pPr>
            <w:r w:rsidRPr="00E07C9A">
              <w:rPr>
                <w:rStyle w:val="FormatvorlageInstructionsTabelleText"/>
                <w:rFonts w:ascii="Times New Roman" w:hAnsi="Times New Roman"/>
                <w:sz w:val="24"/>
              </w:rPr>
              <w:t xml:space="preserve">Pozri vzor CR IRB. </w:t>
            </w:r>
          </w:p>
        </w:tc>
      </w:tr>
      <w:tr w:rsidR="00802958" w:rsidRPr="00E07C9A" w14:paraId="4574930B" w14:textId="77777777" w:rsidTr="00672D2A">
        <w:tc>
          <w:tcPr>
            <w:tcW w:w="1591" w:type="dxa"/>
          </w:tcPr>
          <w:p w14:paraId="0A1C7727" w14:textId="77777777" w:rsidR="00802958" w:rsidRPr="00E07C9A" w:rsidRDefault="00B13F06"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0340</w:t>
            </w:r>
          </w:p>
        </w:tc>
        <w:tc>
          <w:tcPr>
            <w:tcW w:w="7274" w:type="dxa"/>
          </w:tcPr>
          <w:p w14:paraId="0113D75B" w14:textId="06B6B26C" w:rsidR="00802958" w:rsidRPr="00E07C9A" w:rsidRDefault="00802958" w:rsidP="00487A02">
            <w:pPr>
              <w:pStyle w:val="InstructionsText"/>
              <w:rPr>
                <w:rStyle w:val="InstructionsTabelleberschrift"/>
                <w:rFonts w:ascii="Times New Roman" w:hAnsi="Times New Roman"/>
                <w:bCs w:val="0"/>
                <w:sz w:val="24"/>
              </w:rPr>
            </w:pPr>
            <w:r w:rsidRPr="00E07C9A">
              <w:rPr>
                <w:rStyle w:val="InstructionsTabelleberschrift"/>
                <w:rFonts w:ascii="Times New Roman" w:hAnsi="Times New Roman"/>
                <w:sz w:val="24"/>
              </w:rPr>
              <w:t>1.1.2.2.03.</w:t>
            </w:r>
            <w:r w:rsidRPr="00E07C9A">
              <w:tab/>
            </w:r>
            <w:r w:rsidRPr="00E07C9A">
              <w:rPr>
                <w:rStyle w:val="InstructionsTabelleberschrift"/>
                <w:rFonts w:ascii="Times New Roman" w:hAnsi="Times New Roman"/>
                <w:sz w:val="24"/>
              </w:rPr>
              <w:t>Podnikateľské subjekty – malé</w:t>
            </w:r>
            <w:r w:rsidR="009912F8" w:rsidRPr="00E07C9A">
              <w:rPr>
                <w:rStyle w:val="InstructionsTabelleberschrift"/>
                <w:rFonts w:ascii="Times New Roman" w:hAnsi="Times New Roman"/>
                <w:sz w:val="24"/>
              </w:rPr>
              <w:t xml:space="preserve"> a </w:t>
            </w:r>
            <w:r w:rsidRPr="00E07C9A">
              <w:rPr>
                <w:rStyle w:val="InstructionsTabelleberschrift"/>
                <w:rFonts w:ascii="Times New Roman" w:hAnsi="Times New Roman"/>
                <w:sz w:val="24"/>
              </w:rPr>
              <w:t>stredné podniky (MSP)</w:t>
            </w:r>
          </w:p>
          <w:p w14:paraId="71397CC5" w14:textId="77777777" w:rsidR="00802958" w:rsidRPr="00E07C9A" w:rsidRDefault="00802958" w:rsidP="00802958">
            <w:pPr>
              <w:rPr>
                <w:rStyle w:val="FormatvorlageInstructionsTabelleText"/>
                <w:rFonts w:ascii="Times New Roman" w:hAnsi="Times New Roman"/>
                <w:sz w:val="24"/>
              </w:rPr>
            </w:pPr>
            <w:r w:rsidRPr="00E07C9A">
              <w:rPr>
                <w:rStyle w:val="FormatvorlageInstructionsTabelleText"/>
                <w:rFonts w:ascii="Times New Roman" w:hAnsi="Times New Roman"/>
                <w:sz w:val="24"/>
              </w:rPr>
              <w:t>Pozri vzor CR IRB.</w:t>
            </w:r>
          </w:p>
        </w:tc>
      </w:tr>
      <w:tr w:rsidR="00802958" w:rsidRPr="00E07C9A" w14:paraId="3ADC2008" w14:textId="77777777" w:rsidTr="00672D2A">
        <w:tc>
          <w:tcPr>
            <w:tcW w:w="1591" w:type="dxa"/>
          </w:tcPr>
          <w:p w14:paraId="2439ED95" w14:textId="77777777" w:rsidR="00802958" w:rsidRPr="00E07C9A" w:rsidRDefault="00B13F06"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0350</w:t>
            </w:r>
          </w:p>
        </w:tc>
        <w:tc>
          <w:tcPr>
            <w:tcW w:w="7274" w:type="dxa"/>
          </w:tcPr>
          <w:p w14:paraId="5D5C25C6" w14:textId="77777777" w:rsidR="00802958" w:rsidRPr="00E07C9A" w:rsidRDefault="00802958" w:rsidP="00487A02">
            <w:pPr>
              <w:pStyle w:val="InstructionsText"/>
              <w:rPr>
                <w:rStyle w:val="InstructionsTabelleberschrift"/>
                <w:rFonts w:ascii="Times New Roman" w:hAnsi="Times New Roman"/>
                <w:bCs w:val="0"/>
                <w:sz w:val="24"/>
              </w:rPr>
            </w:pPr>
            <w:r w:rsidRPr="00E07C9A">
              <w:rPr>
                <w:rStyle w:val="InstructionsTabelleberschrift"/>
                <w:rFonts w:ascii="Times New Roman" w:hAnsi="Times New Roman"/>
                <w:sz w:val="24"/>
              </w:rPr>
              <w:t>1.1.2.2.04.</w:t>
            </w:r>
            <w:r w:rsidRPr="00E07C9A">
              <w:tab/>
            </w:r>
            <w:r w:rsidRPr="00E07C9A">
              <w:rPr>
                <w:rStyle w:val="InstructionsTabelleberschrift"/>
                <w:rFonts w:ascii="Times New Roman" w:hAnsi="Times New Roman"/>
                <w:sz w:val="24"/>
              </w:rPr>
              <w:t>Podnikateľské subjekty – špecializované financovanie</w:t>
            </w:r>
          </w:p>
          <w:p w14:paraId="3322030F" w14:textId="77777777" w:rsidR="00802958" w:rsidRPr="00E07C9A" w:rsidRDefault="00802958" w:rsidP="00802958">
            <w:pPr>
              <w:rPr>
                <w:rStyle w:val="FormatvorlageInstructionsTabelleText"/>
                <w:rFonts w:ascii="Times New Roman" w:hAnsi="Times New Roman"/>
                <w:sz w:val="24"/>
              </w:rPr>
            </w:pPr>
            <w:r w:rsidRPr="00E07C9A">
              <w:rPr>
                <w:rStyle w:val="FormatvorlageInstructionsTabelleText"/>
                <w:rFonts w:ascii="Times New Roman" w:hAnsi="Times New Roman"/>
                <w:sz w:val="24"/>
              </w:rPr>
              <w:t>Pozri vzor CR IRB.</w:t>
            </w:r>
          </w:p>
        </w:tc>
      </w:tr>
      <w:tr w:rsidR="00802958" w:rsidRPr="00E07C9A" w14:paraId="456EF20A" w14:textId="77777777" w:rsidTr="00672D2A">
        <w:tc>
          <w:tcPr>
            <w:tcW w:w="1591" w:type="dxa"/>
          </w:tcPr>
          <w:p w14:paraId="29C5949F" w14:textId="77777777" w:rsidR="00802958" w:rsidRPr="00E07C9A" w:rsidRDefault="00B13F06"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0360</w:t>
            </w:r>
          </w:p>
        </w:tc>
        <w:tc>
          <w:tcPr>
            <w:tcW w:w="7274" w:type="dxa"/>
          </w:tcPr>
          <w:p w14:paraId="1BE356B4" w14:textId="77777777" w:rsidR="00802958" w:rsidRPr="00E07C9A" w:rsidRDefault="00802958" w:rsidP="00487A02">
            <w:pPr>
              <w:pStyle w:val="InstructionsText"/>
              <w:rPr>
                <w:rStyle w:val="InstructionsTabelleberschrift"/>
                <w:rFonts w:ascii="Times New Roman" w:hAnsi="Times New Roman"/>
                <w:bCs w:val="0"/>
                <w:sz w:val="24"/>
              </w:rPr>
            </w:pPr>
            <w:r w:rsidRPr="00E07C9A">
              <w:rPr>
                <w:rStyle w:val="InstructionsTabelleberschrift"/>
                <w:rFonts w:ascii="Times New Roman" w:hAnsi="Times New Roman"/>
                <w:sz w:val="24"/>
              </w:rPr>
              <w:t>1.1.2.2.05.</w:t>
            </w:r>
            <w:r w:rsidRPr="00E07C9A">
              <w:tab/>
            </w:r>
            <w:r w:rsidRPr="00E07C9A">
              <w:rPr>
                <w:rStyle w:val="InstructionsTabelleberschrift"/>
                <w:rFonts w:ascii="Times New Roman" w:hAnsi="Times New Roman"/>
                <w:sz w:val="24"/>
              </w:rPr>
              <w:t>Podnikateľské subjekty – iné</w:t>
            </w:r>
          </w:p>
          <w:p w14:paraId="7B82010B" w14:textId="77777777" w:rsidR="00802958" w:rsidRPr="00E07C9A" w:rsidRDefault="00802958" w:rsidP="00802958">
            <w:pPr>
              <w:rPr>
                <w:rStyle w:val="FormatvorlageInstructionsTabelleText"/>
                <w:rFonts w:ascii="Times New Roman" w:hAnsi="Times New Roman"/>
                <w:sz w:val="24"/>
              </w:rPr>
            </w:pPr>
            <w:r w:rsidRPr="00E07C9A">
              <w:rPr>
                <w:rStyle w:val="FormatvorlageInstructionsTabelleText"/>
                <w:rFonts w:ascii="Times New Roman" w:hAnsi="Times New Roman"/>
                <w:sz w:val="24"/>
              </w:rPr>
              <w:t>Pozri vzor CR IRB.</w:t>
            </w:r>
          </w:p>
        </w:tc>
      </w:tr>
      <w:tr w:rsidR="00802958" w:rsidRPr="00E07C9A" w14:paraId="5AD7693D" w14:textId="77777777" w:rsidTr="00672D2A">
        <w:tc>
          <w:tcPr>
            <w:tcW w:w="1591" w:type="dxa"/>
          </w:tcPr>
          <w:p w14:paraId="4C484AF7" w14:textId="77777777" w:rsidR="00802958" w:rsidRPr="00E07C9A" w:rsidRDefault="00B13F06"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0370</w:t>
            </w:r>
          </w:p>
        </w:tc>
        <w:tc>
          <w:tcPr>
            <w:tcW w:w="7274" w:type="dxa"/>
          </w:tcPr>
          <w:p w14:paraId="0C70BDB3" w14:textId="77777777" w:rsidR="00802958" w:rsidRPr="00E07C9A" w:rsidRDefault="00802958" w:rsidP="00487A02">
            <w:pPr>
              <w:pStyle w:val="InstructionsText"/>
              <w:rPr>
                <w:rStyle w:val="InstructionsTabelleberschrift"/>
                <w:rFonts w:ascii="Times New Roman" w:hAnsi="Times New Roman"/>
                <w:bCs w:val="0"/>
                <w:sz w:val="24"/>
              </w:rPr>
            </w:pPr>
            <w:r w:rsidRPr="00E07C9A">
              <w:rPr>
                <w:rStyle w:val="InstructionsTabelleberschrift"/>
                <w:rFonts w:ascii="Times New Roman" w:hAnsi="Times New Roman"/>
                <w:sz w:val="24"/>
              </w:rPr>
              <w:t>1.1.2.2.06.</w:t>
            </w:r>
            <w:r w:rsidRPr="00E07C9A">
              <w:tab/>
            </w:r>
            <w:r w:rsidRPr="00E07C9A">
              <w:rPr>
                <w:rStyle w:val="InstructionsTabelleberschrift"/>
                <w:rFonts w:ascii="Times New Roman" w:hAnsi="Times New Roman"/>
                <w:sz w:val="24"/>
              </w:rPr>
              <w:t>Retail – zabezpečené nehnuteľnosťami, MSP</w:t>
            </w:r>
          </w:p>
          <w:p w14:paraId="5C2A38F1" w14:textId="77777777" w:rsidR="00802958" w:rsidRPr="00E07C9A" w:rsidRDefault="00802958" w:rsidP="00802958">
            <w:pPr>
              <w:rPr>
                <w:rStyle w:val="FormatvorlageInstructionsTabelleText"/>
                <w:rFonts w:ascii="Times New Roman" w:hAnsi="Times New Roman"/>
                <w:sz w:val="24"/>
              </w:rPr>
            </w:pPr>
            <w:r w:rsidRPr="00E07C9A">
              <w:rPr>
                <w:rStyle w:val="FormatvorlageInstructionsTabelleText"/>
                <w:rFonts w:ascii="Times New Roman" w:hAnsi="Times New Roman"/>
                <w:sz w:val="24"/>
              </w:rPr>
              <w:t>Pozri vzor CR IRB.</w:t>
            </w:r>
          </w:p>
        </w:tc>
      </w:tr>
      <w:tr w:rsidR="00802958" w:rsidRPr="00E07C9A" w14:paraId="584F99B7" w14:textId="77777777" w:rsidTr="00672D2A">
        <w:tc>
          <w:tcPr>
            <w:tcW w:w="1591" w:type="dxa"/>
          </w:tcPr>
          <w:p w14:paraId="14ED3463" w14:textId="77777777" w:rsidR="00802958" w:rsidRPr="00E07C9A" w:rsidRDefault="00B13F06"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0380</w:t>
            </w:r>
          </w:p>
        </w:tc>
        <w:tc>
          <w:tcPr>
            <w:tcW w:w="7274" w:type="dxa"/>
          </w:tcPr>
          <w:p w14:paraId="6AFF6AAA" w14:textId="77777777" w:rsidR="00802958" w:rsidRPr="00E07C9A" w:rsidRDefault="00802958" w:rsidP="00487A02">
            <w:pPr>
              <w:pStyle w:val="InstructionsText"/>
              <w:rPr>
                <w:rStyle w:val="InstructionsTabelleberschrift"/>
                <w:rFonts w:ascii="Times New Roman" w:hAnsi="Times New Roman"/>
                <w:bCs w:val="0"/>
                <w:sz w:val="24"/>
              </w:rPr>
            </w:pPr>
            <w:r w:rsidRPr="00E07C9A">
              <w:rPr>
                <w:rStyle w:val="InstructionsTabelleberschrift"/>
                <w:rFonts w:ascii="Times New Roman" w:hAnsi="Times New Roman"/>
                <w:sz w:val="24"/>
              </w:rPr>
              <w:t>1.1.2.2.07.</w:t>
            </w:r>
            <w:r w:rsidRPr="00E07C9A">
              <w:tab/>
            </w:r>
            <w:r w:rsidRPr="00E07C9A">
              <w:rPr>
                <w:rStyle w:val="InstructionsTabelleberschrift"/>
                <w:rFonts w:ascii="Times New Roman" w:hAnsi="Times New Roman"/>
                <w:sz w:val="24"/>
              </w:rPr>
              <w:t>Retail – zabezpečené nehnuteľným majetkom, subjekty iné než MSP</w:t>
            </w:r>
          </w:p>
          <w:p w14:paraId="63ABFE81" w14:textId="77777777" w:rsidR="00802958" w:rsidRPr="00E07C9A" w:rsidRDefault="00802958" w:rsidP="00802958">
            <w:pPr>
              <w:rPr>
                <w:rStyle w:val="FormatvorlageInstructionsTabelleText"/>
                <w:rFonts w:ascii="Times New Roman" w:hAnsi="Times New Roman"/>
                <w:sz w:val="24"/>
              </w:rPr>
            </w:pPr>
            <w:r w:rsidRPr="00E07C9A">
              <w:rPr>
                <w:rStyle w:val="FormatvorlageInstructionsTabelleText"/>
                <w:rFonts w:ascii="Times New Roman" w:hAnsi="Times New Roman"/>
                <w:sz w:val="24"/>
              </w:rPr>
              <w:t>Pozri vzor CR IRB.</w:t>
            </w:r>
          </w:p>
        </w:tc>
      </w:tr>
      <w:tr w:rsidR="00802958" w:rsidRPr="00E07C9A" w14:paraId="4C06A566" w14:textId="77777777" w:rsidTr="00672D2A">
        <w:tc>
          <w:tcPr>
            <w:tcW w:w="1591" w:type="dxa"/>
          </w:tcPr>
          <w:p w14:paraId="00C8EF2E" w14:textId="77777777" w:rsidR="00802958" w:rsidRPr="00E07C9A" w:rsidRDefault="00B13F06"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0390</w:t>
            </w:r>
          </w:p>
        </w:tc>
        <w:tc>
          <w:tcPr>
            <w:tcW w:w="7274" w:type="dxa"/>
          </w:tcPr>
          <w:p w14:paraId="378C6831" w14:textId="77777777" w:rsidR="00802958" w:rsidRPr="00E07C9A" w:rsidRDefault="00802958" w:rsidP="00487A02">
            <w:pPr>
              <w:pStyle w:val="InstructionsText"/>
              <w:rPr>
                <w:rStyle w:val="InstructionsTabelleberschrift"/>
                <w:rFonts w:ascii="Times New Roman" w:hAnsi="Times New Roman"/>
                <w:bCs w:val="0"/>
                <w:sz w:val="24"/>
              </w:rPr>
            </w:pPr>
            <w:r w:rsidRPr="00E07C9A">
              <w:rPr>
                <w:rStyle w:val="InstructionsTabelleberschrift"/>
                <w:rFonts w:ascii="Times New Roman" w:hAnsi="Times New Roman"/>
                <w:sz w:val="24"/>
              </w:rPr>
              <w:t>1.1.2.2.08.</w:t>
            </w:r>
            <w:r w:rsidRPr="00E07C9A">
              <w:tab/>
            </w:r>
            <w:r w:rsidRPr="00E07C9A">
              <w:rPr>
                <w:rStyle w:val="InstructionsTabelleberschrift"/>
                <w:rFonts w:ascii="Times New Roman" w:hAnsi="Times New Roman"/>
                <w:sz w:val="24"/>
              </w:rPr>
              <w:t>Retail – kvalifikovaný revolving</w:t>
            </w:r>
          </w:p>
          <w:p w14:paraId="2085E749" w14:textId="77777777" w:rsidR="00802958" w:rsidRPr="00E07C9A" w:rsidRDefault="00802958" w:rsidP="00802958">
            <w:pPr>
              <w:rPr>
                <w:rStyle w:val="FormatvorlageInstructionsTabelleText"/>
                <w:rFonts w:ascii="Times New Roman" w:hAnsi="Times New Roman"/>
                <w:sz w:val="24"/>
              </w:rPr>
            </w:pPr>
            <w:r w:rsidRPr="00E07C9A">
              <w:rPr>
                <w:rStyle w:val="FormatvorlageInstructionsTabelleText"/>
                <w:rFonts w:ascii="Times New Roman" w:hAnsi="Times New Roman"/>
                <w:sz w:val="24"/>
              </w:rPr>
              <w:t>Pozri vzor CR IRB.</w:t>
            </w:r>
          </w:p>
        </w:tc>
      </w:tr>
      <w:tr w:rsidR="00802958" w:rsidRPr="00E07C9A" w14:paraId="5A733136" w14:textId="77777777" w:rsidTr="00672D2A">
        <w:tc>
          <w:tcPr>
            <w:tcW w:w="1591" w:type="dxa"/>
          </w:tcPr>
          <w:p w14:paraId="360417A4" w14:textId="77777777" w:rsidR="00802958" w:rsidRPr="00E07C9A" w:rsidRDefault="00B13F06"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0400</w:t>
            </w:r>
          </w:p>
        </w:tc>
        <w:tc>
          <w:tcPr>
            <w:tcW w:w="7274" w:type="dxa"/>
          </w:tcPr>
          <w:p w14:paraId="560BC365" w14:textId="3466E445" w:rsidR="00802958" w:rsidRPr="00E07C9A" w:rsidRDefault="00802958" w:rsidP="00487A02">
            <w:pPr>
              <w:pStyle w:val="InstructionsText"/>
              <w:rPr>
                <w:rStyle w:val="InstructionsTabelleberschrift"/>
                <w:rFonts w:ascii="Times New Roman" w:hAnsi="Times New Roman"/>
                <w:bCs w:val="0"/>
                <w:sz w:val="24"/>
              </w:rPr>
            </w:pPr>
            <w:r w:rsidRPr="00E07C9A">
              <w:rPr>
                <w:rStyle w:val="InstructionsTabelleberschrift"/>
                <w:rFonts w:ascii="Times New Roman" w:hAnsi="Times New Roman"/>
                <w:sz w:val="24"/>
              </w:rPr>
              <w:t>1.1.2.2.09.</w:t>
            </w:r>
            <w:r w:rsidRPr="00E07C9A">
              <w:tab/>
            </w:r>
            <w:r w:rsidRPr="00E07C9A">
              <w:rPr>
                <w:rStyle w:val="InstructionsTabelleberschrift"/>
                <w:rFonts w:ascii="Times New Roman" w:hAnsi="Times New Roman"/>
                <w:sz w:val="24"/>
              </w:rPr>
              <w:t>Retail – ostatné malé</w:t>
            </w:r>
            <w:r w:rsidR="009912F8" w:rsidRPr="00E07C9A">
              <w:rPr>
                <w:rStyle w:val="InstructionsTabelleberschrift"/>
                <w:rFonts w:ascii="Times New Roman" w:hAnsi="Times New Roman"/>
                <w:sz w:val="24"/>
              </w:rPr>
              <w:t xml:space="preserve"> a </w:t>
            </w:r>
            <w:r w:rsidRPr="00E07C9A">
              <w:rPr>
                <w:rStyle w:val="InstructionsTabelleberschrift"/>
                <w:rFonts w:ascii="Times New Roman" w:hAnsi="Times New Roman"/>
                <w:sz w:val="24"/>
              </w:rPr>
              <w:t>stredné podniky</w:t>
            </w:r>
          </w:p>
          <w:p w14:paraId="1C53EB36" w14:textId="77777777" w:rsidR="00802958" w:rsidRPr="00E07C9A" w:rsidRDefault="00802958" w:rsidP="00802958">
            <w:pPr>
              <w:rPr>
                <w:rStyle w:val="FormatvorlageInstructionsTabelleText"/>
                <w:rFonts w:ascii="Times New Roman" w:hAnsi="Times New Roman"/>
                <w:sz w:val="24"/>
              </w:rPr>
            </w:pPr>
            <w:r w:rsidRPr="00E07C9A">
              <w:rPr>
                <w:rStyle w:val="FormatvorlageInstructionsTabelleText"/>
                <w:rFonts w:ascii="Times New Roman" w:hAnsi="Times New Roman"/>
                <w:sz w:val="24"/>
              </w:rPr>
              <w:lastRenderedPageBreak/>
              <w:t>Pozri vzor CR IRB.</w:t>
            </w:r>
          </w:p>
        </w:tc>
      </w:tr>
      <w:tr w:rsidR="00802958" w:rsidRPr="00E07C9A" w14:paraId="52F94058" w14:textId="77777777" w:rsidTr="00672D2A">
        <w:tc>
          <w:tcPr>
            <w:tcW w:w="1591" w:type="dxa"/>
          </w:tcPr>
          <w:p w14:paraId="1033C01C" w14:textId="77777777" w:rsidR="00802958" w:rsidRPr="00E07C9A" w:rsidRDefault="00B13F06"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lastRenderedPageBreak/>
              <w:t>0410</w:t>
            </w:r>
          </w:p>
        </w:tc>
        <w:tc>
          <w:tcPr>
            <w:tcW w:w="7274" w:type="dxa"/>
          </w:tcPr>
          <w:p w14:paraId="2C5D9D55" w14:textId="77777777" w:rsidR="00802958" w:rsidRPr="00E07C9A" w:rsidRDefault="00802958" w:rsidP="00487A02">
            <w:pPr>
              <w:pStyle w:val="InstructionsText"/>
              <w:rPr>
                <w:rStyle w:val="InstructionsTabelleberschrift"/>
                <w:rFonts w:ascii="Times New Roman" w:hAnsi="Times New Roman"/>
                <w:bCs w:val="0"/>
                <w:sz w:val="24"/>
              </w:rPr>
            </w:pPr>
            <w:r w:rsidRPr="00E07C9A">
              <w:rPr>
                <w:rStyle w:val="InstructionsTabelleberschrift"/>
                <w:rFonts w:ascii="Times New Roman" w:hAnsi="Times New Roman"/>
                <w:sz w:val="24"/>
              </w:rPr>
              <w:t>1.1.2.2.10.</w:t>
            </w:r>
            <w:r w:rsidRPr="00E07C9A">
              <w:tab/>
            </w:r>
            <w:r w:rsidRPr="00E07C9A">
              <w:rPr>
                <w:rStyle w:val="InstructionsTabelleberschrift"/>
                <w:rFonts w:ascii="Times New Roman" w:hAnsi="Times New Roman"/>
                <w:sz w:val="24"/>
              </w:rPr>
              <w:t>Retail – ostatné subjekty iné než MSP</w:t>
            </w:r>
          </w:p>
          <w:p w14:paraId="1E699156" w14:textId="77777777" w:rsidR="00802958" w:rsidRPr="00E07C9A" w:rsidRDefault="00802958" w:rsidP="00802958">
            <w:pPr>
              <w:rPr>
                <w:rStyle w:val="FormatvorlageInstructionsTabelleText"/>
                <w:rFonts w:ascii="Times New Roman" w:hAnsi="Times New Roman"/>
                <w:sz w:val="24"/>
              </w:rPr>
            </w:pPr>
            <w:r w:rsidRPr="00E07C9A">
              <w:rPr>
                <w:rStyle w:val="FormatvorlageInstructionsTabelleText"/>
                <w:rFonts w:ascii="Times New Roman" w:hAnsi="Times New Roman"/>
                <w:sz w:val="24"/>
              </w:rPr>
              <w:t>Pozri vzor CR IRB.</w:t>
            </w:r>
          </w:p>
        </w:tc>
      </w:tr>
      <w:tr w:rsidR="00802958" w:rsidRPr="00E07C9A" w14:paraId="10CDC451" w14:textId="77777777" w:rsidTr="00672D2A">
        <w:tc>
          <w:tcPr>
            <w:tcW w:w="1591" w:type="dxa"/>
          </w:tcPr>
          <w:p w14:paraId="3F266156" w14:textId="77777777" w:rsidR="00802958" w:rsidRPr="00E07C9A" w:rsidRDefault="00B13F06"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0420</w:t>
            </w:r>
          </w:p>
        </w:tc>
        <w:tc>
          <w:tcPr>
            <w:tcW w:w="7274" w:type="dxa"/>
          </w:tcPr>
          <w:p w14:paraId="3E70F343" w14:textId="77777777" w:rsidR="00802958" w:rsidRPr="00E07C9A" w:rsidRDefault="00802958" w:rsidP="00487A02">
            <w:pPr>
              <w:pStyle w:val="InstructionsText"/>
              <w:rPr>
                <w:rStyle w:val="InstructionsTabelleberschrift"/>
                <w:rFonts w:ascii="Times New Roman" w:hAnsi="Times New Roman"/>
                <w:bCs w:val="0"/>
                <w:sz w:val="24"/>
              </w:rPr>
            </w:pPr>
            <w:r w:rsidRPr="00E07C9A">
              <w:rPr>
                <w:rStyle w:val="InstructionsTabelleberschrift"/>
                <w:rFonts w:ascii="Times New Roman" w:hAnsi="Times New Roman"/>
                <w:sz w:val="24"/>
              </w:rPr>
              <w:t>1.1.2.3.</w:t>
            </w:r>
            <w:r w:rsidRPr="00E07C9A">
              <w:tab/>
            </w:r>
            <w:r w:rsidRPr="00E07C9A">
              <w:rPr>
                <w:rStyle w:val="InstructionsTabelleberschrift"/>
                <w:rFonts w:ascii="Times New Roman" w:hAnsi="Times New Roman"/>
                <w:sz w:val="24"/>
              </w:rPr>
              <w:t>Kapitálové expozície podľa IRB</w:t>
            </w:r>
          </w:p>
          <w:p w14:paraId="0E313513" w14:textId="77777777" w:rsidR="00802958" w:rsidRPr="00E07C9A" w:rsidRDefault="00802958" w:rsidP="00802958">
            <w:pPr>
              <w:rPr>
                <w:rStyle w:val="FormatvorlageInstructionsTabelleText"/>
                <w:rFonts w:ascii="Times New Roman" w:hAnsi="Times New Roman"/>
                <w:sz w:val="24"/>
              </w:rPr>
            </w:pPr>
            <w:r w:rsidRPr="00E07C9A">
              <w:rPr>
                <w:rStyle w:val="FormatvorlageInstructionsTabelleText"/>
                <w:rFonts w:ascii="Times New Roman" w:hAnsi="Times New Roman"/>
                <w:sz w:val="24"/>
              </w:rPr>
              <w:t>Pozri vzor CR EQU IRB.</w:t>
            </w:r>
          </w:p>
        </w:tc>
      </w:tr>
      <w:tr w:rsidR="00802958" w:rsidRPr="00E07C9A" w14:paraId="78953650" w14:textId="77777777" w:rsidTr="00672D2A">
        <w:tc>
          <w:tcPr>
            <w:tcW w:w="1591" w:type="dxa"/>
          </w:tcPr>
          <w:p w14:paraId="40F1038F" w14:textId="77777777" w:rsidR="00802958" w:rsidRPr="00E07C9A" w:rsidRDefault="00B13F06"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0450</w:t>
            </w:r>
          </w:p>
        </w:tc>
        <w:tc>
          <w:tcPr>
            <w:tcW w:w="7274" w:type="dxa"/>
          </w:tcPr>
          <w:p w14:paraId="79225E43" w14:textId="77777777" w:rsidR="00802958" w:rsidRPr="00E07C9A" w:rsidRDefault="00802958" w:rsidP="00487A02">
            <w:pPr>
              <w:pStyle w:val="InstructionsText"/>
              <w:rPr>
                <w:rStyle w:val="InstructionsTabelleberschrift"/>
                <w:rFonts w:ascii="Times New Roman" w:hAnsi="Times New Roman"/>
                <w:bCs w:val="0"/>
                <w:sz w:val="24"/>
              </w:rPr>
            </w:pPr>
            <w:r w:rsidRPr="00E07C9A">
              <w:rPr>
                <w:rStyle w:val="InstructionsTabelleberschrift"/>
                <w:rFonts w:ascii="Times New Roman" w:hAnsi="Times New Roman"/>
                <w:sz w:val="24"/>
              </w:rPr>
              <w:t>1.1.2.5.</w:t>
            </w:r>
            <w:r w:rsidRPr="00E07C9A">
              <w:tab/>
            </w:r>
            <w:r w:rsidRPr="00E07C9A">
              <w:rPr>
                <w:rStyle w:val="InstructionsTabelleberschrift"/>
                <w:rFonts w:ascii="Times New Roman" w:hAnsi="Times New Roman"/>
                <w:sz w:val="24"/>
              </w:rPr>
              <w:t>Iné aktíva, ktoré nemajú povahu kreditného záväzku</w:t>
            </w:r>
          </w:p>
          <w:p w14:paraId="36871DF6" w14:textId="4A3B342F" w:rsidR="00802958" w:rsidRPr="00E07C9A" w:rsidRDefault="00802958" w:rsidP="006A6822">
            <w:pPr>
              <w:rPr>
                <w:rStyle w:val="FormatvorlageInstructionsTabelleText"/>
                <w:rFonts w:ascii="Times New Roman" w:hAnsi="Times New Roman"/>
                <w:sz w:val="24"/>
              </w:rPr>
            </w:pPr>
            <w:r w:rsidRPr="00E07C9A">
              <w:rPr>
                <w:rStyle w:val="FormatvorlageInstructionsTabelleText"/>
                <w:rFonts w:ascii="Times New Roman" w:hAnsi="Times New Roman"/>
                <w:sz w:val="24"/>
              </w:rPr>
              <w:t>Vykazovaná hodnota je hodnota rizikovo váženej expozície vypočítaná podľa článku 156</w:t>
            </w:r>
            <w:r w:rsidRPr="00E07C9A">
              <w:rPr>
                <w:rFonts w:ascii="Times New Roman" w:hAnsi="Times New Roman"/>
                <w:sz w:val="24"/>
              </w:rPr>
              <w:t xml:space="preserve"> nariadenia (EÚ) </w:t>
            </w:r>
            <w:r w:rsidR="009912F8" w:rsidRPr="00E07C9A">
              <w:rPr>
                <w:rFonts w:ascii="Times New Roman" w:hAnsi="Times New Roman"/>
                <w:sz w:val="24"/>
              </w:rPr>
              <w:t>č. 575/2013</w:t>
            </w:r>
            <w:r w:rsidRPr="00E07C9A">
              <w:rPr>
                <w:rStyle w:val="FormatvorlageInstructionsTabelleText"/>
                <w:rFonts w:ascii="Times New Roman" w:hAnsi="Times New Roman"/>
                <w:sz w:val="24"/>
              </w:rPr>
              <w:t xml:space="preserve">. </w:t>
            </w:r>
          </w:p>
        </w:tc>
      </w:tr>
      <w:tr w:rsidR="00B03CD3" w:rsidRPr="00E07C9A" w14:paraId="1F098548" w14:textId="77777777" w:rsidTr="00672D2A">
        <w:tc>
          <w:tcPr>
            <w:tcW w:w="1591" w:type="dxa"/>
          </w:tcPr>
          <w:p w14:paraId="36C495C8" w14:textId="35E1B3F2" w:rsidR="00B03CD3" w:rsidRPr="00E07C9A" w:rsidRDefault="00B03CD3"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0455</w:t>
            </w:r>
          </w:p>
        </w:tc>
        <w:tc>
          <w:tcPr>
            <w:tcW w:w="7274" w:type="dxa"/>
          </w:tcPr>
          <w:p w14:paraId="032E1BBE" w14:textId="521F78C0" w:rsidR="00B03CD3" w:rsidRPr="00E07C9A" w:rsidRDefault="00B03CD3" w:rsidP="00B03CD3">
            <w:pPr>
              <w:pStyle w:val="InstructionsText"/>
              <w:rPr>
                <w:rStyle w:val="InstructionsTabelleberschrift"/>
                <w:rFonts w:ascii="Times New Roman" w:hAnsi="Times New Roman"/>
                <w:bCs w:val="0"/>
                <w:sz w:val="24"/>
              </w:rPr>
            </w:pPr>
            <w:r w:rsidRPr="00E07C9A">
              <w:rPr>
                <w:rStyle w:val="InstructionsTabelleberschrift"/>
                <w:rFonts w:ascii="Times New Roman" w:hAnsi="Times New Roman"/>
                <w:sz w:val="24"/>
              </w:rPr>
              <w:t xml:space="preserve">1.1.2.5.1 </w:t>
            </w:r>
            <w:r w:rsidRPr="00E07C9A">
              <w:tab/>
            </w:r>
            <w:r w:rsidRPr="00E07C9A">
              <w:rPr>
                <w:rStyle w:val="InstructionsTabelleberschrift"/>
                <w:rFonts w:ascii="Times New Roman" w:hAnsi="Times New Roman"/>
                <w:sz w:val="24"/>
              </w:rPr>
              <w:t>Z čoho: softvérové aktíva účtované ako nehmotné aktíva</w:t>
            </w:r>
          </w:p>
          <w:p w14:paraId="2EB2DE5E" w14:textId="3118940D" w:rsidR="00B03CD3" w:rsidRPr="00E07C9A" w:rsidRDefault="00B03CD3" w:rsidP="00566DB5">
            <w:pPr>
              <w:pStyle w:val="InstructionsText"/>
              <w:rPr>
                <w:rStyle w:val="InstructionsTabelleberschrift"/>
                <w:rFonts w:ascii="Times New Roman" w:hAnsi="Times New Roman"/>
                <w:sz w:val="24"/>
              </w:rPr>
            </w:pPr>
            <w:r w:rsidRPr="00E07C9A">
              <w:rPr>
                <w:rStyle w:val="FormatvorlageInstructionsTabelleText"/>
                <w:rFonts w:ascii="Times New Roman" w:hAnsi="Times New Roman"/>
                <w:sz w:val="24"/>
              </w:rPr>
              <w:t>Hodnota rizikovo váženej expozície týkajúca sa časti softvérových aktív účtovaných ako nehmotné aktíva, ktorá nie je odpočítaná od položiek CET1</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súlade</w:t>
            </w:r>
            <w:r w:rsidR="009912F8" w:rsidRPr="00E07C9A">
              <w:rPr>
                <w:rStyle w:val="FormatvorlageInstructionsTabelleText"/>
                <w:rFonts w:ascii="Times New Roman" w:hAnsi="Times New Roman"/>
                <w:sz w:val="24"/>
              </w:rPr>
              <w:t xml:space="preserve"> s </w:t>
            </w:r>
            <w:r w:rsidRPr="00E07C9A">
              <w:rPr>
                <w:rStyle w:val="FormatvorlageInstructionsTabelleText"/>
                <w:rFonts w:ascii="Times New Roman" w:hAnsi="Times New Roman"/>
                <w:sz w:val="24"/>
              </w:rPr>
              <w:t>článkom 36 ods. 1 písm. b)</w:t>
            </w:r>
            <w:r w:rsidRPr="00E07C9A">
              <w:t xml:space="preserve"> nariadenia (EÚ) </w:t>
            </w:r>
            <w:r w:rsidR="009912F8" w:rsidRPr="00E07C9A">
              <w:t>č. 575/2013</w:t>
            </w:r>
            <w:r w:rsidRPr="00E07C9A">
              <w:rPr>
                <w:rStyle w:val="FormatvorlageInstructionsTabelleText"/>
                <w:rFonts w:ascii="Times New Roman" w:hAnsi="Times New Roman"/>
                <w:sz w:val="24"/>
              </w:rPr>
              <w:t>, ale je rizikovo vážená</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súlade</w:t>
            </w:r>
            <w:r w:rsidR="009912F8" w:rsidRPr="00E07C9A">
              <w:rPr>
                <w:rStyle w:val="FormatvorlageInstructionsTabelleText"/>
                <w:rFonts w:ascii="Times New Roman" w:hAnsi="Times New Roman"/>
                <w:sz w:val="24"/>
              </w:rPr>
              <w:t xml:space="preserve"> s </w:t>
            </w:r>
            <w:r w:rsidRPr="00E07C9A">
              <w:rPr>
                <w:rStyle w:val="FormatvorlageInstructionsTabelleText"/>
                <w:rFonts w:ascii="Times New Roman" w:hAnsi="Times New Roman"/>
                <w:sz w:val="24"/>
              </w:rPr>
              <w:t>článkom 156</w:t>
            </w:r>
            <w:r w:rsidRPr="00E07C9A">
              <w:t xml:space="preserve"> uvedeného nariadenia</w:t>
            </w:r>
            <w:r w:rsidRPr="00E07C9A">
              <w:rPr>
                <w:rStyle w:val="FormatvorlageInstructionsTabelleText"/>
                <w:rFonts w:ascii="Times New Roman" w:hAnsi="Times New Roman"/>
                <w:sz w:val="24"/>
              </w:rPr>
              <w:t>.</w:t>
            </w:r>
          </w:p>
        </w:tc>
      </w:tr>
      <w:tr w:rsidR="00802958" w:rsidRPr="00E07C9A" w14:paraId="29C0D40B" w14:textId="77777777" w:rsidTr="00672D2A">
        <w:tc>
          <w:tcPr>
            <w:tcW w:w="1591" w:type="dxa"/>
          </w:tcPr>
          <w:p w14:paraId="0F519400" w14:textId="77777777" w:rsidR="00802958" w:rsidRPr="00E07C9A" w:rsidRDefault="00B13F06"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0460</w:t>
            </w:r>
          </w:p>
        </w:tc>
        <w:tc>
          <w:tcPr>
            <w:tcW w:w="7274" w:type="dxa"/>
          </w:tcPr>
          <w:p w14:paraId="47A77E12" w14:textId="77777777" w:rsidR="00802958" w:rsidRPr="00E07C9A" w:rsidRDefault="00802958"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1.1.3.</w:t>
            </w:r>
            <w:r w:rsidRPr="00E07C9A">
              <w:tab/>
            </w:r>
            <w:r w:rsidRPr="00E07C9A">
              <w:rPr>
                <w:rStyle w:val="InstructionsTabelleberschrift"/>
                <w:rFonts w:ascii="Times New Roman" w:hAnsi="Times New Roman"/>
                <w:sz w:val="24"/>
              </w:rPr>
              <w:t>Hodnota rizikovej expozície pri príspevkoch do fondu pre prípad zlyhania CCP</w:t>
            </w:r>
          </w:p>
          <w:p w14:paraId="7F9C499C" w14:textId="3AB1CBA8" w:rsidR="00802958" w:rsidRPr="00E07C9A" w:rsidRDefault="00802958" w:rsidP="00167619">
            <w:pPr>
              <w:rPr>
                <w:rStyle w:val="FormatvorlageInstructionsTabelleText"/>
                <w:rFonts w:ascii="Times New Roman" w:hAnsi="Times New Roman"/>
                <w:sz w:val="24"/>
              </w:rPr>
            </w:pPr>
            <w:r w:rsidRPr="00E07C9A">
              <w:rPr>
                <w:rStyle w:val="FormatvorlageInstructionsTabelleText"/>
                <w:rFonts w:ascii="Times New Roman" w:hAnsi="Times New Roman"/>
                <w:sz w:val="24"/>
              </w:rPr>
              <w:t>Články 307, 308</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 xml:space="preserve">309 nariadenia (EÚ) </w:t>
            </w:r>
            <w:r w:rsidR="009912F8" w:rsidRPr="00E07C9A">
              <w:rPr>
                <w:rStyle w:val="FormatvorlageInstructionsTabelleText"/>
                <w:rFonts w:ascii="Times New Roman" w:hAnsi="Times New Roman"/>
                <w:sz w:val="24"/>
              </w:rPr>
              <w:t>č. 575/2013</w:t>
            </w:r>
          </w:p>
        </w:tc>
      </w:tr>
      <w:tr w:rsidR="00802958" w:rsidRPr="00E07C9A" w14:paraId="591130F4" w14:textId="77777777" w:rsidTr="00672D2A">
        <w:tc>
          <w:tcPr>
            <w:tcW w:w="1591" w:type="dxa"/>
          </w:tcPr>
          <w:p w14:paraId="659372E6" w14:textId="77777777" w:rsidR="00802958" w:rsidRPr="00E07C9A" w:rsidRDefault="00B13F06"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0470</w:t>
            </w:r>
          </w:p>
        </w:tc>
        <w:tc>
          <w:tcPr>
            <w:tcW w:w="7274" w:type="dxa"/>
          </w:tcPr>
          <w:p w14:paraId="64ABD7A4" w14:textId="11C98F62" w:rsidR="00802958" w:rsidRPr="00E07C9A" w:rsidRDefault="00802958"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1.1.4. Sekuritizačné pozície</w:t>
            </w:r>
          </w:p>
          <w:p w14:paraId="2F7C929C" w14:textId="77777777" w:rsidR="00802958" w:rsidRPr="00E07C9A" w:rsidRDefault="00802958" w:rsidP="00487A02">
            <w:pPr>
              <w:pStyle w:val="InstructionsText"/>
              <w:rPr>
                <w:rStyle w:val="InstructionsTabelleberschrift"/>
                <w:rFonts w:ascii="Times New Roman" w:hAnsi="Times New Roman"/>
                <w:sz w:val="24"/>
              </w:rPr>
            </w:pPr>
            <w:r w:rsidRPr="00E07C9A">
              <w:rPr>
                <w:rStyle w:val="FormatvorlageInstructionsTabelleText"/>
                <w:rFonts w:ascii="Times New Roman" w:hAnsi="Times New Roman"/>
                <w:sz w:val="24"/>
              </w:rPr>
              <w:t>Pozri vzor CR SETT.</w:t>
            </w:r>
          </w:p>
        </w:tc>
      </w:tr>
      <w:tr w:rsidR="00802958" w:rsidRPr="00E07C9A" w14:paraId="21E25F57" w14:textId="77777777" w:rsidTr="00672D2A">
        <w:tc>
          <w:tcPr>
            <w:tcW w:w="1591" w:type="dxa"/>
          </w:tcPr>
          <w:p w14:paraId="038FE905" w14:textId="77777777" w:rsidR="00802958" w:rsidRPr="00E07C9A" w:rsidRDefault="00B13F06"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0490</w:t>
            </w:r>
          </w:p>
        </w:tc>
        <w:tc>
          <w:tcPr>
            <w:tcW w:w="7274" w:type="dxa"/>
          </w:tcPr>
          <w:p w14:paraId="42EB1944" w14:textId="77777777" w:rsidR="00802958" w:rsidRPr="00E07C9A" w:rsidRDefault="00802958" w:rsidP="00487A02">
            <w:pPr>
              <w:pStyle w:val="InstructionsText"/>
              <w:rPr>
                <w:rStyle w:val="InstructionsTabelleberschrift"/>
                <w:rFonts w:ascii="Times New Roman" w:hAnsi="Times New Roman"/>
                <w:strike/>
                <w:sz w:val="24"/>
              </w:rPr>
            </w:pPr>
            <w:r w:rsidRPr="00E07C9A">
              <w:rPr>
                <w:rStyle w:val="InstructionsTabelleberschrift"/>
                <w:rFonts w:ascii="Times New Roman" w:hAnsi="Times New Roman"/>
                <w:sz w:val="24"/>
              </w:rPr>
              <w:t>1.2.</w:t>
            </w:r>
            <w:r w:rsidRPr="00E07C9A">
              <w:tab/>
            </w:r>
            <w:r w:rsidRPr="00E07C9A">
              <w:rPr>
                <w:rStyle w:val="InstructionsTabelleberschrift"/>
                <w:rFonts w:ascii="Times New Roman" w:hAnsi="Times New Roman"/>
                <w:sz w:val="24"/>
              </w:rPr>
              <w:t>CELKOVÁ HODNOTA RIZIKOVEJ EXPOZÍCIE PRE RIZIKÁ VYROVNANIA/DODANIA</w:t>
            </w:r>
          </w:p>
          <w:p w14:paraId="5035253C" w14:textId="67DE8A43" w:rsidR="00802958" w:rsidRPr="00E07C9A" w:rsidRDefault="00802958" w:rsidP="002A67C8">
            <w:pPr>
              <w:rPr>
                <w:rStyle w:val="FormatvorlageInstructionsTabelleText"/>
                <w:rFonts w:ascii="Times New Roman" w:hAnsi="Times New Roman"/>
                <w:sz w:val="24"/>
              </w:rPr>
            </w:pPr>
            <w:r w:rsidRPr="00E07C9A">
              <w:rPr>
                <w:rStyle w:val="FormatvorlageInstructionsTabelleText"/>
                <w:rFonts w:ascii="Times New Roman" w:hAnsi="Times New Roman"/>
                <w:sz w:val="24"/>
              </w:rPr>
              <w:t>Článok 92 ods. 3 písm. c) bod ii)</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 xml:space="preserve">článok 92 ods. 4 písm. b) nariadenia (EÚ) </w:t>
            </w:r>
            <w:r w:rsidR="009912F8" w:rsidRPr="00E07C9A">
              <w:rPr>
                <w:rStyle w:val="FormatvorlageInstructionsTabelleText"/>
                <w:rFonts w:ascii="Times New Roman" w:hAnsi="Times New Roman"/>
                <w:sz w:val="24"/>
              </w:rPr>
              <w:t>č. 575/2013</w:t>
            </w:r>
          </w:p>
        </w:tc>
      </w:tr>
      <w:tr w:rsidR="00802958" w:rsidRPr="00E07C9A" w14:paraId="5B8A1994" w14:textId="77777777" w:rsidTr="00672D2A">
        <w:tc>
          <w:tcPr>
            <w:tcW w:w="1591" w:type="dxa"/>
          </w:tcPr>
          <w:p w14:paraId="04705FB4" w14:textId="77777777" w:rsidR="00802958" w:rsidRPr="00E07C9A" w:rsidRDefault="00B13F06"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0500</w:t>
            </w:r>
          </w:p>
        </w:tc>
        <w:tc>
          <w:tcPr>
            <w:tcW w:w="7274" w:type="dxa"/>
          </w:tcPr>
          <w:p w14:paraId="661440B9" w14:textId="57E8A372" w:rsidR="00802958" w:rsidRPr="00E07C9A" w:rsidRDefault="00802958" w:rsidP="00487A02">
            <w:pPr>
              <w:pStyle w:val="InstructionsText"/>
              <w:rPr>
                <w:rStyle w:val="InstructionsTabelleberschrift"/>
                <w:rFonts w:ascii="Times New Roman" w:hAnsi="Times New Roman"/>
                <w:bCs w:val="0"/>
                <w:sz w:val="24"/>
              </w:rPr>
            </w:pPr>
            <w:r w:rsidRPr="00E07C9A">
              <w:rPr>
                <w:rStyle w:val="InstructionsTabelleberschrift"/>
                <w:rFonts w:ascii="Times New Roman" w:hAnsi="Times New Roman"/>
                <w:sz w:val="24"/>
              </w:rPr>
              <w:t>1.2.1.</w:t>
            </w:r>
            <w:r w:rsidRPr="00E07C9A">
              <w:tab/>
            </w:r>
            <w:r w:rsidRPr="00E07C9A">
              <w:rPr>
                <w:rStyle w:val="InstructionsTabelleberschrift"/>
                <w:rFonts w:ascii="Times New Roman" w:hAnsi="Times New Roman"/>
                <w:sz w:val="24"/>
              </w:rPr>
              <w:t>Riziko vyrovnania/dodania</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neobchodnej knihe</w:t>
            </w:r>
          </w:p>
          <w:p w14:paraId="3203EC39" w14:textId="77777777" w:rsidR="00802958" w:rsidRPr="00E07C9A" w:rsidRDefault="00802958" w:rsidP="00802958">
            <w:pPr>
              <w:rPr>
                <w:rStyle w:val="FormatvorlageInstructionsTabelleText"/>
                <w:rFonts w:ascii="Times New Roman" w:hAnsi="Times New Roman"/>
                <w:sz w:val="24"/>
              </w:rPr>
            </w:pPr>
            <w:r w:rsidRPr="00E07C9A">
              <w:rPr>
                <w:rStyle w:val="FormatvorlageInstructionsTabelleText"/>
                <w:rFonts w:ascii="Times New Roman" w:hAnsi="Times New Roman"/>
                <w:sz w:val="24"/>
              </w:rPr>
              <w:t>Pozri vzor CR SETT.</w:t>
            </w:r>
          </w:p>
        </w:tc>
      </w:tr>
      <w:tr w:rsidR="00802958" w:rsidRPr="00E07C9A" w14:paraId="7E42F7AD" w14:textId="77777777" w:rsidTr="00672D2A">
        <w:tc>
          <w:tcPr>
            <w:tcW w:w="1591" w:type="dxa"/>
          </w:tcPr>
          <w:p w14:paraId="5C04188F" w14:textId="77777777" w:rsidR="00802958" w:rsidRPr="00E07C9A" w:rsidRDefault="00B13F06"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0510</w:t>
            </w:r>
          </w:p>
        </w:tc>
        <w:tc>
          <w:tcPr>
            <w:tcW w:w="7274" w:type="dxa"/>
          </w:tcPr>
          <w:p w14:paraId="242EFEF7" w14:textId="4CFBB46B" w:rsidR="00802958" w:rsidRPr="00E07C9A" w:rsidRDefault="00802958" w:rsidP="00487A02">
            <w:pPr>
              <w:pStyle w:val="InstructionsText"/>
              <w:rPr>
                <w:rStyle w:val="InstructionsTabelleberschrift"/>
                <w:rFonts w:ascii="Times New Roman" w:hAnsi="Times New Roman"/>
                <w:bCs w:val="0"/>
                <w:sz w:val="24"/>
              </w:rPr>
            </w:pPr>
            <w:r w:rsidRPr="00E07C9A">
              <w:rPr>
                <w:rStyle w:val="InstructionsTabelleberschrift"/>
                <w:rFonts w:ascii="Times New Roman" w:hAnsi="Times New Roman"/>
                <w:sz w:val="24"/>
              </w:rPr>
              <w:t>1.2.2.</w:t>
            </w:r>
            <w:r w:rsidRPr="00E07C9A">
              <w:tab/>
            </w:r>
            <w:r w:rsidRPr="00E07C9A">
              <w:rPr>
                <w:rStyle w:val="InstructionsTabelleberschrift"/>
                <w:rFonts w:ascii="Times New Roman" w:hAnsi="Times New Roman"/>
                <w:sz w:val="24"/>
              </w:rPr>
              <w:t>Riziko vyrovnania/dodania</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obchodnej knihe</w:t>
            </w:r>
          </w:p>
          <w:p w14:paraId="39F81B7A" w14:textId="77777777" w:rsidR="00802958" w:rsidRPr="00E07C9A" w:rsidRDefault="00802958" w:rsidP="00802958">
            <w:pPr>
              <w:rPr>
                <w:rStyle w:val="FormatvorlageInstructionsTabelleText"/>
                <w:rFonts w:ascii="Times New Roman" w:hAnsi="Times New Roman"/>
                <w:sz w:val="24"/>
              </w:rPr>
            </w:pPr>
            <w:r w:rsidRPr="00E07C9A">
              <w:rPr>
                <w:rStyle w:val="FormatvorlageInstructionsTabelleText"/>
                <w:rFonts w:ascii="Times New Roman" w:hAnsi="Times New Roman"/>
                <w:sz w:val="24"/>
              </w:rPr>
              <w:t>Pozri vzor CR SETT.</w:t>
            </w:r>
          </w:p>
        </w:tc>
      </w:tr>
      <w:tr w:rsidR="00802958" w:rsidRPr="00E07C9A" w14:paraId="64924B29" w14:textId="77777777" w:rsidTr="00672D2A">
        <w:tc>
          <w:tcPr>
            <w:tcW w:w="1591" w:type="dxa"/>
          </w:tcPr>
          <w:p w14:paraId="6A249850" w14:textId="77777777" w:rsidR="00802958" w:rsidRPr="00E07C9A" w:rsidRDefault="00B13F06"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0520</w:t>
            </w:r>
          </w:p>
        </w:tc>
        <w:tc>
          <w:tcPr>
            <w:tcW w:w="7274" w:type="dxa"/>
          </w:tcPr>
          <w:p w14:paraId="1E3AFEF3" w14:textId="77777777" w:rsidR="009912F8" w:rsidRPr="00E07C9A" w:rsidRDefault="00802958"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1.3.</w:t>
            </w:r>
            <w:r w:rsidRPr="00E07C9A">
              <w:tab/>
            </w:r>
            <w:r w:rsidRPr="00E07C9A">
              <w:rPr>
                <w:rStyle w:val="InstructionsTabelleberschrift"/>
                <w:rFonts w:ascii="Times New Roman" w:hAnsi="Times New Roman"/>
                <w:sz w:val="24"/>
              </w:rPr>
              <w:t>CELKOVÁ HODNOTA RIZIKOVEJ EXPOZÍCIE PRE POZIČNÉ, DEVÍZOVÉ A KOMODITNÉ RIZIKO</w:t>
            </w:r>
          </w:p>
          <w:p w14:paraId="69A11AE9" w14:textId="2C091425" w:rsidR="00802958" w:rsidRPr="00E07C9A" w:rsidRDefault="00802958" w:rsidP="00EA6388">
            <w:pPr>
              <w:pStyle w:val="InstructionsText"/>
              <w:rPr>
                <w:rStyle w:val="FormatvorlageInstructionsTabelleText"/>
                <w:rFonts w:ascii="Times New Roman" w:hAnsi="Times New Roman"/>
                <w:bCs w:val="0"/>
                <w:sz w:val="24"/>
              </w:rPr>
            </w:pPr>
            <w:r w:rsidRPr="00E07C9A">
              <w:rPr>
                <w:rStyle w:val="FormatvorlageInstructionsTabelleText"/>
                <w:rFonts w:ascii="Times New Roman" w:hAnsi="Times New Roman"/>
                <w:sz w:val="24"/>
              </w:rPr>
              <w:t>Článok 92 ods. 3 písm. b) bod i), písm. c) bod i), písm. c) bod iii)</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článok 92 ods. 4 písm. b)</w:t>
            </w:r>
            <w:r w:rsidRPr="00E07C9A">
              <w:t xml:space="preserve"> nariadenia (EÚ) </w:t>
            </w:r>
            <w:r w:rsidR="009912F8" w:rsidRPr="00E07C9A">
              <w:t>č. 575/2013</w:t>
            </w:r>
          </w:p>
        </w:tc>
      </w:tr>
      <w:tr w:rsidR="00802958" w:rsidRPr="00E07C9A" w14:paraId="4E13A3FC" w14:textId="77777777" w:rsidTr="00672D2A">
        <w:tc>
          <w:tcPr>
            <w:tcW w:w="1591" w:type="dxa"/>
          </w:tcPr>
          <w:p w14:paraId="5B5A6106" w14:textId="77777777" w:rsidR="00802958" w:rsidRPr="00E07C9A" w:rsidRDefault="00B13F06"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0530</w:t>
            </w:r>
          </w:p>
        </w:tc>
        <w:tc>
          <w:tcPr>
            <w:tcW w:w="7274" w:type="dxa"/>
          </w:tcPr>
          <w:p w14:paraId="35490A0F" w14:textId="775A5C7B" w:rsidR="00802958" w:rsidRPr="00E07C9A" w:rsidRDefault="00802958" w:rsidP="00487A02">
            <w:pPr>
              <w:pStyle w:val="InstructionsText"/>
              <w:rPr>
                <w:rStyle w:val="FormatvorlageInstructionsTabelleText"/>
                <w:rFonts w:ascii="Times New Roman" w:hAnsi="Times New Roman"/>
                <w:b/>
                <w:sz w:val="24"/>
                <w:u w:val="single"/>
              </w:rPr>
            </w:pPr>
            <w:r w:rsidRPr="00E07C9A">
              <w:rPr>
                <w:rStyle w:val="InstructionsTabelleberschrift"/>
                <w:rFonts w:ascii="Times New Roman" w:hAnsi="Times New Roman"/>
                <w:sz w:val="24"/>
              </w:rPr>
              <w:t>1.3.1.</w:t>
            </w:r>
            <w:r w:rsidRPr="00E07C9A">
              <w:tab/>
            </w:r>
            <w:r w:rsidRPr="00E07C9A">
              <w:rPr>
                <w:rStyle w:val="InstructionsTabelleberschrift"/>
                <w:rFonts w:ascii="Times New Roman" w:hAnsi="Times New Roman"/>
                <w:sz w:val="24"/>
              </w:rPr>
              <w:t>Hodnota rizikovej expozície pre pozičné, devízové</w:t>
            </w:r>
            <w:r w:rsidR="009912F8" w:rsidRPr="00E07C9A">
              <w:rPr>
                <w:rStyle w:val="InstructionsTabelleberschrift"/>
                <w:rFonts w:ascii="Times New Roman" w:hAnsi="Times New Roman"/>
                <w:sz w:val="24"/>
              </w:rPr>
              <w:t xml:space="preserve"> a </w:t>
            </w:r>
            <w:r w:rsidRPr="00E07C9A">
              <w:rPr>
                <w:rStyle w:val="InstructionsTabelleberschrift"/>
                <w:rFonts w:ascii="Times New Roman" w:hAnsi="Times New Roman"/>
                <w:sz w:val="24"/>
              </w:rPr>
              <w:t>komoditné riziko</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rámci štandardizovaných prístupov (SA)</w:t>
            </w:r>
          </w:p>
        </w:tc>
      </w:tr>
      <w:tr w:rsidR="00802958" w:rsidRPr="00E07C9A" w14:paraId="3FA5586E" w14:textId="77777777" w:rsidTr="00672D2A">
        <w:tc>
          <w:tcPr>
            <w:tcW w:w="1591" w:type="dxa"/>
          </w:tcPr>
          <w:p w14:paraId="6286DFC6" w14:textId="77777777" w:rsidR="00802958" w:rsidRPr="00E07C9A" w:rsidRDefault="00B13F06"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0540</w:t>
            </w:r>
          </w:p>
        </w:tc>
        <w:tc>
          <w:tcPr>
            <w:tcW w:w="7274" w:type="dxa"/>
          </w:tcPr>
          <w:p w14:paraId="6B4397FA" w14:textId="77777777" w:rsidR="00802958" w:rsidRPr="00E07C9A" w:rsidRDefault="00802958" w:rsidP="00487A02">
            <w:pPr>
              <w:pStyle w:val="InstructionsText"/>
              <w:rPr>
                <w:rStyle w:val="InstructionsTabelleberschrift"/>
                <w:rFonts w:ascii="Times New Roman" w:hAnsi="Times New Roman"/>
                <w:bCs w:val="0"/>
                <w:sz w:val="24"/>
              </w:rPr>
            </w:pPr>
            <w:r w:rsidRPr="00E07C9A">
              <w:rPr>
                <w:rStyle w:val="InstructionsTabelleberschrift"/>
                <w:rFonts w:ascii="Times New Roman" w:hAnsi="Times New Roman"/>
                <w:sz w:val="24"/>
              </w:rPr>
              <w:t>1.3.1.1.</w:t>
            </w:r>
            <w:r w:rsidRPr="00E07C9A">
              <w:tab/>
            </w:r>
            <w:r w:rsidRPr="00E07C9A">
              <w:rPr>
                <w:rStyle w:val="InstructionsTabelleberschrift"/>
                <w:rFonts w:ascii="Times New Roman" w:hAnsi="Times New Roman"/>
                <w:sz w:val="24"/>
              </w:rPr>
              <w:t>Obchodované dlhové nástroje</w:t>
            </w:r>
          </w:p>
          <w:p w14:paraId="1B2A44FD" w14:textId="77777777" w:rsidR="00802958" w:rsidRPr="00E07C9A" w:rsidRDefault="00802958" w:rsidP="00487A02">
            <w:pPr>
              <w:pStyle w:val="InstructionsText"/>
              <w:rPr>
                <w:rStyle w:val="FormatvorlageInstructionsTabelleText"/>
                <w:rFonts w:ascii="Times New Roman" w:hAnsi="Times New Roman"/>
                <w:bCs w:val="0"/>
                <w:sz w:val="24"/>
              </w:rPr>
            </w:pPr>
            <w:r w:rsidRPr="00E07C9A">
              <w:rPr>
                <w:rStyle w:val="InstructionsTabelleberschrift"/>
                <w:rFonts w:ascii="Times New Roman" w:hAnsi="Times New Roman"/>
                <w:b w:val="0"/>
                <w:sz w:val="24"/>
                <w:u w:val="none"/>
              </w:rPr>
              <w:t>Vzor MKR SA TDI na úrovni všetkých mien</w:t>
            </w:r>
          </w:p>
        </w:tc>
      </w:tr>
      <w:tr w:rsidR="00802958" w:rsidRPr="00E07C9A" w14:paraId="2EF9AA36" w14:textId="77777777" w:rsidTr="00672D2A">
        <w:tc>
          <w:tcPr>
            <w:tcW w:w="1591" w:type="dxa"/>
          </w:tcPr>
          <w:p w14:paraId="453E487B" w14:textId="77777777" w:rsidR="00802958" w:rsidRPr="00E07C9A" w:rsidRDefault="00B13F06"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0550</w:t>
            </w:r>
          </w:p>
        </w:tc>
        <w:tc>
          <w:tcPr>
            <w:tcW w:w="7274" w:type="dxa"/>
          </w:tcPr>
          <w:p w14:paraId="016F6C55" w14:textId="77777777" w:rsidR="00802958" w:rsidRPr="00E07C9A" w:rsidRDefault="00802958" w:rsidP="00487A02">
            <w:pPr>
              <w:pStyle w:val="InstructionsText"/>
              <w:rPr>
                <w:rStyle w:val="InstructionsTabelleberschrift"/>
                <w:rFonts w:ascii="Times New Roman" w:hAnsi="Times New Roman"/>
                <w:bCs w:val="0"/>
                <w:sz w:val="24"/>
              </w:rPr>
            </w:pPr>
            <w:r w:rsidRPr="00E07C9A">
              <w:rPr>
                <w:rStyle w:val="InstructionsTabelleberschrift"/>
                <w:rFonts w:ascii="Times New Roman" w:hAnsi="Times New Roman"/>
                <w:sz w:val="24"/>
              </w:rPr>
              <w:t>1.3.1.2.</w:t>
            </w:r>
            <w:r w:rsidRPr="00E07C9A">
              <w:tab/>
            </w:r>
            <w:r w:rsidRPr="00E07C9A">
              <w:rPr>
                <w:rStyle w:val="InstructionsTabelleberschrift"/>
                <w:rFonts w:ascii="Times New Roman" w:hAnsi="Times New Roman"/>
                <w:sz w:val="24"/>
              </w:rPr>
              <w:t>Vlastné imanie</w:t>
            </w:r>
          </w:p>
          <w:p w14:paraId="2A9B9D98" w14:textId="77777777" w:rsidR="00802958" w:rsidRPr="00E07C9A" w:rsidRDefault="00802958" w:rsidP="00802958">
            <w:pPr>
              <w:rPr>
                <w:rStyle w:val="FormatvorlageInstructionsTabelleText"/>
                <w:rFonts w:ascii="Times New Roman" w:hAnsi="Times New Roman"/>
                <w:sz w:val="24"/>
              </w:rPr>
            </w:pPr>
            <w:r w:rsidRPr="00E07C9A">
              <w:rPr>
                <w:rStyle w:val="FormatvorlageInstructionsTabelleText"/>
                <w:rFonts w:ascii="Times New Roman" w:hAnsi="Times New Roman"/>
                <w:sz w:val="24"/>
              </w:rPr>
              <w:t xml:space="preserve">Vzor MKR SA EQU na úrovni všetkých vnútroštátnych trhov </w:t>
            </w:r>
          </w:p>
        </w:tc>
      </w:tr>
      <w:tr w:rsidR="00802958" w:rsidRPr="00E07C9A" w14:paraId="14C6BEE1" w14:textId="77777777" w:rsidTr="00672D2A">
        <w:tc>
          <w:tcPr>
            <w:tcW w:w="1591" w:type="dxa"/>
          </w:tcPr>
          <w:p w14:paraId="3B039E5D" w14:textId="77777777" w:rsidR="00802958" w:rsidRPr="00E07C9A" w:rsidRDefault="00B13F06"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lastRenderedPageBreak/>
              <w:t>0555</w:t>
            </w:r>
          </w:p>
        </w:tc>
        <w:tc>
          <w:tcPr>
            <w:tcW w:w="7274" w:type="dxa"/>
          </w:tcPr>
          <w:p w14:paraId="14DF3595" w14:textId="3A56B19E" w:rsidR="00802958" w:rsidRPr="00E07C9A" w:rsidRDefault="00802958"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1.3.1.3.</w:t>
            </w:r>
            <w:r w:rsidRPr="00E07C9A">
              <w:tab/>
            </w:r>
            <w:r w:rsidRPr="00E07C9A">
              <w:rPr>
                <w:rStyle w:val="InstructionsTabelleberschrift"/>
                <w:rFonts w:ascii="Times New Roman" w:hAnsi="Times New Roman"/>
                <w:sz w:val="24"/>
              </w:rPr>
              <w:t>Osobitný prístup pre pozičné riziko</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PKI</w:t>
            </w:r>
          </w:p>
          <w:p w14:paraId="5217648D" w14:textId="5E332621" w:rsidR="00802958" w:rsidRPr="00E07C9A" w:rsidRDefault="00802958" w:rsidP="00802958">
            <w:pPr>
              <w:rPr>
                <w:rStyle w:val="FormatvorlageInstructionsTabelleText"/>
                <w:rFonts w:ascii="Times New Roman" w:hAnsi="Times New Roman"/>
                <w:sz w:val="24"/>
              </w:rPr>
            </w:pPr>
            <w:r w:rsidRPr="00E07C9A">
              <w:rPr>
                <w:rStyle w:val="FormatvorlageInstructionsTabelleText"/>
                <w:rFonts w:ascii="Times New Roman" w:hAnsi="Times New Roman"/>
                <w:sz w:val="24"/>
              </w:rPr>
              <w:t>Článok 348 ods. 1, článok 350 ods. 3 písm. c)</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 xml:space="preserve">článok 364 ods. 2 písm. a) nariadenia (EÚ) </w:t>
            </w:r>
            <w:r w:rsidR="009912F8" w:rsidRPr="00E07C9A">
              <w:rPr>
                <w:rStyle w:val="FormatvorlageInstructionsTabelleText"/>
                <w:rFonts w:ascii="Times New Roman" w:hAnsi="Times New Roman"/>
                <w:sz w:val="24"/>
              </w:rPr>
              <w:t>č. 575/2013</w:t>
            </w:r>
          </w:p>
          <w:p w14:paraId="667963BD" w14:textId="0AC325B4" w:rsidR="00802958" w:rsidRPr="00E07C9A" w:rsidRDefault="00802958" w:rsidP="00802958">
            <w:pPr>
              <w:rPr>
                <w:rStyle w:val="FormatvorlageInstructionsTabelleText"/>
                <w:rFonts w:ascii="Times New Roman" w:hAnsi="Times New Roman"/>
                <w:sz w:val="24"/>
              </w:rPr>
            </w:pPr>
            <w:r w:rsidRPr="00E07C9A">
              <w:rPr>
                <w:rStyle w:val="FormatvorlageInstructionsTabelleText"/>
                <w:rFonts w:ascii="Times New Roman" w:hAnsi="Times New Roman"/>
                <w:sz w:val="24"/>
              </w:rPr>
              <w:t>Celková hodnota rizikovej expozície pre pozície</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 xml:space="preserve">PKI, ak sa kapitálové požiadavky počítajú podľa článku 348 ods. 1 </w:t>
            </w:r>
            <w:r w:rsidRPr="00E07C9A">
              <w:rPr>
                <w:rFonts w:ascii="Times New Roman" w:hAnsi="Times New Roman"/>
                <w:sz w:val="24"/>
              </w:rPr>
              <w:t xml:space="preserve">nariadenia (EÚ) </w:t>
            </w:r>
            <w:r w:rsidR="009912F8" w:rsidRPr="00E07C9A">
              <w:rPr>
                <w:rFonts w:ascii="Times New Roman" w:hAnsi="Times New Roman"/>
                <w:sz w:val="24"/>
              </w:rPr>
              <w:t>č. 575/2013</w:t>
            </w:r>
            <w:r w:rsidRPr="00E07C9A">
              <w:rPr>
                <w:rStyle w:val="FormatvorlageInstructionsTabelleText"/>
                <w:rFonts w:ascii="Times New Roman" w:hAnsi="Times New Roman"/>
                <w:sz w:val="24"/>
              </w:rPr>
              <w:t>,</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to buď okamžite, alebo ako dôsledok horného ohraničenia uvedeného</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článku 350 ods. 3 písm. c) uvedeného nariadenia.</w:t>
            </w:r>
            <w:r w:rsidR="009912F8" w:rsidRPr="00E07C9A">
              <w:rPr>
                <w:rFonts w:ascii="Times New Roman" w:hAnsi="Times New Roman"/>
                <w:sz w:val="24"/>
              </w:rPr>
              <w:t xml:space="preserve"> V </w:t>
            </w:r>
            <w:r w:rsidRPr="00E07C9A">
              <w:rPr>
                <w:rFonts w:ascii="Times New Roman" w:hAnsi="Times New Roman"/>
                <w:sz w:val="24"/>
              </w:rPr>
              <w:t xml:space="preserve">nariadení (EÚ) </w:t>
            </w:r>
            <w:r w:rsidR="009912F8" w:rsidRPr="00E07C9A">
              <w:rPr>
                <w:rFonts w:ascii="Times New Roman" w:hAnsi="Times New Roman"/>
                <w:sz w:val="24"/>
              </w:rPr>
              <w:t>č. 575/2013</w:t>
            </w:r>
            <w:r w:rsidRPr="00E07C9A">
              <w:rPr>
                <w:rFonts w:ascii="Times New Roman" w:hAnsi="Times New Roman"/>
                <w:sz w:val="24"/>
              </w:rPr>
              <w:t xml:space="preserve"> </w:t>
            </w:r>
            <w:r w:rsidRPr="00E07C9A">
              <w:rPr>
                <w:rStyle w:val="FormatvorlageInstructionsTabelleText"/>
                <w:rFonts w:ascii="Times New Roman" w:hAnsi="Times New Roman"/>
                <w:sz w:val="24"/>
              </w:rPr>
              <w:t>sa tieto pozície výslovne nepriraďujú úrokovému riziku ani akciovému riziku.</w:t>
            </w:r>
          </w:p>
          <w:p w14:paraId="7725DB9C" w14:textId="7D2CD95E" w:rsidR="009912F8" w:rsidRPr="00E07C9A" w:rsidRDefault="00FF2818" w:rsidP="00802958">
            <w:pPr>
              <w:rPr>
                <w:rStyle w:val="FormatvorlageInstructionsTabelleText"/>
                <w:rFonts w:ascii="Times New Roman" w:hAnsi="Times New Roman"/>
                <w:sz w:val="24"/>
              </w:rPr>
            </w:pPr>
            <w:r w:rsidRPr="00E07C9A">
              <w:rPr>
                <w:rStyle w:val="FormatvorlageInstructionsTabelleText"/>
                <w:rFonts w:ascii="Times New Roman" w:hAnsi="Times New Roman"/>
                <w:sz w:val="24"/>
              </w:rPr>
              <w:t>Keď sa uplatňuje osobitný prístup ustanovený</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článku 348 ods. 1 prvej vete</w:t>
            </w:r>
            <w:r w:rsidRPr="00E07C9A">
              <w:rPr>
                <w:rFonts w:ascii="Times New Roman" w:hAnsi="Times New Roman"/>
                <w:sz w:val="24"/>
              </w:rPr>
              <w:t xml:space="preserve"> nariadenia (EÚ) </w:t>
            </w:r>
            <w:r w:rsidR="009912F8" w:rsidRPr="00E07C9A">
              <w:rPr>
                <w:rFonts w:ascii="Times New Roman" w:hAnsi="Times New Roman"/>
                <w:sz w:val="24"/>
              </w:rPr>
              <w:t>č. 575/2013</w:t>
            </w:r>
            <w:r w:rsidRPr="00E07C9A">
              <w:rPr>
                <w:rStyle w:val="FormatvorlageInstructionsTabelleText"/>
                <w:rFonts w:ascii="Times New Roman" w:hAnsi="Times New Roman"/>
                <w:sz w:val="24"/>
              </w:rPr>
              <w:t>, hodnota, ktorá sa má vykázať, je 32</w:t>
            </w:r>
            <w:r w:rsidR="009912F8" w:rsidRPr="00E07C9A">
              <w:rPr>
                <w:rStyle w:val="FormatvorlageInstructionsTabelleText"/>
                <w:rFonts w:ascii="Times New Roman" w:hAnsi="Times New Roman"/>
                <w:sz w:val="24"/>
              </w:rPr>
              <w:t> %</w:t>
            </w:r>
            <w:r w:rsidRPr="00E07C9A">
              <w:rPr>
                <w:rStyle w:val="FormatvorlageInstructionsTabelleText"/>
                <w:rFonts w:ascii="Times New Roman" w:hAnsi="Times New Roman"/>
                <w:sz w:val="24"/>
              </w:rPr>
              <w:t xml:space="preserve"> čistej pozície predmetnej expozície PKI vynásobená koeficientom 12,5</w:t>
            </w:r>
            <w:r w:rsidR="009912F8" w:rsidRPr="00E07C9A">
              <w:rPr>
                <w:rStyle w:val="FormatvorlageInstructionsTabelleText"/>
                <w:rFonts w:ascii="Times New Roman" w:hAnsi="Times New Roman"/>
                <w:sz w:val="24"/>
              </w:rPr>
              <w:t>.</w:t>
            </w:r>
          </w:p>
          <w:p w14:paraId="0B4C9A43" w14:textId="44E5AA57" w:rsidR="00802958" w:rsidRPr="00E07C9A" w:rsidRDefault="00FF2818" w:rsidP="006A6822">
            <w:pPr>
              <w:rPr>
                <w:rStyle w:val="InstructionsTabelleberschrift"/>
                <w:rFonts w:ascii="Times New Roman" w:hAnsi="Times New Roman"/>
                <w:sz w:val="24"/>
              </w:rPr>
            </w:pPr>
            <w:r w:rsidRPr="00E07C9A">
              <w:rPr>
                <w:rStyle w:val="FormatvorlageInstructionsTabelleText"/>
                <w:rFonts w:ascii="Times New Roman" w:hAnsi="Times New Roman"/>
                <w:sz w:val="24"/>
              </w:rPr>
              <w:t>Keď sa uplatňuje osobitný prístup ustanovený</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 xml:space="preserve">článku 348 ods. 1 druhej vete </w:t>
            </w:r>
            <w:r w:rsidRPr="00E07C9A">
              <w:rPr>
                <w:rFonts w:ascii="Times New Roman" w:hAnsi="Times New Roman"/>
                <w:sz w:val="24"/>
              </w:rPr>
              <w:t xml:space="preserve">nariadenia (EÚ) </w:t>
            </w:r>
            <w:r w:rsidR="009912F8" w:rsidRPr="00E07C9A">
              <w:rPr>
                <w:rFonts w:ascii="Times New Roman" w:hAnsi="Times New Roman"/>
                <w:sz w:val="24"/>
              </w:rPr>
              <w:t>č. 575/2013</w:t>
            </w:r>
            <w:r w:rsidRPr="00E07C9A">
              <w:rPr>
                <w:rFonts w:ascii="Times New Roman" w:hAnsi="Times New Roman"/>
                <w:sz w:val="24"/>
              </w:rPr>
              <w:t>,</w:t>
            </w:r>
            <w:r w:rsidR="009912F8" w:rsidRPr="00E07C9A">
              <w:rPr>
                <w:rFonts w:ascii="Times New Roman" w:hAnsi="Times New Roman"/>
                <w:sz w:val="24"/>
              </w:rPr>
              <w:t xml:space="preserve"> </w:t>
            </w:r>
            <w:r w:rsidRPr="00E07C9A">
              <w:rPr>
                <w:rStyle w:val="FormatvorlageInstructionsTabelleText"/>
                <w:rFonts w:ascii="Times New Roman" w:hAnsi="Times New Roman"/>
                <w:sz w:val="24"/>
              </w:rPr>
              <w:t>hodnota, ktorá sa má vykázať, je nižšia hodnota spomedzi 32</w:t>
            </w:r>
            <w:r w:rsidR="009912F8" w:rsidRPr="00E07C9A">
              <w:rPr>
                <w:rStyle w:val="FormatvorlageInstructionsTabelleText"/>
                <w:rFonts w:ascii="Times New Roman" w:hAnsi="Times New Roman"/>
                <w:sz w:val="24"/>
              </w:rPr>
              <w:t> %</w:t>
            </w:r>
            <w:r w:rsidRPr="00E07C9A">
              <w:rPr>
                <w:rStyle w:val="FormatvorlageInstructionsTabelleText"/>
                <w:rFonts w:ascii="Times New Roman" w:hAnsi="Times New Roman"/>
                <w:sz w:val="24"/>
              </w:rPr>
              <w:t xml:space="preserve"> čistej pozície príslušnej expozície PKI</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rozdielu medzi 40</w:t>
            </w:r>
            <w:r w:rsidR="009912F8" w:rsidRPr="00E07C9A">
              <w:rPr>
                <w:rFonts w:ascii="Times New Roman" w:hAnsi="Times New Roman"/>
              </w:rPr>
              <w:t xml:space="preserve"> </w:t>
            </w:r>
            <w:r w:rsidR="009912F8" w:rsidRPr="00E07C9A">
              <w:rPr>
                <w:rStyle w:val="FormatvorlageInstructionsTabelleText"/>
                <w:rFonts w:ascii="Times New Roman" w:hAnsi="Times New Roman"/>
                <w:sz w:val="24"/>
              </w:rPr>
              <w:t>%</w:t>
            </w:r>
            <w:r w:rsidRPr="00E07C9A">
              <w:rPr>
                <w:rStyle w:val="FormatvorlageInstructionsTabelleText"/>
                <w:rFonts w:ascii="Times New Roman" w:hAnsi="Times New Roman"/>
                <w:sz w:val="24"/>
              </w:rPr>
              <w:t xml:space="preserve"> tejto čistej pozície</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požiadavkami na vlastné zdroje, ktoré vyplývajú</w:t>
            </w:r>
            <w:r w:rsidR="009912F8" w:rsidRPr="00E07C9A">
              <w:rPr>
                <w:rStyle w:val="FormatvorlageInstructionsTabelleText"/>
                <w:rFonts w:ascii="Times New Roman" w:hAnsi="Times New Roman"/>
                <w:sz w:val="24"/>
              </w:rPr>
              <w:t xml:space="preserve"> z </w:t>
            </w:r>
            <w:r w:rsidRPr="00E07C9A">
              <w:rPr>
                <w:rStyle w:val="FormatvorlageInstructionsTabelleText"/>
                <w:rFonts w:ascii="Times New Roman" w:hAnsi="Times New Roman"/>
                <w:sz w:val="24"/>
              </w:rPr>
              <w:t>devízového rizika spojeného</w:t>
            </w:r>
            <w:r w:rsidR="009912F8" w:rsidRPr="00E07C9A">
              <w:rPr>
                <w:rStyle w:val="FormatvorlageInstructionsTabelleText"/>
                <w:rFonts w:ascii="Times New Roman" w:hAnsi="Times New Roman"/>
                <w:sz w:val="24"/>
              </w:rPr>
              <w:t xml:space="preserve"> s </w:t>
            </w:r>
            <w:r w:rsidRPr="00E07C9A">
              <w:rPr>
                <w:rStyle w:val="FormatvorlageInstructionsTabelleText"/>
                <w:rFonts w:ascii="Times New Roman" w:hAnsi="Times New Roman"/>
                <w:sz w:val="24"/>
              </w:rPr>
              <w:t>expozíciou PKI, vynásobená koeficientom 12,5.</w:t>
            </w:r>
          </w:p>
        </w:tc>
      </w:tr>
      <w:tr w:rsidR="00802958" w:rsidRPr="00E07C9A" w14:paraId="3630087F" w14:textId="77777777" w:rsidTr="00672D2A">
        <w:tc>
          <w:tcPr>
            <w:tcW w:w="1591" w:type="dxa"/>
          </w:tcPr>
          <w:p w14:paraId="27957C9B" w14:textId="77777777" w:rsidR="00802958" w:rsidRPr="00E07C9A" w:rsidRDefault="00B13F06"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0556</w:t>
            </w:r>
          </w:p>
        </w:tc>
        <w:tc>
          <w:tcPr>
            <w:tcW w:w="7274" w:type="dxa"/>
          </w:tcPr>
          <w:p w14:paraId="2CDA08FF" w14:textId="05310855" w:rsidR="00802958" w:rsidRPr="00E07C9A" w:rsidRDefault="00802958"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1.3.1.3.*</w:t>
            </w:r>
            <w:r w:rsidRPr="00E07C9A">
              <w:tab/>
            </w:r>
            <w:r w:rsidRPr="00E07C9A">
              <w:rPr>
                <w:rStyle w:val="InstructionsTabelleberschrift"/>
                <w:rFonts w:ascii="Times New Roman" w:hAnsi="Times New Roman"/>
                <w:sz w:val="24"/>
              </w:rPr>
              <w:t>Doplňujúca položka: PKI investované výhradne</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obchodovaných dlhových nástrojoch</w:t>
            </w:r>
          </w:p>
          <w:p w14:paraId="4397EB70" w14:textId="3483F6D1" w:rsidR="00802958" w:rsidRPr="00E07C9A" w:rsidRDefault="00802958" w:rsidP="00802958">
            <w:pPr>
              <w:rPr>
                <w:rStyle w:val="InstructionsTabelleberschrift"/>
                <w:rFonts w:ascii="Times New Roman" w:hAnsi="Times New Roman"/>
                <w:sz w:val="24"/>
              </w:rPr>
            </w:pPr>
            <w:r w:rsidRPr="00E07C9A">
              <w:rPr>
                <w:rStyle w:val="FormatvorlageInstructionsTabelleText"/>
                <w:rFonts w:ascii="Times New Roman" w:hAnsi="Times New Roman"/>
                <w:sz w:val="24"/>
              </w:rPr>
              <w:t>Celková hodnota rizikovej expozície pre pozície</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PKI, ak sú PKI investované výhradne</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nástrojoch podliehajúcich úrokovému riziku.</w:t>
            </w:r>
          </w:p>
        </w:tc>
      </w:tr>
      <w:tr w:rsidR="00802958" w:rsidRPr="00E07C9A" w14:paraId="32F6DBF9" w14:textId="77777777" w:rsidTr="00672D2A">
        <w:tc>
          <w:tcPr>
            <w:tcW w:w="1591" w:type="dxa"/>
          </w:tcPr>
          <w:p w14:paraId="6BC2BDAF" w14:textId="77777777" w:rsidR="00802958" w:rsidRPr="00E07C9A" w:rsidRDefault="00B13F06"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0557</w:t>
            </w:r>
          </w:p>
        </w:tc>
        <w:tc>
          <w:tcPr>
            <w:tcW w:w="7274" w:type="dxa"/>
          </w:tcPr>
          <w:p w14:paraId="28F3E2B4" w14:textId="3B53500E" w:rsidR="00802958" w:rsidRPr="00E07C9A" w:rsidRDefault="00802958"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1.3.1.3.**</w:t>
            </w:r>
            <w:r w:rsidRPr="00E07C9A">
              <w:tab/>
            </w:r>
            <w:r w:rsidRPr="00E07C9A">
              <w:rPr>
                <w:rStyle w:val="InstructionsTabelleberschrift"/>
                <w:rFonts w:ascii="Times New Roman" w:hAnsi="Times New Roman"/>
                <w:sz w:val="24"/>
              </w:rPr>
              <w:t>PKI investované výhradne</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nástrojoch vlastného imania alebo zmiešaných nástrojov</w:t>
            </w:r>
          </w:p>
          <w:p w14:paraId="2F4CDE3F" w14:textId="12605C07" w:rsidR="00802958" w:rsidRPr="00E07C9A" w:rsidRDefault="00802958" w:rsidP="00802958">
            <w:pPr>
              <w:rPr>
                <w:rStyle w:val="InstructionsTabelleberschrift"/>
                <w:rFonts w:ascii="Times New Roman" w:hAnsi="Times New Roman"/>
                <w:sz w:val="24"/>
              </w:rPr>
            </w:pPr>
            <w:r w:rsidRPr="00E07C9A">
              <w:rPr>
                <w:rStyle w:val="FormatvorlageInstructionsTabelleText"/>
                <w:rFonts w:ascii="Times New Roman" w:hAnsi="Times New Roman"/>
                <w:sz w:val="24"/>
              </w:rPr>
              <w:t>Celková hodnota rizikovej expozície pre pozície</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PKI, ak sú PKI investované výhradne buď</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nástrojoch podliehajúcich akciovému riziku, alebo</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zmiešaných nástrojoch, alebo ak sú zložky PKI neznáme.</w:t>
            </w:r>
          </w:p>
        </w:tc>
      </w:tr>
      <w:tr w:rsidR="00802958" w:rsidRPr="00E07C9A" w14:paraId="4F00A356" w14:textId="77777777" w:rsidTr="00672D2A">
        <w:tc>
          <w:tcPr>
            <w:tcW w:w="1591" w:type="dxa"/>
          </w:tcPr>
          <w:p w14:paraId="4361A511" w14:textId="77777777" w:rsidR="00802958" w:rsidRPr="00E07C9A" w:rsidRDefault="00B13F06"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0560</w:t>
            </w:r>
          </w:p>
        </w:tc>
        <w:tc>
          <w:tcPr>
            <w:tcW w:w="7274" w:type="dxa"/>
          </w:tcPr>
          <w:p w14:paraId="14064D34" w14:textId="77777777" w:rsidR="00802958" w:rsidRPr="00E07C9A" w:rsidRDefault="00802958" w:rsidP="00487A02">
            <w:pPr>
              <w:pStyle w:val="InstructionsText"/>
              <w:rPr>
                <w:rStyle w:val="InstructionsTabelleberschrift"/>
                <w:rFonts w:ascii="Times New Roman" w:hAnsi="Times New Roman"/>
                <w:bCs w:val="0"/>
                <w:sz w:val="24"/>
              </w:rPr>
            </w:pPr>
            <w:r w:rsidRPr="00E07C9A">
              <w:rPr>
                <w:rStyle w:val="InstructionsTabelleberschrift"/>
                <w:rFonts w:ascii="Times New Roman" w:hAnsi="Times New Roman"/>
                <w:sz w:val="24"/>
              </w:rPr>
              <w:t>1.3.1.4.</w:t>
            </w:r>
            <w:r w:rsidRPr="00E07C9A">
              <w:tab/>
            </w:r>
            <w:r w:rsidRPr="00E07C9A">
              <w:rPr>
                <w:rStyle w:val="InstructionsTabelleberschrift"/>
                <w:rFonts w:ascii="Times New Roman" w:hAnsi="Times New Roman"/>
                <w:sz w:val="24"/>
              </w:rPr>
              <w:t>Devízy</w:t>
            </w:r>
          </w:p>
          <w:p w14:paraId="50CC7711" w14:textId="77777777" w:rsidR="00802958" w:rsidRPr="00E07C9A" w:rsidRDefault="00802958" w:rsidP="00802958">
            <w:pPr>
              <w:rPr>
                <w:rStyle w:val="FormatvorlageInstructionsTabelleText"/>
                <w:rFonts w:ascii="Times New Roman" w:hAnsi="Times New Roman"/>
                <w:sz w:val="24"/>
              </w:rPr>
            </w:pPr>
            <w:r w:rsidRPr="00E07C9A">
              <w:rPr>
                <w:rStyle w:val="FormatvorlageInstructionsTabelleText"/>
                <w:rFonts w:ascii="Times New Roman" w:hAnsi="Times New Roman"/>
                <w:sz w:val="24"/>
              </w:rPr>
              <w:t>Pozri vzor MKR SA FX.</w:t>
            </w:r>
          </w:p>
        </w:tc>
      </w:tr>
      <w:tr w:rsidR="00802958" w:rsidRPr="00E07C9A" w14:paraId="309A7367" w14:textId="77777777" w:rsidTr="00672D2A">
        <w:tc>
          <w:tcPr>
            <w:tcW w:w="1591" w:type="dxa"/>
          </w:tcPr>
          <w:p w14:paraId="6687041D" w14:textId="77777777" w:rsidR="00802958" w:rsidRPr="00E07C9A" w:rsidRDefault="00B13F06"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0570</w:t>
            </w:r>
          </w:p>
        </w:tc>
        <w:tc>
          <w:tcPr>
            <w:tcW w:w="7274" w:type="dxa"/>
          </w:tcPr>
          <w:p w14:paraId="64B5BFA0" w14:textId="77777777" w:rsidR="00802958" w:rsidRPr="00E07C9A" w:rsidRDefault="00802958" w:rsidP="00487A02">
            <w:pPr>
              <w:pStyle w:val="InstructionsText"/>
              <w:rPr>
                <w:rStyle w:val="InstructionsTabelleberschrift"/>
                <w:rFonts w:ascii="Times New Roman" w:hAnsi="Times New Roman"/>
                <w:bCs w:val="0"/>
                <w:sz w:val="24"/>
              </w:rPr>
            </w:pPr>
            <w:r w:rsidRPr="00E07C9A">
              <w:rPr>
                <w:rStyle w:val="InstructionsTabelleberschrift"/>
                <w:rFonts w:ascii="Times New Roman" w:hAnsi="Times New Roman"/>
                <w:sz w:val="24"/>
              </w:rPr>
              <w:t>1.3.1.5.</w:t>
            </w:r>
            <w:r w:rsidRPr="00E07C9A">
              <w:tab/>
            </w:r>
            <w:r w:rsidRPr="00E07C9A">
              <w:rPr>
                <w:rStyle w:val="InstructionsTabelleberschrift"/>
                <w:rFonts w:ascii="Times New Roman" w:hAnsi="Times New Roman"/>
                <w:sz w:val="24"/>
              </w:rPr>
              <w:t>Komodity</w:t>
            </w:r>
          </w:p>
          <w:p w14:paraId="2B8536F7" w14:textId="77777777" w:rsidR="00802958" w:rsidRPr="00E07C9A" w:rsidRDefault="00802958" w:rsidP="00802958">
            <w:pPr>
              <w:rPr>
                <w:rStyle w:val="FormatvorlageInstructionsTabelleText"/>
                <w:rFonts w:ascii="Times New Roman" w:hAnsi="Times New Roman"/>
                <w:sz w:val="24"/>
              </w:rPr>
            </w:pPr>
            <w:r w:rsidRPr="00E07C9A">
              <w:rPr>
                <w:rStyle w:val="FormatvorlageInstructionsTabelleText"/>
                <w:rFonts w:ascii="Times New Roman" w:hAnsi="Times New Roman"/>
                <w:sz w:val="24"/>
              </w:rPr>
              <w:t>Pozri vzor MKR SA COM.</w:t>
            </w:r>
          </w:p>
        </w:tc>
      </w:tr>
      <w:tr w:rsidR="00802958" w:rsidRPr="00E07C9A" w14:paraId="0EEF3BAD" w14:textId="77777777" w:rsidTr="00672D2A">
        <w:tc>
          <w:tcPr>
            <w:tcW w:w="1591" w:type="dxa"/>
          </w:tcPr>
          <w:p w14:paraId="304A0FCF" w14:textId="77777777" w:rsidR="00802958" w:rsidRPr="00E07C9A" w:rsidRDefault="00B13F06" w:rsidP="00487A02">
            <w:pPr>
              <w:pStyle w:val="InstructionsText"/>
              <w:rPr>
                <w:rStyle w:val="FormatvorlageInstructionsTabelleText"/>
                <w:rFonts w:ascii="Times New Roman" w:hAnsi="Times New Roman"/>
                <w:bCs w:val="0"/>
                <w:sz w:val="24"/>
              </w:rPr>
            </w:pPr>
            <w:r w:rsidRPr="00E07C9A">
              <w:rPr>
                <w:rStyle w:val="FormatvorlageInstructionsTabelleText"/>
                <w:rFonts w:ascii="Times New Roman" w:hAnsi="Times New Roman"/>
                <w:sz w:val="24"/>
              </w:rPr>
              <w:t>0580</w:t>
            </w:r>
          </w:p>
        </w:tc>
        <w:tc>
          <w:tcPr>
            <w:tcW w:w="7274" w:type="dxa"/>
          </w:tcPr>
          <w:p w14:paraId="244D466D" w14:textId="10B7A15C" w:rsidR="00802958" w:rsidRPr="00E07C9A" w:rsidRDefault="00802958" w:rsidP="00487A02">
            <w:pPr>
              <w:pStyle w:val="InstructionsText"/>
              <w:rPr>
                <w:rStyle w:val="InstructionsTabelleberschrift"/>
                <w:rFonts w:ascii="Times New Roman" w:hAnsi="Times New Roman"/>
                <w:bCs w:val="0"/>
                <w:sz w:val="24"/>
              </w:rPr>
            </w:pPr>
            <w:r w:rsidRPr="00E07C9A">
              <w:rPr>
                <w:rStyle w:val="InstructionsTabelleberschrift"/>
                <w:rFonts w:ascii="Times New Roman" w:hAnsi="Times New Roman"/>
                <w:sz w:val="24"/>
              </w:rPr>
              <w:t>1.3.2.</w:t>
            </w:r>
            <w:r w:rsidRPr="00E07C9A">
              <w:tab/>
            </w:r>
            <w:r w:rsidRPr="00E07C9A">
              <w:rPr>
                <w:rStyle w:val="InstructionsTabelleberschrift"/>
                <w:rFonts w:ascii="Times New Roman" w:hAnsi="Times New Roman"/>
                <w:sz w:val="24"/>
              </w:rPr>
              <w:t>Hodnota rizikovej expozície pre pozičné, devízové</w:t>
            </w:r>
            <w:r w:rsidR="009912F8" w:rsidRPr="00E07C9A">
              <w:rPr>
                <w:rStyle w:val="InstructionsTabelleberschrift"/>
                <w:rFonts w:ascii="Times New Roman" w:hAnsi="Times New Roman"/>
                <w:sz w:val="24"/>
              </w:rPr>
              <w:t xml:space="preserve"> a </w:t>
            </w:r>
            <w:r w:rsidRPr="00E07C9A">
              <w:rPr>
                <w:rStyle w:val="InstructionsTabelleberschrift"/>
                <w:rFonts w:ascii="Times New Roman" w:hAnsi="Times New Roman"/>
                <w:sz w:val="24"/>
              </w:rPr>
              <w:t>komoditné riziko</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rámci prístupu interných modelov (IM)</w:t>
            </w:r>
          </w:p>
          <w:p w14:paraId="43938F5A" w14:textId="77777777" w:rsidR="00802958" w:rsidRPr="00E07C9A" w:rsidRDefault="00802958" w:rsidP="00802958">
            <w:pPr>
              <w:rPr>
                <w:rStyle w:val="FormatvorlageInstructionsTabelleText"/>
                <w:rFonts w:ascii="Times New Roman" w:hAnsi="Times New Roman"/>
                <w:sz w:val="24"/>
              </w:rPr>
            </w:pPr>
            <w:r w:rsidRPr="00E07C9A">
              <w:rPr>
                <w:rStyle w:val="FormatvorlageInstructionsTabelleText"/>
                <w:rFonts w:ascii="Times New Roman" w:hAnsi="Times New Roman"/>
                <w:sz w:val="24"/>
              </w:rPr>
              <w:t>Pozri vzor MKR IM.</w:t>
            </w:r>
          </w:p>
        </w:tc>
      </w:tr>
      <w:tr w:rsidR="00802958" w:rsidRPr="00E07C9A" w14:paraId="5D1B4B25" w14:textId="77777777" w:rsidTr="00672D2A">
        <w:tc>
          <w:tcPr>
            <w:tcW w:w="1591" w:type="dxa"/>
          </w:tcPr>
          <w:p w14:paraId="0AD1165F" w14:textId="77777777" w:rsidR="00802958" w:rsidRPr="00E07C9A" w:rsidRDefault="00B13F06"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0590</w:t>
            </w:r>
          </w:p>
        </w:tc>
        <w:tc>
          <w:tcPr>
            <w:tcW w:w="7274" w:type="dxa"/>
          </w:tcPr>
          <w:p w14:paraId="1253E8AC" w14:textId="77777777" w:rsidR="00802958" w:rsidRPr="00E07C9A" w:rsidRDefault="00802958" w:rsidP="00487A02">
            <w:pPr>
              <w:pStyle w:val="InstructionsText"/>
              <w:rPr>
                <w:rStyle w:val="InstructionsTabelleberschrift"/>
                <w:rFonts w:ascii="Times New Roman" w:hAnsi="Times New Roman"/>
                <w:bCs w:val="0"/>
                <w:sz w:val="24"/>
              </w:rPr>
            </w:pPr>
            <w:r w:rsidRPr="00E07C9A">
              <w:rPr>
                <w:rStyle w:val="InstructionsTabelleberschrift"/>
                <w:rFonts w:ascii="Times New Roman" w:hAnsi="Times New Roman"/>
                <w:sz w:val="24"/>
              </w:rPr>
              <w:t>1.4.</w:t>
            </w:r>
            <w:r w:rsidRPr="00E07C9A">
              <w:tab/>
            </w:r>
            <w:r w:rsidRPr="00E07C9A">
              <w:rPr>
                <w:rStyle w:val="InstructionsTabelleberschrift"/>
                <w:rFonts w:ascii="Times New Roman" w:hAnsi="Times New Roman"/>
                <w:sz w:val="24"/>
              </w:rPr>
              <w:t>CELKOVÁ HODNOTA RIZIKOVEJ EXPOZÍCIE PRE OPERAČNÉ RIZIKO (OpR)</w:t>
            </w:r>
          </w:p>
          <w:p w14:paraId="3811BDC4" w14:textId="45B3131D" w:rsidR="00802958" w:rsidRPr="00E07C9A" w:rsidRDefault="00802958" w:rsidP="00487A02">
            <w:pPr>
              <w:pStyle w:val="InstructionsText"/>
              <w:rPr>
                <w:rStyle w:val="FormatvorlageInstructionsTabelleText"/>
                <w:rFonts w:ascii="Times New Roman" w:hAnsi="Times New Roman"/>
                <w:bCs w:val="0"/>
                <w:sz w:val="24"/>
              </w:rPr>
            </w:pPr>
            <w:r w:rsidRPr="00E07C9A">
              <w:rPr>
                <w:rStyle w:val="FormatvorlageInstructionsTabelleText"/>
                <w:rFonts w:ascii="Times New Roman" w:hAnsi="Times New Roman"/>
                <w:sz w:val="24"/>
              </w:rPr>
              <w:t>Článok 92 ods. 3 písm. e)</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 xml:space="preserve">článok 92 ods. 4 písm. b) </w:t>
            </w:r>
            <w:r w:rsidRPr="00E07C9A">
              <w:t xml:space="preserve">nariadenia (EÚ) </w:t>
            </w:r>
            <w:r w:rsidR="009912F8" w:rsidRPr="00E07C9A">
              <w:t>č. 575/2013</w:t>
            </w:r>
          </w:p>
          <w:p w14:paraId="1BA9D349" w14:textId="1BEE0C73" w:rsidR="00802958" w:rsidRPr="00E07C9A" w:rsidRDefault="00802958" w:rsidP="006A6822">
            <w:pPr>
              <w:rPr>
                <w:rStyle w:val="FormatvorlageInstructionsTabelleText"/>
                <w:rFonts w:ascii="Times New Roman" w:hAnsi="Times New Roman"/>
                <w:sz w:val="24"/>
              </w:rPr>
            </w:pPr>
            <w:r w:rsidRPr="00E07C9A">
              <w:rPr>
                <w:rStyle w:val="FormatvorlageInstructionsTabelleText"/>
                <w:rFonts w:ascii="Times New Roman" w:hAnsi="Times New Roman"/>
                <w:sz w:val="24"/>
              </w:rPr>
              <w:t>V prípade investičných spoločností podľa článku 95 ods. 2, článku 96 ods. 2</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článku 98</w:t>
            </w:r>
            <w:r w:rsidRPr="00E07C9A">
              <w:rPr>
                <w:rFonts w:ascii="Times New Roman" w:hAnsi="Times New Roman"/>
                <w:sz w:val="24"/>
              </w:rPr>
              <w:t xml:space="preserve"> nariadenia (EÚ) </w:t>
            </w:r>
            <w:r w:rsidR="009912F8" w:rsidRPr="00E07C9A">
              <w:rPr>
                <w:rFonts w:ascii="Times New Roman" w:hAnsi="Times New Roman"/>
                <w:sz w:val="24"/>
              </w:rPr>
              <w:t>č. 575/2013</w:t>
            </w:r>
            <w:r w:rsidRPr="00E07C9A">
              <w:rPr>
                <w:rStyle w:val="FormatvorlageInstructionsTabelleText"/>
                <w:rFonts w:ascii="Times New Roman" w:hAnsi="Times New Roman"/>
                <w:sz w:val="24"/>
              </w:rPr>
              <w:t xml:space="preserve"> je tento prvok nula.</w:t>
            </w:r>
          </w:p>
        </w:tc>
      </w:tr>
      <w:tr w:rsidR="00802958" w:rsidRPr="00E07C9A" w14:paraId="736DB07D" w14:textId="77777777" w:rsidTr="00672D2A">
        <w:tc>
          <w:tcPr>
            <w:tcW w:w="1591" w:type="dxa"/>
          </w:tcPr>
          <w:p w14:paraId="7B1EAA0C" w14:textId="77777777" w:rsidR="00802958" w:rsidRPr="00E07C9A" w:rsidRDefault="00B13F06" w:rsidP="00487A02">
            <w:pPr>
              <w:pStyle w:val="InstructionsText"/>
              <w:rPr>
                <w:rStyle w:val="FormatvorlageInstructionsTabelleText"/>
                <w:rFonts w:ascii="Times New Roman" w:hAnsi="Times New Roman"/>
                <w:bCs w:val="0"/>
                <w:sz w:val="24"/>
              </w:rPr>
            </w:pPr>
            <w:r w:rsidRPr="00E07C9A">
              <w:rPr>
                <w:rStyle w:val="FormatvorlageInstructionsTabelleText"/>
                <w:rFonts w:ascii="Times New Roman" w:hAnsi="Times New Roman"/>
                <w:sz w:val="24"/>
              </w:rPr>
              <w:t>0600</w:t>
            </w:r>
          </w:p>
        </w:tc>
        <w:tc>
          <w:tcPr>
            <w:tcW w:w="7274" w:type="dxa"/>
          </w:tcPr>
          <w:p w14:paraId="626E85DE" w14:textId="77777777" w:rsidR="00802958" w:rsidRPr="00E07C9A" w:rsidRDefault="00802958" w:rsidP="00487A02">
            <w:pPr>
              <w:pStyle w:val="InstructionsText"/>
              <w:rPr>
                <w:rStyle w:val="FormatvorlageInstructionsTabelleText"/>
                <w:rFonts w:ascii="Times New Roman" w:hAnsi="Times New Roman"/>
                <w:bCs w:val="0"/>
                <w:sz w:val="24"/>
              </w:rPr>
            </w:pPr>
            <w:r w:rsidRPr="00E07C9A">
              <w:rPr>
                <w:rStyle w:val="InstructionsTabelleberschrift"/>
                <w:rFonts w:ascii="Times New Roman" w:hAnsi="Times New Roman"/>
                <w:sz w:val="24"/>
              </w:rPr>
              <w:t>1.4.1.</w:t>
            </w:r>
            <w:r w:rsidRPr="00E07C9A">
              <w:tab/>
            </w:r>
            <w:r w:rsidRPr="00E07C9A">
              <w:rPr>
                <w:rStyle w:val="InstructionsTabelleberschrift"/>
                <w:rFonts w:ascii="Times New Roman" w:hAnsi="Times New Roman"/>
                <w:sz w:val="24"/>
              </w:rPr>
              <w:t>OpR Prístup základného ukazovateľa (BIA)</w:t>
            </w:r>
          </w:p>
          <w:p w14:paraId="45128B10" w14:textId="77777777" w:rsidR="00802958" w:rsidRPr="00E07C9A" w:rsidRDefault="00802958" w:rsidP="00802958">
            <w:pPr>
              <w:rPr>
                <w:rStyle w:val="FormatvorlageInstructionsTabelleText"/>
                <w:rFonts w:ascii="Times New Roman" w:hAnsi="Times New Roman"/>
                <w:sz w:val="24"/>
              </w:rPr>
            </w:pPr>
            <w:r w:rsidRPr="00E07C9A">
              <w:rPr>
                <w:rStyle w:val="FormatvorlageInstructionsTabelleText"/>
                <w:rFonts w:ascii="Times New Roman" w:hAnsi="Times New Roman"/>
                <w:sz w:val="24"/>
              </w:rPr>
              <w:lastRenderedPageBreak/>
              <w:t>Pozri vzor OPR.</w:t>
            </w:r>
          </w:p>
        </w:tc>
      </w:tr>
      <w:tr w:rsidR="00802958" w:rsidRPr="00E07C9A" w14:paraId="5E898F30" w14:textId="77777777" w:rsidTr="00672D2A">
        <w:tc>
          <w:tcPr>
            <w:tcW w:w="1591" w:type="dxa"/>
          </w:tcPr>
          <w:p w14:paraId="521896C8" w14:textId="77777777" w:rsidR="00802958" w:rsidRPr="00E07C9A" w:rsidRDefault="00B13F06"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lastRenderedPageBreak/>
              <w:t>0610</w:t>
            </w:r>
          </w:p>
        </w:tc>
        <w:tc>
          <w:tcPr>
            <w:tcW w:w="7274" w:type="dxa"/>
          </w:tcPr>
          <w:p w14:paraId="145D5BBD" w14:textId="77777777" w:rsidR="00802958" w:rsidRPr="00E07C9A" w:rsidRDefault="00802958" w:rsidP="00487A02">
            <w:pPr>
              <w:pStyle w:val="InstructionsText"/>
              <w:rPr>
                <w:rStyle w:val="InstructionsTabelleberschrift"/>
                <w:rFonts w:ascii="Times New Roman" w:hAnsi="Times New Roman"/>
                <w:bCs w:val="0"/>
                <w:sz w:val="24"/>
              </w:rPr>
            </w:pPr>
            <w:r w:rsidRPr="00E07C9A">
              <w:rPr>
                <w:rStyle w:val="InstructionsTabelleberschrift"/>
                <w:rFonts w:ascii="Times New Roman" w:hAnsi="Times New Roman"/>
                <w:sz w:val="24"/>
              </w:rPr>
              <w:t>1.4.2.</w:t>
            </w:r>
            <w:r w:rsidRPr="00E07C9A">
              <w:tab/>
            </w:r>
            <w:r w:rsidRPr="00E07C9A">
              <w:rPr>
                <w:rStyle w:val="InstructionsTabelleberschrift"/>
                <w:rFonts w:ascii="Times New Roman" w:hAnsi="Times New Roman"/>
                <w:sz w:val="24"/>
              </w:rPr>
              <w:t>OpR štandardizovaný (TSA)/alternatívny štandardizovaný (ASA) prístup</w:t>
            </w:r>
          </w:p>
          <w:p w14:paraId="5C951669" w14:textId="77777777" w:rsidR="00802958" w:rsidRPr="00E07C9A" w:rsidRDefault="00802958" w:rsidP="00802958">
            <w:pPr>
              <w:rPr>
                <w:rStyle w:val="FormatvorlageInstructionsTabelleText"/>
                <w:rFonts w:ascii="Times New Roman" w:hAnsi="Times New Roman"/>
                <w:sz w:val="24"/>
              </w:rPr>
            </w:pPr>
            <w:r w:rsidRPr="00E07C9A">
              <w:rPr>
                <w:rStyle w:val="FormatvorlageInstructionsTabelleText"/>
                <w:rFonts w:ascii="Times New Roman" w:hAnsi="Times New Roman"/>
                <w:sz w:val="24"/>
              </w:rPr>
              <w:t>Pozri vzor OPR.</w:t>
            </w:r>
          </w:p>
        </w:tc>
      </w:tr>
      <w:tr w:rsidR="00802958" w:rsidRPr="00E07C9A" w14:paraId="1E7AABD2" w14:textId="77777777" w:rsidTr="00672D2A">
        <w:tc>
          <w:tcPr>
            <w:tcW w:w="1591" w:type="dxa"/>
          </w:tcPr>
          <w:p w14:paraId="5E47047E" w14:textId="77777777" w:rsidR="00802958" w:rsidRPr="00E07C9A" w:rsidRDefault="00B13F06"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0620</w:t>
            </w:r>
          </w:p>
        </w:tc>
        <w:tc>
          <w:tcPr>
            <w:tcW w:w="7274" w:type="dxa"/>
          </w:tcPr>
          <w:p w14:paraId="658450BB" w14:textId="77777777" w:rsidR="00802958" w:rsidRPr="00E07C9A" w:rsidRDefault="00802958" w:rsidP="00487A02">
            <w:pPr>
              <w:pStyle w:val="InstructionsText"/>
              <w:rPr>
                <w:rStyle w:val="InstructionsTabelleberschrift"/>
                <w:rFonts w:ascii="Times New Roman" w:hAnsi="Times New Roman"/>
                <w:bCs w:val="0"/>
                <w:sz w:val="24"/>
              </w:rPr>
            </w:pPr>
            <w:r w:rsidRPr="00E07C9A">
              <w:rPr>
                <w:rStyle w:val="InstructionsTabelleberschrift"/>
                <w:rFonts w:ascii="Times New Roman" w:hAnsi="Times New Roman"/>
                <w:sz w:val="24"/>
              </w:rPr>
              <w:t>1.4.3.</w:t>
            </w:r>
            <w:r w:rsidRPr="00E07C9A">
              <w:tab/>
            </w:r>
            <w:r w:rsidRPr="00E07C9A">
              <w:rPr>
                <w:rStyle w:val="InstructionsTabelleberschrift"/>
                <w:rFonts w:ascii="Times New Roman" w:hAnsi="Times New Roman"/>
                <w:sz w:val="24"/>
              </w:rPr>
              <w:t>OpR pokročilé prístupy merania (AMA)</w:t>
            </w:r>
          </w:p>
          <w:p w14:paraId="2019F28C" w14:textId="77777777" w:rsidR="00802958" w:rsidRPr="00E07C9A" w:rsidRDefault="00802958" w:rsidP="00802958">
            <w:pPr>
              <w:rPr>
                <w:rStyle w:val="FormatvorlageInstructionsTabelleText"/>
                <w:rFonts w:ascii="Times New Roman" w:hAnsi="Times New Roman"/>
                <w:sz w:val="24"/>
              </w:rPr>
            </w:pPr>
            <w:r w:rsidRPr="00E07C9A">
              <w:rPr>
                <w:rStyle w:val="FormatvorlageInstructionsTabelleText"/>
                <w:rFonts w:ascii="Times New Roman" w:hAnsi="Times New Roman"/>
                <w:sz w:val="24"/>
              </w:rPr>
              <w:t>Pozri vzor OPR.</w:t>
            </w:r>
          </w:p>
        </w:tc>
      </w:tr>
      <w:tr w:rsidR="00802958" w:rsidRPr="00E07C9A" w14:paraId="37DB7247" w14:textId="77777777" w:rsidTr="00672D2A">
        <w:tc>
          <w:tcPr>
            <w:tcW w:w="1591" w:type="dxa"/>
          </w:tcPr>
          <w:p w14:paraId="631E4B4A" w14:textId="77777777" w:rsidR="00802958" w:rsidRPr="00E07C9A" w:rsidRDefault="00B13F06"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0630</w:t>
            </w:r>
          </w:p>
        </w:tc>
        <w:tc>
          <w:tcPr>
            <w:tcW w:w="7274" w:type="dxa"/>
          </w:tcPr>
          <w:p w14:paraId="1C3B31F9" w14:textId="77777777" w:rsidR="00802958" w:rsidRPr="00E07C9A" w:rsidRDefault="00802958" w:rsidP="00487A02">
            <w:pPr>
              <w:pStyle w:val="InstructionsText"/>
              <w:rPr>
                <w:rStyle w:val="InstructionsTabelleberschrift"/>
                <w:rFonts w:ascii="Times New Roman" w:hAnsi="Times New Roman"/>
                <w:bCs w:val="0"/>
                <w:sz w:val="24"/>
              </w:rPr>
            </w:pPr>
            <w:r w:rsidRPr="00E07C9A">
              <w:rPr>
                <w:rStyle w:val="InstructionsTabelleberschrift"/>
                <w:rFonts w:ascii="Times New Roman" w:hAnsi="Times New Roman"/>
                <w:sz w:val="24"/>
              </w:rPr>
              <w:t>1.5.</w:t>
            </w:r>
            <w:r w:rsidRPr="00E07C9A">
              <w:tab/>
            </w:r>
            <w:r w:rsidRPr="00E07C9A">
              <w:rPr>
                <w:rStyle w:val="InstructionsTabelleberschrift"/>
                <w:rFonts w:ascii="Times New Roman" w:hAnsi="Times New Roman"/>
                <w:sz w:val="24"/>
              </w:rPr>
              <w:t>DODATOČNÁ HODNOTA RIZIKOVEJ EXPOZÍCIE NA ZÁKLADE FIXNÝCH REŽIJNÝCH NÁKLADOV</w:t>
            </w:r>
          </w:p>
          <w:p w14:paraId="25F8DA00" w14:textId="0BE84F1B" w:rsidR="00802958" w:rsidRPr="00E07C9A" w:rsidRDefault="00802958" w:rsidP="00802958">
            <w:pPr>
              <w:rPr>
                <w:rStyle w:val="FormatvorlageInstructionsTabelleText"/>
                <w:rFonts w:ascii="Times New Roman" w:hAnsi="Times New Roman"/>
                <w:sz w:val="24"/>
              </w:rPr>
            </w:pPr>
            <w:r w:rsidRPr="00E07C9A">
              <w:rPr>
                <w:rStyle w:val="FormatvorlageInstructionsTabelleText"/>
                <w:rFonts w:ascii="Times New Roman" w:hAnsi="Times New Roman"/>
                <w:sz w:val="24"/>
              </w:rPr>
              <w:t>Článok 95 ods. 2</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článok 96 ods. 2, článok 97</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 xml:space="preserve">článok 98 ods. 1 písm. a) </w:t>
            </w:r>
            <w:r w:rsidRPr="00E07C9A">
              <w:rPr>
                <w:rFonts w:ascii="Times New Roman" w:hAnsi="Times New Roman"/>
                <w:sz w:val="24"/>
              </w:rPr>
              <w:t xml:space="preserve">nariadenia (EÚ) </w:t>
            </w:r>
            <w:r w:rsidR="009912F8" w:rsidRPr="00E07C9A">
              <w:rPr>
                <w:rFonts w:ascii="Times New Roman" w:hAnsi="Times New Roman"/>
                <w:sz w:val="24"/>
              </w:rPr>
              <w:t>č. 575/2013</w:t>
            </w:r>
          </w:p>
          <w:p w14:paraId="42F8EB84" w14:textId="65352442" w:rsidR="009912F8" w:rsidRPr="00E07C9A" w:rsidRDefault="00802958" w:rsidP="00802958">
            <w:pPr>
              <w:rPr>
                <w:rFonts w:ascii="Times New Roman" w:hAnsi="Times New Roman"/>
                <w:sz w:val="24"/>
              </w:rPr>
            </w:pPr>
            <w:r w:rsidRPr="00E07C9A">
              <w:rPr>
                <w:rStyle w:val="FormatvorlageInstructionsTabelleText"/>
                <w:rFonts w:ascii="Times New Roman" w:hAnsi="Times New Roman"/>
                <w:sz w:val="24"/>
              </w:rPr>
              <w:t>Iba</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prípade investičných spoločností podľa článku 95 ods. 2, článku 96 ods. 2</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článku 98</w:t>
            </w:r>
            <w:r w:rsidRPr="00E07C9A">
              <w:rPr>
                <w:rFonts w:ascii="Times New Roman" w:hAnsi="Times New Roman"/>
                <w:sz w:val="24"/>
              </w:rPr>
              <w:t xml:space="preserve"> nariadenia (EÚ) </w:t>
            </w:r>
            <w:r w:rsidR="009912F8" w:rsidRPr="00E07C9A">
              <w:rPr>
                <w:rFonts w:ascii="Times New Roman" w:hAnsi="Times New Roman"/>
                <w:sz w:val="24"/>
              </w:rPr>
              <w:t>č. 575/2013</w:t>
            </w:r>
            <w:r w:rsidRPr="00E07C9A">
              <w:rPr>
                <w:rStyle w:val="FormatvorlageInstructionsTabelleText"/>
                <w:rFonts w:ascii="Times New Roman" w:hAnsi="Times New Roman"/>
                <w:sz w:val="24"/>
              </w:rPr>
              <w:t xml:space="preserve"> Pozri aj článok 97</w:t>
            </w:r>
            <w:r w:rsidRPr="00E07C9A">
              <w:rPr>
                <w:rFonts w:ascii="Times New Roman" w:hAnsi="Times New Roman"/>
                <w:sz w:val="24"/>
              </w:rPr>
              <w:t xml:space="preserve"> nariadenia (EÚ) </w:t>
            </w:r>
            <w:r w:rsidR="009912F8" w:rsidRPr="00E07C9A">
              <w:rPr>
                <w:rFonts w:ascii="Times New Roman" w:hAnsi="Times New Roman"/>
                <w:sz w:val="24"/>
              </w:rPr>
              <w:t>č. 575/2013.</w:t>
            </w:r>
          </w:p>
          <w:p w14:paraId="050A184D" w14:textId="6519DEEF" w:rsidR="00802958" w:rsidRPr="00E07C9A" w:rsidRDefault="00802958" w:rsidP="00802958">
            <w:pPr>
              <w:rPr>
                <w:rStyle w:val="FormatvorlageInstructionsTabelleText"/>
                <w:rFonts w:ascii="Times New Roman" w:hAnsi="Times New Roman"/>
                <w:sz w:val="24"/>
              </w:rPr>
            </w:pPr>
            <w:r w:rsidRPr="00E07C9A">
              <w:rPr>
                <w:rStyle w:val="FormatvorlageInstructionsTabelleText"/>
                <w:rFonts w:ascii="Times New Roman" w:hAnsi="Times New Roman"/>
                <w:sz w:val="24"/>
              </w:rPr>
              <w:t>Investičné spoločnosti podľa článku 96</w:t>
            </w:r>
            <w:r w:rsidRPr="00E07C9A">
              <w:rPr>
                <w:rFonts w:ascii="Times New Roman" w:hAnsi="Times New Roman"/>
                <w:sz w:val="24"/>
              </w:rPr>
              <w:t xml:space="preserve"> nariadenia (EÚ) </w:t>
            </w:r>
            <w:r w:rsidR="009912F8" w:rsidRPr="00E07C9A">
              <w:rPr>
                <w:rFonts w:ascii="Times New Roman" w:hAnsi="Times New Roman"/>
                <w:sz w:val="24"/>
              </w:rPr>
              <w:t>č. 575/2013</w:t>
            </w:r>
            <w:r w:rsidRPr="00E07C9A">
              <w:rPr>
                <w:rFonts w:ascii="Times New Roman" w:hAnsi="Times New Roman"/>
                <w:sz w:val="24"/>
              </w:rPr>
              <w:t xml:space="preserve"> </w:t>
            </w:r>
            <w:r w:rsidRPr="00E07C9A">
              <w:rPr>
                <w:rStyle w:val="FormatvorlageInstructionsTabelleText"/>
                <w:rFonts w:ascii="Times New Roman" w:hAnsi="Times New Roman"/>
                <w:sz w:val="24"/>
              </w:rPr>
              <w:t>vykazujú hodnotu uvedenú</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článku 97 vynásobenú koeficientom 12,5.</w:t>
            </w:r>
          </w:p>
          <w:p w14:paraId="6F52F0CD" w14:textId="5583EA8B" w:rsidR="00802958" w:rsidRPr="00E07C9A" w:rsidRDefault="00802958" w:rsidP="00802958">
            <w:pPr>
              <w:rPr>
                <w:rStyle w:val="FormatvorlageInstructionsTabelleText"/>
                <w:rFonts w:ascii="Times New Roman" w:hAnsi="Times New Roman"/>
                <w:sz w:val="24"/>
              </w:rPr>
            </w:pPr>
            <w:r w:rsidRPr="00E07C9A">
              <w:rPr>
                <w:rStyle w:val="FormatvorlageInstructionsTabelleText"/>
                <w:rFonts w:ascii="Times New Roman" w:hAnsi="Times New Roman"/>
                <w:sz w:val="24"/>
              </w:rPr>
              <w:t>Investičné spoločnosti podľa článku 95</w:t>
            </w:r>
            <w:r w:rsidRPr="00E07C9A">
              <w:rPr>
                <w:rFonts w:ascii="Times New Roman" w:hAnsi="Times New Roman"/>
                <w:sz w:val="24"/>
              </w:rPr>
              <w:t xml:space="preserve"> nariadenia (EÚ) </w:t>
            </w:r>
            <w:r w:rsidR="009912F8" w:rsidRPr="00E07C9A">
              <w:rPr>
                <w:rFonts w:ascii="Times New Roman" w:hAnsi="Times New Roman"/>
                <w:sz w:val="24"/>
              </w:rPr>
              <w:t>č. 575/2013</w:t>
            </w:r>
            <w:r w:rsidRPr="00E07C9A">
              <w:rPr>
                <w:rFonts w:ascii="Times New Roman" w:hAnsi="Times New Roman"/>
                <w:sz w:val="24"/>
              </w:rPr>
              <w:t xml:space="preserve"> </w:t>
            </w:r>
            <w:r w:rsidRPr="00E07C9A">
              <w:rPr>
                <w:rStyle w:val="FormatvorlageInstructionsTabelleText"/>
                <w:rFonts w:ascii="Times New Roman" w:hAnsi="Times New Roman"/>
                <w:sz w:val="24"/>
              </w:rPr>
              <w:t>vykazujú takto:</w:t>
            </w:r>
          </w:p>
          <w:p w14:paraId="5BECD677" w14:textId="16B20B92" w:rsidR="00802958" w:rsidRPr="00E07C9A" w:rsidRDefault="00802958"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w:t>
            </w:r>
            <w:r w:rsidRPr="00E07C9A">
              <w:tab/>
            </w:r>
            <w:r w:rsidRPr="00E07C9A">
              <w:rPr>
                <w:rStyle w:val="FormatvorlageInstructionsTabelleText"/>
                <w:rFonts w:ascii="Times New Roman" w:hAnsi="Times New Roman"/>
                <w:sz w:val="24"/>
              </w:rPr>
              <w:t>Ak je</w:t>
            </w:r>
            <w:r w:rsidRPr="00E07C9A">
              <w:t xml:space="preserve"> </w:t>
            </w:r>
            <w:r w:rsidRPr="00E07C9A">
              <w:rPr>
                <w:rStyle w:val="FormatvorlageInstructionsTabelleText"/>
                <w:rFonts w:ascii="Times New Roman" w:hAnsi="Times New Roman"/>
                <w:sz w:val="24"/>
              </w:rPr>
              <w:t>hodnota uvedená</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článku 95 ods. 2 písm. a)</w:t>
            </w:r>
            <w:r w:rsidRPr="00E07C9A">
              <w:t xml:space="preserve"> nariadenia (EÚ) </w:t>
            </w:r>
            <w:r w:rsidR="009912F8" w:rsidRPr="00E07C9A">
              <w:t>č. 575/2013</w:t>
            </w:r>
            <w:r w:rsidRPr="00E07C9A">
              <w:t xml:space="preserve"> </w:t>
            </w:r>
            <w:r w:rsidRPr="00E07C9A">
              <w:rPr>
                <w:rStyle w:val="FormatvorlageInstructionsTabelleText"/>
                <w:rFonts w:ascii="Times New Roman" w:hAnsi="Times New Roman"/>
                <w:sz w:val="24"/>
              </w:rPr>
              <w:t>väčšia než hodnota uvedená</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článku 95 ods. 2 písm. b)</w:t>
            </w:r>
            <w:r w:rsidRPr="00E07C9A">
              <w:t xml:space="preserve"> uvedeného nariadenia</w:t>
            </w:r>
            <w:r w:rsidRPr="00E07C9A">
              <w:rPr>
                <w:rStyle w:val="FormatvorlageInstructionsTabelleText"/>
                <w:rFonts w:ascii="Times New Roman" w:hAnsi="Times New Roman"/>
                <w:sz w:val="24"/>
              </w:rPr>
              <w:t>, vykazovaná hodnota sa rovná nule.</w:t>
            </w:r>
          </w:p>
          <w:p w14:paraId="27EC85F3" w14:textId="11304506" w:rsidR="00802958" w:rsidRPr="00E07C9A" w:rsidRDefault="00802958" w:rsidP="00566DB5">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w:t>
            </w:r>
            <w:r w:rsidRPr="00E07C9A">
              <w:tab/>
            </w:r>
            <w:r w:rsidRPr="00E07C9A">
              <w:rPr>
                <w:rStyle w:val="FormatvorlageInstructionsTabelleText"/>
                <w:rFonts w:ascii="Times New Roman" w:hAnsi="Times New Roman"/>
                <w:sz w:val="24"/>
              </w:rPr>
              <w:t>Ak je</w:t>
            </w:r>
            <w:r w:rsidRPr="00E07C9A">
              <w:t xml:space="preserve"> </w:t>
            </w:r>
            <w:r w:rsidRPr="00E07C9A">
              <w:rPr>
                <w:rStyle w:val="FormatvorlageInstructionsTabelleText"/>
                <w:rFonts w:ascii="Times New Roman" w:hAnsi="Times New Roman"/>
                <w:sz w:val="24"/>
              </w:rPr>
              <w:t>hodnota uvedená</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článku 95 ods. 2 písm. b)</w:t>
            </w:r>
            <w:r w:rsidRPr="00E07C9A">
              <w:t xml:space="preserve"> nariadenia (EÚ) </w:t>
            </w:r>
            <w:r w:rsidR="009912F8" w:rsidRPr="00E07C9A">
              <w:t>č. 575/2013</w:t>
            </w:r>
            <w:r w:rsidRPr="00E07C9A">
              <w:t xml:space="preserve"> </w:t>
            </w:r>
            <w:r w:rsidRPr="00E07C9A">
              <w:rPr>
                <w:rStyle w:val="FormatvorlageInstructionsTabelleText"/>
                <w:rFonts w:ascii="Times New Roman" w:hAnsi="Times New Roman"/>
                <w:sz w:val="24"/>
              </w:rPr>
              <w:t>väčšia než hodnota uvedená</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článku 95 ods. 2 písm. a)</w:t>
            </w:r>
            <w:r w:rsidRPr="00E07C9A">
              <w:t xml:space="preserve"> uvedeného nariadenia</w:t>
            </w:r>
            <w:r w:rsidRPr="00E07C9A">
              <w:rPr>
                <w:rStyle w:val="FormatvorlageInstructionsTabelleText"/>
                <w:rFonts w:ascii="Times New Roman" w:hAnsi="Times New Roman"/>
                <w:sz w:val="24"/>
              </w:rPr>
              <w:t xml:space="preserve">, vykazovaná hodnota je výsledok odpočtu druhej hodnoty od prvej. </w:t>
            </w:r>
          </w:p>
        </w:tc>
      </w:tr>
      <w:tr w:rsidR="00802958" w:rsidRPr="00E07C9A" w14:paraId="4BCB8248" w14:textId="77777777" w:rsidTr="00672D2A">
        <w:tc>
          <w:tcPr>
            <w:tcW w:w="1591" w:type="dxa"/>
          </w:tcPr>
          <w:p w14:paraId="78BBCDB4" w14:textId="77777777" w:rsidR="00802958" w:rsidRPr="00E07C9A" w:rsidRDefault="00B13F06"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0640</w:t>
            </w:r>
          </w:p>
        </w:tc>
        <w:tc>
          <w:tcPr>
            <w:tcW w:w="7274" w:type="dxa"/>
          </w:tcPr>
          <w:p w14:paraId="57CF7045" w14:textId="77777777" w:rsidR="00802958" w:rsidRPr="00E07C9A" w:rsidRDefault="00802958" w:rsidP="00487A02">
            <w:pPr>
              <w:pStyle w:val="InstructionsText"/>
              <w:rPr>
                <w:rStyle w:val="InstructionsTabelleberschrift"/>
                <w:rFonts w:ascii="Times New Roman" w:hAnsi="Times New Roman"/>
                <w:bCs w:val="0"/>
                <w:sz w:val="24"/>
              </w:rPr>
            </w:pPr>
            <w:r w:rsidRPr="00E07C9A">
              <w:rPr>
                <w:rStyle w:val="InstructionsTabelleberschrift"/>
                <w:rFonts w:ascii="Times New Roman" w:hAnsi="Times New Roman"/>
                <w:sz w:val="24"/>
              </w:rPr>
              <w:t>1.6.</w:t>
            </w:r>
            <w:r w:rsidRPr="00E07C9A">
              <w:tab/>
            </w:r>
            <w:r w:rsidRPr="00E07C9A">
              <w:rPr>
                <w:rStyle w:val="InstructionsTabelleberschrift"/>
                <w:rFonts w:ascii="Times New Roman" w:hAnsi="Times New Roman"/>
                <w:sz w:val="24"/>
              </w:rPr>
              <w:t>CELKOVÁ HODNOTA RIZIKOVEJ EXPOZÍCIE PRE ÚPRAVU OCENENIA POHĽADÁVKY (CVA)</w:t>
            </w:r>
          </w:p>
          <w:p w14:paraId="4C12E6E6" w14:textId="1452964A" w:rsidR="00E3279F" w:rsidRPr="00E07C9A" w:rsidRDefault="00802958" w:rsidP="00487A02">
            <w:pPr>
              <w:pStyle w:val="InstructionsText"/>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 xml:space="preserve">Článok 92 ods. 3 písm. d) </w:t>
            </w:r>
            <w:r w:rsidRPr="00E07C9A">
              <w:t xml:space="preserve">nariadenia (EÚ) </w:t>
            </w:r>
            <w:r w:rsidR="009912F8" w:rsidRPr="00E07C9A">
              <w:t>č. 575/2013</w:t>
            </w:r>
          </w:p>
          <w:p w14:paraId="0C30EB9C" w14:textId="77777777" w:rsidR="00802958" w:rsidRPr="00E07C9A" w:rsidRDefault="00802958" w:rsidP="00487A02">
            <w:pPr>
              <w:pStyle w:val="InstructionsText"/>
              <w:rPr>
                <w:rStyle w:val="FormatvorlageInstructionsTabelleText"/>
                <w:rFonts w:ascii="Times New Roman" w:hAnsi="Times New Roman"/>
                <w:bCs w:val="0"/>
                <w:sz w:val="24"/>
              </w:rPr>
            </w:pPr>
            <w:r w:rsidRPr="00E07C9A">
              <w:rPr>
                <w:rStyle w:val="InstructionsTabelleberschrift"/>
                <w:rFonts w:ascii="Times New Roman" w:hAnsi="Times New Roman"/>
                <w:b w:val="0"/>
                <w:sz w:val="24"/>
                <w:u w:val="none"/>
              </w:rPr>
              <w:t>Pozri vzor CVA.</w:t>
            </w:r>
            <w:r w:rsidRPr="00E07C9A">
              <w:rPr>
                <w:rStyle w:val="FormatvorlageInstructionsTabelleText"/>
                <w:rFonts w:ascii="Times New Roman" w:hAnsi="Times New Roman"/>
                <w:sz w:val="24"/>
              </w:rPr>
              <w:t xml:space="preserve"> </w:t>
            </w:r>
          </w:p>
        </w:tc>
      </w:tr>
      <w:tr w:rsidR="00802958" w:rsidRPr="00E07C9A" w14:paraId="7BCA4248" w14:textId="77777777" w:rsidTr="00672D2A">
        <w:tc>
          <w:tcPr>
            <w:tcW w:w="1591" w:type="dxa"/>
          </w:tcPr>
          <w:p w14:paraId="5951F05A" w14:textId="77777777" w:rsidR="00802958" w:rsidRPr="00E07C9A" w:rsidRDefault="00B13F06"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0650</w:t>
            </w:r>
          </w:p>
        </w:tc>
        <w:tc>
          <w:tcPr>
            <w:tcW w:w="7274" w:type="dxa"/>
          </w:tcPr>
          <w:p w14:paraId="377E91A0" w14:textId="77777777" w:rsidR="00802958" w:rsidRPr="00E07C9A" w:rsidRDefault="00802958" w:rsidP="00487A02">
            <w:pPr>
              <w:pStyle w:val="InstructionsText"/>
              <w:rPr>
                <w:rStyle w:val="FormatvorlageInstructionsTabelleText"/>
                <w:rFonts w:ascii="Times New Roman" w:hAnsi="Times New Roman"/>
                <w:b/>
                <w:sz w:val="24"/>
                <w:u w:val="single"/>
              </w:rPr>
            </w:pPr>
            <w:r w:rsidRPr="00E07C9A">
              <w:rPr>
                <w:rStyle w:val="InstructionsTabelleberschrift"/>
                <w:rFonts w:ascii="Times New Roman" w:hAnsi="Times New Roman"/>
                <w:sz w:val="24"/>
              </w:rPr>
              <w:t>1.6.1.</w:t>
            </w:r>
            <w:r w:rsidRPr="00E07C9A">
              <w:tab/>
            </w:r>
            <w:r w:rsidRPr="00E07C9A">
              <w:rPr>
                <w:rStyle w:val="InstructionsTabelleberschrift"/>
                <w:rFonts w:ascii="Times New Roman" w:hAnsi="Times New Roman"/>
                <w:sz w:val="24"/>
              </w:rPr>
              <w:t>Pokročilá metóda</w:t>
            </w:r>
          </w:p>
          <w:p w14:paraId="0DA5744E" w14:textId="50E69363" w:rsidR="001E3EF1" w:rsidRPr="00E07C9A" w:rsidRDefault="00802958" w:rsidP="00802958">
            <w:pPr>
              <w:rPr>
                <w:rStyle w:val="FormatvorlageInstructionsTabelleText"/>
                <w:rFonts w:ascii="Times New Roman" w:hAnsi="Times New Roman"/>
                <w:sz w:val="24"/>
              </w:rPr>
            </w:pPr>
            <w:r w:rsidRPr="00E07C9A">
              <w:rPr>
                <w:rStyle w:val="FormatvorlageInstructionsTabelleText"/>
                <w:rFonts w:ascii="Times New Roman" w:hAnsi="Times New Roman"/>
                <w:sz w:val="24"/>
              </w:rPr>
              <w:t>Požiadavky na vlastné zdroje pre riziko úpravy ocenenia pohľadávok</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súlade</w:t>
            </w:r>
            <w:r w:rsidR="009912F8" w:rsidRPr="00E07C9A">
              <w:rPr>
                <w:rStyle w:val="FormatvorlageInstructionsTabelleText"/>
                <w:rFonts w:ascii="Times New Roman" w:hAnsi="Times New Roman"/>
                <w:sz w:val="24"/>
              </w:rPr>
              <w:t xml:space="preserve"> s </w:t>
            </w:r>
            <w:r w:rsidRPr="00E07C9A">
              <w:rPr>
                <w:rStyle w:val="FormatvorlageInstructionsTabelleText"/>
                <w:rFonts w:ascii="Times New Roman" w:hAnsi="Times New Roman"/>
                <w:sz w:val="24"/>
              </w:rPr>
              <w:t>článkom 383</w:t>
            </w:r>
            <w:r w:rsidRPr="00E07C9A">
              <w:rPr>
                <w:rFonts w:ascii="Times New Roman" w:hAnsi="Times New Roman"/>
                <w:sz w:val="24"/>
              </w:rPr>
              <w:t xml:space="preserve"> nariadenia (EÚ) </w:t>
            </w:r>
            <w:r w:rsidR="009912F8" w:rsidRPr="00E07C9A">
              <w:rPr>
                <w:rFonts w:ascii="Times New Roman" w:hAnsi="Times New Roman"/>
                <w:sz w:val="24"/>
              </w:rPr>
              <w:t>č. 575/2013</w:t>
            </w:r>
            <w:r w:rsidRPr="00E07C9A">
              <w:rPr>
                <w:rStyle w:val="FormatvorlageInstructionsTabelleText"/>
                <w:rFonts w:ascii="Times New Roman" w:hAnsi="Times New Roman"/>
                <w:sz w:val="24"/>
              </w:rPr>
              <w:t>.</w:t>
            </w:r>
          </w:p>
          <w:p w14:paraId="1F6B8B43" w14:textId="77777777" w:rsidR="00802958" w:rsidRPr="00E07C9A" w:rsidRDefault="00802958" w:rsidP="00802958">
            <w:pPr>
              <w:rPr>
                <w:rStyle w:val="FormatvorlageInstructionsTabelleText"/>
                <w:rFonts w:ascii="Times New Roman" w:hAnsi="Times New Roman"/>
                <w:sz w:val="24"/>
              </w:rPr>
            </w:pPr>
            <w:r w:rsidRPr="00E07C9A">
              <w:rPr>
                <w:rStyle w:val="FormatvorlageInstructionsTabelleText"/>
                <w:rFonts w:ascii="Times New Roman" w:hAnsi="Times New Roman"/>
                <w:sz w:val="24"/>
              </w:rPr>
              <w:t>Pozri vzor CVA.</w:t>
            </w:r>
          </w:p>
        </w:tc>
      </w:tr>
      <w:tr w:rsidR="00802958" w:rsidRPr="00E07C9A" w14:paraId="0BC322DF" w14:textId="77777777" w:rsidTr="00672D2A">
        <w:tc>
          <w:tcPr>
            <w:tcW w:w="1591" w:type="dxa"/>
          </w:tcPr>
          <w:p w14:paraId="195DC629" w14:textId="77777777" w:rsidR="00802958" w:rsidRPr="00E07C9A" w:rsidRDefault="00B13F06"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0660</w:t>
            </w:r>
          </w:p>
        </w:tc>
        <w:tc>
          <w:tcPr>
            <w:tcW w:w="7274" w:type="dxa"/>
          </w:tcPr>
          <w:p w14:paraId="3D87CC11" w14:textId="77777777" w:rsidR="00802958" w:rsidRPr="00E07C9A" w:rsidRDefault="00802958" w:rsidP="00487A02">
            <w:pPr>
              <w:pStyle w:val="InstructionsText"/>
              <w:rPr>
                <w:rStyle w:val="FormatvorlageInstructionsTabelleText"/>
                <w:rFonts w:ascii="Times New Roman" w:hAnsi="Times New Roman"/>
                <w:b/>
                <w:sz w:val="24"/>
                <w:u w:val="single"/>
              </w:rPr>
            </w:pPr>
            <w:r w:rsidRPr="00E07C9A">
              <w:rPr>
                <w:rStyle w:val="InstructionsTabelleberschrift"/>
                <w:rFonts w:ascii="Times New Roman" w:hAnsi="Times New Roman"/>
                <w:sz w:val="24"/>
              </w:rPr>
              <w:t>1.6.2.</w:t>
            </w:r>
            <w:r w:rsidRPr="00E07C9A">
              <w:tab/>
            </w:r>
            <w:r w:rsidRPr="00E07C9A">
              <w:rPr>
                <w:rStyle w:val="InstructionsTabelleberschrift"/>
                <w:rFonts w:ascii="Times New Roman" w:hAnsi="Times New Roman"/>
                <w:sz w:val="24"/>
              </w:rPr>
              <w:t>Štandardizovaná metóda</w:t>
            </w:r>
          </w:p>
          <w:p w14:paraId="7FEF1C7E" w14:textId="7FC70BD8" w:rsidR="009912F8" w:rsidRPr="00E07C9A" w:rsidRDefault="00802958" w:rsidP="00802958">
            <w:pPr>
              <w:rPr>
                <w:rStyle w:val="FormatvorlageInstructionsTabelleText"/>
                <w:rFonts w:ascii="Times New Roman" w:hAnsi="Times New Roman"/>
                <w:sz w:val="24"/>
              </w:rPr>
            </w:pPr>
            <w:r w:rsidRPr="00E07C9A">
              <w:rPr>
                <w:rStyle w:val="FormatvorlageInstructionsTabelleText"/>
                <w:rFonts w:ascii="Times New Roman" w:hAnsi="Times New Roman"/>
                <w:sz w:val="24"/>
              </w:rPr>
              <w:t>Požiadavky na vlastné zdroje pre riziko úpravy ocenenia pohľadávok</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súlade</w:t>
            </w:r>
            <w:r w:rsidR="009912F8" w:rsidRPr="00E07C9A">
              <w:rPr>
                <w:rStyle w:val="FormatvorlageInstructionsTabelleText"/>
                <w:rFonts w:ascii="Times New Roman" w:hAnsi="Times New Roman"/>
                <w:sz w:val="24"/>
              </w:rPr>
              <w:t xml:space="preserve"> s </w:t>
            </w:r>
            <w:r w:rsidRPr="00E07C9A">
              <w:rPr>
                <w:rStyle w:val="FormatvorlageInstructionsTabelleText"/>
                <w:rFonts w:ascii="Times New Roman" w:hAnsi="Times New Roman"/>
                <w:sz w:val="24"/>
              </w:rPr>
              <w:t>článkom 384</w:t>
            </w:r>
            <w:r w:rsidRPr="00E07C9A">
              <w:rPr>
                <w:rFonts w:ascii="Times New Roman" w:hAnsi="Times New Roman"/>
                <w:sz w:val="24"/>
              </w:rPr>
              <w:t xml:space="preserve"> nariadenia (EÚ) </w:t>
            </w:r>
            <w:r w:rsidR="009912F8" w:rsidRPr="00E07C9A">
              <w:rPr>
                <w:rFonts w:ascii="Times New Roman" w:hAnsi="Times New Roman"/>
                <w:sz w:val="24"/>
              </w:rPr>
              <w:t>č. 575/2013</w:t>
            </w:r>
            <w:r w:rsidR="009912F8" w:rsidRPr="00E07C9A">
              <w:rPr>
                <w:rStyle w:val="FormatvorlageInstructionsTabelleText"/>
                <w:rFonts w:ascii="Times New Roman" w:hAnsi="Times New Roman"/>
                <w:sz w:val="24"/>
              </w:rPr>
              <w:t>.</w:t>
            </w:r>
          </w:p>
          <w:p w14:paraId="7BABE027" w14:textId="62700EA8" w:rsidR="00802958" w:rsidRPr="00E07C9A" w:rsidRDefault="00802958" w:rsidP="00802958">
            <w:pPr>
              <w:rPr>
                <w:rStyle w:val="FormatvorlageInstructionsTabelleText"/>
                <w:rFonts w:ascii="Times New Roman" w:hAnsi="Times New Roman"/>
                <w:sz w:val="24"/>
              </w:rPr>
            </w:pPr>
            <w:r w:rsidRPr="00E07C9A">
              <w:rPr>
                <w:rStyle w:val="FormatvorlageInstructionsTabelleText"/>
                <w:rFonts w:ascii="Times New Roman" w:hAnsi="Times New Roman"/>
                <w:sz w:val="24"/>
              </w:rPr>
              <w:t>Pozri vzor CVA.</w:t>
            </w:r>
          </w:p>
        </w:tc>
      </w:tr>
      <w:tr w:rsidR="00802958" w:rsidRPr="00E07C9A" w14:paraId="636CC6AD" w14:textId="77777777" w:rsidTr="00672D2A">
        <w:tc>
          <w:tcPr>
            <w:tcW w:w="1591" w:type="dxa"/>
          </w:tcPr>
          <w:p w14:paraId="581D6B4D" w14:textId="77777777" w:rsidR="00802958" w:rsidRPr="00E07C9A" w:rsidRDefault="00B13F06"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0670</w:t>
            </w:r>
          </w:p>
        </w:tc>
        <w:tc>
          <w:tcPr>
            <w:tcW w:w="7274" w:type="dxa"/>
          </w:tcPr>
          <w:p w14:paraId="7BAA3BD7" w14:textId="77777777" w:rsidR="00802958" w:rsidRPr="00E07C9A" w:rsidRDefault="00802958" w:rsidP="00487A02">
            <w:pPr>
              <w:pStyle w:val="InstructionsText"/>
              <w:rPr>
                <w:rStyle w:val="InstructionsTabelleberschrift"/>
                <w:rFonts w:ascii="Times New Roman" w:hAnsi="Times New Roman"/>
                <w:bCs w:val="0"/>
                <w:sz w:val="24"/>
              </w:rPr>
            </w:pPr>
            <w:r w:rsidRPr="00E07C9A">
              <w:rPr>
                <w:rStyle w:val="InstructionsTabelleberschrift"/>
                <w:rFonts w:ascii="Times New Roman" w:hAnsi="Times New Roman"/>
                <w:sz w:val="24"/>
              </w:rPr>
              <w:t>1.6.3.</w:t>
            </w:r>
            <w:r w:rsidRPr="00E07C9A">
              <w:tab/>
            </w:r>
            <w:r w:rsidRPr="00E07C9A">
              <w:rPr>
                <w:rStyle w:val="InstructionsTabelleberschrift"/>
                <w:rFonts w:ascii="Times New Roman" w:hAnsi="Times New Roman"/>
                <w:sz w:val="24"/>
              </w:rPr>
              <w:t>Na základe metódy pôvodnej expozície</w:t>
            </w:r>
          </w:p>
          <w:p w14:paraId="0EE3C997" w14:textId="3321940A" w:rsidR="009912F8" w:rsidRPr="00E07C9A" w:rsidRDefault="00802958"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Požiadavky na vlastné zdroje pre riziko úpravy ocenenia pohľadávok</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súlade</w:t>
            </w:r>
            <w:r w:rsidR="009912F8" w:rsidRPr="00E07C9A">
              <w:rPr>
                <w:rStyle w:val="FormatvorlageInstructionsTabelleText"/>
                <w:rFonts w:ascii="Times New Roman" w:hAnsi="Times New Roman"/>
                <w:sz w:val="24"/>
              </w:rPr>
              <w:t xml:space="preserve"> s </w:t>
            </w:r>
            <w:r w:rsidRPr="00E07C9A">
              <w:rPr>
                <w:rStyle w:val="FormatvorlageInstructionsTabelleText"/>
                <w:rFonts w:ascii="Times New Roman" w:hAnsi="Times New Roman"/>
                <w:sz w:val="24"/>
              </w:rPr>
              <w:t>článkom 385</w:t>
            </w:r>
            <w:r w:rsidRPr="00E07C9A">
              <w:t xml:space="preserve"> nariadenia (EÚ) </w:t>
            </w:r>
            <w:r w:rsidR="009912F8" w:rsidRPr="00E07C9A">
              <w:t>č. 575/2013</w:t>
            </w:r>
            <w:r w:rsidR="009912F8" w:rsidRPr="00E07C9A">
              <w:rPr>
                <w:rStyle w:val="FormatvorlageInstructionsTabelleText"/>
                <w:rFonts w:ascii="Times New Roman" w:hAnsi="Times New Roman"/>
                <w:sz w:val="24"/>
              </w:rPr>
              <w:t>.</w:t>
            </w:r>
          </w:p>
          <w:p w14:paraId="7B721A6D" w14:textId="13250955" w:rsidR="00802958" w:rsidRPr="00E07C9A" w:rsidRDefault="00802958" w:rsidP="00487A02">
            <w:pPr>
              <w:pStyle w:val="InstructionsText"/>
              <w:rPr>
                <w:rStyle w:val="InstructionsTabelleberschrift"/>
                <w:rFonts w:ascii="Times New Roman" w:hAnsi="Times New Roman"/>
                <w:b w:val="0"/>
                <w:bCs w:val="0"/>
                <w:sz w:val="24"/>
                <w:u w:val="none"/>
              </w:rPr>
            </w:pPr>
            <w:r w:rsidRPr="00E07C9A">
              <w:rPr>
                <w:rStyle w:val="FormatvorlageInstructionsTabelleText"/>
                <w:rFonts w:ascii="Times New Roman" w:hAnsi="Times New Roman"/>
                <w:sz w:val="24"/>
              </w:rPr>
              <w:lastRenderedPageBreak/>
              <w:t>Pozri vzor CVA.</w:t>
            </w:r>
          </w:p>
        </w:tc>
      </w:tr>
      <w:tr w:rsidR="00802958" w:rsidRPr="00E07C9A" w14:paraId="453A4987" w14:textId="77777777" w:rsidTr="00672D2A">
        <w:tc>
          <w:tcPr>
            <w:tcW w:w="1591" w:type="dxa"/>
          </w:tcPr>
          <w:p w14:paraId="5F0EB715" w14:textId="77777777" w:rsidR="00802958" w:rsidRPr="00E07C9A" w:rsidRDefault="00B13F06" w:rsidP="00487A02">
            <w:pPr>
              <w:pStyle w:val="InstructionsText"/>
              <w:rPr>
                <w:rStyle w:val="FormatvorlageInstructionsTabelleText"/>
                <w:rFonts w:ascii="Times New Roman" w:hAnsi="Times New Roman"/>
                <w:bCs w:val="0"/>
                <w:sz w:val="24"/>
              </w:rPr>
            </w:pPr>
            <w:r w:rsidRPr="00E07C9A">
              <w:rPr>
                <w:rStyle w:val="FormatvorlageInstructionsTabelleText"/>
                <w:rFonts w:ascii="Times New Roman" w:hAnsi="Times New Roman"/>
                <w:sz w:val="24"/>
              </w:rPr>
              <w:lastRenderedPageBreak/>
              <w:t>0680</w:t>
            </w:r>
          </w:p>
        </w:tc>
        <w:tc>
          <w:tcPr>
            <w:tcW w:w="7274" w:type="dxa"/>
          </w:tcPr>
          <w:p w14:paraId="52929178" w14:textId="351FFE03" w:rsidR="00802958" w:rsidRPr="00E07C9A" w:rsidRDefault="00802958" w:rsidP="00487A02">
            <w:pPr>
              <w:pStyle w:val="InstructionsText"/>
              <w:rPr>
                <w:rStyle w:val="FormatvorlageInstructionsTabelleText"/>
                <w:rFonts w:ascii="Times New Roman" w:hAnsi="Times New Roman"/>
                <w:b/>
                <w:bCs w:val="0"/>
                <w:sz w:val="24"/>
                <w:u w:val="single"/>
              </w:rPr>
            </w:pPr>
            <w:r w:rsidRPr="00E07C9A">
              <w:rPr>
                <w:rStyle w:val="InstructionsTabelleberschrift"/>
                <w:rFonts w:ascii="Times New Roman" w:hAnsi="Times New Roman"/>
                <w:sz w:val="24"/>
              </w:rPr>
              <w:t>1.7.</w:t>
            </w:r>
            <w:r w:rsidRPr="00E07C9A">
              <w:tab/>
            </w:r>
            <w:r w:rsidRPr="00E07C9A">
              <w:rPr>
                <w:rStyle w:val="InstructionsTabelleberschrift"/>
                <w:rFonts w:ascii="Times New Roman" w:hAnsi="Times New Roman"/>
                <w:sz w:val="24"/>
              </w:rPr>
              <w:t>CELKOVÁ HODNOTA RIZIKOVEJ EXPOZÍCIE SÚVISIACA</w:t>
            </w:r>
            <w:r w:rsidR="009912F8" w:rsidRPr="00E07C9A">
              <w:rPr>
                <w:rStyle w:val="InstructionsTabelleberschrift"/>
                <w:rFonts w:ascii="Times New Roman" w:hAnsi="Times New Roman"/>
                <w:sz w:val="24"/>
              </w:rPr>
              <w:t xml:space="preserve"> S </w:t>
            </w:r>
            <w:r w:rsidRPr="00E07C9A">
              <w:rPr>
                <w:rStyle w:val="InstructionsTabelleberschrift"/>
                <w:rFonts w:ascii="Times New Roman" w:hAnsi="Times New Roman"/>
                <w:sz w:val="24"/>
              </w:rPr>
              <w:t>VEĽKOU MAJETKOVOU ANGAŽOVANOSŤOU</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OBCHODNEJ KNIHE</w:t>
            </w:r>
          </w:p>
          <w:p w14:paraId="5BE39790" w14:textId="6D65CE88" w:rsidR="00802958" w:rsidRPr="00E07C9A" w:rsidRDefault="00802958" w:rsidP="00487A02">
            <w:pPr>
              <w:pStyle w:val="InstructionsText"/>
              <w:rPr>
                <w:rStyle w:val="FormatvorlageInstructionsTabelleText"/>
                <w:rFonts w:ascii="Times New Roman" w:hAnsi="Times New Roman"/>
                <w:bCs w:val="0"/>
                <w:sz w:val="24"/>
              </w:rPr>
            </w:pPr>
            <w:r w:rsidRPr="00E07C9A">
              <w:rPr>
                <w:rStyle w:val="FormatvorlageInstructionsTabelleText"/>
                <w:rFonts w:ascii="Times New Roman" w:hAnsi="Times New Roman"/>
                <w:sz w:val="24"/>
              </w:rPr>
              <w:t>Článok 92 ods. 3 písm. b) bod ii)</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články 395 až 401</w:t>
            </w:r>
            <w:r w:rsidRPr="00E07C9A">
              <w:t xml:space="preserve">nariadenia (EÚ) </w:t>
            </w:r>
            <w:r w:rsidR="009912F8" w:rsidRPr="00E07C9A">
              <w:t>č. 575/2013</w:t>
            </w:r>
          </w:p>
        </w:tc>
      </w:tr>
      <w:tr w:rsidR="00802958" w:rsidRPr="00E07C9A" w14:paraId="46CB2AF1" w14:textId="77777777" w:rsidTr="00672D2A">
        <w:tc>
          <w:tcPr>
            <w:tcW w:w="1591" w:type="dxa"/>
          </w:tcPr>
          <w:p w14:paraId="68238E31" w14:textId="77777777" w:rsidR="00802958" w:rsidRPr="00E07C9A" w:rsidRDefault="00B13F06"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0690</w:t>
            </w:r>
          </w:p>
        </w:tc>
        <w:tc>
          <w:tcPr>
            <w:tcW w:w="7274" w:type="dxa"/>
          </w:tcPr>
          <w:p w14:paraId="3712D8F3" w14:textId="77777777" w:rsidR="00802958" w:rsidRPr="00E07C9A" w:rsidRDefault="00802958"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1.8.</w:t>
            </w:r>
            <w:r w:rsidRPr="00E07C9A">
              <w:tab/>
            </w:r>
            <w:r w:rsidRPr="00E07C9A">
              <w:rPr>
                <w:rStyle w:val="InstructionsTabelleberschrift"/>
                <w:rFonts w:ascii="Times New Roman" w:hAnsi="Times New Roman"/>
                <w:sz w:val="24"/>
              </w:rPr>
              <w:t>INÉ HODNOTY RIZIKOVÝCH EXPOZÍCIÍ</w:t>
            </w:r>
          </w:p>
          <w:p w14:paraId="07AACECE" w14:textId="268A7D37" w:rsidR="009912F8" w:rsidRPr="00E07C9A" w:rsidRDefault="00802958" w:rsidP="00487A02">
            <w:pPr>
              <w:pStyle w:val="InstructionsText"/>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Články 3, 458</w:t>
            </w:r>
            <w:r w:rsidR="009912F8" w:rsidRPr="00E07C9A">
              <w:rPr>
                <w:rStyle w:val="InstructionsTabelleberschrift"/>
                <w:rFonts w:ascii="Times New Roman" w:hAnsi="Times New Roman"/>
                <w:b w:val="0"/>
                <w:sz w:val="24"/>
                <w:u w:val="none"/>
              </w:rPr>
              <w:t xml:space="preserve"> a </w:t>
            </w:r>
            <w:r w:rsidRPr="00E07C9A">
              <w:rPr>
                <w:rStyle w:val="InstructionsTabelleberschrift"/>
                <w:rFonts w:ascii="Times New Roman" w:hAnsi="Times New Roman"/>
                <w:b w:val="0"/>
                <w:sz w:val="24"/>
                <w:u w:val="none"/>
              </w:rPr>
              <w:t>459</w:t>
            </w:r>
            <w:r w:rsidRPr="00E07C9A">
              <w:t xml:space="preserve"> nariadenia (EÚ) </w:t>
            </w:r>
            <w:r w:rsidR="009912F8" w:rsidRPr="00E07C9A">
              <w:t>č. 575/2013 a </w:t>
            </w:r>
            <w:r w:rsidRPr="00E07C9A">
              <w:rPr>
                <w:rStyle w:val="InstructionsTabelleberschrift"/>
                <w:rFonts w:ascii="Times New Roman" w:hAnsi="Times New Roman"/>
                <w:b w:val="0"/>
                <w:sz w:val="24"/>
                <w:u w:val="none"/>
              </w:rPr>
              <w:t>hodnoty rizikových expozícií, ktoré nemožno priradiť</w:t>
            </w:r>
            <w:r w:rsidR="009912F8" w:rsidRPr="00E07C9A">
              <w:rPr>
                <w:rStyle w:val="InstructionsTabelleberschrift"/>
                <w:rFonts w:ascii="Times New Roman" w:hAnsi="Times New Roman"/>
                <w:b w:val="0"/>
                <w:sz w:val="24"/>
                <w:u w:val="none"/>
              </w:rPr>
              <w:t xml:space="preserve"> k </w:t>
            </w:r>
            <w:r w:rsidRPr="00E07C9A">
              <w:rPr>
                <w:rStyle w:val="InstructionsTabelleberschrift"/>
                <w:rFonts w:ascii="Times New Roman" w:hAnsi="Times New Roman"/>
                <w:b w:val="0"/>
                <w:sz w:val="24"/>
                <w:u w:val="none"/>
              </w:rPr>
              <w:t>žiadnej</w:t>
            </w:r>
            <w:r w:rsidR="009912F8" w:rsidRPr="00E07C9A">
              <w:rPr>
                <w:rStyle w:val="InstructionsTabelleberschrift"/>
                <w:rFonts w:ascii="Times New Roman" w:hAnsi="Times New Roman"/>
                <w:b w:val="0"/>
                <w:sz w:val="24"/>
                <w:u w:val="none"/>
              </w:rPr>
              <w:t xml:space="preserve"> z </w:t>
            </w:r>
            <w:r w:rsidRPr="00E07C9A">
              <w:rPr>
                <w:rStyle w:val="InstructionsTabelleberschrift"/>
                <w:rFonts w:ascii="Times New Roman" w:hAnsi="Times New Roman"/>
                <w:b w:val="0"/>
                <w:sz w:val="24"/>
                <w:u w:val="none"/>
              </w:rPr>
              <w:t>položiek 1.1 až 1.7</w:t>
            </w:r>
            <w:r w:rsidR="009912F8" w:rsidRPr="00E07C9A">
              <w:rPr>
                <w:rStyle w:val="InstructionsTabelleberschrift"/>
                <w:rFonts w:ascii="Times New Roman" w:hAnsi="Times New Roman"/>
                <w:b w:val="0"/>
                <w:sz w:val="24"/>
                <w:u w:val="none"/>
              </w:rPr>
              <w:t>.</w:t>
            </w:r>
          </w:p>
          <w:p w14:paraId="19DCED63" w14:textId="53B952D0" w:rsidR="00802958" w:rsidRPr="00E07C9A" w:rsidRDefault="00802958" w:rsidP="00487A02">
            <w:pPr>
              <w:pStyle w:val="InstructionsText"/>
              <w:rPr>
                <w:rStyle w:val="InstructionsTabelleberschrift"/>
                <w:rFonts w:ascii="Times New Roman" w:hAnsi="Times New Roman"/>
                <w:b w:val="0"/>
                <w:bCs w:val="0"/>
                <w:sz w:val="24"/>
                <w:u w:val="none"/>
              </w:rPr>
            </w:pPr>
            <w:r w:rsidRPr="00E07C9A">
              <w:rPr>
                <w:rStyle w:val="InstructionsTabelleberschrift"/>
                <w:rFonts w:ascii="Times New Roman" w:hAnsi="Times New Roman"/>
                <w:b w:val="0"/>
                <w:sz w:val="24"/>
                <w:u w:val="none"/>
              </w:rPr>
              <w:t>Inštitúcie vykazujú hodnoty potrebné na splnenie týchto požiadaviek:</w:t>
            </w:r>
          </w:p>
          <w:p w14:paraId="44B6209F" w14:textId="57394A7A" w:rsidR="009912F8" w:rsidRPr="00E07C9A" w:rsidRDefault="00802958" w:rsidP="00487A02">
            <w:pPr>
              <w:pStyle w:val="InstructionsText"/>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Prísnejšie prudenciálne požiadavky stanovené Komisiou</w:t>
            </w:r>
            <w:r w:rsidR="009912F8" w:rsidRPr="00E07C9A">
              <w:rPr>
                <w:rStyle w:val="InstructionsTabelleberschrift"/>
                <w:rFonts w:ascii="Times New Roman" w:hAnsi="Times New Roman"/>
                <w:b w:val="0"/>
                <w:sz w:val="24"/>
                <w:u w:val="none"/>
              </w:rPr>
              <w:t xml:space="preserve"> v </w:t>
            </w:r>
            <w:r w:rsidRPr="00E07C9A">
              <w:rPr>
                <w:rStyle w:val="InstructionsTabelleberschrift"/>
                <w:rFonts w:ascii="Times New Roman" w:hAnsi="Times New Roman"/>
                <w:b w:val="0"/>
                <w:sz w:val="24"/>
                <w:u w:val="none"/>
              </w:rPr>
              <w:t>súlade</w:t>
            </w:r>
            <w:r w:rsidR="009912F8" w:rsidRPr="00E07C9A">
              <w:rPr>
                <w:rStyle w:val="InstructionsTabelleberschrift"/>
                <w:rFonts w:ascii="Times New Roman" w:hAnsi="Times New Roman"/>
                <w:b w:val="0"/>
                <w:sz w:val="24"/>
                <w:u w:val="none"/>
              </w:rPr>
              <w:t xml:space="preserve"> s </w:t>
            </w:r>
            <w:r w:rsidRPr="00E07C9A">
              <w:rPr>
                <w:rStyle w:val="InstructionsTabelleberschrift"/>
                <w:rFonts w:ascii="Times New Roman" w:hAnsi="Times New Roman"/>
                <w:b w:val="0"/>
                <w:sz w:val="24"/>
                <w:u w:val="none"/>
              </w:rPr>
              <w:t>článkami 458</w:t>
            </w:r>
            <w:r w:rsidR="009912F8" w:rsidRPr="00E07C9A">
              <w:rPr>
                <w:rStyle w:val="InstructionsTabelleberschrift"/>
                <w:rFonts w:ascii="Times New Roman" w:hAnsi="Times New Roman"/>
                <w:b w:val="0"/>
                <w:sz w:val="24"/>
                <w:u w:val="none"/>
              </w:rPr>
              <w:t xml:space="preserve"> a </w:t>
            </w:r>
            <w:r w:rsidRPr="00E07C9A">
              <w:rPr>
                <w:rStyle w:val="InstructionsTabelleberschrift"/>
                <w:rFonts w:ascii="Times New Roman" w:hAnsi="Times New Roman"/>
                <w:b w:val="0"/>
                <w:sz w:val="24"/>
                <w:u w:val="none"/>
              </w:rPr>
              <w:t>459</w:t>
            </w:r>
            <w:r w:rsidRPr="00E07C9A">
              <w:t xml:space="preserve"> nariadenia (EÚ) </w:t>
            </w:r>
            <w:r w:rsidR="009912F8" w:rsidRPr="00E07C9A">
              <w:t>č. 575/2013</w:t>
            </w:r>
            <w:r w:rsidR="009912F8" w:rsidRPr="00E07C9A">
              <w:rPr>
                <w:rStyle w:val="InstructionsTabelleberschrift"/>
                <w:rFonts w:ascii="Times New Roman" w:hAnsi="Times New Roman"/>
                <w:b w:val="0"/>
                <w:sz w:val="24"/>
                <w:u w:val="none"/>
              </w:rPr>
              <w:t>.</w:t>
            </w:r>
          </w:p>
          <w:p w14:paraId="469E9DD4" w14:textId="14728EE5" w:rsidR="00802958" w:rsidRPr="00E07C9A" w:rsidRDefault="00802958" w:rsidP="00487A02">
            <w:pPr>
              <w:pStyle w:val="InstructionsText"/>
              <w:rPr>
                <w:rStyle w:val="InstructionsTabelleberschrift"/>
                <w:rFonts w:ascii="Times New Roman" w:hAnsi="Times New Roman"/>
                <w:b w:val="0"/>
                <w:bCs w:val="0"/>
                <w:sz w:val="24"/>
                <w:u w:val="none"/>
              </w:rPr>
            </w:pPr>
            <w:r w:rsidRPr="00E07C9A">
              <w:rPr>
                <w:rStyle w:val="InstructionsTabelleberschrift"/>
                <w:rFonts w:ascii="Times New Roman" w:hAnsi="Times New Roman"/>
                <w:b w:val="0"/>
                <w:sz w:val="24"/>
                <w:u w:val="none"/>
              </w:rPr>
              <w:t>Dodatočné hodnoty rizikových expozícií na základe článku 3</w:t>
            </w:r>
            <w:r w:rsidRPr="00E07C9A">
              <w:t xml:space="preserve"> nariadenia (EÚ) </w:t>
            </w:r>
            <w:r w:rsidR="009912F8" w:rsidRPr="00E07C9A">
              <w:t>č. 575/2013</w:t>
            </w:r>
            <w:r w:rsidRPr="00E07C9A">
              <w:rPr>
                <w:rStyle w:val="InstructionsTabelleberschrift"/>
                <w:rFonts w:ascii="Times New Roman" w:hAnsi="Times New Roman"/>
                <w:b w:val="0"/>
                <w:sz w:val="24"/>
                <w:u w:val="none"/>
              </w:rPr>
              <w:t>.</w:t>
            </w:r>
          </w:p>
          <w:p w14:paraId="4E199738" w14:textId="251525DE" w:rsidR="00802958" w:rsidRPr="00E07C9A" w:rsidRDefault="00802958" w:rsidP="00487A02">
            <w:pPr>
              <w:pStyle w:val="InstructionsText"/>
              <w:rPr>
                <w:rStyle w:val="InstructionsTabelleberschrift"/>
                <w:rFonts w:ascii="Times New Roman" w:hAnsi="Times New Roman"/>
                <w:bCs w:val="0"/>
                <w:sz w:val="24"/>
                <w:u w:val="none"/>
              </w:rPr>
            </w:pPr>
            <w:r w:rsidRPr="00E07C9A">
              <w:rPr>
                <w:rStyle w:val="InstructionsTabelleberschrift"/>
                <w:rFonts w:ascii="Times New Roman" w:hAnsi="Times New Roman"/>
                <w:b w:val="0"/>
                <w:sz w:val="24"/>
                <w:u w:val="none"/>
              </w:rPr>
              <w:t>Táto položka nie je spojená</w:t>
            </w:r>
            <w:r w:rsidR="009912F8" w:rsidRPr="00E07C9A">
              <w:rPr>
                <w:rStyle w:val="InstructionsTabelleberschrift"/>
                <w:rFonts w:ascii="Times New Roman" w:hAnsi="Times New Roman"/>
                <w:b w:val="0"/>
                <w:sz w:val="24"/>
                <w:u w:val="none"/>
              </w:rPr>
              <w:t xml:space="preserve"> s </w:t>
            </w:r>
            <w:r w:rsidRPr="00E07C9A">
              <w:rPr>
                <w:rStyle w:val="InstructionsTabelleberschrift"/>
                <w:rFonts w:ascii="Times New Roman" w:hAnsi="Times New Roman"/>
                <w:b w:val="0"/>
                <w:sz w:val="24"/>
                <w:u w:val="none"/>
              </w:rPr>
              <w:t xml:space="preserve">podrobným vzorom. </w:t>
            </w:r>
          </w:p>
        </w:tc>
      </w:tr>
      <w:tr w:rsidR="00802958" w:rsidRPr="00E07C9A" w14:paraId="6B92E943" w14:textId="77777777" w:rsidTr="00672D2A">
        <w:tc>
          <w:tcPr>
            <w:tcW w:w="1591" w:type="dxa"/>
          </w:tcPr>
          <w:p w14:paraId="7B3B3318" w14:textId="77777777" w:rsidR="00802958" w:rsidRPr="00E07C9A" w:rsidRDefault="00B13F06"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0710</w:t>
            </w:r>
          </w:p>
        </w:tc>
        <w:tc>
          <w:tcPr>
            <w:tcW w:w="7274" w:type="dxa"/>
          </w:tcPr>
          <w:p w14:paraId="29240DDD" w14:textId="089A63CC" w:rsidR="00802958" w:rsidRPr="00E07C9A" w:rsidRDefault="00802958"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1.8.2.</w:t>
            </w:r>
            <w:r w:rsidRPr="00E07C9A">
              <w:tab/>
            </w:r>
            <w:r w:rsidRPr="00E07C9A">
              <w:rPr>
                <w:rStyle w:val="InstructionsTabelleberschrift"/>
                <w:rFonts w:ascii="Times New Roman" w:hAnsi="Times New Roman"/>
                <w:sz w:val="24"/>
              </w:rPr>
              <w:t xml:space="preserve">Z čoho: dodatočné prísnejšie prudenciálne požiadavky na základe článku 458 nariadenia (EÚ) </w:t>
            </w:r>
            <w:r w:rsidR="009912F8" w:rsidRPr="00E07C9A">
              <w:rPr>
                <w:rStyle w:val="InstructionsTabelleberschrift"/>
                <w:rFonts w:ascii="Times New Roman" w:hAnsi="Times New Roman"/>
                <w:sz w:val="24"/>
              </w:rPr>
              <w:t>č. 575/2013</w:t>
            </w:r>
          </w:p>
          <w:p w14:paraId="6734B1B9" w14:textId="7F56D8F0" w:rsidR="00802958" w:rsidRPr="00E07C9A" w:rsidRDefault="00802958" w:rsidP="00487A02">
            <w:pPr>
              <w:pStyle w:val="InstructionsText"/>
              <w:rPr>
                <w:rStyle w:val="InstructionsTabelleberschrift"/>
                <w:rFonts w:ascii="Times New Roman" w:hAnsi="Times New Roman"/>
                <w:b w:val="0"/>
                <w:sz w:val="24"/>
                <w:u w:val="none"/>
              </w:rPr>
            </w:pPr>
            <w:r w:rsidRPr="00E07C9A">
              <w:rPr>
                <w:rStyle w:val="FormatvorlageInstructionsTabelleText"/>
                <w:rFonts w:ascii="Times New Roman" w:hAnsi="Times New Roman"/>
                <w:sz w:val="24"/>
              </w:rPr>
              <w:t xml:space="preserve">Článok 458 </w:t>
            </w:r>
            <w:r w:rsidRPr="00E07C9A">
              <w:t xml:space="preserve">nariadenia (EÚ) </w:t>
            </w:r>
            <w:r w:rsidR="009912F8" w:rsidRPr="00E07C9A">
              <w:t>č. 575/2013</w:t>
            </w:r>
          </w:p>
        </w:tc>
      </w:tr>
      <w:tr w:rsidR="00802958" w:rsidRPr="00E07C9A" w14:paraId="5072D0A4" w14:textId="77777777" w:rsidTr="00672D2A">
        <w:tc>
          <w:tcPr>
            <w:tcW w:w="1591" w:type="dxa"/>
          </w:tcPr>
          <w:p w14:paraId="7E0B8E1F" w14:textId="77777777" w:rsidR="00802958" w:rsidRPr="00E07C9A" w:rsidRDefault="00B13F06"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0720</w:t>
            </w:r>
          </w:p>
        </w:tc>
        <w:tc>
          <w:tcPr>
            <w:tcW w:w="7274" w:type="dxa"/>
          </w:tcPr>
          <w:p w14:paraId="1C5832ED" w14:textId="77777777" w:rsidR="00802958" w:rsidRPr="00E07C9A" w:rsidRDefault="00802958" w:rsidP="00487A02">
            <w:pPr>
              <w:pStyle w:val="InstructionsText"/>
            </w:pPr>
            <w:r w:rsidRPr="00E07C9A">
              <w:rPr>
                <w:rStyle w:val="InstructionsTabelleberschrift"/>
                <w:rFonts w:ascii="Times New Roman" w:hAnsi="Times New Roman"/>
                <w:sz w:val="24"/>
              </w:rPr>
              <w:t>1.8.2.*</w:t>
            </w:r>
            <w:r w:rsidRPr="00E07C9A">
              <w:tab/>
            </w:r>
            <w:r w:rsidRPr="00E07C9A">
              <w:rPr>
                <w:rStyle w:val="InstructionsTabelleberschrift"/>
                <w:rFonts w:ascii="Times New Roman" w:hAnsi="Times New Roman"/>
                <w:sz w:val="24"/>
              </w:rPr>
              <w:t>Z čoho: požiadavky pre veľkú majetkovú angažovanosť</w:t>
            </w:r>
          </w:p>
          <w:p w14:paraId="7EA664B8" w14:textId="7F1AB962" w:rsidR="00802958" w:rsidRPr="00E07C9A" w:rsidRDefault="00802958" w:rsidP="00487A02">
            <w:pPr>
              <w:pStyle w:val="InstructionsText"/>
              <w:rPr>
                <w:rStyle w:val="InstructionsTabelleberschrift"/>
                <w:rFonts w:ascii="Times New Roman" w:hAnsi="Times New Roman"/>
                <w:sz w:val="24"/>
              </w:rPr>
            </w:pPr>
            <w:r w:rsidRPr="00E07C9A">
              <w:t xml:space="preserve">Článok 458 nariadenia (EÚ) </w:t>
            </w:r>
            <w:r w:rsidR="009912F8" w:rsidRPr="00E07C9A">
              <w:t>č. 575/2013</w:t>
            </w:r>
          </w:p>
        </w:tc>
      </w:tr>
      <w:tr w:rsidR="00802958" w:rsidRPr="00E07C9A" w14:paraId="52BD382A" w14:textId="77777777" w:rsidTr="00672D2A">
        <w:tc>
          <w:tcPr>
            <w:tcW w:w="1591" w:type="dxa"/>
          </w:tcPr>
          <w:p w14:paraId="5FBB0FB3" w14:textId="77777777" w:rsidR="00802958" w:rsidRPr="00E07C9A" w:rsidRDefault="00B13F06"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0730</w:t>
            </w:r>
          </w:p>
        </w:tc>
        <w:tc>
          <w:tcPr>
            <w:tcW w:w="7274" w:type="dxa"/>
          </w:tcPr>
          <w:p w14:paraId="265623FD" w14:textId="5129AF9E" w:rsidR="00802958" w:rsidRPr="00E07C9A" w:rsidRDefault="00802958" w:rsidP="00487A02">
            <w:pPr>
              <w:pStyle w:val="InstructionsText"/>
            </w:pPr>
            <w:r w:rsidRPr="00E07C9A">
              <w:rPr>
                <w:rStyle w:val="InstructionsTabelleberschrift"/>
                <w:rFonts w:ascii="Times New Roman" w:hAnsi="Times New Roman"/>
                <w:sz w:val="24"/>
              </w:rPr>
              <w:t>1.8.2.**</w:t>
            </w:r>
            <w:r w:rsidRPr="00E07C9A">
              <w:tab/>
            </w:r>
            <w:r w:rsidRPr="00E07C9A">
              <w:rPr>
                <w:rStyle w:val="InstructionsTabelleberschrift"/>
                <w:rFonts w:ascii="Times New Roman" w:hAnsi="Times New Roman"/>
                <w:sz w:val="24"/>
              </w:rPr>
              <w:t>Z čoho: na základe modifikovaných rizikových váh zameraných na majetkové bubliny</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sektore nehnuteľného majetku určeného na bývanie</w:t>
            </w:r>
            <w:r w:rsidR="009912F8" w:rsidRPr="00E07C9A">
              <w:rPr>
                <w:rStyle w:val="InstructionsTabelleberschrift"/>
                <w:rFonts w:ascii="Times New Roman" w:hAnsi="Times New Roman"/>
                <w:sz w:val="24"/>
              </w:rPr>
              <w:t xml:space="preserve"> a </w:t>
            </w:r>
            <w:r w:rsidRPr="00E07C9A">
              <w:rPr>
                <w:rStyle w:val="InstructionsTabelleberschrift"/>
                <w:rFonts w:ascii="Times New Roman" w:hAnsi="Times New Roman"/>
                <w:sz w:val="24"/>
              </w:rPr>
              <w:t>podnikanie</w:t>
            </w:r>
          </w:p>
          <w:p w14:paraId="51AF7235" w14:textId="1FDE0C7A" w:rsidR="00802958" w:rsidRPr="00E07C9A" w:rsidRDefault="00802958" w:rsidP="00487A02">
            <w:pPr>
              <w:pStyle w:val="InstructionsText"/>
              <w:rPr>
                <w:rStyle w:val="InstructionsTabelleberschrift"/>
                <w:rFonts w:ascii="Times New Roman" w:hAnsi="Times New Roman"/>
                <w:sz w:val="24"/>
              </w:rPr>
            </w:pPr>
            <w:r w:rsidRPr="00E07C9A">
              <w:t xml:space="preserve">Článok 458 nariadenia (EÚ) </w:t>
            </w:r>
            <w:r w:rsidR="009912F8" w:rsidRPr="00E07C9A">
              <w:t>č. 575/2013</w:t>
            </w:r>
          </w:p>
        </w:tc>
      </w:tr>
      <w:tr w:rsidR="00802958" w:rsidRPr="00E07C9A" w14:paraId="4BEBCD6C" w14:textId="77777777" w:rsidTr="00672D2A">
        <w:tc>
          <w:tcPr>
            <w:tcW w:w="1591" w:type="dxa"/>
          </w:tcPr>
          <w:p w14:paraId="40208617" w14:textId="77777777" w:rsidR="00802958" w:rsidRPr="00E07C9A" w:rsidRDefault="00B13F06"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0740</w:t>
            </w:r>
          </w:p>
        </w:tc>
        <w:tc>
          <w:tcPr>
            <w:tcW w:w="7274" w:type="dxa"/>
          </w:tcPr>
          <w:p w14:paraId="3AC4EA3C" w14:textId="77777777" w:rsidR="00802958" w:rsidRPr="00E07C9A" w:rsidRDefault="00802958" w:rsidP="00487A02">
            <w:pPr>
              <w:pStyle w:val="InstructionsText"/>
            </w:pPr>
            <w:r w:rsidRPr="00E07C9A">
              <w:rPr>
                <w:rStyle w:val="InstructionsTabelleberschrift"/>
                <w:rFonts w:ascii="Times New Roman" w:hAnsi="Times New Roman"/>
                <w:sz w:val="24"/>
              </w:rPr>
              <w:t>1.8.2.***</w:t>
            </w:r>
            <w:r w:rsidRPr="00E07C9A">
              <w:tab/>
            </w:r>
            <w:r w:rsidRPr="00E07C9A">
              <w:rPr>
                <w:rStyle w:val="InstructionsTabelleberschrift"/>
                <w:rFonts w:ascii="Times New Roman" w:hAnsi="Times New Roman"/>
                <w:sz w:val="24"/>
              </w:rPr>
              <w:t>Z čoho: na základe expozícií vo vnútri finančného sektora</w:t>
            </w:r>
          </w:p>
          <w:p w14:paraId="2F5ADD62" w14:textId="78660D52" w:rsidR="00802958" w:rsidRPr="00E07C9A" w:rsidRDefault="00802958" w:rsidP="00487A02">
            <w:pPr>
              <w:pStyle w:val="InstructionsText"/>
              <w:rPr>
                <w:rStyle w:val="InstructionsTabelleberschrift"/>
                <w:rFonts w:ascii="Times New Roman" w:hAnsi="Times New Roman"/>
                <w:sz w:val="24"/>
              </w:rPr>
            </w:pPr>
            <w:r w:rsidRPr="00E07C9A">
              <w:t xml:space="preserve">Článok 458 nariadenia (EÚ) </w:t>
            </w:r>
            <w:r w:rsidR="009912F8" w:rsidRPr="00E07C9A">
              <w:t>č. 575/2013</w:t>
            </w:r>
          </w:p>
        </w:tc>
      </w:tr>
      <w:tr w:rsidR="00802958" w:rsidRPr="00E07C9A" w14:paraId="600E363A" w14:textId="77777777" w:rsidTr="00672D2A">
        <w:tc>
          <w:tcPr>
            <w:tcW w:w="1591" w:type="dxa"/>
          </w:tcPr>
          <w:p w14:paraId="30347364" w14:textId="77777777" w:rsidR="00802958" w:rsidRPr="00E07C9A" w:rsidRDefault="00B13F06"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0750</w:t>
            </w:r>
          </w:p>
        </w:tc>
        <w:tc>
          <w:tcPr>
            <w:tcW w:w="7274" w:type="dxa"/>
          </w:tcPr>
          <w:p w14:paraId="673B7DEC" w14:textId="43FD9DF5" w:rsidR="00802958" w:rsidRPr="00E07C9A" w:rsidRDefault="00802958"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1.8.3.</w:t>
            </w:r>
            <w:r w:rsidRPr="00E07C9A">
              <w:tab/>
            </w:r>
            <w:r w:rsidRPr="00E07C9A">
              <w:rPr>
                <w:rStyle w:val="InstructionsTabelleberschrift"/>
                <w:rFonts w:ascii="Times New Roman" w:hAnsi="Times New Roman"/>
                <w:sz w:val="24"/>
              </w:rPr>
              <w:t xml:space="preserve">Z čoho: dodatočné prísnejšie prudenciálne požiadavky na základe článku 459 nariadenia (EÚ) </w:t>
            </w:r>
            <w:r w:rsidR="009912F8" w:rsidRPr="00E07C9A">
              <w:rPr>
                <w:rStyle w:val="InstructionsTabelleberschrift"/>
                <w:rFonts w:ascii="Times New Roman" w:hAnsi="Times New Roman"/>
                <w:sz w:val="24"/>
              </w:rPr>
              <w:t>č. 575/2013</w:t>
            </w:r>
          </w:p>
          <w:p w14:paraId="705AA238" w14:textId="1AFC351B" w:rsidR="00802958" w:rsidRPr="00E07C9A" w:rsidRDefault="00802958" w:rsidP="00487A02">
            <w:pPr>
              <w:pStyle w:val="InstructionsText"/>
              <w:rPr>
                <w:rStyle w:val="InstructionsTabelleberschrift"/>
                <w:rFonts w:ascii="Times New Roman" w:hAnsi="Times New Roman"/>
                <w:sz w:val="24"/>
              </w:rPr>
            </w:pPr>
            <w:r w:rsidRPr="00E07C9A">
              <w:rPr>
                <w:rStyle w:val="FormatvorlageInstructionsTabelleText"/>
                <w:rFonts w:ascii="Times New Roman" w:hAnsi="Times New Roman"/>
                <w:sz w:val="24"/>
              </w:rPr>
              <w:t xml:space="preserve">Článok 459 </w:t>
            </w:r>
            <w:r w:rsidRPr="00E07C9A">
              <w:t xml:space="preserve">nariadenia (EÚ) </w:t>
            </w:r>
            <w:r w:rsidR="009912F8" w:rsidRPr="00E07C9A">
              <w:t>č. 575/2013</w:t>
            </w:r>
          </w:p>
        </w:tc>
      </w:tr>
      <w:tr w:rsidR="00802958" w:rsidRPr="00E07C9A" w14:paraId="6B4BA9FF" w14:textId="77777777" w:rsidTr="00672D2A">
        <w:tc>
          <w:tcPr>
            <w:tcW w:w="1591" w:type="dxa"/>
            <w:shd w:val="clear" w:color="auto" w:fill="auto"/>
          </w:tcPr>
          <w:p w14:paraId="1C4340E4" w14:textId="77777777" w:rsidR="00802958" w:rsidRPr="00E07C9A" w:rsidRDefault="00B13F06"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0760</w:t>
            </w:r>
          </w:p>
        </w:tc>
        <w:tc>
          <w:tcPr>
            <w:tcW w:w="7274" w:type="dxa"/>
          </w:tcPr>
          <w:p w14:paraId="5B1D1AEE" w14:textId="5E8A95B4" w:rsidR="00802958" w:rsidRPr="00E07C9A" w:rsidRDefault="00802958"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1.8.4.</w:t>
            </w:r>
            <w:r w:rsidRPr="00E07C9A">
              <w:tab/>
            </w:r>
            <w:r w:rsidRPr="00E07C9A">
              <w:rPr>
                <w:rStyle w:val="InstructionsTabelleberschrift"/>
                <w:rFonts w:ascii="Times New Roman" w:hAnsi="Times New Roman"/>
                <w:sz w:val="24"/>
              </w:rPr>
              <w:t xml:space="preserve">Z čoho: dodatočná hodnota rizikovej expozície na základe článku 3 nariadenia (EÚ) </w:t>
            </w:r>
            <w:r w:rsidR="009912F8" w:rsidRPr="00E07C9A">
              <w:rPr>
                <w:rStyle w:val="InstructionsTabelleberschrift"/>
                <w:rFonts w:ascii="Times New Roman" w:hAnsi="Times New Roman"/>
                <w:sz w:val="24"/>
              </w:rPr>
              <w:t>č. 575/2013</w:t>
            </w:r>
          </w:p>
          <w:p w14:paraId="069F0DD5" w14:textId="17E30AC8" w:rsidR="00802958" w:rsidRPr="00E07C9A" w:rsidRDefault="00802958" w:rsidP="00487A02">
            <w:pPr>
              <w:pStyle w:val="InstructionsText"/>
              <w:rPr>
                <w:rStyle w:val="FormatvorlageInstructionsTabelleText"/>
                <w:rFonts w:ascii="Times New Roman" w:hAnsi="Times New Roman"/>
                <w:sz w:val="24"/>
              </w:rPr>
            </w:pPr>
            <w:r w:rsidRPr="00E07C9A">
              <w:rPr>
                <w:rStyle w:val="FormatvorlageInstructionsTabelleText"/>
                <w:rFonts w:ascii="Times New Roman" w:hAnsi="Times New Roman"/>
                <w:sz w:val="24"/>
              </w:rPr>
              <w:t xml:space="preserve">Článok 3 </w:t>
            </w:r>
            <w:r w:rsidRPr="00E07C9A">
              <w:t xml:space="preserve">nariadenia (EÚ) </w:t>
            </w:r>
            <w:r w:rsidR="009912F8" w:rsidRPr="00E07C9A">
              <w:t>č. 575/2013</w:t>
            </w:r>
          </w:p>
          <w:p w14:paraId="1EE2510A" w14:textId="250FBC67" w:rsidR="00802958" w:rsidRPr="00E07C9A" w:rsidRDefault="00802958" w:rsidP="00487A02">
            <w:pPr>
              <w:pStyle w:val="InstructionsText"/>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Dodatočná hodnota rizikovej expozície sa musí vykazovať. Zahŕňa len dodatočné hodnoty [napr. keď expozícia vo výške 100 má rizikovú váhu 20</w:t>
            </w:r>
            <w:r w:rsidR="009912F8" w:rsidRPr="00E07C9A">
              <w:rPr>
                <w:rStyle w:val="InstructionsTabelleberschrift"/>
                <w:rFonts w:ascii="Times New Roman" w:hAnsi="Times New Roman"/>
                <w:b w:val="0"/>
                <w:sz w:val="24"/>
                <w:u w:val="none"/>
              </w:rPr>
              <w:t> % a </w:t>
            </w:r>
            <w:r w:rsidRPr="00E07C9A">
              <w:rPr>
                <w:rStyle w:val="InstructionsTabelleberschrift"/>
                <w:rFonts w:ascii="Times New Roman" w:hAnsi="Times New Roman"/>
                <w:b w:val="0"/>
                <w:sz w:val="24"/>
                <w:u w:val="none"/>
              </w:rPr>
              <w:t>inštitúcia uplatní rizikovú váhu 50</w:t>
            </w:r>
            <w:r w:rsidR="009912F8" w:rsidRPr="00E07C9A">
              <w:rPr>
                <w:rStyle w:val="InstructionsTabelleberschrift"/>
                <w:rFonts w:ascii="Times New Roman" w:hAnsi="Times New Roman"/>
                <w:b w:val="0"/>
                <w:sz w:val="24"/>
                <w:u w:val="none"/>
              </w:rPr>
              <w:t> %</w:t>
            </w:r>
            <w:r w:rsidRPr="00E07C9A">
              <w:rPr>
                <w:rStyle w:val="InstructionsTabelleberschrift"/>
                <w:rFonts w:ascii="Times New Roman" w:hAnsi="Times New Roman"/>
                <w:b w:val="0"/>
                <w:sz w:val="24"/>
                <w:u w:val="none"/>
              </w:rPr>
              <w:t xml:space="preserve"> na základe článku 3</w:t>
            </w:r>
            <w:r w:rsidRPr="00E07C9A">
              <w:t xml:space="preserve"> nariadenia (EÚ) </w:t>
            </w:r>
            <w:r w:rsidR="009912F8" w:rsidRPr="00E07C9A">
              <w:t>č. 575/2013</w:t>
            </w:r>
            <w:r w:rsidRPr="00E07C9A">
              <w:rPr>
                <w:rStyle w:val="InstructionsTabelleberschrift"/>
                <w:rFonts w:ascii="Times New Roman" w:hAnsi="Times New Roman"/>
                <w:b w:val="0"/>
                <w:sz w:val="24"/>
                <w:u w:val="none"/>
              </w:rPr>
              <w:t xml:space="preserve">, vykazovaná hodnota je 30]. </w:t>
            </w:r>
          </w:p>
        </w:tc>
      </w:tr>
    </w:tbl>
    <w:p w14:paraId="13EFC03A" w14:textId="77777777" w:rsidR="009912F8" w:rsidRPr="00E07C9A" w:rsidRDefault="00936DD1" w:rsidP="0023700C">
      <w:pPr>
        <w:pStyle w:val="Instructionsberschrift2"/>
        <w:numPr>
          <w:ilvl w:val="0"/>
          <w:numId w:val="0"/>
        </w:numPr>
        <w:ind w:left="357" w:hanging="357"/>
        <w:rPr>
          <w:rFonts w:ascii="Times New Roman" w:hAnsi="Times New Roman" w:cs="Times New Roman"/>
          <w:sz w:val="24"/>
          <w:u w:val="none"/>
        </w:rPr>
      </w:pPr>
      <w:bookmarkStart w:id="50" w:name="_Toc473560877"/>
      <w:bookmarkStart w:id="51" w:name="_Toc115857757"/>
      <w:bookmarkStart w:id="52" w:name="_Toc308175826"/>
      <w:bookmarkStart w:id="53" w:name="_Toc360188329"/>
      <w:r w:rsidRPr="00E07C9A">
        <w:rPr>
          <w:rFonts w:ascii="Times New Roman" w:hAnsi="Times New Roman" w:cs="Times New Roman"/>
          <w:sz w:val="24"/>
          <w:u w:val="none"/>
        </w:rPr>
        <w:lastRenderedPageBreak/>
        <w:t>1.4.</w:t>
      </w:r>
      <w:r w:rsidRPr="002A18DE">
        <w:rPr>
          <w:rFonts w:ascii="Times New Roman" w:hAnsi="Times New Roman" w:cs="Times New Roman"/>
          <w:u w:val="none"/>
        </w:rPr>
        <w:tab/>
      </w:r>
      <w:r w:rsidRPr="00E07C9A">
        <w:rPr>
          <w:rFonts w:ascii="Times New Roman" w:hAnsi="Times New Roman" w:cs="Times New Roman"/>
          <w:sz w:val="24"/>
          <w:u w:val="none"/>
        </w:rPr>
        <w:t>C 03.00 – PODIELY A ÚROVNE KAPITÁLU (CA3)</w:t>
      </w:r>
      <w:bookmarkEnd w:id="50"/>
      <w:bookmarkEnd w:id="51"/>
      <w:bookmarkEnd w:id="52"/>
      <w:bookmarkEnd w:id="53"/>
    </w:p>
    <w:p w14:paraId="469C8893" w14:textId="58536FAA" w:rsidR="002648B0" w:rsidRPr="00E07C9A" w:rsidRDefault="00125707" w:rsidP="0023700C">
      <w:pPr>
        <w:pStyle w:val="Instructionsberschrift2"/>
        <w:numPr>
          <w:ilvl w:val="0"/>
          <w:numId w:val="0"/>
        </w:numPr>
        <w:ind w:left="357" w:hanging="357"/>
        <w:rPr>
          <w:rFonts w:ascii="Times New Roman" w:hAnsi="Times New Roman" w:cs="Times New Roman"/>
          <w:sz w:val="24"/>
        </w:rPr>
      </w:pPr>
      <w:bookmarkStart w:id="54" w:name="_Toc308175827"/>
      <w:bookmarkStart w:id="55" w:name="_Toc310414972"/>
      <w:bookmarkStart w:id="56" w:name="_Toc360188330"/>
      <w:bookmarkStart w:id="57" w:name="_Toc473560878"/>
      <w:bookmarkStart w:id="58" w:name="_Toc115857758"/>
      <w:r w:rsidRPr="00E07C9A">
        <w:rPr>
          <w:rFonts w:ascii="Times New Roman" w:hAnsi="Times New Roman" w:cs="Times New Roman"/>
          <w:sz w:val="24"/>
          <w:u w:val="none"/>
        </w:rPr>
        <w:t>1.4.1.</w:t>
      </w:r>
      <w:r w:rsidRPr="002A18DE">
        <w:rPr>
          <w:rFonts w:ascii="Times New Roman" w:hAnsi="Times New Roman" w:cs="Times New Roman"/>
          <w:u w:val="none"/>
        </w:rPr>
        <w:tab/>
      </w:r>
      <w:r w:rsidRPr="00E07C9A">
        <w:rPr>
          <w:rFonts w:ascii="Times New Roman" w:hAnsi="Times New Roman" w:cs="Times New Roman"/>
          <w:sz w:val="24"/>
        </w:rPr>
        <w:t xml:space="preserve">Pokyny týkajúce sa konkrétnych </w:t>
      </w:r>
      <w:bookmarkEnd w:id="54"/>
      <w:bookmarkEnd w:id="55"/>
      <w:r w:rsidRPr="00E07C9A">
        <w:rPr>
          <w:rFonts w:ascii="Times New Roman" w:hAnsi="Times New Roman" w:cs="Times New Roman"/>
          <w:sz w:val="24"/>
        </w:rPr>
        <w:t>pozícií</w:t>
      </w:r>
      <w:bookmarkEnd w:id="56"/>
      <w:bookmarkEnd w:id="57"/>
      <w:bookmarkEnd w:id="58"/>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3"/>
        <w:gridCol w:w="7620"/>
      </w:tblGrid>
      <w:tr w:rsidR="002648B0" w:rsidRPr="00E07C9A" w14:paraId="1F792A0C" w14:textId="77777777" w:rsidTr="00672D2A">
        <w:tc>
          <w:tcPr>
            <w:tcW w:w="8783" w:type="dxa"/>
            <w:gridSpan w:val="2"/>
            <w:shd w:val="clear" w:color="auto" w:fill="D9D9D9"/>
          </w:tcPr>
          <w:p w14:paraId="7E3056A6" w14:textId="77777777" w:rsidR="005643EA" w:rsidRPr="00E07C9A" w:rsidRDefault="002648B0" w:rsidP="00487A02">
            <w:pPr>
              <w:pStyle w:val="InstructionsText"/>
            </w:pPr>
            <w:r w:rsidRPr="00E07C9A">
              <w:t>Riadky</w:t>
            </w:r>
          </w:p>
        </w:tc>
      </w:tr>
      <w:tr w:rsidR="002648B0" w:rsidRPr="00E07C9A" w14:paraId="4565C251" w14:textId="77777777" w:rsidTr="003E47C5">
        <w:tc>
          <w:tcPr>
            <w:tcW w:w="1163" w:type="dxa"/>
          </w:tcPr>
          <w:p w14:paraId="064EDF10" w14:textId="77777777" w:rsidR="002648B0" w:rsidRPr="00E07C9A" w:rsidRDefault="00B13F06" w:rsidP="00487A02">
            <w:pPr>
              <w:pStyle w:val="InstructionsText"/>
            </w:pPr>
            <w:r w:rsidRPr="00E07C9A">
              <w:t>0010</w:t>
            </w:r>
          </w:p>
        </w:tc>
        <w:tc>
          <w:tcPr>
            <w:tcW w:w="7620" w:type="dxa"/>
          </w:tcPr>
          <w:p w14:paraId="1AD00DFB" w14:textId="77777777" w:rsidR="005643EA" w:rsidRPr="00E07C9A" w:rsidRDefault="002648B0" w:rsidP="00487A02">
            <w:pPr>
              <w:pStyle w:val="InstructionsText"/>
            </w:pPr>
            <w:r w:rsidRPr="00E07C9A">
              <w:rPr>
                <w:rStyle w:val="InstructionsTabelleberschrift"/>
                <w:rFonts w:ascii="Times New Roman" w:hAnsi="Times New Roman"/>
                <w:sz w:val="24"/>
              </w:rPr>
              <w:t>1.</w:t>
            </w:r>
            <w:r w:rsidRPr="00E07C9A">
              <w:tab/>
            </w:r>
            <w:r w:rsidRPr="00E07C9A">
              <w:rPr>
                <w:rStyle w:val="InstructionsTabelleberschrift"/>
                <w:rFonts w:ascii="Times New Roman" w:hAnsi="Times New Roman"/>
                <w:sz w:val="24"/>
              </w:rPr>
              <w:t>Podiel kapitálu CET1</w:t>
            </w:r>
          </w:p>
          <w:p w14:paraId="3AB50D42" w14:textId="2242D7AF" w:rsidR="005643EA" w:rsidRPr="00E07C9A" w:rsidRDefault="002648B0" w:rsidP="00487A02">
            <w:pPr>
              <w:pStyle w:val="InstructionsText"/>
            </w:pPr>
            <w:r w:rsidRPr="00E07C9A">
              <w:t xml:space="preserve">Článok 92 ods. 2 písm. a) nariadenia (EÚ) </w:t>
            </w:r>
            <w:r w:rsidR="009912F8" w:rsidRPr="00E07C9A">
              <w:t>č. 575/2013</w:t>
            </w:r>
          </w:p>
          <w:p w14:paraId="4ECA63DC" w14:textId="77777777" w:rsidR="005643EA" w:rsidRPr="00E07C9A" w:rsidRDefault="002648B0" w:rsidP="00487A02">
            <w:pPr>
              <w:pStyle w:val="InstructionsText"/>
            </w:pPr>
            <w:r w:rsidRPr="00E07C9A">
              <w:t>Podiel kapitálu CET1 je kapitál CET1 inštitúcie vyjadrený ako percentuálny podiel celkovej hodnoty rizikovej expozície.</w:t>
            </w:r>
          </w:p>
        </w:tc>
      </w:tr>
      <w:tr w:rsidR="002648B0" w:rsidRPr="00E07C9A" w14:paraId="440E3109" w14:textId="77777777" w:rsidTr="003E47C5">
        <w:tc>
          <w:tcPr>
            <w:tcW w:w="1163" w:type="dxa"/>
          </w:tcPr>
          <w:p w14:paraId="6BDC7DA2" w14:textId="77777777" w:rsidR="002648B0" w:rsidRPr="00E07C9A" w:rsidRDefault="00B13F06" w:rsidP="00487A02">
            <w:pPr>
              <w:pStyle w:val="InstructionsText"/>
            </w:pPr>
            <w:r w:rsidRPr="00E07C9A">
              <w:t>0020</w:t>
            </w:r>
          </w:p>
        </w:tc>
        <w:tc>
          <w:tcPr>
            <w:tcW w:w="7620" w:type="dxa"/>
          </w:tcPr>
          <w:p w14:paraId="04CC9263" w14:textId="77777777" w:rsidR="005643EA" w:rsidRPr="00E07C9A" w:rsidRDefault="002648B0"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2.</w:t>
            </w:r>
            <w:r w:rsidRPr="00E07C9A">
              <w:tab/>
            </w:r>
            <w:r w:rsidRPr="00E07C9A">
              <w:rPr>
                <w:rStyle w:val="InstructionsTabelleberschrift"/>
                <w:rFonts w:ascii="Times New Roman" w:hAnsi="Times New Roman"/>
                <w:sz w:val="24"/>
              </w:rPr>
              <w:t>Nadbytok (+)/schodok (–) kapitálu CET1</w:t>
            </w:r>
          </w:p>
          <w:p w14:paraId="37188E0C" w14:textId="6C763444" w:rsidR="005643EA" w:rsidRPr="00E07C9A" w:rsidRDefault="002648B0" w:rsidP="008B3A5F">
            <w:pPr>
              <w:pStyle w:val="InstructionsText"/>
            </w:pPr>
            <w:r w:rsidRPr="00E07C9A">
              <w:t>Táto položka</w:t>
            </w:r>
            <w:r w:rsidR="009912F8" w:rsidRPr="00E07C9A">
              <w:t xml:space="preserve"> v </w:t>
            </w:r>
            <w:r w:rsidRPr="00E07C9A">
              <w:t>absolútnych číslach udáva hodnotu nadbytku alebo schodku kapitálu CET1</w:t>
            </w:r>
            <w:r w:rsidR="009912F8" w:rsidRPr="00E07C9A">
              <w:t xml:space="preserve"> v </w:t>
            </w:r>
            <w:r w:rsidRPr="00E07C9A">
              <w:t>súvislosti</w:t>
            </w:r>
            <w:r w:rsidR="009912F8" w:rsidRPr="00E07C9A">
              <w:t xml:space="preserve"> s </w:t>
            </w:r>
            <w:r w:rsidRPr="00E07C9A">
              <w:t>požiadavkou stanovenou</w:t>
            </w:r>
            <w:r w:rsidR="009912F8" w:rsidRPr="00E07C9A">
              <w:t xml:space="preserve"> v </w:t>
            </w:r>
            <w:r w:rsidRPr="00E07C9A">
              <w:t xml:space="preserve">článku 92 ods. 1 písm. a) nariadenia (EÚ) </w:t>
            </w:r>
            <w:r w:rsidR="009912F8" w:rsidRPr="00E07C9A">
              <w:t>č. 575/2013</w:t>
            </w:r>
            <w:r w:rsidRPr="00E07C9A">
              <w:t xml:space="preserve"> (4,5</w:t>
            </w:r>
            <w:r w:rsidR="009912F8" w:rsidRPr="00E07C9A">
              <w:t> %</w:t>
            </w:r>
            <w:r w:rsidRPr="00E07C9A">
              <w:t>), t. j. bez zohľadnenia kapitálových vankúšov</w:t>
            </w:r>
            <w:r w:rsidR="009912F8" w:rsidRPr="00E07C9A">
              <w:t xml:space="preserve"> a </w:t>
            </w:r>
            <w:r w:rsidRPr="00E07C9A">
              <w:t>prechodných ustanovení týkajúcich sa podielu.</w:t>
            </w:r>
          </w:p>
        </w:tc>
      </w:tr>
      <w:tr w:rsidR="002648B0" w:rsidRPr="00E07C9A" w14:paraId="0CE43EA1" w14:textId="77777777" w:rsidTr="003E47C5">
        <w:tc>
          <w:tcPr>
            <w:tcW w:w="1163" w:type="dxa"/>
          </w:tcPr>
          <w:p w14:paraId="6F7BF577" w14:textId="77777777" w:rsidR="002648B0" w:rsidRPr="00E07C9A" w:rsidRDefault="00B13F06" w:rsidP="00487A02">
            <w:pPr>
              <w:pStyle w:val="InstructionsText"/>
            </w:pPr>
            <w:r w:rsidRPr="00E07C9A">
              <w:t>0030</w:t>
            </w:r>
          </w:p>
        </w:tc>
        <w:tc>
          <w:tcPr>
            <w:tcW w:w="7620" w:type="dxa"/>
          </w:tcPr>
          <w:p w14:paraId="0184D636" w14:textId="77777777" w:rsidR="005643EA" w:rsidRPr="00E07C9A" w:rsidRDefault="002648B0" w:rsidP="00487A02">
            <w:pPr>
              <w:pStyle w:val="InstructionsText"/>
            </w:pPr>
            <w:r w:rsidRPr="00E07C9A">
              <w:rPr>
                <w:rStyle w:val="InstructionsTabelleberschrift"/>
                <w:rFonts w:ascii="Times New Roman" w:hAnsi="Times New Roman"/>
                <w:sz w:val="24"/>
              </w:rPr>
              <w:t>3.</w:t>
            </w:r>
            <w:r w:rsidRPr="00E07C9A">
              <w:tab/>
            </w:r>
            <w:r w:rsidRPr="00E07C9A">
              <w:rPr>
                <w:rStyle w:val="InstructionsTabelleberschrift"/>
                <w:rFonts w:ascii="Times New Roman" w:hAnsi="Times New Roman"/>
                <w:sz w:val="24"/>
              </w:rPr>
              <w:t>Podiel kapitálu T1</w:t>
            </w:r>
          </w:p>
          <w:p w14:paraId="601A9262" w14:textId="194B83EF" w:rsidR="005643EA" w:rsidRPr="00E07C9A" w:rsidRDefault="002648B0" w:rsidP="00487A02">
            <w:pPr>
              <w:pStyle w:val="InstructionsText"/>
            </w:pPr>
            <w:r w:rsidRPr="00E07C9A">
              <w:t xml:space="preserve">Článok 92 ods. 2 písm. b) nariadenia (EÚ) </w:t>
            </w:r>
            <w:r w:rsidR="009912F8" w:rsidRPr="00E07C9A">
              <w:t>č. 575/2013</w:t>
            </w:r>
          </w:p>
          <w:p w14:paraId="766E9F5A" w14:textId="77777777" w:rsidR="005643EA" w:rsidRPr="00E07C9A" w:rsidRDefault="002648B0" w:rsidP="00487A02">
            <w:pPr>
              <w:pStyle w:val="InstructionsText"/>
            </w:pPr>
            <w:r w:rsidRPr="00E07C9A">
              <w:t>Podiel kapitálu T1 je kapitál T1 inštitúcie vyjadrený ako percentuálny podiel celkovej hodnoty rizikovej expozície.</w:t>
            </w:r>
          </w:p>
        </w:tc>
      </w:tr>
      <w:tr w:rsidR="002648B0" w:rsidRPr="00E07C9A" w14:paraId="120C569B" w14:textId="77777777" w:rsidTr="003E47C5">
        <w:tc>
          <w:tcPr>
            <w:tcW w:w="1163" w:type="dxa"/>
          </w:tcPr>
          <w:p w14:paraId="2B434E94" w14:textId="77777777" w:rsidR="002648B0" w:rsidRPr="00E07C9A" w:rsidRDefault="00B13F06" w:rsidP="00487A02">
            <w:pPr>
              <w:pStyle w:val="InstructionsText"/>
            </w:pPr>
            <w:r w:rsidRPr="00E07C9A">
              <w:t>0040</w:t>
            </w:r>
          </w:p>
        </w:tc>
        <w:tc>
          <w:tcPr>
            <w:tcW w:w="7620" w:type="dxa"/>
          </w:tcPr>
          <w:p w14:paraId="502A3E0F" w14:textId="77777777" w:rsidR="005643EA" w:rsidRPr="00E07C9A" w:rsidRDefault="002648B0" w:rsidP="00487A02">
            <w:pPr>
              <w:pStyle w:val="InstructionsText"/>
            </w:pPr>
            <w:r w:rsidRPr="00E07C9A">
              <w:rPr>
                <w:rStyle w:val="InstructionsTabelleberschrift"/>
                <w:rFonts w:ascii="Times New Roman" w:hAnsi="Times New Roman"/>
                <w:sz w:val="24"/>
              </w:rPr>
              <w:t>4.</w:t>
            </w:r>
            <w:r w:rsidRPr="00E07C9A">
              <w:tab/>
            </w:r>
            <w:r w:rsidRPr="00E07C9A">
              <w:rPr>
                <w:rStyle w:val="InstructionsTabelleberschrift"/>
                <w:rFonts w:ascii="Times New Roman" w:hAnsi="Times New Roman"/>
                <w:sz w:val="24"/>
              </w:rPr>
              <w:t>Nadbytok (+)/schodok (–) kapitálu T1</w:t>
            </w:r>
          </w:p>
          <w:p w14:paraId="7F9BAB6C" w14:textId="082BCC54" w:rsidR="005643EA" w:rsidRPr="00E07C9A" w:rsidRDefault="002648B0" w:rsidP="008B3A5F">
            <w:pPr>
              <w:pStyle w:val="InstructionsText"/>
            </w:pPr>
            <w:r w:rsidRPr="00E07C9A">
              <w:t>Táto položka</w:t>
            </w:r>
            <w:r w:rsidR="009912F8" w:rsidRPr="00E07C9A">
              <w:t xml:space="preserve"> v </w:t>
            </w:r>
            <w:r w:rsidRPr="00E07C9A">
              <w:t>absolútnych číslach udáva hodnotu nadbytku alebo schodku kapitálu T1</w:t>
            </w:r>
            <w:r w:rsidR="009912F8" w:rsidRPr="00E07C9A">
              <w:t xml:space="preserve"> v </w:t>
            </w:r>
            <w:r w:rsidRPr="00E07C9A">
              <w:t>súvislosti</w:t>
            </w:r>
            <w:r w:rsidR="009912F8" w:rsidRPr="00E07C9A">
              <w:t xml:space="preserve"> s </w:t>
            </w:r>
            <w:r w:rsidRPr="00E07C9A">
              <w:t>požiadavkou stanovenou</w:t>
            </w:r>
            <w:r w:rsidR="009912F8" w:rsidRPr="00E07C9A">
              <w:t xml:space="preserve"> v </w:t>
            </w:r>
            <w:r w:rsidRPr="00E07C9A">
              <w:t xml:space="preserve">článku 92 ods. 1 písm. b) nariadenia (EÚ) </w:t>
            </w:r>
            <w:r w:rsidR="009912F8" w:rsidRPr="00E07C9A">
              <w:t>č. 575/2013</w:t>
            </w:r>
            <w:r w:rsidRPr="00E07C9A">
              <w:t xml:space="preserve"> (6</w:t>
            </w:r>
            <w:r w:rsidR="009912F8" w:rsidRPr="00E07C9A">
              <w:t> %</w:t>
            </w:r>
            <w:r w:rsidRPr="00E07C9A">
              <w:t>), t. j. bez zohľadnenia kapitálových vankúšov</w:t>
            </w:r>
            <w:r w:rsidR="009912F8" w:rsidRPr="00E07C9A">
              <w:t xml:space="preserve"> a </w:t>
            </w:r>
            <w:r w:rsidRPr="00E07C9A">
              <w:t>prechodných ustanovení týkajúcich sa podielu.</w:t>
            </w:r>
          </w:p>
        </w:tc>
      </w:tr>
      <w:tr w:rsidR="002648B0" w:rsidRPr="00E07C9A" w14:paraId="0C922347" w14:textId="77777777" w:rsidTr="003E47C5">
        <w:tc>
          <w:tcPr>
            <w:tcW w:w="1163" w:type="dxa"/>
          </w:tcPr>
          <w:p w14:paraId="7E634242" w14:textId="77777777" w:rsidR="002648B0" w:rsidRPr="00E07C9A" w:rsidRDefault="00B13F06" w:rsidP="00487A02">
            <w:pPr>
              <w:pStyle w:val="InstructionsText"/>
            </w:pPr>
            <w:r w:rsidRPr="00E07C9A">
              <w:t>0050</w:t>
            </w:r>
          </w:p>
        </w:tc>
        <w:tc>
          <w:tcPr>
            <w:tcW w:w="7620" w:type="dxa"/>
          </w:tcPr>
          <w:p w14:paraId="40F1E8E5" w14:textId="77777777" w:rsidR="005643EA" w:rsidRPr="00E07C9A" w:rsidRDefault="002648B0" w:rsidP="00487A02">
            <w:pPr>
              <w:pStyle w:val="InstructionsText"/>
            </w:pPr>
            <w:r w:rsidRPr="00E07C9A">
              <w:rPr>
                <w:rStyle w:val="InstructionsTabelleberschrift"/>
                <w:rFonts w:ascii="Times New Roman" w:hAnsi="Times New Roman"/>
                <w:sz w:val="24"/>
              </w:rPr>
              <w:t>5.</w:t>
            </w:r>
            <w:r w:rsidRPr="00E07C9A">
              <w:tab/>
            </w:r>
            <w:r w:rsidRPr="00E07C9A">
              <w:rPr>
                <w:rStyle w:val="InstructionsTabelleberschrift"/>
                <w:rFonts w:ascii="Times New Roman" w:hAnsi="Times New Roman"/>
                <w:sz w:val="24"/>
              </w:rPr>
              <w:t>Celkový podiel kapitálu</w:t>
            </w:r>
          </w:p>
          <w:p w14:paraId="1B806A0B" w14:textId="2A6DE4F9" w:rsidR="005643EA" w:rsidRPr="00E07C9A" w:rsidRDefault="002648B0" w:rsidP="00487A02">
            <w:pPr>
              <w:pStyle w:val="InstructionsText"/>
            </w:pPr>
            <w:r w:rsidRPr="00E07C9A">
              <w:t xml:space="preserve">Článok 92 ods. 2 písm. c) nariadenia (EÚ) </w:t>
            </w:r>
            <w:r w:rsidR="009912F8" w:rsidRPr="00E07C9A">
              <w:t>č. 575/2013</w:t>
            </w:r>
          </w:p>
          <w:p w14:paraId="2870DB19" w14:textId="77777777" w:rsidR="005643EA" w:rsidRPr="00E07C9A" w:rsidRDefault="002648B0" w:rsidP="00487A02">
            <w:pPr>
              <w:pStyle w:val="InstructionsText"/>
            </w:pPr>
            <w:r w:rsidRPr="00E07C9A">
              <w:t>Celkový podiel kapitálu sa rovná vlastným zdrojom inštitúcie vyjadreným ako percentuálny podiel celkovej hodnoty rizikovej expozície.</w:t>
            </w:r>
          </w:p>
        </w:tc>
      </w:tr>
      <w:tr w:rsidR="002648B0" w:rsidRPr="00E07C9A" w14:paraId="2A42B17E" w14:textId="77777777" w:rsidTr="003E47C5">
        <w:tc>
          <w:tcPr>
            <w:tcW w:w="1163" w:type="dxa"/>
          </w:tcPr>
          <w:p w14:paraId="5D60226C" w14:textId="77777777" w:rsidR="002648B0" w:rsidRPr="00E07C9A" w:rsidRDefault="00B13F06" w:rsidP="00487A02">
            <w:pPr>
              <w:pStyle w:val="InstructionsText"/>
            </w:pPr>
            <w:r w:rsidRPr="00E07C9A">
              <w:t>0060</w:t>
            </w:r>
          </w:p>
        </w:tc>
        <w:tc>
          <w:tcPr>
            <w:tcW w:w="7620" w:type="dxa"/>
          </w:tcPr>
          <w:p w14:paraId="4C157BF3" w14:textId="77777777" w:rsidR="005643EA" w:rsidRPr="00E07C9A" w:rsidRDefault="002648B0" w:rsidP="00487A02">
            <w:pPr>
              <w:pStyle w:val="InstructionsText"/>
            </w:pPr>
            <w:r w:rsidRPr="00E07C9A">
              <w:rPr>
                <w:rStyle w:val="InstructionsTabelleberschrift"/>
                <w:rFonts w:ascii="Times New Roman" w:hAnsi="Times New Roman"/>
                <w:sz w:val="24"/>
              </w:rPr>
              <w:t>6.</w:t>
            </w:r>
            <w:r w:rsidRPr="00E07C9A">
              <w:tab/>
            </w:r>
            <w:r w:rsidRPr="00E07C9A">
              <w:rPr>
                <w:rStyle w:val="InstructionsTabelleberschrift"/>
                <w:rFonts w:ascii="Times New Roman" w:hAnsi="Times New Roman"/>
                <w:sz w:val="24"/>
              </w:rPr>
              <w:t>Nadbytok (+)/schodok (–) celkového kapitálu</w:t>
            </w:r>
          </w:p>
          <w:p w14:paraId="6F40F6A3" w14:textId="779BDFB8" w:rsidR="005643EA" w:rsidRPr="00E07C9A" w:rsidRDefault="002648B0" w:rsidP="008B3A5F">
            <w:pPr>
              <w:pStyle w:val="InstructionsText"/>
            </w:pPr>
            <w:r w:rsidRPr="00E07C9A">
              <w:t>Táto položka</w:t>
            </w:r>
            <w:r w:rsidR="009912F8" w:rsidRPr="00E07C9A">
              <w:t xml:space="preserve"> v </w:t>
            </w:r>
            <w:r w:rsidRPr="00E07C9A">
              <w:t>absolútnych číslach udáva hodnotu nadbytku alebo schodku vlastných zdrojov</w:t>
            </w:r>
            <w:r w:rsidR="009912F8" w:rsidRPr="00E07C9A">
              <w:t xml:space="preserve"> v </w:t>
            </w:r>
            <w:r w:rsidRPr="00E07C9A">
              <w:t>súvislosti</w:t>
            </w:r>
            <w:r w:rsidR="009912F8" w:rsidRPr="00E07C9A">
              <w:t xml:space="preserve"> s </w:t>
            </w:r>
            <w:r w:rsidRPr="00E07C9A">
              <w:t>požiadavkou stanovenou</w:t>
            </w:r>
            <w:r w:rsidR="009912F8" w:rsidRPr="00E07C9A">
              <w:t xml:space="preserve"> v </w:t>
            </w:r>
            <w:r w:rsidRPr="00E07C9A">
              <w:t xml:space="preserve">článku 92 ods. 1 písm. c) nariadenia (EÚ) </w:t>
            </w:r>
            <w:r w:rsidR="009912F8" w:rsidRPr="00E07C9A">
              <w:t>č. 575/2013</w:t>
            </w:r>
            <w:r w:rsidRPr="00E07C9A">
              <w:t xml:space="preserve"> (8</w:t>
            </w:r>
            <w:r w:rsidR="009912F8" w:rsidRPr="00E07C9A">
              <w:t> %</w:t>
            </w:r>
            <w:r w:rsidRPr="00E07C9A">
              <w:t>), t. j. bez zohľadnenia kapitálových vankúšov</w:t>
            </w:r>
            <w:r w:rsidR="009912F8" w:rsidRPr="00E07C9A">
              <w:t xml:space="preserve"> a </w:t>
            </w:r>
            <w:r w:rsidRPr="00E07C9A">
              <w:t>prechodných ustanovení týkajúcich sa podielu.</w:t>
            </w:r>
          </w:p>
        </w:tc>
      </w:tr>
      <w:tr w:rsidR="009C083D" w:rsidRPr="00E07C9A" w14:paraId="6EFBB212" w14:textId="77777777" w:rsidTr="003E47C5">
        <w:tc>
          <w:tcPr>
            <w:tcW w:w="1163" w:type="dxa"/>
          </w:tcPr>
          <w:p w14:paraId="5BA0065D" w14:textId="77777777" w:rsidR="009C083D" w:rsidRPr="00E07C9A" w:rsidRDefault="00B13F06" w:rsidP="00487A02">
            <w:pPr>
              <w:pStyle w:val="InstructionsText"/>
            </w:pPr>
            <w:r w:rsidRPr="00E07C9A">
              <w:t>0130</w:t>
            </w:r>
          </w:p>
        </w:tc>
        <w:tc>
          <w:tcPr>
            <w:tcW w:w="7620" w:type="dxa"/>
          </w:tcPr>
          <w:p w14:paraId="25210497" w14:textId="72E5BF6E" w:rsidR="009C083D" w:rsidRPr="00E07C9A" w:rsidRDefault="009C083D" w:rsidP="00487A02">
            <w:pPr>
              <w:pStyle w:val="InstructionsText"/>
              <w:rPr>
                <w:rStyle w:val="InstructionsTabelleberschrift"/>
                <w:rFonts w:ascii="Times New Roman" w:hAnsi="Times New Roman"/>
                <w:bCs w:val="0"/>
                <w:sz w:val="24"/>
              </w:rPr>
            </w:pPr>
            <w:r w:rsidRPr="00E07C9A">
              <w:rPr>
                <w:rStyle w:val="InstructionsTabelleberschrift"/>
                <w:rFonts w:ascii="Times New Roman" w:hAnsi="Times New Roman"/>
                <w:sz w:val="24"/>
              </w:rPr>
              <w:t>13.</w:t>
            </w:r>
            <w:r w:rsidRPr="00E07C9A">
              <w:tab/>
            </w:r>
            <w:r w:rsidRPr="00E07C9A">
              <w:rPr>
                <w:rStyle w:val="InstructionsTabelleberschrift"/>
                <w:rFonts w:ascii="Times New Roman" w:hAnsi="Times New Roman"/>
                <w:sz w:val="24"/>
              </w:rPr>
              <w:t>Podiel celkovej kapitálovej požiadavky</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rámci SREP (TSCR)</w:t>
            </w:r>
          </w:p>
          <w:p w14:paraId="7EB9D06C" w14:textId="48271497" w:rsidR="009C083D" w:rsidRPr="00E07C9A" w:rsidRDefault="009C083D" w:rsidP="00487A02">
            <w:pPr>
              <w:pStyle w:val="InstructionsText"/>
            </w:pPr>
            <w:r w:rsidRPr="00E07C9A">
              <w:t>Súčet bodov i)</w:t>
            </w:r>
            <w:r w:rsidR="009912F8" w:rsidRPr="00E07C9A">
              <w:t xml:space="preserve"> a </w:t>
            </w:r>
            <w:r w:rsidRPr="00E07C9A">
              <w:t>ii) takto:</w:t>
            </w:r>
          </w:p>
          <w:p w14:paraId="6409B587" w14:textId="5CEAF8CC" w:rsidR="009912F8" w:rsidRPr="00E07C9A" w:rsidRDefault="009C083D" w:rsidP="005C4397">
            <w:pPr>
              <w:pStyle w:val="InstructionsText"/>
              <w:numPr>
                <w:ilvl w:val="0"/>
                <w:numId w:val="41"/>
              </w:numPr>
              <w:ind w:hanging="525"/>
            </w:pPr>
            <w:r w:rsidRPr="00E07C9A">
              <w:t>celkový podiel kapitálu (8</w:t>
            </w:r>
            <w:r w:rsidR="009912F8" w:rsidRPr="00E07C9A">
              <w:t> %</w:t>
            </w:r>
            <w:r w:rsidRPr="00E07C9A">
              <w:t>), ako je stanovené</w:t>
            </w:r>
            <w:r w:rsidR="009912F8" w:rsidRPr="00E07C9A">
              <w:t xml:space="preserve"> v </w:t>
            </w:r>
            <w:r w:rsidRPr="00E07C9A">
              <w:t xml:space="preserve">článku 92 ods. 1 písm. c) nariadenia (EÚ) </w:t>
            </w:r>
            <w:r w:rsidR="009912F8" w:rsidRPr="00E07C9A">
              <w:t>č. 575/2013;</w:t>
            </w:r>
          </w:p>
          <w:p w14:paraId="24B944F5" w14:textId="56A822EC" w:rsidR="009C083D" w:rsidRPr="00E07C9A" w:rsidRDefault="009C083D" w:rsidP="005C4397">
            <w:pPr>
              <w:pStyle w:val="InstructionsText"/>
              <w:numPr>
                <w:ilvl w:val="0"/>
                <w:numId w:val="41"/>
              </w:numPr>
              <w:ind w:hanging="525"/>
            </w:pPr>
            <w:r w:rsidRPr="00E07C9A">
              <w:t>dodatočné požiadavky na vlastné zdroje (požiadavky piliera 2 – P2R) uvedené</w:t>
            </w:r>
            <w:r w:rsidR="009912F8" w:rsidRPr="00E07C9A">
              <w:t xml:space="preserve"> v </w:t>
            </w:r>
            <w:r w:rsidRPr="00E07C9A">
              <w:t>článku 104 ods. 1 písm. a) smernice 2013/36/EÚ, vyjadrené ako pomer. Určujú sa</w:t>
            </w:r>
            <w:r w:rsidR="009912F8" w:rsidRPr="00E07C9A">
              <w:t xml:space="preserve"> v </w:t>
            </w:r>
            <w:r w:rsidRPr="00E07C9A">
              <w:t>súlade</w:t>
            </w:r>
            <w:r w:rsidR="009912F8" w:rsidRPr="00E07C9A">
              <w:t xml:space="preserve"> s </w:t>
            </w:r>
            <w:r w:rsidRPr="00E07C9A">
              <w:t>kritériami stanovenými</w:t>
            </w:r>
            <w:r w:rsidR="009912F8" w:rsidRPr="00E07C9A">
              <w:t xml:space="preserve"> v </w:t>
            </w:r>
            <w:r w:rsidRPr="00E07C9A">
              <w:t xml:space="preserve">dokumente </w:t>
            </w:r>
            <w:r w:rsidRPr="00E07C9A">
              <w:rPr>
                <w:i/>
              </w:rPr>
              <w:t>EBA Guidelines on common procedures and methodologies for the supervisory review and evaluation process and supervisory stress testing</w:t>
            </w:r>
            <w:r w:rsidRPr="00E07C9A">
              <w:t xml:space="preserve"> (Usmernenia EBA</w:t>
            </w:r>
            <w:r w:rsidR="009912F8" w:rsidRPr="00E07C9A">
              <w:t xml:space="preserve"> o </w:t>
            </w:r>
            <w:r w:rsidRPr="00E07C9A">
              <w:t>spoločných postupoch</w:t>
            </w:r>
            <w:r w:rsidR="009912F8" w:rsidRPr="00E07C9A">
              <w:t xml:space="preserve"> a </w:t>
            </w:r>
            <w:r w:rsidRPr="00E07C9A">
              <w:t xml:space="preserve">metodikách pre </w:t>
            </w:r>
            <w:r w:rsidRPr="00E07C9A">
              <w:lastRenderedPageBreak/>
              <w:t>postup preskúmania</w:t>
            </w:r>
            <w:r w:rsidR="009912F8" w:rsidRPr="00E07C9A">
              <w:t xml:space="preserve"> a </w:t>
            </w:r>
            <w:r w:rsidRPr="00E07C9A">
              <w:t>hodnotenia orgánmi dohľadu</w:t>
            </w:r>
            <w:r w:rsidR="009912F8" w:rsidRPr="00E07C9A">
              <w:t xml:space="preserve"> a </w:t>
            </w:r>
            <w:r w:rsidRPr="00E07C9A">
              <w:t>stresové testovanie orgánmi dohľadu) (EBA SREP GL).</w:t>
            </w:r>
          </w:p>
          <w:p w14:paraId="729722E6" w14:textId="2FDEA431" w:rsidR="009C083D" w:rsidRPr="00E07C9A" w:rsidRDefault="009C083D" w:rsidP="00487A02">
            <w:pPr>
              <w:pStyle w:val="InstructionsText"/>
            </w:pPr>
            <w:r w:rsidRPr="00E07C9A">
              <w:t>Táto položka odráža podiel celkovej kapitálovej požiadavky</w:t>
            </w:r>
            <w:r w:rsidR="009912F8" w:rsidRPr="00E07C9A">
              <w:t xml:space="preserve"> v </w:t>
            </w:r>
            <w:r w:rsidRPr="00E07C9A">
              <w:t>rámci SREP (TSCR) tak, ako ho inštitúcii oznámil príslušný orgán. TSCR je vymedzený</w:t>
            </w:r>
            <w:r w:rsidR="009912F8" w:rsidRPr="00E07C9A">
              <w:t xml:space="preserve"> v </w:t>
            </w:r>
            <w:r w:rsidRPr="00E07C9A">
              <w:t>oddieloch 7.4</w:t>
            </w:r>
            <w:r w:rsidR="009912F8" w:rsidRPr="00E07C9A">
              <w:t xml:space="preserve"> a </w:t>
            </w:r>
            <w:r w:rsidRPr="00E07C9A">
              <w:t>7.5 dokumentu EBA SREP GL.</w:t>
            </w:r>
          </w:p>
          <w:p w14:paraId="2B22BEBA" w14:textId="77777777" w:rsidR="00C9673B" w:rsidRPr="00E07C9A" w:rsidRDefault="00FF2818" w:rsidP="00487A02">
            <w:pPr>
              <w:pStyle w:val="InstructionsText"/>
              <w:rPr>
                <w:rStyle w:val="InstructionsTabelleberschrift"/>
                <w:rFonts w:ascii="Times New Roman" w:hAnsi="Times New Roman"/>
                <w:b w:val="0"/>
                <w:bCs w:val="0"/>
                <w:sz w:val="24"/>
                <w:u w:val="none"/>
              </w:rPr>
            </w:pPr>
            <w:r w:rsidRPr="00E07C9A">
              <w:t xml:space="preserve">Ak príslušný orgán neoznámil žiadne požiadavky na dodatočné vlastné zdroje, vykazuje sa iba bod i). </w:t>
            </w:r>
          </w:p>
        </w:tc>
      </w:tr>
      <w:tr w:rsidR="009C083D" w:rsidRPr="00E07C9A" w14:paraId="79420BB4" w14:textId="77777777" w:rsidTr="003E47C5">
        <w:tc>
          <w:tcPr>
            <w:tcW w:w="1163" w:type="dxa"/>
          </w:tcPr>
          <w:p w14:paraId="48EB47D6" w14:textId="77777777" w:rsidR="009C083D" w:rsidRPr="00E07C9A" w:rsidRDefault="00B13F06" w:rsidP="00487A02">
            <w:pPr>
              <w:pStyle w:val="InstructionsText"/>
            </w:pPr>
            <w:r w:rsidRPr="00E07C9A">
              <w:lastRenderedPageBreak/>
              <w:t>0140</w:t>
            </w:r>
          </w:p>
        </w:tc>
        <w:tc>
          <w:tcPr>
            <w:tcW w:w="7620" w:type="dxa"/>
          </w:tcPr>
          <w:p w14:paraId="2906ED74" w14:textId="77777777" w:rsidR="009912F8" w:rsidRPr="00E07C9A" w:rsidRDefault="009C083D"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13.*</w:t>
            </w:r>
            <w:r w:rsidRPr="00E07C9A">
              <w:tab/>
            </w:r>
            <w:r w:rsidRPr="00E07C9A">
              <w:rPr>
                <w:rStyle w:val="InstructionsTabelleberschrift"/>
                <w:rFonts w:ascii="Times New Roman" w:hAnsi="Times New Roman"/>
                <w:sz w:val="24"/>
              </w:rPr>
              <w:t>TSCR: má byť tvorený kapitálom CET1</w:t>
            </w:r>
          </w:p>
          <w:p w14:paraId="131D3C90" w14:textId="42EA13D0" w:rsidR="009C083D" w:rsidRPr="00E07C9A" w:rsidRDefault="009C083D" w:rsidP="00487A02">
            <w:pPr>
              <w:pStyle w:val="InstructionsText"/>
            </w:pPr>
            <w:r w:rsidRPr="00E07C9A">
              <w:t>Súčet bodov i)</w:t>
            </w:r>
            <w:r w:rsidR="009912F8" w:rsidRPr="00E07C9A">
              <w:t xml:space="preserve"> a </w:t>
            </w:r>
            <w:r w:rsidRPr="00E07C9A">
              <w:t>ii) takto:</w:t>
            </w:r>
          </w:p>
          <w:p w14:paraId="63A912BD" w14:textId="632B5EE7" w:rsidR="009C083D" w:rsidRPr="00E07C9A" w:rsidRDefault="009C083D" w:rsidP="005C4397">
            <w:pPr>
              <w:pStyle w:val="InstructionsText"/>
              <w:numPr>
                <w:ilvl w:val="0"/>
                <w:numId w:val="42"/>
              </w:numPr>
              <w:ind w:hanging="525"/>
            </w:pPr>
            <w:r w:rsidRPr="00E07C9A">
              <w:t>podiel kapitálu CET1 (4,5</w:t>
            </w:r>
            <w:r w:rsidR="009912F8" w:rsidRPr="00E07C9A">
              <w:t> %</w:t>
            </w:r>
            <w:r w:rsidRPr="00E07C9A">
              <w:t>), ako je stanovené</w:t>
            </w:r>
            <w:r w:rsidR="009912F8" w:rsidRPr="00E07C9A">
              <w:t xml:space="preserve"> v </w:t>
            </w:r>
            <w:r w:rsidRPr="00E07C9A">
              <w:t xml:space="preserve">článku 92 ods. 1 písm. a) nariadenia (EÚ) </w:t>
            </w:r>
            <w:r w:rsidR="009912F8" w:rsidRPr="00E07C9A">
              <w:t>č. 575/2013</w:t>
            </w:r>
            <w:r w:rsidRPr="00E07C9A">
              <w:t>;</w:t>
            </w:r>
          </w:p>
          <w:p w14:paraId="6840BFDD" w14:textId="09CB90AF" w:rsidR="0002157C" w:rsidRPr="00E07C9A" w:rsidRDefault="009C083D" w:rsidP="005C4397">
            <w:pPr>
              <w:pStyle w:val="InstructionsText"/>
              <w:numPr>
                <w:ilvl w:val="0"/>
                <w:numId w:val="42"/>
              </w:numPr>
              <w:ind w:hanging="525"/>
              <w:rPr>
                <w:b/>
                <w:bCs/>
                <w:u w:val="single"/>
              </w:rPr>
            </w:pPr>
            <w:r w:rsidRPr="00E07C9A">
              <w:t>časť podielu P2R uvedeného</w:t>
            </w:r>
            <w:r w:rsidR="009912F8" w:rsidRPr="00E07C9A">
              <w:t xml:space="preserve"> v </w:t>
            </w:r>
            <w:r w:rsidRPr="00E07C9A">
              <w:t>riadku 0130 bode ii), ktorý na základe požiadavky príslušného orgánu musí byť držaný</w:t>
            </w:r>
            <w:r w:rsidR="009912F8" w:rsidRPr="00E07C9A">
              <w:t xml:space="preserve"> v </w:t>
            </w:r>
            <w:r w:rsidRPr="00E07C9A">
              <w:t>podobe kapitálu CET1.</w:t>
            </w:r>
          </w:p>
          <w:p w14:paraId="170D6E02" w14:textId="27E42026" w:rsidR="009C083D" w:rsidRPr="00E07C9A" w:rsidRDefault="00FF2818" w:rsidP="00487A02">
            <w:pPr>
              <w:pStyle w:val="InstructionsText"/>
              <w:rPr>
                <w:rStyle w:val="InstructionsTabelleberschrift"/>
                <w:rFonts w:ascii="Times New Roman" w:hAnsi="Times New Roman"/>
                <w:sz w:val="24"/>
              </w:rPr>
            </w:pPr>
            <w:r w:rsidRPr="00E07C9A">
              <w:t>Ak príslušný orgán neoznámil žiadne požiadavky na dodatočné vlastné zdroje, ktoré sa majú držať</w:t>
            </w:r>
            <w:r w:rsidR="009912F8" w:rsidRPr="00E07C9A">
              <w:t xml:space="preserve"> v </w:t>
            </w:r>
            <w:r w:rsidRPr="00E07C9A">
              <w:t>podobe kapitálu CET1, vykazuje sa iba bod i).</w:t>
            </w:r>
            <w:r w:rsidRPr="00E07C9A">
              <w:rPr>
                <w:rStyle w:val="InstructionsTabelleberschrift"/>
                <w:rFonts w:ascii="Times New Roman" w:hAnsi="Times New Roman"/>
                <w:b w:val="0"/>
                <w:sz w:val="24"/>
              </w:rPr>
              <w:t xml:space="preserve"> </w:t>
            </w:r>
          </w:p>
        </w:tc>
      </w:tr>
      <w:tr w:rsidR="009C083D" w:rsidRPr="00E07C9A" w14:paraId="0AED62E2" w14:textId="77777777" w:rsidTr="003E47C5">
        <w:tc>
          <w:tcPr>
            <w:tcW w:w="1163" w:type="dxa"/>
          </w:tcPr>
          <w:p w14:paraId="75C7F571" w14:textId="77777777" w:rsidR="009C083D" w:rsidRPr="00E07C9A" w:rsidRDefault="00B13F06" w:rsidP="00487A02">
            <w:pPr>
              <w:pStyle w:val="InstructionsText"/>
            </w:pPr>
            <w:r w:rsidRPr="00E07C9A">
              <w:t>0150</w:t>
            </w:r>
          </w:p>
        </w:tc>
        <w:tc>
          <w:tcPr>
            <w:tcW w:w="7620" w:type="dxa"/>
          </w:tcPr>
          <w:p w14:paraId="131FF666" w14:textId="77777777" w:rsidR="009C083D" w:rsidRPr="00E07C9A" w:rsidRDefault="009C083D"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13.**</w:t>
            </w:r>
            <w:r w:rsidRPr="00E07C9A">
              <w:tab/>
            </w:r>
            <w:r w:rsidRPr="00E07C9A">
              <w:rPr>
                <w:rStyle w:val="InstructionsTabelleberschrift"/>
                <w:rFonts w:ascii="Times New Roman" w:hAnsi="Times New Roman"/>
                <w:sz w:val="24"/>
              </w:rPr>
              <w:t>TSCR: má byť tvorený kapitálom Tier 1</w:t>
            </w:r>
          </w:p>
          <w:p w14:paraId="4C3C74C1" w14:textId="5F6D2795" w:rsidR="009C083D" w:rsidRPr="00E07C9A" w:rsidRDefault="009C083D" w:rsidP="00487A02">
            <w:pPr>
              <w:pStyle w:val="InstructionsText"/>
            </w:pPr>
            <w:r w:rsidRPr="00E07C9A">
              <w:t>Súčet bodov i)</w:t>
            </w:r>
            <w:r w:rsidR="009912F8" w:rsidRPr="00E07C9A">
              <w:t xml:space="preserve"> a </w:t>
            </w:r>
            <w:r w:rsidRPr="00E07C9A">
              <w:t>ii) takto:</w:t>
            </w:r>
          </w:p>
          <w:p w14:paraId="4657F7D0" w14:textId="0C7636C7" w:rsidR="009C083D" w:rsidRPr="00E07C9A" w:rsidRDefault="009C083D" w:rsidP="005C4397">
            <w:pPr>
              <w:pStyle w:val="InstructionsText"/>
              <w:numPr>
                <w:ilvl w:val="0"/>
                <w:numId w:val="43"/>
              </w:numPr>
              <w:ind w:hanging="525"/>
            </w:pPr>
            <w:r w:rsidRPr="00E07C9A">
              <w:t>podiel kapitálu Tier 1 (6</w:t>
            </w:r>
            <w:r w:rsidR="009912F8" w:rsidRPr="00E07C9A">
              <w:t> %</w:t>
            </w:r>
            <w:r w:rsidRPr="00E07C9A">
              <w:t>), ako je stanovené</w:t>
            </w:r>
            <w:r w:rsidR="009912F8" w:rsidRPr="00E07C9A">
              <w:t xml:space="preserve"> v </w:t>
            </w:r>
            <w:r w:rsidRPr="00E07C9A">
              <w:t xml:space="preserve">článku 92 ods. 1 písm. b) nariadenia (EÚ) </w:t>
            </w:r>
            <w:r w:rsidR="009912F8" w:rsidRPr="00E07C9A">
              <w:t>č. 575/2013</w:t>
            </w:r>
            <w:r w:rsidRPr="00E07C9A">
              <w:t>;</w:t>
            </w:r>
          </w:p>
          <w:p w14:paraId="37CACF63" w14:textId="2CB9A7D4" w:rsidR="009C083D" w:rsidRPr="00E07C9A" w:rsidRDefault="009C083D" w:rsidP="005C4397">
            <w:pPr>
              <w:pStyle w:val="InstructionsText"/>
              <w:numPr>
                <w:ilvl w:val="0"/>
                <w:numId w:val="43"/>
              </w:numPr>
              <w:ind w:hanging="525"/>
              <w:rPr>
                <w:bCs/>
                <w:u w:val="single"/>
              </w:rPr>
            </w:pPr>
            <w:r w:rsidRPr="00E07C9A">
              <w:t>časť podielu P2R uvedeného</w:t>
            </w:r>
            <w:r w:rsidR="009912F8" w:rsidRPr="00E07C9A">
              <w:t xml:space="preserve"> v </w:t>
            </w:r>
            <w:r w:rsidRPr="00E07C9A">
              <w:t>riadku 0130 bode ii), ktorý na základe požiadavky príslušného orgánu musí byť držaný</w:t>
            </w:r>
            <w:r w:rsidR="009912F8" w:rsidRPr="00E07C9A">
              <w:t xml:space="preserve"> v </w:t>
            </w:r>
            <w:r w:rsidRPr="00E07C9A">
              <w:t>podobe kapitálu Tier 1.</w:t>
            </w:r>
          </w:p>
          <w:p w14:paraId="7A82E739" w14:textId="60B54A6D" w:rsidR="00DA6CB8" w:rsidRPr="00E07C9A" w:rsidRDefault="00FF2818" w:rsidP="00487A02">
            <w:pPr>
              <w:pStyle w:val="InstructionsText"/>
              <w:rPr>
                <w:rStyle w:val="InstructionsTabelleberschrift"/>
                <w:rFonts w:ascii="Times New Roman" w:hAnsi="Times New Roman"/>
                <w:b w:val="0"/>
                <w:sz w:val="24"/>
              </w:rPr>
            </w:pPr>
            <w:r w:rsidRPr="00E07C9A">
              <w:t>Ak príslušný orgán neoznámil žiadne požiadavky na dodatočné vlastné zdroje, ktoré sa majú držať</w:t>
            </w:r>
            <w:r w:rsidR="009912F8" w:rsidRPr="00E07C9A">
              <w:t xml:space="preserve"> v </w:t>
            </w:r>
            <w:r w:rsidRPr="00E07C9A">
              <w:t>podobe kapitálu Tier 1, vykazuje sa iba bod i).</w:t>
            </w:r>
          </w:p>
        </w:tc>
      </w:tr>
      <w:tr w:rsidR="009C083D" w:rsidRPr="00E07C9A" w14:paraId="7CC3303B" w14:textId="77777777" w:rsidTr="003E47C5">
        <w:tc>
          <w:tcPr>
            <w:tcW w:w="1163" w:type="dxa"/>
          </w:tcPr>
          <w:p w14:paraId="4FF71E3D" w14:textId="77777777" w:rsidR="009C083D" w:rsidRPr="00E07C9A" w:rsidRDefault="00B13F06" w:rsidP="00487A02">
            <w:pPr>
              <w:pStyle w:val="InstructionsText"/>
            </w:pPr>
            <w:r w:rsidRPr="00E07C9A">
              <w:t>0160</w:t>
            </w:r>
          </w:p>
        </w:tc>
        <w:tc>
          <w:tcPr>
            <w:tcW w:w="7620" w:type="dxa"/>
          </w:tcPr>
          <w:p w14:paraId="564FF575" w14:textId="77777777" w:rsidR="009C083D" w:rsidRPr="00E07C9A" w:rsidRDefault="009C083D"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14.</w:t>
            </w:r>
            <w:r w:rsidRPr="00E07C9A">
              <w:tab/>
            </w:r>
            <w:r w:rsidRPr="00E07C9A">
              <w:rPr>
                <w:rStyle w:val="InstructionsTabelleberschrift"/>
                <w:rFonts w:ascii="Times New Roman" w:hAnsi="Times New Roman"/>
                <w:sz w:val="24"/>
              </w:rPr>
              <w:t>Podiel celkovej kapitálovej požiadavky (OCR)</w:t>
            </w:r>
          </w:p>
          <w:p w14:paraId="5488678A" w14:textId="4B037551" w:rsidR="009C083D" w:rsidRPr="00E07C9A" w:rsidRDefault="009C083D" w:rsidP="00487A02">
            <w:pPr>
              <w:pStyle w:val="InstructionsText"/>
            </w:pPr>
            <w:r w:rsidRPr="00E07C9A">
              <w:t>Súčet bodov i)</w:t>
            </w:r>
            <w:r w:rsidR="009912F8" w:rsidRPr="00E07C9A">
              <w:t xml:space="preserve"> a </w:t>
            </w:r>
            <w:r w:rsidRPr="00E07C9A">
              <w:t>ii) takto:</w:t>
            </w:r>
          </w:p>
          <w:p w14:paraId="0FF8F167" w14:textId="4A59716E" w:rsidR="009C083D" w:rsidRPr="00E07C9A" w:rsidRDefault="009C083D" w:rsidP="005C4397">
            <w:pPr>
              <w:pStyle w:val="InstructionsText"/>
              <w:numPr>
                <w:ilvl w:val="0"/>
                <w:numId w:val="44"/>
              </w:numPr>
              <w:ind w:hanging="525"/>
            </w:pPr>
            <w:r w:rsidRPr="00E07C9A">
              <w:t>podiel TSCR uvedený</w:t>
            </w:r>
            <w:r w:rsidR="009912F8" w:rsidRPr="00E07C9A">
              <w:t xml:space="preserve"> v </w:t>
            </w:r>
            <w:r w:rsidRPr="00E07C9A">
              <w:t>riadku 0130;</w:t>
            </w:r>
          </w:p>
          <w:p w14:paraId="5C51AED8" w14:textId="32BE55AE" w:rsidR="009C083D" w:rsidRPr="00E07C9A" w:rsidRDefault="009C083D" w:rsidP="005C4397">
            <w:pPr>
              <w:pStyle w:val="InstructionsText"/>
              <w:numPr>
                <w:ilvl w:val="0"/>
                <w:numId w:val="44"/>
              </w:numPr>
              <w:ind w:hanging="525"/>
            </w:pPr>
            <w:r w:rsidRPr="00E07C9A">
              <w:t>v rozsahu,</w:t>
            </w:r>
            <w:r w:rsidR="009912F8" w:rsidRPr="00E07C9A">
              <w:t xml:space="preserve"> v </w:t>
            </w:r>
            <w:r w:rsidRPr="00E07C9A">
              <w:t>akom je zákonne uplatniteľný, podiel požiadavky na kombinovaný vankúš uvedenej</w:t>
            </w:r>
            <w:r w:rsidR="009912F8" w:rsidRPr="00E07C9A">
              <w:t xml:space="preserve"> v </w:t>
            </w:r>
            <w:r w:rsidRPr="00E07C9A">
              <w:t>článku 128 bode 6) smernice 2013/36/EÚ.</w:t>
            </w:r>
          </w:p>
          <w:p w14:paraId="44AD77AD" w14:textId="65FA6A9C" w:rsidR="005B54BB" w:rsidRPr="00E07C9A" w:rsidRDefault="009C083D" w:rsidP="00487A02">
            <w:pPr>
              <w:pStyle w:val="InstructionsText"/>
            </w:pPr>
            <w:r w:rsidRPr="00E07C9A">
              <w:t>Táto položka odráža podiel celkovej kapitálovej požiadavky (OCR)</w:t>
            </w:r>
            <w:r w:rsidR="009912F8" w:rsidRPr="00E07C9A">
              <w:t xml:space="preserve"> v </w:t>
            </w:r>
            <w:r w:rsidRPr="00E07C9A">
              <w:t>zmysle vymedzenia</w:t>
            </w:r>
            <w:r w:rsidR="009912F8" w:rsidRPr="00E07C9A">
              <w:t xml:space="preserve"> v </w:t>
            </w:r>
            <w:r w:rsidRPr="00E07C9A">
              <w:t>oddiele 7.5 dokumentu EBA SREP GL.</w:t>
            </w:r>
          </w:p>
          <w:p w14:paraId="4DD4EE34" w14:textId="77777777" w:rsidR="00645573" w:rsidRPr="00E07C9A" w:rsidRDefault="00FF2818" w:rsidP="00487A02">
            <w:pPr>
              <w:pStyle w:val="InstructionsText"/>
              <w:rPr>
                <w:rStyle w:val="InstructionsTabelleberschrift"/>
                <w:rFonts w:ascii="Times New Roman" w:hAnsi="Times New Roman"/>
                <w:sz w:val="24"/>
              </w:rPr>
            </w:pPr>
            <w:r w:rsidRPr="00E07C9A">
              <w:t>Ak sa neuplatňuje žiadna požiadavka na vankúš, vykazuje sa iba bod i).</w:t>
            </w:r>
          </w:p>
        </w:tc>
      </w:tr>
      <w:tr w:rsidR="009C083D" w:rsidRPr="00E07C9A" w14:paraId="0AAA33A9" w14:textId="77777777" w:rsidTr="003E47C5">
        <w:tc>
          <w:tcPr>
            <w:tcW w:w="1163" w:type="dxa"/>
          </w:tcPr>
          <w:p w14:paraId="671E447D" w14:textId="77777777" w:rsidR="009C083D" w:rsidRPr="00E07C9A" w:rsidRDefault="00B13F06" w:rsidP="00487A02">
            <w:pPr>
              <w:pStyle w:val="InstructionsText"/>
            </w:pPr>
            <w:r w:rsidRPr="00E07C9A">
              <w:t>0170</w:t>
            </w:r>
          </w:p>
        </w:tc>
        <w:tc>
          <w:tcPr>
            <w:tcW w:w="7620" w:type="dxa"/>
          </w:tcPr>
          <w:p w14:paraId="147EFF38" w14:textId="77777777" w:rsidR="009912F8" w:rsidRPr="00E07C9A" w:rsidRDefault="009C083D"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14.*</w:t>
            </w:r>
            <w:r w:rsidRPr="00E07C9A">
              <w:tab/>
            </w:r>
            <w:r w:rsidRPr="00E07C9A">
              <w:rPr>
                <w:rStyle w:val="InstructionsTabelleberschrift"/>
                <w:rFonts w:ascii="Times New Roman" w:hAnsi="Times New Roman"/>
                <w:sz w:val="24"/>
              </w:rPr>
              <w:t>OCR: má byť tvorený kapitálom CET1</w:t>
            </w:r>
          </w:p>
          <w:p w14:paraId="3190A351" w14:textId="09D03B48" w:rsidR="009C083D" w:rsidRPr="00E07C9A" w:rsidRDefault="009C083D" w:rsidP="00487A02">
            <w:pPr>
              <w:pStyle w:val="InstructionsText"/>
            </w:pPr>
            <w:r w:rsidRPr="00E07C9A">
              <w:t>Súčet bodov i)</w:t>
            </w:r>
            <w:r w:rsidR="009912F8" w:rsidRPr="00E07C9A">
              <w:t xml:space="preserve"> a </w:t>
            </w:r>
            <w:r w:rsidRPr="00E07C9A">
              <w:t>ii) takto:</w:t>
            </w:r>
          </w:p>
          <w:p w14:paraId="14D63B29" w14:textId="5FE45DD6" w:rsidR="009C083D" w:rsidRPr="00E07C9A" w:rsidRDefault="009C083D" w:rsidP="005C4397">
            <w:pPr>
              <w:pStyle w:val="InstructionsText"/>
              <w:numPr>
                <w:ilvl w:val="0"/>
                <w:numId w:val="45"/>
              </w:numPr>
              <w:ind w:hanging="525"/>
            </w:pPr>
            <w:r w:rsidRPr="00E07C9A">
              <w:t>podiel TSCR má byť tvorený kapitálom CET1 uvedeným</w:t>
            </w:r>
            <w:r w:rsidR="009912F8" w:rsidRPr="00E07C9A">
              <w:t xml:space="preserve"> v </w:t>
            </w:r>
            <w:r w:rsidRPr="00E07C9A">
              <w:t>riadku 0140;</w:t>
            </w:r>
          </w:p>
          <w:p w14:paraId="79A85A79" w14:textId="3AE18E67" w:rsidR="009C083D" w:rsidRPr="00E07C9A" w:rsidRDefault="009C083D" w:rsidP="005C4397">
            <w:pPr>
              <w:pStyle w:val="InstructionsText"/>
              <w:numPr>
                <w:ilvl w:val="0"/>
                <w:numId w:val="45"/>
              </w:numPr>
              <w:ind w:hanging="525"/>
              <w:rPr>
                <w:bCs/>
                <w:u w:val="single"/>
              </w:rPr>
            </w:pPr>
            <w:r w:rsidRPr="00E07C9A">
              <w:lastRenderedPageBreak/>
              <w:t>v rozsahu,</w:t>
            </w:r>
            <w:r w:rsidR="009912F8" w:rsidRPr="00E07C9A">
              <w:t xml:space="preserve"> v </w:t>
            </w:r>
            <w:r w:rsidRPr="00E07C9A">
              <w:t>akom je zákonne uplatniteľný, podiel požiadavky na kombinovaný vankúš uvedenej</w:t>
            </w:r>
            <w:r w:rsidR="009912F8" w:rsidRPr="00E07C9A">
              <w:t xml:space="preserve"> v </w:t>
            </w:r>
            <w:r w:rsidRPr="00E07C9A">
              <w:t>článku 128 bode 6) smernice 2013/36/EÚ.</w:t>
            </w:r>
          </w:p>
          <w:p w14:paraId="4AA3D835" w14:textId="77777777" w:rsidR="00BA325A" w:rsidRPr="00E07C9A" w:rsidRDefault="00FF2818" w:rsidP="00487A02">
            <w:pPr>
              <w:pStyle w:val="InstructionsText"/>
              <w:rPr>
                <w:rStyle w:val="InstructionsTabelleberschrift"/>
                <w:rFonts w:ascii="Times New Roman" w:hAnsi="Times New Roman"/>
                <w:b w:val="0"/>
                <w:sz w:val="24"/>
              </w:rPr>
            </w:pPr>
            <w:r w:rsidRPr="00E07C9A">
              <w:t>Ak sa neuplatňuje žiadna požiadavka na vankúš, vykazuje sa iba bod i).</w:t>
            </w:r>
          </w:p>
        </w:tc>
      </w:tr>
      <w:tr w:rsidR="009C083D" w:rsidRPr="00E07C9A" w14:paraId="41FEF037" w14:textId="77777777" w:rsidTr="003E47C5">
        <w:tc>
          <w:tcPr>
            <w:tcW w:w="1163" w:type="dxa"/>
          </w:tcPr>
          <w:p w14:paraId="3E8C9C08" w14:textId="77777777" w:rsidR="009C083D" w:rsidRPr="00E07C9A" w:rsidRDefault="00B13F06" w:rsidP="00487A02">
            <w:pPr>
              <w:pStyle w:val="InstructionsText"/>
            </w:pPr>
            <w:r w:rsidRPr="00E07C9A">
              <w:lastRenderedPageBreak/>
              <w:t>0180</w:t>
            </w:r>
          </w:p>
        </w:tc>
        <w:tc>
          <w:tcPr>
            <w:tcW w:w="7620" w:type="dxa"/>
          </w:tcPr>
          <w:p w14:paraId="334ABD3E" w14:textId="77777777" w:rsidR="009C083D" w:rsidRPr="00E07C9A" w:rsidRDefault="009C083D"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14.**</w:t>
            </w:r>
            <w:r w:rsidRPr="00E07C9A">
              <w:tab/>
            </w:r>
            <w:r w:rsidRPr="00E07C9A">
              <w:rPr>
                <w:rStyle w:val="InstructionsTabelleberschrift"/>
                <w:rFonts w:ascii="Times New Roman" w:hAnsi="Times New Roman"/>
                <w:sz w:val="24"/>
              </w:rPr>
              <w:t>OCR: má byť tvorený kapitálom Tier 1</w:t>
            </w:r>
          </w:p>
          <w:p w14:paraId="554AC14C" w14:textId="6F65F020" w:rsidR="009C083D" w:rsidRPr="00E07C9A" w:rsidRDefault="009C083D" w:rsidP="00487A02">
            <w:pPr>
              <w:pStyle w:val="InstructionsText"/>
            </w:pPr>
            <w:r w:rsidRPr="00E07C9A">
              <w:t>Súčet bodov i)</w:t>
            </w:r>
            <w:r w:rsidR="009912F8" w:rsidRPr="00E07C9A">
              <w:t xml:space="preserve"> a </w:t>
            </w:r>
            <w:r w:rsidRPr="00E07C9A">
              <w:t>ii) takto:</w:t>
            </w:r>
          </w:p>
          <w:p w14:paraId="2FE66F48" w14:textId="5A9D5316" w:rsidR="009C083D" w:rsidRPr="00E07C9A" w:rsidRDefault="009C083D" w:rsidP="005C4397">
            <w:pPr>
              <w:pStyle w:val="InstructionsText"/>
              <w:numPr>
                <w:ilvl w:val="0"/>
                <w:numId w:val="46"/>
              </w:numPr>
              <w:ind w:hanging="525"/>
            </w:pPr>
            <w:r w:rsidRPr="00E07C9A">
              <w:t>podiel TSCR má byť tvorený kapitálom Tier 1 uvedeným</w:t>
            </w:r>
            <w:r w:rsidR="009912F8" w:rsidRPr="00E07C9A">
              <w:t xml:space="preserve"> v </w:t>
            </w:r>
            <w:r w:rsidRPr="00E07C9A">
              <w:t>riadku 0150;</w:t>
            </w:r>
          </w:p>
          <w:p w14:paraId="3647DB7F" w14:textId="3F14AA49" w:rsidR="009C083D" w:rsidRPr="00E07C9A" w:rsidRDefault="009C083D" w:rsidP="005C4397">
            <w:pPr>
              <w:pStyle w:val="InstructionsText"/>
              <w:numPr>
                <w:ilvl w:val="0"/>
                <w:numId w:val="46"/>
              </w:numPr>
              <w:ind w:hanging="525"/>
              <w:rPr>
                <w:bCs/>
                <w:u w:val="single"/>
              </w:rPr>
            </w:pPr>
            <w:r w:rsidRPr="00E07C9A">
              <w:t>v rozsahu,</w:t>
            </w:r>
            <w:r w:rsidR="009912F8" w:rsidRPr="00E07C9A">
              <w:t xml:space="preserve"> v </w:t>
            </w:r>
            <w:r w:rsidRPr="00E07C9A">
              <w:t>akom je zákonne uplatniteľný, podiel požiadavky na kombinovaný vankúš uvedenej</w:t>
            </w:r>
            <w:r w:rsidR="009912F8" w:rsidRPr="00E07C9A">
              <w:t xml:space="preserve"> v </w:t>
            </w:r>
            <w:r w:rsidRPr="00E07C9A">
              <w:t>článku 128 bode 6) smernice 2013/36/EÚ.</w:t>
            </w:r>
          </w:p>
          <w:p w14:paraId="7DBC75C5" w14:textId="77777777" w:rsidR="00BA325A" w:rsidRPr="00E07C9A" w:rsidRDefault="00FF2818" w:rsidP="00487A02">
            <w:pPr>
              <w:pStyle w:val="InstructionsText"/>
              <w:rPr>
                <w:rStyle w:val="InstructionsTabelleberschrift"/>
                <w:rFonts w:ascii="Times New Roman" w:hAnsi="Times New Roman"/>
                <w:b w:val="0"/>
                <w:sz w:val="24"/>
              </w:rPr>
            </w:pPr>
            <w:r w:rsidRPr="00E07C9A">
              <w:t>Ak sa neuplatňuje žiadna požiadavka na vankúš, vykazuje sa iba bod i).</w:t>
            </w:r>
          </w:p>
        </w:tc>
      </w:tr>
      <w:tr w:rsidR="009C083D" w:rsidRPr="00E07C9A" w14:paraId="286F63C3" w14:textId="77777777" w:rsidTr="003E47C5">
        <w:tc>
          <w:tcPr>
            <w:tcW w:w="1163" w:type="dxa"/>
          </w:tcPr>
          <w:p w14:paraId="6C524C50" w14:textId="77777777" w:rsidR="009C083D" w:rsidRPr="00E07C9A" w:rsidRDefault="00B13F06" w:rsidP="00487A02">
            <w:pPr>
              <w:pStyle w:val="InstructionsText"/>
            </w:pPr>
            <w:r w:rsidRPr="00E07C9A">
              <w:t>0190</w:t>
            </w:r>
          </w:p>
        </w:tc>
        <w:tc>
          <w:tcPr>
            <w:tcW w:w="7620" w:type="dxa"/>
          </w:tcPr>
          <w:p w14:paraId="2C468D34" w14:textId="5AA06C8F" w:rsidR="009C083D" w:rsidRPr="00E07C9A" w:rsidRDefault="009C083D"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15.</w:t>
            </w:r>
            <w:r w:rsidRPr="00E07C9A">
              <w:tab/>
            </w:r>
            <w:r w:rsidRPr="00E07C9A">
              <w:rPr>
                <w:rStyle w:val="InstructionsTabelleberschrift"/>
                <w:rFonts w:ascii="Times New Roman" w:hAnsi="Times New Roman"/>
                <w:sz w:val="24"/>
              </w:rPr>
              <w:t>Podiel celkovej kapitálovej požiadavky (OCR)</w:t>
            </w:r>
            <w:r w:rsidR="009912F8" w:rsidRPr="00E07C9A">
              <w:rPr>
                <w:rStyle w:val="InstructionsTabelleberschrift"/>
                <w:rFonts w:ascii="Times New Roman" w:hAnsi="Times New Roman"/>
                <w:sz w:val="24"/>
              </w:rPr>
              <w:t xml:space="preserve"> a </w:t>
            </w:r>
            <w:r w:rsidRPr="00E07C9A">
              <w:rPr>
                <w:rStyle w:val="InstructionsTabelleberschrift"/>
                <w:rFonts w:ascii="Times New Roman" w:hAnsi="Times New Roman"/>
                <w:sz w:val="24"/>
              </w:rPr>
              <w:t>usmernenia pre pilier 2 (P2G)</w:t>
            </w:r>
          </w:p>
          <w:p w14:paraId="29A3CC59" w14:textId="3B2133CD" w:rsidR="009C083D" w:rsidRPr="00E07C9A" w:rsidRDefault="009C083D" w:rsidP="00487A02">
            <w:pPr>
              <w:pStyle w:val="InstructionsText"/>
            </w:pPr>
            <w:r w:rsidRPr="00E07C9A">
              <w:t>Súčet bodov i)</w:t>
            </w:r>
            <w:r w:rsidR="009912F8" w:rsidRPr="00E07C9A">
              <w:t xml:space="preserve"> a </w:t>
            </w:r>
            <w:r w:rsidRPr="00E07C9A">
              <w:t>ii) takto:</w:t>
            </w:r>
          </w:p>
          <w:p w14:paraId="0BE33E9D" w14:textId="1A902A6C" w:rsidR="009C083D" w:rsidRPr="00E07C9A" w:rsidRDefault="009C083D" w:rsidP="005C4397">
            <w:pPr>
              <w:pStyle w:val="InstructionsText"/>
              <w:numPr>
                <w:ilvl w:val="0"/>
                <w:numId w:val="47"/>
              </w:numPr>
              <w:ind w:hanging="405"/>
            </w:pPr>
            <w:r w:rsidRPr="00E07C9A">
              <w:t>podiel OCR uvedený</w:t>
            </w:r>
            <w:r w:rsidR="009912F8" w:rsidRPr="00E07C9A">
              <w:t xml:space="preserve"> v </w:t>
            </w:r>
            <w:r w:rsidRPr="00E07C9A">
              <w:t>riadku 160;</w:t>
            </w:r>
          </w:p>
          <w:p w14:paraId="27E5BD11" w14:textId="4DD01302" w:rsidR="009C083D" w:rsidRPr="00E07C9A" w:rsidRDefault="009C083D" w:rsidP="005C4397">
            <w:pPr>
              <w:pStyle w:val="InstructionsText"/>
              <w:numPr>
                <w:ilvl w:val="0"/>
                <w:numId w:val="47"/>
              </w:numPr>
              <w:ind w:hanging="405"/>
              <w:rPr>
                <w:bCs/>
                <w:u w:val="single"/>
              </w:rPr>
            </w:pPr>
            <w:r w:rsidRPr="00E07C9A">
              <w:t>v uplatniteľných prípadoch usmernenie týkajúce sa dodatočných vlastných zdrojov, ktoré oznámil príslušný orgán (usmernenie pre pilier 2 – P2G), ako sa uvádza</w:t>
            </w:r>
            <w:r w:rsidR="009912F8" w:rsidRPr="00E07C9A">
              <w:t xml:space="preserve"> v </w:t>
            </w:r>
            <w:r w:rsidRPr="00E07C9A">
              <w:t>článku 104b ods. 3 smernice 2013/36/EÚ, vyjadrené ako pomer. Vymedzujú sa</w:t>
            </w:r>
            <w:r w:rsidR="009912F8" w:rsidRPr="00E07C9A">
              <w:t xml:space="preserve"> v </w:t>
            </w:r>
            <w:r w:rsidRPr="00E07C9A">
              <w:t>súlade</w:t>
            </w:r>
            <w:r w:rsidR="009912F8" w:rsidRPr="00E07C9A">
              <w:t xml:space="preserve"> s </w:t>
            </w:r>
            <w:r w:rsidRPr="00E07C9A">
              <w:t>oddielom 7.7.1 dokumentu EBA SREP GL. Usmernenie P2G sa zahŕňa iba vtedy, ak to inštitúcii oznámil príslušný orgán.</w:t>
            </w:r>
          </w:p>
          <w:p w14:paraId="3392F936" w14:textId="4B15C605" w:rsidR="0047693D" w:rsidRPr="00E07C9A" w:rsidRDefault="00FF2818" w:rsidP="00487A02">
            <w:pPr>
              <w:pStyle w:val="InstructionsText"/>
              <w:rPr>
                <w:rStyle w:val="InstructionsTabelleberschrift"/>
                <w:rFonts w:ascii="Times New Roman" w:hAnsi="Times New Roman"/>
                <w:b w:val="0"/>
                <w:sz w:val="24"/>
              </w:rPr>
            </w:pPr>
            <w:r w:rsidRPr="00E07C9A">
              <w:t>Ak príslušný orgán neoznámil žiadne P2G, vykazuje sa iba bod i).</w:t>
            </w:r>
            <w:r w:rsidR="009912F8" w:rsidRPr="00E07C9A">
              <w:t xml:space="preserve"> </w:t>
            </w:r>
          </w:p>
        </w:tc>
      </w:tr>
      <w:tr w:rsidR="009C083D" w:rsidRPr="00E07C9A" w14:paraId="74FD5EC5" w14:textId="77777777" w:rsidTr="003E47C5">
        <w:tc>
          <w:tcPr>
            <w:tcW w:w="1163" w:type="dxa"/>
          </w:tcPr>
          <w:p w14:paraId="5452ECD5" w14:textId="77777777" w:rsidR="009C083D" w:rsidRPr="00E07C9A" w:rsidRDefault="00B13F06" w:rsidP="00487A02">
            <w:pPr>
              <w:pStyle w:val="InstructionsText"/>
            </w:pPr>
            <w:r w:rsidRPr="00E07C9A">
              <w:t>0200</w:t>
            </w:r>
          </w:p>
        </w:tc>
        <w:tc>
          <w:tcPr>
            <w:tcW w:w="7620" w:type="dxa"/>
          </w:tcPr>
          <w:p w14:paraId="2D4486F4" w14:textId="77777777" w:rsidR="009912F8" w:rsidRPr="00E07C9A" w:rsidRDefault="009C083D"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15.*</w:t>
            </w:r>
            <w:r w:rsidRPr="00E07C9A">
              <w:tab/>
            </w:r>
            <w:r w:rsidRPr="00E07C9A">
              <w:rPr>
                <w:rStyle w:val="InstructionsTabelleberschrift"/>
                <w:rFonts w:ascii="Times New Roman" w:hAnsi="Times New Roman"/>
                <w:sz w:val="24"/>
              </w:rPr>
              <w:t>OCR</w:t>
            </w:r>
            <w:r w:rsidR="009912F8" w:rsidRPr="00E07C9A">
              <w:rPr>
                <w:rStyle w:val="InstructionsTabelleberschrift"/>
                <w:rFonts w:ascii="Times New Roman" w:hAnsi="Times New Roman"/>
                <w:sz w:val="24"/>
              </w:rPr>
              <w:t xml:space="preserve"> a </w:t>
            </w:r>
            <w:r w:rsidRPr="00E07C9A">
              <w:rPr>
                <w:rStyle w:val="InstructionsTabelleberschrift"/>
                <w:rFonts w:ascii="Times New Roman" w:hAnsi="Times New Roman"/>
                <w:sz w:val="24"/>
              </w:rPr>
              <w:t>P2G: majú byť tvorené kapitálom CET1</w:t>
            </w:r>
          </w:p>
          <w:p w14:paraId="20195C97" w14:textId="6711B473" w:rsidR="009C083D" w:rsidRPr="00E07C9A" w:rsidRDefault="009C083D" w:rsidP="00487A02">
            <w:pPr>
              <w:pStyle w:val="InstructionsText"/>
            </w:pPr>
            <w:r w:rsidRPr="00E07C9A">
              <w:t>Súčet bodov i)</w:t>
            </w:r>
            <w:r w:rsidR="009912F8" w:rsidRPr="00E07C9A">
              <w:t xml:space="preserve"> a </w:t>
            </w:r>
            <w:r w:rsidRPr="00E07C9A">
              <w:t>ii) takto:</w:t>
            </w:r>
          </w:p>
          <w:p w14:paraId="0801BDF0" w14:textId="45C5476B" w:rsidR="009C083D" w:rsidRPr="00E07C9A" w:rsidRDefault="009C083D" w:rsidP="005C4397">
            <w:pPr>
              <w:pStyle w:val="InstructionsText"/>
              <w:numPr>
                <w:ilvl w:val="0"/>
                <w:numId w:val="48"/>
              </w:numPr>
              <w:ind w:hanging="525"/>
            </w:pPr>
            <w:r w:rsidRPr="00E07C9A">
              <w:t>podiel OCR má byť tvorený kapitálom CET1 uvedeným</w:t>
            </w:r>
            <w:r w:rsidR="009912F8" w:rsidRPr="00E07C9A">
              <w:t xml:space="preserve"> v </w:t>
            </w:r>
            <w:r w:rsidRPr="00E07C9A">
              <w:t>riadku 0170;</w:t>
            </w:r>
          </w:p>
          <w:p w14:paraId="45E052B0" w14:textId="0C543A89" w:rsidR="009C083D" w:rsidRPr="00E07C9A" w:rsidRDefault="009C083D" w:rsidP="005C4397">
            <w:pPr>
              <w:pStyle w:val="InstructionsText"/>
              <w:numPr>
                <w:ilvl w:val="0"/>
                <w:numId w:val="48"/>
              </w:numPr>
              <w:ind w:hanging="525"/>
              <w:rPr>
                <w:bCs/>
                <w:u w:val="single"/>
              </w:rPr>
            </w:pPr>
            <w:r w:rsidRPr="00E07C9A">
              <w:t>v uplatniteľných prípadoch časť podielu P2R uvedeného</w:t>
            </w:r>
            <w:r w:rsidR="009912F8" w:rsidRPr="00E07C9A">
              <w:t xml:space="preserve"> v </w:t>
            </w:r>
            <w:r w:rsidRPr="00E07C9A">
              <w:t>bode ii)</w:t>
            </w:r>
            <w:r w:rsidR="009912F8" w:rsidRPr="00E07C9A">
              <w:t xml:space="preserve"> v </w:t>
            </w:r>
            <w:r w:rsidRPr="00E07C9A">
              <w:t>riadku 0190, ktorý na základe požiadavky príslušného orgánu musí byť držaný</w:t>
            </w:r>
            <w:r w:rsidR="009912F8" w:rsidRPr="00E07C9A">
              <w:t xml:space="preserve"> v </w:t>
            </w:r>
            <w:r w:rsidRPr="00E07C9A">
              <w:t>podobe kapitálu CET1. P2G sa zahrnie iba vtedy, ak to inštitúcii oznámil príslušný orgán.</w:t>
            </w:r>
          </w:p>
          <w:p w14:paraId="49D1141C" w14:textId="77777777" w:rsidR="0047693D" w:rsidRPr="00E07C9A" w:rsidRDefault="00FF2818" w:rsidP="00487A02">
            <w:pPr>
              <w:pStyle w:val="InstructionsText"/>
              <w:rPr>
                <w:rStyle w:val="InstructionsTabelleberschrift"/>
                <w:rFonts w:ascii="Times New Roman" w:hAnsi="Times New Roman"/>
                <w:b w:val="0"/>
                <w:sz w:val="24"/>
              </w:rPr>
            </w:pPr>
            <w:r w:rsidRPr="00E07C9A">
              <w:t>Ak príslušný orgán neoznámil žiadne P2G, vykazuje sa iba bod i).</w:t>
            </w:r>
          </w:p>
        </w:tc>
      </w:tr>
      <w:tr w:rsidR="009C083D" w:rsidRPr="00E07C9A" w14:paraId="265EFF69" w14:textId="77777777" w:rsidTr="003E47C5">
        <w:tc>
          <w:tcPr>
            <w:tcW w:w="1163" w:type="dxa"/>
          </w:tcPr>
          <w:p w14:paraId="37299B49" w14:textId="77777777" w:rsidR="009C083D" w:rsidRPr="00E07C9A" w:rsidRDefault="00B13F06" w:rsidP="00487A02">
            <w:pPr>
              <w:pStyle w:val="InstructionsText"/>
            </w:pPr>
            <w:r w:rsidRPr="00E07C9A">
              <w:t>0210</w:t>
            </w:r>
          </w:p>
        </w:tc>
        <w:tc>
          <w:tcPr>
            <w:tcW w:w="7620" w:type="dxa"/>
          </w:tcPr>
          <w:p w14:paraId="6E395077" w14:textId="77777777" w:rsidR="009912F8" w:rsidRPr="00E07C9A" w:rsidRDefault="009C083D"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15.**</w:t>
            </w:r>
            <w:r w:rsidRPr="00E07C9A">
              <w:tab/>
            </w:r>
            <w:r w:rsidRPr="00E07C9A">
              <w:rPr>
                <w:rStyle w:val="InstructionsTabelleberschrift"/>
                <w:rFonts w:ascii="Times New Roman" w:hAnsi="Times New Roman"/>
                <w:sz w:val="24"/>
              </w:rPr>
              <w:t>OCR</w:t>
            </w:r>
            <w:r w:rsidR="009912F8" w:rsidRPr="00E07C9A">
              <w:rPr>
                <w:rStyle w:val="InstructionsTabelleberschrift"/>
                <w:rFonts w:ascii="Times New Roman" w:hAnsi="Times New Roman"/>
                <w:sz w:val="24"/>
              </w:rPr>
              <w:t xml:space="preserve"> a </w:t>
            </w:r>
            <w:r w:rsidRPr="00E07C9A">
              <w:rPr>
                <w:rStyle w:val="InstructionsTabelleberschrift"/>
                <w:rFonts w:ascii="Times New Roman" w:hAnsi="Times New Roman"/>
                <w:sz w:val="24"/>
              </w:rPr>
              <w:t>P2G: majú byť tvorené kapitálom Tier 1</w:t>
            </w:r>
          </w:p>
          <w:p w14:paraId="25D7BB7A" w14:textId="38FA1D0D" w:rsidR="009C083D" w:rsidRPr="00E07C9A" w:rsidRDefault="009C083D" w:rsidP="00487A02">
            <w:pPr>
              <w:pStyle w:val="InstructionsText"/>
            </w:pPr>
            <w:r w:rsidRPr="00E07C9A">
              <w:t>Súčet bodov i)</w:t>
            </w:r>
            <w:r w:rsidR="009912F8" w:rsidRPr="00E07C9A">
              <w:t xml:space="preserve"> a </w:t>
            </w:r>
            <w:r w:rsidRPr="00E07C9A">
              <w:t>ii) takto:</w:t>
            </w:r>
          </w:p>
          <w:p w14:paraId="603FFBBA" w14:textId="070F44E0" w:rsidR="009C083D" w:rsidRPr="00E07C9A" w:rsidRDefault="009C083D" w:rsidP="005C4397">
            <w:pPr>
              <w:pStyle w:val="InstructionsText"/>
              <w:numPr>
                <w:ilvl w:val="0"/>
                <w:numId w:val="49"/>
              </w:numPr>
              <w:ind w:hanging="525"/>
            </w:pPr>
            <w:r w:rsidRPr="00E07C9A">
              <w:t>podiel OCR má byť tvorený kapitálom Tier 1 uvedeným</w:t>
            </w:r>
            <w:r w:rsidR="009912F8" w:rsidRPr="00E07C9A">
              <w:t xml:space="preserve"> v </w:t>
            </w:r>
            <w:r w:rsidRPr="00E07C9A">
              <w:t>riadku 0180;</w:t>
            </w:r>
          </w:p>
          <w:p w14:paraId="11A9088F" w14:textId="6AF2521C" w:rsidR="009C083D" w:rsidRPr="00E07C9A" w:rsidRDefault="009C083D" w:rsidP="005C4397">
            <w:pPr>
              <w:pStyle w:val="InstructionsText"/>
              <w:numPr>
                <w:ilvl w:val="0"/>
                <w:numId w:val="49"/>
              </w:numPr>
              <w:ind w:hanging="525"/>
            </w:pPr>
            <w:r w:rsidRPr="00E07C9A">
              <w:t>v uplatniteľných prípadoch časť podielu P2R uvedeného</w:t>
            </w:r>
            <w:r w:rsidR="009912F8" w:rsidRPr="00E07C9A">
              <w:t xml:space="preserve"> v </w:t>
            </w:r>
            <w:r w:rsidRPr="00E07C9A">
              <w:t>bode ii)</w:t>
            </w:r>
            <w:r w:rsidR="009912F8" w:rsidRPr="00E07C9A">
              <w:t xml:space="preserve"> v </w:t>
            </w:r>
            <w:r w:rsidRPr="00E07C9A">
              <w:t>riadku 0190, ktorý na základe požiadavky príslušného orgánu musí byť držaný</w:t>
            </w:r>
            <w:r w:rsidR="009912F8" w:rsidRPr="00E07C9A">
              <w:t xml:space="preserve"> v </w:t>
            </w:r>
            <w:r w:rsidRPr="00E07C9A">
              <w:t>podobe kapitálu Tier 1. P2G sa zahrnie iba vtedy, ak to inštitúcii oznámil príslušný orgán.</w:t>
            </w:r>
          </w:p>
          <w:p w14:paraId="1CB9FE57" w14:textId="77777777" w:rsidR="0047693D" w:rsidRPr="00E07C9A" w:rsidRDefault="00FF2818" w:rsidP="00487A02">
            <w:pPr>
              <w:pStyle w:val="InstructionsText"/>
              <w:rPr>
                <w:rStyle w:val="InstructionsTabelleberschrift"/>
                <w:rFonts w:ascii="Times New Roman" w:hAnsi="Times New Roman"/>
                <w:b w:val="0"/>
                <w:bCs w:val="0"/>
                <w:sz w:val="24"/>
                <w:u w:val="none"/>
              </w:rPr>
            </w:pPr>
            <w:r w:rsidRPr="00E07C9A">
              <w:lastRenderedPageBreak/>
              <w:t>Ak príslušný orgán neoznámil žiadne P2G, vykazuje sa iba bod i).</w:t>
            </w:r>
            <w:r w:rsidRPr="00E07C9A">
              <w:rPr>
                <w:rStyle w:val="InstructionsTabelleberschrift"/>
                <w:rFonts w:ascii="Times New Roman" w:hAnsi="Times New Roman"/>
                <w:b w:val="0"/>
                <w:sz w:val="24"/>
              </w:rPr>
              <w:t xml:space="preserve"> </w:t>
            </w:r>
          </w:p>
        </w:tc>
      </w:tr>
      <w:tr w:rsidR="00477C45" w:rsidRPr="00E07C9A" w14:paraId="3B486D08" w14:textId="77777777" w:rsidTr="003E47C5">
        <w:tc>
          <w:tcPr>
            <w:tcW w:w="1163" w:type="dxa"/>
          </w:tcPr>
          <w:p w14:paraId="257934A4" w14:textId="77777777" w:rsidR="00477C45" w:rsidRPr="00E07C9A" w:rsidRDefault="00B13F06" w:rsidP="00487A02">
            <w:pPr>
              <w:pStyle w:val="InstructionsText"/>
            </w:pPr>
            <w:r w:rsidRPr="00E07C9A">
              <w:lastRenderedPageBreak/>
              <w:t>0220</w:t>
            </w:r>
          </w:p>
        </w:tc>
        <w:tc>
          <w:tcPr>
            <w:tcW w:w="7620" w:type="dxa"/>
          </w:tcPr>
          <w:p w14:paraId="35E534B8" w14:textId="245C1378" w:rsidR="00477C45" w:rsidRPr="00E07C9A" w:rsidRDefault="00477C45"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 xml:space="preserve">Nadbytok (+)/schodok (–) kapitálu CET1 vzhľadom na požiadavky článku 92 nariadenia (EÚ) </w:t>
            </w:r>
            <w:r w:rsidR="009912F8" w:rsidRPr="00E07C9A">
              <w:rPr>
                <w:rStyle w:val="InstructionsTabelleberschrift"/>
                <w:rFonts w:ascii="Times New Roman" w:hAnsi="Times New Roman"/>
                <w:sz w:val="24"/>
              </w:rPr>
              <w:t>č. 575/2013 a </w:t>
            </w:r>
            <w:r w:rsidRPr="00E07C9A">
              <w:rPr>
                <w:rStyle w:val="InstructionsTabelleberschrift"/>
                <w:rFonts w:ascii="Times New Roman" w:hAnsi="Times New Roman"/>
                <w:sz w:val="24"/>
              </w:rPr>
              <w:t>článku 104a smernice 2013/36/EÚ</w:t>
            </w:r>
          </w:p>
          <w:p w14:paraId="35245913" w14:textId="0AFAB7E4" w:rsidR="00477C45" w:rsidRPr="00E07C9A" w:rsidRDefault="00477C45" w:rsidP="00487A02">
            <w:pPr>
              <w:pStyle w:val="InstructionsText"/>
            </w:pPr>
            <w:r w:rsidRPr="00E07C9A">
              <w:t>Táto položka</w:t>
            </w:r>
            <w:r w:rsidR="009912F8" w:rsidRPr="00E07C9A">
              <w:t xml:space="preserve"> v </w:t>
            </w:r>
            <w:r w:rsidRPr="00E07C9A">
              <w:t>absolútnych číslach udáva hodnotu nadbytku alebo schodku kapitálu CET1</w:t>
            </w:r>
            <w:r w:rsidR="009912F8" w:rsidRPr="00E07C9A">
              <w:t xml:space="preserve"> v </w:t>
            </w:r>
            <w:r w:rsidRPr="00E07C9A">
              <w:t>súvislosti</w:t>
            </w:r>
            <w:r w:rsidR="009912F8" w:rsidRPr="00E07C9A">
              <w:t xml:space="preserve"> s </w:t>
            </w:r>
            <w:r w:rsidRPr="00E07C9A">
              <w:t>požiadavkou stanovenou</w:t>
            </w:r>
            <w:r w:rsidR="009912F8" w:rsidRPr="00E07C9A">
              <w:t xml:space="preserve"> v </w:t>
            </w:r>
            <w:r w:rsidRPr="00E07C9A">
              <w:t xml:space="preserve">článku 92 ods. 1 písm. a) nariadenia (EÚ) </w:t>
            </w:r>
            <w:r w:rsidR="009912F8" w:rsidRPr="00E07C9A">
              <w:t>č. 575/2013</w:t>
            </w:r>
            <w:r w:rsidRPr="00E07C9A">
              <w:t xml:space="preserve"> (4,5</w:t>
            </w:r>
            <w:r w:rsidR="009912F8" w:rsidRPr="00E07C9A">
              <w:t> %</w:t>
            </w:r>
            <w:r w:rsidRPr="00E07C9A">
              <w:t>)</w:t>
            </w:r>
            <w:r w:rsidR="009912F8" w:rsidRPr="00E07C9A">
              <w:t xml:space="preserve"> a </w:t>
            </w:r>
            <w:r w:rsidRPr="00E07C9A">
              <w:t>článku 104a smernice 2013/36/EÚ – okrem dodatočných vlastných zdrojov potrebných na riešenie rizika nadmerného využívania finančnej páky</w:t>
            </w:r>
            <w:r w:rsidR="009912F8" w:rsidRPr="00E07C9A">
              <w:t xml:space="preserve"> v </w:t>
            </w:r>
            <w:r w:rsidRPr="00E07C9A">
              <w:t>zmysle odseku 3 tohto článku –</w:t>
            </w:r>
            <w:r w:rsidR="009912F8" w:rsidRPr="00E07C9A">
              <w:t xml:space="preserve"> v </w:t>
            </w:r>
            <w:r w:rsidRPr="00E07C9A">
              <w:t>rozsahu,</w:t>
            </w:r>
            <w:r w:rsidR="009912F8" w:rsidRPr="00E07C9A">
              <w:t xml:space="preserve"> v </w:t>
            </w:r>
            <w:r w:rsidRPr="00E07C9A">
              <w:t xml:space="preserve">akom musí byť požiadavka článku 104a uvedenej smernice splnená prostredníctvom kapitálu CET1. Ak musí inštitúcia na splnenie požiadaviek článku 92 ods. 1 písm. b) a/alebo c) nariadenia (EÚ) </w:t>
            </w:r>
            <w:r w:rsidR="009912F8" w:rsidRPr="00E07C9A">
              <w:t>č. 575/2013</w:t>
            </w:r>
            <w:r w:rsidRPr="00E07C9A">
              <w:t xml:space="preserve"> a/alebo článku 104a smernice 2013/36/EÚ použiť svoj kapitál CET1 nad rámec rozsahu,</w:t>
            </w:r>
            <w:r w:rsidR="009912F8" w:rsidRPr="00E07C9A">
              <w:t xml:space="preserve"> v </w:t>
            </w:r>
            <w:r w:rsidRPr="00E07C9A">
              <w:t>akom musí byť požiadavka článku 104a smernice 2013/36/EÚ splnená prostredníctvom kapitálu CET1, zohľadňuje sa to vo vykazovanom nadbytku alebo schodku.</w:t>
            </w:r>
          </w:p>
          <w:p w14:paraId="4E7A0CC3" w14:textId="3DB38E89" w:rsidR="00477C45" w:rsidRPr="00E07C9A" w:rsidRDefault="00477C45" w:rsidP="00487A02">
            <w:pPr>
              <w:pStyle w:val="InstructionsText"/>
              <w:rPr>
                <w:rStyle w:val="InstructionsTabelleberschrift"/>
                <w:rFonts w:ascii="Times New Roman" w:hAnsi="Times New Roman"/>
                <w:sz w:val="24"/>
              </w:rPr>
            </w:pPr>
            <w:r w:rsidRPr="00E07C9A">
              <w:t>Táto hodnota odzrkadľuje kapitál CET1, ktorý je</w:t>
            </w:r>
            <w:r w:rsidR="009912F8" w:rsidRPr="00E07C9A">
              <w:t xml:space="preserve"> k </w:t>
            </w:r>
            <w:r w:rsidRPr="00E07C9A">
              <w:t>dispozícii na splnenie požiadavky na kombinovaný vankúš</w:t>
            </w:r>
            <w:r w:rsidR="009912F8" w:rsidRPr="00E07C9A">
              <w:t xml:space="preserve"> a </w:t>
            </w:r>
            <w:r w:rsidRPr="00E07C9A">
              <w:t>iných požiadaviek.</w:t>
            </w:r>
          </w:p>
        </w:tc>
      </w:tr>
      <w:tr w:rsidR="00845551" w:rsidRPr="00E07C9A" w14:paraId="15EC2AA3" w14:textId="77777777" w:rsidTr="003E47C5">
        <w:tc>
          <w:tcPr>
            <w:tcW w:w="1163" w:type="dxa"/>
          </w:tcPr>
          <w:p w14:paraId="648B9DBA" w14:textId="77777777" w:rsidR="00845551" w:rsidRPr="00E07C9A" w:rsidRDefault="00845551" w:rsidP="00845551">
            <w:pPr>
              <w:pStyle w:val="InstructionsText"/>
            </w:pPr>
            <w:r w:rsidRPr="00E07C9A">
              <w:t>0300</w:t>
            </w:r>
          </w:p>
        </w:tc>
        <w:tc>
          <w:tcPr>
            <w:tcW w:w="7620" w:type="dxa"/>
          </w:tcPr>
          <w:p w14:paraId="5B2ECFE5" w14:textId="77777777" w:rsidR="00845551" w:rsidRPr="00E07C9A" w:rsidRDefault="00845551" w:rsidP="00845551">
            <w:pPr>
              <w:pStyle w:val="InstructionsText"/>
            </w:pPr>
            <w:r w:rsidRPr="00E07C9A">
              <w:rPr>
                <w:b/>
              </w:rPr>
              <w:t>Podiel kapitálu CET1 bez uplatnenia</w:t>
            </w:r>
            <w:r w:rsidRPr="00E07C9A">
              <w:t xml:space="preserve"> </w:t>
            </w:r>
            <w:r w:rsidRPr="00E07C9A">
              <w:rPr>
                <w:b/>
              </w:rPr>
              <w:t>prechodných ustanovení týkajúcich sa IFRS 9</w:t>
            </w:r>
          </w:p>
          <w:p w14:paraId="2DEA708A" w14:textId="32160ADA" w:rsidR="00845551" w:rsidRPr="00E07C9A" w:rsidRDefault="00845551" w:rsidP="00566DB5">
            <w:pPr>
              <w:pStyle w:val="InstructionsText"/>
              <w:rPr>
                <w:rStyle w:val="InstructionsTabelleberschrift"/>
                <w:rFonts w:ascii="Times New Roman" w:hAnsi="Times New Roman"/>
                <w:sz w:val="24"/>
              </w:rPr>
            </w:pPr>
            <w:r w:rsidRPr="00E07C9A">
              <w:t xml:space="preserve">Článok 92 ods. 2 písm. a) nariadenia (EÚ) </w:t>
            </w:r>
            <w:r w:rsidR="009912F8" w:rsidRPr="00E07C9A">
              <w:t>č. 575/2013</w:t>
            </w:r>
            <w:r w:rsidRPr="00E07C9A">
              <w:t xml:space="preserve">, </w:t>
            </w:r>
            <w:r w:rsidRPr="00E07C9A">
              <w:rPr>
                <w:rStyle w:val="InstructionsTabelleberschrift"/>
                <w:rFonts w:ascii="Times New Roman" w:hAnsi="Times New Roman"/>
                <w:b w:val="0"/>
                <w:sz w:val="24"/>
              </w:rPr>
              <w:t>článok 473a ods. 8</w:t>
            </w:r>
            <w:r w:rsidRPr="00E07C9A">
              <w:t xml:space="preserve"> uvedeného nariadenia </w:t>
            </w:r>
          </w:p>
        </w:tc>
      </w:tr>
      <w:tr w:rsidR="00845551" w:rsidRPr="00E07C9A" w14:paraId="487D704D" w14:textId="77777777" w:rsidTr="003E47C5">
        <w:tc>
          <w:tcPr>
            <w:tcW w:w="1163" w:type="dxa"/>
          </w:tcPr>
          <w:p w14:paraId="202C7427" w14:textId="77777777" w:rsidR="00845551" w:rsidRPr="00E07C9A" w:rsidRDefault="00845551" w:rsidP="00845551">
            <w:pPr>
              <w:pStyle w:val="InstructionsText"/>
            </w:pPr>
            <w:r w:rsidRPr="00E07C9A">
              <w:t>0310</w:t>
            </w:r>
          </w:p>
        </w:tc>
        <w:tc>
          <w:tcPr>
            <w:tcW w:w="7620" w:type="dxa"/>
          </w:tcPr>
          <w:p w14:paraId="6470B3D6" w14:textId="77777777" w:rsidR="00845551" w:rsidRPr="00E07C9A" w:rsidRDefault="00845551" w:rsidP="00845551">
            <w:pPr>
              <w:pStyle w:val="InstructionsText"/>
            </w:pPr>
            <w:r w:rsidRPr="00E07C9A">
              <w:rPr>
                <w:b/>
              </w:rPr>
              <w:t>Podiel kapitálu T1 bez uplatnenia prechodných ustanovení týkajúcich sa IFRS 9</w:t>
            </w:r>
          </w:p>
          <w:p w14:paraId="52B0175F" w14:textId="4A645D2F" w:rsidR="00845551" w:rsidRPr="00E07C9A" w:rsidRDefault="00845551" w:rsidP="00566DB5">
            <w:pPr>
              <w:pStyle w:val="InstructionsText"/>
              <w:rPr>
                <w:rStyle w:val="InstructionsTabelleberschrift"/>
                <w:rFonts w:ascii="Times New Roman" w:hAnsi="Times New Roman"/>
                <w:sz w:val="24"/>
              </w:rPr>
            </w:pPr>
            <w:r w:rsidRPr="00E07C9A">
              <w:t xml:space="preserve">Článok 92 ods. 2 písm. b) nariadenia (EÚ) </w:t>
            </w:r>
            <w:r w:rsidR="009912F8" w:rsidRPr="00E07C9A">
              <w:t>č. 575/2013</w:t>
            </w:r>
            <w:r w:rsidRPr="00E07C9A">
              <w:t xml:space="preserve">, </w:t>
            </w:r>
            <w:r w:rsidRPr="00E07C9A">
              <w:rPr>
                <w:rStyle w:val="InstructionsTabelleberschrift"/>
                <w:rFonts w:ascii="Times New Roman" w:hAnsi="Times New Roman"/>
                <w:b w:val="0"/>
                <w:sz w:val="24"/>
              </w:rPr>
              <w:t>článok 473a ods. 8</w:t>
            </w:r>
            <w:r w:rsidRPr="00E07C9A">
              <w:t xml:space="preserve"> uvedeného nariadenia</w:t>
            </w:r>
          </w:p>
        </w:tc>
      </w:tr>
      <w:tr w:rsidR="00845551" w:rsidRPr="00E07C9A" w14:paraId="32CD4802" w14:textId="77777777" w:rsidTr="003E47C5">
        <w:tc>
          <w:tcPr>
            <w:tcW w:w="1163" w:type="dxa"/>
          </w:tcPr>
          <w:p w14:paraId="0F4A1D2E" w14:textId="77777777" w:rsidR="00845551" w:rsidRPr="00E07C9A" w:rsidRDefault="00845551" w:rsidP="00845551">
            <w:pPr>
              <w:pStyle w:val="InstructionsText"/>
            </w:pPr>
            <w:r w:rsidRPr="00E07C9A">
              <w:t>0320</w:t>
            </w:r>
          </w:p>
        </w:tc>
        <w:tc>
          <w:tcPr>
            <w:tcW w:w="7620" w:type="dxa"/>
          </w:tcPr>
          <w:p w14:paraId="294E3412" w14:textId="77777777" w:rsidR="00845551" w:rsidRPr="00E07C9A" w:rsidRDefault="00845551" w:rsidP="00845551">
            <w:pPr>
              <w:pStyle w:val="InstructionsText"/>
            </w:pPr>
            <w:r w:rsidRPr="00E07C9A">
              <w:rPr>
                <w:b/>
              </w:rPr>
              <w:t>Celkový podiel kapitálu bez uplatnenia prechodných ustanovení týkajúcich sa IFRS</w:t>
            </w:r>
            <w:r w:rsidRPr="00E07C9A">
              <w:t xml:space="preserve"> </w:t>
            </w:r>
            <w:r w:rsidRPr="00E07C9A">
              <w:rPr>
                <w:b/>
              </w:rPr>
              <w:t>9</w:t>
            </w:r>
          </w:p>
          <w:p w14:paraId="38305F85" w14:textId="49BD7B6C" w:rsidR="00845551" w:rsidRPr="00E07C9A" w:rsidRDefault="00845551" w:rsidP="00566DB5">
            <w:pPr>
              <w:pStyle w:val="InstructionsText"/>
              <w:rPr>
                <w:rStyle w:val="InstructionsTabelleberschrift"/>
                <w:rFonts w:ascii="Times New Roman" w:hAnsi="Times New Roman"/>
                <w:sz w:val="24"/>
              </w:rPr>
            </w:pPr>
            <w:r w:rsidRPr="00E07C9A">
              <w:t xml:space="preserve">Článok 92 ods. 2 písm. c) nariadenia (EÚ) </w:t>
            </w:r>
            <w:r w:rsidR="009912F8" w:rsidRPr="00E07C9A">
              <w:t>č. 575/2013</w:t>
            </w:r>
            <w:r w:rsidRPr="00E07C9A">
              <w:t xml:space="preserve">, </w:t>
            </w:r>
            <w:r w:rsidRPr="00E07C9A">
              <w:rPr>
                <w:rStyle w:val="InstructionsTabelleberschrift"/>
                <w:rFonts w:ascii="Times New Roman" w:hAnsi="Times New Roman"/>
                <w:b w:val="0"/>
                <w:sz w:val="24"/>
                <w:u w:val="none"/>
              </w:rPr>
              <w:t>článok 473a ods. 8</w:t>
            </w:r>
            <w:r w:rsidRPr="00E07C9A">
              <w:t xml:space="preserve"> uvedeného nariadenia</w:t>
            </w:r>
          </w:p>
        </w:tc>
      </w:tr>
    </w:tbl>
    <w:p w14:paraId="085054A3" w14:textId="77777777" w:rsidR="005643EA" w:rsidRPr="00E07C9A" w:rsidRDefault="005643EA" w:rsidP="00487A02">
      <w:pPr>
        <w:pStyle w:val="InstructionsText"/>
      </w:pPr>
    </w:p>
    <w:p w14:paraId="10BFEA86" w14:textId="77777777" w:rsidR="009912F8" w:rsidRPr="00E07C9A" w:rsidRDefault="00125707" w:rsidP="0023700C">
      <w:pPr>
        <w:pStyle w:val="Instructionsberschrift2"/>
        <w:numPr>
          <w:ilvl w:val="0"/>
          <w:numId w:val="0"/>
        </w:numPr>
        <w:ind w:left="357" w:hanging="357"/>
        <w:rPr>
          <w:rFonts w:ascii="Times New Roman" w:hAnsi="Times New Roman" w:cs="Times New Roman"/>
          <w:sz w:val="24"/>
        </w:rPr>
      </w:pPr>
      <w:bookmarkStart w:id="59" w:name="_Toc473560879"/>
      <w:bookmarkStart w:id="60" w:name="_Toc115857759"/>
      <w:bookmarkStart w:id="61" w:name="_Toc308175830"/>
      <w:bookmarkStart w:id="62" w:name="_Toc360188331"/>
      <w:r w:rsidRPr="00E07C9A">
        <w:rPr>
          <w:rFonts w:ascii="Times New Roman" w:hAnsi="Times New Roman" w:cs="Times New Roman"/>
          <w:sz w:val="24"/>
          <w:u w:val="none"/>
        </w:rPr>
        <w:t>1.5.</w:t>
      </w:r>
      <w:r w:rsidRPr="002A18DE">
        <w:rPr>
          <w:rFonts w:ascii="Times New Roman" w:hAnsi="Times New Roman" w:cs="Times New Roman"/>
          <w:u w:val="none"/>
        </w:rPr>
        <w:tab/>
      </w:r>
      <w:r w:rsidRPr="00E07C9A">
        <w:rPr>
          <w:rFonts w:ascii="Times New Roman" w:hAnsi="Times New Roman" w:cs="Times New Roman"/>
          <w:sz w:val="24"/>
        </w:rPr>
        <w:t>C 04.00 – DOPLŇUJÚCE POLOŽKY (CA4)</w:t>
      </w:r>
      <w:bookmarkEnd w:id="59"/>
      <w:bookmarkEnd w:id="60"/>
      <w:bookmarkEnd w:id="61"/>
      <w:bookmarkEnd w:id="62"/>
    </w:p>
    <w:p w14:paraId="7E59CADD" w14:textId="27D0CFC8" w:rsidR="002648B0" w:rsidRPr="00E07C9A" w:rsidRDefault="00125707" w:rsidP="0023700C">
      <w:pPr>
        <w:pStyle w:val="Instructionsberschrift2"/>
        <w:numPr>
          <w:ilvl w:val="0"/>
          <w:numId w:val="0"/>
        </w:numPr>
        <w:ind w:left="357" w:hanging="357"/>
        <w:rPr>
          <w:rFonts w:ascii="Times New Roman" w:hAnsi="Times New Roman" w:cs="Times New Roman"/>
          <w:sz w:val="24"/>
        </w:rPr>
      </w:pPr>
      <w:bookmarkStart w:id="63" w:name="_Toc308175831"/>
      <w:bookmarkStart w:id="64" w:name="_Toc310414974"/>
      <w:bookmarkStart w:id="65" w:name="_Toc360188332"/>
      <w:bookmarkStart w:id="66" w:name="_Toc473560880"/>
      <w:bookmarkStart w:id="67" w:name="_Toc115857760"/>
      <w:r w:rsidRPr="00E07C9A">
        <w:rPr>
          <w:rFonts w:ascii="Times New Roman" w:hAnsi="Times New Roman" w:cs="Times New Roman"/>
          <w:sz w:val="24"/>
          <w:u w:val="none"/>
        </w:rPr>
        <w:t>1.5.1</w:t>
      </w:r>
      <w:r w:rsidRPr="002A18DE">
        <w:rPr>
          <w:rFonts w:ascii="Times New Roman" w:hAnsi="Times New Roman" w:cs="Times New Roman"/>
          <w:sz w:val="24"/>
          <w:u w:val="none"/>
        </w:rPr>
        <w:t>.</w:t>
      </w:r>
      <w:r w:rsidRPr="002A18DE">
        <w:rPr>
          <w:rFonts w:ascii="Times New Roman" w:hAnsi="Times New Roman" w:cs="Times New Roman"/>
          <w:u w:val="none"/>
        </w:rPr>
        <w:tab/>
      </w:r>
      <w:r w:rsidRPr="00E07C9A">
        <w:rPr>
          <w:rFonts w:ascii="Times New Roman" w:hAnsi="Times New Roman" w:cs="Times New Roman"/>
          <w:sz w:val="24"/>
        </w:rPr>
        <w:t xml:space="preserve">Pokyny týkajúce sa konkrétnych </w:t>
      </w:r>
      <w:bookmarkEnd w:id="63"/>
      <w:bookmarkEnd w:id="64"/>
      <w:r w:rsidRPr="00E07C9A">
        <w:rPr>
          <w:rFonts w:ascii="Times New Roman" w:hAnsi="Times New Roman" w:cs="Times New Roman"/>
          <w:sz w:val="24"/>
        </w:rPr>
        <w:t>pozícií</w:t>
      </w:r>
      <w:bookmarkEnd w:id="65"/>
      <w:bookmarkEnd w:id="66"/>
      <w:bookmarkEnd w:id="67"/>
    </w:p>
    <w:p w14:paraId="55C86CDB" w14:textId="77777777" w:rsidR="002648B0" w:rsidRPr="00E07C9A" w:rsidRDefault="002648B0" w:rsidP="00487A02">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4"/>
        <w:gridCol w:w="7049"/>
      </w:tblGrid>
      <w:tr w:rsidR="002648B0" w:rsidRPr="00E07C9A" w14:paraId="29533889" w14:textId="77777777" w:rsidTr="00674BF5">
        <w:tc>
          <w:tcPr>
            <w:tcW w:w="8523" w:type="dxa"/>
            <w:gridSpan w:val="2"/>
            <w:shd w:val="clear" w:color="auto" w:fill="D9D9D9"/>
          </w:tcPr>
          <w:p w14:paraId="0504EF0B" w14:textId="77777777" w:rsidR="005643EA" w:rsidRPr="00E07C9A" w:rsidRDefault="002648B0" w:rsidP="00487A02">
            <w:pPr>
              <w:pStyle w:val="InstructionsText"/>
            </w:pPr>
            <w:r w:rsidRPr="00E07C9A">
              <w:t>Riadky</w:t>
            </w:r>
          </w:p>
        </w:tc>
      </w:tr>
      <w:tr w:rsidR="002648B0" w:rsidRPr="00E07C9A" w14:paraId="22ED7EA2" w14:textId="77777777" w:rsidTr="00674BF5">
        <w:tc>
          <w:tcPr>
            <w:tcW w:w="1474" w:type="dxa"/>
          </w:tcPr>
          <w:p w14:paraId="78ACBACE" w14:textId="77777777" w:rsidR="002648B0" w:rsidRPr="00E07C9A" w:rsidRDefault="00B13F06" w:rsidP="00487A02">
            <w:pPr>
              <w:pStyle w:val="InstructionsText"/>
            </w:pPr>
            <w:r w:rsidRPr="00E07C9A">
              <w:t>0010</w:t>
            </w:r>
          </w:p>
        </w:tc>
        <w:tc>
          <w:tcPr>
            <w:tcW w:w="7049" w:type="dxa"/>
          </w:tcPr>
          <w:p w14:paraId="15876547" w14:textId="77777777" w:rsidR="005643EA" w:rsidRPr="00E07C9A" w:rsidRDefault="00C66473" w:rsidP="00487A02">
            <w:pPr>
              <w:pStyle w:val="InstructionsText"/>
            </w:pPr>
            <w:r w:rsidRPr="00E07C9A">
              <w:rPr>
                <w:rStyle w:val="InstructionsTabelleberschrift"/>
                <w:rFonts w:ascii="Times New Roman" w:hAnsi="Times New Roman"/>
                <w:sz w:val="24"/>
              </w:rPr>
              <w:t>1.</w:t>
            </w:r>
            <w:r w:rsidRPr="00E07C9A">
              <w:tab/>
            </w:r>
            <w:r w:rsidRPr="00E07C9A">
              <w:rPr>
                <w:rStyle w:val="InstructionsTabelleberschrift"/>
                <w:rFonts w:ascii="Times New Roman" w:hAnsi="Times New Roman"/>
                <w:sz w:val="24"/>
              </w:rPr>
              <w:t>Celkové odložené daňové pohľadávky</w:t>
            </w:r>
          </w:p>
          <w:p w14:paraId="064512C3" w14:textId="0B621C69" w:rsidR="005643EA" w:rsidRPr="00E07C9A" w:rsidRDefault="002648B0" w:rsidP="00487A02">
            <w:pPr>
              <w:pStyle w:val="InstructionsText"/>
            </w:pPr>
            <w:r w:rsidRPr="00E07C9A">
              <w:t>Hodnota vykazovaná</w:t>
            </w:r>
            <w:r w:rsidR="009912F8" w:rsidRPr="00E07C9A">
              <w:t xml:space="preserve"> v </w:t>
            </w:r>
            <w:r w:rsidRPr="00E07C9A">
              <w:t>tejto položke sa rovná hodnote vykázanej</w:t>
            </w:r>
            <w:r w:rsidR="009912F8" w:rsidRPr="00E07C9A">
              <w:t xml:space="preserve"> v </w:t>
            </w:r>
            <w:r w:rsidRPr="00E07C9A">
              <w:t>poslednej overenej/auditovanej účtovnej súvahe.</w:t>
            </w:r>
          </w:p>
        </w:tc>
      </w:tr>
      <w:tr w:rsidR="002648B0" w:rsidRPr="00E07C9A" w14:paraId="767AFC9B" w14:textId="77777777" w:rsidTr="00674BF5">
        <w:tc>
          <w:tcPr>
            <w:tcW w:w="1474" w:type="dxa"/>
          </w:tcPr>
          <w:p w14:paraId="0C1FE4BF" w14:textId="77777777" w:rsidR="002648B0" w:rsidRPr="00E07C9A" w:rsidRDefault="00B13F06" w:rsidP="00487A02">
            <w:pPr>
              <w:pStyle w:val="InstructionsText"/>
            </w:pPr>
            <w:r w:rsidRPr="00E07C9A">
              <w:t>0020</w:t>
            </w:r>
          </w:p>
        </w:tc>
        <w:tc>
          <w:tcPr>
            <w:tcW w:w="7049" w:type="dxa"/>
          </w:tcPr>
          <w:p w14:paraId="3E972956" w14:textId="77777777" w:rsidR="005643EA" w:rsidRPr="00E07C9A" w:rsidRDefault="002648B0" w:rsidP="00487A02">
            <w:pPr>
              <w:pStyle w:val="InstructionsText"/>
            </w:pPr>
            <w:r w:rsidRPr="00E07C9A">
              <w:rPr>
                <w:rStyle w:val="InstructionsTabelleberschrift"/>
                <w:rFonts w:ascii="Times New Roman" w:hAnsi="Times New Roman"/>
                <w:sz w:val="24"/>
              </w:rPr>
              <w:t>1.1.</w:t>
            </w:r>
            <w:r w:rsidRPr="00E07C9A">
              <w:tab/>
            </w:r>
            <w:r w:rsidRPr="00E07C9A">
              <w:rPr>
                <w:rStyle w:val="InstructionsTabelleberschrift"/>
                <w:rFonts w:ascii="Times New Roman" w:hAnsi="Times New Roman"/>
                <w:sz w:val="24"/>
              </w:rPr>
              <w:t>Odložené daňové pohľadávky, ktoré nezávisia od budúcej ziskovosti</w:t>
            </w:r>
          </w:p>
          <w:p w14:paraId="481999B0" w14:textId="51391193" w:rsidR="005643EA" w:rsidRPr="00E07C9A" w:rsidRDefault="002648B0" w:rsidP="00487A02">
            <w:pPr>
              <w:pStyle w:val="InstructionsText"/>
            </w:pPr>
            <w:r w:rsidRPr="00E07C9A">
              <w:lastRenderedPageBreak/>
              <w:t xml:space="preserve">Článok 39 ods. 2 nariadenia (EÚ) </w:t>
            </w:r>
            <w:r w:rsidR="009912F8" w:rsidRPr="00E07C9A">
              <w:t>č. 575/2013</w:t>
            </w:r>
          </w:p>
          <w:p w14:paraId="1929DFCA" w14:textId="4712BDBD" w:rsidR="005643EA" w:rsidRPr="00E07C9A" w:rsidRDefault="002648B0" w:rsidP="00487A02">
            <w:pPr>
              <w:pStyle w:val="InstructionsText"/>
            </w:pPr>
            <w:r w:rsidRPr="00E07C9A">
              <w:t>Odložené daňové pohľadávky, ktoré boli vytvorené pred 23. novembrom 2016</w:t>
            </w:r>
            <w:r w:rsidR="009912F8" w:rsidRPr="00E07C9A">
              <w:t xml:space="preserve"> a </w:t>
            </w:r>
            <w:r w:rsidRPr="00E07C9A">
              <w:t>nezávisia od budúcej ziskovosti,</w:t>
            </w:r>
            <w:r w:rsidR="009912F8" w:rsidRPr="00E07C9A">
              <w:t xml:space="preserve"> a </w:t>
            </w:r>
            <w:r w:rsidRPr="00E07C9A">
              <w:t>preto sa na ne uplatňuje riziková váha.</w:t>
            </w:r>
          </w:p>
        </w:tc>
      </w:tr>
      <w:tr w:rsidR="002648B0" w:rsidRPr="00E07C9A" w14:paraId="3DB34CBE" w14:textId="77777777" w:rsidTr="00674BF5">
        <w:tc>
          <w:tcPr>
            <w:tcW w:w="1474" w:type="dxa"/>
          </w:tcPr>
          <w:p w14:paraId="6739B74C" w14:textId="77777777" w:rsidR="002648B0" w:rsidRPr="00E07C9A" w:rsidRDefault="00B13F06" w:rsidP="00487A02">
            <w:pPr>
              <w:pStyle w:val="InstructionsText"/>
            </w:pPr>
            <w:r w:rsidRPr="00E07C9A">
              <w:lastRenderedPageBreak/>
              <w:t>0030</w:t>
            </w:r>
          </w:p>
        </w:tc>
        <w:tc>
          <w:tcPr>
            <w:tcW w:w="7049" w:type="dxa"/>
          </w:tcPr>
          <w:p w14:paraId="2C39DB84" w14:textId="3C9FD861" w:rsidR="005643EA" w:rsidRPr="00E07C9A" w:rsidRDefault="002648B0" w:rsidP="00487A02">
            <w:pPr>
              <w:pStyle w:val="InstructionsText"/>
            </w:pPr>
            <w:r w:rsidRPr="00E07C9A">
              <w:rPr>
                <w:rStyle w:val="InstructionsTabelleberschrift"/>
                <w:rFonts w:ascii="Times New Roman" w:hAnsi="Times New Roman"/>
                <w:sz w:val="24"/>
              </w:rPr>
              <w:t>1.2.</w:t>
            </w:r>
            <w:r w:rsidRPr="00E07C9A">
              <w:tab/>
            </w:r>
            <w:r w:rsidRPr="00E07C9A">
              <w:rPr>
                <w:rStyle w:val="InstructionsTabelleberschrift"/>
                <w:rFonts w:ascii="Times New Roman" w:hAnsi="Times New Roman"/>
                <w:sz w:val="24"/>
              </w:rPr>
              <w:t>Odložené daňové pohľadávky, ktoré závisia od budúcej ziskovosti</w:t>
            </w:r>
            <w:r w:rsidR="009912F8" w:rsidRPr="00E07C9A">
              <w:rPr>
                <w:rStyle w:val="InstructionsTabelleberschrift"/>
                <w:rFonts w:ascii="Times New Roman" w:hAnsi="Times New Roman"/>
                <w:sz w:val="24"/>
              </w:rPr>
              <w:t xml:space="preserve"> a </w:t>
            </w:r>
            <w:r w:rsidRPr="00E07C9A">
              <w:rPr>
                <w:rStyle w:val="InstructionsTabelleberschrift"/>
                <w:rFonts w:ascii="Times New Roman" w:hAnsi="Times New Roman"/>
                <w:sz w:val="24"/>
              </w:rPr>
              <w:t>nevyplývajú</w:t>
            </w:r>
            <w:r w:rsidR="009912F8" w:rsidRPr="00E07C9A">
              <w:rPr>
                <w:rStyle w:val="InstructionsTabelleberschrift"/>
                <w:rFonts w:ascii="Times New Roman" w:hAnsi="Times New Roman"/>
                <w:sz w:val="24"/>
              </w:rPr>
              <w:t xml:space="preserve"> z </w:t>
            </w:r>
            <w:r w:rsidRPr="00E07C9A">
              <w:rPr>
                <w:rStyle w:val="InstructionsTabelleberschrift"/>
                <w:rFonts w:ascii="Times New Roman" w:hAnsi="Times New Roman"/>
                <w:sz w:val="24"/>
              </w:rPr>
              <w:t>dočasných rozdielov</w:t>
            </w:r>
          </w:p>
          <w:p w14:paraId="42A728ED" w14:textId="3D185473" w:rsidR="005643EA" w:rsidRPr="00E07C9A" w:rsidRDefault="002648B0" w:rsidP="00487A02">
            <w:pPr>
              <w:pStyle w:val="InstructionsText"/>
            </w:pPr>
            <w:r w:rsidRPr="00E07C9A">
              <w:t>Článok 36 ods. 1 písm. c)</w:t>
            </w:r>
            <w:r w:rsidR="009912F8" w:rsidRPr="00E07C9A">
              <w:t xml:space="preserve"> a </w:t>
            </w:r>
            <w:r w:rsidRPr="00E07C9A">
              <w:t xml:space="preserve">článok 38 nariadenia (EÚ) </w:t>
            </w:r>
            <w:r w:rsidR="009912F8" w:rsidRPr="00E07C9A">
              <w:t>č. 575/2013</w:t>
            </w:r>
          </w:p>
          <w:p w14:paraId="21D9DB00" w14:textId="14B66225" w:rsidR="005643EA" w:rsidRPr="00E07C9A" w:rsidRDefault="002648B0" w:rsidP="00487A02">
            <w:pPr>
              <w:pStyle w:val="InstructionsText"/>
            </w:pPr>
            <w:r w:rsidRPr="00E07C9A">
              <w:t>Odložené daňové pohľadávky, ktoré závisia od budúcej ziskovosti, ale nevyplývajú</w:t>
            </w:r>
            <w:r w:rsidR="009912F8" w:rsidRPr="00E07C9A">
              <w:t xml:space="preserve"> z </w:t>
            </w:r>
            <w:r w:rsidRPr="00E07C9A">
              <w:t>dočasných rozdielov,</w:t>
            </w:r>
            <w:r w:rsidR="009912F8" w:rsidRPr="00E07C9A">
              <w:t xml:space="preserve"> a </w:t>
            </w:r>
            <w:r w:rsidRPr="00E07C9A">
              <w:t>preto sa na ne neuplatňuje prahová hodnota (t. j.</w:t>
            </w:r>
            <w:r w:rsidR="009912F8" w:rsidRPr="00E07C9A">
              <w:t xml:space="preserve"> v </w:t>
            </w:r>
            <w:r w:rsidRPr="00E07C9A">
              <w:t>plnej miere sa odpočítavajú od CET1).</w:t>
            </w:r>
          </w:p>
        </w:tc>
      </w:tr>
      <w:tr w:rsidR="002648B0" w:rsidRPr="00E07C9A" w14:paraId="08C7E623" w14:textId="77777777" w:rsidTr="00674BF5">
        <w:tc>
          <w:tcPr>
            <w:tcW w:w="1474" w:type="dxa"/>
          </w:tcPr>
          <w:p w14:paraId="2293E247" w14:textId="77777777" w:rsidR="002648B0" w:rsidRPr="00E07C9A" w:rsidRDefault="00B13F06" w:rsidP="00487A02">
            <w:pPr>
              <w:pStyle w:val="InstructionsText"/>
            </w:pPr>
            <w:r w:rsidRPr="00E07C9A">
              <w:t>0040</w:t>
            </w:r>
          </w:p>
        </w:tc>
        <w:tc>
          <w:tcPr>
            <w:tcW w:w="7049" w:type="dxa"/>
          </w:tcPr>
          <w:p w14:paraId="1E5C7BB0" w14:textId="307CDF6B" w:rsidR="005643EA" w:rsidRPr="00E07C9A" w:rsidRDefault="002648B0" w:rsidP="00487A02">
            <w:pPr>
              <w:pStyle w:val="InstructionsText"/>
            </w:pPr>
            <w:r w:rsidRPr="00E07C9A">
              <w:rPr>
                <w:rStyle w:val="InstructionsTabelleberschrift"/>
                <w:rFonts w:ascii="Times New Roman" w:hAnsi="Times New Roman"/>
                <w:sz w:val="24"/>
              </w:rPr>
              <w:t>1.3.</w:t>
            </w:r>
            <w:r w:rsidRPr="00E07C9A">
              <w:tab/>
            </w:r>
            <w:r w:rsidRPr="00E07C9A">
              <w:rPr>
                <w:rStyle w:val="InstructionsTabelleberschrift"/>
                <w:rFonts w:ascii="Times New Roman" w:hAnsi="Times New Roman"/>
                <w:sz w:val="24"/>
              </w:rPr>
              <w:t>Odložené daňové pohľadávky, ktoré závisia od budúcej ziskovosti</w:t>
            </w:r>
            <w:r w:rsidR="009912F8" w:rsidRPr="00E07C9A">
              <w:rPr>
                <w:rStyle w:val="InstructionsTabelleberschrift"/>
                <w:rFonts w:ascii="Times New Roman" w:hAnsi="Times New Roman"/>
                <w:sz w:val="24"/>
              </w:rPr>
              <w:t xml:space="preserve"> a </w:t>
            </w:r>
            <w:r w:rsidRPr="00E07C9A">
              <w:rPr>
                <w:rStyle w:val="InstructionsTabelleberschrift"/>
                <w:rFonts w:ascii="Times New Roman" w:hAnsi="Times New Roman"/>
                <w:sz w:val="24"/>
              </w:rPr>
              <w:t>vyplývajú</w:t>
            </w:r>
            <w:r w:rsidR="009912F8" w:rsidRPr="00E07C9A">
              <w:rPr>
                <w:rStyle w:val="InstructionsTabelleberschrift"/>
                <w:rFonts w:ascii="Times New Roman" w:hAnsi="Times New Roman"/>
                <w:sz w:val="24"/>
              </w:rPr>
              <w:t xml:space="preserve"> z </w:t>
            </w:r>
            <w:r w:rsidRPr="00E07C9A">
              <w:rPr>
                <w:rStyle w:val="InstructionsTabelleberschrift"/>
                <w:rFonts w:ascii="Times New Roman" w:hAnsi="Times New Roman"/>
                <w:sz w:val="24"/>
              </w:rPr>
              <w:t>dočasných rozdielov</w:t>
            </w:r>
          </w:p>
          <w:p w14:paraId="5D01C3C3" w14:textId="07EC0173" w:rsidR="005643EA" w:rsidRPr="00E07C9A" w:rsidRDefault="002648B0" w:rsidP="00487A02">
            <w:pPr>
              <w:pStyle w:val="InstructionsText"/>
            </w:pPr>
            <w:r w:rsidRPr="00E07C9A">
              <w:t>Článok 36 ods. 1 písm. c), článok 38</w:t>
            </w:r>
            <w:r w:rsidR="009912F8" w:rsidRPr="00E07C9A">
              <w:t xml:space="preserve"> a </w:t>
            </w:r>
            <w:r w:rsidRPr="00E07C9A">
              <w:t xml:space="preserve">článok 48 ods. 1 písm. a) nariadenia (EÚ) </w:t>
            </w:r>
            <w:r w:rsidR="009912F8" w:rsidRPr="00E07C9A">
              <w:t>č. 575/2013</w:t>
            </w:r>
          </w:p>
          <w:p w14:paraId="27BFEBDB" w14:textId="1D76C8E3" w:rsidR="005643EA" w:rsidRPr="00E07C9A" w:rsidRDefault="002648B0" w:rsidP="00487A02">
            <w:pPr>
              <w:pStyle w:val="InstructionsText"/>
            </w:pPr>
            <w:r w:rsidRPr="00E07C9A">
              <w:t>Odložené daňové pohľadávky, ktoré závisia od budúcej ziskovosti</w:t>
            </w:r>
            <w:r w:rsidR="009912F8" w:rsidRPr="00E07C9A">
              <w:t xml:space="preserve"> a </w:t>
            </w:r>
            <w:r w:rsidRPr="00E07C9A">
              <w:t>vyplývajú</w:t>
            </w:r>
            <w:r w:rsidR="009912F8" w:rsidRPr="00E07C9A">
              <w:t xml:space="preserve"> z </w:t>
            </w:r>
            <w:r w:rsidRPr="00E07C9A">
              <w:t>dočasných rozdielov,</w:t>
            </w:r>
            <w:r w:rsidR="009912F8" w:rsidRPr="00E07C9A">
              <w:t xml:space="preserve"> a </w:t>
            </w:r>
            <w:r w:rsidRPr="00E07C9A">
              <w:t>preto sa na ich odpočet od CET1 uplatňujú prahové hodnoty 10</w:t>
            </w:r>
            <w:r w:rsidR="009912F8" w:rsidRPr="00E07C9A">
              <w:t> % a </w:t>
            </w:r>
            <w:r w:rsidRPr="00E07C9A">
              <w:t>17,65</w:t>
            </w:r>
            <w:r w:rsidR="009912F8" w:rsidRPr="00E07C9A">
              <w:t> %</w:t>
            </w:r>
            <w:r w:rsidRPr="00E07C9A">
              <w:t xml:space="preserve"> stanovené</w:t>
            </w:r>
            <w:r w:rsidR="009912F8" w:rsidRPr="00E07C9A">
              <w:t xml:space="preserve"> v </w:t>
            </w:r>
            <w:r w:rsidRPr="00E07C9A">
              <w:t xml:space="preserve">článku 48 nariadenia (EÚ) </w:t>
            </w:r>
            <w:r w:rsidR="009912F8" w:rsidRPr="00E07C9A">
              <w:t>č. 575/2013</w:t>
            </w:r>
            <w:r w:rsidRPr="00E07C9A">
              <w:t>.</w:t>
            </w:r>
          </w:p>
        </w:tc>
      </w:tr>
      <w:tr w:rsidR="002648B0" w:rsidRPr="00E07C9A" w14:paraId="4F7F873F" w14:textId="77777777" w:rsidTr="00674BF5">
        <w:tc>
          <w:tcPr>
            <w:tcW w:w="1474" w:type="dxa"/>
          </w:tcPr>
          <w:p w14:paraId="77D47B51" w14:textId="77777777" w:rsidR="002648B0" w:rsidRPr="00E07C9A" w:rsidRDefault="00B13F06" w:rsidP="00487A02">
            <w:pPr>
              <w:pStyle w:val="InstructionsText"/>
            </w:pPr>
            <w:r w:rsidRPr="00E07C9A">
              <w:t>0050</w:t>
            </w:r>
          </w:p>
        </w:tc>
        <w:tc>
          <w:tcPr>
            <w:tcW w:w="7049" w:type="dxa"/>
          </w:tcPr>
          <w:p w14:paraId="2D8BD1E1" w14:textId="77777777" w:rsidR="005643EA" w:rsidRPr="00E07C9A" w:rsidRDefault="002648B0" w:rsidP="00487A02">
            <w:pPr>
              <w:pStyle w:val="InstructionsText"/>
            </w:pPr>
            <w:r w:rsidRPr="00E07C9A">
              <w:rPr>
                <w:rStyle w:val="InstructionsTabelleberschrift"/>
                <w:rFonts w:ascii="Times New Roman" w:hAnsi="Times New Roman"/>
                <w:sz w:val="24"/>
              </w:rPr>
              <w:t>2. Celkové odložené daňové záväzky</w:t>
            </w:r>
          </w:p>
          <w:p w14:paraId="67FF7D87" w14:textId="3FCC657E" w:rsidR="005643EA" w:rsidRPr="00E07C9A" w:rsidRDefault="002648B0" w:rsidP="00487A02">
            <w:pPr>
              <w:pStyle w:val="InstructionsText"/>
            </w:pPr>
            <w:r w:rsidRPr="00E07C9A">
              <w:t>Hodnota vykazovaná</w:t>
            </w:r>
            <w:r w:rsidR="009912F8" w:rsidRPr="00E07C9A">
              <w:t xml:space="preserve"> v </w:t>
            </w:r>
            <w:r w:rsidRPr="00E07C9A">
              <w:t>tejto položke sa rovná hodnote vykázanej</w:t>
            </w:r>
            <w:r w:rsidR="009912F8" w:rsidRPr="00E07C9A">
              <w:t xml:space="preserve"> v </w:t>
            </w:r>
            <w:r w:rsidRPr="00E07C9A">
              <w:t>poslednej overenej/auditovanej účtovnej súvahe.</w:t>
            </w:r>
          </w:p>
        </w:tc>
      </w:tr>
      <w:tr w:rsidR="002648B0" w:rsidRPr="00E07C9A" w14:paraId="62602289" w14:textId="77777777" w:rsidTr="00674BF5">
        <w:tc>
          <w:tcPr>
            <w:tcW w:w="1474" w:type="dxa"/>
          </w:tcPr>
          <w:p w14:paraId="6A74689B" w14:textId="77777777" w:rsidR="002648B0" w:rsidRPr="00E07C9A" w:rsidRDefault="00B13F06" w:rsidP="00487A02">
            <w:pPr>
              <w:pStyle w:val="InstructionsText"/>
            </w:pPr>
            <w:r w:rsidRPr="00E07C9A">
              <w:t>0060</w:t>
            </w:r>
          </w:p>
        </w:tc>
        <w:tc>
          <w:tcPr>
            <w:tcW w:w="7049" w:type="dxa"/>
          </w:tcPr>
          <w:p w14:paraId="0EDDF1A8" w14:textId="77777777" w:rsidR="005643EA" w:rsidRPr="00E07C9A" w:rsidRDefault="002648B0" w:rsidP="00487A02">
            <w:pPr>
              <w:pStyle w:val="InstructionsText"/>
            </w:pPr>
            <w:r w:rsidRPr="00E07C9A">
              <w:rPr>
                <w:rStyle w:val="InstructionsTabelleberschrift"/>
                <w:rFonts w:ascii="Times New Roman" w:hAnsi="Times New Roman"/>
                <w:sz w:val="24"/>
              </w:rPr>
              <w:t>2.1.</w:t>
            </w:r>
            <w:r w:rsidRPr="00E07C9A">
              <w:tab/>
            </w:r>
            <w:r w:rsidRPr="00E07C9A">
              <w:rPr>
                <w:rStyle w:val="InstructionsTabelleberschrift"/>
                <w:rFonts w:ascii="Times New Roman" w:hAnsi="Times New Roman"/>
                <w:sz w:val="24"/>
              </w:rPr>
              <w:t>Odložené daňové záväzky, ktoré sa neodpočítavajú od odložených daňových pohľadávok, ktoré závisia od budúcej ziskovosti</w:t>
            </w:r>
          </w:p>
          <w:p w14:paraId="738C6A5B" w14:textId="789FD6CD" w:rsidR="005643EA" w:rsidRPr="00E07C9A" w:rsidRDefault="002648B0" w:rsidP="00487A02">
            <w:pPr>
              <w:pStyle w:val="InstructionsText"/>
            </w:pPr>
            <w:r w:rsidRPr="00E07C9A">
              <w:t>Článok 38 ods. 3</w:t>
            </w:r>
            <w:r w:rsidR="009912F8" w:rsidRPr="00E07C9A">
              <w:t xml:space="preserve"> a </w:t>
            </w:r>
            <w:r w:rsidRPr="00E07C9A">
              <w:t xml:space="preserve">4 nariadenia (EÚ) </w:t>
            </w:r>
            <w:r w:rsidR="009912F8" w:rsidRPr="00E07C9A">
              <w:t>č. 575/2013</w:t>
            </w:r>
          </w:p>
          <w:p w14:paraId="6CD92B54" w14:textId="59178E1C" w:rsidR="005643EA" w:rsidRPr="00E07C9A" w:rsidRDefault="002648B0" w:rsidP="00F42FE9">
            <w:pPr>
              <w:pStyle w:val="InstructionsText"/>
            </w:pPr>
            <w:r w:rsidRPr="00E07C9A">
              <w:t>Odložené daňové záväzky, pre ktoré nie sú splnené podmienky stanovené</w:t>
            </w:r>
            <w:r w:rsidR="009912F8" w:rsidRPr="00E07C9A">
              <w:t xml:space="preserve"> v </w:t>
            </w:r>
            <w:r w:rsidRPr="00E07C9A">
              <w:t>článku 38 ods. 3</w:t>
            </w:r>
            <w:r w:rsidR="009912F8" w:rsidRPr="00E07C9A">
              <w:t xml:space="preserve"> a </w:t>
            </w:r>
            <w:r w:rsidRPr="00E07C9A">
              <w:t xml:space="preserve">4 nariadenia (EÚ) </w:t>
            </w:r>
            <w:r w:rsidR="009912F8" w:rsidRPr="00E07C9A">
              <w:t>č. 575/2013</w:t>
            </w:r>
            <w:r w:rsidRPr="00E07C9A">
              <w:t>. Táto položka teda zahŕňa odložené daňové záväzky, ktoré znižujú hodnotu goodwillu, ostatných nehmotných aktív alebo majetku dôchodkového fondu so stanovenými požitkami, ktoré sa musia odpočítať, ktoré sa vykazujú</w:t>
            </w:r>
            <w:r w:rsidR="009912F8" w:rsidRPr="00E07C9A">
              <w:t xml:space="preserve"> v </w:t>
            </w:r>
            <w:r w:rsidRPr="00E07C9A">
              <w:t>príslušných položkách vzoru CA1 – 1.1.1.10.3, 1.1.1.11.2</w:t>
            </w:r>
            <w:r w:rsidR="009912F8" w:rsidRPr="00E07C9A">
              <w:t xml:space="preserve"> a </w:t>
            </w:r>
            <w:r w:rsidRPr="00E07C9A">
              <w:t>1.1.1.14.2.</w:t>
            </w:r>
          </w:p>
        </w:tc>
      </w:tr>
      <w:tr w:rsidR="002648B0" w:rsidRPr="00E07C9A" w14:paraId="5BF223A8" w14:textId="77777777" w:rsidTr="00674BF5">
        <w:tc>
          <w:tcPr>
            <w:tcW w:w="1474" w:type="dxa"/>
          </w:tcPr>
          <w:p w14:paraId="1D19C6B3" w14:textId="77777777" w:rsidR="002648B0" w:rsidRPr="00E07C9A" w:rsidRDefault="00B13F06" w:rsidP="00487A02">
            <w:pPr>
              <w:pStyle w:val="InstructionsText"/>
            </w:pPr>
            <w:r w:rsidRPr="00E07C9A">
              <w:t>0070</w:t>
            </w:r>
          </w:p>
        </w:tc>
        <w:tc>
          <w:tcPr>
            <w:tcW w:w="7049" w:type="dxa"/>
          </w:tcPr>
          <w:p w14:paraId="00E88E35" w14:textId="77777777" w:rsidR="005643EA" w:rsidRPr="00E07C9A" w:rsidRDefault="002648B0" w:rsidP="00487A02">
            <w:pPr>
              <w:pStyle w:val="InstructionsText"/>
            </w:pPr>
            <w:r w:rsidRPr="00E07C9A">
              <w:rPr>
                <w:rStyle w:val="InstructionsTabelleberschrift"/>
                <w:rFonts w:ascii="Times New Roman" w:hAnsi="Times New Roman"/>
                <w:sz w:val="24"/>
              </w:rPr>
              <w:t>2.2.</w:t>
            </w:r>
            <w:r w:rsidRPr="00E07C9A">
              <w:tab/>
            </w:r>
            <w:r w:rsidRPr="00E07C9A">
              <w:rPr>
                <w:rStyle w:val="InstructionsTabelleberschrift"/>
                <w:rFonts w:ascii="Times New Roman" w:hAnsi="Times New Roman"/>
                <w:sz w:val="24"/>
              </w:rPr>
              <w:t>Odložené daňové záväzky odpočítateľné od odložených daňových pohľadávok, ktoré závisia od budúcej ziskovosti</w:t>
            </w:r>
          </w:p>
          <w:p w14:paraId="74A43E2C" w14:textId="42273594" w:rsidR="005643EA" w:rsidRPr="00E07C9A" w:rsidRDefault="002648B0" w:rsidP="00487A02">
            <w:pPr>
              <w:pStyle w:val="InstructionsText"/>
            </w:pPr>
            <w:r w:rsidRPr="00E07C9A">
              <w:t xml:space="preserve">Článok 38 nariadenia (EÚ) </w:t>
            </w:r>
            <w:r w:rsidR="009912F8" w:rsidRPr="00E07C9A">
              <w:t>č. 575/2013</w:t>
            </w:r>
          </w:p>
        </w:tc>
      </w:tr>
      <w:tr w:rsidR="002648B0" w:rsidRPr="00E07C9A" w14:paraId="2137CA71" w14:textId="77777777" w:rsidTr="00674BF5">
        <w:tc>
          <w:tcPr>
            <w:tcW w:w="1474" w:type="dxa"/>
          </w:tcPr>
          <w:p w14:paraId="734ECB34" w14:textId="77777777" w:rsidR="002648B0" w:rsidRPr="00E07C9A" w:rsidRDefault="00B13F06" w:rsidP="00487A02">
            <w:pPr>
              <w:pStyle w:val="InstructionsText"/>
            </w:pPr>
            <w:r w:rsidRPr="00E07C9A">
              <w:t>0080</w:t>
            </w:r>
          </w:p>
        </w:tc>
        <w:tc>
          <w:tcPr>
            <w:tcW w:w="7049" w:type="dxa"/>
          </w:tcPr>
          <w:p w14:paraId="30D68EAA" w14:textId="1A51C5AF" w:rsidR="005643EA" w:rsidRPr="00E07C9A" w:rsidRDefault="002648B0" w:rsidP="00487A02">
            <w:pPr>
              <w:pStyle w:val="InstructionsText"/>
            </w:pPr>
            <w:r w:rsidRPr="00E07C9A">
              <w:rPr>
                <w:rStyle w:val="InstructionsTabelleberschrift"/>
                <w:rFonts w:ascii="Times New Roman" w:hAnsi="Times New Roman"/>
                <w:sz w:val="24"/>
              </w:rPr>
              <w:t>2.2.1.</w:t>
            </w:r>
            <w:r w:rsidRPr="00E07C9A">
              <w:tab/>
            </w:r>
            <w:r w:rsidRPr="00E07C9A">
              <w:rPr>
                <w:rStyle w:val="InstructionsTabelleberschrift"/>
                <w:rFonts w:ascii="Times New Roman" w:hAnsi="Times New Roman"/>
                <w:sz w:val="24"/>
              </w:rPr>
              <w:t>Odpočítateľné odložené daňové záväzky spojené</w:t>
            </w:r>
            <w:r w:rsidR="009912F8" w:rsidRPr="00E07C9A">
              <w:rPr>
                <w:rStyle w:val="InstructionsTabelleberschrift"/>
                <w:rFonts w:ascii="Times New Roman" w:hAnsi="Times New Roman"/>
                <w:sz w:val="24"/>
              </w:rPr>
              <w:t xml:space="preserve"> s </w:t>
            </w:r>
            <w:r w:rsidRPr="00E07C9A">
              <w:rPr>
                <w:rStyle w:val="InstructionsTabelleberschrift"/>
                <w:rFonts w:ascii="Times New Roman" w:hAnsi="Times New Roman"/>
                <w:sz w:val="24"/>
              </w:rPr>
              <w:t>odloženými daňovými pohľadávkami, ktoré závisia od budúcej ziskovosti</w:t>
            </w:r>
            <w:r w:rsidR="009912F8" w:rsidRPr="00E07C9A">
              <w:rPr>
                <w:rStyle w:val="InstructionsTabelleberschrift"/>
                <w:rFonts w:ascii="Times New Roman" w:hAnsi="Times New Roman"/>
                <w:sz w:val="24"/>
              </w:rPr>
              <w:t xml:space="preserve"> a </w:t>
            </w:r>
            <w:r w:rsidRPr="00E07C9A">
              <w:rPr>
                <w:rStyle w:val="InstructionsTabelleberschrift"/>
                <w:rFonts w:ascii="Times New Roman" w:hAnsi="Times New Roman"/>
                <w:sz w:val="24"/>
              </w:rPr>
              <w:t>nevyplývajú</w:t>
            </w:r>
            <w:r w:rsidR="009912F8" w:rsidRPr="00E07C9A">
              <w:rPr>
                <w:rStyle w:val="InstructionsTabelleberschrift"/>
                <w:rFonts w:ascii="Times New Roman" w:hAnsi="Times New Roman"/>
                <w:sz w:val="24"/>
              </w:rPr>
              <w:t xml:space="preserve"> z </w:t>
            </w:r>
            <w:r w:rsidRPr="00E07C9A">
              <w:rPr>
                <w:rStyle w:val="InstructionsTabelleberschrift"/>
                <w:rFonts w:ascii="Times New Roman" w:hAnsi="Times New Roman"/>
                <w:sz w:val="24"/>
              </w:rPr>
              <w:t>dočasných rozdielov</w:t>
            </w:r>
          </w:p>
          <w:p w14:paraId="322BE481" w14:textId="19E7DBEE" w:rsidR="005643EA" w:rsidRPr="00E07C9A" w:rsidRDefault="002648B0" w:rsidP="00487A02">
            <w:pPr>
              <w:pStyle w:val="InstructionsText"/>
            </w:pPr>
            <w:r w:rsidRPr="00E07C9A">
              <w:t>Článok 38 ods. 3, 4</w:t>
            </w:r>
            <w:r w:rsidR="009912F8" w:rsidRPr="00E07C9A">
              <w:t xml:space="preserve"> a </w:t>
            </w:r>
            <w:r w:rsidRPr="00E07C9A">
              <w:t xml:space="preserve">5 nariadenia (EÚ) </w:t>
            </w:r>
            <w:r w:rsidR="009912F8" w:rsidRPr="00E07C9A">
              <w:t>č. 575/2013</w:t>
            </w:r>
          </w:p>
          <w:p w14:paraId="58E9ED0C" w14:textId="30F05CD7" w:rsidR="005643EA" w:rsidRPr="00E07C9A" w:rsidRDefault="002648B0" w:rsidP="00F42FE9">
            <w:pPr>
              <w:pStyle w:val="InstructionsText"/>
            </w:pPr>
            <w:r w:rsidRPr="00E07C9A">
              <w:t>Odložené daňové záväzky, ktoré môžu</w:t>
            </w:r>
            <w:r w:rsidR="009912F8" w:rsidRPr="00E07C9A">
              <w:t xml:space="preserve"> v </w:t>
            </w:r>
            <w:r w:rsidRPr="00E07C9A">
              <w:rPr>
                <w:rStyle w:val="FormatvorlageInstructionsTabelleText"/>
                <w:rFonts w:ascii="Times New Roman" w:hAnsi="Times New Roman"/>
                <w:sz w:val="24"/>
              </w:rPr>
              <w:t>súlade</w:t>
            </w:r>
            <w:r w:rsidR="009912F8" w:rsidRPr="00E07C9A">
              <w:rPr>
                <w:rStyle w:val="FormatvorlageInstructionsTabelleText"/>
                <w:rFonts w:ascii="Times New Roman" w:hAnsi="Times New Roman"/>
                <w:sz w:val="24"/>
              </w:rPr>
              <w:t xml:space="preserve"> s </w:t>
            </w:r>
            <w:r w:rsidRPr="00E07C9A">
              <w:rPr>
                <w:rStyle w:val="FormatvorlageInstructionsTabelleText"/>
                <w:rFonts w:ascii="Times New Roman" w:hAnsi="Times New Roman"/>
                <w:sz w:val="24"/>
              </w:rPr>
              <w:t>článkom</w:t>
            </w:r>
            <w:r w:rsidRPr="00E07C9A">
              <w:t xml:space="preserve"> 38 ods. 3</w:t>
            </w:r>
            <w:r w:rsidR="009912F8" w:rsidRPr="00E07C9A">
              <w:t xml:space="preserve"> a </w:t>
            </w:r>
            <w:r w:rsidRPr="00E07C9A">
              <w:t xml:space="preserve">4 nariadenia (EÚ) </w:t>
            </w:r>
            <w:r w:rsidR="009912F8" w:rsidRPr="00E07C9A">
              <w:t>č. 575/2013</w:t>
            </w:r>
            <w:r w:rsidRPr="00E07C9A">
              <w:t xml:space="preserve"> znížiť hodnotu odložených daňových pohľadávok, ktoré závisia od budúcej ziskovosti,</w:t>
            </w:r>
            <w:r w:rsidR="009912F8" w:rsidRPr="00E07C9A">
              <w:t xml:space="preserve"> a </w:t>
            </w:r>
            <w:r w:rsidRPr="00E07C9A">
              <w:t>ktoré neprislúchajú odloženým daňovým pohľadávkam, ktoré závisia od budúcej ziskovosti</w:t>
            </w:r>
            <w:r w:rsidR="009912F8" w:rsidRPr="00E07C9A">
              <w:t xml:space="preserve"> </w:t>
            </w:r>
            <w:r w:rsidR="009912F8" w:rsidRPr="00E07C9A">
              <w:lastRenderedPageBreak/>
              <w:t>a </w:t>
            </w:r>
            <w:r w:rsidRPr="00E07C9A">
              <w:t>vyplývajú</w:t>
            </w:r>
            <w:r w:rsidR="009912F8" w:rsidRPr="00E07C9A">
              <w:t xml:space="preserve"> z </w:t>
            </w:r>
            <w:r w:rsidRPr="00E07C9A">
              <w:t>dočasných rozdielov, ako sa stanovuje</w:t>
            </w:r>
            <w:r w:rsidR="009912F8" w:rsidRPr="00E07C9A">
              <w:t xml:space="preserve"> v </w:t>
            </w:r>
            <w:r w:rsidRPr="00E07C9A">
              <w:t xml:space="preserve">článku 38 ods. 5 nariadenia (EÚ) </w:t>
            </w:r>
            <w:r w:rsidR="009912F8" w:rsidRPr="00E07C9A">
              <w:t>č. 575/2013</w:t>
            </w:r>
            <w:r w:rsidRPr="00E07C9A">
              <w:t>.</w:t>
            </w:r>
          </w:p>
        </w:tc>
      </w:tr>
      <w:tr w:rsidR="002648B0" w:rsidRPr="00E07C9A" w14:paraId="503D093A" w14:textId="77777777" w:rsidTr="00674BF5">
        <w:tc>
          <w:tcPr>
            <w:tcW w:w="1474" w:type="dxa"/>
          </w:tcPr>
          <w:p w14:paraId="745E05CC" w14:textId="77777777" w:rsidR="002648B0" w:rsidRPr="00E07C9A" w:rsidRDefault="00B13F06" w:rsidP="00487A02">
            <w:pPr>
              <w:pStyle w:val="InstructionsText"/>
            </w:pPr>
            <w:r w:rsidRPr="00E07C9A">
              <w:lastRenderedPageBreak/>
              <w:t>0090</w:t>
            </w:r>
          </w:p>
        </w:tc>
        <w:tc>
          <w:tcPr>
            <w:tcW w:w="7049" w:type="dxa"/>
          </w:tcPr>
          <w:p w14:paraId="56115E84" w14:textId="3E3C16A2" w:rsidR="005643EA" w:rsidRPr="00E07C9A" w:rsidRDefault="002648B0" w:rsidP="00487A02">
            <w:pPr>
              <w:pStyle w:val="InstructionsText"/>
            </w:pPr>
            <w:r w:rsidRPr="00E07C9A">
              <w:rPr>
                <w:rStyle w:val="InstructionsTabelleberschrift"/>
                <w:rFonts w:ascii="Times New Roman" w:hAnsi="Times New Roman"/>
                <w:sz w:val="24"/>
              </w:rPr>
              <w:t>2.2.2.</w:t>
            </w:r>
            <w:r w:rsidRPr="00E07C9A">
              <w:tab/>
            </w:r>
            <w:r w:rsidRPr="00E07C9A">
              <w:rPr>
                <w:rStyle w:val="InstructionsTabelleberschrift"/>
                <w:rFonts w:ascii="Times New Roman" w:hAnsi="Times New Roman"/>
                <w:sz w:val="24"/>
              </w:rPr>
              <w:t>Odpočítateľné odložené daňové záväzky spojené</w:t>
            </w:r>
            <w:r w:rsidR="009912F8" w:rsidRPr="00E07C9A">
              <w:rPr>
                <w:rStyle w:val="InstructionsTabelleberschrift"/>
                <w:rFonts w:ascii="Times New Roman" w:hAnsi="Times New Roman"/>
                <w:sz w:val="24"/>
              </w:rPr>
              <w:t xml:space="preserve"> s </w:t>
            </w:r>
            <w:r w:rsidRPr="00E07C9A">
              <w:rPr>
                <w:rStyle w:val="InstructionsTabelleberschrift"/>
                <w:rFonts w:ascii="Times New Roman" w:hAnsi="Times New Roman"/>
                <w:sz w:val="24"/>
              </w:rPr>
              <w:t>odloženými daňovými pohľadávkami, ktoré závisia od budúcej ziskovosti</w:t>
            </w:r>
            <w:r w:rsidR="009912F8" w:rsidRPr="00E07C9A">
              <w:rPr>
                <w:rStyle w:val="InstructionsTabelleberschrift"/>
                <w:rFonts w:ascii="Times New Roman" w:hAnsi="Times New Roman"/>
                <w:sz w:val="24"/>
              </w:rPr>
              <w:t xml:space="preserve"> a </w:t>
            </w:r>
            <w:r w:rsidRPr="00E07C9A">
              <w:rPr>
                <w:rStyle w:val="InstructionsTabelleberschrift"/>
                <w:rFonts w:ascii="Times New Roman" w:hAnsi="Times New Roman"/>
                <w:sz w:val="24"/>
              </w:rPr>
              <w:t>vyplývajú</w:t>
            </w:r>
            <w:r w:rsidR="009912F8" w:rsidRPr="00E07C9A">
              <w:rPr>
                <w:rStyle w:val="InstructionsTabelleberschrift"/>
                <w:rFonts w:ascii="Times New Roman" w:hAnsi="Times New Roman"/>
                <w:sz w:val="24"/>
              </w:rPr>
              <w:t xml:space="preserve"> z </w:t>
            </w:r>
            <w:r w:rsidRPr="00E07C9A">
              <w:rPr>
                <w:rStyle w:val="InstructionsTabelleberschrift"/>
                <w:rFonts w:ascii="Times New Roman" w:hAnsi="Times New Roman"/>
                <w:sz w:val="24"/>
              </w:rPr>
              <w:t>dočasných rozdielov</w:t>
            </w:r>
          </w:p>
          <w:p w14:paraId="7363CE15" w14:textId="30053B3A" w:rsidR="005643EA" w:rsidRPr="00E07C9A" w:rsidRDefault="002648B0" w:rsidP="00487A02">
            <w:pPr>
              <w:pStyle w:val="InstructionsText"/>
            </w:pPr>
            <w:r w:rsidRPr="00E07C9A">
              <w:t>Článok 38 ods. 3, 4</w:t>
            </w:r>
            <w:r w:rsidR="009912F8" w:rsidRPr="00E07C9A">
              <w:t xml:space="preserve"> a </w:t>
            </w:r>
            <w:r w:rsidRPr="00E07C9A">
              <w:t xml:space="preserve">5 nariadenia (EÚ) </w:t>
            </w:r>
            <w:r w:rsidR="009912F8" w:rsidRPr="00E07C9A">
              <w:t>č. 575/2013</w:t>
            </w:r>
          </w:p>
          <w:p w14:paraId="56E5FD8E" w14:textId="7C5B119C" w:rsidR="005643EA" w:rsidRPr="00E07C9A" w:rsidRDefault="002648B0" w:rsidP="00F42FE9">
            <w:pPr>
              <w:pStyle w:val="InstructionsText"/>
            </w:pPr>
            <w:r w:rsidRPr="00E07C9A">
              <w:t>Odložené daňové záväzky, ktoré môžu</w:t>
            </w:r>
            <w:r w:rsidR="009912F8" w:rsidRPr="00E07C9A">
              <w:t xml:space="preserve"> v </w:t>
            </w:r>
            <w:r w:rsidRPr="00E07C9A">
              <w:rPr>
                <w:rStyle w:val="FormatvorlageInstructionsTabelleText"/>
                <w:rFonts w:ascii="Times New Roman" w:hAnsi="Times New Roman"/>
                <w:sz w:val="24"/>
              </w:rPr>
              <w:t>súlade</w:t>
            </w:r>
            <w:r w:rsidR="009912F8" w:rsidRPr="00E07C9A">
              <w:rPr>
                <w:rStyle w:val="FormatvorlageInstructionsTabelleText"/>
                <w:rFonts w:ascii="Times New Roman" w:hAnsi="Times New Roman"/>
                <w:sz w:val="24"/>
              </w:rPr>
              <w:t xml:space="preserve"> s </w:t>
            </w:r>
            <w:r w:rsidRPr="00E07C9A">
              <w:rPr>
                <w:rStyle w:val="FormatvorlageInstructionsTabelleText"/>
                <w:rFonts w:ascii="Times New Roman" w:hAnsi="Times New Roman"/>
                <w:sz w:val="24"/>
              </w:rPr>
              <w:t>článkom</w:t>
            </w:r>
            <w:r w:rsidRPr="00E07C9A">
              <w:t xml:space="preserve"> 38 ods. 3</w:t>
            </w:r>
            <w:r w:rsidR="009912F8" w:rsidRPr="00E07C9A">
              <w:t xml:space="preserve"> a </w:t>
            </w:r>
            <w:r w:rsidRPr="00E07C9A">
              <w:t xml:space="preserve">4 nariadenia (EÚ) </w:t>
            </w:r>
            <w:r w:rsidR="009912F8" w:rsidRPr="00E07C9A">
              <w:t>č. 575/2013</w:t>
            </w:r>
            <w:r w:rsidRPr="00E07C9A">
              <w:t xml:space="preserve"> znížiť hodnotu odložených daňových pohľadávok, ktoré závisia od budúcej ziskovosti,</w:t>
            </w:r>
            <w:r w:rsidR="009912F8" w:rsidRPr="00E07C9A">
              <w:t xml:space="preserve"> a </w:t>
            </w:r>
            <w:r w:rsidRPr="00E07C9A">
              <w:t>ktoré prislúchajú odloženým daňovým pohľadávkam, ktoré závisia od budúcej ziskovosti</w:t>
            </w:r>
            <w:r w:rsidR="009912F8" w:rsidRPr="00E07C9A">
              <w:t xml:space="preserve"> a </w:t>
            </w:r>
            <w:r w:rsidRPr="00E07C9A">
              <w:t>vyplývajú</w:t>
            </w:r>
            <w:r w:rsidR="009912F8" w:rsidRPr="00E07C9A">
              <w:t xml:space="preserve"> z </w:t>
            </w:r>
            <w:r w:rsidRPr="00E07C9A">
              <w:t>dočasných rozdielov, ako sa stanovuje</w:t>
            </w:r>
            <w:r w:rsidR="009912F8" w:rsidRPr="00E07C9A">
              <w:t xml:space="preserve"> v </w:t>
            </w:r>
            <w:r w:rsidRPr="00E07C9A">
              <w:t xml:space="preserve">článku 38 ods. 5 nariadenia (EÚ) </w:t>
            </w:r>
            <w:r w:rsidR="009912F8" w:rsidRPr="00E07C9A">
              <w:t>č. 575/2013</w:t>
            </w:r>
            <w:r w:rsidRPr="00E07C9A">
              <w:t>.</w:t>
            </w:r>
          </w:p>
        </w:tc>
      </w:tr>
      <w:tr w:rsidR="00550113" w:rsidRPr="00E07C9A" w14:paraId="3638796A" w14:textId="77777777" w:rsidTr="00674BF5">
        <w:tc>
          <w:tcPr>
            <w:tcW w:w="1474" w:type="dxa"/>
          </w:tcPr>
          <w:p w14:paraId="5097CB57" w14:textId="77777777" w:rsidR="00550113" w:rsidRPr="00E07C9A" w:rsidRDefault="00B13F06" w:rsidP="00487A02">
            <w:pPr>
              <w:pStyle w:val="InstructionsText"/>
            </w:pPr>
            <w:r w:rsidRPr="00E07C9A">
              <w:t>0093</w:t>
            </w:r>
          </w:p>
        </w:tc>
        <w:tc>
          <w:tcPr>
            <w:tcW w:w="7049" w:type="dxa"/>
          </w:tcPr>
          <w:p w14:paraId="6A609734" w14:textId="55B4C10F" w:rsidR="00550113" w:rsidRPr="00E07C9A" w:rsidRDefault="00550113" w:rsidP="00487A02">
            <w:pPr>
              <w:pStyle w:val="InstructionsText"/>
            </w:pPr>
            <w:r w:rsidRPr="00E07C9A">
              <w:rPr>
                <w:rStyle w:val="InstructionsTabelleberschrift"/>
                <w:rFonts w:ascii="Times New Roman" w:hAnsi="Times New Roman"/>
                <w:sz w:val="24"/>
              </w:rPr>
              <w:t>2A</w:t>
            </w:r>
            <w:r w:rsidRPr="00E07C9A">
              <w:tab/>
            </w:r>
            <w:r w:rsidRPr="00E07C9A">
              <w:rPr>
                <w:rStyle w:val="InstructionsTabelleberschrift"/>
                <w:rFonts w:ascii="Times New Roman" w:hAnsi="Times New Roman"/>
                <w:sz w:val="24"/>
              </w:rPr>
              <w:t>Daňové preplatky</w:t>
            </w:r>
            <w:r w:rsidR="009912F8" w:rsidRPr="00E07C9A">
              <w:rPr>
                <w:rStyle w:val="InstructionsTabelleberschrift"/>
                <w:rFonts w:ascii="Times New Roman" w:hAnsi="Times New Roman"/>
                <w:sz w:val="24"/>
              </w:rPr>
              <w:t xml:space="preserve"> a </w:t>
            </w:r>
            <w:r w:rsidRPr="00E07C9A">
              <w:rPr>
                <w:rStyle w:val="InstructionsTabelleberschrift"/>
                <w:rFonts w:ascii="Times New Roman" w:hAnsi="Times New Roman"/>
                <w:sz w:val="24"/>
              </w:rPr>
              <w:t>prenos daňových strát do predchádzajúcich rokov</w:t>
            </w:r>
          </w:p>
          <w:p w14:paraId="1695947D" w14:textId="688DC055" w:rsidR="00550113" w:rsidRPr="00E07C9A" w:rsidRDefault="00201704" w:rsidP="00487A02">
            <w:pPr>
              <w:pStyle w:val="InstructionsText"/>
            </w:pPr>
            <w:r w:rsidRPr="00E07C9A">
              <w:t xml:space="preserve">Článok 39 ods. 1 nariadenia (EÚ) </w:t>
            </w:r>
            <w:r w:rsidR="009912F8" w:rsidRPr="00E07C9A">
              <w:t>č. 575/2013</w:t>
            </w:r>
          </w:p>
          <w:p w14:paraId="036E36C9" w14:textId="3F30B217" w:rsidR="00550113" w:rsidRPr="00E07C9A" w:rsidRDefault="00550113" w:rsidP="00487A02">
            <w:pPr>
              <w:pStyle w:val="InstructionsText"/>
              <w:rPr>
                <w:rStyle w:val="InstructionsTabelleberschrift"/>
                <w:rFonts w:ascii="Times New Roman" w:hAnsi="Times New Roman"/>
                <w:b w:val="0"/>
                <w:bCs w:val="0"/>
                <w:sz w:val="24"/>
                <w:u w:val="none"/>
              </w:rPr>
            </w:pPr>
            <w:r w:rsidRPr="00E07C9A">
              <w:t>Výška daňových preplatkov</w:t>
            </w:r>
            <w:r w:rsidR="009912F8" w:rsidRPr="00E07C9A">
              <w:t xml:space="preserve"> a </w:t>
            </w:r>
            <w:r w:rsidRPr="00E07C9A">
              <w:t>výška daňových strát prenesených do predchádzajúcich rokov, ktoré sa neodpočítavajú od vlastných zdrojov</w:t>
            </w:r>
            <w:r w:rsidR="009912F8" w:rsidRPr="00E07C9A">
              <w:t xml:space="preserve"> v </w:t>
            </w:r>
            <w:r w:rsidRPr="00E07C9A">
              <w:t>súlade</w:t>
            </w:r>
            <w:r w:rsidR="009912F8" w:rsidRPr="00E07C9A">
              <w:t xml:space="preserve"> s </w:t>
            </w:r>
            <w:r w:rsidRPr="00E07C9A">
              <w:t xml:space="preserve">článkom 39 ods. 1 nariadenia (EÚ) </w:t>
            </w:r>
            <w:r w:rsidR="009912F8" w:rsidRPr="00E07C9A">
              <w:t>č. 575/2013</w:t>
            </w:r>
            <w:r w:rsidRPr="00E07C9A">
              <w:t>; vykázaná hodnota je hodnota pred uplatnením rizikových váh.</w:t>
            </w:r>
          </w:p>
        </w:tc>
      </w:tr>
      <w:tr w:rsidR="00DF65DF" w:rsidRPr="00E07C9A" w14:paraId="5F147872" w14:textId="77777777" w:rsidTr="00674BF5">
        <w:tc>
          <w:tcPr>
            <w:tcW w:w="1474" w:type="dxa"/>
          </w:tcPr>
          <w:p w14:paraId="2F969A6C" w14:textId="77777777" w:rsidR="00DF65DF" w:rsidRPr="00E07C9A" w:rsidRDefault="00B13F06" w:rsidP="00487A02">
            <w:pPr>
              <w:pStyle w:val="InstructionsText"/>
            </w:pPr>
            <w:r w:rsidRPr="00E07C9A">
              <w:t>0096</w:t>
            </w:r>
          </w:p>
        </w:tc>
        <w:tc>
          <w:tcPr>
            <w:tcW w:w="7049" w:type="dxa"/>
          </w:tcPr>
          <w:p w14:paraId="3FAEDC94" w14:textId="3D66413D" w:rsidR="00DF65DF" w:rsidRPr="00E07C9A" w:rsidRDefault="00550113" w:rsidP="00487A02">
            <w:pPr>
              <w:pStyle w:val="InstructionsText"/>
            </w:pPr>
            <w:r w:rsidRPr="00E07C9A">
              <w:rPr>
                <w:rStyle w:val="InstructionsTabelleberschrift"/>
                <w:rFonts w:ascii="Times New Roman" w:hAnsi="Times New Roman"/>
                <w:sz w:val="24"/>
              </w:rPr>
              <w:t>2B</w:t>
            </w:r>
            <w:r w:rsidRPr="00E07C9A">
              <w:tab/>
            </w:r>
            <w:r w:rsidRPr="00E07C9A">
              <w:rPr>
                <w:rStyle w:val="InstructionsTabelleberschrift"/>
                <w:rFonts w:ascii="Times New Roman" w:hAnsi="Times New Roman"/>
                <w:sz w:val="24"/>
              </w:rPr>
              <w:t>Odložené daňové pohľadávky, na ktoré sa uplatňuje riziková váha 250</w:t>
            </w:r>
            <w:r w:rsidR="009912F8" w:rsidRPr="00E07C9A">
              <w:rPr>
                <w:rStyle w:val="InstructionsTabelleberschrift"/>
                <w:rFonts w:ascii="Times New Roman" w:hAnsi="Times New Roman"/>
                <w:sz w:val="24"/>
              </w:rPr>
              <w:t> %</w:t>
            </w:r>
          </w:p>
          <w:p w14:paraId="3250EE36" w14:textId="3BEA76F2" w:rsidR="00DF65DF" w:rsidRPr="00E07C9A" w:rsidRDefault="00201704" w:rsidP="00487A02">
            <w:pPr>
              <w:pStyle w:val="InstructionsText"/>
            </w:pPr>
            <w:r w:rsidRPr="00E07C9A">
              <w:t xml:space="preserve">Článok 48 ods. 4 nariadenia (EÚ) </w:t>
            </w:r>
            <w:r w:rsidR="009912F8" w:rsidRPr="00E07C9A">
              <w:t>č. 575/2013</w:t>
            </w:r>
          </w:p>
          <w:p w14:paraId="65CF5C4A" w14:textId="745E8E77" w:rsidR="00DF65DF" w:rsidRPr="00E07C9A" w:rsidRDefault="00DF65DF" w:rsidP="00566DB5">
            <w:pPr>
              <w:pStyle w:val="InstructionsText"/>
              <w:rPr>
                <w:rStyle w:val="InstructionsTabelleberschrift"/>
                <w:rFonts w:ascii="Times New Roman" w:hAnsi="Times New Roman"/>
                <w:b w:val="0"/>
                <w:bCs w:val="0"/>
                <w:sz w:val="24"/>
                <w:u w:val="none"/>
              </w:rPr>
            </w:pPr>
            <w:r w:rsidRPr="00E07C9A">
              <w:t>Hodnota odložených daňových pohľadávok, ktoré závisia od budúcej ziskovosti</w:t>
            </w:r>
            <w:r w:rsidR="009912F8" w:rsidRPr="00E07C9A">
              <w:t xml:space="preserve"> a </w:t>
            </w:r>
            <w:r w:rsidRPr="00E07C9A">
              <w:t>vyplývajú</w:t>
            </w:r>
            <w:r w:rsidR="009912F8" w:rsidRPr="00E07C9A">
              <w:t xml:space="preserve"> z </w:t>
            </w:r>
            <w:r w:rsidRPr="00E07C9A">
              <w:t>dočasných rozdielov</w:t>
            </w:r>
            <w:r w:rsidR="009912F8" w:rsidRPr="00E07C9A">
              <w:t xml:space="preserve"> a </w:t>
            </w:r>
            <w:r w:rsidRPr="00E07C9A">
              <w:t xml:space="preserve">ktoré sa neodpočítavajú podľa článku 48 ods. 1 nariadenia (EÚ) </w:t>
            </w:r>
            <w:r w:rsidR="009912F8" w:rsidRPr="00E07C9A">
              <w:t>č. 575/2013</w:t>
            </w:r>
            <w:r w:rsidRPr="00E07C9A">
              <w:t>, ale na ktoré sa vzťahuje riziková váha 250</w:t>
            </w:r>
            <w:r w:rsidR="009912F8" w:rsidRPr="00E07C9A">
              <w:t> % v </w:t>
            </w:r>
            <w:r w:rsidRPr="00E07C9A">
              <w:t>súlade</w:t>
            </w:r>
            <w:r w:rsidR="009912F8" w:rsidRPr="00E07C9A">
              <w:t xml:space="preserve"> s </w:t>
            </w:r>
            <w:r w:rsidRPr="00E07C9A">
              <w:t>článkom 48 ods. 4 uvedeného nariadenia, pričom sa zohľadňuje účinok článku 470, článku 478 ods. 2</w:t>
            </w:r>
            <w:r w:rsidR="009912F8" w:rsidRPr="00E07C9A">
              <w:t xml:space="preserve"> a </w:t>
            </w:r>
            <w:r w:rsidRPr="00E07C9A">
              <w:t>článku 473a ods. 7 písm. a) toho istého nariadenia. Vykázaná hodnota je hodnota odložených daňových pohľadávok pred uplatnením rizikových váh.</w:t>
            </w:r>
          </w:p>
        </w:tc>
      </w:tr>
      <w:tr w:rsidR="00DF65DF" w:rsidRPr="00E07C9A" w14:paraId="79D85BBB" w14:textId="77777777" w:rsidTr="00674BF5">
        <w:tc>
          <w:tcPr>
            <w:tcW w:w="1474" w:type="dxa"/>
          </w:tcPr>
          <w:p w14:paraId="2F5D8708" w14:textId="77777777" w:rsidR="00DF65DF" w:rsidRPr="00E07C9A" w:rsidRDefault="00B13F06" w:rsidP="00487A02">
            <w:pPr>
              <w:pStyle w:val="InstructionsText"/>
            </w:pPr>
            <w:r w:rsidRPr="00E07C9A">
              <w:t>0097</w:t>
            </w:r>
          </w:p>
        </w:tc>
        <w:tc>
          <w:tcPr>
            <w:tcW w:w="7049" w:type="dxa"/>
          </w:tcPr>
          <w:p w14:paraId="3211FAAD" w14:textId="1D2117AC" w:rsidR="00DF65DF" w:rsidRPr="00E07C9A" w:rsidRDefault="00550113" w:rsidP="00487A02">
            <w:pPr>
              <w:pStyle w:val="InstructionsText"/>
            </w:pPr>
            <w:r w:rsidRPr="00E07C9A">
              <w:rPr>
                <w:rStyle w:val="InstructionsTabelleberschrift"/>
                <w:rFonts w:ascii="Times New Roman" w:hAnsi="Times New Roman"/>
                <w:sz w:val="24"/>
              </w:rPr>
              <w:t>2C</w:t>
            </w:r>
            <w:r w:rsidRPr="00E07C9A">
              <w:tab/>
            </w:r>
            <w:r w:rsidRPr="00E07C9A">
              <w:rPr>
                <w:rStyle w:val="InstructionsTabelleberschrift"/>
                <w:rFonts w:ascii="Times New Roman" w:hAnsi="Times New Roman"/>
                <w:sz w:val="24"/>
              </w:rPr>
              <w:t>Odložené daňové pohľadávky, na ktoré sa uplatňuje riziková váha 0</w:t>
            </w:r>
            <w:r w:rsidR="009912F8" w:rsidRPr="00E07C9A">
              <w:rPr>
                <w:rStyle w:val="InstructionsTabelleberschrift"/>
                <w:rFonts w:ascii="Times New Roman" w:hAnsi="Times New Roman"/>
                <w:sz w:val="24"/>
              </w:rPr>
              <w:t> %</w:t>
            </w:r>
          </w:p>
          <w:p w14:paraId="76CA7E3C" w14:textId="2478DBBC" w:rsidR="00DF65DF" w:rsidRPr="00E07C9A" w:rsidRDefault="00DF65DF" w:rsidP="00487A02">
            <w:pPr>
              <w:pStyle w:val="InstructionsText"/>
            </w:pPr>
            <w:r w:rsidRPr="00E07C9A">
              <w:t>Článok 469 ods. 1 písm. d), článok 470, článok 472 ods. 5</w:t>
            </w:r>
            <w:r w:rsidR="009912F8" w:rsidRPr="00E07C9A">
              <w:t xml:space="preserve"> a </w:t>
            </w:r>
            <w:r w:rsidRPr="00E07C9A">
              <w:t xml:space="preserve">článok 478 nariadenia (EÚ) </w:t>
            </w:r>
            <w:r w:rsidR="009912F8" w:rsidRPr="00E07C9A">
              <w:t>č. 575/2013</w:t>
            </w:r>
          </w:p>
          <w:p w14:paraId="5159B743" w14:textId="50705CE5" w:rsidR="00DF65DF" w:rsidRPr="00E07C9A" w:rsidRDefault="00DF65DF" w:rsidP="00985B99">
            <w:pPr>
              <w:pStyle w:val="InstructionsText"/>
              <w:rPr>
                <w:rStyle w:val="InstructionsTabelleberschrift"/>
                <w:rFonts w:ascii="Times New Roman" w:hAnsi="Times New Roman"/>
                <w:b w:val="0"/>
                <w:bCs w:val="0"/>
                <w:sz w:val="24"/>
                <w:u w:val="none"/>
              </w:rPr>
            </w:pPr>
            <w:r w:rsidRPr="00E07C9A">
              <w:t>Hodnota odložených daňových pohľadávok, ktoré závisia od budúcej ziskovosti</w:t>
            </w:r>
            <w:r w:rsidR="009912F8" w:rsidRPr="00E07C9A">
              <w:t xml:space="preserve"> a </w:t>
            </w:r>
            <w:r w:rsidRPr="00E07C9A">
              <w:t>vyplývajú</w:t>
            </w:r>
            <w:r w:rsidR="009912F8" w:rsidRPr="00E07C9A">
              <w:t xml:space="preserve"> z </w:t>
            </w:r>
            <w:r w:rsidRPr="00E07C9A">
              <w:t>dočasných rozdielov</w:t>
            </w:r>
            <w:r w:rsidR="009912F8" w:rsidRPr="00E07C9A">
              <w:t xml:space="preserve"> a </w:t>
            </w:r>
            <w:r w:rsidRPr="00E07C9A">
              <w:t>ktoré sa neodpočítavajú podľa článku 469 ods. 1 písm. d), článku 470, článku 478 ods. 2</w:t>
            </w:r>
            <w:r w:rsidR="009912F8" w:rsidRPr="00E07C9A">
              <w:t xml:space="preserve"> a </w:t>
            </w:r>
            <w:r w:rsidRPr="00E07C9A">
              <w:t xml:space="preserve">článku 473a ods. 7 písm. a) nariadenia (EÚ) </w:t>
            </w:r>
            <w:r w:rsidR="009912F8" w:rsidRPr="00E07C9A">
              <w:t>č. 575/2013</w:t>
            </w:r>
            <w:r w:rsidRPr="00E07C9A">
              <w:t>, ale na ktoré sa vzťahuje riziková váha 0</w:t>
            </w:r>
            <w:r w:rsidR="009912F8" w:rsidRPr="00E07C9A">
              <w:t> % v </w:t>
            </w:r>
            <w:r w:rsidRPr="00E07C9A">
              <w:t>súlade</w:t>
            </w:r>
            <w:r w:rsidR="009912F8" w:rsidRPr="00E07C9A">
              <w:t xml:space="preserve"> s </w:t>
            </w:r>
            <w:r w:rsidRPr="00E07C9A">
              <w:t>článkom 472 ods. 5 uvedeného nariadenia. Vykázaná hodnota je hodnota odložených daňových pohľadávok pred uplatnením rizikových váh.</w:t>
            </w:r>
          </w:p>
        </w:tc>
      </w:tr>
      <w:tr w:rsidR="00674BF5" w:rsidRPr="00E07C9A" w14:paraId="5BBC3EC9" w14:textId="77777777" w:rsidTr="00674BF5">
        <w:tc>
          <w:tcPr>
            <w:tcW w:w="1474" w:type="dxa"/>
          </w:tcPr>
          <w:p w14:paraId="7C43FF54" w14:textId="77777777" w:rsidR="00674BF5" w:rsidRPr="00E07C9A" w:rsidRDefault="004F1DDB" w:rsidP="00487A02">
            <w:pPr>
              <w:pStyle w:val="InstructionsText"/>
            </w:pPr>
            <w:r w:rsidRPr="00E07C9A">
              <w:t>0901</w:t>
            </w:r>
          </w:p>
        </w:tc>
        <w:tc>
          <w:tcPr>
            <w:tcW w:w="7049" w:type="dxa"/>
          </w:tcPr>
          <w:p w14:paraId="57A73705" w14:textId="616256AD" w:rsidR="00674BF5" w:rsidRPr="00E07C9A" w:rsidRDefault="00674BF5"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2W Softvérové aktíva účtované ako nehmotné aktíva vyňaté</w:t>
            </w:r>
            <w:r w:rsidR="009912F8" w:rsidRPr="00E07C9A">
              <w:rPr>
                <w:rStyle w:val="InstructionsTabelleberschrift"/>
                <w:rFonts w:ascii="Times New Roman" w:hAnsi="Times New Roman"/>
                <w:sz w:val="24"/>
              </w:rPr>
              <w:t xml:space="preserve"> z </w:t>
            </w:r>
            <w:r w:rsidRPr="00E07C9A">
              <w:rPr>
                <w:rStyle w:val="InstructionsTabelleberschrift"/>
                <w:rFonts w:ascii="Times New Roman" w:hAnsi="Times New Roman"/>
                <w:sz w:val="24"/>
              </w:rPr>
              <w:t>odpočtu od CET1</w:t>
            </w:r>
          </w:p>
          <w:p w14:paraId="44F69E3F" w14:textId="3EDE9B3D" w:rsidR="00674BF5" w:rsidRPr="00E07C9A" w:rsidRDefault="00674BF5" w:rsidP="00487A02">
            <w:pPr>
              <w:pStyle w:val="InstructionsText"/>
            </w:pPr>
            <w:r w:rsidRPr="00E07C9A">
              <w:lastRenderedPageBreak/>
              <w:t xml:space="preserve">Článok 36 ods. 1 písm. b) nariadenia (EÚ) </w:t>
            </w:r>
            <w:r w:rsidR="009912F8" w:rsidRPr="00E07C9A">
              <w:t>č. 575/2013</w:t>
            </w:r>
          </w:p>
          <w:p w14:paraId="4421B226" w14:textId="750991F3" w:rsidR="00674BF5" w:rsidRPr="00E07C9A" w:rsidRDefault="00674BF5" w:rsidP="00487A02">
            <w:pPr>
              <w:pStyle w:val="InstructionsText"/>
              <w:rPr>
                <w:rStyle w:val="InstructionsTabelleberschrift"/>
                <w:rFonts w:ascii="Times New Roman" w:hAnsi="Times New Roman"/>
                <w:sz w:val="24"/>
              </w:rPr>
            </w:pPr>
            <w:r w:rsidRPr="00E07C9A">
              <w:t>Inštitúcie vykazujú hodnotu obozretne ocenených softvérových aktív, ktorá je vyňatá</w:t>
            </w:r>
            <w:r w:rsidR="009912F8" w:rsidRPr="00E07C9A">
              <w:t xml:space="preserve"> z </w:t>
            </w:r>
            <w:r w:rsidRPr="00E07C9A">
              <w:t>odpočtu od položiek CET1</w:t>
            </w:r>
            <w:r w:rsidR="009912F8" w:rsidRPr="00E07C9A">
              <w:t xml:space="preserve"> v </w:t>
            </w:r>
            <w:r w:rsidRPr="00E07C9A">
              <w:t>súlade</w:t>
            </w:r>
            <w:r w:rsidR="009912F8" w:rsidRPr="00E07C9A">
              <w:t xml:space="preserve"> s </w:t>
            </w:r>
            <w:r w:rsidRPr="00E07C9A">
              <w:t>článkom 13a delegovaného nariadenia (EÚ) č. 241/2014.</w:t>
            </w:r>
          </w:p>
        </w:tc>
      </w:tr>
      <w:tr w:rsidR="00674BF5" w:rsidRPr="00E07C9A" w14:paraId="6658206C" w14:textId="77777777" w:rsidTr="00674BF5">
        <w:tc>
          <w:tcPr>
            <w:tcW w:w="1474" w:type="dxa"/>
          </w:tcPr>
          <w:p w14:paraId="5FC17CD5" w14:textId="77777777" w:rsidR="00674BF5" w:rsidRPr="00E07C9A" w:rsidRDefault="004F1DDB" w:rsidP="00487A02">
            <w:pPr>
              <w:pStyle w:val="InstructionsText"/>
            </w:pPr>
            <w:r w:rsidRPr="00E07C9A">
              <w:lastRenderedPageBreak/>
              <w:t>0905</w:t>
            </w:r>
          </w:p>
        </w:tc>
        <w:tc>
          <w:tcPr>
            <w:tcW w:w="7049" w:type="dxa"/>
          </w:tcPr>
          <w:p w14:paraId="1CDEF317" w14:textId="292A81E8" w:rsidR="00674BF5" w:rsidRPr="00E07C9A" w:rsidRDefault="00674BF5"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2Y Nástroje kapitálu AT1</w:t>
            </w:r>
            <w:r w:rsidR="009912F8" w:rsidRPr="00E07C9A">
              <w:rPr>
                <w:rStyle w:val="InstructionsTabelleberschrift"/>
                <w:rFonts w:ascii="Times New Roman" w:hAnsi="Times New Roman"/>
                <w:sz w:val="24"/>
              </w:rPr>
              <w:t xml:space="preserve"> a </w:t>
            </w:r>
            <w:r w:rsidRPr="00E07C9A">
              <w:rPr>
                <w:rStyle w:val="InstructionsTabelleberschrift"/>
                <w:rFonts w:ascii="Times New Roman" w:hAnsi="Times New Roman"/>
                <w:sz w:val="24"/>
              </w:rPr>
              <w:t>súvisiace účty emisného ážia klasifikované ako vlastné imanie podľa uplatniteľných účtovných štandardov</w:t>
            </w:r>
          </w:p>
          <w:p w14:paraId="30206890" w14:textId="77777777" w:rsidR="00674BF5" w:rsidRPr="00E07C9A" w:rsidRDefault="00674BF5" w:rsidP="00487A02">
            <w:pPr>
              <w:pStyle w:val="InstructionsText"/>
              <w:rPr>
                <w:rStyle w:val="InstructionsTabelleberschrift"/>
                <w:rFonts w:ascii="Times New Roman" w:hAnsi="Times New Roman"/>
                <w:sz w:val="24"/>
              </w:rPr>
            </w:pPr>
            <w:r w:rsidRPr="00E07C9A">
              <w:t>Hodnota nástrojov AT1 vrátane ich súvisiacich účtov emisného ážia, ktoré sú klasifikované ako vlastné imanie podľa uplatniteľného účtovného štandardu.</w:t>
            </w:r>
          </w:p>
        </w:tc>
      </w:tr>
      <w:tr w:rsidR="00674BF5" w:rsidRPr="00E07C9A" w14:paraId="2A4E3C88" w14:textId="77777777" w:rsidTr="00674BF5">
        <w:tc>
          <w:tcPr>
            <w:tcW w:w="1474" w:type="dxa"/>
          </w:tcPr>
          <w:p w14:paraId="5DE0AD58" w14:textId="77777777" w:rsidR="00674BF5" w:rsidRPr="00E07C9A" w:rsidRDefault="004F1DDB" w:rsidP="00487A02">
            <w:pPr>
              <w:pStyle w:val="InstructionsText"/>
            </w:pPr>
            <w:r w:rsidRPr="00E07C9A">
              <w:t>0906</w:t>
            </w:r>
          </w:p>
        </w:tc>
        <w:tc>
          <w:tcPr>
            <w:tcW w:w="7049" w:type="dxa"/>
          </w:tcPr>
          <w:p w14:paraId="0F66E835" w14:textId="7BF5EDE4" w:rsidR="00674BF5" w:rsidRPr="00E07C9A" w:rsidRDefault="00674BF5"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2Z Nástroje kapitálu AT1</w:t>
            </w:r>
            <w:r w:rsidR="009912F8" w:rsidRPr="00E07C9A">
              <w:rPr>
                <w:rStyle w:val="InstructionsTabelleberschrift"/>
                <w:rFonts w:ascii="Times New Roman" w:hAnsi="Times New Roman"/>
                <w:sz w:val="24"/>
              </w:rPr>
              <w:t xml:space="preserve"> a </w:t>
            </w:r>
            <w:r w:rsidRPr="00E07C9A">
              <w:rPr>
                <w:rStyle w:val="InstructionsTabelleberschrift"/>
                <w:rFonts w:ascii="Times New Roman" w:hAnsi="Times New Roman"/>
                <w:sz w:val="24"/>
              </w:rPr>
              <w:t>súvisiace účty emisného ážia klasifikované ako záväzky podľa uplatniteľných účtovných štandardov</w:t>
            </w:r>
          </w:p>
          <w:p w14:paraId="79E6E78E" w14:textId="77777777" w:rsidR="00674BF5" w:rsidRPr="00E07C9A" w:rsidRDefault="00674BF5" w:rsidP="00487A02">
            <w:pPr>
              <w:pStyle w:val="InstructionsText"/>
              <w:rPr>
                <w:rStyle w:val="InstructionsTabelleberschrift"/>
                <w:rFonts w:ascii="Times New Roman" w:hAnsi="Times New Roman"/>
                <w:sz w:val="24"/>
              </w:rPr>
            </w:pPr>
            <w:r w:rsidRPr="00E07C9A">
              <w:t>Hodnota nástrojov AT1 vrátane ich súvisiacich účtov emisného ážia, ktoré sú klasifikované ako záväzky podľa uplatniteľného účtovného štandardu.</w:t>
            </w:r>
          </w:p>
        </w:tc>
      </w:tr>
      <w:tr w:rsidR="00674BF5" w:rsidRPr="00E07C9A" w14:paraId="0EE82339" w14:textId="77777777" w:rsidTr="00674BF5">
        <w:tc>
          <w:tcPr>
            <w:tcW w:w="1474" w:type="dxa"/>
          </w:tcPr>
          <w:p w14:paraId="1674F052" w14:textId="77777777" w:rsidR="00674BF5" w:rsidRPr="00E07C9A" w:rsidRDefault="004F1DDB" w:rsidP="00487A02">
            <w:pPr>
              <w:pStyle w:val="InstructionsText"/>
            </w:pPr>
            <w:r w:rsidRPr="00E07C9A">
              <w:t>0100</w:t>
            </w:r>
          </w:p>
        </w:tc>
        <w:tc>
          <w:tcPr>
            <w:tcW w:w="7049" w:type="dxa"/>
          </w:tcPr>
          <w:p w14:paraId="1F343522" w14:textId="33AE0C8D" w:rsidR="00674BF5" w:rsidRPr="00E07C9A" w:rsidRDefault="00674BF5"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3.</w:t>
            </w:r>
            <w:r w:rsidRPr="00E07C9A">
              <w:tab/>
            </w:r>
            <w:r w:rsidRPr="00E07C9A">
              <w:rPr>
                <w:rStyle w:val="InstructionsTabelleberschrift"/>
                <w:rFonts w:ascii="Times New Roman" w:hAnsi="Times New Roman"/>
                <w:sz w:val="24"/>
              </w:rPr>
              <w:t>IRB nadbytok (+) alebo schodok (–) úprav kreditného rizika, dodatočných úprav ocenenia</w:t>
            </w:r>
            <w:r w:rsidR="009912F8" w:rsidRPr="00E07C9A">
              <w:rPr>
                <w:rStyle w:val="InstructionsTabelleberschrift"/>
                <w:rFonts w:ascii="Times New Roman" w:hAnsi="Times New Roman"/>
                <w:sz w:val="24"/>
              </w:rPr>
              <w:t xml:space="preserve"> a </w:t>
            </w:r>
            <w:r w:rsidRPr="00E07C9A">
              <w:rPr>
                <w:rStyle w:val="InstructionsTabelleberschrift"/>
                <w:rFonts w:ascii="Times New Roman" w:hAnsi="Times New Roman"/>
                <w:sz w:val="24"/>
              </w:rPr>
              <w:t>iných znížení vlastných zdrojov</w:t>
            </w:r>
            <w:r w:rsidR="009912F8" w:rsidRPr="00E07C9A">
              <w:rPr>
                <w:rStyle w:val="InstructionsTabelleberschrift"/>
                <w:rFonts w:ascii="Times New Roman" w:hAnsi="Times New Roman"/>
                <w:sz w:val="24"/>
              </w:rPr>
              <w:t xml:space="preserve"> o </w:t>
            </w:r>
            <w:r w:rsidRPr="00E07C9A">
              <w:rPr>
                <w:rStyle w:val="InstructionsTabelleberschrift"/>
                <w:rFonts w:ascii="Times New Roman" w:hAnsi="Times New Roman"/>
                <w:sz w:val="24"/>
              </w:rPr>
              <w:t>očakávané straty pre expozície, pri ktorých nedošlo</w:t>
            </w:r>
            <w:r w:rsidR="009912F8" w:rsidRPr="00E07C9A">
              <w:rPr>
                <w:rStyle w:val="InstructionsTabelleberschrift"/>
                <w:rFonts w:ascii="Times New Roman" w:hAnsi="Times New Roman"/>
                <w:sz w:val="24"/>
              </w:rPr>
              <w:t xml:space="preserve"> k </w:t>
            </w:r>
            <w:r w:rsidRPr="00E07C9A">
              <w:rPr>
                <w:rStyle w:val="InstructionsTabelleberschrift"/>
                <w:rFonts w:ascii="Times New Roman" w:hAnsi="Times New Roman"/>
                <w:sz w:val="24"/>
              </w:rPr>
              <w:t>zlyhaniu</w:t>
            </w:r>
          </w:p>
          <w:p w14:paraId="30E72DCC" w14:textId="0ED28333" w:rsidR="00674BF5" w:rsidRPr="00E07C9A" w:rsidRDefault="00674BF5" w:rsidP="00487A02">
            <w:pPr>
              <w:pStyle w:val="InstructionsText"/>
            </w:pPr>
            <w:r w:rsidRPr="00E07C9A">
              <w:t>Článok 36 ods. 1 písm. d), článok 62 písm. d), články 158</w:t>
            </w:r>
            <w:r w:rsidR="009912F8" w:rsidRPr="00E07C9A">
              <w:t xml:space="preserve"> a </w:t>
            </w:r>
            <w:r w:rsidRPr="00E07C9A">
              <w:t xml:space="preserve">159 nariadenia (EÚ) </w:t>
            </w:r>
            <w:r w:rsidR="009912F8" w:rsidRPr="00E07C9A">
              <w:t>č. 575/2013</w:t>
            </w:r>
          </w:p>
          <w:p w14:paraId="2FD4B9C9" w14:textId="77777777" w:rsidR="00674BF5" w:rsidRPr="00E07C9A" w:rsidRDefault="00674BF5" w:rsidP="00487A02">
            <w:pPr>
              <w:pStyle w:val="InstructionsText"/>
            </w:pPr>
            <w:r w:rsidRPr="00E07C9A">
              <w:t>Túto položku vykazujú len inštitúcie používajúce IRB.</w:t>
            </w:r>
          </w:p>
        </w:tc>
      </w:tr>
      <w:tr w:rsidR="00674BF5" w:rsidRPr="00E07C9A" w14:paraId="791146D9" w14:textId="77777777" w:rsidTr="00674BF5">
        <w:tc>
          <w:tcPr>
            <w:tcW w:w="1474" w:type="dxa"/>
          </w:tcPr>
          <w:p w14:paraId="7A9BF4F4" w14:textId="77777777" w:rsidR="00674BF5" w:rsidRPr="00E07C9A" w:rsidRDefault="004F1DDB" w:rsidP="00487A02">
            <w:pPr>
              <w:pStyle w:val="InstructionsText"/>
            </w:pPr>
            <w:r w:rsidRPr="00E07C9A">
              <w:t>0110</w:t>
            </w:r>
          </w:p>
        </w:tc>
        <w:tc>
          <w:tcPr>
            <w:tcW w:w="7049" w:type="dxa"/>
          </w:tcPr>
          <w:p w14:paraId="4C113E22" w14:textId="4CCB1EB6" w:rsidR="00674BF5" w:rsidRPr="00E07C9A" w:rsidRDefault="00674BF5" w:rsidP="00487A02">
            <w:pPr>
              <w:pStyle w:val="InstructionsText"/>
            </w:pPr>
            <w:r w:rsidRPr="00E07C9A">
              <w:rPr>
                <w:rStyle w:val="InstructionsTabelleberschrift"/>
                <w:rFonts w:ascii="Times New Roman" w:hAnsi="Times New Roman"/>
                <w:sz w:val="24"/>
              </w:rPr>
              <w:t>3.1.</w:t>
            </w:r>
            <w:r w:rsidRPr="00E07C9A">
              <w:tab/>
            </w:r>
            <w:r w:rsidRPr="00E07C9A">
              <w:rPr>
                <w:rStyle w:val="InstructionsTabelleberschrift"/>
                <w:rFonts w:ascii="Times New Roman" w:hAnsi="Times New Roman"/>
                <w:sz w:val="24"/>
              </w:rPr>
              <w:t>Celkové úpravy kreditného rizika, dodatočné úpravy ocenenia</w:t>
            </w:r>
            <w:r w:rsidR="009912F8" w:rsidRPr="00E07C9A">
              <w:rPr>
                <w:rStyle w:val="InstructionsTabelleberschrift"/>
                <w:rFonts w:ascii="Times New Roman" w:hAnsi="Times New Roman"/>
                <w:sz w:val="24"/>
              </w:rPr>
              <w:t xml:space="preserve"> a </w:t>
            </w:r>
            <w:r w:rsidRPr="00E07C9A">
              <w:rPr>
                <w:rStyle w:val="InstructionsTabelleberschrift"/>
                <w:rFonts w:ascii="Times New Roman" w:hAnsi="Times New Roman"/>
                <w:sz w:val="24"/>
              </w:rPr>
              <w:t>iné zníženia vlastných zdrojov prípustné na začlenenie do výpočtu výšky očakávanej straty</w:t>
            </w:r>
          </w:p>
          <w:p w14:paraId="4C89842E" w14:textId="45242122" w:rsidR="00674BF5" w:rsidRPr="00E07C9A" w:rsidRDefault="00674BF5" w:rsidP="00487A02">
            <w:pPr>
              <w:pStyle w:val="InstructionsText"/>
            </w:pPr>
            <w:r w:rsidRPr="00E07C9A">
              <w:t xml:space="preserve">Článok 159 nariadenia (EÚ) </w:t>
            </w:r>
            <w:r w:rsidR="009912F8" w:rsidRPr="00E07C9A">
              <w:t>č. 575/2013</w:t>
            </w:r>
          </w:p>
          <w:p w14:paraId="52A0ACC8" w14:textId="77777777" w:rsidR="00674BF5" w:rsidRPr="00E07C9A" w:rsidRDefault="00674BF5" w:rsidP="00487A02">
            <w:pPr>
              <w:pStyle w:val="InstructionsText"/>
            </w:pPr>
            <w:r w:rsidRPr="00E07C9A">
              <w:t>Túto položku vykazujú len inštitúcie používajúce IRB.</w:t>
            </w:r>
          </w:p>
        </w:tc>
      </w:tr>
      <w:tr w:rsidR="00674BF5" w:rsidRPr="00E07C9A" w14:paraId="689A3C1F" w14:textId="77777777" w:rsidTr="00674BF5">
        <w:tc>
          <w:tcPr>
            <w:tcW w:w="1474" w:type="dxa"/>
          </w:tcPr>
          <w:p w14:paraId="26D7FD00" w14:textId="77777777" w:rsidR="00674BF5" w:rsidRPr="00E07C9A" w:rsidRDefault="004F1DDB" w:rsidP="00487A02">
            <w:pPr>
              <w:pStyle w:val="InstructionsText"/>
            </w:pPr>
            <w:r w:rsidRPr="00E07C9A">
              <w:t>0120</w:t>
            </w:r>
          </w:p>
        </w:tc>
        <w:tc>
          <w:tcPr>
            <w:tcW w:w="7049" w:type="dxa"/>
          </w:tcPr>
          <w:p w14:paraId="4711C0BE" w14:textId="77777777" w:rsidR="00674BF5" w:rsidRPr="00E07C9A" w:rsidRDefault="00674BF5" w:rsidP="00487A02">
            <w:pPr>
              <w:pStyle w:val="InstructionsText"/>
            </w:pPr>
            <w:r w:rsidRPr="00E07C9A">
              <w:rPr>
                <w:rStyle w:val="InstructionsTabelleberschrift"/>
                <w:rFonts w:ascii="Times New Roman" w:hAnsi="Times New Roman"/>
                <w:sz w:val="24"/>
              </w:rPr>
              <w:t>3.1.1.</w:t>
            </w:r>
            <w:r w:rsidRPr="00E07C9A">
              <w:tab/>
            </w:r>
            <w:r w:rsidRPr="00E07C9A">
              <w:rPr>
                <w:rStyle w:val="InstructionsTabelleberschrift"/>
                <w:rFonts w:ascii="Times New Roman" w:hAnsi="Times New Roman"/>
                <w:sz w:val="24"/>
              </w:rPr>
              <w:t>Všeobecné úpravy kreditného rizika</w:t>
            </w:r>
          </w:p>
          <w:p w14:paraId="0F1C0767" w14:textId="304E3051" w:rsidR="00674BF5" w:rsidRPr="00E07C9A" w:rsidRDefault="00674BF5" w:rsidP="00487A02">
            <w:pPr>
              <w:pStyle w:val="InstructionsText"/>
            </w:pPr>
            <w:r w:rsidRPr="00E07C9A">
              <w:t xml:space="preserve">Článok 159 nariadenia (EÚ) </w:t>
            </w:r>
            <w:r w:rsidR="009912F8" w:rsidRPr="00E07C9A">
              <w:t>č. 575/2013</w:t>
            </w:r>
          </w:p>
          <w:p w14:paraId="4154ADBE" w14:textId="77777777" w:rsidR="00674BF5" w:rsidRPr="00E07C9A" w:rsidRDefault="00674BF5" w:rsidP="00487A02">
            <w:pPr>
              <w:pStyle w:val="InstructionsText"/>
            </w:pPr>
            <w:r w:rsidRPr="00E07C9A">
              <w:t>Túto položku vykazujú len inštitúcie používajúce IRB.</w:t>
            </w:r>
          </w:p>
        </w:tc>
      </w:tr>
      <w:tr w:rsidR="00674BF5" w:rsidRPr="00E07C9A" w14:paraId="3A455B60" w14:textId="77777777" w:rsidTr="00674BF5">
        <w:tc>
          <w:tcPr>
            <w:tcW w:w="1474" w:type="dxa"/>
          </w:tcPr>
          <w:p w14:paraId="000152E6" w14:textId="77777777" w:rsidR="00674BF5" w:rsidRPr="00E07C9A" w:rsidRDefault="004F1DDB" w:rsidP="00487A02">
            <w:pPr>
              <w:pStyle w:val="InstructionsText"/>
            </w:pPr>
            <w:r w:rsidRPr="00E07C9A">
              <w:t>0130</w:t>
            </w:r>
          </w:p>
        </w:tc>
        <w:tc>
          <w:tcPr>
            <w:tcW w:w="7049" w:type="dxa"/>
          </w:tcPr>
          <w:p w14:paraId="4DD5E8AB" w14:textId="77777777" w:rsidR="00674BF5" w:rsidRPr="00E07C9A" w:rsidRDefault="00674BF5" w:rsidP="00487A02">
            <w:pPr>
              <w:pStyle w:val="InstructionsText"/>
            </w:pPr>
            <w:r w:rsidRPr="00E07C9A">
              <w:rPr>
                <w:rStyle w:val="InstructionsTabelleberschrift"/>
                <w:rFonts w:ascii="Times New Roman" w:hAnsi="Times New Roman"/>
                <w:sz w:val="24"/>
              </w:rPr>
              <w:t>3.1.2.</w:t>
            </w:r>
            <w:r w:rsidRPr="00E07C9A">
              <w:tab/>
            </w:r>
            <w:r w:rsidRPr="00E07C9A">
              <w:rPr>
                <w:rStyle w:val="InstructionsTabelleberschrift"/>
                <w:rFonts w:ascii="Times New Roman" w:hAnsi="Times New Roman"/>
                <w:sz w:val="24"/>
              </w:rPr>
              <w:t>Špecifické úpravy kreditného rizika</w:t>
            </w:r>
          </w:p>
          <w:p w14:paraId="224BBAEC" w14:textId="1EEBA29F" w:rsidR="00674BF5" w:rsidRPr="00E07C9A" w:rsidRDefault="00674BF5" w:rsidP="00487A02">
            <w:pPr>
              <w:pStyle w:val="InstructionsText"/>
            </w:pPr>
            <w:r w:rsidRPr="00E07C9A">
              <w:t xml:space="preserve">Článok 159 nariadenia (EÚ) </w:t>
            </w:r>
            <w:r w:rsidR="009912F8" w:rsidRPr="00E07C9A">
              <w:t>č. 575/2013</w:t>
            </w:r>
          </w:p>
          <w:p w14:paraId="4E4EA60F" w14:textId="77777777" w:rsidR="00674BF5" w:rsidRPr="00E07C9A" w:rsidRDefault="00674BF5" w:rsidP="00487A02">
            <w:pPr>
              <w:pStyle w:val="InstructionsText"/>
            </w:pPr>
            <w:r w:rsidRPr="00E07C9A">
              <w:t>Túto položku vykazujú len inštitúcie používajúce IRB.</w:t>
            </w:r>
          </w:p>
        </w:tc>
      </w:tr>
      <w:tr w:rsidR="00674BF5" w:rsidRPr="00E07C9A" w14:paraId="4E3F5E63" w14:textId="77777777" w:rsidTr="00674BF5">
        <w:tc>
          <w:tcPr>
            <w:tcW w:w="1474" w:type="dxa"/>
          </w:tcPr>
          <w:p w14:paraId="11CF481F" w14:textId="77777777" w:rsidR="00674BF5" w:rsidRPr="00E07C9A" w:rsidRDefault="004F1DDB" w:rsidP="00487A02">
            <w:pPr>
              <w:pStyle w:val="InstructionsText"/>
            </w:pPr>
            <w:r w:rsidRPr="00E07C9A">
              <w:t>0131</w:t>
            </w:r>
          </w:p>
        </w:tc>
        <w:tc>
          <w:tcPr>
            <w:tcW w:w="7049" w:type="dxa"/>
          </w:tcPr>
          <w:p w14:paraId="580E835C" w14:textId="0E6A0BEA" w:rsidR="00674BF5" w:rsidRPr="00E07C9A" w:rsidRDefault="00674BF5"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3.1.3.</w:t>
            </w:r>
            <w:r w:rsidRPr="00E07C9A">
              <w:tab/>
            </w:r>
            <w:r w:rsidRPr="00E07C9A">
              <w:rPr>
                <w:rStyle w:val="InstructionsTabelleberschrift"/>
                <w:rFonts w:ascii="Times New Roman" w:hAnsi="Times New Roman"/>
                <w:sz w:val="24"/>
              </w:rPr>
              <w:t>Dodatočné úpravy ocenenia</w:t>
            </w:r>
            <w:r w:rsidR="009912F8" w:rsidRPr="00E07C9A">
              <w:rPr>
                <w:rStyle w:val="InstructionsTabelleberschrift"/>
                <w:rFonts w:ascii="Times New Roman" w:hAnsi="Times New Roman"/>
                <w:sz w:val="24"/>
              </w:rPr>
              <w:t xml:space="preserve"> a </w:t>
            </w:r>
            <w:r w:rsidRPr="00E07C9A">
              <w:rPr>
                <w:rStyle w:val="InstructionsTabelleberschrift"/>
                <w:rFonts w:ascii="Times New Roman" w:hAnsi="Times New Roman"/>
                <w:sz w:val="24"/>
              </w:rPr>
              <w:t>iné zníženia vlastných zdrojov</w:t>
            </w:r>
          </w:p>
          <w:p w14:paraId="3FD23FCE" w14:textId="7F06F292" w:rsidR="00674BF5" w:rsidRPr="00E07C9A" w:rsidRDefault="00674BF5" w:rsidP="00487A02">
            <w:pPr>
              <w:pStyle w:val="InstructionsText"/>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Články 34, 110</w:t>
            </w:r>
            <w:r w:rsidR="009912F8" w:rsidRPr="00E07C9A">
              <w:rPr>
                <w:rStyle w:val="InstructionsTabelleberschrift"/>
                <w:rFonts w:ascii="Times New Roman" w:hAnsi="Times New Roman"/>
                <w:b w:val="0"/>
                <w:sz w:val="24"/>
                <w:u w:val="none"/>
              </w:rPr>
              <w:t xml:space="preserve"> a </w:t>
            </w:r>
            <w:r w:rsidRPr="00E07C9A">
              <w:rPr>
                <w:rStyle w:val="InstructionsTabelleberschrift"/>
                <w:rFonts w:ascii="Times New Roman" w:hAnsi="Times New Roman"/>
                <w:b w:val="0"/>
                <w:sz w:val="24"/>
                <w:u w:val="none"/>
              </w:rPr>
              <w:t xml:space="preserve">159 </w:t>
            </w:r>
            <w:r w:rsidRPr="00E07C9A">
              <w:t xml:space="preserve">nariadenia (EÚ) </w:t>
            </w:r>
            <w:r w:rsidR="009912F8" w:rsidRPr="00E07C9A">
              <w:t>č. 575/2013</w:t>
            </w:r>
          </w:p>
          <w:p w14:paraId="7FE6A470" w14:textId="77777777" w:rsidR="00674BF5" w:rsidRPr="00E07C9A" w:rsidRDefault="00674BF5" w:rsidP="00487A02">
            <w:pPr>
              <w:pStyle w:val="InstructionsText"/>
              <w:rPr>
                <w:rStyle w:val="InstructionsTabelleberschrift"/>
                <w:rFonts w:ascii="Times New Roman" w:hAnsi="Times New Roman"/>
                <w:b w:val="0"/>
                <w:bCs w:val="0"/>
                <w:sz w:val="24"/>
                <w:u w:val="none"/>
              </w:rPr>
            </w:pPr>
            <w:r w:rsidRPr="00E07C9A">
              <w:t>Túto položku vykazujú len inštitúcie používajúce IRB.</w:t>
            </w:r>
          </w:p>
        </w:tc>
      </w:tr>
      <w:tr w:rsidR="00674BF5" w:rsidRPr="00E07C9A" w14:paraId="6862293B" w14:textId="77777777" w:rsidTr="00674BF5">
        <w:tc>
          <w:tcPr>
            <w:tcW w:w="1474" w:type="dxa"/>
          </w:tcPr>
          <w:p w14:paraId="7014E5FC" w14:textId="77777777" w:rsidR="00674BF5" w:rsidRPr="00E07C9A" w:rsidRDefault="004F1DDB" w:rsidP="00487A02">
            <w:pPr>
              <w:pStyle w:val="InstructionsText"/>
            </w:pPr>
            <w:r w:rsidRPr="00E07C9A">
              <w:t>0140</w:t>
            </w:r>
          </w:p>
        </w:tc>
        <w:tc>
          <w:tcPr>
            <w:tcW w:w="7049" w:type="dxa"/>
          </w:tcPr>
          <w:p w14:paraId="6F86BBE2" w14:textId="77777777" w:rsidR="009912F8" w:rsidRPr="00E07C9A" w:rsidRDefault="00674BF5"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3.2.</w:t>
            </w:r>
            <w:r w:rsidRPr="00E07C9A">
              <w:tab/>
            </w:r>
            <w:r w:rsidRPr="00E07C9A">
              <w:rPr>
                <w:rStyle w:val="InstructionsTabelleberschrift"/>
                <w:rFonts w:ascii="Times New Roman" w:hAnsi="Times New Roman"/>
                <w:sz w:val="24"/>
              </w:rPr>
              <w:t>Celkové prípustné očakávané straty</w:t>
            </w:r>
          </w:p>
          <w:p w14:paraId="4E24DA26" w14:textId="0DF86A46" w:rsidR="00674BF5" w:rsidRPr="00E07C9A" w:rsidRDefault="00674BF5" w:rsidP="00487A02">
            <w:pPr>
              <w:pStyle w:val="InstructionsText"/>
            </w:pPr>
            <w:r w:rsidRPr="00E07C9A">
              <w:t>Článok 158 ods. 5, 6</w:t>
            </w:r>
            <w:r w:rsidR="009912F8" w:rsidRPr="00E07C9A">
              <w:t xml:space="preserve"> a </w:t>
            </w:r>
            <w:r w:rsidRPr="00E07C9A">
              <w:t>10</w:t>
            </w:r>
            <w:r w:rsidR="009912F8" w:rsidRPr="00E07C9A">
              <w:t xml:space="preserve"> a </w:t>
            </w:r>
            <w:r w:rsidRPr="00E07C9A">
              <w:t xml:space="preserve">článok 159 nariadenia (EÚ) </w:t>
            </w:r>
            <w:r w:rsidR="009912F8" w:rsidRPr="00E07C9A">
              <w:t>č. 575/2013</w:t>
            </w:r>
          </w:p>
          <w:p w14:paraId="76D1C43C" w14:textId="7F4BE2F3" w:rsidR="00674BF5" w:rsidRPr="00E07C9A" w:rsidRDefault="00674BF5" w:rsidP="00487A02">
            <w:pPr>
              <w:pStyle w:val="InstructionsText"/>
            </w:pPr>
            <w:r w:rsidRPr="00E07C9A">
              <w:lastRenderedPageBreak/>
              <w:t>Túto položku vykazujú len inštitúcie používajúce IRB. Vykazuje sa len očakávaná strata súvisiaca</w:t>
            </w:r>
            <w:r w:rsidR="009912F8" w:rsidRPr="00E07C9A">
              <w:t xml:space="preserve"> s </w:t>
            </w:r>
            <w:r w:rsidRPr="00E07C9A">
              <w:t>expozíciami, pri ktorých nedošlo</w:t>
            </w:r>
            <w:r w:rsidR="009912F8" w:rsidRPr="00E07C9A">
              <w:t xml:space="preserve"> k </w:t>
            </w:r>
            <w:r w:rsidRPr="00E07C9A">
              <w:t>zlyhaniu.</w:t>
            </w:r>
          </w:p>
        </w:tc>
      </w:tr>
      <w:tr w:rsidR="00674BF5" w:rsidRPr="00E07C9A" w14:paraId="0F8159B1" w14:textId="77777777" w:rsidTr="00674BF5">
        <w:tc>
          <w:tcPr>
            <w:tcW w:w="1474" w:type="dxa"/>
          </w:tcPr>
          <w:p w14:paraId="18D4AAF5" w14:textId="77777777" w:rsidR="00674BF5" w:rsidRPr="00E07C9A" w:rsidRDefault="004F1DDB" w:rsidP="00487A02">
            <w:pPr>
              <w:pStyle w:val="InstructionsText"/>
            </w:pPr>
            <w:r w:rsidRPr="00E07C9A">
              <w:lastRenderedPageBreak/>
              <w:t>0145</w:t>
            </w:r>
          </w:p>
        </w:tc>
        <w:tc>
          <w:tcPr>
            <w:tcW w:w="7049" w:type="dxa"/>
          </w:tcPr>
          <w:p w14:paraId="31AF2969" w14:textId="4787DDA0" w:rsidR="00674BF5" w:rsidRPr="00E07C9A" w:rsidRDefault="00674BF5"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4. IRB nadbytok (+) alebo schodok (–) špecifických úprav kreditného rizika</w:t>
            </w:r>
            <w:r w:rsidR="009912F8" w:rsidRPr="00E07C9A">
              <w:rPr>
                <w:rStyle w:val="InstructionsTabelleberschrift"/>
                <w:rFonts w:ascii="Times New Roman" w:hAnsi="Times New Roman"/>
                <w:sz w:val="24"/>
              </w:rPr>
              <w:t xml:space="preserve"> o </w:t>
            </w:r>
            <w:r w:rsidRPr="00E07C9A">
              <w:rPr>
                <w:rStyle w:val="InstructionsTabelleberschrift"/>
                <w:rFonts w:ascii="Times New Roman" w:hAnsi="Times New Roman"/>
                <w:sz w:val="24"/>
              </w:rPr>
              <w:t>očakávané straty pre expozície</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stave zlyhania</w:t>
            </w:r>
          </w:p>
          <w:p w14:paraId="27D461A9" w14:textId="5BA9B62E" w:rsidR="00674BF5" w:rsidRPr="00E07C9A" w:rsidRDefault="00674BF5" w:rsidP="00487A02">
            <w:pPr>
              <w:pStyle w:val="InstructionsText"/>
            </w:pPr>
            <w:r w:rsidRPr="00E07C9A">
              <w:t>Článok 36 ods. 1 písm. d), článok 62 písm. d), články 158</w:t>
            </w:r>
            <w:r w:rsidR="009912F8" w:rsidRPr="00E07C9A">
              <w:t xml:space="preserve"> a </w:t>
            </w:r>
            <w:r w:rsidRPr="00E07C9A">
              <w:t xml:space="preserve">159 nariadenia (EÚ) </w:t>
            </w:r>
            <w:r w:rsidR="009912F8" w:rsidRPr="00E07C9A">
              <w:t>č. 575/2013</w:t>
            </w:r>
          </w:p>
          <w:p w14:paraId="19B352EF" w14:textId="77777777" w:rsidR="00674BF5" w:rsidRPr="00E07C9A" w:rsidRDefault="00674BF5" w:rsidP="00487A02">
            <w:pPr>
              <w:pStyle w:val="InstructionsText"/>
              <w:rPr>
                <w:rStyle w:val="InstructionsTabelleberschrift"/>
                <w:rFonts w:ascii="Times New Roman" w:hAnsi="Times New Roman"/>
                <w:b w:val="0"/>
                <w:bCs w:val="0"/>
                <w:sz w:val="24"/>
                <w:u w:val="none"/>
              </w:rPr>
            </w:pPr>
            <w:r w:rsidRPr="00E07C9A">
              <w:t>Túto položku vykazujú len inštitúcie používajúce IRB.</w:t>
            </w:r>
          </w:p>
        </w:tc>
      </w:tr>
      <w:tr w:rsidR="00674BF5" w:rsidRPr="00E07C9A" w14:paraId="5DE621F5" w14:textId="77777777" w:rsidTr="00674BF5">
        <w:tc>
          <w:tcPr>
            <w:tcW w:w="1474" w:type="dxa"/>
          </w:tcPr>
          <w:p w14:paraId="705A9DFC" w14:textId="77777777" w:rsidR="00674BF5" w:rsidRPr="00E07C9A" w:rsidRDefault="004F1DDB" w:rsidP="00487A02">
            <w:pPr>
              <w:pStyle w:val="InstructionsText"/>
            </w:pPr>
            <w:r w:rsidRPr="00E07C9A">
              <w:t>0150</w:t>
            </w:r>
          </w:p>
        </w:tc>
        <w:tc>
          <w:tcPr>
            <w:tcW w:w="7049" w:type="dxa"/>
          </w:tcPr>
          <w:p w14:paraId="5F6BBFB6" w14:textId="712F3F1E" w:rsidR="00674BF5" w:rsidRPr="00E07C9A" w:rsidRDefault="00674BF5"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4.1.</w:t>
            </w:r>
            <w:r w:rsidRPr="00E07C9A">
              <w:tab/>
            </w:r>
            <w:r w:rsidRPr="00E07C9A">
              <w:rPr>
                <w:rStyle w:val="InstructionsTabelleberschrift"/>
                <w:rFonts w:ascii="Times New Roman" w:hAnsi="Times New Roman"/>
                <w:sz w:val="24"/>
              </w:rPr>
              <w:t>Špecifické úpravy kreditného rizika</w:t>
            </w:r>
            <w:r w:rsidR="009912F8" w:rsidRPr="00E07C9A">
              <w:rPr>
                <w:rStyle w:val="InstructionsTabelleberschrift"/>
                <w:rFonts w:ascii="Times New Roman" w:hAnsi="Times New Roman"/>
                <w:sz w:val="24"/>
              </w:rPr>
              <w:t xml:space="preserve"> a </w:t>
            </w:r>
            <w:r w:rsidRPr="00E07C9A">
              <w:rPr>
                <w:rStyle w:val="InstructionsTabelleberschrift"/>
                <w:rFonts w:ascii="Times New Roman" w:hAnsi="Times New Roman"/>
                <w:sz w:val="24"/>
              </w:rPr>
              <w:t>pozície,</w:t>
            </w:r>
            <w:r w:rsidR="009912F8" w:rsidRPr="00E07C9A">
              <w:rPr>
                <w:rStyle w:val="InstructionsTabelleberschrift"/>
                <w:rFonts w:ascii="Times New Roman" w:hAnsi="Times New Roman"/>
                <w:sz w:val="24"/>
              </w:rPr>
              <w:t xml:space="preserve"> s </w:t>
            </w:r>
            <w:r w:rsidRPr="00E07C9A">
              <w:rPr>
                <w:rStyle w:val="InstructionsTabelleberschrift"/>
                <w:rFonts w:ascii="Times New Roman" w:hAnsi="Times New Roman"/>
                <w:sz w:val="24"/>
              </w:rPr>
              <w:t>ktorými sa zaobchádza podobne</w:t>
            </w:r>
          </w:p>
          <w:p w14:paraId="43A68A00" w14:textId="6ECC2B9F" w:rsidR="00674BF5" w:rsidRPr="00E07C9A" w:rsidRDefault="00674BF5" w:rsidP="00487A02">
            <w:pPr>
              <w:pStyle w:val="InstructionsText"/>
            </w:pPr>
            <w:r w:rsidRPr="00E07C9A">
              <w:t xml:space="preserve">Článok 159 nariadenia (EÚ) </w:t>
            </w:r>
            <w:r w:rsidR="009912F8" w:rsidRPr="00E07C9A">
              <w:t>č. 575/2013</w:t>
            </w:r>
          </w:p>
          <w:p w14:paraId="6708F684" w14:textId="77777777" w:rsidR="00674BF5" w:rsidRPr="00E07C9A" w:rsidRDefault="00674BF5" w:rsidP="00487A02">
            <w:pPr>
              <w:pStyle w:val="InstructionsText"/>
              <w:rPr>
                <w:rStyle w:val="InstructionsTabelleberschrift"/>
                <w:rFonts w:ascii="Times New Roman" w:hAnsi="Times New Roman"/>
                <w:b w:val="0"/>
                <w:bCs w:val="0"/>
                <w:sz w:val="24"/>
                <w:u w:val="none"/>
              </w:rPr>
            </w:pPr>
            <w:r w:rsidRPr="00E07C9A">
              <w:t>Túto položku vykazujú len inštitúcie používajúce IRB.</w:t>
            </w:r>
          </w:p>
        </w:tc>
      </w:tr>
      <w:tr w:rsidR="00674BF5" w:rsidRPr="00E07C9A" w14:paraId="10440547" w14:textId="77777777" w:rsidTr="00674BF5">
        <w:tc>
          <w:tcPr>
            <w:tcW w:w="1474" w:type="dxa"/>
          </w:tcPr>
          <w:p w14:paraId="60B1A572" w14:textId="77777777" w:rsidR="00674BF5" w:rsidRPr="00E07C9A" w:rsidRDefault="004F1DDB" w:rsidP="00487A02">
            <w:pPr>
              <w:pStyle w:val="InstructionsText"/>
            </w:pPr>
            <w:r w:rsidRPr="00E07C9A">
              <w:t>0155</w:t>
            </w:r>
          </w:p>
        </w:tc>
        <w:tc>
          <w:tcPr>
            <w:tcW w:w="7049" w:type="dxa"/>
          </w:tcPr>
          <w:p w14:paraId="1A24E068" w14:textId="77777777" w:rsidR="00674BF5" w:rsidRPr="00E07C9A" w:rsidRDefault="00674BF5"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4.2.</w:t>
            </w:r>
            <w:r w:rsidRPr="00E07C9A">
              <w:tab/>
            </w:r>
            <w:r w:rsidRPr="00E07C9A">
              <w:rPr>
                <w:rStyle w:val="InstructionsTabelleberschrift"/>
                <w:rFonts w:ascii="Times New Roman" w:hAnsi="Times New Roman"/>
                <w:sz w:val="24"/>
              </w:rPr>
              <w:t>Celkové prípustné očakávané straty</w:t>
            </w:r>
          </w:p>
          <w:p w14:paraId="13C1AF08" w14:textId="3DD760B7" w:rsidR="00674BF5" w:rsidRPr="00E07C9A" w:rsidRDefault="00674BF5" w:rsidP="00487A02">
            <w:pPr>
              <w:pStyle w:val="InstructionsText"/>
              <w:rPr>
                <w:rStyle w:val="InstructionsTabelleberschrift"/>
                <w:rFonts w:ascii="Times New Roman" w:hAnsi="Times New Roman"/>
                <w:sz w:val="24"/>
              </w:rPr>
            </w:pPr>
            <w:r w:rsidRPr="00E07C9A">
              <w:t>Článok 158 ods. 5, 6</w:t>
            </w:r>
            <w:r w:rsidR="009912F8" w:rsidRPr="00E07C9A">
              <w:t xml:space="preserve"> a </w:t>
            </w:r>
            <w:r w:rsidRPr="00E07C9A">
              <w:t>10</w:t>
            </w:r>
            <w:r w:rsidR="009912F8" w:rsidRPr="00E07C9A">
              <w:t xml:space="preserve"> a </w:t>
            </w:r>
            <w:r w:rsidRPr="00E07C9A">
              <w:t xml:space="preserve">článok 159 nariadenia (EÚ) </w:t>
            </w:r>
            <w:r w:rsidR="009912F8" w:rsidRPr="00E07C9A">
              <w:t>č. 575/2013</w:t>
            </w:r>
          </w:p>
          <w:p w14:paraId="086470B2" w14:textId="48B46D2C" w:rsidR="00674BF5" w:rsidRPr="00E07C9A" w:rsidRDefault="00674BF5" w:rsidP="00487A02">
            <w:pPr>
              <w:pStyle w:val="InstructionsText"/>
              <w:rPr>
                <w:rStyle w:val="InstructionsTabelleberschrift"/>
                <w:rFonts w:ascii="Times New Roman" w:hAnsi="Times New Roman"/>
                <w:b w:val="0"/>
                <w:bCs w:val="0"/>
                <w:sz w:val="24"/>
                <w:u w:val="none"/>
              </w:rPr>
            </w:pPr>
            <w:r w:rsidRPr="00E07C9A">
              <w:t>Túto položku vykazujú len inštitúcie používajúce IRB. Vykazuje sa len očakávaná strata súvisiaca</w:t>
            </w:r>
            <w:r w:rsidR="009912F8" w:rsidRPr="00E07C9A">
              <w:t xml:space="preserve"> s </w:t>
            </w:r>
            <w:r w:rsidRPr="00E07C9A">
              <w:t>expozíciami</w:t>
            </w:r>
            <w:r w:rsidR="009912F8" w:rsidRPr="00E07C9A">
              <w:t xml:space="preserve"> v </w:t>
            </w:r>
            <w:r w:rsidRPr="00E07C9A">
              <w:t>stave zlyhania.</w:t>
            </w:r>
          </w:p>
        </w:tc>
      </w:tr>
      <w:tr w:rsidR="00674BF5" w:rsidRPr="00E07C9A" w14:paraId="6B8EC52E" w14:textId="77777777" w:rsidTr="00674BF5">
        <w:tc>
          <w:tcPr>
            <w:tcW w:w="1474" w:type="dxa"/>
          </w:tcPr>
          <w:p w14:paraId="1C8B3981" w14:textId="77777777" w:rsidR="00674BF5" w:rsidRPr="00E07C9A" w:rsidRDefault="004F1DDB" w:rsidP="00487A02">
            <w:pPr>
              <w:pStyle w:val="InstructionsText"/>
            </w:pPr>
            <w:r w:rsidRPr="00E07C9A">
              <w:t>0160</w:t>
            </w:r>
          </w:p>
        </w:tc>
        <w:tc>
          <w:tcPr>
            <w:tcW w:w="7049" w:type="dxa"/>
          </w:tcPr>
          <w:p w14:paraId="2429D2FF" w14:textId="77777777" w:rsidR="00674BF5" w:rsidRPr="00E07C9A" w:rsidRDefault="00674BF5" w:rsidP="00487A02">
            <w:pPr>
              <w:pStyle w:val="InstructionsText"/>
            </w:pPr>
            <w:r w:rsidRPr="00E07C9A">
              <w:rPr>
                <w:rStyle w:val="InstructionsTabelleberschrift"/>
                <w:rFonts w:ascii="Times New Roman" w:hAnsi="Times New Roman"/>
                <w:sz w:val="24"/>
              </w:rPr>
              <w:t>5.</w:t>
            </w:r>
            <w:r w:rsidRPr="00E07C9A">
              <w:tab/>
            </w:r>
            <w:r w:rsidRPr="00E07C9A">
              <w:rPr>
                <w:rStyle w:val="InstructionsTabelleberschrift"/>
                <w:rFonts w:ascii="Times New Roman" w:hAnsi="Times New Roman"/>
                <w:sz w:val="24"/>
              </w:rPr>
              <w:t>Hodnoty rizikovo vážených expozícií pre výpočet hornej hranice na prekročenie rezervy prípustnej ako T2</w:t>
            </w:r>
          </w:p>
          <w:p w14:paraId="73903EE6" w14:textId="24ED7462" w:rsidR="00674BF5" w:rsidRPr="00E07C9A" w:rsidRDefault="00674BF5" w:rsidP="00487A02">
            <w:pPr>
              <w:pStyle w:val="InstructionsText"/>
            </w:pPr>
            <w:r w:rsidRPr="00E07C9A">
              <w:t xml:space="preserve">Článok 62 písm. d) nariadenia (EÚ) </w:t>
            </w:r>
            <w:r w:rsidR="009912F8" w:rsidRPr="00E07C9A">
              <w:t>č. 575/2013</w:t>
            </w:r>
          </w:p>
          <w:p w14:paraId="7FC9FB95" w14:textId="60891C40" w:rsidR="00674BF5" w:rsidRPr="00E07C9A" w:rsidRDefault="00674BF5" w:rsidP="00487A02">
            <w:pPr>
              <w:pStyle w:val="InstructionsText"/>
            </w:pPr>
            <w:r w:rsidRPr="00E07C9A">
              <w:t>V prípade inštitúcií používajúcich IRB sa prekračujúca hodnota rezerv (oproti očakávaným stratám) prípustná na začlenenie do kapitálu Tier 2 ohraničí vo výške 0,6</w:t>
            </w:r>
            <w:r w:rsidR="009912F8" w:rsidRPr="00E07C9A">
              <w:t> %</w:t>
            </w:r>
            <w:r w:rsidRPr="00E07C9A">
              <w:t xml:space="preserve"> hodnôt rizikovo vážených expozícií vypočítaných pomocou prístupu IRB</w:t>
            </w:r>
            <w:r w:rsidR="009912F8" w:rsidRPr="00E07C9A">
              <w:t xml:space="preserve"> v </w:t>
            </w:r>
            <w:r w:rsidRPr="00E07C9A">
              <w:rPr>
                <w:rStyle w:val="FormatvorlageInstructionsTabelleText"/>
                <w:rFonts w:ascii="Times New Roman" w:hAnsi="Times New Roman"/>
                <w:sz w:val="24"/>
              </w:rPr>
              <w:t>súlade</w:t>
            </w:r>
            <w:r w:rsidR="009912F8" w:rsidRPr="00E07C9A">
              <w:rPr>
                <w:rStyle w:val="FormatvorlageInstructionsTabelleText"/>
                <w:rFonts w:ascii="Times New Roman" w:hAnsi="Times New Roman"/>
                <w:sz w:val="24"/>
              </w:rPr>
              <w:t xml:space="preserve"> s </w:t>
            </w:r>
            <w:r w:rsidRPr="00E07C9A">
              <w:t xml:space="preserve">článkom 62 písm. d) nariadenia (EÚ) </w:t>
            </w:r>
            <w:r w:rsidR="009912F8" w:rsidRPr="00E07C9A">
              <w:t>č. 575/2013</w:t>
            </w:r>
            <w:r w:rsidRPr="00E07C9A">
              <w:t>.</w:t>
            </w:r>
          </w:p>
          <w:p w14:paraId="02C5710E" w14:textId="37C5FB90" w:rsidR="00674BF5" w:rsidRPr="00E07C9A" w:rsidRDefault="00674BF5" w:rsidP="00487A02">
            <w:pPr>
              <w:pStyle w:val="InstructionsText"/>
            </w:pPr>
            <w:r w:rsidRPr="00E07C9A">
              <w:t>Hodnota vykazovaná</w:t>
            </w:r>
            <w:r w:rsidR="009912F8" w:rsidRPr="00E07C9A">
              <w:t xml:space="preserve"> v </w:t>
            </w:r>
            <w:r w:rsidRPr="00E07C9A">
              <w:t>tejto položke sa rovná hodnotám rizikovo vážených expozícií (t. j. nenásobia sa 0,6</w:t>
            </w:r>
            <w:r w:rsidR="009912F8" w:rsidRPr="00E07C9A">
              <w:t> %</w:t>
            </w:r>
            <w:r w:rsidRPr="00E07C9A">
              <w:t>), čo je základom na výpočet horného ohraničenia.</w:t>
            </w:r>
          </w:p>
        </w:tc>
      </w:tr>
      <w:tr w:rsidR="00674BF5" w:rsidRPr="00E07C9A" w14:paraId="38D23AF2" w14:textId="77777777" w:rsidTr="00674BF5">
        <w:tc>
          <w:tcPr>
            <w:tcW w:w="1474" w:type="dxa"/>
          </w:tcPr>
          <w:p w14:paraId="5F2F5E29" w14:textId="77777777" w:rsidR="00674BF5" w:rsidRPr="00E07C9A" w:rsidRDefault="004F1DDB" w:rsidP="00487A02">
            <w:pPr>
              <w:pStyle w:val="InstructionsText"/>
            </w:pPr>
            <w:r w:rsidRPr="00E07C9A">
              <w:t>0170</w:t>
            </w:r>
          </w:p>
        </w:tc>
        <w:tc>
          <w:tcPr>
            <w:tcW w:w="7049" w:type="dxa"/>
          </w:tcPr>
          <w:p w14:paraId="373C43C1" w14:textId="77777777" w:rsidR="00674BF5" w:rsidRPr="00E07C9A" w:rsidRDefault="00674BF5" w:rsidP="00487A02">
            <w:pPr>
              <w:pStyle w:val="InstructionsText"/>
            </w:pPr>
            <w:r w:rsidRPr="00E07C9A">
              <w:rPr>
                <w:rStyle w:val="InstructionsTabelleberschrift"/>
                <w:rFonts w:ascii="Times New Roman" w:hAnsi="Times New Roman"/>
                <w:sz w:val="24"/>
              </w:rPr>
              <w:t>6.</w:t>
            </w:r>
            <w:r w:rsidRPr="00E07C9A">
              <w:tab/>
            </w:r>
            <w:r w:rsidRPr="00E07C9A">
              <w:rPr>
                <w:rStyle w:val="InstructionsTabelleberschrift"/>
                <w:rFonts w:ascii="Times New Roman" w:hAnsi="Times New Roman"/>
                <w:sz w:val="24"/>
              </w:rPr>
              <w:t>Celkové brutto rezervy prípustné na začlenenie do kapitálu T2</w:t>
            </w:r>
          </w:p>
          <w:p w14:paraId="1E001C6E" w14:textId="342A40AB" w:rsidR="00674BF5" w:rsidRPr="00E07C9A" w:rsidRDefault="00674BF5" w:rsidP="00487A02">
            <w:pPr>
              <w:pStyle w:val="InstructionsText"/>
            </w:pPr>
            <w:r w:rsidRPr="00E07C9A">
              <w:t xml:space="preserve">Článok 62 písm. c) nariadenia (EÚ) </w:t>
            </w:r>
            <w:r w:rsidR="009912F8" w:rsidRPr="00E07C9A">
              <w:t>č. 575/2013</w:t>
            </w:r>
          </w:p>
          <w:p w14:paraId="054F6F39" w14:textId="77777777" w:rsidR="00674BF5" w:rsidRPr="00E07C9A" w:rsidRDefault="00674BF5" w:rsidP="00487A02">
            <w:pPr>
              <w:pStyle w:val="InstructionsText"/>
            </w:pPr>
            <w:r w:rsidRPr="00E07C9A">
              <w:t>Táto položka zahŕňa všeobecné úpravy kreditného rizika, ktoré sú prípustné na začlenenie do kapitálu T2, pred uplatnením horného ohraničenia.</w:t>
            </w:r>
          </w:p>
          <w:p w14:paraId="536A8737" w14:textId="77777777" w:rsidR="00674BF5" w:rsidRPr="00E07C9A" w:rsidRDefault="00674BF5" w:rsidP="00487A02">
            <w:pPr>
              <w:pStyle w:val="InstructionsText"/>
            </w:pPr>
            <w:r w:rsidRPr="00E07C9A">
              <w:t>Vo vykazovanej hodnote sa nezohľadňujú daňové účinky.</w:t>
            </w:r>
          </w:p>
        </w:tc>
      </w:tr>
      <w:tr w:rsidR="00674BF5" w:rsidRPr="00E07C9A" w14:paraId="372310B1" w14:textId="77777777" w:rsidTr="00674BF5">
        <w:tc>
          <w:tcPr>
            <w:tcW w:w="1474" w:type="dxa"/>
          </w:tcPr>
          <w:p w14:paraId="742C3A51" w14:textId="77777777" w:rsidR="00674BF5" w:rsidRPr="00E07C9A" w:rsidRDefault="004F1DDB" w:rsidP="00487A02">
            <w:pPr>
              <w:pStyle w:val="InstructionsText"/>
            </w:pPr>
            <w:r w:rsidRPr="00E07C9A">
              <w:t>0180</w:t>
            </w:r>
          </w:p>
        </w:tc>
        <w:tc>
          <w:tcPr>
            <w:tcW w:w="7049" w:type="dxa"/>
          </w:tcPr>
          <w:p w14:paraId="5FC61E8C" w14:textId="77777777" w:rsidR="00674BF5" w:rsidRPr="00E07C9A" w:rsidRDefault="00674BF5" w:rsidP="00487A02">
            <w:pPr>
              <w:pStyle w:val="InstructionsText"/>
            </w:pPr>
            <w:r w:rsidRPr="00E07C9A">
              <w:rPr>
                <w:rStyle w:val="InstructionsTabelleberschrift"/>
                <w:rFonts w:ascii="Times New Roman" w:hAnsi="Times New Roman"/>
                <w:sz w:val="24"/>
              </w:rPr>
              <w:t>7.</w:t>
            </w:r>
            <w:r w:rsidRPr="00E07C9A">
              <w:tab/>
            </w:r>
            <w:r w:rsidRPr="00E07C9A">
              <w:rPr>
                <w:rStyle w:val="InstructionsTabelleberschrift"/>
                <w:rFonts w:ascii="Times New Roman" w:hAnsi="Times New Roman"/>
                <w:sz w:val="24"/>
              </w:rPr>
              <w:t>Hodnoty rizikovo vážených expozícií pre výpočet hornej hranice rezervy prípustnej ako T2</w:t>
            </w:r>
          </w:p>
          <w:p w14:paraId="4E8EDB11" w14:textId="155FBA9A" w:rsidR="00674BF5" w:rsidRPr="00E07C9A" w:rsidRDefault="00674BF5" w:rsidP="00487A02">
            <w:pPr>
              <w:pStyle w:val="InstructionsText"/>
            </w:pPr>
            <w:r w:rsidRPr="00E07C9A">
              <w:t xml:space="preserve">Článok 62 písm. c) nariadenia (EÚ) </w:t>
            </w:r>
            <w:r w:rsidR="009912F8" w:rsidRPr="00E07C9A">
              <w:t>č. 575/2013</w:t>
            </w:r>
          </w:p>
          <w:p w14:paraId="5976FED4" w14:textId="01F8EC36" w:rsidR="00674BF5" w:rsidRPr="00E07C9A" w:rsidRDefault="00674BF5" w:rsidP="00487A02">
            <w:pPr>
              <w:pStyle w:val="InstructionsText"/>
            </w:pPr>
            <w:r w:rsidRPr="00E07C9A">
              <w:t xml:space="preserve">Podľa článku 62 písm. c) nariadenia (EÚ) </w:t>
            </w:r>
            <w:r w:rsidR="009912F8" w:rsidRPr="00E07C9A">
              <w:t>č. 575/2013</w:t>
            </w:r>
            <w:r w:rsidRPr="00E07C9A">
              <w:t xml:space="preserve"> sú úpravy kreditného rizika prípustné na začlenenie do kapitálu Tier 2 obmedzené do výšky 1,25</w:t>
            </w:r>
            <w:r w:rsidR="009912F8" w:rsidRPr="00E07C9A">
              <w:t> %</w:t>
            </w:r>
            <w:r w:rsidRPr="00E07C9A">
              <w:t xml:space="preserve"> hodnôt rizikovo vážených expozícií.</w:t>
            </w:r>
          </w:p>
          <w:p w14:paraId="451AFB2F" w14:textId="06A0DF3F" w:rsidR="00674BF5" w:rsidRPr="00E07C9A" w:rsidRDefault="00674BF5" w:rsidP="00487A02">
            <w:pPr>
              <w:pStyle w:val="InstructionsText"/>
            </w:pPr>
            <w:r w:rsidRPr="00E07C9A">
              <w:lastRenderedPageBreak/>
              <w:t>Hodnota vykazovaná</w:t>
            </w:r>
            <w:r w:rsidR="009912F8" w:rsidRPr="00E07C9A">
              <w:t xml:space="preserve"> v </w:t>
            </w:r>
            <w:r w:rsidRPr="00E07C9A">
              <w:t>tejto položke sa rovná hodnotám rizikovo vážených expozícií (t. j. nenásobia sa 1,25</w:t>
            </w:r>
            <w:r w:rsidR="009912F8" w:rsidRPr="00E07C9A">
              <w:t> %</w:t>
            </w:r>
            <w:r w:rsidRPr="00E07C9A">
              <w:t>), čo je základom na výpočet horného ohraničenia.</w:t>
            </w:r>
          </w:p>
        </w:tc>
      </w:tr>
      <w:tr w:rsidR="00674BF5" w:rsidRPr="00E07C9A" w14:paraId="7556DF87" w14:textId="77777777" w:rsidTr="00674BF5">
        <w:tc>
          <w:tcPr>
            <w:tcW w:w="1474" w:type="dxa"/>
          </w:tcPr>
          <w:p w14:paraId="57442F3D" w14:textId="77777777" w:rsidR="00674BF5" w:rsidRPr="00E07C9A" w:rsidRDefault="004F1DDB" w:rsidP="00487A02">
            <w:pPr>
              <w:pStyle w:val="InstructionsText"/>
            </w:pPr>
            <w:r w:rsidRPr="00E07C9A">
              <w:lastRenderedPageBreak/>
              <w:t>0190</w:t>
            </w:r>
          </w:p>
        </w:tc>
        <w:tc>
          <w:tcPr>
            <w:tcW w:w="7049" w:type="dxa"/>
          </w:tcPr>
          <w:p w14:paraId="6DD5284D" w14:textId="0A17402F" w:rsidR="00674BF5" w:rsidRPr="00E07C9A" w:rsidRDefault="00674BF5" w:rsidP="00487A02">
            <w:pPr>
              <w:pStyle w:val="InstructionsText"/>
            </w:pPr>
            <w:r w:rsidRPr="00E07C9A">
              <w:rPr>
                <w:rStyle w:val="InstructionsTabelleberschrift"/>
                <w:rFonts w:ascii="Times New Roman" w:hAnsi="Times New Roman"/>
                <w:sz w:val="24"/>
              </w:rPr>
              <w:t>8.</w:t>
            </w:r>
            <w:r w:rsidRPr="00E07C9A">
              <w:tab/>
            </w:r>
            <w:r w:rsidRPr="00E07C9A">
              <w:rPr>
                <w:rStyle w:val="InstructionsTabelleberschrift"/>
                <w:rFonts w:ascii="Times New Roman" w:hAnsi="Times New Roman"/>
                <w:sz w:val="24"/>
              </w:rPr>
              <w:t>Neodpočítateľná prahová hodnota podielov</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subjektoch finančného sektora,</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ktorých inštitúcia nemá významnú investíciu</w:t>
            </w:r>
          </w:p>
          <w:p w14:paraId="2577F674" w14:textId="6E08D9EB" w:rsidR="00674BF5" w:rsidRPr="00E07C9A" w:rsidRDefault="00674BF5" w:rsidP="00487A02">
            <w:pPr>
              <w:pStyle w:val="InstructionsText"/>
            </w:pPr>
            <w:r w:rsidRPr="00E07C9A">
              <w:t xml:space="preserve">Článok 46 ods. 1 písm. a) nariadenia (EÚ) </w:t>
            </w:r>
            <w:r w:rsidR="009912F8" w:rsidRPr="00E07C9A">
              <w:t>č. 575/2013</w:t>
            </w:r>
          </w:p>
          <w:p w14:paraId="063689F3" w14:textId="14CEF3B4" w:rsidR="00674BF5" w:rsidRPr="00E07C9A" w:rsidRDefault="00674BF5" w:rsidP="00487A02">
            <w:pPr>
              <w:pStyle w:val="InstructionsText"/>
            </w:pPr>
            <w:r w:rsidRPr="00E07C9A">
              <w:t>Táto položka obsahuje prahovú hodnotu, do výšky ktorej sa neodpočítavajú podiely</w:t>
            </w:r>
            <w:r w:rsidR="009912F8" w:rsidRPr="00E07C9A">
              <w:t xml:space="preserve"> v </w:t>
            </w:r>
            <w:r w:rsidRPr="00E07C9A">
              <w:t>subjekte finančného sektora, keď inštitúcia nemá významnú investíciu. Hodnota je výsledkom spočítania všetkých položiek, ktoré sú základom prahovej hodnoty,</w:t>
            </w:r>
            <w:r w:rsidR="009912F8" w:rsidRPr="00E07C9A">
              <w:t xml:space="preserve"> a </w:t>
            </w:r>
            <w:r w:rsidRPr="00E07C9A">
              <w:t>vynásobenia takto získaného súčtu hodnotou 10</w:t>
            </w:r>
            <w:r w:rsidR="009912F8" w:rsidRPr="00E07C9A">
              <w:t> %</w:t>
            </w:r>
            <w:r w:rsidRPr="00E07C9A">
              <w:t>.</w:t>
            </w:r>
          </w:p>
        </w:tc>
      </w:tr>
      <w:tr w:rsidR="00674BF5" w:rsidRPr="00E07C9A" w14:paraId="2DF58DD2" w14:textId="77777777" w:rsidTr="00674BF5">
        <w:tc>
          <w:tcPr>
            <w:tcW w:w="1474" w:type="dxa"/>
          </w:tcPr>
          <w:p w14:paraId="20CA3D59" w14:textId="77777777" w:rsidR="00674BF5" w:rsidRPr="00E07C9A" w:rsidRDefault="004F1DDB" w:rsidP="00487A02">
            <w:pPr>
              <w:pStyle w:val="InstructionsText"/>
            </w:pPr>
            <w:r w:rsidRPr="00E07C9A">
              <w:t>0200</w:t>
            </w:r>
          </w:p>
        </w:tc>
        <w:tc>
          <w:tcPr>
            <w:tcW w:w="7049" w:type="dxa"/>
          </w:tcPr>
          <w:p w14:paraId="7BA65534" w14:textId="49091D10" w:rsidR="009912F8" w:rsidRPr="00E07C9A" w:rsidRDefault="00674BF5"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9.</w:t>
            </w:r>
            <w:r w:rsidRPr="00E07C9A">
              <w:tab/>
            </w:r>
            <w:r w:rsidRPr="00E07C9A">
              <w:rPr>
                <w:rStyle w:val="InstructionsTabelleberschrift"/>
                <w:rFonts w:ascii="Times New Roman" w:hAnsi="Times New Roman"/>
                <w:sz w:val="24"/>
              </w:rPr>
              <w:t>10</w:t>
            </w:r>
            <w:r w:rsidR="009912F8" w:rsidRPr="00E07C9A">
              <w:t> %</w:t>
            </w:r>
            <w:r w:rsidRPr="00E07C9A">
              <w:rPr>
                <w:rStyle w:val="InstructionsTabelleberschrift"/>
                <w:rFonts w:ascii="Times New Roman" w:hAnsi="Times New Roman"/>
                <w:sz w:val="24"/>
              </w:rPr>
              <w:t xml:space="preserve"> prahová hodnota CET1</w:t>
            </w:r>
          </w:p>
          <w:p w14:paraId="654AD885" w14:textId="74382057" w:rsidR="00674BF5" w:rsidRPr="00E07C9A" w:rsidRDefault="00674BF5" w:rsidP="00487A02">
            <w:pPr>
              <w:pStyle w:val="InstructionsText"/>
            </w:pPr>
            <w:r w:rsidRPr="00E07C9A">
              <w:t>Článok 48 ods. 1 písm. a)</w:t>
            </w:r>
            <w:r w:rsidR="009912F8" w:rsidRPr="00E07C9A">
              <w:t xml:space="preserve"> a </w:t>
            </w:r>
            <w:r w:rsidRPr="00E07C9A">
              <w:t xml:space="preserve">b) nariadenia (EÚ) </w:t>
            </w:r>
            <w:r w:rsidR="009912F8" w:rsidRPr="00E07C9A">
              <w:t>č. 575/2013</w:t>
            </w:r>
          </w:p>
          <w:p w14:paraId="0361524B" w14:textId="674D0F57" w:rsidR="00674BF5" w:rsidRPr="00E07C9A" w:rsidRDefault="00674BF5" w:rsidP="00487A02">
            <w:pPr>
              <w:pStyle w:val="InstructionsText"/>
            </w:pPr>
            <w:r w:rsidRPr="00E07C9A">
              <w:t>Táto položka obsahuje 10</w:t>
            </w:r>
            <w:r w:rsidR="009912F8" w:rsidRPr="00E07C9A">
              <w:t> %</w:t>
            </w:r>
            <w:r w:rsidRPr="00E07C9A">
              <w:t xml:space="preserve"> prahovú hodnotu pre podiely</w:t>
            </w:r>
            <w:r w:rsidR="009912F8" w:rsidRPr="00E07C9A">
              <w:t xml:space="preserve"> v </w:t>
            </w:r>
            <w:r w:rsidRPr="00E07C9A">
              <w:t>subjektoch finančného sektora, keď inštitúcia má významnú investíciu,</w:t>
            </w:r>
            <w:r w:rsidR="009912F8" w:rsidRPr="00E07C9A">
              <w:t xml:space="preserve"> a </w:t>
            </w:r>
            <w:r w:rsidRPr="00E07C9A">
              <w:t>pre odložené daňové pohľadávky, ktoré závisia od budúcej ziskovosti</w:t>
            </w:r>
            <w:r w:rsidR="009912F8" w:rsidRPr="00E07C9A">
              <w:t xml:space="preserve"> a </w:t>
            </w:r>
            <w:r w:rsidRPr="00E07C9A">
              <w:t>vyplývajú</w:t>
            </w:r>
            <w:r w:rsidR="009912F8" w:rsidRPr="00E07C9A">
              <w:t xml:space="preserve"> z </w:t>
            </w:r>
            <w:r w:rsidRPr="00E07C9A">
              <w:t>dočasných rozdielov.</w:t>
            </w:r>
          </w:p>
          <w:p w14:paraId="479EB0E8" w14:textId="7E660714" w:rsidR="00674BF5" w:rsidRPr="00E07C9A" w:rsidRDefault="00674BF5" w:rsidP="00487A02">
            <w:pPr>
              <w:pStyle w:val="InstructionsText"/>
            </w:pPr>
            <w:r w:rsidRPr="00E07C9A">
              <w:t>Hodnota je výsledkom spočítania všetkých položiek, ktoré sú základom prahovej hodnoty,</w:t>
            </w:r>
            <w:r w:rsidR="009912F8" w:rsidRPr="00E07C9A">
              <w:t xml:space="preserve"> a </w:t>
            </w:r>
            <w:r w:rsidRPr="00E07C9A">
              <w:t>vynásobenia takto získaného súčtu hodnotou 10</w:t>
            </w:r>
            <w:r w:rsidR="009912F8" w:rsidRPr="00E07C9A">
              <w:t> %</w:t>
            </w:r>
            <w:r w:rsidRPr="00E07C9A">
              <w:t>.</w:t>
            </w:r>
          </w:p>
        </w:tc>
      </w:tr>
      <w:tr w:rsidR="00674BF5" w:rsidRPr="00E07C9A" w14:paraId="4A0F18A8" w14:textId="77777777" w:rsidTr="00674BF5">
        <w:tc>
          <w:tcPr>
            <w:tcW w:w="1474" w:type="dxa"/>
          </w:tcPr>
          <w:p w14:paraId="404E8D73" w14:textId="77777777" w:rsidR="00674BF5" w:rsidRPr="00E07C9A" w:rsidRDefault="004F1DDB" w:rsidP="00487A02">
            <w:pPr>
              <w:pStyle w:val="InstructionsText"/>
            </w:pPr>
            <w:r w:rsidRPr="00E07C9A">
              <w:t>0210</w:t>
            </w:r>
          </w:p>
        </w:tc>
        <w:tc>
          <w:tcPr>
            <w:tcW w:w="7049" w:type="dxa"/>
          </w:tcPr>
          <w:p w14:paraId="54594F0E" w14:textId="1A70AAF2" w:rsidR="009912F8" w:rsidRPr="00E07C9A" w:rsidRDefault="00674BF5"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10.</w:t>
            </w:r>
            <w:r w:rsidRPr="00E07C9A">
              <w:tab/>
            </w:r>
            <w:r w:rsidRPr="00E07C9A">
              <w:rPr>
                <w:rStyle w:val="InstructionsTabelleberschrift"/>
                <w:rFonts w:ascii="Times New Roman" w:hAnsi="Times New Roman"/>
                <w:sz w:val="24"/>
              </w:rPr>
              <w:t>17,65</w:t>
            </w:r>
            <w:r w:rsidR="009912F8" w:rsidRPr="00E07C9A">
              <w:rPr>
                <w:rStyle w:val="InstructionsTabelleberschrift"/>
                <w:rFonts w:ascii="Times New Roman" w:hAnsi="Times New Roman"/>
                <w:sz w:val="24"/>
              </w:rPr>
              <w:t> %</w:t>
            </w:r>
            <w:r w:rsidRPr="00E07C9A">
              <w:rPr>
                <w:rStyle w:val="InstructionsTabelleberschrift"/>
                <w:rFonts w:ascii="Times New Roman" w:hAnsi="Times New Roman"/>
                <w:sz w:val="24"/>
              </w:rPr>
              <w:t xml:space="preserve"> prahová hodnota CET1</w:t>
            </w:r>
          </w:p>
          <w:p w14:paraId="1D5CF966" w14:textId="60F018A3" w:rsidR="00674BF5" w:rsidRPr="00E07C9A" w:rsidRDefault="00674BF5" w:rsidP="00487A02">
            <w:pPr>
              <w:pStyle w:val="InstructionsText"/>
            </w:pPr>
            <w:r w:rsidRPr="00E07C9A">
              <w:t xml:space="preserve">Článok 48 ods. 1 nariadenia (EÚ) </w:t>
            </w:r>
            <w:r w:rsidR="009912F8" w:rsidRPr="00E07C9A">
              <w:t>č. 575/2013</w:t>
            </w:r>
          </w:p>
          <w:p w14:paraId="12D87189" w14:textId="4B36E028" w:rsidR="00674BF5" w:rsidRPr="00E07C9A" w:rsidRDefault="00674BF5" w:rsidP="00487A02">
            <w:pPr>
              <w:pStyle w:val="InstructionsText"/>
            </w:pPr>
            <w:r w:rsidRPr="00E07C9A">
              <w:t>Táto položka obsahuje 17,65</w:t>
            </w:r>
            <w:r w:rsidR="009912F8" w:rsidRPr="00E07C9A">
              <w:t> %</w:t>
            </w:r>
            <w:r w:rsidRPr="00E07C9A">
              <w:t xml:space="preserve"> prahovú hodnotu pre podiely</w:t>
            </w:r>
            <w:r w:rsidR="009912F8" w:rsidRPr="00E07C9A">
              <w:t xml:space="preserve"> v </w:t>
            </w:r>
            <w:r w:rsidRPr="00E07C9A">
              <w:t>subjektoch finančného sektora, keď inštitúcia má významnú investíciu,</w:t>
            </w:r>
            <w:r w:rsidR="009912F8" w:rsidRPr="00E07C9A">
              <w:t xml:space="preserve"> a </w:t>
            </w:r>
            <w:r w:rsidRPr="00E07C9A">
              <w:t>pre odložené daňové pohľadávky, ktoré závisia od budúcej ziskovosti</w:t>
            </w:r>
            <w:r w:rsidR="009912F8" w:rsidRPr="00E07C9A">
              <w:t xml:space="preserve"> a </w:t>
            </w:r>
            <w:r w:rsidRPr="00E07C9A">
              <w:t>vyplývajú</w:t>
            </w:r>
            <w:r w:rsidR="009912F8" w:rsidRPr="00E07C9A">
              <w:t xml:space="preserve"> z </w:t>
            </w:r>
            <w:r w:rsidRPr="00E07C9A">
              <w:t>dočasných rozdielov, ktorá sa uplatňuje po 10</w:t>
            </w:r>
            <w:r w:rsidR="009912F8" w:rsidRPr="00E07C9A">
              <w:t> %</w:t>
            </w:r>
            <w:r w:rsidRPr="00E07C9A">
              <w:t xml:space="preserve"> prahovej hodnote.</w:t>
            </w:r>
          </w:p>
          <w:p w14:paraId="14884015" w14:textId="6F9E98FD" w:rsidR="00674BF5" w:rsidRPr="00E07C9A" w:rsidRDefault="00674BF5" w:rsidP="00487A02">
            <w:pPr>
              <w:pStyle w:val="InstructionsText"/>
            </w:pPr>
            <w:r w:rsidRPr="00E07C9A">
              <w:t>Prahová hodnota sa vypočítava tak, aby hodnota dvoch položiek, ktorá sa vykazuje, neprekročila 15</w:t>
            </w:r>
            <w:r w:rsidR="009912F8" w:rsidRPr="00E07C9A">
              <w:t> %</w:t>
            </w:r>
            <w:r w:rsidRPr="00E07C9A">
              <w:t xml:space="preserve"> konečného vlastného kapitálu Tier 1, t. j. kapitálu CET1 vypočítaného po všetkých odpočtoch</w:t>
            </w:r>
            <w:r w:rsidR="009912F8" w:rsidRPr="00E07C9A">
              <w:t xml:space="preserve"> a </w:t>
            </w:r>
            <w:r w:rsidRPr="00E07C9A">
              <w:t>bez úprav na základe prechodných ustanovení.</w:t>
            </w:r>
          </w:p>
        </w:tc>
      </w:tr>
      <w:tr w:rsidR="00674BF5" w:rsidRPr="00E07C9A" w14:paraId="3ADC9E87" w14:textId="77777777" w:rsidTr="00674BF5">
        <w:tc>
          <w:tcPr>
            <w:tcW w:w="1474" w:type="dxa"/>
          </w:tcPr>
          <w:p w14:paraId="4031B342" w14:textId="77777777" w:rsidR="00674BF5" w:rsidRPr="00E07C9A" w:rsidRDefault="004F1DDB" w:rsidP="00487A02">
            <w:pPr>
              <w:pStyle w:val="InstructionsText"/>
            </w:pPr>
            <w:r w:rsidRPr="00E07C9A">
              <w:t>0225</w:t>
            </w:r>
          </w:p>
        </w:tc>
        <w:tc>
          <w:tcPr>
            <w:tcW w:w="7049" w:type="dxa"/>
          </w:tcPr>
          <w:p w14:paraId="4DB6B6BB" w14:textId="77777777" w:rsidR="00674BF5" w:rsidRPr="00E07C9A" w:rsidRDefault="00674BF5"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11.</w:t>
            </w:r>
            <w:r w:rsidRPr="00E07C9A">
              <w:tab/>
            </w:r>
            <w:r w:rsidRPr="00E07C9A">
              <w:rPr>
                <w:rStyle w:val="InstructionsTabelleberschrift"/>
                <w:rFonts w:ascii="Times New Roman" w:hAnsi="Times New Roman"/>
                <w:sz w:val="24"/>
              </w:rPr>
              <w:t>Prípustný kapitál na účely kvalifikovaných účastí mimo finančného sektora</w:t>
            </w:r>
          </w:p>
          <w:p w14:paraId="758CEFE8" w14:textId="481C19B6" w:rsidR="00674BF5" w:rsidRPr="00E07C9A" w:rsidRDefault="00674BF5" w:rsidP="00F42FE9">
            <w:pPr>
              <w:pStyle w:val="InstructionsText"/>
              <w:rPr>
                <w:rStyle w:val="InstructionsTabelleberschrift"/>
                <w:rFonts w:ascii="Times New Roman" w:hAnsi="Times New Roman"/>
                <w:sz w:val="24"/>
              </w:rPr>
            </w:pPr>
            <w:r w:rsidRPr="00E07C9A">
              <w:rPr>
                <w:rStyle w:val="InstructionsTabelleberschrift"/>
                <w:rFonts w:ascii="Times New Roman" w:hAnsi="Times New Roman"/>
                <w:b w:val="0"/>
                <w:sz w:val="24"/>
                <w:u w:val="none"/>
              </w:rPr>
              <w:t xml:space="preserve"> Článok 4 ods. 1 bod 71 písm. a) </w:t>
            </w:r>
            <w:r w:rsidRPr="00E07C9A">
              <w:t xml:space="preserve">nariadenia (EÚ) </w:t>
            </w:r>
            <w:r w:rsidR="009912F8" w:rsidRPr="00E07C9A">
              <w:t>č. 575/2013</w:t>
            </w:r>
          </w:p>
        </w:tc>
      </w:tr>
      <w:tr w:rsidR="00674BF5" w:rsidRPr="00E07C9A" w14:paraId="2F3A43D2" w14:textId="77777777" w:rsidTr="00674BF5">
        <w:tc>
          <w:tcPr>
            <w:tcW w:w="1474" w:type="dxa"/>
          </w:tcPr>
          <w:p w14:paraId="3CBA75A3" w14:textId="77777777" w:rsidR="00674BF5" w:rsidRPr="00E07C9A" w:rsidRDefault="004F1DDB" w:rsidP="00487A02">
            <w:pPr>
              <w:pStyle w:val="InstructionsText"/>
            </w:pPr>
            <w:r w:rsidRPr="00E07C9A">
              <w:t>0230</w:t>
            </w:r>
          </w:p>
        </w:tc>
        <w:tc>
          <w:tcPr>
            <w:tcW w:w="7049" w:type="dxa"/>
          </w:tcPr>
          <w:p w14:paraId="583FCAD3" w14:textId="1DBF2B34" w:rsidR="00674BF5" w:rsidRPr="00E07C9A" w:rsidRDefault="00674BF5" w:rsidP="00487A02">
            <w:pPr>
              <w:pStyle w:val="InstructionsText"/>
            </w:pPr>
            <w:r w:rsidRPr="00E07C9A">
              <w:rPr>
                <w:rStyle w:val="InstructionsTabelleberschrift"/>
                <w:rFonts w:ascii="Times New Roman" w:hAnsi="Times New Roman"/>
                <w:sz w:val="24"/>
              </w:rPr>
              <w:t>12.</w:t>
            </w:r>
            <w:r w:rsidRPr="00E07C9A">
              <w:tab/>
            </w:r>
            <w:r w:rsidRPr="00E07C9A">
              <w:rPr>
                <w:rStyle w:val="InstructionsTabelleberschrift"/>
                <w:rFonts w:ascii="Times New Roman" w:hAnsi="Times New Roman"/>
                <w:sz w:val="24"/>
              </w:rPr>
              <w:t>Podiely kapitálu CET1 subjektov finančného sektora,</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ktorých inštitúcia nemá významnú investíciu, po odpočítaní krátkych pozícií</w:t>
            </w:r>
          </w:p>
          <w:p w14:paraId="2254EDFA" w14:textId="72D7962C" w:rsidR="00674BF5" w:rsidRPr="00E07C9A" w:rsidRDefault="00674BF5" w:rsidP="00487A02">
            <w:pPr>
              <w:pStyle w:val="InstructionsText"/>
            </w:pPr>
            <w:r w:rsidRPr="00E07C9A">
              <w:t>Články 44, 45, 46</w:t>
            </w:r>
            <w:r w:rsidR="009912F8" w:rsidRPr="00E07C9A">
              <w:t xml:space="preserve"> a </w:t>
            </w:r>
            <w:r w:rsidRPr="00E07C9A">
              <w:t xml:space="preserve">49 nariadenia (EÚ) </w:t>
            </w:r>
            <w:r w:rsidR="009912F8" w:rsidRPr="00E07C9A">
              <w:t>č. 575/2013</w:t>
            </w:r>
          </w:p>
        </w:tc>
      </w:tr>
      <w:tr w:rsidR="00674BF5" w:rsidRPr="00E07C9A" w14:paraId="7DDEB753" w14:textId="77777777" w:rsidTr="00674BF5">
        <w:tc>
          <w:tcPr>
            <w:tcW w:w="1474" w:type="dxa"/>
          </w:tcPr>
          <w:p w14:paraId="6948AB60" w14:textId="77777777" w:rsidR="00674BF5" w:rsidRPr="00E07C9A" w:rsidRDefault="004F1DDB" w:rsidP="00487A02">
            <w:pPr>
              <w:pStyle w:val="InstructionsText"/>
            </w:pPr>
            <w:r w:rsidRPr="00E07C9A">
              <w:t>0240</w:t>
            </w:r>
          </w:p>
        </w:tc>
        <w:tc>
          <w:tcPr>
            <w:tcW w:w="7049" w:type="dxa"/>
          </w:tcPr>
          <w:p w14:paraId="23E364C8" w14:textId="0E7A57F0" w:rsidR="00674BF5" w:rsidRPr="00E07C9A" w:rsidRDefault="00674BF5" w:rsidP="00487A02">
            <w:pPr>
              <w:pStyle w:val="InstructionsText"/>
            </w:pPr>
            <w:r w:rsidRPr="00E07C9A">
              <w:rPr>
                <w:rStyle w:val="InstructionsTabelleberschrift"/>
                <w:rFonts w:ascii="Times New Roman" w:hAnsi="Times New Roman"/>
                <w:sz w:val="24"/>
              </w:rPr>
              <w:t>12.1.</w:t>
            </w:r>
            <w:r w:rsidRPr="00E07C9A">
              <w:tab/>
            </w:r>
            <w:r w:rsidRPr="00E07C9A">
              <w:rPr>
                <w:rStyle w:val="InstructionsTabelleberschrift"/>
                <w:rFonts w:ascii="Times New Roman" w:hAnsi="Times New Roman"/>
                <w:sz w:val="24"/>
              </w:rPr>
              <w:t>Priame podiely kapitálu CET1 subjektov finančného sektora,</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ktorých inštitúcia nemá významnú investíciu</w:t>
            </w:r>
          </w:p>
          <w:p w14:paraId="659E1D80" w14:textId="14BA2FBF" w:rsidR="00674BF5" w:rsidRPr="00E07C9A" w:rsidRDefault="00674BF5" w:rsidP="00487A02">
            <w:pPr>
              <w:pStyle w:val="InstructionsText"/>
            </w:pPr>
            <w:r w:rsidRPr="00E07C9A">
              <w:t>Články 44, 45, 46</w:t>
            </w:r>
            <w:r w:rsidR="009912F8" w:rsidRPr="00E07C9A">
              <w:t xml:space="preserve"> a </w:t>
            </w:r>
            <w:r w:rsidRPr="00E07C9A">
              <w:t xml:space="preserve">49 nariadenia (EÚ) </w:t>
            </w:r>
            <w:r w:rsidR="009912F8" w:rsidRPr="00E07C9A">
              <w:t>č. 575/2013</w:t>
            </w:r>
          </w:p>
        </w:tc>
      </w:tr>
      <w:tr w:rsidR="00674BF5" w:rsidRPr="00E07C9A" w14:paraId="0FBF07F0" w14:textId="77777777" w:rsidTr="00674BF5">
        <w:tc>
          <w:tcPr>
            <w:tcW w:w="1474" w:type="dxa"/>
          </w:tcPr>
          <w:p w14:paraId="642BE6B5" w14:textId="77777777" w:rsidR="00674BF5" w:rsidRPr="00E07C9A" w:rsidRDefault="004F1DDB" w:rsidP="00487A02">
            <w:pPr>
              <w:pStyle w:val="InstructionsText"/>
            </w:pPr>
            <w:r w:rsidRPr="00E07C9A">
              <w:lastRenderedPageBreak/>
              <w:t>0250</w:t>
            </w:r>
          </w:p>
        </w:tc>
        <w:tc>
          <w:tcPr>
            <w:tcW w:w="7049" w:type="dxa"/>
          </w:tcPr>
          <w:p w14:paraId="033E9BD4" w14:textId="4DC10349" w:rsidR="00674BF5" w:rsidRPr="00E07C9A" w:rsidRDefault="00674BF5" w:rsidP="00487A02">
            <w:pPr>
              <w:pStyle w:val="InstructionsText"/>
            </w:pPr>
            <w:r w:rsidRPr="00E07C9A">
              <w:rPr>
                <w:rStyle w:val="InstructionsTabelleberschrift"/>
                <w:rFonts w:ascii="Times New Roman" w:hAnsi="Times New Roman"/>
                <w:sz w:val="24"/>
              </w:rPr>
              <w:t>12.1.1.</w:t>
            </w:r>
            <w:r w:rsidRPr="00E07C9A">
              <w:tab/>
            </w:r>
            <w:r w:rsidRPr="00E07C9A">
              <w:rPr>
                <w:rStyle w:val="InstructionsTabelleberschrift"/>
                <w:rFonts w:ascii="Times New Roman" w:hAnsi="Times New Roman"/>
                <w:sz w:val="24"/>
              </w:rPr>
              <w:t>Brutto priame podiely kapitálu CET1 subjektov finančného sektora,</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ktorých inštitúcia nemá významnú investíciu</w:t>
            </w:r>
          </w:p>
          <w:p w14:paraId="13ECC0FA" w14:textId="6655CB6E" w:rsidR="00674BF5" w:rsidRPr="00E07C9A" w:rsidRDefault="00674BF5" w:rsidP="00487A02">
            <w:pPr>
              <w:pStyle w:val="InstructionsText"/>
            </w:pPr>
            <w:r w:rsidRPr="00E07C9A">
              <w:t>Články 44, 46</w:t>
            </w:r>
            <w:r w:rsidR="009912F8" w:rsidRPr="00E07C9A">
              <w:t xml:space="preserve"> a </w:t>
            </w:r>
            <w:r w:rsidRPr="00E07C9A">
              <w:t xml:space="preserve">49 nariadenia (EÚ) </w:t>
            </w:r>
            <w:r w:rsidR="009912F8" w:rsidRPr="00E07C9A">
              <w:t>č. 575/2013</w:t>
            </w:r>
          </w:p>
          <w:p w14:paraId="7CB3E9B2" w14:textId="77777777" w:rsidR="00674BF5" w:rsidRPr="00E07C9A" w:rsidRDefault="00674BF5" w:rsidP="00487A02">
            <w:pPr>
              <w:pStyle w:val="InstructionsText"/>
            </w:pPr>
            <w:r w:rsidRPr="00E07C9A">
              <w:t>Priame podiely kapitálu CET1 subjektov finančného sektora, keď inštitúcia nemá významnú investíciu, bez:</w:t>
            </w:r>
          </w:p>
          <w:p w14:paraId="23ACAB45" w14:textId="48C66386" w:rsidR="009912F8" w:rsidRPr="00E07C9A" w:rsidRDefault="00674BF5" w:rsidP="00487A02">
            <w:pPr>
              <w:pStyle w:val="InstructionsText"/>
            </w:pPr>
            <w:r w:rsidRPr="00E07C9A">
              <w:t>a)</w:t>
            </w:r>
            <w:r w:rsidRPr="00E07C9A">
              <w:tab/>
              <w:t>pozícií</w:t>
            </w:r>
            <w:r w:rsidR="009912F8" w:rsidRPr="00E07C9A">
              <w:t xml:space="preserve"> z </w:t>
            </w:r>
            <w:r w:rsidRPr="00E07C9A">
              <w:t>upísania držaných päť pracovných dní alebo menej</w:t>
            </w:r>
            <w:r w:rsidR="009912F8" w:rsidRPr="00E07C9A">
              <w:t>;</w:t>
            </w:r>
          </w:p>
          <w:p w14:paraId="430D5A7C" w14:textId="77777777" w:rsidR="009912F8" w:rsidRPr="00E07C9A" w:rsidRDefault="00674BF5" w:rsidP="00487A02">
            <w:pPr>
              <w:pStyle w:val="InstructionsText"/>
            </w:pPr>
            <w:r w:rsidRPr="00E07C9A">
              <w:t>b)</w:t>
            </w:r>
            <w:r w:rsidRPr="00E07C9A">
              <w:tab/>
              <w:t>hodnôt súvisiacich</w:t>
            </w:r>
            <w:r w:rsidR="009912F8" w:rsidRPr="00E07C9A">
              <w:t xml:space="preserve"> s </w:t>
            </w:r>
            <w:r w:rsidRPr="00E07C9A">
              <w:t>investíciami, na ktoré sa uplatňuje alternatíva podľa článku 49;</w:t>
            </w:r>
            <w:r w:rsidR="009912F8" w:rsidRPr="00E07C9A">
              <w:t xml:space="preserve"> a</w:t>
            </w:r>
          </w:p>
          <w:p w14:paraId="257189C5" w14:textId="78A3807D" w:rsidR="00674BF5" w:rsidRPr="00E07C9A" w:rsidRDefault="00674BF5" w:rsidP="00F42FE9">
            <w:pPr>
              <w:pStyle w:val="InstructionsText"/>
            </w:pPr>
            <w:r w:rsidRPr="00E07C9A">
              <w:t>c)</w:t>
            </w:r>
            <w:r w:rsidRPr="00E07C9A">
              <w:tab/>
              <w:t>podielov,</w:t>
            </w:r>
            <w:r w:rsidR="009912F8" w:rsidRPr="00E07C9A">
              <w:t xml:space="preserve"> s </w:t>
            </w:r>
            <w:r w:rsidRPr="00E07C9A">
              <w:t>ktorými sa zaobchádza ako</w:t>
            </w:r>
            <w:r w:rsidR="009912F8" w:rsidRPr="00E07C9A">
              <w:t xml:space="preserve"> s </w:t>
            </w:r>
            <w:r w:rsidRPr="00E07C9A">
              <w:t>recipročnými krížovými podielmi</w:t>
            </w:r>
            <w:r w:rsidR="009912F8" w:rsidRPr="00E07C9A">
              <w:t xml:space="preserve"> v </w:t>
            </w:r>
            <w:r w:rsidRPr="00E07C9A">
              <w:t>súlade</w:t>
            </w:r>
            <w:r w:rsidR="009912F8" w:rsidRPr="00E07C9A">
              <w:t xml:space="preserve"> s </w:t>
            </w:r>
            <w:r w:rsidRPr="00E07C9A">
              <w:t xml:space="preserve">článkom 36 ods. 1 písm. g) nariadenia (EÚ) </w:t>
            </w:r>
            <w:r w:rsidR="009912F8" w:rsidRPr="00E07C9A">
              <w:t>č. 575/2013</w:t>
            </w:r>
            <w:r w:rsidRPr="00E07C9A">
              <w:t>.</w:t>
            </w:r>
          </w:p>
        </w:tc>
      </w:tr>
      <w:tr w:rsidR="00674BF5" w:rsidRPr="00E07C9A" w14:paraId="7EF1B8E9" w14:textId="77777777" w:rsidTr="00674BF5">
        <w:tc>
          <w:tcPr>
            <w:tcW w:w="1474" w:type="dxa"/>
          </w:tcPr>
          <w:p w14:paraId="2EA02C99" w14:textId="77777777" w:rsidR="00674BF5" w:rsidRPr="00E07C9A" w:rsidRDefault="00D5689B" w:rsidP="00487A02">
            <w:pPr>
              <w:pStyle w:val="InstructionsText"/>
            </w:pPr>
            <w:r w:rsidRPr="00E07C9A">
              <w:t>0260</w:t>
            </w:r>
          </w:p>
        </w:tc>
        <w:tc>
          <w:tcPr>
            <w:tcW w:w="7049" w:type="dxa"/>
          </w:tcPr>
          <w:p w14:paraId="51DBBC14" w14:textId="76C17CCF" w:rsidR="00674BF5" w:rsidRPr="00E07C9A" w:rsidRDefault="00674BF5" w:rsidP="00487A02">
            <w:pPr>
              <w:pStyle w:val="InstructionsText"/>
            </w:pPr>
            <w:r w:rsidRPr="00E07C9A">
              <w:rPr>
                <w:rStyle w:val="InstructionsTabelleberschrift"/>
                <w:rFonts w:ascii="Times New Roman" w:hAnsi="Times New Roman"/>
                <w:sz w:val="24"/>
              </w:rPr>
              <w:t>12.1.2.</w:t>
            </w:r>
            <w:r w:rsidRPr="00E07C9A">
              <w:tab/>
            </w:r>
            <w:r w:rsidRPr="00E07C9A">
              <w:rPr>
                <w:rStyle w:val="InstructionsTabelleberschrift"/>
                <w:rFonts w:ascii="Times New Roman" w:hAnsi="Times New Roman"/>
                <w:sz w:val="24"/>
              </w:rPr>
              <w:t>(–) Povolené kompenzačné krátke pozície</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súvislosti</w:t>
            </w:r>
            <w:r w:rsidR="009912F8" w:rsidRPr="00E07C9A">
              <w:rPr>
                <w:rStyle w:val="InstructionsTabelleberschrift"/>
                <w:rFonts w:ascii="Times New Roman" w:hAnsi="Times New Roman"/>
                <w:sz w:val="24"/>
              </w:rPr>
              <w:t xml:space="preserve"> s </w:t>
            </w:r>
            <w:r w:rsidRPr="00E07C9A">
              <w:rPr>
                <w:rStyle w:val="InstructionsTabelleberschrift"/>
                <w:rFonts w:ascii="Times New Roman" w:hAnsi="Times New Roman"/>
                <w:sz w:val="24"/>
              </w:rPr>
              <w:t>priamymi brutto podielmi uvedenými vyššie</w:t>
            </w:r>
          </w:p>
          <w:p w14:paraId="75CB2494" w14:textId="19B16355" w:rsidR="00674BF5" w:rsidRPr="00E07C9A" w:rsidRDefault="00674BF5" w:rsidP="00487A02">
            <w:pPr>
              <w:pStyle w:val="InstructionsText"/>
            </w:pPr>
            <w:r w:rsidRPr="00E07C9A">
              <w:t xml:space="preserve">Článok 45 nariadenia (EÚ) </w:t>
            </w:r>
            <w:r w:rsidR="009912F8" w:rsidRPr="00E07C9A">
              <w:t>č. 575/2013</w:t>
            </w:r>
          </w:p>
          <w:p w14:paraId="0D472F64" w14:textId="3CBCD88C" w:rsidR="00674BF5" w:rsidRPr="00E07C9A" w:rsidRDefault="00674BF5" w:rsidP="00487A02">
            <w:pPr>
              <w:pStyle w:val="InstructionsText"/>
            </w:pPr>
            <w:r w:rsidRPr="00E07C9A">
              <w:t xml:space="preserve">Článkom 45 písm. a) nariadenia (EÚ) </w:t>
            </w:r>
            <w:r w:rsidR="009912F8" w:rsidRPr="00E07C9A">
              <w:t>č. 575/2013</w:t>
            </w:r>
            <w:r w:rsidRPr="00E07C9A">
              <w:t xml:space="preserve"> sa povoľujú kompenzačné krátke pozície</w:t>
            </w:r>
            <w:r w:rsidR="009912F8" w:rsidRPr="00E07C9A">
              <w:t xml:space="preserve"> v </w:t>
            </w:r>
            <w:r w:rsidRPr="00E07C9A">
              <w:t>rovnakej podkladovej expozícii pod podmienkou, že dátum splatnosti krátkej pozície je buď rovnaký alebo neskorší ako dátum splatnosti dlhej pozície, alebo zostatková splatnosť krátkej pozície je najmenej jeden rok.</w:t>
            </w:r>
          </w:p>
        </w:tc>
      </w:tr>
      <w:tr w:rsidR="00674BF5" w:rsidRPr="00E07C9A" w14:paraId="0B73021B" w14:textId="77777777" w:rsidTr="00674BF5">
        <w:tc>
          <w:tcPr>
            <w:tcW w:w="1474" w:type="dxa"/>
          </w:tcPr>
          <w:p w14:paraId="1A4FBB95" w14:textId="77777777" w:rsidR="00674BF5" w:rsidRPr="00E07C9A" w:rsidRDefault="00754ADC" w:rsidP="00487A02">
            <w:pPr>
              <w:pStyle w:val="InstructionsText"/>
            </w:pPr>
            <w:r w:rsidRPr="00E07C9A">
              <w:t>0270</w:t>
            </w:r>
          </w:p>
        </w:tc>
        <w:tc>
          <w:tcPr>
            <w:tcW w:w="7049" w:type="dxa"/>
          </w:tcPr>
          <w:p w14:paraId="7FDBFD32" w14:textId="39AFF4B5" w:rsidR="00674BF5" w:rsidRPr="00E07C9A" w:rsidRDefault="00674BF5" w:rsidP="00487A02">
            <w:pPr>
              <w:pStyle w:val="InstructionsText"/>
            </w:pPr>
            <w:r w:rsidRPr="00E07C9A">
              <w:rPr>
                <w:rStyle w:val="InstructionsTabelleberschrift"/>
                <w:rFonts w:ascii="Times New Roman" w:hAnsi="Times New Roman"/>
                <w:sz w:val="24"/>
              </w:rPr>
              <w:t>12.2.</w:t>
            </w:r>
            <w:r w:rsidRPr="00E07C9A">
              <w:tab/>
            </w:r>
            <w:r w:rsidRPr="00E07C9A">
              <w:rPr>
                <w:rStyle w:val="InstructionsTabelleberschrift"/>
                <w:rFonts w:ascii="Times New Roman" w:hAnsi="Times New Roman"/>
                <w:sz w:val="24"/>
              </w:rPr>
              <w:t>Nepriame podiely kapitálu CET1 subjektov finančného sektora,</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ktorých inštitúcia nemá významnú investíciu</w:t>
            </w:r>
          </w:p>
          <w:p w14:paraId="358D5E9A" w14:textId="3C6E45D1" w:rsidR="00674BF5" w:rsidRPr="00E07C9A" w:rsidRDefault="00674BF5" w:rsidP="00487A02">
            <w:pPr>
              <w:pStyle w:val="InstructionsText"/>
            </w:pPr>
            <w:r w:rsidRPr="00E07C9A">
              <w:t>Článok 4 ods. 1 bod 114</w:t>
            </w:r>
            <w:r w:rsidR="009912F8" w:rsidRPr="00E07C9A">
              <w:t xml:space="preserve"> a </w:t>
            </w:r>
            <w:r w:rsidRPr="00E07C9A">
              <w:t>články 44</w:t>
            </w:r>
            <w:r w:rsidR="009912F8" w:rsidRPr="00E07C9A">
              <w:t xml:space="preserve"> a </w:t>
            </w:r>
            <w:r w:rsidRPr="00E07C9A">
              <w:t xml:space="preserve">45 nariadenia (EÚ) </w:t>
            </w:r>
            <w:r w:rsidR="009912F8" w:rsidRPr="00E07C9A">
              <w:t>č. 575/2013</w:t>
            </w:r>
          </w:p>
        </w:tc>
      </w:tr>
      <w:tr w:rsidR="00674BF5" w:rsidRPr="00E07C9A" w14:paraId="466F226C" w14:textId="77777777" w:rsidTr="00674BF5">
        <w:tc>
          <w:tcPr>
            <w:tcW w:w="1474" w:type="dxa"/>
          </w:tcPr>
          <w:p w14:paraId="56247636" w14:textId="77777777" w:rsidR="00674BF5" w:rsidRPr="00E07C9A" w:rsidRDefault="00754ADC" w:rsidP="00487A02">
            <w:pPr>
              <w:pStyle w:val="InstructionsText"/>
            </w:pPr>
            <w:r w:rsidRPr="00E07C9A">
              <w:t>0280</w:t>
            </w:r>
          </w:p>
        </w:tc>
        <w:tc>
          <w:tcPr>
            <w:tcW w:w="7049" w:type="dxa"/>
          </w:tcPr>
          <w:p w14:paraId="4FD7DC7E" w14:textId="223ACC50" w:rsidR="00674BF5" w:rsidRPr="00E07C9A" w:rsidRDefault="00674BF5" w:rsidP="00487A02">
            <w:pPr>
              <w:pStyle w:val="InstructionsText"/>
            </w:pPr>
            <w:r w:rsidRPr="00E07C9A">
              <w:rPr>
                <w:rStyle w:val="InstructionsTabelleberschrift"/>
                <w:rFonts w:ascii="Times New Roman" w:hAnsi="Times New Roman"/>
                <w:sz w:val="24"/>
              </w:rPr>
              <w:t>12.2.1.</w:t>
            </w:r>
            <w:r w:rsidRPr="00E07C9A">
              <w:tab/>
            </w:r>
            <w:r w:rsidRPr="00E07C9A">
              <w:rPr>
                <w:rStyle w:val="InstructionsTabelleberschrift"/>
                <w:rFonts w:ascii="Times New Roman" w:hAnsi="Times New Roman"/>
                <w:sz w:val="24"/>
              </w:rPr>
              <w:t>Brutto nepriame podiely kapitálu CET1 subjektov finančného sektora,</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ktorých inštitúcia nemá významnú investíciu</w:t>
            </w:r>
          </w:p>
          <w:p w14:paraId="2732B6AD" w14:textId="5E11A8E7" w:rsidR="00674BF5" w:rsidRPr="00E07C9A" w:rsidRDefault="00674BF5" w:rsidP="00487A02">
            <w:pPr>
              <w:pStyle w:val="InstructionsText"/>
            </w:pPr>
            <w:r w:rsidRPr="00E07C9A">
              <w:t>Článok 4 ods. 1 bod 114</w:t>
            </w:r>
            <w:r w:rsidR="009912F8" w:rsidRPr="00E07C9A">
              <w:t xml:space="preserve"> a </w:t>
            </w:r>
            <w:r w:rsidRPr="00E07C9A">
              <w:t>články 44</w:t>
            </w:r>
            <w:r w:rsidR="009912F8" w:rsidRPr="00E07C9A">
              <w:t xml:space="preserve"> a </w:t>
            </w:r>
            <w:r w:rsidRPr="00E07C9A">
              <w:t xml:space="preserve">45 nariadenia (EÚ) </w:t>
            </w:r>
            <w:r w:rsidR="009912F8" w:rsidRPr="00E07C9A">
              <w:t>č. 575/2013</w:t>
            </w:r>
          </w:p>
          <w:p w14:paraId="5F96C9B6" w14:textId="3362C169" w:rsidR="00674BF5" w:rsidRPr="00E07C9A" w:rsidRDefault="00674BF5" w:rsidP="00487A02">
            <w:pPr>
              <w:pStyle w:val="InstructionsText"/>
            </w:pPr>
            <w:r w:rsidRPr="00E07C9A">
              <w:t>Vykazovaná hodnota sa rovná nepriamym podielom</w:t>
            </w:r>
            <w:r w:rsidR="009912F8" w:rsidRPr="00E07C9A">
              <w:t xml:space="preserve"> v </w:t>
            </w:r>
            <w:r w:rsidRPr="00E07C9A">
              <w:t>obchodnej knihe na kapitálových nástrojoch subjektov finančného sektora, ktoré sú vo forme podielov cenných papierov zaradených do indexu. Dosiahne sa vypočítaním podkladovej expozície voči kapitálovým nástrojom subjektov finančného sektora</w:t>
            </w:r>
            <w:r w:rsidR="009912F8" w:rsidRPr="00E07C9A">
              <w:t xml:space="preserve"> v </w:t>
            </w:r>
            <w:r w:rsidRPr="00E07C9A">
              <w:t>týchto indexoch.</w:t>
            </w:r>
          </w:p>
          <w:p w14:paraId="36C5342B" w14:textId="43DA4871" w:rsidR="00674BF5" w:rsidRPr="00E07C9A" w:rsidRDefault="00674BF5" w:rsidP="00F42FE9">
            <w:pPr>
              <w:pStyle w:val="InstructionsText"/>
            </w:pPr>
            <w:r w:rsidRPr="00E07C9A">
              <w:t>Podiely,</w:t>
            </w:r>
            <w:r w:rsidR="009912F8" w:rsidRPr="00E07C9A">
              <w:t xml:space="preserve"> s </w:t>
            </w:r>
            <w:r w:rsidRPr="00E07C9A">
              <w:t>ktorými sa zaobchádza ako</w:t>
            </w:r>
            <w:r w:rsidR="009912F8" w:rsidRPr="00E07C9A">
              <w:t xml:space="preserve"> s </w:t>
            </w:r>
            <w:r w:rsidRPr="00E07C9A">
              <w:t xml:space="preserve">recipročnými krížovými podielmi podľa článku 36 ods. 1 písm. g) nariadenia (EÚ) </w:t>
            </w:r>
            <w:r w:rsidR="009912F8" w:rsidRPr="00E07C9A">
              <w:t>č. 575/2013</w:t>
            </w:r>
            <w:r w:rsidRPr="00E07C9A">
              <w:t>, sa nezapočítavajú.</w:t>
            </w:r>
          </w:p>
        </w:tc>
      </w:tr>
      <w:tr w:rsidR="00674BF5" w:rsidRPr="00E07C9A" w14:paraId="3BDDD358" w14:textId="77777777" w:rsidTr="00674BF5">
        <w:trPr>
          <w:trHeight w:val="850"/>
        </w:trPr>
        <w:tc>
          <w:tcPr>
            <w:tcW w:w="1474" w:type="dxa"/>
          </w:tcPr>
          <w:p w14:paraId="30886A0B" w14:textId="77777777" w:rsidR="00674BF5" w:rsidRPr="00E07C9A" w:rsidRDefault="00754ADC" w:rsidP="00487A02">
            <w:pPr>
              <w:pStyle w:val="InstructionsText"/>
            </w:pPr>
            <w:r w:rsidRPr="00E07C9A">
              <w:t>0290</w:t>
            </w:r>
          </w:p>
        </w:tc>
        <w:tc>
          <w:tcPr>
            <w:tcW w:w="7049" w:type="dxa"/>
          </w:tcPr>
          <w:p w14:paraId="7C58F58B" w14:textId="73B07418" w:rsidR="00674BF5" w:rsidRPr="00E07C9A" w:rsidRDefault="00674BF5" w:rsidP="00487A02">
            <w:pPr>
              <w:pStyle w:val="InstructionsText"/>
            </w:pPr>
            <w:r w:rsidRPr="00E07C9A">
              <w:rPr>
                <w:rStyle w:val="InstructionsTabelleberschrift"/>
                <w:rFonts w:ascii="Times New Roman" w:hAnsi="Times New Roman"/>
                <w:sz w:val="24"/>
              </w:rPr>
              <w:t>12.2.2.</w:t>
            </w:r>
            <w:r w:rsidRPr="00E07C9A">
              <w:tab/>
            </w:r>
            <w:r w:rsidRPr="00E07C9A">
              <w:rPr>
                <w:rStyle w:val="InstructionsTabelleberschrift"/>
                <w:rFonts w:ascii="Times New Roman" w:hAnsi="Times New Roman"/>
                <w:sz w:val="24"/>
              </w:rPr>
              <w:t>(–) Povolené kompenzačné krátke pozície</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súvislosti</w:t>
            </w:r>
            <w:r w:rsidR="009912F8" w:rsidRPr="00E07C9A">
              <w:rPr>
                <w:rStyle w:val="InstructionsTabelleberschrift"/>
                <w:rFonts w:ascii="Times New Roman" w:hAnsi="Times New Roman"/>
                <w:sz w:val="24"/>
              </w:rPr>
              <w:t xml:space="preserve"> s </w:t>
            </w:r>
            <w:r w:rsidRPr="00E07C9A">
              <w:rPr>
                <w:rStyle w:val="InstructionsTabelleberschrift"/>
                <w:rFonts w:ascii="Times New Roman" w:hAnsi="Times New Roman"/>
                <w:sz w:val="24"/>
              </w:rPr>
              <w:t>nepriamymi brutto podielmi uvedenými vyššie</w:t>
            </w:r>
          </w:p>
          <w:p w14:paraId="7BD0D59F" w14:textId="0697285E" w:rsidR="00674BF5" w:rsidRPr="00E07C9A" w:rsidRDefault="00674BF5" w:rsidP="00487A02">
            <w:pPr>
              <w:pStyle w:val="InstructionsText"/>
            </w:pPr>
            <w:r w:rsidRPr="00E07C9A">
              <w:t>Článok 4 ods. 1 bod 114</w:t>
            </w:r>
            <w:r w:rsidR="009912F8" w:rsidRPr="00E07C9A">
              <w:t xml:space="preserve"> a </w:t>
            </w:r>
            <w:r w:rsidRPr="00E07C9A">
              <w:t xml:space="preserve">článok 45 nariadenia (EÚ) </w:t>
            </w:r>
            <w:r w:rsidR="009912F8" w:rsidRPr="00E07C9A">
              <w:t>č. 575/2013</w:t>
            </w:r>
          </w:p>
          <w:p w14:paraId="15A025FB" w14:textId="0857168C" w:rsidR="00674BF5" w:rsidRPr="00E07C9A" w:rsidRDefault="00674BF5" w:rsidP="00487A02">
            <w:pPr>
              <w:pStyle w:val="InstructionsText"/>
            </w:pPr>
            <w:r w:rsidRPr="00E07C9A">
              <w:t xml:space="preserve">Článkom 45 písm. a) nariadenia (EÚ) </w:t>
            </w:r>
            <w:r w:rsidR="009912F8" w:rsidRPr="00E07C9A">
              <w:t>č. 575/2013</w:t>
            </w:r>
            <w:r w:rsidRPr="00E07C9A">
              <w:t xml:space="preserve"> sa povoľujú kompenzačné krátke pozície</w:t>
            </w:r>
            <w:r w:rsidR="009912F8" w:rsidRPr="00E07C9A">
              <w:t xml:space="preserve"> v </w:t>
            </w:r>
            <w:r w:rsidRPr="00E07C9A">
              <w:t>rovnakej podkladovej expozícii pod podmienkou, že dátum splatnosti krátkej pozície je buď rovnaký alebo neskorší ako dátum splatnosti dlhej pozície, alebo zostatková splatnosť krátkej pozície je najmenej jeden rok.</w:t>
            </w:r>
          </w:p>
        </w:tc>
      </w:tr>
      <w:tr w:rsidR="00674BF5" w:rsidRPr="00E07C9A" w14:paraId="3730F3C2" w14:textId="77777777" w:rsidTr="00674BF5">
        <w:tc>
          <w:tcPr>
            <w:tcW w:w="1474" w:type="dxa"/>
          </w:tcPr>
          <w:p w14:paraId="4801A38C" w14:textId="77777777" w:rsidR="00674BF5" w:rsidRPr="00E07C9A" w:rsidRDefault="00754ADC" w:rsidP="00487A02">
            <w:pPr>
              <w:pStyle w:val="InstructionsText"/>
            </w:pPr>
            <w:r w:rsidRPr="00E07C9A">
              <w:lastRenderedPageBreak/>
              <w:t>0291</w:t>
            </w:r>
          </w:p>
        </w:tc>
        <w:tc>
          <w:tcPr>
            <w:tcW w:w="7049" w:type="dxa"/>
            <w:vAlign w:val="center"/>
          </w:tcPr>
          <w:p w14:paraId="01EBFDC4" w14:textId="29559C26" w:rsidR="00674BF5" w:rsidRPr="00E07C9A" w:rsidRDefault="00674BF5" w:rsidP="00487A02">
            <w:pPr>
              <w:pStyle w:val="InstructionsText"/>
              <w:rPr>
                <w:rStyle w:val="InstructionsTabelleberschrift"/>
                <w:rFonts w:ascii="Times New Roman" w:hAnsi="Times New Roman"/>
                <w:b w:val="0"/>
                <w:sz w:val="24"/>
                <w:u w:val="none"/>
              </w:rPr>
            </w:pPr>
            <w:r w:rsidRPr="00E07C9A">
              <w:rPr>
                <w:rStyle w:val="InstructionsTabelleberschrift"/>
                <w:rFonts w:ascii="Times New Roman" w:hAnsi="Times New Roman"/>
                <w:sz w:val="24"/>
              </w:rPr>
              <w:t>12.3.1.</w:t>
            </w:r>
            <w:r w:rsidRPr="00E07C9A">
              <w:tab/>
            </w:r>
            <w:r w:rsidRPr="00E07C9A">
              <w:rPr>
                <w:rStyle w:val="InstructionsTabelleberschrift"/>
                <w:rFonts w:ascii="Times New Roman" w:hAnsi="Times New Roman"/>
                <w:sz w:val="24"/>
              </w:rPr>
              <w:t>Syntetické podiely kapitálu CET1 subjektov finančného sektora,</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ktorých inštitúcia nemá významnú investíciu</w:t>
            </w:r>
          </w:p>
          <w:p w14:paraId="5572FBC1" w14:textId="3607C517" w:rsidR="00674BF5" w:rsidRPr="00E07C9A" w:rsidRDefault="00674BF5" w:rsidP="00487A02">
            <w:pPr>
              <w:pStyle w:val="InstructionsText"/>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Článok 4 ods. 1 bod 126</w:t>
            </w:r>
            <w:r w:rsidR="009912F8" w:rsidRPr="00E07C9A">
              <w:rPr>
                <w:rStyle w:val="InstructionsTabelleberschrift"/>
                <w:rFonts w:ascii="Times New Roman" w:hAnsi="Times New Roman"/>
                <w:b w:val="0"/>
                <w:sz w:val="24"/>
                <w:u w:val="none"/>
              </w:rPr>
              <w:t xml:space="preserve"> a </w:t>
            </w:r>
            <w:r w:rsidRPr="00E07C9A">
              <w:rPr>
                <w:rStyle w:val="InstructionsTabelleberschrift"/>
                <w:rFonts w:ascii="Times New Roman" w:hAnsi="Times New Roman"/>
                <w:b w:val="0"/>
                <w:sz w:val="24"/>
                <w:u w:val="none"/>
              </w:rPr>
              <w:t>články 44</w:t>
            </w:r>
            <w:r w:rsidR="009912F8" w:rsidRPr="00E07C9A">
              <w:rPr>
                <w:rStyle w:val="InstructionsTabelleberschrift"/>
                <w:rFonts w:ascii="Times New Roman" w:hAnsi="Times New Roman"/>
                <w:b w:val="0"/>
                <w:sz w:val="24"/>
                <w:u w:val="none"/>
              </w:rPr>
              <w:t xml:space="preserve"> a </w:t>
            </w:r>
            <w:r w:rsidRPr="00E07C9A">
              <w:rPr>
                <w:rStyle w:val="InstructionsTabelleberschrift"/>
                <w:rFonts w:ascii="Times New Roman" w:hAnsi="Times New Roman"/>
                <w:b w:val="0"/>
                <w:sz w:val="24"/>
                <w:u w:val="none"/>
              </w:rPr>
              <w:t>45</w:t>
            </w:r>
            <w:r w:rsidRPr="00E07C9A">
              <w:t xml:space="preserve"> nariadenia (EÚ) </w:t>
            </w:r>
            <w:r w:rsidR="009912F8" w:rsidRPr="00E07C9A">
              <w:t>č. 575/2013</w:t>
            </w:r>
          </w:p>
        </w:tc>
      </w:tr>
      <w:tr w:rsidR="00674BF5" w:rsidRPr="00E07C9A" w14:paraId="64D12E52" w14:textId="77777777" w:rsidTr="00674BF5">
        <w:tc>
          <w:tcPr>
            <w:tcW w:w="1474" w:type="dxa"/>
          </w:tcPr>
          <w:p w14:paraId="6C041F62" w14:textId="77777777" w:rsidR="00674BF5" w:rsidRPr="00E07C9A" w:rsidRDefault="00754ADC" w:rsidP="00487A02">
            <w:pPr>
              <w:pStyle w:val="InstructionsText"/>
            </w:pPr>
            <w:r w:rsidRPr="00E07C9A">
              <w:t>0292</w:t>
            </w:r>
          </w:p>
        </w:tc>
        <w:tc>
          <w:tcPr>
            <w:tcW w:w="7049" w:type="dxa"/>
            <w:vAlign w:val="center"/>
          </w:tcPr>
          <w:p w14:paraId="7534DE7F" w14:textId="3A698ED6" w:rsidR="00674BF5" w:rsidRPr="00E07C9A" w:rsidRDefault="00674BF5" w:rsidP="00487A02">
            <w:pPr>
              <w:pStyle w:val="InstructionsText"/>
              <w:rPr>
                <w:rStyle w:val="InstructionsTabelleberschrift"/>
                <w:rFonts w:ascii="Times New Roman" w:hAnsi="Times New Roman"/>
                <w:b w:val="0"/>
                <w:sz w:val="24"/>
                <w:u w:val="none"/>
              </w:rPr>
            </w:pPr>
            <w:r w:rsidRPr="00E07C9A">
              <w:rPr>
                <w:rStyle w:val="InstructionsTabelleberschrift"/>
                <w:rFonts w:ascii="Times New Roman" w:hAnsi="Times New Roman"/>
                <w:sz w:val="24"/>
              </w:rPr>
              <w:t>12.3.2.</w:t>
            </w:r>
            <w:r w:rsidRPr="00E07C9A">
              <w:tab/>
            </w:r>
            <w:r w:rsidRPr="00E07C9A">
              <w:rPr>
                <w:rStyle w:val="InstructionsTabelleberschrift"/>
                <w:rFonts w:ascii="Times New Roman" w:hAnsi="Times New Roman"/>
                <w:sz w:val="24"/>
              </w:rPr>
              <w:t>Brutto syntetické podiely kapitálu CET1 subjektov finančného sektora,</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ktorých inštitúcia nemá významnú investíciu</w:t>
            </w:r>
          </w:p>
          <w:p w14:paraId="08489D8F" w14:textId="7D5CE9A5" w:rsidR="00674BF5" w:rsidRPr="00E07C9A" w:rsidRDefault="00674BF5" w:rsidP="00487A02">
            <w:pPr>
              <w:pStyle w:val="InstructionsText"/>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Článok 4 ods. 1 bod 126</w:t>
            </w:r>
            <w:r w:rsidR="009912F8" w:rsidRPr="00E07C9A">
              <w:rPr>
                <w:rStyle w:val="InstructionsTabelleberschrift"/>
                <w:rFonts w:ascii="Times New Roman" w:hAnsi="Times New Roman"/>
                <w:b w:val="0"/>
                <w:sz w:val="24"/>
                <w:u w:val="none"/>
              </w:rPr>
              <w:t xml:space="preserve"> a </w:t>
            </w:r>
            <w:r w:rsidRPr="00E07C9A">
              <w:rPr>
                <w:rStyle w:val="InstructionsTabelleberschrift"/>
                <w:rFonts w:ascii="Times New Roman" w:hAnsi="Times New Roman"/>
                <w:b w:val="0"/>
                <w:sz w:val="24"/>
                <w:u w:val="none"/>
              </w:rPr>
              <w:t>články 44</w:t>
            </w:r>
            <w:r w:rsidR="009912F8" w:rsidRPr="00E07C9A">
              <w:rPr>
                <w:rStyle w:val="InstructionsTabelleberschrift"/>
                <w:rFonts w:ascii="Times New Roman" w:hAnsi="Times New Roman"/>
                <w:b w:val="0"/>
                <w:sz w:val="24"/>
                <w:u w:val="none"/>
              </w:rPr>
              <w:t xml:space="preserve"> a </w:t>
            </w:r>
            <w:r w:rsidRPr="00E07C9A">
              <w:rPr>
                <w:rStyle w:val="InstructionsTabelleberschrift"/>
                <w:rFonts w:ascii="Times New Roman" w:hAnsi="Times New Roman"/>
                <w:b w:val="0"/>
                <w:sz w:val="24"/>
                <w:u w:val="none"/>
              </w:rPr>
              <w:t>45</w:t>
            </w:r>
            <w:r w:rsidRPr="00E07C9A">
              <w:t xml:space="preserve"> nariadenia (EÚ) </w:t>
            </w:r>
            <w:r w:rsidR="009912F8" w:rsidRPr="00E07C9A">
              <w:t>č. 575/2013</w:t>
            </w:r>
          </w:p>
        </w:tc>
      </w:tr>
      <w:tr w:rsidR="00674BF5" w:rsidRPr="00E07C9A" w14:paraId="0603DF21" w14:textId="77777777" w:rsidTr="00674BF5">
        <w:tc>
          <w:tcPr>
            <w:tcW w:w="1474" w:type="dxa"/>
          </w:tcPr>
          <w:p w14:paraId="47EAE28B" w14:textId="77777777" w:rsidR="00674BF5" w:rsidRPr="00E07C9A" w:rsidRDefault="00754ADC" w:rsidP="00487A02">
            <w:pPr>
              <w:pStyle w:val="InstructionsText"/>
            </w:pPr>
            <w:r w:rsidRPr="00E07C9A">
              <w:t>0293</w:t>
            </w:r>
          </w:p>
        </w:tc>
        <w:tc>
          <w:tcPr>
            <w:tcW w:w="7049" w:type="dxa"/>
            <w:vAlign w:val="center"/>
          </w:tcPr>
          <w:p w14:paraId="1901D7C6" w14:textId="5E94CAC3" w:rsidR="00674BF5" w:rsidRPr="00E07C9A" w:rsidRDefault="00674BF5"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12.3.3.</w:t>
            </w:r>
            <w:r w:rsidRPr="00E07C9A">
              <w:tab/>
            </w:r>
            <w:r w:rsidRPr="00E07C9A">
              <w:rPr>
                <w:rStyle w:val="InstructionsTabelleberschrift"/>
                <w:rFonts w:ascii="Times New Roman" w:hAnsi="Times New Roman"/>
                <w:sz w:val="24"/>
              </w:rPr>
              <w:t>(–) Povolené kompenzačné krátke pozície</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súvislosti</w:t>
            </w:r>
            <w:r w:rsidR="009912F8" w:rsidRPr="00E07C9A">
              <w:rPr>
                <w:rStyle w:val="InstructionsTabelleberschrift"/>
                <w:rFonts w:ascii="Times New Roman" w:hAnsi="Times New Roman"/>
                <w:sz w:val="24"/>
              </w:rPr>
              <w:t xml:space="preserve"> s </w:t>
            </w:r>
            <w:r w:rsidRPr="00E07C9A">
              <w:rPr>
                <w:rStyle w:val="InstructionsTabelleberschrift"/>
                <w:rFonts w:ascii="Times New Roman" w:hAnsi="Times New Roman"/>
                <w:sz w:val="24"/>
              </w:rPr>
              <w:t>brutto syntetickými podielmi uvedenými vyššie</w:t>
            </w:r>
          </w:p>
          <w:p w14:paraId="76BF8245" w14:textId="6E15E34A" w:rsidR="00674BF5" w:rsidRPr="00E07C9A" w:rsidRDefault="00674BF5" w:rsidP="00487A02">
            <w:pPr>
              <w:pStyle w:val="InstructionsText"/>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Článok 4 ods. 1 bod 126</w:t>
            </w:r>
            <w:r w:rsidR="009912F8" w:rsidRPr="00E07C9A">
              <w:rPr>
                <w:rStyle w:val="InstructionsTabelleberschrift"/>
                <w:rFonts w:ascii="Times New Roman" w:hAnsi="Times New Roman"/>
                <w:b w:val="0"/>
                <w:sz w:val="24"/>
                <w:u w:val="none"/>
              </w:rPr>
              <w:t xml:space="preserve"> a </w:t>
            </w:r>
            <w:r w:rsidRPr="00E07C9A">
              <w:rPr>
                <w:rStyle w:val="InstructionsTabelleberschrift"/>
                <w:rFonts w:ascii="Times New Roman" w:hAnsi="Times New Roman"/>
                <w:b w:val="0"/>
                <w:sz w:val="24"/>
                <w:u w:val="none"/>
              </w:rPr>
              <w:t xml:space="preserve">článok 45 </w:t>
            </w:r>
            <w:r w:rsidRPr="00E07C9A">
              <w:t xml:space="preserve">nariadenia (EÚ) </w:t>
            </w:r>
            <w:r w:rsidR="009912F8" w:rsidRPr="00E07C9A">
              <w:t>č. 575/2013</w:t>
            </w:r>
          </w:p>
          <w:p w14:paraId="2BF58BE0" w14:textId="7990C44A" w:rsidR="002D31E5" w:rsidRPr="00E07C9A" w:rsidRDefault="002D31E5" w:rsidP="00712F56">
            <w:pPr>
              <w:pStyle w:val="InstructionsText"/>
              <w:rPr>
                <w:rStyle w:val="InstructionsTabelleberschrift"/>
                <w:rFonts w:ascii="Times New Roman" w:hAnsi="Times New Roman"/>
                <w:b w:val="0"/>
                <w:sz w:val="24"/>
                <w:u w:val="none"/>
              </w:rPr>
            </w:pPr>
            <w:r w:rsidRPr="00E07C9A">
              <w:t xml:space="preserve">Článkom 45 písm. a) nariadenia (EÚ) </w:t>
            </w:r>
            <w:r w:rsidR="009912F8" w:rsidRPr="00E07C9A">
              <w:t>č. 575/2013</w:t>
            </w:r>
            <w:r w:rsidRPr="00E07C9A">
              <w:t xml:space="preserve"> sa povoľujú kompenzačné krátke pozície</w:t>
            </w:r>
            <w:r w:rsidR="009912F8" w:rsidRPr="00E07C9A">
              <w:t xml:space="preserve"> v </w:t>
            </w:r>
            <w:r w:rsidRPr="00E07C9A">
              <w:t>rovnakej podkladovej expozícii pod podmienkou, že dátum splatnosti krátkej pozície je buď rovnaký alebo neskorší ako dátum splatnosti dlhej pozície, alebo zostatková splatnosť krátkej pozície je najmenej jeden rok.</w:t>
            </w:r>
          </w:p>
        </w:tc>
      </w:tr>
      <w:tr w:rsidR="00674BF5" w:rsidRPr="00E07C9A" w14:paraId="522623FD" w14:textId="77777777" w:rsidTr="00674BF5">
        <w:tc>
          <w:tcPr>
            <w:tcW w:w="1474" w:type="dxa"/>
          </w:tcPr>
          <w:p w14:paraId="5D93A4CB" w14:textId="77777777" w:rsidR="00674BF5" w:rsidRPr="00E07C9A" w:rsidRDefault="00754ADC" w:rsidP="00487A02">
            <w:pPr>
              <w:pStyle w:val="InstructionsText"/>
            </w:pPr>
            <w:r w:rsidRPr="00E07C9A">
              <w:t>0300</w:t>
            </w:r>
          </w:p>
        </w:tc>
        <w:tc>
          <w:tcPr>
            <w:tcW w:w="7049" w:type="dxa"/>
          </w:tcPr>
          <w:p w14:paraId="0425D53E" w14:textId="54C5E60F" w:rsidR="00674BF5" w:rsidRPr="00E07C9A" w:rsidRDefault="00674BF5"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13.</w:t>
            </w:r>
            <w:r w:rsidRPr="00E07C9A">
              <w:tab/>
            </w:r>
            <w:r w:rsidRPr="00E07C9A">
              <w:rPr>
                <w:rStyle w:val="InstructionsTabelleberschrift"/>
                <w:rFonts w:ascii="Times New Roman" w:hAnsi="Times New Roman"/>
                <w:sz w:val="24"/>
              </w:rPr>
              <w:t>Podiely kapitálu AT1 subjektov finančného sektora,</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ktorých inštitúcia nemá významnú investíciu, po odpočítaní krátkych pozícií</w:t>
            </w:r>
          </w:p>
          <w:p w14:paraId="3A7268AA" w14:textId="1522821F" w:rsidR="00674BF5" w:rsidRPr="00E07C9A" w:rsidRDefault="00674BF5" w:rsidP="00487A02">
            <w:pPr>
              <w:pStyle w:val="InstructionsText"/>
            </w:pPr>
            <w:r w:rsidRPr="00E07C9A">
              <w:t>Články 58, 59</w:t>
            </w:r>
            <w:r w:rsidR="009912F8" w:rsidRPr="00E07C9A">
              <w:t xml:space="preserve"> a </w:t>
            </w:r>
            <w:r w:rsidRPr="00E07C9A">
              <w:t xml:space="preserve">60 nariadenia (EÚ) </w:t>
            </w:r>
            <w:r w:rsidR="009912F8" w:rsidRPr="00E07C9A">
              <w:t>č. 575/2013</w:t>
            </w:r>
          </w:p>
        </w:tc>
      </w:tr>
      <w:tr w:rsidR="00674BF5" w:rsidRPr="00E07C9A" w14:paraId="04899EF0" w14:textId="77777777" w:rsidTr="00674BF5">
        <w:tc>
          <w:tcPr>
            <w:tcW w:w="1474" w:type="dxa"/>
          </w:tcPr>
          <w:p w14:paraId="1C3F7FC6" w14:textId="77777777" w:rsidR="00674BF5" w:rsidRPr="00E07C9A" w:rsidRDefault="00754ADC" w:rsidP="00487A02">
            <w:pPr>
              <w:pStyle w:val="InstructionsText"/>
            </w:pPr>
            <w:r w:rsidRPr="00E07C9A">
              <w:t>0310</w:t>
            </w:r>
          </w:p>
        </w:tc>
        <w:tc>
          <w:tcPr>
            <w:tcW w:w="7049" w:type="dxa"/>
          </w:tcPr>
          <w:p w14:paraId="4B1580C2" w14:textId="717F534B" w:rsidR="00674BF5" w:rsidRPr="00E07C9A" w:rsidRDefault="00674BF5" w:rsidP="00487A02">
            <w:pPr>
              <w:pStyle w:val="InstructionsText"/>
            </w:pPr>
            <w:r w:rsidRPr="00E07C9A">
              <w:rPr>
                <w:rStyle w:val="InstructionsTabelleberschrift"/>
                <w:rFonts w:ascii="Times New Roman" w:hAnsi="Times New Roman"/>
                <w:sz w:val="24"/>
              </w:rPr>
              <w:t>13.1.</w:t>
            </w:r>
            <w:r w:rsidRPr="00E07C9A">
              <w:tab/>
            </w:r>
            <w:r w:rsidRPr="00E07C9A">
              <w:rPr>
                <w:rStyle w:val="InstructionsTabelleberschrift"/>
                <w:rFonts w:ascii="Times New Roman" w:hAnsi="Times New Roman"/>
                <w:sz w:val="24"/>
              </w:rPr>
              <w:t>Priame podiely kapitálu AT1 subjektov finančného sektora,</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ktorých inštitúcia nemá významnú investíciu</w:t>
            </w:r>
          </w:p>
          <w:p w14:paraId="12F9644D" w14:textId="1230DE80" w:rsidR="00674BF5" w:rsidRPr="00E07C9A" w:rsidRDefault="00674BF5" w:rsidP="00487A02">
            <w:pPr>
              <w:pStyle w:val="InstructionsText"/>
            </w:pPr>
            <w:r w:rsidRPr="00E07C9A">
              <w:t>Články 58, 59</w:t>
            </w:r>
            <w:r w:rsidR="009912F8" w:rsidRPr="00E07C9A">
              <w:t xml:space="preserve"> a </w:t>
            </w:r>
            <w:r w:rsidRPr="00E07C9A">
              <w:t xml:space="preserve">článok 60 ods. 2 nariadenia (EÚ) </w:t>
            </w:r>
            <w:r w:rsidR="009912F8" w:rsidRPr="00E07C9A">
              <w:t>č. 575/2013</w:t>
            </w:r>
          </w:p>
        </w:tc>
      </w:tr>
      <w:tr w:rsidR="00674BF5" w:rsidRPr="00E07C9A" w14:paraId="06E798E4" w14:textId="77777777" w:rsidTr="00674BF5">
        <w:tc>
          <w:tcPr>
            <w:tcW w:w="1474" w:type="dxa"/>
          </w:tcPr>
          <w:p w14:paraId="2EA3232C" w14:textId="77777777" w:rsidR="00674BF5" w:rsidRPr="00E07C9A" w:rsidRDefault="00754ADC" w:rsidP="00487A02">
            <w:pPr>
              <w:pStyle w:val="InstructionsText"/>
            </w:pPr>
            <w:r w:rsidRPr="00E07C9A">
              <w:t>0320</w:t>
            </w:r>
          </w:p>
        </w:tc>
        <w:tc>
          <w:tcPr>
            <w:tcW w:w="7049" w:type="dxa"/>
          </w:tcPr>
          <w:p w14:paraId="43891B7C" w14:textId="14EBF087" w:rsidR="00674BF5" w:rsidRPr="00E07C9A" w:rsidRDefault="00674BF5" w:rsidP="00487A02">
            <w:pPr>
              <w:pStyle w:val="InstructionsText"/>
            </w:pPr>
            <w:r w:rsidRPr="00E07C9A">
              <w:rPr>
                <w:rStyle w:val="InstructionsTabelleberschrift"/>
                <w:rFonts w:ascii="Times New Roman" w:hAnsi="Times New Roman"/>
                <w:sz w:val="24"/>
              </w:rPr>
              <w:t>13.1.1.</w:t>
            </w:r>
            <w:r w:rsidRPr="00E07C9A">
              <w:tab/>
            </w:r>
            <w:r w:rsidRPr="00E07C9A">
              <w:rPr>
                <w:rStyle w:val="InstructionsTabelleberschrift"/>
                <w:rFonts w:ascii="Times New Roman" w:hAnsi="Times New Roman"/>
                <w:sz w:val="24"/>
              </w:rPr>
              <w:t>Brutto priame podiely kapitálu AT1 subjektov finančného sektora,</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ktorých inštitúcia nemá významnú investíciu</w:t>
            </w:r>
          </w:p>
          <w:p w14:paraId="7DF04F57" w14:textId="31D597F2" w:rsidR="00674BF5" w:rsidRPr="00E07C9A" w:rsidRDefault="00674BF5" w:rsidP="00487A02">
            <w:pPr>
              <w:pStyle w:val="InstructionsText"/>
            </w:pPr>
            <w:r w:rsidRPr="00E07C9A">
              <w:t>Článok 58</w:t>
            </w:r>
            <w:r w:rsidR="009912F8" w:rsidRPr="00E07C9A">
              <w:t xml:space="preserve"> a </w:t>
            </w:r>
            <w:r w:rsidRPr="00E07C9A">
              <w:t xml:space="preserve">článok 60 ods. 2 nariadenia (EÚ) </w:t>
            </w:r>
            <w:r w:rsidR="009912F8" w:rsidRPr="00E07C9A">
              <w:t>č. 575/2013</w:t>
            </w:r>
          </w:p>
          <w:p w14:paraId="0720C102" w14:textId="77777777" w:rsidR="00674BF5" w:rsidRPr="00E07C9A" w:rsidRDefault="00674BF5" w:rsidP="00487A02">
            <w:pPr>
              <w:pStyle w:val="InstructionsText"/>
            </w:pPr>
            <w:r w:rsidRPr="00E07C9A">
              <w:t>Priame podiely kapitálu AT1 subjektov finančného sektora, keď inštitúcia nemá významnú investíciu, bez:</w:t>
            </w:r>
          </w:p>
          <w:p w14:paraId="459C6FF5" w14:textId="77777777" w:rsidR="009912F8" w:rsidRPr="00E07C9A" w:rsidRDefault="00674BF5" w:rsidP="00487A02">
            <w:pPr>
              <w:pStyle w:val="InstructionsText"/>
            </w:pPr>
            <w:r w:rsidRPr="00E07C9A">
              <w:t>a)</w:t>
            </w:r>
            <w:r w:rsidRPr="00E07C9A">
              <w:tab/>
              <w:t>pozícií</w:t>
            </w:r>
            <w:r w:rsidR="009912F8" w:rsidRPr="00E07C9A">
              <w:t xml:space="preserve"> z </w:t>
            </w:r>
            <w:r w:rsidRPr="00E07C9A">
              <w:t>upísania držaných päť pracovných dní alebo menej;</w:t>
            </w:r>
            <w:r w:rsidR="009912F8" w:rsidRPr="00E07C9A">
              <w:t xml:space="preserve"> a</w:t>
            </w:r>
          </w:p>
          <w:p w14:paraId="22C8A827" w14:textId="411ECE8B" w:rsidR="00674BF5" w:rsidRPr="00E07C9A" w:rsidRDefault="00674BF5" w:rsidP="00F42FE9">
            <w:pPr>
              <w:pStyle w:val="InstructionsText"/>
            </w:pPr>
            <w:r w:rsidRPr="00E07C9A">
              <w:t>b)</w:t>
            </w:r>
            <w:r w:rsidRPr="00E07C9A">
              <w:tab/>
              <w:t>podielov,</w:t>
            </w:r>
            <w:r w:rsidR="009912F8" w:rsidRPr="00E07C9A">
              <w:t xml:space="preserve"> s </w:t>
            </w:r>
            <w:r w:rsidRPr="00E07C9A">
              <w:t>ktorými sa zaobchádza ako</w:t>
            </w:r>
            <w:r w:rsidR="009912F8" w:rsidRPr="00E07C9A">
              <w:t xml:space="preserve"> s </w:t>
            </w:r>
            <w:r w:rsidRPr="00E07C9A">
              <w:t>recipročnými krížovými podielmi</w:t>
            </w:r>
            <w:r w:rsidR="009912F8" w:rsidRPr="00E07C9A">
              <w:t xml:space="preserve"> v </w:t>
            </w:r>
            <w:r w:rsidRPr="00E07C9A">
              <w:t>súlade</w:t>
            </w:r>
            <w:r w:rsidR="009912F8" w:rsidRPr="00E07C9A">
              <w:t xml:space="preserve"> s </w:t>
            </w:r>
            <w:r w:rsidRPr="00E07C9A">
              <w:t xml:space="preserve">článkom 56 písm. b) nariadenia (EÚ) </w:t>
            </w:r>
            <w:r w:rsidR="009912F8" w:rsidRPr="00E07C9A">
              <w:t>č. 575/2013</w:t>
            </w:r>
            <w:r w:rsidRPr="00E07C9A">
              <w:t>.</w:t>
            </w:r>
          </w:p>
        </w:tc>
      </w:tr>
      <w:tr w:rsidR="00674BF5" w:rsidRPr="00E07C9A" w14:paraId="4B8F861A" w14:textId="77777777" w:rsidTr="00674BF5">
        <w:tc>
          <w:tcPr>
            <w:tcW w:w="1474" w:type="dxa"/>
          </w:tcPr>
          <w:p w14:paraId="7DE1298F" w14:textId="77777777" w:rsidR="00674BF5" w:rsidRPr="00E07C9A" w:rsidRDefault="00754ADC" w:rsidP="00487A02">
            <w:pPr>
              <w:pStyle w:val="InstructionsText"/>
            </w:pPr>
            <w:r w:rsidRPr="00E07C9A">
              <w:t>0330</w:t>
            </w:r>
          </w:p>
        </w:tc>
        <w:tc>
          <w:tcPr>
            <w:tcW w:w="7049" w:type="dxa"/>
          </w:tcPr>
          <w:p w14:paraId="42043EC5" w14:textId="1740EDB2" w:rsidR="00674BF5" w:rsidRPr="00E07C9A" w:rsidRDefault="00674BF5" w:rsidP="00487A02">
            <w:pPr>
              <w:pStyle w:val="InstructionsText"/>
            </w:pPr>
            <w:r w:rsidRPr="00E07C9A">
              <w:rPr>
                <w:rStyle w:val="InstructionsTabelleberschrift"/>
                <w:rFonts w:ascii="Times New Roman" w:hAnsi="Times New Roman"/>
                <w:sz w:val="24"/>
              </w:rPr>
              <w:t>13.1.2.</w:t>
            </w:r>
            <w:r w:rsidRPr="00E07C9A">
              <w:tab/>
            </w:r>
            <w:r w:rsidRPr="00E07C9A">
              <w:rPr>
                <w:rStyle w:val="InstructionsTabelleberschrift"/>
                <w:rFonts w:ascii="Times New Roman" w:hAnsi="Times New Roman"/>
                <w:sz w:val="24"/>
              </w:rPr>
              <w:t>(–) Povolené kompenzačné krátke pozície</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súvislosti</w:t>
            </w:r>
            <w:r w:rsidR="009912F8" w:rsidRPr="00E07C9A">
              <w:rPr>
                <w:rStyle w:val="InstructionsTabelleberschrift"/>
                <w:rFonts w:ascii="Times New Roman" w:hAnsi="Times New Roman"/>
                <w:sz w:val="24"/>
              </w:rPr>
              <w:t xml:space="preserve"> s </w:t>
            </w:r>
            <w:r w:rsidRPr="00E07C9A">
              <w:rPr>
                <w:rStyle w:val="InstructionsTabelleberschrift"/>
                <w:rFonts w:ascii="Times New Roman" w:hAnsi="Times New Roman"/>
                <w:sz w:val="24"/>
              </w:rPr>
              <w:t>priamymi brutto podielmi uvedenými vyššie</w:t>
            </w:r>
          </w:p>
          <w:p w14:paraId="37E8F418" w14:textId="07476ABA" w:rsidR="00674BF5" w:rsidRPr="00E07C9A" w:rsidRDefault="00674BF5" w:rsidP="00487A02">
            <w:pPr>
              <w:pStyle w:val="InstructionsText"/>
            </w:pPr>
            <w:r w:rsidRPr="00E07C9A">
              <w:t xml:space="preserve">Článok 59 nariadenia (EÚ) </w:t>
            </w:r>
            <w:r w:rsidR="009912F8" w:rsidRPr="00E07C9A">
              <w:t>č. 575/2013</w:t>
            </w:r>
          </w:p>
          <w:p w14:paraId="7EE8FF1A" w14:textId="07C69E72" w:rsidR="00674BF5" w:rsidRPr="00E07C9A" w:rsidRDefault="00674BF5" w:rsidP="00487A02">
            <w:pPr>
              <w:pStyle w:val="InstructionsText"/>
            </w:pPr>
            <w:r w:rsidRPr="00E07C9A">
              <w:t xml:space="preserve">Článkom 59 písm. a) nariadenia (EÚ) </w:t>
            </w:r>
            <w:r w:rsidR="009912F8" w:rsidRPr="00E07C9A">
              <w:t>č. 575/2013</w:t>
            </w:r>
            <w:r w:rsidRPr="00E07C9A">
              <w:t xml:space="preserve"> sa povoľujú kompenzačné krátke pozície</w:t>
            </w:r>
            <w:r w:rsidR="009912F8" w:rsidRPr="00E07C9A">
              <w:t xml:space="preserve"> v </w:t>
            </w:r>
            <w:r w:rsidRPr="00E07C9A">
              <w:t>rovnakej podkladovej expozícii pod podmienkou, že dátum splatnosti krátkej pozície je buď rovnaký alebo neskorší ako dátum splatnosti dlhej pozície, alebo zostatková splatnosť krátkej pozície je najmenej jeden rok.</w:t>
            </w:r>
          </w:p>
        </w:tc>
      </w:tr>
      <w:tr w:rsidR="00674BF5" w:rsidRPr="00E07C9A" w14:paraId="2A2D5DE1" w14:textId="77777777" w:rsidTr="00674BF5">
        <w:tc>
          <w:tcPr>
            <w:tcW w:w="1474" w:type="dxa"/>
          </w:tcPr>
          <w:p w14:paraId="5C185E72" w14:textId="77777777" w:rsidR="00674BF5" w:rsidRPr="00E07C9A" w:rsidRDefault="00754ADC" w:rsidP="00487A02">
            <w:pPr>
              <w:pStyle w:val="InstructionsText"/>
            </w:pPr>
            <w:r w:rsidRPr="00E07C9A">
              <w:t>0340</w:t>
            </w:r>
          </w:p>
        </w:tc>
        <w:tc>
          <w:tcPr>
            <w:tcW w:w="7049" w:type="dxa"/>
          </w:tcPr>
          <w:p w14:paraId="2DEC34CD" w14:textId="2C67E77B" w:rsidR="00674BF5" w:rsidRPr="00E07C9A" w:rsidRDefault="00674BF5" w:rsidP="00487A02">
            <w:pPr>
              <w:pStyle w:val="InstructionsText"/>
            </w:pPr>
            <w:r w:rsidRPr="00E07C9A">
              <w:rPr>
                <w:rStyle w:val="InstructionsTabelleberschrift"/>
                <w:rFonts w:ascii="Times New Roman" w:hAnsi="Times New Roman"/>
                <w:sz w:val="24"/>
              </w:rPr>
              <w:t>13.2.</w:t>
            </w:r>
            <w:r w:rsidRPr="00E07C9A">
              <w:tab/>
            </w:r>
            <w:r w:rsidRPr="00E07C9A">
              <w:rPr>
                <w:rStyle w:val="InstructionsTabelleberschrift"/>
                <w:rFonts w:ascii="Times New Roman" w:hAnsi="Times New Roman"/>
                <w:sz w:val="24"/>
              </w:rPr>
              <w:t>Nepriame podiely kapitálu AT1 subjektov finančného sektora,</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ktorých inštitúcia nemá významnú investíciu</w:t>
            </w:r>
          </w:p>
          <w:p w14:paraId="59B259D6" w14:textId="7FCFF7EE" w:rsidR="00674BF5" w:rsidRPr="00E07C9A" w:rsidRDefault="00674BF5" w:rsidP="00487A02">
            <w:pPr>
              <w:pStyle w:val="InstructionsText"/>
            </w:pPr>
            <w:r w:rsidRPr="00E07C9A">
              <w:lastRenderedPageBreak/>
              <w:t>Článok 4 ods. 1 bod 114</w:t>
            </w:r>
            <w:r w:rsidR="009912F8" w:rsidRPr="00E07C9A">
              <w:t xml:space="preserve"> a </w:t>
            </w:r>
            <w:r w:rsidRPr="00E07C9A">
              <w:t>články 58</w:t>
            </w:r>
            <w:r w:rsidR="009912F8" w:rsidRPr="00E07C9A">
              <w:t xml:space="preserve"> a </w:t>
            </w:r>
            <w:r w:rsidRPr="00E07C9A">
              <w:t xml:space="preserve">59 nariadenia (EÚ) </w:t>
            </w:r>
            <w:r w:rsidR="009912F8" w:rsidRPr="00E07C9A">
              <w:t>č. 575/2013</w:t>
            </w:r>
          </w:p>
        </w:tc>
      </w:tr>
      <w:tr w:rsidR="00674BF5" w:rsidRPr="00E07C9A" w14:paraId="54D1E330" w14:textId="77777777" w:rsidTr="00674BF5">
        <w:tc>
          <w:tcPr>
            <w:tcW w:w="1474" w:type="dxa"/>
          </w:tcPr>
          <w:p w14:paraId="2977533C" w14:textId="77777777" w:rsidR="00674BF5" w:rsidRPr="00E07C9A" w:rsidRDefault="00754ADC" w:rsidP="00487A02">
            <w:pPr>
              <w:pStyle w:val="InstructionsText"/>
            </w:pPr>
            <w:r w:rsidRPr="00E07C9A">
              <w:lastRenderedPageBreak/>
              <w:t>0350</w:t>
            </w:r>
          </w:p>
        </w:tc>
        <w:tc>
          <w:tcPr>
            <w:tcW w:w="7049" w:type="dxa"/>
          </w:tcPr>
          <w:p w14:paraId="61C0FE1C" w14:textId="0331312E" w:rsidR="00674BF5" w:rsidRPr="00E07C9A" w:rsidRDefault="00674BF5" w:rsidP="00487A02">
            <w:pPr>
              <w:pStyle w:val="InstructionsText"/>
            </w:pPr>
            <w:r w:rsidRPr="00E07C9A">
              <w:rPr>
                <w:rStyle w:val="InstructionsTabelleberschrift"/>
                <w:rFonts w:ascii="Times New Roman" w:hAnsi="Times New Roman"/>
                <w:sz w:val="24"/>
              </w:rPr>
              <w:t>13.2.1.</w:t>
            </w:r>
            <w:r w:rsidRPr="00E07C9A">
              <w:tab/>
            </w:r>
            <w:r w:rsidRPr="00E07C9A">
              <w:rPr>
                <w:rStyle w:val="InstructionsTabelleberschrift"/>
                <w:rFonts w:ascii="Times New Roman" w:hAnsi="Times New Roman"/>
                <w:sz w:val="24"/>
              </w:rPr>
              <w:t>Brutto nepriame podiely kapitálu AT1 subjektov finančného sektora,</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ktorých inštitúcia nemá významnú investíciu</w:t>
            </w:r>
          </w:p>
          <w:p w14:paraId="43E165CB" w14:textId="5ED41D9C" w:rsidR="00674BF5" w:rsidRPr="00E07C9A" w:rsidRDefault="00674BF5" w:rsidP="00487A02">
            <w:pPr>
              <w:pStyle w:val="InstructionsText"/>
            </w:pPr>
            <w:r w:rsidRPr="00E07C9A">
              <w:t>Článok 4 ods. 1 bod 114</w:t>
            </w:r>
            <w:r w:rsidR="009912F8" w:rsidRPr="00E07C9A">
              <w:t xml:space="preserve"> a </w:t>
            </w:r>
            <w:r w:rsidRPr="00E07C9A">
              <w:t>články 58</w:t>
            </w:r>
            <w:r w:rsidR="009912F8" w:rsidRPr="00E07C9A">
              <w:t xml:space="preserve"> a </w:t>
            </w:r>
            <w:r w:rsidRPr="00E07C9A">
              <w:t xml:space="preserve">59 nariadenia (EÚ) </w:t>
            </w:r>
            <w:r w:rsidR="009912F8" w:rsidRPr="00E07C9A">
              <w:t>č. 575/2013</w:t>
            </w:r>
          </w:p>
          <w:p w14:paraId="390AEC9F" w14:textId="354A2346" w:rsidR="00674BF5" w:rsidRPr="00E07C9A" w:rsidRDefault="00674BF5" w:rsidP="00487A02">
            <w:pPr>
              <w:pStyle w:val="InstructionsText"/>
            </w:pPr>
            <w:r w:rsidRPr="00E07C9A">
              <w:t>Vykazovaná hodnota sa rovná nepriamym podielom</w:t>
            </w:r>
            <w:r w:rsidR="009912F8" w:rsidRPr="00E07C9A">
              <w:t xml:space="preserve"> v </w:t>
            </w:r>
            <w:r w:rsidRPr="00E07C9A">
              <w:t>obchodnej knihe na kapitálových nástrojoch subjektov finančného sektora, ktoré sú vo forme podielov cenných papierov zaradených do indexu. Dosiahne sa vypočítaním podkladovej expozície voči kapitálovým nástrojom subjektov finančného sektora</w:t>
            </w:r>
            <w:r w:rsidR="009912F8" w:rsidRPr="00E07C9A">
              <w:t xml:space="preserve"> v </w:t>
            </w:r>
            <w:r w:rsidRPr="00E07C9A">
              <w:t>týchto indexoch.</w:t>
            </w:r>
          </w:p>
          <w:p w14:paraId="73245B5D" w14:textId="0CB33DE8" w:rsidR="00674BF5" w:rsidRPr="00E07C9A" w:rsidRDefault="00674BF5" w:rsidP="00F42FE9">
            <w:pPr>
              <w:pStyle w:val="InstructionsText"/>
            </w:pPr>
            <w:r w:rsidRPr="00E07C9A">
              <w:t>Podiely,</w:t>
            </w:r>
            <w:r w:rsidR="009912F8" w:rsidRPr="00E07C9A">
              <w:t xml:space="preserve"> s </w:t>
            </w:r>
            <w:r w:rsidRPr="00E07C9A">
              <w:t>ktorými sa zaobchádza ako</w:t>
            </w:r>
            <w:r w:rsidR="009912F8" w:rsidRPr="00E07C9A">
              <w:t xml:space="preserve"> s </w:t>
            </w:r>
            <w:r w:rsidRPr="00E07C9A">
              <w:t>recipročnými krížovými podielmi</w:t>
            </w:r>
            <w:r w:rsidR="009912F8" w:rsidRPr="00E07C9A">
              <w:t xml:space="preserve"> v </w:t>
            </w:r>
            <w:r w:rsidRPr="00E07C9A">
              <w:t>súlade</w:t>
            </w:r>
            <w:r w:rsidR="009912F8" w:rsidRPr="00E07C9A">
              <w:t xml:space="preserve"> s </w:t>
            </w:r>
            <w:r w:rsidRPr="00E07C9A">
              <w:t xml:space="preserve">článkom 56 písm. b) nariadenia (EÚ) </w:t>
            </w:r>
            <w:r w:rsidR="009912F8" w:rsidRPr="00E07C9A">
              <w:t>č. 575/2013</w:t>
            </w:r>
            <w:r w:rsidRPr="00E07C9A">
              <w:t>, sa nezapočítavajú.</w:t>
            </w:r>
          </w:p>
        </w:tc>
      </w:tr>
      <w:tr w:rsidR="00674BF5" w:rsidRPr="00E07C9A" w14:paraId="3BC9DAF0" w14:textId="77777777" w:rsidTr="00674BF5">
        <w:tc>
          <w:tcPr>
            <w:tcW w:w="1474" w:type="dxa"/>
          </w:tcPr>
          <w:p w14:paraId="13059191" w14:textId="77777777" w:rsidR="00674BF5" w:rsidRPr="00E07C9A" w:rsidRDefault="00754ADC" w:rsidP="00487A02">
            <w:pPr>
              <w:pStyle w:val="InstructionsText"/>
            </w:pPr>
            <w:r w:rsidRPr="00E07C9A">
              <w:t>0360</w:t>
            </w:r>
          </w:p>
        </w:tc>
        <w:tc>
          <w:tcPr>
            <w:tcW w:w="7049" w:type="dxa"/>
          </w:tcPr>
          <w:p w14:paraId="57AE1515" w14:textId="5C6CC96F" w:rsidR="00674BF5" w:rsidRPr="00E07C9A" w:rsidRDefault="00674BF5" w:rsidP="00487A02">
            <w:pPr>
              <w:pStyle w:val="InstructionsText"/>
            </w:pPr>
            <w:r w:rsidRPr="00E07C9A">
              <w:rPr>
                <w:rStyle w:val="InstructionsTabelleberschrift"/>
                <w:rFonts w:ascii="Times New Roman" w:hAnsi="Times New Roman"/>
                <w:sz w:val="24"/>
              </w:rPr>
              <w:t>13.2.2.</w:t>
            </w:r>
            <w:r w:rsidRPr="00E07C9A">
              <w:tab/>
            </w:r>
            <w:r w:rsidRPr="00E07C9A">
              <w:rPr>
                <w:rStyle w:val="InstructionsTabelleberschrift"/>
                <w:rFonts w:ascii="Times New Roman" w:hAnsi="Times New Roman"/>
                <w:sz w:val="24"/>
              </w:rPr>
              <w:t>(–) Povolené kompenzačné krátke pozície</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súvislosti</w:t>
            </w:r>
            <w:r w:rsidR="009912F8" w:rsidRPr="00E07C9A">
              <w:rPr>
                <w:rStyle w:val="InstructionsTabelleberschrift"/>
                <w:rFonts w:ascii="Times New Roman" w:hAnsi="Times New Roman"/>
                <w:sz w:val="24"/>
              </w:rPr>
              <w:t xml:space="preserve"> s </w:t>
            </w:r>
            <w:r w:rsidRPr="00E07C9A">
              <w:rPr>
                <w:rStyle w:val="InstructionsTabelleberschrift"/>
                <w:rFonts w:ascii="Times New Roman" w:hAnsi="Times New Roman"/>
                <w:sz w:val="24"/>
              </w:rPr>
              <w:t>nepriamymi brutto podielmi uvedenými vyššie</w:t>
            </w:r>
          </w:p>
          <w:p w14:paraId="4C6BA351" w14:textId="57A7DAB5" w:rsidR="00674BF5" w:rsidRPr="00E07C9A" w:rsidRDefault="00674BF5" w:rsidP="00487A02">
            <w:pPr>
              <w:pStyle w:val="InstructionsText"/>
            </w:pPr>
            <w:r w:rsidRPr="00E07C9A">
              <w:t>Článok 4 ods. 1 bod 114</w:t>
            </w:r>
            <w:r w:rsidR="009912F8" w:rsidRPr="00E07C9A">
              <w:t xml:space="preserve"> a </w:t>
            </w:r>
            <w:r w:rsidRPr="00E07C9A">
              <w:t xml:space="preserve">článok 59 nariadenia (EÚ) </w:t>
            </w:r>
            <w:r w:rsidR="009912F8" w:rsidRPr="00E07C9A">
              <w:t>č. 575/2013</w:t>
            </w:r>
          </w:p>
          <w:p w14:paraId="5865285A" w14:textId="4D32CE31" w:rsidR="00674BF5" w:rsidRPr="00E07C9A" w:rsidRDefault="00674BF5" w:rsidP="00487A02">
            <w:pPr>
              <w:pStyle w:val="InstructionsText"/>
            </w:pPr>
            <w:r w:rsidRPr="00E07C9A">
              <w:t xml:space="preserve">Článkom 59 písm. a) nariadenia (EÚ) </w:t>
            </w:r>
            <w:r w:rsidR="009912F8" w:rsidRPr="00E07C9A">
              <w:t>č. 575/2013</w:t>
            </w:r>
            <w:r w:rsidRPr="00E07C9A">
              <w:t xml:space="preserve"> sa povoľujú kompenzačné krátke pozície</w:t>
            </w:r>
            <w:r w:rsidR="009912F8" w:rsidRPr="00E07C9A">
              <w:t xml:space="preserve"> v </w:t>
            </w:r>
            <w:r w:rsidRPr="00E07C9A">
              <w:t>rovnakej podkladovej expozícii pod podmienkou, že dátum splatnosti krátkej pozície je buď rovnaký alebo neskorší ako dátum splatnosti dlhej pozície, alebo zostatková splatnosť krátkej pozície je najmenej jeden rok.</w:t>
            </w:r>
          </w:p>
        </w:tc>
      </w:tr>
      <w:tr w:rsidR="00674BF5" w:rsidRPr="00E07C9A" w14:paraId="5823B9D5" w14:textId="77777777" w:rsidTr="00674BF5">
        <w:tc>
          <w:tcPr>
            <w:tcW w:w="1474" w:type="dxa"/>
          </w:tcPr>
          <w:p w14:paraId="49E105A6" w14:textId="77777777" w:rsidR="00674BF5" w:rsidRPr="00E07C9A" w:rsidRDefault="00754ADC" w:rsidP="00487A02">
            <w:pPr>
              <w:pStyle w:val="InstructionsText"/>
            </w:pPr>
            <w:r w:rsidRPr="00E07C9A">
              <w:t>0361</w:t>
            </w:r>
          </w:p>
        </w:tc>
        <w:tc>
          <w:tcPr>
            <w:tcW w:w="7049" w:type="dxa"/>
            <w:vAlign w:val="center"/>
          </w:tcPr>
          <w:p w14:paraId="58A290B0" w14:textId="33CB02E6" w:rsidR="00674BF5" w:rsidRPr="00E07C9A" w:rsidRDefault="00674BF5" w:rsidP="00487A02">
            <w:pPr>
              <w:pStyle w:val="InstructionsText"/>
            </w:pPr>
            <w:r w:rsidRPr="00E07C9A">
              <w:rPr>
                <w:rStyle w:val="InstructionsTabelleberschrift"/>
                <w:rFonts w:ascii="Times New Roman" w:hAnsi="Times New Roman"/>
                <w:sz w:val="24"/>
              </w:rPr>
              <w:t>13.3.</w:t>
            </w:r>
            <w:r w:rsidRPr="00E07C9A">
              <w:tab/>
            </w:r>
            <w:r w:rsidRPr="00E07C9A">
              <w:rPr>
                <w:rStyle w:val="InstructionsTabelleberschrift"/>
                <w:rFonts w:ascii="Times New Roman" w:hAnsi="Times New Roman"/>
                <w:sz w:val="24"/>
              </w:rPr>
              <w:t>Syntetické podiely kapitálu AT1 subjektov finančného sektora,</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ktorých inštitúcia nemá významnú investíciu</w:t>
            </w:r>
          </w:p>
          <w:p w14:paraId="6F95928A" w14:textId="415654C7" w:rsidR="00674BF5" w:rsidRPr="00E07C9A" w:rsidRDefault="00674BF5" w:rsidP="00487A02">
            <w:pPr>
              <w:pStyle w:val="InstructionsText"/>
              <w:rPr>
                <w:rStyle w:val="InstructionsTabelleberschrift"/>
                <w:rFonts w:ascii="Times New Roman" w:hAnsi="Times New Roman"/>
                <w:b w:val="0"/>
                <w:bCs w:val="0"/>
                <w:sz w:val="24"/>
                <w:u w:val="none"/>
              </w:rPr>
            </w:pPr>
            <w:r w:rsidRPr="00E07C9A">
              <w:t>Článok 4 ods. 1 bod 126</w:t>
            </w:r>
            <w:r w:rsidR="009912F8" w:rsidRPr="00E07C9A">
              <w:t xml:space="preserve"> a </w:t>
            </w:r>
            <w:r w:rsidRPr="00E07C9A">
              <w:t>články 58</w:t>
            </w:r>
            <w:r w:rsidR="009912F8" w:rsidRPr="00E07C9A">
              <w:t xml:space="preserve"> a </w:t>
            </w:r>
            <w:r w:rsidRPr="00E07C9A">
              <w:t xml:space="preserve">59 nariadenia (EÚ) </w:t>
            </w:r>
            <w:r w:rsidR="009912F8" w:rsidRPr="00E07C9A">
              <w:t>č. 575/2013</w:t>
            </w:r>
          </w:p>
        </w:tc>
      </w:tr>
      <w:tr w:rsidR="00674BF5" w:rsidRPr="00E07C9A" w14:paraId="424B4A3C" w14:textId="77777777" w:rsidTr="00674BF5">
        <w:tc>
          <w:tcPr>
            <w:tcW w:w="1474" w:type="dxa"/>
          </w:tcPr>
          <w:p w14:paraId="6D9D0A66" w14:textId="77777777" w:rsidR="00674BF5" w:rsidRPr="00E07C9A" w:rsidRDefault="00754ADC" w:rsidP="00487A02">
            <w:pPr>
              <w:pStyle w:val="InstructionsText"/>
            </w:pPr>
            <w:r w:rsidRPr="00E07C9A">
              <w:t>0362</w:t>
            </w:r>
          </w:p>
        </w:tc>
        <w:tc>
          <w:tcPr>
            <w:tcW w:w="7049" w:type="dxa"/>
            <w:vAlign w:val="center"/>
          </w:tcPr>
          <w:p w14:paraId="3CA4EC15" w14:textId="05CA2610" w:rsidR="00674BF5" w:rsidRPr="00E07C9A" w:rsidRDefault="00674BF5" w:rsidP="00487A02">
            <w:pPr>
              <w:pStyle w:val="InstructionsText"/>
            </w:pPr>
            <w:r w:rsidRPr="00E07C9A">
              <w:rPr>
                <w:rStyle w:val="InstructionsTabelleberschrift"/>
                <w:rFonts w:ascii="Times New Roman" w:hAnsi="Times New Roman"/>
                <w:sz w:val="24"/>
              </w:rPr>
              <w:t>13.3.1.</w:t>
            </w:r>
            <w:r w:rsidRPr="00E07C9A">
              <w:tab/>
            </w:r>
            <w:r w:rsidRPr="00E07C9A">
              <w:rPr>
                <w:rStyle w:val="InstructionsTabelleberschrift"/>
                <w:rFonts w:ascii="Times New Roman" w:hAnsi="Times New Roman"/>
                <w:sz w:val="24"/>
              </w:rPr>
              <w:t>Brutto syntetické podiely kapitálu AT1 subjektov finančného sektora,</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ktorých inštitúcia nemá významnú investíciu</w:t>
            </w:r>
          </w:p>
          <w:p w14:paraId="1E01B361" w14:textId="02738AB6" w:rsidR="00674BF5" w:rsidRPr="00E07C9A" w:rsidRDefault="00674BF5" w:rsidP="00487A02">
            <w:pPr>
              <w:pStyle w:val="InstructionsText"/>
              <w:rPr>
                <w:rStyle w:val="InstructionsTabelleberschrift"/>
                <w:rFonts w:ascii="Times New Roman" w:hAnsi="Times New Roman"/>
                <w:b w:val="0"/>
                <w:bCs w:val="0"/>
                <w:sz w:val="24"/>
                <w:u w:val="none"/>
              </w:rPr>
            </w:pPr>
            <w:r w:rsidRPr="00E07C9A">
              <w:t>Článok 4 ods. 1 bod 126</w:t>
            </w:r>
            <w:r w:rsidR="009912F8" w:rsidRPr="00E07C9A">
              <w:t xml:space="preserve"> a </w:t>
            </w:r>
            <w:r w:rsidRPr="00E07C9A">
              <w:t>články 58</w:t>
            </w:r>
            <w:r w:rsidR="009912F8" w:rsidRPr="00E07C9A">
              <w:t xml:space="preserve"> a </w:t>
            </w:r>
            <w:r w:rsidRPr="00E07C9A">
              <w:t xml:space="preserve">59 nariadenia (EÚ) </w:t>
            </w:r>
            <w:r w:rsidR="009912F8" w:rsidRPr="00E07C9A">
              <w:t>č. 575/2013</w:t>
            </w:r>
          </w:p>
        </w:tc>
      </w:tr>
      <w:tr w:rsidR="00674BF5" w:rsidRPr="00E07C9A" w14:paraId="1AE6C66F" w14:textId="77777777" w:rsidTr="00674BF5">
        <w:tc>
          <w:tcPr>
            <w:tcW w:w="1474" w:type="dxa"/>
          </w:tcPr>
          <w:p w14:paraId="5D6BA9E6" w14:textId="77777777" w:rsidR="00674BF5" w:rsidRPr="00E07C9A" w:rsidRDefault="00754ADC" w:rsidP="00487A02">
            <w:pPr>
              <w:pStyle w:val="InstructionsText"/>
            </w:pPr>
            <w:r w:rsidRPr="00E07C9A">
              <w:t>0363</w:t>
            </w:r>
          </w:p>
        </w:tc>
        <w:tc>
          <w:tcPr>
            <w:tcW w:w="7049" w:type="dxa"/>
            <w:vAlign w:val="center"/>
          </w:tcPr>
          <w:p w14:paraId="0661CF0D" w14:textId="519F8D16" w:rsidR="00674BF5" w:rsidRPr="00E07C9A" w:rsidRDefault="00674BF5" w:rsidP="00487A02">
            <w:pPr>
              <w:pStyle w:val="InstructionsText"/>
            </w:pPr>
            <w:r w:rsidRPr="00E07C9A">
              <w:rPr>
                <w:rStyle w:val="InstructionsTabelleberschrift"/>
                <w:rFonts w:ascii="Times New Roman" w:hAnsi="Times New Roman"/>
                <w:sz w:val="24"/>
              </w:rPr>
              <w:t>13.3.2.</w:t>
            </w:r>
            <w:r w:rsidRPr="00E07C9A">
              <w:tab/>
            </w:r>
            <w:r w:rsidRPr="00E07C9A">
              <w:rPr>
                <w:rStyle w:val="InstructionsTabelleberschrift"/>
                <w:rFonts w:ascii="Times New Roman" w:hAnsi="Times New Roman"/>
                <w:sz w:val="24"/>
              </w:rPr>
              <w:t>(–) Povolené kompenzačné krátke pozície</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súvislosti</w:t>
            </w:r>
            <w:r w:rsidR="009912F8" w:rsidRPr="00E07C9A">
              <w:rPr>
                <w:rStyle w:val="InstructionsTabelleberschrift"/>
                <w:rFonts w:ascii="Times New Roman" w:hAnsi="Times New Roman"/>
                <w:sz w:val="24"/>
              </w:rPr>
              <w:t xml:space="preserve"> s </w:t>
            </w:r>
            <w:r w:rsidRPr="00E07C9A">
              <w:rPr>
                <w:rStyle w:val="InstructionsTabelleberschrift"/>
                <w:rFonts w:ascii="Times New Roman" w:hAnsi="Times New Roman"/>
                <w:sz w:val="24"/>
              </w:rPr>
              <w:t>brutto syntetickými podielmi uvedenými vyššie</w:t>
            </w:r>
          </w:p>
          <w:p w14:paraId="7150C7D0" w14:textId="1655521D" w:rsidR="00674BF5" w:rsidRPr="00E07C9A" w:rsidRDefault="00674BF5" w:rsidP="00487A02">
            <w:pPr>
              <w:pStyle w:val="InstructionsText"/>
            </w:pPr>
            <w:r w:rsidRPr="00E07C9A">
              <w:t>Článok 4 ods. 1 bod 126</w:t>
            </w:r>
            <w:r w:rsidR="009912F8" w:rsidRPr="00E07C9A">
              <w:t xml:space="preserve"> a </w:t>
            </w:r>
            <w:r w:rsidRPr="00E07C9A">
              <w:t xml:space="preserve">článok 59 nariadenia (EÚ) </w:t>
            </w:r>
            <w:r w:rsidR="009912F8" w:rsidRPr="00E07C9A">
              <w:t>č. 575/2013</w:t>
            </w:r>
          </w:p>
          <w:p w14:paraId="430E6934" w14:textId="2CFB3DD9" w:rsidR="002D31E5" w:rsidRPr="00E07C9A" w:rsidRDefault="002D31E5" w:rsidP="000D04B6">
            <w:pPr>
              <w:pStyle w:val="InstructionsText"/>
              <w:rPr>
                <w:rStyle w:val="InstructionsTabelleberschrift"/>
                <w:rFonts w:ascii="Times New Roman" w:hAnsi="Times New Roman"/>
                <w:b w:val="0"/>
                <w:bCs w:val="0"/>
                <w:sz w:val="24"/>
                <w:u w:val="none"/>
              </w:rPr>
            </w:pPr>
            <w:r w:rsidRPr="00E07C9A">
              <w:t xml:space="preserve">Článkom 59 písm. a) nariadenia (EÚ) </w:t>
            </w:r>
            <w:r w:rsidR="009912F8" w:rsidRPr="00E07C9A">
              <w:t>č. 575/2013</w:t>
            </w:r>
            <w:r w:rsidRPr="00E07C9A">
              <w:t xml:space="preserve"> sa povoľujú kompenzačné krátke pozície</w:t>
            </w:r>
            <w:r w:rsidR="009912F8" w:rsidRPr="00E07C9A">
              <w:t xml:space="preserve"> v </w:t>
            </w:r>
            <w:r w:rsidRPr="00E07C9A">
              <w:t>rovnakej podkladovej expozícii pod podmienkou, že dátum splatnosti krátkej pozície je buď rovnaký alebo neskorší ako dátum splatnosti dlhej pozície, alebo zostatková splatnosť krátkej pozície je najmenej jeden rok.</w:t>
            </w:r>
          </w:p>
        </w:tc>
      </w:tr>
      <w:tr w:rsidR="00674BF5" w:rsidRPr="00E07C9A" w14:paraId="6B243921" w14:textId="77777777" w:rsidTr="00674BF5">
        <w:tc>
          <w:tcPr>
            <w:tcW w:w="1474" w:type="dxa"/>
          </w:tcPr>
          <w:p w14:paraId="2257624C" w14:textId="77777777" w:rsidR="00674BF5" w:rsidRPr="00E07C9A" w:rsidRDefault="00754ADC" w:rsidP="00487A02">
            <w:pPr>
              <w:pStyle w:val="InstructionsText"/>
            </w:pPr>
            <w:r w:rsidRPr="00E07C9A">
              <w:t>0370</w:t>
            </w:r>
          </w:p>
        </w:tc>
        <w:tc>
          <w:tcPr>
            <w:tcW w:w="7049" w:type="dxa"/>
          </w:tcPr>
          <w:p w14:paraId="0D62CC83" w14:textId="2CD13DA7" w:rsidR="00674BF5" w:rsidRPr="00E07C9A" w:rsidRDefault="00674BF5" w:rsidP="00487A02">
            <w:pPr>
              <w:pStyle w:val="InstructionsText"/>
            </w:pPr>
            <w:r w:rsidRPr="00E07C9A">
              <w:rPr>
                <w:rStyle w:val="InstructionsTabelleberschrift"/>
                <w:rFonts w:ascii="Times New Roman" w:hAnsi="Times New Roman"/>
                <w:sz w:val="24"/>
              </w:rPr>
              <w:t>14.</w:t>
            </w:r>
            <w:r w:rsidRPr="00E07C9A">
              <w:tab/>
            </w:r>
            <w:r w:rsidRPr="00E07C9A">
              <w:rPr>
                <w:rStyle w:val="InstructionsTabelleberschrift"/>
                <w:rFonts w:ascii="Times New Roman" w:hAnsi="Times New Roman"/>
                <w:sz w:val="24"/>
              </w:rPr>
              <w:t>Podiely kapitálu T2 subjektov finančného sektora,</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ktorých inštitúcia nemá významnú investíciu, po odpočítaní krátkych pozícií</w:t>
            </w:r>
          </w:p>
          <w:p w14:paraId="224C7B55" w14:textId="0657A95E" w:rsidR="00674BF5" w:rsidRPr="00E07C9A" w:rsidRDefault="00674BF5" w:rsidP="00487A02">
            <w:pPr>
              <w:pStyle w:val="InstructionsText"/>
            </w:pPr>
            <w:r w:rsidRPr="00E07C9A">
              <w:t>Články 68, 69</w:t>
            </w:r>
            <w:r w:rsidR="009912F8" w:rsidRPr="00E07C9A">
              <w:t xml:space="preserve"> a </w:t>
            </w:r>
            <w:r w:rsidRPr="00E07C9A">
              <w:t xml:space="preserve">70 nariadenia (EÚ) </w:t>
            </w:r>
            <w:r w:rsidR="009912F8" w:rsidRPr="00E07C9A">
              <w:t>č. 575/2013</w:t>
            </w:r>
          </w:p>
        </w:tc>
      </w:tr>
      <w:tr w:rsidR="00674BF5" w:rsidRPr="00E07C9A" w14:paraId="06FDBFDC" w14:textId="77777777" w:rsidTr="00674BF5">
        <w:tc>
          <w:tcPr>
            <w:tcW w:w="1474" w:type="dxa"/>
          </w:tcPr>
          <w:p w14:paraId="67B08B3E" w14:textId="77777777" w:rsidR="00674BF5" w:rsidRPr="00E07C9A" w:rsidRDefault="00754ADC" w:rsidP="00487A02">
            <w:pPr>
              <w:pStyle w:val="InstructionsText"/>
            </w:pPr>
            <w:r w:rsidRPr="00E07C9A">
              <w:t>0380</w:t>
            </w:r>
          </w:p>
        </w:tc>
        <w:tc>
          <w:tcPr>
            <w:tcW w:w="7049" w:type="dxa"/>
          </w:tcPr>
          <w:p w14:paraId="7ADAA4DC" w14:textId="421EACCC" w:rsidR="00674BF5" w:rsidRPr="00E07C9A" w:rsidRDefault="00674BF5" w:rsidP="00487A02">
            <w:pPr>
              <w:pStyle w:val="InstructionsText"/>
            </w:pPr>
            <w:r w:rsidRPr="00E07C9A">
              <w:rPr>
                <w:rStyle w:val="InstructionsTabelleberschrift"/>
                <w:rFonts w:ascii="Times New Roman" w:hAnsi="Times New Roman"/>
                <w:sz w:val="24"/>
              </w:rPr>
              <w:t>14.1.</w:t>
            </w:r>
            <w:r w:rsidRPr="00E07C9A">
              <w:tab/>
            </w:r>
            <w:r w:rsidRPr="00E07C9A">
              <w:rPr>
                <w:rStyle w:val="InstructionsTabelleberschrift"/>
                <w:rFonts w:ascii="Times New Roman" w:hAnsi="Times New Roman"/>
                <w:sz w:val="24"/>
              </w:rPr>
              <w:t>Priame podiely kapitálu T2 subjektov finančného sektora,</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ktorých inštitúcia nemá významnú investíciu</w:t>
            </w:r>
          </w:p>
          <w:p w14:paraId="30F375DF" w14:textId="3823383A" w:rsidR="00674BF5" w:rsidRPr="00E07C9A" w:rsidRDefault="00674BF5" w:rsidP="00487A02">
            <w:pPr>
              <w:pStyle w:val="InstructionsText"/>
            </w:pPr>
            <w:r w:rsidRPr="00E07C9A">
              <w:t>Články 68</w:t>
            </w:r>
            <w:r w:rsidR="009912F8" w:rsidRPr="00E07C9A">
              <w:t xml:space="preserve"> a </w:t>
            </w:r>
            <w:r w:rsidRPr="00E07C9A">
              <w:t>69</w:t>
            </w:r>
            <w:r w:rsidR="009912F8" w:rsidRPr="00E07C9A">
              <w:t xml:space="preserve"> a </w:t>
            </w:r>
            <w:r w:rsidRPr="00E07C9A">
              <w:t xml:space="preserve">článok 70 ods. 2 nariadenia (EÚ) </w:t>
            </w:r>
            <w:r w:rsidR="009912F8" w:rsidRPr="00E07C9A">
              <w:t>č. 575/2013</w:t>
            </w:r>
          </w:p>
        </w:tc>
      </w:tr>
      <w:tr w:rsidR="00674BF5" w:rsidRPr="00E07C9A" w14:paraId="0D32EE35" w14:textId="77777777" w:rsidTr="00674BF5">
        <w:tc>
          <w:tcPr>
            <w:tcW w:w="1474" w:type="dxa"/>
          </w:tcPr>
          <w:p w14:paraId="4FB61836" w14:textId="77777777" w:rsidR="00674BF5" w:rsidRPr="00E07C9A" w:rsidRDefault="00754ADC" w:rsidP="00487A02">
            <w:pPr>
              <w:pStyle w:val="InstructionsText"/>
            </w:pPr>
            <w:r w:rsidRPr="00E07C9A">
              <w:lastRenderedPageBreak/>
              <w:t>0390</w:t>
            </w:r>
          </w:p>
        </w:tc>
        <w:tc>
          <w:tcPr>
            <w:tcW w:w="7049" w:type="dxa"/>
          </w:tcPr>
          <w:p w14:paraId="17CBBFCA" w14:textId="50D890B4" w:rsidR="00674BF5" w:rsidRPr="00E07C9A" w:rsidRDefault="00674BF5" w:rsidP="00487A02">
            <w:pPr>
              <w:pStyle w:val="InstructionsText"/>
            </w:pPr>
            <w:r w:rsidRPr="00E07C9A">
              <w:rPr>
                <w:rStyle w:val="InstructionsTabelleberschrift"/>
                <w:rFonts w:ascii="Times New Roman" w:hAnsi="Times New Roman"/>
                <w:sz w:val="24"/>
              </w:rPr>
              <w:t>14.1.1.</w:t>
            </w:r>
            <w:r w:rsidRPr="00E07C9A">
              <w:tab/>
            </w:r>
            <w:r w:rsidRPr="00E07C9A">
              <w:rPr>
                <w:rStyle w:val="InstructionsTabelleberschrift"/>
                <w:rFonts w:ascii="Times New Roman" w:hAnsi="Times New Roman"/>
                <w:sz w:val="24"/>
              </w:rPr>
              <w:t>Brutto priame podiely kapitálu T2 subjektov finančného sektora,</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ktorých inštitúcia nemá významnú investíciu</w:t>
            </w:r>
          </w:p>
          <w:p w14:paraId="7E8958A2" w14:textId="00B753BC" w:rsidR="00674BF5" w:rsidRPr="00E07C9A" w:rsidRDefault="00674BF5" w:rsidP="00487A02">
            <w:pPr>
              <w:pStyle w:val="InstructionsText"/>
            </w:pPr>
            <w:r w:rsidRPr="00E07C9A">
              <w:t>Článok 68</w:t>
            </w:r>
            <w:r w:rsidR="009912F8" w:rsidRPr="00E07C9A">
              <w:t xml:space="preserve"> a </w:t>
            </w:r>
            <w:r w:rsidRPr="00E07C9A">
              <w:t xml:space="preserve">článok 70 ods. 2 nariadenia (EÚ) </w:t>
            </w:r>
            <w:r w:rsidR="009912F8" w:rsidRPr="00E07C9A">
              <w:t>č. 575/2013</w:t>
            </w:r>
          </w:p>
          <w:p w14:paraId="761A3E27" w14:textId="77777777" w:rsidR="00674BF5" w:rsidRPr="00E07C9A" w:rsidRDefault="00674BF5" w:rsidP="00487A02">
            <w:pPr>
              <w:pStyle w:val="InstructionsText"/>
            </w:pPr>
            <w:r w:rsidRPr="00E07C9A">
              <w:t>Priame podiely kapitálu T2 subjektov finančného sektora, keď inštitúcia nemá významnú investíciu, bez:</w:t>
            </w:r>
          </w:p>
          <w:p w14:paraId="4C9FBACC" w14:textId="77777777" w:rsidR="009912F8" w:rsidRPr="00E07C9A" w:rsidRDefault="00674BF5" w:rsidP="00487A02">
            <w:pPr>
              <w:pStyle w:val="InstructionsText"/>
            </w:pPr>
            <w:r w:rsidRPr="00E07C9A">
              <w:t>a)</w:t>
            </w:r>
            <w:r w:rsidRPr="00E07C9A">
              <w:tab/>
              <w:t>pozícií</w:t>
            </w:r>
            <w:r w:rsidR="009912F8" w:rsidRPr="00E07C9A">
              <w:t xml:space="preserve"> z </w:t>
            </w:r>
            <w:r w:rsidRPr="00E07C9A">
              <w:t>upísania držaných päť pracovných dní alebo menej;</w:t>
            </w:r>
            <w:r w:rsidR="009912F8" w:rsidRPr="00E07C9A">
              <w:t xml:space="preserve"> a</w:t>
            </w:r>
          </w:p>
          <w:p w14:paraId="17254E20" w14:textId="5E68F635" w:rsidR="00674BF5" w:rsidRPr="00E07C9A" w:rsidRDefault="00674BF5" w:rsidP="0049092A">
            <w:pPr>
              <w:pStyle w:val="InstructionsText"/>
            </w:pPr>
            <w:r w:rsidRPr="00E07C9A">
              <w:t>b)</w:t>
            </w:r>
            <w:r w:rsidRPr="00E07C9A">
              <w:tab/>
              <w:t>podielov,</w:t>
            </w:r>
            <w:r w:rsidR="009912F8" w:rsidRPr="00E07C9A">
              <w:t xml:space="preserve"> s </w:t>
            </w:r>
            <w:r w:rsidRPr="00E07C9A">
              <w:t>ktorými sa zaobchádza ako</w:t>
            </w:r>
            <w:r w:rsidR="009912F8" w:rsidRPr="00E07C9A">
              <w:t xml:space="preserve"> s </w:t>
            </w:r>
            <w:r w:rsidRPr="00E07C9A">
              <w:t>recipročnými krížovými podielmi</w:t>
            </w:r>
            <w:r w:rsidR="009912F8" w:rsidRPr="00E07C9A">
              <w:t xml:space="preserve"> v </w:t>
            </w:r>
            <w:r w:rsidRPr="00E07C9A">
              <w:t>súlade</w:t>
            </w:r>
            <w:r w:rsidR="009912F8" w:rsidRPr="00E07C9A">
              <w:t xml:space="preserve"> s </w:t>
            </w:r>
            <w:r w:rsidRPr="00E07C9A">
              <w:t xml:space="preserve">článkom 66 písm. b) nariadenia (EÚ) </w:t>
            </w:r>
            <w:r w:rsidR="009912F8" w:rsidRPr="00E07C9A">
              <w:t>č. 575/2013</w:t>
            </w:r>
            <w:r w:rsidRPr="00E07C9A">
              <w:t>.</w:t>
            </w:r>
          </w:p>
        </w:tc>
      </w:tr>
      <w:tr w:rsidR="00674BF5" w:rsidRPr="00E07C9A" w14:paraId="1967E3E3" w14:textId="77777777" w:rsidTr="00674BF5">
        <w:tc>
          <w:tcPr>
            <w:tcW w:w="1474" w:type="dxa"/>
          </w:tcPr>
          <w:p w14:paraId="75E90CCA" w14:textId="77777777" w:rsidR="00674BF5" w:rsidRPr="00E07C9A" w:rsidRDefault="00754ADC" w:rsidP="00487A02">
            <w:pPr>
              <w:pStyle w:val="InstructionsText"/>
            </w:pPr>
            <w:r w:rsidRPr="00E07C9A">
              <w:t>0400</w:t>
            </w:r>
          </w:p>
        </w:tc>
        <w:tc>
          <w:tcPr>
            <w:tcW w:w="7049" w:type="dxa"/>
          </w:tcPr>
          <w:p w14:paraId="089CA1AA" w14:textId="5B7318E0" w:rsidR="00674BF5" w:rsidRPr="00E07C9A" w:rsidRDefault="00674BF5" w:rsidP="00487A02">
            <w:pPr>
              <w:pStyle w:val="InstructionsText"/>
            </w:pPr>
            <w:r w:rsidRPr="00E07C9A">
              <w:rPr>
                <w:rStyle w:val="InstructionsTabelleberschrift"/>
                <w:rFonts w:ascii="Times New Roman" w:hAnsi="Times New Roman"/>
                <w:sz w:val="24"/>
              </w:rPr>
              <w:t>14.1.2.</w:t>
            </w:r>
            <w:r w:rsidRPr="00E07C9A">
              <w:tab/>
            </w:r>
            <w:r w:rsidRPr="00E07C9A">
              <w:rPr>
                <w:rStyle w:val="InstructionsTabelleberschrift"/>
                <w:rFonts w:ascii="Times New Roman" w:hAnsi="Times New Roman"/>
                <w:sz w:val="24"/>
              </w:rPr>
              <w:t>(–) Povolené kompenzačné krátke pozície</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súvislosti</w:t>
            </w:r>
            <w:r w:rsidR="009912F8" w:rsidRPr="00E07C9A">
              <w:rPr>
                <w:rStyle w:val="InstructionsTabelleberschrift"/>
                <w:rFonts w:ascii="Times New Roman" w:hAnsi="Times New Roman"/>
                <w:sz w:val="24"/>
              </w:rPr>
              <w:t xml:space="preserve"> s </w:t>
            </w:r>
            <w:r w:rsidRPr="00E07C9A">
              <w:rPr>
                <w:rStyle w:val="InstructionsTabelleberschrift"/>
                <w:rFonts w:ascii="Times New Roman" w:hAnsi="Times New Roman"/>
                <w:sz w:val="24"/>
              </w:rPr>
              <w:t>priamymi brutto podielmi uvedenými vyššie</w:t>
            </w:r>
          </w:p>
          <w:p w14:paraId="7BF2A908" w14:textId="30559907" w:rsidR="00674BF5" w:rsidRPr="00E07C9A" w:rsidRDefault="00674BF5" w:rsidP="00487A02">
            <w:pPr>
              <w:pStyle w:val="InstructionsText"/>
            </w:pPr>
            <w:r w:rsidRPr="00E07C9A">
              <w:t xml:space="preserve">Článok 69 nariadenia (EÚ) </w:t>
            </w:r>
            <w:r w:rsidR="009912F8" w:rsidRPr="00E07C9A">
              <w:t>č. 575/2013</w:t>
            </w:r>
          </w:p>
          <w:p w14:paraId="274B938A" w14:textId="4A1D3FCB" w:rsidR="00674BF5" w:rsidRPr="00E07C9A" w:rsidRDefault="00674BF5" w:rsidP="00487A02">
            <w:pPr>
              <w:pStyle w:val="InstructionsText"/>
            </w:pPr>
            <w:r w:rsidRPr="00E07C9A">
              <w:t xml:space="preserve">Článkom 69 písm. a) nariadenia (EÚ) </w:t>
            </w:r>
            <w:r w:rsidR="009912F8" w:rsidRPr="00E07C9A">
              <w:t>č. 575/2013</w:t>
            </w:r>
            <w:r w:rsidRPr="00E07C9A">
              <w:t xml:space="preserve"> sa povoľujú kompenzačné krátke pozície</w:t>
            </w:r>
            <w:r w:rsidR="009912F8" w:rsidRPr="00E07C9A">
              <w:t xml:space="preserve"> v </w:t>
            </w:r>
            <w:r w:rsidRPr="00E07C9A">
              <w:t>rovnakej podkladovej expozícii pod podmienkou, že dátum splatnosti krátkej pozície je buď rovnaký alebo neskorší ako dátum splatnosti dlhej pozície, alebo zostatková splatnosť krátkej pozície je najmenej jeden rok.</w:t>
            </w:r>
          </w:p>
        </w:tc>
      </w:tr>
      <w:tr w:rsidR="00674BF5" w:rsidRPr="00E07C9A" w14:paraId="0DF81460" w14:textId="77777777" w:rsidTr="00674BF5">
        <w:tc>
          <w:tcPr>
            <w:tcW w:w="1474" w:type="dxa"/>
          </w:tcPr>
          <w:p w14:paraId="419E2B45" w14:textId="77777777" w:rsidR="00674BF5" w:rsidRPr="00E07C9A" w:rsidRDefault="00754ADC" w:rsidP="00487A02">
            <w:pPr>
              <w:pStyle w:val="InstructionsText"/>
            </w:pPr>
            <w:r w:rsidRPr="00E07C9A">
              <w:t>0410</w:t>
            </w:r>
          </w:p>
        </w:tc>
        <w:tc>
          <w:tcPr>
            <w:tcW w:w="7049" w:type="dxa"/>
          </w:tcPr>
          <w:p w14:paraId="6BEECB8F" w14:textId="62A14019" w:rsidR="00674BF5" w:rsidRPr="00E07C9A" w:rsidRDefault="00674BF5" w:rsidP="00487A02">
            <w:pPr>
              <w:pStyle w:val="InstructionsText"/>
            </w:pPr>
            <w:r w:rsidRPr="00E07C9A">
              <w:rPr>
                <w:rStyle w:val="InstructionsTabelleberschrift"/>
                <w:rFonts w:ascii="Times New Roman" w:hAnsi="Times New Roman"/>
                <w:sz w:val="24"/>
              </w:rPr>
              <w:t>14.2.</w:t>
            </w:r>
            <w:r w:rsidRPr="00E07C9A">
              <w:tab/>
            </w:r>
            <w:r w:rsidRPr="00E07C9A">
              <w:rPr>
                <w:rStyle w:val="InstructionsTabelleberschrift"/>
                <w:rFonts w:ascii="Times New Roman" w:hAnsi="Times New Roman"/>
                <w:sz w:val="24"/>
              </w:rPr>
              <w:t>Nepriame podiely kapitálu T2 subjektov finančného sektora,</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ktorých inštitúcia nemá významnú investíciu</w:t>
            </w:r>
          </w:p>
          <w:p w14:paraId="43041074" w14:textId="2EE09C2F" w:rsidR="00674BF5" w:rsidRPr="00E07C9A" w:rsidRDefault="00674BF5" w:rsidP="0049092A">
            <w:pPr>
              <w:pStyle w:val="InstructionsText"/>
            </w:pPr>
            <w:r w:rsidRPr="00E07C9A">
              <w:t>Článok 4 ods. 1 bod 114</w:t>
            </w:r>
            <w:r w:rsidR="009912F8" w:rsidRPr="00E07C9A">
              <w:t xml:space="preserve"> a </w:t>
            </w:r>
            <w:r w:rsidRPr="00E07C9A">
              <w:t>články 68</w:t>
            </w:r>
            <w:r w:rsidR="009912F8" w:rsidRPr="00E07C9A">
              <w:t xml:space="preserve"> a </w:t>
            </w:r>
            <w:r w:rsidRPr="00E07C9A">
              <w:t xml:space="preserve">69 nariadenia (EÚ) </w:t>
            </w:r>
            <w:r w:rsidR="009912F8" w:rsidRPr="00E07C9A">
              <w:t>č. 575/2013</w:t>
            </w:r>
          </w:p>
        </w:tc>
      </w:tr>
      <w:tr w:rsidR="00674BF5" w:rsidRPr="00E07C9A" w14:paraId="419B127C" w14:textId="77777777" w:rsidTr="00674BF5">
        <w:tc>
          <w:tcPr>
            <w:tcW w:w="1474" w:type="dxa"/>
          </w:tcPr>
          <w:p w14:paraId="01325F60" w14:textId="77777777" w:rsidR="00674BF5" w:rsidRPr="00E07C9A" w:rsidRDefault="00754ADC" w:rsidP="00487A02">
            <w:pPr>
              <w:pStyle w:val="InstructionsText"/>
            </w:pPr>
            <w:r w:rsidRPr="00E07C9A">
              <w:t>0420</w:t>
            </w:r>
          </w:p>
        </w:tc>
        <w:tc>
          <w:tcPr>
            <w:tcW w:w="7049" w:type="dxa"/>
          </w:tcPr>
          <w:p w14:paraId="048197B5" w14:textId="253AD50B" w:rsidR="00674BF5" w:rsidRPr="00E07C9A" w:rsidRDefault="00674BF5" w:rsidP="00487A02">
            <w:pPr>
              <w:pStyle w:val="InstructionsText"/>
            </w:pPr>
            <w:r w:rsidRPr="00E07C9A">
              <w:rPr>
                <w:rStyle w:val="InstructionsTabelleberschrift"/>
                <w:rFonts w:ascii="Times New Roman" w:hAnsi="Times New Roman"/>
                <w:sz w:val="24"/>
              </w:rPr>
              <w:t>14.2.1.</w:t>
            </w:r>
            <w:r w:rsidRPr="00E07C9A">
              <w:tab/>
            </w:r>
            <w:r w:rsidRPr="00E07C9A">
              <w:rPr>
                <w:rStyle w:val="InstructionsTabelleberschrift"/>
                <w:rFonts w:ascii="Times New Roman" w:hAnsi="Times New Roman"/>
                <w:sz w:val="24"/>
              </w:rPr>
              <w:t>Brutto nepriame podiely kapitálu T2 subjektov finančného sektora,</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ktorých inštitúcia nemá významnú investíciu</w:t>
            </w:r>
          </w:p>
          <w:p w14:paraId="7AA5A636" w14:textId="68C2C9F5" w:rsidR="00674BF5" w:rsidRPr="00E07C9A" w:rsidRDefault="0049092A" w:rsidP="00487A02">
            <w:pPr>
              <w:pStyle w:val="InstructionsText"/>
            </w:pPr>
            <w:r w:rsidRPr="00E07C9A">
              <w:t>Článok 4 ods. 1 bod 114</w:t>
            </w:r>
            <w:r w:rsidR="009912F8" w:rsidRPr="00E07C9A">
              <w:t xml:space="preserve"> a </w:t>
            </w:r>
            <w:r w:rsidRPr="00E07C9A">
              <w:t>články 68</w:t>
            </w:r>
            <w:r w:rsidR="009912F8" w:rsidRPr="00E07C9A">
              <w:t xml:space="preserve"> a </w:t>
            </w:r>
            <w:r w:rsidRPr="00E07C9A">
              <w:t xml:space="preserve">69 nariadenia (EÚ) </w:t>
            </w:r>
            <w:r w:rsidR="009912F8" w:rsidRPr="00E07C9A">
              <w:t>č. 575/2013</w:t>
            </w:r>
          </w:p>
          <w:p w14:paraId="3FE65871" w14:textId="06E73435" w:rsidR="00674BF5" w:rsidRPr="00E07C9A" w:rsidRDefault="00674BF5" w:rsidP="00487A02">
            <w:pPr>
              <w:pStyle w:val="InstructionsText"/>
            </w:pPr>
            <w:r w:rsidRPr="00E07C9A">
              <w:t>Vykazovaná hodnota sa rovná nepriamym podielom</w:t>
            </w:r>
            <w:r w:rsidR="009912F8" w:rsidRPr="00E07C9A">
              <w:t xml:space="preserve"> v </w:t>
            </w:r>
            <w:r w:rsidRPr="00E07C9A">
              <w:t>obchodnej knihe na kapitálových nástrojoch subjektov finančného sektora, ktoré sú vo forme podielov cenných papierov zaradených do indexu. Dosiahne sa vypočítaním podkladovej expozície voči kapitálovým nástrojom subjektov finančného sektora</w:t>
            </w:r>
            <w:r w:rsidR="009912F8" w:rsidRPr="00E07C9A">
              <w:t xml:space="preserve"> v </w:t>
            </w:r>
            <w:r w:rsidRPr="00E07C9A">
              <w:t>týchto indexoch.</w:t>
            </w:r>
          </w:p>
          <w:p w14:paraId="02DBB428" w14:textId="5FC63B6A" w:rsidR="00674BF5" w:rsidRPr="00E07C9A" w:rsidRDefault="00674BF5" w:rsidP="00487A02">
            <w:pPr>
              <w:pStyle w:val="InstructionsText"/>
            </w:pPr>
            <w:r w:rsidRPr="00E07C9A">
              <w:t>Podiely,</w:t>
            </w:r>
            <w:r w:rsidR="009912F8" w:rsidRPr="00E07C9A">
              <w:t xml:space="preserve"> s </w:t>
            </w:r>
            <w:r w:rsidRPr="00E07C9A">
              <w:t>ktorými sa zaobchádza ako</w:t>
            </w:r>
            <w:r w:rsidR="009912F8" w:rsidRPr="00E07C9A">
              <w:t xml:space="preserve"> s </w:t>
            </w:r>
            <w:r w:rsidRPr="00E07C9A">
              <w:t>recipročnými krížovými podielmi</w:t>
            </w:r>
            <w:r w:rsidR="009912F8" w:rsidRPr="00E07C9A">
              <w:t xml:space="preserve"> v </w:t>
            </w:r>
            <w:r w:rsidRPr="00E07C9A">
              <w:t>súlade</w:t>
            </w:r>
            <w:r w:rsidR="009912F8" w:rsidRPr="00E07C9A">
              <w:t xml:space="preserve"> s </w:t>
            </w:r>
            <w:r w:rsidRPr="00E07C9A">
              <w:t xml:space="preserve">článkom 66 písm. b) nariadenia (EÚ) </w:t>
            </w:r>
            <w:r w:rsidR="009912F8" w:rsidRPr="00E07C9A">
              <w:t>č. 575/2013</w:t>
            </w:r>
            <w:r w:rsidRPr="00E07C9A">
              <w:t>, sa nezapočítavajú.</w:t>
            </w:r>
          </w:p>
        </w:tc>
      </w:tr>
      <w:tr w:rsidR="00674BF5" w:rsidRPr="00E07C9A" w14:paraId="0D791C66" w14:textId="77777777" w:rsidTr="00674BF5">
        <w:tc>
          <w:tcPr>
            <w:tcW w:w="1474" w:type="dxa"/>
          </w:tcPr>
          <w:p w14:paraId="7521027A" w14:textId="77777777" w:rsidR="00674BF5" w:rsidRPr="00E07C9A" w:rsidRDefault="00754ADC" w:rsidP="00487A02">
            <w:pPr>
              <w:pStyle w:val="InstructionsText"/>
            </w:pPr>
            <w:r w:rsidRPr="00E07C9A">
              <w:t>0430</w:t>
            </w:r>
          </w:p>
        </w:tc>
        <w:tc>
          <w:tcPr>
            <w:tcW w:w="7049" w:type="dxa"/>
          </w:tcPr>
          <w:p w14:paraId="0E68F497" w14:textId="1631B9A6" w:rsidR="00674BF5" w:rsidRPr="00E07C9A" w:rsidRDefault="00674BF5" w:rsidP="00487A02">
            <w:pPr>
              <w:pStyle w:val="InstructionsText"/>
            </w:pPr>
            <w:r w:rsidRPr="00E07C9A">
              <w:rPr>
                <w:rStyle w:val="InstructionsTabelleberschrift"/>
                <w:rFonts w:ascii="Times New Roman" w:hAnsi="Times New Roman"/>
                <w:sz w:val="24"/>
              </w:rPr>
              <w:t>14.2.2.</w:t>
            </w:r>
            <w:r w:rsidRPr="00E07C9A">
              <w:tab/>
            </w:r>
            <w:r w:rsidRPr="00E07C9A">
              <w:rPr>
                <w:rStyle w:val="InstructionsTabelleberschrift"/>
                <w:rFonts w:ascii="Times New Roman" w:hAnsi="Times New Roman"/>
                <w:sz w:val="24"/>
              </w:rPr>
              <w:t>(–) Povolené kompenzačné krátke pozície</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súvislosti</w:t>
            </w:r>
            <w:r w:rsidR="009912F8" w:rsidRPr="00E07C9A">
              <w:rPr>
                <w:rStyle w:val="InstructionsTabelleberschrift"/>
                <w:rFonts w:ascii="Times New Roman" w:hAnsi="Times New Roman"/>
                <w:sz w:val="24"/>
              </w:rPr>
              <w:t xml:space="preserve"> s </w:t>
            </w:r>
            <w:r w:rsidRPr="00E07C9A">
              <w:rPr>
                <w:rStyle w:val="InstructionsTabelleberschrift"/>
                <w:rFonts w:ascii="Times New Roman" w:hAnsi="Times New Roman"/>
                <w:sz w:val="24"/>
              </w:rPr>
              <w:t>nepriamymi brutto podielmi uvedenými vyššie</w:t>
            </w:r>
          </w:p>
          <w:p w14:paraId="6B7BF87B" w14:textId="494F8AE2" w:rsidR="00674BF5" w:rsidRPr="00E07C9A" w:rsidRDefault="0049092A" w:rsidP="00487A02">
            <w:pPr>
              <w:pStyle w:val="InstructionsText"/>
            </w:pPr>
            <w:r w:rsidRPr="00E07C9A">
              <w:t>Článok 4 ods. 1 bod 114</w:t>
            </w:r>
            <w:r w:rsidR="009912F8" w:rsidRPr="00E07C9A">
              <w:t xml:space="preserve"> a </w:t>
            </w:r>
            <w:r w:rsidRPr="00E07C9A">
              <w:t xml:space="preserve">článok 69 nariadenia (EÚ) </w:t>
            </w:r>
            <w:r w:rsidR="009912F8" w:rsidRPr="00E07C9A">
              <w:t>č. 575/2013</w:t>
            </w:r>
          </w:p>
          <w:p w14:paraId="0DF8664C" w14:textId="29DF3642" w:rsidR="00674BF5" w:rsidRPr="00E07C9A" w:rsidRDefault="00674BF5" w:rsidP="00487A02">
            <w:pPr>
              <w:pStyle w:val="InstructionsText"/>
            </w:pPr>
            <w:r w:rsidRPr="00E07C9A">
              <w:t xml:space="preserve">Článkom 69 písm. a) nariadenia (EÚ) </w:t>
            </w:r>
            <w:r w:rsidR="009912F8" w:rsidRPr="00E07C9A">
              <w:t>č. 575/2013</w:t>
            </w:r>
            <w:r w:rsidRPr="00E07C9A">
              <w:t xml:space="preserve"> sa povoľujú kompenzačné krátke pozície</w:t>
            </w:r>
            <w:r w:rsidR="009912F8" w:rsidRPr="00E07C9A">
              <w:t xml:space="preserve"> v </w:t>
            </w:r>
            <w:r w:rsidRPr="00E07C9A">
              <w:t>rovnakej podkladovej expozícii pod podmienkou, že dátum splatnosti krátkej pozície je buď rovnaký alebo neskorší ako dátum splatnosti dlhej pozície, alebo zostatková splatnosť krátkej pozície je najmenej jeden rok.</w:t>
            </w:r>
          </w:p>
        </w:tc>
      </w:tr>
      <w:tr w:rsidR="00674BF5" w:rsidRPr="00E07C9A" w14:paraId="1B08B8CE" w14:textId="77777777" w:rsidTr="00674BF5">
        <w:tc>
          <w:tcPr>
            <w:tcW w:w="1474" w:type="dxa"/>
          </w:tcPr>
          <w:p w14:paraId="7A431DAA" w14:textId="77777777" w:rsidR="00674BF5" w:rsidRPr="00E07C9A" w:rsidRDefault="00754ADC" w:rsidP="00487A02">
            <w:pPr>
              <w:pStyle w:val="InstructionsText"/>
            </w:pPr>
            <w:r w:rsidRPr="00E07C9A">
              <w:t>0431</w:t>
            </w:r>
          </w:p>
        </w:tc>
        <w:tc>
          <w:tcPr>
            <w:tcW w:w="7049" w:type="dxa"/>
          </w:tcPr>
          <w:p w14:paraId="7BD5EDD4" w14:textId="50B0D1AA" w:rsidR="00674BF5" w:rsidRPr="00E07C9A" w:rsidRDefault="00674BF5" w:rsidP="00487A02">
            <w:pPr>
              <w:pStyle w:val="InstructionsText"/>
            </w:pPr>
            <w:r w:rsidRPr="00E07C9A">
              <w:rPr>
                <w:rStyle w:val="InstructionsTabelleberschrift"/>
                <w:rFonts w:ascii="Times New Roman" w:hAnsi="Times New Roman"/>
                <w:sz w:val="24"/>
              </w:rPr>
              <w:t>14.3.</w:t>
            </w:r>
            <w:r w:rsidRPr="00E07C9A">
              <w:tab/>
            </w:r>
            <w:r w:rsidRPr="00E07C9A">
              <w:rPr>
                <w:rStyle w:val="InstructionsTabelleberschrift"/>
                <w:rFonts w:ascii="Times New Roman" w:hAnsi="Times New Roman"/>
                <w:sz w:val="24"/>
              </w:rPr>
              <w:t>Syntetické podiely kapitálu T2 subjektov finančného sektora,</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ktorých inštitúcia nemá významnú investíciu</w:t>
            </w:r>
          </w:p>
          <w:p w14:paraId="5911CD95" w14:textId="44159B35" w:rsidR="00674BF5" w:rsidRPr="00E07C9A" w:rsidRDefault="00674BF5" w:rsidP="00487A02">
            <w:pPr>
              <w:pStyle w:val="InstructionsText"/>
              <w:rPr>
                <w:rStyle w:val="InstructionsTabelleberschrift"/>
                <w:rFonts w:ascii="Times New Roman" w:hAnsi="Times New Roman"/>
                <w:sz w:val="24"/>
              </w:rPr>
            </w:pPr>
            <w:r w:rsidRPr="00E07C9A">
              <w:lastRenderedPageBreak/>
              <w:t>Článok 4 ods. 1 bod 126</w:t>
            </w:r>
            <w:r w:rsidR="009912F8" w:rsidRPr="00E07C9A">
              <w:t xml:space="preserve"> a </w:t>
            </w:r>
            <w:r w:rsidRPr="00E07C9A">
              <w:t>články 68</w:t>
            </w:r>
            <w:r w:rsidR="009912F8" w:rsidRPr="00E07C9A">
              <w:t xml:space="preserve"> a </w:t>
            </w:r>
            <w:r w:rsidRPr="00E07C9A">
              <w:t xml:space="preserve">69 nariadenia (EÚ) </w:t>
            </w:r>
            <w:r w:rsidR="009912F8" w:rsidRPr="00E07C9A">
              <w:t>č. 575/2013</w:t>
            </w:r>
          </w:p>
        </w:tc>
      </w:tr>
      <w:tr w:rsidR="00674BF5" w:rsidRPr="00E07C9A" w14:paraId="721AA0FC" w14:textId="77777777" w:rsidTr="00674BF5">
        <w:tc>
          <w:tcPr>
            <w:tcW w:w="1474" w:type="dxa"/>
          </w:tcPr>
          <w:p w14:paraId="38A66AFD" w14:textId="77777777" w:rsidR="00674BF5" w:rsidRPr="00E07C9A" w:rsidRDefault="00754ADC" w:rsidP="00487A02">
            <w:pPr>
              <w:pStyle w:val="InstructionsText"/>
            </w:pPr>
            <w:r w:rsidRPr="00E07C9A">
              <w:lastRenderedPageBreak/>
              <w:t>0432</w:t>
            </w:r>
          </w:p>
        </w:tc>
        <w:tc>
          <w:tcPr>
            <w:tcW w:w="7049" w:type="dxa"/>
          </w:tcPr>
          <w:p w14:paraId="63632F92" w14:textId="7B4F6D17" w:rsidR="00674BF5" w:rsidRPr="00E07C9A" w:rsidRDefault="00674BF5" w:rsidP="00487A02">
            <w:pPr>
              <w:pStyle w:val="InstructionsText"/>
            </w:pPr>
            <w:r w:rsidRPr="00E07C9A">
              <w:rPr>
                <w:rStyle w:val="InstructionsTabelleberschrift"/>
                <w:rFonts w:ascii="Times New Roman" w:hAnsi="Times New Roman"/>
                <w:sz w:val="24"/>
              </w:rPr>
              <w:t>14.3.1.</w:t>
            </w:r>
            <w:r w:rsidRPr="00E07C9A">
              <w:tab/>
            </w:r>
            <w:r w:rsidRPr="00E07C9A">
              <w:rPr>
                <w:rStyle w:val="InstructionsTabelleberschrift"/>
                <w:rFonts w:ascii="Times New Roman" w:hAnsi="Times New Roman"/>
                <w:sz w:val="24"/>
              </w:rPr>
              <w:t>Brutto syntetické podiely kapitálu T2 subjektov finančného sektora,</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ktorých inštitúcia nemá významnú investíciu</w:t>
            </w:r>
          </w:p>
          <w:p w14:paraId="6F24CEB3" w14:textId="1387EF04" w:rsidR="00674BF5" w:rsidRPr="00E07C9A" w:rsidRDefault="0049092A" w:rsidP="00487A02">
            <w:pPr>
              <w:pStyle w:val="InstructionsText"/>
              <w:rPr>
                <w:rStyle w:val="InstructionsTabelleberschrift"/>
                <w:rFonts w:ascii="Times New Roman" w:hAnsi="Times New Roman"/>
                <w:b w:val="0"/>
                <w:bCs w:val="0"/>
                <w:sz w:val="24"/>
                <w:u w:val="none"/>
              </w:rPr>
            </w:pPr>
            <w:r w:rsidRPr="00E07C9A">
              <w:t>Článok 4 ods. 1 bod 126</w:t>
            </w:r>
            <w:r w:rsidR="009912F8" w:rsidRPr="00E07C9A">
              <w:t xml:space="preserve"> a </w:t>
            </w:r>
            <w:r w:rsidRPr="00E07C9A">
              <w:t>články 68</w:t>
            </w:r>
            <w:r w:rsidR="009912F8" w:rsidRPr="00E07C9A">
              <w:t xml:space="preserve"> a </w:t>
            </w:r>
            <w:r w:rsidRPr="00E07C9A">
              <w:t xml:space="preserve">69 nariadenia (EÚ) </w:t>
            </w:r>
            <w:r w:rsidR="009912F8" w:rsidRPr="00E07C9A">
              <w:t>č. 575/2013</w:t>
            </w:r>
          </w:p>
        </w:tc>
      </w:tr>
      <w:tr w:rsidR="00674BF5" w:rsidRPr="00E07C9A" w14:paraId="06DAD4CA" w14:textId="77777777" w:rsidTr="00674BF5">
        <w:tc>
          <w:tcPr>
            <w:tcW w:w="1474" w:type="dxa"/>
          </w:tcPr>
          <w:p w14:paraId="029EDC69" w14:textId="77777777" w:rsidR="00674BF5" w:rsidRPr="00E07C9A" w:rsidRDefault="00754ADC" w:rsidP="00487A02">
            <w:pPr>
              <w:pStyle w:val="InstructionsText"/>
            </w:pPr>
            <w:r w:rsidRPr="00E07C9A">
              <w:t>0433</w:t>
            </w:r>
          </w:p>
        </w:tc>
        <w:tc>
          <w:tcPr>
            <w:tcW w:w="7049" w:type="dxa"/>
          </w:tcPr>
          <w:p w14:paraId="237A5B2C" w14:textId="25E3810B" w:rsidR="00674BF5" w:rsidRPr="00E07C9A" w:rsidRDefault="00674BF5" w:rsidP="00487A02">
            <w:pPr>
              <w:pStyle w:val="InstructionsText"/>
            </w:pPr>
            <w:r w:rsidRPr="00E07C9A">
              <w:rPr>
                <w:rStyle w:val="InstructionsTabelleberschrift"/>
                <w:rFonts w:ascii="Times New Roman" w:hAnsi="Times New Roman"/>
                <w:sz w:val="24"/>
              </w:rPr>
              <w:t>14.3.2.</w:t>
            </w:r>
            <w:r w:rsidRPr="00E07C9A">
              <w:tab/>
            </w:r>
            <w:r w:rsidRPr="00E07C9A">
              <w:rPr>
                <w:rStyle w:val="InstructionsTabelleberschrift"/>
                <w:rFonts w:ascii="Times New Roman" w:hAnsi="Times New Roman"/>
                <w:sz w:val="24"/>
              </w:rPr>
              <w:t>(–) Povolené kompenzačné krátke pozície</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súvislosti</w:t>
            </w:r>
            <w:r w:rsidR="009912F8" w:rsidRPr="00E07C9A">
              <w:rPr>
                <w:rStyle w:val="InstructionsTabelleberschrift"/>
                <w:rFonts w:ascii="Times New Roman" w:hAnsi="Times New Roman"/>
                <w:sz w:val="24"/>
              </w:rPr>
              <w:t xml:space="preserve"> s </w:t>
            </w:r>
            <w:r w:rsidRPr="00E07C9A">
              <w:rPr>
                <w:rStyle w:val="InstructionsTabelleberschrift"/>
                <w:rFonts w:ascii="Times New Roman" w:hAnsi="Times New Roman"/>
                <w:sz w:val="24"/>
              </w:rPr>
              <w:t>brutto syntetickými podielmi uvedenými vyššie</w:t>
            </w:r>
          </w:p>
          <w:p w14:paraId="28087537" w14:textId="6D1B60DE" w:rsidR="00674BF5" w:rsidRPr="00E07C9A" w:rsidRDefault="0049092A" w:rsidP="00487A02">
            <w:pPr>
              <w:pStyle w:val="InstructionsText"/>
            </w:pPr>
            <w:r w:rsidRPr="00E07C9A">
              <w:t>Článok 4 ods. 1 bod 126</w:t>
            </w:r>
            <w:r w:rsidR="009912F8" w:rsidRPr="00E07C9A">
              <w:t xml:space="preserve"> a </w:t>
            </w:r>
            <w:r w:rsidRPr="00E07C9A">
              <w:t xml:space="preserve">článok 69 nariadenia (EÚ) </w:t>
            </w:r>
            <w:r w:rsidR="009912F8" w:rsidRPr="00E07C9A">
              <w:t>č. 575/2013</w:t>
            </w:r>
          </w:p>
          <w:p w14:paraId="67857B5F" w14:textId="58981AC5" w:rsidR="002D31E5" w:rsidRPr="00E07C9A" w:rsidRDefault="002D31E5" w:rsidP="000D04B6">
            <w:pPr>
              <w:pStyle w:val="InstructionsText"/>
              <w:rPr>
                <w:rStyle w:val="InstructionsTabelleberschrift"/>
                <w:rFonts w:ascii="Times New Roman" w:hAnsi="Times New Roman"/>
                <w:b w:val="0"/>
                <w:bCs w:val="0"/>
                <w:sz w:val="24"/>
                <w:u w:val="none"/>
              </w:rPr>
            </w:pPr>
            <w:r w:rsidRPr="00E07C9A">
              <w:t xml:space="preserve">Článkom 69 písm. a) nariadenia (EÚ) </w:t>
            </w:r>
            <w:r w:rsidR="009912F8" w:rsidRPr="00E07C9A">
              <w:t>č. 575/2013</w:t>
            </w:r>
            <w:r w:rsidRPr="00E07C9A">
              <w:t xml:space="preserve"> sa povoľujú kompenzačné krátke pozície</w:t>
            </w:r>
            <w:r w:rsidR="009912F8" w:rsidRPr="00E07C9A">
              <w:t xml:space="preserve"> v </w:t>
            </w:r>
            <w:r w:rsidRPr="00E07C9A">
              <w:t>rovnakej podkladovej expozícii pod podmienkou, že dátum splatnosti krátkej pozície je buď rovnaký alebo neskorší ako dátum splatnosti dlhej pozície, alebo zostatková splatnosť krátkej pozície je najmenej jeden rok.</w:t>
            </w:r>
          </w:p>
        </w:tc>
      </w:tr>
      <w:tr w:rsidR="00674BF5" w:rsidRPr="00E07C9A" w14:paraId="5C03F156" w14:textId="77777777" w:rsidTr="00674BF5">
        <w:tc>
          <w:tcPr>
            <w:tcW w:w="1474" w:type="dxa"/>
          </w:tcPr>
          <w:p w14:paraId="142204BB" w14:textId="77777777" w:rsidR="00674BF5" w:rsidRPr="00E07C9A" w:rsidRDefault="00754ADC" w:rsidP="00487A02">
            <w:pPr>
              <w:pStyle w:val="InstructionsText"/>
            </w:pPr>
            <w:r w:rsidRPr="00E07C9A">
              <w:t>0440</w:t>
            </w:r>
          </w:p>
        </w:tc>
        <w:tc>
          <w:tcPr>
            <w:tcW w:w="7049" w:type="dxa"/>
          </w:tcPr>
          <w:p w14:paraId="781C2803" w14:textId="7BA118EB" w:rsidR="00674BF5" w:rsidRPr="00E07C9A" w:rsidRDefault="00674BF5" w:rsidP="00487A02">
            <w:pPr>
              <w:pStyle w:val="InstructionsText"/>
            </w:pPr>
            <w:r w:rsidRPr="00E07C9A">
              <w:rPr>
                <w:rStyle w:val="InstructionsTabelleberschrift"/>
                <w:rFonts w:ascii="Times New Roman" w:hAnsi="Times New Roman"/>
                <w:sz w:val="24"/>
              </w:rPr>
              <w:t>15.</w:t>
            </w:r>
            <w:r w:rsidRPr="00E07C9A">
              <w:tab/>
            </w:r>
            <w:r w:rsidRPr="00E07C9A">
              <w:rPr>
                <w:rStyle w:val="InstructionsTabelleberschrift"/>
                <w:rFonts w:ascii="Times New Roman" w:hAnsi="Times New Roman"/>
                <w:sz w:val="24"/>
              </w:rPr>
              <w:t>Podiely kapitálu CET1 subjektov finančného sektora,</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ktorých inštitúcia má významnú investíciu, po odpočítaní krátkych pozícií</w:t>
            </w:r>
          </w:p>
          <w:p w14:paraId="6B37F020" w14:textId="0624DE58" w:rsidR="00674BF5" w:rsidRPr="00E07C9A" w:rsidRDefault="00674BF5" w:rsidP="00487A02">
            <w:pPr>
              <w:pStyle w:val="InstructionsText"/>
            </w:pPr>
            <w:r w:rsidRPr="00E07C9A">
              <w:t>Články 44, 45, 47</w:t>
            </w:r>
            <w:r w:rsidR="009912F8" w:rsidRPr="00E07C9A">
              <w:t xml:space="preserve"> a </w:t>
            </w:r>
            <w:r w:rsidRPr="00E07C9A">
              <w:t xml:space="preserve">49 nariadenia (EÚ) </w:t>
            </w:r>
            <w:r w:rsidR="009912F8" w:rsidRPr="00E07C9A">
              <w:t>č. 575/2013</w:t>
            </w:r>
          </w:p>
        </w:tc>
      </w:tr>
      <w:tr w:rsidR="00674BF5" w:rsidRPr="00E07C9A" w14:paraId="01BDBB53" w14:textId="77777777" w:rsidTr="00674BF5">
        <w:tc>
          <w:tcPr>
            <w:tcW w:w="1474" w:type="dxa"/>
          </w:tcPr>
          <w:p w14:paraId="1E4E57DF" w14:textId="77777777" w:rsidR="00674BF5" w:rsidRPr="00E07C9A" w:rsidRDefault="00754ADC" w:rsidP="00487A02">
            <w:pPr>
              <w:pStyle w:val="InstructionsText"/>
            </w:pPr>
            <w:r w:rsidRPr="00E07C9A">
              <w:t>0450</w:t>
            </w:r>
          </w:p>
        </w:tc>
        <w:tc>
          <w:tcPr>
            <w:tcW w:w="7049" w:type="dxa"/>
          </w:tcPr>
          <w:p w14:paraId="3E8DC181" w14:textId="0CFEC0FA" w:rsidR="00674BF5" w:rsidRPr="00E07C9A" w:rsidRDefault="00674BF5" w:rsidP="00487A02">
            <w:pPr>
              <w:pStyle w:val="InstructionsText"/>
            </w:pPr>
            <w:r w:rsidRPr="00E07C9A">
              <w:rPr>
                <w:rStyle w:val="InstructionsTabelleberschrift"/>
                <w:rFonts w:ascii="Times New Roman" w:hAnsi="Times New Roman"/>
                <w:sz w:val="24"/>
              </w:rPr>
              <w:t>15.1.</w:t>
            </w:r>
            <w:r w:rsidRPr="00E07C9A">
              <w:tab/>
            </w:r>
            <w:r w:rsidRPr="00E07C9A">
              <w:rPr>
                <w:rStyle w:val="InstructionsTabelleberschrift"/>
                <w:rFonts w:ascii="Times New Roman" w:hAnsi="Times New Roman"/>
                <w:sz w:val="24"/>
              </w:rPr>
              <w:t>Priame podiely kapitálu CET1 subjektov finančného sektora,</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ktorých inštitúcia má významnú investíciu</w:t>
            </w:r>
          </w:p>
          <w:p w14:paraId="5F45543E" w14:textId="75DF254D" w:rsidR="00674BF5" w:rsidRPr="00E07C9A" w:rsidRDefault="00674BF5" w:rsidP="00487A02">
            <w:pPr>
              <w:pStyle w:val="InstructionsText"/>
            </w:pPr>
            <w:r w:rsidRPr="00E07C9A">
              <w:t>Články 44, 45, 47</w:t>
            </w:r>
            <w:r w:rsidR="009912F8" w:rsidRPr="00E07C9A">
              <w:t xml:space="preserve"> a </w:t>
            </w:r>
            <w:r w:rsidRPr="00E07C9A">
              <w:t xml:space="preserve">49 nariadenia (EÚ) </w:t>
            </w:r>
            <w:r w:rsidR="009912F8" w:rsidRPr="00E07C9A">
              <w:t>č. 575/2013</w:t>
            </w:r>
          </w:p>
        </w:tc>
      </w:tr>
      <w:tr w:rsidR="00674BF5" w:rsidRPr="00E07C9A" w14:paraId="4172C63E" w14:textId="77777777" w:rsidTr="00674BF5">
        <w:tc>
          <w:tcPr>
            <w:tcW w:w="1474" w:type="dxa"/>
          </w:tcPr>
          <w:p w14:paraId="66C808BC" w14:textId="77777777" w:rsidR="00674BF5" w:rsidRPr="00E07C9A" w:rsidRDefault="00754ADC" w:rsidP="00487A02">
            <w:pPr>
              <w:pStyle w:val="InstructionsText"/>
            </w:pPr>
            <w:r w:rsidRPr="00E07C9A">
              <w:t>0460</w:t>
            </w:r>
          </w:p>
        </w:tc>
        <w:tc>
          <w:tcPr>
            <w:tcW w:w="7049" w:type="dxa"/>
          </w:tcPr>
          <w:p w14:paraId="23040D3C" w14:textId="765DB6C3" w:rsidR="00674BF5" w:rsidRPr="00E07C9A" w:rsidRDefault="00674BF5" w:rsidP="00487A02">
            <w:pPr>
              <w:pStyle w:val="InstructionsText"/>
            </w:pPr>
            <w:r w:rsidRPr="00E07C9A">
              <w:rPr>
                <w:rStyle w:val="InstructionsTabelleberschrift"/>
                <w:rFonts w:ascii="Times New Roman" w:hAnsi="Times New Roman"/>
                <w:sz w:val="24"/>
              </w:rPr>
              <w:t>15.1.1.</w:t>
            </w:r>
            <w:r w:rsidRPr="00E07C9A">
              <w:tab/>
            </w:r>
            <w:r w:rsidRPr="00E07C9A">
              <w:rPr>
                <w:rStyle w:val="InstructionsTabelleberschrift"/>
                <w:rFonts w:ascii="Times New Roman" w:hAnsi="Times New Roman"/>
                <w:sz w:val="24"/>
              </w:rPr>
              <w:t>Brutto priame podiely kapitálu CET1 subjektov finančného sektora,</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ktorých inštitúcia má významnú investíciu</w:t>
            </w:r>
          </w:p>
          <w:p w14:paraId="6D7C87B8" w14:textId="7C9FE36F" w:rsidR="00674BF5" w:rsidRPr="00E07C9A" w:rsidRDefault="00674BF5" w:rsidP="00487A02">
            <w:pPr>
              <w:pStyle w:val="InstructionsText"/>
            </w:pPr>
            <w:r w:rsidRPr="00E07C9A">
              <w:t>Články 44, 45, 47</w:t>
            </w:r>
            <w:r w:rsidR="009912F8" w:rsidRPr="00E07C9A">
              <w:t xml:space="preserve"> a </w:t>
            </w:r>
            <w:r w:rsidRPr="00E07C9A">
              <w:t xml:space="preserve">49 nariadenia (EÚ) </w:t>
            </w:r>
            <w:r w:rsidR="009912F8" w:rsidRPr="00E07C9A">
              <w:t>č. 575/2013</w:t>
            </w:r>
          </w:p>
          <w:p w14:paraId="5D6F7E46" w14:textId="77777777" w:rsidR="00674BF5" w:rsidRPr="00E07C9A" w:rsidRDefault="00674BF5" w:rsidP="00487A02">
            <w:pPr>
              <w:pStyle w:val="InstructionsText"/>
            </w:pPr>
            <w:r w:rsidRPr="00E07C9A">
              <w:t>Priame podiely kapitálu CET1 subjektov finančného sektora, keď inštitúcia má významnú investíciu, bez:</w:t>
            </w:r>
          </w:p>
          <w:p w14:paraId="749BD3D0" w14:textId="12468D23" w:rsidR="009912F8" w:rsidRPr="00E07C9A" w:rsidRDefault="00674BF5" w:rsidP="00487A02">
            <w:pPr>
              <w:pStyle w:val="InstructionsText"/>
            </w:pPr>
            <w:r w:rsidRPr="00E07C9A">
              <w:t>a)</w:t>
            </w:r>
            <w:r w:rsidRPr="00E07C9A">
              <w:tab/>
              <w:t>pozícií</w:t>
            </w:r>
            <w:r w:rsidR="009912F8" w:rsidRPr="00E07C9A">
              <w:t xml:space="preserve"> z </w:t>
            </w:r>
            <w:r w:rsidRPr="00E07C9A">
              <w:t>upísania držaných päť pracovných dní alebo menej</w:t>
            </w:r>
            <w:r w:rsidR="009912F8" w:rsidRPr="00E07C9A">
              <w:t>;</w:t>
            </w:r>
          </w:p>
          <w:p w14:paraId="4965D000" w14:textId="77777777" w:rsidR="009912F8" w:rsidRPr="00E07C9A" w:rsidRDefault="00674BF5" w:rsidP="00487A02">
            <w:pPr>
              <w:pStyle w:val="InstructionsText"/>
            </w:pPr>
            <w:r w:rsidRPr="00E07C9A">
              <w:t>b)</w:t>
            </w:r>
            <w:r w:rsidRPr="00E07C9A">
              <w:tab/>
              <w:t>hodnôt súvisiacich</w:t>
            </w:r>
            <w:r w:rsidR="009912F8" w:rsidRPr="00E07C9A">
              <w:t xml:space="preserve"> s </w:t>
            </w:r>
            <w:r w:rsidRPr="00E07C9A">
              <w:t>investíciami, na ktoré sa uplatňuje alternatíva podľa článku 49;</w:t>
            </w:r>
            <w:r w:rsidR="009912F8" w:rsidRPr="00E07C9A">
              <w:t xml:space="preserve"> a</w:t>
            </w:r>
          </w:p>
          <w:p w14:paraId="289A45C1" w14:textId="1B78C8B9" w:rsidR="00674BF5" w:rsidRPr="00E07C9A" w:rsidRDefault="00674BF5" w:rsidP="0049092A">
            <w:pPr>
              <w:pStyle w:val="InstructionsText"/>
            </w:pPr>
            <w:r w:rsidRPr="00E07C9A">
              <w:t>c)</w:t>
            </w:r>
            <w:r w:rsidRPr="00E07C9A">
              <w:tab/>
              <w:t>podielov,</w:t>
            </w:r>
            <w:r w:rsidR="009912F8" w:rsidRPr="00E07C9A">
              <w:t xml:space="preserve"> s </w:t>
            </w:r>
            <w:r w:rsidRPr="00E07C9A">
              <w:t>ktorými sa zaobchádza ako</w:t>
            </w:r>
            <w:r w:rsidR="009912F8" w:rsidRPr="00E07C9A">
              <w:t xml:space="preserve"> s </w:t>
            </w:r>
            <w:r w:rsidRPr="00E07C9A">
              <w:t>recipročnými krížovými podielmi</w:t>
            </w:r>
            <w:r w:rsidR="009912F8" w:rsidRPr="00E07C9A">
              <w:t xml:space="preserve"> v </w:t>
            </w:r>
            <w:r w:rsidRPr="00E07C9A">
              <w:t>súlade</w:t>
            </w:r>
            <w:r w:rsidR="009912F8" w:rsidRPr="00E07C9A">
              <w:t xml:space="preserve"> s </w:t>
            </w:r>
            <w:r w:rsidRPr="00E07C9A">
              <w:t xml:space="preserve">článkom 36 ods. 1 písm. g) nariadenia (EÚ) </w:t>
            </w:r>
            <w:r w:rsidR="009912F8" w:rsidRPr="00E07C9A">
              <w:t>č. 575/2013</w:t>
            </w:r>
            <w:r w:rsidRPr="00E07C9A">
              <w:t>.</w:t>
            </w:r>
          </w:p>
        </w:tc>
      </w:tr>
      <w:tr w:rsidR="00674BF5" w:rsidRPr="00E07C9A" w14:paraId="23D8B08B" w14:textId="77777777" w:rsidTr="00674BF5">
        <w:tc>
          <w:tcPr>
            <w:tcW w:w="1474" w:type="dxa"/>
          </w:tcPr>
          <w:p w14:paraId="6B2C1D26" w14:textId="77777777" w:rsidR="00674BF5" w:rsidRPr="00E07C9A" w:rsidRDefault="00754ADC" w:rsidP="00487A02">
            <w:pPr>
              <w:pStyle w:val="InstructionsText"/>
            </w:pPr>
            <w:r w:rsidRPr="00E07C9A">
              <w:t>0470</w:t>
            </w:r>
          </w:p>
        </w:tc>
        <w:tc>
          <w:tcPr>
            <w:tcW w:w="7049" w:type="dxa"/>
          </w:tcPr>
          <w:p w14:paraId="166738D6" w14:textId="7E4522E1" w:rsidR="00674BF5" w:rsidRPr="00E07C9A" w:rsidRDefault="00674BF5" w:rsidP="00487A02">
            <w:pPr>
              <w:pStyle w:val="InstructionsText"/>
            </w:pPr>
            <w:r w:rsidRPr="00E07C9A">
              <w:rPr>
                <w:rStyle w:val="InstructionsTabelleberschrift"/>
                <w:rFonts w:ascii="Times New Roman" w:hAnsi="Times New Roman"/>
                <w:sz w:val="24"/>
              </w:rPr>
              <w:t>15.1.2.</w:t>
            </w:r>
            <w:r w:rsidRPr="00E07C9A">
              <w:tab/>
            </w:r>
            <w:r w:rsidRPr="00E07C9A">
              <w:rPr>
                <w:rStyle w:val="InstructionsTabelleberschrift"/>
                <w:rFonts w:ascii="Times New Roman" w:hAnsi="Times New Roman"/>
                <w:sz w:val="24"/>
              </w:rPr>
              <w:t>(–) Povolené kompenzačné krátke pozície</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súvislosti</w:t>
            </w:r>
            <w:r w:rsidR="009912F8" w:rsidRPr="00E07C9A">
              <w:rPr>
                <w:rStyle w:val="InstructionsTabelleberschrift"/>
                <w:rFonts w:ascii="Times New Roman" w:hAnsi="Times New Roman"/>
                <w:sz w:val="24"/>
              </w:rPr>
              <w:t xml:space="preserve"> s </w:t>
            </w:r>
            <w:r w:rsidRPr="00E07C9A">
              <w:rPr>
                <w:rStyle w:val="InstructionsTabelleberschrift"/>
                <w:rFonts w:ascii="Times New Roman" w:hAnsi="Times New Roman"/>
                <w:sz w:val="24"/>
              </w:rPr>
              <w:t>priamymi brutto podielmi uvedenými vyššie</w:t>
            </w:r>
          </w:p>
          <w:p w14:paraId="10FC314D" w14:textId="6E9D6C45" w:rsidR="00674BF5" w:rsidRPr="00E07C9A" w:rsidRDefault="00674BF5" w:rsidP="00487A02">
            <w:pPr>
              <w:pStyle w:val="InstructionsText"/>
            </w:pPr>
            <w:r w:rsidRPr="00E07C9A">
              <w:t xml:space="preserve">Článok 45 nariadenia (EÚ) </w:t>
            </w:r>
            <w:r w:rsidR="009912F8" w:rsidRPr="00E07C9A">
              <w:t>č. 575/2013</w:t>
            </w:r>
          </w:p>
          <w:p w14:paraId="35FC1C5B" w14:textId="0D0B8FAF" w:rsidR="00674BF5" w:rsidRPr="00E07C9A" w:rsidRDefault="00674BF5" w:rsidP="00487A02">
            <w:pPr>
              <w:pStyle w:val="InstructionsText"/>
            </w:pPr>
            <w:r w:rsidRPr="00E07C9A">
              <w:t xml:space="preserve">Článkom 45 písm. a) nariadenia (EÚ) </w:t>
            </w:r>
            <w:r w:rsidR="009912F8" w:rsidRPr="00E07C9A">
              <w:t>č. 575/2013</w:t>
            </w:r>
            <w:r w:rsidRPr="00E07C9A">
              <w:t xml:space="preserve"> sa povoľujú kompenzačné krátke pozície</w:t>
            </w:r>
            <w:r w:rsidR="009912F8" w:rsidRPr="00E07C9A">
              <w:t xml:space="preserve"> v </w:t>
            </w:r>
            <w:r w:rsidRPr="00E07C9A">
              <w:t>rovnakej podkladovej expozícii pod podmienkou, že dátum splatnosti krátkej pozície je buď rovnaký alebo neskorší ako dátum splatnosti dlhej pozície, alebo zostatková splatnosť krátkej pozície je najmenej jeden rok.</w:t>
            </w:r>
          </w:p>
        </w:tc>
      </w:tr>
      <w:tr w:rsidR="00674BF5" w:rsidRPr="00E07C9A" w14:paraId="54008C1C" w14:textId="77777777" w:rsidTr="00674BF5">
        <w:tc>
          <w:tcPr>
            <w:tcW w:w="1474" w:type="dxa"/>
          </w:tcPr>
          <w:p w14:paraId="4AF98409" w14:textId="77777777" w:rsidR="00674BF5" w:rsidRPr="00E07C9A" w:rsidRDefault="00754ADC" w:rsidP="00487A02">
            <w:pPr>
              <w:pStyle w:val="InstructionsText"/>
            </w:pPr>
            <w:r w:rsidRPr="00E07C9A">
              <w:t>0480</w:t>
            </w:r>
          </w:p>
        </w:tc>
        <w:tc>
          <w:tcPr>
            <w:tcW w:w="7049" w:type="dxa"/>
          </w:tcPr>
          <w:p w14:paraId="614B284E" w14:textId="40CBA1C6" w:rsidR="00674BF5" w:rsidRPr="00E07C9A" w:rsidRDefault="00674BF5" w:rsidP="00487A02">
            <w:pPr>
              <w:pStyle w:val="InstructionsText"/>
            </w:pPr>
            <w:r w:rsidRPr="00E07C9A">
              <w:rPr>
                <w:rStyle w:val="InstructionsTabelleberschrift"/>
                <w:rFonts w:ascii="Times New Roman" w:hAnsi="Times New Roman"/>
                <w:sz w:val="24"/>
              </w:rPr>
              <w:t>15.2.</w:t>
            </w:r>
            <w:r w:rsidRPr="00E07C9A">
              <w:tab/>
            </w:r>
            <w:r w:rsidRPr="00E07C9A">
              <w:rPr>
                <w:rStyle w:val="InstructionsTabelleberschrift"/>
                <w:rFonts w:ascii="Times New Roman" w:hAnsi="Times New Roman"/>
                <w:sz w:val="24"/>
              </w:rPr>
              <w:t>Nepriame podiely kapitálu CET1 subjektov finančného sektora,</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ktorých inštitúcia má významnú investíciu</w:t>
            </w:r>
          </w:p>
          <w:p w14:paraId="1B562CC7" w14:textId="3A06A1DD" w:rsidR="00674BF5" w:rsidRPr="00E07C9A" w:rsidRDefault="00674BF5" w:rsidP="00487A02">
            <w:pPr>
              <w:pStyle w:val="InstructionsText"/>
            </w:pPr>
            <w:r w:rsidRPr="00E07C9A">
              <w:lastRenderedPageBreak/>
              <w:t>Článok 4 ods. 1 bod 114</w:t>
            </w:r>
            <w:r w:rsidR="009912F8" w:rsidRPr="00E07C9A">
              <w:t xml:space="preserve"> a </w:t>
            </w:r>
            <w:r w:rsidRPr="00E07C9A">
              <w:t>články 44</w:t>
            </w:r>
            <w:r w:rsidR="009912F8" w:rsidRPr="00E07C9A">
              <w:t xml:space="preserve"> a </w:t>
            </w:r>
            <w:r w:rsidRPr="00E07C9A">
              <w:t xml:space="preserve">45 nariadenia (EÚ) </w:t>
            </w:r>
            <w:r w:rsidR="009912F8" w:rsidRPr="00E07C9A">
              <w:t>č. 575/2013</w:t>
            </w:r>
          </w:p>
        </w:tc>
      </w:tr>
      <w:tr w:rsidR="00674BF5" w:rsidRPr="00E07C9A" w14:paraId="09D859CD" w14:textId="77777777" w:rsidTr="00674BF5">
        <w:tc>
          <w:tcPr>
            <w:tcW w:w="1474" w:type="dxa"/>
          </w:tcPr>
          <w:p w14:paraId="340BE264" w14:textId="77777777" w:rsidR="00674BF5" w:rsidRPr="00E07C9A" w:rsidRDefault="00754ADC" w:rsidP="00487A02">
            <w:pPr>
              <w:pStyle w:val="InstructionsText"/>
            </w:pPr>
            <w:r w:rsidRPr="00E07C9A">
              <w:lastRenderedPageBreak/>
              <w:t>0490</w:t>
            </w:r>
          </w:p>
        </w:tc>
        <w:tc>
          <w:tcPr>
            <w:tcW w:w="7049" w:type="dxa"/>
          </w:tcPr>
          <w:p w14:paraId="46F8F676" w14:textId="1CA641EC" w:rsidR="00674BF5" w:rsidRPr="00E07C9A" w:rsidRDefault="00674BF5" w:rsidP="00487A02">
            <w:pPr>
              <w:pStyle w:val="InstructionsText"/>
            </w:pPr>
            <w:r w:rsidRPr="00E07C9A">
              <w:rPr>
                <w:rStyle w:val="InstructionsTabelleberschrift"/>
                <w:rFonts w:ascii="Times New Roman" w:hAnsi="Times New Roman"/>
                <w:sz w:val="24"/>
              </w:rPr>
              <w:t>15.2.1.</w:t>
            </w:r>
            <w:r w:rsidRPr="00E07C9A">
              <w:tab/>
            </w:r>
            <w:r w:rsidRPr="00E07C9A">
              <w:rPr>
                <w:rStyle w:val="InstructionsTabelleberschrift"/>
                <w:rFonts w:ascii="Times New Roman" w:hAnsi="Times New Roman"/>
                <w:sz w:val="24"/>
              </w:rPr>
              <w:t>Brutto nepriame podiely kapitálu CET1 subjektov finančného sektora,</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ktorých inštitúcia má významnú investíciu</w:t>
            </w:r>
          </w:p>
          <w:p w14:paraId="5813E86E" w14:textId="626969FE" w:rsidR="00674BF5" w:rsidRPr="00E07C9A" w:rsidRDefault="0049092A" w:rsidP="00487A02">
            <w:pPr>
              <w:pStyle w:val="InstructionsText"/>
            </w:pPr>
            <w:r w:rsidRPr="00E07C9A">
              <w:t>Článok 4 ods. 1 bod 114</w:t>
            </w:r>
            <w:r w:rsidR="009912F8" w:rsidRPr="00E07C9A">
              <w:t xml:space="preserve"> a </w:t>
            </w:r>
            <w:r w:rsidRPr="00E07C9A">
              <w:t>články 44</w:t>
            </w:r>
            <w:r w:rsidR="009912F8" w:rsidRPr="00E07C9A">
              <w:t xml:space="preserve"> a </w:t>
            </w:r>
            <w:r w:rsidRPr="00E07C9A">
              <w:t xml:space="preserve">45 nariadenia (EÚ) </w:t>
            </w:r>
            <w:r w:rsidR="009912F8" w:rsidRPr="00E07C9A">
              <w:t>č. 575/2013</w:t>
            </w:r>
          </w:p>
          <w:p w14:paraId="0EC89C74" w14:textId="1F077A74" w:rsidR="00674BF5" w:rsidRPr="00E07C9A" w:rsidRDefault="00674BF5" w:rsidP="00487A02">
            <w:pPr>
              <w:pStyle w:val="InstructionsText"/>
            </w:pPr>
            <w:r w:rsidRPr="00E07C9A">
              <w:t>Vykazovaná hodnota sa rovná nepriamym podielom</w:t>
            </w:r>
            <w:r w:rsidR="009912F8" w:rsidRPr="00E07C9A">
              <w:t xml:space="preserve"> v </w:t>
            </w:r>
            <w:r w:rsidRPr="00E07C9A">
              <w:t>obchodnej knihe na kapitálových nástrojoch subjektov finančného sektora, ktoré sú vo forme podielov cenných papierov zaradených do indexu. Dosiahne sa vypočítaním podkladovej expozície voči kapitálovým nástrojom subjektov finančného sektora</w:t>
            </w:r>
            <w:r w:rsidR="009912F8" w:rsidRPr="00E07C9A">
              <w:t xml:space="preserve"> v </w:t>
            </w:r>
            <w:r w:rsidRPr="00E07C9A">
              <w:t>týchto indexoch.</w:t>
            </w:r>
          </w:p>
          <w:p w14:paraId="4126D579" w14:textId="7A49B50E" w:rsidR="00674BF5" w:rsidRPr="00E07C9A" w:rsidRDefault="00674BF5" w:rsidP="0049092A">
            <w:pPr>
              <w:pStyle w:val="InstructionsText"/>
            </w:pPr>
            <w:r w:rsidRPr="00E07C9A">
              <w:t>Podiely,</w:t>
            </w:r>
            <w:r w:rsidR="009912F8" w:rsidRPr="00E07C9A">
              <w:t xml:space="preserve"> s </w:t>
            </w:r>
            <w:r w:rsidRPr="00E07C9A">
              <w:t>ktorými sa zaobchádza ako</w:t>
            </w:r>
            <w:r w:rsidR="009912F8" w:rsidRPr="00E07C9A">
              <w:t xml:space="preserve"> s </w:t>
            </w:r>
            <w:r w:rsidRPr="00E07C9A">
              <w:t>recipročnými krížovými podielmi</w:t>
            </w:r>
            <w:r w:rsidR="009912F8" w:rsidRPr="00E07C9A">
              <w:t xml:space="preserve"> v </w:t>
            </w:r>
            <w:r w:rsidRPr="00E07C9A">
              <w:t>súlade</w:t>
            </w:r>
            <w:r w:rsidR="009912F8" w:rsidRPr="00E07C9A">
              <w:t xml:space="preserve"> s </w:t>
            </w:r>
            <w:r w:rsidRPr="00E07C9A">
              <w:t xml:space="preserve">článkom 36 ods. 1 písm. g) nariadenia (EÚ) </w:t>
            </w:r>
            <w:r w:rsidR="009912F8" w:rsidRPr="00E07C9A">
              <w:t>č. 575/2013</w:t>
            </w:r>
            <w:r w:rsidRPr="00E07C9A">
              <w:t>, sa nezapočítavajú.</w:t>
            </w:r>
          </w:p>
        </w:tc>
      </w:tr>
      <w:tr w:rsidR="00674BF5" w:rsidRPr="00E07C9A" w14:paraId="6D7D399B" w14:textId="77777777" w:rsidTr="00674BF5">
        <w:tc>
          <w:tcPr>
            <w:tcW w:w="1474" w:type="dxa"/>
          </w:tcPr>
          <w:p w14:paraId="4BF9D4F4" w14:textId="77777777" w:rsidR="00674BF5" w:rsidRPr="00E07C9A" w:rsidRDefault="00754ADC" w:rsidP="00487A02">
            <w:pPr>
              <w:pStyle w:val="InstructionsText"/>
            </w:pPr>
            <w:r w:rsidRPr="00E07C9A">
              <w:t>0500</w:t>
            </w:r>
          </w:p>
        </w:tc>
        <w:tc>
          <w:tcPr>
            <w:tcW w:w="7049" w:type="dxa"/>
          </w:tcPr>
          <w:p w14:paraId="4A6B796B" w14:textId="051E7D6A" w:rsidR="00674BF5" w:rsidRPr="00E07C9A" w:rsidRDefault="00674BF5" w:rsidP="00487A02">
            <w:pPr>
              <w:pStyle w:val="InstructionsText"/>
            </w:pPr>
            <w:r w:rsidRPr="00E07C9A">
              <w:rPr>
                <w:rStyle w:val="InstructionsTabelleberschrift"/>
                <w:rFonts w:ascii="Times New Roman" w:hAnsi="Times New Roman"/>
                <w:sz w:val="24"/>
              </w:rPr>
              <w:t>15.2.2.</w:t>
            </w:r>
            <w:r w:rsidRPr="00E07C9A">
              <w:tab/>
            </w:r>
            <w:r w:rsidRPr="00E07C9A">
              <w:rPr>
                <w:rStyle w:val="InstructionsTabelleberschrift"/>
                <w:rFonts w:ascii="Times New Roman" w:hAnsi="Times New Roman"/>
                <w:sz w:val="24"/>
              </w:rPr>
              <w:t>(–) Povolené kompenzačné krátke pozície</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súvislosti</w:t>
            </w:r>
            <w:r w:rsidR="009912F8" w:rsidRPr="00E07C9A">
              <w:rPr>
                <w:rStyle w:val="InstructionsTabelleberschrift"/>
                <w:rFonts w:ascii="Times New Roman" w:hAnsi="Times New Roman"/>
                <w:sz w:val="24"/>
              </w:rPr>
              <w:t xml:space="preserve"> s </w:t>
            </w:r>
            <w:r w:rsidRPr="00E07C9A">
              <w:rPr>
                <w:rStyle w:val="InstructionsTabelleberschrift"/>
                <w:rFonts w:ascii="Times New Roman" w:hAnsi="Times New Roman"/>
                <w:sz w:val="24"/>
              </w:rPr>
              <w:t>nepriamymi brutto podielmi uvedenými vyššie</w:t>
            </w:r>
          </w:p>
          <w:p w14:paraId="181DE37A" w14:textId="280EF77B" w:rsidR="00674BF5" w:rsidRPr="00E07C9A" w:rsidRDefault="0049092A" w:rsidP="00487A02">
            <w:pPr>
              <w:pStyle w:val="InstructionsText"/>
            </w:pPr>
            <w:r w:rsidRPr="00E07C9A">
              <w:t>Článok 4 ods. 1 bod 114</w:t>
            </w:r>
            <w:r w:rsidR="009912F8" w:rsidRPr="00E07C9A">
              <w:t xml:space="preserve"> a </w:t>
            </w:r>
            <w:r w:rsidRPr="00E07C9A">
              <w:t xml:space="preserve">článok 45 nariadenia (EÚ) </w:t>
            </w:r>
            <w:r w:rsidR="009912F8" w:rsidRPr="00E07C9A">
              <w:t>č. 575/2013</w:t>
            </w:r>
          </w:p>
          <w:p w14:paraId="4DAC7E7C" w14:textId="624648FD" w:rsidR="00674BF5" w:rsidRPr="00E07C9A" w:rsidRDefault="0049092A" w:rsidP="00487A02">
            <w:pPr>
              <w:pStyle w:val="InstructionsText"/>
            </w:pPr>
            <w:r w:rsidRPr="00E07C9A">
              <w:t xml:space="preserve">Článkom 45 písm. a) nariadenia (EÚ) </w:t>
            </w:r>
            <w:r w:rsidR="009912F8" w:rsidRPr="00E07C9A">
              <w:t>č. 575/2013</w:t>
            </w:r>
            <w:r w:rsidRPr="00E07C9A">
              <w:t xml:space="preserve"> sa povoľujú kompenzačné krátke pozície</w:t>
            </w:r>
            <w:r w:rsidR="009912F8" w:rsidRPr="00E07C9A">
              <w:t xml:space="preserve"> v </w:t>
            </w:r>
            <w:r w:rsidRPr="00E07C9A">
              <w:t>rovnakej podkladovej expozícii pod podmienkou, že dátum splatnosti krátkej pozície je buď rovnaký alebo neskorší ako dátum splatnosti dlhej pozície, alebo zostatková splatnosť krátkej pozície je najmenej jeden rok.</w:t>
            </w:r>
          </w:p>
        </w:tc>
      </w:tr>
      <w:tr w:rsidR="00674BF5" w:rsidRPr="00E07C9A" w14:paraId="49921B08" w14:textId="77777777" w:rsidTr="00674BF5">
        <w:tc>
          <w:tcPr>
            <w:tcW w:w="1474" w:type="dxa"/>
          </w:tcPr>
          <w:p w14:paraId="7817D1FC" w14:textId="77777777" w:rsidR="00674BF5" w:rsidRPr="00E07C9A" w:rsidRDefault="00754ADC" w:rsidP="00487A02">
            <w:pPr>
              <w:pStyle w:val="InstructionsText"/>
            </w:pPr>
            <w:r w:rsidRPr="00E07C9A">
              <w:t>0501</w:t>
            </w:r>
          </w:p>
        </w:tc>
        <w:tc>
          <w:tcPr>
            <w:tcW w:w="7049" w:type="dxa"/>
          </w:tcPr>
          <w:p w14:paraId="44DFB94B" w14:textId="50DAB083" w:rsidR="00674BF5" w:rsidRPr="00E07C9A" w:rsidRDefault="00674BF5" w:rsidP="00487A02">
            <w:pPr>
              <w:pStyle w:val="InstructionsText"/>
            </w:pPr>
            <w:r w:rsidRPr="00E07C9A">
              <w:rPr>
                <w:rStyle w:val="InstructionsTabelleberschrift"/>
                <w:rFonts w:ascii="Times New Roman" w:hAnsi="Times New Roman"/>
                <w:sz w:val="24"/>
              </w:rPr>
              <w:t>15.3.</w:t>
            </w:r>
            <w:r w:rsidRPr="00E07C9A">
              <w:tab/>
            </w:r>
            <w:r w:rsidRPr="00E07C9A">
              <w:rPr>
                <w:rStyle w:val="InstructionsTabelleberschrift"/>
                <w:rFonts w:ascii="Times New Roman" w:hAnsi="Times New Roman"/>
                <w:sz w:val="24"/>
              </w:rPr>
              <w:t>Syntetické podiely kapitálu CET1 subjektov finančného sektora,</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ktorých inštitúcia má významnú investíciu</w:t>
            </w:r>
          </w:p>
          <w:p w14:paraId="55D438C1" w14:textId="4DA8CAF8" w:rsidR="00674BF5" w:rsidRPr="00E07C9A" w:rsidRDefault="00674BF5" w:rsidP="00487A02">
            <w:pPr>
              <w:pStyle w:val="InstructionsText"/>
            </w:pPr>
            <w:r w:rsidRPr="00E07C9A">
              <w:t>Článok 4 ods. 1 bod 126</w:t>
            </w:r>
            <w:r w:rsidR="009912F8" w:rsidRPr="00E07C9A">
              <w:t xml:space="preserve"> a </w:t>
            </w:r>
            <w:r w:rsidRPr="00E07C9A">
              <w:t>články 44</w:t>
            </w:r>
            <w:r w:rsidR="009912F8" w:rsidRPr="00E07C9A">
              <w:t xml:space="preserve"> a </w:t>
            </w:r>
            <w:r w:rsidRPr="00E07C9A">
              <w:t xml:space="preserve">45 nariadenia (EÚ) </w:t>
            </w:r>
            <w:r w:rsidR="009912F8" w:rsidRPr="00E07C9A">
              <w:t>č. 575/2013</w:t>
            </w:r>
          </w:p>
        </w:tc>
      </w:tr>
      <w:tr w:rsidR="00674BF5" w:rsidRPr="00E07C9A" w14:paraId="10AB1F83" w14:textId="77777777" w:rsidTr="00674BF5">
        <w:tc>
          <w:tcPr>
            <w:tcW w:w="1474" w:type="dxa"/>
          </w:tcPr>
          <w:p w14:paraId="0523D05C" w14:textId="77777777" w:rsidR="00674BF5" w:rsidRPr="00E07C9A" w:rsidRDefault="00754ADC" w:rsidP="00487A02">
            <w:pPr>
              <w:pStyle w:val="InstructionsText"/>
            </w:pPr>
            <w:r w:rsidRPr="00E07C9A">
              <w:t>0502</w:t>
            </w:r>
          </w:p>
        </w:tc>
        <w:tc>
          <w:tcPr>
            <w:tcW w:w="7049" w:type="dxa"/>
          </w:tcPr>
          <w:p w14:paraId="49FD13B7" w14:textId="0B14A701" w:rsidR="00674BF5" w:rsidRPr="00E07C9A" w:rsidRDefault="00674BF5" w:rsidP="00487A02">
            <w:pPr>
              <w:pStyle w:val="InstructionsText"/>
            </w:pPr>
            <w:r w:rsidRPr="00E07C9A">
              <w:rPr>
                <w:rStyle w:val="InstructionsTabelleberschrift"/>
                <w:rFonts w:ascii="Times New Roman" w:hAnsi="Times New Roman"/>
                <w:sz w:val="24"/>
              </w:rPr>
              <w:t>15.3.1.</w:t>
            </w:r>
            <w:r w:rsidRPr="00E07C9A">
              <w:tab/>
            </w:r>
            <w:r w:rsidRPr="00E07C9A">
              <w:rPr>
                <w:rStyle w:val="InstructionsTabelleberschrift"/>
                <w:rFonts w:ascii="Times New Roman" w:hAnsi="Times New Roman"/>
                <w:sz w:val="24"/>
              </w:rPr>
              <w:t>Brutto syntetické podiely kapitálu CET1 subjektov finančného sektora,</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ktorých inštitúcia má významnú investíciu</w:t>
            </w:r>
          </w:p>
          <w:p w14:paraId="0CEA3976" w14:textId="34DB1A7B" w:rsidR="00674BF5" w:rsidRPr="00E07C9A" w:rsidRDefault="0049092A" w:rsidP="00487A02">
            <w:pPr>
              <w:pStyle w:val="InstructionsText"/>
            </w:pPr>
            <w:r w:rsidRPr="00E07C9A">
              <w:t>Článok 4 ods. 1 bod 126</w:t>
            </w:r>
            <w:r w:rsidR="009912F8" w:rsidRPr="00E07C9A">
              <w:t xml:space="preserve"> a </w:t>
            </w:r>
            <w:r w:rsidRPr="00E07C9A">
              <w:t>články 44</w:t>
            </w:r>
            <w:r w:rsidR="009912F8" w:rsidRPr="00E07C9A">
              <w:t xml:space="preserve"> a </w:t>
            </w:r>
            <w:r w:rsidRPr="00E07C9A">
              <w:t xml:space="preserve">45 nariadenia (EÚ) </w:t>
            </w:r>
            <w:r w:rsidR="009912F8" w:rsidRPr="00E07C9A">
              <w:t>č. 575/2013</w:t>
            </w:r>
          </w:p>
        </w:tc>
      </w:tr>
      <w:tr w:rsidR="00674BF5" w:rsidRPr="00E07C9A" w14:paraId="7A3FAE46" w14:textId="77777777" w:rsidTr="00674BF5">
        <w:tc>
          <w:tcPr>
            <w:tcW w:w="1474" w:type="dxa"/>
          </w:tcPr>
          <w:p w14:paraId="0FE4AE8C" w14:textId="77777777" w:rsidR="00674BF5" w:rsidRPr="00E07C9A" w:rsidRDefault="00754ADC" w:rsidP="00487A02">
            <w:pPr>
              <w:pStyle w:val="InstructionsText"/>
            </w:pPr>
            <w:r w:rsidRPr="00E07C9A">
              <w:t>0503</w:t>
            </w:r>
          </w:p>
        </w:tc>
        <w:tc>
          <w:tcPr>
            <w:tcW w:w="7049" w:type="dxa"/>
          </w:tcPr>
          <w:p w14:paraId="5308EF0D" w14:textId="61034F9F" w:rsidR="00674BF5" w:rsidRPr="00E07C9A" w:rsidRDefault="00674BF5" w:rsidP="00487A02">
            <w:pPr>
              <w:pStyle w:val="InstructionsText"/>
            </w:pPr>
            <w:r w:rsidRPr="00E07C9A">
              <w:rPr>
                <w:rStyle w:val="InstructionsTabelleberschrift"/>
                <w:rFonts w:ascii="Times New Roman" w:hAnsi="Times New Roman"/>
                <w:sz w:val="24"/>
              </w:rPr>
              <w:t>15.3.2.</w:t>
            </w:r>
            <w:r w:rsidRPr="00E07C9A">
              <w:tab/>
            </w:r>
            <w:r w:rsidRPr="00E07C9A">
              <w:rPr>
                <w:rStyle w:val="InstructionsTabelleberschrift"/>
                <w:rFonts w:ascii="Times New Roman" w:hAnsi="Times New Roman"/>
                <w:sz w:val="24"/>
              </w:rPr>
              <w:t>(–) Povolené kompenzačné krátke pozície</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súvislosti</w:t>
            </w:r>
            <w:r w:rsidR="009912F8" w:rsidRPr="00E07C9A">
              <w:rPr>
                <w:rStyle w:val="InstructionsTabelleberschrift"/>
                <w:rFonts w:ascii="Times New Roman" w:hAnsi="Times New Roman"/>
                <w:sz w:val="24"/>
              </w:rPr>
              <w:t xml:space="preserve"> s </w:t>
            </w:r>
            <w:r w:rsidRPr="00E07C9A">
              <w:rPr>
                <w:rStyle w:val="InstructionsTabelleberschrift"/>
                <w:rFonts w:ascii="Times New Roman" w:hAnsi="Times New Roman"/>
                <w:sz w:val="24"/>
              </w:rPr>
              <w:t>brutto syntetickými podielmi uvedenými vyššie</w:t>
            </w:r>
          </w:p>
          <w:p w14:paraId="18C7966C" w14:textId="41310652" w:rsidR="00674BF5" w:rsidRPr="00E07C9A" w:rsidRDefault="0049092A" w:rsidP="00487A02">
            <w:pPr>
              <w:pStyle w:val="InstructionsText"/>
            </w:pPr>
            <w:r w:rsidRPr="00E07C9A">
              <w:t>Článok 4 ods. 1 bod 126</w:t>
            </w:r>
            <w:r w:rsidR="009912F8" w:rsidRPr="00E07C9A">
              <w:t xml:space="preserve"> a </w:t>
            </w:r>
            <w:r w:rsidRPr="00E07C9A">
              <w:t xml:space="preserve">článok 45 nariadenia (EÚ) </w:t>
            </w:r>
            <w:r w:rsidR="009912F8" w:rsidRPr="00E07C9A">
              <w:t>č. 575/2013</w:t>
            </w:r>
          </w:p>
          <w:p w14:paraId="3BE278C3" w14:textId="0708BA53" w:rsidR="002D31E5" w:rsidRPr="00E07C9A" w:rsidRDefault="0049092A" w:rsidP="000D04B6">
            <w:pPr>
              <w:pStyle w:val="InstructionsText"/>
            </w:pPr>
            <w:r w:rsidRPr="00E07C9A">
              <w:t xml:space="preserve">Článkom 45 písm. a) nariadenia (EÚ) </w:t>
            </w:r>
            <w:r w:rsidR="009912F8" w:rsidRPr="00E07C9A">
              <w:t>č. 575/2013</w:t>
            </w:r>
            <w:r w:rsidRPr="00E07C9A">
              <w:t xml:space="preserve"> sa povoľujú kompenzačné krátke pozície</w:t>
            </w:r>
            <w:r w:rsidR="009912F8" w:rsidRPr="00E07C9A">
              <w:t xml:space="preserve"> v </w:t>
            </w:r>
            <w:r w:rsidRPr="00E07C9A">
              <w:t>rovnakej podkladovej expozícii pod podmienkou, že dátum splatnosti krátkej pozície je buď rovnaký alebo neskorší ako dátum splatnosti dlhej pozície, alebo zostatková splatnosť krátkej pozície je najmenej jeden rok.</w:t>
            </w:r>
          </w:p>
        </w:tc>
      </w:tr>
      <w:tr w:rsidR="00916197" w:rsidRPr="00E07C9A" w14:paraId="4F901998" w14:textId="77777777" w:rsidTr="00674BF5">
        <w:tc>
          <w:tcPr>
            <w:tcW w:w="1474" w:type="dxa"/>
          </w:tcPr>
          <w:p w14:paraId="780DA0AC" w14:textId="77777777" w:rsidR="00916197" w:rsidRPr="00E07C9A" w:rsidRDefault="00916197" w:rsidP="00487A02">
            <w:pPr>
              <w:pStyle w:val="InstructionsText"/>
            </w:pPr>
            <w:r w:rsidRPr="00E07C9A">
              <w:t>0504</w:t>
            </w:r>
          </w:p>
        </w:tc>
        <w:tc>
          <w:tcPr>
            <w:tcW w:w="7049" w:type="dxa"/>
          </w:tcPr>
          <w:p w14:paraId="3DD9E065" w14:textId="2D378237" w:rsidR="00916197" w:rsidRPr="00E07C9A" w:rsidRDefault="00916197"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Investície do kapitálu CET1 subjektov finančného sektora,</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ktorých inštitúcia má významnú investíciu – podliehajúce rizikovej váhe 250</w:t>
            </w:r>
            <w:r w:rsidR="009912F8" w:rsidRPr="00E07C9A">
              <w:rPr>
                <w:rStyle w:val="InstructionsTabelleberschrift"/>
                <w:rFonts w:ascii="Times New Roman" w:hAnsi="Times New Roman"/>
                <w:sz w:val="24"/>
              </w:rPr>
              <w:t> %</w:t>
            </w:r>
          </w:p>
          <w:p w14:paraId="6A824A8C" w14:textId="6909D129" w:rsidR="00916197" w:rsidRPr="00E07C9A" w:rsidRDefault="00916197" w:rsidP="00487A02">
            <w:pPr>
              <w:pStyle w:val="InstructionsText"/>
            </w:pPr>
            <w:r w:rsidRPr="00E07C9A">
              <w:t xml:space="preserve">Článok 48 ods. 4 nariadenia (EÚ) </w:t>
            </w:r>
            <w:r w:rsidR="009912F8" w:rsidRPr="00E07C9A">
              <w:t>č. 575/2013</w:t>
            </w:r>
          </w:p>
          <w:p w14:paraId="2372BE1E" w14:textId="6F06A071" w:rsidR="00916197" w:rsidRPr="00E07C9A" w:rsidRDefault="00916197" w:rsidP="00487A02">
            <w:pPr>
              <w:pStyle w:val="InstructionsText"/>
            </w:pPr>
            <w:r w:rsidRPr="00E07C9A">
              <w:t xml:space="preserve">Hodnota významných investícií do kapitálu CET1 subjektov finančného sektora, ktoré sa neodpočítavajú podľa článku 48 ods. 1 nariadenia </w:t>
            </w:r>
            <w:r w:rsidRPr="00E07C9A">
              <w:lastRenderedPageBreak/>
              <w:t xml:space="preserve">(EÚ) </w:t>
            </w:r>
            <w:r w:rsidR="009912F8" w:rsidRPr="00E07C9A">
              <w:t>č. 575/2013</w:t>
            </w:r>
            <w:r w:rsidRPr="00E07C9A">
              <w:t>, ale ktoré podliehajú rizikovej váhe 250</w:t>
            </w:r>
            <w:r w:rsidR="009912F8" w:rsidRPr="00E07C9A">
              <w:t> % v </w:t>
            </w:r>
            <w:r w:rsidRPr="00E07C9A">
              <w:t>súlade</w:t>
            </w:r>
            <w:r w:rsidR="009912F8" w:rsidRPr="00E07C9A">
              <w:t xml:space="preserve"> s </w:t>
            </w:r>
            <w:r w:rsidRPr="00E07C9A">
              <w:t>článkom 48 ods. 4 uvedeného nariadenia.</w:t>
            </w:r>
          </w:p>
          <w:p w14:paraId="03F455E6" w14:textId="77777777" w:rsidR="00916197" w:rsidRPr="00E07C9A" w:rsidRDefault="00916197" w:rsidP="00487A02">
            <w:pPr>
              <w:pStyle w:val="InstructionsText"/>
              <w:rPr>
                <w:rStyle w:val="InstructionsTabelleberschrift"/>
                <w:rFonts w:ascii="Times New Roman" w:hAnsi="Times New Roman"/>
                <w:sz w:val="24"/>
              </w:rPr>
            </w:pPr>
            <w:r w:rsidRPr="00E07C9A">
              <w:t>Vykázaná hodnota je hodnota významných investícií pred uplatnením rizikových váh.</w:t>
            </w:r>
          </w:p>
        </w:tc>
      </w:tr>
      <w:tr w:rsidR="00674BF5" w:rsidRPr="00E07C9A" w14:paraId="7E7D9F04" w14:textId="77777777" w:rsidTr="00674BF5">
        <w:tc>
          <w:tcPr>
            <w:tcW w:w="1474" w:type="dxa"/>
          </w:tcPr>
          <w:p w14:paraId="6632A92B" w14:textId="77777777" w:rsidR="00674BF5" w:rsidRPr="00E07C9A" w:rsidRDefault="00754ADC" w:rsidP="00487A02">
            <w:pPr>
              <w:pStyle w:val="InstructionsText"/>
            </w:pPr>
            <w:r w:rsidRPr="00E07C9A">
              <w:lastRenderedPageBreak/>
              <w:t>0510</w:t>
            </w:r>
          </w:p>
        </w:tc>
        <w:tc>
          <w:tcPr>
            <w:tcW w:w="7049" w:type="dxa"/>
          </w:tcPr>
          <w:p w14:paraId="4090C55E" w14:textId="215B776C" w:rsidR="00674BF5" w:rsidRPr="00E07C9A" w:rsidRDefault="00674BF5" w:rsidP="00487A02">
            <w:pPr>
              <w:pStyle w:val="InstructionsText"/>
            </w:pPr>
            <w:r w:rsidRPr="00E07C9A">
              <w:rPr>
                <w:rStyle w:val="InstructionsTabelleberschrift"/>
                <w:rFonts w:ascii="Times New Roman" w:hAnsi="Times New Roman"/>
                <w:sz w:val="24"/>
              </w:rPr>
              <w:t>16. Podiely kapitálu AT1 subjektov finančného sektora,</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ktorých inštitúcia má významnú investíciu, po odpočítaní krátkych pozícií</w:t>
            </w:r>
          </w:p>
          <w:p w14:paraId="0CF06C76" w14:textId="5520553E" w:rsidR="00674BF5" w:rsidRPr="00E07C9A" w:rsidRDefault="00674BF5" w:rsidP="00487A02">
            <w:pPr>
              <w:pStyle w:val="InstructionsText"/>
            </w:pPr>
            <w:r w:rsidRPr="00E07C9A">
              <w:t>Články 58</w:t>
            </w:r>
            <w:r w:rsidR="009912F8" w:rsidRPr="00E07C9A">
              <w:t xml:space="preserve"> a </w:t>
            </w:r>
            <w:r w:rsidRPr="00E07C9A">
              <w:t xml:space="preserve">59 nariadenia (EÚ) </w:t>
            </w:r>
            <w:r w:rsidR="009912F8" w:rsidRPr="00E07C9A">
              <w:t>č. 575/2013</w:t>
            </w:r>
          </w:p>
        </w:tc>
      </w:tr>
      <w:tr w:rsidR="00674BF5" w:rsidRPr="00E07C9A" w14:paraId="5085F8C1" w14:textId="77777777" w:rsidTr="00674BF5">
        <w:tc>
          <w:tcPr>
            <w:tcW w:w="1474" w:type="dxa"/>
          </w:tcPr>
          <w:p w14:paraId="344A467A" w14:textId="77777777" w:rsidR="00674BF5" w:rsidRPr="00E07C9A" w:rsidRDefault="00754ADC" w:rsidP="00487A02">
            <w:pPr>
              <w:pStyle w:val="InstructionsText"/>
            </w:pPr>
            <w:r w:rsidRPr="00E07C9A">
              <w:t>0520</w:t>
            </w:r>
          </w:p>
        </w:tc>
        <w:tc>
          <w:tcPr>
            <w:tcW w:w="7049" w:type="dxa"/>
          </w:tcPr>
          <w:p w14:paraId="207E9110" w14:textId="3FD1F5CC" w:rsidR="00674BF5" w:rsidRPr="00E07C9A" w:rsidRDefault="00674BF5" w:rsidP="00487A02">
            <w:pPr>
              <w:pStyle w:val="InstructionsText"/>
            </w:pPr>
            <w:r w:rsidRPr="00E07C9A">
              <w:rPr>
                <w:rStyle w:val="InstructionsTabelleberschrift"/>
                <w:rFonts w:ascii="Times New Roman" w:hAnsi="Times New Roman"/>
                <w:sz w:val="24"/>
              </w:rPr>
              <w:t>16.1.</w:t>
            </w:r>
            <w:r w:rsidRPr="00E07C9A">
              <w:tab/>
            </w:r>
            <w:r w:rsidRPr="00E07C9A">
              <w:rPr>
                <w:rStyle w:val="InstructionsTabelleberschrift"/>
                <w:rFonts w:ascii="Times New Roman" w:hAnsi="Times New Roman"/>
                <w:sz w:val="24"/>
              </w:rPr>
              <w:t>Priame podiely kapitálu AT1 subjektov finančného sektora,</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ktorých inštitúcia má významnú investíciu</w:t>
            </w:r>
          </w:p>
          <w:p w14:paraId="328FC504" w14:textId="5ACCDC07" w:rsidR="00674BF5" w:rsidRPr="00E07C9A" w:rsidRDefault="00674BF5" w:rsidP="00487A02">
            <w:pPr>
              <w:pStyle w:val="InstructionsText"/>
            </w:pPr>
            <w:r w:rsidRPr="00E07C9A">
              <w:t>Články 58</w:t>
            </w:r>
            <w:r w:rsidR="009912F8" w:rsidRPr="00E07C9A">
              <w:t xml:space="preserve"> a </w:t>
            </w:r>
            <w:r w:rsidRPr="00E07C9A">
              <w:t xml:space="preserve">59 nariadenia (EÚ) </w:t>
            </w:r>
            <w:r w:rsidR="009912F8" w:rsidRPr="00E07C9A">
              <w:t>č. 575/2013</w:t>
            </w:r>
          </w:p>
        </w:tc>
      </w:tr>
      <w:tr w:rsidR="00674BF5" w:rsidRPr="00E07C9A" w14:paraId="5153A666" w14:textId="77777777" w:rsidTr="00674BF5">
        <w:tc>
          <w:tcPr>
            <w:tcW w:w="1474" w:type="dxa"/>
          </w:tcPr>
          <w:p w14:paraId="3EA4D6D6" w14:textId="77777777" w:rsidR="00674BF5" w:rsidRPr="00E07C9A" w:rsidRDefault="00754ADC" w:rsidP="00487A02">
            <w:pPr>
              <w:pStyle w:val="InstructionsText"/>
            </w:pPr>
            <w:r w:rsidRPr="00E07C9A">
              <w:t>0530</w:t>
            </w:r>
          </w:p>
        </w:tc>
        <w:tc>
          <w:tcPr>
            <w:tcW w:w="7049" w:type="dxa"/>
          </w:tcPr>
          <w:p w14:paraId="54D29799" w14:textId="53C1A164" w:rsidR="00674BF5" w:rsidRPr="00E07C9A" w:rsidRDefault="00674BF5" w:rsidP="00487A02">
            <w:pPr>
              <w:pStyle w:val="InstructionsText"/>
            </w:pPr>
            <w:r w:rsidRPr="00E07C9A">
              <w:rPr>
                <w:rStyle w:val="InstructionsTabelleberschrift"/>
                <w:rFonts w:ascii="Times New Roman" w:hAnsi="Times New Roman"/>
                <w:sz w:val="24"/>
              </w:rPr>
              <w:t>16.1.1.</w:t>
            </w:r>
            <w:r w:rsidRPr="00E07C9A">
              <w:tab/>
            </w:r>
            <w:r w:rsidRPr="00E07C9A">
              <w:rPr>
                <w:rStyle w:val="InstructionsTabelleberschrift"/>
                <w:rFonts w:ascii="Times New Roman" w:hAnsi="Times New Roman"/>
                <w:sz w:val="24"/>
              </w:rPr>
              <w:t>Brutto priame podiely kapitálu AT1 subjektov finančného sektora,</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ktorých inštitúcia má významnú investíciu</w:t>
            </w:r>
          </w:p>
          <w:p w14:paraId="2E0EA9D7" w14:textId="2C34CF6A" w:rsidR="00674BF5" w:rsidRPr="00E07C9A" w:rsidRDefault="00674BF5" w:rsidP="00487A02">
            <w:pPr>
              <w:pStyle w:val="InstructionsText"/>
            </w:pPr>
            <w:r w:rsidRPr="00E07C9A">
              <w:t xml:space="preserve">Článok 58 nariadenia (EÚ) </w:t>
            </w:r>
            <w:r w:rsidR="009912F8" w:rsidRPr="00E07C9A">
              <w:t>č. 575/2013</w:t>
            </w:r>
          </w:p>
          <w:p w14:paraId="03966E1B" w14:textId="77777777" w:rsidR="00674BF5" w:rsidRPr="00E07C9A" w:rsidRDefault="00674BF5" w:rsidP="00487A02">
            <w:pPr>
              <w:pStyle w:val="InstructionsText"/>
            </w:pPr>
            <w:r w:rsidRPr="00E07C9A">
              <w:t>Priame podiely kapitálu AT1 subjektov finančného sektora, keď inštitúcia má významnú investíciu, bez:</w:t>
            </w:r>
          </w:p>
          <w:p w14:paraId="3D0AC2D9" w14:textId="586EEF69" w:rsidR="00674BF5" w:rsidRPr="00E07C9A" w:rsidRDefault="00674BF5" w:rsidP="00487A02">
            <w:pPr>
              <w:pStyle w:val="InstructionsText"/>
            </w:pPr>
            <w:r w:rsidRPr="00E07C9A">
              <w:t>a)</w:t>
            </w:r>
            <w:r w:rsidRPr="00E07C9A">
              <w:tab/>
              <w:t>pozícií</w:t>
            </w:r>
            <w:r w:rsidR="009912F8" w:rsidRPr="00E07C9A">
              <w:t xml:space="preserve"> z </w:t>
            </w:r>
            <w:r w:rsidRPr="00E07C9A">
              <w:t xml:space="preserve">upísania držaných päť pracovných dní alebo menej [článok 56 písm. d) nariadenia (EÚ) </w:t>
            </w:r>
            <w:r w:rsidR="009912F8" w:rsidRPr="00E07C9A">
              <w:t>č. 575/2013</w:t>
            </w:r>
            <w:r w:rsidRPr="00E07C9A">
              <w:t>]; a</w:t>
            </w:r>
          </w:p>
          <w:p w14:paraId="60E1CBC8" w14:textId="5BCECB32" w:rsidR="00674BF5" w:rsidRPr="00E07C9A" w:rsidRDefault="00674BF5" w:rsidP="00487A02">
            <w:pPr>
              <w:pStyle w:val="InstructionsText"/>
            </w:pPr>
            <w:r w:rsidRPr="00E07C9A">
              <w:t>b)</w:t>
            </w:r>
            <w:r w:rsidRPr="00E07C9A">
              <w:tab/>
              <w:t>podielov,</w:t>
            </w:r>
            <w:r w:rsidR="009912F8" w:rsidRPr="00E07C9A">
              <w:t xml:space="preserve"> s </w:t>
            </w:r>
            <w:r w:rsidRPr="00E07C9A">
              <w:t>ktorými sa zaobchádza ako</w:t>
            </w:r>
            <w:r w:rsidR="009912F8" w:rsidRPr="00E07C9A">
              <w:t xml:space="preserve"> s </w:t>
            </w:r>
            <w:r w:rsidRPr="00E07C9A">
              <w:t>recipročnými krížovými podielmi</w:t>
            </w:r>
            <w:r w:rsidR="009912F8" w:rsidRPr="00E07C9A">
              <w:t xml:space="preserve"> v </w:t>
            </w:r>
            <w:r w:rsidRPr="00E07C9A">
              <w:t>súlade</w:t>
            </w:r>
            <w:r w:rsidR="009912F8" w:rsidRPr="00E07C9A">
              <w:t xml:space="preserve"> s </w:t>
            </w:r>
            <w:r w:rsidRPr="00E07C9A">
              <w:t xml:space="preserve">článkom 56 písm. b) nariadenia (EÚ) </w:t>
            </w:r>
            <w:r w:rsidR="009912F8" w:rsidRPr="00E07C9A">
              <w:t>č. 575/2013</w:t>
            </w:r>
            <w:r w:rsidRPr="00E07C9A">
              <w:t>.</w:t>
            </w:r>
          </w:p>
        </w:tc>
      </w:tr>
      <w:tr w:rsidR="00674BF5" w:rsidRPr="00E07C9A" w14:paraId="1157D67B" w14:textId="77777777" w:rsidTr="00674BF5">
        <w:tc>
          <w:tcPr>
            <w:tcW w:w="1474" w:type="dxa"/>
          </w:tcPr>
          <w:p w14:paraId="112382BB" w14:textId="77777777" w:rsidR="00674BF5" w:rsidRPr="00E07C9A" w:rsidRDefault="00754ADC" w:rsidP="00487A02">
            <w:pPr>
              <w:pStyle w:val="InstructionsText"/>
            </w:pPr>
            <w:r w:rsidRPr="00E07C9A">
              <w:t>0540</w:t>
            </w:r>
          </w:p>
        </w:tc>
        <w:tc>
          <w:tcPr>
            <w:tcW w:w="7049" w:type="dxa"/>
          </w:tcPr>
          <w:p w14:paraId="1A5AF416" w14:textId="73B38213" w:rsidR="00674BF5" w:rsidRPr="00E07C9A" w:rsidRDefault="00674BF5" w:rsidP="00487A02">
            <w:pPr>
              <w:pStyle w:val="InstructionsText"/>
            </w:pPr>
            <w:r w:rsidRPr="00E07C9A">
              <w:rPr>
                <w:rStyle w:val="InstructionsTabelleberschrift"/>
                <w:rFonts w:ascii="Times New Roman" w:hAnsi="Times New Roman"/>
                <w:sz w:val="24"/>
              </w:rPr>
              <w:t>16.1.2.</w:t>
            </w:r>
            <w:r w:rsidRPr="00E07C9A">
              <w:tab/>
            </w:r>
            <w:r w:rsidRPr="00E07C9A">
              <w:rPr>
                <w:rStyle w:val="InstructionsTabelleberschrift"/>
                <w:rFonts w:ascii="Times New Roman" w:hAnsi="Times New Roman"/>
                <w:sz w:val="24"/>
              </w:rPr>
              <w:t>(–) Povolené kompenzačné krátke pozície</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súvislosti</w:t>
            </w:r>
            <w:r w:rsidR="009912F8" w:rsidRPr="00E07C9A">
              <w:rPr>
                <w:rStyle w:val="InstructionsTabelleberschrift"/>
                <w:rFonts w:ascii="Times New Roman" w:hAnsi="Times New Roman"/>
                <w:sz w:val="24"/>
              </w:rPr>
              <w:t xml:space="preserve"> s </w:t>
            </w:r>
            <w:r w:rsidRPr="00E07C9A">
              <w:rPr>
                <w:rStyle w:val="InstructionsTabelleberschrift"/>
                <w:rFonts w:ascii="Times New Roman" w:hAnsi="Times New Roman"/>
                <w:sz w:val="24"/>
              </w:rPr>
              <w:t>priamymi brutto podielmi uvedenými vyššie</w:t>
            </w:r>
          </w:p>
          <w:p w14:paraId="2E52B3A7" w14:textId="2E63E007" w:rsidR="00674BF5" w:rsidRPr="00E07C9A" w:rsidRDefault="00674BF5" w:rsidP="00487A02">
            <w:pPr>
              <w:pStyle w:val="InstructionsText"/>
            </w:pPr>
            <w:r w:rsidRPr="00E07C9A">
              <w:t xml:space="preserve">Článok 59 nariadenia (EÚ) </w:t>
            </w:r>
            <w:r w:rsidR="009912F8" w:rsidRPr="00E07C9A">
              <w:t>č. 575/2013</w:t>
            </w:r>
          </w:p>
          <w:p w14:paraId="35C2E855" w14:textId="4379846D" w:rsidR="00674BF5" w:rsidRPr="00E07C9A" w:rsidRDefault="0049092A" w:rsidP="0049092A">
            <w:pPr>
              <w:pStyle w:val="InstructionsText"/>
            </w:pPr>
            <w:r w:rsidRPr="00E07C9A">
              <w:t xml:space="preserve">Článkom 59 písm. a) nariadenia (EÚ) </w:t>
            </w:r>
            <w:r w:rsidR="009912F8" w:rsidRPr="00E07C9A">
              <w:t>č. 575/2013</w:t>
            </w:r>
            <w:r w:rsidRPr="00E07C9A">
              <w:t xml:space="preserve"> sa povoľujú kompenzačné krátke pozície</w:t>
            </w:r>
            <w:r w:rsidR="009912F8" w:rsidRPr="00E07C9A">
              <w:t xml:space="preserve"> v </w:t>
            </w:r>
            <w:r w:rsidRPr="00E07C9A">
              <w:t>rovnakej podkladovej expozícii pod podmienkou, že dátum splatnosti krátkej pozície je buď rovnaký alebo neskorší ako dátum splatnosti dlhej pozície, alebo zostatková splatnosť krátkej pozície je najmenej jeden rok.</w:t>
            </w:r>
          </w:p>
        </w:tc>
      </w:tr>
      <w:tr w:rsidR="00674BF5" w:rsidRPr="00E07C9A" w14:paraId="3D938033" w14:textId="77777777" w:rsidTr="00674BF5">
        <w:tc>
          <w:tcPr>
            <w:tcW w:w="1474" w:type="dxa"/>
          </w:tcPr>
          <w:p w14:paraId="71CBD8BD" w14:textId="77777777" w:rsidR="00674BF5" w:rsidRPr="00E07C9A" w:rsidRDefault="00754ADC" w:rsidP="00487A02">
            <w:pPr>
              <w:pStyle w:val="InstructionsText"/>
            </w:pPr>
            <w:r w:rsidRPr="00E07C9A">
              <w:t>0550</w:t>
            </w:r>
          </w:p>
        </w:tc>
        <w:tc>
          <w:tcPr>
            <w:tcW w:w="7049" w:type="dxa"/>
          </w:tcPr>
          <w:p w14:paraId="3446C35F" w14:textId="5457D8B2" w:rsidR="00674BF5" w:rsidRPr="00E07C9A" w:rsidRDefault="00674BF5" w:rsidP="00487A02">
            <w:pPr>
              <w:pStyle w:val="InstructionsText"/>
            </w:pPr>
            <w:r w:rsidRPr="00E07C9A">
              <w:rPr>
                <w:rStyle w:val="InstructionsTabelleberschrift"/>
                <w:rFonts w:ascii="Times New Roman" w:hAnsi="Times New Roman"/>
                <w:sz w:val="24"/>
              </w:rPr>
              <w:t>16.2.</w:t>
            </w:r>
            <w:r w:rsidRPr="00E07C9A">
              <w:tab/>
            </w:r>
            <w:r w:rsidRPr="00E07C9A">
              <w:rPr>
                <w:rStyle w:val="InstructionsTabelleberschrift"/>
                <w:rFonts w:ascii="Times New Roman" w:hAnsi="Times New Roman"/>
                <w:sz w:val="24"/>
              </w:rPr>
              <w:t>Nepriame podiely kapitálu AT1 subjektov finančného sektora,</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ktorých inštitúcia má významnú investíciu</w:t>
            </w:r>
          </w:p>
          <w:p w14:paraId="19C1DEF8" w14:textId="775A682D" w:rsidR="00674BF5" w:rsidRPr="00E07C9A" w:rsidRDefault="00674BF5" w:rsidP="00487A02">
            <w:pPr>
              <w:pStyle w:val="InstructionsText"/>
            </w:pPr>
            <w:r w:rsidRPr="00E07C9A">
              <w:t>Článok 4 ods. 1 bod 114</w:t>
            </w:r>
            <w:r w:rsidR="009912F8" w:rsidRPr="00E07C9A">
              <w:t xml:space="preserve"> a </w:t>
            </w:r>
            <w:r w:rsidRPr="00E07C9A">
              <w:t>články 58</w:t>
            </w:r>
            <w:r w:rsidR="009912F8" w:rsidRPr="00E07C9A">
              <w:t xml:space="preserve"> a </w:t>
            </w:r>
            <w:r w:rsidRPr="00E07C9A">
              <w:t xml:space="preserve">59 nariadenia (EÚ) </w:t>
            </w:r>
            <w:r w:rsidR="009912F8" w:rsidRPr="00E07C9A">
              <w:t>č. 575/2013</w:t>
            </w:r>
          </w:p>
        </w:tc>
      </w:tr>
      <w:tr w:rsidR="00674BF5" w:rsidRPr="00E07C9A" w14:paraId="1A5B7A4C" w14:textId="77777777" w:rsidTr="00674BF5">
        <w:tc>
          <w:tcPr>
            <w:tcW w:w="1474" w:type="dxa"/>
          </w:tcPr>
          <w:p w14:paraId="5EA9EF87" w14:textId="77777777" w:rsidR="00674BF5" w:rsidRPr="00E07C9A" w:rsidRDefault="00754ADC" w:rsidP="00487A02">
            <w:pPr>
              <w:pStyle w:val="InstructionsText"/>
            </w:pPr>
            <w:r w:rsidRPr="00E07C9A">
              <w:t>0560</w:t>
            </w:r>
          </w:p>
        </w:tc>
        <w:tc>
          <w:tcPr>
            <w:tcW w:w="7049" w:type="dxa"/>
          </w:tcPr>
          <w:p w14:paraId="3857076D" w14:textId="13B636AF" w:rsidR="00674BF5" w:rsidRPr="00E07C9A" w:rsidRDefault="00674BF5" w:rsidP="00487A02">
            <w:pPr>
              <w:pStyle w:val="InstructionsText"/>
            </w:pPr>
            <w:r w:rsidRPr="00E07C9A">
              <w:rPr>
                <w:rStyle w:val="InstructionsTabelleberschrift"/>
                <w:rFonts w:ascii="Times New Roman" w:hAnsi="Times New Roman"/>
                <w:sz w:val="24"/>
              </w:rPr>
              <w:t>16.2.1.</w:t>
            </w:r>
            <w:r w:rsidRPr="00E07C9A">
              <w:tab/>
            </w:r>
            <w:r w:rsidRPr="00E07C9A">
              <w:rPr>
                <w:rStyle w:val="InstructionsTabelleberschrift"/>
                <w:rFonts w:ascii="Times New Roman" w:hAnsi="Times New Roman"/>
                <w:sz w:val="24"/>
              </w:rPr>
              <w:t>Brutto nepriame podiely kapitálu AT1 subjektov finančného sektora,</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ktorých inštitúcia má významnú investíciu</w:t>
            </w:r>
          </w:p>
          <w:p w14:paraId="7DC4C453" w14:textId="6899AB2F" w:rsidR="00674BF5" w:rsidRPr="00E07C9A" w:rsidRDefault="0049092A" w:rsidP="00487A02">
            <w:pPr>
              <w:pStyle w:val="InstructionsText"/>
            </w:pPr>
            <w:r w:rsidRPr="00E07C9A">
              <w:t>Článok 4 ods. 1 bod 114</w:t>
            </w:r>
            <w:r w:rsidR="009912F8" w:rsidRPr="00E07C9A">
              <w:t xml:space="preserve"> a </w:t>
            </w:r>
            <w:r w:rsidRPr="00E07C9A">
              <w:t>články 58</w:t>
            </w:r>
            <w:r w:rsidR="009912F8" w:rsidRPr="00E07C9A">
              <w:t xml:space="preserve"> a </w:t>
            </w:r>
            <w:r w:rsidRPr="00E07C9A">
              <w:t xml:space="preserve">59 nariadenia (EÚ) </w:t>
            </w:r>
            <w:r w:rsidR="009912F8" w:rsidRPr="00E07C9A">
              <w:t>č. 575/2013</w:t>
            </w:r>
          </w:p>
          <w:p w14:paraId="00AC9B4B" w14:textId="53FE799E" w:rsidR="00674BF5" w:rsidRPr="00E07C9A" w:rsidRDefault="00674BF5" w:rsidP="00487A02">
            <w:pPr>
              <w:pStyle w:val="InstructionsText"/>
            </w:pPr>
            <w:r w:rsidRPr="00E07C9A">
              <w:t>Vykazovaná hodnota sa rovná nepriamym podielom</w:t>
            </w:r>
            <w:r w:rsidR="009912F8" w:rsidRPr="00E07C9A">
              <w:t xml:space="preserve"> v </w:t>
            </w:r>
            <w:r w:rsidRPr="00E07C9A">
              <w:t>obchodnej knihe na kapitálových nástrojoch subjektov finančného sektora, ktoré sú vo forme podielov cenných papierov zaradených do indexu. Dosiahne sa vypočítaním podkladovej expozície voči kapitálovým nástrojom subjektov finančného sektora</w:t>
            </w:r>
            <w:r w:rsidR="009912F8" w:rsidRPr="00E07C9A">
              <w:t xml:space="preserve"> v </w:t>
            </w:r>
            <w:r w:rsidRPr="00E07C9A">
              <w:t>týchto indexoch.</w:t>
            </w:r>
          </w:p>
          <w:p w14:paraId="78CE3887" w14:textId="0ED1920E" w:rsidR="00674BF5" w:rsidRPr="00E07C9A" w:rsidRDefault="00674BF5" w:rsidP="0049092A">
            <w:pPr>
              <w:pStyle w:val="InstructionsText"/>
            </w:pPr>
            <w:r w:rsidRPr="00E07C9A">
              <w:lastRenderedPageBreak/>
              <w:t>Podiely,</w:t>
            </w:r>
            <w:r w:rsidR="009912F8" w:rsidRPr="00E07C9A">
              <w:t xml:space="preserve"> s </w:t>
            </w:r>
            <w:r w:rsidRPr="00E07C9A">
              <w:t>ktorými sa zaobchádza ako</w:t>
            </w:r>
            <w:r w:rsidR="009912F8" w:rsidRPr="00E07C9A">
              <w:t xml:space="preserve"> s </w:t>
            </w:r>
            <w:r w:rsidRPr="00E07C9A">
              <w:t>recipročnými krížovými podielmi</w:t>
            </w:r>
            <w:r w:rsidR="009912F8" w:rsidRPr="00E07C9A">
              <w:t xml:space="preserve"> v </w:t>
            </w:r>
            <w:r w:rsidRPr="00E07C9A">
              <w:t>súlade</w:t>
            </w:r>
            <w:r w:rsidR="009912F8" w:rsidRPr="00E07C9A">
              <w:t xml:space="preserve"> s </w:t>
            </w:r>
            <w:r w:rsidRPr="00E07C9A">
              <w:t xml:space="preserve">článkom 56 písm. b) nariadenia (EÚ) </w:t>
            </w:r>
            <w:r w:rsidR="009912F8" w:rsidRPr="00E07C9A">
              <w:t>č. 575/2013</w:t>
            </w:r>
            <w:r w:rsidRPr="00E07C9A">
              <w:t>, sa nezapočítavajú.</w:t>
            </w:r>
          </w:p>
        </w:tc>
      </w:tr>
      <w:tr w:rsidR="00674BF5" w:rsidRPr="00E07C9A" w14:paraId="67D4114F" w14:textId="77777777" w:rsidTr="00674BF5">
        <w:tc>
          <w:tcPr>
            <w:tcW w:w="1474" w:type="dxa"/>
          </w:tcPr>
          <w:p w14:paraId="426F802A" w14:textId="77777777" w:rsidR="00674BF5" w:rsidRPr="00E07C9A" w:rsidRDefault="00754ADC" w:rsidP="00487A02">
            <w:pPr>
              <w:pStyle w:val="InstructionsText"/>
            </w:pPr>
            <w:r w:rsidRPr="00E07C9A">
              <w:lastRenderedPageBreak/>
              <w:t>0570</w:t>
            </w:r>
          </w:p>
        </w:tc>
        <w:tc>
          <w:tcPr>
            <w:tcW w:w="7049" w:type="dxa"/>
          </w:tcPr>
          <w:p w14:paraId="4A949AD5" w14:textId="2FBC2E03" w:rsidR="00674BF5" w:rsidRPr="00E07C9A" w:rsidRDefault="00674BF5" w:rsidP="00487A02">
            <w:pPr>
              <w:pStyle w:val="InstructionsText"/>
            </w:pPr>
            <w:r w:rsidRPr="00E07C9A">
              <w:rPr>
                <w:rStyle w:val="InstructionsTabelleberschrift"/>
                <w:rFonts w:ascii="Times New Roman" w:hAnsi="Times New Roman"/>
                <w:sz w:val="24"/>
              </w:rPr>
              <w:t>16.2.2.</w:t>
            </w:r>
            <w:r w:rsidRPr="00E07C9A">
              <w:tab/>
            </w:r>
            <w:r w:rsidRPr="00E07C9A">
              <w:rPr>
                <w:rStyle w:val="InstructionsTabelleberschrift"/>
                <w:rFonts w:ascii="Times New Roman" w:hAnsi="Times New Roman"/>
                <w:sz w:val="24"/>
              </w:rPr>
              <w:t>(–) Povolené kompenzačné krátke pozície</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súvislosti</w:t>
            </w:r>
            <w:r w:rsidR="009912F8" w:rsidRPr="00E07C9A">
              <w:rPr>
                <w:rStyle w:val="InstructionsTabelleberschrift"/>
                <w:rFonts w:ascii="Times New Roman" w:hAnsi="Times New Roman"/>
                <w:sz w:val="24"/>
              </w:rPr>
              <w:t xml:space="preserve"> s </w:t>
            </w:r>
            <w:r w:rsidRPr="00E07C9A">
              <w:rPr>
                <w:rStyle w:val="InstructionsTabelleberschrift"/>
                <w:rFonts w:ascii="Times New Roman" w:hAnsi="Times New Roman"/>
                <w:sz w:val="24"/>
              </w:rPr>
              <w:t>nepriamymi brutto podielmi uvedenými vyššie</w:t>
            </w:r>
          </w:p>
          <w:p w14:paraId="4204B379" w14:textId="691D9B22" w:rsidR="00674BF5" w:rsidRPr="00E07C9A" w:rsidRDefault="0049092A" w:rsidP="00487A02">
            <w:pPr>
              <w:pStyle w:val="InstructionsText"/>
            </w:pPr>
            <w:r w:rsidRPr="00E07C9A">
              <w:t>Článok 4 ods. 1 bod 114</w:t>
            </w:r>
            <w:r w:rsidR="009912F8" w:rsidRPr="00E07C9A">
              <w:t xml:space="preserve"> a </w:t>
            </w:r>
            <w:r w:rsidRPr="00E07C9A">
              <w:t xml:space="preserve">článok 59 nariadenia (EÚ) </w:t>
            </w:r>
            <w:r w:rsidR="009912F8" w:rsidRPr="00E07C9A">
              <w:t>č. 575/2013</w:t>
            </w:r>
          </w:p>
          <w:p w14:paraId="4965F77B" w14:textId="2471D81F" w:rsidR="00674BF5" w:rsidRPr="00E07C9A" w:rsidRDefault="00674BF5" w:rsidP="00487A02">
            <w:pPr>
              <w:pStyle w:val="InstructionsText"/>
            </w:pPr>
            <w:r w:rsidRPr="00E07C9A">
              <w:t xml:space="preserve">Článkom 59 písm. a) nariadenia (EÚ) </w:t>
            </w:r>
            <w:r w:rsidR="009912F8" w:rsidRPr="00E07C9A">
              <w:t>č. 575/2013</w:t>
            </w:r>
            <w:r w:rsidRPr="00E07C9A">
              <w:t xml:space="preserve"> sa povoľujú kompenzačné krátke pozície</w:t>
            </w:r>
            <w:r w:rsidR="009912F8" w:rsidRPr="00E07C9A">
              <w:t xml:space="preserve"> v </w:t>
            </w:r>
            <w:r w:rsidRPr="00E07C9A">
              <w:t>rovnakej podkladovej expozícii pod podmienkou, že dátum splatnosti krátkej pozície je buď rovnaký alebo neskorší ako dátum splatnosti dlhej pozície, alebo zostatková splatnosť krátkej pozície je najmenej jeden rok.</w:t>
            </w:r>
          </w:p>
        </w:tc>
      </w:tr>
      <w:tr w:rsidR="00674BF5" w:rsidRPr="00E07C9A" w14:paraId="3930E4FE" w14:textId="77777777" w:rsidTr="00674BF5">
        <w:tc>
          <w:tcPr>
            <w:tcW w:w="1474" w:type="dxa"/>
          </w:tcPr>
          <w:p w14:paraId="4DA8E58E" w14:textId="77777777" w:rsidR="00674BF5" w:rsidRPr="00E07C9A" w:rsidRDefault="00754ADC" w:rsidP="00487A02">
            <w:pPr>
              <w:pStyle w:val="InstructionsText"/>
            </w:pPr>
            <w:r w:rsidRPr="00E07C9A">
              <w:t>0571</w:t>
            </w:r>
          </w:p>
        </w:tc>
        <w:tc>
          <w:tcPr>
            <w:tcW w:w="7049" w:type="dxa"/>
          </w:tcPr>
          <w:p w14:paraId="637B5AF7" w14:textId="3D412377" w:rsidR="00674BF5" w:rsidRPr="00E07C9A" w:rsidRDefault="00674BF5" w:rsidP="00487A02">
            <w:pPr>
              <w:pStyle w:val="InstructionsText"/>
            </w:pPr>
            <w:r w:rsidRPr="00E07C9A">
              <w:rPr>
                <w:rStyle w:val="InstructionsTabelleberschrift"/>
                <w:rFonts w:ascii="Times New Roman" w:hAnsi="Times New Roman"/>
                <w:sz w:val="24"/>
              </w:rPr>
              <w:t>16.3.</w:t>
            </w:r>
            <w:r w:rsidRPr="00E07C9A">
              <w:tab/>
            </w:r>
            <w:r w:rsidRPr="00E07C9A">
              <w:rPr>
                <w:rStyle w:val="InstructionsTabelleberschrift"/>
                <w:rFonts w:ascii="Times New Roman" w:hAnsi="Times New Roman"/>
                <w:sz w:val="24"/>
              </w:rPr>
              <w:t>Syntetické podiely kapitálu AT1 subjektov finančného sektora,</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ktorých inštitúcia má významnú investíciu</w:t>
            </w:r>
          </w:p>
          <w:p w14:paraId="0E5DA288" w14:textId="55BF9010" w:rsidR="00674BF5" w:rsidRPr="00E07C9A" w:rsidRDefault="00674BF5" w:rsidP="00487A02">
            <w:pPr>
              <w:pStyle w:val="InstructionsText"/>
              <w:rPr>
                <w:rStyle w:val="InstructionsTabelleberschrift"/>
                <w:rFonts w:ascii="Times New Roman" w:hAnsi="Times New Roman"/>
                <w:b w:val="0"/>
                <w:bCs w:val="0"/>
                <w:sz w:val="24"/>
                <w:u w:val="none"/>
              </w:rPr>
            </w:pPr>
            <w:r w:rsidRPr="00E07C9A">
              <w:t>Článok 4 ods. 1 bod 126</w:t>
            </w:r>
            <w:r w:rsidR="009912F8" w:rsidRPr="00E07C9A">
              <w:t xml:space="preserve"> a </w:t>
            </w:r>
            <w:r w:rsidRPr="00E07C9A">
              <w:t>články 58</w:t>
            </w:r>
            <w:r w:rsidR="009912F8" w:rsidRPr="00E07C9A">
              <w:t xml:space="preserve"> a </w:t>
            </w:r>
            <w:r w:rsidRPr="00E07C9A">
              <w:t xml:space="preserve">59 nariadenia (EÚ) </w:t>
            </w:r>
            <w:r w:rsidR="009912F8" w:rsidRPr="00E07C9A">
              <w:t>č. 575/2013</w:t>
            </w:r>
          </w:p>
        </w:tc>
      </w:tr>
      <w:tr w:rsidR="00674BF5" w:rsidRPr="00E07C9A" w14:paraId="13B53680" w14:textId="77777777" w:rsidTr="00674BF5">
        <w:tc>
          <w:tcPr>
            <w:tcW w:w="1474" w:type="dxa"/>
          </w:tcPr>
          <w:p w14:paraId="23CDB6D9" w14:textId="77777777" w:rsidR="00674BF5" w:rsidRPr="00E07C9A" w:rsidRDefault="00754ADC" w:rsidP="00487A02">
            <w:pPr>
              <w:pStyle w:val="InstructionsText"/>
            </w:pPr>
            <w:r w:rsidRPr="00E07C9A">
              <w:t>0572</w:t>
            </w:r>
          </w:p>
        </w:tc>
        <w:tc>
          <w:tcPr>
            <w:tcW w:w="7049" w:type="dxa"/>
          </w:tcPr>
          <w:p w14:paraId="25EC5CC1" w14:textId="4EB79762" w:rsidR="00674BF5" w:rsidRPr="00E07C9A" w:rsidRDefault="00674BF5" w:rsidP="00487A02">
            <w:pPr>
              <w:pStyle w:val="InstructionsText"/>
            </w:pPr>
            <w:r w:rsidRPr="00E07C9A">
              <w:rPr>
                <w:rStyle w:val="InstructionsTabelleberschrift"/>
                <w:rFonts w:ascii="Times New Roman" w:hAnsi="Times New Roman"/>
                <w:sz w:val="24"/>
              </w:rPr>
              <w:t>16.3.1.</w:t>
            </w:r>
            <w:r w:rsidRPr="00E07C9A">
              <w:tab/>
            </w:r>
            <w:r w:rsidRPr="00E07C9A">
              <w:rPr>
                <w:rStyle w:val="InstructionsTabelleberschrift"/>
                <w:rFonts w:ascii="Times New Roman" w:hAnsi="Times New Roman"/>
                <w:sz w:val="24"/>
              </w:rPr>
              <w:t>Brutto syntetické podiely kapitálu AT1 subjektov finančného sektora,</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ktorých inštitúcia má významnú investíciu</w:t>
            </w:r>
          </w:p>
          <w:p w14:paraId="77AF1B3F" w14:textId="664E4DFB" w:rsidR="00674BF5" w:rsidRPr="00E07C9A" w:rsidRDefault="002E796C" w:rsidP="00487A02">
            <w:pPr>
              <w:pStyle w:val="InstructionsText"/>
              <w:rPr>
                <w:rStyle w:val="InstructionsTabelleberschrift"/>
                <w:rFonts w:ascii="Times New Roman" w:hAnsi="Times New Roman"/>
                <w:b w:val="0"/>
                <w:bCs w:val="0"/>
                <w:sz w:val="24"/>
                <w:u w:val="none"/>
              </w:rPr>
            </w:pPr>
            <w:r w:rsidRPr="00E07C9A">
              <w:t>Článok 4 ods. 1 bod 126</w:t>
            </w:r>
            <w:r w:rsidR="009912F8" w:rsidRPr="00E07C9A">
              <w:t xml:space="preserve"> a </w:t>
            </w:r>
            <w:r w:rsidRPr="00E07C9A">
              <w:t>články 58</w:t>
            </w:r>
            <w:r w:rsidR="009912F8" w:rsidRPr="00E07C9A">
              <w:t xml:space="preserve"> a </w:t>
            </w:r>
            <w:r w:rsidRPr="00E07C9A">
              <w:t xml:space="preserve">59 nariadenia (EÚ) </w:t>
            </w:r>
            <w:r w:rsidR="009912F8" w:rsidRPr="00E07C9A">
              <w:t>č. 575/2013</w:t>
            </w:r>
          </w:p>
        </w:tc>
      </w:tr>
      <w:tr w:rsidR="00674BF5" w:rsidRPr="00E07C9A" w14:paraId="715A91A4" w14:textId="77777777" w:rsidTr="00674BF5">
        <w:tc>
          <w:tcPr>
            <w:tcW w:w="1474" w:type="dxa"/>
          </w:tcPr>
          <w:p w14:paraId="29F894A8" w14:textId="77777777" w:rsidR="00674BF5" w:rsidRPr="00E07C9A" w:rsidRDefault="00754ADC" w:rsidP="00487A02">
            <w:pPr>
              <w:pStyle w:val="InstructionsText"/>
            </w:pPr>
            <w:r w:rsidRPr="00E07C9A">
              <w:t>0573</w:t>
            </w:r>
          </w:p>
        </w:tc>
        <w:tc>
          <w:tcPr>
            <w:tcW w:w="7049" w:type="dxa"/>
          </w:tcPr>
          <w:p w14:paraId="406BC7CC" w14:textId="0DB8C1D8" w:rsidR="00674BF5" w:rsidRPr="00E07C9A" w:rsidRDefault="00674BF5" w:rsidP="00487A02">
            <w:pPr>
              <w:pStyle w:val="InstructionsText"/>
            </w:pPr>
            <w:r w:rsidRPr="00E07C9A">
              <w:rPr>
                <w:rStyle w:val="InstructionsTabelleberschrift"/>
                <w:rFonts w:ascii="Times New Roman" w:hAnsi="Times New Roman"/>
                <w:sz w:val="24"/>
              </w:rPr>
              <w:t>16.3.2.</w:t>
            </w:r>
            <w:r w:rsidRPr="00E07C9A">
              <w:tab/>
            </w:r>
            <w:r w:rsidRPr="00E07C9A">
              <w:rPr>
                <w:rStyle w:val="InstructionsTabelleberschrift"/>
                <w:rFonts w:ascii="Times New Roman" w:hAnsi="Times New Roman"/>
                <w:sz w:val="24"/>
              </w:rPr>
              <w:t>(–) Povolené kompenzačné krátke pozície</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súvislosti</w:t>
            </w:r>
            <w:r w:rsidR="009912F8" w:rsidRPr="00E07C9A">
              <w:rPr>
                <w:rStyle w:val="InstructionsTabelleberschrift"/>
                <w:rFonts w:ascii="Times New Roman" w:hAnsi="Times New Roman"/>
                <w:sz w:val="24"/>
              </w:rPr>
              <w:t xml:space="preserve"> s </w:t>
            </w:r>
            <w:r w:rsidRPr="00E07C9A">
              <w:rPr>
                <w:rStyle w:val="InstructionsTabelleberschrift"/>
                <w:rFonts w:ascii="Times New Roman" w:hAnsi="Times New Roman"/>
                <w:sz w:val="24"/>
              </w:rPr>
              <w:t>brutto syntetickými podielmi uvedenými vyššie</w:t>
            </w:r>
          </w:p>
          <w:p w14:paraId="01DCC3FD" w14:textId="12D89FE5" w:rsidR="00674BF5" w:rsidRPr="00E07C9A" w:rsidRDefault="002E796C" w:rsidP="00487A02">
            <w:pPr>
              <w:pStyle w:val="InstructionsText"/>
            </w:pPr>
            <w:r w:rsidRPr="00E07C9A">
              <w:t>Článok 4 ods. 1 bod 126</w:t>
            </w:r>
            <w:r w:rsidR="009912F8" w:rsidRPr="00E07C9A">
              <w:t xml:space="preserve"> a </w:t>
            </w:r>
            <w:r w:rsidRPr="00E07C9A">
              <w:t xml:space="preserve">článok 59 nariadenia (EÚ) </w:t>
            </w:r>
            <w:r w:rsidR="009912F8" w:rsidRPr="00E07C9A">
              <w:t>č. 575/2013</w:t>
            </w:r>
          </w:p>
          <w:p w14:paraId="0D578373" w14:textId="4F1CEA5F" w:rsidR="002D31E5" w:rsidRPr="00E07C9A" w:rsidRDefault="002E796C" w:rsidP="000D04B6">
            <w:pPr>
              <w:pStyle w:val="InstructionsText"/>
              <w:rPr>
                <w:rStyle w:val="InstructionsTabelleberschrift"/>
                <w:rFonts w:ascii="Times New Roman" w:hAnsi="Times New Roman"/>
                <w:b w:val="0"/>
                <w:bCs w:val="0"/>
                <w:sz w:val="24"/>
                <w:u w:val="none"/>
              </w:rPr>
            </w:pPr>
            <w:r w:rsidRPr="00E07C9A">
              <w:t xml:space="preserve">Článkom 59 písm. a) nariadenia (EÚ) </w:t>
            </w:r>
            <w:r w:rsidR="009912F8" w:rsidRPr="00E07C9A">
              <w:t>č. 575/2013</w:t>
            </w:r>
            <w:r w:rsidRPr="00E07C9A">
              <w:t xml:space="preserve"> sa </w:t>
            </w:r>
            <w:r w:rsidRPr="00E07C9A">
              <w:rPr>
                <w:rStyle w:val="InstructionsTabelleberschrift"/>
                <w:rFonts w:ascii="Times New Roman" w:hAnsi="Times New Roman"/>
                <w:b w:val="0"/>
                <w:sz w:val="24"/>
                <w:u w:val="none"/>
              </w:rPr>
              <w:t>povoľujú kompenzačné krátke pozície</w:t>
            </w:r>
            <w:r w:rsidR="009912F8" w:rsidRPr="00E07C9A">
              <w:rPr>
                <w:rStyle w:val="InstructionsTabelleberschrift"/>
                <w:rFonts w:ascii="Times New Roman" w:hAnsi="Times New Roman"/>
                <w:b w:val="0"/>
                <w:sz w:val="24"/>
                <w:u w:val="none"/>
              </w:rPr>
              <w:t xml:space="preserve"> v </w:t>
            </w:r>
            <w:r w:rsidRPr="00E07C9A">
              <w:rPr>
                <w:rStyle w:val="InstructionsTabelleberschrift"/>
                <w:rFonts w:ascii="Times New Roman" w:hAnsi="Times New Roman"/>
                <w:b w:val="0"/>
                <w:sz w:val="24"/>
                <w:u w:val="none"/>
              </w:rPr>
              <w:t>rovnakej podkladovej expozícii pod podmienkou, že dátum splatnosti krátkej pozície je buď rovnaký alebo neskorší ako dátum splatnosti dlhej pozície, alebo zostatková splatnosť krátkej pozície je najmenej jeden rok.</w:t>
            </w:r>
          </w:p>
        </w:tc>
      </w:tr>
      <w:tr w:rsidR="00674BF5" w:rsidRPr="00E07C9A" w14:paraId="70669741" w14:textId="77777777" w:rsidTr="00674BF5">
        <w:tc>
          <w:tcPr>
            <w:tcW w:w="1474" w:type="dxa"/>
          </w:tcPr>
          <w:p w14:paraId="3A92409F" w14:textId="77777777" w:rsidR="00674BF5" w:rsidRPr="00E07C9A" w:rsidRDefault="00754ADC" w:rsidP="00487A02">
            <w:pPr>
              <w:pStyle w:val="InstructionsText"/>
            </w:pPr>
            <w:r w:rsidRPr="00E07C9A">
              <w:t>0580</w:t>
            </w:r>
          </w:p>
        </w:tc>
        <w:tc>
          <w:tcPr>
            <w:tcW w:w="7049" w:type="dxa"/>
          </w:tcPr>
          <w:p w14:paraId="17C5EEA7" w14:textId="628715F5" w:rsidR="00674BF5" w:rsidRPr="00E07C9A" w:rsidRDefault="00674BF5" w:rsidP="00487A02">
            <w:pPr>
              <w:pStyle w:val="InstructionsText"/>
            </w:pPr>
            <w:r w:rsidRPr="00E07C9A">
              <w:rPr>
                <w:rStyle w:val="InstructionsTabelleberschrift"/>
                <w:rFonts w:ascii="Times New Roman" w:hAnsi="Times New Roman"/>
                <w:sz w:val="24"/>
              </w:rPr>
              <w:t>17. Podiely kapitálu T2 subjektov finančného sektora,</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ktorých inštitúcia má významnú investíciu, po odpočítaní krátkych pozícií</w:t>
            </w:r>
          </w:p>
          <w:p w14:paraId="1F613CCF" w14:textId="0734D4A7" w:rsidR="00674BF5" w:rsidRPr="00E07C9A" w:rsidRDefault="00674BF5" w:rsidP="00487A02">
            <w:pPr>
              <w:pStyle w:val="InstructionsText"/>
            </w:pPr>
            <w:r w:rsidRPr="00E07C9A">
              <w:t>Články 68</w:t>
            </w:r>
            <w:r w:rsidR="009912F8" w:rsidRPr="00E07C9A">
              <w:t xml:space="preserve"> a </w:t>
            </w:r>
            <w:r w:rsidRPr="00E07C9A">
              <w:t xml:space="preserve">69 nariadenia (EÚ) </w:t>
            </w:r>
            <w:r w:rsidR="009912F8" w:rsidRPr="00E07C9A">
              <w:t>č. 575/2013</w:t>
            </w:r>
          </w:p>
        </w:tc>
      </w:tr>
      <w:tr w:rsidR="00674BF5" w:rsidRPr="00E07C9A" w14:paraId="0FE5B262" w14:textId="77777777" w:rsidTr="00674BF5">
        <w:tc>
          <w:tcPr>
            <w:tcW w:w="1474" w:type="dxa"/>
          </w:tcPr>
          <w:p w14:paraId="2AC59273" w14:textId="77777777" w:rsidR="00674BF5" w:rsidRPr="00E07C9A" w:rsidRDefault="00754ADC" w:rsidP="00487A02">
            <w:pPr>
              <w:pStyle w:val="InstructionsText"/>
            </w:pPr>
            <w:r w:rsidRPr="00E07C9A">
              <w:t>0590</w:t>
            </w:r>
          </w:p>
        </w:tc>
        <w:tc>
          <w:tcPr>
            <w:tcW w:w="7049" w:type="dxa"/>
          </w:tcPr>
          <w:p w14:paraId="789006BD" w14:textId="1AEAE873" w:rsidR="00674BF5" w:rsidRPr="00E07C9A" w:rsidRDefault="00674BF5" w:rsidP="00487A02">
            <w:pPr>
              <w:pStyle w:val="InstructionsText"/>
            </w:pPr>
            <w:r w:rsidRPr="00E07C9A">
              <w:rPr>
                <w:rStyle w:val="InstructionsTabelleberschrift"/>
                <w:rFonts w:ascii="Times New Roman" w:hAnsi="Times New Roman"/>
                <w:sz w:val="24"/>
              </w:rPr>
              <w:t>17.1.</w:t>
            </w:r>
            <w:r w:rsidRPr="00E07C9A">
              <w:tab/>
            </w:r>
            <w:r w:rsidRPr="00E07C9A">
              <w:rPr>
                <w:rStyle w:val="InstructionsTabelleberschrift"/>
                <w:rFonts w:ascii="Times New Roman" w:hAnsi="Times New Roman"/>
                <w:sz w:val="24"/>
              </w:rPr>
              <w:t>Priame podiely kapitálu T2 subjektov finančného sektora,</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ktorých inštitúcia má významnú investíciu</w:t>
            </w:r>
          </w:p>
          <w:p w14:paraId="485F6D02" w14:textId="67F0F123" w:rsidR="00674BF5" w:rsidRPr="00E07C9A" w:rsidRDefault="00674BF5" w:rsidP="00487A02">
            <w:pPr>
              <w:pStyle w:val="InstructionsText"/>
            </w:pPr>
            <w:r w:rsidRPr="00E07C9A">
              <w:t>Články 68</w:t>
            </w:r>
            <w:r w:rsidR="009912F8" w:rsidRPr="00E07C9A">
              <w:t xml:space="preserve"> a </w:t>
            </w:r>
            <w:r w:rsidRPr="00E07C9A">
              <w:t xml:space="preserve">69 nariadenia (EÚ) </w:t>
            </w:r>
            <w:r w:rsidR="009912F8" w:rsidRPr="00E07C9A">
              <w:t>č. 575/2013</w:t>
            </w:r>
          </w:p>
        </w:tc>
      </w:tr>
      <w:tr w:rsidR="00674BF5" w:rsidRPr="00E07C9A" w14:paraId="7B40985A" w14:textId="77777777" w:rsidTr="00674BF5">
        <w:tc>
          <w:tcPr>
            <w:tcW w:w="1474" w:type="dxa"/>
          </w:tcPr>
          <w:p w14:paraId="79F9061B" w14:textId="77777777" w:rsidR="00674BF5" w:rsidRPr="00E07C9A" w:rsidRDefault="00754ADC" w:rsidP="00487A02">
            <w:pPr>
              <w:pStyle w:val="InstructionsText"/>
            </w:pPr>
            <w:r w:rsidRPr="00E07C9A">
              <w:t>0600</w:t>
            </w:r>
          </w:p>
        </w:tc>
        <w:tc>
          <w:tcPr>
            <w:tcW w:w="7049" w:type="dxa"/>
          </w:tcPr>
          <w:p w14:paraId="616C35F7" w14:textId="12C8D502" w:rsidR="00674BF5" w:rsidRPr="00E07C9A" w:rsidRDefault="00674BF5" w:rsidP="00487A02">
            <w:pPr>
              <w:pStyle w:val="InstructionsText"/>
            </w:pPr>
            <w:r w:rsidRPr="00E07C9A">
              <w:rPr>
                <w:rStyle w:val="InstructionsTabelleberschrift"/>
                <w:rFonts w:ascii="Times New Roman" w:hAnsi="Times New Roman"/>
                <w:sz w:val="24"/>
              </w:rPr>
              <w:t>17.1.1.</w:t>
            </w:r>
            <w:r w:rsidRPr="00E07C9A">
              <w:tab/>
            </w:r>
            <w:r w:rsidRPr="00E07C9A">
              <w:rPr>
                <w:rStyle w:val="InstructionsTabelleberschrift"/>
                <w:rFonts w:ascii="Times New Roman" w:hAnsi="Times New Roman"/>
                <w:sz w:val="24"/>
              </w:rPr>
              <w:t>Brutto priame podiely kapitálu T2 subjektov finančného sektora,</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ktorých inštitúcia má významnú investíciu</w:t>
            </w:r>
          </w:p>
          <w:p w14:paraId="0F5F1DD3" w14:textId="6DB26681" w:rsidR="00674BF5" w:rsidRPr="00E07C9A" w:rsidRDefault="00674BF5" w:rsidP="00487A02">
            <w:pPr>
              <w:pStyle w:val="InstructionsText"/>
            </w:pPr>
            <w:r w:rsidRPr="00E07C9A">
              <w:t xml:space="preserve">Článok 68 nariadenia (EÚ) </w:t>
            </w:r>
            <w:r w:rsidR="009912F8" w:rsidRPr="00E07C9A">
              <w:t>č. 575/2013</w:t>
            </w:r>
          </w:p>
          <w:p w14:paraId="4F07DA01" w14:textId="77777777" w:rsidR="00674BF5" w:rsidRPr="00E07C9A" w:rsidRDefault="00674BF5" w:rsidP="00487A02">
            <w:pPr>
              <w:pStyle w:val="InstructionsText"/>
            </w:pPr>
            <w:r w:rsidRPr="00E07C9A">
              <w:t>Priame podiely kapitálu T2 subjektov finančného sektora, keď inštitúcia má významnú investíciu, bez:</w:t>
            </w:r>
          </w:p>
          <w:p w14:paraId="502CCA32" w14:textId="32117D68" w:rsidR="009912F8" w:rsidRPr="00E07C9A" w:rsidRDefault="00674BF5" w:rsidP="00487A02">
            <w:pPr>
              <w:pStyle w:val="InstructionsText"/>
            </w:pPr>
            <w:r w:rsidRPr="00E07C9A">
              <w:t>a)</w:t>
            </w:r>
            <w:r w:rsidRPr="00E07C9A">
              <w:tab/>
              <w:t>pozícií</w:t>
            </w:r>
            <w:r w:rsidR="009912F8" w:rsidRPr="00E07C9A">
              <w:t xml:space="preserve"> z </w:t>
            </w:r>
            <w:r w:rsidRPr="00E07C9A">
              <w:t xml:space="preserve">upísania držaných päť pracovných dní alebo menej [článok 66 písm. d) nariadenia (EÚ) </w:t>
            </w:r>
            <w:r w:rsidR="009912F8" w:rsidRPr="00E07C9A">
              <w:t>č. 575/2013</w:t>
            </w:r>
            <w:r w:rsidRPr="00E07C9A">
              <w:t>];</w:t>
            </w:r>
            <w:r w:rsidR="009912F8" w:rsidRPr="00E07C9A">
              <w:t xml:space="preserve"> a</w:t>
            </w:r>
          </w:p>
          <w:p w14:paraId="5C45C26C" w14:textId="2525C968" w:rsidR="00674BF5" w:rsidRPr="00E07C9A" w:rsidRDefault="00674BF5" w:rsidP="00487A02">
            <w:pPr>
              <w:pStyle w:val="InstructionsText"/>
            </w:pPr>
            <w:r w:rsidRPr="00E07C9A">
              <w:lastRenderedPageBreak/>
              <w:t>b)</w:t>
            </w:r>
            <w:r w:rsidRPr="00E07C9A">
              <w:tab/>
              <w:t>podielov,</w:t>
            </w:r>
            <w:r w:rsidR="009912F8" w:rsidRPr="00E07C9A">
              <w:t xml:space="preserve"> s </w:t>
            </w:r>
            <w:r w:rsidRPr="00E07C9A">
              <w:t>ktorými sa zaobchádza ako</w:t>
            </w:r>
            <w:r w:rsidR="009912F8" w:rsidRPr="00E07C9A">
              <w:t xml:space="preserve"> s </w:t>
            </w:r>
            <w:r w:rsidRPr="00E07C9A">
              <w:t>recipročnými krížovými podielmi</w:t>
            </w:r>
            <w:r w:rsidR="009912F8" w:rsidRPr="00E07C9A">
              <w:t xml:space="preserve"> v </w:t>
            </w:r>
            <w:r w:rsidRPr="00E07C9A">
              <w:t>súlade</w:t>
            </w:r>
            <w:r w:rsidR="009912F8" w:rsidRPr="00E07C9A">
              <w:t xml:space="preserve"> s </w:t>
            </w:r>
            <w:r w:rsidRPr="00E07C9A">
              <w:t xml:space="preserve">článkom 66 písm. b) nariadenia (EÚ) </w:t>
            </w:r>
            <w:r w:rsidR="009912F8" w:rsidRPr="00E07C9A">
              <w:t>č. 575/2013</w:t>
            </w:r>
            <w:r w:rsidRPr="00E07C9A">
              <w:t>.</w:t>
            </w:r>
          </w:p>
        </w:tc>
      </w:tr>
      <w:tr w:rsidR="00674BF5" w:rsidRPr="00E07C9A" w14:paraId="08928553" w14:textId="77777777" w:rsidTr="00674BF5">
        <w:tc>
          <w:tcPr>
            <w:tcW w:w="1474" w:type="dxa"/>
          </w:tcPr>
          <w:p w14:paraId="78219CD8" w14:textId="77777777" w:rsidR="00674BF5" w:rsidRPr="00E07C9A" w:rsidRDefault="00754ADC" w:rsidP="00487A02">
            <w:pPr>
              <w:pStyle w:val="InstructionsText"/>
            </w:pPr>
            <w:r w:rsidRPr="00E07C9A">
              <w:lastRenderedPageBreak/>
              <w:t>0610</w:t>
            </w:r>
          </w:p>
        </w:tc>
        <w:tc>
          <w:tcPr>
            <w:tcW w:w="7049" w:type="dxa"/>
          </w:tcPr>
          <w:p w14:paraId="3C8AF6E4" w14:textId="1CF885A3" w:rsidR="00674BF5" w:rsidRPr="00E07C9A" w:rsidRDefault="00674BF5" w:rsidP="00487A02">
            <w:pPr>
              <w:pStyle w:val="InstructionsText"/>
            </w:pPr>
            <w:r w:rsidRPr="00E07C9A">
              <w:rPr>
                <w:rStyle w:val="InstructionsTabelleberschrift"/>
                <w:rFonts w:ascii="Times New Roman" w:hAnsi="Times New Roman"/>
                <w:sz w:val="24"/>
              </w:rPr>
              <w:t>17.1.2.</w:t>
            </w:r>
            <w:r w:rsidRPr="00E07C9A">
              <w:tab/>
            </w:r>
            <w:r w:rsidRPr="00E07C9A">
              <w:rPr>
                <w:rStyle w:val="InstructionsTabelleberschrift"/>
                <w:rFonts w:ascii="Times New Roman" w:hAnsi="Times New Roman"/>
                <w:sz w:val="24"/>
              </w:rPr>
              <w:t>(–) Povolené kompenzačné krátke pozície</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súvislosti</w:t>
            </w:r>
            <w:r w:rsidR="009912F8" w:rsidRPr="00E07C9A">
              <w:rPr>
                <w:rStyle w:val="InstructionsTabelleberschrift"/>
                <w:rFonts w:ascii="Times New Roman" w:hAnsi="Times New Roman"/>
                <w:sz w:val="24"/>
              </w:rPr>
              <w:t xml:space="preserve"> s </w:t>
            </w:r>
            <w:r w:rsidRPr="00E07C9A">
              <w:rPr>
                <w:rStyle w:val="InstructionsTabelleberschrift"/>
                <w:rFonts w:ascii="Times New Roman" w:hAnsi="Times New Roman"/>
                <w:sz w:val="24"/>
              </w:rPr>
              <w:t>priamymi brutto podielmi uvedenými vyššie</w:t>
            </w:r>
          </w:p>
          <w:p w14:paraId="3A2E5C60" w14:textId="313429C4" w:rsidR="00674BF5" w:rsidRPr="00E07C9A" w:rsidRDefault="00674BF5" w:rsidP="00487A02">
            <w:pPr>
              <w:pStyle w:val="InstructionsText"/>
            </w:pPr>
            <w:r w:rsidRPr="00E07C9A">
              <w:t xml:space="preserve">Článok 69 nariadenia (EÚ) </w:t>
            </w:r>
            <w:r w:rsidR="009912F8" w:rsidRPr="00E07C9A">
              <w:t>č. 575/2013</w:t>
            </w:r>
          </w:p>
          <w:p w14:paraId="1F9A96A9" w14:textId="782E6803" w:rsidR="00674BF5" w:rsidRPr="00E07C9A" w:rsidRDefault="00674BF5" w:rsidP="00487A02">
            <w:pPr>
              <w:pStyle w:val="InstructionsText"/>
            </w:pPr>
            <w:r w:rsidRPr="00E07C9A">
              <w:t xml:space="preserve">Článkom 69 písm. a) nariadenia (EÚ) </w:t>
            </w:r>
            <w:r w:rsidR="009912F8" w:rsidRPr="00E07C9A">
              <w:t>č. 575/2013</w:t>
            </w:r>
            <w:r w:rsidRPr="00E07C9A">
              <w:t xml:space="preserve"> sa povoľujú kompenzačné krátke pozície</w:t>
            </w:r>
            <w:r w:rsidR="009912F8" w:rsidRPr="00E07C9A">
              <w:t xml:space="preserve"> v </w:t>
            </w:r>
            <w:r w:rsidRPr="00E07C9A">
              <w:t>rovnakej podkladovej expozícii pod podmienkou, že dátum splatnosti krátkej pozície je buď rovnaký alebo neskorší ako dátum splatnosti dlhej pozície, alebo zostatková splatnosť krátkej pozície je najmenej jeden rok.</w:t>
            </w:r>
          </w:p>
        </w:tc>
      </w:tr>
      <w:tr w:rsidR="00674BF5" w:rsidRPr="00E07C9A" w14:paraId="2E906DD8" w14:textId="77777777" w:rsidTr="00674BF5">
        <w:tc>
          <w:tcPr>
            <w:tcW w:w="1474" w:type="dxa"/>
          </w:tcPr>
          <w:p w14:paraId="78116FE8" w14:textId="77777777" w:rsidR="00674BF5" w:rsidRPr="00E07C9A" w:rsidRDefault="00754ADC" w:rsidP="00487A02">
            <w:pPr>
              <w:pStyle w:val="InstructionsText"/>
            </w:pPr>
            <w:r w:rsidRPr="00E07C9A">
              <w:t>0620</w:t>
            </w:r>
          </w:p>
        </w:tc>
        <w:tc>
          <w:tcPr>
            <w:tcW w:w="7049" w:type="dxa"/>
          </w:tcPr>
          <w:p w14:paraId="4FFEFE4F" w14:textId="5DA3FB5B" w:rsidR="00674BF5" w:rsidRPr="00E07C9A" w:rsidRDefault="00674BF5" w:rsidP="00487A02">
            <w:pPr>
              <w:pStyle w:val="InstructionsText"/>
            </w:pPr>
            <w:r w:rsidRPr="00E07C9A">
              <w:rPr>
                <w:rStyle w:val="InstructionsTabelleberschrift"/>
                <w:rFonts w:ascii="Times New Roman" w:hAnsi="Times New Roman"/>
                <w:sz w:val="24"/>
              </w:rPr>
              <w:t>17.2.</w:t>
            </w:r>
            <w:r w:rsidRPr="00E07C9A">
              <w:tab/>
            </w:r>
            <w:r w:rsidRPr="00E07C9A">
              <w:rPr>
                <w:rStyle w:val="InstructionsTabelleberschrift"/>
                <w:rFonts w:ascii="Times New Roman" w:hAnsi="Times New Roman"/>
                <w:sz w:val="24"/>
              </w:rPr>
              <w:t>Nepriame podiely kapitálu T2 subjektov finančného sektora,</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ktorých inštitúcia má významnú investíciu</w:t>
            </w:r>
          </w:p>
          <w:p w14:paraId="046EED40" w14:textId="22DD59AC" w:rsidR="00674BF5" w:rsidRPr="00E07C9A" w:rsidRDefault="0049092A" w:rsidP="00487A02">
            <w:pPr>
              <w:pStyle w:val="InstructionsText"/>
            </w:pPr>
            <w:r w:rsidRPr="00E07C9A">
              <w:t>Článok 4 ods. 1 bod 114</w:t>
            </w:r>
            <w:r w:rsidR="009912F8" w:rsidRPr="00E07C9A">
              <w:t xml:space="preserve"> a </w:t>
            </w:r>
            <w:r w:rsidRPr="00E07C9A">
              <w:t>články 68</w:t>
            </w:r>
            <w:r w:rsidR="009912F8" w:rsidRPr="00E07C9A">
              <w:t xml:space="preserve"> a </w:t>
            </w:r>
            <w:r w:rsidRPr="00E07C9A">
              <w:t xml:space="preserve">69 nariadenia (EÚ) </w:t>
            </w:r>
            <w:r w:rsidR="009912F8" w:rsidRPr="00E07C9A">
              <w:t>č. 575/2013</w:t>
            </w:r>
          </w:p>
        </w:tc>
      </w:tr>
      <w:tr w:rsidR="00674BF5" w:rsidRPr="00E07C9A" w14:paraId="78873A55" w14:textId="77777777" w:rsidTr="00674BF5">
        <w:tc>
          <w:tcPr>
            <w:tcW w:w="1474" w:type="dxa"/>
          </w:tcPr>
          <w:p w14:paraId="75D2B6C8" w14:textId="77777777" w:rsidR="00674BF5" w:rsidRPr="00E07C9A" w:rsidRDefault="00754ADC" w:rsidP="00487A02">
            <w:pPr>
              <w:pStyle w:val="InstructionsText"/>
            </w:pPr>
            <w:r w:rsidRPr="00E07C9A">
              <w:t>0630</w:t>
            </w:r>
          </w:p>
        </w:tc>
        <w:tc>
          <w:tcPr>
            <w:tcW w:w="7049" w:type="dxa"/>
          </w:tcPr>
          <w:p w14:paraId="2FBB0327" w14:textId="412ADB5A" w:rsidR="00674BF5" w:rsidRPr="00E07C9A" w:rsidRDefault="00674BF5" w:rsidP="00487A02">
            <w:pPr>
              <w:pStyle w:val="InstructionsText"/>
            </w:pPr>
            <w:r w:rsidRPr="00E07C9A">
              <w:rPr>
                <w:rStyle w:val="InstructionsTabelleberschrift"/>
                <w:rFonts w:ascii="Times New Roman" w:hAnsi="Times New Roman"/>
                <w:sz w:val="24"/>
              </w:rPr>
              <w:t>17.2.1.</w:t>
            </w:r>
            <w:r w:rsidRPr="00E07C9A">
              <w:tab/>
            </w:r>
            <w:r w:rsidRPr="00E07C9A">
              <w:rPr>
                <w:rStyle w:val="InstructionsTabelleberschrift"/>
                <w:rFonts w:ascii="Times New Roman" w:hAnsi="Times New Roman"/>
                <w:sz w:val="24"/>
              </w:rPr>
              <w:t>Brutto nepriame podiely kapitálu T2 subjektov finančného sektora,</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ktorých inštitúcia má významnú investíciu</w:t>
            </w:r>
          </w:p>
          <w:p w14:paraId="3474C99C" w14:textId="608A5A90" w:rsidR="00674BF5" w:rsidRPr="00E07C9A" w:rsidRDefault="0049092A" w:rsidP="00487A02">
            <w:pPr>
              <w:pStyle w:val="InstructionsText"/>
            </w:pPr>
            <w:r w:rsidRPr="00E07C9A">
              <w:t>Článok 4 ods. 1 bod 114</w:t>
            </w:r>
            <w:r w:rsidR="009912F8" w:rsidRPr="00E07C9A">
              <w:t xml:space="preserve"> a </w:t>
            </w:r>
            <w:r w:rsidRPr="00E07C9A">
              <w:t>články 68</w:t>
            </w:r>
            <w:r w:rsidR="009912F8" w:rsidRPr="00E07C9A">
              <w:t xml:space="preserve"> a </w:t>
            </w:r>
            <w:r w:rsidRPr="00E07C9A">
              <w:t xml:space="preserve">69 nariadenia (EÚ) </w:t>
            </w:r>
            <w:r w:rsidR="009912F8" w:rsidRPr="00E07C9A">
              <w:t>č. 575/2013</w:t>
            </w:r>
          </w:p>
          <w:p w14:paraId="7F67225C" w14:textId="20CB01AD" w:rsidR="00674BF5" w:rsidRPr="00E07C9A" w:rsidRDefault="00674BF5" w:rsidP="00487A02">
            <w:pPr>
              <w:pStyle w:val="InstructionsText"/>
            </w:pPr>
            <w:r w:rsidRPr="00E07C9A">
              <w:t>Vykazovaná hodnota sa rovná nepriamym podielom</w:t>
            </w:r>
            <w:r w:rsidR="009912F8" w:rsidRPr="00E07C9A">
              <w:t xml:space="preserve"> v </w:t>
            </w:r>
            <w:r w:rsidRPr="00E07C9A">
              <w:t>obchodnej knihe na kapitálových nástrojoch subjektov finančného sektora, ktoré sú vo forme podielov cenných papierov zaradených do indexu. Dosiahne sa vypočítaním podkladovej expozície voči kapitálovým nástrojom subjektov finančného sektora</w:t>
            </w:r>
            <w:r w:rsidR="009912F8" w:rsidRPr="00E07C9A">
              <w:t xml:space="preserve"> v </w:t>
            </w:r>
            <w:r w:rsidRPr="00E07C9A">
              <w:t>týchto indexoch.</w:t>
            </w:r>
          </w:p>
          <w:p w14:paraId="329E2892" w14:textId="2BA1D6D5" w:rsidR="00674BF5" w:rsidRPr="00E07C9A" w:rsidRDefault="00674BF5" w:rsidP="00487A02">
            <w:pPr>
              <w:pStyle w:val="InstructionsText"/>
            </w:pPr>
            <w:r w:rsidRPr="00E07C9A">
              <w:t>Podiely,</w:t>
            </w:r>
            <w:r w:rsidR="009912F8" w:rsidRPr="00E07C9A">
              <w:t xml:space="preserve"> s </w:t>
            </w:r>
            <w:r w:rsidRPr="00E07C9A">
              <w:t>ktorými sa zaobchádza ako</w:t>
            </w:r>
            <w:r w:rsidR="009912F8" w:rsidRPr="00E07C9A">
              <w:t xml:space="preserve"> s </w:t>
            </w:r>
            <w:r w:rsidRPr="00E07C9A">
              <w:t>recipročnými krížovými podielmi</w:t>
            </w:r>
            <w:r w:rsidR="009912F8" w:rsidRPr="00E07C9A">
              <w:t xml:space="preserve"> v </w:t>
            </w:r>
            <w:r w:rsidRPr="00E07C9A">
              <w:t>súlade</w:t>
            </w:r>
            <w:r w:rsidR="009912F8" w:rsidRPr="00E07C9A">
              <w:t xml:space="preserve"> s </w:t>
            </w:r>
            <w:r w:rsidRPr="00E07C9A">
              <w:t xml:space="preserve">článkom 66 písm. b) nariadenia (EÚ) </w:t>
            </w:r>
            <w:r w:rsidR="009912F8" w:rsidRPr="00E07C9A">
              <w:t>č. 575/2013</w:t>
            </w:r>
            <w:r w:rsidRPr="00E07C9A">
              <w:t>, sa nezapočítavajú.</w:t>
            </w:r>
          </w:p>
        </w:tc>
      </w:tr>
      <w:tr w:rsidR="00674BF5" w:rsidRPr="00E07C9A" w14:paraId="0E5CB9DD" w14:textId="77777777" w:rsidTr="00674BF5">
        <w:tc>
          <w:tcPr>
            <w:tcW w:w="1474" w:type="dxa"/>
          </w:tcPr>
          <w:p w14:paraId="76D5D226" w14:textId="77777777" w:rsidR="00674BF5" w:rsidRPr="00E07C9A" w:rsidRDefault="00754ADC" w:rsidP="00487A02">
            <w:pPr>
              <w:pStyle w:val="InstructionsText"/>
            </w:pPr>
            <w:r w:rsidRPr="00E07C9A">
              <w:t>0640</w:t>
            </w:r>
          </w:p>
        </w:tc>
        <w:tc>
          <w:tcPr>
            <w:tcW w:w="7049" w:type="dxa"/>
          </w:tcPr>
          <w:p w14:paraId="03EC0501" w14:textId="6218A9DF" w:rsidR="00674BF5" w:rsidRPr="00E07C9A" w:rsidRDefault="00674BF5" w:rsidP="00487A02">
            <w:pPr>
              <w:pStyle w:val="InstructionsText"/>
            </w:pPr>
            <w:r w:rsidRPr="00E07C9A">
              <w:rPr>
                <w:rStyle w:val="InstructionsTabelleberschrift"/>
                <w:rFonts w:ascii="Times New Roman" w:hAnsi="Times New Roman"/>
                <w:sz w:val="24"/>
              </w:rPr>
              <w:t>17.2.2.</w:t>
            </w:r>
            <w:r w:rsidRPr="00E07C9A">
              <w:tab/>
            </w:r>
            <w:r w:rsidRPr="00E07C9A">
              <w:rPr>
                <w:rStyle w:val="InstructionsTabelleberschrift"/>
                <w:rFonts w:ascii="Times New Roman" w:hAnsi="Times New Roman"/>
                <w:sz w:val="24"/>
              </w:rPr>
              <w:t>(–) Povolené kompenzačné krátke pozície</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súvislosti</w:t>
            </w:r>
            <w:r w:rsidR="009912F8" w:rsidRPr="00E07C9A">
              <w:rPr>
                <w:rStyle w:val="InstructionsTabelleberschrift"/>
                <w:rFonts w:ascii="Times New Roman" w:hAnsi="Times New Roman"/>
                <w:sz w:val="24"/>
              </w:rPr>
              <w:t xml:space="preserve"> s </w:t>
            </w:r>
            <w:r w:rsidRPr="00E07C9A">
              <w:rPr>
                <w:rStyle w:val="InstructionsTabelleberschrift"/>
                <w:rFonts w:ascii="Times New Roman" w:hAnsi="Times New Roman"/>
                <w:sz w:val="24"/>
              </w:rPr>
              <w:t>nepriamymi brutto podielmi uvedenými vyššie</w:t>
            </w:r>
          </w:p>
          <w:p w14:paraId="10889AF5" w14:textId="0208622C" w:rsidR="00674BF5" w:rsidRPr="00E07C9A" w:rsidRDefault="0049092A" w:rsidP="00487A02">
            <w:pPr>
              <w:pStyle w:val="InstructionsText"/>
            </w:pPr>
            <w:r w:rsidRPr="00E07C9A">
              <w:t>Článok 4 ods. 1 bod 114</w:t>
            </w:r>
            <w:r w:rsidR="009912F8" w:rsidRPr="00E07C9A">
              <w:t xml:space="preserve"> a </w:t>
            </w:r>
            <w:r w:rsidRPr="00E07C9A">
              <w:t xml:space="preserve">článok 69 nariadenia (EÚ) </w:t>
            </w:r>
            <w:r w:rsidR="009912F8" w:rsidRPr="00E07C9A">
              <w:t>č. 575/2013</w:t>
            </w:r>
          </w:p>
          <w:p w14:paraId="63AD6731" w14:textId="3600A83B" w:rsidR="00674BF5" w:rsidRPr="00E07C9A" w:rsidRDefault="00674BF5" w:rsidP="00487A02">
            <w:pPr>
              <w:pStyle w:val="InstructionsText"/>
            </w:pPr>
            <w:r w:rsidRPr="00E07C9A">
              <w:t xml:space="preserve">Článkom 69 písm. a) nariadenia (EÚ) </w:t>
            </w:r>
            <w:r w:rsidR="009912F8" w:rsidRPr="00E07C9A">
              <w:t>č. 575/2013</w:t>
            </w:r>
            <w:r w:rsidRPr="00E07C9A">
              <w:t xml:space="preserve"> sa povoľujú kompenzačné krátke pozície</w:t>
            </w:r>
            <w:r w:rsidR="009912F8" w:rsidRPr="00E07C9A">
              <w:t xml:space="preserve"> v </w:t>
            </w:r>
            <w:r w:rsidRPr="00E07C9A">
              <w:t>rovnakej podkladovej expozícii pod podmienkou, že dátum splatnosti krátkej pozície je buď rovnaký alebo neskorší ako dátum splatnosti dlhej pozície, alebo zostatková splatnosť krátkej pozície je najmenej jeden rok.</w:t>
            </w:r>
          </w:p>
        </w:tc>
      </w:tr>
      <w:tr w:rsidR="00674BF5" w:rsidRPr="00E07C9A" w14:paraId="7C7E467E" w14:textId="77777777" w:rsidTr="00674BF5">
        <w:tc>
          <w:tcPr>
            <w:tcW w:w="1474" w:type="dxa"/>
          </w:tcPr>
          <w:p w14:paraId="16531ED1" w14:textId="77777777" w:rsidR="00674BF5" w:rsidRPr="00E07C9A" w:rsidRDefault="00754ADC" w:rsidP="00487A02">
            <w:pPr>
              <w:pStyle w:val="InstructionsText"/>
            </w:pPr>
            <w:r w:rsidRPr="00E07C9A">
              <w:t>0641</w:t>
            </w:r>
          </w:p>
        </w:tc>
        <w:tc>
          <w:tcPr>
            <w:tcW w:w="7049" w:type="dxa"/>
            <w:vAlign w:val="center"/>
          </w:tcPr>
          <w:p w14:paraId="0DD1EF00" w14:textId="7CB2BAD4" w:rsidR="00674BF5" w:rsidRPr="00E07C9A" w:rsidRDefault="00674BF5" w:rsidP="00487A02">
            <w:pPr>
              <w:pStyle w:val="InstructionsText"/>
            </w:pPr>
            <w:r w:rsidRPr="00E07C9A">
              <w:rPr>
                <w:rStyle w:val="InstructionsTabelleberschrift"/>
                <w:rFonts w:ascii="Times New Roman" w:hAnsi="Times New Roman"/>
                <w:sz w:val="24"/>
              </w:rPr>
              <w:t>17.3.</w:t>
            </w:r>
            <w:r w:rsidRPr="00E07C9A">
              <w:tab/>
            </w:r>
            <w:r w:rsidRPr="00E07C9A">
              <w:rPr>
                <w:rStyle w:val="InstructionsTabelleberschrift"/>
                <w:rFonts w:ascii="Times New Roman" w:hAnsi="Times New Roman"/>
                <w:sz w:val="24"/>
              </w:rPr>
              <w:t>Syntetické podiely kapitálu T2 subjektov finančného sektora,</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ktorých inštitúcia má významnú investíciu</w:t>
            </w:r>
          </w:p>
          <w:p w14:paraId="49CA99E2" w14:textId="63F2EDCD" w:rsidR="00674BF5" w:rsidRPr="00E07C9A" w:rsidRDefault="002E796C" w:rsidP="00487A02">
            <w:pPr>
              <w:pStyle w:val="InstructionsText"/>
              <w:rPr>
                <w:rStyle w:val="InstructionsTabelleberschrift"/>
                <w:rFonts w:ascii="Times New Roman" w:hAnsi="Times New Roman"/>
                <w:b w:val="0"/>
                <w:bCs w:val="0"/>
                <w:sz w:val="24"/>
                <w:u w:val="none"/>
              </w:rPr>
            </w:pPr>
            <w:r w:rsidRPr="00E07C9A">
              <w:t>Článok 4 ods. 1 bod 126</w:t>
            </w:r>
            <w:r w:rsidR="009912F8" w:rsidRPr="00E07C9A">
              <w:t xml:space="preserve"> a </w:t>
            </w:r>
            <w:r w:rsidRPr="00E07C9A">
              <w:t>články 68</w:t>
            </w:r>
            <w:r w:rsidR="009912F8" w:rsidRPr="00E07C9A">
              <w:t xml:space="preserve"> a </w:t>
            </w:r>
            <w:r w:rsidRPr="00E07C9A">
              <w:t xml:space="preserve">69 nariadenia (EÚ) </w:t>
            </w:r>
            <w:r w:rsidR="009912F8" w:rsidRPr="00E07C9A">
              <w:t>č. 575/2013</w:t>
            </w:r>
          </w:p>
        </w:tc>
      </w:tr>
      <w:tr w:rsidR="00674BF5" w:rsidRPr="00E07C9A" w14:paraId="08FDBCB9" w14:textId="77777777" w:rsidTr="00674BF5">
        <w:tc>
          <w:tcPr>
            <w:tcW w:w="1474" w:type="dxa"/>
          </w:tcPr>
          <w:p w14:paraId="13635659" w14:textId="77777777" w:rsidR="00674BF5" w:rsidRPr="00E07C9A" w:rsidRDefault="00754ADC" w:rsidP="00487A02">
            <w:pPr>
              <w:pStyle w:val="InstructionsText"/>
            </w:pPr>
            <w:r w:rsidRPr="00E07C9A">
              <w:t>0642</w:t>
            </w:r>
          </w:p>
        </w:tc>
        <w:tc>
          <w:tcPr>
            <w:tcW w:w="7049" w:type="dxa"/>
            <w:vAlign w:val="center"/>
          </w:tcPr>
          <w:p w14:paraId="64F4507F" w14:textId="3EA7AED6" w:rsidR="00674BF5" w:rsidRPr="00E07C9A" w:rsidRDefault="00674BF5" w:rsidP="00487A02">
            <w:pPr>
              <w:pStyle w:val="InstructionsText"/>
            </w:pPr>
            <w:r w:rsidRPr="00E07C9A">
              <w:rPr>
                <w:rStyle w:val="InstructionsTabelleberschrift"/>
                <w:rFonts w:ascii="Times New Roman" w:hAnsi="Times New Roman"/>
                <w:sz w:val="24"/>
              </w:rPr>
              <w:t>17.3.1.</w:t>
            </w:r>
            <w:r w:rsidRPr="00E07C9A">
              <w:tab/>
            </w:r>
            <w:r w:rsidRPr="00E07C9A">
              <w:rPr>
                <w:rStyle w:val="InstructionsTabelleberschrift"/>
                <w:rFonts w:ascii="Times New Roman" w:hAnsi="Times New Roman"/>
                <w:sz w:val="24"/>
              </w:rPr>
              <w:t>Brutto syntetické podiely kapitálu T2 subjektov finančného sektora,</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ktorých inštitúcia má významnú investíciu</w:t>
            </w:r>
          </w:p>
          <w:p w14:paraId="0BC112DF" w14:textId="17900AC3" w:rsidR="00674BF5" w:rsidRPr="00E07C9A" w:rsidRDefault="002E796C" w:rsidP="00487A02">
            <w:pPr>
              <w:pStyle w:val="InstructionsText"/>
              <w:rPr>
                <w:rStyle w:val="InstructionsTabelleberschrift"/>
                <w:rFonts w:ascii="Times New Roman" w:hAnsi="Times New Roman"/>
                <w:b w:val="0"/>
                <w:bCs w:val="0"/>
                <w:sz w:val="24"/>
                <w:u w:val="none"/>
              </w:rPr>
            </w:pPr>
            <w:r w:rsidRPr="00E07C9A">
              <w:t>Článok 4 ods. 1 bod 126</w:t>
            </w:r>
            <w:r w:rsidR="009912F8" w:rsidRPr="00E07C9A">
              <w:t xml:space="preserve"> a </w:t>
            </w:r>
            <w:r w:rsidRPr="00E07C9A">
              <w:t>články 68</w:t>
            </w:r>
            <w:r w:rsidR="009912F8" w:rsidRPr="00E07C9A">
              <w:t xml:space="preserve"> a </w:t>
            </w:r>
            <w:r w:rsidRPr="00E07C9A">
              <w:t xml:space="preserve">69 nariadenia (EÚ) </w:t>
            </w:r>
            <w:r w:rsidR="009912F8" w:rsidRPr="00E07C9A">
              <w:t>č. 575/2013</w:t>
            </w:r>
          </w:p>
        </w:tc>
      </w:tr>
      <w:tr w:rsidR="00674BF5" w:rsidRPr="00E07C9A" w14:paraId="15BD4D78" w14:textId="77777777" w:rsidTr="00674BF5">
        <w:tc>
          <w:tcPr>
            <w:tcW w:w="1474" w:type="dxa"/>
          </w:tcPr>
          <w:p w14:paraId="093DB22B" w14:textId="77777777" w:rsidR="00674BF5" w:rsidRPr="00E07C9A" w:rsidRDefault="00754ADC" w:rsidP="00487A02">
            <w:pPr>
              <w:pStyle w:val="InstructionsText"/>
            </w:pPr>
            <w:r w:rsidRPr="00E07C9A">
              <w:t>0643</w:t>
            </w:r>
          </w:p>
        </w:tc>
        <w:tc>
          <w:tcPr>
            <w:tcW w:w="7049" w:type="dxa"/>
            <w:vAlign w:val="center"/>
          </w:tcPr>
          <w:p w14:paraId="1EE8CE80" w14:textId="73C1EAD1" w:rsidR="00674BF5" w:rsidRPr="00E07C9A" w:rsidRDefault="00674BF5" w:rsidP="00487A02">
            <w:pPr>
              <w:pStyle w:val="InstructionsText"/>
            </w:pPr>
            <w:r w:rsidRPr="00E07C9A">
              <w:rPr>
                <w:rStyle w:val="InstructionsTabelleberschrift"/>
                <w:rFonts w:ascii="Times New Roman" w:hAnsi="Times New Roman"/>
                <w:sz w:val="24"/>
              </w:rPr>
              <w:t>17.3.2.</w:t>
            </w:r>
            <w:r w:rsidRPr="00E07C9A">
              <w:tab/>
            </w:r>
            <w:r w:rsidRPr="00E07C9A">
              <w:rPr>
                <w:rStyle w:val="InstructionsTabelleberschrift"/>
                <w:rFonts w:ascii="Times New Roman" w:hAnsi="Times New Roman"/>
                <w:sz w:val="24"/>
              </w:rPr>
              <w:t>(–) Povolené kompenzačné krátke pozície</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súvislosti</w:t>
            </w:r>
            <w:r w:rsidR="009912F8" w:rsidRPr="00E07C9A">
              <w:rPr>
                <w:rStyle w:val="InstructionsTabelleberschrift"/>
                <w:rFonts w:ascii="Times New Roman" w:hAnsi="Times New Roman"/>
                <w:sz w:val="24"/>
              </w:rPr>
              <w:t xml:space="preserve"> s </w:t>
            </w:r>
            <w:r w:rsidRPr="00E07C9A">
              <w:rPr>
                <w:rStyle w:val="InstructionsTabelleberschrift"/>
                <w:rFonts w:ascii="Times New Roman" w:hAnsi="Times New Roman"/>
                <w:sz w:val="24"/>
              </w:rPr>
              <w:t>brutto syntetickými podielmi uvedenými vyššie</w:t>
            </w:r>
          </w:p>
          <w:p w14:paraId="6446C4C9" w14:textId="02D228B3" w:rsidR="00674BF5" w:rsidRPr="00E07C9A" w:rsidRDefault="002E796C" w:rsidP="00487A02">
            <w:pPr>
              <w:pStyle w:val="InstructionsText"/>
            </w:pPr>
            <w:r w:rsidRPr="00E07C9A">
              <w:lastRenderedPageBreak/>
              <w:t>Článok 4 ods. 1 bod 126</w:t>
            </w:r>
            <w:r w:rsidR="009912F8" w:rsidRPr="00E07C9A">
              <w:t xml:space="preserve"> a </w:t>
            </w:r>
            <w:r w:rsidRPr="00E07C9A">
              <w:t xml:space="preserve">článok 69 nariadenia (EÚ) </w:t>
            </w:r>
            <w:r w:rsidR="009912F8" w:rsidRPr="00E07C9A">
              <w:t>č. 575/2013</w:t>
            </w:r>
          </w:p>
          <w:p w14:paraId="09F84D62" w14:textId="0F4AA120" w:rsidR="002D31E5" w:rsidRPr="00E07C9A" w:rsidRDefault="002E796C" w:rsidP="000D04B6">
            <w:pPr>
              <w:pStyle w:val="InstructionsText"/>
              <w:rPr>
                <w:rStyle w:val="InstructionsTabelleberschrift"/>
                <w:rFonts w:ascii="Times New Roman" w:hAnsi="Times New Roman"/>
                <w:b w:val="0"/>
                <w:bCs w:val="0"/>
                <w:sz w:val="24"/>
                <w:u w:val="none"/>
              </w:rPr>
            </w:pPr>
            <w:r w:rsidRPr="00E07C9A">
              <w:t xml:space="preserve">Článkom 69 písm. a) nariadenia (EÚ) </w:t>
            </w:r>
            <w:r w:rsidR="009912F8" w:rsidRPr="00E07C9A">
              <w:t>č. 575/2013</w:t>
            </w:r>
            <w:r w:rsidRPr="00E07C9A">
              <w:t xml:space="preserve"> sa </w:t>
            </w:r>
            <w:r w:rsidRPr="00E07C9A">
              <w:rPr>
                <w:rStyle w:val="InstructionsTabelleberschrift"/>
                <w:rFonts w:ascii="Times New Roman" w:hAnsi="Times New Roman"/>
                <w:b w:val="0"/>
                <w:sz w:val="24"/>
                <w:u w:val="none"/>
              </w:rPr>
              <w:t>povoľujú kompenzačné krátke pozície</w:t>
            </w:r>
            <w:r w:rsidR="009912F8" w:rsidRPr="00E07C9A">
              <w:rPr>
                <w:rStyle w:val="InstructionsTabelleberschrift"/>
                <w:rFonts w:ascii="Times New Roman" w:hAnsi="Times New Roman"/>
                <w:b w:val="0"/>
                <w:sz w:val="24"/>
                <w:u w:val="none"/>
              </w:rPr>
              <w:t xml:space="preserve"> v </w:t>
            </w:r>
            <w:r w:rsidRPr="00E07C9A">
              <w:rPr>
                <w:rStyle w:val="InstructionsTabelleberschrift"/>
                <w:rFonts w:ascii="Times New Roman" w:hAnsi="Times New Roman"/>
                <w:b w:val="0"/>
                <w:sz w:val="24"/>
                <w:u w:val="none"/>
              </w:rPr>
              <w:t>rovnakej podkladovej expozícii pod podmienkou, že dátum splatnosti krátkej pozície je buď rovnaký alebo neskorší ako dátum splatnosti dlhej pozície, alebo zostatková splatnosť krátkej pozície je najmenej jeden rok.</w:t>
            </w:r>
          </w:p>
        </w:tc>
      </w:tr>
      <w:tr w:rsidR="00674BF5" w:rsidRPr="00E07C9A" w14:paraId="6FF47A12" w14:textId="77777777" w:rsidTr="00674BF5">
        <w:tc>
          <w:tcPr>
            <w:tcW w:w="1474" w:type="dxa"/>
          </w:tcPr>
          <w:p w14:paraId="1A51B629" w14:textId="77777777" w:rsidR="00674BF5" w:rsidRPr="00E07C9A" w:rsidRDefault="00754ADC" w:rsidP="00487A02">
            <w:pPr>
              <w:pStyle w:val="InstructionsText"/>
            </w:pPr>
            <w:r w:rsidRPr="00E07C9A">
              <w:lastRenderedPageBreak/>
              <w:t>0650</w:t>
            </w:r>
          </w:p>
        </w:tc>
        <w:tc>
          <w:tcPr>
            <w:tcW w:w="7049" w:type="dxa"/>
          </w:tcPr>
          <w:p w14:paraId="4BC5F3E6" w14:textId="1E7E8D83" w:rsidR="00674BF5" w:rsidRPr="00E07C9A" w:rsidRDefault="00674BF5" w:rsidP="00487A02">
            <w:pPr>
              <w:pStyle w:val="InstructionsText"/>
            </w:pPr>
            <w:r w:rsidRPr="00E07C9A">
              <w:rPr>
                <w:rStyle w:val="InstructionsTabelleberschrift"/>
                <w:rFonts w:ascii="Times New Roman" w:hAnsi="Times New Roman"/>
                <w:sz w:val="24"/>
              </w:rPr>
              <w:t>18. Rizikovo vážené expozície podielov CET1</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subjektoch finančného sektora, ktoré sa neodpočítavajú od kapitálu CET1 inštitúcie</w:t>
            </w:r>
          </w:p>
          <w:p w14:paraId="042A9075" w14:textId="41AA2F67" w:rsidR="00674BF5" w:rsidRPr="00E07C9A" w:rsidRDefault="00674BF5" w:rsidP="00487A02">
            <w:pPr>
              <w:pStyle w:val="InstructionsText"/>
            </w:pPr>
            <w:r w:rsidRPr="00E07C9A">
              <w:t>Článok 46 ods. 4, článok 48 ods. 4</w:t>
            </w:r>
            <w:r w:rsidR="009912F8" w:rsidRPr="00E07C9A">
              <w:t xml:space="preserve"> a </w:t>
            </w:r>
            <w:r w:rsidRPr="00E07C9A">
              <w:t xml:space="preserve">článok 49 ods. 4 nariadenia (EÚ) </w:t>
            </w:r>
            <w:r w:rsidR="009912F8" w:rsidRPr="00E07C9A">
              <w:t>č. 575/2013</w:t>
            </w:r>
          </w:p>
        </w:tc>
      </w:tr>
      <w:tr w:rsidR="00674BF5" w:rsidRPr="00E07C9A" w14:paraId="2E49EC51" w14:textId="77777777" w:rsidTr="00674BF5">
        <w:tc>
          <w:tcPr>
            <w:tcW w:w="1474" w:type="dxa"/>
          </w:tcPr>
          <w:p w14:paraId="10FBECC4" w14:textId="77777777" w:rsidR="00674BF5" w:rsidRPr="00E07C9A" w:rsidRDefault="00754ADC" w:rsidP="00487A02">
            <w:pPr>
              <w:pStyle w:val="InstructionsText"/>
            </w:pPr>
            <w:r w:rsidRPr="00E07C9A">
              <w:t>0660</w:t>
            </w:r>
          </w:p>
        </w:tc>
        <w:tc>
          <w:tcPr>
            <w:tcW w:w="7049" w:type="dxa"/>
          </w:tcPr>
          <w:p w14:paraId="2BB6E828" w14:textId="55382FF8" w:rsidR="00674BF5" w:rsidRPr="00E07C9A" w:rsidRDefault="00674BF5" w:rsidP="00487A02">
            <w:pPr>
              <w:pStyle w:val="InstructionsText"/>
            </w:pPr>
            <w:r w:rsidRPr="00E07C9A">
              <w:rPr>
                <w:rStyle w:val="InstructionsTabelleberschrift"/>
                <w:rFonts w:ascii="Times New Roman" w:hAnsi="Times New Roman"/>
                <w:sz w:val="24"/>
              </w:rPr>
              <w:t>19. Rizikovo vážené expozície podielov AT1</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subjektoch finančného sektora, ktoré sa neodpočítavajú od kapitálu AT1 inštitúcie</w:t>
            </w:r>
          </w:p>
          <w:p w14:paraId="22F50EEA" w14:textId="6CA1B4D8" w:rsidR="00674BF5" w:rsidRPr="00E07C9A" w:rsidRDefault="00674BF5" w:rsidP="00487A02">
            <w:pPr>
              <w:pStyle w:val="InstructionsText"/>
            </w:pPr>
            <w:r w:rsidRPr="00E07C9A">
              <w:t xml:space="preserve">Článok 60 ods. 4 nariadenia (EÚ) </w:t>
            </w:r>
            <w:r w:rsidR="009912F8" w:rsidRPr="00E07C9A">
              <w:t>č. 575/2013</w:t>
            </w:r>
          </w:p>
        </w:tc>
      </w:tr>
      <w:tr w:rsidR="00674BF5" w:rsidRPr="00E07C9A" w14:paraId="788FCBC0" w14:textId="77777777" w:rsidTr="00674BF5">
        <w:tc>
          <w:tcPr>
            <w:tcW w:w="1474" w:type="dxa"/>
          </w:tcPr>
          <w:p w14:paraId="64FBB9F0" w14:textId="77777777" w:rsidR="00674BF5" w:rsidRPr="00E07C9A" w:rsidRDefault="00754ADC" w:rsidP="00487A02">
            <w:pPr>
              <w:pStyle w:val="InstructionsText"/>
            </w:pPr>
            <w:r w:rsidRPr="00E07C9A">
              <w:t>0670</w:t>
            </w:r>
          </w:p>
        </w:tc>
        <w:tc>
          <w:tcPr>
            <w:tcW w:w="7049" w:type="dxa"/>
          </w:tcPr>
          <w:p w14:paraId="28191636" w14:textId="5C44B004" w:rsidR="00674BF5" w:rsidRPr="00E07C9A" w:rsidRDefault="00674BF5" w:rsidP="00487A02">
            <w:pPr>
              <w:pStyle w:val="InstructionsText"/>
            </w:pPr>
            <w:r w:rsidRPr="00E07C9A">
              <w:rPr>
                <w:rStyle w:val="InstructionsTabelleberschrift"/>
                <w:rFonts w:ascii="Times New Roman" w:hAnsi="Times New Roman"/>
                <w:sz w:val="24"/>
              </w:rPr>
              <w:t>20. Rizikovo vážené expozície podielov T2</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subjektoch finančného sektora, ktoré sa neodpočítavajú od kapitálu T2 inštitúcie</w:t>
            </w:r>
          </w:p>
          <w:p w14:paraId="6575F047" w14:textId="2BB89CF7" w:rsidR="00674BF5" w:rsidRPr="00E07C9A" w:rsidRDefault="00674BF5" w:rsidP="00487A02">
            <w:pPr>
              <w:pStyle w:val="InstructionsText"/>
            </w:pPr>
            <w:r w:rsidRPr="00E07C9A">
              <w:t xml:space="preserve">Článok 70 ods. 4 nariadenia (EÚ) </w:t>
            </w:r>
            <w:r w:rsidR="009912F8" w:rsidRPr="00E07C9A">
              <w:t>č. 575/2013</w:t>
            </w:r>
          </w:p>
        </w:tc>
      </w:tr>
      <w:tr w:rsidR="00674BF5" w:rsidRPr="00E07C9A" w14:paraId="1F3B2F17" w14:textId="77777777" w:rsidTr="00674BF5">
        <w:tc>
          <w:tcPr>
            <w:tcW w:w="1474" w:type="dxa"/>
          </w:tcPr>
          <w:p w14:paraId="3F887D89" w14:textId="77777777" w:rsidR="00674BF5" w:rsidRPr="00E07C9A" w:rsidRDefault="00754ADC" w:rsidP="00487A02">
            <w:pPr>
              <w:pStyle w:val="InstructionsText"/>
            </w:pPr>
            <w:r w:rsidRPr="00E07C9A">
              <w:t>0680</w:t>
            </w:r>
          </w:p>
        </w:tc>
        <w:tc>
          <w:tcPr>
            <w:tcW w:w="7049" w:type="dxa"/>
          </w:tcPr>
          <w:p w14:paraId="7244C31D" w14:textId="6538CDEF" w:rsidR="00674BF5" w:rsidRPr="00E07C9A" w:rsidRDefault="00674BF5" w:rsidP="00487A02">
            <w:pPr>
              <w:pStyle w:val="InstructionsText"/>
            </w:pPr>
            <w:r w:rsidRPr="00E07C9A">
              <w:rPr>
                <w:rStyle w:val="InstructionsTabelleberschrift"/>
                <w:rFonts w:ascii="Times New Roman" w:hAnsi="Times New Roman"/>
                <w:sz w:val="24"/>
              </w:rPr>
              <w:t>21.</w:t>
            </w:r>
            <w:r w:rsidRPr="00E07C9A">
              <w:tab/>
            </w:r>
            <w:r w:rsidRPr="00E07C9A">
              <w:rPr>
                <w:rStyle w:val="InstructionsTabelleberschrift"/>
                <w:rFonts w:ascii="Times New Roman" w:hAnsi="Times New Roman"/>
                <w:sz w:val="24"/>
              </w:rPr>
              <w:t>Podiely na kapitálových nástrojoch CET1 subjektov finančného sektora,</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ktorých inštitúcia nemá významnú investíciu, pri ktorých sa dočasne upúšťa od ustanovení</w:t>
            </w:r>
            <w:r w:rsidR="009912F8" w:rsidRPr="00E07C9A">
              <w:rPr>
                <w:rStyle w:val="InstructionsTabelleberschrift"/>
                <w:rFonts w:ascii="Times New Roman" w:hAnsi="Times New Roman"/>
                <w:sz w:val="24"/>
              </w:rPr>
              <w:t xml:space="preserve"> o </w:t>
            </w:r>
            <w:r w:rsidRPr="00E07C9A">
              <w:rPr>
                <w:rStyle w:val="InstructionsTabelleberschrift"/>
                <w:rFonts w:ascii="Times New Roman" w:hAnsi="Times New Roman"/>
                <w:sz w:val="24"/>
              </w:rPr>
              <w:t>odpočítaní</w:t>
            </w:r>
          </w:p>
          <w:p w14:paraId="52FE2147" w14:textId="638EB5D8" w:rsidR="00674BF5" w:rsidRPr="00E07C9A" w:rsidRDefault="00674BF5" w:rsidP="00487A02">
            <w:pPr>
              <w:pStyle w:val="InstructionsText"/>
            </w:pPr>
            <w:r w:rsidRPr="00E07C9A">
              <w:t xml:space="preserve">Článok 79 nariadenia (EÚ) </w:t>
            </w:r>
            <w:r w:rsidR="009912F8" w:rsidRPr="00E07C9A">
              <w:t>č. 575/2013</w:t>
            </w:r>
          </w:p>
          <w:p w14:paraId="7A4F7070" w14:textId="51282994" w:rsidR="00674BF5" w:rsidRPr="00E07C9A" w:rsidRDefault="00674BF5" w:rsidP="00487A02">
            <w:pPr>
              <w:pStyle w:val="InstructionsText"/>
            </w:pPr>
            <w:r w:rsidRPr="00E07C9A">
              <w:t>Príslušný orgán môže dočasne upustiť od uplatňovania ustanovení</w:t>
            </w:r>
            <w:r w:rsidR="009912F8" w:rsidRPr="00E07C9A">
              <w:t xml:space="preserve"> o </w:t>
            </w:r>
            <w:r w:rsidRPr="00E07C9A">
              <w:t>odpočítaní od CET1</w:t>
            </w:r>
            <w:r w:rsidR="009912F8" w:rsidRPr="00E07C9A">
              <w:t xml:space="preserve"> z </w:t>
            </w:r>
            <w:r w:rsidRPr="00E07C9A">
              <w:t>dôvodu podielov na nástrojoch špecifického subjektu finančného sektora, keď považuje tieto podiely za podiely určené na účely operácie finančnej pomoci na reorganizáciu</w:t>
            </w:r>
            <w:r w:rsidR="009912F8" w:rsidRPr="00E07C9A">
              <w:t xml:space="preserve"> a </w:t>
            </w:r>
            <w:r w:rsidRPr="00E07C9A">
              <w:t>záchranu tohto subjektu.</w:t>
            </w:r>
          </w:p>
          <w:p w14:paraId="54997C1C" w14:textId="14BC577F" w:rsidR="00674BF5" w:rsidRPr="00E07C9A" w:rsidRDefault="00674BF5" w:rsidP="00487A02">
            <w:pPr>
              <w:pStyle w:val="InstructionsText"/>
            </w:pPr>
            <w:r w:rsidRPr="00E07C9A">
              <w:t>Treba poznamenať, že tieto nástroje sa musia vykazovať aj</w:t>
            </w:r>
            <w:r w:rsidR="009912F8" w:rsidRPr="00E07C9A">
              <w:t xml:space="preserve"> v </w:t>
            </w:r>
            <w:r w:rsidRPr="00E07C9A">
              <w:t>položke 12.1.</w:t>
            </w:r>
          </w:p>
        </w:tc>
      </w:tr>
      <w:tr w:rsidR="00674BF5" w:rsidRPr="00E07C9A" w14:paraId="2EA1001D" w14:textId="77777777" w:rsidTr="00674BF5">
        <w:tc>
          <w:tcPr>
            <w:tcW w:w="1474" w:type="dxa"/>
          </w:tcPr>
          <w:p w14:paraId="3C8A54EE" w14:textId="77777777" w:rsidR="00674BF5" w:rsidRPr="00E07C9A" w:rsidRDefault="00754ADC" w:rsidP="00487A02">
            <w:pPr>
              <w:pStyle w:val="InstructionsText"/>
            </w:pPr>
            <w:r w:rsidRPr="00E07C9A">
              <w:t>0690</w:t>
            </w:r>
          </w:p>
        </w:tc>
        <w:tc>
          <w:tcPr>
            <w:tcW w:w="7049" w:type="dxa"/>
          </w:tcPr>
          <w:p w14:paraId="21E9048E" w14:textId="6A65C13D" w:rsidR="00674BF5" w:rsidRPr="00E07C9A" w:rsidRDefault="00674BF5" w:rsidP="00487A02">
            <w:pPr>
              <w:pStyle w:val="InstructionsText"/>
            </w:pPr>
            <w:r w:rsidRPr="00E07C9A">
              <w:rPr>
                <w:rStyle w:val="InstructionsTabelleberschrift"/>
                <w:rFonts w:ascii="Times New Roman" w:hAnsi="Times New Roman"/>
                <w:sz w:val="24"/>
              </w:rPr>
              <w:t>22.</w:t>
            </w:r>
            <w:r w:rsidRPr="00E07C9A">
              <w:tab/>
            </w:r>
            <w:r w:rsidRPr="00E07C9A">
              <w:rPr>
                <w:rStyle w:val="InstructionsTabelleberschrift"/>
                <w:rFonts w:ascii="Times New Roman" w:hAnsi="Times New Roman"/>
                <w:sz w:val="24"/>
              </w:rPr>
              <w:t>Podiely na kapitálových nástrojoch CET1 subjektov finančného sektora,</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ktorých inštitúcia má významnú investíciu, pri ktorých sa dočasne upúšťa od ustanovení</w:t>
            </w:r>
            <w:r w:rsidR="009912F8" w:rsidRPr="00E07C9A">
              <w:rPr>
                <w:rStyle w:val="InstructionsTabelleberschrift"/>
                <w:rFonts w:ascii="Times New Roman" w:hAnsi="Times New Roman"/>
                <w:sz w:val="24"/>
              </w:rPr>
              <w:t xml:space="preserve"> o </w:t>
            </w:r>
            <w:r w:rsidRPr="00E07C9A">
              <w:rPr>
                <w:rStyle w:val="InstructionsTabelleberschrift"/>
                <w:rFonts w:ascii="Times New Roman" w:hAnsi="Times New Roman"/>
                <w:sz w:val="24"/>
              </w:rPr>
              <w:t>odpočítaní</w:t>
            </w:r>
          </w:p>
          <w:p w14:paraId="03608A1D" w14:textId="429CFC35" w:rsidR="00674BF5" w:rsidRPr="00E07C9A" w:rsidRDefault="00674BF5" w:rsidP="00487A02">
            <w:pPr>
              <w:pStyle w:val="InstructionsText"/>
            </w:pPr>
            <w:r w:rsidRPr="00E07C9A">
              <w:t xml:space="preserve">Článok 79 nariadenia (EÚ) </w:t>
            </w:r>
            <w:r w:rsidR="009912F8" w:rsidRPr="00E07C9A">
              <w:t>č. 575/2013</w:t>
            </w:r>
          </w:p>
          <w:p w14:paraId="299F3BCD" w14:textId="2135F6A7" w:rsidR="00674BF5" w:rsidRPr="00E07C9A" w:rsidRDefault="00674BF5" w:rsidP="00487A02">
            <w:pPr>
              <w:pStyle w:val="InstructionsText"/>
            </w:pPr>
            <w:r w:rsidRPr="00E07C9A">
              <w:t>Príslušný orgán môže upustiť od uplatňovania ustanovení</w:t>
            </w:r>
            <w:r w:rsidR="009912F8" w:rsidRPr="00E07C9A">
              <w:t xml:space="preserve"> o </w:t>
            </w:r>
            <w:r w:rsidRPr="00E07C9A">
              <w:t>odpočítaní od CET1</w:t>
            </w:r>
            <w:r w:rsidR="009912F8" w:rsidRPr="00E07C9A">
              <w:t xml:space="preserve"> z </w:t>
            </w:r>
            <w:r w:rsidRPr="00E07C9A">
              <w:t>dôvodu podielov na nástrojoch špecifického subjektu finančného sektora, keď považuje tieto podiely za podiely určené na účely operácie finančnej pomoci na reorganizáciu</w:t>
            </w:r>
            <w:r w:rsidR="009912F8" w:rsidRPr="00E07C9A">
              <w:t xml:space="preserve"> a </w:t>
            </w:r>
            <w:r w:rsidRPr="00E07C9A">
              <w:t>záchranu tohto subjektu.</w:t>
            </w:r>
          </w:p>
          <w:p w14:paraId="5CC5E2F7" w14:textId="5F059653" w:rsidR="00674BF5" w:rsidRPr="00E07C9A" w:rsidRDefault="00674BF5" w:rsidP="00487A02">
            <w:pPr>
              <w:pStyle w:val="InstructionsText"/>
            </w:pPr>
            <w:r w:rsidRPr="00E07C9A">
              <w:t>Treba poznamenať, že tieto nástroje sa musia vykazovať aj</w:t>
            </w:r>
            <w:r w:rsidR="009912F8" w:rsidRPr="00E07C9A">
              <w:t xml:space="preserve"> v </w:t>
            </w:r>
            <w:r w:rsidRPr="00E07C9A">
              <w:t>položke 15.1.</w:t>
            </w:r>
          </w:p>
        </w:tc>
      </w:tr>
      <w:tr w:rsidR="00674BF5" w:rsidRPr="00E07C9A" w14:paraId="3A5C2135" w14:textId="77777777" w:rsidTr="00674BF5">
        <w:tc>
          <w:tcPr>
            <w:tcW w:w="1474" w:type="dxa"/>
          </w:tcPr>
          <w:p w14:paraId="718E1EF7" w14:textId="77777777" w:rsidR="00674BF5" w:rsidRPr="00E07C9A" w:rsidRDefault="00754ADC" w:rsidP="00487A02">
            <w:pPr>
              <w:pStyle w:val="InstructionsText"/>
            </w:pPr>
            <w:r w:rsidRPr="00E07C9A">
              <w:t>0700</w:t>
            </w:r>
          </w:p>
        </w:tc>
        <w:tc>
          <w:tcPr>
            <w:tcW w:w="7049" w:type="dxa"/>
          </w:tcPr>
          <w:p w14:paraId="7446E00A" w14:textId="5B9DD2D2" w:rsidR="00674BF5" w:rsidRPr="00E07C9A" w:rsidRDefault="00674BF5" w:rsidP="00487A02">
            <w:pPr>
              <w:pStyle w:val="InstructionsText"/>
            </w:pPr>
            <w:r w:rsidRPr="00E07C9A">
              <w:rPr>
                <w:rStyle w:val="InstructionsTabelleberschrift"/>
                <w:rFonts w:ascii="Times New Roman" w:hAnsi="Times New Roman"/>
                <w:sz w:val="24"/>
              </w:rPr>
              <w:t>23.</w:t>
            </w:r>
            <w:r w:rsidRPr="00E07C9A">
              <w:tab/>
            </w:r>
            <w:r w:rsidRPr="00E07C9A">
              <w:rPr>
                <w:rStyle w:val="InstructionsTabelleberschrift"/>
                <w:rFonts w:ascii="Times New Roman" w:hAnsi="Times New Roman"/>
                <w:sz w:val="24"/>
              </w:rPr>
              <w:t>Podiely na kapitálových nástrojoch AT1 subjektov finančného sektora,</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ktorých inštitúcia nemá významnú investíciu, pri ktorých sa dočasne upúšťa od ustanovení</w:t>
            </w:r>
            <w:r w:rsidR="009912F8" w:rsidRPr="00E07C9A">
              <w:rPr>
                <w:rStyle w:val="InstructionsTabelleberschrift"/>
                <w:rFonts w:ascii="Times New Roman" w:hAnsi="Times New Roman"/>
                <w:sz w:val="24"/>
              </w:rPr>
              <w:t xml:space="preserve"> o </w:t>
            </w:r>
            <w:r w:rsidRPr="00E07C9A">
              <w:rPr>
                <w:rStyle w:val="InstructionsTabelleberschrift"/>
                <w:rFonts w:ascii="Times New Roman" w:hAnsi="Times New Roman"/>
                <w:sz w:val="24"/>
              </w:rPr>
              <w:t>odpočítaní</w:t>
            </w:r>
          </w:p>
          <w:p w14:paraId="5E0DD8A4" w14:textId="3F3083D7" w:rsidR="00674BF5" w:rsidRPr="00E07C9A" w:rsidRDefault="00674BF5" w:rsidP="00487A02">
            <w:pPr>
              <w:pStyle w:val="InstructionsText"/>
            </w:pPr>
            <w:r w:rsidRPr="00E07C9A">
              <w:t xml:space="preserve">Článok 79 nariadenia (EÚ) </w:t>
            </w:r>
            <w:r w:rsidR="009912F8" w:rsidRPr="00E07C9A">
              <w:t>č. 575/2013</w:t>
            </w:r>
          </w:p>
          <w:p w14:paraId="543CF2E7" w14:textId="08C8EDCD" w:rsidR="00674BF5" w:rsidRPr="00E07C9A" w:rsidRDefault="00674BF5" w:rsidP="00487A02">
            <w:pPr>
              <w:pStyle w:val="InstructionsText"/>
            </w:pPr>
            <w:r w:rsidRPr="00E07C9A">
              <w:lastRenderedPageBreak/>
              <w:t>Príslušný orgán môže dočasne upustiť od uplatňovania ustanovení</w:t>
            </w:r>
            <w:r w:rsidR="009912F8" w:rsidRPr="00E07C9A">
              <w:t xml:space="preserve"> o </w:t>
            </w:r>
            <w:r w:rsidRPr="00E07C9A">
              <w:t>odpočítaní od AT1</w:t>
            </w:r>
            <w:r w:rsidR="009912F8" w:rsidRPr="00E07C9A">
              <w:t xml:space="preserve"> z </w:t>
            </w:r>
            <w:r w:rsidRPr="00E07C9A">
              <w:t>dôvodu podielov na nástrojoch špecifického subjektu finančného sektora, keď považuje tieto podiely za podiely určené na účely operácie finančnej pomoci na reorganizáciu</w:t>
            </w:r>
            <w:r w:rsidR="009912F8" w:rsidRPr="00E07C9A">
              <w:t xml:space="preserve"> a </w:t>
            </w:r>
            <w:r w:rsidRPr="00E07C9A">
              <w:t>záchranu tohto subjektu.</w:t>
            </w:r>
          </w:p>
          <w:p w14:paraId="413F7444" w14:textId="30F4DC85" w:rsidR="00674BF5" w:rsidRPr="00E07C9A" w:rsidRDefault="00674BF5" w:rsidP="00487A02">
            <w:pPr>
              <w:pStyle w:val="InstructionsText"/>
            </w:pPr>
            <w:r w:rsidRPr="00E07C9A">
              <w:t>Treba poznamenať, že tieto nástroje sa musia vykazovať aj</w:t>
            </w:r>
            <w:r w:rsidR="009912F8" w:rsidRPr="00E07C9A">
              <w:t xml:space="preserve"> v </w:t>
            </w:r>
            <w:r w:rsidRPr="00E07C9A">
              <w:t>položke 13.1.</w:t>
            </w:r>
          </w:p>
        </w:tc>
      </w:tr>
      <w:tr w:rsidR="00674BF5" w:rsidRPr="00E07C9A" w14:paraId="1400A26C" w14:textId="77777777" w:rsidTr="00674BF5">
        <w:tc>
          <w:tcPr>
            <w:tcW w:w="1474" w:type="dxa"/>
          </w:tcPr>
          <w:p w14:paraId="7B72B32F" w14:textId="77777777" w:rsidR="00674BF5" w:rsidRPr="00E07C9A" w:rsidRDefault="00754ADC" w:rsidP="00487A02">
            <w:pPr>
              <w:pStyle w:val="InstructionsText"/>
            </w:pPr>
            <w:r w:rsidRPr="00E07C9A">
              <w:lastRenderedPageBreak/>
              <w:t>0710</w:t>
            </w:r>
          </w:p>
        </w:tc>
        <w:tc>
          <w:tcPr>
            <w:tcW w:w="7049" w:type="dxa"/>
          </w:tcPr>
          <w:p w14:paraId="7A511678" w14:textId="2EDC6E41" w:rsidR="00674BF5" w:rsidRPr="00E07C9A" w:rsidRDefault="00674BF5" w:rsidP="00487A02">
            <w:pPr>
              <w:pStyle w:val="InstructionsText"/>
            </w:pPr>
            <w:r w:rsidRPr="00E07C9A">
              <w:rPr>
                <w:rStyle w:val="InstructionsTabelleberschrift"/>
                <w:rFonts w:ascii="Times New Roman" w:hAnsi="Times New Roman"/>
                <w:sz w:val="24"/>
              </w:rPr>
              <w:t>24.</w:t>
            </w:r>
            <w:r w:rsidRPr="00E07C9A">
              <w:tab/>
            </w:r>
            <w:r w:rsidRPr="00E07C9A">
              <w:rPr>
                <w:rStyle w:val="InstructionsTabelleberschrift"/>
                <w:rFonts w:ascii="Times New Roman" w:hAnsi="Times New Roman"/>
                <w:sz w:val="24"/>
              </w:rPr>
              <w:t>Podiely na kapitálových nástrojoch AT1 subjektov finančného sektora,</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ktorých inštitúcia má významnú investíciu, pri ktorých sa dočasne upúšťa od ustanovení</w:t>
            </w:r>
            <w:r w:rsidR="009912F8" w:rsidRPr="00E07C9A">
              <w:rPr>
                <w:rStyle w:val="InstructionsTabelleberschrift"/>
                <w:rFonts w:ascii="Times New Roman" w:hAnsi="Times New Roman"/>
                <w:sz w:val="24"/>
              </w:rPr>
              <w:t xml:space="preserve"> o </w:t>
            </w:r>
            <w:r w:rsidRPr="00E07C9A">
              <w:rPr>
                <w:rStyle w:val="InstructionsTabelleberschrift"/>
                <w:rFonts w:ascii="Times New Roman" w:hAnsi="Times New Roman"/>
                <w:sz w:val="24"/>
              </w:rPr>
              <w:t>odpočítaní</w:t>
            </w:r>
          </w:p>
          <w:p w14:paraId="13D7F84D" w14:textId="54297180" w:rsidR="00674BF5" w:rsidRPr="00E07C9A" w:rsidRDefault="00674BF5" w:rsidP="00487A02">
            <w:pPr>
              <w:pStyle w:val="InstructionsText"/>
            </w:pPr>
            <w:r w:rsidRPr="00E07C9A">
              <w:t xml:space="preserve">Článok 79 nariadenia (EÚ) </w:t>
            </w:r>
            <w:r w:rsidR="009912F8" w:rsidRPr="00E07C9A">
              <w:t>č. 575/2013</w:t>
            </w:r>
          </w:p>
          <w:p w14:paraId="5F5D5B71" w14:textId="7D7CD9F6" w:rsidR="00674BF5" w:rsidRPr="00E07C9A" w:rsidRDefault="00674BF5" w:rsidP="00487A02">
            <w:pPr>
              <w:pStyle w:val="InstructionsText"/>
            </w:pPr>
            <w:r w:rsidRPr="00E07C9A">
              <w:t>Príslušný orgán môže dočasne upustiť od uplatňovania ustanovení</w:t>
            </w:r>
            <w:r w:rsidR="009912F8" w:rsidRPr="00E07C9A">
              <w:t xml:space="preserve"> o </w:t>
            </w:r>
            <w:r w:rsidRPr="00E07C9A">
              <w:t>odpočítaní od AT1</w:t>
            </w:r>
            <w:r w:rsidR="009912F8" w:rsidRPr="00E07C9A">
              <w:t xml:space="preserve"> z </w:t>
            </w:r>
            <w:r w:rsidRPr="00E07C9A">
              <w:t>dôvodu podielov na nástrojoch špecifického subjektu finančného sektora, keď považuje tieto podiely za podiely určené na účely operácie finančnej pomoci na reorganizáciu</w:t>
            </w:r>
            <w:r w:rsidR="009912F8" w:rsidRPr="00E07C9A">
              <w:t xml:space="preserve"> a </w:t>
            </w:r>
            <w:r w:rsidRPr="00E07C9A">
              <w:t>záchranu tohto subjektu.</w:t>
            </w:r>
          </w:p>
          <w:p w14:paraId="1B89E41B" w14:textId="674A69B5" w:rsidR="00674BF5" w:rsidRPr="00E07C9A" w:rsidRDefault="00674BF5" w:rsidP="00487A02">
            <w:pPr>
              <w:pStyle w:val="InstructionsText"/>
            </w:pPr>
            <w:r w:rsidRPr="00E07C9A">
              <w:t>Treba poznamenať, že tieto nástroje sa musia vykazovať aj</w:t>
            </w:r>
            <w:r w:rsidR="009912F8" w:rsidRPr="00E07C9A">
              <w:t xml:space="preserve"> v </w:t>
            </w:r>
            <w:r w:rsidRPr="00E07C9A">
              <w:t>položke 16.1.</w:t>
            </w:r>
          </w:p>
        </w:tc>
      </w:tr>
      <w:tr w:rsidR="00674BF5" w:rsidRPr="00E07C9A" w14:paraId="6A25A9C6" w14:textId="77777777" w:rsidTr="00674BF5">
        <w:tc>
          <w:tcPr>
            <w:tcW w:w="1474" w:type="dxa"/>
          </w:tcPr>
          <w:p w14:paraId="7763CF11" w14:textId="77777777" w:rsidR="00674BF5" w:rsidRPr="00E07C9A" w:rsidRDefault="00754ADC" w:rsidP="00487A02">
            <w:pPr>
              <w:pStyle w:val="InstructionsText"/>
            </w:pPr>
            <w:r w:rsidRPr="00E07C9A">
              <w:t>0720</w:t>
            </w:r>
          </w:p>
        </w:tc>
        <w:tc>
          <w:tcPr>
            <w:tcW w:w="7049" w:type="dxa"/>
          </w:tcPr>
          <w:p w14:paraId="4B0BA41B" w14:textId="49EC23BB" w:rsidR="00674BF5" w:rsidRPr="00E07C9A" w:rsidRDefault="00674BF5" w:rsidP="00487A02">
            <w:pPr>
              <w:pStyle w:val="InstructionsText"/>
            </w:pPr>
            <w:r w:rsidRPr="00E07C9A">
              <w:rPr>
                <w:rStyle w:val="InstructionsTabelleberschrift"/>
                <w:rFonts w:ascii="Times New Roman" w:hAnsi="Times New Roman"/>
                <w:sz w:val="24"/>
              </w:rPr>
              <w:t>25.</w:t>
            </w:r>
            <w:r w:rsidRPr="00E07C9A">
              <w:tab/>
            </w:r>
            <w:r w:rsidRPr="00E07C9A">
              <w:rPr>
                <w:rStyle w:val="InstructionsTabelleberschrift"/>
                <w:rFonts w:ascii="Times New Roman" w:hAnsi="Times New Roman"/>
                <w:sz w:val="24"/>
              </w:rPr>
              <w:t>Podiely na kapitálových nástrojoch T2 subjektov finančného sektora,</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ktorých inštitúcia nemá významnú investíciu, pri ktorých sa dočasne upúšťa od ustanovení</w:t>
            </w:r>
            <w:r w:rsidR="009912F8" w:rsidRPr="00E07C9A">
              <w:rPr>
                <w:rStyle w:val="InstructionsTabelleberschrift"/>
                <w:rFonts w:ascii="Times New Roman" w:hAnsi="Times New Roman"/>
                <w:sz w:val="24"/>
              </w:rPr>
              <w:t xml:space="preserve"> o </w:t>
            </w:r>
            <w:r w:rsidRPr="00E07C9A">
              <w:rPr>
                <w:rStyle w:val="InstructionsTabelleberschrift"/>
                <w:rFonts w:ascii="Times New Roman" w:hAnsi="Times New Roman"/>
                <w:sz w:val="24"/>
              </w:rPr>
              <w:t>odpočítaní</w:t>
            </w:r>
          </w:p>
          <w:p w14:paraId="18A36D10" w14:textId="35F1591A" w:rsidR="00674BF5" w:rsidRPr="00E07C9A" w:rsidRDefault="00674BF5" w:rsidP="00487A02">
            <w:pPr>
              <w:pStyle w:val="InstructionsText"/>
            </w:pPr>
            <w:r w:rsidRPr="00E07C9A">
              <w:t xml:space="preserve">Článok 79 nariadenia (EÚ) </w:t>
            </w:r>
            <w:r w:rsidR="009912F8" w:rsidRPr="00E07C9A">
              <w:t>č. 575/2013</w:t>
            </w:r>
          </w:p>
          <w:p w14:paraId="509BBCB4" w14:textId="7BB6EEE3" w:rsidR="00674BF5" w:rsidRPr="00E07C9A" w:rsidRDefault="00674BF5" w:rsidP="00487A02">
            <w:pPr>
              <w:pStyle w:val="InstructionsText"/>
            </w:pPr>
            <w:r w:rsidRPr="00E07C9A">
              <w:t>Príslušný orgán môže upustiť od uplatňovania ustanovení</w:t>
            </w:r>
            <w:r w:rsidR="009912F8" w:rsidRPr="00E07C9A">
              <w:t xml:space="preserve"> o </w:t>
            </w:r>
            <w:r w:rsidRPr="00E07C9A">
              <w:t>odpočítaní od T2</w:t>
            </w:r>
            <w:r w:rsidR="009912F8" w:rsidRPr="00E07C9A">
              <w:t xml:space="preserve"> z </w:t>
            </w:r>
            <w:r w:rsidRPr="00E07C9A">
              <w:t>dôvodu podielov na nástrojoch špecifického subjektu finančného sektora, keď považuje tieto podiely za podiely určené na účely operácie finančnej pomoci na reorganizáciu</w:t>
            </w:r>
            <w:r w:rsidR="009912F8" w:rsidRPr="00E07C9A">
              <w:t xml:space="preserve"> a </w:t>
            </w:r>
            <w:r w:rsidRPr="00E07C9A">
              <w:t>záchranu tohto subjektu.</w:t>
            </w:r>
          </w:p>
          <w:p w14:paraId="01A32095" w14:textId="09D45F27" w:rsidR="00674BF5" w:rsidRPr="00E07C9A" w:rsidRDefault="00674BF5" w:rsidP="00487A02">
            <w:pPr>
              <w:pStyle w:val="InstructionsText"/>
            </w:pPr>
            <w:r w:rsidRPr="00E07C9A">
              <w:t>Treba poznamenať, že tieto nástroje sa musia vykazovať aj</w:t>
            </w:r>
            <w:r w:rsidR="009912F8" w:rsidRPr="00E07C9A">
              <w:t xml:space="preserve"> v </w:t>
            </w:r>
            <w:r w:rsidRPr="00E07C9A">
              <w:t>položke 14.1.</w:t>
            </w:r>
          </w:p>
        </w:tc>
      </w:tr>
      <w:tr w:rsidR="00674BF5" w:rsidRPr="00E07C9A" w14:paraId="20AFD252" w14:textId="77777777" w:rsidTr="00674BF5">
        <w:tc>
          <w:tcPr>
            <w:tcW w:w="1474" w:type="dxa"/>
          </w:tcPr>
          <w:p w14:paraId="41EF133B" w14:textId="77777777" w:rsidR="00674BF5" w:rsidRPr="00E07C9A" w:rsidRDefault="00754ADC" w:rsidP="00487A02">
            <w:pPr>
              <w:pStyle w:val="InstructionsText"/>
            </w:pPr>
            <w:r w:rsidRPr="00E07C9A">
              <w:t>0730</w:t>
            </w:r>
          </w:p>
        </w:tc>
        <w:tc>
          <w:tcPr>
            <w:tcW w:w="7049" w:type="dxa"/>
          </w:tcPr>
          <w:p w14:paraId="0BC19EDF" w14:textId="1670E113" w:rsidR="00674BF5" w:rsidRPr="00E07C9A" w:rsidRDefault="00674BF5" w:rsidP="00487A02">
            <w:pPr>
              <w:pStyle w:val="InstructionsText"/>
            </w:pPr>
            <w:r w:rsidRPr="00E07C9A">
              <w:rPr>
                <w:rStyle w:val="InstructionsTabelleberschrift"/>
                <w:rFonts w:ascii="Times New Roman" w:hAnsi="Times New Roman"/>
                <w:sz w:val="24"/>
              </w:rPr>
              <w:t>26.</w:t>
            </w:r>
            <w:r w:rsidRPr="00E07C9A">
              <w:tab/>
            </w:r>
            <w:r w:rsidRPr="00E07C9A">
              <w:rPr>
                <w:rStyle w:val="InstructionsTabelleberschrift"/>
                <w:rFonts w:ascii="Times New Roman" w:hAnsi="Times New Roman"/>
                <w:sz w:val="24"/>
              </w:rPr>
              <w:t>Podiely na kapitálových nástrojoch T2 subjektov finančného sektora,</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ktorých inštitúcia má významnú investíciu, pri ktorých sa dočasne upúšťa od ustanovení</w:t>
            </w:r>
            <w:r w:rsidR="009912F8" w:rsidRPr="00E07C9A">
              <w:rPr>
                <w:rStyle w:val="InstructionsTabelleberschrift"/>
                <w:rFonts w:ascii="Times New Roman" w:hAnsi="Times New Roman"/>
                <w:sz w:val="24"/>
              </w:rPr>
              <w:t xml:space="preserve"> o </w:t>
            </w:r>
            <w:r w:rsidRPr="00E07C9A">
              <w:rPr>
                <w:rStyle w:val="InstructionsTabelleberschrift"/>
                <w:rFonts w:ascii="Times New Roman" w:hAnsi="Times New Roman"/>
                <w:sz w:val="24"/>
              </w:rPr>
              <w:t>odpočítaní</w:t>
            </w:r>
          </w:p>
          <w:p w14:paraId="1DF87BB9" w14:textId="5B67D573" w:rsidR="00674BF5" w:rsidRPr="00E07C9A" w:rsidRDefault="00674BF5" w:rsidP="00487A02">
            <w:pPr>
              <w:pStyle w:val="InstructionsText"/>
            </w:pPr>
            <w:r w:rsidRPr="00E07C9A">
              <w:t xml:space="preserve">Článok 79 nariadenia (EÚ) </w:t>
            </w:r>
            <w:r w:rsidR="009912F8" w:rsidRPr="00E07C9A">
              <w:t>č. 575/2013</w:t>
            </w:r>
          </w:p>
          <w:p w14:paraId="60AF3036" w14:textId="395D561B" w:rsidR="00674BF5" w:rsidRPr="00E07C9A" w:rsidRDefault="00674BF5" w:rsidP="00487A02">
            <w:pPr>
              <w:pStyle w:val="InstructionsText"/>
            </w:pPr>
            <w:r w:rsidRPr="00E07C9A">
              <w:t>Príslušný orgán môže upustiť od uplatňovania ustanovení</w:t>
            </w:r>
            <w:r w:rsidR="009912F8" w:rsidRPr="00E07C9A">
              <w:t xml:space="preserve"> o </w:t>
            </w:r>
            <w:r w:rsidRPr="00E07C9A">
              <w:t>odpočítaní od T2</w:t>
            </w:r>
            <w:r w:rsidR="009912F8" w:rsidRPr="00E07C9A">
              <w:t xml:space="preserve"> z </w:t>
            </w:r>
            <w:r w:rsidRPr="00E07C9A">
              <w:t>dôvodu podielov na nástrojoch špecifického subjektu finančného sektora, keď považuje tieto podiely za podiely určené na účely operácie finančnej pomoci na reorganizáciu</w:t>
            </w:r>
            <w:r w:rsidR="009912F8" w:rsidRPr="00E07C9A">
              <w:t xml:space="preserve"> a </w:t>
            </w:r>
            <w:r w:rsidRPr="00E07C9A">
              <w:t>záchranu tohto subjektu.</w:t>
            </w:r>
          </w:p>
          <w:p w14:paraId="3BD976D0" w14:textId="1125FCE9" w:rsidR="00674BF5" w:rsidRPr="00E07C9A" w:rsidRDefault="00674BF5" w:rsidP="00487A02">
            <w:pPr>
              <w:pStyle w:val="InstructionsText"/>
            </w:pPr>
            <w:r w:rsidRPr="00E07C9A">
              <w:t>Treba poznamenať, že tieto nástroje sa musia vykazovať aj</w:t>
            </w:r>
            <w:r w:rsidR="009912F8" w:rsidRPr="00E07C9A">
              <w:t xml:space="preserve"> v </w:t>
            </w:r>
            <w:r w:rsidRPr="00E07C9A">
              <w:t>položke 17.1.</w:t>
            </w:r>
          </w:p>
        </w:tc>
      </w:tr>
      <w:tr w:rsidR="00674BF5" w:rsidRPr="00E07C9A" w14:paraId="758B96A7"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4245594" w14:textId="77777777" w:rsidR="00674BF5" w:rsidRPr="00E07C9A" w:rsidRDefault="00754ADC" w:rsidP="00487A02">
            <w:pPr>
              <w:pStyle w:val="InstructionsText"/>
            </w:pPr>
            <w:r w:rsidRPr="00E07C9A">
              <w:t>0740</w:t>
            </w:r>
          </w:p>
        </w:tc>
        <w:tc>
          <w:tcPr>
            <w:tcW w:w="7049" w:type="dxa"/>
            <w:tcBorders>
              <w:top w:val="single" w:sz="4" w:space="0" w:color="auto"/>
              <w:left w:val="single" w:sz="4" w:space="0" w:color="auto"/>
              <w:bottom w:val="single" w:sz="4" w:space="0" w:color="auto"/>
              <w:right w:val="single" w:sz="4" w:space="0" w:color="auto"/>
            </w:tcBorders>
          </w:tcPr>
          <w:p w14:paraId="50F3D4AC" w14:textId="77777777" w:rsidR="00674BF5" w:rsidRPr="00E07C9A" w:rsidRDefault="00674BF5" w:rsidP="00487A02">
            <w:pPr>
              <w:pStyle w:val="InstructionsText"/>
            </w:pPr>
            <w:r w:rsidRPr="00E07C9A">
              <w:rPr>
                <w:rStyle w:val="InstructionsTabelleberschrift"/>
                <w:rFonts w:ascii="Times New Roman" w:hAnsi="Times New Roman"/>
                <w:sz w:val="24"/>
              </w:rPr>
              <w:t>27.</w:t>
            </w:r>
            <w:r w:rsidRPr="00E07C9A">
              <w:tab/>
            </w:r>
            <w:r w:rsidRPr="00E07C9A">
              <w:rPr>
                <w:rStyle w:val="InstructionsTabelleberschrift"/>
                <w:rFonts w:ascii="Times New Roman" w:hAnsi="Times New Roman"/>
                <w:sz w:val="24"/>
              </w:rPr>
              <w:t>Požiadavka na kombinovaný vankúš</w:t>
            </w:r>
          </w:p>
          <w:p w14:paraId="3532B662" w14:textId="6CBE295A" w:rsidR="00674BF5" w:rsidRPr="00E07C9A" w:rsidRDefault="00674BF5" w:rsidP="00487A02">
            <w:pPr>
              <w:pStyle w:val="InstructionsText"/>
            </w:pPr>
            <w:r w:rsidRPr="00E07C9A">
              <w:t>Článok 128 bod 6 smernice 2013/36/EÚ</w:t>
            </w:r>
          </w:p>
        </w:tc>
      </w:tr>
      <w:tr w:rsidR="00674BF5" w:rsidRPr="00E07C9A" w14:paraId="6B8909FA"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71F88B2" w14:textId="77777777" w:rsidR="00674BF5" w:rsidRPr="00E07C9A" w:rsidRDefault="00754ADC" w:rsidP="00487A02">
            <w:pPr>
              <w:pStyle w:val="InstructionsText"/>
            </w:pPr>
            <w:r w:rsidRPr="00E07C9A">
              <w:t>0750</w:t>
            </w:r>
          </w:p>
        </w:tc>
        <w:tc>
          <w:tcPr>
            <w:tcW w:w="7049" w:type="dxa"/>
            <w:tcBorders>
              <w:top w:val="single" w:sz="4" w:space="0" w:color="auto"/>
              <w:left w:val="single" w:sz="4" w:space="0" w:color="auto"/>
              <w:bottom w:val="single" w:sz="4" w:space="0" w:color="auto"/>
              <w:right w:val="single" w:sz="4" w:space="0" w:color="auto"/>
            </w:tcBorders>
          </w:tcPr>
          <w:p w14:paraId="5FCBCA3C" w14:textId="77777777" w:rsidR="00674BF5" w:rsidRPr="00E07C9A" w:rsidRDefault="00674BF5" w:rsidP="00487A02">
            <w:pPr>
              <w:pStyle w:val="InstructionsText"/>
            </w:pPr>
            <w:r w:rsidRPr="00E07C9A">
              <w:rPr>
                <w:rStyle w:val="InstructionsTabelleberschrift"/>
                <w:rFonts w:ascii="Times New Roman" w:hAnsi="Times New Roman"/>
                <w:sz w:val="24"/>
              </w:rPr>
              <w:t>Vankúš na zachovanie kapitálu</w:t>
            </w:r>
          </w:p>
          <w:p w14:paraId="2F6ED9D0" w14:textId="77777777" w:rsidR="009912F8" w:rsidRPr="00E07C9A" w:rsidRDefault="00674BF5" w:rsidP="00487A02">
            <w:pPr>
              <w:pStyle w:val="InstructionsText"/>
            </w:pPr>
            <w:r w:rsidRPr="00E07C9A">
              <w:lastRenderedPageBreak/>
              <w:t>Článok 128 bod 1</w:t>
            </w:r>
            <w:r w:rsidR="009912F8" w:rsidRPr="00E07C9A">
              <w:t xml:space="preserve"> a </w:t>
            </w:r>
            <w:r w:rsidRPr="00E07C9A">
              <w:t>článok 129 smernice 2013/36/EÚ</w:t>
            </w:r>
          </w:p>
          <w:p w14:paraId="1626DA15" w14:textId="3323DBBA" w:rsidR="00674BF5" w:rsidRPr="00E07C9A" w:rsidRDefault="00674BF5" w:rsidP="00487A02">
            <w:pPr>
              <w:pStyle w:val="InstructionsText"/>
            </w:pPr>
            <w:r w:rsidRPr="00E07C9A">
              <w:t>Podľa článku 129 ods. 1 smernice 2013/36/EÚ je vankúš na zachovanie kapitálu dodatočná suma nad rámec vlastného kapitálu Tier 1. Keďže miera vankúša na zachovanie kapitálu vo výške 2,5</w:t>
            </w:r>
            <w:r w:rsidR="009912F8" w:rsidRPr="00E07C9A">
              <w:t> %</w:t>
            </w:r>
            <w:r w:rsidRPr="00E07C9A">
              <w:t xml:space="preserve"> je stabilná, vykazuje sa</w:t>
            </w:r>
            <w:r w:rsidR="009912F8" w:rsidRPr="00E07C9A">
              <w:t xml:space="preserve"> v </w:t>
            </w:r>
            <w:r w:rsidRPr="00E07C9A">
              <w:t>tomto riadku hodnota.</w:t>
            </w:r>
          </w:p>
        </w:tc>
      </w:tr>
      <w:tr w:rsidR="00674BF5" w:rsidRPr="00E07C9A" w14:paraId="5D1C9F5E"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350BE6D" w14:textId="77777777" w:rsidR="00674BF5" w:rsidRPr="00E07C9A" w:rsidRDefault="00754ADC" w:rsidP="00487A02">
            <w:pPr>
              <w:pStyle w:val="InstructionsText"/>
            </w:pPr>
            <w:r w:rsidRPr="00E07C9A">
              <w:lastRenderedPageBreak/>
              <w:t>0760</w:t>
            </w:r>
          </w:p>
        </w:tc>
        <w:tc>
          <w:tcPr>
            <w:tcW w:w="7049" w:type="dxa"/>
            <w:tcBorders>
              <w:top w:val="single" w:sz="4" w:space="0" w:color="auto"/>
              <w:left w:val="single" w:sz="4" w:space="0" w:color="auto"/>
              <w:bottom w:val="single" w:sz="4" w:space="0" w:color="auto"/>
              <w:right w:val="single" w:sz="4" w:space="0" w:color="auto"/>
            </w:tcBorders>
          </w:tcPr>
          <w:p w14:paraId="7E9F6CE1" w14:textId="77777777" w:rsidR="009912F8" w:rsidRPr="00E07C9A" w:rsidRDefault="00674BF5"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Vankúš na zachovanie</w:t>
            </w:r>
            <w:r w:rsidR="009912F8" w:rsidRPr="00E07C9A">
              <w:rPr>
                <w:rStyle w:val="InstructionsTabelleberschrift"/>
                <w:rFonts w:ascii="Times New Roman" w:hAnsi="Times New Roman"/>
                <w:sz w:val="24"/>
              </w:rPr>
              <w:t xml:space="preserve"> z </w:t>
            </w:r>
            <w:r w:rsidRPr="00E07C9A">
              <w:rPr>
                <w:rStyle w:val="InstructionsTabelleberschrift"/>
                <w:rFonts w:ascii="Times New Roman" w:hAnsi="Times New Roman"/>
                <w:sz w:val="24"/>
              </w:rPr>
              <w:t>dôvodu makroprudenciálneho alebo systémového rizika identifikovaného na úrovni členského štátu</w:t>
            </w:r>
          </w:p>
          <w:p w14:paraId="3A52B7F6" w14:textId="47C8B119" w:rsidR="00674BF5" w:rsidRPr="00E07C9A" w:rsidRDefault="00674BF5" w:rsidP="00487A02">
            <w:pPr>
              <w:pStyle w:val="InstructionsText"/>
            </w:pPr>
            <w:r w:rsidRPr="00E07C9A">
              <w:t xml:space="preserve">Článok 458 ods. 2 písm. d) bod iv) nariadenia (EÚ) </w:t>
            </w:r>
            <w:r w:rsidR="009912F8" w:rsidRPr="00E07C9A">
              <w:t>č. 575/2013</w:t>
            </w:r>
          </w:p>
          <w:p w14:paraId="12681F1A" w14:textId="7FB381A0" w:rsidR="00674BF5" w:rsidRPr="00E07C9A" w:rsidRDefault="00674BF5" w:rsidP="00487A02">
            <w:pPr>
              <w:pStyle w:val="InstructionsText"/>
            </w:pPr>
            <w:r w:rsidRPr="00E07C9A">
              <w:t>V tomto riadku sa vykazuje hodnota vankúša na zachovanie</w:t>
            </w:r>
            <w:r w:rsidR="009912F8" w:rsidRPr="00E07C9A">
              <w:t xml:space="preserve"> z </w:t>
            </w:r>
            <w:r w:rsidRPr="00E07C9A">
              <w:t xml:space="preserve">dôvodu makroprudenciálneho alebo systémového rizika identifikovaného na úrovni členského štátu, ktorý sa môže požadovať podľa článku 458 nariadenia (EÚ) </w:t>
            </w:r>
            <w:r w:rsidR="009912F8" w:rsidRPr="00E07C9A">
              <w:t>č. 575/2013</w:t>
            </w:r>
            <w:r w:rsidRPr="00E07C9A">
              <w:t xml:space="preserve"> popri vankúši na zachovanie kapitálu.</w:t>
            </w:r>
          </w:p>
          <w:p w14:paraId="3F7DEDE7" w14:textId="6914CACE" w:rsidR="00674BF5" w:rsidRPr="00E07C9A" w:rsidRDefault="00674BF5" w:rsidP="00487A02">
            <w:pPr>
              <w:pStyle w:val="InstructionsText"/>
            </w:pPr>
            <w:r w:rsidRPr="00E07C9A">
              <w:t>Vykázaná suma predstavuje výšku vlastných zdrojov potrebných na dodržanie príslušných požiadaviek na kapitálový vankúš</w:t>
            </w:r>
            <w:r w:rsidR="009912F8" w:rsidRPr="00E07C9A">
              <w:t xml:space="preserve"> k </w:t>
            </w:r>
            <w:r w:rsidRPr="00E07C9A">
              <w:t>dátumu vykazovania.</w:t>
            </w:r>
          </w:p>
        </w:tc>
      </w:tr>
      <w:tr w:rsidR="00674BF5" w:rsidRPr="00E07C9A" w14:paraId="56DD675C"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E1ABAEE" w14:textId="77777777" w:rsidR="00674BF5" w:rsidRPr="00E07C9A" w:rsidRDefault="00754ADC" w:rsidP="00487A02">
            <w:pPr>
              <w:pStyle w:val="InstructionsText"/>
            </w:pPr>
            <w:r w:rsidRPr="00E07C9A">
              <w:t>0770</w:t>
            </w:r>
          </w:p>
        </w:tc>
        <w:tc>
          <w:tcPr>
            <w:tcW w:w="7049" w:type="dxa"/>
            <w:tcBorders>
              <w:top w:val="single" w:sz="4" w:space="0" w:color="auto"/>
              <w:left w:val="single" w:sz="4" w:space="0" w:color="auto"/>
              <w:bottom w:val="single" w:sz="4" w:space="0" w:color="auto"/>
              <w:right w:val="single" w:sz="4" w:space="0" w:color="auto"/>
            </w:tcBorders>
          </w:tcPr>
          <w:p w14:paraId="1B44016C" w14:textId="77777777" w:rsidR="009912F8" w:rsidRPr="00E07C9A" w:rsidRDefault="00674BF5"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Proticyklický kapitálový vankúš špecifický pre inštitúciu</w:t>
            </w:r>
          </w:p>
          <w:p w14:paraId="1CACBFC3" w14:textId="77777777" w:rsidR="009912F8" w:rsidRPr="00E07C9A" w:rsidRDefault="00674BF5" w:rsidP="00487A02">
            <w:pPr>
              <w:pStyle w:val="InstructionsText"/>
            </w:pPr>
            <w:r w:rsidRPr="00E07C9A">
              <w:t>Článok 128 bod 2</w:t>
            </w:r>
            <w:r w:rsidR="009912F8" w:rsidRPr="00E07C9A">
              <w:t xml:space="preserve"> a </w:t>
            </w:r>
            <w:r w:rsidRPr="00E07C9A">
              <w:t>články 130, 135 až 140 smernice 2013/36/EÚ</w:t>
            </w:r>
          </w:p>
          <w:p w14:paraId="58A89809" w14:textId="1AF74F5F" w:rsidR="00674BF5" w:rsidRPr="00E07C9A" w:rsidRDefault="00674BF5" w:rsidP="00487A02">
            <w:pPr>
              <w:pStyle w:val="InstructionsText"/>
            </w:pPr>
            <w:r w:rsidRPr="00E07C9A">
              <w:t>Vykázaná suma predstavuje výšku vlastných zdrojov potrebných na dodržanie príslušných požiadaviek na kapitálový vankúš</w:t>
            </w:r>
            <w:r w:rsidR="009912F8" w:rsidRPr="00E07C9A">
              <w:t xml:space="preserve"> k </w:t>
            </w:r>
            <w:r w:rsidRPr="00E07C9A">
              <w:t>dátumu vykazovania.</w:t>
            </w:r>
          </w:p>
        </w:tc>
      </w:tr>
      <w:tr w:rsidR="00674BF5" w:rsidRPr="00E07C9A" w14:paraId="28155C6C"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6D32950" w14:textId="77777777" w:rsidR="00674BF5" w:rsidRPr="00E07C9A" w:rsidRDefault="005B76D3" w:rsidP="00487A02">
            <w:pPr>
              <w:pStyle w:val="InstructionsText"/>
            </w:pPr>
            <w:r w:rsidRPr="00E07C9A">
              <w:t>0780</w:t>
            </w:r>
          </w:p>
        </w:tc>
        <w:tc>
          <w:tcPr>
            <w:tcW w:w="7049" w:type="dxa"/>
            <w:tcBorders>
              <w:top w:val="single" w:sz="4" w:space="0" w:color="auto"/>
              <w:left w:val="single" w:sz="4" w:space="0" w:color="auto"/>
              <w:bottom w:val="single" w:sz="4" w:space="0" w:color="auto"/>
              <w:right w:val="single" w:sz="4" w:space="0" w:color="auto"/>
            </w:tcBorders>
          </w:tcPr>
          <w:p w14:paraId="43172488" w14:textId="77777777" w:rsidR="009912F8" w:rsidRPr="00E07C9A" w:rsidRDefault="00674BF5"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Vankúš na krytie systémového rizika</w:t>
            </w:r>
          </w:p>
          <w:p w14:paraId="063C37F2" w14:textId="77777777" w:rsidR="009912F8" w:rsidRPr="00E07C9A" w:rsidRDefault="00674BF5" w:rsidP="00487A02">
            <w:pPr>
              <w:pStyle w:val="InstructionsText"/>
            </w:pPr>
            <w:r w:rsidRPr="00E07C9A">
              <w:t>Článok 128 bod 5, články 133</w:t>
            </w:r>
            <w:r w:rsidR="009912F8" w:rsidRPr="00E07C9A">
              <w:t xml:space="preserve"> a </w:t>
            </w:r>
            <w:r w:rsidRPr="00E07C9A">
              <w:t>134 smernice 2013/36/EÚ</w:t>
            </w:r>
          </w:p>
          <w:p w14:paraId="6746F441" w14:textId="69E16067" w:rsidR="00674BF5" w:rsidRPr="00E07C9A" w:rsidRDefault="00674BF5" w:rsidP="00487A02">
            <w:pPr>
              <w:pStyle w:val="InstructionsText"/>
            </w:pPr>
            <w:r w:rsidRPr="00E07C9A">
              <w:t>Vykázaná suma predstavuje výšku vlastných zdrojov potrebných na dodržanie príslušných požiadaviek na kapitálový vankúš</w:t>
            </w:r>
            <w:r w:rsidR="009912F8" w:rsidRPr="00E07C9A">
              <w:t xml:space="preserve"> k </w:t>
            </w:r>
            <w:r w:rsidRPr="00E07C9A">
              <w:t>dátumu vykazovania.</w:t>
            </w:r>
          </w:p>
        </w:tc>
      </w:tr>
      <w:tr w:rsidR="00674BF5" w:rsidRPr="00E07C9A" w14:paraId="5D482E3A"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568769E8" w14:textId="77777777" w:rsidR="00674BF5" w:rsidRPr="00E07C9A" w:rsidRDefault="005B76D3" w:rsidP="00487A02">
            <w:pPr>
              <w:pStyle w:val="InstructionsText"/>
            </w:pPr>
            <w:r w:rsidRPr="00E07C9A">
              <w:t>0800</w:t>
            </w:r>
          </w:p>
        </w:tc>
        <w:tc>
          <w:tcPr>
            <w:tcW w:w="7049" w:type="dxa"/>
            <w:tcBorders>
              <w:top w:val="single" w:sz="4" w:space="0" w:color="auto"/>
              <w:left w:val="single" w:sz="4" w:space="0" w:color="auto"/>
              <w:bottom w:val="single" w:sz="4" w:space="0" w:color="auto"/>
              <w:right w:val="single" w:sz="4" w:space="0" w:color="auto"/>
            </w:tcBorders>
          </w:tcPr>
          <w:p w14:paraId="23F6DED9" w14:textId="77777777" w:rsidR="00674BF5" w:rsidRPr="00E07C9A" w:rsidRDefault="00674BF5"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Vankúš pre globálne systémovo významné inštitúcie</w:t>
            </w:r>
          </w:p>
          <w:p w14:paraId="50CFDE15" w14:textId="04FC04A4" w:rsidR="00674BF5" w:rsidRPr="00E07C9A" w:rsidRDefault="00674BF5" w:rsidP="00487A02">
            <w:pPr>
              <w:pStyle w:val="InstructionsText"/>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Článok 128 bod 3</w:t>
            </w:r>
            <w:r w:rsidR="009912F8" w:rsidRPr="00E07C9A">
              <w:rPr>
                <w:rStyle w:val="InstructionsTabelleberschrift"/>
                <w:rFonts w:ascii="Times New Roman" w:hAnsi="Times New Roman"/>
                <w:b w:val="0"/>
                <w:sz w:val="24"/>
                <w:u w:val="none"/>
              </w:rPr>
              <w:t xml:space="preserve"> a </w:t>
            </w:r>
            <w:r w:rsidRPr="00E07C9A">
              <w:rPr>
                <w:rStyle w:val="InstructionsTabelleberschrift"/>
                <w:rFonts w:ascii="Times New Roman" w:hAnsi="Times New Roman"/>
                <w:b w:val="0"/>
                <w:sz w:val="24"/>
                <w:u w:val="none"/>
              </w:rPr>
              <w:t>článok 131</w:t>
            </w:r>
            <w:r w:rsidRPr="00E07C9A">
              <w:t xml:space="preserve"> smernice 2013/36/EÚ</w:t>
            </w:r>
          </w:p>
          <w:p w14:paraId="5187AEC2" w14:textId="608709E8" w:rsidR="00674BF5" w:rsidRPr="00E07C9A" w:rsidRDefault="00674BF5" w:rsidP="00487A02">
            <w:pPr>
              <w:pStyle w:val="InstructionsText"/>
              <w:rPr>
                <w:rStyle w:val="InstructionsTabelleberschrift"/>
                <w:rFonts w:ascii="Times New Roman" w:hAnsi="Times New Roman"/>
                <w:b w:val="0"/>
                <w:bCs w:val="0"/>
                <w:sz w:val="24"/>
                <w:u w:val="none"/>
              </w:rPr>
            </w:pPr>
            <w:r w:rsidRPr="00E07C9A">
              <w:t>Vykázaná suma predstavuje výšku vlastných zdrojov potrebných na dodržanie príslušných požiadaviek na kapitálový vankúš</w:t>
            </w:r>
            <w:r w:rsidR="009912F8" w:rsidRPr="00E07C9A">
              <w:t xml:space="preserve"> k </w:t>
            </w:r>
            <w:r w:rsidRPr="00E07C9A">
              <w:t>dátumu vykazovania.</w:t>
            </w:r>
          </w:p>
        </w:tc>
      </w:tr>
      <w:tr w:rsidR="00674BF5" w:rsidRPr="00E07C9A" w14:paraId="0DE8DB20"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5225A89" w14:textId="77777777" w:rsidR="00674BF5" w:rsidRPr="00E07C9A" w:rsidRDefault="005B76D3" w:rsidP="00487A02">
            <w:pPr>
              <w:pStyle w:val="InstructionsText"/>
            </w:pPr>
            <w:r w:rsidRPr="00E07C9A">
              <w:t>0810</w:t>
            </w:r>
          </w:p>
        </w:tc>
        <w:tc>
          <w:tcPr>
            <w:tcW w:w="7049" w:type="dxa"/>
            <w:tcBorders>
              <w:top w:val="single" w:sz="4" w:space="0" w:color="auto"/>
              <w:left w:val="single" w:sz="4" w:space="0" w:color="auto"/>
              <w:bottom w:val="single" w:sz="4" w:space="0" w:color="auto"/>
              <w:right w:val="single" w:sz="4" w:space="0" w:color="auto"/>
            </w:tcBorders>
          </w:tcPr>
          <w:p w14:paraId="25ADBE44" w14:textId="77777777" w:rsidR="009912F8" w:rsidRPr="00E07C9A" w:rsidRDefault="00674BF5"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Vankúš pre inak systémovo významné inštitúcie</w:t>
            </w:r>
          </w:p>
          <w:p w14:paraId="248DFF6D" w14:textId="4F3B014D" w:rsidR="00674BF5" w:rsidRPr="00E07C9A" w:rsidRDefault="00674BF5" w:rsidP="00487A02">
            <w:pPr>
              <w:pStyle w:val="InstructionsText"/>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Článok 128 bod 4</w:t>
            </w:r>
            <w:r w:rsidR="009912F8" w:rsidRPr="00E07C9A">
              <w:rPr>
                <w:rStyle w:val="InstructionsTabelleberschrift"/>
                <w:rFonts w:ascii="Times New Roman" w:hAnsi="Times New Roman"/>
                <w:b w:val="0"/>
                <w:sz w:val="24"/>
                <w:u w:val="none"/>
              </w:rPr>
              <w:t xml:space="preserve"> a </w:t>
            </w:r>
            <w:r w:rsidRPr="00E07C9A">
              <w:rPr>
                <w:rStyle w:val="InstructionsTabelleberschrift"/>
                <w:rFonts w:ascii="Times New Roman" w:hAnsi="Times New Roman"/>
                <w:b w:val="0"/>
                <w:sz w:val="24"/>
                <w:u w:val="none"/>
              </w:rPr>
              <w:t>článok 131</w:t>
            </w:r>
            <w:r w:rsidRPr="00E07C9A">
              <w:t xml:space="preserve"> smernice 2013/36/EÚ</w:t>
            </w:r>
          </w:p>
          <w:p w14:paraId="768CAD7F" w14:textId="42121030" w:rsidR="00674BF5" w:rsidRPr="00E07C9A" w:rsidRDefault="00674BF5" w:rsidP="00487A02">
            <w:pPr>
              <w:pStyle w:val="InstructionsText"/>
              <w:rPr>
                <w:rStyle w:val="InstructionsTabelleberschrift"/>
                <w:rFonts w:ascii="Times New Roman" w:hAnsi="Times New Roman"/>
                <w:b w:val="0"/>
                <w:bCs w:val="0"/>
                <w:sz w:val="24"/>
                <w:u w:val="none"/>
              </w:rPr>
            </w:pPr>
            <w:r w:rsidRPr="00E07C9A">
              <w:t>Vykázaná suma predstavuje výšku vlastných zdrojov potrebných na dodržanie príslušných požiadaviek na kapitálový vankúš</w:t>
            </w:r>
            <w:r w:rsidR="009912F8" w:rsidRPr="00E07C9A">
              <w:t xml:space="preserve"> k </w:t>
            </w:r>
            <w:r w:rsidRPr="00E07C9A">
              <w:t>dátumu vykazovania.</w:t>
            </w:r>
          </w:p>
        </w:tc>
      </w:tr>
      <w:tr w:rsidR="00674BF5" w:rsidRPr="00E07C9A" w14:paraId="0A6AC551"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92B0303" w14:textId="77777777" w:rsidR="00674BF5" w:rsidRPr="00E07C9A" w:rsidRDefault="005B76D3" w:rsidP="00487A02">
            <w:pPr>
              <w:pStyle w:val="InstructionsText"/>
            </w:pPr>
            <w:r w:rsidRPr="00E07C9A">
              <w:t>0820</w:t>
            </w:r>
          </w:p>
        </w:tc>
        <w:tc>
          <w:tcPr>
            <w:tcW w:w="7049" w:type="dxa"/>
            <w:tcBorders>
              <w:top w:val="single" w:sz="4" w:space="0" w:color="auto"/>
              <w:left w:val="single" w:sz="4" w:space="0" w:color="auto"/>
              <w:bottom w:val="single" w:sz="4" w:space="0" w:color="auto"/>
              <w:right w:val="single" w:sz="4" w:space="0" w:color="auto"/>
            </w:tcBorders>
          </w:tcPr>
          <w:p w14:paraId="421F6042" w14:textId="7115EC31" w:rsidR="00674BF5" w:rsidRPr="00E07C9A" w:rsidRDefault="00674BF5"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28.</w:t>
            </w:r>
            <w:r w:rsidRPr="00E07C9A">
              <w:tab/>
            </w:r>
            <w:r w:rsidRPr="00E07C9A">
              <w:rPr>
                <w:rStyle w:val="InstructionsTabelleberschrift"/>
                <w:rFonts w:ascii="Times New Roman" w:hAnsi="Times New Roman"/>
                <w:sz w:val="24"/>
              </w:rPr>
              <w:t>Požiadavky na vlastné zdroje súvisiace</w:t>
            </w:r>
            <w:r w:rsidR="009912F8" w:rsidRPr="00E07C9A">
              <w:rPr>
                <w:rStyle w:val="InstructionsTabelleberschrift"/>
                <w:rFonts w:ascii="Times New Roman" w:hAnsi="Times New Roman"/>
                <w:sz w:val="24"/>
              </w:rPr>
              <w:t xml:space="preserve"> s </w:t>
            </w:r>
            <w:r w:rsidRPr="00E07C9A">
              <w:rPr>
                <w:rStyle w:val="InstructionsTabelleberschrift"/>
                <w:rFonts w:ascii="Times New Roman" w:hAnsi="Times New Roman"/>
                <w:sz w:val="24"/>
              </w:rPr>
              <w:t>úpravami piliera II</w:t>
            </w:r>
          </w:p>
          <w:p w14:paraId="78706FE7" w14:textId="77777777" w:rsidR="009912F8" w:rsidRPr="00E07C9A" w:rsidRDefault="00674BF5" w:rsidP="00487A02">
            <w:pPr>
              <w:pStyle w:val="InstructionsText"/>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Článok 104a ods. 1</w:t>
            </w:r>
            <w:r w:rsidRPr="00E07C9A">
              <w:t xml:space="preserve"> smernice 2013/36/EÚ</w:t>
            </w:r>
          </w:p>
          <w:p w14:paraId="0658741A" w14:textId="156901A2" w:rsidR="00674BF5" w:rsidRPr="00E07C9A" w:rsidRDefault="00674BF5" w:rsidP="00487A02">
            <w:pPr>
              <w:pStyle w:val="InstructionsText"/>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Ak príslušný orgán rozhodne, že inštitúcia musí vypočítavať požiadavky na dodatočné vlastné zdroje na základe piliera II, tieto požiadavky na dodatočné vlastné zdroje sa vykazujú</w:t>
            </w:r>
            <w:r w:rsidR="009912F8" w:rsidRPr="00E07C9A">
              <w:rPr>
                <w:rStyle w:val="InstructionsTabelleberschrift"/>
                <w:rFonts w:ascii="Times New Roman" w:hAnsi="Times New Roman"/>
                <w:b w:val="0"/>
                <w:sz w:val="24"/>
                <w:u w:val="none"/>
              </w:rPr>
              <w:t xml:space="preserve"> v </w:t>
            </w:r>
            <w:r w:rsidRPr="00E07C9A">
              <w:rPr>
                <w:rStyle w:val="InstructionsTabelleberschrift"/>
                <w:rFonts w:ascii="Times New Roman" w:hAnsi="Times New Roman"/>
                <w:b w:val="0"/>
                <w:sz w:val="24"/>
                <w:u w:val="none"/>
              </w:rPr>
              <w:t xml:space="preserve">tomto riadku. </w:t>
            </w:r>
          </w:p>
        </w:tc>
      </w:tr>
      <w:tr w:rsidR="00674BF5" w:rsidRPr="00E07C9A" w14:paraId="2D59B8B3"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D206CEC" w14:textId="77777777" w:rsidR="00674BF5" w:rsidRPr="00E07C9A" w:rsidRDefault="005B76D3" w:rsidP="00487A02">
            <w:pPr>
              <w:pStyle w:val="InstructionsText"/>
            </w:pPr>
            <w:r w:rsidRPr="00E07C9A">
              <w:lastRenderedPageBreak/>
              <w:t>0830</w:t>
            </w:r>
          </w:p>
        </w:tc>
        <w:tc>
          <w:tcPr>
            <w:tcW w:w="7049" w:type="dxa"/>
            <w:tcBorders>
              <w:top w:val="single" w:sz="4" w:space="0" w:color="auto"/>
              <w:left w:val="single" w:sz="4" w:space="0" w:color="auto"/>
              <w:bottom w:val="single" w:sz="4" w:space="0" w:color="auto"/>
              <w:right w:val="single" w:sz="4" w:space="0" w:color="auto"/>
            </w:tcBorders>
          </w:tcPr>
          <w:p w14:paraId="1FFF71ED" w14:textId="77777777" w:rsidR="00674BF5" w:rsidRPr="00E07C9A" w:rsidRDefault="00674BF5"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29.</w:t>
            </w:r>
            <w:r w:rsidRPr="00E07C9A">
              <w:tab/>
            </w:r>
            <w:r w:rsidRPr="00E07C9A">
              <w:rPr>
                <w:rStyle w:val="InstructionsTabelleberschrift"/>
                <w:rFonts w:ascii="Times New Roman" w:hAnsi="Times New Roman"/>
                <w:sz w:val="24"/>
              </w:rPr>
              <w:t>Počiatočný kapitál</w:t>
            </w:r>
          </w:p>
          <w:p w14:paraId="25C262EC" w14:textId="7A7EA98A" w:rsidR="00674BF5" w:rsidRPr="00E07C9A" w:rsidRDefault="00674BF5" w:rsidP="00487A02">
            <w:pPr>
              <w:pStyle w:val="InstructionsText"/>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Články 12</w:t>
            </w:r>
            <w:r w:rsidR="009912F8" w:rsidRPr="00E07C9A">
              <w:rPr>
                <w:rStyle w:val="InstructionsTabelleberschrift"/>
                <w:rFonts w:ascii="Times New Roman" w:hAnsi="Times New Roman"/>
                <w:b w:val="0"/>
                <w:sz w:val="24"/>
                <w:u w:val="none"/>
              </w:rPr>
              <w:t xml:space="preserve"> a </w:t>
            </w:r>
            <w:r w:rsidRPr="00E07C9A">
              <w:rPr>
                <w:rStyle w:val="InstructionsTabelleberschrift"/>
                <w:rFonts w:ascii="Times New Roman" w:hAnsi="Times New Roman"/>
                <w:b w:val="0"/>
                <w:sz w:val="24"/>
                <w:u w:val="none"/>
              </w:rPr>
              <w:t xml:space="preserve">28 až 31 </w:t>
            </w:r>
            <w:r w:rsidRPr="00E07C9A">
              <w:t>smernice 2013/36/EÚ</w:t>
            </w:r>
            <w:r w:rsidR="009912F8" w:rsidRPr="00E07C9A">
              <w:t xml:space="preserve"> a </w:t>
            </w:r>
            <w:r w:rsidRPr="00E07C9A">
              <w:rPr>
                <w:rStyle w:val="InstructionsTabelleberschrift"/>
                <w:rFonts w:ascii="Times New Roman" w:hAnsi="Times New Roman"/>
                <w:b w:val="0"/>
                <w:sz w:val="24"/>
                <w:u w:val="none"/>
              </w:rPr>
              <w:t>článok 93</w:t>
            </w:r>
            <w:r w:rsidRPr="00E07C9A">
              <w:t xml:space="preserve"> nariadenia (EÚ) </w:t>
            </w:r>
            <w:r w:rsidR="009912F8" w:rsidRPr="00E07C9A">
              <w:t>č. 575/2013</w:t>
            </w:r>
          </w:p>
        </w:tc>
      </w:tr>
      <w:tr w:rsidR="00674BF5" w:rsidRPr="00E07C9A" w14:paraId="75433E33"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660F7102" w14:textId="77777777" w:rsidR="00674BF5" w:rsidRPr="00E07C9A" w:rsidRDefault="005B76D3" w:rsidP="00487A02">
            <w:pPr>
              <w:pStyle w:val="InstructionsText"/>
            </w:pPr>
            <w:r w:rsidRPr="00E07C9A">
              <w:t>0840</w:t>
            </w:r>
          </w:p>
        </w:tc>
        <w:tc>
          <w:tcPr>
            <w:tcW w:w="7049" w:type="dxa"/>
            <w:tcBorders>
              <w:top w:val="single" w:sz="4" w:space="0" w:color="auto"/>
              <w:left w:val="single" w:sz="4" w:space="0" w:color="auto"/>
              <w:bottom w:val="single" w:sz="4" w:space="0" w:color="auto"/>
              <w:right w:val="single" w:sz="4" w:space="0" w:color="auto"/>
            </w:tcBorders>
          </w:tcPr>
          <w:p w14:paraId="796F4C97" w14:textId="77777777" w:rsidR="00674BF5" w:rsidRPr="00E07C9A" w:rsidRDefault="00674BF5"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30.</w:t>
            </w:r>
            <w:r w:rsidRPr="00E07C9A">
              <w:tab/>
            </w:r>
            <w:r w:rsidRPr="00E07C9A">
              <w:rPr>
                <w:rStyle w:val="InstructionsTabelleberschrift"/>
                <w:rFonts w:ascii="Times New Roman" w:hAnsi="Times New Roman"/>
                <w:sz w:val="24"/>
              </w:rPr>
              <w:t>Vlastné zdroje založené na fixných režijných nákladoch</w:t>
            </w:r>
          </w:p>
          <w:p w14:paraId="5047BBAB" w14:textId="3D30BE43" w:rsidR="00674BF5" w:rsidRPr="00E07C9A" w:rsidRDefault="00674BF5" w:rsidP="002E796C">
            <w:pPr>
              <w:pStyle w:val="InstructionsText"/>
            </w:pPr>
            <w:r w:rsidRPr="00E07C9A">
              <w:t xml:space="preserve">Článok 95 </w:t>
            </w:r>
            <w:r w:rsidRPr="00E07C9A">
              <w:rPr>
                <w:rStyle w:val="InstructionsTabelleberschrift"/>
                <w:rFonts w:ascii="Times New Roman" w:hAnsi="Times New Roman"/>
                <w:b w:val="0"/>
                <w:sz w:val="24"/>
                <w:u w:val="none"/>
              </w:rPr>
              <w:t>ods. 2 písm. b)</w:t>
            </w:r>
            <w:r w:rsidRPr="00E07C9A">
              <w:t>, článok 96 ods. 2 písm. b), článok 97</w:t>
            </w:r>
            <w:r w:rsidR="009912F8" w:rsidRPr="00E07C9A">
              <w:t xml:space="preserve"> a </w:t>
            </w:r>
            <w:r w:rsidRPr="00E07C9A">
              <w:t xml:space="preserve">článok 98 ods. 1 písm. a) nariadenia (EÚ) </w:t>
            </w:r>
            <w:r w:rsidR="009912F8" w:rsidRPr="00E07C9A">
              <w:t>č. 575/2013</w:t>
            </w:r>
          </w:p>
          <w:p w14:paraId="3DDA2827" w14:textId="794DD393" w:rsidR="00232921" w:rsidRPr="00E07C9A" w:rsidRDefault="00232921" w:rsidP="002E796C">
            <w:pPr>
              <w:pStyle w:val="InstructionsText"/>
              <w:rPr>
                <w:rStyle w:val="InstructionsTabelleberschrift"/>
                <w:rFonts w:ascii="Times New Roman" w:hAnsi="Times New Roman"/>
                <w:b w:val="0"/>
                <w:sz w:val="24"/>
                <w:u w:val="none"/>
              </w:rPr>
            </w:pPr>
            <w:r w:rsidRPr="00E07C9A">
              <w:t>Vykazovanou hodnotou je požiadavka na vlastné zdroje vyplývajúca</w:t>
            </w:r>
            <w:r w:rsidR="009912F8" w:rsidRPr="00E07C9A">
              <w:t xml:space="preserve"> z </w:t>
            </w:r>
            <w:r w:rsidRPr="00E07C9A">
              <w:t>uplatňovania vyššie uvedených článkov.</w:t>
            </w:r>
          </w:p>
        </w:tc>
      </w:tr>
      <w:tr w:rsidR="00674BF5" w:rsidRPr="00E07C9A" w14:paraId="178B23C4"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FB62928" w14:textId="77777777" w:rsidR="00674BF5" w:rsidRPr="00E07C9A" w:rsidRDefault="005B76D3" w:rsidP="00487A02">
            <w:pPr>
              <w:pStyle w:val="InstructionsText"/>
            </w:pPr>
            <w:r w:rsidRPr="00E07C9A">
              <w:t>0850</w:t>
            </w:r>
          </w:p>
        </w:tc>
        <w:tc>
          <w:tcPr>
            <w:tcW w:w="7049" w:type="dxa"/>
            <w:tcBorders>
              <w:top w:val="single" w:sz="4" w:space="0" w:color="auto"/>
              <w:left w:val="single" w:sz="4" w:space="0" w:color="auto"/>
              <w:bottom w:val="single" w:sz="4" w:space="0" w:color="auto"/>
              <w:right w:val="single" w:sz="4" w:space="0" w:color="auto"/>
            </w:tcBorders>
          </w:tcPr>
          <w:p w14:paraId="7A55BC78" w14:textId="77777777" w:rsidR="00674BF5" w:rsidRPr="00E07C9A" w:rsidRDefault="00674BF5"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31.</w:t>
            </w:r>
            <w:r w:rsidRPr="00E07C9A">
              <w:tab/>
            </w:r>
            <w:r w:rsidRPr="00E07C9A">
              <w:rPr>
                <w:rStyle w:val="InstructionsTabelleberschrift"/>
                <w:rFonts w:ascii="Times New Roman" w:hAnsi="Times New Roman"/>
                <w:sz w:val="24"/>
              </w:rPr>
              <w:t>Nedomáce pôvodné expozície</w:t>
            </w:r>
          </w:p>
          <w:p w14:paraId="2F9357D6" w14:textId="35DCE6B1" w:rsidR="009912F8" w:rsidRPr="00E07C9A" w:rsidRDefault="00674BF5" w:rsidP="00487A02">
            <w:pPr>
              <w:pStyle w:val="InstructionsText"/>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Informácie potrebné na výpočet prahovej hodnoty na vykazovanie vzoru CR GB</w:t>
            </w:r>
            <w:r w:rsidR="009912F8" w:rsidRPr="00E07C9A">
              <w:t xml:space="preserve"> v </w:t>
            </w:r>
            <w:r w:rsidRPr="00E07C9A">
              <w:t>súlade</w:t>
            </w:r>
            <w:r w:rsidR="009912F8" w:rsidRPr="00E07C9A">
              <w:t xml:space="preserve"> s </w:t>
            </w:r>
            <w:r w:rsidRPr="00E07C9A">
              <w:t xml:space="preserve">článkom 5 ods. 5 </w:t>
            </w:r>
            <w:r w:rsidRPr="00E07C9A">
              <w:rPr>
                <w:rStyle w:val="InstructionsTabelleberschrift"/>
                <w:rFonts w:ascii="Times New Roman" w:hAnsi="Times New Roman"/>
                <w:b w:val="0"/>
                <w:sz w:val="24"/>
                <w:u w:val="none"/>
              </w:rPr>
              <w:t>tohto vykonávacieho nariadenia. Prahová hodnota sa vypočíta na základe pôvodnej expozície pred uplatnením konverzného faktora</w:t>
            </w:r>
            <w:r w:rsidR="009912F8" w:rsidRPr="00E07C9A">
              <w:rPr>
                <w:rStyle w:val="InstructionsTabelleberschrift"/>
                <w:rFonts w:ascii="Times New Roman" w:hAnsi="Times New Roman"/>
                <w:b w:val="0"/>
                <w:sz w:val="24"/>
                <w:u w:val="none"/>
              </w:rPr>
              <w:t>.</w:t>
            </w:r>
          </w:p>
          <w:p w14:paraId="3D079757" w14:textId="41989B30" w:rsidR="00674BF5" w:rsidRPr="00E07C9A" w:rsidRDefault="00674BF5" w:rsidP="00487A02">
            <w:pPr>
              <w:pStyle w:val="InstructionsText"/>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Expozície sa považujú za domáce, keď ide</w:t>
            </w:r>
            <w:r w:rsidR="009912F8" w:rsidRPr="00E07C9A">
              <w:rPr>
                <w:rStyle w:val="InstructionsTabelleberschrift"/>
                <w:rFonts w:ascii="Times New Roman" w:hAnsi="Times New Roman"/>
                <w:b w:val="0"/>
                <w:sz w:val="24"/>
                <w:u w:val="none"/>
              </w:rPr>
              <w:t xml:space="preserve"> o </w:t>
            </w:r>
            <w:r w:rsidRPr="00E07C9A">
              <w:rPr>
                <w:rStyle w:val="InstructionsTabelleberschrift"/>
                <w:rFonts w:ascii="Times New Roman" w:hAnsi="Times New Roman"/>
                <w:b w:val="0"/>
                <w:sz w:val="24"/>
                <w:u w:val="none"/>
              </w:rPr>
              <w:t>expozície voči protistranám sídliacim</w:t>
            </w:r>
            <w:r w:rsidR="009912F8" w:rsidRPr="00E07C9A">
              <w:rPr>
                <w:rStyle w:val="InstructionsTabelleberschrift"/>
                <w:rFonts w:ascii="Times New Roman" w:hAnsi="Times New Roman"/>
                <w:b w:val="0"/>
                <w:sz w:val="24"/>
                <w:u w:val="none"/>
              </w:rPr>
              <w:t xml:space="preserve"> v </w:t>
            </w:r>
            <w:r w:rsidRPr="00E07C9A">
              <w:rPr>
                <w:rStyle w:val="InstructionsTabelleberschrift"/>
                <w:rFonts w:ascii="Times New Roman" w:hAnsi="Times New Roman"/>
                <w:b w:val="0"/>
                <w:sz w:val="24"/>
                <w:u w:val="none"/>
              </w:rPr>
              <w:t>členskom štáte,</w:t>
            </w:r>
            <w:r w:rsidR="009912F8" w:rsidRPr="00E07C9A">
              <w:rPr>
                <w:rStyle w:val="InstructionsTabelleberschrift"/>
                <w:rFonts w:ascii="Times New Roman" w:hAnsi="Times New Roman"/>
                <w:b w:val="0"/>
                <w:sz w:val="24"/>
                <w:u w:val="none"/>
              </w:rPr>
              <w:t xml:space="preserve"> v </w:t>
            </w:r>
            <w:r w:rsidRPr="00E07C9A">
              <w:rPr>
                <w:rStyle w:val="InstructionsTabelleberschrift"/>
                <w:rFonts w:ascii="Times New Roman" w:hAnsi="Times New Roman"/>
                <w:b w:val="0"/>
                <w:sz w:val="24"/>
                <w:u w:val="none"/>
              </w:rPr>
              <w:t>ktorom má inštitúcia sídlo.</w:t>
            </w:r>
          </w:p>
          <w:p w14:paraId="298968ED" w14:textId="568124BD" w:rsidR="00AF61D0" w:rsidRPr="00E07C9A" w:rsidRDefault="00AF61D0" w:rsidP="00AF61D0">
            <w:pPr>
              <w:pStyle w:val="InstructionsText"/>
              <w:rPr>
                <w:rStyle w:val="InstructionsTabelleberschrift"/>
                <w:rFonts w:ascii="Times New Roman" w:hAnsi="Times New Roman"/>
                <w:sz w:val="24"/>
              </w:rPr>
            </w:pPr>
            <w:r w:rsidRPr="00E07C9A">
              <w:rPr>
                <w:rStyle w:val="InstructionsTabelleberschrift"/>
                <w:rFonts w:ascii="Times New Roman" w:hAnsi="Times New Roman"/>
                <w:b w:val="0"/>
                <w:sz w:val="24"/>
                <w:u w:val="none"/>
              </w:rPr>
              <w:t>Odchylne od článku 21 ods. 1 písm. a) tohto vykonávacieho nariadenia musí byť tento riadok vždy vyplnený.</w:t>
            </w:r>
          </w:p>
        </w:tc>
      </w:tr>
      <w:tr w:rsidR="00674BF5" w:rsidRPr="00E07C9A" w14:paraId="5E94BFE7"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4FE7DD9C" w14:textId="77777777" w:rsidR="00674BF5" w:rsidRPr="00E07C9A" w:rsidRDefault="005B76D3" w:rsidP="00487A02">
            <w:pPr>
              <w:pStyle w:val="InstructionsText"/>
            </w:pPr>
            <w:r w:rsidRPr="00E07C9A">
              <w:t>0860</w:t>
            </w:r>
          </w:p>
        </w:tc>
        <w:tc>
          <w:tcPr>
            <w:tcW w:w="7049" w:type="dxa"/>
            <w:tcBorders>
              <w:top w:val="single" w:sz="4" w:space="0" w:color="auto"/>
              <w:left w:val="single" w:sz="4" w:space="0" w:color="auto"/>
              <w:bottom w:val="single" w:sz="4" w:space="0" w:color="auto"/>
              <w:right w:val="single" w:sz="4" w:space="0" w:color="auto"/>
            </w:tcBorders>
          </w:tcPr>
          <w:p w14:paraId="0D2D877C" w14:textId="77777777" w:rsidR="00674BF5" w:rsidRPr="00E07C9A" w:rsidRDefault="00674BF5"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32.</w:t>
            </w:r>
            <w:r w:rsidRPr="00E07C9A">
              <w:tab/>
            </w:r>
            <w:r w:rsidRPr="00E07C9A">
              <w:rPr>
                <w:rStyle w:val="InstructionsTabelleberschrift"/>
                <w:rFonts w:ascii="Times New Roman" w:hAnsi="Times New Roman"/>
                <w:sz w:val="24"/>
              </w:rPr>
              <w:t>Celkové pôvodné expozície</w:t>
            </w:r>
          </w:p>
          <w:p w14:paraId="26B36369" w14:textId="3B75E523" w:rsidR="00674BF5" w:rsidRPr="00E07C9A" w:rsidRDefault="00674BF5" w:rsidP="00487A02">
            <w:pPr>
              <w:pStyle w:val="InstructionsText"/>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Informácie potrebné na výpočet prahovej hodnoty na vykazovanie vzoru CR GB</w:t>
            </w:r>
            <w:r w:rsidR="009912F8" w:rsidRPr="00E07C9A">
              <w:t xml:space="preserve"> v </w:t>
            </w:r>
            <w:r w:rsidRPr="00E07C9A">
              <w:t>súlade</w:t>
            </w:r>
            <w:r w:rsidR="009912F8" w:rsidRPr="00E07C9A">
              <w:t xml:space="preserve"> s </w:t>
            </w:r>
            <w:r w:rsidRPr="00E07C9A">
              <w:t xml:space="preserve">článkom 5 ods. 5 </w:t>
            </w:r>
            <w:r w:rsidRPr="00E07C9A">
              <w:rPr>
                <w:rStyle w:val="InstructionsTabelleberschrift"/>
                <w:rFonts w:ascii="Times New Roman" w:hAnsi="Times New Roman"/>
                <w:b w:val="0"/>
                <w:sz w:val="24"/>
                <w:u w:val="none"/>
              </w:rPr>
              <w:t>tohto vykonávacieho nariadenia. Prahová hodnota sa vypočíta na základe pôvodnej expozície pred uplatnením konverzného faktora.</w:t>
            </w:r>
          </w:p>
          <w:p w14:paraId="39FAF5CA" w14:textId="5C7C610D" w:rsidR="00674BF5" w:rsidRPr="00E07C9A" w:rsidRDefault="00674BF5" w:rsidP="00487A02">
            <w:pPr>
              <w:pStyle w:val="InstructionsText"/>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Expozície sa považujú za domáce, keď ide</w:t>
            </w:r>
            <w:r w:rsidR="009912F8" w:rsidRPr="00E07C9A">
              <w:rPr>
                <w:rStyle w:val="InstructionsTabelleberschrift"/>
                <w:rFonts w:ascii="Times New Roman" w:hAnsi="Times New Roman"/>
                <w:b w:val="0"/>
                <w:sz w:val="24"/>
                <w:u w:val="none"/>
              </w:rPr>
              <w:t xml:space="preserve"> o </w:t>
            </w:r>
            <w:r w:rsidRPr="00E07C9A">
              <w:rPr>
                <w:rStyle w:val="InstructionsTabelleberschrift"/>
                <w:rFonts w:ascii="Times New Roman" w:hAnsi="Times New Roman"/>
                <w:b w:val="0"/>
                <w:sz w:val="24"/>
                <w:u w:val="none"/>
              </w:rPr>
              <w:t>expozície voči protistranám sídliacim</w:t>
            </w:r>
            <w:r w:rsidR="009912F8" w:rsidRPr="00E07C9A">
              <w:rPr>
                <w:rStyle w:val="InstructionsTabelleberschrift"/>
                <w:rFonts w:ascii="Times New Roman" w:hAnsi="Times New Roman"/>
                <w:b w:val="0"/>
                <w:sz w:val="24"/>
                <w:u w:val="none"/>
              </w:rPr>
              <w:t xml:space="preserve"> v </w:t>
            </w:r>
            <w:r w:rsidRPr="00E07C9A">
              <w:rPr>
                <w:rStyle w:val="InstructionsTabelleberschrift"/>
                <w:rFonts w:ascii="Times New Roman" w:hAnsi="Times New Roman"/>
                <w:b w:val="0"/>
                <w:sz w:val="24"/>
                <w:u w:val="none"/>
              </w:rPr>
              <w:t>členskom štáte,</w:t>
            </w:r>
            <w:r w:rsidR="009912F8" w:rsidRPr="00E07C9A">
              <w:rPr>
                <w:rStyle w:val="InstructionsTabelleberschrift"/>
                <w:rFonts w:ascii="Times New Roman" w:hAnsi="Times New Roman"/>
                <w:b w:val="0"/>
                <w:sz w:val="24"/>
                <w:u w:val="none"/>
              </w:rPr>
              <w:t xml:space="preserve"> v </w:t>
            </w:r>
            <w:r w:rsidRPr="00E07C9A">
              <w:rPr>
                <w:rStyle w:val="InstructionsTabelleberschrift"/>
                <w:rFonts w:ascii="Times New Roman" w:hAnsi="Times New Roman"/>
                <w:b w:val="0"/>
                <w:sz w:val="24"/>
                <w:u w:val="none"/>
              </w:rPr>
              <w:t>ktorom má inštitúcia sídlo.</w:t>
            </w:r>
          </w:p>
          <w:p w14:paraId="4AF971EF" w14:textId="336B5900" w:rsidR="00AF61D0" w:rsidRPr="00E07C9A" w:rsidRDefault="00AF61D0"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b w:val="0"/>
                <w:sz w:val="24"/>
                <w:u w:val="none"/>
              </w:rPr>
              <w:t>Odchylne od článku 21 ods. 1 písm. a) tohto vykonávacieho nariadenia musí byť tento riadok vždy vyplnený.</w:t>
            </w:r>
          </w:p>
        </w:tc>
      </w:tr>
    </w:tbl>
    <w:p w14:paraId="0B92F835" w14:textId="77777777" w:rsidR="002648B0" w:rsidRPr="00E07C9A" w:rsidRDefault="002648B0" w:rsidP="00487A02">
      <w:pPr>
        <w:pStyle w:val="InstructionsText"/>
      </w:pPr>
    </w:p>
    <w:p w14:paraId="2048C353" w14:textId="0B737EB3" w:rsidR="002648B0" w:rsidRPr="00E07C9A" w:rsidRDefault="00936DD1" w:rsidP="0023700C">
      <w:pPr>
        <w:pStyle w:val="Instructionsberschrift2"/>
        <w:numPr>
          <w:ilvl w:val="0"/>
          <w:numId w:val="0"/>
        </w:numPr>
        <w:ind w:left="357" w:hanging="357"/>
        <w:rPr>
          <w:rFonts w:ascii="Times New Roman" w:hAnsi="Times New Roman" w:cs="Times New Roman"/>
          <w:sz w:val="24"/>
        </w:rPr>
      </w:pPr>
      <w:bookmarkStart w:id="68" w:name="_Toc360188333"/>
      <w:bookmarkStart w:id="69" w:name="_Toc473560881"/>
      <w:bookmarkStart w:id="70" w:name="_Toc115857761"/>
      <w:bookmarkStart w:id="71" w:name="_Toc308175834"/>
      <w:r w:rsidRPr="002A18DE">
        <w:rPr>
          <w:rFonts w:ascii="Times New Roman" w:hAnsi="Times New Roman" w:cs="Times New Roman"/>
          <w:sz w:val="24"/>
          <w:u w:val="none"/>
        </w:rPr>
        <w:t>1.6.</w:t>
      </w:r>
      <w:r w:rsidRPr="002A18DE">
        <w:rPr>
          <w:rFonts w:ascii="Times New Roman" w:hAnsi="Times New Roman" w:cs="Times New Roman"/>
          <w:u w:val="none"/>
        </w:rPr>
        <w:tab/>
      </w:r>
      <w:r w:rsidRPr="00E07C9A">
        <w:rPr>
          <w:rFonts w:ascii="Times New Roman" w:hAnsi="Times New Roman" w:cs="Times New Roman"/>
          <w:sz w:val="24"/>
        </w:rPr>
        <w:t>PRECHODNÉ USTANOVENIA</w:t>
      </w:r>
      <w:r w:rsidR="009912F8" w:rsidRPr="00E07C9A">
        <w:rPr>
          <w:rFonts w:ascii="Times New Roman" w:hAnsi="Times New Roman" w:cs="Times New Roman"/>
          <w:sz w:val="24"/>
        </w:rPr>
        <w:t xml:space="preserve"> a </w:t>
      </w:r>
      <w:r w:rsidRPr="00E07C9A">
        <w:rPr>
          <w:rFonts w:ascii="Times New Roman" w:hAnsi="Times New Roman" w:cs="Times New Roman"/>
          <w:sz w:val="24"/>
        </w:rPr>
        <w:t>NÁSTROJE ZACHOVANÉ</w:t>
      </w:r>
      <w:r w:rsidR="009912F8" w:rsidRPr="00E07C9A">
        <w:rPr>
          <w:rFonts w:ascii="Times New Roman" w:hAnsi="Times New Roman" w:cs="Times New Roman"/>
          <w:sz w:val="24"/>
        </w:rPr>
        <w:t xml:space="preserve"> V </w:t>
      </w:r>
      <w:r w:rsidRPr="00E07C9A">
        <w:rPr>
          <w:rFonts w:ascii="Times New Roman" w:hAnsi="Times New Roman" w:cs="Times New Roman"/>
          <w:sz w:val="24"/>
        </w:rPr>
        <w:t>PREDCHÁDZAJÚCOM STAVE: NÁSTROJE NEPREDSTAVUJÚCE ŠTÁTNU POMOC (CA5</w:t>
      </w:r>
      <w:bookmarkEnd w:id="68"/>
      <w:r w:rsidRPr="00E07C9A">
        <w:rPr>
          <w:rFonts w:ascii="Times New Roman" w:hAnsi="Times New Roman" w:cs="Times New Roman"/>
          <w:sz w:val="24"/>
        </w:rPr>
        <w:t>)</w:t>
      </w:r>
      <w:bookmarkEnd w:id="69"/>
      <w:bookmarkEnd w:id="70"/>
    </w:p>
    <w:p w14:paraId="227A183A" w14:textId="09C102E5" w:rsidR="002648B0" w:rsidRPr="00E07C9A" w:rsidRDefault="00936DD1" w:rsidP="0023700C">
      <w:pPr>
        <w:pStyle w:val="Instructionsberschrift2"/>
        <w:numPr>
          <w:ilvl w:val="0"/>
          <w:numId w:val="0"/>
        </w:numPr>
        <w:ind w:left="357" w:hanging="357"/>
        <w:rPr>
          <w:rFonts w:ascii="Times New Roman" w:hAnsi="Times New Roman" w:cs="Times New Roman"/>
          <w:sz w:val="24"/>
        </w:rPr>
      </w:pPr>
      <w:bookmarkStart w:id="72" w:name="_Toc308175835"/>
      <w:bookmarkStart w:id="73" w:name="_Toc360188334"/>
      <w:bookmarkStart w:id="74" w:name="_Toc473560882"/>
      <w:bookmarkStart w:id="75" w:name="_Toc115857762"/>
      <w:bookmarkEnd w:id="71"/>
      <w:r w:rsidRPr="002A18DE">
        <w:rPr>
          <w:rFonts w:ascii="Times New Roman" w:hAnsi="Times New Roman" w:cs="Times New Roman"/>
          <w:sz w:val="24"/>
          <w:u w:val="none"/>
        </w:rPr>
        <w:t>1.6.1.</w:t>
      </w:r>
      <w:r w:rsidRPr="002A18DE">
        <w:rPr>
          <w:rFonts w:ascii="Times New Roman" w:hAnsi="Times New Roman" w:cs="Times New Roman"/>
          <w:u w:val="none"/>
        </w:rPr>
        <w:tab/>
      </w:r>
      <w:r w:rsidRPr="00E07C9A">
        <w:rPr>
          <w:rFonts w:ascii="Times New Roman" w:hAnsi="Times New Roman" w:cs="Times New Roman"/>
          <w:sz w:val="24"/>
        </w:rPr>
        <w:t>Všeobecné poznámky</w:t>
      </w:r>
      <w:bookmarkEnd w:id="72"/>
      <w:bookmarkEnd w:id="73"/>
      <w:bookmarkEnd w:id="74"/>
      <w:bookmarkEnd w:id="75"/>
    </w:p>
    <w:p w14:paraId="2FE1F812" w14:textId="3327D3ED" w:rsidR="009912F8" w:rsidRPr="00E07C9A" w:rsidRDefault="002A18DE" w:rsidP="00487A02">
      <w:pPr>
        <w:pStyle w:val="InstructionsText2"/>
        <w:numPr>
          <w:ilvl w:val="0"/>
          <w:numId w:val="0"/>
        </w:numPr>
        <w:ind w:left="1353" w:hanging="360"/>
      </w:pPr>
      <w:fldSimple w:instr=" seq paragraphs ">
        <w:r w:rsidR="00132AEE">
          <w:rPr>
            <w:noProof/>
          </w:rPr>
          <w:t>16</w:t>
        </w:r>
      </w:fldSimple>
      <w:r w:rsidR="00C3070C" w:rsidRPr="00E07C9A">
        <w:t>.</w:t>
      </w:r>
      <w:r w:rsidR="00C3070C" w:rsidRPr="00E07C9A">
        <w:tab/>
        <w:t>Vo vzore CA5 je zhrnutý výpočet prvkov</w:t>
      </w:r>
      <w:r w:rsidR="009912F8" w:rsidRPr="00E07C9A">
        <w:t xml:space="preserve"> a </w:t>
      </w:r>
      <w:r w:rsidR="00C3070C" w:rsidRPr="00E07C9A">
        <w:t>odpočtov vlastných zdrojov, na ktoré sa vzťahujú prechodné ustanovenia stanovené</w:t>
      </w:r>
      <w:r w:rsidR="009912F8" w:rsidRPr="00E07C9A">
        <w:t xml:space="preserve"> v </w:t>
      </w:r>
      <w:r w:rsidR="00C3070C" w:rsidRPr="00E07C9A">
        <w:t>článkoch 465 až 491</w:t>
      </w:r>
      <w:r w:rsidR="009912F8" w:rsidRPr="00E07C9A">
        <w:t xml:space="preserve"> a </w:t>
      </w:r>
      <w:r w:rsidR="00C3070C" w:rsidRPr="00E07C9A">
        <w:t>článkoch 494a</w:t>
      </w:r>
      <w:r w:rsidR="009912F8" w:rsidRPr="00E07C9A">
        <w:t xml:space="preserve"> a </w:t>
      </w:r>
      <w:r w:rsidR="00C3070C" w:rsidRPr="00E07C9A">
        <w:t xml:space="preserve">494b nariadenia (EÚ) </w:t>
      </w:r>
      <w:r w:rsidR="009912F8" w:rsidRPr="00E07C9A">
        <w:t>č. 575/2013.</w:t>
      </w:r>
    </w:p>
    <w:p w14:paraId="3F679519" w14:textId="24FB9B20" w:rsidR="00496C53" w:rsidRPr="00E07C9A" w:rsidRDefault="002A18DE" w:rsidP="00487A02">
      <w:pPr>
        <w:pStyle w:val="InstructionsText2"/>
        <w:numPr>
          <w:ilvl w:val="0"/>
          <w:numId w:val="0"/>
        </w:numPr>
        <w:ind w:left="1353" w:hanging="360"/>
      </w:pPr>
      <w:fldSimple w:instr=" seq paragraphs ">
        <w:r w:rsidR="00132AEE">
          <w:rPr>
            <w:noProof/>
          </w:rPr>
          <w:t>17</w:t>
        </w:r>
      </w:fldSimple>
      <w:r w:rsidR="00C3070C" w:rsidRPr="00E07C9A">
        <w:t>.</w:t>
      </w:r>
      <w:r w:rsidR="00C3070C" w:rsidRPr="00E07C9A">
        <w:tab/>
        <w:t>Štruktúra vzoru CA5 je takáto:</w:t>
      </w:r>
    </w:p>
    <w:p w14:paraId="03CFA8D7" w14:textId="38EEDB21" w:rsidR="002648B0" w:rsidRPr="00E07C9A" w:rsidRDefault="00125707" w:rsidP="00487A02">
      <w:pPr>
        <w:pStyle w:val="InstructionsText2"/>
        <w:numPr>
          <w:ilvl w:val="0"/>
          <w:numId w:val="0"/>
        </w:numPr>
        <w:ind w:left="1353" w:hanging="360"/>
      </w:pPr>
      <w:r w:rsidRPr="00E07C9A">
        <w:t>a)</w:t>
      </w:r>
      <w:r w:rsidRPr="00E07C9A">
        <w:tab/>
        <w:t>Vo vzore CA5.1 sú zhrnuté celkové úpravy, ktoré sa musia uplatniť na rôzne zložky vlastných zdrojov (vykazované vo vzore CA1</w:t>
      </w:r>
      <w:r w:rsidR="009912F8" w:rsidRPr="00E07C9A">
        <w:t xml:space="preserve"> v </w:t>
      </w:r>
      <w:r w:rsidRPr="00E07C9A">
        <w:t>súlade so záverečnými ustanoveniami)</w:t>
      </w:r>
      <w:r w:rsidR="009912F8" w:rsidRPr="00E07C9A">
        <w:t xml:space="preserve"> v </w:t>
      </w:r>
      <w:r w:rsidRPr="00E07C9A">
        <w:t>dôsledku uplatňovania prechodných ustanovení. Prvky tohto vzoru sa popisujú ako „úpravy“ rôznych zložiek kapitálu vo vzore CA1</w:t>
      </w:r>
      <w:r w:rsidR="009912F8" w:rsidRPr="00E07C9A">
        <w:t xml:space="preserve"> s </w:t>
      </w:r>
      <w:r w:rsidRPr="00E07C9A">
        <w:t>cieľom vyjadriť</w:t>
      </w:r>
      <w:r w:rsidR="009912F8" w:rsidRPr="00E07C9A">
        <w:t xml:space="preserve"> v </w:t>
      </w:r>
      <w:r w:rsidRPr="00E07C9A">
        <w:t>zložkách vlastných zdrojov účinky prechodných ustanovení.</w:t>
      </w:r>
    </w:p>
    <w:p w14:paraId="305DEDD2" w14:textId="01A2CF5C" w:rsidR="009912F8" w:rsidRPr="00E07C9A" w:rsidRDefault="00125707" w:rsidP="00487A02">
      <w:pPr>
        <w:pStyle w:val="InstructionsText2"/>
        <w:numPr>
          <w:ilvl w:val="0"/>
          <w:numId w:val="0"/>
        </w:numPr>
        <w:ind w:left="1353" w:hanging="360"/>
      </w:pPr>
      <w:r w:rsidRPr="00E07C9A">
        <w:lastRenderedPageBreak/>
        <w:t>b)</w:t>
      </w:r>
      <w:r w:rsidRPr="00E07C9A">
        <w:tab/>
        <w:t>Vzor 5.2 poskytuje ďalšie podrobné informácie</w:t>
      </w:r>
      <w:r w:rsidR="009912F8" w:rsidRPr="00E07C9A">
        <w:t xml:space="preserve"> o </w:t>
      </w:r>
      <w:r w:rsidRPr="00E07C9A">
        <w:t>výpočte tých nástrojov zachovaných</w:t>
      </w:r>
      <w:r w:rsidR="009912F8" w:rsidRPr="00E07C9A">
        <w:t xml:space="preserve"> v </w:t>
      </w:r>
      <w:r w:rsidRPr="00E07C9A">
        <w:t>predchádzajúcom stave, ktoré nepredstavujú štátnu pomoc</w:t>
      </w:r>
      <w:r w:rsidR="009912F8" w:rsidRPr="00E07C9A">
        <w:t>.</w:t>
      </w:r>
    </w:p>
    <w:bookmarkStart w:id="76" w:name="_Toc307386943"/>
    <w:p w14:paraId="4C8E7419" w14:textId="79F984D6" w:rsidR="005643EA" w:rsidRPr="00E07C9A" w:rsidRDefault="0056002D" w:rsidP="00487A02">
      <w:pPr>
        <w:pStyle w:val="InstructionsText2"/>
        <w:numPr>
          <w:ilvl w:val="0"/>
          <w:numId w:val="0"/>
        </w:numPr>
        <w:ind w:left="1353" w:hanging="360"/>
      </w:pPr>
      <w:r w:rsidRPr="00E07C9A">
        <w:fldChar w:fldCharType="begin"/>
      </w:r>
      <w:r w:rsidRPr="00E07C9A">
        <w:instrText xml:space="preserve"> seq paragraphs </w:instrText>
      </w:r>
      <w:r w:rsidRPr="00E07C9A">
        <w:fldChar w:fldCharType="separate"/>
      </w:r>
      <w:r w:rsidR="00132AEE">
        <w:rPr>
          <w:noProof/>
        </w:rPr>
        <w:t>18</w:t>
      </w:r>
      <w:r w:rsidRPr="00E07C9A">
        <w:fldChar w:fldCharType="end"/>
      </w:r>
      <w:r w:rsidRPr="00E07C9A">
        <w:t>.</w:t>
      </w:r>
      <w:r w:rsidRPr="00E07C9A">
        <w:tab/>
        <w:t>Inštitúcie</w:t>
      </w:r>
      <w:r w:rsidR="009912F8" w:rsidRPr="00E07C9A">
        <w:t xml:space="preserve"> v </w:t>
      </w:r>
      <w:r w:rsidRPr="00E07C9A">
        <w:t>prvých štyroch stĺpcoch vykazujú úpravy vlastného kapitálu Tier 1, dodatočného kapitálu Tier 1</w:t>
      </w:r>
      <w:r w:rsidR="009912F8" w:rsidRPr="00E07C9A">
        <w:t xml:space="preserve"> a </w:t>
      </w:r>
      <w:r w:rsidRPr="00E07C9A">
        <w:t>kapitálu Tier 2, ako aj hodnotu, ku ktorej sa pristupuje ako</w:t>
      </w:r>
      <w:r w:rsidR="009912F8" w:rsidRPr="00E07C9A">
        <w:t xml:space="preserve"> k </w:t>
      </w:r>
      <w:r w:rsidRPr="00E07C9A">
        <w:t>rizikovo váženým aktívam. Inštitúcie musia</w:t>
      </w:r>
      <w:r w:rsidR="009912F8" w:rsidRPr="00E07C9A">
        <w:t xml:space="preserve"> v </w:t>
      </w:r>
      <w:r w:rsidRPr="00E07C9A">
        <w:t>stĺpci 0050 vykázať aj uplatniteľnú percentuálnu mieru</w:t>
      </w:r>
      <w:r w:rsidR="009912F8" w:rsidRPr="00E07C9A">
        <w:t xml:space="preserve"> a v </w:t>
      </w:r>
      <w:r w:rsidRPr="00E07C9A">
        <w:t>stĺpci 0060 prípustnú hodnotu bez uplatnenia prechodných ustanovení.</w:t>
      </w:r>
    </w:p>
    <w:p w14:paraId="1008CEFB" w14:textId="23199F29" w:rsidR="005643EA" w:rsidRPr="00E07C9A" w:rsidRDefault="002A18DE" w:rsidP="00487A02">
      <w:pPr>
        <w:pStyle w:val="InstructionsText2"/>
        <w:numPr>
          <w:ilvl w:val="0"/>
          <w:numId w:val="0"/>
        </w:numPr>
        <w:ind w:left="1353" w:hanging="360"/>
      </w:pPr>
      <w:fldSimple w:instr=" seq paragraphs ">
        <w:r w:rsidR="00132AEE">
          <w:rPr>
            <w:noProof/>
          </w:rPr>
          <w:t>19</w:t>
        </w:r>
      </w:fldSimple>
      <w:r w:rsidR="00C3070C" w:rsidRPr="00E07C9A">
        <w:t>.</w:t>
      </w:r>
      <w:r w:rsidR="00C3070C" w:rsidRPr="00E07C9A">
        <w:tab/>
        <w:t>Inštitúcie vo vzore CA5 vykazujú prvky len počas obdobia, keď sa uplatňujú prechodné ustanovenia stanovené</w:t>
      </w:r>
      <w:r w:rsidR="009912F8" w:rsidRPr="00E07C9A">
        <w:t xml:space="preserve"> v </w:t>
      </w:r>
      <w:r w:rsidR="00C3070C" w:rsidRPr="00E07C9A">
        <w:t xml:space="preserve">desiatej časti nariadenia (EÚ) </w:t>
      </w:r>
      <w:r w:rsidR="009912F8" w:rsidRPr="00E07C9A">
        <w:t>č. 575/2013</w:t>
      </w:r>
      <w:r w:rsidR="00C3070C" w:rsidRPr="00E07C9A">
        <w:t>.</w:t>
      </w:r>
    </w:p>
    <w:p w14:paraId="3CF93C3D" w14:textId="5CEDDED9" w:rsidR="005643EA" w:rsidRPr="00E07C9A" w:rsidRDefault="002A18DE" w:rsidP="00487A02">
      <w:pPr>
        <w:pStyle w:val="InstructionsText2"/>
        <w:numPr>
          <w:ilvl w:val="0"/>
          <w:numId w:val="0"/>
        </w:numPr>
        <w:ind w:left="1353" w:hanging="360"/>
      </w:pPr>
      <w:fldSimple w:instr=" seq paragraphs ">
        <w:r w:rsidR="00132AEE">
          <w:rPr>
            <w:noProof/>
          </w:rPr>
          <w:t>20</w:t>
        </w:r>
      </w:fldSimple>
      <w:r w:rsidR="00C3070C" w:rsidRPr="00E07C9A">
        <w:t>.</w:t>
      </w:r>
      <w:r w:rsidR="00C3070C" w:rsidRPr="00E07C9A">
        <w:tab/>
        <w:t>Niektoré prechodné ustanovenia vyžadujú odpočet od kapitálu Tier 1. Keď ide</w:t>
      </w:r>
      <w:r w:rsidR="009912F8" w:rsidRPr="00E07C9A">
        <w:t xml:space="preserve"> o </w:t>
      </w:r>
      <w:r w:rsidR="00C3070C" w:rsidRPr="00E07C9A">
        <w:t>takýto prípad, zostatková suma odpočtu alebo odpočtov sa uplatní na kapitál Tier 1</w:t>
      </w:r>
      <w:r w:rsidR="009912F8" w:rsidRPr="00E07C9A">
        <w:t xml:space="preserve"> a </w:t>
      </w:r>
      <w:r w:rsidR="00C3070C" w:rsidRPr="00E07C9A">
        <w:t>keď AT1 nepostačuje na absorbovanie tejto hodnoty, nadbytok sa odpočíta od CET1.</w:t>
      </w:r>
    </w:p>
    <w:p w14:paraId="6C65CE1D" w14:textId="77777777" w:rsidR="009912F8" w:rsidRPr="00E07C9A" w:rsidRDefault="00125707" w:rsidP="009258A2">
      <w:pPr>
        <w:pStyle w:val="Instructionsberschrift2"/>
        <w:numPr>
          <w:ilvl w:val="0"/>
          <w:numId w:val="0"/>
        </w:numPr>
        <w:ind w:left="357" w:hanging="357"/>
        <w:rPr>
          <w:rFonts w:ascii="Times New Roman" w:hAnsi="Times New Roman" w:cs="Times New Roman"/>
          <w:sz w:val="24"/>
        </w:rPr>
      </w:pPr>
      <w:bookmarkStart w:id="77" w:name="_Toc473560883"/>
      <w:bookmarkStart w:id="78" w:name="_Toc115857763"/>
      <w:bookmarkStart w:id="79" w:name="_Toc360188335"/>
      <w:bookmarkStart w:id="80" w:name="_Toc308175836"/>
      <w:bookmarkEnd w:id="76"/>
      <w:r w:rsidRPr="002A18DE">
        <w:rPr>
          <w:rFonts w:ascii="Times New Roman" w:hAnsi="Times New Roman" w:cs="Times New Roman"/>
          <w:sz w:val="24"/>
          <w:u w:val="none"/>
        </w:rPr>
        <w:t>1.6.2.</w:t>
      </w:r>
      <w:r w:rsidRPr="002A18DE">
        <w:rPr>
          <w:rFonts w:ascii="Times New Roman" w:hAnsi="Times New Roman" w:cs="Times New Roman"/>
          <w:u w:val="none"/>
        </w:rPr>
        <w:tab/>
      </w:r>
      <w:r w:rsidRPr="00E07C9A">
        <w:rPr>
          <w:rFonts w:ascii="Times New Roman" w:hAnsi="Times New Roman" w:cs="Times New Roman"/>
          <w:sz w:val="24"/>
        </w:rPr>
        <w:t>C 05.01 – PRECHODNÉ USTANOVENIA (CA5.1)</w:t>
      </w:r>
      <w:bookmarkEnd w:id="77"/>
      <w:bookmarkEnd w:id="78"/>
      <w:bookmarkEnd w:id="79"/>
      <w:bookmarkEnd w:id="80"/>
    </w:p>
    <w:p w14:paraId="14FD0985" w14:textId="6C6AFDF6" w:rsidR="009912F8" w:rsidRPr="00E07C9A" w:rsidRDefault="002A18DE" w:rsidP="00487A02">
      <w:pPr>
        <w:pStyle w:val="InstructionsText2"/>
        <w:numPr>
          <w:ilvl w:val="0"/>
          <w:numId w:val="0"/>
        </w:numPr>
        <w:ind w:left="1353" w:hanging="360"/>
      </w:pPr>
      <w:fldSimple w:instr=" seq paragraphs ">
        <w:r w:rsidR="00132AEE">
          <w:rPr>
            <w:noProof/>
          </w:rPr>
          <w:t>21</w:t>
        </w:r>
      </w:fldSimple>
      <w:r w:rsidR="00C3070C" w:rsidRPr="00E07C9A">
        <w:t>.</w:t>
      </w:r>
      <w:r w:rsidR="00C3070C" w:rsidRPr="00E07C9A">
        <w:tab/>
        <w:t>Inštitúcie vykazujú vo vzore CA5.1 uplatňovanie prechodných ustanovení vo vzťahu</w:t>
      </w:r>
      <w:r w:rsidR="009912F8" w:rsidRPr="00E07C9A">
        <w:t xml:space="preserve"> k </w:t>
      </w:r>
      <w:r w:rsidR="00C3070C" w:rsidRPr="00E07C9A">
        <w:t>zložkám vlastných zdrojov podľa ustanovení</w:t>
      </w:r>
      <w:r w:rsidR="009912F8" w:rsidRPr="00E07C9A">
        <w:t xml:space="preserve"> v </w:t>
      </w:r>
      <w:r w:rsidR="00C3070C" w:rsidRPr="00E07C9A">
        <w:t>článkoch 465 až 491</w:t>
      </w:r>
      <w:r w:rsidR="009912F8" w:rsidRPr="00E07C9A">
        <w:t xml:space="preserve"> a </w:t>
      </w:r>
      <w:r w:rsidR="00C3070C" w:rsidRPr="00E07C9A">
        <w:t>článkoch 494a</w:t>
      </w:r>
      <w:r w:rsidR="009912F8" w:rsidRPr="00E07C9A">
        <w:t xml:space="preserve"> a </w:t>
      </w:r>
      <w:r w:rsidR="00C3070C" w:rsidRPr="00E07C9A">
        <w:t xml:space="preserve">494b nariadenia (EÚ) </w:t>
      </w:r>
      <w:r w:rsidR="009912F8" w:rsidRPr="00E07C9A">
        <w:t>č. 575/2013 v </w:t>
      </w:r>
      <w:r w:rsidR="00C3070C" w:rsidRPr="00E07C9A">
        <w:t>porovnaní</w:t>
      </w:r>
      <w:r w:rsidR="009912F8" w:rsidRPr="00E07C9A">
        <w:t xml:space="preserve"> s </w:t>
      </w:r>
      <w:r w:rsidR="00C3070C" w:rsidRPr="00E07C9A">
        <w:t>uplatňovaním záverečných ustanovení stanovených</w:t>
      </w:r>
      <w:r w:rsidR="009912F8" w:rsidRPr="00E07C9A">
        <w:t xml:space="preserve"> v </w:t>
      </w:r>
      <w:r w:rsidR="00C3070C" w:rsidRPr="00E07C9A">
        <w:t xml:space="preserve">druhej časti hlave II uvedeného nariadenia (EÚ) </w:t>
      </w:r>
      <w:r w:rsidR="009912F8" w:rsidRPr="00E07C9A">
        <w:t>č. 575/2013.</w:t>
      </w:r>
    </w:p>
    <w:p w14:paraId="2C643F4D" w14:textId="41B26DFA" w:rsidR="00783881" w:rsidRPr="00E07C9A" w:rsidRDefault="002A18DE" w:rsidP="00487A02">
      <w:pPr>
        <w:pStyle w:val="InstructionsText2"/>
        <w:numPr>
          <w:ilvl w:val="0"/>
          <w:numId w:val="0"/>
        </w:numPr>
        <w:ind w:left="1353" w:hanging="360"/>
      </w:pPr>
      <w:fldSimple w:instr=" seq paragraphs ">
        <w:r w:rsidR="00132AEE">
          <w:rPr>
            <w:noProof/>
          </w:rPr>
          <w:t>22</w:t>
        </w:r>
      </w:fldSimple>
      <w:r w:rsidR="00C3070C" w:rsidRPr="00E07C9A">
        <w:t>.</w:t>
      </w:r>
      <w:r w:rsidR="00C3070C" w:rsidRPr="00E07C9A">
        <w:tab/>
        <w:t>Inštitúcie vykazujú</w:t>
      </w:r>
      <w:r w:rsidR="009912F8" w:rsidRPr="00E07C9A">
        <w:t xml:space="preserve"> v </w:t>
      </w:r>
      <w:r w:rsidR="00C3070C" w:rsidRPr="00E07C9A">
        <w:t>riadkoch 0060 až 0065 informácie</w:t>
      </w:r>
      <w:r w:rsidR="009912F8" w:rsidRPr="00E07C9A">
        <w:t xml:space="preserve"> o </w:t>
      </w:r>
      <w:r w:rsidR="00C3070C" w:rsidRPr="00E07C9A">
        <w:t>prechodných ustanoveniach pre nástroje, ktoré sa zachovali</w:t>
      </w:r>
      <w:r w:rsidR="009912F8" w:rsidRPr="00E07C9A">
        <w:t xml:space="preserve"> v </w:t>
      </w:r>
      <w:r w:rsidR="00C3070C" w:rsidRPr="00E07C9A">
        <w:t>predchádzajúcom stave. Údaje vykazované</w:t>
      </w:r>
      <w:r w:rsidR="009912F8" w:rsidRPr="00E07C9A">
        <w:t xml:space="preserve"> v </w:t>
      </w:r>
      <w:r w:rsidR="00C3070C" w:rsidRPr="00E07C9A">
        <w:t>riadku 0060 vzoru CA5.1 odzrkadľujú prechodné ustanovenia zahrnuté</w:t>
      </w:r>
      <w:r w:rsidR="009912F8" w:rsidRPr="00E07C9A">
        <w:t xml:space="preserve"> v </w:t>
      </w:r>
      <w:r w:rsidR="00C3070C" w:rsidRPr="00E07C9A">
        <w:t xml:space="preserve">nariadení (EÚ) </w:t>
      </w:r>
      <w:r w:rsidR="009912F8" w:rsidRPr="00E07C9A">
        <w:t>č. 575/2013 v </w:t>
      </w:r>
      <w:r w:rsidR="00C3070C" w:rsidRPr="00E07C9A">
        <w:t>znení platnom do 26</w:t>
      </w:r>
      <w:r w:rsidR="009912F8" w:rsidRPr="00E07C9A">
        <w:t>. júna</w:t>
      </w:r>
      <w:r w:rsidR="00C3070C" w:rsidRPr="00E07C9A">
        <w:t xml:space="preserve"> 2019</w:t>
      </w:r>
      <w:r w:rsidR="009912F8" w:rsidRPr="00E07C9A">
        <w:t xml:space="preserve"> a </w:t>
      </w:r>
      <w:r w:rsidR="00C3070C" w:rsidRPr="00E07C9A">
        <w:t>možno ich odvodiť od príslušných oddielov vzoru CA5.2. Riadky 0061 až 0065 zachytávajú účinok prechodných ustanovení článkov 494a</w:t>
      </w:r>
      <w:r w:rsidR="009912F8" w:rsidRPr="00E07C9A">
        <w:t xml:space="preserve"> a </w:t>
      </w:r>
      <w:r w:rsidR="00C3070C" w:rsidRPr="00E07C9A">
        <w:t xml:space="preserve">494b nariadenia (EÚ) </w:t>
      </w:r>
      <w:r w:rsidR="009912F8" w:rsidRPr="00E07C9A">
        <w:t>č. 575/2013</w:t>
      </w:r>
      <w:r w:rsidR="00C3070C" w:rsidRPr="00E07C9A">
        <w:t>.</w:t>
      </w:r>
    </w:p>
    <w:p w14:paraId="1CDD27F2" w14:textId="1798A1AA" w:rsidR="00496C53" w:rsidRPr="00E07C9A" w:rsidRDefault="002A18DE" w:rsidP="00487A02">
      <w:pPr>
        <w:pStyle w:val="InstructionsText2"/>
        <w:numPr>
          <w:ilvl w:val="0"/>
          <w:numId w:val="0"/>
        </w:numPr>
        <w:ind w:left="1353" w:hanging="360"/>
      </w:pPr>
      <w:fldSimple w:instr=" seq paragraphs ">
        <w:r w:rsidR="00132AEE">
          <w:rPr>
            <w:noProof/>
          </w:rPr>
          <w:t>23</w:t>
        </w:r>
      </w:fldSimple>
      <w:r w:rsidR="00C3070C" w:rsidRPr="00E07C9A">
        <w:t>.</w:t>
      </w:r>
      <w:r w:rsidR="00C3070C" w:rsidRPr="00E07C9A">
        <w:tab/>
        <w:t>Inštitúcie vykazujú</w:t>
      </w:r>
      <w:r w:rsidR="009912F8" w:rsidRPr="00E07C9A">
        <w:t xml:space="preserve"> v </w:t>
      </w:r>
      <w:r w:rsidR="00C3070C" w:rsidRPr="00E07C9A">
        <w:t>riadkoch 0070 až 0092 informácie</w:t>
      </w:r>
      <w:r w:rsidR="009912F8" w:rsidRPr="00E07C9A">
        <w:t xml:space="preserve"> o </w:t>
      </w:r>
      <w:r w:rsidR="00C3070C" w:rsidRPr="00E07C9A">
        <w:t>prechodných ustanoveniach pre menšinové účasti</w:t>
      </w:r>
      <w:r w:rsidR="009912F8" w:rsidRPr="00E07C9A">
        <w:t xml:space="preserve"> a </w:t>
      </w:r>
      <w:r w:rsidR="00C3070C" w:rsidRPr="00E07C9A">
        <w:t>nástroje dodatočného kapitálu Tier 1</w:t>
      </w:r>
      <w:r w:rsidR="009912F8" w:rsidRPr="00E07C9A">
        <w:t xml:space="preserve"> a </w:t>
      </w:r>
      <w:r w:rsidR="00C3070C" w:rsidRPr="00E07C9A">
        <w:t>Tier 2 emitované dcérskymi spoločnosťami [v súlade</w:t>
      </w:r>
      <w:r w:rsidR="009912F8" w:rsidRPr="00E07C9A">
        <w:t xml:space="preserve"> s </w:t>
      </w:r>
      <w:r w:rsidR="00C3070C" w:rsidRPr="00E07C9A">
        <w:t>článkami 479</w:t>
      </w:r>
      <w:r w:rsidR="009912F8" w:rsidRPr="00E07C9A">
        <w:t xml:space="preserve"> a </w:t>
      </w:r>
      <w:r w:rsidR="00C3070C" w:rsidRPr="00E07C9A">
        <w:t xml:space="preserve">480 nariadenia (EÚ) </w:t>
      </w:r>
      <w:r w:rsidR="009912F8" w:rsidRPr="00E07C9A">
        <w:t>č. 575/2013</w:t>
      </w:r>
      <w:r w:rsidR="00C3070C" w:rsidRPr="00E07C9A">
        <w:t>].</w:t>
      </w:r>
    </w:p>
    <w:p w14:paraId="6B522084" w14:textId="776110F3" w:rsidR="00783881" w:rsidRPr="00E07C9A" w:rsidRDefault="002A18DE" w:rsidP="00487A02">
      <w:pPr>
        <w:pStyle w:val="InstructionsText2"/>
        <w:numPr>
          <w:ilvl w:val="0"/>
          <w:numId w:val="0"/>
        </w:numPr>
        <w:ind w:left="1353" w:hanging="360"/>
      </w:pPr>
      <w:fldSimple w:instr=" seq paragraphs ">
        <w:r w:rsidR="00132AEE">
          <w:rPr>
            <w:noProof/>
          </w:rPr>
          <w:t>24</w:t>
        </w:r>
      </w:fldSimple>
      <w:r w:rsidR="00C3070C" w:rsidRPr="00E07C9A">
        <w:t>.</w:t>
      </w:r>
      <w:r w:rsidR="00C3070C" w:rsidRPr="00E07C9A">
        <w:tab/>
        <w:t>V riadku 0100</w:t>
      </w:r>
      <w:r w:rsidR="009912F8" w:rsidRPr="00E07C9A">
        <w:t xml:space="preserve"> a </w:t>
      </w:r>
      <w:r w:rsidR="00C3070C" w:rsidRPr="00E07C9A">
        <w:t>riadkoch, ktoré za ním nasledujú, vykazujú inštitúcie informácie</w:t>
      </w:r>
      <w:r w:rsidR="009912F8" w:rsidRPr="00E07C9A">
        <w:t xml:space="preserve"> o </w:t>
      </w:r>
      <w:r w:rsidR="00C3070C" w:rsidRPr="00E07C9A">
        <w:t>účinku prechodných ustanovení týkajúcich sa nerealizovaných ziskov</w:t>
      </w:r>
      <w:r w:rsidR="009912F8" w:rsidRPr="00E07C9A">
        <w:t xml:space="preserve"> a </w:t>
      </w:r>
      <w:r w:rsidR="00C3070C" w:rsidRPr="00E07C9A">
        <w:t>strát, odpočtov, dodatočných filtrov</w:t>
      </w:r>
      <w:r w:rsidR="009912F8" w:rsidRPr="00E07C9A">
        <w:t xml:space="preserve"> a </w:t>
      </w:r>
      <w:r w:rsidR="00C3070C" w:rsidRPr="00E07C9A">
        <w:t>odpočtov</w:t>
      </w:r>
      <w:r w:rsidR="009912F8" w:rsidRPr="00E07C9A">
        <w:t xml:space="preserve"> a </w:t>
      </w:r>
      <w:r w:rsidR="00C3070C" w:rsidRPr="00E07C9A">
        <w:t>IFRS 9.</w:t>
      </w:r>
    </w:p>
    <w:p w14:paraId="52088B37" w14:textId="234AAFA9" w:rsidR="009912F8" w:rsidRPr="00E07C9A" w:rsidRDefault="002A18DE" w:rsidP="00487A02">
      <w:pPr>
        <w:pStyle w:val="InstructionsText2"/>
        <w:numPr>
          <w:ilvl w:val="0"/>
          <w:numId w:val="0"/>
        </w:numPr>
        <w:ind w:left="1353" w:hanging="360"/>
      </w:pPr>
      <w:fldSimple w:instr=" seq paragraphs ">
        <w:r w:rsidR="00132AEE">
          <w:rPr>
            <w:noProof/>
          </w:rPr>
          <w:t>25</w:t>
        </w:r>
      </w:fldSimple>
      <w:r w:rsidR="00C3070C" w:rsidRPr="00E07C9A">
        <w:t>.</w:t>
      </w:r>
      <w:r w:rsidR="00C3070C" w:rsidRPr="00E07C9A">
        <w:tab/>
        <w:t>Môžu sa vyskytnúť prípady, keď prechodné odpočty kapitálov CET1, AT1 alebo T2 presahujú kapitál CET1, AT1 alebo T2 inštitúcie. Tento účinok – ak vyplýva</w:t>
      </w:r>
      <w:r w:rsidR="009912F8" w:rsidRPr="00E07C9A">
        <w:t xml:space="preserve"> z </w:t>
      </w:r>
      <w:r w:rsidR="00C3070C" w:rsidRPr="00E07C9A">
        <w:t>prechodných ustanovení – sa uvedie vo vzore CA1, pričom sa použijú príslušné bunky. Úpravy</w:t>
      </w:r>
      <w:r w:rsidR="009912F8" w:rsidRPr="00E07C9A">
        <w:t xml:space="preserve"> v </w:t>
      </w:r>
      <w:r w:rsidR="00C3070C" w:rsidRPr="00E07C9A">
        <w:t>stĺpcoch vzoru CA5 následne nezahŕňajú účinky presahovania</w:t>
      </w:r>
      <w:r w:rsidR="009912F8" w:rsidRPr="00E07C9A">
        <w:t xml:space="preserve"> v </w:t>
      </w:r>
      <w:r w:rsidR="00C3070C" w:rsidRPr="00E07C9A">
        <w:t>prípade nedostatočného dostupného kapitálu</w:t>
      </w:r>
      <w:r w:rsidR="009912F8" w:rsidRPr="00E07C9A">
        <w:t>.</w:t>
      </w:r>
    </w:p>
    <w:p w14:paraId="14710A33" w14:textId="4A62F973" w:rsidR="002648B0" w:rsidRPr="00E07C9A" w:rsidRDefault="00125707" w:rsidP="0023700C">
      <w:pPr>
        <w:pStyle w:val="Instructionsberschrift2"/>
        <w:numPr>
          <w:ilvl w:val="0"/>
          <w:numId w:val="0"/>
        </w:numPr>
        <w:ind w:left="357" w:hanging="357"/>
        <w:rPr>
          <w:rFonts w:ascii="Times New Roman" w:hAnsi="Times New Roman" w:cs="Times New Roman"/>
          <w:sz w:val="24"/>
        </w:rPr>
      </w:pPr>
      <w:bookmarkStart w:id="81" w:name="_Toc360188336"/>
      <w:bookmarkStart w:id="82" w:name="_Toc473560884"/>
      <w:bookmarkStart w:id="83" w:name="_Toc115857764"/>
      <w:r w:rsidRPr="002A18DE">
        <w:rPr>
          <w:rFonts w:ascii="Times New Roman" w:hAnsi="Times New Roman" w:cs="Times New Roman"/>
          <w:sz w:val="24"/>
          <w:u w:val="none"/>
        </w:rPr>
        <w:t>1.6.2.1.</w:t>
      </w:r>
      <w:r w:rsidRPr="002A18DE">
        <w:rPr>
          <w:rFonts w:ascii="Times New Roman" w:hAnsi="Times New Roman" w:cs="Times New Roman"/>
          <w:u w:val="none"/>
        </w:rPr>
        <w:tab/>
      </w:r>
      <w:r w:rsidRPr="00E07C9A">
        <w:rPr>
          <w:rFonts w:ascii="Times New Roman" w:hAnsi="Times New Roman" w:cs="Times New Roman"/>
          <w:sz w:val="24"/>
        </w:rPr>
        <w:t>Pokyny týkajúce sa konkrétnych pozícií</w:t>
      </w:r>
      <w:bookmarkEnd w:id="81"/>
      <w:bookmarkEnd w:id="82"/>
      <w:bookmarkEnd w:id="83"/>
    </w:p>
    <w:p w14:paraId="4FA1125B" w14:textId="77777777" w:rsidR="002648B0" w:rsidRPr="00E07C9A" w:rsidRDefault="002648B0" w:rsidP="009F1084">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2648B0" w:rsidRPr="00E07C9A" w14:paraId="3EEF0320" w14:textId="77777777" w:rsidTr="00672D2A">
        <w:tc>
          <w:tcPr>
            <w:tcW w:w="8372" w:type="dxa"/>
            <w:gridSpan w:val="2"/>
            <w:shd w:val="clear" w:color="auto" w:fill="D9D9D9"/>
          </w:tcPr>
          <w:p w14:paraId="714A0000" w14:textId="77777777" w:rsidR="00783881" w:rsidRPr="00E07C9A" w:rsidRDefault="002648B0" w:rsidP="00487A02">
            <w:pPr>
              <w:pStyle w:val="InstructionsText"/>
            </w:pPr>
            <w:r w:rsidRPr="00E07C9A">
              <w:lastRenderedPageBreak/>
              <w:t>Stĺpce</w:t>
            </w:r>
          </w:p>
        </w:tc>
      </w:tr>
      <w:tr w:rsidR="002648B0" w:rsidRPr="00E07C9A" w14:paraId="4109E875" w14:textId="77777777" w:rsidTr="00672D2A">
        <w:tc>
          <w:tcPr>
            <w:tcW w:w="894" w:type="dxa"/>
          </w:tcPr>
          <w:p w14:paraId="7257B7AA" w14:textId="77777777" w:rsidR="002648B0" w:rsidRPr="00E07C9A" w:rsidRDefault="008A05EC" w:rsidP="00487A02">
            <w:pPr>
              <w:pStyle w:val="InstructionsText"/>
              <w:rPr>
                <w:rStyle w:val="InstructionsTabelleText"/>
                <w:rFonts w:ascii="Times New Roman" w:hAnsi="Times New Roman"/>
                <w:sz w:val="24"/>
              </w:rPr>
            </w:pPr>
            <w:r w:rsidRPr="00E07C9A">
              <w:rPr>
                <w:rStyle w:val="InstructionsTabelleText"/>
                <w:rFonts w:ascii="Times New Roman" w:hAnsi="Times New Roman"/>
                <w:sz w:val="24"/>
              </w:rPr>
              <w:t>0010</w:t>
            </w:r>
          </w:p>
        </w:tc>
        <w:tc>
          <w:tcPr>
            <w:tcW w:w="7478" w:type="dxa"/>
          </w:tcPr>
          <w:p w14:paraId="2A2DFB2E" w14:textId="77777777" w:rsidR="005643EA" w:rsidRPr="00E07C9A" w:rsidRDefault="002648B0"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Úpravy CET1</w:t>
            </w:r>
          </w:p>
        </w:tc>
      </w:tr>
      <w:tr w:rsidR="002648B0" w:rsidRPr="00E07C9A" w14:paraId="63E6B990" w14:textId="77777777" w:rsidTr="00672D2A">
        <w:tc>
          <w:tcPr>
            <w:tcW w:w="894" w:type="dxa"/>
          </w:tcPr>
          <w:p w14:paraId="342794B1" w14:textId="77777777" w:rsidR="002648B0" w:rsidRPr="00E07C9A" w:rsidRDefault="008A05EC" w:rsidP="00487A02">
            <w:pPr>
              <w:pStyle w:val="InstructionsText"/>
              <w:rPr>
                <w:rStyle w:val="InstructionsTabelleText"/>
                <w:rFonts w:ascii="Times New Roman" w:hAnsi="Times New Roman"/>
                <w:sz w:val="24"/>
              </w:rPr>
            </w:pPr>
            <w:r w:rsidRPr="00E07C9A">
              <w:rPr>
                <w:rStyle w:val="InstructionsTabelleText"/>
                <w:rFonts w:ascii="Times New Roman" w:hAnsi="Times New Roman"/>
                <w:sz w:val="24"/>
              </w:rPr>
              <w:t>0020</w:t>
            </w:r>
          </w:p>
        </w:tc>
        <w:tc>
          <w:tcPr>
            <w:tcW w:w="7478" w:type="dxa"/>
          </w:tcPr>
          <w:p w14:paraId="6D800903" w14:textId="77777777" w:rsidR="005643EA" w:rsidRPr="00E07C9A" w:rsidRDefault="002648B0"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Úpravy AT1</w:t>
            </w:r>
          </w:p>
        </w:tc>
      </w:tr>
      <w:tr w:rsidR="002648B0" w:rsidRPr="00E07C9A" w14:paraId="2B8BC083" w14:textId="77777777" w:rsidTr="00672D2A">
        <w:tc>
          <w:tcPr>
            <w:tcW w:w="894" w:type="dxa"/>
          </w:tcPr>
          <w:p w14:paraId="2569C4B9" w14:textId="77777777" w:rsidR="002648B0" w:rsidRPr="00E07C9A" w:rsidRDefault="008A05EC" w:rsidP="00487A02">
            <w:pPr>
              <w:pStyle w:val="InstructionsText"/>
              <w:rPr>
                <w:rStyle w:val="InstructionsTabelleText"/>
                <w:rFonts w:ascii="Times New Roman" w:hAnsi="Times New Roman"/>
                <w:sz w:val="24"/>
              </w:rPr>
            </w:pPr>
            <w:r w:rsidRPr="00E07C9A">
              <w:rPr>
                <w:rStyle w:val="InstructionsTabelleText"/>
                <w:rFonts w:ascii="Times New Roman" w:hAnsi="Times New Roman"/>
                <w:sz w:val="24"/>
              </w:rPr>
              <w:t>0030</w:t>
            </w:r>
          </w:p>
        </w:tc>
        <w:tc>
          <w:tcPr>
            <w:tcW w:w="7478" w:type="dxa"/>
          </w:tcPr>
          <w:p w14:paraId="65ACA6E6" w14:textId="77777777" w:rsidR="005643EA" w:rsidRPr="00E07C9A" w:rsidRDefault="002648B0"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Úpravy T2</w:t>
            </w:r>
          </w:p>
        </w:tc>
      </w:tr>
      <w:tr w:rsidR="002648B0" w:rsidRPr="00E07C9A" w14:paraId="32E23628" w14:textId="77777777" w:rsidTr="00672D2A">
        <w:tc>
          <w:tcPr>
            <w:tcW w:w="894" w:type="dxa"/>
          </w:tcPr>
          <w:p w14:paraId="2B653E34" w14:textId="77777777" w:rsidR="002648B0" w:rsidRPr="00E07C9A" w:rsidRDefault="008A05EC" w:rsidP="00487A02">
            <w:pPr>
              <w:pStyle w:val="InstructionsText"/>
              <w:rPr>
                <w:rStyle w:val="InstructionsTabelleText"/>
                <w:rFonts w:ascii="Times New Roman" w:hAnsi="Times New Roman"/>
                <w:sz w:val="24"/>
              </w:rPr>
            </w:pPr>
            <w:r w:rsidRPr="00E07C9A">
              <w:rPr>
                <w:rStyle w:val="InstructionsTabelleText"/>
                <w:rFonts w:ascii="Times New Roman" w:hAnsi="Times New Roman"/>
                <w:sz w:val="24"/>
              </w:rPr>
              <w:t>0040</w:t>
            </w:r>
          </w:p>
        </w:tc>
        <w:tc>
          <w:tcPr>
            <w:tcW w:w="7478" w:type="dxa"/>
          </w:tcPr>
          <w:p w14:paraId="661017D9" w14:textId="6C1CBD92" w:rsidR="005643EA" w:rsidRPr="00E07C9A" w:rsidRDefault="002648B0"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Úpravy zahrnuté</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rizikovo vážených aktívach (RWA)</w:t>
            </w:r>
          </w:p>
          <w:p w14:paraId="126FBA33" w14:textId="40B999C5" w:rsidR="005643EA" w:rsidRPr="00E07C9A" w:rsidRDefault="002648B0" w:rsidP="00487A02">
            <w:pPr>
              <w:pStyle w:val="InstructionsText"/>
              <w:rPr>
                <w:rStyle w:val="InstructionsTabelleText"/>
                <w:rFonts w:ascii="Times New Roman" w:hAnsi="Times New Roman"/>
                <w:sz w:val="24"/>
              </w:rPr>
            </w:pPr>
            <w:r w:rsidRPr="00E07C9A">
              <w:rPr>
                <w:rStyle w:val="InstructionsTabelleText"/>
                <w:rFonts w:ascii="Times New Roman" w:hAnsi="Times New Roman"/>
                <w:sz w:val="24"/>
              </w:rPr>
              <w:t>V stĺpci 0040 sa uvádzajú príslušné hodnoty, ktorými sa upravuje celková hodnota rizikovej expozície podľa článku 92 ods. 3</w:t>
            </w:r>
            <w:r w:rsidRPr="00E07C9A">
              <w:t xml:space="preserve"> nariadenia (EÚ) </w:t>
            </w:r>
            <w:r w:rsidR="009912F8" w:rsidRPr="00E07C9A">
              <w:t>č. 575/2013</w:t>
            </w:r>
            <w:r w:rsidRPr="00E07C9A">
              <w:t xml:space="preserve"> </w:t>
            </w:r>
            <w:r w:rsidRPr="00E07C9A">
              <w:rPr>
                <w:rStyle w:val="InstructionsTabelleText"/>
                <w:rFonts w:ascii="Times New Roman" w:hAnsi="Times New Roman"/>
                <w:sz w:val="24"/>
              </w:rPr>
              <w:t>na základe prechodných ustanovení. Vykazované hodnoty zohľadňujú uplatňovanie ustanovení tretej časti hlavy II kapitoly 2 alebo 3 alebo tretej časti hlavy IV</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súlade</w:t>
            </w:r>
            <w:r w:rsidR="009912F8" w:rsidRPr="00E07C9A">
              <w:rPr>
                <w:rStyle w:val="InstructionsTabelleText"/>
                <w:rFonts w:ascii="Times New Roman" w:hAnsi="Times New Roman"/>
                <w:sz w:val="24"/>
              </w:rPr>
              <w:t xml:space="preserve"> s </w:t>
            </w:r>
            <w:r w:rsidRPr="00E07C9A">
              <w:rPr>
                <w:rStyle w:val="InstructionsTabelleText"/>
                <w:rFonts w:ascii="Times New Roman" w:hAnsi="Times New Roman"/>
                <w:sz w:val="24"/>
              </w:rPr>
              <w:t>článkom 92 ods. 4</w:t>
            </w:r>
            <w:r w:rsidRPr="00E07C9A">
              <w:t xml:space="preserve"> nariadenia (EÚ) </w:t>
            </w:r>
            <w:r w:rsidR="009912F8" w:rsidRPr="00E07C9A">
              <w:t>č. 575/2013</w:t>
            </w:r>
            <w:r w:rsidRPr="00E07C9A">
              <w:rPr>
                <w:rStyle w:val="InstructionsTabelleText"/>
                <w:rFonts w:ascii="Times New Roman" w:hAnsi="Times New Roman"/>
                <w:sz w:val="24"/>
              </w:rPr>
              <w:t>. To znamená, že prechodné hodnoty, na ktoré sa vzťahujú ustanovenia tretej časti hlavy II kapitoly 2 alebo 3, sa vykazujú ako hodnoty rizikovo vážených expozícií, zatiaľ čo prechodné hodnoty, na ktoré sa vzťahuje tretia časť hlava IV, predstavujú požiadavky na vlastné zdroje vynásobené koeficientom 12,5.</w:t>
            </w:r>
          </w:p>
          <w:p w14:paraId="6346EC40" w14:textId="40C2322A" w:rsidR="005643EA" w:rsidRPr="00E07C9A" w:rsidRDefault="00B4177D" w:rsidP="00487A02">
            <w:pPr>
              <w:pStyle w:val="InstructionsText"/>
              <w:rPr>
                <w:rStyle w:val="InstructionsTabelleberschrift"/>
                <w:rFonts w:ascii="Times New Roman" w:hAnsi="Times New Roman"/>
                <w:b w:val="0"/>
                <w:bCs w:val="0"/>
                <w:sz w:val="24"/>
                <w:u w:val="none"/>
              </w:rPr>
            </w:pPr>
            <w:r w:rsidRPr="00E07C9A">
              <w:rPr>
                <w:rStyle w:val="InstructionsTabelleText"/>
                <w:rFonts w:ascii="Times New Roman" w:hAnsi="Times New Roman"/>
                <w:sz w:val="24"/>
              </w:rPr>
              <w:t>Zatiaľ čo stĺpce 0010 až 0030 sú priamo spojené so vzorom CA1, úpravy celkovej hodnoty rizikovej expozície nie sú priamo spojené</w:t>
            </w:r>
            <w:r w:rsidR="009912F8" w:rsidRPr="00E07C9A">
              <w:rPr>
                <w:rStyle w:val="InstructionsTabelleText"/>
                <w:rFonts w:ascii="Times New Roman" w:hAnsi="Times New Roman"/>
                <w:sz w:val="24"/>
              </w:rPr>
              <w:t xml:space="preserve"> s </w:t>
            </w:r>
            <w:r w:rsidRPr="00E07C9A">
              <w:rPr>
                <w:rStyle w:val="InstructionsTabelleText"/>
                <w:rFonts w:ascii="Times New Roman" w:hAnsi="Times New Roman"/>
                <w:sz w:val="24"/>
              </w:rPr>
              <w:t>príslušnými vzormi pre kreditné riziko. Ak existujú úpravy celkovej hodnoty rizikovej expozície vyplývajúce</w:t>
            </w:r>
            <w:r w:rsidR="009912F8" w:rsidRPr="00E07C9A">
              <w:rPr>
                <w:rStyle w:val="InstructionsTabelleText"/>
                <w:rFonts w:ascii="Times New Roman" w:hAnsi="Times New Roman"/>
                <w:sz w:val="24"/>
              </w:rPr>
              <w:t xml:space="preserve"> z </w:t>
            </w:r>
            <w:r w:rsidRPr="00E07C9A">
              <w:rPr>
                <w:rStyle w:val="InstructionsTabelleText"/>
                <w:rFonts w:ascii="Times New Roman" w:hAnsi="Times New Roman"/>
                <w:sz w:val="24"/>
              </w:rPr>
              <w:t>prechodných ustanovení, zahrnú sa priamo do vzorov CR SA, CR IRB, CR EQU IRB, MKR SA TDI, MKR SA EQU alebo MKR IM. Tieto účinky sa okrem toho vykazujú</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stĺpci 0040 vzoru CA5.1.</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 xml:space="preserve">dôsledku toho sú uvedené hodnoty len doplňujúcimi položkami. </w:t>
            </w:r>
          </w:p>
        </w:tc>
      </w:tr>
      <w:tr w:rsidR="002648B0" w:rsidRPr="00E07C9A" w14:paraId="54D8FD95" w14:textId="77777777" w:rsidTr="00672D2A">
        <w:tc>
          <w:tcPr>
            <w:tcW w:w="894" w:type="dxa"/>
          </w:tcPr>
          <w:p w14:paraId="2B446D61" w14:textId="77777777" w:rsidR="002648B0" w:rsidRPr="00E07C9A" w:rsidRDefault="008A05EC" w:rsidP="00487A02">
            <w:pPr>
              <w:pStyle w:val="InstructionsText"/>
              <w:rPr>
                <w:rStyle w:val="InstructionsTabelleText"/>
                <w:rFonts w:ascii="Times New Roman" w:hAnsi="Times New Roman"/>
                <w:sz w:val="24"/>
              </w:rPr>
            </w:pPr>
            <w:r w:rsidRPr="00E07C9A">
              <w:rPr>
                <w:rStyle w:val="InstructionsTabelleText"/>
                <w:rFonts w:ascii="Times New Roman" w:hAnsi="Times New Roman"/>
                <w:sz w:val="24"/>
              </w:rPr>
              <w:t>0050</w:t>
            </w:r>
          </w:p>
        </w:tc>
        <w:tc>
          <w:tcPr>
            <w:tcW w:w="7478" w:type="dxa"/>
          </w:tcPr>
          <w:p w14:paraId="7B24FBB3" w14:textId="77777777" w:rsidR="005643EA" w:rsidRPr="00E07C9A" w:rsidRDefault="002648B0"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Príslušná percentuálna hodnota</w:t>
            </w:r>
          </w:p>
        </w:tc>
      </w:tr>
      <w:tr w:rsidR="002648B0" w:rsidRPr="00E07C9A" w14:paraId="0A9D0532" w14:textId="77777777" w:rsidTr="00672D2A">
        <w:tc>
          <w:tcPr>
            <w:tcW w:w="894" w:type="dxa"/>
          </w:tcPr>
          <w:p w14:paraId="23852B33" w14:textId="77777777" w:rsidR="002648B0" w:rsidRPr="00E07C9A" w:rsidRDefault="008A05EC" w:rsidP="00487A02">
            <w:pPr>
              <w:pStyle w:val="InstructionsText"/>
              <w:rPr>
                <w:rStyle w:val="InstructionsTabelleText"/>
                <w:rFonts w:ascii="Times New Roman" w:hAnsi="Times New Roman"/>
                <w:sz w:val="24"/>
              </w:rPr>
            </w:pPr>
            <w:r w:rsidRPr="00E07C9A">
              <w:rPr>
                <w:rStyle w:val="InstructionsTabelleText"/>
                <w:rFonts w:ascii="Times New Roman" w:hAnsi="Times New Roman"/>
                <w:sz w:val="24"/>
              </w:rPr>
              <w:t>0060</w:t>
            </w:r>
          </w:p>
        </w:tc>
        <w:tc>
          <w:tcPr>
            <w:tcW w:w="7478" w:type="dxa"/>
          </w:tcPr>
          <w:p w14:paraId="46D716D9" w14:textId="77777777" w:rsidR="005643EA" w:rsidRPr="00E07C9A" w:rsidRDefault="002648B0"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Prípustná hodnota bez prechodných ustanovení</w:t>
            </w:r>
          </w:p>
          <w:p w14:paraId="44945C12" w14:textId="77777777" w:rsidR="005643EA" w:rsidRPr="00E07C9A" w:rsidRDefault="008A05EC" w:rsidP="00487A02">
            <w:pPr>
              <w:pStyle w:val="InstructionsText"/>
              <w:rPr>
                <w:rStyle w:val="InstructionsTabelleText"/>
                <w:rFonts w:ascii="Times New Roman" w:hAnsi="Times New Roman"/>
                <w:sz w:val="24"/>
              </w:rPr>
            </w:pPr>
            <w:r w:rsidRPr="00E07C9A">
              <w:rPr>
                <w:rStyle w:val="InstructionsTabelleText"/>
                <w:rFonts w:ascii="Times New Roman" w:hAnsi="Times New Roman"/>
                <w:sz w:val="24"/>
              </w:rPr>
              <w:t>V tomto stĺpci sa uvádza hodnota každého nástroja pred uplatnením prechodných ustanovení, t. j. základná hodnota relevantná pre výpočet úprav.</w:t>
            </w:r>
          </w:p>
        </w:tc>
      </w:tr>
    </w:tbl>
    <w:p w14:paraId="44DCFCCC" w14:textId="77777777" w:rsidR="002648B0" w:rsidRPr="00E07C9A" w:rsidRDefault="002648B0" w:rsidP="009F1084">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2648B0" w:rsidRPr="00E07C9A" w14:paraId="2536702B" w14:textId="77777777" w:rsidTr="00672D2A">
        <w:tc>
          <w:tcPr>
            <w:tcW w:w="8490" w:type="dxa"/>
            <w:gridSpan w:val="2"/>
            <w:shd w:val="clear" w:color="auto" w:fill="D9D9D9"/>
          </w:tcPr>
          <w:p w14:paraId="6CDAE956" w14:textId="77777777" w:rsidR="002648B0" w:rsidRPr="00E07C9A" w:rsidRDefault="002648B0" w:rsidP="00487A02">
            <w:pPr>
              <w:pStyle w:val="InstructionsText"/>
            </w:pPr>
            <w:r w:rsidRPr="00E07C9A">
              <w:t>Riadky</w:t>
            </w:r>
          </w:p>
        </w:tc>
      </w:tr>
      <w:tr w:rsidR="002648B0" w:rsidRPr="00E07C9A" w14:paraId="09BB4E6C" w14:textId="77777777" w:rsidTr="00672D2A">
        <w:tc>
          <w:tcPr>
            <w:tcW w:w="1012" w:type="dxa"/>
          </w:tcPr>
          <w:p w14:paraId="3479F910" w14:textId="77777777" w:rsidR="002648B0" w:rsidRPr="00E07C9A" w:rsidRDefault="008A05EC" w:rsidP="00487A02">
            <w:pPr>
              <w:pStyle w:val="InstructionsText"/>
              <w:rPr>
                <w:rStyle w:val="InstructionsTabelleText"/>
                <w:rFonts w:ascii="Times New Roman" w:hAnsi="Times New Roman"/>
                <w:sz w:val="24"/>
              </w:rPr>
            </w:pPr>
            <w:r w:rsidRPr="00E07C9A">
              <w:rPr>
                <w:rStyle w:val="InstructionsTabelleText"/>
                <w:rFonts w:ascii="Times New Roman" w:hAnsi="Times New Roman"/>
                <w:sz w:val="24"/>
              </w:rPr>
              <w:t>0010</w:t>
            </w:r>
          </w:p>
        </w:tc>
        <w:tc>
          <w:tcPr>
            <w:tcW w:w="7478" w:type="dxa"/>
          </w:tcPr>
          <w:p w14:paraId="4654B3AD" w14:textId="77777777" w:rsidR="005643EA" w:rsidRPr="00E07C9A" w:rsidRDefault="00C66473" w:rsidP="00487A02">
            <w:pPr>
              <w:pStyle w:val="InstructionsText"/>
              <w:rPr>
                <w:rStyle w:val="FormatvorlageInstructionsTabelleText"/>
                <w:rFonts w:ascii="Times New Roman" w:hAnsi="Times New Roman"/>
                <w:b/>
                <w:sz w:val="24"/>
                <w:u w:val="single"/>
              </w:rPr>
            </w:pPr>
            <w:r w:rsidRPr="00E07C9A">
              <w:rPr>
                <w:rStyle w:val="InstructionsTabelleberschrift"/>
                <w:rFonts w:ascii="Times New Roman" w:hAnsi="Times New Roman"/>
                <w:sz w:val="24"/>
              </w:rPr>
              <w:t>1.</w:t>
            </w:r>
            <w:r w:rsidRPr="00E07C9A">
              <w:tab/>
            </w:r>
            <w:r w:rsidRPr="00E07C9A">
              <w:rPr>
                <w:rStyle w:val="InstructionsTabelleberschrift"/>
                <w:rFonts w:ascii="Times New Roman" w:hAnsi="Times New Roman"/>
                <w:sz w:val="24"/>
              </w:rPr>
              <w:t>Celkové úpravy</w:t>
            </w:r>
          </w:p>
          <w:p w14:paraId="3A7DDE06" w14:textId="14EC82AD" w:rsidR="002648B0" w:rsidRPr="00E07C9A" w:rsidRDefault="002648B0" w:rsidP="00BB22D4">
            <w:pPr>
              <w:spacing w:before="0"/>
              <w:rPr>
                <w:rStyle w:val="FormatvorlageInstructionsTabelleText"/>
                <w:rFonts w:ascii="Times New Roman" w:hAnsi="Times New Roman"/>
                <w:bCs w:val="0"/>
                <w:sz w:val="24"/>
              </w:rPr>
            </w:pPr>
            <w:r w:rsidRPr="00E07C9A">
              <w:rPr>
                <w:rStyle w:val="InstructionsTabelleText"/>
                <w:rFonts w:ascii="Times New Roman" w:hAnsi="Times New Roman"/>
                <w:sz w:val="24"/>
              </w:rPr>
              <w:t>Tento riadok vyjadruje celkový účinok prechodných úprav</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rôznych typoch kapitálu plus rizikovo vážené hodnoty vyplývajúce</w:t>
            </w:r>
            <w:r w:rsidR="009912F8" w:rsidRPr="00E07C9A">
              <w:rPr>
                <w:rStyle w:val="InstructionsTabelleText"/>
                <w:rFonts w:ascii="Times New Roman" w:hAnsi="Times New Roman"/>
                <w:sz w:val="24"/>
              </w:rPr>
              <w:t xml:space="preserve"> z </w:t>
            </w:r>
            <w:r w:rsidRPr="00E07C9A">
              <w:rPr>
                <w:rStyle w:val="InstructionsTabelleText"/>
                <w:rFonts w:ascii="Times New Roman" w:hAnsi="Times New Roman"/>
                <w:sz w:val="24"/>
              </w:rPr>
              <w:t>uvedených úprav.</w:t>
            </w:r>
          </w:p>
        </w:tc>
      </w:tr>
      <w:tr w:rsidR="002648B0" w:rsidRPr="00E07C9A" w14:paraId="61E393E2" w14:textId="77777777" w:rsidTr="00672D2A">
        <w:tc>
          <w:tcPr>
            <w:tcW w:w="1012" w:type="dxa"/>
          </w:tcPr>
          <w:p w14:paraId="71BC2839" w14:textId="77777777" w:rsidR="002648B0" w:rsidRPr="00E07C9A" w:rsidRDefault="008A05EC" w:rsidP="00487A02">
            <w:pPr>
              <w:pStyle w:val="InstructionsText"/>
              <w:rPr>
                <w:rStyle w:val="InstructionsTabelleText"/>
                <w:rFonts w:ascii="Times New Roman" w:hAnsi="Times New Roman"/>
                <w:sz w:val="24"/>
              </w:rPr>
            </w:pPr>
            <w:r w:rsidRPr="00E07C9A">
              <w:rPr>
                <w:rStyle w:val="InstructionsTabelleText"/>
                <w:rFonts w:ascii="Times New Roman" w:hAnsi="Times New Roman"/>
                <w:sz w:val="24"/>
              </w:rPr>
              <w:t xml:space="preserve">0020 </w:t>
            </w:r>
          </w:p>
        </w:tc>
        <w:tc>
          <w:tcPr>
            <w:tcW w:w="7478" w:type="dxa"/>
          </w:tcPr>
          <w:p w14:paraId="5A600C3D" w14:textId="78EE1FB7" w:rsidR="005643EA" w:rsidRPr="00E07C9A" w:rsidRDefault="002648B0" w:rsidP="00487A02">
            <w:pPr>
              <w:pStyle w:val="InstructionsText"/>
              <w:rPr>
                <w:rStyle w:val="InstructionsTabelleText"/>
                <w:rFonts w:ascii="Times New Roman" w:hAnsi="Times New Roman"/>
                <w:b/>
                <w:bCs/>
                <w:sz w:val="24"/>
                <w:u w:val="single"/>
              </w:rPr>
            </w:pPr>
            <w:r w:rsidRPr="00E07C9A">
              <w:rPr>
                <w:rStyle w:val="InstructionsTabelleberschrift"/>
                <w:rFonts w:ascii="Times New Roman" w:hAnsi="Times New Roman"/>
                <w:sz w:val="24"/>
              </w:rPr>
              <w:t>1.1.</w:t>
            </w:r>
            <w:r w:rsidRPr="00E07C9A">
              <w:tab/>
            </w:r>
            <w:r w:rsidRPr="00E07C9A">
              <w:rPr>
                <w:rStyle w:val="InstructionsTabelleberschrift"/>
                <w:rFonts w:ascii="Times New Roman" w:hAnsi="Times New Roman"/>
                <w:sz w:val="24"/>
              </w:rPr>
              <w:t>Nástroje zachované</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predchádzajúcom stave</w:t>
            </w:r>
          </w:p>
          <w:p w14:paraId="31C271FA" w14:textId="42548AF0" w:rsidR="002648B0" w:rsidRPr="00E07C9A" w:rsidRDefault="002648B0" w:rsidP="007106FB">
            <w:pPr>
              <w:spacing w:before="0"/>
              <w:rPr>
                <w:rStyle w:val="InstructionsTabelleText"/>
                <w:rFonts w:ascii="Times New Roman" w:hAnsi="Times New Roman"/>
                <w:sz w:val="24"/>
              </w:rPr>
            </w:pPr>
            <w:r w:rsidRPr="00E07C9A">
              <w:rPr>
                <w:rStyle w:val="InstructionsTabelleText"/>
                <w:rFonts w:ascii="Times New Roman" w:hAnsi="Times New Roman"/>
                <w:sz w:val="24"/>
              </w:rPr>
              <w:t xml:space="preserve">Články 483 až 491 </w:t>
            </w:r>
            <w:r w:rsidRPr="00E07C9A">
              <w:rPr>
                <w:rFonts w:ascii="Times New Roman" w:hAnsi="Times New Roman"/>
                <w:sz w:val="24"/>
              </w:rPr>
              <w:t xml:space="preserve">nariadenia (EÚ) </w:t>
            </w:r>
            <w:r w:rsidR="009912F8" w:rsidRPr="00E07C9A">
              <w:rPr>
                <w:rFonts w:ascii="Times New Roman" w:hAnsi="Times New Roman"/>
                <w:sz w:val="24"/>
              </w:rPr>
              <w:t>č. 575/2013</w:t>
            </w:r>
          </w:p>
          <w:p w14:paraId="0B9B5A4B" w14:textId="1CEFC25F" w:rsidR="002648B0" w:rsidRPr="00E07C9A" w:rsidRDefault="002648B0" w:rsidP="007106FB">
            <w:pPr>
              <w:spacing w:before="0"/>
              <w:rPr>
                <w:rStyle w:val="FormatvorlageInstructionsTabelleText"/>
                <w:rFonts w:ascii="Times New Roman" w:hAnsi="Times New Roman"/>
                <w:sz w:val="24"/>
              </w:rPr>
            </w:pPr>
            <w:r w:rsidRPr="00E07C9A">
              <w:rPr>
                <w:rStyle w:val="InstructionsTabelleText"/>
                <w:rFonts w:ascii="Times New Roman" w:hAnsi="Times New Roman"/>
                <w:sz w:val="24"/>
              </w:rPr>
              <w:t>Tento riadok vyjadruje celkový účinok nástrojov, ktoré sa prechodne zachovali</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predchádzajúcom stave,</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rôznych typoch kapitálu.</w:t>
            </w:r>
          </w:p>
        </w:tc>
      </w:tr>
      <w:tr w:rsidR="002648B0" w:rsidRPr="00E07C9A" w14:paraId="0CE0E39F" w14:textId="77777777" w:rsidTr="00672D2A">
        <w:tc>
          <w:tcPr>
            <w:tcW w:w="1012" w:type="dxa"/>
          </w:tcPr>
          <w:p w14:paraId="72AD3E7C" w14:textId="77777777" w:rsidR="002648B0" w:rsidRPr="00E07C9A" w:rsidRDefault="008A05EC" w:rsidP="00487A02">
            <w:pPr>
              <w:pStyle w:val="InstructionsText"/>
              <w:rPr>
                <w:rStyle w:val="InstructionsTabelleText"/>
                <w:rFonts w:ascii="Times New Roman" w:hAnsi="Times New Roman"/>
                <w:sz w:val="24"/>
              </w:rPr>
            </w:pPr>
            <w:r w:rsidRPr="00E07C9A">
              <w:rPr>
                <w:rStyle w:val="InstructionsTabelleText"/>
                <w:rFonts w:ascii="Times New Roman" w:hAnsi="Times New Roman"/>
                <w:sz w:val="24"/>
              </w:rPr>
              <w:t>0060</w:t>
            </w:r>
          </w:p>
        </w:tc>
        <w:tc>
          <w:tcPr>
            <w:tcW w:w="7478" w:type="dxa"/>
          </w:tcPr>
          <w:p w14:paraId="7B42FEC6" w14:textId="77777777" w:rsidR="002648B0" w:rsidRPr="00E07C9A" w:rsidRDefault="002648B0" w:rsidP="007106FB">
            <w:pPr>
              <w:spacing w:before="0"/>
              <w:rPr>
                <w:rStyle w:val="InstructionsTabelleText"/>
                <w:rFonts w:ascii="Times New Roman" w:hAnsi="Times New Roman"/>
                <w:b/>
                <w:bCs/>
                <w:sz w:val="24"/>
                <w:u w:val="single"/>
              </w:rPr>
            </w:pPr>
            <w:r w:rsidRPr="00E07C9A">
              <w:rPr>
                <w:rStyle w:val="InstructionsTabelleberschrift"/>
                <w:rFonts w:ascii="Times New Roman" w:hAnsi="Times New Roman"/>
                <w:sz w:val="24"/>
              </w:rPr>
              <w:t>1.1.2.</w:t>
            </w:r>
            <w:r w:rsidRPr="00E07C9A">
              <w:rPr>
                <w:rFonts w:ascii="Times New Roman" w:hAnsi="Times New Roman"/>
              </w:rPr>
              <w:tab/>
            </w:r>
            <w:r w:rsidRPr="00E07C9A">
              <w:rPr>
                <w:rStyle w:val="InstructionsTabelleberschrift"/>
                <w:rFonts w:ascii="Times New Roman" w:hAnsi="Times New Roman"/>
                <w:sz w:val="24"/>
              </w:rPr>
              <w:t>Nástroje, ktoré nepredstavujú štátnu pomoc</w:t>
            </w:r>
          </w:p>
          <w:p w14:paraId="5434E924" w14:textId="77777777" w:rsidR="002648B0" w:rsidRPr="00E07C9A" w:rsidRDefault="002648B0" w:rsidP="00F834C3">
            <w:pPr>
              <w:spacing w:before="0"/>
              <w:rPr>
                <w:rFonts w:ascii="Times New Roman" w:hAnsi="Times New Roman"/>
                <w:b/>
                <w:bCs/>
                <w:sz w:val="24"/>
              </w:rPr>
            </w:pPr>
            <w:r w:rsidRPr="00E07C9A">
              <w:rPr>
                <w:rStyle w:val="InstructionsTabelleText"/>
                <w:rFonts w:ascii="Times New Roman" w:hAnsi="Times New Roman"/>
                <w:sz w:val="24"/>
              </w:rPr>
              <w:t>Vykazované sumy sa získajú zo stĺpca 060 vzoru CA5.2.</w:t>
            </w:r>
          </w:p>
        </w:tc>
      </w:tr>
      <w:tr w:rsidR="00BF0637" w:rsidRPr="00E07C9A" w14:paraId="7FFE9113" w14:textId="77777777" w:rsidTr="00672D2A">
        <w:tc>
          <w:tcPr>
            <w:tcW w:w="1012" w:type="dxa"/>
          </w:tcPr>
          <w:p w14:paraId="2A890090" w14:textId="77777777" w:rsidR="00BF0637" w:rsidRPr="00E07C9A" w:rsidRDefault="008A05EC" w:rsidP="00487A02">
            <w:pPr>
              <w:pStyle w:val="InstructionsText"/>
              <w:rPr>
                <w:rStyle w:val="InstructionsTabelleText"/>
                <w:rFonts w:ascii="Times New Roman" w:hAnsi="Times New Roman"/>
                <w:sz w:val="24"/>
              </w:rPr>
            </w:pPr>
            <w:r w:rsidRPr="00E07C9A">
              <w:rPr>
                <w:rStyle w:val="InstructionsTabelleText"/>
                <w:rFonts w:ascii="Times New Roman" w:hAnsi="Times New Roman"/>
                <w:sz w:val="24"/>
              </w:rPr>
              <w:t>0061</w:t>
            </w:r>
          </w:p>
        </w:tc>
        <w:tc>
          <w:tcPr>
            <w:tcW w:w="7478" w:type="dxa"/>
          </w:tcPr>
          <w:p w14:paraId="64E757D2" w14:textId="77777777" w:rsidR="00BF0637" w:rsidRPr="00E07C9A" w:rsidRDefault="00BF0637" w:rsidP="00BF0637">
            <w:pPr>
              <w:spacing w:before="0"/>
              <w:rPr>
                <w:rStyle w:val="InstructionsTabelleberschrift"/>
                <w:rFonts w:ascii="Times New Roman" w:hAnsi="Times New Roman"/>
                <w:sz w:val="24"/>
              </w:rPr>
            </w:pPr>
            <w:r w:rsidRPr="00E07C9A">
              <w:rPr>
                <w:rStyle w:val="InstructionsTabelleberschrift"/>
                <w:rFonts w:ascii="Times New Roman" w:hAnsi="Times New Roman"/>
                <w:sz w:val="24"/>
              </w:rPr>
              <w:t>1.1.3.</w:t>
            </w:r>
            <w:r w:rsidRPr="00E07C9A">
              <w:rPr>
                <w:rFonts w:ascii="Times New Roman" w:hAnsi="Times New Roman"/>
              </w:rPr>
              <w:tab/>
            </w:r>
            <w:r w:rsidRPr="00E07C9A">
              <w:rPr>
                <w:rStyle w:val="InstructionsTabelleberschrift"/>
                <w:rFonts w:ascii="Times New Roman" w:hAnsi="Times New Roman"/>
                <w:sz w:val="24"/>
              </w:rPr>
              <w:t>Nástroje emitované prostredníctvom účelovo vytvorených subjektov</w:t>
            </w:r>
          </w:p>
          <w:p w14:paraId="1A210662" w14:textId="2C888272" w:rsidR="00BF0637" w:rsidRPr="00E07C9A" w:rsidRDefault="00BF0637" w:rsidP="00BF0637">
            <w:pPr>
              <w:spacing w:before="0"/>
              <w:rPr>
                <w:rStyle w:val="InstructionsTabelleberschrift"/>
                <w:rFonts w:ascii="Times New Roman" w:hAnsi="Times New Roman"/>
                <w:sz w:val="24"/>
              </w:rPr>
            </w:pPr>
            <w:r w:rsidRPr="00E07C9A">
              <w:rPr>
                <w:rStyle w:val="InstructionsTabelleberschrift"/>
                <w:rFonts w:ascii="Times New Roman" w:hAnsi="Times New Roman"/>
                <w:b w:val="0"/>
                <w:sz w:val="24"/>
                <w:u w:val="none"/>
              </w:rPr>
              <w:t xml:space="preserve">Článok 494a </w:t>
            </w:r>
            <w:r w:rsidRPr="00E07C9A">
              <w:rPr>
                <w:rFonts w:ascii="Times New Roman" w:hAnsi="Times New Roman"/>
                <w:sz w:val="24"/>
              </w:rPr>
              <w:t xml:space="preserve">nariadenia (EÚ) </w:t>
            </w:r>
            <w:r w:rsidR="009912F8" w:rsidRPr="00E07C9A">
              <w:rPr>
                <w:rFonts w:ascii="Times New Roman" w:hAnsi="Times New Roman"/>
                <w:sz w:val="24"/>
              </w:rPr>
              <w:t>č. 575/2013</w:t>
            </w:r>
          </w:p>
        </w:tc>
      </w:tr>
      <w:tr w:rsidR="00BF0637" w:rsidRPr="00E07C9A" w14:paraId="5E3521EF" w14:textId="77777777" w:rsidTr="00672D2A">
        <w:tc>
          <w:tcPr>
            <w:tcW w:w="1012" w:type="dxa"/>
          </w:tcPr>
          <w:p w14:paraId="64107DF0" w14:textId="77777777" w:rsidR="00BF0637" w:rsidRPr="00E07C9A" w:rsidRDefault="008A05EC" w:rsidP="00487A02">
            <w:pPr>
              <w:pStyle w:val="InstructionsText"/>
              <w:rPr>
                <w:rStyle w:val="InstructionsTabelleText"/>
                <w:rFonts w:ascii="Times New Roman" w:hAnsi="Times New Roman"/>
                <w:sz w:val="24"/>
              </w:rPr>
            </w:pPr>
            <w:r w:rsidRPr="00E07C9A">
              <w:rPr>
                <w:rStyle w:val="InstructionsTabelleText"/>
                <w:rFonts w:ascii="Times New Roman" w:hAnsi="Times New Roman"/>
                <w:sz w:val="24"/>
              </w:rPr>
              <w:lastRenderedPageBreak/>
              <w:t>0062</w:t>
            </w:r>
          </w:p>
        </w:tc>
        <w:tc>
          <w:tcPr>
            <w:tcW w:w="7478" w:type="dxa"/>
          </w:tcPr>
          <w:p w14:paraId="67BC39BA" w14:textId="0DB9D89F" w:rsidR="00BF0637" w:rsidRPr="00E07C9A" w:rsidRDefault="00BF0637" w:rsidP="00BF0637">
            <w:pPr>
              <w:spacing w:before="0"/>
              <w:rPr>
                <w:rStyle w:val="InstructionsTabelleberschrift"/>
                <w:rFonts w:ascii="Times New Roman" w:hAnsi="Times New Roman"/>
                <w:sz w:val="24"/>
              </w:rPr>
            </w:pPr>
            <w:r w:rsidRPr="00E07C9A">
              <w:rPr>
                <w:rStyle w:val="InstructionsTabelleberschrift"/>
                <w:rFonts w:ascii="Times New Roman" w:hAnsi="Times New Roman"/>
                <w:sz w:val="24"/>
              </w:rPr>
              <w:t>1.1.4.</w:t>
            </w:r>
            <w:r w:rsidRPr="00E07C9A">
              <w:rPr>
                <w:rFonts w:ascii="Times New Roman" w:hAnsi="Times New Roman"/>
              </w:rPr>
              <w:tab/>
            </w:r>
            <w:r w:rsidRPr="00E07C9A">
              <w:rPr>
                <w:rStyle w:val="InstructionsTabelleberschrift"/>
                <w:rFonts w:ascii="Times New Roman" w:hAnsi="Times New Roman"/>
                <w:sz w:val="24"/>
              </w:rPr>
              <w:t>Nástroje emitované pred 27. júnom 2019, ktoré nespĺňajú kritériá prípustnosti týkajúce sa právomocí na odpísanie alebo konverziu podľa článku 59</w:t>
            </w:r>
            <w:r w:rsidRPr="00E07C9A">
              <w:rPr>
                <w:rFonts w:ascii="Times New Roman" w:hAnsi="Times New Roman"/>
                <w:sz w:val="24"/>
              </w:rPr>
              <w:t xml:space="preserve"> smernice 2014/59/EÚ </w:t>
            </w:r>
            <w:r w:rsidRPr="00E07C9A">
              <w:rPr>
                <w:rStyle w:val="InstructionsTabelleberschrift"/>
                <w:rFonts w:ascii="Times New Roman" w:hAnsi="Times New Roman"/>
                <w:sz w:val="24"/>
              </w:rPr>
              <w:t>alebo ktoré sú predmetom dohôd</w:t>
            </w:r>
            <w:r w:rsidR="009912F8" w:rsidRPr="00E07C9A">
              <w:rPr>
                <w:rStyle w:val="InstructionsTabelleberschrift"/>
                <w:rFonts w:ascii="Times New Roman" w:hAnsi="Times New Roman"/>
                <w:sz w:val="24"/>
              </w:rPr>
              <w:t xml:space="preserve"> o </w:t>
            </w:r>
            <w:r w:rsidRPr="00E07C9A">
              <w:rPr>
                <w:rStyle w:val="InstructionsTabelleberschrift"/>
                <w:rFonts w:ascii="Times New Roman" w:hAnsi="Times New Roman"/>
                <w:sz w:val="24"/>
              </w:rPr>
              <w:t>vzájomnom započítaní alebo čistom zúčtovaní</w:t>
            </w:r>
          </w:p>
          <w:p w14:paraId="3AFF70BC" w14:textId="1F5FA4EA" w:rsidR="00BF0637" w:rsidRPr="00E07C9A" w:rsidRDefault="00BF0637" w:rsidP="00BF0637">
            <w:pPr>
              <w:spacing w:before="0"/>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 xml:space="preserve">Článok 494b </w:t>
            </w:r>
            <w:r w:rsidRPr="00E07C9A">
              <w:rPr>
                <w:rFonts w:ascii="Times New Roman" w:hAnsi="Times New Roman"/>
                <w:sz w:val="24"/>
              </w:rPr>
              <w:t xml:space="preserve">nariadenia (EÚ) </w:t>
            </w:r>
            <w:r w:rsidR="009912F8" w:rsidRPr="00E07C9A">
              <w:rPr>
                <w:rFonts w:ascii="Times New Roman" w:hAnsi="Times New Roman"/>
                <w:sz w:val="24"/>
              </w:rPr>
              <w:t>č. 575/2013</w:t>
            </w:r>
          </w:p>
          <w:p w14:paraId="74949FCE" w14:textId="2EEB05A2" w:rsidR="00BF0637" w:rsidRPr="00E07C9A" w:rsidRDefault="00BF0637" w:rsidP="00BF0637">
            <w:pPr>
              <w:spacing w:before="0"/>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Inštitúcie vykazujú hodnotu nástrojov</w:t>
            </w:r>
            <w:r w:rsidR="009912F8" w:rsidRPr="00E07C9A">
              <w:rPr>
                <w:rStyle w:val="InstructionsTabelleberschrift"/>
                <w:rFonts w:ascii="Times New Roman" w:hAnsi="Times New Roman"/>
                <w:b w:val="0"/>
                <w:sz w:val="24"/>
                <w:u w:val="none"/>
              </w:rPr>
              <w:t xml:space="preserve"> v </w:t>
            </w:r>
            <w:r w:rsidRPr="00E07C9A">
              <w:rPr>
                <w:rStyle w:val="InstructionsTabelleberschrift"/>
                <w:rFonts w:ascii="Times New Roman" w:hAnsi="Times New Roman"/>
                <w:b w:val="0"/>
                <w:sz w:val="24"/>
                <w:u w:val="none"/>
              </w:rPr>
              <w:t>rozsahu pôsobnosti článku 494b</w:t>
            </w:r>
            <w:r w:rsidRPr="00E07C9A">
              <w:rPr>
                <w:rFonts w:ascii="Times New Roman" w:hAnsi="Times New Roman"/>
                <w:sz w:val="24"/>
              </w:rPr>
              <w:t xml:space="preserve"> nariadenia (EÚ) </w:t>
            </w:r>
            <w:r w:rsidR="009912F8" w:rsidRPr="00E07C9A">
              <w:rPr>
                <w:rFonts w:ascii="Times New Roman" w:hAnsi="Times New Roman"/>
                <w:sz w:val="24"/>
              </w:rPr>
              <w:t>č. 575/2013</w:t>
            </w:r>
            <w:r w:rsidRPr="00E07C9A">
              <w:rPr>
                <w:rStyle w:val="InstructionsTabelleberschrift"/>
                <w:rFonts w:ascii="Times New Roman" w:hAnsi="Times New Roman"/>
                <w:b w:val="0"/>
                <w:sz w:val="24"/>
                <w:u w:val="none"/>
              </w:rPr>
              <w:t>, ktoré nespĺňajú jedno alebo viac kritérií prípustnosti uvedených</w:t>
            </w:r>
            <w:r w:rsidR="009912F8" w:rsidRPr="00E07C9A">
              <w:rPr>
                <w:rStyle w:val="InstructionsTabelleberschrift"/>
                <w:rFonts w:ascii="Times New Roman" w:hAnsi="Times New Roman"/>
                <w:b w:val="0"/>
                <w:sz w:val="24"/>
                <w:u w:val="none"/>
              </w:rPr>
              <w:t xml:space="preserve"> v </w:t>
            </w:r>
            <w:r w:rsidRPr="00E07C9A">
              <w:rPr>
                <w:rStyle w:val="InstructionsTabelleberschrift"/>
                <w:rFonts w:ascii="Times New Roman" w:hAnsi="Times New Roman"/>
                <w:b w:val="0"/>
                <w:sz w:val="24"/>
                <w:u w:val="none"/>
              </w:rPr>
              <w:t>článku 52 ods. 1 písm. p), q)</w:t>
            </w:r>
            <w:r w:rsidR="009912F8" w:rsidRPr="00E07C9A">
              <w:rPr>
                <w:rStyle w:val="InstructionsTabelleberschrift"/>
                <w:rFonts w:ascii="Times New Roman" w:hAnsi="Times New Roman"/>
                <w:b w:val="0"/>
                <w:sz w:val="24"/>
                <w:u w:val="none"/>
              </w:rPr>
              <w:t xml:space="preserve"> a </w:t>
            </w:r>
            <w:r w:rsidRPr="00E07C9A">
              <w:rPr>
                <w:rStyle w:val="InstructionsTabelleberschrift"/>
                <w:rFonts w:ascii="Times New Roman" w:hAnsi="Times New Roman"/>
                <w:b w:val="0"/>
                <w:sz w:val="24"/>
                <w:u w:val="none"/>
              </w:rPr>
              <w:t>r)</w:t>
            </w:r>
            <w:r w:rsidRPr="00E07C9A">
              <w:rPr>
                <w:rFonts w:ascii="Times New Roman" w:hAnsi="Times New Roman"/>
                <w:sz w:val="24"/>
              </w:rPr>
              <w:t xml:space="preserve"> uvedeného nariadenia</w:t>
            </w:r>
            <w:r w:rsidRPr="00E07C9A">
              <w:rPr>
                <w:rStyle w:val="InstructionsTabelleberschrift"/>
                <w:rFonts w:ascii="Times New Roman" w:hAnsi="Times New Roman"/>
                <w:b w:val="0"/>
                <w:sz w:val="24"/>
                <w:u w:val="none"/>
              </w:rPr>
              <w:t>, alebo prípadne</w:t>
            </w:r>
            <w:r w:rsidR="009912F8" w:rsidRPr="00E07C9A">
              <w:rPr>
                <w:rStyle w:val="InstructionsTabelleberschrift"/>
                <w:rFonts w:ascii="Times New Roman" w:hAnsi="Times New Roman"/>
                <w:b w:val="0"/>
                <w:sz w:val="24"/>
                <w:u w:val="none"/>
              </w:rPr>
              <w:t xml:space="preserve"> v </w:t>
            </w:r>
            <w:r w:rsidRPr="00E07C9A">
              <w:rPr>
                <w:rStyle w:val="InstructionsTabelleberschrift"/>
                <w:rFonts w:ascii="Times New Roman" w:hAnsi="Times New Roman"/>
                <w:b w:val="0"/>
                <w:sz w:val="24"/>
                <w:u w:val="none"/>
              </w:rPr>
              <w:t>článku 63 písm. n), o)</w:t>
            </w:r>
            <w:r w:rsidR="009912F8" w:rsidRPr="00E07C9A">
              <w:rPr>
                <w:rStyle w:val="InstructionsTabelleberschrift"/>
                <w:rFonts w:ascii="Times New Roman" w:hAnsi="Times New Roman"/>
                <w:b w:val="0"/>
                <w:sz w:val="24"/>
                <w:u w:val="none"/>
              </w:rPr>
              <w:t xml:space="preserve"> a </w:t>
            </w:r>
            <w:r w:rsidRPr="00E07C9A">
              <w:rPr>
                <w:rStyle w:val="InstructionsTabelleberschrift"/>
                <w:rFonts w:ascii="Times New Roman" w:hAnsi="Times New Roman"/>
                <w:b w:val="0"/>
                <w:sz w:val="24"/>
                <w:u w:val="none"/>
              </w:rPr>
              <w:t>p)</w:t>
            </w:r>
            <w:r w:rsidRPr="00E07C9A">
              <w:rPr>
                <w:rFonts w:ascii="Times New Roman" w:hAnsi="Times New Roman"/>
                <w:sz w:val="24"/>
              </w:rPr>
              <w:t xml:space="preserve"> uvedeného nariadenia.</w:t>
            </w:r>
          </w:p>
          <w:p w14:paraId="04C394EE" w14:textId="09B69D5D" w:rsidR="00BF0637" w:rsidRPr="00E07C9A" w:rsidRDefault="00BF0637" w:rsidP="00975344">
            <w:pPr>
              <w:spacing w:before="0"/>
              <w:rPr>
                <w:rStyle w:val="InstructionsTabelleberschrift"/>
                <w:rFonts w:ascii="Times New Roman" w:hAnsi="Times New Roman"/>
                <w:sz w:val="24"/>
              </w:rPr>
            </w:pPr>
            <w:r w:rsidRPr="00E07C9A">
              <w:rPr>
                <w:rStyle w:val="InstructionsTabelleberschrift"/>
                <w:rFonts w:ascii="Times New Roman" w:hAnsi="Times New Roman"/>
                <w:b w:val="0"/>
                <w:sz w:val="24"/>
                <w:u w:val="none"/>
              </w:rPr>
              <w:t>V prípade nástrojov Tier 2 prípustných</w:t>
            </w:r>
            <w:r w:rsidR="009912F8" w:rsidRPr="00E07C9A">
              <w:rPr>
                <w:rStyle w:val="InstructionsTabelleberschrift"/>
                <w:rFonts w:ascii="Times New Roman" w:hAnsi="Times New Roman"/>
                <w:b w:val="0"/>
                <w:sz w:val="24"/>
                <w:u w:val="none"/>
              </w:rPr>
              <w:t xml:space="preserve"> v </w:t>
            </w:r>
            <w:r w:rsidRPr="00E07C9A">
              <w:rPr>
                <w:rStyle w:val="InstructionsTabelleberschrift"/>
                <w:rFonts w:ascii="Times New Roman" w:hAnsi="Times New Roman"/>
                <w:b w:val="0"/>
                <w:sz w:val="24"/>
                <w:u w:val="none"/>
              </w:rPr>
              <w:t>súlade</w:t>
            </w:r>
            <w:r w:rsidR="009912F8" w:rsidRPr="00E07C9A">
              <w:rPr>
                <w:rStyle w:val="InstructionsTabelleberschrift"/>
                <w:rFonts w:ascii="Times New Roman" w:hAnsi="Times New Roman"/>
                <w:b w:val="0"/>
                <w:sz w:val="24"/>
                <w:u w:val="none"/>
              </w:rPr>
              <w:t xml:space="preserve"> s </w:t>
            </w:r>
            <w:r w:rsidRPr="00E07C9A">
              <w:rPr>
                <w:rStyle w:val="InstructionsTabelleberschrift"/>
                <w:rFonts w:ascii="Times New Roman" w:hAnsi="Times New Roman"/>
                <w:b w:val="0"/>
                <w:sz w:val="24"/>
                <w:u w:val="none"/>
              </w:rPr>
              <w:t>článkom 494b ods. 2</w:t>
            </w:r>
            <w:r w:rsidRPr="00E07C9A">
              <w:rPr>
                <w:rFonts w:ascii="Times New Roman" w:hAnsi="Times New Roman"/>
                <w:sz w:val="24"/>
              </w:rPr>
              <w:t xml:space="preserve"> nariadenia (EÚ) </w:t>
            </w:r>
            <w:r w:rsidR="009912F8" w:rsidRPr="00E07C9A">
              <w:rPr>
                <w:rFonts w:ascii="Times New Roman" w:hAnsi="Times New Roman"/>
                <w:sz w:val="24"/>
              </w:rPr>
              <w:t>č. 575/2013</w:t>
            </w:r>
            <w:r w:rsidRPr="00E07C9A">
              <w:rPr>
                <w:rStyle w:val="InstructionsTabelleberschrift"/>
                <w:rFonts w:ascii="Times New Roman" w:hAnsi="Times New Roman"/>
                <w:b w:val="0"/>
                <w:sz w:val="24"/>
                <w:u w:val="none"/>
              </w:rPr>
              <w:t xml:space="preserve"> sa dodržiavajú ustanovenia</w:t>
            </w:r>
            <w:r w:rsidR="009912F8" w:rsidRPr="00E07C9A">
              <w:rPr>
                <w:rStyle w:val="InstructionsTabelleberschrift"/>
                <w:rFonts w:ascii="Times New Roman" w:hAnsi="Times New Roman"/>
                <w:b w:val="0"/>
                <w:sz w:val="24"/>
                <w:u w:val="none"/>
              </w:rPr>
              <w:t xml:space="preserve"> o </w:t>
            </w:r>
            <w:r w:rsidRPr="00E07C9A">
              <w:rPr>
                <w:rStyle w:val="InstructionsTabelleberschrift"/>
                <w:rFonts w:ascii="Times New Roman" w:hAnsi="Times New Roman"/>
                <w:b w:val="0"/>
                <w:sz w:val="24"/>
                <w:u w:val="none"/>
              </w:rPr>
              <w:t>amortizácii uvedené</w:t>
            </w:r>
            <w:r w:rsidR="009912F8" w:rsidRPr="00E07C9A">
              <w:rPr>
                <w:rStyle w:val="InstructionsTabelleberschrift"/>
                <w:rFonts w:ascii="Times New Roman" w:hAnsi="Times New Roman"/>
                <w:b w:val="0"/>
                <w:sz w:val="24"/>
                <w:u w:val="none"/>
              </w:rPr>
              <w:t xml:space="preserve"> v </w:t>
            </w:r>
            <w:r w:rsidRPr="00E07C9A">
              <w:rPr>
                <w:rStyle w:val="InstructionsTabelleberschrift"/>
                <w:rFonts w:ascii="Times New Roman" w:hAnsi="Times New Roman"/>
                <w:b w:val="0"/>
                <w:sz w:val="24"/>
                <w:u w:val="none"/>
              </w:rPr>
              <w:t>článku 64</w:t>
            </w:r>
            <w:r w:rsidRPr="00E07C9A">
              <w:rPr>
                <w:rFonts w:ascii="Times New Roman" w:hAnsi="Times New Roman"/>
                <w:sz w:val="24"/>
              </w:rPr>
              <w:t xml:space="preserve"> uvedeného nariadenia</w:t>
            </w:r>
            <w:r w:rsidRPr="00E07C9A">
              <w:rPr>
                <w:rStyle w:val="InstructionsTabelleberschrift"/>
                <w:rFonts w:ascii="Times New Roman" w:hAnsi="Times New Roman"/>
                <w:b w:val="0"/>
                <w:sz w:val="24"/>
                <w:u w:val="none"/>
              </w:rPr>
              <w:t>.</w:t>
            </w:r>
          </w:p>
        </w:tc>
      </w:tr>
      <w:tr w:rsidR="00BF0637" w:rsidRPr="00E07C9A" w14:paraId="6C4658AE" w14:textId="77777777" w:rsidTr="00672D2A">
        <w:tc>
          <w:tcPr>
            <w:tcW w:w="1012" w:type="dxa"/>
          </w:tcPr>
          <w:p w14:paraId="3763C5DC" w14:textId="77777777" w:rsidR="00BF0637" w:rsidRPr="00E07C9A" w:rsidRDefault="00BF0637" w:rsidP="00487A02">
            <w:pPr>
              <w:pStyle w:val="InstructionsText"/>
              <w:rPr>
                <w:rStyle w:val="InstructionsTabelleText"/>
                <w:rFonts w:ascii="Times New Roman" w:hAnsi="Times New Roman"/>
                <w:sz w:val="24"/>
              </w:rPr>
            </w:pPr>
            <w:r w:rsidRPr="00E07C9A">
              <w:rPr>
                <w:rStyle w:val="InstructionsTabelleText"/>
                <w:rFonts w:ascii="Times New Roman" w:hAnsi="Times New Roman"/>
                <w:sz w:val="24"/>
              </w:rPr>
              <w:t>0063</w:t>
            </w:r>
          </w:p>
        </w:tc>
        <w:tc>
          <w:tcPr>
            <w:tcW w:w="7478" w:type="dxa"/>
          </w:tcPr>
          <w:p w14:paraId="09AA6251" w14:textId="15822EE9" w:rsidR="00BF0637" w:rsidRPr="00E07C9A" w:rsidRDefault="00BF0637" w:rsidP="00BF0637">
            <w:pPr>
              <w:spacing w:before="0"/>
              <w:rPr>
                <w:rStyle w:val="InstructionsTabelleberschrift"/>
                <w:rFonts w:ascii="Times New Roman" w:hAnsi="Times New Roman"/>
                <w:sz w:val="24"/>
              </w:rPr>
            </w:pPr>
            <w:r w:rsidRPr="00E07C9A">
              <w:rPr>
                <w:rStyle w:val="InstructionsTabelleberschrift"/>
                <w:rFonts w:ascii="Times New Roman" w:hAnsi="Times New Roman"/>
                <w:sz w:val="24"/>
              </w:rPr>
              <w:t>1.1.4.1.*</w:t>
            </w:r>
            <w:r w:rsidRPr="00E07C9A">
              <w:rPr>
                <w:rFonts w:ascii="Times New Roman" w:hAnsi="Times New Roman"/>
              </w:rPr>
              <w:tab/>
            </w:r>
            <w:r w:rsidRPr="00E07C9A">
              <w:rPr>
                <w:rStyle w:val="InstructionsTabelleberschrift"/>
                <w:rFonts w:ascii="Times New Roman" w:hAnsi="Times New Roman"/>
                <w:sz w:val="24"/>
              </w:rPr>
              <w:t>z čoho: nástroje bez právne alebo zmluvne povinného odpísania alebo konverzie pri uplatnení právomocí podľa článku 59 smernice 2014/59/EÚ</w:t>
            </w:r>
          </w:p>
          <w:p w14:paraId="688A6549" w14:textId="7C3DA3A6" w:rsidR="00BF0637" w:rsidRPr="00E07C9A" w:rsidRDefault="0044539D" w:rsidP="00BF0637">
            <w:pPr>
              <w:spacing w:before="0"/>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Článok 494b, článok 52 ods. 1 písm. p)</w:t>
            </w:r>
            <w:r w:rsidR="009912F8" w:rsidRPr="00E07C9A">
              <w:rPr>
                <w:rStyle w:val="InstructionsTabelleberschrift"/>
                <w:rFonts w:ascii="Times New Roman" w:hAnsi="Times New Roman"/>
                <w:b w:val="0"/>
                <w:sz w:val="24"/>
                <w:u w:val="none"/>
              </w:rPr>
              <w:t xml:space="preserve"> a </w:t>
            </w:r>
            <w:r w:rsidRPr="00E07C9A">
              <w:rPr>
                <w:rStyle w:val="InstructionsTabelleberschrift"/>
                <w:rFonts w:ascii="Times New Roman" w:hAnsi="Times New Roman"/>
                <w:b w:val="0"/>
                <w:sz w:val="24"/>
                <w:u w:val="none"/>
              </w:rPr>
              <w:t xml:space="preserve">článok 63 písm. n) </w:t>
            </w:r>
            <w:r w:rsidRPr="00E07C9A">
              <w:rPr>
                <w:rFonts w:ascii="Times New Roman" w:hAnsi="Times New Roman"/>
                <w:sz w:val="24"/>
              </w:rPr>
              <w:t xml:space="preserve">nariadenia (EÚ) </w:t>
            </w:r>
            <w:r w:rsidR="009912F8" w:rsidRPr="00E07C9A">
              <w:rPr>
                <w:rFonts w:ascii="Times New Roman" w:hAnsi="Times New Roman"/>
                <w:sz w:val="24"/>
              </w:rPr>
              <w:t>č. 575/2013</w:t>
            </w:r>
          </w:p>
          <w:p w14:paraId="205C93A3" w14:textId="3FE4BEBC" w:rsidR="00BF0637" w:rsidRPr="00E07C9A" w:rsidRDefault="00BF0637" w:rsidP="00BF0637">
            <w:pPr>
              <w:spacing w:before="0"/>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Inštitúcie vykazujú hodnotu nástrojov</w:t>
            </w:r>
            <w:r w:rsidR="009912F8" w:rsidRPr="00E07C9A">
              <w:rPr>
                <w:rStyle w:val="InstructionsTabelleberschrift"/>
                <w:rFonts w:ascii="Times New Roman" w:hAnsi="Times New Roman"/>
                <w:b w:val="0"/>
                <w:sz w:val="24"/>
                <w:u w:val="none"/>
              </w:rPr>
              <w:t xml:space="preserve"> v </w:t>
            </w:r>
            <w:r w:rsidRPr="00E07C9A">
              <w:rPr>
                <w:rStyle w:val="InstructionsTabelleberschrift"/>
                <w:rFonts w:ascii="Times New Roman" w:hAnsi="Times New Roman"/>
                <w:b w:val="0"/>
                <w:sz w:val="24"/>
                <w:u w:val="none"/>
              </w:rPr>
              <w:t>rozsahu pôsobnosti článku 494b</w:t>
            </w:r>
            <w:r w:rsidRPr="00E07C9A">
              <w:rPr>
                <w:rFonts w:ascii="Times New Roman" w:hAnsi="Times New Roman"/>
                <w:sz w:val="24"/>
              </w:rPr>
              <w:t xml:space="preserve"> nariadenia (EÚ) </w:t>
            </w:r>
            <w:r w:rsidR="009912F8" w:rsidRPr="00E07C9A">
              <w:rPr>
                <w:rFonts w:ascii="Times New Roman" w:hAnsi="Times New Roman"/>
                <w:sz w:val="24"/>
              </w:rPr>
              <w:t>č. 575/2013</w:t>
            </w:r>
            <w:r w:rsidRPr="00E07C9A">
              <w:rPr>
                <w:rStyle w:val="InstructionsTabelleberschrift"/>
                <w:rFonts w:ascii="Times New Roman" w:hAnsi="Times New Roman"/>
                <w:b w:val="0"/>
                <w:sz w:val="24"/>
                <w:u w:val="none"/>
              </w:rPr>
              <w:t>, ktoré nespĺňajú kritériá prípustnosti uvedené</w:t>
            </w:r>
            <w:r w:rsidR="009912F8" w:rsidRPr="00E07C9A">
              <w:rPr>
                <w:rStyle w:val="InstructionsTabelleberschrift"/>
                <w:rFonts w:ascii="Times New Roman" w:hAnsi="Times New Roman"/>
                <w:b w:val="0"/>
                <w:sz w:val="24"/>
                <w:u w:val="none"/>
              </w:rPr>
              <w:t xml:space="preserve"> v </w:t>
            </w:r>
            <w:r w:rsidRPr="00E07C9A">
              <w:rPr>
                <w:rStyle w:val="InstructionsTabelleberschrift"/>
                <w:rFonts w:ascii="Times New Roman" w:hAnsi="Times New Roman"/>
                <w:b w:val="0"/>
                <w:sz w:val="24"/>
                <w:u w:val="none"/>
              </w:rPr>
              <w:t>článku 52 ods. 1 písm. p) alebo prípadne</w:t>
            </w:r>
            <w:r w:rsidR="009912F8" w:rsidRPr="00E07C9A">
              <w:rPr>
                <w:rStyle w:val="InstructionsTabelleberschrift"/>
                <w:rFonts w:ascii="Times New Roman" w:hAnsi="Times New Roman"/>
                <w:b w:val="0"/>
                <w:sz w:val="24"/>
                <w:u w:val="none"/>
              </w:rPr>
              <w:t xml:space="preserve"> v </w:t>
            </w:r>
            <w:r w:rsidRPr="00E07C9A">
              <w:rPr>
                <w:rStyle w:val="InstructionsTabelleberschrift"/>
                <w:rFonts w:ascii="Times New Roman" w:hAnsi="Times New Roman"/>
                <w:b w:val="0"/>
                <w:sz w:val="24"/>
                <w:u w:val="none"/>
              </w:rPr>
              <w:t>článku 63 písm. n)</w:t>
            </w:r>
            <w:r w:rsidRPr="00E07C9A">
              <w:rPr>
                <w:rFonts w:ascii="Times New Roman" w:hAnsi="Times New Roman"/>
                <w:sz w:val="24"/>
              </w:rPr>
              <w:t xml:space="preserve"> uvedeného nariadenia.</w:t>
            </w:r>
          </w:p>
          <w:p w14:paraId="1A98A032" w14:textId="5D2C8757" w:rsidR="00BF0637" w:rsidRPr="00E07C9A" w:rsidRDefault="00BF0637" w:rsidP="00975344">
            <w:pPr>
              <w:spacing w:before="0"/>
              <w:rPr>
                <w:rStyle w:val="InstructionsTabelleberschrift"/>
                <w:rFonts w:ascii="Times New Roman" w:hAnsi="Times New Roman"/>
                <w:sz w:val="24"/>
              </w:rPr>
            </w:pPr>
            <w:r w:rsidRPr="00E07C9A">
              <w:rPr>
                <w:rStyle w:val="InstructionsTabelleberschrift"/>
                <w:rFonts w:ascii="Times New Roman" w:hAnsi="Times New Roman"/>
                <w:b w:val="0"/>
                <w:sz w:val="24"/>
                <w:u w:val="none"/>
              </w:rPr>
              <w:t>To zahŕňa aj nástroje, ktoré dodatočne nespĺňajú kritériá prípustnosti uvedené</w:t>
            </w:r>
            <w:r w:rsidR="009912F8" w:rsidRPr="00E07C9A">
              <w:rPr>
                <w:rStyle w:val="InstructionsTabelleberschrift"/>
                <w:rFonts w:ascii="Times New Roman" w:hAnsi="Times New Roman"/>
                <w:b w:val="0"/>
                <w:sz w:val="24"/>
                <w:u w:val="none"/>
              </w:rPr>
              <w:t xml:space="preserve"> v </w:t>
            </w:r>
            <w:r w:rsidRPr="00E07C9A">
              <w:rPr>
                <w:rStyle w:val="InstructionsTabelleberschrift"/>
                <w:rFonts w:ascii="Times New Roman" w:hAnsi="Times New Roman"/>
                <w:b w:val="0"/>
                <w:sz w:val="24"/>
                <w:u w:val="none"/>
              </w:rPr>
              <w:t>článku 52 ods. 1 písm. q) alebo r)</w:t>
            </w:r>
            <w:r w:rsidRPr="00E07C9A">
              <w:rPr>
                <w:rFonts w:ascii="Times New Roman" w:hAnsi="Times New Roman"/>
                <w:sz w:val="24"/>
              </w:rPr>
              <w:t xml:space="preserve"> nariadenia (EÚ) </w:t>
            </w:r>
            <w:r w:rsidR="009912F8" w:rsidRPr="00E07C9A">
              <w:rPr>
                <w:rFonts w:ascii="Times New Roman" w:hAnsi="Times New Roman"/>
                <w:sz w:val="24"/>
              </w:rPr>
              <w:t>č. 575/2013</w:t>
            </w:r>
            <w:r w:rsidRPr="00E07C9A">
              <w:rPr>
                <w:rStyle w:val="InstructionsTabelleberschrift"/>
                <w:rFonts w:ascii="Times New Roman" w:hAnsi="Times New Roman"/>
                <w:b w:val="0"/>
                <w:sz w:val="24"/>
                <w:u w:val="none"/>
              </w:rPr>
              <w:t xml:space="preserve"> alebo prípadne</w:t>
            </w:r>
            <w:r w:rsidR="009912F8" w:rsidRPr="00E07C9A">
              <w:rPr>
                <w:rStyle w:val="InstructionsTabelleberschrift"/>
                <w:rFonts w:ascii="Times New Roman" w:hAnsi="Times New Roman"/>
                <w:b w:val="0"/>
                <w:sz w:val="24"/>
                <w:u w:val="none"/>
              </w:rPr>
              <w:t xml:space="preserve"> v </w:t>
            </w:r>
            <w:r w:rsidRPr="00E07C9A">
              <w:rPr>
                <w:rStyle w:val="InstructionsTabelleberschrift"/>
                <w:rFonts w:ascii="Times New Roman" w:hAnsi="Times New Roman"/>
                <w:b w:val="0"/>
                <w:sz w:val="24"/>
                <w:u w:val="none"/>
              </w:rPr>
              <w:t>článku 63 písm. o) alebo p)</w:t>
            </w:r>
            <w:r w:rsidRPr="00E07C9A">
              <w:rPr>
                <w:rFonts w:ascii="Times New Roman" w:hAnsi="Times New Roman"/>
                <w:sz w:val="24"/>
              </w:rPr>
              <w:t xml:space="preserve"> uvedeného nariadenia</w:t>
            </w:r>
            <w:r w:rsidRPr="00E07C9A">
              <w:rPr>
                <w:rStyle w:val="InstructionsTabelleberschrift"/>
                <w:rFonts w:ascii="Times New Roman" w:hAnsi="Times New Roman"/>
                <w:b w:val="0"/>
                <w:sz w:val="24"/>
                <w:u w:val="none"/>
              </w:rPr>
              <w:t>.</w:t>
            </w:r>
          </w:p>
        </w:tc>
      </w:tr>
      <w:tr w:rsidR="00BF0637" w:rsidRPr="00E07C9A" w14:paraId="2CD8CFC8" w14:textId="77777777" w:rsidTr="00672D2A">
        <w:tc>
          <w:tcPr>
            <w:tcW w:w="1012" w:type="dxa"/>
          </w:tcPr>
          <w:p w14:paraId="61C50617" w14:textId="77777777" w:rsidR="00BF0637" w:rsidRPr="00E07C9A" w:rsidRDefault="00BF0637" w:rsidP="00487A02">
            <w:pPr>
              <w:pStyle w:val="InstructionsText"/>
              <w:rPr>
                <w:rStyle w:val="InstructionsTabelleText"/>
                <w:rFonts w:ascii="Times New Roman" w:hAnsi="Times New Roman"/>
                <w:sz w:val="24"/>
              </w:rPr>
            </w:pPr>
            <w:r w:rsidRPr="00E07C9A">
              <w:rPr>
                <w:rStyle w:val="InstructionsTabelleText"/>
                <w:rFonts w:ascii="Times New Roman" w:hAnsi="Times New Roman"/>
                <w:sz w:val="24"/>
              </w:rPr>
              <w:t>0064</w:t>
            </w:r>
          </w:p>
        </w:tc>
        <w:tc>
          <w:tcPr>
            <w:tcW w:w="7478" w:type="dxa"/>
          </w:tcPr>
          <w:p w14:paraId="5E879C5C" w14:textId="56688CC4" w:rsidR="00BF0637" w:rsidRPr="00E07C9A" w:rsidRDefault="00BF0637" w:rsidP="00BF0637">
            <w:pPr>
              <w:spacing w:before="0"/>
              <w:rPr>
                <w:rStyle w:val="InstructionsTabelleberschrift"/>
                <w:rFonts w:ascii="Times New Roman" w:hAnsi="Times New Roman"/>
                <w:sz w:val="24"/>
              </w:rPr>
            </w:pPr>
            <w:r w:rsidRPr="00E07C9A">
              <w:rPr>
                <w:rStyle w:val="InstructionsTabelleberschrift"/>
                <w:rFonts w:ascii="Times New Roman" w:hAnsi="Times New Roman"/>
                <w:sz w:val="24"/>
              </w:rPr>
              <w:t>1.1.4.2.*</w:t>
            </w:r>
            <w:r w:rsidRPr="00E07C9A">
              <w:rPr>
                <w:rFonts w:ascii="Times New Roman" w:hAnsi="Times New Roman"/>
              </w:rPr>
              <w:tab/>
            </w:r>
            <w:r w:rsidRPr="00E07C9A">
              <w:rPr>
                <w:rStyle w:val="InstructionsTabelleberschrift"/>
                <w:rFonts w:ascii="Times New Roman" w:hAnsi="Times New Roman"/>
                <w:sz w:val="24"/>
              </w:rPr>
              <w:t>z čoho: nástroje, ktoré sa riadia právom tretej krajiny, bez účinného</w:t>
            </w:r>
            <w:r w:rsidR="009912F8" w:rsidRPr="00E07C9A">
              <w:rPr>
                <w:rStyle w:val="InstructionsTabelleberschrift"/>
                <w:rFonts w:ascii="Times New Roman" w:hAnsi="Times New Roman"/>
                <w:sz w:val="24"/>
              </w:rPr>
              <w:t xml:space="preserve"> a </w:t>
            </w:r>
            <w:r w:rsidRPr="00E07C9A">
              <w:rPr>
                <w:rStyle w:val="InstructionsTabelleberschrift"/>
                <w:rFonts w:ascii="Times New Roman" w:hAnsi="Times New Roman"/>
                <w:sz w:val="24"/>
              </w:rPr>
              <w:t>vymožiteľného uplatnenia právomocí podľa článku 59 smernice 2014/59/EÚ</w:t>
            </w:r>
          </w:p>
          <w:p w14:paraId="138666DE" w14:textId="10700832" w:rsidR="00BF0637" w:rsidRPr="00E07C9A" w:rsidRDefault="00BF0637" w:rsidP="00BF0637">
            <w:pPr>
              <w:spacing w:before="0"/>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Článok 494b, článok 52 ods. 1 písm. q)</w:t>
            </w:r>
            <w:r w:rsidR="009912F8" w:rsidRPr="00E07C9A">
              <w:rPr>
                <w:rStyle w:val="InstructionsTabelleberschrift"/>
                <w:rFonts w:ascii="Times New Roman" w:hAnsi="Times New Roman"/>
                <w:b w:val="0"/>
                <w:sz w:val="24"/>
                <w:u w:val="none"/>
              </w:rPr>
              <w:t xml:space="preserve"> a </w:t>
            </w:r>
            <w:r w:rsidRPr="00E07C9A">
              <w:rPr>
                <w:rStyle w:val="InstructionsTabelleberschrift"/>
                <w:rFonts w:ascii="Times New Roman" w:hAnsi="Times New Roman"/>
                <w:b w:val="0"/>
                <w:sz w:val="24"/>
                <w:u w:val="none"/>
              </w:rPr>
              <w:t xml:space="preserve">článok 63 písm. o) </w:t>
            </w:r>
            <w:r w:rsidRPr="00E07C9A">
              <w:rPr>
                <w:rFonts w:ascii="Times New Roman" w:hAnsi="Times New Roman"/>
                <w:sz w:val="24"/>
              </w:rPr>
              <w:t xml:space="preserve">nariadenia (EÚ) </w:t>
            </w:r>
            <w:r w:rsidR="009912F8" w:rsidRPr="00E07C9A">
              <w:rPr>
                <w:rFonts w:ascii="Times New Roman" w:hAnsi="Times New Roman"/>
                <w:sz w:val="24"/>
              </w:rPr>
              <w:t>č. 575/2013</w:t>
            </w:r>
          </w:p>
          <w:p w14:paraId="26250647" w14:textId="06ED16C3" w:rsidR="00BF0637" w:rsidRPr="00E07C9A" w:rsidRDefault="00BF0637" w:rsidP="00BF0637">
            <w:pPr>
              <w:spacing w:before="0"/>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Inštitúcie vykazujú hodnotu nástrojov</w:t>
            </w:r>
            <w:r w:rsidR="009912F8" w:rsidRPr="00E07C9A">
              <w:rPr>
                <w:rStyle w:val="InstructionsTabelleberschrift"/>
                <w:rFonts w:ascii="Times New Roman" w:hAnsi="Times New Roman"/>
                <w:b w:val="0"/>
                <w:sz w:val="24"/>
                <w:u w:val="none"/>
              </w:rPr>
              <w:t xml:space="preserve"> v </w:t>
            </w:r>
            <w:r w:rsidRPr="00E07C9A">
              <w:rPr>
                <w:rStyle w:val="InstructionsTabelleberschrift"/>
                <w:rFonts w:ascii="Times New Roman" w:hAnsi="Times New Roman"/>
                <w:b w:val="0"/>
                <w:sz w:val="24"/>
                <w:u w:val="none"/>
              </w:rPr>
              <w:t>rozsahu pôsobnosti článku 494b</w:t>
            </w:r>
            <w:r w:rsidRPr="00E07C9A">
              <w:rPr>
                <w:rFonts w:ascii="Times New Roman" w:hAnsi="Times New Roman"/>
                <w:sz w:val="24"/>
              </w:rPr>
              <w:t xml:space="preserve"> nariadenia (EÚ) </w:t>
            </w:r>
            <w:r w:rsidR="009912F8" w:rsidRPr="00E07C9A">
              <w:rPr>
                <w:rFonts w:ascii="Times New Roman" w:hAnsi="Times New Roman"/>
                <w:sz w:val="24"/>
              </w:rPr>
              <w:t>č. 575/2013</w:t>
            </w:r>
            <w:r w:rsidRPr="00E07C9A">
              <w:rPr>
                <w:rStyle w:val="InstructionsTabelleberschrift"/>
                <w:rFonts w:ascii="Times New Roman" w:hAnsi="Times New Roman"/>
                <w:b w:val="0"/>
                <w:sz w:val="24"/>
                <w:u w:val="none"/>
              </w:rPr>
              <w:t>, ktoré nespĺňajú kritériá prípustnosti uvedené</w:t>
            </w:r>
            <w:r w:rsidR="009912F8" w:rsidRPr="00E07C9A">
              <w:rPr>
                <w:rStyle w:val="InstructionsTabelleberschrift"/>
                <w:rFonts w:ascii="Times New Roman" w:hAnsi="Times New Roman"/>
                <w:b w:val="0"/>
                <w:sz w:val="24"/>
                <w:u w:val="none"/>
              </w:rPr>
              <w:t xml:space="preserve"> v </w:t>
            </w:r>
            <w:r w:rsidRPr="00E07C9A">
              <w:rPr>
                <w:rStyle w:val="InstructionsTabelleberschrift"/>
                <w:rFonts w:ascii="Times New Roman" w:hAnsi="Times New Roman"/>
                <w:b w:val="0"/>
                <w:sz w:val="24"/>
                <w:u w:val="none"/>
              </w:rPr>
              <w:t>článku 52 ods. 1 písm. q) alebo prípadne</w:t>
            </w:r>
            <w:r w:rsidR="009912F8" w:rsidRPr="00E07C9A">
              <w:rPr>
                <w:rStyle w:val="InstructionsTabelleberschrift"/>
                <w:rFonts w:ascii="Times New Roman" w:hAnsi="Times New Roman"/>
                <w:b w:val="0"/>
                <w:sz w:val="24"/>
                <w:u w:val="none"/>
              </w:rPr>
              <w:t xml:space="preserve"> v </w:t>
            </w:r>
            <w:r w:rsidRPr="00E07C9A">
              <w:rPr>
                <w:rStyle w:val="InstructionsTabelleberschrift"/>
                <w:rFonts w:ascii="Times New Roman" w:hAnsi="Times New Roman"/>
                <w:b w:val="0"/>
                <w:sz w:val="24"/>
                <w:u w:val="none"/>
              </w:rPr>
              <w:t>článku 63 písm. o)</w:t>
            </w:r>
            <w:r w:rsidRPr="00E07C9A">
              <w:rPr>
                <w:rFonts w:ascii="Times New Roman" w:hAnsi="Times New Roman"/>
                <w:sz w:val="24"/>
              </w:rPr>
              <w:t xml:space="preserve"> uvedeného nariadenia.</w:t>
            </w:r>
          </w:p>
          <w:p w14:paraId="756E8B09" w14:textId="16415148" w:rsidR="00BF0637" w:rsidRPr="00E07C9A" w:rsidRDefault="00BF0637" w:rsidP="00975344">
            <w:pPr>
              <w:spacing w:before="0"/>
              <w:rPr>
                <w:rStyle w:val="InstructionsTabelleberschrift"/>
                <w:rFonts w:ascii="Times New Roman" w:hAnsi="Times New Roman"/>
                <w:sz w:val="24"/>
              </w:rPr>
            </w:pPr>
            <w:r w:rsidRPr="00E07C9A">
              <w:rPr>
                <w:rStyle w:val="InstructionsTabelleberschrift"/>
                <w:rFonts w:ascii="Times New Roman" w:hAnsi="Times New Roman"/>
                <w:b w:val="0"/>
                <w:sz w:val="24"/>
                <w:u w:val="none"/>
              </w:rPr>
              <w:t>To zahŕňa aj nástroje, ktoré dodatočne nespĺňajú kritériá prípustnosti uvedené</w:t>
            </w:r>
            <w:r w:rsidR="009912F8" w:rsidRPr="00E07C9A">
              <w:rPr>
                <w:rStyle w:val="InstructionsTabelleberschrift"/>
                <w:rFonts w:ascii="Times New Roman" w:hAnsi="Times New Roman"/>
                <w:b w:val="0"/>
                <w:sz w:val="24"/>
                <w:u w:val="none"/>
              </w:rPr>
              <w:t xml:space="preserve"> v </w:t>
            </w:r>
            <w:r w:rsidRPr="00E07C9A">
              <w:rPr>
                <w:rStyle w:val="InstructionsTabelleberschrift"/>
                <w:rFonts w:ascii="Times New Roman" w:hAnsi="Times New Roman"/>
                <w:b w:val="0"/>
                <w:sz w:val="24"/>
                <w:u w:val="none"/>
              </w:rPr>
              <w:t>článku 52 ods. 1 písm. p) alebo r)</w:t>
            </w:r>
            <w:r w:rsidRPr="00E07C9A">
              <w:rPr>
                <w:rFonts w:ascii="Times New Roman" w:hAnsi="Times New Roman"/>
                <w:sz w:val="24"/>
              </w:rPr>
              <w:t xml:space="preserve"> nariadenia (EÚ) </w:t>
            </w:r>
            <w:r w:rsidR="009912F8" w:rsidRPr="00E07C9A">
              <w:rPr>
                <w:rFonts w:ascii="Times New Roman" w:hAnsi="Times New Roman"/>
                <w:sz w:val="24"/>
              </w:rPr>
              <w:t>č. 575/2013</w:t>
            </w:r>
            <w:r w:rsidRPr="00E07C9A">
              <w:rPr>
                <w:rStyle w:val="InstructionsTabelleberschrift"/>
                <w:rFonts w:ascii="Times New Roman" w:hAnsi="Times New Roman"/>
                <w:b w:val="0"/>
                <w:sz w:val="24"/>
                <w:u w:val="none"/>
              </w:rPr>
              <w:t xml:space="preserve"> alebo prípadne</w:t>
            </w:r>
            <w:r w:rsidR="009912F8" w:rsidRPr="00E07C9A">
              <w:rPr>
                <w:rStyle w:val="InstructionsTabelleberschrift"/>
                <w:rFonts w:ascii="Times New Roman" w:hAnsi="Times New Roman"/>
                <w:b w:val="0"/>
                <w:sz w:val="24"/>
                <w:u w:val="none"/>
              </w:rPr>
              <w:t xml:space="preserve"> v </w:t>
            </w:r>
            <w:r w:rsidRPr="00E07C9A">
              <w:rPr>
                <w:rStyle w:val="InstructionsTabelleberschrift"/>
                <w:rFonts w:ascii="Times New Roman" w:hAnsi="Times New Roman"/>
                <w:b w:val="0"/>
                <w:sz w:val="24"/>
                <w:u w:val="none"/>
              </w:rPr>
              <w:t>článku 63 písm. n) alebo p)</w:t>
            </w:r>
            <w:r w:rsidRPr="00E07C9A">
              <w:rPr>
                <w:rFonts w:ascii="Times New Roman" w:hAnsi="Times New Roman"/>
                <w:sz w:val="24"/>
              </w:rPr>
              <w:t xml:space="preserve"> uvedeného nariadenia</w:t>
            </w:r>
            <w:r w:rsidRPr="00E07C9A">
              <w:rPr>
                <w:rStyle w:val="InstructionsTabelleberschrift"/>
                <w:rFonts w:ascii="Times New Roman" w:hAnsi="Times New Roman"/>
                <w:b w:val="0"/>
                <w:sz w:val="24"/>
                <w:u w:val="none"/>
              </w:rPr>
              <w:t>.</w:t>
            </w:r>
          </w:p>
        </w:tc>
      </w:tr>
      <w:tr w:rsidR="00BF0637" w:rsidRPr="00E07C9A" w14:paraId="22BEAD0E" w14:textId="77777777" w:rsidTr="00672D2A">
        <w:tc>
          <w:tcPr>
            <w:tcW w:w="1012" w:type="dxa"/>
          </w:tcPr>
          <w:p w14:paraId="14A7FAB5" w14:textId="77777777" w:rsidR="00BF0637" w:rsidRPr="00E07C9A" w:rsidRDefault="00BA1BF6" w:rsidP="00487A02">
            <w:pPr>
              <w:pStyle w:val="InstructionsText"/>
              <w:rPr>
                <w:rStyle w:val="InstructionsTabelleText"/>
                <w:rFonts w:ascii="Times New Roman" w:hAnsi="Times New Roman"/>
                <w:sz w:val="24"/>
              </w:rPr>
            </w:pPr>
            <w:r w:rsidRPr="00E07C9A">
              <w:rPr>
                <w:rStyle w:val="InstructionsTabelleText"/>
                <w:rFonts w:ascii="Times New Roman" w:hAnsi="Times New Roman"/>
                <w:sz w:val="24"/>
              </w:rPr>
              <w:t>0065</w:t>
            </w:r>
          </w:p>
        </w:tc>
        <w:tc>
          <w:tcPr>
            <w:tcW w:w="7478" w:type="dxa"/>
          </w:tcPr>
          <w:p w14:paraId="0B49BD6F" w14:textId="27022F2B" w:rsidR="00BF0637" w:rsidRPr="00E07C9A" w:rsidRDefault="00BF0637" w:rsidP="00BF0637">
            <w:pPr>
              <w:spacing w:before="0"/>
              <w:rPr>
                <w:rStyle w:val="InstructionsTabelleberschrift"/>
                <w:rFonts w:ascii="Times New Roman" w:hAnsi="Times New Roman"/>
                <w:sz w:val="24"/>
              </w:rPr>
            </w:pPr>
            <w:r w:rsidRPr="00E07C9A">
              <w:rPr>
                <w:rStyle w:val="InstructionsTabelleberschrift"/>
                <w:rFonts w:ascii="Times New Roman" w:hAnsi="Times New Roman"/>
                <w:sz w:val="24"/>
              </w:rPr>
              <w:t>1.1.4.3.*</w:t>
            </w:r>
            <w:r w:rsidRPr="00E07C9A">
              <w:rPr>
                <w:rFonts w:ascii="Times New Roman" w:hAnsi="Times New Roman"/>
              </w:rPr>
              <w:tab/>
            </w:r>
            <w:r w:rsidRPr="00E07C9A">
              <w:rPr>
                <w:rStyle w:val="InstructionsTabelleberschrift"/>
                <w:rFonts w:ascii="Times New Roman" w:hAnsi="Times New Roman"/>
                <w:sz w:val="24"/>
              </w:rPr>
              <w:t>z čoho: nástroje, ktoré sú predmetom dohôd</w:t>
            </w:r>
            <w:r w:rsidR="009912F8" w:rsidRPr="00E07C9A">
              <w:rPr>
                <w:rStyle w:val="InstructionsTabelleberschrift"/>
                <w:rFonts w:ascii="Times New Roman" w:hAnsi="Times New Roman"/>
                <w:sz w:val="24"/>
              </w:rPr>
              <w:t xml:space="preserve"> o </w:t>
            </w:r>
            <w:r w:rsidRPr="00E07C9A">
              <w:rPr>
                <w:rStyle w:val="InstructionsTabelleberschrift"/>
                <w:rFonts w:ascii="Times New Roman" w:hAnsi="Times New Roman"/>
                <w:sz w:val="24"/>
              </w:rPr>
              <w:t>vzájomnom započítaní alebo čistom zúčtovaní</w:t>
            </w:r>
          </w:p>
          <w:p w14:paraId="26F51056" w14:textId="1134304F" w:rsidR="00BF0637" w:rsidRPr="00E07C9A" w:rsidRDefault="00533D84" w:rsidP="00BF0637">
            <w:pPr>
              <w:spacing w:before="0"/>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Článok 494b, článok 52 ods. 1 písm. r)</w:t>
            </w:r>
            <w:r w:rsidR="009912F8" w:rsidRPr="00E07C9A">
              <w:rPr>
                <w:rStyle w:val="InstructionsTabelleberschrift"/>
                <w:rFonts w:ascii="Times New Roman" w:hAnsi="Times New Roman"/>
                <w:b w:val="0"/>
                <w:sz w:val="24"/>
                <w:u w:val="none"/>
              </w:rPr>
              <w:t xml:space="preserve"> a </w:t>
            </w:r>
            <w:r w:rsidRPr="00E07C9A">
              <w:rPr>
                <w:rStyle w:val="InstructionsTabelleberschrift"/>
                <w:rFonts w:ascii="Times New Roman" w:hAnsi="Times New Roman"/>
                <w:b w:val="0"/>
                <w:sz w:val="24"/>
                <w:u w:val="none"/>
              </w:rPr>
              <w:t xml:space="preserve">článok 63 písm. p) </w:t>
            </w:r>
            <w:r w:rsidRPr="00E07C9A">
              <w:rPr>
                <w:rFonts w:ascii="Times New Roman" w:hAnsi="Times New Roman"/>
                <w:sz w:val="24"/>
              </w:rPr>
              <w:t xml:space="preserve">nariadenia (EÚ) </w:t>
            </w:r>
            <w:r w:rsidR="009912F8" w:rsidRPr="00E07C9A">
              <w:rPr>
                <w:rFonts w:ascii="Times New Roman" w:hAnsi="Times New Roman"/>
                <w:sz w:val="24"/>
              </w:rPr>
              <w:t>č. 575/2013</w:t>
            </w:r>
          </w:p>
          <w:p w14:paraId="228071E2" w14:textId="73C620C8" w:rsidR="00BF0637" w:rsidRPr="00E07C9A" w:rsidRDefault="00BF0637" w:rsidP="00BF0637">
            <w:pPr>
              <w:spacing w:before="0"/>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Inštitúcie vykazujú hodnotu nástrojov</w:t>
            </w:r>
            <w:r w:rsidR="009912F8" w:rsidRPr="00E07C9A">
              <w:rPr>
                <w:rStyle w:val="InstructionsTabelleberschrift"/>
                <w:rFonts w:ascii="Times New Roman" w:hAnsi="Times New Roman"/>
                <w:b w:val="0"/>
                <w:sz w:val="24"/>
                <w:u w:val="none"/>
              </w:rPr>
              <w:t xml:space="preserve"> v </w:t>
            </w:r>
            <w:r w:rsidRPr="00E07C9A">
              <w:rPr>
                <w:rStyle w:val="InstructionsTabelleberschrift"/>
                <w:rFonts w:ascii="Times New Roman" w:hAnsi="Times New Roman"/>
                <w:b w:val="0"/>
                <w:sz w:val="24"/>
                <w:u w:val="none"/>
              </w:rPr>
              <w:t>rozsahu pôsobnosti článku 494b</w:t>
            </w:r>
            <w:r w:rsidRPr="00E07C9A">
              <w:rPr>
                <w:rFonts w:ascii="Times New Roman" w:hAnsi="Times New Roman"/>
                <w:sz w:val="24"/>
              </w:rPr>
              <w:t xml:space="preserve"> nariadenia (EÚ) </w:t>
            </w:r>
            <w:r w:rsidR="009912F8" w:rsidRPr="00E07C9A">
              <w:rPr>
                <w:rFonts w:ascii="Times New Roman" w:hAnsi="Times New Roman"/>
                <w:sz w:val="24"/>
              </w:rPr>
              <w:t>č. 575/2013</w:t>
            </w:r>
            <w:r w:rsidRPr="00E07C9A">
              <w:rPr>
                <w:rStyle w:val="InstructionsTabelleberschrift"/>
                <w:rFonts w:ascii="Times New Roman" w:hAnsi="Times New Roman"/>
                <w:b w:val="0"/>
                <w:sz w:val="24"/>
                <w:u w:val="none"/>
              </w:rPr>
              <w:t>, ktoré nespĺňajú kritériá prípustnosti uvedené</w:t>
            </w:r>
            <w:r w:rsidR="009912F8" w:rsidRPr="00E07C9A">
              <w:rPr>
                <w:rStyle w:val="InstructionsTabelleberschrift"/>
                <w:rFonts w:ascii="Times New Roman" w:hAnsi="Times New Roman"/>
                <w:b w:val="0"/>
                <w:sz w:val="24"/>
                <w:u w:val="none"/>
              </w:rPr>
              <w:t xml:space="preserve"> </w:t>
            </w:r>
            <w:r w:rsidR="009912F8" w:rsidRPr="00E07C9A">
              <w:rPr>
                <w:rStyle w:val="InstructionsTabelleberschrift"/>
                <w:rFonts w:ascii="Times New Roman" w:hAnsi="Times New Roman"/>
                <w:b w:val="0"/>
                <w:sz w:val="24"/>
                <w:u w:val="none"/>
              </w:rPr>
              <w:lastRenderedPageBreak/>
              <w:t>v </w:t>
            </w:r>
            <w:r w:rsidRPr="00E07C9A">
              <w:rPr>
                <w:rStyle w:val="InstructionsTabelleberschrift"/>
                <w:rFonts w:ascii="Times New Roman" w:hAnsi="Times New Roman"/>
                <w:b w:val="0"/>
                <w:sz w:val="24"/>
                <w:u w:val="none"/>
              </w:rPr>
              <w:t>článku 52 ods. 1 písm. r) uvedeného nariadenia alebo prípadne</w:t>
            </w:r>
            <w:r w:rsidR="009912F8" w:rsidRPr="00E07C9A">
              <w:rPr>
                <w:rStyle w:val="InstructionsTabelleberschrift"/>
                <w:rFonts w:ascii="Times New Roman" w:hAnsi="Times New Roman"/>
                <w:b w:val="0"/>
                <w:sz w:val="24"/>
                <w:u w:val="none"/>
              </w:rPr>
              <w:t xml:space="preserve"> v </w:t>
            </w:r>
            <w:r w:rsidRPr="00E07C9A">
              <w:rPr>
                <w:rStyle w:val="InstructionsTabelleberschrift"/>
                <w:rFonts w:ascii="Times New Roman" w:hAnsi="Times New Roman"/>
                <w:b w:val="0"/>
                <w:sz w:val="24"/>
                <w:u w:val="none"/>
              </w:rPr>
              <w:t>článku 63 písm. p)</w:t>
            </w:r>
            <w:r w:rsidRPr="00E07C9A">
              <w:rPr>
                <w:rFonts w:ascii="Times New Roman" w:hAnsi="Times New Roman"/>
                <w:sz w:val="24"/>
              </w:rPr>
              <w:t xml:space="preserve"> uvedeného nariadenia.</w:t>
            </w:r>
          </w:p>
          <w:p w14:paraId="349DBF3F" w14:textId="6339CABD" w:rsidR="00BF0637" w:rsidRPr="00E07C9A" w:rsidRDefault="00BF0637" w:rsidP="00975344">
            <w:pPr>
              <w:spacing w:before="0"/>
              <w:rPr>
                <w:rStyle w:val="InstructionsTabelleberschrift"/>
                <w:rFonts w:ascii="Times New Roman" w:hAnsi="Times New Roman"/>
                <w:sz w:val="24"/>
              </w:rPr>
            </w:pPr>
            <w:r w:rsidRPr="00E07C9A">
              <w:rPr>
                <w:rStyle w:val="InstructionsTabelleberschrift"/>
                <w:rFonts w:ascii="Times New Roman" w:hAnsi="Times New Roman"/>
                <w:b w:val="0"/>
                <w:sz w:val="24"/>
                <w:u w:val="none"/>
              </w:rPr>
              <w:t>To zahŕňa aj nástroje, ktoré dodatočne nespĺňajú kritériá prípustnosti uvedené</w:t>
            </w:r>
            <w:r w:rsidR="009912F8" w:rsidRPr="00E07C9A">
              <w:rPr>
                <w:rStyle w:val="InstructionsTabelleberschrift"/>
                <w:rFonts w:ascii="Times New Roman" w:hAnsi="Times New Roman"/>
                <w:b w:val="0"/>
                <w:sz w:val="24"/>
                <w:u w:val="none"/>
              </w:rPr>
              <w:t xml:space="preserve"> v </w:t>
            </w:r>
            <w:r w:rsidRPr="00E07C9A">
              <w:rPr>
                <w:rStyle w:val="InstructionsTabelleberschrift"/>
                <w:rFonts w:ascii="Times New Roman" w:hAnsi="Times New Roman"/>
                <w:b w:val="0"/>
                <w:sz w:val="24"/>
                <w:u w:val="none"/>
              </w:rPr>
              <w:t>článku 52 ods. 1 písm. p) alebo q)</w:t>
            </w:r>
            <w:r w:rsidRPr="00E07C9A">
              <w:rPr>
                <w:rFonts w:ascii="Times New Roman" w:hAnsi="Times New Roman"/>
                <w:sz w:val="24"/>
              </w:rPr>
              <w:t xml:space="preserve"> nariadenia (EÚ) </w:t>
            </w:r>
            <w:r w:rsidR="009912F8" w:rsidRPr="00E07C9A">
              <w:rPr>
                <w:rFonts w:ascii="Times New Roman" w:hAnsi="Times New Roman"/>
                <w:sz w:val="24"/>
              </w:rPr>
              <w:t>č. 575/2013</w:t>
            </w:r>
            <w:r w:rsidRPr="00E07C9A">
              <w:rPr>
                <w:rStyle w:val="InstructionsTabelleberschrift"/>
                <w:rFonts w:ascii="Times New Roman" w:hAnsi="Times New Roman"/>
                <w:b w:val="0"/>
                <w:sz w:val="24"/>
                <w:u w:val="none"/>
              </w:rPr>
              <w:t xml:space="preserve"> alebo prípadne</w:t>
            </w:r>
            <w:r w:rsidR="009912F8" w:rsidRPr="00E07C9A">
              <w:rPr>
                <w:rStyle w:val="InstructionsTabelleberschrift"/>
                <w:rFonts w:ascii="Times New Roman" w:hAnsi="Times New Roman"/>
                <w:b w:val="0"/>
                <w:sz w:val="24"/>
                <w:u w:val="none"/>
              </w:rPr>
              <w:t xml:space="preserve"> v </w:t>
            </w:r>
            <w:r w:rsidRPr="00E07C9A">
              <w:rPr>
                <w:rStyle w:val="InstructionsTabelleberschrift"/>
                <w:rFonts w:ascii="Times New Roman" w:hAnsi="Times New Roman"/>
                <w:b w:val="0"/>
                <w:sz w:val="24"/>
                <w:u w:val="none"/>
              </w:rPr>
              <w:t>článku 63 písm. n) alebo o)</w:t>
            </w:r>
            <w:r w:rsidRPr="00E07C9A">
              <w:rPr>
                <w:rFonts w:ascii="Times New Roman" w:hAnsi="Times New Roman"/>
                <w:sz w:val="24"/>
              </w:rPr>
              <w:t xml:space="preserve"> uvedeného nariadenia</w:t>
            </w:r>
            <w:r w:rsidRPr="00E07C9A">
              <w:rPr>
                <w:rStyle w:val="InstructionsTabelleberschrift"/>
                <w:rFonts w:ascii="Times New Roman" w:hAnsi="Times New Roman"/>
                <w:b w:val="0"/>
                <w:sz w:val="24"/>
                <w:u w:val="none"/>
              </w:rPr>
              <w:t>.</w:t>
            </w:r>
          </w:p>
        </w:tc>
      </w:tr>
      <w:tr w:rsidR="00BF0637" w:rsidRPr="00E07C9A" w14:paraId="524B080B" w14:textId="77777777" w:rsidTr="00672D2A">
        <w:tc>
          <w:tcPr>
            <w:tcW w:w="1012" w:type="dxa"/>
          </w:tcPr>
          <w:p w14:paraId="0801AB69" w14:textId="77777777" w:rsidR="00BF0637" w:rsidRPr="00E07C9A" w:rsidRDefault="00BA1BF6" w:rsidP="00487A02">
            <w:pPr>
              <w:pStyle w:val="InstructionsText"/>
              <w:rPr>
                <w:rStyle w:val="InstructionsTabelleText"/>
                <w:rFonts w:ascii="Times New Roman" w:hAnsi="Times New Roman"/>
                <w:sz w:val="24"/>
              </w:rPr>
            </w:pPr>
            <w:r w:rsidRPr="00E07C9A">
              <w:rPr>
                <w:rStyle w:val="InstructionsTabelleText"/>
                <w:rFonts w:ascii="Times New Roman" w:hAnsi="Times New Roman"/>
                <w:sz w:val="24"/>
              </w:rPr>
              <w:lastRenderedPageBreak/>
              <w:t>0070</w:t>
            </w:r>
          </w:p>
        </w:tc>
        <w:tc>
          <w:tcPr>
            <w:tcW w:w="7478" w:type="dxa"/>
          </w:tcPr>
          <w:p w14:paraId="43198CE6" w14:textId="0CCCFA79" w:rsidR="00BF0637" w:rsidRPr="00E07C9A" w:rsidRDefault="00BF0637" w:rsidP="00487A02">
            <w:pPr>
              <w:pStyle w:val="InstructionsText"/>
              <w:rPr>
                <w:rStyle w:val="InstructionsTabelleText"/>
                <w:rFonts w:ascii="Times New Roman" w:hAnsi="Times New Roman"/>
                <w:b/>
                <w:sz w:val="24"/>
                <w:u w:val="single"/>
              </w:rPr>
            </w:pPr>
            <w:r w:rsidRPr="00E07C9A">
              <w:rPr>
                <w:rStyle w:val="InstructionsTabelleberschrift"/>
                <w:rFonts w:ascii="Times New Roman" w:hAnsi="Times New Roman"/>
                <w:sz w:val="24"/>
              </w:rPr>
              <w:t>1.2.</w:t>
            </w:r>
            <w:r w:rsidRPr="00E07C9A">
              <w:tab/>
            </w:r>
            <w:r w:rsidRPr="00E07C9A">
              <w:rPr>
                <w:rStyle w:val="InstructionsTabelleberschrift"/>
                <w:rFonts w:ascii="Times New Roman" w:hAnsi="Times New Roman"/>
                <w:sz w:val="24"/>
              </w:rPr>
              <w:t>Menšinové účasti</w:t>
            </w:r>
            <w:r w:rsidR="009912F8" w:rsidRPr="00E07C9A">
              <w:rPr>
                <w:rStyle w:val="InstructionsTabelleberschrift"/>
                <w:rFonts w:ascii="Times New Roman" w:hAnsi="Times New Roman"/>
                <w:sz w:val="24"/>
              </w:rPr>
              <w:t xml:space="preserve"> a </w:t>
            </w:r>
            <w:r w:rsidRPr="00E07C9A">
              <w:rPr>
                <w:rStyle w:val="InstructionsTabelleberschrift"/>
                <w:rFonts w:ascii="Times New Roman" w:hAnsi="Times New Roman"/>
                <w:sz w:val="24"/>
              </w:rPr>
              <w:t>ekvivalenty</w:t>
            </w:r>
          </w:p>
          <w:p w14:paraId="463F1E68" w14:textId="60719B66" w:rsidR="00BF0637" w:rsidRPr="00E07C9A" w:rsidRDefault="00BF0637" w:rsidP="00BF0637">
            <w:pPr>
              <w:spacing w:before="0"/>
              <w:rPr>
                <w:rStyle w:val="InstructionsTabelleText"/>
                <w:rFonts w:ascii="Times New Roman" w:hAnsi="Times New Roman"/>
                <w:sz w:val="24"/>
              </w:rPr>
            </w:pPr>
            <w:r w:rsidRPr="00E07C9A">
              <w:rPr>
                <w:rStyle w:val="InstructionsTabelleText"/>
                <w:rFonts w:ascii="Times New Roman" w:hAnsi="Times New Roman"/>
                <w:sz w:val="24"/>
              </w:rPr>
              <w:t>Články 479</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 xml:space="preserve">480 </w:t>
            </w:r>
            <w:r w:rsidRPr="00E07C9A">
              <w:rPr>
                <w:rFonts w:ascii="Times New Roman" w:hAnsi="Times New Roman"/>
                <w:sz w:val="24"/>
              </w:rPr>
              <w:t xml:space="preserve">nariadenia (EÚ) </w:t>
            </w:r>
            <w:r w:rsidR="009912F8" w:rsidRPr="00E07C9A">
              <w:rPr>
                <w:rFonts w:ascii="Times New Roman" w:hAnsi="Times New Roman"/>
                <w:sz w:val="24"/>
              </w:rPr>
              <w:t>č. 575/2013</w:t>
            </w:r>
          </w:p>
          <w:p w14:paraId="7E7E673A" w14:textId="79836BFE" w:rsidR="00BF0637" w:rsidRPr="00E07C9A" w:rsidRDefault="00BF0637" w:rsidP="00BF0637">
            <w:pPr>
              <w:spacing w:before="0"/>
              <w:rPr>
                <w:rStyle w:val="InstructionsTabelleText"/>
                <w:rFonts w:ascii="Times New Roman" w:hAnsi="Times New Roman"/>
                <w:sz w:val="24"/>
              </w:rPr>
            </w:pPr>
            <w:r w:rsidRPr="00E07C9A">
              <w:rPr>
                <w:rStyle w:val="InstructionsTabelleText"/>
                <w:rFonts w:ascii="Times New Roman" w:hAnsi="Times New Roman"/>
                <w:sz w:val="24"/>
              </w:rPr>
              <w:t>Tento riadok vyjadruje účinky prechodných ustanovení</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menšinových účastiach prípustných ako CET1; kvalifikovaných nástrojoch T1 prípustných ako konsolidovaný AT1</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kvalifikovaných vlastných zdrojoch prípustných ako konsolidovaný T2.</w:t>
            </w:r>
          </w:p>
        </w:tc>
      </w:tr>
      <w:tr w:rsidR="00BF0637" w:rsidRPr="00E07C9A" w14:paraId="5E02D070" w14:textId="77777777" w:rsidTr="00672D2A">
        <w:tc>
          <w:tcPr>
            <w:tcW w:w="1012" w:type="dxa"/>
          </w:tcPr>
          <w:p w14:paraId="23805E19" w14:textId="77777777" w:rsidR="00BF0637" w:rsidRPr="00E07C9A" w:rsidRDefault="00BA1BF6" w:rsidP="00487A02">
            <w:pPr>
              <w:pStyle w:val="InstructionsText"/>
              <w:rPr>
                <w:rStyle w:val="InstructionsTabelleText"/>
                <w:rFonts w:ascii="Times New Roman" w:hAnsi="Times New Roman"/>
                <w:sz w:val="24"/>
              </w:rPr>
            </w:pPr>
            <w:r w:rsidRPr="00E07C9A">
              <w:rPr>
                <w:rStyle w:val="InstructionsTabelleText"/>
                <w:rFonts w:ascii="Times New Roman" w:hAnsi="Times New Roman"/>
                <w:sz w:val="24"/>
              </w:rPr>
              <w:t>0080</w:t>
            </w:r>
          </w:p>
        </w:tc>
        <w:tc>
          <w:tcPr>
            <w:tcW w:w="7478" w:type="dxa"/>
          </w:tcPr>
          <w:p w14:paraId="0EA69F3B" w14:textId="54E38583" w:rsidR="00BF0637" w:rsidRPr="00E07C9A" w:rsidRDefault="00BF0637" w:rsidP="00487A02">
            <w:pPr>
              <w:pStyle w:val="InstructionsText"/>
              <w:rPr>
                <w:rStyle w:val="InstructionsTabelleberschrift"/>
                <w:rFonts w:ascii="Times New Roman" w:hAnsi="Times New Roman"/>
                <w:bCs w:val="0"/>
                <w:sz w:val="24"/>
              </w:rPr>
            </w:pPr>
            <w:r w:rsidRPr="00E07C9A">
              <w:rPr>
                <w:rStyle w:val="InstructionsTabelleberschrift"/>
                <w:rFonts w:ascii="Times New Roman" w:hAnsi="Times New Roman"/>
                <w:sz w:val="24"/>
              </w:rPr>
              <w:t>1.2.1.</w:t>
            </w:r>
            <w:r w:rsidRPr="00E07C9A">
              <w:tab/>
            </w:r>
            <w:r w:rsidRPr="00E07C9A">
              <w:rPr>
                <w:rStyle w:val="InstructionsTabelleberschrift"/>
                <w:rFonts w:ascii="Times New Roman" w:hAnsi="Times New Roman"/>
                <w:sz w:val="24"/>
              </w:rPr>
              <w:t>Kapitálové nástroje</w:t>
            </w:r>
            <w:r w:rsidR="009912F8" w:rsidRPr="00E07C9A">
              <w:rPr>
                <w:rStyle w:val="InstructionsTabelleberschrift"/>
                <w:rFonts w:ascii="Times New Roman" w:hAnsi="Times New Roman"/>
                <w:sz w:val="24"/>
              </w:rPr>
              <w:t xml:space="preserve"> a </w:t>
            </w:r>
            <w:r w:rsidRPr="00E07C9A">
              <w:rPr>
                <w:rStyle w:val="InstructionsTabelleberschrift"/>
                <w:rFonts w:ascii="Times New Roman" w:hAnsi="Times New Roman"/>
                <w:sz w:val="24"/>
              </w:rPr>
              <w:t>položky, ktoré sa nekvalifikujú ako menšinové účasti</w:t>
            </w:r>
          </w:p>
          <w:p w14:paraId="29374C1D" w14:textId="6367DE12" w:rsidR="00BF0637" w:rsidRPr="00E07C9A" w:rsidRDefault="00BF0637" w:rsidP="00487A02">
            <w:pPr>
              <w:pStyle w:val="InstructionsText"/>
              <w:rPr>
                <w:rStyle w:val="InstructionsTabelleText"/>
                <w:rFonts w:ascii="Times New Roman" w:hAnsi="Times New Roman"/>
                <w:bCs/>
                <w:sz w:val="24"/>
              </w:rPr>
            </w:pPr>
            <w:r w:rsidRPr="00E07C9A">
              <w:rPr>
                <w:rStyle w:val="InstructionsTabelleText"/>
                <w:rFonts w:ascii="Times New Roman" w:hAnsi="Times New Roman"/>
                <w:sz w:val="24"/>
              </w:rPr>
              <w:t xml:space="preserve">Článok 479 </w:t>
            </w:r>
            <w:r w:rsidRPr="00E07C9A">
              <w:t xml:space="preserve">nariadenia (EÚ) </w:t>
            </w:r>
            <w:r w:rsidR="009912F8" w:rsidRPr="00E07C9A">
              <w:t>č. 575/2013</w:t>
            </w:r>
          </w:p>
          <w:p w14:paraId="496FB86C" w14:textId="4EAF2917" w:rsidR="00BF0637" w:rsidRPr="00E07C9A" w:rsidRDefault="00BF0637" w:rsidP="00487A02">
            <w:pPr>
              <w:pStyle w:val="InstructionsText"/>
              <w:rPr>
                <w:rStyle w:val="InstructionsTabelleText"/>
                <w:rFonts w:ascii="Times New Roman" w:hAnsi="Times New Roman"/>
                <w:bCs/>
                <w:sz w:val="24"/>
              </w:rPr>
            </w:pPr>
            <w:r w:rsidRPr="00E07C9A">
              <w:rPr>
                <w:rStyle w:val="InstructionsTabelleText"/>
                <w:rFonts w:ascii="Times New Roman" w:hAnsi="Times New Roman"/>
                <w:sz w:val="24"/>
              </w:rPr>
              <w:t>Hodnota, ktorá sa vykazuje</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stĺpci 060 tohto riadku, je hodnota, ktorá sa</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súlade</w:t>
            </w:r>
            <w:r w:rsidR="009912F8" w:rsidRPr="00E07C9A">
              <w:rPr>
                <w:rStyle w:val="InstructionsTabelleText"/>
                <w:rFonts w:ascii="Times New Roman" w:hAnsi="Times New Roman"/>
                <w:sz w:val="24"/>
              </w:rPr>
              <w:t xml:space="preserve"> s </w:t>
            </w:r>
            <w:r w:rsidRPr="00E07C9A">
              <w:rPr>
                <w:rStyle w:val="InstructionsTabelleText"/>
                <w:rFonts w:ascii="Times New Roman" w:hAnsi="Times New Roman"/>
                <w:sz w:val="24"/>
              </w:rPr>
              <w:t xml:space="preserve">predchádzajúcim nariadením kvalifikuje ako konsolidované rezervy. </w:t>
            </w:r>
          </w:p>
        </w:tc>
      </w:tr>
      <w:tr w:rsidR="00BF0637" w:rsidRPr="00E07C9A" w14:paraId="0892022F" w14:textId="77777777" w:rsidTr="00672D2A">
        <w:tc>
          <w:tcPr>
            <w:tcW w:w="1012" w:type="dxa"/>
          </w:tcPr>
          <w:p w14:paraId="2D034449" w14:textId="77777777" w:rsidR="00BF0637" w:rsidRPr="00E07C9A" w:rsidRDefault="00BA1BF6" w:rsidP="00487A02">
            <w:pPr>
              <w:pStyle w:val="InstructionsText"/>
              <w:rPr>
                <w:rStyle w:val="InstructionsTabelleText"/>
                <w:rFonts w:ascii="Times New Roman" w:hAnsi="Times New Roman"/>
                <w:sz w:val="24"/>
              </w:rPr>
            </w:pPr>
            <w:r w:rsidRPr="00E07C9A">
              <w:rPr>
                <w:rStyle w:val="InstructionsTabelleText"/>
                <w:rFonts w:ascii="Times New Roman" w:hAnsi="Times New Roman"/>
                <w:sz w:val="24"/>
              </w:rPr>
              <w:t>0090</w:t>
            </w:r>
          </w:p>
        </w:tc>
        <w:tc>
          <w:tcPr>
            <w:tcW w:w="7478" w:type="dxa"/>
          </w:tcPr>
          <w:p w14:paraId="715F7810" w14:textId="0A2B4751" w:rsidR="00BF0637" w:rsidRPr="00E07C9A" w:rsidRDefault="00BF0637" w:rsidP="00487A02">
            <w:pPr>
              <w:pStyle w:val="InstructionsText"/>
              <w:rPr>
                <w:rStyle w:val="InstructionsTabelleText"/>
                <w:rFonts w:ascii="Times New Roman" w:hAnsi="Times New Roman"/>
                <w:b/>
                <w:bCs/>
                <w:sz w:val="24"/>
                <w:u w:val="single"/>
              </w:rPr>
            </w:pPr>
            <w:r w:rsidRPr="00E07C9A">
              <w:rPr>
                <w:rStyle w:val="InstructionsTabelleberschrift"/>
                <w:rFonts w:ascii="Times New Roman" w:hAnsi="Times New Roman"/>
                <w:sz w:val="24"/>
              </w:rPr>
              <w:t>1.2.2.</w:t>
            </w:r>
            <w:r w:rsidRPr="00E07C9A">
              <w:tab/>
            </w:r>
            <w:r w:rsidRPr="00E07C9A">
              <w:rPr>
                <w:rStyle w:val="InstructionsTabelleberschrift"/>
                <w:rFonts w:ascii="Times New Roman" w:hAnsi="Times New Roman"/>
                <w:sz w:val="24"/>
              </w:rPr>
              <w:t>Prechodné vykázanie menšinových účastí</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konsolidovaných vlastných zdrojoch</w:t>
            </w:r>
          </w:p>
          <w:p w14:paraId="768DEBF4" w14:textId="1F9D069B" w:rsidR="00BF0637" w:rsidRPr="00E07C9A" w:rsidRDefault="00BF0637" w:rsidP="00487A02">
            <w:pPr>
              <w:pStyle w:val="InstructionsText"/>
              <w:rPr>
                <w:rStyle w:val="InstructionsTabelleText"/>
                <w:rFonts w:ascii="Times New Roman" w:hAnsi="Times New Roman"/>
                <w:sz w:val="24"/>
              </w:rPr>
            </w:pPr>
            <w:r w:rsidRPr="00E07C9A">
              <w:rPr>
                <w:rStyle w:val="InstructionsTabelleText"/>
                <w:rFonts w:ascii="Times New Roman" w:hAnsi="Times New Roman"/>
                <w:sz w:val="24"/>
              </w:rPr>
              <w:t>Články 84</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 xml:space="preserve">480 </w:t>
            </w:r>
            <w:r w:rsidRPr="00E07C9A">
              <w:t xml:space="preserve">nariadenia (EÚ) </w:t>
            </w:r>
            <w:r w:rsidR="009912F8" w:rsidRPr="00E07C9A">
              <w:t>č. 575/2013</w:t>
            </w:r>
          </w:p>
          <w:p w14:paraId="3DA1F071" w14:textId="0995E128" w:rsidR="00BF0637" w:rsidRPr="00E07C9A" w:rsidRDefault="00BF0637" w:rsidP="00487A02">
            <w:pPr>
              <w:pStyle w:val="InstructionsText"/>
              <w:rPr>
                <w:rStyle w:val="InstructionsTabelleberschrift"/>
                <w:rFonts w:ascii="Times New Roman" w:hAnsi="Times New Roman"/>
                <w:b w:val="0"/>
                <w:bCs w:val="0"/>
                <w:sz w:val="24"/>
                <w:u w:val="none"/>
              </w:rPr>
            </w:pPr>
            <w:r w:rsidRPr="00E07C9A">
              <w:rPr>
                <w:rStyle w:val="InstructionsTabelleText"/>
                <w:rFonts w:ascii="Times New Roman" w:hAnsi="Times New Roman"/>
                <w:sz w:val="24"/>
              </w:rPr>
              <w:t>Hodnota, ktorá sa vykazuje</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stĺpci 0060 tohto riadku, je prípustná hodnota bez uplatnenia prechodných ustanovení.</w:t>
            </w:r>
          </w:p>
        </w:tc>
      </w:tr>
      <w:tr w:rsidR="00BF0637" w:rsidRPr="00E07C9A" w14:paraId="1FC7388F" w14:textId="77777777" w:rsidTr="00672D2A">
        <w:tc>
          <w:tcPr>
            <w:tcW w:w="1012" w:type="dxa"/>
          </w:tcPr>
          <w:p w14:paraId="646A8476" w14:textId="77777777" w:rsidR="00BF0637" w:rsidRPr="00E07C9A" w:rsidRDefault="00BA1BF6" w:rsidP="00487A02">
            <w:pPr>
              <w:pStyle w:val="InstructionsText"/>
              <w:rPr>
                <w:rStyle w:val="InstructionsTabelleText"/>
                <w:rFonts w:ascii="Times New Roman" w:hAnsi="Times New Roman"/>
                <w:sz w:val="24"/>
              </w:rPr>
            </w:pPr>
            <w:r w:rsidRPr="00E07C9A">
              <w:rPr>
                <w:rStyle w:val="InstructionsTabelleText"/>
                <w:rFonts w:ascii="Times New Roman" w:hAnsi="Times New Roman"/>
                <w:sz w:val="24"/>
              </w:rPr>
              <w:t>0091</w:t>
            </w:r>
          </w:p>
        </w:tc>
        <w:tc>
          <w:tcPr>
            <w:tcW w:w="7478" w:type="dxa"/>
          </w:tcPr>
          <w:p w14:paraId="65689654" w14:textId="44730CDF" w:rsidR="00BF0637" w:rsidRPr="00E07C9A" w:rsidRDefault="00BF0637"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1.2.3.</w:t>
            </w:r>
            <w:r w:rsidRPr="00E07C9A">
              <w:tab/>
            </w:r>
            <w:r w:rsidRPr="00E07C9A">
              <w:rPr>
                <w:rStyle w:val="InstructionsTabelleberschrift"/>
                <w:rFonts w:ascii="Times New Roman" w:hAnsi="Times New Roman"/>
                <w:sz w:val="24"/>
              </w:rPr>
              <w:t>Prechodné vykázanie kvalifikovaného dodatočného kapitálu Tier 1</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konsolidovaných vlastných zdrojoch</w:t>
            </w:r>
          </w:p>
          <w:p w14:paraId="785C1131" w14:textId="06967A43" w:rsidR="00BF0637" w:rsidRPr="00E07C9A" w:rsidRDefault="00BF0637" w:rsidP="00487A02">
            <w:pPr>
              <w:pStyle w:val="InstructionsText"/>
              <w:rPr>
                <w:rStyle w:val="InstructionsTabelleText"/>
                <w:rFonts w:ascii="Times New Roman" w:hAnsi="Times New Roman"/>
                <w:sz w:val="24"/>
              </w:rPr>
            </w:pPr>
            <w:r w:rsidRPr="00E07C9A">
              <w:rPr>
                <w:rStyle w:val="InstructionsTabelleText"/>
                <w:rFonts w:ascii="Times New Roman" w:hAnsi="Times New Roman"/>
                <w:sz w:val="24"/>
              </w:rPr>
              <w:t>Články 85</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 xml:space="preserve">480 </w:t>
            </w:r>
            <w:r w:rsidRPr="00E07C9A">
              <w:t xml:space="preserve">nariadenia (EÚ) </w:t>
            </w:r>
            <w:r w:rsidR="009912F8" w:rsidRPr="00E07C9A">
              <w:t>č. 575/2013</w:t>
            </w:r>
          </w:p>
          <w:p w14:paraId="7F0C8E97" w14:textId="7C94EDBC" w:rsidR="00BF0637" w:rsidRPr="00E07C9A" w:rsidRDefault="00BF0637" w:rsidP="00487A02">
            <w:pPr>
              <w:pStyle w:val="InstructionsText"/>
              <w:rPr>
                <w:rStyle w:val="InstructionsTabelleText"/>
                <w:rFonts w:ascii="Times New Roman" w:hAnsi="Times New Roman"/>
                <w:sz w:val="24"/>
              </w:rPr>
            </w:pPr>
            <w:r w:rsidRPr="00E07C9A">
              <w:rPr>
                <w:rStyle w:val="InstructionsTabelleText"/>
                <w:rFonts w:ascii="Times New Roman" w:hAnsi="Times New Roman"/>
                <w:sz w:val="24"/>
              </w:rPr>
              <w:t>Hodnota, ktorá sa vykazuje</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stĺpci 0060 tohto riadku, je prípustná hodnota bez uplatnenia prechodných ustanovení.</w:t>
            </w:r>
          </w:p>
        </w:tc>
      </w:tr>
      <w:tr w:rsidR="00BF0637" w:rsidRPr="00E07C9A" w14:paraId="7F090363" w14:textId="77777777" w:rsidTr="00672D2A">
        <w:tc>
          <w:tcPr>
            <w:tcW w:w="1012" w:type="dxa"/>
          </w:tcPr>
          <w:p w14:paraId="38D1899C" w14:textId="77777777" w:rsidR="00BF0637" w:rsidRPr="00E07C9A" w:rsidRDefault="00BA1BF6" w:rsidP="00487A02">
            <w:pPr>
              <w:pStyle w:val="InstructionsText"/>
              <w:rPr>
                <w:rStyle w:val="InstructionsTabelleText"/>
                <w:rFonts w:ascii="Times New Roman" w:hAnsi="Times New Roman"/>
                <w:sz w:val="24"/>
              </w:rPr>
            </w:pPr>
            <w:r w:rsidRPr="00E07C9A">
              <w:rPr>
                <w:rStyle w:val="InstructionsTabelleText"/>
                <w:rFonts w:ascii="Times New Roman" w:hAnsi="Times New Roman"/>
                <w:sz w:val="24"/>
              </w:rPr>
              <w:t>0092</w:t>
            </w:r>
          </w:p>
        </w:tc>
        <w:tc>
          <w:tcPr>
            <w:tcW w:w="7478" w:type="dxa"/>
          </w:tcPr>
          <w:p w14:paraId="59990055" w14:textId="292E57BC" w:rsidR="00BF0637" w:rsidRPr="00E07C9A" w:rsidRDefault="00BF0637"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1.2.4.</w:t>
            </w:r>
            <w:r w:rsidRPr="00E07C9A">
              <w:tab/>
            </w:r>
            <w:r w:rsidRPr="00E07C9A">
              <w:rPr>
                <w:rStyle w:val="InstructionsTabelleberschrift"/>
                <w:rFonts w:ascii="Times New Roman" w:hAnsi="Times New Roman"/>
                <w:sz w:val="24"/>
              </w:rPr>
              <w:t>Prechodné vykázanie kvalifikovaného kapitálu Tier 2</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konsolidovaných vlastných zdrojoch</w:t>
            </w:r>
          </w:p>
          <w:p w14:paraId="5DAEB4D6" w14:textId="1F71F70B" w:rsidR="00BF0637" w:rsidRPr="00E07C9A" w:rsidRDefault="00BF0637" w:rsidP="00487A02">
            <w:pPr>
              <w:pStyle w:val="InstructionsText"/>
              <w:rPr>
                <w:rStyle w:val="InstructionsTabelleText"/>
                <w:rFonts w:ascii="Times New Roman" w:hAnsi="Times New Roman"/>
                <w:sz w:val="24"/>
              </w:rPr>
            </w:pPr>
            <w:r w:rsidRPr="00E07C9A">
              <w:rPr>
                <w:rStyle w:val="InstructionsTabelleText"/>
                <w:rFonts w:ascii="Times New Roman" w:hAnsi="Times New Roman"/>
                <w:sz w:val="24"/>
              </w:rPr>
              <w:t>Články 87</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 xml:space="preserve">480 </w:t>
            </w:r>
            <w:r w:rsidRPr="00E07C9A">
              <w:t xml:space="preserve">nariadenia (EÚ) </w:t>
            </w:r>
            <w:r w:rsidR="009912F8" w:rsidRPr="00E07C9A">
              <w:t>č. 575/2013</w:t>
            </w:r>
          </w:p>
          <w:p w14:paraId="125C6E88" w14:textId="00363E89" w:rsidR="00BF0637" w:rsidRPr="00E07C9A" w:rsidRDefault="00BF0637" w:rsidP="00487A02">
            <w:pPr>
              <w:pStyle w:val="InstructionsText"/>
              <w:rPr>
                <w:rStyle w:val="InstructionsTabelleText"/>
                <w:rFonts w:ascii="Times New Roman" w:hAnsi="Times New Roman"/>
                <w:sz w:val="24"/>
              </w:rPr>
            </w:pPr>
            <w:r w:rsidRPr="00E07C9A">
              <w:rPr>
                <w:rStyle w:val="InstructionsTabelleText"/>
                <w:rFonts w:ascii="Times New Roman" w:hAnsi="Times New Roman"/>
                <w:sz w:val="24"/>
              </w:rPr>
              <w:t>Hodnota, ktorá sa vykazuje</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stĺpci 0060 tohto riadku, je prípustná hodnota bez uplatnenia prechodných ustanovení.</w:t>
            </w:r>
          </w:p>
        </w:tc>
      </w:tr>
      <w:tr w:rsidR="00BF0637" w:rsidRPr="00E07C9A" w14:paraId="22FB7DFF" w14:textId="77777777" w:rsidTr="00672D2A">
        <w:tc>
          <w:tcPr>
            <w:tcW w:w="1012" w:type="dxa"/>
          </w:tcPr>
          <w:p w14:paraId="17D3DEB5" w14:textId="77777777" w:rsidR="00BF0637" w:rsidRPr="00E07C9A" w:rsidRDefault="00BA1BF6" w:rsidP="00487A02">
            <w:pPr>
              <w:pStyle w:val="InstructionsText"/>
              <w:rPr>
                <w:rStyle w:val="InstructionsTabelleText"/>
                <w:rFonts w:ascii="Times New Roman" w:hAnsi="Times New Roman"/>
                <w:sz w:val="24"/>
              </w:rPr>
            </w:pPr>
            <w:r w:rsidRPr="00E07C9A">
              <w:rPr>
                <w:rStyle w:val="InstructionsTabelleText"/>
                <w:rFonts w:ascii="Times New Roman" w:hAnsi="Times New Roman"/>
                <w:sz w:val="24"/>
              </w:rPr>
              <w:t>0100</w:t>
            </w:r>
          </w:p>
        </w:tc>
        <w:tc>
          <w:tcPr>
            <w:tcW w:w="7478" w:type="dxa"/>
          </w:tcPr>
          <w:p w14:paraId="36139567" w14:textId="77777777" w:rsidR="00BF0637" w:rsidRPr="00E07C9A" w:rsidRDefault="00BF0637" w:rsidP="00487A02">
            <w:pPr>
              <w:pStyle w:val="InstructionsText"/>
              <w:rPr>
                <w:rStyle w:val="InstructionsTabelleText"/>
                <w:rFonts w:ascii="Times New Roman" w:hAnsi="Times New Roman"/>
                <w:b/>
                <w:bCs/>
                <w:sz w:val="24"/>
                <w:u w:val="single"/>
              </w:rPr>
            </w:pPr>
            <w:r w:rsidRPr="00E07C9A">
              <w:rPr>
                <w:rStyle w:val="InstructionsTabelleberschrift"/>
                <w:rFonts w:ascii="Times New Roman" w:hAnsi="Times New Roman"/>
                <w:sz w:val="24"/>
              </w:rPr>
              <w:t>1.3.</w:t>
            </w:r>
            <w:r w:rsidRPr="00E07C9A">
              <w:tab/>
            </w:r>
            <w:r w:rsidRPr="00E07C9A">
              <w:rPr>
                <w:rStyle w:val="InstructionsTabelleberschrift"/>
                <w:rFonts w:ascii="Times New Roman" w:hAnsi="Times New Roman"/>
                <w:sz w:val="24"/>
              </w:rPr>
              <w:t>Iné prechodné úpravy</w:t>
            </w:r>
          </w:p>
          <w:p w14:paraId="28576D7B" w14:textId="31D94429" w:rsidR="00BF0637" w:rsidRPr="00E07C9A" w:rsidRDefault="00BF0637" w:rsidP="00BF0637">
            <w:pPr>
              <w:spacing w:before="0"/>
              <w:rPr>
                <w:rStyle w:val="InstructionsTabelleText"/>
                <w:rFonts w:ascii="Times New Roman" w:hAnsi="Times New Roman"/>
                <w:sz w:val="24"/>
              </w:rPr>
            </w:pPr>
            <w:r w:rsidRPr="00E07C9A">
              <w:rPr>
                <w:rStyle w:val="InstructionsTabelleText"/>
                <w:rFonts w:ascii="Times New Roman" w:hAnsi="Times New Roman"/>
                <w:sz w:val="24"/>
              </w:rPr>
              <w:t>Články 468 až 478</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 xml:space="preserve">článok 481 </w:t>
            </w:r>
            <w:r w:rsidRPr="00E07C9A">
              <w:rPr>
                <w:rFonts w:ascii="Times New Roman" w:hAnsi="Times New Roman"/>
                <w:sz w:val="24"/>
              </w:rPr>
              <w:t xml:space="preserve">nariadenia (EÚ) </w:t>
            </w:r>
            <w:r w:rsidR="009912F8" w:rsidRPr="00E07C9A">
              <w:rPr>
                <w:rFonts w:ascii="Times New Roman" w:hAnsi="Times New Roman"/>
                <w:sz w:val="24"/>
              </w:rPr>
              <w:t>č. 575/2013</w:t>
            </w:r>
          </w:p>
          <w:p w14:paraId="3D0FD217" w14:textId="19C1A279" w:rsidR="00BF0637" w:rsidRPr="00E07C9A" w:rsidRDefault="00BF0637" w:rsidP="00BF0637">
            <w:pPr>
              <w:spacing w:before="0"/>
              <w:rPr>
                <w:rStyle w:val="InstructionsTabelleText"/>
                <w:rFonts w:ascii="Times New Roman" w:hAnsi="Times New Roman"/>
                <w:sz w:val="24"/>
              </w:rPr>
            </w:pPr>
            <w:r w:rsidRPr="00E07C9A">
              <w:rPr>
                <w:rStyle w:val="InstructionsTabelleText"/>
                <w:rFonts w:ascii="Times New Roman" w:hAnsi="Times New Roman"/>
                <w:sz w:val="24"/>
              </w:rPr>
              <w:t>Tento riadok vyjadruje celkový účinok prechodných úprav</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odpočte rôznych typov kapitálu, nerealizovaných ziskov</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strát, dodatočných filtrov</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odpočtov, ako aj rizikovo vážených hodnôt vyplývajúcich</w:t>
            </w:r>
            <w:r w:rsidR="009912F8" w:rsidRPr="00E07C9A">
              <w:rPr>
                <w:rStyle w:val="InstructionsTabelleText"/>
                <w:rFonts w:ascii="Times New Roman" w:hAnsi="Times New Roman"/>
                <w:sz w:val="24"/>
              </w:rPr>
              <w:t xml:space="preserve"> z </w:t>
            </w:r>
            <w:r w:rsidRPr="00E07C9A">
              <w:rPr>
                <w:rStyle w:val="InstructionsTabelleText"/>
                <w:rFonts w:ascii="Times New Roman" w:hAnsi="Times New Roman"/>
                <w:sz w:val="24"/>
              </w:rPr>
              <w:t>týchto úprav.</w:t>
            </w:r>
          </w:p>
        </w:tc>
      </w:tr>
      <w:tr w:rsidR="00FA67D6" w:rsidRPr="00E07C9A" w14:paraId="1B784F69" w14:textId="77777777" w:rsidTr="00672D2A">
        <w:tc>
          <w:tcPr>
            <w:tcW w:w="1012" w:type="dxa"/>
          </w:tcPr>
          <w:p w14:paraId="251D579C" w14:textId="77777777" w:rsidR="00FA67D6" w:rsidRPr="00E07C9A" w:rsidRDefault="00FA67D6" w:rsidP="00487A02">
            <w:pPr>
              <w:pStyle w:val="InstructionsText"/>
              <w:rPr>
                <w:rStyle w:val="InstructionsTabelleText"/>
                <w:rFonts w:ascii="Times New Roman" w:hAnsi="Times New Roman"/>
                <w:sz w:val="24"/>
              </w:rPr>
            </w:pPr>
            <w:r w:rsidRPr="00E07C9A">
              <w:rPr>
                <w:rStyle w:val="InstructionsTabelleText"/>
                <w:rFonts w:ascii="Times New Roman" w:hAnsi="Times New Roman"/>
                <w:sz w:val="24"/>
              </w:rPr>
              <w:t>0111</w:t>
            </w:r>
          </w:p>
        </w:tc>
        <w:tc>
          <w:tcPr>
            <w:tcW w:w="7478" w:type="dxa"/>
          </w:tcPr>
          <w:p w14:paraId="71B6C972" w14:textId="5BDD71D1" w:rsidR="00FA67D6" w:rsidRPr="00E07C9A" w:rsidRDefault="00FA67D6"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1.3.1.6. Nerealizované zisky</w:t>
            </w:r>
            <w:r w:rsidR="009912F8" w:rsidRPr="00E07C9A">
              <w:rPr>
                <w:rStyle w:val="InstructionsTabelleberschrift"/>
                <w:rFonts w:ascii="Times New Roman" w:hAnsi="Times New Roman"/>
                <w:sz w:val="24"/>
              </w:rPr>
              <w:t xml:space="preserve"> a </w:t>
            </w:r>
            <w:r w:rsidRPr="00E07C9A">
              <w:rPr>
                <w:rStyle w:val="InstructionsTabelleberschrift"/>
                <w:rFonts w:ascii="Times New Roman" w:hAnsi="Times New Roman"/>
                <w:sz w:val="24"/>
              </w:rPr>
              <w:t>straty</w:t>
            </w:r>
            <w:r w:rsidR="009912F8" w:rsidRPr="00E07C9A">
              <w:rPr>
                <w:rStyle w:val="InstructionsTabelleberschrift"/>
                <w:rFonts w:ascii="Times New Roman" w:hAnsi="Times New Roman"/>
                <w:sz w:val="24"/>
              </w:rPr>
              <w:t xml:space="preserve"> z </w:t>
            </w:r>
            <w:r w:rsidRPr="00E07C9A">
              <w:rPr>
                <w:rStyle w:val="InstructionsTabelleberschrift"/>
                <w:rFonts w:ascii="Times New Roman" w:hAnsi="Times New Roman"/>
                <w:sz w:val="24"/>
              </w:rPr>
              <w:t>určitých dlhových expozícií voči ústredným vládam, regionálnym vládam, miestnym orgánom</w:t>
            </w:r>
            <w:r w:rsidR="009912F8" w:rsidRPr="00E07C9A">
              <w:rPr>
                <w:rStyle w:val="InstructionsTabelleberschrift"/>
                <w:rFonts w:ascii="Times New Roman" w:hAnsi="Times New Roman"/>
                <w:sz w:val="24"/>
              </w:rPr>
              <w:t xml:space="preserve"> a </w:t>
            </w:r>
            <w:r w:rsidRPr="00E07C9A">
              <w:rPr>
                <w:rStyle w:val="InstructionsTabelleberschrift"/>
                <w:rFonts w:ascii="Times New Roman" w:hAnsi="Times New Roman"/>
                <w:sz w:val="24"/>
              </w:rPr>
              <w:t>subjektom verejného sektora</w:t>
            </w:r>
          </w:p>
          <w:p w14:paraId="0C5B0916" w14:textId="0526DAAB" w:rsidR="00FA67D6" w:rsidRPr="00E07C9A" w:rsidRDefault="00FA67D6" w:rsidP="00487A02">
            <w:pPr>
              <w:pStyle w:val="InstructionsText"/>
              <w:rPr>
                <w:rStyle w:val="InstructionsTabelleberschrift"/>
                <w:rFonts w:ascii="Times New Roman" w:hAnsi="Times New Roman"/>
                <w:sz w:val="24"/>
              </w:rPr>
            </w:pPr>
            <w:r w:rsidRPr="00E07C9A">
              <w:rPr>
                <w:rStyle w:val="InstructionsTabelleText"/>
                <w:rFonts w:ascii="Times New Roman" w:hAnsi="Times New Roman"/>
                <w:sz w:val="24"/>
              </w:rPr>
              <w:lastRenderedPageBreak/>
              <w:t xml:space="preserve">Článok 468 </w:t>
            </w:r>
            <w:r w:rsidRPr="00E07C9A">
              <w:t xml:space="preserve">nariadenia (EÚ) </w:t>
            </w:r>
            <w:r w:rsidR="009912F8" w:rsidRPr="00E07C9A">
              <w:t>č. 575/2013</w:t>
            </w:r>
          </w:p>
        </w:tc>
      </w:tr>
      <w:tr w:rsidR="00FA67D6" w:rsidRPr="00E07C9A" w14:paraId="43CE3069" w14:textId="77777777" w:rsidTr="00672D2A">
        <w:tc>
          <w:tcPr>
            <w:tcW w:w="1012" w:type="dxa"/>
          </w:tcPr>
          <w:p w14:paraId="718B2E62" w14:textId="77777777" w:rsidR="00FA67D6" w:rsidRPr="00E07C9A" w:rsidRDefault="00FA67D6" w:rsidP="00487A02">
            <w:pPr>
              <w:pStyle w:val="InstructionsText"/>
              <w:rPr>
                <w:rStyle w:val="InstructionsTabelleText"/>
                <w:rFonts w:ascii="Times New Roman" w:hAnsi="Times New Roman"/>
                <w:sz w:val="24"/>
              </w:rPr>
            </w:pPr>
            <w:r w:rsidRPr="00E07C9A">
              <w:rPr>
                <w:rStyle w:val="InstructionsTabelleText"/>
                <w:rFonts w:ascii="Times New Roman" w:hAnsi="Times New Roman"/>
                <w:sz w:val="24"/>
              </w:rPr>
              <w:lastRenderedPageBreak/>
              <w:t>0112</w:t>
            </w:r>
          </w:p>
        </w:tc>
        <w:tc>
          <w:tcPr>
            <w:tcW w:w="7478" w:type="dxa"/>
          </w:tcPr>
          <w:p w14:paraId="037F4B22" w14:textId="2C7650EA" w:rsidR="00FA67D6" w:rsidRPr="00E07C9A" w:rsidRDefault="00FA67D6"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1.3.1.6.1</w:t>
            </w:r>
            <w:r w:rsidR="009912F8" w:rsidRPr="00E07C9A">
              <w:rPr>
                <w:rStyle w:val="InstructionsTabelleberschrift"/>
                <w:rFonts w:ascii="Times New Roman" w:hAnsi="Times New Roman"/>
                <w:sz w:val="24"/>
              </w:rPr>
              <w:t xml:space="preserve"> z </w:t>
            </w:r>
            <w:r w:rsidRPr="00E07C9A">
              <w:rPr>
                <w:rStyle w:val="InstructionsTabelleberschrift"/>
                <w:rFonts w:ascii="Times New Roman" w:hAnsi="Times New Roman"/>
                <w:sz w:val="24"/>
              </w:rPr>
              <w:t>čoho: hodnota A</w:t>
            </w:r>
          </w:p>
          <w:p w14:paraId="45720F9F" w14:textId="096A8988" w:rsidR="00FA67D6" w:rsidRPr="00E07C9A" w:rsidRDefault="00FA67D6" w:rsidP="00C3220C">
            <w:pPr>
              <w:pStyle w:val="InstructionsText"/>
              <w:rPr>
                <w:rStyle w:val="InstructionsTabelleberschrift"/>
                <w:rFonts w:ascii="Times New Roman" w:hAnsi="Times New Roman"/>
                <w:sz w:val="24"/>
                <w:u w:val="none"/>
              </w:rPr>
            </w:pPr>
            <w:r w:rsidRPr="00E07C9A">
              <w:rPr>
                <w:rStyle w:val="InstructionsTabelleberschrift"/>
                <w:rFonts w:ascii="Times New Roman" w:hAnsi="Times New Roman"/>
                <w:b w:val="0"/>
                <w:sz w:val="24"/>
                <w:u w:val="none"/>
              </w:rPr>
              <w:t>Hodnota A vypočítaná</w:t>
            </w:r>
            <w:r w:rsidR="009912F8" w:rsidRPr="00E07C9A">
              <w:rPr>
                <w:rStyle w:val="InstructionsTabelleberschrift"/>
                <w:rFonts w:ascii="Times New Roman" w:hAnsi="Times New Roman"/>
                <w:b w:val="0"/>
                <w:sz w:val="24"/>
                <w:u w:val="none"/>
              </w:rPr>
              <w:t xml:space="preserve"> v </w:t>
            </w:r>
            <w:r w:rsidRPr="00E07C9A">
              <w:rPr>
                <w:rStyle w:val="InstructionsTabelleberschrift"/>
                <w:rFonts w:ascii="Times New Roman" w:hAnsi="Times New Roman"/>
                <w:b w:val="0"/>
                <w:sz w:val="24"/>
                <w:u w:val="none"/>
              </w:rPr>
              <w:t>súlade so vzorcom uvedeným</w:t>
            </w:r>
            <w:r w:rsidR="009912F8" w:rsidRPr="00E07C9A">
              <w:rPr>
                <w:rStyle w:val="InstructionsTabelleberschrift"/>
                <w:rFonts w:ascii="Times New Roman" w:hAnsi="Times New Roman"/>
                <w:b w:val="0"/>
                <w:sz w:val="24"/>
                <w:u w:val="none"/>
              </w:rPr>
              <w:t xml:space="preserve"> v </w:t>
            </w:r>
            <w:r w:rsidRPr="00E07C9A">
              <w:rPr>
                <w:rStyle w:val="InstructionsTabelleberschrift"/>
                <w:rFonts w:ascii="Times New Roman" w:hAnsi="Times New Roman"/>
                <w:b w:val="0"/>
                <w:sz w:val="24"/>
                <w:u w:val="none"/>
              </w:rPr>
              <w:t>článku 468 ods. 1</w:t>
            </w:r>
            <w:r w:rsidRPr="00E07C9A">
              <w:t xml:space="preserve"> nariadenia (EÚ) </w:t>
            </w:r>
            <w:r w:rsidR="009912F8" w:rsidRPr="00E07C9A">
              <w:t>č. 575/2013</w:t>
            </w:r>
            <w:r w:rsidRPr="00E07C9A">
              <w:t>.</w:t>
            </w:r>
          </w:p>
        </w:tc>
      </w:tr>
      <w:tr w:rsidR="00BF0637" w:rsidRPr="00E07C9A" w14:paraId="721940B4" w14:textId="77777777" w:rsidTr="00672D2A">
        <w:tc>
          <w:tcPr>
            <w:tcW w:w="1012" w:type="dxa"/>
          </w:tcPr>
          <w:p w14:paraId="58240A54" w14:textId="77777777" w:rsidR="00BF0637" w:rsidRPr="00E07C9A" w:rsidRDefault="00BA1BF6" w:rsidP="00487A02">
            <w:pPr>
              <w:pStyle w:val="InstructionsText"/>
              <w:rPr>
                <w:rStyle w:val="InstructionsTabelleText"/>
                <w:rFonts w:ascii="Times New Roman" w:hAnsi="Times New Roman"/>
                <w:sz w:val="24"/>
              </w:rPr>
            </w:pPr>
            <w:r w:rsidRPr="00E07C9A">
              <w:rPr>
                <w:rStyle w:val="InstructionsTabelleText"/>
                <w:rFonts w:ascii="Times New Roman" w:hAnsi="Times New Roman"/>
                <w:sz w:val="24"/>
              </w:rPr>
              <w:t>0140</w:t>
            </w:r>
          </w:p>
        </w:tc>
        <w:tc>
          <w:tcPr>
            <w:tcW w:w="7478" w:type="dxa"/>
          </w:tcPr>
          <w:p w14:paraId="79AD1EB7" w14:textId="77777777" w:rsidR="00BF0637" w:rsidRPr="00E07C9A" w:rsidRDefault="00BF0637" w:rsidP="00487A02">
            <w:pPr>
              <w:pStyle w:val="InstructionsText"/>
              <w:rPr>
                <w:rStyle w:val="InstructionsTabelleText"/>
                <w:rFonts w:ascii="Times New Roman" w:hAnsi="Times New Roman"/>
                <w:b/>
                <w:bCs/>
                <w:sz w:val="24"/>
                <w:u w:val="single"/>
              </w:rPr>
            </w:pPr>
            <w:r w:rsidRPr="00E07C9A">
              <w:rPr>
                <w:rStyle w:val="InstructionsTabelleberschrift"/>
                <w:rFonts w:ascii="Times New Roman" w:hAnsi="Times New Roman"/>
                <w:sz w:val="24"/>
              </w:rPr>
              <w:t>1.3.2.</w:t>
            </w:r>
            <w:r w:rsidRPr="00E07C9A">
              <w:tab/>
            </w:r>
            <w:r w:rsidRPr="00E07C9A">
              <w:rPr>
                <w:rStyle w:val="InstructionsTabelleberschrift"/>
                <w:rFonts w:ascii="Times New Roman" w:hAnsi="Times New Roman"/>
                <w:sz w:val="24"/>
              </w:rPr>
              <w:t>Odpočty</w:t>
            </w:r>
          </w:p>
          <w:p w14:paraId="01804965" w14:textId="2445AA22" w:rsidR="00BF0637" w:rsidRPr="00E07C9A" w:rsidRDefault="00BF0637" w:rsidP="00BF0637">
            <w:pPr>
              <w:spacing w:before="0"/>
              <w:rPr>
                <w:rStyle w:val="InstructionsTabelleText"/>
                <w:rFonts w:ascii="Times New Roman" w:hAnsi="Times New Roman"/>
                <w:sz w:val="24"/>
              </w:rPr>
            </w:pPr>
            <w:r w:rsidRPr="00E07C9A">
              <w:rPr>
                <w:rStyle w:val="InstructionsTabelleText"/>
                <w:rFonts w:ascii="Times New Roman" w:hAnsi="Times New Roman"/>
                <w:sz w:val="24"/>
              </w:rPr>
              <w:t>Článok 36 ods. 1</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články 469 až 478</w:t>
            </w:r>
            <w:r w:rsidRPr="00E07C9A">
              <w:rPr>
                <w:rFonts w:ascii="Times New Roman" w:hAnsi="Times New Roman"/>
                <w:sz w:val="24"/>
              </w:rPr>
              <w:t xml:space="preserve">nariadenia (EÚ) </w:t>
            </w:r>
            <w:r w:rsidR="009912F8" w:rsidRPr="00E07C9A">
              <w:rPr>
                <w:rFonts w:ascii="Times New Roman" w:hAnsi="Times New Roman"/>
                <w:sz w:val="24"/>
              </w:rPr>
              <w:t>č. 575/2013</w:t>
            </w:r>
          </w:p>
          <w:p w14:paraId="318C655C" w14:textId="77777777" w:rsidR="00BF0637" w:rsidRPr="00E07C9A" w:rsidRDefault="00BF0637" w:rsidP="00BF0637">
            <w:pPr>
              <w:spacing w:before="0"/>
              <w:rPr>
                <w:rStyle w:val="InstructionsTabelleText"/>
                <w:rFonts w:ascii="Times New Roman" w:hAnsi="Times New Roman"/>
                <w:sz w:val="24"/>
              </w:rPr>
            </w:pPr>
            <w:r w:rsidRPr="00E07C9A">
              <w:rPr>
                <w:rStyle w:val="InstructionsTabelleText"/>
                <w:rFonts w:ascii="Times New Roman" w:hAnsi="Times New Roman"/>
                <w:sz w:val="24"/>
              </w:rPr>
              <w:t>Tento riadok vyjadruje celkový účinok prechodných ustanovení na odpočty.</w:t>
            </w:r>
          </w:p>
        </w:tc>
      </w:tr>
      <w:tr w:rsidR="00BF0637" w:rsidRPr="00E07C9A" w14:paraId="06AC2BAC" w14:textId="77777777" w:rsidTr="00672D2A">
        <w:tc>
          <w:tcPr>
            <w:tcW w:w="1012" w:type="dxa"/>
          </w:tcPr>
          <w:p w14:paraId="4DD42D44" w14:textId="77777777" w:rsidR="00BF0637" w:rsidRPr="00E07C9A" w:rsidRDefault="00BA1BF6" w:rsidP="00487A02">
            <w:pPr>
              <w:pStyle w:val="InstructionsText"/>
              <w:rPr>
                <w:rStyle w:val="InstructionsTabelleText"/>
                <w:rFonts w:ascii="Times New Roman" w:hAnsi="Times New Roman"/>
                <w:sz w:val="24"/>
              </w:rPr>
            </w:pPr>
            <w:r w:rsidRPr="00E07C9A">
              <w:rPr>
                <w:rStyle w:val="InstructionsTabelleText"/>
                <w:rFonts w:ascii="Times New Roman" w:hAnsi="Times New Roman"/>
                <w:sz w:val="24"/>
              </w:rPr>
              <w:t>0170</w:t>
            </w:r>
          </w:p>
        </w:tc>
        <w:tc>
          <w:tcPr>
            <w:tcW w:w="7478" w:type="dxa"/>
          </w:tcPr>
          <w:p w14:paraId="5FD97347" w14:textId="4646ECFA" w:rsidR="00BF0637" w:rsidRPr="00E07C9A" w:rsidRDefault="00BF0637"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1.3.2.3.</w:t>
            </w:r>
            <w:r w:rsidRPr="00E07C9A">
              <w:tab/>
            </w:r>
            <w:r w:rsidRPr="00E07C9A">
              <w:rPr>
                <w:rStyle w:val="InstructionsTabelleberschrift"/>
                <w:rFonts w:ascii="Times New Roman" w:hAnsi="Times New Roman"/>
                <w:sz w:val="24"/>
              </w:rPr>
              <w:t>Odložené daňové pohľadávky, ktoré závisia od budúcej ziskovosti</w:t>
            </w:r>
            <w:r w:rsidR="009912F8" w:rsidRPr="00E07C9A">
              <w:rPr>
                <w:rStyle w:val="InstructionsTabelleberschrift"/>
                <w:rFonts w:ascii="Times New Roman" w:hAnsi="Times New Roman"/>
                <w:sz w:val="24"/>
              </w:rPr>
              <w:t xml:space="preserve"> a </w:t>
            </w:r>
            <w:r w:rsidRPr="00E07C9A">
              <w:rPr>
                <w:rStyle w:val="InstructionsTabelleberschrift"/>
                <w:rFonts w:ascii="Times New Roman" w:hAnsi="Times New Roman"/>
                <w:sz w:val="24"/>
              </w:rPr>
              <w:t>nevyplývajú</w:t>
            </w:r>
            <w:r w:rsidR="009912F8" w:rsidRPr="00E07C9A">
              <w:rPr>
                <w:rStyle w:val="InstructionsTabelleberschrift"/>
                <w:rFonts w:ascii="Times New Roman" w:hAnsi="Times New Roman"/>
                <w:sz w:val="24"/>
              </w:rPr>
              <w:t xml:space="preserve"> z </w:t>
            </w:r>
            <w:r w:rsidRPr="00E07C9A">
              <w:rPr>
                <w:rStyle w:val="InstructionsTabelleberschrift"/>
                <w:rFonts w:ascii="Times New Roman" w:hAnsi="Times New Roman"/>
                <w:sz w:val="24"/>
              </w:rPr>
              <w:t>dočasných rozdielov</w:t>
            </w:r>
          </w:p>
          <w:p w14:paraId="34284203" w14:textId="58EA96C8" w:rsidR="00BF0637" w:rsidRPr="00E07C9A" w:rsidRDefault="00BF0637" w:rsidP="00487A02">
            <w:pPr>
              <w:pStyle w:val="InstructionsText"/>
              <w:rPr>
                <w:rStyle w:val="InstructionsTabelleText"/>
                <w:rFonts w:ascii="Times New Roman" w:hAnsi="Times New Roman"/>
                <w:sz w:val="24"/>
              </w:rPr>
            </w:pPr>
            <w:r w:rsidRPr="00E07C9A">
              <w:rPr>
                <w:rStyle w:val="InstructionsTabelleText"/>
                <w:rFonts w:ascii="Times New Roman" w:hAnsi="Times New Roman"/>
                <w:sz w:val="24"/>
              </w:rPr>
              <w:t>Článok 36 ods. 1 písm. c), článok 469 ods. 1, článok 472 ods. 5</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 xml:space="preserve">článok 478 </w:t>
            </w:r>
            <w:r w:rsidRPr="00E07C9A">
              <w:t xml:space="preserve">nariadenia (EÚ) </w:t>
            </w:r>
            <w:r w:rsidR="009912F8" w:rsidRPr="00E07C9A">
              <w:t>č. 575/2013</w:t>
            </w:r>
          </w:p>
          <w:p w14:paraId="0779310E" w14:textId="43EF79F5" w:rsidR="00BF0637" w:rsidRPr="00E07C9A" w:rsidRDefault="00BF0637" w:rsidP="00487A02">
            <w:pPr>
              <w:pStyle w:val="InstructionsText"/>
              <w:rPr>
                <w:rStyle w:val="InstructionsTabelleText"/>
                <w:rFonts w:ascii="Times New Roman" w:hAnsi="Times New Roman"/>
                <w:sz w:val="24"/>
              </w:rPr>
            </w:pPr>
            <w:r w:rsidRPr="00E07C9A">
              <w:rPr>
                <w:rStyle w:val="InstructionsTabelleText"/>
                <w:rFonts w:ascii="Times New Roman" w:hAnsi="Times New Roman"/>
                <w:sz w:val="24"/>
              </w:rPr>
              <w:t>Inštitúcie pri určovaní hodnoty vyššie uvedených daňových pohľadávok, ktoré sa majú odpočítať, zohľadnia ustanovenia článku 38</w:t>
            </w:r>
            <w:r w:rsidRPr="00E07C9A">
              <w:t xml:space="preserve"> nariadenia (EÚ) </w:t>
            </w:r>
            <w:r w:rsidR="009912F8" w:rsidRPr="00E07C9A">
              <w:t>č. 575/2013</w:t>
            </w:r>
            <w:r w:rsidRPr="00E07C9A">
              <w:t xml:space="preserve"> </w:t>
            </w:r>
            <w:r w:rsidRPr="00E07C9A">
              <w:rPr>
                <w:rStyle w:val="InstructionsTabelleText"/>
                <w:rFonts w:ascii="Times New Roman" w:hAnsi="Times New Roman"/>
                <w:sz w:val="24"/>
              </w:rPr>
              <w:t>týkajúce sa zníženia odložených daňových pohľadávok</w:t>
            </w:r>
            <w:r w:rsidR="009912F8" w:rsidRPr="00E07C9A">
              <w:rPr>
                <w:rStyle w:val="InstructionsTabelleText"/>
                <w:rFonts w:ascii="Times New Roman" w:hAnsi="Times New Roman"/>
                <w:sz w:val="24"/>
              </w:rPr>
              <w:t xml:space="preserve"> o </w:t>
            </w:r>
            <w:r w:rsidRPr="00E07C9A">
              <w:rPr>
                <w:rStyle w:val="InstructionsTabelleText"/>
                <w:rFonts w:ascii="Times New Roman" w:hAnsi="Times New Roman"/>
                <w:sz w:val="24"/>
              </w:rPr>
              <w:t>odložené daňové záväzky.</w:t>
            </w:r>
          </w:p>
          <w:p w14:paraId="4F5B8FE5" w14:textId="434DF11B" w:rsidR="00BF0637" w:rsidRPr="00E07C9A" w:rsidRDefault="00BF0637" w:rsidP="00487A02">
            <w:pPr>
              <w:pStyle w:val="InstructionsText"/>
              <w:rPr>
                <w:rStyle w:val="InstructionsTabelleText"/>
                <w:rFonts w:ascii="Times New Roman" w:hAnsi="Times New Roman"/>
                <w:sz w:val="24"/>
              </w:rPr>
            </w:pPr>
            <w:r w:rsidRPr="00E07C9A">
              <w:rPr>
                <w:rStyle w:val="InstructionsTabelleText"/>
                <w:rFonts w:ascii="Times New Roman" w:hAnsi="Times New Roman"/>
                <w:sz w:val="24"/>
              </w:rPr>
              <w:t>Suma, ktorá sa má vykázať</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stĺpci 0060 tohto riadku: celková suma</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súlade</w:t>
            </w:r>
            <w:r w:rsidR="009912F8" w:rsidRPr="00E07C9A">
              <w:rPr>
                <w:rStyle w:val="InstructionsTabelleText"/>
                <w:rFonts w:ascii="Times New Roman" w:hAnsi="Times New Roman"/>
                <w:sz w:val="24"/>
              </w:rPr>
              <w:t xml:space="preserve"> s </w:t>
            </w:r>
            <w:r w:rsidRPr="00E07C9A">
              <w:rPr>
                <w:rStyle w:val="InstructionsTabelleText"/>
                <w:rFonts w:ascii="Times New Roman" w:hAnsi="Times New Roman"/>
                <w:sz w:val="24"/>
              </w:rPr>
              <w:t>článkom 469 ods. 1</w:t>
            </w:r>
            <w:r w:rsidRPr="00E07C9A">
              <w:t xml:space="preserve"> nariadenia (EÚ) </w:t>
            </w:r>
            <w:r w:rsidR="009912F8" w:rsidRPr="00E07C9A">
              <w:t>č. 575/2013</w:t>
            </w:r>
            <w:r w:rsidRPr="00E07C9A">
              <w:rPr>
                <w:rStyle w:val="InstructionsTabelleText"/>
                <w:rFonts w:ascii="Times New Roman" w:hAnsi="Times New Roman"/>
                <w:sz w:val="24"/>
              </w:rPr>
              <w:t>.</w:t>
            </w:r>
          </w:p>
        </w:tc>
      </w:tr>
      <w:tr w:rsidR="00BF0637" w:rsidRPr="00E07C9A" w14:paraId="5AE53362" w14:textId="77777777" w:rsidTr="00672D2A">
        <w:tc>
          <w:tcPr>
            <w:tcW w:w="1012" w:type="dxa"/>
          </w:tcPr>
          <w:p w14:paraId="1614130B" w14:textId="77777777" w:rsidR="00BF0637" w:rsidRPr="00E07C9A" w:rsidDel="00E41E4F" w:rsidRDefault="00BA1BF6" w:rsidP="00487A02">
            <w:pPr>
              <w:pStyle w:val="InstructionsText"/>
              <w:rPr>
                <w:rStyle w:val="InstructionsTabelleText"/>
                <w:rFonts w:ascii="Times New Roman" w:hAnsi="Times New Roman"/>
                <w:sz w:val="24"/>
              </w:rPr>
            </w:pPr>
            <w:r w:rsidRPr="00E07C9A">
              <w:rPr>
                <w:rStyle w:val="InstructionsTabelleText"/>
                <w:rFonts w:ascii="Times New Roman" w:hAnsi="Times New Roman"/>
                <w:sz w:val="24"/>
              </w:rPr>
              <w:t>0380</w:t>
            </w:r>
          </w:p>
        </w:tc>
        <w:tc>
          <w:tcPr>
            <w:tcW w:w="7478" w:type="dxa"/>
          </w:tcPr>
          <w:p w14:paraId="1B2B5142" w14:textId="5113A66D" w:rsidR="00BF0637" w:rsidRPr="00E07C9A" w:rsidRDefault="00BF0637" w:rsidP="00487A02">
            <w:pPr>
              <w:pStyle w:val="InstructionsText"/>
              <w:rPr>
                <w:rStyle w:val="InstructionsTabelleText"/>
                <w:rFonts w:ascii="Times New Roman" w:hAnsi="Times New Roman"/>
                <w:b/>
                <w:bCs/>
                <w:sz w:val="24"/>
                <w:u w:val="single"/>
              </w:rPr>
            </w:pPr>
            <w:r w:rsidRPr="00E07C9A">
              <w:rPr>
                <w:rStyle w:val="InstructionsTabelleberschrift"/>
                <w:rFonts w:ascii="Times New Roman" w:hAnsi="Times New Roman"/>
                <w:sz w:val="24"/>
              </w:rPr>
              <w:t>1.3.2.9.</w:t>
            </w:r>
            <w:r w:rsidRPr="00E07C9A">
              <w:tab/>
            </w:r>
            <w:r w:rsidRPr="00E07C9A">
              <w:rPr>
                <w:rStyle w:val="InstructionsTabelleberschrift"/>
                <w:rFonts w:ascii="Times New Roman" w:hAnsi="Times New Roman"/>
                <w:sz w:val="24"/>
              </w:rPr>
              <w:t>Odložené daňové pohľadávky, ktoré závisia od budúcej ziskovosti</w:t>
            </w:r>
            <w:r w:rsidR="009912F8" w:rsidRPr="00E07C9A">
              <w:rPr>
                <w:rStyle w:val="InstructionsTabelleberschrift"/>
                <w:rFonts w:ascii="Times New Roman" w:hAnsi="Times New Roman"/>
                <w:sz w:val="24"/>
              </w:rPr>
              <w:t xml:space="preserve"> a </w:t>
            </w:r>
            <w:r w:rsidRPr="00E07C9A">
              <w:rPr>
                <w:rStyle w:val="InstructionsTabelleberschrift"/>
                <w:rFonts w:ascii="Times New Roman" w:hAnsi="Times New Roman"/>
                <w:sz w:val="24"/>
              </w:rPr>
              <w:t>vyplývajú</w:t>
            </w:r>
            <w:r w:rsidR="009912F8" w:rsidRPr="00E07C9A">
              <w:rPr>
                <w:rStyle w:val="InstructionsTabelleberschrift"/>
                <w:rFonts w:ascii="Times New Roman" w:hAnsi="Times New Roman"/>
                <w:sz w:val="24"/>
              </w:rPr>
              <w:t xml:space="preserve"> z </w:t>
            </w:r>
            <w:r w:rsidRPr="00E07C9A">
              <w:rPr>
                <w:rStyle w:val="InstructionsTabelleberschrift"/>
                <w:rFonts w:ascii="Times New Roman" w:hAnsi="Times New Roman"/>
                <w:sz w:val="24"/>
              </w:rPr>
              <w:t>dočasných rozdielov,</w:t>
            </w:r>
            <w:r w:rsidR="009912F8" w:rsidRPr="00E07C9A">
              <w:rPr>
                <w:rStyle w:val="InstructionsTabelleberschrift"/>
                <w:rFonts w:ascii="Times New Roman" w:hAnsi="Times New Roman"/>
                <w:sz w:val="24"/>
              </w:rPr>
              <w:t xml:space="preserve"> a </w:t>
            </w:r>
            <w:r w:rsidRPr="00E07C9A">
              <w:rPr>
                <w:rStyle w:val="InstructionsTabelleberschrift"/>
                <w:rFonts w:ascii="Times New Roman" w:hAnsi="Times New Roman"/>
                <w:sz w:val="24"/>
              </w:rPr>
              <w:t>nástroje CET1 subjektov finančného sektora,</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ktorých inštitúcia má významnú investíciu</w:t>
            </w:r>
          </w:p>
          <w:p w14:paraId="67D916A8" w14:textId="227D71F7" w:rsidR="00BF0637" w:rsidRPr="00E07C9A" w:rsidRDefault="00BF0637" w:rsidP="00487A02">
            <w:pPr>
              <w:pStyle w:val="InstructionsText"/>
              <w:rPr>
                <w:rStyle w:val="InstructionsTabelleText"/>
                <w:rFonts w:ascii="Times New Roman" w:hAnsi="Times New Roman"/>
                <w:sz w:val="24"/>
              </w:rPr>
            </w:pPr>
            <w:r w:rsidRPr="00E07C9A">
              <w:rPr>
                <w:rStyle w:val="InstructionsTabelleText"/>
                <w:rFonts w:ascii="Times New Roman" w:hAnsi="Times New Roman"/>
                <w:sz w:val="24"/>
              </w:rPr>
              <w:t>Článok 470 ods. 2</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3</w:t>
            </w:r>
            <w:r w:rsidRPr="00E07C9A">
              <w:t xml:space="preserve"> nariadenia (EÚ) </w:t>
            </w:r>
            <w:r w:rsidR="009912F8" w:rsidRPr="00E07C9A">
              <w:t>č. 575/2013</w:t>
            </w:r>
          </w:p>
          <w:p w14:paraId="0E472864" w14:textId="5EA8E65F" w:rsidR="00BF0637" w:rsidRPr="00E07C9A" w:rsidRDefault="00BF0637" w:rsidP="00487A02">
            <w:pPr>
              <w:pStyle w:val="InstructionsText"/>
              <w:rPr>
                <w:rStyle w:val="InstructionsTabelleText"/>
                <w:rFonts w:ascii="Times New Roman" w:hAnsi="Times New Roman"/>
                <w:sz w:val="24"/>
              </w:rPr>
            </w:pPr>
            <w:r w:rsidRPr="00E07C9A">
              <w:rPr>
                <w:rStyle w:val="InstructionsTabelleText"/>
                <w:rFonts w:ascii="Times New Roman" w:hAnsi="Times New Roman"/>
                <w:sz w:val="24"/>
              </w:rPr>
              <w:t>Suma, ktorá sa má vykázať</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 xml:space="preserve">stĺpci 0060 tohto riadku: článok 470 ods. 1 </w:t>
            </w:r>
            <w:r w:rsidRPr="00E07C9A">
              <w:t xml:space="preserve">nariadenia (EÚ) </w:t>
            </w:r>
            <w:r w:rsidR="009912F8" w:rsidRPr="00E07C9A">
              <w:t>č. 575/2013</w:t>
            </w:r>
            <w:r w:rsidRPr="00E07C9A">
              <w:t>.</w:t>
            </w:r>
          </w:p>
        </w:tc>
      </w:tr>
      <w:tr w:rsidR="00BF0637" w:rsidRPr="00E07C9A" w14:paraId="64FE7B3C" w14:textId="77777777" w:rsidTr="00672D2A">
        <w:tc>
          <w:tcPr>
            <w:tcW w:w="1012" w:type="dxa"/>
          </w:tcPr>
          <w:p w14:paraId="25F11324" w14:textId="77777777" w:rsidR="00BF0637" w:rsidRPr="00E07C9A" w:rsidRDefault="00BA1BF6" w:rsidP="00487A02">
            <w:pPr>
              <w:pStyle w:val="InstructionsText"/>
              <w:rPr>
                <w:rStyle w:val="InstructionsTabelleText"/>
                <w:rFonts w:ascii="Times New Roman" w:hAnsi="Times New Roman"/>
                <w:sz w:val="24"/>
              </w:rPr>
            </w:pPr>
            <w:r w:rsidRPr="00E07C9A">
              <w:rPr>
                <w:rStyle w:val="InstructionsTabelleText"/>
                <w:rFonts w:ascii="Times New Roman" w:hAnsi="Times New Roman"/>
                <w:sz w:val="24"/>
              </w:rPr>
              <w:t>0385</w:t>
            </w:r>
          </w:p>
        </w:tc>
        <w:tc>
          <w:tcPr>
            <w:tcW w:w="7478" w:type="dxa"/>
          </w:tcPr>
          <w:p w14:paraId="2C780C12" w14:textId="5D964691" w:rsidR="00BF0637" w:rsidRPr="00E07C9A" w:rsidRDefault="00BF0637" w:rsidP="00487A02">
            <w:pPr>
              <w:pStyle w:val="InstructionsText"/>
              <w:rPr>
                <w:rStyle w:val="InstructionsTabelleText"/>
                <w:rFonts w:ascii="Times New Roman" w:hAnsi="Times New Roman"/>
                <w:b/>
                <w:bCs/>
                <w:sz w:val="24"/>
                <w:u w:val="single"/>
              </w:rPr>
            </w:pPr>
            <w:r w:rsidRPr="00E07C9A">
              <w:rPr>
                <w:rStyle w:val="InstructionsTabelleberschrift"/>
                <w:rFonts w:ascii="Times New Roman" w:hAnsi="Times New Roman"/>
                <w:sz w:val="24"/>
              </w:rPr>
              <w:t>Odložené daňové pohľadávky, ktoré závisia od budúcej ziskovosti</w:t>
            </w:r>
            <w:r w:rsidR="009912F8" w:rsidRPr="00E07C9A">
              <w:rPr>
                <w:rStyle w:val="InstructionsTabelleberschrift"/>
                <w:rFonts w:ascii="Times New Roman" w:hAnsi="Times New Roman"/>
                <w:sz w:val="24"/>
              </w:rPr>
              <w:t xml:space="preserve"> a </w:t>
            </w:r>
            <w:r w:rsidRPr="00E07C9A">
              <w:rPr>
                <w:rStyle w:val="InstructionsTabelleberschrift"/>
                <w:rFonts w:ascii="Times New Roman" w:hAnsi="Times New Roman"/>
                <w:sz w:val="24"/>
              </w:rPr>
              <w:t>vyplývajú</w:t>
            </w:r>
            <w:r w:rsidR="009912F8" w:rsidRPr="00E07C9A">
              <w:rPr>
                <w:rStyle w:val="InstructionsTabelleberschrift"/>
                <w:rFonts w:ascii="Times New Roman" w:hAnsi="Times New Roman"/>
                <w:sz w:val="24"/>
              </w:rPr>
              <w:t xml:space="preserve"> z </w:t>
            </w:r>
            <w:r w:rsidRPr="00E07C9A">
              <w:rPr>
                <w:rStyle w:val="InstructionsTabelleberschrift"/>
                <w:rFonts w:ascii="Times New Roman" w:hAnsi="Times New Roman"/>
                <w:sz w:val="24"/>
              </w:rPr>
              <w:t>dočasných rozdielov</w:t>
            </w:r>
          </w:p>
          <w:p w14:paraId="1473C6AA" w14:textId="18FE9298" w:rsidR="00BF0637" w:rsidRPr="00E07C9A" w:rsidRDefault="00BF0637" w:rsidP="00487A02">
            <w:pPr>
              <w:pStyle w:val="InstructionsText"/>
              <w:rPr>
                <w:rStyle w:val="InstructionsTabelleText"/>
                <w:rFonts w:ascii="Times New Roman" w:hAnsi="Times New Roman"/>
                <w:bCs/>
                <w:sz w:val="24"/>
              </w:rPr>
            </w:pPr>
            <w:r w:rsidRPr="00E07C9A">
              <w:rPr>
                <w:rStyle w:val="InstructionsTabelleText"/>
                <w:rFonts w:ascii="Times New Roman" w:hAnsi="Times New Roman"/>
                <w:sz w:val="24"/>
              </w:rPr>
              <w:t>Článok 469 ods. 1 písm. c), článok 472 ods. 5</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 xml:space="preserve">článok 478 </w:t>
            </w:r>
            <w:r w:rsidRPr="00E07C9A">
              <w:t xml:space="preserve">nariadenia (EÚ) </w:t>
            </w:r>
            <w:r w:rsidR="009912F8" w:rsidRPr="00E07C9A">
              <w:t>č. 575/2013</w:t>
            </w:r>
          </w:p>
          <w:p w14:paraId="38991D1C" w14:textId="3A24FA19" w:rsidR="00BF0637" w:rsidRPr="00E07C9A" w:rsidRDefault="00BF0637" w:rsidP="00F217D5">
            <w:pPr>
              <w:pStyle w:val="InstructionsText"/>
              <w:rPr>
                <w:rStyle w:val="InstructionsTabelleberschrift"/>
                <w:rFonts w:ascii="Times New Roman" w:hAnsi="Times New Roman"/>
                <w:b w:val="0"/>
                <w:sz w:val="24"/>
                <w:u w:val="none"/>
              </w:rPr>
            </w:pPr>
            <w:r w:rsidRPr="00E07C9A">
              <w:rPr>
                <w:rStyle w:val="InstructionsTabelleText"/>
                <w:rFonts w:ascii="Times New Roman" w:hAnsi="Times New Roman"/>
                <w:sz w:val="24"/>
              </w:rPr>
              <w:t>Časť odložených daňových pohľadávok, ktoré závisia od budúcej ziskovosti</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vyplývajú</w:t>
            </w:r>
            <w:r w:rsidR="009912F8" w:rsidRPr="00E07C9A">
              <w:rPr>
                <w:rStyle w:val="InstructionsTabelleText"/>
                <w:rFonts w:ascii="Times New Roman" w:hAnsi="Times New Roman"/>
                <w:sz w:val="24"/>
              </w:rPr>
              <w:t xml:space="preserve"> z </w:t>
            </w:r>
            <w:r w:rsidRPr="00E07C9A">
              <w:rPr>
                <w:rStyle w:val="InstructionsTabelleText"/>
                <w:rFonts w:ascii="Times New Roman" w:hAnsi="Times New Roman"/>
                <w:sz w:val="24"/>
              </w:rPr>
              <w:t>dočasných rozdielov, ktorá presahuje prahovú hodnotu 10</w:t>
            </w:r>
            <w:r w:rsidR="009912F8" w:rsidRPr="00E07C9A">
              <w:t> %</w:t>
            </w:r>
            <w:r w:rsidRPr="00E07C9A">
              <w:rPr>
                <w:rStyle w:val="InstructionsTabelleText"/>
                <w:rFonts w:ascii="Times New Roman" w:hAnsi="Times New Roman"/>
                <w:sz w:val="24"/>
              </w:rPr>
              <w:t xml:space="preserve"> stanovenú</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článku 470 ods. 2 písm. a)</w:t>
            </w:r>
            <w:r w:rsidRPr="00E07C9A">
              <w:t xml:space="preserve"> nariadenia (EÚ) </w:t>
            </w:r>
            <w:r w:rsidR="009912F8" w:rsidRPr="00E07C9A">
              <w:t>č. 575/2013</w:t>
            </w:r>
            <w:r w:rsidRPr="00E07C9A">
              <w:rPr>
                <w:rStyle w:val="InstructionsTabelleText"/>
                <w:rFonts w:ascii="Times New Roman" w:hAnsi="Times New Roman"/>
                <w:sz w:val="24"/>
              </w:rPr>
              <w:t>.</w:t>
            </w:r>
          </w:p>
        </w:tc>
      </w:tr>
      <w:tr w:rsidR="00BF0637" w:rsidRPr="00E07C9A" w14:paraId="03DEC437" w14:textId="77777777" w:rsidTr="00672D2A">
        <w:tc>
          <w:tcPr>
            <w:tcW w:w="1012" w:type="dxa"/>
          </w:tcPr>
          <w:p w14:paraId="11CA9241" w14:textId="77777777" w:rsidR="00BF0637" w:rsidRPr="00E07C9A" w:rsidRDefault="00BA1BF6" w:rsidP="00487A02">
            <w:pPr>
              <w:pStyle w:val="InstructionsText"/>
              <w:rPr>
                <w:rStyle w:val="InstructionsTabelleText"/>
                <w:rFonts w:ascii="Times New Roman" w:hAnsi="Times New Roman"/>
                <w:sz w:val="24"/>
              </w:rPr>
            </w:pPr>
            <w:r w:rsidRPr="00E07C9A">
              <w:rPr>
                <w:rStyle w:val="InstructionsTabelleText"/>
                <w:rFonts w:ascii="Times New Roman" w:hAnsi="Times New Roman"/>
                <w:sz w:val="24"/>
              </w:rPr>
              <w:t>0425</w:t>
            </w:r>
          </w:p>
        </w:tc>
        <w:tc>
          <w:tcPr>
            <w:tcW w:w="7478" w:type="dxa"/>
          </w:tcPr>
          <w:p w14:paraId="235978D8" w14:textId="39D96874" w:rsidR="00BF0637" w:rsidRPr="00E07C9A" w:rsidRDefault="00BF0637"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1.3.2.11.</w:t>
            </w:r>
            <w:r w:rsidRPr="00E07C9A">
              <w:tab/>
            </w:r>
            <w:r w:rsidRPr="00E07C9A">
              <w:rPr>
                <w:rStyle w:val="InstructionsTabelleberschrift"/>
                <w:rFonts w:ascii="Times New Roman" w:hAnsi="Times New Roman"/>
                <w:sz w:val="24"/>
              </w:rPr>
              <w:t>Výnimka</w:t>
            </w:r>
            <w:r w:rsidR="009912F8" w:rsidRPr="00E07C9A">
              <w:rPr>
                <w:rStyle w:val="InstructionsTabelleberschrift"/>
                <w:rFonts w:ascii="Times New Roman" w:hAnsi="Times New Roman"/>
                <w:sz w:val="24"/>
              </w:rPr>
              <w:t xml:space="preserve"> z </w:t>
            </w:r>
            <w:r w:rsidRPr="00E07C9A">
              <w:rPr>
                <w:rStyle w:val="InstructionsTabelleberschrift"/>
                <w:rFonts w:ascii="Times New Roman" w:hAnsi="Times New Roman"/>
                <w:sz w:val="24"/>
              </w:rPr>
              <w:t>odpočtu kapitálových podielov</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poisťovniach od položiek CET1</w:t>
            </w:r>
          </w:p>
          <w:p w14:paraId="3A7DB6E8" w14:textId="5D25D6A7" w:rsidR="00BF0637" w:rsidRPr="00E07C9A" w:rsidRDefault="00BF0637" w:rsidP="00487A02">
            <w:pPr>
              <w:pStyle w:val="InstructionsText"/>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 xml:space="preserve">Článok 471 </w:t>
            </w:r>
            <w:r w:rsidRPr="00E07C9A">
              <w:t xml:space="preserve">nariadenia (EÚ) </w:t>
            </w:r>
            <w:r w:rsidR="009912F8" w:rsidRPr="00E07C9A">
              <w:t>č. 575/2013</w:t>
            </w:r>
          </w:p>
        </w:tc>
      </w:tr>
      <w:tr w:rsidR="00BF0637" w:rsidRPr="00E07C9A" w14:paraId="6248A7F4" w14:textId="77777777" w:rsidTr="00672D2A">
        <w:tc>
          <w:tcPr>
            <w:tcW w:w="1012" w:type="dxa"/>
          </w:tcPr>
          <w:p w14:paraId="141A34F8" w14:textId="77777777" w:rsidR="00BF0637" w:rsidRPr="00E07C9A" w:rsidRDefault="00BA1BF6" w:rsidP="00487A02">
            <w:pPr>
              <w:pStyle w:val="InstructionsText"/>
              <w:rPr>
                <w:rStyle w:val="InstructionsTabelleText"/>
                <w:rFonts w:ascii="Times New Roman" w:hAnsi="Times New Roman"/>
                <w:sz w:val="24"/>
              </w:rPr>
            </w:pPr>
            <w:r w:rsidRPr="00E07C9A">
              <w:rPr>
                <w:rStyle w:val="InstructionsTabelleText"/>
                <w:rFonts w:ascii="Times New Roman" w:hAnsi="Times New Roman"/>
                <w:sz w:val="24"/>
              </w:rPr>
              <w:t>0430</w:t>
            </w:r>
          </w:p>
        </w:tc>
        <w:tc>
          <w:tcPr>
            <w:tcW w:w="7478" w:type="dxa"/>
          </w:tcPr>
          <w:p w14:paraId="4C6ED068" w14:textId="0685E7D5" w:rsidR="00BF0637" w:rsidRPr="00E07C9A" w:rsidRDefault="00BF0637" w:rsidP="00487A02">
            <w:pPr>
              <w:pStyle w:val="InstructionsText"/>
              <w:rPr>
                <w:rStyle w:val="InstructionsTabelleText"/>
                <w:rFonts w:ascii="Times New Roman" w:hAnsi="Times New Roman"/>
                <w:b/>
                <w:bCs/>
                <w:sz w:val="24"/>
                <w:u w:val="single"/>
              </w:rPr>
            </w:pPr>
            <w:r w:rsidRPr="00E07C9A">
              <w:rPr>
                <w:rStyle w:val="InstructionsTabelleberschrift"/>
                <w:rFonts w:ascii="Times New Roman" w:hAnsi="Times New Roman"/>
                <w:sz w:val="24"/>
              </w:rPr>
              <w:t>1.3.3.</w:t>
            </w:r>
            <w:r w:rsidRPr="00E07C9A">
              <w:tab/>
            </w:r>
            <w:r w:rsidRPr="00E07C9A">
              <w:rPr>
                <w:rStyle w:val="InstructionsTabelleberschrift"/>
                <w:rFonts w:ascii="Times New Roman" w:hAnsi="Times New Roman"/>
                <w:sz w:val="24"/>
              </w:rPr>
              <w:t>Dodatočné filtre</w:t>
            </w:r>
            <w:r w:rsidR="009912F8" w:rsidRPr="00E07C9A">
              <w:rPr>
                <w:rStyle w:val="InstructionsTabelleberschrift"/>
                <w:rFonts w:ascii="Times New Roman" w:hAnsi="Times New Roman"/>
                <w:sz w:val="24"/>
              </w:rPr>
              <w:t xml:space="preserve"> a </w:t>
            </w:r>
            <w:r w:rsidRPr="00E07C9A">
              <w:rPr>
                <w:rStyle w:val="InstructionsTabelleberschrift"/>
                <w:rFonts w:ascii="Times New Roman" w:hAnsi="Times New Roman"/>
                <w:sz w:val="24"/>
              </w:rPr>
              <w:t>odpočty</w:t>
            </w:r>
          </w:p>
          <w:p w14:paraId="523DF61B" w14:textId="526877D0" w:rsidR="00BF0637" w:rsidRPr="00E07C9A" w:rsidRDefault="00BF0637" w:rsidP="00BF0637">
            <w:pPr>
              <w:spacing w:before="0"/>
              <w:rPr>
                <w:rStyle w:val="InstructionsTabelleText"/>
                <w:rFonts w:ascii="Times New Roman" w:hAnsi="Times New Roman"/>
                <w:sz w:val="24"/>
              </w:rPr>
            </w:pPr>
            <w:r w:rsidRPr="00E07C9A">
              <w:rPr>
                <w:rStyle w:val="InstructionsTabelleText"/>
                <w:rFonts w:ascii="Times New Roman" w:hAnsi="Times New Roman"/>
                <w:sz w:val="24"/>
              </w:rPr>
              <w:t xml:space="preserve">Článok 481 </w:t>
            </w:r>
            <w:r w:rsidRPr="00E07C9A">
              <w:rPr>
                <w:rFonts w:ascii="Times New Roman" w:hAnsi="Times New Roman"/>
                <w:sz w:val="24"/>
              </w:rPr>
              <w:t xml:space="preserve">nariadenia (EÚ) </w:t>
            </w:r>
            <w:r w:rsidR="009912F8" w:rsidRPr="00E07C9A">
              <w:rPr>
                <w:rFonts w:ascii="Times New Roman" w:hAnsi="Times New Roman"/>
                <w:sz w:val="24"/>
              </w:rPr>
              <w:t>č. 575/2013</w:t>
            </w:r>
          </w:p>
          <w:p w14:paraId="2E1738DC" w14:textId="6C763462" w:rsidR="00BF0637" w:rsidRPr="00E07C9A" w:rsidRDefault="00BF0637" w:rsidP="00487A02">
            <w:pPr>
              <w:pStyle w:val="InstructionsText"/>
              <w:rPr>
                <w:rStyle w:val="InstructionsTabelleText"/>
                <w:rFonts w:ascii="Times New Roman" w:hAnsi="Times New Roman"/>
                <w:sz w:val="24"/>
              </w:rPr>
            </w:pPr>
            <w:r w:rsidRPr="00E07C9A">
              <w:rPr>
                <w:rStyle w:val="InstructionsTabelleText"/>
                <w:rFonts w:ascii="Times New Roman" w:hAnsi="Times New Roman"/>
                <w:sz w:val="24"/>
              </w:rPr>
              <w:t>Tento riadok vyjadruje celkový účinok prechodných ustanovení na dodatočné filtre</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odpočty.</w:t>
            </w:r>
          </w:p>
          <w:p w14:paraId="4BED1B99" w14:textId="201FFC70" w:rsidR="00BF0637" w:rsidRPr="00E07C9A" w:rsidRDefault="00BF0637" w:rsidP="00487A02">
            <w:pPr>
              <w:pStyle w:val="InstructionsText"/>
              <w:rPr>
                <w:rStyle w:val="InstructionsTabelleText"/>
                <w:rFonts w:ascii="Times New Roman" w:hAnsi="Times New Roman"/>
                <w:sz w:val="24"/>
              </w:rPr>
            </w:pPr>
            <w:r w:rsidRPr="00E07C9A">
              <w:rPr>
                <w:rStyle w:val="InstructionsTabelleText"/>
                <w:rFonts w:ascii="Times New Roman" w:hAnsi="Times New Roman"/>
                <w:sz w:val="24"/>
              </w:rPr>
              <w:t>Inštitúcie</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súlade</w:t>
            </w:r>
            <w:r w:rsidR="009912F8" w:rsidRPr="00E07C9A">
              <w:rPr>
                <w:rStyle w:val="InstructionsTabelleText"/>
                <w:rFonts w:ascii="Times New Roman" w:hAnsi="Times New Roman"/>
                <w:sz w:val="24"/>
              </w:rPr>
              <w:t xml:space="preserve"> s </w:t>
            </w:r>
            <w:r w:rsidRPr="00E07C9A">
              <w:rPr>
                <w:rStyle w:val="InstructionsTabelleText"/>
                <w:rFonts w:ascii="Times New Roman" w:hAnsi="Times New Roman"/>
                <w:sz w:val="24"/>
              </w:rPr>
              <w:t>článkom 481</w:t>
            </w:r>
            <w:r w:rsidRPr="00E07C9A">
              <w:t xml:space="preserve"> nariadenia (EÚ) </w:t>
            </w:r>
            <w:r w:rsidR="009912F8" w:rsidRPr="00E07C9A">
              <w:t>č. 575/2013</w:t>
            </w:r>
            <w:r w:rsidRPr="00E07C9A">
              <w:rPr>
                <w:rStyle w:val="InstructionsTabelleText"/>
                <w:rFonts w:ascii="Times New Roman" w:hAnsi="Times New Roman"/>
                <w:sz w:val="24"/>
              </w:rPr>
              <w:t xml:space="preserve"> vykazujú</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položke 1.3.3 informácie týkajúce sa filtrov</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odpočtov, ktoré sa požadujú podľa vnútroštátnych transpozičných opatrení pre články 57</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 xml:space="preserve">66 smernice </w:t>
            </w:r>
            <w:r w:rsidRPr="00E07C9A">
              <w:rPr>
                <w:rStyle w:val="InstructionsTabelleText"/>
                <w:rFonts w:ascii="Times New Roman" w:hAnsi="Times New Roman"/>
                <w:sz w:val="24"/>
              </w:rPr>
              <w:lastRenderedPageBreak/>
              <w:t>2006/48/ES</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pre články 13</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16 smernice 2006/49/ES</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 xml:space="preserve">ktoré sa nepožadujú podľa druhej časti. </w:t>
            </w:r>
          </w:p>
        </w:tc>
      </w:tr>
      <w:tr w:rsidR="00BF0637" w:rsidRPr="00E07C9A" w14:paraId="7FE7AF18" w14:textId="77777777" w:rsidTr="00672D2A">
        <w:tc>
          <w:tcPr>
            <w:tcW w:w="1012" w:type="dxa"/>
          </w:tcPr>
          <w:p w14:paraId="186020A6" w14:textId="77777777" w:rsidR="00BF0637" w:rsidRPr="00E07C9A" w:rsidRDefault="00BA1BF6" w:rsidP="00487A02">
            <w:pPr>
              <w:pStyle w:val="InstructionsText"/>
              <w:rPr>
                <w:rStyle w:val="InstructionsTabelleText"/>
                <w:rFonts w:ascii="Times New Roman" w:hAnsi="Times New Roman"/>
                <w:sz w:val="24"/>
              </w:rPr>
            </w:pPr>
            <w:r w:rsidRPr="00E07C9A">
              <w:rPr>
                <w:rStyle w:val="InstructionsTabelleText"/>
                <w:rFonts w:ascii="Times New Roman" w:hAnsi="Times New Roman"/>
                <w:sz w:val="24"/>
              </w:rPr>
              <w:lastRenderedPageBreak/>
              <w:t>0440</w:t>
            </w:r>
          </w:p>
        </w:tc>
        <w:tc>
          <w:tcPr>
            <w:tcW w:w="7478" w:type="dxa"/>
          </w:tcPr>
          <w:p w14:paraId="3AD12E16" w14:textId="4E12CC50" w:rsidR="00BF0637" w:rsidRPr="00E07C9A" w:rsidRDefault="00BF0637"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1.3.4.</w:t>
            </w:r>
            <w:r w:rsidRPr="00E07C9A">
              <w:tab/>
            </w:r>
            <w:r w:rsidRPr="00E07C9A">
              <w:rPr>
                <w:rStyle w:val="InstructionsTabelleberschrift"/>
                <w:rFonts w:ascii="Times New Roman" w:hAnsi="Times New Roman"/>
                <w:sz w:val="24"/>
              </w:rPr>
              <w:t>Úpravy</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dôsledku prechodných opatrení IFRS 9</w:t>
            </w:r>
          </w:p>
          <w:p w14:paraId="05E1DB29" w14:textId="300C3CEA" w:rsidR="00BF0637" w:rsidRPr="00E07C9A" w:rsidRDefault="00BF0637" w:rsidP="00487A02">
            <w:pPr>
              <w:pStyle w:val="InstructionsText"/>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 xml:space="preserve">Článok 473a </w:t>
            </w:r>
            <w:r w:rsidRPr="00E07C9A">
              <w:t xml:space="preserve">nariadenia (EÚ) </w:t>
            </w:r>
            <w:r w:rsidR="009912F8" w:rsidRPr="00E07C9A">
              <w:t>č. 575/2013</w:t>
            </w:r>
          </w:p>
          <w:p w14:paraId="44A16D37" w14:textId="3266A192" w:rsidR="00BF0637" w:rsidRPr="00E07C9A" w:rsidRDefault="00BF0637" w:rsidP="00487A02">
            <w:pPr>
              <w:pStyle w:val="InstructionsText"/>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Inštitúcie vykazujú informácie</w:t>
            </w:r>
            <w:r w:rsidR="009912F8" w:rsidRPr="00E07C9A">
              <w:rPr>
                <w:rStyle w:val="InstructionsTabelleberschrift"/>
                <w:rFonts w:ascii="Times New Roman" w:hAnsi="Times New Roman"/>
                <w:b w:val="0"/>
                <w:sz w:val="24"/>
                <w:u w:val="none"/>
              </w:rPr>
              <w:t xml:space="preserve"> v </w:t>
            </w:r>
            <w:r w:rsidRPr="00E07C9A">
              <w:rPr>
                <w:rStyle w:val="InstructionsTabelleberschrift"/>
                <w:rFonts w:ascii="Times New Roman" w:hAnsi="Times New Roman"/>
                <w:b w:val="0"/>
                <w:sz w:val="24"/>
                <w:u w:val="none"/>
              </w:rPr>
              <w:t>súvislosti</w:t>
            </w:r>
            <w:r w:rsidR="009912F8" w:rsidRPr="00E07C9A">
              <w:rPr>
                <w:rStyle w:val="InstructionsTabelleberschrift"/>
                <w:rFonts w:ascii="Times New Roman" w:hAnsi="Times New Roman"/>
                <w:b w:val="0"/>
                <w:sz w:val="24"/>
                <w:u w:val="none"/>
              </w:rPr>
              <w:t xml:space="preserve"> s </w:t>
            </w:r>
            <w:r w:rsidRPr="00E07C9A">
              <w:rPr>
                <w:rStyle w:val="InstructionsTabelleberschrift"/>
                <w:rFonts w:ascii="Times New Roman" w:hAnsi="Times New Roman"/>
                <w:b w:val="0"/>
                <w:sz w:val="24"/>
                <w:u w:val="none"/>
              </w:rPr>
              <w:t>prechodnými opatreniami</w:t>
            </w:r>
            <w:r w:rsidR="009912F8" w:rsidRPr="00E07C9A">
              <w:rPr>
                <w:rStyle w:val="InstructionsTabelleberschrift"/>
                <w:rFonts w:ascii="Times New Roman" w:hAnsi="Times New Roman"/>
                <w:b w:val="0"/>
                <w:sz w:val="24"/>
                <w:u w:val="none"/>
              </w:rPr>
              <w:t xml:space="preserve"> v </w:t>
            </w:r>
            <w:r w:rsidRPr="00E07C9A">
              <w:rPr>
                <w:rStyle w:val="InstructionsTabelleberschrift"/>
                <w:rFonts w:ascii="Times New Roman" w:hAnsi="Times New Roman"/>
                <w:b w:val="0"/>
                <w:sz w:val="24"/>
                <w:u w:val="none"/>
              </w:rPr>
              <w:t>dôsledku IFRS 9</w:t>
            </w:r>
            <w:r w:rsidR="009912F8" w:rsidRPr="00E07C9A">
              <w:rPr>
                <w:rStyle w:val="InstructionsTabelleberschrift"/>
                <w:rFonts w:ascii="Times New Roman" w:hAnsi="Times New Roman"/>
                <w:b w:val="0"/>
                <w:sz w:val="24"/>
                <w:u w:val="none"/>
              </w:rPr>
              <w:t xml:space="preserve"> v </w:t>
            </w:r>
            <w:r w:rsidRPr="00E07C9A">
              <w:rPr>
                <w:rStyle w:val="InstructionsTabelleberschrift"/>
                <w:rFonts w:ascii="Times New Roman" w:hAnsi="Times New Roman"/>
                <w:b w:val="0"/>
                <w:sz w:val="24"/>
                <w:u w:val="none"/>
              </w:rPr>
              <w:t>súlade</w:t>
            </w:r>
            <w:r w:rsidR="009912F8" w:rsidRPr="00E07C9A">
              <w:rPr>
                <w:rStyle w:val="InstructionsTabelleberschrift"/>
                <w:rFonts w:ascii="Times New Roman" w:hAnsi="Times New Roman"/>
                <w:b w:val="0"/>
                <w:sz w:val="24"/>
                <w:u w:val="none"/>
              </w:rPr>
              <w:t xml:space="preserve"> s </w:t>
            </w:r>
            <w:r w:rsidRPr="00E07C9A">
              <w:rPr>
                <w:rStyle w:val="InstructionsTabelleberschrift"/>
                <w:rFonts w:ascii="Times New Roman" w:hAnsi="Times New Roman"/>
                <w:b w:val="0"/>
                <w:sz w:val="24"/>
                <w:u w:val="none"/>
              </w:rPr>
              <w:t>platnými právnymi predpismi.</w:t>
            </w:r>
          </w:p>
        </w:tc>
      </w:tr>
      <w:tr w:rsidR="0022311E" w:rsidRPr="00E07C9A" w14:paraId="5DD67688" w14:textId="77777777" w:rsidTr="001F1B80">
        <w:tc>
          <w:tcPr>
            <w:tcW w:w="1012" w:type="dxa"/>
          </w:tcPr>
          <w:p w14:paraId="76351CEF" w14:textId="77777777" w:rsidR="0022311E" w:rsidRPr="00E07C9A" w:rsidRDefault="0022311E" w:rsidP="001F1B80">
            <w:pPr>
              <w:pStyle w:val="InstructionsText"/>
              <w:rPr>
                <w:rStyle w:val="InstructionsTabelleText"/>
                <w:rFonts w:ascii="Times New Roman" w:hAnsi="Times New Roman"/>
                <w:sz w:val="24"/>
              </w:rPr>
            </w:pPr>
            <w:r w:rsidRPr="00E07C9A">
              <w:rPr>
                <w:rStyle w:val="InstructionsTabelleText"/>
                <w:rFonts w:ascii="Times New Roman" w:hAnsi="Times New Roman"/>
                <w:sz w:val="24"/>
              </w:rPr>
              <w:t>0441</w:t>
            </w:r>
          </w:p>
        </w:tc>
        <w:tc>
          <w:tcPr>
            <w:tcW w:w="7478" w:type="dxa"/>
          </w:tcPr>
          <w:p w14:paraId="6EA3E858" w14:textId="77777777" w:rsidR="0022311E" w:rsidRPr="00E07C9A" w:rsidRDefault="0022311E" w:rsidP="001F1B80">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Doplňujúca položka: dosah statickej zložky na očakávané úverové straty (ECL)</w:t>
            </w:r>
          </w:p>
          <w:p w14:paraId="21156AFC" w14:textId="1A5BA0FF" w:rsidR="0022311E" w:rsidRPr="00E07C9A" w:rsidRDefault="0022311E" w:rsidP="001F1B80">
            <w:pPr>
              <w:pStyle w:val="InstructionsText"/>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Súčet A</w:t>
            </w:r>
            <w:r w:rsidRPr="00E07C9A">
              <w:rPr>
                <w:rStyle w:val="InstructionsTabelleberschrift"/>
                <w:rFonts w:ascii="Times New Roman" w:hAnsi="Times New Roman"/>
                <w:b w:val="0"/>
                <w:sz w:val="24"/>
                <w:u w:val="none"/>
                <w:vertAlign w:val="subscript"/>
              </w:rPr>
              <w:t>2,SA</w:t>
            </w:r>
            <w:r w:rsidR="009912F8" w:rsidRPr="00E07C9A">
              <w:rPr>
                <w:rStyle w:val="InstructionsTabelleberschrift"/>
                <w:rFonts w:ascii="Times New Roman" w:hAnsi="Times New Roman"/>
                <w:b w:val="0"/>
                <w:sz w:val="24"/>
                <w:u w:val="none"/>
              </w:rPr>
              <w:t xml:space="preserve"> a </w:t>
            </w:r>
            <w:r w:rsidRPr="00E07C9A">
              <w:rPr>
                <w:rStyle w:val="InstructionsTabelleberschrift"/>
                <w:rFonts w:ascii="Times New Roman" w:hAnsi="Times New Roman"/>
                <w:b w:val="0"/>
                <w:sz w:val="24"/>
                <w:u w:val="none"/>
              </w:rPr>
              <w:t>A</w:t>
            </w:r>
            <w:r w:rsidRPr="00E07C9A">
              <w:rPr>
                <w:rStyle w:val="InstructionsTabelleberschrift"/>
                <w:rFonts w:ascii="Times New Roman" w:hAnsi="Times New Roman"/>
                <w:b w:val="0"/>
                <w:sz w:val="24"/>
                <w:u w:val="none"/>
                <w:vertAlign w:val="subscript"/>
              </w:rPr>
              <w:t>2, IRB</w:t>
            </w:r>
            <w:r w:rsidRPr="00E07C9A">
              <w:rPr>
                <w:rStyle w:val="InstructionsTabelleberschrift"/>
                <w:rFonts w:ascii="Times New Roman" w:hAnsi="Times New Roman"/>
                <w:b w:val="0"/>
                <w:sz w:val="24"/>
                <w:u w:val="none"/>
              </w:rPr>
              <w:t>, ako sa uvádza</w:t>
            </w:r>
            <w:r w:rsidR="009912F8" w:rsidRPr="00E07C9A">
              <w:rPr>
                <w:rStyle w:val="InstructionsTabelleberschrift"/>
                <w:rFonts w:ascii="Times New Roman" w:hAnsi="Times New Roman"/>
                <w:b w:val="0"/>
                <w:sz w:val="24"/>
                <w:u w:val="none"/>
              </w:rPr>
              <w:t xml:space="preserve"> v </w:t>
            </w:r>
            <w:r w:rsidRPr="00E07C9A">
              <w:rPr>
                <w:rStyle w:val="InstructionsTabelleberschrift"/>
                <w:rFonts w:ascii="Times New Roman" w:hAnsi="Times New Roman"/>
                <w:b w:val="0"/>
                <w:sz w:val="24"/>
                <w:u w:val="none"/>
              </w:rPr>
              <w:t>článku 473a ods. 1</w:t>
            </w:r>
            <w:r w:rsidRPr="00E07C9A">
              <w:t xml:space="preserve"> nariadenia (EÚ) </w:t>
            </w:r>
            <w:r w:rsidR="009912F8" w:rsidRPr="00E07C9A">
              <w:t>č. 575/2013</w:t>
            </w:r>
            <w:r w:rsidRPr="00E07C9A">
              <w:t>.</w:t>
            </w:r>
          </w:p>
          <w:p w14:paraId="4DB6187E" w14:textId="42069016" w:rsidR="0022311E" w:rsidRPr="00E07C9A" w:rsidRDefault="0022311E" w:rsidP="00F217D5">
            <w:pPr>
              <w:pStyle w:val="InstructionsText"/>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V prípade A</w:t>
            </w:r>
            <w:r w:rsidRPr="00E07C9A">
              <w:rPr>
                <w:rStyle w:val="InstructionsTabelleberschrift"/>
                <w:rFonts w:ascii="Times New Roman" w:hAnsi="Times New Roman"/>
                <w:b w:val="0"/>
                <w:sz w:val="24"/>
                <w:u w:val="none"/>
                <w:vertAlign w:val="subscript"/>
              </w:rPr>
              <w:t>2, IRB</w:t>
            </w:r>
            <w:r w:rsidRPr="00E07C9A">
              <w:rPr>
                <w:rStyle w:val="InstructionsTabelleberschrift"/>
                <w:rFonts w:ascii="Times New Roman" w:hAnsi="Times New Roman"/>
                <w:b w:val="0"/>
                <w:sz w:val="24"/>
                <w:u w:val="none"/>
              </w:rPr>
              <w:t xml:space="preserve"> je vykazovanou hodnotou hodnota očistená od očakávaných strát, ako sa vyžaduje</w:t>
            </w:r>
            <w:r w:rsidR="009912F8" w:rsidRPr="00E07C9A">
              <w:rPr>
                <w:rStyle w:val="InstructionsTabelleberschrift"/>
                <w:rFonts w:ascii="Times New Roman" w:hAnsi="Times New Roman"/>
                <w:b w:val="0"/>
                <w:sz w:val="24"/>
                <w:u w:val="none"/>
              </w:rPr>
              <w:t xml:space="preserve"> v </w:t>
            </w:r>
            <w:r w:rsidRPr="00E07C9A">
              <w:rPr>
                <w:rStyle w:val="InstructionsTabelleberschrift"/>
                <w:rFonts w:ascii="Times New Roman" w:hAnsi="Times New Roman"/>
                <w:b w:val="0"/>
                <w:sz w:val="24"/>
                <w:u w:val="none"/>
              </w:rPr>
              <w:t>článku 473a ods. 5 písm. a)</w:t>
            </w:r>
            <w:r w:rsidRPr="00E07C9A">
              <w:t xml:space="preserve"> nariadenia (EÚ) </w:t>
            </w:r>
            <w:r w:rsidR="009912F8" w:rsidRPr="00E07C9A">
              <w:t>č. 575/2013</w:t>
            </w:r>
            <w:r w:rsidRPr="00E07C9A">
              <w:rPr>
                <w:rStyle w:val="InstructionsTabelleberschrift"/>
                <w:rFonts w:ascii="Times New Roman" w:hAnsi="Times New Roman"/>
                <w:b w:val="0"/>
                <w:sz w:val="24"/>
                <w:u w:val="none"/>
              </w:rPr>
              <w:t>.</w:t>
            </w:r>
          </w:p>
        </w:tc>
      </w:tr>
      <w:tr w:rsidR="0022311E" w:rsidRPr="00E07C9A" w14:paraId="018DAC58" w14:textId="77777777" w:rsidTr="001F1B80">
        <w:tc>
          <w:tcPr>
            <w:tcW w:w="1012" w:type="dxa"/>
          </w:tcPr>
          <w:p w14:paraId="078E3AAB" w14:textId="77777777" w:rsidR="0022311E" w:rsidRPr="00E07C9A" w:rsidRDefault="0022311E" w:rsidP="001F1B80">
            <w:pPr>
              <w:pStyle w:val="InstructionsText"/>
              <w:rPr>
                <w:rStyle w:val="InstructionsTabelleText"/>
                <w:rFonts w:ascii="Times New Roman" w:hAnsi="Times New Roman"/>
                <w:sz w:val="24"/>
              </w:rPr>
            </w:pPr>
            <w:r w:rsidRPr="00E07C9A">
              <w:rPr>
                <w:rStyle w:val="InstructionsTabelleText"/>
                <w:rFonts w:ascii="Times New Roman" w:hAnsi="Times New Roman"/>
                <w:sz w:val="24"/>
              </w:rPr>
              <w:t>0442</w:t>
            </w:r>
          </w:p>
        </w:tc>
        <w:tc>
          <w:tcPr>
            <w:tcW w:w="7478" w:type="dxa"/>
          </w:tcPr>
          <w:p w14:paraId="766D5DE0" w14:textId="77777777" w:rsidR="0022311E" w:rsidRPr="00E07C9A" w:rsidRDefault="0022311E" w:rsidP="001F1B80">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Doplňujúca položka: dosah dynamickej zložky na očakávané úverové straty (ECL) za obdobie 1. 1. 2018 – 31. 12. 2019</w:t>
            </w:r>
          </w:p>
          <w:p w14:paraId="5CB75D93" w14:textId="7635B015" w:rsidR="0022311E" w:rsidRPr="00E07C9A" w:rsidRDefault="0022311E" w:rsidP="00695A63">
            <w:pPr>
              <w:pStyle w:val="InstructionsText"/>
              <w:rPr>
                <w:rStyle w:val="InstructionsTabelleberschrift"/>
                <w:rFonts w:ascii="Times New Roman" w:hAnsi="Times New Roman"/>
                <w:sz w:val="24"/>
              </w:rPr>
            </w:pPr>
            <w:r w:rsidRPr="00E07C9A">
              <w:rPr>
                <w:rStyle w:val="InstructionsTabelleberschrift"/>
                <w:rFonts w:ascii="Times New Roman" w:hAnsi="Times New Roman"/>
                <w:b w:val="0"/>
                <w:sz w:val="24"/>
                <w:u w:val="none"/>
              </w:rPr>
              <w:t xml:space="preserve">Súčet </w:t>
            </w:r>
            <m:oMath>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SA</m:t>
                  </m:r>
                </m:sub>
                <m:sup>
                  <m:r>
                    <w:rPr>
                      <w:rStyle w:val="InstructionsTabelleberschrift"/>
                      <w:rFonts w:ascii="Cambria Math" w:hAnsi="Cambria Math"/>
                      <w:sz w:val="24"/>
                      <w:u w:val="none"/>
                    </w:rPr>
                    <m:t>old</m:t>
                  </m:r>
                </m:sup>
              </m:sSubSup>
            </m:oMath>
            <w:r w:rsidRPr="00E07C9A">
              <w:rPr>
                <w:rStyle w:val="InstructionsTabelleberschrift"/>
                <w:rFonts w:ascii="Times New Roman" w:hAnsi="Times New Roman"/>
                <w:b w:val="0"/>
                <w:sz w:val="24"/>
                <w:u w:val="none"/>
              </w:rPr>
              <w:t xml:space="preserve"> a</w:t>
            </w:r>
            <m:oMath>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IRB</m:t>
                  </m:r>
                </m:sub>
                <m:sup>
                  <m:r>
                    <w:rPr>
                      <w:rStyle w:val="InstructionsTabelleberschrift"/>
                      <w:rFonts w:ascii="Cambria Math" w:hAnsi="Cambria Math"/>
                      <w:sz w:val="24"/>
                      <w:u w:val="none"/>
                    </w:rPr>
                    <m:t>old</m:t>
                  </m:r>
                </m:sup>
              </m:sSubSup>
            </m:oMath>
            <w:r w:rsidRPr="00E07C9A">
              <w:rPr>
                <w:rStyle w:val="InstructionsTabelleberschrift"/>
                <w:rFonts w:ascii="Times New Roman" w:hAnsi="Times New Roman"/>
                <w:b w:val="0"/>
                <w:sz w:val="24"/>
                <w:u w:val="none"/>
              </w:rPr>
              <w:t>, ako sa uvádza</w:t>
            </w:r>
            <w:r w:rsidR="009912F8" w:rsidRPr="00E07C9A">
              <w:rPr>
                <w:rStyle w:val="InstructionsTabelleberschrift"/>
                <w:rFonts w:ascii="Times New Roman" w:hAnsi="Times New Roman"/>
                <w:b w:val="0"/>
                <w:sz w:val="24"/>
                <w:u w:val="none"/>
              </w:rPr>
              <w:t xml:space="preserve"> v </w:t>
            </w:r>
            <w:r w:rsidRPr="00E07C9A">
              <w:rPr>
                <w:rStyle w:val="InstructionsTabelleberschrift"/>
                <w:rFonts w:ascii="Times New Roman" w:hAnsi="Times New Roman"/>
                <w:b w:val="0"/>
                <w:sz w:val="24"/>
                <w:u w:val="none"/>
              </w:rPr>
              <w:t>článku 473a ods. 1</w:t>
            </w:r>
            <w:r w:rsidRPr="00E07C9A">
              <w:t xml:space="preserve"> nariadenia (EÚ) </w:t>
            </w:r>
            <w:r w:rsidR="009912F8" w:rsidRPr="00E07C9A">
              <w:t>č. 575/2013</w:t>
            </w:r>
            <w:r w:rsidRPr="00E07C9A">
              <w:t>.</w:t>
            </w:r>
            <w:r w:rsidR="009912F8" w:rsidRPr="00E07C9A">
              <w:t xml:space="preserve"> </w:t>
            </w:r>
          </w:p>
        </w:tc>
      </w:tr>
      <w:tr w:rsidR="0022311E" w:rsidRPr="00E07C9A" w14:paraId="551557EF" w14:textId="77777777" w:rsidTr="001F1B80">
        <w:tc>
          <w:tcPr>
            <w:tcW w:w="1012" w:type="dxa"/>
          </w:tcPr>
          <w:p w14:paraId="33195A93" w14:textId="77777777" w:rsidR="0022311E" w:rsidRPr="00E07C9A" w:rsidRDefault="0022311E" w:rsidP="001F1B80">
            <w:pPr>
              <w:pStyle w:val="InstructionsText"/>
              <w:rPr>
                <w:rStyle w:val="InstructionsTabelleText"/>
                <w:rFonts w:ascii="Times New Roman" w:hAnsi="Times New Roman"/>
                <w:sz w:val="24"/>
              </w:rPr>
            </w:pPr>
            <w:r w:rsidRPr="00E07C9A">
              <w:rPr>
                <w:rStyle w:val="InstructionsTabelleText"/>
                <w:rFonts w:ascii="Times New Roman" w:hAnsi="Times New Roman"/>
                <w:sz w:val="24"/>
              </w:rPr>
              <w:t>0443</w:t>
            </w:r>
          </w:p>
        </w:tc>
        <w:tc>
          <w:tcPr>
            <w:tcW w:w="7478" w:type="dxa"/>
          </w:tcPr>
          <w:p w14:paraId="6EB4927E" w14:textId="77777777" w:rsidR="0022311E" w:rsidRPr="00E07C9A" w:rsidRDefault="0022311E" w:rsidP="001F1B80">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Doplňujúca položka: dosah dynamickej zložky na očakávané úverové straty (ECL) za obdobie od 1. 1. 2020</w:t>
            </w:r>
          </w:p>
          <w:p w14:paraId="2064CFFE" w14:textId="1518C6BD" w:rsidR="0022311E" w:rsidRPr="00E07C9A" w:rsidRDefault="0022311E" w:rsidP="001F1B80">
            <w:pPr>
              <w:pStyle w:val="InstructionsText"/>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Súčet A</w:t>
            </w:r>
            <w:r w:rsidRPr="00E07C9A">
              <w:rPr>
                <w:rStyle w:val="InstructionsTabelleberschrift"/>
                <w:rFonts w:ascii="Times New Roman" w:hAnsi="Times New Roman"/>
                <w:b w:val="0"/>
                <w:sz w:val="24"/>
                <w:u w:val="none"/>
                <w:vertAlign w:val="subscript"/>
              </w:rPr>
              <w:t>4,SA</w:t>
            </w:r>
            <w:r w:rsidR="009912F8" w:rsidRPr="00E07C9A">
              <w:rPr>
                <w:rStyle w:val="InstructionsTabelleberschrift"/>
                <w:rFonts w:ascii="Times New Roman" w:hAnsi="Times New Roman"/>
                <w:b w:val="0"/>
                <w:sz w:val="24"/>
                <w:u w:val="none"/>
              </w:rPr>
              <w:t xml:space="preserve"> a </w:t>
            </w:r>
            <w:r w:rsidRPr="00E07C9A">
              <w:rPr>
                <w:rStyle w:val="InstructionsTabelleberschrift"/>
                <w:rFonts w:ascii="Times New Roman" w:hAnsi="Times New Roman"/>
                <w:b w:val="0"/>
                <w:sz w:val="24"/>
                <w:u w:val="none"/>
              </w:rPr>
              <w:t>A</w:t>
            </w:r>
            <w:r w:rsidRPr="00E07C9A">
              <w:rPr>
                <w:rStyle w:val="InstructionsTabelleberschrift"/>
                <w:rFonts w:ascii="Times New Roman" w:hAnsi="Times New Roman"/>
                <w:b w:val="0"/>
                <w:sz w:val="24"/>
                <w:u w:val="none"/>
                <w:vertAlign w:val="subscript"/>
              </w:rPr>
              <w:t>4, IRB</w:t>
            </w:r>
            <w:r w:rsidRPr="00E07C9A">
              <w:rPr>
                <w:rStyle w:val="InstructionsTabelleberschrift"/>
                <w:rFonts w:ascii="Times New Roman" w:hAnsi="Times New Roman"/>
                <w:b w:val="0"/>
                <w:sz w:val="24"/>
                <w:u w:val="none"/>
              </w:rPr>
              <w:t>, ako sa uvádza</w:t>
            </w:r>
            <w:r w:rsidR="009912F8" w:rsidRPr="00E07C9A">
              <w:rPr>
                <w:rStyle w:val="InstructionsTabelleberschrift"/>
                <w:rFonts w:ascii="Times New Roman" w:hAnsi="Times New Roman"/>
                <w:b w:val="0"/>
                <w:sz w:val="24"/>
                <w:u w:val="none"/>
              </w:rPr>
              <w:t xml:space="preserve"> v </w:t>
            </w:r>
            <w:r w:rsidRPr="00E07C9A">
              <w:rPr>
                <w:rStyle w:val="InstructionsTabelleberschrift"/>
                <w:rFonts w:ascii="Times New Roman" w:hAnsi="Times New Roman"/>
                <w:b w:val="0"/>
                <w:sz w:val="24"/>
                <w:u w:val="none"/>
              </w:rPr>
              <w:t>článku 473a ods. 1</w:t>
            </w:r>
            <w:r w:rsidRPr="00E07C9A">
              <w:t xml:space="preserve"> nariadenia (EÚ) </w:t>
            </w:r>
            <w:r w:rsidR="009912F8" w:rsidRPr="00E07C9A">
              <w:t>č. 575/2013</w:t>
            </w:r>
            <w:r w:rsidRPr="00E07C9A">
              <w:t>.</w:t>
            </w:r>
          </w:p>
          <w:p w14:paraId="568C07D5" w14:textId="23EC1AFC" w:rsidR="0022311E" w:rsidRPr="00E07C9A" w:rsidRDefault="0022311E" w:rsidP="00F217D5">
            <w:pPr>
              <w:pStyle w:val="InstructionsText"/>
              <w:rPr>
                <w:rStyle w:val="InstructionsTabelleberschrift"/>
                <w:rFonts w:ascii="Times New Roman" w:hAnsi="Times New Roman"/>
                <w:sz w:val="24"/>
              </w:rPr>
            </w:pPr>
            <w:r w:rsidRPr="00E07C9A">
              <w:rPr>
                <w:rStyle w:val="InstructionsTabelleberschrift"/>
                <w:rFonts w:ascii="Times New Roman" w:hAnsi="Times New Roman"/>
                <w:b w:val="0"/>
                <w:sz w:val="24"/>
                <w:u w:val="none"/>
              </w:rPr>
              <w:t>V prípade A</w:t>
            </w:r>
            <w:r w:rsidRPr="00E07C9A">
              <w:rPr>
                <w:rStyle w:val="InstructionsTabelleberschrift"/>
                <w:rFonts w:ascii="Times New Roman" w:hAnsi="Times New Roman"/>
                <w:b w:val="0"/>
                <w:sz w:val="24"/>
                <w:u w:val="none"/>
                <w:vertAlign w:val="subscript"/>
              </w:rPr>
              <w:t>4, IRB</w:t>
            </w:r>
            <w:r w:rsidRPr="00E07C9A">
              <w:rPr>
                <w:rStyle w:val="InstructionsTabelleberschrift"/>
                <w:rFonts w:ascii="Times New Roman" w:hAnsi="Times New Roman"/>
                <w:b w:val="0"/>
                <w:sz w:val="24"/>
                <w:u w:val="none"/>
              </w:rPr>
              <w:t xml:space="preserve"> je vykazovanou hodnotou hodnota očistená od očakávaných strát, ako sa vyžaduje</w:t>
            </w:r>
            <w:r w:rsidR="009912F8" w:rsidRPr="00E07C9A">
              <w:rPr>
                <w:rStyle w:val="InstructionsTabelleberschrift"/>
                <w:rFonts w:ascii="Times New Roman" w:hAnsi="Times New Roman"/>
                <w:b w:val="0"/>
                <w:sz w:val="24"/>
                <w:u w:val="none"/>
              </w:rPr>
              <w:t xml:space="preserve"> v </w:t>
            </w:r>
            <w:r w:rsidRPr="00E07C9A">
              <w:rPr>
                <w:rStyle w:val="InstructionsTabelleberschrift"/>
                <w:rFonts w:ascii="Times New Roman" w:hAnsi="Times New Roman"/>
                <w:b w:val="0"/>
                <w:sz w:val="24"/>
                <w:u w:val="none"/>
              </w:rPr>
              <w:t>článku 473a ods. 5 písm. b)</w:t>
            </w:r>
            <w:r w:rsidR="009912F8" w:rsidRPr="00E07C9A">
              <w:rPr>
                <w:rStyle w:val="InstructionsTabelleberschrift"/>
                <w:rFonts w:ascii="Times New Roman" w:hAnsi="Times New Roman"/>
                <w:b w:val="0"/>
                <w:sz w:val="24"/>
                <w:u w:val="none"/>
              </w:rPr>
              <w:t xml:space="preserve"> a </w:t>
            </w:r>
            <w:r w:rsidRPr="00E07C9A">
              <w:rPr>
                <w:rStyle w:val="InstructionsTabelleberschrift"/>
                <w:rFonts w:ascii="Times New Roman" w:hAnsi="Times New Roman"/>
                <w:b w:val="0"/>
                <w:sz w:val="24"/>
                <w:u w:val="none"/>
              </w:rPr>
              <w:t>c)</w:t>
            </w:r>
            <w:r w:rsidRPr="00E07C9A">
              <w:t xml:space="preserve"> nariadenia (EÚ) </w:t>
            </w:r>
            <w:r w:rsidR="009912F8" w:rsidRPr="00E07C9A">
              <w:t>č. 575/2013</w:t>
            </w:r>
            <w:r w:rsidRPr="00E07C9A">
              <w:rPr>
                <w:rStyle w:val="InstructionsTabelleberschrift"/>
                <w:rFonts w:ascii="Times New Roman" w:hAnsi="Times New Roman"/>
                <w:b w:val="0"/>
                <w:sz w:val="24"/>
                <w:u w:val="none"/>
              </w:rPr>
              <w:t>.</w:t>
            </w:r>
          </w:p>
        </w:tc>
      </w:tr>
    </w:tbl>
    <w:p w14:paraId="2EDB58B2" w14:textId="77777777" w:rsidR="002648B0" w:rsidRPr="00E07C9A" w:rsidRDefault="002648B0" w:rsidP="00D946DB">
      <w:pPr>
        <w:spacing w:after="0"/>
        <w:rPr>
          <w:rFonts w:ascii="Times New Roman" w:hAnsi="Times New Roman"/>
          <w:sz w:val="24"/>
        </w:rPr>
      </w:pPr>
    </w:p>
    <w:p w14:paraId="764F2B3C" w14:textId="77777777" w:rsidR="009912F8" w:rsidRPr="00E07C9A" w:rsidRDefault="00125707" w:rsidP="000A46E0">
      <w:pPr>
        <w:pStyle w:val="Instructionsberschrift2"/>
        <w:numPr>
          <w:ilvl w:val="0"/>
          <w:numId w:val="0"/>
        </w:numPr>
        <w:ind w:left="357" w:hanging="357"/>
        <w:rPr>
          <w:rFonts w:ascii="Times New Roman" w:hAnsi="Times New Roman" w:cs="Times New Roman"/>
          <w:sz w:val="24"/>
          <w:u w:val="none"/>
        </w:rPr>
      </w:pPr>
      <w:bookmarkStart w:id="84" w:name="_Toc361666252"/>
      <w:bookmarkStart w:id="85" w:name="_Toc308175839"/>
      <w:bookmarkStart w:id="86" w:name="_Toc473560885"/>
      <w:bookmarkStart w:id="87" w:name="_Toc115857765"/>
      <w:bookmarkStart w:id="88" w:name="_Toc360188337"/>
      <w:bookmarkEnd w:id="84"/>
      <w:r w:rsidRPr="00E07C9A">
        <w:rPr>
          <w:rFonts w:ascii="Times New Roman" w:hAnsi="Times New Roman" w:cs="Times New Roman"/>
          <w:sz w:val="24"/>
          <w:u w:val="none"/>
        </w:rPr>
        <w:t>1.6.3.</w:t>
      </w:r>
      <w:r w:rsidRPr="00E07C9A">
        <w:rPr>
          <w:rFonts w:ascii="Times New Roman" w:hAnsi="Times New Roman" w:cs="Times New Roman"/>
          <w:u w:val="none"/>
        </w:rPr>
        <w:tab/>
      </w:r>
      <w:r w:rsidRPr="00E07C9A">
        <w:rPr>
          <w:rFonts w:ascii="Times New Roman" w:hAnsi="Times New Roman" w:cs="Times New Roman"/>
          <w:sz w:val="24"/>
        </w:rPr>
        <w:t>C 05.02 – NÁSTROJE ZACHOVANÉ</w:t>
      </w:r>
      <w:r w:rsidR="009912F8" w:rsidRPr="00E07C9A">
        <w:rPr>
          <w:rFonts w:ascii="Times New Roman" w:hAnsi="Times New Roman" w:cs="Times New Roman"/>
          <w:sz w:val="24"/>
        </w:rPr>
        <w:t xml:space="preserve"> V </w:t>
      </w:r>
      <w:r w:rsidRPr="00E07C9A">
        <w:rPr>
          <w:rFonts w:ascii="Times New Roman" w:hAnsi="Times New Roman" w:cs="Times New Roman"/>
          <w:sz w:val="24"/>
        </w:rPr>
        <w:t>PREDCHÁDZAJÚCOM STAVE: NÁSTROJE NEPREDSTAVUJÚCE ŠTÁTNU POMOC (CA5.2)</w:t>
      </w:r>
      <w:bookmarkEnd w:id="85"/>
      <w:bookmarkEnd w:id="86"/>
      <w:bookmarkEnd w:id="87"/>
      <w:bookmarkEnd w:id="88"/>
    </w:p>
    <w:p w14:paraId="381FD194" w14:textId="094B1412" w:rsidR="00783881" w:rsidRPr="00E07C9A" w:rsidRDefault="002A18DE" w:rsidP="00487A02">
      <w:pPr>
        <w:pStyle w:val="InstructionsText2"/>
        <w:numPr>
          <w:ilvl w:val="0"/>
          <w:numId w:val="0"/>
        </w:numPr>
        <w:ind w:left="1353" w:hanging="360"/>
      </w:pPr>
      <w:fldSimple w:instr=" seq paragraphs ">
        <w:r w:rsidR="00132AEE">
          <w:rPr>
            <w:noProof/>
          </w:rPr>
          <w:t>26</w:t>
        </w:r>
      </w:fldSimple>
      <w:r w:rsidR="00C3070C" w:rsidRPr="00E07C9A">
        <w:t>.</w:t>
      </w:r>
      <w:r w:rsidR="00C3070C" w:rsidRPr="00E07C9A">
        <w:tab/>
        <w:t>Inštitúcie vykazujú informácie</w:t>
      </w:r>
      <w:r w:rsidR="009912F8" w:rsidRPr="00E07C9A">
        <w:t xml:space="preserve"> v </w:t>
      </w:r>
      <w:r w:rsidR="00C3070C" w:rsidRPr="00E07C9A">
        <w:t>súvislosti</w:t>
      </w:r>
      <w:r w:rsidR="009912F8" w:rsidRPr="00E07C9A">
        <w:t xml:space="preserve"> s </w:t>
      </w:r>
      <w:r w:rsidR="00C3070C" w:rsidRPr="00E07C9A">
        <w:t>prechodnými ustanoveniami</w:t>
      </w:r>
      <w:r w:rsidR="009912F8" w:rsidRPr="00E07C9A">
        <w:t xml:space="preserve"> o </w:t>
      </w:r>
      <w:r w:rsidR="00C3070C" w:rsidRPr="00E07C9A">
        <w:t>nástrojoch zachovaných</w:t>
      </w:r>
      <w:r w:rsidR="009912F8" w:rsidRPr="00E07C9A">
        <w:t xml:space="preserve"> v </w:t>
      </w:r>
      <w:r w:rsidR="00C3070C" w:rsidRPr="00E07C9A">
        <w:t xml:space="preserve">predchádzajúcom stave, ktoré nepredstavujú štátnu pomoc [články 484 až 491 nariadenia (EÚ) </w:t>
      </w:r>
      <w:r w:rsidR="009912F8" w:rsidRPr="00E07C9A">
        <w:t>č. 575/2013</w:t>
      </w:r>
      <w:r w:rsidR="00C3070C" w:rsidRPr="00E07C9A">
        <w:t>].</w:t>
      </w:r>
    </w:p>
    <w:p w14:paraId="37B7FB6D" w14:textId="56E39531" w:rsidR="002648B0" w:rsidRPr="00E07C9A" w:rsidRDefault="00125707" w:rsidP="000A46E0">
      <w:pPr>
        <w:pStyle w:val="Instructionsberschrift2"/>
        <w:numPr>
          <w:ilvl w:val="0"/>
          <w:numId w:val="0"/>
        </w:numPr>
        <w:ind w:left="357" w:hanging="357"/>
        <w:rPr>
          <w:rFonts w:ascii="Times New Roman" w:hAnsi="Times New Roman" w:cs="Times New Roman"/>
          <w:sz w:val="24"/>
          <w:u w:val="none"/>
        </w:rPr>
      </w:pPr>
      <w:bookmarkStart w:id="89" w:name="_Toc360188338"/>
      <w:bookmarkStart w:id="90" w:name="_Toc473560886"/>
      <w:bookmarkStart w:id="91" w:name="_Toc115857766"/>
      <w:r w:rsidRPr="00E07C9A">
        <w:rPr>
          <w:rFonts w:ascii="Times New Roman" w:hAnsi="Times New Roman" w:cs="Times New Roman"/>
          <w:sz w:val="24"/>
          <w:u w:val="none"/>
        </w:rPr>
        <w:t>1.6.3.1.</w:t>
      </w:r>
      <w:r w:rsidRPr="00E07C9A">
        <w:rPr>
          <w:rFonts w:ascii="Times New Roman" w:hAnsi="Times New Roman" w:cs="Times New Roman"/>
          <w:u w:val="none"/>
        </w:rPr>
        <w:tab/>
      </w:r>
      <w:r w:rsidRPr="00E07C9A">
        <w:rPr>
          <w:rFonts w:ascii="Times New Roman" w:hAnsi="Times New Roman" w:cs="Times New Roman"/>
          <w:sz w:val="24"/>
        </w:rPr>
        <w:t>Pokyny týkajúce sa konkrétnych pozícií</w:t>
      </w:r>
      <w:bookmarkEnd w:id="89"/>
      <w:bookmarkEnd w:id="90"/>
      <w:bookmarkEnd w:id="91"/>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E07C9A" w14:paraId="1E86ADA0" w14:textId="77777777" w:rsidTr="00672D2A">
        <w:tc>
          <w:tcPr>
            <w:tcW w:w="8181" w:type="dxa"/>
            <w:gridSpan w:val="2"/>
            <w:shd w:val="clear" w:color="auto" w:fill="D9D9D9"/>
          </w:tcPr>
          <w:p w14:paraId="28354437" w14:textId="77777777" w:rsidR="005643EA" w:rsidRPr="00E07C9A" w:rsidRDefault="002648B0" w:rsidP="00EE6F6C">
            <w:pPr>
              <w:pStyle w:val="body"/>
              <w:rPr>
                <w:rStyle w:val="InstructionsTabelleText"/>
                <w:rFonts w:ascii="Times New Roman" w:hAnsi="Times New Roman"/>
                <w:sz w:val="24"/>
              </w:rPr>
            </w:pPr>
            <w:r w:rsidRPr="00E07C9A">
              <w:rPr>
                <w:rStyle w:val="InstructionsTabelleText"/>
                <w:rFonts w:ascii="Times New Roman" w:hAnsi="Times New Roman"/>
                <w:sz w:val="24"/>
              </w:rPr>
              <w:t>Stĺpce</w:t>
            </w:r>
          </w:p>
        </w:tc>
      </w:tr>
      <w:tr w:rsidR="002648B0" w:rsidRPr="00E07C9A" w14:paraId="7F958B1F" w14:textId="77777777" w:rsidTr="00672D2A">
        <w:tc>
          <w:tcPr>
            <w:tcW w:w="703" w:type="dxa"/>
          </w:tcPr>
          <w:p w14:paraId="2FBF9D15" w14:textId="77777777" w:rsidR="002648B0" w:rsidRPr="00E07C9A" w:rsidRDefault="00606735" w:rsidP="00EE6F6C">
            <w:pPr>
              <w:pStyle w:val="body"/>
              <w:rPr>
                <w:rStyle w:val="InstructionsTabelleText"/>
                <w:rFonts w:ascii="Times New Roman" w:hAnsi="Times New Roman"/>
                <w:sz w:val="24"/>
              </w:rPr>
            </w:pPr>
            <w:r w:rsidRPr="00E07C9A">
              <w:rPr>
                <w:rStyle w:val="InstructionsTabelleText"/>
                <w:rFonts w:ascii="Times New Roman" w:hAnsi="Times New Roman"/>
                <w:sz w:val="24"/>
              </w:rPr>
              <w:t>0010</w:t>
            </w:r>
          </w:p>
        </w:tc>
        <w:tc>
          <w:tcPr>
            <w:tcW w:w="7478" w:type="dxa"/>
          </w:tcPr>
          <w:p w14:paraId="64F9ECD1" w14:textId="77777777" w:rsidR="002648B0" w:rsidRPr="00E07C9A" w:rsidRDefault="002648B0" w:rsidP="00EE6F6C">
            <w:pPr>
              <w:pStyle w:val="body"/>
              <w:rPr>
                <w:rStyle w:val="InstructionsTabelleberschrift"/>
                <w:rFonts w:ascii="Times New Roman" w:hAnsi="Times New Roman"/>
                <w:sz w:val="24"/>
              </w:rPr>
            </w:pPr>
            <w:r w:rsidRPr="00E07C9A">
              <w:rPr>
                <w:rStyle w:val="InstructionsTabelleberschrift"/>
                <w:rFonts w:ascii="Times New Roman" w:hAnsi="Times New Roman"/>
                <w:sz w:val="24"/>
              </w:rPr>
              <w:t>Hodnota nástrojov so súvisiacim emisným ážiom</w:t>
            </w:r>
          </w:p>
          <w:p w14:paraId="62FF04FC" w14:textId="56DAA961" w:rsidR="002648B0" w:rsidRPr="00E07C9A" w:rsidRDefault="002648B0" w:rsidP="00EE6F6C">
            <w:pPr>
              <w:pStyle w:val="body"/>
              <w:rPr>
                <w:rStyle w:val="InstructionsTabelleText"/>
                <w:rFonts w:ascii="Times New Roman" w:hAnsi="Times New Roman"/>
                <w:sz w:val="24"/>
              </w:rPr>
            </w:pPr>
            <w:r w:rsidRPr="00E07C9A">
              <w:rPr>
                <w:rStyle w:val="InstructionsTabelleText"/>
                <w:rFonts w:ascii="Times New Roman" w:hAnsi="Times New Roman"/>
                <w:sz w:val="24"/>
              </w:rPr>
              <w:t>Článok 484 ods. 3, 4</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5</w:t>
            </w:r>
            <w:r w:rsidRPr="00E07C9A">
              <w:rPr>
                <w:rFonts w:ascii="Times New Roman" w:hAnsi="Times New Roman" w:cs="Times New Roman"/>
                <w:sz w:val="24"/>
              </w:rPr>
              <w:t xml:space="preserve"> nariadenia (EÚ) </w:t>
            </w:r>
            <w:r w:rsidR="009912F8" w:rsidRPr="00E07C9A">
              <w:rPr>
                <w:rFonts w:ascii="Times New Roman" w:hAnsi="Times New Roman" w:cs="Times New Roman"/>
                <w:sz w:val="24"/>
              </w:rPr>
              <w:t>č. 575/2013</w:t>
            </w:r>
          </w:p>
          <w:p w14:paraId="6C6F296F" w14:textId="77777777" w:rsidR="002648B0" w:rsidRPr="00E07C9A" w:rsidRDefault="002648B0" w:rsidP="00EE6F6C">
            <w:pPr>
              <w:pStyle w:val="body"/>
              <w:rPr>
                <w:rStyle w:val="InstructionsTabelleText"/>
                <w:rFonts w:ascii="Times New Roman" w:hAnsi="Times New Roman"/>
                <w:sz w:val="24"/>
              </w:rPr>
            </w:pPr>
            <w:r w:rsidRPr="00E07C9A">
              <w:rPr>
                <w:rStyle w:val="InstructionsTabelleText"/>
                <w:rFonts w:ascii="Times New Roman" w:hAnsi="Times New Roman"/>
                <w:sz w:val="24"/>
              </w:rPr>
              <w:lastRenderedPageBreak/>
              <w:t>Nástroje, ktoré sú prípustné pre jednotlivé riadky, vrátane ich súvisiacich emisných ážií.</w:t>
            </w:r>
          </w:p>
        </w:tc>
      </w:tr>
      <w:tr w:rsidR="002648B0" w:rsidRPr="00E07C9A" w14:paraId="7F0A60B7" w14:textId="77777777" w:rsidTr="00672D2A">
        <w:tc>
          <w:tcPr>
            <w:tcW w:w="703" w:type="dxa"/>
          </w:tcPr>
          <w:p w14:paraId="27071195" w14:textId="77777777" w:rsidR="002648B0" w:rsidRPr="00E07C9A" w:rsidRDefault="00606735" w:rsidP="00EE6F6C">
            <w:pPr>
              <w:pStyle w:val="body"/>
              <w:rPr>
                <w:rStyle w:val="InstructionsTabelleText"/>
                <w:rFonts w:ascii="Times New Roman" w:hAnsi="Times New Roman"/>
                <w:sz w:val="24"/>
              </w:rPr>
            </w:pPr>
            <w:r w:rsidRPr="00E07C9A">
              <w:rPr>
                <w:rStyle w:val="InstructionsTabelleText"/>
                <w:rFonts w:ascii="Times New Roman" w:hAnsi="Times New Roman"/>
                <w:sz w:val="24"/>
              </w:rPr>
              <w:lastRenderedPageBreak/>
              <w:t>0020</w:t>
            </w:r>
          </w:p>
        </w:tc>
        <w:tc>
          <w:tcPr>
            <w:tcW w:w="7478" w:type="dxa"/>
          </w:tcPr>
          <w:p w14:paraId="553A5B91" w14:textId="77777777" w:rsidR="002648B0" w:rsidRPr="00E07C9A" w:rsidRDefault="002648B0" w:rsidP="00EE6F6C">
            <w:pPr>
              <w:pStyle w:val="body"/>
              <w:rPr>
                <w:rStyle w:val="InstructionsTabelleberschrift"/>
                <w:rFonts w:ascii="Times New Roman" w:hAnsi="Times New Roman"/>
                <w:sz w:val="24"/>
              </w:rPr>
            </w:pPr>
            <w:r w:rsidRPr="00E07C9A">
              <w:rPr>
                <w:rStyle w:val="InstructionsTabelleberschrift"/>
                <w:rFonts w:ascii="Times New Roman" w:hAnsi="Times New Roman"/>
                <w:sz w:val="24"/>
              </w:rPr>
              <w:t>Základ pre výpočet obmedzenia</w:t>
            </w:r>
          </w:p>
          <w:p w14:paraId="3AD7ACBB" w14:textId="3F9DD11B" w:rsidR="002648B0" w:rsidRPr="00E07C9A" w:rsidRDefault="002648B0" w:rsidP="00EE6F6C">
            <w:pPr>
              <w:pStyle w:val="body"/>
              <w:rPr>
                <w:rStyle w:val="InstructionsTabelleText"/>
                <w:rFonts w:ascii="Times New Roman" w:hAnsi="Times New Roman"/>
                <w:sz w:val="24"/>
              </w:rPr>
            </w:pPr>
            <w:r w:rsidRPr="00E07C9A">
              <w:rPr>
                <w:rStyle w:val="InstructionsTabelleText"/>
                <w:rFonts w:ascii="Times New Roman" w:hAnsi="Times New Roman"/>
                <w:sz w:val="24"/>
              </w:rPr>
              <w:t>Článok 486 ods. 2, 3</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4</w:t>
            </w:r>
            <w:r w:rsidRPr="00E07C9A">
              <w:rPr>
                <w:rFonts w:ascii="Times New Roman" w:hAnsi="Times New Roman" w:cs="Times New Roman"/>
                <w:sz w:val="24"/>
              </w:rPr>
              <w:t xml:space="preserve"> nariadenia (EÚ) </w:t>
            </w:r>
            <w:r w:rsidR="009912F8" w:rsidRPr="00E07C9A">
              <w:rPr>
                <w:rFonts w:ascii="Times New Roman" w:hAnsi="Times New Roman" w:cs="Times New Roman"/>
                <w:sz w:val="24"/>
              </w:rPr>
              <w:t>č. 575/2013</w:t>
            </w:r>
          </w:p>
        </w:tc>
      </w:tr>
      <w:tr w:rsidR="002648B0" w:rsidRPr="00E07C9A" w14:paraId="23ED6BDA" w14:textId="77777777" w:rsidTr="00672D2A">
        <w:tc>
          <w:tcPr>
            <w:tcW w:w="703" w:type="dxa"/>
          </w:tcPr>
          <w:p w14:paraId="4C2D4411" w14:textId="77777777" w:rsidR="002648B0" w:rsidRPr="00E07C9A" w:rsidRDefault="00606735" w:rsidP="00EE6F6C">
            <w:pPr>
              <w:pStyle w:val="body"/>
              <w:rPr>
                <w:rStyle w:val="InstructionsTabelleText"/>
                <w:rFonts w:ascii="Times New Roman" w:hAnsi="Times New Roman"/>
                <w:sz w:val="24"/>
              </w:rPr>
            </w:pPr>
            <w:r w:rsidRPr="00E07C9A">
              <w:rPr>
                <w:rStyle w:val="InstructionsTabelleText"/>
                <w:rFonts w:ascii="Times New Roman" w:hAnsi="Times New Roman"/>
                <w:sz w:val="24"/>
              </w:rPr>
              <w:t>0030</w:t>
            </w:r>
          </w:p>
        </w:tc>
        <w:tc>
          <w:tcPr>
            <w:tcW w:w="7478" w:type="dxa"/>
          </w:tcPr>
          <w:p w14:paraId="7F99161D" w14:textId="77777777" w:rsidR="002648B0" w:rsidRPr="00E07C9A" w:rsidRDefault="002648B0" w:rsidP="00EE6F6C">
            <w:pPr>
              <w:pStyle w:val="body"/>
              <w:rPr>
                <w:rStyle w:val="InstructionsTabelleberschrift"/>
                <w:rFonts w:ascii="Times New Roman" w:hAnsi="Times New Roman"/>
                <w:sz w:val="24"/>
              </w:rPr>
            </w:pPr>
            <w:r w:rsidRPr="00E07C9A">
              <w:rPr>
                <w:rStyle w:val="InstructionsTabelleberschrift"/>
                <w:rFonts w:ascii="Times New Roman" w:hAnsi="Times New Roman"/>
                <w:sz w:val="24"/>
              </w:rPr>
              <w:t>Príslušná percentuálna hodnota</w:t>
            </w:r>
          </w:p>
          <w:p w14:paraId="2EF263DA" w14:textId="56ED4271" w:rsidR="002648B0" w:rsidRPr="00E07C9A" w:rsidRDefault="002648B0" w:rsidP="00EE6F6C">
            <w:pPr>
              <w:pStyle w:val="body"/>
              <w:rPr>
                <w:rStyle w:val="InstructionsTabelleText"/>
                <w:rFonts w:ascii="Times New Roman" w:hAnsi="Times New Roman"/>
                <w:sz w:val="24"/>
              </w:rPr>
            </w:pPr>
            <w:r w:rsidRPr="00E07C9A">
              <w:rPr>
                <w:rStyle w:val="InstructionsTabelleText"/>
                <w:rFonts w:ascii="Times New Roman" w:hAnsi="Times New Roman"/>
                <w:sz w:val="24"/>
              </w:rPr>
              <w:t xml:space="preserve">Článok 486 ods. 5 </w:t>
            </w:r>
            <w:r w:rsidRPr="00E07C9A">
              <w:rPr>
                <w:rFonts w:ascii="Times New Roman" w:hAnsi="Times New Roman" w:cs="Times New Roman"/>
                <w:sz w:val="24"/>
              </w:rPr>
              <w:t xml:space="preserve">nariadenia (EÚ) </w:t>
            </w:r>
            <w:r w:rsidR="009912F8" w:rsidRPr="00E07C9A">
              <w:rPr>
                <w:rFonts w:ascii="Times New Roman" w:hAnsi="Times New Roman" w:cs="Times New Roman"/>
                <w:sz w:val="24"/>
              </w:rPr>
              <w:t>č. 575/2013</w:t>
            </w:r>
          </w:p>
        </w:tc>
      </w:tr>
      <w:tr w:rsidR="002648B0" w:rsidRPr="00E07C9A" w14:paraId="48087958" w14:textId="77777777" w:rsidTr="00672D2A">
        <w:tc>
          <w:tcPr>
            <w:tcW w:w="703" w:type="dxa"/>
          </w:tcPr>
          <w:p w14:paraId="664F52E0" w14:textId="77777777" w:rsidR="002648B0" w:rsidRPr="00E07C9A" w:rsidRDefault="00606735" w:rsidP="00EE6F6C">
            <w:pPr>
              <w:pStyle w:val="body"/>
              <w:rPr>
                <w:rStyle w:val="InstructionsTabelleText"/>
                <w:rFonts w:ascii="Times New Roman" w:hAnsi="Times New Roman"/>
                <w:sz w:val="24"/>
              </w:rPr>
            </w:pPr>
            <w:r w:rsidRPr="00E07C9A">
              <w:rPr>
                <w:rStyle w:val="InstructionsTabelleText"/>
                <w:rFonts w:ascii="Times New Roman" w:hAnsi="Times New Roman"/>
                <w:sz w:val="24"/>
              </w:rPr>
              <w:t>0040</w:t>
            </w:r>
          </w:p>
        </w:tc>
        <w:tc>
          <w:tcPr>
            <w:tcW w:w="7478" w:type="dxa"/>
          </w:tcPr>
          <w:p w14:paraId="0C2B3C8F" w14:textId="77777777" w:rsidR="002648B0" w:rsidRPr="00E07C9A" w:rsidRDefault="002648B0" w:rsidP="00EE6F6C">
            <w:pPr>
              <w:pStyle w:val="body"/>
              <w:rPr>
                <w:rStyle w:val="InstructionsTabelleberschrift"/>
                <w:rFonts w:ascii="Times New Roman" w:hAnsi="Times New Roman"/>
                <w:sz w:val="24"/>
              </w:rPr>
            </w:pPr>
            <w:r w:rsidRPr="00E07C9A">
              <w:rPr>
                <w:rStyle w:val="InstructionsTabelleberschrift"/>
                <w:rFonts w:ascii="Times New Roman" w:hAnsi="Times New Roman"/>
                <w:sz w:val="24"/>
              </w:rPr>
              <w:t>Obmedzenie</w:t>
            </w:r>
          </w:p>
          <w:p w14:paraId="71BF03FA" w14:textId="0AC45EB5" w:rsidR="002648B0" w:rsidRPr="00E07C9A" w:rsidRDefault="002648B0" w:rsidP="00EE6F6C">
            <w:pPr>
              <w:pStyle w:val="body"/>
              <w:rPr>
                <w:rStyle w:val="InstructionsTabelleText"/>
                <w:rFonts w:ascii="Times New Roman" w:hAnsi="Times New Roman"/>
                <w:sz w:val="24"/>
              </w:rPr>
            </w:pPr>
            <w:r w:rsidRPr="00E07C9A">
              <w:rPr>
                <w:rStyle w:val="InstructionsTabelleText"/>
                <w:rFonts w:ascii="Times New Roman" w:hAnsi="Times New Roman"/>
                <w:sz w:val="24"/>
              </w:rPr>
              <w:t>Článok 486 ods. 2 až 5</w:t>
            </w:r>
            <w:r w:rsidRPr="00E07C9A">
              <w:rPr>
                <w:rFonts w:ascii="Times New Roman" w:hAnsi="Times New Roman" w:cs="Times New Roman"/>
                <w:sz w:val="24"/>
              </w:rPr>
              <w:t xml:space="preserve"> nariadenia (EÚ) </w:t>
            </w:r>
            <w:r w:rsidR="009912F8" w:rsidRPr="00E07C9A">
              <w:rPr>
                <w:rFonts w:ascii="Times New Roman" w:hAnsi="Times New Roman" w:cs="Times New Roman"/>
                <w:sz w:val="24"/>
              </w:rPr>
              <w:t>č. 575/2013</w:t>
            </w:r>
          </w:p>
        </w:tc>
      </w:tr>
      <w:tr w:rsidR="002648B0" w:rsidRPr="00E07C9A" w14:paraId="1218C9F6" w14:textId="77777777" w:rsidTr="00672D2A">
        <w:tc>
          <w:tcPr>
            <w:tcW w:w="703" w:type="dxa"/>
          </w:tcPr>
          <w:p w14:paraId="0823F1A0" w14:textId="77777777" w:rsidR="002648B0" w:rsidRPr="00E07C9A" w:rsidRDefault="00606735" w:rsidP="00EE6F6C">
            <w:pPr>
              <w:pStyle w:val="body"/>
              <w:rPr>
                <w:rStyle w:val="InstructionsTabelleText"/>
                <w:rFonts w:ascii="Times New Roman" w:hAnsi="Times New Roman"/>
                <w:sz w:val="24"/>
              </w:rPr>
            </w:pPr>
            <w:r w:rsidRPr="00E07C9A">
              <w:rPr>
                <w:rStyle w:val="InstructionsTabelleText"/>
                <w:rFonts w:ascii="Times New Roman" w:hAnsi="Times New Roman"/>
                <w:sz w:val="24"/>
              </w:rPr>
              <w:t>0050</w:t>
            </w:r>
          </w:p>
        </w:tc>
        <w:tc>
          <w:tcPr>
            <w:tcW w:w="7478" w:type="dxa"/>
          </w:tcPr>
          <w:p w14:paraId="65F933A1" w14:textId="77777777" w:rsidR="002648B0" w:rsidRPr="00E07C9A" w:rsidRDefault="002648B0" w:rsidP="00EE6F6C">
            <w:pPr>
              <w:pStyle w:val="body"/>
              <w:rPr>
                <w:rStyle w:val="InstructionsTabelleberschrift"/>
                <w:rFonts w:ascii="Times New Roman" w:hAnsi="Times New Roman"/>
                <w:sz w:val="24"/>
              </w:rPr>
            </w:pPr>
            <w:r w:rsidRPr="00E07C9A">
              <w:rPr>
                <w:rStyle w:val="InstructionsTabelleberschrift"/>
                <w:rFonts w:ascii="Times New Roman" w:hAnsi="Times New Roman"/>
                <w:sz w:val="24"/>
              </w:rPr>
              <w:t>(–) Hodnota, ktorá presahuje obmedzenia na zachovanie predchádzajúceho stavu</w:t>
            </w:r>
          </w:p>
          <w:p w14:paraId="243EA3A5" w14:textId="72BACF5C" w:rsidR="002648B0" w:rsidRPr="00E07C9A" w:rsidRDefault="00F217D5" w:rsidP="00EE6F6C">
            <w:pPr>
              <w:pStyle w:val="body"/>
              <w:rPr>
                <w:rStyle w:val="InstructionsTabelleText"/>
                <w:rFonts w:ascii="Times New Roman" w:hAnsi="Times New Roman"/>
                <w:sz w:val="24"/>
              </w:rPr>
            </w:pPr>
            <w:r w:rsidRPr="00E07C9A">
              <w:rPr>
                <w:rStyle w:val="InstructionsTabelleText"/>
                <w:rFonts w:ascii="Times New Roman" w:hAnsi="Times New Roman"/>
                <w:sz w:val="24"/>
              </w:rPr>
              <w:t xml:space="preserve">Články 486 ods. 2 až 5 </w:t>
            </w:r>
            <w:r w:rsidRPr="00E07C9A">
              <w:rPr>
                <w:rFonts w:ascii="Times New Roman" w:hAnsi="Times New Roman" w:cs="Times New Roman"/>
                <w:sz w:val="24"/>
              </w:rPr>
              <w:t xml:space="preserve">nariadenia (EÚ) </w:t>
            </w:r>
            <w:r w:rsidR="009912F8" w:rsidRPr="00E07C9A">
              <w:rPr>
                <w:rFonts w:ascii="Times New Roman" w:hAnsi="Times New Roman" w:cs="Times New Roman"/>
                <w:sz w:val="24"/>
              </w:rPr>
              <w:t>č. 575/2013</w:t>
            </w:r>
          </w:p>
        </w:tc>
      </w:tr>
      <w:tr w:rsidR="002648B0" w:rsidRPr="00E07C9A" w14:paraId="143F12EC" w14:textId="77777777" w:rsidTr="00672D2A">
        <w:tc>
          <w:tcPr>
            <w:tcW w:w="703" w:type="dxa"/>
          </w:tcPr>
          <w:p w14:paraId="5C088DC0" w14:textId="77777777" w:rsidR="002648B0" w:rsidRPr="00E07C9A" w:rsidRDefault="00606735" w:rsidP="00EE6F6C">
            <w:pPr>
              <w:pStyle w:val="body"/>
              <w:rPr>
                <w:rStyle w:val="InstructionsTabelleText"/>
                <w:rFonts w:ascii="Times New Roman" w:hAnsi="Times New Roman"/>
                <w:sz w:val="24"/>
              </w:rPr>
            </w:pPr>
            <w:r w:rsidRPr="00E07C9A">
              <w:rPr>
                <w:rStyle w:val="InstructionsTabelleText"/>
                <w:rFonts w:ascii="Times New Roman" w:hAnsi="Times New Roman"/>
                <w:sz w:val="24"/>
              </w:rPr>
              <w:t>0060</w:t>
            </w:r>
          </w:p>
        </w:tc>
        <w:tc>
          <w:tcPr>
            <w:tcW w:w="7478" w:type="dxa"/>
          </w:tcPr>
          <w:p w14:paraId="4F32DF1B" w14:textId="77777777" w:rsidR="002648B0" w:rsidRPr="00E07C9A" w:rsidRDefault="002648B0" w:rsidP="00EE6F6C">
            <w:pPr>
              <w:pStyle w:val="body"/>
              <w:rPr>
                <w:rStyle w:val="InstructionsTabelleberschrift"/>
                <w:rFonts w:ascii="Times New Roman" w:hAnsi="Times New Roman"/>
                <w:sz w:val="24"/>
              </w:rPr>
            </w:pPr>
            <w:r w:rsidRPr="00E07C9A">
              <w:rPr>
                <w:rStyle w:val="InstructionsTabelleberschrift"/>
                <w:rFonts w:ascii="Times New Roman" w:hAnsi="Times New Roman"/>
                <w:sz w:val="24"/>
              </w:rPr>
              <w:t>Celková hodnota zachovania predchádzajúceho stavu</w:t>
            </w:r>
          </w:p>
          <w:p w14:paraId="6DA5FF46" w14:textId="3B4EA740" w:rsidR="002648B0" w:rsidRPr="00E07C9A" w:rsidRDefault="002648B0" w:rsidP="00EE6F6C">
            <w:pPr>
              <w:pStyle w:val="body"/>
              <w:rPr>
                <w:rStyle w:val="InstructionsTabelleText"/>
                <w:rFonts w:ascii="Times New Roman" w:hAnsi="Times New Roman"/>
                <w:sz w:val="24"/>
              </w:rPr>
            </w:pPr>
            <w:r w:rsidRPr="00E07C9A">
              <w:rPr>
                <w:rStyle w:val="InstructionsTabelleText"/>
                <w:rFonts w:ascii="Times New Roman" w:hAnsi="Times New Roman"/>
                <w:sz w:val="24"/>
              </w:rPr>
              <w:t>Vykazovaná hodnota sa rovná hodnotám vykázaným</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príslušných stĺpcoch</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riadku 060 vzoru CA5.1.</w:t>
            </w:r>
          </w:p>
        </w:tc>
      </w:tr>
    </w:tbl>
    <w:p w14:paraId="52C5B030" w14:textId="77777777" w:rsidR="002648B0" w:rsidRPr="00E07C9A" w:rsidRDefault="002648B0" w:rsidP="000911FE">
      <w:pPr>
        <w:pStyle w:val="body"/>
        <w:rPr>
          <w:rFonts w:ascii="Times New Roman" w:hAnsi="Times New Roman" w:cs="Times New Roman"/>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E07C9A" w14:paraId="2EE019A9" w14:textId="77777777" w:rsidTr="00672D2A">
        <w:tc>
          <w:tcPr>
            <w:tcW w:w="8181" w:type="dxa"/>
            <w:gridSpan w:val="2"/>
            <w:shd w:val="clear" w:color="auto" w:fill="D9D9D9"/>
          </w:tcPr>
          <w:p w14:paraId="05051415" w14:textId="77777777" w:rsidR="005643EA" w:rsidRPr="00E07C9A" w:rsidRDefault="002648B0" w:rsidP="00EE6F6C">
            <w:pPr>
              <w:pStyle w:val="body"/>
              <w:rPr>
                <w:rFonts w:ascii="Times New Roman" w:hAnsi="Times New Roman" w:cs="Times New Roman"/>
              </w:rPr>
            </w:pPr>
            <w:r w:rsidRPr="00E07C9A">
              <w:rPr>
                <w:rFonts w:ascii="Times New Roman" w:hAnsi="Times New Roman" w:cs="Times New Roman"/>
              </w:rPr>
              <w:t>Riadky</w:t>
            </w:r>
          </w:p>
        </w:tc>
      </w:tr>
      <w:tr w:rsidR="002648B0" w:rsidRPr="00E07C9A" w14:paraId="7930B54D" w14:textId="77777777" w:rsidTr="00672D2A">
        <w:tc>
          <w:tcPr>
            <w:tcW w:w="703" w:type="dxa"/>
          </w:tcPr>
          <w:p w14:paraId="66452C6D" w14:textId="77777777" w:rsidR="002648B0" w:rsidRPr="00E07C9A" w:rsidRDefault="00606735" w:rsidP="00EE6F6C">
            <w:pPr>
              <w:pStyle w:val="body"/>
              <w:rPr>
                <w:rStyle w:val="InstructionsTabelleText"/>
                <w:rFonts w:ascii="Times New Roman" w:hAnsi="Times New Roman"/>
                <w:sz w:val="24"/>
              </w:rPr>
            </w:pPr>
            <w:r w:rsidRPr="00E07C9A">
              <w:rPr>
                <w:rStyle w:val="InstructionsTabelleText"/>
                <w:rFonts w:ascii="Times New Roman" w:hAnsi="Times New Roman"/>
                <w:sz w:val="24"/>
              </w:rPr>
              <w:t>0010</w:t>
            </w:r>
          </w:p>
        </w:tc>
        <w:tc>
          <w:tcPr>
            <w:tcW w:w="7478" w:type="dxa"/>
          </w:tcPr>
          <w:p w14:paraId="06C64F1B" w14:textId="01A3F069" w:rsidR="005643EA" w:rsidRPr="00E07C9A" w:rsidRDefault="00C66473" w:rsidP="00EE6F6C">
            <w:pPr>
              <w:pStyle w:val="body"/>
              <w:rPr>
                <w:rStyle w:val="InstructionsTabelleberschrift"/>
                <w:rFonts w:ascii="Times New Roman" w:hAnsi="Times New Roman"/>
                <w:sz w:val="24"/>
              </w:rPr>
            </w:pPr>
            <w:r w:rsidRPr="00E07C9A">
              <w:rPr>
                <w:rStyle w:val="InstructionsTabelleberschrift"/>
                <w:rFonts w:ascii="Times New Roman" w:hAnsi="Times New Roman"/>
                <w:sz w:val="24"/>
              </w:rPr>
              <w:t>1.</w:t>
            </w:r>
            <w:r w:rsidRPr="00E07C9A">
              <w:rPr>
                <w:rFonts w:ascii="Times New Roman" w:hAnsi="Times New Roman" w:cs="Times New Roman"/>
              </w:rPr>
              <w:tab/>
            </w:r>
            <w:r w:rsidRPr="00E07C9A">
              <w:rPr>
                <w:rStyle w:val="InstructionsTabelleberschrift"/>
                <w:rFonts w:ascii="Times New Roman" w:hAnsi="Times New Roman"/>
                <w:sz w:val="24"/>
              </w:rPr>
              <w:t>Nástroje, ktoré sa kvalifikovali pre písmeno a) článku 57 smernice 2006/48/ES</w:t>
            </w:r>
          </w:p>
          <w:p w14:paraId="00D57BCE" w14:textId="5CB9E8F1" w:rsidR="002648B0" w:rsidRPr="00E07C9A" w:rsidRDefault="002648B0" w:rsidP="00EE6F6C">
            <w:pPr>
              <w:pStyle w:val="body"/>
              <w:rPr>
                <w:rStyle w:val="InstructionsTabelleText"/>
                <w:rFonts w:ascii="Times New Roman" w:hAnsi="Times New Roman"/>
                <w:sz w:val="24"/>
              </w:rPr>
            </w:pPr>
            <w:r w:rsidRPr="00E07C9A">
              <w:rPr>
                <w:rStyle w:val="InstructionsTabelleText"/>
                <w:rFonts w:ascii="Times New Roman" w:hAnsi="Times New Roman"/>
                <w:sz w:val="24"/>
              </w:rPr>
              <w:t xml:space="preserve">Článok 484 ods. 3 </w:t>
            </w:r>
            <w:r w:rsidRPr="00E07C9A">
              <w:rPr>
                <w:rFonts w:ascii="Times New Roman" w:hAnsi="Times New Roman" w:cs="Times New Roman"/>
                <w:sz w:val="24"/>
              </w:rPr>
              <w:t xml:space="preserve">nariadenia (EÚ) </w:t>
            </w:r>
            <w:r w:rsidR="009912F8" w:rsidRPr="00E07C9A">
              <w:rPr>
                <w:rFonts w:ascii="Times New Roman" w:hAnsi="Times New Roman" w:cs="Times New Roman"/>
                <w:sz w:val="24"/>
              </w:rPr>
              <w:t>č. 575/2013</w:t>
            </w:r>
          </w:p>
          <w:p w14:paraId="18FB3BC5" w14:textId="77777777" w:rsidR="002648B0" w:rsidRPr="00E07C9A" w:rsidRDefault="002648B0" w:rsidP="00EE6F6C">
            <w:pPr>
              <w:pStyle w:val="body"/>
              <w:rPr>
                <w:rStyle w:val="InstructionsTabelleText"/>
                <w:rFonts w:ascii="Times New Roman" w:hAnsi="Times New Roman"/>
                <w:sz w:val="24"/>
              </w:rPr>
            </w:pPr>
            <w:r w:rsidRPr="00E07C9A">
              <w:rPr>
                <w:rStyle w:val="InstructionsTabelleText"/>
                <w:rFonts w:ascii="Times New Roman" w:hAnsi="Times New Roman"/>
                <w:sz w:val="24"/>
              </w:rPr>
              <w:t>Vykazovaná hodnota zahŕňa súvisiace účty emisného ážia.</w:t>
            </w:r>
          </w:p>
        </w:tc>
      </w:tr>
      <w:tr w:rsidR="002648B0" w:rsidRPr="00E07C9A" w14:paraId="286A8AF4" w14:textId="77777777" w:rsidTr="00672D2A">
        <w:tc>
          <w:tcPr>
            <w:tcW w:w="703" w:type="dxa"/>
          </w:tcPr>
          <w:p w14:paraId="5CA85447" w14:textId="77777777" w:rsidR="002648B0" w:rsidRPr="00E07C9A" w:rsidRDefault="00606735" w:rsidP="00EE6F6C">
            <w:pPr>
              <w:pStyle w:val="body"/>
              <w:rPr>
                <w:rStyle w:val="InstructionsTabelleText"/>
                <w:rFonts w:ascii="Times New Roman" w:hAnsi="Times New Roman"/>
                <w:sz w:val="24"/>
              </w:rPr>
            </w:pPr>
            <w:r w:rsidRPr="00E07C9A">
              <w:rPr>
                <w:rStyle w:val="InstructionsTabelleText"/>
                <w:rFonts w:ascii="Times New Roman" w:hAnsi="Times New Roman"/>
                <w:sz w:val="24"/>
              </w:rPr>
              <w:t>0020</w:t>
            </w:r>
          </w:p>
        </w:tc>
        <w:tc>
          <w:tcPr>
            <w:tcW w:w="7478" w:type="dxa"/>
          </w:tcPr>
          <w:p w14:paraId="40B60F6B" w14:textId="68D139D9" w:rsidR="005643EA" w:rsidRPr="00E07C9A" w:rsidRDefault="00C66473" w:rsidP="00EE6F6C">
            <w:pPr>
              <w:pStyle w:val="body"/>
              <w:rPr>
                <w:rStyle w:val="InstructionsTabelleText"/>
                <w:rFonts w:ascii="Times New Roman" w:hAnsi="Times New Roman"/>
                <w:b/>
                <w:sz w:val="24"/>
                <w:u w:val="single"/>
              </w:rPr>
            </w:pPr>
            <w:r w:rsidRPr="00E07C9A">
              <w:rPr>
                <w:rStyle w:val="InstructionsTabelleberschrift"/>
                <w:rFonts w:ascii="Times New Roman" w:hAnsi="Times New Roman"/>
                <w:sz w:val="24"/>
              </w:rPr>
              <w:t>2.</w:t>
            </w:r>
            <w:r w:rsidRPr="00E07C9A">
              <w:rPr>
                <w:rFonts w:ascii="Times New Roman" w:hAnsi="Times New Roman" w:cs="Times New Roman"/>
              </w:rPr>
              <w:tab/>
            </w:r>
            <w:r w:rsidRPr="00E07C9A">
              <w:rPr>
                <w:rStyle w:val="InstructionsTabelleberschrift"/>
                <w:rFonts w:ascii="Times New Roman" w:hAnsi="Times New Roman"/>
                <w:sz w:val="24"/>
              </w:rPr>
              <w:t>Nástroje, ktoré sa kvalifikovali pre písmeno ca) článku 57</w:t>
            </w:r>
            <w:r w:rsidR="009912F8" w:rsidRPr="00E07C9A">
              <w:rPr>
                <w:rStyle w:val="InstructionsTabelleberschrift"/>
                <w:rFonts w:ascii="Times New Roman" w:hAnsi="Times New Roman"/>
                <w:sz w:val="24"/>
              </w:rPr>
              <w:t xml:space="preserve"> a </w:t>
            </w:r>
            <w:r w:rsidRPr="00E07C9A">
              <w:rPr>
                <w:rStyle w:val="InstructionsTabelleberschrift"/>
                <w:rFonts w:ascii="Times New Roman" w:hAnsi="Times New Roman"/>
                <w:sz w:val="24"/>
              </w:rPr>
              <w:t>článok 154 ods. 8</w:t>
            </w:r>
            <w:r w:rsidR="009912F8" w:rsidRPr="00E07C9A">
              <w:rPr>
                <w:rStyle w:val="InstructionsTabelleberschrift"/>
                <w:rFonts w:ascii="Times New Roman" w:hAnsi="Times New Roman"/>
                <w:sz w:val="24"/>
              </w:rPr>
              <w:t xml:space="preserve"> a </w:t>
            </w:r>
            <w:r w:rsidRPr="00E07C9A">
              <w:rPr>
                <w:rStyle w:val="InstructionsTabelleberschrift"/>
                <w:rFonts w:ascii="Times New Roman" w:hAnsi="Times New Roman"/>
                <w:sz w:val="24"/>
              </w:rPr>
              <w:t>9 smernice 2006/48/ES,</w:t>
            </w:r>
            <w:r w:rsidR="009912F8" w:rsidRPr="00E07C9A">
              <w:rPr>
                <w:rStyle w:val="InstructionsTabelleberschrift"/>
                <w:rFonts w:ascii="Times New Roman" w:hAnsi="Times New Roman"/>
                <w:sz w:val="24"/>
              </w:rPr>
              <w:t xml:space="preserve"> s </w:t>
            </w:r>
            <w:r w:rsidRPr="00E07C9A">
              <w:rPr>
                <w:rStyle w:val="InstructionsTabelleberschrift"/>
                <w:rFonts w:ascii="Times New Roman" w:hAnsi="Times New Roman"/>
                <w:sz w:val="24"/>
              </w:rPr>
              <w:t xml:space="preserve">výhradou obmedzenia podľa článku 489 nariadenia (EÚ) </w:t>
            </w:r>
            <w:r w:rsidR="009912F8" w:rsidRPr="00E07C9A">
              <w:rPr>
                <w:rStyle w:val="InstructionsTabelleberschrift"/>
                <w:rFonts w:ascii="Times New Roman" w:hAnsi="Times New Roman"/>
                <w:sz w:val="24"/>
              </w:rPr>
              <w:t>č. 575/2013</w:t>
            </w:r>
          </w:p>
          <w:p w14:paraId="237A5DBB" w14:textId="054EACDA" w:rsidR="002648B0" w:rsidRPr="00E07C9A" w:rsidRDefault="002648B0" w:rsidP="00EE6F6C">
            <w:pPr>
              <w:pStyle w:val="body"/>
              <w:rPr>
                <w:rStyle w:val="InstructionsTabelleText"/>
                <w:rFonts w:ascii="Times New Roman" w:hAnsi="Times New Roman"/>
                <w:sz w:val="24"/>
              </w:rPr>
            </w:pPr>
            <w:r w:rsidRPr="00E07C9A">
              <w:rPr>
                <w:rStyle w:val="InstructionsTabelleText"/>
                <w:rFonts w:ascii="Times New Roman" w:hAnsi="Times New Roman"/>
                <w:sz w:val="24"/>
              </w:rPr>
              <w:t xml:space="preserve">Článok 484 ods. 4 </w:t>
            </w:r>
            <w:r w:rsidRPr="00E07C9A">
              <w:rPr>
                <w:rFonts w:ascii="Times New Roman" w:hAnsi="Times New Roman" w:cs="Times New Roman"/>
                <w:sz w:val="24"/>
              </w:rPr>
              <w:t xml:space="preserve">nariadenia (EÚ) </w:t>
            </w:r>
            <w:r w:rsidR="009912F8" w:rsidRPr="00E07C9A">
              <w:rPr>
                <w:rFonts w:ascii="Times New Roman" w:hAnsi="Times New Roman" w:cs="Times New Roman"/>
                <w:sz w:val="24"/>
              </w:rPr>
              <w:t>č. 575/2013</w:t>
            </w:r>
          </w:p>
        </w:tc>
      </w:tr>
      <w:tr w:rsidR="002648B0" w:rsidRPr="00E07C9A" w14:paraId="09A3978D" w14:textId="77777777" w:rsidTr="00672D2A">
        <w:tc>
          <w:tcPr>
            <w:tcW w:w="703" w:type="dxa"/>
          </w:tcPr>
          <w:p w14:paraId="1A617913" w14:textId="77777777" w:rsidR="002648B0" w:rsidRPr="00E07C9A" w:rsidRDefault="00606735" w:rsidP="00EE6F6C">
            <w:pPr>
              <w:pStyle w:val="body"/>
              <w:rPr>
                <w:rStyle w:val="InstructionsTabelleText"/>
                <w:rFonts w:ascii="Times New Roman" w:hAnsi="Times New Roman"/>
                <w:sz w:val="24"/>
              </w:rPr>
            </w:pPr>
            <w:r w:rsidRPr="00E07C9A">
              <w:rPr>
                <w:rStyle w:val="InstructionsTabelleText"/>
                <w:rFonts w:ascii="Times New Roman" w:hAnsi="Times New Roman"/>
                <w:sz w:val="24"/>
              </w:rPr>
              <w:lastRenderedPageBreak/>
              <w:t>0030</w:t>
            </w:r>
          </w:p>
        </w:tc>
        <w:tc>
          <w:tcPr>
            <w:tcW w:w="7478" w:type="dxa"/>
          </w:tcPr>
          <w:p w14:paraId="286E9DDA" w14:textId="77777777" w:rsidR="00496C53" w:rsidRPr="00E07C9A" w:rsidRDefault="002648B0" w:rsidP="00EE6F6C">
            <w:pPr>
              <w:pStyle w:val="body"/>
              <w:rPr>
                <w:rStyle w:val="InstructionsTabelleText"/>
                <w:rFonts w:ascii="Times New Roman" w:hAnsi="Times New Roman"/>
                <w:b/>
                <w:sz w:val="24"/>
                <w:u w:val="single"/>
              </w:rPr>
            </w:pPr>
            <w:r w:rsidRPr="00E07C9A">
              <w:rPr>
                <w:rStyle w:val="InstructionsTabelleberschrift"/>
                <w:rFonts w:ascii="Times New Roman" w:hAnsi="Times New Roman"/>
                <w:sz w:val="24"/>
              </w:rPr>
              <w:t>2.1.</w:t>
            </w:r>
            <w:r w:rsidRPr="00E07C9A">
              <w:rPr>
                <w:rFonts w:ascii="Times New Roman" w:hAnsi="Times New Roman" w:cs="Times New Roman"/>
              </w:rPr>
              <w:tab/>
            </w:r>
            <w:r w:rsidRPr="00E07C9A">
              <w:rPr>
                <w:rStyle w:val="InstructionsTabelleberschrift"/>
                <w:rFonts w:ascii="Times New Roman" w:hAnsi="Times New Roman"/>
                <w:sz w:val="24"/>
              </w:rPr>
              <w:t>Celkové nástroje bez kúpnej opcie alebo motivácie na splatenie</w:t>
            </w:r>
          </w:p>
          <w:p w14:paraId="36AA86C4" w14:textId="4B7EDCD6" w:rsidR="002648B0" w:rsidRPr="00E07C9A" w:rsidRDefault="002648B0" w:rsidP="00EE6F6C">
            <w:pPr>
              <w:pStyle w:val="body"/>
              <w:rPr>
                <w:rStyle w:val="InstructionsTabelleText"/>
                <w:rFonts w:ascii="Times New Roman" w:hAnsi="Times New Roman"/>
                <w:bCs/>
                <w:sz w:val="24"/>
              </w:rPr>
            </w:pPr>
            <w:r w:rsidRPr="00E07C9A">
              <w:rPr>
                <w:rStyle w:val="InstructionsTabelleText"/>
                <w:rFonts w:ascii="Times New Roman" w:hAnsi="Times New Roman"/>
                <w:sz w:val="24"/>
              </w:rPr>
              <w:t>Článok 484 ods. 4</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článok 489</w:t>
            </w:r>
            <w:r w:rsidRPr="00E07C9A">
              <w:rPr>
                <w:rFonts w:ascii="Times New Roman" w:hAnsi="Times New Roman" w:cs="Times New Roman"/>
                <w:sz w:val="24"/>
              </w:rPr>
              <w:t xml:space="preserve"> nariadenia (EÚ) </w:t>
            </w:r>
            <w:r w:rsidR="009912F8" w:rsidRPr="00E07C9A">
              <w:rPr>
                <w:rFonts w:ascii="Times New Roman" w:hAnsi="Times New Roman" w:cs="Times New Roman"/>
                <w:sz w:val="24"/>
              </w:rPr>
              <w:t>č. 575/2013</w:t>
            </w:r>
          </w:p>
          <w:p w14:paraId="4700ED7C" w14:textId="77777777" w:rsidR="002648B0" w:rsidRPr="00E07C9A" w:rsidRDefault="002648B0" w:rsidP="00EE6F6C">
            <w:pPr>
              <w:pStyle w:val="body"/>
              <w:rPr>
                <w:rStyle w:val="InstructionsTabelleText"/>
                <w:rFonts w:ascii="Times New Roman" w:hAnsi="Times New Roman"/>
                <w:sz w:val="24"/>
              </w:rPr>
            </w:pPr>
            <w:r w:rsidRPr="00E07C9A">
              <w:rPr>
                <w:rStyle w:val="InstructionsTabelleText"/>
                <w:rFonts w:ascii="Times New Roman" w:hAnsi="Times New Roman"/>
                <w:sz w:val="24"/>
              </w:rPr>
              <w:t>Vykazovaná hodnota zahŕňa súvisiace účty emisného ážia.</w:t>
            </w:r>
          </w:p>
        </w:tc>
      </w:tr>
      <w:tr w:rsidR="002648B0" w:rsidRPr="00E07C9A" w14:paraId="69B26837" w14:textId="77777777" w:rsidTr="00672D2A">
        <w:tc>
          <w:tcPr>
            <w:tcW w:w="703" w:type="dxa"/>
          </w:tcPr>
          <w:p w14:paraId="63F9A61B" w14:textId="77777777" w:rsidR="002648B0" w:rsidRPr="00E07C9A" w:rsidRDefault="00606735" w:rsidP="00EE6F6C">
            <w:pPr>
              <w:pStyle w:val="body"/>
              <w:rPr>
                <w:rStyle w:val="InstructionsTabelleText"/>
                <w:rFonts w:ascii="Times New Roman" w:hAnsi="Times New Roman"/>
                <w:sz w:val="24"/>
              </w:rPr>
            </w:pPr>
            <w:r w:rsidRPr="00E07C9A">
              <w:rPr>
                <w:rStyle w:val="InstructionsTabelleText"/>
                <w:rFonts w:ascii="Times New Roman" w:hAnsi="Times New Roman"/>
                <w:sz w:val="24"/>
              </w:rPr>
              <w:t>0040</w:t>
            </w:r>
          </w:p>
        </w:tc>
        <w:tc>
          <w:tcPr>
            <w:tcW w:w="7478" w:type="dxa"/>
          </w:tcPr>
          <w:p w14:paraId="7B664840" w14:textId="44C4DB0F" w:rsidR="005643EA" w:rsidRPr="00E07C9A" w:rsidRDefault="002648B0" w:rsidP="00EE6F6C">
            <w:pPr>
              <w:pStyle w:val="body"/>
              <w:rPr>
                <w:rStyle w:val="InstructionsTabelleText"/>
                <w:rFonts w:ascii="Times New Roman" w:hAnsi="Times New Roman"/>
                <w:b/>
                <w:sz w:val="24"/>
                <w:u w:val="single"/>
              </w:rPr>
            </w:pPr>
            <w:r w:rsidRPr="00E07C9A">
              <w:rPr>
                <w:rStyle w:val="InstructionsTabelleberschrift"/>
                <w:rFonts w:ascii="Times New Roman" w:hAnsi="Times New Roman"/>
                <w:sz w:val="24"/>
              </w:rPr>
              <w:t>2.2.</w:t>
            </w:r>
            <w:r w:rsidRPr="00E07C9A">
              <w:rPr>
                <w:rFonts w:ascii="Times New Roman" w:hAnsi="Times New Roman" w:cs="Times New Roman"/>
              </w:rPr>
              <w:tab/>
            </w:r>
            <w:r w:rsidRPr="00E07C9A">
              <w:rPr>
                <w:rStyle w:val="InstructionsTabelleberschrift"/>
                <w:rFonts w:ascii="Times New Roman" w:hAnsi="Times New Roman"/>
                <w:sz w:val="24"/>
              </w:rPr>
              <w:t>Nástroje zachované</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predchádzajúcom stave</w:t>
            </w:r>
            <w:r w:rsidR="009912F8" w:rsidRPr="00E07C9A">
              <w:rPr>
                <w:rStyle w:val="InstructionsTabelleberschrift"/>
                <w:rFonts w:ascii="Times New Roman" w:hAnsi="Times New Roman"/>
                <w:sz w:val="24"/>
              </w:rPr>
              <w:t xml:space="preserve"> s </w:t>
            </w:r>
            <w:r w:rsidRPr="00E07C9A">
              <w:rPr>
                <w:rStyle w:val="InstructionsTabelleberschrift"/>
                <w:rFonts w:ascii="Times New Roman" w:hAnsi="Times New Roman"/>
                <w:sz w:val="24"/>
              </w:rPr>
              <w:t>kúpnou opciou</w:t>
            </w:r>
            <w:r w:rsidR="009912F8" w:rsidRPr="00E07C9A">
              <w:rPr>
                <w:rStyle w:val="InstructionsTabelleberschrift"/>
                <w:rFonts w:ascii="Times New Roman" w:hAnsi="Times New Roman"/>
                <w:sz w:val="24"/>
              </w:rPr>
              <w:t xml:space="preserve"> a </w:t>
            </w:r>
            <w:r w:rsidRPr="00E07C9A">
              <w:rPr>
                <w:rStyle w:val="InstructionsTabelleberschrift"/>
                <w:rFonts w:ascii="Times New Roman" w:hAnsi="Times New Roman"/>
                <w:sz w:val="24"/>
              </w:rPr>
              <w:t>motiváciou na splatenie</w:t>
            </w:r>
          </w:p>
          <w:p w14:paraId="1DEEB56A" w14:textId="37ED25D8" w:rsidR="005643EA" w:rsidRPr="00E07C9A" w:rsidRDefault="002648B0" w:rsidP="00EE6F6C">
            <w:pPr>
              <w:pStyle w:val="body"/>
              <w:rPr>
                <w:rStyle w:val="InstructionsTabelleText"/>
                <w:rFonts w:ascii="Times New Roman" w:hAnsi="Times New Roman"/>
                <w:bCs/>
                <w:sz w:val="24"/>
              </w:rPr>
            </w:pPr>
            <w:r w:rsidRPr="00E07C9A">
              <w:rPr>
                <w:rStyle w:val="InstructionsTabelleText"/>
                <w:rFonts w:ascii="Times New Roman" w:hAnsi="Times New Roman"/>
                <w:sz w:val="24"/>
              </w:rPr>
              <w:t xml:space="preserve">Článok 489 </w:t>
            </w:r>
            <w:r w:rsidRPr="00E07C9A">
              <w:rPr>
                <w:rFonts w:ascii="Times New Roman" w:hAnsi="Times New Roman" w:cs="Times New Roman"/>
                <w:sz w:val="24"/>
              </w:rPr>
              <w:t xml:space="preserve">nariadenia (EÚ) </w:t>
            </w:r>
            <w:r w:rsidR="009912F8" w:rsidRPr="00E07C9A">
              <w:rPr>
                <w:rFonts w:ascii="Times New Roman" w:hAnsi="Times New Roman" w:cs="Times New Roman"/>
                <w:sz w:val="24"/>
              </w:rPr>
              <w:t>č. 575/2013</w:t>
            </w:r>
          </w:p>
        </w:tc>
      </w:tr>
      <w:tr w:rsidR="002648B0" w:rsidRPr="00E07C9A" w14:paraId="44C612AC" w14:textId="77777777" w:rsidTr="00672D2A">
        <w:tc>
          <w:tcPr>
            <w:tcW w:w="703" w:type="dxa"/>
          </w:tcPr>
          <w:p w14:paraId="7C54F578" w14:textId="77777777" w:rsidR="002648B0" w:rsidRPr="00E07C9A" w:rsidRDefault="00606735" w:rsidP="00EE6F6C">
            <w:pPr>
              <w:pStyle w:val="body"/>
              <w:rPr>
                <w:rStyle w:val="InstructionsTabelleText"/>
                <w:rFonts w:ascii="Times New Roman" w:hAnsi="Times New Roman"/>
                <w:sz w:val="24"/>
              </w:rPr>
            </w:pPr>
            <w:r w:rsidRPr="00E07C9A">
              <w:rPr>
                <w:rStyle w:val="InstructionsTabelleText"/>
                <w:rFonts w:ascii="Times New Roman" w:hAnsi="Times New Roman"/>
                <w:sz w:val="24"/>
              </w:rPr>
              <w:t>0050</w:t>
            </w:r>
          </w:p>
        </w:tc>
        <w:tc>
          <w:tcPr>
            <w:tcW w:w="7478" w:type="dxa"/>
          </w:tcPr>
          <w:p w14:paraId="625A0795" w14:textId="4A5EA19A" w:rsidR="005643EA" w:rsidRPr="00E07C9A" w:rsidRDefault="002648B0" w:rsidP="00EE6F6C">
            <w:pPr>
              <w:pStyle w:val="body"/>
              <w:rPr>
                <w:rStyle w:val="InstructionsTabelleText"/>
                <w:rFonts w:ascii="Times New Roman" w:hAnsi="Times New Roman"/>
                <w:b/>
                <w:bCs/>
                <w:sz w:val="24"/>
                <w:u w:val="single"/>
              </w:rPr>
            </w:pPr>
            <w:r w:rsidRPr="00E07C9A">
              <w:rPr>
                <w:rStyle w:val="InstructionsTabelleberschrift"/>
                <w:rFonts w:ascii="Times New Roman" w:hAnsi="Times New Roman"/>
                <w:sz w:val="24"/>
              </w:rPr>
              <w:t>2.2.1.</w:t>
            </w:r>
            <w:r w:rsidRPr="00E07C9A">
              <w:rPr>
                <w:rFonts w:ascii="Times New Roman" w:hAnsi="Times New Roman" w:cs="Times New Roman"/>
              </w:rPr>
              <w:tab/>
            </w:r>
            <w:r w:rsidRPr="00E07C9A">
              <w:rPr>
                <w:rStyle w:val="InstructionsTabelleberschrift"/>
                <w:rFonts w:ascii="Times New Roman" w:hAnsi="Times New Roman"/>
                <w:sz w:val="24"/>
              </w:rPr>
              <w:t>Nástroje</w:t>
            </w:r>
            <w:r w:rsidR="009912F8" w:rsidRPr="00E07C9A">
              <w:rPr>
                <w:rStyle w:val="InstructionsTabelleberschrift"/>
                <w:rFonts w:ascii="Times New Roman" w:hAnsi="Times New Roman"/>
                <w:sz w:val="24"/>
              </w:rPr>
              <w:t xml:space="preserve"> s </w:t>
            </w:r>
            <w:r w:rsidRPr="00E07C9A">
              <w:rPr>
                <w:rStyle w:val="InstructionsTabelleberschrift"/>
                <w:rFonts w:ascii="Times New Roman" w:hAnsi="Times New Roman"/>
                <w:sz w:val="24"/>
              </w:rPr>
              <w:t>kúpnou opciou uplatniteľnou po dátume vykazovania, ktoré spĺňajú podmienky stanovené</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 xml:space="preserve">článku 52 nariadenia (EÚ) </w:t>
            </w:r>
            <w:r w:rsidR="009912F8" w:rsidRPr="00E07C9A">
              <w:rPr>
                <w:rStyle w:val="InstructionsTabelleberschrift"/>
                <w:rFonts w:ascii="Times New Roman" w:hAnsi="Times New Roman"/>
                <w:sz w:val="24"/>
              </w:rPr>
              <w:t>č. 575/2013</w:t>
            </w:r>
            <w:r w:rsidRPr="00E07C9A">
              <w:rPr>
                <w:rStyle w:val="InstructionsTabelleberschrift"/>
                <w:rFonts w:ascii="Times New Roman" w:hAnsi="Times New Roman"/>
                <w:sz w:val="24"/>
              </w:rPr>
              <w:t xml:space="preserve"> po dátume efektívnej splatnosti</w:t>
            </w:r>
          </w:p>
          <w:p w14:paraId="32E1DD3C" w14:textId="2DC8C499" w:rsidR="005643EA" w:rsidRPr="00E07C9A" w:rsidRDefault="002648B0" w:rsidP="00EE6F6C">
            <w:pPr>
              <w:pStyle w:val="body"/>
              <w:rPr>
                <w:rStyle w:val="InstructionsTabelleText"/>
                <w:rFonts w:ascii="Times New Roman" w:hAnsi="Times New Roman"/>
                <w:sz w:val="24"/>
              </w:rPr>
            </w:pPr>
            <w:r w:rsidRPr="00E07C9A">
              <w:rPr>
                <w:rStyle w:val="InstructionsTabelleText"/>
                <w:rFonts w:ascii="Times New Roman" w:hAnsi="Times New Roman"/>
                <w:sz w:val="24"/>
              </w:rPr>
              <w:t>Článok 489 ods. 3</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 xml:space="preserve">článok 491 písm. a) </w:t>
            </w:r>
            <w:r w:rsidRPr="00E07C9A">
              <w:rPr>
                <w:rFonts w:ascii="Times New Roman" w:hAnsi="Times New Roman" w:cs="Times New Roman"/>
                <w:sz w:val="24"/>
              </w:rPr>
              <w:t xml:space="preserve">nariadenia (EÚ) </w:t>
            </w:r>
            <w:r w:rsidR="009912F8" w:rsidRPr="00E07C9A">
              <w:rPr>
                <w:rFonts w:ascii="Times New Roman" w:hAnsi="Times New Roman" w:cs="Times New Roman"/>
                <w:sz w:val="24"/>
              </w:rPr>
              <w:t>č. 575/2013</w:t>
            </w:r>
          </w:p>
          <w:p w14:paraId="1DF1152D" w14:textId="77777777" w:rsidR="002648B0" w:rsidRPr="00E07C9A" w:rsidRDefault="002648B0" w:rsidP="00EE6F6C">
            <w:pPr>
              <w:pStyle w:val="body"/>
              <w:rPr>
                <w:rStyle w:val="InstructionsTabelleText"/>
                <w:rFonts w:ascii="Times New Roman" w:hAnsi="Times New Roman"/>
                <w:sz w:val="24"/>
              </w:rPr>
            </w:pPr>
            <w:r w:rsidRPr="00E07C9A">
              <w:rPr>
                <w:rStyle w:val="InstructionsTabelleText"/>
                <w:rFonts w:ascii="Times New Roman" w:hAnsi="Times New Roman"/>
                <w:sz w:val="24"/>
              </w:rPr>
              <w:t>Vykazovaná hodnota zahŕňa súvisiace účty emisného ážia.</w:t>
            </w:r>
          </w:p>
        </w:tc>
      </w:tr>
      <w:tr w:rsidR="002648B0" w:rsidRPr="00E07C9A" w14:paraId="3A723A6C" w14:textId="77777777" w:rsidTr="00672D2A">
        <w:tc>
          <w:tcPr>
            <w:tcW w:w="703" w:type="dxa"/>
          </w:tcPr>
          <w:p w14:paraId="7DC73A94" w14:textId="77777777" w:rsidR="002648B0" w:rsidRPr="00E07C9A" w:rsidRDefault="00606735" w:rsidP="00EE6F6C">
            <w:pPr>
              <w:pStyle w:val="body"/>
              <w:rPr>
                <w:rStyle w:val="InstructionsTabelleText"/>
                <w:rFonts w:ascii="Times New Roman" w:hAnsi="Times New Roman"/>
                <w:sz w:val="24"/>
              </w:rPr>
            </w:pPr>
            <w:r w:rsidRPr="00E07C9A">
              <w:rPr>
                <w:rStyle w:val="InstructionsTabelleText"/>
                <w:rFonts w:ascii="Times New Roman" w:hAnsi="Times New Roman"/>
                <w:sz w:val="24"/>
              </w:rPr>
              <w:t>0060</w:t>
            </w:r>
          </w:p>
        </w:tc>
        <w:tc>
          <w:tcPr>
            <w:tcW w:w="7478" w:type="dxa"/>
          </w:tcPr>
          <w:p w14:paraId="5F1F47C2" w14:textId="29D77FA1" w:rsidR="005643EA" w:rsidRPr="00E07C9A" w:rsidRDefault="002648B0" w:rsidP="00EE6F6C">
            <w:pPr>
              <w:pStyle w:val="body"/>
              <w:rPr>
                <w:rStyle w:val="InstructionsTabelleText"/>
                <w:rFonts w:ascii="Times New Roman" w:hAnsi="Times New Roman"/>
                <w:b/>
                <w:sz w:val="24"/>
                <w:u w:val="single"/>
              </w:rPr>
            </w:pPr>
            <w:r w:rsidRPr="00E07C9A">
              <w:rPr>
                <w:rStyle w:val="InstructionsTabelleberschrift"/>
                <w:rFonts w:ascii="Times New Roman" w:hAnsi="Times New Roman"/>
                <w:sz w:val="24"/>
              </w:rPr>
              <w:t>2.2.2.</w:t>
            </w:r>
            <w:r w:rsidRPr="00E07C9A">
              <w:rPr>
                <w:rFonts w:ascii="Times New Roman" w:hAnsi="Times New Roman" w:cs="Times New Roman"/>
              </w:rPr>
              <w:tab/>
            </w:r>
            <w:r w:rsidRPr="00E07C9A">
              <w:rPr>
                <w:rStyle w:val="InstructionsTabelleberschrift"/>
                <w:rFonts w:ascii="Times New Roman" w:hAnsi="Times New Roman"/>
                <w:sz w:val="24"/>
              </w:rPr>
              <w:t>Nástroje</w:t>
            </w:r>
            <w:r w:rsidR="009912F8" w:rsidRPr="00E07C9A">
              <w:rPr>
                <w:rStyle w:val="InstructionsTabelleberschrift"/>
                <w:rFonts w:ascii="Times New Roman" w:hAnsi="Times New Roman"/>
                <w:sz w:val="24"/>
              </w:rPr>
              <w:t xml:space="preserve"> s </w:t>
            </w:r>
            <w:r w:rsidRPr="00E07C9A">
              <w:rPr>
                <w:rStyle w:val="InstructionsTabelleberschrift"/>
                <w:rFonts w:ascii="Times New Roman" w:hAnsi="Times New Roman"/>
                <w:sz w:val="24"/>
              </w:rPr>
              <w:t>kúpnou opciou uplatniteľnou po dátume vykazovania, ktoré nespĺňajú podmienky stanovené</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 xml:space="preserve">článku 52 nariadenia (EÚ) </w:t>
            </w:r>
            <w:r w:rsidR="009912F8" w:rsidRPr="00E07C9A">
              <w:rPr>
                <w:rStyle w:val="InstructionsTabelleberschrift"/>
                <w:rFonts w:ascii="Times New Roman" w:hAnsi="Times New Roman"/>
                <w:sz w:val="24"/>
              </w:rPr>
              <w:t>č. 575/2013</w:t>
            </w:r>
            <w:r w:rsidRPr="00E07C9A">
              <w:rPr>
                <w:rStyle w:val="InstructionsTabelleberschrift"/>
                <w:rFonts w:ascii="Times New Roman" w:hAnsi="Times New Roman"/>
                <w:sz w:val="24"/>
              </w:rPr>
              <w:t xml:space="preserve"> po dátume efektívnej splatnosti</w:t>
            </w:r>
          </w:p>
          <w:p w14:paraId="4E10D164" w14:textId="2674E9E4" w:rsidR="009F1550" w:rsidRPr="00E07C9A" w:rsidRDefault="009F1550" w:rsidP="00EE6F6C">
            <w:pPr>
              <w:pStyle w:val="body"/>
              <w:rPr>
                <w:rStyle w:val="InstructionsTabelleText"/>
                <w:rFonts w:ascii="Times New Roman" w:hAnsi="Times New Roman"/>
                <w:sz w:val="24"/>
              </w:rPr>
            </w:pPr>
            <w:r w:rsidRPr="00E07C9A">
              <w:rPr>
                <w:rStyle w:val="InstructionsTabelleText"/>
                <w:rFonts w:ascii="Times New Roman" w:hAnsi="Times New Roman"/>
                <w:sz w:val="24"/>
              </w:rPr>
              <w:t>Článok 489 ods. 5</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 xml:space="preserve">článok 491 písm. a) </w:t>
            </w:r>
            <w:r w:rsidRPr="00E07C9A">
              <w:rPr>
                <w:rFonts w:ascii="Times New Roman" w:hAnsi="Times New Roman" w:cs="Times New Roman"/>
                <w:sz w:val="24"/>
              </w:rPr>
              <w:t xml:space="preserve">nariadenia (EÚ) </w:t>
            </w:r>
            <w:r w:rsidR="009912F8" w:rsidRPr="00E07C9A">
              <w:rPr>
                <w:rFonts w:ascii="Times New Roman" w:hAnsi="Times New Roman" w:cs="Times New Roman"/>
                <w:sz w:val="24"/>
              </w:rPr>
              <w:t>č. 575/2013</w:t>
            </w:r>
          </w:p>
          <w:p w14:paraId="763DC317" w14:textId="77777777" w:rsidR="002648B0" w:rsidRPr="00E07C9A" w:rsidRDefault="002648B0" w:rsidP="00EE6F6C">
            <w:pPr>
              <w:pStyle w:val="body"/>
              <w:rPr>
                <w:rStyle w:val="InstructionsTabelleText"/>
                <w:rFonts w:ascii="Times New Roman" w:hAnsi="Times New Roman"/>
                <w:sz w:val="24"/>
              </w:rPr>
            </w:pPr>
            <w:r w:rsidRPr="00E07C9A">
              <w:rPr>
                <w:rStyle w:val="InstructionsTabelleText"/>
                <w:rFonts w:ascii="Times New Roman" w:hAnsi="Times New Roman"/>
                <w:sz w:val="24"/>
              </w:rPr>
              <w:t>Vykazovaná hodnota zahŕňa súvisiace účty emisného ážia.</w:t>
            </w:r>
          </w:p>
        </w:tc>
      </w:tr>
      <w:tr w:rsidR="002648B0" w:rsidRPr="00E07C9A" w14:paraId="1B511ED0" w14:textId="77777777" w:rsidTr="00672D2A">
        <w:tc>
          <w:tcPr>
            <w:tcW w:w="703" w:type="dxa"/>
          </w:tcPr>
          <w:p w14:paraId="4B381ED2" w14:textId="77777777" w:rsidR="002648B0" w:rsidRPr="00E07C9A" w:rsidRDefault="00606735" w:rsidP="00EE6F6C">
            <w:pPr>
              <w:pStyle w:val="body"/>
              <w:rPr>
                <w:rStyle w:val="InstructionsTabelleText"/>
                <w:rFonts w:ascii="Times New Roman" w:hAnsi="Times New Roman"/>
                <w:sz w:val="24"/>
              </w:rPr>
            </w:pPr>
            <w:r w:rsidRPr="00E07C9A">
              <w:rPr>
                <w:rStyle w:val="InstructionsTabelleText"/>
                <w:rFonts w:ascii="Times New Roman" w:hAnsi="Times New Roman"/>
                <w:sz w:val="24"/>
              </w:rPr>
              <w:t>0070</w:t>
            </w:r>
          </w:p>
        </w:tc>
        <w:tc>
          <w:tcPr>
            <w:tcW w:w="7478" w:type="dxa"/>
          </w:tcPr>
          <w:p w14:paraId="4303331C" w14:textId="4BCB9783" w:rsidR="005643EA" w:rsidRPr="00E07C9A" w:rsidRDefault="002648B0" w:rsidP="00EE6F6C">
            <w:pPr>
              <w:pStyle w:val="body"/>
              <w:rPr>
                <w:rStyle w:val="InstructionsTabelleText"/>
                <w:rFonts w:ascii="Times New Roman" w:hAnsi="Times New Roman"/>
                <w:b/>
                <w:sz w:val="24"/>
                <w:u w:val="single"/>
              </w:rPr>
            </w:pPr>
            <w:r w:rsidRPr="00E07C9A">
              <w:rPr>
                <w:rStyle w:val="InstructionsTabelleberschrift"/>
                <w:rFonts w:ascii="Times New Roman" w:hAnsi="Times New Roman"/>
                <w:sz w:val="24"/>
              </w:rPr>
              <w:t>2.2.3.</w:t>
            </w:r>
            <w:r w:rsidRPr="00E07C9A">
              <w:rPr>
                <w:rFonts w:ascii="Times New Roman" w:hAnsi="Times New Roman" w:cs="Times New Roman"/>
              </w:rPr>
              <w:tab/>
            </w:r>
            <w:r w:rsidRPr="00E07C9A">
              <w:rPr>
                <w:rStyle w:val="InstructionsTabelleberschrift"/>
                <w:rFonts w:ascii="Times New Roman" w:hAnsi="Times New Roman"/>
                <w:sz w:val="24"/>
              </w:rPr>
              <w:t>Nástroje</w:t>
            </w:r>
            <w:r w:rsidR="009912F8" w:rsidRPr="00E07C9A">
              <w:rPr>
                <w:rStyle w:val="InstructionsTabelleberschrift"/>
                <w:rFonts w:ascii="Times New Roman" w:hAnsi="Times New Roman"/>
                <w:sz w:val="24"/>
              </w:rPr>
              <w:t xml:space="preserve"> s </w:t>
            </w:r>
            <w:r w:rsidRPr="00E07C9A">
              <w:rPr>
                <w:rStyle w:val="InstructionsTabelleberschrift"/>
                <w:rFonts w:ascii="Times New Roman" w:hAnsi="Times New Roman"/>
                <w:sz w:val="24"/>
              </w:rPr>
              <w:t>kúpnou opciou uplatniteľnou 20</w:t>
            </w:r>
            <w:r w:rsidR="009912F8" w:rsidRPr="00E07C9A">
              <w:rPr>
                <w:rStyle w:val="InstructionsTabelleberschrift"/>
                <w:rFonts w:ascii="Times New Roman" w:hAnsi="Times New Roman"/>
                <w:sz w:val="24"/>
              </w:rPr>
              <w:t>. júla</w:t>
            </w:r>
            <w:r w:rsidRPr="00E07C9A">
              <w:rPr>
                <w:rStyle w:val="InstructionsTabelleberschrift"/>
                <w:rFonts w:ascii="Times New Roman" w:hAnsi="Times New Roman"/>
                <w:sz w:val="24"/>
              </w:rPr>
              <w:t xml:space="preserve"> 2011 alebo pred týmto dátumom, ktoré nespĺňajú podmienky stanovené</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 xml:space="preserve">článku 52 nariadenia (EÚ) </w:t>
            </w:r>
            <w:r w:rsidR="009912F8" w:rsidRPr="00E07C9A">
              <w:rPr>
                <w:rStyle w:val="InstructionsTabelleberschrift"/>
                <w:rFonts w:ascii="Times New Roman" w:hAnsi="Times New Roman"/>
                <w:sz w:val="24"/>
              </w:rPr>
              <w:t>č. 575/2013</w:t>
            </w:r>
            <w:r w:rsidRPr="00E07C9A">
              <w:rPr>
                <w:rStyle w:val="InstructionsTabelleberschrift"/>
                <w:rFonts w:ascii="Times New Roman" w:hAnsi="Times New Roman"/>
                <w:sz w:val="24"/>
              </w:rPr>
              <w:t xml:space="preserve"> po dátume efektívnej splatnosti</w:t>
            </w:r>
          </w:p>
          <w:p w14:paraId="6CCC8453" w14:textId="4377C083" w:rsidR="009F1550" w:rsidRPr="00E07C9A" w:rsidRDefault="009F1550" w:rsidP="00EE6F6C">
            <w:pPr>
              <w:pStyle w:val="body"/>
              <w:rPr>
                <w:rStyle w:val="InstructionsTabelleText"/>
                <w:rFonts w:ascii="Times New Roman" w:hAnsi="Times New Roman"/>
                <w:sz w:val="24"/>
              </w:rPr>
            </w:pPr>
            <w:r w:rsidRPr="00E07C9A">
              <w:rPr>
                <w:rStyle w:val="InstructionsTabelleText"/>
                <w:rFonts w:ascii="Times New Roman" w:hAnsi="Times New Roman"/>
                <w:sz w:val="24"/>
              </w:rPr>
              <w:t>Článok 489 ods. 6</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 xml:space="preserve">článok 491 písm. c) </w:t>
            </w:r>
            <w:r w:rsidRPr="00E07C9A">
              <w:rPr>
                <w:rFonts w:ascii="Times New Roman" w:hAnsi="Times New Roman" w:cs="Times New Roman"/>
                <w:sz w:val="24"/>
              </w:rPr>
              <w:t xml:space="preserve">nariadenia (EÚ) </w:t>
            </w:r>
            <w:r w:rsidR="009912F8" w:rsidRPr="00E07C9A">
              <w:rPr>
                <w:rFonts w:ascii="Times New Roman" w:hAnsi="Times New Roman" w:cs="Times New Roman"/>
                <w:sz w:val="24"/>
              </w:rPr>
              <w:t>č. 575/2013</w:t>
            </w:r>
          </w:p>
          <w:p w14:paraId="7CFD451B" w14:textId="77777777" w:rsidR="002648B0" w:rsidRPr="00E07C9A" w:rsidRDefault="002648B0" w:rsidP="00EE6F6C">
            <w:pPr>
              <w:pStyle w:val="body"/>
              <w:rPr>
                <w:rStyle w:val="InstructionsTabelleText"/>
                <w:rFonts w:ascii="Times New Roman" w:hAnsi="Times New Roman"/>
                <w:sz w:val="24"/>
              </w:rPr>
            </w:pPr>
            <w:r w:rsidRPr="00E07C9A">
              <w:rPr>
                <w:rStyle w:val="InstructionsTabelleText"/>
                <w:rFonts w:ascii="Times New Roman" w:hAnsi="Times New Roman"/>
                <w:sz w:val="24"/>
              </w:rPr>
              <w:t>Vykazovaná hodnota zahŕňa súvisiace účty emisného ážia.</w:t>
            </w:r>
          </w:p>
        </w:tc>
      </w:tr>
      <w:tr w:rsidR="002648B0" w:rsidRPr="00E07C9A" w14:paraId="040321E9" w14:textId="77777777" w:rsidTr="00672D2A">
        <w:tc>
          <w:tcPr>
            <w:tcW w:w="703" w:type="dxa"/>
          </w:tcPr>
          <w:p w14:paraId="1217CABC" w14:textId="77777777" w:rsidR="002648B0" w:rsidRPr="00E07C9A" w:rsidRDefault="00606735" w:rsidP="00EE6F6C">
            <w:pPr>
              <w:pStyle w:val="body"/>
              <w:rPr>
                <w:rStyle w:val="InstructionsTabelleText"/>
                <w:rFonts w:ascii="Times New Roman" w:hAnsi="Times New Roman"/>
                <w:sz w:val="24"/>
              </w:rPr>
            </w:pPr>
            <w:r w:rsidRPr="00E07C9A">
              <w:rPr>
                <w:rStyle w:val="InstructionsTabelleText"/>
                <w:rFonts w:ascii="Times New Roman" w:hAnsi="Times New Roman"/>
                <w:sz w:val="24"/>
              </w:rPr>
              <w:t>0080</w:t>
            </w:r>
          </w:p>
        </w:tc>
        <w:tc>
          <w:tcPr>
            <w:tcW w:w="7478" w:type="dxa"/>
          </w:tcPr>
          <w:p w14:paraId="35C9587A" w14:textId="4BA1AFAD" w:rsidR="005643EA" w:rsidRPr="00E07C9A" w:rsidRDefault="002648B0" w:rsidP="00EE6F6C">
            <w:pPr>
              <w:pStyle w:val="body"/>
              <w:rPr>
                <w:rStyle w:val="InstructionsTabelleText"/>
                <w:rFonts w:ascii="Times New Roman" w:hAnsi="Times New Roman"/>
                <w:b/>
                <w:bCs/>
                <w:sz w:val="24"/>
                <w:u w:val="single"/>
              </w:rPr>
            </w:pPr>
            <w:r w:rsidRPr="00E07C9A">
              <w:rPr>
                <w:rStyle w:val="InstructionsTabelleberschrift"/>
                <w:rFonts w:ascii="Times New Roman" w:hAnsi="Times New Roman"/>
                <w:sz w:val="24"/>
              </w:rPr>
              <w:t>2.3.</w:t>
            </w:r>
            <w:r w:rsidRPr="00E07C9A">
              <w:rPr>
                <w:rFonts w:ascii="Times New Roman" w:hAnsi="Times New Roman" w:cs="Times New Roman"/>
              </w:rPr>
              <w:tab/>
            </w:r>
            <w:r w:rsidRPr="00E07C9A">
              <w:rPr>
                <w:rStyle w:val="InstructionsTabelleberschrift"/>
                <w:rFonts w:ascii="Times New Roman" w:hAnsi="Times New Roman"/>
                <w:sz w:val="24"/>
              </w:rPr>
              <w:t>Prekročenie obmedzenia nástrojov CET1 zachovaných</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predchádzajúcom stave</w:t>
            </w:r>
          </w:p>
          <w:p w14:paraId="0854136B" w14:textId="6881CD2F" w:rsidR="002648B0" w:rsidRPr="00E07C9A" w:rsidRDefault="002648B0" w:rsidP="00EE6F6C">
            <w:pPr>
              <w:pStyle w:val="body"/>
              <w:rPr>
                <w:rStyle w:val="InstructionsTabelleText"/>
                <w:rFonts w:ascii="Times New Roman" w:hAnsi="Times New Roman"/>
                <w:sz w:val="24"/>
              </w:rPr>
            </w:pPr>
            <w:r w:rsidRPr="00E07C9A">
              <w:rPr>
                <w:rStyle w:val="InstructionsTabelleText"/>
                <w:rFonts w:ascii="Times New Roman" w:hAnsi="Times New Roman"/>
                <w:sz w:val="24"/>
              </w:rPr>
              <w:t xml:space="preserve">Článok 487 ods. 1 </w:t>
            </w:r>
            <w:r w:rsidRPr="00E07C9A">
              <w:rPr>
                <w:rFonts w:ascii="Times New Roman" w:hAnsi="Times New Roman" w:cs="Times New Roman"/>
                <w:sz w:val="24"/>
              </w:rPr>
              <w:t xml:space="preserve">nariadenia (EÚ) </w:t>
            </w:r>
            <w:r w:rsidR="009912F8" w:rsidRPr="00E07C9A">
              <w:rPr>
                <w:rFonts w:ascii="Times New Roman" w:hAnsi="Times New Roman" w:cs="Times New Roman"/>
                <w:sz w:val="24"/>
              </w:rPr>
              <w:t>č. 575/2013</w:t>
            </w:r>
          </w:p>
          <w:p w14:paraId="1C79B435" w14:textId="4823EB06" w:rsidR="002648B0" w:rsidRPr="00E07C9A" w:rsidRDefault="002648B0" w:rsidP="00EE6F6C">
            <w:pPr>
              <w:pStyle w:val="body"/>
              <w:rPr>
                <w:rStyle w:val="InstructionsTabelleText"/>
                <w:rFonts w:ascii="Times New Roman" w:hAnsi="Times New Roman"/>
                <w:sz w:val="24"/>
              </w:rPr>
            </w:pPr>
            <w:r w:rsidRPr="00E07C9A">
              <w:rPr>
                <w:rStyle w:val="InstructionsTabelleText"/>
                <w:rFonts w:ascii="Times New Roman" w:hAnsi="Times New Roman"/>
                <w:sz w:val="24"/>
              </w:rPr>
              <w:t>K prekročeniu obmedzenia nástrojov CET1 zachovaných</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predchádzajúcom stave sa môže pristupovať ako</w:t>
            </w:r>
            <w:r w:rsidR="009912F8" w:rsidRPr="00E07C9A">
              <w:rPr>
                <w:rStyle w:val="InstructionsTabelleText"/>
                <w:rFonts w:ascii="Times New Roman" w:hAnsi="Times New Roman"/>
                <w:sz w:val="24"/>
              </w:rPr>
              <w:t xml:space="preserve"> k </w:t>
            </w:r>
            <w:r w:rsidRPr="00E07C9A">
              <w:rPr>
                <w:rStyle w:val="InstructionsTabelleText"/>
                <w:rFonts w:ascii="Times New Roman" w:hAnsi="Times New Roman"/>
                <w:sz w:val="24"/>
              </w:rPr>
              <w:t>nástrojom, ktoré možno zachovať</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predchádzajúcom stave ako nástroje AT1.</w:t>
            </w:r>
          </w:p>
        </w:tc>
      </w:tr>
      <w:tr w:rsidR="002648B0" w:rsidRPr="00E07C9A" w14:paraId="4F4C5859" w14:textId="77777777" w:rsidTr="00672D2A">
        <w:tc>
          <w:tcPr>
            <w:tcW w:w="703" w:type="dxa"/>
          </w:tcPr>
          <w:p w14:paraId="07389428" w14:textId="77777777" w:rsidR="002648B0" w:rsidRPr="00E07C9A" w:rsidRDefault="00606735" w:rsidP="00EE6F6C">
            <w:pPr>
              <w:pStyle w:val="body"/>
              <w:rPr>
                <w:rStyle w:val="InstructionsTabelleText"/>
                <w:rFonts w:ascii="Times New Roman" w:hAnsi="Times New Roman"/>
                <w:sz w:val="24"/>
              </w:rPr>
            </w:pPr>
            <w:r w:rsidRPr="00E07C9A">
              <w:rPr>
                <w:rStyle w:val="InstructionsTabelleText"/>
                <w:rFonts w:ascii="Times New Roman" w:hAnsi="Times New Roman"/>
                <w:sz w:val="24"/>
              </w:rPr>
              <w:lastRenderedPageBreak/>
              <w:t>0090</w:t>
            </w:r>
          </w:p>
        </w:tc>
        <w:tc>
          <w:tcPr>
            <w:tcW w:w="7478" w:type="dxa"/>
          </w:tcPr>
          <w:p w14:paraId="209871F7" w14:textId="3EC33ACB" w:rsidR="005643EA" w:rsidRPr="00E07C9A" w:rsidRDefault="00C66473" w:rsidP="00EE6F6C">
            <w:pPr>
              <w:pStyle w:val="body"/>
              <w:rPr>
                <w:rStyle w:val="InstructionsTabelleText"/>
                <w:rFonts w:ascii="Times New Roman" w:hAnsi="Times New Roman"/>
                <w:b/>
                <w:sz w:val="24"/>
                <w:u w:val="single"/>
              </w:rPr>
            </w:pPr>
            <w:r w:rsidRPr="00E07C9A">
              <w:rPr>
                <w:rStyle w:val="InstructionsTabelleberschrift"/>
                <w:rFonts w:ascii="Times New Roman" w:hAnsi="Times New Roman"/>
                <w:sz w:val="24"/>
              </w:rPr>
              <w:t>3.</w:t>
            </w:r>
            <w:r w:rsidRPr="00E07C9A">
              <w:rPr>
                <w:rFonts w:ascii="Times New Roman" w:hAnsi="Times New Roman" w:cs="Times New Roman"/>
              </w:rPr>
              <w:tab/>
            </w:r>
            <w:r w:rsidRPr="00E07C9A">
              <w:rPr>
                <w:rStyle w:val="InstructionsTabelleberschrift"/>
                <w:rFonts w:ascii="Times New Roman" w:hAnsi="Times New Roman"/>
                <w:sz w:val="24"/>
              </w:rPr>
              <w:t>Položky, ktoré sa kvalifikovali pre článok 57 písm. e), f), g) alebo h) smernice 2006/48/ES,</w:t>
            </w:r>
            <w:r w:rsidR="009912F8" w:rsidRPr="00E07C9A">
              <w:rPr>
                <w:rStyle w:val="InstructionsTabelleberschrift"/>
                <w:rFonts w:ascii="Times New Roman" w:hAnsi="Times New Roman"/>
                <w:sz w:val="24"/>
              </w:rPr>
              <w:t xml:space="preserve"> s </w:t>
            </w:r>
            <w:r w:rsidRPr="00E07C9A">
              <w:rPr>
                <w:rStyle w:val="InstructionsTabelleberschrift"/>
                <w:rFonts w:ascii="Times New Roman" w:hAnsi="Times New Roman"/>
                <w:sz w:val="24"/>
              </w:rPr>
              <w:t xml:space="preserve">výhradou obmedzenia podľa článku 490 nariadenia (EÚ) </w:t>
            </w:r>
            <w:r w:rsidR="009912F8" w:rsidRPr="00E07C9A">
              <w:rPr>
                <w:rStyle w:val="InstructionsTabelleberschrift"/>
                <w:rFonts w:ascii="Times New Roman" w:hAnsi="Times New Roman"/>
                <w:sz w:val="24"/>
              </w:rPr>
              <w:t>č. 575/2013</w:t>
            </w:r>
          </w:p>
          <w:p w14:paraId="1358C363" w14:textId="17674DD2" w:rsidR="005643EA" w:rsidRPr="00E07C9A" w:rsidRDefault="002648B0" w:rsidP="00EE6F6C">
            <w:pPr>
              <w:pStyle w:val="body"/>
              <w:rPr>
                <w:rStyle w:val="InstructionsTabelleText"/>
                <w:rFonts w:ascii="Times New Roman" w:hAnsi="Times New Roman"/>
                <w:bCs/>
                <w:sz w:val="24"/>
              </w:rPr>
            </w:pPr>
            <w:r w:rsidRPr="00E07C9A">
              <w:rPr>
                <w:rStyle w:val="InstructionsTabelleText"/>
                <w:rFonts w:ascii="Times New Roman" w:hAnsi="Times New Roman"/>
                <w:sz w:val="24"/>
              </w:rPr>
              <w:t xml:space="preserve">Článok 484 ods. 5 </w:t>
            </w:r>
            <w:r w:rsidRPr="00E07C9A">
              <w:rPr>
                <w:rFonts w:ascii="Times New Roman" w:hAnsi="Times New Roman" w:cs="Times New Roman"/>
                <w:sz w:val="24"/>
              </w:rPr>
              <w:t xml:space="preserve">nariadenia (EÚ) </w:t>
            </w:r>
            <w:r w:rsidR="009912F8" w:rsidRPr="00E07C9A">
              <w:rPr>
                <w:rFonts w:ascii="Times New Roman" w:hAnsi="Times New Roman" w:cs="Times New Roman"/>
                <w:sz w:val="24"/>
              </w:rPr>
              <w:t>č. 575/2013</w:t>
            </w:r>
          </w:p>
        </w:tc>
      </w:tr>
      <w:tr w:rsidR="002648B0" w:rsidRPr="00E07C9A" w14:paraId="2B41A61A" w14:textId="77777777" w:rsidTr="00672D2A">
        <w:tc>
          <w:tcPr>
            <w:tcW w:w="703" w:type="dxa"/>
          </w:tcPr>
          <w:p w14:paraId="3EE62EB1" w14:textId="77777777" w:rsidR="002648B0" w:rsidRPr="00E07C9A" w:rsidRDefault="00606735" w:rsidP="00EE6F6C">
            <w:pPr>
              <w:pStyle w:val="body"/>
              <w:rPr>
                <w:rStyle w:val="InstructionsTabelleText"/>
                <w:rFonts w:ascii="Times New Roman" w:hAnsi="Times New Roman"/>
                <w:sz w:val="24"/>
              </w:rPr>
            </w:pPr>
            <w:r w:rsidRPr="00E07C9A">
              <w:rPr>
                <w:rStyle w:val="InstructionsTabelleText"/>
                <w:rFonts w:ascii="Times New Roman" w:hAnsi="Times New Roman"/>
                <w:sz w:val="24"/>
              </w:rPr>
              <w:t>0100</w:t>
            </w:r>
          </w:p>
        </w:tc>
        <w:tc>
          <w:tcPr>
            <w:tcW w:w="7478" w:type="dxa"/>
          </w:tcPr>
          <w:p w14:paraId="1F9A0668" w14:textId="77777777" w:rsidR="005643EA" w:rsidRPr="00E07C9A" w:rsidRDefault="002648B0" w:rsidP="00EE6F6C">
            <w:pPr>
              <w:pStyle w:val="body"/>
              <w:rPr>
                <w:rStyle w:val="InstructionsTabelleText"/>
                <w:rFonts w:ascii="Times New Roman" w:hAnsi="Times New Roman"/>
                <w:b/>
                <w:bCs/>
                <w:sz w:val="24"/>
                <w:u w:val="single"/>
              </w:rPr>
            </w:pPr>
            <w:r w:rsidRPr="00E07C9A">
              <w:rPr>
                <w:rStyle w:val="InstructionsTabelleberschrift"/>
                <w:rFonts w:ascii="Times New Roman" w:hAnsi="Times New Roman"/>
                <w:sz w:val="24"/>
              </w:rPr>
              <w:t>3.1.</w:t>
            </w:r>
            <w:r w:rsidRPr="00E07C9A">
              <w:rPr>
                <w:rFonts w:ascii="Times New Roman" w:hAnsi="Times New Roman" w:cs="Times New Roman"/>
              </w:rPr>
              <w:tab/>
            </w:r>
            <w:r w:rsidRPr="00E07C9A">
              <w:rPr>
                <w:rStyle w:val="InstructionsTabelleberschrift"/>
                <w:rFonts w:ascii="Times New Roman" w:hAnsi="Times New Roman"/>
                <w:sz w:val="24"/>
              </w:rPr>
              <w:t>Celkové položky bez motivácie na splatenie</w:t>
            </w:r>
          </w:p>
          <w:p w14:paraId="72F48FE8" w14:textId="1F2A8946" w:rsidR="005643EA" w:rsidRPr="00E07C9A" w:rsidRDefault="002648B0" w:rsidP="00EE6F6C">
            <w:pPr>
              <w:pStyle w:val="body"/>
              <w:rPr>
                <w:rStyle w:val="InstructionsTabelleText"/>
                <w:rFonts w:ascii="Times New Roman" w:hAnsi="Times New Roman"/>
                <w:sz w:val="24"/>
              </w:rPr>
            </w:pPr>
            <w:r w:rsidRPr="00E07C9A">
              <w:rPr>
                <w:rStyle w:val="InstructionsTabelleText"/>
                <w:rFonts w:ascii="Times New Roman" w:hAnsi="Times New Roman"/>
                <w:sz w:val="24"/>
              </w:rPr>
              <w:t xml:space="preserve">Článok 490 </w:t>
            </w:r>
            <w:r w:rsidRPr="00E07C9A">
              <w:rPr>
                <w:rFonts w:ascii="Times New Roman" w:hAnsi="Times New Roman" w:cs="Times New Roman"/>
                <w:sz w:val="24"/>
              </w:rPr>
              <w:t xml:space="preserve">nariadenia (EÚ) </w:t>
            </w:r>
            <w:r w:rsidR="009912F8" w:rsidRPr="00E07C9A">
              <w:rPr>
                <w:rFonts w:ascii="Times New Roman" w:hAnsi="Times New Roman" w:cs="Times New Roman"/>
                <w:sz w:val="24"/>
              </w:rPr>
              <w:t>č. 575/2013</w:t>
            </w:r>
          </w:p>
        </w:tc>
      </w:tr>
      <w:tr w:rsidR="002648B0" w:rsidRPr="00E07C9A" w14:paraId="30D72187" w14:textId="77777777" w:rsidTr="00672D2A">
        <w:tc>
          <w:tcPr>
            <w:tcW w:w="703" w:type="dxa"/>
          </w:tcPr>
          <w:p w14:paraId="108DFFCD" w14:textId="77777777" w:rsidR="002648B0" w:rsidRPr="00E07C9A" w:rsidRDefault="00606735" w:rsidP="00EE6F6C">
            <w:pPr>
              <w:pStyle w:val="body"/>
              <w:rPr>
                <w:rStyle w:val="InstructionsTabelleText"/>
                <w:rFonts w:ascii="Times New Roman" w:hAnsi="Times New Roman"/>
                <w:sz w:val="24"/>
              </w:rPr>
            </w:pPr>
            <w:r w:rsidRPr="00E07C9A">
              <w:rPr>
                <w:rStyle w:val="InstructionsTabelleText"/>
                <w:rFonts w:ascii="Times New Roman" w:hAnsi="Times New Roman"/>
                <w:sz w:val="24"/>
              </w:rPr>
              <w:t>0110</w:t>
            </w:r>
          </w:p>
        </w:tc>
        <w:tc>
          <w:tcPr>
            <w:tcW w:w="7478" w:type="dxa"/>
          </w:tcPr>
          <w:p w14:paraId="329B1279" w14:textId="77C5EE68" w:rsidR="005643EA" w:rsidRPr="00E07C9A" w:rsidRDefault="002648B0" w:rsidP="00EE6F6C">
            <w:pPr>
              <w:pStyle w:val="body"/>
              <w:rPr>
                <w:rStyle w:val="InstructionsTabelleText"/>
                <w:rFonts w:ascii="Times New Roman" w:hAnsi="Times New Roman"/>
                <w:b/>
                <w:bCs/>
                <w:sz w:val="24"/>
                <w:u w:val="single"/>
              </w:rPr>
            </w:pPr>
            <w:r w:rsidRPr="00E07C9A">
              <w:rPr>
                <w:rStyle w:val="InstructionsTabelleberschrift"/>
                <w:rFonts w:ascii="Times New Roman" w:hAnsi="Times New Roman"/>
                <w:sz w:val="24"/>
              </w:rPr>
              <w:t>3.2.</w:t>
            </w:r>
            <w:r w:rsidRPr="00E07C9A">
              <w:rPr>
                <w:rFonts w:ascii="Times New Roman" w:hAnsi="Times New Roman" w:cs="Times New Roman"/>
              </w:rPr>
              <w:tab/>
            </w:r>
            <w:r w:rsidRPr="00E07C9A">
              <w:rPr>
                <w:rStyle w:val="InstructionsTabelleberschrift"/>
                <w:rFonts w:ascii="Times New Roman" w:hAnsi="Times New Roman"/>
                <w:sz w:val="24"/>
              </w:rPr>
              <w:t>Položky zachované</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predchádzajúcom stave bez motivácie na splatenie</w:t>
            </w:r>
          </w:p>
          <w:p w14:paraId="02206BE0" w14:textId="7DF56C88" w:rsidR="005643EA" w:rsidRPr="00E07C9A" w:rsidRDefault="002648B0" w:rsidP="00EE6F6C">
            <w:pPr>
              <w:pStyle w:val="body"/>
              <w:rPr>
                <w:rStyle w:val="InstructionsTabelleText"/>
                <w:rFonts w:ascii="Times New Roman" w:hAnsi="Times New Roman"/>
                <w:sz w:val="24"/>
              </w:rPr>
            </w:pPr>
            <w:r w:rsidRPr="00E07C9A">
              <w:rPr>
                <w:rStyle w:val="InstructionsTabelleText"/>
                <w:rFonts w:ascii="Times New Roman" w:hAnsi="Times New Roman"/>
                <w:sz w:val="24"/>
              </w:rPr>
              <w:t xml:space="preserve">Článok 490 </w:t>
            </w:r>
            <w:r w:rsidRPr="00E07C9A">
              <w:rPr>
                <w:rFonts w:ascii="Times New Roman" w:hAnsi="Times New Roman" w:cs="Times New Roman"/>
                <w:sz w:val="24"/>
              </w:rPr>
              <w:t xml:space="preserve">nariadenia (EÚ) </w:t>
            </w:r>
            <w:r w:rsidR="009912F8" w:rsidRPr="00E07C9A">
              <w:rPr>
                <w:rFonts w:ascii="Times New Roman" w:hAnsi="Times New Roman" w:cs="Times New Roman"/>
                <w:sz w:val="24"/>
              </w:rPr>
              <w:t>č. 575/2013</w:t>
            </w:r>
          </w:p>
        </w:tc>
      </w:tr>
      <w:tr w:rsidR="002648B0" w:rsidRPr="00E07C9A" w14:paraId="7B2A51F9" w14:textId="77777777" w:rsidTr="00672D2A">
        <w:tc>
          <w:tcPr>
            <w:tcW w:w="703" w:type="dxa"/>
          </w:tcPr>
          <w:p w14:paraId="482E17E1" w14:textId="77777777" w:rsidR="002648B0" w:rsidRPr="00E07C9A" w:rsidRDefault="00606735" w:rsidP="00EE6F6C">
            <w:pPr>
              <w:pStyle w:val="body"/>
              <w:rPr>
                <w:rStyle w:val="InstructionsTabelleText"/>
                <w:rFonts w:ascii="Times New Roman" w:hAnsi="Times New Roman"/>
                <w:sz w:val="24"/>
              </w:rPr>
            </w:pPr>
            <w:r w:rsidRPr="00E07C9A">
              <w:rPr>
                <w:rStyle w:val="InstructionsTabelleText"/>
                <w:rFonts w:ascii="Times New Roman" w:hAnsi="Times New Roman"/>
                <w:sz w:val="24"/>
              </w:rPr>
              <w:t>0120</w:t>
            </w:r>
          </w:p>
        </w:tc>
        <w:tc>
          <w:tcPr>
            <w:tcW w:w="7478" w:type="dxa"/>
          </w:tcPr>
          <w:p w14:paraId="2B56E96F" w14:textId="13AE0BB7" w:rsidR="005643EA" w:rsidRPr="00E07C9A" w:rsidRDefault="002648B0" w:rsidP="00EE6F6C">
            <w:pPr>
              <w:pStyle w:val="body"/>
              <w:rPr>
                <w:rStyle w:val="InstructionsTabelleText"/>
                <w:rFonts w:ascii="Times New Roman" w:hAnsi="Times New Roman"/>
                <w:b/>
                <w:bCs/>
                <w:sz w:val="24"/>
                <w:u w:val="single"/>
              </w:rPr>
            </w:pPr>
            <w:r w:rsidRPr="00E07C9A">
              <w:rPr>
                <w:rStyle w:val="InstructionsTabelleberschrift"/>
                <w:rFonts w:ascii="Times New Roman" w:hAnsi="Times New Roman"/>
                <w:sz w:val="24"/>
              </w:rPr>
              <w:t>3.2.1.</w:t>
            </w:r>
            <w:r w:rsidRPr="00E07C9A">
              <w:rPr>
                <w:rFonts w:ascii="Times New Roman" w:hAnsi="Times New Roman" w:cs="Times New Roman"/>
              </w:rPr>
              <w:tab/>
            </w:r>
            <w:r w:rsidRPr="00E07C9A">
              <w:rPr>
                <w:rStyle w:val="InstructionsTabelleberschrift"/>
                <w:rFonts w:ascii="Times New Roman" w:hAnsi="Times New Roman"/>
                <w:sz w:val="24"/>
              </w:rPr>
              <w:t>Položky</w:t>
            </w:r>
            <w:r w:rsidR="009912F8" w:rsidRPr="00E07C9A">
              <w:rPr>
                <w:rStyle w:val="InstructionsTabelleberschrift"/>
                <w:rFonts w:ascii="Times New Roman" w:hAnsi="Times New Roman"/>
                <w:sz w:val="24"/>
              </w:rPr>
              <w:t xml:space="preserve"> s </w:t>
            </w:r>
            <w:r w:rsidRPr="00E07C9A">
              <w:rPr>
                <w:rStyle w:val="InstructionsTabelleberschrift"/>
                <w:rFonts w:ascii="Times New Roman" w:hAnsi="Times New Roman"/>
                <w:sz w:val="24"/>
              </w:rPr>
              <w:t>kúpnou opciou uplatniteľnou po dátume vykazovania, ktoré spĺňajú podmienky stanovené</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 xml:space="preserve">článku 63 nariadenia (EÚ) </w:t>
            </w:r>
            <w:r w:rsidR="009912F8" w:rsidRPr="00E07C9A">
              <w:rPr>
                <w:rStyle w:val="InstructionsTabelleberschrift"/>
                <w:rFonts w:ascii="Times New Roman" w:hAnsi="Times New Roman"/>
                <w:sz w:val="24"/>
              </w:rPr>
              <w:t>č. 575/2013</w:t>
            </w:r>
            <w:r w:rsidRPr="00E07C9A">
              <w:rPr>
                <w:rStyle w:val="InstructionsTabelleberschrift"/>
                <w:rFonts w:ascii="Times New Roman" w:hAnsi="Times New Roman"/>
                <w:sz w:val="24"/>
              </w:rPr>
              <w:t xml:space="preserve"> po dátume efektívnej splatnosti</w:t>
            </w:r>
          </w:p>
          <w:p w14:paraId="404600DF" w14:textId="18321FFE" w:rsidR="002648B0" w:rsidRPr="00E07C9A" w:rsidRDefault="002648B0" w:rsidP="00EE6F6C">
            <w:pPr>
              <w:pStyle w:val="body"/>
              <w:rPr>
                <w:rStyle w:val="InstructionsTabelleText"/>
                <w:rFonts w:ascii="Times New Roman" w:hAnsi="Times New Roman"/>
                <w:sz w:val="24"/>
              </w:rPr>
            </w:pPr>
            <w:r w:rsidRPr="00E07C9A">
              <w:rPr>
                <w:rStyle w:val="InstructionsTabelleText"/>
                <w:rFonts w:ascii="Times New Roman" w:hAnsi="Times New Roman"/>
                <w:sz w:val="24"/>
              </w:rPr>
              <w:t>Článok 490 ods. 3</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 xml:space="preserve">článok 491 písm. a) </w:t>
            </w:r>
            <w:r w:rsidRPr="00E07C9A">
              <w:rPr>
                <w:rFonts w:ascii="Times New Roman" w:hAnsi="Times New Roman" w:cs="Times New Roman"/>
                <w:sz w:val="24"/>
              </w:rPr>
              <w:t xml:space="preserve">nariadenia (EÚ) </w:t>
            </w:r>
            <w:r w:rsidR="009912F8" w:rsidRPr="00E07C9A">
              <w:rPr>
                <w:rFonts w:ascii="Times New Roman" w:hAnsi="Times New Roman" w:cs="Times New Roman"/>
                <w:sz w:val="24"/>
              </w:rPr>
              <w:t>č. 575/2013</w:t>
            </w:r>
          </w:p>
          <w:p w14:paraId="589C31AB" w14:textId="77777777" w:rsidR="002648B0" w:rsidRPr="00E07C9A" w:rsidRDefault="002648B0" w:rsidP="00EE6F6C">
            <w:pPr>
              <w:pStyle w:val="body"/>
              <w:rPr>
                <w:rStyle w:val="InstructionsTabelleText"/>
                <w:rFonts w:ascii="Times New Roman" w:hAnsi="Times New Roman"/>
                <w:sz w:val="24"/>
              </w:rPr>
            </w:pPr>
            <w:r w:rsidRPr="00E07C9A">
              <w:rPr>
                <w:rStyle w:val="InstructionsTabelleText"/>
                <w:rFonts w:ascii="Times New Roman" w:hAnsi="Times New Roman"/>
                <w:sz w:val="24"/>
              </w:rPr>
              <w:t>Vykazovaná hodnota zahŕňa súvisiace účty emisného ážia.</w:t>
            </w:r>
          </w:p>
        </w:tc>
      </w:tr>
      <w:tr w:rsidR="002648B0" w:rsidRPr="00E07C9A" w14:paraId="36D50A32" w14:textId="77777777" w:rsidTr="00672D2A">
        <w:tc>
          <w:tcPr>
            <w:tcW w:w="703" w:type="dxa"/>
          </w:tcPr>
          <w:p w14:paraId="2197AA08" w14:textId="77777777" w:rsidR="002648B0" w:rsidRPr="00E07C9A" w:rsidRDefault="00606735" w:rsidP="00EE6F6C">
            <w:pPr>
              <w:pStyle w:val="body"/>
              <w:rPr>
                <w:rStyle w:val="InstructionsTabelleText"/>
                <w:rFonts w:ascii="Times New Roman" w:hAnsi="Times New Roman"/>
                <w:sz w:val="24"/>
              </w:rPr>
            </w:pPr>
            <w:r w:rsidRPr="00E07C9A">
              <w:rPr>
                <w:rStyle w:val="InstructionsTabelleText"/>
                <w:rFonts w:ascii="Times New Roman" w:hAnsi="Times New Roman"/>
                <w:sz w:val="24"/>
              </w:rPr>
              <w:t>0130</w:t>
            </w:r>
          </w:p>
        </w:tc>
        <w:tc>
          <w:tcPr>
            <w:tcW w:w="7478" w:type="dxa"/>
          </w:tcPr>
          <w:p w14:paraId="5262B006" w14:textId="27FD5796" w:rsidR="005643EA" w:rsidRPr="00E07C9A" w:rsidRDefault="002648B0" w:rsidP="00EE6F6C">
            <w:pPr>
              <w:pStyle w:val="body"/>
              <w:rPr>
                <w:rStyle w:val="InstructionsTabelleText"/>
                <w:rFonts w:ascii="Times New Roman" w:hAnsi="Times New Roman"/>
                <w:b/>
                <w:sz w:val="24"/>
                <w:u w:val="single"/>
              </w:rPr>
            </w:pPr>
            <w:r w:rsidRPr="00E07C9A">
              <w:rPr>
                <w:rStyle w:val="InstructionsTabelleberschrift"/>
                <w:rFonts w:ascii="Times New Roman" w:hAnsi="Times New Roman"/>
                <w:sz w:val="24"/>
              </w:rPr>
              <w:t>3.2.2.</w:t>
            </w:r>
            <w:r w:rsidRPr="00E07C9A">
              <w:rPr>
                <w:rFonts w:ascii="Times New Roman" w:hAnsi="Times New Roman" w:cs="Times New Roman"/>
              </w:rPr>
              <w:tab/>
            </w:r>
            <w:r w:rsidRPr="00E07C9A">
              <w:rPr>
                <w:rStyle w:val="InstructionsTabelleberschrift"/>
                <w:rFonts w:ascii="Times New Roman" w:hAnsi="Times New Roman"/>
                <w:sz w:val="24"/>
              </w:rPr>
              <w:t>Položky</w:t>
            </w:r>
            <w:r w:rsidR="009912F8" w:rsidRPr="00E07C9A">
              <w:rPr>
                <w:rStyle w:val="InstructionsTabelleberschrift"/>
                <w:rFonts w:ascii="Times New Roman" w:hAnsi="Times New Roman"/>
                <w:sz w:val="24"/>
              </w:rPr>
              <w:t xml:space="preserve"> s </w:t>
            </w:r>
            <w:r w:rsidRPr="00E07C9A">
              <w:rPr>
                <w:rStyle w:val="InstructionsTabelleberschrift"/>
                <w:rFonts w:ascii="Times New Roman" w:hAnsi="Times New Roman"/>
                <w:sz w:val="24"/>
              </w:rPr>
              <w:t>kúpnou opciou uplatniteľnou po dátume vykazovania, ktoré nespĺňajú podmienky stanovené</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 xml:space="preserve">článku 63 nariadenia (EÚ) </w:t>
            </w:r>
            <w:r w:rsidR="009912F8" w:rsidRPr="00E07C9A">
              <w:rPr>
                <w:rStyle w:val="InstructionsTabelleberschrift"/>
                <w:rFonts w:ascii="Times New Roman" w:hAnsi="Times New Roman"/>
                <w:sz w:val="24"/>
              </w:rPr>
              <w:t>č. 575/2013</w:t>
            </w:r>
            <w:r w:rsidRPr="00E07C9A">
              <w:rPr>
                <w:rStyle w:val="InstructionsTabelleberschrift"/>
                <w:rFonts w:ascii="Times New Roman" w:hAnsi="Times New Roman"/>
                <w:sz w:val="24"/>
              </w:rPr>
              <w:t xml:space="preserve"> po dátume efektívnej splatnosti</w:t>
            </w:r>
          </w:p>
          <w:p w14:paraId="2F07BC15" w14:textId="0AA2E30D" w:rsidR="009F1550" w:rsidRPr="00E07C9A" w:rsidRDefault="009F1550" w:rsidP="00EE6F6C">
            <w:pPr>
              <w:pStyle w:val="body"/>
              <w:rPr>
                <w:rStyle w:val="InstructionsTabelleText"/>
                <w:rFonts w:ascii="Times New Roman" w:hAnsi="Times New Roman"/>
                <w:sz w:val="24"/>
              </w:rPr>
            </w:pPr>
            <w:r w:rsidRPr="00E07C9A">
              <w:rPr>
                <w:rStyle w:val="InstructionsTabelleText"/>
                <w:rFonts w:ascii="Times New Roman" w:hAnsi="Times New Roman"/>
                <w:sz w:val="24"/>
              </w:rPr>
              <w:t>Článok 490 ods. 5</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 xml:space="preserve">článok 491 písm. a) </w:t>
            </w:r>
            <w:r w:rsidRPr="00E07C9A">
              <w:rPr>
                <w:rFonts w:ascii="Times New Roman" w:hAnsi="Times New Roman" w:cs="Times New Roman"/>
                <w:sz w:val="24"/>
              </w:rPr>
              <w:t xml:space="preserve">nariadenia (EÚ) </w:t>
            </w:r>
            <w:r w:rsidR="009912F8" w:rsidRPr="00E07C9A">
              <w:rPr>
                <w:rFonts w:ascii="Times New Roman" w:hAnsi="Times New Roman" w:cs="Times New Roman"/>
                <w:sz w:val="24"/>
              </w:rPr>
              <w:t>č. 575/2013</w:t>
            </w:r>
          </w:p>
          <w:p w14:paraId="56C74CAA" w14:textId="77777777" w:rsidR="002648B0" w:rsidRPr="00E07C9A" w:rsidRDefault="007C3B71" w:rsidP="00EE6F6C">
            <w:pPr>
              <w:pStyle w:val="body"/>
              <w:rPr>
                <w:rStyle w:val="InstructionsTabelleText"/>
                <w:rFonts w:ascii="Times New Roman" w:hAnsi="Times New Roman"/>
                <w:sz w:val="24"/>
              </w:rPr>
            </w:pPr>
            <w:r w:rsidRPr="00E07C9A">
              <w:rPr>
                <w:rStyle w:val="InstructionsTabelleText"/>
                <w:rFonts w:ascii="Times New Roman" w:hAnsi="Times New Roman"/>
                <w:sz w:val="24"/>
              </w:rPr>
              <w:t>Vykazovaná hodnota zahŕňa súvisiace účty emisného ážia.</w:t>
            </w:r>
          </w:p>
        </w:tc>
      </w:tr>
      <w:tr w:rsidR="002648B0" w:rsidRPr="00E07C9A" w14:paraId="193EE997" w14:textId="77777777" w:rsidTr="00672D2A">
        <w:tc>
          <w:tcPr>
            <w:tcW w:w="703" w:type="dxa"/>
          </w:tcPr>
          <w:p w14:paraId="25F50458" w14:textId="77777777" w:rsidR="002648B0" w:rsidRPr="00E07C9A" w:rsidRDefault="00606735" w:rsidP="00EE6F6C">
            <w:pPr>
              <w:pStyle w:val="body"/>
              <w:rPr>
                <w:rStyle w:val="InstructionsTabelleText"/>
                <w:rFonts w:ascii="Times New Roman" w:hAnsi="Times New Roman"/>
                <w:sz w:val="24"/>
              </w:rPr>
            </w:pPr>
            <w:r w:rsidRPr="00E07C9A">
              <w:rPr>
                <w:rStyle w:val="InstructionsTabelleText"/>
                <w:rFonts w:ascii="Times New Roman" w:hAnsi="Times New Roman"/>
                <w:sz w:val="24"/>
              </w:rPr>
              <w:t>0140</w:t>
            </w:r>
          </w:p>
        </w:tc>
        <w:tc>
          <w:tcPr>
            <w:tcW w:w="7478" w:type="dxa"/>
          </w:tcPr>
          <w:p w14:paraId="43B47830" w14:textId="136F2BBF" w:rsidR="00496C53" w:rsidRPr="00E07C9A" w:rsidRDefault="002648B0" w:rsidP="00EE6F6C">
            <w:pPr>
              <w:pStyle w:val="body"/>
              <w:rPr>
                <w:rStyle w:val="InstructionsTabelleberschrift"/>
                <w:rFonts w:ascii="Times New Roman" w:hAnsi="Times New Roman"/>
                <w:bCs w:val="0"/>
                <w:sz w:val="24"/>
              </w:rPr>
            </w:pPr>
            <w:r w:rsidRPr="00E07C9A">
              <w:rPr>
                <w:rStyle w:val="InstructionsTabelleberschrift"/>
                <w:rFonts w:ascii="Times New Roman" w:hAnsi="Times New Roman"/>
                <w:sz w:val="24"/>
              </w:rPr>
              <w:t>3.2.3.</w:t>
            </w:r>
            <w:r w:rsidRPr="00E07C9A">
              <w:rPr>
                <w:rFonts w:ascii="Times New Roman" w:hAnsi="Times New Roman" w:cs="Times New Roman"/>
              </w:rPr>
              <w:tab/>
            </w:r>
            <w:r w:rsidRPr="00E07C9A">
              <w:rPr>
                <w:rStyle w:val="InstructionsTabelleberschrift"/>
                <w:rFonts w:ascii="Times New Roman" w:hAnsi="Times New Roman"/>
                <w:sz w:val="24"/>
              </w:rPr>
              <w:t>Položky</w:t>
            </w:r>
            <w:r w:rsidR="009912F8" w:rsidRPr="00E07C9A">
              <w:rPr>
                <w:rStyle w:val="InstructionsTabelleberschrift"/>
                <w:rFonts w:ascii="Times New Roman" w:hAnsi="Times New Roman"/>
                <w:sz w:val="24"/>
              </w:rPr>
              <w:t xml:space="preserve"> s </w:t>
            </w:r>
            <w:r w:rsidRPr="00E07C9A">
              <w:rPr>
                <w:rStyle w:val="InstructionsTabelleberschrift"/>
                <w:rFonts w:ascii="Times New Roman" w:hAnsi="Times New Roman"/>
                <w:sz w:val="24"/>
              </w:rPr>
              <w:t>kúpnou opciou uplatniteľnou 20</w:t>
            </w:r>
            <w:r w:rsidR="009912F8" w:rsidRPr="00E07C9A">
              <w:rPr>
                <w:rStyle w:val="InstructionsTabelleberschrift"/>
                <w:rFonts w:ascii="Times New Roman" w:hAnsi="Times New Roman"/>
                <w:sz w:val="24"/>
              </w:rPr>
              <w:t>. júla</w:t>
            </w:r>
            <w:r w:rsidRPr="00E07C9A">
              <w:rPr>
                <w:rStyle w:val="InstructionsTabelleberschrift"/>
                <w:rFonts w:ascii="Times New Roman" w:hAnsi="Times New Roman"/>
                <w:sz w:val="24"/>
              </w:rPr>
              <w:t xml:space="preserve"> 2011 alebo pred týmto dátumom, ktoré nespĺňajú podmienky stanovené</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 xml:space="preserve">článku 63 nariadenia (EÚ) </w:t>
            </w:r>
            <w:r w:rsidR="009912F8" w:rsidRPr="00E07C9A">
              <w:rPr>
                <w:rStyle w:val="InstructionsTabelleberschrift"/>
                <w:rFonts w:ascii="Times New Roman" w:hAnsi="Times New Roman"/>
                <w:sz w:val="24"/>
              </w:rPr>
              <w:t>č. 575/2013</w:t>
            </w:r>
            <w:r w:rsidRPr="00E07C9A">
              <w:rPr>
                <w:rStyle w:val="InstructionsTabelleberschrift"/>
                <w:rFonts w:ascii="Times New Roman" w:hAnsi="Times New Roman"/>
                <w:sz w:val="24"/>
              </w:rPr>
              <w:t xml:space="preserve"> po dátume efektívnej splatnosti</w:t>
            </w:r>
          </w:p>
          <w:p w14:paraId="7D73A991" w14:textId="07BD41EF" w:rsidR="009F1550" w:rsidRPr="00E07C9A" w:rsidRDefault="009F1550" w:rsidP="00EE6F6C">
            <w:pPr>
              <w:pStyle w:val="body"/>
              <w:rPr>
                <w:rStyle w:val="InstructionsTabelleText"/>
                <w:rFonts w:ascii="Times New Roman" w:hAnsi="Times New Roman"/>
                <w:sz w:val="24"/>
              </w:rPr>
            </w:pPr>
            <w:r w:rsidRPr="00E07C9A">
              <w:rPr>
                <w:rStyle w:val="InstructionsTabelleText"/>
                <w:rFonts w:ascii="Times New Roman" w:hAnsi="Times New Roman"/>
                <w:sz w:val="24"/>
              </w:rPr>
              <w:t>Článok 490 ods. 6</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 xml:space="preserve">článok 491 písm. c) </w:t>
            </w:r>
            <w:r w:rsidRPr="00E07C9A">
              <w:rPr>
                <w:rFonts w:ascii="Times New Roman" w:hAnsi="Times New Roman" w:cs="Times New Roman"/>
                <w:sz w:val="24"/>
              </w:rPr>
              <w:t xml:space="preserve">nariadenia (EÚ) </w:t>
            </w:r>
            <w:r w:rsidR="009912F8" w:rsidRPr="00E07C9A">
              <w:rPr>
                <w:rFonts w:ascii="Times New Roman" w:hAnsi="Times New Roman" w:cs="Times New Roman"/>
                <w:sz w:val="24"/>
              </w:rPr>
              <w:t>č. 575/2013</w:t>
            </w:r>
          </w:p>
          <w:p w14:paraId="593D219A" w14:textId="77777777" w:rsidR="002648B0" w:rsidRPr="00E07C9A" w:rsidRDefault="002648B0" w:rsidP="00EE6F6C">
            <w:pPr>
              <w:pStyle w:val="body"/>
              <w:rPr>
                <w:rStyle w:val="InstructionsTabelleText"/>
                <w:rFonts w:ascii="Times New Roman" w:hAnsi="Times New Roman"/>
                <w:sz w:val="24"/>
              </w:rPr>
            </w:pPr>
            <w:r w:rsidRPr="00E07C9A">
              <w:rPr>
                <w:rStyle w:val="InstructionsTabelleText"/>
                <w:rFonts w:ascii="Times New Roman" w:hAnsi="Times New Roman"/>
                <w:sz w:val="24"/>
              </w:rPr>
              <w:t>Vykazovaná hodnota zahŕňa súvisiace účty emisného ážia.</w:t>
            </w:r>
          </w:p>
        </w:tc>
      </w:tr>
      <w:tr w:rsidR="002648B0" w:rsidRPr="00E07C9A" w14:paraId="0840BE96" w14:textId="77777777" w:rsidTr="00672D2A">
        <w:tc>
          <w:tcPr>
            <w:tcW w:w="703" w:type="dxa"/>
          </w:tcPr>
          <w:p w14:paraId="1D93F4C3" w14:textId="77777777" w:rsidR="002648B0" w:rsidRPr="00E07C9A" w:rsidRDefault="00606735" w:rsidP="00EE6F6C">
            <w:pPr>
              <w:pStyle w:val="body"/>
              <w:rPr>
                <w:rStyle w:val="InstructionsTabelleText"/>
                <w:rFonts w:ascii="Times New Roman" w:hAnsi="Times New Roman"/>
                <w:sz w:val="24"/>
              </w:rPr>
            </w:pPr>
            <w:r w:rsidRPr="00E07C9A">
              <w:rPr>
                <w:rStyle w:val="InstructionsTabelleText"/>
                <w:rFonts w:ascii="Times New Roman" w:hAnsi="Times New Roman"/>
                <w:sz w:val="24"/>
              </w:rPr>
              <w:t>0150</w:t>
            </w:r>
          </w:p>
        </w:tc>
        <w:tc>
          <w:tcPr>
            <w:tcW w:w="7478" w:type="dxa"/>
          </w:tcPr>
          <w:p w14:paraId="5021AB70" w14:textId="09FD16BE" w:rsidR="005643EA" w:rsidRPr="00E07C9A" w:rsidRDefault="002648B0" w:rsidP="00EE6F6C">
            <w:pPr>
              <w:pStyle w:val="body"/>
              <w:rPr>
                <w:rStyle w:val="InstructionsTabelleberschrift"/>
                <w:rFonts w:ascii="Times New Roman" w:hAnsi="Times New Roman"/>
                <w:sz w:val="24"/>
              </w:rPr>
            </w:pPr>
            <w:r w:rsidRPr="00E07C9A">
              <w:rPr>
                <w:rStyle w:val="InstructionsTabelleberschrift"/>
                <w:rFonts w:ascii="Times New Roman" w:hAnsi="Times New Roman"/>
                <w:sz w:val="24"/>
              </w:rPr>
              <w:t>3.3.</w:t>
            </w:r>
            <w:r w:rsidRPr="00E07C9A">
              <w:rPr>
                <w:rFonts w:ascii="Times New Roman" w:hAnsi="Times New Roman" w:cs="Times New Roman"/>
              </w:rPr>
              <w:tab/>
            </w:r>
            <w:r w:rsidRPr="00E07C9A">
              <w:rPr>
                <w:rStyle w:val="InstructionsTabelleberschrift"/>
                <w:rFonts w:ascii="Times New Roman" w:hAnsi="Times New Roman"/>
                <w:sz w:val="24"/>
              </w:rPr>
              <w:t>Prekročenie obmedzenia nástrojov AT1 zachovaných</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predchádzajúcom stave</w:t>
            </w:r>
          </w:p>
          <w:p w14:paraId="7016C2EB" w14:textId="783C174B" w:rsidR="009912F8" w:rsidRPr="00E07C9A" w:rsidRDefault="002648B0" w:rsidP="00EE6F6C">
            <w:pPr>
              <w:pStyle w:val="body"/>
              <w:rPr>
                <w:rFonts w:ascii="Times New Roman" w:hAnsi="Times New Roman" w:cs="Times New Roman"/>
                <w:sz w:val="24"/>
              </w:rPr>
            </w:pPr>
            <w:r w:rsidRPr="00E07C9A">
              <w:rPr>
                <w:rStyle w:val="InstructionsTabelleText"/>
                <w:rFonts w:ascii="Times New Roman" w:hAnsi="Times New Roman"/>
                <w:sz w:val="24"/>
              </w:rPr>
              <w:t xml:space="preserve">Článok 487 ods. 2 </w:t>
            </w:r>
            <w:r w:rsidRPr="00E07C9A">
              <w:rPr>
                <w:rFonts w:ascii="Times New Roman" w:hAnsi="Times New Roman" w:cs="Times New Roman"/>
                <w:sz w:val="24"/>
              </w:rPr>
              <w:t xml:space="preserve">nariadenia (EÚ) </w:t>
            </w:r>
            <w:r w:rsidR="009912F8" w:rsidRPr="00E07C9A">
              <w:rPr>
                <w:rFonts w:ascii="Times New Roman" w:hAnsi="Times New Roman" w:cs="Times New Roman"/>
                <w:sz w:val="24"/>
              </w:rPr>
              <w:t>č. 575/2013</w:t>
            </w:r>
          </w:p>
          <w:p w14:paraId="38BB65E4" w14:textId="65D323F1" w:rsidR="002648B0" w:rsidRPr="00E07C9A" w:rsidRDefault="002648B0" w:rsidP="00EE6F6C">
            <w:pPr>
              <w:pStyle w:val="body"/>
              <w:rPr>
                <w:rStyle w:val="InstructionsTabelleText"/>
                <w:rFonts w:ascii="Times New Roman" w:hAnsi="Times New Roman"/>
                <w:sz w:val="24"/>
              </w:rPr>
            </w:pPr>
            <w:r w:rsidRPr="00E07C9A">
              <w:rPr>
                <w:rStyle w:val="InstructionsTabelleText"/>
                <w:rFonts w:ascii="Times New Roman" w:hAnsi="Times New Roman"/>
                <w:sz w:val="24"/>
              </w:rPr>
              <w:lastRenderedPageBreak/>
              <w:t>K prekročeniu obmedzenia nástrojov AT1 zachovaných</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predchádzajúcom stave sa môže pristupovať ako</w:t>
            </w:r>
            <w:r w:rsidR="009912F8" w:rsidRPr="00E07C9A">
              <w:rPr>
                <w:rStyle w:val="InstructionsTabelleText"/>
                <w:rFonts w:ascii="Times New Roman" w:hAnsi="Times New Roman"/>
                <w:sz w:val="24"/>
              </w:rPr>
              <w:t xml:space="preserve"> k </w:t>
            </w:r>
            <w:r w:rsidRPr="00E07C9A">
              <w:rPr>
                <w:rStyle w:val="InstructionsTabelleText"/>
                <w:rFonts w:ascii="Times New Roman" w:hAnsi="Times New Roman"/>
                <w:sz w:val="24"/>
              </w:rPr>
              <w:t>nástrojom, ktoré možno zachovať</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predchádzajúcom stave ako nástroje T2.</w:t>
            </w:r>
          </w:p>
        </w:tc>
      </w:tr>
    </w:tbl>
    <w:p w14:paraId="36DC4367" w14:textId="77777777" w:rsidR="00464F34" w:rsidRPr="00E07C9A" w:rsidRDefault="00464F34" w:rsidP="000911FE">
      <w:pPr>
        <w:pStyle w:val="body"/>
        <w:rPr>
          <w:rFonts w:ascii="Times New Roman" w:hAnsi="Times New Roman" w:cs="Times New Roman"/>
          <w:u w:val="single"/>
        </w:rPr>
      </w:pPr>
      <w:bookmarkStart w:id="92" w:name="_Toc239157372"/>
      <w:bookmarkStart w:id="93" w:name="_Toc295829844"/>
      <w:bookmarkStart w:id="94" w:name="_Toc330394185"/>
      <w:bookmarkEnd w:id="0"/>
      <w:bookmarkEnd w:id="1"/>
    </w:p>
    <w:p w14:paraId="3B12A820" w14:textId="3A5B7FF2" w:rsidR="00464F34" w:rsidRPr="00E07C9A" w:rsidRDefault="00125707" w:rsidP="0023700C">
      <w:pPr>
        <w:pStyle w:val="Instructionsberschrift2"/>
        <w:numPr>
          <w:ilvl w:val="0"/>
          <w:numId w:val="0"/>
        </w:numPr>
        <w:ind w:left="357" w:hanging="357"/>
        <w:rPr>
          <w:rFonts w:ascii="Times New Roman" w:hAnsi="Times New Roman" w:cs="Times New Roman"/>
          <w:sz w:val="24"/>
        </w:rPr>
      </w:pPr>
      <w:bookmarkStart w:id="95" w:name="_Toc360188339"/>
      <w:bookmarkStart w:id="96" w:name="_Toc473560887"/>
      <w:bookmarkStart w:id="97" w:name="_Toc115857767"/>
      <w:bookmarkEnd w:id="92"/>
      <w:bookmarkEnd w:id="93"/>
      <w:bookmarkEnd w:id="94"/>
      <w:r w:rsidRPr="00E07C9A">
        <w:rPr>
          <w:rFonts w:ascii="Times New Roman" w:hAnsi="Times New Roman" w:cs="Times New Roman"/>
          <w:sz w:val="24"/>
          <w:u w:val="none"/>
        </w:rPr>
        <w:t>2.</w:t>
      </w:r>
      <w:r w:rsidRPr="00E07C9A">
        <w:rPr>
          <w:rFonts w:ascii="Times New Roman" w:hAnsi="Times New Roman" w:cs="Times New Roman"/>
          <w:u w:val="none"/>
        </w:rPr>
        <w:tab/>
      </w:r>
      <w:r w:rsidRPr="00E07C9A">
        <w:rPr>
          <w:rFonts w:ascii="Times New Roman" w:hAnsi="Times New Roman" w:cs="Times New Roman"/>
          <w:sz w:val="24"/>
        </w:rPr>
        <w:t>SKUPINOVÁ SOLVENTNOSŤ: INFORMÁCIE</w:t>
      </w:r>
      <w:r w:rsidR="009912F8" w:rsidRPr="00E07C9A">
        <w:rPr>
          <w:rFonts w:ascii="Times New Roman" w:hAnsi="Times New Roman" w:cs="Times New Roman"/>
          <w:sz w:val="24"/>
        </w:rPr>
        <w:t xml:space="preserve"> O </w:t>
      </w:r>
      <w:r w:rsidRPr="00E07C9A">
        <w:rPr>
          <w:rFonts w:ascii="Times New Roman" w:hAnsi="Times New Roman" w:cs="Times New Roman"/>
          <w:sz w:val="24"/>
        </w:rPr>
        <w:t>PRIDRUŽENÝCH SUBJEKTOCH (GS</w:t>
      </w:r>
      <w:bookmarkEnd w:id="95"/>
      <w:r w:rsidRPr="00E07C9A">
        <w:rPr>
          <w:rFonts w:ascii="Times New Roman" w:hAnsi="Times New Roman" w:cs="Times New Roman"/>
          <w:sz w:val="24"/>
        </w:rPr>
        <w:t>)</w:t>
      </w:r>
      <w:bookmarkEnd w:id="96"/>
      <w:bookmarkEnd w:id="97"/>
    </w:p>
    <w:p w14:paraId="55C8A811" w14:textId="77777777" w:rsidR="00464F34" w:rsidRPr="00E07C9A" w:rsidRDefault="00125707" w:rsidP="0023700C">
      <w:pPr>
        <w:pStyle w:val="Instructionsberschrift2"/>
        <w:numPr>
          <w:ilvl w:val="0"/>
          <w:numId w:val="0"/>
        </w:numPr>
        <w:ind w:left="357" w:hanging="357"/>
        <w:rPr>
          <w:rFonts w:ascii="Times New Roman" w:hAnsi="Times New Roman" w:cs="Times New Roman"/>
          <w:sz w:val="24"/>
        </w:rPr>
      </w:pPr>
      <w:bookmarkStart w:id="98" w:name="_Toc264038416"/>
      <w:bookmarkStart w:id="99" w:name="_Toc295829845"/>
      <w:bookmarkStart w:id="100" w:name="_Toc310415011"/>
      <w:bookmarkStart w:id="101" w:name="_Toc330394186"/>
      <w:bookmarkStart w:id="102" w:name="_Toc360188340"/>
      <w:bookmarkStart w:id="103" w:name="_Toc473560888"/>
      <w:bookmarkStart w:id="104" w:name="_Toc115857768"/>
      <w:r w:rsidRPr="00E07C9A">
        <w:rPr>
          <w:rFonts w:ascii="Times New Roman" w:hAnsi="Times New Roman" w:cs="Times New Roman"/>
          <w:sz w:val="24"/>
          <w:u w:val="none"/>
        </w:rPr>
        <w:t>2.1.</w:t>
      </w:r>
      <w:r w:rsidRPr="00E07C9A">
        <w:rPr>
          <w:rFonts w:ascii="Times New Roman" w:hAnsi="Times New Roman" w:cs="Times New Roman"/>
          <w:u w:val="none"/>
        </w:rPr>
        <w:tab/>
      </w:r>
      <w:r w:rsidRPr="00E07C9A">
        <w:rPr>
          <w:rFonts w:ascii="Times New Roman" w:hAnsi="Times New Roman" w:cs="Times New Roman"/>
          <w:sz w:val="24"/>
        </w:rPr>
        <w:t>Všeobecné poznámky</w:t>
      </w:r>
      <w:bookmarkEnd w:id="98"/>
      <w:bookmarkEnd w:id="99"/>
      <w:bookmarkEnd w:id="100"/>
      <w:bookmarkEnd w:id="101"/>
      <w:bookmarkEnd w:id="102"/>
      <w:bookmarkEnd w:id="103"/>
      <w:bookmarkEnd w:id="104"/>
    </w:p>
    <w:p w14:paraId="0DE48938" w14:textId="058107EA" w:rsidR="00464F34" w:rsidRPr="00E07C9A" w:rsidRDefault="002A18DE" w:rsidP="00487A02">
      <w:pPr>
        <w:pStyle w:val="InstructionsText2"/>
        <w:numPr>
          <w:ilvl w:val="0"/>
          <w:numId w:val="0"/>
        </w:numPr>
        <w:ind w:left="1353" w:hanging="360"/>
      </w:pPr>
      <w:fldSimple w:instr=" seq paragraphs ">
        <w:r w:rsidR="00132AEE">
          <w:rPr>
            <w:noProof/>
          </w:rPr>
          <w:t>27</w:t>
        </w:r>
      </w:fldSimple>
      <w:r w:rsidR="00C3070C" w:rsidRPr="00E07C9A">
        <w:t>.</w:t>
      </w:r>
      <w:r w:rsidR="00C3070C" w:rsidRPr="00E07C9A">
        <w:tab/>
        <w:t>Vzory C 06.01</w:t>
      </w:r>
      <w:r w:rsidR="009912F8" w:rsidRPr="00E07C9A">
        <w:t xml:space="preserve"> a </w:t>
      </w:r>
      <w:r w:rsidR="00C3070C" w:rsidRPr="00E07C9A">
        <w:t>C 06.02 sa vykazujú vtedy, keď sa požiadavky na vlastné zdroje vypočítavajú na konsolidovanom základe. Vzor C 06.02 sa skladá zo štyroch častí, aby sa zhromaždili rôzne informácie</w:t>
      </w:r>
      <w:r w:rsidR="009912F8" w:rsidRPr="00E07C9A">
        <w:t xml:space="preserve"> o </w:t>
      </w:r>
      <w:r w:rsidR="00C3070C" w:rsidRPr="00E07C9A">
        <w:t>všetkých jednotlivých subjektoch (vrátane vykazujúcej inštitúcie) zahrnutých do rozsahu konsolidácie:</w:t>
      </w:r>
    </w:p>
    <w:p w14:paraId="1370D22F" w14:textId="09BCB786" w:rsidR="00C93697" w:rsidRPr="00E07C9A" w:rsidRDefault="00125707" w:rsidP="00487A02">
      <w:pPr>
        <w:pStyle w:val="InstructionsText2"/>
        <w:numPr>
          <w:ilvl w:val="0"/>
          <w:numId w:val="0"/>
        </w:numPr>
        <w:ind w:left="1353" w:hanging="360"/>
      </w:pPr>
      <w:r w:rsidRPr="00E07C9A">
        <w:t>a)</w:t>
      </w:r>
      <w:r w:rsidRPr="00E07C9A">
        <w:tab/>
        <w:t>subjekty</w:t>
      </w:r>
      <w:r w:rsidR="009912F8" w:rsidRPr="00E07C9A">
        <w:t xml:space="preserve"> v </w:t>
      </w:r>
      <w:r w:rsidRPr="00E07C9A">
        <w:t>rámci rozsahu konsolidácie;</w:t>
      </w:r>
    </w:p>
    <w:p w14:paraId="6A3C0853" w14:textId="39033B3E" w:rsidR="00C93697" w:rsidRPr="00E07C9A" w:rsidRDefault="00125707" w:rsidP="00487A02">
      <w:pPr>
        <w:pStyle w:val="InstructionsText2"/>
        <w:numPr>
          <w:ilvl w:val="0"/>
          <w:numId w:val="0"/>
        </w:numPr>
        <w:ind w:left="1353" w:hanging="360"/>
      </w:pPr>
      <w:r w:rsidRPr="00E07C9A">
        <w:t>b)</w:t>
      </w:r>
      <w:r w:rsidRPr="00E07C9A">
        <w:tab/>
        <w:t>podrobné informácie</w:t>
      </w:r>
      <w:r w:rsidR="009912F8" w:rsidRPr="00E07C9A">
        <w:t xml:space="preserve"> o </w:t>
      </w:r>
      <w:r w:rsidRPr="00E07C9A">
        <w:t>skupinovej solventnosti;</w:t>
      </w:r>
    </w:p>
    <w:p w14:paraId="1C183B49" w14:textId="755CE2A5" w:rsidR="00C93697" w:rsidRPr="00E07C9A" w:rsidRDefault="00125707" w:rsidP="00487A02">
      <w:pPr>
        <w:pStyle w:val="InstructionsText2"/>
        <w:numPr>
          <w:ilvl w:val="0"/>
          <w:numId w:val="0"/>
        </w:numPr>
        <w:ind w:left="1353" w:hanging="360"/>
      </w:pPr>
      <w:r w:rsidRPr="00E07C9A">
        <w:t>c)</w:t>
      </w:r>
      <w:r w:rsidRPr="00E07C9A">
        <w:tab/>
        <w:t>informácie</w:t>
      </w:r>
      <w:r w:rsidR="009912F8" w:rsidRPr="00E07C9A">
        <w:t xml:space="preserve"> o </w:t>
      </w:r>
      <w:r w:rsidRPr="00E07C9A">
        <w:t>príspevkoch jednotlivých subjektov</w:t>
      </w:r>
      <w:r w:rsidR="009912F8" w:rsidRPr="00E07C9A">
        <w:t xml:space="preserve"> k </w:t>
      </w:r>
      <w:r w:rsidRPr="00E07C9A">
        <w:t>skupinovej solventnosti;</w:t>
      </w:r>
    </w:p>
    <w:p w14:paraId="68A71EE8" w14:textId="50029D8F" w:rsidR="00C93697" w:rsidRPr="00E07C9A" w:rsidRDefault="00125707" w:rsidP="00487A02">
      <w:pPr>
        <w:pStyle w:val="InstructionsText2"/>
        <w:numPr>
          <w:ilvl w:val="0"/>
          <w:numId w:val="0"/>
        </w:numPr>
        <w:ind w:left="1353" w:hanging="360"/>
      </w:pPr>
      <w:r w:rsidRPr="00E07C9A">
        <w:t>d)</w:t>
      </w:r>
      <w:r w:rsidRPr="00E07C9A">
        <w:tab/>
        <w:t>informácie</w:t>
      </w:r>
      <w:r w:rsidR="009912F8" w:rsidRPr="00E07C9A">
        <w:t xml:space="preserve"> o </w:t>
      </w:r>
      <w:r w:rsidRPr="00E07C9A">
        <w:t>kapitálových vankúšoch.</w:t>
      </w:r>
    </w:p>
    <w:p w14:paraId="6E599DBE" w14:textId="6152CAF9" w:rsidR="00464F34" w:rsidRPr="00E07C9A" w:rsidRDefault="002A18DE" w:rsidP="00487A02">
      <w:pPr>
        <w:pStyle w:val="InstructionsText2"/>
        <w:numPr>
          <w:ilvl w:val="0"/>
          <w:numId w:val="0"/>
        </w:numPr>
        <w:ind w:left="1353" w:hanging="360"/>
      </w:pPr>
      <w:fldSimple w:instr=" seq paragraphs ">
        <w:r w:rsidR="00132AEE">
          <w:rPr>
            <w:noProof/>
          </w:rPr>
          <w:t>28</w:t>
        </w:r>
      </w:fldSimple>
      <w:r w:rsidR="00C3070C" w:rsidRPr="00E07C9A">
        <w:t>.</w:t>
      </w:r>
      <w:r w:rsidR="00C3070C" w:rsidRPr="00E07C9A">
        <w:tab/>
        <w:t>Inštitúcie, ktorým bola udelená výnimka</w:t>
      </w:r>
      <w:r w:rsidR="009912F8" w:rsidRPr="00E07C9A">
        <w:t xml:space="preserve"> v </w:t>
      </w:r>
      <w:r w:rsidR="00C3070C" w:rsidRPr="00E07C9A">
        <w:t>súlade</w:t>
      </w:r>
      <w:r w:rsidR="009912F8" w:rsidRPr="00E07C9A">
        <w:t xml:space="preserve"> s </w:t>
      </w:r>
      <w:r w:rsidR="00C3070C" w:rsidRPr="00E07C9A">
        <w:t xml:space="preserve">článkom 7 nariadenia (EÚ) </w:t>
      </w:r>
      <w:r w:rsidR="009912F8" w:rsidRPr="00E07C9A">
        <w:t>č. 575/2013</w:t>
      </w:r>
      <w:r w:rsidR="00C3070C" w:rsidRPr="00E07C9A">
        <w:t>, vykazujú len stĺpce 0010 až 0060</w:t>
      </w:r>
      <w:r w:rsidR="009912F8" w:rsidRPr="00E07C9A">
        <w:t xml:space="preserve"> a </w:t>
      </w:r>
      <w:r w:rsidR="00C3070C" w:rsidRPr="00E07C9A">
        <w:t>stĺpce 0250 až 0400.</w:t>
      </w:r>
    </w:p>
    <w:p w14:paraId="7F057EB3" w14:textId="31F46023" w:rsidR="004C0508" w:rsidRPr="00E07C9A" w:rsidRDefault="002A18DE" w:rsidP="00487A02">
      <w:pPr>
        <w:pStyle w:val="InstructionsText2"/>
        <w:numPr>
          <w:ilvl w:val="0"/>
          <w:numId w:val="0"/>
        </w:numPr>
        <w:ind w:left="1353" w:hanging="360"/>
      </w:pPr>
      <w:fldSimple w:instr=" seq paragraphs ">
        <w:r w:rsidR="00132AEE">
          <w:rPr>
            <w:noProof/>
          </w:rPr>
          <w:t>29</w:t>
        </w:r>
      </w:fldSimple>
      <w:r w:rsidR="00C3070C" w:rsidRPr="00E07C9A">
        <w:t>.</w:t>
      </w:r>
      <w:r w:rsidR="00C3070C" w:rsidRPr="00E07C9A">
        <w:tab/>
        <w:t xml:space="preserve">Vykazované číselné hodnoty zohľadňujú všetky uplatniteľné prechodné ustanovenia nariadenia (EÚ) </w:t>
      </w:r>
      <w:r w:rsidR="009912F8" w:rsidRPr="00E07C9A">
        <w:t>č. 575/2013</w:t>
      </w:r>
      <w:r w:rsidR="00C3070C" w:rsidRPr="00E07C9A">
        <w:t>, ktoré sú uplatniteľné</w:t>
      </w:r>
      <w:r w:rsidR="009912F8" w:rsidRPr="00E07C9A">
        <w:t xml:space="preserve"> k </w:t>
      </w:r>
      <w:r w:rsidR="00C3070C" w:rsidRPr="00E07C9A">
        <w:t>príslušnému dátumu vykazovania.</w:t>
      </w:r>
    </w:p>
    <w:p w14:paraId="10DAA2D3" w14:textId="718F1680" w:rsidR="00C93697" w:rsidRPr="00E07C9A" w:rsidRDefault="00125707" w:rsidP="0023700C">
      <w:pPr>
        <w:pStyle w:val="Instructionsberschrift2"/>
        <w:numPr>
          <w:ilvl w:val="0"/>
          <w:numId w:val="0"/>
        </w:numPr>
        <w:ind w:left="357" w:hanging="357"/>
        <w:rPr>
          <w:rFonts w:ascii="Times New Roman" w:hAnsi="Times New Roman" w:cs="Times New Roman"/>
          <w:sz w:val="24"/>
        </w:rPr>
      </w:pPr>
      <w:bookmarkStart w:id="105" w:name="_Toc360188341"/>
      <w:bookmarkStart w:id="106" w:name="_Toc473560889"/>
      <w:bookmarkStart w:id="107" w:name="_Toc115857769"/>
      <w:r w:rsidRPr="00E07C9A">
        <w:rPr>
          <w:rFonts w:ascii="Times New Roman" w:hAnsi="Times New Roman" w:cs="Times New Roman"/>
          <w:sz w:val="24"/>
          <w:u w:val="none"/>
        </w:rPr>
        <w:t>2.2.</w:t>
      </w:r>
      <w:r w:rsidRPr="00E07C9A">
        <w:rPr>
          <w:rFonts w:ascii="Times New Roman" w:hAnsi="Times New Roman" w:cs="Times New Roman"/>
          <w:u w:val="none"/>
        </w:rPr>
        <w:tab/>
      </w:r>
      <w:r w:rsidRPr="00E07C9A">
        <w:rPr>
          <w:rFonts w:ascii="Times New Roman" w:hAnsi="Times New Roman" w:cs="Times New Roman"/>
          <w:sz w:val="24"/>
        </w:rPr>
        <w:t>Podrobné informácie</w:t>
      </w:r>
      <w:r w:rsidR="009912F8" w:rsidRPr="00E07C9A">
        <w:rPr>
          <w:rFonts w:ascii="Times New Roman" w:hAnsi="Times New Roman" w:cs="Times New Roman"/>
          <w:sz w:val="24"/>
        </w:rPr>
        <w:t xml:space="preserve"> o </w:t>
      </w:r>
      <w:r w:rsidRPr="00E07C9A">
        <w:rPr>
          <w:rFonts w:ascii="Times New Roman" w:hAnsi="Times New Roman" w:cs="Times New Roman"/>
          <w:sz w:val="24"/>
        </w:rPr>
        <w:t>skupinovej solventnosti</w:t>
      </w:r>
      <w:bookmarkEnd w:id="105"/>
      <w:bookmarkEnd w:id="106"/>
      <w:bookmarkEnd w:id="107"/>
    </w:p>
    <w:p w14:paraId="2DDFC7F2" w14:textId="64FB6622" w:rsidR="009912F8" w:rsidRPr="00E07C9A" w:rsidRDefault="002A18DE" w:rsidP="00487A02">
      <w:pPr>
        <w:pStyle w:val="InstructionsText2"/>
        <w:numPr>
          <w:ilvl w:val="0"/>
          <w:numId w:val="0"/>
        </w:numPr>
        <w:ind w:left="1353" w:hanging="360"/>
      </w:pPr>
      <w:fldSimple w:instr=" seq paragraphs ">
        <w:r w:rsidR="00132AEE">
          <w:rPr>
            <w:noProof/>
          </w:rPr>
          <w:t>30</w:t>
        </w:r>
      </w:fldSimple>
      <w:r w:rsidR="00C3070C" w:rsidRPr="00E07C9A">
        <w:t>.</w:t>
      </w:r>
      <w:r w:rsidR="00C3070C" w:rsidRPr="00E07C9A">
        <w:tab/>
        <w:t>Druhá časť vzoru C 06.02 (podrobné informácie</w:t>
      </w:r>
      <w:r w:rsidR="009912F8" w:rsidRPr="00E07C9A">
        <w:t xml:space="preserve"> o </w:t>
      </w:r>
      <w:r w:rsidR="00C3070C" w:rsidRPr="00E07C9A">
        <w:t>skupinovej solventnosti)</w:t>
      </w:r>
      <w:r w:rsidR="009912F8" w:rsidRPr="00E07C9A">
        <w:t xml:space="preserve"> v </w:t>
      </w:r>
      <w:r w:rsidR="00C3070C" w:rsidRPr="00E07C9A">
        <w:t>stĺpcoch 0070 až 0210 je určená na zhromaždenie informácií</w:t>
      </w:r>
      <w:r w:rsidR="009912F8" w:rsidRPr="00E07C9A">
        <w:t xml:space="preserve"> o </w:t>
      </w:r>
      <w:r w:rsidR="00C3070C" w:rsidRPr="00E07C9A">
        <w:t>kreditných</w:t>
      </w:r>
      <w:r w:rsidR="009912F8" w:rsidRPr="00E07C9A">
        <w:t xml:space="preserve"> a </w:t>
      </w:r>
      <w:r w:rsidR="00C3070C" w:rsidRPr="00E07C9A">
        <w:t>iných regulovaných finančných inštitúciách, na ktoré sa</w:t>
      </w:r>
      <w:r w:rsidR="009912F8" w:rsidRPr="00E07C9A">
        <w:t xml:space="preserve"> v </w:t>
      </w:r>
      <w:r w:rsidR="00C3070C" w:rsidRPr="00E07C9A">
        <w:t>skutočnosti vzťahujú osobitné požiadavky na platobnú schopnosť na individuálnom základe. Pre každý</w:t>
      </w:r>
      <w:r w:rsidR="009912F8" w:rsidRPr="00E07C9A">
        <w:t xml:space="preserve"> z </w:t>
      </w:r>
      <w:r w:rsidR="00C3070C" w:rsidRPr="00E07C9A">
        <w:t>týchto subjektov</w:t>
      </w:r>
      <w:r w:rsidR="009912F8" w:rsidRPr="00E07C9A">
        <w:t xml:space="preserve"> v </w:t>
      </w:r>
      <w:r w:rsidR="00C3070C" w:rsidRPr="00E07C9A">
        <w:t>rámci rozsahu vykazovania sa stanovujú požiadavky na vlastné zdroje pre každú rizikovú kategóriu</w:t>
      </w:r>
      <w:r w:rsidR="009912F8" w:rsidRPr="00E07C9A">
        <w:t xml:space="preserve"> a </w:t>
      </w:r>
      <w:r w:rsidR="00C3070C" w:rsidRPr="00E07C9A">
        <w:t>vlastné zdroje na účely platobnej schopnosti</w:t>
      </w:r>
      <w:r w:rsidR="009912F8" w:rsidRPr="00E07C9A">
        <w:t>.</w:t>
      </w:r>
    </w:p>
    <w:p w14:paraId="11D43D14" w14:textId="1C85F7D0" w:rsidR="00464F34" w:rsidRPr="00E07C9A" w:rsidRDefault="002A18DE" w:rsidP="00487A02">
      <w:pPr>
        <w:pStyle w:val="InstructionsText2"/>
        <w:numPr>
          <w:ilvl w:val="0"/>
          <w:numId w:val="0"/>
        </w:numPr>
        <w:ind w:left="1353" w:hanging="360"/>
      </w:pPr>
      <w:fldSimple w:instr=" seq paragraphs ">
        <w:r w:rsidR="00132AEE">
          <w:rPr>
            <w:noProof/>
          </w:rPr>
          <w:t>31</w:t>
        </w:r>
      </w:fldSimple>
      <w:r w:rsidR="00C3070C" w:rsidRPr="00E07C9A">
        <w:t>.</w:t>
      </w:r>
      <w:r w:rsidR="00C3070C" w:rsidRPr="00E07C9A">
        <w:tab/>
        <w:t>V prípade proporcionálnej konsolidácie účastníkov vyjadrujú údaje, ktoré sa týkajú požiadaviek na vlastné zdroje</w:t>
      </w:r>
      <w:r w:rsidR="009912F8" w:rsidRPr="00E07C9A">
        <w:t xml:space="preserve"> a </w:t>
      </w:r>
      <w:r w:rsidR="00C3070C" w:rsidRPr="00E07C9A">
        <w:t>vlastných zdrojov, príslušné proporcionálne hodnoty.</w:t>
      </w:r>
    </w:p>
    <w:p w14:paraId="1637D59A" w14:textId="4210881D" w:rsidR="00C93697" w:rsidRPr="00E07C9A" w:rsidRDefault="00125707" w:rsidP="0023700C">
      <w:pPr>
        <w:pStyle w:val="Instructionsberschrift2"/>
        <w:numPr>
          <w:ilvl w:val="0"/>
          <w:numId w:val="0"/>
        </w:numPr>
        <w:ind w:left="357" w:hanging="357"/>
        <w:rPr>
          <w:rFonts w:ascii="Times New Roman" w:hAnsi="Times New Roman" w:cs="Times New Roman"/>
          <w:sz w:val="24"/>
        </w:rPr>
      </w:pPr>
      <w:bookmarkStart w:id="108" w:name="_Toc360188342"/>
      <w:bookmarkStart w:id="109" w:name="_Toc473560890"/>
      <w:bookmarkStart w:id="110" w:name="_Toc115857770"/>
      <w:r w:rsidRPr="00E07C9A">
        <w:rPr>
          <w:rFonts w:ascii="Times New Roman" w:hAnsi="Times New Roman" w:cs="Times New Roman"/>
          <w:sz w:val="24"/>
          <w:u w:val="none"/>
        </w:rPr>
        <w:t>2.3.</w:t>
      </w:r>
      <w:r w:rsidRPr="00E07C9A">
        <w:rPr>
          <w:rFonts w:ascii="Times New Roman" w:hAnsi="Times New Roman" w:cs="Times New Roman"/>
          <w:u w:val="none"/>
        </w:rPr>
        <w:tab/>
      </w:r>
      <w:r w:rsidRPr="00E07C9A">
        <w:rPr>
          <w:rFonts w:ascii="Times New Roman" w:hAnsi="Times New Roman" w:cs="Times New Roman"/>
          <w:sz w:val="24"/>
        </w:rPr>
        <w:t>Informácie</w:t>
      </w:r>
      <w:r w:rsidR="009912F8" w:rsidRPr="00E07C9A">
        <w:rPr>
          <w:rFonts w:ascii="Times New Roman" w:hAnsi="Times New Roman" w:cs="Times New Roman"/>
          <w:sz w:val="24"/>
        </w:rPr>
        <w:t xml:space="preserve"> o </w:t>
      </w:r>
      <w:r w:rsidRPr="00E07C9A">
        <w:rPr>
          <w:rFonts w:ascii="Times New Roman" w:hAnsi="Times New Roman" w:cs="Times New Roman"/>
          <w:sz w:val="24"/>
        </w:rPr>
        <w:t>príspevkoch jednotlivých subjektov</w:t>
      </w:r>
      <w:r w:rsidR="009912F8" w:rsidRPr="00E07C9A">
        <w:rPr>
          <w:rFonts w:ascii="Times New Roman" w:hAnsi="Times New Roman" w:cs="Times New Roman"/>
          <w:sz w:val="24"/>
        </w:rPr>
        <w:t xml:space="preserve"> k </w:t>
      </w:r>
      <w:r w:rsidRPr="00E07C9A">
        <w:rPr>
          <w:rFonts w:ascii="Times New Roman" w:hAnsi="Times New Roman" w:cs="Times New Roman"/>
          <w:sz w:val="24"/>
        </w:rPr>
        <w:t>skupinovej solventnosti</w:t>
      </w:r>
      <w:bookmarkEnd w:id="108"/>
      <w:bookmarkEnd w:id="109"/>
      <w:bookmarkEnd w:id="110"/>
    </w:p>
    <w:p w14:paraId="79272EB5" w14:textId="16E0D26C" w:rsidR="009912F8" w:rsidRPr="00E07C9A" w:rsidRDefault="002A18DE" w:rsidP="00487A02">
      <w:pPr>
        <w:pStyle w:val="InstructionsText2"/>
        <w:numPr>
          <w:ilvl w:val="0"/>
          <w:numId w:val="0"/>
        </w:numPr>
        <w:ind w:left="1353" w:hanging="360"/>
      </w:pPr>
      <w:fldSimple w:instr=" seq paragraphs ">
        <w:r w:rsidR="00132AEE">
          <w:rPr>
            <w:noProof/>
          </w:rPr>
          <w:t>32</w:t>
        </w:r>
      </w:fldSimple>
      <w:r w:rsidR="00C3070C" w:rsidRPr="00E07C9A">
        <w:t>.</w:t>
      </w:r>
      <w:r w:rsidR="00C3070C" w:rsidRPr="00E07C9A">
        <w:tab/>
        <w:t>Cieľom tretej časti vzoru C 06.02</w:t>
      </w:r>
      <w:r w:rsidR="009912F8" w:rsidRPr="00E07C9A">
        <w:t xml:space="preserve"> a </w:t>
      </w:r>
      <w:r w:rsidR="00C3070C" w:rsidRPr="00E07C9A">
        <w:t>vzoru C 06.01 [informácie</w:t>
      </w:r>
      <w:r w:rsidR="009912F8" w:rsidRPr="00E07C9A">
        <w:t xml:space="preserve"> o </w:t>
      </w:r>
      <w:r w:rsidR="00C3070C" w:rsidRPr="00E07C9A">
        <w:t>príspevkoch všetkých subjektov</w:t>
      </w:r>
      <w:r w:rsidR="009912F8" w:rsidRPr="00E07C9A">
        <w:t xml:space="preserve"> v </w:t>
      </w:r>
      <w:r w:rsidR="00C3070C" w:rsidRPr="00E07C9A">
        <w:t xml:space="preserve">rámci rozsahu pôsobnosti nariadenia (EÚ) </w:t>
      </w:r>
      <w:r w:rsidR="009912F8" w:rsidRPr="00E07C9A">
        <w:t>č. 575/2013</w:t>
      </w:r>
      <w:r w:rsidR="00C3070C" w:rsidRPr="00E07C9A">
        <w:t>, po</w:t>
      </w:r>
      <w:r w:rsidR="00C3070C" w:rsidRPr="00E07C9A">
        <w:lastRenderedPageBreak/>
        <w:t>kiaľ ide</w:t>
      </w:r>
      <w:r w:rsidR="009912F8" w:rsidRPr="00E07C9A">
        <w:t xml:space="preserve"> o </w:t>
      </w:r>
      <w:r w:rsidR="00C3070C" w:rsidRPr="00E07C9A">
        <w:t>konsolidáciu,</w:t>
      </w:r>
      <w:r w:rsidR="009912F8" w:rsidRPr="00E07C9A">
        <w:t xml:space="preserve"> k </w:t>
      </w:r>
      <w:r w:rsidR="00C3070C" w:rsidRPr="00E07C9A">
        <w:t>skupinovej solventnosti] vrátane tých, na ktoré sa nevzťahujú osobitné požiadavky na platobnú schopnosť na individuálnom základe,</w:t>
      </w:r>
      <w:r w:rsidR="009912F8" w:rsidRPr="00E07C9A">
        <w:t xml:space="preserve"> v </w:t>
      </w:r>
      <w:r w:rsidR="00C3070C" w:rsidRPr="00E07C9A">
        <w:t>stĺpcoch 0250 až 0400 je určiť, ktoré subjekty</w:t>
      </w:r>
      <w:r w:rsidR="009912F8" w:rsidRPr="00E07C9A">
        <w:t xml:space="preserve"> v </w:t>
      </w:r>
      <w:r w:rsidR="00C3070C" w:rsidRPr="00E07C9A">
        <w:t>rámci skupiny prinášajú riziká</w:t>
      </w:r>
      <w:r w:rsidR="009912F8" w:rsidRPr="00E07C9A">
        <w:t xml:space="preserve"> a </w:t>
      </w:r>
      <w:r w:rsidR="00C3070C" w:rsidRPr="00E07C9A">
        <w:t>získavajú vlastné zdroje na trhu, na základe údajov, ktoré sú jednoducho</w:t>
      </w:r>
      <w:r w:rsidR="009912F8" w:rsidRPr="00E07C9A">
        <w:t xml:space="preserve"> k </w:t>
      </w:r>
      <w:r w:rsidR="00C3070C" w:rsidRPr="00E07C9A">
        <w:t>dispozícii alebo ich možno jednoducho spracovať bez toho, aby bolo potrebné prepočítavať podiel kapitálu na samostatnom alebo subkonsolidovanom základe. Na úrovni subjektu predstavujú údaje</w:t>
      </w:r>
      <w:r w:rsidR="009912F8" w:rsidRPr="00E07C9A">
        <w:t xml:space="preserve"> o </w:t>
      </w:r>
      <w:r w:rsidR="00C3070C" w:rsidRPr="00E07C9A">
        <w:t>rizikách</w:t>
      </w:r>
      <w:r w:rsidR="009912F8" w:rsidRPr="00E07C9A">
        <w:t xml:space="preserve"> a </w:t>
      </w:r>
      <w:r w:rsidR="00C3070C" w:rsidRPr="00E07C9A">
        <w:t>vlastných zdrojoch príspevky</w:t>
      </w:r>
      <w:r w:rsidR="009912F8" w:rsidRPr="00E07C9A">
        <w:t xml:space="preserve"> k </w:t>
      </w:r>
      <w:r w:rsidR="00C3070C" w:rsidRPr="00E07C9A">
        <w:t>údajom skupiny</w:t>
      </w:r>
      <w:r w:rsidR="009912F8" w:rsidRPr="00E07C9A">
        <w:t xml:space="preserve"> a </w:t>
      </w:r>
      <w:r w:rsidR="00C3070C" w:rsidRPr="00E07C9A">
        <w:t>nepredstavujú prvky pomeru platobnej schopnosti na samostatnom základe,</w:t>
      </w:r>
      <w:r w:rsidR="009912F8" w:rsidRPr="00E07C9A">
        <w:t xml:space="preserve"> a </w:t>
      </w:r>
      <w:r w:rsidR="00C3070C" w:rsidRPr="00E07C9A">
        <w:t>preto sa nemôžu navzájom porovnávať</w:t>
      </w:r>
      <w:r w:rsidR="009912F8" w:rsidRPr="00E07C9A">
        <w:t>.</w:t>
      </w:r>
    </w:p>
    <w:p w14:paraId="5B1F7005" w14:textId="5FF47A71" w:rsidR="00464F34" w:rsidRPr="00E07C9A" w:rsidRDefault="002A18DE" w:rsidP="00487A02">
      <w:pPr>
        <w:pStyle w:val="InstructionsText2"/>
        <w:numPr>
          <w:ilvl w:val="0"/>
          <w:numId w:val="0"/>
        </w:numPr>
        <w:ind w:left="1353" w:hanging="360"/>
      </w:pPr>
      <w:fldSimple w:instr=" seq paragraphs ">
        <w:r w:rsidR="00132AEE">
          <w:rPr>
            <w:noProof/>
          </w:rPr>
          <w:t>33</w:t>
        </w:r>
      </w:fldSimple>
      <w:r w:rsidR="00C3070C" w:rsidRPr="00E07C9A">
        <w:t>.</w:t>
      </w:r>
      <w:r w:rsidR="00C3070C" w:rsidRPr="00E07C9A">
        <w:tab/>
        <w:t>Tretia časť zahŕňa aj hodnoty menšinových účastí, kvalifikovaného AT1</w:t>
      </w:r>
      <w:r w:rsidR="009912F8" w:rsidRPr="00E07C9A">
        <w:t xml:space="preserve"> a </w:t>
      </w:r>
      <w:r w:rsidR="00C3070C" w:rsidRPr="00E07C9A">
        <w:t>kvalifikovaného T2 prípustné</w:t>
      </w:r>
      <w:r w:rsidR="009912F8" w:rsidRPr="00E07C9A">
        <w:t xml:space="preserve"> v </w:t>
      </w:r>
      <w:r w:rsidR="00C3070C" w:rsidRPr="00E07C9A">
        <w:t>konsolidovaných vlastných zdrojoch.</w:t>
      </w:r>
    </w:p>
    <w:p w14:paraId="601945C2" w14:textId="3B54B2E6" w:rsidR="00464F34" w:rsidRPr="00E07C9A" w:rsidRDefault="002A18DE" w:rsidP="00487A02">
      <w:pPr>
        <w:pStyle w:val="InstructionsText2"/>
        <w:numPr>
          <w:ilvl w:val="0"/>
          <w:numId w:val="0"/>
        </w:numPr>
        <w:ind w:left="1353" w:hanging="360"/>
      </w:pPr>
      <w:fldSimple w:instr=" seq paragraphs ">
        <w:r w:rsidR="00132AEE">
          <w:rPr>
            <w:noProof/>
          </w:rPr>
          <w:t>34</w:t>
        </w:r>
      </w:fldSimple>
      <w:r w:rsidR="00C3070C" w:rsidRPr="00E07C9A">
        <w:t>.</w:t>
      </w:r>
      <w:r w:rsidR="00C3070C" w:rsidRPr="00E07C9A">
        <w:tab/>
        <w:t>Keďže táto tretia časť vzoru sa týka „príspevkov“, číselné hodnoty, ktoré sa majú vykázať</w:t>
      </w:r>
      <w:r w:rsidR="009912F8" w:rsidRPr="00E07C9A">
        <w:t xml:space="preserve"> v </w:t>
      </w:r>
      <w:r w:rsidR="00C3070C" w:rsidRPr="00E07C9A">
        <w:t>tejto časti, sa</w:t>
      </w:r>
      <w:r w:rsidR="009912F8" w:rsidRPr="00E07C9A">
        <w:t xml:space="preserve"> v </w:t>
      </w:r>
      <w:r w:rsidR="00C3070C" w:rsidRPr="00E07C9A">
        <w:t>náležitých prípadoch odchyľujú od číselných hodnôt vykázaných</w:t>
      </w:r>
      <w:r w:rsidR="009912F8" w:rsidRPr="00E07C9A">
        <w:t xml:space="preserve"> v </w:t>
      </w:r>
      <w:r w:rsidR="00C3070C" w:rsidRPr="00E07C9A">
        <w:t>stĺpcoch týkajúcich sa podrobných informácií</w:t>
      </w:r>
      <w:r w:rsidR="009912F8" w:rsidRPr="00E07C9A">
        <w:t xml:space="preserve"> o </w:t>
      </w:r>
      <w:r w:rsidR="00C3070C" w:rsidRPr="00E07C9A">
        <w:t>skupinovej solventnosti.</w:t>
      </w:r>
    </w:p>
    <w:p w14:paraId="44960A6E" w14:textId="6A2B3B28" w:rsidR="00464F34" w:rsidRPr="00E07C9A" w:rsidRDefault="002A18DE" w:rsidP="00487A02">
      <w:pPr>
        <w:pStyle w:val="InstructionsText2"/>
        <w:numPr>
          <w:ilvl w:val="0"/>
          <w:numId w:val="0"/>
        </w:numPr>
        <w:ind w:left="1353" w:hanging="360"/>
      </w:pPr>
      <w:fldSimple w:instr=" seq paragraphs ">
        <w:r w:rsidR="00132AEE">
          <w:rPr>
            <w:noProof/>
          </w:rPr>
          <w:t>35</w:t>
        </w:r>
      </w:fldSimple>
      <w:r w:rsidR="00C3070C" w:rsidRPr="00E07C9A">
        <w:t>.</w:t>
      </w:r>
      <w:r w:rsidR="00C3070C" w:rsidRPr="00E07C9A">
        <w:tab/>
        <w:t>Základnou myšlienkou je homogénnym spôsobom (z hľadiska rizík alebo vlastných zdrojov) odstrániť krížové expozície</w:t>
      </w:r>
      <w:r w:rsidR="009912F8" w:rsidRPr="00E07C9A">
        <w:t xml:space="preserve"> v </w:t>
      </w:r>
      <w:r w:rsidR="00C3070C" w:rsidRPr="00E07C9A">
        <w:t>rámci rovnakých skupín</w:t>
      </w:r>
      <w:r w:rsidR="009912F8" w:rsidRPr="00E07C9A">
        <w:t xml:space="preserve"> s </w:t>
      </w:r>
      <w:r w:rsidR="00C3070C" w:rsidRPr="00E07C9A">
        <w:t>cieľom pokryť hodnoty vykázané</w:t>
      </w:r>
      <w:r w:rsidR="009912F8" w:rsidRPr="00E07C9A">
        <w:t xml:space="preserve"> v </w:t>
      </w:r>
      <w:r w:rsidR="00C3070C" w:rsidRPr="00E07C9A">
        <w:t>konsolidovanom vzore CA danej skupiny sčítaním hodnôt vykázaných pre každý subjekt vo vzore „Skupinová solventnosť“. Ak sa neprekročí prahová hodnota 1</w:t>
      </w:r>
      <w:r w:rsidR="009912F8" w:rsidRPr="00E07C9A">
        <w:t> %</w:t>
      </w:r>
      <w:r w:rsidR="00C3070C" w:rsidRPr="00E07C9A">
        <w:t>, nie je možné priame spojenie so vzorom CA.</w:t>
      </w:r>
    </w:p>
    <w:p w14:paraId="4B1AE777" w14:textId="0CD96744" w:rsidR="00464F34" w:rsidRPr="00E07C9A" w:rsidRDefault="002A18DE" w:rsidP="00487A02">
      <w:pPr>
        <w:pStyle w:val="InstructionsText2"/>
        <w:numPr>
          <w:ilvl w:val="0"/>
          <w:numId w:val="0"/>
        </w:numPr>
        <w:ind w:left="1353" w:hanging="360"/>
      </w:pPr>
      <w:fldSimple w:instr=" seq paragraphs ">
        <w:r w:rsidR="00132AEE">
          <w:rPr>
            <w:noProof/>
          </w:rPr>
          <w:t>36</w:t>
        </w:r>
      </w:fldSimple>
      <w:r w:rsidR="00C3070C" w:rsidRPr="00E07C9A">
        <w:t>.</w:t>
      </w:r>
      <w:r w:rsidR="00C3070C" w:rsidRPr="00E07C9A">
        <w:tab/>
        <w:t>Inštitúcie zadefinujú najvhodnejšiu metódu na rozčlenenie medzi subjektmi, aby sa zohľadnili možné účinky diverzifikácie pre trhové riziko</w:t>
      </w:r>
      <w:r w:rsidR="009912F8" w:rsidRPr="00E07C9A">
        <w:t xml:space="preserve"> a </w:t>
      </w:r>
      <w:r w:rsidR="00C3070C" w:rsidRPr="00E07C9A">
        <w:t>operačné riziko.</w:t>
      </w:r>
    </w:p>
    <w:p w14:paraId="48A85153" w14:textId="4BFBC6B9" w:rsidR="009912F8" w:rsidRPr="00E07C9A" w:rsidRDefault="002A18DE" w:rsidP="00487A02">
      <w:pPr>
        <w:pStyle w:val="InstructionsText2"/>
        <w:numPr>
          <w:ilvl w:val="0"/>
          <w:numId w:val="0"/>
        </w:numPr>
        <w:ind w:left="1353" w:hanging="360"/>
      </w:pPr>
      <w:fldSimple w:instr=" seq paragraphs ">
        <w:r w:rsidR="00132AEE">
          <w:rPr>
            <w:noProof/>
          </w:rPr>
          <w:t>37</w:t>
        </w:r>
      </w:fldSimple>
      <w:r w:rsidR="00C3070C" w:rsidRPr="00E07C9A">
        <w:t>.</w:t>
      </w:r>
      <w:r w:rsidR="00C3070C" w:rsidRPr="00E07C9A">
        <w:tab/>
        <w:t>Je možné, aby jedna konsolidovaná skupina bola zahrnutá do inej konsolidovanej skupiny. Znamená to, že pri subjektoch</w:t>
      </w:r>
      <w:r w:rsidR="009912F8" w:rsidRPr="00E07C9A">
        <w:t xml:space="preserve"> v </w:t>
      </w:r>
      <w:r w:rsidR="00C3070C" w:rsidRPr="00E07C9A">
        <w:t>rámci podskupiny sa vo vzore GS celej skupiny vykazuje podľa jednotlivých subjektov,</w:t>
      </w:r>
      <w:r w:rsidR="009912F8" w:rsidRPr="00E07C9A">
        <w:t xml:space="preserve"> a </w:t>
      </w:r>
      <w:r w:rsidR="00C3070C" w:rsidRPr="00E07C9A">
        <w:t>to aj vtedy, keď sa na samotnú podskupinu vzťahujú požiadavky na vykazovanie. Podskupina, na ktorú sa vzťahujú požiadavky na vykazovanie, takisto vykazuje vzor GS podľa jednotlivých subjektov, aj keď sú tieto údaje už zahrnuté vo vzore GS vyššej konsolidovanej skupiny</w:t>
      </w:r>
      <w:r w:rsidR="009912F8" w:rsidRPr="00E07C9A">
        <w:t>.</w:t>
      </w:r>
    </w:p>
    <w:p w14:paraId="31F049AB" w14:textId="439FADD7" w:rsidR="00464F34" w:rsidRPr="00E07C9A" w:rsidRDefault="002A18DE" w:rsidP="00487A02">
      <w:pPr>
        <w:pStyle w:val="InstructionsText2"/>
        <w:numPr>
          <w:ilvl w:val="0"/>
          <w:numId w:val="0"/>
        </w:numPr>
        <w:ind w:left="1353" w:hanging="360"/>
      </w:pPr>
      <w:fldSimple w:instr=" seq paragraphs ">
        <w:r w:rsidR="00132AEE">
          <w:rPr>
            <w:noProof/>
          </w:rPr>
          <w:t>38</w:t>
        </w:r>
      </w:fldSimple>
      <w:r w:rsidR="00C3070C" w:rsidRPr="00E07C9A">
        <w:t>.</w:t>
      </w:r>
      <w:r w:rsidR="00C3070C" w:rsidRPr="00E07C9A">
        <w:tab/>
        <w:t>Inštitúcia vykazuje údaje</w:t>
      </w:r>
      <w:r w:rsidR="009912F8" w:rsidRPr="00E07C9A">
        <w:t xml:space="preserve"> o </w:t>
      </w:r>
      <w:r w:rsidR="00C3070C" w:rsidRPr="00E07C9A">
        <w:t>príspevku subjektu, keď jeho príspevok</w:t>
      </w:r>
      <w:r w:rsidR="009912F8" w:rsidRPr="00E07C9A">
        <w:t xml:space="preserve"> k </w:t>
      </w:r>
      <w:r w:rsidR="00C3070C" w:rsidRPr="00E07C9A">
        <w:t>celkovej hodnote rizikovej expozície presahuje 1</w:t>
      </w:r>
      <w:r w:rsidR="009912F8" w:rsidRPr="00E07C9A">
        <w:t> %</w:t>
      </w:r>
      <w:r w:rsidR="00C3070C" w:rsidRPr="00E07C9A">
        <w:t xml:space="preserve"> celkovej hodnoty rizikovej expozície skupiny alebo keď jeho príspevok</w:t>
      </w:r>
      <w:r w:rsidR="009912F8" w:rsidRPr="00E07C9A">
        <w:t xml:space="preserve"> k </w:t>
      </w:r>
      <w:r w:rsidR="00C3070C" w:rsidRPr="00E07C9A">
        <w:t>celkovým vlastným zdrojom presahuje 1</w:t>
      </w:r>
      <w:r w:rsidR="009912F8" w:rsidRPr="00E07C9A">
        <w:t> %</w:t>
      </w:r>
      <w:r w:rsidR="00C3070C" w:rsidRPr="00E07C9A">
        <w:t xml:space="preserve"> celkových vlastných zdrojov skupiny. Táto prahová hodnota sa neuplatňuje</w:t>
      </w:r>
      <w:r w:rsidR="009912F8" w:rsidRPr="00E07C9A">
        <w:t xml:space="preserve"> v </w:t>
      </w:r>
      <w:r w:rsidR="00C3070C" w:rsidRPr="00E07C9A">
        <w:t>prípade dcérskych spoločností alebo podskupín, ktoré poskytujú skupine vlastné zdroje (vo forme menšinových účastí alebo nástrojov kvalifikovaného AT1 alebo T2 zahrnutých vo vlastných zdrojoch).</w:t>
      </w:r>
    </w:p>
    <w:p w14:paraId="6A46EE66" w14:textId="03348DF2" w:rsidR="00464F34" w:rsidRPr="00E07C9A" w:rsidRDefault="00125707" w:rsidP="0023700C">
      <w:pPr>
        <w:pStyle w:val="Instructionsberschrift2"/>
        <w:numPr>
          <w:ilvl w:val="0"/>
          <w:numId w:val="0"/>
        </w:numPr>
        <w:ind w:left="357" w:hanging="357"/>
        <w:rPr>
          <w:rFonts w:ascii="Times New Roman" w:hAnsi="Times New Roman" w:cs="Times New Roman"/>
          <w:sz w:val="24"/>
        </w:rPr>
      </w:pPr>
      <w:bookmarkStart w:id="111" w:name="_Toc473560891"/>
      <w:bookmarkStart w:id="112" w:name="_Toc115857771"/>
      <w:r w:rsidRPr="00E07C9A">
        <w:rPr>
          <w:rFonts w:ascii="Times New Roman" w:hAnsi="Times New Roman" w:cs="Times New Roman"/>
          <w:sz w:val="24"/>
          <w:u w:val="none"/>
        </w:rPr>
        <w:t>2.4.</w:t>
      </w:r>
      <w:r w:rsidRPr="00E07C9A">
        <w:rPr>
          <w:rFonts w:ascii="Times New Roman" w:hAnsi="Times New Roman" w:cs="Times New Roman"/>
          <w:u w:val="none"/>
        </w:rPr>
        <w:tab/>
      </w:r>
      <w:r w:rsidRPr="00E07C9A">
        <w:rPr>
          <w:rFonts w:ascii="Times New Roman" w:hAnsi="Times New Roman" w:cs="Times New Roman"/>
          <w:sz w:val="24"/>
        </w:rPr>
        <w:t>C 06.01 – SKUPINOVÁ SOLVENTNOSŤ: INFORMÁCIE</w:t>
      </w:r>
      <w:r w:rsidR="009912F8" w:rsidRPr="00E07C9A">
        <w:rPr>
          <w:rFonts w:ascii="Times New Roman" w:hAnsi="Times New Roman" w:cs="Times New Roman"/>
          <w:sz w:val="24"/>
        </w:rPr>
        <w:t xml:space="preserve"> O </w:t>
      </w:r>
      <w:r w:rsidRPr="00E07C9A">
        <w:rPr>
          <w:rFonts w:ascii="Times New Roman" w:hAnsi="Times New Roman" w:cs="Times New Roman"/>
          <w:sz w:val="24"/>
        </w:rPr>
        <w:t>PRIDRUŽENÝCH SUBJEKTOCH – Spolu (GS Total)</w:t>
      </w:r>
      <w:bookmarkEnd w:id="111"/>
      <w:bookmarkEnd w:id="11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E07C9A" w14:paraId="34A12998" w14:textId="77777777" w:rsidTr="00672D2A">
        <w:tc>
          <w:tcPr>
            <w:tcW w:w="1188" w:type="dxa"/>
            <w:shd w:val="clear" w:color="auto" w:fill="CCCCCC"/>
          </w:tcPr>
          <w:p w14:paraId="3E34B19F" w14:textId="77777777" w:rsidR="00D85AC7" w:rsidRPr="00E07C9A" w:rsidRDefault="00D85AC7" w:rsidP="00FF36A5">
            <w:pPr>
              <w:rPr>
                <w:rStyle w:val="InstructionsTabelleText"/>
                <w:rFonts w:ascii="Times New Roman" w:hAnsi="Times New Roman"/>
                <w:sz w:val="24"/>
              </w:rPr>
            </w:pPr>
            <w:r w:rsidRPr="00E07C9A">
              <w:rPr>
                <w:rStyle w:val="InstructionsTabelleText"/>
                <w:rFonts w:ascii="Times New Roman" w:hAnsi="Times New Roman"/>
                <w:sz w:val="24"/>
              </w:rPr>
              <w:t>Stĺpce</w:t>
            </w:r>
          </w:p>
        </w:tc>
        <w:tc>
          <w:tcPr>
            <w:tcW w:w="8640" w:type="dxa"/>
            <w:shd w:val="clear" w:color="auto" w:fill="CCCCCC"/>
          </w:tcPr>
          <w:p w14:paraId="068EF031" w14:textId="77777777" w:rsidR="00D85AC7" w:rsidRPr="00E07C9A" w:rsidRDefault="00D85AC7" w:rsidP="00FF36A5">
            <w:pPr>
              <w:rPr>
                <w:rStyle w:val="InstructionsTabelleText"/>
                <w:rFonts w:ascii="Times New Roman" w:hAnsi="Times New Roman"/>
                <w:sz w:val="24"/>
              </w:rPr>
            </w:pPr>
            <w:r w:rsidRPr="00E07C9A">
              <w:rPr>
                <w:rStyle w:val="InstructionsTabelleText"/>
                <w:rFonts w:ascii="Times New Roman" w:hAnsi="Times New Roman"/>
                <w:sz w:val="24"/>
              </w:rPr>
              <w:t>Pokyny</w:t>
            </w:r>
          </w:p>
        </w:tc>
      </w:tr>
      <w:tr w:rsidR="00D85AC7" w:rsidRPr="00E07C9A" w14:paraId="0EE8B995" w14:textId="77777777" w:rsidTr="00672D2A">
        <w:tc>
          <w:tcPr>
            <w:tcW w:w="1188" w:type="dxa"/>
          </w:tcPr>
          <w:p w14:paraId="25C582FD" w14:textId="77777777" w:rsidR="00D85AC7" w:rsidRPr="00E07C9A" w:rsidRDefault="00ED20CB" w:rsidP="00F535E7">
            <w:pPr>
              <w:rPr>
                <w:rStyle w:val="InstructionsTabelleText"/>
                <w:rFonts w:ascii="Times New Roman" w:hAnsi="Times New Roman"/>
                <w:sz w:val="24"/>
              </w:rPr>
            </w:pPr>
            <w:r w:rsidRPr="00E07C9A">
              <w:rPr>
                <w:rStyle w:val="InstructionsTabelleText"/>
                <w:rFonts w:ascii="Times New Roman" w:hAnsi="Times New Roman"/>
                <w:sz w:val="24"/>
              </w:rPr>
              <w:t>0250 –⁠ 0400</w:t>
            </w:r>
          </w:p>
        </w:tc>
        <w:tc>
          <w:tcPr>
            <w:tcW w:w="8640" w:type="dxa"/>
          </w:tcPr>
          <w:p w14:paraId="253EE46D" w14:textId="538FE6DB" w:rsidR="00D85AC7" w:rsidRPr="00E07C9A" w:rsidRDefault="00D85AC7" w:rsidP="00FF36A5">
            <w:pPr>
              <w:rPr>
                <w:rStyle w:val="InstructionsTabelleberschrift"/>
                <w:rFonts w:ascii="Times New Roman" w:hAnsi="Times New Roman"/>
                <w:sz w:val="24"/>
              </w:rPr>
            </w:pPr>
            <w:r w:rsidRPr="00E07C9A">
              <w:rPr>
                <w:rStyle w:val="InstructionsTabelleberschrift"/>
                <w:rFonts w:ascii="Times New Roman" w:hAnsi="Times New Roman"/>
                <w:sz w:val="24"/>
              </w:rPr>
              <w:t>SUBJEKTY</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RÁMCI ROZSAHU KONSOLIDÁCIE</w:t>
            </w:r>
          </w:p>
          <w:p w14:paraId="78CDEC21" w14:textId="79D0CAF7" w:rsidR="00D85AC7" w:rsidRPr="00E07C9A" w:rsidRDefault="00D85AC7" w:rsidP="00FF36A5">
            <w:pPr>
              <w:rPr>
                <w:rStyle w:val="InstructionsTabelleberschrift"/>
                <w:rFonts w:ascii="Times New Roman" w:hAnsi="Times New Roman"/>
                <w:b w:val="0"/>
                <w:bCs w:val="0"/>
                <w:sz w:val="24"/>
              </w:rPr>
            </w:pPr>
            <w:r w:rsidRPr="00E07C9A">
              <w:rPr>
                <w:rStyle w:val="InstructionsTabelleText"/>
                <w:rFonts w:ascii="Times New Roman" w:hAnsi="Times New Roman"/>
                <w:sz w:val="24"/>
              </w:rPr>
              <w:t>Pozri pokyny</w:t>
            </w:r>
            <w:r w:rsidR="009912F8" w:rsidRPr="00E07C9A">
              <w:rPr>
                <w:rStyle w:val="InstructionsTabelleText"/>
                <w:rFonts w:ascii="Times New Roman" w:hAnsi="Times New Roman"/>
                <w:sz w:val="24"/>
              </w:rPr>
              <w:t xml:space="preserve"> k </w:t>
            </w:r>
            <w:r w:rsidRPr="00E07C9A">
              <w:rPr>
                <w:rStyle w:val="InstructionsTabelleText"/>
                <w:rFonts w:ascii="Times New Roman" w:hAnsi="Times New Roman"/>
                <w:sz w:val="24"/>
              </w:rPr>
              <w:t>C 06.02.</w:t>
            </w:r>
          </w:p>
        </w:tc>
      </w:tr>
      <w:tr w:rsidR="00D85AC7" w:rsidRPr="00E07C9A" w14:paraId="53CC6BFE" w14:textId="77777777" w:rsidTr="00672D2A">
        <w:tc>
          <w:tcPr>
            <w:tcW w:w="1188" w:type="dxa"/>
            <w:tcBorders>
              <w:top w:val="single" w:sz="4" w:space="0" w:color="auto"/>
              <w:left w:val="single" w:sz="4" w:space="0" w:color="auto"/>
              <w:bottom w:val="single" w:sz="4" w:space="0" w:color="auto"/>
              <w:right w:val="single" w:sz="4" w:space="0" w:color="auto"/>
            </w:tcBorders>
          </w:tcPr>
          <w:p w14:paraId="11244BE5" w14:textId="77777777" w:rsidR="00D85AC7" w:rsidRPr="00E07C9A" w:rsidRDefault="00ED20CB" w:rsidP="00FF36A5">
            <w:pPr>
              <w:rPr>
                <w:rStyle w:val="InstructionsTabelleText"/>
                <w:rFonts w:ascii="Times New Roman" w:hAnsi="Times New Roman"/>
                <w:sz w:val="24"/>
              </w:rPr>
            </w:pPr>
            <w:r w:rsidRPr="00E07C9A">
              <w:rPr>
                <w:rStyle w:val="InstructionsTabelleText"/>
                <w:rFonts w:ascii="Times New Roman" w:hAnsi="Times New Roman"/>
                <w:sz w:val="24"/>
              </w:rPr>
              <w:lastRenderedPageBreak/>
              <w:t>0410 –⁠ 0480</w:t>
            </w:r>
          </w:p>
        </w:tc>
        <w:tc>
          <w:tcPr>
            <w:tcW w:w="8640" w:type="dxa"/>
            <w:tcBorders>
              <w:top w:val="single" w:sz="4" w:space="0" w:color="auto"/>
              <w:left w:val="single" w:sz="4" w:space="0" w:color="auto"/>
              <w:bottom w:val="single" w:sz="4" w:space="0" w:color="auto"/>
              <w:right w:val="single" w:sz="4" w:space="0" w:color="auto"/>
            </w:tcBorders>
          </w:tcPr>
          <w:p w14:paraId="38803D99" w14:textId="77777777" w:rsidR="00D85AC7" w:rsidRPr="00E07C9A" w:rsidRDefault="00D85AC7" w:rsidP="00FF36A5">
            <w:pPr>
              <w:rPr>
                <w:rStyle w:val="InstructionsTabelleberschrift"/>
                <w:rFonts w:ascii="Times New Roman" w:hAnsi="Times New Roman"/>
                <w:sz w:val="24"/>
              </w:rPr>
            </w:pPr>
            <w:r w:rsidRPr="00E07C9A">
              <w:rPr>
                <w:rStyle w:val="InstructionsTabelleberschrift"/>
                <w:rFonts w:ascii="Times New Roman" w:hAnsi="Times New Roman"/>
                <w:sz w:val="24"/>
              </w:rPr>
              <w:t>KAPITÁLOVÉ VANKÚŠE</w:t>
            </w:r>
          </w:p>
          <w:p w14:paraId="2AC7F345" w14:textId="6709C893" w:rsidR="00D85AC7" w:rsidRPr="00E07C9A" w:rsidRDefault="00D85AC7" w:rsidP="00FF36A5">
            <w:pPr>
              <w:rPr>
                <w:rStyle w:val="InstructionsTabelleberschrift"/>
                <w:rFonts w:ascii="Times New Roman" w:hAnsi="Times New Roman"/>
                <w:sz w:val="24"/>
              </w:rPr>
            </w:pPr>
            <w:r w:rsidRPr="00E07C9A">
              <w:rPr>
                <w:rStyle w:val="InstructionsTabelleText"/>
                <w:rFonts w:ascii="Times New Roman" w:hAnsi="Times New Roman"/>
                <w:sz w:val="24"/>
              </w:rPr>
              <w:t>Pozri pokyny</w:t>
            </w:r>
            <w:r w:rsidR="009912F8" w:rsidRPr="00E07C9A">
              <w:rPr>
                <w:rStyle w:val="InstructionsTabelleText"/>
                <w:rFonts w:ascii="Times New Roman" w:hAnsi="Times New Roman"/>
                <w:sz w:val="24"/>
              </w:rPr>
              <w:t xml:space="preserve"> k </w:t>
            </w:r>
            <w:r w:rsidRPr="00E07C9A">
              <w:rPr>
                <w:rStyle w:val="InstructionsTabelleText"/>
                <w:rFonts w:ascii="Times New Roman" w:hAnsi="Times New Roman"/>
                <w:sz w:val="24"/>
              </w:rPr>
              <w:t>C 06.02.</w:t>
            </w:r>
          </w:p>
        </w:tc>
      </w:tr>
    </w:tbl>
    <w:p w14:paraId="6457C584" w14:textId="77777777" w:rsidR="00D85AC7" w:rsidRPr="00E07C9A" w:rsidRDefault="00D85AC7"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E07C9A" w14:paraId="619AC76F" w14:textId="77777777" w:rsidTr="00672D2A">
        <w:tc>
          <w:tcPr>
            <w:tcW w:w="1188" w:type="dxa"/>
            <w:shd w:val="clear" w:color="auto" w:fill="CCCCCC"/>
          </w:tcPr>
          <w:p w14:paraId="1641356B" w14:textId="77777777" w:rsidR="00D85AC7" w:rsidRPr="00E07C9A" w:rsidRDefault="00D85AC7" w:rsidP="00FF36A5">
            <w:pPr>
              <w:rPr>
                <w:rStyle w:val="InstructionsTabelleText"/>
                <w:rFonts w:ascii="Times New Roman" w:hAnsi="Times New Roman"/>
                <w:sz w:val="24"/>
              </w:rPr>
            </w:pPr>
            <w:r w:rsidRPr="00E07C9A">
              <w:rPr>
                <w:rStyle w:val="InstructionsTabelleText"/>
                <w:rFonts w:ascii="Times New Roman" w:hAnsi="Times New Roman"/>
                <w:sz w:val="24"/>
              </w:rPr>
              <w:t>Riadky</w:t>
            </w:r>
          </w:p>
        </w:tc>
        <w:tc>
          <w:tcPr>
            <w:tcW w:w="8640" w:type="dxa"/>
            <w:shd w:val="clear" w:color="auto" w:fill="CCCCCC"/>
          </w:tcPr>
          <w:p w14:paraId="5EAB02E4" w14:textId="77777777" w:rsidR="00D85AC7" w:rsidRPr="00E07C9A" w:rsidRDefault="00D85AC7" w:rsidP="00FF36A5">
            <w:pPr>
              <w:rPr>
                <w:rStyle w:val="InstructionsTabelleText"/>
                <w:rFonts w:ascii="Times New Roman" w:hAnsi="Times New Roman"/>
                <w:sz w:val="24"/>
              </w:rPr>
            </w:pPr>
            <w:r w:rsidRPr="00E07C9A">
              <w:rPr>
                <w:rStyle w:val="InstructionsTabelleText"/>
                <w:rFonts w:ascii="Times New Roman" w:hAnsi="Times New Roman"/>
                <w:sz w:val="24"/>
              </w:rPr>
              <w:t>Pokyny</w:t>
            </w:r>
          </w:p>
        </w:tc>
      </w:tr>
      <w:tr w:rsidR="00D85AC7" w:rsidRPr="00E07C9A" w14:paraId="4CC3337A" w14:textId="77777777" w:rsidTr="00672D2A">
        <w:tc>
          <w:tcPr>
            <w:tcW w:w="1188" w:type="dxa"/>
          </w:tcPr>
          <w:p w14:paraId="09E1C8AA" w14:textId="77777777" w:rsidR="00D85AC7" w:rsidRPr="00E07C9A" w:rsidRDefault="00ED20CB" w:rsidP="00FF36A5">
            <w:pPr>
              <w:rPr>
                <w:rStyle w:val="InstructionsTabelleText"/>
                <w:rFonts w:ascii="Times New Roman" w:hAnsi="Times New Roman"/>
                <w:sz w:val="24"/>
              </w:rPr>
            </w:pPr>
            <w:r w:rsidRPr="00E07C9A">
              <w:rPr>
                <w:rStyle w:val="InstructionsTabelleText"/>
                <w:rFonts w:ascii="Times New Roman" w:hAnsi="Times New Roman"/>
                <w:sz w:val="24"/>
              </w:rPr>
              <w:t>0010</w:t>
            </w:r>
          </w:p>
        </w:tc>
        <w:tc>
          <w:tcPr>
            <w:tcW w:w="8640" w:type="dxa"/>
          </w:tcPr>
          <w:p w14:paraId="35DBE558" w14:textId="77777777" w:rsidR="00D85AC7" w:rsidRPr="00E07C9A" w:rsidRDefault="00D85AC7" w:rsidP="00FF36A5">
            <w:pPr>
              <w:rPr>
                <w:rStyle w:val="InstructionsTabelleberschrift"/>
                <w:rFonts w:ascii="Times New Roman" w:hAnsi="Times New Roman"/>
                <w:sz w:val="24"/>
              </w:rPr>
            </w:pPr>
            <w:r w:rsidRPr="00E07C9A">
              <w:rPr>
                <w:rStyle w:val="InstructionsTabelleberschrift"/>
                <w:rFonts w:ascii="Times New Roman" w:hAnsi="Times New Roman"/>
                <w:sz w:val="24"/>
              </w:rPr>
              <w:t>SPOLU</w:t>
            </w:r>
          </w:p>
          <w:p w14:paraId="4FFA34AA" w14:textId="77777777" w:rsidR="00D85AC7" w:rsidRPr="00E07C9A" w:rsidRDefault="00D85AC7" w:rsidP="00D85AC7">
            <w:pPr>
              <w:rPr>
                <w:rStyle w:val="InstructionsTabelleberschrift"/>
                <w:rFonts w:ascii="Times New Roman" w:hAnsi="Times New Roman"/>
                <w:b w:val="0"/>
                <w:bCs w:val="0"/>
                <w:sz w:val="24"/>
              </w:rPr>
            </w:pPr>
            <w:r w:rsidRPr="00E07C9A">
              <w:rPr>
                <w:rStyle w:val="InstructionsTabelleText"/>
                <w:rFonts w:ascii="Times New Roman" w:hAnsi="Times New Roman"/>
                <w:sz w:val="24"/>
              </w:rPr>
              <w:t>Údaj „Spolu“ predstavuje súčet hodnôt vykázaných vo všetkých riadkoch vzoru C 06.02.</w:t>
            </w:r>
          </w:p>
        </w:tc>
      </w:tr>
    </w:tbl>
    <w:p w14:paraId="779AA15D" w14:textId="77777777" w:rsidR="00D85AC7" w:rsidRPr="00E07C9A" w:rsidRDefault="00D85AC7" w:rsidP="00487A02">
      <w:pPr>
        <w:pStyle w:val="InstructionsText"/>
      </w:pPr>
    </w:p>
    <w:p w14:paraId="022D6905" w14:textId="28CE59AA" w:rsidR="00D85AC7" w:rsidRPr="00E07C9A" w:rsidRDefault="00125707" w:rsidP="0023700C">
      <w:pPr>
        <w:pStyle w:val="Instructionsberschrift2"/>
        <w:numPr>
          <w:ilvl w:val="0"/>
          <w:numId w:val="0"/>
        </w:numPr>
        <w:ind w:left="357" w:hanging="357"/>
        <w:rPr>
          <w:rFonts w:ascii="Times New Roman" w:hAnsi="Times New Roman" w:cs="Times New Roman"/>
          <w:sz w:val="24"/>
        </w:rPr>
      </w:pPr>
      <w:bookmarkStart w:id="113" w:name="_Toc473560892"/>
      <w:bookmarkStart w:id="114" w:name="_Toc115857772"/>
      <w:r w:rsidRPr="00E07C9A">
        <w:rPr>
          <w:rFonts w:ascii="Times New Roman" w:hAnsi="Times New Roman" w:cs="Times New Roman"/>
          <w:sz w:val="24"/>
          <w:u w:val="none"/>
        </w:rPr>
        <w:t>2.5.</w:t>
      </w:r>
      <w:r w:rsidRPr="00E07C9A">
        <w:rPr>
          <w:rFonts w:ascii="Times New Roman" w:hAnsi="Times New Roman" w:cs="Times New Roman"/>
          <w:u w:val="none"/>
        </w:rPr>
        <w:tab/>
      </w:r>
      <w:r w:rsidRPr="00E07C9A">
        <w:rPr>
          <w:rFonts w:ascii="Times New Roman" w:hAnsi="Times New Roman" w:cs="Times New Roman"/>
          <w:sz w:val="24"/>
        </w:rPr>
        <w:t>C 06.02 – SKUPINOVÁ SOLVENTNOSŤ: INFORMÁCIE</w:t>
      </w:r>
      <w:r w:rsidR="009912F8" w:rsidRPr="00E07C9A">
        <w:rPr>
          <w:rFonts w:ascii="Times New Roman" w:hAnsi="Times New Roman" w:cs="Times New Roman"/>
          <w:sz w:val="24"/>
        </w:rPr>
        <w:t xml:space="preserve"> O </w:t>
      </w:r>
      <w:r w:rsidRPr="00E07C9A">
        <w:rPr>
          <w:rFonts w:ascii="Times New Roman" w:hAnsi="Times New Roman" w:cs="Times New Roman"/>
          <w:sz w:val="24"/>
        </w:rPr>
        <w:t>PRIDRUŽENÝCH SUBJEKTOCH (GS)</w:t>
      </w:r>
      <w:bookmarkEnd w:id="113"/>
      <w:bookmarkEnd w:id="11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E07C9A" w14:paraId="3C7D5494" w14:textId="77777777" w:rsidTr="00672D2A">
        <w:tc>
          <w:tcPr>
            <w:tcW w:w="1188" w:type="dxa"/>
            <w:shd w:val="clear" w:color="auto" w:fill="CCCCCC"/>
          </w:tcPr>
          <w:p w14:paraId="23229E97" w14:textId="77777777" w:rsidR="00464F34" w:rsidRPr="00E07C9A" w:rsidRDefault="00464F34" w:rsidP="00464F34">
            <w:pPr>
              <w:rPr>
                <w:rStyle w:val="InstructionsTabelleText"/>
                <w:rFonts w:ascii="Times New Roman" w:hAnsi="Times New Roman"/>
                <w:sz w:val="24"/>
              </w:rPr>
            </w:pPr>
            <w:r w:rsidRPr="00E07C9A">
              <w:rPr>
                <w:rStyle w:val="InstructionsTabelleText"/>
                <w:rFonts w:ascii="Times New Roman" w:hAnsi="Times New Roman"/>
                <w:sz w:val="24"/>
              </w:rPr>
              <w:t>Stĺpce</w:t>
            </w:r>
          </w:p>
        </w:tc>
        <w:tc>
          <w:tcPr>
            <w:tcW w:w="8640" w:type="dxa"/>
            <w:shd w:val="clear" w:color="auto" w:fill="CCCCCC"/>
          </w:tcPr>
          <w:p w14:paraId="022ABC10" w14:textId="77777777" w:rsidR="00464F34" w:rsidRPr="00E07C9A" w:rsidRDefault="00464F34" w:rsidP="00464F34">
            <w:pPr>
              <w:rPr>
                <w:rStyle w:val="InstructionsTabelleText"/>
                <w:rFonts w:ascii="Times New Roman" w:hAnsi="Times New Roman"/>
                <w:sz w:val="24"/>
              </w:rPr>
            </w:pPr>
            <w:r w:rsidRPr="00E07C9A">
              <w:rPr>
                <w:rStyle w:val="InstructionsTabelleText"/>
                <w:rFonts w:ascii="Times New Roman" w:hAnsi="Times New Roman"/>
                <w:sz w:val="24"/>
              </w:rPr>
              <w:t>Pokyny</w:t>
            </w:r>
          </w:p>
        </w:tc>
      </w:tr>
      <w:tr w:rsidR="00464F34" w:rsidRPr="00E07C9A" w14:paraId="2D0A2743" w14:textId="77777777" w:rsidTr="00672D2A">
        <w:tc>
          <w:tcPr>
            <w:tcW w:w="1188" w:type="dxa"/>
          </w:tcPr>
          <w:p w14:paraId="2F229666" w14:textId="42326B71" w:rsidR="00464F34" w:rsidRPr="00E07C9A" w:rsidRDefault="00ED20CB" w:rsidP="00464F34">
            <w:pPr>
              <w:rPr>
                <w:rStyle w:val="InstructionsTabelleText"/>
                <w:rFonts w:ascii="Times New Roman" w:hAnsi="Times New Roman"/>
                <w:sz w:val="24"/>
              </w:rPr>
            </w:pPr>
            <w:r w:rsidRPr="00E07C9A">
              <w:rPr>
                <w:rStyle w:val="InstructionsTabelleText"/>
                <w:rFonts w:ascii="Times New Roman" w:hAnsi="Times New Roman"/>
                <w:sz w:val="24"/>
              </w:rPr>
              <w:t>0011 – 0060</w:t>
            </w:r>
          </w:p>
        </w:tc>
        <w:tc>
          <w:tcPr>
            <w:tcW w:w="8640" w:type="dxa"/>
          </w:tcPr>
          <w:p w14:paraId="5CF08F5C" w14:textId="384008CD" w:rsidR="00464F34" w:rsidRPr="00E07C9A" w:rsidRDefault="00464F34" w:rsidP="00464F34">
            <w:pPr>
              <w:rPr>
                <w:rStyle w:val="InstructionsTabelleberschrift"/>
                <w:rFonts w:ascii="Times New Roman" w:hAnsi="Times New Roman"/>
                <w:sz w:val="24"/>
              </w:rPr>
            </w:pPr>
            <w:r w:rsidRPr="00E07C9A">
              <w:rPr>
                <w:rStyle w:val="InstructionsTabelleberschrift"/>
                <w:rFonts w:ascii="Times New Roman" w:hAnsi="Times New Roman"/>
                <w:sz w:val="24"/>
              </w:rPr>
              <w:t>SUBJEKTY</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RÁMCI ROZSAHU KONSOLIDÁCIE</w:t>
            </w:r>
          </w:p>
          <w:p w14:paraId="13B8A121" w14:textId="0ED0B732" w:rsidR="00464F34" w:rsidRPr="00E07C9A" w:rsidRDefault="00464F34" w:rsidP="00975344">
            <w:pPr>
              <w:rPr>
                <w:rStyle w:val="InstructionsTabelleberschrift"/>
                <w:rFonts w:ascii="Times New Roman" w:hAnsi="Times New Roman"/>
                <w:b w:val="0"/>
                <w:bCs w:val="0"/>
                <w:sz w:val="24"/>
              </w:rPr>
            </w:pPr>
            <w:r w:rsidRPr="00E07C9A">
              <w:rPr>
                <w:rStyle w:val="InstructionsTabelleText"/>
                <w:rFonts w:ascii="Times New Roman" w:hAnsi="Times New Roman"/>
                <w:sz w:val="24"/>
              </w:rPr>
              <w:t>V tomto vzore sa majú zhromaždiť informácie</w:t>
            </w:r>
            <w:r w:rsidR="009912F8" w:rsidRPr="00E07C9A">
              <w:rPr>
                <w:rStyle w:val="InstructionsTabelleText"/>
                <w:rFonts w:ascii="Times New Roman" w:hAnsi="Times New Roman"/>
                <w:sz w:val="24"/>
              </w:rPr>
              <w:t xml:space="preserve"> o </w:t>
            </w:r>
            <w:r w:rsidRPr="00E07C9A">
              <w:rPr>
                <w:rStyle w:val="InstructionsTabelleText"/>
                <w:rFonts w:ascii="Times New Roman" w:hAnsi="Times New Roman"/>
                <w:sz w:val="24"/>
              </w:rPr>
              <w:t>všetkých subjektoch podľa jednotlivých subjektov</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rámci rozsahu konsolidácie</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súlade</w:t>
            </w:r>
            <w:r w:rsidR="009912F8" w:rsidRPr="00E07C9A">
              <w:rPr>
                <w:rStyle w:val="InstructionsTabelleText"/>
                <w:rFonts w:ascii="Times New Roman" w:hAnsi="Times New Roman"/>
                <w:sz w:val="24"/>
              </w:rPr>
              <w:t xml:space="preserve"> s </w:t>
            </w:r>
            <w:r w:rsidRPr="00E07C9A">
              <w:rPr>
                <w:rFonts w:ascii="Times New Roman" w:hAnsi="Times New Roman"/>
                <w:sz w:val="24"/>
              </w:rPr>
              <w:t xml:space="preserve">prvou časťou hlavou II kapitolou 2 nariadenia (EÚ) </w:t>
            </w:r>
            <w:r w:rsidR="009912F8" w:rsidRPr="00E07C9A">
              <w:rPr>
                <w:rFonts w:ascii="Times New Roman" w:hAnsi="Times New Roman"/>
                <w:sz w:val="24"/>
              </w:rPr>
              <w:t>č. 575/2013</w:t>
            </w:r>
            <w:r w:rsidRPr="00E07C9A">
              <w:rPr>
                <w:rStyle w:val="InstructionsTabelleText"/>
                <w:rFonts w:ascii="Times New Roman" w:hAnsi="Times New Roman"/>
                <w:sz w:val="24"/>
              </w:rPr>
              <w:t xml:space="preserve">. </w:t>
            </w:r>
          </w:p>
        </w:tc>
      </w:tr>
      <w:tr w:rsidR="00464F34" w:rsidRPr="00E07C9A" w14:paraId="54110A56" w14:textId="77777777" w:rsidTr="00672D2A">
        <w:tc>
          <w:tcPr>
            <w:tcW w:w="1188" w:type="dxa"/>
          </w:tcPr>
          <w:p w14:paraId="7990F89F" w14:textId="77777777" w:rsidR="00464F34" w:rsidRPr="00E07C9A" w:rsidRDefault="00ED20CB" w:rsidP="00464F34">
            <w:pPr>
              <w:rPr>
                <w:rStyle w:val="InstructionsTabelleText"/>
                <w:rFonts w:ascii="Times New Roman" w:hAnsi="Times New Roman"/>
                <w:sz w:val="24"/>
              </w:rPr>
            </w:pPr>
            <w:r w:rsidRPr="00E07C9A">
              <w:rPr>
                <w:rStyle w:val="InstructionsTabelleText"/>
                <w:rFonts w:ascii="Times New Roman" w:hAnsi="Times New Roman"/>
                <w:sz w:val="24"/>
              </w:rPr>
              <w:t>0011</w:t>
            </w:r>
          </w:p>
        </w:tc>
        <w:tc>
          <w:tcPr>
            <w:tcW w:w="8640" w:type="dxa"/>
          </w:tcPr>
          <w:p w14:paraId="499EF04F" w14:textId="77777777" w:rsidR="00464F34" w:rsidRPr="00E07C9A" w:rsidRDefault="00464F34" w:rsidP="00464F34">
            <w:pPr>
              <w:rPr>
                <w:rStyle w:val="InstructionsTabelleberschrift"/>
                <w:rFonts w:ascii="Times New Roman" w:hAnsi="Times New Roman"/>
                <w:sz w:val="24"/>
              </w:rPr>
            </w:pPr>
            <w:r w:rsidRPr="00E07C9A">
              <w:rPr>
                <w:rStyle w:val="InstructionsTabelleberschrift"/>
                <w:rFonts w:ascii="Times New Roman" w:hAnsi="Times New Roman"/>
                <w:sz w:val="24"/>
              </w:rPr>
              <w:t>NÁZOV</w:t>
            </w:r>
          </w:p>
          <w:p w14:paraId="7175ECF9" w14:textId="433BD83D" w:rsidR="00464F34" w:rsidRPr="00E07C9A" w:rsidRDefault="00464F34" w:rsidP="00464F34">
            <w:pPr>
              <w:rPr>
                <w:rStyle w:val="InstructionsTabelleText"/>
                <w:rFonts w:ascii="Times New Roman" w:hAnsi="Times New Roman"/>
                <w:sz w:val="24"/>
              </w:rPr>
            </w:pPr>
            <w:r w:rsidRPr="00E07C9A">
              <w:rPr>
                <w:rStyle w:val="InstructionsTabelleText"/>
                <w:rFonts w:ascii="Times New Roman" w:hAnsi="Times New Roman"/>
                <w:sz w:val="24"/>
              </w:rPr>
              <w:t>Názov subjektu</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rámci rozsahu konsolidácie.</w:t>
            </w:r>
          </w:p>
        </w:tc>
      </w:tr>
      <w:tr w:rsidR="00464F34" w:rsidRPr="00E07C9A" w14:paraId="127D8F3C" w14:textId="77777777" w:rsidTr="00672D2A">
        <w:tc>
          <w:tcPr>
            <w:tcW w:w="1188" w:type="dxa"/>
          </w:tcPr>
          <w:p w14:paraId="2CC66514" w14:textId="77777777" w:rsidR="00464F34" w:rsidRPr="00E07C9A" w:rsidRDefault="00ED20CB" w:rsidP="00464F34">
            <w:pPr>
              <w:rPr>
                <w:rStyle w:val="InstructionsTabelleText"/>
                <w:rFonts w:ascii="Times New Roman" w:hAnsi="Times New Roman"/>
                <w:sz w:val="24"/>
              </w:rPr>
            </w:pPr>
            <w:r w:rsidRPr="00E07C9A">
              <w:rPr>
                <w:rStyle w:val="InstructionsTabelleText"/>
                <w:rFonts w:ascii="Times New Roman" w:hAnsi="Times New Roman"/>
                <w:sz w:val="24"/>
              </w:rPr>
              <w:t>0021</w:t>
            </w:r>
          </w:p>
        </w:tc>
        <w:tc>
          <w:tcPr>
            <w:tcW w:w="8640" w:type="dxa"/>
          </w:tcPr>
          <w:p w14:paraId="52206FF4" w14:textId="77777777" w:rsidR="00464F34" w:rsidRPr="00E07C9A" w:rsidRDefault="00464F34" w:rsidP="00464F34">
            <w:pPr>
              <w:rPr>
                <w:rStyle w:val="InstructionsTabelleberschrift"/>
                <w:rFonts w:ascii="Times New Roman" w:hAnsi="Times New Roman"/>
                <w:sz w:val="24"/>
              </w:rPr>
            </w:pPr>
            <w:r w:rsidRPr="00E07C9A">
              <w:rPr>
                <w:rStyle w:val="InstructionsTabelleberschrift"/>
                <w:rFonts w:ascii="Times New Roman" w:hAnsi="Times New Roman"/>
                <w:sz w:val="24"/>
              </w:rPr>
              <w:t>KÓD</w:t>
            </w:r>
          </w:p>
          <w:p w14:paraId="4173CC9E" w14:textId="621E44FC" w:rsidR="00464F34" w:rsidRPr="00E07C9A" w:rsidRDefault="00BF0637" w:rsidP="00487A02">
            <w:pPr>
              <w:pStyle w:val="InstructionsText"/>
              <w:rPr>
                <w:rStyle w:val="InstructionsTabelleText"/>
                <w:rFonts w:ascii="Times New Roman" w:hAnsi="Times New Roman"/>
                <w:sz w:val="24"/>
              </w:rPr>
            </w:pPr>
            <w:r w:rsidRPr="00E07C9A">
              <w:rPr>
                <w:rStyle w:val="InstructionsTabelleText"/>
                <w:rFonts w:ascii="Times New Roman" w:hAnsi="Times New Roman"/>
                <w:sz w:val="24"/>
              </w:rPr>
              <w:t>Kód ako súčasť identifikátora riadku musí byť jedinečný pre každý vykazovaný subjekt.</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prípade inštitúcií</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poisťovní je kódom kód LEI.</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prípade ostatných subjektov je kódom kód LEI alebo, ak nie je</w:t>
            </w:r>
            <w:r w:rsidR="009912F8" w:rsidRPr="00E07C9A">
              <w:rPr>
                <w:rStyle w:val="InstructionsTabelleText"/>
                <w:rFonts w:ascii="Times New Roman" w:hAnsi="Times New Roman"/>
                <w:sz w:val="24"/>
              </w:rPr>
              <w:t xml:space="preserve"> k </w:t>
            </w:r>
            <w:r w:rsidRPr="00E07C9A">
              <w:rPr>
                <w:rStyle w:val="InstructionsTabelleText"/>
                <w:rFonts w:ascii="Times New Roman" w:hAnsi="Times New Roman"/>
                <w:sz w:val="24"/>
              </w:rPr>
              <w:t>dispozícii, vnútroštátny kód. Kód je jedinečný</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používa sa konzistentne vo všetkých vzoroch</w:t>
            </w:r>
            <w:r w:rsidR="009912F8" w:rsidRPr="00E07C9A">
              <w:rPr>
                <w:rStyle w:val="InstructionsTabelleText"/>
                <w:rFonts w:ascii="Times New Roman" w:hAnsi="Times New Roman"/>
                <w:sz w:val="24"/>
              </w:rPr>
              <w:t xml:space="preserve"> a v </w:t>
            </w:r>
            <w:r w:rsidRPr="00E07C9A">
              <w:rPr>
                <w:rStyle w:val="InstructionsTabelleText"/>
                <w:rFonts w:ascii="Times New Roman" w:hAnsi="Times New Roman"/>
                <w:sz w:val="24"/>
              </w:rPr>
              <w:t>priebehu času. Kód má vždy hodnotu.</w:t>
            </w:r>
          </w:p>
        </w:tc>
      </w:tr>
      <w:tr w:rsidR="00464F34" w:rsidRPr="00E07C9A" w14:paraId="19F93EB9" w14:textId="77777777" w:rsidTr="00672D2A">
        <w:tc>
          <w:tcPr>
            <w:tcW w:w="1188" w:type="dxa"/>
          </w:tcPr>
          <w:p w14:paraId="75ECAF5C" w14:textId="77777777" w:rsidR="00464F34" w:rsidRPr="00E07C9A" w:rsidRDefault="00ED20CB" w:rsidP="00BF0637">
            <w:pPr>
              <w:rPr>
                <w:rStyle w:val="InstructionsTabelleText"/>
                <w:rFonts w:ascii="Times New Roman" w:hAnsi="Times New Roman"/>
                <w:sz w:val="24"/>
              </w:rPr>
            </w:pPr>
            <w:r w:rsidRPr="00E07C9A">
              <w:rPr>
                <w:rStyle w:val="InstructionsTabelleText"/>
                <w:rFonts w:ascii="Times New Roman" w:hAnsi="Times New Roman"/>
                <w:sz w:val="24"/>
              </w:rPr>
              <w:t>0026</w:t>
            </w:r>
          </w:p>
        </w:tc>
        <w:tc>
          <w:tcPr>
            <w:tcW w:w="8640" w:type="dxa"/>
          </w:tcPr>
          <w:p w14:paraId="14104FF7" w14:textId="77777777" w:rsidR="00464F34" w:rsidRPr="00E07C9A" w:rsidRDefault="00BF0637" w:rsidP="00464F34">
            <w:pPr>
              <w:rPr>
                <w:rStyle w:val="InstructionsTabelleberschrift"/>
                <w:rFonts w:ascii="Times New Roman" w:hAnsi="Times New Roman"/>
                <w:sz w:val="24"/>
              </w:rPr>
            </w:pPr>
            <w:r w:rsidRPr="00E07C9A">
              <w:rPr>
                <w:rStyle w:val="InstructionsTabelleberschrift"/>
                <w:rFonts w:ascii="Times New Roman" w:hAnsi="Times New Roman"/>
                <w:sz w:val="24"/>
              </w:rPr>
              <w:t>DRUH KÓDU</w:t>
            </w:r>
          </w:p>
          <w:p w14:paraId="50D86DCD" w14:textId="62868248" w:rsidR="00464F34" w:rsidRPr="00E07C9A" w:rsidRDefault="00BF0637" w:rsidP="00DD2C1E">
            <w:pPr>
              <w:rPr>
                <w:rStyle w:val="InstructionsTabelleberschrift"/>
                <w:rFonts w:ascii="Times New Roman" w:hAnsi="Times New Roman"/>
                <w:sz w:val="24"/>
              </w:rPr>
            </w:pPr>
            <w:r w:rsidRPr="00E07C9A">
              <w:rPr>
                <w:rStyle w:val="InstructionsTabelleText"/>
                <w:rFonts w:ascii="Times New Roman" w:hAnsi="Times New Roman"/>
                <w:sz w:val="24"/>
              </w:rPr>
              <w:t>Inštitúcie uvádzajú druh kódu vykazovaného</w:t>
            </w:r>
            <w:r w:rsidR="009912F8" w:rsidRPr="00E07C9A">
              <w:rPr>
                <w:rStyle w:val="InstructionsTabelleText"/>
                <w:rFonts w:ascii="Times New Roman" w:hAnsi="Times New Roman"/>
                <w:sz w:val="24"/>
              </w:rPr>
              <w:t xml:space="preserve"> v </w:t>
            </w:r>
            <w:r w:rsidRPr="00E07C9A">
              <w:rPr>
                <w:rStyle w:val="FormatvorlageInstructionsTabelleText"/>
                <w:rFonts w:ascii="Times New Roman" w:hAnsi="Times New Roman"/>
                <w:sz w:val="24"/>
              </w:rPr>
              <w:t>stĺpci 0021 ako „kód LEI“ alebo „kód iný ako LEI“. Druh kódu sa vykazuje vždy.</w:t>
            </w:r>
          </w:p>
        </w:tc>
      </w:tr>
      <w:tr w:rsidR="00BF0637" w:rsidRPr="00E07C9A" w14:paraId="5BE7BF94" w14:textId="77777777" w:rsidTr="00672D2A">
        <w:tc>
          <w:tcPr>
            <w:tcW w:w="1188" w:type="dxa"/>
          </w:tcPr>
          <w:p w14:paraId="09E7EC3E" w14:textId="77777777" w:rsidR="00BF0637" w:rsidRPr="00E07C9A" w:rsidDel="00BF0637" w:rsidRDefault="00ED20CB" w:rsidP="00BF0637">
            <w:pPr>
              <w:rPr>
                <w:rStyle w:val="InstructionsTabelleText"/>
                <w:rFonts w:ascii="Times New Roman" w:hAnsi="Times New Roman"/>
                <w:sz w:val="24"/>
              </w:rPr>
            </w:pPr>
            <w:r w:rsidRPr="00E07C9A">
              <w:rPr>
                <w:rStyle w:val="InstructionsTabelleText"/>
                <w:rFonts w:ascii="Times New Roman" w:hAnsi="Times New Roman"/>
                <w:sz w:val="24"/>
              </w:rPr>
              <w:t>0027</w:t>
            </w:r>
          </w:p>
        </w:tc>
        <w:tc>
          <w:tcPr>
            <w:tcW w:w="8640" w:type="dxa"/>
          </w:tcPr>
          <w:p w14:paraId="215EC05F" w14:textId="77777777" w:rsidR="00BF0637" w:rsidRPr="00E07C9A" w:rsidRDefault="00BF0637" w:rsidP="00BF0637">
            <w:pPr>
              <w:rPr>
                <w:rStyle w:val="InstructionsTabelleberschrift"/>
                <w:rFonts w:ascii="Times New Roman" w:hAnsi="Times New Roman"/>
                <w:sz w:val="24"/>
              </w:rPr>
            </w:pPr>
            <w:r w:rsidRPr="00E07C9A">
              <w:rPr>
                <w:rStyle w:val="InstructionsTabelleberschrift"/>
                <w:rFonts w:ascii="Times New Roman" w:hAnsi="Times New Roman"/>
                <w:sz w:val="24"/>
              </w:rPr>
              <w:t>VNÚTROŠTÁTNY KÓD</w:t>
            </w:r>
          </w:p>
          <w:p w14:paraId="4B06B8AE" w14:textId="1DA824C4" w:rsidR="00BF0637" w:rsidRPr="00E07C9A" w:rsidDel="00BF0637" w:rsidRDefault="00BF0637" w:rsidP="00BF0637">
            <w:pPr>
              <w:rPr>
                <w:rStyle w:val="InstructionsTabelleberschrift"/>
                <w:rFonts w:ascii="Times New Roman" w:hAnsi="Times New Roman"/>
                <w:sz w:val="24"/>
              </w:rPr>
            </w:pPr>
            <w:r w:rsidRPr="00E07C9A">
              <w:rPr>
                <w:rFonts w:ascii="Times New Roman" w:hAnsi="Times New Roman"/>
                <w:sz w:val="24"/>
              </w:rPr>
              <w:t>Inštitúcie môžu dodatočne vykazovať vnútroštátny kód, keď</w:t>
            </w:r>
            <w:r w:rsidR="009912F8" w:rsidRPr="00E07C9A">
              <w:rPr>
                <w:rFonts w:ascii="Times New Roman" w:hAnsi="Times New Roman"/>
                <w:sz w:val="24"/>
              </w:rPr>
              <w:t xml:space="preserve"> v </w:t>
            </w:r>
            <w:r w:rsidRPr="00E07C9A">
              <w:rPr>
                <w:rFonts w:ascii="Times New Roman" w:hAnsi="Times New Roman"/>
                <w:sz w:val="24"/>
              </w:rPr>
              <w:t>stĺpci „kód“ vykazujú ako identifikátor kód LEI.</w:t>
            </w:r>
          </w:p>
        </w:tc>
      </w:tr>
      <w:tr w:rsidR="00BF0637" w:rsidRPr="00E07C9A" w14:paraId="60513839" w14:textId="77777777" w:rsidTr="00672D2A">
        <w:tc>
          <w:tcPr>
            <w:tcW w:w="1188" w:type="dxa"/>
          </w:tcPr>
          <w:p w14:paraId="64AD7ED5" w14:textId="77777777" w:rsidR="00BF0637" w:rsidRPr="00E07C9A" w:rsidRDefault="00ED20CB" w:rsidP="00BF0637">
            <w:pPr>
              <w:rPr>
                <w:rStyle w:val="InstructionsTabelleText"/>
                <w:rFonts w:ascii="Times New Roman" w:hAnsi="Times New Roman"/>
                <w:sz w:val="24"/>
              </w:rPr>
            </w:pPr>
            <w:r w:rsidRPr="00E07C9A">
              <w:rPr>
                <w:rStyle w:val="InstructionsTabelleText"/>
                <w:rFonts w:ascii="Times New Roman" w:hAnsi="Times New Roman"/>
                <w:sz w:val="24"/>
              </w:rPr>
              <w:t>0030</w:t>
            </w:r>
          </w:p>
        </w:tc>
        <w:tc>
          <w:tcPr>
            <w:tcW w:w="8640" w:type="dxa"/>
          </w:tcPr>
          <w:p w14:paraId="6EE7AB0F" w14:textId="77777777" w:rsidR="00BF0637" w:rsidRPr="00E07C9A" w:rsidRDefault="00BF0637" w:rsidP="00BF0637">
            <w:pPr>
              <w:rPr>
                <w:rStyle w:val="InstructionsTabelleberschrift"/>
                <w:rFonts w:ascii="Times New Roman" w:hAnsi="Times New Roman"/>
                <w:sz w:val="24"/>
              </w:rPr>
            </w:pPr>
            <w:r w:rsidRPr="00E07C9A">
              <w:rPr>
                <w:rStyle w:val="InstructionsTabelleberschrift"/>
                <w:rFonts w:ascii="Times New Roman" w:hAnsi="Times New Roman"/>
                <w:sz w:val="24"/>
              </w:rPr>
              <w:t>INŠTITÚCIA ALEBO EKVIVALENT (ÁNO/NIE)</w:t>
            </w:r>
          </w:p>
          <w:p w14:paraId="489A5E0D" w14:textId="331ABCFC" w:rsidR="00BF0637" w:rsidRPr="00E07C9A" w:rsidRDefault="00BF0637" w:rsidP="00BF0637">
            <w:pPr>
              <w:rPr>
                <w:rStyle w:val="InstructionsTabelleText"/>
                <w:rFonts w:ascii="Times New Roman" w:hAnsi="Times New Roman"/>
                <w:sz w:val="24"/>
              </w:rPr>
            </w:pPr>
            <w:r w:rsidRPr="00E07C9A">
              <w:rPr>
                <w:rStyle w:val="InstructionsTabelleText"/>
                <w:rFonts w:ascii="Times New Roman" w:hAnsi="Times New Roman"/>
                <w:sz w:val="24"/>
              </w:rPr>
              <w:t>„ÁNO“ sa zadáva vtedy, keď sa na subjekt vzťahujú požiadavky na vlastné zdroje podľa</w:t>
            </w:r>
            <w:r w:rsidRPr="00E07C9A">
              <w:rPr>
                <w:rFonts w:ascii="Times New Roman" w:hAnsi="Times New Roman"/>
                <w:sz w:val="24"/>
              </w:rPr>
              <w:t xml:space="preserve"> nariadenia (EÚ) </w:t>
            </w:r>
            <w:r w:rsidR="009912F8" w:rsidRPr="00E07C9A">
              <w:rPr>
                <w:rFonts w:ascii="Times New Roman" w:hAnsi="Times New Roman"/>
                <w:sz w:val="24"/>
              </w:rPr>
              <w:t>č. 575/2013 a </w:t>
            </w:r>
            <w:r w:rsidRPr="00E07C9A">
              <w:rPr>
                <w:rFonts w:ascii="Times New Roman" w:hAnsi="Times New Roman"/>
                <w:sz w:val="24"/>
              </w:rPr>
              <w:t xml:space="preserve">smernice 2013/36/EÚ </w:t>
            </w:r>
            <w:r w:rsidRPr="00E07C9A">
              <w:rPr>
                <w:rStyle w:val="InstructionsTabelleText"/>
                <w:rFonts w:ascii="Times New Roman" w:hAnsi="Times New Roman"/>
                <w:sz w:val="24"/>
              </w:rPr>
              <w:t>alebo ustanovenia, ktoré sú prinajmenšom rovnocenné</w:t>
            </w:r>
            <w:r w:rsidR="009912F8" w:rsidRPr="00E07C9A">
              <w:rPr>
                <w:rStyle w:val="InstructionsTabelleText"/>
                <w:rFonts w:ascii="Times New Roman" w:hAnsi="Times New Roman"/>
                <w:sz w:val="24"/>
              </w:rPr>
              <w:t xml:space="preserve"> s </w:t>
            </w:r>
            <w:r w:rsidRPr="00E07C9A">
              <w:rPr>
                <w:rStyle w:val="InstructionsTabelleText"/>
                <w:rFonts w:ascii="Times New Roman" w:hAnsi="Times New Roman"/>
                <w:sz w:val="24"/>
              </w:rPr>
              <w:t>ustanoveniami dohody Bazilej.</w:t>
            </w:r>
          </w:p>
          <w:p w14:paraId="6516FF73" w14:textId="77777777" w:rsidR="00BF0637" w:rsidRPr="00E07C9A" w:rsidRDefault="00BF0637" w:rsidP="00BF0637">
            <w:pPr>
              <w:rPr>
                <w:rStyle w:val="InstructionsTabelleText"/>
                <w:rFonts w:ascii="Times New Roman" w:hAnsi="Times New Roman"/>
                <w:sz w:val="24"/>
              </w:rPr>
            </w:pPr>
            <w:r w:rsidRPr="00E07C9A">
              <w:rPr>
                <w:rStyle w:val="InstructionsTabelleText"/>
                <w:rFonts w:ascii="Times New Roman" w:hAnsi="Times New Roman"/>
                <w:sz w:val="24"/>
              </w:rPr>
              <w:t>V ostatných prípadoch sa zadáva „NIE“.</w:t>
            </w:r>
          </w:p>
          <w:p w14:paraId="3E52B9BE" w14:textId="77777777" w:rsidR="00BF0637" w:rsidRPr="00E07C9A" w:rsidRDefault="00BF0637" w:rsidP="00BF0637">
            <w:pPr>
              <w:rPr>
                <w:rStyle w:val="InstructionsTabelleText"/>
                <w:rFonts w:ascii="Times New Roman" w:hAnsi="Times New Roman"/>
                <w:sz w:val="24"/>
              </w:rPr>
            </w:pPr>
          </w:p>
          <w:p w14:paraId="06AC7522" w14:textId="77777777" w:rsidR="00BF0637" w:rsidRPr="00E07C9A" w:rsidRDefault="00BF0637" w:rsidP="00BF0637">
            <w:pPr>
              <w:ind w:left="372" w:hanging="360"/>
              <w:contextualSpacing/>
              <w:rPr>
                <w:rStyle w:val="InstructionsTabelleText"/>
                <w:rFonts w:ascii="Times New Roman" w:hAnsi="Times New Roman"/>
                <w:sz w:val="24"/>
              </w:rPr>
            </w:pPr>
            <w:r w:rsidRPr="00E07C9A">
              <w:rPr>
                <w:rStyle w:val="InstructionsTabelleText"/>
                <w:rFonts w:ascii="Times New Roman" w:hAnsi="Times New Roman"/>
                <w:sz w:val="24"/>
              </w:rPr>
              <w:t></w:t>
            </w:r>
            <w:r w:rsidRPr="00E07C9A">
              <w:rPr>
                <w:rFonts w:ascii="Times New Roman" w:hAnsi="Times New Roman"/>
              </w:rPr>
              <w:tab/>
            </w:r>
            <w:r w:rsidRPr="00E07C9A">
              <w:rPr>
                <w:rStyle w:val="InstructionsTabelleText"/>
                <w:rFonts w:ascii="Times New Roman" w:hAnsi="Times New Roman"/>
                <w:sz w:val="24"/>
              </w:rPr>
              <w:t>Menšinové účasti:</w:t>
            </w:r>
          </w:p>
          <w:p w14:paraId="21165B4A" w14:textId="1D65F15E" w:rsidR="00BF0637" w:rsidRPr="00E07C9A" w:rsidRDefault="00BF0637" w:rsidP="00BF0637">
            <w:pPr>
              <w:rPr>
                <w:rStyle w:val="InstructionsTabelleText"/>
                <w:rFonts w:ascii="Times New Roman" w:hAnsi="Times New Roman"/>
                <w:sz w:val="24"/>
              </w:rPr>
            </w:pPr>
            <w:r w:rsidRPr="00E07C9A">
              <w:rPr>
                <w:rFonts w:ascii="Times New Roman" w:hAnsi="Times New Roman"/>
                <w:sz w:val="24"/>
              </w:rPr>
              <w:lastRenderedPageBreak/>
              <w:t xml:space="preserve"> Článok 81 ods. 1 písm. a) bod ii)</w:t>
            </w:r>
            <w:r w:rsidR="009912F8" w:rsidRPr="00E07C9A">
              <w:rPr>
                <w:rFonts w:ascii="Times New Roman" w:hAnsi="Times New Roman"/>
                <w:sz w:val="24"/>
              </w:rPr>
              <w:t xml:space="preserve"> a </w:t>
            </w:r>
            <w:r w:rsidRPr="00E07C9A">
              <w:rPr>
                <w:rFonts w:ascii="Times New Roman" w:hAnsi="Times New Roman"/>
                <w:sz w:val="24"/>
              </w:rPr>
              <w:t xml:space="preserve">článok 82 ods. 1 písm. a) bod ii) nariadenia (EÚ) </w:t>
            </w:r>
            <w:r w:rsidR="009912F8" w:rsidRPr="00E07C9A">
              <w:rPr>
                <w:rFonts w:ascii="Times New Roman" w:hAnsi="Times New Roman"/>
                <w:sz w:val="24"/>
              </w:rPr>
              <w:t>č. 575/2013</w:t>
            </w:r>
          </w:p>
          <w:p w14:paraId="71B8F9BA" w14:textId="178728F3" w:rsidR="00BF0637" w:rsidRPr="00E07C9A" w:rsidRDefault="00BF0637" w:rsidP="00BF0637">
            <w:pPr>
              <w:rPr>
                <w:rStyle w:val="InstructionsTabelleText"/>
                <w:rFonts w:ascii="Times New Roman" w:hAnsi="Times New Roman"/>
                <w:sz w:val="24"/>
              </w:rPr>
            </w:pPr>
            <w:r w:rsidRPr="00E07C9A">
              <w:rPr>
                <w:rFonts w:ascii="Times New Roman" w:hAnsi="Times New Roman"/>
                <w:sz w:val="24"/>
              </w:rPr>
              <w:t>Pokiaľ ide</w:t>
            </w:r>
            <w:r w:rsidR="009912F8" w:rsidRPr="00E07C9A">
              <w:rPr>
                <w:rFonts w:ascii="Times New Roman" w:hAnsi="Times New Roman"/>
                <w:sz w:val="24"/>
              </w:rPr>
              <w:t xml:space="preserve"> o </w:t>
            </w:r>
            <w:r w:rsidRPr="00E07C9A">
              <w:rPr>
                <w:rFonts w:ascii="Times New Roman" w:hAnsi="Times New Roman"/>
                <w:sz w:val="24"/>
              </w:rPr>
              <w:t>účinky menšinových účastí</w:t>
            </w:r>
            <w:r w:rsidR="009912F8" w:rsidRPr="00E07C9A">
              <w:rPr>
                <w:rFonts w:ascii="Times New Roman" w:hAnsi="Times New Roman"/>
                <w:sz w:val="24"/>
              </w:rPr>
              <w:t xml:space="preserve"> a </w:t>
            </w:r>
            <w:r w:rsidRPr="00E07C9A">
              <w:rPr>
                <w:rFonts w:ascii="Times New Roman" w:hAnsi="Times New Roman"/>
                <w:sz w:val="24"/>
              </w:rPr>
              <w:t>nástrojov AT1</w:t>
            </w:r>
            <w:r w:rsidR="009912F8" w:rsidRPr="00E07C9A">
              <w:rPr>
                <w:rFonts w:ascii="Times New Roman" w:hAnsi="Times New Roman"/>
                <w:sz w:val="24"/>
              </w:rPr>
              <w:t xml:space="preserve"> a </w:t>
            </w:r>
            <w:r w:rsidRPr="00E07C9A">
              <w:rPr>
                <w:rFonts w:ascii="Times New Roman" w:hAnsi="Times New Roman"/>
                <w:sz w:val="24"/>
              </w:rPr>
              <w:t xml:space="preserve">T2 emitovaných dcérskymi spoločnosťami, dcérske spoločnosti, ktorých nástroje môžu byť prípustné, sú inštitúcie alebo podniky, na ktoré sa na základe uplatniteľných vnútroštátnych právnych predpisov vzťahujú požiadavky nariadenia (EÚ) </w:t>
            </w:r>
            <w:r w:rsidR="009912F8" w:rsidRPr="00E07C9A">
              <w:rPr>
                <w:rFonts w:ascii="Times New Roman" w:hAnsi="Times New Roman"/>
                <w:sz w:val="24"/>
              </w:rPr>
              <w:t>č. 575/2013</w:t>
            </w:r>
            <w:r w:rsidRPr="00E07C9A">
              <w:rPr>
                <w:rFonts w:ascii="Times New Roman" w:hAnsi="Times New Roman"/>
                <w:sz w:val="24"/>
              </w:rPr>
              <w:t>.</w:t>
            </w:r>
          </w:p>
        </w:tc>
      </w:tr>
      <w:tr w:rsidR="00BF0637" w:rsidRPr="00E07C9A" w14:paraId="4135285F" w14:textId="77777777" w:rsidTr="00672D2A">
        <w:tc>
          <w:tcPr>
            <w:tcW w:w="1188" w:type="dxa"/>
          </w:tcPr>
          <w:p w14:paraId="26E6D307" w14:textId="77777777" w:rsidR="00BF0637" w:rsidRPr="00E07C9A" w:rsidRDefault="00ED20CB" w:rsidP="00BF0637">
            <w:pPr>
              <w:rPr>
                <w:rStyle w:val="InstructionsTabelleText"/>
                <w:rFonts w:ascii="Times New Roman" w:hAnsi="Times New Roman"/>
                <w:sz w:val="24"/>
              </w:rPr>
            </w:pPr>
            <w:r w:rsidRPr="00E07C9A">
              <w:rPr>
                <w:rStyle w:val="InstructionsTabelleText"/>
                <w:rFonts w:ascii="Times New Roman" w:hAnsi="Times New Roman"/>
                <w:sz w:val="24"/>
              </w:rPr>
              <w:lastRenderedPageBreak/>
              <w:t>0035</w:t>
            </w:r>
          </w:p>
        </w:tc>
        <w:tc>
          <w:tcPr>
            <w:tcW w:w="8640" w:type="dxa"/>
          </w:tcPr>
          <w:p w14:paraId="003A71BD" w14:textId="77777777" w:rsidR="00BF0637" w:rsidRPr="00E07C9A" w:rsidRDefault="00BF0637" w:rsidP="00BF0637">
            <w:pPr>
              <w:rPr>
                <w:rStyle w:val="InstructionsTabelleberschrift"/>
                <w:rFonts w:ascii="Times New Roman" w:hAnsi="Times New Roman"/>
                <w:sz w:val="24"/>
              </w:rPr>
            </w:pPr>
            <w:r w:rsidRPr="00E07C9A">
              <w:rPr>
                <w:rStyle w:val="InstructionsTabelleberschrift"/>
                <w:rFonts w:ascii="Times New Roman" w:hAnsi="Times New Roman"/>
                <w:sz w:val="24"/>
              </w:rPr>
              <w:t>TYP SUBJEKTU</w:t>
            </w:r>
          </w:p>
          <w:p w14:paraId="5D2A09FE" w14:textId="77777777" w:rsidR="00BF0637" w:rsidRPr="00E07C9A" w:rsidRDefault="00BF0637" w:rsidP="00BF0637">
            <w:pPr>
              <w:rPr>
                <w:rStyle w:val="InstructionsTabelleText"/>
                <w:rFonts w:ascii="Times New Roman" w:hAnsi="Times New Roman"/>
                <w:bCs/>
                <w:sz w:val="24"/>
              </w:rPr>
            </w:pPr>
            <w:r w:rsidRPr="00E07C9A">
              <w:rPr>
                <w:rStyle w:val="InstructionsTabelleText"/>
                <w:rFonts w:ascii="Times New Roman" w:hAnsi="Times New Roman"/>
                <w:sz w:val="24"/>
              </w:rPr>
              <w:t>Typ subjektu sa vykazuje na základe týchto kategórií:</w:t>
            </w:r>
          </w:p>
          <w:p w14:paraId="30CE472B" w14:textId="77777777" w:rsidR="00BF0637" w:rsidRPr="00E07C9A" w:rsidRDefault="00BF0637" w:rsidP="00BF0637">
            <w:pPr>
              <w:tabs>
                <w:tab w:val="left" w:pos="372"/>
              </w:tabs>
              <w:rPr>
                <w:rStyle w:val="InstructionsTabelleText"/>
                <w:rFonts w:ascii="Times New Roman" w:hAnsi="Times New Roman"/>
                <w:sz w:val="24"/>
              </w:rPr>
            </w:pPr>
            <w:r w:rsidRPr="00E07C9A">
              <w:rPr>
                <w:rStyle w:val="InstructionsTabelleText"/>
                <w:rFonts w:ascii="Times New Roman" w:hAnsi="Times New Roman"/>
                <w:sz w:val="24"/>
              </w:rPr>
              <w:t>a)</w:t>
            </w:r>
            <w:r w:rsidRPr="00E07C9A">
              <w:rPr>
                <w:rFonts w:ascii="Times New Roman" w:hAnsi="Times New Roman"/>
              </w:rPr>
              <w:tab/>
            </w:r>
            <w:r w:rsidRPr="00E07C9A">
              <w:rPr>
                <w:rStyle w:val="InstructionsTabelleText"/>
                <w:rFonts w:ascii="Times New Roman" w:hAnsi="Times New Roman"/>
                <w:sz w:val="24"/>
              </w:rPr>
              <w:t>úverová inštitúcia</w:t>
            </w:r>
          </w:p>
          <w:p w14:paraId="748D0214" w14:textId="6400803A" w:rsidR="00BF0637" w:rsidRPr="00E07C9A" w:rsidRDefault="00BF0637" w:rsidP="00BF0637">
            <w:pPr>
              <w:tabs>
                <w:tab w:val="left" w:pos="372"/>
              </w:tabs>
              <w:rPr>
                <w:rStyle w:val="InstructionsTabelleText"/>
                <w:rFonts w:ascii="Times New Roman" w:hAnsi="Times New Roman"/>
                <w:sz w:val="24"/>
              </w:rPr>
            </w:pPr>
            <w:r w:rsidRPr="00E07C9A">
              <w:rPr>
                <w:rFonts w:ascii="Times New Roman" w:hAnsi="Times New Roman"/>
              </w:rPr>
              <w:tab/>
            </w:r>
            <w:r w:rsidRPr="00E07C9A">
              <w:rPr>
                <w:rStyle w:val="InstructionsTabelleText"/>
                <w:rFonts w:ascii="Times New Roman" w:hAnsi="Times New Roman"/>
                <w:sz w:val="24"/>
              </w:rPr>
              <w:t xml:space="preserve">Článok 4 ods. 1 bod 1 </w:t>
            </w:r>
            <w:r w:rsidRPr="00E07C9A">
              <w:rPr>
                <w:rFonts w:ascii="Times New Roman" w:hAnsi="Times New Roman"/>
                <w:sz w:val="24"/>
              </w:rPr>
              <w:t xml:space="preserve">nariadenia (EÚ) </w:t>
            </w:r>
            <w:r w:rsidR="009912F8" w:rsidRPr="00E07C9A">
              <w:rPr>
                <w:rFonts w:ascii="Times New Roman" w:hAnsi="Times New Roman"/>
                <w:sz w:val="24"/>
              </w:rPr>
              <w:t>č. 575/2013</w:t>
            </w:r>
            <w:r w:rsidRPr="00E07C9A">
              <w:rPr>
                <w:rStyle w:val="InstructionsTabelleText"/>
                <w:rFonts w:ascii="Times New Roman" w:hAnsi="Times New Roman"/>
                <w:sz w:val="24"/>
              </w:rPr>
              <w:t>;</w:t>
            </w:r>
          </w:p>
          <w:p w14:paraId="6095A1B7" w14:textId="77777777" w:rsidR="00BF0637" w:rsidRPr="00E07C9A" w:rsidRDefault="00BF0637" w:rsidP="00BF0637">
            <w:pPr>
              <w:tabs>
                <w:tab w:val="left" w:pos="372"/>
              </w:tabs>
              <w:rPr>
                <w:rStyle w:val="InstructionsTabelleText"/>
                <w:rFonts w:ascii="Times New Roman" w:hAnsi="Times New Roman"/>
                <w:bCs/>
                <w:sz w:val="24"/>
              </w:rPr>
            </w:pPr>
            <w:r w:rsidRPr="00E07C9A">
              <w:rPr>
                <w:rStyle w:val="InstructionsTabelleText"/>
                <w:rFonts w:ascii="Times New Roman" w:hAnsi="Times New Roman"/>
                <w:sz w:val="24"/>
              </w:rPr>
              <w:t>b)</w:t>
            </w:r>
            <w:r w:rsidRPr="00E07C9A">
              <w:rPr>
                <w:rFonts w:ascii="Times New Roman" w:hAnsi="Times New Roman"/>
              </w:rPr>
              <w:tab/>
            </w:r>
            <w:r w:rsidRPr="00E07C9A">
              <w:rPr>
                <w:rStyle w:val="InstructionsTabelleText"/>
                <w:rFonts w:ascii="Times New Roman" w:hAnsi="Times New Roman"/>
                <w:sz w:val="24"/>
              </w:rPr>
              <w:t>investičná spoločnosť</w:t>
            </w:r>
          </w:p>
          <w:p w14:paraId="6769CB69" w14:textId="0935095F" w:rsidR="00BF0637" w:rsidRPr="00E07C9A" w:rsidRDefault="00BF0637" w:rsidP="00BF0637">
            <w:pPr>
              <w:tabs>
                <w:tab w:val="left" w:pos="372"/>
              </w:tabs>
              <w:rPr>
                <w:rStyle w:val="InstructionsTabelleText"/>
                <w:rFonts w:ascii="Times New Roman" w:hAnsi="Times New Roman"/>
                <w:bCs/>
                <w:sz w:val="24"/>
              </w:rPr>
            </w:pPr>
            <w:r w:rsidRPr="00E07C9A">
              <w:rPr>
                <w:rFonts w:ascii="Times New Roman" w:hAnsi="Times New Roman"/>
              </w:rPr>
              <w:tab/>
            </w:r>
            <w:r w:rsidRPr="00E07C9A">
              <w:rPr>
                <w:rStyle w:val="InstructionsTabelleText"/>
                <w:rFonts w:ascii="Times New Roman" w:hAnsi="Times New Roman"/>
                <w:sz w:val="24"/>
              </w:rPr>
              <w:t xml:space="preserve">Článok 4 ods. 1 bod 2 </w:t>
            </w:r>
            <w:r w:rsidRPr="00E07C9A">
              <w:rPr>
                <w:rFonts w:ascii="Times New Roman" w:hAnsi="Times New Roman"/>
                <w:sz w:val="24"/>
              </w:rPr>
              <w:t xml:space="preserve">nariadenia (EÚ) </w:t>
            </w:r>
            <w:r w:rsidR="009912F8" w:rsidRPr="00E07C9A">
              <w:rPr>
                <w:rFonts w:ascii="Times New Roman" w:hAnsi="Times New Roman"/>
                <w:sz w:val="24"/>
              </w:rPr>
              <w:t>č. 575/2013</w:t>
            </w:r>
            <w:r w:rsidRPr="00E07C9A">
              <w:rPr>
                <w:rStyle w:val="InstructionsTabelleText"/>
                <w:rFonts w:ascii="Times New Roman" w:hAnsi="Times New Roman"/>
                <w:sz w:val="24"/>
              </w:rPr>
              <w:t>;</w:t>
            </w:r>
          </w:p>
          <w:p w14:paraId="60AD647E" w14:textId="77777777" w:rsidR="00BF0637" w:rsidRPr="00E07C9A" w:rsidRDefault="00BF0637" w:rsidP="00BF0637">
            <w:pPr>
              <w:tabs>
                <w:tab w:val="left" w:pos="372"/>
              </w:tabs>
              <w:rPr>
                <w:rStyle w:val="InstructionsTabelleText"/>
                <w:rFonts w:ascii="Times New Roman" w:hAnsi="Times New Roman"/>
                <w:bCs/>
                <w:sz w:val="24"/>
              </w:rPr>
            </w:pPr>
            <w:r w:rsidRPr="00E07C9A">
              <w:rPr>
                <w:rStyle w:val="InstructionsTabelleText"/>
                <w:rFonts w:ascii="Times New Roman" w:hAnsi="Times New Roman"/>
                <w:sz w:val="24"/>
              </w:rPr>
              <w:t>c)</w:t>
            </w:r>
            <w:r w:rsidRPr="00E07C9A">
              <w:rPr>
                <w:rFonts w:ascii="Times New Roman" w:hAnsi="Times New Roman"/>
              </w:rPr>
              <w:tab/>
            </w:r>
            <w:r w:rsidRPr="00E07C9A">
              <w:rPr>
                <w:rStyle w:val="InstructionsTabelleText"/>
                <w:rFonts w:ascii="Times New Roman" w:hAnsi="Times New Roman"/>
                <w:sz w:val="24"/>
              </w:rPr>
              <w:t>finančná inštitúcia (iná)</w:t>
            </w:r>
          </w:p>
          <w:p w14:paraId="76F51E72" w14:textId="0A5D51FF" w:rsidR="00BF0637" w:rsidRPr="00E07C9A" w:rsidRDefault="00BF0637" w:rsidP="00BF0637">
            <w:pPr>
              <w:tabs>
                <w:tab w:val="left" w:pos="372"/>
              </w:tabs>
              <w:rPr>
                <w:rStyle w:val="InstructionsTabelleText"/>
                <w:rFonts w:ascii="Times New Roman" w:hAnsi="Times New Roman"/>
                <w:bCs/>
                <w:sz w:val="24"/>
              </w:rPr>
            </w:pPr>
            <w:r w:rsidRPr="00E07C9A">
              <w:rPr>
                <w:rFonts w:ascii="Times New Roman" w:hAnsi="Times New Roman"/>
              </w:rPr>
              <w:tab/>
            </w:r>
            <w:r w:rsidRPr="00E07C9A">
              <w:rPr>
                <w:rStyle w:val="InstructionsTabelleText"/>
                <w:rFonts w:ascii="Times New Roman" w:hAnsi="Times New Roman"/>
                <w:sz w:val="24"/>
              </w:rPr>
              <w:t>Článok 4 ods. 1 body 20, 21</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 xml:space="preserve">26 </w:t>
            </w:r>
            <w:r w:rsidRPr="00E07C9A">
              <w:rPr>
                <w:rFonts w:ascii="Times New Roman" w:hAnsi="Times New Roman"/>
                <w:sz w:val="24"/>
              </w:rPr>
              <w:t xml:space="preserve">nariadenia (EÚ) </w:t>
            </w:r>
            <w:r w:rsidR="009912F8" w:rsidRPr="00E07C9A">
              <w:rPr>
                <w:rFonts w:ascii="Times New Roman" w:hAnsi="Times New Roman"/>
                <w:sz w:val="24"/>
              </w:rPr>
              <w:t>č. 575/2013</w:t>
            </w:r>
          </w:p>
          <w:p w14:paraId="349DF21A" w14:textId="03189CCE" w:rsidR="00BF0637" w:rsidRPr="00E07C9A" w:rsidRDefault="00BF0637" w:rsidP="00BF0637">
            <w:pPr>
              <w:tabs>
                <w:tab w:val="left" w:pos="372"/>
              </w:tabs>
              <w:ind w:left="399" w:hanging="399"/>
              <w:rPr>
                <w:rStyle w:val="InstructionsTabelleText"/>
                <w:rFonts w:ascii="Times New Roman" w:hAnsi="Times New Roman"/>
                <w:bCs/>
                <w:sz w:val="24"/>
              </w:rPr>
            </w:pPr>
            <w:r w:rsidRPr="00E07C9A">
              <w:rPr>
                <w:rFonts w:ascii="Times New Roman" w:hAnsi="Times New Roman"/>
              </w:rPr>
              <w:tab/>
            </w:r>
            <w:r w:rsidRPr="00E07C9A">
              <w:rPr>
                <w:rStyle w:val="InstructionsTabelleText"/>
                <w:rFonts w:ascii="Times New Roman" w:hAnsi="Times New Roman"/>
                <w:sz w:val="24"/>
              </w:rPr>
              <w:t>Finančné inštitúcie</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zmysle článku 4 ods. 1 bodu 26</w:t>
            </w:r>
            <w:r w:rsidRPr="00E07C9A">
              <w:rPr>
                <w:rFonts w:ascii="Times New Roman" w:hAnsi="Times New Roman"/>
                <w:sz w:val="24"/>
              </w:rPr>
              <w:t xml:space="preserve"> nariadenia (EÚ) </w:t>
            </w:r>
            <w:r w:rsidR="009912F8" w:rsidRPr="00E07C9A">
              <w:rPr>
                <w:rFonts w:ascii="Times New Roman" w:hAnsi="Times New Roman"/>
                <w:sz w:val="24"/>
              </w:rPr>
              <w:t>č. 575/2013</w:t>
            </w:r>
            <w:r w:rsidRPr="00E07C9A">
              <w:rPr>
                <w:rStyle w:val="InstructionsTabelleText"/>
                <w:rFonts w:ascii="Times New Roman" w:hAnsi="Times New Roman"/>
                <w:sz w:val="24"/>
              </w:rPr>
              <w:t>, ktoré nie sú zahrnuté do žiadnej</w:t>
            </w:r>
            <w:r w:rsidR="009912F8" w:rsidRPr="00E07C9A">
              <w:rPr>
                <w:rStyle w:val="InstructionsTabelleText"/>
                <w:rFonts w:ascii="Times New Roman" w:hAnsi="Times New Roman"/>
                <w:sz w:val="24"/>
              </w:rPr>
              <w:t xml:space="preserve"> z </w:t>
            </w:r>
            <w:r w:rsidRPr="00E07C9A">
              <w:rPr>
                <w:rStyle w:val="InstructionsTabelleText"/>
                <w:rFonts w:ascii="Times New Roman" w:hAnsi="Times New Roman"/>
                <w:sz w:val="24"/>
              </w:rPr>
              <w:t>kategórií d), f) ani g);</w:t>
            </w:r>
          </w:p>
          <w:p w14:paraId="2A5D9E7F" w14:textId="77777777" w:rsidR="00BF0637" w:rsidRPr="00E07C9A" w:rsidRDefault="00BF0637" w:rsidP="00BF0637">
            <w:pPr>
              <w:tabs>
                <w:tab w:val="left" w:pos="372"/>
              </w:tabs>
              <w:rPr>
                <w:rStyle w:val="InstructionsTabelleText"/>
                <w:rFonts w:ascii="Times New Roman" w:hAnsi="Times New Roman"/>
                <w:bCs/>
                <w:sz w:val="24"/>
              </w:rPr>
            </w:pPr>
            <w:r w:rsidRPr="00E07C9A">
              <w:rPr>
                <w:rStyle w:val="InstructionsTabelleText"/>
                <w:rFonts w:ascii="Times New Roman" w:hAnsi="Times New Roman"/>
                <w:sz w:val="24"/>
              </w:rPr>
              <w:t>d)</w:t>
            </w:r>
            <w:r w:rsidRPr="00E07C9A">
              <w:rPr>
                <w:rFonts w:ascii="Times New Roman" w:hAnsi="Times New Roman"/>
              </w:rPr>
              <w:tab/>
            </w:r>
            <w:r w:rsidRPr="00E07C9A">
              <w:rPr>
                <w:rStyle w:val="InstructionsTabelleText"/>
                <w:rFonts w:ascii="Times New Roman" w:hAnsi="Times New Roman"/>
                <w:sz w:val="24"/>
              </w:rPr>
              <w:t>(zmiešaná) finančná holdingová spoločnosť</w:t>
            </w:r>
          </w:p>
          <w:p w14:paraId="649639D0" w14:textId="6F1FF459" w:rsidR="00BF0637" w:rsidRPr="00E07C9A" w:rsidRDefault="00BF0637" w:rsidP="00BF0637">
            <w:pPr>
              <w:tabs>
                <w:tab w:val="left" w:pos="372"/>
              </w:tabs>
              <w:rPr>
                <w:rStyle w:val="InstructionsTabelleText"/>
                <w:rFonts w:ascii="Times New Roman" w:hAnsi="Times New Roman"/>
                <w:bCs/>
                <w:sz w:val="24"/>
              </w:rPr>
            </w:pPr>
            <w:r w:rsidRPr="00E07C9A">
              <w:rPr>
                <w:rFonts w:ascii="Times New Roman" w:hAnsi="Times New Roman"/>
              </w:rPr>
              <w:tab/>
            </w:r>
            <w:r w:rsidRPr="00E07C9A">
              <w:rPr>
                <w:rStyle w:val="InstructionsTabelleText"/>
                <w:rFonts w:ascii="Times New Roman" w:hAnsi="Times New Roman"/>
                <w:sz w:val="24"/>
              </w:rPr>
              <w:t>Článok 4 ods. 1 body 20</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 xml:space="preserve">21 </w:t>
            </w:r>
            <w:r w:rsidRPr="00E07C9A">
              <w:rPr>
                <w:rFonts w:ascii="Times New Roman" w:hAnsi="Times New Roman"/>
                <w:sz w:val="24"/>
              </w:rPr>
              <w:t xml:space="preserve">nariadenia (EÚ) </w:t>
            </w:r>
            <w:r w:rsidR="009912F8" w:rsidRPr="00E07C9A">
              <w:rPr>
                <w:rFonts w:ascii="Times New Roman" w:hAnsi="Times New Roman"/>
                <w:sz w:val="24"/>
              </w:rPr>
              <w:t>č. 575/2013</w:t>
            </w:r>
            <w:r w:rsidRPr="00E07C9A">
              <w:rPr>
                <w:rStyle w:val="InstructionsTabelleText"/>
                <w:rFonts w:ascii="Times New Roman" w:hAnsi="Times New Roman"/>
                <w:sz w:val="24"/>
              </w:rPr>
              <w:t>;</w:t>
            </w:r>
          </w:p>
          <w:p w14:paraId="7234CBEF" w14:textId="77777777" w:rsidR="00BF0637" w:rsidRPr="00E07C9A" w:rsidRDefault="00BF0637" w:rsidP="00BF0637">
            <w:pPr>
              <w:tabs>
                <w:tab w:val="left" w:pos="372"/>
              </w:tabs>
              <w:rPr>
                <w:rStyle w:val="InstructionsTabelleText"/>
                <w:rFonts w:ascii="Times New Roman" w:hAnsi="Times New Roman"/>
                <w:bCs/>
                <w:sz w:val="24"/>
              </w:rPr>
            </w:pPr>
            <w:r w:rsidRPr="00E07C9A">
              <w:rPr>
                <w:rStyle w:val="InstructionsTabelleText"/>
                <w:rFonts w:ascii="Times New Roman" w:hAnsi="Times New Roman"/>
                <w:sz w:val="24"/>
              </w:rPr>
              <w:t>e)</w:t>
            </w:r>
            <w:r w:rsidRPr="00E07C9A">
              <w:rPr>
                <w:rFonts w:ascii="Times New Roman" w:hAnsi="Times New Roman"/>
              </w:rPr>
              <w:tab/>
            </w:r>
            <w:r w:rsidRPr="00E07C9A">
              <w:rPr>
                <w:rStyle w:val="InstructionsTabelleText"/>
                <w:rFonts w:ascii="Times New Roman" w:hAnsi="Times New Roman"/>
                <w:sz w:val="24"/>
              </w:rPr>
              <w:t>podnik pomocných služieb</w:t>
            </w:r>
          </w:p>
          <w:p w14:paraId="6E8074D3" w14:textId="3B785C25" w:rsidR="00BF0637" w:rsidRPr="00E07C9A" w:rsidRDefault="00BF0637" w:rsidP="00BF0637">
            <w:pPr>
              <w:tabs>
                <w:tab w:val="left" w:pos="372"/>
              </w:tabs>
              <w:rPr>
                <w:rStyle w:val="InstructionsTabelleText"/>
                <w:rFonts w:ascii="Times New Roman" w:hAnsi="Times New Roman"/>
                <w:bCs/>
                <w:sz w:val="24"/>
              </w:rPr>
            </w:pPr>
            <w:r w:rsidRPr="00E07C9A">
              <w:rPr>
                <w:rFonts w:ascii="Times New Roman" w:hAnsi="Times New Roman"/>
              </w:rPr>
              <w:tab/>
            </w:r>
            <w:r w:rsidRPr="00E07C9A">
              <w:rPr>
                <w:rStyle w:val="InstructionsTabelleText"/>
                <w:rFonts w:ascii="Times New Roman" w:hAnsi="Times New Roman"/>
                <w:sz w:val="24"/>
              </w:rPr>
              <w:t xml:space="preserve">Článok 4 ods. 1 bod 18 </w:t>
            </w:r>
            <w:r w:rsidRPr="00E07C9A">
              <w:rPr>
                <w:rFonts w:ascii="Times New Roman" w:hAnsi="Times New Roman"/>
                <w:sz w:val="24"/>
              </w:rPr>
              <w:t xml:space="preserve">nariadenia (EÚ) </w:t>
            </w:r>
            <w:r w:rsidR="009912F8" w:rsidRPr="00E07C9A">
              <w:rPr>
                <w:rFonts w:ascii="Times New Roman" w:hAnsi="Times New Roman"/>
                <w:sz w:val="24"/>
              </w:rPr>
              <w:t>č. 575/2013</w:t>
            </w:r>
            <w:r w:rsidRPr="00E07C9A">
              <w:rPr>
                <w:rStyle w:val="InstructionsTabelleText"/>
                <w:rFonts w:ascii="Times New Roman" w:hAnsi="Times New Roman"/>
                <w:sz w:val="24"/>
              </w:rPr>
              <w:t>;</w:t>
            </w:r>
          </w:p>
          <w:p w14:paraId="510EBD29" w14:textId="77777777" w:rsidR="00BF0637" w:rsidRPr="00E07C9A" w:rsidRDefault="00BF0637" w:rsidP="00BF0637">
            <w:pPr>
              <w:tabs>
                <w:tab w:val="left" w:pos="372"/>
              </w:tabs>
              <w:rPr>
                <w:rStyle w:val="InstructionsTabelleText"/>
                <w:rFonts w:ascii="Times New Roman" w:hAnsi="Times New Roman"/>
                <w:bCs/>
                <w:sz w:val="24"/>
              </w:rPr>
            </w:pPr>
            <w:r w:rsidRPr="00E07C9A">
              <w:rPr>
                <w:rStyle w:val="InstructionsTabelleText"/>
                <w:rFonts w:ascii="Times New Roman" w:hAnsi="Times New Roman"/>
                <w:sz w:val="24"/>
              </w:rPr>
              <w:t>f)</w:t>
            </w:r>
            <w:r w:rsidRPr="00E07C9A">
              <w:rPr>
                <w:rFonts w:ascii="Times New Roman" w:hAnsi="Times New Roman"/>
              </w:rPr>
              <w:tab/>
            </w:r>
            <w:r w:rsidRPr="00E07C9A">
              <w:rPr>
                <w:rStyle w:val="InstructionsTabelleText"/>
                <w:rFonts w:ascii="Times New Roman" w:hAnsi="Times New Roman"/>
                <w:sz w:val="24"/>
              </w:rPr>
              <w:t>účelový subjekt zaoberajúci sa sekuritizáciou (SSPE);</w:t>
            </w:r>
          </w:p>
          <w:p w14:paraId="3D7BA722" w14:textId="5AA9C5ED" w:rsidR="00BF0637" w:rsidRPr="00E07C9A" w:rsidRDefault="00BF0637" w:rsidP="00BF0637">
            <w:pPr>
              <w:tabs>
                <w:tab w:val="left" w:pos="372"/>
              </w:tabs>
              <w:rPr>
                <w:rStyle w:val="InstructionsTabelleText"/>
                <w:rFonts w:ascii="Times New Roman" w:hAnsi="Times New Roman"/>
                <w:bCs/>
                <w:sz w:val="24"/>
              </w:rPr>
            </w:pPr>
            <w:r w:rsidRPr="00E07C9A">
              <w:rPr>
                <w:rFonts w:ascii="Times New Roman" w:hAnsi="Times New Roman"/>
              </w:rPr>
              <w:tab/>
            </w:r>
            <w:r w:rsidRPr="00E07C9A">
              <w:rPr>
                <w:rStyle w:val="InstructionsTabelleText"/>
                <w:rFonts w:ascii="Times New Roman" w:hAnsi="Times New Roman"/>
                <w:sz w:val="24"/>
              </w:rPr>
              <w:t xml:space="preserve">Článok 4 ods. 1 bod 66 </w:t>
            </w:r>
            <w:r w:rsidRPr="00E07C9A">
              <w:rPr>
                <w:rFonts w:ascii="Times New Roman" w:hAnsi="Times New Roman"/>
                <w:sz w:val="24"/>
              </w:rPr>
              <w:t xml:space="preserve">nariadenia (EÚ) </w:t>
            </w:r>
            <w:r w:rsidR="009912F8" w:rsidRPr="00E07C9A">
              <w:rPr>
                <w:rFonts w:ascii="Times New Roman" w:hAnsi="Times New Roman"/>
                <w:sz w:val="24"/>
              </w:rPr>
              <w:t>č. 575/2013</w:t>
            </w:r>
            <w:r w:rsidRPr="00E07C9A">
              <w:rPr>
                <w:rStyle w:val="InstructionsTabelleText"/>
                <w:rFonts w:ascii="Times New Roman" w:hAnsi="Times New Roman"/>
                <w:sz w:val="24"/>
              </w:rPr>
              <w:t>;</w:t>
            </w:r>
          </w:p>
          <w:p w14:paraId="4BC7AA01" w14:textId="77777777" w:rsidR="00BF0637" w:rsidRPr="00E07C9A" w:rsidRDefault="00BF0637" w:rsidP="00BF0637">
            <w:pPr>
              <w:tabs>
                <w:tab w:val="left" w:pos="372"/>
              </w:tabs>
              <w:rPr>
                <w:rStyle w:val="InstructionsTabelleText"/>
                <w:rFonts w:ascii="Times New Roman" w:hAnsi="Times New Roman"/>
                <w:bCs/>
                <w:sz w:val="24"/>
              </w:rPr>
            </w:pPr>
            <w:r w:rsidRPr="00E07C9A">
              <w:rPr>
                <w:rStyle w:val="InstructionsTabelleText"/>
                <w:rFonts w:ascii="Times New Roman" w:hAnsi="Times New Roman"/>
                <w:sz w:val="24"/>
              </w:rPr>
              <w:t>g)</w:t>
            </w:r>
            <w:r w:rsidRPr="00E07C9A">
              <w:rPr>
                <w:rFonts w:ascii="Times New Roman" w:hAnsi="Times New Roman"/>
              </w:rPr>
              <w:tab/>
            </w:r>
            <w:r w:rsidRPr="00E07C9A">
              <w:rPr>
                <w:rStyle w:val="InstructionsTabelleText"/>
                <w:rFonts w:ascii="Times New Roman" w:hAnsi="Times New Roman"/>
                <w:sz w:val="24"/>
              </w:rPr>
              <w:t>spoločnosť zaoberajúca sa krytými dlhopismi</w:t>
            </w:r>
          </w:p>
          <w:p w14:paraId="45D1BC5C" w14:textId="1BAC4454" w:rsidR="00BF0637" w:rsidRPr="00E07C9A" w:rsidRDefault="00BF0637" w:rsidP="00BF0637">
            <w:pPr>
              <w:tabs>
                <w:tab w:val="left" w:pos="372"/>
              </w:tabs>
              <w:ind w:left="372"/>
              <w:rPr>
                <w:rStyle w:val="InstructionsTabelleText"/>
                <w:rFonts w:ascii="Times New Roman" w:hAnsi="Times New Roman"/>
                <w:bCs/>
                <w:sz w:val="24"/>
              </w:rPr>
            </w:pPr>
            <w:r w:rsidRPr="00E07C9A">
              <w:rPr>
                <w:rStyle w:val="InstructionsTabelleText"/>
                <w:rFonts w:ascii="Times New Roman" w:hAnsi="Times New Roman"/>
                <w:sz w:val="24"/>
              </w:rPr>
              <w:t>Subjekt zriadený na emitovanie krytých dlhopisov alebo na držanie kolaterálu, ktorým je zabezpečený krytý dlhopis, ak nie je zahrnutý</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žiadnej</w:t>
            </w:r>
            <w:r w:rsidR="009912F8" w:rsidRPr="00E07C9A">
              <w:rPr>
                <w:rStyle w:val="InstructionsTabelleText"/>
                <w:rFonts w:ascii="Times New Roman" w:hAnsi="Times New Roman"/>
                <w:sz w:val="24"/>
              </w:rPr>
              <w:t xml:space="preserve"> z </w:t>
            </w:r>
            <w:r w:rsidRPr="00E07C9A">
              <w:rPr>
                <w:rStyle w:val="InstructionsTabelleText"/>
                <w:rFonts w:ascii="Times New Roman" w:hAnsi="Times New Roman"/>
                <w:sz w:val="24"/>
              </w:rPr>
              <w:t>uvedených kategórií a), b) ani d) až f);</w:t>
            </w:r>
          </w:p>
          <w:p w14:paraId="1A33E0A7" w14:textId="77777777" w:rsidR="00BF0637" w:rsidRPr="00E07C9A" w:rsidRDefault="00BF0637" w:rsidP="00BF0637">
            <w:pPr>
              <w:tabs>
                <w:tab w:val="left" w:pos="372"/>
              </w:tabs>
              <w:rPr>
                <w:rStyle w:val="InstructionsTabelleText"/>
                <w:rFonts w:ascii="Times New Roman" w:hAnsi="Times New Roman"/>
                <w:sz w:val="24"/>
              </w:rPr>
            </w:pPr>
            <w:r w:rsidRPr="00E07C9A">
              <w:rPr>
                <w:rStyle w:val="InstructionsTabelleText"/>
                <w:rFonts w:ascii="Times New Roman" w:hAnsi="Times New Roman"/>
                <w:sz w:val="24"/>
              </w:rPr>
              <w:t>h)</w:t>
            </w:r>
            <w:r w:rsidRPr="00E07C9A">
              <w:rPr>
                <w:rFonts w:ascii="Times New Roman" w:hAnsi="Times New Roman"/>
              </w:rPr>
              <w:tab/>
            </w:r>
            <w:r w:rsidRPr="00E07C9A">
              <w:rPr>
                <w:rStyle w:val="InstructionsTabelleText"/>
                <w:rFonts w:ascii="Times New Roman" w:hAnsi="Times New Roman"/>
                <w:sz w:val="24"/>
              </w:rPr>
              <w:t>iný typ subjektu</w:t>
            </w:r>
          </w:p>
          <w:p w14:paraId="533E283B" w14:textId="4FA6B626" w:rsidR="00BF0637" w:rsidRPr="00E07C9A" w:rsidRDefault="00BF0637" w:rsidP="00BF0637">
            <w:pPr>
              <w:tabs>
                <w:tab w:val="left" w:pos="372"/>
              </w:tabs>
              <w:ind w:left="372"/>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Iný subjekt ako subjekty uvedené</w:t>
            </w:r>
            <w:r w:rsidR="009912F8" w:rsidRPr="00E07C9A">
              <w:rPr>
                <w:rStyle w:val="InstructionsTabelleberschrift"/>
                <w:rFonts w:ascii="Times New Roman" w:hAnsi="Times New Roman"/>
                <w:b w:val="0"/>
                <w:sz w:val="24"/>
                <w:u w:val="none"/>
              </w:rPr>
              <w:t xml:space="preserve"> v </w:t>
            </w:r>
            <w:r w:rsidRPr="00E07C9A">
              <w:rPr>
                <w:rStyle w:val="InstructionsTabelleberschrift"/>
                <w:rFonts w:ascii="Times New Roman" w:hAnsi="Times New Roman"/>
                <w:b w:val="0"/>
                <w:sz w:val="24"/>
                <w:u w:val="none"/>
              </w:rPr>
              <w:t>písmenách a) až g).</w:t>
            </w:r>
          </w:p>
          <w:p w14:paraId="129A36CE" w14:textId="2B361463" w:rsidR="00BF0637" w:rsidRPr="00E07C9A" w:rsidRDefault="00BF0637" w:rsidP="00BF0637">
            <w:pPr>
              <w:tabs>
                <w:tab w:val="left" w:pos="372"/>
              </w:tabs>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Keď sa na subjekt nevzťahuje</w:t>
            </w:r>
            <w:r w:rsidRPr="00E07C9A">
              <w:rPr>
                <w:rFonts w:ascii="Times New Roman" w:hAnsi="Times New Roman"/>
                <w:sz w:val="24"/>
              </w:rPr>
              <w:t xml:space="preserve"> nariadenie (EÚ) </w:t>
            </w:r>
            <w:r w:rsidR="009912F8" w:rsidRPr="00E07C9A">
              <w:rPr>
                <w:rFonts w:ascii="Times New Roman" w:hAnsi="Times New Roman"/>
                <w:sz w:val="24"/>
              </w:rPr>
              <w:t>č. 575/2013 a </w:t>
            </w:r>
            <w:r w:rsidRPr="00E07C9A">
              <w:rPr>
                <w:rFonts w:ascii="Times New Roman" w:hAnsi="Times New Roman"/>
                <w:sz w:val="24"/>
              </w:rPr>
              <w:t>smernica 2013/36/EÚ</w:t>
            </w:r>
            <w:r w:rsidRPr="00E07C9A">
              <w:rPr>
                <w:rStyle w:val="InstructionsTabelleberschrift"/>
                <w:rFonts w:ascii="Times New Roman" w:hAnsi="Times New Roman"/>
                <w:b w:val="0"/>
                <w:sz w:val="24"/>
                <w:u w:val="none"/>
              </w:rPr>
              <w:t>, ale vzťahujú sa naň ustanovenia, ktoré sú prinajmenšom rovnocenné</w:t>
            </w:r>
            <w:r w:rsidR="009912F8" w:rsidRPr="00E07C9A">
              <w:rPr>
                <w:rStyle w:val="InstructionsTabelleberschrift"/>
                <w:rFonts w:ascii="Times New Roman" w:hAnsi="Times New Roman"/>
                <w:b w:val="0"/>
                <w:sz w:val="24"/>
                <w:u w:val="none"/>
              </w:rPr>
              <w:t xml:space="preserve"> s </w:t>
            </w:r>
            <w:r w:rsidRPr="00E07C9A">
              <w:rPr>
                <w:rStyle w:val="InstructionsTabelleberschrift"/>
                <w:rFonts w:ascii="Times New Roman" w:hAnsi="Times New Roman"/>
                <w:b w:val="0"/>
                <w:sz w:val="24"/>
                <w:u w:val="none"/>
              </w:rPr>
              <w:t>ustanoveniami dohody Bazilej, príslušná kategória sa určí podľa zásady najväčšieho úsilia.</w:t>
            </w:r>
          </w:p>
        </w:tc>
      </w:tr>
      <w:tr w:rsidR="00BF0637" w:rsidRPr="00E07C9A" w14:paraId="771CBAFB" w14:textId="77777777" w:rsidTr="00672D2A">
        <w:tc>
          <w:tcPr>
            <w:tcW w:w="1188" w:type="dxa"/>
          </w:tcPr>
          <w:p w14:paraId="2F5A8C72" w14:textId="77777777" w:rsidR="00BF0637" w:rsidRPr="00E07C9A" w:rsidRDefault="00ED20CB" w:rsidP="00BF0637">
            <w:pPr>
              <w:rPr>
                <w:rStyle w:val="InstructionsTabelleText"/>
                <w:rFonts w:ascii="Times New Roman" w:hAnsi="Times New Roman"/>
                <w:sz w:val="24"/>
              </w:rPr>
            </w:pPr>
            <w:r w:rsidRPr="00E07C9A">
              <w:rPr>
                <w:rStyle w:val="InstructionsTabelleText"/>
                <w:rFonts w:ascii="Times New Roman" w:hAnsi="Times New Roman"/>
                <w:sz w:val="24"/>
              </w:rPr>
              <w:t>0040</w:t>
            </w:r>
          </w:p>
        </w:tc>
        <w:tc>
          <w:tcPr>
            <w:tcW w:w="8640" w:type="dxa"/>
          </w:tcPr>
          <w:p w14:paraId="3FCAB347" w14:textId="77777777" w:rsidR="00BF0637" w:rsidRPr="00E07C9A" w:rsidRDefault="00BF0637" w:rsidP="00BF0637">
            <w:pPr>
              <w:rPr>
                <w:rFonts w:ascii="Times New Roman" w:hAnsi="Times New Roman"/>
                <w:b/>
                <w:sz w:val="24"/>
                <w:u w:val="single"/>
              </w:rPr>
            </w:pPr>
            <w:r w:rsidRPr="00E07C9A">
              <w:rPr>
                <w:rFonts w:ascii="Times New Roman" w:hAnsi="Times New Roman"/>
                <w:b/>
                <w:sz w:val="24"/>
                <w:u w:val="single"/>
              </w:rPr>
              <w:t>ROZSAH ÚDAJOV: samostatne plne konsolidované (SF) ALEBO samostatne čiastočne konsolidované (SP)</w:t>
            </w:r>
          </w:p>
          <w:p w14:paraId="736C3D19" w14:textId="1BD7D8D2" w:rsidR="009912F8" w:rsidRPr="00E07C9A" w:rsidRDefault="00BF0637" w:rsidP="00BF0637">
            <w:pPr>
              <w:rPr>
                <w:rFonts w:ascii="Times New Roman" w:hAnsi="Times New Roman"/>
                <w:sz w:val="24"/>
              </w:rPr>
            </w:pPr>
            <w:r w:rsidRPr="00E07C9A">
              <w:rPr>
                <w:rStyle w:val="InstructionsTabelleText"/>
                <w:rFonts w:ascii="Times New Roman" w:hAnsi="Times New Roman"/>
                <w:sz w:val="24"/>
              </w:rPr>
              <w:t>„SF“</w:t>
            </w:r>
            <w:r w:rsidRPr="00E07C9A">
              <w:rPr>
                <w:rFonts w:ascii="Times New Roman" w:hAnsi="Times New Roman"/>
                <w:sz w:val="24"/>
              </w:rPr>
              <w:t xml:space="preserve"> sa uvádza</w:t>
            </w:r>
            <w:r w:rsidR="009912F8" w:rsidRPr="00E07C9A">
              <w:rPr>
                <w:rFonts w:ascii="Times New Roman" w:hAnsi="Times New Roman"/>
                <w:sz w:val="24"/>
              </w:rPr>
              <w:t xml:space="preserve"> v </w:t>
            </w:r>
            <w:r w:rsidRPr="00E07C9A">
              <w:rPr>
                <w:rFonts w:ascii="Times New Roman" w:hAnsi="Times New Roman"/>
                <w:sz w:val="24"/>
              </w:rPr>
              <w:t>prípade samostatných dcérskych spoločností, ktoré sú plne konsolidované</w:t>
            </w:r>
            <w:r w:rsidR="009912F8" w:rsidRPr="00E07C9A">
              <w:rPr>
                <w:rFonts w:ascii="Times New Roman" w:hAnsi="Times New Roman"/>
                <w:sz w:val="24"/>
              </w:rPr>
              <w:t>.</w:t>
            </w:r>
          </w:p>
          <w:p w14:paraId="3697C2E6" w14:textId="68D01921" w:rsidR="00BF0637" w:rsidRPr="00E07C9A" w:rsidRDefault="00BF0637" w:rsidP="00BF0637">
            <w:pPr>
              <w:rPr>
                <w:rStyle w:val="InstructionsTabelleText"/>
                <w:rFonts w:ascii="Times New Roman" w:hAnsi="Times New Roman"/>
                <w:smallCaps/>
                <w:sz w:val="24"/>
              </w:rPr>
            </w:pPr>
            <w:r w:rsidRPr="00E07C9A">
              <w:rPr>
                <w:rStyle w:val="InstructionsTabelleText"/>
                <w:rFonts w:ascii="Times New Roman" w:hAnsi="Times New Roman"/>
                <w:sz w:val="24"/>
              </w:rPr>
              <w:t>„SP“</w:t>
            </w:r>
            <w:r w:rsidRPr="00E07C9A">
              <w:rPr>
                <w:rFonts w:ascii="Times New Roman" w:hAnsi="Times New Roman"/>
                <w:sz w:val="24"/>
              </w:rPr>
              <w:t xml:space="preserve"> sa uvádza</w:t>
            </w:r>
            <w:r w:rsidR="009912F8" w:rsidRPr="00E07C9A">
              <w:rPr>
                <w:rFonts w:ascii="Times New Roman" w:hAnsi="Times New Roman"/>
                <w:sz w:val="24"/>
              </w:rPr>
              <w:t xml:space="preserve"> v </w:t>
            </w:r>
            <w:r w:rsidRPr="00E07C9A">
              <w:rPr>
                <w:rFonts w:ascii="Times New Roman" w:hAnsi="Times New Roman"/>
                <w:sz w:val="24"/>
              </w:rPr>
              <w:t>prípade samostatných dcérskych spoločností, ktoré sú čiastočne konsolidované.</w:t>
            </w:r>
            <w:r w:rsidRPr="00E07C9A">
              <w:rPr>
                <w:rStyle w:val="InstructionsTabelleText"/>
                <w:rFonts w:ascii="Times New Roman" w:hAnsi="Times New Roman"/>
                <w:i/>
                <w:sz w:val="24"/>
              </w:rPr>
              <w:t xml:space="preserve"> </w:t>
            </w:r>
          </w:p>
        </w:tc>
      </w:tr>
      <w:tr w:rsidR="00BF0637" w:rsidRPr="00E07C9A" w14:paraId="4E7A2B3C" w14:textId="77777777" w:rsidTr="00672D2A">
        <w:tc>
          <w:tcPr>
            <w:tcW w:w="1188" w:type="dxa"/>
          </w:tcPr>
          <w:p w14:paraId="243E2FB0" w14:textId="77777777" w:rsidR="00BF0637" w:rsidRPr="00E07C9A" w:rsidRDefault="00ED20CB" w:rsidP="00BF0637">
            <w:pPr>
              <w:rPr>
                <w:rStyle w:val="InstructionsTabelleText"/>
                <w:rFonts w:ascii="Times New Roman" w:hAnsi="Times New Roman"/>
                <w:sz w:val="24"/>
              </w:rPr>
            </w:pPr>
            <w:r w:rsidRPr="00E07C9A">
              <w:rPr>
                <w:rStyle w:val="InstructionsTabelleText"/>
                <w:rFonts w:ascii="Times New Roman" w:hAnsi="Times New Roman"/>
                <w:sz w:val="24"/>
              </w:rPr>
              <w:lastRenderedPageBreak/>
              <w:t>0050</w:t>
            </w:r>
          </w:p>
        </w:tc>
        <w:tc>
          <w:tcPr>
            <w:tcW w:w="8640" w:type="dxa"/>
          </w:tcPr>
          <w:p w14:paraId="0F73E958" w14:textId="77777777" w:rsidR="009912F8" w:rsidRPr="00E07C9A" w:rsidRDefault="00BF0637" w:rsidP="00BF0637">
            <w:pPr>
              <w:rPr>
                <w:rFonts w:ascii="Times New Roman" w:hAnsi="Times New Roman"/>
                <w:b/>
                <w:sz w:val="24"/>
                <w:u w:val="single"/>
              </w:rPr>
            </w:pPr>
            <w:r w:rsidRPr="00E07C9A">
              <w:rPr>
                <w:rFonts w:ascii="Times New Roman" w:hAnsi="Times New Roman"/>
                <w:b/>
                <w:sz w:val="24"/>
                <w:u w:val="single"/>
              </w:rPr>
              <w:t>KÓD KRAJINY</w:t>
            </w:r>
          </w:p>
          <w:p w14:paraId="369D600A" w14:textId="150582B4" w:rsidR="00BF0637" w:rsidRPr="00E07C9A" w:rsidRDefault="00BF0637" w:rsidP="00BF0637">
            <w:pPr>
              <w:rPr>
                <w:rStyle w:val="InstructionsTabelleText"/>
                <w:rFonts w:ascii="Times New Roman" w:hAnsi="Times New Roman"/>
                <w:sz w:val="24"/>
              </w:rPr>
            </w:pPr>
            <w:r w:rsidRPr="00E07C9A">
              <w:rPr>
                <w:rStyle w:val="InstructionsTabelleText"/>
                <w:rFonts w:ascii="Times New Roman" w:hAnsi="Times New Roman"/>
                <w:sz w:val="24"/>
              </w:rPr>
              <w:t xml:space="preserve">Inštitúcie uvedú dvojpísmenový kód krajiny podľa ISO 3166-2. </w:t>
            </w:r>
          </w:p>
        </w:tc>
      </w:tr>
      <w:tr w:rsidR="00BF0637" w:rsidRPr="00E07C9A" w14:paraId="30190066" w14:textId="77777777" w:rsidTr="00672D2A">
        <w:tc>
          <w:tcPr>
            <w:tcW w:w="1188" w:type="dxa"/>
          </w:tcPr>
          <w:p w14:paraId="3FD98CAA" w14:textId="77777777" w:rsidR="00BF0637" w:rsidRPr="00E07C9A" w:rsidRDefault="00ED20CB" w:rsidP="00BF0637">
            <w:pPr>
              <w:rPr>
                <w:rStyle w:val="InstructionsTabelleText"/>
                <w:rFonts w:ascii="Times New Roman" w:hAnsi="Times New Roman"/>
                <w:sz w:val="24"/>
              </w:rPr>
            </w:pPr>
            <w:r w:rsidRPr="00E07C9A">
              <w:rPr>
                <w:rStyle w:val="InstructionsTabelleText"/>
                <w:rFonts w:ascii="Times New Roman" w:hAnsi="Times New Roman"/>
                <w:sz w:val="24"/>
              </w:rPr>
              <w:t>0060</w:t>
            </w:r>
          </w:p>
        </w:tc>
        <w:tc>
          <w:tcPr>
            <w:tcW w:w="8640" w:type="dxa"/>
          </w:tcPr>
          <w:p w14:paraId="17F636DE" w14:textId="77777777" w:rsidR="00BF0637" w:rsidRPr="00E07C9A" w:rsidRDefault="00BF0637" w:rsidP="00BF0637">
            <w:pPr>
              <w:rPr>
                <w:rStyle w:val="InstructionsTabelleberschrift"/>
                <w:rFonts w:ascii="Times New Roman" w:hAnsi="Times New Roman"/>
                <w:sz w:val="24"/>
              </w:rPr>
            </w:pPr>
            <w:r w:rsidRPr="00E07C9A">
              <w:rPr>
                <w:rStyle w:val="InstructionsTabelleberschrift"/>
                <w:rFonts w:ascii="Times New Roman" w:hAnsi="Times New Roman"/>
                <w:sz w:val="24"/>
              </w:rPr>
              <w:t>MIERA PODIELU (%)</w:t>
            </w:r>
          </w:p>
          <w:p w14:paraId="5BA3A5B5" w14:textId="5254C6B6" w:rsidR="00BF0637" w:rsidRPr="00E07C9A" w:rsidRDefault="00BF0637" w:rsidP="00B14047">
            <w:pPr>
              <w:rPr>
                <w:rStyle w:val="InstructionsTabelleText"/>
                <w:rFonts w:ascii="Times New Roman" w:hAnsi="Times New Roman"/>
                <w:sz w:val="24"/>
              </w:rPr>
            </w:pPr>
            <w:r w:rsidRPr="00E07C9A">
              <w:rPr>
                <w:rStyle w:val="InstructionsTabelleText"/>
                <w:rFonts w:ascii="Times New Roman" w:hAnsi="Times New Roman"/>
                <w:sz w:val="24"/>
              </w:rPr>
              <w:t>Tento percentuálny podiel označuje skutočný podiel kapitálu, ktorý materská spoločnosť drží</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dcérskych spoločnostiach.</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prípade úplnej konsolidácie priamej dcérskej spoločnosti je skutočný podiel napr. 70</w:t>
            </w:r>
            <w:r w:rsidR="009912F8" w:rsidRPr="00E07C9A">
              <w:rPr>
                <w:rStyle w:val="InstructionsTabelleText"/>
                <w:rFonts w:ascii="Times New Roman" w:hAnsi="Times New Roman"/>
                <w:sz w:val="24"/>
              </w:rPr>
              <w:t> %</w:t>
            </w:r>
            <w:r w:rsidRPr="00E07C9A">
              <w:rPr>
                <w:rStyle w:val="InstructionsTabelleText"/>
                <w:rFonts w:ascii="Times New Roman" w:hAnsi="Times New Roman"/>
                <w:sz w:val="24"/>
              </w:rPr>
              <w:t>.</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súlade</w:t>
            </w:r>
            <w:r w:rsidR="009912F8" w:rsidRPr="00E07C9A">
              <w:rPr>
                <w:rStyle w:val="InstructionsTabelleText"/>
                <w:rFonts w:ascii="Times New Roman" w:hAnsi="Times New Roman"/>
                <w:sz w:val="24"/>
              </w:rPr>
              <w:t xml:space="preserve"> s </w:t>
            </w:r>
            <w:r w:rsidRPr="00E07C9A">
              <w:rPr>
                <w:rStyle w:val="InstructionsTabelleText"/>
                <w:rFonts w:ascii="Times New Roman" w:hAnsi="Times New Roman"/>
                <w:sz w:val="24"/>
              </w:rPr>
              <w:t>článkom 4 ods. 1 bodom 16</w:t>
            </w:r>
            <w:r w:rsidRPr="00E07C9A">
              <w:rPr>
                <w:rFonts w:ascii="Times New Roman" w:hAnsi="Times New Roman"/>
                <w:sz w:val="24"/>
              </w:rPr>
              <w:t xml:space="preserve"> nariadenia (EÚ) </w:t>
            </w:r>
            <w:r w:rsidR="009912F8" w:rsidRPr="00E07C9A">
              <w:rPr>
                <w:rFonts w:ascii="Times New Roman" w:hAnsi="Times New Roman"/>
                <w:sz w:val="24"/>
              </w:rPr>
              <w:t>č. 575/2013</w:t>
            </w:r>
            <w:r w:rsidRPr="00E07C9A">
              <w:rPr>
                <w:rStyle w:val="InstructionsTabelleText"/>
                <w:rFonts w:ascii="Times New Roman" w:hAnsi="Times New Roman"/>
                <w:sz w:val="24"/>
              </w:rPr>
              <w:t xml:space="preserve"> je podiel dcérskej spoločnosti, ktorý sa má vykázať, výsledkom vynásobenia podielov dotknutých dcérskych spoločností.</w:t>
            </w:r>
          </w:p>
        </w:tc>
      </w:tr>
      <w:tr w:rsidR="00BF0637" w:rsidRPr="00E07C9A" w14:paraId="24363DFB" w14:textId="77777777" w:rsidTr="00672D2A">
        <w:tc>
          <w:tcPr>
            <w:tcW w:w="1188" w:type="dxa"/>
          </w:tcPr>
          <w:p w14:paraId="4A311542" w14:textId="77777777" w:rsidR="00BF0637" w:rsidRPr="00E07C9A" w:rsidRDefault="00ED20CB" w:rsidP="00BF0637">
            <w:pPr>
              <w:rPr>
                <w:rStyle w:val="InstructionsTabelleText"/>
                <w:rFonts w:ascii="Times New Roman" w:hAnsi="Times New Roman"/>
                <w:sz w:val="24"/>
              </w:rPr>
            </w:pPr>
            <w:r w:rsidRPr="00E07C9A">
              <w:rPr>
                <w:rStyle w:val="InstructionsTabelleText"/>
                <w:rFonts w:ascii="Times New Roman" w:hAnsi="Times New Roman"/>
                <w:sz w:val="24"/>
              </w:rPr>
              <w:t>0070 –⁠ 0240</w:t>
            </w:r>
          </w:p>
        </w:tc>
        <w:tc>
          <w:tcPr>
            <w:tcW w:w="8640" w:type="dxa"/>
          </w:tcPr>
          <w:p w14:paraId="58095466" w14:textId="5776EF38" w:rsidR="00BF0637" w:rsidRPr="00E07C9A" w:rsidRDefault="00BF0637" w:rsidP="00BF0637">
            <w:pPr>
              <w:rPr>
                <w:rStyle w:val="InstructionsTabelleberschrift"/>
                <w:rFonts w:ascii="Times New Roman" w:hAnsi="Times New Roman"/>
                <w:sz w:val="24"/>
              </w:rPr>
            </w:pPr>
            <w:r w:rsidRPr="00E07C9A">
              <w:rPr>
                <w:rStyle w:val="InstructionsTabelleberschrift"/>
                <w:rFonts w:ascii="Times New Roman" w:hAnsi="Times New Roman"/>
                <w:sz w:val="24"/>
              </w:rPr>
              <w:t>INFORMÁCIE</w:t>
            </w:r>
            <w:r w:rsidR="009912F8" w:rsidRPr="00E07C9A">
              <w:rPr>
                <w:rStyle w:val="InstructionsTabelleberschrift"/>
                <w:rFonts w:ascii="Times New Roman" w:hAnsi="Times New Roman"/>
                <w:sz w:val="24"/>
              </w:rPr>
              <w:t xml:space="preserve"> O </w:t>
            </w:r>
            <w:r w:rsidRPr="00E07C9A">
              <w:rPr>
                <w:rStyle w:val="InstructionsTabelleberschrift"/>
                <w:rFonts w:ascii="Times New Roman" w:hAnsi="Times New Roman"/>
                <w:sz w:val="24"/>
              </w:rPr>
              <w:t>SUBJEKTOCH, NA KTORÉ SA VZŤAHUJE POŽIADAVKA NA VLASTNÉ ZDROJE</w:t>
            </w:r>
          </w:p>
          <w:p w14:paraId="76642318" w14:textId="69D78DDD" w:rsidR="009912F8" w:rsidRPr="00E07C9A" w:rsidRDefault="00BF0637" w:rsidP="00BF0637">
            <w:pPr>
              <w:rPr>
                <w:rStyle w:val="InstructionsTabelleText"/>
                <w:rFonts w:ascii="Times New Roman" w:hAnsi="Times New Roman"/>
                <w:sz w:val="24"/>
              </w:rPr>
            </w:pPr>
            <w:r w:rsidRPr="00E07C9A">
              <w:rPr>
                <w:rStyle w:val="InstructionsTabelleText"/>
                <w:rFonts w:ascii="Times New Roman" w:hAnsi="Times New Roman"/>
                <w:sz w:val="24"/>
              </w:rPr>
              <w:t>V oddiele podrobných informácií (t. j. stĺpce 0070 až 0240) sa zhromažďujú informácie len</w:t>
            </w:r>
            <w:r w:rsidR="009912F8" w:rsidRPr="00E07C9A">
              <w:rPr>
                <w:rStyle w:val="InstructionsTabelleText"/>
                <w:rFonts w:ascii="Times New Roman" w:hAnsi="Times New Roman"/>
                <w:sz w:val="24"/>
              </w:rPr>
              <w:t xml:space="preserve"> o </w:t>
            </w:r>
            <w:r w:rsidRPr="00E07C9A">
              <w:rPr>
                <w:rStyle w:val="InstructionsTabelleText"/>
                <w:rFonts w:ascii="Times New Roman" w:hAnsi="Times New Roman"/>
                <w:sz w:val="24"/>
              </w:rPr>
              <w:t>subjektoch</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podskupinách, na ktoré sa</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rámci rozsahu konsolidácie [</w:t>
            </w:r>
            <w:r w:rsidRPr="00E07C9A">
              <w:rPr>
                <w:rFonts w:ascii="Times New Roman" w:hAnsi="Times New Roman"/>
                <w:sz w:val="24"/>
              </w:rPr>
              <w:t xml:space="preserve">prvá časť hlava II kapitola 2 nariadenia (EÚ) </w:t>
            </w:r>
            <w:r w:rsidR="009912F8" w:rsidRPr="00E07C9A">
              <w:rPr>
                <w:rFonts w:ascii="Times New Roman" w:hAnsi="Times New Roman"/>
                <w:sz w:val="24"/>
              </w:rPr>
              <w:t>č. 575/2013</w:t>
            </w:r>
            <w:r w:rsidRPr="00E07C9A">
              <w:rPr>
                <w:rStyle w:val="InstructionsTabelleText"/>
                <w:rFonts w:ascii="Times New Roman" w:hAnsi="Times New Roman"/>
                <w:sz w:val="24"/>
              </w:rPr>
              <w:t>]</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skutočnosti vzťahujú požiadavky na platobnú schopnosť podľa</w:t>
            </w:r>
            <w:r w:rsidRPr="00E07C9A">
              <w:rPr>
                <w:rFonts w:ascii="Times New Roman" w:hAnsi="Times New Roman"/>
                <w:sz w:val="24"/>
              </w:rPr>
              <w:t xml:space="preserve"> nariadenia (EÚ) </w:t>
            </w:r>
            <w:r w:rsidR="009912F8" w:rsidRPr="00E07C9A">
              <w:rPr>
                <w:rFonts w:ascii="Times New Roman" w:hAnsi="Times New Roman"/>
                <w:sz w:val="24"/>
              </w:rPr>
              <w:t>č. 575/2013</w:t>
            </w:r>
            <w:r w:rsidRPr="00E07C9A">
              <w:rPr>
                <w:rStyle w:val="InstructionsTabelleText"/>
                <w:rFonts w:ascii="Times New Roman" w:hAnsi="Times New Roman"/>
                <w:sz w:val="24"/>
              </w:rPr>
              <w:t xml:space="preserve"> alebo ustanovenia, ktoré sú prinajmenšom rovnocenné</w:t>
            </w:r>
            <w:r w:rsidR="009912F8" w:rsidRPr="00E07C9A">
              <w:rPr>
                <w:rStyle w:val="InstructionsTabelleText"/>
                <w:rFonts w:ascii="Times New Roman" w:hAnsi="Times New Roman"/>
                <w:sz w:val="24"/>
              </w:rPr>
              <w:t xml:space="preserve"> s </w:t>
            </w:r>
            <w:r w:rsidRPr="00E07C9A">
              <w:rPr>
                <w:rStyle w:val="InstructionsTabelleText"/>
                <w:rFonts w:ascii="Times New Roman" w:hAnsi="Times New Roman"/>
                <w:sz w:val="24"/>
              </w:rPr>
              <w:t>ustanoveniami dohody Bazilej (t. j.</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stĺpci 0030 je uvedená hodnota „áno“)</w:t>
            </w:r>
            <w:r w:rsidR="009912F8" w:rsidRPr="00E07C9A">
              <w:rPr>
                <w:rStyle w:val="InstructionsTabelleText"/>
                <w:rFonts w:ascii="Times New Roman" w:hAnsi="Times New Roman"/>
                <w:sz w:val="24"/>
              </w:rPr>
              <w:t>.</w:t>
            </w:r>
          </w:p>
          <w:p w14:paraId="65101022" w14:textId="22D5149B" w:rsidR="009912F8" w:rsidRPr="00E07C9A" w:rsidRDefault="00BF0637" w:rsidP="00BF0637">
            <w:pPr>
              <w:rPr>
                <w:rFonts w:ascii="Times New Roman" w:hAnsi="Times New Roman"/>
                <w:sz w:val="24"/>
              </w:rPr>
            </w:pPr>
            <w:r w:rsidRPr="00E07C9A">
              <w:rPr>
                <w:rFonts w:ascii="Times New Roman" w:hAnsi="Times New Roman"/>
                <w:sz w:val="24"/>
              </w:rPr>
              <w:t>Uvádzajú sa informácie</w:t>
            </w:r>
            <w:r w:rsidR="009912F8" w:rsidRPr="00E07C9A">
              <w:rPr>
                <w:rFonts w:ascii="Times New Roman" w:hAnsi="Times New Roman"/>
                <w:sz w:val="24"/>
              </w:rPr>
              <w:t xml:space="preserve"> o </w:t>
            </w:r>
            <w:r w:rsidRPr="00E07C9A">
              <w:rPr>
                <w:rFonts w:ascii="Times New Roman" w:hAnsi="Times New Roman"/>
                <w:sz w:val="24"/>
              </w:rPr>
              <w:t>všetkých samostatných inštitúciách konsolidovanej skupiny, na ktoré sa vzťahujú požiadavky na vlastné zdroje, bez ohľadu na to, kde majú sídlo</w:t>
            </w:r>
            <w:r w:rsidR="009912F8" w:rsidRPr="00E07C9A">
              <w:rPr>
                <w:rFonts w:ascii="Times New Roman" w:hAnsi="Times New Roman"/>
                <w:sz w:val="24"/>
              </w:rPr>
              <w:t>.</w:t>
            </w:r>
          </w:p>
          <w:p w14:paraId="0842D1A7" w14:textId="4002123E" w:rsidR="00BF0637" w:rsidRPr="00E07C9A" w:rsidRDefault="00BF0637" w:rsidP="00BF0637">
            <w:pPr>
              <w:rPr>
                <w:rFonts w:ascii="Times New Roman" w:hAnsi="Times New Roman"/>
                <w:sz w:val="24"/>
              </w:rPr>
            </w:pPr>
            <w:r w:rsidRPr="00E07C9A">
              <w:rPr>
                <w:rFonts w:ascii="Times New Roman" w:hAnsi="Times New Roman"/>
                <w:sz w:val="24"/>
              </w:rPr>
              <w:t>Informácie vykazované</w:t>
            </w:r>
            <w:r w:rsidR="009912F8" w:rsidRPr="00E07C9A">
              <w:rPr>
                <w:rFonts w:ascii="Times New Roman" w:hAnsi="Times New Roman"/>
                <w:sz w:val="24"/>
              </w:rPr>
              <w:t xml:space="preserve"> v </w:t>
            </w:r>
            <w:r w:rsidRPr="00E07C9A">
              <w:rPr>
                <w:rFonts w:ascii="Times New Roman" w:hAnsi="Times New Roman"/>
                <w:sz w:val="24"/>
              </w:rPr>
              <w:t>tejto časti sa riadia miestnymi pravidlami</w:t>
            </w:r>
            <w:r w:rsidR="009912F8" w:rsidRPr="00E07C9A">
              <w:rPr>
                <w:rFonts w:ascii="Times New Roman" w:hAnsi="Times New Roman"/>
                <w:sz w:val="24"/>
              </w:rPr>
              <w:t xml:space="preserve"> o </w:t>
            </w:r>
            <w:r w:rsidRPr="00E07C9A">
              <w:rPr>
                <w:rFonts w:ascii="Times New Roman" w:hAnsi="Times New Roman"/>
                <w:sz w:val="24"/>
              </w:rPr>
              <w:t>platobnej schopnosti danej jurisdikcie,</w:t>
            </w:r>
            <w:r w:rsidR="009912F8" w:rsidRPr="00E07C9A">
              <w:rPr>
                <w:rFonts w:ascii="Times New Roman" w:hAnsi="Times New Roman"/>
                <w:sz w:val="24"/>
              </w:rPr>
              <w:t xml:space="preserve"> v </w:t>
            </w:r>
            <w:r w:rsidRPr="00E07C9A">
              <w:rPr>
                <w:rFonts w:ascii="Times New Roman" w:hAnsi="Times New Roman"/>
                <w:sz w:val="24"/>
              </w:rPr>
              <w:t>ktorej inštitúcia pôsobí (preto sa</w:t>
            </w:r>
            <w:r w:rsidR="009912F8" w:rsidRPr="00E07C9A">
              <w:rPr>
                <w:rFonts w:ascii="Times New Roman" w:hAnsi="Times New Roman"/>
                <w:sz w:val="24"/>
              </w:rPr>
              <w:t xml:space="preserve"> v </w:t>
            </w:r>
            <w:r w:rsidRPr="00E07C9A">
              <w:rPr>
                <w:rFonts w:ascii="Times New Roman" w:hAnsi="Times New Roman"/>
                <w:sz w:val="24"/>
              </w:rPr>
              <w:t>tomto vzore nemusí robiť dvojitý výpočet na individuálnom základe podľa pravidiel materskej inštitúcie). Keď sa miestne pravidlá</w:t>
            </w:r>
            <w:r w:rsidR="009912F8" w:rsidRPr="00E07C9A">
              <w:rPr>
                <w:rFonts w:ascii="Times New Roman" w:hAnsi="Times New Roman"/>
                <w:sz w:val="24"/>
              </w:rPr>
              <w:t xml:space="preserve"> o </w:t>
            </w:r>
            <w:r w:rsidRPr="00E07C9A">
              <w:rPr>
                <w:rFonts w:ascii="Times New Roman" w:hAnsi="Times New Roman"/>
                <w:sz w:val="24"/>
              </w:rPr>
              <w:t xml:space="preserve">platobnej schopnosti líšia od nariadenia (EÚ) </w:t>
            </w:r>
            <w:r w:rsidR="009912F8" w:rsidRPr="00E07C9A">
              <w:rPr>
                <w:rFonts w:ascii="Times New Roman" w:hAnsi="Times New Roman"/>
                <w:sz w:val="24"/>
              </w:rPr>
              <w:t>č. 575/2013 a </w:t>
            </w:r>
            <w:r w:rsidRPr="00E07C9A">
              <w:rPr>
                <w:rFonts w:ascii="Times New Roman" w:hAnsi="Times New Roman"/>
                <w:sz w:val="24"/>
              </w:rPr>
              <w:t>neposkytne sa porovnateľný prehľad, informácie sa doplnia, ak sú údaje dostupné</w:t>
            </w:r>
            <w:r w:rsidR="009912F8" w:rsidRPr="00E07C9A">
              <w:rPr>
                <w:rFonts w:ascii="Times New Roman" w:hAnsi="Times New Roman"/>
                <w:sz w:val="24"/>
              </w:rPr>
              <w:t xml:space="preserve"> v </w:t>
            </w:r>
            <w:r w:rsidRPr="00E07C9A">
              <w:rPr>
                <w:rFonts w:ascii="Times New Roman" w:hAnsi="Times New Roman"/>
                <w:sz w:val="24"/>
              </w:rPr>
              <w:t>príslušnej podrobnej štruktúre. Táto časť je preto faktický vzor,</w:t>
            </w:r>
            <w:r w:rsidR="009912F8" w:rsidRPr="00E07C9A">
              <w:rPr>
                <w:rFonts w:ascii="Times New Roman" w:hAnsi="Times New Roman"/>
                <w:sz w:val="24"/>
              </w:rPr>
              <w:t xml:space="preserve"> v </w:t>
            </w:r>
            <w:r w:rsidRPr="00E07C9A">
              <w:rPr>
                <w:rFonts w:ascii="Times New Roman" w:hAnsi="Times New Roman"/>
                <w:sz w:val="24"/>
              </w:rPr>
              <w:t>ktorom sú zhrnuté výpočty, ktoré jednotlivé inštitúcie skupiny musia vykonať, pričom treba zohľadniť, že na niektoré</w:t>
            </w:r>
            <w:r w:rsidR="009912F8" w:rsidRPr="00E07C9A">
              <w:rPr>
                <w:rFonts w:ascii="Times New Roman" w:hAnsi="Times New Roman"/>
                <w:sz w:val="24"/>
              </w:rPr>
              <w:t xml:space="preserve"> z </w:t>
            </w:r>
            <w:r w:rsidRPr="00E07C9A">
              <w:rPr>
                <w:rFonts w:ascii="Times New Roman" w:hAnsi="Times New Roman"/>
                <w:sz w:val="24"/>
              </w:rPr>
              <w:t>týchto inštitúcií sa môžu vzťahovať rozdielne pravidlá platobnej schopnosti.</w:t>
            </w:r>
          </w:p>
          <w:p w14:paraId="06719DC8" w14:textId="77777777" w:rsidR="00BF0637" w:rsidRPr="00E07C9A" w:rsidRDefault="00BF0637" w:rsidP="00BF0637">
            <w:pPr>
              <w:rPr>
                <w:rStyle w:val="InstructionsTabelleText"/>
                <w:rFonts w:ascii="Times New Roman" w:hAnsi="Times New Roman"/>
                <w:b/>
                <w:sz w:val="24"/>
                <w:u w:val="single"/>
              </w:rPr>
            </w:pPr>
            <w:r w:rsidRPr="00E07C9A">
              <w:rPr>
                <w:rStyle w:val="InstructionsTabelleText"/>
                <w:rFonts w:ascii="Times New Roman" w:hAnsi="Times New Roman"/>
                <w:b/>
                <w:sz w:val="24"/>
                <w:u w:val="single"/>
              </w:rPr>
              <w:t>Vykazovanie fixných režijných nákladov investičných spoločností:</w:t>
            </w:r>
          </w:p>
          <w:p w14:paraId="4FBEB847" w14:textId="727376F0" w:rsidR="00BF0637" w:rsidRPr="00E07C9A" w:rsidRDefault="00BF0637" w:rsidP="00BF0637">
            <w:pPr>
              <w:autoSpaceDE w:val="0"/>
              <w:autoSpaceDN w:val="0"/>
              <w:adjustRightInd w:val="0"/>
              <w:spacing w:after="0"/>
              <w:rPr>
                <w:rStyle w:val="InstructionsTabelleText"/>
                <w:rFonts w:ascii="Times New Roman" w:hAnsi="Times New Roman"/>
                <w:sz w:val="24"/>
              </w:rPr>
            </w:pPr>
            <w:r w:rsidRPr="00E07C9A">
              <w:rPr>
                <w:rStyle w:val="InstructionsTabelleText"/>
                <w:rFonts w:ascii="Times New Roman" w:hAnsi="Times New Roman"/>
                <w:sz w:val="24"/>
              </w:rPr>
              <w:t>Investičné spoločnosti začlenia požiadavky na vlastné zdroje súvisiace</w:t>
            </w:r>
            <w:r w:rsidR="009912F8" w:rsidRPr="00E07C9A">
              <w:rPr>
                <w:rStyle w:val="InstructionsTabelleText"/>
                <w:rFonts w:ascii="Times New Roman" w:hAnsi="Times New Roman"/>
                <w:sz w:val="24"/>
              </w:rPr>
              <w:t xml:space="preserve"> s </w:t>
            </w:r>
            <w:r w:rsidRPr="00E07C9A">
              <w:rPr>
                <w:rStyle w:val="InstructionsTabelleText"/>
                <w:rFonts w:ascii="Times New Roman" w:hAnsi="Times New Roman"/>
                <w:sz w:val="24"/>
              </w:rPr>
              <w:t>fixnými režijnými nákladmi do svojho výpočtu podielu kapitálu podľa článkov 95, 96, 97</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98</w:t>
            </w:r>
            <w:r w:rsidRPr="00E07C9A">
              <w:rPr>
                <w:rFonts w:ascii="Times New Roman" w:hAnsi="Times New Roman"/>
                <w:sz w:val="24"/>
              </w:rPr>
              <w:t xml:space="preserve"> nariadenia (EÚ) </w:t>
            </w:r>
            <w:r w:rsidR="009912F8" w:rsidRPr="00E07C9A">
              <w:rPr>
                <w:rFonts w:ascii="Times New Roman" w:hAnsi="Times New Roman"/>
                <w:sz w:val="24"/>
              </w:rPr>
              <w:t>č. 575/2013</w:t>
            </w:r>
            <w:r w:rsidRPr="00E07C9A">
              <w:rPr>
                <w:rStyle w:val="InstructionsTabelleText"/>
                <w:rFonts w:ascii="Times New Roman" w:hAnsi="Times New Roman"/>
                <w:sz w:val="24"/>
              </w:rPr>
              <w:t>.</w:t>
            </w:r>
          </w:p>
          <w:p w14:paraId="62B06597" w14:textId="776BA698" w:rsidR="00BF0637" w:rsidRPr="00E07C9A" w:rsidRDefault="00BF0637" w:rsidP="001B43BD">
            <w:pPr>
              <w:autoSpaceDE w:val="0"/>
              <w:autoSpaceDN w:val="0"/>
              <w:adjustRightInd w:val="0"/>
              <w:spacing w:after="0"/>
              <w:rPr>
                <w:rStyle w:val="InstructionsTabelleText"/>
                <w:rFonts w:ascii="Times New Roman" w:hAnsi="Times New Roman"/>
                <w:sz w:val="24"/>
              </w:rPr>
            </w:pPr>
            <w:r w:rsidRPr="00E07C9A">
              <w:rPr>
                <w:rStyle w:val="InstructionsTabelleText"/>
                <w:rFonts w:ascii="Times New Roman" w:hAnsi="Times New Roman"/>
                <w:sz w:val="24"/>
              </w:rPr>
              <w:t>Časť celkovej hodnoty rizikovej expozície súvisiaca</w:t>
            </w:r>
            <w:r w:rsidR="009912F8" w:rsidRPr="00E07C9A">
              <w:rPr>
                <w:rStyle w:val="InstructionsTabelleText"/>
                <w:rFonts w:ascii="Times New Roman" w:hAnsi="Times New Roman"/>
                <w:sz w:val="24"/>
              </w:rPr>
              <w:t xml:space="preserve"> s </w:t>
            </w:r>
            <w:r w:rsidRPr="00E07C9A">
              <w:rPr>
                <w:rStyle w:val="InstructionsTabelleText"/>
                <w:rFonts w:ascii="Times New Roman" w:hAnsi="Times New Roman"/>
                <w:sz w:val="24"/>
              </w:rPr>
              <w:t>fixnými režijnými nákladmi sa vykazuje</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 xml:space="preserve">stĺpci 0100 tohto vzoru. </w:t>
            </w:r>
          </w:p>
        </w:tc>
      </w:tr>
      <w:tr w:rsidR="00BF0637" w:rsidRPr="00E07C9A" w14:paraId="4CAFDF0D" w14:textId="77777777" w:rsidTr="00672D2A">
        <w:tc>
          <w:tcPr>
            <w:tcW w:w="1188" w:type="dxa"/>
          </w:tcPr>
          <w:p w14:paraId="4FF47DC8" w14:textId="77777777" w:rsidR="00BF0637" w:rsidRPr="00E07C9A" w:rsidRDefault="00ED20CB" w:rsidP="00BF0637">
            <w:pPr>
              <w:rPr>
                <w:rStyle w:val="InstructionsTabelleText"/>
                <w:rFonts w:ascii="Times New Roman" w:hAnsi="Times New Roman"/>
                <w:sz w:val="24"/>
              </w:rPr>
            </w:pPr>
            <w:r w:rsidRPr="00E07C9A">
              <w:rPr>
                <w:rStyle w:val="InstructionsTabelleText"/>
                <w:rFonts w:ascii="Times New Roman" w:hAnsi="Times New Roman"/>
                <w:sz w:val="24"/>
              </w:rPr>
              <w:t>0070</w:t>
            </w:r>
          </w:p>
        </w:tc>
        <w:tc>
          <w:tcPr>
            <w:tcW w:w="8640" w:type="dxa"/>
          </w:tcPr>
          <w:p w14:paraId="55FC5D92" w14:textId="77777777" w:rsidR="009912F8" w:rsidRPr="00E07C9A" w:rsidRDefault="00BF0637" w:rsidP="00BF0637">
            <w:pPr>
              <w:rPr>
                <w:rStyle w:val="InstructionsTabelleberschrift"/>
                <w:rFonts w:ascii="Times New Roman" w:hAnsi="Times New Roman"/>
                <w:sz w:val="24"/>
              </w:rPr>
            </w:pPr>
            <w:r w:rsidRPr="00E07C9A">
              <w:rPr>
                <w:rStyle w:val="InstructionsTabelleberschrift"/>
                <w:rFonts w:ascii="Times New Roman" w:hAnsi="Times New Roman"/>
                <w:sz w:val="24"/>
              </w:rPr>
              <w:t>CELKOVÁ HODNOTA RIZIKOVEJ EXPOZÍCIE</w:t>
            </w:r>
          </w:p>
          <w:p w14:paraId="5DD1978D" w14:textId="6CCB800D" w:rsidR="00BF0637" w:rsidRPr="00E07C9A" w:rsidRDefault="00BF0637" w:rsidP="00BF0637">
            <w:pPr>
              <w:rPr>
                <w:rStyle w:val="InstructionsTabelleberschrift"/>
                <w:rFonts w:ascii="Times New Roman" w:hAnsi="Times New Roman"/>
                <w:sz w:val="24"/>
              </w:rPr>
            </w:pPr>
            <w:r w:rsidRPr="00E07C9A">
              <w:rPr>
                <w:rStyle w:val="InstructionsTabelleText"/>
                <w:rFonts w:ascii="Times New Roman" w:hAnsi="Times New Roman"/>
                <w:sz w:val="24"/>
              </w:rPr>
              <w:t>Vykazuje sa súčet stĺpcov 0080 až 0110.</w:t>
            </w:r>
          </w:p>
        </w:tc>
      </w:tr>
      <w:tr w:rsidR="00BF0637" w:rsidRPr="00E07C9A" w14:paraId="6067760A" w14:textId="77777777" w:rsidTr="00672D2A">
        <w:tc>
          <w:tcPr>
            <w:tcW w:w="1188" w:type="dxa"/>
          </w:tcPr>
          <w:p w14:paraId="120CE5F8" w14:textId="77777777" w:rsidR="00BF0637" w:rsidRPr="00E07C9A" w:rsidRDefault="00ED20CB" w:rsidP="00BF0637">
            <w:pPr>
              <w:rPr>
                <w:rStyle w:val="InstructionsTabelleText"/>
                <w:rFonts w:ascii="Times New Roman" w:hAnsi="Times New Roman"/>
                <w:sz w:val="24"/>
              </w:rPr>
            </w:pPr>
            <w:r w:rsidRPr="00E07C9A">
              <w:rPr>
                <w:rStyle w:val="InstructionsTabelleText"/>
                <w:rFonts w:ascii="Times New Roman" w:hAnsi="Times New Roman"/>
                <w:sz w:val="24"/>
              </w:rPr>
              <w:t>0080</w:t>
            </w:r>
          </w:p>
        </w:tc>
        <w:tc>
          <w:tcPr>
            <w:tcW w:w="8640" w:type="dxa"/>
          </w:tcPr>
          <w:p w14:paraId="13DF1252" w14:textId="5EAB67DF" w:rsidR="00BF0637" w:rsidRPr="00E07C9A" w:rsidRDefault="00BF0637" w:rsidP="00BF0637">
            <w:pPr>
              <w:rPr>
                <w:rStyle w:val="InstructionsTabelleberschrift"/>
                <w:rFonts w:ascii="Times New Roman" w:hAnsi="Times New Roman"/>
                <w:sz w:val="24"/>
              </w:rPr>
            </w:pPr>
            <w:r w:rsidRPr="00E07C9A">
              <w:rPr>
                <w:rStyle w:val="InstructionsTabelleberschrift"/>
                <w:rFonts w:ascii="Times New Roman" w:hAnsi="Times New Roman"/>
                <w:sz w:val="24"/>
              </w:rPr>
              <w:t>KREDITNÉ RIZIKO; KREDITNÉ RIZIKO PROTISTRANY; RIZIKÁ ZNÍŽENIA KVALITY POHĽADÁVOK</w:t>
            </w:r>
            <w:r w:rsidR="009912F8" w:rsidRPr="00E07C9A">
              <w:rPr>
                <w:rStyle w:val="InstructionsTabelleberschrift"/>
                <w:rFonts w:ascii="Times New Roman" w:hAnsi="Times New Roman"/>
                <w:sz w:val="24"/>
              </w:rPr>
              <w:t xml:space="preserve"> Z </w:t>
            </w:r>
            <w:r w:rsidRPr="00E07C9A">
              <w:rPr>
                <w:rStyle w:val="InstructionsTabelleberschrift"/>
                <w:rFonts w:ascii="Times New Roman" w:hAnsi="Times New Roman"/>
                <w:sz w:val="24"/>
              </w:rPr>
              <w:t>INÝCH AKO KREDITNÝCH DÔVODOV, BEZODPLATNÉ DODANIE A RIZIKO VYROVNANIA/DODANIA</w:t>
            </w:r>
          </w:p>
          <w:p w14:paraId="6FCE823E" w14:textId="4358A2F1" w:rsidR="00BF0637" w:rsidRPr="00E07C9A" w:rsidRDefault="00BF0637" w:rsidP="00BF0637">
            <w:pPr>
              <w:rPr>
                <w:rStyle w:val="InstructionsTabelleText"/>
                <w:rFonts w:ascii="Times New Roman" w:hAnsi="Times New Roman"/>
                <w:sz w:val="24"/>
              </w:rPr>
            </w:pPr>
            <w:r w:rsidRPr="00E07C9A">
              <w:rPr>
                <w:rStyle w:val="InstructionsTabelleText"/>
                <w:rFonts w:ascii="Times New Roman" w:hAnsi="Times New Roman"/>
                <w:sz w:val="24"/>
              </w:rPr>
              <w:t>Hodnota, ktorá sa má vykázať</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tomto stĺpci, zodpovedá súčtu hodnôt rizikovo vážených expozícií, ktoré sa rovnajú alebo sú rovnocenné</w:t>
            </w:r>
            <w:r w:rsidR="009912F8" w:rsidRPr="00E07C9A">
              <w:rPr>
                <w:rStyle w:val="InstructionsTabelleText"/>
                <w:rFonts w:ascii="Times New Roman" w:hAnsi="Times New Roman"/>
                <w:sz w:val="24"/>
              </w:rPr>
              <w:t xml:space="preserve"> s </w:t>
            </w:r>
            <w:r w:rsidRPr="00E07C9A">
              <w:rPr>
                <w:rStyle w:val="InstructionsTabelleText"/>
                <w:rFonts w:ascii="Times New Roman" w:hAnsi="Times New Roman"/>
                <w:sz w:val="24"/>
              </w:rPr>
              <w:t>hodnotami, ktoré sa musia vykázať</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riadku 0040 „</w:t>
            </w:r>
            <w:r w:rsidRPr="00E07C9A">
              <w:rPr>
                <w:rStyle w:val="InstructionsTabelleberschrift"/>
                <w:rFonts w:ascii="Times New Roman" w:hAnsi="Times New Roman"/>
                <w:b w:val="0"/>
                <w:sz w:val="24"/>
                <w:u w:val="none"/>
              </w:rPr>
              <w:t>HODNOTY RIZIKOVO VÁŽENÝCH EXPOZÍCIÍ</w:t>
            </w:r>
            <w:r w:rsidRPr="00E07C9A">
              <w:rPr>
                <w:rFonts w:ascii="Times New Roman" w:hAnsi="Times New Roman"/>
                <w:sz w:val="24"/>
              </w:rPr>
              <w:t xml:space="preserve"> </w:t>
            </w:r>
            <w:r w:rsidRPr="00E07C9A">
              <w:rPr>
                <w:rStyle w:val="InstructionsTabelleText"/>
                <w:rFonts w:ascii="Times New Roman" w:hAnsi="Times New Roman"/>
                <w:sz w:val="24"/>
              </w:rPr>
              <w:t xml:space="preserve">PRE KREDITNÉ </w:t>
            </w:r>
            <w:r w:rsidRPr="00E07C9A">
              <w:rPr>
                <w:rStyle w:val="InstructionsTabelleText"/>
                <w:rFonts w:ascii="Times New Roman" w:hAnsi="Times New Roman"/>
                <w:sz w:val="24"/>
              </w:rPr>
              <w:lastRenderedPageBreak/>
              <w:t>RIZIKO, KREDITNÉ RIZIKO PROTISTRANY, RIZIKO ZNÍŽENIA KVALITY POHĽADÁVOK</w:t>
            </w:r>
            <w:r w:rsidR="009912F8" w:rsidRPr="00E07C9A">
              <w:rPr>
                <w:rStyle w:val="InstructionsTabelleText"/>
                <w:rFonts w:ascii="Times New Roman" w:hAnsi="Times New Roman"/>
                <w:sz w:val="24"/>
              </w:rPr>
              <w:t xml:space="preserve"> Z </w:t>
            </w:r>
            <w:r w:rsidRPr="00E07C9A">
              <w:rPr>
                <w:rStyle w:val="InstructionsTabelleText"/>
                <w:rFonts w:ascii="Times New Roman" w:hAnsi="Times New Roman"/>
                <w:sz w:val="24"/>
              </w:rPr>
              <w:t>INÝCH AKO KREDITNÝCH DÔVODOV A BEZODPLATNÉ DODANIE“,</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hodnôt požiadaviek na vlastné zdroje, ktoré sa rovnajú alebo sú rovnocenné</w:t>
            </w:r>
            <w:r w:rsidR="009912F8" w:rsidRPr="00E07C9A">
              <w:rPr>
                <w:rStyle w:val="InstructionsTabelleText"/>
                <w:rFonts w:ascii="Times New Roman" w:hAnsi="Times New Roman"/>
                <w:sz w:val="24"/>
              </w:rPr>
              <w:t xml:space="preserve"> s </w:t>
            </w:r>
            <w:r w:rsidRPr="00E07C9A">
              <w:rPr>
                <w:rStyle w:val="InstructionsTabelleText"/>
                <w:rFonts w:ascii="Times New Roman" w:hAnsi="Times New Roman"/>
                <w:sz w:val="24"/>
              </w:rPr>
              <w:t>hodnotami, ktoré sa musia vykázať</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riadku 0490 „CELKOVÁ HODNOTA RIZIKOVEJ EXPOZÍCIE PRE RIZIKÁ VYROVNANIA/DODANIA“ vzoru CA2.</w:t>
            </w:r>
          </w:p>
        </w:tc>
      </w:tr>
      <w:tr w:rsidR="00BF0637" w:rsidRPr="00E07C9A" w14:paraId="4FABAC2B" w14:textId="77777777" w:rsidTr="00672D2A">
        <w:tc>
          <w:tcPr>
            <w:tcW w:w="1188" w:type="dxa"/>
          </w:tcPr>
          <w:p w14:paraId="7C283EA9" w14:textId="77777777" w:rsidR="00BF0637" w:rsidRPr="00E07C9A" w:rsidRDefault="00ED20CB" w:rsidP="00BF0637">
            <w:pPr>
              <w:rPr>
                <w:rStyle w:val="InstructionsTabelleText"/>
                <w:rFonts w:ascii="Times New Roman" w:hAnsi="Times New Roman"/>
                <w:sz w:val="24"/>
              </w:rPr>
            </w:pPr>
            <w:r w:rsidRPr="00E07C9A">
              <w:rPr>
                <w:rStyle w:val="InstructionsTabelleText"/>
                <w:rFonts w:ascii="Times New Roman" w:hAnsi="Times New Roman"/>
                <w:sz w:val="24"/>
              </w:rPr>
              <w:lastRenderedPageBreak/>
              <w:t>0090</w:t>
            </w:r>
          </w:p>
        </w:tc>
        <w:tc>
          <w:tcPr>
            <w:tcW w:w="8640" w:type="dxa"/>
          </w:tcPr>
          <w:p w14:paraId="2EF8E237" w14:textId="77777777" w:rsidR="00BF0637" w:rsidRPr="00E07C9A" w:rsidRDefault="00BF0637" w:rsidP="00BF0637">
            <w:pPr>
              <w:rPr>
                <w:rStyle w:val="InstructionsTabelleberschrift"/>
                <w:rFonts w:ascii="Times New Roman" w:hAnsi="Times New Roman"/>
                <w:sz w:val="24"/>
              </w:rPr>
            </w:pPr>
            <w:r w:rsidRPr="00E07C9A">
              <w:rPr>
                <w:rStyle w:val="InstructionsTabelleberschrift"/>
                <w:rFonts w:ascii="Times New Roman" w:hAnsi="Times New Roman"/>
                <w:sz w:val="24"/>
              </w:rPr>
              <w:t>POZIČNÉ, DEVÍZOVÉ A KOMODITNÉ RIZIKO</w:t>
            </w:r>
          </w:p>
          <w:p w14:paraId="1D0B2589" w14:textId="25043AEC" w:rsidR="00BF0637" w:rsidRPr="00E07C9A" w:rsidRDefault="00BF0637" w:rsidP="00BF0637">
            <w:pPr>
              <w:rPr>
                <w:rStyle w:val="InstructionsTabelleText"/>
                <w:rFonts w:ascii="Times New Roman" w:hAnsi="Times New Roman"/>
                <w:sz w:val="24"/>
              </w:rPr>
            </w:pPr>
            <w:r w:rsidRPr="00E07C9A">
              <w:rPr>
                <w:rStyle w:val="InstructionsTabelleText"/>
                <w:rFonts w:ascii="Times New Roman" w:hAnsi="Times New Roman"/>
                <w:sz w:val="24"/>
              </w:rPr>
              <w:t>Hodnota, ktorá sa má vykázať</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tomto stĺpci, zodpovedá hodnote požiadaviek na vlastné zdroje, ktorá sa rovná alebo je rovnocenná</w:t>
            </w:r>
            <w:r w:rsidR="009912F8" w:rsidRPr="00E07C9A">
              <w:rPr>
                <w:rStyle w:val="InstructionsTabelleText"/>
                <w:rFonts w:ascii="Times New Roman" w:hAnsi="Times New Roman"/>
                <w:sz w:val="24"/>
              </w:rPr>
              <w:t xml:space="preserve"> s </w:t>
            </w:r>
            <w:r w:rsidRPr="00E07C9A">
              <w:rPr>
                <w:rStyle w:val="InstructionsTabelleText"/>
                <w:rFonts w:ascii="Times New Roman" w:hAnsi="Times New Roman"/>
                <w:sz w:val="24"/>
              </w:rPr>
              <w:t>hodnotami, ktoré sa musia vykázať</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riadku 0520 „CELKOVÁ HODNOTA RIZIKOVEJ EXPOZÍCIE PRE POZIČNÉ, DEVÍZOVÉ A KOMODITNÉ RIZIKO“ vzoru CA2.</w:t>
            </w:r>
          </w:p>
        </w:tc>
      </w:tr>
      <w:tr w:rsidR="00BF0637" w:rsidRPr="00E07C9A" w14:paraId="7B374C5D" w14:textId="77777777" w:rsidTr="00672D2A">
        <w:tc>
          <w:tcPr>
            <w:tcW w:w="1188" w:type="dxa"/>
          </w:tcPr>
          <w:p w14:paraId="07F8DEB1" w14:textId="77777777" w:rsidR="00BF0637" w:rsidRPr="00E07C9A" w:rsidRDefault="00ED20CB" w:rsidP="00BF0637">
            <w:pPr>
              <w:rPr>
                <w:rStyle w:val="InstructionsTabelleText"/>
                <w:rFonts w:ascii="Times New Roman" w:hAnsi="Times New Roman"/>
                <w:sz w:val="24"/>
              </w:rPr>
            </w:pPr>
            <w:r w:rsidRPr="00E07C9A">
              <w:rPr>
                <w:rStyle w:val="InstructionsTabelleText"/>
                <w:rFonts w:ascii="Times New Roman" w:hAnsi="Times New Roman"/>
                <w:sz w:val="24"/>
              </w:rPr>
              <w:t>0100</w:t>
            </w:r>
          </w:p>
        </w:tc>
        <w:tc>
          <w:tcPr>
            <w:tcW w:w="8640" w:type="dxa"/>
          </w:tcPr>
          <w:p w14:paraId="7183E372" w14:textId="77777777" w:rsidR="00BF0637" w:rsidRPr="00E07C9A" w:rsidRDefault="00BF0637" w:rsidP="00BF0637">
            <w:pPr>
              <w:rPr>
                <w:rStyle w:val="InstructionsTabelleberschrift"/>
                <w:rFonts w:ascii="Times New Roman" w:hAnsi="Times New Roman"/>
                <w:sz w:val="24"/>
              </w:rPr>
            </w:pPr>
            <w:r w:rsidRPr="00E07C9A">
              <w:rPr>
                <w:rStyle w:val="InstructionsTabelleberschrift"/>
                <w:rFonts w:ascii="Times New Roman" w:hAnsi="Times New Roman"/>
                <w:sz w:val="24"/>
              </w:rPr>
              <w:t>OPERAČNÉ RIZIKO</w:t>
            </w:r>
          </w:p>
          <w:p w14:paraId="6BB980A0" w14:textId="016905DA" w:rsidR="00BF0637" w:rsidRPr="00E07C9A" w:rsidRDefault="00BF0637" w:rsidP="00BF0637">
            <w:pPr>
              <w:rPr>
                <w:rStyle w:val="InstructionsTabelleText"/>
                <w:rFonts w:ascii="Times New Roman" w:hAnsi="Times New Roman"/>
                <w:sz w:val="24"/>
              </w:rPr>
            </w:pPr>
            <w:r w:rsidRPr="00E07C9A">
              <w:rPr>
                <w:rStyle w:val="InstructionsTabelleText"/>
                <w:rFonts w:ascii="Times New Roman" w:hAnsi="Times New Roman"/>
                <w:sz w:val="24"/>
              </w:rPr>
              <w:t>Hodnota, ktorá sa má vykázať</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tomto stĺpci, zodpovedá hodnote rizikovej expozície, ktorá sa rovná alebo je rovnocenná</w:t>
            </w:r>
            <w:r w:rsidR="009912F8" w:rsidRPr="00E07C9A">
              <w:rPr>
                <w:rStyle w:val="InstructionsTabelleText"/>
                <w:rFonts w:ascii="Times New Roman" w:hAnsi="Times New Roman"/>
                <w:sz w:val="24"/>
              </w:rPr>
              <w:t xml:space="preserve"> s </w:t>
            </w:r>
            <w:r w:rsidRPr="00E07C9A">
              <w:rPr>
                <w:rStyle w:val="InstructionsTabelleText"/>
                <w:rFonts w:ascii="Times New Roman" w:hAnsi="Times New Roman"/>
                <w:sz w:val="24"/>
              </w:rPr>
              <w:t>hodnotou, ktorá sa musí vykázať</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riadku 0590 „CELKOVÁ HODNOTA RIZIKOVEJ EXPOZÍCIE PRE OPERAČNÉ RIZIKÁ (OpR)“ vzoru CA2.</w:t>
            </w:r>
          </w:p>
          <w:p w14:paraId="46886FD6" w14:textId="77777777" w:rsidR="00BF0637" w:rsidRPr="00E07C9A" w:rsidRDefault="00BF0637" w:rsidP="00BF0637">
            <w:pPr>
              <w:rPr>
                <w:rStyle w:val="InstructionsTabelleText"/>
                <w:rFonts w:ascii="Times New Roman" w:hAnsi="Times New Roman"/>
                <w:sz w:val="24"/>
              </w:rPr>
            </w:pPr>
            <w:r w:rsidRPr="00E07C9A">
              <w:rPr>
                <w:rStyle w:val="InstructionsTabelleText"/>
                <w:rFonts w:ascii="Times New Roman" w:hAnsi="Times New Roman"/>
                <w:sz w:val="24"/>
              </w:rPr>
              <w:t>Do tohto stĺpca sa zahrnú fixné režijné náklady vrátane riadku 0630 „DODATOČNÁ HODNOTA RIZIKOVEJ EXPOZÍCIE NA ZÁKLADE FIXNÝCH REŽIJNÝCH NÁKLADOV“ vzoru CA2.</w:t>
            </w:r>
          </w:p>
        </w:tc>
      </w:tr>
      <w:tr w:rsidR="00BF0637" w:rsidRPr="00E07C9A" w14:paraId="27E3F905" w14:textId="77777777" w:rsidTr="00672D2A">
        <w:tc>
          <w:tcPr>
            <w:tcW w:w="1188" w:type="dxa"/>
          </w:tcPr>
          <w:p w14:paraId="13799402" w14:textId="77777777" w:rsidR="00BF0637" w:rsidRPr="00E07C9A" w:rsidRDefault="00ED20CB" w:rsidP="00BF0637">
            <w:pPr>
              <w:rPr>
                <w:rStyle w:val="InstructionsTabelleText"/>
                <w:rFonts w:ascii="Times New Roman" w:hAnsi="Times New Roman"/>
                <w:sz w:val="24"/>
              </w:rPr>
            </w:pPr>
            <w:r w:rsidRPr="00E07C9A">
              <w:rPr>
                <w:rStyle w:val="InstructionsTabelleText"/>
                <w:rFonts w:ascii="Times New Roman" w:hAnsi="Times New Roman"/>
                <w:sz w:val="24"/>
              </w:rPr>
              <w:t>0110</w:t>
            </w:r>
          </w:p>
        </w:tc>
        <w:tc>
          <w:tcPr>
            <w:tcW w:w="8640" w:type="dxa"/>
          </w:tcPr>
          <w:p w14:paraId="3A2FCCE5" w14:textId="77777777" w:rsidR="00BF0637" w:rsidRPr="00E07C9A" w:rsidRDefault="00BF0637" w:rsidP="00BF0637">
            <w:pPr>
              <w:rPr>
                <w:rStyle w:val="InstructionsTabelleberschrift"/>
                <w:rFonts w:ascii="Times New Roman" w:hAnsi="Times New Roman"/>
                <w:sz w:val="24"/>
              </w:rPr>
            </w:pPr>
            <w:r w:rsidRPr="00E07C9A">
              <w:rPr>
                <w:rStyle w:val="InstructionsTabelleberschrift"/>
                <w:rFonts w:ascii="Times New Roman" w:hAnsi="Times New Roman"/>
                <w:sz w:val="24"/>
              </w:rPr>
              <w:t>INÉ HODNOTY RIZIKOVÝCH EXPOZÍCIÍ</w:t>
            </w:r>
          </w:p>
          <w:p w14:paraId="56D4418F" w14:textId="7019AB7A" w:rsidR="00BF0637" w:rsidRPr="00E07C9A" w:rsidRDefault="00BF0637" w:rsidP="00BF0637">
            <w:pPr>
              <w:rPr>
                <w:rStyle w:val="InstructionsTabelleText"/>
                <w:rFonts w:ascii="Times New Roman" w:hAnsi="Times New Roman"/>
                <w:sz w:val="24"/>
              </w:rPr>
            </w:pPr>
            <w:r w:rsidRPr="00E07C9A">
              <w:rPr>
                <w:rStyle w:val="InstructionsTabelleText"/>
                <w:rFonts w:ascii="Times New Roman" w:hAnsi="Times New Roman"/>
                <w:sz w:val="24"/>
              </w:rPr>
              <w:t>Hodnota vykazovaná</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tomto stĺpci zodpovedá hodnote rizikovej expozície, ktorá nie je osobitne uvedená vyššie. Je to súčet hodnôt uvedených</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riadkoch 0640, 0680</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0690 vzoru CA2.</w:t>
            </w:r>
          </w:p>
        </w:tc>
      </w:tr>
      <w:tr w:rsidR="00BF0637" w:rsidRPr="00E07C9A" w14:paraId="4E55631C" w14:textId="77777777" w:rsidTr="00672D2A">
        <w:tc>
          <w:tcPr>
            <w:tcW w:w="1188" w:type="dxa"/>
          </w:tcPr>
          <w:p w14:paraId="6FD50822" w14:textId="77777777" w:rsidR="00BF0637" w:rsidRPr="00E07C9A" w:rsidRDefault="00ED20CB" w:rsidP="00BF0637">
            <w:pPr>
              <w:rPr>
                <w:rStyle w:val="InstructionsTabelleText"/>
                <w:rFonts w:ascii="Times New Roman" w:hAnsi="Times New Roman"/>
                <w:sz w:val="24"/>
              </w:rPr>
            </w:pPr>
            <w:r w:rsidRPr="00E07C9A">
              <w:rPr>
                <w:rStyle w:val="InstructionsTabelleText"/>
                <w:rFonts w:ascii="Times New Roman" w:hAnsi="Times New Roman"/>
                <w:sz w:val="24"/>
              </w:rPr>
              <w:t>0120 –⁠⁠ 0240</w:t>
            </w:r>
          </w:p>
        </w:tc>
        <w:tc>
          <w:tcPr>
            <w:tcW w:w="8640" w:type="dxa"/>
          </w:tcPr>
          <w:p w14:paraId="5AA5FFF4" w14:textId="64610EEB" w:rsidR="00BF0637" w:rsidRPr="00E07C9A" w:rsidRDefault="00BF0637" w:rsidP="00BF0637">
            <w:pPr>
              <w:rPr>
                <w:rStyle w:val="InstructionsTabelleberschrift"/>
                <w:rFonts w:ascii="Times New Roman" w:hAnsi="Times New Roman"/>
                <w:sz w:val="24"/>
              </w:rPr>
            </w:pPr>
            <w:r w:rsidRPr="00E07C9A">
              <w:rPr>
                <w:rStyle w:val="InstructionsTabelleberschrift"/>
                <w:rFonts w:ascii="Times New Roman" w:hAnsi="Times New Roman"/>
                <w:sz w:val="24"/>
              </w:rPr>
              <w:t>PODROBNÉ INFORMÁCIE</w:t>
            </w:r>
            <w:r w:rsidR="009912F8" w:rsidRPr="00E07C9A">
              <w:rPr>
                <w:rStyle w:val="InstructionsTabelleberschrift"/>
                <w:rFonts w:ascii="Times New Roman" w:hAnsi="Times New Roman"/>
                <w:sz w:val="24"/>
              </w:rPr>
              <w:t xml:space="preserve"> O </w:t>
            </w:r>
            <w:r w:rsidRPr="00E07C9A">
              <w:rPr>
                <w:rStyle w:val="InstructionsTabelleberschrift"/>
                <w:rFonts w:ascii="Times New Roman" w:hAnsi="Times New Roman"/>
                <w:sz w:val="24"/>
              </w:rPr>
              <w:t>VLASTNÝCH ZDROJOCH SKUPINOVEJ SOLVENTNOSTI</w:t>
            </w:r>
          </w:p>
          <w:p w14:paraId="2D591A5E" w14:textId="7F525F67" w:rsidR="00BF0637" w:rsidRPr="00E07C9A" w:rsidRDefault="00BF0637" w:rsidP="00BF0637">
            <w:pPr>
              <w:rPr>
                <w:rStyle w:val="InstructionsTabelleText"/>
                <w:rFonts w:ascii="Times New Roman" w:hAnsi="Times New Roman"/>
                <w:sz w:val="24"/>
              </w:rPr>
            </w:pPr>
            <w:r w:rsidRPr="00E07C9A">
              <w:rPr>
                <w:rStyle w:val="InstructionsTabelleText"/>
                <w:rFonts w:ascii="Times New Roman" w:hAnsi="Times New Roman"/>
                <w:sz w:val="24"/>
              </w:rPr>
              <w:t>Informácie vykazované</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nasledujúcich stĺpcoch odzrkadľujú miestne pravidlá</w:t>
            </w:r>
            <w:r w:rsidR="009912F8" w:rsidRPr="00E07C9A">
              <w:rPr>
                <w:rStyle w:val="InstructionsTabelleText"/>
                <w:rFonts w:ascii="Times New Roman" w:hAnsi="Times New Roman"/>
                <w:sz w:val="24"/>
              </w:rPr>
              <w:t xml:space="preserve"> o </w:t>
            </w:r>
            <w:r w:rsidRPr="00E07C9A">
              <w:rPr>
                <w:rStyle w:val="InstructionsTabelleText"/>
                <w:rFonts w:ascii="Times New Roman" w:hAnsi="Times New Roman"/>
                <w:sz w:val="24"/>
              </w:rPr>
              <w:t>platobnej schopnosti členského štátu,</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ktorom subjekt alebo podskupina pôsobia.</w:t>
            </w:r>
          </w:p>
        </w:tc>
      </w:tr>
      <w:tr w:rsidR="00BF0637" w:rsidRPr="00E07C9A" w14:paraId="4802B7C9" w14:textId="77777777" w:rsidTr="00672D2A">
        <w:tc>
          <w:tcPr>
            <w:tcW w:w="1188" w:type="dxa"/>
          </w:tcPr>
          <w:p w14:paraId="3CC816A5" w14:textId="77777777" w:rsidR="00BF0637" w:rsidRPr="00E07C9A" w:rsidRDefault="00ED20CB" w:rsidP="00BF0637">
            <w:pPr>
              <w:rPr>
                <w:rStyle w:val="InstructionsTabelleText"/>
                <w:rFonts w:ascii="Times New Roman" w:hAnsi="Times New Roman"/>
                <w:sz w:val="24"/>
              </w:rPr>
            </w:pPr>
            <w:r w:rsidRPr="00E07C9A">
              <w:rPr>
                <w:rStyle w:val="InstructionsTabelleText"/>
                <w:rFonts w:ascii="Times New Roman" w:hAnsi="Times New Roman"/>
                <w:sz w:val="24"/>
              </w:rPr>
              <w:t>0120</w:t>
            </w:r>
          </w:p>
        </w:tc>
        <w:tc>
          <w:tcPr>
            <w:tcW w:w="8640" w:type="dxa"/>
          </w:tcPr>
          <w:p w14:paraId="631979E0" w14:textId="77777777" w:rsidR="00BF0637" w:rsidRPr="00E07C9A" w:rsidRDefault="00BF0637" w:rsidP="00BF0637">
            <w:pPr>
              <w:rPr>
                <w:rStyle w:val="InstructionsTabelleberschrift"/>
                <w:rFonts w:ascii="Times New Roman" w:hAnsi="Times New Roman"/>
                <w:sz w:val="24"/>
              </w:rPr>
            </w:pPr>
            <w:r w:rsidRPr="00E07C9A">
              <w:rPr>
                <w:rStyle w:val="InstructionsTabelleberschrift"/>
                <w:rFonts w:ascii="Times New Roman" w:hAnsi="Times New Roman"/>
                <w:sz w:val="24"/>
              </w:rPr>
              <w:t>VLASTNÉ ZDROJE</w:t>
            </w:r>
          </w:p>
          <w:p w14:paraId="63658095" w14:textId="538451A3" w:rsidR="00BF0637" w:rsidRPr="00E07C9A" w:rsidRDefault="00BF0637" w:rsidP="00BF0637">
            <w:pPr>
              <w:rPr>
                <w:rStyle w:val="InstructionsTabelleberschrift"/>
                <w:rFonts w:ascii="Times New Roman" w:hAnsi="Times New Roman"/>
                <w:sz w:val="24"/>
              </w:rPr>
            </w:pPr>
            <w:r w:rsidRPr="00E07C9A">
              <w:rPr>
                <w:rStyle w:val="InstructionsTabelleText"/>
                <w:rFonts w:ascii="Times New Roman" w:hAnsi="Times New Roman"/>
                <w:sz w:val="24"/>
              </w:rPr>
              <w:t>Hodnota, ktorá sa má vykázať</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tomto stĺpci, zodpovedá hodnote vlastných zdrojov, ktorá sa rovná alebo je rovnocenná</w:t>
            </w:r>
            <w:r w:rsidR="009912F8" w:rsidRPr="00E07C9A">
              <w:rPr>
                <w:rStyle w:val="InstructionsTabelleText"/>
                <w:rFonts w:ascii="Times New Roman" w:hAnsi="Times New Roman"/>
                <w:sz w:val="24"/>
              </w:rPr>
              <w:t xml:space="preserve"> s </w:t>
            </w:r>
            <w:r w:rsidRPr="00E07C9A">
              <w:rPr>
                <w:rStyle w:val="InstructionsTabelleText"/>
                <w:rFonts w:ascii="Times New Roman" w:hAnsi="Times New Roman"/>
                <w:sz w:val="24"/>
              </w:rPr>
              <w:t>hodnotami, ktoré sa musia vykázať</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riadku 0010 „VLASTNÉ ZDROJE“ vzoru CA1.</w:t>
            </w:r>
          </w:p>
        </w:tc>
      </w:tr>
      <w:tr w:rsidR="00BF0637" w:rsidRPr="00E07C9A" w14:paraId="3629C7E1" w14:textId="77777777" w:rsidTr="00672D2A">
        <w:tc>
          <w:tcPr>
            <w:tcW w:w="1188" w:type="dxa"/>
          </w:tcPr>
          <w:p w14:paraId="2B5163D3" w14:textId="77777777" w:rsidR="00BF0637" w:rsidRPr="00E07C9A" w:rsidRDefault="00ED20CB" w:rsidP="00BF0637">
            <w:pPr>
              <w:rPr>
                <w:rStyle w:val="InstructionsTabelleText"/>
                <w:rFonts w:ascii="Times New Roman" w:hAnsi="Times New Roman"/>
                <w:sz w:val="24"/>
              </w:rPr>
            </w:pPr>
            <w:r w:rsidRPr="00E07C9A">
              <w:rPr>
                <w:rStyle w:val="InstructionsTabelleText"/>
                <w:rFonts w:ascii="Times New Roman" w:hAnsi="Times New Roman"/>
                <w:sz w:val="24"/>
              </w:rPr>
              <w:t>0130</w:t>
            </w:r>
          </w:p>
        </w:tc>
        <w:tc>
          <w:tcPr>
            <w:tcW w:w="8640" w:type="dxa"/>
          </w:tcPr>
          <w:p w14:paraId="55589EDB" w14:textId="77777777" w:rsidR="009912F8" w:rsidRPr="00E07C9A" w:rsidRDefault="00BF0637" w:rsidP="00BF0637">
            <w:pPr>
              <w:rPr>
                <w:rStyle w:val="InstructionsTabelleberschrift"/>
                <w:rFonts w:ascii="Times New Roman" w:hAnsi="Times New Roman"/>
                <w:sz w:val="24"/>
              </w:rPr>
            </w:pPr>
            <w:r w:rsidRPr="00E07C9A">
              <w:rPr>
                <w:rStyle w:val="InstructionsTabelleberschrift"/>
                <w:rFonts w:ascii="Times New Roman" w:hAnsi="Times New Roman"/>
                <w:sz w:val="24"/>
              </w:rPr>
              <w:t>Z ČOHO: KVALIFIKOVANÉ VLASTNÉ ZDROJE</w:t>
            </w:r>
          </w:p>
          <w:p w14:paraId="7B9A15FC" w14:textId="62CB8C4D" w:rsidR="009912F8" w:rsidRPr="00E07C9A" w:rsidRDefault="00BF0637" w:rsidP="00BF0637">
            <w:pPr>
              <w:rPr>
                <w:rFonts w:ascii="Times New Roman" w:hAnsi="Times New Roman"/>
                <w:sz w:val="24"/>
              </w:rPr>
            </w:pPr>
            <w:r w:rsidRPr="00E07C9A">
              <w:rPr>
                <w:rStyle w:val="InstructionsTabelleText"/>
                <w:rFonts w:ascii="Times New Roman" w:hAnsi="Times New Roman"/>
                <w:sz w:val="24"/>
              </w:rPr>
              <w:t xml:space="preserve">Článok 82 </w:t>
            </w:r>
            <w:r w:rsidRPr="00E07C9A">
              <w:rPr>
                <w:rFonts w:ascii="Times New Roman" w:hAnsi="Times New Roman"/>
                <w:sz w:val="24"/>
              </w:rPr>
              <w:t xml:space="preserve">nariadenia (EÚ) </w:t>
            </w:r>
            <w:r w:rsidR="009912F8" w:rsidRPr="00E07C9A">
              <w:rPr>
                <w:rFonts w:ascii="Times New Roman" w:hAnsi="Times New Roman"/>
                <w:sz w:val="24"/>
              </w:rPr>
              <w:t>č. 575/2013</w:t>
            </w:r>
          </w:p>
          <w:p w14:paraId="4394F992" w14:textId="6FC88B6F" w:rsidR="009912F8" w:rsidRPr="00E07C9A" w:rsidRDefault="00BF0637" w:rsidP="00BF0637">
            <w:pPr>
              <w:rPr>
                <w:rStyle w:val="InstructionsTabelleText"/>
                <w:rFonts w:ascii="Times New Roman" w:hAnsi="Times New Roman"/>
                <w:sz w:val="24"/>
              </w:rPr>
            </w:pPr>
            <w:r w:rsidRPr="00E07C9A">
              <w:rPr>
                <w:rStyle w:val="InstructionsTabelleText"/>
                <w:rFonts w:ascii="Times New Roman" w:hAnsi="Times New Roman"/>
                <w:sz w:val="24"/>
              </w:rPr>
              <w:t>Tento stĺpec sa vypĺňa len</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prípade dcérskych spoločností vykazovaných na individuálnom základe, ktoré sú plne konsolidované</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ktoré sú inštitúciami</w:t>
            </w:r>
            <w:r w:rsidR="009912F8" w:rsidRPr="00E07C9A">
              <w:rPr>
                <w:rStyle w:val="InstructionsTabelleText"/>
                <w:rFonts w:ascii="Times New Roman" w:hAnsi="Times New Roman"/>
                <w:sz w:val="24"/>
              </w:rPr>
              <w:t>.</w:t>
            </w:r>
          </w:p>
          <w:p w14:paraId="42804037" w14:textId="6079229E" w:rsidR="00BF0637" w:rsidRPr="00E07C9A" w:rsidRDefault="00BF0637" w:rsidP="00BF0637">
            <w:pPr>
              <w:rPr>
                <w:rStyle w:val="InstructionsTabelleText"/>
                <w:rFonts w:ascii="Times New Roman" w:hAnsi="Times New Roman"/>
                <w:sz w:val="24"/>
              </w:rPr>
            </w:pPr>
            <w:r w:rsidRPr="00E07C9A">
              <w:rPr>
                <w:rStyle w:val="InstructionsTabelleText"/>
                <w:rFonts w:ascii="Times New Roman" w:hAnsi="Times New Roman"/>
                <w:sz w:val="24"/>
              </w:rPr>
              <w:t>Kvalifikované účasti sú,</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prípade dcérskych spoločností vymedzených vyššie, nástroje (plus súvisiace nerozdelené zisky, účty emisného ážia</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ostatné rezervy) vlastnené osobami inými než podnikmi zahrnutými do konsolidácie podľa</w:t>
            </w:r>
            <w:r w:rsidRPr="00E07C9A">
              <w:rPr>
                <w:rFonts w:ascii="Times New Roman" w:hAnsi="Times New Roman"/>
                <w:sz w:val="24"/>
              </w:rPr>
              <w:t xml:space="preserve"> nariadenia (EÚ) </w:t>
            </w:r>
            <w:r w:rsidR="009912F8" w:rsidRPr="00E07C9A">
              <w:rPr>
                <w:rFonts w:ascii="Times New Roman" w:hAnsi="Times New Roman"/>
                <w:sz w:val="24"/>
              </w:rPr>
              <w:t>č. 575/2013</w:t>
            </w:r>
            <w:r w:rsidRPr="00E07C9A">
              <w:rPr>
                <w:rStyle w:val="InstructionsTabelleText"/>
                <w:rFonts w:ascii="Times New Roman" w:hAnsi="Times New Roman"/>
                <w:sz w:val="24"/>
              </w:rPr>
              <w:t>.</w:t>
            </w:r>
          </w:p>
          <w:p w14:paraId="4D2C4397" w14:textId="03691D77" w:rsidR="00BF0637" w:rsidRPr="00E07C9A" w:rsidRDefault="00BF0637" w:rsidP="00BF0637">
            <w:pPr>
              <w:rPr>
                <w:rStyle w:val="InstructionsTabelleberschrift"/>
                <w:rFonts w:ascii="Times New Roman" w:hAnsi="Times New Roman"/>
                <w:sz w:val="24"/>
              </w:rPr>
            </w:pPr>
            <w:r w:rsidRPr="00E07C9A">
              <w:rPr>
                <w:rStyle w:val="InstructionsTabelleText"/>
                <w:rFonts w:ascii="Times New Roman" w:hAnsi="Times New Roman"/>
                <w:sz w:val="24"/>
              </w:rPr>
              <w:lastRenderedPageBreak/>
              <w:t>Vykazovaná hodnota zahŕňa účinky všetkých prechodných ustanovení. Je to hodnota prípustná</w:t>
            </w:r>
            <w:r w:rsidR="009912F8" w:rsidRPr="00E07C9A">
              <w:rPr>
                <w:rStyle w:val="InstructionsTabelleText"/>
                <w:rFonts w:ascii="Times New Roman" w:hAnsi="Times New Roman"/>
                <w:sz w:val="24"/>
              </w:rPr>
              <w:t xml:space="preserve"> k </w:t>
            </w:r>
            <w:r w:rsidRPr="00E07C9A">
              <w:rPr>
                <w:rStyle w:val="InstructionsTabelleText"/>
                <w:rFonts w:ascii="Times New Roman" w:hAnsi="Times New Roman"/>
                <w:sz w:val="24"/>
              </w:rPr>
              <w:t>dátumu vykazovania.</w:t>
            </w:r>
          </w:p>
        </w:tc>
      </w:tr>
      <w:tr w:rsidR="00BF0637" w:rsidRPr="00E07C9A" w14:paraId="06CEA96D" w14:textId="77777777" w:rsidTr="00672D2A">
        <w:tc>
          <w:tcPr>
            <w:tcW w:w="1188" w:type="dxa"/>
          </w:tcPr>
          <w:p w14:paraId="7BE5DC46" w14:textId="77777777" w:rsidR="00BF0637" w:rsidRPr="00E07C9A" w:rsidRDefault="00ED20CB" w:rsidP="00BF0637">
            <w:pPr>
              <w:rPr>
                <w:rStyle w:val="InstructionsTabelleText"/>
                <w:rFonts w:ascii="Times New Roman" w:hAnsi="Times New Roman"/>
                <w:sz w:val="24"/>
              </w:rPr>
            </w:pPr>
            <w:r w:rsidRPr="00E07C9A">
              <w:rPr>
                <w:rStyle w:val="InstructionsTabelleText"/>
                <w:rFonts w:ascii="Times New Roman" w:hAnsi="Times New Roman"/>
                <w:sz w:val="24"/>
              </w:rPr>
              <w:lastRenderedPageBreak/>
              <w:t>0140</w:t>
            </w:r>
          </w:p>
        </w:tc>
        <w:tc>
          <w:tcPr>
            <w:tcW w:w="8640" w:type="dxa"/>
          </w:tcPr>
          <w:p w14:paraId="3C406BF5" w14:textId="77777777" w:rsidR="00BF0637" w:rsidRPr="00E07C9A" w:rsidRDefault="00BF0637" w:rsidP="00BF0637">
            <w:pPr>
              <w:rPr>
                <w:rStyle w:val="InstructionsTabelleberschrift"/>
                <w:rFonts w:ascii="Times New Roman" w:hAnsi="Times New Roman"/>
                <w:b w:val="0"/>
                <w:sz w:val="24"/>
              </w:rPr>
            </w:pPr>
            <w:r w:rsidRPr="00E07C9A">
              <w:rPr>
                <w:rStyle w:val="InstructionsTabelleberschrift"/>
                <w:rFonts w:ascii="Times New Roman" w:hAnsi="Times New Roman"/>
                <w:sz w:val="24"/>
              </w:rPr>
              <w:t>SÚVISIACE NÁSTROJE VLASTNÝCH ZDROJOV, SÚVISIACE NEROZDELENÉ ZISKY, ÚČTY EMISNÉHO ÁŽIA A OSTATNÉ REZERVY</w:t>
            </w:r>
          </w:p>
          <w:p w14:paraId="0E7A59AB" w14:textId="70D6B918" w:rsidR="00BF0637" w:rsidRPr="00E07C9A" w:rsidRDefault="00BF0637" w:rsidP="00BF0637">
            <w:pPr>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 xml:space="preserve">Článok 87 ods. 1 písm. b) </w:t>
            </w:r>
            <w:r w:rsidRPr="00E07C9A">
              <w:rPr>
                <w:rFonts w:ascii="Times New Roman" w:hAnsi="Times New Roman"/>
                <w:sz w:val="24"/>
              </w:rPr>
              <w:t xml:space="preserve">nariadenia (EÚ) </w:t>
            </w:r>
            <w:r w:rsidR="009912F8" w:rsidRPr="00E07C9A">
              <w:rPr>
                <w:rFonts w:ascii="Times New Roman" w:hAnsi="Times New Roman"/>
                <w:sz w:val="24"/>
              </w:rPr>
              <w:t>č. 575/2013</w:t>
            </w:r>
          </w:p>
        </w:tc>
      </w:tr>
      <w:tr w:rsidR="00BF0637" w:rsidRPr="00E07C9A" w14:paraId="556AC3AA" w14:textId="77777777" w:rsidTr="00672D2A">
        <w:tc>
          <w:tcPr>
            <w:tcW w:w="1188" w:type="dxa"/>
          </w:tcPr>
          <w:p w14:paraId="414665D5" w14:textId="77777777" w:rsidR="00BF0637" w:rsidRPr="00E07C9A" w:rsidRDefault="00ED20CB" w:rsidP="00BF0637">
            <w:pPr>
              <w:rPr>
                <w:rStyle w:val="InstructionsTabelleText"/>
                <w:rFonts w:ascii="Times New Roman" w:hAnsi="Times New Roman"/>
                <w:sz w:val="24"/>
              </w:rPr>
            </w:pPr>
            <w:r w:rsidRPr="00E07C9A">
              <w:rPr>
                <w:rStyle w:val="InstructionsTabelleText"/>
                <w:rFonts w:ascii="Times New Roman" w:hAnsi="Times New Roman"/>
                <w:sz w:val="24"/>
              </w:rPr>
              <w:t>0150</w:t>
            </w:r>
          </w:p>
        </w:tc>
        <w:tc>
          <w:tcPr>
            <w:tcW w:w="8640" w:type="dxa"/>
          </w:tcPr>
          <w:p w14:paraId="44BD6ECD" w14:textId="77777777" w:rsidR="00BF0637" w:rsidRPr="00E07C9A" w:rsidRDefault="00BF0637" w:rsidP="00BF0637">
            <w:pPr>
              <w:rPr>
                <w:rStyle w:val="InstructionsTabelleberschrift"/>
                <w:rFonts w:ascii="Times New Roman" w:hAnsi="Times New Roman"/>
                <w:sz w:val="24"/>
              </w:rPr>
            </w:pPr>
            <w:r w:rsidRPr="00E07C9A">
              <w:rPr>
                <w:rStyle w:val="InstructionsTabelleberschrift"/>
                <w:rFonts w:ascii="Times New Roman" w:hAnsi="Times New Roman"/>
                <w:sz w:val="24"/>
              </w:rPr>
              <w:t>CELKOVÝ KAPITÁL TIER 1</w:t>
            </w:r>
          </w:p>
          <w:p w14:paraId="325080D2" w14:textId="0AB7A225" w:rsidR="00BF0637" w:rsidRPr="00E07C9A" w:rsidRDefault="00BF0637" w:rsidP="00BF0637">
            <w:pPr>
              <w:rPr>
                <w:rStyle w:val="InstructionsTabelleberschrift"/>
                <w:rFonts w:ascii="Times New Roman" w:hAnsi="Times New Roman"/>
                <w:sz w:val="24"/>
              </w:rPr>
            </w:pPr>
            <w:r w:rsidRPr="00E07C9A">
              <w:rPr>
                <w:rStyle w:val="InstructionsTabelleText"/>
                <w:rFonts w:ascii="Times New Roman" w:hAnsi="Times New Roman"/>
                <w:sz w:val="24"/>
              </w:rPr>
              <w:t>Článok 25</w:t>
            </w:r>
            <w:r w:rsidR="009912F8" w:rsidRPr="00E07C9A">
              <w:rPr>
                <w:rStyle w:val="InstructionsTabelleText"/>
                <w:rFonts w:ascii="Times New Roman" w:hAnsi="Times New Roman"/>
                <w:sz w:val="24"/>
              </w:rPr>
              <w:t xml:space="preserve"> </w:t>
            </w:r>
            <w:r w:rsidRPr="00E07C9A">
              <w:rPr>
                <w:rFonts w:ascii="Times New Roman" w:hAnsi="Times New Roman"/>
                <w:sz w:val="24"/>
              </w:rPr>
              <w:t xml:space="preserve">nariadenia (EÚ) </w:t>
            </w:r>
            <w:r w:rsidR="009912F8" w:rsidRPr="00E07C9A">
              <w:rPr>
                <w:rFonts w:ascii="Times New Roman" w:hAnsi="Times New Roman"/>
                <w:sz w:val="24"/>
              </w:rPr>
              <w:t>č. 575/2013</w:t>
            </w:r>
          </w:p>
        </w:tc>
      </w:tr>
      <w:tr w:rsidR="00BF0637" w:rsidRPr="00E07C9A" w14:paraId="153A3AF6" w14:textId="77777777" w:rsidTr="00672D2A">
        <w:tc>
          <w:tcPr>
            <w:tcW w:w="1188" w:type="dxa"/>
          </w:tcPr>
          <w:p w14:paraId="7BE1469E" w14:textId="77777777" w:rsidR="00BF0637" w:rsidRPr="00E07C9A" w:rsidRDefault="00ED20CB" w:rsidP="00BF0637">
            <w:pPr>
              <w:rPr>
                <w:rStyle w:val="InstructionsTabelleText"/>
                <w:rFonts w:ascii="Times New Roman" w:hAnsi="Times New Roman"/>
                <w:sz w:val="24"/>
              </w:rPr>
            </w:pPr>
            <w:r w:rsidRPr="00E07C9A">
              <w:rPr>
                <w:rStyle w:val="InstructionsTabelleText"/>
                <w:rFonts w:ascii="Times New Roman" w:hAnsi="Times New Roman"/>
                <w:sz w:val="24"/>
              </w:rPr>
              <w:t>0160</w:t>
            </w:r>
          </w:p>
        </w:tc>
        <w:tc>
          <w:tcPr>
            <w:tcW w:w="8640" w:type="dxa"/>
          </w:tcPr>
          <w:p w14:paraId="0C5F10E4" w14:textId="77777777" w:rsidR="00BF0637" w:rsidRPr="00E07C9A" w:rsidRDefault="00BF0637" w:rsidP="00BF0637">
            <w:pPr>
              <w:rPr>
                <w:rStyle w:val="InstructionsTabelleberschrift"/>
                <w:rFonts w:ascii="Times New Roman" w:hAnsi="Times New Roman"/>
                <w:sz w:val="24"/>
              </w:rPr>
            </w:pPr>
            <w:r w:rsidRPr="00E07C9A">
              <w:rPr>
                <w:rStyle w:val="InstructionsTabelleberschrift"/>
                <w:rFonts w:ascii="Times New Roman" w:hAnsi="Times New Roman"/>
                <w:sz w:val="24"/>
              </w:rPr>
              <w:t>Z ČOHO: KVALIFIKOVANÝ KAPITÁL TIER 1</w:t>
            </w:r>
          </w:p>
          <w:p w14:paraId="3617A71D" w14:textId="02E928BC" w:rsidR="00BF0637" w:rsidRPr="00E07C9A" w:rsidRDefault="00BF0637" w:rsidP="00BF0637">
            <w:pPr>
              <w:rPr>
                <w:rStyle w:val="InstructionsTabelleText"/>
                <w:rFonts w:ascii="Times New Roman" w:hAnsi="Times New Roman"/>
                <w:sz w:val="24"/>
              </w:rPr>
            </w:pPr>
            <w:r w:rsidRPr="00E07C9A">
              <w:rPr>
                <w:rStyle w:val="InstructionsTabelleText"/>
                <w:rFonts w:ascii="Times New Roman" w:hAnsi="Times New Roman"/>
                <w:sz w:val="24"/>
              </w:rPr>
              <w:t xml:space="preserve">Článok 82 </w:t>
            </w:r>
            <w:r w:rsidRPr="00E07C9A">
              <w:rPr>
                <w:rFonts w:ascii="Times New Roman" w:hAnsi="Times New Roman"/>
                <w:sz w:val="24"/>
              </w:rPr>
              <w:t xml:space="preserve">nariadenia (EÚ) </w:t>
            </w:r>
            <w:r w:rsidR="009912F8" w:rsidRPr="00E07C9A">
              <w:rPr>
                <w:rFonts w:ascii="Times New Roman" w:hAnsi="Times New Roman"/>
                <w:sz w:val="24"/>
              </w:rPr>
              <w:t>č. 575/2013</w:t>
            </w:r>
          </w:p>
          <w:p w14:paraId="4472C46C" w14:textId="12B41CC1" w:rsidR="00BF0637" w:rsidRPr="00E07C9A" w:rsidRDefault="00BF0637" w:rsidP="00BF0637">
            <w:pPr>
              <w:rPr>
                <w:rStyle w:val="InstructionsTabelleText"/>
                <w:rFonts w:ascii="Times New Roman" w:hAnsi="Times New Roman"/>
                <w:sz w:val="24"/>
              </w:rPr>
            </w:pPr>
            <w:r w:rsidRPr="00E07C9A">
              <w:rPr>
                <w:rStyle w:val="InstructionsTabelleText"/>
                <w:rFonts w:ascii="Times New Roman" w:hAnsi="Times New Roman"/>
                <w:sz w:val="24"/>
              </w:rPr>
              <w:t>Tento stĺpec sa vypĺňa len</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prípade dcérskych spoločností vykazovaných na individuálnom základe, ktoré sú plne konsolidované</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ktoré sú inštitúciami.</w:t>
            </w:r>
          </w:p>
          <w:p w14:paraId="01E6489E" w14:textId="4C853650" w:rsidR="00BF0637" w:rsidRPr="00E07C9A" w:rsidRDefault="00BF0637" w:rsidP="00BF0637">
            <w:pPr>
              <w:rPr>
                <w:rStyle w:val="InstructionsTabelleText"/>
                <w:rFonts w:ascii="Times New Roman" w:hAnsi="Times New Roman"/>
                <w:sz w:val="24"/>
              </w:rPr>
            </w:pPr>
            <w:r w:rsidRPr="00E07C9A">
              <w:rPr>
                <w:rStyle w:val="InstructionsTabelleText"/>
                <w:rFonts w:ascii="Times New Roman" w:hAnsi="Times New Roman"/>
                <w:sz w:val="24"/>
              </w:rPr>
              <w:t>Kvalifikované účasti sú,</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prípade dcérskych spoločností vymedzených vyššie, nástroje (plus súvisiace nerozdelené zisky</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účty emisného ážia) vlastnené osobami inými než podnikmi zahrnutými do konsolidácie podľa</w:t>
            </w:r>
            <w:r w:rsidRPr="00E07C9A">
              <w:rPr>
                <w:rFonts w:ascii="Times New Roman" w:hAnsi="Times New Roman"/>
                <w:sz w:val="24"/>
              </w:rPr>
              <w:t xml:space="preserve"> nariadenia (EÚ) </w:t>
            </w:r>
            <w:r w:rsidR="009912F8" w:rsidRPr="00E07C9A">
              <w:rPr>
                <w:rFonts w:ascii="Times New Roman" w:hAnsi="Times New Roman"/>
                <w:sz w:val="24"/>
              </w:rPr>
              <w:t>č. 575/2013</w:t>
            </w:r>
            <w:r w:rsidRPr="00E07C9A">
              <w:rPr>
                <w:rStyle w:val="InstructionsTabelleText"/>
                <w:rFonts w:ascii="Times New Roman" w:hAnsi="Times New Roman"/>
                <w:sz w:val="24"/>
              </w:rPr>
              <w:t>.</w:t>
            </w:r>
          </w:p>
          <w:p w14:paraId="7A7C7FA8" w14:textId="6A1ACA82" w:rsidR="00BF0637" w:rsidRPr="00E07C9A" w:rsidRDefault="00BF0637" w:rsidP="00BF0637">
            <w:pPr>
              <w:rPr>
                <w:rStyle w:val="InstructionsTabelleberschrift"/>
                <w:rFonts w:ascii="Times New Roman" w:hAnsi="Times New Roman"/>
                <w:sz w:val="24"/>
              </w:rPr>
            </w:pPr>
            <w:r w:rsidRPr="00E07C9A">
              <w:rPr>
                <w:rStyle w:val="InstructionsTabelleText"/>
                <w:rFonts w:ascii="Times New Roman" w:hAnsi="Times New Roman"/>
                <w:sz w:val="24"/>
              </w:rPr>
              <w:t>Vykazovaná hodnota zahŕňa účinky všetkých prechodných ustanovení. Je to hodnota prípustná</w:t>
            </w:r>
            <w:r w:rsidR="009912F8" w:rsidRPr="00E07C9A">
              <w:rPr>
                <w:rStyle w:val="InstructionsTabelleText"/>
                <w:rFonts w:ascii="Times New Roman" w:hAnsi="Times New Roman"/>
                <w:sz w:val="24"/>
              </w:rPr>
              <w:t xml:space="preserve"> k </w:t>
            </w:r>
            <w:r w:rsidRPr="00E07C9A">
              <w:rPr>
                <w:rStyle w:val="InstructionsTabelleText"/>
                <w:rFonts w:ascii="Times New Roman" w:hAnsi="Times New Roman"/>
                <w:sz w:val="24"/>
              </w:rPr>
              <w:t>dátumu vykazovania.</w:t>
            </w:r>
          </w:p>
        </w:tc>
      </w:tr>
      <w:tr w:rsidR="00BF0637" w:rsidRPr="00E07C9A" w14:paraId="4ACD3523" w14:textId="77777777" w:rsidTr="00672D2A">
        <w:tc>
          <w:tcPr>
            <w:tcW w:w="1188" w:type="dxa"/>
          </w:tcPr>
          <w:p w14:paraId="75F49B33" w14:textId="77777777" w:rsidR="00BF0637" w:rsidRPr="00E07C9A" w:rsidRDefault="00ED20CB" w:rsidP="00BF0637">
            <w:pPr>
              <w:rPr>
                <w:rStyle w:val="InstructionsTabelleText"/>
                <w:rFonts w:ascii="Times New Roman" w:hAnsi="Times New Roman"/>
                <w:sz w:val="24"/>
              </w:rPr>
            </w:pPr>
            <w:r w:rsidRPr="00E07C9A">
              <w:rPr>
                <w:rStyle w:val="InstructionsTabelleText"/>
                <w:rFonts w:ascii="Times New Roman" w:hAnsi="Times New Roman"/>
                <w:sz w:val="24"/>
              </w:rPr>
              <w:t>0170</w:t>
            </w:r>
          </w:p>
        </w:tc>
        <w:tc>
          <w:tcPr>
            <w:tcW w:w="8640" w:type="dxa"/>
          </w:tcPr>
          <w:p w14:paraId="43F2D755" w14:textId="77777777" w:rsidR="00BF0637" w:rsidRPr="00E07C9A" w:rsidRDefault="00BF0637" w:rsidP="00BF0637">
            <w:pPr>
              <w:rPr>
                <w:rStyle w:val="InstructionsTabelleberschrift"/>
                <w:rFonts w:ascii="Times New Roman" w:hAnsi="Times New Roman"/>
                <w:b w:val="0"/>
                <w:sz w:val="24"/>
              </w:rPr>
            </w:pPr>
            <w:r w:rsidRPr="00E07C9A">
              <w:rPr>
                <w:rStyle w:val="InstructionsTabelleberschrift"/>
                <w:rFonts w:ascii="Times New Roman" w:hAnsi="Times New Roman"/>
                <w:sz w:val="24"/>
              </w:rPr>
              <w:t>SÚVISIACE NÁSTROJE T1, SÚVISIACE NEROZDELENÉ ZISKY A ÚČTY EMISNÉHO ÁŽIA</w:t>
            </w:r>
          </w:p>
          <w:p w14:paraId="563BAF9E" w14:textId="5A493545" w:rsidR="00BF0637" w:rsidRPr="00E07C9A" w:rsidRDefault="00BF0637" w:rsidP="00B14047">
            <w:pPr>
              <w:rPr>
                <w:rStyle w:val="InstructionsTabelleberschrift"/>
                <w:rFonts w:ascii="Times New Roman" w:hAnsi="Times New Roman"/>
                <w:sz w:val="24"/>
              </w:rPr>
            </w:pPr>
            <w:r w:rsidRPr="00E07C9A">
              <w:rPr>
                <w:rStyle w:val="InstructionsTabelleberschrift"/>
                <w:rFonts w:ascii="Times New Roman" w:hAnsi="Times New Roman"/>
                <w:b w:val="0"/>
                <w:sz w:val="24"/>
                <w:u w:val="none"/>
              </w:rPr>
              <w:t xml:space="preserve">Článok 85 ods. 1 písm. b) </w:t>
            </w:r>
            <w:r w:rsidRPr="00E07C9A">
              <w:rPr>
                <w:rFonts w:ascii="Times New Roman" w:hAnsi="Times New Roman"/>
                <w:sz w:val="24"/>
              </w:rPr>
              <w:t xml:space="preserve">nariadenia (EÚ) </w:t>
            </w:r>
            <w:r w:rsidR="009912F8" w:rsidRPr="00E07C9A">
              <w:rPr>
                <w:rFonts w:ascii="Times New Roman" w:hAnsi="Times New Roman"/>
                <w:sz w:val="24"/>
              </w:rPr>
              <w:t xml:space="preserve">č. 575/2013 </w:t>
            </w:r>
          </w:p>
        </w:tc>
      </w:tr>
      <w:tr w:rsidR="00BF0637" w:rsidRPr="00E07C9A" w14:paraId="21034AF8" w14:textId="77777777" w:rsidTr="00672D2A">
        <w:tc>
          <w:tcPr>
            <w:tcW w:w="1188" w:type="dxa"/>
          </w:tcPr>
          <w:p w14:paraId="3D7C5968" w14:textId="77777777" w:rsidR="00BF0637" w:rsidRPr="00E07C9A" w:rsidRDefault="00ED20CB" w:rsidP="00BF0637">
            <w:pPr>
              <w:rPr>
                <w:rStyle w:val="InstructionsTabelleText"/>
                <w:rFonts w:ascii="Times New Roman" w:hAnsi="Times New Roman"/>
                <w:sz w:val="24"/>
              </w:rPr>
            </w:pPr>
            <w:r w:rsidRPr="00E07C9A">
              <w:rPr>
                <w:rStyle w:val="InstructionsTabelleText"/>
                <w:rFonts w:ascii="Times New Roman" w:hAnsi="Times New Roman"/>
                <w:sz w:val="24"/>
              </w:rPr>
              <w:t>0180</w:t>
            </w:r>
          </w:p>
        </w:tc>
        <w:tc>
          <w:tcPr>
            <w:tcW w:w="8640" w:type="dxa"/>
          </w:tcPr>
          <w:p w14:paraId="667EAE84" w14:textId="77777777" w:rsidR="00BF0637" w:rsidRPr="00E07C9A" w:rsidRDefault="00BF0637" w:rsidP="00BF0637">
            <w:pPr>
              <w:rPr>
                <w:rStyle w:val="InstructionsTabelleberschrift"/>
                <w:rFonts w:ascii="Times New Roman" w:hAnsi="Times New Roman"/>
                <w:sz w:val="24"/>
              </w:rPr>
            </w:pPr>
            <w:r w:rsidRPr="00E07C9A">
              <w:rPr>
                <w:rStyle w:val="InstructionsTabelleberschrift"/>
                <w:rFonts w:ascii="Times New Roman" w:hAnsi="Times New Roman"/>
                <w:sz w:val="24"/>
              </w:rPr>
              <w:t>VLASTNÝ KAPITÁL TIER 1</w:t>
            </w:r>
          </w:p>
          <w:p w14:paraId="24F9DF96" w14:textId="608DE979" w:rsidR="00BF0637" w:rsidRPr="00E07C9A" w:rsidRDefault="00BF0637" w:rsidP="00BF0637">
            <w:pPr>
              <w:rPr>
                <w:rStyle w:val="InstructionsTabelleberschrift"/>
                <w:rFonts w:ascii="Times New Roman" w:hAnsi="Times New Roman"/>
                <w:sz w:val="24"/>
              </w:rPr>
            </w:pPr>
            <w:r w:rsidRPr="00E07C9A">
              <w:rPr>
                <w:rStyle w:val="InstructionsTabelleText"/>
                <w:rFonts w:ascii="Times New Roman" w:hAnsi="Times New Roman"/>
                <w:sz w:val="24"/>
              </w:rPr>
              <w:t>Článok 50</w:t>
            </w:r>
            <w:r w:rsidR="009912F8" w:rsidRPr="00E07C9A">
              <w:rPr>
                <w:rStyle w:val="InstructionsTabelleText"/>
                <w:rFonts w:ascii="Times New Roman" w:hAnsi="Times New Roman"/>
                <w:sz w:val="24"/>
              </w:rPr>
              <w:t xml:space="preserve"> </w:t>
            </w:r>
            <w:r w:rsidRPr="00E07C9A">
              <w:rPr>
                <w:rFonts w:ascii="Times New Roman" w:hAnsi="Times New Roman"/>
                <w:sz w:val="24"/>
              </w:rPr>
              <w:t xml:space="preserve">nariadenia (EÚ) </w:t>
            </w:r>
            <w:r w:rsidR="009912F8" w:rsidRPr="00E07C9A">
              <w:rPr>
                <w:rFonts w:ascii="Times New Roman" w:hAnsi="Times New Roman"/>
                <w:sz w:val="24"/>
              </w:rPr>
              <w:t>č. 575/2013</w:t>
            </w:r>
          </w:p>
        </w:tc>
      </w:tr>
      <w:tr w:rsidR="00BF0637" w:rsidRPr="00E07C9A" w14:paraId="6F21D828" w14:textId="77777777" w:rsidTr="00672D2A">
        <w:tc>
          <w:tcPr>
            <w:tcW w:w="1188" w:type="dxa"/>
          </w:tcPr>
          <w:p w14:paraId="165FDEE4" w14:textId="77777777" w:rsidR="00BF0637" w:rsidRPr="00E07C9A" w:rsidRDefault="00ED20CB" w:rsidP="00BF0637">
            <w:pPr>
              <w:rPr>
                <w:rStyle w:val="InstructionsTabelleText"/>
                <w:rFonts w:ascii="Times New Roman" w:hAnsi="Times New Roman"/>
                <w:sz w:val="24"/>
              </w:rPr>
            </w:pPr>
            <w:r w:rsidRPr="00E07C9A">
              <w:rPr>
                <w:rStyle w:val="InstructionsTabelleText"/>
                <w:rFonts w:ascii="Times New Roman" w:hAnsi="Times New Roman"/>
                <w:sz w:val="24"/>
              </w:rPr>
              <w:t>0190</w:t>
            </w:r>
          </w:p>
        </w:tc>
        <w:tc>
          <w:tcPr>
            <w:tcW w:w="8640" w:type="dxa"/>
          </w:tcPr>
          <w:p w14:paraId="76F69FA6" w14:textId="77777777" w:rsidR="00BF0637" w:rsidRPr="00E07C9A" w:rsidRDefault="00BF0637" w:rsidP="00BF0637">
            <w:pPr>
              <w:rPr>
                <w:rStyle w:val="InstructionsTabelleberschrift"/>
                <w:rFonts w:ascii="Times New Roman" w:hAnsi="Times New Roman"/>
                <w:sz w:val="24"/>
              </w:rPr>
            </w:pPr>
            <w:r w:rsidRPr="00E07C9A">
              <w:rPr>
                <w:rStyle w:val="InstructionsTabelleberschrift"/>
                <w:rFonts w:ascii="Times New Roman" w:hAnsi="Times New Roman"/>
                <w:sz w:val="24"/>
              </w:rPr>
              <w:t>Z ČOHO: MENŠINOVÉ ÚČASTI</w:t>
            </w:r>
          </w:p>
          <w:p w14:paraId="6E57A6CD" w14:textId="7EDF6D13" w:rsidR="00BF0637" w:rsidRPr="00E07C9A" w:rsidRDefault="00BF0637" w:rsidP="00BF0637">
            <w:pPr>
              <w:rPr>
                <w:rStyle w:val="InstructionsTabelleText"/>
                <w:rFonts w:ascii="Times New Roman" w:hAnsi="Times New Roman"/>
                <w:sz w:val="24"/>
              </w:rPr>
            </w:pPr>
            <w:r w:rsidRPr="00E07C9A">
              <w:rPr>
                <w:rStyle w:val="InstructionsTabelleText"/>
                <w:rFonts w:ascii="Times New Roman" w:hAnsi="Times New Roman"/>
                <w:sz w:val="24"/>
              </w:rPr>
              <w:t>Článok 81</w:t>
            </w:r>
            <w:r w:rsidR="009912F8" w:rsidRPr="00E07C9A">
              <w:rPr>
                <w:rStyle w:val="InstructionsTabelleText"/>
                <w:rFonts w:ascii="Times New Roman" w:hAnsi="Times New Roman"/>
                <w:sz w:val="24"/>
              </w:rPr>
              <w:t xml:space="preserve"> </w:t>
            </w:r>
            <w:r w:rsidRPr="00E07C9A">
              <w:rPr>
                <w:rFonts w:ascii="Times New Roman" w:hAnsi="Times New Roman"/>
                <w:sz w:val="24"/>
              </w:rPr>
              <w:t xml:space="preserve">nariadenia (EÚ) </w:t>
            </w:r>
            <w:r w:rsidR="009912F8" w:rsidRPr="00E07C9A">
              <w:rPr>
                <w:rFonts w:ascii="Times New Roman" w:hAnsi="Times New Roman"/>
                <w:sz w:val="24"/>
              </w:rPr>
              <w:t>č. 575/2013</w:t>
            </w:r>
          </w:p>
          <w:p w14:paraId="33A6FE49" w14:textId="13C12F4B" w:rsidR="00BF0637" w:rsidRPr="00E07C9A" w:rsidRDefault="00BF0637" w:rsidP="00BF0637">
            <w:pPr>
              <w:rPr>
                <w:rStyle w:val="InstructionsTabelleText"/>
                <w:rFonts w:ascii="Times New Roman" w:hAnsi="Times New Roman"/>
                <w:sz w:val="24"/>
              </w:rPr>
            </w:pPr>
            <w:r w:rsidRPr="00E07C9A">
              <w:rPr>
                <w:rStyle w:val="InstructionsTabelleText"/>
                <w:rFonts w:ascii="Times New Roman" w:hAnsi="Times New Roman"/>
                <w:sz w:val="24"/>
              </w:rPr>
              <w:t>Tento stĺpec sa vypĺňa len</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prípade dcérskych spoločností, ktoré sú plne konsolidované</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ktoré sú inštitúciami, okrem dcérskych spoločností uvedených</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článku 84 ods. 3</w:t>
            </w:r>
            <w:r w:rsidRPr="00E07C9A">
              <w:rPr>
                <w:rFonts w:ascii="Times New Roman" w:hAnsi="Times New Roman"/>
                <w:sz w:val="24"/>
              </w:rPr>
              <w:t xml:space="preserve"> nariadenia (EÚ) </w:t>
            </w:r>
            <w:r w:rsidR="009912F8" w:rsidRPr="00E07C9A">
              <w:rPr>
                <w:rFonts w:ascii="Times New Roman" w:hAnsi="Times New Roman"/>
                <w:sz w:val="24"/>
              </w:rPr>
              <w:t>č. 575/2013</w:t>
            </w:r>
            <w:r w:rsidRPr="00E07C9A">
              <w:rPr>
                <w:rStyle w:val="InstructionsTabelleText"/>
                <w:rFonts w:ascii="Times New Roman" w:hAnsi="Times New Roman"/>
                <w:sz w:val="24"/>
              </w:rPr>
              <w:t>. Každá dcérska spoločnosť sa na účely všetkých výpočtov požadovaných</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článku 84</w:t>
            </w:r>
            <w:r w:rsidRPr="00E07C9A">
              <w:rPr>
                <w:rFonts w:ascii="Times New Roman" w:hAnsi="Times New Roman"/>
                <w:sz w:val="24"/>
              </w:rPr>
              <w:t xml:space="preserve"> nariadenia (EÚ) </w:t>
            </w:r>
            <w:r w:rsidR="009912F8" w:rsidRPr="00E07C9A">
              <w:rPr>
                <w:rFonts w:ascii="Times New Roman" w:hAnsi="Times New Roman"/>
                <w:sz w:val="24"/>
              </w:rPr>
              <w:t>č. 575/2013</w:t>
            </w:r>
            <w:r w:rsidRPr="00E07C9A">
              <w:rPr>
                <w:rStyle w:val="InstructionsTabelleText"/>
                <w:rFonts w:ascii="Times New Roman" w:hAnsi="Times New Roman"/>
                <w:sz w:val="24"/>
              </w:rPr>
              <w:t xml:space="preserve"> posudzuje na subkonsolidovanom základe,</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náležitých prípadoch podľa článku 84 ods. 2, inak na samostatnom základe.</w:t>
            </w:r>
          </w:p>
          <w:p w14:paraId="2875FB15" w14:textId="32ED0C9D" w:rsidR="00BF0637" w:rsidRPr="00E07C9A" w:rsidRDefault="00BF0637" w:rsidP="00BF0637">
            <w:pPr>
              <w:rPr>
                <w:rStyle w:val="InstructionsTabelleText"/>
                <w:rFonts w:ascii="Times New Roman" w:hAnsi="Times New Roman"/>
                <w:sz w:val="24"/>
              </w:rPr>
            </w:pPr>
            <w:r w:rsidRPr="00E07C9A">
              <w:rPr>
                <w:rStyle w:val="InstructionsTabelleText"/>
                <w:rFonts w:ascii="Times New Roman" w:hAnsi="Times New Roman"/>
                <w:sz w:val="24"/>
              </w:rPr>
              <w:t>Menšinové účasti sú,</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prípade dcérskych spoločností vymedzených vyššie, nástroje CET1 (plus súvisiace nerozdelené zisky</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účty emisného ážia) vlastnené osobami inými než podnikmi zahrnutými do konsolidácie podľa</w:t>
            </w:r>
            <w:r w:rsidRPr="00E07C9A">
              <w:rPr>
                <w:rFonts w:ascii="Times New Roman" w:hAnsi="Times New Roman"/>
                <w:sz w:val="24"/>
              </w:rPr>
              <w:t xml:space="preserve"> nariadenia (EÚ) </w:t>
            </w:r>
            <w:r w:rsidR="009912F8" w:rsidRPr="00E07C9A">
              <w:rPr>
                <w:rFonts w:ascii="Times New Roman" w:hAnsi="Times New Roman"/>
                <w:sz w:val="24"/>
              </w:rPr>
              <w:t>č. 575/2013</w:t>
            </w:r>
            <w:r w:rsidRPr="00E07C9A">
              <w:rPr>
                <w:rStyle w:val="InstructionsTabelleText"/>
                <w:rFonts w:ascii="Times New Roman" w:hAnsi="Times New Roman"/>
                <w:sz w:val="24"/>
              </w:rPr>
              <w:t>.</w:t>
            </w:r>
          </w:p>
          <w:p w14:paraId="512E0FD2" w14:textId="11263B5D" w:rsidR="00BF0637" w:rsidRPr="00E07C9A" w:rsidRDefault="00BF0637" w:rsidP="00BF0637">
            <w:pPr>
              <w:rPr>
                <w:rStyle w:val="InstructionsTabelleberschrift"/>
                <w:rFonts w:ascii="Times New Roman" w:hAnsi="Times New Roman"/>
                <w:sz w:val="24"/>
              </w:rPr>
            </w:pPr>
            <w:r w:rsidRPr="00E07C9A">
              <w:rPr>
                <w:rStyle w:val="InstructionsTabelleText"/>
                <w:rFonts w:ascii="Times New Roman" w:hAnsi="Times New Roman"/>
                <w:sz w:val="24"/>
              </w:rPr>
              <w:t>Vykazovaná hodnota zahŕňa účinky všetkých prechodných ustanovení. Je to hodnota prípustná</w:t>
            </w:r>
            <w:r w:rsidR="009912F8" w:rsidRPr="00E07C9A">
              <w:rPr>
                <w:rStyle w:val="InstructionsTabelleText"/>
                <w:rFonts w:ascii="Times New Roman" w:hAnsi="Times New Roman"/>
                <w:sz w:val="24"/>
              </w:rPr>
              <w:t xml:space="preserve"> k </w:t>
            </w:r>
            <w:r w:rsidRPr="00E07C9A">
              <w:rPr>
                <w:rStyle w:val="InstructionsTabelleText"/>
                <w:rFonts w:ascii="Times New Roman" w:hAnsi="Times New Roman"/>
                <w:sz w:val="24"/>
              </w:rPr>
              <w:t>dátumu vykazovania.</w:t>
            </w:r>
          </w:p>
        </w:tc>
      </w:tr>
      <w:tr w:rsidR="00BF0637" w:rsidRPr="00E07C9A" w14:paraId="516C40DD" w14:textId="77777777" w:rsidTr="00672D2A">
        <w:tc>
          <w:tcPr>
            <w:tcW w:w="1188" w:type="dxa"/>
          </w:tcPr>
          <w:p w14:paraId="006E73D1" w14:textId="77777777" w:rsidR="00BF0637" w:rsidRPr="00E07C9A" w:rsidRDefault="00ED20CB" w:rsidP="00BF0637">
            <w:pPr>
              <w:rPr>
                <w:rStyle w:val="InstructionsTabelleText"/>
                <w:rFonts w:ascii="Times New Roman" w:hAnsi="Times New Roman"/>
                <w:sz w:val="24"/>
              </w:rPr>
            </w:pPr>
            <w:r w:rsidRPr="00E07C9A">
              <w:rPr>
                <w:rStyle w:val="InstructionsTabelleText"/>
                <w:rFonts w:ascii="Times New Roman" w:hAnsi="Times New Roman"/>
                <w:sz w:val="24"/>
              </w:rPr>
              <w:t>0200</w:t>
            </w:r>
          </w:p>
        </w:tc>
        <w:tc>
          <w:tcPr>
            <w:tcW w:w="8640" w:type="dxa"/>
          </w:tcPr>
          <w:p w14:paraId="285DC104" w14:textId="77777777" w:rsidR="00BF0637" w:rsidRPr="00E07C9A" w:rsidRDefault="00BF0637" w:rsidP="00BF0637">
            <w:pPr>
              <w:rPr>
                <w:rStyle w:val="InstructionsTabelleberschrift"/>
                <w:rFonts w:ascii="Times New Roman" w:hAnsi="Times New Roman"/>
                <w:b w:val="0"/>
                <w:sz w:val="24"/>
              </w:rPr>
            </w:pPr>
            <w:r w:rsidRPr="00E07C9A">
              <w:rPr>
                <w:rStyle w:val="InstructionsTabelleberschrift"/>
                <w:rFonts w:ascii="Times New Roman" w:hAnsi="Times New Roman"/>
                <w:sz w:val="24"/>
              </w:rPr>
              <w:t>SÚVISIACE NÁSTROJE VLASTNÝCH ZDROJOV, SÚVISIACE NEROZDELENÉ ZISKY, ÚČTY EMISNÉHO ÁŽIA A OSTATNÉ REZERVY</w:t>
            </w:r>
          </w:p>
          <w:p w14:paraId="2FC270C0" w14:textId="4F15B541" w:rsidR="00BF0637" w:rsidRPr="00E07C9A" w:rsidRDefault="00BF0637" w:rsidP="00BF0637">
            <w:pPr>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 xml:space="preserve">Článok 84 ods. 1 písm. b) </w:t>
            </w:r>
            <w:r w:rsidRPr="00E07C9A">
              <w:rPr>
                <w:rFonts w:ascii="Times New Roman" w:hAnsi="Times New Roman"/>
                <w:sz w:val="24"/>
              </w:rPr>
              <w:t xml:space="preserve">nariadenia (EÚ) </w:t>
            </w:r>
            <w:r w:rsidR="009912F8" w:rsidRPr="00E07C9A">
              <w:rPr>
                <w:rFonts w:ascii="Times New Roman" w:hAnsi="Times New Roman"/>
                <w:sz w:val="24"/>
              </w:rPr>
              <w:t>č. 575/2013</w:t>
            </w:r>
          </w:p>
        </w:tc>
      </w:tr>
      <w:tr w:rsidR="00BF0637" w:rsidRPr="00E07C9A" w14:paraId="468E8506" w14:textId="77777777" w:rsidTr="00672D2A">
        <w:tc>
          <w:tcPr>
            <w:tcW w:w="1188" w:type="dxa"/>
          </w:tcPr>
          <w:p w14:paraId="41014EF1" w14:textId="77777777" w:rsidR="00BF0637" w:rsidRPr="00E07C9A" w:rsidRDefault="00ED20CB" w:rsidP="00BF0637">
            <w:pPr>
              <w:rPr>
                <w:rStyle w:val="InstructionsTabelleText"/>
                <w:rFonts w:ascii="Times New Roman" w:hAnsi="Times New Roman"/>
                <w:sz w:val="24"/>
              </w:rPr>
            </w:pPr>
            <w:r w:rsidRPr="00E07C9A">
              <w:rPr>
                <w:rStyle w:val="InstructionsTabelleText"/>
                <w:rFonts w:ascii="Times New Roman" w:hAnsi="Times New Roman"/>
                <w:sz w:val="24"/>
              </w:rPr>
              <w:lastRenderedPageBreak/>
              <w:t>0210</w:t>
            </w:r>
          </w:p>
        </w:tc>
        <w:tc>
          <w:tcPr>
            <w:tcW w:w="8640" w:type="dxa"/>
          </w:tcPr>
          <w:p w14:paraId="6A3E3DE1" w14:textId="77777777" w:rsidR="00BF0637" w:rsidRPr="00E07C9A" w:rsidRDefault="00BF0637" w:rsidP="00BF0637">
            <w:pPr>
              <w:rPr>
                <w:rStyle w:val="InstructionsTabelleberschrift"/>
                <w:rFonts w:ascii="Times New Roman" w:hAnsi="Times New Roman"/>
                <w:sz w:val="24"/>
              </w:rPr>
            </w:pPr>
            <w:r w:rsidRPr="00E07C9A">
              <w:rPr>
                <w:rStyle w:val="InstructionsTabelleberschrift"/>
                <w:rFonts w:ascii="Times New Roman" w:hAnsi="Times New Roman"/>
                <w:sz w:val="24"/>
              </w:rPr>
              <w:t>DODATOČNÝ KAPITÁL TIER 1</w:t>
            </w:r>
          </w:p>
          <w:p w14:paraId="70D8C1C5" w14:textId="773DE23D" w:rsidR="00BF0637" w:rsidRPr="00E07C9A" w:rsidRDefault="00BF0637" w:rsidP="00BF0637">
            <w:pPr>
              <w:rPr>
                <w:rStyle w:val="InstructionsTabelleberschrift"/>
                <w:rFonts w:ascii="Times New Roman" w:hAnsi="Times New Roman"/>
                <w:sz w:val="24"/>
              </w:rPr>
            </w:pPr>
            <w:r w:rsidRPr="00E07C9A">
              <w:rPr>
                <w:rStyle w:val="InstructionsTabelleText"/>
                <w:rFonts w:ascii="Times New Roman" w:hAnsi="Times New Roman"/>
                <w:sz w:val="24"/>
              </w:rPr>
              <w:t xml:space="preserve">Článok 61 </w:t>
            </w:r>
            <w:r w:rsidRPr="00E07C9A">
              <w:rPr>
                <w:rFonts w:ascii="Times New Roman" w:hAnsi="Times New Roman"/>
                <w:sz w:val="24"/>
              </w:rPr>
              <w:t xml:space="preserve">nariadenia (EÚ) </w:t>
            </w:r>
            <w:r w:rsidR="009912F8" w:rsidRPr="00E07C9A">
              <w:rPr>
                <w:rFonts w:ascii="Times New Roman" w:hAnsi="Times New Roman"/>
                <w:sz w:val="24"/>
              </w:rPr>
              <w:t>č. 575/2013</w:t>
            </w:r>
          </w:p>
        </w:tc>
      </w:tr>
      <w:tr w:rsidR="00BF0637" w:rsidRPr="00E07C9A" w14:paraId="2638A868" w14:textId="77777777" w:rsidTr="00672D2A">
        <w:tc>
          <w:tcPr>
            <w:tcW w:w="1188" w:type="dxa"/>
          </w:tcPr>
          <w:p w14:paraId="649204BB" w14:textId="77777777" w:rsidR="00BF0637" w:rsidRPr="00E07C9A" w:rsidRDefault="00ED20CB" w:rsidP="00BF0637">
            <w:pPr>
              <w:rPr>
                <w:rStyle w:val="InstructionsTabelleText"/>
                <w:rFonts w:ascii="Times New Roman" w:hAnsi="Times New Roman"/>
                <w:sz w:val="24"/>
              </w:rPr>
            </w:pPr>
            <w:r w:rsidRPr="00E07C9A">
              <w:rPr>
                <w:rStyle w:val="InstructionsTabelleText"/>
                <w:rFonts w:ascii="Times New Roman" w:hAnsi="Times New Roman"/>
                <w:sz w:val="24"/>
              </w:rPr>
              <w:t>0220</w:t>
            </w:r>
          </w:p>
        </w:tc>
        <w:tc>
          <w:tcPr>
            <w:tcW w:w="8640" w:type="dxa"/>
          </w:tcPr>
          <w:p w14:paraId="50CC53B2" w14:textId="77777777" w:rsidR="00BF0637" w:rsidRPr="00E07C9A" w:rsidRDefault="00BF0637" w:rsidP="00BF0637">
            <w:pPr>
              <w:rPr>
                <w:rStyle w:val="InstructionsTabelleberschrift"/>
                <w:rFonts w:ascii="Times New Roman" w:hAnsi="Times New Roman"/>
                <w:sz w:val="24"/>
              </w:rPr>
            </w:pPr>
            <w:r w:rsidRPr="00E07C9A">
              <w:rPr>
                <w:rStyle w:val="InstructionsTabelleberschrift"/>
                <w:rFonts w:ascii="Times New Roman" w:hAnsi="Times New Roman"/>
                <w:sz w:val="24"/>
              </w:rPr>
              <w:t>Z ČOHO: KVALIFIKOVANÝ DODATOČNÝ KAPITÁL TIER 1</w:t>
            </w:r>
          </w:p>
          <w:p w14:paraId="49B3C4BB" w14:textId="2927C4F2" w:rsidR="00BF0637" w:rsidRPr="00E07C9A" w:rsidRDefault="00BF0637" w:rsidP="00BF0637">
            <w:pPr>
              <w:rPr>
                <w:rStyle w:val="InstructionsTabelleText"/>
                <w:rFonts w:ascii="Times New Roman" w:hAnsi="Times New Roman"/>
                <w:sz w:val="24"/>
              </w:rPr>
            </w:pPr>
            <w:r w:rsidRPr="00E07C9A">
              <w:rPr>
                <w:rStyle w:val="InstructionsTabelleText"/>
                <w:rFonts w:ascii="Times New Roman" w:hAnsi="Times New Roman"/>
                <w:sz w:val="24"/>
              </w:rPr>
              <w:t>Články 82</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 xml:space="preserve">83 </w:t>
            </w:r>
            <w:r w:rsidRPr="00E07C9A">
              <w:rPr>
                <w:rFonts w:ascii="Times New Roman" w:hAnsi="Times New Roman"/>
                <w:sz w:val="24"/>
              </w:rPr>
              <w:t xml:space="preserve">nariadenia (EÚ) </w:t>
            </w:r>
            <w:r w:rsidR="009912F8" w:rsidRPr="00E07C9A">
              <w:rPr>
                <w:rFonts w:ascii="Times New Roman" w:hAnsi="Times New Roman"/>
                <w:sz w:val="24"/>
              </w:rPr>
              <w:t>č. 575/2013</w:t>
            </w:r>
          </w:p>
          <w:p w14:paraId="108F1773" w14:textId="0D11EE79" w:rsidR="00BF0637" w:rsidRPr="00E07C9A" w:rsidRDefault="00BF0637" w:rsidP="00BF0637">
            <w:pPr>
              <w:rPr>
                <w:rStyle w:val="InstructionsTabelleText"/>
                <w:rFonts w:ascii="Times New Roman" w:hAnsi="Times New Roman"/>
                <w:sz w:val="24"/>
              </w:rPr>
            </w:pPr>
            <w:r w:rsidRPr="00E07C9A">
              <w:rPr>
                <w:rStyle w:val="InstructionsTabelleText"/>
                <w:rFonts w:ascii="Times New Roman" w:hAnsi="Times New Roman"/>
                <w:sz w:val="24"/>
              </w:rPr>
              <w:t>Tento stĺpec sa vypĺňa len</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prípade dcérskych spoločností, ktoré sú plne konsolidované</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ktoré sú inštitúciami, okrem dcérskych spoločností uvedených</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článku 85 ods. 2</w:t>
            </w:r>
            <w:r w:rsidRPr="00E07C9A">
              <w:rPr>
                <w:rFonts w:ascii="Times New Roman" w:hAnsi="Times New Roman"/>
                <w:sz w:val="24"/>
              </w:rPr>
              <w:t xml:space="preserve"> nariadenia (EÚ) </w:t>
            </w:r>
            <w:r w:rsidR="009912F8" w:rsidRPr="00E07C9A">
              <w:rPr>
                <w:rFonts w:ascii="Times New Roman" w:hAnsi="Times New Roman"/>
                <w:sz w:val="24"/>
              </w:rPr>
              <w:t>č. 575/2013</w:t>
            </w:r>
            <w:r w:rsidRPr="00E07C9A">
              <w:rPr>
                <w:rStyle w:val="InstructionsTabelleText"/>
                <w:rFonts w:ascii="Times New Roman" w:hAnsi="Times New Roman"/>
                <w:sz w:val="24"/>
              </w:rPr>
              <w:t>. Každá dcérska spoločnosť sa na účely všetkých výpočtov požadovaných</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článku 85</w:t>
            </w:r>
            <w:r w:rsidRPr="00E07C9A">
              <w:rPr>
                <w:rFonts w:ascii="Times New Roman" w:hAnsi="Times New Roman"/>
                <w:sz w:val="24"/>
              </w:rPr>
              <w:t xml:space="preserve"> nariadenia (EÚ) </w:t>
            </w:r>
            <w:r w:rsidR="009912F8" w:rsidRPr="00E07C9A">
              <w:rPr>
                <w:rFonts w:ascii="Times New Roman" w:hAnsi="Times New Roman"/>
                <w:sz w:val="24"/>
              </w:rPr>
              <w:t>č. 575/2013</w:t>
            </w:r>
            <w:r w:rsidRPr="00E07C9A">
              <w:rPr>
                <w:rStyle w:val="InstructionsTabelleText"/>
                <w:rFonts w:ascii="Times New Roman" w:hAnsi="Times New Roman"/>
                <w:sz w:val="24"/>
              </w:rPr>
              <w:t xml:space="preserve"> posudzuje na subkonsolidovanom základe,</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náležitých prípadoch podľa článku 85 ods. 2, inak na samostatnom základe.</w:t>
            </w:r>
          </w:p>
          <w:p w14:paraId="5C833E43" w14:textId="1DAF90DB" w:rsidR="00BF0637" w:rsidRPr="00E07C9A" w:rsidRDefault="00BF0637" w:rsidP="00BF0637">
            <w:pPr>
              <w:rPr>
                <w:rStyle w:val="InstructionsTabelleText"/>
                <w:rFonts w:ascii="Times New Roman" w:hAnsi="Times New Roman"/>
                <w:sz w:val="24"/>
              </w:rPr>
            </w:pPr>
            <w:r w:rsidRPr="00E07C9A">
              <w:rPr>
                <w:rStyle w:val="InstructionsTabelleText"/>
                <w:rFonts w:ascii="Times New Roman" w:hAnsi="Times New Roman"/>
                <w:sz w:val="24"/>
              </w:rPr>
              <w:t>Menšinové účasti sú,</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prípade dcérskych spoločností vymedzených vyššie, nástroje AT1 (plus súvisiace nerozdelené zisky</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účty emisného ážia) vlastnené osobami inými než podnikmi zahrnutými do konsolidácie podľa</w:t>
            </w:r>
            <w:r w:rsidRPr="00E07C9A">
              <w:rPr>
                <w:rFonts w:ascii="Times New Roman" w:hAnsi="Times New Roman"/>
                <w:sz w:val="24"/>
              </w:rPr>
              <w:t xml:space="preserve"> nariadenia (EÚ) </w:t>
            </w:r>
            <w:r w:rsidR="009912F8" w:rsidRPr="00E07C9A">
              <w:rPr>
                <w:rFonts w:ascii="Times New Roman" w:hAnsi="Times New Roman"/>
                <w:sz w:val="24"/>
              </w:rPr>
              <w:t>č. 575/2013</w:t>
            </w:r>
            <w:r w:rsidRPr="00E07C9A">
              <w:rPr>
                <w:rStyle w:val="InstructionsTabelleText"/>
                <w:rFonts w:ascii="Times New Roman" w:hAnsi="Times New Roman"/>
                <w:sz w:val="24"/>
              </w:rPr>
              <w:t>.</w:t>
            </w:r>
          </w:p>
          <w:p w14:paraId="31F885FA" w14:textId="2063852A" w:rsidR="00BF0637" w:rsidRPr="00E07C9A" w:rsidRDefault="00BF0637" w:rsidP="00BF0637">
            <w:pPr>
              <w:rPr>
                <w:rStyle w:val="InstructionsTabelleberschrift"/>
                <w:rFonts w:ascii="Times New Roman" w:hAnsi="Times New Roman"/>
                <w:sz w:val="24"/>
              </w:rPr>
            </w:pPr>
            <w:r w:rsidRPr="00E07C9A">
              <w:rPr>
                <w:rStyle w:val="InstructionsTabelleText"/>
                <w:rFonts w:ascii="Times New Roman" w:hAnsi="Times New Roman"/>
                <w:sz w:val="24"/>
              </w:rPr>
              <w:t>Vykazovaná hodnota zahŕňa účinky všetkých prechodných ustanovení. Je to hodnota prípustná</w:t>
            </w:r>
            <w:r w:rsidR="009912F8" w:rsidRPr="00E07C9A">
              <w:rPr>
                <w:rStyle w:val="InstructionsTabelleText"/>
                <w:rFonts w:ascii="Times New Roman" w:hAnsi="Times New Roman"/>
                <w:sz w:val="24"/>
              </w:rPr>
              <w:t xml:space="preserve"> k </w:t>
            </w:r>
            <w:r w:rsidRPr="00E07C9A">
              <w:rPr>
                <w:rStyle w:val="InstructionsTabelleText"/>
                <w:rFonts w:ascii="Times New Roman" w:hAnsi="Times New Roman"/>
                <w:sz w:val="24"/>
              </w:rPr>
              <w:t>dátumu vykazovania.</w:t>
            </w:r>
          </w:p>
        </w:tc>
      </w:tr>
      <w:tr w:rsidR="00BF0637" w:rsidRPr="00E07C9A" w14:paraId="53C6FFE1" w14:textId="77777777" w:rsidTr="00672D2A">
        <w:tc>
          <w:tcPr>
            <w:tcW w:w="1188" w:type="dxa"/>
          </w:tcPr>
          <w:p w14:paraId="66A1566D" w14:textId="77777777" w:rsidR="00BF0637" w:rsidRPr="00E07C9A" w:rsidRDefault="00ED20CB" w:rsidP="00BF0637">
            <w:pPr>
              <w:rPr>
                <w:rStyle w:val="InstructionsTabelleText"/>
                <w:rFonts w:ascii="Times New Roman" w:hAnsi="Times New Roman"/>
                <w:sz w:val="24"/>
              </w:rPr>
            </w:pPr>
            <w:r w:rsidRPr="00E07C9A">
              <w:rPr>
                <w:rStyle w:val="InstructionsTabelleText"/>
                <w:rFonts w:ascii="Times New Roman" w:hAnsi="Times New Roman"/>
                <w:sz w:val="24"/>
              </w:rPr>
              <w:t>0230</w:t>
            </w:r>
          </w:p>
        </w:tc>
        <w:tc>
          <w:tcPr>
            <w:tcW w:w="8640" w:type="dxa"/>
          </w:tcPr>
          <w:p w14:paraId="567D79B9" w14:textId="77777777" w:rsidR="00BF0637" w:rsidRPr="00E07C9A" w:rsidRDefault="00BF0637" w:rsidP="00BF0637">
            <w:pPr>
              <w:rPr>
                <w:rStyle w:val="InstructionsTabelleberschrift"/>
                <w:rFonts w:ascii="Times New Roman" w:hAnsi="Times New Roman"/>
                <w:sz w:val="24"/>
              </w:rPr>
            </w:pPr>
            <w:r w:rsidRPr="00E07C9A">
              <w:rPr>
                <w:rStyle w:val="InstructionsTabelleberschrift"/>
                <w:rFonts w:ascii="Times New Roman" w:hAnsi="Times New Roman"/>
                <w:sz w:val="24"/>
              </w:rPr>
              <w:t>KAPITÁL TIER 2</w:t>
            </w:r>
          </w:p>
          <w:p w14:paraId="26B39E27" w14:textId="1C1B224D" w:rsidR="00BF0637" w:rsidRPr="00E07C9A" w:rsidRDefault="00BF0637" w:rsidP="00BF0637">
            <w:pPr>
              <w:rPr>
                <w:rStyle w:val="InstructionsTabelleberschrift"/>
                <w:rFonts w:ascii="Times New Roman" w:hAnsi="Times New Roman"/>
                <w:sz w:val="24"/>
              </w:rPr>
            </w:pPr>
            <w:r w:rsidRPr="00E07C9A">
              <w:rPr>
                <w:rStyle w:val="InstructionsTabelleText"/>
                <w:rFonts w:ascii="Times New Roman" w:hAnsi="Times New Roman"/>
                <w:sz w:val="24"/>
              </w:rPr>
              <w:t xml:space="preserve">Článok 71 </w:t>
            </w:r>
            <w:r w:rsidRPr="00E07C9A">
              <w:rPr>
                <w:rFonts w:ascii="Times New Roman" w:hAnsi="Times New Roman"/>
                <w:sz w:val="24"/>
              </w:rPr>
              <w:t xml:space="preserve">nariadenia (EÚ) </w:t>
            </w:r>
            <w:r w:rsidR="009912F8" w:rsidRPr="00E07C9A">
              <w:rPr>
                <w:rFonts w:ascii="Times New Roman" w:hAnsi="Times New Roman"/>
                <w:sz w:val="24"/>
              </w:rPr>
              <w:t>č. 575/2013</w:t>
            </w:r>
          </w:p>
        </w:tc>
      </w:tr>
      <w:tr w:rsidR="00BF0637" w:rsidRPr="00E07C9A" w14:paraId="12F64255" w14:textId="77777777" w:rsidTr="00672D2A">
        <w:tc>
          <w:tcPr>
            <w:tcW w:w="1188" w:type="dxa"/>
          </w:tcPr>
          <w:p w14:paraId="1453400B" w14:textId="77777777" w:rsidR="00BF0637" w:rsidRPr="00E07C9A" w:rsidRDefault="00ED20CB" w:rsidP="00BF0637">
            <w:pPr>
              <w:rPr>
                <w:rStyle w:val="InstructionsTabelleText"/>
                <w:rFonts w:ascii="Times New Roman" w:hAnsi="Times New Roman"/>
                <w:sz w:val="24"/>
              </w:rPr>
            </w:pPr>
            <w:r w:rsidRPr="00E07C9A">
              <w:rPr>
                <w:rStyle w:val="InstructionsTabelleText"/>
                <w:rFonts w:ascii="Times New Roman" w:hAnsi="Times New Roman"/>
                <w:sz w:val="24"/>
              </w:rPr>
              <w:t>0240</w:t>
            </w:r>
          </w:p>
        </w:tc>
        <w:tc>
          <w:tcPr>
            <w:tcW w:w="8640" w:type="dxa"/>
          </w:tcPr>
          <w:p w14:paraId="58CCAFA6" w14:textId="77777777" w:rsidR="00BF0637" w:rsidRPr="00E07C9A" w:rsidRDefault="00BF0637" w:rsidP="00BF0637">
            <w:pPr>
              <w:rPr>
                <w:rStyle w:val="InstructionsTabelleberschrift"/>
                <w:rFonts w:ascii="Times New Roman" w:hAnsi="Times New Roman"/>
                <w:sz w:val="24"/>
              </w:rPr>
            </w:pPr>
            <w:r w:rsidRPr="00E07C9A">
              <w:rPr>
                <w:rStyle w:val="InstructionsTabelleberschrift"/>
                <w:rFonts w:ascii="Times New Roman" w:hAnsi="Times New Roman"/>
                <w:sz w:val="24"/>
              </w:rPr>
              <w:t>Z ČOHO: KVALIFIKOVANÝ KAPITÁL TIER 2</w:t>
            </w:r>
          </w:p>
          <w:p w14:paraId="3F7B6259" w14:textId="05AC4E12" w:rsidR="00BF0637" w:rsidRPr="00E07C9A" w:rsidRDefault="00BF0637" w:rsidP="00BF0637">
            <w:pPr>
              <w:rPr>
                <w:rStyle w:val="InstructionsTabelleText"/>
                <w:rFonts w:ascii="Times New Roman" w:hAnsi="Times New Roman"/>
                <w:sz w:val="24"/>
              </w:rPr>
            </w:pPr>
            <w:r w:rsidRPr="00E07C9A">
              <w:rPr>
                <w:rStyle w:val="InstructionsTabelleText"/>
                <w:rFonts w:ascii="Times New Roman" w:hAnsi="Times New Roman"/>
                <w:sz w:val="24"/>
              </w:rPr>
              <w:t>Články 82</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 xml:space="preserve">83 </w:t>
            </w:r>
            <w:r w:rsidRPr="00E07C9A">
              <w:rPr>
                <w:rFonts w:ascii="Times New Roman" w:hAnsi="Times New Roman"/>
                <w:sz w:val="24"/>
              </w:rPr>
              <w:t xml:space="preserve">nariadenia (EÚ) </w:t>
            </w:r>
            <w:r w:rsidR="009912F8" w:rsidRPr="00E07C9A">
              <w:rPr>
                <w:rFonts w:ascii="Times New Roman" w:hAnsi="Times New Roman"/>
                <w:sz w:val="24"/>
              </w:rPr>
              <w:t>č. 575/2013</w:t>
            </w:r>
          </w:p>
          <w:p w14:paraId="7242D040" w14:textId="5CDAEF62" w:rsidR="009912F8" w:rsidRPr="00E07C9A" w:rsidRDefault="00BF0637" w:rsidP="00BF0637">
            <w:pPr>
              <w:rPr>
                <w:rStyle w:val="InstructionsTabelleText"/>
                <w:rFonts w:ascii="Times New Roman" w:hAnsi="Times New Roman"/>
                <w:sz w:val="24"/>
              </w:rPr>
            </w:pPr>
            <w:r w:rsidRPr="00E07C9A">
              <w:rPr>
                <w:rStyle w:val="InstructionsTabelleText"/>
                <w:rFonts w:ascii="Times New Roman" w:hAnsi="Times New Roman"/>
                <w:sz w:val="24"/>
              </w:rPr>
              <w:t>Tento stĺpec sa vypĺňa len</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prípade dcérskych spoločností, ktoré sú plne konsolidované</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ktoré sú inštitúciami, okrem dcérskych spoločností uvedených</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článku 87 ods. 2</w:t>
            </w:r>
            <w:r w:rsidRPr="00E07C9A">
              <w:rPr>
                <w:rFonts w:ascii="Times New Roman" w:hAnsi="Times New Roman"/>
                <w:sz w:val="24"/>
              </w:rPr>
              <w:t xml:space="preserve"> nariadenia (EÚ) </w:t>
            </w:r>
            <w:r w:rsidR="009912F8" w:rsidRPr="00E07C9A">
              <w:rPr>
                <w:rFonts w:ascii="Times New Roman" w:hAnsi="Times New Roman"/>
                <w:sz w:val="24"/>
              </w:rPr>
              <w:t>č. 575/2013</w:t>
            </w:r>
            <w:r w:rsidRPr="00E07C9A">
              <w:rPr>
                <w:rStyle w:val="InstructionsTabelleText"/>
                <w:rFonts w:ascii="Times New Roman" w:hAnsi="Times New Roman"/>
                <w:sz w:val="24"/>
              </w:rPr>
              <w:t>. Každá dcérska spoločnosť sa na účely všetkých výpočtov požadovaných</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článku 87</w:t>
            </w:r>
            <w:r w:rsidRPr="00E07C9A">
              <w:rPr>
                <w:rFonts w:ascii="Times New Roman" w:hAnsi="Times New Roman"/>
                <w:sz w:val="24"/>
              </w:rPr>
              <w:t xml:space="preserve"> nariadenia (EÚ) </w:t>
            </w:r>
            <w:r w:rsidR="009912F8" w:rsidRPr="00E07C9A">
              <w:rPr>
                <w:rFonts w:ascii="Times New Roman" w:hAnsi="Times New Roman"/>
                <w:sz w:val="24"/>
              </w:rPr>
              <w:t>č. 575/2013</w:t>
            </w:r>
            <w:r w:rsidRPr="00E07C9A">
              <w:rPr>
                <w:rStyle w:val="InstructionsTabelleText"/>
                <w:rFonts w:ascii="Times New Roman" w:hAnsi="Times New Roman"/>
                <w:sz w:val="24"/>
              </w:rPr>
              <w:t xml:space="preserve"> posudzuje na subkonsolidovanom základe,</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náležitých prípadoch podľa článku 87 ods. 2</w:t>
            </w:r>
            <w:r w:rsidRPr="00E07C9A">
              <w:rPr>
                <w:rFonts w:ascii="Times New Roman" w:hAnsi="Times New Roman"/>
                <w:sz w:val="24"/>
              </w:rPr>
              <w:t xml:space="preserve"> uvedeného nariadenia</w:t>
            </w:r>
            <w:r w:rsidRPr="00E07C9A">
              <w:rPr>
                <w:rStyle w:val="InstructionsTabelleText"/>
                <w:rFonts w:ascii="Times New Roman" w:hAnsi="Times New Roman"/>
                <w:sz w:val="24"/>
              </w:rPr>
              <w:t>, inak na samostatnom základe</w:t>
            </w:r>
            <w:r w:rsidR="009912F8" w:rsidRPr="00E07C9A">
              <w:rPr>
                <w:rStyle w:val="InstructionsTabelleText"/>
                <w:rFonts w:ascii="Times New Roman" w:hAnsi="Times New Roman"/>
                <w:sz w:val="24"/>
              </w:rPr>
              <w:t>.</w:t>
            </w:r>
          </w:p>
          <w:p w14:paraId="650A7EFB" w14:textId="66A1E327" w:rsidR="00BF0637" w:rsidRPr="00E07C9A" w:rsidRDefault="00BF0637" w:rsidP="00BF0637">
            <w:pPr>
              <w:rPr>
                <w:rStyle w:val="InstructionsTabelleText"/>
                <w:rFonts w:ascii="Times New Roman" w:hAnsi="Times New Roman"/>
                <w:sz w:val="24"/>
              </w:rPr>
            </w:pPr>
            <w:r w:rsidRPr="00E07C9A">
              <w:rPr>
                <w:rStyle w:val="InstructionsTabelleText"/>
                <w:rFonts w:ascii="Times New Roman" w:hAnsi="Times New Roman"/>
                <w:sz w:val="24"/>
              </w:rPr>
              <w:t>Menšinové účasti sú,</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prípade dcérskych spoločností vymedzených vyššie, nástroje T2 (plus súvisiace nerozdelené zisky</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účty emisného ážia) vlastnené osobami inými než podnikmi zahrnutými do konsolidácie podľa</w:t>
            </w:r>
            <w:r w:rsidRPr="00E07C9A">
              <w:rPr>
                <w:rFonts w:ascii="Times New Roman" w:hAnsi="Times New Roman"/>
                <w:sz w:val="24"/>
              </w:rPr>
              <w:t xml:space="preserve"> nariadenia (EÚ) </w:t>
            </w:r>
            <w:r w:rsidR="009912F8" w:rsidRPr="00E07C9A">
              <w:rPr>
                <w:rFonts w:ascii="Times New Roman" w:hAnsi="Times New Roman"/>
                <w:sz w:val="24"/>
              </w:rPr>
              <w:t>č. 575/2013</w:t>
            </w:r>
            <w:r w:rsidRPr="00E07C9A">
              <w:rPr>
                <w:rStyle w:val="InstructionsTabelleText"/>
                <w:rFonts w:ascii="Times New Roman" w:hAnsi="Times New Roman"/>
                <w:sz w:val="24"/>
              </w:rPr>
              <w:t>.</w:t>
            </w:r>
          </w:p>
          <w:p w14:paraId="5EB64EB4" w14:textId="6922996A" w:rsidR="00BF0637" w:rsidRPr="00E07C9A" w:rsidRDefault="00BF0637" w:rsidP="001B43BD">
            <w:pPr>
              <w:rPr>
                <w:rStyle w:val="InstructionsTabelleText"/>
                <w:rFonts w:ascii="Times New Roman" w:hAnsi="Times New Roman"/>
                <w:sz w:val="24"/>
              </w:rPr>
            </w:pPr>
            <w:r w:rsidRPr="00E07C9A">
              <w:rPr>
                <w:rStyle w:val="InstructionsTabelleText"/>
                <w:rFonts w:ascii="Times New Roman" w:hAnsi="Times New Roman"/>
                <w:sz w:val="24"/>
              </w:rPr>
              <w:t>Vykazovaná hodnota zahŕňa účinky všetkých prechodných ustanovení. Musí to byť prípustná hodnota</w:t>
            </w:r>
            <w:r w:rsidR="009912F8" w:rsidRPr="00E07C9A">
              <w:rPr>
                <w:rStyle w:val="InstructionsTabelleText"/>
                <w:rFonts w:ascii="Times New Roman" w:hAnsi="Times New Roman"/>
                <w:sz w:val="24"/>
              </w:rPr>
              <w:t xml:space="preserve"> k </w:t>
            </w:r>
            <w:r w:rsidRPr="00E07C9A">
              <w:rPr>
                <w:rStyle w:val="InstructionsTabelleText"/>
                <w:rFonts w:ascii="Times New Roman" w:hAnsi="Times New Roman"/>
                <w:sz w:val="24"/>
              </w:rPr>
              <w:t>referenčnému dátumu.</w:t>
            </w:r>
          </w:p>
        </w:tc>
      </w:tr>
      <w:tr w:rsidR="00BF0637" w:rsidRPr="00E07C9A" w14:paraId="15B015AF" w14:textId="77777777" w:rsidTr="00672D2A">
        <w:tc>
          <w:tcPr>
            <w:tcW w:w="1188" w:type="dxa"/>
          </w:tcPr>
          <w:p w14:paraId="0C5B82C9" w14:textId="77777777" w:rsidR="00BF0637" w:rsidRPr="00E07C9A" w:rsidRDefault="00ED20CB" w:rsidP="00BF0637">
            <w:pPr>
              <w:rPr>
                <w:rStyle w:val="InstructionsTabelleText"/>
                <w:rFonts w:ascii="Times New Roman" w:hAnsi="Times New Roman"/>
                <w:sz w:val="24"/>
              </w:rPr>
            </w:pPr>
            <w:r w:rsidRPr="00E07C9A">
              <w:rPr>
                <w:rStyle w:val="InstructionsTabelleText"/>
                <w:rFonts w:ascii="Times New Roman" w:hAnsi="Times New Roman"/>
                <w:sz w:val="24"/>
              </w:rPr>
              <w:t>0250 –⁠ 0400</w:t>
            </w:r>
          </w:p>
        </w:tc>
        <w:tc>
          <w:tcPr>
            <w:tcW w:w="8640" w:type="dxa"/>
          </w:tcPr>
          <w:p w14:paraId="2DB50C92" w14:textId="40825A5D" w:rsidR="00BF0637" w:rsidRPr="00E07C9A" w:rsidRDefault="00BF0637" w:rsidP="00BF0637">
            <w:pPr>
              <w:rPr>
                <w:rStyle w:val="InstructionsTabelleberschrift"/>
                <w:rFonts w:ascii="Times New Roman" w:hAnsi="Times New Roman"/>
                <w:sz w:val="24"/>
              </w:rPr>
            </w:pPr>
            <w:r w:rsidRPr="00E07C9A">
              <w:rPr>
                <w:rStyle w:val="InstructionsTabelleberschrift"/>
                <w:rFonts w:ascii="Times New Roman" w:hAnsi="Times New Roman"/>
                <w:sz w:val="24"/>
              </w:rPr>
              <w:t>INFORMÁCIE</w:t>
            </w:r>
            <w:r w:rsidR="009912F8" w:rsidRPr="00E07C9A">
              <w:rPr>
                <w:rStyle w:val="InstructionsTabelleberschrift"/>
                <w:rFonts w:ascii="Times New Roman" w:hAnsi="Times New Roman"/>
                <w:sz w:val="24"/>
              </w:rPr>
              <w:t xml:space="preserve"> O </w:t>
            </w:r>
            <w:r w:rsidRPr="00E07C9A">
              <w:rPr>
                <w:rStyle w:val="InstructionsTabelleberschrift"/>
                <w:rFonts w:ascii="Times New Roman" w:hAnsi="Times New Roman"/>
                <w:sz w:val="24"/>
              </w:rPr>
              <w:t>PRÍSPEVKU SUBJEKTOV</w:t>
            </w:r>
            <w:r w:rsidR="009912F8" w:rsidRPr="00E07C9A">
              <w:rPr>
                <w:rStyle w:val="InstructionsTabelleberschrift"/>
                <w:rFonts w:ascii="Times New Roman" w:hAnsi="Times New Roman"/>
                <w:sz w:val="24"/>
              </w:rPr>
              <w:t xml:space="preserve"> K </w:t>
            </w:r>
            <w:r w:rsidRPr="00E07C9A">
              <w:rPr>
                <w:rStyle w:val="InstructionsTabelleberschrift"/>
                <w:rFonts w:ascii="Times New Roman" w:hAnsi="Times New Roman"/>
                <w:sz w:val="24"/>
              </w:rPr>
              <w:t>PLATOBNEJ SCHOPNOSTI SKUPINY</w:t>
            </w:r>
          </w:p>
        </w:tc>
      </w:tr>
      <w:tr w:rsidR="00BF0637" w:rsidRPr="00E07C9A" w14:paraId="28DE0D7D" w14:textId="77777777" w:rsidTr="00672D2A">
        <w:tc>
          <w:tcPr>
            <w:tcW w:w="1188" w:type="dxa"/>
          </w:tcPr>
          <w:p w14:paraId="1F3C897B" w14:textId="77777777" w:rsidR="00BF0637" w:rsidRPr="00E07C9A" w:rsidRDefault="00ED20CB" w:rsidP="00BF0637">
            <w:pPr>
              <w:rPr>
                <w:rStyle w:val="InstructionsTabelleText"/>
                <w:rFonts w:ascii="Times New Roman" w:hAnsi="Times New Roman"/>
                <w:sz w:val="24"/>
              </w:rPr>
            </w:pPr>
            <w:r w:rsidRPr="00E07C9A">
              <w:rPr>
                <w:rStyle w:val="InstructionsTabelleText"/>
                <w:rFonts w:ascii="Times New Roman" w:hAnsi="Times New Roman"/>
                <w:sz w:val="24"/>
              </w:rPr>
              <w:t>0250 –⁠ 0290</w:t>
            </w:r>
          </w:p>
        </w:tc>
        <w:tc>
          <w:tcPr>
            <w:tcW w:w="8640" w:type="dxa"/>
          </w:tcPr>
          <w:p w14:paraId="70730248" w14:textId="75444905" w:rsidR="00BF0637" w:rsidRPr="00E07C9A" w:rsidRDefault="00BF0637" w:rsidP="00BF0637">
            <w:pPr>
              <w:rPr>
                <w:rStyle w:val="InstructionsTabelleberschrift"/>
                <w:rFonts w:ascii="Times New Roman" w:hAnsi="Times New Roman"/>
                <w:sz w:val="24"/>
              </w:rPr>
            </w:pPr>
            <w:r w:rsidRPr="00E07C9A">
              <w:rPr>
                <w:rStyle w:val="InstructionsTabelleberschrift"/>
                <w:rFonts w:ascii="Times New Roman" w:hAnsi="Times New Roman"/>
                <w:sz w:val="24"/>
              </w:rPr>
              <w:t>PRÍSPEVOK</w:t>
            </w:r>
            <w:r w:rsidR="009912F8" w:rsidRPr="00E07C9A">
              <w:rPr>
                <w:rStyle w:val="InstructionsTabelleberschrift"/>
                <w:rFonts w:ascii="Times New Roman" w:hAnsi="Times New Roman"/>
                <w:sz w:val="24"/>
              </w:rPr>
              <w:t xml:space="preserve"> K </w:t>
            </w:r>
            <w:r w:rsidRPr="00E07C9A">
              <w:rPr>
                <w:rStyle w:val="InstructionsTabelleberschrift"/>
                <w:rFonts w:ascii="Times New Roman" w:hAnsi="Times New Roman"/>
                <w:sz w:val="24"/>
              </w:rPr>
              <w:t>RIZIKÁM</w:t>
            </w:r>
          </w:p>
          <w:p w14:paraId="072B72C1" w14:textId="48189CBE" w:rsidR="00BF0637" w:rsidRPr="00E07C9A" w:rsidRDefault="00BF0637" w:rsidP="00BF0637">
            <w:pPr>
              <w:rPr>
                <w:rStyle w:val="InstructionsTabelleberschrift"/>
                <w:rFonts w:ascii="Times New Roman" w:hAnsi="Times New Roman"/>
                <w:sz w:val="24"/>
              </w:rPr>
            </w:pPr>
            <w:r w:rsidRPr="00E07C9A">
              <w:rPr>
                <w:rFonts w:ascii="Times New Roman" w:hAnsi="Times New Roman"/>
                <w:sz w:val="24"/>
              </w:rPr>
              <w:t>Informácie vykazované</w:t>
            </w:r>
            <w:r w:rsidR="009912F8" w:rsidRPr="00E07C9A">
              <w:rPr>
                <w:rFonts w:ascii="Times New Roman" w:hAnsi="Times New Roman"/>
                <w:sz w:val="24"/>
              </w:rPr>
              <w:t xml:space="preserve"> v </w:t>
            </w:r>
            <w:r w:rsidRPr="00E07C9A">
              <w:rPr>
                <w:rFonts w:ascii="Times New Roman" w:hAnsi="Times New Roman"/>
                <w:sz w:val="24"/>
              </w:rPr>
              <w:t>nasledujúcich stĺpcoch musia byť</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pravidlami</w:t>
            </w:r>
            <w:r w:rsidR="009912F8" w:rsidRPr="00E07C9A">
              <w:rPr>
                <w:rFonts w:ascii="Times New Roman" w:hAnsi="Times New Roman"/>
                <w:sz w:val="24"/>
              </w:rPr>
              <w:t xml:space="preserve"> o </w:t>
            </w:r>
            <w:r w:rsidRPr="00E07C9A">
              <w:rPr>
                <w:rFonts w:ascii="Times New Roman" w:hAnsi="Times New Roman"/>
                <w:sz w:val="24"/>
              </w:rPr>
              <w:t>platobnej schopnosti uplatniteľnými na vykazujúcu inštitúciu.</w:t>
            </w:r>
          </w:p>
        </w:tc>
      </w:tr>
      <w:tr w:rsidR="00BF0637" w:rsidRPr="00E07C9A" w14:paraId="5281A32A" w14:textId="77777777" w:rsidTr="00672D2A">
        <w:tc>
          <w:tcPr>
            <w:tcW w:w="1188" w:type="dxa"/>
          </w:tcPr>
          <w:p w14:paraId="69B830CD" w14:textId="77777777" w:rsidR="00BF0637" w:rsidRPr="00E07C9A" w:rsidRDefault="00ED20CB" w:rsidP="00BF0637">
            <w:pPr>
              <w:rPr>
                <w:rStyle w:val="InstructionsTabelleText"/>
                <w:rFonts w:ascii="Times New Roman" w:hAnsi="Times New Roman"/>
                <w:sz w:val="24"/>
              </w:rPr>
            </w:pPr>
            <w:r w:rsidRPr="00E07C9A">
              <w:rPr>
                <w:rStyle w:val="InstructionsTabelleText"/>
                <w:rFonts w:ascii="Times New Roman" w:hAnsi="Times New Roman"/>
                <w:sz w:val="24"/>
              </w:rPr>
              <w:t>0250</w:t>
            </w:r>
          </w:p>
        </w:tc>
        <w:tc>
          <w:tcPr>
            <w:tcW w:w="8640" w:type="dxa"/>
          </w:tcPr>
          <w:p w14:paraId="5A3511BF" w14:textId="77777777" w:rsidR="00BF0637" w:rsidRPr="00E07C9A" w:rsidRDefault="00BF0637" w:rsidP="00BF0637">
            <w:pPr>
              <w:rPr>
                <w:rStyle w:val="InstructionsTabelleberschrift"/>
                <w:rFonts w:ascii="Times New Roman" w:hAnsi="Times New Roman"/>
                <w:sz w:val="24"/>
              </w:rPr>
            </w:pPr>
            <w:r w:rsidRPr="00E07C9A">
              <w:rPr>
                <w:rStyle w:val="InstructionsTabelleberschrift"/>
                <w:rFonts w:ascii="Times New Roman" w:hAnsi="Times New Roman"/>
                <w:sz w:val="24"/>
              </w:rPr>
              <w:t>CELKOVÁ HODNOTA RIZIKOVEJ EXPOZÍCIE</w:t>
            </w:r>
          </w:p>
          <w:p w14:paraId="40F6AE18" w14:textId="77777777" w:rsidR="00BF0637" w:rsidRPr="00E07C9A" w:rsidRDefault="00BF0637" w:rsidP="00BF0637">
            <w:pPr>
              <w:rPr>
                <w:rStyle w:val="InstructionsTabelleberschrift"/>
                <w:rFonts w:ascii="Times New Roman" w:hAnsi="Times New Roman"/>
                <w:sz w:val="24"/>
              </w:rPr>
            </w:pPr>
            <w:r w:rsidRPr="00E07C9A">
              <w:rPr>
                <w:rStyle w:val="InstructionsTabelleText"/>
                <w:rFonts w:ascii="Times New Roman" w:hAnsi="Times New Roman"/>
                <w:sz w:val="24"/>
              </w:rPr>
              <w:t>Vykazuje sa súčet stĺpcov 0260 až 0290.</w:t>
            </w:r>
          </w:p>
        </w:tc>
      </w:tr>
      <w:tr w:rsidR="00BF0637" w:rsidRPr="00E07C9A" w14:paraId="0B23E1E1" w14:textId="77777777" w:rsidTr="00672D2A">
        <w:tc>
          <w:tcPr>
            <w:tcW w:w="1188" w:type="dxa"/>
          </w:tcPr>
          <w:p w14:paraId="525D50EF" w14:textId="77777777" w:rsidR="00BF0637" w:rsidRPr="00E07C9A" w:rsidRDefault="00ED20CB" w:rsidP="00BF0637">
            <w:pPr>
              <w:rPr>
                <w:rStyle w:val="InstructionsTabelleText"/>
                <w:rFonts w:ascii="Times New Roman" w:hAnsi="Times New Roman"/>
                <w:sz w:val="24"/>
              </w:rPr>
            </w:pPr>
            <w:r w:rsidRPr="00E07C9A">
              <w:rPr>
                <w:rStyle w:val="InstructionsTabelleText"/>
                <w:rFonts w:ascii="Times New Roman" w:hAnsi="Times New Roman"/>
                <w:sz w:val="24"/>
              </w:rPr>
              <w:t>0260</w:t>
            </w:r>
          </w:p>
        </w:tc>
        <w:tc>
          <w:tcPr>
            <w:tcW w:w="8640" w:type="dxa"/>
          </w:tcPr>
          <w:p w14:paraId="60F6B006" w14:textId="53389D79" w:rsidR="00BF0637" w:rsidRPr="00E07C9A" w:rsidRDefault="00BF0637" w:rsidP="00BF0637">
            <w:pPr>
              <w:rPr>
                <w:rStyle w:val="InstructionsTabelleberschrift"/>
                <w:rFonts w:ascii="Times New Roman" w:hAnsi="Times New Roman"/>
                <w:sz w:val="24"/>
              </w:rPr>
            </w:pPr>
            <w:r w:rsidRPr="00E07C9A">
              <w:rPr>
                <w:rStyle w:val="InstructionsTabelleberschrift"/>
                <w:rFonts w:ascii="Times New Roman" w:hAnsi="Times New Roman"/>
                <w:sz w:val="24"/>
              </w:rPr>
              <w:t>KREDITNÉ RIZIKO; KREDITNÉ RIZIKO PROTISTRANY; RIZIKÁ ZNÍŽENIA KVALITY POHĽADÁVOK</w:t>
            </w:r>
            <w:r w:rsidR="009912F8" w:rsidRPr="00E07C9A">
              <w:rPr>
                <w:rStyle w:val="InstructionsTabelleberschrift"/>
                <w:rFonts w:ascii="Times New Roman" w:hAnsi="Times New Roman"/>
                <w:sz w:val="24"/>
              </w:rPr>
              <w:t xml:space="preserve"> Z </w:t>
            </w:r>
            <w:r w:rsidRPr="00E07C9A">
              <w:rPr>
                <w:rStyle w:val="InstructionsTabelleberschrift"/>
                <w:rFonts w:ascii="Times New Roman" w:hAnsi="Times New Roman"/>
                <w:sz w:val="24"/>
              </w:rPr>
              <w:t>INÝCH AKO KREDITNÝCH DÔVODOV, BEZODPLATNÉ DODANIE A RIZIKO VYROVNANIA/DODANIA</w:t>
            </w:r>
          </w:p>
          <w:p w14:paraId="72CBAFCB" w14:textId="2E2F80D0" w:rsidR="00BF0637" w:rsidRPr="00E07C9A" w:rsidRDefault="00BF0637" w:rsidP="00975344">
            <w:pPr>
              <w:rPr>
                <w:rStyle w:val="InstructionsTabelleText"/>
                <w:rFonts w:ascii="Times New Roman" w:hAnsi="Times New Roman"/>
                <w:sz w:val="24"/>
              </w:rPr>
            </w:pPr>
            <w:r w:rsidRPr="00E07C9A">
              <w:rPr>
                <w:rStyle w:val="InstructionsTabelleText"/>
                <w:rFonts w:ascii="Times New Roman" w:hAnsi="Times New Roman"/>
                <w:sz w:val="24"/>
              </w:rPr>
              <w:t>Vykazovaná hodnota zodpovedá hodnotám rizikovo vážených expozícií pre kreditné riziko</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požiadavkám na vlastné zdroje pre riziko vyrovnania/dodania podľa</w:t>
            </w:r>
            <w:r w:rsidRPr="00E07C9A">
              <w:rPr>
                <w:rFonts w:ascii="Times New Roman" w:hAnsi="Times New Roman"/>
                <w:sz w:val="24"/>
              </w:rPr>
              <w:t xml:space="preserve"> nariadenia (EÚ) </w:t>
            </w:r>
            <w:r w:rsidR="009912F8" w:rsidRPr="00E07C9A">
              <w:rPr>
                <w:rFonts w:ascii="Times New Roman" w:hAnsi="Times New Roman"/>
                <w:sz w:val="24"/>
              </w:rPr>
              <w:t>č. 575/2013</w:t>
            </w:r>
            <w:r w:rsidRPr="00E07C9A">
              <w:rPr>
                <w:rStyle w:val="InstructionsTabelleText"/>
                <w:rFonts w:ascii="Times New Roman" w:hAnsi="Times New Roman"/>
                <w:sz w:val="24"/>
              </w:rPr>
              <w:t xml:space="preserve"> bez hodnôt súvisiacich</w:t>
            </w:r>
            <w:r w:rsidR="009912F8" w:rsidRPr="00E07C9A">
              <w:rPr>
                <w:rStyle w:val="InstructionsTabelleText"/>
                <w:rFonts w:ascii="Times New Roman" w:hAnsi="Times New Roman"/>
                <w:sz w:val="24"/>
              </w:rPr>
              <w:t xml:space="preserve"> s </w:t>
            </w:r>
            <w:r w:rsidRPr="00E07C9A">
              <w:rPr>
                <w:rStyle w:val="InstructionsTabelleText"/>
                <w:rFonts w:ascii="Times New Roman" w:hAnsi="Times New Roman"/>
                <w:sz w:val="24"/>
              </w:rPr>
              <w:t>transakciami</w:t>
            </w:r>
            <w:r w:rsidR="009912F8" w:rsidRPr="00E07C9A">
              <w:rPr>
                <w:rStyle w:val="InstructionsTabelleText"/>
                <w:rFonts w:ascii="Times New Roman" w:hAnsi="Times New Roman"/>
                <w:sz w:val="24"/>
              </w:rPr>
              <w:t xml:space="preserve"> s </w:t>
            </w:r>
            <w:r w:rsidRPr="00E07C9A">
              <w:rPr>
                <w:rStyle w:val="InstructionsTabelleText"/>
                <w:rFonts w:ascii="Times New Roman" w:hAnsi="Times New Roman"/>
                <w:sz w:val="24"/>
              </w:rPr>
              <w:t>inými subjektmi zahrnutými do výpočtu konsolidovaného pomeru platobnej schopnosti skupiny.</w:t>
            </w:r>
          </w:p>
        </w:tc>
      </w:tr>
      <w:tr w:rsidR="00BF0637" w:rsidRPr="00E07C9A" w14:paraId="4BB6DCEF" w14:textId="77777777" w:rsidTr="00672D2A">
        <w:tc>
          <w:tcPr>
            <w:tcW w:w="1188" w:type="dxa"/>
          </w:tcPr>
          <w:p w14:paraId="7A9D3433" w14:textId="77777777" w:rsidR="00BF0637" w:rsidRPr="00E07C9A" w:rsidRDefault="00ED20CB" w:rsidP="00BF0637">
            <w:pPr>
              <w:rPr>
                <w:rStyle w:val="InstructionsTabelleText"/>
                <w:rFonts w:ascii="Times New Roman" w:hAnsi="Times New Roman"/>
                <w:sz w:val="24"/>
              </w:rPr>
            </w:pPr>
            <w:r w:rsidRPr="00E07C9A">
              <w:rPr>
                <w:rStyle w:val="InstructionsTabelleText"/>
                <w:rFonts w:ascii="Times New Roman" w:hAnsi="Times New Roman"/>
                <w:sz w:val="24"/>
              </w:rPr>
              <w:t>0270</w:t>
            </w:r>
          </w:p>
        </w:tc>
        <w:tc>
          <w:tcPr>
            <w:tcW w:w="8640" w:type="dxa"/>
          </w:tcPr>
          <w:p w14:paraId="7BE882F5" w14:textId="77777777" w:rsidR="00BF0637" w:rsidRPr="00E07C9A" w:rsidRDefault="00BF0637" w:rsidP="00BF0637">
            <w:pPr>
              <w:rPr>
                <w:rStyle w:val="InstructionsTabelleberschrift"/>
                <w:rFonts w:ascii="Times New Roman" w:hAnsi="Times New Roman"/>
                <w:sz w:val="24"/>
              </w:rPr>
            </w:pPr>
            <w:r w:rsidRPr="00E07C9A">
              <w:rPr>
                <w:rStyle w:val="InstructionsTabelleberschrift"/>
                <w:rFonts w:ascii="Times New Roman" w:hAnsi="Times New Roman"/>
                <w:sz w:val="24"/>
              </w:rPr>
              <w:t>POZIČNÉ, DEVÍZOVÉ A KOMODITNÉ RIZIKO</w:t>
            </w:r>
          </w:p>
          <w:p w14:paraId="21F4E9B7" w14:textId="56BD9C6F" w:rsidR="00BF0637" w:rsidRPr="00E07C9A" w:rsidRDefault="00BF0637" w:rsidP="00D768D3">
            <w:pPr>
              <w:rPr>
                <w:rStyle w:val="InstructionsTabelleText"/>
                <w:rFonts w:ascii="Times New Roman" w:hAnsi="Times New Roman"/>
                <w:sz w:val="24"/>
              </w:rPr>
            </w:pPr>
            <w:r w:rsidRPr="00E07C9A">
              <w:rPr>
                <w:rStyle w:val="InstructionsTabelleText"/>
                <w:rFonts w:ascii="Times New Roman" w:hAnsi="Times New Roman"/>
                <w:sz w:val="24"/>
              </w:rPr>
              <w:t>Hodnoty rizikových expozícií pre trhové riziká sa vypočítavajú na úrovni jednotlivých subjektov</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súlade</w:t>
            </w:r>
            <w:r w:rsidR="009912F8" w:rsidRPr="00E07C9A">
              <w:rPr>
                <w:rStyle w:val="InstructionsTabelleText"/>
                <w:rFonts w:ascii="Times New Roman" w:hAnsi="Times New Roman"/>
                <w:sz w:val="24"/>
              </w:rPr>
              <w:t xml:space="preserve"> s </w:t>
            </w:r>
            <w:r w:rsidRPr="00E07C9A">
              <w:rPr>
                <w:rFonts w:ascii="Times New Roman" w:hAnsi="Times New Roman"/>
                <w:sz w:val="24"/>
              </w:rPr>
              <w:t xml:space="preserve">nariadením (EÚ) </w:t>
            </w:r>
            <w:r w:rsidR="009912F8" w:rsidRPr="00E07C9A">
              <w:rPr>
                <w:rFonts w:ascii="Times New Roman" w:hAnsi="Times New Roman"/>
                <w:sz w:val="24"/>
              </w:rPr>
              <w:t>č. 575/2013</w:t>
            </w:r>
            <w:r w:rsidRPr="00E07C9A">
              <w:rPr>
                <w:rStyle w:val="InstructionsTabelleText"/>
                <w:rFonts w:ascii="Times New Roman" w:hAnsi="Times New Roman"/>
                <w:sz w:val="24"/>
              </w:rPr>
              <w:t>. Subjekty vykazujú príspevok</w:t>
            </w:r>
            <w:r w:rsidR="009912F8" w:rsidRPr="00E07C9A">
              <w:rPr>
                <w:rStyle w:val="InstructionsTabelleText"/>
                <w:rFonts w:ascii="Times New Roman" w:hAnsi="Times New Roman"/>
                <w:sz w:val="24"/>
              </w:rPr>
              <w:t xml:space="preserve"> k </w:t>
            </w:r>
            <w:r w:rsidRPr="00E07C9A">
              <w:rPr>
                <w:rStyle w:val="InstructionsTabelleText"/>
                <w:rFonts w:ascii="Times New Roman" w:hAnsi="Times New Roman"/>
                <w:sz w:val="24"/>
              </w:rPr>
              <w:t>celkovým hodnotám rizikových expozícií pre pozičné, devízové</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komoditné riziko skupiny. Tu vykazovaný súčet hodnôt zodpovedá hodnote vykázanej</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 xml:space="preserve">riadku 0520 „CELKOVÉ HODNOTY RIZIKOVÝCH EXPOZÍCIÍ PRE POZIČNÉ, DEVÍZOVÉ A KOMODITNÉ RIZIKO“ </w:t>
            </w:r>
            <w:r w:rsidRPr="00E07C9A">
              <w:rPr>
                <w:rFonts w:ascii="Times New Roman" w:hAnsi="Times New Roman"/>
              </w:rPr>
              <w:t>konsolidovanej</w:t>
            </w:r>
            <w:r w:rsidRPr="00E07C9A">
              <w:rPr>
                <w:rStyle w:val="InstructionsTabelleText"/>
                <w:rFonts w:ascii="Times New Roman" w:hAnsi="Times New Roman"/>
                <w:sz w:val="24"/>
              </w:rPr>
              <w:t xml:space="preserve"> správy.</w:t>
            </w:r>
          </w:p>
        </w:tc>
      </w:tr>
      <w:tr w:rsidR="00BF0637" w:rsidRPr="00E07C9A" w14:paraId="418DD9E2" w14:textId="77777777" w:rsidTr="00672D2A">
        <w:tc>
          <w:tcPr>
            <w:tcW w:w="1188" w:type="dxa"/>
          </w:tcPr>
          <w:p w14:paraId="4146934B" w14:textId="77777777" w:rsidR="00BF0637" w:rsidRPr="00E07C9A" w:rsidRDefault="00ED20CB" w:rsidP="00BF0637">
            <w:pPr>
              <w:rPr>
                <w:rStyle w:val="InstructionsTabelleText"/>
                <w:rFonts w:ascii="Times New Roman" w:hAnsi="Times New Roman"/>
                <w:sz w:val="24"/>
              </w:rPr>
            </w:pPr>
            <w:r w:rsidRPr="00E07C9A">
              <w:rPr>
                <w:rStyle w:val="InstructionsTabelleText"/>
                <w:rFonts w:ascii="Times New Roman" w:hAnsi="Times New Roman"/>
                <w:sz w:val="24"/>
              </w:rPr>
              <w:t>0280</w:t>
            </w:r>
          </w:p>
        </w:tc>
        <w:tc>
          <w:tcPr>
            <w:tcW w:w="8640" w:type="dxa"/>
          </w:tcPr>
          <w:p w14:paraId="4B8D6F40" w14:textId="77777777" w:rsidR="00BF0637" w:rsidRPr="00E07C9A" w:rsidRDefault="00BF0637" w:rsidP="00BF0637">
            <w:pPr>
              <w:rPr>
                <w:rStyle w:val="InstructionsTabelleberschrift"/>
                <w:rFonts w:ascii="Times New Roman" w:hAnsi="Times New Roman"/>
                <w:sz w:val="24"/>
              </w:rPr>
            </w:pPr>
            <w:r w:rsidRPr="00E07C9A">
              <w:rPr>
                <w:rStyle w:val="InstructionsTabelleberschrift"/>
                <w:rFonts w:ascii="Times New Roman" w:hAnsi="Times New Roman"/>
                <w:sz w:val="24"/>
              </w:rPr>
              <w:t>OPERAČNÉ RIZIKO</w:t>
            </w:r>
          </w:p>
          <w:p w14:paraId="0BF1BD46" w14:textId="77777777" w:rsidR="00BF0637" w:rsidRPr="00E07C9A" w:rsidRDefault="00BF0637" w:rsidP="00BF0637">
            <w:pPr>
              <w:rPr>
                <w:rStyle w:val="InstructionsTabelleText"/>
                <w:rFonts w:ascii="Times New Roman" w:hAnsi="Times New Roman"/>
                <w:sz w:val="24"/>
              </w:rPr>
            </w:pPr>
            <w:r w:rsidRPr="00E07C9A">
              <w:rPr>
                <w:rStyle w:val="InstructionsTabelleText"/>
                <w:rFonts w:ascii="Times New Roman" w:hAnsi="Times New Roman"/>
                <w:sz w:val="24"/>
              </w:rPr>
              <w:t>V prípade pokročilého prístupu merania (AMA) vykázané hodnoty rizikových expozícií pre operačné riziko zahŕňajú účinok diverzifikácie.</w:t>
            </w:r>
          </w:p>
          <w:p w14:paraId="53F6E3CC" w14:textId="77777777" w:rsidR="00BF0637" w:rsidRPr="00E07C9A" w:rsidRDefault="00BF0637" w:rsidP="00BF0637">
            <w:pPr>
              <w:rPr>
                <w:rStyle w:val="InstructionsTabelleText"/>
                <w:rFonts w:ascii="Times New Roman" w:hAnsi="Times New Roman"/>
                <w:sz w:val="24"/>
              </w:rPr>
            </w:pPr>
            <w:r w:rsidRPr="00E07C9A">
              <w:rPr>
                <w:rFonts w:ascii="Times New Roman" w:hAnsi="Times New Roman"/>
                <w:caps/>
                <w:sz w:val="24"/>
              </w:rPr>
              <w:t>V</w:t>
            </w:r>
            <w:r w:rsidRPr="00E07C9A">
              <w:rPr>
                <w:rFonts w:ascii="Times New Roman" w:hAnsi="Times New Roman"/>
                <w:sz w:val="24"/>
              </w:rPr>
              <w:t xml:space="preserve"> tomto stĺpci sú zahrnuté fixné režijné náklady.</w:t>
            </w:r>
          </w:p>
        </w:tc>
      </w:tr>
      <w:tr w:rsidR="00BF0637" w:rsidRPr="00E07C9A" w14:paraId="39549070" w14:textId="77777777" w:rsidTr="00672D2A">
        <w:tc>
          <w:tcPr>
            <w:tcW w:w="1188" w:type="dxa"/>
          </w:tcPr>
          <w:p w14:paraId="79EC8598" w14:textId="77777777" w:rsidR="00BF0637" w:rsidRPr="00E07C9A" w:rsidRDefault="00ED20CB" w:rsidP="00BF0637">
            <w:pPr>
              <w:rPr>
                <w:rStyle w:val="InstructionsTabelleText"/>
                <w:rFonts w:ascii="Times New Roman" w:hAnsi="Times New Roman"/>
                <w:sz w:val="24"/>
              </w:rPr>
            </w:pPr>
            <w:r w:rsidRPr="00E07C9A">
              <w:rPr>
                <w:rStyle w:val="InstructionsTabelleText"/>
                <w:rFonts w:ascii="Times New Roman" w:hAnsi="Times New Roman"/>
                <w:sz w:val="24"/>
              </w:rPr>
              <w:t>0290</w:t>
            </w:r>
          </w:p>
        </w:tc>
        <w:tc>
          <w:tcPr>
            <w:tcW w:w="8640" w:type="dxa"/>
          </w:tcPr>
          <w:p w14:paraId="01CE17E7" w14:textId="77777777" w:rsidR="00BF0637" w:rsidRPr="00E07C9A" w:rsidRDefault="00BF0637" w:rsidP="00BF0637">
            <w:pPr>
              <w:rPr>
                <w:rStyle w:val="InstructionsTabelleberschrift"/>
                <w:rFonts w:ascii="Times New Roman" w:hAnsi="Times New Roman"/>
                <w:sz w:val="24"/>
              </w:rPr>
            </w:pPr>
            <w:r w:rsidRPr="00E07C9A">
              <w:rPr>
                <w:rStyle w:val="InstructionsTabelleberschrift"/>
                <w:rFonts w:ascii="Times New Roman" w:hAnsi="Times New Roman"/>
                <w:sz w:val="24"/>
              </w:rPr>
              <w:t>INÉ HODNOTY RIZIKOVÝCH EXPOZÍCIÍ</w:t>
            </w:r>
          </w:p>
          <w:p w14:paraId="5A7799CF" w14:textId="2CBBD38B" w:rsidR="00BF0637" w:rsidRPr="00E07C9A" w:rsidRDefault="00BF0637" w:rsidP="00BF0637">
            <w:pPr>
              <w:rPr>
                <w:rStyle w:val="InstructionsTabelleberschrift"/>
                <w:rFonts w:ascii="Times New Roman" w:hAnsi="Times New Roman"/>
                <w:sz w:val="24"/>
              </w:rPr>
            </w:pPr>
            <w:r w:rsidRPr="00E07C9A">
              <w:rPr>
                <w:rStyle w:val="InstructionsTabelleText"/>
                <w:rFonts w:ascii="Times New Roman" w:hAnsi="Times New Roman"/>
                <w:sz w:val="24"/>
              </w:rPr>
              <w:t>Hodnota vykazovaná</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tomto stĺpci zodpovedá hodnote rizikovej expozície pre riziká, ktoré nie sú uvedené vyššie.</w:t>
            </w:r>
          </w:p>
        </w:tc>
      </w:tr>
      <w:tr w:rsidR="00BF0637" w:rsidRPr="00E07C9A" w14:paraId="7D6510DE" w14:textId="77777777" w:rsidTr="00672D2A">
        <w:tc>
          <w:tcPr>
            <w:tcW w:w="1188" w:type="dxa"/>
          </w:tcPr>
          <w:p w14:paraId="7C35FB4A" w14:textId="77777777" w:rsidR="00BF0637" w:rsidRPr="00E07C9A" w:rsidRDefault="00ED20CB" w:rsidP="00BF0637">
            <w:pPr>
              <w:rPr>
                <w:rStyle w:val="InstructionsTabelleText"/>
                <w:rFonts w:ascii="Times New Roman" w:hAnsi="Times New Roman"/>
                <w:sz w:val="24"/>
              </w:rPr>
            </w:pPr>
            <w:r w:rsidRPr="00E07C9A">
              <w:rPr>
                <w:rStyle w:val="InstructionsTabelleText"/>
                <w:rFonts w:ascii="Times New Roman" w:hAnsi="Times New Roman"/>
                <w:sz w:val="24"/>
              </w:rPr>
              <w:t>0300 –⁠ 0400</w:t>
            </w:r>
          </w:p>
        </w:tc>
        <w:tc>
          <w:tcPr>
            <w:tcW w:w="8640" w:type="dxa"/>
          </w:tcPr>
          <w:p w14:paraId="3DF64796" w14:textId="6BEF2F7E" w:rsidR="00BF0637" w:rsidRPr="00E07C9A" w:rsidRDefault="00BF0637" w:rsidP="00BF0637">
            <w:pPr>
              <w:rPr>
                <w:rStyle w:val="InstructionsTabelleberschrift"/>
                <w:rFonts w:ascii="Times New Roman" w:hAnsi="Times New Roman"/>
                <w:sz w:val="24"/>
              </w:rPr>
            </w:pPr>
            <w:r w:rsidRPr="00E07C9A">
              <w:rPr>
                <w:rStyle w:val="InstructionsTabelleberschrift"/>
                <w:rFonts w:ascii="Times New Roman" w:hAnsi="Times New Roman"/>
                <w:sz w:val="24"/>
              </w:rPr>
              <w:t>PRÍSPEVOK</w:t>
            </w:r>
            <w:r w:rsidR="009912F8" w:rsidRPr="00E07C9A">
              <w:rPr>
                <w:rStyle w:val="InstructionsTabelleberschrift"/>
                <w:rFonts w:ascii="Times New Roman" w:hAnsi="Times New Roman"/>
                <w:sz w:val="24"/>
              </w:rPr>
              <w:t xml:space="preserve"> K </w:t>
            </w:r>
            <w:r w:rsidRPr="00E07C9A">
              <w:rPr>
                <w:rStyle w:val="InstructionsTabelleberschrift"/>
                <w:rFonts w:ascii="Times New Roman" w:hAnsi="Times New Roman"/>
                <w:sz w:val="24"/>
              </w:rPr>
              <w:t>VLASTNÝM ZDROJOM</w:t>
            </w:r>
          </w:p>
          <w:p w14:paraId="06216622" w14:textId="77777777" w:rsidR="009912F8" w:rsidRPr="00E07C9A" w:rsidRDefault="00BF0637" w:rsidP="00BF0637">
            <w:pPr>
              <w:pStyle w:val="Texte2"/>
              <w:ind w:left="0"/>
              <w:rPr>
                <w:rStyle w:val="InstructionsTabelleText"/>
                <w:rFonts w:ascii="Times New Roman" w:hAnsi="Times New Roman"/>
                <w:sz w:val="24"/>
              </w:rPr>
            </w:pPr>
            <w:r w:rsidRPr="00E07C9A">
              <w:rPr>
                <w:rStyle w:val="InstructionsTabelleText"/>
                <w:rFonts w:ascii="Times New Roman" w:hAnsi="Times New Roman"/>
                <w:sz w:val="24"/>
              </w:rPr>
              <w:t>Táto časť vzoru neznamená, že inštitúcie majú vykonať úplný výpočet celkového podielu kapitálu na úrovni každého subjektu</w:t>
            </w:r>
            <w:r w:rsidR="009912F8" w:rsidRPr="00E07C9A">
              <w:rPr>
                <w:rStyle w:val="InstructionsTabelleText"/>
                <w:rFonts w:ascii="Times New Roman" w:hAnsi="Times New Roman"/>
                <w:sz w:val="24"/>
              </w:rPr>
              <w:t>.</w:t>
            </w:r>
          </w:p>
          <w:p w14:paraId="23DCF7D5" w14:textId="2B13B0D1" w:rsidR="00BF0637" w:rsidRPr="00E07C9A" w:rsidRDefault="00BF0637" w:rsidP="00BF0637">
            <w:pPr>
              <w:pStyle w:val="Texte2"/>
              <w:ind w:left="0"/>
              <w:rPr>
                <w:rStyle w:val="InstructionsTabelleText"/>
                <w:rFonts w:ascii="Times New Roman" w:hAnsi="Times New Roman"/>
                <w:sz w:val="24"/>
                <w:szCs w:val="24"/>
              </w:rPr>
            </w:pPr>
            <w:r w:rsidRPr="00E07C9A">
              <w:rPr>
                <w:rFonts w:ascii="Times New Roman" w:hAnsi="Times New Roman"/>
                <w:sz w:val="24"/>
              </w:rPr>
              <w:t>Stĺpce 0300 až 0350 sa vypĺňajú pre konsolidované subjekty, ktoré</w:t>
            </w:r>
            <w:r w:rsidR="009912F8" w:rsidRPr="00E07C9A">
              <w:rPr>
                <w:rFonts w:ascii="Times New Roman" w:hAnsi="Times New Roman"/>
                <w:sz w:val="24"/>
              </w:rPr>
              <w:t xml:space="preserve"> k </w:t>
            </w:r>
            <w:r w:rsidRPr="00E07C9A">
              <w:rPr>
                <w:rFonts w:ascii="Times New Roman" w:hAnsi="Times New Roman"/>
                <w:sz w:val="24"/>
              </w:rPr>
              <w:t>vlastným zdrojom prispievajú menšinovou účasťou,</w:t>
            </w:r>
            <w:r w:rsidRPr="00E07C9A">
              <w:rPr>
                <w:rFonts w:ascii="Times New Roman" w:hAnsi="Times New Roman"/>
              </w:rPr>
              <w:t xml:space="preserve"> </w:t>
            </w:r>
            <w:r w:rsidRPr="00E07C9A">
              <w:rPr>
                <w:rFonts w:ascii="Times New Roman" w:hAnsi="Times New Roman"/>
                <w:sz w:val="24"/>
              </w:rPr>
              <w:t>kvalifikovaným kapitálom Tier 1 alebo kvalifikovanými vlastnými zdrojmi. Keďže sa na ne vzťahuje prahová hodnota uvedená</w:t>
            </w:r>
            <w:r w:rsidR="009912F8" w:rsidRPr="00E07C9A">
              <w:rPr>
                <w:rFonts w:ascii="Times New Roman" w:hAnsi="Times New Roman"/>
                <w:sz w:val="24"/>
              </w:rPr>
              <w:t xml:space="preserve"> v </w:t>
            </w:r>
            <w:r w:rsidRPr="00E07C9A">
              <w:rPr>
                <w:rFonts w:ascii="Times New Roman" w:hAnsi="Times New Roman"/>
                <w:sz w:val="24"/>
              </w:rPr>
              <w:t>časti II kapitole 2.3 poslednom odseku vyššie, stĺpce 0360 až 0400 sa vypĺňajú pre všetky konsolidované subjekty, ktoré prispievajú ku konsolidovaným vlastným zdrojom.</w:t>
            </w:r>
          </w:p>
          <w:p w14:paraId="285D7F67" w14:textId="53061920" w:rsidR="009912F8" w:rsidRPr="00E07C9A" w:rsidRDefault="00BF0637" w:rsidP="00BF0637">
            <w:pPr>
              <w:pStyle w:val="Texte2"/>
              <w:ind w:left="0"/>
              <w:rPr>
                <w:rStyle w:val="InstructionsTabelleText"/>
                <w:rFonts w:ascii="Times New Roman" w:hAnsi="Times New Roman"/>
                <w:sz w:val="24"/>
              </w:rPr>
            </w:pPr>
            <w:r w:rsidRPr="00E07C9A">
              <w:rPr>
                <w:rStyle w:val="InstructionsTabelleText"/>
                <w:rFonts w:ascii="Times New Roman" w:hAnsi="Times New Roman"/>
                <w:sz w:val="24"/>
              </w:rPr>
              <w:t>Vlastné zdroje, ktoré do subjektu priniesli zvyšné subjekty zahrnuté</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rámci vykazujúceho subjektu, sa nezohľadňujú,</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tomto stĺpci sa vykazuje len čistý príspevok</w:t>
            </w:r>
            <w:r w:rsidR="009912F8" w:rsidRPr="00E07C9A">
              <w:rPr>
                <w:rStyle w:val="InstructionsTabelleText"/>
                <w:rFonts w:ascii="Times New Roman" w:hAnsi="Times New Roman"/>
                <w:sz w:val="24"/>
              </w:rPr>
              <w:t xml:space="preserve"> k </w:t>
            </w:r>
            <w:r w:rsidRPr="00E07C9A">
              <w:rPr>
                <w:rStyle w:val="InstructionsTabelleText"/>
                <w:rFonts w:ascii="Times New Roman" w:hAnsi="Times New Roman"/>
                <w:sz w:val="24"/>
              </w:rPr>
              <w:t>vlastným zdrojom skupiny (najmä vlastné zdroje získané od tretích strán</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akumulované rezervy)</w:t>
            </w:r>
            <w:r w:rsidR="009912F8" w:rsidRPr="00E07C9A">
              <w:rPr>
                <w:rStyle w:val="InstructionsTabelleText"/>
                <w:rFonts w:ascii="Times New Roman" w:hAnsi="Times New Roman"/>
                <w:sz w:val="24"/>
              </w:rPr>
              <w:t>.</w:t>
            </w:r>
          </w:p>
          <w:p w14:paraId="3233843E" w14:textId="1901ECC9" w:rsidR="00BF0637" w:rsidRPr="00E07C9A" w:rsidRDefault="00BF0637" w:rsidP="00BF0637">
            <w:pPr>
              <w:pStyle w:val="Texte2"/>
              <w:spacing w:after="120"/>
              <w:ind w:left="0"/>
              <w:rPr>
                <w:rStyle w:val="InstructionsTabelleberschrift"/>
                <w:rFonts w:ascii="Times New Roman" w:hAnsi="Times New Roman"/>
                <w:b w:val="0"/>
                <w:bCs w:val="0"/>
                <w:sz w:val="24"/>
                <w:szCs w:val="24"/>
              </w:rPr>
            </w:pPr>
            <w:r w:rsidRPr="00E07C9A">
              <w:rPr>
                <w:rStyle w:val="InstructionsTabelleText"/>
                <w:rFonts w:ascii="Times New Roman" w:hAnsi="Times New Roman"/>
                <w:sz w:val="24"/>
              </w:rPr>
              <w:t>Informácie vykazované</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nasledujúcich stĺpcoch musia byť</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súlade</w:t>
            </w:r>
            <w:r w:rsidR="009912F8" w:rsidRPr="00E07C9A">
              <w:rPr>
                <w:rStyle w:val="InstructionsTabelleText"/>
                <w:rFonts w:ascii="Times New Roman" w:hAnsi="Times New Roman"/>
                <w:sz w:val="24"/>
              </w:rPr>
              <w:t xml:space="preserve"> s </w:t>
            </w:r>
            <w:r w:rsidRPr="00E07C9A">
              <w:rPr>
                <w:rStyle w:val="InstructionsTabelleText"/>
                <w:rFonts w:ascii="Times New Roman" w:hAnsi="Times New Roman"/>
                <w:sz w:val="24"/>
              </w:rPr>
              <w:t>pravidlami</w:t>
            </w:r>
            <w:r w:rsidR="009912F8" w:rsidRPr="00E07C9A">
              <w:rPr>
                <w:rStyle w:val="InstructionsTabelleText"/>
                <w:rFonts w:ascii="Times New Roman" w:hAnsi="Times New Roman"/>
                <w:sz w:val="24"/>
              </w:rPr>
              <w:t xml:space="preserve"> o </w:t>
            </w:r>
            <w:r w:rsidRPr="00E07C9A">
              <w:rPr>
                <w:rStyle w:val="InstructionsTabelleText"/>
                <w:rFonts w:ascii="Times New Roman" w:hAnsi="Times New Roman"/>
                <w:sz w:val="24"/>
              </w:rPr>
              <w:t>platobnej schopnosti uplatniteľnými na vykazujúcu inštitúciu.</w:t>
            </w:r>
          </w:p>
        </w:tc>
      </w:tr>
      <w:tr w:rsidR="00BF0637" w:rsidRPr="00E07C9A" w14:paraId="64835081" w14:textId="77777777" w:rsidTr="00672D2A">
        <w:tc>
          <w:tcPr>
            <w:tcW w:w="1188" w:type="dxa"/>
          </w:tcPr>
          <w:p w14:paraId="29450664" w14:textId="77777777" w:rsidR="00BF0637" w:rsidRPr="00E07C9A" w:rsidRDefault="00ED20CB" w:rsidP="00BF0637">
            <w:pPr>
              <w:rPr>
                <w:rStyle w:val="InstructionsTabelleText"/>
                <w:rFonts w:ascii="Times New Roman" w:hAnsi="Times New Roman"/>
                <w:sz w:val="24"/>
              </w:rPr>
            </w:pPr>
            <w:r w:rsidRPr="00E07C9A">
              <w:rPr>
                <w:rStyle w:val="InstructionsTabelleText"/>
                <w:rFonts w:ascii="Times New Roman" w:hAnsi="Times New Roman"/>
                <w:sz w:val="24"/>
              </w:rPr>
              <w:t>0300 –⁠ 0350</w:t>
            </w:r>
          </w:p>
        </w:tc>
        <w:tc>
          <w:tcPr>
            <w:tcW w:w="8640" w:type="dxa"/>
          </w:tcPr>
          <w:p w14:paraId="5812F9FA" w14:textId="77777777" w:rsidR="00BF0637" w:rsidRPr="00E07C9A" w:rsidRDefault="00BF0637" w:rsidP="00BF0637">
            <w:pPr>
              <w:rPr>
                <w:rStyle w:val="InstructionsTabelleberschrift"/>
                <w:rFonts w:ascii="Times New Roman" w:hAnsi="Times New Roman"/>
                <w:sz w:val="24"/>
              </w:rPr>
            </w:pPr>
            <w:r w:rsidRPr="00E07C9A">
              <w:rPr>
                <w:rStyle w:val="InstructionsTabelleberschrift"/>
                <w:rFonts w:ascii="Times New Roman" w:hAnsi="Times New Roman"/>
                <w:sz w:val="24"/>
              </w:rPr>
              <w:t>KVALIFIKOVANÉ VLASTNÉ ZDROJE ZAHRNUTÉ DO KONSOLIDOVANÝCH VLASTNÝCH ZDROJOV</w:t>
            </w:r>
          </w:p>
          <w:p w14:paraId="6B0CC8E1" w14:textId="539AFE22" w:rsidR="00BF0637" w:rsidRPr="00E07C9A" w:rsidRDefault="00BF0637" w:rsidP="00975344">
            <w:pPr>
              <w:rPr>
                <w:rStyle w:val="InstructionsTabelleberschrift"/>
                <w:rFonts w:ascii="Times New Roman" w:hAnsi="Times New Roman"/>
                <w:sz w:val="24"/>
              </w:rPr>
            </w:pPr>
            <w:r w:rsidRPr="00E07C9A">
              <w:rPr>
                <w:rStyle w:val="InstructionsTabelleText"/>
                <w:rFonts w:ascii="Times New Roman" w:hAnsi="Times New Roman"/>
                <w:sz w:val="24"/>
              </w:rPr>
              <w:t>Hodnota, ktorá sa vykazuje ako „KVALIFIKOVANÉ VLASTNÉ ZDROJE ZAHRNUTÉ DO KONSOLIDOVANÝCH VLASTNÝCH ZDROJOV“, je hodnota odvodená od druhej časti hlavy II</w:t>
            </w:r>
            <w:r w:rsidRPr="00E07C9A">
              <w:rPr>
                <w:rFonts w:ascii="Times New Roman" w:hAnsi="Times New Roman"/>
                <w:sz w:val="24"/>
              </w:rPr>
              <w:t xml:space="preserve"> nariadenia (EÚ) </w:t>
            </w:r>
            <w:r w:rsidR="009912F8" w:rsidRPr="00E07C9A">
              <w:rPr>
                <w:rFonts w:ascii="Times New Roman" w:hAnsi="Times New Roman"/>
                <w:sz w:val="24"/>
              </w:rPr>
              <w:t>č. 575/2013</w:t>
            </w:r>
            <w:r w:rsidRPr="00E07C9A">
              <w:rPr>
                <w:rStyle w:val="InstructionsTabelleText"/>
                <w:rFonts w:ascii="Times New Roman" w:hAnsi="Times New Roman"/>
                <w:sz w:val="24"/>
              </w:rPr>
              <w:t xml:space="preserve"> bez zdrojov prinesených ostatnými subjektmi skupiny.</w:t>
            </w:r>
          </w:p>
        </w:tc>
      </w:tr>
      <w:tr w:rsidR="00BF0637" w:rsidRPr="00E07C9A" w14:paraId="47AE9BA4" w14:textId="77777777" w:rsidTr="00672D2A">
        <w:tc>
          <w:tcPr>
            <w:tcW w:w="1188" w:type="dxa"/>
          </w:tcPr>
          <w:p w14:paraId="1CB44CF1" w14:textId="77777777" w:rsidR="00BF0637" w:rsidRPr="00E07C9A" w:rsidRDefault="00ED20CB" w:rsidP="00BF0637">
            <w:pPr>
              <w:rPr>
                <w:rStyle w:val="InstructionsTabelleText"/>
                <w:rFonts w:ascii="Times New Roman" w:hAnsi="Times New Roman"/>
                <w:sz w:val="24"/>
              </w:rPr>
            </w:pPr>
            <w:r w:rsidRPr="00E07C9A">
              <w:rPr>
                <w:rFonts w:ascii="Times New Roman" w:hAnsi="Times New Roman"/>
                <w:sz w:val="24"/>
              </w:rPr>
              <w:t>0300</w:t>
            </w:r>
          </w:p>
        </w:tc>
        <w:tc>
          <w:tcPr>
            <w:tcW w:w="8640" w:type="dxa"/>
          </w:tcPr>
          <w:p w14:paraId="4BF8787D" w14:textId="77777777" w:rsidR="00BF0637" w:rsidRPr="00E07C9A" w:rsidRDefault="00BF0637" w:rsidP="00BF0637">
            <w:pPr>
              <w:rPr>
                <w:rStyle w:val="InstructionsTabelleberschrift"/>
                <w:rFonts w:ascii="Times New Roman" w:hAnsi="Times New Roman"/>
                <w:sz w:val="24"/>
              </w:rPr>
            </w:pPr>
            <w:r w:rsidRPr="00E07C9A">
              <w:rPr>
                <w:rStyle w:val="InstructionsTabelleberschrift"/>
                <w:rFonts w:ascii="Times New Roman" w:hAnsi="Times New Roman"/>
                <w:sz w:val="24"/>
              </w:rPr>
              <w:t>KVALIFIKOVANÉ VLASTNÉ ZDROJE ZAHRNUTÉ DO KONSOLIDOVANÝCH VLASTNÝCH ZDROJOV</w:t>
            </w:r>
          </w:p>
          <w:p w14:paraId="1633436E" w14:textId="2D5DD140" w:rsidR="00BF0637" w:rsidRPr="00E07C9A" w:rsidRDefault="00BF0637" w:rsidP="00BF0637">
            <w:pPr>
              <w:rPr>
                <w:rStyle w:val="InstructionsTabelleText"/>
                <w:rFonts w:ascii="Times New Roman" w:hAnsi="Times New Roman"/>
                <w:sz w:val="24"/>
              </w:rPr>
            </w:pPr>
            <w:r w:rsidRPr="00E07C9A">
              <w:rPr>
                <w:rStyle w:val="InstructionsTabelleText"/>
                <w:rFonts w:ascii="Times New Roman" w:hAnsi="Times New Roman"/>
                <w:sz w:val="24"/>
              </w:rPr>
              <w:t>Článok 87</w:t>
            </w:r>
            <w:r w:rsidR="009912F8" w:rsidRPr="00E07C9A">
              <w:rPr>
                <w:rStyle w:val="InstructionsTabelleText"/>
                <w:rFonts w:ascii="Times New Roman" w:hAnsi="Times New Roman"/>
                <w:sz w:val="24"/>
              </w:rPr>
              <w:t xml:space="preserve"> </w:t>
            </w:r>
            <w:r w:rsidRPr="00E07C9A">
              <w:rPr>
                <w:rFonts w:ascii="Times New Roman" w:hAnsi="Times New Roman"/>
                <w:sz w:val="24"/>
              </w:rPr>
              <w:t xml:space="preserve">nariadenia (EÚ) </w:t>
            </w:r>
            <w:r w:rsidR="009912F8" w:rsidRPr="00E07C9A">
              <w:rPr>
                <w:rFonts w:ascii="Times New Roman" w:hAnsi="Times New Roman"/>
                <w:sz w:val="24"/>
              </w:rPr>
              <w:t>č. 575/2013</w:t>
            </w:r>
          </w:p>
        </w:tc>
      </w:tr>
      <w:tr w:rsidR="00BF0637" w:rsidRPr="00E07C9A" w14:paraId="37B53590" w14:textId="77777777" w:rsidTr="00672D2A">
        <w:tc>
          <w:tcPr>
            <w:tcW w:w="1188" w:type="dxa"/>
          </w:tcPr>
          <w:p w14:paraId="1095C3C3" w14:textId="77777777" w:rsidR="00BF0637" w:rsidRPr="00E07C9A" w:rsidRDefault="00ED20CB" w:rsidP="00BF0637">
            <w:pPr>
              <w:rPr>
                <w:rStyle w:val="InstructionsTabelleText"/>
                <w:rFonts w:ascii="Times New Roman" w:hAnsi="Times New Roman"/>
                <w:sz w:val="24"/>
              </w:rPr>
            </w:pPr>
            <w:r w:rsidRPr="00E07C9A">
              <w:rPr>
                <w:rFonts w:ascii="Times New Roman" w:hAnsi="Times New Roman"/>
                <w:sz w:val="24"/>
              </w:rPr>
              <w:t>0310</w:t>
            </w:r>
          </w:p>
        </w:tc>
        <w:tc>
          <w:tcPr>
            <w:tcW w:w="8640" w:type="dxa"/>
          </w:tcPr>
          <w:p w14:paraId="5C83D9DE" w14:textId="77777777" w:rsidR="00BF0637" w:rsidRPr="00E07C9A" w:rsidRDefault="00BF0637" w:rsidP="00BF0637">
            <w:pPr>
              <w:rPr>
                <w:rStyle w:val="InstructionsTabelleberschrift"/>
                <w:rFonts w:ascii="Times New Roman" w:hAnsi="Times New Roman"/>
                <w:sz w:val="24"/>
              </w:rPr>
            </w:pPr>
            <w:r w:rsidRPr="00E07C9A">
              <w:rPr>
                <w:rStyle w:val="InstructionsTabelleberschrift"/>
                <w:rFonts w:ascii="Times New Roman" w:hAnsi="Times New Roman"/>
                <w:sz w:val="24"/>
              </w:rPr>
              <w:t>KVALIFIKOVANÉ NÁSTROJE TIER 1 ZAHRNUTÉ DO KONSOLIDOVANÉHO KAPITÁLU TIER 1</w:t>
            </w:r>
          </w:p>
          <w:p w14:paraId="494A052C" w14:textId="187D63D3" w:rsidR="00BF0637" w:rsidRPr="00E07C9A" w:rsidRDefault="00BF0637" w:rsidP="00BF0637">
            <w:pPr>
              <w:rPr>
                <w:rStyle w:val="InstructionsTabelleText"/>
                <w:rFonts w:ascii="Times New Roman" w:hAnsi="Times New Roman"/>
                <w:sz w:val="24"/>
              </w:rPr>
            </w:pPr>
            <w:r w:rsidRPr="00E07C9A">
              <w:rPr>
                <w:rStyle w:val="InstructionsTabelleText"/>
                <w:rFonts w:ascii="Times New Roman" w:hAnsi="Times New Roman"/>
                <w:sz w:val="24"/>
              </w:rPr>
              <w:t>Článok 85</w:t>
            </w:r>
            <w:r w:rsidR="009912F8" w:rsidRPr="00E07C9A">
              <w:rPr>
                <w:rStyle w:val="InstructionsTabelleText"/>
                <w:rFonts w:ascii="Times New Roman" w:hAnsi="Times New Roman"/>
                <w:sz w:val="24"/>
              </w:rPr>
              <w:t xml:space="preserve"> </w:t>
            </w:r>
            <w:r w:rsidRPr="00E07C9A">
              <w:rPr>
                <w:rFonts w:ascii="Times New Roman" w:hAnsi="Times New Roman"/>
                <w:sz w:val="24"/>
              </w:rPr>
              <w:t xml:space="preserve">nariadenia (EÚ) </w:t>
            </w:r>
            <w:r w:rsidR="009912F8" w:rsidRPr="00E07C9A">
              <w:rPr>
                <w:rFonts w:ascii="Times New Roman" w:hAnsi="Times New Roman"/>
                <w:sz w:val="24"/>
              </w:rPr>
              <w:t>č. 575/2013</w:t>
            </w:r>
          </w:p>
        </w:tc>
      </w:tr>
      <w:tr w:rsidR="00BF0637" w:rsidRPr="00E07C9A" w14:paraId="7CF383E7" w14:textId="77777777" w:rsidTr="00672D2A">
        <w:tc>
          <w:tcPr>
            <w:tcW w:w="1188" w:type="dxa"/>
          </w:tcPr>
          <w:p w14:paraId="3DD4A137" w14:textId="77777777" w:rsidR="00BF0637" w:rsidRPr="00E07C9A" w:rsidRDefault="00ED20CB" w:rsidP="00BF0637">
            <w:pPr>
              <w:rPr>
                <w:rStyle w:val="InstructionsTabelleText"/>
                <w:rFonts w:ascii="Times New Roman" w:hAnsi="Times New Roman"/>
                <w:sz w:val="24"/>
              </w:rPr>
            </w:pPr>
            <w:r w:rsidRPr="00E07C9A">
              <w:rPr>
                <w:rFonts w:ascii="Times New Roman" w:hAnsi="Times New Roman"/>
                <w:sz w:val="24"/>
              </w:rPr>
              <w:t>0320</w:t>
            </w:r>
          </w:p>
        </w:tc>
        <w:tc>
          <w:tcPr>
            <w:tcW w:w="8640" w:type="dxa"/>
          </w:tcPr>
          <w:p w14:paraId="213994E6" w14:textId="77777777" w:rsidR="00BF0637" w:rsidRPr="00E07C9A" w:rsidRDefault="00BF0637" w:rsidP="00BF0637">
            <w:pPr>
              <w:rPr>
                <w:rStyle w:val="InstructionsTabelleText"/>
                <w:rFonts w:ascii="Times New Roman" w:hAnsi="Times New Roman"/>
                <w:sz w:val="24"/>
              </w:rPr>
            </w:pPr>
            <w:r w:rsidRPr="00E07C9A">
              <w:rPr>
                <w:rStyle w:val="InstructionsTabelleberschrift"/>
                <w:rFonts w:ascii="Times New Roman" w:hAnsi="Times New Roman"/>
                <w:sz w:val="24"/>
              </w:rPr>
              <w:t>MENŠINOVÉ ÚČASTI ZAHRNUTÉ DO KONSOLIDOVANÉHO VLASTNÉHO</w:t>
            </w:r>
            <w:r w:rsidRPr="00E07C9A">
              <w:rPr>
                <w:rFonts w:ascii="Times New Roman" w:hAnsi="Times New Roman"/>
              </w:rPr>
              <w:t xml:space="preserve"> </w:t>
            </w:r>
            <w:r w:rsidRPr="00E07C9A">
              <w:rPr>
                <w:rFonts w:ascii="Times New Roman" w:hAnsi="Times New Roman"/>
              </w:rPr>
              <w:br/>
            </w:r>
            <w:r w:rsidRPr="00E07C9A">
              <w:rPr>
                <w:rStyle w:val="InstructionsTabelleberschrift"/>
                <w:rFonts w:ascii="Times New Roman" w:hAnsi="Times New Roman"/>
                <w:sz w:val="24"/>
              </w:rPr>
              <w:t>KAPITÁLU TIER 1</w:t>
            </w:r>
          </w:p>
          <w:p w14:paraId="3911EDD5" w14:textId="36EA2AC9" w:rsidR="00BF0637" w:rsidRPr="00E07C9A" w:rsidRDefault="00BF0637" w:rsidP="00BF0637">
            <w:pPr>
              <w:rPr>
                <w:rStyle w:val="InstructionsTabelleText"/>
                <w:rFonts w:ascii="Times New Roman" w:hAnsi="Times New Roman"/>
                <w:sz w:val="24"/>
              </w:rPr>
            </w:pPr>
            <w:r w:rsidRPr="00E07C9A">
              <w:rPr>
                <w:rStyle w:val="InstructionsTabelleText"/>
                <w:rFonts w:ascii="Times New Roman" w:hAnsi="Times New Roman"/>
                <w:sz w:val="24"/>
              </w:rPr>
              <w:t>Článok 84</w:t>
            </w:r>
            <w:r w:rsidR="009912F8" w:rsidRPr="00E07C9A">
              <w:rPr>
                <w:rStyle w:val="InstructionsTabelleText"/>
                <w:rFonts w:ascii="Times New Roman" w:hAnsi="Times New Roman"/>
                <w:sz w:val="24"/>
              </w:rPr>
              <w:t xml:space="preserve"> </w:t>
            </w:r>
            <w:r w:rsidRPr="00E07C9A">
              <w:rPr>
                <w:rFonts w:ascii="Times New Roman" w:hAnsi="Times New Roman"/>
                <w:sz w:val="24"/>
              </w:rPr>
              <w:t xml:space="preserve">nariadenia (EÚ) </w:t>
            </w:r>
            <w:r w:rsidR="009912F8" w:rsidRPr="00E07C9A">
              <w:rPr>
                <w:rFonts w:ascii="Times New Roman" w:hAnsi="Times New Roman"/>
                <w:sz w:val="24"/>
              </w:rPr>
              <w:t>č. 575/2013</w:t>
            </w:r>
          </w:p>
          <w:p w14:paraId="7FDDD9A5" w14:textId="2F687C3E" w:rsidR="00BF0637" w:rsidRPr="00E07C9A" w:rsidRDefault="00BF0637" w:rsidP="00BF0637">
            <w:pPr>
              <w:rPr>
                <w:rStyle w:val="InstructionsTabelleText"/>
                <w:rFonts w:ascii="Times New Roman" w:hAnsi="Times New Roman"/>
                <w:sz w:val="24"/>
              </w:rPr>
            </w:pPr>
            <w:r w:rsidRPr="00E07C9A">
              <w:rPr>
                <w:rStyle w:val="InstructionsTabelleText"/>
                <w:rFonts w:ascii="Times New Roman" w:hAnsi="Times New Roman"/>
                <w:sz w:val="24"/>
              </w:rPr>
              <w:t>Vykazovaná hodnota je hodnota menšinových účastí dcérskej spoločnosti, ktorá je zahrnutá do konsolidovaného CET1</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súlade</w:t>
            </w:r>
            <w:r w:rsidR="009912F8" w:rsidRPr="00E07C9A">
              <w:rPr>
                <w:rStyle w:val="InstructionsTabelleText"/>
                <w:rFonts w:ascii="Times New Roman" w:hAnsi="Times New Roman"/>
                <w:sz w:val="24"/>
              </w:rPr>
              <w:t xml:space="preserve"> s </w:t>
            </w:r>
            <w:r w:rsidRPr="00E07C9A">
              <w:rPr>
                <w:rFonts w:ascii="Times New Roman" w:hAnsi="Times New Roman"/>
                <w:sz w:val="24"/>
              </w:rPr>
              <w:t xml:space="preserve">nariadením (EÚ) </w:t>
            </w:r>
            <w:r w:rsidR="009912F8" w:rsidRPr="00E07C9A">
              <w:rPr>
                <w:rFonts w:ascii="Times New Roman" w:hAnsi="Times New Roman"/>
                <w:sz w:val="24"/>
              </w:rPr>
              <w:t>č. 575/2013</w:t>
            </w:r>
            <w:r w:rsidRPr="00E07C9A">
              <w:rPr>
                <w:rStyle w:val="InstructionsTabelleText"/>
                <w:rFonts w:ascii="Times New Roman" w:hAnsi="Times New Roman"/>
                <w:sz w:val="24"/>
              </w:rPr>
              <w:t xml:space="preserve">. </w:t>
            </w:r>
          </w:p>
        </w:tc>
      </w:tr>
      <w:tr w:rsidR="00BF0637" w:rsidRPr="00E07C9A" w14:paraId="361E99DD" w14:textId="77777777" w:rsidTr="00672D2A">
        <w:tc>
          <w:tcPr>
            <w:tcW w:w="1188" w:type="dxa"/>
          </w:tcPr>
          <w:p w14:paraId="25182397" w14:textId="77777777" w:rsidR="00BF0637" w:rsidRPr="00E07C9A" w:rsidRDefault="00ED20CB" w:rsidP="00BF0637">
            <w:pPr>
              <w:rPr>
                <w:rStyle w:val="InstructionsTabelleText"/>
                <w:rFonts w:ascii="Times New Roman" w:hAnsi="Times New Roman"/>
                <w:sz w:val="24"/>
              </w:rPr>
            </w:pPr>
            <w:r w:rsidRPr="00E07C9A">
              <w:rPr>
                <w:rFonts w:ascii="Times New Roman" w:hAnsi="Times New Roman"/>
                <w:sz w:val="24"/>
              </w:rPr>
              <w:t>0330</w:t>
            </w:r>
          </w:p>
        </w:tc>
        <w:tc>
          <w:tcPr>
            <w:tcW w:w="8640" w:type="dxa"/>
          </w:tcPr>
          <w:p w14:paraId="2A1A1646" w14:textId="77777777" w:rsidR="00BF0637" w:rsidRPr="00E07C9A" w:rsidRDefault="00BF0637" w:rsidP="00BF0637">
            <w:pPr>
              <w:rPr>
                <w:rStyle w:val="InstructionsTabelleText"/>
                <w:rFonts w:ascii="Times New Roman" w:hAnsi="Times New Roman"/>
                <w:sz w:val="24"/>
              </w:rPr>
            </w:pPr>
            <w:r w:rsidRPr="00E07C9A">
              <w:rPr>
                <w:rStyle w:val="InstructionsTabelleberschrift"/>
                <w:rFonts w:ascii="Times New Roman" w:hAnsi="Times New Roman"/>
                <w:sz w:val="24"/>
              </w:rPr>
              <w:t>KVALIFIKOVANÉ NÁSTROJE TIER 1 ZAHRNUTÉ DO KONSOLIDOVANÉHO DODATOČNÉHO KAPITÁLU TIER 1</w:t>
            </w:r>
          </w:p>
          <w:p w14:paraId="45D53AAB" w14:textId="1958B0E3" w:rsidR="00BF0637" w:rsidRPr="00E07C9A" w:rsidRDefault="00BF0637" w:rsidP="00BF0637">
            <w:pPr>
              <w:rPr>
                <w:rStyle w:val="InstructionsTabelleText"/>
                <w:rFonts w:ascii="Times New Roman" w:hAnsi="Times New Roman"/>
                <w:sz w:val="24"/>
              </w:rPr>
            </w:pPr>
            <w:r w:rsidRPr="00E07C9A">
              <w:rPr>
                <w:rStyle w:val="InstructionsTabelleText"/>
                <w:rFonts w:ascii="Times New Roman" w:hAnsi="Times New Roman"/>
                <w:sz w:val="24"/>
              </w:rPr>
              <w:t>Článok 86</w:t>
            </w:r>
            <w:r w:rsidR="009912F8" w:rsidRPr="00E07C9A">
              <w:rPr>
                <w:rStyle w:val="InstructionsTabelleText"/>
                <w:rFonts w:ascii="Times New Roman" w:hAnsi="Times New Roman"/>
                <w:sz w:val="24"/>
              </w:rPr>
              <w:t xml:space="preserve"> </w:t>
            </w:r>
            <w:r w:rsidRPr="00E07C9A">
              <w:rPr>
                <w:rFonts w:ascii="Times New Roman" w:hAnsi="Times New Roman"/>
                <w:sz w:val="24"/>
              </w:rPr>
              <w:t xml:space="preserve">nariadenia (EÚ) </w:t>
            </w:r>
            <w:r w:rsidR="009912F8" w:rsidRPr="00E07C9A">
              <w:rPr>
                <w:rFonts w:ascii="Times New Roman" w:hAnsi="Times New Roman"/>
                <w:sz w:val="24"/>
              </w:rPr>
              <w:t>č. 575/2013</w:t>
            </w:r>
          </w:p>
          <w:p w14:paraId="203897A7" w14:textId="1B6CB426" w:rsidR="00BF0637" w:rsidRPr="00E07C9A" w:rsidRDefault="00BF0637" w:rsidP="00BF0637">
            <w:pPr>
              <w:rPr>
                <w:rStyle w:val="InstructionsTabelleText"/>
                <w:rFonts w:ascii="Times New Roman" w:hAnsi="Times New Roman"/>
                <w:sz w:val="24"/>
              </w:rPr>
            </w:pPr>
            <w:r w:rsidRPr="00E07C9A">
              <w:rPr>
                <w:rStyle w:val="InstructionsTabelleText"/>
                <w:rFonts w:ascii="Times New Roman" w:hAnsi="Times New Roman"/>
                <w:sz w:val="24"/>
              </w:rPr>
              <w:t>Vykazovaná hodnota je hodnota kvalifikovaného kapitálu T1 dcérskej spoločnosti, ktorá je zahrnutá do konsolidovaného AT1</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súlade</w:t>
            </w:r>
            <w:r w:rsidR="009912F8" w:rsidRPr="00E07C9A">
              <w:rPr>
                <w:rStyle w:val="InstructionsTabelleText"/>
                <w:rFonts w:ascii="Times New Roman" w:hAnsi="Times New Roman"/>
                <w:sz w:val="24"/>
              </w:rPr>
              <w:t xml:space="preserve"> s </w:t>
            </w:r>
            <w:r w:rsidRPr="00E07C9A">
              <w:rPr>
                <w:rFonts w:ascii="Times New Roman" w:hAnsi="Times New Roman"/>
                <w:sz w:val="24"/>
              </w:rPr>
              <w:t xml:space="preserve">nariadením (EÚ) </w:t>
            </w:r>
            <w:r w:rsidR="009912F8" w:rsidRPr="00E07C9A">
              <w:rPr>
                <w:rFonts w:ascii="Times New Roman" w:hAnsi="Times New Roman"/>
                <w:sz w:val="24"/>
              </w:rPr>
              <w:t>č. 575/2013</w:t>
            </w:r>
            <w:r w:rsidRPr="00E07C9A">
              <w:rPr>
                <w:rStyle w:val="InstructionsTabelleText"/>
                <w:rFonts w:ascii="Times New Roman" w:hAnsi="Times New Roman"/>
                <w:sz w:val="24"/>
              </w:rPr>
              <w:t xml:space="preserve">. </w:t>
            </w:r>
          </w:p>
        </w:tc>
      </w:tr>
      <w:tr w:rsidR="00BF0637" w:rsidRPr="00E07C9A" w14:paraId="0283AB5E" w14:textId="77777777" w:rsidTr="00672D2A">
        <w:tc>
          <w:tcPr>
            <w:tcW w:w="1188" w:type="dxa"/>
          </w:tcPr>
          <w:p w14:paraId="4F0195F7" w14:textId="77777777" w:rsidR="00BF0637" w:rsidRPr="00E07C9A" w:rsidRDefault="00ED20CB" w:rsidP="00BF0637">
            <w:pPr>
              <w:rPr>
                <w:rStyle w:val="InstructionsTabelleText"/>
                <w:rFonts w:ascii="Times New Roman" w:hAnsi="Times New Roman"/>
                <w:sz w:val="24"/>
              </w:rPr>
            </w:pPr>
            <w:r w:rsidRPr="00E07C9A">
              <w:rPr>
                <w:rFonts w:ascii="Times New Roman" w:hAnsi="Times New Roman"/>
                <w:sz w:val="24"/>
              </w:rPr>
              <w:t>0340</w:t>
            </w:r>
          </w:p>
        </w:tc>
        <w:tc>
          <w:tcPr>
            <w:tcW w:w="8640" w:type="dxa"/>
          </w:tcPr>
          <w:p w14:paraId="0AE3070A" w14:textId="77777777" w:rsidR="00BF0637" w:rsidRPr="00E07C9A" w:rsidRDefault="00BF0637" w:rsidP="00BF0637">
            <w:pPr>
              <w:rPr>
                <w:rStyle w:val="InstructionsTabelleberschrift"/>
                <w:rFonts w:ascii="Times New Roman" w:hAnsi="Times New Roman"/>
                <w:sz w:val="24"/>
              </w:rPr>
            </w:pPr>
            <w:r w:rsidRPr="00E07C9A">
              <w:rPr>
                <w:rStyle w:val="InstructionsTabelleberschrift"/>
                <w:rFonts w:ascii="Times New Roman" w:hAnsi="Times New Roman"/>
                <w:sz w:val="24"/>
              </w:rPr>
              <w:t>KVALIFIKOVANÉ NÁSTROJE VLASTNÝCH ZDROJOV ZAHRNUTÉ DO</w:t>
            </w:r>
            <w:r w:rsidRPr="00E07C9A">
              <w:rPr>
                <w:rFonts w:ascii="Times New Roman" w:hAnsi="Times New Roman"/>
              </w:rPr>
              <w:t xml:space="preserve"> </w:t>
            </w:r>
            <w:r w:rsidRPr="00E07C9A">
              <w:rPr>
                <w:rFonts w:ascii="Times New Roman" w:hAnsi="Times New Roman"/>
              </w:rPr>
              <w:br/>
            </w:r>
            <w:r w:rsidRPr="00E07C9A">
              <w:rPr>
                <w:rStyle w:val="InstructionsTabelleberschrift"/>
                <w:rFonts w:ascii="Times New Roman" w:hAnsi="Times New Roman"/>
                <w:sz w:val="24"/>
              </w:rPr>
              <w:t>KONSOLIDOVANÉHO KAPITÁLU TIER 2</w:t>
            </w:r>
          </w:p>
          <w:p w14:paraId="4291CA19" w14:textId="40AB64B5" w:rsidR="00BF0637" w:rsidRPr="00E07C9A" w:rsidRDefault="00BF0637" w:rsidP="00BF0637">
            <w:pPr>
              <w:rPr>
                <w:rStyle w:val="InstructionsTabelleText"/>
                <w:rFonts w:ascii="Times New Roman" w:hAnsi="Times New Roman"/>
                <w:sz w:val="24"/>
              </w:rPr>
            </w:pPr>
            <w:r w:rsidRPr="00E07C9A">
              <w:rPr>
                <w:rStyle w:val="InstructionsTabelleText"/>
                <w:rFonts w:ascii="Times New Roman" w:hAnsi="Times New Roman"/>
                <w:sz w:val="24"/>
              </w:rPr>
              <w:t>Článok 88</w:t>
            </w:r>
            <w:r w:rsidR="009912F8" w:rsidRPr="00E07C9A">
              <w:rPr>
                <w:rStyle w:val="InstructionsTabelleText"/>
                <w:rFonts w:ascii="Times New Roman" w:hAnsi="Times New Roman"/>
                <w:sz w:val="24"/>
              </w:rPr>
              <w:t xml:space="preserve"> </w:t>
            </w:r>
            <w:r w:rsidRPr="00E07C9A">
              <w:rPr>
                <w:rFonts w:ascii="Times New Roman" w:hAnsi="Times New Roman"/>
                <w:sz w:val="24"/>
              </w:rPr>
              <w:t xml:space="preserve">nariadenia (EÚ) </w:t>
            </w:r>
            <w:r w:rsidR="009912F8" w:rsidRPr="00E07C9A">
              <w:rPr>
                <w:rFonts w:ascii="Times New Roman" w:hAnsi="Times New Roman"/>
                <w:sz w:val="24"/>
              </w:rPr>
              <w:t>č. 575/2013</w:t>
            </w:r>
          </w:p>
          <w:p w14:paraId="6E02F526" w14:textId="543B03EC" w:rsidR="00BF0637" w:rsidRPr="00E07C9A" w:rsidRDefault="00BF0637" w:rsidP="00DE583B">
            <w:pPr>
              <w:rPr>
                <w:rStyle w:val="InstructionsTabelleText"/>
                <w:rFonts w:ascii="Times New Roman" w:hAnsi="Times New Roman"/>
                <w:sz w:val="24"/>
              </w:rPr>
            </w:pPr>
            <w:r w:rsidRPr="00E07C9A">
              <w:rPr>
                <w:rStyle w:val="InstructionsTabelleText"/>
                <w:rFonts w:ascii="Times New Roman" w:hAnsi="Times New Roman"/>
                <w:sz w:val="24"/>
              </w:rPr>
              <w:t>Vykazovaná hodnota je hodnota kvalifikovaných vlastných zdrojov dcérskej spoločnosti, ktorá je zahrnutá do konsolidovaného T2</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súlade</w:t>
            </w:r>
            <w:r w:rsidR="009912F8" w:rsidRPr="00E07C9A">
              <w:rPr>
                <w:rStyle w:val="InstructionsTabelleText"/>
                <w:rFonts w:ascii="Times New Roman" w:hAnsi="Times New Roman"/>
                <w:sz w:val="24"/>
              </w:rPr>
              <w:t xml:space="preserve"> s </w:t>
            </w:r>
            <w:r w:rsidRPr="00E07C9A">
              <w:rPr>
                <w:rFonts w:ascii="Times New Roman" w:hAnsi="Times New Roman"/>
                <w:sz w:val="24"/>
              </w:rPr>
              <w:t xml:space="preserve">nariadením (EÚ) </w:t>
            </w:r>
            <w:r w:rsidR="009912F8" w:rsidRPr="00E07C9A">
              <w:rPr>
                <w:rFonts w:ascii="Times New Roman" w:hAnsi="Times New Roman"/>
                <w:sz w:val="24"/>
              </w:rPr>
              <w:t>č. 575/2013</w:t>
            </w:r>
            <w:r w:rsidRPr="00E07C9A">
              <w:rPr>
                <w:rStyle w:val="InstructionsTabelleText"/>
                <w:rFonts w:ascii="Times New Roman" w:hAnsi="Times New Roman"/>
                <w:sz w:val="24"/>
              </w:rPr>
              <w:t xml:space="preserve">. </w:t>
            </w:r>
          </w:p>
        </w:tc>
      </w:tr>
      <w:tr w:rsidR="00BF0637" w:rsidRPr="00E07C9A" w14:paraId="071DD6DB" w14:textId="77777777" w:rsidTr="00672D2A">
        <w:tc>
          <w:tcPr>
            <w:tcW w:w="1188" w:type="dxa"/>
          </w:tcPr>
          <w:p w14:paraId="1051F2AB" w14:textId="77777777" w:rsidR="00BF0637" w:rsidRPr="00E07C9A" w:rsidRDefault="00ED20CB" w:rsidP="00BF0637">
            <w:pPr>
              <w:rPr>
                <w:rFonts w:ascii="Times New Roman" w:hAnsi="Times New Roman"/>
                <w:sz w:val="24"/>
              </w:rPr>
            </w:pPr>
            <w:r w:rsidRPr="00E07C9A">
              <w:rPr>
                <w:rFonts w:ascii="Times New Roman" w:hAnsi="Times New Roman"/>
                <w:sz w:val="24"/>
              </w:rPr>
              <w:t>0350</w:t>
            </w:r>
          </w:p>
        </w:tc>
        <w:tc>
          <w:tcPr>
            <w:tcW w:w="8640" w:type="dxa"/>
          </w:tcPr>
          <w:p w14:paraId="32D74278" w14:textId="77777777" w:rsidR="00BF0637" w:rsidRPr="00E07C9A" w:rsidRDefault="00BF0637" w:rsidP="00BF0637">
            <w:pPr>
              <w:rPr>
                <w:rStyle w:val="InstructionsTabelleberschrift"/>
                <w:rFonts w:ascii="Times New Roman" w:hAnsi="Times New Roman"/>
                <w:b w:val="0"/>
                <w:sz w:val="24"/>
              </w:rPr>
            </w:pPr>
            <w:r w:rsidRPr="00E07C9A">
              <w:rPr>
                <w:rStyle w:val="InstructionsTabelleberschrift"/>
                <w:rFonts w:ascii="Times New Roman" w:hAnsi="Times New Roman"/>
                <w:sz w:val="24"/>
              </w:rPr>
              <w:t>DOPLŇUJÚCA POLOŽKA: GOODWILL (–)/(+) NEGATÍVNY GOODWILL</w:t>
            </w:r>
          </w:p>
        </w:tc>
      </w:tr>
      <w:tr w:rsidR="00BF0637" w:rsidRPr="00E07C9A" w14:paraId="04487983" w14:textId="77777777" w:rsidTr="00672D2A">
        <w:tc>
          <w:tcPr>
            <w:tcW w:w="1188" w:type="dxa"/>
          </w:tcPr>
          <w:p w14:paraId="1EC83A32" w14:textId="77777777" w:rsidR="00BF0637" w:rsidRPr="00E07C9A" w:rsidRDefault="00ED20CB" w:rsidP="00BF0637">
            <w:pPr>
              <w:rPr>
                <w:rFonts w:ascii="Times New Roman" w:hAnsi="Times New Roman"/>
                <w:sz w:val="24"/>
              </w:rPr>
            </w:pPr>
            <w:r w:rsidRPr="00E07C9A">
              <w:rPr>
                <w:rFonts w:ascii="Times New Roman" w:hAnsi="Times New Roman"/>
                <w:sz w:val="24"/>
              </w:rPr>
              <w:t>0360 –⁠ 0400</w:t>
            </w:r>
          </w:p>
        </w:tc>
        <w:tc>
          <w:tcPr>
            <w:tcW w:w="8640" w:type="dxa"/>
          </w:tcPr>
          <w:p w14:paraId="026D5135" w14:textId="77777777" w:rsidR="00BF0637" w:rsidRPr="00E07C9A" w:rsidRDefault="00BF0637" w:rsidP="00BF0637">
            <w:pPr>
              <w:rPr>
                <w:rStyle w:val="InstructionsTabelleberschrift"/>
                <w:rFonts w:ascii="Times New Roman" w:hAnsi="Times New Roman"/>
                <w:sz w:val="24"/>
              </w:rPr>
            </w:pPr>
            <w:r w:rsidRPr="00E07C9A">
              <w:rPr>
                <w:rStyle w:val="InstructionsTabelleberschrift"/>
                <w:rFonts w:ascii="Times New Roman" w:hAnsi="Times New Roman"/>
                <w:sz w:val="24"/>
              </w:rPr>
              <w:t>KONSOLIDOVANÉ VLASTNÉ ZDROJE</w:t>
            </w:r>
          </w:p>
          <w:p w14:paraId="36D104D8" w14:textId="16965578" w:rsidR="00BF0637" w:rsidRPr="00E07C9A" w:rsidRDefault="00BF0637" w:rsidP="00BF0637">
            <w:pPr>
              <w:rPr>
                <w:rStyle w:val="InstructionsTabelleText"/>
                <w:rFonts w:ascii="Times New Roman" w:hAnsi="Times New Roman"/>
                <w:sz w:val="24"/>
              </w:rPr>
            </w:pPr>
            <w:r w:rsidRPr="00E07C9A">
              <w:rPr>
                <w:rStyle w:val="InstructionsTabelleText"/>
                <w:rFonts w:ascii="Times New Roman" w:hAnsi="Times New Roman"/>
                <w:sz w:val="24"/>
              </w:rPr>
              <w:t>Článok 18</w:t>
            </w:r>
            <w:r w:rsidR="009912F8" w:rsidRPr="00E07C9A">
              <w:rPr>
                <w:rStyle w:val="InstructionsTabelleText"/>
                <w:rFonts w:ascii="Times New Roman" w:hAnsi="Times New Roman"/>
                <w:sz w:val="24"/>
              </w:rPr>
              <w:t xml:space="preserve"> </w:t>
            </w:r>
            <w:r w:rsidRPr="00E07C9A">
              <w:rPr>
                <w:rFonts w:ascii="Times New Roman" w:hAnsi="Times New Roman"/>
                <w:sz w:val="24"/>
              </w:rPr>
              <w:t xml:space="preserve">nariadenia (EÚ) </w:t>
            </w:r>
            <w:r w:rsidR="009912F8" w:rsidRPr="00E07C9A">
              <w:rPr>
                <w:rFonts w:ascii="Times New Roman" w:hAnsi="Times New Roman"/>
                <w:sz w:val="24"/>
              </w:rPr>
              <w:t>č. 575/2013</w:t>
            </w:r>
          </w:p>
          <w:p w14:paraId="0BB39ADB" w14:textId="77777777" w:rsidR="00BF0637" w:rsidRPr="00E07C9A" w:rsidRDefault="00BF0637" w:rsidP="00BF0637">
            <w:pPr>
              <w:rPr>
                <w:rStyle w:val="InstructionsTabelleText"/>
                <w:rFonts w:ascii="Times New Roman" w:hAnsi="Times New Roman"/>
                <w:sz w:val="24"/>
              </w:rPr>
            </w:pPr>
            <w:r w:rsidRPr="00E07C9A">
              <w:rPr>
                <w:rStyle w:val="InstructionsTabelleText"/>
                <w:rFonts w:ascii="Times New Roman" w:hAnsi="Times New Roman"/>
                <w:sz w:val="24"/>
              </w:rPr>
              <w:t>Hodnota, ktorá sa má vykázať ako „KONSOLIDOVANÉ VLASTNÉ ZDROJE“, je hodnota odvodená zo súvahy bez zdrojov prinesených ostatnými subjektmi skupiny.</w:t>
            </w:r>
          </w:p>
        </w:tc>
      </w:tr>
      <w:tr w:rsidR="00BF0637" w:rsidRPr="00E07C9A" w14:paraId="7DD7ED9D" w14:textId="77777777" w:rsidTr="00672D2A">
        <w:tc>
          <w:tcPr>
            <w:tcW w:w="1188" w:type="dxa"/>
          </w:tcPr>
          <w:p w14:paraId="6B6A41AC" w14:textId="77777777" w:rsidR="00BF0637" w:rsidRPr="00E07C9A" w:rsidRDefault="00ED20CB" w:rsidP="00BF0637">
            <w:pPr>
              <w:rPr>
                <w:rFonts w:ascii="Times New Roman" w:hAnsi="Times New Roman"/>
                <w:sz w:val="24"/>
              </w:rPr>
            </w:pPr>
            <w:r w:rsidRPr="00E07C9A">
              <w:rPr>
                <w:rFonts w:ascii="Times New Roman" w:hAnsi="Times New Roman"/>
                <w:sz w:val="24"/>
              </w:rPr>
              <w:t>0360</w:t>
            </w:r>
          </w:p>
        </w:tc>
        <w:tc>
          <w:tcPr>
            <w:tcW w:w="8640" w:type="dxa"/>
          </w:tcPr>
          <w:p w14:paraId="66664E55" w14:textId="77777777" w:rsidR="00BF0637" w:rsidRPr="00E07C9A" w:rsidRDefault="00BF0637" w:rsidP="00BF0637">
            <w:pPr>
              <w:rPr>
                <w:rStyle w:val="InstructionsTabelleberschrift"/>
                <w:rFonts w:ascii="Times New Roman" w:hAnsi="Times New Roman"/>
                <w:sz w:val="24"/>
              </w:rPr>
            </w:pPr>
            <w:r w:rsidRPr="00E07C9A">
              <w:rPr>
                <w:rStyle w:val="InstructionsTabelleberschrift"/>
                <w:rFonts w:ascii="Times New Roman" w:hAnsi="Times New Roman"/>
                <w:sz w:val="24"/>
              </w:rPr>
              <w:t>KONSOLIDOVANÉ VLASTNÉ ZDROJE</w:t>
            </w:r>
          </w:p>
        </w:tc>
      </w:tr>
      <w:tr w:rsidR="00BF0637" w:rsidRPr="00E07C9A" w14:paraId="5F961D5E" w14:textId="77777777" w:rsidTr="00672D2A">
        <w:tc>
          <w:tcPr>
            <w:tcW w:w="1188" w:type="dxa"/>
          </w:tcPr>
          <w:p w14:paraId="5FC39EF6" w14:textId="77777777" w:rsidR="00BF0637" w:rsidRPr="00E07C9A" w:rsidRDefault="00ED20CB" w:rsidP="00BF0637">
            <w:pPr>
              <w:rPr>
                <w:rFonts w:ascii="Times New Roman" w:hAnsi="Times New Roman"/>
                <w:sz w:val="24"/>
              </w:rPr>
            </w:pPr>
            <w:r w:rsidRPr="00E07C9A">
              <w:rPr>
                <w:rFonts w:ascii="Times New Roman" w:hAnsi="Times New Roman"/>
                <w:sz w:val="24"/>
              </w:rPr>
              <w:t>0370</w:t>
            </w:r>
          </w:p>
        </w:tc>
        <w:tc>
          <w:tcPr>
            <w:tcW w:w="8640" w:type="dxa"/>
          </w:tcPr>
          <w:p w14:paraId="6EB6382E" w14:textId="77777777" w:rsidR="00BF0637" w:rsidRPr="00E07C9A" w:rsidRDefault="00BF0637" w:rsidP="00BF0637">
            <w:pPr>
              <w:rPr>
                <w:rStyle w:val="InstructionsTabelleberschrift"/>
                <w:rFonts w:ascii="Times New Roman" w:hAnsi="Times New Roman"/>
                <w:sz w:val="24"/>
              </w:rPr>
            </w:pPr>
            <w:r w:rsidRPr="00E07C9A">
              <w:rPr>
                <w:rStyle w:val="InstructionsTabelleberschrift"/>
                <w:rFonts w:ascii="Times New Roman" w:hAnsi="Times New Roman"/>
                <w:sz w:val="24"/>
              </w:rPr>
              <w:t>Z ČOHO: VLASTNÝ KAPITÁL TIER 1</w:t>
            </w:r>
          </w:p>
        </w:tc>
      </w:tr>
      <w:tr w:rsidR="00BF0637" w:rsidRPr="00E07C9A" w14:paraId="309E2A97" w14:textId="77777777" w:rsidTr="00672D2A">
        <w:tc>
          <w:tcPr>
            <w:tcW w:w="1188" w:type="dxa"/>
          </w:tcPr>
          <w:p w14:paraId="1CF18547" w14:textId="77777777" w:rsidR="00BF0637" w:rsidRPr="00E07C9A" w:rsidDel="0081176B" w:rsidRDefault="00ED20CB" w:rsidP="00BF0637">
            <w:pPr>
              <w:rPr>
                <w:rFonts w:ascii="Times New Roman" w:hAnsi="Times New Roman"/>
                <w:sz w:val="24"/>
              </w:rPr>
            </w:pPr>
            <w:r w:rsidRPr="00E07C9A">
              <w:rPr>
                <w:rFonts w:ascii="Times New Roman" w:hAnsi="Times New Roman"/>
                <w:sz w:val="24"/>
              </w:rPr>
              <w:t>0380</w:t>
            </w:r>
          </w:p>
        </w:tc>
        <w:tc>
          <w:tcPr>
            <w:tcW w:w="8640" w:type="dxa"/>
          </w:tcPr>
          <w:p w14:paraId="7892BE5F" w14:textId="77777777" w:rsidR="00BF0637" w:rsidRPr="00E07C9A" w:rsidDel="0081176B" w:rsidRDefault="00BF0637" w:rsidP="00BF0637">
            <w:pPr>
              <w:rPr>
                <w:rStyle w:val="InstructionsTabelleberschrift"/>
                <w:rFonts w:ascii="Times New Roman" w:hAnsi="Times New Roman"/>
                <w:sz w:val="24"/>
              </w:rPr>
            </w:pPr>
            <w:r w:rsidRPr="00E07C9A">
              <w:rPr>
                <w:rStyle w:val="InstructionsTabelleberschrift"/>
                <w:rFonts w:ascii="Times New Roman" w:hAnsi="Times New Roman"/>
                <w:sz w:val="24"/>
              </w:rPr>
              <w:t>Z ČOHO: DODATOČNÝ KAPITÁL TIER 1</w:t>
            </w:r>
          </w:p>
        </w:tc>
      </w:tr>
      <w:tr w:rsidR="00BF0637" w:rsidRPr="00E07C9A" w14:paraId="05BDD291" w14:textId="77777777" w:rsidTr="00672D2A">
        <w:tc>
          <w:tcPr>
            <w:tcW w:w="1188" w:type="dxa"/>
          </w:tcPr>
          <w:p w14:paraId="3ED4A1DF" w14:textId="77777777" w:rsidR="00BF0637" w:rsidRPr="00E07C9A" w:rsidRDefault="00ED20CB" w:rsidP="00BF0637">
            <w:pPr>
              <w:rPr>
                <w:rFonts w:ascii="Times New Roman" w:hAnsi="Times New Roman"/>
                <w:sz w:val="24"/>
              </w:rPr>
            </w:pPr>
            <w:r w:rsidRPr="00E07C9A">
              <w:rPr>
                <w:rFonts w:ascii="Times New Roman" w:hAnsi="Times New Roman"/>
                <w:sz w:val="24"/>
              </w:rPr>
              <w:t>0390</w:t>
            </w:r>
          </w:p>
        </w:tc>
        <w:tc>
          <w:tcPr>
            <w:tcW w:w="8640" w:type="dxa"/>
          </w:tcPr>
          <w:p w14:paraId="7E52B8A2" w14:textId="77777777" w:rsidR="00BF0637" w:rsidRPr="00E07C9A" w:rsidRDefault="00BF0637" w:rsidP="00BF0637">
            <w:pPr>
              <w:rPr>
                <w:rStyle w:val="InstructionsTabelleText"/>
                <w:rFonts w:ascii="Times New Roman" w:hAnsi="Times New Roman"/>
                <w:sz w:val="24"/>
              </w:rPr>
            </w:pPr>
            <w:r w:rsidRPr="00E07C9A">
              <w:rPr>
                <w:rStyle w:val="InstructionsTabelleberschrift"/>
                <w:rFonts w:ascii="Times New Roman" w:hAnsi="Times New Roman"/>
                <w:sz w:val="24"/>
              </w:rPr>
              <w:t>Z ČOHO: PRÍSPEVKY KU KONSOLIDAVANÉMU VÝSLEDKU</w:t>
            </w:r>
          </w:p>
          <w:p w14:paraId="468209C6" w14:textId="77777777" w:rsidR="00BF0637" w:rsidRPr="00E07C9A" w:rsidRDefault="00BF0637" w:rsidP="00BF0637">
            <w:pPr>
              <w:rPr>
                <w:rStyle w:val="InstructionsTabelleberschrift"/>
                <w:rFonts w:ascii="Times New Roman" w:hAnsi="Times New Roman"/>
                <w:sz w:val="24"/>
              </w:rPr>
            </w:pPr>
            <w:r w:rsidRPr="00E07C9A">
              <w:rPr>
                <w:rStyle w:val="InstructionsTabelleText"/>
                <w:rFonts w:ascii="Times New Roman" w:hAnsi="Times New Roman"/>
                <w:sz w:val="24"/>
              </w:rPr>
              <w:t>Vykazuje sa príspevok každého subjektu ku konsolidovanému výsledku [zisk alebo strata (–)]. Hodnota zahŕňa výsledky, ktoré možno pripísať menšinovým účastiam.</w:t>
            </w:r>
          </w:p>
        </w:tc>
      </w:tr>
      <w:tr w:rsidR="00BF0637" w:rsidRPr="00E07C9A" w14:paraId="11539AE9" w14:textId="77777777" w:rsidTr="00672D2A">
        <w:tc>
          <w:tcPr>
            <w:tcW w:w="1188" w:type="dxa"/>
          </w:tcPr>
          <w:p w14:paraId="5E43ABC9" w14:textId="77777777" w:rsidR="00BF0637" w:rsidRPr="00E07C9A" w:rsidRDefault="00ED20CB" w:rsidP="00BF0637">
            <w:pPr>
              <w:rPr>
                <w:rFonts w:ascii="Times New Roman" w:hAnsi="Times New Roman"/>
                <w:sz w:val="24"/>
              </w:rPr>
            </w:pPr>
            <w:r w:rsidRPr="00E07C9A">
              <w:rPr>
                <w:rFonts w:ascii="Times New Roman" w:hAnsi="Times New Roman"/>
                <w:sz w:val="24"/>
              </w:rPr>
              <w:t>0400</w:t>
            </w:r>
          </w:p>
        </w:tc>
        <w:tc>
          <w:tcPr>
            <w:tcW w:w="8640" w:type="dxa"/>
          </w:tcPr>
          <w:p w14:paraId="6522372D" w14:textId="77777777" w:rsidR="00BF0637" w:rsidRPr="00E07C9A" w:rsidRDefault="00BF0637" w:rsidP="00BF0637">
            <w:pPr>
              <w:rPr>
                <w:rStyle w:val="InstructionsTabelleberschrift"/>
                <w:rFonts w:ascii="Times New Roman" w:hAnsi="Times New Roman"/>
                <w:sz w:val="24"/>
              </w:rPr>
            </w:pPr>
            <w:r w:rsidRPr="00E07C9A">
              <w:rPr>
                <w:rStyle w:val="InstructionsTabelleberschrift"/>
                <w:rFonts w:ascii="Times New Roman" w:hAnsi="Times New Roman"/>
                <w:sz w:val="24"/>
              </w:rPr>
              <w:t>Z ČOHO: (–) GOODWILL/(+) NEGATÍVNY GOODWILL</w:t>
            </w:r>
          </w:p>
          <w:p w14:paraId="6CABAE88" w14:textId="379B6D08" w:rsidR="00BF0637" w:rsidRPr="00E07C9A" w:rsidRDefault="00BF0637" w:rsidP="00BF0637">
            <w:pPr>
              <w:rPr>
                <w:rStyle w:val="InstructionsTabelleberschrift"/>
                <w:rFonts w:ascii="Times New Roman" w:hAnsi="Times New Roman"/>
                <w:sz w:val="24"/>
              </w:rPr>
            </w:pPr>
            <w:r w:rsidRPr="00E07C9A">
              <w:rPr>
                <w:rStyle w:val="InstructionsTabelleText"/>
                <w:rFonts w:ascii="Times New Roman" w:hAnsi="Times New Roman"/>
                <w:sz w:val="24"/>
              </w:rPr>
              <w:t>Vykazuje sa tu goodwill alebo negatívny goodwill vykazujúceho subjektu vo vzťahu</w:t>
            </w:r>
            <w:r w:rsidR="009912F8" w:rsidRPr="00E07C9A">
              <w:rPr>
                <w:rStyle w:val="InstructionsTabelleText"/>
                <w:rFonts w:ascii="Times New Roman" w:hAnsi="Times New Roman"/>
                <w:sz w:val="24"/>
              </w:rPr>
              <w:t xml:space="preserve"> k </w:t>
            </w:r>
            <w:r w:rsidRPr="00E07C9A">
              <w:rPr>
                <w:rStyle w:val="InstructionsTabelleText"/>
                <w:rFonts w:ascii="Times New Roman" w:hAnsi="Times New Roman"/>
                <w:sz w:val="24"/>
              </w:rPr>
              <w:t>dcérskej spoločnosti.</w:t>
            </w:r>
          </w:p>
        </w:tc>
      </w:tr>
      <w:tr w:rsidR="00BF0637" w:rsidRPr="00E07C9A" w14:paraId="70042D7E" w14:textId="77777777" w:rsidTr="00672D2A">
        <w:tc>
          <w:tcPr>
            <w:tcW w:w="1188" w:type="dxa"/>
          </w:tcPr>
          <w:p w14:paraId="4F6A87BA" w14:textId="77777777" w:rsidR="00BF0637" w:rsidRPr="00E07C9A" w:rsidRDefault="00ED20CB" w:rsidP="00BF0637">
            <w:pPr>
              <w:rPr>
                <w:rStyle w:val="InstructionsTabelleText"/>
                <w:rFonts w:ascii="Times New Roman" w:hAnsi="Times New Roman"/>
                <w:sz w:val="24"/>
              </w:rPr>
            </w:pPr>
            <w:r w:rsidRPr="00E07C9A">
              <w:rPr>
                <w:rStyle w:val="InstructionsTabelleText"/>
                <w:rFonts w:ascii="Times New Roman" w:hAnsi="Times New Roman"/>
                <w:sz w:val="24"/>
              </w:rPr>
              <w:t>0410 –⁠ 0480</w:t>
            </w:r>
          </w:p>
        </w:tc>
        <w:tc>
          <w:tcPr>
            <w:tcW w:w="8640" w:type="dxa"/>
          </w:tcPr>
          <w:p w14:paraId="44E5D56B" w14:textId="77777777" w:rsidR="00BF0637" w:rsidRPr="00E07C9A" w:rsidRDefault="00BF0637" w:rsidP="00BF0637">
            <w:pPr>
              <w:rPr>
                <w:rStyle w:val="InstructionsTabelleberschrift"/>
                <w:rFonts w:ascii="Times New Roman" w:hAnsi="Times New Roman"/>
                <w:sz w:val="24"/>
              </w:rPr>
            </w:pPr>
            <w:r w:rsidRPr="00E07C9A">
              <w:rPr>
                <w:rStyle w:val="InstructionsTabelleberschrift"/>
                <w:rFonts w:ascii="Times New Roman" w:hAnsi="Times New Roman"/>
                <w:sz w:val="24"/>
              </w:rPr>
              <w:t>KAPITÁLOVÉ VANKÚŠE</w:t>
            </w:r>
          </w:p>
          <w:p w14:paraId="40394476" w14:textId="2B1AA49F" w:rsidR="00BF0637" w:rsidRPr="00E07C9A" w:rsidRDefault="00BF0637" w:rsidP="00BF0637">
            <w:pPr>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Štruktúra vykazovania kapitálových vankúšov pre vzor GS sa riadi všeobecnou štruktúrou vzoru CA4</w:t>
            </w:r>
            <w:r w:rsidR="009912F8" w:rsidRPr="00E07C9A">
              <w:rPr>
                <w:rStyle w:val="InstructionsTabelleberschrift"/>
                <w:rFonts w:ascii="Times New Roman" w:hAnsi="Times New Roman"/>
                <w:b w:val="0"/>
                <w:sz w:val="24"/>
                <w:u w:val="none"/>
              </w:rPr>
              <w:t xml:space="preserve"> a </w:t>
            </w:r>
            <w:r w:rsidRPr="00E07C9A">
              <w:rPr>
                <w:rStyle w:val="InstructionsTabelleberschrift"/>
                <w:rFonts w:ascii="Times New Roman" w:hAnsi="Times New Roman"/>
                <w:b w:val="0"/>
                <w:sz w:val="24"/>
                <w:u w:val="none"/>
              </w:rPr>
              <w:t>používajú sa rovnaké koncepcie vykazovania. Pri vykazovaní kapitálových vankúšov pre vzor GS sa príslušné hodnoty vykazujú</w:t>
            </w:r>
            <w:r w:rsidR="009912F8" w:rsidRPr="00E07C9A">
              <w:rPr>
                <w:rStyle w:val="InstructionsTabelleberschrift"/>
                <w:rFonts w:ascii="Times New Roman" w:hAnsi="Times New Roman"/>
                <w:b w:val="0"/>
                <w:sz w:val="24"/>
                <w:u w:val="none"/>
              </w:rPr>
              <w:t xml:space="preserve"> v </w:t>
            </w:r>
            <w:r w:rsidRPr="00E07C9A">
              <w:rPr>
                <w:rStyle w:val="InstructionsTabelleberschrift"/>
                <w:rFonts w:ascii="Times New Roman" w:hAnsi="Times New Roman"/>
                <w:b w:val="0"/>
                <w:sz w:val="24"/>
                <w:u w:val="none"/>
              </w:rPr>
              <w:t>súlade</w:t>
            </w:r>
            <w:r w:rsidR="009912F8" w:rsidRPr="00E07C9A">
              <w:rPr>
                <w:rStyle w:val="InstructionsTabelleberschrift"/>
                <w:rFonts w:ascii="Times New Roman" w:hAnsi="Times New Roman"/>
                <w:b w:val="0"/>
                <w:sz w:val="24"/>
                <w:u w:val="none"/>
              </w:rPr>
              <w:t xml:space="preserve"> s </w:t>
            </w:r>
            <w:r w:rsidRPr="00E07C9A">
              <w:rPr>
                <w:rStyle w:val="InstructionsTabelleberschrift"/>
                <w:rFonts w:ascii="Times New Roman" w:hAnsi="Times New Roman"/>
                <w:b w:val="0"/>
                <w:sz w:val="24"/>
                <w:u w:val="none"/>
              </w:rPr>
              <w:t>ustanoveniami uplatniteľnými na určenie požiadavky na vankúš pre konsolidovanú situáciu skupiny. Preto vykázané hodnoty kapitálových vankúšov predstavujú príspevky každého subjektu ku kapitálovým vankúšom skupiny. Vykázané hodnoty sa zakladajú na vnútroštátnych transpozičných opatreniach</w:t>
            </w:r>
            <w:r w:rsidRPr="00E07C9A">
              <w:rPr>
                <w:rFonts w:ascii="Times New Roman" w:hAnsi="Times New Roman"/>
                <w:sz w:val="24"/>
              </w:rPr>
              <w:t xml:space="preserve"> smernice 2013/36/EÚ</w:t>
            </w:r>
            <w:r w:rsidR="009912F8" w:rsidRPr="00E07C9A">
              <w:rPr>
                <w:rFonts w:ascii="Times New Roman" w:hAnsi="Times New Roman"/>
                <w:sz w:val="24"/>
              </w:rPr>
              <w:t xml:space="preserve"> a </w:t>
            </w:r>
            <w:r w:rsidRPr="00E07C9A">
              <w:rPr>
                <w:rStyle w:val="InstructionsTabelleberschrift"/>
                <w:rFonts w:ascii="Times New Roman" w:hAnsi="Times New Roman"/>
                <w:b w:val="0"/>
                <w:sz w:val="24"/>
                <w:u w:val="none"/>
              </w:rPr>
              <w:t>na</w:t>
            </w:r>
            <w:r w:rsidRPr="00E07C9A">
              <w:rPr>
                <w:rFonts w:ascii="Times New Roman" w:hAnsi="Times New Roman"/>
                <w:sz w:val="24"/>
              </w:rPr>
              <w:t xml:space="preserve"> nariadení (EÚ) </w:t>
            </w:r>
            <w:r w:rsidR="009912F8" w:rsidRPr="00E07C9A">
              <w:rPr>
                <w:rFonts w:ascii="Times New Roman" w:hAnsi="Times New Roman"/>
                <w:sz w:val="24"/>
              </w:rPr>
              <w:t>č. 575/2013</w:t>
            </w:r>
            <w:r w:rsidRPr="00E07C9A">
              <w:rPr>
                <w:rStyle w:val="InstructionsTabelleberschrift"/>
                <w:rFonts w:ascii="Times New Roman" w:hAnsi="Times New Roman"/>
                <w:b w:val="0"/>
                <w:sz w:val="24"/>
                <w:u w:val="none"/>
              </w:rPr>
              <w:t xml:space="preserve"> vrátane akýchkoľvek prechodných ustanovení, ktoré sú</w:t>
            </w:r>
            <w:r w:rsidR="009912F8" w:rsidRPr="00E07C9A">
              <w:rPr>
                <w:rStyle w:val="InstructionsTabelleberschrift"/>
                <w:rFonts w:ascii="Times New Roman" w:hAnsi="Times New Roman"/>
                <w:b w:val="0"/>
                <w:sz w:val="24"/>
                <w:u w:val="none"/>
              </w:rPr>
              <w:t xml:space="preserve"> v </w:t>
            </w:r>
            <w:r w:rsidRPr="00E07C9A">
              <w:rPr>
                <w:rStyle w:val="InstructionsTabelleberschrift"/>
                <w:rFonts w:ascii="Times New Roman" w:hAnsi="Times New Roman"/>
                <w:b w:val="0"/>
                <w:sz w:val="24"/>
                <w:u w:val="none"/>
              </w:rPr>
              <w:t>nich uvedené.</w:t>
            </w:r>
          </w:p>
        </w:tc>
      </w:tr>
      <w:tr w:rsidR="00BF0637" w:rsidRPr="00E07C9A" w14:paraId="5E153352" w14:textId="77777777" w:rsidTr="00672D2A">
        <w:tc>
          <w:tcPr>
            <w:tcW w:w="1188" w:type="dxa"/>
          </w:tcPr>
          <w:p w14:paraId="6B5237AD" w14:textId="77777777" w:rsidR="00BF0637" w:rsidRPr="00E07C9A" w:rsidRDefault="00ED20CB" w:rsidP="00BF0637">
            <w:pPr>
              <w:rPr>
                <w:rStyle w:val="InstructionsTabelleText"/>
                <w:rFonts w:ascii="Times New Roman" w:hAnsi="Times New Roman"/>
                <w:sz w:val="24"/>
              </w:rPr>
            </w:pPr>
            <w:r w:rsidRPr="00E07C9A">
              <w:rPr>
                <w:rStyle w:val="InstructionsTabelleText"/>
                <w:rFonts w:ascii="Times New Roman" w:hAnsi="Times New Roman"/>
                <w:sz w:val="24"/>
              </w:rPr>
              <w:t>0410</w:t>
            </w:r>
          </w:p>
        </w:tc>
        <w:tc>
          <w:tcPr>
            <w:tcW w:w="8640" w:type="dxa"/>
          </w:tcPr>
          <w:p w14:paraId="4C2EE042" w14:textId="77777777" w:rsidR="00BF0637" w:rsidRPr="00E07C9A" w:rsidRDefault="00BF0637" w:rsidP="00BF0637">
            <w:pPr>
              <w:rPr>
                <w:rStyle w:val="InstructionsTabelleberschrift"/>
                <w:rFonts w:ascii="Times New Roman" w:hAnsi="Times New Roman"/>
                <w:sz w:val="24"/>
              </w:rPr>
            </w:pPr>
            <w:r w:rsidRPr="00E07C9A">
              <w:rPr>
                <w:rStyle w:val="InstructionsTabelleberschrift"/>
                <w:rFonts w:ascii="Times New Roman" w:hAnsi="Times New Roman"/>
                <w:sz w:val="24"/>
              </w:rPr>
              <w:t>POŽIADAVKA NA KOMBINOVANÝ VANKÚŠ</w:t>
            </w:r>
          </w:p>
          <w:p w14:paraId="3D5E19EB" w14:textId="0994A741" w:rsidR="00BF0637" w:rsidRPr="00E07C9A" w:rsidRDefault="00BF0637" w:rsidP="00B14047">
            <w:pPr>
              <w:tabs>
                <w:tab w:val="left" w:pos="3510"/>
              </w:tabs>
              <w:rPr>
                <w:rStyle w:val="InstructionsTabelleberschrift"/>
                <w:rFonts w:ascii="Times New Roman" w:hAnsi="Times New Roman"/>
                <w:sz w:val="24"/>
              </w:rPr>
            </w:pPr>
            <w:r w:rsidRPr="00E07C9A">
              <w:rPr>
                <w:rStyle w:val="InstructionsTabelleText"/>
                <w:rFonts w:ascii="Times New Roman" w:hAnsi="Times New Roman"/>
                <w:sz w:val="24"/>
              </w:rPr>
              <w:t>Článok 128 bod 6</w:t>
            </w:r>
            <w:r w:rsidRPr="00E07C9A">
              <w:rPr>
                <w:rFonts w:ascii="Times New Roman" w:hAnsi="Times New Roman"/>
                <w:sz w:val="24"/>
              </w:rPr>
              <w:t xml:space="preserve"> smernice 2013/36/EÚ</w:t>
            </w:r>
          </w:p>
        </w:tc>
      </w:tr>
      <w:tr w:rsidR="00BF0637" w:rsidRPr="00E07C9A" w14:paraId="2B9BB9C6" w14:textId="77777777" w:rsidTr="00672D2A">
        <w:tc>
          <w:tcPr>
            <w:tcW w:w="1188" w:type="dxa"/>
          </w:tcPr>
          <w:p w14:paraId="6E5EC0A8" w14:textId="77777777" w:rsidR="00BF0637" w:rsidRPr="00E07C9A" w:rsidRDefault="00ED20CB" w:rsidP="00BF0637">
            <w:pPr>
              <w:rPr>
                <w:rStyle w:val="InstructionsTabelleText"/>
                <w:rFonts w:ascii="Times New Roman" w:hAnsi="Times New Roman"/>
                <w:sz w:val="24"/>
              </w:rPr>
            </w:pPr>
            <w:r w:rsidRPr="00E07C9A">
              <w:rPr>
                <w:rStyle w:val="InstructionsTabelleText"/>
                <w:rFonts w:ascii="Times New Roman" w:hAnsi="Times New Roman"/>
                <w:sz w:val="24"/>
              </w:rPr>
              <w:t>0420</w:t>
            </w:r>
          </w:p>
        </w:tc>
        <w:tc>
          <w:tcPr>
            <w:tcW w:w="8640" w:type="dxa"/>
          </w:tcPr>
          <w:p w14:paraId="4411CE23" w14:textId="77777777" w:rsidR="00BF0637" w:rsidRPr="00E07C9A" w:rsidRDefault="00BF0637" w:rsidP="00BF0637">
            <w:pPr>
              <w:rPr>
                <w:rStyle w:val="InstructionsTabelleberschrift"/>
                <w:rFonts w:ascii="Times New Roman" w:hAnsi="Times New Roman"/>
                <w:sz w:val="24"/>
              </w:rPr>
            </w:pPr>
            <w:r w:rsidRPr="00E07C9A">
              <w:rPr>
                <w:rStyle w:val="InstructionsTabelleberschrift"/>
                <w:rFonts w:ascii="Times New Roman" w:hAnsi="Times New Roman"/>
                <w:sz w:val="24"/>
              </w:rPr>
              <w:t>VANKÚŠ NA ZACHOVANIE KAPITÁLU</w:t>
            </w:r>
          </w:p>
          <w:p w14:paraId="7A1DFE23" w14:textId="1FA7C132" w:rsidR="00BF0637" w:rsidRPr="00E07C9A" w:rsidRDefault="00BF0637" w:rsidP="00BF0637">
            <w:pPr>
              <w:rPr>
                <w:rStyle w:val="InstructionsTabelleText"/>
                <w:rFonts w:ascii="Times New Roman" w:hAnsi="Times New Roman"/>
                <w:sz w:val="24"/>
              </w:rPr>
            </w:pPr>
            <w:r w:rsidRPr="00E07C9A">
              <w:rPr>
                <w:rStyle w:val="InstructionsTabelleText"/>
                <w:rFonts w:ascii="Times New Roman" w:hAnsi="Times New Roman"/>
                <w:sz w:val="24"/>
              </w:rPr>
              <w:t>Článok 128 bod 1</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článok 129</w:t>
            </w:r>
            <w:r w:rsidRPr="00E07C9A">
              <w:rPr>
                <w:rFonts w:ascii="Times New Roman" w:hAnsi="Times New Roman"/>
                <w:sz w:val="24"/>
              </w:rPr>
              <w:t xml:space="preserve"> smernice 2013/36/EÚ</w:t>
            </w:r>
          </w:p>
          <w:p w14:paraId="6BAB745B" w14:textId="54FE9A37" w:rsidR="00BF0637" w:rsidRPr="00E07C9A" w:rsidRDefault="00BF0637" w:rsidP="00487A02">
            <w:pPr>
              <w:pStyle w:val="InstructionsText"/>
              <w:rPr>
                <w:rStyle w:val="InstructionsTabelleText"/>
                <w:rFonts w:ascii="Times New Roman" w:hAnsi="Times New Roman"/>
                <w:sz w:val="24"/>
              </w:rPr>
            </w:pPr>
            <w:r w:rsidRPr="00E07C9A">
              <w:t>Podľa článku 129 ods. 1 smernice 2013/36/EÚ je vankúš na zachovanie kapitálu dodatočná suma nad rámec vlastného kapitálu Tier 1. Keďže miera vankúša na zachovanie kapitálu vo výške 2,5</w:t>
            </w:r>
            <w:r w:rsidR="009912F8" w:rsidRPr="00E07C9A">
              <w:t> %</w:t>
            </w:r>
            <w:r w:rsidRPr="00E07C9A">
              <w:t xml:space="preserve"> je stabilná,</w:t>
            </w:r>
            <w:r w:rsidR="009912F8" w:rsidRPr="00E07C9A">
              <w:t xml:space="preserve"> v </w:t>
            </w:r>
            <w:r w:rsidRPr="00E07C9A">
              <w:t>tejto bunke sa vykazuje hodnota.</w:t>
            </w:r>
          </w:p>
        </w:tc>
      </w:tr>
      <w:tr w:rsidR="00BF0637" w:rsidRPr="00E07C9A" w14:paraId="342C6E3E" w14:textId="77777777" w:rsidTr="00672D2A">
        <w:tc>
          <w:tcPr>
            <w:tcW w:w="1188" w:type="dxa"/>
          </w:tcPr>
          <w:p w14:paraId="1032BE5E" w14:textId="77777777" w:rsidR="00BF0637" w:rsidRPr="00E07C9A" w:rsidRDefault="00ED20CB" w:rsidP="00BF0637">
            <w:pPr>
              <w:rPr>
                <w:rStyle w:val="InstructionsTabelleText"/>
                <w:rFonts w:ascii="Times New Roman" w:hAnsi="Times New Roman"/>
                <w:sz w:val="24"/>
              </w:rPr>
            </w:pPr>
            <w:r w:rsidRPr="00E07C9A">
              <w:rPr>
                <w:rStyle w:val="InstructionsTabelleText"/>
                <w:rFonts w:ascii="Times New Roman" w:hAnsi="Times New Roman"/>
                <w:sz w:val="24"/>
              </w:rPr>
              <w:t>0430</w:t>
            </w:r>
          </w:p>
        </w:tc>
        <w:tc>
          <w:tcPr>
            <w:tcW w:w="8640" w:type="dxa"/>
          </w:tcPr>
          <w:p w14:paraId="05BDE309" w14:textId="77777777" w:rsidR="00BF0637" w:rsidRPr="00E07C9A" w:rsidRDefault="00BF0637" w:rsidP="00BF0637">
            <w:pPr>
              <w:rPr>
                <w:rStyle w:val="InstructionsTabelleberschrift"/>
                <w:rFonts w:ascii="Times New Roman" w:hAnsi="Times New Roman"/>
                <w:sz w:val="24"/>
              </w:rPr>
            </w:pPr>
            <w:r w:rsidRPr="00E07C9A">
              <w:rPr>
                <w:rStyle w:val="InstructionsTabelleberschrift"/>
                <w:rFonts w:ascii="Times New Roman" w:hAnsi="Times New Roman"/>
                <w:sz w:val="24"/>
              </w:rPr>
              <w:t>PROTICYKLICKÝ KAPITÁLOVÝ VANKÚŠ ŠPECIFICKÝ PRE INŠTITÚCIU</w:t>
            </w:r>
          </w:p>
          <w:p w14:paraId="60BB7D4D" w14:textId="25398CA3" w:rsidR="00BF0637" w:rsidRPr="00E07C9A" w:rsidRDefault="00BF0637" w:rsidP="00BF0637">
            <w:pPr>
              <w:rPr>
                <w:rStyle w:val="InstructionsTabelleText"/>
                <w:rFonts w:ascii="Times New Roman" w:hAnsi="Times New Roman"/>
                <w:sz w:val="24"/>
              </w:rPr>
            </w:pPr>
            <w:r w:rsidRPr="00E07C9A">
              <w:rPr>
                <w:rStyle w:val="InstructionsTabelleText"/>
                <w:rFonts w:ascii="Times New Roman" w:hAnsi="Times New Roman"/>
                <w:sz w:val="24"/>
              </w:rPr>
              <w:t>Článok 128 bod 2, článok 130</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články 135 až 140</w:t>
            </w:r>
            <w:r w:rsidRPr="00E07C9A">
              <w:rPr>
                <w:rFonts w:ascii="Times New Roman" w:hAnsi="Times New Roman"/>
                <w:sz w:val="24"/>
              </w:rPr>
              <w:t xml:space="preserve"> smernice 2013/36/EÚ</w:t>
            </w:r>
          </w:p>
          <w:p w14:paraId="13C2D32F" w14:textId="77777777" w:rsidR="00BF0637" w:rsidRPr="00E07C9A" w:rsidRDefault="001B43BD" w:rsidP="00487A02">
            <w:pPr>
              <w:pStyle w:val="InstructionsText"/>
              <w:rPr>
                <w:rStyle w:val="InstructionsTabelleText"/>
                <w:rFonts w:ascii="Times New Roman" w:hAnsi="Times New Roman"/>
                <w:sz w:val="24"/>
              </w:rPr>
            </w:pPr>
            <w:r w:rsidRPr="00E07C9A">
              <w:t>V tejto bunke sa vykazuje konkrétna hodnota proticyklického vankúša.</w:t>
            </w:r>
          </w:p>
        </w:tc>
      </w:tr>
      <w:tr w:rsidR="00BF0637" w:rsidRPr="00E07C9A" w14:paraId="6635D5AF" w14:textId="77777777" w:rsidTr="00672D2A">
        <w:tc>
          <w:tcPr>
            <w:tcW w:w="1188" w:type="dxa"/>
          </w:tcPr>
          <w:p w14:paraId="278E14E5" w14:textId="77777777" w:rsidR="00BF0637" w:rsidRPr="00E07C9A" w:rsidDel="00D70027" w:rsidRDefault="00ED20CB" w:rsidP="00BF0637">
            <w:pPr>
              <w:rPr>
                <w:rStyle w:val="InstructionsTabelleText"/>
                <w:rFonts w:ascii="Times New Roman" w:hAnsi="Times New Roman"/>
                <w:sz w:val="24"/>
              </w:rPr>
            </w:pPr>
            <w:r w:rsidRPr="00E07C9A">
              <w:rPr>
                <w:rStyle w:val="InstructionsTabelleText"/>
                <w:rFonts w:ascii="Times New Roman" w:hAnsi="Times New Roman"/>
                <w:sz w:val="24"/>
              </w:rPr>
              <w:t>0440</w:t>
            </w:r>
          </w:p>
        </w:tc>
        <w:tc>
          <w:tcPr>
            <w:tcW w:w="8640" w:type="dxa"/>
          </w:tcPr>
          <w:p w14:paraId="10C45CE7" w14:textId="58A86E23" w:rsidR="00BF0637" w:rsidRPr="00E07C9A" w:rsidRDefault="00BF0637" w:rsidP="00BF0637">
            <w:pPr>
              <w:rPr>
                <w:rStyle w:val="InstructionsTabelleberschrift"/>
                <w:rFonts w:ascii="Times New Roman" w:hAnsi="Times New Roman"/>
                <w:sz w:val="24"/>
              </w:rPr>
            </w:pPr>
            <w:r w:rsidRPr="00E07C9A">
              <w:rPr>
                <w:rStyle w:val="InstructionsTabelleberschrift"/>
                <w:rFonts w:ascii="Times New Roman" w:hAnsi="Times New Roman"/>
                <w:sz w:val="24"/>
              </w:rPr>
              <w:t>VANKÚŠ NA ZACHOVANIE</w:t>
            </w:r>
            <w:r w:rsidR="009912F8" w:rsidRPr="00E07C9A">
              <w:rPr>
                <w:rStyle w:val="InstructionsTabelleberschrift"/>
                <w:rFonts w:ascii="Times New Roman" w:hAnsi="Times New Roman"/>
                <w:sz w:val="24"/>
              </w:rPr>
              <w:t xml:space="preserve"> Z </w:t>
            </w:r>
            <w:r w:rsidRPr="00E07C9A">
              <w:rPr>
                <w:rStyle w:val="InstructionsTabelleberschrift"/>
                <w:rFonts w:ascii="Times New Roman" w:hAnsi="Times New Roman"/>
                <w:sz w:val="24"/>
              </w:rPr>
              <w:t>DÔVODU MAKROPRUDENCIÁLNEHO ALEBO SYSTÉMOVÉHO RIZIKA IDENTIFIKOVANÉHO NA ÚROVNI ČLENSKÉHO ŠTÁTU</w:t>
            </w:r>
          </w:p>
          <w:p w14:paraId="582CB6E0" w14:textId="45046692" w:rsidR="00BF0637" w:rsidRPr="00E07C9A" w:rsidRDefault="00BF0637" w:rsidP="00BF0637">
            <w:pPr>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Článok 458 ods. 2 písm. d) bod iv)</w:t>
            </w:r>
            <w:r w:rsidRPr="00E07C9A">
              <w:rPr>
                <w:rFonts w:ascii="Times New Roman" w:hAnsi="Times New Roman"/>
                <w:sz w:val="24"/>
              </w:rPr>
              <w:t xml:space="preserve"> nariadenia (EÚ) </w:t>
            </w:r>
            <w:r w:rsidR="009912F8" w:rsidRPr="00E07C9A">
              <w:rPr>
                <w:rFonts w:ascii="Times New Roman" w:hAnsi="Times New Roman"/>
                <w:sz w:val="24"/>
              </w:rPr>
              <w:t>č. 575/2013</w:t>
            </w:r>
          </w:p>
          <w:p w14:paraId="4670889D" w14:textId="274FBB3E" w:rsidR="00BF0637" w:rsidRPr="00E07C9A" w:rsidRDefault="001B43BD" w:rsidP="00487A02">
            <w:pPr>
              <w:pStyle w:val="InstructionsText"/>
              <w:rPr>
                <w:rStyle w:val="InstructionsTabelleberschrift"/>
                <w:rFonts w:ascii="Times New Roman" w:hAnsi="Times New Roman"/>
                <w:sz w:val="24"/>
              </w:rPr>
            </w:pPr>
            <w:r w:rsidRPr="00E07C9A">
              <w:t>V tejto bunke sa vykazuje hodnota vankúša na zachovanie kapitálu</w:t>
            </w:r>
            <w:r w:rsidR="009912F8" w:rsidRPr="00E07C9A">
              <w:t xml:space="preserve"> z </w:t>
            </w:r>
            <w:r w:rsidRPr="00E07C9A">
              <w:t xml:space="preserve">dôvodu makroprudenciálneho alebo systémového rizika identifikovaného na úrovni členského štátu, ktorý sa môže požadovať podľa článku 458 nariadenia (EÚ) </w:t>
            </w:r>
            <w:r w:rsidR="009912F8" w:rsidRPr="00E07C9A">
              <w:t>č. 575/2013</w:t>
            </w:r>
            <w:r w:rsidRPr="00E07C9A">
              <w:t xml:space="preserve"> popri vankúši na zachovanie kapitálu.</w:t>
            </w:r>
          </w:p>
        </w:tc>
      </w:tr>
      <w:tr w:rsidR="00BF0637" w:rsidRPr="00E07C9A" w14:paraId="413A1D62" w14:textId="77777777" w:rsidTr="00672D2A">
        <w:tc>
          <w:tcPr>
            <w:tcW w:w="1188" w:type="dxa"/>
          </w:tcPr>
          <w:p w14:paraId="3A5394EF" w14:textId="77777777" w:rsidR="00BF0637" w:rsidRPr="00E07C9A" w:rsidRDefault="00ED20CB" w:rsidP="00BF0637">
            <w:pPr>
              <w:rPr>
                <w:rStyle w:val="InstructionsTabelleText"/>
                <w:rFonts w:ascii="Times New Roman" w:hAnsi="Times New Roman"/>
                <w:sz w:val="24"/>
              </w:rPr>
            </w:pPr>
            <w:r w:rsidRPr="00E07C9A">
              <w:rPr>
                <w:rStyle w:val="InstructionsTabelleText"/>
                <w:rFonts w:ascii="Times New Roman" w:hAnsi="Times New Roman"/>
                <w:sz w:val="24"/>
              </w:rPr>
              <w:t>0450</w:t>
            </w:r>
          </w:p>
        </w:tc>
        <w:tc>
          <w:tcPr>
            <w:tcW w:w="8640" w:type="dxa"/>
          </w:tcPr>
          <w:p w14:paraId="3385600E" w14:textId="77777777" w:rsidR="00BF0637" w:rsidRPr="00E07C9A" w:rsidRDefault="00BF0637" w:rsidP="00BF0637">
            <w:pPr>
              <w:rPr>
                <w:rStyle w:val="InstructionsTabelleberschrift"/>
                <w:rFonts w:ascii="Times New Roman" w:hAnsi="Times New Roman"/>
                <w:sz w:val="24"/>
              </w:rPr>
            </w:pPr>
            <w:r w:rsidRPr="00E07C9A">
              <w:rPr>
                <w:rStyle w:val="InstructionsTabelleberschrift"/>
                <w:rFonts w:ascii="Times New Roman" w:hAnsi="Times New Roman"/>
                <w:sz w:val="24"/>
              </w:rPr>
              <w:t>VANKÚŠ NA KRYTIE SYSTÉMOVÉHO RIZIKA</w:t>
            </w:r>
          </w:p>
          <w:p w14:paraId="1754596E" w14:textId="77777777" w:rsidR="009912F8" w:rsidRPr="00E07C9A" w:rsidRDefault="00BF0637" w:rsidP="00487A02">
            <w:pPr>
              <w:pStyle w:val="InstructionsText"/>
            </w:pPr>
            <w:r w:rsidRPr="00E07C9A">
              <w:t>Článok 128 bod 5, články 133</w:t>
            </w:r>
            <w:r w:rsidR="009912F8" w:rsidRPr="00E07C9A">
              <w:t xml:space="preserve"> a </w:t>
            </w:r>
            <w:r w:rsidRPr="00E07C9A">
              <w:t>134 smernice 2013/36/EÚ</w:t>
            </w:r>
          </w:p>
          <w:p w14:paraId="2F7F49AC" w14:textId="43D32C39" w:rsidR="00BF0637" w:rsidRPr="00E07C9A" w:rsidRDefault="001B43BD" w:rsidP="001B43BD">
            <w:pPr>
              <w:rPr>
                <w:rStyle w:val="InstructionsTabelleberschrift"/>
                <w:rFonts w:ascii="Times New Roman" w:hAnsi="Times New Roman"/>
                <w:sz w:val="24"/>
              </w:rPr>
            </w:pPr>
            <w:r w:rsidRPr="00E07C9A">
              <w:rPr>
                <w:rFonts w:ascii="Times New Roman" w:hAnsi="Times New Roman"/>
                <w:sz w:val="24"/>
              </w:rPr>
              <w:t>V tejto bunke sa vykazuje hodnota vankúša na krytie systémového rizika.</w:t>
            </w:r>
          </w:p>
        </w:tc>
      </w:tr>
      <w:tr w:rsidR="00BF0637" w:rsidRPr="00E07C9A" w14:paraId="58F22CA7" w14:textId="77777777" w:rsidTr="00672D2A">
        <w:tc>
          <w:tcPr>
            <w:tcW w:w="1188" w:type="dxa"/>
          </w:tcPr>
          <w:p w14:paraId="6D860088" w14:textId="77777777" w:rsidR="00BF0637" w:rsidRPr="00E07C9A" w:rsidRDefault="00ED20CB" w:rsidP="00BF0637">
            <w:pPr>
              <w:rPr>
                <w:rStyle w:val="InstructionsTabelleText"/>
                <w:rFonts w:ascii="Times New Roman" w:hAnsi="Times New Roman"/>
                <w:sz w:val="24"/>
              </w:rPr>
            </w:pPr>
            <w:r w:rsidRPr="00E07C9A">
              <w:rPr>
                <w:rStyle w:val="InstructionsTabelleText"/>
                <w:rFonts w:ascii="Times New Roman" w:hAnsi="Times New Roman"/>
                <w:sz w:val="24"/>
              </w:rPr>
              <w:t>0470</w:t>
            </w:r>
          </w:p>
        </w:tc>
        <w:tc>
          <w:tcPr>
            <w:tcW w:w="8640" w:type="dxa"/>
          </w:tcPr>
          <w:p w14:paraId="48CF49A2" w14:textId="77777777" w:rsidR="00BF0637" w:rsidRPr="00E07C9A" w:rsidRDefault="00BF0637" w:rsidP="00BF0637">
            <w:pPr>
              <w:tabs>
                <w:tab w:val="left" w:pos="6660"/>
              </w:tabs>
              <w:rPr>
                <w:rStyle w:val="InstructionsTabelleberschrift"/>
                <w:rFonts w:ascii="Times New Roman" w:hAnsi="Times New Roman"/>
                <w:sz w:val="24"/>
              </w:rPr>
            </w:pPr>
            <w:r w:rsidRPr="00E07C9A">
              <w:rPr>
                <w:rStyle w:val="InstructionsTabelleberschrift"/>
                <w:rFonts w:ascii="Times New Roman" w:hAnsi="Times New Roman"/>
                <w:sz w:val="24"/>
              </w:rPr>
              <w:t>VANKÚŠ PRE GLOBÁLNE SYSTÉMOVO VÝZNAMNÉ INŠTITÚCIE</w:t>
            </w:r>
            <w:r w:rsidRPr="00E07C9A">
              <w:rPr>
                <w:rFonts w:ascii="Times New Roman" w:hAnsi="Times New Roman"/>
              </w:rPr>
              <w:tab/>
            </w:r>
          </w:p>
          <w:p w14:paraId="534898CD" w14:textId="01C0B7B3" w:rsidR="00BF0637" w:rsidRPr="00E07C9A" w:rsidRDefault="00BF0637" w:rsidP="00487A02">
            <w:pPr>
              <w:pStyle w:val="InstructionsText"/>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Článok 128 bod 3</w:t>
            </w:r>
            <w:r w:rsidR="009912F8" w:rsidRPr="00E07C9A">
              <w:rPr>
                <w:rStyle w:val="InstructionsTabelleberschrift"/>
                <w:rFonts w:ascii="Times New Roman" w:hAnsi="Times New Roman"/>
                <w:b w:val="0"/>
                <w:sz w:val="24"/>
                <w:u w:val="none"/>
              </w:rPr>
              <w:t xml:space="preserve"> a </w:t>
            </w:r>
            <w:r w:rsidRPr="00E07C9A">
              <w:rPr>
                <w:rStyle w:val="InstructionsTabelleberschrift"/>
                <w:rFonts w:ascii="Times New Roman" w:hAnsi="Times New Roman"/>
                <w:b w:val="0"/>
                <w:sz w:val="24"/>
                <w:u w:val="none"/>
              </w:rPr>
              <w:t>článok 131</w:t>
            </w:r>
            <w:r w:rsidRPr="00E07C9A">
              <w:t xml:space="preserve"> smernice 2013/36/EÚ</w:t>
            </w:r>
          </w:p>
          <w:p w14:paraId="231ADF38" w14:textId="77777777" w:rsidR="00BF0637" w:rsidRPr="00E07C9A" w:rsidRDefault="001B43BD" w:rsidP="00487A02">
            <w:pPr>
              <w:pStyle w:val="InstructionsText"/>
              <w:rPr>
                <w:rStyle w:val="InstructionsTabelleberschrift"/>
                <w:rFonts w:ascii="Times New Roman" w:hAnsi="Times New Roman"/>
                <w:sz w:val="24"/>
              </w:rPr>
            </w:pPr>
            <w:r w:rsidRPr="00E07C9A">
              <w:t>V tejto bunke sa vykazuje hodnota vankúša pre globálne systémovo významné inštitúcie.</w:t>
            </w:r>
          </w:p>
        </w:tc>
      </w:tr>
      <w:tr w:rsidR="00BF0637" w:rsidRPr="00E07C9A" w14:paraId="5CFF3526" w14:textId="77777777" w:rsidTr="00672D2A">
        <w:tc>
          <w:tcPr>
            <w:tcW w:w="1188" w:type="dxa"/>
          </w:tcPr>
          <w:p w14:paraId="5DA7DD2E" w14:textId="77777777" w:rsidR="00BF0637" w:rsidRPr="00E07C9A" w:rsidRDefault="00ED20CB" w:rsidP="00BF0637">
            <w:pPr>
              <w:rPr>
                <w:rStyle w:val="InstructionsTabelleText"/>
                <w:rFonts w:ascii="Times New Roman" w:hAnsi="Times New Roman"/>
                <w:sz w:val="24"/>
              </w:rPr>
            </w:pPr>
            <w:r w:rsidRPr="00E07C9A">
              <w:rPr>
                <w:rStyle w:val="InstructionsTabelleText"/>
                <w:rFonts w:ascii="Times New Roman" w:hAnsi="Times New Roman"/>
                <w:sz w:val="24"/>
              </w:rPr>
              <w:t>0480</w:t>
            </w:r>
          </w:p>
        </w:tc>
        <w:tc>
          <w:tcPr>
            <w:tcW w:w="8640" w:type="dxa"/>
          </w:tcPr>
          <w:p w14:paraId="0BDD17BD" w14:textId="77777777" w:rsidR="00BF0637" w:rsidRPr="00E07C9A" w:rsidRDefault="00BF0637" w:rsidP="00BF0637">
            <w:pPr>
              <w:tabs>
                <w:tab w:val="left" w:pos="6315"/>
              </w:tabs>
              <w:rPr>
                <w:rStyle w:val="InstructionsTabelleberschrift"/>
                <w:rFonts w:ascii="Times New Roman" w:hAnsi="Times New Roman"/>
                <w:sz w:val="24"/>
              </w:rPr>
            </w:pPr>
            <w:r w:rsidRPr="00E07C9A">
              <w:rPr>
                <w:rStyle w:val="InstructionsTabelleberschrift"/>
                <w:rFonts w:ascii="Times New Roman" w:hAnsi="Times New Roman"/>
                <w:sz w:val="24"/>
              </w:rPr>
              <w:t>VANKÚŠ PRE INAK SYSTÉMOVO VÝZNAMNÉ INŠTITÚCIE</w:t>
            </w:r>
            <w:r w:rsidRPr="00E07C9A">
              <w:rPr>
                <w:rFonts w:ascii="Times New Roman" w:hAnsi="Times New Roman"/>
              </w:rPr>
              <w:tab/>
            </w:r>
          </w:p>
          <w:p w14:paraId="3BE461F6" w14:textId="050FD775" w:rsidR="00BF0637" w:rsidRPr="00E07C9A" w:rsidRDefault="00BF0637" w:rsidP="00487A02">
            <w:pPr>
              <w:pStyle w:val="InstructionsText"/>
            </w:pPr>
            <w:r w:rsidRPr="00E07C9A">
              <w:t>Článok 128 bod 4</w:t>
            </w:r>
            <w:r w:rsidR="009912F8" w:rsidRPr="00E07C9A">
              <w:t xml:space="preserve"> a </w:t>
            </w:r>
            <w:r w:rsidRPr="00E07C9A">
              <w:t>článok 131 smernice 2013/36/EÚ</w:t>
            </w:r>
          </w:p>
          <w:p w14:paraId="438EEBF7" w14:textId="77777777" w:rsidR="00BF0637" w:rsidRPr="00E07C9A" w:rsidRDefault="001B43BD" w:rsidP="00487A02">
            <w:pPr>
              <w:pStyle w:val="InstructionsText"/>
              <w:rPr>
                <w:rStyle w:val="InstructionsTabelleberschrift"/>
                <w:rFonts w:ascii="Times New Roman" w:hAnsi="Times New Roman"/>
                <w:sz w:val="24"/>
              </w:rPr>
            </w:pPr>
            <w:r w:rsidRPr="00E07C9A">
              <w:t>V tejto bunke sa vykazuje hodnota vankúša pre inak systémovo významné inštitúcie.</w:t>
            </w:r>
          </w:p>
        </w:tc>
      </w:tr>
    </w:tbl>
    <w:p w14:paraId="45A6EB84" w14:textId="77777777" w:rsidR="00FC1030" w:rsidRPr="00E07C9A" w:rsidRDefault="00FC1030" w:rsidP="00487A02">
      <w:pPr>
        <w:pStyle w:val="InstructionsText"/>
      </w:pPr>
    </w:p>
    <w:p w14:paraId="2FA5F255" w14:textId="698C68CB" w:rsidR="00464F34" w:rsidRPr="00E07C9A" w:rsidRDefault="00B43C2A" w:rsidP="0023700C">
      <w:pPr>
        <w:pStyle w:val="Instructionsberschrift2"/>
        <w:numPr>
          <w:ilvl w:val="0"/>
          <w:numId w:val="0"/>
        </w:numPr>
        <w:ind w:left="357" w:hanging="357"/>
        <w:rPr>
          <w:rFonts w:ascii="Times New Roman" w:hAnsi="Times New Roman" w:cs="Times New Roman"/>
          <w:sz w:val="24"/>
        </w:rPr>
      </w:pPr>
      <w:bookmarkStart w:id="115" w:name="_Toc310415013"/>
      <w:bookmarkStart w:id="116" w:name="_Toc360188344"/>
      <w:bookmarkStart w:id="117" w:name="_Toc473560893"/>
      <w:bookmarkStart w:id="118" w:name="_Toc115857773"/>
      <w:r w:rsidRPr="00E07C9A">
        <w:rPr>
          <w:rFonts w:ascii="Times New Roman" w:hAnsi="Times New Roman" w:cs="Times New Roman"/>
          <w:sz w:val="24"/>
          <w:u w:val="none"/>
        </w:rPr>
        <w:t>3.</w:t>
      </w:r>
      <w:r w:rsidRPr="00E07C9A">
        <w:rPr>
          <w:rFonts w:ascii="Times New Roman" w:hAnsi="Times New Roman" w:cs="Times New Roman"/>
          <w:u w:val="none"/>
        </w:rPr>
        <w:tab/>
      </w:r>
      <w:r w:rsidRPr="00E07C9A">
        <w:rPr>
          <w:rFonts w:ascii="Times New Roman" w:hAnsi="Times New Roman" w:cs="Times New Roman"/>
          <w:sz w:val="24"/>
        </w:rPr>
        <w:t>Vzory pre kreditné riziko</w:t>
      </w:r>
      <w:bookmarkEnd w:id="115"/>
      <w:bookmarkEnd w:id="116"/>
      <w:bookmarkEnd w:id="117"/>
      <w:bookmarkEnd w:id="118"/>
    </w:p>
    <w:p w14:paraId="4AAE6B2F" w14:textId="77777777" w:rsidR="009912F8" w:rsidRPr="00E07C9A" w:rsidRDefault="00125707" w:rsidP="0023700C">
      <w:pPr>
        <w:pStyle w:val="Instructionsberschrift2"/>
        <w:numPr>
          <w:ilvl w:val="0"/>
          <w:numId w:val="0"/>
        </w:numPr>
        <w:ind w:left="357" w:hanging="357"/>
        <w:rPr>
          <w:rFonts w:ascii="Times New Roman" w:hAnsi="Times New Roman" w:cs="Times New Roman"/>
          <w:sz w:val="24"/>
        </w:rPr>
      </w:pPr>
      <w:bookmarkStart w:id="119" w:name="_Toc360188345"/>
      <w:bookmarkStart w:id="120" w:name="_Toc473560894"/>
      <w:bookmarkStart w:id="121" w:name="_Toc115857774"/>
      <w:bookmarkStart w:id="122" w:name="_Toc262568022"/>
      <w:bookmarkStart w:id="123" w:name="_Toc295829848"/>
      <w:bookmarkStart w:id="124" w:name="_Toc310415014"/>
      <w:r w:rsidRPr="00E07C9A">
        <w:rPr>
          <w:rFonts w:ascii="Times New Roman" w:hAnsi="Times New Roman" w:cs="Times New Roman"/>
          <w:sz w:val="24"/>
          <w:u w:val="none"/>
        </w:rPr>
        <w:t>3.1.</w:t>
      </w:r>
      <w:r w:rsidRPr="00E07C9A">
        <w:rPr>
          <w:rFonts w:ascii="Times New Roman" w:hAnsi="Times New Roman" w:cs="Times New Roman"/>
          <w:u w:val="none"/>
        </w:rPr>
        <w:tab/>
      </w:r>
      <w:r w:rsidRPr="00E07C9A">
        <w:rPr>
          <w:rFonts w:ascii="Times New Roman" w:hAnsi="Times New Roman" w:cs="Times New Roman"/>
          <w:sz w:val="24"/>
        </w:rPr>
        <w:t>Všeobecné poznámky</w:t>
      </w:r>
      <w:bookmarkEnd w:id="119"/>
      <w:bookmarkEnd w:id="120"/>
      <w:bookmarkEnd w:id="121"/>
      <w:bookmarkEnd w:id="122"/>
      <w:bookmarkEnd w:id="123"/>
      <w:bookmarkEnd w:id="124"/>
    </w:p>
    <w:p w14:paraId="1F1FE002" w14:textId="395C1584" w:rsidR="009912F8" w:rsidRPr="00E07C9A" w:rsidRDefault="002A18DE" w:rsidP="00487A02">
      <w:pPr>
        <w:pStyle w:val="InstructionsText2"/>
        <w:numPr>
          <w:ilvl w:val="0"/>
          <w:numId w:val="0"/>
        </w:numPr>
        <w:ind w:left="1353" w:hanging="360"/>
      </w:pPr>
      <w:fldSimple w:instr=" seq paragraphs ">
        <w:r w:rsidR="00132AEE">
          <w:rPr>
            <w:noProof/>
          </w:rPr>
          <w:t>39</w:t>
        </w:r>
      </w:fldSimple>
      <w:r w:rsidR="00C3070C" w:rsidRPr="00E07C9A">
        <w:t>.</w:t>
      </w:r>
      <w:r w:rsidR="00C3070C" w:rsidRPr="00E07C9A">
        <w:tab/>
        <w:t>Existujú rôzne súbory vzorov pre štandardizovaný prístup</w:t>
      </w:r>
      <w:r w:rsidR="009912F8" w:rsidRPr="00E07C9A">
        <w:t xml:space="preserve"> a </w:t>
      </w:r>
      <w:r w:rsidR="00C3070C" w:rsidRPr="00E07C9A">
        <w:t>pre prístup IRB pre kreditné riziko. Okrem toho sa vykazujú samostatné vzory pre geografické rozčlenenie pozícií podliehajúcich kreditnému riziku, ak sa presiahne relevantná prahová hodnota stanovená</w:t>
      </w:r>
      <w:r w:rsidR="009912F8" w:rsidRPr="00E07C9A">
        <w:t xml:space="preserve"> v </w:t>
      </w:r>
      <w:r w:rsidR="00C3070C" w:rsidRPr="00E07C9A">
        <w:t>článku 5 ods. 5 tohto vykonávacieho nariadenia</w:t>
      </w:r>
      <w:r w:rsidR="009912F8" w:rsidRPr="00E07C9A">
        <w:t>.</w:t>
      </w:r>
    </w:p>
    <w:p w14:paraId="23D2606F" w14:textId="25ED63F1" w:rsidR="00464F34" w:rsidRPr="00E07C9A" w:rsidRDefault="00125707" w:rsidP="0023700C">
      <w:pPr>
        <w:pStyle w:val="Instructionsberschrift2"/>
        <w:numPr>
          <w:ilvl w:val="0"/>
          <w:numId w:val="0"/>
        </w:numPr>
        <w:ind w:left="357" w:hanging="357"/>
        <w:rPr>
          <w:rFonts w:ascii="Times New Roman" w:hAnsi="Times New Roman" w:cs="Times New Roman"/>
          <w:sz w:val="24"/>
        </w:rPr>
      </w:pPr>
      <w:bookmarkStart w:id="125" w:name="_Toc262568023"/>
      <w:bookmarkStart w:id="126" w:name="_Toc295829849"/>
      <w:bookmarkStart w:id="127" w:name="_Toc310415015"/>
      <w:bookmarkStart w:id="128" w:name="_Toc360188346"/>
      <w:bookmarkStart w:id="129" w:name="_Toc473560895"/>
      <w:bookmarkStart w:id="130" w:name="_Toc115857775"/>
      <w:r w:rsidRPr="00E07C9A">
        <w:rPr>
          <w:rFonts w:ascii="Times New Roman" w:hAnsi="Times New Roman" w:cs="Times New Roman"/>
          <w:sz w:val="24"/>
          <w:u w:val="none"/>
        </w:rPr>
        <w:t>3.1.1.</w:t>
      </w:r>
      <w:r w:rsidRPr="00E07C9A">
        <w:rPr>
          <w:rFonts w:ascii="Times New Roman" w:hAnsi="Times New Roman" w:cs="Times New Roman"/>
          <w:u w:val="none"/>
        </w:rPr>
        <w:tab/>
      </w:r>
      <w:r w:rsidRPr="00E07C9A">
        <w:rPr>
          <w:rFonts w:ascii="Times New Roman" w:hAnsi="Times New Roman" w:cs="Times New Roman"/>
          <w:sz w:val="24"/>
        </w:rPr>
        <w:t>Vykazovanie postupov zmierňovania kreditného rizika (CRM) so substitučným účinkom</w:t>
      </w:r>
      <w:bookmarkEnd w:id="125"/>
      <w:bookmarkEnd w:id="126"/>
      <w:bookmarkEnd w:id="127"/>
      <w:bookmarkEnd w:id="128"/>
      <w:bookmarkEnd w:id="129"/>
      <w:bookmarkEnd w:id="130"/>
    </w:p>
    <w:p w14:paraId="58CA4336" w14:textId="7F45E591" w:rsidR="00464F34" w:rsidRPr="00E07C9A" w:rsidRDefault="002A18DE" w:rsidP="00487A02">
      <w:pPr>
        <w:pStyle w:val="InstructionsText2"/>
        <w:numPr>
          <w:ilvl w:val="0"/>
          <w:numId w:val="0"/>
        </w:numPr>
        <w:ind w:left="1353" w:hanging="360"/>
      </w:pPr>
      <w:fldSimple w:instr=" seq paragraphs ">
        <w:r w:rsidR="00132AEE">
          <w:rPr>
            <w:noProof/>
          </w:rPr>
          <w:t>40</w:t>
        </w:r>
      </w:fldSimple>
      <w:r w:rsidR="00C3070C" w:rsidRPr="00E07C9A">
        <w:t>.</w:t>
      </w:r>
      <w:r w:rsidR="00C3070C" w:rsidRPr="00E07C9A">
        <w:tab/>
        <w:t>Expozície voči dlžníkom (bezprostredné protistrany)</w:t>
      </w:r>
      <w:r w:rsidR="009912F8" w:rsidRPr="00E07C9A">
        <w:t xml:space="preserve"> a </w:t>
      </w:r>
      <w:r w:rsidR="00C3070C" w:rsidRPr="00E07C9A">
        <w:t>ručiteľom, ktoré sú zaradené do rovnakej triedy expozícií, sa vykazujú ako kladné peňažné toky</w:t>
      </w:r>
      <w:r w:rsidR="009912F8" w:rsidRPr="00E07C9A">
        <w:t xml:space="preserve"> a </w:t>
      </w:r>
      <w:r w:rsidR="00C3070C" w:rsidRPr="00E07C9A">
        <w:t>záporné peňažné toky do rovnakej triedy expozícií.</w:t>
      </w:r>
    </w:p>
    <w:p w14:paraId="628153FE" w14:textId="024B5DA0" w:rsidR="00464F34" w:rsidRPr="00E07C9A" w:rsidRDefault="002A18DE" w:rsidP="00487A02">
      <w:pPr>
        <w:pStyle w:val="InstructionsText2"/>
        <w:numPr>
          <w:ilvl w:val="0"/>
          <w:numId w:val="0"/>
        </w:numPr>
        <w:ind w:left="1353" w:hanging="360"/>
      </w:pPr>
      <w:fldSimple w:instr=" seq paragraphs ">
        <w:r w:rsidR="00132AEE">
          <w:rPr>
            <w:noProof/>
          </w:rPr>
          <w:t>41</w:t>
        </w:r>
      </w:fldSimple>
      <w:r w:rsidR="00C3070C" w:rsidRPr="00E07C9A">
        <w:t>.</w:t>
      </w:r>
      <w:r w:rsidR="00C3070C" w:rsidRPr="00E07C9A">
        <w:tab/>
        <w:t>Druh expozície sa nemení podľa nefinancovaného kreditného zabezpečenia.</w:t>
      </w:r>
    </w:p>
    <w:p w14:paraId="16802E43" w14:textId="3DD159EC" w:rsidR="00464F34" w:rsidRPr="00E07C9A" w:rsidRDefault="002A18DE" w:rsidP="00487A02">
      <w:pPr>
        <w:pStyle w:val="InstructionsText2"/>
        <w:numPr>
          <w:ilvl w:val="0"/>
          <w:numId w:val="0"/>
        </w:numPr>
        <w:ind w:left="1353" w:hanging="360"/>
      </w:pPr>
      <w:fldSimple w:instr=" seq paragraphs ">
        <w:r w:rsidR="00132AEE">
          <w:rPr>
            <w:noProof/>
          </w:rPr>
          <w:t>42</w:t>
        </w:r>
      </w:fldSimple>
      <w:r w:rsidR="00C3070C" w:rsidRPr="00E07C9A">
        <w:t>.</w:t>
      </w:r>
      <w:r w:rsidR="00C3070C" w:rsidRPr="00E07C9A">
        <w:tab/>
        <w:t>Keď je expozícia zabezpečená nefinancovaným kreditným zabezpečením, zabezpečená časť sa priraďuje ako záporný peňažný tok, napr.</w:t>
      </w:r>
      <w:r w:rsidR="009912F8" w:rsidRPr="00E07C9A">
        <w:t xml:space="preserve"> v </w:t>
      </w:r>
      <w:r w:rsidR="00C3070C" w:rsidRPr="00E07C9A">
        <w:t>triede expozícií dlžníka,</w:t>
      </w:r>
      <w:r w:rsidR="009912F8" w:rsidRPr="00E07C9A">
        <w:t xml:space="preserve"> a </w:t>
      </w:r>
      <w:r w:rsidR="00C3070C" w:rsidRPr="00E07C9A">
        <w:t>ako kladný peňažný tok</w:t>
      </w:r>
      <w:r w:rsidR="009912F8" w:rsidRPr="00E07C9A">
        <w:t xml:space="preserve"> v </w:t>
      </w:r>
      <w:r w:rsidR="00C3070C" w:rsidRPr="00E07C9A">
        <w:t>triede expozícií ručiteľa. Druh expozície sa však nemení po zmene triedy expozícií.</w:t>
      </w:r>
    </w:p>
    <w:p w14:paraId="6F9BE179" w14:textId="2032D41D" w:rsidR="009912F8" w:rsidRPr="00E07C9A" w:rsidRDefault="002A18DE" w:rsidP="00487A02">
      <w:pPr>
        <w:pStyle w:val="InstructionsText2"/>
        <w:numPr>
          <w:ilvl w:val="0"/>
          <w:numId w:val="0"/>
        </w:numPr>
        <w:ind w:left="1353" w:hanging="360"/>
      </w:pPr>
      <w:fldSimple w:instr=" seq paragraphs ">
        <w:r w:rsidR="00132AEE">
          <w:rPr>
            <w:noProof/>
          </w:rPr>
          <w:t>43</w:t>
        </w:r>
      </w:fldSimple>
      <w:r w:rsidR="00C3070C" w:rsidRPr="00E07C9A">
        <w:t>.</w:t>
      </w:r>
      <w:r w:rsidR="00C3070C" w:rsidRPr="00E07C9A">
        <w:tab/>
        <w:t>Substitučný účinok</w:t>
      </w:r>
      <w:r w:rsidR="009912F8" w:rsidRPr="00E07C9A">
        <w:t xml:space="preserve"> v </w:t>
      </w:r>
      <w:r w:rsidR="00C3070C" w:rsidRPr="00E07C9A">
        <w:t>rámci vykazovania COREP musí vyjadrovať rizikové váženie, ktoré sa</w:t>
      </w:r>
      <w:r w:rsidR="009912F8" w:rsidRPr="00E07C9A">
        <w:t xml:space="preserve"> v </w:t>
      </w:r>
      <w:r w:rsidR="00C3070C" w:rsidRPr="00E07C9A">
        <w:t>skutočnosti uplatňuje na krytú časť expozície. Krytá časť expozície je teda rizikovo vážená</w:t>
      </w:r>
      <w:r w:rsidR="009912F8" w:rsidRPr="00E07C9A">
        <w:t xml:space="preserve"> v </w:t>
      </w:r>
      <w:r w:rsidR="00C3070C" w:rsidRPr="00E07C9A">
        <w:t>súlade so štandardizovaným prístupom</w:t>
      </w:r>
      <w:r w:rsidR="009912F8" w:rsidRPr="00E07C9A">
        <w:t xml:space="preserve"> a </w:t>
      </w:r>
      <w:r w:rsidR="00C3070C" w:rsidRPr="00E07C9A">
        <w:t>vykazuje sa vo vzore CR SA</w:t>
      </w:r>
      <w:r w:rsidR="009912F8" w:rsidRPr="00E07C9A">
        <w:t>.</w:t>
      </w:r>
    </w:p>
    <w:p w14:paraId="73A64D1C" w14:textId="2292AA4C" w:rsidR="00464F34" w:rsidRPr="00E07C9A" w:rsidRDefault="00125707" w:rsidP="0023700C">
      <w:pPr>
        <w:pStyle w:val="Instructionsberschrift2"/>
        <w:numPr>
          <w:ilvl w:val="0"/>
          <w:numId w:val="0"/>
        </w:numPr>
        <w:ind w:left="357" w:hanging="357"/>
        <w:rPr>
          <w:rFonts w:ascii="Times New Roman" w:hAnsi="Times New Roman" w:cs="Times New Roman"/>
          <w:sz w:val="24"/>
        </w:rPr>
      </w:pPr>
      <w:bookmarkStart w:id="131" w:name="_Toc262568024"/>
      <w:bookmarkStart w:id="132" w:name="_Toc295829850"/>
      <w:bookmarkStart w:id="133" w:name="_Toc310415016"/>
      <w:bookmarkStart w:id="134" w:name="_Toc360188347"/>
      <w:bookmarkStart w:id="135" w:name="_Toc473560896"/>
      <w:bookmarkStart w:id="136" w:name="_Toc115857776"/>
      <w:r w:rsidRPr="00E07C9A">
        <w:rPr>
          <w:rFonts w:ascii="Times New Roman" w:hAnsi="Times New Roman" w:cs="Times New Roman"/>
          <w:sz w:val="24"/>
          <w:u w:val="none"/>
        </w:rPr>
        <w:t>3.1.2.</w:t>
      </w:r>
      <w:r w:rsidRPr="00E07C9A">
        <w:rPr>
          <w:rFonts w:ascii="Times New Roman" w:hAnsi="Times New Roman" w:cs="Times New Roman"/>
          <w:u w:val="none"/>
        </w:rPr>
        <w:tab/>
      </w:r>
      <w:r w:rsidRPr="00E07C9A">
        <w:rPr>
          <w:rFonts w:ascii="Times New Roman" w:hAnsi="Times New Roman" w:cs="Times New Roman"/>
          <w:sz w:val="24"/>
        </w:rPr>
        <w:t>Vykazovanie kreditného rizika protistrany</w:t>
      </w:r>
      <w:bookmarkEnd w:id="131"/>
      <w:bookmarkEnd w:id="132"/>
      <w:bookmarkEnd w:id="133"/>
      <w:bookmarkEnd w:id="134"/>
      <w:bookmarkEnd w:id="135"/>
      <w:bookmarkEnd w:id="136"/>
    </w:p>
    <w:p w14:paraId="145FA721" w14:textId="76DFA1CE" w:rsidR="009912F8" w:rsidRPr="00E07C9A" w:rsidRDefault="002A18DE" w:rsidP="00487A02">
      <w:pPr>
        <w:pStyle w:val="InstructionsText2"/>
        <w:numPr>
          <w:ilvl w:val="0"/>
          <w:numId w:val="0"/>
        </w:numPr>
        <w:ind w:left="1353" w:hanging="360"/>
      </w:pPr>
      <w:fldSimple w:instr=" seq paragraphs ">
        <w:r w:rsidR="00132AEE">
          <w:rPr>
            <w:noProof/>
          </w:rPr>
          <w:t>44</w:t>
        </w:r>
      </w:fldSimple>
      <w:r w:rsidR="00C3070C" w:rsidRPr="00E07C9A">
        <w:t>.</w:t>
      </w:r>
      <w:r w:rsidR="00C3070C" w:rsidRPr="00E07C9A">
        <w:tab/>
        <w:t>Expozície pochádzajúce</w:t>
      </w:r>
      <w:r w:rsidR="009912F8" w:rsidRPr="00E07C9A">
        <w:t xml:space="preserve"> z </w:t>
      </w:r>
      <w:r w:rsidR="00C3070C" w:rsidRPr="00E07C9A">
        <w:t>pozícií kreditného rizika protistrany sa vykazujú vo vzoroch CR SA alebo CR IRB nezávisle od toho, či sú to položky</w:t>
      </w:r>
      <w:r w:rsidR="009912F8" w:rsidRPr="00E07C9A">
        <w:t xml:space="preserve"> v </w:t>
      </w:r>
      <w:r w:rsidR="00C3070C" w:rsidRPr="00E07C9A">
        <w:t>bankovej knihe alebo položky</w:t>
      </w:r>
      <w:r w:rsidR="009912F8" w:rsidRPr="00E07C9A">
        <w:t xml:space="preserve"> v </w:t>
      </w:r>
      <w:r w:rsidR="00C3070C" w:rsidRPr="00E07C9A">
        <w:t>obchodnej knihe</w:t>
      </w:r>
      <w:r w:rsidR="009912F8" w:rsidRPr="00E07C9A">
        <w:t>.</w:t>
      </w:r>
    </w:p>
    <w:p w14:paraId="024C34FE" w14:textId="629ED9B0" w:rsidR="00464F34" w:rsidRPr="00E07C9A" w:rsidRDefault="00125707" w:rsidP="0023700C">
      <w:pPr>
        <w:pStyle w:val="Instructionsberschrift2"/>
        <w:numPr>
          <w:ilvl w:val="0"/>
          <w:numId w:val="0"/>
        </w:numPr>
        <w:ind w:left="357" w:hanging="357"/>
        <w:rPr>
          <w:rFonts w:ascii="Times New Roman" w:hAnsi="Times New Roman" w:cs="Times New Roman"/>
          <w:sz w:val="24"/>
        </w:rPr>
      </w:pPr>
      <w:bookmarkStart w:id="137" w:name="_Toc292456202"/>
      <w:bookmarkStart w:id="138" w:name="_Toc295829851"/>
      <w:bookmarkStart w:id="139" w:name="_Toc310415017"/>
      <w:bookmarkStart w:id="140" w:name="_Toc360188348"/>
      <w:bookmarkStart w:id="141" w:name="_Toc473560897"/>
      <w:bookmarkStart w:id="142" w:name="_Toc115857777"/>
      <w:r w:rsidRPr="00E07C9A">
        <w:rPr>
          <w:rFonts w:ascii="Times New Roman" w:hAnsi="Times New Roman" w:cs="Times New Roman"/>
          <w:sz w:val="24"/>
          <w:u w:val="none"/>
        </w:rPr>
        <w:t>3.2.</w:t>
      </w:r>
      <w:r w:rsidRPr="00E07C9A">
        <w:rPr>
          <w:rFonts w:ascii="Times New Roman" w:hAnsi="Times New Roman" w:cs="Times New Roman"/>
          <w:u w:val="none"/>
        </w:rPr>
        <w:tab/>
      </w:r>
      <w:r w:rsidRPr="00E07C9A">
        <w:rPr>
          <w:rFonts w:ascii="Times New Roman" w:hAnsi="Times New Roman" w:cs="Times New Roman"/>
          <w:sz w:val="24"/>
        </w:rPr>
        <w:t>C 07.00 – Kreditné riziko</w:t>
      </w:r>
      <w:r w:rsidR="009912F8" w:rsidRPr="00E07C9A">
        <w:rPr>
          <w:rFonts w:ascii="Times New Roman" w:hAnsi="Times New Roman" w:cs="Times New Roman"/>
          <w:sz w:val="24"/>
        </w:rPr>
        <w:t xml:space="preserve"> a </w:t>
      </w:r>
      <w:r w:rsidRPr="00E07C9A">
        <w:rPr>
          <w:rFonts w:ascii="Times New Roman" w:hAnsi="Times New Roman" w:cs="Times New Roman"/>
          <w:sz w:val="24"/>
        </w:rPr>
        <w:t>kreditné riziko protistrany</w:t>
      </w:r>
      <w:r w:rsidR="009912F8" w:rsidRPr="00E07C9A">
        <w:rPr>
          <w:rFonts w:ascii="Times New Roman" w:hAnsi="Times New Roman" w:cs="Times New Roman"/>
          <w:sz w:val="24"/>
        </w:rPr>
        <w:t xml:space="preserve"> a </w:t>
      </w:r>
      <w:r w:rsidRPr="00E07C9A">
        <w:rPr>
          <w:rFonts w:ascii="Times New Roman" w:hAnsi="Times New Roman" w:cs="Times New Roman"/>
          <w:sz w:val="24"/>
        </w:rPr>
        <w:t>bezodplatné dodanie: Štandardizovaný prístup ku kapitálovým požiadavkám</w:t>
      </w:r>
      <w:bookmarkEnd w:id="137"/>
      <w:bookmarkEnd w:id="138"/>
      <w:bookmarkEnd w:id="139"/>
      <w:bookmarkEnd w:id="140"/>
      <w:r w:rsidRPr="00E07C9A">
        <w:rPr>
          <w:rFonts w:ascii="Times New Roman" w:hAnsi="Times New Roman" w:cs="Times New Roman"/>
          <w:sz w:val="24"/>
        </w:rPr>
        <w:t xml:space="preserve"> (CR SA)</w:t>
      </w:r>
      <w:bookmarkEnd w:id="141"/>
      <w:bookmarkEnd w:id="142"/>
    </w:p>
    <w:p w14:paraId="4099A354" w14:textId="77777777" w:rsidR="00464F34" w:rsidRPr="00E07C9A" w:rsidRDefault="00125707" w:rsidP="0023700C">
      <w:pPr>
        <w:pStyle w:val="Instructionsberschrift2"/>
        <w:numPr>
          <w:ilvl w:val="0"/>
          <w:numId w:val="0"/>
        </w:numPr>
        <w:ind w:left="357" w:hanging="357"/>
        <w:rPr>
          <w:rFonts w:ascii="Times New Roman" w:hAnsi="Times New Roman" w:cs="Times New Roman"/>
          <w:sz w:val="24"/>
        </w:rPr>
      </w:pPr>
      <w:bookmarkStart w:id="143" w:name="_Toc262568026"/>
      <w:bookmarkStart w:id="144" w:name="_Toc264038424"/>
      <w:bookmarkStart w:id="145" w:name="_Toc292456203"/>
      <w:bookmarkStart w:id="146" w:name="_Toc295829852"/>
      <w:bookmarkStart w:id="147" w:name="_Toc310415018"/>
      <w:bookmarkStart w:id="148" w:name="_Toc360188349"/>
      <w:bookmarkStart w:id="149" w:name="_Toc473560898"/>
      <w:bookmarkStart w:id="150" w:name="_Toc115857778"/>
      <w:r w:rsidRPr="00E07C9A">
        <w:rPr>
          <w:rFonts w:ascii="Times New Roman" w:hAnsi="Times New Roman" w:cs="Times New Roman"/>
          <w:sz w:val="24"/>
          <w:u w:val="none"/>
        </w:rPr>
        <w:t>3.2.1.</w:t>
      </w:r>
      <w:r w:rsidRPr="00E07C9A">
        <w:rPr>
          <w:rFonts w:ascii="Times New Roman" w:hAnsi="Times New Roman" w:cs="Times New Roman"/>
          <w:u w:val="none"/>
        </w:rPr>
        <w:tab/>
      </w:r>
      <w:r w:rsidRPr="00E07C9A">
        <w:rPr>
          <w:rFonts w:ascii="Times New Roman" w:hAnsi="Times New Roman" w:cs="Times New Roman"/>
          <w:sz w:val="24"/>
        </w:rPr>
        <w:t>Všeobecné poznámky</w:t>
      </w:r>
      <w:bookmarkEnd w:id="143"/>
      <w:bookmarkEnd w:id="144"/>
      <w:bookmarkEnd w:id="145"/>
      <w:bookmarkEnd w:id="146"/>
      <w:bookmarkEnd w:id="147"/>
      <w:bookmarkEnd w:id="148"/>
      <w:bookmarkEnd w:id="149"/>
      <w:bookmarkEnd w:id="150"/>
    </w:p>
    <w:p w14:paraId="611BAA0D" w14:textId="099C53A1" w:rsidR="00464F34" w:rsidRPr="00E07C9A" w:rsidRDefault="002A18DE" w:rsidP="00487A02">
      <w:pPr>
        <w:pStyle w:val="InstructionsText2"/>
        <w:numPr>
          <w:ilvl w:val="0"/>
          <w:numId w:val="0"/>
        </w:numPr>
        <w:ind w:left="1353" w:hanging="360"/>
      </w:pPr>
      <w:fldSimple w:instr=" seq paragraphs ">
        <w:r w:rsidR="00132AEE">
          <w:rPr>
            <w:noProof/>
          </w:rPr>
          <w:t>45</w:t>
        </w:r>
      </w:fldSimple>
      <w:r w:rsidR="00C3070C" w:rsidRPr="00E07C9A">
        <w:t>.</w:t>
      </w:r>
      <w:r w:rsidR="00C3070C" w:rsidRPr="00E07C9A">
        <w:tab/>
        <w:t>Vzory CR SA poskytujú informácie potrebné na výpočet požiadaviek na vlastné zdroje pre kreditné riziko</w:t>
      </w:r>
      <w:r w:rsidR="009912F8" w:rsidRPr="00E07C9A">
        <w:t xml:space="preserve"> v </w:t>
      </w:r>
      <w:r w:rsidR="00C3070C" w:rsidRPr="00E07C9A">
        <w:t>súlade so štandardizovaným prístupom. Konkrétne ide</w:t>
      </w:r>
      <w:r w:rsidR="009912F8" w:rsidRPr="00E07C9A">
        <w:t xml:space="preserve"> o </w:t>
      </w:r>
      <w:r w:rsidR="00C3070C" w:rsidRPr="00E07C9A">
        <w:t>podrobné informácie o:</w:t>
      </w:r>
    </w:p>
    <w:p w14:paraId="7D57B213" w14:textId="70C5349F" w:rsidR="00464F34" w:rsidRPr="00E07C9A" w:rsidRDefault="00125707" w:rsidP="00487A02">
      <w:pPr>
        <w:pStyle w:val="InstructionsText2"/>
        <w:numPr>
          <w:ilvl w:val="0"/>
          <w:numId w:val="0"/>
        </w:numPr>
        <w:ind w:left="1353" w:hanging="360"/>
      </w:pPr>
      <w:r w:rsidRPr="00E07C9A">
        <w:t>a)</w:t>
      </w:r>
      <w:r w:rsidRPr="00E07C9A">
        <w:tab/>
        <w:t>rozdelení hodnôt expozície podľa rôznych druhov expozícií, rizikových váh</w:t>
      </w:r>
      <w:r w:rsidR="009912F8" w:rsidRPr="00E07C9A">
        <w:t xml:space="preserve"> a </w:t>
      </w:r>
      <w:r w:rsidRPr="00E07C9A">
        <w:t>tried expozícií;</w:t>
      </w:r>
    </w:p>
    <w:p w14:paraId="1A6883C9" w14:textId="5A021460" w:rsidR="009912F8" w:rsidRPr="00E07C9A" w:rsidRDefault="00125707" w:rsidP="00487A02">
      <w:pPr>
        <w:pStyle w:val="InstructionsText2"/>
        <w:numPr>
          <w:ilvl w:val="0"/>
          <w:numId w:val="0"/>
        </w:numPr>
        <w:ind w:left="1353" w:hanging="360"/>
      </w:pPr>
      <w:r w:rsidRPr="00E07C9A">
        <w:t>b)</w:t>
      </w:r>
      <w:r w:rsidRPr="00E07C9A">
        <w:tab/>
        <w:t>hodnote</w:t>
      </w:r>
      <w:r w:rsidR="009912F8" w:rsidRPr="00E07C9A">
        <w:t xml:space="preserve"> a </w:t>
      </w:r>
      <w:r w:rsidRPr="00E07C9A">
        <w:t>druhu postupov zmierňovania kreditného rizika používaných na zmierňovanie rizík</w:t>
      </w:r>
      <w:r w:rsidR="009912F8" w:rsidRPr="00E07C9A">
        <w:t>.</w:t>
      </w:r>
    </w:p>
    <w:p w14:paraId="3FA3DC1C" w14:textId="29C23498" w:rsidR="00464F34" w:rsidRPr="00E07C9A" w:rsidRDefault="00125707" w:rsidP="0023700C">
      <w:pPr>
        <w:pStyle w:val="Instructionsberschrift2"/>
        <w:numPr>
          <w:ilvl w:val="0"/>
          <w:numId w:val="0"/>
        </w:numPr>
        <w:ind w:left="357" w:hanging="357"/>
        <w:rPr>
          <w:rFonts w:ascii="Times New Roman" w:hAnsi="Times New Roman" w:cs="Times New Roman"/>
          <w:sz w:val="24"/>
        </w:rPr>
      </w:pPr>
      <w:bookmarkStart w:id="151" w:name="_Toc262568027"/>
      <w:bookmarkStart w:id="152" w:name="_Toc264038425"/>
      <w:bookmarkStart w:id="153" w:name="_Toc292456204"/>
      <w:bookmarkStart w:id="154" w:name="_Toc295829853"/>
      <w:bookmarkStart w:id="155" w:name="_Toc310415019"/>
      <w:bookmarkStart w:id="156" w:name="_Toc360188350"/>
      <w:bookmarkStart w:id="157" w:name="_Toc473560899"/>
      <w:bookmarkStart w:id="158" w:name="_Toc115857779"/>
      <w:r w:rsidRPr="00E07C9A">
        <w:rPr>
          <w:rFonts w:ascii="Times New Roman" w:hAnsi="Times New Roman" w:cs="Times New Roman"/>
          <w:sz w:val="24"/>
          <w:u w:val="none"/>
        </w:rPr>
        <w:t>3.2.2.</w:t>
      </w:r>
      <w:r w:rsidRPr="00E07C9A">
        <w:rPr>
          <w:rFonts w:ascii="Times New Roman" w:hAnsi="Times New Roman" w:cs="Times New Roman"/>
          <w:u w:val="none"/>
        </w:rPr>
        <w:tab/>
      </w:r>
      <w:r w:rsidRPr="00E07C9A">
        <w:rPr>
          <w:rFonts w:ascii="Times New Roman" w:hAnsi="Times New Roman" w:cs="Times New Roman"/>
          <w:sz w:val="24"/>
        </w:rPr>
        <w:t>Rozsah vzoru CR SA</w:t>
      </w:r>
      <w:bookmarkEnd w:id="151"/>
      <w:bookmarkEnd w:id="152"/>
      <w:bookmarkEnd w:id="153"/>
      <w:bookmarkEnd w:id="154"/>
      <w:bookmarkEnd w:id="155"/>
      <w:bookmarkEnd w:id="156"/>
      <w:bookmarkEnd w:id="157"/>
      <w:bookmarkEnd w:id="158"/>
    </w:p>
    <w:p w14:paraId="0C400487" w14:textId="4EE33EAE" w:rsidR="00464F34" w:rsidRPr="00E07C9A" w:rsidRDefault="002A18DE" w:rsidP="00487A02">
      <w:pPr>
        <w:pStyle w:val="InstructionsText2"/>
        <w:numPr>
          <w:ilvl w:val="0"/>
          <w:numId w:val="0"/>
        </w:numPr>
        <w:ind w:left="1353" w:hanging="360"/>
      </w:pPr>
      <w:fldSimple w:instr=" seq paragraphs ">
        <w:r w:rsidR="00132AEE">
          <w:rPr>
            <w:noProof/>
          </w:rPr>
          <w:t>46</w:t>
        </w:r>
      </w:fldSimple>
      <w:r w:rsidR="00C3070C" w:rsidRPr="00E07C9A">
        <w:t>.</w:t>
      </w:r>
      <w:r w:rsidR="00C3070C" w:rsidRPr="00E07C9A">
        <w:tab/>
        <w:t>V súlade</w:t>
      </w:r>
      <w:r w:rsidR="009912F8" w:rsidRPr="00E07C9A">
        <w:t xml:space="preserve"> s </w:t>
      </w:r>
      <w:r w:rsidR="00C3070C" w:rsidRPr="00E07C9A">
        <w:t xml:space="preserve">článkom 112 nariadenia (EÚ) </w:t>
      </w:r>
      <w:r w:rsidR="009912F8" w:rsidRPr="00E07C9A">
        <w:t>č. 575/2013</w:t>
      </w:r>
      <w:r w:rsidR="00C3070C" w:rsidRPr="00E07C9A">
        <w:t xml:space="preserve"> sa každá expozícia SA na účely vypočítania požiadaviek na vlastné zdroje zaradí do jednej zo 16 tried expozícií SA.</w:t>
      </w:r>
    </w:p>
    <w:p w14:paraId="096BF578" w14:textId="386FB5ED" w:rsidR="009912F8" w:rsidRPr="00E07C9A" w:rsidRDefault="002A18DE" w:rsidP="00487A02">
      <w:pPr>
        <w:pStyle w:val="InstructionsText2"/>
        <w:numPr>
          <w:ilvl w:val="0"/>
          <w:numId w:val="0"/>
        </w:numPr>
        <w:ind w:left="1353" w:hanging="360"/>
      </w:pPr>
      <w:fldSimple w:instr=" seq paragraphs ">
        <w:r w:rsidR="00132AEE">
          <w:rPr>
            <w:noProof/>
          </w:rPr>
          <w:t>47</w:t>
        </w:r>
      </w:fldSimple>
      <w:r w:rsidR="00C3070C" w:rsidRPr="00E07C9A">
        <w:t>.</w:t>
      </w:r>
      <w:r w:rsidR="00C3070C" w:rsidRPr="00E07C9A">
        <w:tab/>
        <w:t>Informácie vo vzore CR SA sa požadujú pre triedy celkových expozícií</w:t>
      </w:r>
      <w:r w:rsidR="009912F8" w:rsidRPr="00E07C9A">
        <w:t xml:space="preserve"> a </w:t>
      </w:r>
      <w:r w:rsidR="00C3070C" w:rsidRPr="00E07C9A">
        <w:t>individuálne pre každú triedu expozícií</w:t>
      </w:r>
      <w:r w:rsidR="009912F8" w:rsidRPr="00E07C9A">
        <w:t xml:space="preserve"> v </w:t>
      </w:r>
      <w:r w:rsidR="00C3070C" w:rsidRPr="00E07C9A">
        <w:t>rámci štandardizovaného prístupu. Celkové údaje</w:t>
      </w:r>
      <w:r w:rsidR="009912F8" w:rsidRPr="00E07C9A">
        <w:t xml:space="preserve"> a </w:t>
      </w:r>
      <w:r w:rsidR="00C3070C" w:rsidRPr="00E07C9A">
        <w:t>informácie</w:t>
      </w:r>
      <w:r w:rsidR="009912F8" w:rsidRPr="00E07C9A">
        <w:t xml:space="preserve"> o </w:t>
      </w:r>
      <w:r w:rsidR="00C3070C" w:rsidRPr="00E07C9A">
        <w:t>jednotlivých triedach expozícií sa vykazujú osobitne</w:t>
      </w:r>
      <w:r w:rsidR="009912F8" w:rsidRPr="00E07C9A">
        <w:t>.</w:t>
      </w:r>
    </w:p>
    <w:p w14:paraId="375491F9" w14:textId="7DCCA483" w:rsidR="00464F34" w:rsidRPr="00E07C9A" w:rsidRDefault="002A18DE" w:rsidP="00487A02">
      <w:pPr>
        <w:pStyle w:val="InstructionsText2"/>
        <w:numPr>
          <w:ilvl w:val="0"/>
          <w:numId w:val="0"/>
        </w:numPr>
        <w:ind w:left="1353" w:hanging="360"/>
      </w:pPr>
      <w:fldSimple w:instr=" seq paragraphs ">
        <w:r w:rsidR="00132AEE">
          <w:rPr>
            <w:noProof/>
          </w:rPr>
          <w:t>48</w:t>
        </w:r>
      </w:fldSimple>
      <w:r w:rsidR="00C3070C" w:rsidRPr="00E07C9A">
        <w:t>.</w:t>
      </w:r>
      <w:r w:rsidR="00C3070C" w:rsidRPr="00E07C9A">
        <w:tab/>
        <w:t>Tieto pozície však nie sú</w:t>
      </w:r>
      <w:r w:rsidR="009912F8" w:rsidRPr="00E07C9A">
        <w:t xml:space="preserve"> v </w:t>
      </w:r>
      <w:r w:rsidR="00C3070C" w:rsidRPr="00E07C9A">
        <w:t>rámci rozsahu vzoru CR SA:</w:t>
      </w:r>
    </w:p>
    <w:p w14:paraId="4270BD85" w14:textId="73A04C7D" w:rsidR="00464F34" w:rsidRPr="00E07C9A" w:rsidRDefault="00125707" w:rsidP="00487A02">
      <w:pPr>
        <w:pStyle w:val="InstructionsText2"/>
        <w:numPr>
          <w:ilvl w:val="0"/>
          <w:numId w:val="0"/>
        </w:numPr>
        <w:ind w:left="1353" w:hanging="360"/>
      </w:pPr>
      <w:r w:rsidRPr="00E07C9A">
        <w:t>a)</w:t>
      </w:r>
      <w:r w:rsidRPr="00E07C9A">
        <w:tab/>
        <w:t>expozície zaradené do triedy expozícií „položky predstavujúce sekuritizačné pozície“ uvedené</w:t>
      </w:r>
      <w:r w:rsidR="009912F8" w:rsidRPr="00E07C9A">
        <w:t xml:space="preserve"> v </w:t>
      </w:r>
      <w:r w:rsidRPr="00E07C9A">
        <w:t xml:space="preserve">článku 112 písm. m) nariadenia (EÚ) </w:t>
      </w:r>
      <w:r w:rsidR="009912F8" w:rsidRPr="00E07C9A">
        <w:t>č. 575/2013</w:t>
      </w:r>
      <w:r w:rsidRPr="00E07C9A">
        <w:t>, ktoré sa vykazujú vo vzoroch CR SEC;</w:t>
      </w:r>
    </w:p>
    <w:p w14:paraId="7A237CC4" w14:textId="77777777" w:rsidR="00464F34" w:rsidRPr="00E07C9A" w:rsidRDefault="00125707" w:rsidP="00487A02">
      <w:pPr>
        <w:pStyle w:val="InstructionsText2"/>
        <w:numPr>
          <w:ilvl w:val="0"/>
          <w:numId w:val="0"/>
        </w:numPr>
        <w:ind w:left="1353" w:hanging="360"/>
      </w:pPr>
      <w:r w:rsidRPr="00E07C9A">
        <w:t>b)</w:t>
      </w:r>
      <w:r w:rsidRPr="00E07C9A">
        <w:tab/>
        <w:t>expozície odpočítané od vlastných zdrojov.</w:t>
      </w:r>
    </w:p>
    <w:p w14:paraId="3E766928" w14:textId="01316697" w:rsidR="00464F34" w:rsidRPr="00E07C9A" w:rsidRDefault="002A18DE" w:rsidP="00487A02">
      <w:pPr>
        <w:pStyle w:val="InstructionsText2"/>
        <w:numPr>
          <w:ilvl w:val="0"/>
          <w:numId w:val="0"/>
        </w:numPr>
        <w:ind w:left="1353" w:hanging="360"/>
      </w:pPr>
      <w:fldSimple w:instr=" seq paragraphs ">
        <w:r w:rsidR="00132AEE">
          <w:rPr>
            <w:noProof/>
          </w:rPr>
          <w:t>49</w:t>
        </w:r>
      </w:fldSimple>
      <w:r w:rsidR="00C3070C" w:rsidRPr="00E07C9A">
        <w:t>.</w:t>
      </w:r>
      <w:r w:rsidR="00C3070C" w:rsidRPr="00E07C9A">
        <w:tab/>
        <w:t>Rozsah vzoru CR SA pokrýva tieto požiadavky na vlastné zdroje:</w:t>
      </w:r>
    </w:p>
    <w:p w14:paraId="5FAD0A68" w14:textId="7E682ABE" w:rsidR="00464F34" w:rsidRPr="00E07C9A" w:rsidRDefault="00125707" w:rsidP="00487A02">
      <w:pPr>
        <w:pStyle w:val="InstructionsText2"/>
        <w:numPr>
          <w:ilvl w:val="0"/>
          <w:numId w:val="0"/>
        </w:numPr>
        <w:ind w:left="1353" w:hanging="360"/>
      </w:pPr>
      <w:r w:rsidRPr="00E07C9A">
        <w:t>a)</w:t>
      </w:r>
      <w:r w:rsidRPr="00E07C9A">
        <w:tab/>
        <w:t xml:space="preserve">kreditné riziko podľa tretej časti hlavy II kapitoly 2 (štandardizovaný prístup) nariadenia (EÚ) </w:t>
      </w:r>
      <w:r w:rsidR="009912F8" w:rsidRPr="00E07C9A">
        <w:t>č. 575/2013 v </w:t>
      </w:r>
      <w:r w:rsidRPr="00E07C9A">
        <w:t>bankovej knihe,</w:t>
      </w:r>
      <w:r w:rsidR="009912F8" w:rsidRPr="00E07C9A">
        <w:t xml:space="preserve"> v </w:t>
      </w:r>
      <w:r w:rsidRPr="00E07C9A">
        <w:t>rámci toho kreditné riziko protistrany podľa tretej časti hlavy II kapitol 4</w:t>
      </w:r>
      <w:r w:rsidR="009912F8" w:rsidRPr="00E07C9A">
        <w:t xml:space="preserve"> a </w:t>
      </w:r>
      <w:r w:rsidRPr="00E07C9A">
        <w:t>6 uvedeného nariadenia</w:t>
      </w:r>
      <w:r w:rsidR="009912F8" w:rsidRPr="00E07C9A">
        <w:t xml:space="preserve"> v </w:t>
      </w:r>
      <w:r w:rsidRPr="00E07C9A">
        <w:t>bankovej knihe;</w:t>
      </w:r>
    </w:p>
    <w:p w14:paraId="0C7520AF" w14:textId="2000F9B6" w:rsidR="00464F34" w:rsidRPr="00E07C9A" w:rsidRDefault="00125707" w:rsidP="00487A02">
      <w:pPr>
        <w:pStyle w:val="InstructionsText2"/>
        <w:numPr>
          <w:ilvl w:val="0"/>
          <w:numId w:val="0"/>
        </w:numPr>
        <w:ind w:left="1353" w:hanging="360"/>
      </w:pPr>
      <w:r w:rsidRPr="00E07C9A">
        <w:t>b)</w:t>
      </w:r>
      <w:r w:rsidRPr="00E07C9A">
        <w:tab/>
        <w:t>kreditné riziko protistrany podľa tretej časti hlavy II kapitol 4</w:t>
      </w:r>
      <w:r w:rsidR="009912F8" w:rsidRPr="00E07C9A">
        <w:t xml:space="preserve"> a </w:t>
      </w:r>
      <w:r w:rsidRPr="00E07C9A">
        <w:t xml:space="preserve">6 nariadenia (EÚ) </w:t>
      </w:r>
      <w:r w:rsidR="009912F8" w:rsidRPr="00E07C9A">
        <w:t>č. 575/2013 v </w:t>
      </w:r>
      <w:r w:rsidRPr="00E07C9A">
        <w:t>obchodnej knihe;</w:t>
      </w:r>
    </w:p>
    <w:p w14:paraId="04739871" w14:textId="08BE7D4E" w:rsidR="00464F34" w:rsidRPr="00E07C9A" w:rsidRDefault="00125707" w:rsidP="00487A02">
      <w:pPr>
        <w:pStyle w:val="InstructionsText2"/>
        <w:numPr>
          <w:ilvl w:val="0"/>
          <w:numId w:val="0"/>
        </w:numPr>
        <w:ind w:left="1353" w:hanging="360"/>
      </w:pPr>
      <w:r w:rsidRPr="00E07C9A">
        <w:t>c)</w:t>
      </w:r>
      <w:r w:rsidRPr="00E07C9A">
        <w:tab/>
        <w:t>riziko vyrovnania vyplývajúce</w:t>
      </w:r>
      <w:r w:rsidR="009912F8" w:rsidRPr="00E07C9A">
        <w:t xml:space="preserve"> z </w:t>
      </w:r>
      <w:r w:rsidRPr="00E07C9A">
        <w:t xml:space="preserve">bezodplatného dodania podľa článku 379 nariadenia (EÚ) </w:t>
      </w:r>
      <w:r w:rsidR="009912F8" w:rsidRPr="00E07C9A">
        <w:t>č. 575/2013 v </w:t>
      </w:r>
      <w:r w:rsidRPr="00E07C9A">
        <w:t>súvislosti so všetkými obchodnými činnosťami.</w:t>
      </w:r>
    </w:p>
    <w:p w14:paraId="61ABE9BC" w14:textId="34732B9A" w:rsidR="00464F34" w:rsidRPr="00E07C9A" w:rsidRDefault="002A18DE" w:rsidP="00487A02">
      <w:pPr>
        <w:pStyle w:val="InstructionsText2"/>
        <w:numPr>
          <w:ilvl w:val="0"/>
          <w:numId w:val="0"/>
        </w:numPr>
        <w:ind w:left="1353" w:hanging="360"/>
      </w:pPr>
      <w:fldSimple w:instr=" seq paragraphs ">
        <w:r w:rsidR="00132AEE">
          <w:rPr>
            <w:noProof/>
          </w:rPr>
          <w:t>50</w:t>
        </w:r>
      </w:fldSimple>
      <w:r w:rsidR="00C3070C" w:rsidRPr="00E07C9A">
        <w:t>.</w:t>
      </w:r>
      <w:r w:rsidR="00C3070C" w:rsidRPr="00E07C9A">
        <w:tab/>
        <w:t>Vzor zahŕňa všetky expozície, pre ktoré sa požiadavky na vlastné zdroje vypočítavajú</w:t>
      </w:r>
      <w:r w:rsidR="009912F8" w:rsidRPr="00E07C9A">
        <w:t xml:space="preserve"> v </w:t>
      </w:r>
      <w:r w:rsidR="00C3070C" w:rsidRPr="00E07C9A">
        <w:t>súlade</w:t>
      </w:r>
      <w:r w:rsidR="009912F8" w:rsidRPr="00E07C9A">
        <w:t xml:space="preserve"> s </w:t>
      </w:r>
      <w:r w:rsidR="00C3070C" w:rsidRPr="00E07C9A">
        <w:t xml:space="preserve">treťou časťou hlavou II kapitolou 2 nariadenia (EÚ) </w:t>
      </w:r>
      <w:r w:rsidR="009912F8" w:rsidRPr="00E07C9A">
        <w:t>č. 575/2013 v </w:t>
      </w:r>
      <w:r w:rsidR="00C3070C" w:rsidRPr="00E07C9A">
        <w:t>spojení</w:t>
      </w:r>
      <w:r w:rsidR="009912F8" w:rsidRPr="00E07C9A">
        <w:t xml:space="preserve"> s </w:t>
      </w:r>
      <w:r w:rsidR="00C3070C" w:rsidRPr="00E07C9A">
        <w:t>treťou časťou hlavou II kapitolami 4</w:t>
      </w:r>
      <w:r w:rsidR="009912F8" w:rsidRPr="00E07C9A">
        <w:t xml:space="preserve"> a </w:t>
      </w:r>
      <w:r w:rsidR="00C3070C" w:rsidRPr="00E07C9A">
        <w:t xml:space="preserve">6 nariadenia (EÚ) </w:t>
      </w:r>
      <w:r w:rsidR="009912F8" w:rsidRPr="00E07C9A">
        <w:t>č. 575/2013</w:t>
      </w:r>
      <w:r w:rsidR="00C3070C" w:rsidRPr="00E07C9A">
        <w:t xml:space="preserve">. Inštitúcie, ktoré uplatňujú článok 94 ods. 1 nariadenia (EÚ) </w:t>
      </w:r>
      <w:r w:rsidR="009912F8" w:rsidRPr="00E07C9A">
        <w:t>č. 575/2013</w:t>
      </w:r>
      <w:r w:rsidR="00C3070C" w:rsidRPr="00E07C9A">
        <w:t>, musia</w:t>
      </w:r>
      <w:r w:rsidR="009912F8" w:rsidRPr="00E07C9A">
        <w:t xml:space="preserve"> v </w:t>
      </w:r>
      <w:r w:rsidR="00C3070C" w:rsidRPr="00E07C9A">
        <w:t>tomto vzore vykázať aj svoje pozície</w:t>
      </w:r>
      <w:r w:rsidR="009912F8" w:rsidRPr="00E07C9A">
        <w:t xml:space="preserve"> v </w:t>
      </w:r>
      <w:r w:rsidR="00C3070C" w:rsidRPr="00E07C9A">
        <w:t>obchodnej knihe uvedené</w:t>
      </w:r>
      <w:r w:rsidR="009912F8" w:rsidRPr="00E07C9A">
        <w:t xml:space="preserve"> v </w:t>
      </w:r>
      <w:r w:rsidR="00C3070C" w:rsidRPr="00E07C9A">
        <w:t>článku 92 ods. 3 písm. b) uvedeného nariadenia, keď uplatňujú tretiu časť hlavu II kapitolu 2 uvedeného nariadenia na výpočet požiadaviek na vlastné zdroje (tretia časť hlava II kapitoly 2</w:t>
      </w:r>
      <w:r w:rsidR="009912F8" w:rsidRPr="00E07C9A">
        <w:t xml:space="preserve"> a </w:t>
      </w:r>
      <w:r w:rsidR="00C3070C" w:rsidRPr="00E07C9A">
        <w:t>6</w:t>
      </w:r>
      <w:r w:rsidR="009912F8" w:rsidRPr="00E07C9A">
        <w:t xml:space="preserve"> a </w:t>
      </w:r>
      <w:r w:rsidR="00C3070C" w:rsidRPr="00E07C9A">
        <w:t>tretia časť hlava</w:t>
      </w:r>
      <w:r w:rsidR="009912F8" w:rsidRPr="00E07C9A">
        <w:t xml:space="preserve"> V </w:t>
      </w:r>
      <w:r w:rsidR="00C3070C" w:rsidRPr="00E07C9A">
        <w:t>uvedeného nariadenia). Tento vzor preto poskytuje nielen podrobné informácie</w:t>
      </w:r>
      <w:r w:rsidR="009912F8" w:rsidRPr="00E07C9A">
        <w:t xml:space="preserve"> o </w:t>
      </w:r>
      <w:r w:rsidR="00C3070C" w:rsidRPr="00E07C9A">
        <w:t>druhu expozície (napr.</w:t>
      </w:r>
      <w:r w:rsidR="009912F8" w:rsidRPr="00E07C9A">
        <w:t xml:space="preserve"> o </w:t>
      </w:r>
      <w:r w:rsidR="00C3070C" w:rsidRPr="00E07C9A">
        <w:t>súvahových/podsúvahových položkách), ale aj informácie</w:t>
      </w:r>
      <w:r w:rsidR="009912F8" w:rsidRPr="00E07C9A">
        <w:t xml:space="preserve"> o </w:t>
      </w:r>
      <w:r w:rsidR="00C3070C" w:rsidRPr="00E07C9A">
        <w:t>priradení rizikových váh</w:t>
      </w:r>
      <w:r w:rsidR="009912F8" w:rsidRPr="00E07C9A">
        <w:t xml:space="preserve"> v </w:t>
      </w:r>
      <w:r w:rsidR="00C3070C" w:rsidRPr="00E07C9A">
        <w:t>rámci príslušnej triedy expozícií.</w:t>
      </w:r>
    </w:p>
    <w:bookmarkStart w:id="159" w:name="_Toc264033212"/>
    <w:bookmarkStart w:id="160" w:name="_Toc294166813"/>
    <w:bookmarkStart w:id="161" w:name="_Toc294256386"/>
    <w:bookmarkStart w:id="162" w:name="_Toc294256487"/>
    <w:bookmarkStart w:id="163" w:name="_Toc294267371"/>
    <w:bookmarkStart w:id="164" w:name="_Toc294267476"/>
    <w:bookmarkStart w:id="165" w:name="_Toc294267607"/>
    <w:bookmarkStart w:id="166" w:name="_Toc294267709"/>
    <w:bookmarkStart w:id="167" w:name="_Toc294274817"/>
    <w:bookmarkStart w:id="168" w:name="_Toc294280261"/>
    <w:bookmarkStart w:id="169" w:name="_Toc294281586"/>
    <w:bookmarkStart w:id="170" w:name="_Toc294281806"/>
    <w:bookmarkStart w:id="171" w:name="_Toc294282020"/>
    <w:bookmarkStart w:id="172" w:name="_Toc294282223"/>
    <w:bookmarkStart w:id="173" w:name="_Toc294714158"/>
    <w:bookmarkStart w:id="174" w:name="_Toc295314184"/>
    <w:bookmarkStart w:id="175" w:name="_Toc295829573"/>
    <w:bookmarkStart w:id="176" w:name="_Toc295829856"/>
    <w:bookmarkStart w:id="177" w:name="_Toc301772744"/>
    <w:bookmarkStart w:id="178" w:name="_Toc301772822"/>
    <w:bookmarkStart w:id="179" w:name="_Toc302657761"/>
    <w:bookmarkStart w:id="180" w:name="_Toc302657880"/>
    <w:bookmarkStart w:id="181" w:name="_Toc307582992"/>
    <w:bookmarkStart w:id="182" w:name="_Toc307583014"/>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p w14:paraId="687A2CB5" w14:textId="131C7487" w:rsidR="009912F8" w:rsidRPr="00E07C9A" w:rsidRDefault="0056002D" w:rsidP="00487A02">
      <w:pPr>
        <w:pStyle w:val="InstructionsText2"/>
        <w:numPr>
          <w:ilvl w:val="0"/>
          <w:numId w:val="0"/>
        </w:numPr>
        <w:ind w:left="1353" w:hanging="360"/>
      </w:pPr>
      <w:r w:rsidRPr="00E07C9A">
        <w:fldChar w:fldCharType="begin"/>
      </w:r>
      <w:r w:rsidRPr="00E07C9A">
        <w:instrText xml:space="preserve"> seq paragraphs </w:instrText>
      </w:r>
      <w:r w:rsidRPr="00E07C9A">
        <w:fldChar w:fldCharType="separate"/>
      </w:r>
      <w:r w:rsidR="00132AEE">
        <w:rPr>
          <w:noProof/>
        </w:rPr>
        <w:t>51</w:t>
      </w:r>
      <w:r w:rsidRPr="00E07C9A">
        <w:fldChar w:fldCharType="end"/>
      </w:r>
      <w:r w:rsidRPr="00E07C9A">
        <w:t>.</w:t>
      </w:r>
      <w:r w:rsidRPr="00E07C9A">
        <w:tab/>
        <w:t>Vzor CR SA okrem toho obsahuje</w:t>
      </w:r>
      <w:r w:rsidR="009912F8" w:rsidRPr="00E07C9A">
        <w:t xml:space="preserve"> v </w:t>
      </w:r>
      <w:r w:rsidRPr="00E07C9A">
        <w:t>riadkoch 0290 až 0320 doplňujúce položky na zhromaždenie ďalších informácií</w:t>
      </w:r>
      <w:r w:rsidR="009912F8" w:rsidRPr="00E07C9A">
        <w:t xml:space="preserve"> o </w:t>
      </w:r>
      <w:r w:rsidRPr="00E07C9A">
        <w:t>expozíciách zabezpečených hypotékami na nehnuteľný majetok</w:t>
      </w:r>
      <w:r w:rsidR="009912F8" w:rsidRPr="00E07C9A">
        <w:t xml:space="preserve"> a o </w:t>
      </w:r>
      <w:r w:rsidRPr="00E07C9A">
        <w:t>expozíciách</w:t>
      </w:r>
      <w:r w:rsidR="009912F8" w:rsidRPr="00E07C9A">
        <w:t xml:space="preserve"> v </w:t>
      </w:r>
      <w:r w:rsidRPr="00E07C9A">
        <w:t>stave zlyhania</w:t>
      </w:r>
      <w:r w:rsidR="009912F8" w:rsidRPr="00E07C9A">
        <w:t>.</w:t>
      </w:r>
    </w:p>
    <w:p w14:paraId="57FF4EFF" w14:textId="68D38512" w:rsidR="009912F8" w:rsidRPr="00E07C9A" w:rsidRDefault="002A18DE" w:rsidP="00487A02">
      <w:pPr>
        <w:pStyle w:val="InstructionsText2"/>
        <w:numPr>
          <w:ilvl w:val="0"/>
          <w:numId w:val="0"/>
        </w:numPr>
        <w:ind w:left="1353" w:hanging="360"/>
      </w:pPr>
      <w:fldSimple w:instr=" seq paragraphs ">
        <w:r w:rsidR="00132AEE">
          <w:rPr>
            <w:noProof/>
          </w:rPr>
          <w:t>52</w:t>
        </w:r>
      </w:fldSimple>
      <w:r w:rsidR="00C3070C" w:rsidRPr="00E07C9A">
        <w:t>.</w:t>
      </w:r>
      <w:r w:rsidR="00C3070C" w:rsidRPr="00E07C9A">
        <w:tab/>
        <w:t>Uvedené doplňujúce položky sa vykazujú len pre tieto triedy expozícií</w:t>
      </w:r>
      <w:r w:rsidR="009912F8" w:rsidRPr="00E07C9A">
        <w:t>:</w:t>
      </w:r>
    </w:p>
    <w:p w14:paraId="100A9167" w14:textId="61E335A0" w:rsidR="00464F34" w:rsidRPr="00E07C9A" w:rsidRDefault="00125707" w:rsidP="00487A02">
      <w:pPr>
        <w:pStyle w:val="InstructionsText2"/>
        <w:numPr>
          <w:ilvl w:val="0"/>
          <w:numId w:val="0"/>
        </w:numPr>
        <w:ind w:left="1353" w:hanging="360"/>
      </w:pPr>
      <w:r w:rsidRPr="00E07C9A">
        <w:t>a)</w:t>
      </w:r>
      <w:r w:rsidRPr="00E07C9A">
        <w:tab/>
        <w:t xml:space="preserve">expozície voči ústredným vládam alebo centrálnym bankám [článok 112 písm. a) nariadenia (EÚ) </w:t>
      </w:r>
      <w:r w:rsidR="009912F8" w:rsidRPr="00E07C9A">
        <w:t>č. 575/2013</w:t>
      </w:r>
      <w:r w:rsidRPr="00E07C9A">
        <w:t>];</w:t>
      </w:r>
    </w:p>
    <w:p w14:paraId="0078CFD3" w14:textId="13DA4B5D" w:rsidR="00464F34" w:rsidRPr="00E07C9A" w:rsidRDefault="00125707" w:rsidP="00487A02">
      <w:pPr>
        <w:pStyle w:val="InstructionsText2"/>
        <w:numPr>
          <w:ilvl w:val="0"/>
          <w:numId w:val="0"/>
        </w:numPr>
        <w:ind w:left="1353" w:hanging="360"/>
      </w:pPr>
      <w:r w:rsidRPr="00E07C9A">
        <w:t>b)</w:t>
      </w:r>
      <w:r w:rsidRPr="00E07C9A">
        <w:tab/>
        <w:t xml:space="preserve">expozície voči regionálnym vládam alebo miestnym orgánom [článok 112 písm. b) nariadenia (EÚ) </w:t>
      </w:r>
      <w:r w:rsidR="009912F8" w:rsidRPr="00E07C9A">
        <w:t>č. 575/2013</w:t>
      </w:r>
      <w:r w:rsidRPr="00E07C9A">
        <w:t>];</w:t>
      </w:r>
    </w:p>
    <w:p w14:paraId="35C975FE" w14:textId="1FF5D0C5" w:rsidR="00464F34" w:rsidRPr="00E07C9A" w:rsidRDefault="00125707" w:rsidP="00487A02">
      <w:pPr>
        <w:pStyle w:val="InstructionsText2"/>
        <w:numPr>
          <w:ilvl w:val="0"/>
          <w:numId w:val="0"/>
        </w:numPr>
        <w:ind w:left="1353" w:hanging="360"/>
      </w:pPr>
      <w:r w:rsidRPr="00E07C9A">
        <w:t>c)</w:t>
      </w:r>
      <w:r w:rsidRPr="00E07C9A">
        <w:tab/>
        <w:t xml:space="preserve">expozície voči subjektom verejného sektora [článok 112 písm. c) nariadenia (EÚ) </w:t>
      </w:r>
      <w:r w:rsidR="009912F8" w:rsidRPr="00E07C9A">
        <w:t>č. 575/2013</w:t>
      </w:r>
      <w:r w:rsidRPr="00E07C9A">
        <w:t>];</w:t>
      </w:r>
    </w:p>
    <w:p w14:paraId="0CC06ECA" w14:textId="00B6394F" w:rsidR="00464F34" w:rsidRPr="00E07C9A" w:rsidRDefault="00125707" w:rsidP="00487A02">
      <w:pPr>
        <w:pStyle w:val="InstructionsText2"/>
        <w:numPr>
          <w:ilvl w:val="0"/>
          <w:numId w:val="0"/>
        </w:numPr>
        <w:ind w:left="1353" w:hanging="360"/>
      </w:pPr>
      <w:r w:rsidRPr="00E07C9A">
        <w:t>d)</w:t>
      </w:r>
      <w:r w:rsidRPr="00E07C9A">
        <w:tab/>
        <w:t xml:space="preserve">expozície voči inštitúciám [článok 112 písm. f) nariadenia (EÚ) </w:t>
      </w:r>
      <w:r w:rsidR="009912F8" w:rsidRPr="00E07C9A">
        <w:t>č. 575/2013</w:t>
      </w:r>
      <w:r w:rsidRPr="00E07C9A">
        <w:t>];</w:t>
      </w:r>
    </w:p>
    <w:p w14:paraId="4D66EE55" w14:textId="36C0E617" w:rsidR="00464F34" w:rsidRPr="00E07C9A" w:rsidRDefault="00125707" w:rsidP="00487A02">
      <w:pPr>
        <w:pStyle w:val="InstructionsText2"/>
        <w:numPr>
          <w:ilvl w:val="0"/>
          <w:numId w:val="0"/>
        </w:numPr>
        <w:ind w:left="1353" w:hanging="360"/>
      </w:pPr>
      <w:r w:rsidRPr="00E07C9A">
        <w:t>e)</w:t>
      </w:r>
      <w:r w:rsidRPr="00E07C9A">
        <w:tab/>
        <w:t xml:space="preserve">expozície voči podnikateľským subjektom [článok 112 písm. g) nariadenia (EÚ) </w:t>
      </w:r>
      <w:r w:rsidR="009912F8" w:rsidRPr="00E07C9A">
        <w:t>č. 575/2013</w:t>
      </w:r>
      <w:r w:rsidRPr="00E07C9A">
        <w:t>];</w:t>
      </w:r>
    </w:p>
    <w:p w14:paraId="00D22081" w14:textId="59ECBFF8" w:rsidR="00464F34" w:rsidRPr="00E07C9A" w:rsidRDefault="00125707" w:rsidP="00487A02">
      <w:pPr>
        <w:pStyle w:val="InstructionsText2"/>
        <w:numPr>
          <w:ilvl w:val="0"/>
          <w:numId w:val="0"/>
        </w:numPr>
        <w:ind w:left="1353" w:hanging="360"/>
      </w:pPr>
      <w:r w:rsidRPr="00E07C9A">
        <w:t>f)</w:t>
      </w:r>
      <w:r w:rsidRPr="00E07C9A">
        <w:tab/>
        <w:t xml:space="preserve">retailové expozície [článok 112 písm. h) nariadenia (EÚ) </w:t>
      </w:r>
      <w:r w:rsidR="009912F8" w:rsidRPr="00E07C9A">
        <w:t>č. 575/2013</w:t>
      </w:r>
      <w:r w:rsidRPr="00E07C9A">
        <w:t>].</w:t>
      </w:r>
    </w:p>
    <w:p w14:paraId="7A62E7B5" w14:textId="760367E6" w:rsidR="009912F8" w:rsidRPr="00E07C9A" w:rsidRDefault="002A18DE" w:rsidP="00487A02">
      <w:pPr>
        <w:pStyle w:val="InstructionsText2"/>
        <w:numPr>
          <w:ilvl w:val="0"/>
          <w:numId w:val="0"/>
        </w:numPr>
        <w:ind w:left="1353" w:hanging="360"/>
      </w:pPr>
      <w:fldSimple w:instr=" seq paragraphs ">
        <w:r w:rsidR="00132AEE">
          <w:rPr>
            <w:noProof/>
          </w:rPr>
          <w:t>53</w:t>
        </w:r>
      </w:fldSimple>
      <w:r w:rsidR="00C3070C" w:rsidRPr="00E07C9A">
        <w:t>.</w:t>
      </w:r>
      <w:r w:rsidR="00C3070C" w:rsidRPr="00E07C9A">
        <w:tab/>
        <w:t>Vykazovanie doplňujúcich položiek neovplyvňuje ani výpočet hodnôt rizikovo vážených expozícií tried expozícií uvedených</w:t>
      </w:r>
      <w:r w:rsidR="009912F8" w:rsidRPr="00E07C9A">
        <w:t xml:space="preserve"> v </w:t>
      </w:r>
      <w:r w:rsidR="00C3070C" w:rsidRPr="00E07C9A">
        <w:t>článku 112 písm. a) až c)</w:t>
      </w:r>
      <w:r w:rsidR="009912F8" w:rsidRPr="00E07C9A">
        <w:t xml:space="preserve"> a </w:t>
      </w:r>
      <w:r w:rsidR="00C3070C" w:rsidRPr="00E07C9A">
        <w:t xml:space="preserve">písm. f) až h) nariadenia (EÚ) </w:t>
      </w:r>
      <w:r w:rsidR="009912F8" w:rsidRPr="00E07C9A">
        <w:t>č. 575/2013</w:t>
      </w:r>
      <w:r w:rsidR="00C3070C" w:rsidRPr="00E07C9A">
        <w:t>, ani tried expozícií uvedených</w:t>
      </w:r>
      <w:r w:rsidR="009912F8" w:rsidRPr="00E07C9A">
        <w:t xml:space="preserve"> v </w:t>
      </w:r>
      <w:r w:rsidR="00C3070C" w:rsidRPr="00E07C9A">
        <w:t>článku 112 písm. i)</w:t>
      </w:r>
      <w:r w:rsidR="009912F8" w:rsidRPr="00E07C9A">
        <w:t xml:space="preserve"> a </w:t>
      </w:r>
      <w:r w:rsidR="00C3070C" w:rsidRPr="00E07C9A">
        <w:t>j) uvedeného nariadenia vykazovaných vo vzore CR SA</w:t>
      </w:r>
      <w:r w:rsidR="009912F8" w:rsidRPr="00E07C9A">
        <w:t>.</w:t>
      </w:r>
    </w:p>
    <w:p w14:paraId="5C09947A" w14:textId="0C9DB4A8" w:rsidR="00464F34" w:rsidRPr="00E07C9A" w:rsidRDefault="002A18DE" w:rsidP="00487A02">
      <w:pPr>
        <w:pStyle w:val="InstructionsText2"/>
        <w:numPr>
          <w:ilvl w:val="0"/>
          <w:numId w:val="0"/>
        </w:numPr>
        <w:ind w:left="1353" w:hanging="360"/>
      </w:pPr>
      <w:fldSimple w:instr=" seq paragraphs ">
        <w:r w:rsidR="00132AEE">
          <w:rPr>
            <w:noProof/>
          </w:rPr>
          <w:t>54</w:t>
        </w:r>
      </w:fldSimple>
      <w:r w:rsidR="00C3070C" w:rsidRPr="00E07C9A">
        <w:t>.</w:t>
      </w:r>
      <w:r w:rsidR="00C3070C" w:rsidRPr="00E07C9A">
        <w:tab/>
        <w:t>Doplňujúce riadky poskytujú ďalšie informácie</w:t>
      </w:r>
      <w:r w:rsidR="009912F8" w:rsidRPr="00E07C9A">
        <w:t xml:space="preserve"> o </w:t>
      </w:r>
      <w:r w:rsidR="00C3070C" w:rsidRPr="00E07C9A">
        <w:t>štruktúre dlžníkov tried expozícií „v stave zlyhania“ alebo „zabezpečené nehnuteľným majetkom“.</w:t>
      </w:r>
      <w:r w:rsidR="009912F8" w:rsidRPr="00E07C9A">
        <w:t xml:space="preserve"> V </w:t>
      </w:r>
      <w:r w:rsidR="00C3070C" w:rsidRPr="00E07C9A">
        <w:t>týchto riadkoch sa vykazujú expozície, ak by sa dlžníci vykázali</w:t>
      </w:r>
      <w:r w:rsidR="009912F8" w:rsidRPr="00E07C9A">
        <w:t xml:space="preserve"> v </w:t>
      </w:r>
      <w:r w:rsidR="00C3070C" w:rsidRPr="00E07C9A">
        <w:t>triedach expozícií „ústredné vlády alebo centrálne banky“, „regionálne vlády alebo miestne orgány“, „subjekty verejného sektora“, „inštitúcie“, „podnikateľské subjekty“</w:t>
      </w:r>
      <w:r w:rsidR="009912F8" w:rsidRPr="00E07C9A">
        <w:t xml:space="preserve"> a </w:t>
      </w:r>
      <w:r w:rsidR="00C3070C" w:rsidRPr="00E07C9A">
        <w:t>„retail“ vzoru CR SA, ak by sa tieto expozície nepridelili do tried expozícií „v stave zlyhania“ alebo „zabezpečené nehnuteľným majetkom“. Vykázané čísla sú však rovnaké ako tie, ktoré sa použili na výpočet hodnôt rizikovo vážených expozícií</w:t>
      </w:r>
      <w:r w:rsidR="009912F8" w:rsidRPr="00E07C9A">
        <w:t xml:space="preserve"> v </w:t>
      </w:r>
      <w:r w:rsidR="00C3070C" w:rsidRPr="00E07C9A">
        <w:t>triedach expozícií „v stave zlyhania“ alebo „zabezpečené nehnuteľným majetkom“.</w:t>
      </w:r>
    </w:p>
    <w:p w14:paraId="7691FC39" w14:textId="3A20B228" w:rsidR="00464F34" w:rsidRPr="00E07C9A" w:rsidRDefault="002A18DE" w:rsidP="00487A02">
      <w:pPr>
        <w:pStyle w:val="InstructionsText2"/>
        <w:numPr>
          <w:ilvl w:val="0"/>
          <w:numId w:val="0"/>
        </w:numPr>
        <w:ind w:left="1353" w:hanging="360"/>
      </w:pPr>
      <w:fldSimple w:instr=" seq paragraphs ">
        <w:r w:rsidR="00132AEE">
          <w:rPr>
            <w:noProof/>
          </w:rPr>
          <w:t>55</w:t>
        </w:r>
      </w:fldSimple>
      <w:r w:rsidR="00C3070C" w:rsidRPr="00E07C9A">
        <w:t>.</w:t>
      </w:r>
      <w:r w:rsidR="00C3070C" w:rsidRPr="00E07C9A">
        <w:tab/>
        <w:t>Napríklad</w:t>
      </w:r>
      <w:r w:rsidR="009912F8" w:rsidRPr="00E07C9A">
        <w:t xml:space="preserve"> v </w:t>
      </w:r>
      <w:r w:rsidR="00C3070C" w:rsidRPr="00E07C9A">
        <w:t xml:space="preserve">prípade expozície, ktorej hodnoty rizikovej expozície sa vypočítavajú podľa článku 127 nariadenia (EÚ) </w:t>
      </w:r>
      <w:r w:rsidR="009912F8" w:rsidRPr="00E07C9A">
        <w:t>č. 575/2013 a </w:t>
      </w:r>
      <w:r w:rsidR="00C3070C" w:rsidRPr="00E07C9A">
        <w:t>úpravy ocenenia sú menej než 20</w:t>
      </w:r>
      <w:r w:rsidR="009912F8" w:rsidRPr="00E07C9A">
        <w:t> %</w:t>
      </w:r>
      <w:r w:rsidR="00C3070C" w:rsidRPr="00E07C9A">
        <w:t>, sa tieto informácie vykazujú vo vzore CR SA,</w:t>
      </w:r>
      <w:r w:rsidR="009912F8" w:rsidRPr="00E07C9A">
        <w:t xml:space="preserve"> v </w:t>
      </w:r>
      <w:r w:rsidR="00C3070C" w:rsidRPr="00E07C9A">
        <w:t>riadku 0320 celkovo</w:t>
      </w:r>
      <w:r w:rsidR="009912F8" w:rsidRPr="00E07C9A">
        <w:t xml:space="preserve"> a v </w:t>
      </w:r>
      <w:r w:rsidR="00C3070C" w:rsidRPr="00E07C9A">
        <w:t>triede expozícií „v stave zlyhania“. Ak bola táto expozícia pred tým, ako sa dostala do stavu zlyhania, expozíciou voči inštitúcii, tieto informácie sa vykazujú aj</w:t>
      </w:r>
      <w:r w:rsidR="009912F8" w:rsidRPr="00E07C9A">
        <w:t xml:space="preserve"> v </w:t>
      </w:r>
      <w:r w:rsidR="00C3070C" w:rsidRPr="00E07C9A">
        <w:t>riadku 0320 triedy expozícií „inštitúcie“.</w:t>
      </w:r>
    </w:p>
    <w:p w14:paraId="59860E71" w14:textId="51E8B6F5" w:rsidR="00464F34" w:rsidRPr="00E07C9A" w:rsidRDefault="00125707" w:rsidP="0023700C">
      <w:pPr>
        <w:pStyle w:val="Instructionsberschrift2"/>
        <w:numPr>
          <w:ilvl w:val="0"/>
          <w:numId w:val="0"/>
        </w:numPr>
        <w:ind w:left="357" w:hanging="357"/>
        <w:rPr>
          <w:rFonts w:ascii="Times New Roman" w:hAnsi="Times New Roman" w:cs="Times New Roman"/>
          <w:sz w:val="24"/>
        </w:rPr>
      </w:pPr>
      <w:bookmarkStart w:id="183" w:name="_Toc262568030"/>
      <w:bookmarkStart w:id="184" w:name="_Toc264038428"/>
      <w:bookmarkStart w:id="185" w:name="_Toc292456207"/>
      <w:bookmarkStart w:id="186" w:name="_Toc295829858"/>
      <w:bookmarkStart w:id="187" w:name="_Toc115857780"/>
      <w:r w:rsidRPr="00E07C9A">
        <w:rPr>
          <w:rFonts w:ascii="Times New Roman" w:hAnsi="Times New Roman" w:cs="Times New Roman"/>
          <w:sz w:val="24"/>
          <w:u w:val="none"/>
        </w:rPr>
        <w:t>3.2.3.</w:t>
      </w:r>
      <w:r w:rsidRPr="00E07C9A">
        <w:rPr>
          <w:rFonts w:ascii="Times New Roman" w:hAnsi="Times New Roman" w:cs="Times New Roman"/>
          <w:u w:val="none"/>
        </w:rPr>
        <w:tab/>
      </w:r>
      <w:r w:rsidRPr="00E07C9A">
        <w:rPr>
          <w:rFonts w:ascii="Times New Roman" w:hAnsi="Times New Roman" w:cs="Times New Roman"/>
          <w:sz w:val="24"/>
        </w:rPr>
        <w:t xml:space="preserve"> </w:t>
      </w:r>
      <w:bookmarkStart w:id="188" w:name="_Toc310415022"/>
      <w:bookmarkStart w:id="189" w:name="_Toc360188351"/>
      <w:bookmarkStart w:id="190" w:name="_Toc473560900"/>
      <w:r w:rsidRPr="00E07C9A">
        <w:rPr>
          <w:rFonts w:ascii="Times New Roman" w:hAnsi="Times New Roman" w:cs="Times New Roman"/>
          <w:sz w:val="24"/>
        </w:rPr>
        <w:t>Zaradenie expozícií do tried expozícií</w:t>
      </w:r>
      <w:r w:rsidR="009912F8" w:rsidRPr="00E07C9A">
        <w:rPr>
          <w:rFonts w:ascii="Times New Roman" w:hAnsi="Times New Roman" w:cs="Times New Roman"/>
          <w:sz w:val="24"/>
        </w:rPr>
        <w:t xml:space="preserve"> v </w:t>
      </w:r>
      <w:r w:rsidRPr="00E07C9A">
        <w:rPr>
          <w:rFonts w:ascii="Times New Roman" w:hAnsi="Times New Roman" w:cs="Times New Roman"/>
          <w:sz w:val="24"/>
        </w:rPr>
        <w:t>rámci štandardizovaného prístupu</w:t>
      </w:r>
      <w:bookmarkEnd w:id="183"/>
      <w:bookmarkEnd w:id="184"/>
      <w:bookmarkEnd w:id="185"/>
      <w:bookmarkEnd w:id="186"/>
      <w:bookmarkEnd w:id="187"/>
      <w:bookmarkEnd w:id="188"/>
      <w:bookmarkEnd w:id="189"/>
      <w:bookmarkEnd w:id="190"/>
    </w:p>
    <w:p w14:paraId="5B911464" w14:textId="509DD941" w:rsidR="009912F8" w:rsidRPr="00E07C9A" w:rsidRDefault="002A18DE" w:rsidP="00487A02">
      <w:pPr>
        <w:pStyle w:val="InstructionsText2"/>
        <w:numPr>
          <w:ilvl w:val="0"/>
          <w:numId w:val="0"/>
        </w:numPr>
        <w:ind w:left="1353" w:hanging="360"/>
      </w:pPr>
      <w:fldSimple w:instr=" seq paragraphs ">
        <w:r w:rsidR="00132AEE">
          <w:rPr>
            <w:noProof/>
          </w:rPr>
          <w:t>56</w:t>
        </w:r>
      </w:fldSimple>
      <w:r w:rsidR="00C3070C" w:rsidRPr="00E07C9A">
        <w:t>.</w:t>
      </w:r>
      <w:r w:rsidR="00C3070C" w:rsidRPr="00E07C9A">
        <w:tab/>
        <w:t>S cieľom zabezpečiť konzistentnú kategorizáciu expozícií do jednotlivých tried expozícií uvedených</w:t>
      </w:r>
      <w:r w:rsidR="009912F8" w:rsidRPr="00E07C9A">
        <w:t xml:space="preserve"> v </w:t>
      </w:r>
      <w:r w:rsidR="00C3070C" w:rsidRPr="00E07C9A">
        <w:t xml:space="preserve">článku 112 nariadenia (EÚ) </w:t>
      </w:r>
      <w:r w:rsidR="009912F8" w:rsidRPr="00E07C9A">
        <w:t>č. 575/2013</w:t>
      </w:r>
      <w:r w:rsidR="00C3070C" w:rsidRPr="00E07C9A">
        <w:t xml:space="preserve"> sa uplatňuje tento postupný prístup</w:t>
      </w:r>
      <w:r w:rsidR="009912F8" w:rsidRPr="00E07C9A">
        <w:t>:</w:t>
      </w:r>
    </w:p>
    <w:p w14:paraId="16CE90EA" w14:textId="1C5D5431" w:rsidR="00464F34" w:rsidRPr="00E07C9A" w:rsidRDefault="00125707" w:rsidP="00487A02">
      <w:pPr>
        <w:pStyle w:val="InstructionsText2"/>
        <w:numPr>
          <w:ilvl w:val="0"/>
          <w:numId w:val="0"/>
        </w:numPr>
        <w:ind w:left="1353" w:hanging="360"/>
      </w:pPr>
      <w:r w:rsidRPr="00E07C9A">
        <w:t>a)</w:t>
      </w:r>
      <w:r w:rsidRPr="00E07C9A">
        <w:tab/>
        <w:t xml:space="preserve">v prvom kroku sa pôvodná expozícia pred uplatnením konverzných faktorov zaradí do príslušnej (pôvodnej) triedy expozícií podľa ustanovení článku 112 nariadenia (EÚ) </w:t>
      </w:r>
      <w:r w:rsidR="009912F8" w:rsidRPr="00E07C9A">
        <w:t>č. 575/2013</w:t>
      </w:r>
      <w:r w:rsidRPr="00E07C9A">
        <w:t xml:space="preserve"> bez toho, aby bolo dotknuté osobitné zaobchádzanie (riziková váha), ktorému podlieha každá osobitná expozícia</w:t>
      </w:r>
      <w:r w:rsidR="009912F8" w:rsidRPr="00E07C9A">
        <w:t xml:space="preserve"> v </w:t>
      </w:r>
      <w:r w:rsidRPr="00E07C9A">
        <w:t>rámci svojej triedy expozícií;</w:t>
      </w:r>
    </w:p>
    <w:p w14:paraId="0D9A2306" w14:textId="1CFBDB80" w:rsidR="00464F34" w:rsidRPr="00E07C9A" w:rsidRDefault="00125707" w:rsidP="00487A02">
      <w:pPr>
        <w:pStyle w:val="InstructionsText2"/>
        <w:numPr>
          <w:ilvl w:val="0"/>
          <w:numId w:val="0"/>
        </w:numPr>
        <w:ind w:left="1353" w:hanging="360"/>
      </w:pPr>
      <w:r w:rsidRPr="00E07C9A">
        <w:t>b)</w:t>
      </w:r>
      <w:r w:rsidRPr="00E07C9A">
        <w:tab/>
        <w:t>v druhom kroku sa expozície môžu preradiť do iných tried expozícií na základe uplatnenia postupov zmierňovania kreditného rizika (CRM) so substitučnými účinkami na expozíciu (napr. záruky, kreditné deriváty, jednoduchá metóda nakladania</w:t>
      </w:r>
      <w:r w:rsidR="009912F8" w:rsidRPr="00E07C9A">
        <w:t xml:space="preserve"> s </w:t>
      </w:r>
      <w:r w:rsidRPr="00E07C9A">
        <w:t>finančným kolaterálom) prostredníctvom kladných</w:t>
      </w:r>
      <w:r w:rsidR="009912F8" w:rsidRPr="00E07C9A">
        <w:t xml:space="preserve"> a </w:t>
      </w:r>
      <w:r w:rsidRPr="00E07C9A">
        <w:t>záporných peňažných tokov.</w:t>
      </w:r>
    </w:p>
    <w:p w14:paraId="6D3E51A1" w14:textId="09D8A4B2" w:rsidR="00464F34" w:rsidRPr="00E07C9A" w:rsidRDefault="002A18DE" w:rsidP="00487A02">
      <w:pPr>
        <w:pStyle w:val="InstructionsText2"/>
        <w:numPr>
          <w:ilvl w:val="0"/>
          <w:numId w:val="0"/>
        </w:numPr>
        <w:ind w:left="1353" w:hanging="360"/>
      </w:pPr>
      <w:fldSimple w:instr=" seq paragraphs ">
        <w:r w:rsidR="00132AEE">
          <w:rPr>
            <w:noProof/>
          </w:rPr>
          <w:t>57</w:t>
        </w:r>
      </w:fldSimple>
      <w:r w:rsidR="00C3070C" w:rsidRPr="00E07C9A">
        <w:t>.</w:t>
      </w:r>
      <w:r w:rsidR="00C3070C" w:rsidRPr="00E07C9A">
        <w:tab/>
        <w:t>Na zaradenie pôvodnej expozície pred uplatnením konverzných faktorov do jednotlivých tried expozícií (prvý krok) sa uplatňujú nasledujúce kritériá bez toho, aby bolo dotknuté následné preradenie zapríčinené použitím postupov zmierňovania kreditného rizika so substitučnými účinkami na expozíciu alebo zaobchádzanie (riziková váha), ktorému podlieha každá osobitná expozícia</w:t>
      </w:r>
      <w:r w:rsidR="009912F8" w:rsidRPr="00E07C9A">
        <w:t xml:space="preserve"> v </w:t>
      </w:r>
      <w:r w:rsidR="00C3070C" w:rsidRPr="00E07C9A">
        <w:t>rámci svojej triedy expozície.</w:t>
      </w:r>
    </w:p>
    <w:p w14:paraId="0ACE6D07" w14:textId="575CEB4D" w:rsidR="00464F34" w:rsidRPr="00E07C9A" w:rsidRDefault="002A18DE" w:rsidP="00487A02">
      <w:pPr>
        <w:pStyle w:val="InstructionsText2"/>
        <w:numPr>
          <w:ilvl w:val="0"/>
          <w:numId w:val="0"/>
        </w:numPr>
        <w:ind w:left="1353" w:hanging="360"/>
      </w:pPr>
      <w:fldSimple w:instr=" seq paragraphs ">
        <w:r w:rsidR="00132AEE">
          <w:rPr>
            <w:noProof/>
          </w:rPr>
          <w:t>58</w:t>
        </w:r>
      </w:fldSimple>
      <w:r w:rsidR="00C3070C" w:rsidRPr="00E07C9A">
        <w:t>.</w:t>
      </w:r>
      <w:r w:rsidR="00C3070C" w:rsidRPr="00E07C9A">
        <w:tab/>
        <w:t>Na účely klasifikácie pôvodnej expozície pred uplatnením konverzných faktorov</w:t>
      </w:r>
      <w:r w:rsidR="009912F8" w:rsidRPr="00E07C9A">
        <w:t xml:space="preserve"> v </w:t>
      </w:r>
      <w:r w:rsidR="00C3070C" w:rsidRPr="00E07C9A">
        <w:t>prvom kroku sa nezohľadňujú postupy zmierňovania kreditného rizika súvisiace</w:t>
      </w:r>
      <w:r w:rsidR="009912F8" w:rsidRPr="00E07C9A">
        <w:t xml:space="preserve"> s </w:t>
      </w:r>
      <w:r w:rsidR="00C3070C" w:rsidRPr="00E07C9A">
        <w:t>expozíciou (v druhej fáze sa explicitne zohľadnia), pokiaľ nie je účinok zabezpečenia prirodzenou súčasťou vymedzenia triedy expozície, ako to je</w:t>
      </w:r>
      <w:r w:rsidR="009912F8" w:rsidRPr="00E07C9A">
        <w:t xml:space="preserve"> v </w:t>
      </w:r>
      <w:r w:rsidR="00C3070C" w:rsidRPr="00E07C9A">
        <w:t>prípade triedy expozícií uvedenej</w:t>
      </w:r>
      <w:r w:rsidR="009912F8" w:rsidRPr="00E07C9A">
        <w:t xml:space="preserve"> v </w:t>
      </w:r>
      <w:r w:rsidR="00C3070C" w:rsidRPr="00E07C9A">
        <w:t xml:space="preserve">článku 112 písm. i) nariadenia (EÚ) </w:t>
      </w:r>
      <w:r w:rsidR="009912F8" w:rsidRPr="00E07C9A">
        <w:t>č. 575/2013</w:t>
      </w:r>
      <w:r w:rsidR="00C3070C" w:rsidRPr="00E07C9A">
        <w:t xml:space="preserve"> (expozície zabezpečené hypotékami na nehnuteľný majetok).</w:t>
      </w:r>
    </w:p>
    <w:p w14:paraId="2C39496F" w14:textId="1C6C065A" w:rsidR="00464F34" w:rsidRPr="00E07C9A" w:rsidRDefault="002A18DE" w:rsidP="00487A02">
      <w:pPr>
        <w:pStyle w:val="InstructionsText2"/>
        <w:numPr>
          <w:ilvl w:val="0"/>
          <w:numId w:val="0"/>
        </w:numPr>
        <w:ind w:left="1353" w:hanging="360"/>
      </w:pPr>
      <w:fldSimple w:instr=" seq paragraphs ">
        <w:r w:rsidR="00132AEE">
          <w:rPr>
            <w:noProof/>
          </w:rPr>
          <w:t>59</w:t>
        </w:r>
      </w:fldSimple>
      <w:r w:rsidR="00C3070C" w:rsidRPr="00E07C9A">
        <w:t>.</w:t>
      </w:r>
      <w:r w:rsidR="00C3070C" w:rsidRPr="00E07C9A">
        <w:tab/>
        <w:t xml:space="preserve">V článku 112 nariadenia (EÚ) </w:t>
      </w:r>
      <w:r w:rsidR="009912F8" w:rsidRPr="00E07C9A">
        <w:t>č. 575/2013</w:t>
      </w:r>
      <w:r w:rsidR="00C3070C" w:rsidRPr="00E07C9A">
        <w:t xml:space="preserve"> sa nestanovujú kritériá na vylúčenie</w:t>
      </w:r>
      <w:r w:rsidR="009912F8" w:rsidRPr="00E07C9A">
        <w:t xml:space="preserve"> z </w:t>
      </w:r>
      <w:r w:rsidR="00C3070C" w:rsidRPr="00E07C9A">
        <w:t>expozičných tried.</w:t>
      </w:r>
      <w:r w:rsidR="009912F8" w:rsidRPr="00E07C9A">
        <w:t xml:space="preserve"> V </w:t>
      </w:r>
      <w:r w:rsidR="00C3070C" w:rsidRPr="00E07C9A">
        <w:t>dôsledku toho môže byť jedna expozícia potenciálne zaradená do rôznych tried expozícií, keď nie je stanovená prioritizácia hodnotiacich kritérií na zaraďovanie. Najzjavnejší je prípad expozícií voči inštitúciám</w:t>
      </w:r>
      <w:r w:rsidR="009912F8" w:rsidRPr="00E07C9A">
        <w:t xml:space="preserve"> a </w:t>
      </w:r>
      <w:r w:rsidR="00C3070C" w:rsidRPr="00E07C9A">
        <w:t>podnikateľským subjektom</w:t>
      </w:r>
      <w:r w:rsidR="009912F8" w:rsidRPr="00E07C9A">
        <w:t xml:space="preserve"> s </w:t>
      </w:r>
      <w:r w:rsidR="00C3070C" w:rsidRPr="00E07C9A">
        <w:t xml:space="preserve">krátkodobým ratingovým hodnotením [článok 112 písm. n) nariadenia (EÚ) </w:t>
      </w:r>
      <w:r w:rsidR="009912F8" w:rsidRPr="00E07C9A">
        <w:t>č. 575/2013</w:t>
      </w:r>
      <w:r w:rsidR="00C3070C" w:rsidRPr="00E07C9A">
        <w:t>]</w:t>
      </w:r>
      <w:r w:rsidR="009912F8" w:rsidRPr="00E07C9A">
        <w:t xml:space="preserve"> a </w:t>
      </w:r>
      <w:r w:rsidR="00C3070C" w:rsidRPr="00E07C9A">
        <w:t xml:space="preserve">expozícií voči inštitúciám [článok 112 písm. f) nariadenia (EÚ) </w:t>
      </w:r>
      <w:r w:rsidR="009912F8" w:rsidRPr="00E07C9A">
        <w:t>č. 575/2013</w:t>
      </w:r>
      <w:r w:rsidR="00C3070C" w:rsidRPr="00E07C9A">
        <w:t xml:space="preserve">]/expozícií voči podnikateľským subjektom [článok 112 písm. g) nariadenia (EÚ) </w:t>
      </w:r>
      <w:r w:rsidR="009912F8" w:rsidRPr="00E07C9A">
        <w:t>č. 575/2013</w:t>
      </w:r>
      <w:r w:rsidR="00C3070C" w:rsidRPr="00E07C9A">
        <w:t>].</w:t>
      </w:r>
      <w:r w:rsidR="009912F8" w:rsidRPr="00E07C9A">
        <w:t xml:space="preserve"> V </w:t>
      </w:r>
      <w:r w:rsidR="00C3070C" w:rsidRPr="00E07C9A">
        <w:t>takom prípade je jasné, že</w:t>
      </w:r>
      <w:r w:rsidR="009912F8" w:rsidRPr="00E07C9A">
        <w:t xml:space="preserve"> v </w:t>
      </w:r>
      <w:r w:rsidR="00C3070C" w:rsidRPr="00E07C9A">
        <w:t>uvedenom nariadení je implicitná prioritizácia, keďže sa hodnotí najprv to, či sa určitá expozícia môže zaradiť do krátkodobých expozícií voči inštitúciám</w:t>
      </w:r>
      <w:r w:rsidR="009912F8" w:rsidRPr="00E07C9A">
        <w:t xml:space="preserve"> a </w:t>
      </w:r>
      <w:r w:rsidR="00C3070C" w:rsidRPr="00E07C9A">
        <w:t>podnikateľským subjektom,</w:t>
      </w:r>
      <w:r w:rsidR="009912F8" w:rsidRPr="00E07C9A">
        <w:t xml:space="preserve"> a </w:t>
      </w:r>
      <w:r w:rsidR="00C3070C" w:rsidRPr="00E07C9A">
        <w:t>až potom sa hodnotí to, či sa môže zaradiť medzi expozície voči inštitúciám alebo expozície voči podnikateľským subjektom. Inak je zrejmé, že do triedy expozícií uvedenej</w:t>
      </w:r>
      <w:r w:rsidR="009912F8" w:rsidRPr="00E07C9A">
        <w:t xml:space="preserve"> v </w:t>
      </w:r>
      <w:r w:rsidR="00C3070C" w:rsidRPr="00E07C9A">
        <w:t xml:space="preserve">článku 112 písm. n) nariadenia (EÚ) </w:t>
      </w:r>
      <w:r w:rsidR="009912F8" w:rsidRPr="00E07C9A">
        <w:t>č. 575/2013</w:t>
      </w:r>
      <w:r w:rsidR="00C3070C" w:rsidRPr="00E07C9A">
        <w:t xml:space="preserve"> nebude nikdy zaradená žiadna expozícia. Uvedený príklad je jedným</w:t>
      </w:r>
      <w:r w:rsidR="009912F8" w:rsidRPr="00E07C9A">
        <w:t xml:space="preserve"> z </w:t>
      </w:r>
      <w:r w:rsidR="00C3070C" w:rsidRPr="00E07C9A">
        <w:t>najzrejmejších príkladov, ale nie je jediný. Treba poznamenať, že kritériá používané na stanovenie tried expozícií</w:t>
      </w:r>
      <w:r w:rsidR="009912F8" w:rsidRPr="00E07C9A">
        <w:t xml:space="preserve"> v </w:t>
      </w:r>
      <w:r w:rsidR="00C3070C" w:rsidRPr="00E07C9A">
        <w:t>rámci štandardizovaného prístupu sú rôzne (inštitucionálna kategorizácia, trvanie expozície, stav po splatnosti atď.), čo je základným dôvodom nevylučujúcich sa zoskupení.</w:t>
      </w:r>
    </w:p>
    <w:p w14:paraId="2CC30164" w14:textId="6428F64E" w:rsidR="00464F34" w:rsidRPr="00E07C9A" w:rsidRDefault="002A18DE" w:rsidP="00487A02">
      <w:pPr>
        <w:pStyle w:val="InstructionsText2"/>
        <w:numPr>
          <w:ilvl w:val="0"/>
          <w:numId w:val="0"/>
        </w:numPr>
        <w:ind w:left="1353" w:hanging="360"/>
      </w:pPr>
      <w:fldSimple w:instr=" seq paragraphs ">
        <w:r w:rsidR="00132AEE">
          <w:rPr>
            <w:noProof/>
          </w:rPr>
          <w:t>60</w:t>
        </w:r>
      </w:fldSimple>
      <w:r w:rsidR="00C3070C" w:rsidRPr="00E07C9A">
        <w:t>.</w:t>
      </w:r>
      <w:r w:rsidR="00C3070C" w:rsidRPr="00E07C9A">
        <w:tab/>
        <w:t>V záujme homogénneho</w:t>
      </w:r>
      <w:r w:rsidR="009912F8" w:rsidRPr="00E07C9A">
        <w:t xml:space="preserve"> a </w:t>
      </w:r>
      <w:r w:rsidR="00C3070C" w:rsidRPr="00E07C9A">
        <w:t>porovnateľného vykazovania treba určiť prioritizačné hodnotiace kritériá na zaradenie pôvodnej expozície pred uplatnením konverzného faktora do tried expozícií bez toho, aby bolo dotknuté osobitné zaobchádzanie (riziková váha), ktorému podlieha každá osobitná expozícia</w:t>
      </w:r>
      <w:r w:rsidR="009912F8" w:rsidRPr="00E07C9A">
        <w:t xml:space="preserve"> v </w:t>
      </w:r>
      <w:r w:rsidR="00C3070C" w:rsidRPr="00E07C9A">
        <w:t>rámci svojej triedy expozícií. Prioritizačné kritériá prezentované nižšie prostredníctvom schémy rozhodovania sú založené na hodnotení podmienok, ktoré sa výslovne stanovujú</w:t>
      </w:r>
      <w:r w:rsidR="009912F8" w:rsidRPr="00E07C9A">
        <w:t xml:space="preserve"> v </w:t>
      </w:r>
      <w:r w:rsidR="00C3070C" w:rsidRPr="00E07C9A">
        <w:t xml:space="preserve">nariadení (EÚ) </w:t>
      </w:r>
      <w:r w:rsidR="009912F8" w:rsidRPr="00E07C9A">
        <w:t>č. 575/2013</w:t>
      </w:r>
      <w:r w:rsidR="00C3070C" w:rsidRPr="00E07C9A">
        <w:t xml:space="preserve"> na zaradenie expozície do určitej triedy expozícií,</w:t>
      </w:r>
      <w:r w:rsidR="009912F8" w:rsidRPr="00E07C9A">
        <w:t xml:space="preserve"> a </w:t>
      </w:r>
      <w:r w:rsidR="00C3070C" w:rsidRPr="00E07C9A">
        <w:t>keď sa expozícia môže zaradiť do určitej triedy expozícií, na rozhodnutí zo strany vykazujúcich inštitúcií alebo orgánu dohľadu</w:t>
      </w:r>
      <w:r w:rsidR="009912F8" w:rsidRPr="00E07C9A">
        <w:t xml:space="preserve"> o </w:t>
      </w:r>
      <w:r w:rsidR="00C3070C" w:rsidRPr="00E07C9A">
        <w:t>uplatňovaní určitých tried expozícií. Výsledok postupu zaradenia expozície na účely vykazovania preto musí byť</w:t>
      </w:r>
      <w:r w:rsidR="009912F8" w:rsidRPr="00E07C9A">
        <w:t xml:space="preserve"> v </w:t>
      </w:r>
      <w:r w:rsidR="00C3070C" w:rsidRPr="00E07C9A">
        <w:t>súlade</w:t>
      </w:r>
      <w:r w:rsidR="009912F8" w:rsidRPr="00E07C9A">
        <w:t xml:space="preserve"> s </w:t>
      </w:r>
      <w:r w:rsidR="00C3070C" w:rsidRPr="00E07C9A">
        <w:t xml:space="preserve">ustanoveniami nariadenia (EÚ) </w:t>
      </w:r>
      <w:r w:rsidR="009912F8" w:rsidRPr="00E07C9A">
        <w:t>č. 575/2013</w:t>
      </w:r>
      <w:r w:rsidR="00C3070C" w:rsidRPr="00E07C9A">
        <w:t>. To inštitúciám nebráni používať iné vnútorné klasifikačné postupy, ktoré môžu byť aj</w:t>
      </w:r>
      <w:r w:rsidR="009912F8" w:rsidRPr="00E07C9A">
        <w:t xml:space="preserve"> v </w:t>
      </w:r>
      <w:r w:rsidR="00C3070C" w:rsidRPr="00E07C9A">
        <w:t xml:space="preserve">súlade so všetkými príslušnými ustanoveniami nariadenia (EÚ) </w:t>
      </w:r>
      <w:r w:rsidR="009912F8" w:rsidRPr="00E07C9A">
        <w:t>č. 575/2013 a </w:t>
      </w:r>
      <w:r w:rsidR="00C3070C" w:rsidRPr="00E07C9A">
        <w:t>ich výkladmi vydanými príslušnými fórami.</w:t>
      </w:r>
    </w:p>
    <w:p w14:paraId="5019198B" w14:textId="08A499F2" w:rsidR="00464F34" w:rsidRPr="00E07C9A" w:rsidRDefault="002A18DE" w:rsidP="00487A02">
      <w:pPr>
        <w:pStyle w:val="InstructionsText2"/>
        <w:numPr>
          <w:ilvl w:val="0"/>
          <w:numId w:val="0"/>
        </w:numPr>
        <w:ind w:left="1353" w:hanging="360"/>
      </w:pPr>
      <w:fldSimple w:instr=" seq paragraphs ">
        <w:r w:rsidR="00132AEE">
          <w:rPr>
            <w:noProof/>
          </w:rPr>
          <w:t>61</w:t>
        </w:r>
      </w:fldSimple>
      <w:r w:rsidR="00C3070C" w:rsidRPr="00E07C9A">
        <w:t>.</w:t>
      </w:r>
      <w:r w:rsidR="00C3070C" w:rsidRPr="00E07C9A">
        <w:tab/>
        <w:t>Trieda expozícií sa pri hodnotení</w:t>
      </w:r>
      <w:r w:rsidR="009912F8" w:rsidRPr="00E07C9A">
        <w:t xml:space="preserve"> v </w:t>
      </w:r>
      <w:r w:rsidR="00C3070C" w:rsidRPr="00E07C9A">
        <w:t>schéme rozhodovania uprednostní pred ostatnými (t. j. najprv sa hodnotí, či sa do triedy expozícií môže expozícia zaradiť bez toho, aby bol dotknutý výsledok tohto hodnotenia), ak by sa do nej možno nezaradili žiadne expozície. Ide</w:t>
      </w:r>
      <w:r w:rsidR="009912F8" w:rsidRPr="00E07C9A">
        <w:t xml:space="preserve"> o </w:t>
      </w:r>
      <w:r w:rsidR="00C3070C" w:rsidRPr="00E07C9A">
        <w:t>prípad, keď je jedna trieda expozícií</w:t>
      </w:r>
      <w:r w:rsidR="009912F8" w:rsidRPr="00E07C9A">
        <w:t xml:space="preserve"> v </w:t>
      </w:r>
      <w:r w:rsidR="00C3070C" w:rsidRPr="00E07C9A">
        <w:t>prípade neexistencie prioritizačných kritérií podskupinou iných tried expozícií. Kritériá, ktoré sú graficky znázornené</w:t>
      </w:r>
      <w:r w:rsidR="009912F8" w:rsidRPr="00E07C9A">
        <w:t xml:space="preserve"> v </w:t>
      </w:r>
      <w:r w:rsidR="00C3070C" w:rsidRPr="00E07C9A">
        <w:t>nasledujúcej schéme rozhodovania, preto majú fungovať postupne.</w:t>
      </w:r>
    </w:p>
    <w:p w14:paraId="6DF5B685" w14:textId="38334DCF" w:rsidR="00464F34" w:rsidRPr="00E07C9A" w:rsidRDefault="002A18DE" w:rsidP="00487A02">
      <w:pPr>
        <w:pStyle w:val="InstructionsText2"/>
        <w:numPr>
          <w:ilvl w:val="0"/>
          <w:numId w:val="0"/>
        </w:numPr>
        <w:ind w:left="1353" w:hanging="360"/>
      </w:pPr>
      <w:fldSimple w:instr=" seq paragraphs ">
        <w:r w:rsidR="00132AEE">
          <w:rPr>
            <w:noProof/>
          </w:rPr>
          <w:t>62</w:t>
        </w:r>
      </w:fldSimple>
      <w:r w:rsidR="00C3070C" w:rsidRPr="00E07C9A">
        <w:t>.</w:t>
      </w:r>
      <w:r w:rsidR="00C3070C" w:rsidRPr="00E07C9A">
        <w:tab/>
        <w:t>Hodnotenie</w:t>
      </w:r>
      <w:r w:rsidR="009912F8" w:rsidRPr="00E07C9A">
        <w:t xml:space="preserve"> v </w:t>
      </w:r>
      <w:r w:rsidR="00C3070C" w:rsidRPr="00E07C9A">
        <w:t>schéme rozhodovania uvedenej nižšie sa</w:t>
      </w:r>
      <w:r w:rsidR="009912F8" w:rsidRPr="00E07C9A">
        <w:t xml:space="preserve"> v </w:t>
      </w:r>
      <w:r w:rsidR="00C3070C" w:rsidRPr="00E07C9A">
        <w:t>tomto kontexte riadi týmto poradím:</w:t>
      </w:r>
    </w:p>
    <w:p w14:paraId="06680208" w14:textId="77777777" w:rsidR="00464F34" w:rsidRPr="00E07C9A" w:rsidRDefault="00464F34" w:rsidP="00487A02">
      <w:pPr>
        <w:pStyle w:val="InstructionsText"/>
      </w:pPr>
      <w:r w:rsidRPr="00E07C9A">
        <w:t>1. sekuritizačné pozície;</w:t>
      </w:r>
    </w:p>
    <w:p w14:paraId="5F22AE2B" w14:textId="57826945" w:rsidR="00464F34" w:rsidRPr="00E07C9A" w:rsidRDefault="00464F34" w:rsidP="00487A02">
      <w:pPr>
        <w:pStyle w:val="InstructionsText"/>
      </w:pPr>
      <w:r w:rsidRPr="00E07C9A">
        <w:t>2. položky spojené</w:t>
      </w:r>
      <w:r w:rsidR="009912F8" w:rsidRPr="00E07C9A">
        <w:t xml:space="preserve"> s </w:t>
      </w:r>
      <w:r w:rsidRPr="00E07C9A">
        <w:t>mimoriadne vysokým stupňom rizika;</w:t>
      </w:r>
    </w:p>
    <w:p w14:paraId="5080897A" w14:textId="77777777" w:rsidR="00464F34" w:rsidRPr="00E07C9A" w:rsidRDefault="00464F34" w:rsidP="00487A02">
      <w:pPr>
        <w:pStyle w:val="InstructionsText"/>
      </w:pPr>
      <w:r w:rsidRPr="00E07C9A">
        <w:t>3. kapitálové expozície;</w:t>
      </w:r>
    </w:p>
    <w:p w14:paraId="6E26EFB3" w14:textId="2E4A1B73" w:rsidR="00464F34" w:rsidRPr="00E07C9A" w:rsidRDefault="00464F34" w:rsidP="00487A02">
      <w:pPr>
        <w:pStyle w:val="InstructionsText"/>
      </w:pPr>
      <w:r w:rsidRPr="00E07C9A">
        <w:t>4. expozície</w:t>
      </w:r>
      <w:r w:rsidR="009912F8" w:rsidRPr="00E07C9A">
        <w:t xml:space="preserve"> v </w:t>
      </w:r>
      <w:r w:rsidRPr="00E07C9A">
        <w:t>stave zlyhania;</w:t>
      </w:r>
    </w:p>
    <w:p w14:paraId="66C692D2" w14:textId="20036AED" w:rsidR="00464F34" w:rsidRPr="00E07C9A" w:rsidRDefault="00464F34" w:rsidP="00487A02">
      <w:pPr>
        <w:pStyle w:val="InstructionsText"/>
      </w:pPr>
      <w:r w:rsidRPr="00E07C9A">
        <w:t>5. expozície vo forme podielových listov alebo akcií</w:t>
      </w:r>
      <w:r w:rsidR="009912F8" w:rsidRPr="00E07C9A">
        <w:t xml:space="preserve"> v </w:t>
      </w:r>
      <w:r w:rsidRPr="00E07C9A">
        <w:t>podnikoch kolektívneho investovania (PKI)/expozície vo forme krytých dlhopisov (vylučujúce sa triedy expozícií);</w:t>
      </w:r>
    </w:p>
    <w:p w14:paraId="6AFB7899" w14:textId="77777777" w:rsidR="00464F34" w:rsidRPr="00E07C9A" w:rsidRDefault="00464F34" w:rsidP="00487A02">
      <w:pPr>
        <w:pStyle w:val="InstructionsText"/>
      </w:pPr>
      <w:r w:rsidRPr="00E07C9A">
        <w:t>6. expozície zabezpečené hypotékami na nehnuteľný majetok;</w:t>
      </w:r>
    </w:p>
    <w:p w14:paraId="4C4E7E84" w14:textId="77777777" w:rsidR="00464F34" w:rsidRPr="00E07C9A" w:rsidRDefault="00464F34" w:rsidP="00487A02">
      <w:pPr>
        <w:pStyle w:val="InstructionsText"/>
      </w:pPr>
      <w:r w:rsidRPr="00E07C9A">
        <w:t>7. ostatné položky;</w:t>
      </w:r>
    </w:p>
    <w:p w14:paraId="7A586E62" w14:textId="0E8D8AB8" w:rsidR="00464F34" w:rsidRPr="00E07C9A" w:rsidRDefault="00464F34" w:rsidP="00487A02">
      <w:pPr>
        <w:pStyle w:val="InstructionsText"/>
      </w:pPr>
      <w:r w:rsidRPr="00E07C9A">
        <w:t>8. expozície voči inštitúciám</w:t>
      </w:r>
      <w:r w:rsidR="009912F8" w:rsidRPr="00E07C9A">
        <w:t xml:space="preserve"> a </w:t>
      </w:r>
      <w:r w:rsidRPr="00E07C9A">
        <w:t>podnikateľským subjektom</w:t>
      </w:r>
      <w:r w:rsidR="009912F8" w:rsidRPr="00E07C9A">
        <w:t xml:space="preserve"> s </w:t>
      </w:r>
      <w:r w:rsidRPr="00E07C9A">
        <w:t>krátkodobým ratingovým hodnotením;</w:t>
      </w:r>
    </w:p>
    <w:p w14:paraId="2D8F9D0A" w14:textId="54642BFF" w:rsidR="00464F34" w:rsidRPr="00E07C9A" w:rsidRDefault="00464F34" w:rsidP="00487A02">
      <w:pPr>
        <w:pStyle w:val="InstructionsText"/>
      </w:pPr>
      <w:r w:rsidRPr="00E07C9A">
        <w:t>9. všetky ostatné triedy expozícií (vylučujúce sa triedy expozícií), ktoré zahŕňajú expozície voči ústredným vládam alebo centrálnym bankám; expozície voči regionálnym vládam alebo miestnym orgánom; expozície voči subjektom verejného sektora; expozície voči multilaterálnym rozvojovým bankám; expozície voči medzinárodným organizáciám; expozície voči inštitúciám; expozície voči podnikateľským subjektom</w:t>
      </w:r>
      <w:r w:rsidR="009912F8" w:rsidRPr="00E07C9A">
        <w:t xml:space="preserve"> a </w:t>
      </w:r>
      <w:r w:rsidRPr="00E07C9A">
        <w:t>retailové expozície.</w:t>
      </w:r>
    </w:p>
    <w:p w14:paraId="798850C9" w14:textId="6DC065C1" w:rsidR="00464F34" w:rsidRPr="00E07C9A" w:rsidRDefault="002A18DE" w:rsidP="00487A02">
      <w:pPr>
        <w:pStyle w:val="InstructionsText2"/>
        <w:numPr>
          <w:ilvl w:val="0"/>
          <w:numId w:val="0"/>
        </w:numPr>
        <w:ind w:left="1353" w:hanging="360"/>
      </w:pPr>
      <w:fldSimple w:instr=" seq paragraphs ">
        <w:r w:rsidR="00132AEE">
          <w:rPr>
            <w:noProof/>
          </w:rPr>
          <w:t>63</w:t>
        </w:r>
      </w:fldSimple>
      <w:r w:rsidR="00C3070C" w:rsidRPr="00E07C9A">
        <w:t>.</w:t>
      </w:r>
      <w:r w:rsidR="00C3070C" w:rsidRPr="00E07C9A">
        <w:tab/>
        <w:t>V prípade expozícií vo forme podielových listov alebo akcií</w:t>
      </w:r>
      <w:r w:rsidR="009912F8" w:rsidRPr="00E07C9A">
        <w:t xml:space="preserve"> v </w:t>
      </w:r>
      <w:r w:rsidR="00C3070C" w:rsidRPr="00E07C9A">
        <w:t>podnikoch kolektívneho investovania</w:t>
      </w:r>
      <w:r w:rsidR="009912F8" w:rsidRPr="00E07C9A">
        <w:t xml:space="preserve"> a </w:t>
      </w:r>
      <w:r w:rsidR="00C3070C" w:rsidRPr="00E07C9A">
        <w:t>keď sa používa prístup založený na prezretí podkladových expozícií alebo prístup založený na mandáte [článok 132a ods. 1</w:t>
      </w:r>
      <w:r w:rsidR="009912F8" w:rsidRPr="00E07C9A">
        <w:t xml:space="preserve"> a </w:t>
      </w:r>
      <w:r w:rsidR="00C3070C" w:rsidRPr="00E07C9A">
        <w:t xml:space="preserve">2 nariadenia (EÚ) </w:t>
      </w:r>
      <w:r w:rsidR="009912F8" w:rsidRPr="00E07C9A">
        <w:t>č. 575/2013</w:t>
      </w:r>
      <w:r w:rsidR="00C3070C" w:rsidRPr="00E07C9A">
        <w:t>], jednotlivé podkladové expozície (v prípade prístupu založeného na prezretí podkladových expozícií)</w:t>
      </w:r>
      <w:r w:rsidR="009912F8" w:rsidRPr="00E07C9A">
        <w:t xml:space="preserve"> a </w:t>
      </w:r>
      <w:r w:rsidR="00C3070C" w:rsidRPr="00E07C9A">
        <w:t>jednotlivé skupiny expozícií (v prípade prístupu založeného na mandáte) sa posúdia</w:t>
      </w:r>
      <w:r w:rsidR="009912F8" w:rsidRPr="00E07C9A">
        <w:t xml:space="preserve"> a </w:t>
      </w:r>
      <w:r w:rsidR="00C3070C" w:rsidRPr="00E07C9A">
        <w:t>klasifikujú do svojej príslušnej rizikovej váhy podľa svojho zaobchádzania. Všetky jednotlivé expozície sa však klasifikujú do triedy expozícií vo forme podielových listov alebo akcií</w:t>
      </w:r>
      <w:r w:rsidR="009912F8" w:rsidRPr="00E07C9A">
        <w:t xml:space="preserve"> v </w:t>
      </w:r>
      <w:r w:rsidR="00C3070C" w:rsidRPr="00E07C9A">
        <w:t>podnikoch kolektívneho investovania (PKI).</w:t>
      </w:r>
    </w:p>
    <w:p w14:paraId="64575651" w14:textId="41CE5743" w:rsidR="009912F8" w:rsidRPr="00E07C9A" w:rsidRDefault="002A18DE" w:rsidP="00487A02">
      <w:pPr>
        <w:pStyle w:val="InstructionsText2"/>
        <w:numPr>
          <w:ilvl w:val="0"/>
          <w:numId w:val="0"/>
        </w:numPr>
        <w:ind w:left="1353" w:hanging="360"/>
      </w:pPr>
      <w:fldSimple w:instr=" seq paragraphs ">
        <w:r w:rsidR="00132AEE">
          <w:rPr>
            <w:noProof/>
          </w:rPr>
          <w:t>64</w:t>
        </w:r>
      </w:fldSimple>
      <w:r w:rsidR="00C3070C" w:rsidRPr="00E07C9A">
        <w:t>.</w:t>
      </w:r>
      <w:r w:rsidR="00C3070C" w:rsidRPr="00E07C9A">
        <w:tab/>
        <w:t xml:space="preserve"> Kreditné deriváty pre n-té zlyhanie, ako je stanovené</w:t>
      </w:r>
      <w:r w:rsidR="009912F8" w:rsidRPr="00E07C9A">
        <w:t xml:space="preserve"> v </w:t>
      </w:r>
      <w:r w:rsidR="00C3070C" w:rsidRPr="00E07C9A">
        <w:t xml:space="preserve">článku 134 ods. 6 nariadenia (EÚ) </w:t>
      </w:r>
      <w:r w:rsidR="009912F8" w:rsidRPr="00E07C9A">
        <w:t>č. 575/2013</w:t>
      </w:r>
      <w:r w:rsidR="00C3070C" w:rsidRPr="00E07C9A">
        <w:t>, pre ktoré existuje ratingové hodnotenie, sa klasifikujú priamo ako sekuritizačné pozície. Ak nie je</w:t>
      </w:r>
      <w:r w:rsidR="009912F8" w:rsidRPr="00E07C9A">
        <w:t xml:space="preserve"> k </w:t>
      </w:r>
      <w:r w:rsidR="00C3070C" w:rsidRPr="00E07C9A">
        <w:t>dispozícii ich ratingové hodnotenie, zaradia sa do triedy expozícií „ostatné položky“.</w:t>
      </w:r>
      <w:r w:rsidR="009912F8" w:rsidRPr="00E07C9A">
        <w:t xml:space="preserve"> V </w:t>
      </w:r>
      <w:r w:rsidR="00C3070C" w:rsidRPr="00E07C9A">
        <w:t>druhom spomínanom prípade sa nominálna hodnota zmluvy vykáže ako pôvodná expozícia pred uplatnením konverzných faktorov</w:t>
      </w:r>
      <w:r w:rsidR="009912F8" w:rsidRPr="00E07C9A">
        <w:t xml:space="preserve"> v </w:t>
      </w:r>
      <w:r w:rsidR="00C3070C" w:rsidRPr="00E07C9A">
        <w:t>riadku pre „iné rizikové váhy“ [použitá riziková váha je váha určená súčtom uvedeným</w:t>
      </w:r>
      <w:r w:rsidR="009912F8" w:rsidRPr="00E07C9A">
        <w:t xml:space="preserve"> v </w:t>
      </w:r>
      <w:r w:rsidR="00C3070C" w:rsidRPr="00E07C9A">
        <w:t xml:space="preserve">článku 134 ods. 6 nariadenia (EÚ) </w:t>
      </w:r>
      <w:r w:rsidR="009912F8" w:rsidRPr="00E07C9A">
        <w:t>č. 575/2013</w:t>
      </w:r>
      <w:r w:rsidR="00C3070C" w:rsidRPr="00E07C9A">
        <w:t>]</w:t>
      </w:r>
      <w:r w:rsidR="009912F8" w:rsidRPr="00E07C9A">
        <w:t>.</w:t>
      </w:r>
    </w:p>
    <w:p w14:paraId="1EFA94D5" w14:textId="428838BC" w:rsidR="00464F34" w:rsidRPr="00E07C9A" w:rsidRDefault="002A18DE" w:rsidP="00487A02">
      <w:pPr>
        <w:pStyle w:val="InstructionsText2"/>
        <w:numPr>
          <w:ilvl w:val="0"/>
          <w:numId w:val="0"/>
        </w:numPr>
        <w:ind w:left="1353" w:hanging="360"/>
      </w:pPr>
      <w:fldSimple w:instr=" seq paragraphs ">
        <w:r w:rsidR="00132AEE">
          <w:rPr>
            <w:noProof/>
          </w:rPr>
          <w:t>65</w:t>
        </w:r>
      </w:fldSimple>
      <w:r w:rsidR="00C3070C" w:rsidRPr="00E07C9A">
        <w:t>.</w:t>
      </w:r>
      <w:r w:rsidR="00C3070C" w:rsidRPr="00E07C9A">
        <w:tab/>
        <w:t>V druhom kroku sa expozície</w:t>
      </w:r>
      <w:r w:rsidR="009912F8" w:rsidRPr="00E07C9A">
        <w:t xml:space="preserve"> v </w:t>
      </w:r>
      <w:r w:rsidR="00C3070C" w:rsidRPr="00E07C9A">
        <w:t>dôsledku postupov zmierňovania kreditného rizika so substitučnými účinkami preradia do triedy expozícií poskytovateľa zabezpečenia.</w:t>
      </w:r>
    </w:p>
    <w:p w14:paraId="20DF88F1" w14:textId="278A3515" w:rsidR="009912F8" w:rsidRPr="00E07C9A" w:rsidRDefault="00464F34" w:rsidP="00487A02">
      <w:pPr>
        <w:pStyle w:val="InstructionsText"/>
      </w:pPr>
      <w:r w:rsidRPr="00E07C9A">
        <w:br w:type="page"/>
        <w:t>SCHÉMA ROZHODOVANIA PRE PRIRADENIE PÔVODNEJ EXPOZÍCIE PRED UPLATNENÍM KONVERZNÝCH FAKTOROV DO TRIED EXPOZÍCIÍ</w:t>
      </w:r>
      <w:r w:rsidR="009912F8" w:rsidRPr="00E07C9A">
        <w:t xml:space="preserve"> V </w:t>
      </w:r>
      <w:r w:rsidRPr="00E07C9A">
        <w:t xml:space="preserve">RÁMCI ŠTANDARDIZOVANÉHO PRÍSTUPU PODĽA NARIADENIA (EÚ) </w:t>
      </w:r>
      <w:r w:rsidR="009912F8" w:rsidRPr="00E07C9A">
        <w:t>č. 575/2013</w:t>
      </w:r>
    </w:p>
    <w:p w14:paraId="5C348B0D" w14:textId="2052BB13" w:rsidR="00464F34" w:rsidRPr="00E07C9A" w:rsidRDefault="00464F34" w:rsidP="00487A02">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9"/>
        <w:gridCol w:w="1392"/>
        <w:gridCol w:w="3968"/>
      </w:tblGrid>
      <w:tr w:rsidR="003A1B96" w:rsidRPr="00E07C9A" w14:paraId="1BE3B574" w14:textId="77777777" w:rsidTr="00672D2A">
        <w:tc>
          <w:tcPr>
            <w:tcW w:w="3761" w:type="dxa"/>
            <w:shd w:val="clear" w:color="auto" w:fill="auto"/>
          </w:tcPr>
          <w:p w14:paraId="66C75766" w14:textId="77777777" w:rsidR="003A1B96" w:rsidRPr="00E07C9A" w:rsidRDefault="003A1B96" w:rsidP="007574C3">
            <w:pPr>
              <w:spacing w:before="0" w:after="0"/>
              <w:jc w:val="left"/>
              <w:rPr>
                <w:rFonts w:ascii="Times New Roman" w:hAnsi="Times New Roman"/>
                <w:sz w:val="24"/>
              </w:rPr>
            </w:pPr>
            <w:r w:rsidRPr="00E07C9A">
              <w:rPr>
                <w:rFonts w:ascii="Times New Roman" w:hAnsi="Times New Roman"/>
                <w:sz w:val="24"/>
              </w:rPr>
              <w:t>Pôvodná expozícia pred uplatnením konverzných faktorov</w:t>
            </w:r>
          </w:p>
        </w:tc>
        <w:tc>
          <w:tcPr>
            <w:tcW w:w="1417" w:type="dxa"/>
            <w:shd w:val="clear" w:color="auto" w:fill="auto"/>
          </w:tcPr>
          <w:p w14:paraId="0870D08E" w14:textId="77777777" w:rsidR="003A1B96" w:rsidRPr="00E07C9A" w:rsidRDefault="003A1B96" w:rsidP="00487A02">
            <w:pPr>
              <w:pStyle w:val="InstructionsText"/>
            </w:pPr>
          </w:p>
        </w:tc>
        <w:tc>
          <w:tcPr>
            <w:tcW w:w="4077" w:type="dxa"/>
            <w:shd w:val="clear" w:color="auto" w:fill="auto"/>
          </w:tcPr>
          <w:p w14:paraId="6AFD8BA9" w14:textId="77777777" w:rsidR="003A1B96" w:rsidRPr="00E07C9A" w:rsidRDefault="003A1B96" w:rsidP="00487A02">
            <w:pPr>
              <w:pStyle w:val="InstructionsText"/>
            </w:pPr>
          </w:p>
        </w:tc>
      </w:tr>
      <w:tr w:rsidR="00581FA5" w:rsidRPr="00E07C9A" w14:paraId="04CD2CBB" w14:textId="77777777" w:rsidTr="00672D2A">
        <w:tc>
          <w:tcPr>
            <w:tcW w:w="3761" w:type="dxa"/>
            <w:shd w:val="clear" w:color="auto" w:fill="auto"/>
          </w:tcPr>
          <w:p w14:paraId="09B4DBB7" w14:textId="6F16D125" w:rsidR="00581FA5" w:rsidRPr="00E07C9A" w:rsidRDefault="00581FA5" w:rsidP="00880E92">
            <w:pPr>
              <w:pStyle w:val="InstructionsText"/>
            </w:pPr>
            <w:r w:rsidRPr="00E07C9A">
              <w:t xml:space="preserve">Vyhovuje zaradeniu do triedy expozícií podľa článku 112 písm. m) nariadenia (EÚ) </w:t>
            </w:r>
            <w:r w:rsidR="009912F8" w:rsidRPr="00E07C9A">
              <w:t>č. 575/2013</w:t>
            </w:r>
            <w:r w:rsidRPr="00E07C9A">
              <w:t>?</w:t>
            </w:r>
          </w:p>
        </w:tc>
        <w:tc>
          <w:tcPr>
            <w:tcW w:w="1417" w:type="dxa"/>
            <w:shd w:val="clear" w:color="auto" w:fill="auto"/>
          </w:tcPr>
          <w:p w14:paraId="7A5DB446" w14:textId="77777777" w:rsidR="00BD52C3" w:rsidRPr="00E07C9A" w:rsidRDefault="00BD52C3" w:rsidP="00487A02">
            <w:pPr>
              <w:pStyle w:val="InstructionsText"/>
            </w:pPr>
            <w:r w:rsidRPr="00E07C9A">
              <w:t xml:space="preserve">ÁNO </w:t>
            </w:r>
            <w:r w:rsidRPr="00E07C9A">
              <w:rPr>
                <w:noProof/>
                <w:lang w:val="en-US" w:eastAsia="en-US"/>
              </w:rPr>
              <w:drawing>
                <wp:inline distT="0" distB="0" distL="0" distR="0" wp14:anchorId="11BAFED6" wp14:editId="4DCF2046">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7D9D57E" w14:textId="77777777" w:rsidR="00581FA5" w:rsidRPr="00E07C9A" w:rsidRDefault="00581FA5" w:rsidP="00487A02">
            <w:pPr>
              <w:pStyle w:val="InstructionsText"/>
            </w:pPr>
          </w:p>
        </w:tc>
        <w:tc>
          <w:tcPr>
            <w:tcW w:w="4077" w:type="dxa"/>
            <w:shd w:val="clear" w:color="auto" w:fill="auto"/>
          </w:tcPr>
          <w:p w14:paraId="7AE02A8C" w14:textId="77777777" w:rsidR="00581FA5" w:rsidRPr="00E07C9A" w:rsidRDefault="00581FA5" w:rsidP="00487A02">
            <w:pPr>
              <w:pStyle w:val="InstructionsText"/>
            </w:pPr>
            <w:r w:rsidRPr="00E07C9A">
              <w:t>Sekuritizačné pozície</w:t>
            </w:r>
          </w:p>
        </w:tc>
      </w:tr>
      <w:tr w:rsidR="005B3B7C" w:rsidRPr="00E07C9A" w14:paraId="78A11ABB" w14:textId="77777777" w:rsidTr="00672D2A">
        <w:tc>
          <w:tcPr>
            <w:tcW w:w="3761" w:type="dxa"/>
            <w:shd w:val="clear" w:color="auto" w:fill="auto"/>
          </w:tcPr>
          <w:p w14:paraId="4E39BCC0" w14:textId="77777777" w:rsidR="00581FA5" w:rsidRPr="00E07C9A" w:rsidRDefault="00581FA5" w:rsidP="00487A02">
            <w:pPr>
              <w:pStyle w:val="InstructionsText"/>
            </w:pPr>
            <w:r w:rsidRPr="00E07C9A">
              <w:t xml:space="preserve">NIE </w:t>
            </w:r>
            <w:r w:rsidRPr="00E07C9A">
              <w:rPr>
                <w:noProof/>
                <w:lang w:val="en-US" w:eastAsia="en-US"/>
              </w:rPr>
              <w:drawing>
                <wp:inline distT="0" distB="0" distL="0" distR="0" wp14:anchorId="1E15F0AD" wp14:editId="4ABEEF1E">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180B0225" w14:textId="77777777" w:rsidR="005B3B7C" w:rsidRPr="00E07C9A" w:rsidRDefault="005B3B7C" w:rsidP="00487A02">
            <w:pPr>
              <w:pStyle w:val="InstructionsText"/>
            </w:pPr>
          </w:p>
        </w:tc>
        <w:tc>
          <w:tcPr>
            <w:tcW w:w="1417" w:type="dxa"/>
            <w:shd w:val="clear" w:color="auto" w:fill="auto"/>
          </w:tcPr>
          <w:p w14:paraId="795E0A99" w14:textId="77777777" w:rsidR="005B3B7C" w:rsidRPr="00E07C9A" w:rsidRDefault="005B3B7C" w:rsidP="00487A02">
            <w:pPr>
              <w:pStyle w:val="InstructionsText"/>
            </w:pPr>
          </w:p>
        </w:tc>
        <w:tc>
          <w:tcPr>
            <w:tcW w:w="4077" w:type="dxa"/>
            <w:shd w:val="clear" w:color="auto" w:fill="auto"/>
          </w:tcPr>
          <w:p w14:paraId="27C98286" w14:textId="77777777" w:rsidR="005B3B7C" w:rsidRPr="00E07C9A" w:rsidRDefault="005B3B7C" w:rsidP="00487A02">
            <w:pPr>
              <w:pStyle w:val="InstructionsText"/>
            </w:pPr>
          </w:p>
        </w:tc>
      </w:tr>
      <w:tr w:rsidR="003A1B96" w:rsidRPr="00E07C9A" w14:paraId="03EC9F8E" w14:textId="77777777" w:rsidTr="00672D2A">
        <w:tc>
          <w:tcPr>
            <w:tcW w:w="3761" w:type="dxa"/>
            <w:shd w:val="clear" w:color="auto" w:fill="auto"/>
          </w:tcPr>
          <w:p w14:paraId="578B5FC8" w14:textId="2D31D7F0" w:rsidR="003A1B96" w:rsidRPr="00E07C9A" w:rsidRDefault="003A1B96" w:rsidP="00880E92">
            <w:pPr>
              <w:pStyle w:val="InstructionsText"/>
            </w:pPr>
            <w:r w:rsidRPr="00E07C9A">
              <w:t xml:space="preserve">Vyhovuje zaradeniu do triedy expozícií podľa článku 112 písm. k) nariadenia (EÚ) </w:t>
            </w:r>
            <w:r w:rsidR="009912F8" w:rsidRPr="00E07C9A">
              <w:t>č. 575/2013</w:t>
            </w:r>
            <w:r w:rsidRPr="00E07C9A">
              <w:t>?</w:t>
            </w:r>
          </w:p>
        </w:tc>
        <w:tc>
          <w:tcPr>
            <w:tcW w:w="1417" w:type="dxa"/>
            <w:shd w:val="clear" w:color="auto" w:fill="auto"/>
          </w:tcPr>
          <w:p w14:paraId="18E67292" w14:textId="77777777" w:rsidR="00AC3054" w:rsidRPr="00E07C9A" w:rsidRDefault="00974E3F" w:rsidP="00487A02">
            <w:pPr>
              <w:pStyle w:val="InstructionsText"/>
            </w:pPr>
            <w:r w:rsidRPr="00E07C9A">
              <w:t xml:space="preserve">ÁNO </w:t>
            </w:r>
            <w:r w:rsidRPr="00E07C9A">
              <w:rPr>
                <w:noProof/>
                <w:lang w:val="en-US" w:eastAsia="en-US"/>
              </w:rPr>
              <w:drawing>
                <wp:inline distT="0" distB="0" distL="0" distR="0" wp14:anchorId="19E83CAD" wp14:editId="7D6C661A">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5BC608A1" w14:textId="77777777" w:rsidR="00BD52C3" w:rsidRPr="00E07C9A" w:rsidRDefault="00BD52C3" w:rsidP="00487A02">
            <w:pPr>
              <w:pStyle w:val="InstructionsText"/>
            </w:pPr>
          </w:p>
          <w:p w14:paraId="5745EE2A" w14:textId="77777777" w:rsidR="003A1B96" w:rsidRPr="00E07C9A" w:rsidRDefault="003A1B96" w:rsidP="00487A02">
            <w:pPr>
              <w:pStyle w:val="InstructionsText"/>
            </w:pPr>
          </w:p>
        </w:tc>
        <w:tc>
          <w:tcPr>
            <w:tcW w:w="4077" w:type="dxa"/>
            <w:shd w:val="clear" w:color="auto" w:fill="auto"/>
          </w:tcPr>
          <w:p w14:paraId="30CEADC1" w14:textId="693156CB" w:rsidR="003A1B96" w:rsidRPr="00E07C9A" w:rsidRDefault="003A1B96" w:rsidP="00487A02">
            <w:pPr>
              <w:pStyle w:val="InstructionsText"/>
            </w:pPr>
            <w:r w:rsidRPr="00E07C9A">
              <w:t>Položky spojené</w:t>
            </w:r>
            <w:r w:rsidR="009912F8" w:rsidRPr="00E07C9A">
              <w:t xml:space="preserve"> s </w:t>
            </w:r>
            <w:r w:rsidRPr="00E07C9A">
              <w:t xml:space="preserve">mimoriadne vysokým rizikom [pozri aj článok 128 nariadenia (EÚ) </w:t>
            </w:r>
            <w:r w:rsidR="009912F8" w:rsidRPr="00E07C9A">
              <w:t>č. 575/2013</w:t>
            </w:r>
            <w:r w:rsidRPr="00E07C9A">
              <w:t>]</w:t>
            </w:r>
          </w:p>
        </w:tc>
      </w:tr>
      <w:tr w:rsidR="003A1B96" w:rsidRPr="00E07C9A" w14:paraId="05306427" w14:textId="77777777" w:rsidTr="00672D2A">
        <w:tc>
          <w:tcPr>
            <w:tcW w:w="3761" w:type="dxa"/>
            <w:shd w:val="clear" w:color="auto" w:fill="auto"/>
          </w:tcPr>
          <w:p w14:paraId="27B1C748" w14:textId="77777777" w:rsidR="007241D3" w:rsidRPr="00E07C9A" w:rsidRDefault="007241D3" w:rsidP="00487A02">
            <w:pPr>
              <w:pStyle w:val="InstructionsText"/>
            </w:pPr>
            <w:r w:rsidRPr="00E07C9A">
              <w:t xml:space="preserve">NIE </w:t>
            </w:r>
            <w:r w:rsidRPr="00E07C9A">
              <w:rPr>
                <w:noProof/>
                <w:lang w:val="en-US" w:eastAsia="en-US"/>
              </w:rPr>
              <w:drawing>
                <wp:inline distT="0" distB="0" distL="0" distR="0" wp14:anchorId="4295E88F" wp14:editId="0C078C32">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A36CD93" w14:textId="77777777" w:rsidR="003A1B96" w:rsidRPr="00E07C9A" w:rsidRDefault="003A1B96" w:rsidP="00487A02">
            <w:pPr>
              <w:pStyle w:val="InstructionsText"/>
            </w:pPr>
          </w:p>
        </w:tc>
        <w:tc>
          <w:tcPr>
            <w:tcW w:w="1417" w:type="dxa"/>
            <w:shd w:val="clear" w:color="auto" w:fill="auto"/>
          </w:tcPr>
          <w:p w14:paraId="537977FD" w14:textId="77777777" w:rsidR="003A1B96" w:rsidRPr="00E07C9A" w:rsidRDefault="003A1B96" w:rsidP="00487A02">
            <w:pPr>
              <w:pStyle w:val="InstructionsText"/>
            </w:pPr>
          </w:p>
        </w:tc>
        <w:tc>
          <w:tcPr>
            <w:tcW w:w="4077" w:type="dxa"/>
            <w:shd w:val="clear" w:color="auto" w:fill="auto"/>
          </w:tcPr>
          <w:p w14:paraId="75FCFADA" w14:textId="77777777" w:rsidR="003A1B96" w:rsidRPr="00E07C9A" w:rsidRDefault="003A1B96" w:rsidP="00487A02">
            <w:pPr>
              <w:pStyle w:val="InstructionsText"/>
            </w:pPr>
          </w:p>
        </w:tc>
      </w:tr>
      <w:tr w:rsidR="003A1B96" w:rsidRPr="00E07C9A" w14:paraId="274E8FB4" w14:textId="77777777" w:rsidTr="00672D2A">
        <w:tc>
          <w:tcPr>
            <w:tcW w:w="3761" w:type="dxa"/>
            <w:shd w:val="clear" w:color="auto" w:fill="auto"/>
          </w:tcPr>
          <w:p w14:paraId="2C7ECF76" w14:textId="1886F2CD" w:rsidR="003A1B96" w:rsidRPr="00E07C9A" w:rsidRDefault="003A1B96" w:rsidP="00880E92">
            <w:pPr>
              <w:pStyle w:val="InstructionsText"/>
            </w:pPr>
            <w:r w:rsidRPr="00E07C9A">
              <w:t xml:space="preserve">Vyhovuje zaradeniu do triedy expozícií podľa článku 112 písm. p) nariadenia (EÚ) </w:t>
            </w:r>
            <w:r w:rsidR="009912F8" w:rsidRPr="00E07C9A">
              <w:t>č. 575/2013</w:t>
            </w:r>
            <w:r w:rsidRPr="00E07C9A">
              <w:t>?</w:t>
            </w:r>
          </w:p>
        </w:tc>
        <w:tc>
          <w:tcPr>
            <w:tcW w:w="1417" w:type="dxa"/>
            <w:shd w:val="clear" w:color="auto" w:fill="auto"/>
          </w:tcPr>
          <w:p w14:paraId="17E9AA8D" w14:textId="77777777" w:rsidR="00BD52C3" w:rsidRPr="00E07C9A" w:rsidRDefault="00BD52C3" w:rsidP="00487A02">
            <w:pPr>
              <w:pStyle w:val="InstructionsText"/>
            </w:pPr>
            <w:r w:rsidRPr="00E07C9A">
              <w:t xml:space="preserve">ÁNO </w:t>
            </w:r>
            <w:r w:rsidRPr="00E07C9A">
              <w:rPr>
                <w:noProof/>
                <w:lang w:val="en-US" w:eastAsia="en-US"/>
              </w:rPr>
              <w:drawing>
                <wp:inline distT="0" distB="0" distL="0" distR="0" wp14:anchorId="189A1044" wp14:editId="696EB9B9">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A409E0A" w14:textId="77777777" w:rsidR="003A1B96" w:rsidRPr="00E07C9A" w:rsidRDefault="003A1B96" w:rsidP="00487A02">
            <w:pPr>
              <w:pStyle w:val="InstructionsText"/>
            </w:pPr>
          </w:p>
        </w:tc>
        <w:tc>
          <w:tcPr>
            <w:tcW w:w="4077" w:type="dxa"/>
            <w:shd w:val="clear" w:color="auto" w:fill="auto"/>
          </w:tcPr>
          <w:p w14:paraId="1BFBD607" w14:textId="5B63295D" w:rsidR="003A1B96" w:rsidRPr="00E07C9A" w:rsidRDefault="003A1B96" w:rsidP="00487A02">
            <w:pPr>
              <w:pStyle w:val="InstructionsText"/>
            </w:pPr>
            <w:r w:rsidRPr="00E07C9A">
              <w:t xml:space="preserve">Kapitálové expozície [pozri aj článok 133 nariadenia (EÚ) </w:t>
            </w:r>
            <w:r w:rsidR="009912F8" w:rsidRPr="00E07C9A">
              <w:t>č. 575/2013</w:t>
            </w:r>
            <w:r w:rsidRPr="00E07C9A">
              <w:t>]</w:t>
            </w:r>
          </w:p>
        </w:tc>
      </w:tr>
      <w:tr w:rsidR="003A1B96" w:rsidRPr="00E07C9A" w14:paraId="103DF98F" w14:textId="77777777" w:rsidTr="00672D2A">
        <w:tc>
          <w:tcPr>
            <w:tcW w:w="3761" w:type="dxa"/>
            <w:shd w:val="clear" w:color="auto" w:fill="auto"/>
          </w:tcPr>
          <w:p w14:paraId="0BEBB8F9" w14:textId="77777777" w:rsidR="007241D3" w:rsidRPr="00E07C9A" w:rsidRDefault="007241D3" w:rsidP="00487A02">
            <w:pPr>
              <w:pStyle w:val="InstructionsText"/>
            </w:pPr>
            <w:r w:rsidRPr="00E07C9A">
              <w:t xml:space="preserve">NIE </w:t>
            </w:r>
            <w:r w:rsidRPr="00E07C9A">
              <w:rPr>
                <w:noProof/>
                <w:lang w:val="en-US" w:eastAsia="en-US"/>
              </w:rPr>
              <w:drawing>
                <wp:inline distT="0" distB="0" distL="0" distR="0" wp14:anchorId="57D7D0D0" wp14:editId="0D7296E7">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D23CDFE" w14:textId="77777777" w:rsidR="003A1B96" w:rsidRPr="00E07C9A" w:rsidRDefault="003A1B96" w:rsidP="00487A02">
            <w:pPr>
              <w:pStyle w:val="InstructionsText"/>
            </w:pPr>
          </w:p>
        </w:tc>
        <w:tc>
          <w:tcPr>
            <w:tcW w:w="1417" w:type="dxa"/>
            <w:shd w:val="clear" w:color="auto" w:fill="auto"/>
          </w:tcPr>
          <w:p w14:paraId="11A2898E" w14:textId="77777777" w:rsidR="003A1B96" w:rsidRPr="00E07C9A" w:rsidRDefault="003A1B96" w:rsidP="00487A02">
            <w:pPr>
              <w:pStyle w:val="InstructionsText"/>
            </w:pPr>
          </w:p>
        </w:tc>
        <w:tc>
          <w:tcPr>
            <w:tcW w:w="4077" w:type="dxa"/>
            <w:shd w:val="clear" w:color="auto" w:fill="auto"/>
          </w:tcPr>
          <w:p w14:paraId="2383BEDD" w14:textId="77777777" w:rsidR="003A1B96" w:rsidRPr="00E07C9A" w:rsidRDefault="003A1B96" w:rsidP="00487A02">
            <w:pPr>
              <w:pStyle w:val="InstructionsText"/>
            </w:pPr>
          </w:p>
        </w:tc>
      </w:tr>
      <w:tr w:rsidR="00581FA5" w:rsidRPr="00E07C9A" w14:paraId="06C1C757" w14:textId="77777777" w:rsidTr="00672D2A">
        <w:tc>
          <w:tcPr>
            <w:tcW w:w="3761" w:type="dxa"/>
            <w:shd w:val="clear" w:color="auto" w:fill="auto"/>
          </w:tcPr>
          <w:p w14:paraId="349B8B30" w14:textId="7C90ADE1" w:rsidR="00581FA5" w:rsidRPr="00E07C9A" w:rsidRDefault="00581FA5" w:rsidP="00880E92">
            <w:pPr>
              <w:pStyle w:val="InstructionsText"/>
            </w:pPr>
            <w:r w:rsidRPr="00E07C9A">
              <w:t xml:space="preserve">Vyhovuje zaradeniu do triedy expozícií podľa článku 112 písm. j) nariadenia (EÚ) </w:t>
            </w:r>
            <w:r w:rsidR="009912F8" w:rsidRPr="00E07C9A">
              <w:t>č. 575/2013</w:t>
            </w:r>
            <w:r w:rsidRPr="00E07C9A">
              <w:t>?</w:t>
            </w:r>
          </w:p>
        </w:tc>
        <w:tc>
          <w:tcPr>
            <w:tcW w:w="1417" w:type="dxa"/>
            <w:shd w:val="clear" w:color="auto" w:fill="auto"/>
          </w:tcPr>
          <w:p w14:paraId="4E3778AB" w14:textId="77777777" w:rsidR="00BD52C3" w:rsidRPr="00E07C9A" w:rsidRDefault="00BD52C3" w:rsidP="00487A02">
            <w:pPr>
              <w:pStyle w:val="InstructionsText"/>
            </w:pPr>
            <w:r w:rsidRPr="00E07C9A">
              <w:t xml:space="preserve">ÁNO </w:t>
            </w:r>
            <w:r w:rsidRPr="00E07C9A">
              <w:rPr>
                <w:noProof/>
                <w:lang w:val="en-US" w:eastAsia="en-US"/>
              </w:rPr>
              <w:drawing>
                <wp:inline distT="0" distB="0" distL="0" distR="0" wp14:anchorId="0013DF82" wp14:editId="15722B90">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411D15DB" w14:textId="77777777" w:rsidR="00581FA5" w:rsidRPr="00E07C9A" w:rsidRDefault="00581FA5" w:rsidP="00487A02">
            <w:pPr>
              <w:pStyle w:val="InstructionsText"/>
            </w:pPr>
          </w:p>
        </w:tc>
        <w:tc>
          <w:tcPr>
            <w:tcW w:w="4077" w:type="dxa"/>
            <w:shd w:val="clear" w:color="auto" w:fill="auto"/>
          </w:tcPr>
          <w:p w14:paraId="13DC5551" w14:textId="78CBD97A" w:rsidR="00581FA5" w:rsidRPr="00E07C9A" w:rsidRDefault="00581FA5" w:rsidP="00487A02">
            <w:pPr>
              <w:pStyle w:val="InstructionsText"/>
            </w:pPr>
            <w:r w:rsidRPr="00E07C9A">
              <w:t>Expozície</w:t>
            </w:r>
            <w:r w:rsidR="009912F8" w:rsidRPr="00E07C9A">
              <w:t xml:space="preserve"> v </w:t>
            </w:r>
            <w:r w:rsidRPr="00E07C9A">
              <w:t>stave zlyhania</w:t>
            </w:r>
          </w:p>
        </w:tc>
      </w:tr>
      <w:tr w:rsidR="00581FA5" w:rsidRPr="00E07C9A" w14:paraId="4A0CB096" w14:textId="77777777" w:rsidTr="00672D2A">
        <w:tc>
          <w:tcPr>
            <w:tcW w:w="3761" w:type="dxa"/>
            <w:shd w:val="clear" w:color="auto" w:fill="auto"/>
          </w:tcPr>
          <w:p w14:paraId="53090FF3" w14:textId="77777777" w:rsidR="007241D3" w:rsidRPr="00E07C9A" w:rsidRDefault="007241D3" w:rsidP="00487A02">
            <w:pPr>
              <w:pStyle w:val="InstructionsText"/>
            </w:pPr>
            <w:r w:rsidRPr="00E07C9A">
              <w:t xml:space="preserve">NIE </w:t>
            </w:r>
            <w:r w:rsidRPr="00E07C9A">
              <w:rPr>
                <w:noProof/>
                <w:lang w:val="en-US" w:eastAsia="en-US"/>
              </w:rPr>
              <w:drawing>
                <wp:inline distT="0" distB="0" distL="0" distR="0" wp14:anchorId="57FDE2AB" wp14:editId="41ED99D3">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1DB5B1B9" w14:textId="77777777" w:rsidR="00581FA5" w:rsidRPr="00E07C9A" w:rsidRDefault="00581FA5" w:rsidP="00487A02">
            <w:pPr>
              <w:pStyle w:val="InstructionsText"/>
            </w:pPr>
          </w:p>
        </w:tc>
        <w:tc>
          <w:tcPr>
            <w:tcW w:w="1417" w:type="dxa"/>
            <w:shd w:val="clear" w:color="auto" w:fill="auto"/>
          </w:tcPr>
          <w:p w14:paraId="5E6FD4E1" w14:textId="77777777" w:rsidR="00581FA5" w:rsidRPr="00E07C9A" w:rsidRDefault="00581FA5" w:rsidP="00487A02">
            <w:pPr>
              <w:pStyle w:val="InstructionsText"/>
            </w:pPr>
          </w:p>
        </w:tc>
        <w:tc>
          <w:tcPr>
            <w:tcW w:w="4077" w:type="dxa"/>
            <w:shd w:val="clear" w:color="auto" w:fill="auto"/>
          </w:tcPr>
          <w:p w14:paraId="0346B14E" w14:textId="77777777" w:rsidR="00581FA5" w:rsidRPr="00E07C9A" w:rsidRDefault="00581FA5" w:rsidP="00487A02">
            <w:pPr>
              <w:pStyle w:val="InstructionsText"/>
            </w:pPr>
          </w:p>
        </w:tc>
      </w:tr>
      <w:tr w:rsidR="00581FA5" w:rsidRPr="00E07C9A" w14:paraId="00FE13FB" w14:textId="77777777" w:rsidTr="00672D2A">
        <w:tc>
          <w:tcPr>
            <w:tcW w:w="3761" w:type="dxa"/>
            <w:shd w:val="clear" w:color="auto" w:fill="auto"/>
          </w:tcPr>
          <w:p w14:paraId="63DF4D9F" w14:textId="1773E407" w:rsidR="00581FA5" w:rsidRPr="00E07C9A" w:rsidRDefault="00581FA5" w:rsidP="00880E92">
            <w:pPr>
              <w:pStyle w:val="InstructionsText"/>
            </w:pPr>
            <w:r w:rsidRPr="00E07C9A">
              <w:t>Vyhovuje zaradeniu do tried expozícií podľa článku 112 písm. l)</w:t>
            </w:r>
            <w:r w:rsidR="009912F8" w:rsidRPr="00E07C9A">
              <w:t xml:space="preserve"> a </w:t>
            </w:r>
            <w:r w:rsidRPr="00E07C9A">
              <w:t xml:space="preserve">o) nariadenia (EÚ) </w:t>
            </w:r>
            <w:r w:rsidR="009912F8" w:rsidRPr="00E07C9A">
              <w:t>č. 575/2013</w:t>
            </w:r>
            <w:r w:rsidRPr="00E07C9A">
              <w:t>?</w:t>
            </w:r>
          </w:p>
        </w:tc>
        <w:tc>
          <w:tcPr>
            <w:tcW w:w="1417" w:type="dxa"/>
            <w:shd w:val="clear" w:color="auto" w:fill="auto"/>
          </w:tcPr>
          <w:p w14:paraId="08B1C985" w14:textId="77777777" w:rsidR="00BD52C3" w:rsidRPr="00E07C9A" w:rsidRDefault="00BD52C3" w:rsidP="00487A02">
            <w:pPr>
              <w:pStyle w:val="InstructionsText"/>
            </w:pPr>
            <w:r w:rsidRPr="00E07C9A">
              <w:t xml:space="preserve">ÁNO </w:t>
            </w:r>
            <w:r w:rsidRPr="00E07C9A">
              <w:rPr>
                <w:noProof/>
                <w:lang w:val="en-US" w:eastAsia="en-US"/>
              </w:rPr>
              <w:drawing>
                <wp:inline distT="0" distB="0" distL="0" distR="0" wp14:anchorId="533303E6" wp14:editId="67297CFF">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78CB75A" w14:textId="77777777" w:rsidR="00581FA5" w:rsidRPr="00E07C9A" w:rsidRDefault="00581FA5" w:rsidP="00487A02">
            <w:pPr>
              <w:pStyle w:val="InstructionsText"/>
            </w:pPr>
          </w:p>
        </w:tc>
        <w:tc>
          <w:tcPr>
            <w:tcW w:w="4077" w:type="dxa"/>
            <w:shd w:val="clear" w:color="auto" w:fill="auto"/>
          </w:tcPr>
          <w:p w14:paraId="5C62CED6" w14:textId="554463FF" w:rsidR="00581FA5" w:rsidRPr="00E07C9A" w:rsidRDefault="00581FA5" w:rsidP="00487A02">
            <w:pPr>
              <w:pStyle w:val="InstructionsText"/>
            </w:pPr>
            <w:r w:rsidRPr="00E07C9A">
              <w:t>Expozície vo forme podielových listov alebo akcií</w:t>
            </w:r>
            <w:r w:rsidR="009912F8" w:rsidRPr="00E07C9A">
              <w:t xml:space="preserve"> v </w:t>
            </w:r>
            <w:r w:rsidRPr="00E07C9A">
              <w:t>podnikoch kolektívneho investovania (PKI)</w:t>
            </w:r>
          </w:p>
          <w:p w14:paraId="55A5CB19" w14:textId="12C3C89E" w:rsidR="00581FA5" w:rsidRPr="00E07C9A" w:rsidRDefault="00581FA5" w:rsidP="00487A02">
            <w:pPr>
              <w:pStyle w:val="InstructionsText"/>
            </w:pPr>
            <w:r w:rsidRPr="00E07C9A">
              <w:t xml:space="preserve">Expozície vo forme krytých dlhopisov [pozri aj článok 129 nariadenia (EÚ) </w:t>
            </w:r>
            <w:r w:rsidR="009912F8" w:rsidRPr="00E07C9A">
              <w:t>č. 575/2013</w:t>
            </w:r>
            <w:r w:rsidRPr="00E07C9A">
              <w:t>]</w:t>
            </w:r>
          </w:p>
          <w:p w14:paraId="546D5260" w14:textId="532E9005" w:rsidR="00581FA5" w:rsidRPr="00E07C9A" w:rsidRDefault="00581FA5" w:rsidP="00487A02">
            <w:pPr>
              <w:pStyle w:val="InstructionsText"/>
            </w:pPr>
            <w:r w:rsidRPr="00E07C9A">
              <w:t>Tieto dve triedy expozícií sa navzájom vylučujú (pozri pripomienky</w:t>
            </w:r>
            <w:r w:rsidR="009912F8" w:rsidRPr="00E07C9A">
              <w:t xml:space="preserve"> k </w:t>
            </w:r>
            <w:r w:rsidRPr="00E07C9A">
              <w:t>prístupu založenému na prezretí podkladových expozícií</w:t>
            </w:r>
            <w:r w:rsidR="009912F8" w:rsidRPr="00E07C9A">
              <w:t xml:space="preserve"> v </w:t>
            </w:r>
            <w:r w:rsidRPr="00E07C9A">
              <w:t>odpovedi vyššie). Zaradenie do jednej</w:t>
            </w:r>
            <w:r w:rsidR="009912F8" w:rsidRPr="00E07C9A">
              <w:t xml:space="preserve"> z </w:t>
            </w:r>
            <w:r w:rsidRPr="00E07C9A">
              <w:t>nich je preto jasné.</w:t>
            </w:r>
          </w:p>
        </w:tc>
      </w:tr>
      <w:tr w:rsidR="00581FA5" w:rsidRPr="00E07C9A" w14:paraId="0AC9A0E4" w14:textId="77777777" w:rsidTr="00672D2A">
        <w:tc>
          <w:tcPr>
            <w:tcW w:w="3761" w:type="dxa"/>
            <w:shd w:val="clear" w:color="auto" w:fill="auto"/>
          </w:tcPr>
          <w:p w14:paraId="2E513543" w14:textId="77777777" w:rsidR="007241D3" w:rsidRPr="00E07C9A" w:rsidRDefault="007241D3" w:rsidP="00487A02">
            <w:pPr>
              <w:pStyle w:val="InstructionsText"/>
            </w:pPr>
            <w:r w:rsidRPr="00E07C9A">
              <w:t xml:space="preserve">NIE </w:t>
            </w:r>
            <w:r w:rsidRPr="00E07C9A">
              <w:rPr>
                <w:noProof/>
                <w:lang w:val="en-US" w:eastAsia="en-US"/>
              </w:rPr>
              <w:drawing>
                <wp:inline distT="0" distB="0" distL="0" distR="0" wp14:anchorId="3DAD38CD" wp14:editId="3968D51C">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C752434" w14:textId="77777777" w:rsidR="00581FA5" w:rsidRPr="00E07C9A" w:rsidRDefault="00581FA5" w:rsidP="00487A02">
            <w:pPr>
              <w:pStyle w:val="InstructionsText"/>
            </w:pPr>
          </w:p>
        </w:tc>
        <w:tc>
          <w:tcPr>
            <w:tcW w:w="1417" w:type="dxa"/>
            <w:shd w:val="clear" w:color="auto" w:fill="auto"/>
          </w:tcPr>
          <w:p w14:paraId="34FAD491" w14:textId="77777777" w:rsidR="00581FA5" w:rsidRPr="00E07C9A" w:rsidRDefault="00581FA5" w:rsidP="00487A02">
            <w:pPr>
              <w:pStyle w:val="InstructionsText"/>
            </w:pPr>
          </w:p>
        </w:tc>
        <w:tc>
          <w:tcPr>
            <w:tcW w:w="4077" w:type="dxa"/>
            <w:shd w:val="clear" w:color="auto" w:fill="auto"/>
          </w:tcPr>
          <w:p w14:paraId="15B98FAD" w14:textId="77777777" w:rsidR="00581FA5" w:rsidRPr="00E07C9A" w:rsidRDefault="00581FA5" w:rsidP="00487A02">
            <w:pPr>
              <w:pStyle w:val="InstructionsText"/>
            </w:pPr>
          </w:p>
        </w:tc>
      </w:tr>
      <w:tr w:rsidR="00581FA5" w:rsidRPr="00E07C9A" w14:paraId="246E6EB2" w14:textId="77777777" w:rsidTr="00672D2A">
        <w:tc>
          <w:tcPr>
            <w:tcW w:w="3761" w:type="dxa"/>
            <w:shd w:val="clear" w:color="auto" w:fill="auto"/>
          </w:tcPr>
          <w:p w14:paraId="742DF16A" w14:textId="5A5EBE0E" w:rsidR="00581FA5" w:rsidRPr="00E07C9A" w:rsidRDefault="00581FA5" w:rsidP="00880E92">
            <w:pPr>
              <w:pStyle w:val="InstructionsText"/>
            </w:pPr>
            <w:r w:rsidRPr="00E07C9A">
              <w:t xml:space="preserve">Vyhovuje zaradeniu do triedy expozícií podľa článku 112 písm. i) nariadenia (EÚ) </w:t>
            </w:r>
            <w:r w:rsidR="009912F8" w:rsidRPr="00E07C9A">
              <w:t>č. 575/2013</w:t>
            </w:r>
            <w:r w:rsidRPr="00E07C9A">
              <w:t>?</w:t>
            </w:r>
          </w:p>
        </w:tc>
        <w:tc>
          <w:tcPr>
            <w:tcW w:w="1417" w:type="dxa"/>
            <w:shd w:val="clear" w:color="auto" w:fill="auto"/>
          </w:tcPr>
          <w:p w14:paraId="21935E41" w14:textId="77777777" w:rsidR="00BD52C3" w:rsidRPr="00E07C9A" w:rsidRDefault="00BD52C3" w:rsidP="00487A02">
            <w:pPr>
              <w:pStyle w:val="InstructionsText"/>
            </w:pPr>
            <w:r w:rsidRPr="00E07C9A">
              <w:t xml:space="preserve">ÁNO </w:t>
            </w:r>
            <w:r w:rsidRPr="00E07C9A">
              <w:rPr>
                <w:noProof/>
                <w:lang w:val="en-US" w:eastAsia="en-US"/>
              </w:rPr>
              <w:drawing>
                <wp:inline distT="0" distB="0" distL="0" distR="0" wp14:anchorId="05C45556" wp14:editId="580A86A1">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D93A913" w14:textId="77777777" w:rsidR="00581FA5" w:rsidRPr="00E07C9A" w:rsidRDefault="00581FA5" w:rsidP="00487A02">
            <w:pPr>
              <w:pStyle w:val="InstructionsText"/>
            </w:pPr>
          </w:p>
        </w:tc>
        <w:tc>
          <w:tcPr>
            <w:tcW w:w="4077" w:type="dxa"/>
            <w:shd w:val="clear" w:color="auto" w:fill="auto"/>
          </w:tcPr>
          <w:p w14:paraId="14C9FFFE" w14:textId="54B13A0A" w:rsidR="00581FA5" w:rsidRPr="00E07C9A" w:rsidRDefault="00581FA5" w:rsidP="00487A02">
            <w:pPr>
              <w:pStyle w:val="InstructionsText"/>
            </w:pPr>
            <w:r w:rsidRPr="00E07C9A">
              <w:t xml:space="preserve">Expozície zabezpečené hypotékami na nehnuteľný majetok [pozri aj článok 124 nariadenia (EÚ) </w:t>
            </w:r>
            <w:r w:rsidR="009912F8" w:rsidRPr="00E07C9A">
              <w:t>č. 575/2013</w:t>
            </w:r>
            <w:r w:rsidRPr="00E07C9A">
              <w:t>]</w:t>
            </w:r>
          </w:p>
        </w:tc>
      </w:tr>
      <w:tr w:rsidR="00581FA5" w:rsidRPr="00E07C9A" w14:paraId="3BDDC8D7" w14:textId="77777777" w:rsidTr="00672D2A">
        <w:tc>
          <w:tcPr>
            <w:tcW w:w="3761" w:type="dxa"/>
            <w:shd w:val="clear" w:color="auto" w:fill="auto"/>
          </w:tcPr>
          <w:p w14:paraId="3B9957B7" w14:textId="77777777" w:rsidR="007241D3" w:rsidRPr="00E07C9A" w:rsidRDefault="007241D3" w:rsidP="00487A02">
            <w:pPr>
              <w:pStyle w:val="InstructionsText"/>
            </w:pPr>
            <w:r w:rsidRPr="00E07C9A">
              <w:t xml:space="preserve">NIE </w:t>
            </w:r>
            <w:r w:rsidRPr="00E07C9A">
              <w:rPr>
                <w:noProof/>
                <w:lang w:val="en-US" w:eastAsia="en-US"/>
              </w:rPr>
              <w:drawing>
                <wp:inline distT="0" distB="0" distL="0" distR="0" wp14:anchorId="26DBA5C8" wp14:editId="5373B495">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4C6D20A" w14:textId="77777777" w:rsidR="00581FA5" w:rsidRPr="00E07C9A" w:rsidRDefault="00581FA5" w:rsidP="00487A02">
            <w:pPr>
              <w:pStyle w:val="InstructionsText"/>
            </w:pPr>
          </w:p>
        </w:tc>
        <w:tc>
          <w:tcPr>
            <w:tcW w:w="1417" w:type="dxa"/>
            <w:shd w:val="clear" w:color="auto" w:fill="auto"/>
          </w:tcPr>
          <w:p w14:paraId="5A7472D8" w14:textId="77777777" w:rsidR="00581FA5" w:rsidRPr="00E07C9A" w:rsidRDefault="00581FA5" w:rsidP="00487A02">
            <w:pPr>
              <w:pStyle w:val="InstructionsText"/>
            </w:pPr>
          </w:p>
        </w:tc>
        <w:tc>
          <w:tcPr>
            <w:tcW w:w="4077" w:type="dxa"/>
            <w:shd w:val="clear" w:color="auto" w:fill="auto"/>
          </w:tcPr>
          <w:p w14:paraId="40669E90" w14:textId="77777777" w:rsidR="00581FA5" w:rsidRPr="00E07C9A" w:rsidRDefault="00581FA5" w:rsidP="00487A02">
            <w:pPr>
              <w:pStyle w:val="InstructionsText"/>
            </w:pPr>
          </w:p>
        </w:tc>
      </w:tr>
      <w:tr w:rsidR="00581FA5" w:rsidRPr="00E07C9A" w14:paraId="16B68A3E" w14:textId="77777777" w:rsidTr="00672D2A">
        <w:tc>
          <w:tcPr>
            <w:tcW w:w="3761" w:type="dxa"/>
            <w:shd w:val="clear" w:color="auto" w:fill="auto"/>
          </w:tcPr>
          <w:p w14:paraId="466EA15E" w14:textId="2DA65114" w:rsidR="00581FA5" w:rsidRPr="00E07C9A" w:rsidRDefault="00581FA5" w:rsidP="00880E92">
            <w:pPr>
              <w:pStyle w:val="InstructionsText"/>
            </w:pPr>
            <w:r w:rsidRPr="00E07C9A">
              <w:t xml:space="preserve">Vyhovuje zaradeniu do triedy expozícií podľa článku 112 písm. q) nariadenia (EÚ) </w:t>
            </w:r>
            <w:r w:rsidR="009912F8" w:rsidRPr="00E07C9A">
              <w:t>č. 575/2013</w:t>
            </w:r>
            <w:r w:rsidRPr="00E07C9A">
              <w:t>?</w:t>
            </w:r>
          </w:p>
        </w:tc>
        <w:tc>
          <w:tcPr>
            <w:tcW w:w="1417" w:type="dxa"/>
            <w:shd w:val="clear" w:color="auto" w:fill="auto"/>
          </w:tcPr>
          <w:p w14:paraId="1D317502" w14:textId="77777777" w:rsidR="00BD52C3" w:rsidRPr="00E07C9A" w:rsidRDefault="00BD52C3" w:rsidP="00487A02">
            <w:pPr>
              <w:pStyle w:val="InstructionsText"/>
            </w:pPr>
            <w:r w:rsidRPr="00E07C9A">
              <w:t xml:space="preserve">ÁNO </w:t>
            </w:r>
            <w:r w:rsidRPr="00E07C9A">
              <w:rPr>
                <w:noProof/>
                <w:lang w:val="en-US" w:eastAsia="en-US"/>
              </w:rPr>
              <w:drawing>
                <wp:inline distT="0" distB="0" distL="0" distR="0" wp14:anchorId="18E3AA8C" wp14:editId="71127E58">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0D6289BF" w14:textId="77777777" w:rsidR="00581FA5" w:rsidRPr="00E07C9A" w:rsidRDefault="00581FA5" w:rsidP="00487A02">
            <w:pPr>
              <w:pStyle w:val="InstructionsText"/>
            </w:pPr>
          </w:p>
        </w:tc>
        <w:tc>
          <w:tcPr>
            <w:tcW w:w="4077" w:type="dxa"/>
            <w:shd w:val="clear" w:color="auto" w:fill="auto"/>
          </w:tcPr>
          <w:p w14:paraId="184B2AD2" w14:textId="77777777" w:rsidR="00581FA5" w:rsidRPr="00E07C9A" w:rsidRDefault="00581FA5" w:rsidP="00487A02">
            <w:pPr>
              <w:pStyle w:val="InstructionsText"/>
            </w:pPr>
            <w:r w:rsidRPr="00E07C9A">
              <w:t>Ostatné položky</w:t>
            </w:r>
          </w:p>
        </w:tc>
      </w:tr>
      <w:tr w:rsidR="00581FA5" w:rsidRPr="00E07C9A" w14:paraId="22253DCC" w14:textId="77777777" w:rsidTr="00672D2A">
        <w:tc>
          <w:tcPr>
            <w:tcW w:w="3761" w:type="dxa"/>
            <w:shd w:val="clear" w:color="auto" w:fill="auto"/>
          </w:tcPr>
          <w:p w14:paraId="73E218BA" w14:textId="77777777" w:rsidR="007241D3" w:rsidRPr="00E07C9A" w:rsidRDefault="007241D3" w:rsidP="00487A02">
            <w:pPr>
              <w:pStyle w:val="InstructionsText"/>
            </w:pPr>
            <w:r w:rsidRPr="00E07C9A">
              <w:t xml:space="preserve">NIE </w:t>
            </w:r>
            <w:r w:rsidRPr="00E07C9A">
              <w:rPr>
                <w:noProof/>
                <w:lang w:val="en-US" w:eastAsia="en-US"/>
              </w:rPr>
              <w:drawing>
                <wp:inline distT="0" distB="0" distL="0" distR="0" wp14:anchorId="6D85ECBA" wp14:editId="45D79807">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43DB9E37" w14:textId="77777777" w:rsidR="00581FA5" w:rsidRPr="00E07C9A" w:rsidRDefault="00581FA5" w:rsidP="00487A02">
            <w:pPr>
              <w:pStyle w:val="InstructionsText"/>
            </w:pPr>
          </w:p>
        </w:tc>
        <w:tc>
          <w:tcPr>
            <w:tcW w:w="1417" w:type="dxa"/>
            <w:shd w:val="clear" w:color="auto" w:fill="auto"/>
          </w:tcPr>
          <w:p w14:paraId="5B518D8E" w14:textId="77777777" w:rsidR="00581FA5" w:rsidRPr="00E07C9A" w:rsidRDefault="00581FA5" w:rsidP="00487A02">
            <w:pPr>
              <w:pStyle w:val="InstructionsText"/>
            </w:pPr>
          </w:p>
        </w:tc>
        <w:tc>
          <w:tcPr>
            <w:tcW w:w="4077" w:type="dxa"/>
            <w:shd w:val="clear" w:color="auto" w:fill="auto"/>
          </w:tcPr>
          <w:p w14:paraId="62B057CD" w14:textId="77777777" w:rsidR="00581FA5" w:rsidRPr="00E07C9A" w:rsidRDefault="00581FA5" w:rsidP="00487A02">
            <w:pPr>
              <w:pStyle w:val="InstructionsText"/>
            </w:pPr>
          </w:p>
        </w:tc>
      </w:tr>
      <w:tr w:rsidR="00581FA5" w:rsidRPr="00E07C9A" w14:paraId="1B4F2790" w14:textId="77777777" w:rsidTr="00672D2A">
        <w:tc>
          <w:tcPr>
            <w:tcW w:w="3761" w:type="dxa"/>
            <w:shd w:val="clear" w:color="auto" w:fill="auto"/>
          </w:tcPr>
          <w:p w14:paraId="09C08B49" w14:textId="58B09F65" w:rsidR="00581FA5" w:rsidRPr="00E07C9A" w:rsidRDefault="00581FA5" w:rsidP="00880E92">
            <w:pPr>
              <w:pStyle w:val="InstructionsText"/>
            </w:pPr>
            <w:r w:rsidRPr="00E07C9A">
              <w:t xml:space="preserve">Vyhovuje zaradeniu do triedy expozícií podľa článku 112 písm. n) nariadenia (EÚ) </w:t>
            </w:r>
            <w:r w:rsidR="009912F8" w:rsidRPr="00E07C9A">
              <w:t>č. 575/2013</w:t>
            </w:r>
            <w:r w:rsidRPr="00E07C9A">
              <w:t>?</w:t>
            </w:r>
          </w:p>
        </w:tc>
        <w:tc>
          <w:tcPr>
            <w:tcW w:w="1417" w:type="dxa"/>
            <w:shd w:val="clear" w:color="auto" w:fill="auto"/>
          </w:tcPr>
          <w:p w14:paraId="3AAC30A2" w14:textId="77777777" w:rsidR="0063493E" w:rsidRPr="00E07C9A" w:rsidRDefault="0063493E" w:rsidP="00487A02">
            <w:pPr>
              <w:pStyle w:val="InstructionsText"/>
            </w:pPr>
            <w:r w:rsidRPr="00E07C9A">
              <w:t xml:space="preserve">ÁNO </w:t>
            </w:r>
            <w:r w:rsidRPr="00E07C9A">
              <w:rPr>
                <w:noProof/>
                <w:lang w:val="en-US" w:eastAsia="en-US"/>
              </w:rPr>
              <w:drawing>
                <wp:inline distT="0" distB="0" distL="0" distR="0" wp14:anchorId="7AF01324" wp14:editId="671B3AAC">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AD28AC5" w14:textId="77777777" w:rsidR="00581FA5" w:rsidRPr="00E07C9A" w:rsidRDefault="00581FA5" w:rsidP="00487A02">
            <w:pPr>
              <w:pStyle w:val="InstructionsText"/>
            </w:pPr>
          </w:p>
        </w:tc>
        <w:tc>
          <w:tcPr>
            <w:tcW w:w="4077" w:type="dxa"/>
            <w:shd w:val="clear" w:color="auto" w:fill="auto"/>
          </w:tcPr>
          <w:p w14:paraId="7A229230" w14:textId="6D29799A" w:rsidR="00581FA5" w:rsidRPr="00E07C9A" w:rsidRDefault="00581FA5" w:rsidP="00487A02">
            <w:pPr>
              <w:pStyle w:val="InstructionsText"/>
            </w:pPr>
            <w:r w:rsidRPr="00E07C9A">
              <w:t>Expozície voči inštitúciám</w:t>
            </w:r>
            <w:r w:rsidR="009912F8" w:rsidRPr="00E07C9A">
              <w:t xml:space="preserve"> a </w:t>
            </w:r>
            <w:r w:rsidRPr="00E07C9A">
              <w:t>podnikateľským subjektom</w:t>
            </w:r>
            <w:r w:rsidR="009912F8" w:rsidRPr="00E07C9A">
              <w:t xml:space="preserve"> s </w:t>
            </w:r>
            <w:r w:rsidRPr="00E07C9A">
              <w:t>krátkodobým ratingovým hodnotením</w:t>
            </w:r>
          </w:p>
        </w:tc>
      </w:tr>
      <w:tr w:rsidR="00581FA5" w:rsidRPr="00E07C9A" w14:paraId="3E8D6847" w14:textId="77777777" w:rsidTr="00672D2A">
        <w:tc>
          <w:tcPr>
            <w:tcW w:w="3761" w:type="dxa"/>
            <w:shd w:val="clear" w:color="auto" w:fill="auto"/>
          </w:tcPr>
          <w:p w14:paraId="46AD76FC" w14:textId="77777777" w:rsidR="007241D3" w:rsidRPr="00E07C9A" w:rsidRDefault="007241D3" w:rsidP="00487A02">
            <w:pPr>
              <w:pStyle w:val="InstructionsText"/>
            </w:pPr>
            <w:r w:rsidRPr="00E07C9A">
              <w:t xml:space="preserve">NIE </w:t>
            </w:r>
            <w:r w:rsidRPr="00E07C9A">
              <w:rPr>
                <w:noProof/>
                <w:lang w:val="en-US" w:eastAsia="en-US"/>
              </w:rPr>
              <w:drawing>
                <wp:inline distT="0" distB="0" distL="0" distR="0" wp14:anchorId="1AA6B639" wp14:editId="08A9651A">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7BA79D1" w14:textId="77777777" w:rsidR="00581FA5" w:rsidRPr="00E07C9A" w:rsidRDefault="00581FA5" w:rsidP="00487A02">
            <w:pPr>
              <w:pStyle w:val="InstructionsText"/>
            </w:pPr>
          </w:p>
        </w:tc>
        <w:tc>
          <w:tcPr>
            <w:tcW w:w="1417" w:type="dxa"/>
            <w:shd w:val="clear" w:color="auto" w:fill="auto"/>
          </w:tcPr>
          <w:p w14:paraId="17DFF95B" w14:textId="77777777" w:rsidR="00581FA5" w:rsidRPr="00E07C9A" w:rsidRDefault="00581FA5" w:rsidP="00487A02">
            <w:pPr>
              <w:pStyle w:val="InstructionsText"/>
            </w:pPr>
          </w:p>
        </w:tc>
        <w:tc>
          <w:tcPr>
            <w:tcW w:w="4077" w:type="dxa"/>
            <w:shd w:val="clear" w:color="auto" w:fill="auto"/>
          </w:tcPr>
          <w:p w14:paraId="066DD4E7" w14:textId="77777777" w:rsidR="00581FA5" w:rsidRPr="00E07C9A" w:rsidRDefault="00581FA5" w:rsidP="00487A02">
            <w:pPr>
              <w:pStyle w:val="InstructionsText"/>
            </w:pPr>
          </w:p>
        </w:tc>
      </w:tr>
      <w:tr w:rsidR="00581FA5" w:rsidRPr="00E07C9A" w14:paraId="376F7C8D" w14:textId="77777777" w:rsidTr="00672D2A">
        <w:tc>
          <w:tcPr>
            <w:tcW w:w="9255" w:type="dxa"/>
            <w:gridSpan w:val="3"/>
            <w:shd w:val="clear" w:color="auto" w:fill="auto"/>
          </w:tcPr>
          <w:p w14:paraId="51E634C6" w14:textId="16A28190" w:rsidR="00581FA5" w:rsidRPr="00E07C9A" w:rsidRDefault="00581FA5" w:rsidP="00487A02">
            <w:pPr>
              <w:pStyle w:val="InstructionsText"/>
            </w:pPr>
            <w:r w:rsidRPr="00E07C9A">
              <w:t>Nižšie uvedené triedy expozícií sa navzájom vylučujú. Zaradenie do jednej</w:t>
            </w:r>
            <w:r w:rsidR="009912F8" w:rsidRPr="00E07C9A">
              <w:t xml:space="preserve"> z </w:t>
            </w:r>
            <w:r w:rsidRPr="00E07C9A">
              <w:t>nich je preto jasné.</w:t>
            </w:r>
          </w:p>
          <w:p w14:paraId="078366A0" w14:textId="77777777" w:rsidR="00581FA5" w:rsidRPr="00E07C9A" w:rsidRDefault="00581FA5" w:rsidP="00487A02">
            <w:pPr>
              <w:pStyle w:val="InstructionsText"/>
            </w:pPr>
            <w:r w:rsidRPr="00E07C9A">
              <w:t>Expozície voči ústredným vládam alebo centrálnym bankám</w:t>
            </w:r>
          </w:p>
          <w:p w14:paraId="5704C1AB" w14:textId="77777777" w:rsidR="00581FA5" w:rsidRPr="00E07C9A" w:rsidRDefault="00581FA5" w:rsidP="00487A02">
            <w:pPr>
              <w:pStyle w:val="InstructionsText"/>
            </w:pPr>
            <w:r w:rsidRPr="00E07C9A">
              <w:t>Expozície voči regionálnym vládam alebo miestnym orgánom</w:t>
            </w:r>
          </w:p>
          <w:p w14:paraId="6C86AA24" w14:textId="77777777" w:rsidR="00581FA5" w:rsidRPr="00E07C9A" w:rsidRDefault="00581FA5" w:rsidP="00487A02">
            <w:pPr>
              <w:pStyle w:val="InstructionsText"/>
            </w:pPr>
            <w:r w:rsidRPr="00E07C9A">
              <w:t>Expozície voči subjektom verejného sektora</w:t>
            </w:r>
          </w:p>
          <w:p w14:paraId="053A0BEF" w14:textId="77777777" w:rsidR="00581FA5" w:rsidRPr="00E07C9A" w:rsidRDefault="00581FA5" w:rsidP="00487A02">
            <w:pPr>
              <w:pStyle w:val="InstructionsText"/>
            </w:pPr>
            <w:r w:rsidRPr="00E07C9A">
              <w:t>Expozície voči multilaterálnym rozvojovým bankám</w:t>
            </w:r>
          </w:p>
          <w:p w14:paraId="1EE8962F" w14:textId="77777777" w:rsidR="00581FA5" w:rsidRPr="00E07C9A" w:rsidRDefault="00581FA5" w:rsidP="00487A02">
            <w:pPr>
              <w:pStyle w:val="InstructionsText"/>
            </w:pPr>
            <w:r w:rsidRPr="00E07C9A">
              <w:t>Expozície voči medzinárodným organizáciám</w:t>
            </w:r>
          </w:p>
          <w:p w14:paraId="5BD6520E" w14:textId="77777777" w:rsidR="00581FA5" w:rsidRPr="00E07C9A" w:rsidRDefault="00581FA5" w:rsidP="00487A02">
            <w:pPr>
              <w:pStyle w:val="InstructionsText"/>
            </w:pPr>
            <w:r w:rsidRPr="00E07C9A">
              <w:t>Expozície voči inštitúciám</w:t>
            </w:r>
          </w:p>
          <w:p w14:paraId="4816B9C7" w14:textId="77777777" w:rsidR="00581FA5" w:rsidRPr="00E07C9A" w:rsidRDefault="00581FA5" w:rsidP="00487A02">
            <w:pPr>
              <w:pStyle w:val="InstructionsText"/>
            </w:pPr>
            <w:r w:rsidRPr="00E07C9A">
              <w:t>Expozície voči podnikateľským subjektom</w:t>
            </w:r>
          </w:p>
          <w:p w14:paraId="2AE1E734" w14:textId="77777777" w:rsidR="00581FA5" w:rsidRPr="00E07C9A" w:rsidRDefault="00581FA5" w:rsidP="00487A02">
            <w:pPr>
              <w:pStyle w:val="InstructionsText"/>
            </w:pPr>
            <w:r w:rsidRPr="00E07C9A">
              <w:t>Retailové expozície</w:t>
            </w:r>
          </w:p>
        </w:tc>
      </w:tr>
    </w:tbl>
    <w:p w14:paraId="0275EE59" w14:textId="77777777" w:rsidR="0073242B" w:rsidRPr="00E07C9A" w:rsidRDefault="0073242B">
      <w:pPr>
        <w:spacing w:before="0" w:after="0"/>
        <w:jc w:val="left"/>
        <w:rPr>
          <w:rFonts w:ascii="Times New Roman" w:hAnsi="Times New Roman"/>
          <w:bCs/>
          <w:sz w:val="24"/>
        </w:rPr>
      </w:pPr>
      <w:r w:rsidRPr="00E07C9A">
        <w:rPr>
          <w:rFonts w:ascii="Times New Roman" w:hAnsi="Times New Roman"/>
        </w:rPr>
        <w:br w:type="page"/>
      </w:r>
    </w:p>
    <w:p w14:paraId="014584E8" w14:textId="77777777" w:rsidR="00464F34" w:rsidRPr="00E07C9A" w:rsidRDefault="00464F34" w:rsidP="00487A02">
      <w:pPr>
        <w:pStyle w:val="InstructionsText"/>
      </w:pPr>
    </w:p>
    <w:p w14:paraId="63087114" w14:textId="47D172E7" w:rsidR="00464F34" w:rsidRPr="00E07C9A" w:rsidRDefault="00125707" w:rsidP="0023700C">
      <w:pPr>
        <w:pStyle w:val="Instructionsberschrift2"/>
        <w:numPr>
          <w:ilvl w:val="0"/>
          <w:numId w:val="0"/>
        </w:numPr>
        <w:ind w:left="357" w:hanging="357"/>
        <w:rPr>
          <w:rFonts w:ascii="Times New Roman" w:hAnsi="Times New Roman" w:cs="Times New Roman"/>
          <w:sz w:val="24"/>
        </w:rPr>
      </w:pPr>
      <w:bookmarkStart w:id="191" w:name="_Toc262568031"/>
      <w:bookmarkStart w:id="192" w:name="_Toc264038429"/>
      <w:bookmarkStart w:id="193" w:name="_Toc292456208"/>
      <w:bookmarkStart w:id="194" w:name="_Toc295829859"/>
      <w:bookmarkStart w:id="195" w:name="_Toc310415023"/>
      <w:bookmarkStart w:id="196" w:name="_Toc360188352"/>
      <w:bookmarkStart w:id="197" w:name="_Toc473560901"/>
      <w:bookmarkStart w:id="198" w:name="_Toc115857781"/>
      <w:r w:rsidRPr="00E07C9A">
        <w:rPr>
          <w:rFonts w:ascii="Times New Roman" w:hAnsi="Times New Roman" w:cs="Times New Roman"/>
          <w:sz w:val="24"/>
          <w:u w:val="none"/>
        </w:rPr>
        <w:t>3.2.4.</w:t>
      </w:r>
      <w:r w:rsidRPr="00E07C9A">
        <w:rPr>
          <w:rFonts w:ascii="Times New Roman" w:hAnsi="Times New Roman" w:cs="Times New Roman"/>
          <w:u w:val="none"/>
        </w:rPr>
        <w:tab/>
      </w:r>
      <w:r w:rsidRPr="00E07C9A">
        <w:rPr>
          <w:rFonts w:ascii="Times New Roman" w:hAnsi="Times New Roman" w:cs="Times New Roman"/>
          <w:sz w:val="24"/>
        </w:rPr>
        <w:t>Objasnenie rozsahu niektorých osobitných tried expozícií uvedených</w:t>
      </w:r>
      <w:r w:rsidR="009912F8" w:rsidRPr="00E07C9A">
        <w:rPr>
          <w:rFonts w:ascii="Times New Roman" w:hAnsi="Times New Roman" w:cs="Times New Roman"/>
          <w:sz w:val="24"/>
        </w:rPr>
        <w:t xml:space="preserve"> v </w:t>
      </w:r>
      <w:r w:rsidRPr="00E07C9A">
        <w:rPr>
          <w:rFonts w:ascii="Times New Roman" w:hAnsi="Times New Roman" w:cs="Times New Roman"/>
          <w:sz w:val="24"/>
        </w:rPr>
        <w:t xml:space="preserve">článku 112 </w:t>
      </w:r>
      <w:bookmarkEnd w:id="191"/>
      <w:bookmarkEnd w:id="192"/>
      <w:bookmarkEnd w:id="193"/>
      <w:bookmarkEnd w:id="194"/>
      <w:bookmarkEnd w:id="195"/>
      <w:bookmarkEnd w:id="196"/>
      <w:bookmarkEnd w:id="197"/>
      <w:r w:rsidRPr="00E07C9A">
        <w:rPr>
          <w:rFonts w:ascii="Times New Roman" w:hAnsi="Times New Roman" w:cs="Times New Roman"/>
          <w:sz w:val="24"/>
        </w:rPr>
        <w:t xml:space="preserve">nariadenia (EÚ) </w:t>
      </w:r>
      <w:r w:rsidR="009912F8" w:rsidRPr="00E07C9A">
        <w:rPr>
          <w:rFonts w:ascii="Times New Roman" w:hAnsi="Times New Roman" w:cs="Times New Roman"/>
          <w:sz w:val="24"/>
        </w:rPr>
        <w:t>č. 575/2013</w:t>
      </w:r>
      <w:bookmarkEnd w:id="198"/>
    </w:p>
    <w:p w14:paraId="55E6F0F6" w14:textId="77777777" w:rsidR="00464F34" w:rsidRPr="00E07C9A" w:rsidRDefault="00125707" w:rsidP="0023700C">
      <w:pPr>
        <w:pStyle w:val="Instructionsberschrift2"/>
        <w:numPr>
          <w:ilvl w:val="0"/>
          <w:numId w:val="0"/>
        </w:numPr>
        <w:ind w:left="357" w:hanging="357"/>
        <w:rPr>
          <w:rFonts w:ascii="Times New Roman" w:hAnsi="Times New Roman" w:cs="Times New Roman"/>
          <w:sz w:val="24"/>
        </w:rPr>
      </w:pPr>
      <w:bookmarkStart w:id="199" w:name="_Toc360188353"/>
      <w:bookmarkStart w:id="200" w:name="_Toc473560902"/>
      <w:bookmarkStart w:id="201" w:name="_Toc115857782"/>
      <w:r w:rsidRPr="00E07C9A">
        <w:rPr>
          <w:rFonts w:ascii="Times New Roman" w:hAnsi="Times New Roman" w:cs="Times New Roman"/>
          <w:sz w:val="24"/>
          <w:u w:val="none"/>
        </w:rPr>
        <w:t>3.2.4.1.</w:t>
      </w:r>
      <w:r w:rsidRPr="00E07C9A">
        <w:rPr>
          <w:rFonts w:ascii="Times New Roman" w:hAnsi="Times New Roman" w:cs="Times New Roman"/>
          <w:u w:val="none"/>
        </w:rPr>
        <w:tab/>
      </w:r>
      <w:r w:rsidRPr="00E07C9A">
        <w:rPr>
          <w:rFonts w:ascii="Times New Roman" w:hAnsi="Times New Roman" w:cs="Times New Roman"/>
          <w:sz w:val="24"/>
        </w:rPr>
        <w:t>Trieda expozícií „inštitúcie“</w:t>
      </w:r>
      <w:bookmarkEnd w:id="199"/>
      <w:bookmarkEnd w:id="200"/>
      <w:bookmarkEnd w:id="201"/>
    </w:p>
    <w:p w14:paraId="17B6FF43" w14:textId="28C13884" w:rsidR="00464F34" w:rsidRPr="00E07C9A" w:rsidRDefault="002A18DE" w:rsidP="00487A02">
      <w:pPr>
        <w:pStyle w:val="InstructionsText2"/>
        <w:numPr>
          <w:ilvl w:val="0"/>
          <w:numId w:val="0"/>
        </w:numPr>
        <w:ind w:left="1353" w:hanging="360"/>
      </w:pPr>
      <w:fldSimple w:instr=" seq paragraphs ">
        <w:r w:rsidR="00132AEE">
          <w:rPr>
            <w:noProof/>
          </w:rPr>
          <w:t>66</w:t>
        </w:r>
      </w:fldSimple>
      <w:r w:rsidR="00C3070C" w:rsidRPr="00E07C9A">
        <w:t>.</w:t>
      </w:r>
      <w:r w:rsidR="00C3070C" w:rsidRPr="00E07C9A">
        <w:tab/>
        <w:t>Expozície</w:t>
      </w:r>
      <w:r w:rsidR="009912F8" w:rsidRPr="00E07C9A">
        <w:t xml:space="preserve"> v </w:t>
      </w:r>
      <w:r w:rsidR="00C3070C" w:rsidRPr="00E07C9A">
        <w:t>rámci skupiny uvedené</w:t>
      </w:r>
      <w:r w:rsidR="009912F8" w:rsidRPr="00E07C9A">
        <w:t xml:space="preserve"> v </w:t>
      </w:r>
      <w:r w:rsidR="00C3070C" w:rsidRPr="00E07C9A">
        <w:t>článku 113 ods. 6</w:t>
      </w:r>
      <w:r w:rsidR="009912F8" w:rsidRPr="00E07C9A">
        <w:t xml:space="preserve"> a </w:t>
      </w:r>
      <w:r w:rsidR="00C3070C" w:rsidRPr="00E07C9A">
        <w:t xml:space="preserve">7 nariadenia (EÚ) </w:t>
      </w:r>
      <w:r w:rsidR="009912F8" w:rsidRPr="00E07C9A">
        <w:t>č. 575/2013</w:t>
      </w:r>
      <w:r w:rsidR="00C3070C" w:rsidRPr="00E07C9A">
        <w:t xml:space="preserve"> sa vykazujú takto:</w:t>
      </w:r>
    </w:p>
    <w:p w14:paraId="626B6469" w14:textId="373BA8FF" w:rsidR="00464F34" w:rsidRPr="00E07C9A" w:rsidRDefault="002A18DE" w:rsidP="00487A02">
      <w:pPr>
        <w:pStyle w:val="InstructionsText2"/>
        <w:numPr>
          <w:ilvl w:val="0"/>
          <w:numId w:val="0"/>
        </w:numPr>
        <w:ind w:left="1353" w:hanging="360"/>
      </w:pPr>
      <w:fldSimple w:instr=" seq paragraphs ">
        <w:r w:rsidR="00132AEE">
          <w:rPr>
            <w:noProof/>
          </w:rPr>
          <w:t>67</w:t>
        </w:r>
      </w:fldSimple>
      <w:r w:rsidR="00C3070C" w:rsidRPr="00E07C9A">
        <w:t>.</w:t>
      </w:r>
      <w:r w:rsidR="00C3070C" w:rsidRPr="00E07C9A">
        <w:tab/>
        <w:t xml:space="preserve">Expozície, ktoré spĺňajú požiadavky článku 113 ods. 7 nariadenia (EÚ) </w:t>
      </w:r>
      <w:r w:rsidR="009912F8" w:rsidRPr="00E07C9A">
        <w:t>č. 575/2013</w:t>
      </w:r>
      <w:r w:rsidR="00C3070C" w:rsidRPr="00E07C9A">
        <w:t>, sa vykazujú</w:t>
      </w:r>
      <w:r w:rsidR="009912F8" w:rsidRPr="00E07C9A">
        <w:t xml:space="preserve"> v </w:t>
      </w:r>
      <w:r w:rsidR="00C3070C" w:rsidRPr="00E07C9A">
        <w:t>príslušných triedach expozícií, kde by sa vykazovali, keby neboli expozíciami</w:t>
      </w:r>
      <w:r w:rsidR="009912F8" w:rsidRPr="00E07C9A">
        <w:t xml:space="preserve"> v </w:t>
      </w:r>
      <w:r w:rsidR="00C3070C" w:rsidRPr="00E07C9A">
        <w:t>rámci skupiny.</w:t>
      </w:r>
    </w:p>
    <w:p w14:paraId="4CF7FD64" w14:textId="4E027EFF" w:rsidR="00464F34" w:rsidRPr="00E07C9A" w:rsidRDefault="002A18DE" w:rsidP="00487A02">
      <w:pPr>
        <w:pStyle w:val="InstructionsText2"/>
        <w:numPr>
          <w:ilvl w:val="0"/>
          <w:numId w:val="0"/>
        </w:numPr>
        <w:ind w:left="1353" w:hanging="360"/>
      </w:pPr>
      <w:fldSimple w:instr=" seq paragraphs ">
        <w:r w:rsidR="00132AEE">
          <w:rPr>
            <w:noProof/>
          </w:rPr>
          <w:t>68</w:t>
        </w:r>
      </w:fldSimple>
      <w:r w:rsidR="00C3070C" w:rsidRPr="00E07C9A">
        <w:t>.</w:t>
      </w:r>
      <w:r w:rsidR="00C3070C" w:rsidRPr="00E07C9A">
        <w:tab/>
        <w:t>Podľa článku 113 ods. 6</w:t>
      </w:r>
      <w:r w:rsidR="009912F8" w:rsidRPr="00E07C9A">
        <w:t xml:space="preserve"> a </w:t>
      </w:r>
      <w:r w:rsidR="00C3070C" w:rsidRPr="00E07C9A">
        <w:t xml:space="preserve">7 nariadenia (EÚ) </w:t>
      </w:r>
      <w:r w:rsidR="009912F8" w:rsidRPr="00E07C9A">
        <w:t>č. 575/2013</w:t>
      </w:r>
      <w:r w:rsidR="00C3070C" w:rsidRPr="00E07C9A">
        <w:t xml:space="preserve"> sa inštitúcia</w:t>
      </w:r>
      <w:r w:rsidR="009912F8" w:rsidRPr="00E07C9A">
        <w:t xml:space="preserve"> s </w:t>
      </w:r>
      <w:r w:rsidR="00C3070C" w:rsidRPr="00E07C9A">
        <w:t>výhradou predchádzajúceho súhlasu príslušných orgánov môže rozhodnúť, že nebude uplatňovať požiadavky odseku 1 uvedeného článku na expozície tejto inštitúcie voči protistrane, ktorá je jej materskou spoločnosťou, jej dcérskou spoločnosťou alebo dcérskou spoločnosťou jej materskej spoločnosti alebo podnikom, ktorý je prepojený vzťahom</w:t>
      </w:r>
      <w:r w:rsidR="009912F8" w:rsidRPr="00E07C9A">
        <w:t xml:space="preserve"> v </w:t>
      </w:r>
      <w:r w:rsidR="00C3070C" w:rsidRPr="00E07C9A">
        <w:t>zmysle článku 12 ods. 1 smernice 83/349/EHS. Znamená to, že protistrany</w:t>
      </w:r>
      <w:r w:rsidR="009912F8" w:rsidRPr="00E07C9A">
        <w:t xml:space="preserve"> v </w:t>
      </w:r>
      <w:r w:rsidR="00C3070C" w:rsidRPr="00E07C9A">
        <w:t>rámci skupiny nie sú nutne inštitúciami, ale aj podnikmi, ktoré sú zaradené do iných tried expozícií, napr. podniky pomocných služieb alebo podniky</w:t>
      </w:r>
      <w:r w:rsidR="009912F8" w:rsidRPr="00E07C9A">
        <w:t xml:space="preserve"> v </w:t>
      </w:r>
      <w:r w:rsidR="00C3070C" w:rsidRPr="00E07C9A">
        <w:t>zmysle článku 12 ods. 1 smernice Rady 83/349/EHS</w:t>
      </w:r>
      <w:r w:rsidR="00C3070C" w:rsidRPr="00E07C9A">
        <w:footnoteReference w:id="3"/>
      </w:r>
      <w:r w:rsidR="00C3070C" w:rsidRPr="00E07C9A">
        <w:t>. Expozície</w:t>
      </w:r>
      <w:r w:rsidR="009912F8" w:rsidRPr="00E07C9A">
        <w:t xml:space="preserve"> v </w:t>
      </w:r>
      <w:r w:rsidR="00C3070C" w:rsidRPr="00E07C9A">
        <w:t>rámci skupiny sa preto vykazujú</w:t>
      </w:r>
      <w:r w:rsidR="009912F8" w:rsidRPr="00E07C9A">
        <w:t xml:space="preserve"> v </w:t>
      </w:r>
      <w:r w:rsidR="00C3070C" w:rsidRPr="00E07C9A">
        <w:t>príslušnej triede expozícií.</w:t>
      </w:r>
    </w:p>
    <w:p w14:paraId="60C0B8B9" w14:textId="1641715B" w:rsidR="00464F34" w:rsidRPr="00E07C9A" w:rsidRDefault="00125707" w:rsidP="0023700C">
      <w:pPr>
        <w:pStyle w:val="Instructionsberschrift2"/>
        <w:numPr>
          <w:ilvl w:val="0"/>
          <w:numId w:val="0"/>
        </w:numPr>
        <w:ind w:left="357" w:hanging="357"/>
        <w:rPr>
          <w:rFonts w:ascii="Times New Roman" w:hAnsi="Times New Roman" w:cs="Times New Roman"/>
          <w:sz w:val="24"/>
        </w:rPr>
      </w:pPr>
      <w:bookmarkStart w:id="202" w:name="_Toc360188354"/>
      <w:bookmarkStart w:id="203" w:name="_Toc473560903"/>
      <w:bookmarkStart w:id="204" w:name="_Toc115857783"/>
      <w:r w:rsidRPr="00E07C9A">
        <w:rPr>
          <w:rFonts w:ascii="Times New Roman" w:hAnsi="Times New Roman" w:cs="Times New Roman"/>
          <w:sz w:val="24"/>
          <w:u w:val="none"/>
        </w:rPr>
        <w:t>3.2.4.2.</w:t>
      </w:r>
      <w:r w:rsidRPr="00E07C9A">
        <w:rPr>
          <w:rFonts w:ascii="Times New Roman" w:hAnsi="Times New Roman" w:cs="Times New Roman"/>
          <w:u w:val="none"/>
        </w:rPr>
        <w:tab/>
      </w:r>
      <w:r w:rsidRPr="00E07C9A">
        <w:rPr>
          <w:rFonts w:ascii="Times New Roman" w:hAnsi="Times New Roman" w:cs="Times New Roman"/>
          <w:sz w:val="24"/>
        </w:rPr>
        <w:t>Trieda expozícií „kryté dlhopisy“</w:t>
      </w:r>
      <w:bookmarkEnd w:id="202"/>
      <w:bookmarkEnd w:id="203"/>
      <w:bookmarkEnd w:id="204"/>
    </w:p>
    <w:p w14:paraId="5C7B716A" w14:textId="2C28FF6C" w:rsidR="00464F34" w:rsidRPr="00E07C9A" w:rsidRDefault="002A18DE" w:rsidP="00487A02">
      <w:pPr>
        <w:pStyle w:val="InstructionsText2"/>
        <w:numPr>
          <w:ilvl w:val="0"/>
          <w:numId w:val="0"/>
        </w:numPr>
        <w:ind w:left="1353" w:hanging="360"/>
      </w:pPr>
      <w:fldSimple w:instr=" seq paragraphs ">
        <w:r w:rsidR="00132AEE">
          <w:rPr>
            <w:noProof/>
          </w:rPr>
          <w:t>69</w:t>
        </w:r>
      </w:fldSimple>
      <w:r w:rsidR="00C3070C" w:rsidRPr="00E07C9A">
        <w:t>.</w:t>
      </w:r>
      <w:r w:rsidR="00C3070C" w:rsidRPr="00E07C9A">
        <w:tab/>
        <w:t>Expozície SA sa zaraďujú do triedy expozícií „kryté dlhopisy“ takto:</w:t>
      </w:r>
    </w:p>
    <w:p w14:paraId="06BAD20B" w14:textId="72F84281" w:rsidR="00464F34" w:rsidRPr="00E07C9A" w:rsidRDefault="002A18DE" w:rsidP="00487A02">
      <w:pPr>
        <w:pStyle w:val="InstructionsText2"/>
        <w:numPr>
          <w:ilvl w:val="0"/>
          <w:numId w:val="0"/>
        </w:numPr>
        <w:ind w:left="1353" w:hanging="360"/>
      </w:pPr>
      <w:fldSimple w:instr=" seq paragraphs ">
        <w:r w:rsidR="00132AEE">
          <w:rPr>
            <w:noProof/>
          </w:rPr>
          <w:t>70</w:t>
        </w:r>
      </w:fldSimple>
      <w:r w:rsidR="00C3070C" w:rsidRPr="00E07C9A">
        <w:t>.</w:t>
      </w:r>
      <w:r w:rsidR="00C3070C" w:rsidRPr="00E07C9A">
        <w:tab/>
        <w:t>Dlhopisy uvedené</w:t>
      </w:r>
      <w:r w:rsidR="009912F8" w:rsidRPr="00E07C9A">
        <w:t xml:space="preserve"> v </w:t>
      </w:r>
      <w:r w:rsidR="00C3070C" w:rsidRPr="00E07C9A">
        <w:t>článku 52 ods. 4 smernice Európskeho parlamentu</w:t>
      </w:r>
      <w:r w:rsidR="009912F8" w:rsidRPr="00E07C9A">
        <w:t xml:space="preserve"> a </w:t>
      </w:r>
      <w:r w:rsidR="00C3070C" w:rsidRPr="00E07C9A">
        <w:t>Rady 2009/65/ES</w:t>
      </w:r>
      <w:r w:rsidR="00C3070C" w:rsidRPr="00E07C9A">
        <w:footnoteReference w:id="4"/>
      </w:r>
      <w:r w:rsidR="00C3070C" w:rsidRPr="00E07C9A">
        <w:t xml:space="preserve"> musia spĺňať požiadavky článku 129 ods. 1</w:t>
      </w:r>
      <w:r w:rsidR="009912F8" w:rsidRPr="00E07C9A">
        <w:t xml:space="preserve"> a </w:t>
      </w:r>
      <w:r w:rsidR="00C3070C" w:rsidRPr="00E07C9A">
        <w:t xml:space="preserve">2 nariadenia (EÚ) </w:t>
      </w:r>
      <w:r w:rsidR="009912F8" w:rsidRPr="00E07C9A">
        <w:t>č. 575/2013</w:t>
      </w:r>
      <w:r w:rsidR="00C3070C" w:rsidRPr="00E07C9A">
        <w:t>, aby sa mohli klasifikovať</w:t>
      </w:r>
      <w:r w:rsidR="009912F8" w:rsidRPr="00E07C9A">
        <w:t xml:space="preserve"> v </w:t>
      </w:r>
      <w:r w:rsidR="00C3070C" w:rsidRPr="00E07C9A">
        <w:t>triede expozícií „kryté dlhopisy“. Splnenie týchto požiadaviek sa musí vždy skontrolovať. Dlhopisy uvedené</w:t>
      </w:r>
      <w:r w:rsidR="009912F8" w:rsidRPr="00E07C9A">
        <w:t xml:space="preserve"> v </w:t>
      </w:r>
      <w:r w:rsidR="00C3070C" w:rsidRPr="00E07C9A">
        <w:t>článku 52 ods. 4 smernice 2009/65/ES</w:t>
      </w:r>
      <w:r w:rsidR="009912F8" w:rsidRPr="00E07C9A">
        <w:t xml:space="preserve"> a </w:t>
      </w:r>
      <w:r w:rsidR="00C3070C" w:rsidRPr="00E07C9A">
        <w:t xml:space="preserve">emitované pred 31. decembrom 2007 sa na základe článku 129 ods. 6 nariadenia (EÚ) </w:t>
      </w:r>
      <w:r w:rsidR="009912F8" w:rsidRPr="00E07C9A">
        <w:t>č. 575/2013 v </w:t>
      </w:r>
      <w:r w:rsidR="00C3070C" w:rsidRPr="00E07C9A">
        <w:t>každom prípade takisto zaradia do triedy expozícií „kryté dlhopisy“.</w:t>
      </w:r>
    </w:p>
    <w:p w14:paraId="48189E00" w14:textId="2901EF84" w:rsidR="00464F34" w:rsidRPr="00E07C9A" w:rsidRDefault="00125707" w:rsidP="0023700C">
      <w:pPr>
        <w:pStyle w:val="Instructionsberschrift2"/>
        <w:numPr>
          <w:ilvl w:val="0"/>
          <w:numId w:val="0"/>
        </w:numPr>
        <w:ind w:left="357" w:hanging="357"/>
        <w:rPr>
          <w:rFonts w:ascii="Times New Roman" w:hAnsi="Times New Roman" w:cs="Times New Roman"/>
          <w:sz w:val="24"/>
        </w:rPr>
      </w:pPr>
      <w:bookmarkStart w:id="205" w:name="_Toc360188355"/>
      <w:bookmarkStart w:id="206" w:name="_Toc473560904"/>
      <w:bookmarkStart w:id="207" w:name="_Toc115857784"/>
      <w:r w:rsidRPr="00E07C9A">
        <w:rPr>
          <w:rFonts w:ascii="Times New Roman" w:hAnsi="Times New Roman" w:cs="Times New Roman"/>
          <w:sz w:val="24"/>
          <w:u w:val="none"/>
        </w:rPr>
        <w:t>3.2.4.3.</w:t>
      </w:r>
      <w:r w:rsidRPr="00E07C9A">
        <w:rPr>
          <w:rFonts w:ascii="Times New Roman" w:hAnsi="Times New Roman" w:cs="Times New Roman"/>
          <w:u w:val="none"/>
        </w:rPr>
        <w:tab/>
      </w:r>
      <w:r w:rsidRPr="00E07C9A">
        <w:rPr>
          <w:rFonts w:ascii="Times New Roman" w:hAnsi="Times New Roman" w:cs="Times New Roman"/>
          <w:sz w:val="24"/>
        </w:rPr>
        <w:t>Trieda expozícií „podniky kolektívneho investovania“</w:t>
      </w:r>
      <w:bookmarkEnd w:id="205"/>
      <w:bookmarkEnd w:id="206"/>
      <w:bookmarkEnd w:id="207"/>
    </w:p>
    <w:p w14:paraId="16EBC451" w14:textId="0F2BC440" w:rsidR="009912F8" w:rsidRPr="00E07C9A" w:rsidRDefault="002A18DE" w:rsidP="00487A02">
      <w:pPr>
        <w:pStyle w:val="InstructionsText2"/>
        <w:numPr>
          <w:ilvl w:val="0"/>
          <w:numId w:val="0"/>
        </w:numPr>
        <w:ind w:left="1353" w:hanging="360"/>
      </w:pPr>
      <w:fldSimple w:instr=" seq paragraphs ">
        <w:r w:rsidR="00132AEE">
          <w:rPr>
            <w:noProof/>
          </w:rPr>
          <w:t>71</w:t>
        </w:r>
      </w:fldSimple>
      <w:r w:rsidR="00C3070C" w:rsidRPr="00E07C9A">
        <w:t>.</w:t>
      </w:r>
      <w:r w:rsidR="00C3070C" w:rsidRPr="00E07C9A">
        <w:tab/>
        <w:t>Ak sa využije možnosť uvedená</w:t>
      </w:r>
      <w:r w:rsidR="009912F8" w:rsidRPr="00E07C9A">
        <w:t xml:space="preserve"> v </w:t>
      </w:r>
      <w:r w:rsidR="00C3070C" w:rsidRPr="00E07C9A">
        <w:t xml:space="preserve">článku 132a ods. 2 nariadenia (EÚ) </w:t>
      </w:r>
      <w:r w:rsidR="009912F8" w:rsidRPr="00E07C9A">
        <w:t>č. 575/2013</w:t>
      </w:r>
      <w:r w:rsidR="00C3070C" w:rsidRPr="00E07C9A">
        <w:t>, expozície vo forme podielových listov alebo akcií</w:t>
      </w:r>
      <w:r w:rsidR="009912F8" w:rsidRPr="00E07C9A">
        <w:t xml:space="preserve"> v </w:t>
      </w:r>
      <w:r w:rsidR="00C3070C" w:rsidRPr="00E07C9A">
        <w:t>PKI sa vykazujú ako súvahové položky</w:t>
      </w:r>
      <w:r w:rsidR="009912F8" w:rsidRPr="00E07C9A">
        <w:t xml:space="preserve"> v </w:t>
      </w:r>
      <w:r w:rsidR="00C3070C" w:rsidRPr="00E07C9A">
        <w:t>súlade</w:t>
      </w:r>
      <w:r w:rsidR="009912F8" w:rsidRPr="00E07C9A">
        <w:t xml:space="preserve"> s </w:t>
      </w:r>
      <w:r w:rsidR="00C3070C" w:rsidRPr="00E07C9A">
        <w:t xml:space="preserve">článkom 111 ods. 1 prvou vetou nariadenia (EÚ) </w:t>
      </w:r>
      <w:r w:rsidR="009912F8" w:rsidRPr="00E07C9A">
        <w:t>č. 575/2013.</w:t>
      </w:r>
    </w:p>
    <w:p w14:paraId="041009DD" w14:textId="059742D6" w:rsidR="00464F34" w:rsidRPr="00E07C9A" w:rsidRDefault="00125707" w:rsidP="0023700C">
      <w:pPr>
        <w:pStyle w:val="Instructionsberschrift2"/>
        <w:numPr>
          <w:ilvl w:val="0"/>
          <w:numId w:val="0"/>
        </w:numPr>
        <w:ind w:left="357" w:hanging="357"/>
        <w:rPr>
          <w:rFonts w:ascii="Times New Roman" w:hAnsi="Times New Roman" w:cs="Times New Roman"/>
          <w:sz w:val="24"/>
        </w:rPr>
      </w:pPr>
      <w:bookmarkStart w:id="208" w:name="_Toc262568032"/>
      <w:bookmarkStart w:id="209" w:name="_Toc264038430"/>
      <w:bookmarkStart w:id="210" w:name="_Toc292456209"/>
      <w:bookmarkStart w:id="211" w:name="_Toc295829860"/>
      <w:bookmarkStart w:id="212" w:name="_Toc310415024"/>
      <w:bookmarkStart w:id="213" w:name="_Toc360188356"/>
      <w:bookmarkStart w:id="214" w:name="_Toc473560905"/>
      <w:bookmarkStart w:id="215" w:name="_Toc115857785"/>
      <w:r w:rsidRPr="00E07C9A">
        <w:rPr>
          <w:rFonts w:ascii="Times New Roman" w:hAnsi="Times New Roman" w:cs="Times New Roman"/>
          <w:sz w:val="24"/>
          <w:u w:val="none"/>
        </w:rPr>
        <w:t>3.2.5.</w:t>
      </w:r>
      <w:r w:rsidRPr="00E07C9A">
        <w:rPr>
          <w:rFonts w:ascii="Times New Roman" w:hAnsi="Times New Roman" w:cs="Times New Roman"/>
        </w:rPr>
        <w:tab/>
      </w:r>
      <w:r w:rsidRPr="00E07C9A">
        <w:rPr>
          <w:rFonts w:ascii="Times New Roman" w:hAnsi="Times New Roman" w:cs="Times New Roman"/>
          <w:sz w:val="24"/>
        </w:rPr>
        <w:t>Pokyny týkajúce sa konkrétnych pozícií</w:t>
      </w:r>
      <w:bookmarkEnd w:id="208"/>
      <w:bookmarkEnd w:id="209"/>
      <w:bookmarkEnd w:id="210"/>
      <w:bookmarkEnd w:id="211"/>
      <w:bookmarkEnd w:id="212"/>
      <w:bookmarkEnd w:id="213"/>
      <w:bookmarkEnd w:id="214"/>
      <w:bookmarkEnd w:id="215"/>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E07C9A" w14:paraId="05FA098D" w14:textId="77777777" w:rsidTr="00672D2A">
        <w:trPr>
          <w:trHeight w:val="581"/>
        </w:trPr>
        <w:tc>
          <w:tcPr>
            <w:tcW w:w="9828" w:type="dxa"/>
            <w:gridSpan w:val="2"/>
            <w:shd w:val="clear" w:color="auto" w:fill="CCCCCC"/>
          </w:tcPr>
          <w:p w14:paraId="76571629" w14:textId="77777777" w:rsidR="00464F34" w:rsidRPr="00E07C9A" w:rsidRDefault="00464F34" w:rsidP="00487A02">
            <w:pPr>
              <w:pStyle w:val="InstructionsText"/>
            </w:pPr>
            <w:r w:rsidRPr="00E07C9A">
              <w:t>Stĺpce</w:t>
            </w:r>
          </w:p>
        </w:tc>
      </w:tr>
      <w:tr w:rsidR="00464F34" w:rsidRPr="00E07C9A" w14:paraId="24F75782" w14:textId="77777777" w:rsidTr="00672D2A">
        <w:tc>
          <w:tcPr>
            <w:tcW w:w="1188" w:type="dxa"/>
          </w:tcPr>
          <w:p w14:paraId="644D1401" w14:textId="77777777" w:rsidR="00464F34" w:rsidRPr="00E07C9A" w:rsidRDefault="00FF15C6" w:rsidP="00487A02">
            <w:pPr>
              <w:pStyle w:val="InstructionsText"/>
            </w:pPr>
            <w:r w:rsidRPr="00E07C9A">
              <w:t>0010</w:t>
            </w:r>
          </w:p>
        </w:tc>
        <w:tc>
          <w:tcPr>
            <w:tcW w:w="8640" w:type="dxa"/>
          </w:tcPr>
          <w:p w14:paraId="7C054386" w14:textId="77777777" w:rsidR="00464F34" w:rsidRPr="00E07C9A" w:rsidRDefault="00464F34"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PÔVODNÁ EXPOZÍCIA PRED UPLATNENÍM KONVERZNÝCH FAKTOROV</w:t>
            </w:r>
          </w:p>
          <w:p w14:paraId="70FC71B9" w14:textId="0F862667" w:rsidR="00464F34" w:rsidRPr="00E07C9A" w:rsidRDefault="00464F34" w:rsidP="00487A02">
            <w:pPr>
              <w:pStyle w:val="InstructionsText"/>
            </w:pPr>
            <w:r w:rsidRPr="00E07C9A">
              <w:t>Hodnota expozície vypočítaná</w:t>
            </w:r>
            <w:r w:rsidR="009912F8" w:rsidRPr="00E07C9A">
              <w:t xml:space="preserve"> v </w:t>
            </w:r>
            <w:r w:rsidRPr="00E07C9A">
              <w:t>súlade</w:t>
            </w:r>
            <w:r w:rsidR="009912F8" w:rsidRPr="00E07C9A">
              <w:t xml:space="preserve"> s </w:t>
            </w:r>
            <w:r w:rsidRPr="00E07C9A">
              <w:t xml:space="preserve">článkom 111 nariadenia (EÚ) </w:t>
            </w:r>
            <w:r w:rsidR="009912F8" w:rsidRPr="00E07C9A">
              <w:t>č. 575/2013</w:t>
            </w:r>
            <w:r w:rsidRPr="00E07C9A">
              <w:t xml:space="preserve"> bez zohľadnenia úprav ocenenia</w:t>
            </w:r>
            <w:r w:rsidR="009912F8" w:rsidRPr="00E07C9A">
              <w:t xml:space="preserve"> a </w:t>
            </w:r>
            <w:r w:rsidRPr="00E07C9A">
              <w:t>rezerv, odpočtov, konverzných faktorov</w:t>
            </w:r>
            <w:r w:rsidR="009912F8" w:rsidRPr="00E07C9A">
              <w:t xml:space="preserve"> a </w:t>
            </w:r>
            <w:r w:rsidRPr="00E07C9A">
              <w:t>účinku postupov zmierňovania kreditného rizika</w:t>
            </w:r>
            <w:r w:rsidR="009912F8" w:rsidRPr="00E07C9A">
              <w:t xml:space="preserve"> s </w:t>
            </w:r>
            <w:r w:rsidRPr="00E07C9A">
              <w:t>týmito obmedzeniami vyplývajúcimi</w:t>
            </w:r>
            <w:r w:rsidR="009912F8" w:rsidRPr="00E07C9A">
              <w:t xml:space="preserve"> z </w:t>
            </w:r>
            <w:r w:rsidRPr="00E07C9A">
              <w:t xml:space="preserve">článku 111 ods. 2 nariadenia (EÚ) </w:t>
            </w:r>
            <w:r w:rsidR="009912F8" w:rsidRPr="00E07C9A">
              <w:t>č. 575/2013</w:t>
            </w:r>
            <w:r w:rsidRPr="00E07C9A">
              <w:t>:</w:t>
            </w:r>
          </w:p>
          <w:p w14:paraId="66AE8288" w14:textId="33FB0834" w:rsidR="009912F8" w:rsidRPr="00E07C9A" w:rsidRDefault="00464F34" w:rsidP="005C4397">
            <w:pPr>
              <w:pStyle w:val="InstructionsText"/>
              <w:numPr>
                <w:ilvl w:val="0"/>
                <w:numId w:val="23"/>
              </w:numPr>
            </w:pPr>
            <w:r w:rsidRPr="00E07C9A">
              <w:t>V prípade derivátových nástrojov, repo transakcií, transakcií požičiavania alebo vypožičiavania cenných papierov alebo komodít, transakcií</w:t>
            </w:r>
            <w:r w:rsidR="009912F8" w:rsidRPr="00E07C9A">
              <w:t xml:space="preserve"> s </w:t>
            </w:r>
            <w:r w:rsidRPr="00E07C9A">
              <w:t>dlhou dobou vyrovnania</w:t>
            </w:r>
            <w:r w:rsidR="009912F8" w:rsidRPr="00E07C9A">
              <w:t xml:space="preserve"> a </w:t>
            </w:r>
            <w:r w:rsidRPr="00E07C9A">
              <w:t>transakcií požičiavania</w:t>
            </w:r>
            <w:r w:rsidR="009912F8" w:rsidRPr="00E07C9A">
              <w:t xml:space="preserve"> s </w:t>
            </w:r>
            <w:r w:rsidRPr="00E07C9A">
              <w:t xml:space="preserve">dozabezpečením podliehajúcich kreditnému riziku protistrany [tretia časť hlava II kapitoly 4 alebo 6 nariadenia (EÚ) </w:t>
            </w:r>
            <w:r w:rsidR="009912F8" w:rsidRPr="00E07C9A">
              <w:t>č. 575/2013</w:t>
            </w:r>
            <w:r w:rsidRPr="00E07C9A">
              <w:t>] zodpovedá pôvodná expozícia hodnote expozície voči kreditnému riziku protistrany (pozri pokyny</w:t>
            </w:r>
            <w:r w:rsidR="009912F8" w:rsidRPr="00E07C9A">
              <w:t xml:space="preserve"> k </w:t>
            </w:r>
            <w:r w:rsidRPr="00E07C9A">
              <w:t>stĺpcu 0210)</w:t>
            </w:r>
            <w:r w:rsidR="009912F8" w:rsidRPr="00E07C9A">
              <w:t>.</w:t>
            </w:r>
          </w:p>
          <w:p w14:paraId="68C03EBC" w14:textId="1D5B269E" w:rsidR="00464F34" w:rsidRPr="00E07C9A" w:rsidRDefault="00464F34" w:rsidP="005C4397">
            <w:pPr>
              <w:pStyle w:val="InstructionsText"/>
              <w:numPr>
                <w:ilvl w:val="0"/>
                <w:numId w:val="23"/>
              </w:numPr>
            </w:pPr>
            <w:r w:rsidRPr="00E07C9A">
              <w:t>Hodnoty expozícií</w:t>
            </w:r>
            <w:r w:rsidR="009912F8" w:rsidRPr="00E07C9A">
              <w:t xml:space="preserve"> z </w:t>
            </w:r>
            <w:r w:rsidRPr="00E07C9A">
              <w:t xml:space="preserve">prenájmu sa riadia článkom 134 ods. 7 nariadenia (EÚ) </w:t>
            </w:r>
            <w:r w:rsidR="009912F8" w:rsidRPr="00E07C9A">
              <w:t>č. 575/2013</w:t>
            </w:r>
            <w:r w:rsidRPr="00E07C9A">
              <w:t>. Konkrétne sa zostatková hodnota zahŕňa</w:t>
            </w:r>
            <w:r w:rsidR="009912F8" w:rsidRPr="00E07C9A">
              <w:t xml:space="preserve"> v </w:t>
            </w:r>
            <w:r w:rsidRPr="00E07C9A">
              <w:t>jej účtovnej hodnote (t. j. diskontovaná odhadovaná zostatková hodnota ku koncu doby nájmu).</w:t>
            </w:r>
          </w:p>
          <w:p w14:paraId="3233A098" w14:textId="13BF0573" w:rsidR="00464F34" w:rsidRPr="00E07C9A" w:rsidRDefault="00464F34" w:rsidP="005C4397">
            <w:pPr>
              <w:pStyle w:val="InstructionsText"/>
              <w:numPr>
                <w:ilvl w:val="0"/>
                <w:numId w:val="23"/>
              </w:numPr>
            </w:pPr>
            <w:r w:rsidRPr="00E07C9A">
              <w:t>V prípade vzájomného započítavania</w:t>
            </w:r>
            <w:r w:rsidR="009912F8" w:rsidRPr="00E07C9A">
              <w:t xml:space="preserve"> v </w:t>
            </w:r>
            <w:r w:rsidRPr="00E07C9A">
              <w:t>súvahe stanoveného</w:t>
            </w:r>
            <w:r w:rsidR="009912F8" w:rsidRPr="00E07C9A">
              <w:t xml:space="preserve"> v </w:t>
            </w:r>
            <w:r w:rsidRPr="00E07C9A">
              <w:t xml:space="preserve">článku 219 nariadenia (EÚ) </w:t>
            </w:r>
            <w:r w:rsidR="009912F8" w:rsidRPr="00E07C9A">
              <w:t>č. 575/2013</w:t>
            </w:r>
            <w:r w:rsidRPr="00E07C9A">
              <w:t xml:space="preserve"> sa hodnoty expozícií vykazujú pri zohľadnení prijatého peňažného kolaterálu.</w:t>
            </w:r>
          </w:p>
          <w:p w14:paraId="01A4A916" w14:textId="29D726E1" w:rsidR="00464F34" w:rsidRPr="00E07C9A" w:rsidRDefault="00520B00" w:rsidP="00487A02">
            <w:pPr>
              <w:pStyle w:val="InstructionsText"/>
            </w:pPr>
            <w:r w:rsidRPr="00E07C9A">
              <w:t xml:space="preserve">Ak inštitúcie využívajú výnimku podľa článku 473a ods. 7a nariadenia (EÚ) </w:t>
            </w:r>
            <w:r w:rsidR="009912F8" w:rsidRPr="00E07C9A">
              <w:t>č. 575/2013</w:t>
            </w:r>
            <w:r w:rsidRPr="00E07C9A">
              <w:t>, vykazujú</w:t>
            </w:r>
            <w:r w:rsidR="009912F8" w:rsidRPr="00E07C9A">
              <w:t xml:space="preserve"> v </w:t>
            </w:r>
            <w:r w:rsidRPr="00E07C9A">
              <w:t>tomto stĺpci hodnotu AB</w:t>
            </w:r>
            <w:r w:rsidRPr="00E07C9A">
              <w:rPr>
                <w:vertAlign w:val="subscript"/>
              </w:rPr>
              <w:t>SA</w:t>
            </w:r>
            <w:r w:rsidR="009912F8" w:rsidRPr="00E07C9A">
              <w:t xml:space="preserve"> s </w:t>
            </w:r>
            <w:r w:rsidRPr="00E07C9A">
              <w:t>rizikovou váhou 100</w:t>
            </w:r>
            <w:r w:rsidR="009912F8" w:rsidRPr="00E07C9A">
              <w:t> % v </w:t>
            </w:r>
            <w:r w:rsidRPr="00E07C9A">
              <w:t>triede expozícií „ostatné položky“.</w:t>
            </w:r>
          </w:p>
        </w:tc>
      </w:tr>
      <w:tr w:rsidR="00464F34" w:rsidRPr="00E07C9A" w14:paraId="1BBFC377" w14:textId="77777777" w:rsidTr="00672D2A">
        <w:tc>
          <w:tcPr>
            <w:tcW w:w="1188" w:type="dxa"/>
          </w:tcPr>
          <w:p w14:paraId="3FE4D7A4" w14:textId="77777777" w:rsidR="00464F34" w:rsidRPr="00E07C9A" w:rsidRDefault="00464F34" w:rsidP="00487A02">
            <w:pPr>
              <w:pStyle w:val="InstructionsText"/>
            </w:pPr>
            <w:r w:rsidRPr="00E07C9A">
              <w:t>0030</w:t>
            </w:r>
          </w:p>
        </w:tc>
        <w:tc>
          <w:tcPr>
            <w:tcW w:w="8640" w:type="dxa"/>
          </w:tcPr>
          <w:p w14:paraId="49318382" w14:textId="3DDCECCD" w:rsidR="00464F34" w:rsidRPr="00E07C9A" w:rsidRDefault="00464F34"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 Úpravy ocenenia</w:t>
            </w:r>
            <w:r w:rsidR="009912F8" w:rsidRPr="00E07C9A">
              <w:rPr>
                <w:rStyle w:val="InstructionsTabelleberschrift"/>
                <w:rFonts w:ascii="Times New Roman" w:hAnsi="Times New Roman"/>
                <w:sz w:val="24"/>
              </w:rPr>
              <w:t xml:space="preserve"> a </w:t>
            </w:r>
            <w:r w:rsidRPr="00E07C9A">
              <w:rPr>
                <w:rStyle w:val="InstructionsTabelleberschrift"/>
                <w:rFonts w:ascii="Times New Roman" w:hAnsi="Times New Roman"/>
                <w:sz w:val="24"/>
              </w:rPr>
              <w:t>rezervy súvisiace</w:t>
            </w:r>
            <w:r w:rsidR="009912F8" w:rsidRPr="00E07C9A">
              <w:rPr>
                <w:rStyle w:val="InstructionsTabelleberschrift"/>
                <w:rFonts w:ascii="Times New Roman" w:hAnsi="Times New Roman"/>
                <w:sz w:val="24"/>
              </w:rPr>
              <w:t xml:space="preserve"> s </w:t>
            </w:r>
            <w:r w:rsidRPr="00E07C9A">
              <w:rPr>
                <w:rStyle w:val="InstructionsTabelleberschrift"/>
                <w:rFonts w:ascii="Times New Roman" w:hAnsi="Times New Roman"/>
                <w:sz w:val="24"/>
              </w:rPr>
              <w:t>pôvodnou expozíciou</w:t>
            </w:r>
          </w:p>
          <w:p w14:paraId="0B8EFAFB" w14:textId="6F97220C" w:rsidR="00464F34" w:rsidRPr="00E07C9A" w:rsidRDefault="00464F34"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Články 24</w:t>
            </w:r>
            <w:r w:rsidR="009912F8" w:rsidRPr="00E07C9A">
              <w:rPr>
                <w:rStyle w:val="InstructionsTabelleberschrift"/>
                <w:rFonts w:ascii="Times New Roman" w:hAnsi="Times New Roman"/>
                <w:sz w:val="24"/>
              </w:rPr>
              <w:t xml:space="preserve"> a </w:t>
            </w:r>
            <w:r w:rsidRPr="00E07C9A">
              <w:rPr>
                <w:rStyle w:val="InstructionsTabelleberschrift"/>
                <w:rFonts w:ascii="Times New Roman" w:hAnsi="Times New Roman"/>
                <w:sz w:val="24"/>
              </w:rPr>
              <w:t xml:space="preserve">111 nariadenia (EÚ) </w:t>
            </w:r>
            <w:r w:rsidR="009912F8" w:rsidRPr="00E07C9A">
              <w:rPr>
                <w:rStyle w:val="InstructionsTabelleberschrift"/>
                <w:rFonts w:ascii="Times New Roman" w:hAnsi="Times New Roman"/>
                <w:sz w:val="24"/>
              </w:rPr>
              <w:t>č. 575/2013</w:t>
            </w:r>
          </w:p>
          <w:p w14:paraId="073F201E" w14:textId="74BEE3CE" w:rsidR="00464F34" w:rsidRPr="00E07C9A" w:rsidRDefault="00464F34" w:rsidP="00880E92">
            <w:pPr>
              <w:pStyle w:val="InstructionsText"/>
            </w:pPr>
            <w:r w:rsidRPr="00E07C9A">
              <w:t>Úpravy ocenenia</w:t>
            </w:r>
            <w:r w:rsidR="009912F8" w:rsidRPr="00E07C9A">
              <w:t xml:space="preserve"> a </w:t>
            </w:r>
            <w:r w:rsidRPr="00E07C9A">
              <w:t>rezervy na kreditné straty (úpravy kreditného rizika</w:t>
            </w:r>
            <w:r w:rsidR="009912F8" w:rsidRPr="00E07C9A">
              <w:t xml:space="preserve"> v </w:t>
            </w:r>
            <w:r w:rsidRPr="00E07C9A">
              <w:t>súlade</w:t>
            </w:r>
            <w:r w:rsidR="009912F8" w:rsidRPr="00E07C9A">
              <w:t xml:space="preserve"> s </w:t>
            </w:r>
            <w:r w:rsidRPr="00E07C9A">
              <w:t>článkom 110) vykonané</w:t>
            </w:r>
            <w:r w:rsidR="009912F8" w:rsidRPr="00E07C9A">
              <w:t xml:space="preserve"> v </w:t>
            </w:r>
            <w:r w:rsidRPr="00E07C9A">
              <w:t>súlade</w:t>
            </w:r>
            <w:r w:rsidR="009912F8" w:rsidRPr="00E07C9A">
              <w:t xml:space="preserve"> s </w:t>
            </w:r>
            <w:r w:rsidRPr="00E07C9A">
              <w:t>účtovným rámcom, ktorý sa vzťahuje na vykazujúci subjekt, ako aj prudenciálne úpravy ocenenia [dodatočné úpravy ocenenia</w:t>
            </w:r>
            <w:r w:rsidR="009912F8" w:rsidRPr="00E07C9A">
              <w:t xml:space="preserve"> v </w:t>
            </w:r>
            <w:r w:rsidRPr="00E07C9A">
              <w:t>súlade</w:t>
            </w:r>
            <w:r w:rsidR="009912F8" w:rsidRPr="00E07C9A">
              <w:t xml:space="preserve"> s </w:t>
            </w:r>
            <w:r w:rsidRPr="00E07C9A">
              <w:t>článkami 34</w:t>
            </w:r>
            <w:r w:rsidR="009912F8" w:rsidRPr="00E07C9A">
              <w:t xml:space="preserve"> a </w:t>
            </w:r>
            <w:r w:rsidRPr="00E07C9A">
              <w:t>105, hodnoty odpočítané</w:t>
            </w:r>
            <w:r w:rsidR="009912F8" w:rsidRPr="00E07C9A">
              <w:t xml:space="preserve"> v </w:t>
            </w:r>
            <w:r w:rsidRPr="00E07C9A">
              <w:t>súlade</w:t>
            </w:r>
            <w:r w:rsidR="009912F8" w:rsidRPr="00E07C9A">
              <w:t xml:space="preserve"> s </w:t>
            </w:r>
            <w:r w:rsidRPr="00E07C9A">
              <w:t>článkom 36 ods. 1 písm. m)</w:t>
            </w:r>
            <w:r w:rsidR="009912F8" w:rsidRPr="00E07C9A">
              <w:t xml:space="preserve"> a </w:t>
            </w:r>
            <w:r w:rsidRPr="00E07C9A">
              <w:t>iné zníženia vlastných zdrojov súvisiace</w:t>
            </w:r>
            <w:r w:rsidR="009912F8" w:rsidRPr="00E07C9A">
              <w:t xml:space="preserve"> s </w:t>
            </w:r>
            <w:r w:rsidRPr="00E07C9A">
              <w:t>položkou aktív].</w:t>
            </w:r>
          </w:p>
        </w:tc>
      </w:tr>
      <w:tr w:rsidR="00464F34" w:rsidRPr="00E07C9A" w14:paraId="4A8C44A4" w14:textId="77777777" w:rsidTr="00672D2A">
        <w:tc>
          <w:tcPr>
            <w:tcW w:w="1188" w:type="dxa"/>
          </w:tcPr>
          <w:p w14:paraId="26BA7849" w14:textId="77777777" w:rsidR="00464F34" w:rsidRPr="00E07C9A" w:rsidRDefault="00FF15C6" w:rsidP="00487A02">
            <w:pPr>
              <w:pStyle w:val="InstructionsText"/>
            </w:pPr>
            <w:r w:rsidRPr="00E07C9A">
              <w:t>0040</w:t>
            </w:r>
          </w:p>
        </w:tc>
        <w:tc>
          <w:tcPr>
            <w:tcW w:w="8640" w:type="dxa"/>
          </w:tcPr>
          <w:p w14:paraId="5AA54A01" w14:textId="6E2B766F" w:rsidR="00464F34" w:rsidRPr="00E07C9A" w:rsidRDefault="00464F34" w:rsidP="00487A02">
            <w:pPr>
              <w:pStyle w:val="InstructionsText"/>
            </w:pPr>
            <w:r w:rsidRPr="00E07C9A">
              <w:rPr>
                <w:rStyle w:val="InstructionsTabelleberschrift"/>
                <w:rFonts w:ascii="Times New Roman" w:hAnsi="Times New Roman"/>
                <w:sz w:val="24"/>
              </w:rPr>
              <w:t>Expozícia po odpočítaní úprav ocenenia</w:t>
            </w:r>
            <w:r w:rsidR="009912F8" w:rsidRPr="00E07C9A">
              <w:rPr>
                <w:rStyle w:val="InstructionsTabelleberschrift"/>
                <w:rFonts w:ascii="Times New Roman" w:hAnsi="Times New Roman"/>
                <w:sz w:val="24"/>
              </w:rPr>
              <w:t xml:space="preserve"> a </w:t>
            </w:r>
            <w:r w:rsidRPr="00E07C9A">
              <w:rPr>
                <w:rStyle w:val="InstructionsTabelleberschrift"/>
                <w:rFonts w:ascii="Times New Roman" w:hAnsi="Times New Roman"/>
                <w:sz w:val="24"/>
              </w:rPr>
              <w:t>rezerv</w:t>
            </w:r>
          </w:p>
          <w:p w14:paraId="1214FF21" w14:textId="78F28673" w:rsidR="00464F34" w:rsidRPr="00E07C9A" w:rsidRDefault="00464F34" w:rsidP="00487A02">
            <w:pPr>
              <w:pStyle w:val="InstructionsText"/>
            </w:pPr>
            <w:r w:rsidRPr="00E07C9A">
              <w:t>Súčet stĺpcov 0010</w:t>
            </w:r>
            <w:r w:rsidR="009912F8" w:rsidRPr="00E07C9A">
              <w:t xml:space="preserve"> a </w:t>
            </w:r>
            <w:r w:rsidRPr="00E07C9A">
              <w:t>0030.</w:t>
            </w:r>
          </w:p>
        </w:tc>
      </w:tr>
      <w:tr w:rsidR="00464F34" w:rsidRPr="00E07C9A" w14:paraId="712048B3" w14:textId="77777777" w:rsidTr="00672D2A">
        <w:tc>
          <w:tcPr>
            <w:tcW w:w="1188" w:type="dxa"/>
          </w:tcPr>
          <w:p w14:paraId="02323581" w14:textId="77777777" w:rsidR="00464F34" w:rsidRPr="00E07C9A" w:rsidRDefault="00FF15C6" w:rsidP="00487A02">
            <w:pPr>
              <w:pStyle w:val="InstructionsText"/>
            </w:pPr>
            <w:r w:rsidRPr="00E07C9A">
              <w:t>0050 – 0100</w:t>
            </w:r>
          </w:p>
        </w:tc>
        <w:tc>
          <w:tcPr>
            <w:tcW w:w="8640" w:type="dxa"/>
          </w:tcPr>
          <w:p w14:paraId="5B3B34E2" w14:textId="77777777" w:rsidR="00464F34" w:rsidRPr="00E07C9A" w:rsidRDefault="00464F34"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POSTUPY ZMIERŇOVANIA KREDITNÉHO RIZIKA (CRM) SO SUBSTITUČNÝMI ÚČINKAMI NA EXPOZÍCIU</w:t>
            </w:r>
          </w:p>
          <w:p w14:paraId="0968A397" w14:textId="2FA2AA1A" w:rsidR="00464F34" w:rsidRPr="00E07C9A" w:rsidRDefault="00464F34" w:rsidP="00487A02">
            <w:pPr>
              <w:pStyle w:val="InstructionsText"/>
            </w:pPr>
            <w:r w:rsidRPr="00E07C9A">
              <w:t>Postupy zmierňovania kreditného rizika</w:t>
            </w:r>
            <w:r w:rsidR="009912F8" w:rsidRPr="00E07C9A">
              <w:t xml:space="preserve"> v </w:t>
            </w:r>
            <w:r w:rsidRPr="00E07C9A">
              <w:t>zmysle vymedzenia</w:t>
            </w:r>
            <w:r w:rsidR="009912F8" w:rsidRPr="00E07C9A">
              <w:t xml:space="preserve"> v </w:t>
            </w:r>
            <w:r w:rsidRPr="00E07C9A">
              <w:t xml:space="preserve">článku 4 ods. 1 bode 57 nariadenia (EÚ) </w:t>
            </w:r>
            <w:r w:rsidR="009912F8" w:rsidRPr="00E07C9A">
              <w:t>č. 575/2013</w:t>
            </w:r>
            <w:r w:rsidRPr="00E07C9A">
              <w:t>, ktorými sa znižuje kreditné riziko expozície alebo expozícií substitúciou expozícií, ako je opísané nižšie</w:t>
            </w:r>
            <w:r w:rsidR="009912F8" w:rsidRPr="00E07C9A">
              <w:t xml:space="preserve"> v </w:t>
            </w:r>
            <w:r w:rsidRPr="00E07C9A">
              <w:t>„substitúcii expozície na základe zmierňovania kreditného rizika“.</w:t>
            </w:r>
          </w:p>
          <w:p w14:paraId="0E58880A" w14:textId="77777777" w:rsidR="00464F34" w:rsidRPr="00E07C9A" w:rsidRDefault="00D21B29" w:rsidP="00487A02">
            <w:pPr>
              <w:pStyle w:val="InstructionsText"/>
            </w:pPr>
            <w:r w:rsidRPr="00E07C9A">
              <w:t>Kolaterál, ktorý má účinok na hodnotu expozície (napr. ak sa používa pri postupoch zmierňovania kreditného rizika so substitučnými účinkami na expozíciu), sa zhora ohraničuje hodnotou expozície.</w:t>
            </w:r>
          </w:p>
          <w:p w14:paraId="7567933D" w14:textId="77777777" w:rsidR="00464F34" w:rsidRPr="00E07C9A" w:rsidRDefault="00464F34" w:rsidP="00487A02">
            <w:pPr>
              <w:pStyle w:val="InstructionsText"/>
            </w:pPr>
            <w:r w:rsidRPr="00E07C9A">
              <w:t>Položky, ktoré sa tu vykazujú:</w:t>
            </w:r>
          </w:p>
          <w:p w14:paraId="2188806D" w14:textId="4D374269" w:rsidR="00464F34" w:rsidRPr="00E07C9A" w:rsidRDefault="00125707" w:rsidP="00487A02">
            <w:pPr>
              <w:pStyle w:val="InstructionsText"/>
            </w:pPr>
            <w:r w:rsidRPr="00E07C9A">
              <w:t>–</w:t>
            </w:r>
            <w:r w:rsidRPr="00E07C9A">
              <w:tab/>
              <w:t>kolaterál zahrnutý podľa jednoduchej metódy nakladania</w:t>
            </w:r>
            <w:r w:rsidR="009912F8" w:rsidRPr="00E07C9A">
              <w:t xml:space="preserve"> s </w:t>
            </w:r>
            <w:r w:rsidRPr="00E07C9A">
              <w:t>finančným kolaterálom;</w:t>
            </w:r>
          </w:p>
          <w:p w14:paraId="0CB3936B" w14:textId="77777777" w:rsidR="00464F34" w:rsidRPr="00E07C9A" w:rsidRDefault="00125707" w:rsidP="00487A02">
            <w:pPr>
              <w:pStyle w:val="InstructionsText"/>
            </w:pPr>
            <w:r w:rsidRPr="00E07C9A">
              <w:t>–</w:t>
            </w:r>
            <w:r w:rsidRPr="00E07C9A">
              <w:tab/>
              <w:t>prípustné nefinancované kreditné zabezpečenie.</w:t>
            </w:r>
          </w:p>
          <w:p w14:paraId="602B1DBA" w14:textId="00A90867" w:rsidR="00464F34" w:rsidRPr="00E07C9A" w:rsidRDefault="00464F34" w:rsidP="00487A02">
            <w:pPr>
              <w:pStyle w:val="InstructionsText"/>
            </w:pPr>
            <w:r w:rsidRPr="00E07C9A">
              <w:t>Pozri aj pokyny</w:t>
            </w:r>
            <w:r w:rsidR="009912F8" w:rsidRPr="00E07C9A">
              <w:t xml:space="preserve"> v </w:t>
            </w:r>
            <w:r w:rsidRPr="00E07C9A">
              <w:t>bode 3.1.1.</w:t>
            </w:r>
          </w:p>
        </w:tc>
      </w:tr>
      <w:tr w:rsidR="00464F34" w:rsidRPr="00E07C9A" w14:paraId="4BC98ACC" w14:textId="77777777" w:rsidTr="00672D2A">
        <w:tc>
          <w:tcPr>
            <w:tcW w:w="1188" w:type="dxa"/>
          </w:tcPr>
          <w:p w14:paraId="7E91FCF3" w14:textId="77777777" w:rsidR="00464F34" w:rsidRPr="00E07C9A" w:rsidRDefault="00FF15C6" w:rsidP="00487A02">
            <w:pPr>
              <w:pStyle w:val="InstructionsText"/>
            </w:pPr>
            <w:r w:rsidRPr="00E07C9A">
              <w:t>0050 – 0060</w:t>
            </w:r>
          </w:p>
        </w:tc>
        <w:tc>
          <w:tcPr>
            <w:tcW w:w="8640" w:type="dxa"/>
          </w:tcPr>
          <w:p w14:paraId="41A1F548" w14:textId="77777777" w:rsidR="00464F34" w:rsidRPr="00E07C9A" w:rsidRDefault="00464F34"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Nefinancované kreditné zabezpečenie: upravené hodnoty (G</w:t>
            </w:r>
            <w:r w:rsidRPr="00E07C9A">
              <w:rPr>
                <w:rStyle w:val="InstructionsTabelleberschrift"/>
                <w:rFonts w:ascii="Times New Roman" w:hAnsi="Times New Roman"/>
                <w:sz w:val="24"/>
                <w:vertAlign w:val="subscript"/>
              </w:rPr>
              <w:t>A</w:t>
            </w:r>
            <w:r w:rsidRPr="00E07C9A">
              <w:rPr>
                <w:rStyle w:val="InstructionsTabelleberschrift"/>
                <w:rFonts w:ascii="Times New Roman" w:hAnsi="Times New Roman"/>
                <w:sz w:val="24"/>
              </w:rPr>
              <w:t>)</w:t>
            </w:r>
          </w:p>
          <w:p w14:paraId="7D4BA07F" w14:textId="3D0EE9BD" w:rsidR="00464F34" w:rsidRPr="00E07C9A" w:rsidRDefault="00464F34" w:rsidP="00487A02">
            <w:pPr>
              <w:pStyle w:val="InstructionsText"/>
            </w:pPr>
            <w:r w:rsidRPr="00E07C9A">
              <w:t xml:space="preserve">Článok 235 nariadenia (EÚ) </w:t>
            </w:r>
            <w:r w:rsidR="009912F8" w:rsidRPr="00E07C9A">
              <w:t>č. 575/2013</w:t>
            </w:r>
          </w:p>
          <w:p w14:paraId="59592411" w14:textId="613CB750" w:rsidR="00464F34" w:rsidRPr="00E07C9A" w:rsidRDefault="00464F34" w:rsidP="00487A02">
            <w:pPr>
              <w:pStyle w:val="InstructionsText"/>
            </w:pPr>
            <w:r w:rsidRPr="00E07C9A">
              <w:t xml:space="preserve">Článok 239 ods. 3 nariadenia (EÚ) </w:t>
            </w:r>
            <w:r w:rsidR="009912F8" w:rsidRPr="00E07C9A">
              <w:t>č. 575/2013</w:t>
            </w:r>
            <w:r w:rsidRPr="00E07C9A">
              <w:t xml:space="preserve"> obsahuje vzorec na výpočet upravenej hodnoty G</w:t>
            </w:r>
            <w:r w:rsidRPr="00E07C9A">
              <w:rPr>
                <w:vertAlign w:val="subscript"/>
              </w:rPr>
              <w:t>A</w:t>
            </w:r>
            <w:r w:rsidRPr="00E07C9A">
              <w:t xml:space="preserve"> nefinancovaného kreditného zabezpečenia.</w:t>
            </w:r>
          </w:p>
        </w:tc>
      </w:tr>
      <w:tr w:rsidR="00464F34" w:rsidRPr="00E07C9A" w14:paraId="48AF65C0" w14:textId="77777777" w:rsidTr="00672D2A">
        <w:tc>
          <w:tcPr>
            <w:tcW w:w="1188" w:type="dxa"/>
          </w:tcPr>
          <w:p w14:paraId="0DDEA029" w14:textId="77777777" w:rsidR="00464F34" w:rsidRPr="00E07C9A" w:rsidRDefault="00FF15C6" w:rsidP="00487A02">
            <w:pPr>
              <w:pStyle w:val="InstructionsText"/>
            </w:pPr>
            <w:r w:rsidRPr="00E07C9A">
              <w:t>0050</w:t>
            </w:r>
          </w:p>
        </w:tc>
        <w:tc>
          <w:tcPr>
            <w:tcW w:w="8640" w:type="dxa"/>
          </w:tcPr>
          <w:p w14:paraId="30B2F586" w14:textId="77777777" w:rsidR="00464F34" w:rsidRPr="00E07C9A" w:rsidRDefault="00464F34"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Záruky</w:t>
            </w:r>
          </w:p>
          <w:p w14:paraId="5C81EB19" w14:textId="5C8B53C1" w:rsidR="00464F34" w:rsidRPr="00E07C9A" w:rsidRDefault="00464F34" w:rsidP="00487A02">
            <w:pPr>
              <w:pStyle w:val="InstructionsText"/>
            </w:pPr>
            <w:r w:rsidRPr="00E07C9A">
              <w:t xml:space="preserve">Článok 203 nariadenia (EÚ) </w:t>
            </w:r>
            <w:r w:rsidR="009912F8" w:rsidRPr="00E07C9A">
              <w:t>č. 575/2013</w:t>
            </w:r>
          </w:p>
          <w:p w14:paraId="7F24FA9D" w14:textId="1F415E93" w:rsidR="00464F34" w:rsidRPr="00E07C9A" w:rsidRDefault="00464F34" w:rsidP="00880E92">
            <w:pPr>
              <w:pStyle w:val="InstructionsText"/>
              <w:rPr>
                <w:b/>
                <w:u w:val="single"/>
              </w:rPr>
            </w:pPr>
            <w:r w:rsidRPr="00E07C9A">
              <w:t>Nefinancované kreditné zabezpečenie</w:t>
            </w:r>
            <w:r w:rsidR="009912F8" w:rsidRPr="00E07C9A">
              <w:t xml:space="preserve"> v </w:t>
            </w:r>
            <w:r w:rsidRPr="00E07C9A">
              <w:t>zmysle vymedzenia</w:t>
            </w:r>
            <w:r w:rsidR="009912F8" w:rsidRPr="00E07C9A">
              <w:t xml:space="preserve"> v </w:t>
            </w:r>
            <w:r w:rsidRPr="00E07C9A">
              <w:t xml:space="preserve">článku 4 ods. 1 bode 59 nariadenia (EÚ) </w:t>
            </w:r>
            <w:r w:rsidR="009912F8" w:rsidRPr="00E07C9A">
              <w:t>č. 575/2013</w:t>
            </w:r>
            <w:r w:rsidRPr="00E07C9A">
              <w:t>, ktoré nezahŕňa kreditné deriváty.</w:t>
            </w:r>
          </w:p>
        </w:tc>
      </w:tr>
      <w:tr w:rsidR="00464F34" w:rsidRPr="00E07C9A" w14:paraId="5C08D386" w14:textId="77777777" w:rsidTr="00672D2A">
        <w:tc>
          <w:tcPr>
            <w:tcW w:w="1188" w:type="dxa"/>
          </w:tcPr>
          <w:p w14:paraId="0BDF5563" w14:textId="77777777" w:rsidR="00464F34" w:rsidRPr="00E07C9A" w:rsidRDefault="00464F34" w:rsidP="00487A02">
            <w:pPr>
              <w:pStyle w:val="InstructionsText"/>
            </w:pPr>
            <w:r w:rsidRPr="00E07C9A">
              <w:t>0060</w:t>
            </w:r>
          </w:p>
        </w:tc>
        <w:tc>
          <w:tcPr>
            <w:tcW w:w="8640" w:type="dxa"/>
          </w:tcPr>
          <w:p w14:paraId="11DB7A41" w14:textId="77777777" w:rsidR="00464F34" w:rsidRPr="00E07C9A" w:rsidRDefault="00464F34"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Kreditné deriváty</w:t>
            </w:r>
          </w:p>
          <w:p w14:paraId="2BEDC770" w14:textId="0E4BDBF7" w:rsidR="00464F34" w:rsidRPr="00E07C9A" w:rsidRDefault="00464F34" w:rsidP="00487A02">
            <w:pPr>
              <w:pStyle w:val="InstructionsText"/>
              <w:rPr>
                <w:b/>
                <w:u w:val="single"/>
              </w:rPr>
            </w:pPr>
            <w:r w:rsidRPr="00E07C9A">
              <w:t xml:space="preserve">Článok 204 nariadenia (EÚ) </w:t>
            </w:r>
            <w:r w:rsidR="009912F8" w:rsidRPr="00E07C9A">
              <w:t>č. 575/2013</w:t>
            </w:r>
          </w:p>
        </w:tc>
      </w:tr>
      <w:tr w:rsidR="00464F34" w:rsidRPr="00E07C9A" w14:paraId="0FB274E9" w14:textId="77777777" w:rsidTr="00672D2A">
        <w:tc>
          <w:tcPr>
            <w:tcW w:w="1188" w:type="dxa"/>
          </w:tcPr>
          <w:p w14:paraId="59A7B297" w14:textId="77777777" w:rsidR="00464F34" w:rsidRPr="00E07C9A" w:rsidRDefault="00464F34" w:rsidP="00487A02">
            <w:pPr>
              <w:pStyle w:val="InstructionsText"/>
            </w:pPr>
            <w:r w:rsidRPr="00E07C9A">
              <w:t>0070 – 0080</w:t>
            </w:r>
          </w:p>
          <w:p w14:paraId="117B2ED0" w14:textId="77777777" w:rsidR="00464F34" w:rsidRPr="00E07C9A" w:rsidRDefault="00464F34" w:rsidP="00487A02">
            <w:pPr>
              <w:pStyle w:val="InstructionsText"/>
            </w:pPr>
          </w:p>
        </w:tc>
        <w:tc>
          <w:tcPr>
            <w:tcW w:w="8640" w:type="dxa"/>
          </w:tcPr>
          <w:p w14:paraId="3DBFA0E1" w14:textId="77777777" w:rsidR="00464F34" w:rsidRPr="00E07C9A" w:rsidRDefault="00464F34"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Financované kreditné zabezpečenie</w:t>
            </w:r>
          </w:p>
          <w:p w14:paraId="7B8B9DDE" w14:textId="7B7DFD14" w:rsidR="00464F34" w:rsidRPr="00E07C9A" w:rsidRDefault="009C44E7" w:rsidP="00487A02">
            <w:pPr>
              <w:pStyle w:val="InstructionsText"/>
            </w:pPr>
            <w:r w:rsidRPr="00E07C9A">
              <w:t>Tieto stĺpce odkazujú na financované kreditné zabezpečenie</w:t>
            </w:r>
            <w:r w:rsidR="009912F8" w:rsidRPr="00E07C9A">
              <w:t xml:space="preserve"> v </w:t>
            </w:r>
            <w:r w:rsidRPr="00E07C9A">
              <w:t>zmysle vymedzenia</w:t>
            </w:r>
            <w:r w:rsidR="009912F8" w:rsidRPr="00E07C9A">
              <w:t xml:space="preserve"> v </w:t>
            </w:r>
            <w:r w:rsidRPr="00E07C9A">
              <w:t xml:space="preserve">článku 4 ods. 1 bode 58 nariadenia (EÚ) </w:t>
            </w:r>
            <w:r w:rsidR="009912F8" w:rsidRPr="00E07C9A">
              <w:t>č. 575/2013 a </w:t>
            </w:r>
            <w:r w:rsidRPr="00E07C9A">
              <w:t>podliehajú pravidlám uvedeným</w:t>
            </w:r>
            <w:r w:rsidR="009912F8" w:rsidRPr="00E07C9A">
              <w:t xml:space="preserve"> v </w:t>
            </w:r>
            <w:r w:rsidRPr="00E07C9A">
              <w:t>článkoch 196, 197</w:t>
            </w:r>
            <w:r w:rsidR="009912F8" w:rsidRPr="00E07C9A">
              <w:t xml:space="preserve"> a </w:t>
            </w:r>
            <w:r w:rsidRPr="00E07C9A">
              <w:t>200 uvedeného nariadenia. Hodnoty nesmú obsahovať rámcové dohody</w:t>
            </w:r>
            <w:r w:rsidR="009912F8" w:rsidRPr="00E07C9A">
              <w:t xml:space="preserve"> o </w:t>
            </w:r>
            <w:r w:rsidRPr="00E07C9A">
              <w:t>vzájomnom započítavaní (už zahrnuté</w:t>
            </w:r>
            <w:r w:rsidR="009912F8" w:rsidRPr="00E07C9A">
              <w:t xml:space="preserve"> v </w:t>
            </w:r>
            <w:r w:rsidRPr="00E07C9A">
              <w:t>pôvodnej expozícii pred uplatnením konverzných faktorov).</w:t>
            </w:r>
          </w:p>
          <w:p w14:paraId="36344E73" w14:textId="2F05B8C2" w:rsidR="00464F34" w:rsidRPr="00E07C9A" w:rsidRDefault="00167619" w:rsidP="00487A02">
            <w:pPr>
              <w:pStyle w:val="InstructionsText"/>
            </w:pPr>
            <w:r w:rsidRPr="00E07C9A">
              <w:t xml:space="preserve">S investíciami do dlhových nástrojov viazaných na úver podľa článku 218 nariadenia (EÚ) </w:t>
            </w:r>
            <w:r w:rsidR="009912F8" w:rsidRPr="00E07C9A">
              <w:t>č. 575/2013 a s </w:t>
            </w:r>
            <w:r w:rsidRPr="00E07C9A">
              <w:t>pozíciami vzájomného započítavania</w:t>
            </w:r>
            <w:r w:rsidR="009912F8" w:rsidRPr="00E07C9A">
              <w:t xml:space="preserve"> v </w:t>
            </w:r>
            <w:r w:rsidRPr="00E07C9A">
              <w:t>súvahe vyplývajúcimi</w:t>
            </w:r>
            <w:r w:rsidR="009912F8" w:rsidRPr="00E07C9A">
              <w:t xml:space="preserve"> z </w:t>
            </w:r>
            <w:r w:rsidRPr="00E07C9A">
              <w:t>prípustných dohôd</w:t>
            </w:r>
            <w:r w:rsidR="009912F8" w:rsidRPr="00E07C9A">
              <w:t xml:space="preserve"> o </w:t>
            </w:r>
            <w:r w:rsidRPr="00E07C9A">
              <w:t>vzájomnom započítavaní</w:t>
            </w:r>
            <w:r w:rsidR="009912F8" w:rsidRPr="00E07C9A">
              <w:t xml:space="preserve"> v </w:t>
            </w:r>
            <w:r w:rsidRPr="00E07C9A">
              <w:t xml:space="preserve">súvahe podľa článku 219 nariadenia (EÚ) </w:t>
            </w:r>
            <w:r w:rsidR="009912F8" w:rsidRPr="00E07C9A">
              <w:t>č. 575/2013</w:t>
            </w:r>
            <w:r w:rsidRPr="00E07C9A">
              <w:t xml:space="preserve"> sa zaobchádza ako</w:t>
            </w:r>
            <w:r w:rsidR="009912F8" w:rsidRPr="00E07C9A">
              <w:t xml:space="preserve"> s </w:t>
            </w:r>
            <w:r w:rsidRPr="00E07C9A">
              <w:t>peňažným kolaterálom.</w:t>
            </w:r>
          </w:p>
        </w:tc>
      </w:tr>
      <w:tr w:rsidR="00464F34" w:rsidRPr="00E07C9A" w14:paraId="02F30E73" w14:textId="77777777" w:rsidTr="00672D2A">
        <w:tc>
          <w:tcPr>
            <w:tcW w:w="1188" w:type="dxa"/>
          </w:tcPr>
          <w:p w14:paraId="4C3BCE09" w14:textId="77777777" w:rsidR="00464F34" w:rsidRPr="00E07C9A" w:rsidRDefault="00464F34" w:rsidP="00487A02">
            <w:pPr>
              <w:pStyle w:val="InstructionsText"/>
            </w:pPr>
            <w:r w:rsidRPr="00E07C9A">
              <w:t>0070</w:t>
            </w:r>
          </w:p>
        </w:tc>
        <w:tc>
          <w:tcPr>
            <w:tcW w:w="8640" w:type="dxa"/>
          </w:tcPr>
          <w:p w14:paraId="2D5BFC5F" w14:textId="68F77F56" w:rsidR="00464F34" w:rsidRPr="00E07C9A" w:rsidRDefault="00464F34" w:rsidP="00487A02">
            <w:pPr>
              <w:pStyle w:val="InstructionsText"/>
            </w:pPr>
            <w:r w:rsidRPr="00E07C9A">
              <w:rPr>
                <w:rStyle w:val="InstructionsTabelleberschrift"/>
                <w:rFonts w:ascii="Times New Roman" w:hAnsi="Times New Roman"/>
                <w:sz w:val="24"/>
              </w:rPr>
              <w:t>Jednoduchá metóda nakladania</w:t>
            </w:r>
            <w:r w:rsidR="009912F8" w:rsidRPr="00E07C9A">
              <w:rPr>
                <w:rStyle w:val="InstructionsTabelleberschrift"/>
                <w:rFonts w:ascii="Times New Roman" w:hAnsi="Times New Roman"/>
                <w:sz w:val="24"/>
              </w:rPr>
              <w:t xml:space="preserve"> s </w:t>
            </w:r>
            <w:r w:rsidRPr="00E07C9A">
              <w:rPr>
                <w:rStyle w:val="InstructionsTabelleberschrift"/>
                <w:rFonts w:ascii="Times New Roman" w:hAnsi="Times New Roman"/>
                <w:sz w:val="24"/>
              </w:rPr>
              <w:t>finančným kolaterálom</w:t>
            </w:r>
          </w:p>
          <w:p w14:paraId="3CED9ED4" w14:textId="1C69A35A" w:rsidR="00464F34" w:rsidRPr="00E07C9A" w:rsidRDefault="00464F34" w:rsidP="00487A02">
            <w:pPr>
              <w:pStyle w:val="InstructionsText"/>
            </w:pPr>
            <w:r w:rsidRPr="00E07C9A">
              <w:t>Článok 222 ods. 1</w:t>
            </w:r>
            <w:r w:rsidR="009912F8" w:rsidRPr="00E07C9A">
              <w:t xml:space="preserve"> a </w:t>
            </w:r>
            <w:r w:rsidRPr="00E07C9A">
              <w:t xml:space="preserve">2 nariadenia (EÚ) </w:t>
            </w:r>
            <w:r w:rsidR="009912F8" w:rsidRPr="00E07C9A">
              <w:t>č. 575/2013</w:t>
            </w:r>
          </w:p>
        </w:tc>
      </w:tr>
      <w:tr w:rsidR="00464F34" w:rsidRPr="00E07C9A" w14:paraId="346D8A05" w14:textId="77777777" w:rsidTr="00672D2A">
        <w:tc>
          <w:tcPr>
            <w:tcW w:w="1188" w:type="dxa"/>
          </w:tcPr>
          <w:p w14:paraId="417E06AD" w14:textId="77777777" w:rsidR="00464F34" w:rsidRPr="00E07C9A" w:rsidRDefault="00464F34" w:rsidP="00487A02">
            <w:pPr>
              <w:pStyle w:val="InstructionsText"/>
            </w:pPr>
            <w:r w:rsidRPr="00E07C9A">
              <w:t>0080</w:t>
            </w:r>
          </w:p>
        </w:tc>
        <w:tc>
          <w:tcPr>
            <w:tcW w:w="8640" w:type="dxa"/>
          </w:tcPr>
          <w:p w14:paraId="1AD2FDD5" w14:textId="77777777" w:rsidR="00464F34" w:rsidRPr="00E07C9A" w:rsidRDefault="00464F34"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Iné financované kreditné zabezpečenie</w:t>
            </w:r>
          </w:p>
          <w:p w14:paraId="2B609CD6" w14:textId="4490C005" w:rsidR="00464F34" w:rsidRPr="00E07C9A" w:rsidRDefault="00464F34" w:rsidP="00487A02">
            <w:pPr>
              <w:pStyle w:val="InstructionsText"/>
            </w:pPr>
            <w:r w:rsidRPr="00E07C9A">
              <w:t xml:space="preserve">Článok 232 nariadenia (EÚ) </w:t>
            </w:r>
            <w:r w:rsidR="009912F8" w:rsidRPr="00E07C9A">
              <w:t>č. 575/2013</w:t>
            </w:r>
          </w:p>
        </w:tc>
      </w:tr>
      <w:tr w:rsidR="00464F34" w:rsidRPr="00E07C9A" w14:paraId="116BA4C1" w14:textId="77777777" w:rsidTr="00672D2A">
        <w:tc>
          <w:tcPr>
            <w:tcW w:w="1188" w:type="dxa"/>
          </w:tcPr>
          <w:p w14:paraId="6954B835" w14:textId="77777777" w:rsidR="00464F34" w:rsidRPr="00E07C9A" w:rsidRDefault="00464F34" w:rsidP="00487A02">
            <w:pPr>
              <w:pStyle w:val="InstructionsText"/>
            </w:pPr>
            <w:r w:rsidRPr="00E07C9A">
              <w:t>0090 – 0100</w:t>
            </w:r>
          </w:p>
        </w:tc>
        <w:tc>
          <w:tcPr>
            <w:tcW w:w="8640" w:type="dxa"/>
          </w:tcPr>
          <w:p w14:paraId="722BB3A6" w14:textId="77777777" w:rsidR="00464F34" w:rsidRPr="00E07C9A" w:rsidRDefault="00464F34"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SUBSTITÚCIA EXPOZÍCIE NA ZÁKLADE ZMIERŇOVANIA KREDITNÉHO RIZIKA</w:t>
            </w:r>
          </w:p>
          <w:p w14:paraId="1197E4D0" w14:textId="68BD21FC" w:rsidR="00464F34" w:rsidRPr="00E07C9A" w:rsidRDefault="00464F34" w:rsidP="00487A02">
            <w:pPr>
              <w:pStyle w:val="InstructionsText"/>
            </w:pPr>
            <w:r w:rsidRPr="00E07C9A">
              <w:t>Článok 222 ods. 3, článok 235 ods. 1</w:t>
            </w:r>
            <w:r w:rsidR="009912F8" w:rsidRPr="00E07C9A">
              <w:t xml:space="preserve"> a </w:t>
            </w:r>
            <w:r w:rsidRPr="00E07C9A">
              <w:t>2</w:t>
            </w:r>
            <w:r w:rsidR="009912F8" w:rsidRPr="00E07C9A">
              <w:t xml:space="preserve"> a </w:t>
            </w:r>
            <w:r w:rsidRPr="00E07C9A">
              <w:t xml:space="preserve">článok 236 nariadenia (EÚ) </w:t>
            </w:r>
            <w:r w:rsidR="009912F8" w:rsidRPr="00E07C9A">
              <w:t>č. 575/2013</w:t>
            </w:r>
          </w:p>
          <w:p w14:paraId="0B31BCA2" w14:textId="4BF1A7D6" w:rsidR="00464F34" w:rsidRPr="00E07C9A" w:rsidRDefault="00464F34" w:rsidP="00487A02">
            <w:pPr>
              <w:pStyle w:val="InstructionsText"/>
            </w:pPr>
            <w:r w:rsidRPr="00E07C9A">
              <w:t>Záporné peňažné toky zodpovedajú krytej časti pôvodnej expozície pred uplatnením konverzných faktorov, ktorá sa odpočíta od triedy expozícií dlžníka</w:t>
            </w:r>
            <w:r w:rsidR="009912F8" w:rsidRPr="00E07C9A">
              <w:t xml:space="preserve"> a </w:t>
            </w:r>
            <w:r w:rsidRPr="00E07C9A">
              <w:t>následne sa zaradí do triedy expozícií poskytovateľa zabezpečenia. Táto hodnota sa považuje za kladný peňažný tok do triedy expozícií poskytovateľa zabezpečenia.</w:t>
            </w:r>
          </w:p>
          <w:p w14:paraId="0E1E47C1" w14:textId="11F6D193" w:rsidR="00464F34" w:rsidRPr="00E07C9A" w:rsidRDefault="00464F34" w:rsidP="00487A02">
            <w:pPr>
              <w:pStyle w:val="InstructionsText"/>
              <w:rPr>
                <w:b/>
              </w:rPr>
            </w:pPr>
            <w:r w:rsidRPr="00E07C9A">
              <w:t>Vykazujú sa kladné aj záporné peňažné toky</w:t>
            </w:r>
            <w:r w:rsidR="009912F8" w:rsidRPr="00E07C9A">
              <w:t xml:space="preserve"> v </w:t>
            </w:r>
            <w:r w:rsidRPr="00E07C9A">
              <w:t>rámci rovnakých tried expozícií.</w:t>
            </w:r>
          </w:p>
          <w:p w14:paraId="3AB373BB" w14:textId="0C17D966" w:rsidR="00464F34" w:rsidRPr="00E07C9A" w:rsidRDefault="00464F34" w:rsidP="00487A02">
            <w:pPr>
              <w:pStyle w:val="InstructionsText"/>
            </w:pPr>
            <w:r w:rsidRPr="00E07C9A">
              <w:t>Zohľadňujú sa expozície pochádzajúce</w:t>
            </w:r>
            <w:r w:rsidR="009912F8" w:rsidRPr="00E07C9A">
              <w:t xml:space="preserve"> z </w:t>
            </w:r>
            <w:r w:rsidRPr="00E07C9A">
              <w:t>možných kladných</w:t>
            </w:r>
            <w:r w:rsidR="009912F8" w:rsidRPr="00E07C9A">
              <w:t xml:space="preserve"> a </w:t>
            </w:r>
            <w:r w:rsidRPr="00E07C9A">
              <w:t>záporných peňažných tokov</w:t>
            </w:r>
            <w:r w:rsidR="009912F8" w:rsidRPr="00E07C9A">
              <w:t xml:space="preserve"> z </w:t>
            </w:r>
            <w:r w:rsidRPr="00E07C9A">
              <w:t>iných vzorov</w:t>
            </w:r>
            <w:r w:rsidR="009912F8" w:rsidRPr="00E07C9A">
              <w:t xml:space="preserve"> a </w:t>
            </w:r>
            <w:r w:rsidRPr="00E07C9A">
              <w:t>do iných vzorov.</w:t>
            </w:r>
          </w:p>
        </w:tc>
      </w:tr>
      <w:tr w:rsidR="00464F34" w:rsidRPr="00E07C9A" w14:paraId="421A6962" w14:textId="77777777" w:rsidTr="00672D2A">
        <w:tc>
          <w:tcPr>
            <w:tcW w:w="1188" w:type="dxa"/>
          </w:tcPr>
          <w:p w14:paraId="699C2F17" w14:textId="77777777" w:rsidR="00464F34" w:rsidRPr="00E07C9A" w:rsidRDefault="00FF15C6" w:rsidP="00487A02">
            <w:pPr>
              <w:pStyle w:val="InstructionsText"/>
            </w:pPr>
            <w:r w:rsidRPr="00E07C9A">
              <w:t>0110</w:t>
            </w:r>
          </w:p>
        </w:tc>
        <w:tc>
          <w:tcPr>
            <w:tcW w:w="8640" w:type="dxa"/>
          </w:tcPr>
          <w:p w14:paraId="27C7814A" w14:textId="77777777" w:rsidR="00464F34" w:rsidRPr="00E07C9A" w:rsidRDefault="00464F34"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ČISTÁ EXPOZÍCIA PO SUBSTITUČNÝCH ÚČINKOCH CRM PRED UPLATNENÍM KONVERZNÝCH FAKTOROV</w:t>
            </w:r>
          </w:p>
          <w:p w14:paraId="2BB7B7FF" w14:textId="1DA7B450" w:rsidR="00464F34" w:rsidRPr="00E07C9A" w:rsidRDefault="00464F34" w:rsidP="00487A02">
            <w:pPr>
              <w:pStyle w:val="InstructionsText"/>
            </w:pPr>
            <w:r w:rsidRPr="00E07C9A">
              <w:t>Hodnota expozície po odpočítaní úprav ocenenia po zohľadnení záporných</w:t>
            </w:r>
            <w:r w:rsidR="009912F8" w:rsidRPr="00E07C9A">
              <w:t xml:space="preserve"> a </w:t>
            </w:r>
            <w:r w:rsidRPr="00E07C9A">
              <w:t>kladných peňažných tokov na základe POSTUPOV ZMIERŇOVANIA KREDITNÉHO RIZIKA (CRM) SO SUBSTITUČNÝMI ÚČINKAMI NA EXPOZÍCIU</w:t>
            </w:r>
          </w:p>
        </w:tc>
      </w:tr>
      <w:tr w:rsidR="00464F34" w:rsidRPr="00E07C9A" w14:paraId="1E3E40E2" w14:textId="77777777" w:rsidTr="00672D2A">
        <w:tc>
          <w:tcPr>
            <w:tcW w:w="1188" w:type="dxa"/>
          </w:tcPr>
          <w:p w14:paraId="0A49B3D7" w14:textId="77777777" w:rsidR="00464F34" w:rsidRPr="00E07C9A" w:rsidRDefault="00FF15C6" w:rsidP="00487A02">
            <w:pPr>
              <w:pStyle w:val="InstructionsText"/>
            </w:pPr>
            <w:r w:rsidRPr="00E07C9A">
              <w:t>0120 –⁠ 0140</w:t>
            </w:r>
          </w:p>
        </w:tc>
        <w:tc>
          <w:tcPr>
            <w:tcW w:w="8640" w:type="dxa"/>
          </w:tcPr>
          <w:p w14:paraId="4884ED69" w14:textId="4B90CF4F" w:rsidR="00464F34" w:rsidRPr="00E07C9A" w:rsidRDefault="00464F34" w:rsidP="00487A02">
            <w:pPr>
              <w:pStyle w:val="InstructionsText"/>
            </w:pPr>
            <w:r w:rsidRPr="00E07C9A">
              <w:rPr>
                <w:rStyle w:val="InstructionsTabelleberschrift"/>
                <w:rFonts w:ascii="Times New Roman" w:hAnsi="Times New Roman"/>
                <w:sz w:val="24"/>
              </w:rPr>
              <w:t>POSTUPY ZMIERŇOVANIA KREDITNÉHO RIZIKA OVPLYVŇUJÚCE HODNOTU EXPOZÍCIE. FINANCOVANÉ KREDITNÉ ZABEZPEČENIE, SÚHRNNÁ METÓDA NAKLADANIA</w:t>
            </w:r>
            <w:r w:rsidR="009912F8" w:rsidRPr="00E07C9A">
              <w:rPr>
                <w:rStyle w:val="InstructionsTabelleberschrift"/>
                <w:rFonts w:ascii="Times New Roman" w:hAnsi="Times New Roman"/>
                <w:sz w:val="24"/>
              </w:rPr>
              <w:t xml:space="preserve"> S </w:t>
            </w:r>
            <w:r w:rsidRPr="00E07C9A">
              <w:rPr>
                <w:rStyle w:val="InstructionsTabelleberschrift"/>
                <w:rFonts w:ascii="Times New Roman" w:hAnsi="Times New Roman"/>
                <w:sz w:val="24"/>
              </w:rPr>
              <w:t>FINANČNÝM KOLATERÁLOM</w:t>
            </w:r>
          </w:p>
          <w:p w14:paraId="2E94B8BA" w14:textId="7FA68EB9" w:rsidR="00464F34" w:rsidRPr="00E07C9A" w:rsidRDefault="00464F34" w:rsidP="00487A02">
            <w:pPr>
              <w:pStyle w:val="InstructionsText"/>
            </w:pPr>
            <w:r w:rsidRPr="00E07C9A">
              <w:t xml:space="preserve">Články 223 až 228 nariadenia (EÚ) </w:t>
            </w:r>
            <w:r w:rsidR="009912F8" w:rsidRPr="00E07C9A">
              <w:t>č. 575/2013</w:t>
            </w:r>
            <w:r w:rsidRPr="00E07C9A">
              <w:t xml:space="preserve"> Zahŕňajú aj dlhové nástroje viazané na úver [článok 218 nariadenia (EÚ) </w:t>
            </w:r>
            <w:r w:rsidR="009912F8" w:rsidRPr="00E07C9A">
              <w:t>č. 575/2013</w:t>
            </w:r>
            <w:r w:rsidRPr="00E07C9A">
              <w:t>].</w:t>
            </w:r>
          </w:p>
          <w:p w14:paraId="1A7F7A69" w14:textId="258671A7" w:rsidR="00464F34" w:rsidRPr="00E07C9A" w:rsidRDefault="00464F34" w:rsidP="00487A02">
            <w:pPr>
              <w:pStyle w:val="InstructionsText"/>
            </w:pPr>
            <w:r w:rsidRPr="00E07C9A">
              <w:t xml:space="preserve">S dlhovými nástrojmi viazanými na úver podľa článku 218 nariadenia (EÚ) </w:t>
            </w:r>
            <w:r w:rsidR="009912F8" w:rsidRPr="00E07C9A">
              <w:t>č. 575/2013 a s </w:t>
            </w:r>
            <w:r w:rsidRPr="00E07C9A">
              <w:t>pozíciami vzájomného započítavania</w:t>
            </w:r>
            <w:r w:rsidR="009912F8" w:rsidRPr="00E07C9A">
              <w:t xml:space="preserve"> v </w:t>
            </w:r>
            <w:r w:rsidRPr="00E07C9A">
              <w:t>súvahe vyplývajúcimi</w:t>
            </w:r>
            <w:r w:rsidR="009912F8" w:rsidRPr="00E07C9A">
              <w:t xml:space="preserve"> z </w:t>
            </w:r>
            <w:r w:rsidRPr="00E07C9A">
              <w:t>prípustných dohôd</w:t>
            </w:r>
            <w:r w:rsidR="009912F8" w:rsidRPr="00E07C9A">
              <w:t xml:space="preserve"> o </w:t>
            </w:r>
            <w:r w:rsidRPr="00E07C9A">
              <w:t>vzájomnom započítavaní</w:t>
            </w:r>
            <w:r w:rsidR="009912F8" w:rsidRPr="00E07C9A">
              <w:t xml:space="preserve"> v </w:t>
            </w:r>
            <w:r w:rsidRPr="00E07C9A">
              <w:t>súvahe podľa článku 219 uvedeného nariadenia sa zaobchádza ako</w:t>
            </w:r>
            <w:r w:rsidR="009912F8" w:rsidRPr="00E07C9A">
              <w:t xml:space="preserve"> s </w:t>
            </w:r>
            <w:r w:rsidRPr="00E07C9A">
              <w:t>peňažným kolaterálom.</w:t>
            </w:r>
          </w:p>
          <w:p w14:paraId="2787C285" w14:textId="19923A47" w:rsidR="00464F34" w:rsidRPr="00E07C9A" w:rsidRDefault="00464F34" w:rsidP="00487A02">
            <w:pPr>
              <w:pStyle w:val="InstructionsText"/>
            </w:pPr>
            <w:r w:rsidRPr="00E07C9A">
              <w:t>Účinok kolateralizácie súhrnnej metódy nakladania</w:t>
            </w:r>
            <w:r w:rsidR="009912F8" w:rsidRPr="00E07C9A">
              <w:t xml:space="preserve"> s </w:t>
            </w:r>
            <w:r w:rsidRPr="00E07C9A">
              <w:t>finančným kolaterálom uplatnenej na expozíciu, ktorá je zabezpečená prípustným finančným kolaterálom, sa vypočíta</w:t>
            </w:r>
            <w:r w:rsidR="009912F8" w:rsidRPr="00E07C9A">
              <w:t xml:space="preserve"> v </w:t>
            </w:r>
            <w:r w:rsidRPr="00E07C9A">
              <w:t>súlade</w:t>
            </w:r>
            <w:r w:rsidR="009912F8" w:rsidRPr="00E07C9A">
              <w:t xml:space="preserve"> s </w:t>
            </w:r>
            <w:r w:rsidRPr="00E07C9A">
              <w:t xml:space="preserve">článkami 223 až 228 nariadenia (EÚ) </w:t>
            </w:r>
            <w:r w:rsidR="009912F8" w:rsidRPr="00E07C9A">
              <w:t>č. 575/2013</w:t>
            </w:r>
            <w:r w:rsidRPr="00E07C9A">
              <w:t xml:space="preserve">. </w:t>
            </w:r>
          </w:p>
        </w:tc>
      </w:tr>
      <w:tr w:rsidR="00464F34" w:rsidRPr="00E07C9A" w14:paraId="65FA22A0" w14:textId="77777777" w:rsidTr="00672D2A">
        <w:tc>
          <w:tcPr>
            <w:tcW w:w="1188" w:type="dxa"/>
          </w:tcPr>
          <w:p w14:paraId="554BEC67" w14:textId="77777777" w:rsidR="00464F34" w:rsidRPr="00E07C9A" w:rsidRDefault="00FF15C6" w:rsidP="00487A02">
            <w:pPr>
              <w:pStyle w:val="InstructionsText"/>
            </w:pPr>
            <w:r w:rsidRPr="00E07C9A">
              <w:t>0120</w:t>
            </w:r>
          </w:p>
        </w:tc>
        <w:tc>
          <w:tcPr>
            <w:tcW w:w="8640" w:type="dxa"/>
          </w:tcPr>
          <w:p w14:paraId="5CB8FE23" w14:textId="76C2DACF" w:rsidR="00464F34" w:rsidRPr="00E07C9A" w:rsidRDefault="00464F34"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Úprava expozície</w:t>
            </w:r>
            <w:r w:rsidR="009912F8" w:rsidRPr="00E07C9A">
              <w:rPr>
                <w:rStyle w:val="InstructionsTabelleberschrift"/>
                <w:rFonts w:ascii="Times New Roman" w:hAnsi="Times New Roman"/>
                <w:sz w:val="24"/>
              </w:rPr>
              <w:t xml:space="preserve"> z </w:t>
            </w:r>
            <w:r w:rsidRPr="00E07C9A">
              <w:rPr>
                <w:rStyle w:val="InstructionsTabelleberschrift"/>
                <w:rFonts w:ascii="Times New Roman" w:hAnsi="Times New Roman"/>
                <w:sz w:val="24"/>
              </w:rPr>
              <w:t>dôvodu volatility</w:t>
            </w:r>
          </w:p>
          <w:p w14:paraId="3FFA72EF" w14:textId="3AF48D05" w:rsidR="00464F34" w:rsidRPr="00E07C9A" w:rsidRDefault="00464F34" w:rsidP="00487A02">
            <w:pPr>
              <w:pStyle w:val="InstructionsText"/>
            </w:pPr>
            <w:r w:rsidRPr="00E07C9A">
              <w:t>Článok 223 ods. 2</w:t>
            </w:r>
            <w:r w:rsidR="009912F8" w:rsidRPr="00E07C9A">
              <w:t xml:space="preserve"> a </w:t>
            </w:r>
            <w:r w:rsidRPr="00E07C9A">
              <w:t xml:space="preserve">3 nariadenia (EÚ) </w:t>
            </w:r>
            <w:r w:rsidR="009912F8" w:rsidRPr="00E07C9A">
              <w:t>č. 575/2013</w:t>
            </w:r>
          </w:p>
          <w:p w14:paraId="06181C16" w14:textId="42B5FCF1" w:rsidR="00464F34" w:rsidRPr="00E07C9A" w:rsidRDefault="00464F34" w:rsidP="00487A02">
            <w:pPr>
              <w:pStyle w:val="InstructionsText"/>
            </w:pPr>
            <w:r w:rsidRPr="00E07C9A">
              <w:t>Hodnota, ktorá sa má vykázať, je vplyv úpravy expozície</w:t>
            </w:r>
            <w:r w:rsidR="009912F8" w:rsidRPr="00E07C9A">
              <w:t xml:space="preserve"> z </w:t>
            </w:r>
            <w:r w:rsidRPr="00E07C9A">
              <w:t>dôvodu volatility (Eva – E) = E*He.</w:t>
            </w:r>
          </w:p>
        </w:tc>
      </w:tr>
      <w:tr w:rsidR="00464F34" w:rsidRPr="00E07C9A" w14:paraId="5E5A34BD" w14:textId="77777777" w:rsidTr="00672D2A">
        <w:tc>
          <w:tcPr>
            <w:tcW w:w="1188" w:type="dxa"/>
          </w:tcPr>
          <w:p w14:paraId="480F3B87" w14:textId="77777777" w:rsidR="00464F34" w:rsidRPr="00E07C9A" w:rsidRDefault="00FF15C6" w:rsidP="00487A02">
            <w:pPr>
              <w:pStyle w:val="InstructionsText"/>
            </w:pPr>
            <w:r w:rsidRPr="00E07C9A">
              <w:t>0130</w:t>
            </w:r>
          </w:p>
        </w:tc>
        <w:tc>
          <w:tcPr>
            <w:tcW w:w="8640" w:type="dxa"/>
          </w:tcPr>
          <w:p w14:paraId="0B6B76FF" w14:textId="7F6D5148" w:rsidR="00464F34" w:rsidRPr="00E07C9A" w:rsidRDefault="00464F34"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 Hodnota kolaterálu upravená</w:t>
            </w:r>
            <w:r w:rsidR="009912F8" w:rsidRPr="00E07C9A">
              <w:rPr>
                <w:rStyle w:val="InstructionsTabelleberschrift"/>
                <w:rFonts w:ascii="Times New Roman" w:hAnsi="Times New Roman"/>
                <w:sz w:val="24"/>
              </w:rPr>
              <w:t xml:space="preserve"> z </w:t>
            </w:r>
            <w:r w:rsidRPr="00E07C9A">
              <w:rPr>
                <w:rStyle w:val="InstructionsTabelleberschrift"/>
                <w:rFonts w:ascii="Times New Roman" w:hAnsi="Times New Roman"/>
                <w:sz w:val="24"/>
              </w:rPr>
              <w:t>dôvodu volatility (Cvam)</w:t>
            </w:r>
          </w:p>
          <w:p w14:paraId="34C0DD05" w14:textId="7BD1753F" w:rsidR="00464F34" w:rsidRPr="00E07C9A" w:rsidRDefault="00464F34" w:rsidP="00487A02">
            <w:pPr>
              <w:pStyle w:val="InstructionsText"/>
            </w:pPr>
            <w:r w:rsidRPr="00E07C9A">
              <w:t xml:space="preserve">Článok 239 ods. 2 nariadenia (EÚ) </w:t>
            </w:r>
            <w:r w:rsidR="009912F8" w:rsidRPr="00E07C9A">
              <w:t>č. 575/2013</w:t>
            </w:r>
          </w:p>
          <w:p w14:paraId="586FDD7B" w14:textId="696C3536" w:rsidR="009912F8" w:rsidRPr="00E07C9A" w:rsidRDefault="00464F34" w:rsidP="00487A02">
            <w:pPr>
              <w:pStyle w:val="InstructionsText"/>
            </w:pPr>
            <w:r w:rsidRPr="00E07C9A">
              <w:t>Pre operácie obchodnej knihy sa zahrnú finančný kolaterál</w:t>
            </w:r>
            <w:r w:rsidR="009912F8" w:rsidRPr="00E07C9A">
              <w:t xml:space="preserve"> a </w:t>
            </w:r>
            <w:r w:rsidRPr="00E07C9A">
              <w:t>komodity prípustné pre expozície</w:t>
            </w:r>
            <w:r w:rsidR="009912F8" w:rsidRPr="00E07C9A">
              <w:t xml:space="preserve"> v </w:t>
            </w:r>
            <w:r w:rsidRPr="00E07C9A">
              <w:t>obchodnej knihe</w:t>
            </w:r>
            <w:r w:rsidR="009912F8" w:rsidRPr="00E07C9A">
              <w:t xml:space="preserve"> v </w:t>
            </w:r>
            <w:r w:rsidRPr="00E07C9A">
              <w:t>súlade</w:t>
            </w:r>
            <w:r w:rsidR="009912F8" w:rsidRPr="00E07C9A">
              <w:t xml:space="preserve"> s </w:t>
            </w:r>
            <w:r w:rsidRPr="00E07C9A">
              <w:t xml:space="preserve">článkom 299 ods. 2 písm. c) až f) nariadenia (EÚ) </w:t>
            </w:r>
            <w:r w:rsidR="009912F8" w:rsidRPr="00E07C9A">
              <w:t>č. 575/2013.</w:t>
            </w:r>
          </w:p>
          <w:p w14:paraId="224F7C24" w14:textId="44AD009C" w:rsidR="00464F34" w:rsidRPr="00E07C9A" w:rsidRDefault="00464F34" w:rsidP="00F37BEE">
            <w:pPr>
              <w:pStyle w:val="InstructionsText"/>
            </w:pPr>
            <w:r w:rsidRPr="00E07C9A">
              <w:t>Hodnota, ktorá sa má vykázať, zodpovedá Cvam = C * (1 – Hc – Hfx) * (t – t*)/(T – t*). Vymedzenie C, Hc, Hfx, t, T</w:t>
            </w:r>
            <w:r w:rsidR="009912F8" w:rsidRPr="00E07C9A">
              <w:t xml:space="preserve"> a </w:t>
            </w:r>
            <w:r w:rsidRPr="00E07C9A">
              <w:t>t* je uvedené</w:t>
            </w:r>
            <w:r w:rsidR="009912F8" w:rsidRPr="00E07C9A">
              <w:t xml:space="preserve"> v </w:t>
            </w:r>
            <w:r w:rsidRPr="00E07C9A">
              <w:t>tretej časti hlave II kapitole 4 oddieloch 4</w:t>
            </w:r>
            <w:r w:rsidR="009912F8" w:rsidRPr="00E07C9A">
              <w:t xml:space="preserve"> a </w:t>
            </w:r>
            <w:r w:rsidRPr="00E07C9A">
              <w:t xml:space="preserve">5 nariadenia (EÚ) </w:t>
            </w:r>
            <w:r w:rsidR="009912F8" w:rsidRPr="00E07C9A">
              <w:t>č. 575/2013</w:t>
            </w:r>
            <w:r w:rsidRPr="00E07C9A">
              <w:t>.</w:t>
            </w:r>
          </w:p>
        </w:tc>
      </w:tr>
      <w:tr w:rsidR="00464F34" w:rsidRPr="00E07C9A" w14:paraId="66748841" w14:textId="77777777" w:rsidTr="00672D2A">
        <w:tc>
          <w:tcPr>
            <w:tcW w:w="1188" w:type="dxa"/>
          </w:tcPr>
          <w:p w14:paraId="45A61153" w14:textId="77777777" w:rsidR="00464F34" w:rsidRPr="00E07C9A" w:rsidRDefault="00FF15C6" w:rsidP="00487A02">
            <w:pPr>
              <w:pStyle w:val="InstructionsText"/>
            </w:pPr>
            <w:r w:rsidRPr="00E07C9A">
              <w:t>0140</w:t>
            </w:r>
          </w:p>
        </w:tc>
        <w:tc>
          <w:tcPr>
            <w:tcW w:w="8640" w:type="dxa"/>
          </w:tcPr>
          <w:p w14:paraId="0EF36EC1" w14:textId="1D296804" w:rsidR="00464F34" w:rsidRPr="00E07C9A" w:rsidRDefault="008932B5"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w:t>
            </w:r>
            <w:r w:rsidR="009912F8" w:rsidRPr="00E07C9A">
              <w:rPr>
                <w:rStyle w:val="InstructionsTabelleberschrift"/>
                <w:rFonts w:ascii="Times New Roman" w:hAnsi="Times New Roman"/>
                <w:sz w:val="24"/>
              </w:rPr>
              <w:t xml:space="preserve"> z </w:t>
            </w:r>
            <w:r w:rsidRPr="00E07C9A">
              <w:rPr>
                <w:rStyle w:val="InstructionsTabelleberschrift"/>
                <w:rFonts w:ascii="Times New Roman" w:hAnsi="Times New Roman"/>
                <w:sz w:val="24"/>
              </w:rPr>
              <w:t>čoho: úprava</w:t>
            </w:r>
            <w:r w:rsidR="009912F8" w:rsidRPr="00E07C9A">
              <w:rPr>
                <w:rStyle w:val="InstructionsTabelleberschrift"/>
                <w:rFonts w:ascii="Times New Roman" w:hAnsi="Times New Roman"/>
                <w:sz w:val="24"/>
              </w:rPr>
              <w:t xml:space="preserve"> z </w:t>
            </w:r>
            <w:r w:rsidRPr="00E07C9A">
              <w:rPr>
                <w:rStyle w:val="InstructionsTabelleberschrift"/>
                <w:rFonts w:ascii="Times New Roman" w:hAnsi="Times New Roman"/>
                <w:sz w:val="24"/>
              </w:rPr>
              <w:t>dôvodu volatility</w:t>
            </w:r>
            <w:r w:rsidR="009912F8" w:rsidRPr="00E07C9A">
              <w:rPr>
                <w:rStyle w:val="InstructionsTabelleberschrift"/>
                <w:rFonts w:ascii="Times New Roman" w:hAnsi="Times New Roman"/>
                <w:sz w:val="24"/>
              </w:rPr>
              <w:t xml:space="preserve"> a </w:t>
            </w:r>
            <w:r w:rsidRPr="00E07C9A">
              <w:rPr>
                <w:rStyle w:val="InstructionsTabelleberschrift"/>
                <w:rFonts w:ascii="Times New Roman" w:hAnsi="Times New Roman"/>
                <w:sz w:val="24"/>
              </w:rPr>
              <w:t>úprava</w:t>
            </w:r>
            <w:r w:rsidR="009912F8" w:rsidRPr="00E07C9A">
              <w:rPr>
                <w:rStyle w:val="InstructionsTabelleberschrift"/>
                <w:rFonts w:ascii="Times New Roman" w:hAnsi="Times New Roman"/>
                <w:sz w:val="24"/>
              </w:rPr>
              <w:t xml:space="preserve"> z </w:t>
            </w:r>
            <w:r w:rsidRPr="00E07C9A">
              <w:rPr>
                <w:rStyle w:val="InstructionsTabelleberschrift"/>
                <w:rFonts w:ascii="Times New Roman" w:hAnsi="Times New Roman"/>
                <w:sz w:val="24"/>
              </w:rPr>
              <w:t>dôvodu splatnosti</w:t>
            </w:r>
          </w:p>
          <w:p w14:paraId="02D2775D" w14:textId="7F4FA783" w:rsidR="009912F8" w:rsidRPr="00E07C9A" w:rsidRDefault="00464F34" w:rsidP="00487A02">
            <w:pPr>
              <w:pStyle w:val="InstructionsText"/>
            </w:pPr>
            <w:r w:rsidRPr="00E07C9A">
              <w:t xml:space="preserve">Článok 223 ods. 1 nariadenia (EÚ) </w:t>
            </w:r>
            <w:r w:rsidR="009912F8" w:rsidRPr="00E07C9A">
              <w:t>č. 575/2013 a </w:t>
            </w:r>
            <w:r w:rsidRPr="00E07C9A">
              <w:t>článok 239 ods. 2 uvedeného nariadenia</w:t>
            </w:r>
            <w:r w:rsidR="009912F8" w:rsidRPr="00E07C9A">
              <w:t>.</w:t>
            </w:r>
          </w:p>
          <w:p w14:paraId="2D170055" w14:textId="67E8E9EE" w:rsidR="00464F34" w:rsidRPr="00E07C9A" w:rsidRDefault="00464F34" w:rsidP="00487A02">
            <w:pPr>
              <w:pStyle w:val="InstructionsText"/>
            </w:pPr>
            <w:r w:rsidRPr="00E07C9A">
              <w:t>Hodnota, ktorá sa má vykázať, je spoločný vplyv úpravy</w:t>
            </w:r>
            <w:r w:rsidR="009912F8" w:rsidRPr="00E07C9A">
              <w:t xml:space="preserve"> z </w:t>
            </w:r>
            <w:r w:rsidRPr="00E07C9A">
              <w:t>dôvodu volatility</w:t>
            </w:r>
            <w:r w:rsidR="009912F8" w:rsidRPr="00E07C9A">
              <w:t xml:space="preserve"> a </w:t>
            </w:r>
            <w:r w:rsidRPr="00E07C9A">
              <w:t>úpravy</w:t>
            </w:r>
            <w:r w:rsidR="009912F8" w:rsidRPr="00E07C9A">
              <w:t xml:space="preserve"> z </w:t>
            </w:r>
            <w:r w:rsidRPr="00E07C9A">
              <w:t>dôvodu splatnosti (Cvam – C) = C * [(1 – Hc – Hfx) * (t – t*)/(T – t*) – 1], keď vplyv úpravy</w:t>
            </w:r>
            <w:r w:rsidR="009912F8" w:rsidRPr="00E07C9A">
              <w:t xml:space="preserve"> z </w:t>
            </w:r>
            <w:r w:rsidRPr="00E07C9A">
              <w:t>dôvodu volatility (Cva – C) = C * [(1 – Hc – Hfx) – 1]</w:t>
            </w:r>
            <w:r w:rsidR="009912F8" w:rsidRPr="00E07C9A">
              <w:t xml:space="preserve"> a </w:t>
            </w:r>
            <w:r w:rsidRPr="00E07C9A">
              <w:t>vplyv</w:t>
            </w:r>
            <w:r w:rsidR="009912F8" w:rsidRPr="00E07C9A">
              <w:t xml:space="preserve"> z </w:t>
            </w:r>
            <w:r w:rsidRPr="00E07C9A">
              <w:t>dôvodu splatnosti je (Cvam – Cva) = C * (1 – Hc – Hfx) * [(t – t*)/(T – t*) – 1].</w:t>
            </w:r>
          </w:p>
        </w:tc>
      </w:tr>
      <w:tr w:rsidR="00464F34" w:rsidRPr="00E07C9A" w14:paraId="21E504B4" w14:textId="77777777" w:rsidTr="00672D2A">
        <w:tc>
          <w:tcPr>
            <w:tcW w:w="1188" w:type="dxa"/>
          </w:tcPr>
          <w:p w14:paraId="1F9C1B7A" w14:textId="77777777" w:rsidR="00464F34" w:rsidRPr="00E07C9A" w:rsidRDefault="00FF15C6" w:rsidP="00487A02">
            <w:pPr>
              <w:pStyle w:val="InstructionsText"/>
            </w:pPr>
            <w:r w:rsidRPr="00E07C9A">
              <w:t>0150</w:t>
            </w:r>
          </w:p>
        </w:tc>
        <w:tc>
          <w:tcPr>
            <w:tcW w:w="8640" w:type="dxa"/>
          </w:tcPr>
          <w:p w14:paraId="42D6E672" w14:textId="77777777" w:rsidR="00464F34" w:rsidRPr="00E07C9A" w:rsidRDefault="00464F34" w:rsidP="00487A02">
            <w:pPr>
              <w:pStyle w:val="InstructionsText"/>
            </w:pPr>
            <w:r w:rsidRPr="00E07C9A">
              <w:rPr>
                <w:rStyle w:val="InstructionsTabelleberschrift"/>
                <w:rFonts w:ascii="Times New Roman" w:hAnsi="Times New Roman"/>
                <w:sz w:val="24"/>
              </w:rPr>
              <w:t>Plne upravená hodnota expozície (E*)</w:t>
            </w:r>
          </w:p>
          <w:p w14:paraId="4953760F" w14:textId="2C5EC6DF" w:rsidR="00464F34" w:rsidRPr="00E07C9A" w:rsidRDefault="00464F34" w:rsidP="00487A02">
            <w:pPr>
              <w:pStyle w:val="InstructionsText"/>
              <w:rPr>
                <w:b/>
                <w:u w:val="single"/>
              </w:rPr>
            </w:pPr>
            <w:r w:rsidRPr="00E07C9A">
              <w:t>Článok 220 ods. 4, článok 223 ods. 2 až 5</w:t>
            </w:r>
            <w:r w:rsidR="009912F8" w:rsidRPr="00E07C9A">
              <w:t xml:space="preserve"> a </w:t>
            </w:r>
            <w:r w:rsidRPr="00E07C9A">
              <w:t xml:space="preserve">článok 228 ods. 1 nariadenia (EÚ) </w:t>
            </w:r>
            <w:r w:rsidR="009912F8" w:rsidRPr="00E07C9A">
              <w:t>č. 575/2013</w:t>
            </w:r>
          </w:p>
        </w:tc>
      </w:tr>
      <w:tr w:rsidR="00464F34" w:rsidRPr="00E07C9A" w14:paraId="61BC04EA" w14:textId="77777777" w:rsidTr="00672D2A">
        <w:tc>
          <w:tcPr>
            <w:tcW w:w="1188" w:type="dxa"/>
          </w:tcPr>
          <w:p w14:paraId="69F22C67" w14:textId="77777777" w:rsidR="00464F34" w:rsidRPr="00E07C9A" w:rsidRDefault="00FF15C6" w:rsidP="00487A02">
            <w:pPr>
              <w:pStyle w:val="InstructionsText"/>
            </w:pPr>
            <w:r w:rsidRPr="00E07C9A">
              <w:t>0160 – 0190</w:t>
            </w:r>
          </w:p>
        </w:tc>
        <w:tc>
          <w:tcPr>
            <w:tcW w:w="8640" w:type="dxa"/>
          </w:tcPr>
          <w:p w14:paraId="0A9E6268" w14:textId="77777777" w:rsidR="00464F34" w:rsidRPr="00E07C9A" w:rsidRDefault="00464F34"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Rozčlenenie plne upravenej hodnoty expozície podsúvahových položiek podľa konverzných faktorov</w:t>
            </w:r>
          </w:p>
          <w:p w14:paraId="7931F456" w14:textId="1DFA9AD6" w:rsidR="00464F34" w:rsidRPr="00E07C9A" w:rsidRDefault="00464F34" w:rsidP="00487A02">
            <w:pPr>
              <w:pStyle w:val="InstructionsText"/>
            </w:pPr>
            <w:r w:rsidRPr="00E07C9A">
              <w:t>Článok 111 ods. 1</w:t>
            </w:r>
            <w:r w:rsidR="009912F8" w:rsidRPr="00E07C9A">
              <w:t xml:space="preserve"> a </w:t>
            </w:r>
            <w:r w:rsidRPr="00E07C9A">
              <w:t xml:space="preserve">článok 4 ods. 1 bod 56 nariadenia (EÚ) </w:t>
            </w:r>
            <w:r w:rsidR="009912F8" w:rsidRPr="00E07C9A">
              <w:t>č. 575/2013</w:t>
            </w:r>
            <w:r w:rsidRPr="00E07C9A">
              <w:t xml:space="preserve"> Pozri aj článok 222 ods. 3</w:t>
            </w:r>
            <w:r w:rsidR="009912F8" w:rsidRPr="00E07C9A">
              <w:t xml:space="preserve"> a </w:t>
            </w:r>
            <w:r w:rsidRPr="00E07C9A">
              <w:t xml:space="preserve">článok 228 ods. 1 nariadenia (EÚ) </w:t>
            </w:r>
            <w:r w:rsidR="009912F8" w:rsidRPr="00E07C9A">
              <w:t>č. 575/2013</w:t>
            </w:r>
          </w:p>
          <w:p w14:paraId="0C778F2A" w14:textId="77777777" w:rsidR="000A4C10" w:rsidRPr="00E07C9A" w:rsidRDefault="000A4C10" w:rsidP="00487A02">
            <w:pPr>
              <w:pStyle w:val="InstructionsText"/>
              <w:rPr>
                <w:b/>
                <w:u w:val="single"/>
              </w:rPr>
            </w:pPr>
            <w:r w:rsidRPr="00E07C9A">
              <w:t>Vykazované čísla sú plne upravené hodnoty expozície pred uplatnením konverzného faktora.</w:t>
            </w:r>
          </w:p>
        </w:tc>
      </w:tr>
      <w:tr w:rsidR="00464F34" w:rsidRPr="00E07C9A" w14:paraId="55E75C08" w14:textId="77777777" w:rsidTr="00672D2A">
        <w:tc>
          <w:tcPr>
            <w:tcW w:w="1188" w:type="dxa"/>
          </w:tcPr>
          <w:p w14:paraId="051569DD" w14:textId="77777777" w:rsidR="00464F34" w:rsidRPr="00E07C9A" w:rsidRDefault="00FF15C6" w:rsidP="00487A02">
            <w:pPr>
              <w:pStyle w:val="InstructionsText"/>
            </w:pPr>
            <w:r w:rsidRPr="00E07C9A">
              <w:t>0200</w:t>
            </w:r>
          </w:p>
        </w:tc>
        <w:tc>
          <w:tcPr>
            <w:tcW w:w="8640" w:type="dxa"/>
          </w:tcPr>
          <w:p w14:paraId="218B097F" w14:textId="77777777" w:rsidR="00464F34" w:rsidRPr="00E07C9A" w:rsidRDefault="00464F34" w:rsidP="00487A02">
            <w:pPr>
              <w:pStyle w:val="InstructionsText"/>
            </w:pPr>
            <w:r w:rsidRPr="00E07C9A">
              <w:rPr>
                <w:rStyle w:val="InstructionsTabelleberschrift"/>
                <w:rFonts w:ascii="Times New Roman" w:hAnsi="Times New Roman"/>
                <w:sz w:val="24"/>
              </w:rPr>
              <w:t>Hodnota expozície</w:t>
            </w:r>
          </w:p>
          <w:p w14:paraId="6DF8082E" w14:textId="16F12424" w:rsidR="00464F34" w:rsidRPr="00E07C9A" w:rsidRDefault="00531FC9" w:rsidP="00487A02">
            <w:pPr>
              <w:pStyle w:val="InstructionsText"/>
            </w:pPr>
            <w:r w:rsidRPr="00E07C9A">
              <w:t xml:space="preserve">Článok 111 nariadenia (EÚ) </w:t>
            </w:r>
            <w:r w:rsidR="009912F8" w:rsidRPr="00E07C9A">
              <w:t>č. 575/2013 a </w:t>
            </w:r>
            <w:r w:rsidRPr="00E07C9A">
              <w:t>tretia časť hlava II kapitola 4 oddiel 4 uvedeného nariadenia</w:t>
            </w:r>
          </w:p>
          <w:p w14:paraId="5F5EABA5" w14:textId="0B47460F" w:rsidR="00464F34" w:rsidRPr="00E07C9A" w:rsidRDefault="00464F34" w:rsidP="00487A02">
            <w:pPr>
              <w:pStyle w:val="InstructionsText"/>
            </w:pPr>
            <w:r w:rsidRPr="00E07C9A">
              <w:t>Hodnota expozície po zohľadnení úprav ocenenia, všetkých postupov zmierňovania kreditného rizika</w:t>
            </w:r>
            <w:r w:rsidR="009912F8" w:rsidRPr="00E07C9A">
              <w:t xml:space="preserve"> a </w:t>
            </w:r>
            <w:r w:rsidRPr="00E07C9A">
              <w:t>konverzných faktorov úverov, ktorá sa má priradiť rizikovým váham</w:t>
            </w:r>
            <w:r w:rsidR="009912F8" w:rsidRPr="00E07C9A">
              <w:t xml:space="preserve"> v </w:t>
            </w:r>
            <w:r w:rsidRPr="00E07C9A">
              <w:t>súlade</w:t>
            </w:r>
            <w:r w:rsidR="009912F8" w:rsidRPr="00E07C9A">
              <w:t xml:space="preserve"> s </w:t>
            </w:r>
            <w:r w:rsidRPr="00E07C9A">
              <w:t>článkom 113</w:t>
            </w:r>
            <w:r w:rsidR="009912F8" w:rsidRPr="00E07C9A">
              <w:t xml:space="preserve"> a </w:t>
            </w:r>
            <w:r w:rsidRPr="00E07C9A">
              <w:t xml:space="preserve">treťou časťou hlavou II kapitolou 2 oddielom 2 nariadenia (EÚ) </w:t>
            </w:r>
            <w:r w:rsidR="009912F8" w:rsidRPr="00E07C9A">
              <w:t>č. 575/2013</w:t>
            </w:r>
            <w:r w:rsidRPr="00E07C9A">
              <w:t>.</w:t>
            </w:r>
          </w:p>
          <w:p w14:paraId="4DEBB82D" w14:textId="59E96462" w:rsidR="0029630E" w:rsidRPr="00E07C9A" w:rsidRDefault="0029630E" w:rsidP="00487A02">
            <w:pPr>
              <w:pStyle w:val="InstructionsText"/>
            </w:pPr>
            <w:r w:rsidRPr="00E07C9A">
              <w:t>Na hodnoty expozícií</w:t>
            </w:r>
            <w:r w:rsidR="009912F8" w:rsidRPr="00E07C9A">
              <w:t xml:space="preserve"> z </w:t>
            </w:r>
            <w:r w:rsidRPr="00E07C9A">
              <w:t xml:space="preserve">prenájmu sa vzťahuje článok 134 ods. 7 nariadenia (EÚ) </w:t>
            </w:r>
            <w:r w:rsidR="009912F8" w:rsidRPr="00E07C9A">
              <w:t>č. 575/2013</w:t>
            </w:r>
            <w:r w:rsidRPr="00E07C9A">
              <w:t>. Konkrétne sa zostatková hodnota zahŕňa</w:t>
            </w:r>
            <w:r w:rsidR="009912F8" w:rsidRPr="00E07C9A">
              <w:t xml:space="preserve"> v </w:t>
            </w:r>
            <w:r w:rsidRPr="00E07C9A">
              <w:t>jej diskontovanej zostatkovej hodnote po zohľadnení úprav ocenenia, všetkých postupov zmierňovania kreditného rizika</w:t>
            </w:r>
            <w:r w:rsidR="009912F8" w:rsidRPr="00E07C9A">
              <w:t xml:space="preserve"> a </w:t>
            </w:r>
            <w:r w:rsidRPr="00E07C9A">
              <w:t>konverzných faktorov úverov.</w:t>
            </w:r>
          </w:p>
          <w:p w14:paraId="67056B04" w14:textId="726C5484" w:rsidR="007C64F7" w:rsidRPr="00E07C9A" w:rsidRDefault="007C64F7" w:rsidP="00487A02">
            <w:pPr>
              <w:pStyle w:val="InstructionsText"/>
            </w:pPr>
            <w:r w:rsidRPr="00E07C9A">
              <w:t>Hodnoty expozícií sú</w:t>
            </w:r>
            <w:r w:rsidR="009912F8" w:rsidRPr="00E07C9A">
              <w:t xml:space="preserve"> v </w:t>
            </w:r>
            <w:r w:rsidRPr="00E07C9A">
              <w:t>prípade obchodných činností, na ktoré sa vzťahuje kreditné riziko protistrany (CCR), rovnaké ako hodnoty vykázané</w:t>
            </w:r>
            <w:r w:rsidR="009912F8" w:rsidRPr="00E07C9A">
              <w:t xml:space="preserve"> v </w:t>
            </w:r>
            <w:r w:rsidRPr="00E07C9A">
              <w:t>stĺpci 0210.</w:t>
            </w:r>
          </w:p>
        </w:tc>
      </w:tr>
      <w:tr w:rsidR="00464F34" w:rsidRPr="00E07C9A" w14:paraId="155D82F9" w14:textId="77777777" w:rsidTr="00672D2A">
        <w:tc>
          <w:tcPr>
            <w:tcW w:w="1188" w:type="dxa"/>
          </w:tcPr>
          <w:p w14:paraId="27C2881B" w14:textId="77777777" w:rsidR="00464F34" w:rsidRPr="00E07C9A" w:rsidRDefault="00FF15C6" w:rsidP="00487A02">
            <w:pPr>
              <w:pStyle w:val="InstructionsText"/>
            </w:pPr>
            <w:r w:rsidRPr="00E07C9A">
              <w:t>0210</w:t>
            </w:r>
          </w:p>
        </w:tc>
        <w:tc>
          <w:tcPr>
            <w:tcW w:w="8640" w:type="dxa"/>
          </w:tcPr>
          <w:p w14:paraId="6CEC4E8B" w14:textId="75D79CC8" w:rsidR="00464F34" w:rsidRPr="00E07C9A" w:rsidRDefault="00464F34"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Z čoho: vyplývajúce</w:t>
            </w:r>
            <w:r w:rsidR="009912F8" w:rsidRPr="00E07C9A">
              <w:rPr>
                <w:rStyle w:val="InstructionsTabelleberschrift"/>
                <w:rFonts w:ascii="Times New Roman" w:hAnsi="Times New Roman"/>
                <w:sz w:val="24"/>
              </w:rPr>
              <w:t xml:space="preserve"> z </w:t>
            </w:r>
            <w:r w:rsidRPr="00E07C9A">
              <w:rPr>
                <w:rStyle w:val="InstructionsTabelleberschrift"/>
                <w:rFonts w:ascii="Times New Roman" w:hAnsi="Times New Roman"/>
                <w:sz w:val="24"/>
              </w:rPr>
              <w:t>kreditného rizika protistrany</w:t>
            </w:r>
          </w:p>
          <w:p w14:paraId="4BE50CEF" w14:textId="1A6133FD" w:rsidR="009912F8" w:rsidRPr="00E07C9A" w:rsidRDefault="007C64F7" w:rsidP="007C64F7">
            <w:pPr>
              <w:pStyle w:val="TableMainHeading"/>
              <w:spacing w:before="60"/>
              <w:jc w:val="both"/>
              <w:rPr>
                <w:rFonts w:ascii="Times New Roman" w:hAnsi="Times New Roman"/>
                <w:sz w:val="24"/>
              </w:rPr>
            </w:pPr>
            <w:r w:rsidRPr="00E07C9A">
              <w:rPr>
                <w:rFonts w:ascii="Times New Roman" w:hAnsi="Times New Roman"/>
                <w:sz w:val="24"/>
              </w:rPr>
              <w:t>Hodnota expozície</w:t>
            </w:r>
            <w:r w:rsidR="009912F8" w:rsidRPr="00E07C9A">
              <w:rPr>
                <w:rFonts w:ascii="Times New Roman" w:hAnsi="Times New Roman"/>
                <w:sz w:val="24"/>
              </w:rPr>
              <w:t xml:space="preserve"> v </w:t>
            </w:r>
            <w:r w:rsidRPr="00E07C9A">
              <w:rPr>
                <w:rFonts w:ascii="Times New Roman" w:hAnsi="Times New Roman"/>
                <w:sz w:val="24"/>
              </w:rPr>
              <w:t>prípade obchodných činností, na ktoré sa vzťahuje CCR, vypočítaná</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metódami stanovenými</w:t>
            </w:r>
            <w:r w:rsidR="009912F8" w:rsidRPr="00E07C9A">
              <w:rPr>
                <w:rFonts w:ascii="Times New Roman" w:hAnsi="Times New Roman"/>
                <w:sz w:val="24"/>
              </w:rPr>
              <w:t xml:space="preserve"> v </w:t>
            </w:r>
            <w:r w:rsidRPr="00E07C9A">
              <w:rPr>
                <w:rFonts w:ascii="Times New Roman" w:hAnsi="Times New Roman"/>
                <w:sz w:val="24"/>
              </w:rPr>
              <w:t>tretej časti hlave II kapitolách 4</w:t>
            </w:r>
            <w:r w:rsidR="009912F8" w:rsidRPr="00E07C9A">
              <w:rPr>
                <w:rFonts w:ascii="Times New Roman" w:hAnsi="Times New Roman"/>
                <w:sz w:val="24"/>
              </w:rPr>
              <w:t xml:space="preserve"> a </w:t>
            </w:r>
            <w:r w:rsidRPr="00E07C9A">
              <w:rPr>
                <w:rFonts w:ascii="Times New Roman" w:hAnsi="Times New Roman"/>
                <w:sz w:val="24"/>
              </w:rPr>
              <w:t xml:space="preserve">6 nariadenia (EÚ) </w:t>
            </w:r>
            <w:r w:rsidR="009912F8" w:rsidRPr="00E07C9A">
              <w:rPr>
                <w:rFonts w:ascii="Times New Roman" w:hAnsi="Times New Roman"/>
                <w:sz w:val="24"/>
              </w:rPr>
              <w:t>č. 575/2013</w:t>
            </w:r>
            <w:r w:rsidRPr="00E07C9A">
              <w:rPr>
                <w:rFonts w:ascii="Times New Roman" w:hAnsi="Times New Roman"/>
                <w:sz w:val="24"/>
              </w:rPr>
              <w:t>, ktorá je relevantnou hodnotou na výpočet hodnôt rizikovo vážených expozícií, t. j. po uplatnení príslušných postupov zmierňovania kreditného rizika</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treťou časťou hlavou II kapitolami 4</w:t>
            </w:r>
            <w:r w:rsidR="009912F8" w:rsidRPr="00E07C9A">
              <w:rPr>
                <w:rFonts w:ascii="Times New Roman" w:hAnsi="Times New Roman"/>
                <w:sz w:val="24"/>
              </w:rPr>
              <w:t xml:space="preserve"> a </w:t>
            </w:r>
            <w:r w:rsidRPr="00E07C9A">
              <w:rPr>
                <w:rFonts w:ascii="Times New Roman" w:hAnsi="Times New Roman"/>
                <w:sz w:val="24"/>
              </w:rPr>
              <w:t xml:space="preserve">6 nariadenia (EÚ) </w:t>
            </w:r>
            <w:r w:rsidR="009912F8" w:rsidRPr="00E07C9A">
              <w:rPr>
                <w:rFonts w:ascii="Times New Roman" w:hAnsi="Times New Roman"/>
                <w:sz w:val="24"/>
              </w:rPr>
              <w:t>č. 575/2013 a </w:t>
            </w:r>
            <w:r w:rsidRPr="00E07C9A">
              <w:rPr>
                <w:rFonts w:ascii="Times New Roman" w:hAnsi="Times New Roman"/>
                <w:sz w:val="24"/>
              </w:rPr>
              <w:t>po zohľadnení odpočtu vzniknutej straty</w:t>
            </w:r>
            <w:r w:rsidR="009912F8" w:rsidRPr="00E07C9A">
              <w:rPr>
                <w:rFonts w:ascii="Times New Roman" w:hAnsi="Times New Roman"/>
                <w:sz w:val="24"/>
              </w:rPr>
              <w:t xml:space="preserve"> z </w:t>
            </w:r>
            <w:r w:rsidRPr="00E07C9A">
              <w:rPr>
                <w:rFonts w:ascii="Times New Roman" w:hAnsi="Times New Roman"/>
                <w:sz w:val="24"/>
              </w:rPr>
              <w:t>celkovej úpravy ocenenia, ako sa uvádza</w:t>
            </w:r>
            <w:r w:rsidR="009912F8" w:rsidRPr="00E07C9A">
              <w:rPr>
                <w:rFonts w:ascii="Times New Roman" w:hAnsi="Times New Roman"/>
                <w:sz w:val="24"/>
              </w:rPr>
              <w:t xml:space="preserve"> v </w:t>
            </w:r>
            <w:r w:rsidRPr="00E07C9A">
              <w:rPr>
                <w:rFonts w:ascii="Times New Roman" w:hAnsi="Times New Roman"/>
                <w:sz w:val="24"/>
              </w:rPr>
              <w:t>článku 273 ods. 6 uvedeného nariadenia</w:t>
            </w:r>
            <w:r w:rsidR="009912F8" w:rsidRPr="00E07C9A">
              <w:rPr>
                <w:rFonts w:ascii="Times New Roman" w:hAnsi="Times New Roman"/>
                <w:sz w:val="24"/>
              </w:rPr>
              <w:t>.</w:t>
            </w:r>
          </w:p>
          <w:p w14:paraId="28D8090D" w14:textId="0998EF8A" w:rsidR="007C64F7" w:rsidRPr="00E07C9A" w:rsidRDefault="007C64F7" w:rsidP="007C64F7">
            <w:pPr>
              <w:rPr>
                <w:rFonts w:ascii="Times New Roman" w:hAnsi="Times New Roman"/>
                <w:sz w:val="24"/>
              </w:rPr>
            </w:pPr>
            <w:r w:rsidRPr="00E07C9A">
              <w:rPr>
                <w:rFonts w:ascii="Times New Roman" w:hAnsi="Times New Roman"/>
                <w:sz w:val="24"/>
              </w:rPr>
              <w:t>Hodnota expozície</w:t>
            </w:r>
            <w:r w:rsidR="009912F8" w:rsidRPr="00E07C9A">
              <w:rPr>
                <w:rFonts w:ascii="Times New Roman" w:hAnsi="Times New Roman"/>
                <w:sz w:val="24"/>
              </w:rPr>
              <w:t xml:space="preserve"> v </w:t>
            </w:r>
            <w:r w:rsidRPr="00E07C9A">
              <w:rPr>
                <w:rFonts w:ascii="Times New Roman" w:hAnsi="Times New Roman"/>
                <w:sz w:val="24"/>
              </w:rPr>
              <w:t>prípade transakcií,</w:t>
            </w:r>
            <w:r w:rsidR="009912F8" w:rsidRPr="00E07C9A">
              <w:rPr>
                <w:rFonts w:ascii="Times New Roman" w:hAnsi="Times New Roman"/>
                <w:sz w:val="24"/>
              </w:rPr>
              <w:t xml:space="preserve"> v </w:t>
            </w:r>
            <w:r w:rsidRPr="00E07C9A">
              <w:rPr>
                <w:rFonts w:ascii="Times New Roman" w:hAnsi="Times New Roman"/>
                <w:sz w:val="24"/>
              </w:rPr>
              <w:t>súvislosti</w:t>
            </w:r>
            <w:r w:rsidR="009912F8" w:rsidRPr="00E07C9A">
              <w:rPr>
                <w:rFonts w:ascii="Times New Roman" w:hAnsi="Times New Roman"/>
                <w:sz w:val="24"/>
              </w:rPr>
              <w:t xml:space="preserve"> s </w:t>
            </w:r>
            <w:r w:rsidRPr="00E07C9A">
              <w:rPr>
                <w:rFonts w:ascii="Times New Roman" w:hAnsi="Times New Roman"/>
                <w:sz w:val="24"/>
              </w:rPr>
              <w:t>ktorými bolo identifikované špecifické riziko nesprávnej voľby, musí byť určená</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291 nariadenia (EÚ) </w:t>
            </w:r>
            <w:r w:rsidR="009912F8" w:rsidRPr="00E07C9A">
              <w:rPr>
                <w:rFonts w:ascii="Times New Roman" w:hAnsi="Times New Roman"/>
                <w:sz w:val="24"/>
              </w:rPr>
              <w:t>č. 575/2013</w:t>
            </w:r>
            <w:r w:rsidRPr="00E07C9A">
              <w:rPr>
                <w:rFonts w:ascii="Times New Roman" w:hAnsi="Times New Roman"/>
                <w:sz w:val="24"/>
              </w:rPr>
              <w:t>.</w:t>
            </w:r>
          </w:p>
          <w:p w14:paraId="6454696E" w14:textId="3D164E49" w:rsidR="00464F34" w:rsidRPr="00E07C9A" w:rsidRDefault="007C64F7" w:rsidP="00F47CA5">
            <w:pPr>
              <w:pStyle w:val="InstructionsText"/>
            </w:pPr>
            <w:r w:rsidRPr="00E07C9A">
              <w:t>V prípadoch, keď sa pre jednu protistranu používa viac ako jeden prístup CCR, vzniknutá strata</w:t>
            </w:r>
            <w:r w:rsidR="009912F8" w:rsidRPr="00E07C9A">
              <w:t xml:space="preserve"> z </w:t>
            </w:r>
            <w:r w:rsidRPr="00E07C9A">
              <w:t>celkovej úpravy ocenenia, ktorá sa odpočítava na úrovni protistrany, sa priraďuje</w:t>
            </w:r>
            <w:r w:rsidR="009912F8" w:rsidRPr="00E07C9A">
              <w:t xml:space="preserve"> k </w:t>
            </w:r>
            <w:r w:rsidRPr="00E07C9A">
              <w:t>hodnote expozície rôznych súborov vzájomného započítavania</w:t>
            </w:r>
            <w:r w:rsidR="009912F8" w:rsidRPr="00E07C9A">
              <w:t xml:space="preserve"> v </w:t>
            </w:r>
            <w:r w:rsidRPr="00E07C9A">
              <w:t>riadkoch 0090 – 0130, ktoré odrážajú pomer hodnoty expozície po zmierňovaní kreditného rizika príslušných súborov vzájomného započítavania</w:t>
            </w:r>
            <w:r w:rsidR="009912F8" w:rsidRPr="00E07C9A">
              <w:t xml:space="preserve"> k </w:t>
            </w:r>
            <w:r w:rsidRPr="00E07C9A">
              <w:t>celkovej hodnote expozície po zmierňovaní kreditného rizika protistrany. Na tento účel sa používa hodnota expozície po zmierňovaní kreditného rizika podľa pokynov</w:t>
            </w:r>
            <w:r w:rsidR="009912F8" w:rsidRPr="00E07C9A">
              <w:t xml:space="preserve"> k </w:t>
            </w:r>
            <w:r w:rsidRPr="00E07C9A">
              <w:t>stĺpcu 0160 vzoru C 34.02.</w:t>
            </w:r>
          </w:p>
        </w:tc>
      </w:tr>
      <w:tr w:rsidR="00E46AC0" w:rsidRPr="00E07C9A" w14:paraId="6D2DEC87" w14:textId="77777777" w:rsidTr="00672D2A">
        <w:tc>
          <w:tcPr>
            <w:tcW w:w="1188" w:type="dxa"/>
          </w:tcPr>
          <w:p w14:paraId="3F76450D" w14:textId="77777777" w:rsidR="00E46AC0" w:rsidRPr="00E07C9A" w:rsidRDefault="00FF15C6" w:rsidP="00487A02">
            <w:pPr>
              <w:pStyle w:val="InstructionsText"/>
            </w:pPr>
            <w:r w:rsidRPr="00E07C9A">
              <w:t>0211</w:t>
            </w:r>
          </w:p>
        </w:tc>
        <w:tc>
          <w:tcPr>
            <w:tcW w:w="8640" w:type="dxa"/>
          </w:tcPr>
          <w:p w14:paraId="3743DF36" w14:textId="1BF68E09" w:rsidR="00E46AC0" w:rsidRPr="00E07C9A" w:rsidRDefault="00E46AC0"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Z čoho: vyplývajúce</w:t>
            </w:r>
            <w:r w:rsidR="009912F8" w:rsidRPr="00E07C9A">
              <w:rPr>
                <w:rStyle w:val="InstructionsTabelleberschrift"/>
                <w:rFonts w:ascii="Times New Roman" w:hAnsi="Times New Roman"/>
                <w:sz w:val="24"/>
              </w:rPr>
              <w:t xml:space="preserve"> z </w:t>
            </w:r>
            <w:r w:rsidRPr="00E07C9A">
              <w:rPr>
                <w:rStyle w:val="InstructionsTabelleberschrift"/>
                <w:rFonts w:ascii="Times New Roman" w:hAnsi="Times New Roman"/>
                <w:sz w:val="24"/>
              </w:rPr>
              <w:t>kreditného rizika protistrany okrem expozícií zúčtovávaných prostredníctvom centrálnej protistrany</w:t>
            </w:r>
          </w:p>
          <w:p w14:paraId="41D6EC24" w14:textId="2F3F1EAE" w:rsidR="00E46AC0" w:rsidRPr="00E07C9A" w:rsidRDefault="00E46AC0" w:rsidP="00F37BEE">
            <w:pPr>
              <w:pStyle w:val="InstructionsText"/>
              <w:rPr>
                <w:rStyle w:val="InstructionsTabelleberschrift"/>
                <w:rFonts w:ascii="Times New Roman" w:hAnsi="Times New Roman"/>
                <w:sz w:val="24"/>
              </w:rPr>
            </w:pPr>
            <w:r w:rsidRPr="00E07C9A">
              <w:t>Expozície vykázané</w:t>
            </w:r>
            <w:r w:rsidR="009912F8" w:rsidRPr="00E07C9A">
              <w:t xml:space="preserve"> v </w:t>
            </w:r>
            <w:r w:rsidRPr="00E07C9A">
              <w:t>stĺpci 0210 okrem expozícií vyplývajúcich zo zmlúv</w:t>
            </w:r>
            <w:r w:rsidR="009912F8" w:rsidRPr="00E07C9A">
              <w:t xml:space="preserve"> a </w:t>
            </w:r>
            <w:r w:rsidRPr="00E07C9A">
              <w:t>transakcií uvedených</w:t>
            </w:r>
            <w:r w:rsidR="009912F8" w:rsidRPr="00E07C9A">
              <w:t xml:space="preserve"> v </w:t>
            </w:r>
            <w:r w:rsidRPr="00E07C9A">
              <w:t xml:space="preserve">článku 301 ods. 1 nariadenia (EÚ) </w:t>
            </w:r>
            <w:r w:rsidR="009912F8" w:rsidRPr="00E07C9A">
              <w:t>č. 575/2013</w:t>
            </w:r>
            <w:r w:rsidRPr="00E07C9A">
              <w:t>, pokiaľ sú nesplatené voči centrálnej protistrane (CCP), vrátane transakcií súvisiacich</w:t>
            </w:r>
            <w:r w:rsidR="009912F8" w:rsidRPr="00E07C9A">
              <w:t xml:space="preserve"> s </w:t>
            </w:r>
            <w:r w:rsidRPr="00E07C9A">
              <w:t>CCP vymedzených</w:t>
            </w:r>
            <w:r w:rsidR="009912F8" w:rsidRPr="00E07C9A">
              <w:t xml:space="preserve"> v </w:t>
            </w:r>
            <w:r w:rsidRPr="00E07C9A">
              <w:t>článku 300 ods. 2 uvedeného nariadenia.</w:t>
            </w:r>
          </w:p>
        </w:tc>
      </w:tr>
      <w:tr w:rsidR="00E46AC0" w:rsidRPr="00E07C9A" w14:paraId="25D246EF" w14:textId="77777777" w:rsidTr="00672D2A">
        <w:tc>
          <w:tcPr>
            <w:tcW w:w="1188" w:type="dxa"/>
          </w:tcPr>
          <w:p w14:paraId="15D7F3E0" w14:textId="77777777" w:rsidR="00E46AC0" w:rsidRPr="00E07C9A" w:rsidRDefault="00FF15C6" w:rsidP="00487A02">
            <w:pPr>
              <w:pStyle w:val="InstructionsText"/>
            </w:pPr>
            <w:r w:rsidRPr="00E07C9A">
              <w:t>0215</w:t>
            </w:r>
          </w:p>
        </w:tc>
        <w:tc>
          <w:tcPr>
            <w:tcW w:w="8640" w:type="dxa"/>
          </w:tcPr>
          <w:p w14:paraId="18B3A388" w14:textId="77777777" w:rsidR="00E46AC0" w:rsidRPr="00E07C9A" w:rsidRDefault="00E46AC0"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Hodnota rizikovo váženej expozície pred uplatnením podporných faktorov</w:t>
            </w:r>
          </w:p>
          <w:p w14:paraId="3E955300" w14:textId="4F3B77C1" w:rsidR="00696434" w:rsidRPr="00E07C9A" w:rsidRDefault="00E46AC0" w:rsidP="001A217F">
            <w:pPr>
              <w:pStyle w:val="InstructionsText"/>
            </w:pPr>
            <w:r w:rsidRPr="00E07C9A">
              <w:t xml:space="preserve">Článok 113 ods. 1 až 5 nariadenia (EÚ) </w:t>
            </w:r>
            <w:r w:rsidR="009912F8" w:rsidRPr="00E07C9A">
              <w:t>č. 575/2013</w:t>
            </w:r>
            <w:r w:rsidRPr="00E07C9A">
              <w:t xml:space="preserve"> bez zohľadnenia faktorov na podporu MSP</w:t>
            </w:r>
            <w:r w:rsidR="009912F8" w:rsidRPr="00E07C9A">
              <w:t xml:space="preserve"> a </w:t>
            </w:r>
            <w:r w:rsidRPr="00E07C9A">
              <w:t>infraštruktúry stanovených</w:t>
            </w:r>
            <w:r w:rsidR="009912F8" w:rsidRPr="00E07C9A">
              <w:t xml:space="preserve"> v </w:t>
            </w:r>
            <w:r w:rsidRPr="00E07C9A">
              <w:t>článkoch 501</w:t>
            </w:r>
            <w:r w:rsidR="009912F8" w:rsidRPr="00E07C9A">
              <w:t xml:space="preserve"> a </w:t>
            </w:r>
            <w:r w:rsidRPr="00E07C9A">
              <w:t>501a uvedeného nariadenia.</w:t>
            </w:r>
          </w:p>
          <w:p w14:paraId="019E027E" w14:textId="3B590A17" w:rsidR="00E46AC0" w:rsidRPr="00E07C9A" w:rsidRDefault="007D1F12" w:rsidP="00696434">
            <w:pPr>
              <w:pStyle w:val="InstructionsText"/>
              <w:rPr>
                <w:b/>
                <w:u w:val="single"/>
              </w:rPr>
            </w:pPr>
            <w:r w:rsidRPr="00E07C9A">
              <w:t>Hodnota rizikovo váženej expozície zostatkovej hodnoty prenajatých aktív podlieha článku 134 ods. 7 piatej vete</w:t>
            </w:r>
            <w:r w:rsidR="009912F8" w:rsidRPr="00E07C9A">
              <w:t xml:space="preserve"> a </w:t>
            </w:r>
            <w:r w:rsidRPr="00E07C9A">
              <w:t>vypočítava sa podľa vzorca „1/t * 100</w:t>
            </w:r>
            <w:r w:rsidR="009912F8" w:rsidRPr="00E07C9A">
              <w:t> %</w:t>
            </w:r>
            <w:r w:rsidRPr="00E07C9A">
              <w:t xml:space="preserve"> * zostatková hodnota“. Zostatková hodnota je konkrétne nediskontovaná odhadovaná zostatková hodnota ku koncu doby nájmu, ktorá sa pravidelne prehodnocuje</w:t>
            </w:r>
            <w:r w:rsidR="009912F8" w:rsidRPr="00E07C9A">
              <w:t xml:space="preserve"> s </w:t>
            </w:r>
            <w:r w:rsidRPr="00E07C9A">
              <w:t>cieľom zabezpečiť kontinuálnu vhodnosť.</w:t>
            </w:r>
          </w:p>
        </w:tc>
      </w:tr>
      <w:tr w:rsidR="00E46AC0" w:rsidRPr="00E07C9A" w14:paraId="6664DE3E" w14:textId="77777777" w:rsidTr="00672D2A">
        <w:tc>
          <w:tcPr>
            <w:tcW w:w="1188" w:type="dxa"/>
          </w:tcPr>
          <w:p w14:paraId="0EF80A48" w14:textId="77777777" w:rsidR="00E46AC0" w:rsidRPr="00E07C9A" w:rsidRDefault="00FF15C6" w:rsidP="00487A02">
            <w:pPr>
              <w:pStyle w:val="InstructionsText"/>
            </w:pPr>
            <w:r w:rsidRPr="00E07C9A">
              <w:t>0216</w:t>
            </w:r>
          </w:p>
        </w:tc>
        <w:tc>
          <w:tcPr>
            <w:tcW w:w="8640" w:type="dxa"/>
          </w:tcPr>
          <w:p w14:paraId="5CAF27C3" w14:textId="77777777" w:rsidR="00E46AC0" w:rsidRPr="00E07C9A" w:rsidRDefault="00E46AC0"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 Úprava hodnoty rizikovo váženej expozície vzhľadom na faktor na podporu MSP</w:t>
            </w:r>
          </w:p>
          <w:p w14:paraId="46953D7E" w14:textId="11330D4F" w:rsidR="00E46AC0" w:rsidRPr="00E07C9A" w:rsidRDefault="00E46AC0" w:rsidP="00F37BEE">
            <w:pPr>
              <w:pStyle w:val="InstructionsText"/>
              <w:rPr>
                <w:rStyle w:val="InstructionsTabelleberschrift"/>
                <w:rFonts w:ascii="Times New Roman" w:hAnsi="Times New Roman"/>
                <w:sz w:val="24"/>
              </w:rPr>
            </w:pPr>
            <w:r w:rsidRPr="00E07C9A">
              <w:t>Odpočet rozdielu hodnôt rizikovo vážených expozícií</w:t>
            </w:r>
            <w:r w:rsidR="009912F8" w:rsidRPr="00E07C9A">
              <w:t xml:space="preserve"> v </w:t>
            </w:r>
            <w:r w:rsidRPr="00E07C9A">
              <w:t>prípade nezlyhaných expozícií voči MSP (RWEA), ktoré sa vypočítajú</w:t>
            </w:r>
            <w:r w:rsidR="009912F8" w:rsidRPr="00E07C9A">
              <w:t xml:space="preserve"> v </w:t>
            </w:r>
            <w:r w:rsidRPr="00E07C9A">
              <w:t>súlade</w:t>
            </w:r>
            <w:r w:rsidR="009912F8" w:rsidRPr="00E07C9A">
              <w:t xml:space="preserve"> s </w:t>
            </w:r>
            <w:r w:rsidRPr="00E07C9A">
              <w:t xml:space="preserve">treťou časťou hlavou II kapitolou 2 nariadenia (EÚ) </w:t>
            </w:r>
            <w:r w:rsidR="009912F8" w:rsidRPr="00E07C9A">
              <w:t>č. 575/2013</w:t>
            </w:r>
            <w:r w:rsidRPr="00E07C9A">
              <w:t>, ak je to vhodné,</w:t>
            </w:r>
            <w:r w:rsidR="009912F8" w:rsidRPr="00E07C9A">
              <w:t xml:space="preserve"> a </w:t>
            </w:r>
            <w:r w:rsidRPr="00E07C9A">
              <w:t>RWEA*</w:t>
            </w:r>
            <w:r w:rsidR="009912F8" w:rsidRPr="00E07C9A">
              <w:t xml:space="preserve"> v </w:t>
            </w:r>
            <w:r w:rsidRPr="00E07C9A">
              <w:t>súlade</w:t>
            </w:r>
            <w:r w:rsidR="009912F8" w:rsidRPr="00E07C9A">
              <w:t xml:space="preserve"> s </w:t>
            </w:r>
            <w:r w:rsidRPr="00E07C9A">
              <w:t>článkom 501 ods. 1 uvedeného nariadenia.</w:t>
            </w:r>
          </w:p>
        </w:tc>
      </w:tr>
      <w:tr w:rsidR="00E46AC0" w:rsidRPr="00E07C9A" w14:paraId="37669B83" w14:textId="77777777" w:rsidTr="00672D2A">
        <w:tc>
          <w:tcPr>
            <w:tcW w:w="1188" w:type="dxa"/>
          </w:tcPr>
          <w:p w14:paraId="46AED7B3" w14:textId="77777777" w:rsidR="00E46AC0" w:rsidRPr="00E07C9A" w:rsidRDefault="00FF15C6" w:rsidP="00487A02">
            <w:pPr>
              <w:pStyle w:val="InstructionsText"/>
            </w:pPr>
            <w:r w:rsidRPr="00E07C9A">
              <w:t>0217</w:t>
            </w:r>
          </w:p>
        </w:tc>
        <w:tc>
          <w:tcPr>
            <w:tcW w:w="8640" w:type="dxa"/>
          </w:tcPr>
          <w:p w14:paraId="3C95CC70" w14:textId="77777777" w:rsidR="00E46AC0" w:rsidRPr="00E07C9A" w:rsidRDefault="00E46AC0"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 Úprava hodnoty rizikovo váženej expozície vzhľadom na faktor na podporu infraštruktúry</w:t>
            </w:r>
          </w:p>
          <w:p w14:paraId="59D0B96E" w14:textId="7CD73F21" w:rsidR="00E46AC0" w:rsidRPr="00E07C9A" w:rsidRDefault="00E46AC0" w:rsidP="00E7205D">
            <w:pPr>
              <w:pStyle w:val="InstructionsText"/>
              <w:rPr>
                <w:rStyle w:val="InstructionsTabelleberschrift"/>
                <w:rFonts w:ascii="Times New Roman" w:hAnsi="Times New Roman"/>
                <w:sz w:val="24"/>
              </w:rPr>
            </w:pPr>
            <w:r w:rsidRPr="00E07C9A">
              <w:t>Odpočet rozdielu hodnôt rizikovo vážených expozícií vypočítaných</w:t>
            </w:r>
            <w:r w:rsidR="009912F8" w:rsidRPr="00E07C9A">
              <w:t xml:space="preserve"> v </w:t>
            </w:r>
            <w:r w:rsidRPr="00E07C9A">
              <w:t>súlade</w:t>
            </w:r>
            <w:r w:rsidR="009912F8" w:rsidRPr="00E07C9A">
              <w:t xml:space="preserve"> s </w:t>
            </w:r>
            <w:r w:rsidRPr="00E07C9A">
              <w:t xml:space="preserve">treťou časťou hlavou II nariadenia (EÚ) </w:t>
            </w:r>
            <w:r w:rsidR="009912F8" w:rsidRPr="00E07C9A">
              <w:t>č. 575/2013 a </w:t>
            </w:r>
            <w:r w:rsidRPr="00E07C9A">
              <w:t>upravených RWEA na účely kreditného rizika pre expozície voči subjektom, ktoré prevádzkujú alebo financujú fyzické štruktúry alebo zariadenia, systémy</w:t>
            </w:r>
            <w:r w:rsidR="009912F8" w:rsidRPr="00E07C9A">
              <w:t xml:space="preserve"> a </w:t>
            </w:r>
            <w:r w:rsidRPr="00E07C9A">
              <w:t>siete, ktoré poskytujú alebo podporujú základné verejné služby,</w:t>
            </w:r>
            <w:r w:rsidR="009912F8" w:rsidRPr="00E07C9A">
              <w:t xml:space="preserve"> v </w:t>
            </w:r>
            <w:r w:rsidRPr="00E07C9A">
              <w:t>súlade</w:t>
            </w:r>
            <w:r w:rsidR="009912F8" w:rsidRPr="00E07C9A">
              <w:t xml:space="preserve"> s </w:t>
            </w:r>
            <w:r w:rsidRPr="00E07C9A">
              <w:t>článkom 501a uvedeného nariadenia.</w:t>
            </w:r>
          </w:p>
        </w:tc>
      </w:tr>
      <w:tr w:rsidR="00E46AC0" w:rsidRPr="00E07C9A" w14:paraId="6AA348EC" w14:textId="77777777" w:rsidTr="00672D2A">
        <w:tc>
          <w:tcPr>
            <w:tcW w:w="1188" w:type="dxa"/>
          </w:tcPr>
          <w:p w14:paraId="7668AF4D" w14:textId="77777777" w:rsidR="00E46AC0" w:rsidRPr="00E07C9A" w:rsidRDefault="00FF15C6" w:rsidP="00487A02">
            <w:pPr>
              <w:pStyle w:val="InstructionsText"/>
            </w:pPr>
            <w:r w:rsidRPr="00E07C9A">
              <w:t>0220</w:t>
            </w:r>
          </w:p>
        </w:tc>
        <w:tc>
          <w:tcPr>
            <w:tcW w:w="8640" w:type="dxa"/>
          </w:tcPr>
          <w:p w14:paraId="291A1E73" w14:textId="77777777" w:rsidR="00E46AC0" w:rsidRPr="00E07C9A" w:rsidRDefault="00E46AC0"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Hodnota rizikovo váženej expozície po uplatnení podporných faktorov</w:t>
            </w:r>
          </w:p>
          <w:p w14:paraId="5A357441" w14:textId="06CCAFCC" w:rsidR="009912F8" w:rsidRPr="00E07C9A" w:rsidRDefault="00E46AC0" w:rsidP="00E50750">
            <w:pPr>
              <w:pStyle w:val="InstructionsText"/>
            </w:pPr>
            <w:r w:rsidRPr="00E07C9A">
              <w:t xml:space="preserve">Článok 113 ods. 1 až 5 nariadenia (EÚ) </w:t>
            </w:r>
            <w:r w:rsidR="009912F8" w:rsidRPr="00E07C9A">
              <w:t>č. 575/2013</w:t>
            </w:r>
            <w:r w:rsidRPr="00E07C9A">
              <w:t xml:space="preserve"> po zohľadnení faktorov na podporu MSP</w:t>
            </w:r>
            <w:r w:rsidR="009912F8" w:rsidRPr="00E07C9A">
              <w:t xml:space="preserve"> a </w:t>
            </w:r>
            <w:r w:rsidRPr="00E07C9A">
              <w:t>infraštruktúry stanovených</w:t>
            </w:r>
            <w:r w:rsidR="009912F8" w:rsidRPr="00E07C9A">
              <w:t xml:space="preserve"> v </w:t>
            </w:r>
            <w:r w:rsidRPr="00E07C9A">
              <w:t>článkoch 501</w:t>
            </w:r>
            <w:r w:rsidR="009912F8" w:rsidRPr="00E07C9A">
              <w:t xml:space="preserve"> a </w:t>
            </w:r>
            <w:r w:rsidRPr="00E07C9A">
              <w:t>501a uvedeného nariadenia</w:t>
            </w:r>
            <w:r w:rsidR="009912F8" w:rsidRPr="00E07C9A">
              <w:t>.</w:t>
            </w:r>
          </w:p>
          <w:p w14:paraId="5B1FB659" w14:textId="261A0B45" w:rsidR="00E46AC0" w:rsidRPr="00E07C9A" w:rsidRDefault="007D1F12" w:rsidP="00E50750">
            <w:pPr>
              <w:pStyle w:val="InstructionsText"/>
              <w:rPr>
                <w:b/>
                <w:u w:val="single"/>
              </w:rPr>
            </w:pPr>
            <w:r w:rsidRPr="00E07C9A">
              <w:t>Hodnota rizikovo váženej expozície zostatkovej hodnoty prenajatých aktív podlieha článku 134 ods. 7 piatej vete</w:t>
            </w:r>
            <w:r w:rsidR="009912F8" w:rsidRPr="00E07C9A">
              <w:t xml:space="preserve"> a </w:t>
            </w:r>
            <w:r w:rsidRPr="00E07C9A">
              <w:t>vypočítava sa podľa vzorca „1/t * 100</w:t>
            </w:r>
            <w:r w:rsidR="009912F8" w:rsidRPr="00E07C9A">
              <w:t> %</w:t>
            </w:r>
            <w:r w:rsidRPr="00E07C9A">
              <w:t xml:space="preserve"> * zostatková hodnota“. Zostatková hodnota je konkrétne nediskontovaná odhadovaná zostatková hodnota ku koncu doby nájmu, ktorá sa pravidelne prehodnocuje</w:t>
            </w:r>
            <w:r w:rsidR="009912F8" w:rsidRPr="00E07C9A">
              <w:t xml:space="preserve"> s </w:t>
            </w:r>
            <w:r w:rsidRPr="00E07C9A">
              <w:t>cieľom zabezpečiť kontinuálnu vhodnosť.</w:t>
            </w:r>
          </w:p>
        </w:tc>
      </w:tr>
      <w:tr w:rsidR="00E46AC0" w:rsidRPr="00E07C9A" w14:paraId="0F9FF0CB" w14:textId="77777777" w:rsidTr="00672D2A">
        <w:tc>
          <w:tcPr>
            <w:tcW w:w="1188" w:type="dxa"/>
            <w:shd w:val="clear" w:color="auto" w:fill="auto"/>
          </w:tcPr>
          <w:p w14:paraId="153188B6" w14:textId="77777777" w:rsidR="00E46AC0" w:rsidRPr="00E07C9A" w:rsidRDefault="00FF15C6" w:rsidP="00487A02">
            <w:pPr>
              <w:pStyle w:val="InstructionsText"/>
            </w:pPr>
            <w:r w:rsidRPr="00E07C9A">
              <w:t>0230</w:t>
            </w:r>
          </w:p>
        </w:tc>
        <w:tc>
          <w:tcPr>
            <w:tcW w:w="8640" w:type="dxa"/>
            <w:shd w:val="clear" w:color="auto" w:fill="auto"/>
          </w:tcPr>
          <w:p w14:paraId="28567513" w14:textId="37816E65" w:rsidR="00E46AC0" w:rsidRPr="00E07C9A" w:rsidRDefault="00E46AC0"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Z čoho:</w:t>
            </w:r>
            <w:r w:rsidR="009912F8" w:rsidRPr="00E07C9A">
              <w:rPr>
                <w:rStyle w:val="InstructionsTabelleberschrift"/>
                <w:rFonts w:ascii="Times New Roman" w:hAnsi="Times New Roman"/>
                <w:sz w:val="24"/>
              </w:rPr>
              <w:t xml:space="preserve"> s </w:t>
            </w:r>
            <w:r w:rsidRPr="00E07C9A">
              <w:rPr>
                <w:rStyle w:val="InstructionsTabelleberschrift"/>
                <w:rFonts w:ascii="Times New Roman" w:hAnsi="Times New Roman"/>
                <w:sz w:val="24"/>
              </w:rPr>
              <w:t>ratingovým hodnotením nominovanej ECAI</w:t>
            </w:r>
          </w:p>
          <w:p w14:paraId="17D63445" w14:textId="6B9FDD0C" w:rsidR="00E46AC0" w:rsidRPr="00E07C9A" w:rsidRDefault="00E46AC0" w:rsidP="00487A02">
            <w:pPr>
              <w:pStyle w:val="InstructionsText"/>
            </w:pPr>
            <w:r w:rsidRPr="00E07C9A">
              <w:t>Článok 112 písm. a) až d), f), g), l), n), o)</w:t>
            </w:r>
            <w:r w:rsidR="009912F8" w:rsidRPr="00E07C9A">
              <w:t xml:space="preserve"> a </w:t>
            </w:r>
            <w:r w:rsidRPr="00E07C9A">
              <w:t xml:space="preserve">q) nariadenia (EÚ) </w:t>
            </w:r>
            <w:r w:rsidR="009912F8" w:rsidRPr="00E07C9A">
              <w:t>č. 575/2013</w:t>
            </w:r>
          </w:p>
        </w:tc>
      </w:tr>
      <w:tr w:rsidR="00E46AC0" w:rsidRPr="00E07C9A" w14:paraId="20993840" w14:textId="77777777" w:rsidTr="00672D2A">
        <w:tc>
          <w:tcPr>
            <w:tcW w:w="1188" w:type="dxa"/>
            <w:shd w:val="clear" w:color="auto" w:fill="auto"/>
          </w:tcPr>
          <w:p w14:paraId="05E5584B" w14:textId="77777777" w:rsidR="00E46AC0" w:rsidRPr="00E07C9A" w:rsidRDefault="00FF15C6" w:rsidP="00487A02">
            <w:pPr>
              <w:pStyle w:val="InstructionsText"/>
            </w:pPr>
            <w:r w:rsidRPr="00E07C9A">
              <w:t>0240</w:t>
            </w:r>
          </w:p>
        </w:tc>
        <w:tc>
          <w:tcPr>
            <w:tcW w:w="8640" w:type="dxa"/>
            <w:shd w:val="clear" w:color="auto" w:fill="auto"/>
          </w:tcPr>
          <w:p w14:paraId="4A78DFBB" w14:textId="4CFFA5D1" w:rsidR="00E46AC0" w:rsidRPr="00E07C9A" w:rsidRDefault="00E46AC0"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Z čoho:</w:t>
            </w:r>
            <w:r w:rsidR="009912F8" w:rsidRPr="00E07C9A">
              <w:rPr>
                <w:rStyle w:val="InstructionsTabelleberschrift"/>
                <w:rFonts w:ascii="Times New Roman" w:hAnsi="Times New Roman"/>
                <w:sz w:val="24"/>
              </w:rPr>
              <w:t xml:space="preserve"> s </w:t>
            </w:r>
            <w:r w:rsidRPr="00E07C9A">
              <w:rPr>
                <w:rStyle w:val="InstructionsTabelleberschrift"/>
                <w:rFonts w:ascii="Times New Roman" w:hAnsi="Times New Roman"/>
                <w:sz w:val="24"/>
              </w:rPr>
              <w:t>ratingovým hodnotením odvodeným od ústrednej vlády</w:t>
            </w:r>
          </w:p>
          <w:p w14:paraId="1A2BE267" w14:textId="0BF0C1A2" w:rsidR="00E46AC0" w:rsidRPr="00E07C9A" w:rsidRDefault="00E46AC0" w:rsidP="00487A02">
            <w:pPr>
              <w:pStyle w:val="InstructionsText"/>
            </w:pPr>
            <w:r w:rsidRPr="00E07C9A">
              <w:t>Článok 112 písm. b) až d), f), g), l)</w:t>
            </w:r>
            <w:r w:rsidR="009912F8" w:rsidRPr="00E07C9A">
              <w:t xml:space="preserve"> a </w:t>
            </w:r>
            <w:r w:rsidRPr="00E07C9A">
              <w:t xml:space="preserve">o) nariadenia (EÚ) </w:t>
            </w:r>
            <w:r w:rsidR="009912F8" w:rsidRPr="00E07C9A">
              <w:t>č. 575/2013</w:t>
            </w:r>
          </w:p>
        </w:tc>
      </w:tr>
    </w:tbl>
    <w:p w14:paraId="310FB6E2" w14:textId="77777777" w:rsidR="00464F34" w:rsidRPr="00E07C9A" w:rsidRDefault="00464F34" w:rsidP="00487A02">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464F34" w:rsidRPr="00E07C9A" w14:paraId="511AFFC7" w14:textId="77777777" w:rsidTr="00672D2A">
        <w:tc>
          <w:tcPr>
            <w:tcW w:w="1188" w:type="dxa"/>
            <w:shd w:val="clear" w:color="auto" w:fill="CCCCCC"/>
          </w:tcPr>
          <w:p w14:paraId="42E7C874" w14:textId="77777777" w:rsidR="00464F34" w:rsidRPr="00E07C9A" w:rsidRDefault="007106FB" w:rsidP="00487A02">
            <w:pPr>
              <w:pStyle w:val="InstructionsText"/>
            </w:pPr>
            <w:r w:rsidRPr="00E07C9A">
              <w:t>Riadky</w:t>
            </w:r>
          </w:p>
        </w:tc>
        <w:tc>
          <w:tcPr>
            <w:tcW w:w="8701" w:type="dxa"/>
            <w:shd w:val="clear" w:color="auto" w:fill="CCCCCC"/>
          </w:tcPr>
          <w:p w14:paraId="5101E780" w14:textId="77777777" w:rsidR="00464F34" w:rsidRPr="00E07C9A" w:rsidRDefault="00464F34" w:rsidP="00487A02">
            <w:pPr>
              <w:pStyle w:val="InstructionsText"/>
            </w:pPr>
            <w:r w:rsidRPr="00E07C9A">
              <w:t>Pokyny</w:t>
            </w:r>
          </w:p>
        </w:tc>
      </w:tr>
      <w:tr w:rsidR="00464F34" w:rsidRPr="00E07C9A" w14:paraId="4200F5F5" w14:textId="77777777" w:rsidTr="00672D2A">
        <w:tc>
          <w:tcPr>
            <w:tcW w:w="1188" w:type="dxa"/>
          </w:tcPr>
          <w:p w14:paraId="13D34CD0" w14:textId="77777777" w:rsidR="00464F34" w:rsidRPr="00E07C9A" w:rsidRDefault="00FF15C6" w:rsidP="00487A02">
            <w:pPr>
              <w:pStyle w:val="InstructionsText"/>
            </w:pPr>
            <w:r w:rsidRPr="00E07C9A">
              <w:t>0010</w:t>
            </w:r>
          </w:p>
        </w:tc>
        <w:tc>
          <w:tcPr>
            <w:tcW w:w="8701" w:type="dxa"/>
          </w:tcPr>
          <w:p w14:paraId="2C368109" w14:textId="77777777" w:rsidR="00464F34" w:rsidRPr="00E07C9A" w:rsidRDefault="00464F34" w:rsidP="00487A02">
            <w:pPr>
              <w:pStyle w:val="InstructionsText"/>
            </w:pPr>
            <w:r w:rsidRPr="00E07C9A">
              <w:rPr>
                <w:rStyle w:val="InstructionsTabelleberschrift"/>
                <w:rFonts w:ascii="Times New Roman" w:hAnsi="Times New Roman"/>
                <w:sz w:val="24"/>
              </w:rPr>
              <w:t>Celkové expozície</w:t>
            </w:r>
          </w:p>
        </w:tc>
      </w:tr>
      <w:tr w:rsidR="00610B56" w:rsidRPr="00E07C9A" w14:paraId="5E466513" w14:textId="77777777" w:rsidTr="00672D2A">
        <w:tc>
          <w:tcPr>
            <w:tcW w:w="1188" w:type="dxa"/>
          </w:tcPr>
          <w:p w14:paraId="39E8A0FB" w14:textId="77777777" w:rsidR="00610B56" w:rsidRPr="00E07C9A" w:rsidRDefault="00FF15C6" w:rsidP="00487A02">
            <w:pPr>
              <w:pStyle w:val="InstructionsText"/>
            </w:pPr>
            <w:r w:rsidRPr="00E07C9A">
              <w:t>0015</w:t>
            </w:r>
          </w:p>
        </w:tc>
        <w:tc>
          <w:tcPr>
            <w:tcW w:w="8701" w:type="dxa"/>
          </w:tcPr>
          <w:p w14:paraId="2C748305" w14:textId="2AD56FC2" w:rsidR="00D21B29" w:rsidRPr="00E07C9A" w:rsidRDefault="00F5132F"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z čoho: expozície</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stave zlyhania</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triedach expozícií „položky spojené</w:t>
            </w:r>
            <w:r w:rsidR="009912F8" w:rsidRPr="00E07C9A">
              <w:rPr>
                <w:rStyle w:val="InstructionsTabelleberschrift"/>
                <w:rFonts w:ascii="Times New Roman" w:hAnsi="Times New Roman"/>
                <w:sz w:val="24"/>
              </w:rPr>
              <w:t xml:space="preserve"> s </w:t>
            </w:r>
            <w:r w:rsidRPr="00E07C9A">
              <w:rPr>
                <w:rStyle w:val="InstructionsTabelleberschrift"/>
                <w:rFonts w:ascii="Times New Roman" w:hAnsi="Times New Roman"/>
                <w:sz w:val="24"/>
              </w:rPr>
              <w:t>mimoriadne vysokým stupňom rizika“</w:t>
            </w:r>
            <w:r w:rsidR="009912F8" w:rsidRPr="00E07C9A">
              <w:rPr>
                <w:rStyle w:val="InstructionsTabelleberschrift"/>
                <w:rFonts w:ascii="Times New Roman" w:hAnsi="Times New Roman"/>
                <w:sz w:val="24"/>
              </w:rPr>
              <w:t xml:space="preserve"> a </w:t>
            </w:r>
            <w:r w:rsidRPr="00E07C9A">
              <w:rPr>
                <w:rStyle w:val="InstructionsTabelleberschrift"/>
                <w:rFonts w:ascii="Times New Roman" w:hAnsi="Times New Roman"/>
                <w:sz w:val="24"/>
              </w:rPr>
              <w:t>„kapitálové expozície“</w:t>
            </w:r>
          </w:p>
          <w:p w14:paraId="0CD31563" w14:textId="103499B2" w:rsidR="00610B56" w:rsidRPr="00E07C9A" w:rsidRDefault="00610B56" w:rsidP="00487A02">
            <w:pPr>
              <w:pStyle w:val="InstructionsText"/>
            </w:pPr>
            <w:r w:rsidRPr="00E07C9A">
              <w:t xml:space="preserve">Článok 127 nariadenia (EÚ) </w:t>
            </w:r>
            <w:r w:rsidR="009912F8" w:rsidRPr="00E07C9A">
              <w:t>č. 575/2013</w:t>
            </w:r>
          </w:p>
          <w:p w14:paraId="18E81DC8" w14:textId="37925BB8" w:rsidR="00610B56" w:rsidRPr="00E07C9A" w:rsidRDefault="00610B56" w:rsidP="00487A02">
            <w:pPr>
              <w:pStyle w:val="InstructionsText"/>
            </w:pPr>
            <w:r w:rsidRPr="00E07C9A">
              <w:t>Tento riadok sa vypĺňa len pre triedy expozícií „položky spojené</w:t>
            </w:r>
            <w:r w:rsidR="009912F8" w:rsidRPr="00E07C9A">
              <w:t xml:space="preserve"> s </w:t>
            </w:r>
            <w:r w:rsidRPr="00E07C9A">
              <w:t>mimoriadne vysokým stupňom rizika“</w:t>
            </w:r>
            <w:r w:rsidR="009912F8" w:rsidRPr="00E07C9A">
              <w:t xml:space="preserve"> a </w:t>
            </w:r>
            <w:r w:rsidRPr="00E07C9A">
              <w:t>„kapitálové expozície“.</w:t>
            </w:r>
          </w:p>
          <w:p w14:paraId="1BCB3895" w14:textId="54D27AC0" w:rsidR="00761891" w:rsidRPr="00E07C9A" w:rsidRDefault="00167619" w:rsidP="00487A02">
            <w:pPr>
              <w:pStyle w:val="InstructionsText"/>
            </w:pPr>
            <w:r w:rsidRPr="00E07C9A">
              <w:t>Expozícia, ktorá sa buď uvádza</w:t>
            </w:r>
            <w:r w:rsidR="009912F8" w:rsidRPr="00E07C9A">
              <w:t xml:space="preserve"> v </w:t>
            </w:r>
            <w:r w:rsidRPr="00E07C9A">
              <w:t xml:space="preserve">článku 128 ods. 2 nariadenia (EÚ) </w:t>
            </w:r>
            <w:r w:rsidR="009912F8" w:rsidRPr="00E07C9A">
              <w:t>č. 575/2013</w:t>
            </w:r>
            <w:r w:rsidRPr="00E07C9A">
              <w:t xml:space="preserve"> alebo spĺňa kritériá stanovené</w:t>
            </w:r>
            <w:r w:rsidR="009912F8" w:rsidRPr="00E07C9A">
              <w:t xml:space="preserve"> v </w:t>
            </w:r>
            <w:r w:rsidRPr="00E07C9A">
              <w:t xml:space="preserve">článku 128 ods. 3 alebo článku 133 nariadenia (EÚ) </w:t>
            </w:r>
            <w:r w:rsidR="009912F8" w:rsidRPr="00E07C9A">
              <w:t>č. 575/2013</w:t>
            </w:r>
            <w:r w:rsidRPr="00E07C9A">
              <w:t>, sa priradí</w:t>
            </w:r>
            <w:r w:rsidR="009912F8" w:rsidRPr="00E07C9A">
              <w:t xml:space="preserve"> k </w:t>
            </w:r>
            <w:r w:rsidRPr="00E07C9A">
              <w:t>triede expozícií „položky spojené</w:t>
            </w:r>
            <w:r w:rsidR="009912F8" w:rsidRPr="00E07C9A">
              <w:t xml:space="preserve"> s </w:t>
            </w:r>
            <w:r w:rsidRPr="00E07C9A">
              <w:t>mimoriadne vysokým stupňom rizika“ alebo „kapitálové expozície“. Neexistuje teda žiadne ďalšie pridelenie,</w:t>
            </w:r>
            <w:r w:rsidR="009912F8" w:rsidRPr="00E07C9A">
              <w:t xml:space="preserve"> a </w:t>
            </w:r>
            <w:r w:rsidRPr="00E07C9A">
              <w:t>to ani</w:t>
            </w:r>
            <w:r w:rsidR="009912F8" w:rsidRPr="00E07C9A">
              <w:t xml:space="preserve"> v </w:t>
            </w:r>
            <w:r w:rsidRPr="00E07C9A">
              <w:t>prípade, že expozícia je</w:t>
            </w:r>
            <w:r w:rsidR="009912F8" w:rsidRPr="00E07C9A">
              <w:t xml:space="preserve"> v </w:t>
            </w:r>
            <w:r w:rsidRPr="00E07C9A">
              <w:t xml:space="preserve">stave zlyhania podľa článku 127 nariadenia (EÚ) </w:t>
            </w:r>
            <w:r w:rsidR="009912F8" w:rsidRPr="00E07C9A">
              <w:t>č. 575/2013</w:t>
            </w:r>
            <w:r w:rsidRPr="00E07C9A">
              <w:t>.</w:t>
            </w:r>
          </w:p>
        </w:tc>
      </w:tr>
      <w:tr w:rsidR="00464F34" w:rsidRPr="00E07C9A" w14:paraId="14FD232E" w14:textId="77777777" w:rsidTr="00672D2A">
        <w:tc>
          <w:tcPr>
            <w:tcW w:w="1188" w:type="dxa"/>
            <w:shd w:val="clear" w:color="auto" w:fill="auto"/>
          </w:tcPr>
          <w:p w14:paraId="4DA0658A" w14:textId="77777777" w:rsidR="00464F34" w:rsidRPr="00E07C9A" w:rsidRDefault="00FF15C6" w:rsidP="00487A02">
            <w:pPr>
              <w:pStyle w:val="InstructionsText"/>
            </w:pPr>
            <w:r w:rsidRPr="00E07C9A">
              <w:t>0020</w:t>
            </w:r>
          </w:p>
        </w:tc>
        <w:tc>
          <w:tcPr>
            <w:tcW w:w="8701" w:type="dxa"/>
            <w:shd w:val="clear" w:color="auto" w:fill="auto"/>
          </w:tcPr>
          <w:p w14:paraId="1D643E98" w14:textId="77777777" w:rsidR="00464F34" w:rsidRPr="00E07C9A" w:rsidRDefault="00464F34"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z čoho: MSP</w:t>
            </w:r>
          </w:p>
          <w:p w14:paraId="29C2106E" w14:textId="77777777" w:rsidR="00464F34" w:rsidRPr="00E07C9A" w:rsidRDefault="00464F34" w:rsidP="00487A02">
            <w:pPr>
              <w:pStyle w:val="InstructionsText"/>
            </w:pPr>
            <w:r w:rsidRPr="00E07C9A">
              <w:t xml:space="preserve">Vykazujú sa tu všetky expozície voči MSP. </w:t>
            </w:r>
          </w:p>
        </w:tc>
      </w:tr>
      <w:tr w:rsidR="00464F34" w:rsidRPr="00E07C9A" w14:paraId="0D583426" w14:textId="77777777" w:rsidTr="00672D2A">
        <w:tc>
          <w:tcPr>
            <w:tcW w:w="1188" w:type="dxa"/>
            <w:shd w:val="clear" w:color="auto" w:fill="auto"/>
          </w:tcPr>
          <w:p w14:paraId="4E3B5FAC" w14:textId="77777777" w:rsidR="00464F34" w:rsidRPr="00E07C9A" w:rsidRDefault="00FF15C6" w:rsidP="00487A02">
            <w:pPr>
              <w:pStyle w:val="InstructionsText"/>
            </w:pPr>
            <w:r w:rsidRPr="00E07C9A">
              <w:t>0030</w:t>
            </w:r>
          </w:p>
        </w:tc>
        <w:tc>
          <w:tcPr>
            <w:tcW w:w="8701" w:type="dxa"/>
            <w:shd w:val="clear" w:color="auto" w:fill="auto"/>
          </w:tcPr>
          <w:p w14:paraId="56D219A8" w14:textId="77777777" w:rsidR="00464F34" w:rsidRPr="00E07C9A" w:rsidRDefault="00464F34"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z čoho: expozície, na ktoré sa uplatňuje faktor na podporu MSP</w:t>
            </w:r>
          </w:p>
          <w:p w14:paraId="552F2982" w14:textId="2C40E7BC" w:rsidR="00464F34" w:rsidRPr="00E07C9A" w:rsidRDefault="00464F34" w:rsidP="00487A02">
            <w:pPr>
              <w:pStyle w:val="InstructionsText"/>
            </w:pPr>
            <w:r w:rsidRPr="00E07C9A">
              <w:t xml:space="preserve">Vykazujú sa tu len expozície, ktoré spĺňajú požiadavky článku 501 nariadenia (EÚ) </w:t>
            </w:r>
            <w:r w:rsidR="009912F8" w:rsidRPr="00E07C9A">
              <w:t>č. 575/2013</w:t>
            </w:r>
            <w:r w:rsidRPr="00E07C9A">
              <w:t xml:space="preserve">. </w:t>
            </w:r>
          </w:p>
        </w:tc>
      </w:tr>
      <w:tr w:rsidR="001B1F77" w:rsidRPr="00E07C9A" w14:paraId="5BB6176D" w14:textId="77777777" w:rsidTr="00672D2A">
        <w:tc>
          <w:tcPr>
            <w:tcW w:w="1188" w:type="dxa"/>
            <w:shd w:val="clear" w:color="auto" w:fill="auto"/>
          </w:tcPr>
          <w:p w14:paraId="0BD55A11" w14:textId="77777777" w:rsidR="001B1F77" w:rsidRPr="00E07C9A" w:rsidRDefault="00FF15C6" w:rsidP="00487A02">
            <w:pPr>
              <w:pStyle w:val="InstructionsText"/>
            </w:pPr>
            <w:r w:rsidRPr="00E07C9A">
              <w:t>0035</w:t>
            </w:r>
          </w:p>
        </w:tc>
        <w:tc>
          <w:tcPr>
            <w:tcW w:w="8701" w:type="dxa"/>
            <w:shd w:val="clear" w:color="auto" w:fill="auto"/>
          </w:tcPr>
          <w:p w14:paraId="12ED03DD" w14:textId="77777777" w:rsidR="001B1F77" w:rsidRPr="00E07C9A" w:rsidRDefault="001B1F77"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z čoho: expozície, na ktoré sa uplatňuje faktor na podporu infraštruktúry</w:t>
            </w:r>
          </w:p>
          <w:p w14:paraId="29B9E5EA" w14:textId="0DE590DD" w:rsidR="001B1F77" w:rsidRPr="00E07C9A" w:rsidRDefault="001B1F77" w:rsidP="00487A02">
            <w:pPr>
              <w:pStyle w:val="InstructionsText"/>
              <w:rPr>
                <w:rStyle w:val="InstructionsTabelleberschrift"/>
                <w:rFonts w:ascii="Times New Roman" w:hAnsi="Times New Roman"/>
                <w:sz w:val="24"/>
              </w:rPr>
            </w:pPr>
            <w:r w:rsidRPr="00E07C9A">
              <w:t xml:space="preserve">Vykazujú sa tu len expozície, ktoré spĺňajú požiadavky článku 501a nariadenia (EÚ) </w:t>
            </w:r>
            <w:r w:rsidR="009912F8" w:rsidRPr="00E07C9A">
              <w:t>č. 575/2013</w:t>
            </w:r>
            <w:r w:rsidRPr="00E07C9A">
              <w:t>.</w:t>
            </w:r>
          </w:p>
        </w:tc>
      </w:tr>
      <w:tr w:rsidR="001B1F77" w:rsidRPr="00E07C9A" w14:paraId="34E08134" w14:textId="77777777" w:rsidTr="00672D2A">
        <w:tc>
          <w:tcPr>
            <w:tcW w:w="1188" w:type="dxa"/>
            <w:shd w:val="clear" w:color="auto" w:fill="auto"/>
          </w:tcPr>
          <w:p w14:paraId="73AD8D22" w14:textId="77777777" w:rsidR="001B1F77" w:rsidRPr="00E07C9A" w:rsidRDefault="001B1F77" w:rsidP="00487A02">
            <w:pPr>
              <w:pStyle w:val="InstructionsText"/>
            </w:pPr>
            <w:r w:rsidRPr="00E07C9A">
              <w:t>0040</w:t>
            </w:r>
          </w:p>
        </w:tc>
        <w:tc>
          <w:tcPr>
            <w:tcW w:w="8701" w:type="dxa"/>
            <w:shd w:val="clear" w:color="auto" w:fill="auto"/>
          </w:tcPr>
          <w:p w14:paraId="640C37B4" w14:textId="77777777" w:rsidR="001B1F77" w:rsidRPr="00E07C9A" w:rsidRDefault="001B1F77"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z čoho: zabezpečené hypotékami na nehnuteľný majetok – určený na bývanie</w:t>
            </w:r>
          </w:p>
          <w:p w14:paraId="43C1D306" w14:textId="1AE79896" w:rsidR="001B1F77" w:rsidRPr="00E07C9A" w:rsidRDefault="001B1F77" w:rsidP="00487A02">
            <w:pPr>
              <w:pStyle w:val="InstructionsText"/>
            </w:pPr>
            <w:r w:rsidRPr="00E07C9A">
              <w:t xml:space="preserve">Článok 125 nariadenia (EÚ) </w:t>
            </w:r>
            <w:r w:rsidR="009912F8" w:rsidRPr="00E07C9A">
              <w:t>č. 575/2013</w:t>
            </w:r>
          </w:p>
          <w:p w14:paraId="7DC976D3" w14:textId="076EE5B7" w:rsidR="001B1F77" w:rsidRPr="00E07C9A" w:rsidRDefault="001B1F77" w:rsidP="00487A02">
            <w:pPr>
              <w:pStyle w:val="InstructionsText"/>
              <w:rPr>
                <w:b/>
                <w:u w:val="single"/>
              </w:rPr>
            </w:pPr>
            <w:r w:rsidRPr="00E07C9A">
              <w:t>Vykazuje sa len</w:t>
            </w:r>
            <w:r w:rsidR="009912F8" w:rsidRPr="00E07C9A">
              <w:t xml:space="preserve"> v </w:t>
            </w:r>
            <w:r w:rsidRPr="00E07C9A">
              <w:t>triede expozícií „zabezpečené hypotékami na nehnuteľný majetok“.</w:t>
            </w:r>
          </w:p>
        </w:tc>
      </w:tr>
      <w:tr w:rsidR="001B1F77" w:rsidRPr="00E07C9A" w14:paraId="32737619" w14:textId="77777777" w:rsidTr="00672D2A">
        <w:tc>
          <w:tcPr>
            <w:tcW w:w="1188" w:type="dxa"/>
            <w:shd w:val="clear" w:color="auto" w:fill="auto"/>
          </w:tcPr>
          <w:p w14:paraId="23C967CE" w14:textId="77777777" w:rsidR="001B1F77" w:rsidRPr="00E07C9A" w:rsidRDefault="001B1F77" w:rsidP="00487A02">
            <w:pPr>
              <w:pStyle w:val="InstructionsText"/>
            </w:pPr>
            <w:r w:rsidRPr="00E07C9A">
              <w:t>0050</w:t>
            </w:r>
          </w:p>
        </w:tc>
        <w:tc>
          <w:tcPr>
            <w:tcW w:w="8701" w:type="dxa"/>
            <w:shd w:val="clear" w:color="auto" w:fill="auto"/>
          </w:tcPr>
          <w:p w14:paraId="00A0215B" w14:textId="2BAC9441" w:rsidR="001B1F77" w:rsidRPr="00E07C9A" w:rsidRDefault="001B1F77"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z čoho: expozície</w:t>
            </w:r>
            <w:r w:rsidR="009912F8" w:rsidRPr="00E07C9A">
              <w:rPr>
                <w:rStyle w:val="InstructionsTabelleberschrift"/>
                <w:rFonts w:ascii="Times New Roman" w:hAnsi="Times New Roman"/>
                <w:sz w:val="24"/>
              </w:rPr>
              <w:t xml:space="preserve"> s </w:t>
            </w:r>
            <w:r w:rsidRPr="00E07C9A">
              <w:rPr>
                <w:rStyle w:val="InstructionsTabelleberschrift"/>
                <w:rFonts w:ascii="Times New Roman" w:hAnsi="Times New Roman"/>
                <w:sz w:val="24"/>
              </w:rPr>
              <w:t>trvalým čiastočným používaním štandardizovaného prístupu</w:t>
            </w:r>
          </w:p>
          <w:p w14:paraId="1A2C5988" w14:textId="33ACE1A5" w:rsidR="001B1F77" w:rsidRPr="00E07C9A" w:rsidRDefault="001B1F77" w:rsidP="00487A02">
            <w:pPr>
              <w:pStyle w:val="InstructionsText"/>
            </w:pPr>
            <w:r w:rsidRPr="00E07C9A">
              <w:t>Expozície, na ktoré sa uplatnil štandardizovaný prístup</w:t>
            </w:r>
            <w:r w:rsidR="009912F8" w:rsidRPr="00E07C9A">
              <w:t xml:space="preserve"> v </w:t>
            </w:r>
            <w:r w:rsidRPr="00E07C9A">
              <w:t>súlade</w:t>
            </w:r>
            <w:r w:rsidR="009912F8" w:rsidRPr="00E07C9A">
              <w:t xml:space="preserve"> s </w:t>
            </w:r>
            <w:r w:rsidRPr="00E07C9A">
              <w:t xml:space="preserve">článkom 150 ods. 1 nariadenia (EÚ) </w:t>
            </w:r>
            <w:r w:rsidR="009912F8" w:rsidRPr="00E07C9A">
              <w:t>č. 575/2013</w:t>
            </w:r>
            <w:r w:rsidRPr="00E07C9A">
              <w:t>.</w:t>
            </w:r>
          </w:p>
        </w:tc>
      </w:tr>
      <w:tr w:rsidR="001B1F77" w:rsidRPr="00E07C9A" w14:paraId="1012E684" w14:textId="77777777" w:rsidTr="00672D2A">
        <w:tc>
          <w:tcPr>
            <w:tcW w:w="1188" w:type="dxa"/>
            <w:shd w:val="clear" w:color="auto" w:fill="auto"/>
          </w:tcPr>
          <w:p w14:paraId="12866B33" w14:textId="77777777" w:rsidR="001B1F77" w:rsidRPr="00E07C9A" w:rsidRDefault="001B1F77" w:rsidP="00487A02">
            <w:pPr>
              <w:pStyle w:val="InstructionsText"/>
            </w:pPr>
            <w:r w:rsidRPr="00E07C9A">
              <w:t>0060</w:t>
            </w:r>
          </w:p>
        </w:tc>
        <w:tc>
          <w:tcPr>
            <w:tcW w:w="8701" w:type="dxa"/>
            <w:shd w:val="clear" w:color="auto" w:fill="auto"/>
          </w:tcPr>
          <w:p w14:paraId="49CB31A5" w14:textId="2497FC8E" w:rsidR="001B1F77" w:rsidRPr="00E07C9A" w:rsidRDefault="001B1F77"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z čoho: expozície</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rámci štandardizovaného prístupu</w:t>
            </w:r>
            <w:r w:rsidR="009912F8" w:rsidRPr="00E07C9A">
              <w:rPr>
                <w:rStyle w:val="InstructionsTabelleberschrift"/>
                <w:rFonts w:ascii="Times New Roman" w:hAnsi="Times New Roman"/>
                <w:sz w:val="24"/>
              </w:rPr>
              <w:t xml:space="preserve"> s </w:t>
            </w:r>
            <w:r w:rsidRPr="00E07C9A">
              <w:rPr>
                <w:rStyle w:val="InstructionsTabelleberschrift"/>
                <w:rFonts w:ascii="Times New Roman" w:hAnsi="Times New Roman"/>
                <w:sz w:val="24"/>
              </w:rPr>
              <w:t>predchádzajúcim povolením orgánu dohľadu postupne implementovať prístup IRB</w:t>
            </w:r>
          </w:p>
          <w:p w14:paraId="133C6C49" w14:textId="1E0CEAE2" w:rsidR="001B1F77" w:rsidRPr="00E07C9A" w:rsidRDefault="001B1F77" w:rsidP="00487A02">
            <w:pPr>
              <w:pStyle w:val="InstructionsText"/>
            </w:pPr>
            <w:r w:rsidRPr="00E07C9A">
              <w:t xml:space="preserve">Článok 148 ods. 1 nariadenia (EÚ) </w:t>
            </w:r>
            <w:r w:rsidR="009912F8" w:rsidRPr="00E07C9A">
              <w:t>č. 575/2013</w:t>
            </w:r>
            <w:r w:rsidRPr="00E07C9A">
              <w:t xml:space="preserve"> </w:t>
            </w:r>
          </w:p>
        </w:tc>
      </w:tr>
      <w:tr w:rsidR="001B1F77" w:rsidRPr="00E07C9A" w14:paraId="346A34D0" w14:textId="77777777" w:rsidTr="00672D2A">
        <w:tc>
          <w:tcPr>
            <w:tcW w:w="1188" w:type="dxa"/>
          </w:tcPr>
          <w:p w14:paraId="4022200F" w14:textId="77777777" w:rsidR="001B1F77" w:rsidRPr="00E07C9A" w:rsidRDefault="001B1F77" w:rsidP="00487A02">
            <w:pPr>
              <w:pStyle w:val="InstructionsText"/>
            </w:pPr>
            <w:r w:rsidRPr="00E07C9A">
              <w:t>0070 –⁠ 0130</w:t>
            </w:r>
          </w:p>
        </w:tc>
        <w:tc>
          <w:tcPr>
            <w:tcW w:w="8701" w:type="dxa"/>
          </w:tcPr>
          <w:p w14:paraId="7834AB93" w14:textId="77777777" w:rsidR="001B1F77" w:rsidRPr="00E07C9A" w:rsidRDefault="001B1F77"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ROZČLENENIE CELKOVÝCH EXPOZÍCIÍ PODĽA DRUHOV EXPOZÍCIÍ</w:t>
            </w:r>
          </w:p>
          <w:p w14:paraId="2752B508" w14:textId="559DBD9D" w:rsidR="009912F8" w:rsidRPr="00E07C9A" w:rsidRDefault="001B1F77" w:rsidP="00487A02">
            <w:pPr>
              <w:pStyle w:val="InstructionsText"/>
            </w:pPr>
            <w:r w:rsidRPr="00E07C9A">
              <w:t>Pozície vykazujúcej inštitúcie</w:t>
            </w:r>
            <w:r w:rsidR="009912F8" w:rsidRPr="00E07C9A">
              <w:t xml:space="preserve"> v </w:t>
            </w:r>
            <w:r w:rsidRPr="00E07C9A">
              <w:t>„bankovej knihe“ sa rozčlenia na základe kritérií uvedených nižšie na súvahové expozície podliehajúce kreditnému riziku, podsúvahové expozície podliehajúce kreditnému riziku</w:t>
            </w:r>
            <w:r w:rsidR="009912F8" w:rsidRPr="00E07C9A">
              <w:t xml:space="preserve"> a </w:t>
            </w:r>
            <w:r w:rsidRPr="00E07C9A">
              <w:t>expozície podliehajúce kreditnému riziku protistrany</w:t>
            </w:r>
            <w:r w:rsidR="009912F8" w:rsidRPr="00E07C9A">
              <w:t>.</w:t>
            </w:r>
          </w:p>
          <w:p w14:paraId="7FE5F80E" w14:textId="062D2A24" w:rsidR="001B1F77" w:rsidRPr="00E07C9A" w:rsidRDefault="001B1F77" w:rsidP="00E7205D">
            <w:pPr>
              <w:pStyle w:val="InstructionsText"/>
            </w:pPr>
            <w:r w:rsidRPr="00E07C9A">
              <w:t>Expozície voči kreditnému riziku protistrany vyplývajúcemu</w:t>
            </w:r>
            <w:r w:rsidR="009912F8" w:rsidRPr="00E07C9A">
              <w:t xml:space="preserve"> z </w:t>
            </w:r>
            <w:r w:rsidRPr="00E07C9A">
              <w:t>činností obchodnej knihy inštitúcie, ako je uvedené</w:t>
            </w:r>
            <w:r w:rsidR="009912F8" w:rsidRPr="00E07C9A">
              <w:t xml:space="preserve"> v </w:t>
            </w:r>
            <w:r w:rsidRPr="00E07C9A">
              <w:t>článku 92 ods. 3 písm. f)</w:t>
            </w:r>
            <w:r w:rsidR="009912F8" w:rsidRPr="00E07C9A">
              <w:t xml:space="preserve"> a v </w:t>
            </w:r>
            <w:r w:rsidRPr="00E07C9A">
              <w:t xml:space="preserve">článku 299 ods. 2 nariadenia (EÚ) </w:t>
            </w:r>
            <w:r w:rsidR="009912F8" w:rsidRPr="00E07C9A">
              <w:t>č. 575/2013</w:t>
            </w:r>
            <w:r w:rsidRPr="00E07C9A">
              <w:t xml:space="preserve">, sa zaraďujú medzi expozície, na ktoré sa vzťahuje kreditné riziko protistrany. Inštitúcie, ktoré uplatňujú článok 94 ods. 1 nariadenia (EÚ) </w:t>
            </w:r>
            <w:r w:rsidR="009912F8" w:rsidRPr="00E07C9A">
              <w:t>č. 575/2013</w:t>
            </w:r>
            <w:r w:rsidRPr="00E07C9A">
              <w:t>, takisto rozčlenia svoje pozície</w:t>
            </w:r>
            <w:r w:rsidR="009912F8" w:rsidRPr="00E07C9A">
              <w:t xml:space="preserve"> v </w:t>
            </w:r>
            <w:r w:rsidRPr="00E07C9A">
              <w:t>„obchodnej knihe“ uvedené</w:t>
            </w:r>
            <w:r w:rsidR="009912F8" w:rsidRPr="00E07C9A">
              <w:t xml:space="preserve"> v </w:t>
            </w:r>
            <w:r w:rsidRPr="00E07C9A">
              <w:t>článku 92 ods. 3 písm. b) uvedeného nariadenia na základe kritérií uvedených nižšie na súvahové expozície podliehajúce kreditnému riziku, podsúvahové expozície podliehajúce kreditnému riziku</w:t>
            </w:r>
            <w:r w:rsidR="009912F8" w:rsidRPr="00E07C9A">
              <w:t xml:space="preserve"> a </w:t>
            </w:r>
            <w:r w:rsidRPr="00E07C9A">
              <w:t>expozície podliehajúce kreditnému riziku protistrany.</w:t>
            </w:r>
          </w:p>
        </w:tc>
      </w:tr>
      <w:tr w:rsidR="001B1F77" w:rsidRPr="00E07C9A" w14:paraId="28E64E2D" w14:textId="77777777" w:rsidTr="00672D2A">
        <w:tc>
          <w:tcPr>
            <w:tcW w:w="1188" w:type="dxa"/>
          </w:tcPr>
          <w:p w14:paraId="6978CFA0" w14:textId="77777777" w:rsidR="001B1F77" w:rsidRPr="00E07C9A" w:rsidRDefault="00FF15C6" w:rsidP="00487A02">
            <w:pPr>
              <w:pStyle w:val="InstructionsText"/>
            </w:pPr>
            <w:r w:rsidRPr="00E07C9A">
              <w:t>0070</w:t>
            </w:r>
          </w:p>
        </w:tc>
        <w:tc>
          <w:tcPr>
            <w:tcW w:w="8701" w:type="dxa"/>
          </w:tcPr>
          <w:p w14:paraId="0D8AE73F" w14:textId="77777777" w:rsidR="009912F8" w:rsidRPr="00E07C9A" w:rsidRDefault="001B1F77"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Súvahové expozície podliehajúce kreditnému riziku</w:t>
            </w:r>
          </w:p>
          <w:p w14:paraId="624F8F5B" w14:textId="2760CF66" w:rsidR="001B1F77" w:rsidRPr="00E07C9A" w:rsidRDefault="001B1F77" w:rsidP="00487A02">
            <w:pPr>
              <w:pStyle w:val="InstructionsText"/>
            </w:pPr>
            <w:r w:rsidRPr="00E07C9A">
              <w:t>Aktíva uvedené</w:t>
            </w:r>
            <w:r w:rsidR="009912F8" w:rsidRPr="00E07C9A">
              <w:t xml:space="preserve"> v </w:t>
            </w:r>
            <w:r w:rsidRPr="00E07C9A">
              <w:t xml:space="preserve">článku 24 nariadenia (EÚ) </w:t>
            </w:r>
            <w:r w:rsidR="009912F8" w:rsidRPr="00E07C9A">
              <w:t>č. 575/2013</w:t>
            </w:r>
            <w:r w:rsidRPr="00E07C9A">
              <w:t xml:space="preserve"> sa nezahŕňajú do žiadnej inej kategórie.</w:t>
            </w:r>
          </w:p>
          <w:p w14:paraId="213B7CDD" w14:textId="0ED9082D" w:rsidR="001B1F77" w:rsidRPr="00E07C9A" w:rsidRDefault="001B1F77" w:rsidP="00487A02">
            <w:pPr>
              <w:pStyle w:val="InstructionsText"/>
            </w:pPr>
            <w:r w:rsidRPr="00E07C9A">
              <w:t>Expozície, ktoré podliehajú kreditnému riziku protistrany, sa vykazujú</w:t>
            </w:r>
            <w:r w:rsidR="009912F8" w:rsidRPr="00E07C9A">
              <w:t xml:space="preserve"> v </w:t>
            </w:r>
            <w:r w:rsidRPr="00E07C9A">
              <w:t>riadkoch 0090 – 0130,</w:t>
            </w:r>
            <w:r w:rsidR="009912F8" w:rsidRPr="00E07C9A">
              <w:t xml:space="preserve"> a </w:t>
            </w:r>
            <w:r w:rsidRPr="00E07C9A">
              <w:t>preto sa nevykazujú</w:t>
            </w:r>
            <w:r w:rsidR="009912F8" w:rsidRPr="00E07C9A">
              <w:t xml:space="preserve"> v </w:t>
            </w:r>
            <w:r w:rsidRPr="00E07C9A">
              <w:t>tomto riadku.</w:t>
            </w:r>
          </w:p>
          <w:p w14:paraId="0231E5DB" w14:textId="72FBE9E2" w:rsidR="001B1F77" w:rsidRPr="00E07C9A" w:rsidRDefault="001B1F77" w:rsidP="00487A02">
            <w:pPr>
              <w:pStyle w:val="InstructionsText"/>
            </w:pPr>
            <w:r w:rsidRPr="00E07C9A">
              <w:t>Bezodplatné dodania uvedené</w:t>
            </w:r>
            <w:r w:rsidR="009912F8" w:rsidRPr="00E07C9A">
              <w:t xml:space="preserve"> v </w:t>
            </w:r>
            <w:r w:rsidRPr="00E07C9A">
              <w:t xml:space="preserve">článku 379 ods. 1 nariadenia (EÚ) </w:t>
            </w:r>
            <w:r w:rsidR="009912F8" w:rsidRPr="00E07C9A">
              <w:t>č. 575/2013</w:t>
            </w:r>
            <w:r w:rsidRPr="00E07C9A">
              <w:t xml:space="preserve"> (ak sa neodpočítavajú) síce nepredstavujú súvahovú položku, ale aj tak sa vykazujú</w:t>
            </w:r>
            <w:r w:rsidR="009912F8" w:rsidRPr="00E07C9A">
              <w:t xml:space="preserve"> v </w:t>
            </w:r>
            <w:r w:rsidRPr="00E07C9A">
              <w:t>tomto riadku.</w:t>
            </w:r>
          </w:p>
          <w:p w14:paraId="4F4BC58B" w14:textId="77777777" w:rsidR="001B1F77" w:rsidRPr="00E07C9A" w:rsidRDefault="001B1F77" w:rsidP="00487A02">
            <w:pPr>
              <w:pStyle w:val="InstructionsText"/>
            </w:pPr>
          </w:p>
        </w:tc>
      </w:tr>
      <w:tr w:rsidR="001B1F77" w:rsidRPr="00E07C9A" w14:paraId="3221F281" w14:textId="77777777" w:rsidTr="00672D2A">
        <w:tc>
          <w:tcPr>
            <w:tcW w:w="1188" w:type="dxa"/>
          </w:tcPr>
          <w:p w14:paraId="2651D550" w14:textId="77777777" w:rsidR="001B1F77" w:rsidRPr="00E07C9A" w:rsidRDefault="00FF15C6" w:rsidP="00487A02">
            <w:pPr>
              <w:pStyle w:val="InstructionsText"/>
            </w:pPr>
            <w:r w:rsidRPr="00E07C9A">
              <w:t>0080</w:t>
            </w:r>
          </w:p>
        </w:tc>
        <w:tc>
          <w:tcPr>
            <w:tcW w:w="8701" w:type="dxa"/>
          </w:tcPr>
          <w:p w14:paraId="2C71240C" w14:textId="77777777" w:rsidR="001B1F77" w:rsidRPr="00E07C9A" w:rsidRDefault="001B1F77"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Podsúvahové expozície podliehajúce kreditnému riziku</w:t>
            </w:r>
          </w:p>
          <w:p w14:paraId="0B80ACDD" w14:textId="0769B58A" w:rsidR="001B1F77" w:rsidRPr="00E07C9A" w:rsidRDefault="001B1F77" w:rsidP="00487A02">
            <w:pPr>
              <w:pStyle w:val="InstructionsText"/>
            </w:pPr>
            <w:r w:rsidRPr="00E07C9A">
              <w:t>Podsúvahové pozície tvoria položky uvedené</w:t>
            </w:r>
            <w:r w:rsidR="009912F8" w:rsidRPr="00E07C9A">
              <w:t xml:space="preserve"> v </w:t>
            </w:r>
            <w:r w:rsidRPr="00E07C9A">
              <w:t xml:space="preserve">prílohe I nariadenia (EÚ) </w:t>
            </w:r>
            <w:r w:rsidR="009912F8" w:rsidRPr="00E07C9A">
              <w:t>č. 575/2013</w:t>
            </w:r>
            <w:r w:rsidRPr="00E07C9A">
              <w:t>.</w:t>
            </w:r>
          </w:p>
          <w:p w14:paraId="62745F38" w14:textId="32BB9E03" w:rsidR="001B1F77" w:rsidRPr="00E07C9A" w:rsidRDefault="001B1F77" w:rsidP="00487A02">
            <w:pPr>
              <w:pStyle w:val="InstructionsText"/>
            </w:pPr>
            <w:r w:rsidRPr="00E07C9A">
              <w:t>Expozície, ktoré podliehajú kreditnému riziku protistrany, sa vykazujú</w:t>
            </w:r>
            <w:r w:rsidR="009912F8" w:rsidRPr="00E07C9A">
              <w:t xml:space="preserve"> v </w:t>
            </w:r>
            <w:r w:rsidRPr="00E07C9A">
              <w:t>riadkoch 0090 – 0130,</w:t>
            </w:r>
            <w:r w:rsidR="009912F8" w:rsidRPr="00E07C9A">
              <w:t xml:space="preserve"> a </w:t>
            </w:r>
            <w:r w:rsidRPr="00E07C9A">
              <w:t>preto sa nevykazujú</w:t>
            </w:r>
            <w:r w:rsidR="009912F8" w:rsidRPr="00E07C9A">
              <w:t xml:space="preserve"> v </w:t>
            </w:r>
            <w:r w:rsidRPr="00E07C9A">
              <w:t>tomto riadku.</w:t>
            </w:r>
          </w:p>
          <w:p w14:paraId="2575C561" w14:textId="77777777" w:rsidR="001B1F77" w:rsidRPr="00E07C9A" w:rsidRDefault="001B1F77" w:rsidP="00487A02">
            <w:pPr>
              <w:pStyle w:val="InstructionsText"/>
            </w:pPr>
          </w:p>
        </w:tc>
      </w:tr>
      <w:tr w:rsidR="001B1F77" w:rsidRPr="00E07C9A" w14:paraId="188EF448" w14:textId="77777777" w:rsidTr="00672D2A">
        <w:tc>
          <w:tcPr>
            <w:tcW w:w="1188" w:type="dxa"/>
            <w:tcBorders>
              <w:top w:val="single" w:sz="4" w:space="0" w:color="auto"/>
              <w:left w:val="single" w:sz="4" w:space="0" w:color="auto"/>
              <w:bottom w:val="single" w:sz="4" w:space="0" w:color="auto"/>
              <w:right w:val="single" w:sz="4" w:space="0" w:color="auto"/>
            </w:tcBorders>
          </w:tcPr>
          <w:p w14:paraId="5B6117A7" w14:textId="77777777" w:rsidR="001B1F77" w:rsidRPr="00E07C9A" w:rsidRDefault="00FF15C6" w:rsidP="00487A02">
            <w:pPr>
              <w:pStyle w:val="InstructionsText"/>
            </w:pPr>
            <w:r w:rsidRPr="00E07C9A">
              <w:t>0090 –⁠ 0130</w:t>
            </w:r>
          </w:p>
        </w:tc>
        <w:tc>
          <w:tcPr>
            <w:tcW w:w="8701" w:type="dxa"/>
            <w:tcBorders>
              <w:top w:val="single" w:sz="4" w:space="0" w:color="auto"/>
              <w:left w:val="single" w:sz="4" w:space="0" w:color="auto"/>
              <w:bottom w:val="single" w:sz="4" w:space="0" w:color="auto"/>
              <w:right w:val="single" w:sz="4" w:space="0" w:color="auto"/>
            </w:tcBorders>
          </w:tcPr>
          <w:p w14:paraId="36D544E0" w14:textId="77777777" w:rsidR="001B1F77" w:rsidRPr="00E07C9A" w:rsidRDefault="001B1F77"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Expozície/transakcie podliehajúce kreditnému riziku protistrany</w:t>
            </w:r>
          </w:p>
          <w:p w14:paraId="2EC00BBC" w14:textId="1F6B125D" w:rsidR="00E86B98" w:rsidRPr="00E07C9A" w:rsidRDefault="00E86B98" w:rsidP="00487A02">
            <w:pPr>
              <w:pStyle w:val="InstructionsText"/>
            </w:pPr>
            <w:r w:rsidRPr="00E07C9A">
              <w:t>Transakcie podliehajúce kreditnému riziku protistrany, t. j. derivátové nástroje, repo transakcie, transakcie požičiavania alebo vypožičiavania cenných papierov alebo komodít, transakcie</w:t>
            </w:r>
            <w:r w:rsidR="009912F8" w:rsidRPr="00E07C9A">
              <w:t xml:space="preserve"> s </w:t>
            </w:r>
            <w:r w:rsidRPr="00E07C9A">
              <w:t>dlhou dobou vyrovnania</w:t>
            </w:r>
            <w:r w:rsidR="009912F8" w:rsidRPr="00E07C9A">
              <w:t xml:space="preserve"> a </w:t>
            </w:r>
            <w:r w:rsidRPr="00E07C9A">
              <w:t>transakcie požičiavania</w:t>
            </w:r>
            <w:r w:rsidR="009912F8" w:rsidRPr="00E07C9A">
              <w:t xml:space="preserve"> s </w:t>
            </w:r>
            <w:r w:rsidRPr="00E07C9A">
              <w:t>dozabezpečením.</w:t>
            </w:r>
          </w:p>
        </w:tc>
      </w:tr>
      <w:tr w:rsidR="001B1F77" w:rsidRPr="00E07C9A" w14:paraId="27E915EA" w14:textId="77777777" w:rsidTr="00672D2A">
        <w:tc>
          <w:tcPr>
            <w:tcW w:w="1188" w:type="dxa"/>
          </w:tcPr>
          <w:p w14:paraId="3F3E1E7C" w14:textId="77777777" w:rsidR="001B1F77" w:rsidRPr="00E07C9A" w:rsidRDefault="00FF15C6" w:rsidP="00487A02">
            <w:pPr>
              <w:pStyle w:val="InstructionsText"/>
            </w:pPr>
            <w:r w:rsidRPr="00E07C9A">
              <w:t>0090</w:t>
            </w:r>
          </w:p>
        </w:tc>
        <w:tc>
          <w:tcPr>
            <w:tcW w:w="8701" w:type="dxa"/>
          </w:tcPr>
          <w:p w14:paraId="4D245AF4" w14:textId="77777777" w:rsidR="001B1F77" w:rsidRPr="00E07C9A" w:rsidRDefault="001B1F77" w:rsidP="00487A02">
            <w:pPr>
              <w:pStyle w:val="InstructionsText"/>
            </w:pPr>
            <w:r w:rsidRPr="00E07C9A">
              <w:rPr>
                <w:rStyle w:val="InstructionsTabelleberschrift"/>
                <w:rFonts w:ascii="Times New Roman" w:hAnsi="Times New Roman"/>
                <w:sz w:val="24"/>
              </w:rPr>
              <w:t>Súbory vzájomného započítavania transakcií financovania prostredníctvom cenných papierov</w:t>
            </w:r>
          </w:p>
          <w:p w14:paraId="06C22FAA" w14:textId="51283968" w:rsidR="00E86B98" w:rsidRPr="00E07C9A" w:rsidRDefault="00E86B98" w:rsidP="00487A02">
            <w:pPr>
              <w:pStyle w:val="InstructionsText"/>
            </w:pPr>
            <w:r w:rsidRPr="00E07C9A">
              <w:t>Súbory vzájomného započítavania, ktoré obsahujú len transakcie financovania prostredníctvom cenných papierov (SFT)</w:t>
            </w:r>
            <w:r w:rsidR="009912F8" w:rsidRPr="00E07C9A">
              <w:t xml:space="preserve"> v </w:t>
            </w:r>
            <w:r w:rsidRPr="00E07C9A">
              <w:t>zmysle vymedzenia</w:t>
            </w:r>
            <w:r w:rsidR="009912F8" w:rsidRPr="00E07C9A">
              <w:t xml:space="preserve"> v </w:t>
            </w:r>
            <w:r w:rsidRPr="00E07C9A">
              <w:t xml:space="preserve">článku 4 ods. 1 bode 139 nariadenia (EÚ) </w:t>
            </w:r>
            <w:r w:rsidR="009912F8" w:rsidRPr="00E07C9A">
              <w:t>č. 575/2013</w:t>
            </w:r>
            <w:r w:rsidRPr="00E07C9A">
              <w:t>.</w:t>
            </w:r>
          </w:p>
          <w:p w14:paraId="60729C75" w14:textId="117E84E8" w:rsidR="001B1F77" w:rsidRPr="00E07C9A" w:rsidRDefault="00E86B98" w:rsidP="00487A02">
            <w:pPr>
              <w:pStyle w:val="InstructionsText"/>
            </w:pPr>
            <w:r w:rsidRPr="00E07C9A">
              <w:t>SFT, ktoré sú zahrnuté</w:t>
            </w:r>
            <w:r w:rsidR="009912F8" w:rsidRPr="00E07C9A">
              <w:t xml:space="preserve"> v </w:t>
            </w:r>
            <w:r w:rsidRPr="00E07C9A">
              <w:t>súbore krížového vzájomného započítavania produktov,</w:t>
            </w:r>
            <w:r w:rsidR="009912F8" w:rsidRPr="00E07C9A">
              <w:t xml:space="preserve"> a </w:t>
            </w:r>
            <w:r w:rsidRPr="00E07C9A">
              <w:t>preto sa vykazujú</w:t>
            </w:r>
            <w:r w:rsidR="009912F8" w:rsidRPr="00E07C9A">
              <w:t xml:space="preserve"> v </w:t>
            </w:r>
            <w:r w:rsidRPr="00E07C9A">
              <w:t>riadku 0130, sa nevykazujú</w:t>
            </w:r>
            <w:r w:rsidR="009912F8" w:rsidRPr="00E07C9A">
              <w:t xml:space="preserve"> v </w:t>
            </w:r>
            <w:r w:rsidRPr="00E07C9A">
              <w:t>tomto riadku.</w:t>
            </w:r>
          </w:p>
        </w:tc>
      </w:tr>
      <w:tr w:rsidR="001B1F77" w:rsidRPr="00E07C9A" w14:paraId="1ECF4207" w14:textId="77777777" w:rsidTr="00672D2A">
        <w:tc>
          <w:tcPr>
            <w:tcW w:w="1188" w:type="dxa"/>
          </w:tcPr>
          <w:p w14:paraId="33FA6A94" w14:textId="77777777" w:rsidR="001B1F77" w:rsidRPr="00E07C9A" w:rsidRDefault="00FF15C6" w:rsidP="00487A02">
            <w:pPr>
              <w:pStyle w:val="InstructionsText"/>
            </w:pPr>
            <w:r w:rsidRPr="00E07C9A">
              <w:t>0100</w:t>
            </w:r>
          </w:p>
        </w:tc>
        <w:tc>
          <w:tcPr>
            <w:tcW w:w="8701" w:type="dxa"/>
          </w:tcPr>
          <w:p w14:paraId="28D78EED" w14:textId="77777777" w:rsidR="001B1F77" w:rsidRPr="00E07C9A" w:rsidRDefault="001B1F77"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Z čoho: centrálne zúčtované prostredníctvom QCCP</w:t>
            </w:r>
          </w:p>
          <w:p w14:paraId="4ED364CF" w14:textId="0B507A15" w:rsidR="001B1F77" w:rsidRPr="00E07C9A" w:rsidRDefault="00E86B98" w:rsidP="00487A02">
            <w:pPr>
              <w:pStyle w:val="InstructionsText"/>
            </w:pPr>
            <w:r w:rsidRPr="00E07C9A">
              <w:t>Zmluvy</w:t>
            </w:r>
            <w:r w:rsidR="009912F8" w:rsidRPr="00E07C9A">
              <w:t xml:space="preserve"> a </w:t>
            </w:r>
            <w:r w:rsidRPr="00E07C9A">
              <w:t>transakcie uvedené</w:t>
            </w:r>
            <w:r w:rsidR="009912F8" w:rsidRPr="00E07C9A">
              <w:t xml:space="preserve"> v </w:t>
            </w:r>
            <w:r w:rsidRPr="00E07C9A">
              <w:t xml:space="preserve">článku 301 ods. 1 nariadenia (EÚ) </w:t>
            </w:r>
            <w:r w:rsidR="009912F8" w:rsidRPr="00E07C9A">
              <w:t>č. 575/2013</w:t>
            </w:r>
            <w:r w:rsidRPr="00E07C9A">
              <w:t>, pokiaľ sú nesplatené voči kvalifikovanej centrálnej protistrane (QCCP)</w:t>
            </w:r>
            <w:r w:rsidR="009912F8" w:rsidRPr="00E07C9A">
              <w:t xml:space="preserve"> v </w:t>
            </w:r>
            <w:r w:rsidRPr="00E07C9A">
              <w:t>zmysle vymedzenia</w:t>
            </w:r>
            <w:r w:rsidR="009912F8" w:rsidRPr="00E07C9A">
              <w:t xml:space="preserve"> v </w:t>
            </w:r>
            <w:r w:rsidRPr="00E07C9A">
              <w:t>článku 4 ods. 1 bode 88 uvedeného nariadenia, vrátane transakcií súvisiacich</w:t>
            </w:r>
            <w:r w:rsidR="009912F8" w:rsidRPr="00E07C9A">
              <w:t xml:space="preserve"> s </w:t>
            </w:r>
            <w:r w:rsidRPr="00E07C9A">
              <w:t>QCCP,</w:t>
            </w:r>
            <w:r w:rsidR="009912F8" w:rsidRPr="00E07C9A">
              <w:t xml:space="preserve"> v </w:t>
            </w:r>
            <w:r w:rsidRPr="00E07C9A">
              <w:t>prípade ktorých sa hodnoty rizikovo vážených expozícií vypočítavajú</w:t>
            </w:r>
            <w:r w:rsidR="009912F8" w:rsidRPr="00E07C9A">
              <w:t xml:space="preserve"> v </w:t>
            </w:r>
            <w:r w:rsidRPr="00E07C9A">
              <w:t>súlade</w:t>
            </w:r>
            <w:r w:rsidR="009912F8" w:rsidRPr="00E07C9A">
              <w:t xml:space="preserve"> s </w:t>
            </w:r>
            <w:r w:rsidRPr="00E07C9A">
              <w:t>treťou časťou hlavou II kapitolou 6 oddielom 9 uvedeného nariadenia. Transakcia súvisiaca</w:t>
            </w:r>
            <w:r w:rsidR="009912F8" w:rsidRPr="00E07C9A">
              <w:t xml:space="preserve"> s </w:t>
            </w:r>
            <w:r w:rsidRPr="00E07C9A">
              <w:t>QCCP znamená to isté ako transakcia súvisiaca</w:t>
            </w:r>
            <w:r w:rsidR="009912F8" w:rsidRPr="00E07C9A">
              <w:t xml:space="preserve"> s </w:t>
            </w:r>
            <w:r w:rsidRPr="00E07C9A">
              <w:t>CCP</w:t>
            </w:r>
            <w:r w:rsidR="009912F8" w:rsidRPr="00E07C9A">
              <w:t xml:space="preserve"> v </w:t>
            </w:r>
            <w:r w:rsidRPr="00E07C9A">
              <w:t xml:space="preserve">článku 300 ods. 2 nariadenia (EÚ) </w:t>
            </w:r>
            <w:r w:rsidR="009912F8" w:rsidRPr="00E07C9A">
              <w:t>č. 575/2013</w:t>
            </w:r>
            <w:r w:rsidRPr="00E07C9A">
              <w:t>, ak CCP je QCCP.</w:t>
            </w:r>
          </w:p>
        </w:tc>
      </w:tr>
      <w:tr w:rsidR="001B1F77" w:rsidRPr="00E07C9A" w14:paraId="5759D2A0" w14:textId="77777777" w:rsidTr="00672D2A">
        <w:tc>
          <w:tcPr>
            <w:tcW w:w="1188" w:type="dxa"/>
          </w:tcPr>
          <w:p w14:paraId="1024BE71" w14:textId="77777777" w:rsidR="001B1F77" w:rsidRPr="00E07C9A" w:rsidRDefault="00FF15C6" w:rsidP="00487A02">
            <w:pPr>
              <w:pStyle w:val="InstructionsText"/>
            </w:pPr>
            <w:r w:rsidRPr="00E07C9A">
              <w:t>0110</w:t>
            </w:r>
          </w:p>
        </w:tc>
        <w:tc>
          <w:tcPr>
            <w:tcW w:w="8701" w:type="dxa"/>
          </w:tcPr>
          <w:p w14:paraId="6CAABBDB" w14:textId="1E22493B" w:rsidR="001B1F77" w:rsidRPr="00E07C9A" w:rsidRDefault="001B1F77"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Súbory vzájomného započítavania derivátov</w:t>
            </w:r>
            <w:r w:rsidR="009912F8" w:rsidRPr="00E07C9A">
              <w:rPr>
                <w:rStyle w:val="InstructionsTabelleberschrift"/>
                <w:rFonts w:ascii="Times New Roman" w:hAnsi="Times New Roman"/>
                <w:sz w:val="24"/>
              </w:rPr>
              <w:t xml:space="preserve"> a </w:t>
            </w:r>
            <w:r w:rsidRPr="00E07C9A">
              <w:rPr>
                <w:rStyle w:val="InstructionsTabelleberschrift"/>
                <w:rFonts w:ascii="Times New Roman" w:hAnsi="Times New Roman"/>
                <w:sz w:val="24"/>
              </w:rPr>
              <w:t>transakcií</w:t>
            </w:r>
            <w:r w:rsidR="009912F8" w:rsidRPr="00E07C9A">
              <w:rPr>
                <w:rStyle w:val="InstructionsTabelleberschrift"/>
                <w:rFonts w:ascii="Times New Roman" w:hAnsi="Times New Roman"/>
                <w:sz w:val="24"/>
              </w:rPr>
              <w:t xml:space="preserve"> s </w:t>
            </w:r>
            <w:r w:rsidRPr="00E07C9A">
              <w:rPr>
                <w:rStyle w:val="InstructionsTabelleberschrift"/>
                <w:rFonts w:ascii="Times New Roman" w:hAnsi="Times New Roman"/>
                <w:sz w:val="24"/>
              </w:rPr>
              <w:t>dlhou dobou vyrovnania</w:t>
            </w:r>
          </w:p>
          <w:p w14:paraId="6CF5B359" w14:textId="1D3631E1" w:rsidR="00E86B98" w:rsidRPr="00E07C9A" w:rsidRDefault="00E86B98" w:rsidP="00487A02">
            <w:pPr>
              <w:pStyle w:val="InstructionsText"/>
            </w:pPr>
            <w:r w:rsidRPr="00E07C9A">
              <w:t>Súbory vzájomného započítavania, ktoré obsahujú len deriváty uvedené</w:t>
            </w:r>
            <w:r w:rsidR="009912F8" w:rsidRPr="00E07C9A">
              <w:t xml:space="preserve"> v </w:t>
            </w:r>
            <w:r w:rsidRPr="00E07C9A">
              <w:t>prílohe II</w:t>
            </w:r>
            <w:r w:rsidR="009912F8" w:rsidRPr="00E07C9A">
              <w:t xml:space="preserve"> k </w:t>
            </w:r>
            <w:r w:rsidRPr="00E07C9A">
              <w:t xml:space="preserve">nariadeniu (EÚ) </w:t>
            </w:r>
            <w:r w:rsidR="009912F8" w:rsidRPr="00E07C9A">
              <w:t>č. 575/2013 a </w:t>
            </w:r>
            <w:r w:rsidRPr="00E07C9A">
              <w:t>transakcie</w:t>
            </w:r>
            <w:r w:rsidR="009912F8" w:rsidRPr="00E07C9A">
              <w:t xml:space="preserve"> s </w:t>
            </w:r>
            <w:r w:rsidRPr="00E07C9A">
              <w:t>dlhou dobou vyrovnania</w:t>
            </w:r>
            <w:r w:rsidR="009912F8" w:rsidRPr="00E07C9A">
              <w:t xml:space="preserve"> v </w:t>
            </w:r>
            <w:r w:rsidRPr="00E07C9A">
              <w:t>zmysle vymedzenia</w:t>
            </w:r>
            <w:r w:rsidR="009912F8" w:rsidRPr="00E07C9A">
              <w:t xml:space="preserve"> v </w:t>
            </w:r>
            <w:r w:rsidRPr="00E07C9A">
              <w:t>článku 272 ods. 2 uvedeného nariadenia.</w:t>
            </w:r>
          </w:p>
          <w:p w14:paraId="28EE41AA" w14:textId="66725122" w:rsidR="001B1F77" w:rsidRPr="00E07C9A" w:rsidRDefault="001B1F77" w:rsidP="00487A02">
            <w:pPr>
              <w:pStyle w:val="InstructionsText"/>
            </w:pPr>
            <w:r w:rsidRPr="00E07C9A">
              <w:t>Deriváty</w:t>
            </w:r>
            <w:r w:rsidR="009912F8" w:rsidRPr="00E07C9A">
              <w:t xml:space="preserve"> a </w:t>
            </w:r>
            <w:r w:rsidRPr="00E07C9A">
              <w:t>transakcie</w:t>
            </w:r>
            <w:r w:rsidR="009912F8" w:rsidRPr="00E07C9A">
              <w:t xml:space="preserve"> s </w:t>
            </w:r>
            <w:r w:rsidRPr="00E07C9A">
              <w:t>dlhou dobou vyrovnania, ktoré sú zahrnuté</w:t>
            </w:r>
            <w:r w:rsidR="009912F8" w:rsidRPr="00E07C9A">
              <w:t xml:space="preserve"> v </w:t>
            </w:r>
            <w:r w:rsidRPr="00E07C9A">
              <w:t>súbore krížového vzájomného započítavania produktov,</w:t>
            </w:r>
            <w:r w:rsidR="009912F8" w:rsidRPr="00E07C9A">
              <w:t xml:space="preserve"> a </w:t>
            </w:r>
            <w:r w:rsidRPr="00E07C9A">
              <w:t>preto sa vykazujú</w:t>
            </w:r>
            <w:r w:rsidR="009912F8" w:rsidRPr="00E07C9A">
              <w:t xml:space="preserve"> v </w:t>
            </w:r>
            <w:r w:rsidRPr="00E07C9A">
              <w:t>riadku 0130, sa nevykazujú</w:t>
            </w:r>
            <w:r w:rsidR="009912F8" w:rsidRPr="00E07C9A">
              <w:t xml:space="preserve"> v </w:t>
            </w:r>
            <w:r w:rsidRPr="00E07C9A">
              <w:t>tomto riadku.</w:t>
            </w:r>
          </w:p>
        </w:tc>
      </w:tr>
      <w:tr w:rsidR="001B1F77" w:rsidRPr="00E07C9A" w14:paraId="09859B14" w14:textId="77777777" w:rsidTr="00672D2A">
        <w:tc>
          <w:tcPr>
            <w:tcW w:w="1188" w:type="dxa"/>
          </w:tcPr>
          <w:p w14:paraId="2BF222FC" w14:textId="77777777" w:rsidR="001B1F77" w:rsidRPr="00E07C9A" w:rsidRDefault="00FF15C6" w:rsidP="00487A02">
            <w:pPr>
              <w:pStyle w:val="InstructionsText"/>
            </w:pPr>
            <w:r w:rsidRPr="00E07C9A">
              <w:t>0120</w:t>
            </w:r>
          </w:p>
        </w:tc>
        <w:tc>
          <w:tcPr>
            <w:tcW w:w="8701" w:type="dxa"/>
          </w:tcPr>
          <w:p w14:paraId="0334F5BE" w14:textId="77777777" w:rsidR="001B1F77" w:rsidRPr="00E07C9A" w:rsidRDefault="001B1F77" w:rsidP="00487A02">
            <w:pPr>
              <w:pStyle w:val="InstructionsText"/>
            </w:pPr>
            <w:r w:rsidRPr="00E07C9A">
              <w:rPr>
                <w:rStyle w:val="InstructionsTabelleberschrift"/>
                <w:rFonts w:ascii="Times New Roman" w:hAnsi="Times New Roman"/>
                <w:sz w:val="24"/>
              </w:rPr>
              <w:t>Z čoho: centrálne zúčtované prostredníctvom QCCP</w:t>
            </w:r>
          </w:p>
          <w:p w14:paraId="7CDEC702" w14:textId="1B7E8E0A" w:rsidR="001B1F77" w:rsidRPr="00E07C9A" w:rsidRDefault="00E86B98" w:rsidP="00487A02">
            <w:pPr>
              <w:pStyle w:val="InstructionsText"/>
            </w:pPr>
            <w:r w:rsidRPr="00E07C9A">
              <w:t>Pozri pokyny</w:t>
            </w:r>
            <w:r w:rsidR="009912F8" w:rsidRPr="00E07C9A">
              <w:t xml:space="preserve"> k </w:t>
            </w:r>
            <w:r w:rsidRPr="00E07C9A">
              <w:t>riadku 0100.</w:t>
            </w:r>
          </w:p>
        </w:tc>
      </w:tr>
      <w:tr w:rsidR="001B1F77" w:rsidRPr="00E07C9A" w14:paraId="62C835C7" w14:textId="77777777" w:rsidTr="00672D2A">
        <w:tc>
          <w:tcPr>
            <w:tcW w:w="1188" w:type="dxa"/>
          </w:tcPr>
          <w:p w14:paraId="659B11C6" w14:textId="77777777" w:rsidR="001B1F77" w:rsidRPr="00E07C9A" w:rsidRDefault="00FF15C6" w:rsidP="00487A02">
            <w:pPr>
              <w:pStyle w:val="InstructionsText"/>
            </w:pPr>
            <w:r w:rsidRPr="00E07C9A">
              <w:t>0130</w:t>
            </w:r>
          </w:p>
        </w:tc>
        <w:tc>
          <w:tcPr>
            <w:tcW w:w="8701" w:type="dxa"/>
          </w:tcPr>
          <w:p w14:paraId="0905CC06" w14:textId="77777777" w:rsidR="001B1F77" w:rsidRPr="00E07C9A" w:rsidRDefault="001B1F77"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Zo súborov krížového vzájomného započítavania produktov</w:t>
            </w:r>
          </w:p>
          <w:p w14:paraId="04F5BFB5" w14:textId="0A8F1F55" w:rsidR="001B1F77" w:rsidRPr="00E07C9A" w:rsidRDefault="00E86B98" w:rsidP="00487A02">
            <w:pPr>
              <w:pStyle w:val="InstructionsText"/>
            </w:pPr>
            <w:r w:rsidRPr="00E07C9A">
              <w:t xml:space="preserve">Súbory vzájomného započítavania obsahujúce transakcie rôznych kategórií produktov [článok 272 ods. 11 nariadenia (EÚ) </w:t>
            </w:r>
            <w:r w:rsidR="009912F8" w:rsidRPr="00E07C9A">
              <w:t>č. 575/2013</w:t>
            </w:r>
            <w:r w:rsidRPr="00E07C9A">
              <w:t>], t. j. deriváty</w:t>
            </w:r>
            <w:r w:rsidR="009912F8" w:rsidRPr="00E07C9A">
              <w:t xml:space="preserve"> a </w:t>
            </w:r>
            <w:r w:rsidRPr="00E07C9A">
              <w:t>SFT, pre ktoré existuje dohoda</w:t>
            </w:r>
            <w:r w:rsidR="009912F8" w:rsidRPr="00E07C9A">
              <w:t xml:space="preserve"> o </w:t>
            </w:r>
            <w:r w:rsidRPr="00E07C9A">
              <w:t>krížovom vzájomnom započítavaní produktov</w:t>
            </w:r>
            <w:r w:rsidR="009912F8" w:rsidRPr="00E07C9A">
              <w:t xml:space="preserve"> v </w:t>
            </w:r>
            <w:r w:rsidRPr="00E07C9A">
              <w:t>zmysle vymedzenia</w:t>
            </w:r>
            <w:r w:rsidR="009912F8" w:rsidRPr="00E07C9A">
              <w:t xml:space="preserve"> v </w:t>
            </w:r>
            <w:r w:rsidRPr="00E07C9A">
              <w:t xml:space="preserve">článku 272 ods. 25 nariadenia (EÚ) </w:t>
            </w:r>
            <w:r w:rsidR="009912F8" w:rsidRPr="00E07C9A">
              <w:t>č. 575/2013</w:t>
            </w:r>
            <w:r w:rsidRPr="00E07C9A">
              <w:t>.</w:t>
            </w:r>
          </w:p>
        </w:tc>
      </w:tr>
      <w:tr w:rsidR="001B1F77" w:rsidRPr="00E07C9A" w14:paraId="18B545A8" w14:textId="77777777" w:rsidTr="00672D2A">
        <w:tc>
          <w:tcPr>
            <w:tcW w:w="1188" w:type="dxa"/>
          </w:tcPr>
          <w:p w14:paraId="35C407E2" w14:textId="77777777" w:rsidR="001B1F77" w:rsidRPr="00E07C9A" w:rsidRDefault="00FF15C6" w:rsidP="00487A02">
            <w:pPr>
              <w:pStyle w:val="InstructionsText"/>
            </w:pPr>
            <w:r w:rsidRPr="00E07C9A">
              <w:t>0140 –⁠ 0280</w:t>
            </w:r>
          </w:p>
        </w:tc>
        <w:tc>
          <w:tcPr>
            <w:tcW w:w="8701" w:type="dxa"/>
          </w:tcPr>
          <w:p w14:paraId="3C6F34DB" w14:textId="77777777" w:rsidR="001B1F77" w:rsidRPr="00E07C9A" w:rsidRDefault="001B1F77"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ROZČLENENIE EXPOZÍCIÍ PODĽA RIZIKOVÝCH VÁH</w:t>
            </w:r>
          </w:p>
          <w:p w14:paraId="114B818A" w14:textId="77777777" w:rsidR="001B1F77" w:rsidRPr="00E07C9A" w:rsidRDefault="001B1F77" w:rsidP="00487A02">
            <w:pPr>
              <w:pStyle w:val="InstructionsText"/>
            </w:pPr>
          </w:p>
        </w:tc>
      </w:tr>
      <w:tr w:rsidR="001B1F77" w:rsidRPr="00E07C9A" w14:paraId="690F249C" w14:textId="77777777" w:rsidTr="00672D2A">
        <w:tc>
          <w:tcPr>
            <w:tcW w:w="1188" w:type="dxa"/>
            <w:shd w:val="clear" w:color="auto" w:fill="auto"/>
          </w:tcPr>
          <w:p w14:paraId="7D3DEC2F" w14:textId="77777777" w:rsidR="001B1F77" w:rsidRPr="00E07C9A" w:rsidRDefault="00FF15C6" w:rsidP="00487A02">
            <w:pPr>
              <w:pStyle w:val="InstructionsText"/>
            </w:pPr>
            <w:r w:rsidRPr="00E07C9A">
              <w:t>0140</w:t>
            </w:r>
          </w:p>
        </w:tc>
        <w:tc>
          <w:tcPr>
            <w:tcW w:w="8701" w:type="dxa"/>
            <w:shd w:val="clear" w:color="auto" w:fill="auto"/>
          </w:tcPr>
          <w:p w14:paraId="0B3AC7C9" w14:textId="3A6DCA10" w:rsidR="001B1F77" w:rsidRPr="00E07C9A" w:rsidRDefault="001B1F77" w:rsidP="00487A02">
            <w:pPr>
              <w:pStyle w:val="InstructionsText"/>
            </w:pPr>
            <w:r w:rsidRPr="00E07C9A">
              <w:rPr>
                <w:rStyle w:val="InstructionsTabelleberschrift"/>
                <w:rFonts w:ascii="Times New Roman" w:hAnsi="Times New Roman"/>
                <w:sz w:val="24"/>
              </w:rPr>
              <w:t>0</w:t>
            </w:r>
            <w:r w:rsidR="009912F8" w:rsidRPr="00E07C9A">
              <w:rPr>
                <w:rStyle w:val="InstructionsTabelleberschrift"/>
                <w:rFonts w:ascii="Times New Roman" w:hAnsi="Times New Roman"/>
                <w:sz w:val="24"/>
              </w:rPr>
              <w:t> %</w:t>
            </w:r>
          </w:p>
        </w:tc>
      </w:tr>
      <w:tr w:rsidR="001B1F77" w:rsidRPr="00E07C9A" w14:paraId="47996870" w14:textId="77777777" w:rsidTr="00672D2A">
        <w:tc>
          <w:tcPr>
            <w:tcW w:w="1188" w:type="dxa"/>
            <w:shd w:val="clear" w:color="auto" w:fill="auto"/>
          </w:tcPr>
          <w:p w14:paraId="04FC7687" w14:textId="77777777" w:rsidR="001B1F77" w:rsidRPr="00E07C9A" w:rsidRDefault="00FF15C6" w:rsidP="00487A02">
            <w:pPr>
              <w:pStyle w:val="InstructionsText"/>
            </w:pPr>
            <w:r w:rsidRPr="00E07C9A">
              <w:t>0150</w:t>
            </w:r>
          </w:p>
        </w:tc>
        <w:tc>
          <w:tcPr>
            <w:tcW w:w="8701" w:type="dxa"/>
            <w:shd w:val="clear" w:color="auto" w:fill="auto"/>
          </w:tcPr>
          <w:p w14:paraId="645BC433" w14:textId="546E3739" w:rsidR="001B1F77" w:rsidRPr="00E07C9A" w:rsidRDefault="001B1F77"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2</w:t>
            </w:r>
            <w:r w:rsidR="009912F8" w:rsidRPr="00E07C9A">
              <w:rPr>
                <w:rStyle w:val="InstructionsTabelleberschrift"/>
                <w:rFonts w:ascii="Times New Roman" w:hAnsi="Times New Roman"/>
                <w:sz w:val="24"/>
              </w:rPr>
              <w:t> %</w:t>
            </w:r>
          </w:p>
          <w:p w14:paraId="2F82CA58" w14:textId="504E6F51" w:rsidR="001B1F77" w:rsidRPr="00E07C9A" w:rsidRDefault="001B1F77" w:rsidP="00487A02">
            <w:pPr>
              <w:pStyle w:val="InstructionsText"/>
              <w:rPr>
                <w:b/>
              </w:rPr>
            </w:pPr>
            <w:r w:rsidRPr="00E07C9A">
              <w:t xml:space="preserve">Článok 306 ods. 1 nariadenia (EÚ) </w:t>
            </w:r>
            <w:r w:rsidR="009912F8" w:rsidRPr="00E07C9A">
              <w:t>č. 575/2013</w:t>
            </w:r>
          </w:p>
        </w:tc>
      </w:tr>
      <w:tr w:rsidR="001B1F77" w:rsidRPr="00E07C9A" w14:paraId="6E0FC016" w14:textId="77777777" w:rsidTr="00672D2A">
        <w:tc>
          <w:tcPr>
            <w:tcW w:w="1188" w:type="dxa"/>
            <w:shd w:val="clear" w:color="auto" w:fill="auto"/>
          </w:tcPr>
          <w:p w14:paraId="63485BB0" w14:textId="77777777" w:rsidR="001B1F77" w:rsidRPr="00E07C9A" w:rsidRDefault="00FF15C6" w:rsidP="00487A02">
            <w:pPr>
              <w:pStyle w:val="InstructionsText"/>
            </w:pPr>
            <w:r w:rsidRPr="00E07C9A">
              <w:t>0160</w:t>
            </w:r>
          </w:p>
        </w:tc>
        <w:tc>
          <w:tcPr>
            <w:tcW w:w="8701" w:type="dxa"/>
            <w:shd w:val="clear" w:color="auto" w:fill="auto"/>
          </w:tcPr>
          <w:p w14:paraId="69F26852" w14:textId="51A6C6BC" w:rsidR="001B1F77" w:rsidRPr="00E07C9A" w:rsidRDefault="001B1F77"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4</w:t>
            </w:r>
            <w:r w:rsidR="009912F8" w:rsidRPr="00E07C9A">
              <w:rPr>
                <w:rStyle w:val="InstructionsTabelleberschrift"/>
                <w:rFonts w:ascii="Times New Roman" w:hAnsi="Times New Roman"/>
                <w:sz w:val="24"/>
              </w:rPr>
              <w:t> %</w:t>
            </w:r>
          </w:p>
          <w:p w14:paraId="1398F586" w14:textId="6D63E7D7" w:rsidR="001B1F77" w:rsidRPr="00E07C9A" w:rsidRDefault="001B1F77" w:rsidP="00487A02">
            <w:pPr>
              <w:pStyle w:val="InstructionsText"/>
              <w:rPr>
                <w:b/>
                <w:u w:val="single"/>
              </w:rPr>
            </w:pPr>
            <w:r w:rsidRPr="00E07C9A">
              <w:t xml:space="preserve">Článok 305 ods. 3 nariadenia (EÚ) </w:t>
            </w:r>
            <w:r w:rsidR="009912F8" w:rsidRPr="00E07C9A">
              <w:t>č. 575/2013</w:t>
            </w:r>
          </w:p>
        </w:tc>
      </w:tr>
      <w:tr w:rsidR="001B1F77" w:rsidRPr="00E07C9A" w14:paraId="1A6A1E78" w14:textId="77777777" w:rsidTr="00672D2A">
        <w:tc>
          <w:tcPr>
            <w:tcW w:w="1188" w:type="dxa"/>
            <w:shd w:val="clear" w:color="auto" w:fill="auto"/>
          </w:tcPr>
          <w:p w14:paraId="6D4904D9" w14:textId="77777777" w:rsidR="001B1F77" w:rsidRPr="00E07C9A" w:rsidRDefault="00FF15C6" w:rsidP="00487A02">
            <w:pPr>
              <w:pStyle w:val="InstructionsText"/>
            </w:pPr>
            <w:r w:rsidRPr="00E07C9A">
              <w:t>0170</w:t>
            </w:r>
          </w:p>
        </w:tc>
        <w:tc>
          <w:tcPr>
            <w:tcW w:w="8701" w:type="dxa"/>
            <w:shd w:val="clear" w:color="auto" w:fill="auto"/>
          </w:tcPr>
          <w:p w14:paraId="6E8C60CA" w14:textId="09EAC720" w:rsidR="001B1F77" w:rsidRPr="00E07C9A" w:rsidRDefault="001B1F77" w:rsidP="00487A02">
            <w:pPr>
              <w:pStyle w:val="InstructionsText"/>
            </w:pPr>
            <w:r w:rsidRPr="00E07C9A">
              <w:rPr>
                <w:rStyle w:val="InstructionsTabelleberschrift"/>
                <w:rFonts w:ascii="Times New Roman" w:hAnsi="Times New Roman"/>
                <w:sz w:val="24"/>
              </w:rPr>
              <w:t>10</w:t>
            </w:r>
            <w:r w:rsidR="009912F8" w:rsidRPr="00E07C9A">
              <w:rPr>
                <w:rStyle w:val="InstructionsTabelleberschrift"/>
                <w:rFonts w:ascii="Times New Roman" w:hAnsi="Times New Roman"/>
                <w:sz w:val="24"/>
              </w:rPr>
              <w:t> %</w:t>
            </w:r>
          </w:p>
        </w:tc>
      </w:tr>
      <w:tr w:rsidR="001B1F77" w:rsidRPr="00E07C9A" w14:paraId="7E322BEB" w14:textId="77777777" w:rsidTr="00672D2A">
        <w:tc>
          <w:tcPr>
            <w:tcW w:w="1188" w:type="dxa"/>
            <w:shd w:val="clear" w:color="auto" w:fill="auto"/>
          </w:tcPr>
          <w:p w14:paraId="741FA972" w14:textId="77777777" w:rsidR="001B1F77" w:rsidRPr="00E07C9A" w:rsidRDefault="00FF15C6" w:rsidP="00487A02">
            <w:pPr>
              <w:pStyle w:val="InstructionsText"/>
            </w:pPr>
            <w:r w:rsidRPr="00E07C9A">
              <w:t>0180</w:t>
            </w:r>
          </w:p>
        </w:tc>
        <w:tc>
          <w:tcPr>
            <w:tcW w:w="8701" w:type="dxa"/>
            <w:shd w:val="clear" w:color="auto" w:fill="auto"/>
          </w:tcPr>
          <w:p w14:paraId="10ED646C" w14:textId="22C5FF41" w:rsidR="001B1F77" w:rsidRPr="00E07C9A" w:rsidRDefault="001B1F77" w:rsidP="00487A02">
            <w:pPr>
              <w:pStyle w:val="InstructionsText"/>
            </w:pPr>
            <w:r w:rsidRPr="00E07C9A">
              <w:rPr>
                <w:rStyle w:val="InstructionsTabelleberschrift"/>
                <w:rFonts w:ascii="Times New Roman" w:hAnsi="Times New Roman"/>
                <w:sz w:val="24"/>
              </w:rPr>
              <w:t>20</w:t>
            </w:r>
            <w:r w:rsidR="009912F8" w:rsidRPr="00E07C9A">
              <w:rPr>
                <w:rStyle w:val="InstructionsTabelleberschrift"/>
                <w:rFonts w:ascii="Times New Roman" w:hAnsi="Times New Roman"/>
                <w:sz w:val="24"/>
              </w:rPr>
              <w:t> %</w:t>
            </w:r>
          </w:p>
        </w:tc>
      </w:tr>
      <w:tr w:rsidR="001B1F77" w:rsidRPr="00E07C9A" w14:paraId="3F29E1EE" w14:textId="77777777" w:rsidTr="00672D2A">
        <w:tc>
          <w:tcPr>
            <w:tcW w:w="1188" w:type="dxa"/>
            <w:shd w:val="clear" w:color="auto" w:fill="auto"/>
          </w:tcPr>
          <w:p w14:paraId="65CBC869" w14:textId="77777777" w:rsidR="001B1F77" w:rsidRPr="00E07C9A" w:rsidRDefault="00FF15C6" w:rsidP="00487A02">
            <w:pPr>
              <w:pStyle w:val="InstructionsText"/>
            </w:pPr>
            <w:r w:rsidRPr="00E07C9A">
              <w:t>0190</w:t>
            </w:r>
          </w:p>
        </w:tc>
        <w:tc>
          <w:tcPr>
            <w:tcW w:w="8701" w:type="dxa"/>
            <w:shd w:val="clear" w:color="auto" w:fill="auto"/>
          </w:tcPr>
          <w:p w14:paraId="4D011FB3" w14:textId="059B26AA" w:rsidR="001B1F77" w:rsidRPr="00E07C9A" w:rsidRDefault="001B1F77" w:rsidP="00487A02">
            <w:pPr>
              <w:pStyle w:val="InstructionsText"/>
            </w:pPr>
            <w:r w:rsidRPr="00E07C9A">
              <w:rPr>
                <w:rStyle w:val="InstructionsTabelleberschrift"/>
                <w:rFonts w:ascii="Times New Roman" w:hAnsi="Times New Roman"/>
                <w:sz w:val="24"/>
              </w:rPr>
              <w:t>35</w:t>
            </w:r>
            <w:r w:rsidR="009912F8" w:rsidRPr="00E07C9A">
              <w:rPr>
                <w:rStyle w:val="InstructionsTabelleberschrift"/>
                <w:rFonts w:ascii="Times New Roman" w:hAnsi="Times New Roman"/>
                <w:sz w:val="24"/>
              </w:rPr>
              <w:t> %</w:t>
            </w:r>
          </w:p>
        </w:tc>
      </w:tr>
      <w:tr w:rsidR="001B1F77" w:rsidRPr="00E07C9A" w14:paraId="7AF6FA4E" w14:textId="77777777" w:rsidTr="00672D2A">
        <w:tc>
          <w:tcPr>
            <w:tcW w:w="1188" w:type="dxa"/>
            <w:shd w:val="clear" w:color="auto" w:fill="auto"/>
          </w:tcPr>
          <w:p w14:paraId="44CD4160" w14:textId="77777777" w:rsidR="001B1F77" w:rsidRPr="00E07C9A" w:rsidRDefault="00FF15C6" w:rsidP="00487A02">
            <w:pPr>
              <w:pStyle w:val="InstructionsText"/>
            </w:pPr>
            <w:r w:rsidRPr="00E07C9A">
              <w:t>0200</w:t>
            </w:r>
          </w:p>
        </w:tc>
        <w:tc>
          <w:tcPr>
            <w:tcW w:w="8701" w:type="dxa"/>
            <w:shd w:val="clear" w:color="auto" w:fill="auto"/>
          </w:tcPr>
          <w:p w14:paraId="0BEC153A" w14:textId="70136C5C" w:rsidR="001B1F77" w:rsidRPr="00E07C9A" w:rsidRDefault="001B1F77" w:rsidP="00487A02">
            <w:pPr>
              <w:pStyle w:val="InstructionsText"/>
            </w:pPr>
            <w:r w:rsidRPr="00E07C9A">
              <w:rPr>
                <w:rStyle w:val="InstructionsTabelleberschrift"/>
                <w:rFonts w:ascii="Times New Roman" w:hAnsi="Times New Roman"/>
                <w:sz w:val="24"/>
              </w:rPr>
              <w:t>50</w:t>
            </w:r>
            <w:r w:rsidR="009912F8" w:rsidRPr="00E07C9A">
              <w:rPr>
                <w:rStyle w:val="InstructionsTabelleberschrift"/>
                <w:rFonts w:ascii="Times New Roman" w:hAnsi="Times New Roman"/>
                <w:sz w:val="24"/>
              </w:rPr>
              <w:t> %</w:t>
            </w:r>
          </w:p>
        </w:tc>
      </w:tr>
      <w:tr w:rsidR="001B1F77" w:rsidRPr="00E07C9A" w14:paraId="1C7FD885" w14:textId="77777777" w:rsidTr="00672D2A">
        <w:tc>
          <w:tcPr>
            <w:tcW w:w="1188" w:type="dxa"/>
            <w:shd w:val="clear" w:color="auto" w:fill="auto"/>
          </w:tcPr>
          <w:p w14:paraId="6FED70ED" w14:textId="77777777" w:rsidR="001B1F77" w:rsidRPr="00E07C9A" w:rsidRDefault="00FF15C6" w:rsidP="00487A02">
            <w:pPr>
              <w:pStyle w:val="InstructionsText"/>
            </w:pPr>
            <w:r w:rsidRPr="00E07C9A">
              <w:t>0210</w:t>
            </w:r>
          </w:p>
        </w:tc>
        <w:tc>
          <w:tcPr>
            <w:tcW w:w="8701" w:type="dxa"/>
            <w:shd w:val="clear" w:color="auto" w:fill="auto"/>
          </w:tcPr>
          <w:p w14:paraId="03123833" w14:textId="5766E03C" w:rsidR="001B1F77" w:rsidRPr="00E07C9A" w:rsidRDefault="001B1F77"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70</w:t>
            </w:r>
            <w:r w:rsidR="009912F8" w:rsidRPr="00E07C9A">
              <w:t> %</w:t>
            </w:r>
          </w:p>
          <w:p w14:paraId="6D02B8FE" w14:textId="2DC8EB58" w:rsidR="001B1F77" w:rsidRPr="00E07C9A" w:rsidRDefault="001B1F77" w:rsidP="00487A02">
            <w:pPr>
              <w:pStyle w:val="InstructionsText"/>
            </w:pPr>
            <w:r w:rsidRPr="00E07C9A">
              <w:t xml:space="preserve">Článok 232 ods. 3 písm. c) nariadenia (EÚ) </w:t>
            </w:r>
            <w:r w:rsidR="009912F8" w:rsidRPr="00E07C9A">
              <w:t>č. 575/2013</w:t>
            </w:r>
          </w:p>
        </w:tc>
      </w:tr>
      <w:tr w:rsidR="001B1F77" w:rsidRPr="00E07C9A" w14:paraId="0B877D29" w14:textId="77777777" w:rsidTr="00672D2A">
        <w:tc>
          <w:tcPr>
            <w:tcW w:w="1188" w:type="dxa"/>
            <w:shd w:val="clear" w:color="auto" w:fill="auto"/>
          </w:tcPr>
          <w:p w14:paraId="6FA2349D" w14:textId="77777777" w:rsidR="001B1F77" w:rsidRPr="00E07C9A" w:rsidRDefault="00FF15C6" w:rsidP="00487A02">
            <w:pPr>
              <w:pStyle w:val="InstructionsText"/>
            </w:pPr>
            <w:r w:rsidRPr="00E07C9A">
              <w:t>0220</w:t>
            </w:r>
          </w:p>
        </w:tc>
        <w:tc>
          <w:tcPr>
            <w:tcW w:w="8701" w:type="dxa"/>
            <w:shd w:val="clear" w:color="auto" w:fill="auto"/>
          </w:tcPr>
          <w:p w14:paraId="1512C11F" w14:textId="62ED9C58" w:rsidR="001B1F77" w:rsidRPr="00E07C9A" w:rsidRDefault="001B1F77" w:rsidP="00487A02">
            <w:pPr>
              <w:pStyle w:val="InstructionsText"/>
            </w:pPr>
            <w:r w:rsidRPr="00E07C9A">
              <w:rPr>
                <w:rStyle w:val="InstructionsTabelleberschrift"/>
                <w:rFonts w:ascii="Times New Roman" w:hAnsi="Times New Roman"/>
                <w:sz w:val="24"/>
              </w:rPr>
              <w:t>75</w:t>
            </w:r>
            <w:r w:rsidR="009912F8" w:rsidRPr="00E07C9A">
              <w:rPr>
                <w:rStyle w:val="InstructionsTabelleberschrift"/>
                <w:rFonts w:ascii="Times New Roman" w:hAnsi="Times New Roman"/>
                <w:sz w:val="24"/>
              </w:rPr>
              <w:t> %</w:t>
            </w:r>
          </w:p>
        </w:tc>
      </w:tr>
      <w:tr w:rsidR="001B1F77" w:rsidRPr="00E07C9A" w14:paraId="689DC287" w14:textId="77777777" w:rsidTr="00672D2A">
        <w:tc>
          <w:tcPr>
            <w:tcW w:w="1188" w:type="dxa"/>
            <w:shd w:val="clear" w:color="auto" w:fill="auto"/>
          </w:tcPr>
          <w:p w14:paraId="67D93887" w14:textId="77777777" w:rsidR="001B1F77" w:rsidRPr="00E07C9A" w:rsidRDefault="00FF15C6" w:rsidP="00487A02">
            <w:pPr>
              <w:pStyle w:val="InstructionsText"/>
            </w:pPr>
            <w:r w:rsidRPr="00E07C9A">
              <w:t>0230</w:t>
            </w:r>
          </w:p>
        </w:tc>
        <w:tc>
          <w:tcPr>
            <w:tcW w:w="8701" w:type="dxa"/>
            <w:shd w:val="clear" w:color="auto" w:fill="auto"/>
          </w:tcPr>
          <w:p w14:paraId="1118345E" w14:textId="4DDDB5EE" w:rsidR="001B1F77" w:rsidRPr="00E07C9A" w:rsidRDefault="001B1F77" w:rsidP="00487A02">
            <w:pPr>
              <w:pStyle w:val="InstructionsText"/>
            </w:pPr>
            <w:r w:rsidRPr="00E07C9A">
              <w:rPr>
                <w:rStyle w:val="InstructionsTabelleberschrift"/>
                <w:rFonts w:ascii="Times New Roman" w:hAnsi="Times New Roman"/>
                <w:sz w:val="24"/>
              </w:rPr>
              <w:t>100</w:t>
            </w:r>
            <w:r w:rsidR="009912F8" w:rsidRPr="00E07C9A">
              <w:rPr>
                <w:rStyle w:val="InstructionsTabelleberschrift"/>
                <w:rFonts w:ascii="Times New Roman" w:hAnsi="Times New Roman"/>
                <w:sz w:val="24"/>
              </w:rPr>
              <w:t> %</w:t>
            </w:r>
          </w:p>
        </w:tc>
      </w:tr>
      <w:tr w:rsidR="001B1F77" w:rsidRPr="00E07C9A" w14:paraId="37352646" w14:textId="77777777" w:rsidTr="00672D2A">
        <w:tc>
          <w:tcPr>
            <w:tcW w:w="1188" w:type="dxa"/>
            <w:shd w:val="clear" w:color="auto" w:fill="auto"/>
          </w:tcPr>
          <w:p w14:paraId="073CA0B8" w14:textId="77777777" w:rsidR="001B1F77" w:rsidRPr="00E07C9A" w:rsidRDefault="00FF15C6" w:rsidP="00487A02">
            <w:pPr>
              <w:pStyle w:val="InstructionsText"/>
            </w:pPr>
            <w:r w:rsidRPr="00E07C9A">
              <w:t>0240</w:t>
            </w:r>
          </w:p>
        </w:tc>
        <w:tc>
          <w:tcPr>
            <w:tcW w:w="8701" w:type="dxa"/>
            <w:shd w:val="clear" w:color="auto" w:fill="auto"/>
          </w:tcPr>
          <w:p w14:paraId="43F2084C" w14:textId="0E2F33B0" w:rsidR="001B1F77" w:rsidRPr="00E07C9A" w:rsidRDefault="001B1F77" w:rsidP="00487A02">
            <w:pPr>
              <w:pStyle w:val="InstructionsText"/>
            </w:pPr>
            <w:r w:rsidRPr="00E07C9A">
              <w:rPr>
                <w:rStyle w:val="InstructionsTabelleberschrift"/>
                <w:rFonts w:ascii="Times New Roman" w:hAnsi="Times New Roman"/>
                <w:sz w:val="24"/>
              </w:rPr>
              <w:t>150</w:t>
            </w:r>
            <w:r w:rsidR="009912F8" w:rsidRPr="00E07C9A">
              <w:rPr>
                <w:rStyle w:val="InstructionsTabelleberschrift"/>
                <w:rFonts w:ascii="Times New Roman" w:hAnsi="Times New Roman"/>
                <w:sz w:val="24"/>
              </w:rPr>
              <w:t> %</w:t>
            </w:r>
          </w:p>
        </w:tc>
      </w:tr>
      <w:tr w:rsidR="001B1F77" w:rsidRPr="00E07C9A" w14:paraId="0D9267A6" w14:textId="77777777" w:rsidTr="00672D2A">
        <w:tc>
          <w:tcPr>
            <w:tcW w:w="1188" w:type="dxa"/>
            <w:shd w:val="clear" w:color="auto" w:fill="auto"/>
          </w:tcPr>
          <w:p w14:paraId="0D0A1D08" w14:textId="77777777" w:rsidR="001B1F77" w:rsidRPr="00E07C9A" w:rsidRDefault="00FF15C6" w:rsidP="00487A02">
            <w:pPr>
              <w:pStyle w:val="InstructionsText"/>
            </w:pPr>
            <w:r w:rsidRPr="00E07C9A">
              <w:t>0250</w:t>
            </w:r>
          </w:p>
        </w:tc>
        <w:tc>
          <w:tcPr>
            <w:tcW w:w="8701" w:type="dxa"/>
            <w:shd w:val="clear" w:color="auto" w:fill="auto"/>
          </w:tcPr>
          <w:p w14:paraId="580867F7" w14:textId="4F4F353D" w:rsidR="001B1F77" w:rsidRPr="00E07C9A" w:rsidRDefault="001B1F77"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250</w:t>
            </w:r>
            <w:r w:rsidR="009912F8" w:rsidRPr="00E07C9A">
              <w:rPr>
                <w:rStyle w:val="InstructionsTabelleberschrift"/>
                <w:rFonts w:ascii="Times New Roman" w:hAnsi="Times New Roman"/>
                <w:sz w:val="24"/>
              </w:rPr>
              <w:t> %</w:t>
            </w:r>
          </w:p>
          <w:p w14:paraId="55894113" w14:textId="6E843B60" w:rsidR="001B1F77" w:rsidRPr="00E07C9A" w:rsidRDefault="001B1F77" w:rsidP="00487A02">
            <w:pPr>
              <w:pStyle w:val="InstructionsText"/>
            </w:pPr>
            <w:r w:rsidRPr="00E07C9A">
              <w:t>Článok 133 ods. 2</w:t>
            </w:r>
            <w:r w:rsidR="009912F8" w:rsidRPr="00E07C9A">
              <w:t xml:space="preserve"> a </w:t>
            </w:r>
            <w:r w:rsidRPr="00E07C9A">
              <w:t xml:space="preserve">článok 48 ods. 4 nariadenia (EÚ) </w:t>
            </w:r>
            <w:r w:rsidR="009912F8" w:rsidRPr="00E07C9A">
              <w:t>č. 575/2013</w:t>
            </w:r>
          </w:p>
        </w:tc>
      </w:tr>
      <w:tr w:rsidR="001B1F77" w:rsidRPr="00E07C9A" w14:paraId="7C093985" w14:textId="77777777" w:rsidTr="00672D2A">
        <w:tc>
          <w:tcPr>
            <w:tcW w:w="1188" w:type="dxa"/>
            <w:shd w:val="clear" w:color="auto" w:fill="auto"/>
          </w:tcPr>
          <w:p w14:paraId="449EF471" w14:textId="77777777" w:rsidR="001B1F77" w:rsidRPr="00E07C9A" w:rsidRDefault="00FF15C6" w:rsidP="00487A02">
            <w:pPr>
              <w:pStyle w:val="InstructionsText"/>
            </w:pPr>
            <w:r w:rsidRPr="00E07C9A">
              <w:t>0260</w:t>
            </w:r>
          </w:p>
        </w:tc>
        <w:tc>
          <w:tcPr>
            <w:tcW w:w="8701" w:type="dxa"/>
            <w:shd w:val="clear" w:color="auto" w:fill="auto"/>
          </w:tcPr>
          <w:p w14:paraId="2114622D" w14:textId="7F941A3B" w:rsidR="001B1F77" w:rsidRPr="00E07C9A" w:rsidRDefault="001B1F77"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370</w:t>
            </w:r>
            <w:r w:rsidR="009912F8" w:rsidRPr="00E07C9A">
              <w:rPr>
                <w:rStyle w:val="InstructionsTabelleberschrift"/>
                <w:rFonts w:ascii="Times New Roman" w:hAnsi="Times New Roman"/>
                <w:sz w:val="24"/>
              </w:rPr>
              <w:t> %</w:t>
            </w:r>
          </w:p>
          <w:p w14:paraId="26072AFF" w14:textId="6F97751D" w:rsidR="001B1F77" w:rsidRPr="00E07C9A" w:rsidRDefault="001B1F77" w:rsidP="00487A02">
            <w:pPr>
              <w:pStyle w:val="InstructionsText"/>
              <w:rPr>
                <w:b/>
                <w:u w:val="single"/>
              </w:rPr>
            </w:pPr>
            <w:r w:rsidRPr="00E07C9A">
              <w:t xml:space="preserve">Článok 471 nariadenia (EÚ) </w:t>
            </w:r>
            <w:r w:rsidR="009912F8" w:rsidRPr="00E07C9A">
              <w:t>č. 575/2013</w:t>
            </w:r>
          </w:p>
        </w:tc>
      </w:tr>
      <w:tr w:rsidR="001B1F77" w:rsidRPr="00E07C9A" w14:paraId="6F6DFE50" w14:textId="77777777" w:rsidTr="00672D2A">
        <w:tc>
          <w:tcPr>
            <w:tcW w:w="1188" w:type="dxa"/>
            <w:shd w:val="clear" w:color="auto" w:fill="auto"/>
          </w:tcPr>
          <w:p w14:paraId="08F0AF10" w14:textId="77777777" w:rsidR="001B1F77" w:rsidRPr="00E07C9A" w:rsidRDefault="00FF15C6" w:rsidP="00487A02">
            <w:pPr>
              <w:pStyle w:val="InstructionsText"/>
            </w:pPr>
            <w:r w:rsidRPr="00E07C9A">
              <w:t>0270</w:t>
            </w:r>
          </w:p>
        </w:tc>
        <w:tc>
          <w:tcPr>
            <w:tcW w:w="8701" w:type="dxa"/>
            <w:shd w:val="clear" w:color="auto" w:fill="auto"/>
          </w:tcPr>
          <w:p w14:paraId="1478A326" w14:textId="1636FE09" w:rsidR="001B1F77" w:rsidRPr="00E07C9A" w:rsidRDefault="001B1F77"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1 250</w:t>
            </w:r>
            <w:r w:rsidR="009912F8" w:rsidRPr="00E07C9A">
              <w:rPr>
                <w:rStyle w:val="InstructionsTabelleberschrift"/>
                <w:rFonts w:ascii="Times New Roman" w:hAnsi="Times New Roman"/>
                <w:sz w:val="24"/>
              </w:rPr>
              <w:t> %</w:t>
            </w:r>
          </w:p>
          <w:p w14:paraId="7317B454" w14:textId="3EB50F44" w:rsidR="001B1F77" w:rsidRPr="00E07C9A" w:rsidRDefault="001B1F77" w:rsidP="00487A02">
            <w:pPr>
              <w:pStyle w:val="InstructionsText"/>
              <w:rPr>
                <w:b/>
                <w:u w:val="single"/>
              </w:rPr>
            </w:pPr>
            <w:r w:rsidRPr="00E07C9A">
              <w:t>Článok 133 ods. 2</w:t>
            </w:r>
            <w:r w:rsidR="009912F8" w:rsidRPr="00E07C9A">
              <w:t xml:space="preserve"> a </w:t>
            </w:r>
            <w:r w:rsidRPr="00E07C9A">
              <w:t xml:space="preserve">článok 379 nariadenia (EÚ) </w:t>
            </w:r>
            <w:r w:rsidR="009912F8" w:rsidRPr="00E07C9A">
              <w:t>č. 575/2013</w:t>
            </w:r>
          </w:p>
        </w:tc>
      </w:tr>
      <w:tr w:rsidR="001B1F77" w:rsidRPr="00E07C9A" w14:paraId="70D52ADF" w14:textId="77777777" w:rsidTr="00672D2A">
        <w:tc>
          <w:tcPr>
            <w:tcW w:w="1188" w:type="dxa"/>
            <w:shd w:val="clear" w:color="auto" w:fill="auto"/>
          </w:tcPr>
          <w:p w14:paraId="69C23061" w14:textId="77777777" w:rsidR="001B1F77" w:rsidRPr="00E07C9A" w:rsidRDefault="00FF15C6" w:rsidP="00487A02">
            <w:pPr>
              <w:pStyle w:val="InstructionsText"/>
            </w:pPr>
            <w:r w:rsidRPr="00E07C9A">
              <w:t>0280</w:t>
            </w:r>
          </w:p>
        </w:tc>
        <w:tc>
          <w:tcPr>
            <w:tcW w:w="8701" w:type="dxa"/>
            <w:shd w:val="clear" w:color="auto" w:fill="auto"/>
          </w:tcPr>
          <w:p w14:paraId="59C6FA0A" w14:textId="77777777" w:rsidR="001B1F77" w:rsidRPr="00E07C9A" w:rsidRDefault="001B1F77"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Iné rizikové váhy</w:t>
            </w:r>
          </w:p>
          <w:p w14:paraId="417334B0" w14:textId="19A9C933" w:rsidR="001B1F77" w:rsidRPr="00E07C9A" w:rsidRDefault="001B1F77" w:rsidP="00487A02">
            <w:pPr>
              <w:pStyle w:val="InstructionsText"/>
            </w:pPr>
            <w:r w:rsidRPr="00E07C9A">
              <w:t>Tento riadok nie je</w:t>
            </w:r>
            <w:r w:rsidR="009912F8" w:rsidRPr="00E07C9A">
              <w:t xml:space="preserve"> k </w:t>
            </w:r>
            <w:r w:rsidRPr="00E07C9A">
              <w:t>dispozícii pre triedy expozícií: vlády, podnikateľské subjekty, inštitúcie</w:t>
            </w:r>
            <w:r w:rsidR="009912F8" w:rsidRPr="00E07C9A">
              <w:t xml:space="preserve"> a </w:t>
            </w:r>
            <w:r w:rsidRPr="00E07C9A">
              <w:t>retail.</w:t>
            </w:r>
          </w:p>
          <w:p w14:paraId="7BB922B8" w14:textId="77777777" w:rsidR="001B1F77" w:rsidRPr="00E07C9A" w:rsidRDefault="001B1F77" w:rsidP="00487A02">
            <w:pPr>
              <w:pStyle w:val="InstructionsText"/>
            </w:pPr>
          </w:p>
          <w:p w14:paraId="0875E46F" w14:textId="77777777" w:rsidR="001B1F77" w:rsidRPr="00E07C9A" w:rsidRDefault="001B1F77" w:rsidP="00487A02">
            <w:pPr>
              <w:pStyle w:val="InstructionsText"/>
            </w:pPr>
            <w:r w:rsidRPr="00E07C9A">
              <w:t>Na vykazovanie týchto expozícií, na ktoré sa neuplatňujú rizikové váhy uvedené vo vzore.</w:t>
            </w:r>
          </w:p>
          <w:p w14:paraId="45C455AD" w14:textId="7671B817" w:rsidR="009912F8" w:rsidRPr="00E07C9A" w:rsidRDefault="001B1F77" w:rsidP="00487A02">
            <w:pPr>
              <w:pStyle w:val="InstructionsText"/>
            </w:pPr>
            <w:r w:rsidRPr="00E07C9A">
              <w:t xml:space="preserve">Článok 113 ods. 1 až 5 nariadenia (EÚ) </w:t>
            </w:r>
            <w:r w:rsidR="009912F8" w:rsidRPr="00E07C9A">
              <w:t>č. 575/2013</w:t>
            </w:r>
          </w:p>
          <w:p w14:paraId="18BFF5DF" w14:textId="24D62133" w:rsidR="001B1F77" w:rsidRPr="00E07C9A" w:rsidRDefault="001B1F77" w:rsidP="00487A02">
            <w:pPr>
              <w:pStyle w:val="InstructionsText"/>
            </w:pPr>
          </w:p>
          <w:p w14:paraId="17483585" w14:textId="19B6A954" w:rsidR="001B1F77" w:rsidRPr="00E07C9A" w:rsidRDefault="001B1F77" w:rsidP="00487A02">
            <w:pPr>
              <w:pStyle w:val="InstructionsText"/>
            </w:pPr>
            <w:r w:rsidRPr="00E07C9A">
              <w:t>Kreditné deriváty pre n-té zlyhanie bez ratingu</w:t>
            </w:r>
            <w:r w:rsidR="009912F8" w:rsidRPr="00E07C9A">
              <w:t xml:space="preserve"> v </w:t>
            </w:r>
            <w:r w:rsidRPr="00E07C9A">
              <w:t xml:space="preserve">rámci štandardizovaného prístupu [článok 134 ods. 6 nariadenia (EÚ) </w:t>
            </w:r>
            <w:r w:rsidR="009912F8" w:rsidRPr="00E07C9A">
              <w:t>č. 575/2013</w:t>
            </w:r>
            <w:r w:rsidRPr="00E07C9A">
              <w:t>] sa vykazujú</w:t>
            </w:r>
            <w:r w:rsidR="009912F8" w:rsidRPr="00E07C9A">
              <w:t xml:space="preserve"> v </w:t>
            </w:r>
            <w:r w:rsidRPr="00E07C9A">
              <w:t>tomto riadku</w:t>
            </w:r>
            <w:r w:rsidR="009912F8" w:rsidRPr="00E07C9A">
              <w:t xml:space="preserve"> v </w:t>
            </w:r>
            <w:r w:rsidRPr="00E07C9A">
              <w:t>triede expozícií „ostatné položky“.</w:t>
            </w:r>
          </w:p>
          <w:p w14:paraId="4839EA0F" w14:textId="56373A25" w:rsidR="001B1F77" w:rsidRPr="00E07C9A" w:rsidRDefault="001B1F77" w:rsidP="0014209A">
            <w:pPr>
              <w:pStyle w:val="InstructionsText"/>
            </w:pPr>
            <w:r w:rsidRPr="00E07C9A">
              <w:t>Pozri aj článok 124 ods. 2</w:t>
            </w:r>
            <w:r w:rsidR="009912F8" w:rsidRPr="00E07C9A">
              <w:t xml:space="preserve"> a </w:t>
            </w:r>
            <w:r w:rsidRPr="00E07C9A">
              <w:t xml:space="preserve">článok 152 ods. 2 písm. b) nariadenia (EÚ) </w:t>
            </w:r>
            <w:r w:rsidR="009912F8" w:rsidRPr="00E07C9A">
              <w:t>č. 575/2013</w:t>
            </w:r>
            <w:r w:rsidRPr="00E07C9A">
              <w:t xml:space="preserve">. </w:t>
            </w:r>
          </w:p>
        </w:tc>
      </w:tr>
      <w:tr w:rsidR="00E86B98" w:rsidRPr="00E07C9A" w14:paraId="39C62CA5" w14:textId="77777777" w:rsidTr="00672D2A">
        <w:tc>
          <w:tcPr>
            <w:tcW w:w="1188" w:type="dxa"/>
            <w:shd w:val="clear" w:color="auto" w:fill="auto"/>
          </w:tcPr>
          <w:p w14:paraId="3CDA9CA8" w14:textId="77777777" w:rsidR="00E86B98" w:rsidRPr="00E07C9A" w:rsidRDefault="00FF15C6" w:rsidP="00487A02">
            <w:pPr>
              <w:pStyle w:val="InstructionsText"/>
            </w:pPr>
            <w:r w:rsidRPr="00E07C9A">
              <w:t>0281 –⁠ 0284</w:t>
            </w:r>
          </w:p>
        </w:tc>
        <w:tc>
          <w:tcPr>
            <w:tcW w:w="8701" w:type="dxa"/>
            <w:shd w:val="clear" w:color="auto" w:fill="auto"/>
          </w:tcPr>
          <w:p w14:paraId="29B8A563" w14:textId="77777777" w:rsidR="00E86B98" w:rsidRPr="00E07C9A" w:rsidRDefault="00E86B98"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ROZČLENENIE CELKOVÝCH EXPOZÍCIÍ PODĽA PRÍSTUPU (PKI)</w:t>
            </w:r>
          </w:p>
          <w:p w14:paraId="2BAD7DF7" w14:textId="67E1C31D" w:rsidR="00E86B98" w:rsidRPr="00E07C9A" w:rsidRDefault="00E86B98"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b w:val="0"/>
                <w:sz w:val="24"/>
                <w:u w:val="none"/>
              </w:rPr>
              <w:t>Tieto riadky sa vykazujú len pre triedu expozícií „podniky kolektívneho investovania (PKI)“,</w:t>
            </w:r>
            <w:r w:rsidR="009912F8" w:rsidRPr="00E07C9A">
              <w:rPr>
                <w:rStyle w:val="InstructionsTabelleberschrift"/>
                <w:rFonts w:ascii="Times New Roman" w:hAnsi="Times New Roman"/>
                <w:b w:val="0"/>
                <w:sz w:val="24"/>
                <w:u w:val="none"/>
              </w:rPr>
              <w:t xml:space="preserve"> a </w:t>
            </w:r>
            <w:r w:rsidRPr="00E07C9A">
              <w:rPr>
                <w:rStyle w:val="InstructionsTabelleberschrift"/>
                <w:rFonts w:ascii="Times New Roman" w:hAnsi="Times New Roman"/>
                <w:b w:val="0"/>
                <w:sz w:val="24"/>
                <w:u w:val="none"/>
              </w:rPr>
              <w:t>to</w:t>
            </w:r>
            <w:r w:rsidR="009912F8" w:rsidRPr="00E07C9A">
              <w:rPr>
                <w:rStyle w:val="InstructionsTabelleberschrift"/>
                <w:rFonts w:ascii="Times New Roman" w:hAnsi="Times New Roman"/>
                <w:b w:val="0"/>
                <w:sz w:val="24"/>
                <w:u w:val="none"/>
              </w:rPr>
              <w:t xml:space="preserve"> v </w:t>
            </w:r>
            <w:r w:rsidRPr="00E07C9A">
              <w:rPr>
                <w:rStyle w:val="InstructionsTabelleberschrift"/>
                <w:rFonts w:ascii="Times New Roman" w:hAnsi="Times New Roman"/>
                <w:b w:val="0"/>
                <w:sz w:val="24"/>
                <w:u w:val="none"/>
              </w:rPr>
              <w:t>súlade</w:t>
            </w:r>
            <w:r w:rsidR="009912F8" w:rsidRPr="00E07C9A">
              <w:rPr>
                <w:rStyle w:val="InstructionsTabelleberschrift"/>
                <w:rFonts w:ascii="Times New Roman" w:hAnsi="Times New Roman"/>
                <w:b w:val="0"/>
                <w:sz w:val="24"/>
                <w:u w:val="none"/>
              </w:rPr>
              <w:t xml:space="preserve"> s </w:t>
            </w:r>
            <w:r w:rsidRPr="00E07C9A">
              <w:rPr>
                <w:rStyle w:val="InstructionsTabelleberschrift"/>
                <w:rFonts w:ascii="Times New Roman" w:hAnsi="Times New Roman"/>
                <w:b w:val="0"/>
                <w:sz w:val="24"/>
                <w:u w:val="none"/>
              </w:rPr>
              <w:t>článkami 132, 132a, 132b</w:t>
            </w:r>
            <w:r w:rsidR="009912F8" w:rsidRPr="00E07C9A">
              <w:rPr>
                <w:rStyle w:val="InstructionsTabelleberschrift"/>
                <w:rFonts w:ascii="Times New Roman" w:hAnsi="Times New Roman"/>
                <w:b w:val="0"/>
                <w:sz w:val="24"/>
                <w:u w:val="none"/>
              </w:rPr>
              <w:t xml:space="preserve"> a </w:t>
            </w:r>
            <w:r w:rsidRPr="00E07C9A">
              <w:rPr>
                <w:rStyle w:val="InstructionsTabelleberschrift"/>
                <w:rFonts w:ascii="Times New Roman" w:hAnsi="Times New Roman"/>
                <w:b w:val="0"/>
                <w:sz w:val="24"/>
                <w:u w:val="none"/>
              </w:rPr>
              <w:t>132c</w:t>
            </w:r>
            <w:r w:rsidRPr="00E07C9A">
              <w:t xml:space="preserve"> nariadenia (EÚ) </w:t>
            </w:r>
            <w:r w:rsidR="009912F8" w:rsidRPr="00E07C9A">
              <w:t>č. 575/2013</w:t>
            </w:r>
            <w:r w:rsidRPr="00E07C9A">
              <w:rPr>
                <w:rStyle w:val="InstructionsTabelleberschrift"/>
                <w:rFonts w:ascii="Times New Roman" w:hAnsi="Times New Roman"/>
                <w:b w:val="0"/>
                <w:sz w:val="24"/>
                <w:u w:val="none"/>
              </w:rPr>
              <w:t>.</w:t>
            </w:r>
          </w:p>
        </w:tc>
      </w:tr>
      <w:tr w:rsidR="00E86B98" w:rsidRPr="00E07C9A" w14:paraId="6775AB36" w14:textId="77777777" w:rsidTr="00672D2A">
        <w:tc>
          <w:tcPr>
            <w:tcW w:w="1188" w:type="dxa"/>
            <w:shd w:val="clear" w:color="auto" w:fill="auto"/>
          </w:tcPr>
          <w:p w14:paraId="02AB8D76" w14:textId="77777777" w:rsidR="00E86B98" w:rsidRPr="00E07C9A" w:rsidRDefault="00FF15C6" w:rsidP="00487A02">
            <w:pPr>
              <w:pStyle w:val="InstructionsText"/>
            </w:pPr>
            <w:r w:rsidRPr="00E07C9A">
              <w:t>0281</w:t>
            </w:r>
          </w:p>
        </w:tc>
        <w:tc>
          <w:tcPr>
            <w:tcW w:w="8701" w:type="dxa"/>
            <w:shd w:val="clear" w:color="auto" w:fill="auto"/>
          </w:tcPr>
          <w:p w14:paraId="0A5EA157" w14:textId="77777777" w:rsidR="00E86B98" w:rsidRPr="00E07C9A" w:rsidRDefault="00E86B98"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Prístup založený na prezretí podkladových expozícií</w:t>
            </w:r>
          </w:p>
          <w:p w14:paraId="6B60464B" w14:textId="391C0CBF" w:rsidR="00E86B98" w:rsidRPr="00E07C9A" w:rsidRDefault="00E86B98" w:rsidP="00487A02">
            <w:pPr>
              <w:pStyle w:val="InstructionsText"/>
              <w:rPr>
                <w:rStyle w:val="InstructionsTabelleberschrift"/>
                <w:rFonts w:ascii="Times New Roman" w:hAnsi="Times New Roman"/>
                <w:sz w:val="24"/>
              </w:rPr>
            </w:pPr>
            <w:r w:rsidRPr="00E07C9A">
              <w:t xml:space="preserve">Článok 132a ods. 1 nariadenia (EÚ) </w:t>
            </w:r>
            <w:r w:rsidR="009912F8" w:rsidRPr="00E07C9A">
              <w:t>č. 575/2013</w:t>
            </w:r>
          </w:p>
        </w:tc>
      </w:tr>
      <w:tr w:rsidR="00E86B98" w:rsidRPr="00E07C9A" w14:paraId="7FE5EDE2" w14:textId="77777777" w:rsidTr="00672D2A">
        <w:tc>
          <w:tcPr>
            <w:tcW w:w="1188" w:type="dxa"/>
            <w:shd w:val="clear" w:color="auto" w:fill="auto"/>
          </w:tcPr>
          <w:p w14:paraId="283630FA" w14:textId="77777777" w:rsidR="00E86B98" w:rsidRPr="00E07C9A" w:rsidRDefault="00FF15C6" w:rsidP="00487A02">
            <w:pPr>
              <w:pStyle w:val="InstructionsText"/>
            </w:pPr>
            <w:r w:rsidRPr="00E07C9A">
              <w:t>0282</w:t>
            </w:r>
          </w:p>
        </w:tc>
        <w:tc>
          <w:tcPr>
            <w:tcW w:w="8701" w:type="dxa"/>
            <w:shd w:val="clear" w:color="auto" w:fill="auto"/>
          </w:tcPr>
          <w:p w14:paraId="4201B20C" w14:textId="77777777" w:rsidR="00E86B98" w:rsidRPr="00E07C9A" w:rsidRDefault="00E86B98"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Prístup založený na mandáte</w:t>
            </w:r>
          </w:p>
          <w:p w14:paraId="56185E49" w14:textId="1D466E8D" w:rsidR="00E86B98" w:rsidRPr="00E07C9A" w:rsidRDefault="00E86B98" w:rsidP="00487A02">
            <w:pPr>
              <w:pStyle w:val="InstructionsText"/>
              <w:rPr>
                <w:rStyle w:val="InstructionsTabelleberschrift"/>
                <w:rFonts w:ascii="Times New Roman" w:hAnsi="Times New Roman"/>
                <w:sz w:val="24"/>
              </w:rPr>
            </w:pPr>
            <w:r w:rsidRPr="00E07C9A">
              <w:t xml:space="preserve">Článok 132a ods. 2 nariadenia (EÚ) </w:t>
            </w:r>
            <w:r w:rsidR="009912F8" w:rsidRPr="00E07C9A">
              <w:t>č. 575/2013</w:t>
            </w:r>
          </w:p>
        </w:tc>
      </w:tr>
      <w:tr w:rsidR="00E86B98" w:rsidRPr="00E07C9A" w14:paraId="7BCD3485" w14:textId="77777777" w:rsidTr="00672D2A">
        <w:tc>
          <w:tcPr>
            <w:tcW w:w="1188" w:type="dxa"/>
            <w:shd w:val="clear" w:color="auto" w:fill="auto"/>
          </w:tcPr>
          <w:p w14:paraId="32E3EF5D" w14:textId="77777777" w:rsidR="00E86B98" w:rsidRPr="00E07C9A" w:rsidRDefault="00FF15C6" w:rsidP="00487A02">
            <w:pPr>
              <w:pStyle w:val="InstructionsText"/>
            </w:pPr>
            <w:r w:rsidRPr="00E07C9A">
              <w:t>0283</w:t>
            </w:r>
          </w:p>
        </w:tc>
        <w:tc>
          <w:tcPr>
            <w:tcW w:w="8701" w:type="dxa"/>
            <w:shd w:val="clear" w:color="auto" w:fill="auto"/>
          </w:tcPr>
          <w:p w14:paraId="6D628ACA" w14:textId="77777777" w:rsidR="00E86B98" w:rsidRPr="00E07C9A" w:rsidRDefault="00E86B98"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Rezervný prístup</w:t>
            </w:r>
          </w:p>
          <w:p w14:paraId="78735693" w14:textId="0C8E029F" w:rsidR="00E86B98" w:rsidRPr="00E07C9A" w:rsidRDefault="00E86B98" w:rsidP="00487A02">
            <w:pPr>
              <w:pStyle w:val="InstructionsText"/>
              <w:rPr>
                <w:rStyle w:val="InstructionsTabelleberschrift"/>
                <w:rFonts w:ascii="Times New Roman" w:hAnsi="Times New Roman"/>
                <w:sz w:val="24"/>
              </w:rPr>
            </w:pPr>
            <w:r w:rsidRPr="00E07C9A">
              <w:t xml:space="preserve">Článok 132 ods. 2 nariadenia (EÚ) </w:t>
            </w:r>
            <w:r w:rsidR="009912F8" w:rsidRPr="00E07C9A">
              <w:t>č. 575/2013</w:t>
            </w:r>
          </w:p>
        </w:tc>
      </w:tr>
      <w:tr w:rsidR="00E86B98" w:rsidRPr="00E07C9A" w14:paraId="5D1E6934" w14:textId="77777777" w:rsidTr="00672D2A">
        <w:tc>
          <w:tcPr>
            <w:tcW w:w="1188" w:type="dxa"/>
            <w:shd w:val="clear" w:color="auto" w:fill="auto"/>
          </w:tcPr>
          <w:p w14:paraId="0A64BA8C" w14:textId="77777777" w:rsidR="00E86B98" w:rsidRPr="00E07C9A" w:rsidRDefault="00FF15C6" w:rsidP="00487A02">
            <w:pPr>
              <w:pStyle w:val="InstructionsText"/>
            </w:pPr>
            <w:r w:rsidRPr="00E07C9A">
              <w:t>0290 –⁠ 0320</w:t>
            </w:r>
          </w:p>
        </w:tc>
        <w:tc>
          <w:tcPr>
            <w:tcW w:w="8701" w:type="dxa"/>
            <w:shd w:val="clear" w:color="auto" w:fill="auto"/>
          </w:tcPr>
          <w:p w14:paraId="55553372" w14:textId="77777777" w:rsidR="00E86B98" w:rsidRPr="00E07C9A" w:rsidRDefault="00E86B98"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Doplňujúce položky</w:t>
            </w:r>
          </w:p>
          <w:p w14:paraId="40A38B29" w14:textId="77777777" w:rsidR="00E86B98" w:rsidRPr="00E07C9A" w:rsidRDefault="00E86B98" w:rsidP="00487A02">
            <w:pPr>
              <w:pStyle w:val="InstructionsText"/>
              <w:rPr>
                <w:b/>
                <w:u w:val="single"/>
              </w:rPr>
            </w:pPr>
            <w:r w:rsidRPr="00E07C9A">
              <w:t>V prípade riadkov 0290 až 0320 pozri aj vysvetlenie účelu doplňujúcich položiek vo všeobecnom oddiele vzoru CR SA.</w:t>
            </w:r>
          </w:p>
        </w:tc>
      </w:tr>
      <w:tr w:rsidR="00E86B98" w:rsidRPr="00E07C9A" w14:paraId="73B8B57C" w14:textId="77777777" w:rsidTr="00672D2A">
        <w:tc>
          <w:tcPr>
            <w:tcW w:w="1188" w:type="dxa"/>
            <w:shd w:val="clear" w:color="auto" w:fill="auto"/>
          </w:tcPr>
          <w:p w14:paraId="72B6CA67" w14:textId="77777777" w:rsidR="00E86B98" w:rsidRPr="00E07C9A" w:rsidRDefault="00FF15C6" w:rsidP="00487A02">
            <w:pPr>
              <w:pStyle w:val="InstructionsText"/>
            </w:pPr>
            <w:r w:rsidRPr="00E07C9A">
              <w:t>0290</w:t>
            </w:r>
          </w:p>
          <w:p w14:paraId="697FBB70" w14:textId="77777777" w:rsidR="00E86B98" w:rsidRPr="00E07C9A" w:rsidRDefault="00E86B98" w:rsidP="00487A02">
            <w:pPr>
              <w:pStyle w:val="InstructionsText"/>
            </w:pPr>
          </w:p>
        </w:tc>
        <w:tc>
          <w:tcPr>
            <w:tcW w:w="8701" w:type="dxa"/>
            <w:shd w:val="clear" w:color="auto" w:fill="auto"/>
          </w:tcPr>
          <w:p w14:paraId="6446B8C9" w14:textId="77777777" w:rsidR="00E86B98" w:rsidRPr="00E07C9A" w:rsidRDefault="00E86B98"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Expozície zabezpečené hypotékami na nehnuteľný majetok určený na podnikanie</w:t>
            </w:r>
          </w:p>
          <w:p w14:paraId="082BF5F4" w14:textId="147871AC" w:rsidR="00E86B98" w:rsidRPr="00E07C9A" w:rsidRDefault="00E86B98" w:rsidP="00487A02">
            <w:pPr>
              <w:pStyle w:val="InstructionsText"/>
            </w:pPr>
            <w:r w:rsidRPr="00E07C9A">
              <w:t xml:space="preserve">Článok 112 písm. i) nariadenia (EÚ) </w:t>
            </w:r>
            <w:r w:rsidR="009912F8" w:rsidRPr="00E07C9A">
              <w:t>č. 575/2013</w:t>
            </w:r>
          </w:p>
          <w:p w14:paraId="19873995" w14:textId="7B3EFB9D" w:rsidR="00E86B98" w:rsidRPr="00E07C9A" w:rsidRDefault="00E86B98" w:rsidP="00487A02">
            <w:pPr>
              <w:pStyle w:val="InstructionsText"/>
            </w:pPr>
            <w:r w:rsidRPr="00E07C9A">
              <w:t>Ide len</w:t>
            </w:r>
            <w:r w:rsidR="009912F8" w:rsidRPr="00E07C9A">
              <w:t xml:space="preserve"> o </w:t>
            </w:r>
            <w:r w:rsidRPr="00E07C9A">
              <w:t>doplňujúcu položku. Nezávisle od výpočtu hodnôt rizikových expozícií zabezpečených nehnuteľným majetkom určeným na podnikanie podľa článkov 124</w:t>
            </w:r>
            <w:r w:rsidR="009912F8" w:rsidRPr="00E07C9A">
              <w:t xml:space="preserve"> a </w:t>
            </w:r>
            <w:r w:rsidRPr="00E07C9A">
              <w:t xml:space="preserve">126 nariadenia (EÚ) </w:t>
            </w:r>
            <w:r w:rsidR="009912F8" w:rsidRPr="00E07C9A">
              <w:t>č. 575/2013</w:t>
            </w:r>
            <w:r w:rsidRPr="00E07C9A">
              <w:t xml:space="preserve"> sa expozície rozčlenia</w:t>
            </w:r>
            <w:r w:rsidR="009912F8" w:rsidRPr="00E07C9A">
              <w:t xml:space="preserve"> a </w:t>
            </w:r>
            <w:r w:rsidRPr="00E07C9A">
              <w:t>vykazujú</w:t>
            </w:r>
            <w:r w:rsidR="009912F8" w:rsidRPr="00E07C9A">
              <w:t xml:space="preserve"> v </w:t>
            </w:r>
            <w:r w:rsidRPr="00E07C9A">
              <w:t>tomto riadku, ak sú expozície zabezpečené nehnuteľným majetkom určeným na podnikanie.</w:t>
            </w:r>
          </w:p>
        </w:tc>
      </w:tr>
      <w:tr w:rsidR="00E86B98" w:rsidRPr="00E07C9A" w14:paraId="5B97E097" w14:textId="77777777" w:rsidTr="00672D2A">
        <w:tc>
          <w:tcPr>
            <w:tcW w:w="1188" w:type="dxa"/>
            <w:shd w:val="clear" w:color="auto" w:fill="auto"/>
          </w:tcPr>
          <w:p w14:paraId="10174445" w14:textId="77777777" w:rsidR="00E86B98" w:rsidRPr="00E07C9A" w:rsidRDefault="00FF15C6" w:rsidP="00487A02">
            <w:pPr>
              <w:pStyle w:val="InstructionsText"/>
            </w:pPr>
            <w:r w:rsidRPr="00E07C9A">
              <w:t>0300</w:t>
            </w:r>
          </w:p>
        </w:tc>
        <w:tc>
          <w:tcPr>
            <w:tcW w:w="8701" w:type="dxa"/>
            <w:shd w:val="clear" w:color="auto" w:fill="auto"/>
          </w:tcPr>
          <w:p w14:paraId="67A2C608" w14:textId="116EBEAF" w:rsidR="00E86B98" w:rsidRPr="00E07C9A" w:rsidRDefault="00E86B98"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Expozície</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stave zlyhania, na ktoré sa uplatňuje riziková váha 100</w:t>
            </w:r>
            <w:r w:rsidR="009912F8" w:rsidRPr="00E07C9A">
              <w:t> %</w:t>
            </w:r>
          </w:p>
          <w:p w14:paraId="6A941F3C" w14:textId="6B0D6094" w:rsidR="00E86B98" w:rsidRPr="00E07C9A" w:rsidRDefault="00E86B98" w:rsidP="00487A02">
            <w:pPr>
              <w:pStyle w:val="InstructionsText"/>
            </w:pPr>
            <w:r w:rsidRPr="00E07C9A">
              <w:t xml:space="preserve">Článok 112 písm. j) nariadenia (EÚ) </w:t>
            </w:r>
            <w:r w:rsidR="009912F8" w:rsidRPr="00E07C9A">
              <w:t>č. 575/2013</w:t>
            </w:r>
          </w:p>
          <w:p w14:paraId="4F7F2414" w14:textId="27F8E52F" w:rsidR="00E86B98" w:rsidRPr="00E07C9A" w:rsidRDefault="00E86B98" w:rsidP="00487A02">
            <w:pPr>
              <w:pStyle w:val="InstructionsText"/>
            </w:pPr>
            <w:r w:rsidRPr="00E07C9A">
              <w:t>Expozície zaradené</w:t>
            </w:r>
            <w:r w:rsidR="009912F8" w:rsidRPr="00E07C9A">
              <w:t xml:space="preserve"> v </w:t>
            </w:r>
            <w:r w:rsidRPr="00E07C9A">
              <w:t>triede expozícií „expozície</w:t>
            </w:r>
            <w:r w:rsidR="009912F8" w:rsidRPr="00E07C9A">
              <w:t xml:space="preserve"> v </w:t>
            </w:r>
            <w:r w:rsidRPr="00E07C9A">
              <w:t>stave zlyhania“, ktoré sa zaradia do tejto triedy expozícií, ak neboli</w:t>
            </w:r>
            <w:r w:rsidR="009912F8" w:rsidRPr="00E07C9A">
              <w:t xml:space="preserve"> v </w:t>
            </w:r>
            <w:r w:rsidRPr="00E07C9A">
              <w:t>stave zlyhania.</w:t>
            </w:r>
          </w:p>
        </w:tc>
      </w:tr>
      <w:tr w:rsidR="00E86B98" w:rsidRPr="00E07C9A" w14:paraId="60537968" w14:textId="77777777" w:rsidTr="00672D2A">
        <w:tc>
          <w:tcPr>
            <w:tcW w:w="1188" w:type="dxa"/>
            <w:shd w:val="clear" w:color="auto" w:fill="auto"/>
          </w:tcPr>
          <w:p w14:paraId="6C8FEC13" w14:textId="77777777" w:rsidR="00E86B98" w:rsidRPr="00E07C9A" w:rsidRDefault="00FF15C6" w:rsidP="00487A02">
            <w:pPr>
              <w:pStyle w:val="InstructionsText"/>
            </w:pPr>
            <w:r w:rsidRPr="00E07C9A">
              <w:t>0310</w:t>
            </w:r>
          </w:p>
        </w:tc>
        <w:tc>
          <w:tcPr>
            <w:tcW w:w="8701" w:type="dxa"/>
            <w:shd w:val="clear" w:color="auto" w:fill="auto"/>
          </w:tcPr>
          <w:p w14:paraId="60F5C0AC" w14:textId="77777777" w:rsidR="009912F8" w:rsidRPr="00E07C9A" w:rsidRDefault="00E86B98"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Expozície zabezpečené hypotékami na nehnuteľný majetok určený na bývanie</w:t>
            </w:r>
          </w:p>
          <w:p w14:paraId="5BDAA36A" w14:textId="3B4A28D0" w:rsidR="00E86B98" w:rsidRPr="00E07C9A" w:rsidRDefault="00887929" w:rsidP="00487A02">
            <w:pPr>
              <w:pStyle w:val="InstructionsText"/>
            </w:pPr>
            <w:r w:rsidRPr="00E07C9A">
              <w:t xml:space="preserve">Článok 112 písm. i) nariadenia (EÚ) </w:t>
            </w:r>
            <w:r w:rsidR="009912F8" w:rsidRPr="00E07C9A">
              <w:t>č. 575/2013</w:t>
            </w:r>
          </w:p>
          <w:p w14:paraId="6DBBFFDB" w14:textId="258891E3" w:rsidR="00E86B98" w:rsidRPr="00E07C9A" w:rsidRDefault="00E86B98" w:rsidP="00487A02">
            <w:pPr>
              <w:pStyle w:val="InstructionsText"/>
              <w:rPr>
                <w:b/>
                <w:u w:val="single"/>
              </w:rPr>
            </w:pPr>
            <w:r w:rsidRPr="00E07C9A">
              <w:t>Ide len</w:t>
            </w:r>
            <w:r w:rsidR="009912F8" w:rsidRPr="00E07C9A">
              <w:t xml:space="preserve"> o </w:t>
            </w:r>
            <w:r w:rsidRPr="00E07C9A">
              <w:t>doplňujúcu položku. Nezávisle od výpočtu hodnôt rizikových expozícií zabezpečených hypotékami na nehnuteľný majetok určený na bývanie podľa článkov 124</w:t>
            </w:r>
            <w:r w:rsidR="009912F8" w:rsidRPr="00E07C9A">
              <w:t xml:space="preserve"> a </w:t>
            </w:r>
            <w:r w:rsidRPr="00E07C9A">
              <w:t xml:space="preserve">125 nariadenia (EÚ) </w:t>
            </w:r>
            <w:r w:rsidR="009912F8" w:rsidRPr="00E07C9A">
              <w:t>č. 575/2013</w:t>
            </w:r>
            <w:r w:rsidRPr="00E07C9A">
              <w:t xml:space="preserve"> sa expozície rozčlenia</w:t>
            </w:r>
            <w:r w:rsidR="009912F8" w:rsidRPr="00E07C9A">
              <w:t xml:space="preserve"> a </w:t>
            </w:r>
            <w:r w:rsidRPr="00E07C9A">
              <w:t>vykazujú</w:t>
            </w:r>
            <w:r w:rsidR="009912F8" w:rsidRPr="00E07C9A">
              <w:t xml:space="preserve"> v </w:t>
            </w:r>
            <w:r w:rsidRPr="00E07C9A">
              <w:t>tomto riadku vtedy, keď sú expozície zabezpečené nehnuteľným majetkom.</w:t>
            </w:r>
          </w:p>
        </w:tc>
      </w:tr>
      <w:tr w:rsidR="00E86B98" w:rsidRPr="00E07C9A" w14:paraId="434D4D1A" w14:textId="77777777" w:rsidTr="00672D2A">
        <w:tc>
          <w:tcPr>
            <w:tcW w:w="1188" w:type="dxa"/>
            <w:shd w:val="clear" w:color="auto" w:fill="auto"/>
          </w:tcPr>
          <w:p w14:paraId="7D656691" w14:textId="77777777" w:rsidR="00E86B98" w:rsidRPr="00E07C9A" w:rsidRDefault="00FF15C6" w:rsidP="00487A02">
            <w:pPr>
              <w:pStyle w:val="InstructionsText"/>
            </w:pPr>
            <w:r w:rsidRPr="00E07C9A">
              <w:t>0320</w:t>
            </w:r>
          </w:p>
        </w:tc>
        <w:tc>
          <w:tcPr>
            <w:tcW w:w="8701" w:type="dxa"/>
            <w:shd w:val="clear" w:color="auto" w:fill="auto"/>
          </w:tcPr>
          <w:p w14:paraId="0818ADD7" w14:textId="73944BA6" w:rsidR="009912F8" w:rsidRPr="00E07C9A" w:rsidRDefault="00E86B98" w:rsidP="00487A02">
            <w:pPr>
              <w:pStyle w:val="InstructionsText"/>
              <w:rPr>
                <w:rStyle w:val="InstructionsTabelleberschrift"/>
                <w:rFonts w:ascii="Times New Roman" w:hAnsi="Times New Roman"/>
                <w:sz w:val="24"/>
              </w:rPr>
            </w:pPr>
            <w:r w:rsidRPr="00E07C9A">
              <w:rPr>
                <w:rStyle w:val="InstructionsTabelleberschrift"/>
                <w:rFonts w:ascii="Times New Roman" w:hAnsi="Times New Roman"/>
                <w:sz w:val="24"/>
              </w:rPr>
              <w:t>Expozície</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stave zlyhania, na ktoré sa uplatňuje riziková váha 150</w:t>
            </w:r>
            <w:r w:rsidR="009912F8" w:rsidRPr="00E07C9A">
              <w:t> %</w:t>
            </w:r>
          </w:p>
          <w:p w14:paraId="0681B1E0" w14:textId="68EFD14D" w:rsidR="00E86B98" w:rsidRPr="00E07C9A" w:rsidRDefault="00887929" w:rsidP="00487A02">
            <w:pPr>
              <w:pStyle w:val="InstructionsText"/>
            </w:pPr>
            <w:r w:rsidRPr="00E07C9A">
              <w:t xml:space="preserve">Článok 112 písm. j) nariadenia (EÚ) </w:t>
            </w:r>
            <w:r w:rsidR="009912F8" w:rsidRPr="00E07C9A">
              <w:t>č. 575/2013</w:t>
            </w:r>
          </w:p>
          <w:p w14:paraId="38918FFA" w14:textId="4693611B" w:rsidR="00E86B98" w:rsidRPr="00E07C9A" w:rsidRDefault="00E86B98" w:rsidP="00487A02">
            <w:pPr>
              <w:pStyle w:val="InstructionsText"/>
            </w:pPr>
            <w:r w:rsidRPr="00E07C9A">
              <w:t>Expozície zaradené</w:t>
            </w:r>
            <w:r w:rsidR="009912F8" w:rsidRPr="00E07C9A">
              <w:t xml:space="preserve"> v </w:t>
            </w:r>
            <w:r w:rsidRPr="00E07C9A">
              <w:t>triede expozícií „expozície</w:t>
            </w:r>
            <w:r w:rsidR="009912F8" w:rsidRPr="00E07C9A">
              <w:t xml:space="preserve"> v </w:t>
            </w:r>
            <w:r w:rsidRPr="00E07C9A">
              <w:t>stave zlyhania“, ktoré sa zaradia do tejto triedy expozícií, ak neboli</w:t>
            </w:r>
            <w:r w:rsidR="009912F8" w:rsidRPr="00E07C9A">
              <w:t xml:space="preserve"> v </w:t>
            </w:r>
            <w:r w:rsidRPr="00E07C9A">
              <w:t>stave zlyhania.</w:t>
            </w:r>
          </w:p>
        </w:tc>
      </w:tr>
    </w:tbl>
    <w:p w14:paraId="0793ABC6" w14:textId="77777777" w:rsidR="001C7AB7" w:rsidRPr="00E07C9A" w:rsidRDefault="001C7AB7">
      <w:pPr>
        <w:spacing w:before="0" w:after="0"/>
        <w:jc w:val="left"/>
        <w:rPr>
          <w:rFonts w:ascii="Times New Roman" w:hAnsi="Times New Roman"/>
          <w:bCs/>
          <w:sz w:val="24"/>
          <w:lang w:eastAsia="de-DE"/>
        </w:rPr>
      </w:pPr>
    </w:p>
    <w:p w14:paraId="47318FCA" w14:textId="5ECFDC68" w:rsidR="001C7AB7" w:rsidRPr="00E07C9A" w:rsidRDefault="00125707" w:rsidP="0023700C">
      <w:pPr>
        <w:pStyle w:val="Instructionsberschrift2"/>
        <w:numPr>
          <w:ilvl w:val="0"/>
          <w:numId w:val="0"/>
        </w:numPr>
        <w:ind w:left="357" w:hanging="357"/>
        <w:rPr>
          <w:rFonts w:ascii="Times New Roman" w:hAnsi="Times New Roman" w:cs="Times New Roman"/>
          <w:sz w:val="24"/>
        </w:rPr>
      </w:pPr>
      <w:bookmarkStart w:id="216" w:name="_Toc360188357"/>
      <w:bookmarkStart w:id="217" w:name="_Toc473560906"/>
      <w:bookmarkStart w:id="218" w:name="_Toc115857786"/>
      <w:r w:rsidRPr="00E07C9A">
        <w:rPr>
          <w:rFonts w:ascii="Times New Roman" w:hAnsi="Times New Roman" w:cs="Times New Roman"/>
          <w:sz w:val="24"/>
          <w:u w:val="none"/>
        </w:rPr>
        <w:t>3.3.</w:t>
      </w:r>
      <w:r w:rsidRPr="00E07C9A">
        <w:rPr>
          <w:rFonts w:ascii="Times New Roman" w:hAnsi="Times New Roman" w:cs="Times New Roman"/>
          <w:u w:val="none"/>
        </w:rPr>
        <w:tab/>
      </w:r>
      <w:r w:rsidRPr="00E07C9A">
        <w:rPr>
          <w:rFonts w:ascii="Times New Roman" w:hAnsi="Times New Roman" w:cs="Times New Roman"/>
          <w:sz w:val="24"/>
        </w:rPr>
        <w:t>Kreditné riziko</w:t>
      </w:r>
      <w:r w:rsidR="009912F8" w:rsidRPr="00E07C9A">
        <w:rPr>
          <w:rFonts w:ascii="Times New Roman" w:hAnsi="Times New Roman" w:cs="Times New Roman"/>
          <w:sz w:val="24"/>
        </w:rPr>
        <w:t xml:space="preserve"> a </w:t>
      </w:r>
      <w:r w:rsidRPr="00E07C9A">
        <w:rPr>
          <w:rFonts w:ascii="Times New Roman" w:hAnsi="Times New Roman" w:cs="Times New Roman"/>
          <w:sz w:val="24"/>
        </w:rPr>
        <w:t>kreditné riziko protistrany</w:t>
      </w:r>
      <w:r w:rsidR="009912F8" w:rsidRPr="00E07C9A">
        <w:rPr>
          <w:rFonts w:ascii="Times New Roman" w:hAnsi="Times New Roman" w:cs="Times New Roman"/>
          <w:sz w:val="24"/>
        </w:rPr>
        <w:t xml:space="preserve"> a </w:t>
      </w:r>
      <w:r w:rsidRPr="00E07C9A">
        <w:rPr>
          <w:rFonts w:ascii="Times New Roman" w:hAnsi="Times New Roman" w:cs="Times New Roman"/>
          <w:sz w:val="24"/>
        </w:rPr>
        <w:t>bezodplatné dodanie: Prístup IRB</w:t>
      </w:r>
      <w:r w:rsidR="009912F8" w:rsidRPr="00E07C9A">
        <w:rPr>
          <w:rFonts w:ascii="Times New Roman" w:hAnsi="Times New Roman" w:cs="Times New Roman"/>
          <w:sz w:val="24"/>
        </w:rPr>
        <w:t xml:space="preserve"> k </w:t>
      </w:r>
      <w:r w:rsidRPr="00E07C9A">
        <w:rPr>
          <w:rFonts w:ascii="Times New Roman" w:hAnsi="Times New Roman" w:cs="Times New Roman"/>
          <w:sz w:val="24"/>
        </w:rPr>
        <w:t>požiadavkám na vlastné zdroje</w:t>
      </w:r>
      <w:bookmarkEnd w:id="216"/>
      <w:r w:rsidRPr="00E07C9A">
        <w:rPr>
          <w:rFonts w:ascii="Times New Roman" w:hAnsi="Times New Roman" w:cs="Times New Roman"/>
          <w:sz w:val="24"/>
        </w:rPr>
        <w:t xml:space="preserve"> (CR IRB)</w:t>
      </w:r>
      <w:bookmarkEnd w:id="217"/>
      <w:bookmarkEnd w:id="218"/>
    </w:p>
    <w:p w14:paraId="53660F73" w14:textId="77777777" w:rsidR="001C7AB7" w:rsidRPr="00E07C9A" w:rsidRDefault="00125707" w:rsidP="0023700C">
      <w:pPr>
        <w:pStyle w:val="Instructionsberschrift2"/>
        <w:numPr>
          <w:ilvl w:val="0"/>
          <w:numId w:val="0"/>
        </w:numPr>
        <w:ind w:left="357" w:hanging="357"/>
        <w:rPr>
          <w:rFonts w:ascii="Times New Roman" w:hAnsi="Times New Roman" w:cs="Times New Roman"/>
          <w:sz w:val="24"/>
        </w:rPr>
      </w:pPr>
      <w:bookmarkStart w:id="219" w:name="_Toc360188358"/>
      <w:bookmarkStart w:id="220" w:name="_Toc473560907"/>
      <w:bookmarkStart w:id="221" w:name="_Toc115857787"/>
      <w:r w:rsidRPr="00E07C9A">
        <w:rPr>
          <w:rFonts w:ascii="Times New Roman" w:hAnsi="Times New Roman" w:cs="Times New Roman"/>
          <w:sz w:val="24"/>
          <w:u w:val="none"/>
        </w:rPr>
        <w:t>3.3.1.</w:t>
      </w:r>
      <w:r w:rsidRPr="00E07C9A">
        <w:rPr>
          <w:rFonts w:ascii="Times New Roman" w:hAnsi="Times New Roman" w:cs="Times New Roman"/>
          <w:u w:val="none"/>
        </w:rPr>
        <w:tab/>
      </w:r>
      <w:r w:rsidRPr="00E07C9A">
        <w:rPr>
          <w:rFonts w:ascii="Times New Roman" w:hAnsi="Times New Roman" w:cs="Times New Roman"/>
          <w:sz w:val="24"/>
        </w:rPr>
        <w:t>Rozsah vzoru CR IRB</w:t>
      </w:r>
      <w:bookmarkEnd w:id="219"/>
      <w:bookmarkEnd w:id="220"/>
      <w:bookmarkEnd w:id="221"/>
    </w:p>
    <w:p w14:paraId="0D6B8B2B" w14:textId="3A002CB2" w:rsidR="001C7AB7" w:rsidRPr="00E07C9A" w:rsidRDefault="002A18DE" w:rsidP="00487A02">
      <w:pPr>
        <w:pStyle w:val="InstructionsText2"/>
        <w:numPr>
          <w:ilvl w:val="0"/>
          <w:numId w:val="0"/>
        </w:numPr>
        <w:ind w:left="1353" w:hanging="360"/>
      </w:pPr>
      <w:fldSimple w:instr=" seq paragraphs ">
        <w:r w:rsidR="00132AEE">
          <w:rPr>
            <w:noProof/>
          </w:rPr>
          <w:t>72</w:t>
        </w:r>
      </w:fldSimple>
      <w:r w:rsidR="00C3070C" w:rsidRPr="00E07C9A">
        <w:t>.</w:t>
      </w:r>
      <w:r w:rsidR="00C3070C" w:rsidRPr="00E07C9A">
        <w:tab/>
        <w:t>Rozsah vzoru CR IRB sa vzťahuje na:</w:t>
      </w:r>
    </w:p>
    <w:p w14:paraId="71C6A2AC" w14:textId="0875D92C" w:rsidR="001C7AB7" w:rsidRPr="00E07C9A" w:rsidRDefault="00125707" w:rsidP="00487A02">
      <w:pPr>
        <w:pStyle w:val="InstructionsText2"/>
        <w:numPr>
          <w:ilvl w:val="0"/>
          <w:numId w:val="0"/>
        </w:numPr>
        <w:ind w:left="1353" w:hanging="360"/>
      </w:pPr>
      <w:r w:rsidRPr="00E07C9A">
        <w:t>i)</w:t>
      </w:r>
      <w:r w:rsidRPr="00E07C9A">
        <w:tab/>
        <w:t>kreditné riziko</w:t>
      </w:r>
      <w:r w:rsidR="009912F8" w:rsidRPr="00E07C9A">
        <w:t xml:space="preserve"> v </w:t>
      </w:r>
      <w:r w:rsidRPr="00E07C9A">
        <w:t>bankovej knihe vrátane:</w:t>
      </w:r>
    </w:p>
    <w:p w14:paraId="6C5B8735" w14:textId="5AAEA429" w:rsidR="001C7AB7" w:rsidRPr="00E07C9A" w:rsidRDefault="001C7AB7" w:rsidP="005C4397">
      <w:pPr>
        <w:pStyle w:val="InstructionsText2"/>
        <w:numPr>
          <w:ilvl w:val="0"/>
          <w:numId w:val="40"/>
        </w:numPr>
      </w:pPr>
      <w:r w:rsidRPr="00E07C9A">
        <w:t>kreditného rizika protistrany</w:t>
      </w:r>
      <w:r w:rsidR="009912F8" w:rsidRPr="00E07C9A">
        <w:t xml:space="preserve"> v </w:t>
      </w:r>
      <w:r w:rsidRPr="00E07C9A">
        <w:t>bankovej knihe;</w:t>
      </w:r>
    </w:p>
    <w:p w14:paraId="0E5EFDA9" w14:textId="7E6BDFB9" w:rsidR="001C7AB7" w:rsidRPr="00E07C9A" w:rsidRDefault="001C7AB7" w:rsidP="005C4397">
      <w:pPr>
        <w:pStyle w:val="InstructionsText2"/>
        <w:numPr>
          <w:ilvl w:val="0"/>
          <w:numId w:val="40"/>
        </w:numPr>
      </w:pPr>
      <w:r w:rsidRPr="00E07C9A">
        <w:t>rizika zníženia kvality odkúpených pohľadávok</w:t>
      </w:r>
      <w:r w:rsidR="009912F8" w:rsidRPr="00E07C9A">
        <w:t xml:space="preserve"> z </w:t>
      </w:r>
      <w:r w:rsidRPr="00E07C9A">
        <w:t>iných ako kreditných dôvodov;</w:t>
      </w:r>
    </w:p>
    <w:p w14:paraId="6D35E42E" w14:textId="40F0483A" w:rsidR="001C7AB7" w:rsidRPr="00E07C9A" w:rsidRDefault="00125707" w:rsidP="00487A02">
      <w:pPr>
        <w:pStyle w:val="InstructionsText2"/>
        <w:numPr>
          <w:ilvl w:val="0"/>
          <w:numId w:val="0"/>
        </w:numPr>
        <w:ind w:left="1353" w:hanging="360"/>
      </w:pPr>
      <w:r w:rsidRPr="00E07C9A">
        <w:t>ii)</w:t>
      </w:r>
      <w:r w:rsidRPr="00E07C9A">
        <w:tab/>
        <w:t>kreditné riziko protistrany</w:t>
      </w:r>
      <w:r w:rsidR="009912F8" w:rsidRPr="00E07C9A">
        <w:t xml:space="preserve"> v </w:t>
      </w:r>
      <w:r w:rsidRPr="00E07C9A">
        <w:t>obchodnej knihe;</w:t>
      </w:r>
    </w:p>
    <w:p w14:paraId="477FA3DC" w14:textId="77777777" w:rsidR="001C7AB7" w:rsidRPr="00E07C9A" w:rsidRDefault="00125707" w:rsidP="00487A02">
      <w:pPr>
        <w:pStyle w:val="InstructionsText2"/>
        <w:numPr>
          <w:ilvl w:val="0"/>
          <w:numId w:val="0"/>
        </w:numPr>
        <w:ind w:left="1353" w:hanging="360"/>
      </w:pPr>
      <w:r w:rsidRPr="00E07C9A">
        <w:t>iii)</w:t>
      </w:r>
      <w:r w:rsidRPr="00E07C9A">
        <w:tab/>
        <w:t>bezodplatné dodanie vyplývajúce zo všetkých obchodných činností.</w:t>
      </w:r>
    </w:p>
    <w:p w14:paraId="7F636CA4" w14:textId="52F617F1" w:rsidR="009912F8" w:rsidRPr="00E07C9A" w:rsidRDefault="002A18DE" w:rsidP="00487A02">
      <w:pPr>
        <w:pStyle w:val="InstructionsText2"/>
        <w:numPr>
          <w:ilvl w:val="0"/>
          <w:numId w:val="0"/>
        </w:numPr>
        <w:ind w:left="1353" w:hanging="360"/>
      </w:pPr>
      <w:fldSimple w:instr=" seq paragraphs ">
        <w:r w:rsidR="00132AEE">
          <w:rPr>
            <w:noProof/>
          </w:rPr>
          <w:t>73</w:t>
        </w:r>
      </w:fldSimple>
      <w:r w:rsidR="00C3070C" w:rsidRPr="00E07C9A">
        <w:t>.</w:t>
      </w:r>
      <w:r w:rsidR="00C3070C" w:rsidRPr="00E07C9A">
        <w:tab/>
        <w:t>Rozsah vzoru sa vzťahuje na expozície, pre ktoré sa hodnoty rizikovo vážených expozícií vypočítavajú</w:t>
      </w:r>
      <w:r w:rsidR="009912F8" w:rsidRPr="00E07C9A">
        <w:t xml:space="preserve"> v </w:t>
      </w:r>
      <w:r w:rsidR="00C3070C" w:rsidRPr="00E07C9A">
        <w:t>súlade</w:t>
      </w:r>
      <w:r w:rsidR="009912F8" w:rsidRPr="00E07C9A">
        <w:t xml:space="preserve"> s </w:t>
      </w:r>
      <w:r w:rsidR="00C3070C" w:rsidRPr="00E07C9A">
        <w:t xml:space="preserve">treťou časťou hlavou II kapitolou 3 článkami 151 až 157 nariadenia (EÚ) </w:t>
      </w:r>
      <w:r w:rsidR="009912F8" w:rsidRPr="00E07C9A">
        <w:t>č. 575/2013</w:t>
      </w:r>
      <w:r w:rsidR="00C3070C" w:rsidRPr="00E07C9A">
        <w:t xml:space="preserve"> (prístup IRB)</w:t>
      </w:r>
      <w:r w:rsidR="009912F8" w:rsidRPr="00E07C9A">
        <w:t>.</w:t>
      </w:r>
    </w:p>
    <w:p w14:paraId="035E6CC3" w14:textId="3E3DDB6B" w:rsidR="009912F8" w:rsidRPr="00E07C9A" w:rsidRDefault="002A18DE" w:rsidP="00487A02">
      <w:pPr>
        <w:pStyle w:val="InstructionsText2"/>
        <w:numPr>
          <w:ilvl w:val="0"/>
          <w:numId w:val="0"/>
        </w:numPr>
        <w:ind w:left="1353" w:hanging="360"/>
      </w:pPr>
      <w:fldSimple w:instr=" seq paragraphs ">
        <w:r w:rsidR="00132AEE">
          <w:rPr>
            <w:noProof/>
          </w:rPr>
          <w:t>74</w:t>
        </w:r>
      </w:fldSimple>
      <w:r w:rsidR="00C3070C" w:rsidRPr="00E07C9A">
        <w:t>.</w:t>
      </w:r>
      <w:r w:rsidR="00C3070C" w:rsidRPr="00E07C9A">
        <w:tab/>
        <w:t>Vzor CR IRB sa nevzťahuje na tieto údaje</w:t>
      </w:r>
      <w:r w:rsidR="009912F8" w:rsidRPr="00E07C9A">
        <w:t>:</w:t>
      </w:r>
    </w:p>
    <w:p w14:paraId="058A34D2" w14:textId="67C81F1C" w:rsidR="009912F8" w:rsidRPr="00E07C9A" w:rsidRDefault="00125707" w:rsidP="00487A02">
      <w:pPr>
        <w:pStyle w:val="InstructionsText2"/>
        <w:numPr>
          <w:ilvl w:val="0"/>
          <w:numId w:val="0"/>
        </w:numPr>
        <w:ind w:left="1353" w:hanging="360"/>
      </w:pPr>
      <w:r w:rsidRPr="00E07C9A">
        <w:t>i)</w:t>
      </w:r>
      <w:r w:rsidRPr="00E07C9A">
        <w:tab/>
        <w:t>kapitálové expozície, ktoré sa vykazujú vo vzore CR EQU IRB</w:t>
      </w:r>
      <w:r w:rsidR="009912F8" w:rsidRPr="00E07C9A">
        <w:t>;</w:t>
      </w:r>
    </w:p>
    <w:p w14:paraId="254CA575" w14:textId="1E2ED410" w:rsidR="001C7AB7" w:rsidRPr="00E07C9A" w:rsidRDefault="00125707" w:rsidP="00487A02">
      <w:pPr>
        <w:pStyle w:val="InstructionsText2"/>
        <w:numPr>
          <w:ilvl w:val="0"/>
          <w:numId w:val="0"/>
        </w:numPr>
        <w:ind w:left="1353" w:hanging="360"/>
      </w:pPr>
      <w:r w:rsidRPr="00E07C9A">
        <w:t>ii)</w:t>
      </w:r>
      <w:r w:rsidRPr="00E07C9A">
        <w:tab/>
        <w:t>sekuritizačné pozície, ktoré sa vykazujú vo vzore CR SEC a/alebo vo vzore CR SEC Details;</w:t>
      </w:r>
    </w:p>
    <w:p w14:paraId="08743BAB" w14:textId="6FC8D6EC" w:rsidR="001C7AB7" w:rsidRPr="00E07C9A" w:rsidRDefault="00125707" w:rsidP="00487A02">
      <w:pPr>
        <w:pStyle w:val="InstructionsText2"/>
        <w:numPr>
          <w:ilvl w:val="0"/>
          <w:numId w:val="0"/>
        </w:numPr>
        <w:ind w:left="1353" w:hanging="360"/>
      </w:pPr>
      <w:r w:rsidRPr="00E07C9A">
        <w:t>iii)</w:t>
      </w:r>
      <w:r w:rsidRPr="00E07C9A">
        <w:tab/>
        <w:t xml:space="preserve"> „iné aktíva, ktoré nemajú povahu kreditného záväzku“, ako sa uvádza</w:t>
      </w:r>
      <w:r w:rsidR="009912F8" w:rsidRPr="00E07C9A">
        <w:t xml:space="preserve"> v </w:t>
      </w:r>
      <w:r w:rsidRPr="00E07C9A">
        <w:t xml:space="preserve">článku 147 ods. 2 písm. g) nariadenia (EÚ) </w:t>
      </w:r>
      <w:r w:rsidR="009912F8" w:rsidRPr="00E07C9A">
        <w:t>č. 575/2013</w:t>
      </w:r>
      <w:r w:rsidRPr="00E07C9A">
        <w:t>. Riziková váha tejto triedy expozícií sa musí nastaviť na 100</w:t>
      </w:r>
      <w:r w:rsidR="009912F8" w:rsidRPr="00E07C9A">
        <w:t> %</w:t>
      </w:r>
      <w:r w:rsidRPr="00E07C9A">
        <w:t xml:space="preserve"> kedykoľvek okrem hotovosti, rovnocenných hotovostných prostriedkov</w:t>
      </w:r>
      <w:r w:rsidR="009912F8" w:rsidRPr="00E07C9A">
        <w:t xml:space="preserve"> a </w:t>
      </w:r>
      <w:r w:rsidRPr="00E07C9A">
        <w:t>expozícií, ktoré sú zostatkovými hodnotami prenajatého majetku,</w:t>
      </w:r>
      <w:r w:rsidR="009912F8" w:rsidRPr="00E07C9A">
        <w:t xml:space="preserve"> v </w:t>
      </w:r>
      <w:r w:rsidRPr="00E07C9A">
        <w:t>súlade</w:t>
      </w:r>
      <w:r w:rsidR="009912F8" w:rsidRPr="00E07C9A">
        <w:t xml:space="preserve"> s </w:t>
      </w:r>
      <w:r w:rsidRPr="00E07C9A">
        <w:t xml:space="preserve">článkom 156 nariadenia (EÚ) </w:t>
      </w:r>
      <w:r w:rsidR="009912F8" w:rsidRPr="00E07C9A">
        <w:t>č. 575/2013</w:t>
      </w:r>
      <w:r w:rsidRPr="00E07C9A">
        <w:t>. Hodnoty rizikovo vážených expozícií pre túto triedu expozícií sa vykazujú priamo vo vzore CA;</w:t>
      </w:r>
    </w:p>
    <w:p w14:paraId="6E21D181" w14:textId="77777777" w:rsidR="001C7AB7" w:rsidRPr="00E07C9A" w:rsidRDefault="00125707" w:rsidP="00487A02">
      <w:pPr>
        <w:pStyle w:val="InstructionsText2"/>
        <w:numPr>
          <w:ilvl w:val="0"/>
          <w:numId w:val="0"/>
        </w:numPr>
        <w:ind w:left="1353" w:hanging="360"/>
      </w:pPr>
      <w:r w:rsidRPr="00E07C9A">
        <w:t>iv)</w:t>
      </w:r>
      <w:r w:rsidRPr="00E07C9A">
        <w:tab/>
        <w:t>riziko úpravy ocenenia pohľadávok, ktoré sa vykazuje vo vzore pre riziko CVA.</w:t>
      </w:r>
    </w:p>
    <w:p w14:paraId="0C38345B" w14:textId="77777777" w:rsidR="009912F8" w:rsidRPr="00E07C9A" w:rsidRDefault="001C7AB7" w:rsidP="001235ED">
      <w:pPr>
        <w:pStyle w:val="InstructionsText2"/>
        <w:numPr>
          <w:ilvl w:val="0"/>
          <w:numId w:val="0"/>
        </w:numPr>
        <w:ind w:left="1418"/>
      </w:pPr>
      <w:r w:rsidRPr="00E07C9A">
        <w:t>Vo vzore CR IRB sa nevyžaduje geografické rozčlenenie expozícií IRB podľa sídla protistrany. Toto rozčlenenie sa vykazuje vo vzore CR GB</w:t>
      </w:r>
      <w:r w:rsidR="009912F8" w:rsidRPr="00E07C9A">
        <w:t>.</w:t>
      </w:r>
    </w:p>
    <w:p w14:paraId="20E49C52" w14:textId="533854FF" w:rsidR="00FA641C" w:rsidRPr="00E07C9A" w:rsidRDefault="00FA641C" w:rsidP="001235ED">
      <w:pPr>
        <w:autoSpaceDE w:val="0"/>
        <w:autoSpaceDN w:val="0"/>
        <w:adjustRightInd w:val="0"/>
        <w:spacing w:before="0" w:after="240"/>
        <w:ind w:left="1418"/>
        <w:jc w:val="left"/>
        <w:rPr>
          <w:rFonts w:ascii="Times New Roman" w:hAnsi="Times New Roman"/>
          <w:sz w:val="24"/>
        </w:rPr>
      </w:pPr>
      <w:r w:rsidRPr="00E07C9A">
        <w:rPr>
          <w:rFonts w:ascii="Times New Roman" w:hAnsi="Times New Roman"/>
          <w:sz w:val="24"/>
        </w:rPr>
        <w:t>Body i)</w:t>
      </w:r>
      <w:r w:rsidR="009912F8" w:rsidRPr="00E07C9A">
        <w:rPr>
          <w:rFonts w:ascii="Times New Roman" w:hAnsi="Times New Roman"/>
          <w:sz w:val="24"/>
        </w:rPr>
        <w:t xml:space="preserve"> a </w:t>
      </w:r>
      <w:r w:rsidRPr="00E07C9A">
        <w:rPr>
          <w:rFonts w:ascii="Times New Roman" w:hAnsi="Times New Roman"/>
          <w:sz w:val="24"/>
        </w:rPr>
        <w:t>iii) sa nevzťahujú na vzor CR IRB 7.</w:t>
      </w:r>
    </w:p>
    <w:p w14:paraId="7D4DC8CE" w14:textId="2DDF345E" w:rsidR="001C7AB7" w:rsidRPr="00E07C9A" w:rsidRDefault="002A18DE" w:rsidP="00487A02">
      <w:pPr>
        <w:pStyle w:val="InstructionsText2"/>
        <w:numPr>
          <w:ilvl w:val="0"/>
          <w:numId w:val="0"/>
        </w:numPr>
        <w:ind w:left="1353" w:hanging="360"/>
      </w:pPr>
      <w:fldSimple w:instr=" seq paragraphs ">
        <w:r w:rsidR="00132AEE">
          <w:rPr>
            <w:noProof/>
          </w:rPr>
          <w:t>75</w:t>
        </w:r>
      </w:fldSimple>
      <w:r w:rsidR="00C3070C" w:rsidRPr="00E07C9A">
        <w:t>.</w:t>
      </w:r>
      <w:r w:rsidR="00C3070C" w:rsidRPr="00E07C9A">
        <w:tab/>
        <w:t>Na vyjasnenie toho, či inštitúcia používa svoje vlastné odhady LGD a/alebo konverzných faktorov úverov, sa pre každú vykazovanú triedu expozícií uvádzajú tieto informácie:</w:t>
      </w:r>
    </w:p>
    <w:p w14:paraId="2C1D90EE" w14:textId="2D775965" w:rsidR="001C7AB7" w:rsidRPr="00E07C9A" w:rsidRDefault="001C7AB7" w:rsidP="00167619">
      <w:pPr>
        <w:autoSpaceDE w:val="0"/>
        <w:autoSpaceDN w:val="0"/>
        <w:adjustRightInd w:val="0"/>
        <w:spacing w:before="0" w:after="240"/>
        <w:ind w:left="993"/>
        <w:jc w:val="left"/>
        <w:rPr>
          <w:rFonts w:ascii="Times New Roman" w:hAnsi="Times New Roman"/>
          <w:sz w:val="24"/>
        </w:rPr>
      </w:pPr>
      <w:r w:rsidRPr="00E07C9A">
        <w:rPr>
          <w:rFonts w:ascii="Times New Roman" w:hAnsi="Times New Roman"/>
          <w:sz w:val="24"/>
        </w:rPr>
        <w:t>„NIE“ =</w:t>
      </w:r>
      <w:r w:rsidR="009912F8" w:rsidRPr="00E07C9A">
        <w:rPr>
          <w:rFonts w:ascii="Times New Roman" w:hAnsi="Times New Roman"/>
          <w:sz w:val="24"/>
        </w:rPr>
        <w:t xml:space="preserve"> v </w:t>
      </w:r>
      <w:r w:rsidRPr="00E07C9A">
        <w:rPr>
          <w:rFonts w:ascii="Times New Roman" w:hAnsi="Times New Roman"/>
          <w:sz w:val="24"/>
        </w:rPr>
        <w:t>prípade používania odhadov LGD</w:t>
      </w:r>
      <w:r w:rsidR="009912F8" w:rsidRPr="00E07C9A">
        <w:rPr>
          <w:rFonts w:ascii="Times New Roman" w:hAnsi="Times New Roman"/>
          <w:sz w:val="24"/>
        </w:rPr>
        <w:t xml:space="preserve"> a </w:t>
      </w:r>
      <w:r w:rsidRPr="00E07C9A">
        <w:rPr>
          <w:rFonts w:ascii="Times New Roman" w:hAnsi="Times New Roman"/>
          <w:sz w:val="24"/>
        </w:rPr>
        <w:t>konverzných faktorov úverov od orgánov dohľadu (základný IRB)</w:t>
      </w:r>
    </w:p>
    <w:p w14:paraId="054DCB50" w14:textId="4FBF1B5D" w:rsidR="001C7AB7" w:rsidRPr="00E07C9A" w:rsidRDefault="001C7AB7" w:rsidP="00AF3C69">
      <w:pPr>
        <w:autoSpaceDE w:val="0"/>
        <w:autoSpaceDN w:val="0"/>
        <w:adjustRightInd w:val="0"/>
        <w:spacing w:before="0" w:after="240"/>
        <w:ind w:left="993"/>
        <w:jc w:val="left"/>
        <w:rPr>
          <w:rFonts w:ascii="Times New Roman" w:hAnsi="Times New Roman"/>
          <w:sz w:val="24"/>
        </w:rPr>
      </w:pPr>
      <w:r w:rsidRPr="00E07C9A">
        <w:rPr>
          <w:rFonts w:ascii="Times New Roman" w:hAnsi="Times New Roman"/>
          <w:sz w:val="24"/>
        </w:rPr>
        <w:t>„ÁNO“ =</w:t>
      </w:r>
      <w:r w:rsidR="009912F8" w:rsidRPr="00E07C9A">
        <w:rPr>
          <w:rFonts w:ascii="Times New Roman" w:hAnsi="Times New Roman"/>
          <w:sz w:val="24"/>
        </w:rPr>
        <w:t xml:space="preserve"> v </w:t>
      </w:r>
      <w:r w:rsidRPr="00E07C9A">
        <w:rPr>
          <w:rFonts w:ascii="Times New Roman" w:hAnsi="Times New Roman"/>
          <w:sz w:val="24"/>
        </w:rPr>
        <w:t>prípade používania vlastných odhadov LGD</w:t>
      </w:r>
      <w:r w:rsidR="009912F8" w:rsidRPr="00E07C9A">
        <w:rPr>
          <w:rFonts w:ascii="Times New Roman" w:hAnsi="Times New Roman"/>
          <w:sz w:val="24"/>
        </w:rPr>
        <w:t xml:space="preserve"> a </w:t>
      </w:r>
      <w:r w:rsidRPr="00E07C9A">
        <w:rPr>
          <w:rFonts w:ascii="Times New Roman" w:hAnsi="Times New Roman"/>
          <w:sz w:val="24"/>
        </w:rPr>
        <w:t>konverzných faktorov úverov (pokročilý IRB) Zahŕňa to všetky retailové portfóliá.</w:t>
      </w:r>
    </w:p>
    <w:p w14:paraId="147D6F2B" w14:textId="4A73F879" w:rsidR="001C7AB7" w:rsidRPr="00E07C9A" w:rsidRDefault="001C7AB7" w:rsidP="00167619">
      <w:pPr>
        <w:autoSpaceDE w:val="0"/>
        <w:autoSpaceDN w:val="0"/>
        <w:adjustRightInd w:val="0"/>
        <w:spacing w:before="0" w:after="240"/>
        <w:ind w:left="993"/>
        <w:jc w:val="left"/>
        <w:rPr>
          <w:rFonts w:ascii="Times New Roman" w:hAnsi="Times New Roman"/>
          <w:sz w:val="24"/>
        </w:rPr>
      </w:pPr>
      <w:r w:rsidRPr="00E07C9A">
        <w:rPr>
          <w:rFonts w:ascii="Times New Roman" w:hAnsi="Times New Roman"/>
          <w:sz w:val="24"/>
        </w:rPr>
        <w:t xml:space="preserve">Keď inštitúcia používa vlastné odhady LGD na výpočet </w:t>
      </w:r>
      <w:r w:rsidRPr="00E07C9A">
        <w:rPr>
          <w:rStyle w:val="InstructionsTabelleText"/>
          <w:rFonts w:ascii="Times New Roman" w:hAnsi="Times New Roman"/>
          <w:sz w:val="24"/>
        </w:rPr>
        <w:t>hodnôt rizikovo vážených expozícií</w:t>
      </w:r>
      <w:r w:rsidRPr="00E07C9A">
        <w:rPr>
          <w:rFonts w:ascii="Times New Roman" w:hAnsi="Times New Roman"/>
          <w:sz w:val="24"/>
        </w:rPr>
        <w:t xml:space="preserve"> pre časť svojich expozícií IRB, ako aj LGD od orgánov dohľadu na výpočet </w:t>
      </w:r>
      <w:r w:rsidRPr="00E07C9A">
        <w:rPr>
          <w:rStyle w:val="InstructionsTabelleText"/>
          <w:rFonts w:ascii="Times New Roman" w:hAnsi="Times New Roman"/>
          <w:sz w:val="24"/>
        </w:rPr>
        <w:t>hodnôt rizikovo vážených expozícií</w:t>
      </w:r>
      <w:r w:rsidRPr="00E07C9A">
        <w:rPr>
          <w:rFonts w:ascii="Times New Roman" w:hAnsi="Times New Roman"/>
          <w:sz w:val="24"/>
        </w:rPr>
        <w:t xml:space="preserve"> pre zvyšnú časť svojich expozícií IRB, vypĺňajú sa vzory CR IRB spolu pre F-IRB pozície</w:t>
      </w:r>
      <w:r w:rsidR="009912F8" w:rsidRPr="00E07C9A">
        <w:rPr>
          <w:rFonts w:ascii="Times New Roman" w:hAnsi="Times New Roman"/>
          <w:sz w:val="24"/>
        </w:rPr>
        <w:t xml:space="preserve"> a </w:t>
      </w:r>
      <w:r w:rsidRPr="00E07C9A">
        <w:rPr>
          <w:rFonts w:ascii="Times New Roman" w:hAnsi="Times New Roman"/>
          <w:sz w:val="24"/>
        </w:rPr>
        <w:t>jeden vzor CR IRB spolu pre A-IRB pozície.</w:t>
      </w:r>
    </w:p>
    <w:p w14:paraId="2B1E7374" w14:textId="77777777" w:rsidR="001C7AB7" w:rsidRPr="00E07C9A" w:rsidRDefault="00125707" w:rsidP="0023700C">
      <w:pPr>
        <w:pStyle w:val="Instructionsberschrift2"/>
        <w:numPr>
          <w:ilvl w:val="0"/>
          <w:numId w:val="0"/>
        </w:numPr>
        <w:ind w:left="357" w:hanging="357"/>
        <w:rPr>
          <w:rFonts w:ascii="Times New Roman" w:hAnsi="Times New Roman" w:cs="Times New Roman"/>
          <w:sz w:val="24"/>
        </w:rPr>
      </w:pPr>
      <w:bookmarkStart w:id="222" w:name="_Toc262568037"/>
      <w:bookmarkStart w:id="223" w:name="_Toc264038435"/>
      <w:bookmarkStart w:id="224" w:name="_Toc295829865"/>
      <w:bookmarkStart w:id="225" w:name="_Toc308155142"/>
      <w:bookmarkStart w:id="226" w:name="_Toc310415028"/>
      <w:bookmarkStart w:id="227" w:name="_Toc360188359"/>
      <w:bookmarkStart w:id="228" w:name="_Toc473560908"/>
      <w:bookmarkStart w:id="229" w:name="_Toc115857788"/>
      <w:r w:rsidRPr="00E07C9A">
        <w:rPr>
          <w:rFonts w:ascii="Times New Roman" w:hAnsi="Times New Roman" w:cs="Times New Roman"/>
          <w:sz w:val="24"/>
          <w:u w:val="none"/>
        </w:rPr>
        <w:t>3.3.2.</w:t>
      </w:r>
      <w:r w:rsidRPr="00E07C9A">
        <w:rPr>
          <w:rFonts w:ascii="Times New Roman" w:hAnsi="Times New Roman" w:cs="Times New Roman"/>
          <w:u w:val="none"/>
        </w:rPr>
        <w:tab/>
      </w:r>
      <w:r w:rsidRPr="00E07C9A">
        <w:rPr>
          <w:rFonts w:ascii="Times New Roman" w:hAnsi="Times New Roman" w:cs="Times New Roman"/>
          <w:sz w:val="24"/>
        </w:rPr>
        <w:t>Prehľad vzoru CR IRB</w:t>
      </w:r>
      <w:bookmarkEnd w:id="222"/>
      <w:bookmarkEnd w:id="223"/>
      <w:bookmarkEnd w:id="224"/>
      <w:bookmarkEnd w:id="225"/>
      <w:bookmarkEnd w:id="226"/>
      <w:bookmarkEnd w:id="227"/>
      <w:bookmarkEnd w:id="228"/>
      <w:bookmarkEnd w:id="229"/>
    </w:p>
    <w:p w14:paraId="4A3FF0C6" w14:textId="09566DE9" w:rsidR="001C7AB7" w:rsidRPr="00E07C9A" w:rsidRDefault="002A18DE" w:rsidP="00487A02">
      <w:pPr>
        <w:pStyle w:val="InstructionsText2"/>
        <w:numPr>
          <w:ilvl w:val="0"/>
          <w:numId w:val="0"/>
        </w:numPr>
        <w:ind w:left="1353" w:hanging="360"/>
      </w:pPr>
      <w:fldSimple w:instr=" seq paragraphs ">
        <w:r w:rsidR="00132AEE">
          <w:rPr>
            <w:noProof/>
          </w:rPr>
          <w:t>76</w:t>
        </w:r>
      </w:fldSimple>
      <w:r w:rsidR="00C3070C" w:rsidRPr="00E07C9A">
        <w:t>.</w:t>
      </w:r>
      <w:r w:rsidR="00C3070C" w:rsidRPr="00E07C9A">
        <w:tab/>
        <w:t>Vzor CR IRB tvorí sedem vzorov. Vzor CR IRB 1 poskytuje všeobecný prehľad expozícií IRB</w:t>
      </w:r>
      <w:r w:rsidR="009912F8" w:rsidRPr="00E07C9A">
        <w:t xml:space="preserve"> a </w:t>
      </w:r>
      <w:r w:rsidR="00C3070C" w:rsidRPr="00E07C9A">
        <w:t>rôznych metód výpočtu hodnôt rizikovo vážených expozícií, ako aj rozčlenenie celkových expozícií podľa druhov expozícií. Vo vzore CR IRB 2 sa uvádza rozčlenenie celkových expozícií zaradených do ratingových stupňov alebo skupín dlžníkov (expozície vykazované</w:t>
      </w:r>
      <w:r w:rsidR="009912F8" w:rsidRPr="00E07C9A">
        <w:t xml:space="preserve"> v </w:t>
      </w:r>
      <w:r w:rsidR="00C3070C" w:rsidRPr="00E07C9A">
        <w:t>rámci riadku 0070 vzoru CR IRB 1). Vzor CR IRB 3 poskytuje všetky príslušné parametre použité na výpočet kapitálových požiadaviek na kreditné riziko pre modely IRB. Vzor CR IRB 4 obsahuje výkaz peňažných tokov,</w:t>
      </w:r>
      <w:r w:rsidR="009912F8" w:rsidRPr="00E07C9A">
        <w:t xml:space="preserve"> v </w:t>
      </w:r>
      <w:r w:rsidR="00C3070C" w:rsidRPr="00E07C9A">
        <w:t>ktorom sa vysvetľujú zmeny hodnôt rizikovo vážených expozícií, ktoré boli určené podľa prístupu IRB pre kreditné riziko. Vzor CR IRB 5 poskytuje informácie</w:t>
      </w:r>
      <w:r w:rsidR="009912F8" w:rsidRPr="00E07C9A">
        <w:t xml:space="preserve"> o </w:t>
      </w:r>
      <w:r w:rsidR="00C3070C" w:rsidRPr="00E07C9A">
        <w:t>výsledkoch spätného testovania PD pre vykazované modely. Vzor CR IRB 6 poskytuje všetky príslušné parametre použité na výpočet kapitálových požiadaviek na kreditné riziko podľa kritérií na zaradenie špecializovaného financovania. Vzor CR IRB 7 poskytuje prehľad</w:t>
      </w:r>
      <w:r w:rsidR="009912F8" w:rsidRPr="00E07C9A">
        <w:t xml:space="preserve"> o </w:t>
      </w:r>
      <w:r w:rsidR="00C3070C" w:rsidRPr="00E07C9A">
        <w:t>percentuálnom podiele hodnoty expozície, na ktorú sa vzťahuje prístup SA alebo prístup IRB, pre každú príslušnú triedu expozícií. Vzory CR IRB 1, CR IRB 2, CR IRB 3</w:t>
      </w:r>
      <w:r w:rsidR="009912F8" w:rsidRPr="00E07C9A">
        <w:t xml:space="preserve"> a </w:t>
      </w:r>
      <w:r w:rsidR="00C3070C" w:rsidRPr="00E07C9A">
        <w:t>CR IRB 5 sa vykazujú osobitne pre tieto triedy expozícií</w:t>
      </w:r>
      <w:r w:rsidR="009912F8" w:rsidRPr="00E07C9A">
        <w:t xml:space="preserve"> a </w:t>
      </w:r>
      <w:r w:rsidR="00C3070C" w:rsidRPr="00E07C9A">
        <w:t>podexpozícií:</w:t>
      </w:r>
    </w:p>
    <w:p w14:paraId="1204A849" w14:textId="77777777" w:rsidR="001C7AB7" w:rsidRPr="00E07C9A" w:rsidRDefault="001C7AB7" w:rsidP="001C7AB7">
      <w:pPr>
        <w:autoSpaceDE w:val="0"/>
        <w:autoSpaceDN w:val="0"/>
        <w:adjustRightInd w:val="0"/>
        <w:spacing w:before="0" w:after="0"/>
        <w:ind w:left="1428" w:hanging="720"/>
        <w:jc w:val="left"/>
        <w:rPr>
          <w:rFonts w:ascii="Times New Roman" w:hAnsi="Times New Roman"/>
          <w:sz w:val="24"/>
        </w:rPr>
      </w:pPr>
      <w:r w:rsidRPr="00E07C9A">
        <w:rPr>
          <w:rFonts w:ascii="Times New Roman" w:hAnsi="Times New Roman"/>
          <w:sz w:val="24"/>
        </w:rPr>
        <w:t>1.</w:t>
      </w:r>
      <w:r w:rsidRPr="00E07C9A">
        <w:rPr>
          <w:rFonts w:ascii="Times New Roman" w:hAnsi="Times New Roman"/>
        </w:rPr>
        <w:tab/>
      </w:r>
      <w:r w:rsidRPr="00E07C9A">
        <w:rPr>
          <w:rFonts w:ascii="Times New Roman" w:hAnsi="Times New Roman"/>
          <w:sz w:val="24"/>
        </w:rPr>
        <w:t>Spolu</w:t>
      </w:r>
    </w:p>
    <w:p w14:paraId="57B8AF84" w14:textId="2F7D1AFD" w:rsidR="001C7AB7" w:rsidRPr="00E07C9A" w:rsidRDefault="001C7AB7" w:rsidP="001C7AB7">
      <w:pPr>
        <w:autoSpaceDE w:val="0"/>
        <w:autoSpaceDN w:val="0"/>
        <w:adjustRightInd w:val="0"/>
        <w:spacing w:before="0" w:after="0"/>
        <w:ind w:left="1428" w:hanging="720"/>
        <w:jc w:val="left"/>
        <w:rPr>
          <w:rFonts w:ascii="Times New Roman" w:hAnsi="Times New Roman"/>
          <w:sz w:val="24"/>
        </w:rPr>
      </w:pPr>
      <w:r w:rsidRPr="00E07C9A">
        <w:rPr>
          <w:rFonts w:ascii="Times New Roman" w:hAnsi="Times New Roman"/>
        </w:rPr>
        <w:tab/>
      </w:r>
      <w:r w:rsidRPr="00E07C9A">
        <w:rPr>
          <w:rFonts w:ascii="Times New Roman" w:hAnsi="Times New Roman"/>
          <w:sz w:val="24"/>
        </w:rPr>
        <w:t>(Vzor Spolu sa musí vykazovať pre základný prístup IRB</w:t>
      </w:r>
      <w:r w:rsidR="009912F8" w:rsidRPr="00E07C9A">
        <w:rPr>
          <w:rFonts w:ascii="Times New Roman" w:hAnsi="Times New Roman"/>
          <w:sz w:val="24"/>
        </w:rPr>
        <w:t xml:space="preserve"> a </w:t>
      </w:r>
      <w:r w:rsidRPr="00E07C9A">
        <w:rPr>
          <w:rFonts w:ascii="Times New Roman" w:hAnsi="Times New Roman"/>
          <w:sz w:val="24"/>
        </w:rPr>
        <w:t>osobitne pre pokročilý prístup IRB.)</w:t>
      </w:r>
    </w:p>
    <w:p w14:paraId="4A4FE6BC" w14:textId="77777777" w:rsidR="009912F8" w:rsidRPr="00E07C9A" w:rsidRDefault="001C7AB7" w:rsidP="001C7AB7">
      <w:pPr>
        <w:autoSpaceDE w:val="0"/>
        <w:autoSpaceDN w:val="0"/>
        <w:adjustRightInd w:val="0"/>
        <w:spacing w:before="0" w:after="0"/>
        <w:ind w:left="1428" w:hanging="720"/>
        <w:jc w:val="left"/>
        <w:rPr>
          <w:rFonts w:ascii="Times New Roman" w:hAnsi="Times New Roman"/>
          <w:sz w:val="24"/>
        </w:rPr>
      </w:pPr>
      <w:r w:rsidRPr="00E07C9A">
        <w:rPr>
          <w:rFonts w:ascii="Times New Roman" w:hAnsi="Times New Roman"/>
          <w:sz w:val="24"/>
        </w:rPr>
        <w:t>2.</w:t>
      </w:r>
      <w:r w:rsidRPr="00E07C9A">
        <w:rPr>
          <w:rFonts w:ascii="Times New Roman" w:hAnsi="Times New Roman"/>
        </w:rPr>
        <w:tab/>
      </w:r>
      <w:r w:rsidRPr="00E07C9A">
        <w:rPr>
          <w:rFonts w:ascii="Times New Roman" w:hAnsi="Times New Roman"/>
          <w:sz w:val="24"/>
        </w:rPr>
        <w:t>Ústredné vlády</w:t>
      </w:r>
      <w:r w:rsidR="009912F8" w:rsidRPr="00E07C9A">
        <w:rPr>
          <w:rFonts w:ascii="Times New Roman" w:hAnsi="Times New Roman"/>
          <w:sz w:val="24"/>
        </w:rPr>
        <w:t xml:space="preserve"> a </w:t>
      </w:r>
      <w:r w:rsidRPr="00E07C9A">
        <w:rPr>
          <w:rFonts w:ascii="Times New Roman" w:hAnsi="Times New Roman"/>
          <w:sz w:val="24"/>
        </w:rPr>
        <w:t>centrálne banky</w:t>
      </w:r>
    </w:p>
    <w:p w14:paraId="19FD4BF4" w14:textId="5CC04935" w:rsidR="001C7AB7" w:rsidRPr="00E07C9A" w:rsidRDefault="001C7AB7" w:rsidP="001C7AB7">
      <w:pPr>
        <w:autoSpaceDE w:val="0"/>
        <w:autoSpaceDN w:val="0"/>
        <w:adjustRightInd w:val="0"/>
        <w:spacing w:before="0" w:after="0"/>
        <w:ind w:left="1428"/>
        <w:jc w:val="left"/>
        <w:rPr>
          <w:rFonts w:ascii="Times New Roman" w:hAnsi="Times New Roman"/>
          <w:sz w:val="24"/>
        </w:rPr>
      </w:pPr>
      <w:r w:rsidRPr="00E07C9A">
        <w:rPr>
          <w:rFonts w:ascii="Times New Roman" w:hAnsi="Times New Roman"/>
          <w:sz w:val="24"/>
        </w:rPr>
        <w:t xml:space="preserve">[Článok 147 ods. 2 písm. a) nariadenia (EÚ) </w:t>
      </w:r>
      <w:r w:rsidR="009912F8" w:rsidRPr="00E07C9A">
        <w:rPr>
          <w:rFonts w:ascii="Times New Roman" w:hAnsi="Times New Roman"/>
          <w:sz w:val="24"/>
        </w:rPr>
        <w:t>č. 575/2013</w:t>
      </w:r>
      <w:r w:rsidRPr="00E07C9A">
        <w:rPr>
          <w:rFonts w:ascii="Times New Roman" w:hAnsi="Times New Roman"/>
          <w:sz w:val="24"/>
        </w:rPr>
        <w:t>]</w:t>
      </w:r>
    </w:p>
    <w:p w14:paraId="2557891D" w14:textId="77777777" w:rsidR="001C7AB7" w:rsidRPr="00E07C9A" w:rsidRDefault="001C7AB7" w:rsidP="001C7AB7">
      <w:pPr>
        <w:autoSpaceDE w:val="0"/>
        <w:autoSpaceDN w:val="0"/>
        <w:adjustRightInd w:val="0"/>
        <w:spacing w:before="0" w:after="0"/>
        <w:ind w:left="708"/>
        <w:rPr>
          <w:rFonts w:ascii="Times New Roman" w:hAnsi="Times New Roman"/>
          <w:sz w:val="24"/>
        </w:rPr>
      </w:pPr>
      <w:r w:rsidRPr="00E07C9A">
        <w:rPr>
          <w:rFonts w:ascii="Times New Roman" w:hAnsi="Times New Roman"/>
          <w:sz w:val="24"/>
        </w:rPr>
        <w:t>3.</w:t>
      </w:r>
      <w:r w:rsidRPr="00E07C9A">
        <w:rPr>
          <w:rFonts w:ascii="Times New Roman" w:hAnsi="Times New Roman"/>
        </w:rPr>
        <w:tab/>
      </w:r>
      <w:r w:rsidRPr="00E07C9A">
        <w:rPr>
          <w:rFonts w:ascii="Times New Roman" w:hAnsi="Times New Roman"/>
          <w:sz w:val="24"/>
        </w:rPr>
        <w:t>Inštitúcie</w:t>
      </w:r>
    </w:p>
    <w:p w14:paraId="2A33DD3A" w14:textId="4B4A701A" w:rsidR="001C7AB7" w:rsidRPr="00E07C9A" w:rsidRDefault="001C7AB7" w:rsidP="001C7AB7">
      <w:pPr>
        <w:autoSpaceDE w:val="0"/>
        <w:autoSpaceDN w:val="0"/>
        <w:adjustRightInd w:val="0"/>
        <w:spacing w:before="0" w:after="0"/>
        <w:ind w:left="708" w:firstLine="720"/>
        <w:rPr>
          <w:rFonts w:ascii="Times New Roman" w:hAnsi="Times New Roman"/>
          <w:sz w:val="24"/>
        </w:rPr>
      </w:pPr>
      <w:r w:rsidRPr="00E07C9A">
        <w:rPr>
          <w:rFonts w:ascii="Times New Roman" w:hAnsi="Times New Roman"/>
          <w:sz w:val="24"/>
        </w:rPr>
        <w:t xml:space="preserve">[Článok 147 ods. 2 písm. b) nariadenia (EÚ) </w:t>
      </w:r>
      <w:r w:rsidR="009912F8" w:rsidRPr="00E07C9A">
        <w:rPr>
          <w:rFonts w:ascii="Times New Roman" w:hAnsi="Times New Roman"/>
          <w:sz w:val="24"/>
        </w:rPr>
        <w:t>č. 575/2013</w:t>
      </w:r>
      <w:r w:rsidRPr="00E07C9A">
        <w:rPr>
          <w:rFonts w:ascii="Times New Roman" w:hAnsi="Times New Roman"/>
          <w:sz w:val="24"/>
        </w:rPr>
        <w:t>]</w:t>
      </w:r>
    </w:p>
    <w:p w14:paraId="22BABCAF" w14:textId="77777777" w:rsidR="001C7AB7" w:rsidRPr="00E07C9A" w:rsidRDefault="001C7AB7" w:rsidP="001C7AB7">
      <w:pPr>
        <w:autoSpaceDE w:val="0"/>
        <w:autoSpaceDN w:val="0"/>
        <w:adjustRightInd w:val="0"/>
        <w:spacing w:before="0" w:after="0"/>
        <w:ind w:left="1428" w:hanging="720"/>
        <w:jc w:val="left"/>
        <w:rPr>
          <w:rFonts w:ascii="Times New Roman" w:hAnsi="Times New Roman"/>
          <w:sz w:val="24"/>
        </w:rPr>
      </w:pPr>
      <w:r w:rsidRPr="00E07C9A">
        <w:rPr>
          <w:rFonts w:ascii="Times New Roman" w:hAnsi="Times New Roman"/>
          <w:sz w:val="24"/>
        </w:rPr>
        <w:t>4.1.</w:t>
      </w:r>
      <w:r w:rsidRPr="00E07C9A">
        <w:rPr>
          <w:rFonts w:ascii="Times New Roman" w:hAnsi="Times New Roman"/>
        </w:rPr>
        <w:tab/>
      </w:r>
      <w:r w:rsidRPr="00E07C9A">
        <w:rPr>
          <w:rFonts w:ascii="Times New Roman" w:hAnsi="Times New Roman"/>
          <w:sz w:val="24"/>
        </w:rPr>
        <w:t>Podnikateľské subjekty – MSP</w:t>
      </w:r>
    </w:p>
    <w:p w14:paraId="3CF8E297" w14:textId="0DDCFE60" w:rsidR="009912F8" w:rsidRPr="00E07C9A" w:rsidRDefault="001C7AB7" w:rsidP="001C7AB7">
      <w:pPr>
        <w:autoSpaceDE w:val="0"/>
        <w:autoSpaceDN w:val="0"/>
        <w:adjustRightInd w:val="0"/>
        <w:spacing w:before="0" w:after="0"/>
        <w:ind w:left="1428"/>
        <w:jc w:val="left"/>
        <w:rPr>
          <w:rFonts w:ascii="Times New Roman" w:hAnsi="Times New Roman"/>
          <w:sz w:val="24"/>
        </w:rPr>
      </w:pPr>
      <w:r w:rsidRPr="00E07C9A">
        <w:rPr>
          <w:rFonts w:ascii="Times New Roman" w:hAnsi="Times New Roman"/>
          <w:sz w:val="24"/>
        </w:rPr>
        <w:t xml:space="preserve">[Článok 147 ods. 2 písm. c) nariadenia (EÚ) </w:t>
      </w:r>
      <w:r w:rsidR="009912F8" w:rsidRPr="00E07C9A">
        <w:rPr>
          <w:rFonts w:ascii="Times New Roman" w:hAnsi="Times New Roman"/>
          <w:sz w:val="24"/>
        </w:rPr>
        <w:t>č. 575/2013</w:t>
      </w:r>
      <w:r w:rsidRPr="00E07C9A">
        <w:rPr>
          <w:rFonts w:ascii="Times New Roman" w:hAnsi="Times New Roman"/>
          <w:sz w:val="24"/>
        </w:rPr>
        <w:t>] Na účely klasifikácie do tejto triedy podexpozícií používajú vykazujúce subjekty svoju internú definíciu MSP, ako sa uplatňuje</w:t>
      </w:r>
      <w:r w:rsidR="009912F8" w:rsidRPr="00E07C9A">
        <w:rPr>
          <w:rFonts w:ascii="Times New Roman" w:hAnsi="Times New Roman"/>
          <w:sz w:val="24"/>
        </w:rPr>
        <w:t xml:space="preserve"> v </w:t>
      </w:r>
      <w:r w:rsidRPr="00E07C9A">
        <w:rPr>
          <w:rFonts w:ascii="Times New Roman" w:hAnsi="Times New Roman"/>
          <w:sz w:val="24"/>
        </w:rPr>
        <w:t>interných procesoch riadenia rizík</w:t>
      </w:r>
      <w:r w:rsidR="009912F8" w:rsidRPr="00E07C9A">
        <w:rPr>
          <w:rFonts w:ascii="Times New Roman" w:hAnsi="Times New Roman"/>
          <w:sz w:val="24"/>
        </w:rPr>
        <w:t>.</w:t>
      </w:r>
    </w:p>
    <w:p w14:paraId="278AB9B6" w14:textId="633D2D1F" w:rsidR="001C7AB7" w:rsidRPr="00E07C9A" w:rsidRDefault="001C7AB7" w:rsidP="001C7AB7">
      <w:pPr>
        <w:autoSpaceDE w:val="0"/>
        <w:autoSpaceDN w:val="0"/>
        <w:adjustRightInd w:val="0"/>
        <w:spacing w:before="0" w:after="0"/>
        <w:ind w:left="708"/>
        <w:jc w:val="left"/>
        <w:rPr>
          <w:rFonts w:ascii="Times New Roman" w:hAnsi="Times New Roman"/>
          <w:sz w:val="24"/>
        </w:rPr>
      </w:pPr>
      <w:r w:rsidRPr="00E07C9A">
        <w:rPr>
          <w:rFonts w:ascii="Times New Roman" w:hAnsi="Times New Roman"/>
          <w:sz w:val="24"/>
        </w:rPr>
        <w:t>4.2.</w:t>
      </w:r>
      <w:r w:rsidRPr="00E07C9A">
        <w:rPr>
          <w:rFonts w:ascii="Times New Roman" w:hAnsi="Times New Roman"/>
        </w:rPr>
        <w:tab/>
      </w:r>
      <w:r w:rsidRPr="00E07C9A">
        <w:rPr>
          <w:rFonts w:ascii="Times New Roman" w:hAnsi="Times New Roman"/>
          <w:sz w:val="24"/>
        </w:rPr>
        <w:t>Podnikateľské subjekty – špecializované financovanie</w:t>
      </w:r>
    </w:p>
    <w:p w14:paraId="1003485F" w14:textId="08C848A3" w:rsidR="001C7AB7" w:rsidRPr="00E07C9A" w:rsidRDefault="001C7AB7" w:rsidP="001C7AB7">
      <w:pPr>
        <w:autoSpaceDE w:val="0"/>
        <w:autoSpaceDN w:val="0"/>
        <w:adjustRightInd w:val="0"/>
        <w:spacing w:before="0" w:after="0"/>
        <w:ind w:left="1428"/>
        <w:jc w:val="left"/>
        <w:rPr>
          <w:rFonts w:ascii="Times New Roman" w:hAnsi="Times New Roman"/>
          <w:sz w:val="24"/>
        </w:rPr>
      </w:pPr>
      <w:r w:rsidRPr="00E07C9A">
        <w:rPr>
          <w:rFonts w:ascii="Times New Roman" w:hAnsi="Times New Roman"/>
          <w:sz w:val="24"/>
        </w:rPr>
        <w:t xml:space="preserve">[Článok 147 ods. 8 nariadenia (EÚ) </w:t>
      </w:r>
      <w:r w:rsidR="009912F8" w:rsidRPr="00E07C9A">
        <w:rPr>
          <w:rFonts w:ascii="Times New Roman" w:hAnsi="Times New Roman"/>
          <w:sz w:val="24"/>
        </w:rPr>
        <w:t>č. 575/2013</w:t>
      </w:r>
      <w:r w:rsidRPr="00E07C9A">
        <w:rPr>
          <w:rFonts w:ascii="Times New Roman" w:hAnsi="Times New Roman"/>
          <w:sz w:val="24"/>
        </w:rPr>
        <w:t>]</w:t>
      </w:r>
    </w:p>
    <w:p w14:paraId="7DDA263B" w14:textId="77777777" w:rsidR="009912F8" w:rsidRPr="00E07C9A" w:rsidRDefault="001C7AB7" w:rsidP="001C7AB7">
      <w:pPr>
        <w:autoSpaceDE w:val="0"/>
        <w:autoSpaceDN w:val="0"/>
        <w:adjustRightInd w:val="0"/>
        <w:spacing w:before="0" w:after="0"/>
        <w:ind w:left="708"/>
        <w:jc w:val="left"/>
        <w:rPr>
          <w:rFonts w:ascii="Times New Roman" w:hAnsi="Times New Roman"/>
          <w:sz w:val="24"/>
        </w:rPr>
      </w:pPr>
      <w:r w:rsidRPr="00E07C9A">
        <w:rPr>
          <w:rFonts w:ascii="Times New Roman" w:hAnsi="Times New Roman"/>
          <w:sz w:val="24"/>
        </w:rPr>
        <w:t>4.3.</w:t>
      </w:r>
      <w:r w:rsidRPr="00E07C9A">
        <w:rPr>
          <w:rFonts w:ascii="Times New Roman" w:hAnsi="Times New Roman"/>
        </w:rPr>
        <w:tab/>
      </w:r>
      <w:r w:rsidRPr="00E07C9A">
        <w:rPr>
          <w:rFonts w:ascii="Times New Roman" w:hAnsi="Times New Roman"/>
          <w:sz w:val="24"/>
        </w:rPr>
        <w:t>Podnikateľské subjekty – iné</w:t>
      </w:r>
    </w:p>
    <w:p w14:paraId="2BC0A49B" w14:textId="744E05A9" w:rsidR="001C7AB7" w:rsidRPr="00E07C9A" w:rsidRDefault="001C7AB7" w:rsidP="001C7AB7">
      <w:pPr>
        <w:autoSpaceDE w:val="0"/>
        <w:autoSpaceDN w:val="0"/>
        <w:adjustRightInd w:val="0"/>
        <w:spacing w:before="0" w:after="0"/>
        <w:ind w:left="1428"/>
        <w:jc w:val="left"/>
        <w:rPr>
          <w:rFonts w:ascii="Times New Roman" w:hAnsi="Times New Roman"/>
          <w:sz w:val="24"/>
        </w:rPr>
      </w:pPr>
      <w:r w:rsidRPr="00E07C9A">
        <w:rPr>
          <w:rFonts w:ascii="Times New Roman" w:hAnsi="Times New Roman"/>
          <w:sz w:val="24"/>
        </w:rPr>
        <w:t>[Všetky expozície voči podnikateľským subjektom uvedeným</w:t>
      </w:r>
      <w:r w:rsidR="009912F8" w:rsidRPr="00E07C9A">
        <w:rPr>
          <w:rFonts w:ascii="Times New Roman" w:hAnsi="Times New Roman"/>
          <w:sz w:val="24"/>
        </w:rPr>
        <w:t xml:space="preserve"> v </w:t>
      </w:r>
      <w:r w:rsidRPr="00E07C9A">
        <w:rPr>
          <w:rFonts w:ascii="Times New Roman" w:hAnsi="Times New Roman"/>
          <w:sz w:val="24"/>
        </w:rPr>
        <w:t xml:space="preserve">článku 147 ods. 2 písm. c) nariadenia (EÚ) </w:t>
      </w:r>
      <w:r w:rsidR="009912F8" w:rsidRPr="00E07C9A">
        <w:rPr>
          <w:rFonts w:ascii="Times New Roman" w:hAnsi="Times New Roman"/>
          <w:sz w:val="24"/>
        </w:rPr>
        <w:t>č. 575/2013</w:t>
      </w:r>
      <w:r w:rsidRPr="00E07C9A">
        <w:rPr>
          <w:rFonts w:ascii="Times New Roman" w:hAnsi="Times New Roman"/>
          <w:sz w:val="24"/>
        </w:rPr>
        <w:t>, ktoré nie sú vykázané</w:t>
      </w:r>
      <w:r w:rsidR="009912F8" w:rsidRPr="00E07C9A">
        <w:rPr>
          <w:rFonts w:ascii="Times New Roman" w:hAnsi="Times New Roman"/>
          <w:sz w:val="24"/>
        </w:rPr>
        <w:t xml:space="preserve"> v </w:t>
      </w:r>
      <w:r w:rsidRPr="00E07C9A">
        <w:rPr>
          <w:rFonts w:ascii="Times New Roman" w:hAnsi="Times New Roman"/>
          <w:sz w:val="24"/>
        </w:rPr>
        <w:t>bodoch 4.1</w:t>
      </w:r>
      <w:r w:rsidR="009912F8" w:rsidRPr="00E07C9A">
        <w:rPr>
          <w:rFonts w:ascii="Times New Roman" w:hAnsi="Times New Roman"/>
          <w:sz w:val="24"/>
        </w:rPr>
        <w:t xml:space="preserve"> a </w:t>
      </w:r>
      <w:r w:rsidRPr="00E07C9A">
        <w:rPr>
          <w:rFonts w:ascii="Times New Roman" w:hAnsi="Times New Roman"/>
          <w:sz w:val="24"/>
        </w:rPr>
        <w:t>4.2].</w:t>
      </w:r>
    </w:p>
    <w:p w14:paraId="1877AA53" w14:textId="77777777" w:rsidR="001C7AB7" w:rsidRPr="00E07C9A" w:rsidRDefault="001C7AB7" w:rsidP="001C7AB7">
      <w:pPr>
        <w:autoSpaceDE w:val="0"/>
        <w:autoSpaceDN w:val="0"/>
        <w:adjustRightInd w:val="0"/>
        <w:spacing w:before="0" w:after="0"/>
        <w:ind w:left="708"/>
        <w:jc w:val="left"/>
        <w:rPr>
          <w:rFonts w:ascii="Times New Roman" w:hAnsi="Times New Roman"/>
          <w:sz w:val="24"/>
        </w:rPr>
      </w:pPr>
      <w:r w:rsidRPr="00E07C9A">
        <w:rPr>
          <w:rFonts w:ascii="Times New Roman" w:hAnsi="Times New Roman"/>
          <w:sz w:val="24"/>
        </w:rPr>
        <w:t>5.1.</w:t>
      </w:r>
      <w:r w:rsidRPr="00E07C9A">
        <w:rPr>
          <w:rFonts w:ascii="Times New Roman" w:hAnsi="Times New Roman"/>
        </w:rPr>
        <w:tab/>
      </w:r>
      <w:r w:rsidRPr="00E07C9A">
        <w:rPr>
          <w:rFonts w:ascii="Times New Roman" w:hAnsi="Times New Roman"/>
          <w:sz w:val="24"/>
        </w:rPr>
        <w:t>Retail – zabezpečené nehnuteľným majetkom MSP</w:t>
      </w:r>
    </w:p>
    <w:p w14:paraId="41CDE7BA" w14:textId="4CB12636" w:rsidR="001C7AB7" w:rsidRPr="00E07C9A" w:rsidRDefault="001C7AB7" w:rsidP="001C7AB7">
      <w:pPr>
        <w:autoSpaceDE w:val="0"/>
        <w:autoSpaceDN w:val="0"/>
        <w:adjustRightInd w:val="0"/>
        <w:spacing w:before="0" w:after="0"/>
        <w:ind w:left="1428"/>
        <w:jc w:val="left"/>
        <w:rPr>
          <w:rFonts w:ascii="Times New Roman" w:hAnsi="Times New Roman"/>
          <w:sz w:val="24"/>
        </w:rPr>
      </w:pPr>
      <w:r w:rsidRPr="00E07C9A">
        <w:rPr>
          <w:rFonts w:ascii="Times New Roman" w:hAnsi="Times New Roman"/>
          <w:sz w:val="24"/>
        </w:rPr>
        <w:t>[Retailové expozície uvedené</w:t>
      </w:r>
      <w:r w:rsidR="009912F8" w:rsidRPr="00E07C9A">
        <w:rPr>
          <w:rFonts w:ascii="Times New Roman" w:hAnsi="Times New Roman"/>
          <w:sz w:val="24"/>
        </w:rPr>
        <w:t xml:space="preserve"> v </w:t>
      </w:r>
      <w:r w:rsidRPr="00E07C9A">
        <w:rPr>
          <w:rFonts w:ascii="Times New Roman" w:hAnsi="Times New Roman"/>
          <w:sz w:val="24"/>
        </w:rPr>
        <w:t xml:space="preserve">článku 147 ods. 2 písm. d) nariadenia (EÚ) </w:t>
      </w:r>
      <w:r w:rsidR="009912F8" w:rsidRPr="00E07C9A">
        <w:rPr>
          <w:rFonts w:ascii="Times New Roman" w:hAnsi="Times New Roman"/>
          <w:sz w:val="24"/>
        </w:rPr>
        <w:t>č. 575/2013 v </w:t>
      </w:r>
      <w:r w:rsidRPr="00E07C9A">
        <w:rPr>
          <w:rFonts w:ascii="Times New Roman" w:hAnsi="Times New Roman"/>
          <w:sz w:val="24"/>
        </w:rPr>
        <w:t>spojení</w:t>
      </w:r>
      <w:r w:rsidR="009912F8" w:rsidRPr="00E07C9A">
        <w:rPr>
          <w:rFonts w:ascii="Times New Roman" w:hAnsi="Times New Roman"/>
          <w:sz w:val="24"/>
        </w:rPr>
        <w:t xml:space="preserve"> s </w:t>
      </w:r>
      <w:r w:rsidRPr="00E07C9A">
        <w:rPr>
          <w:rFonts w:ascii="Times New Roman" w:hAnsi="Times New Roman"/>
          <w:sz w:val="24"/>
        </w:rPr>
        <w:t>článkom 154 ods. 3 uvedeného nariadenia, ktoré sú zabezpečené nehnuteľným majetkom]. Na účely klasifikácie do tejto triedy podexpozícií používajú vykazujúce subjekty svoju internú definíciu MSP, ako sa uplatňuje</w:t>
      </w:r>
      <w:r w:rsidR="009912F8" w:rsidRPr="00E07C9A">
        <w:rPr>
          <w:rFonts w:ascii="Times New Roman" w:hAnsi="Times New Roman"/>
          <w:sz w:val="24"/>
        </w:rPr>
        <w:t xml:space="preserve"> v </w:t>
      </w:r>
      <w:r w:rsidRPr="00E07C9A">
        <w:rPr>
          <w:rFonts w:ascii="Times New Roman" w:hAnsi="Times New Roman"/>
          <w:sz w:val="24"/>
        </w:rPr>
        <w:t>interných procesoch riadenia rizík.</w:t>
      </w:r>
    </w:p>
    <w:p w14:paraId="133F9F8B" w14:textId="77777777" w:rsidR="001C7AB7" w:rsidRPr="00E07C9A" w:rsidRDefault="001C7AB7" w:rsidP="001C7AB7">
      <w:pPr>
        <w:autoSpaceDE w:val="0"/>
        <w:autoSpaceDN w:val="0"/>
        <w:adjustRightInd w:val="0"/>
        <w:spacing w:before="0" w:after="0"/>
        <w:ind w:left="708"/>
        <w:jc w:val="left"/>
        <w:rPr>
          <w:rFonts w:ascii="Times New Roman" w:hAnsi="Times New Roman"/>
          <w:sz w:val="24"/>
        </w:rPr>
      </w:pPr>
      <w:r w:rsidRPr="00E07C9A">
        <w:rPr>
          <w:rFonts w:ascii="Times New Roman" w:hAnsi="Times New Roman"/>
          <w:sz w:val="24"/>
        </w:rPr>
        <w:t>5.2.</w:t>
      </w:r>
      <w:r w:rsidRPr="00E07C9A">
        <w:rPr>
          <w:rFonts w:ascii="Times New Roman" w:hAnsi="Times New Roman"/>
        </w:rPr>
        <w:tab/>
      </w:r>
      <w:r w:rsidRPr="00E07C9A">
        <w:rPr>
          <w:rFonts w:ascii="Times New Roman" w:hAnsi="Times New Roman"/>
          <w:sz w:val="24"/>
        </w:rPr>
        <w:t>Retail – zabezpečené nehnuteľným majetkom, subjekty iné než MSP</w:t>
      </w:r>
    </w:p>
    <w:p w14:paraId="0AD84A3A" w14:textId="66D006BE" w:rsidR="001C7AB7" w:rsidRPr="00E07C9A" w:rsidRDefault="001C7AB7" w:rsidP="001C7AB7">
      <w:pPr>
        <w:autoSpaceDE w:val="0"/>
        <w:autoSpaceDN w:val="0"/>
        <w:adjustRightInd w:val="0"/>
        <w:spacing w:before="0" w:after="0"/>
        <w:ind w:left="1428"/>
        <w:jc w:val="left"/>
        <w:rPr>
          <w:rFonts w:ascii="Times New Roman" w:hAnsi="Times New Roman"/>
          <w:sz w:val="24"/>
        </w:rPr>
      </w:pPr>
      <w:r w:rsidRPr="00E07C9A">
        <w:rPr>
          <w:rFonts w:ascii="Times New Roman" w:hAnsi="Times New Roman"/>
          <w:sz w:val="24"/>
        </w:rPr>
        <w:t>[Retailové expozície uvedené</w:t>
      </w:r>
      <w:r w:rsidR="009912F8" w:rsidRPr="00E07C9A">
        <w:rPr>
          <w:rFonts w:ascii="Times New Roman" w:hAnsi="Times New Roman"/>
          <w:sz w:val="24"/>
        </w:rPr>
        <w:t xml:space="preserve"> v </w:t>
      </w:r>
      <w:r w:rsidRPr="00E07C9A">
        <w:rPr>
          <w:rFonts w:ascii="Times New Roman" w:hAnsi="Times New Roman"/>
          <w:sz w:val="24"/>
        </w:rPr>
        <w:t xml:space="preserve">článku 147 ods. 2 písm. d) nariadenia (EÚ) </w:t>
      </w:r>
      <w:r w:rsidR="009912F8" w:rsidRPr="00E07C9A">
        <w:rPr>
          <w:rFonts w:ascii="Times New Roman" w:hAnsi="Times New Roman"/>
          <w:sz w:val="24"/>
        </w:rPr>
        <w:t>č. 575/2013</w:t>
      </w:r>
      <w:r w:rsidRPr="00E07C9A">
        <w:rPr>
          <w:rFonts w:ascii="Times New Roman" w:hAnsi="Times New Roman"/>
          <w:sz w:val="24"/>
        </w:rPr>
        <w:t>, ktoré sú zabezpečené nehnuteľným majetkom</w:t>
      </w:r>
      <w:r w:rsidR="009912F8" w:rsidRPr="00E07C9A">
        <w:rPr>
          <w:rFonts w:ascii="Times New Roman" w:hAnsi="Times New Roman"/>
          <w:sz w:val="24"/>
        </w:rPr>
        <w:t xml:space="preserve"> a </w:t>
      </w:r>
      <w:r w:rsidRPr="00E07C9A">
        <w:rPr>
          <w:rFonts w:ascii="Times New Roman" w:hAnsi="Times New Roman"/>
          <w:sz w:val="24"/>
        </w:rPr>
        <w:t>ktoré nie sú vykázané</w:t>
      </w:r>
      <w:r w:rsidR="009912F8" w:rsidRPr="00E07C9A">
        <w:rPr>
          <w:rFonts w:ascii="Times New Roman" w:hAnsi="Times New Roman"/>
          <w:sz w:val="24"/>
        </w:rPr>
        <w:t xml:space="preserve"> v </w:t>
      </w:r>
      <w:r w:rsidRPr="00E07C9A">
        <w:rPr>
          <w:rFonts w:ascii="Times New Roman" w:hAnsi="Times New Roman"/>
          <w:sz w:val="24"/>
        </w:rPr>
        <w:t>bode 5.1].</w:t>
      </w:r>
    </w:p>
    <w:p w14:paraId="78A953FA" w14:textId="482ED637" w:rsidR="009912F8" w:rsidRPr="00E07C9A" w:rsidRDefault="008304E8" w:rsidP="008304E8">
      <w:pPr>
        <w:autoSpaceDE w:val="0"/>
        <w:autoSpaceDN w:val="0"/>
        <w:adjustRightInd w:val="0"/>
        <w:spacing w:before="0" w:after="0"/>
        <w:ind w:left="1416"/>
        <w:rPr>
          <w:rFonts w:ascii="Times New Roman" w:hAnsi="Times New Roman"/>
          <w:sz w:val="24"/>
        </w:rPr>
      </w:pPr>
      <w:r w:rsidRPr="00E07C9A">
        <w:rPr>
          <w:rFonts w:ascii="Times New Roman" w:hAnsi="Times New Roman"/>
          <w:sz w:val="24"/>
        </w:rPr>
        <w:t>V bodoch 5.1</w:t>
      </w:r>
      <w:r w:rsidR="009912F8" w:rsidRPr="00E07C9A">
        <w:rPr>
          <w:rFonts w:ascii="Times New Roman" w:hAnsi="Times New Roman"/>
          <w:sz w:val="24"/>
        </w:rPr>
        <w:t xml:space="preserve"> a </w:t>
      </w:r>
      <w:r w:rsidRPr="00E07C9A">
        <w:rPr>
          <w:rFonts w:ascii="Times New Roman" w:hAnsi="Times New Roman"/>
          <w:sz w:val="24"/>
        </w:rPr>
        <w:t>5.2 sa za retailové expozície zabezpečené nehnuteľným majetkom považujú akékoľvek retailové expozície zabezpečené kolaterálom vo forme nehnuteľného majetku,</w:t>
      </w:r>
      <w:r w:rsidR="009912F8" w:rsidRPr="00E07C9A">
        <w:rPr>
          <w:rFonts w:ascii="Times New Roman" w:hAnsi="Times New Roman"/>
          <w:sz w:val="24"/>
        </w:rPr>
        <w:t xml:space="preserve"> a </w:t>
      </w:r>
      <w:r w:rsidRPr="00E07C9A">
        <w:rPr>
          <w:rFonts w:ascii="Times New Roman" w:hAnsi="Times New Roman"/>
          <w:sz w:val="24"/>
        </w:rPr>
        <w:t>to bez ohľadu na pomer hodnoty kolaterálu</w:t>
      </w:r>
      <w:r w:rsidR="009912F8" w:rsidRPr="00E07C9A">
        <w:rPr>
          <w:rFonts w:ascii="Times New Roman" w:hAnsi="Times New Roman"/>
          <w:sz w:val="24"/>
        </w:rPr>
        <w:t xml:space="preserve"> k </w:t>
      </w:r>
      <w:r w:rsidRPr="00E07C9A">
        <w:rPr>
          <w:rFonts w:ascii="Times New Roman" w:hAnsi="Times New Roman"/>
          <w:sz w:val="24"/>
        </w:rPr>
        <w:t>expozícii alebo účel úveru</w:t>
      </w:r>
      <w:r w:rsidR="009912F8" w:rsidRPr="00E07C9A">
        <w:rPr>
          <w:rFonts w:ascii="Times New Roman" w:hAnsi="Times New Roman"/>
          <w:sz w:val="24"/>
        </w:rPr>
        <w:t>.</w:t>
      </w:r>
    </w:p>
    <w:p w14:paraId="07081C7A" w14:textId="33199D03" w:rsidR="001C7AB7" w:rsidRPr="00E07C9A" w:rsidRDefault="001C7AB7" w:rsidP="001C7AB7">
      <w:pPr>
        <w:autoSpaceDE w:val="0"/>
        <w:autoSpaceDN w:val="0"/>
        <w:adjustRightInd w:val="0"/>
        <w:spacing w:before="0" w:after="0"/>
        <w:ind w:left="708"/>
        <w:jc w:val="left"/>
        <w:rPr>
          <w:rFonts w:ascii="Times New Roman" w:hAnsi="Times New Roman"/>
          <w:sz w:val="24"/>
        </w:rPr>
      </w:pPr>
      <w:r w:rsidRPr="00E07C9A">
        <w:rPr>
          <w:rFonts w:ascii="Times New Roman" w:hAnsi="Times New Roman"/>
          <w:sz w:val="24"/>
        </w:rPr>
        <w:t>5.3.</w:t>
      </w:r>
      <w:r w:rsidRPr="00E07C9A">
        <w:rPr>
          <w:rFonts w:ascii="Times New Roman" w:hAnsi="Times New Roman"/>
        </w:rPr>
        <w:tab/>
      </w:r>
      <w:r w:rsidRPr="00E07C9A">
        <w:rPr>
          <w:rFonts w:ascii="Times New Roman" w:hAnsi="Times New Roman"/>
          <w:sz w:val="24"/>
        </w:rPr>
        <w:t>Retail – kvalifikovaný revolving</w:t>
      </w:r>
    </w:p>
    <w:p w14:paraId="26A4F996" w14:textId="688331E1" w:rsidR="009912F8" w:rsidRPr="00E07C9A" w:rsidRDefault="001C7AB7" w:rsidP="001C7AB7">
      <w:pPr>
        <w:autoSpaceDE w:val="0"/>
        <w:autoSpaceDN w:val="0"/>
        <w:adjustRightInd w:val="0"/>
        <w:spacing w:before="0" w:after="0"/>
        <w:ind w:left="1428"/>
        <w:jc w:val="left"/>
        <w:rPr>
          <w:rFonts w:ascii="Times New Roman" w:hAnsi="Times New Roman"/>
          <w:sz w:val="24"/>
        </w:rPr>
      </w:pPr>
      <w:r w:rsidRPr="00E07C9A">
        <w:rPr>
          <w:rFonts w:ascii="Times New Roman" w:hAnsi="Times New Roman"/>
          <w:sz w:val="24"/>
        </w:rPr>
        <w:t>[Retailové expozície uvedené</w:t>
      </w:r>
      <w:r w:rsidR="009912F8" w:rsidRPr="00E07C9A">
        <w:rPr>
          <w:rFonts w:ascii="Times New Roman" w:hAnsi="Times New Roman"/>
          <w:sz w:val="24"/>
        </w:rPr>
        <w:t xml:space="preserve"> v </w:t>
      </w:r>
      <w:r w:rsidRPr="00E07C9A">
        <w:rPr>
          <w:rFonts w:ascii="Times New Roman" w:hAnsi="Times New Roman"/>
          <w:sz w:val="24"/>
        </w:rPr>
        <w:t xml:space="preserve">článku 147 ods. 2 písm. d) nariadenia (EÚ) </w:t>
      </w:r>
      <w:r w:rsidR="009912F8" w:rsidRPr="00E07C9A">
        <w:rPr>
          <w:rFonts w:ascii="Times New Roman" w:hAnsi="Times New Roman"/>
          <w:sz w:val="24"/>
        </w:rPr>
        <w:t>č. 575/2013 v </w:t>
      </w:r>
      <w:r w:rsidRPr="00E07C9A">
        <w:rPr>
          <w:rFonts w:ascii="Times New Roman" w:hAnsi="Times New Roman"/>
          <w:sz w:val="24"/>
        </w:rPr>
        <w:t>spojení</w:t>
      </w:r>
      <w:r w:rsidR="009912F8" w:rsidRPr="00E07C9A">
        <w:rPr>
          <w:rFonts w:ascii="Times New Roman" w:hAnsi="Times New Roman"/>
          <w:sz w:val="24"/>
        </w:rPr>
        <w:t xml:space="preserve"> s </w:t>
      </w:r>
      <w:r w:rsidRPr="00E07C9A">
        <w:rPr>
          <w:rFonts w:ascii="Times New Roman" w:hAnsi="Times New Roman"/>
          <w:sz w:val="24"/>
        </w:rPr>
        <w:t>článkom 154 ods. 4 uvedeného nariadenia]</w:t>
      </w:r>
      <w:r w:rsidR="009912F8" w:rsidRPr="00E07C9A">
        <w:rPr>
          <w:rFonts w:ascii="Times New Roman" w:hAnsi="Times New Roman"/>
          <w:sz w:val="24"/>
        </w:rPr>
        <w:t>.</w:t>
      </w:r>
    </w:p>
    <w:p w14:paraId="726B494A" w14:textId="7FF7D474" w:rsidR="001C7AB7" w:rsidRPr="00E07C9A" w:rsidRDefault="001C7AB7" w:rsidP="001C7AB7">
      <w:pPr>
        <w:autoSpaceDE w:val="0"/>
        <w:autoSpaceDN w:val="0"/>
        <w:adjustRightInd w:val="0"/>
        <w:spacing w:before="0" w:after="0"/>
        <w:ind w:left="708"/>
        <w:jc w:val="left"/>
        <w:rPr>
          <w:rFonts w:ascii="Times New Roman" w:hAnsi="Times New Roman"/>
          <w:sz w:val="24"/>
        </w:rPr>
      </w:pPr>
      <w:r w:rsidRPr="00E07C9A">
        <w:rPr>
          <w:rFonts w:ascii="Times New Roman" w:hAnsi="Times New Roman"/>
          <w:sz w:val="24"/>
        </w:rPr>
        <w:t>5.4.</w:t>
      </w:r>
      <w:r w:rsidRPr="00E07C9A">
        <w:rPr>
          <w:rFonts w:ascii="Times New Roman" w:hAnsi="Times New Roman"/>
        </w:rPr>
        <w:tab/>
      </w:r>
      <w:r w:rsidRPr="00E07C9A">
        <w:rPr>
          <w:rFonts w:ascii="Times New Roman" w:hAnsi="Times New Roman"/>
          <w:sz w:val="24"/>
        </w:rPr>
        <w:t>Retail – ostatné malé</w:t>
      </w:r>
      <w:r w:rsidR="009912F8" w:rsidRPr="00E07C9A">
        <w:rPr>
          <w:rFonts w:ascii="Times New Roman" w:hAnsi="Times New Roman"/>
          <w:sz w:val="24"/>
        </w:rPr>
        <w:t xml:space="preserve"> a </w:t>
      </w:r>
      <w:r w:rsidRPr="00E07C9A">
        <w:rPr>
          <w:rFonts w:ascii="Times New Roman" w:hAnsi="Times New Roman"/>
          <w:sz w:val="24"/>
        </w:rPr>
        <w:t>stredné podniky</w:t>
      </w:r>
    </w:p>
    <w:p w14:paraId="18E79C76" w14:textId="6034C93E" w:rsidR="001C7AB7" w:rsidRPr="00E07C9A" w:rsidRDefault="001C7AB7" w:rsidP="001C7AB7">
      <w:pPr>
        <w:autoSpaceDE w:val="0"/>
        <w:autoSpaceDN w:val="0"/>
        <w:adjustRightInd w:val="0"/>
        <w:spacing w:before="0" w:after="0"/>
        <w:ind w:left="1428"/>
        <w:jc w:val="left"/>
        <w:rPr>
          <w:rFonts w:ascii="Times New Roman" w:hAnsi="Times New Roman"/>
          <w:sz w:val="24"/>
        </w:rPr>
      </w:pPr>
      <w:r w:rsidRPr="00E07C9A">
        <w:rPr>
          <w:rFonts w:ascii="Times New Roman" w:hAnsi="Times New Roman"/>
          <w:sz w:val="24"/>
        </w:rPr>
        <w:t>[Retailové expozície uvedené</w:t>
      </w:r>
      <w:r w:rsidR="009912F8" w:rsidRPr="00E07C9A">
        <w:rPr>
          <w:rFonts w:ascii="Times New Roman" w:hAnsi="Times New Roman"/>
          <w:sz w:val="24"/>
        </w:rPr>
        <w:t xml:space="preserve"> v </w:t>
      </w:r>
      <w:r w:rsidRPr="00E07C9A">
        <w:rPr>
          <w:rFonts w:ascii="Times New Roman" w:hAnsi="Times New Roman"/>
          <w:sz w:val="24"/>
        </w:rPr>
        <w:t xml:space="preserve">článku 147 ods. 2 písm. d) nariadenia (EÚ) </w:t>
      </w:r>
      <w:r w:rsidR="009912F8" w:rsidRPr="00E07C9A">
        <w:rPr>
          <w:rFonts w:ascii="Times New Roman" w:hAnsi="Times New Roman"/>
          <w:sz w:val="24"/>
        </w:rPr>
        <w:t>č. 575/2013</w:t>
      </w:r>
      <w:r w:rsidRPr="00E07C9A">
        <w:rPr>
          <w:rFonts w:ascii="Times New Roman" w:hAnsi="Times New Roman"/>
          <w:sz w:val="24"/>
        </w:rPr>
        <w:t>, ktoré nie sú vykázané</w:t>
      </w:r>
      <w:r w:rsidR="009912F8" w:rsidRPr="00E07C9A">
        <w:rPr>
          <w:rFonts w:ascii="Times New Roman" w:hAnsi="Times New Roman"/>
          <w:sz w:val="24"/>
        </w:rPr>
        <w:t xml:space="preserve"> v </w:t>
      </w:r>
      <w:r w:rsidRPr="00E07C9A">
        <w:rPr>
          <w:rFonts w:ascii="Times New Roman" w:hAnsi="Times New Roman"/>
          <w:sz w:val="24"/>
        </w:rPr>
        <w:t>bodoch 5.1</w:t>
      </w:r>
      <w:r w:rsidR="009912F8" w:rsidRPr="00E07C9A">
        <w:rPr>
          <w:rFonts w:ascii="Times New Roman" w:hAnsi="Times New Roman"/>
          <w:sz w:val="24"/>
        </w:rPr>
        <w:t xml:space="preserve"> a </w:t>
      </w:r>
      <w:r w:rsidRPr="00E07C9A">
        <w:rPr>
          <w:rFonts w:ascii="Times New Roman" w:hAnsi="Times New Roman"/>
          <w:sz w:val="24"/>
        </w:rPr>
        <w:t>5.3]. Na účely klasifikácie do tejto triedy podexpozícií používajú vykazujúce subjekty svoju internú definíciu MSP, ako sa uplatňuje</w:t>
      </w:r>
      <w:r w:rsidR="009912F8" w:rsidRPr="00E07C9A">
        <w:rPr>
          <w:rFonts w:ascii="Times New Roman" w:hAnsi="Times New Roman"/>
          <w:sz w:val="24"/>
        </w:rPr>
        <w:t xml:space="preserve"> v </w:t>
      </w:r>
      <w:r w:rsidRPr="00E07C9A">
        <w:rPr>
          <w:rFonts w:ascii="Times New Roman" w:hAnsi="Times New Roman"/>
          <w:sz w:val="24"/>
        </w:rPr>
        <w:t>interných procesoch riadenia rizík.</w:t>
      </w:r>
    </w:p>
    <w:p w14:paraId="086A2905" w14:textId="77777777" w:rsidR="001C7AB7" w:rsidRPr="00E07C9A" w:rsidRDefault="00125707" w:rsidP="0023700C">
      <w:pPr>
        <w:pStyle w:val="ListParagraph1"/>
        <w:autoSpaceDE w:val="0"/>
        <w:autoSpaceDN w:val="0"/>
        <w:adjustRightInd w:val="0"/>
        <w:spacing w:before="0" w:after="0"/>
        <w:ind w:left="1428" w:hanging="720"/>
        <w:jc w:val="left"/>
        <w:rPr>
          <w:rFonts w:ascii="Times New Roman" w:hAnsi="Times New Roman"/>
          <w:sz w:val="24"/>
        </w:rPr>
      </w:pPr>
      <w:r w:rsidRPr="00E07C9A">
        <w:rPr>
          <w:rFonts w:ascii="Times New Roman" w:hAnsi="Times New Roman"/>
          <w:sz w:val="24"/>
        </w:rPr>
        <w:t>5.5.</w:t>
      </w:r>
      <w:r w:rsidRPr="00E07C9A">
        <w:rPr>
          <w:rFonts w:ascii="Times New Roman" w:hAnsi="Times New Roman"/>
        </w:rPr>
        <w:tab/>
      </w:r>
      <w:r w:rsidRPr="00E07C9A">
        <w:rPr>
          <w:rFonts w:ascii="Times New Roman" w:hAnsi="Times New Roman"/>
          <w:sz w:val="24"/>
        </w:rPr>
        <w:t>Retail – ostatné subjekty iné než MSP</w:t>
      </w:r>
    </w:p>
    <w:p w14:paraId="6BB46999" w14:textId="379C00B2" w:rsidR="001C7AB7" w:rsidRPr="00E07C9A" w:rsidRDefault="001C7AB7" w:rsidP="001C7AB7">
      <w:pPr>
        <w:autoSpaceDE w:val="0"/>
        <w:autoSpaceDN w:val="0"/>
        <w:adjustRightInd w:val="0"/>
        <w:spacing w:before="0" w:after="0"/>
        <w:ind w:left="1428"/>
        <w:jc w:val="left"/>
        <w:rPr>
          <w:rFonts w:ascii="Times New Roman" w:hAnsi="Times New Roman"/>
          <w:sz w:val="24"/>
        </w:rPr>
      </w:pPr>
      <w:r w:rsidRPr="00E07C9A">
        <w:rPr>
          <w:rFonts w:ascii="Times New Roman" w:hAnsi="Times New Roman"/>
          <w:sz w:val="24"/>
        </w:rPr>
        <w:t>[Retailové expozície uvedené</w:t>
      </w:r>
      <w:r w:rsidR="009912F8" w:rsidRPr="00E07C9A">
        <w:rPr>
          <w:rFonts w:ascii="Times New Roman" w:hAnsi="Times New Roman"/>
          <w:sz w:val="24"/>
        </w:rPr>
        <w:t xml:space="preserve"> v </w:t>
      </w:r>
      <w:r w:rsidRPr="00E07C9A">
        <w:rPr>
          <w:rFonts w:ascii="Times New Roman" w:hAnsi="Times New Roman"/>
          <w:sz w:val="24"/>
        </w:rPr>
        <w:t xml:space="preserve">článku 147 ods. 2 písm. d) nariadenia (EÚ) </w:t>
      </w:r>
      <w:r w:rsidR="009912F8" w:rsidRPr="00E07C9A">
        <w:rPr>
          <w:rFonts w:ascii="Times New Roman" w:hAnsi="Times New Roman"/>
          <w:sz w:val="24"/>
        </w:rPr>
        <w:t>č. 575/2013</w:t>
      </w:r>
      <w:r w:rsidRPr="00E07C9A">
        <w:rPr>
          <w:rFonts w:ascii="Times New Roman" w:hAnsi="Times New Roman"/>
          <w:sz w:val="24"/>
        </w:rPr>
        <w:t>, ktoré nie sú vykázané</w:t>
      </w:r>
      <w:r w:rsidR="009912F8" w:rsidRPr="00E07C9A">
        <w:rPr>
          <w:rFonts w:ascii="Times New Roman" w:hAnsi="Times New Roman"/>
          <w:sz w:val="24"/>
        </w:rPr>
        <w:t xml:space="preserve"> v </w:t>
      </w:r>
      <w:r w:rsidRPr="00E07C9A">
        <w:rPr>
          <w:rFonts w:ascii="Times New Roman" w:hAnsi="Times New Roman"/>
          <w:sz w:val="24"/>
        </w:rPr>
        <w:t>bodoch 5.2</w:t>
      </w:r>
      <w:r w:rsidR="009912F8" w:rsidRPr="00E07C9A">
        <w:rPr>
          <w:rFonts w:ascii="Times New Roman" w:hAnsi="Times New Roman"/>
          <w:sz w:val="24"/>
        </w:rPr>
        <w:t xml:space="preserve"> a </w:t>
      </w:r>
      <w:r w:rsidRPr="00E07C9A">
        <w:rPr>
          <w:rFonts w:ascii="Times New Roman" w:hAnsi="Times New Roman"/>
          <w:sz w:val="24"/>
        </w:rPr>
        <w:t>5.3].</w:t>
      </w:r>
    </w:p>
    <w:p w14:paraId="0344090C" w14:textId="77777777" w:rsidR="001C7AB7" w:rsidRPr="00E07C9A" w:rsidRDefault="001C7AB7" w:rsidP="001C7AB7">
      <w:pPr>
        <w:autoSpaceDE w:val="0"/>
        <w:autoSpaceDN w:val="0"/>
        <w:adjustRightInd w:val="0"/>
        <w:spacing w:before="0" w:after="240"/>
        <w:jc w:val="left"/>
        <w:rPr>
          <w:rFonts w:ascii="Times New Roman" w:hAnsi="Times New Roman"/>
          <w:sz w:val="24"/>
          <w:lang w:eastAsia="de-DE"/>
        </w:rPr>
      </w:pPr>
    </w:p>
    <w:p w14:paraId="641BCB94" w14:textId="1133775F" w:rsidR="00206687" w:rsidRPr="00E07C9A" w:rsidRDefault="00125707" w:rsidP="0023700C">
      <w:pPr>
        <w:pStyle w:val="Instructionsberschrift2"/>
        <w:numPr>
          <w:ilvl w:val="0"/>
          <w:numId w:val="0"/>
        </w:numPr>
        <w:ind w:left="357" w:hanging="357"/>
        <w:rPr>
          <w:rFonts w:ascii="Times New Roman" w:hAnsi="Times New Roman" w:cs="Times New Roman"/>
          <w:sz w:val="24"/>
        </w:rPr>
      </w:pPr>
      <w:bookmarkStart w:id="230" w:name="_Toc473560909"/>
      <w:bookmarkStart w:id="231" w:name="_Toc115857789"/>
      <w:bookmarkStart w:id="232" w:name="_Toc239157380"/>
      <w:bookmarkStart w:id="233" w:name="_Toc262568038"/>
      <w:bookmarkStart w:id="234" w:name="_Toc264038436"/>
      <w:bookmarkStart w:id="235" w:name="_Toc295829866"/>
      <w:bookmarkStart w:id="236" w:name="_Toc308155143"/>
      <w:bookmarkStart w:id="237" w:name="_Toc310415030"/>
      <w:bookmarkStart w:id="238" w:name="_Toc360188360"/>
      <w:r w:rsidRPr="00E07C9A">
        <w:rPr>
          <w:rFonts w:ascii="Times New Roman" w:hAnsi="Times New Roman" w:cs="Times New Roman"/>
          <w:sz w:val="24"/>
          <w:u w:val="none"/>
        </w:rPr>
        <w:t>3.3.3.</w:t>
      </w:r>
      <w:r w:rsidRPr="00E07C9A">
        <w:rPr>
          <w:rFonts w:ascii="Times New Roman" w:hAnsi="Times New Roman" w:cs="Times New Roman"/>
          <w:u w:val="none"/>
        </w:rPr>
        <w:tab/>
      </w:r>
      <w:r w:rsidRPr="00E07C9A">
        <w:rPr>
          <w:rFonts w:ascii="Times New Roman" w:hAnsi="Times New Roman" w:cs="Times New Roman"/>
          <w:sz w:val="24"/>
        </w:rPr>
        <w:t>C 08.01 – Kreditné riziko</w:t>
      </w:r>
      <w:r w:rsidR="009912F8" w:rsidRPr="00E07C9A">
        <w:rPr>
          <w:rFonts w:ascii="Times New Roman" w:hAnsi="Times New Roman" w:cs="Times New Roman"/>
          <w:sz w:val="24"/>
        </w:rPr>
        <w:t xml:space="preserve"> a </w:t>
      </w:r>
      <w:r w:rsidRPr="00E07C9A">
        <w:rPr>
          <w:rFonts w:ascii="Times New Roman" w:hAnsi="Times New Roman" w:cs="Times New Roman"/>
          <w:sz w:val="24"/>
        </w:rPr>
        <w:t>kreditné riziko protistrany</w:t>
      </w:r>
      <w:r w:rsidR="009912F8" w:rsidRPr="00E07C9A">
        <w:rPr>
          <w:rFonts w:ascii="Times New Roman" w:hAnsi="Times New Roman" w:cs="Times New Roman"/>
          <w:sz w:val="24"/>
        </w:rPr>
        <w:t xml:space="preserve"> a </w:t>
      </w:r>
      <w:r w:rsidRPr="00E07C9A">
        <w:rPr>
          <w:rFonts w:ascii="Times New Roman" w:hAnsi="Times New Roman" w:cs="Times New Roman"/>
          <w:sz w:val="24"/>
        </w:rPr>
        <w:t>bezodplatné dodanie: Prístup IRB ku kapitálovým požiadavkám (CR IRB 1)</w:t>
      </w:r>
      <w:bookmarkEnd w:id="230"/>
      <w:bookmarkEnd w:id="231"/>
    </w:p>
    <w:p w14:paraId="195DCBC8" w14:textId="77777777" w:rsidR="001C7AB7" w:rsidRPr="00E07C9A" w:rsidRDefault="00125707" w:rsidP="0023700C">
      <w:pPr>
        <w:pStyle w:val="Instructionsberschrift2"/>
        <w:numPr>
          <w:ilvl w:val="0"/>
          <w:numId w:val="0"/>
        </w:numPr>
        <w:ind w:left="709" w:hanging="720"/>
        <w:rPr>
          <w:rFonts w:ascii="Times New Roman" w:hAnsi="Times New Roman" w:cs="Times New Roman"/>
          <w:sz w:val="24"/>
        </w:rPr>
      </w:pPr>
      <w:bookmarkStart w:id="239" w:name="_Toc473560910"/>
      <w:bookmarkStart w:id="240" w:name="_Toc115857790"/>
      <w:r w:rsidRPr="00E07C9A">
        <w:rPr>
          <w:rFonts w:ascii="Times New Roman" w:hAnsi="Times New Roman" w:cs="Times New Roman"/>
          <w:sz w:val="24"/>
          <w:u w:val="none"/>
        </w:rPr>
        <w:t>3.3.3.1.</w:t>
      </w:r>
      <w:r w:rsidRPr="00E07C9A">
        <w:rPr>
          <w:rFonts w:ascii="Times New Roman" w:hAnsi="Times New Roman" w:cs="Times New Roman"/>
          <w:u w:val="none"/>
        </w:rPr>
        <w:tab/>
      </w:r>
      <w:r w:rsidRPr="00E07C9A">
        <w:rPr>
          <w:rFonts w:ascii="Times New Roman" w:hAnsi="Times New Roman" w:cs="Times New Roman"/>
          <w:sz w:val="24"/>
        </w:rPr>
        <w:t>Pokyny týkajúce sa konkrétnych pozícií</w:t>
      </w:r>
      <w:bookmarkEnd w:id="232"/>
      <w:bookmarkEnd w:id="233"/>
      <w:bookmarkEnd w:id="234"/>
      <w:bookmarkEnd w:id="235"/>
      <w:bookmarkEnd w:id="236"/>
      <w:bookmarkEnd w:id="237"/>
      <w:bookmarkEnd w:id="238"/>
      <w:bookmarkEnd w:id="239"/>
      <w:bookmarkEnd w:id="24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1C7AB7" w:rsidRPr="00E07C9A" w14:paraId="2FEECF0E" w14:textId="77777777" w:rsidTr="00672D2A">
        <w:tc>
          <w:tcPr>
            <w:tcW w:w="1188" w:type="dxa"/>
            <w:shd w:val="clear" w:color="auto" w:fill="CCCCCC"/>
          </w:tcPr>
          <w:p w14:paraId="3E5F680F" w14:textId="77777777" w:rsidR="001C7AB7" w:rsidRPr="00E07C9A" w:rsidRDefault="001C7AB7" w:rsidP="001C7AB7">
            <w:pPr>
              <w:rPr>
                <w:rFonts w:ascii="Times New Roman" w:hAnsi="Times New Roman"/>
                <w:sz w:val="24"/>
              </w:rPr>
            </w:pPr>
            <w:r w:rsidRPr="00E07C9A">
              <w:rPr>
                <w:rFonts w:ascii="Times New Roman" w:hAnsi="Times New Roman"/>
                <w:sz w:val="24"/>
              </w:rPr>
              <w:t>Stĺpce</w:t>
            </w:r>
          </w:p>
        </w:tc>
        <w:tc>
          <w:tcPr>
            <w:tcW w:w="8843" w:type="dxa"/>
            <w:shd w:val="clear" w:color="auto" w:fill="CCCCCC"/>
          </w:tcPr>
          <w:p w14:paraId="6D27EE53" w14:textId="77777777" w:rsidR="001C7AB7" w:rsidRPr="00E07C9A" w:rsidRDefault="001C7AB7" w:rsidP="001C7AB7">
            <w:pPr>
              <w:rPr>
                <w:rFonts w:ascii="Times New Roman" w:hAnsi="Times New Roman"/>
                <w:sz w:val="24"/>
              </w:rPr>
            </w:pPr>
            <w:r w:rsidRPr="00E07C9A">
              <w:rPr>
                <w:rFonts w:ascii="Times New Roman" w:hAnsi="Times New Roman"/>
                <w:sz w:val="24"/>
              </w:rPr>
              <w:t>Pokyny</w:t>
            </w:r>
          </w:p>
        </w:tc>
      </w:tr>
      <w:tr w:rsidR="001C7AB7" w:rsidRPr="00E07C9A" w14:paraId="0689716F" w14:textId="77777777" w:rsidTr="00672D2A">
        <w:tc>
          <w:tcPr>
            <w:tcW w:w="1188" w:type="dxa"/>
          </w:tcPr>
          <w:p w14:paraId="778A0AF3" w14:textId="77777777" w:rsidR="001C7AB7" w:rsidRPr="00E07C9A" w:rsidRDefault="001C7AB7" w:rsidP="001C7AB7">
            <w:pPr>
              <w:rPr>
                <w:rFonts w:ascii="Times New Roman" w:hAnsi="Times New Roman"/>
                <w:sz w:val="24"/>
              </w:rPr>
            </w:pPr>
            <w:r w:rsidRPr="00E07C9A">
              <w:rPr>
                <w:rFonts w:ascii="Times New Roman" w:hAnsi="Times New Roman"/>
                <w:sz w:val="24"/>
              </w:rPr>
              <w:t>0010</w:t>
            </w:r>
          </w:p>
        </w:tc>
        <w:tc>
          <w:tcPr>
            <w:tcW w:w="8843" w:type="dxa"/>
          </w:tcPr>
          <w:p w14:paraId="05D2F555" w14:textId="77777777" w:rsidR="001C7AB7" w:rsidRPr="00E07C9A" w:rsidRDefault="001C7AB7" w:rsidP="001C7AB7">
            <w:pPr>
              <w:rPr>
                <w:rStyle w:val="InstructionsTabelleberschrift"/>
                <w:rFonts w:ascii="Times New Roman" w:hAnsi="Times New Roman"/>
                <w:sz w:val="24"/>
              </w:rPr>
            </w:pPr>
            <w:r w:rsidRPr="00E07C9A">
              <w:rPr>
                <w:rStyle w:val="InstructionsTabelleberschrift"/>
                <w:rFonts w:ascii="Times New Roman" w:hAnsi="Times New Roman"/>
                <w:sz w:val="24"/>
              </w:rPr>
              <w:t>INTERNÁ RATINGOVÁ STUPNICA/PD PRIRADENÁ RATINGOVÉMU STUPŇU ALEBO SKUPINE DLŽNÍKOV (%)</w:t>
            </w:r>
          </w:p>
          <w:p w14:paraId="091A6478" w14:textId="29AE2DA0" w:rsidR="001C7AB7" w:rsidRPr="00E07C9A" w:rsidRDefault="001C7AB7" w:rsidP="001C7AB7">
            <w:pPr>
              <w:rPr>
                <w:rFonts w:ascii="Times New Roman" w:hAnsi="Times New Roman"/>
                <w:sz w:val="24"/>
              </w:rPr>
            </w:pPr>
            <w:r w:rsidRPr="00E07C9A">
              <w:rPr>
                <w:rStyle w:val="InstructionsTabelleText"/>
                <w:rFonts w:ascii="Times New Roman" w:hAnsi="Times New Roman"/>
                <w:sz w:val="24"/>
              </w:rPr>
              <w:t>Vykazovaná PD priradená ratingovému stupňu alebo skupine dlžníkov PD je založená na ustanoveniach článku 180</w:t>
            </w:r>
            <w:r w:rsidRPr="00E07C9A">
              <w:rPr>
                <w:rFonts w:ascii="Times New Roman" w:hAnsi="Times New Roman"/>
                <w:sz w:val="24"/>
              </w:rPr>
              <w:t xml:space="preserve"> nariadenia (EÚ) </w:t>
            </w:r>
            <w:r w:rsidR="009912F8" w:rsidRPr="00E07C9A">
              <w:rPr>
                <w:rFonts w:ascii="Times New Roman" w:hAnsi="Times New Roman"/>
                <w:sz w:val="24"/>
              </w:rPr>
              <w:t>č. 575/2013</w:t>
            </w:r>
            <w:r w:rsidRPr="00E07C9A">
              <w:rPr>
                <w:rStyle w:val="InstructionsTabelleText"/>
                <w:rFonts w:ascii="Times New Roman" w:hAnsi="Times New Roman"/>
                <w:sz w:val="24"/>
              </w:rPr>
              <w:t>. Vykazuje sa PD priradená konkrétnemu ratingovému stupňu alebo skupine dlžníkov pre každý jednotlivý ratingový stupeň alebo jednotlivú skupinu. Pre číselné údaje zodpovedajúce súhrnu ratingových stupňov alebo skupín dlžníkov (napr. celkové expozície) sa uvedie expozíciami vážený priemer PD priradených ratingovým stupňom alebo skupinám dlžníkov, ktoré sú zahrnuté</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súhrne. Hodnota expozície (stĺpec 0110) sa používa na výpočet expozíciami váženej priemernej PD</w:t>
            </w:r>
            <w:r w:rsidRPr="00E07C9A">
              <w:rPr>
                <w:rFonts w:ascii="Times New Roman" w:hAnsi="Times New Roman"/>
                <w:sz w:val="24"/>
              </w:rPr>
              <w:t>.</w:t>
            </w:r>
          </w:p>
          <w:p w14:paraId="548D17F9" w14:textId="00BB106F" w:rsidR="001C7AB7" w:rsidRPr="00E07C9A" w:rsidRDefault="001C7AB7" w:rsidP="001C7AB7">
            <w:pPr>
              <w:rPr>
                <w:rStyle w:val="InstructionsTabelleText"/>
                <w:rFonts w:ascii="Times New Roman" w:hAnsi="Times New Roman"/>
                <w:sz w:val="24"/>
              </w:rPr>
            </w:pPr>
            <w:r w:rsidRPr="00E07C9A">
              <w:rPr>
                <w:rStyle w:val="InstructionsTabelleText"/>
                <w:rFonts w:ascii="Times New Roman" w:hAnsi="Times New Roman"/>
                <w:sz w:val="24"/>
              </w:rPr>
              <w:t>Vykazuje sa PD priradená konkrétnemu ratingovému stupňu alebo skupine dlžníkov pre každý jednotlivý ratingový stupeň alebo jednotlivú skupinu. Všetky vykazované parametre rizika sa odvodzujú od parametrov rizika používaných</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internej ratingovej stupnici schválenej dotknutým príslušným orgánom.</w:t>
            </w:r>
          </w:p>
          <w:p w14:paraId="1C905869" w14:textId="52918A10" w:rsidR="009912F8" w:rsidRPr="00E07C9A" w:rsidRDefault="001C7AB7" w:rsidP="001C7AB7">
            <w:pPr>
              <w:rPr>
                <w:rStyle w:val="InstructionsTabelleText"/>
                <w:rFonts w:ascii="Times New Roman" w:hAnsi="Times New Roman"/>
                <w:sz w:val="24"/>
              </w:rPr>
            </w:pPr>
            <w:r w:rsidRPr="00E07C9A">
              <w:rPr>
                <w:rStyle w:val="InstructionsTabelleText"/>
                <w:rFonts w:ascii="Times New Roman" w:hAnsi="Times New Roman"/>
                <w:sz w:val="24"/>
              </w:rPr>
              <w:t>Neplánuje sa</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ani nie je žiaduce mať hlavnú stupnicu orgánov dohľadu. Ak vykazujúca inštitúcia uplatňuje jedinečnú ratingovú stupnicu alebo dokáže vykazovať podľa internej hlavnej stupnice, používa sa táto stupnica</w:t>
            </w:r>
            <w:r w:rsidR="009912F8" w:rsidRPr="00E07C9A">
              <w:rPr>
                <w:rStyle w:val="InstructionsTabelleText"/>
                <w:rFonts w:ascii="Times New Roman" w:hAnsi="Times New Roman"/>
                <w:sz w:val="24"/>
              </w:rPr>
              <w:t>.</w:t>
            </w:r>
          </w:p>
          <w:p w14:paraId="26FBA781" w14:textId="3ABEEB50" w:rsidR="001C7AB7" w:rsidRPr="00E07C9A" w:rsidRDefault="001C7AB7" w:rsidP="001C7AB7">
            <w:pPr>
              <w:rPr>
                <w:rStyle w:val="InstructionsTabelleText"/>
                <w:rFonts w:ascii="Times New Roman" w:hAnsi="Times New Roman"/>
                <w:sz w:val="24"/>
              </w:rPr>
            </w:pPr>
            <w:r w:rsidRPr="00E07C9A">
              <w:rPr>
                <w:rStyle w:val="InstructionsTabelleText"/>
                <w:rFonts w:ascii="Times New Roman" w:hAnsi="Times New Roman"/>
                <w:sz w:val="24"/>
              </w:rPr>
              <w:t>Inak sa jednotlivé ratingové stupnice zlúčia</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zoradia podľa týchto kritérií: ratingové stupne dlžníkov rôznych ratingových stupníc sa zoskupia</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zoradia od najnižšej PD priradenej každému ratingovému stupňu dlžníka po najvyššiu. Keď inštitúcia používa veľký počet ratingových stupňov alebo skupín,</w:t>
            </w:r>
            <w:r w:rsidR="009912F8" w:rsidRPr="00E07C9A">
              <w:rPr>
                <w:rStyle w:val="InstructionsTabelleText"/>
                <w:rFonts w:ascii="Times New Roman" w:hAnsi="Times New Roman"/>
                <w:sz w:val="24"/>
              </w:rPr>
              <w:t xml:space="preserve"> s </w:t>
            </w:r>
            <w:r w:rsidRPr="00E07C9A">
              <w:rPr>
                <w:rStyle w:val="InstructionsTabelleText"/>
                <w:rFonts w:ascii="Times New Roman" w:hAnsi="Times New Roman"/>
                <w:sz w:val="24"/>
              </w:rPr>
              <w:t>príslušnými orgánmi sa môže dohodnúť nižší počet ratingových stupňov alebo skupín. To isté platí pre spojitú ratingovú stupnicu: nižší počet stupňov, ktoré sa majú vykazovať, sa musí dohodnúť</w:t>
            </w:r>
            <w:r w:rsidR="009912F8" w:rsidRPr="00E07C9A">
              <w:rPr>
                <w:rStyle w:val="InstructionsTabelleText"/>
                <w:rFonts w:ascii="Times New Roman" w:hAnsi="Times New Roman"/>
                <w:sz w:val="24"/>
              </w:rPr>
              <w:t xml:space="preserve"> s </w:t>
            </w:r>
            <w:r w:rsidRPr="00E07C9A">
              <w:rPr>
                <w:rStyle w:val="InstructionsTabelleText"/>
                <w:rFonts w:ascii="Times New Roman" w:hAnsi="Times New Roman"/>
                <w:sz w:val="24"/>
              </w:rPr>
              <w:t>príslušnými orgánmi.</w:t>
            </w:r>
          </w:p>
          <w:p w14:paraId="1F55C387" w14:textId="6E79EBA0" w:rsidR="001C7AB7" w:rsidRPr="00E07C9A" w:rsidRDefault="001C7AB7" w:rsidP="001C7AB7">
            <w:pPr>
              <w:rPr>
                <w:rStyle w:val="InstructionsTabelleText"/>
                <w:rFonts w:ascii="Times New Roman" w:hAnsi="Times New Roman"/>
                <w:sz w:val="24"/>
              </w:rPr>
            </w:pPr>
            <w:r w:rsidRPr="00E07C9A">
              <w:rPr>
                <w:rStyle w:val="InstructionsTabelleText"/>
                <w:rFonts w:ascii="Times New Roman" w:hAnsi="Times New Roman"/>
                <w:sz w:val="24"/>
              </w:rPr>
              <w:t>Inštitúcie sa vopred spoja so svojím príslušným orgánom, keď chcú vykazovať iný počet ratingových stupňov</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porovnaní</w:t>
            </w:r>
            <w:r w:rsidR="009912F8" w:rsidRPr="00E07C9A">
              <w:rPr>
                <w:rStyle w:val="InstructionsTabelleText"/>
                <w:rFonts w:ascii="Times New Roman" w:hAnsi="Times New Roman"/>
                <w:sz w:val="24"/>
              </w:rPr>
              <w:t xml:space="preserve"> s </w:t>
            </w:r>
            <w:r w:rsidRPr="00E07C9A">
              <w:rPr>
                <w:rStyle w:val="InstructionsTabelleText"/>
                <w:rFonts w:ascii="Times New Roman" w:hAnsi="Times New Roman"/>
                <w:sz w:val="24"/>
              </w:rPr>
              <w:t>interným počtom ratingových stupňov.</w:t>
            </w:r>
          </w:p>
          <w:p w14:paraId="383AC658" w14:textId="43FB681E" w:rsidR="006C35BA" w:rsidRPr="00E07C9A" w:rsidRDefault="006C35BA" w:rsidP="001C7AB7">
            <w:pPr>
              <w:rPr>
                <w:rStyle w:val="InstructionsTabelleText"/>
                <w:rFonts w:ascii="Times New Roman" w:hAnsi="Times New Roman"/>
                <w:sz w:val="24"/>
              </w:rPr>
            </w:pPr>
            <w:r w:rsidRPr="00E07C9A">
              <w:rPr>
                <w:rStyle w:val="InstructionsTabelleText"/>
                <w:rFonts w:ascii="Times New Roman" w:hAnsi="Times New Roman"/>
                <w:sz w:val="24"/>
              </w:rPr>
              <w:t>Posledný ratingový stupeň alebo stupne sú určené pre expozície</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stave zlyhania, ktorých PD je 100</w:t>
            </w:r>
            <w:r w:rsidR="009912F8" w:rsidRPr="00E07C9A">
              <w:rPr>
                <w:rFonts w:ascii="Times New Roman" w:hAnsi="Times New Roman"/>
              </w:rPr>
              <w:t> %</w:t>
            </w:r>
            <w:r w:rsidRPr="00E07C9A">
              <w:rPr>
                <w:rStyle w:val="InstructionsTabelleText"/>
                <w:rFonts w:ascii="Times New Roman" w:hAnsi="Times New Roman"/>
                <w:sz w:val="24"/>
              </w:rPr>
              <w:t>.</w:t>
            </w:r>
          </w:p>
          <w:p w14:paraId="41D7EF91" w14:textId="183F9DFF" w:rsidR="001C7AB7" w:rsidRPr="00E07C9A" w:rsidRDefault="001C7AB7" w:rsidP="001C7AB7">
            <w:pPr>
              <w:rPr>
                <w:rStyle w:val="InstructionsTabelleText"/>
                <w:rFonts w:ascii="Times New Roman" w:hAnsi="Times New Roman"/>
                <w:sz w:val="24"/>
              </w:rPr>
            </w:pPr>
            <w:r w:rsidRPr="00E07C9A">
              <w:rPr>
                <w:rStyle w:val="InstructionsTabelleText"/>
                <w:rFonts w:ascii="Times New Roman" w:hAnsi="Times New Roman"/>
                <w:sz w:val="24"/>
              </w:rPr>
              <w:t>Na účely priradenia váhy priemernej PD sa používa hodnota expozície vykázaná</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stĺpci 110. Expozíciami vážená priemerná PD sa vypočítava</w:t>
            </w:r>
            <w:r w:rsidR="009912F8" w:rsidRPr="00E07C9A">
              <w:rPr>
                <w:rStyle w:val="InstructionsTabelleText"/>
                <w:rFonts w:ascii="Times New Roman" w:hAnsi="Times New Roman"/>
                <w:sz w:val="24"/>
              </w:rPr>
              <w:t xml:space="preserve"> s </w:t>
            </w:r>
            <w:r w:rsidRPr="00E07C9A">
              <w:rPr>
                <w:rStyle w:val="InstructionsTabelleText"/>
                <w:rFonts w:ascii="Times New Roman" w:hAnsi="Times New Roman"/>
                <w:sz w:val="24"/>
              </w:rPr>
              <w:t>prihliadnutím na všetky expozície vykázané</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danom riadku.</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riadku,</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ktorom sa vykazujú len zlyhané expozície, priemerná PD predstavuje 100</w:t>
            </w:r>
            <w:r w:rsidR="009912F8" w:rsidRPr="00E07C9A">
              <w:rPr>
                <w:rStyle w:val="InstructionsTabelleText"/>
                <w:rFonts w:ascii="Times New Roman" w:hAnsi="Times New Roman"/>
                <w:sz w:val="24"/>
              </w:rPr>
              <w:t> %</w:t>
            </w:r>
            <w:r w:rsidRPr="00E07C9A">
              <w:rPr>
                <w:rStyle w:val="InstructionsTabelleText"/>
                <w:rFonts w:ascii="Times New Roman" w:hAnsi="Times New Roman"/>
                <w:sz w:val="24"/>
              </w:rPr>
              <w:t>.</w:t>
            </w:r>
          </w:p>
          <w:p w14:paraId="140E601A" w14:textId="77777777" w:rsidR="001C7AB7" w:rsidRPr="00E07C9A" w:rsidRDefault="001C7AB7" w:rsidP="001C7AB7">
            <w:pPr>
              <w:rPr>
                <w:rFonts w:ascii="Times New Roman" w:hAnsi="Times New Roman"/>
                <w:sz w:val="24"/>
              </w:rPr>
            </w:pPr>
          </w:p>
        </w:tc>
      </w:tr>
      <w:tr w:rsidR="001C7AB7" w:rsidRPr="00E07C9A" w14:paraId="3F686075" w14:textId="77777777" w:rsidTr="00672D2A">
        <w:tc>
          <w:tcPr>
            <w:tcW w:w="1188" w:type="dxa"/>
          </w:tcPr>
          <w:p w14:paraId="61D15456" w14:textId="77777777" w:rsidR="001C7AB7" w:rsidRPr="00E07C9A" w:rsidRDefault="00FF15C6" w:rsidP="001C7AB7">
            <w:pPr>
              <w:rPr>
                <w:rFonts w:ascii="Times New Roman" w:hAnsi="Times New Roman"/>
                <w:sz w:val="24"/>
              </w:rPr>
            </w:pPr>
            <w:r w:rsidRPr="00E07C9A">
              <w:rPr>
                <w:rFonts w:ascii="Times New Roman" w:hAnsi="Times New Roman"/>
                <w:sz w:val="24"/>
              </w:rPr>
              <w:t>0020</w:t>
            </w:r>
          </w:p>
        </w:tc>
        <w:tc>
          <w:tcPr>
            <w:tcW w:w="8843" w:type="dxa"/>
          </w:tcPr>
          <w:p w14:paraId="369D5D1B" w14:textId="77777777" w:rsidR="001C7AB7" w:rsidRPr="00E07C9A" w:rsidRDefault="001C7AB7" w:rsidP="001C7AB7">
            <w:pPr>
              <w:rPr>
                <w:rFonts w:ascii="Times New Roman" w:hAnsi="Times New Roman"/>
                <w:b/>
                <w:sz w:val="24"/>
                <w:u w:val="single"/>
              </w:rPr>
            </w:pPr>
            <w:r w:rsidRPr="00E07C9A">
              <w:rPr>
                <w:rFonts w:ascii="Times New Roman" w:hAnsi="Times New Roman"/>
                <w:b/>
                <w:sz w:val="24"/>
                <w:u w:val="single"/>
              </w:rPr>
              <w:t>PÔVODNÁ EXPOZÍCIA PRED UPLATNENÍM KONVERZNÝCH FAKTOROV</w:t>
            </w:r>
          </w:p>
          <w:p w14:paraId="56B84879" w14:textId="4C5F5222" w:rsidR="009912F8" w:rsidRPr="00E07C9A" w:rsidRDefault="001C7AB7" w:rsidP="001C7AB7">
            <w:pPr>
              <w:rPr>
                <w:rFonts w:ascii="Times New Roman" w:hAnsi="Times New Roman"/>
                <w:sz w:val="24"/>
              </w:rPr>
            </w:pPr>
            <w:r w:rsidRPr="00E07C9A">
              <w:rPr>
                <w:rFonts w:ascii="Times New Roman" w:hAnsi="Times New Roman"/>
                <w:sz w:val="24"/>
              </w:rPr>
              <w:t>Inštitúcie vykazujú hodnotu expozície pred zohľadnením prípadných úprav hodnoty, rezerv, účinkov</w:t>
            </w:r>
            <w:r w:rsidR="009912F8" w:rsidRPr="00E07C9A">
              <w:rPr>
                <w:rFonts w:ascii="Times New Roman" w:hAnsi="Times New Roman"/>
                <w:sz w:val="24"/>
              </w:rPr>
              <w:t xml:space="preserve"> z </w:t>
            </w:r>
            <w:r w:rsidRPr="00E07C9A">
              <w:rPr>
                <w:rFonts w:ascii="Times New Roman" w:hAnsi="Times New Roman"/>
                <w:sz w:val="24"/>
              </w:rPr>
              <w:t>dôvodu postupov zmierňovania kreditného rizika alebo konverzných faktorov úverov</w:t>
            </w:r>
            <w:r w:rsidR="009912F8" w:rsidRPr="00E07C9A">
              <w:rPr>
                <w:rFonts w:ascii="Times New Roman" w:hAnsi="Times New Roman"/>
                <w:sz w:val="24"/>
              </w:rPr>
              <w:t>.</w:t>
            </w:r>
          </w:p>
          <w:p w14:paraId="62E2DA78" w14:textId="51E1DCC8" w:rsidR="001C7AB7" w:rsidRPr="00E07C9A" w:rsidRDefault="001C7AB7" w:rsidP="001C7AB7">
            <w:pPr>
              <w:rPr>
                <w:rFonts w:ascii="Times New Roman" w:hAnsi="Times New Roman"/>
                <w:sz w:val="24"/>
              </w:rPr>
            </w:pPr>
            <w:r w:rsidRPr="00E07C9A">
              <w:rPr>
                <w:rFonts w:ascii="Times New Roman" w:hAnsi="Times New Roman"/>
                <w:sz w:val="24"/>
              </w:rPr>
              <w:t>Hodnota pôvodnej expozície sa vykazuje</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24 nariadenia (EÚ) </w:t>
            </w:r>
            <w:r w:rsidR="009912F8" w:rsidRPr="00E07C9A">
              <w:rPr>
                <w:rFonts w:ascii="Times New Roman" w:hAnsi="Times New Roman"/>
                <w:sz w:val="24"/>
              </w:rPr>
              <w:t>č. 575/2013 a </w:t>
            </w:r>
            <w:r w:rsidRPr="00E07C9A">
              <w:rPr>
                <w:rFonts w:ascii="Times New Roman" w:hAnsi="Times New Roman"/>
                <w:sz w:val="24"/>
              </w:rPr>
              <w:t>článkom 166 ods. 1, 2, 4, 5, 6</w:t>
            </w:r>
            <w:r w:rsidR="009912F8" w:rsidRPr="00E07C9A">
              <w:rPr>
                <w:rFonts w:ascii="Times New Roman" w:hAnsi="Times New Roman"/>
                <w:sz w:val="24"/>
              </w:rPr>
              <w:t xml:space="preserve"> a </w:t>
            </w:r>
            <w:r w:rsidRPr="00E07C9A">
              <w:rPr>
                <w:rFonts w:ascii="Times New Roman" w:hAnsi="Times New Roman"/>
                <w:sz w:val="24"/>
              </w:rPr>
              <w:t>7 uvedeného nariadenia.</w:t>
            </w:r>
          </w:p>
          <w:p w14:paraId="6959485C" w14:textId="05258296" w:rsidR="009912F8" w:rsidRPr="00E07C9A" w:rsidRDefault="001C7AB7" w:rsidP="001C7AB7">
            <w:pPr>
              <w:rPr>
                <w:rFonts w:ascii="Times New Roman" w:hAnsi="Times New Roman"/>
                <w:sz w:val="24"/>
              </w:rPr>
            </w:pPr>
            <w:r w:rsidRPr="00E07C9A">
              <w:rPr>
                <w:rFonts w:ascii="Times New Roman" w:hAnsi="Times New Roman"/>
                <w:sz w:val="24"/>
              </w:rPr>
              <w:t>Účinok vyplývajúci</w:t>
            </w:r>
            <w:r w:rsidR="009912F8" w:rsidRPr="00E07C9A">
              <w:rPr>
                <w:rFonts w:ascii="Times New Roman" w:hAnsi="Times New Roman"/>
                <w:sz w:val="24"/>
              </w:rPr>
              <w:t xml:space="preserve"> z </w:t>
            </w:r>
            <w:r w:rsidRPr="00E07C9A">
              <w:rPr>
                <w:rFonts w:ascii="Times New Roman" w:hAnsi="Times New Roman"/>
                <w:sz w:val="24"/>
              </w:rPr>
              <w:t xml:space="preserve">článku 166 ods. 3 nariadenia (EÚ) </w:t>
            </w:r>
            <w:r w:rsidR="009912F8" w:rsidRPr="00E07C9A">
              <w:rPr>
                <w:rFonts w:ascii="Times New Roman" w:hAnsi="Times New Roman"/>
                <w:sz w:val="24"/>
              </w:rPr>
              <w:t>č. 575/2013</w:t>
            </w:r>
            <w:r w:rsidRPr="00E07C9A">
              <w:rPr>
                <w:rFonts w:ascii="Times New Roman" w:hAnsi="Times New Roman"/>
                <w:sz w:val="24"/>
              </w:rPr>
              <w:t xml:space="preserve"> (účinok vzájomného započítania úverov</w:t>
            </w:r>
            <w:r w:rsidR="009912F8" w:rsidRPr="00E07C9A">
              <w:rPr>
                <w:rFonts w:ascii="Times New Roman" w:hAnsi="Times New Roman"/>
                <w:sz w:val="24"/>
              </w:rPr>
              <w:t xml:space="preserve"> a </w:t>
            </w:r>
            <w:r w:rsidRPr="00E07C9A">
              <w:rPr>
                <w:rFonts w:ascii="Times New Roman" w:hAnsi="Times New Roman"/>
                <w:sz w:val="24"/>
              </w:rPr>
              <w:t>vkladov</w:t>
            </w:r>
            <w:r w:rsidR="009912F8" w:rsidRPr="00E07C9A">
              <w:rPr>
                <w:rFonts w:ascii="Times New Roman" w:hAnsi="Times New Roman"/>
                <w:sz w:val="24"/>
              </w:rPr>
              <w:t xml:space="preserve"> v </w:t>
            </w:r>
            <w:r w:rsidRPr="00E07C9A">
              <w:rPr>
                <w:rFonts w:ascii="Times New Roman" w:hAnsi="Times New Roman"/>
                <w:sz w:val="24"/>
              </w:rPr>
              <w:t>súvahe) sa vykazuje osobitne ako financované kreditné zabezpečenie,</w:t>
            </w:r>
            <w:r w:rsidR="009912F8" w:rsidRPr="00E07C9A">
              <w:rPr>
                <w:rFonts w:ascii="Times New Roman" w:hAnsi="Times New Roman"/>
                <w:sz w:val="24"/>
              </w:rPr>
              <w:t xml:space="preserve"> a </w:t>
            </w:r>
            <w:r w:rsidRPr="00E07C9A">
              <w:rPr>
                <w:rFonts w:ascii="Times New Roman" w:hAnsi="Times New Roman"/>
                <w:sz w:val="24"/>
              </w:rPr>
              <w:t>preto neznižuje pôvodnú expozíciu</w:t>
            </w:r>
            <w:r w:rsidR="009912F8" w:rsidRPr="00E07C9A">
              <w:rPr>
                <w:rFonts w:ascii="Times New Roman" w:hAnsi="Times New Roman"/>
                <w:sz w:val="24"/>
              </w:rPr>
              <w:t>.</w:t>
            </w:r>
          </w:p>
          <w:p w14:paraId="500087D9" w14:textId="676AF9E7" w:rsidR="001C7AB7" w:rsidRPr="00E07C9A" w:rsidRDefault="006C35BA" w:rsidP="00F34382">
            <w:pPr>
              <w:rPr>
                <w:rFonts w:ascii="Times New Roman" w:hAnsi="Times New Roman"/>
                <w:sz w:val="24"/>
              </w:rPr>
            </w:pPr>
            <w:r w:rsidRPr="00E07C9A">
              <w:rPr>
                <w:rFonts w:ascii="Times New Roman" w:hAnsi="Times New Roman"/>
                <w:sz w:val="24"/>
              </w:rPr>
              <w:t>V prípade derivátových nástrojov, repo transakcií, transakcií požičiavania alebo vypožičiavania cenných papierov alebo komodít, transakcií</w:t>
            </w:r>
            <w:r w:rsidR="009912F8" w:rsidRPr="00E07C9A">
              <w:rPr>
                <w:rFonts w:ascii="Times New Roman" w:hAnsi="Times New Roman"/>
                <w:sz w:val="24"/>
              </w:rPr>
              <w:t xml:space="preserve"> s </w:t>
            </w:r>
            <w:r w:rsidRPr="00E07C9A">
              <w:rPr>
                <w:rFonts w:ascii="Times New Roman" w:hAnsi="Times New Roman"/>
                <w:sz w:val="24"/>
              </w:rPr>
              <w:t>dlhou dobou vyrovnania</w:t>
            </w:r>
            <w:r w:rsidR="009912F8" w:rsidRPr="00E07C9A">
              <w:rPr>
                <w:rFonts w:ascii="Times New Roman" w:hAnsi="Times New Roman"/>
                <w:sz w:val="24"/>
              </w:rPr>
              <w:t xml:space="preserve"> a </w:t>
            </w:r>
            <w:r w:rsidRPr="00E07C9A">
              <w:rPr>
                <w:rFonts w:ascii="Times New Roman" w:hAnsi="Times New Roman"/>
                <w:sz w:val="24"/>
              </w:rPr>
              <w:t>transakcií požičiavania</w:t>
            </w:r>
            <w:r w:rsidR="009912F8" w:rsidRPr="00E07C9A">
              <w:rPr>
                <w:rFonts w:ascii="Times New Roman" w:hAnsi="Times New Roman"/>
                <w:sz w:val="24"/>
              </w:rPr>
              <w:t xml:space="preserve"> s </w:t>
            </w:r>
            <w:r w:rsidRPr="00E07C9A">
              <w:rPr>
                <w:rFonts w:ascii="Times New Roman" w:hAnsi="Times New Roman"/>
                <w:sz w:val="24"/>
              </w:rPr>
              <w:t xml:space="preserve">dozabezpečením podliehajúcich kreditnému riziku protistrany [tretia časť hlava II kapitola 4 alebo 6 nariadenia (EÚ) </w:t>
            </w:r>
            <w:r w:rsidR="009912F8" w:rsidRPr="00E07C9A">
              <w:rPr>
                <w:rFonts w:ascii="Times New Roman" w:hAnsi="Times New Roman"/>
                <w:sz w:val="24"/>
              </w:rPr>
              <w:t>č. 575/2013</w:t>
            </w:r>
            <w:r w:rsidRPr="00E07C9A">
              <w:rPr>
                <w:rFonts w:ascii="Times New Roman" w:hAnsi="Times New Roman"/>
                <w:sz w:val="24"/>
              </w:rPr>
              <w:t>] zodpovedá pôvodná expozícia hodnote expozície vyplývajúcej</w:t>
            </w:r>
            <w:r w:rsidR="009912F8" w:rsidRPr="00E07C9A">
              <w:rPr>
                <w:rFonts w:ascii="Times New Roman" w:hAnsi="Times New Roman"/>
                <w:sz w:val="24"/>
              </w:rPr>
              <w:t xml:space="preserve"> z </w:t>
            </w:r>
            <w:r w:rsidRPr="00E07C9A">
              <w:rPr>
                <w:rFonts w:ascii="Times New Roman" w:hAnsi="Times New Roman"/>
                <w:sz w:val="24"/>
              </w:rPr>
              <w:t>kreditného rizika protistrany (pozri pokyny</w:t>
            </w:r>
            <w:r w:rsidR="009912F8" w:rsidRPr="00E07C9A">
              <w:rPr>
                <w:rFonts w:ascii="Times New Roman" w:hAnsi="Times New Roman"/>
                <w:sz w:val="24"/>
              </w:rPr>
              <w:t xml:space="preserve"> k </w:t>
            </w:r>
            <w:r w:rsidRPr="00E07C9A">
              <w:rPr>
                <w:rFonts w:ascii="Times New Roman" w:hAnsi="Times New Roman"/>
                <w:sz w:val="24"/>
              </w:rPr>
              <w:t>stĺpcu 0130).</w:t>
            </w:r>
          </w:p>
        </w:tc>
      </w:tr>
      <w:tr w:rsidR="001C7AB7" w:rsidRPr="00E07C9A" w14:paraId="634F4DCE" w14:textId="77777777" w:rsidTr="00672D2A">
        <w:tc>
          <w:tcPr>
            <w:tcW w:w="1188" w:type="dxa"/>
          </w:tcPr>
          <w:p w14:paraId="22492D11" w14:textId="77777777" w:rsidR="001C7AB7" w:rsidRPr="00E07C9A" w:rsidRDefault="00FF15C6" w:rsidP="001C7AB7">
            <w:pPr>
              <w:rPr>
                <w:rFonts w:ascii="Times New Roman" w:hAnsi="Times New Roman"/>
                <w:sz w:val="24"/>
              </w:rPr>
            </w:pPr>
            <w:r w:rsidRPr="00E07C9A">
              <w:rPr>
                <w:rFonts w:ascii="Times New Roman" w:hAnsi="Times New Roman"/>
                <w:sz w:val="24"/>
              </w:rPr>
              <w:t>0030</w:t>
            </w:r>
          </w:p>
        </w:tc>
        <w:tc>
          <w:tcPr>
            <w:tcW w:w="8843" w:type="dxa"/>
          </w:tcPr>
          <w:p w14:paraId="6C52A05E" w14:textId="77777777" w:rsidR="001C7AB7" w:rsidRPr="00E07C9A" w:rsidRDefault="001C7AB7" w:rsidP="001C7AB7">
            <w:pPr>
              <w:rPr>
                <w:rFonts w:ascii="Times New Roman" w:hAnsi="Times New Roman"/>
                <w:b/>
                <w:sz w:val="24"/>
                <w:u w:val="single"/>
              </w:rPr>
            </w:pPr>
            <w:r w:rsidRPr="00E07C9A">
              <w:rPr>
                <w:rFonts w:ascii="Times New Roman" w:hAnsi="Times New Roman"/>
                <w:b/>
                <w:sz w:val="24"/>
                <w:u w:val="single"/>
              </w:rPr>
              <w:t>Z ČOHO: VEĽKÉ SUBJEKTY FINANČNÉHO SEKTORA A NEREGULOVANÉ FINANČNÉ SUBJEKTY</w:t>
            </w:r>
          </w:p>
          <w:p w14:paraId="38DF2305" w14:textId="7FFDA56E" w:rsidR="001C7AB7" w:rsidRPr="00E07C9A" w:rsidRDefault="001C7AB7" w:rsidP="00F34382">
            <w:pPr>
              <w:rPr>
                <w:rFonts w:ascii="Times New Roman" w:hAnsi="Times New Roman"/>
                <w:b/>
                <w:sz w:val="24"/>
                <w:u w:val="single"/>
              </w:rPr>
            </w:pPr>
            <w:r w:rsidRPr="00E07C9A">
              <w:rPr>
                <w:rFonts w:ascii="Times New Roman" w:hAnsi="Times New Roman"/>
                <w:sz w:val="24"/>
              </w:rPr>
              <w:t>Rozčlenenie pôvodnej expozície pred uplatnením konverzného faktora pre všetky expozície subjektov uvedených</w:t>
            </w:r>
            <w:r w:rsidR="009912F8" w:rsidRPr="00E07C9A">
              <w:rPr>
                <w:rFonts w:ascii="Times New Roman" w:hAnsi="Times New Roman"/>
                <w:sz w:val="24"/>
              </w:rPr>
              <w:t xml:space="preserve"> v </w:t>
            </w:r>
            <w:r w:rsidRPr="00E07C9A">
              <w:rPr>
                <w:rFonts w:ascii="Times New Roman" w:hAnsi="Times New Roman"/>
                <w:sz w:val="24"/>
              </w:rPr>
              <w:t>článku 142 ods. 1 bodoch 4</w:t>
            </w:r>
            <w:r w:rsidR="009912F8" w:rsidRPr="00E07C9A">
              <w:rPr>
                <w:rFonts w:ascii="Times New Roman" w:hAnsi="Times New Roman"/>
                <w:sz w:val="24"/>
              </w:rPr>
              <w:t xml:space="preserve"> a </w:t>
            </w:r>
            <w:r w:rsidRPr="00E07C9A">
              <w:rPr>
                <w:rFonts w:ascii="Times New Roman" w:hAnsi="Times New Roman"/>
                <w:sz w:val="24"/>
              </w:rPr>
              <w:t xml:space="preserve">5 nariadenia (EÚ) </w:t>
            </w:r>
            <w:r w:rsidR="009912F8" w:rsidRPr="00E07C9A">
              <w:rPr>
                <w:rFonts w:ascii="Times New Roman" w:hAnsi="Times New Roman"/>
                <w:sz w:val="24"/>
              </w:rPr>
              <w:t>č. 575/2013</w:t>
            </w:r>
            <w:r w:rsidRPr="00E07C9A">
              <w:rPr>
                <w:rFonts w:ascii="Times New Roman" w:hAnsi="Times New Roman"/>
                <w:sz w:val="24"/>
              </w:rPr>
              <w:t>, na ktoré sa vzťahuje vyšší koeficient korelácie určený</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článkom 153 ods. 2 uvedeného nariadenia.</w:t>
            </w:r>
          </w:p>
        </w:tc>
      </w:tr>
      <w:tr w:rsidR="001C7AB7" w:rsidRPr="00E07C9A" w14:paraId="36505BDA" w14:textId="77777777" w:rsidTr="00672D2A">
        <w:tc>
          <w:tcPr>
            <w:tcW w:w="1188" w:type="dxa"/>
          </w:tcPr>
          <w:p w14:paraId="7468D39D" w14:textId="77777777" w:rsidR="001C7AB7" w:rsidRPr="00E07C9A" w:rsidRDefault="001C7AB7" w:rsidP="004F2B30">
            <w:pPr>
              <w:rPr>
                <w:rFonts w:ascii="Times New Roman" w:hAnsi="Times New Roman"/>
                <w:sz w:val="24"/>
              </w:rPr>
            </w:pPr>
            <w:r w:rsidRPr="00E07C9A">
              <w:rPr>
                <w:rFonts w:ascii="Times New Roman" w:hAnsi="Times New Roman"/>
                <w:sz w:val="24"/>
              </w:rPr>
              <w:t>0040 –⁠ 0080</w:t>
            </w:r>
          </w:p>
        </w:tc>
        <w:tc>
          <w:tcPr>
            <w:tcW w:w="8843" w:type="dxa"/>
          </w:tcPr>
          <w:p w14:paraId="748B30EF" w14:textId="77777777" w:rsidR="001C7AB7" w:rsidRPr="00E07C9A" w:rsidRDefault="001C7AB7" w:rsidP="001C7AB7">
            <w:pPr>
              <w:rPr>
                <w:rFonts w:ascii="Times New Roman" w:hAnsi="Times New Roman"/>
                <w:b/>
                <w:sz w:val="24"/>
                <w:u w:val="single"/>
              </w:rPr>
            </w:pPr>
            <w:r w:rsidRPr="00E07C9A">
              <w:rPr>
                <w:rFonts w:ascii="Times New Roman" w:hAnsi="Times New Roman"/>
                <w:b/>
                <w:sz w:val="24"/>
                <w:u w:val="single"/>
              </w:rPr>
              <w:t>POSTUPY ZMIERŇOVANIA KREDITNÉHO RIZIKA (CRM) SO SUBSTITUČNÝMI ÚČINKAMI NA EXPOZÍCIU</w:t>
            </w:r>
          </w:p>
          <w:p w14:paraId="1AE12741" w14:textId="326AA785" w:rsidR="001C7AB7" w:rsidRPr="00E07C9A" w:rsidRDefault="001C7AB7" w:rsidP="001C7AB7">
            <w:pPr>
              <w:rPr>
                <w:rFonts w:ascii="Times New Roman" w:hAnsi="Times New Roman"/>
                <w:sz w:val="24"/>
              </w:rPr>
            </w:pPr>
            <w:r w:rsidRPr="00E07C9A">
              <w:rPr>
                <w:rFonts w:ascii="Times New Roman" w:hAnsi="Times New Roman"/>
                <w:sz w:val="24"/>
              </w:rPr>
              <w:t>Postupy zmierňovania kreditného rizika</w:t>
            </w:r>
            <w:r w:rsidR="009912F8" w:rsidRPr="00E07C9A">
              <w:rPr>
                <w:rFonts w:ascii="Times New Roman" w:hAnsi="Times New Roman"/>
                <w:sz w:val="24"/>
              </w:rPr>
              <w:t xml:space="preserve"> v </w:t>
            </w:r>
            <w:r w:rsidRPr="00E07C9A">
              <w:rPr>
                <w:rFonts w:ascii="Times New Roman" w:hAnsi="Times New Roman"/>
                <w:sz w:val="24"/>
              </w:rPr>
              <w:t>zmysle vymedzenia</w:t>
            </w:r>
            <w:r w:rsidR="009912F8" w:rsidRPr="00E07C9A">
              <w:rPr>
                <w:rFonts w:ascii="Times New Roman" w:hAnsi="Times New Roman"/>
                <w:sz w:val="24"/>
              </w:rPr>
              <w:t xml:space="preserve"> v </w:t>
            </w:r>
            <w:r w:rsidRPr="00E07C9A">
              <w:rPr>
                <w:rFonts w:ascii="Times New Roman" w:hAnsi="Times New Roman"/>
                <w:sz w:val="24"/>
              </w:rPr>
              <w:t xml:space="preserve">článku 4 ods. 1 bode 57 nariadenia (EÚ) </w:t>
            </w:r>
            <w:r w:rsidR="009912F8" w:rsidRPr="00E07C9A">
              <w:rPr>
                <w:rFonts w:ascii="Times New Roman" w:hAnsi="Times New Roman"/>
                <w:sz w:val="24"/>
              </w:rPr>
              <w:t>č. 575/2013</w:t>
            </w:r>
            <w:r w:rsidRPr="00E07C9A">
              <w:rPr>
                <w:rFonts w:ascii="Times New Roman" w:hAnsi="Times New Roman"/>
                <w:sz w:val="24"/>
              </w:rPr>
              <w:t>, ktorými sa znižuje kreditné riziko expozície alebo expozícií substitúciou expozícií, ako je vymedzené nižšie</w:t>
            </w:r>
            <w:r w:rsidR="009912F8" w:rsidRPr="00E07C9A">
              <w:rPr>
                <w:rFonts w:ascii="Times New Roman" w:hAnsi="Times New Roman"/>
                <w:sz w:val="24"/>
              </w:rPr>
              <w:t xml:space="preserve"> v </w:t>
            </w:r>
            <w:r w:rsidRPr="00E07C9A">
              <w:rPr>
                <w:rFonts w:ascii="Times New Roman" w:hAnsi="Times New Roman"/>
                <w:sz w:val="24"/>
              </w:rPr>
              <w:t>položke „SUBSTITÚCIA EXPOZÍCIE NA ZÁKLADE ZMIERŇOVANIA KREDITNÉHO RIZIKA“.</w:t>
            </w:r>
          </w:p>
          <w:p w14:paraId="4AABA7C7" w14:textId="77777777" w:rsidR="001C7AB7" w:rsidRPr="00E07C9A" w:rsidRDefault="001C7AB7" w:rsidP="001C7AB7">
            <w:pPr>
              <w:autoSpaceDE w:val="0"/>
              <w:autoSpaceDN w:val="0"/>
              <w:adjustRightInd w:val="0"/>
              <w:spacing w:before="0" w:after="0"/>
              <w:jc w:val="left"/>
              <w:rPr>
                <w:rFonts w:ascii="Times New Roman" w:hAnsi="Times New Roman"/>
                <w:sz w:val="24"/>
              </w:rPr>
            </w:pPr>
          </w:p>
        </w:tc>
      </w:tr>
      <w:tr w:rsidR="001C7AB7" w:rsidRPr="00E07C9A" w14:paraId="52000E96" w14:textId="77777777" w:rsidTr="00672D2A">
        <w:tc>
          <w:tcPr>
            <w:tcW w:w="1188" w:type="dxa"/>
          </w:tcPr>
          <w:p w14:paraId="43E09CE0" w14:textId="77777777" w:rsidR="001C7AB7" w:rsidRPr="00E07C9A" w:rsidRDefault="001C7AB7" w:rsidP="004F2B30">
            <w:pPr>
              <w:rPr>
                <w:rFonts w:ascii="Times New Roman" w:hAnsi="Times New Roman"/>
                <w:sz w:val="24"/>
              </w:rPr>
            </w:pPr>
            <w:r w:rsidRPr="00E07C9A">
              <w:rPr>
                <w:rFonts w:ascii="Times New Roman" w:hAnsi="Times New Roman"/>
                <w:sz w:val="24"/>
              </w:rPr>
              <w:t>0040 –⁠ 0050</w:t>
            </w:r>
          </w:p>
        </w:tc>
        <w:tc>
          <w:tcPr>
            <w:tcW w:w="8843" w:type="dxa"/>
          </w:tcPr>
          <w:p w14:paraId="1AEF1FAF" w14:textId="77777777" w:rsidR="001C7AB7" w:rsidRPr="00E07C9A" w:rsidRDefault="001C7AB7" w:rsidP="001C7AB7">
            <w:pPr>
              <w:rPr>
                <w:rFonts w:ascii="Times New Roman" w:hAnsi="Times New Roman"/>
                <w:b/>
                <w:sz w:val="24"/>
                <w:u w:val="single"/>
              </w:rPr>
            </w:pPr>
            <w:r w:rsidRPr="00E07C9A">
              <w:rPr>
                <w:rFonts w:ascii="Times New Roman" w:hAnsi="Times New Roman"/>
                <w:b/>
                <w:sz w:val="24"/>
                <w:u w:val="single"/>
              </w:rPr>
              <w:t>NEFINANCOVANÉ KREDITNÉ ZABEZPEČENIE</w:t>
            </w:r>
          </w:p>
          <w:p w14:paraId="629F3C09" w14:textId="407FAE05" w:rsidR="001C7AB7" w:rsidRPr="00E07C9A" w:rsidRDefault="001C7AB7" w:rsidP="001C7AB7">
            <w:pPr>
              <w:rPr>
                <w:rStyle w:val="InstructionsTabelleText"/>
                <w:rFonts w:ascii="Times New Roman" w:hAnsi="Times New Roman"/>
                <w:sz w:val="24"/>
              </w:rPr>
            </w:pPr>
            <w:r w:rsidRPr="00E07C9A">
              <w:rPr>
                <w:rStyle w:val="InstructionsTabelleText"/>
                <w:rFonts w:ascii="Times New Roman" w:hAnsi="Times New Roman"/>
                <w:sz w:val="24"/>
              </w:rPr>
              <w:t>Nefinancované kreditné zabezpečenie</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zmysle vymedzenia</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článku 4 ods. 1 bode 59</w:t>
            </w:r>
            <w:r w:rsidRPr="00E07C9A">
              <w:rPr>
                <w:rFonts w:ascii="Times New Roman" w:hAnsi="Times New Roman"/>
                <w:sz w:val="24"/>
              </w:rPr>
              <w:t xml:space="preserve"> nariadenia (EÚ) </w:t>
            </w:r>
            <w:r w:rsidR="009912F8" w:rsidRPr="00E07C9A">
              <w:rPr>
                <w:rFonts w:ascii="Times New Roman" w:hAnsi="Times New Roman"/>
                <w:sz w:val="24"/>
              </w:rPr>
              <w:t>č. 575/2013</w:t>
            </w:r>
            <w:r w:rsidRPr="00E07C9A">
              <w:rPr>
                <w:rStyle w:val="InstructionsTabelleText"/>
                <w:rFonts w:ascii="Times New Roman" w:hAnsi="Times New Roman"/>
                <w:sz w:val="24"/>
              </w:rPr>
              <w:t>.</w:t>
            </w:r>
          </w:p>
          <w:p w14:paraId="11CF1FB5" w14:textId="77777777" w:rsidR="001C7AB7" w:rsidRPr="00E07C9A" w:rsidRDefault="005474CB" w:rsidP="00BD6DB9">
            <w:pPr>
              <w:rPr>
                <w:rFonts w:ascii="Times New Roman" w:hAnsi="Times New Roman"/>
                <w:sz w:val="24"/>
              </w:rPr>
            </w:pPr>
            <w:r w:rsidRPr="00E07C9A">
              <w:rPr>
                <w:rFonts w:ascii="Times New Roman" w:hAnsi="Times New Roman"/>
                <w:sz w:val="24"/>
              </w:rPr>
              <w:t>Nefinancované kreditné zabezpečenie, ktoré má účinok na expozíciu (napr. ak sa používa pri postupoch zmierňovania kreditného rizika so substitučnými účinkami na expozíciu), sa zhora ohraničuje hodnotou expozície.</w:t>
            </w:r>
          </w:p>
        </w:tc>
      </w:tr>
      <w:tr w:rsidR="001C7AB7" w:rsidRPr="00E07C9A" w14:paraId="3D59F827" w14:textId="77777777" w:rsidTr="00672D2A">
        <w:tc>
          <w:tcPr>
            <w:tcW w:w="1188" w:type="dxa"/>
          </w:tcPr>
          <w:p w14:paraId="673C744B" w14:textId="77777777" w:rsidR="001C7AB7" w:rsidRPr="00E07C9A" w:rsidRDefault="001C7AB7" w:rsidP="001C7AB7">
            <w:pPr>
              <w:rPr>
                <w:rFonts w:ascii="Times New Roman" w:hAnsi="Times New Roman"/>
                <w:sz w:val="24"/>
              </w:rPr>
            </w:pPr>
            <w:r w:rsidRPr="00E07C9A">
              <w:rPr>
                <w:rFonts w:ascii="Times New Roman" w:hAnsi="Times New Roman"/>
                <w:sz w:val="24"/>
              </w:rPr>
              <w:t>0040</w:t>
            </w:r>
          </w:p>
        </w:tc>
        <w:tc>
          <w:tcPr>
            <w:tcW w:w="8843" w:type="dxa"/>
          </w:tcPr>
          <w:p w14:paraId="15465F5A" w14:textId="77777777" w:rsidR="001C7AB7" w:rsidRPr="00E07C9A" w:rsidRDefault="001C7AB7" w:rsidP="001C7AB7">
            <w:pPr>
              <w:jc w:val="left"/>
              <w:rPr>
                <w:rStyle w:val="InstructionsTabelleberschrift"/>
                <w:rFonts w:ascii="Times New Roman" w:hAnsi="Times New Roman"/>
                <w:sz w:val="24"/>
              </w:rPr>
            </w:pPr>
            <w:r w:rsidRPr="00E07C9A">
              <w:rPr>
                <w:rStyle w:val="InstructionsTabelleberschrift"/>
                <w:rFonts w:ascii="Times New Roman" w:hAnsi="Times New Roman"/>
                <w:sz w:val="24"/>
              </w:rPr>
              <w:t>ZÁRUKY:</w:t>
            </w:r>
          </w:p>
          <w:p w14:paraId="47C4CE12" w14:textId="2F95F9C7" w:rsidR="001C7AB7" w:rsidRPr="00E07C9A" w:rsidRDefault="001C7AB7" w:rsidP="001C7AB7">
            <w:pPr>
              <w:jc w:val="left"/>
              <w:rPr>
                <w:rFonts w:ascii="Times New Roman" w:hAnsi="Times New Roman"/>
                <w:sz w:val="24"/>
              </w:rPr>
            </w:pPr>
            <w:r w:rsidRPr="00E07C9A">
              <w:rPr>
                <w:rFonts w:ascii="Times New Roman" w:hAnsi="Times New Roman"/>
                <w:sz w:val="24"/>
              </w:rPr>
              <w:t>Keď sa nepoužívajú vlastné odhady LGD, uvedie sa upravená hodnota (G</w:t>
            </w:r>
            <w:r w:rsidRPr="00E07C9A">
              <w:rPr>
                <w:rFonts w:ascii="Times New Roman" w:hAnsi="Times New Roman"/>
                <w:sz w:val="24"/>
                <w:vertAlign w:val="subscript"/>
              </w:rPr>
              <w:t>A</w:t>
            </w:r>
            <w:r w:rsidRPr="00E07C9A">
              <w:rPr>
                <w:rFonts w:ascii="Times New Roman" w:hAnsi="Times New Roman"/>
                <w:sz w:val="24"/>
              </w:rPr>
              <w:t>) vymedzená</w:t>
            </w:r>
            <w:r w:rsidR="009912F8" w:rsidRPr="00E07C9A">
              <w:rPr>
                <w:rFonts w:ascii="Times New Roman" w:hAnsi="Times New Roman"/>
                <w:sz w:val="24"/>
              </w:rPr>
              <w:t xml:space="preserve"> v </w:t>
            </w:r>
            <w:r w:rsidRPr="00E07C9A">
              <w:rPr>
                <w:rFonts w:ascii="Times New Roman" w:hAnsi="Times New Roman"/>
                <w:sz w:val="24"/>
              </w:rPr>
              <w:t xml:space="preserve">článku 236 ods. 3 nariadenia (EÚ) </w:t>
            </w:r>
            <w:r w:rsidR="009912F8" w:rsidRPr="00E07C9A">
              <w:rPr>
                <w:rFonts w:ascii="Times New Roman" w:hAnsi="Times New Roman"/>
                <w:sz w:val="24"/>
              </w:rPr>
              <w:t>č. 575/2013</w:t>
            </w:r>
            <w:r w:rsidRPr="00E07C9A">
              <w:rPr>
                <w:rFonts w:ascii="Times New Roman" w:hAnsi="Times New Roman"/>
                <w:sz w:val="24"/>
              </w:rPr>
              <w:t>.</w:t>
            </w:r>
          </w:p>
          <w:p w14:paraId="42C4492A" w14:textId="2C5C5F44" w:rsidR="009912F8" w:rsidRPr="00E07C9A" w:rsidRDefault="001C7AB7" w:rsidP="001C7AB7">
            <w:pPr>
              <w:jc w:val="left"/>
              <w:rPr>
                <w:rFonts w:ascii="Times New Roman" w:hAnsi="Times New Roman"/>
                <w:sz w:val="24"/>
              </w:rPr>
            </w:pPr>
            <w:r w:rsidRPr="00E07C9A">
              <w:rPr>
                <w:rFonts w:ascii="Times New Roman" w:hAnsi="Times New Roman"/>
                <w:sz w:val="24"/>
              </w:rPr>
              <w:t>Keď sa používajú vlastné odhady LGD</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183 nariadenia (EÚ) </w:t>
            </w:r>
            <w:r w:rsidR="009912F8" w:rsidRPr="00E07C9A">
              <w:rPr>
                <w:rFonts w:ascii="Times New Roman" w:hAnsi="Times New Roman"/>
                <w:sz w:val="24"/>
              </w:rPr>
              <w:t>č. 575/2013</w:t>
            </w:r>
            <w:r w:rsidRPr="00E07C9A">
              <w:rPr>
                <w:rFonts w:ascii="Times New Roman" w:hAnsi="Times New Roman"/>
                <w:sz w:val="24"/>
              </w:rPr>
              <w:t xml:space="preserve"> (okrem odseku 3), vykazuje sa príslušná hodnota použitá</w:t>
            </w:r>
            <w:r w:rsidR="009912F8" w:rsidRPr="00E07C9A">
              <w:rPr>
                <w:rFonts w:ascii="Times New Roman" w:hAnsi="Times New Roman"/>
                <w:sz w:val="24"/>
              </w:rPr>
              <w:t xml:space="preserve"> v </w:t>
            </w:r>
            <w:r w:rsidRPr="00E07C9A">
              <w:rPr>
                <w:rFonts w:ascii="Times New Roman" w:hAnsi="Times New Roman"/>
                <w:sz w:val="24"/>
              </w:rPr>
              <w:t>internom modeli</w:t>
            </w:r>
            <w:r w:rsidR="009912F8" w:rsidRPr="00E07C9A">
              <w:rPr>
                <w:rFonts w:ascii="Times New Roman" w:hAnsi="Times New Roman"/>
                <w:sz w:val="24"/>
              </w:rPr>
              <w:t>.</w:t>
            </w:r>
          </w:p>
          <w:p w14:paraId="161F352C" w14:textId="105730CA" w:rsidR="001C7AB7" w:rsidRPr="00E07C9A" w:rsidRDefault="001C7AB7" w:rsidP="001C7AB7">
            <w:pPr>
              <w:jc w:val="left"/>
              <w:rPr>
                <w:rFonts w:ascii="Times New Roman" w:hAnsi="Times New Roman"/>
                <w:sz w:val="24"/>
              </w:rPr>
            </w:pPr>
            <w:r w:rsidRPr="00E07C9A">
              <w:rPr>
                <w:rFonts w:ascii="Times New Roman" w:hAnsi="Times New Roman"/>
                <w:sz w:val="24"/>
              </w:rPr>
              <w:t>Záruky sa vykazujú</w:t>
            </w:r>
            <w:r w:rsidR="009912F8" w:rsidRPr="00E07C9A">
              <w:rPr>
                <w:rFonts w:ascii="Times New Roman" w:hAnsi="Times New Roman"/>
                <w:sz w:val="24"/>
              </w:rPr>
              <w:t xml:space="preserve"> v </w:t>
            </w:r>
            <w:r w:rsidRPr="00E07C9A">
              <w:rPr>
                <w:rFonts w:ascii="Times New Roman" w:hAnsi="Times New Roman"/>
                <w:sz w:val="24"/>
              </w:rPr>
              <w:t>stĺpci 0040, keď sa úprava nerobí</w:t>
            </w:r>
            <w:r w:rsidR="009912F8" w:rsidRPr="00E07C9A">
              <w:rPr>
                <w:rFonts w:ascii="Times New Roman" w:hAnsi="Times New Roman"/>
                <w:sz w:val="24"/>
              </w:rPr>
              <w:t xml:space="preserve"> v </w:t>
            </w:r>
            <w:r w:rsidRPr="00E07C9A">
              <w:rPr>
                <w:rFonts w:ascii="Times New Roman" w:hAnsi="Times New Roman"/>
                <w:sz w:val="24"/>
              </w:rPr>
              <w:t>LGD. Keď sa úprava robí</w:t>
            </w:r>
            <w:r w:rsidR="009912F8" w:rsidRPr="00E07C9A">
              <w:rPr>
                <w:rFonts w:ascii="Times New Roman" w:hAnsi="Times New Roman"/>
                <w:sz w:val="24"/>
              </w:rPr>
              <w:t xml:space="preserve"> v </w:t>
            </w:r>
            <w:r w:rsidRPr="00E07C9A">
              <w:rPr>
                <w:rFonts w:ascii="Times New Roman" w:hAnsi="Times New Roman"/>
                <w:sz w:val="24"/>
              </w:rPr>
              <w:t>LGD, hodnota záruky sa vykazuje</w:t>
            </w:r>
            <w:r w:rsidR="009912F8" w:rsidRPr="00E07C9A">
              <w:rPr>
                <w:rFonts w:ascii="Times New Roman" w:hAnsi="Times New Roman"/>
                <w:sz w:val="24"/>
              </w:rPr>
              <w:t xml:space="preserve"> v </w:t>
            </w:r>
            <w:r w:rsidRPr="00E07C9A">
              <w:rPr>
                <w:rFonts w:ascii="Times New Roman" w:hAnsi="Times New Roman"/>
                <w:sz w:val="24"/>
              </w:rPr>
              <w:t>stĺpci 0150.</w:t>
            </w:r>
          </w:p>
          <w:p w14:paraId="46479441" w14:textId="6127A76F" w:rsidR="00785F3E" w:rsidRPr="00E07C9A" w:rsidRDefault="00785F3E" w:rsidP="001C7AB7">
            <w:pPr>
              <w:jc w:val="left"/>
              <w:rPr>
                <w:rFonts w:ascii="Times New Roman" w:hAnsi="Times New Roman"/>
                <w:sz w:val="24"/>
              </w:rPr>
            </w:pPr>
            <w:r w:rsidRPr="00E07C9A">
              <w:rPr>
                <w:rFonts w:ascii="Times New Roman" w:hAnsi="Times New Roman"/>
                <w:sz w:val="24"/>
              </w:rPr>
              <w:t>Pokiaľ ide</w:t>
            </w:r>
            <w:r w:rsidR="009912F8" w:rsidRPr="00E07C9A">
              <w:rPr>
                <w:rFonts w:ascii="Times New Roman" w:hAnsi="Times New Roman"/>
                <w:sz w:val="24"/>
              </w:rPr>
              <w:t xml:space="preserve"> o </w:t>
            </w:r>
            <w:r w:rsidRPr="00E07C9A">
              <w:rPr>
                <w:rFonts w:ascii="Times New Roman" w:hAnsi="Times New Roman"/>
                <w:sz w:val="24"/>
              </w:rPr>
              <w:t>expozície, na ktoré sa vzťahuje prístup dvojnásobného zlyhania, hodnota nefinancovaného kreditného zabezpečenia sa vykazuje</w:t>
            </w:r>
            <w:r w:rsidR="009912F8" w:rsidRPr="00E07C9A">
              <w:rPr>
                <w:rFonts w:ascii="Times New Roman" w:hAnsi="Times New Roman"/>
                <w:sz w:val="24"/>
              </w:rPr>
              <w:t xml:space="preserve"> v </w:t>
            </w:r>
            <w:r w:rsidRPr="00E07C9A">
              <w:rPr>
                <w:rFonts w:ascii="Times New Roman" w:hAnsi="Times New Roman"/>
                <w:sz w:val="24"/>
              </w:rPr>
              <w:t>stĺpci 0220.</w:t>
            </w:r>
          </w:p>
          <w:p w14:paraId="430F4F17" w14:textId="77777777" w:rsidR="001C7AB7" w:rsidRPr="00E07C9A" w:rsidRDefault="001C7AB7" w:rsidP="001C7AB7">
            <w:pPr>
              <w:jc w:val="left"/>
              <w:rPr>
                <w:rFonts w:ascii="Times New Roman" w:hAnsi="Times New Roman"/>
                <w:sz w:val="24"/>
              </w:rPr>
            </w:pPr>
          </w:p>
        </w:tc>
      </w:tr>
      <w:tr w:rsidR="001C7AB7" w:rsidRPr="00E07C9A" w14:paraId="33510BBD" w14:textId="77777777" w:rsidTr="00672D2A">
        <w:tc>
          <w:tcPr>
            <w:tcW w:w="1188" w:type="dxa"/>
          </w:tcPr>
          <w:p w14:paraId="3F91BEFE" w14:textId="77777777" w:rsidR="001C7AB7" w:rsidRPr="00E07C9A" w:rsidRDefault="001C7AB7" w:rsidP="001C7AB7">
            <w:pPr>
              <w:rPr>
                <w:rFonts w:ascii="Times New Roman" w:hAnsi="Times New Roman"/>
                <w:sz w:val="24"/>
              </w:rPr>
            </w:pPr>
            <w:r w:rsidRPr="00E07C9A">
              <w:rPr>
                <w:rFonts w:ascii="Times New Roman" w:hAnsi="Times New Roman"/>
                <w:sz w:val="24"/>
              </w:rPr>
              <w:t>0050</w:t>
            </w:r>
          </w:p>
        </w:tc>
        <w:tc>
          <w:tcPr>
            <w:tcW w:w="8843" w:type="dxa"/>
          </w:tcPr>
          <w:p w14:paraId="5558F369" w14:textId="77777777" w:rsidR="001C7AB7" w:rsidRPr="00E07C9A" w:rsidRDefault="001C7AB7" w:rsidP="001C7AB7">
            <w:pPr>
              <w:rPr>
                <w:rFonts w:ascii="Times New Roman" w:hAnsi="Times New Roman"/>
                <w:b/>
                <w:sz w:val="24"/>
                <w:u w:val="single"/>
              </w:rPr>
            </w:pPr>
            <w:r w:rsidRPr="00E07C9A">
              <w:rPr>
                <w:rFonts w:ascii="Times New Roman" w:hAnsi="Times New Roman"/>
                <w:b/>
                <w:sz w:val="24"/>
                <w:u w:val="single"/>
              </w:rPr>
              <w:t>KREDITNÉ DERIVÁTY:</w:t>
            </w:r>
          </w:p>
          <w:p w14:paraId="1676C7E5" w14:textId="43053D6E" w:rsidR="009912F8" w:rsidRPr="00E07C9A" w:rsidRDefault="001C7AB7" w:rsidP="001C7AB7">
            <w:pPr>
              <w:rPr>
                <w:rFonts w:ascii="Times New Roman" w:hAnsi="Times New Roman"/>
                <w:sz w:val="24"/>
              </w:rPr>
            </w:pPr>
            <w:r w:rsidRPr="00E07C9A">
              <w:rPr>
                <w:rFonts w:ascii="Times New Roman" w:hAnsi="Times New Roman"/>
                <w:sz w:val="24"/>
              </w:rPr>
              <w:t>Keď sa nepoužívajú vlastné odhady LGD, uvedie sa upravená hodnota (G</w:t>
            </w:r>
            <w:r w:rsidRPr="00E07C9A">
              <w:rPr>
                <w:rFonts w:ascii="Times New Roman" w:hAnsi="Times New Roman"/>
                <w:sz w:val="24"/>
                <w:vertAlign w:val="subscript"/>
              </w:rPr>
              <w:t>A</w:t>
            </w:r>
            <w:r w:rsidRPr="00E07C9A">
              <w:rPr>
                <w:rFonts w:ascii="Times New Roman" w:hAnsi="Times New Roman"/>
                <w:sz w:val="24"/>
              </w:rPr>
              <w:t>) vymedzená</w:t>
            </w:r>
            <w:r w:rsidR="009912F8" w:rsidRPr="00E07C9A">
              <w:rPr>
                <w:rFonts w:ascii="Times New Roman" w:hAnsi="Times New Roman"/>
                <w:sz w:val="24"/>
              </w:rPr>
              <w:t xml:space="preserve"> v </w:t>
            </w:r>
            <w:r w:rsidRPr="00E07C9A">
              <w:rPr>
                <w:rFonts w:ascii="Times New Roman" w:hAnsi="Times New Roman"/>
                <w:sz w:val="24"/>
              </w:rPr>
              <w:t xml:space="preserve">článku 236 ods. 3 nariadenia (EÚ) </w:t>
            </w:r>
            <w:r w:rsidR="009912F8" w:rsidRPr="00E07C9A">
              <w:rPr>
                <w:rFonts w:ascii="Times New Roman" w:hAnsi="Times New Roman"/>
                <w:sz w:val="24"/>
              </w:rPr>
              <w:t>č. 575/2013.</w:t>
            </w:r>
          </w:p>
          <w:p w14:paraId="2CABAFD6" w14:textId="504F47DE" w:rsidR="00785F3E" w:rsidRPr="00E07C9A" w:rsidRDefault="00785F3E" w:rsidP="001C7AB7">
            <w:pPr>
              <w:rPr>
                <w:rFonts w:ascii="Times New Roman" w:hAnsi="Times New Roman"/>
                <w:sz w:val="24"/>
              </w:rPr>
            </w:pPr>
            <w:r w:rsidRPr="00E07C9A">
              <w:rPr>
                <w:rFonts w:ascii="Times New Roman" w:hAnsi="Times New Roman"/>
                <w:sz w:val="24"/>
              </w:rPr>
              <w:t>Keď sa používajú vlastné odhady LGD</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183 ods. 3 nariadenia (EÚ) </w:t>
            </w:r>
            <w:r w:rsidR="009912F8" w:rsidRPr="00E07C9A">
              <w:rPr>
                <w:rFonts w:ascii="Times New Roman" w:hAnsi="Times New Roman"/>
                <w:sz w:val="24"/>
              </w:rPr>
              <w:t>č. 575/2013</w:t>
            </w:r>
            <w:r w:rsidRPr="00E07C9A">
              <w:rPr>
                <w:rFonts w:ascii="Times New Roman" w:hAnsi="Times New Roman"/>
                <w:sz w:val="24"/>
              </w:rPr>
              <w:t>, vykazuje sa príslušná hodnota použitá</w:t>
            </w:r>
            <w:r w:rsidR="009912F8" w:rsidRPr="00E07C9A">
              <w:rPr>
                <w:rFonts w:ascii="Times New Roman" w:hAnsi="Times New Roman"/>
                <w:sz w:val="24"/>
              </w:rPr>
              <w:t xml:space="preserve"> v </w:t>
            </w:r>
            <w:r w:rsidRPr="00E07C9A">
              <w:rPr>
                <w:rFonts w:ascii="Times New Roman" w:hAnsi="Times New Roman"/>
                <w:sz w:val="24"/>
              </w:rPr>
              <w:t>internom modelovaní.</w:t>
            </w:r>
          </w:p>
          <w:p w14:paraId="51855D16" w14:textId="67119FB6" w:rsidR="001C7AB7" w:rsidRPr="00E07C9A" w:rsidRDefault="001C7AB7" w:rsidP="001C7AB7">
            <w:pPr>
              <w:rPr>
                <w:rFonts w:ascii="Times New Roman" w:hAnsi="Times New Roman"/>
                <w:sz w:val="24"/>
              </w:rPr>
            </w:pPr>
            <w:r w:rsidRPr="00E07C9A">
              <w:rPr>
                <w:rFonts w:ascii="Times New Roman" w:hAnsi="Times New Roman"/>
                <w:sz w:val="24"/>
              </w:rPr>
              <w:t>Keď sa úprava robí</w:t>
            </w:r>
            <w:r w:rsidR="009912F8" w:rsidRPr="00E07C9A">
              <w:rPr>
                <w:rFonts w:ascii="Times New Roman" w:hAnsi="Times New Roman"/>
                <w:sz w:val="24"/>
              </w:rPr>
              <w:t xml:space="preserve"> v </w:t>
            </w:r>
            <w:r w:rsidRPr="00E07C9A">
              <w:rPr>
                <w:rFonts w:ascii="Times New Roman" w:hAnsi="Times New Roman"/>
                <w:sz w:val="24"/>
              </w:rPr>
              <w:t>LGD, hodnota kreditných derivátov sa uvedie</w:t>
            </w:r>
            <w:r w:rsidR="009912F8" w:rsidRPr="00E07C9A">
              <w:rPr>
                <w:rFonts w:ascii="Times New Roman" w:hAnsi="Times New Roman"/>
                <w:sz w:val="24"/>
              </w:rPr>
              <w:t xml:space="preserve"> v </w:t>
            </w:r>
            <w:r w:rsidRPr="00E07C9A">
              <w:rPr>
                <w:rFonts w:ascii="Times New Roman" w:hAnsi="Times New Roman"/>
                <w:sz w:val="24"/>
              </w:rPr>
              <w:t>stĺpci 0160.</w:t>
            </w:r>
          </w:p>
          <w:p w14:paraId="0451059D" w14:textId="006EE1F6" w:rsidR="001C7AB7" w:rsidRPr="00E07C9A" w:rsidRDefault="001C7AB7" w:rsidP="00785F3E">
            <w:pPr>
              <w:jc w:val="left"/>
              <w:rPr>
                <w:rFonts w:ascii="Times New Roman" w:hAnsi="Times New Roman"/>
                <w:sz w:val="24"/>
              </w:rPr>
            </w:pPr>
            <w:r w:rsidRPr="00E07C9A">
              <w:rPr>
                <w:rFonts w:ascii="Times New Roman" w:hAnsi="Times New Roman"/>
                <w:sz w:val="24"/>
              </w:rPr>
              <w:t>Pokiaľ ide</w:t>
            </w:r>
            <w:r w:rsidR="009912F8" w:rsidRPr="00E07C9A">
              <w:rPr>
                <w:rFonts w:ascii="Times New Roman" w:hAnsi="Times New Roman"/>
                <w:sz w:val="24"/>
              </w:rPr>
              <w:t xml:space="preserve"> o </w:t>
            </w:r>
            <w:r w:rsidRPr="00E07C9A">
              <w:rPr>
                <w:rFonts w:ascii="Times New Roman" w:hAnsi="Times New Roman"/>
                <w:sz w:val="24"/>
              </w:rPr>
              <w:t>expozície, na ktoré sa vzťahuje prístup dvojnásobného zlyhania, hodnota nefinancovaného kreditného zabezpečenia sa vykazuje</w:t>
            </w:r>
            <w:r w:rsidR="009912F8" w:rsidRPr="00E07C9A">
              <w:rPr>
                <w:rFonts w:ascii="Times New Roman" w:hAnsi="Times New Roman"/>
                <w:sz w:val="24"/>
              </w:rPr>
              <w:t xml:space="preserve"> v </w:t>
            </w:r>
            <w:r w:rsidRPr="00E07C9A">
              <w:rPr>
                <w:rFonts w:ascii="Times New Roman" w:hAnsi="Times New Roman"/>
                <w:sz w:val="24"/>
              </w:rPr>
              <w:t>stĺpci 0220.</w:t>
            </w:r>
          </w:p>
        </w:tc>
      </w:tr>
      <w:tr w:rsidR="001C7AB7" w:rsidRPr="00E07C9A" w14:paraId="2FD292EC" w14:textId="77777777" w:rsidTr="00672D2A">
        <w:tc>
          <w:tcPr>
            <w:tcW w:w="1188" w:type="dxa"/>
          </w:tcPr>
          <w:p w14:paraId="473C11E0" w14:textId="77777777" w:rsidR="001C7AB7" w:rsidRPr="00E07C9A" w:rsidRDefault="001C7AB7" w:rsidP="001C7AB7">
            <w:pPr>
              <w:rPr>
                <w:rFonts w:ascii="Times New Roman" w:hAnsi="Times New Roman"/>
                <w:sz w:val="24"/>
              </w:rPr>
            </w:pPr>
            <w:r w:rsidRPr="00E07C9A">
              <w:rPr>
                <w:rFonts w:ascii="Times New Roman" w:hAnsi="Times New Roman"/>
                <w:sz w:val="24"/>
              </w:rPr>
              <w:t>0060</w:t>
            </w:r>
          </w:p>
        </w:tc>
        <w:tc>
          <w:tcPr>
            <w:tcW w:w="8843" w:type="dxa"/>
          </w:tcPr>
          <w:p w14:paraId="66868B66" w14:textId="77777777" w:rsidR="001C7AB7" w:rsidRPr="00E07C9A" w:rsidRDefault="001C7AB7" w:rsidP="001C7AB7">
            <w:pPr>
              <w:rPr>
                <w:rFonts w:ascii="Times New Roman" w:hAnsi="Times New Roman"/>
                <w:b/>
                <w:sz w:val="24"/>
                <w:u w:val="single"/>
              </w:rPr>
            </w:pPr>
            <w:r w:rsidRPr="00E07C9A">
              <w:rPr>
                <w:rFonts w:ascii="Times New Roman" w:hAnsi="Times New Roman"/>
                <w:b/>
                <w:sz w:val="24"/>
                <w:u w:val="single"/>
              </w:rPr>
              <w:t>INÉ FINANCOVANÉ KREDITNÉ ZABEZPEČENIE</w:t>
            </w:r>
          </w:p>
          <w:p w14:paraId="529EBDC4" w14:textId="77777777" w:rsidR="00785F3E" w:rsidRPr="00E07C9A" w:rsidRDefault="00BD6DB9" w:rsidP="001C7AB7">
            <w:pPr>
              <w:rPr>
                <w:rStyle w:val="InstructionsTabelleText"/>
                <w:rFonts w:ascii="Times New Roman" w:hAnsi="Times New Roman"/>
                <w:sz w:val="24"/>
              </w:rPr>
            </w:pPr>
            <w:r w:rsidRPr="00E07C9A">
              <w:rPr>
                <w:rStyle w:val="InstructionsTabelleText"/>
                <w:rFonts w:ascii="Times New Roman" w:hAnsi="Times New Roman"/>
                <w:sz w:val="24"/>
              </w:rPr>
              <w:t xml:space="preserve">Kolaterál, ktorý má účinok na PD expozície, sa zhora ohraničuje hodnotou </w:t>
            </w:r>
            <w:r w:rsidRPr="00E07C9A">
              <w:rPr>
                <w:rFonts w:ascii="Times New Roman" w:hAnsi="Times New Roman"/>
                <w:sz w:val="24"/>
              </w:rPr>
              <w:t>pôvodnej expozície pred uplatnením konverzných faktorov</w:t>
            </w:r>
            <w:r w:rsidRPr="00E07C9A">
              <w:rPr>
                <w:rStyle w:val="InstructionsTabelleText"/>
                <w:rFonts w:ascii="Times New Roman" w:hAnsi="Times New Roman"/>
                <w:sz w:val="24"/>
              </w:rPr>
              <w:t>.</w:t>
            </w:r>
          </w:p>
          <w:p w14:paraId="2EE2EFC1" w14:textId="62A4EA94" w:rsidR="001C7AB7" w:rsidRPr="00E07C9A" w:rsidRDefault="001C7AB7" w:rsidP="001C7AB7">
            <w:pPr>
              <w:rPr>
                <w:rStyle w:val="InstructionsTabelleText"/>
                <w:rFonts w:ascii="Times New Roman" w:hAnsi="Times New Roman"/>
                <w:sz w:val="24"/>
              </w:rPr>
            </w:pPr>
            <w:r w:rsidRPr="00E07C9A">
              <w:rPr>
                <w:rStyle w:val="InstructionsTabelleText"/>
                <w:rFonts w:ascii="Times New Roman" w:hAnsi="Times New Roman"/>
                <w:sz w:val="24"/>
              </w:rPr>
              <w:t>Ak sa nepoužívajú vlastné odhady LGD, uplatňuje sa článok 232 ods. 1</w:t>
            </w:r>
            <w:r w:rsidRPr="00E07C9A">
              <w:rPr>
                <w:rFonts w:ascii="Times New Roman" w:hAnsi="Times New Roman"/>
                <w:sz w:val="24"/>
              </w:rPr>
              <w:t xml:space="preserve"> nariadenia (EÚ) </w:t>
            </w:r>
            <w:r w:rsidR="009912F8" w:rsidRPr="00E07C9A">
              <w:rPr>
                <w:rFonts w:ascii="Times New Roman" w:hAnsi="Times New Roman"/>
                <w:sz w:val="24"/>
              </w:rPr>
              <w:t>č. 575/2013</w:t>
            </w:r>
            <w:r w:rsidRPr="00E07C9A">
              <w:rPr>
                <w:rStyle w:val="InstructionsTabelleText"/>
                <w:rFonts w:ascii="Times New Roman" w:hAnsi="Times New Roman"/>
                <w:sz w:val="24"/>
              </w:rPr>
              <w:t>.</w:t>
            </w:r>
          </w:p>
          <w:p w14:paraId="53149A00" w14:textId="77777777" w:rsidR="001C7AB7" w:rsidRPr="00E07C9A" w:rsidRDefault="001C7AB7" w:rsidP="001C7AB7">
            <w:pPr>
              <w:rPr>
                <w:rStyle w:val="InstructionsTabelleText"/>
                <w:rFonts w:ascii="Times New Roman" w:hAnsi="Times New Roman"/>
                <w:sz w:val="24"/>
              </w:rPr>
            </w:pPr>
            <w:r w:rsidRPr="00E07C9A">
              <w:rPr>
                <w:rStyle w:val="InstructionsTabelleText"/>
                <w:rFonts w:ascii="Times New Roman" w:hAnsi="Times New Roman"/>
                <w:sz w:val="24"/>
              </w:rPr>
              <w:t>Ak sa používajú vlastné odhady LGD, vykazujú sa tie postupy zmierňovania kreditného rizika, ktoré majú účinky na PD. Vykazuje sa príslušná nominálna alebo trhová hodnota.</w:t>
            </w:r>
          </w:p>
          <w:p w14:paraId="5864D880" w14:textId="722FE95C" w:rsidR="001C7AB7" w:rsidRPr="00E07C9A" w:rsidRDefault="001C7AB7" w:rsidP="00A94F5F">
            <w:pPr>
              <w:rPr>
                <w:rFonts w:ascii="Times New Roman" w:hAnsi="Times New Roman"/>
                <w:sz w:val="24"/>
              </w:rPr>
            </w:pPr>
            <w:r w:rsidRPr="00E07C9A">
              <w:rPr>
                <w:rStyle w:val="InstructionsTabelleText"/>
                <w:rFonts w:ascii="Times New Roman" w:hAnsi="Times New Roman"/>
                <w:sz w:val="24"/>
              </w:rPr>
              <w:t>Keď sa robí úprava</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LGD, hodnota sa vykazuje</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stĺpci 170.</w:t>
            </w:r>
          </w:p>
        </w:tc>
      </w:tr>
      <w:tr w:rsidR="001C7AB7" w:rsidRPr="00E07C9A" w14:paraId="0D7F127A" w14:textId="77777777" w:rsidTr="00672D2A">
        <w:tc>
          <w:tcPr>
            <w:tcW w:w="1188" w:type="dxa"/>
          </w:tcPr>
          <w:p w14:paraId="3C5B3B34" w14:textId="77777777" w:rsidR="001C7AB7" w:rsidRPr="00E07C9A" w:rsidRDefault="001C7AB7" w:rsidP="001C7AB7">
            <w:pPr>
              <w:rPr>
                <w:rFonts w:ascii="Times New Roman" w:hAnsi="Times New Roman"/>
                <w:sz w:val="24"/>
              </w:rPr>
            </w:pPr>
            <w:r w:rsidRPr="00E07C9A">
              <w:rPr>
                <w:rFonts w:ascii="Times New Roman" w:hAnsi="Times New Roman"/>
                <w:sz w:val="24"/>
              </w:rPr>
              <w:t>0070 –⁠ 0080</w:t>
            </w:r>
          </w:p>
        </w:tc>
        <w:tc>
          <w:tcPr>
            <w:tcW w:w="8843" w:type="dxa"/>
          </w:tcPr>
          <w:p w14:paraId="12FB2112" w14:textId="77777777" w:rsidR="001C7AB7" w:rsidRPr="00E07C9A" w:rsidRDefault="001C7AB7" w:rsidP="001C7AB7">
            <w:pPr>
              <w:rPr>
                <w:rFonts w:ascii="Times New Roman" w:hAnsi="Times New Roman"/>
                <w:b/>
                <w:sz w:val="24"/>
                <w:u w:val="single"/>
              </w:rPr>
            </w:pPr>
            <w:r w:rsidRPr="00E07C9A">
              <w:rPr>
                <w:rFonts w:ascii="Times New Roman" w:hAnsi="Times New Roman"/>
                <w:b/>
                <w:sz w:val="24"/>
                <w:u w:val="single"/>
              </w:rPr>
              <w:t>SUBSTITÚCIA EXPOZÍCIE NA ZÁKLADE ZMIERŇOVANIA KREDITNÉHO RIZIKA</w:t>
            </w:r>
          </w:p>
          <w:p w14:paraId="47306796" w14:textId="542C6725" w:rsidR="001C7AB7" w:rsidRPr="00E07C9A" w:rsidRDefault="001C7AB7" w:rsidP="001C7AB7">
            <w:pPr>
              <w:rPr>
                <w:rFonts w:ascii="Times New Roman" w:hAnsi="Times New Roman"/>
                <w:sz w:val="24"/>
              </w:rPr>
            </w:pPr>
            <w:r w:rsidRPr="00E07C9A">
              <w:rPr>
                <w:rFonts w:ascii="Times New Roman" w:hAnsi="Times New Roman"/>
                <w:sz w:val="24"/>
              </w:rPr>
              <w:t>Záporné peňažné toky zodpovedajú krytej časti pôvodnej expozície pred uplatnením konverzných faktorov, ktorá sa odpočíta od triedy expozícií dlžníka</w:t>
            </w:r>
            <w:r w:rsidR="009912F8" w:rsidRPr="00E07C9A">
              <w:rPr>
                <w:rFonts w:ascii="Times New Roman" w:hAnsi="Times New Roman"/>
                <w:sz w:val="24"/>
              </w:rPr>
              <w:t xml:space="preserve"> a v </w:t>
            </w:r>
            <w:r w:rsidRPr="00E07C9A">
              <w:rPr>
                <w:rFonts w:ascii="Times New Roman" w:hAnsi="Times New Roman"/>
                <w:sz w:val="24"/>
              </w:rPr>
              <w:t>náležitých prípadoch ratingového stupňa alebo skupiny dlžníkov,</w:t>
            </w:r>
            <w:r w:rsidR="009912F8" w:rsidRPr="00E07C9A">
              <w:rPr>
                <w:rFonts w:ascii="Times New Roman" w:hAnsi="Times New Roman"/>
                <w:sz w:val="24"/>
              </w:rPr>
              <w:t xml:space="preserve"> a </w:t>
            </w:r>
            <w:r w:rsidRPr="00E07C9A">
              <w:rPr>
                <w:rFonts w:ascii="Times New Roman" w:hAnsi="Times New Roman"/>
                <w:sz w:val="24"/>
              </w:rPr>
              <w:t>potom sa zaradí do triedy expozícií ručiteľa</w:t>
            </w:r>
            <w:r w:rsidR="009912F8" w:rsidRPr="00E07C9A">
              <w:rPr>
                <w:rFonts w:ascii="Times New Roman" w:hAnsi="Times New Roman"/>
                <w:sz w:val="24"/>
              </w:rPr>
              <w:t xml:space="preserve"> a v </w:t>
            </w:r>
            <w:r w:rsidRPr="00E07C9A">
              <w:rPr>
                <w:rFonts w:ascii="Times New Roman" w:hAnsi="Times New Roman"/>
                <w:sz w:val="24"/>
              </w:rPr>
              <w:t>náležitých prípadoch do ratingového stupňa alebo skupiny dlžníkov. Táto hodnota sa považuje za kladný peňažný tok do triedy expozícií ručiteľa</w:t>
            </w:r>
            <w:r w:rsidR="009912F8" w:rsidRPr="00E07C9A">
              <w:rPr>
                <w:rFonts w:ascii="Times New Roman" w:hAnsi="Times New Roman"/>
                <w:sz w:val="24"/>
              </w:rPr>
              <w:t xml:space="preserve"> a v </w:t>
            </w:r>
            <w:r w:rsidRPr="00E07C9A">
              <w:rPr>
                <w:rFonts w:ascii="Times New Roman" w:hAnsi="Times New Roman"/>
                <w:sz w:val="24"/>
              </w:rPr>
              <w:t>náležitých prípadoch do ratingových stupňov alebo skupín dlžníkov.</w:t>
            </w:r>
          </w:p>
          <w:p w14:paraId="2702BA3D" w14:textId="55E1A960" w:rsidR="001C7AB7" w:rsidRPr="00E07C9A" w:rsidRDefault="001C7AB7" w:rsidP="001C7AB7">
            <w:pPr>
              <w:rPr>
                <w:rFonts w:ascii="Times New Roman" w:hAnsi="Times New Roman"/>
                <w:b/>
                <w:sz w:val="24"/>
              </w:rPr>
            </w:pPr>
            <w:r w:rsidRPr="00E07C9A">
              <w:rPr>
                <w:rFonts w:ascii="Times New Roman" w:hAnsi="Times New Roman"/>
                <w:sz w:val="24"/>
              </w:rPr>
              <w:t>Zohľadňujú sa aj kladné</w:t>
            </w:r>
            <w:r w:rsidR="009912F8" w:rsidRPr="00E07C9A">
              <w:rPr>
                <w:rFonts w:ascii="Times New Roman" w:hAnsi="Times New Roman"/>
                <w:sz w:val="24"/>
              </w:rPr>
              <w:t xml:space="preserve"> a </w:t>
            </w:r>
            <w:r w:rsidRPr="00E07C9A">
              <w:rPr>
                <w:rFonts w:ascii="Times New Roman" w:hAnsi="Times New Roman"/>
                <w:sz w:val="24"/>
              </w:rPr>
              <w:t>záporné peňažné toky</w:t>
            </w:r>
            <w:r w:rsidR="009912F8" w:rsidRPr="00E07C9A">
              <w:rPr>
                <w:rFonts w:ascii="Times New Roman" w:hAnsi="Times New Roman"/>
                <w:sz w:val="24"/>
              </w:rPr>
              <w:t xml:space="preserve"> v </w:t>
            </w:r>
            <w:r w:rsidRPr="00E07C9A">
              <w:rPr>
                <w:rFonts w:ascii="Times New Roman" w:hAnsi="Times New Roman"/>
                <w:sz w:val="24"/>
              </w:rPr>
              <w:t>rámci rovnakých tried expozícií</w:t>
            </w:r>
            <w:r w:rsidR="009912F8" w:rsidRPr="00E07C9A">
              <w:rPr>
                <w:rFonts w:ascii="Times New Roman" w:hAnsi="Times New Roman"/>
                <w:sz w:val="24"/>
              </w:rPr>
              <w:t xml:space="preserve"> a v </w:t>
            </w:r>
            <w:r w:rsidRPr="00E07C9A">
              <w:rPr>
                <w:rFonts w:ascii="Times New Roman" w:hAnsi="Times New Roman"/>
                <w:sz w:val="24"/>
              </w:rPr>
              <w:t>náležitých prípadoch</w:t>
            </w:r>
            <w:r w:rsidR="009912F8" w:rsidRPr="00E07C9A">
              <w:rPr>
                <w:rFonts w:ascii="Times New Roman" w:hAnsi="Times New Roman"/>
                <w:sz w:val="24"/>
              </w:rPr>
              <w:t xml:space="preserve"> v </w:t>
            </w:r>
            <w:r w:rsidRPr="00E07C9A">
              <w:rPr>
                <w:rFonts w:ascii="Times New Roman" w:hAnsi="Times New Roman"/>
                <w:sz w:val="24"/>
              </w:rPr>
              <w:t>rámci rovnakých ratingových stupňov alebo skupín dlžníkov.</w:t>
            </w:r>
          </w:p>
          <w:p w14:paraId="2EAF7A59" w14:textId="0444AFA0" w:rsidR="001C7AB7" w:rsidRPr="00E07C9A" w:rsidRDefault="001C7AB7" w:rsidP="001C7AB7">
            <w:pPr>
              <w:rPr>
                <w:rFonts w:ascii="Times New Roman" w:hAnsi="Times New Roman"/>
                <w:sz w:val="24"/>
              </w:rPr>
            </w:pPr>
            <w:r w:rsidRPr="00E07C9A">
              <w:rPr>
                <w:rFonts w:ascii="Times New Roman" w:hAnsi="Times New Roman"/>
                <w:sz w:val="24"/>
              </w:rPr>
              <w:t>Zohľadňujú sa expozície pochádzajúce</w:t>
            </w:r>
            <w:r w:rsidR="009912F8" w:rsidRPr="00E07C9A">
              <w:rPr>
                <w:rFonts w:ascii="Times New Roman" w:hAnsi="Times New Roman"/>
                <w:sz w:val="24"/>
              </w:rPr>
              <w:t xml:space="preserve"> z </w:t>
            </w:r>
            <w:r w:rsidRPr="00E07C9A">
              <w:rPr>
                <w:rFonts w:ascii="Times New Roman" w:hAnsi="Times New Roman"/>
                <w:sz w:val="24"/>
              </w:rPr>
              <w:t>možných kladných</w:t>
            </w:r>
            <w:r w:rsidR="009912F8" w:rsidRPr="00E07C9A">
              <w:rPr>
                <w:rFonts w:ascii="Times New Roman" w:hAnsi="Times New Roman"/>
                <w:sz w:val="24"/>
              </w:rPr>
              <w:t xml:space="preserve"> a </w:t>
            </w:r>
            <w:r w:rsidRPr="00E07C9A">
              <w:rPr>
                <w:rFonts w:ascii="Times New Roman" w:hAnsi="Times New Roman"/>
                <w:sz w:val="24"/>
              </w:rPr>
              <w:t>záporných peňažných tokov</w:t>
            </w:r>
            <w:r w:rsidR="009912F8" w:rsidRPr="00E07C9A">
              <w:rPr>
                <w:rFonts w:ascii="Times New Roman" w:hAnsi="Times New Roman"/>
                <w:sz w:val="24"/>
              </w:rPr>
              <w:t xml:space="preserve"> z </w:t>
            </w:r>
            <w:r w:rsidRPr="00E07C9A">
              <w:rPr>
                <w:rFonts w:ascii="Times New Roman" w:hAnsi="Times New Roman"/>
                <w:sz w:val="24"/>
              </w:rPr>
              <w:t>iných vzorov</w:t>
            </w:r>
            <w:r w:rsidR="009912F8" w:rsidRPr="00E07C9A">
              <w:rPr>
                <w:rFonts w:ascii="Times New Roman" w:hAnsi="Times New Roman"/>
                <w:sz w:val="24"/>
              </w:rPr>
              <w:t xml:space="preserve"> a </w:t>
            </w:r>
            <w:r w:rsidRPr="00E07C9A">
              <w:rPr>
                <w:rFonts w:ascii="Times New Roman" w:hAnsi="Times New Roman"/>
                <w:sz w:val="24"/>
              </w:rPr>
              <w:t>do iných vzorov.</w:t>
            </w:r>
          </w:p>
          <w:p w14:paraId="1CF5670D" w14:textId="78809ECD" w:rsidR="006C35BA" w:rsidRPr="00E07C9A" w:rsidRDefault="006C35BA" w:rsidP="009A4399">
            <w:pPr>
              <w:rPr>
                <w:rFonts w:ascii="Times New Roman" w:hAnsi="Times New Roman"/>
                <w:sz w:val="24"/>
              </w:rPr>
            </w:pPr>
            <w:r w:rsidRPr="00E07C9A">
              <w:rPr>
                <w:rFonts w:ascii="Times New Roman" w:hAnsi="Times New Roman"/>
                <w:sz w:val="24"/>
              </w:rPr>
              <w:t>Tieto stĺpce sa používajú len vtedy, ak inštitúcie získali od svojho príslušného orgánu povolenie zaobchádzať</w:t>
            </w:r>
            <w:r w:rsidR="009912F8" w:rsidRPr="00E07C9A">
              <w:rPr>
                <w:rFonts w:ascii="Times New Roman" w:hAnsi="Times New Roman"/>
                <w:sz w:val="24"/>
              </w:rPr>
              <w:t xml:space="preserve"> s </w:t>
            </w:r>
            <w:r w:rsidRPr="00E07C9A">
              <w:rPr>
                <w:rFonts w:ascii="Times New Roman" w:hAnsi="Times New Roman"/>
                <w:sz w:val="24"/>
              </w:rPr>
              <w:t>týmito zabezpečenými expozíciami</w:t>
            </w:r>
            <w:r w:rsidR="009912F8" w:rsidRPr="00E07C9A">
              <w:rPr>
                <w:rFonts w:ascii="Times New Roman" w:hAnsi="Times New Roman"/>
                <w:sz w:val="24"/>
              </w:rPr>
              <w:t xml:space="preserve"> s </w:t>
            </w:r>
            <w:r w:rsidRPr="00E07C9A">
              <w:rPr>
                <w:rFonts w:ascii="Times New Roman" w:hAnsi="Times New Roman"/>
                <w:sz w:val="24"/>
              </w:rPr>
              <w:t>trvalým čiastočným používaním štandardizovaného prístupu</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150 nariadenia (EÚ) </w:t>
            </w:r>
            <w:r w:rsidR="009912F8" w:rsidRPr="00E07C9A">
              <w:rPr>
                <w:rFonts w:ascii="Times New Roman" w:hAnsi="Times New Roman"/>
                <w:sz w:val="24"/>
              </w:rPr>
              <w:t>č. 575/2013</w:t>
            </w:r>
            <w:r w:rsidRPr="00E07C9A">
              <w:rPr>
                <w:rFonts w:ascii="Times New Roman" w:hAnsi="Times New Roman"/>
                <w:sz w:val="24"/>
              </w:rPr>
              <w:t xml:space="preserve"> alebo klasifikovať expozície do tried expozícií</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vlastnosťou ručiteľa.</w:t>
            </w:r>
          </w:p>
        </w:tc>
      </w:tr>
      <w:tr w:rsidR="001C7AB7" w:rsidRPr="00E07C9A" w14:paraId="3D8B2B9C" w14:textId="77777777" w:rsidTr="00672D2A">
        <w:tc>
          <w:tcPr>
            <w:tcW w:w="1188" w:type="dxa"/>
          </w:tcPr>
          <w:p w14:paraId="5EF48100" w14:textId="77777777" w:rsidR="001C7AB7" w:rsidRPr="00E07C9A" w:rsidRDefault="001C7AB7" w:rsidP="001C7AB7">
            <w:pPr>
              <w:rPr>
                <w:rFonts w:ascii="Times New Roman" w:hAnsi="Times New Roman"/>
                <w:sz w:val="24"/>
              </w:rPr>
            </w:pPr>
            <w:r w:rsidRPr="00E07C9A">
              <w:rPr>
                <w:rFonts w:ascii="Times New Roman" w:hAnsi="Times New Roman"/>
                <w:sz w:val="24"/>
              </w:rPr>
              <w:t>0090</w:t>
            </w:r>
          </w:p>
        </w:tc>
        <w:tc>
          <w:tcPr>
            <w:tcW w:w="8843" w:type="dxa"/>
          </w:tcPr>
          <w:p w14:paraId="6505BD0E" w14:textId="77777777" w:rsidR="001C7AB7" w:rsidRPr="00E07C9A" w:rsidRDefault="001C7AB7" w:rsidP="001C7AB7">
            <w:pPr>
              <w:rPr>
                <w:rFonts w:ascii="Times New Roman" w:hAnsi="Times New Roman"/>
                <w:b/>
                <w:sz w:val="24"/>
                <w:u w:val="single"/>
              </w:rPr>
            </w:pPr>
            <w:r w:rsidRPr="00E07C9A">
              <w:rPr>
                <w:rFonts w:ascii="Times New Roman" w:hAnsi="Times New Roman"/>
                <w:b/>
                <w:sz w:val="24"/>
                <w:u w:val="single"/>
              </w:rPr>
              <w:t>EXPOZÍCIA PO SUBSTITUČNÝCH ÚČINKOCH CRM PRED UPLATNENÍM KONVERZNÝCH FAKTOROV</w:t>
            </w:r>
          </w:p>
          <w:p w14:paraId="2832BD0C" w14:textId="09AF80D6" w:rsidR="001C7AB7" w:rsidRPr="00E07C9A" w:rsidRDefault="001C7AB7" w:rsidP="001C7AB7">
            <w:pPr>
              <w:rPr>
                <w:rFonts w:ascii="Times New Roman" w:hAnsi="Times New Roman"/>
                <w:sz w:val="24"/>
              </w:rPr>
            </w:pPr>
            <w:r w:rsidRPr="00E07C9A">
              <w:rPr>
                <w:rFonts w:ascii="Times New Roman" w:hAnsi="Times New Roman"/>
                <w:sz w:val="24"/>
              </w:rPr>
              <w:t>Expozícia zaradená do príslušného ratingového stupňa alebo skupiny dlžníkov po zohľadnení záporných</w:t>
            </w:r>
            <w:r w:rsidR="009912F8" w:rsidRPr="00E07C9A">
              <w:rPr>
                <w:rFonts w:ascii="Times New Roman" w:hAnsi="Times New Roman"/>
                <w:sz w:val="24"/>
              </w:rPr>
              <w:t xml:space="preserve"> a </w:t>
            </w:r>
            <w:r w:rsidRPr="00E07C9A">
              <w:rPr>
                <w:rFonts w:ascii="Times New Roman" w:hAnsi="Times New Roman"/>
                <w:sz w:val="24"/>
              </w:rPr>
              <w:t>kladných peňažných tokov</w:t>
            </w:r>
            <w:r w:rsidR="009912F8" w:rsidRPr="00E07C9A">
              <w:rPr>
                <w:rFonts w:ascii="Times New Roman" w:hAnsi="Times New Roman"/>
                <w:sz w:val="24"/>
              </w:rPr>
              <w:t xml:space="preserve"> z </w:t>
            </w:r>
            <w:r w:rsidRPr="00E07C9A">
              <w:rPr>
                <w:rFonts w:ascii="Times New Roman" w:hAnsi="Times New Roman"/>
                <w:sz w:val="24"/>
              </w:rPr>
              <w:t>dôvodu postupov zmierňovania kreditného rizika so substitučnými účinkami na expozíciu.</w:t>
            </w:r>
          </w:p>
        </w:tc>
      </w:tr>
      <w:tr w:rsidR="001C7AB7" w:rsidRPr="00E07C9A" w14:paraId="675DE022" w14:textId="77777777" w:rsidTr="00672D2A">
        <w:tc>
          <w:tcPr>
            <w:tcW w:w="1188" w:type="dxa"/>
          </w:tcPr>
          <w:p w14:paraId="1F14C6A2" w14:textId="77777777" w:rsidR="001C7AB7" w:rsidRPr="00E07C9A" w:rsidRDefault="00FF15C6" w:rsidP="001C7AB7">
            <w:pPr>
              <w:rPr>
                <w:rFonts w:ascii="Times New Roman" w:hAnsi="Times New Roman"/>
                <w:sz w:val="24"/>
              </w:rPr>
            </w:pPr>
            <w:r w:rsidRPr="00E07C9A">
              <w:rPr>
                <w:rFonts w:ascii="Times New Roman" w:hAnsi="Times New Roman"/>
                <w:sz w:val="24"/>
              </w:rPr>
              <w:t>0100, 0120</w:t>
            </w:r>
          </w:p>
        </w:tc>
        <w:tc>
          <w:tcPr>
            <w:tcW w:w="8843" w:type="dxa"/>
          </w:tcPr>
          <w:p w14:paraId="67403C60" w14:textId="77777777" w:rsidR="009912F8" w:rsidRPr="00E07C9A" w:rsidRDefault="001C7AB7" w:rsidP="001C7AB7">
            <w:pPr>
              <w:rPr>
                <w:rStyle w:val="InstructionsTabelleberschrift"/>
                <w:rFonts w:ascii="Times New Roman" w:hAnsi="Times New Roman"/>
                <w:sz w:val="24"/>
              </w:rPr>
            </w:pPr>
            <w:r w:rsidRPr="00E07C9A">
              <w:rPr>
                <w:rStyle w:val="InstructionsTabelleberschrift"/>
                <w:rFonts w:ascii="Times New Roman" w:hAnsi="Times New Roman"/>
                <w:sz w:val="24"/>
              </w:rPr>
              <w:t>Z čoho: podsúvahové položky</w:t>
            </w:r>
          </w:p>
          <w:p w14:paraId="6C35CF48" w14:textId="34F99E72" w:rsidR="001C7AB7" w:rsidRPr="00E07C9A" w:rsidRDefault="001C7AB7" w:rsidP="001C7AB7">
            <w:pPr>
              <w:rPr>
                <w:rFonts w:ascii="Times New Roman" w:hAnsi="Times New Roman"/>
                <w:sz w:val="24"/>
              </w:rPr>
            </w:pPr>
            <w:r w:rsidRPr="00E07C9A">
              <w:rPr>
                <w:rFonts w:ascii="Times New Roman" w:hAnsi="Times New Roman"/>
                <w:sz w:val="24"/>
              </w:rPr>
              <w:t>Pozri pokyny</w:t>
            </w:r>
            <w:r w:rsidR="009912F8" w:rsidRPr="00E07C9A">
              <w:rPr>
                <w:rFonts w:ascii="Times New Roman" w:hAnsi="Times New Roman"/>
                <w:sz w:val="24"/>
              </w:rPr>
              <w:t xml:space="preserve"> k </w:t>
            </w:r>
            <w:r w:rsidRPr="00E07C9A">
              <w:rPr>
                <w:rFonts w:ascii="Times New Roman" w:hAnsi="Times New Roman"/>
                <w:sz w:val="24"/>
              </w:rPr>
              <w:t>vzoru CR-SA.</w:t>
            </w:r>
          </w:p>
        </w:tc>
      </w:tr>
      <w:tr w:rsidR="001C7AB7" w:rsidRPr="00E07C9A" w14:paraId="59710CE6" w14:textId="77777777" w:rsidTr="00672D2A">
        <w:tc>
          <w:tcPr>
            <w:tcW w:w="1188" w:type="dxa"/>
          </w:tcPr>
          <w:p w14:paraId="176C769C" w14:textId="77777777" w:rsidR="001C7AB7" w:rsidRPr="00E07C9A" w:rsidRDefault="00FF15C6" w:rsidP="001C7AB7">
            <w:pPr>
              <w:rPr>
                <w:rFonts w:ascii="Times New Roman" w:hAnsi="Times New Roman"/>
                <w:sz w:val="24"/>
              </w:rPr>
            </w:pPr>
            <w:r w:rsidRPr="00E07C9A">
              <w:rPr>
                <w:rFonts w:ascii="Times New Roman" w:hAnsi="Times New Roman"/>
                <w:sz w:val="24"/>
              </w:rPr>
              <w:t>0110</w:t>
            </w:r>
          </w:p>
        </w:tc>
        <w:tc>
          <w:tcPr>
            <w:tcW w:w="8843" w:type="dxa"/>
          </w:tcPr>
          <w:p w14:paraId="370EF49F" w14:textId="77777777" w:rsidR="001C7AB7" w:rsidRPr="00E07C9A" w:rsidRDefault="001C7AB7" w:rsidP="001C7AB7">
            <w:pPr>
              <w:rPr>
                <w:rFonts w:ascii="Times New Roman" w:hAnsi="Times New Roman"/>
                <w:b/>
                <w:sz w:val="24"/>
                <w:u w:val="single"/>
              </w:rPr>
            </w:pPr>
            <w:r w:rsidRPr="00E07C9A">
              <w:rPr>
                <w:rFonts w:ascii="Times New Roman" w:hAnsi="Times New Roman"/>
                <w:b/>
                <w:sz w:val="24"/>
                <w:u w:val="single"/>
              </w:rPr>
              <w:t>HODNOTA EXPOZÍCIE</w:t>
            </w:r>
          </w:p>
          <w:p w14:paraId="53CB4935" w14:textId="6706D21D" w:rsidR="001C7AB7" w:rsidRPr="00E07C9A" w:rsidRDefault="001C7AB7" w:rsidP="001C7AB7">
            <w:pPr>
              <w:rPr>
                <w:rFonts w:ascii="Times New Roman" w:hAnsi="Times New Roman"/>
                <w:sz w:val="24"/>
              </w:rPr>
            </w:pPr>
            <w:r w:rsidRPr="00E07C9A">
              <w:rPr>
                <w:rFonts w:ascii="Times New Roman" w:hAnsi="Times New Roman"/>
                <w:sz w:val="24"/>
              </w:rPr>
              <w:t>Vykazujú sa hodnoty expozícií určené</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166 nariadenia (EÚ) </w:t>
            </w:r>
            <w:r w:rsidR="009912F8" w:rsidRPr="00E07C9A">
              <w:rPr>
                <w:rFonts w:ascii="Times New Roman" w:hAnsi="Times New Roman"/>
                <w:sz w:val="24"/>
              </w:rPr>
              <w:t>č. 575/2013 a </w:t>
            </w:r>
            <w:r w:rsidRPr="00E07C9A">
              <w:rPr>
                <w:rFonts w:ascii="Times New Roman" w:hAnsi="Times New Roman"/>
                <w:sz w:val="24"/>
              </w:rPr>
              <w:t>článkom 230 ods. 1 druhou vetou uvedeného nariadenia.</w:t>
            </w:r>
          </w:p>
          <w:p w14:paraId="38C4611A" w14:textId="1ED3FF5E" w:rsidR="001C7AB7" w:rsidRPr="00E07C9A" w:rsidRDefault="001C7AB7" w:rsidP="001C7AB7">
            <w:pPr>
              <w:rPr>
                <w:rFonts w:ascii="Times New Roman" w:hAnsi="Times New Roman"/>
                <w:sz w:val="24"/>
              </w:rPr>
            </w:pPr>
            <w:r w:rsidRPr="00E07C9A">
              <w:rPr>
                <w:rFonts w:ascii="Times New Roman" w:hAnsi="Times New Roman"/>
                <w:sz w:val="24"/>
              </w:rPr>
              <w:t>V prípade nástrojov uvedených</w:t>
            </w:r>
            <w:r w:rsidR="009912F8" w:rsidRPr="00E07C9A">
              <w:rPr>
                <w:rFonts w:ascii="Times New Roman" w:hAnsi="Times New Roman"/>
                <w:sz w:val="24"/>
              </w:rPr>
              <w:t xml:space="preserve"> v </w:t>
            </w:r>
            <w:r w:rsidRPr="00E07C9A">
              <w:rPr>
                <w:rFonts w:ascii="Times New Roman" w:hAnsi="Times New Roman"/>
                <w:sz w:val="24"/>
              </w:rPr>
              <w:t>prílohe I sa uplatňujú konverzné faktory úverov</w:t>
            </w:r>
            <w:r w:rsidR="009912F8" w:rsidRPr="00E07C9A">
              <w:rPr>
                <w:rFonts w:ascii="Times New Roman" w:hAnsi="Times New Roman"/>
                <w:sz w:val="24"/>
              </w:rPr>
              <w:t xml:space="preserve"> a </w:t>
            </w:r>
            <w:r w:rsidRPr="00E07C9A">
              <w:rPr>
                <w:rFonts w:ascii="Times New Roman" w:hAnsi="Times New Roman"/>
                <w:sz w:val="24"/>
              </w:rPr>
              <w:t>percentuálne podiely</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článkom 166 ods. 8, 9</w:t>
            </w:r>
            <w:r w:rsidR="009912F8" w:rsidRPr="00E07C9A">
              <w:rPr>
                <w:rFonts w:ascii="Times New Roman" w:hAnsi="Times New Roman"/>
                <w:sz w:val="24"/>
              </w:rPr>
              <w:t xml:space="preserve"> a </w:t>
            </w:r>
            <w:r w:rsidRPr="00E07C9A">
              <w:rPr>
                <w:rFonts w:ascii="Times New Roman" w:hAnsi="Times New Roman"/>
                <w:sz w:val="24"/>
              </w:rPr>
              <w:t xml:space="preserve">10 nariadenia (EÚ) </w:t>
            </w:r>
            <w:r w:rsidR="009912F8" w:rsidRPr="00E07C9A">
              <w:rPr>
                <w:rFonts w:ascii="Times New Roman" w:hAnsi="Times New Roman"/>
                <w:sz w:val="24"/>
              </w:rPr>
              <w:t>č. 575/2013</w:t>
            </w:r>
            <w:r w:rsidRPr="00E07C9A">
              <w:rPr>
                <w:rFonts w:ascii="Times New Roman" w:hAnsi="Times New Roman"/>
                <w:sz w:val="24"/>
              </w:rPr>
              <w:t>,</w:t>
            </w:r>
            <w:r w:rsidR="009912F8" w:rsidRPr="00E07C9A">
              <w:rPr>
                <w:rFonts w:ascii="Times New Roman" w:hAnsi="Times New Roman"/>
                <w:sz w:val="24"/>
              </w:rPr>
              <w:t xml:space="preserve"> a </w:t>
            </w:r>
            <w:r w:rsidRPr="00E07C9A">
              <w:rPr>
                <w:rFonts w:ascii="Times New Roman" w:hAnsi="Times New Roman"/>
                <w:sz w:val="24"/>
              </w:rPr>
              <w:t>to bez ohľadu na prístup, ktorý si inštitúcia zvolila.</w:t>
            </w:r>
          </w:p>
          <w:p w14:paraId="60CDFD08" w14:textId="19EBBE83" w:rsidR="001C7AB7" w:rsidRPr="00E07C9A" w:rsidRDefault="008D24A6" w:rsidP="00BD6DB9">
            <w:pPr>
              <w:rPr>
                <w:rFonts w:ascii="Times New Roman" w:hAnsi="Times New Roman"/>
                <w:sz w:val="24"/>
              </w:rPr>
            </w:pPr>
            <w:r w:rsidRPr="00E07C9A">
              <w:rPr>
                <w:rFonts w:ascii="Times New Roman" w:hAnsi="Times New Roman"/>
                <w:sz w:val="24"/>
              </w:rPr>
              <w:t>Hodnoty expozícií sú</w:t>
            </w:r>
            <w:r w:rsidR="009912F8" w:rsidRPr="00E07C9A">
              <w:rPr>
                <w:rFonts w:ascii="Times New Roman" w:hAnsi="Times New Roman"/>
                <w:sz w:val="24"/>
              </w:rPr>
              <w:t xml:space="preserve"> v </w:t>
            </w:r>
            <w:r w:rsidRPr="00E07C9A">
              <w:rPr>
                <w:rFonts w:ascii="Times New Roman" w:hAnsi="Times New Roman"/>
                <w:sz w:val="24"/>
              </w:rPr>
              <w:t>prípade obchodných činností, na ktoré sa vzťahuje kreditné riziko protistrany, rovnaké ako hodnoty vykázané</w:t>
            </w:r>
            <w:r w:rsidR="009912F8" w:rsidRPr="00E07C9A">
              <w:rPr>
                <w:rFonts w:ascii="Times New Roman" w:hAnsi="Times New Roman"/>
                <w:sz w:val="24"/>
              </w:rPr>
              <w:t xml:space="preserve"> v </w:t>
            </w:r>
            <w:r w:rsidRPr="00E07C9A">
              <w:rPr>
                <w:rFonts w:ascii="Times New Roman" w:hAnsi="Times New Roman"/>
                <w:sz w:val="24"/>
              </w:rPr>
              <w:t>stĺpci 0130.</w:t>
            </w:r>
          </w:p>
        </w:tc>
      </w:tr>
      <w:tr w:rsidR="001C7AB7" w:rsidRPr="00E07C9A" w14:paraId="17F0BDA7" w14:textId="77777777" w:rsidTr="00672D2A">
        <w:tc>
          <w:tcPr>
            <w:tcW w:w="1188" w:type="dxa"/>
          </w:tcPr>
          <w:p w14:paraId="6108AA18" w14:textId="77777777" w:rsidR="001C7AB7" w:rsidRPr="00E07C9A" w:rsidRDefault="00FF15C6" w:rsidP="001C7AB7">
            <w:pPr>
              <w:rPr>
                <w:rFonts w:ascii="Times New Roman" w:hAnsi="Times New Roman"/>
                <w:sz w:val="24"/>
              </w:rPr>
            </w:pPr>
            <w:r w:rsidRPr="00E07C9A">
              <w:rPr>
                <w:rFonts w:ascii="Times New Roman" w:hAnsi="Times New Roman"/>
                <w:sz w:val="24"/>
              </w:rPr>
              <w:t>0130</w:t>
            </w:r>
          </w:p>
        </w:tc>
        <w:tc>
          <w:tcPr>
            <w:tcW w:w="8843" w:type="dxa"/>
          </w:tcPr>
          <w:p w14:paraId="43762635" w14:textId="77777777" w:rsidR="009912F8" w:rsidRPr="00E07C9A" w:rsidRDefault="001C7AB7" w:rsidP="001C7AB7">
            <w:pPr>
              <w:rPr>
                <w:rStyle w:val="InstructionsTabelleberschrift"/>
                <w:rFonts w:ascii="Times New Roman" w:hAnsi="Times New Roman"/>
                <w:sz w:val="24"/>
              </w:rPr>
            </w:pPr>
            <w:r w:rsidRPr="00E07C9A">
              <w:rPr>
                <w:rStyle w:val="InstructionsTabelleberschrift"/>
                <w:rFonts w:ascii="Times New Roman" w:hAnsi="Times New Roman"/>
                <w:sz w:val="24"/>
              </w:rPr>
              <w:t>Z čoho: vyplývajúce</w:t>
            </w:r>
            <w:r w:rsidR="009912F8" w:rsidRPr="00E07C9A">
              <w:rPr>
                <w:rStyle w:val="InstructionsTabelleberschrift"/>
                <w:rFonts w:ascii="Times New Roman" w:hAnsi="Times New Roman"/>
                <w:sz w:val="24"/>
              </w:rPr>
              <w:t xml:space="preserve"> z </w:t>
            </w:r>
            <w:r w:rsidRPr="00E07C9A">
              <w:rPr>
                <w:rStyle w:val="InstructionsTabelleberschrift"/>
                <w:rFonts w:ascii="Times New Roman" w:hAnsi="Times New Roman"/>
                <w:sz w:val="24"/>
              </w:rPr>
              <w:t>kreditného rizika protistrany</w:t>
            </w:r>
          </w:p>
          <w:p w14:paraId="50E90EFC" w14:textId="26591B39" w:rsidR="001C7AB7" w:rsidRPr="00E07C9A" w:rsidRDefault="001C7AB7" w:rsidP="00FD6CCB">
            <w:pPr>
              <w:rPr>
                <w:rFonts w:ascii="Times New Roman" w:hAnsi="Times New Roman"/>
                <w:sz w:val="24"/>
              </w:rPr>
            </w:pPr>
            <w:r w:rsidRPr="00E07C9A">
              <w:rPr>
                <w:rFonts w:ascii="Times New Roman" w:hAnsi="Times New Roman"/>
                <w:sz w:val="24"/>
              </w:rPr>
              <w:t>Pozri zodpovedajúce pokyny</w:t>
            </w:r>
            <w:r w:rsidR="009912F8" w:rsidRPr="00E07C9A">
              <w:rPr>
                <w:rFonts w:ascii="Times New Roman" w:hAnsi="Times New Roman"/>
                <w:sz w:val="24"/>
              </w:rPr>
              <w:t xml:space="preserve"> k </w:t>
            </w:r>
            <w:r w:rsidRPr="00E07C9A">
              <w:rPr>
                <w:rFonts w:ascii="Times New Roman" w:hAnsi="Times New Roman"/>
                <w:sz w:val="24"/>
              </w:rPr>
              <w:t>vzoru CR SA</w:t>
            </w:r>
            <w:r w:rsidR="009912F8" w:rsidRPr="00E07C9A">
              <w:rPr>
                <w:rFonts w:ascii="Times New Roman" w:hAnsi="Times New Roman"/>
                <w:sz w:val="24"/>
              </w:rPr>
              <w:t xml:space="preserve"> v </w:t>
            </w:r>
            <w:r w:rsidRPr="00E07C9A">
              <w:rPr>
                <w:rFonts w:ascii="Times New Roman" w:hAnsi="Times New Roman"/>
                <w:sz w:val="24"/>
              </w:rPr>
              <w:t>stĺpci 0210.</w:t>
            </w:r>
            <w:r w:rsidRPr="00E07C9A">
              <w:rPr>
                <w:rStyle w:val="InstructionsTabelleText"/>
                <w:rFonts w:ascii="Times New Roman" w:hAnsi="Times New Roman"/>
                <w:sz w:val="24"/>
              </w:rPr>
              <w:t xml:space="preserve"> </w:t>
            </w:r>
          </w:p>
        </w:tc>
      </w:tr>
      <w:tr w:rsidR="001C7AB7" w:rsidRPr="00E07C9A" w14:paraId="75F6D912" w14:textId="77777777" w:rsidTr="00672D2A">
        <w:tc>
          <w:tcPr>
            <w:tcW w:w="1188" w:type="dxa"/>
          </w:tcPr>
          <w:p w14:paraId="09A87CEC" w14:textId="77777777" w:rsidR="001C7AB7" w:rsidRPr="00E07C9A" w:rsidRDefault="00FF15C6" w:rsidP="001C7AB7">
            <w:pPr>
              <w:rPr>
                <w:rFonts w:ascii="Times New Roman" w:hAnsi="Times New Roman"/>
                <w:sz w:val="24"/>
              </w:rPr>
            </w:pPr>
            <w:r w:rsidRPr="00E07C9A">
              <w:rPr>
                <w:rFonts w:ascii="Times New Roman" w:hAnsi="Times New Roman"/>
                <w:sz w:val="24"/>
              </w:rPr>
              <w:t>0140</w:t>
            </w:r>
          </w:p>
        </w:tc>
        <w:tc>
          <w:tcPr>
            <w:tcW w:w="8843" w:type="dxa"/>
          </w:tcPr>
          <w:p w14:paraId="1FCD27A1" w14:textId="77777777" w:rsidR="001C7AB7" w:rsidRPr="00E07C9A" w:rsidRDefault="001C7AB7" w:rsidP="001C7AB7">
            <w:pPr>
              <w:rPr>
                <w:rFonts w:ascii="Times New Roman" w:hAnsi="Times New Roman"/>
                <w:b/>
                <w:sz w:val="24"/>
                <w:u w:val="single"/>
              </w:rPr>
            </w:pPr>
            <w:r w:rsidRPr="00E07C9A">
              <w:rPr>
                <w:rFonts w:ascii="Times New Roman" w:hAnsi="Times New Roman"/>
                <w:b/>
                <w:sz w:val="24"/>
                <w:u w:val="single"/>
              </w:rPr>
              <w:t>Z ČOHO: VEĽKÉ SUBJEKTY FINANČNÉHO SEKTORA A NEREGULOVANÉ FINANČNÉ SUBJEKTY</w:t>
            </w:r>
          </w:p>
          <w:p w14:paraId="1C760051" w14:textId="6B4B8FAB" w:rsidR="001C7AB7" w:rsidRPr="00E07C9A" w:rsidRDefault="001C7AB7" w:rsidP="00F34382">
            <w:pPr>
              <w:rPr>
                <w:rFonts w:ascii="Times New Roman" w:hAnsi="Times New Roman"/>
                <w:b/>
                <w:sz w:val="24"/>
                <w:u w:val="single"/>
              </w:rPr>
            </w:pPr>
            <w:r w:rsidRPr="00E07C9A">
              <w:rPr>
                <w:rFonts w:ascii="Times New Roman" w:hAnsi="Times New Roman"/>
                <w:sz w:val="24"/>
              </w:rPr>
              <w:t>Rozčlenenie hodnoty expozície pre všetky expozície voči subjektom uvedeným</w:t>
            </w:r>
            <w:r w:rsidR="009912F8" w:rsidRPr="00E07C9A">
              <w:rPr>
                <w:rFonts w:ascii="Times New Roman" w:hAnsi="Times New Roman"/>
                <w:sz w:val="24"/>
              </w:rPr>
              <w:t xml:space="preserve"> v </w:t>
            </w:r>
            <w:r w:rsidRPr="00E07C9A">
              <w:rPr>
                <w:rFonts w:ascii="Times New Roman" w:hAnsi="Times New Roman"/>
                <w:sz w:val="24"/>
              </w:rPr>
              <w:t>článku 142 ods. 1 bodoch 4</w:t>
            </w:r>
            <w:r w:rsidR="009912F8" w:rsidRPr="00E07C9A">
              <w:rPr>
                <w:rFonts w:ascii="Times New Roman" w:hAnsi="Times New Roman"/>
                <w:sz w:val="24"/>
              </w:rPr>
              <w:t xml:space="preserve"> a </w:t>
            </w:r>
            <w:r w:rsidRPr="00E07C9A">
              <w:rPr>
                <w:rFonts w:ascii="Times New Roman" w:hAnsi="Times New Roman"/>
                <w:sz w:val="24"/>
              </w:rPr>
              <w:t xml:space="preserve">5 nariadenia (EÚ) </w:t>
            </w:r>
            <w:r w:rsidR="009912F8" w:rsidRPr="00E07C9A">
              <w:rPr>
                <w:rFonts w:ascii="Times New Roman" w:hAnsi="Times New Roman"/>
                <w:sz w:val="24"/>
              </w:rPr>
              <w:t>č. 575/2013</w:t>
            </w:r>
            <w:r w:rsidRPr="00E07C9A">
              <w:rPr>
                <w:rFonts w:ascii="Times New Roman" w:hAnsi="Times New Roman"/>
                <w:sz w:val="24"/>
              </w:rPr>
              <w:t>, na ktoré sa vzťahuje vyšší koeficient korelácie určený</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článkom 153 ods. 2 uvedeného nariadenia.</w:t>
            </w:r>
          </w:p>
        </w:tc>
      </w:tr>
      <w:tr w:rsidR="001C7AB7" w:rsidRPr="00E07C9A" w14:paraId="50849C24" w14:textId="77777777" w:rsidTr="00672D2A">
        <w:trPr>
          <w:trHeight w:val="2109"/>
        </w:trPr>
        <w:tc>
          <w:tcPr>
            <w:tcW w:w="1188" w:type="dxa"/>
          </w:tcPr>
          <w:p w14:paraId="19F289D8" w14:textId="77777777" w:rsidR="001C7AB7" w:rsidRPr="00E07C9A" w:rsidDel="001D4BE0" w:rsidRDefault="00FF15C6" w:rsidP="001C7AB7">
            <w:pPr>
              <w:rPr>
                <w:rFonts w:ascii="Times New Roman" w:hAnsi="Times New Roman"/>
                <w:sz w:val="24"/>
              </w:rPr>
            </w:pPr>
            <w:r w:rsidRPr="00E07C9A">
              <w:rPr>
                <w:rFonts w:ascii="Times New Roman" w:hAnsi="Times New Roman"/>
                <w:sz w:val="24"/>
              </w:rPr>
              <w:t>0150 –⁠ 0210</w:t>
            </w:r>
          </w:p>
        </w:tc>
        <w:tc>
          <w:tcPr>
            <w:tcW w:w="8843" w:type="dxa"/>
          </w:tcPr>
          <w:p w14:paraId="089ED227" w14:textId="2A81B0FD" w:rsidR="001C7AB7" w:rsidRPr="00E07C9A" w:rsidRDefault="001C7AB7" w:rsidP="001C7AB7">
            <w:pPr>
              <w:rPr>
                <w:rFonts w:ascii="Times New Roman" w:hAnsi="Times New Roman"/>
                <w:b/>
                <w:sz w:val="24"/>
                <w:u w:val="single"/>
              </w:rPr>
            </w:pPr>
            <w:r w:rsidRPr="00E07C9A">
              <w:rPr>
                <w:rFonts w:ascii="Times New Roman" w:hAnsi="Times New Roman"/>
                <w:b/>
                <w:sz w:val="24"/>
                <w:u w:val="single"/>
              </w:rPr>
              <w:t>POSTUPY ZMIERŇOVANIA KREDITNÉHO RIZIKA ZOHĽADNENÉ</w:t>
            </w:r>
            <w:r w:rsidR="009912F8" w:rsidRPr="00E07C9A">
              <w:rPr>
                <w:rFonts w:ascii="Times New Roman" w:hAnsi="Times New Roman"/>
                <w:b/>
                <w:sz w:val="24"/>
                <w:u w:val="single"/>
              </w:rPr>
              <w:t xml:space="preserve"> V </w:t>
            </w:r>
            <w:r w:rsidRPr="00E07C9A">
              <w:rPr>
                <w:rFonts w:ascii="Times New Roman" w:hAnsi="Times New Roman"/>
                <w:b/>
                <w:sz w:val="24"/>
                <w:u w:val="single"/>
              </w:rPr>
              <w:t>ODHADOCH LGD BEZ PRÍSTUPU DVOJNÁSOBNÉHO ZLYHANIA</w:t>
            </w:r>
          </w:p>
          <w:p w14:paraId="4FF0DBDD" w14:textId="2725B9C5" w:rsidR="001C7AB7" w:rsidRPr="00E07C9A" w:rsidRDefault="001C7AB7" w:rsidP="001C7AB7">
            <w:pPr>
              <w:rPr>
                <w:rFonts w:ascii="Times New Roman" w:hAnsi="Times New Roman"/>
                <w:sz w:val="24"/>
              </w:rPr>
            </w:pPr>
            <w:r w:rsidRPr="00E07C9A">
              <w:rPr>
                <w:rFonts w:ascii="Times New Roman" w:hAnsi="Times New Roman"/>
                <w:sz w:val="24"/>
              </w:rPr>
              <w:t>Postupy zmierňovania kreditného rizika, ktoré majú vplyv na odhady LGD</w:t>
            </w:r>
            <w:r w:rsidR="009912F8" w:rsidRPr="00E07C9A">
              <w:rPr>
                <w:rFonts w:ascii="Times New Roman" w:hAnsi="Times New Roman"/>
                <w:sz w:val="24"/>
              </w:rPr>
              <w:t xml:space="preserve"> v </w:t>
            </w:r>
            <w:r w:rsidRPr="00E07C9A">
              <w:rPr>
                <w:rFonts w:ascii="Times New Roman" w:hAnsi="Times New Roman"/>
                <w:sz w:val="24"/>
              </w:rPr>
              <w:t>dôsledku uplatnenia substitučného účinku postupov zmierňovania kreditného rizika, sa nezahŕňajú do týchto stĺpcov.</w:t>
            </w:r>
          </w:p>
          <w:p w14:paraId="7EBC4781" w14:textId="1CF04A4B" w:rsidR="004D4BDB" w:rsidRPr="00E07C9A" w:rsidRDefault="004D4BDB" w:rsidP="001C7AB7">
            <w:pPr>
              <w:rPr>
                <w:rFonts w:ascii="Times New Roman" w:hAnsi="Times New Roman"/>
                <w:sz w:val="24"/>
              </w:rPr>
            </w:pPr>
            <w:r w:rsidRPr="00E07C9A">
              <w:rPr>
                <w:rFonts w:ascii="Times New Roman" w:hAnsi="Times New Roman"/>
                <w:sz w:val="24"/>
              </w:rPr>
              <w:t>Hodnoty vykazovaného kolaterálu sa zhora ohraničujú hodnotou expozícií.</w:t>
            </w:r>
          </w:p>
          <w:p w14:paraId="662F81E1" w14:textId="682452CC" w:rsidR="001C7AB7" w:rsidRPr="00E07C9A" w:rsidRDefault="00C61FF5" w:rsidP="001C7AB7">
            <w:pPr>
              <w:rPr>
                <w:rFonts w:ascii="Times New Roman" w:hAnsi="Times New Roman"/>
                <w:sz w:val="24"/>
              </w:rPr>
            </w:pPr>
            <w:r w:rsidRPr="00E07C9A">
              <w:rPr>
                <w:rFonts w:ascii="Times New Roman" w:hAnsi="Times New Roman"/>
                <w:sz w:val="24"/>
              </w:rPr>
              <w:t>Keď sa nepoužívajú vlastné odhady LGD, zohľadní sa článok 228 ods. 2, článok 230 ods. 1</w:t>
            </w:r>
            <w:r w:rsidR="009912F8" w:rsidRPr="00E07C9A">
              <w:rPr>
                <w:rFonts w:ascii="Times New Roman" w:hAnsi="Times New Roman"/>
                <w:sz w:val="24"/>
              </w:rPr>
              <w:t xml:space="preserve"> a </w:t>
            </w:r>
            <w:r w:rsidRPr="00E07C9A">
              <w:rPr>
                <w:rFonts w:ascii="Times New Roman" w:hAnsi="Times New Roman"/>
                <w:sz w:val="24"/>
              </w:rPr>
              <w:t>2</w:t>
            </w:r>
            <w:r w:rsidR="009912F8" w:rsidRPr="00E07C9A">
              <w:rPr>
                <w:rFonts w:ascii="Times New Roman" w:hAnsi="Times New Roman"/>
                <w:sz w:val="24"/>
              </w:rPr>
              <w:t xml:space="preserve"> a </w:t>
            </w:r>
            <w:r w:rsidRPr="00E07C9A">
              <w:rPr>
                <w:rFonts w:ascii="Times New Roman" w:hAnsi="Times New Roman"/>
                <w:sz w:val="24"/>
              </w:rPr>
              <w:t xml:space="preserve">článok 231 nariadenia (EÚ) </w:t>
            </w:r>
            <w:r w:rsidR="009912F8" w:rsidRPr="00E07C9A">
              <w:rPr>
                <w:rFonts w:ascii="Times New Roman" w:hAnsi="Times New Roman"/>
                <w:sz w:val="24"/>
              </w:rPr>
              <w:t>č. 575/2013</w:t>
            </w:r>
            <w:r w:rsidRPr="00E07C9A">
              <w:rPr>
                <w:rFonts w:ascii="Times New Roman" w:hAnsi="Times New Roman"/>
                <w:sz w:val="24"/>
              </w:rPr>
              <w:t>.</w:t>
            </w:r>
          </w:p>
          <w:p w14:paraId="20A503D3" w14:textId="77777777" w:rsidR="009912F8" w:rsidRPr="00E07C9A" w:rsidRDefault="00C61FF5" w:rsidP="001C7AB7">
            <w:pPr>
              <w:rPr>
                <w:rFonts w:ascii="Times New Roman" w:hAnsi="Times New Roman"/>
                <w:sz w:val="24"/>
              </w:rPr>
            </w:pPr>
            <w:r w:rsidRPr="00E07C9A">
              <w:rPr>
                <w:rFonts w:ascii="Times New Roman" w:hAnsi="Times New Roman"/>
                <w:sz w:val="24"/>
              </w:rPr>
              <w:t>Keď sa používajú vlastné odhady LGD</w:t>
            </w:r>
            <w:r w:rsidR="009912F8" w:rsidRPr="00E07C9A">
              <w:rPr>
                <w:rFonts w:ascii="Times New Roman" w:hAnsi="Times New Roman"/>
                <w:sz w:val="24"/>
              </w:rPr>
              <w:t>:</w:t>
            </w:r>
          </w:p>
          <w:p w14:paraId="718750A6" w14:textId="780A7686" w:rsidR="001C7AB7" w:rsidRPr="00E07C9A" w:rsidRDefault="001C7AB7" w:rsidP="001C7AB7">
            <w:pPr>
              <w:rPr>
                <w:rFonts w:ascii="Times New Roman" w:hAnsi="Times New Roman"/>
                <w:sz w:val="24"/>
              </w:rPr>
            </w:pPr>
            <w:r w:rsidRPr="00E07C9A">
              <w:rPr>
                <w:rFonts w:ascii="Times New Roman" w:hAnsi="Times New Roman"/>
                <w:sz w:val="24"/>
              </w:rPr>
              <w:t>– pokiaľ ide</w:t>
            </w:r>
            <w:r w:rsidR="009912F8" w:rsidRPr="00E07C9A">
              <w:rPr>
                <w:rFonts w:ascii="Times New Roman" w:hAnsi="Times New Roman"/>
                <w:sz w:val="24"/>
              </w:rPr>
              <w:t xml:space="preserve"> o </w:t>
            </w:r>
            <w:r w:rsidRPr="00E07C9A">
              <w:rPr>
                <w:rFonts w:ascii="Times New Roman" w:hAnsi="Times New Roman"/>
                <w:sz w:val="24"/>
              </w:rPr>
              <w:t>nefinancované kreditné zabezpečenie,</w:t>
            </w:r>
            <w:r w:rsidR="009912F8" w:rsidRPr="00E07C9A">
              <w:rPr>
                <w:rFonts w:ascii="Times New Roman" w:hAnsi="Times New Roman"/>
                <w:sz w:val="24"/>
              </w:rPr>
              <w:t xml:space="preserve"> v </w:t>
            </w:r>
            <w:r w:rsidRPr="00E07C9A">
              <w:rPr>
                <w:rFonts w:ascii="Times New Roman" w:hAnsi="Times New Roman"/>
                <w:sz w:val="24"/>
              </w:rPr>
              <w:t>prípade expozícií voči ústredným vládam</w:t>
            </w:r>
            <w:r w:rsidR="009912F8" w:rsidRPr="00E07C9A">
              <w:rPr>
                <w:rFonts w:ascii="Times New Roman" w:hAnsi="Times New Roman"/>
                <w:sz w:val="24"/>
              </w:rPr>
              <w:t xml:space="preserve"> a </w:t>
            </w:r>
            <w:r w:rsidRPr="00E07C9A">
              <w:rPr>
                <w:rFonts w:ascii="Times New Roman" w:hAnsi="Times New Roman"/>
                <w:sz w:val="24"/>
              </w:rPr>
              <w:t>centrálnym bankám, inštitúciám</w:t>
            </w:r>
            <w:r w:rsidR="009912F8" w:rsidRPr="00E07C9A">
              <w:rPr>
                <w:rFonts w:ascii="Times New Roman" w:hAnsi="Times New Roman"/>
                <w:sz w:val="24"/>
              </w:rPr>
              <w:t xml:space="preserve"> a </w:t>
            </w:r>
            <w:r w:rsidRPr="00E07C9A">
              <w:rPr>
                <w:rFonts w:ascii="Times New Roman" w:hAnsi="Times New Roman"/>
                <w:sz w:val="24"/>
              </w:rPr>
              <w:t xml:space="preserve">podnikateľským subjektom sa zohľadní článok 161 ods. 3 nariadenia (EÚ) </w:t>
            </w:r>
            <w:r w:rsidR="009912F8" w:rsidRPr="00E07C9A">
              <w:rPr>
                <w:rFonts w:ascii="Times New Roman" w:hAnsi="Times New Roman"/>
                <w:sz w:val="24"/>
              </w:rPr>
              <w:t>č. 575/2013</w:t>
            </w:r>
            <w:r w:rsidRPr="00E07C9A">
              <w:rPr>
                <w:rFonts w:ascii="Times New Roman" w:hAnsi="Times New Roman"/>
                <w:sz w:val="24"/>
              </w:rPr>
              <w:t>.</w:t>
            </w:r>
            <w:r w:rsidR="009912F8" w:rsidRPr="00E07C9A">
              <w:rPr>
                <w:rFonts w:ascii="Times New Roman" w:hAnsi="Times New Roman"/>
                <w:sz w:val="24"/>
              </w:rPr>
              <w:t xml:space="preserve"> V </w:t>
            </w:r>
            <w:r w:rsidRPr="00E07C9A">
              <w:rPr>
                <w:rFonts w:ascii="Times New Roman" w:hAnsi="Times New Roman"/>
                <w:sz w:val="24"/>
              </w:rPr>
              <w:t xml:space="preserve">prípade retailových expozícií sa zohľadní článok 164 ods. 2 nariadenia (EÚ) </w:t>
            </w:r>
            <w:r w:rsidR="009912F8" w:rsidRPr="00E07C9A">
              <w:rPr>
                <w:rFonts w:ascii="Times New Roman" w:hAnsi="Times New Roman"/>
                <w:sz w:val="24"/>
              </w:rPr>
              <w:t>č. 575/2013</w:t>
            </w:r>
            <w:r w:rsidRPr="00E07C9A">
              <w:rPr>
                <w:rFonts w:ascii="Times New Roman" w:hAnsi="Times New Roman"/>
                <w:sz w:val="24"/>
              </w:rPr>
              <w:t>.</w:t>
            </w:r>
          </w:p>
          <w:p w14:paraId="6F2DF107" w14:textId="6182A53A" w:rsidR="001C7AB7" w:rsidRPr="00E07C9A" w:rsidRDefault="001C7AB7" w:rsidP="007968EE">
            <w:pPr>
              <w:rPr>
                <w:rFonts w:ascii="Times New Roman" w:hAnsi="Times New Roman"/>
                <w:b/>
                <w:sz w:val="24"/>
                <w:u w:val="single"/>
              </w:rPr>
            </w:pPr>
            <w:r w:rsidRPr="00E07C9A">
              <w:rPr>
                <w:rFonts w:ascii="Times New Roman" w:hAnsi="Times New Roman"/>
                <w:sz w:val="24"/>
              </w:rPr>
              <w:t>– pokiaľ ide</w:t>
            </w:r>
            <w:r w:rsidR="009912F8" w:rsidRPr="00E07C9A">
              <w:rPr>
                <w:rFonts w:ascii="Times New Roman" w:hAnsi="Times New Roman"/>
                <w:sz w:val="24"/>
              </w:rPr>
              <w:t xml:space="preserve"> o </w:t>
            </w:r>
            <w:r w:rsidRPr="00E07C9A">
              <w:rPr>
                <w:rFonts w:ascii="Times New Roman" w:hAnsi="Times New Roman"/>
                <w:sz w:val="24"/>
              </w:rPr>
              <w:t>financované kreditné zabezpečenie,</w:t>
            </w:r>
            <w:r w:rsidR="009912F8" w:rsidRPr="00E07C9A">
              <w:rPr>
                <w:rFonts w:ascii="Times New Roman" w:hAnsi="Times New Roman"/>
                <w:sz w:val="24"/>
              </w:rPr>
              <w:t xml:space="preserve"> v </w:t>
            </w:r>
            <w:r w:rsidRPr="00E07C9A">
              <w:rPr>
                <w:rFonts w:ascii="Times New Roman" w:hAnsi="Times New Roman"/>
                <w:sz w:val="24"/>
              </w:rPr>
              <w:t>odhadoch LGD podľa článku 181 ods. 1 písm. e)</w:t>
            </w:r>
            <w:r w:rsidR="009912F8" w:rsidRPr="00E07C9A">
              <w:rPr>
                <w:rFonts w:ascii="Times New Roman" w:hAnsi="Times New Roman"/>
                <w:sz w:val="24"/>
              </w:rPr>
              <w:t xml:space="preserve"> a </w:t>
            </w:r>
            <w:r w:rsidRPr="00E07C9A">
              <w:rPr>
                <w:rFonts w:ascii="Times New Roman" w:hAnsi="Times New Roman"/>
                <w:sz w:val="24"/>
              </w:rPr>
              <w:t xml:space="preserve">f) nariadenia (EÚ) </w:t>
            </w:r>
            <w:r w:rsidR="009912F8" w:rsidRPr="00E07C9A">
              <w:rPr>
                <w:rFonts w:ascii="Times New Roman" w:hAnsi="Times New Roman"/>
                <w:sz w:val="24"/>
              </w:rPr>
              <w:t>č. 575/2013</w:t>
            </w:r>
            <w:r w:rsidRPr="00E07C9A">
              <w:rPr>
                <w:rFonts w:ascii="Times New Roman" w:hAnsi="Times New Roman"/>
                <w:sz w:val="24"/>
              </w:rPr>
              <w:t xml:space="preserve"> sa zohľadňuje kolaterál.</w:t>
            </w:r>
          </w:p>
        </w:tc>
      </w:tr>
      <w:tr w:rsidR="001C7AB7" w:rsidRPr="00E07C9A" w14:paraId="0D38E8A5" w14:textId="77777777" w:rsidTr="00672D2A">
        <w:trPr>
          <w:trHeight w:val="957"/>
        </w:trPr>
        <w:tc>
          <w:tcPr>
            <w:tcW w:w="1188" w:type="dxa"/>
          </w:tcPr>
          <w:p w14:paraId="0A670200" w14:textId="77777777" w:rsidR="001C7AB7" w:rsidRPr="00E07C9A" w:rsidRDefault="00FF15C6" w:rsidP="001C7AB7">
            <w:pPr>
              <w:rPr>
                <w:rFonts w:ascii="Times New Roman" w:hAnsi="Times New Roman"/>
                <w:sz w:val="24"/>
              </w:rPr>
            </w:pPr>
            <w:r w:rsidRPr="00E07C9A">
              <w:rPr>
                <w:rFonts w:ascii="Times New Roman" w:hAnsi="Times New Roman"/>
                <w:sz w:val="24"/>
              </w:rPr>
              <w:t>0150</w:t>
            </w:r>
          </w:p>
        </w:tc>
        <w:tc>
          <w:tcPr>
            <w:tcW w:w="8843" w:type="dxa"/>
          </w:tcPr>
          <w:p w14:paraId="162FC143" w14:textId="77777777" w:rsidR="009912F8" w:rsidRPr="00E07C9A" w:rsidRDefault="001C7AB7" w:rsidP="001C7AB7">
            <w:pPr>
              <w:rPr>
                <w:rFonts w:ascii="Times New Roman" w:hAnsi="Times New Roman"/>
                <w:b/>
                <w:sz w:val="24"/>
                <w:u w:val="single"/>
              </w:rPr>
            </w:pPr>
            <w:r w:rsidRPr="00E07C9A">
              <w:rPr>
                <w:rFonts w:ascii="Times New Roman" w:hAnsi="Times New Roman"/>
                <w:b/>
                <w:sz w:val="24"/>
                <w:u w:val="single"/>
              </w:rPr>
              <w:t>ZÁRUKY</w:t>
            </w:r>
          </w:p>
          <w:p w14:paraId="051EE4B7" w14:textId="26A4AA8E" w:rsidR="001C7AB7" w:rsidRPr="00E07C9A" w:rsidRDefault="001C7AB7" w:rsidP="001C7AB7">
            <w:pPr>
              <w:jc w:val="left"/>
              <w:rPr>
                <w:rFonts w:ascii="Times New Roman" w:hAnsi="Times New Roman"/>
                <w:b/>
                <w:sz w:val="24"/>
                <w:u w:val="single"/>
              </w:rPr>
            </w:pPr>
            <w:r w:rsidRPr="00E07C9A">
              <w:rPr>
                <w:rFonts w:ascii="Times New Roman" w:hAnsi="Times New Roman"/>
                <w:sz w:val="24"/>
              </w:rPr>
              <w:t>Pozri pokyny</w:t>
            </w:r>
            <w:r w:rsidR="009912F8" w:rsidRPr="00E07C9A">
              <w:rPr>
                <w:rFonts w:ascii="Times New Roman" w:hAnsi="Times New Roman"/>
                <w:sz w:val="24"/>
              </w:rPr>
              <w:t xml:space="preserve"> k </w:t>
            </w:r>
            <w:r w:rsidRPr="00E07C9A">
              <w:rPr>
                <w:rFonts w:ascii="Times New Roman" w:hAnsi="Times New Roman"/>
                <w:sz w:val="24"/>
              </w:rPr>
              <w:t>stĺpcu 0040.</w:t>
            </w:r>
          </w:p>
        </w:tc>
      </w:tr>
      <w:tr w:rsidR="001C7AB7" w:rsidRPr="00E07C9A" w14:paraId="5E3C03FF" w14:textId="77777777" w:rsidTr="00672D2A">
        <w:tc>
          <w:tcPr>
            <w:tcW w:w="1188" w:type="dxa"/>
          </w:tcPr>
          <w:p w14:paraId="5B41C334" w14:textId="77777777" w:rsidR="001C7AB7" w:rsidRPr="00E07C9A" w:rsidRDefault="00FF15C6" w:rsidP="001C7AB7">
            <w:pPr>
              <w:rPr>
                <w:rFonts w:ascii="Times New Roman" w:hAnsi="Times New Roman"/>
                <w:sz w:val="24"/>
              </w:rPr>
            </w:pPr>
            <w:r w:rsidRPr="00E07C9A">
              <w:rPr>
                <w:rFonts w:ascii="Times New Roman" w:hAnsi="Times New Roman"/>
                <w:sz w:val="24"/>
              </w:rPr>
              <w:t>0160</w:t>
            </w:r>
          </w:p>
        </w:tc>
        <w:tc>
          <w:tcPr>
            <w:tcW w:w="8843" w:type="dxa"/>
          </w:tcPr>
          <w:p w14:paraId="7E3BF84F" w14:textId="77777777" w:rsidR="009912F8" w:rsidRPr="00E07C9A" w:rsidRDefault="001C7AB7" w:rsidP="001C7AB7">
            <w:pPr>
              <w:rPr>
                <w:rFonts w:ascii="Times New Roman" w:hAnsi="Times New Roman"/>
                <w:b/>
                <w:sz w:val="24"/>
                <w:u w:val="single"/>
              </w:rPr>
            </w:pPr>
            <w:r w:rsidRPr="00E07C9A">
              <w:rPr>
                <w:rFonts w:ascii="Times New Roman" w:hAnsi="Times New Roman"/>
                <w:b/>
                <w:sz w:val="24"/>
                <w:u w:val="single"/>
              </w:rPr>
              <w:t>KREDITNÉ DERIVÁTY</w:t>
            </w:r>
          </w:p>
          <w:p w14:paraId="33CD18C5" w14:textId="4115D93E" w:rsidR="001C7AB7" w:rsidRPr="00E07C9A" w:rsidRDefault="001C7AB7" w:rsidP="001C7AB7">
            <w:pPr>
              <w:rPr>
                <w:rFonts w:ascii="Times New Roman" w:hAnsi="Times New Roman"/>
                <w:sz w:val="24"/>
              </w:rPr>
            </w:pPr>
            <w:r w:rsidRPr="00E07C9A">
              <w:rPr>
                <w:rFonts w:ascii="Times New Roman" w:hAnsi="Times New Roman"/>
                <w:sz w:val="24"/>
              </w:rPr>
              <w:t>Pozri pokyny</w:t>
            </w:r>
            <w:r w:rsidR="009912F8" w:rsidRPr="00E07C9A">
              <w:rPr>
                <w:rFonts w:ascii="Times New Roman" w:hAnsi="Times New Roman"/>
                <w:sz w:val="24"/>
              </w:rPr>
              <w:t xml:space="preserve"> k </w:t>
            </w:r>
            <w:r w:rsidRPr="00E07C9A">
              <w:rPr>
                <w:rFonts w:ascii="Times New Roman" w:hAnsi="Times New Roman"/>
                <w:sz w:val="24"/>
              </w:rPr>
              <w:t>stĺpcu 0050.</w:t>
            </w:r>
          </w:p>
        </w:tc>
      </w:tr>
      <w:tr w:rsidR="001C7AB7" w:rsidRPr="00E07C9A" w14:paraId="4D684F84" w14:textId="77777777" w:rsidTr="00672D2A">
        <w:tc>
          <w:tcPr>
            <w:tcW w:w="1188" w:type="dxa"/>
          </w:tcPr>
          <w:p w14:paraId="3F7243F3" w14:textId="77777777" w:rsidR="001C7AB7" w:rsidRPr="00E07C9A" w:rsidRDefault="00FF15C6" w:rsidP="001C7AB7">
            <w:pPr>
              <w:rPr>
                <w:rFonts w:ascii="Times New Roman" w:hAnsi="Times New Roman"/>
                <w:sz w:val="24"/>
              </w:rPr>
            </w:pPr>
            <w:r w:rsidRPr="00E07C9A">
              <w:rPr>
                <w:rFonts w:ascii="Times New Roman" w:hAnsi="Times New Roman"/>
                <w:sz w:val="24"/>
              </w:rPr>
              <w:t>0170</w:t>
            </w:r>
          </w:p>
        </w:tc>
        <w:tc>
          <w:tcPr>
            <w:tcW w:w="8843" w:type="dxa"/>
          </w:tcPr>
          <w:p w14:paraId="0F8E356D" w14:textId="77777777" w:rsidR="009912F8" w:rsidRPr="00E07C9A" w:rsidRDefault="001C7AB7" w:rsidP="001C7AB7">
            <w:pPr>
              <w:rPr>
                <w:rFonts w:ascii="Times New Roman" w:hAnsi="Times New Roman"/>
                <w:b/>
                <w:sz w:val="24"/>
                <w:u w:val="single"/>
              </w:rPr>
            </w:pPr>
            <w:r w:rsidRPr="00E07C9A">
              <w:rPr>
                <w:rFonts w:ascii="Times New Roman" w:hAnsi="Times New Roman"/>
                <w:b/>
                <w:sz w:val="24"/>
                <w:u w:val="single"/>
              </w:rPr>
              <w:t>POUŽÍVAJÚ SA VLASTNÉ ODHADY LGD: INÉ FINANCOVANÉ KREDITNÉ ZABEZPEČENIE</w:t>
            </w:r>
          </w:p>
          <w:p w14:paraId="7425CC1D" w14:textId="5DB1F844" w:rsidR="001C7AB7" w:rsidRPr="00E07C9A" w:rsidRDefault="001C7AB7" w:rsidP="001C7AB7">
            <w:pPr>
              <w:rPr>
                <w:rStyle w:val="InstructionsTabelleText"/>
                <w:rFonts w:ascii="Times New Roman" w:hAnsi="Times New Roman"/>
                <w:sz w:val="24"/>
              </w:rPr>
            </w:pPr>
            <w:r w:rsidRPr="00E07C9A">
              <w:rPr>
                <w:rStyle w:val="InstructionsTabelleText"/>
                <w:rFonts w:ascii="Times New Roman" w:hAnsi="Times New Roman"/>
                <w:sz w:val="24"/>
              </w:rPr>
              <w:t>Príslušná hodnota použitá</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internom modelovaní inštitúcie.</w:t>
            </w:r>
          </w:p>
          <w:p w14:paraId="69145E08" w14:textId="46786210" w:rsidR="001C7AB7" w:rsidRPr="00E07C9A" w:rsidRDefault="001C7AB7" w:rsidP="00255BA9">
            <w:pPr>
              <w:rPr>
                <w:rFonts w:ascii="Times New Roman" w:hAnsi="Times New Roman"/>
                <w:sz w:val="24"/>
              </w:rPr>
            </w:pPr>
            <w:r w:rsidRPr="00E07C9A">
              <w:rPr>
                <w:rFonts w:ascii="Times New Roman" w:hAnsi="Times New Roman"/>
                <w:sz w:val="24"/>
              </w:rPr>
              <w:t>Postupy zmierňovania kreditného rizika, ktoré sú</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kritériami stanovenými</w:t>
            </w:r>
            <w:r w:rsidR="009912F8" w:rsidRPr="00E07C9A">
              <w:rPr>
                <w:rFonts w:ascii="Times New Roman" w:hAnsi="Times New Roman"/>
                <w:sz w:val="24"/>
              </w:rPr>
              <w:t xml:space="preserve"> v </w:t>
            </w:r>
            <w:r w:rsidRPr="00E07C9A">
              <w:rPr>
                <w:rFonts w:ascii="Times New Roman" w:hAnsi="Times New Roman"/>
                <w:sz w:val="24"/>
              </w:rPr>
              <w:t xml:space="preserve">článku 212 nariadenia (EÚ) </w:t>
            </w:r>
            <w:r w:rsidR="009912F8" w:rsidRPr="00E07C9A">
              <w:rPr>
                <w:rFonts w:ascii="Times New Roman" w:hAnsi="Times New Roman"/>
                <w:sz w:val="24"/>
              </w:rPr>
              <w:t>č. 575/2013</w:t>
            </w:r>
            <w:r w:rsidRPr="00E07C9A">
              <w:rPr>
                <w:rFonts w:ascii="Times New Roman" w:hAnsi="Times New Roman"/>
                <w:sz w:val="24"/>
              </w:rPr>
              <w:t xml:space="preserve">. </w:t>
            </w:r>
          </w:p>
        </w:tc>
      </w:tr>
      <w:tr w:rsidR="008D24A6" w:rsidRPr="00E07C9A" w14:paraId="224D8FFB" w14:textId="77777777" w:rsidTr="00672D2A">
        <w:tc>
          <w:tcPr>
            <w:tcW w:w="1188" w:type="dxa"/>
          </w:tcPr>
          <w:p w14:paraId="35BF6966" w14:textId="77777777" w:rsidR="008D24A6" w:rsidRPr="00E07C9A" w:rsidRDefault="00FF15C6" w:rsidP="008D24A6">
            <w:pPr>
              <w:rPr>
                <w:rFonts w:ascii="Times New Roman" w:hAnsi="Times New Roman"/>
                <w:sz w:val="24"/>
              </w:rPr>
            </w:pPr>
            <w:r w:rsidRPr="00E07C9A">
              <w:rPr>
                <w:rFonts w:ascii="Times New Roman" w:hAnsi="Times New Roman"/>
                <w:sz w:val="24"/>
              </w:rPr>
              <w:t>0171</w:t>
            </w:r>
          </w:p>
        </w:tc>
        <w:tc>
          <w:tcPr>
            <w:tcW w:w="8843" w:type="dxa"/>
          </w:tcPr>
          <w:p w14:paraId="0B3B3DDB" w14:textId="77777777" w:rsidR="008D24A6" w:rsidRPr="00E07C9A" w:rsidRDefault="008D24A6" w:rsidP="008D24A6">
            <w:pPr>
              <w:rPr>
                <w:rFonts w:ascii="Times New Roman" w:hAnsi="Times New Roman"/>
                <w:b/>
                <w:sz w:val="24"/>
                <w:u w:val="single"/>
              </w:rPr>
            </w:pPr>
            <w:r w:rsidRPr="00E07C9A">
              <w:rPr>
                <w:rFonts w:ascii="Times New Roman" w:hAnsi="Times New Roman"/>
                <w:b/>
                <w:sz w:val="24"/>
                <w:u w:val="single"/>
              </w:rPr>
              <w:t>PEŇAŽNÝ VKLAD</w:t>
            </w:r>
          </w:p>
          <w:p w14:paraId="05F38776" w14:textId="04507FB5" w:rsidR="009912F8" w:rsidRPr="00E07C9A" w:rsidRDefault="008D24A6" w:rsidP="008D24A6">
            <w:pPr>
              <w:rPr>
                <w:rFonts w:ascii="Times New Roman" w:hAnsi="Times New Roman"/>
                <w:sz w:val="24"/>
              </w:rPr>
            </w:pPr>
            <w:r w:rsidRPr="00E07C9A">
              <w:rPr>
                <w:rFonts w:ascii="Times New Roman" w:hAnsi="Times New Roman"/>
                <w:sz w:val="24"/>
              </w:rPr>
              <w:t xml:space="preserve">Článok 200 písm. a) nariadenia (EÚ) </w:t>
            </w:r>
            <w:r w:rsidR="009912F8" w:rsidRPr="00E07C9A">
              <w:rPr>
                <w:rFonts w:ascii="Times New Roman" w:hAnsi="Times New Roman"/>
                <w:sz w:val="24"/>
              </w:rPr>
              <w:t>č. 575/2013</w:t>
            </w:r>
          </w:p>
          <w:p w14:paraId="4F73A353" w14:textId="5DA45F94" w:rsidR="008D24A6" w:rsidRPr="00E07C9A" w:rsidRDefault="008D24A6" w:rsidP="008D24A6">
            <w:pPr>
              <w:rPr>
                <w:rFonts w:ascii="Times New Roman" w:hAnsi="Times New Roman"/>
                <w:b/>
                <w:sz w:val="24"/>
                <w:u w:val="single"/>
              </w:rPr>
            </w:pPr>
            <w:r w:rsidRPr="00E07C9A">
              <w:rPr>
                <w:rFonts w:ascii="Times New Roman" w:hAnsi="Times New Roman"/>
                <w:sz w:val="24"/>
              </w:rPr>
              <w:t>Peňažný vklad alebo nástroje hotovostného typu</w:t>
            </w:r>
            <w:r w:rsidR="009912F8" w:rsidRPr="00E07C9A">
              <w:rPr>
                <w:rFonts w:ascii="Times New Roman" w:hAnsi="Times New Roman"/>
                <w:sz w:val="24"/>
              </w:rPr>
              <w:t xml:space="preserve"> v </w:t>
            </w:r>
            <w:r w:rsidRPr="00E07C9A">
              <w:rPr>
                <w:rFonts w:ascii="Times New Roman" w:hAnsi="Times New Roman"/>
                <w:sz w:val="24"/>
              </w:rPr>
              <w:t>držbe tretej strany, ktorá je inštitúciou, na základe inej dohody než dohoda</w:t>
            </w:r>
            <w:r w:rsidR="009912F8" w:rsidRPr="00E07C9A">
              <w:rPr>
                <w:rFonts w:ascii="Times New Roman" w:hAnsi="Times New Roman"/>
                <w:sz w:val="24"/>
              </w:rPr>
              <w:t xml:space="preserve"> o </w:t>
            </w:r>
            <w:r w:rsidRPr="00E07C9A">
              <w:rPr>
                <w:rFonts w:ascii="Times New Roman" w:hAnsi="Times New Roman"/>
                <w:sz w:val="24"/>
              </w:rPr>
              <w:t>správe</w:t>
            </w:r>
            <w:r w:rsidR="009912F8" w:rsidRPr="00E07C9A">
              <w:rPr>
                <w:rFonts w:ascii="Times New Roman" w:hAnsi="Times New Roman"/>
                <w:sz w:val="24"/>
              </w:rPr>
              <w:t xml:space="preserve"> a </w:t>
            </w:r>
            <w:r w:rsidRPr="00E07C9A">
              <w:rPr>
                <w:rFonts w:ascii="Times New Roman" w:hAnsi="Times New Roman"/>
                <w:sz w:val="24"/>
              </w:rPr>
              <w:t>založené</w:t>
            </w:r>
            <w:r w:rsidR="009912F8" w:rsidRPr="00E07C9A">
              <w:rPr>
                <w:rFonts w:ascii="Times New Roman" w:hAnsi="Times New Roman"/>
                <w:sz w:val="24"/>
              </w:rPr>
              <w:t xml:space="preserve"> v </w:t>
            </w:r>
            <w:r w:rsidRPr="00E07C9A">
              <w:rPr>
                <w:rFonts w:ascii="Times New Roman" w:hAnsi="Times New Roman"/>
                <w:sz w:val="24"/>
              </w:rPr>
              <w:t>prospech požičiavajúcej inštitúcie. Hodnota vykazovaného kolaterálu je obmedzená na hodnotu expozície na úrovni jednotlivej expozície.</w:t>
            </w:r>
          </w:p>
        </w:tc>
      </w:tr>
      <w:tr w:rsidR="008D24A6" w:rsidRPr="00E07C9A" w14:paraId="445F2D71" w14:textId="77777777" w:rsidTr="00672D2A">
        <w:tc>
          <w:tcPr>
            <w:tcW w:w="1188" w:type="dxa"/>
          </w:tcPr>
          <w:p w14:paraId="14994815" w14:textId="77777777" w:rsidR="008D24A6" w:rsidRPr="00E07C9A" w:rsidRDefault="00FF15C6" w:rsidP="008D24A6">
            <w:pPr>
              <w:rPr>
                <w:rFonts w:ascii="Times New Roman" w:hAnsi="Times New Roman"/>
                <w:sz w:val="24"/>
              </w:rPr>
            </w:pPr>
            <w:r w:rsidRPr="00E07C9A">
              <w:rPr>
                <w:rFonts w:ascii="Times New Roman" w:hAnsi="Times New Roman"/>
                <w:sz w:val="24"/>
              </w:rPr>
              <w:t>0172</w:t>
            </w:r>
          </w:p>
        </w:tc>
        <w:tc>
          <w:tcPr>
            <w:tcW w:w="8843" w:type="dxa"/>
          </w:tcPr>
          <w:p w14:paraId="576F146F" w14:textId="77777777" w:rsidR="008D24A6" w:rsidRPr="00E07C9A" w:rsidRDefault="008D24A6" w:rsidP="008D24A6">
            <w:pPr>
              <w:rPr>
                <w:rFonts w:ascii="Times New Roman" w:hAnsi="Times New Roman"/>
                <w:b/>
                <w:sz w:val="24"/>
                <w:u w:val="single"/>
              </w:rPr>
            </w:pPr>
            <w:r w:rsidRPr="00E07C9A">
              <w:rPr>
                <w:rFonts w:ascii="Times New Roman" w:hAnsi="Times New Roman"/>
                <w:b/>
                <w:sz w:val="24"/>
                <w:u w:val="single"/>
              </w:rPr>
              <w:t>ŽIVOTNÉ POISTKY</w:t>
            </w:r>
          </w:p>
          <w:p w14:paraId="2878702B" w14:textId="753A7711" w:rsidR="009912F8" w:rsidRPr="00E07C9A" w:rsidRDefault="007968EE" w:rsidP="008D24A6">
            <w:pPr>
              <w:rPr>
                <w:rFonts w:ascii="Times New Roman" w:hAnsi="Times New Roman"/>
                <w:sz w:val="24"/>
              </w:rPr>
            </w:pPr>
            <w:r w:rsidRPr="00E07C9A">
              <w:rPr>
                <w:rFonts w:ascii="Times New Roman" w:hAnsi="Times New Roman"/>
                <w:sz w:val="24"/>
              </w:rPr>
              <w:t xml:space="preserve">Článok 200 písm. b) nariadenia (EÚ) </w:t>
            </w:r>
            <w:r w:rsidR="009912F8" w:rsidRPr="00E07C9A">
              <w:rPr>
                <w:rFonts w:ascii="Times New Roman" w:hAnsi="Times New Roman"/>
                <w:sz w:val="24"/>
              </w:rPr>
              <w:t>č. 575/2013</w:t>
            </w:r>
          </w:p>
          <w:p w14:paraId="6CE911DD" w14:textId="6AA07369" w:rsidR="008D24A6" w:rsidRPr="00E07C9A" w:rsidRDefault="008D24A6" w:rsidP="008D24A6">
            <w:pPr>
              <w:rPr>
                <w:rFonts w:ascii="Times New Roman" w:hAnsi="Times New Roman"/>
                <w:b/>
                <w:sz w:val="24"/>
                <w:u w:val="single"/>
              </w:rPr>
            </w:pPr>
            <w:r w:rsidRPr="00E07C9A">
              <w:rPr>
                <w:rFonts w:ascii="Times New Roman" w:hAnsi="Times New Roman"/>
                <w:sz w:val="24"/>
              </w:rPr>
              <w:t>Hodnota vykazovaného kolaterálu je obmedzená na hodnotu expozície na úrovni jednotlivej expozície.</w:t>
            </w:r>
          </w:p>
        </w:tc>
      </w:tr>
      <w:tr w:rsidR="008D24A6" w:rsidRPr="00E07C9A" w14:paraId="560D84FB" w14:textId="77777777" w:rsidTr="00672D2A">
        <w:tc>
          <w:tcPr>
            <w:tcW w:w="1188" w:type="dxa"/>
          </w:tcPr>
          <w:p w14:paraId="125F2018" w14:textId="77777777" w:rsidR="008D24A6" w:rsidRPr="00E07C9A" w:rsidRDefault="00FF15C6" w:rsidP="008D24A6">
            <w:pPr>
              <w:rPr>
                <w:rFonts w:ascii="Times New Roman" w:hAnsi="Times New Roman"/>
                <w:sz w:val="24"/>
              </w:rPr>
            </w:pPr>
            <w:r w:rsidRPr="00E07C9A">
              <w:rPr>
                <w:rFonts w:ascii="Times New Roman" w:hAnsi="Times New Roman"/>
                <w:sz w:val="24"/>
              </w:rPr>
              <w:t>0173</w:t>
            </w:r>
          </w:p>
        </w:tc>
        <w:tc>
          <w:tcPr>
            <w:tcW w:w="8843" w:type="dxa"/>
          </w:tcPr>
          <w:p w14:paraId="665EFC9A" w14:textId="69092956" w:rsidR="008D24A6" w:rsidRPr="00E07C9A" w:rsidRDefault="008D24A6" w:rsidP="008D24A6">
            <w:pPr>
              <w:rPr>
                <w:rFonts w:ascii="Times New Roman" w:hAnsi="Times New Roman"/>
                <w:b/>
                <w:sz w:val="24"/>
                <w:u w:val="single"/>
              </w:rPr>
            </w:pPr>
            <w:r w:rsidRPr="00E07C9A">
              <w:rPr>
                <w:rFonts w:ascii="Times New Roman" w:hAnsi="Times New Roman"/>
                <w:b/>
                <w:sz w:val="24"/>
                <w:u w:val="single"/>
              </w:rPr>
              <w:t>NÁSTROJE</w:t>
            </w:r>
            <w:r w:rsidR="009912F8" w:rsidRPr="00E07C9A">
              <w:rPr>
                <w:rFonts w:ascii="Times New Roman" w:hAnsi="Times New Roman"/>
                <w:b/>
                <w:sz w:val="24"/>
                <w:u w:val="single"/>
              </w:rPr>
              <w:t xml:space="preserve"> V </w:t>
            </w:r>
            <w:r w:rsidRPr="00E07C9A">
              <w:rPr>
                <w:rFonts w:ascii="Times New Roman" w:hAnsi="Times New Roman"/>
                <w:b/>
                <w:sz w:val="24"/>
                <w:u w:val="single"/>
              </w:rPr>
              <w:t>DRŽBE TRETEJ STRANY</w:t>
            </w:r>
          </w:p>
          <w:p w14:paraId="0B697EBF" w14:textId="3A62FBF9" w:rsidR="009912F8" w:rsidRPr="00E07C9A" w:rsidRDefault="007968EE" w:rsidP="00F66371">
            <w:pPr>
              <w:rPr>
                <w:rFonts w:ascii="Times New Roman" w:hAnsi="Times New Roman"/>
                <w:sz w:val="24"/>
              </w:rPr>
            </w:pPr>
            <w:r w:rsidRPr="00E07C9A">
              <w:rPr>
                <w:rFonts w:ascii="Times New Roman" w:hAnsi="Times New Roman"/>
                <w:sz w:val="24"/>
              </w:rPr>
              <w:t xml:space="preserve">Článok 200 písm. c) nariadenia (EÚ) </w:t>
            </w:r>
            <w:r w:rsidR="009912F8" w:rsidRPr="00E07C9A">
              <w:rPr>
                <w:rFonts w:ascii="Times New Roman" w:hAnsi="Times New Roman"/>
                <w:sz w:val="24"/>
              </w:rPr>
              <w:t>č. 575/2013</w:t>
            </w:r>
          </w:p>
          <w:p w14:paraId="54478030" w14:textId="1B4F0FEB" w:rsidR="008D24A6" w:rsidRPr="00E07C9A" w:rsidRDefault="008D24A6" w:rsidP="00F34382">
            <w:pPr>
              <w:rPr>
                <w:rFonts w:ascii="Times New Roman" w:hAnsi="Times New Roman"/>
                <w:b/>
                <w:sz w:val="24"/>
                <w:u w:val="single"/>
              </w:rPr>
            </w:pPr>
            <w:r w:rsidRPr="00E07C9A">
              <w:rPr>
                <w:rFonts w:ascii="Times New Roman" w:hAnsi="Times New Roman"/>
                <w:sz w:val="24"/>
              </w:rPr>
              <w:t>Zahŕňa to nástroje emitované treťou stranou, ktorá je inštitúciou, ktoré táto inštitúcia na požiadanie spätne odkúpi. Hodnota vykazovaného kolaterálu je obmedzená na hodnotu expozície na úrovni jednotlivej expozície.</w:t>
            </w:r>
            <w:r w:rsidR="009912F8" w:rsidRPr="00E07C9A">
              <w:rPr>
                <w:rFonts w:ascii="Times New Roman" w:hAnsi="Times New Roman"/>
                <w:sz w:val="24"/>
              </w:rPr>
              <w:t xml:space="preserve"> Z </w:t>
            </w:r>
            <w:r w:rsidRPr="00E07C9A">
              <w:rPr>
                <w:rFonts w:ascii="Times New Roman" w:hAnsi="Times New Roman"/>
                <w:sz w:val="24"/>
              </w:rPr>
              <w:t>tohto stĺpca sa vylučujú tie expozície, na ktoré sa vzťahujú nástroje</w:t>
            </w:r>
            <w:r w:rsidR="009912F8" w:rsidRPr="00E07C9A">
              <w:rPr>
                <w:rFonts w:ascii="Times New Roman" w:hAnsi="Times New Roman"/>
                <w:sz w:val="24"/>
              </w:rPr>
              <w:t xml:space="preserve"> v </w:t>
            </w:r>
            <w:r w:rsidRPr="00E07C9A">
              <w:rPr>
                <w:rFonts w:ascii="Times New Roman" w:hAnsi="Times New Roman"/>
                <w:sz w:val="24"/>
              </w:rPr>
              <w:t>držbe tretej strany, ak</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232 ods. 4 nariadenia (EÚ) </w:t>
            </w:r>
            <w:r w:rsidR="009912F8" w:rsidRPr="00E07C9A">
              <w:rPr>
                <w:rFonts w:ascii="Times New Roman" w:hAnsi="Times New Roman"/>
                <w:sz w:val="24"/>
              </w:rPr>
              <w:t>č. 575/2013</w:t>
            </w:r>
            <w:r w:rsidRPr="00E07C9A">
              <w:rPr>
                <w:rFonts w:ascii="Times New Roman" w:hAnsi="Times New Roman"/>
                <w:sz w:val="24"/>
              </w:rPr>
              <w:t xml:space="preserve"> inštitúcie považujú nástroje spätne odkúpené na požiadanie, ktoré sú prípustné podľa článku 200 písm. c) uvedeného nariadenia, za záruku emitujúcej inštitúcie.</w:t>
            </w:r>
          </w:p>
        </w:tc>
      </w:tr>
      <w:tr w:rsidR="008D24A6" w:rsidRPr="00E07C9A" w14:paraId="21634535" w14:textId="77777777" w:rsidTr="00672D2A">
        <w:tc>
          <w:tcPr>
            <w:tcW w:w="1188" w:type="dxa"/>
          </w:tcPr>
          <w:p w14:paraId="5FB37F54" w14:textId="77777777" w:rsidR="008D24A6" w:rsidRPr="00E07C9A" w:rsidRDefault="001452FC" w:rsidP="008D24A6">
            <w:pPr>
              <w:rPr>
                <w:rFonts w:ascii="Times New Roman" w:hAnsi="Times New Roman"/>
                <w:sz w:val="24"/>
              </w:rPr>
            </w:pPr>
            <w:r w:rsidRPr="00E07C9A">
              <w:rPr>
                <w:rFonts w:ascii="Times New Roman" w:hAnsi="Times New Roman"/>
                <w:sz w:val="24"/>
              </w:rPr>
              <w:t>0180</w:t>
            </w:r>
          </w:p>
        </w:tc>
        <w:tc>
          <w:tcPr>
            <w:tcW w:w="8843" w:type="dxa"/>
          </w:tcPr>
          <w:p w14:paraId="042893CF" w14:textId="77777777" w:rsidR="008D24A6" w:rsidRPr="00E07C9A" w:rsidRDefault="008D24A6" w:rsidP="008D24A6">
            <w:pPr>
              <w:rPr>
                <w:rFonts w:ascii="Times New Roman" w:hAnsi="Times New Roman"/>
                <w:b/>
                <w:sz w:val="24"/>
                <w:u w:val="single"/>
              </w:rPr>
            </w:pPr>
            <w:r w:rsidRPr="00E07C9A">
              <w:rPr>
                <w:rFonts w:ascii="Times New Roman" w:hAnsi="Times New Roman"/>
                <w:b/>
                <w:sz w:val="24"/>
                <w:u w:val="single"/>
              </w:rPr>
              <w:t>PRÍPUSTNÝ FINANČNÝ KOLATERÁL</w:t>
            </w:r>
          </w:p>
          <w:p w14:paraId="23BB1AF5" w14:textId="66525F05" w:rsidR="008D24A6" w:rsidRPr="00E07C9A" w:rsidRDefault="008D24A6" w:rsidP="008D24A6">
            <w:pPr>
              <w:rPr>
                <w:rFonts w:ascii="Times New Roman" w:hAnsi="Times New Roman"/>
                <w:sz w:val="24"/>
              </w:rPr>
            </w:pPr>
            <w:r w:rsidRPr="00E07C9A">
              <w:rPr>
                <w:rFonts w:ascii="Times New Roman" w:hAnsi="Times New Roman"/>
                <w:sz w:val="24"/>
              </w:rPr>
              <w:t>Pre operácie obchodnej knihy sa zahrnú finančné nástroje</w:t>
            </w:r>
            <w:r w:rsidR="009912F8" w:rsidRPr="00E07C9A">
              <w:rPr>
                <w:rFonts w:ascii="Times New Roman" w:hAnsi="Times New Roman"/>
                <w:sz w:val="24"/>
              </w:rPr>
              <w:t xml:space="preserve"> a </w:t>
            </w:r>
            <w:r w:rsidRPr="00E07C9A">
              <w:rPr>
                <w:rFonts w:ascii="Times New Roman" w:hAnsi="Times New Roman"/>
                <w:sz w:val="24"/>
              </w:rPr>
              <w:t>komodity prípustné pre expozície</w:t>
            </w:r>
            <w:r w:rsidR="009912F8" w:rsidRPr="00E07C9A">
              <w:rPr>
                <w:rFonts w:ascii="Times New Roman" w:hAnsi="Times New Roman"/>
                <w:sz w:val="24"/>
              </w:rPr>
              <w:t xml:space="preserve"> v </w:t>
            </w:r>
            <w:r w:rsidRPr="00E07C9A">
              <w:rPr>
                <w:rFonts w:ascii="Times New Roman" w:hAnsi="Times New Roman"/>
                <w:sz w:val="24"/>
              </w:rPr>
              <w:t>obchodnej knihe</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299 ods. 2 písm. c) až f) nariadenia (EÚ) </w:t>
            </w:r>
            <w:r w:rsidR="009912F8" w:rsidRPr="00E07C9A">
              <w:rPr>
                <w:rFonts w:ascii="Times New Roman" w:hAnsi="Times New Roman"/>
                <w:sz w:val="24"/>
              </w:rPr>
              <w:t>č. 575/2013</w:t>
            </w:r>
            <w:r w:rsidRPr="00E07C9A">
              <w:rPr>
                <w:rFonts w:ascii="Times New Roman" w:hAnsi="Times New Roman"/>
                <w:sz w:val="24"/>
              </w:rPr>
              <w:t>.</w:t>
            </w:r>
            <w:r w:rsidR="009912F8" w:rsidRPr="00E07C9A">
              <w:rPr>
                <w:rFonts w:ascii="Times New Roman" w:hAnsi="Times New Roman"/>
                <w:sz w:val="24"/>
              </w:rPr>
              <w:t xml:space="preserve"> S </w:t>
            </w:r>
            <w:r w:rsidRPr="00E07C9A">
              <w:rPr>
                <w:rFonts w:ascii="Times New Roman" w:hAnsi="Times New Roman"/>
                <w:sz w:val="24"/>
              </w:rPr>
              <w:t>dlhovými nástrojmi viazanými na úver</w:t>
            </w:r>
            <w:r w:rsidR="009912F8" w:rsidRPr="00E07C9A">
              <w:rPr>
                <w:rFonts w:ascii="Times New Roman" w:hAnsi="Times New Roman"/>
                <w:sz w:val="24"/>
              </w:rPr>
              <w:t xml:space="preserve"> a </w:t>
            </w:r>
            <w:r w:rsidRPr="00E07C9A">
              <w:rPr>
                <w:rFonts w:ascii="Times New Roman" w:hAnsi="Times New Roman"/>
                <w:sz w:val="24"/>
              </w:rPr>
              <w:t>vzájomným započítavaním</w:t>
            </w:r>
            <w:r w:rsidR="009912F8" w:rsidRPr="00E07C9A">
              <w:rPr>
                <w:rFonts w:ascii="Times New Roman" w:hAnsi="Times New Roman"/>
                <w:sz w:val="24"/>
              </w:rPr>
              <w:t xml:space="preserve"> v </w:t>
            </w:r>
            <w:r w:rsidRPr="00E07C9A">
              <w:rPr>
                <w:rFonts w:ascii="Times New Roman" w:hAnsi="Times New Roman"/>
                <w:sz w:val="24"/>
              </w:rPr>
              <w:t xml:space="preserve">súvahe sa podľa tretej časti hlavy II kapitoly 4 oddielu 4 nariadenia (EÚ) </w:t>
            </w:r>
            <w:r w:rsidR="009912F8" w:rsidRPr="00E07C9A">
              <w:rPr>
                <w:rFonts w:ascii="Times New Roman" w:hAnsi="Times New Roman"/>
                <w:sz w:val="24"/>
              </w:rPr>
              <w:t>č. 575/2013</w:t>
            </w:r>
            <w:r w:rsidRPr="00E07C9A">
              <w:rPr>
                <w:rFonts w:ascii="Times New Roman" w:hAnsi="Times New Roman"/>
                <w:sz w:val="24"/>
              </w:rPr>
              <w:t xml:space="preserve"> zaobchádza ako</w:t>
            </w:r>
            <w:r w:rsidR="009912F8" w:rsidRPr="00E07C9A">
              <w:rPr>
                <w:rFonts w:ascii="Times New Roman" w:hAnsi="Times New Roman"/>
                <w:sz w:val="24"/>
              </w:rPr>
              <w:t xml:space="preserve"> s </w:t>
            </w:r>
            <w:r w:rsidRPr="00E07C9A">
              <w:rPr>
                <w:rFonts w:ascii="Times New Roman" w:hAnsi="Times New Roman"/>
                <w:sz w:val="24"/>
              </w:rPr>
              <w:t>peňažným kolaterálom.</w:t>
            </w:r>
          </w:p>
          <w:p w14:paraId="5C05E9AA" w14:textId="0133AA4E" w:rsidR="008D24A6" w:rsidRPr="00E07C9A" w:rsidRDefault="008D24A6" w:rsidP="008D24A6">
            <w:pPr>
              <w:rPr>
                <w:rFonts w:ascii="Times New Roman" w:hAnsi="Times New Roman"/>
                <w:sz w:val="24"/>
              </w:rPr>
            </w:pPr>
            <w:r w:rsidRPr="00E07C9A">
              <w:rPr>
                <w:rFonts w:ascii="Times New Roman" w:hAnsi="Times New Roman"/>
                <w:sz w:val="24"/>
              </w:rPr>
              <w:t>Ak sa nepoužívajú vlastné odhady LGD, vykazuje sa pre prípustný finančný kolaterál</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197 nariadenia (EÚ) </w:t>
            </w:r>
            <w:r w:rsidR="009912F8" w:rsidRPr="00E07C9A">
              <w:rPr>
                <w:rFonts w:ascii="Times New Roman" w:hAnsi="Times New Roman"/>
                <w:sz w:val="24"/>
              </w:rPr>
              <w:t>č. 575/2013</w:t>
            </w:r>
            <w:r w:rsidRPr="00E07C9A">
              <w:rPr>
                <w:rFonts w:ascii="Times New Roman" w:hAnsi="Times New Roman"/>
                <w:sz w:val="24"/>
              </w:rPr>
              <w:t xml:space="preserve"> upravená hodnota (Cvam), ako je stanovená</w:t>
            </w:r>
            <w:r w:rsidR="009912F8" w:rsidRPr="00E07C9A">
              <w:rPr>
                <w:rFonts w:ascii="Times New Roman" w:hAnsi="Times New Roman"/>
                <w:sz w:val="24"/>
              </w:rPr>
              <w:t xml:space="preserve"> v </w:t>
            </w:r>
            <w:r w:rsidRPr="00E07C9A">
              <w:rPr>
                <w:rFonts w:ascii="Times New Roman" w:hAnsi="Times New Roman"/>
                <w:sz w:val="24"/>
              </w:rPr>
              <w:t>článku 223 ods. 2 uvedeného nariadenia.</w:t>
            </w:r>
          </w:p>
          <w:p w14:paraId="69E21598" w14:textId="7AE11B5B" w:rsidR="008D24A6" w:rsidRPr="00E07C9A" w:rsidRDefault="008D24A6" w:rsidP="007968EE">
            <w:pPr>
              <w:rPr>
                <w:rFonts w:ascii="Times New Roman" w:hAnsi="Times New Roman"/>
                <w:b/>
                <w:sz w:val="24"/>
                <w:u w:val="single"/>
              </w:rPr>
            </w:pPr>
            <w:r w:rsidRPr="00E07C9A">
              <w:rPr>
                <w:rFonts w:ascii="Times New Roman" w:hAnsi="Times New Roman"/>
                <w:sz w:val="24"/>
              </w:rPr>
              <w:t>Ak sa používajú vlastné odhady LGD,</w:t>
            </w:r>
            <w:r w:rsidR="009912F8" w:rsidRPr="00E07C9A">
              <w:rPr>
                <w:rFonts w:ascii="Times New Roman" w:hAnsi="Times New Roman"/>
                <w:sz w:val="24"/>
              </w:rPr>
              <w:t xml:space="preserve"> v </w:t>
            </w:r>
            <w:r w:rsidRPr="00E07C9A">
              <w:rPr>
                <w:rFonts w:ascii="Times New Roman" w:hAnsi="Times New Roman"/>
                <w:sz w:val="24"/>
              </w:rPr>
              <w:t>odhadoch LGD sa</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článkom 181 ods. 1 písm. e)</w:t>
            </w:r>
            <w:r w:rsidR="009912F8" w:rsidRPr="00E07C9A">
              <w:rPr>
                <w:rFonts w:ascii="Times New Roman" w:hAnsi="Times New Roman"/>
                <w:sz w:val="24"/>
              </w:rPr>
              <w:t xml:space="preserve"> a </w:t>
            </w:r>
            <w:r w:rsidRPr="00E07C9A">
              <w:rPr>
                <w:rFonts w:ascii="Times New Roman" w:hAnsi="Times New Roman"/>
                <w:sz w:val="24"/>
              </w:rPr>
              <w:t xml:space="preserve">f) nariadenia (EÚ) </w:t>
            </w:r>
            <w:r w:rsidR="009912F8" w:rsidRPr="00E07C9A">
              <w:rPr>
                <w:rFonts w:ascii="Times New Roman" w:hAnsi="Times New Roman"/>
                <w:sz w:val="24"/>
              </w:rPr>
              <w:t>č. 575/2013</w:t>
            </w:r>
            <w:r w:rsidRPr="00E07C9A">
              <w:rPr>
                <w:rFonts w:ascii="Times New Roman" w:hAnsi="Times New Roman"/>
                <w:sz w:val="24"/>
              </w:rPr>
              <w:t xml:space="preserve"> zohľadňuje finančný kolaterál. Vykazovaná hodnota je odhadovaná trhová hodnota kolaterálu.</w:t>
            </w:r>
          </w:p>
        </w:tc>
      </w:tr>
      <w:tr w:rsidR="008D24A6" w:rsidRPr="00E07C9A" w14:paraId="2F02933D" w14:textId="77777777" w:rsidTr="00672D2A">
        <w:tc>
          <w:tcPr>
            <w:tcW w:w="1188" w:type="dxa"/>
          </w:tcPr>
          <w:p w14:paraId="7862C5B0" w14:textId="77777777" w:rsidR="008D24A6" w:rsidRPr="00E07C9A" w:rsidDel="001D4BE0" w:rsidRDefault="001452FC" w:rsidP="008D24A6">
            <w:pPr>
              <w:rPr>
                <w:rFonts w:ascii="Times New Roman" w:hAnsi="Times New Roman"/>
                <w:sz w:val="24"/>
              </w:rPr>
            </w:pPr>
            <w:r w:rsidRPr="00E07C9A">
              <w:rPr>
                <w:rFonts w:ascii="Times New Roman" w:hAnsi="Times New Roman"/>
                <w:sz w:val="24"/>
              </w:rPr>
              <w:t>0190 –⁠ 0210</w:t>
            </w:r>
          </w:p>
        </w:tc>
        <w:tc>
          <w:tcPr>
            <w:tcW w:w="8843" w:type="dxa"/>
          </w:tcPr>
          <w:p w14:paraId="0046DD10" w14:textId="77777777" w:rsidR="008D24A6" w:rsidRPr="00E07C9A" w:rsidRDefault="008D24A6" w:rsidP="008D24A6">
            <w:pPr>
              <w:rPr>
                <w:rFonts w:ascii="Times New Roman" w:hAnsi="Times New Roman"/>
                <w:b/>
                <w:sz w:val="24"/>
                <w:u w:val="single"/>
              </w:rPr>
            </w:pPr>
            <w:r w:rsidRPr="00E07C9A">
              <w:rPr>
                <w:rFonts w:ascii="Times New Roman" w:hAnsi="Times New Roman"/>
                <w:b/>
                <w:sz w:val="24"/>
                <w:u w:val="single"/>
              </w:rPr>
              <w:t>INÝ PRÍPUSTNÝ KOLATERÁL</w:t>
            </w:r>
          </w:p>
          <w:p w14:paraId="399B667C" w14:textId="36EB79F3" w:rsidR="008D24A6" w:rsidRPr="00E07C9A" w:rsidRDefault="008D24A6" w:rsidP="008D24A6">
            <w:pPr>
              <w:rPr>
                <w:rFonts w:ascii="Times New Roman" w:hAnsi="Times New Roman"/>
                <w:sz w:val="24"/>
              </w:rPr>
            </w:pPr>
            <w:r w:rsidRPr="00E07C9A">
              <w:rPr>
                <w:rFonts w:ascii="Times New Roman" w:hAnsi="Times New Roman"/>
                <w:sz w:val="24"/>
              </w:rPr>
              <w:t>Ak sa nepoužívajú vlastné odhady LGD, hodnoty sa určujú</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199 ods. 1 až 8 nariadenia (EÚ) </w:t>
            </w:r>
            <w:r w:rsidR="009912F8" w:rsidRPr="00E07C9A">
              <w:rPr>
                <w:rFonts w:ascii="Times New Roman" w:hAnsi="Times New Roman"/>
                <w:sz w:val="24"/>
              </w:rPr>
              <w:t>č. 575/2013 a </w:t>
            </w:r>
            <w:r w:rsidRPr="00E07C9A">
              <w:rPr>
                <w:rFonts w:ascii="Times New Roman" w:hAnsi="Times New Roman"/>
                <w:sz w:val="24"/>
              </w:rPr>
              <w:t>článkom 229 uvedeného nariadenia.</w:t>
            </w:r>
          </w:p>
          <w:p w14:paraId="19B77B51" w14:textId="090CB3AC" w:rsidR="008D24A6" w:rsidRPr="00E07C9A" w:rsidRDefault="008D24A6" w:rsidP="007968EE">
            <w:pPr>
              <w:rPr>
                <w:rFonts w:ascii="Times New Roman" w:hAnsi="Times New Roman"/>
                <w:b/>
                <w:sz w:val="24"/>
                <w:u w:val="single"/>
              </w:rPr>
            </w:pPr>
            <w:r w:rsidRPr="00E07C9A">
              <w:rPr>
                <w:rFonts w:ascii="Times New Roman" w:hAnsi="Times New Roman"/>
                <w:sz w:val="24"/>
              </w:rPr>
              <w:t>Ak sa používajú vlastné odhady LGD,</w:t>
            </w:r>
            <w:r w:rsidR="009912F8" w:rsidRPr="00E07C9A">
              <w:rPr>
                <w:rFonts w:ascii="Times New Roman" w:hAnsi="Times New Roman"/>
                <w:sz w:val="24"/>
              </w:rPr>
              <w:t xml:space="preserve"> v </w:t>
            </w:r>
            <w:r w:rsidRPr="00E07C9A">
              <w:rPr>
                <w:rFonts w:ascii="Times New Roman" w:hAnsi="Times New Roman"/>
                <w:sz w:val="24"/>
              </w:rPr>
              <w:t>odhadoch LGD sa</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článkom 181 ods. 1 písm. e)</w:t>
            </w:r>
            <w:r w:rsidR="009912F8" w:rsidRPr="00E07C9A">
              <w:rPr>
                <w:rFonts w:ascii="Times New Roman" w:hAnsi="Times New Roman"/>
                <w:sz w:val="24"/>
              </w:rPr>
              <w:t xml:space="preserve"> a </w:t>
            </w:r>
            <w:r w:rsidRPr="00E07C9A">
              <w:rPr>
                <w:rFonts w:ascii="Times New Roman" w:hAnsi="Times New Roman"/>
                <w:sz w:val="24"/>
              </w:rPr>
              <w:t xml:space="preserve">f) nariadenia (EÚ) </w:t>
            </w:r>
            <w:r w:rsidR="009912F8" w:rsidRPr="00E07C9A">
              <w:rPr>
                <w:rFonts w:ascii="Times New Roman" w:hAnsi="Times New Roman"/>
                <w:sz w:val="24"/>
              </w:rPr>
              <w:t>č. 575/2013</w:t>
            </w:r>
            <w:r w:rsidRPr="00E07C9A">
              <w:rPr>
                <w:rFonts w:ascii="Times New Roman" w:hAnsi="Times New Roman"/>
                <w:sz w:val="24"/>
              </w:rPr>
              <w:t xml:space="preserve"> zohľadňuje iný kolaterál.</w:t>
            </w:r>
          </w:p>
        </w:tc>
      </w:tr>
      <w:tr w:rsidR="008D24A6" w:rsidRPr="00E07C9A" w14:paraId="3E241535" w14:textId="77777777" w:rsidTr="00672D2A">
        <w:tc>
          <w:tcPr>
            <w:tcW w:w="1188" w:type="dxa"/>
          </w:tcPr>
          <w:p w14:paraId="10D76993" w14:textId="77777777" w:rsidR="008D24A6" w:rsidRPr="00E07C9A" w:rsidRDefault="001452FC" w:rsidP="008D24A6">
            <w:pPr>
              <w:spacing w:line="240" w:lineRule="exact"/>
              <w:rPr>
                <w:rFonts w:ascii="Times New Roman" w:hAnsi="Times New Roman"/>
                <w:sz w:val="24"/>
              </w:rPr>
            </w:pPr>
            <w:r w:rsidRPr="00E07C9A">
              <w:rPr>
                <w:rFonts w:ascii="Times New Roman" w:hAnsi="Times New Roman"/>
                <w:sz w:val="24"/>
              </w:rPr>
              <w:t>0190</w:t>
            </w:r>
          </w:p>
        </w:tc>
        <w:tc>
          <w:tcPr>
            <w:tcW w:w="8843" w:type="dxa"/>
          </w:tcPr>
          <w:p w14:paraId="32F9DAC9" w14:textId="77777777" w:rsidR="008D24A6" w:rsidRPr="00E07C9A" w:rsidRDefault="008D24A6" w:rsidP="008D24A6">
            <w:pPr>
              <w:spacing w:line="240" w:lineRule="exact"/>
              <w:rPr>
                <w:rFonts w:ascii="Times New Roman" w:hAnsi="Times New Roman"/>
                <w:sz w:val="24"/>
              </w:rPr>
            </w:pPr>
            <w:r w:rsidRPr="00E07C9A">
              <w:rPr>
                <w:rFonts w:ascii="Times New Roman" w:hAnsi="Times New Roman"/>
                <w:b/>
                <w:sz w:val="24"/>
                <w:u w:val="single"/>
              </w:rPr>
              <w:t>NEHNUTEĽNÝ MAJETOK</w:t>
            </w:r>
          </w:p>
          <w:p w14:paraId="364B1535" w14:textId="1A540B89" w:rsidR="008D24A6" w:rsidRPr="00E07C9A" w:rsidRDefault="008D24A6" w:rsidP="008D24A6">
            <w:pPr>
              <w:spacing w:line="240" w:lineRule="exact"/>
              <w:rPr>
                <w:rFonts w:ascii="Times New Roman" w:hAnsi="Times New Roman"/>
                <w:sz w:val="24"/>
              </w:rPr>
            </w:pPr>
            <w:r w:rsidRPr="00E07C9A">
              <w:rPr>
                <w:rFonts w:ascii="Times New Roman" w:hAnsi="Times New Roman"/>
                <w:sz w:val="24"/>
              </w:rPr>
              <w:t>Ak sa nepoužívajú vlastné odhady LGD, hodnoty sa určujú</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článkom 199 ods. 2, 3</w:t>
            </w:r>
            <w:r w:rsidR="009912F8" w:rsidRPr="00E07C9A">
              <w:rPr>
                <w:rFonts w:ascii="Times New Roman" w:hAnsi="Times New Roman"/>
                <w:sz w:val="24"/>
              </w:rPr>
              <w:t xml:space="preserve"> a </w:t>
            </w:r>
            <w:r w:rsidRPr="00E07C9A">
              <w:rPr>
                <w:rFonts w:ascii="Times New Roman" w:hAnsi="Times New Roman"/>
                <w:sz w:val="24"/>
              </w:rPr>
              <w:t xml:space="preserve">4 nariadenia (EÚ) </w:t>
            </w:r>
            <w:r w:rsidR="009912F8" w:rsidRPr="00E07C9A">
              <w:rPr>
                <w:rFonts w:ascii="Times New Roman" w:hAnsi="Times New Roman"/>
                <w:sz w:val="24"/>
              </w:rPr>
              <w:t>č. 575/2013 a </w:t>
            </w:r>
            <w:r w:rsidRPr="00E07C9A">
              <w:rPr>
                <w:rFonts w:ascii="Times New Roman" w:hAnsi="Times New Roman"/>
                <w:sz w:val="24"/>
              </w:rPr>
              <w:t>vykazujú sa</w:t>
            </w:r>
            <w:r w:rsidR="009912F8" w:rsidRPr="00E07C9A">
              <w:rPr>
                <w:rFonts w:ascii="Times New Roman" w:hAnsi="Times New Roman"/>
                <w:sz w:val="24"/>
              </w:rPr>
              <w:t xml:space="preserve"> v </w:t>
            </w:r>
            <w:r w:rsidRPr="00E07C9A">
              <w:rPr>
                <w:rFonts w:ascii="Times New Roman" w:hAnsi="Times New Roman"/>
                <w:sz w:val="24"/>
              </w:rPr>
              <w:t xml:space="preserve">tomto stĺpci. Zahrnutý je aj prenájom nehnuteľného majetku [pozri článok 199 ods. 7 nariadenia (EÚ) </w:t>
            </w:r>
            <w:r w:rsidR="009912F8" w:rsidRPr="00E07C9A">
              <w:rPr>
                <w:rFonts w:ascii="Times New Roman" w:hAnsi="Times New Roman"/>
                <w:sz w:val="24"/>
              </w:rPr>
              <w:t>č. 575/2013</w:t>
            </w:r>
            <w:r w:rsidRPr="00E07C9A">
              <w:rPr>
                <w:rFonts w:ascii="Times New Roman" w:hAnsi="Times New Roman"/>
                <w:sz w:val="24"/>
              </w:rPr>
              <w:t xml:space="preserve">]. Pozri aj článok 229 nariadenia (EÚ) </w:t>
            </w:r>
            <w:r w:rsidR="009912F8" w:rsidRPr="00E07C9A">
              <w:rPr>
                <w:rFonts w:ascii="Times New Roman" w:hAnsi="Times New Roman"/>
                <w:sz w:val="24"/>
              </w:rPr>
              <w:t>č. 575/2013</w:t>
            </w:r>
            <w:r w:rsidRPr="00E07C9A">
              <w:rPr>
                <w:rFonts w:ascii="Times New Roman" w:hAnsi="Times New Roman"/>
                <w:sz w:val="24"/>
              </w:rPr>
              <w:t>.</w:t>
            </w:r>
          </w:p>
          <w:p w14:paraId="797950F7" w14:textId="77777777" w:rsidR="008D24A6" w:rsidRPr="00E07C9A" w:rsidRDefault="008D24A6" w:rsidP="008D24A6">
            <w:pPr>
              <w:spacing w:line="240" w:lineRule="exact"/>
              <w:rPr>
                <w:rFonts w:ascii="Times New Roman" w:hAnsi="Times New Roman"/>
                <w:sz w:val="24"/>
              </w:rPr>
            </w:pPr>
            <w:r w:rsidRPr="00E07C9A">
              <w:rPr>
                <w:rFonts w:ascii="Times New Roman" w:hAnsi="Times New Roman"/>
                <w:sz w:val="24"/>
              </w:rPr>
              <w:t>Keď sa používajú vlastné odhady LGD, vykazovaná hodnota je odhadovaná trhová hodnota.</w:t>
            </w:r>
          </w:p>
        </w:tc>
      </w:tr>
      <w:tr w:rsidR="008D24A6" w:rsidRPr="00E07C9A" w14:paraId="6DA25EAC" w14:textId="77777777" w:rsidTr="00672D2A">
        <w:tc>
          <w:tcPr>
            <w:tcW w:w="1188" w:type="dxa"/>
          </w:tcPr>
          <w:p w14:paraId="094E674D" w14:textId="77777777" w:rsidR="008D24A6" w:rsidRPr="00E07C9A" w:rsidRDefault="001452FC" w:rsidP="008D24A6">
            <w:pPr>
              <w:rPr>
                <w:rFonts w:ascii="Times New Roman" w:hAnsi="Times New Roman"/>
                <w:sz w:val="24"/>
              </w:rPr>
            </w:pPr>
            <w:r w:rsidRPr="00E07C9A">
              <w:rPr>
                <w:rFonts w:ascii="Times New Roman" w:hAnsi="Times New Roman"/>
                <w:sz w:val="24"/>
              </w:rPr>
              <w:t>0200</w:t>
            </w:r>
          </w:p>
        </w:tc>
        <w:tc>
          <w:tcPr>
            <w:tcW w:w="8843" w:type="dxa"/>
          </w:tcPr>
          <w:p w14:paraId="1FDDAEAB" w14:textId="77777777" w:rsidR="008D24A6" w:rsidRPr="00E07C9A" w:rsidRDefault="008D24A6" w:rsidP="008D24A6">
            <w:pPr>
              <w:rPr>
                <w:rFonts w:ascii="Times New Roman" w:hAnsi="Times New Roman"/>
                <w:b/>
                <w:sz w:val="24"/>
                <w:u w:val="single"/>
              </w:rPr>
            </w:pPr>
            <w:r w:rsidRPr="00E07C9A">
              <w:rPr>
                <w:rFonts w:ascii="Times New Roman" w:hAnsi="Times New Roman"/>
                <w:b/>
                <w:sz w:val="24"/>
                <w:u w:val="single"/>
              </w:rPr>
              <w:t>INÝ FYZICKÝ KOLATERÁL</w:t>
            </w:r>
          </w:p>
          <w:p w14:paraId="42D226DD" w14:textId="447F018D" w:rsidR="009912F8" w:rsidRPr="00E07C9A" w:rsidRDefault="008D24A6" w:rsidP="008D24A6">
            <w:pPr>
              <w:rPr>
                <w:rFonts w:ascii="Times New Roman" w:hAnsi="Times New Roman"/>
                <w:sz w:val="24"/>
              </w:rPr>
            </w:pPr>
            <w:r w:rsidRPr="00E07C9A">
              <w:rPr>
                <w:rFonts w:ascii="Times New Roman" w:hAnsi="Times New Roman"/>
                <w:sz w:val="24"/>
              </w:rPr>
              <w:t>Ak sa nepoužívajú vlastné odhady LGD, hodnoty sa určujú</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článkom 199 ods. 6</w:t>
            </w:r>
            <w:r w:rsidR="009912F8" w:rsidRPr="00E07C9A">
              <w:rPr>
                <w:rFonts w:ascii="Times New Roman" w:hAnsi="Times New Roman"/>
                <w:sz w:val="24"/>
              </w:rPr>
              <w:t xml:space="preserve"> a </w:t>
            </w:r>
            <w:r w:rsidRPr="00E07C9A">
              <w:rPr>
                <w:rFonts w:ascii="Times New Roman" w:hAnsi="Times New Roman"/>
                <w:sz w:val="24"/>
              </w:rPr>
              <w:t xml:space="preserve">8 nariadenia (EÚ) </w:t>
            </w:r>
            <w:r w:rsidR="009912F8" w:rsidRPr="00E07C9A">
              <w:rPr>
                <w:rFonts w:ascii="Times New Roman" w:hAnsi="Times New Roman"/>
                <w:sz w:val="24"/>
              </w:rPr>
              <w:t>č. 575/2013 a </w:t>
            </w:r>
            <w:r w:rsidRPr="00E07C9A">
              <w:rPr>
                <w:rFonts w:ascii="Times New Roman" w:hAnsi="Times New Roman"/>
                <w:sz w:val="24"/>
              </w:rPr>
              <w:t>vykazujú sa</w:t>
            </w:r>
            <w:r w:rsidR="009912F8" w:rsidRPr="00E07C9A">
              <w:rPr>
                <w:rFonts w:ascii="Times New Roman" w:hAnsi="Times New Roman"/>
                <w:sz w:val="24"/>
              </w:rPr>
              <w:t xml:space="preserve"> v </w:t>
            </w:r>
            <w:r w:rsidRPr="00E07C9A">
              <w:rPr>
                <w:rFonts w:ascii="Times New Roman" w:hAnsi="Times New Roman"/>
                <w:sz w:val="24"/>
              </w:rPr>
              <w:t xml:space="preserve">tomto stĺpci. Zahrnutý je aj prenájom majetku iného než nehnuteľnosti [pozri článok 199 ods. 7 nariadenia (EÚ) </w:t>
            </w:r>
            <w:r w:rsidR="009912F8" w:rsidRPr="00E07C9A">
              <w:rPr>
                <w:rFonts w:ascii="Times New Roman" w:hAnsi="Times New Roman"/>
                <w:sz w:val="24"/>
              </w:rPr>
              <w:t>č. 575/2013</w:t>
            </w:r>
            <w:r w:rsidRPr="00E07C9A">
              <w:rPr>
                <w:rFonts w:ascii="Times New Roman" w:hAnsi="Times New Roman"/>
                <w:sz w:val="24"/>
              </w:rPr>
              <w:t xml:space="preserve">]. Pozri aj článok 229 ods. 3 nariadenia (EÚ) </w:t>
            </w:r>
            <w:r w:rsidR="009912F8" w:rsidRPr="00E07C9A">
              <w:rPr>
                <w:rFonts w:ascii="Times New Roman" w:hAnsi="Times New Roman"/>
                <w:sz w:val="24"/>
              </w:rPr>
              <w:t>č. 575/2013.</w:t>
            </w:r>
          </w:p>
          <w:p w14:paraId="2DDC0B18" w14:textId="65DF4E77" w:rsidR="008D24A6" w:rsidRPr="00E07C9A" w:rsidRDefault="008D24A6" w:rsidP="008D24A6">
            <w:pPr>
              <w:rPr>
                <w:rFonts w:ascii="Times New Roman" w:hAnsi="Times New Roman"/>
                <w:b/>
                <w:sz w:val="24"/>
                <w:u w:val="single"/>
              </w:rPr>
            </w:pPr>
            <w:r w:rsidRPr="00E07C9A">
              <w:rPr>
                <w:rFonts w:ascii="Times New Roman" w:hAnsi="Times New Roman"/>
                <w:sz w:val="24"/>
              </w:rPr>
              <w:t>Keď sa používajú vlastné odhady LGD, vykazovaná hodnota je odhadovaná trhová hodnota kolaterálu.</w:t>
            </w:r>
          </w:p>
        </w:tc>
      </w:tr>
      <w:tr w:rsidR="008D24A6" w:rsidRPr="00E07C9A" w14:paraId="6844DE72" w14:textId="77777777" w:rsidTr="00672D2A">
        <w:tc>
          <w:tcPr>
            <w:tcW w:w="1188" w:type="dxa"/>
          </w:tcPr>
          <w:p w14:paraId="0916ED37" w14:textId="77777777" w:rsidR="008D24A6" w:rsidRPr="00E07C9A" w:rsidRDefault="001452FC" w:rsidP="008D24A6">
            <w:pPr>
              <w:rPr>
                <w:rFonts w:ascii="Times New Roman" w:hAnsi="Times New Roman"/>
                <w:sz w:val="24"/>
              </w:rPr>
            </w:pPr>
            <w:r w:rsidRPr="00E07C9A">
              <w:rPr>
                <w:rFonts w:ascii="Times New Roman" w:hAnsi="Times New Roman"/>
                <w:sz w:val="24"/>
              </w:rPr>
              <w:t>0210</w:t>
            </w:r>
          </w:p>
        </w:tc>
        <w:tc>
          <w:tcPr>
            <w:tcW w:w="8843" w:type="dxa"/>
          </w:tcPr>
          <w:p w14:paraId="4F970CDA" w14:textId="77777777" w:rsidR="008D24A6" w:rsidRPr="00E07C9A" w:rsidRDefault="008D24A6" w:rsidP="008D24A6">
            <w:pPr>
              <w:rPr>
                <w:rFonts w:ascii="Times New Roman" w:hAnsi="Times New Roman"/>
                <w:b/>
                <w:sz w:val="24"/>
                <w:u w:val="single"/>
              </w:rPr>
            </w:pPr>
            <w:r w:rsidRPr="00E07C9A">
              <w:rPr>
                <w:rFonts w:ascii="Times New Roman" w:hAnsi="Times New Roman"/>
                <w:b/>
                <w:sz w:val="24"/>
                <w:u w:val="single"/>
              </w:rPr>
              <w:t>POHĽADÁVKY</w:t>
            </w:r>
          </w:p>
          <w:p w14:paraId="70D4F809" w14:textId="4D43624B" w:rsidR="008D24A6" w:rsidRPr="00E07C9A" w:rsidRDefault="008D24A6" w:rsidP="008D24A6">
            <w:pPr>
              <w:rPr>
                <w:rFonts w:ascii="Times New Roman" w:hAnsi="Times New Roman"/>
                <w:sz w:val="24"/>
              </w:rPr>
            </w:pPr>
            <w:r w:rsidRPr="00E07C9A">
              <w:rPr>
                <w:rFonts w:ascii="Times New Roman" w:hAnsi="Times New Roman"/>
                <w:sz w:val="24"/>
              </w:rPr>
              <w:t>Ak sa nepoužívajú vlastné odhady LGD, hodnoty sa určujú</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článkom 199 ods. 5</w:t>
            </w:r>
            <w:r w:rsidR="009912F8" w:rsidRPr="00E07C9A">
              <w:rPr>
                <w:rFonts w:ascii="Times New Roman" w:hAnsi="Times New Roman"/>
                <w:sz w:val="24"/>
              </w:rPr>
              <w:t xml:space="preserve"> a </w:t>
            </w:r>
            <w:r w:rsidRPr="00E07C9A">
              <w:rPr>
                <w:rFonts w:ascii="Times New Roman" w:hAnsi="Times New Roman"/>
                <w:sz w:val="24"/>
              </w:rPr>
              <w:t xml:space="preserve">článkom 229 ods. 2 nariadenia (EÚ) </w:t>
            </w:r>
            <w:r w:rsidR="009912F8" w:rsidRPr="00E07C9A">
              <w:rPr>
                <w:rFonts w:ascii="Times New Roman" w:hAnsi="Times New Roman"/>
                <w:sz w:val="24"/>
              </w:rPr>
              <w:t>č. 575/2013 a </w:t>
            </w:r>
            <w:r w:rsidRPr="00E07C9A">
              <w:rPr>
                <w:rFonts w:ascii="Times New Roman" w:hAnsi="Times New Roman"/>
                <w:sz w:val="24"/>
              </w:rPr>
              <w:t>vykazujú sa</w:t>
            </w:r>
            <w:r w:rsidR="009912F8" w:rsidRPr="00E07C9A">
              <w:rPr>
                <w:rFonts w:ascii="Times New Roman" w:hAnsi="Times New Roman"/>
                <w:sz w:val="24"/>
              </w:rPr>
              <w:t xml:space="preserve"> v </w:t>
            </w:r>
            <w:r w:rsidRPr="00E07C9A">
              <w:rPr>
                <w:rFonts w:ascii="Times New Roman" w:hAnsi="Times New Roman"/>
                <w:sz w:val="24"/>
              </w:rPr>
              <w:t>tomto stĺpci.</w:t>
            </w:r>
          </w:p>
          <w:p w14:paraId="353C603D" w14:textId="77777777" w:rsidR="008D24A6" w:rsidRPr="00E07C9A" w:rsidRDefault="008D24A6" w:rsidP="008D24A6">
            <w:pPr>
              <w:rPr>
                <w:rFonts w:ascii="Times New Roman" w:hAnsi="Times New Roman"/>
                <w:b/>
                <w:sz w:val="24"/>
                <w:u w:val="single"/>
              </w:rPr>
            </w:pPr>
            <w:r w:rsidRPr="00E07C9A">
              <w:rPr>
                <w:rFonts w:ascii="Times New Roman" w:hAnsi="Times New Roman"/>
                <w:sz w:val="24"/>
              </w:rPr>
              <w:t>Keď sa používajú vlastné odhady LGD, vykazovaná hodnota je odhadovaná trhová hodnota kolaterálu.</w:t>
            </w:r>
          </w:p>
        </w:tc>
      </w:tr>
      <w:tr w:rsidR="008D24A6" w:rsidRPr="00E07C9A" w14:paraId="0E8B0C72" w14:textId="77777777" w:rsidTr="00672D2A">
        <w:tc>
          <w:tcPr>
            <w:tcW w:w="1188" w:type="dxa"/>
          </w:tcPr>
          <w:p w14:paraId="3516B6E6" w14:textId="77777777" w:rsidR="008D24A6" w:rsidRPr="00E07C9A" w:rsidRDefault="001452FC" w:rsidP="008D24A6">
            <w:pPr>
              <w:rPr>
                <w:rFonts w:ascii="Times New Roman" w:hAnsi="Times New Roman"/>
                <w:sz w:val="24"/>
              </w:rPr>
            </w:pPr>
            <w:r w:rsidRPr="00E07C9A">
              <w:rPr>
                <w:rFonts w:ascii="Times New Roman" w:hAnsi="Times New Roman"/>
                <w:sz w:val="24"/>
              </w:rPr>
              <w:t>0220</w:t>
            </w:r>
          </w:p>
        </w:tc>
        <w:tc>
          <w:tcPr>
            <w:tcW w:w="8843" w:type="dxa"/>
          </w:tcPr>
          <w:p w14:paraId="43735638" w14:textId="77777777" w:rsidR="008D24A6" w:rsidRPr="00E07C9A" w:rsidRDefault="008D24A6" w:rsidP="008D24A6">
            <w:pPr>
              <w:rPr>
                <w:rFonts w:ascii="Times New Roman" w:hAnsi="Times New Roman"/>
                <w:b/>
                <w:sz w:val="24"/>
                <w:u w:val="single"/>
              </w:rPr>
            </w:pPr>
            <w:r w:rsidRPr="00E07C9A">
              <w:rPr>
                <w:rFonts w:ascii="Times New Roman" w:hAnsi="Times New Roman"/>
                <w:b/>
                <w:sz w:val="24"/>
                <w:u w:val="single"/>
              </w:rPr>
              <w:t>UPLATŇUJE SA PRÍSTUP DVOJNÁSOBNÉHO ZLYHANIA: NEFINANCOVANÉ KREDITNÉ ZABEZPEČENIE</w:t>
            </w:r>
          </w:p>
          <w:p w14:paraId="42F35EB2" w14:textId="0DAA6899" w:rsidR="009912F8" w:rsidRPr="00E07C9A" w:rsidRDefault="008D24A6" w:rsidP="008D24A6">
            <w:pPr>
              <w:rPr>
                <w:rFonts w:ascii="Times New Roman" w:hAnsi="Times New Roman"/>
                <w:sz w:val="24"/>
              </w:rPr>
            </w:pPr>
            <w:r w:rsidRPr="00E07C9A">
              <w:rPr>
                <w:rFonts w:ascii="Times New Roman" w:hAnsi="Times New Roman"/>
                <w:sz w:val="24"/>
              </w:rPr>
              <w:t>Záruky</w:t>
            </w:r>
            <w:r w:rsidR="009912F8" w:rsidRPr="00E07C9A">
              <w:rPr>
                <w:rFonts w:ascii="Times New Roman" w:hAnsi="Times New Roman"/>
                <w:sz w:val="24"/>
              </w:rPr>
              <w:t xml:space="preserve"> a </w:t>
            </w:r>
            <w:r w:rsidRPr="00E07C9A">
              <w:rPr>
                <w:rFonts w:ascii="Times New Roman" w:hAnsi="Times New Roman"/>
                <w:sz w:val="24"/>
              </w:rPr>
              <w:t>kreditné deriváty, ktoré pokrývajú expozície, na ktoré sa vzťahuje prístup dvojnásobného zlyhania</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153 ods. 3 nariadenia (EÚ) </w:t>
            </w:r>
            <w:r w:rsidR="009912F8" w:rsidRPr="00E07C9A">
              <w:rPr>
                <w:rFonts w:ascii="Times New Roman" w:hAnsi="Times New Roman"/>
                <w:sz w:val="24"/>
              </w:rPr>
              <w:t>č. 575/2013 a </w:t>
            </w:r>
            <w:r w:rsidRPr="00E07C9A">
              <w:rPr>
                <w:rFonts w:ascii="Times New Roman" w:hAnsi="Times New Roman"/>
                <w:sz w:val="24"/>
              </w:rPr>
              <w:t>pri zohľadnení článku 202</w:t>
            </w:r>
            <w:r w:rsidR="009912F8" w:rsidRPr="00E07C9A">
              <w:rPr>
                <w:rFonts w:ascii="Times New Roman" w:hAnsi="Times New Roman"/>
                <w:sz w:val="24"/>
              </w:rPr>
              <w:t xml:space="preserve"> a </w:t>
            </w:r>
            <w:r w:rsidRPr="00E07C9A">
              <w:rPr>
                <w:rFonts w:ascii="Times New Roman" w:hAnsi="Times New Roman"/>
                <w:sz w:val="24"/>
              </w:rPr>
              <w:t>článku 217 ods. 1 uvedeného nariadenia</w:t>
            </w:r>
            <w:r w:rsidR="009912F8" w:rsidRPr="00E07C9A">
              <w:rPr>
                <w:rFonts w:ascii="Times New Roman" w:hAnsi="Times New Roman"/>
                <w:sz w:val="24"/>
              </w:rPr>
              <w:t>.</w:t>
            </w:r>
          </w:p>
          <w:p w14:paraId="5DA498E9" w14:textId="18063091" w:rsidR="008D24A6" w:rsidRPr="00E07C9A" w:rsidRDefault="008D24A6" w:rsidP="008D24A6">
            <w:pPr>
              <w:rPr>
                <w:rFonts w:ascii="Times New Roman" w:hAnsi="Times New Roman"/>
                <w:b/>
                <w:sz w:val="24"/>
                <w:u w:val="single"/>
              </w:rPr>
            </w:pPr>
            <w:r w:rsidRPr="00E07C9A">
              <w:rPr>
                <w:rFonts w:ascii="Times New Roman" w:hAnsi="Times New Roman"/>
                <w:sz w:val="24"/>
              </w:rPr>
              <w:t xml:space="preserve">Vykazované hodnoty nepresahujú hodnotu zodpovedajúcich expozícií. </w:t>
            </w:r>
          </w:p>
        </w:tc>
      </w:tr>
      <w:tr w:rsidR="008D24A6" w:rsidRPr="00E07C9A" w14:paraId="027E073F" w14:textId="77777777" w:rsidTr="00672D2A">
        <w:tc>
          <w:tcPr>
            <w:tcW w:w="1188" w:type="dxa"/>
          </w:tcPr>
          <w:p w14:paraId="0769372D" w14:textId="77777777" w:rsidR="008D24A6" w:rsidRPr="00E07C9A" w:rsidRDefault="001452FC" w:rsidP="008D24A6">
            <w:pPr>
              <w:rPr>
                <w:rFonts w:ascii="Times New Roman" w:hAnsi="Times New Roman"/>
                <w:sz w:val="24"/>
              </w:rPr>
            </w:pPr>
            <w:r w:rsidRPr="00E07C9A">
              <w:rPr>
                <w:rFonts w:ascii="Times New Roman" w:hAnsi="Times New Roman"/>
                <w:sz w:val="24"/>
              </w:rPr>
              <w:t>0230</w:t>
            </w:r>
          </w:p>
        </w:tc>
        <w:tc>
          <w:tcPr>
            <w:tcW w:w="8843" w:type="dxa"/>
          </w:tcPr>
          <w:p w14:paraId="6A7670F1" w14:textId="77777777" w:rsidR="008D24A6" w:rsidRPr="00E07C9A" w:rsidRDefault="008D24A6" w:rsidP="008D24A6">
            <w:pPr>
              <w:rPr>
                <w:rFonts w:ascii="Times New Roman" w:hAnsi="Times New Roman"/>
                <w:b/>
                <w:sz w:val="24"/>
                <w:u w:val="single"/>
              </w:rPr>
            </w:pPr>
            <w:r w:rsidRPr="00E07C9A">
              <w:rPr>
                <w:rFonts w:ascii="Times New Roman" w:hAnsi="Times New Roman"/>
                <w:b/>
                <w:sz w:val="24"/>
                <w:u w:val="single"/>
              </w:rPr>
              <w:t>EXPOZÍCIAMI VÁŽENÁ PRIEMERNÁ LGD (%)</w:t>
            </w:r>
          </w:p>
          <w:p w14:paraId="5CD7C536" w14:textId="262A3CE0" w:rsidR="008D24A6" w:rsidRPr="00E07C9A" w:rsidRDefault="008D24A6" w:rsidP="008D24A6">
            <w:pPr>
              <w:rPr>
                <w:rFonts w:ascii="Times New Roman" w:hAnsi="Times New Roman"/>
                <w:sz w:val="24"/>
              </w:rPr>
            </w:pPr>
            <w:r w:rsidRPr="00E07C9A">
              <w:rPr>
                <w:rFonts w:ascii="Times New Roman" w:hAnsi="Times New Roman"/>
                <w:sz w:val="24"/>
              </w:rPr>
              <w:t>Zohľadňuje sa celý vplyv postupov zmierňovania kreditného rizika na hodnoty LGD podľa ustanovení tretej časti hlavy II kapitol 3</w:t>
            </w:r>
            <w:r w:rsidR="009912F8" w:rsidRPr="00E07C9A">
              <w:rPr>
                <w:rFonts w:ascii="Times New Roman" w:hAnsi="Times New Roman"/>
                <w:sz w:val="24"/>
              </w:rPr>
              <w:t xml:space="preserve"> a </w:t>
            </w:r>
            <w:r w:rsidRPr="00E07C9A">
              <w:rPr>
                <w:rFonts w:ascii="Times New Roman" w:hAnsi="Times New Roman"/>
                <w:sz w:val="24"/>
              </w:rPr>
              <w:t xml:space="preserve">4 nariadenia (EÚ) </w:t>
            </w:r>
            <w:r w:rsidR="009912F8" w:rsidRPr="00E07C9A">
              <w:rPr>
                <w:rFonts w:ascii="Times New Roman" w:hAnsi="Times New Roman"/>
                <w:sz w:val="24"/>
              </w:rPr>
              <w:t>č. 575/2013</w:t>
            </w:r>
            <w:r w:rsidRPr="00E07C9A">
              <w:rPr>
                <w:rFonts w:ascii="Times New Roman" w:hAnsi="Times New Roman"/>
                <w:sz w:val="24"/>
              </w:rPr>
              <w:t>.</w:t>
            </w:r>
            <w:r w:rsidR="009912F8" w:rsidRPr="00E07C9A">
              <w:rPr>
                <w:rFonts w:ascii="Times New Roman" w:hAnsi="Times New Roman"/>
                <w:sz w:val="24"/>
              </w:rPr>
              <w:t xml:space="preserve"> V </w:t>
            </w:r>
            <w:r w:rsidRPr="00E07C9A">
              <w:rPr>
                <w:rFonts w:ascii="Times New Roman" w:hAnsi="Times New Roman"/>
                <w:sz w:val="24"/>
              </w:rPr>
              <w:t xml:space="preserve">prípade expozícií, na ktoré sa vzťahuje prístup dvojnásobného zlyhania, LGD, ktorá sa má vykázať, zodpovedá LGD zvolenej podľa článku 161 ods. 4 nariadenia (EÚ) </w:t>
            </w:r>
            <w:r w:rsidR="009912F8" w:rsidRPr="00E07C9A">
              <w:rPr>
                <w:rFonts w:ascii="Times New Roman" w:hAnsi="Times New Roman"/>
                <w:sz w:val="24"/>
              </w:rPr>
              <w:t>č. 575/2013</w:t>
            </w:r>
            <w:r w:rsidRPr="00E07C9A">
              <w:rPr>
                <w:rFonts w:ascii="Times New Roman" w:hAnsi="Times New Roman"/>
                <w:sz w:val="24"/>
              </w:rPr>
              <w:t>.</w:t>
            </w:r>
          </w:p>
          <w:p w14:paraId="5CB58587" w14:textId="481B0CB9" w:rsidR="008D24A6" w:rsidRPr="00E07C9A" w:rsidRDefault="008D24A6" w:rsidP="008D24A6">
            <w:pPr>
              <w:rPr>
                <w:rFonts w:ascii="Times New Roman" w:hAnsi="Times New Roman"/>
                <w:sz w:val="24"/>
              </w:rPr>
            </w:pPr>
            <w:r w:rsidRPr="00E07C9A">
              <w:rPr>
                <w:rFonts w:ascii="Times New Roman" w:hAnsi="Times New Roman"/>
                <w:sz w:val="24"/>
              </w:rPr>
              <w:t>V prípade expozícií</w:t>
            </w:r>
            <w:r w:rsidR="009912F8" w:rsidRPr="00E07C9A">
              <w:rPr>
                <w:rFonts w:ascii="Times New Roman" w:hAnsi="Times New Roman"/>
                <w:sz w:val="24"/>
              </w:rPr>
              <w:t xml:space="preserve"> v </w:t>
            </w:r>
            <w:r w:rsidRPr="00E07C9A">
              <w:rPr>
                <w:rFonts w:ascii="Times New Roman" w:hAnsi="Times New Roman"/>
                <w:sz w:val="24"/>
              </w:rPr>
              <w:t xml:space="preserve">stave zlyhania sa zohľadní článok 181 ods. 1 písm. h) nariadenia (EÚ) </w:t>
            </w:r>
            <w:r w:rsidR="009912F8" w:rsidRPr="00E07C9A">
              <w:rPr>
                <w:rFonts w:ascii="Times New Roman" w:hAnsi="Times New Roman"/>
                <w:sz w:val="24"/>
              </w:rPr>
              <w:t>č. 575/2013</w:t>
            </w:r>
            <w:r w:rsidRPr="00E07C9A">
              <w:rPr>
                <w:rFonts w:ascii="Times New Roman" w:hAnsi="Times New Roman"/>
                <w:sz w:val="24"/>
              </w:rPr>
              <w:t>.</w:t>
            </w:r>
          </w:p>
          <w:p w14:paraId="3AD06EE0" w14:textId="4EC05699" w:rsidR="008D24A6" w:rsidRPr="00E07C9A" w:rsidRDefault="008D24A6" w:rsidP="008D24A6">
            <w:pPr>
              <w:rPr>
                <w:rFonts w:ascii="Times New Roman" w:hAnsi="Times New Roman"/>
                <w:sz w:val="24"/>
              </w:rPr>
            </w:pPr>
            <w:r w:rsidRPr="00E07C9A">
              <w:rPr>
                <w:rFonts w:ascii="Times New Roman" w:hAnsi="Times New Roman"/>
                <w:sz w:val="24"/>
              </w:rPr>
              <w:t>Hodnota expozície uvedená</w:t>
            </w:r>
            <w:r w:rsidR="009912F8" w:rsidRPr="00E07C9A">
              <w:rPr>
                <w:rFonts w:ascii="Times New Roman" w:hAnsi="Times New Roman"/>
                <w:sz w:val="24"/>
              </w:rPr>
              <w:t xml:space="preserve"> v </w:t>
            </w:r>
            <w:r w:rsidRPr="00E07C9A">
              <w:rPr>
                <w:rFonts w:ascii="Times New Roman" w:hAnsi="Times New Roman"/>
                <w:sz w:val="24"/>
              </w:rPr>
              <w:t>stĺpci 0110 sa používa na výpočet expozíciami vážených priemerov.</w:t>
            </w:r>
          </w:p>
          <w:p w14:paraId="693A5141" w14:textId="0607446F" w:rsidR="008D24A6" w:rsidRPr="00E07C9A" w:rsidRDefault="008D24A6" w:rsidP="008D24A6">
            <w:pPr>
              <w:rPr>
                <w:rFonts w:ascii="Times New Roman" w:hAnsi="Times New Roman"/>
                <w:sz w:val="24"/>
              </w:rPr>
            </w:pPr>
            <w:r w:rsidRPr="00E07C9A">
              <w:rPr>
                <w:rFonts w:ascii="Times New Roman" w:hAnsi="Times New Roman"/>
                <w:sz w:val="24"/>
              </w:rPr>
              <w:t>Zohľadňujú sa všetky účinky [do vykazovania sa teda zahŕňajú účinky dolného ohraničenia expozícií zabezpečených nehnuteľným majetkom</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164 ods. 4 nariadenia (EÚ) </w:t>
            </w:r>
            <w:r w:rsidR="009912F8" w:rsidRPr="00E07C9A">
              <w:rPr>
                <w:rFonts w:ascii="Times New Roman" w:hAnsi="Times New Roman"/>
                <w:sz w:val="24"/>
              </w:rPr>
              <w:t>č. 575/2013</w:t>
            </w:r>
            <w:r w:rsidRPr="00E07C9A">
              <w:rPr>
                <w:rFonts w:ascii="Times New Roman" w:hAnsi="Times New Roman"/>
                <w:sz w:val="24"/>
              </w:rPr>
              <w:t>].</w:t>
            </w:r>
          </w:p>
          <w:p w14:paraId="7D4C0832" w14:textId="24EF486C" w:rsidR="008D24A6" w:rsidRPr="00E07C9A" w:rsidRDefault="008D24A6" w:rsidP="008D24A6">
            <w:pPr>
              <w:rPr>
                <w:rFonts w:ascii="Times New Roman" w:hAnsi="Times New Roman"/>
                <w:sz w:val="24"/>
              </w:rPr>
            </w:pPr>
            <w:r w:rsidRPr="00E07C9A">
              <w:rPr>
                <w:rFonts w:ascii="Times New Roman" w:hAnsi="Times New Roman"/>
                <w:sz w:val="24"/>
              </w:rPr>
              <w:t>Pri inštitúciách, ktoré uplatňujú prístup IRB, ale nepoužívajú svoje vlastné odhady LGD, sa účinky zmierňovania rizika finančného kolaterálu zohľadňujú</w:t>
            </w:r>
            <w:r w:rsidR="009912F8" w:rsidRPr="00E07C9A">
              <w:rPr>
                <w:rFonts w:ascii="Times New Roman" w:hAnsi="Times New Roman"/>
                <w:sz w:val="24"/>
              </w:rPr>
              <w:t xml:space="preserve"> v </w:t>
            </w:r>
            <w:r w:rsidRPr="00E07C9A">
              <w:rPr>
                <w:rFonts w:ascii="Times New Roman" w:hAnsi="Times New Roman"/>
                <w:sz w:val="24"/>
              </w:rPr>
              <w:t>E*, čo je plne upravená hodnota expozície,</w:t>
            </w:r>
            <w:r w:rsidR="009912F8" w:rsidRPr="00E07C9A">
              <w:rPr>
                <w:rFonts w:ascii="Times New Roman" w:hAnsi="Times New Roman"/>
                <w:sz w:val="24"/>
              </w:rPr>
              <w:t xml:space="preserve"> a </w:t>
            </w:r>
            <w:r w:rsidRPr="00E07C9A">
              <w:rPr>
                <w:rFonts w:ascii="Times New Roman" w:hAnsi="Times New Roman"/>
                <w:sz w:val="24"/>
              </w:rPr>
              <w:t>potom sa zohľadnia</w:t>
            </w:r>
            <w:r w:rsidR="009912F8" w:rsidRPr="00E07C9A">
              <w:rPr>
                <w:rFonts w:ascii="Times New Roman" w:hAnsi="Times New Roman"/>
                <w:sz w:val="24"/>
              </w:rPr>
              <w:t xml:space="preserve"> v </w:t>
            </w:r>
            <w:r w:rsidRPr="00E07C9A">
              <w:rPr>
                <w:rFonts w:ascii="Times New Roman" w:hAnsi="Times New Roman"/>
                <w:sz w:val="24"/>
              </w:rPr>
              <w:t xml:space="preserve">LGD* podľa článku 228 ods. 2 nariadenia (EÚ) </w:t>
            </w:r>
            <w:r w:rsidR="009912F8" w:rsidRPr="00E07C9A">
              <w:rPr>
                <w:rFonts w:ascii="Times New Roman" w:hAnsi="Times New Roman"/>
                <w:sz w:val="24"/>
              </w:rPr>
              <w:t>č. 575/2013</w:t>
            </w:r>
            <w:r w:rsidRPr="00E07C9A">
              <w:rPr>
                <w:rFonts w:ascii="Times New Roman" w:hAnsi="Times New Roman"/>
                <w:sz w:val="24"/>
              </w:rPr>
              <w:t>.</w:t>
            </w:r>
          </w:p>
          <w:p w14:paraId="68E36158" w14:textId="76518753" w:rsidR="008D24A6" w:rsidRPr="00E07C9A" w:rsidRDefault="008D24A6" w:rsidP="008D24A6">
            <w:pPr>
              <w:rPr>
                <w:rFonts w:ascii="Times New Roman" w:hAnsi="Times New Roman"/>
                <w:sz w:val="24"/>
              </w:rPr>
            </w:pPr>
            <w:r w:rsidRPr="00E07C9A">
              <w:rPr>
                <w:rFonts w:ascii="Times New Roman" w:hAnsi="Times New Roman"/>
                <w:sz w:val="24"/>
              </w:rPr>
              <w:t>Expozíciami vážená priemerná LGD spojená</w:t>
            </w:r>
            <w:r w:rsidR="009912F8" w:rsidRPr="00E07C9A">
              <w:rPr>
                <w:rFonts w:ascii="Times New Roman" w:hAnsi="Times New Roman"/>
                <w:sz w:val="24"/>
              </w:rPr>
              <w:t xml:space="preserve"> s </w:t>
            </w:r>
            <w:r w:rsidRPr="00E07C9A">
              <w:rPr>
                <w:rFonts w:ascii="Times New Roman" w:hAnsi="Times New Roman"/>
                <w:sz w:val="24"/>
              </w:rPr>
              <w:t>každou PD „ratingového stupňa alebo skupiny dlžníkov“ vyplýva</w:t>
            </w:r>
            <w:r w:rsidR="009912F8" w:rsidRPr="00E07C9A">
              <w:rPr>
                <w:rFonts w:ascii="Times New Roman" w:hAnsi="Times New Roman"/>
                <w:sz w:val="24"/>
              </w:rPr>
              <w:t xml:space="preserve"> z </w:t>
            </w:r>
            <w:r w:rsidRPr="00E07C9A">
              <w:rPr>
                <w:rFonts w:ascii="Times New Roman" w:hAnsi="Times New Roman"/>
                <w:sz w:val="24"/>
              </w:rPr>
              <w:t>priemeru prudenciálnych LGD priradených expozíciám tejto PD ratingového stupňa/skupiny, vážených príslušnou hodnotou expozície stĺpca 0110.</w:t>
            </w:r>
          </w:p>
          <w:p w14:paraId="761A5E7B" w14:textId="2089DF26" w:rsidR="008D24A6" w:rsidRPr="00E07C9A" w:rsidRDefault="008D24A6" w:rsidP="008D24A6">
            <w:pPr>
              <w:rPr>
                <w:rFonts w:ascii="Times New Roman" w:hAnsi="Times New Roman"/>
                <w:sz w:val="24"/>
              </w:rPr>
            </w:pPr>
            <w:r w:rsidRPr="00E07C9A">
              <w:rPr>
                <w:rFonts w:ascii="Times New Roman" w:hAnsi="Times New Roman"/>
                <w:sz w:val="24"/>
              </w:rPr>
              <w:t>Keď sa používajú vlastné odhady LGD, zohľadňuje sa článok 175</w:t>
            </w:r>
            <w:r w:rsidR="009912F8" w:rsidRPr="00E07C9A">
              <w:rPr>
                <w:rFonts w:ascii="Times New Roman" w:hAnsi="Times New Roman"/>
                <w:sz w:val="24"/>
              </w:rPr>
              <w:t xml:space="preserve"> a </w:t>
            </w:r>
            <w:r w:rsidRPr="00E07C9A">
              <w:rPr>
                <w:rFonts w:ascii="Times New Roman" w:hAnsi="Times New Roman"/>
                <w:sz w:val="24"/>
              </w:rPr>
              <w:t>článok 181 ods. 1</w:t>
            </w:r>
            <w:r w:rsidR="009912F8" w:rsidRPr="00E07C9A">
              <w:rPr>
                <w:rFonts w:ascii="Times New Roman" w:hAnsi="Times New Roman"/>
                <w:sz w:val="24"/>
              </w:rPr>
              <w:t xml:space="preserve"> a </w:t>
            </w:r>
            <w:r w:rsidRPr="00E07C9A">
              <w:rPr>
                <w:rFonts w:ascii="Times New Roman" w:hAnsi="Times New Roman"/>
                <w:sz w:val="24"/>
              </w:rPr>
              <w:t xml:space="preserve">2 nariadenia (EÚ) </w:t>
            </w:r>
            <w:r w:rsidR="009912F8" w:rsidRPr="00E07C9A">
              <w:rPr>
                <w:rFonts w:ascii="Times New Roman" w:hAnsi="Times New Roman"/>
                <w:sz w:val="24"/>
              </w:rPr>
              <w:t>č. 575/2013</w:t>
            </w:r>
            <w:r w:rsidRPr="00E07C9A">
              <w:rPr>
                <w:rFonts w:ascii="Times New Roman" w:hAnsi="Times New Roman"/>
                <w:sz w:val="24"/>
              </w:rPr>
              <w:t>.</w:t>
            </w:r>
          </w:p>
          <w:p w14:paraId="6CA79C00" w14:textId="67982AEC" w:rsidR="008D24A6" w:rsidRPr="00E07C9A" w:rsidRDefault="008D24A6" w:rsidP="008D24A6">
            <w:pPr>
              <w:rPr>
                <w:rFonts w:ascii="Times New Roman" w:hAnsi="Times New Roman"/>
                <w:sz w:val="24"/>
              </w:rPr>
            </w:pPr>
            <w:r w:rsidRPr="00E07C9A">
              <w:rPr>
                <w:rFonts w:ascii="Times New Roman" w:hAnsi="Times New Roman"/>
                <w:sz w:val="24"/>
              </w:rPr>
              <w:t xml:space="preserve">V prípade expozícií, na ktoré sa vzťahuje prístup dvojnásobného zlyhania, LGD, ktorá sa má vykázať, zodpovedá LGD zvolenej podľa článku 161 ods. 4 nariadenia (EÚ) </w:t>
            </w:r>
            <w:r w:rsidR="009912F8" w:rsidRPr="00E07C9A">
              <w:rPr>
                <w:rFonts w:ascii="Times New Roman" w:hAnsi="Times New Roman"/>
                <w:sz w:val="24"/>
              </w:rPr>
              <w:t>č. 575/2013</w:t>
            </w:r>
            <w:r w:rsidRPr="00E07C9A">
              <w:rPr>
                <w:rFonts w:ascii="Times New Roman" w:hAnsi="Times New Roman"/>
                <w:sz w:val="24"/>
              </w:rPr>
              <w:t>.</w:t>
            </w:r>
          </w:p>
          <w:p w14:paraId="7518ADFF" w14:textId="2B52FF92" w:rsidR="008D24A6" w:rsidRPr="00E07C9A" w:rsidRDefault="008D24A6" w:rsidP="008D24A6">
            <w:pPr>
              <w:rPr>
                <w:rFonts w:ascii="Times New Roman" w:hAnsi="Times New Roman"/>
                <w:sz w:val="24"/>
              </w:rPr>
            </w:pPr>
            <w:r w:rsidRPr="00E07C9A">
              <w:rPr>
                <w:rFonts w:ascii="Times New Roman" w:hAnsi="Times New Roman"/>
                <w:sz w:val="24"/>
              </w:rPr>
              <w:t>Výpočet expozíciami váženej priemernej LGD sa odvodzuje od parametrov rizika, ktoré sa skutočne používajú</w:t>
            </w:r>
            <w:r w:rsidR="009912F8" w:rsidRPr="00E07C9A">
              <w:rPr>
                <w:rFonts w:ascii="Times New Roman" w:hAnsi="Times New Roman"/>
                <w:sz w:val="24"/>
              </w:rPr>
              <w:t xml:space="preserve"> v </w:t>
            </w:r>
            <w:r w:rsidRPr="00E07C9A">
              <w:rPr>
                <w:rFonts w:ascii="Times New Roman" w:hAnsi="Times New Roman"/>
                <w:sz w:val="24"/>
              </w:rPr>
              <w:t>internej ratingovej stupnici schválenej dotknutým príslušným orgánom.</w:t>
            </w:r>
          </w:p>
          <w:p w14:paraId="4ED81588" w14:textId="2B735E3A" w:rsidR="008D24A6" w:rsidRPr="00E07C9A" w:rsidRDefault="008D24A6" w:rsidP="008D24A6">
            <w:pPr>
              <w:rPr>
                <w:rFonts w:ascii="Times New Roman" w:hAnsi="Times New Roman"/>
                <w:sz w:val="24"/>
              </w:rPr>
            </w:pPr>
            <w:r w:rsidRPr="00E07C9A">
              <w:rPr>
                <w:rFonts w:ascii="Times New Roman" w:hAnsi="Times New Roman"/>
                <w:sz w:val="24"/>
              </w:rPr>
              <w:t xml:space="preserve">Údaje za expozície vo forme špecializovaného financovania podľa článku 153 ods. 5 nariadenia (EÚ) </w:t>
            </w:r>
            <w:r w:rsidR="009912F8" w:rsidRPr="00E07C9A">
              <w:rPr>
                <w:rFonts w:ascii="Times New Roman" w:hAnsi="Times New Roman"/>
                <w:sz w:val="24"/>
              </w:rPr>
              <w:t>č. 575/2013</w:t>
            </w:r>
            <w:r w:rsidRPr="00E07C9A">
              <w:rPr>
                <w:rFonts w:ascii="Times New Roman" w:hAnsi="Times New Roman"/>
                <w:sz w:val="24"/>
              </w:rPr>
              <w:t xml:space="preserve"> sa nevykazujú. Ak sa odhaduje PD pri expozíciách vo forme špecializovaného financovania, údaje sa vykazujú na základe vlastných odhadov LGD alebo regulačných LGD.</w:t>
            </w:r>
          </w:p>
          <w:p w14:paraId="52BEF306" w14:textId="07E22CF6" w:rsidR="008D24A6" w:rsidRPr="00E07C9A" w:rsidRDefault="008D24A6" w:rsidP="008D24A6">
            <w:pPr>
              <w:rPr>
                <w:rFonts w:ascii="Times New Roman" w:hAnsi="Times New Roman"/>
                <w:sz w:val="24"/>
              </w:rPr>
            </w:pPr>
            <w:r w:rsidRPr="00E07C9A">
              <w:rPr>
                <w:rFonts w:ascii="Times New Roman" w:hAnsi="Times New Roman"/>
                <w:sz w:val="24"/>
              </w:rPr>
              <w:t>Expozície</w:t>
            </w:r>
            <w:r w:rsidR="009912F8" w:rsidRPr="00E07C9A">
              <w:rPr>
                <w:rFonts w:ascii="Times New Roman" w:hAnsi="Times New Roman"/>
                <w:sz w:val="24"/>
              </w:rPr>
              <w:t xml:space="preserve"> a </w:t>
            </w:r>
            <w:r w:rsidRPr="00E07C9A">
              <w:rPr>
                <w:rFonts w:ascii="Times New Roman" w:hAnsi="Times New Roman"/>
                <w:sz w:val="24"/>
              </w:rPr>
              <w:t>príslušné LGD pre veľké regulované subjekty finančného sektora</w:t>
            </w:r>
            <w:r w:rsidR="009912F8" w:rsidRPr="00E07C9A">
              <w:rPr>
                <w:rFonts w:ascii="Times New Roman" w:hAnsi="Times New Roman"/>
                <w:sz w:val="24"/>
              </w:rPr>
              <w:t xml:space="preserve"> a </w:t>
            </w:r>
            <w:r w:rsidRPr="00E07C9A">
              <w:rPr>
                <w:rFonts w:ascii="Times New Roman" w:hAnsi="Times New Roman"/>
                <w:sz w:val="24"/>
              </w:rPr>
              <w:t>neregulované finančné subjekty sa nezahrňujú do výpočtu</w:t>
            </w:r>
            <w:r w:rsidR="009912F8" w:rsidRPr="00E07C9A">
              <w:rPr>
                <w:rFonts w:ascii="Times New Roman" w:hAnsi="Times New Roman"/>
                <w:sz w:val="24"/>
              </w:rPr>
              <w:t xml:space="preserve"> v </w:t>
            </w:r>
            <w:r w:rsidRPr="00E07C9A">
              <w:rPr>
                <w:rFonts w:ascii="Times New Roman" w:hAnsi="Times New Roman"/>
                <w:sz w:val="24"/>
              </w:rPr>
              <w:t>stĺpci 0230, ale zahrňujú sa len do výpočtu</w:t>
            </w:r>
            <w:r w:rsidR="009912F8" w:rsidRPr="00E07C9A">
              <w:rPr>
                <w:rFonts w:ascii="Times New Roman" w:hAnsi="Times New Roman"/>
                <w:sz w:val="24"/>
              </w:rPr>
              <w:t xml:space="preserve"> v </w:t>
            </w:r>
            <w:r w:rsidRPr="00E07C9A">
              <w:rPr>
                <w:rFonts w:ascii="Times New Roman" w:hAnsi="Times New Roman"/>
                <w:sz w:val="24"/>
              </w:rPr>
              <w:t xml:space="preserve">stĺpci 0240. </w:t>
            </w:r>
          </w:p>
        </w:tc>
      </w:tr>
      <w:tr w:rsidR="008D24A6" w:rsidRPr="00E07C9A" w14:paraId="50800B55" w14:textId="77777777" w:rsidTr="00672D2A">
        <w:tc>
          <w:tcPr>
            <w:tcW w:w="1188" w:type="dxa"/>
          </w:tcPr>
          <w:p w14:paraId="37E8BC1A" w14:textId="77777777" w:rsidR="008D24A6" w:rsidRPr="00E07C9A" w:rsidRDefault="001452FC" w:rsidP="008D24A6">
            <w:pPr>
              <w:rPr>
                <w:rFonts w:ascii="Times New Roman" w:hAnsi="Times New Roman"/>
                <w:sz w:val="24"/>
              </w:rPr>
            </w:pPr>
            <w:r w:rsidRPr="00E07C9A">
              <w:rPr>
                <w:rFonts w:ascii="Times New Roman" w:hAnsi="Times New Roman"/>
                <w:sz w:val="24"/>
              </w:rPr>
              <w:t>0240</w:t>
            </w:r>
          </w:p>
        </w:tc>
        <w:tc>
          <w:tcPr>
            <w:tcW w:w="8843" w:type="dxa"/>
          </w:tcPr>
          <w:p w14:paraId="7684FE79" w14:textId="77777777" w:rsidR="008D24A6" w:rsidRPr="00E07C9A" w:rsidRDefault="008D24A6" w:rsidP="008D24A6">
            <w:pPr>
              <w:rPr>
                <w:rFonts w:ascii="Times New Roman" w:hAnsi="Times New Roman"/>
                <w:b/>
                <w:sz w:val="24"/>
                <w:u w:val="single"/>
              </w:rPr>
            </w:pPr>
            <w:r w:rsidRPr="00E07C9A">
              <w:rPr>
                <w:rFonts w:ascii="Times New Roman" w:hAnsi="Times New Roman"/>
                <w:b/>
                <w:sz w:val="24"/>
                <w:u w:val="single"/>
              </w:rPr>
              <w:t>EXPOZÍCIAMI VÁŽENÁ PRIEMERNÁ LGD (%) PRE VEĽKÉ SUBJEKTY FINANČNÉHO SEKTORA A NEREGULOVANÉ FINANČNÉ SUBJEKTY</w:t>
            </w:r>
          </w:p>
          <w:p w14:paraId="67234E4F" w14:textId="6B557103" w:rsidR="008D24A6" w:rsidRPr="00E07C9A" w:rsidRDefault="008D24A6" w:rsidP="00AD7567">
            <w:pPr>
              <w:rPr>
                <w:rFonts w:ascii="Times New Roman" w:hAnsi="Times New Roman"/>
                <w:sz w:val="24"/>
              </w:rPr>
            </w:pPr>
            <w:r w:rsidRPr="00E07C9A">
              <w:rPr>
                <w:rFonts w:ascii="Times New Roman" w:hAnsi="Times New Roman"/>
                <w:sz w:val="24"/>
              </w:rPr>
              <w:t>Expozíciami vážená priemerná LGD (%) pre všetky expozície voči veľkým subjektom finančného sektora, ako sú vymedzené</w:t>
            </w:r>
            <w:r w:rsidR="009912F8" w:rsidRPr="00E07C9A">
              <w:rPr>
                <w:rFonts w:ascii="Times New Roman" w:hAnsi="Times New Roman"/>
                <w:sz w:val="24"/>
              </w:rPr>
              <w:t xml:space="preserve"> v </w:t>
            </w:r>
            <w:r w:rsidRPr="00E07C9A">
              <w:rPr>
                <w:rFonts w:ascii="Times New Roman" w:hAnsi="Times New Roman"/>
                <w:sz w:val="24"/>
              </w:rPr>
              <w:t xml:space="preserve">článku 142 ods. 1 bode 4 nariadenia (EÚ) </w:t>
            </w:r>
            <w:r w:rsidR="009912F8" w:rsidRPr="00E07C9A">
              <w:rPr>
                <w:rFonts w:ascii="Times New Roman" w:hAnsi="Times New Roman"/>
                <w:sz w:val="24"/>
              </w:rPr>
              <w:t>č. 575/2013</w:t>
            </w:r>
            <w:r w:rsidRPr="00E07C9A">
              <w:rPr>
                <w:rFonts w:ascii="Times New Roman" w:hAnsi="Times New Roman"/>
                <w:sz w:val="24"/>
              </w:rPr>
              <w:t>,</w:t>
            </w:r>
            <w:r w:rsidR="009912F8" w:rsidRPr="00E07C9A">
              <w:rPr>
                <w:rFonts w:ascii="Times New Roman" w:hAnsi="Times New Roman"/>
                <w:sz w:val="24"/>
              </w:rPr>
              <w:t xml:space="preserve"> a </w:t>
            </w:r>
            <w:r w:rsidRPr="00E07C9A">
              <w:rPr>
                <w:rFonts w:ascii="Times New Roman" w:hAnsi="Times New Roman"/>
                <w:sz w:val="24"/>
              </w:rPr>
              <w:t>voči neregulovaným subjektom finančného sektora, ako sú vymedzené</w:t>
            </w:r>
            <w:r w:rsidR="009912F8" w:rsidRPr="00E07C9A">
              <w:rPr>
                <w:rFonts w:ascii="Times New Roman" w:hAnsi="Times New Roman"/>
                <w:sz w:val="24"/>
              </w:rPr>
              <w:t xml:space="preserve"> v </w:t>
            </w:r>
            <w:r w:rsidRPr="00E07C9A">
              <w:rPr>
                <w:rFonts w:ascii="Times New Roman" w:hAnsi="Times New Roman"/>
                <w:sz w:val="24"/>
              </w:rPr>
              <w:t xml:space="preserve">článku 142 ods. 1 bode 5 nariadenia (EÚ) </w:t>
            </w:r>
            <w:r w:rsidR="009912F8" w:rsidRPr="00E07C9A">
              <w:rPr>
                <w:rFonts w:ascii="Times New Roman" w:hAnsi="Times New Roman"/>
                <w:sz w:val="24"/>
              </w:rPr>
              <w:t>č. 575/2013</w:t>
            </w:r>
            <w:r w:rsidRPr="00E07C9A">
              <w:rPr>
                <w:rFonts w:ascii="Times New Roman" w:hAnsi="Times New Roman"/>
                <w:sz w:val="24"/>
              </w:rPr>
              <w:t>, na ktoré sa vzťahuje vyšší koeficient korelácie určený</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153 ods. 2 nariadenia (EÚ) </w:t>
            </w:r>
            <w:r w:rsidR="009912F8" w:rsidRPr="00E07C9A">
              <w:rPr>
                <w:rFonts w:ascii="Times New Roman" w:hAnsi="Times New Roman"/>
                <w:sz w:val="24"/>
              </w:rPr>
              <w:t>č. 575/2013</w:t>
            </w:r>
            <w:r w:rsidRPr="00E07C9A">
              <w:rPr>
                <w:rFonts w:ascii="Times New Roman" w:hAnsi="Times New Roman"/>
                <w:sz w:val="24"/>
              </w:rPr>
              <w:t>.</w:t>
            </w:r>
          </w:p>
        </w:tc>
      </w:tr>
      <w:tr w:rsidR="008D24A6" w:rsidRPr="00E07C9A" w14:paraId="7E0C14C5" w14:textId="77777777" w:rsidTr="00672D2A">
        <w:tc>
          <w:tcPr>
            <w:tcW w:w="1188" w:type="dxa"/>
          </w:tcPr>
          <w:p w14:paraId="5B3FA587" w14:textId="77777777" w:rsidR="008D24A6" w:rsidRPr="00E07C9A" w:rsidRDefault="001452FC" w:rsidP="008D24A6">
            <w:pPr>
              <w:rPr>
                <w:rFonts w:ascii="Times New Roman" w:hAnsi="Times New Roman"/>
                <w:sz w:val="24"/>
              </w:rPr>
            </w:pPr>
            <w:r w:rsidRPr="00E07C9A">
              <w:rPr>
                <w:rFonts w:ascii="Times New Roman" w:hAnsi="Times New Roman"/>
                <w:sz w:val="24"/>
              </w:rPr>
              <w:t>0250</w:t>
            </w:r>
          </w:p>
        </w:tc>
        <w:tc>
          <w:tcPr>
            <w:tcW w:w="8843" w:type="dxa"/>
          </w:tcPr>
          <w:p w14:paraId="33BE0A3B" w14:textId="77777777" w:rsidR="008D24A6" w:rsidRPr="00E07C9A" w:rsidRDefault="008D24A6" w:rsidP="008D24A6">
            <w:pPr>
              <w:rPr>
                <w:rFonts w:ascii="Times New Roman" w:hAnsi="Times New Roman"/>
                <w:b/>
                <w:sz w:val="24"/>
                <w:u w:val="single"/>
              </w:rPr>
            </w:pPr>
            <w:r w:rsidRPr="00E07C9A">
              <w:rPr>
                <w:rFonts w:ascii="Times New Roman" w:hAnsi="Times New Roman"/>
                <w:b/>
                <w:sz w:val="24"/>
                <w:u w:val="single"/>
              </w:rPr>
              <w:t>HODNOTA EXPOZÍCIAMI VÁŽENEJ PRIEMERNEJ SPLATNOSTI (DNI)</w:t>
            </w:r>
          </w:p>
          <w:p w14:paraId="1C9B3946" w14:textId="132E816F" w:rsidR="008D24A6" w:rsidRPr="00E07C9A" w:rsidRDefault="008D24A6" w:rsidP="008D24A6">
            <w:pPr>
              <w:rPr>
                <w:rFonts w:ascii="Times New Roman" w:hAnsi="Times New Roman"/>
                <w:sz w:val="24"/>
              </w:rPr>
            </w:pPr>
            <w:r w:rsidRPr="00E07C9A">
              <w:rPr>
                <w:rFonts w:ascii="Times New Roman" w:hAnsi="Times New Roman"/>
                <w:sz w:val="24"/>
              </w:rPr>
              <w:t>Vykazovaná hodnota sa určuje</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162 nariadenia (EÚ) </w:t>
            </w:r>
            <w:r w:rsidR="009912F8" w:rsidRPr="00E07C9A">
              <w:rPr>
                <w:rFonts w:ascii="Times New Roman" w:hAnsi="Times New Roman"/>
                <w:sz w:val="24"/>
              </w:rPr>
              <w:t>č. 575/2013</w:t>
            </w:r>
            <w:r w:rsidRPr="00E07C9A">
              <w:rPr>
                <w:rFonts w:ascii="Times New Roman" w:hAnsi="Times New Roman"/>
                <w:sz w:val="24"/>
              </w:rPr>
              <w:t>. Hodnota expozície (stĺpec 0110) sa používa na výpočet expozíciami vážených priemerov. Priemerná splatnosť sa vykazuje</w:t>
            </w:r>
            <w:r w:rsidR="009912F8" w:rsidRPr="00E07C9A">
              <w:rPr>
                <w:rFonts w:ascii="Times New Roman" w:hAnsi="Times New Roman"/>
                <w:sz w:val="24"/>
              </w:rPr>
              <w:t xml:space="preserve"> v </w:t>
            </w:r>
            <w:r w:rsidRPr="00E07C9A">
              <w:rPr>
                <w:rFonts w:ascii="Times New Roman" w:hAnsi="Times New Roman"/>
                <w:sz w:val="24"/>
              </w:rPr>
              <w:t>dňoch.</w:t>
            </w:r>
          </w:p>
          <w:p w14:paraId="09F102FB" w14:textId="77777777" w:rsidR="008D24A6" w:rsidRPr="00E07C9A" w:rsidRDefault="008D24A6" w:rsidP="008D24A6">
            <w:pPr>
              <w:rPr>
                <w:rFonts w:ascii="Times New Roman" w:hAnsi="Times New Roman"/>
                <w:sz w:val="24"/>
              </w:rPr>
            </w:pPr>
            <w:r w:rsidRPr="00E07C9A">
              <w:rPr>
                <w:rFonts w:ascii="Times New Roman" w:hAnsi="Times New Roman"/>
                <w:sz w:val="24"/>
              </w:rPr>
              <w:t xml:space="preserve">Tieto údaje sa nevykazujú pre hodnoty expozícií, pre ktoré splatnosť nie je prvkom vo výpočte </w:t>
            </w:r>
            <w:r w:rsidRPr="00E07C9A">
              <w:rPr>
                <w:rStyle w:val="InstructionsTabelleText"/>
                <w:rFonts w:ascii="Times New Roman" w:hAnsi="Times New Roman"/>
                <w:sz w:val="24"/>
              </w:rPr>
              <w:t>hodnôt rizikovo vážených expozícií</w:t>
            </w:r>
            <w:r w:rsidRPr="00E07C9A">
              <w:rPr>
                <w:rFonts w:ascii="Times New Roman" w:hAnsi="Times New Roman"/>
                <w:sz w:val="24"/>
              </w:rPr>
              <w:t>. Znamená to, že pre triedu expozícií „retail“ sa tento stĺpec nevypĺňa.</w:t>
            </w:r>
          </w:p>
        </w:tc>
      </w:tr>
      <w:tr w:rsidR="008D24A6" w:rsidRPr="00E07C9A" w14:paraId="3F6D8809" w14:textId="77777777" w:rsidTr="00672D2A">
        <w:tc>
          <w:tcPr>
            <w:tcW w:w="1188" w:type="dxa"/>
          </w:tcPr>
          <w:p w14:paraId="3085D59C" w14:textId="77777777" w:rsidR="008D24A6" w:rsidRPr="00E07C9A" w:rsidRDefault="001452FC" w:rsidP="008D24A6">
            <w:pPr>
              <w:rPr>
                <w:rFonts w:ascii="Times New Roman" w:hAnsi="Times New Roman"/>
                <w:sz w:val="24"/>
              </w:rPr>
            </w:pPr>
            <w:r w:rsidRPr="00E07C9A">
              <w:rPr>
                <w:rFonts w:ascii="Times New Roman" w:hAnsi="Times New Roman"/>
                <w:sz w:val="24"/>
              </w:rPr>
              <w:t>0255</w:t>
            </w:r>
          </w:p>
        </w:tc>
        <w:tc>
          <w:tcPr>
            <w:tcW w:w="8843" w:type="dxa"/>
          </w:tcPr>
          <w:p w14:paraId="196087E2" w14:textId="77777777" w:rsidR="008D24A6" w:rsidRPr="00E07C9A" w:rsidRDefault="008D24A6" w:rsidP="008D24A6">
            <w:pPr>
              <w:rPr>
                <w:rFonts w:ascii="Times New Roman" w:hAnsi="Times New Roman"/>
                <w:b/>
                <w:sz w:val="24"/>
                <w:u w:val="single"/>
              </w:rPr>
            </w:pPr>
            <w:r w:rsidRPr="00E07C9A">
              <w:rPr>
                <w:rFonts w:ascii="Times New Roman" w:hAnsi="Times New Roman"/>
                <w:b/>
                <w:sz w:val="24"/>
                <w:u w:val="single"/>
              </w:rPr>
              <w:t>HODNOTA RIZIKOVO VÁŽENEJ EXPOZÍCIE PRED UPLATNENÍM PODPORNÝCH FAKTOROV</w:t>
            </w:r>
          </w:p>
          <w:p w14:paraId="36701BD0" w14:textId="0876983F" w:rsidR="009912F8" w:rsidRPr="00E07C9A" w:rsidRDefault="008D24A6" w:rsidP="008D24A6">
            <w:pPr>
              <w:rPr>
                <w:rFonts w:ascii="Times New Roman" w:hAnsi="Times New Roman"/>
                <w:sz w:val="24"/>
              </w:rPr>
            </w:pPr>
            <w:r w:rsidRPr="00E07C9A">
              <w:rPr>
                <w:rFonts w:ascii="Times New Roman" w:hAnsi="Times New Roman"/>
                <w:sz w:val="24"/>
              </w:rPr>
              <w:t>Pokiaľ ide</w:t>
            </w:r>
            <w:r w:rsidR="009912F8" w:rsidRPr="00E07C9A">
              <w:rPr>
                <w:rFonts w:ascii="Times New Roman" w:hAnsi="Times New Roman"/>
                <w:sz w:val="24"/>
              </w:rPr>
              <w:t xml:space="preserve"> o </w:t>
            </w:r>
            <w:r w:rsidRPr="00E07C9A">
              <w:rPr>
                <w:rFonts w:ascii="Times New Roman" w:hAnsi="Times New Roman"/>
                <w:sz w:val="24"/>
              </w:rPr>
              <w:t>ústredné vlády</w:t>
            </w:r>
            <w:r w:rsidR="009912F8" w:rsidRPr="00E07C9A">
              <w:rPr>
                <w:rFonts w:ascii="Times New Roman" w:hAnsi="Times New Roman"/>
                <w:sz w:val="24"/>
              </w:rPr>
              <w:t xml:space="preserve"> a </w:t>
            </w:r>
            <w:r w:rsidRPr="00E07C9A">
              <w:rPr>
                <w:rFonts w:ascii="Times New Roman" w:hAnsi="Times New Roman"/>
                <w:sz w:val="24"/>
              </w:rPr>
              <w:t>centrálne banky, podnikateľské subjekty</w:t>
            </w:r>
            <w:r w:rsidR="009912F8" w:rsidRPr="00E07C9A">
              <w:rPr>
                <w:rFonts w:ascii="Times New Roman" w:hAnsi="Times New Roman"/>
                <w:sz w:val="24"/>
              </w:rPr>
              <w:t xml:space="preserve"> a </w:t>
            </w:r>
            <w:r w:rsidRPr="00E07C9A">
              <w:rPr>
                <w:rFonts w:ascii="Times New Roman" w:hAnsi="Times New Roman"/>
                <w:sz w:val="24"/>
              </w:rPr>
              <w:t>inštitúcie, pozri článok 153 ods. 1, 2, 3</w:t>
            </w:r>
            <w:r w:rsidR="009912F8" w:rsidRPr="00E07C9A">
              <w:rPr>
                <w:rFonts w:ascii="Times New Roman" w:hAnsi="Times New Roman"/>
                <w:sz w:val="24"/>
              </w:rPr>
              <w:t xml:space="preserve"> a </w:t>
            </w:r>
            <w:r w:rsidRPr="00E07C9A">
              <w:rPr>
                <w:rFonts w:ascii="Times New Roman" w:hAnsi="Times New Roman"/>
                <w:sz w:val="24"/>
              </w:rPr>
              <w:t xml:space="preserve">4 nariadenia (EÚ) </w:t>
            </w:r>
            <w:r w:rsidR="009912F8" w:rsidRPr="00E07C9A">
              <w:rPr>
                <w:rFonts w:ascii="Times New Roman" w:hAnsi="Times New Roman"/>
                <w:sz w:val="24"/>
              </w:rPr>
              <w:t>č. 575/2013</w:t>
            </w:r>
            <w:r w:rsidRPr="00E07C9A">
              <w:rPr>
                <w:rFonts w:ascii="Times New Roman" w:hAnsi="Times New Roman"/>
                <w:sz w:val="24"/>
              </w:rPr>
              <w:t>. Pokiaľ ide</w:t>
            </w:r>
            <w:r w:rsidR="009912F8" w:rsidRPr="00E07C9A">
              <w:rPr>
                <w:rFonts w:ascii="Times New Roman" w:hAnsi="Times New Roman"/>
                <w:sz w:val="24"/>
              </w:rPr>
              <w:t xml:space="preserve"> o </w:t>
            </w:r>
            <w:r w:rsidRPr="00E07C9A">
              <w:rPr>
                <w:rFonts w:ascii="Times New Roman" w:hAnsi="Times New Roman"/>
                <w:sz w:val="24"/>
              </w:rPr>
              <w:t xml:space="preserve">retail, pozri článok 154 ods. 1 nariadenia (EÚ) </w:t>
            </w:r>
            <w:r w:rsidR="009912F8" w:rsidRPr="00E07C9A">
              <w:rPr>
                <w:rFonts w:ascii="Times New Roman" w:hAnsi="Times New Roman"/>
                <w:sz w:val="24"/>
              </w:rPr>
              <w:t>č. 575/2013.</w:t>
            </w:r>
          </w:p>
          <w:p w14:paraId="4F2AFE60" w14:textId="54F8E2CB" w:rsidR="008D24A6" w:rsidRPr="00E07C9A" w:rsidRDefault="008D24A6" w:rsidP="003F19BA">
            <w:pPr>
              <w:rPr>
                <w:rFonts w:ascii="Times New Roman" w:hAnsi="Times New Roman"/>
                <w:b/>
                <w:sz w:val="24"/>
                <w:u w:val="single"/>
              </w:rPr>
            </w:pPr>
            <w:r w:rsidRPr="00E07C9A">
              <w:rPr>
                <w:rFonts w:ascii="Times New Roman" w:hAnsi="Times New Roman"/>
                <w:sz w:val="24"/>
              </w:rPr>
              <w:t>Faktory na podporu MSP</w:t>
            </w:r>
            <w:r w:rsidR="009912F8" w:rsidRPr="00E07C9A">
              <w:rPr>
                <w:rFonts w:ascii="Times New Roman" w:hAnsi="Times New Roman"/>
                <w:sz w:val="24"/>
              </w:rPr>
              <w:t xml:space="preserve"> a </w:t>
            </w:r>
            <w:r w:rsidRPr="00E07C9A">
              <w:rPr>
                <w:rFonts w:ascii="Times New Roman" w:hAnsi="Times New Roman"/>
                <w:sz w:val="24"/>
              </w:rPr>
              <w:t>infraštruktúry stanovené</w:t>
            </w:r>
            <w:r w:rsidR="009912F8" w:rsidRPr="00E07C9A">
              <w:rPr>
                <w:rFonts w:ascii="Times New Roman" w:hAnsi="Times New Roman"/>
                <w:sz w:val="24"/>
              </w:rPr>
              <w:t xml:space="preserve"> v </w:t>
            </w:r>
            <w:r w:rsidRPr="00E07C9A">
              <w:rPr>
                <w:rFonts w:ascii="Times New Roman" w:hAnsi="Times New Roman"/>
                <w:sz w:val="24"/>
              </w:rPr>
              <w:t>článkoch 501</w:t>
            </w:r>
            <w:r w:rsidR="009912F8" w:rsidRPr="00E07C9A">
              <w:rPr>
                <w:rFonts w:ascii="Times New Roman" w:hAnsi="Times New Roman"/>
                <w:sz w:val="24"/>
              </w:rPr>
              <w:t xml:space="preserve"> a </w:t>
            </w:r>
            <w:r w:rsidRPr="00E07C9A">
              <w:rPr>
                <w:rFonts w:ascii="Times New Roman" w:hAnsi="Times New Roman"/>
                <w:sz w:val="24"/>
              </w:rPr>
              <w:t xml:space="preserve">501a nariadenia (EÚ) </w:t>
            </w:r>
            <w:r w:rsidR="009912F8" w:rsidRPr="00E07C9A">
              <w:rPr>
                <w:rFonts w:ascii="Times New Roman" w:hAnsi="Times New Roman"/>
                <w:sz w:val="24"/>
              </w:rPr>
              <w:t>č. 575/2013</w:t>
            </w:r>
            <w:r w:rsidRPr="00E07C9A">
              <w:rPr>
                <w:rFonts w:ascii="Times New Roman" w:hAnsi="Times New Roman"/>
                <w:sz w:val="24"/>
              </w:rPr>
              <w:t xml:space="preserve"> sa nezohľadňujú.</w:t>
            </w:r>
          </w:p>
        </w:tc>
      </w:tr>
      <w:tr w:rsidR="008D24A6" w:rsidRPr="00E07C9A" w14:paraId="294F624D" w14:textId="77777777" w:rsidTr="00672D2A">
        <w:tc>
          <w:tcPr>
            <w:tcW w:w="1188" w:type="dxa"/>
          </w:tcPr>
          <w:p w14:paraId="68088EF8" w14:textId="77777777" w:rsidR="008D24A6" w:rsidRPr="00E07C9A" w:rsidRDefault="001452FC" w:rsidP="008D24A6">
            <w:pPr>
              <w:rPr>
                <w:rFonts w:ascii="Times New Roman" w:hAnsi="Times New Roman"/>
                <w:sz w:val="24"/>
              </w:rPr>
            </w:pPr>
            <w:r w:rsidRPr="00E07C9A">
              <w:rPr>
                <w:rFonts w:ascii="Times New Roman" w:hAnsi="Times New Roman"/>
                <w:sz w:val="24"/>
              </w:rPr>
              <w:t>0256</w:t>
            </w:r>
          </w:p>
        </w:tc>
        <w:tc>
          <w:tcPr>
            <w:tcW w:w="8843" w:type="dxa"/>
          </w:tcPr>
          <w:p w14:paraId="2B61A7CC" w14:textId="77777777" w:rsidR="008D24A6" w:rsidRPr="00E07C9A" w:rsidRDefault="008D24A6" w:rsidP="008D24A6">
            <w:pPr>
              <w:rPr>
                <w:rFonts w:ascii="Times New Roman" w:hAnsi="Times New Roman"/>
                <w:b/>
                <w:sz w:val="24"/>
                <w:u w:val="single"/>
              </w:rPr>
            </w:pPr>
            <w:r w:rsidRPr="00E07C9A">
              <w:rPr>
                <w:rFonts w:ascii="Times New Roman" w:hAnsi="Times New Roman"/>
                <w:b/>
                <w:sz w:val="24"/>
                <w:u w:val="single"/>
              </w:rPr>
              <w:t>(–) ÚPRAVA HODNOTY RIZIKOVO VÁŽENEJ EXPOZÍCIE VZHĽADOM NA FAKTOR NA PODPORU MSP</w:t>
            </w:r>
          </w:p>
          <w:p w14:paraId="5C6EFF92" w14:textId="7E75FFF5" w:rsidR="008D24A6" w:rsidRPr="00E07C9A" w:rsidRDefault="008D24A6" w:rsidP="00F34382">
            <w:pPr>
              <w:rPr>
                <w:rFonts w:ascii="Times New Roman" w:hAnsi="Times New Roman"/>
                <w:b/>
                <w:sz w:val="24"/>
                <w:u w:val="single"/>
              </w:rPr>
            </w:pPr>
            <w:r w:rsidRPr="00E07C9A">
              <w:rPr>
                <w:rFonts w:ascii="Times New Roman" w:hAnsi="Times New Roman"/>
                <w:sz w:val="24"/>
              </w:rPr>
              <w:t>Odpočet rozdielu hodnôt rizikovo vážených expozícií</w:t>
            </w:r>
            <w:r w:rsidR="009912F8" w:rsidRPr="00E07C9A">
              <w:rPr>
                <w:rFonts w:ascii="Times New Roman" w:hAnsi="Times New Roman"/>
                <w:sz w:val="24"/>
              </w:rPr>
              <w:t xml:space="preserve"> v </w:t>
            </w:r>
            <w:r w:rsidRPr="00E07C9A">
              <w:rPr>
                <w:rFonts w:ascii="Times New Roman" w:hAnsi="Times New Roman"/>
                <w:sz w:val="24"/>
              </w:rPr>
              <w:t>prípade nezlyhaných expozícií voči MSP (RWEA), ktoré sa vypočítajú</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treťou časťou hlavou II kapitolou 3 nariadenia (EÚ) </w:t>
            </w:r>
            <w:r w:rsidR="009912F8" w:rsidRPr="00E07C9A">
              <w:rPr>
                <w:rFonts w:ascii="Times New Roman" w:hAnsi="Times New Roman"/>
                <w:sz w:val="24"/>
              </w:rPr>
              <w:t>č. 575/2013</w:t>
            </w:r>
            <w:r w:rsidRPr="00E07C9A">
              <w:rPr>
                <w:rFonts w:ascii="Times New Roman" w:hAnsi="Times New Roman"/>
                <w:sz w:val="24"/>
              </w:rPr>
              <w:t>, ak je to vhodné,</w:t>
            </w:r>
            <w:r w:rsidR="009912F8" w:rsidRPr="00E07C9A">
              <w:rPr>
                <w:rFonts w:ascii="Times New Roman" w:hAnsi="Times New Roman"/>
                <w:sz w:val="24"/>
              </w:rPr>
              <w:t xml:space="preserve"> a </w:t>
            </w:r>
            <w:r w:rsidRPr="00E07C9A">
              <w:rPr>
                <w:rFonts w:ascii="Times New Roman" w:hAnsi="Times New Roman"/>
                <w:sz w:val="24"/>
              </w:rPr>
              <w:t>RWEA*</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článkom 501 uvedeného nariadenia.</w:t>
            </w:r>
          </w:p>
        </w:tc>
      </w:tr>
      <w:tr w:rsidR="008D24A6" w:rsidRPr="00E07C9A" w14:paraId="14971D2A" w14:textId="77777777" w:rsidTr="00672D2A">
        <w:tc>
          <w:tcPr>
            <w:tcW w:w="1188" w:type="dxa"/>
          </w:tcPr>
          <w:p w14:paraId="657AEAC7" w14:textId="77777777" w:rsidR="008D24A6" w:rsidRPr="00E07C9A" w:rsidRDefault="001452FC" w:rsidP="008D24A6">
            <w:pPr>
              <w:rPr>
                <w:rFonts w:ascii="Times New Roman" w:hAnsi="Times New Roman"/>
                <w:sz w:val="24"/>
              </w:rPr>
            </w:pPr>
            <w:r w:rsidRPr="00E07C9A">
              <w:rPr>
                <w:rFonts w:ascii="Times New Roman" w:hAnsi="Times New Roman"/>
                <w:sz w:val="24"/>
              </w:rPr>
              <w:t>0257</w:t>
            </w:r>
          </w:p>
        </w:tc>
        <w:tc>
          <w:tcPr>
            <w:tcW w:w="8843" w:type="dxa"/>
          </w:tcPr>
          <w:p w14:paraId="378DC715" w14:textId="77777777" w:rsidR="008D24A6" w:rsidRPr="00E07C9A" w:rsidRDefault="008D24A6" w:rsidP="008D24A6">
            <w:pPr>
              <w:rPr>
                <w:rFonts w:ascii="Times New Roman" w:hAnsi="Times New Roman"/>
                <w:b/>
                <w:sz w:val="24"/>
                <w:u w:val="single"/>
              </w:rPr>
            </w:pPr>
            <w:r w:rsidRPr="00E07C9A">
              <w:rPr>
                <w:rFonts w:ascii="Times New Roman" w:hAnsi="Times New Roman"/>
                <w:b/>
                <w:sz w:val="24"/>
                <w:u w:val="single"/>
              </w:rPr>
              <w:t>(–) ÚPRAVA HODNOTY RIZIKOVO VÁŽENEJ EXPOZÍCIE VZHĽADOM NA FAKTOR NA PODPORU INFRAŠTRUKTÚRY</w:t>
            </w:r>
          </w:p>
          <w:p w14:paraId="551B54F5" w14:textId="04F4837D" w:rsidR="008D24A6" w:rsidRPr="00E07C9A" w:rsidRDefault="008D24A6" w:rsidP="002F11F3">
            <w:pPr>
              <w:rPr>
                <w:rFonts w:ascii="Times New Roman" w:hAnsi="Times New Roman"/>
                <w:b/>
                <w:sz w:val="24"/>
                <w:u w:val="single"/>
              </w:rPr>
            </w:pPr>
            <w:r w:rsidRPr="00E07C9A">
              <w:rPr>
                <w:rFonts w:ascii="Times New Roman" w:hAnsi="Times New Roman"/>
                <w:sz w:val="24"/>
              </w:rPr>
              <w:t>Odpočet rozdielu hodnôt rizikovo vážených expozícií vypočítaných</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treťou časťou hlavou II nariadenia (EÚ) </w:t>
            </w:r>
            <w:r w:rsidR="009912F8" w:rsidRPr="00E07C9A">
              <w:rPr>
                <w:rFonts w:ascii="Times New Roman" w:hAnsi="Times New Roman"/>
                <w:sz w:val="24"/>
              </w:rPr>
              <w:t>č. 575/2013 a </w:t>
            </w:r>
            <w:r w:rsidRPr="00E07C9A">
              <w:rPr>
                <w:rFonts w:ascii="Times New Roman" w:hAnsi="Times New Roman"/>
                <w:sz w:val="24"/>
              </w:rPr>
              <w:t>upravených RWEA na účely kreditného rizika pre expozície voči subjektom, ktoré prevádzkujú alebo financujú fyzické štruktúry alebo zariadenia, systémy</w:t>
            </w:r>
            <w:r w:rsidR="009912F8" w:rsidRPr="00E07C9A">
              <w:rPr>
                <w:rFonts w:ascii="Times New Roman" w:hAnsi="Times New Roman"/>
                <w:sz w:val="24"/>
              </w:rPr>
              <w:t xml:space="preserve"> a </w:t>
            </w:r>
            <w:r w:rsidRPr="00E07C9A">
              <w:rPr>
                <w:rFonts w:ascii="Times New Roman" w:hAnsi="Times New Roman"/>
                <w:sz w:val="24"/>
              </w:rPr>
              <w:t>siete, ktoré poskytujú alebo podporujú základné verejné služby,</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501a uvedeného nariadenia. </w:t>
            </w:r>
          </w:p>
        </w:tc>
      </w:tr>
      <w:tr w:rsidR="008D24A6" w:rsidRPr="00E07C9A" w14:paraId="47AFE397" w14:textId="77777777" w:rsidTr="00672D2A">
        <w:tc>
          <w:tcPr>
            <w:tcW w:w="1188" w:type="dxa"/>
            <w:shd w:val="clear" w:color="auto" w:fill="auto"/>
          </w:tcPr>
          <w:p w14:paraId="044685CA" w14:textId="77777777" w:rsidR="008D24A6" w:rsidRPr="00E07C9A" w:rsidRDefault="001452FC" w:rsidP="008D24A6">
            <w:pPr>
              <w:rPr>
                <w:rFonts w:ascii="Times New Roman" w:hAnsi="Times New Roman"/>
                <w:sz w:val="24"/>
              </w:rPr>
            </w:pPr>
            <w:r w:rsidRPr="00E07C9A">
              <w:rPr>
                <w:rFonts w:ascii="Times New Roman" w:hAnsi="Times New Roman"/>
                <w:sz w:val="24"/>
              </w:rPr>
              <w:t>0260</w:t>
            </w:r>
          </w:p>
        </w:tc>
        <w:tc>
          <w:tcPr>
            <w:tcW w:w="8843" w:type="dxa"/>
            <w:shd w:val="clear" w:color="auto" w:fill="auto"/>
          </w:tcPr>
          <w:p w14:paraId="20874C55" w14:textId="77777777" w:rsidR="008D24A6" w:rsidRPr="00E07C9A" w:rsidRDefault="008D24A6" w:rsidP="008D24A6">
            <w:pPr>
              <w:rPr>
                <w:rFonts w:ascii="Times New Roman" w:hAnsi="Times New Roman"/>
                <w:b/>
                <w:sz w:val="24"/>
                <w:u w:val="single"/>
              </w:rPr>
            </w:pPr>
            <w:r w:rsidRPr="00E07C9A">
              <w:rPr>
                <w:rFonts w:ascii="Times New Roman" w:hAnsi="Times New Roman"/>
                <w:b/>
                <w:sz w:val="24"/>
                <w:u w:val="single"/>
              </w:rPr>
              <w:t>HODNOTA RIZIKOVO VÁŽENEJ EXPOZÍCIE PO UPLATNENÍ PODPORNÝCH FAKTOROV</w:t>
            </w:r>
          </w:p>
          <w:p w14:paraId="01882A55" w14:textId="158CF5EC" w:rsidR="008D24A6" w:rsidRPr="00E07C9A" w:rsidRDefault="008D24A6" w:rsidP="008D24A6">
            <w:pPr>
              <w:rPr>
                <w:rFonts w:ascii="Times New Roman" w:hAnsi="Times New Roman"/>
                <w:sz w:val="24"/>
              </w:rPr>
            </w:pPr>
            <w:r w:rsidRPr="00E07C9A">
              <w:rPr>
                <w:rFonts w:ascii="Times New Roman" w:hAnsi="Times New Roman"/>
                <w:sz w:val="24"/>
              </w:rPr>
              <w:t>Pokiaľ ide</w:t>
            </w:r>
            <w:r w:rsidR="009912F8" w:rsidRPr="00E07C9A">
              <w:rPr>
                <w:rFonts w:ascii="Times New Roman" w:hAnsi="Times New Roman"/>
                <w:sz w:val="24"/>
              </w:rPr>
              <w:t xml:space="preserve"> o </w:t>
            </w:r>
            <w:r w:rsidRPr="00E07C9A">
              <w:rPr>
                <w:rFonts w:ascii="Times New Roman" w:hAnsi="Times New Roman"/>
                <w:sz w:val="24"/>
              </w:rPr>
              <w:t>ústredné vlády</w:t>
            </w:r>
            <w:r w:rsidR="009912F8" w:rsidRPr="00E07C9A">
              <w:rPr>
                <w:rFonts w:ascii="Times New Roman" w:hAnsi="Times New Roman"/>
                <w:sz w:val="24"/>
              </w:rPr>
              <w:t xml:space="preserve"> a </w:t>
            </w:r>
            <w:r w:rsidRPr="00E07C9A">
              <w:rPr>
                <w:rFonts w:ascii="Times New Roman" w:hAnsi="Times New Roman"/>
                <w:sz w:val="24"/>
              </w:rPr>
              <w:t>centrálne banky, podnikateľské subjekty</w:t>
            </w:r>
            <w:r w:rsidR="009912F8" w:rsidRPr="00E07C9A">
              <w:rPr>
                <w:rFonts w:ascii="Times New Roman" w:hAnsi="Times New Roman"/>
                <w:sz w:val="24"/>
              </w:rPr>
              <w:t xml:space="preserve"> a </w:t>
            </w:r>
            <w:r w:rsidRPr="00E07C9A">
              <w:rPr>
                <w:rFonts w:ascii="Times New Roman" w:hAnsi="Times New Roman"/>
                <w:sz w:val="24"/>
              </w:rPr>
              <w:t>inštitúcie, pozri článok 153 ods. 1, 2, 3</w:t>
            </w:r>
            <w:r w:rsidR="009912F8" w:rsidRPr="00E07C9A">
              <w:rPr>
                <w:rFonts w:ascii="Times New Roman" w:hAnsi="Times New Roman"/>
                <w:sz w:val="24"/>
              </w:rPr>
              <w:t xml:space="preserve"> a </w:t>
            </w:r>
            <w:r w:rsidRPr="00E07C9A">
              <w:rPr>
                <w:rFonts w:ascii="Times New Roman" w:hAnsi="Times New Roman"/>
                <w:sz w:val="24"/>
              </w:rPr>
              <w:t xml:space="preserve">4 nariadenia (EÚ) </w:t>
            </w:r>
            <w:r w:rsidR="009912F8" w:rsidRPr="00E07C9A">
              <w:rPr>
                <w:rFonts w:ascii="Times New Roman" w:hAnsi="Times New Roman"/>
                <w:sz w:val="24"/>
              </w:rPr>
              <w:t>č. 575/2013</w:t>
            </w:r>
            <w:r w:rsidRPr="00E07C9A">
              <w:rPr>
                <w:rFonts w:ascii="Times New Roman" w:hAnsi="Times New Roman"/>
                <w:sz w:val="24"/>
              </w:rPr>
              <w:t>. Pokiaľ ide</w:t>
            </w:r>
            <w:r w:rsidR="009912F8" w:rsidRPr="00E07C9A">
              <w:rPr>
                <w:rFonts w:ascii="Times New Roman" w:hAnsi="Times New Roman"/>
                <w:sz w:val="24"/>
              </w:rPr>
              <w:t xml:space="preserve"> o </w:t>
            </w:r>
            <w:r w:rsidRPr="00E07C9A">
              <w:rPr>
                <w:rFonts w:ascii="Times New Roman" w:hAnsi="Times New Roman"/>
                <w:sz w:val="24"/>
              </w:rPr>
              <w:t xml:space="preserve">retail, pozri článok 154 ods. 1 nariadenia (EÚ) </w:t>
            </w:r>
            <w:r w:rsidR="009912F8" w:rsidRPr="00E07C9A">
              <w:rPr>
                <w:rFonts w:ascii="Times New Roman" w:hAnsi="Times New Roman"/>
                <w:sz w:val="24"/>
              </w:rPr>
              <w:t>č. 575/2013</w:t>
            </w:r>
            <w:r w:rsidRPr="00E07C9A">
              <w:rPr>
                <w:rFonts w:ascii="Times New Roman" w:hAnsi="Times New Roman"/>
                <w:sz w:val="24"/>
              </w:rPr>
              <w:t>.</w:t>
            </w:r>
          </w:p>
          <w:p w14:paraId="5FCC9D00" w14:textId="66A6E764" w:rsidR="008D24A6" w:rsidRPr="00E07C9A" w:rsidRDefault="008D24A6" w:rsidP="003F19BA">
            <w:pPr>
              <w:rPr>
                <w:rFonts w:ascii="Times New Roman" w:hAnsi="Times New Roman"/>
                <w:b/>
                <w:sz w:val="24"/>
                <w:u w:val="single"/>
              </w:rPr>
            </w:pPr>
            <w:r w:rsidRPr="00E07C9A">
              <w:rPr>
                <w:rFonts w:ascii="Times New Roman" w:hAnsi="Times New Roman"/>
                <w:sz w:val="24"/>
              </w:rPr>
              <w:t>Zohľadňujú sa faktory na podporu MSP</w:t>
            </w:r>
            <w:r w:rsidR="009912F8" w:rsidRPr="00E07C9A">
              <w:rPr>
                <w:rFonts w:ascii="Times New Roman" w:hAnsi="Times New Roman"/>
                <w:sz w:val="24"/>
              </w:rPr>
              <w:t xml:space="preserve"> a </w:t>
            </w:r>
            <w:r w:rsidRPr="00E07C9A">
              <w:rPr>
                <w:rFonts w:ascii="Times New Roman" w:hAnsi="Times New Roman"/>
                <w:sz w:val="24"/>
              </w:rPr>
              <w:t>infraštruktúry stanovené</w:t>
            </w:r>
            <w:r w:rsidR="009912F8" w:rsidRPr="00E07C9A">
              <w:rPr>
                <w:rFonts w:ascii="Times New Roman" w:hAnsi="Times New Roman"/>
                <w:sz w:val="24"/>
              </w:rPr>
              <w:t xml:space="preserve"> v </w:t>
            </w:r>
            <w:r w:rsidRPr="00E07C9A">
              <w:rPr>
                <w:rFonts w:ascii="Times New Roman" w:hAnsi="Times New Roman"/>
                <w:sz w:val="24"/>
              </w:rPr>
              <w:t>článkoch 501</w:t>
            </w:r>
            <w:r w:rsidR="009912F8" w:rsidRPr="00E07C9A">
              <w:rPr>
                <w:rFonts w:ascii="Times New Roman" w:hAnsi="Times New Roman"/>
                <w:sz w:val="24"/>
              </w:rPr>
              <w:t xml:space="preserve"> a </w:t>
            </w:r>
            <w:r w:rsidRPr="00E07C9A">
              <w:rPr>
                <w:rFonts w:ascii="Times New Roman" w:hAnsi="Times New Roman"/>
                <w:sz w:val="24"/>
              </w:rPr>
              <w:t xml:space="preserve">501a nariadenia (EÚ) </w:t>
            </w:r>
            <w:r w:rsidR="009912F8" w:rsidRPr="00E07C9A">
              <w:rPr>
                <w:rFonts w:ascii="Times New Roman" w:hAnsi="Times New Roman"/>
                <w:sz w:val="24"/>
              </w:rPr>
              <w:t>č. 575/2013</w:t>
            </w:r>
            <w:r w:rsidRPr="00E07C9A">
              <w:rPr>
                <w:rFonts w:ascii="Times New Roman" w:hAnsi="Times New Roman"/>
                <w:sz w:val="24"/>
              </w:rPr>
              <w:t>.</w:t>
            </w:r>
          </w:p>
        </w:tc>
      </w:tr>
      <w:tr w:rsidR="008D24A6" w:rsidRPr="00E07C9A" w14:paraId="147559F1" w14:textId="77777777" w:rsidTr="00672D2A">
        <w:tc>
          <w:tcPr>
            <w:tcW w:w="1188" w:type="dxa"/>
            <w:shd w:val="clear" w:color="auto" w:fill="auto"/>
          </w:tcPr>
          <w:p w14:paraId="41BAEDF3" w14:textId="77777777" w:rsidR="008D24A6" w:rsidRPr="00E07C9A" w:rsidRDefault="001452FC" w:rsidP="008D24A6">
            <w:pPr>
              <w:rPr>
                <w:rFonts w:ascii="Times New Roman" w:hAnsi="Times New Roman"/>
                <w:sz w:val="24"/>
              </w:rPr>
            </w:pPr>
            <w:r w:rsidRPr="00E07C9A">
              <w:rPr>
                <w:rFonts w:ascii="Times New Roman" w:hAnsi="Times New Roman"/>
                <w:sz w:val="24"/>
              </w:rPr>
              <w:t>0270</w:t>
            </w:r>
          </w:p>
        </w:tc>
        <w:tc>
          <w:tcPr>
            <w:tcW w:w="8843" w:type="dxa"/>
            <w:shd w:val="clear" w:color="auto" w:fill="auto"/>
          </w:tcPr>
          <w:p w14:paraId="3B4751CE" w14:textId="77777777" w:rsidR="008D24A6" w:rsidRPr="00E07C9A" w:rsidRDefault="008D24A6" w:rsidP="008D24A6">
            <w:pPr>
              <w:rPr>
                <w:rFonts w:ascii="Times New Roman" w:hAnsi="Times New Roman"/>
                <w:b/>
                <w:sz w:val="24"/>
                <w:u w:val="single"/>
              </w:rPr>
            </w:pPr>
            <w:r w:rsidRPr="00E07C9A">
              <w:rPr>
                <w:rFonts w:ascii="Times New Roman" w:hAnsi="Times New Roman"/>
                <w:b/>
                <w:sz w:val="24"/>
                <w:u w:val="single"/>
              </w:rPr>
              <w:t>Z ČOHO: VEĽKÉ SUBJEKTY FINANČNÉHO SEKTORA A NEREGULOVANÉ FINANČNÉ SUBJEKTY</w:t>
            </w:r>
          </w:p>
          <w:p w14:paraId="3A1A0D19" w14:textId="4125994F" w:rsidR="008D24A6" w:rsidRPr="00E07C9A" w:rsidDel="005A2363" w:rsidRDefault="008D24A6" w:rsidP="002F11F3">
            <w:pPr>
              <w:rPr>
                <w:rFonts w:ascii="Times New Roman" w:hAnsi="Times New Roman"/>
                <w:sz w:val="24"/>
              </w:rPr>
            </w:pPr>
            <w:r w:rsidRPr="00E07C9A">
              <w:rPr>
                <w:rFonts w:ascii="Times New Roman" w:hAnsi="Times New Roman"/>
                <w:sz w:val="24"/>
              </w:rPr>
              <w:t>Rozčlenenie hodnoty rizikovo váženej expozície po uplatnení faktora na podporu MSP pre všetky expozície voči veľkým subjektom finančného sektora, ako sú vymedzené</w:t>
            </w:r>
            <w:r w:rsidR="009912F8" w:rsidRPr="00E07C9A">
              <w:rPr>
                <w:rFonts w:ascii="Times New Roman" w:hAnsi="Times New Roman"/>
                <w:sz w:val="24"/>
              </w:rPr>
              <w:t xml:space="preserve"> v </w:t>
            </w:r>
            <w:r w:rsidRPr="00E07C9A">
              <w:rPr>
                <w:rFonts w:ascii="Times New Roman" w:hAnsi="Times New Roman"/>
                <w:sz w:val="24"/>
              </w:rPr>
              <w:t xml:space="preserve">článku 142 ods. 1 bode 4 nariadenia (EÚ) </w:t>
            </w:r>
            <w:r w:rsidR="009912F8" w:rsidRPr="00E07C9A">
              <w:rPr>
                <w:rFonts w:ascii="Times New Roman" w:hAnsi="Times New Roman"/>
                <w:sz w:val="24"/>
              </w:rPr>
              <w:t>č. 575/2013</w:t>
            </w:r>
            <w:r w:rsidRPr="00E07C9A">
              <w:rPr>
                <w:rFonts w:ascii="Times New Roman" w:hAnsi="Times New Roman"/>
                <w:sz w:val="24"/>
              </w:rPr>
              <w:t>,</w:t>
            </w:r>
            <w:r w:rsidR="009912F8" w:rsidRPr="00E07C9A">
              <w:rPr>
                <w:rFonts w:ascii="Times New Roman" w:hAnsi="Times New Roman"/>
                <w:sz w:val="24"/>
              </w:rPr>
              <w:t xml:space="preserve"> a </w:t>
            </w:r>
            <w:r w:rsidRPr="00E07C9A">
              <w:rPr>
                <w:rFonts w:ascii="Times New Roman" w:hAnsi="Times New Roman"/>
                <w:sz w:val="24"/>
              </w:rPr>
              <w:t>voči neregulovaným subjektom finančného sektora, ako sú vymedzené</w:t>
            </w:r>
            <w:r w:rsidR="009912F8" w:rsidRPr="00E07C9A">
              <w:rPr>
                <w:rFonts w:ascii="Times New Roman" w:hAnsi="Times New Roman"/>
                <w:sz w:val="24"/>
              </w:rPr>
              <w:t xml:space="preserve"> v </w:t>
            </w:r>
            <w:r w:rsidRPr="00E07C9A">
              <w:rPr>
                <w:rFonts w:ascii="Times New Roman" w:hAnsi="Times New Roman"/>
                <w:sz w:val="24"/>
              </w:rPr>
              <w:t>článku 142 ods. 1 bode 5 uvedeného nariadenia, na ktoré sa vzťahuje vyšší koeficient korelácie určený</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článkom 153 ods. 2 uvedeného nariadenia.</w:t>
            </w:r>
          </w:p>
        </w:tc>
      </w:tr>
      <w:tr w:rsidR="008D24A6" w:rsidRPr="00E07C9A" w14:paraId="20CC28DB" w14:textId="77777777" w:rsidTr="00672D2A">
        <w:tc>
          <w:tcPr>
            <w:tcW w:w="1188" w:type="dxa"/>
          </w:tcPr>
          <w:p w14:paraId="75082E91" w14:textId="77777777" w:rsidR="008D24A6" w:rsidRPr="00E07C9A" w:rsidRDefault="001452FC" w:rsidP="008D24A6">
            <w:pPr>
              <w:rPr>
                <w:rFonts w:ascii="Times New Roman" w:hAnsi="Times New Roman"/>
                <w:sz w:val="24"/>
              </w:rPr>
            </w:pPr>
            <w:r w:rsidRPr="00E07C9A">
              <w:rPr>
                <w:rFonts w:ascii="Times New Roman" w:hAnsi="Times New Roman"/>
                <w:sz w:val="24"/>
              </w:rPr>
              <w:t>0280</w:t>
            </w:r>
          </w:p>
        </w:tc>
        <w:tc>
          <w:tcPr>
            <w:tcW w:w="8843" w:type="dxa"/>
          </w:tcPr>
          <w:p w14:paraId="55EF5D78" w14:textId="77777777" w:rsidR="008D24A6" w:rsidRPr="00E07C9A" w:rsidRDefault="008D24A6" w:rsidP="008D24A6">
            <w:pPr>
              <w:rPr>
                <w:rFonts w:ascii="Times New Roman" w:hAnsi="Times New Roman"/>
                <w:b/>
                <w:sz w:val="24"/>
                <w:u w:val="single"/>
              </w:rPr>
            </w:pPr>
            <w:r w:rsidRPr="00E07C9A">
              <w:rPr>
                <w:rFonts w:ascii="Times New Roman" w:hAnsi="Times New Roman"/>
                <w:b/>
                <w:sz w:val="24"/>
                <w:u w:val="single"/>
              </w:rPr>
              <w:t>VÝŠKA OČAKÁVANEJ STRATY</w:t>
            </w:r>
          </w:p>
          <w:p w14:paraId="5AE1BAE7" w14:textId="4E317AC3" w:rsidR="008D24A6" w:rsidRPr="00E07C9A" w:rsidRDefault="008D24A6" w:rsidP="002F11F3">
            <w:pPr>
              <w:jc w:val="left"/>
              <w:rPr>
                <w:rFonts w:ascii="Times New Roman" w:hAnsi="Times New Roman"/>
                <w:sz w:val="24"/>
              </w:rPr>
            </w:pPr>
            <w:r w:rsidRPr="00E07C9A">
              <w:rPr>
                <w:rFonts w:ascii="Times New Roman" w:hAnsi="Times New Roman"/>
                <w:sz w:val="24"/>
              </w:rPr>
              <w:t>Pokiaľ ide</w:t>
            </w:r>
            <w:r w:rsidR="009912F8" w:rsidRPr="00E07C9A">
              <w:rPr>
                <w:rFonts w:ascii="Times New Roman" w:hAnsi="Times New Roman"/>
                <w:sz w:val="24"/>
              </w:rPr>
              <w:t xml:space="preserve"> o </w:t>
            </w:r>
            <w:r w:rsidRPr="00E07C9A">
              <w:rPr>
                <w:rFonts w:ascii="Times New Roman" w:hAnsi="Times New Roman"/>
                <w:sz w:val="24"/>
              </w:rPr>
              <w:t xml:space="preserve">vymedzenie očakávanej straty, pozri článok 5 ods. 3 nariadenia (EÚ) </w:t>
            </w:r>
            <w:r w:rsidR="009912F8" w:rsidRPr="00E07C9A">
              <w:rPr>
                <w:rFonts w:ascii="Times New Roman" w:hAnsi="Times New Roman"/>
                <w:sz w:val="24"/>
              </w:rPr>
              <w:t>č. 575/2013</w:t>
            </w:r>
            <w:r w:rsidRPr="00E07C9A">
              <w:rPr>
                <w:rFonts w:ascii="Times New Roman" w:hAnsi="Times New Roman"/>
                <w:sz w:val="24"/>
              </w:rPr>
              <w:t>,</w:t>
            </w:r>
            <w:r w:rsidR="009912F8" w:rsidRPr="00E07C9A">
              <w:rPr>
                <w:rFonts w:ascii="Times New Roman" w:hAnsi="Times New Roman"/>
                <w:sz w:val="24"/>
              </w:rPr>
              <w:t xml:space="preserve"> a </w:t>
            </w:r>
            <w:r w:rsidRPr="00E07C9A">
              <w:rPr>
                <w:rFonts w:ascii="Times New Roman" w:hAnsi="Times New Roman"/>
                <w:sz w:val="24"/>
              </w:rPr>
              <w:t>pokiaľ ide</w:t>
            </w:r>
            <w:r w:rsidR="009912F8" w:rsidRPr="00E07C9A">
              <w:rPr>
                <w:rFonts w:ascii="Times New Roman" w:hAnsi="Times New Roman"/>
                <w:sz w:val="24"/>
              </w:rPr>
              <w:t xml:space="preserve"> o </w:t>
            </w:r>
            <w:r w:rsidRPr="00E07C9A">
              <w:rPr>
                <w:rFonts w:ascii="Times New Roman" w:hAnsi="Times New Roman"/>
                <w:sz w:val="24"/>
              </w:rPr>
              <w:t>výpočet výšky očakávanej straty, pozri článok 158 uvedeného nariadenia.</w:t>
            </w:r>
            <w:r w:rsidR="009912F8" w:rsidRPr="00E07C9A">
              <w:rPr>
                <w:rFonts w:ascii="Times New Roman" w:hAnsi="Times New Roman"/>
                <w:sz w:val="24"/>
              </w:rPr>
              <w:t xml:space="preserve"> V </w:t>
            </w:r>
            <w:r w:rsidRPr="00E07C9A">
              <w:rPr>
                <w:rFonts w:ascii="Times New Roman" w:hAnsi="Times New Roman"/>
                <w:sz w:val="24"/>
              </w:rPr>
              <w:t>prípade expozícií</w:t>
            </w:r>
            <w:r w:rsidR="009912F8" w:rsidRPr="00E07C9A">
              <w:rPr>
                <w:rFonts w:ascii="Times New Roman" w:hAnsi="Times New Roman"/>
                <w:sz w:val="24"/>
              </w:rPr>
              <w:t xml:space="preserve"> v </w:t>
            </w:r>
            <w:r w:rsidRPr="00E07C9A">
              <w:rPr>
                <w:rFonts w:ascii="Times New Roman" w:hAnsi="Times New Roman"/>
                <w:sz w:val="24"/>
              </w:rPr>
              <w:t xml:space="preserve">stave zlyhania pozri článok 181 ods. 1 písm. h) nariadenia (EÚ) </w:t>
            </w:r>
            <w:r w:rsidR="009912F8" w:rsidRPr="00E07C9A">
              <w:rPr>
                <w:rFonts w:ascii="Times New Roman" w:hAnsi="Times New Roman"/>
                <w:sz w:val="24"/>
              </w:rPr>
              <w:t>č. 575/2013</w:t>
            </w:r>
            <w:r w:rsidRPr="00E07C9A">
              <w:rPr>
                <w:rFonts w:ascii="Times New Roman" w:hAnsi="Times New Roman"/>
                <w:sz w:val="24"/>
              </w:rPr>
              <w:t>. Vykazovaná výška očakávanej straty je založená na parametroch rizika, ktoré sa skutočne používajú</w:t>
            </w:r>
            <w:r w:rsidR="009912F8" w:rsidRPr="00E07C9A">
              <w:rPr>
                <w:rFonts w:ascii="Times New Roman" w:hAnsi="Times New Roman"/>
                <w:sz w:val="24"/>
              </w:rPr>
              <w:t xml:space="preserve"> v </w:t>
            </w:r>
            <w:r w:rsidRPr="00E07C9A">
              <w:rPr>
                <w:rFonts w:ascii="Times New Roman" w:hAnsi="Times New Roman"/>
                <w:sz w:val="24"/>
              </w:rPr>
              <w:t>internej ratingovej stupnici schválenej dotknutým príslušným orgánom.</w:t>
            </w:r>
          </w:p>
        </w:tc>
      </w:tr>
      <w:tr w:rsidR="008D24A6" w:rsidRPr="00E07C9A" w14:paraId="06D27638" w14:textId="77777777" w:rsidTr="00672D2A">
        <w:tc>
          <w:tcPr>
            <w:tcW w:w="1188" w:type="dxa"/>
          </w:tcPr>
          <w:p w14:paraId="5348137A" w14:textId="77777777" w:rsidR="008D24A6" w:rsidRPr="00E07C9A" w:rsidRDefault="001452FC" w:rsidP="008D24A6">
            <w:pPr>
              <w:rPr>
                <w:rFonts w:ascii="Times New Roman" w:hAnsi="Times New Roman"/>
                <w:sz w:val="24"/>
              </w:rPr>
            </w:pPr>
            <w:r w:rsidRPr="00E07C9A">
              <w:rPr>
                <w:rFonts w:ascii="Times New Roman" w:hAnsi="Times New Roman"/>
                <w:sz w:val="24"/>
              </w:rPr>
              <w:t>0290</w:t>
            </w:r>
          </w:p>
        </w:tc>
        <w:tc>
          <w:tcPr>
            <w:tcW w:w="8843" w:type="dxa"/>
          </w:tcPr>
          <w:p w14:paraId="0F2018D3" w14:textId="77777777" w:rsidR="008D24A6" w:rsidRPr="00E07C9A" w:rsidRDefault="008D24A6" w:rsidP="008D24A6">
            <w:pPr>
              <w:rPr>
                <w:rFonts w:ascii="Times New Roman" w:hAnsi="Times New Roman"/>
                <w:b/>
                <w:sz w:val="24"/>
                <w:u w:val="single"/>
              </w:rPr>
            </w:pPr>
            <w:r w:rsidRPr="00E07C9A">
              <w:rPr>
                <w:rFonts w:ascii="Times New Roman" w:hAnsi="Times New Roman"/>
                <w:b/>
                <w:sz w:val="24"/>
                <w:u w:val="single"/>
              </w:rPr>
              <w:t>(–) ÚPRAVY OCENENIA A REZERVY</w:t>
            </w:r>
          </w:p>
          <w:p w14:paraId="5D650089" w14:textId="28FDC4C8" w:rsidR="008D24A6" w:rsidRPr="00E07C9A" w:rsidRDefault="008D24A6" w:rsidP="008D24A6">
            <w:pPr>
              <w:rPr>
                <w:rFonts w:ascii="Times New Roman" w:hAnsi="Times New Roman"/>
                <w:sz w:val="24"/>
              </w:rPr>
            </w:pPr>
            <w:r w:rsidRPr="00E07C9A">
              <w:rPr>
                <w:rFonts w:ascii="Times New Roman" w:hAnsi="Times New Roman"/>
                <w:sz w:val="24"/>
              </w:rPr>
              <w:t>Vykazujú sa úpravy ocenenia, ako aj špecifické</w:t>
            </w:r>
            <w:r w:rsidR="009912F8" w:rsidRPr="00E07C9A">
              <w:rPr>
                <w:rFonts w:ascii="Times New Roman" w:hAnsi="Times New Roman"/>
                <w:sz w:val="24"/>
              </w:rPr>
              <w:t xml:space="preserve"> a </w:t>
            </w:r>
            <w:r w:rsidRPr="00E07C9A">
              <w:rPr>
                <w:rFonts w:ascii="Times New Roman" w:hAnsi="Times New Roman"/>
                <w:sz w:val="24"/>
              </w:rPr>
              <w:t>všeobecné úpravy kreditného rizika</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159 nariadenia (EÚ) </w:t>
            </w:r>
            <w:r w:rsidR="009912F8" w:rsidRPr="00E07C9A">
              <w:rPr>
                <w:rFonts w:ascii="Times New Roman" w:hAnsi="Times New Roman"/>
                <w:sz w:val="24"/>
              </w:rPr>
              <w:t>č. 575/2013</w:t>
            </w:r>
            <w:r w:rsidRPr="00E07C9A">
              <w:rPr>
                <w:rFonts w:ascii="Times New Roman" w:hAnsi="Times New Roman"/>
                <w:sz w:val="24"/>
              </w:rPr>
              <w:t>. Všeobecné</w:t>
            </w:r>
            <w:r w:rsidRPr="00E07C9A">
              <w:rPr>
                <w:rFonts w:ascii="Times New Roman" w:hAnsi="Times New Roman"/>
                <w:b/>
                <w:i/>
                <w:sz w:val="24"/>
              </w:rPr>
              <w:t xml:space="preserve"> </w:t>
            </w:r>
            <w:r w:rsidRPr="00E07C9A">
              <w:rPr>
                <w:rFonts w:ascii="Times New Roman" w:hAnsi="Times New Roman"/>
                <w:sz w:val="24"/>
              </w:rPr>
              <w:t>úpravy kreditného rizika sa vykazujú zaradením na pomernom základe podľa očakávanej straty rôznych ratingových stupňov dlžníkov.</w:t>
            </w:r>
          </w:p>
        </w:tc>
      </w:tr>
      <w:tr w:rsidR="008D24A6" w:rsidRPr="00E07C9A" w14:paraId="4128150E" w14:textId="77777777" w:rsidTr="00672D2A">
        <w:tc>
          <w:tcPr>
            <w:tcW w:w="1188" w:type="dxa"/>
          </w:tcPr>
          <w:p w14:paraId="530DEBC7" w14:textId="77777777" w:rsidR="008D24A6" w:rsidRPr="00E07C9A" w:rsidRDefault="001452FC" w:rsidP="008D24A6">
            <w:pPr>
              <w:ind w:right="-288"/>
              <w:rPr>
                <w:rFonts w:ascii="Times New Roman" w:hAnsi="Times New Roman"/>
                <w:sz w:val="24"/>
              </w:rPr>
            </w:pPr>
            <w:r w:rsidRPr="00E07C9A">
              <w:rPr>
                <w:rFonts w:ascii="Times New Roman" w:hAnsi="Times New Roman"/>
                <w:sz w:val="24"/>
              </w:rPr>
              <w:t>0300</w:t>
            </w:r>
          </w:p>
        </w:tc>
        <w:tc>
          <w:tcPr>
            <w:tcW w:w="8843" w:type="dxa"/>
          </w:tcPr>
          <w:p w14:paraId="581B1C4A" w14:textId="77777777" w:rsidR="008D24A6" w:rsidRPr="00E07C9A" w:rsidRDefault="008D24A6" w:rsidP="008D24A6">
            <w:pPr>
              <w:ind w:right="-288"/>
              <w:rPr>
                <w:rFonts w:ascii="Times New Roman" w:hAnsi="Times New Roman"/>
                <w:b/>
                <w:sz w:val="24"/>
                <w:u w:val="single"/>
              </w:rPr>
            </w:pPr>
            <w:r w:rsidRPr="00E07C9A">
              <w:rPr>
                <w:rFonts w:ascii="Times New Roman" w:hAnsi="Times New Roman"/>
                <w:b/>
                <w:sz w:val="24"/>
                <w:u w:val="single"/>
              </w:rPr>
              <w:t>POČET DLŽNÍKOV</w:t>
            </w:r>
          </w:p>
          <w:p w14:paraId="23192B69" w14:textId="190F5059" w:rsidR="008D24A6" w:rsidRPr="00E07C9A" w:rsidRDefault="008D24A6" w:rsidP="008D24A6">
            <w:pPr>
              <w:rPr>
                <w:rFonts w:ascii="Times New Roman" w:hAnsi="Times New Roman"/>
                <w:sz w:val="24"/>
              </w:rPr>
            </w:pPr>
            <w:r w:rsidRPr="00E07C9A">
              <w:rPr>
                <w:rFonts w:ascii="Times New Roman" w:hAnsi="Times New Roman"/>
                <w:sz w:val="24"/>
              </w:rPr>
              <w:t>Článok 172 ods. 1</w:t>
            </w:r>
            <w:r w:rsidR="009912F8" w:rsidRPr="00E07C9A">
              <w:rPr>
                <w:rFonts w:ascii="Times New Roman" w:hAnsi="Times New Roman"/>
                <w:sz w:val="24"/>
              </w:rPr>
              <w:t xml:space="preserve"> a </w:t>
            </w:r>
            <w:r w:rsidRPr="00E07C9A">
              <w:rPr>
                <w:rFonts w:ascii="Times New Roman" w:hAnsi="Times New Roman"/>
                <w:sz w:val="24"/>
              </w:rPr>
              <w:t xml:space="preserve">2 nariadenia (EÚ) </w:t>
            </w:r>
            <w:r w:rsidR="009912F8" w:rsidRPr="00E07C9A">
              <w:rPr>
                <w:rFonts w:ascii="Times New Roman" w:hAnsi="Times New Roman"/>
                <w:sz w:val="24"/>
              </w:rPr>
              <w:t>č. 575/2013</w:t>
            </w:r>
          </w:p>
          <w:p w14:paraId="265CACAA" w14:textId="7C7FE6B2" w:rsidR="009912F8" w:rsidRPr="00E07C9A" w:rsidRDefault="008D24A6" w:rsidP="008D24A6">
            <w:pPr>
              <w:rPr>
                <w:rFonts w:ascii="Times New Roman" w:hAnsi="Times New Roman"/>
                <w:sz w:val="24"/>
              </w:rPr>
            </w:pPr>
            <w:r w:rsidRPr="00E07C9A">
              <w:rPr>
                <w:rFonts w:ascii="Times New Roman" w:hAnsi="Times New Roman"/>
                <w:sz w:val="24"/>
              </w:rPr>
              <w:t>Inštitúcia vykazuje pre všetky triedy expozícií okrem triedy expozícií retail</w:t>
            </w:r>
            <w:r w:rsidR="009912F8" w:rsidRPr="00E07C9A">
              <w:rPr>
                <w:rFonts w:ascii="Times New Roman" w:hAnsi="Times New Roman"/>
                <w:sz w:val="24"/>
              </w:rPr>
              <w:t xml:space="preserve"> a </w:t>
            </w:r>
            <w:r w:rsidRPr="00E07C9A">
              <w:rPr>
                <w:rFonts w:ascii="Times New Roman" w:hAnsi="Times New Roman"/>
                <w:sz w:val="24"/>
              </w:rPr>
              <w:t>prípadov uvedených</w:t>
            </w:r>
            <w:r w:rsidR="009912F8" w:rsidRPr="00E07C9A">
              <w:rPr>
                <w:rFonts w:ascii="Times New Roman" w:hAnsi="Times New Roman"/>
                <w:sz w:val="24"/>
              </w:rPr>
              <w:t xml:space="preserve"> v </w:t>
            </w:r>
            <w:r w:rsidRPr="00E07C9A">
              <w:rPr>
                <w:rFonts w:ascii="Times New Roman" w:hAnsi="Times New Roman"/>
                <w:sz w:val="24"/>
              </w:rPr>
              <w:t xml:space="preserve">článku 172 ods. 1 písm. e) druhej vete nariadenia (EÚ) </w:t>
            </w:r>
            <w:r w:rsidR="009912F8" w:rsidRPr="00E07C9A">
              <w:rPr>
                <w:rFonts w:ascii="Times New Roman" w:hAnsi="Times New Roman"/>
                <w:sz w:val="24"/>
              </w:rPr>
              <w:t>č. 575/2013</w:t>
            </w:r>
            <w:r w:rsidRPr="00E07C9A">
              <w:rPr>
                <w:rFonts w:ascii="Times New Roman" w:hAnsi="Times New Roman"/>
                <w:sz w:val="24"/>
              </w:rPr>
              <w:t xml:space="preserve"> počet právnych subjektov/dlžníkov, pre ktorých sa jednotlivo vykonalo ratingové hodnotenie, bez ohľadu na počet jednotlivých poskytnutých úverov alebo expozícií</w:t>
            </w:r>
            <w:r w:rsidR="009912F8" w:rsidRPr="00E07C9A">
              <w:rPr>
                <w:rFonts w:ascii="Times New Roman" w:hAnsi="Times New Roman"/>
                <w:sz w:val="24"/>
              </w:rPr>
              <w:t>.</w:t>
            </w:r>
          </w:p>
          <w:p w14:paraId="67B0C1B2" w14:textId="05B55C33" w:rsidR="008D24A6" w:rsidRPr="00E07C9A" w:rsidRDefault="008D24A6" w:rsidP="008D24A6">
            <w:pPr>
              <w:rPr>
                <w:rFonts w:ascii="Times New Roman" w:hAnsi="Times New Roman"/>
                <w:sz w:val="24"/>
              </w:rPr>
            </w:pPr>
            <w:r w:rsidRPr="00E07C9A">
              <w:rPr>
                <w:rFonts w:ascii="Times New Roman" w:hAnsi="Times New Roman"/>
                <w:sz w:val="24"/>
              </w:rPr>
              <w:t>V rámci triedy expozícií retail alebo ak sa samostatné expozície voči tomu istému dlžníkovi zaradia do rôznych ratingových stupňov dlžníkov</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172 ods. 1 písm. e) druhou vetou nariadenia (EÚ) </w:t>
            </w:r>
            <w:r w:rsidR="009912F8" w:rsidRPr="00E07C9A">
              <w:rPr>
                <w:rFonts w:ascii="Times New Roman" w:hAnsi="Times New Roman"/>
                <w:sz w:val="24"/>
              </w:rPr>
              <w:t>č. 575/2013 v </w:t>
            </w:r>
            <w:r w:rsidRPr="00E07C9A">
              <w:rPr>
                <w:rFonts w:ascii="Times New Roman" w:hAnsi="Times New Roman"/>
                <w:sz w:val="24"/>
              </w:rPr>
              <w:t>iných triedach expozícií, inštitúcia vykazuje počet expozícií, ktoré boli samostatne zaradené do určitého ratingového stupňa alebo skupiny.</w:t>
            </w:r>
            <w:r w:rsidR="009912F8" w:rsidRPr="00E07C9A">
              <w:rPr>
                <w:rFonts w:ascii="Times New Roman" w:hAnsi="Times New Roman"/>
                <w:sz w:val="24"/>
              </w:rPr>
              <w:t xml:space="preserve"> V </w:t>
            </w:r>
            <w:r w:rsidRPr="00E07C9A">
              <w:rPr>
                <w:rFonts w:ascii="Times New Roman" w:hAnsi="Times New Roman"/>
                <w:sz w:val="24"/>
              </w:rPr>
              <w:t xml:space="preserve">prípade, že sa uplatňuje článok 172 ods. 2 nariadenia (EÚ) </w:t>
            </w:r>
            <w:r w:rsidR="009912F8" w:rsidRPr="00E07C9A">
              <w:rPr>
                <w:rFonts w:ascii="Times New Roman" w:hAnsi="Times New Roman"/>
                <w:sz w:val="24"/>
              </w:rPr>
              <w:t>č. 575/2013</w:t>
            </w:r>
            <w:r w:rsidRPr="00E07C9A">
              <w:rPr>
                <w:rFonts w:ascii="Times New Roman" w:hAnsi="Times New Roman"/>
                <w:sz w:val="24"/>
              </w:rPr>
              <w:t>, dlžník môže byť zaradený do viacerých stupňov.</w:t>
            </w:r>
          </w:p>
          <w:p w14:paraId="0303BAF6" w14:textId="545CE3DC" w:rsidR="008D24A6" w:rsidRPr="00E07C9A" w:rsidRDefault="008D24A6" w:rsidP="008D24A6">
            <w:pPr>
              <w:rPr>
                <w:rFonts w:ascii="Times New Roman" w:hAnsi="Times New Roman"/>
                <w:sz w:val="24"/>
              </w:rPr>
            </w:pPr>
            <w:r w:rsidRPr="00E07C9A">
              <w:rPr>
                <w:rStyle w:val="InstructionsTabelleText"/>
                <w:rFonts w:ascii="Times New Roman" w:hAnsi="Times New Roman"/>
                <w:sz w:val="24"/>
              </w:rPr>
              <w:t>Keďže</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tomto stĺpci ide</w:t>
            </w:r>
            <w:r w:rsidR="009912F8" w:rsidRPr="00E07C9A">
              <w:rPr>
                <w:rStyle w:val="InstructionsTabelleText"/>
                <w:rFonts w:ascii="Times New Roman" w:hAnsi="Times New Roman"/>
                <w:sz w:val="24"/>
              </w:rPr>
              <w:t xml:space="preserve"> o </w:t>
            </w:r>
            <w:r w:rsidRPr="00E07C9A">
              <w:rPr>
                <w:rStyle w:val="InstructionsTabelleText"/>
                <w:rFonts w:ascii="Times New Roman" w:hAnsi="Times New Roman"/>
                <w:sz w:val="24"/>
              </w:rPr>
              <w:t>prvok štruktúry ratingových stupníc, týka sa pôvodných expozícií pred uplatnením konverzného faktora priradeného každému ratingovému stupňu alebo skupine dlžníkov bez zohľadnenia účinku postupov zmierňovania kreditného rizika (najmä účinkov preradenia).</w:t>
            </w:r>
          </w:p>
        </w:tc>
      </w:tr>
      <w:tr w:rsidR="004D45AA" w:rsidRPr="00E07C9A" w14:paraId="79F3D994" w14:textId="77777777" w:rsidTr="00672D2A">
        <w:tc>
          <w:tcPr>
            <w:tcW w:w="1188" w:type="dxa"/>
          </w:tcPr>
          <w:p w14:paraId="39BCA1F1" w14:textId="77777777" w:rsidR="004D45AA" w:rsidRPr="00E07C9A" w:rsidRDefault="001452FC" w:rsidP="004D45AA">
            <w:pPr>
              <w:ind w:right="-288"/>
              <w:rPr>
                <w:rFonts w:ascii="Times New Roman" w:hAnsi="Times New Roman"/>
                <w:sz w:val="24"/>
              </w:rPr>
            </w:pPr>
            <w:r w:rsidRPr="00E07C9A">
              <w:rPr>
                <w:rFonts w:ascii="Times New Roman" w:hAnsi="Times New Roman"/>
                <w:sz w:val="24"/>
              </w:rPr>
              <w:t>0310</w:t>
            </w:r>
          </w:p>
        </w:tc>
        <w:tc>
          <w:tcPr>
            <w:tcW w:w="8843" w:type="dxa"/>
          </w:tcPr>
          <w:p w14:paraId="149D5B97" w14:textId="77777777" w:rsidR="004D45AA" w:rsidRPr="00E07C9A" w:rsidRDefault="004D45AA" w:rsidP="004D45AA">
            <w:pPr>
              <w:ind w:right="-288"/>
              <w:rPr>
                <w:rFonts w:ascii="Times New Roman" w:hAnsi="Times New Roman"/>
                <w:b/>
                <w:sz w:val="24"/>
                <w:u w:val="single"/>
              </w:rPr>
            </w:pPr>
            <w:r w:rsidRPr="00E07C9A">
              <w:rPr>
                <w:rFonts w:ascii="Times New Roman" w:hAnsi="Times New Roman"/>
                <w:b/>
                <w:sz w:val="24"/>
                <w:u w:val="single"/>
              </w:rPr>
              <w:t>HODNOTA RIZIKOVO VÁŽENEJ EXPOZÍCIE PRED UZNANÍM KREDITNÝCH DERIVÁTOV</w:t>
            </w:r>
          </w:p>
          <w:p w14:paraId="73CF7CCE" w14:textId="7A9E6E5C" w:rsidR="004D45AA" w:rsidRPr="00E07C9A" w:rsidRDefault="00BC61F2" w:rsidP="00974F0C">
            <w:pPr>
              <w:ind w:right="6"/>
              <w:rPr>
                <w:rFonts w:ascii="Times New Roman" w:hAnsi="Times New Roman"/>
                <w:b/>
                <w:sz w:val="24"/>
                <w:u w:val="single"/>
              </w:rPr>
            </w:pPr>
            <w:r w:rsidRPr="00E07C9A">
              <w:rPr>
                <w:rStyle w:val="InstructionsTabelleText"/>
                <w:rFonts w:ascii="Times New Roman" w:hAnsi="Times New Roman"/>
                <w:sz w:val="24"/>
              </w:rPr>
              <w:t>Inštitúcie vykazujú hypotetickú hodnotu rizikovo váženej expozície, ktorá sa vypočítava ako RWEA bez uznania oprávneného kreditného derivátu ako postupu zmierňovania kreditného rizika, ako sa uvádza</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článku 204</w:t>
            </w:r>
            <w:r w:rsidRPr="00E07C9A">
              <w:rPr>
                <w:rFonts w:ascii="Times New Roman" w:hAnsi="Times New Roman"/>
                <w:sz w:val="24"/>
              </w:rPr>
              <w:t xml:space="preserve"> nariadenia (EÚ) </w:t>
            </w:r>
            <w:r w:rsidR="009912F8" w:rsidRPr="00E07C9A">
              <w:rPr>
                <w:rFonts w:ascii="Times New Roman" w:hAnsi="Times New Roman"/>
                <w:sz w:val="24"/>
              </w:rPr>
              <w:t>č. 575/2013</w:t>
            </w:r>
            <w:r w:rsidRPr="00E07C9A">
              <w:rPr>
                <w:rStyle w:val="InstructionsTabelleText"/>
                <w:rFonts w:ascii="Times New Roman" w:hAnsi="Times New Roman"/>
                <w:sz w:val="24"/>
              </w:rPr>
              <w:t>. Hodnoty sa uvádzajú</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triedach expozícií, ktoré sú relevantné pre expozície voči pôvodnému dlžníkovi.</w:t>
            </w:r>
          </w:p>
        </w:tc>
      </w:tr>
    </w:tbl>
    <w:p w14:paraId="1AEEEE97" w14:textId="77777777" w:rsidR="001C7AB7" w:rsidRPr="00E07C9A" w:rsidRDefault="001C7AB7" w:rsidP="001C7AB7">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1C7AB7" w:rsidRPr="00E07C9A" w14:paraId="16C33D2F" w14:textId="77777777" w:rsidTr="00672D2A">
        <w:tc>
          <w:tcPr>
            <w:tcW w:w="1242" w:type="dxa"/>
            <w:shd w:val="clear" w:color="auto" w:fill="CCCCCC"/>
          </w:tcPr>
          <w:p w14:paraId="5B43D904" w14:textId="77777777" w:rsidR="001C7AB7" w:rsidRPr="00E07C9A" w:rsidRDefault="001C7AB7" w:rsidP="001C7AB7">
            <w:pPr>
              <w:rPr>
                <w:rFonts w:ascii="Times New Roman" w:hAnsi="Times New Roman"/>
                <w:sz w:val="24"/>
              </w:rPr>
            </w:pPr>
            <w:r w:rsidRPr="00E07C9A">
              <w:rPr>
                <w:rFonts w:ascii="Times New Roman" w:hAnsi="Times New Roman"/>
                <w:sz w:val="24"/>
              </w:rPr>
              <w:t>Riadky</w:t>
            </w:r>
          </w:p>
        </w:tc>
        <w:tc>
          <w:tcPr>
            <w:tcW w:w="8789" w:type="dxa"/>
            <w:shd w:val="clear" w:color="auto" w:fill="CCCCCC"/>
          </w:tcPr>
          <w:p w14:paraId="54E95734" w14:textId="77777777" w:rsidR="001C7AB7" w:rsidRPr="00E07C9A" w:rsidRDefault="001C7AB7" w:rsidP="001C7AB7">
            <w:pPr>
              <w:ind w:left="72"/>
              <w:rPr>
                <w:rFonts w:ascii="Times New Roman" w:hAnsi="Times New Roman"/>
                <w:sz w:val="24"/>
              </w:rPr>
            </w:pPr>
            <w:r w:rsidRPr="00E07C9A">
              <w:rPr>
                <w:rFonts w:ascii="Times New Roman" w:hAnsi="Times New Roman"/>
                <w:sz w:val="24"/>
              </w:rPr>
              <w:t>Pokyny</w:t>
            </w:r>
          </w:p>
        </w:tc>
      </w:tr>
      <w:tr w:rsidR="001C7AB7" w:rsidRPr="00E07C9A" w14:paraId="2CC5EB5C" w14:textId="77777777" w:rsidTr="00672D2A">
        <w:tc>
          <w:tcPr>
            <w:tcW w:w="1242" w:type="dxa"/>
          </w:tcPr>
          <w:p w14:paraId="5B0EFF00" w14:textId="77777777" w:rsidR="001C7AB7" w:rsidRPr="00E07C9A" w:rsidRDefault="001452FC" w:rsidP="001C7AB7">
            <w:pPr>
              <w:rPr>
                <w:rFonts w:ascii="Times New Roman" w:hAnsi="Times New Roman"/>
                <w:sz w:val="24"/>
              </w:rPr>
            </w:pPr>
            <w:r w:rsidRPr="00E07C9A">
              <w:rPr>
                <w:rFonts w:ascii="Times New Roman" w:hAnsi="Times New Roman"/>
                <w:sz w:val="24"/>
              </w:rPr>
              <w:t>0010</w:t>
            </w:r>
          </w:p>
        </w:tc>
        <w:tc>
          <w:tcPr>
            <w:tcW w:w="8789" w:type="dxa"/>
          </w:tcPr>
          <w:p w14:paraId="6959956A" w14:textId="77777777" w:rsidR="00284A6D" w:rsidRPr="00E07C9A" w:rsidRDefault="001C7AB7" w:rsidP="004D45AA">
            <w:pPr>
              <w:rPr>
                <w:rFonts w:ascii="Times New Roman" w:hAnsi="Times New Roman"/>
                <w:sz w:val="24"/>
              </w:rPr>
            </w:pPr>
            <w:r w:rsidRPr="00E07C9A">
              <w:rPr>
                <w:rFonts w:ascii="Times New Roman" w:hAnsi="Times New Roman"/>
                <w:b/>
                <w:sz w:val="24"/>
                <w:u w:val="single"/>
              </w:rPr>
              <w:t>CELKOVÉ EXPOZÍCIE</w:t>
            </w:r>
          </w:p>
        </w:tc>
      </w:tr>
      <w:tr w:rsidR="00785F3E" w:rsidRPr="00E07C9A" w14:paraId="510A255C" w14:textId="77777777" w:rsidTr="00672D2A">
        <w:tc>
          <w:tcPr>
            <w:tcW w:w="1242" w:type="dxa"/>
          </w:tcPr>
          <w:p w14:paraId="3FE2F8D2" w14:textId="77777777" w:rsidR="00785F3E" w:rsidRPr="00E07C9A" w:rsidRDefault="003C3168" w:rsidP="001C7AB7">
            <w:pPr>
              <w:rPr>
                <w:rFonts w:ascii="Times New Roman" w:hAnsi="Times New Roman"/>
                <w:sz w:val="24"/>
              </w:rPr>
            </w:pPr>
            <w:r w:rsidRPr="00E07C9A">
              <w:rPr>
                <w:rFonts w:ascii="Times New Roman" w:hAnsi="Times New Roman"/>
                <w:sz w:val="24"/>
              </w:rPr>
              <w:t>0015</w:t>
            </w:r>
          </w:p>
        </w:tc>
        <w:tc>
          <w:tcPr>
            <w:tcW w:w="8789" w:type="dxa"/>
          </w:tcPr>
          <w:p w14:paraId="01706650" w14:textId="77777777" w:rsidR="00785F3E" w:rsidRPr="00E07C9A" w:rsidRDefault="00785F3E" w:rsidP="00785F3E">
            <w:pPr>
              <w:rPr>
                <w:rFonts w:ascii="Times New Roman" w:hAnsi="Times New Roman"/>
                <w:b/>
                <w:sz w:val="24"/>
                <w:u w:val="single"/>
              </w:rPr>
            </w:pPr>
            <w:r w:rsidRPr="00E07C9A">
              <w:rPr>
                <w:rFonts w:ascii="Times New Roman" w:hAnsi="Times New Roman"/>
                <w:b/>
                <w:sz w:val="24"/>
                <w:u w:val="single"/>
              </w:rPr>
              <w:t>z čoho: expozície, na ktoré sa uplatňuje faktor na podporu MSP</w:t>
            </w:r>
          </w:p>
          <w:p w14:paraId="5011AC41" w14:textId="3CDD340C" w:rsidR="00785F3E" w:rsidRPr="00E07C9A" w:rsidRDefault="00785F3E" w:rsidP="00785F3E">
            <w:pPr>
              <w:rPr>
                <w:rFonts w:ascii="Times New Roman" w:hAnsi="Times New Roman"/>
                <w:sz w:val="24"/>
              </w:rPr>
            </w:pPr>
            <w:r w:rsidRPr="00E07C9A">
              <w:rPr>
                <w:rFonts w:ascii="Times New Roman" w:hAnsi="Times New Roman"/>
                <w:sz w:val="24"/>
              </w:rPr>
              <w:t xml:space="preserve">Vykazujú sa tu len expozície, ktoré spĺňajú požiadavky článku 501 nariadenia (EÚ) </w:t>
            </w:r>
            <w:r w:rsidR="009912F8" w:rsidRPr="00E07C9A">
              <w:rPr>
                <w:rFonts w:ascii="Times New Roman" w:hAnsi="Times New Roman"/>
                <w:sz w:val="24"/>
              </w:rPr>
              <w:t>č. 575/2013</w:t>
            </w:r>
            <w:r w:rsidRPr="00E07C9A">
              <w:rPr>
                <w:rFonts w:ascii="Times New Roman" w:hAnsi="Times New Roman"/>
                <w:sz w:val="24"/>
              </w:rPr>
              <w:t>.</w:t>
            </w:r>
          </w:p>
        </w:tc>
      </w:tr>
      <w:tr w:rsidR="004D45AA" w:rsidRPr="00E07C9A" w14:paraId="08A6DC9E" w14:textId="77777777" w:rsidTr="00672D2A">
        <w:tc>
          <w:tcPr>
            <w:tcW w:w="1242" w:type="dxa"/>
          </w:tcPr>
          <w:p w14:paraId="0D48275F" w14:textId="77777777" w:rsidR="004D45AA" w:rsidRPr="00E07C9A" w:rsidRDefault="004D45AA" w:rsidP="004D45AA">
            <w:pPr>
              <w:rPr>
                <w:rFonts w:ascii="Times New Roman" w:hAnsi="Times New Roman"/>
                <w:sz w:val="24"/>
              </w:rPr>
            </w:pPr>
            <w:r w:rsidRPr="00E07C9A">
              <w:rPr>
                <w:rFonts w:ascii="Times New Roman" w:hAnsi="Times New Roman"/>
                <w:sz w:val="24"/>
              </w:rPr>
              <w:t>0016</w:t>
            </w:r>
          </w:p>
        </w:tc>
        <w:tc>
          <w:tcPr>
            <w:tcW w:w="8789" w:type="dxa"/>
          </w:tcPr>
          <w:p w14:paraId="241B1F09" w14:textId="77777777" w:rsidR="004D45AA" w:rsidRPr="00E07C9A" w:rsidRDefault="004D45AA" w:rsidP="004D45AA">
            <w:pPr>
              <w:rPr>
                <w:rFonts w:ascii="Times New Roman" w:hAnsi="Times New Roman"/>
                <w:b/>
                <w:sz w:val="24"/>
                <w:u w:val="single"/>
              </w:rPr>
            </w:pPr>
            <w:r w:rsidRPr="00E07C9A">
              <w:rPr>
                <w:rFonts w:ascii="Times New Roman" w:hAnsi="Times New Roman"/>
                <w:b/>
                <w:sz w:val="24"/>
                <w:u w:val="single"/>
              </w:rPr>
              <w:t>z čoho: expozície, na ktoré sa uplatňuje faktor na podporu infraštruktúry</w:t>
            </w:r>
          </w:p>
          <w:p w14:paraId="3F826699" w14:textId="7E0BDB80" w:rsidR="004D45AA" w:rsidRPr="00E07C9A" w:rsidRDefault="004D45AA" w:rsidP="004D45AA">
            <w:pPr>
              <w:rPr>
                <w:rFonts w:ascii="Times New Roman" w:hAnsi="Times New Roman"/>
                <w:b/>
                <w:sz w:val="24"/>
                <w:u w:val="single"/>
              </w:rPr>
            </w:pPr>
            <w:r w:rsidRPr="00E07C9A">
              <w:rPr>
                <w:rFonts w:ascii="Times New Roman" w:hAnsi="Times New Roman"/>
                <w:sz w:val="24"/>
              </w:rPr>
              <w:t xml:space="preserve">Vykazujú sa tu len expozície, ktoré spĺňajú požiadavky článku 501a nariadenia (EÚ) </w:t>
            </w:r>
            <w:r w:rsidR="009912F8" w:rsidRPr="00E07C9A">
              <w:rPr>
                <w:rFonts w:ascii="Times New Roman" w:hAnsi="Times New Roman"/>
                <w:sz w:val="24"/>
              </w:rPr>
              <w:t>č. 575/2013</w:t>
            </w:r>
            <w:r w:rsidRPr="00E07C9A">
              <w:rPr>
                <w:rFonts w:ascii="Times New Roman" w:hAnsi="Times New Roman"/>
                <w:sz w:val="24"/>
              </w:rPr>
              <w:t>.</w:t>
            </w:r>
          </w:p>
        </w:tc>
      </w:tr>
      <w:tr w:rsidR="004D45AA" w:rsidRPr="00E07C9A" w14:paraId="0CCDDA2E" w14:textId="77777777" w:rsidTr="00672D2A">
        <w:tc>
          <w:tcPr>
            <w:tcW w:w="1242" w:type="dxa"/>
          </w:tcPr>
          <w:p w14:paraId="046A557F" w14:textId="77777777" w:rsidR="004D45AA" w:rsidRPr="00E07C9A" w:rsidRDefault="004D45AA" w:rsidP="004D45AA">
            <w:pPr>
              <w:rPr>
                <w:rFonts w:ascii="Times New Roman" w:hAnsi="Times New Roman"/>
                <w:sz w:val="24"/>
              </w:rPr>
            </w:pPr>
            <w:r w:rsidRPr="00E07C9A">
              <w:rPr>
                <w:rFonts w:ascii="Times New Roman" w:hAnsi="Times New Roman"/>
                <w:sz w:val="24"/>
              </w:rPr>
              <w:t>0020 –⁠ 0060</w:t>
            </w:r>
          </w:p>
        </w:tc>
        <w:tc>
          <w:tcPr>
            <w:tcW w:w="8789" w:type="dxa"/>
          </w:tcPr>
          <w:p w14:paraId="7E5E902C" w14:textId="77777777" w:rsidR="004D45AA" w:rsidRPr="00E07C9A" w:rsidRDefault="004D45AA" w:rsidP="004D45AA">
            <w:pPr>
              <w:rPr>
                <w:rFonts w:ascii="Times New Roman" w:hAnsi="Times New Roman"/>
                <w:sz w:val="24"/>
              </w:rPr>
            </w:pPr>
            <w:r w:rsidRPr="00E07C9A">
              <w:rPr>
                <w:rFonts w:ascii="Times New Roman" w:hAnsi="Times New Roman"/>
                <w:sz w:val="24"/>
              </w:rPr>
              <w:t>ROZČLENENIE CELKOVÝCH EXPOZÍCIÍ PODĽA DRUHOV EXPOZÍCIÍ:</w:t>
            </w:r>
          </w:p>
        </w:tc>
      </w:tr>
      <w:tr w:rsidR="004D45AA" w:rsidRPr="00E07C9A" w14:paraId="6507B8B9" w14:textId="77777777" w:rsidTr="00672D2A">
        <w:tc>
          <w:tcPr>
            <w:tcW w:w="1242" w:type="dxa"/>
          </w:tcPr>
          <w:p w14:paraId="5037C34B" w14:textId="77777777" w:rsidR="004D45AA" w:rsidRPr="00E07C9A" w:rsidRDefault="004D45AA" w:rsidP="004D45AA">
            <w:pPr>
              <w:rPr>
                <w:rFonts w:ascii="Times New Roman" w:hAnsi="Times New Roman"/>
                <w:sz w:val="24"/>
              </w:rPr>
            </w:pPr>
            <w:r w:rsidRPr="00E07C9A">
              <w:rPr>
                <w:rFonts w:ascii="Times New Roman" w:hAnsi="Times New Roman"/>
                <w:sz w:val="24"/>
              </w:rPr>
              <w:t>0020</w:t>
            </w:r>
          </w:p>
        </w:tc>
        <w:tc>
          <w:tcPr>
            <w:tcW w:w="8789" w:type="dxa"/>
          </w:tcPr>
          <w:p w14:paraId="7658FAE4" w14:textId="77777777" w:rsidR="009912F8" w:rsidRPr="00E07C9A" w:rsidRDefault="004D45AA" w:rsidP="004D45AA">
            <w:pPr>
              <w:rPr>
                <w:rFonts w:ascii="Times New Roman" w:hAnsi="Times New Roman"/>
                <w:b/>
                <w:sz w:val="24"/>
                <w:u w:val="single"/>
              </w:rPr>
            </w:pPr>
            <w:r w:rsidRPr="00E07C9A">
              <w:rPr>
                <w:rFonts w:ascii="Times New Roman" w:hAnsi="Times New Roman"/>
                <w:b/>
                <w:sz w:val="24"/>
                <w:u w:val="single"/>
              </w:rPr>
              <w:t>Súvahové položky podliehajúce kreditnému riziku</w:t>
            </w:r>
          </w:p>
          <w:p w14:paraId="2A69AE9F" w14:textId="5B793F3D" w:rsidR="004D45AA" w:rsidRPr="00E07C9A" w:rsidRDefault="004D45AA" w:rsidP="004D45AA">
            <w:pPr>
              <w:rPr>
                <w:rStyle w:val="InstructionsTabelleText"/>
                <w:rFonts w:ascii="Times New Roman" w:hAnsi="Times New Roman"/>
                <w:sz w:val="24"/>
              </w:rPr>
            </w:pPr>
            <w:r w:rsidRPr="00E07C9A">
              <w:rPr>
                <w:rStyle w:val="InstructionsTabelleText"/>
                <w:rFonts w:ascii="Times New Roman" w:hAnsi="Times New Roman"/>
                <w:sz w:val="24"/>
              </w:rPr>
              <w:t>Aktíva uvedené</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článku 24</w:t>
            </w:r>
            <w:r w:rsidRPr="00E07C9A">
              <w:rPr>
                <w:rFonts w:ascii="Times New Roman" w:hAnsi="Times New Roman"/>
                <w:sz w:val="24"/>
              </w:rPr>
              <w:t xml:space="preserve"> nariadenia (EÚ) </w:t>
            </w:r>
            <w:r w:rsidR="009912F8" w:rsidRPr="00E07C9A">
              <w:rPr>
                <w:rFonts w:ascii="Times New Roman" w:hAnsi="Times New Roman"/>
                <w:sz w:val="24"/>
              </w:rPr>
              <w:t>č. 575/2013</w:t>
            </w:r>
            <w:r w:rsidRPr="00E07C9A">
              <w:rPr>
                <w:rStyle w:val="InstructionsTabelleText"/>
                <w:rFonts w:ascii="Times New Roman" w:hAnsi="Times New Roman"/>
                <w:sz w:val="24"/>
              </w:rPr>
              <w:t xml:space="preserve"> sa nezahŕňajú do žiadnej inej kategórie.</w:t>
            </w:r>
          </w:p>
          <w:p w14:paraId="335CDBE2" w14:textId="314BBF36" w:rsidR="004D45AA" w:rsidRPr="00E07C9A" w:rsidRDefault="004D45AA" w:rsidP="004D45AA">
            <w:pPr>
              <w:rPr>
                <w:rStyle w:val="InstructionsTabelleText"/>
                <w:rFonts w:ascii="Times New Roman" w:hAnsi="Times New Roman"/>
                <w:sz w:val="24"/>
              </w:rPr>
            </w:pPr>
            <w:r w:rsidRPr="00E07C9A">
              <w:rPr>
                <w:rStyle w:val="InstructionsTabelleText"/>
                <w:rFonts w:ascii="Times New Roman" w:hAnsi="Times New Roman"/>
                <w:sz w:val="24"/>
              </w:rPr>
              <w:t>Expozície, ktoré podliehajú kreditnému riziku protistrany, sa vykazujú</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riadkoch 0040 – 0060,</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preto sa nevykazujú</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tomto riadku.</w:t>
            </w:r>
          </w:p>
          <w:p w14:paraId="0C6C49F1" w14:textId="107000C4" w:rsidR="004D45AA" w:rsidRPr="00E07C9A" w:rsidRDefault="004D45AA" w:rsidP="004D45AA">
            <w:pPr>
              <w:rPr>
                <w:rStyle w:val="InstructionsTabelleText"/>
                <w:rFonts w:ascii="Times New Roman" w:hAnsi="Times New Roman"/>
                <w:sz w:val="24"/>
              </w:rPr>
            </w:pPr>
            <w:r w:rsidRPr="00E07C9A">
              <w:rPr>
                <w:rStyle w:val="InstructionsTabelleText"/>
                <w:rFonts w:ascii="Times New Roman" w:hAnsi="Times New Roman"/>
                <w:sz w:val="24"/>
              </w:rPr>
              <w:t>Bezodplatné dodania uvedené</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článku 379 ods. 1</w:t>
            </w:r>
            <w:r w:rsidRPr="00E07C9A">
              <w:rPr>
                <w:rFonts w:ascii="Times New Roman" w:hAnsi="Times New Roman"/>
                <w:sz w:val="24"/>
              </w:rPr>
              <w:t xml:space="preserve"> nariadenia (EÚ) </w:t>
            </w:r>
            <w:r w:rsidR="009912F8" w:rsidRPr="00E07C9A">
              <w:rPr>
                <w:rFonts w:ascii="Times New Roman" w:hAnsi="Times New Roman"/>
                <w:sz w:val="24"/>
              </w:rPr>
              <w:t>č. 575/2013</w:t>
            </w:r>
            <w:r w:rsidRPr="00E07C9A">
              <w:rPr>
                <w:rStyle w:val="InstructionsTabelleText"/>
                <w:rFonts w:ascii="Times New Roman" w:hAnsi="Times New Roman"/>
                <w:sz w:val="24"/>
              </w:rPr>
              <w:t xml:space="preserve"> (ak sa neodpočítavajú) síce nepredstavujú súvahovú položku, ale aj tak sa vykazujú</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tomto riadku.</w:t>
            </w:r>
          </w:p>
          <w:p w14:paraId="315D580D" w14:textId="77777777" w:rsidR="004D45AA" w:rsidRPr="00E07C9A" w:rsidRDefault="004D45AA" w:rsidP="004D45AA">
            <w:pPr>
              <w:rPr>
                <w:rFonts w:ascii="Times New Roman" w:hAnsi="Times New Roman"/>
                <w:sz w:val="24"/>
              </w:rPr>
            </w:pPr>
          </w:p>
        </w:tc>
      </w:tr>
      <w:tr w:rsidR="004D45AA" w:rsidRPr="00E07C9A" w14:paraId="4497F22E" w14:textId="77777777" w:rsidTr="00672D2A">
        <w:tc>
          <w:tcPr>
            <w:tcW w:w="1242" w:type="dxa"/>
          </w:tcPr>
          <w:p w14:paraId="74466E6A" w14:textId="77777777" w:rsidR="004D45AA" w:rsidRPr="00E07C9A" w:rsidRDefault="004D45AA" w:rsidP="004D45AA">
            <w:pPr>
              <w:rPr>
                <w:rFonts w:ascii="Times New Roman" w:hAnsi="Times New Roman"/>
                <w:sz w:val="24"/>
              </w:rPr>
            </w:pPr>
            <w:r w:rsidRPr="00E07C9A">
              <w:rPr>
                <w:rFonts w:ascii="Times New Roman" w:hAnsi="Times New Roman"/>
                <w:sz w:val="24"/>
              </w:rPr>
              <w:t>0030</w:t>
            </w:r>
          </w:p>
        </w:tc>
        <w:tc>
          <w:tcPr>
            <w:tcW w:w="8789" w:type="dxa"/>
          </w:tcPr>
          <w:p w14:paraId="4D06D736" w14:textId="77777777" w:rsidR="004D45AA" w:rsidRPr="00E07C9A" w:rsidRDefault="004D45AA" w:rsidP="004D45AA">
            <w:pPr>
              <w:rPr>
                <w:rFonts w:ascii="Times New Roman" w:hAnsi="Times New Roman"/>
                <w:b/>
                <w:sz w:val="24"/>
                <w:u w:val="single"/>
              </w:rPr>
            </w:pPr>
            <w:r w:rsidRPr="00E07C9A">
              <w:rPr>
                <w:rFonts w:ascii="Times New Roman" w:hAnsi="Times New Roman"/>
                <w:b/>
                <w:sz w:val="24"/>
                <w:u w:val="single"/>
              </w:rPr>
              <w:t>Podsúvahové položky podliehajúce kreditnému riziku</w:t>
            </w:r>
          </w:p>
          <w:p w14:paraId="1A7B1274" w14:textId="4F33D895" w:rsidR="004D45AA" w:rsidRPr="00E07C9A" w:rsidRDefault="004D45AA" w:rsidP="004D45AA">
            <w:pPr>
              <w:rPr>
                <w:rStyle w:val="InstructionsTabelleText"/>
                <w:rFonts w:ascii="Times New Roman" w:hAnsi="Times New Roman"/>
                <w:sz w:val="24"/>
              </w:rPr>
            </w:pPr>
            <w:r w:rsidRPr="00E07C9A">
              <w:rPr>
                <w:rStyle w:val="InstructionsTabelleText"/>
                <w:rFonts w:ascii="Times New Roman" w:hAnsi="Times New Roman"/>
                <w:sz w:val="24"/>
              </w:rPr>
              <w:t>Podsúvahové položky zahŕňajú položky</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súlade</w:t>
            </w:r>
            <w:r w:rsidR="009912F8" w:rsidRPr="00E07C9A">
              <w:rPr>
                <w:rStyle w:val="InstructionsTabelleText"/>
                <w:rFonts w:ascii="Times New Roman" w:hAnsi="Times New Roman"/>
                <w:sz w:val="24"/>
              </w:rPr>
              <w:t xml:space="preserve"> s </w:t>
            </w:r>
            <w:r w:rsidRPr="00E07C9A">
              <w:rPr>
                <w:rStyle w:val="InstructionsTabelleText"/>
                <w:rFonts w:ascii="Times New Roman" w:hAnsi="Times New Roman"/>
                <w:sz w:val="24"/>
              </w:rPr>
              <w:t>článkom 166 ods. 8</w:t>
            </w:r>
            <w:r w:rsidRPr="00E07C9A">
              <w:rPr>
                <w:rFonts w:ascii="Times New Roman" w:hAnsi="Times New Roman"/>
                <w:sz w:val="24"/>
              </w:rPr>
              <w:t xml:space="preserve"> nariadenia (EÚ) </w:t>
            </w:r>
            <w:r w:rsidR="009912F8" w:rsidRPr="00E07C9A">
              <w:rPr>
                <w:rFonts w:ascii="Times New Roman" w:hAnsi="Times New Roman"/>
                <w:sz w:val="24"/>
              </w:rPr>
              <w:t>č. 575/2013</w:t>
            </w:r>
            <w:r w:rsidRPr="00E07C9A">
              <w:rPr>
                <w:rStyle w:val="InstructionsTabelleText"/>
                <w:rFonts w:ascii="Times New Roman" w:hAnsi="Times New Roman"/>
                <w:sz w:val="24"/>
              </w:rPr>
              <w:t>, ako aj tie položky, ktoré sú uvedené</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prílohe I</w:t>
            </w:r>
            <w:r w:rsidR="009912F8" w:rsidRPr="00E07C9A">
              <w:rPr>
                <w:rFonts w:ascii="Times New Roman" w:hAnsi="Times New Roman"/>
                <w:sz w:val="24"/>
              </w:rPr>
              <w:t xml:space="preserve"> k </w:t>
            </w:r>
            <w:r w:rsidRPr="00E07C9A">
              <w:rPr>
                <w:rFonts w:ascii="Times New Roman" w:hAnsi="Times New Roman"/>
                <w:sz w:val="24"/>
              </w:rPr>
              <w:t>uvedenému nariadeniu</w:t>
            </w:r>
            <w:r w:rsidRPr="00E07C9A">
              <w:rPr>
                <w:rStyle w:val="InstructionsTabelleText"/>
                <w:rFonts w:ascii="Times New Roman" w:hAnsi="Times New Roman"/>
                <w:sz w:val="24"/>
              </w:rPr>
              <w:t>.</w:t>
            </w:r>
          </w:p>
          <w:p w14:paraId="7E7FABD4" w14:textId="2C63DC0D" w:rsidR="004D45AA" w:rsidRPr="00E07C9A" w:rsidRDefault="004D45AA" w:rsidP="004D45AA">
            <w:pPr>
              <w:rPr>
                <w:rStyle w:val="InstructionsTabelleText"/>
                <w:rFonts w:ascii="Times New Roman" w:hAnsi="Times New Roman"/>
                <w:sz w:val="24"/>
              </w:rPr>
            </w:pPr>
            <w:r w:rsidRPr="00E07C9A">
              <w:rPr>
                <w:rStyle w:val="InstructionsTabelleText"/>
                <w:rFonts w:ascii="Times New Roman" w:hAnsi="Times New Roman"/>
                <w:sz w:val="24"/>
              </w:rPr>
              <w:t>Expozície, ktoré podliehajú kreditnému riziku protistrany, sa vykazujú</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riadkoch 0040 – 0060,</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preto sa neuvádzajú</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tomto riadku.</w:t>
            </w:r>
          </w:p>
          <w:p w14:paraId="02EFCCFF" w14:textId="77777777" w:rsidR="004D45AA" w:rsidRPr="00E07C9A" w:rsidRDefault="004D45AA" w:rsidP="004D45AA">
            <w:pPr>
              <w:rPr>
                <w:rFonts w:ascii="Times New Roman" w:hAnsi="Times New Roman"/>
                <w:sz w:val="24"/>
              </w:rPr>
            </w:pPr>
          </w:p>
        </w:tc>
      </w:tr>
      <w:tr w:rsidR="004D45AA" w:rsidRPr="00E07C9A" w14:paraId="30582BBB" w14:textId="77777777" w:rsidTr="00672D2A">
        <w:tc>
          <w:tcPr>
            <w:tcW w:w="1242" w:type="dxa"/>
          </w:tcPr>
          <w:p w14:paraId="1432BA9D" w14:textId="77777777" w:rsidR="004D45AA" w:rsidRPr="00E07C9A" w:rsidRDefault="004D45AA" w:rsidP="004D45AA">
            <w:pPr>
              <w:rPr>
                <w:rFonts w:ascii="Times New Roman" w:hAnsi="Times New Roman"/>
                <w:sz w:val="24"/>
              </w:rPr>
            </w:pPr>
            <w:r w:rsidRPr="00E07C9A">
              <w:rPr>
                <w:rStyle w:val="InstructionsTabelleText"/>
                <w:rFonts w:ascii="Times New Roman" w:hAnsi="Times New Roman"/>
                <w:sz w:val="24"/>
              </w:rPr>
              <w:t>0040 –⁠ 0060</w:t>
            </w:r>
          </w:p>
        </w:tc>
        <w:tc>
          <w:tcPr>
            <w:tcW w:w="8789" w:type="dxa"/>
          </w:tcPr>
          <w:p w14:paraId="792DD2BA" w14:textId="77777777" w:rsidR="004D45AA" w:rsidRPr="00E07C9A" w:rsidRDefault="004D45AA" w:rsidP="004D45AA">
            <w:pPr>
              <w:rPr>
                <w:rStyle w:val="InstructionsTabelleberschrift"/>
                <w:rFonts w:ascii="Times New Roman" w:hAnsi="Times New Roman"/>
                <w:sz w:val="24"/>
              </w:rPr>
            </w:pPr>
            <w:r w:rsidRPr="00E07C9A">
              <w:rPr>
                <w:rStyle w:val="InstructionsTabelleberschrift"/>
                <w:rFonts w:ascii="Times New Roman" w:hAnsi="Times New Roman"/>
                <w:sz w:val="24"/>
              </w:rPr>
              <w:t>Expozície/transakcie podliehajúce kreditnému riziku protistrany</w:t>
            </w:r>
          </w:p>
          <w:p w14:paraId="6DFA2486" w14:textId="475D2CED" w:rsidR="004D45AA" w:rsidRPr="00E07C9A" w:rsidRDefault="004D45AA" w:rsidP="004D45AA">
            <w:pPr>
              <w:rPr>
                <w:rFonts w:ascii="Times New Roman" w:hAnsi="Times New Roman"/>
                <w:b/>
                <w:sz w:val="24"/>
                <w:u w:val="single"/>
              </w:rPr>
            </w:pPr>
            <w:r w:rsidRPr="00E07C9A">
              <w:rPr>
                <w:rFonts w:ascii="Times New Roman" w:hAnsi="Times New Roman"/>
                <w:sz w:val="24"/>
              </w:rPr>
              <w:t>Pozri zodpovedajúce pokyny</w:t>
            </w:r>
            <w:r w:rsidR="009912F8" w:rsidRPr="00E07C9A">
              <w:rPr>
                <w:rFonts w:ascii="Times New Roman" w:hAnsi="Times New Roman"/>
                <w:sz w:val="24"/>
              </w:rPr>
              <w:t xml:space="preserve"> k </w:t>
            </w:r>
            <w:r w:rsidRPr="00E07C9A">
              <w:rPr>
                <w:rFonts w:ascii="Times New Roman" w:hAnsi="Times New Roman"/>
                <w:sz w:val="24"/>
              </w:rPr>
              <w:t>vzoru CR SA</w:t>
            </w:r>
            <w:r w:rsidR="009912F8" w:rsidRPr="00E07C9A">
              <w:rPr>
                <w:rFonts w:ascii="Times New Roman" w:hAnsi="Times New Roman"/>
                <w:sz w:val="24"/>
              </w:rPr>
              <w:t xml:space="preserve"> v </w:t>
            </w:r>
            <w:r w:rsidRPr="00E07C9A">
              <w:rPr>
                <w:rFonts w:ascii="Times New Roman" w:hAnsi="Times New Roman"/>
                <w:sz w:val="24"/>
              </w:rPr>
              <w:t>riadkoch 0090 –⁠ 0130.</w:t>
            </w:r>
          </w:p>
        </w:tc>
      </w:tr>
      <w:tr w:rsidR="004D45AA" w:rsidRPr="00E07C9A" w14:paraId="4E6A8C0B" w14:textId="77777777" w:rsidTr="00672D2A">
        <w:tc>
          <w:tcPr>
            <w:tcW w:w="1242" w:type="dxa"/>
          </w:tcPr>
          <w:p w14:paraId="419272EF" w14:textId="77777777" w:rsidR="004D45AA" w:rsidRPr="00E07C9A" w:rsidRDefault="004D45AA" w:rsidP="004D45AA">
            <w:pPr>
              <w:rPr>
                <w:rFonts w:ascii="Times New Roman" w:hAnsi="Times New Roman"/>
                <w:sz w:val="24"/>
              </w:rPr>
            </w:pPr>
            <w:r w:rsidRPr="00E07C9A">
              <w:rPr>
                <w:rFonts w:ascii="Times New Roman" w:hAnsi="Times New Roman"/>
                <w:sz w:val="24"/>
              </w:rPr>
              <w:t>0040</w:t>
            </w:r>
          </w:p>
        </w:tc>
        <w:tc>
          <w:tcPr>
            <w:tcW w:w="8789" w:type="dxa"/>
          </w:tcPr>
          <w:p w14:paraId="2A501809" w14:textId="77777777" w:rsidR="004D45AA" w:rsidRPr="00E07C9A" w:rsidRDefault="004D45AA" w:rsidP="00393FF2">
            <w:pPr>
              <w:rPr>
                <w:rStyle w:val="InstructionsTabelleberschrift"/>
                <w:rFonts w:ascii="Times New Roman" w:hAnsi="Times New Roman"/>
                <w:sz w:val="24"/>
              </w:rPr>
            </w:pPr>
            <w:r w:rsidRPr="00E07C9A">
              <w:rPr>
                <w:rStyle w:val="InstructionsTabelleberschrift"/>
                <w:rFonts w:ascii="Times New Roman" w:hAnsi="Times New Roman"/>
                <w:sz w:val="24"/>
              </w:rPr>
              <w:t>Súbory vzájomného započítavania transakcií financovania prostredníctvom cenných papierov</w:t>
            </w:r>
          </w:p>
          <w:p w14:paraId="5DB6E99C" w14:textId="4CF257DA" w:rsidR="004D45AA" w:rsidRPr="00E07C9A" w:rsidRDefault="004D45AA" w:rsidP="00393FF2">
            <w:pPr>
              <w:rPr>
                <w:rFonts w:ascii="Times New Roman" w:hAnsi="Times New Roman"/>
                <w:sz w:val="24"/>
              </w:rPr>
            </w:pPr>
            <w:r w:rsidRPr="00E07C9A">
              <w:rPr>
                <w:rFonts w:ascii="Times New Roman" w:hAnsi="Times New Roman"/>
                <w:sz w:val="24"/>
              </w:rPr>
              <w:t>Pozri zodpovedajúce pokyny</w:t>
            </w:r>
            <w:r w:rsidR="009912F8" w:rsidRPr="00E07C9A">
              <w:rPr>
                <w:rFonts w:ascii="Times New Roman" w:hAnsi="Times New Roman"/>
                <w:sz w:val="24"/>
              </w:rPr>
              <w:t xml:space="preserve"> k </w:t>
            </w:r>
            <w:r w:rsidRPr="00E07C9A">
              <w:rPr>
                <w:rFonts w:ascii="Times New Roman" w:hAnsi="Times New Roman"/>
                <w:sz w:val="24"/>
              </w:rPr>
              <w:t>vzoru CR SA</w:t>
            </w:r>
            <w:r w:rsidR="009912F8" w:rsidRPr="00E07C9A">
              <w:rPr>
                <w:rFonts w:ascii="Times New Roman" w:hAnsi="Times New Roman"/>
                <w:sz w:val="24"/>
              </w:rPr>
              <w:t xml:space="preserve"> v </w:t>
            </w:r>
            <w:r w:rsidRPr="00E07C9A">
              <w:rPr>
                <w:rFonts w:ascii="Times New Roman" w:hAnsi="Times New Roman"/>
                <w:sz w:val="24"/>
              </w:rPr>
              <w:t>riadku 0090.</w:t>
            </w:r>
          </w:p>
          <w:p w14:paraId="4D2CE56E" w14:textId="77777777" w:rsidR="004D45AA" w:rsidRPr="00E07C9A" w:rsidRDefault="004D45AA" w:rsidP="004D45AA">
            <w:pPr>
              <w:rPr>
                <w:rFonts w:ascii="Times New Roman" w:hAnsi="Times New Roman"/>
                <w:sz w:val="24"/>
              </w:rPr>
            </w:pPr>
          </w:p>
        </w:tc>
      </w:tr>
      <w:tr w:rsidR="004D45AA" w:rsidRPr="00E07C9A" w14:paraId="2945983E" w14:textId="77777777" w:rsidTr="00672D2A">
        <w:tc>
          <w:tcPr>
            <w:tcW w:w="1242" w:type="dxa"/>
          </w:tcPr>
          <w:p w14:paraId="688B6F17" w14:textId="77777777" w:rsidR="004D45AA" w:rsidRPr="00E07C9A" w:rsidRDefault="004D45AA" w:rsidP="004D45AA">
            <w:pPr>
              <w:rPr>
                <w:rFonts w:ascii="Times New Roman" w:hAnsi="Times New Roman"/>
                <w:sz w:val="24"/>
              </w:rPr>
            </w:pPr>
            <w:r w:rsidRPr="00E07C9A">
              <w:rPr>
                <w:rFonts w:ascii="Times New Roman" w:hAnsi="Times New Roman"/>
                <w:sz w:val="24"/>
              </w:rPr>
              <w:t>0050</w:t>
            </w:r>
          </w:p>
        </w:tc>
        <w:tc>
          <w:tcPr>
            <w:tcW w:w="8789" w:type="dxa"/>
          </w:tcPr>
          <w:p w14:paraId="4831B12D" w14:textId="587BEB0C" w:rsidR="004D45AA" w:rsidRPr="00E07C9A" w:rsidRDefault="004D45AA" w:rsidP="004D45AA">
            <w:pPr>
              <w:rPr>
                <w:rFonts w:ascii="Times New Roman" w:hAnsi="Times New Roman"/>
                <w:b/>
                <w:sz w:val="24"/>
                <w:u w:val="single"/>
              </w:rPr>
            </w:pPr>
            <w:r w:rsidRPr="00E07C9A">
              <w:rPr>
                <w:rFonts w:ascii="Times New Roman" w:hAnsi="Times New Roman"/>
                <w:b/>
                <w:sz w:val="24"/>
                <w:u w:val="single"/>
              </w:rPr>
              <w:t xml:space="preserve">Súbory </w:t>
            </w:r>
            <w:r w:rsidRPr="00E07C9A">
              <w:rPr>
                <w:rStyle w:val="InstructionsTabelleberschrift"/>
                <w:rFonts w:ascii="Times New Roman" w:hAnsi="Times New Roman"/>
                <w:sz w:val="24"/>
              </w:rPr>
              <w:t>vzájomného započítavania derivátov</w:t>
            </w:r>
            <w:r w:rsidR="009912F8" w:rsidRPr="00E07C9A">
              <w:rPr>
                <w:rStyle w:val="InstructionsTabelleberschrift"/>
                <w:rFonts w:ascii="Times New Roman" w:hAnsi="Times New Roman"/>
                <w:sz w:val="24"/>
              </w:rPr>
              <w:t xml:space="preserve"> a </w:t>
            </w:r>
            <w:r w:rsidRPr="00E07C9A">
              <w:rPr>
                <w:rStyle w:val="InstructionsTabelleberschrift"/>
                <w:rFonts w:ascii="Times New Roman" w:hAnsi="Times New Roman"/>
                <w:sz w:val="24"/>
              </w:rPr>
              <w:t>transakcií</w:t>
            </w:r>
            <w:r w:rsidR="009912F8" w:rsidRPr="00E07C9A">
              <w:rPr>
                <w:rStyle w:val="InstructionsTabelleberschrift"/>
                <w:rFonts w:ascii="Times New Roman" w:hAnsi="Times New Roman"/>
                <w:sz w:val="24"/>
              </w:rPr>
              <w:t xml:space="preserve"> s </w:t>
            </w:r>
            <w:r w:rsidRPr="00E07C9A">
              <w:rPr>
                <w:rStyle w:val="InstructionsTabelleberschrift"/>
                <w:rFonts w:ascii="Times New Roman" w:hAnsi="Times New Roman"/>
                <w:sz w:val="24"/>
              </w:rPr>
              <w:t>dlhou dobou vyrovnania</w:t>
            </w:r>
          </w:p>
          <w:p w14:paraId="3566F3CC" w14:textId="7D2C8487" w:rsidR="004D45AA" w:rsidRPr="00E07C9A" w:rsidRDefault="004D45AA" w:rsidP="00393FF2">
            <w:pPr>
              <w:rPr>
                <w:rFonts w:ascii="Times New Roman" w:hAnsi="Times New Roman"/>
                <w:sz w:val="24"/>
              </w:rPr>
            </w:pPr>
            <w:r w:rsidRPr="00E07C9A">
              <w:rPr>
                <w:rFonts w:ascii="Times New Roman" w:hAnsi="Times New Roman"/>
                <w:sz w:val="24"/>
              </w:rPr>
              <w:t>Pozri zodpovedajúce pokyny</w:t>
            </w:r>
            <w:r w:rsidR="009912F8" w:rsidRPr="00E07C9A">
              <w:rPr>
                <w:rFonts w:ascii="Times New Roman" w:hAnsi="Times New Roman"/>
                <w:sz w:val="24"/>
              </w:rPr>
              <w:t xml:space="preserve"> k </w:t>
            </w:r>
            <w:r w:rsidRPr="00E07C9A">
              <w:rPr>
                <w:rFonts w:ascii="Times New Roman" w:hAnsi="Times New Roman"/>
                <w:sz w:val="24"/>
              </w:rPr>
              <w:t>vzoru CR SA</w:t>
            </w:r>
            <w:r w:rsidR="009912F8" w:rsidRPr="00E07C9A">
              <w:rPr>
                <w:rFonts w:ascii="Times New Roman" w:hAnsi="Times New Roman"/>
                <w:sz w:val="24"/>
              </w:rPr>
              <w:t xml:space="preserve"> v </w:t>
            </w:r>
            <w:r w:rsidRPr="00E07C9A">
              <w:rPr>
                <w:rFonts w:ascii="Times New Roman" w:hAnsi="Times New Roman"/>
                <w:sz w:val="24"/>
              </w:rPr>
              <w:t>riadku 0110.</w:t>
            </w:r>
          </w:p>
          <w:p w14:paraId="49A3BAE4" w14:textId="77777777" w:rsidR="004D45AA" w:rsidRPr="00E07C9A" w:rsidRDefault="004D45AA" w:rsidP="004D45AA">
            <w:pPr>
              <w:ind w:left="72"/>
              <w:rPr>
                <w:rFonts w:ascii="Times New Roman" w:hAnsi="Times New Roman"/>
                <w:sz w:val="24"/>
              </w:rPr>
            </w:pPr>
          </w:p>
        </w:tc>
      </w:tr>
      <w:tr w:rsidR="004D45AA" w:rsidRPr="00E07C9A" w14:paraId="0FDA87CC" w14:textId="77777777" w:rsidTr="00672D2A">
        <w:tc>
          <w:tcPr>
            <w:tcW w:w="1242" w:type="dxa"/>
          </w:tcPr>
          <w:p w14:paraId="6DEE4D13" w14:textId="77777777" w:rsidR="004D45AA" w:rsidRPr="00E07C9A" w:rsidRDefault="004D45AA" w:rsidP="004D45AA">
            <w:pPr>
              <w:rPr>
                <w:rFonts w:ascii="Times New Roman" w:hAnsi="Times New Roman"/>
                <w:sz w:val="24"/>
              </w:rPr>
            </w:pPr>
            <w:r w:rsidRPr="00E07C9A">
              <w:rPr>
                <w:rFonts w:ascii="Times New Roman" w:hAnsi="Times New Roman"/>
                <w:sz w:val="24"/>
              </w:rPr>
              <w:t>0060</w:t>
            </w:r>
          </w:p>
        </w:tc>
        <w:tc>
          <w:tcPr>
            <w:tcW w:w="8789" w:type="dxa"/>
          </w:tcPr>
          <w:p w14:paraId="6A0FC7D6" w14:textId="77777777" w:rsidR="004D45AA" w:rsidRPr="00E07C9A" w:rsidRDefault="004D45AA" w:rsidP="004D45AA">
            <w:pPr>
              <w:rPr>
                <w:rFonts w:ascii="Times New Roman" w:hAnsi="Times New Roman"/>
                <w:b/>
                <w:sz w:val="24"/>
                <w:u w:val="single"/>
              </w:rPr>
            </w:pPr>
            <w:r w:rsidRPr="00E07C9A">
              <w:rPr>
                <w:rFonts w:ascii="Times New Roman" w:hAnsi="Times New Roman"/>
                <w:b/>
                <w:sz w:val="24"/>
                <w:u w:val="single"/>
              </w:rPr>
              <w:t>Zo súborov krížového vzájomného započítavania produktov</w:t>
            </w:r>
          </w:p>
          <w:p w14:paraId="7A725958" w14:textId="06CDF027" w:rsidR="004D45AA" w:rsidRPr="00E07C9A" w:rsidRDefault="004D45AA" w:rsidP="004D45AA">
            <w:pPr>
              <w:rPr>
                <w:rFonts w:ascii="Times New Roman" w:hAnsi="Times New Roman"/>
                <w:sz w:val="24"/>
              </w:rPr>
            </w:pPr>
            <w:r w:rsidRPr="00E07C9A">
              <w:rPr>
                <w:rFonts w:ascii="Times New Roman" w:hAnsi="Times New Roman"/>
                <w:sz w:val="24"/>
              </w:rPr>
              <w:t>Pozri zodpovedajúce pokyny</w:t>
            </w:r>
            <w:r w:rsidR="009912F8" w:rsidRPr="00E07C9A">
              <w:rPr>
                <w:rFonts w:ascii="Times New Roman" w:hAnsi="Times New Roman"/>
                <w:sz w:val="24"/>
              </w:rPr>
              <w:t xml:space="preserve"> k </w:t>
            </w:r>
            <w:r w:rsidRPr="00E07C9A">
              <w:rPr>
                <w:rFonts w:ascii="Times New Roman" w:hAnsi="Times New Roman"/>
                <w:sz w:val="24"/>
              </w:rPr>
              <w:t>vzoru CR SA</w:t>
            </w:r>
            <w:r w:rsidR="009912F8" w:rsidRPr="00E07C9A">
              <w:rPr>
                <w:rFonts w:ascii="Times New Roman" w:hAnsi="Times New Roman"/>
                <w:sz w:val="24"/>
              </w:rPr>
              <w:t xml:space="preserve"> v </w:t>
            </w:r>
            <w:r w:rsidRPr="00E07C9A">
              <w:rPr>
                <w:rFonts w:ascii="Times New Roman" w:hAnsi="Times New Roman"/>
                <w:sz w:val="24"/>
              </w:rPr>
              <w:t>riadku 0130.</w:t>
            </w:r>
          </w:p>
        </w:tc>
      </w:tr>
      <w:tr w:rsidR="004D45AA" w:rsidRPr="00E07C9A" w14:paraId="3A09B323" w14:textId="77777777" w:rsidTr="00672D2A">
        <w:tc>
          <w:tcPr>
            <w:tcW w:w="1242" w:type="dxa"/>
          </w:tcPr>
          <w:p w14:paraId="4D985647" w14:textId="77777777" w:rsidR="004D45AA" w:rsidRPr="00E07C9A" w:rsidRDefault="004D45AA" w:rsidP="004D45AA">
            <w:pPr>
              <w:rPr>
                <w:rFonts w:ascii="Times New Roman" w:hAnsi="Times New Roman"/>
                <w:sz w:val="24"/>
              </w:rPr>
            </w:pPr>
            <w:r w:rsidRPr="00E07C9A">
              <w:rPr>
                <w:rFonts w:ascii="Times New Roman" w:hAnsi="Times New Roman"/>
                <w:sz w:val="24"/>
              </w:rPr>
              <w:t>0070</w:t>
            </w:r>
          </w:p>
        </w:tc>
        <w:tc>
          <w:tcPr>
            <w:tcW w:w="8789" w:type="dxa"/>
          </w:tcPr>
          <w:p w14:paraId="6832D255" w14:textId="77777777" w:rsidR="004D45AA" w:rsidRPr="00E07C9A" w:rsidRDefault="004D45AA" w:rsidP="004D45AA">
            <w:pPr>
              <w:rPr>
                <w:rFonts w:ascii="Times New Roman" w:hAnsi="Times New Roman"/>
                <w:b/>
                <w:sz w:val="24"/>
                <w:u w:val="single"/>
              </w:rPr>
            </w:pPr>
            <w:r w:rsidRPr="00E07C9A">
              <w:rPr>
                <w:rFonts w:ascii="Times New Roman" w:hAnsi="Times New Roman"/>
                <w:b/>
                <w:sz w:val="24"/>
                <w:u w:val="single"/>
              </w:rPr>
              <w:t>EXPOZÍCIE ZARADENÉ DO RATINGOVÝCH STUPŇOV ALEBO SKUPÍN DLŽNÍKOV: SPOLU</w:t>
            </w:r>
          </w:p>
          <w:p w14:paraId="0551FB92" w14:textId="4E1609CA" w:rsidR="009912F8" w:rsidRPr="00E07C9A" w:rsidRDefault="004D45AA" w:rsidP="004D45AA">
            <w:pPr>
              <w:rPr>
                <w:rFonts w:ascii="Times New Roman" w:hAnsi="Times New Roman"/>
                <w:sz w:val="24"/>
              </w:rPr>
            </w:pPr>
            <w:r w:rsidRPr="00E07C9A">
              <w:rPr>
                <w:rFonts w:ascii="Times New Roman" w:hAnsi="Times New Roman"/>
                <w:sz w:val="24"/>
              </w:rPr>
              <w:t>Pokiaľ ide</w:t>
            </w:r>
            <w:r w:rsidR="009912F8" w:rsidRPr="00E07C9A">
              <w:rPr>
                <w:rFonts w:ascii="Times New Roman" w:hAnsi="Times New Roman"/>
                <w:sz w:val="24"/>
              </w:rPr>
              <w:t xml:space="preserve"> o </w:t>
            </w:r>
            <w:r w:rsidRPr="00E07C9A">
              <w:rPr>
                <w:rFonts w:ascii="Times New Roman" w:hAnsi="Times New Roman"/>
                <w:sz w:val="24"/>
              </w:rPr>
              <w:t>expozície voči podnikateľským subjektom, inštitúciám</w:t>
            </w:r>
            <w:r w:rsidR="009912F8" w:rsidRPr="00E07C9A">
              <w:rPr>
                <w:rFonts w:ascii="Times New Roman" w:hAnsi="Times New Roman"/>
                <w:sz w:val="24"/>
              </w:rPr>
              <w:t xml:space="preserve"> a </w:t>
            </w:r>
            <w:r w:rsidRPr="00E07C9A">
              <w:rPr>
                <w:rFonts w:ascii="Times New Roman" w:hAnsi="Times New Roman"/>
                <w:sz w:val="24"/>
              </w:rPr>
              <w:t>ústredným vládam</w:t>
            </w:r>
            <w:r w:rsidR="009912F8" w:rsidRPr="00E07C9A">
              <w:rPr>
                <w:rFonts w:ascii="Times New Roman" w:hAnsi="Times New Roman"/>
                <w:sz w:val="24"/>
              </w:rPr>
              <w:t xml:space="preserve"> a </w:t>
            </w:r>
            <w:r w:rsidRPr="00E07C9A">
              <w:rPr>
                <w:rFonts w:ascii="Times New Roman" w:hAnsi="Times New Roman"/>
                <w:sz w:val="24"/>
              </w:rPr>
              <w:t>centrálnym bankám, pozri článok 142 ods. 1 bod 6</w:t>
            </w:r>
            <w:r w:rsidR="009912F8" w:rsidRPr="00E07C9A">
              <w:rPr>
                <w:rFonts w:ascii="Times New Roman" w:hAnsi="Times New Roman"/>
                <w:sz w:val="24"/>
              </w:rPr>
              <w:t xml:space="preserve"> a </w:t>
            </w:r>
            <w:r w:rsidRPr="00E07C9A">
              <w:rPr>
                <w:rFonts w:ascii="Times New Roman" w:hAnsi="Times New Roman"/>
                <w:sz w:val="24"/>
              </w:rPr>
              <w:t xml:space="preserve">článok 170 ods. 1 písm. c) nariadenia (EÚ) </w:t>
            </w:r>
            <w:r w:rsidR="009912F8" w:rsidRPr="00E07C9A">
              <w:rPr>
                <w:rFonts w:ascii="Times New Roman" w:hAnsi="Times New Roman"/>
                <w:sz w:val="24"/>
              </w:rPr>
              <w:t>č. 575/2013.</w:t>
            </w:r>
          </w:p>
          <w:p w14:paraId="0FBD42FE" w14:textId="1DFFBE73" w:rsidR="009912F8" w:rsidRPr="00E07C9A" w:rsidRDefault="004D45AA" w:rsidP="004D45AA">
            <w:pPr>
              <w:rPr>
                <w:rFonts w:ascii="Times New Roman" w:hAnsi="Times New Roman"/>
                <w:sz w:val="24"/>
              </w:rPr>
            </w:pPr>
            <w:r w:rsidRPr="00E07C9A">
              <w:rPr>
                <w:rFonts w:ascii="Times New Roman" w:hAnsi="Times New Roman"/>
                <w:sz w:val="24"/>
              </w:rPr>
              <w:t>Pokiaľ ide</w:t>
            </w:r>
            <w:r w:rsidR="009912F8" w:rsidRPr="00E07C9A">
              <w:rPr>
                <w:rFonts w:ascii="Times New Roman" w:hAnsi="Times New Roman"/>
                <w:sz w:val="24"/>
              </w:rPr>
              <w:t xml:space="preserve"> o </w:t>
            </w:r>
            <w:r w:rsidRPr="00E07C9A">
              <w:rPr>
                <w:rFonts w:ascii="Times New Roman" w:hAnsi="Times New Roman"/>
                <w:sz w:val="24"/>
              </w:rPr>
              <w:t xml:space="preserve">retailové expozície, pozri článok 170 ods. 3 písm. b) nariadenia (EÚ) </w:t>
            </w:r>
            <w:r w:rsidR="009912F8" w:rsidRPr="00E07C9A">
              <w:rPr>
                <w:rFonts w:ascii="Times New Roman" w:hAnsi="Times New Roman"/>
                <w:sz w:val="24"/>
              </w:rPr>
              <w:t>č. 575/2013</w:t>
            </w:r>
            <w:r w:rsidRPr="00E07C9A">
              <w:rPr>
                <w:rFonts w:ascii="Times New Roman" w:hAnsi="Times New Roman"/>
                <w:sz w:val="24"/>
              </w:rPr>
              <w:t>. Pokiaľ ide</w:t>
            </w:r>
            <w:r w:rsidR="009912F8" w:rsidRPr="00E07C9A">
              <w:rPr>
                <w:rFonts w:ascii="Times New Roman" w:hAnsi="Times New Roman"/>
                <w:sz w:val="24"/>
              </w:rPr>
              <w:t xml:space="preserve"> o </w:t>
            </w:r>
            <w:r w:rsidRPr="00E07C9A">
              <w:rPr>
                <w:rFonts w:ascii="Times New Roman" w:hAnsi="Times New Roman"/>
                <w:sz w:val="24"/>
              </w:rPr>
              <w:t>expozície vyplývajúce</w:t>
            </w:r>
            <w:r w:rsidR="009912F8" w:rsidRPr="00E07C9A">
              <w:rPr>
                <w:rFonts w:ascii="Times New Roman" w:hAnsi="Times New Roman"/>
                <w:sz w:val="24"/>
              </w:rPr>
              <w:t xml:space="preserve"> z </w:t>
            </w:r>
            <w:r w:rsidRPr="00E07C9A">
              <w:rPr>
                <w:rFonts w:ascii="Times New Roman" w:hAnsi="Times New Roman"/>
                <w:sz w:val="24"/>
              </w:rPr>
              <w:t xml:space="preserve">odkúpených pohľadávok, pozri článok 166 ods. 6 nariadenia (EÚ) </w:t>
            </w:r>
            <w:r w:rsidR="009912F8" w:rsidRPr="00E07C9A">
              <w:rPr>
                <w:rFonts w:ascii="Times New Roman" w:hAnsi="Times New Roman"/>
                <w:sz w:val="24"/>
              </w:rPr>
              <w:t>č. 575/2013.</w:t>
            </w:r>
          </w:p>
          <w:p w14:paraId="279A6335" w14:textId="6D0F46F8" w:rsidR="004D45AA" w:rsidRPr="00E07C9A" w:rsidRDefault="004D45AA" w:rsidP="004D45AA">
            <w:pPr>
              <w:rPr>
                <w:rFonts w:ascii="Times New Roman" w:hAnsi="Times New Roman"/>
                <w:sz w:val="24"/>
              </w:rPr>
            </w:pPr>
            <w:r w:rsidRPr="00E07C9A">
              <w:rPr>
                <w:rFonts w:ascii="Times New Roman" w:hAnsi="Times New Roman"/>
                <w:sz w:val="24"/>
              </w:rPr>
              <w:t>Expozície</w:t>
            </w:r>
            <w:r w:rsidR="009912F8" w:rsidRPr="00E07C9A">
              <w:rPr>
                <w:rFonts w:ascii="Times New Roman" w:hAnsi="Times New Roman"/>
                <w:sz w:val="24"/>
              </w:rPr>
              <w:t xml:space="preserve"> v </w:t>
            </w:r>
            <w:r w:rsidRPr="00E07C9A">
              <w:rPr>
                <w:rFonts w:ascii="Times New Roman" w:hAnsi="Times New Roman"/>
                <w:sz w:val="24"/>
              </w:rPr>
              <w:t>prípade rizika zníženia kvality odkúpených pohľadávok</w:t>
            </w:r>
            <w:r w:rsidR="009912F8" w:rsidRPr="00E07C9A">
              <w:rPr>
                <w:rFonts w:ascii="Times New Roman" w:hAnsi="Times New Roman"/>
                <w:sz w:val="24"/>
              </w:rPr>
              <w:t xml:space="preserve"> z </w:t>
            </w:r>
            <w:r w:rsidRPr="00E07C9A">
              <w:rPr>
                <w:rFonts w:ascii="Times New Roman" w:hAnsi="Times New Roman"/>
                <w:sz w:val="24"/>
              </w:rPr>
              <w:t>iných ako kreditných dôvodov sa nevykazujú podľa ratingových stupňov alebo skupín dlžníkov</w:t>
            </w:r>
            <w:r w:rsidR="009912F8" w:rsidRPr="00E07C9A">
              <w:rPr>
                <w:rFonts w:ascii="Times New Roman" w:hAnsi="Times New Roman"/>
                <w:sz w:val="24"/>
              </w:rPr>
              <w:t xml:space="preserve"> a </w:t>
            </w:r>
            <w:r w:rsidRPr="00E07C9A">
              <w:rPr>
                <w:rFonts w:ascii="Times New Roman" w:hAnsi="Times New Roman"/>
                <w:sz w:val="24"/>
              </w:rPr>
              <w:t>vykazujú sa</w:t>
            </w:r>
            <w:r w:rsidR="009912F8" w:rsidRPr="00E07C9A">
              <w:rPr>
                <w:rFonts w:ascii="Times New Roman" w:hAnsi="Times New Roman"/>
                <w:sz w:val="24"/>
              </w:rPr>
              <w:t xml:space="preserve"> v </w:t>
            </w:r>
            <w:r w:rsidRPr="00E07C9A">
              <w:rPr>
                <w:rFonts w:ascii="Times New Roman" w:hAnsi="Times New Roman"/>
                <w:sz w:val="24"/>
              </w:rPr>
              <w:t>riadku 0180.</w:t>
            </w:r>
          </w:p>
          <w:p w14:paraId="5A43B062" w14:textId="5EF8E1EC" w:rsidR="009912F8" w:rsidRPr="00E07C9A" w:rsidRDefault="004D45AA" w:rsidP="004D45AA">
            <w:pPr>
              <w:rPr>
                <w:rFonts w:ascii="Times New Roman" w:hAnsi="Times New Roman"/>
                <w:sz w:val="24"/>
              </w:rPr>
            </w:pPr>
            <w:r w:rsidRPr="00E07C9A">
              <w:rPr>
                <w:rFonts w:ascii="Times New Roman" w:hAnsi="Times New Roman"/>
                <w:sz w:val="24"/>
              </w:rPr>
              <w:t>Keď inštitúcia používa veľký počet ratingových stupňov alebo skupín,</w:t>
            </w:r>
            <w:r w:rsidR="009912F8" w:rsidRPr="00E07C9A">
              <w:rPr>
                <w:rFonts w:ascii="Times New Roman" w:hAnsi="Times New Roman"/>
                <w:sz w:val="24"/>
              </w:rPr>
              <w:t xml:space="preserve"> s </w:t>
            </w:r>
            <w:r w:rsidRPr="00E07C9A">
              <w:rPr>
                <w:rFonts w:ascii="Times New Roman" w:hAnsi="Times New Roman"/>
                <w:sz w:val="24"/>
              </w:rPr>
              <w:t>príslušnými orgánmi sa môže dohodnúť nižší počet ratingových stupňov alebo skupín</w:t>
            </w:r>
            <w:r w:rsidR="009912F8" w:rsidRPr="00E07C9A">
              <w:rPr>
                <w:rFonts w:ascii="Times New Roman" w:hAnsi="Times New Roman"/>
                <w:sz w:val="24"/>
              </w:rPr>
              <w:t>.</w:t>
            </w:r>
          </w:p>
          <w:p w14:paraId="72FB9ED8" w14:textId="6ABFC70A" w:rsidR="004D45AA" w:rsidRPr="00E07C9A" w:rsidRDefault="004D45AA" w:rsidP="004D45AA">
            <w:pPr>
              <w:rPr>
                <w:rFonts w:ascii="Times New Roman" w:hAnsi="Times New Roman"/>
                <w:sz w:val="24"/>
              </w:rPr>
            </w:pPr>
            <w:r w:rsidRPr="00E07C9A">
              <w:rPr>
                <w:rFonts w:ascii="Times New Roman" w:hAnsi="Times New Roman"/>
                <w:sz w:val="24"/>
              </w:rPr>
              <w:t xml:space="preserve">Nepoužíva sa hlavná stupnica orgánov dohľadu. Inštitúcie namiesto toho samé určia stupnicu, ktorú budú používať. </w:t>
            </w:r>
          </w:p>
        </w:tc>
      </w:tr>
      <w:tr w:rsidR="004D45AA" w:rsidRPr="00E07C9A" w14:paraId="703686FA" w14:textId="77777777" w:rsidTr="00672D2A">
        <w:tc>
          <w:tcPr>
            <w:tcW w:w="1242" w:type="dxa"/>
          </w:tcPr>
          <w:p w14:paraId="212A2A7F" w14:textId="77777777" w:rsidR="004D45AA" w:rsidRPr="00E07C9A" w:rsidRDefault="004D45AA" w:rsidP="004D45AA">
            <w:pPr>
              <w:rPr>
                <w:rFonts w:ascii="Times New Roman" w:hAnsi="Times New Roman"/>
                <w:sz w:val="24"/>
              </w:rPr>
            </w:pPr>
            <w:r w:rsidRPr="00E07C9A">
              <w:rPr>
                <w:rFonts w:ascii="Times New Roman" w:hAnsi="Times New Roman"/>
                <w:sz w:val="24"/>
              </w:rPr>
              <w:t>0080</w:t>
            </w:r>
          </w:p>
        </w:tc>
        <w:tc>
          <w:tcPr>
            <w:tcW w:w="8789" w:type="dxa"/>
          </w:tcPr>
          <w:p w14:paraId="69AD0960" w14:textId="3494EAE7" w:rsidR="004D45AA" w:rsidRPr="00E07C9A" w:rsidRDefault="004D45AA" w:rsidP="004D45AA">
            <w:pPr>
              <w:rPr>
                <w:rFonts w:ascii="Times New Roman" w:hAnsi="Times New Roman"/>
                <w:sz w:val="24"/>
              </w:rPr>
            </w:pPr>
            <w:r w:rsidRPr="00E07C9A">
              <w:rPr>
                <w:rFonts w:ascii="Times New Roman" w:hAnsi="Times New Roman"/>
                <w:b/>
                <w:sz w:val="24"/>
                <w:u w:val="single"/>
              </w:rPr>
              <w:t>PRÍSTUP SPOČÍVAJÚCI</w:t>
            </w:r>
            <w:r w:rsidR="009912F8" w:rsidRPr="00E07C9A">
              <w:rPr>
                <w:rFonts w:ascii="Times New Roman" w:hAnsi="Times New Roman"/>
                <w:b/>
                <w:sz w:val="24"/>
                <w:u w:val="single"/>
              </w:rPr>
              <w:t xml:space="preserve"> V </w:t>
            </w:r>
            <w:r w:rsidRPr="00E07C9A">
              <w:rPr>
                <w:rFonts w:ascii="Times New Roman" w:hAnsi="Times New Roman"/>
                <w:b/>
                <w:sz w:val="24"/>
                <w:u w:val="single"/>
              </w:rPr>
              <w:t>ZARADENÍ ŠPECIALIZOVANÉHO FINANCOVANIA: SPOLU</w:t>
            </w:r>
          </w:p>
          <w:p w14:paraId="2E4D8D67" w14:textId="0745DBFC" w:rsidR="004D45AA" w:rsidRPr="00E07C9A" w:rsidRDefault="004D45AA" w:rsidP="00AC6619">
            <w:pPr>
              <w:rPr>
                <w:rFonts w:ascii="Times New Roman" w:hAnsi="Times New Roman"/>
                <w:sz w:val="24"/>
              </w:rPr>
            </w:pPr>
            <w:r w:rsidRPr="00E07C9A">
              <w:rPr>
                <w:rFonts w:ascii="Times New Roman" w:hAnsi="Times New Roman"/>
                <w:sz w:val="24"/>
              </w:rPr>
              <w:t xml:space="preserve">Článok 153 ods. 5 nariadenia (EÚ) </w:t>
            </w:r>
            <w:r w:rsidR="009912F8" w:rsidRPr="00E07C9A">
              <w:rPr>
                <w:rFonts w:ascii="Times New Roman" w:hAnsi="Times New Roman"/>
                <w:sz w:val="24"/>
              </w:rPr>
              <w:t>č. 575/2013</w:t>
            </w:r>
            <w:r w:rsidRPr="00E07C9A">
              <w:rPr>
                <w:rFonts w:ascii="Times New Roman" w:hAnsi="Times New Roman"/>
                <w:sz w:val="24"/>
              </w:rPr>
              <w:t xml:space="preserve"> Uplatňuje sa to len na triedu expozícií „podnikateľské subjekty – špecializované financovanie“.</w:t>
            </w:r>
            <w:r w:rsidR="009912F8" w:rsidRPr="00E07C9A">
              <w:rPr>
                <w:rFonts w:ascii="Times New Roman" w:hAnsi="Times New Roman"/>
                <w:sz w:val="24"/>
              </w:rPr>
              <w:t xml:space="preserve"> </w:t>
            </w:r>
          </w:p>
        </w:tc>
      </w:tr>
      <w:tr w:rsidR="004D45AA" w:rsidRPr="00E07C9A" w14:paraId="5514354E" w14:textId="77777777" w:rsidTr="00672D2A">
        <w:tc>
          <w:tcPr>
            <w:tcW w:w="1242" w:type="dxa"/>
          </w:tcPr>
          <w:p w14:paraId="76E5077F" w14:textId="77777777" w:rsidR="004D45AA" w:rsidRPr="00E07C9A" w:rsidRDefault="001452FC" w:rsidP="004D45AA">
            <w:pPr>
              <w:rPr>
                <w:rFonts w:ascii="Times New Roman" w:hAnsi="Times New Roman"/>
                <w:sz w:val="24"/>
              </w:rPr>
            </w:pPr>
            <w:r w:rsidRPr="00E07C9A">
              <w:rPr>
                <w:rFonts w:ascii="Times New Roman" w:hAnsi="Times New Roman"/>
                <w:sz w:val="24"/>
              </w:rPr>
              <w:t>0160</w:t>
            </w:r>
          </w:p>
        </w:tc>
        <w:tc>
          <w:tcPr>
            <w:tcW w:w="8789" w:type="dxa"/>
          </w:tcPr>
          <w:p w14:paraId="4B5D9BE1" w14:textId="77777777" w:rsidR="004D45AA" w:rsidRPr="00E07C9A" w:rsidRDefault="004D45AA" w:rsidP="004D45AA">
            <w:pPr>
              <w:rPr>
                <w:rStyle w:val="InstructionsTabelleberschrift"/>
                <w:rFonts w:ascii="Times New Roman" w:hAnsi="Times New Roman"/>
                <w:sz w:val="24"/>
              </w:rPr>
            </w:pPr>
            <w:r w:rsidRPr="00E07C9A">
              <w:rPr>
                <w:rStyle w:val="InstructionsTabelleberschrift"/>
                <w:rFonts w:ascii="Times New Roman" w:hAnsi="Times New Roman"/>
                <w:sz w:val="24"/>
              </w:rPr>
              <w:t>ALTERNATÍVNY PRÍSTUP: ZABEZPEČENÉ NEHNUTEĽNÝM MAJETKOM</w:t>
            </w:r>
          </w:p>
          <w:p w14:paraId="6131F39B" w14:textId="284CDD94" w:rsidR="004D45AA" w:rsidRPr="00E07C9A" w:rsidRDefault="004D45AA" w:rsidP="004D45AA">
            <w:pPr>
              <w:rPr>
                <w:rFonts w:ascii="Times New Roman" w:hAnsi="Times New Roman"/>
                <w:sz w:val="24"/>
              </w:rPr>
            </w:pPr>
            <w:r w:rsidRPr="00E07C9A">
              <w:rPr>
                <w:rFonts w:ascii="Times New Roman" w:hAnsi="Times New Roman"/>
                <w:sz w:val="24"/>
              </w:rPr>
              <w:t>Článok 193 ods. 1</w:t>
            </w:r>
            <w:r w:rsidR="009912F8" w:rsidRPr="00E07C9A">
              <w:rPr>
                <w:rFonts w:ascii="Times New Roman" w:hAnsi="Times New Roman"/>
                <w:sz w:val="24"/>
              </w:rPr>
              <w:t xml:space="preserve"> a </w:t>
            </w:r>
            <w:r w:rsidRPr="00E07C9A">
              <w:rPr>
                <w:rFonts w:ascii="Times New Roman" w:hAnsi="Times New Roman"/>
                <w:sz w:val="24"/>
              </w:rPr>
              <w:t>2, článok 194 ods. 1 až 7</w:t>
            </w:r>
            <w:r w:rsidR="009912F8" w:rsidRPr="00E07C9A">
              <w:rPr>
                <w:rFonts w:ascii="Times New Roman" w:hAnsi="Times New Roman"/>
                <w:sz w:val="24"/>
              </w:rPr>
              <w:t xml:space="preserve"> a </w:t>
            </w:r>
            <w:r w:rsidRPr="00E07C9A">
              <w:rPr>
                <w:rFonts w:ascii="Times New Roman" w:hAnsi="Times New Roman"/>
                <w:sz w:val="24"/>
              </w:rPr>
              <w:t xml:space="preserve">článok 230 ods. 3 nariadenia (EÚ) </w:t>
            </w:r>
            <w:r w:rsidR="009912F8" w:rsidRPr="00E07C9A">
              <w:rPr>
                <w:rFonts w:ascii="Times New Roman" w:hAnsi="Times New Roman"/>
                <w:sz w:val="24"/>
              </w:rPr>
              <w:t>č. 575/2013</w:t>
            </w:r>
          </w:p>
          <w:p w14:paraId="545B7E96" w14:textId="4C2593B3" w:rsidR="004D45AA" w:rsidRPr="00E07C9A" w:rsidRDefault="004D45AA" w:rsidP="004D45AA">
            <w:pPr>
              <w:rPr>
                <w:rFonts w:ascii="Times New Roman" w:hAnsi="Times New Roman"/>
                <w:sz w:val="24"/>
              </w:rPr>
            </w:pPr>
            <w:r w:rsidRPr="00E07C9A">
              <w:rPr>
                <w:rFonts w:ascii="Times New Roman" w:hAnsi="Times New Roman"/>
                <w:sz w:val="24"/>
              </w:rPr>
              <w:t>Táto alternatíva je</w:t>
            </w:r>
            <w:r w:rsidR="009912F8" w:rsidRPr="00E07C9A">
              <w:rPr>
                <w:rFonts w:ascii="Times New Roman" w:hAnsi="Times New Roman"/>
                <w:sz w:val="24"/>
              </w:rPr>
              <w:t xml:space="preserve"> k </w:t>
            </w:r>
            <w:r w:rsidRPr="00E07C9A">
              <w:rPr>
                <w:rFonts w:ascii="Times New Roman" w:hAnsi="Times New Roman"/>
                <w:sz w:val="24"/>
              </w:rPr>
              <w:t>dispozícii len pre inštitúcie, ktoré používajú základný prístup IRB.</w:t>
            </w:r>
          </w:p>
        </w:tc>
      </w:tr>
      <w:tr w:rsidR="004D45AA" w:rsidRPr="00E07C9A" w14:paraId="6BA4F4EE" w14:textId="77777777" w:rsidTr="00672D2A">
        <w:tc>
          <w:tcPr>
            <w:tcW w:w="1242" w:type="dxa"/>
          </w:tcPr>
          <w:p w14:paraId="034DD1FF" w14:textId="77777777" w:rsidR="004D45AA" w:rsidRPr="00E07C9A" w:rsidRDefault="001452FC" w:rsidP="004D45AA">
            <w:pPr>
              <w:rPr>
                <w:rFonts w:ascii="Times New Roman" w:hAnsi="Times New Roman"/>
                <w:sz w:val="24"/>
              </w:rPr>
            </w:pPr>
            <w:r w:rsidRPr="00E07C9A">
              <w:rPr>
                <w:rFonts w:ascii="Times New Roman" w:hAnsi="Times New Roman"/>
                <w:sz w:val="24"/>
              </w:rPr>
              <w:t>0170</w:t>
            </w:r>
          </w:p>
        </w:tc>
        <w:tc>
          <w:tcPr>
            <w:tcW w:w="8789" w:type="dxa"/>
          </w:tcPr>
          <w:p w14:paraId="5B7DE340" w14:textId="3351E13A" w:rsidR="004D45AA" w:rsidRPr="00E07C9A" w:rsidRDefault="004D45AA" w:rsidP="004D45AA">
            <w:pPr>
              <w:rPr>
                <w:rStyle w:val="InstructionsTabelleberschrift"/>
                <w:rFonts w:ascii="Times New Roman" w:hAnsi="Times New Roman"/>
                <w:sz w:val="24"/>
              </w:rPr>
            </w:pPr>
            <w:r w:rsidRPr="00E07C9A">
              <w:rPr>
                <w:rStyle w:val="InstructionsTabelleberschrift"/>
                <w:rFonts w:ascii="Times New Roman" w:hAnsi="Times New Roman"/>
                <w:sz w:val="24"/>
              </w:rPr>
              <w:t>EXPOZÍCIE VYPLÝVAJÚCE</w:t>
            </w:r>
            <w:r w:rsidR="009912F8" w:rsidRPr="00E07C9A">
              <w:rPr>
                <w:rStyle w:val="InstructionsTabelleberschrift"/>
                <w:rFonts w:ascii="Times New Roman" w:hAnsi="Times New Roman"/>
                <w:sz w:val="24"/>
              </w:rPr>
              <w:t xml:space="preserve"> Z </w:t>
            </w:r>
            <w:r w:rsidRPr="00E07C9A">
              <w:rPr>
                <w:rStyle w:val="InstructionsTabelleberschrift"/>
                <w:rFonts w:ascii="Times New Roman" w:hAnsi="Times New Roman"/>
                <w:sz w:val="24"/>
              </w:rPr>
              <w:t>BEZODPLATNÉHO DODANIA</w:t>
            </w:r>
            <w:r w:rsidR="009912F8" w:rsidRPr="00E07C9A">
              <w:rPr>
                <w:rStyle w:val="InstructionsTabelleberschrift"/>
                <w:rFonts w:ascii="Times New Roman" w:hAnsi="Times New Roman"/>
                <w:sz w:val="24"/>
              </w:rPr>
              <w:t xml:space="preserve"> S </w:t>
            </w:r>
            <w:r w:rsidRPr="00E07C9A">
              <w:rPr>
                <w:rStyle w:val="InstructionsTabelleberschrift"/>
                <w:rFonts w:ascii="Times New Roman" w:hAnsi="Times New Roman"/>
                <w:sz w:val="24"/>
              </w:rPr>
              <w:t>UPLATNENÍM RIZIKOVÝCH VÁH</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RÁMCI ALTERNATÍVNEHO PRÍSTUPU ALEBO 100</w:t>
            </w:r>
            <w:r w:rsidR="009912F8" w:rsidRPr="00E07C9A">
              <w:rPr>
                <w:rFonts w:ascii="Times New Roman" w:hAnsi="Times New Roman"/>
              </w:rPr>
              <w:t> %</w:t>
            </w:r>
            <w:r w:rsidRPr="00E07C9A">
              <w:rPr>
                <w:rStyle w:val="InstructionsTabelleberschrift"/>
                <w:rFonts w:ascii="Times New Roman" w:hAnsi="Times New Roman"/>
                <w:sz w:val="24"/>
              </w:rPr>
              <w:t xml:space="preserve"> A INÉ EXPOZÍCIE PODLIEHAJÚCE RIZIKOVÝM VÁHAM</w:t>
            </w:r>
          </w:p>
          <w:p w14:paraId="0783F043" w14:textId="79B72ADD" w:rsidR="004D45AA" w:rsidRPr="00E07C9A" w:rsidRDefault="004D45AA" w:rsidP="00E1685B">
            <w:pPr>
              <w:rPr>
                <w:rFonts w:ascii="Times New Roman" w:hAnsi="Times New Roman"/>
                <w:sz w:val="24"/>
              </w:rPr>
            </w:pPr>
            <w:r w:rsidRPr="00E07C9A">
              <w:rPr>
                <w:rFonts w:ascii="Times New Roman" w:hAnsi="Times New Roman"/>
                <w:sz w:val="24"/>
              </w:rPr>
              <w:t>Expozície vyplývajúce</w:t>
            </w:r>
            <w:r w:rsidR="009912F8" w:rsidRPr="00E07C9A">
              <w:rPr>
                <w:rFonts w:ascii="Times New Roman" w:hAnsi="Times New Roman"/>
                <w:sz w:val="24"/>
              </w:rPr>
              <w:t xml:space="preserve"> z </w:t>
            </w:r>
            <w:r w:rsidRPr="00E07C9A">
              <w:rPr>
                <w:rFonts w:ascii="Times New Roman" w:hAnsi="Times New Roman"/>
                <w:sz w:val="24"/>
              </w:rPr>
              <w:t>bezodplatného dodania, na ktoré sa uplatňuje alternatívny prístup uvedený</w:t>
            </w:r>
            <w:r w:rsidR="009912F8" w:rsidRPr="00E07C9A">
              <w:rPr>
                <w:rFonts w:ascii="Times New Roman" w:hAnsi="Times New Roman"/>
                <w:sz w:val="24"/>
              </w:rPr>
              <w:t xml:space="preserve"> v </w:t>
            </w:r>
            <w:r w:rsidRPr="00E07C9A">
              <w:rPr>
                <w:rFonts w:ascii="Times New Roman" w:hAnsi="Times New Roman"/>
                <w:sz w:val="24"/>
              </w:rPr>
              <w:t xml:space="preserve">článku 379 ods. 2 prvom pododseku poslednej vete nariadenia (EÚ) </w:t>
            </w:r>
            <w:r w:rsidR="009912F8" w:rsidRPr="00E07C9A">
              <w:rPr>
                <w:rFonts w:ascii="Times New Roman" w:hAnsi="Times New Roman"/>
                <w:sz w:val="24"/>
              </w:rPr>
              <w:t>č. 575/2013</w:t>
            </w:r>
            <w:r w:rsidRPr="00E07C9A">
              <w:rPr>
                <w:rFonts w:ascii="Times New Roman" w:hAnsi="Times New Roman"/>
                <w:sz w:val="24"/>
              </w:rPr>
              <w:t xml:space="preserve"> alebo na ktoré sa uplatňuje riziková váha 100</w:t>
            </w:r>
            <w:r w:rsidR="009912F8" w:rsidRPr="00E07C9A">
              <w:rPr>
                <w:rFonts w:ascii="Times New Roman" w:hAnsi="Times New Roman"/>
                <w:sz w:val="24"/>
              </w:rPr>
              <w:t> %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379 ods. 2 posledným pododsekom nariadenia (EÚ) </w:t>
            </w:r>
            <w:r w:rsidR="009912F8" w:rsidRPr="00E07C9A">
              <w:rPr>
                <w:rFonts w:ascii="Times New Roman" w:hAnsi="Times New Roman"/>
                <w:sz w:val="24"/>
              </w:rPr>
              <w:t>č. 575/2013</w:t>
            </w:r>
            <w:r w:rsidRPr="00E07C9A">
              <w:rPr>
                <w:rFonts w:ascii="Times New Roman" w:hAnsi="Times New Roman"/>
                <w:sz w:val="24"/>
              </w:rPr>
              <w:t>.</w:t>
            </w:r>
            <w:r w:rsidR="009912F8" w:rsidRPr="00E07C9A">
              <w:rPr>
                <w:rFonts w:ascii="Times New Roman" w:hAnsi="Times New Roman"/>
                <w:sz w:val="24"/>
              </w:rPr>
              <w:t xml:space="preserve"> V </w:t>
            </w:r>
            <w:r w:rsidRPr="00E07C9A">
              <w:rPr>
                <w:rFonts w:ascii="Times New Roman" w:hAnsi="Times New Roman"/>
                <w:sz w:val="24"/>
              </w:rPr>
              <w:t>tomto riadku sa vykazujú kreditné deriváty pre n-té zlyhanie bez ratingového hodnotenia</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153 ods. 8 nariadenia (EÚ) </w:t>
            </w:r>
            <w:r w:rsidR="009912F8" w:rsidRPr="00E07C9A">
              <w:rPr>
                <w:rFonts w:ascii="Times New Roman" w:hAnsi="Times New Roman"/>
                <w:sz w:val="24"/>
              </w:rPr>
              <w:t>č. 575/2013 a </w:t>
            </w:r>
            <w:r w:rsidRPr="00E07C9A">
              <w:rPr>
                <w:rFonts w:ascii="Times New Roman" w:hAnsi="Times New Roman"/>
                <w:sz w:val="24"/>
              </w:rPr>
              <w:t>všetky ostatné expozície, na ktoré sa uplatňujú rizikové váhy, nezahrnuté</w:t>
            </w:r>
            <w:r w:rsidR="009912F8" w:rsidRPr="00E07C9A">
              <w:rPr>
                <w:rFonts w:ascii="Times New Roman" w:hAnsi="Times New Roman"/>
                <w:sz w:val="24"/>
              </w:rPr>
              <w:t xml:space="preserve"> v </w:t>
            </w:r>
            <w:r w:rsidRPr="00E07C9A">
              <w:rPr>
                <w:rFonts w:ascii="Times New Roman" w:hAnsi="Times New Roman"/>
                <w:sz w:val="24"/>
              </w:rPr>
              <w:t>inom riadku.</w:t>
            </w:r>
          </w:p>
        </w:tc>
      </w:tr>
      <w:tr w:rsidR="004D45AA" w:rsidRPr="00E07C9A" w14:paraId="39FEBFCF" w14:textId="77777777" w:rsidTr="00672D2A">
        <w:tc>
          <w:tcPr>
            <w:tcW w:w="1242" w:type="dxa"/>
          </w:tcPr>
          <w:p w14:paraId="32555050" w14:textId="77777777" w:rsidR="004D45AA" w:rsidRPr="00E07C9A" w:rsidRDefault="001452FC" w:rsidP="004D45AA">
            <w:pPr>
              <w:rPr>
                <w:rFonts w:ascii="Times New Roman" w:hAnsi="Times New Roman"/>
                <w:sz w:val="24"/>
              </w:rPr>
            </w:pPr>
            <w:r w:rsidRPr="00E07C9A">
              <w:rPr>
                <w:rFonts w:ascii="Times New Roman" w:hAnsi="Times New Roman"/>
                <w:sz w:val="24"/>
              </w:rPr>
              <w:t>0180</w:t>
            </w:r>
          </w:p>
        </w:tc>
        <w:tc>
          <w:tcPr>
            <w:tcW w:w="8789" w:type="dxa"/>
          </w:tcPr>
          <w:p w14:paraId="0DF6DEAA" w14:textId="4EF90774" w:rsidR="004D45AA" w:rsidRPr="00E07C9A" w:rsidRDefault="004D45AA" w:rsidP="004D45AA">
            <w:pPr>
              <w:rPr>
                <w:rStyle w:val="InstructionsTabelleberschrift"/>
                <w:rFonts w:ascii="Times New Roman" w:hAnsi="Times New Roman"/>
                <w:sz w:val="24"/>
              </w:rPr>
            </w:pPr>
            <w:r w:rsidRPr="00E07C9A">
              <w:rPr>
                <w:rStyle w:val="InstructionsTabelleberschrift"/>
                <w:rFonts w:ascii="Times New Roman" w:hAnsi="Times New Roman"/>
                <w:sz w:val="24"/>
              </w:rPr>
              <w:t>RIZIKO ZNÍŽENIA KVALITY POHĽADÁVOK</w:t>
            </w:r>
            <w:r w:rsidR="009912F8" w:rsidRPr="00E07C9A">
              <w:rPr>
                <w:rStyle w:val="InstructionsTabelleberschrift"/>
                <w:rFonts w:ascii="Times New Roman" w:hAnsi="Times New Roman"/>
                <w:sz w:val="24"/>
              </w:rPr>
              <w:t xml:space="preserve"> Z </w:t>
            </w:r>
            <w:r w:rsidRPr="00E07C9A">
              <w:rPr>
                <w:rStyle w:val="InstructionsTabelleberschrift"/>
                <w:rFonts w:ascii="Times New Roman" w:hAnsi="Times New Roman"/>
                <w:sz w:val="24"/>
              </w:rPr>
              <w:t>INÝCH AKO KREDITNÝCH DÔVODOV: CELKOVÉ ODKÚPENÉ POHĽADÁVKY</w:t>
            </w:r>
          </w:p>
          <w:p w14:paraId="52C8CBD1" w14:textId="5E3BEFC1" w:rsidR="004D45AA" w:rsidRPr="00E07C9A" w:rsidRDefault="004D45AA" w:rsidP="004D45AA">
            <w:pPr>
              <w:rPr>
                <w:rFonts w:ascii="Times New Roman" w:hAnsi="Times New Roman"/>
                <w:sz w:val="24"/>
              </w:rPr>
            </w:pPr>
            <w:r w:rsidRPr="00E07C9A">
              <w:rPr>
                <w:rFonts w:ascii="Times New Roman" w:hAnsi="Times New Roman"/>
                <w:sz w:val="24"/>
              </w:rPr>
              <w:t>Pokiaľ ide</w:t>
            </w:r>
            <w:r w:rsidR="009912F8" w:rsidRPr="00E07C9A">
              <w:rPr>
                <w:rFonts w:ascii="Times New Roman" w:hAnsi="Times New Roman"/>
                <w:sz w:val="24"/>
              </w:rPr>
              <w:t xml:space="preserve"> o </w:t>
            </w:r>
            <w:r w:rsidRPr="00E07C9A">
              <w:rPr>
                <w:rFonts w:ascii="Times New Roman" w:hAnsi="Times New Roman"/>
                <w:sz w:val="24"/>
              </w:rPr>
              <w:t>vymedzenie rizika zníženia kvality pohľadávok</w:t>
            </w:r>
            <w:r w:rsidR="009912F8" w:rsidRPr="00E07C9A">
              <w:rPr>
                <w:rFonts w:ascii="Times New Roman" w:hAnsi="Times New Roman"/>
                <w:sz w:val="24"/>
              </w:rPr>
              <w:t xml:space="preserve"> z </w:t>
            </w:r>
            <w:r w:rsidRPr="00E07C9A">
              <w:rPr>
                <w:rFonts w:ascii="Times New Roman" w:hAnsi="Times New Roman"/>
                <w:sz w:val="24"/>
              </w:rPr>
              <w:t xml:space="preserve">iných ako kreditných dôvodov, pozri článok 4 ods. 1 bod 53 nariadenia (EÚ) </w:t>
            </w:r>
            <w:r w:rsidR="009912F8" w:rsidRPr="00E07C9A">
              <w:rPr>
                <w:rFonts w:ascii="Times New Roman" w:hAnsi="Times New Roman"/>
                <w:sz w:val="24"/>
              </w:rPr>
              <w:t>č. 575/2013</w:t>
            </w:r>
            <w:r w:rsidRPr="00E07C9A">
              <w:rPr>
                <w:rFonts w:ascii="Times New Roman" w:hAnsi="Times New Roman"/>
                <w:sz w:val="24"/>
              </w:rPr>
              <w:t>. Pokiaľ ide</w:t>
            </w:r>
            <w:r w:rsidR="009912F8" w:rsidRPr="00E07C9A">
              <w:rPr>
                <w:rFonts w:ascii="Times New Roman" w:hAnsi="Times New Roman"/>
                <w:sz w:val="24"/>
              </w:rPr>
              <w:t xml:space="preserve"> o </w:t>
            </w:r>
            <w:r w:rsidRPr="00E07C9A">
              <w:rPr>
                <w:rFonts w:ascii="Times New Roman" w:hAnsi="Times New Roman"/>
                <w:sz w:val="24"/>
              </w:rPr>
              <w:t>výpočet hodnôt rizikovo vážených expozícií</w:t>
            </w:r>
            <w:r w:rsidR="009912F8" w:rsidRPr="00E07C9A">
              <w:rPr>
                <w:rFonts w:ascii="Times New Roman" w:hAnsi="Times New Roman"/>
                <w:sz w:val="24"/>
              </w:rPr>
              <w:t xml:space="preserve"> v </w:t>
            </w:r>
            <w:r w:rsidRPr="00E07C9A">
              <w:rPr>
                <w:rFonts w:ascii="Times New Roman" w:hAnsi="Times New Roman"/>
                <w:sz w:val="24"/>
              </w:rPr>
              <w:t>prípade rizika zníženia kvality pohľadávok</w:t>
            </w:r>
            <w:r w:rsidR="009912F8" w:rsidRPr="00E07C9A">
              <w:rPr>
                <w:rFonts w:ascii="Times New Roman" w:hAnsi="Times New Roman"/>
                <w:sz w:val="24"/>
              </w:rPr>
              <w:t xml:space="preserve"> z </w:t>
            </w:r>
            <w:r w:rsidRPr="00E07C9A">
              <w:rPr>
                <w:rFonts w:ascii="Times New Roman" w:hAnsi="Times New Roman"/>
                <w:sz w:val="24"/>
              </w:rPr>
              <w:t xml:space="preserve">iných ako kreditných dôvodov, pozri článok 157 nariadenia (EÚ) </w:t>
            </w:r>
            <w:r w:rsidR="009912F8" w:rsidRPr="00E07C9A">
              <w:rPr>
                <w:rFonts w:ascii="Times New Roman" w:hAnsi="Times New Roman"/>
                <w:sz w:val="24"/>
              </w:rPr>
              <w:t>č. 575/2013</w:t>
            </w:r>
            <w:r w:rsidRPr="00E07C9A">
              <w:rPr>
                <w:rFonts w:ascii="Times New Roman" w:hAnsi="Times New Roman"/>
                <w:sz w:val="24"/>
              </w:rPr>
              <w:t>. Riziko zníženia kvality pohľadávok</w:t>
            </w:r>
            <w:r w:rsidR="009912F8" w:rsidRPr="00E07C9A">
              <w:rPr>
                <w:rFonts w:ascii="Times New Roman" w:hAnsi="Times New Roman"/>
                <w:sz w:val="24"/>
              </w:rPr>
              <w:t xml:space="preserve"> z </w:t>
            </w:r>
            <w:r w:rsidRPr="00E07C9A">
              <w:rPr>
                <w:rFonts w:ascii="Times New Roman" w:hAnsi="Times New Roman"/>
                <w:sz w:val="24"/>
              </w:rPr>
              <w:t>iných ako kreditných dôvodov sa vykazuje pri odkúpených podnikových</w:t>
            </w:r>
            <w:r w:rsidR="009912F8" w:rsidRPr="00E07C9A">
              <w:rPr>
                <w:rFonts w:ascii="Times New Roman" w:hAnsi="Times New Roman"/>
                <w:sz w:val="24"/>
              </w:rPr>
              <w:t xml:space="preserve"> a </w:t>
            </w:r>
            <w:r w:rsidRPr="00E07C9A">
              <w:rPr>
                <w:rFonts w:ascii="Times New Roman" w:hAnsi="Times New Roman"/>
                <w:sz w:val="24"/>
              </w:rPr>
              <w:t>retailových pohľadávkach.</w:t>
            </w:r>
          </w:p>
          <w:p w14:paraId="7C3FE345" w14:textId="77777777" w:rsidR="004D45AA" w:rsidRPr="00E07C9A" w:rsidRDefault="004D45AA" w:rsidP="004D45AA">
            <w:pPr>
              <w:rPr>
                <w:rFonts w:ascii="Times New Roman" w:hAnsi="Times New Roman"/>
                <w:sz w:val="24"/>
              </w:rPr>
            </w:pPr>
          </w:p>
        </w:tc>
      </w:tr>
    </w:tbl>
    <w:p w14:paraId="7D1137D8" w14:textId="77777777" w:rsidR="004357B9" w:rsidRPr="00E07C9A" w:rsidRDefault="004357B9" w:rsidP="004357B9">
      <w:pPr>
        <w:autoSpaceDE w:val="0"/>
        <w:autoSpaceDN w:val="0"/>
        <w:adjustRightInd w:val="0"/>
        <w:spacing w:before="0" w:after="0"/>
        <w:ind w:left="284"/>
        <w:jc w:val="left"/>
        <w:rPr>
          <w:rFonts w:ascii="Times New Roman" w:hAnsi="Times New Roman"/>
          <w:sz w:val="24"/>
        </w:rPr>
      </w:pPr>
      <w:bookmarkStart w:id="241" w:name="_Toc120327823"/>
      <w:bookmarkStart w:id="242" w:name="_Toc120072325"/>
      <w:bookmarkStart w:id="243" w:name="_Toc294280272"/>
      <w:bookmarkStart w:id="244" w:name="_Toc294281597"/>
      <w:bookmarkStart w:id="245" w:name="_Toc294281817"/>
      <w:bookmarkStart w:id="246" w:name="_Toc294282031"/>
      <w:bookmarkStart w:id="247" w:name="_Toc294282234"/>
      <w:bookmarkStart w:id="248" w:name="_Toc294714169"/>
      <w:bookmarkStart w:id="249" w:name="_Toc295314195"/>
      <w:bookmarkStart w:id="250" w:name="_Toc295829584"/>
      <w:bookmarkStart w:id="251" w:name="_Toc295829867"/>
      <w:bookmarkStart w:id="252" w:name="_Toc301772755"/>
      <w:bookmarkStart w:id="253" w:name="_Toc301772833"/>
      <w:bookmarkStart w:id="254" w:name="_Toc302657772"/>
      <w:bookmarkStart w:id="255" w:name="_Toc302657891"/>
      <w:bookmarkStart w:id="256" w:name="_Toc294280294"/>
      <w:bookmarkStart w:id="257" w:name="_Toc294281619"/>
      <w:bookmarkStart w:id="258" w:name="_Toc294281839"/>
      <w:bookmarkStart w:id="259" w:name="_Toc294282053"/>
      <w:bookmarkStart w:id="260" w:name="_Toc294282256"/>
      <w:bookmarkStart w:id="261" w:name="_Toc294714191"/>
      <w:bookmarkStart w:id="262" w:name="_Toc295314217"/>
      <w:bookmarkStart w:id="263" w:name="_Toc295829606"/>
      <w:bookmarkStart w:id="264" w:name="_Toc295829889"/>
      <w:bookmarkStart w:id="265" w:name="_Toc301772777"/>
      <w:bookmarkStart w:id="266" w:name="_Toc301772855"/>
      <w:bookmarkStart w:id="267" w:name="_Toc302657794"/>
      <w:bookmarkStart w:id="268" w:name="_Toc302657913"/>
      <w:bookmarkStart w:id="269" w:name="_Toc294280312"/>
      <w:bookmarkStart w:id="270" w:name="_Toc294281637"/>
      <w:bookmarkStart w:id="271" w:name="_Toc294281857"/>
      <w:bookmarkStart w:id="272" w:name="_Toc294282071"/>
      <w:bookmarkStart w:id="273" w:name="_Toc294282274"/>
      <w:bookmarkStart w:id="274" w:name="_Toc294714209"/>
      <w:bookmarkStart w:id="275" w:name="_Toc295314235"/>
      <w:bookmarkStart w:id="276" w:name="_Toc295829624"/>
      <w:bookmarkStart w:id="277" w:name="_Toc295829907"/>
      <w:bookmarkStart w:id="278" w:name="_Toc301772795"/>
      <w:bookmarkStart w:id="279" w:name="_Toc301772873"/>
      <w:bookmarkStart w:id="280" w:name="_Toc302657812"/>
      <w:bookmarkStart w:id="281" w:name="_Toc302657931"/>
      <w:bookmarkStart w:id="282" w:name="_Toc294280316"/>
      <w:bookmarkStart w:id="283" w:name="_Toc294281641"/>
      <w:bookmarkStart w:id="284" w:name="_Toc294281861"/>
      <w:bookmarkStart w:id="285" w:name="_Toc294282075"/>
      <w:bookmarkStart w:id="286" w:name="_Toc294282278"/>
      <w:bookmarkStart w:id="287" w:name="_Toc294714213"/>
      <w:bookmarkStart w:id="288" w:name="_Toc295314239"/>
      <w:bookmarkStart w:id="289" w:name="_Toc295829628"/>
      <w:bookmarkStart w:id="290" w:name="_Toc295829911"/>
      <w:bookmarkStart w:id="291" w:name="_Toc301772799"/>
      <w:bookmarkStart w:id="292" w:name="_Toc301772877"/>
      <w:bookmarkStart w:id="293" w:name="_Toc302657816"/>
      <w:bookmarkStart w:id="294" w:name="_Toc302657935"/>
      <w:bookmarkStart w:id="295" w:name="_Toc294280319"/>
      <w:bookmarkStart w:id="296" w:name="_Toc294281644"/>
      <w:bookmarkStart w:id="297" w:name="_Toc294281864"/>
      <w:bookmarkStart w:id="298" w:name="_Toc294282078"/>
      <w:bookmarkStart w:id="299" w:name="_Toc294282281"/>
      <w:bookmarkStart w:id="300" w:name="_Toc294714216"/>
      <w:bookmarkStart w:id="301" w:name="_Toc295314242"/>
      <w:bookmarkStart w:id="302" w:name="_Toc295829631"/>
      <w:bookmarkStart w:id="303" w:name="_Toc295829914"/>
      <w:bookmarkStart w:id="304" w:name="_Toc301772802"/>
      <w:bookmarkStart w:id="305" w:name="_Toc301772880"/>
      <w:bookmarkStart w:id="306" w:name="_Toc302657819"/>
      <w:bookmarkStart w:id="307" w:name="_Toc302657938"/>
      <w:bookmarkStart w:id="308" w:name="_Toc294280322"/>
      <w:bookmarkStart w:id="309" w:name="_Toc294281647"/>
      <w:bookmarkStart w:id="310" w:name="_Toc294281867"/>
      <w:bookmarkStart w:id="311" w:name="_Toc294282081"/>
      <w:bookmarkStart w:id="312" w:name="_Toc294282284"/>
      <w:bookmarkStart w:id="313" w:name="_Toc294714219"/>
      <w:bookmarkStart w:id="314" w:name="_Toc295314245"/>
      <w:bookmarkStart w:id="315" w:name="_Toc295829634"/>
      <w:bookmarkStart w:id="316" w:name="_Toc295829917"/>
      <w:bookmarkStart w:id="317" w:name="_Toc301772805"/>
      <w:bookmarkStart w:id="318" w:name="_Toc301772883"/>
      <w:bookmarkStart w:id="319" w:name="_Toc302657822"/>
      <w:bookmarkStart w:id="320" w:name="_Toc302657941"/>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p>
    <w:p w14:paraId="18985CE5" w14:textId="4947A986" w:rsidR="001C7AB7" w:rsidRPr="00E07C9A" w:rsidRDefault="00125707" w:rsidP="0023700C">
      <w:pPr>
        <w:pStyle w:val="Instructionsberschrift2"/>
        <w:numPr>
          <w:ilvl w:val="0"/>
          <w:numId w:val="0"/>
        </w:numPr>
        <w:ind w:left="357" w:hanging="357"/>
        <w:rPr>
          <w:rFonts w:ascii="Times New Roman" w:hAnsi="Times New Roman" w:cs="Times New Roman"/>
          <w:sz w:val="24"/>
        </w:rPr>
      </w:pPr>
      <w:bookmarkStart w:id="321" w:name="_Toc473560911"/>
      <w:bookmarkStart w:id="322" w:name="_Toc115857791"/>
      <w:r w:rsidRPr="00E07C9A">
        <w:rPr>
          <w:rFonts w:ascii="Times New Roman" w:hAnsi="Times New Roman" w:cs="Times New Roman"/>
          <w:sz w:val="24"/>
          <w:u w:val="none"/>
        </w:rPr>
        <w:t>3.3.4.</w:t>
      </w:r>
      <w:r w:rsidRPr="00E07C9A">
        <w:rPr>
          <w:rFonts w:ascii="Times New Roman" w:hAnsi="Times New Roman" w:cs="Times New Roman"/>
          <w:u w:val="none"/>
        </w:rPr>
        <w:tab/>
      </w:r>
      <w:r w:rsidRPr="00E07C9A">
        <w:rPr>
          <w:rFonts w:ascii="Times New Roman" w:hAnsi="Times New Roman" w:cs="Times New Roman"/>
          <w:sz w:val="24"/>
        </w:rPr>
        <w:t>C 08.02 – Kreditné riziko</w:t>
      </w:r>
      <w:r w:rsidR="009912F8" w:rsidRPr="00E07C9A">
        <w:rPr>
          <w:rFonts w:ascii="Times New Roman" w:hAnsi="Times New Roman" w:cs="Times New Roman"/>
          <w:sz w:val="24"/>
        </w:rPr>
        <w:t xml:space="preserve"> a </w:t>
      </w:r>
      <w:r w:rsidRPr="00E07C9A">
        <w:rPr>
          <w:rFonts w:ascii="Times New Roman" w:hAnsi="Times New Roman" w:cs="Times New Roman"/>
          <w:sz w:val="24"/>
        </w:rPr>
        <w:t>kreditné riziko protistrany</w:t>
      </w:r>
      <w:r w:rsidR="009912F8" w:rsidRPr="00E07C9A">
        <w:rPr>
          <w:rFonts w:ascii="Times New Roman" w:hAnsi="Times New Roman" w:cs="Times New Roman"/>
          <w:sz w:val="24"/>
        </w:rPr>
        <w:t xml:space="preserve"> a </w:t>
      </w:r>
      <w:r w:rsidRPr="00E07C9A">
        <w:rPr>
          <w:rFonts w:ascii="Times New Roman" w:hAnsi="Times New Roman" w:cs="Times New Roman"/>
          <w:sz w:val="24"/>
        </w:rPr>
        <w:t>bezodplatné dodanie: Prístup IRB ku kapitálovým požiadavkám: rozčlenenie podľa ratingových stupňov alebo skupín dlžníkov (vzor CR IRB 2)</w:t>
      </w:r>
      <w:bookmarkEnd w:id="321"/>
      <w:bookmarkEnd w:id="32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E07C9A" w14:paraId="3A57A876" w14:textId="77777777" w:rsidTr="00672D2A">
        <w:tc>
          <w:tcPr>
            <w:tcW w:w="2024" w:type="dxa"/>
            <w:shd w:val="clear" w:color="auto" w:fill="BFBFBF"/>
          </w:tcPr>
          <w:p w14:paraId="283087BF" w14:textId="77777777" w:rsidR="001C7AB7" w:rsidRPr="00E07C9A" w:rsidRDefault="001C7AB7" w:rsidP="001C7AB7">
            <w:pPr>
              <w:rPr>
                <w:rFonts w:ascii="Times New Roman" w:hAnsi="Times New Roman"/>
                <w:sz w:val="24"/>
              </w:rPr>
            </w:pPr>
            <w:r w:rsidRPr="00E07C9A">
              <w:rPr>
                <w:rFonts w:ascii="Times New Roman" w:hAnsi="Times New Roman"/>
                <w:sz w:val="24"/>
              </w:rPr>
              <w:t>Stĺpec</w:t>
            </w:r>
          </w:p>
        </w:tc>
        <w:tc>
          <w:tcPr>
            <w:tcW w:w="7804" w:type="dxa"/>
            <w:shd w:val="clear" w:color="auto" w:fill="BFBFBF"/>
          </w:tcPr>
          <w:p w14:paraId="68D479F5" w14:textId="77777777" w:rsidR="001C7AB7" w:rsidRPr="00E07C9A" w:rsidRDefault="001C7AB7" w:rsidP="001C7AB7">
            <w:pPr>
              <w:rPr>
                <w:rFonts w:ascii="Times New Roman" w:hAnsi="Times New Roman"/>
                <w:sz w:val="24"/>
              </w:rPr>
            </w:pPr>
            <w:r w:rsidRPr="00E07C9A">
              <w:rPr>
                <w:rFonts w:ascii="Times New Roman" w:hAnsi="Times New Roman"/>
                <w:sz w:val="24"/>
              </w:rPr>
              <w:t>Pokyny</w:t>
            </w:r>
          </w:p>
        </w:tc>
      </w:tr>
      <w:tr w:rsidR="00E97CD2" w:rsidRPr="00E07C9A" w14:paraId="200A3CC0" w14:textId="77777777" w:rsidTr="00672D2A">
        <w:tc>
          <w:tcPr>
            <w:tcW w:w="2024" w:type="dxa"/>
          </w:tcPr>
          <w:p w14:paraId="4FE68564" w14:textId="77777777" w:rsidR="00E97CD2" w:rsidRPr="00E07C9A" w:rsidRDefault="001452FC" w:rsidP="001C7AB7">
            <w:pPr>
              <w:rPr>
                <w:rFonts w:ascii="Times New Roman" w:hAnsi="Times New Roman"/>
                <w:sz w:val="24"/>
              </w:rPr>
            </w:pPr>
            <w:r w:rsidRPr="00E07C9A">
              <w:rPr>
                <w:rFonts w:ascii="Times New Roman" w:hAnsi="Times New Roman"/>
                <w:sz w:val="24"/>
              </w:rPr>
              <w:t>0005</w:t>
            </w:r>
          </w:p>
        </w:tc>
        <w:tc>
          <w:tcPr>
            <w:tcW w:w="7804" w:type="dxa"/>
          </w:tcPr>
          <w:p w14:paraId="599834F4" w14:textId="77777777" w:rsidR="00E97CD2" w:rsidRPr="00E07C9A" w:rsidRDefault="00E97CD2" w:rsidP="001C7AB7">
            <w:pPr>
              <w:rPr>
                <w:rFonts w:ascii="Times New Roman" w:hAnsi="Times New Roman"/>
                <w:b/>
                <w:sz w:val="24"/>
                <w:u w:val="single"/>
              </w:rPr>
            </w:pPr>
            <w:r w:rsidRPr="00E07C9A">
              <w:rPr>
                <w:rFonts w:ascii="Times New Roman" w:hAnsi="Times New Roman"/>
                <w:b/>
                <w:sz w:val="24"/>
                <w:u w:val="single"/>
              </w:rPr>
              <w:t>Ratingový stupeň dlžníka (identifikátor riadku)</w:t>
            </w:r>
          </w:p>
          <w:p w14:paraId="3F34567F" w14:textId="162BEAAB" w:rsidR="00E97CD2" w:rsidRPr="00E07C9A" w:rsidRDefault="00E97CD2" w:rsidP="00133396">
            <w:pPr>
              <w:rPr>
                <w:rFonts w:ascii="Times New Roman" w:hAnsi="Times New Roman"/>
                <w:sz w:val="24"/>
              </w:rPr>
            </w:pPr>
            <w:r w:rsidRPr="00E07C9A">
              <w:rPr>
                <w:rFonts w:ascii="Times New Roman" w:hAnsi="Times New Roman"/>
                <w:sz w:val="24"/>
              </w:rPr>
              <w:t>Ide</w:t>
            </w:r>
            <w:r w:rsidR="009912F8" w:rsidRPr="00E07C9A">
              <w:rPr>
                <w:rFonts w:ascii="Times New Roman" w:hAnsi="Times New Roman"/>
                <w:sz w:val="24"/>
              </w:rPr>
              <w:t xml:space="preserve"> o </w:t>
            </w:r>
            <w:r w:rsidRPr="00E07C9A">
              <w:rPr>
                <w:rFonts w:ascii="Times New Roman" w:hAnsi="Times New Roman"/>
                <w:sz w:val="24"/>
              </w:rPr>
              <w:t>identifikátor riadku, ktorý musí byť jedinečný pre každý riadok príslušného hárku vzoru. Riadi sa číselným poradím 1, 2, 3 atď.</w:t>
            </w:r>
          </w:p>
          <w:p w14:paraId="55E72884" w14:textId="2CEEDD0E" w:rsidR="008151A6" w:rsidRPr="00E07C9A" w:rsidRDefault="008151A6" w:rsidP="00133396">
            <w:pPr>
              <w:rPr>
                <w:rFonts w:ascii="Times New Roman" w:hAnsi="Times New Roman"/>
                <w:sz w:val="24"/>
              </w:rPr>
            </w:pPr>
            <w:r w:rsidRPr="00E07C9A">
              <w:rPr>
                <w:rFonts w:ascii="Times New Roman" w:hAnsi="Times New Roman"/>
                <w:sz w:val="24"/>
              </w:rPr>
              <w:t>Ako prvý sa má vykazovať stupeň (alebo skupina), ktorý je najlepší, potom druhý najlepší atď. Posledným vykazovaným stupňom alebo stupňami (alebo skupinou) je stupeň expozícií</w:t>
            </w:r>
            <w:r w:rsidR="009912F8" w:rsidRPr="00E07C9A">
              <w:rPr>
                <w:rFonts w:ascii="Times New Roman" w:hAnsi="Times New Roman"/>
                <w:sz w:val="24"/>
              </w:rPr>
              <w:t xml:space="preserve"> v </w:t>
            </w:r>
            <w:r w:rsidRPr="00E07C9A">
              <w:rPr>
                <w:rFonts w:ascii="Times New Roman" w:hAnsi="Times New Roman"/>
                <w:sz w:val="24"/>
              </w:rPr>
              <w:t xml:space="preserve">stave zlyhania. </w:t>
            </w:r>
          </w:p>
        </w:tc>
      </w:tr>
      <w:tr w:rsidR="001C7AB7" w:rsidRPr="00E07C9A" w14:paraId="1FC2E7DE" w14:textId="77777777" w:rsidTr="00672D2A">
        <w:tc>
          <w:tcPr>
            <w:tcW w:w="2024" w:type="dxa"/>
          </w:tcPr>
          <w:p w14:paraId="43C961B3" w14:textId="77777777" w:rsidR="001C7AB7" w:rsidRPr="00E07C9A" w:rsidRDefault="001452FC" w:rsidP="001C7AB7">
            <w:pPr>
              <w:rPr>
                <w:rFonts w:ascii="Times New Roman" w:hAnsi="Times New Roman"/>
                <w:sz w:val="24"/>
              </w:rPr>
            </w:pPr>
            <w:r w:rsidRPr="00E07C9A">
              <w:rPr>
                <w:rFonts w:ascii="Times New Roman" w:hAnsi="Times New Roman"/>
                <w:sz w:val="24"/>
              </w:rPr>
              <w:t>0010 –⁠ 0300</w:t>
            </w:r>
          </w:p>
        </w:tc>
        <w:tc>
          <w:tcPr>
            <w:tcW w:w="7804" w:type="dxa"/>
          </w:tcPr>
          <w:p w14:paraId="1FB5E29A" w14:textId="0D321744" w:rsidR="001C7AB7" w:rsidRPr="00E07C9A" w:rsidRDefault="001C7AB7" w:rsidP="00133396">
            <w:pPr>
              <w:rPr>
                <w:rFonts w:ascii="Times New Roman" w:hAnsi="Times New Roman"/>
                <w:sz w:val="24"/>
              </w:rPr>
            </w:pPr>
            <w:r w:rsidRPr="00E07C9A">
              <w:rPr>
                <w:rFonts w:ascii="Times New Roman" w:hAnsi="Times New Roman"/>
                <w:sz w:val="24"/>
              </w:rPr>
              <w:t>Pokyny ku každému</w:t>
            </w:r>
            <w:r w:rsidR="009912F8" w:rsidRPr="00E07C9A">
              <w:rPr>
                <w:rFonts w:ascii="Times New Roman" w:hAnsi="Times New Roman"/>
                <w:sz w:val="24"/>
              </w:rPr>
              <w:t xml:space="preserve"> z </w:t>
            </w:r>
            <w:r w:rsidRPr="00E07C9A">
              <w:rPr>
                <w:rFonts w:ascii="Times New Roman" w:hAnsi="Times New Roman"/>
                <w:sz w:val="24"/>
              </w:rPr>
              <w:t>týchto stĺpcov sú rovnaké ako pre zodpovedajúce očíslované stĺpce vo vzore CR IRB 1.</w:t>
            </w:r>
          </w:p>
        </w:tc>
      </w:tr>
    </w:tbl>
    <w:p w14:paraId="1345F2CA" w14:textId="77777777" w:rsidR="001C7AB7" w:rsidRPr="00E07C9A" w:rsidRDefault="001C7AB7" w:rsidP="001C7AB7">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E07C9A" w14:paraId="34A925C1" w14:textId="77777777" w:rsidTr="00672D2A">
        <w:tc>
          <w:tcPr>
            <w:tcW w:w="2024" w:type="dxa"/>
            <w:shd w:val="pct25" w:color="auto" w:fill="auto"/>
          </w:tcPr>
          <w:p w14:paraId="7D7FD944" w14:textId="77777777" w:rsidR="001C7AB7" w:rsidRPr="00E07C9A" w:rsidRDefault="001C7AB7" w:rsidP="001C7AB7">
            <w:pPr>
              <w:rPr>
                <w:rFonts w:ascii="Times New Roman" w:hAnsi="Times New Roman"/>
                <w:sz w:val="24"/>
              </w:rPr>
            </w:pPr>
            <w:r w:rsidRPr="00E07C9A">
              <w:rPr>
                <w:rFonts w:ascii="Times New Roman" w:hAnsi="Times New Roman"/>
                <w:sz w:val="24"/>
              </w:rPr>
              <w:t>Riadok</w:t>
            </w:r>
          </w:p>
        </w:tc>
        <w:tc>
          <w:tcPr>
            <w:tcW w:w="7804" w:type="dxa"/>
            <w:shd w:val="pct25" w:color="auto" w:fill="auto"/>
          </w:tcPr>
          <w:p w14:paraId="2CBEF426" w14:textId="77777777" w:rsidR="001C7AB7" w:rsidRPr="00E07C9A" w:rsidRDefault="001C7AB7" w:rsidP="001C7AB7">
            <w:pPr>
              <w:rPr>
                <w:rFonts w:ascii="Times New Roman" w:hAnsi="Times New Roman"/>
                <w:sz w:val="24"/>
              </w:rPr>
            </w:pPr>
            <w:r w:rsidRPr="00E07C9A">
              <w:rPr>
                <w:rFonts w:ascii="Times New Roman" w:hAnsi="Times New Roman"/>
                <w:sz w:val="24"/>
              </w:rPr>
              <w:t>Pokyny</w:t>
            </w:r>
          </w:p>
        </w:tc>
      </w:tr>
      <w:tr w:rsidR="001C7AB7" w:rsidRPr="00E07C9A" w14:paraId="5859B70E" w14:textId="77777777" w:rsidTr="00672D2A">
        <w:tc>
          <w:tcPr>
            <w:tcW w:w="2024" w:type="dxa"/>
          </w:tcPr>
          <w:p w14:paraId="581A2FAF" w14:textId="77777777" w:rsidR="001C7AB7" w:rsidRPr="00E07C9A" w:rsidRDefault="001C7AB7" w:rsidP="001C7AB7">
            <w:pPr>
              <w:rPr>
                <w:rFonts w:ascii="Times New Roman" w:hAnsi="Times New Roman"/>
                <w:sz w:val="24"/>
              </w:rPr>
            </w:pPr>
            <w:r w:rsidRPr="00E07C9A">
              <w:rPr>
                <w:rFonts w:ascii="Times New Roman" w:hAnsi="Times New Roman"/>
                <w:sz w:val="24"/>
              </w:rPr>
              <w:t>0010 – 0001 – 0010 – NNNN</w:t>
            </w:r>
          </w:p>
        </w:tc>
        <w:tc>
          <w:tcPr>
            <w:tcW w:w="7804" w:type="dxa"/>
          </w:tcPr>
          <w:p w14:paraId="7FA42CDA" w14:textId="771B4924" w:rsidR="001C7AB7" w:rsidRPr="00E07C9A" w:rsidRDefault="001C7AB7" w:rsidP="00763B4B">
            <w:pPr>
              <w:rPr>
                <w:rFonts w:ascii="Times New Roman" w:hAnsi="Times New Roman"/>
                <w:sz w:val="24"/>
              </w:rPr>
            </w:pPr>
            <w:r w:rsidRPr="00E07C9A">
              <w:rPr>
                <w:rFonts w:ascii="Times New Roman" w:hAnsi="Times New Roman"/>
                <w:sz w:val="24"/>
              </w:rPr>
              <w:t>Hodnoty vykazované</w:t>
            </w:r>
            <w:r w:rsidR="009912F8" w:rsidRPr="00E07C9A">
              <w:rPr>
                <w:rFonts w:ascii="Times New Roman" w:hAnsi="Times New Roman"/>
                <w:sz w:val="24"/>
              </w:rPr>
              <w:t xml:space="preserve"> v </w:t>
            </w:r>
            <w:r w:rsidRPr="00E07C9A">
              <w:rPr>
                <w:rFonts w:ascii="Times New Roman" w:hAnsi="Times New Roman"/>
                <w:sz w:val="24"/>
              </w:rPr>
              <w:t>týchto riadkoch sa musia uvádzať</w:t>
            </w:r>
            <w:r w:rsidR="009912F8" w:rsidRPr="00E07C9A">
              <w:rPr>
                <w:rFonts w:ascii="Times New Roman" w:hAnsi="Times New Roman"/>
                <w:sz w:val="24"/>
              </w:rPr>
              <w:t xml:space="preserve"> v </w:t>
            </w:r>
            <w:r w:rsidRPr="00E07C9A">
              <w:rPr>
                <w:rFonts w:ascii="Times New Roman" w:hAnsi="Times New Roman"/>
                <w:sz w:val="24"/>
              </w:rPr>
              <w:t>poradí zodpovedajúcom PD priradenej ratingovému stupňu alebo skupine dlžníkov. PD dlžníkov</w:t>
            </w:r>
            <w:r w:rsidR="009912F8" w:rsidRPr="00E07C9A">
              <w:rPr>
                <w:rFonts w:ascii="Times New Roman" w:hAnsi="Times New Roman"/>
                <w:sz w:val="24"/>
              </w:rPr>
              <w:t xml:space="preserve"> v </w:t>
            </w:r>
            <w:r w:rsidRPr="00E07C9A">
              <w:rPr>
                <w:rFonts w:ascii="Times New Roman" w:hAnsi="Times New Roman"/>
                <w:sz w:val="24"/>
              </w:rPr>
              <w:t>stave zlyhania je 100</w:t>
            </w:r>
            <w:r w:rsidR="009912F8" w:rsidRPr="00E07C9A">
              <w:rPr>
                <w:rFonts w:ascii="Times New Roman" w:hAnsi="Times New Roman"/>
                <w:sz w:val="24"/>
              </w:rPr>
              <w:t> %</w:t>
            </w:r>
            <w:r w:rsidRPr="00E07C9A">
              <w:rPr>
                <w:rFonts w:ascii="Times New Roman" w:hAnsi="Times New Roman"/>
                <w:sz w:val="24"/>
              </w:rPr>
              <w:t>. Expozície, na ktoré sa vzťahuje alternatívne zaobchádzanie pre kolaterál vo forme nehnuteľného majetku (dostupné len vtedy, keď sa nepoužívajú vlastné odhady pre LGD), sa neprideľujú podľa PD dlžníka</w:t>
            </w:r>
            <w:r w:rsidR="009912F8" w:rsidRPr="00E07C9A">
              <w:rPr>
                <w:rFonts w:ascii="Times New Roman" w:hAnsi="Times New Roman"/>
                <w:sz w:val="24"/>
              </w:rPr>
              <w:t xml:space="preserve"> a </w:t>
            </w:r>
            <w:r w:rsidRPr="00E07C9A">
              <w:rPr>
                <w:rFonts w:ascii="Times New Roman" w:hAnsi="Times New Roman"/>
                <w:sz w:val="24"/>
              </w:rPr>
              <w:t>nevykazujú sa</w:t>
            </w:r>
            <w:r w:rsidR="009912F8" w:rsidRPr="00E07C9A">
              <w:rPr>
                <w:rFonts w:ascii="Times New Roman" w:hAnsi="Times New Roman"/>
                <w:sz w:val="24"/>
              </w:rPr>
              <w:t xml:space="preserve"> v </w:t>
            </w:r>
            <w:r w:rsidRPr="00E07C9A">
              <w:rPr>
                <w:rFonts w:ascii="Times New Roman" w:hAnsi="Times New Roman"/>
                <w:sz w:val="24"/>
              </w:rPr>
              <w:t>tomto vzore.</w:t>
            </w:r>
          </w:p>
        </w:tc>
      </w:tr>
    </w:tbl>
    <w:p w14:paraId="04D08AB4" w14:textId="77777777" w:rsidR="004357B9" w:rsidRPr="00E07C9A" w:rsidRDefault="004357B9" w:rsidP="00487A02">
      <w:pPr>
        <w:pStyle w:val="InstructionsText"/>
      </w:pPr>
    </w:p>
    <w:p w14:paraId="4F65BD1C" w14:textId="146D505E" w:rsidR="008151A6" w:rsidRPr="00E07C9A" w:rsidRDefault="008151A6" w:rsidP="005C4397">
      <w:pPr>
        <w:pStyle w:val="Instructionsberschrift2"/>
        <w:numPr>
          <w:ilvl w:val="2"/>
          <w:numId w:val="27"/>
        </w:numPr>
        <w:rPr>
          <w:rFonts w:ascii="Times New Roman" w:hAnsi="Times New Roman" w:cs="Times New Roman"/>
          <w:sz w:val="24"/>
        </w:rPr>
      </w:pPr>
      <w:bookmarkStart w:id="323" w:name="_Toc19715755"/>
      <w:bookmarkStart w:id="324" w:name="_Toc115857792"/>
      <w:r w:rsidRPr="00E07C9A">
        <w:rPr>
          <w:rFonts w:ascii="Times New Roman" w:hAnsi="Times New Roman" w:cs="Times New Roman"/>
          <w:sz w:val="24"/>
        </w:rPr>
        <w:t>C 08.03 – Kreditné riziko</w:t>
      </w:r>
      <w:r w:rsidR="009912F8" w:rsidRPr="00E07C9A">
        <w:rPr>
          <w:rFonts w:ascii="Times New Roman" w:hAnsi="Times New Roman" w:cs="Times New Roman"/>
          <w:sz w:val="24"/>
        </w:rPr>
        <w:t xml:space="preserve"> a </w:t>
      </w:r>
      <w:r w:rsidRPr="00E07C9A">
        <w:rPr>
          <w:rFonts w:ascii="Times New Roman" w:hAnsi="Times New Roman" w:cs="Times New Roman"/>
          <w:sz w:val="24"/>
        </w:rPr>
        <w:t>bezodplatné dodanie: prístup IRB ku kapitálovým požiadavkám [rozčlenenie podľa rozsahu PD (CR IRB 3)]</w:t>
      </w:r>
      <w:bookmarkEnd w:id="323"/>
      <w:bookmarkEnd w:id="324"/>
    </w:p>
    <w:p w14:paraId="0D14AAF9" w14:textId="77777777" w:rsidR="008151A6" w:rsidRPr="00E07C9A" w:rsidRDefault="008151A6" w:rsidP="005C4397">
      <w:pPr>
        <w:pStyle w:val="Instructionsberschrift2"/>
        <w:numPr>
          <w:ilvl w:val="3"/>
          <w:numId w:val="27"/>
        </w:numPr>
        <w:rPr>
          <w:rFonts w:ascii="Times New Roman" w:hAnsi="Times New Roman" w:cs="Times New Roman"/>
          <w:sz w:val="24"/>
        </w:rPr>
      </w:pPr>
      <w:bookmarkStart w:id="325" w:name="_Toc19715756"/>
      <w:bookmarkStart w:id="326" w:name="_Toc115857793"/>
      <w:r w:rsidRPr="00E07C9A">
        <w:rPr>
          <w:rFonts w:ascii="Times New Roman" w:hAnsi="Times New Roman" w:cs="Times New Roman"/>
          <w:sz w:val="24"/>
        </w:rPr>
        <w:t>Všeobecné poznámky</w:t>
      </w:r>
      <w:bookmarkEnd w:id="325"/>
      <w:bookmarkEnd w:id="326"/>
    </w:p>
    <w:p w14:paraId="6CEFD717" w14:textId="0301139E" w:rsidR="008151A6" w:rsidRPr="00E07C9A" w:rsidRDefault="002A18DE" w:rsidP="00487A02">
      <w:pPr>
        <w:pStyle w:val="InstructionsText2"/>
        <w:numPr>
          <w:ilvl w:val="0"/>
          <w:numId w:val="0"/>
        </w:numPr>
        <w:ind w:left="1353" w:hanging="360"/>
      </w:pPr>
      <w:fldSimple w:instr=" seq paragraphs ">
        <w:r w:rsidR="00132AEE">
          <w:rPr>
            <w:noProof/>
          </w:rPr>
          <w:t>77</w:t>
        </w:r>
      </w:fldSimple>
      <w:r w:rsidR="00C3070C" w:rsidRPr="00E07C9A">
        <w:t>. Inštitúcie vykazujú informácie zahrnuté</w:t>
      </w:r>
      <w:r w:rsidR="009912F8" w:rsidRPr="00E07C9A">
        <w:t xml:space="preserve"> v </w:t>
      </w:r>
      <w:r w:rsidR="00C3070C" w:rsidRPr="00E07C9A">
        <w:t xml:space="preserve">tomto vzore pri uplatňovaní článku 452 písm. g) bodov i) až v) nariadenia (EÚ) </w:t>
      </w:r>
      <w:r w:rsidR="009912F8" w:rsidRPr="00E07C9A">
        <w:t>č. 575/2013 s </w:t>
      </w:r>
      <w:r w:rsidR="00C3070C" w:rsidRPr="00E07C9A">
        <w:t>cieľom poskytnúť informácie</w:t>
      </w:r>
      <w:r w:rsidR="009912F8" w:rsidRPr="00E07C9A">
        <w:t xml:space="preserve"> o </w:t>
      </w:r>
      <w:r w:rsidR="00C3070C" w:rsidRPr="00E07C9A">
        <w:t>hlavných parametroch použitých na výpočet kapitálových požiadaviek pri prístupe IRB. Informácie vykazované</w:t>
      </w:r>
      <w:r w:rsidR="009912F8" w:rsidRPr="00E07C9A">
        <w:t xml:space="preserve"> v </w:t>
      </w:r>
      <w:r w:rsidR="00C3070C" w:rsidRPr="00E07C9A">
        <w:t>tomto vzore nezahŕňajú údaje</w:t>
      </w:r>
      <w:r w:rsidR="009912F8" w:rsidRPr="00E07C9A">
        <w:t xml:space="preserve"> o </w:t>
      </w:r>
      <w:r w:rsidR="00C3070C" w:rsidRPr="00E07C9A">
        <w:t>špecializovanom financovaní uvedené</w:t>
      </w:r>
      <w:r w:rsidR="009912F8" w:rsidRPr="00E07C9A">
        <w:t xml:space="preserve"> v </w:t>
      </w:r>
      <w:r w:rsidR="00C3070C" w:rsidRPr="00E07C9A">
        <w:t xml:space="preserve">článku 153 ods. 5 nariadenia (EÚ) </w:t>
      </w:r>
      <w:r w:rsidR="009912F8" w:rsidRPr="00E07C9A">
        <w:t>č. 575/2013</w:t>
      </w:r>
      <w:r w:rsidR="00C3070C" w:rsidRPr="00E07C9A">
        <w:t>, ktoré sú zahrnuté vo vzore C 08.06.</w:t>
      </w:r>
      <w:r w:rsidR="009912F8" w:rsidRPr="00E07C9A">
        <w:t xml:space="preserve"> Z </w:t>
      </w:r>
      <w:r w:rsidR="00C3070C" w:rsidRPr="00E07C9A">
        <w:t xml:space="preserve">tohto vzoru sú vylúčené expozície voči kreditnému riziku protistrany (CCR) [tretia časť hlava II kapitola 6 nariadenia (EÚ) </w:t>
      </w:r>
      <w:r w:rsidR="009912F8" w:rsidRPr="00E07C9A">
        <w:t>č. 575/2013</w:t>
      </w:r>
      <w:r w:rsidR="00C3070C" w:rsidRPr="00E07C9A">
        <w:t>].</w:t>
      </w:r>
    </w:p>
    <w:p w14:paraId="481B75E1" w14:textId="30B6065A" w:rsidR="008151A6" w:rsidRPr="00E07C9A" w:rsidRDefault="008151A6" w:rsidP="005C4397">
      <w:pPr>
        <w:pStyle w:val="Instructionsberschrift2"/>
        <w:numPr>
          <w:ilvl w:val="3"/>
          <w:numId w:val="27"/>
        </w:numPr>
        <w:ind w:left="709"/>
        <w:rPr>
          <w:rFonts w:ascii="Times New Roman" w:hAnsi="Times New Roman" w:cs="Times New Roman"/>
          <w:sz w:val="24"/>
        </w:rPr>
      </w:pPr>
      <w:bookmarkStart w:id="327" w:name="_Toc19715757"/>
      <w:bookmarkStart w:id="328" w:name="_Toc115857794"/>
      <w:r w:rsidRPr="00E07C9A">
        <w:rPr>
          <w:rFonts w:ascii="Times New Roman" w:hAnsi="Times New Roman" w:cs="Times New Roman"/>
          <w:sz w:val="24"/>
        </w:rPr>
        <w:t>Pokyny týkajúce sa konkrétnych pozícií</w:t>
      </w:r>
      <w:bookmarkEnd w:id="327"/>
      <w:bookmarkEnd w:id="328"/>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E07C9A" w14:paraId="023F2137" w14:textId="77777777" w:rsidTr="00664874">
        <w:tc>
          <w:tcPr>
            <w:tcW w:w="1188" w:type="dxa"/>
            <w:shd w:val="clear" w:color="auto" w:fill="CCCCCC"/>
          </w:tcPr>
          <w:p w14:paraId="60862190" w14:textId="77777777" w:rsidR="008151A6" w:rsidRPr="00E07C9A" w:rsidRDefault="008151A6" w:rsidP="00664874">
            <w:pPr>
              <w:rPr>
                <w:rFonts w:ascii="Times New Roman" w:hAnsi="Times New Roman"/>
                <w:sz w:val="24"/>
              </w:rPr>
            </w:pPr>
            <w:r w:rsidRPr="00E07C9A">
              <w:rPr>
                <w:rFonts w:ascii="Times New Roman" w:hAnsi="Times New Roman"/>
                <w:sz w:val="24"/>
              </w:rPr>
              <w:t>Stĺpce</w:t>
            </w:r>
          </w:p>
        </w:tc>
        <w:tc>
          <w:tcPr>
            <w:tcW w:w="8843" w:type="dxa"/>
            <w:shd w:val="clear" w:color="auto" w:fill="CCCCCC"/>
          </w:tcPr>
          <w:p w14:paraId="14C26F93" w14:textId="77777777" w:rsidR="008151A6" w:rsidRPr="00E07C9A" w:rsidRDefault="008151A6" w:rsidP="00664874">
            <w:pPr>
              <w:rPr>
                <w:rFonts w:ascii="Times New Roman" w:hAnsi="Times New Roman"/>
                <w:sz w:val="24"/>
              </w:rPr>
            </w:pPr>
            <w:r w:rsidRPr="00E07C9A">
              <w:rPr>
                <w:rFonts w:ascii="Times New Roman" w:hAnsi="Times New Roman"/>
                <w:sz w:val="24"/>
              </w:rPr>
              <w:t>Pokyny</w:t>
            </w:r>
          </w:p>
        </w:tc>
      </w:tr>
      <w:tr w:rsidR="008151A6" w:rsidRPr="00E07C9A" w14:paraId="055B749B"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AE9E10B" w14:textId="77777777" w:rsidR="008151A6" w:rsidRPr="00E07C9A" w:rsidRDefault="008151A6" w:rsidP="00664874">
            <w:pPr>
              <w:rPr>
                <w:rFonts w:ascii="Times New Roman" w:hAnsi="Times New Roman"/>
                <w:sz w:val="24"/>
              </w:rPr>
            </w:pPr>
            <w:r w:rsidRPr="00E07C9A">
              <w:rPr>
                <w:rFonts w:ascii="Times New Roman" w:hAnsi="Times New Roman"/>
                <w:sz w:val="24"/>
              </w:rPr>
              <w:t>0010</w:t>
            </w:r>
          </w:p>
          <w:p w14:paraId="096B4755" w14:textId="77777777" w:rsidR="008151A6" w:rsidRPr="00E07C9A" w:rsidRDefault="008151A6" w:rsidP="00664874">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39C344F" w14:textId="77777777" w:rsidR="008151A6" w:rsidRPr="00E07C9A" w:rsidRDefault="008151A6" w:rsidP="00664874">
            <w:pPr>
              <w:rPr>
                <w:rFonts w:ascii="Times New Roman" w:hAnsi="Times New Roman"/>
                <w:b/>
                <w:sz w:val="24"/>
                <w:u w:val="single"/>
              </w:rPr>
            </w:pPr>
            <w:r w:rsidRPr="00E07C9A">
              <w:rPr>
                <w:rFonts w:ascii="Times New Roman" w:hAnsi="Times New Roman"/>
                <w:b/>
                <w:sz w:val="24"/>
                <w:u w:val="single"/>
              </w:rPr>
              <w:t>SÚVAHOVÉ EXPOZÍCIE</w:t>
            </w:r>
          </w:p>
          <w:p w14:paraId="4A8FAFE3" w14:textId="39297317" w:rsidR="008151A6" w:rsidRPr="00E07C9A" w:rsidRDefault="008151A6" w:rsidP="00A44410">
            <w:pPr>
              <w:rPr>
                <w:rFonts w:ascii="Times New Roman" w:hAnsi="Times New Roman"/>
                <w:sz w:val="24"/>
              </w:rPr>
            </w:pPr>
            <w:r w:rsidRPr="00E07C9A">
              <w:rPr>
                <w:rFonts w:ascii="Times New Roman" w:hAnsi="Times New Roman"/>
                <w:sz w:val="24"/>
              </w:rPr>
              <w:t>Hodnota expozície vypočítaná</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166 ods. 1 až 7 nariadenia (EÚ) </w:t>
            </w:r>
            <w:r w:rsidR="009912F8" w:rsidRPr="00E07C9A">
              <w:rPr>
                <w:rFonts w:ascii="Times New Roman" w:hAnsi="Times New Roman"/>
                <w:sz w:val="24"/>
              </w:rPr>
              <w:t>č. 575/2013</w:t>
            </w:r>
            <w:r w:rsidRPr="00E07C9A">
              <w:rPr>
                <w:rFonts w:ascii="Times New Roman" w:hAnsi="Times New Roman"/>
              </w:rPr>
              <w:t xml:space="preserve"> </w:t>
            </w:r>
            <w:r w:rsidRPr="00E07C9A">
              <w:rPr>
                <w:rFonts w:ascii="Times New Roman" w:hAnsi="Times New Roman"/>
                <w:sz w:val="24"/>
              </w:rPr>
              <w:t>bez zohľadnenia akýchkoľvek úprav kreditného rizika</w:t>
            </w:r>
          </w:p>
        </w:tc>
      </w:tr>
      <w:tr w:rsidR="008151A6" w:rsidRPr="00E07C9A" w14:paraId="3CD0A22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0950952" w14:textId="77777777" w:rsidR="008151A6" w:rsidRPr="00E07C9A" w:rsidRDefault="008151A6" w:rsidP="00664874">
            <w:pPr>
              <w:rPr>
                <w:rFonts w:ascii="Times New Roman" w:hAnsi="Times New Roman"/>
                <w:sz w:val="24"/>
              </w:rPr>
            </w:pPr>
            <w:r w:rsidRPr="00E07C9A">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0934C4F" w14:textId="77777777" w:rsidR="008151A6" w:rsidRPr="00E07C9A" w:rsidRDefault="008151A6" w:rsidP="00664874">
            <w:pPr>
              <w:rPr>
                <w:rFonts w:ascii="Times New Roman" w:hAnsi="Times New Roman"/>
                <w:b/>
                <w:sz w:val="24"/>
                <w:u w:val="single"/>
              </w:rPr>
            </w:pPr>
            <w:r w:rsidRPr="00E07C9A">
              <w:rPr>
                <w:rFonts w:ascii="Times New Roman" w:hAnsi="Times New Roman"/>
                <w:b/>
                <w:sz w:val="24"/>
                <w:u w:val="single"/>
              </w:rPr>
              <w:t>PODSÚVAHOVÉ EXPOZÍCIE PRED UPLATNENÍM KONVERZNÝCH FAKTOROV</w:t>
            </w:r>
          </w:p>
          <w:p w14:paraId="3660C97E" w14:textId="4E23B13C" w:rsidR="009912F8" w:rsidRPr="00E07C9A" w:rsidRDefault="008151A6" w:rsidP="00664874">
            <w:pPr>
              <w:rPr>
                <w:rFonts w:ascii="Times New Roman" w:hAnsi="Times New Roman"/>
                <w:sz w:val="24"/>
              </w:rPr>
            </w:pPr>
            <w:r w:rsidRPr="00E07C9A">
              <w:rPr>
                <w:rFonts w:ascii="Times New Roman" w:hAnsi="Times New Roman"/>
                <w:sz w:val="24"/>
              </w:rPr>
              <w:t>Hodnota expozície</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166 ods. 1 až 7 nariadenia (EÚ) </w:t>
            </w:r>
            <w:r w:rsidR="009912F8" w:rsidRPr="00E07C9A">
              <w:rPr>
                <w:rFonts w:ascii="Times New Roman" w:hAnsi="Times New Roman"/>
                <w:sz w:val="24"/>
              </w:rPr>
              <w:t>č. 575/2013</w:t>
            </w:r>
            <w:r w:rsidRPr="00E07C9A">
              <w:rPr>
                <w:rFonts w:ascii="Times New Roman" w:hAnsi="Times New Roman"/>
                <w:sz w:val="24"/>
              </w:rPr>
              <w:t xml:space="preserve"> bez zohľadnenia akýchkoľvek úprav kreditného rizika</w:t>
            </w:r>
            <w:r w:rsidR="009912F8" w:rsidRPr="00E07C9A">
              <w:rPr>
                <w:rFonts w:ascii="Times New Roman" w:hAnsi="Times New Roman"/>
                <w:sz w:val="24"/>
              </w:rPr>
              <w:t xml:space="preserve"> a </w:t>
            </w:r>
            <w:r w:rsidRPr="00E07C9A">
              <w:rPr>
                <w:rFonts w:ascii="Times New Roman" w:hAnsi="Times New Roman"/>
                <w:sz w:val="24"/>
              </w:rPr>
              <w:t>akýchkoľvek konverzných faktorov, vlastných odhadov či konverzných faktorov uvedených</w:t>
            </w:r>
            <w:r w:rsidR="009912F8" w:rsidRPr="00E07C9A">
              <w:rPr>
                <w:rFonts w:ascii="Times New Roman" w:hAnsi="Times New Roman"/>
                <w:sz w:val="24"/>
              </w:rPr>
              <w:t xml:space="preserve"> v </w:t>
            </w:r>
            <w:r w:rsidRPr="00E07C9A">
              <w:rPr>
                <w:rFonts w:ascii="Times New Roman" w:hAnsi="Times New Roman"/>
                <w:sz w:val="24"/>
              </w:rPr>
              <w:t xml:space="preserve">článku 166 ods. 8 nariadenia (EÚ) </w:t>
            </w:r>
            <w:r w:rsidR="009912F8" w:rsidRPr="00E07C9A">
              <w:rPr>
                <w:rFonts w:ascii="Times New Roman" w:hAnsi="Times New Roman"/>
                <w:sz w:val="24"/>
              </w:rPr>
              <w:t>č. 575/2013</w:t>
            </w:r>
            <w:r w:rsidRPr="00E07C9A">
              <w:rPr>
                <w:rFonts w:ascii="Times New Roman" w:hAnsi="Times New Roman"/>
                <w:sz w:val="24"/>
              </w:rPr>
              <w:t xml:space="preserve"> alebo akýchkoľvek percentuálnych podielov uvedených</w:t>
            </w:r>
            <w:r w:rsidR="009912F8" w:rsidRPr="00E07C9A">
              <w:rPr>
                <w:rFonts w:ascii="Times New Roman" w:hAnsi="Times New Roman"/>
                <w:sz w:val="24"/>
              </w:rPr>
              <w:t xml:space="preserve"> v </w:t>
            </w:r>
            <w:r w:rsidRPr="00E07C9A">
              <w:rPr>
                <w:rFonts w:ascii="Times New Roman" w:hAnsi="Times New Roman"/>
                <w:sz w:val="24"/>
              </w:rPr>
              <w:t>článku 166 ods. 10 uvedeného nariadenia</w:t>
            </w:r>
            <w:r w:rsidR="009912F8" w:rsidRPr="00E07C9A">
              <w:rPr>
                <w:rFonts w:ascii="Times New Roman" w:hAnsi="Times New Roman"/>
                <w:sz w:val="24"/>
              </w:rPr>
              <w:t>.</w:t>
            </w:r>
          </w:p>
          <w:p w14:paraId="0EF7359E" w14:textId="74801E10" w:rsidR="008151A6" w:rsidRPr="00E07C9A" w:rsidRDefault="008151A6" w:rsidP="00664874">
            <w:pPr>
              <w:rPr>
                <w:rFonts w:ascii="Times New Roman" w:hAnsi="Times New Roman"/>
                <w:sz w:val="24"/>
              </w:rPr>
            </w:pPr>
            <w:r w:rsidRPr="00E07C9A">
              <w:rPr>
                <w:rFonts w:ascii="Times New Roman" w:hAnsi="Times New Roman"/>
                <w:sz w:val="24"/>
              </w:rPr>
              <w:t>Podsúvahové expozície zahŕňajú všetky záväzné, ale nečerpané sumy</w:t>
            </w:r>
            <w:r w:rsidR="009912F8" w:rsidRPr="00E07C9A">
              <w:rPr>
                <w:rFonts w:ascii="Times New Roman" w:hAnsi="Times New Roman"/>
                <w:sz w:val="24"/>
              </w:rPr>
              <w:t xml:space="preserve"> a </w:t>
            </w:r>
            <w:r w:rsidRPr="00E07C9A">
              <w:rPr>
                <w:rFonts w:ascii="Times New Roman" w:hAnsi="Times New Roman"/>
                <w:sz w:val="24"/>
              </w:rPr>
              <w:t>všetky podsúvahové položky uvedené</w:t>
            </w:r>
            <w:r w:rsidR="009912F8" w:rsidRPr="00E07C9A">
              <w:rPr>
                <w:rFonts w:ascii="Times New Roman" w:hAnsi="Times New Roman"/>
                <w:sz w:val="24"/>
              </w:rPr>
              <w:t xml:space="preserve"> v </w:t>
            </w:r>
            <w:r w:rsidRPr="00E07C9A">
              <w:rPr>
                <w:rFonts w:ascii="Times New Roman" w:hAnsi="Times New Roman"/>
                <w:sz w:val="24"/>
              </w:rPr>
              <w:t>prílohe I</w:t>
            </w:r>
            <w:r w:rsidR="009912F8" w:rsidRPr="00E07C9A">
              <w:rPr>
                <w:rFonts w:ascii="Times New Roman" w:hAnsi="Times New Roman"/>
                <w:sz w:val="24"/>
              </w:rPr>
              <w:t xml:space="preserve"> k </w:t>
            </w:r>
            <w:r w:rsidRPr="00E07C9A">
              <w:rPr>
                <w:rFonts w:ascii="Times New Roman" w:hAnsi="Times New Roman"/>
                <w:sz w:val="24"/>
              </w:rPr>
              <w:t xml:space="preserve">nariadeniu (EÚ) </w:t>
            </w:r>
            <w:r w:rsidR="009912F8" w:rsidRPr="00E07C9A">
              <w:rPr>
                <w:rFonts w:ascii="Times New Roman" w:hAnsi="Times New Roman"/>
                <w:sz w:val="24"/>
              </w:rPr>
              <w:t>č. 575/2013</w:t>
            </w:r>
            <w:r w:rsidRPr="00E07C9A">
              <w:rPr>
                <w:rFonts w:ascii="Times New Roman" w:hAnsi="Times New Roman"/>
                <w:sz w:val="24"/>
              </w:rPr>
              <w:t>.</w:t>
            </w:r>
          </w:p>
        </w:tc>
      </w:tr>
      <w:tr w:rsidR="008151A6" w:rsidRPr="00E07C9A" w14:paraId="7E4CF40C"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AEA5F88" w14:textId="77777777" w:rsidR="008151A6" w:rsidRPr="00E07C9A" w:rsidRDefault="008151A6" w:rsidP="00664874">
            <w:pPr>
              <w:rPr>
                <w:rFonts w:ascii="Times New Roman" w:hAnsi="Times New Roman"/>
                <w:sz w:val="24"/>
              </w:rPr>
            </w:pPr>
            <w:r w:rsidRPr="00E07C9A">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C5FAD4F" w14:textId="77777777" w:rsidR="008151A6" w:rsidRPr="00E07C9A" w:rsidRDefault="008151A6" w:rsidP="00664874">
            <w:pPr>
              <w:rPr>
                <w:rFonts w:ascii="Times New Roman" w:hAnsi="Times New Roman"/>
                <w:b/>
                <w:sz w:val="24"/>
                <w:u w:val="single"/>
              </w:rPr>
            </w:pPr>
            <w:r w:rsidRPr="00E07C9A">
              <w:rPr>
                <w:rFonts w:ascii="Times New Roman" w:hAnsi="Times New Roman"/>
                <w:b/>
                <w:sz w:val="24"/>
                <w:u w:val="single"/>
              </w:rPr>
              <w:t>EXPOZÍCIAMI VÁŽENÉ PRIEMERNÉ KONVERZNÉ FAKTORY</w:t>
            </w:r>
          </w:p>
          <w:p w14:paraId="7D88A5C8" w14:textId="4E23AE49" w:rsidR="008151A6" w:rsidRPr="00E07C9A" w:rsidRDefault="008151A6" w:rsidP="00A44410">
            <w:pPr>
              <w:rPr>
                <w:rFonts w:ascii="Times New Roman" w:hAnsi="Times New Roman"/>
                <w:sz w:val="24"/>
              </w:rPr>
            </w:pPr>
            <w:r w:rsidRPr="00E07C9A">
              <w:rPr>
                <w:rFonts w:ascii="Times New Roman" w:hAnsi="Times New Roman"/>
                <w:sz w:val="24"/>
              </w:rPr>
              <w:t>Pri všetkých expozíciách zahrnutých</w:t>
            </w:r>
            <w:r w:rsidR="009912F8" w:rsidRPr="00E07C9A">
              <w:rPr>
                <w:rFonts w:ascii="Times New Roman" w:hAnsi="Times New Roman"/>
                <w:sz w:val="24"/>
              </w:rPr>
              <w:t xml:space="preserve"> v </w:t>
            </w:r>
            <w:r w:rsidRPr="00E07C9A">
              <w:rPr>
                <w:rFonts w:ascii="Times New Roman" w:hAnsi="Times New Roman"/>
                <w:sz w:val="24"/>
              </w:rPr>
              <w:t>každej skupine pevného rozsahu PD priemerný konverzný faktor použitý inštitúciami pri ich výpočte hodnôt rizikovo vážených expozícií vážený podsúvahovou expozíciou pred uplatnením konverzného faktora úverov, ako je vykázaná</w:t>
            </w:r>
            <w:r w:rsidR="009912F8" w:rsidRPr="00E07C9A">
              <w:rPr>
                <w:rFonts w:ascii="Times New Roman" w:hAnsi="Times New Roman"/>
                <w:sz w:val="24"/>
              </w:rPr>
              <w:t xml:space="preserve"> v </w:t>
            </w:r>
            <w:r w:rsidRPr="00E07C9A">
              <w:rPr>
                <w:rFonts w:ascii="Times New Roman" w:hAnsi="Times New Roman"/>
                <w:sz w:val="24"/>
              </w:rPr>
              <w:t xml:space="preserve">stĺpci 0020. </w:t>
            </w:r>
          </w:p>
        </w:tc>
      </w:tr>
      <w:tr w:rsidR="008151A6" w:rsidRPr="00E07C9A" w14:paraId="1616B887"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693B5D14" w14:textId="77777777" w:rsidR="008151A6" w:rsidRPr="00E07C9A" w:rsidRDefault="008151A6" w:rsidP="00664874">
            <w:pPr>
              <w:rPr>
                <w:rFonts w:ascii="Times New Roman" w:hAnsi="Times New Roman"/>
                <w:sz w:val="24"/>
              </w:rPr>
            </w:pPr>
            <w:r w:rsidRPr="00E07C9A">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56EB7B0" w14:textId="77777777" w:rsidR="008151A6" w:rsidRPr="00E07C9A" w:rsidRDefault="008151A6" w:rsidP="00664874">
            <w:pPr>
              <w:rPr>
                <w:rFonts w:ascii="Times New Roman" w:hAnsi="Times New Roman"/>
                <w:b/>
                <w:sz w:val="24"/>
                <w:u w:val="single"/>
              </w:rPr>
            </w:pPr>
            <w:r w:rsidRPr="00E07C9A">
              <w:rPr>
                <w:rFonts w:ascii="Times New Roman" w:hAnsi="Times New Roman"/>
                <w:b/>
                <w:sz w:val="24"/>
                <w:u w:val="single"/>
              </w:rPr>
              <w:t>HODNOTA EXPOZÍCIE PO UPLATNENÍ KONVERZNÝCH FAKTOROV A PO ZMIERŇOVANÍ KREDITNÉHO RIZIKA</w:t>
            </w:r>
          </w:p>
          <w:p w14:paraId="2389923D" w14:textId="27C3BB95" w:rsidR="008151A6" w:rsidRPr="00E07C9A" w:rsidRDefault="008151A6" w:rsidP="00664874">
            <w:pPr>
              <w:rPr>
                <w:rFonts w:ascii="Times New Roman" w:hAnsi="Times New Roman"/>
                <w:sz w:val="24"/>
              </w:rPr>
            </w:pPr>
            <w:r w:rsidRPr="00E07C9A">
              <w:rPr>
                <w:rFonts w:ascii="Times New Roman" w:hAnsi="Times New Roman"/>
                <w:sz w:val="24"/>
              </w:rPr>
              <w:t>Hodnota expozície</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166 nariadenia (EÚ) </w:t>
            </w:r>
            <w:r w:rsidR="009912F8" w:rsidRPr="00E07C9A">
              <w:rPr>
                <w:rFonts w:ascii="Times New Roman" w:hAnsi="Times New Roman"/>
                <w:sz w:val="24"/>
              </w:rPr>
              <w:t>č. 575/2013</w:t>
            </w:r>
            <w:r w:rsidRPr="00E07C9A">
              <w:rPr>
                <w:rFonts w:ascii="Times New Roman" w:hAnsi="Times New Roman"/>
                <w:sz w:val="24"/>
              </w:rPr>
              <w:t>.</w:t>
            </w:r>
          </w:p>
          <w:p w14:paraId="6FBBE395" w14:textId="69E65B7E" w:rsidR="008151A6" w:rsidRPr="00E07C9A" w:rsidRDefault="008151A6" w:rsidP="00E1685B">
            <w:pPr>
              <w:rPr>
                <w:rFonts w:ascii="Times New Roman" w:hAnsi="Times New Roman"/>
                <w:sz w:val="24"/>
              </w:rPr>
            </w:pPr>
            <w:r w:rsidRPr="00E07C9A">
              <w:rPr>
                <w:rFonts w:ascii="Times New Roman" w:hAnsi="Times New Roman"/>
                <w:sz w:val="24"/>
              </w:rPr>
              <w:t>Tento stĺpec zahŕňa súčet hodnoty expozície</w:t>
            </w:r>
            <w:r w:rsidR="009912F8" w:rsidRPr="00E07C9A">
              <w:rPr>
                <w:rFonts w:ascii="Times New Roman" w:hAnsi="Times New Roman"/>
                <w:sz w:val="24"/>
              </w:rPr>
              <w:t xml:space="preserve"> v </w:t>
            </w:r>
            <w:r w:rsidRPr="00E07C9A">
              <w:rPr>
                <w:rFonts w:ascii="Times New Roman" w:hAnsi="Times New Roman"/>
                <w:sz w:val="24"/>
              </w:rPr>
              <w:t>prípade súvahových expozícií</w:t>
            </w:r>
            <w:r w:rsidR="009912F8" w:rsidRPr="00E07C9A">
              <w:rPr>
                <w:rFonts w:ascii="Times New Roman" w:hAnsi="Times New Roman"/>
                <w:sz w:val="24"/>
              </w:rPr>
              <w:t xml:space="preserve"> a </w:t>
            </w:r>
            <w:r w:rsidRPr="00E07C9A">
              <w:rPr>
                <w:rFonts w:ascii="Times New Roman" w:hAnsi="Times New Roman"/>
                <w:sz w:val="24"/>
              </w:rPr>
              <w:t>podsúvahových expozícií po uplatnení konverzných faktorov</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166 ods. 8 až 10 nariadenia (EÚ) </w:t>
            </w:r>
            <w:r w:rsidR="009912F8" w:rsidRPr="00E07C9A">
              <w:rPr>
                <w:rFonts w:ascii="Times New Roman" w:hAnsi="Times New Roman"/>
                <w:sz w:val="24"/>
              </w:rPr>
              <w:t>č. 575/2013 a </w:t>
            </w:r>
            <w:r w:rsidRPr="00E07C9A">
              <w:rPr>
                <w:rFonts w:ascii="Times New Roman" w:hAnsi="Times New Roman"/>
                <w:sz w:val="24"/>
              </w:rPr>
              <w:t>po postupoch zmierňovania kreditného rizika.</w:t>
            </w:r>
          </w:p>
        </w:tc>
      </w:tr>
      <w:tr w:rsidR="008151A6" w:rsidRPr="00E07C9A" w14:paraId="622C63F0"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0B1CE04" w14:textId="77777777" w:rsidR="008151A6" w:rsidRPr="00E07C9A" w:rsidRDefault="008151A6" w:rsidP="00664874">
            <w:pPr>
              <w:rPr>
                <w:rFonts w:ascii="Times New Roman" w:hAnsi="Times New Roman"/>
                <w:sz w:val="24"/>
              </w:rPr>
            </w:pPr>
            <w:r w:rsidRPr="00E07C9A">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039210E" w14:textId="77777777" w:rsidR="008151A6" w:rsidRPr="00E07C9A" w:rsidRDefault="008151A6" w:rsidP="00664874">
            <w:pPr>
              <w:rPr>
                <w:rFonts w:ascii="Times New Roman" w:hAnsi="Times New Roman"/>
                <w:b/>
                <w:sz w:val="24"/>
                <w:u w:val="single"/>
              </w:rPr>
            </w:pPr>
            <w:r w:rsidRPr="00E07C9A">
              <w:rPr>
                <w:rFonts w:ascii="Times New Roman" w:hAnsi="Times New Roman"/>
                <w:b/>
                <w:sz w:val="24"/>
                <w:u w:val="single"/>
              </w:rPr>
              <w:t>EXPOZÍCIAMI VÁŽENÁ PRIEMERNÁ PD (%)</w:t>
            </w:r>
          </w:p>
          <w:p w14:paraId="56D6AA16" w14:textId="6A3E253D" w:rsidR="008151A6" w:rsidRPr="00E07C9A" w:rsidRDefault="008151A6" w:rsidP="00A44410">
            <w:pPr>
              <w:rPr>
                <w:rFonts w:ascii="Times New Roman" w:hAnsi="Times New Roman"/>
                <w:sz w:val="24"/>
              </w:rPr>
            </w:pPr>
            <w:r w:rsidRPr="00E07C9A">
              <w:rPr>
                <w:rFonts w:ascii="Times New Roman" w:hAnsi="Times New Roman"/>
                <w:sz w:val="24"/>
              </w:rPr>
              <w:t>Pri všetkých expozíciách zahrnutých</w:t>
            </w:r>
            <w:r w:rsidR="009912F8" w:rsidRPr="00E07C9A">
              <w:rPr>
                <w:rFonts w:ascii="Times New Roman" w:hAnsi="Times New Roman"/>
                <w:sz w:val="24"/>
              </w:rPr>
              <w:t xml:space="preserve"> v </w:t>
            </w:r>
            <w:r w:rsidRPr="00E07C9A">
              <w:rPr>
                <w:rFonts w:ascii="Times New Roman" w:hAnsi="Times New Roman"/>
                <w:sz w:val="24"/>
              </w:rPr>
              <w:t>každej skupine pevného rozsahu PD odhad priemernej PD každého dlžníka, vážený hodnotou expozície po uplatnení konverzných faktorov úverov</w:t>
            </w:r>
            <w:r w:rsidR="009912F8" w:rsidRPr="00E07C9A">
              <w:rPr>
                <w:rFonts w:ascii="Times New Roman" w:hAnsi="Times New Roman"/>
                <w:sz w:val="24"/>
              </w:rPr>
              <w:t xml:space="preserve"> a </w:t>
            </w:r>
            <w:r w:rsidRPr="00E07C9A">
              <w:rPr>
                <w:rFonts w:ascii="Times New Roman" w:hAnsi="Times New Roman"/>
                <w:sz w:val="24"/>
              </w:rPr>
              <w:t>zmierňovania kreditného rizika, ako je vykázaná</w:t>
            </w:r>
            <w:r w:rsidR="009912F8" w:rsidRPr="00E07C9A">
              <w:rPr>
                <w:rFonts w:ascii="Times New Roman" w:hAnsi="Times New Roman"/>
                <w:sz w:val="24"/>
              </w:rPr>
              <w:t xml:space="preserve"> v </w:t>
            </w:r>
            <w:r w:rsidRPr="00E07C9A">
              <w:rPr>
                <w:rFonts w:ascii="Times New Roman" w:hAnsi="Times New Roman"/>
                <w:sz w:val="24"/>
              </w:rPr>
              <w:t>stĺpci 0040.</w:t>
            </w:r>
          </w:p>
          <w:p w14:paraId="6AB5F95D" w14:textId="2B311481" w:rsidR="00121BFD" w:rsidRPr="00E07C9A" w:rsidRDefault="00121BFD" w:rsidP="00A44410">
            <w:pPr>
              <w:rPr>
                <w:rFonts w:ascii="Times New Roman" w:hAnsi="Times New Roman"/>
                <w:sz w:val="24"/>
              </w:rPr>
            </w:pPr>
            <w:r w:rsidRPr="00E07C9A">
              <w:rPr>
                <w:rFonts w:ascii="Times New Roman" w:hAnsi="Times New Roman"/>
                <w:sz w:val="24"/>
              </w:rPr>
              <w:t xml:space="preserve">Tento stĺpec sa nemusí vyplniť pre všetky triedy expozícií. </w:t>
            </w:r>
          </w:p>
        </w:tc>
      </w:tr>
      <w:tr w:rsidR="008151A6" w:rsidRPr="00E07C9A" w14:paraId="46035647"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C02D164" w14:textId="77777777" w:rsidR="008151A6" w:rsidRPr="00E07C9A" w:rsidRDefault="008151A6" w:rsidP="00664874">
            <w:pPr>
              <w:rPr>
                <w:rFonts w:ascii="Times New Roman" w:hAnsi="Times New Roman"/>
                <w:sz w:val="24"/>
              </w:rPr>
            </w:pPr>
            <w:r w:rsidRPr="00E07C9A">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327D60C" w14:textId="77777777" w:rsidR="008151A6" w:rsidRPr="00E07C9A" w:rsidRDefault="008151A6" w:rsidP="00664874">
            <w:pPr>
              <w:rPr>
                <w:rFonts w:ascii="Times New Roman" w:hAnsi="Times New Roman"/>
                <w:b/>
                <w:sz w:val="24"/>
                <w:u w:val="single"/>
              </w:rPr>
            </w:pPr>
            <w:r w:rsidRPr="00E07C9A">
              <w:rPr>
                <w:rFonts w:ascii="Times New Roman" w:hAnsi="Times New Roman"/>
                <w:b/>
                <w:sz w:val="24"/>
                <w:u w:val="single"/>
              </w:rPr>
              <w:t>POČET DLŽNÍKOV</w:t>
            </w:r>
          </w:p>
          <w:p w14:paraId="4A400827" w14:textId="77777777" w:rsidR="009912F8" w:rsidRPr="00E07C9A" w:rsidRDefault="008151A6" w:rsidP="001A370B">
            <w:pPr>
              <w:rPr>
                <w:rFonts w:ascii="Times New Roman" w:hAnsi="Times New Roman"/>
                <w:sz w:val="24"/>
              </w:rPr>
            </w:pPr>
            <w:r w:rsidRPr="00E07C9A">
              <w:rPr>
                <w:rFonts w:ascii="Times New Roman" w:hAnsi="Times New Roman"/>
                <w:sz w:val="24"/>
              </w:rPr>
              <w:t>Počet právnych subjektov alebo dlžníkov pridelených ku každej skupine pevného rozsahu PD</w:t>
            </w:r>
            <w:r w:rsidR="009912F8" w:rsidRPr="00E07C9A">
              <w:rPr>
                <w:rFonts w:ascii="Times New Roman" w:hAnsi="Times New Roman"/>
                <w:sz w:val="24"/>
              </w:rPr>
              <w:t>.</w:t>
            </w:r>
          </w:p>
          <w:p w14:paraId="1C88C53C" w14:textId="0665AEE9" w:rsidR="001A370B" w:rsidRPr="00E07C9A" w:rsidRDefault="001A370B" w:rsidP="001A370B">
            <w:pPr>
              <w:rPr>
                <w:rFonts w:ascii="Times New Roman" w:hAnsi="Times New Roman"/>
                <w:sz w:val="24"/>
              </w:rPr>
            </w:pPr>
            <w:r w:rsidRPr="00E07C9A">
              <w:rPr>
                <w:rFonts w:ascii="Times New Roman" w:hAnsi="Times New Roman"/>
                <w:sz w:val="24"/>
              </w:rPr>
              <w:t>Počet dlžníkov sa počíta</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pokynmi</w:t>
            </w:r>
            <w:r w:rsidR="009912F8" w:rsidRPr="00E07C9A">
              <w:rPr>
                <w:rFonts w:ascii="Times New Roman" w:hAnsi="Times New Roman"/>
                <w:sz w:val="24"/>
              </w:rPr>
              <w:t xml:space="preserve"> v </w:t>
            </w:r>
            <w:r w:rsidRPr="00E07C9A">
              <w:rPr>
                <w:rFonts w:ascii="Times New Roman" w:hAnsi="Times New Roman"/>
                <w:sz w:val="24"/>
              </w:rPr>
              <w:t>stĺpci 0300 vzoru C 08.01. So spoločnými dlžníkmi sa zaobchádza rovnako ako na účely kalibrácie PD.</w:t>
            </w:r>
          </w:p>
        </w:tc>
      </w:tr>
      <w:tr w:rsidR="008151A6" w:rsidRPr="00E07C9A" w14:paraId="3C04717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911C693" w14:textId="77777777" w:rsidR="008151A6" w:rsidRPr="00E07C9A" w:rsidRDefault="008151A6" w:rsidP="00664874">
            <w:pPr>
              <w:rPr>
                <w:rFonts w:ascii="Times New Roman" w:hAnsi="Times New Roman"/>
                <w:sz w:val="24"/>
              </w:rPr>
            </w:pPr>
            <w:r w:rsidRPr="00E07C9A">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9FBB4A5" w14:textId="77777777" w:rsidR="008151A6" w:rsidRPr="00E07C9A" w:rsidRDefault="008151A6" w:rsidP="00664874">
            <w:pPr>
              <w:rPr>
                <w:rFonts w:ascii="Times New Roman" w:hAnsi="Times New Roman"/>
                <w:b/>
                <w:sz w:val="24"/>
                <w:u w:val="single"/>
              </w:rPr>
            </w:pPr>
            <w:r w:rsidRPr="00E07C9A">
              <w:rPr>
                <w:rFonts w:ascii="Times New Roman" w:hAnsi="Times New Roman"/>
                <w:b/>
                <w:sz w:val="24"/>
                <w:u w:val="single"/>
              </w:rPr>
              <w:t>EXPOZÍCIAMI VÁŽENÁ PRIEMERNÁ LGD (%)</w:t>
            </w:r>
          </w:p>
          <w:p w14:paraId="184DDD1C" w14:textId="220D08CC" w:rsidR="008151A6" w:rsidRPr="00E07C9A" w:rsidRDefault="008151A6" w:rsidP="00664874">
            <w:pPr>
              <w:rPr>
                <w:rFonts w:ascii="Times New Roman" w:hAnsi="Times New Roman"/>
                <w:sz w:val="24"/>
              </w:rPr>
            </w:pPr>
            <w:r w:rsidRPr="00E07C9A">
              <w:rPr>
                <w:rFonts w:ascii="Times New Roman" w:hAnsi="Times New Roman"/>
                <w:sz w:val="24"/>
              </w:rPr>
              <w:t>Pri všetkých expozíciách zahrnutých</w:t>
            </w:r>
            <w:r w:rsidR="009912F8" w:rsidRPr="00E07C9A">
              <w:rPr>
                <w:rFonts w:ascii="Times New Roman" w:hAnsi="Times New Roman"/>
                <w:sz w:val="24"/>
              </w:rPr>
              <w:t xml:space="preserve"> v </w:t>
            </w:r>
            <w:r w:rsidRPr="00E07C9A">
              <w:rPr>
                <w:rFonts w:ascii="Times New Roman" w:hAnsi="Times New Roman"/>
                <w:sz w:val="24"/>
              </w:rPr>
              <w:t>každej skupine pevného rozsahu PD priemer odhadov LGD pre každú expozíciu, vážený hodnotou expozície po uplatnení konverzných faktorov úverov</w:t>
            </w:r>
            <w:r w:rsidR="009912F8" w:rsidRPr="00E07C9A">
              <w:rPr>
                <w:rFonts w:ascii="Times New Roman" w:hAnsi="Times New Roman"/>
                <w:sz w:val="24"/>
              </w:rPr>
              <w:t xml:space="preserve"> a </w:t>
            </w:r>
            <w:r w:rsidRPr="00E07C9A">
              <w:rPr>
                <w:rFonts w:ascii="Times New Roman" w:hAnsi="Times New Roman"/>
                <w:sz w:val="24"/>
              </w:rPr>
              <w:t>po zmierňovaní kreditného rizika, ako je vykázaná</w:t>
            </w:r>
            <w:r w:rsidR="009912F8" w:rsidRPr="00E07C9A">
              <w:rPr>
                <w:rFonts w:ascii="Times New Roman" w:hAnsi="Times New Roman"/>
                <w:sz w:val="24"/>
              </w:rPr>
              <w:t xml:space="preserve"> v </w:t>
            </w:r>
            <w:r w:rsidRPr="00E07C9A">
              <w:rPr>
                <w:rFonts w:ascii="Times New Roman" w:hAnsi="Times New Roman"/>
                <w:sz w:val="24"/>
              </w:rPr>
              <w:t>stĺpci 0040.</w:t>
            </w:r>
          </w:p>
          <w:p w14:paraId="7E28335D" w14:textId="4CFA3B56" w:rsidR="008151A6" w:rsidRPr="00E07C9A" w:rsidRDefault="008151A6" w:rsidP="00664874">
            <w:pPr>
              <w:rPr>
                <w:rFonts w:ascii="Times New Roman" w:hAnsi="Times New Roman"/>
                <w:sz w:val="24"/>
              </w:rPr>
            </w:pPr>
            <w:r w:rsidRPr="00E07C9A">
              <w:rPr>
                <w:rFonts w:ascii="Times New Roman" w:hAnsi="Times New Roman"/>
                <w:sz w:val="24"/>
              </w:rPr>
              <w:t>Vykazovaná LGD zodpovedá konečnému odhadu LGD použitému pri výpočte rizikovo vážených hodnôt získaných po zohľadnení všetkých účinkov zmierňovania kreditného rizika</w:t>
            </w:r>
            <w:r w:rsidR="009912F8" w:rsidRPr="00E07C9A">
              <w:rPr>
                <w:rFonts w:ascii="Times New Roman" w:hAnsi="Times New Roman"/>
                <w:sz w:val="24"/>
              </w:rPr>
              <w:t xml:space="preserve"> a </w:t>
            </w:r>
            <w:r w:rsidRPr="00E07C9A">
              <w:rPr>
                <w:rFonts w:ascii="Times New Roman" w:hAnsi="Times New Roman"/>
                <w:sz w:val="24"/>
              </w:rPr>
              <w:t>prípadne podmienok poklesu. Pri retailových expozíciách zabezpečených nehnuteľným majetkom sa</w:t>
            </w:r>
            <w:r w:rsidR="009912F8" w:rsidRPr="00E07C9A">
              <w:rPr>
                <w:rFonts w:ascii="Times New Roman" w:hAnsi="Times New Roman"/>
                <w:sz w:val="24"/>
              </w:rPr>
              <w:t xml:space="preserve"> v </w:t>
            </w:r>
            <w:r w:rsidRPr="00E07C9A">
              <w:rPr>
                <w:rFonts w:ascii="Times New Roman" w:hAnsi="Times New Roman"/>
                <w:sz w:val="24"/>
              </w:rPr>
              <w:t>prípade vykazovanej LGD zohľadňujú dolné ohraničenia uvedené</w:t>
            </w:r>
            <w:r w:rsidR="009912F8" w:rsidRPr="00E07C9A">
              <w:rPr>
                <w:rFonts w:ascii="Times New Roman" w:hAnsi="Times New Roman"/>
                <w:sz w:val="24"/>
              </w:rPr>
              <w:t xml:space="preserve"> v </w:t>
            </w:r>
            <w:r w:rsidRPr="00E07C9A">
              <w:rPr>
                <w:rFonts w:ascii="Times New Roman" w:hAnsi="Times New Roman"/>
                <w:sz w:val="24"/>
              </w:rPr>
              <w:t xml:space="preserve">článku 164 ods. 4 nariadenia (EÚ) </w:t>
            </w:r>
            <w:r w:rsidR="009912F8" w:rsidRPr="00E07C9A">
              <w:rPr>
                <w:rFonts w:ascii="Times New Roman" w:hAnsi="Times New Roman"/>
                <w:sz w:val="24"/>
              </w:rPr>
              <w:t>č. 575/2013</w:t>
            </w:r>
            <w:r w:rsidRPr="00E07C9A">
              <w:rPr>
                <w:rFonts w:ascii="Times New Roman" w:hAnsi="Times New Roman"/>
                <w:sz w:val="24"/>
              </w:rPr>
              <w:t>.</w:t>
            </w:r>
          </w:p>
          <w:p w14:paraId="67477FD4" w14:textId="7A845C05" w:rsidR="008151A6" w:rsidRPr="00E07C9A" w:rsidRDefault="008151A6" w:rsidP="00664874">
            <w:pPr>
              <w:rPr>
                <w:rFonts w:ascii="Times New Roman" w:hAnsi="Times New Roman"/>
                <w:sz w:val="24"/>
              </w:rPr>
            </w:pPr>
            <w:r w:rsidRPr="00E07C9A">
              <w:rPr>
                <w:rFonts w:ascii="Times New Roman" w:hAnsi="Times New Roman"/>
                <w:sz w:val="24"/>
              </w:rPr>
              <w:t>V prípade expozícií, na ktoré sa vzťahuje prístup dvojnásobného zlyhania, LGD, ktorá sa má vykázať, zodpovedá LGD zvolenej</w:t>
            </w:r>
            <w:r w:rsidR="009912F8" w:rsidRPr="00E07C9A">
              <w:rPr>
                <w:rFonts w:ascii="Times New Roman" w:hAnsi="Times New Roman"/>
                <w:sz w:val="24"/>
              </w:rPr>
              <w:t xml:space="preserve"> v </w:t>
            </w:r>
            <w:r w:rsidRPr="00E07C9A">
              <w:rPr>
                <w:rStyle w:val="InstructionsTabelleText"/>
                <w:rFonts w:ascii="Times New Roman" w:hAnsi="Times New Roman"/>
                <w:sz w:val="24"/>
              </w:rPr>
              <w:t>súlade</w:t>
            </w:r>
            <w:r w:rsidR="009912F8" w:rsidRPr="00E07C9A">
              <w:rPr>
                <w:rStyle w:val="InstructionsTabelleText"/>
                <w:rFonts w:ascii="Times New Roman" w:hAnsi="Times New Roman"/>
                <w:sz w:val="24"/>
              </w:rPr>
              <w:t xml:space="preserve"> s </w:t>
            </w:r>
            <w:r w:rsidRPr="00E07C9A">
              <w:rPr>
                <w:rFonts w:ascii="Times New Roman" w:hAnsi="Times New Roman"/>
                <w:sz w:val="24"/>
              </w:rPr>
              <w:t xml:space="preserve">článkom 161 ods. 4 nariadenia (EÚ) </w:t>
            </w:r>
            <w:r w:rsidR="009912F8" w:rsidRPr="00E07C9A">
              <w:rPr>
                <w:rFonts w:ascii="Times New Roman" w:hAnsi="Times New Roman"/>
                <w:sz w:val="24"/>
              </w:rPr>
              <w:t>č. 575/2013</w:t>
            </w:r>
            <w:r w:rsidRPr="00E07C9A">
              <w:rPr>
                <w:rFonts w:ascii="Times New Roman" w:hAnsi="Times New Roman"/>
                <w:sz w:val="24"/>
              </w:rPr>
              <w:t>.</w:t>
            </w:r>
          </w:p>
          <w:p w14:paraId="697FA337" w14:textId="0564E496" w:rsidR="008151A6" w:rsidRPr="00E07C9A" w:rsidRDefault="008151A6" w:rsidP="00E1685B">
            <w:pPr>
              <w:rPr>
                <w:rFonts w:ascii="Times New Roman" w:hAnsi="Times New Roman"/>
                <w:sz w:val="24"/>
              </w:rPr>
            </w:pPr>
            <w:r w:rsidRPr="00E07C9A">
              <w:rPr>
                <w:rFonts w:ascii="Times New Roman" w:hAnsi="Times New Roman"/>
                <w:sz w:val="24"/>
              </w:rPr>
              <w:t>V prípade expozícií</w:t>
            </w:r>
            <w:r w:rsidR="009912F8" w:rsidRPr="00E07C9A">
              <w:rPr>
                <w:rFonts w:ascii="Times New Roman" w:hAnsi="Times New Roman"/>
                <w:sz w:val="24"/>
              </w:rPr>
              <w:t xml:space="preserve"> v </w:t>
            </w:r>
            <w:r w:rsidRPr="00E07C9A">
              <w:rPr>
                <w:rFonts w:ascii="Times New Roman" w:hAnsi="Times New Roman"/>
                <w:sz w:val="24"/>
              </w:rPr>
              <w:t>stave zlyhania podľa prístupu A-IRB sa zohľadňujú ustanovenia uvedené</w:t>
            </w:r>
            <w:r w:rsidR="009912F8" w:rsidRPr="00E07C9A">
              <w:rPr>
                <w:rFonts w:ascii="Times New Roman" w:hAnsi="Times New Roman"/>
                <w:sz w:val="24"/>
              </w:rPr>
              <w:t xml:space="preserve"> v </w:t>
            </w:r>
            <w:r w:rsidRPr="00E07C9A">
              <w:rPr>
                <w:rFonts w:ascii="Times New Roman" w:hAnsi="Times New Roman"/>
                <w:sz w:val="24"/>
              </w:rPr>
              <w:t xml:space="preserve">článku 181 ods. 1 písm. h) nariadenia (EÚ) </w:t>
            </w:r>
            <w:r w:rsidR="009912F8" w:rsidRPr="00E07C9A">
              <w:rPr>
                <w:rFonts w:ascii="Times New Roman" w:hAnsi="Times New Roman"/>
                <w:sz w:val="24"/>
              </w:rPr>
              <w:t>č. 575/2013</w:t>
            </w:r>
            <w:r w:rsidRPr="00E07C9A">
              <w:rPr>
                <w:rFonts w:ascii="Times New Roman" w:hAnsi="Times New Roman"/>
                <w:sz w:val="24"/>
              </w:rPr>
              <w:t>. Vykazovaná LGD zodpovedá odhadu LGD</w:t>
            </w:r>
            <w:r w:rsidR="009912F8" w:rsidRPr="00E07C9A">
              <w:rPr>
                <w:rFonts w:ascii="Times New Roman" w:hAnsi="Times New Roman"/>
                <w:sz w:val="24"/>
              </w:rPr>
              <w:t xml:space="preserve"> v </w:t>
            </w:r>
            <w:r w:rsidRPr="00E07C9A">
              <w:rPr>
                <w:rFonts w:ascii="Times New Roman" w:hAnsi="Times New Roman"/>
                <w:sz w:val="24"/>
              </w:rPr>
              <w:t>stave zlyhania</w:t>
            </w:r>
            <w:r w:rsidR="009912F8" w:rsidRPr="00E07C9A">
              <w:rPr>
                <w:rFonts w:ascii="Times New Roman" w:hAnsi="Times New Roman"/>
                <w:sz w:val="24"/>
              </w:rPr>
              <w:t xml:space="preserve"> v </w:t>
            </w:r>
            <w:r w:rsidRPr="00E07C9A">
              <w:rPr>
                <w:rStyle w:val="InstructionsTabelleText"/>
                <w:rFonts w:ascii="Times New Roman" w:hAnsi="Times New Roman"/>
                <w:sz w:val="24"/>
              </w:rPr>
              <w:t>súlade</w:t>
            </w:r>
            <w:r w:rsidR="009912F8" w:rsidRPr="00E07C9A">
              <w:rPr>
                <w:rStyle w:val="InstructionsTabelleText"/>
                <w:rFonts w:ascii="Times New Roman" w:hAnsi="Times New Roman"/>
                <w:sz w:val="24"/>
              </w:rPr>
              <w:t xml:space="preserve"> s </w:t>
            </w:r>
            <w:r w:rsidRPr="00E07C9A">
              <w:rPr>
                <w:rFonts w:ascii="Times New Roman" w:hAnsi="Times New Roman"/>
                <w:sz w:val="24"/>
              </w:rPr>
              <w:t>príslušnými metodikami pre odhad.</w:t>
            </w:r>
          </w:p>
          <w:p w14:paraId="3CFFCA66" w14:textId="60A573D5" w:rsidR="00121BFD" w:rsidRPr="00E07C9A" w:rsidRDefault="00121BFD" w:rsidP="00E1685B">
            <w:pPr>
              <w:rPr>
                <w:rFonts w:ascii="Times New Roman" w:hAnsi="Times New Roman"/>
                <w:sz w:val="24"/>
              </w:rPr>
            </w:pPr>
            <w:r w:rsidRPr="00E07C9A">
              <w:rPr>
                <w:rFonts w:ascii="Times New Roman" w:hAnsi="Times New Roman"/>
                <w:sz w:val="24"/>
              </w:rPr>
              <w:t>Tento stĺpec sa nemusí vyplniť pre všetky triedy expozícií.</w:t>
            </w:r>
          </w:p>
        </w:tc>
      </w:tr>
      <w:tr w:rsidR="008151A6" w:rsidRPr="00E07C9A" w14:paraId="59F5CC4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182985D" w14:textId="77777777" w:rsidR="008151A6" w:rsidRPr="00E07C9A" w:rsidRDefault="008151A6" w:rsidP="00664874">
            <w:pPr>
              <w:rPr>
                <w:rFonts w:ascii="Times New Roman" w:hAnsi="Times New Roman"/>
                <w:sz w:val="24"/>
              </w:rPr>
            </w:pPr>
            <w:r w:rsidRPr="00E07C9A">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A1BD3FE" w14:textId="77777777" w:rsidR="008151A6" w:rsidRPr="00E07C9A" w:rsidRDefault="008151A6" w:rsidP="00664874">
            <w:pPr>
              <w:rPr>
                <w:rFonts w:ascii="Times New Roman" w:hAnsi="Times New Roman"/>
                <w:b/>
                <w:sz w:val="24"/>
                <w:u w:val="single"/>
              </w:rPr>
            </w:pPr>
            <w:r w:rsidRPr="00E07C9A">
              <w:rPr>
                <w:rFonts w:ascii="Times New Roman" w:hAnsi="Times New Roman"/>
                <w:b/>
                <w:sz w:val="24"/>
                <w:u w:val="single"/>
              </w:rPr>
              <w:t>EXPOZÍCIAMI VÁŽENÁ PRIEMERNÁ SPLATNOSŤ (V ROKOCH)</w:t>
            </w:r>
          </w:p>
          <w:p w14:paraId="78A0978E" w14:textId="005FF278" w:rsidR="008151A6" w:rsidRPr="00E07C9A" w:rsidRDefault="008151A6" w:rsidP="00664874">
            <w:pPr>
              <w:rPr>
                <w:rFonts w:ascii="Times New Roman" w:hAnsi="Times New Roman"/>
                <w:sz w:val="24"/>
              </w:rPr>
            </w:pPr>
            <w:r w:rsidRPr="00E07C9A">
              <w:rPr>
                <w:rFonts w:ascii="Times New Roman" w:hAnsi="Times New Roman"/>
                <w:sz w:val="24"/>
              </w:rPr>
              <w:t>Pri všetkých expozíciách zahrnutých</w:t>
            </w:r>
            <w:r w:rsidR="009912F8" w:rsidRPr="00E07C9A">
              <w:rPr>
                <w:rFonts w:ascii="Times New Roman" w:hAnsi="Times New Roman"/>
                <w:sz w:val="24"/>
              </w:rPr>
              <w:t xml:space="preserve"> v </w:t>
            </w:r>
            <w:r w:rsidRPr="00E07C9A">
              <w:rPr>
                <w:rFonts w:ascii="Times New Roman" w:hAnsi="Times New Roman"/>
                <w:sz w:val="24"/>
              </w:rPr>
              <w:t>každej skupine pevného rozsahu PD priemerná splatnosť každej expozície, vážená hodnotou expozície po uplatnení konverzných faktorov úverov, ako je vykázaná</w:t>
            </w:r>
            <w:r w:rsidR="009912F8" w:rsidRPr="00E07C9A">
              <w:rPr>
                <w:rFonts w:ascii="Times New Roman" w:hAnsi="Times New Roman"/>
                <w:sz w:val="24"/>
              </w:rPr>
              <w:t xml:space="preserve"> v </w:t>
            </w:r>
            <w:r w:rsidRPr="00E07C9A">
              <w:rPr>
                <w:rFonts w:ascii="Times New Roman" w:hAnsi="Times New Roman"/>
                <w:sz w:val="24"/>
              </w:rPr>
              <w:t>stĺpci 0040.</w:t>
            </w:r>
          </w:p>
          <w:p w14:paraId="42D0C09F" w14:textId="05DEA580" w:rsidR="009912F8" w:rsidRPr="00E07C9A" w:rsidRDefault="008151A6" w:rsidP="00664874">
            <w:pPr>
              <w:rPr>
                <w:rFonts w:ascii="Times New Roman" w:hAnsi="Times New Roman"/>
                <w:sz w:val="24"/>
              </w:rPr>
            </w:pPr>
            <w:r w:rsidRPr="00E07C9A">
              <w:rPr>
                <w:rFonts w:ascii="Times New Roman" w:hAnsi="Times New Roman"/>
                <w:sz w:val="24"/>
              </w:rPr>
              <w:t>Vykazovaná hodnota splatnosti sa určuje</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162 nariadenia (EÚ) </w:t>
            </w:r>
            <w:r w:rsidR="009912F8" w:rsidRPr="00E07C9A">
              <w:rPr>
                <w:rFonts w:ascii="Times New Roman" w:hAnsi="Times New Roman"/>
                <w:sz w:val="24"/>
              </w:rPr>
              <w:t>č. 575/2013.</w:t>
            </w:r>
          </w:p>
          <w:p w14:paraId="7853783D" w14:textId="3ED7210B" w:rsidR="008151A6" w:rsidRPr="00E07C9A" w:rsidRDefault="008151A6" w:rsidP="00664874">
            <w:pPr>
              <w:rPr>
                <w:rFonts w:ascii="Times New Roman" w:hAnsi="Times New Roman"/>
                <w:sz w:val="24"/>
              </w:rPr>
            </w:pPr>
            <w:r w:rsidRPr="00E07C9A">
              <w:rPr>
                <w:rFonts w:ascii="Times New Roman" w:hAnsi="Times New Roman"/>
                <w:sz w:val="24"/>
              </w:rPr>
              <w:t>Priemerná splatnosť sa vykazuje</w:t>
            </w:r>
            <w:r w:rsidR="009912F8" w:rsidRPr="00E07C9A">
              <w:rPr>
                <w:rFonts w:ascii="Times New Roman" w:hAnsi="Times New Roman"/>
                <w:sz w:val="24"/>
              </w:rPr>
              <w:t xml:space="preserve"> v </w:t>
            </w:r>
            <w:r w:rsidRPr="00E07C9A">
              <w:rPr>
                <w:rFonts w:ascii="Times New Roman" w:hAnsi="Times New Roman"/>
                <w:sz w:val="24"/>
              </w:rPr>
              <w:t>rokoch.</w:t>
            </w:r>
          </w:p>
          <w:p w14:paraId="3538AA9B" w14:textId="47B3B3A8" w:rsidR="008151A6" w:rsidRPr="00E07C9A" w:rsidRDefault="008151A6" w:rsidP="002F11F3">
            <w:pPr>
              <w:rPr>
                <w:rFonts w:ascii="Times New Roman" w:hAnsi="Times New Roman"/>
                <w:sz w:val="24"/>
              </w:rPr>
            </w:pPr>
            <w:r w:rsidRPr="00E07C9A">
              <w:rPr>
                <w:rFonts w:ascii="Times New Roman" w:hAnsi="Times New Roman"/>
                <w:sz w:val="24"/>
              </w:rPr>
              <w:t>Tieto údaje sa nevykazujú pri hodnotách expozícií,</w:t>
            </w:r>
            <w:r w:rsidR="009912F8" w:rsidRPr="00E07C9A">
              <w:rPr>
                <w:rFonts w:ascii="Times New Roman" w:hAnsi="Times New Roman"/>
                <w:sz w:val="24"/>
              </w:rPr>
              <w:t xml:space="preserve"> v </w:t>
            </w:r>
            <w:r w:rsidRPr="00E07C9A">
              <w:rPr>
                <w:rFonts w:ascii="Times New Roman" w:hAnsi="Times New Roman"/>
                <w:sz w:val="24"/>
              </w:rPr>
              <w:t xml:space="preserve">prípade ktorých splatnosť nie je prvkom vo výpočte </w:t>
            </w:r>
            <w:r w:rsidRPr="00E07C9A">
              <w:rPr>
                <w:rStyle w:val="InstructionsTabelleText"/>
                <w:rFonts w:ascii="Times New Roman" w:hAnsi="Times New Roman"/>
                <w:sz w:val="24"/>
              </w:rPr>
              <w:t>hodnôt rizikovo vážených expozícií</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treťou časťou hlavou II kapitolou 3 nariadenia (EÚ) </w:t>
            </w:r>
            <w:r w:rsidR="009912F8" w:rsidRPr="00E07C9A">
              <w:rPr>
                <w:rFonts w:ascii="Times New Roman" w:hAnsi="Times New Roman"/>
                <w:sz w:val="24"/>
              </w:rPr>
              <w:t>č. 575/2013</w:t>
            </w:r>
            <w:r w:rsidRPr="00E07C9A">
              <w:rPr>
                <w:rFonts w:ascii="Times New Roman" w:hAnsi="Times New Roman"/>
                <w:sz w:val="24"/>
              </w:rPr>
              <w:t>. Znamená to, že pre triedu expozícií „retail“ sa tento stĺpec nevypĺňa.</w:t>
            </w:r>
          </w:p>
        </w:tc>
      </w:tr>
      <w:tr w:rsidR="008151A6" w:rsidRPr="00E07C9A" w14:paraId="0E509E8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5A9D28C" w14:textId="77777777" w:rsidR="008151A6" w:rsidRPr="00E07C9A" w:rsidDel="00F079B2" w:rsidRDefault="008151A6" w:rsidP="00664874">
            <w:pPr>
              <w:rPr>
                <w:rFonts w:ascii="Times New Roman" w:hAnsi="Times New Roman"/>
                <w:sz w:val="24"/>
              </w:rPr>
            </w:pPr>
            <w:r w:rsidRPr="00E07C9A">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EFF2525" w14:textId="77777777" w:rsidR="008151A6" w:rsidRPr="00E07C9A" w:rsidRDefault="008151A6" w:rsidP="00664874">
            <w:pPr>
              <w:rPr>
                <w:rFonts w:ascii="Times New Roman" w:hAnsi="Times New Roman"/>
                <w:b/>
                <w:sz w:val="24"/>
                <w:u w:val="single"/>
              </w:rPr>
            </w:pPr>
            <w:r w:rsidRPr="00E07C9A">
              <w:rPr>
                <w:rFonts w:ascii="Times New Roman" w:hAnsi="Times New Roman"/>
                <w:b/>
                <w:sz w:val="24"/>
                <w:u w:val="single"/>
              </w:rPr>
              <w:t>HODNOTA RIZIKOVO VÁŽENEJ EXPOZÍCIE PO UPLATNENÍ PODPORNÝCH FAKTOROV</w:t>
            </w:r>
          </w:p>
          <w:p w14:paraId="3D40BF94" w14:textId="20DED8A9" w:rsidR="008151A6" w:rsidRPr="00E07C9A" w:rsidRDefault="008151A6" w:rsidP="00664874">
            <w:pPr>
              <w:rPr>
                <w:rFonts w:ascii="Times New Roman" w:hAnsi="Times New Roman"/>
                <w:sz w:val="24"/>
              </w:rPr>
            </w:pPr>
            <w:r w:rsidRPr="00E07C9A">
              <w:rPr>
                <w:rFonts w:ascii="Times New Roman" w:hAnsi="Times New Roman"/>
                <w:sz w:val="24"/>
              </w:rPr>
              <w:t>Pri expozíciách voči ústredným vládam</w:t>
            </w:r>
            <w:r w:rsidR="009912F8" w:rsidRPr="00E07C9A">
              <w:rPr>
                <w:rFonts w:ascii="Times New Roman" w:hAnsi="Times New Roman"/>
                <w:sz w:val="24"/>
              </w:rPr>
              <w:t xml:space="preserve"> a </w:t>
            </w:r>
            <w:r w:rsidRPr="00E07C9A">
              <w:rPr>
                <w:rFonts w:ascii="Times New Roman" w:hAnsi="Times New Roman"/>
                <w:sz w:val="24"/>
              </w:rPr>
              <w:t>centrálnym bankám, inštitúciám</w:t>
            </w:r>
            <w:r w:rsidR="009912F8" w:rsidRPr="00E07C9A">
              <w:rPr>
                <w:rFonts w:ascii="Times New Roman" w:hAnsi="Times New Roman"/>
                <w:sz w:val="24"/>
              </w:rPr>
              <w:t xml:space="preserve"> a </w:t>
            </w:r>
            <w:r w:rsidRPr="00E07C9A">
              <w:rPr>
                <w:rFonts w:ascii="Times New Roman" w:hAnsi="Times New Roman"/>
                <w:sz w:val="24"/>
              </w:rPr>
              <w:t>podnikateľským subjektom hodnota rizikovo váženej expozície vypočítaná</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článkom 153 ods. 1 až 4; pri retailových expozíciách hodnota rizikovo váženej expozície vypočítaná</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154 nariadenia (EÚ) </w:t>
            </w:r>
            <w:r w:rsidR="009912F8" w:rsidRPr="00E07C9A">
              <w:rPr>
                <w:rFonts w:ascii="Times New Roman" w:hAnsi="Times New Roman"/>
                <w:sz w:val="24"/>
              </w:rPr>
              <w:t>č. 575/2013</w:t>
            </w:r>
            <w:r w:rsidRPr="00E07C9A">
              <w:rPr>
                <w:rFonts w:ascii="Times New Roman" w:hAnsi="Times New Roman"/>
                <w:sz w:val="24"/>
              </w:rPr>
              <w:t>.</w:t>
            </w:r>
          </w:p>
          <w:p w14:paraId="78026103" w14:textId="1BF5844B" w:rsidR="008151A6" w:rsidRPr="00E07C9A" w:rsidRDefault="008151A6" w:rsidP="003F19BA">
            <w:pPr>
              <w:rPr>
                <w:rFonts w:ascii="Times New Roman" w:hAnsi="Times New Roman"/>
                <w:sz w:val="24"/>
              </w:rPr>
            </w:pPr>
            <w:r w:rsidRPr="00E07C9A">
              <w:rPr>
                <w:rFonts w:ascii="Times New Roman" w:hAnsi="Times New Roman"/>
                <w:sz w:val="24"/>
              </w:rPr>
              <w:t>Zohľadňujú sa faktory na podporu MSP</w:t>
            </w:r>
            <w:r w:rsidR="009912F8" w:rsidRPr="00E07C9A">
              <w:rPr>
                <w:rFonts w:ascii="Times New Roman" w:hAnsi="Times New Roman"/>
                <w:sz w:val="24"/>
              </w:rPr>
              <w:t xml:space="preserve"> a </w:t>
            </w:r>
            <w:r w:rsidRPr="00E07C9A">
              <w:rPr>
                <w:rFonts w:ascii="Times New Roman" w:hAnsi="Times New Roman"/>
                <w:sz w:val="24"/>
              </w:rPr>
              <w:t xml:space="preserve">infraštruktúry </w:t>
            </w:r>
            <w:r w:rsidRPr="00E07C9A">
              <w:rPr>
                <w:rStyle w:val="InstructionsTabelleText"/>
                <w:rFonts w:ascii="Times New Roman" w:hAnsi="Times New Roman"/>
                <w:sz w:val="24"/>
              </w:rPr>
              <w:t>stanovené</w:t>
            </w:r>
            <w:r w:rsidR="009912F8" w:rsidRPr="00E07C9A">
              <w:rPr>
                <w:rFonts w:ascii="Times New Roman" w:hAnsi="Times New Roman"/>
                <w:sz w:val="24"/>
              </w:rPr>
              <w:t xml:space="preserve"> v </w:t>
            </w:r>
            <w:r w:rsidRPr="00E07C9A">
              <w:rPr>
                <w:rFonts w:ascii="Times New Roman" w:hAnsi="Times New Roman"/>
                <w:sz w:val="24"/>
              </w:rPr>
              <w:t>článkoch 501</w:t>
            </w:r>
            <w:r w:rsidR="009912F8" w:rsidRPr="00E07C9A">
              <w:rPr>
                <w:rFonts w:ascii="Times New Roman" w:hAnsi="Times New Roman"/>
                <w:sz w:val="24"/>
              </w:rPr>
              <w:t xml:space="preserve"> a </w:t>
            </w:r>
            <w:r w:rsidRPr="00E07C9A">
              <w:rPr>
                <w:rFonts w:ascii="Times New Roman" w:hAnsi="Times New Roman"/>
                <w:sz w:val="24"/>
              </w:rPr>
              <w:t xml:space="preserve">501a nariadenia (EÚ) </w:t>
            </w:r>
            <w:r w:rsidR="009912F8" w:rsidRPr="00E07C9A">
              <w:rPr>
                <w:rFonts w:ascii="Times New Roman" w:hAnsi="Times New Roman"/>
                <w:sz w:val="24"/>
              </w:rPr>
              <w:t>č. 575/2013</w:t>
            </w:r>
            <w:r w:rsidRPr="00E07C9A">
              <w:rPr>
                <w:rFonts w:ascii="Times New Roman" w:hAnsi="Times New Roman"/>
                <w:sz w:val="24"/>
              </w:rPr>
              <w:t xml:space="preserve">. </w:t>
            </w:r>
          </w:p>
        </w:tc>
      </w:tr>
      <w:tr w:rsidR="008151A6" w:rsidRPr="00E07C9A" w14:paraId="4415FC5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5DEBDB8" w14:textId="77777777" w:rsidR="008151A6" w:rsidRPr="00E07C9A" w:rsidRDefault="008151A6" w:rsidP="00AC6619">
            <w:pPr>
              <w:rPr>
                <w:rFonts w:ascii="Times New Roman" w:hAnsi="Times New Roman"/>
                <w:sz w:val="24"/>
              </w:rPr>
            </w:pPr>
            <w:r w:rsidRPr="00E07C9A">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D210E6B" w14:textId="77777777" w:rsidR="008151A6" w:rsidRPr="00E07C9A" w:rsidRDefault="008151A6" w:rsidP="00664874">
            <w:pPr>
              <w:rPr>
                <w:rFonts w:ascii="Times New Roman" w:hAnsi="Times New Roman"/>
                <w:b/>
                <w:sz w:val="24"/>
                <w:u w:val="single"/>
              </w:rPr>
            </w:pPr>
            <w:r w:rsidRPr="00E07C9A">
              <w:rPr>
                <w:rFonts w:ascii="Times New Roman" w:hAnsi="Times New Roman"/>
                <w:b/>
                <w:sz w:val="24"/>
                <w:u w:val="single"/>
              </w:rPr>
              <w:t>VÝŠKA OČAKÁVANEJ STRATY</w:t>
            </w:r>
          </w:p>
          <w:p w14:paraId="4832D8CA" w14:textId="36FA8D9B" w:rsidR="008151A6" w:rsidRPr="00E07C9A" w:rsidRDefault="008151A6" w:rsidP="00664874">
            <w:pPr>
              <w:rPr>
                <w:rFonts w:ascii="Times New Roman" w:hAnsi="Times New Roman"/>
                <w:sz w:val="24"/>
              </w:rPr>
            </w:pPr>
            <w:r w:rsidRPr="00E07C9A">
              <w:rPr>
                <w:rFonts w:ascii="Times New Roman" w:hAnsi="Times New Roman"/>
                <w:sz w:val="24"/>
              </w:rPr>
              <w:t>Výška očakávanej straty vypočítaná</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158 nariadenia (EÚ) </w:t>
            </w:r>
            <w:r w:rsidR="009912F8" w:rsidRPr="00E07C9A">
              <w:rPr>
                <w:rFonts w:ascii="Times New Roman" w:hAnsi="Times New Roman"/>
                <w:sz w:val="24"/>
              </w:rPr>
              <w:t>č. 575/2013</w:t>
            </w:r>
            <w:r w:rsidRPr="00E07C9A">
              <w:rPr>
                <w:rFonts w:ascii="Times New Roman" w:hAnsi="Times New Roman"/>
                <w:sz w:val="24"/>
              </w:rPr>
              <w:t>.</w:t>
            </w:r>
          </w:p>
          <w:p w14:paraId="61B3A6E1" w14:textId="25484ED4" w:rsidR="008151A6" w:rsidRPr="00E07C9A" w:rsidRDefault="008151A6" w:rsidP="00664874">
            <w:pPr>
              <w:rPr>
                <w:rFonts w:ascii="Times New Roman" w:hAnsi="Times New Roman"/>
                <w:sz w:val="24"/>
              </w:rPr>
            </w:pPr>
            <w:r w:rsidRPr="00E07C9A">
              <w:rPr>
                <w:rFonts w:ascii="Times New Roman" w:hAnsi="Times New Roman"/>
                <w:sz w:val="24"/>
              </w:rPr>
              <w:t>Vykazovaná výška očakávanej straty je založená na skutočných parametroch rizika, ktoré sa používajú</w:t>
            </w:r>
            <w:r w:rsidR="009912F8" w:rsidRPr="00E07C9A">
              <w:rPr>
                <w:rFonts w:ascii="Times New Roman" w:hAnsi="Times New Roman"/>
                <w:sz w:val="24"/>
              </w:rPr>
              <w:t xml:space="preserve"> v </w:t>
            </w:r>
            <w:r w:rsidRPr="00E07C9A">
              <w:rPr>
                <w:rFonts w:ascii="Times New Roman" w:hAnsi="Times New Roman"/>
                <w:sz w:val="24"/>
              </w:rPr>
              <w:t>internej ratingovej stupnici schválenej dotknutým príslušným orgánom.</w:t>
            </w:r>
          </w:p>
        </w:tc>
      </w:tr>
      <w:tr w:rsidR="008151A6" w:rsidRPr="00E07C9A" w14:paraId="4EA2590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A7ED0C7" w14:textId="77777777" w:rsidR="008151A6" w:rsidRPr="00E07C9A" w:rsidRDefault="008151A6" w:rsidP="00AC6619">
            <w:pPr>
              <w:rPr>
                <w:rFonts w:ascii="Times New Roman" w:hAnsi="Times New Roman"/>
                <w:sz w:val="24"/>
              </w:rPr>
            </w:pPr>
            <w:r w:rsidRPr="00E07C9A">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E1C3218" w14:textId="17DA8B27" w:rsidR="008151A6" w:rsidRPr="00E07C9A" w:rsidRDefault="00724108" w:rsidP="00664874">
            <w:pPr>
              <w:rPr>
                <w:rFonts w:ascii="Times New Roman" w:hAnsi="Times New Roman"/>
                <w:b/>
                <w:sz w:val="24"/>
                <w:u w:val="single"/>
              </w:rPr>
            </w:pPr>
            <w:r w:rsidRPr="00E07C9A">
              <w:rPr>
                <w:rFonts w:ascii="Times New Roman" w:hAnsi="Times New Roman"/>
                <w:b/>
                <w:sz w:val="24"/>
                <w:u w:val="single"/>
              </w:rPr>
              <w:t>(–) ÚPRAVY OCENENIA A REZERVY</w:t>
            </w:r>
          </w:p>
          <w:p w14:paraId="3C1F0661" w14:textId="2A509878" w:rsidR="009912F8" w:rsidRPr="00E07C9A" w:rsidRDefault="008151A6" w:rsidP="00664874">
            <w:pPr>
              <w:rPr>
                <w:rFonts w:ascii="Times New Roman" w:hAnsi="Times New Roman"/>
                <w:sz w:val="24"/>
              </w:rPr>
            </w:pPr>
            <w:r w:rsidRPr="00E07C9A">
              <w:rPr>
                <w:rFonts w:ascii="Times New Roman" w:hAnsi="Times New Roman"/>
                <w:sz w:val="24"/>
              </w:rPr>
              <w:t>Špecifické</w:t>
            </w:r>
            <w:r w:rsidR="009912F8" w:rsidRPr="00E07C9A">
              <w:rPr>
                <w:rFonts w:ascii="Times New Roman" w:hAnsi="Times New Roman"/>
                <w:sz w:val="24"/>
              </w:rPr>
              <w:t xml:space="preserve"> a </w:t>
            </w:r>
            <w:r w:rsidRPr="00E07C9A">
              <w:rPr>
                <w:rFonts w:ascii="Times New Roman" w:hAnsi="Times New Roman"/>
                <w:sz w:val="24"/>
              </w:rPr>
              <w:t>všeobecné úpravy kreditného rizika</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delegovaným nariadením Komisie (EÚ) č. 183/2014, dodatočné úpravy ocenenia</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článkami 34</w:t>
            </w:r>
            <w:r w:rsidR="009912F8" w:rsidRPr="00E07C9A">
              <w:rPr>
                <w:rFonts w:ascii="Times New Roman" w:hAnsi="Times New Roman"/>
                <w:sz w:val="24"/>
              </w:rPr>
              <w:t xml:space="preserve"> a </w:t>
            </w:r>
            <w:r w:rsidRPr="00E07C9A">
              <w:rPr>
                <w:rFonts w:ascii="Times New Roman" w:hAnsi="Times New Roman"/>
                <w:sz w:val="24"/>
              </w:rPr>
              <w:t xml:space="preserve">110 nariadenia (EÚ) </w:t>
            </w:r>
            <w:r w:rsidR="009912F8" w:rsidRPr="00E07C9A">
              <w:rPr>
                <w:rFonts w:ascii="Times New Roman" w:hAnsi="Times New Roman"/>
                <w:sz w:val="24"/>
              </w:rPr>
              <w:t>č. 575/2013</w:t>
            </w:r>
            <w:r w:rsidRPr="00E07C9A">
              <w:rPr>
                <w:rFonts w:ascii="Times New Roman" w:hAnsi="Times New Roman"/>
                <w:sz w:val="24"/>
              </w:rPr>
              <w:t>, ako aj iné zníženia vlastných zdrojov súvisiace</w:t>
            </w:r>
            <w:r w:rsidR="009912F8" w:rsidRPr="00E07C9A">
              <w:rPr>
                <w:rFonts w:ascii="Times New Roman" w:hAnsi="Times New Roman"/>
                <w:sz w:val="24"/>
              </w:rPr>
              <w:t xml:space="preserve"> s </w:t>
            </w:r>
            <w:r w:rsidRPr="00E07C9A">
              <w:rPr>
                <w:rFonts w:ascii="Times New Roman" w:hAnsi="Times New Roman"/>
                <w:sz w:val="24"/>
              </w:rPr>
              <w:t>expozíciami priradenými ku každej skupine pevného rozsahu PD</w:t>
            </w:r>
            <w:r w:rsidR="009912F8" w:rsidRPr="00E07C9A">
              <w:rPr>
                <w:rFonts w:ascii="Times New Roman" w:hAnsi="Times New Roman"/>
                <w:sz w:val="24"/>
              </w:rPr>
              <w:t>.</w:t>
            </w:r>
          </w:p>
          <w:p w14:paraId="10E77039" w14:textId="287723A1" w:rsidR="008151A6" w:rsidRPr="00E07C9A" w:rsidRDefault="008151A6" w:rsidP="00664874">
            <w:pPr>
              <w:rPr>
                <w:rFonts w:ascii="Times New Roman" w:hAnsi="Times New Roman"/>
                <w:sz w:val="24"/>
              </w:rPr>
            </w:pPr>
            <w:r w:rsidRPr="00E07C9A">
              <w:rPr>
                <w:rFonts w:ascii="Times New Roman" w:hAnsi="Times New Roman"/>
                <w:sz w:val="24"/>
              </w:rPr>
              <w:t>Tieto úpravy ocenenia</w:t>
            </w:r>
            <w:r w:rsidR="009912F8" w:rsidRPr="00E07C9A">
              <w:rPr>
                <w:rFonts w:ascii="Times New Roman" w:hAnsi="Times New Roman"/>
                <w:sz w:val="24"/>
              </w:rPr>
              <w:t xml:space="preserve"> a </w:t>
            </w:r>
            <w:r w:rsidRPr="00E07C9A">
              <w:rPr>
                <w:rFonts w:ascii="Times New Roman" w:hAnsi="Times New Roman"/>
                <w:sz w:val="24"/>
              </w:rPr>
              <w:t>rezervy sú tie úpravy ocenenia</w:t>
            </w:r>
            <w:r w:rsidR="009912F8" w:rsidRPr="00E07C9A">
              <w:rPr>
                <w:rFonts w:ascii="Times New Roman" w:hAnsi="Times New Roman"/>
                <w:sz w:val="24"/>
              </w:rPr>
              <w:t xml:space="preserve"> a </w:t>
            </w:r>
            <w:r w:rsidRPr="00E07C9A">
              <w:rPr>
                <w:rFonts w:ascii="Times New Roman" w:hAnsi="Times New Roman"/>
                <w:sz w:val="24"/>
              </w:rPr>
              <w:t xml:space="preserve">rezervy, ktoré sa zohľadňujú pri vykonávaní článku 159 nariadenia (EÚ) </w:t>
            </w:r>
            <w:r w:rsidR="009912F8" w:rsidRPr="00E07C9A">
              <w:rPr>
                <w:rFonts w:ascii="Times New Roman" w:hAnsi="Times New Roman"/>
                <w:sz w:val="24"/>
              </w:rPr>
              <w:t>č. 575/2013</w:t>
            </w:r>
            <w:r w:rsidRPr="00E07C9A">
              <w:rPr>
                <w:rFonts w:ascii="Times New Roman" w:hAnsi="Times New Roman"/>
                <w:sz w:val="24"/>
              </w:rPr>
              <w:t>.</w:t>
            </w:r>
          </w:p>
          <w:p w14:paraId="19C8FD19" w14:textId="449D6D5D" w:rsidR="008151A6" w:rsidRPr="00E07C9A" w:rsidRDefault="008151A6" w:rsidP="00664874">
            <w:pPr>
              <w:rPr>
                <w:rFonts w:ascii="Times New Roman" w:hAnsi="Times New Roman"/>
                <w:sz w:val="24"/>
              </w:rPr>
            </w:pPr>
            <w:r w:rsidRPr="00E07C9A">
              <w:rPr>
                <w:rFonts w:ascii="Times New Roman" w:hAnsi="Times New Roman"/>
                <w:sz w:val="24"/>
              </w:rPr>
              <w:t>Všeobecné rezervy sa vykazujú priradením hodnoty na pomernom základe –</w:t>
            </w:r>
            <w:r w:rsidR="009912F8" w:rsidRPr="00E07C9A">
              <w:rPr>
                <w:rFonts w:ascii="Times New Roman" w:hAnsi="Times New Roman"/>
                <w:sz w:val="24"/>
              </w:rPr>
              <w:t xml:space="preserve"> v </w:t>
            </w:r>
            <w:r w:rsidRPr="00E07C9A">
              <w:rPr>
                <w:rStyle w:val="InstructionsTabelleText"/>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očakávanou stratou rôznych ratingových stupňov dlžníkov.</w:t>
            </w:r>
            <w:r w:rsidR="009912F8" w:rsidRPr="00E07C9A">
              <w:rPr>
                <w:rFonts w:ascii="Times New Roman" w:hAnsi="Times New Roman"/>
                <w:sz w:val="24"/>
              </w:rPr>
              <w:t xml:space="preserve"> </w:t>
            </w:r>
          </w:p>
        </w:tc>
      </w:tr>
    </w:tbl>
    <w:p w14:paraId="453D9305" w14:textId="77777777" w:rsidR="008151A6" w:rsidRPr="00E07C9A" w:rsidRDefault="008151A6"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E07C9A" w14:paraId="65BAFCE5" w14:textId="77777777" w:rsidTr="00664874">
        <w:tc>
          <w:tcPr>
            <w:tcW w:w="1271" w:type="dxa"/>
            <w:shd w:val="pct25" w:color="auto" w:fill="auto"/>
          </w:tcPr>
          <w:p w14:paraId="663DF2DE" w14:textId="77777777" w:rsidR="008151A6" w:rsidRPr="00E07C9A" w:rsidRDefault="008151A6" w:rsidP="00664874">
            <w:pPr>
              <w:rPr>
                <w:rFonts w:ascii="Times New Roman" w:hAnsi="Times New Roman"/>
                <w:sz w:val="24"/>
              </w:rPr>
            </w:pPr>
            <w:r w:rsidRPr="00E07C9A">
              <w:rPr>
                <w:rFonts w:ascii="Times New Roman" w:hAnsi="Times New Roman"/>
                <w:sz w:val="24"/>
              </w:rPr>
              <w:t>Riadky</w:t>
            </w:r>
          </w:p>
        </w:tc>
        <w:tc>
          <w:tcPr>
            <w:tcW w:w="8557" w:type="dxa"/>
            <w:shd w:val="pct25" w:color="auto" w:fill="auto"/>
          </w:tcPr>
          <w:p w14:paraId="719B167F" w14:textId="77777777" w:rsidR="008151A6" w:rsidRPr="00E07C9A" w:rsidRDefault="008151A6" w:rsidP="00664874">
            <w:pPr>
              <w:rPr>
                <w:rFonts w:ascii="Times New Roman" w:hAnsi="Times New Roman"/>
                <w:sz w:val="24"/>
              </w:rPr>
            </w:pPr>
            <w:r w:rsidRPr="00E07C9A">
              <w:rPr>
                <w:rFonts w:ascii="Times New Roman" w:hAnsi="Times New Roman"/>
                <w:sz w:val="24"/>
              </w:rPr>
              <w:t>Pokyny</w:t>
            </w:r>
          </w:p>
        </w:tc>
      </w:tr>
      <w:tr w:rsidR="008151A6" w:rsidRPr="00E07C9A" w14:paraId="0C3443A5" w14:textId="77777777" w:rsidTr="00664874">
        <w:tc>
          <w:tcPr>
            <w:tcW w:w="1271" w:type="dxa"/>
          </w:tcPr>
          <w:p w14:paraId="5184D9A6" w14:textId="77777777" w:rsidR="008151A6" w:rsidRPr="00E07C9A" w:rsidRDefault="008151A6" w:rsidP="00664874">
            <w:pPr>
              <w:rPr>
                <w:rFonts w:ascii="Times New Roman" w:hAnsi="Times New Roman"/>
                <w:sz w:val="24"/>
              </w:rPr>
            </w:pPr>
            <w:r w:rsidRPr="00E07C9A">
              <w:rPr>
                <w:rFonts w:ascii="Times New Roman" w:hAnsi="Times New Roman"/>
                <w:sz w:val="24"/>
              </w:rPr>
              <w:t>ROZSAH PD</w:t>
            </w:r>
          </w:p>
        </w:tc>
        <w:tc>
          <w:tcPr>
            <w:tcW w:w="8557" w:type="dxa"/>
          </w:tcPr>
          <w:p w14:paraId="17B0EE0E" w14:textId="480DAC42" w:rsidR="008151A6" w:rsidRPr="00E07C9A" w:rsidRDefault="008151A6" w:rsidP="00AC6619">
            <w:pPr>
              <w:rPr>
                <w:rFonts w:ascii="Times New Roman" w:hAnsi="Times New Roman"/>
                <w:sz w:val="24"/>
              </w:rPr>
            </w:pPr>
            <w:r w:rsidRPr="00E07C9A">
              <w:rPr>
                <w:rFonts w:ascii="Times New Roman" w:hAnsi="Times New Roman"/>
                <w:sz w:val="24"/>
              </w:rPr>
              <w:t>Expozície sa zaraďujú do príslušnej skupiny pevného rozsahu PD na základe PD odhadovanej pre každého dlžníka zaradeného do tejto triedy expozícií (bez zohľadnenia substitučných účinkov</w:t>
            </w:r>
            <w:r w:rsidR="009912F8" w:rsidRPr="00E07C9A">
              <w:rPr>
                <w:rFonts w:ascii="Times New Roman" w:hAnsi="Times New Roman"/>
                <w:sz w:val="24"/>
              </w:rPr>
              <w:t xml:space="preserve"> v </w:t>
            </w:r>
            <w:r w:rsidRPr="00E07C9A">
              <w:rPr>
                <w:rFonts w:ascii="Times New Roman" w:hAnsi="Times New Roman"/>
                <w:sz w:val="24"/>
              </w:rPr>
              <w:t>dôsledku zmierňovania kreditného rizika). Inštitúcie priraďujú expozíciu za expozíciou</w:t>
            </w:r>
            <w:r w:rsidR="009912F8" w:rsidRPr="00E07C9A">
              <w:rPr>
                <w:rFonts w:ascii="Times New Roman" w:hAnsi="Times New Roman"/>
                <w:sz w:val="24"/>
              </w:rPr>
              <w:t xml:space="preserve"> k </w:t>
            </w:r>
            <w:r w:rsidRPr="00E07C9A">
              <w:rPr>
                <w:rFonts w:ascii="Times New Roman" w:hAnsi="Times New Roman"/>
                <w:sz w:val="24"/>
              </w:rPr>
              <w:t>rozsahu PD uvedenému vo vzore, pričom zároveň zohľadňujú spojité stupnice. Všetky zlyhané expozície sa zahŕňajú do skupiny predstavujúcej PD na úrovni 100</w:t>
            </w:r>
            <w:r w:rsidR="009912F8" w:rsidRPr="00E07C9A">
              <w:rPr>
                <w:rFonts w:ascii="Times New Roman" w:hAnsi="Times New Roman"/>
                <w:sz w:val="24"/>
              </w:rPr>
              <w:t> %</w:t>
            </w:r>
            <w:r w:rsidRPr="00E07C9A">
              <w:rPr>
                <w:rFonts w:ascii="Times New Roman" w:hAnsi="Times New Roman"/>
                <w:sz w:val="24"/>
              </w:rPr>
              <w:t>.</w:t>
            </w:r>
          </w:p>
          <w:p w14:paraId="7108F657" w14:textId="77777777" w:rsidR="00803C30" w:rsidRPr="00E07C9A" w:rsidRDefault="00803C30" w:rsidP="00AC6619">
            <w:pPr>
              <w:rPr>
                <w:rFonts w:ascii="Times New Roman" w:hAnsi="Times New Roman"/>
                <w:sz w:val="24"/>
              </w:rPr>
            </w:pPr>
          </w:p>
          <w:p w14:paraId="709E83D4" w14:textId="18560FB4" w:rsidR="00803C30" w:rsidRPr="00E07C9A" w:rsidRDefault="00803C30" w:rsidP="00AC6619">
            <w:pPr>
              <w:rPr>
                <w:rFonts w:ascii="Times New Roman" w:hAnsi="Times New Roman"/>
                <w:sz w:val="24"/>
              </w:rPr>
            </w:pPr>
            <w:r w:rsidRPr="00E07C9A">
              <w:rPr>
                <w:rFonts w:ascii="Times New Roman" w:hAnsi="Times New Roman"/>
                <w:sz w:val="24"/>
              </w:rPr>
              <w:t>{r0170, c0050}</w:t>
            </w:r>
            <w:r w:rsidR="009912F8" w:rsidRPr="00E07C9A">
              <w:rPr>
                <w:rFonts w:ascii="Times New Roman" w:hAnsi="Times New Roman"/>
                <w:sz w:val="24"/>
              </w:rPr>
              <w:t xml:space="preserve"> a </w:t>
            </w:r>
            <w:r w:rsidRPr="00E07C9A">
              <w:rPr>
                <w:rFonts w:ascii="Times New Roman" w:hAnsi="Times New Roman"/>
                <w:sz w:val="24"/>
              </w:rPr>
              <w:t>{r0170, c0070} sa vykazujú pre každú triedu expozícií, ale nie pre všetky triedy expozícií.</w:t>
            </w:r>
          </w:p>
        </w:tc>
      </w:tr>
    </w:tbl>
    <w:p w14:paraId="4C13CC82" w14:textId="32F22BBE" w:rsidR="008151A6" w:rsidRPr="00E07C9A" w:rsidRDefault="008151A6" w:rsidP="005C4397">
      <w:pPr>
        <w:pStyle w:val="Instructionsberschrift2"/>
        <w:numPr>
          <w:ilvl w:val="2"/>
          <w:numId w:val="27"/>
        </w:numPr>
        <w:rPr>
          <w:rFonts w:ascii="Times New Roman" w:hAnsi="Times New Roman" w:cs="Times New Roman"/>
          <w:sz w:val="24"/>
        </w:rPr>
      </w:pPr>
      <w:bookmarkStart w:id="329" w:name="_Toc19715758"/>
      <w:bookmarkStart w:id="330" w:name="_Toc115857795"/>
      <w:r w:rsidRPr="00E07C9A">
        <w:rPr>
          <w:rFonts w:ascii="Times New Roman" w:hAnsi="Times New Roman" w:cs="Times New Roman"/>
          <w:sz w:val="24"/>
        </w:rPr>
        <w:t>C 08.04 – Kreditné riziko</w:t>
      </w:r>
      <w:r w:rsidR="009912F8" w:rsidRPr="00E07C9A">
        <w:rPr>
          <w:rFonts w:ascii="Times New Roman" w:hAnsi="Times New Roman" w:cs="Times New Roman"/>
          <w:sz w:val="24"/>
        </w:rPr>
        <w:t xml:space="preserve"> a </w:t>
      </w:r>
      <w:r w:rsidRPr="00E07C9A">
        <w:rPr>
          <w:rFonts w:ascii="Times New Roman" w:hAnsi="Times New Roman" w:cs="Times New Roman"/>
          <w:sz w:val="24"/>
        </w:rPr>
        <w:t>bezodplatné dodanie: prístup IRB ku kapitálovým požiadavkám [výkazy peňažných tokov RWEA (CR IRB 4)]</w:t>
      </w:r>
      <w:bookmarkEnd w:id="329"/>
      <w:bookmarkEnd w:id="330"/>
    </w:p>
    <w:p w14:paraId="2E998094" w14:textId="77777777" w:rsidR="008151A6" w:rsidRPr="00E07C9A" w:rsidRDefault="008151A6" w:rsidP="005C4397">
      <w:pPr>
        <w:pStyle w:val="Instructionsberschrift2"/>
        <w:numPr>
          <w:ilvl w:val="3"/>
          <w:numId w:val="27"/>
        </w:numPr>
        <w:ind w:left="709"/>
        <w:rPr>
          <w:rFonts w:ascii="Times New Roman" w:hAnsi="Times New Roman" w:cs="Times New Roman"/>
          <w:sz w:val="24"/>
        </w:rPr>
      </w:pPr>
      <w:bookmarkStart w:id="331" w:name="_Toc19715759"/>
      <w:bookmarkStart w:id="332" w:name="_Toc115857796"/>
      <w:r w:rsidRPr="00E07C9A">
        <w:rPr>
          <w:rFonts w:ascii="Times New Roman" w:hAnsi="Times New Roman" w:cs="Times New Roman"/>
          <w:sz w:val="24"/>
        </w:rPr>
        <w:t>Všeobecné poznámky</w:t>
      </w:r>
      <w:bookmarkEnd w:id="331"/>
      <w:bookmarkEnd w:id="332"/>
    </w:p>
    <w:p w14:paraId="51E67014" w14:textId="33BA7493" w:rsidR="008151A6" w:rsidRPr="00E07C9A" w:rsidRDefault="002A18DE" w:rsidP="00487A02">
      <w:pPr>
        <w:pStyle w:val="InstructionsText2"/>
        <w:numPr>
          <w:ilvl w:val="0"/>
          <w:numId w:val="0"/>
        </w:numPr>
        <w:ind w:left="1353" w:hanging="360"/>
      </w:pPr>
      <w:fldSimple w:instr=" seq paragraphs ">
        <w:r w:rsidR="00132AEE">
          <w:rPr>
            <w:noProof/>
          </w:rPr>
          <w:t>78</w:t>
        </w:r>
      </w:fldSimple>
      <w:r w:rsidR="00C3070C" w:rsidRPr="00E07C9A">
        <w:t>. Inštitúcie vykazujú informácie zahrnuté</w:t>
      </w:r>
      <w:r w:rsidR="009912F8" w:rsidRPr="00E07C9A">
        <w:t xml:space="preserve"> v </w:t>
      </w:r>
      <w:r w:rsidR="00C3070C" w:rsidRPr="00E07C9A">
        <w:t xml:space="preserve">tomto vzore pri uplatňovaní článku 438 písm. h) nariadenia (EÚ) </w:t>
      </w:r>
      <w:r w:rsidR="009912F8" w:rsidRPr="00E07C9A">
        <w:t>č. 575/2013</w:t>
      </w:r>
      <w:r w:rsidR="00C3070C" w:rsidRPr="00E07C9A">
        <w:t>.</w:t>
      </w:r>
      <w:r w:rsidR="009912F8" w:rsidRPr="00E07C9A">
        <w:t xml:space="preserve"> Z </w:t>
      </w:r>
      <w:r w:rsidR="00C3070C" w:rsidRPr="00E07C9A">
        <w:t xml:space="preserve">tohto vzoru sú vylúčené expozície voči kreditnému riziku protistrany (CCR) [tretia časť hlava II kapitola 6 nariadenia (EÚ) </w:t>
      </w:r>
      <w:r w:rsidR="009912F8" w:rsidRPr="00E07C9A">
        <w:t>č. 575/2013</w:t>
      </w:r>
      <w:r w:rsidR="00C3070C" w:rsidRPr="00E07C9A">
        <w:t>].</w:t>
      </w:r>
    </w:p>
    <w:p w14:paraId="173CE372" w14:textId="71E3D337" w:rsidR="009912F8" w:rsidRPr="00E07C9A" w:rsidRDefault="002A18DE" w:rsidP="00487A02">
      <w:pPr>
        <w:pStyle w:val="InstructionsText2"/>
        <w:numPr>
          <w:ilvl w:val="0"/>
          <w:numId w:val="0"/>
        </w:numPr>
        <w:ind w:left="1353" w:hanging="360"/>
      </w:pPr>
      <w:fldSimple w:instr=" seq paragraphs ">
        <w:r w:rsidR="00132AEE">
          <w:rPr>
            <w:noProof/>
          </w:rPr>
          <w:t>79</w:t>
        </w:r>
      </w:fldSimple>
      <w:r w:rsidR="002F29AF" w:rsidRPr="00E07C9A">
        <w:t>. Inštitúcie vykazujú peňažné toky RWEA ako zmeny medzi hodnotami rizikovo vážených expozícií</w:t>
      </w:r>
      <w:r w:rsidR="009912F8" w:rsidRPr="00E07C9A">
        <w:t xml:space="preserve"> k </w:t>
      </w:r>
      <w:r w:rsidR="002F29AF" w:rsidRPr="00E07C9A">
        <w:t>referenčnému dátumu</w:t>
      </w:r>
      <w:r w:rsidR="009912F8" w:rsidRPr="00E07C9A">
        <w:t xml:space="preserve"> a </w:t>
      </w:r>
      <w:r w:rsidR="002F29AF" w:rsidRPr="00E07C9A">
        <w:t>hodnotami rizikovo vážených expozícií</w:t>
      </w:r>
      <w:r w:rsidR="009912F8" w:rsidRPr="00E07C9A">
        <w:t xml:space="preserve"> k </w:t>
      </w:r>
      <w:r w:rsidR="002F29AF" w:rsidRPr="00E07C9A">
        <w:t>predchádzajúcemu referenčného dátumu.</w:t>
      </w:r>
      <w:r w:rsidR="009912F8" w:rsidRPr="00E07C9A">
        <w:t xml:space="preserve"> V </w:t>
      </w:r>
      <w:r w:rsidR="002F29AF" w:rsidRPr="00E07C9A">
        <w:t>prípade štvrťročného vykazovania sa vykazuje koniec štvrťroka pred štvrťrokom referenčného dátumu vykazovania</w:t>
      </w:r>
      <w:r w:rsidR="009912F8" w:rsidRPr="00E07C9A">
        <w:t>.</w:t>
      </w:r>
    </w:p>
    <w:p w14:paraId="473992E8" w14:textId="0D447B5A" w:rsidR="008151A6" w:rsidRPr="00E07C9A" w:rsidRDefault="002F29AF" w:rsidP="005C4397">
      <w:pPr>
        <w:pStyle w:val="Instructionsberschrift2"/>
        <w:numPr>
          <w:ilvl w:val="3"/>
          <w:numId w:val="27"/>
        </w:numPr>
        <w:ind w:left="709"/>
        <w:rPr>
          <w:rFonts w:ascii="Times New Roman" w:hAnsi="Times New Roman" w:cs="Times New Roman"/>
          <w:sz w:val="24"/>
        </w:rPr>
      </w:pPr>
      <w:bookmarkStart w:id="333" w:name="_Toc19715760"/>
      <w:bookmarkStart w:id="334" w:name="_Toc115857797"/>
      <w:r w:rsidRPr="00E07C9A">
        <w:rPr>
          <w:rFonts w:ascii="Times New Roman" w:hAnsi="Times New Roman" w:cs="Times New Roman"/>
          <w:sz w:val="24"/>
        </w:rPr>
        <w:t>Pokyny týkajúce sa konkrétnych pozícií</w:t>
      </w:r>
      <w:bookmarkEnd w:id="333"/>
      <w:bookmarkEnd w:id="334"/>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E07C9A" w14:paraId="344942E1" w14:textId="77777777" w:rsidTr="00393FF2">
        <w:tc>
          <w:tcPr>
            <w:tcW w:w="1188" w:type="dxa"/>
            <w:tcBorders>
              <w:bottom w:val="single" w:sz="4" w:space="0" w:color="auto"/>
            </w:tcBorders>
            <w:shd w:val="clear" w:color="auto" w:fill="CCCCCC"/>
          </w:tcPr>
          <w:p w14:paraId="06C599F6" w14:textId="77777777" w:rsidR="008151A6" w:rsidRPr="00E07C9A" w:rsidRDefault="008151A6" w:rsidP="00664874">
            <w:pPr>
              <w:rPr>
                <w:rFonts w:ascii="Times New Roman" w:hAnsi="Times New Roman"/>
                <w:sz w:val="24"/>
              </w:rPr>
            </w:pPr>
            <w:r w:rsidRPr="00E07C9A">
              <w:rPr>
                <w:rFonts w:ascii="Times New Roman" w:hAnsi="Times New Roman"/>
                <w:sz w:val="24"/>
              </w:rPr>
              <w:t>Stĺpec</w:t>
            </w:r>
          </w:p>
        </w:tc>
        <w:tc>
          <w:tcPr>
            <w:tcW w:w="8843" w:type="dxa"/>
            <w:tcBorders>
              <w:bottom w:val="single" w:sz="4" w:space="0" w:color="auto"/>
            </w:tcBorders>
            <w:shd w:val="clear" w:color="auto" w:fill="CCCCCC"/>
          </w:tcPr>
          <w:p w14:paraId="65B03760" w14:textId="77777777" w:rsidR="008151A6" w:rsidRPr="00E07C9A" w:rsidRDefault="008151A6" w:rsidP="00664874">
            <w:pPr>
              <w:rPr>
                <w:rFonts w:ascii="Times New Roman" w:hAnsi="Times New Roman"/>
                <w:sz w:val="24"/>
              </w:rPr>
            </w:pPr>
            <w:r w:rsidRPr="00E07C9A">
              <w:rPr>
                <w:rFonts w:ascii="Times New Roman" w:hAnsi="Times New Roman"/>
                <w:sz w:val="24"/>
              </w:rPr>
              <w:t>Pokyny</w:t>
            </w:r>
          </w:p>
        </w:tc>
      </w:tr>
      <w:tr w:rsidR="008151A6" w:rsidRPr="00E07C9A" w14:paraId="5F82B269" w14:textId="77777777" w:rsidTr="00393FF2">
        <w:trPr>
          <w:trHeight w:val="973"/>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799785E1" w14:textId="77777777" w:rsidR="008151A6" w:rsidRPr="00E07C9A" w:rsidRDefault="008151A6" w:rsidP="00664874">
            <w:pPr>
              <w:rPr>
                <w:rFonts w:ascii="Times New Roman" w:hAnsi="Times New Roman"/>
                <w:sz w:val="24"/>
              </w:rPr>
            </w:pPr>
            <w:r w:rsidRPr="00E07C9A">
              <w:rPr>
                <w:rFonts w:ascii="Times New Roman" w:hAnsi="Times New Roman"/>
                <w:sz w:val="24"/>
              </w:rPr>
              <w:t>0010</w:t>
            </w:r>
          </w:p>
          <w:p w14:paraId="44F80844" w14:textId="77777777" w:rsidR="008151A6" w:rsidRPr="00E07C9A" w:rsidRDefault="008151A6" w:rsidP="00664874">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A61F888" w14:textId="77777777" w:rsidR="008151A6" w:rsidRPr="00E07C9A" w:rsidRDefault="008151A6" w:rsidP="00664874">
            <w:pPr>
              <w:rPr>
                <w:rFonts w:ascii="Times New Roman" w:hAnsi="Times New Roman"/>
                <w:b/>
                <w:sz w:val="24"/>
                <w:u w:val="single"/>
              </w:rPr>
            </w:pPr>
            <w:r w:rsidRPr="00E07C9A">
              <w:rPr>
                <w:rFonts w:ascii="Times New Roman" w:hAnsi="Times New Roman"/>
                <w:b/>
                <w:sz w:val="24"/>
                <w:u w:val="single"/>
              </w:rPr>
              <w:t>HODNOTA RIZIKOVO VÁŽENEJ EXPOZÍCIE</w:t>
            </w:r>
          </w:p>
          <w:p w14:paraId="1B8885D3" w14:textId="0A0C365C" w:rsidR="008151A6" w:rsidRPr="00E07C9A" w:rsidRDefault="008151A6" w:rsidP="00AC6619">
            <w:pPr>
              <w:rPr>
                <w:rFonts w:ascii="Times New Roman" w:hAnsi="Times New Roman"/>
                <w:sz w:val="24"/>
              </w:rPr>
            </w:pPr>
            <w:r w:rsidRPr="00E07C9A">
              <w:rPr>
                <w:rFonts w:ascii="Times New Roman" w:hAnsi="Times New Roman"/>
                <w:sz w:val="24"/>
              </w:rPr>
              <w:t>Celková hodnota rizikovo váženej expozície pre kreditné riziko vypočítaná podľa prístupu IRB</w:t>
            </w:r>
            <w:r w:rsidR="009912F8" w:rsidRPr="00E07C9A">
              <w:rPr>
                <w:rFonts w:ascii="Times New Roman" w:hAnsi="Times New Roman"/>
                <w:sz w:val="24"/>
              </w:rPr>
              <w:t xml:space="preserve"> s </w:t>
            </w:r>
            <w:r w:rsidRPr="00E07C9A">
              <w:rPr>
                <w:rFonts w:ascii="Times New Roman" w:hAnsi="Times New Roman"/>
                <w:sz w:val="24"/>
              </w:rPr>
              <w:t>prihliadnutím na podporné faktory</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článkami 501</w:t>
            </w:r>
            <w:r w:rsidR="009912F8" w:rsidRPr="00E07C9A">
              <w:rPr>
                <w:rFonts w:ascii="Times New Roman" w:hAnsi="Times New Roman"/>
                <w:sz w:val="24"/>
              </w:rPr>
              <w:t xml:space="preserve"> a </w:t>
            </w:r>
            <w:r w:rsidRPr="00E07C9A">
              <w:rPr>
                <w:rFonts w:ascii="Times New Roman" w:hAnsi="Times New Roman"/>
                <w:sz w:val="24"/>
              </w:rPr>
              <w:t xml:space="preserve">501a nariadenia (EÚ) </w:t>
            </w:r>
            <w:r w:rsidR="009912F8" w:rsidRPr="00E07C9A">
              <w:rPr>
                <w:rFonts w:ascii="Times New Roman" w:hAnsi="Times New Roman"/>
                <w:sz w:val="24"/>
              </w:rPr>
              <w:t>č. 575/2013</w:t>
            </w:r>
            <w:r w:rsidRPr="00E07C9A">
              <w:rPr>
                <w:rFonts w:ascii="Times New Roman" w:hAnsi="Times New Roman"/>
                <w:sz w:val="24"/>
              </w:rPr>
              <w:t>.</w:t>
            </w:r>
          </w:p>
        </w:tc>
      </w:tr>
      <w:tr w:rsidR="00393FF2" w:rsidRPr="00E07C9A" w14:paraId="642F1C9B" w14:textId="77777777" w:rsidTr="00393FF2">
        <w:trPr>
          <w:trHeight w:val="338"/>
        </w:trPr>
        <w:tc>
          <w:tcPr>
            <w:tcW w:w="1188" w:type="dxa"/>
            <w:tcBorders>
              <w:top w:val="single" w:sz="4" w:space="0" w:color="auto"/>
              <w:left w:val="nil"/>
              <w:bottom w:val="nil"/>
              <w:right w:val="nil"/>
            </w:tcBorders>
            <w:shd w:val="clear" w:color="auto" w:fill="auto"/>
          </w:tcPr>
          <w:p w14:paraId="34036047" w14:textId="77777777" w:rsidR="00393FF2" w:rsidRPr="00E07C9A" w:rsidRDefault="00393FF2" w:rsidP="00664874">
            <w:pPr>
              <w:rPr>
                <w:rFonts w:ascii="Times New Roman" w:hAnsi="Times New Roman"/>
                <w:sz w:val="24"/>
              </w:rPr>
            </w:pPr>
          </w:p>
        </w:tc>
        <w:tc>
          <w:tcPr>
            <w:tcW w:w="8843" w:type="dxa"/>
            <w:tcBorders>
              <w:top w:val="single" w:sz="4" w:space="0" w:color="auto"/>
              <w:left w:val="nil"/>
              <w:bottom w:val="nil"/>
              <w:right w:val="nil"/>
            </w:tcBorders>
            <w:shd w:val="clear" w:color="auto" w:fill="auto"/>
          </w:tcPr>
          <w:p w14:paraId="0091607C" w14:textId="77777777" w:rsidR="00393FF2" w:rsidRPr="00E07C9A" w:rsidRDefault="00393FF2" w:rsidP="00664874">
            <w:pPr>
              <w:rPr>
                <w:rFonts w:ascii="Times New Roman" w:hAnsi="Times New Roman"/>
                <w:b/>
                <w:sz w:val="24"/>
              </w:rPr>
            </w:pPr>
          </w:p>
        </w:tc>
      </w:tr>
      <w:tr w:rsidR="008151A6" w:rsidRPr="00E07C9A" w14:paraId="4685B244" w14:textId="77777777" w:rsidTr="00664874">
        <w:tc>
          <w:tcPr>
            <w:tcW w:w="1188" w:type="dxa"/>
            <w:shd w:val="clear" w:color="auto" w:fill="CCCCCC"/>
          </w:tcPr>
          <w:p w14:paraId="7E6962E9" w14:textId="77777777" w:rsidR="008151A6" w:rsidRPr="00E07C9A" w:rsidRDefault="008151A6" w:rsidP="00664874">
            <w:pPr>
              <w:rPr>
                <w:rFonts w:ascii="Times New Roman" w:hAnsi="Times New Roman"/>
                <w:sz w:val="24"/>
              </w:rPr>
            </w:pPr>
            <w:r w:rsidRPr="00E07C9A">
              <w:rPr>
                <w:rFonts w:ascii="Times New Roman" w:hAnsi="Times New Roman"/>
                <w:sz w:val="24"/>
              </w:rPr>
              <w:t>Riadky</w:t>
            </w:r>
          </w:p>
        </w:tc>
        <w:tc>
          <w:tcPr>
            <w:tcW w:w="8843" w:type="dxa"/>
            <w:shd w:val="clear" w:color="auto" w:fill="CCCCCC"/>
          </w:tcPr>
          <w:p w14:paraId="2C0492EF" w14:textId="77777777" w:rsidR="008151A6" w:rsidRPr="00E07C9A" w:rsidRDefault="008151A6" w:rsidP="00664874">
            <w:pPr>
              <w:rPr>
                <w:rFonts w:ascii="Times New Roman" w:hAnsi="Times New Roman"/>
                <w:sz w:val="24"/>
              </w:rPr>
            </w:pPr>
            <w:r w:rsidRPr="00E07C9A">
              <w:rPr>
                <w:rFonts w:ascii="Times New Roman" w:hAnsi="Times New Roman"/>
                <w:sz w:val="24"/>
              </w:rPr>
              <w:t>Pokyny</w:t>
            </w:r>
          </w:p>
        </w:tc>
      </w:tr>
      <w:tr w:rsidR="008151A6" w:rsidRPr="00E07C9A" w14:paraId="055247AF"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214B392" w14:textId="77777777" w:rsidR="008151A6" w:rsidRPr="00E07C9A" w:rsidRDefault="008151A6" w:rsidP="00664874">
            <w:pPr>
              <w:rPr>
                <w:rFonts w:ascii="Times New Roman" w:hAnsi="Times New Roman"/>
                <w:sz w:val="24"/>
              </w:rPr>
            </w:pPr>
            <w:r w:rsidRPr="00E07C9A">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F39ABD9" w14:textId="77777777" w:rsidR="008151A6" w:rsidRPr="00E07C9A" w:rsidRDefault="008151A6" w:rsidP="00664874">
            <w:pPr>
              <w:rPr>
                <w:rFonts w:ascii="Times New Roman" w:hAnsi="Times New Roman"/>
                <w:b/>
                <w:sz w:val="24"/>
                <w:u w:val="single"/>
              </w:rPr>
            </w:pPr>
            <w:r w:rsidRPr="00E07C9A">
              <w:rPr>
                <w:rFonts w:ascii="Times New Roman" w:hAnsi="Times New Roman"/>
                <w:b/>
                <w:sz w:val="24"/>
                <w:u w:val="single"/>
              </w:rPr>
              <w:t>HODNOTA RIZIKOVO VÁŽENEJ EXPOZÍCIE KU KONCU PREDCHÁDZAJÚCEHO OBDOBIA VYKAZOVANIA</w:t>
            </w:r>
          </w:p>
          <w:p w14:paraId="22828C6F" w14:textId="1323A14F" w:rsidR="008151A6" w:rsidRPr="00E07C9A" w:rsidRDefault="008151A6" w:rsidP="00F66DFB">
            <w:pPr>
              <w:rPr>
                <w:rFonts w:ascii="Times New Roman" w:hAnsi="Times New Roman"/>
                <w:sz w:val="24"/>
              </w:rPr>
            </w:pPr>
            <w:r w:rsidRPr="00E07C9A">
              <w:rPr>
                <w:rFonts w:ascii="Times New Roman" w:hAnsi="Times New Roman"/>
                <w:sz w:val="24"/>
              </w:rPr>
              <w:t>Hodnota rizikovo váženej expozície ku koncu predchádzajúceho obdobia vykazovania po uplatnení faktorov na podporu MSP</w:t>
            </w:r>
            <w:r w:rsidR="009912F8" w:rsidRPr="00E07C9A">
              <w:rPr>
                <w:rFonts w:ascii="Times New Roman" w:hAnsi="Times New Roman"/>
                <w:sz w:val="24"/>
              </w:rPr>
              <w:t xml:space="preserve"> a </w:t>
            </w:r>
            <w:r w:rsidRPr="00E07C9A">
              <w:rPr>
                <w:rFonts w:ascii="Times New Roman" w:hAnsi="Times New Roman"/>
                <w:sz w:val="24"/>
              </w:rPr>
              <w:t>infraštruktúry stanovených</w:t>
            </w:r>
            <w:r w:rsidR="009912F8" w:rsidRPr="00E07C9A">
              <w:rPr>
                <w:rFonts w:ascii="Times New Roman" w:hAnsi="Times New Roman"/>
                <w:sz w:val="24"/>
              </w:rPr>
              <w:t xml:space="preserve"> v </w:t>
            </w:r>
            <w:r w:rsidRPr="00E07C9A">
              <w:rPr>
                <w:rFonts w:ascii="Times New Roman" w:hAnsi="Times New Roman"/>
                <w:sz w:val="24"/>
              </w:rPr>
              <w:t>článkoch 501</w:t>
            </w:r>
            <w:r w:rsidR="009912F8" w:rsidRPr="00E07C9A">
              <w:rPr>
                <w:rFonts w:ascii="Times New Roman" w:hAnsi="Times New Roman"/>
                <w:sz w:val="24"/>
              </w:rPr>
              <w:t xml:space="preserve"> a </w:t>
            </w:r>
            <w:r w:rsidRPr="00E07C9A">
              <w:rPr>
                <w:rFonts w:ascii="Times New Roman" w:hAnsi="Times New Roman"/>
                <w:sz w:val="24"/>
              </w:rPr>
              <w:t xml:space="preserve">501a nariadenia (EÚ) </w:t>
            </w:r>
            <w:r w:rsidR="009912F8" w:rsidRPr="00E07C9A">
              <w:rPr>
                <w:rFonts w:ascii="Times New Roman" w:hAnsi="Times New Roman"/>
                <w:sz w:val="24"/>
              </w:rPr>
              <w:t>č. 575/2013</w:t>
            </w:r>
            <w:r w:rsidRPr="00E07C9A">
              <w:rPr>
                <w:rFonts w:ascii="Times New Roman" w:hAnsi="Times New Roman"/>
                <w:sz w:val="24"/>
              </w:rPr>
              <w:t>.</w:t>
            </w:r>
          </w:p>
        </w:tc>
      </w:tr>
      <w:tr w:rsidR="008151A6" w:rsidRPr="00E07C9A" w14:paraId="2200EC79"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094B162" w14:textId="77777777" w:rsidR="008151A6" w:rsidRPr="00E07C9A" w:rsidRDefault="008151A6" w:rsidP="00664874">
            <w:pPr>
              <w:rPr>
                <w:rFonts w:ascii="Times New Roman" w:hAnsi="Times New Roman"/>
                <w:sz w:val="24"/>
              </w:rPr>
            </w:pPr>
            <w:r w:rsidRPr="00E07C9A">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365C7E8" w14:textId="77777777" w:rsidR="008151A6" w:rsidRPr="00E07C9A" w:rsidRDefault="008151A6" w:rsidP="00664874">
            <w:pPr>
              <w:rPr>
                <w:rFonts w:ascii="Times New Roman" w:hAnsi="Times New Roman"/>
                <w:b/>
                <w:sz w:val="24"/>
                <w:u w:val="single"/>
              </w:rPr>
            </w:pPr>
            <w:r w:rsidRPr="00E07C9A">
              <w:rPr>
                <w:rFonts w:ascii="Times New Roman" w:hAnsi="Times New Roman"/>
                <w:b/>
                <w:sz w:val="24"/>
                <w:u w:val="single"/>
              </w:rPr>
              <w:t>OBJEM AKTÍV (+/–)</w:t>
            </w:r>
          </w:p>
          <w:p w14:paraId="12B2D7D1" w14:textId="4CBB5291" w:rsidR="008151A6" w:rsidRPr="00E07C9A" w:rsidRDefault="008151A6" w:rsidP="00664874">
            <w:pPr>
              <w:rPr>
                <w:rFonts w:ascii="Times New Roman" w:hAnsi="Times New Roman"/>
                <w:sz w:val="24"/>
              </w:rPr>
            </w:pPr>
            <w:r w:rsidRPr="00E07C9A">
              <w:rPr>
                <w:rFonts w:ascii="Times New Roman" w:hAnsi="Times New Roman"/>
                <w:sz w:val="24"/>
              </w:rPr>
              <w:t>Zmena hodnoty rizikovo váženej expozície medzi koncom predchádzajúceho obdobia vykazovania</w:t>
            </w:r>
            <w:r w:rsidR="009912F8" w:rsidRPr="00E07C9A">
              <w:rPr>
                <w:rFonts w:ascii="Times New Roman" w:hAnsi="Times New Roman"/>
                <w:sz w:val="24"/>
              </w:rPr>
              <w:t xml:space="preserve"> a </w:t>
            </w:r>
            <w:r w:rsidRPr="00E07C9A">
              <w:rPr>
                <w:rFonts w:ascii="Times New Roman" w:hAnsi="Times New Roman"/>
                <w:sz w:val="24"/>
              </w:rPr>
              <w:t>koncom bežného obdobia vykazovania</w:t>
            </w:r>
            <w:r w:rsidR="009912F8" w:rsidRPr="00E07C9A">
              <w:rPr>
                <w:rFonts w:ascii="Times New Roman" w:hAnsi="Times New Roman"/>
                <w:sz w:val="24"/>
              </w:rPr>
              <w:t xml:space="preserve"> z </w:t>
            </w:r>
            <w:r w:rsidRPr="00E07C9A">
              <w:rPr>
                <w:rFonts w:ascii="Times New Roman" w:hAnsi="Times New Roman"/>
                <w:sz w:val="24"/>
              </w:rPr>
              <w:t>dôvodu objemu aktív, t. j. organické zmeny rozsahu</w:t>
            </w:r>
            <w:r w:rsidR="009912F8" w:rsidRPr="00E07C9A">
              <w:rPr>
                <w:rFonts w:ascii="Times New Roman" w:hAnsi="Times New Roman"/>
                <w:sz w:val="24"/>
              </w:rPr>
              <w:t xml:space="preserve"> a </w:t>
            </w:r>
            <w:r w:rsidRPr="00E07C9A">
              <w:rPr>
                <w:rFonts w:ascii="Times New Roman" w:hAnsi="Times New Roman"/>
                <w:sz w:val="24"/>
              </w:rPr>
              <w:t>zloženia knihy (vrátane vzniku nových podnikov</w:t>
            </w:r>
            <w:r w:rsidR="009912F8" w:rsidRPr="00E07C9A">
              <w:rPr>
                <w:rFonts w:ascii="Times New Roman" w:hAnsi="Times New Roman"/>
                <w:sz w:val="24"/>
              </w:rPr>
              <w:t xml:space="preserve"> a </w:t>
            </w:r>
            <w:r w:rsidRPr="00E07C9A">
              <w:rPr>
                <w:rFonts w:ascii="Times New Roman" w:hAnsi="Times New Roman"/>
                <w:sz w:val="24"/>
              </w:rPr>
              <w:t>splatných úverov), ale bez zmien rozsahu knihy</w:t>
            </w:r>
            <w:r w:rsidR="009912F8" w:rsidRPr="00E07C9A">
              <w:rPr>
                <w:rFonts w:ascii="Times New Roman" w:hAnsi="Times New Roman"/>
                <w:sz w:val="24"/>
              </w:rPr>
              <w:t xml:space="preserve"> z </w:t>
            </w:r>
            <w:r w:rsidRPr="00E07C9A">
              <w:rPr>
                <w:rFonts w:ascii="Times New Roman" w:hAnsi="Times New Roman"/>
                <w:sz w:val="24"/>
              </w:rPr>
              <w:t>dôvodu nadobudnutia alebo odpredaja subjektov.</w:t>
            </w:r>
          </w:p>
          <w:p w14:paraId="720E19CE" w14:textId="4FA7D23F" w:rsidR="008151A6" w:rsidRPr="00E07C9A" w:rsidRDefault="008151A6" w:rsidP="00664874">
            <w:pPr>
              <w:rPr>
                <w:rFonts w:ascii="Times New Roman" w:hAnsi="Times New Roman"/>
                <w:sz w:val="24"/>
              </w:rPr>
            </w:pPr>
            <w:r w:rsidRPr="00E07C9A">
              <w:rPr>
                <w:rFonts w:ascii="Times New Roman" w:hAnsi="Times New Roman"/>
                <w:sz w:val="24"/>
              </w:rPr>
              <w:t>Zvýšenia hodnôt rizikovo vážených expozícií sa vykazujú ako kladná hodnota</w:t>
            </w:r>
            <w:r w:rsidR="009912F8" w:rsidRPr="00E07C9A">
              <w:rPr>
                <w:rFonts w:ascii="Times New Roman" w:hAnsi="Times New Roman"/>
                <w:sz w:val="24"/>
              </w:rPr>
              <w:t xml:space="preserve"> a </w:t>
            </w:r>
            <w:r w:rsidRPr="00E07C9A">
              <w:rPr>
                <w:rFonts w:ascii="Times New Roman" w:hAnsi="Times New Roman"/>
                <w:sz w:val="24"/>
              </w:rPr>
              <w:t>zníženia hodnôt rizikovo vážených expozícií sa vykazujú ako záporná hodnota.</w:t>
            </w:r>
          </w:p>
        </w:tc>
      </w:tr>
      <w:tr w:rsidR="008151A6" w:rsidRPr="00E07C9A" w14:paraId="712A8EE9"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87CA285" w14:textId="77777777" w:rsidR="008151A6" w:rsidRPr="00E07C9A" w:rsidRDefault="008151A6" w:rsidP="00664874">
            <w:pPr>
              <w:rPr>
                <w:rFonts w:ascii="Times New Roman" w:hAnsi="Times New Roman"/>
                <w:sz w:val="24"/>
              </w:rPr>
            </w:pPr>
            <w:r w:rsidRPr="00E07C9A">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0738384" w14:textId="77777777" w:rsidR="008151A6" w:rsidRPr="00E07C9A" w:rsidRDefault="008151A6" w:rsidP="00664874">
            <w:pPr>
              <w:rPr>
                <w:rFonts w:ascii="Times New Roman" w:hAnsi="Times New Roman"/>
                <w:b/>
                <w:sz w:val="24"/>
                <w:u w:val="single"/>
              </w:rPr>
            </w:pPr>
            <w:r w:rsidRPr="00E07C9A">
              <w:rPr>
                <w:rFonts w:ascii="Times New Roman" w:hAnsi="Times New Roman"/>
                <w:b/>
                <w:sz w:val="24"/>
                <w:u w:val="single"/>
              </w:rPr>
              <w:t>KVALITA AKTÍV (+/–)</w:t>
            </w:r>
          </w:p>
          <w:p w14:paraId="6A88FF18" w14:textId="62AC16FA" w:rsidR="008151A6" w:rsidRPr="00E07C9A" w:rsidRDefault="008151A6" w:rsidP="00664874">
            <w:pPr>
              <w:rPr>
                <w:rFonts w:ascii="Times New Roman" w:hAnsi="Times New Roman"/>
                <w:sz w:val="24"/>
              </w:rPr>
            </w:pPr>
            <w:r w:rsidRPr="00E07C9A">
              <w:rPr>
                <w:rFonts w:ascii="Times New Roman" w:hAnsi="Times New Roman"/>
                <w:sz w:val="24"/>
              </w:rPr>
              <w:t>Zmena hodnoty rizikovo váženej expozície medzi koncom predchádzajúceho obdobia vykazovania</w:t>
            </w:r>
            <w:r w:rsidR="009912F8" w:rsidRPr="00E07C9A">
              <w:rPr>
                <w:rFonts w:ascii="Times New Roman" w:hAnsi="Times New Roman"/>
                <w:sz w:val="24"/>
              </w:rPr>
              <w:t xml:space="preserve"> a </w:t>
            </w:r>
            <w:r w:rsidRPr="00E07C9A">
              <w:rPr>
                <w:rFonts w:ascii="Times New Roman" w:hAnsi="Times New Roman"/>
                <w:sz w:val="24"/>
              </w:rPr>
              <w:t>koncom bežného obdobia vykazovania</w:t>
            </w:r>
            <w:r w:rsidR="009912F8" w:rsidRPr="00E07C9A">
              <w:rPr>
                <w:rFonts w:ascii="Times New Roman" w:hAnsi="Times New Roman"/>
                <w:sz w:val="24"/>
              </w:rPr>
              <w:t xml:space="preserve"> z </w:t>
            </w:r>
            <w:r w:rsidRPr="00E07C9A">
              <w:rPr>
                <w:rFonts w:ascii="Times New Roman" w:hAnsi="Times New Roman"/>
                <w:sz w:val="24"/>
              </w:rPr>
              <w:t>dôvodu kvality aktív, t. j. zmeny posudzovanej kvality aktív inštitúcie</w:t>
            </w:r>
            <w:r w:rsidR="009912F8" w:rsidRPr="00E07C9A">
              <w:rPr>
                <w:rFonts w:ascii="Times New Roman" w:hAnsi="Times New Roman"/>
                <w:sz w:val="24"/>
              </w:rPr>
              <w:t xml:space="preserve"> z </w:t>
            </w:r>
            <w:r w:rsidRPr="00E07C9A">
              <w:rPr>
                <w:rFonts w:ascii="Times New Roman" w:hAnsi="Times New Roman"/>
                <w:sz w:val="24"/>
              </w:rPr>
              <w:t>dôvodu zmien rizika dlžníka, ako je napríklad migrácia ratingových stupňov alebo podobné účinky.</w:t>
            </w:r>
          </w:p>
          <w:p w14:paraId="24AF3901" w14:textId="688DC2AE" w:rsidR="008151A6" w:rsidRPr="00E07C9A" w:rsidRDefault="008151A6" w:rsidP="00664874">
            <w:pPr>
              <w:rPr>
                <w:rFonts w:ascii="Times New Roman" w:hAnsi="Times New Roman"/>
                <w:sz w:val="24"/>
              </w:rPr>
            </w:pPr>
            <w:r w:rsidRPr="00E07C9A">
              <w:rPr>
                <w:rFonts w:ascii="Times New Roman" w:hAnsi="Times New Roman"/>
                <w:sz w:val="24"/>
              </w:rPr>
              <w:t>Zvýšenia hodnôt rizikovo vážených expozícií sa vykazujú ako kladná hodnota</w:t>
            </w:r>
            <w:r w:rsidR="009912F8" w:rsidRPr="00E07C9A">
              <w:rPr>
                <w:rFonts w:ascii="Times New Roman" w:hAnsi="Times New Roman"/>
                <w:sz w:val="24"/>
              </w:rPr>
              <w:t xml:space="preserve"> a </w:t>
            </w:r>
            <w:r w:rsidRPr="00E07C9A">
              <w:rPr>
                <w:rFonts w:ascii="Times New Roman" w:hAnsi="Times New Roman"/>
                <w:sz w:val="24"/>
              </w:rPr>
              <w:t>zníženia hodnôt rizikovo vážených expozícií sa vykazujú ako záporná hodnota.</w:t>
            </w:r>
          </w:p>
        </w:tc>
      </w:tr>
      <w:tr w:rsidR="008151A6" w:rsidRPr="00E07C9A" w14:paraId="5B7CA928"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8B97FA7" w14:textId="77777777" w:rsidR="008151A6" w:rsidRPr="00E07C9A" w:rsidRDefault="008151A6" w:rsidP="00664874">
            <w:pPr>
              <w:rPr>
                <w:rFonts w:ascii="Times New Roman" w:hAnsi="Times New Roman"/>
                <w:sz w:val="24"/>
              </w:rPr>
            </w:pPr>
            <w:r w:rsidRPr="00E07C9A">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F62D8A6" w14:textId="77777777" w:rsidR="008151A6" w:rsidRPr="00E07C9A" w:rsidRDefault="008151A6" w:rsidP="00664874">
            <w:pPr>
              <w:rPr>
                <w:rFonts w:ascii="Times New Roman" w:hAnsi="Times New Roman"/>
                <w:b/>
                <w:sz w:val="24"/>
                <w:u w:val="single"/>
              </w:rPr>
            </w:pPr>
            <w:r w:rsidRPr="00E07C9A">
              <w:rPr>
                <w:rFonts w:ascii="Times New Roman" w:hAnsi="Times New Roman"/>
                <w:b/>
                <w:sz w:val="24"/>
                <w:u w:val="single"/>
              </w:rPr>
              <w:t>AKTUALIZÁCIE MODELU (+/–)</w:t>
            </w:r>
          </w:p>
          <w:p w14:paraId="1E1E2DE0" w14:textId="3DCE250D" w:rsidR="008151A6" w:rsidRPr="00E07C9A" w:rsidRDefault="008151A6" w:rsidP="00664874">
            <w:pPr>
              <w:rPr>
                <w:rFonts w:ascii="Times New Roman" w:hAnsi="Times New Roman"/>
                <w:sz w:val="24"/>
              </w:rPr>
            </w:pPr>
            <w:r w:rsidRPr="00E07C9A">
              <w:rPr>
                <w:rFonts w:ascii="Times New Roman" w:hAnsi="Times New Roman"/>
                <w:sz w:val="24"/>
              </w:rPr>
              <w:t>Zmena hodnoty rizikovo váženej expozície medzi koncom predchádzajúceho obdobia vykazovania</w:t>
            </w:r>
            <w:r w:rsidR="009912F8" w:rsidRPr="00E07C9A">
              <w:rPr>
                <w:rFonts w:ascii="Times New Roman" w:hAnsi="Times New Roman"/>
                <w:sz w:val="24"/>
              </w:rPr>
              <w:t xml:space="preserve"> a </w:t>
            </w:r>
            <w:r w:rsidRPr="00E07C9A">
              <w:rPr>
                <w:rFonts w:ascii="Times New Roman" w:hAnsi="Times New Roman"/>
                <w:sz w:val="24"/>
              </w:rPr>
              <w:t>koncom bežného obdobia vykazovania</w:t>
            </w:r>
            <w:r w:rsidR="009912F8" w:rsidRPr="00E07C9A">
              <w:rPr>
                <w:rFonts w:ascii="Times New Roman" w:hAnsi="Times New Roman"/>
                <w:sz w:val="24"/>
              </w:rPr>
              <w:t xml:space="preserve"> z </w:t>
            </w:r>
            <w:r w:rsidRPr="00E07C9A">
              <w:rPr>
                <w:rFonts w:ascii="Times New Roman" w:hAnsi="Times New Roman"/>
                <w:sz w:val="24"/>
              </w:rPr>
              <w:t>dôvodu aktualizácií modelu, t. j. zmeny</w:t>
            </w:r>
            <w:r w:rsidR="009912F8" w:rsidRPr="00E07C9A">
              <w:rPr>
                <w:rFonts w:ascii="Times New Roman" w:hAnsi="Times New Roman"/>
                <w:sz w:val="24"/>
              </w:rPr>
              <w:t xml:space="preserve"> z </w:t>
            </w:r>
            <w:r w:rsidRPr="00E07C9A">
              <w:rPr>
                <w:rFonts w:ascii="Times New Roman" w:hAnsi="Times New Roman"/>
                <w:sz w:val="24"/>
              </w:rPr>
              <w:t>dôvodu zavádzania nových modelov, zmien modelov, zmien</w:t>
            </w:r>
            <w:r w:rsidR="009912F8" w:rsidRPr="00E07C9A">
              <w:rPr>
                <w:rFonts w:ascii="Times New Roman" w:hAnsi="Times New Roman"/>
                <w:sz w:val="24"/>
              </w:rPr>
              <w:t xml:space="preserve"> v </w:t>
            </w:r>
            <w:r w:rsidRPr="00E07C9A">
              <w:rPr>
                <w:rFonts w:ascii="Times New Roman" w:hAnsi="Times New Roman"/>
                <w:sz w:val="24"/>
              </w:rPr>
              <w:t>rozsahu modelu alebo akýchkoľvek iných zmien zameraných na riešenie nedostatkov modelu.</w:t>
            </w:r>
          </w:p>
          <w:p w14:paraId="06D2AE7D" w14:textId="717B7713" w:rsidR="008151A6" w:rsidRPr="00E07C9A" w:rsidRDefault="008151A6" w:rsidP="00664874">
            <w:pPr>
              <w:rPr>
                <w:rFonts w:ascii="Times New Roman" w:hAnsi="Times New Roman"/>
                <w:sz w:val="24"/>
              </w:rPr>
            </w:pPr>
            <w:r w:rsidRPr="00E07C9A">
              <w:rPr>
                <w:rFonts w:ascii="Times New Roman" w:hAnsi="Times New Roman"/>
                <w:sz w:val="24"/>
              </w:rPr>
              <w:t>Zvýšenia hodnôt rizikovo vážených expozícií sa vykazujú ako kladná hodnota</w:t>
            </w:r>
            <w:r w:rsidR="009912F8" w:rsidRPr="00E07C9A">
              <w:rPr>
                <w:rFonts w:ascii="Times New Roman" w:hAnsi="Times New Roman"/>
                <w:sz w:val="24"/>
              </w:rPr>
              <w:t xml:space="preserve"> a </w:t>
            </w:r>
            <w:r w:rsidRPr="00E07C9A">
              <w:rPr>
                <w:rFonts w:ascii="Times New Roman" w:hAnsi="Times New Roman"/>
                <w:sz w:val="24"/>
              </w:rPr>
              <w:t>zníženia hodnôt rizikovo vážených expozícií sa vykazujú ako záporná hodnota.</w:t>
            </w:r>
          </w:p>
        </w:tc>
      </w:tr>
      <w:tr w:rsidR="008151A6" w:rsidRPr="00E07C9A" w14:paraId="6CE634D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87242C4" w14:textId="77777777" w:rsidR="008151A6" w:rsidRPr="00E07C9A" w:rsidRDefault="008151A6" w:rsidP="00664874">
            <w:pPr>
              <w:rPr>
                <w:rFonts w:ascii="Times New Roman" w:hAnsi="Times New Roman"/>
                <w:sz w:val="24"/>
              </w:rPr>
            </w:pPr>
            <w:r w:rsidRPr="00E07C9A">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2782DE0" w14:textId="77777777" w:rsidR="008151A6" w:rsidRPr="00E07C9A" w:rsidRDefault="008151A6" w:rsidP="00664874">
            <w:pPr>
              <w:rPr>
                <w:rFonts w:ascii="Times New Roman" w:hAnsi="Times New Roman"/>
                <w:b/>
                <w:sz w:val="24"/>
                <w:u w:val="single"/>
              </w:rPr>
            </w:pPr>
            <w:r w:rsidRPr="00E07C9A">
              <w:rPr>
                <w:rFonts w:ascii="Times New Roman" w:hAnsi="Times New Roman"/>
                <w:b/>
                <w:sz w:val="24"/>
                <w:u w:val="single"/>
              </w:rPr>
              <w:t>METODIKA A POLITIKA (+/–)</w:t>
            </w:r>
          </w:p>
          <w:p w14:paraId="4B80FD3A" w14:textId="47CA1B6D" w:rsidR="009912F8" w:rsidRPr="00E07C9A" w:rsidRDefault="008151A6" w:rsidP="00664874">
            <w:pPr>
              <w:rPr>
                <w:rFonts w:ascii="Times New Roman" w:hAnsi="Times New Roman"/>
                <w:sz w:val="24"/>
              </w:rPr>
            </w:pPr>
            <w:r w:rsidRPr="00E07C9A">
              <w:rPr>
                <w:rFonts w:ascii="Times New Roman" w:hAnsi="Times New Roman"/>
                <w:sz w:val="24"/>
              </w:rPr>
              <w:t>Zmena hodnoty rizikovo váženej expozície medzi koncom predchádzajúceho obdobia vykazovania</w:t>
            </w:r>
            <w:r w:rsidR="009912F8" w:rsidRPr="00E07C9A">
              <w:rPr>
                <w:rFonts w:ascii="Times New Roman" w:hAnsi="Times New Roman"/>
                <w:sz w:val="24"/>
              </w:rPr>
              <w:t xml:space="preserve"> a </w:t>
            </w:r>
            <w:r w:rsidRPr="00E07C9A">
              <w:rPr>
                <w:rFonts w:ascii="Times New Roman" w:hAnsi="Times New Roman"/>
                <w:sz w:val="24"/>
              </w:rPr>
              <w:t>koncom bežného obdobia vykazovania</w:t>
            </w:r>
            <w:r w:rsidR="009912F8" w:rsidRPr="00E07C9A">
              <w:rPr>
                <w:rFonts w:ascii="Times New Roman" w:hAnsi="Times New Roman"/>
                <w:sz w:val="24"/>
              </w:rPr>
              <w:t xml:space="preserve"> z </w:t>
            </w:r>
            <w:r w:rsidRPr="00E07C9A">
              <w:rPr>
                <w:rFonts w:ascii="Times New Roman" w:hAnsi="Times New Roman"/>
                <w:sz w:val="24"/>
              </w:rPr>
              <w:t>dôvodu metodiky</w:t>
            </w:r>
            <w:r w:rsidR="009912F8" w:rsidRPr="00E07C9A">
              <w:rPr>
                <w:rFonts w:ascii="Times New Roman" w:hAnsi="Times New Roman"/>
                <w:sz w:val="24"/>
              </w:rPr>
              <w:t xml:space="preserve"> a </w:t>
            </w:r>
            <w:r w:rsidRPr="00E07C9A">
              <w:rPr>
                <w:rFonts w:ascii="Times New Roman" w:hAnsi="Times New Roman"/>
                <w:sz w:val="24"/>
              </w:rPr>
              <w:t>politiky, t. j. zmeny</w:t>
            </w:r>
            <w:r w:rsidR="009912F8" w:rsidRPr="00E07C9A">
              <w:rPr>
                <w:rFonts w:ascii="Times New Roman" w:hAnsi="Times New Roman"/>
                <w:sz w:val="24"/>
              </w:rPr>
              <w:t xml:space="preserve"> z </w:t>
            </w:r>
            <w:r w:rsidRPr="00E07C9A">
              <w:rPr>
                <w:rFonts w:ascii="Times New Roman" w:hAnsi="Times New Roman"/>
                <w:sz w:val="24"/>
              </w:rPr>
              <w:t>dôvodu zmien</w:t>
            </w:r>
            <w:r w:rsidR="009912F8" w:rsidRPr="00E07C9A">
              <w:rPr>
                <w:rFonts w:ascii="Times New Roman" w:hAnsi="Times New Roman"/>
                <w:sz w:val="24"/>
              </w:rPr>
              <w:t xml:space="preserve"> v </w:t>
            </w:r>
            <w:r w:rsidRPr="00E07C9A">
              <w:rPr>
                <w:rFonts w:ascii="Times New Roman" w:hAnsi="Times New Roman"/>
                <w:sz w:val="24"/>
              </w:rPr>
              <w:t>metodike výpočtov, ktoré boli vyvolané zmenami regulačnej politiky vrátane revízií existujúcich právnych predpisov</w:t>
            </w:r>
            <w:r w:rsidR="009912F8" w:rsidRPr="00E07C9A">
              <w:rPr>
                <w:rFonts w:ascii="Times New Roman" w:hAnsi="Times New Roman"/>
                <w:sz w:val="24"/>
              </w:rPr>
              <w:t xml:space="preserve"> a </w:t>
            </w:r>
            <w:r w:rsidRPr="00E07C9A">
              <w:rPr>
                <w:rFonts w:ascii="Times New Roman" w:hAnsi="Times New Roman"/>
                <w:sz w:val="24"/>
              </w:rPr>
              <w:t>nových právnych predpisov, okrem zmien modelov, ktoré sú zahrnuté</w:t>
            </w:r>
            <w:r w:rsidR="009912F8" w:rsidRPr="00E07C9A">
              <w:rPr>
                <w:rFonts w:ascii="Times New Roman" w:hAnsi="Times New Roman"/>
                <w:sz w:val="24"/>
              </w:rPr>
              <w:t xml:space="preserve"> v </w:t>
            </w:r>
            <w:r w:rsidRPr="00E07C9A">
              <w:rPr>
                <w:rFonts w:ascii="Times New Roman" w:hAnsi="Times New Roman"/>
                <w:sz w:val="24"/>
              </w:rPr>
              <w:t>riadku 0040</w:t>
            </w:r>
            <w:r w:rsidR="009912F8" w:rsidRPr="00E07C9A">
              <w:rPr>
                <w:rFonts w:ascii="Times New Roman" w:hAnsi="Times New Roman"/>
                <w:sz w:val="24"/>
              </w:rPr>
              <w:t>.</w:t>
            </w:r>
          </w:p>
          <w:p w14:paraId="471E350E" w14:textId="019508C5" w:rsidR="008151A6" w:rsidRPr="00E07C9A" w:rsidRDefault="008151A6" w:rsidP="00664874">
            <w:pPr>
              <w:rPr>
                <w:rFonts w:ascii="Times New Roman" w:hAnsi="Times New Roman"/>
                <w:sz w:val="24"/>
              </w:rPr>
            </w:pPr>
            <w:r w:rsidRPr="00E07C9A">
              <w:rPr>
                <w:rFonts w:ascii="Times New Roman" w:hAnsi="Times New Roman"/>
                <w:sz w:val="24"/>
              </w:rPr>
              <w:t>Zvýšenia hodnôt rizikovo vážených expozícií sa vykazujú ako kladná hodnota</w:t>
            </w:r>
            <w:r w:rsidR="009912F8" w:rsidRPr="00E07C9A">
              <w:rPr>
                <w:rFonts w:ascii="Times New Roman" w:hAnsi="Times New Roman"/>
                <w:sz w:val="24"/>
              </w:rPr>
              <w:t xml:space="preserve"> a </w:t>
            </w:r>
            <w:r w:rsidRPr="00E07C9A">
              <w:rPr>
                <w:rFonts w:ascii="Times New Roman" w:hAnsi="Times New Roman"/>
                <w:sz w:val="24"/>
              </w:rPr>
              <w:t>zníženia hodnôt rizikovo vážených expozícií sa vykazujú ako záporná hodnota.</w:t>
            </w:r>
          </w:p>
        </w:tc>
      </w:tr>
      <w:tr w:rsidR="008151A6" w:rsidRPr="00E07C9A" w14:paraId="2015D6B3"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6855B37" w14:textId="77777777" w:rsidR="008151A6" w:rsidRPr="00E07C9A" w:rsidRDefault="008151A6" w:rsidP="00664874">
            <w:pPr>
              <w:rPr>
                <w:rFonts w:ascii="Times New Roman" w:hAnsi="Times New Roman"/>
                <w:sz w:val="24"/>
              </w:rPr>
            </w:pPr>
            <w:r w:rsidRPr="00E07C9A">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50941CB" w14:textId="77777777" w:rsidR="008151A6" w:rsidRPr="00E07C9A" w:rsidRDefault="008151A6" w:rsidP="00664874">
            <w:pPr>
              <w:rPr>
                <w:rFonts w:ascii="Times New Roman" w:hAnsi="Times New Roman"/>
                <w:b/>
                <w:sz w:val="24"/>
                <w:u w:val="single"/>
              </w:rPr>
            </w:pPr>
            <w:r w:rsidRPr="00E07C9A">
              <w:rPr>
                <w:rFonts w:ascii="Times New Roman" w:hAnsi="Times New Roman"/>
                <w:b/>
                <w:sz w:val="24"/>
                <w:u w:val="single"/>
              </w:rPr>
              <w:t>NADOBUDNUTIA ALEBO ODPREDAJE (+/–)</w:t>
            </w:r>
          </w:p>
          <w:p w14:paraId="5F2DE967" w14:textId="24C30DA8" w:rsidR="008151A6" w:rsidRPr="00E07C9A" w:rsidRDefault="008151A6" w:rsidP="00664874">
            <w:pPr>
              <w:rPr>
                <w:rFonts w:ascii="Times New Roman" w:hAnsi="Times New Roman"/>
                <w:sz w:val="24"/>
              </w:rPr>
            </w:pPr>
            <w:r w:rsidRPr="00E07C9A">
              <w:rPr>
                <w:rFonts w:ascii="Times New Roman" w:hAnsi="Times New Roman"/>
                <w:sz w:val="24"/>
              </w:rPr>
              <w:t>Zmena hodnoty rizikovo váženej expozície medzi koncom predchádzajúceho obdobia vykazovania</w:t>
            </w:r>
            <w:r w:rsidR="009912F8" w:rsidRPr="00E07C9A">
              <w:rPr>
                <w:rFonts w:ascii="Times New Roman" w:hAnsi="Times New Roman"/>
                <w:sz w:val="24"/>
              </w:rPr>
              <w:t xml:space="preserve"> a </w:t>
            </w:r>
            <w:r w:rsidRPr="00E07C9A">
              <w:rPr>
                <w:rFonts w:ascii="Times New Roman" w:hAnsi="Times New Roman"/>
                <w:sz w:val="24"/>
              </w:rPr>
              <w:t>koncom bežného obdobia vykazovania</w:t>
            </w:r>
            <w:r w:rsidR="009912F8" w:rsidRPr="00E07C9A">
              <w:rPr>
                <w:rFonts w:ascii="Times New Roman" w:hAnsi="Times New Roman"/>
                <w:sz w:val="24"/>
              </w:rPr>
              <w:t xml:space="preserve"> z </w:t>
            </w:r>
            <w:r w:rsidRPr="00E07C9A">
              <w:rPr>
                <w:rFonts w:ascii="Times New Roman" w:hAnsi="Times New Roman"/>
                <w:sz w:val="24"/>
              </w:rPr>
              <w:t>dôvodu nadobudnutí</w:t>
            </w:r>
            <w:r w:rsidR="009912F8" w:rsidRPr="00E07C9A">
              <w:rPr>
                <w:rFonts w:ascii="Times New Roman" w:hAnsi="Times New Roman"/>
                <w:sz w:val="24"/>
              </w:rPr>
              <w:t xml:space="preserve"> a </w:t>
            </w:r>
            <w:r w:rsidRPr="00E07C9A">
              <w:rPr>
                <w:rFonts w:ascii="Times New Roman" w:hAnsi="Times New Roman"/>
                <w:sz w:val="24"/>
              </w:rPr>
              <w:t>odpredajov, t. j. zmeny rozsahu knihy</w:t>
            </w:r>
            <w:r w:rsidR="009912F8" w:rsidRPr="00E07C9A">
              <w:rPr>
                <w:rFonts w:ascii="Times New Roman" w:hAnsi="Times New Roman"/>
                <w:sz w:val="24"/>
              </w:rPr>
              <w:t xml:space="preserve"> z </w:t>
            </w:r>
            <w:r w:rsidRPr="00E07C9A">
              <w:rPr>
                <w:rFonts w:ascii="Times New Roman" w:hAnsi="Times New Roman"/>
                <w:sz w:val="24"/>
              </w:rPr>
              <w:t>dôvodu nadobudnutia</w:t>
            </w:r>
            <w:r w:rsidR="009912F8" w:rsidRPr="00E07C9A">
              <w:rPr>
                <w:rFonts w:ascii="Times New Roman" w:hAnsi="Times New Roman"/>
                <w:sz w:val="24"/>
              </w:rPr>
              <w:t xml:space="preserve"> a </w:t>
            </w:r>
            <w:r w:rsidRPr="00E07C9A">
              <w:rPr>
                <w:rFonts w:ascii="Times New Roman" w:hAnsi="Times New Roman"/>
                <w:sz w:val="24"/>
              </w:rPr>
              <w:t>odpredaja subjektov.</w:t>
            </w:r>
          </w:p>
          <w:p w14:paraId="7F5FFA64" w14:textId="2C5BCE4D" w:rsidR="008151A6" w:rsidRPr="00E07C9A" w:rsidRDefault="008151A6" w:rsidP="00664874">
            <w:pPr>
              <w:rPr>
                <w:rFonts w:ascii="Times New Roman" w:hAnsi="Times New Roman"/>
                <w:sz w:val="24"/>
              </w:rPr>
            </w:pPr>
            <w:r w:rsidRPr="00E07C9A">
              <w:rPr>
                <w:rFonts w:ascii="Times New Roman" w:hAnsi="Times New Roman"/>
                <w:sz w:val="24"/>
              </w:rPr>
              <w:t>Zvýšenia hodnôt rizikovo vážených expozícií sa vykazujú ako kladná hodnota</w:t>
            </w:r>
            <w:r w:rsidR="009912F8" w:rsidRPr="00E07C9A">
              <w:rPr>
                <w:rFonts w:ascii="Times New Roman" w:hAnsi="Times New Roman"/>
                <w:sz w:val="24"/>
              </w:rPr>
              <w:t xml:space="preserve"> a </w:t>
            </w:r>
            <w:r w:rsidRPr="00E07C9A">
              <w:rPr>
                <w:rFonts w:ascii="Times New Roman" w:hAnsi="Times New Roman"/>
                <w:sz w:val="24"/>
              </w:rPr>
              <w:t>zníženia hodnôt rizikovo vážených expozícií sa vykazujú ako záporná hodnota.</w:t>
            </w:r>
          </w:p>
        </w:tc>
      </w:tr>
      <w:tr w:rsidR="008151A6" w:rsidRPr="00E07C9A" w14:paraId="52EA51E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0DA5AFC" w14:textId="77777777" w:rsidR="008151A6" w:rsidRPr="00E07C9A" w:rsidRDefault="008151A6" w:rsidP="00664874">
            <w:pPr>
              <w:rPr>
                <w:rFonts w:ascii="Times New Roman" w:hAnsi="Times New Roman"/>
                <w:sz w:val="24"/>
              </w:rPr>
            </w:pPr>
            <w:r w:rsidRPr="00E07C9A">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3E133BD" w14:textId="77777777" w:rsidR="008151A6" w:rsidRPr="00E07C9A" w:rsidRDefault="008151A6" w:rsidP="00664874">
            <w:pPr>
              <w:rPr>
                <w:rFonts w:ascii="Times New Roman" w:hAnsi="Times New Roman"/>
                <w:b/>
                <w:sz w:val="24"/>
                <w:u w:val="single"/>
              </w:rPr>
            </w:pPr>
            <w:r w:rsidRPr="00E07C9A">
              <w:rPr>
                <w:rFonts w:ascii="Times New Roman" w:hAnsi="Times New Roman"/>
                <w:b/>
                <w:sz w:val="24"/>
                <w:u w:val="single"/>
              </w:rPr>
              <w:t>POHYBY VÝMENNÝCH KURZOV (+/–)</w:t>
            </w:r>
          </w:p>
          <w:p w14:paraId="018AAA5D" w14:textId="59DFCC0B" w:rsidR="008151A6" w:rsidRPr="00E07C9A" w:rsidRDefault="008151A6" w:rsidP="00664874">
            <w:pPr>
              <w:rPr>
                <w:rFonts w:ascii="Times New Roman" w:hAnsi="Times New Roman"/>
                <w:sz w:val="24"/>
              </w:rPr>
            </w:pPr>
            <w:r w:rsidRPr="00E07C9A">
              <w:rPr>
                <w:rFonts w:ascii="Times New Roman" w:hAnsi="Times New Roman"/>
                <w:sz w:val="24"/>
              </w:rPr>
              <w:t>Zmena hodnoty rizikovo váženej expozície medzi koncom predchádzajúceho obdobia vykazovania</w:t>
            </w:r>
            <w:r w:rsidR="009912F8" w:rsidRPr="00E07C9A">
              <w:rPr>
                <w:rFonts w:ascii="Times New Roman" w:hAnsi="Times New Roman"/>
                <w:sz w:val="24"/>
              </w:rPr>
              <w:t xml:space="preserve"> a </w:t>
            </w:r>
            <w:r w:rsidRPr="00E07C9A">
              <w:rPr>
                <w:rFonts w:ascii="Times New Roman" w:hAnsi="Times New Roman"/>
                <w:sz w:val="24"/>
              </w:rPr>
              <w:t>koncom bežného obdobia vykazovania</w:t>
            </w:r>
            <w:r w:rsidR="009912F8" w:rsidRPr="00E07C9A">
              <w:rPr>
                <w:rFonts w:ascii="Times New Roman" w:hAnsi="Times New Roman"/>
                <w:sz w:val="24"/>
              </w:rPr>
              <w:t xml:space="preserve"> z </w:t>
            </w:r>
            <w:r w:rsidRPr="00E07C9A">
              <w:rPr>
                <w:rFonts w:ascii="Times New Roman" w:hAnsi="Times New Roman"/>
                <w:sz w:val="24"/>
              </w:rPr>
              <w:t>dôvodu pohybov výmenných kurzov, t. j. zmeny vyplývajúce</w:t>
            </w:r>
            <w:r w:rsidR="009912F8" w:rsidRPr="00E07C9A">
              <w:rPr>
                <w:rFonts w:ascii="Times New Roman" w:hAnsi="Times New Roman"/>
                <w:sz w:val="24"/>
              </w:rPr>
              <w:t xml:space="preserve"> z </w:t>
            </w:r>
            <w:r w:rsidRPr="00E07C9A">
              <w:rPr>
                <w:rFonts w:ascii="Times New Roman" w:hAnsi="Times New Roman"/>
                <w:sz w:val="24"/>
              </w:rPr>
              <w:t>pohybov</w:t>
            </w:r>
            <w:r w:rsidR="009912F8" w:rsidRPr="00E07C9A">
              <w:rPr>
                <w:rFonts w:ascii="Times New Roman" w:hAnsi="Times New Roman"/>
                <w:sz w:val="24"/>
              </w:rPr>
              <w:t xml:space="preserve"> v </w:t>
            </w:r>
            <w:r w:rsidRPr="00E07C9A">
              <w:rPr>
                <w:rFonts w:ascii="Times New Roman" w:hAnsi="Times New Roman"/>
                <w:sz w:val="24"/>
              </w:rPr>
              <w:t>prepočte cudzích mien.</w:t>
            </w:r>
          </w:p>
          <w:p w14:paraId="3FB6626A" w14:textId="14A6D207" w:rsidR="008151A6" w:rsidRPr="00E07C9A" w:rsidRDefault="008151A6" w:rsidP="00664874">
            <w:pPr>
              <w:rPr>
                <w:rFonts w:ascii="Times New Roman" w:hAnsi="Times New Roman"/>
                <w:sz w:val="24"/>
              </w:rPr>
            </w:pPr>
            <w:r w:rsidRPr="00E07C9A">
              <w:rPr>
                <w:rFonts w:ascii="Times New Roman" w:hAnsi="Times New Roman"/>
                <w:sz w:val="24"/>
              </w:rPr>
              <w:t>Zvýšenia hodnôt rizikovo vážených expozícií sa vykazujú ako kladná hodnota</w:t>
            </w:r>
            <w:r w:rsidR="009912F8" w:rsidRPr="00E07C9A">
              <w:rPr>
                <w:rFonts w:ascii="Times New Roman" w:hAnsi="Times New Roman"/>
                <w:sz w:val="24"/>
              </w:rPr>
              <w:t xml:space="preserve"> a </w:t>
            </w:r>
            <w:r w:rsidRPr="00E07C9A">
              <w:rPr>
                <w:rFonts w:ascii="Times New Roman" w:hAnsi="Times New Roman"/>
                <w:sz w:val="24"/>
              </w:rPr>
              <w:t>zníženia hodnôt rizikovo vážených expozícií sa vykazujú ako záporná hodnota.</w:t>
            </w:r>
          </w:p>
        </w:tc>
      </w:tr>
      <w:tr w:rsidR="008151A6" w:rsidRPr="00E07C9A" w14:paraId="18E176F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255D91A" w14:textId="77777777" w:rsidR="008151A6" w:rsidRPr="00E07C9A" w:rsidRDefault="008151A6" w:rsidP="00664874">
            <w:pPr>
              <w:rPr>
                <w:rFonts w:ascii="Times New Roman" w:hAnsi="Times New Roman"/>
                <w:sz w:val="24"/>
              </w:rPr>
            </w:pPr>
            <w:r w:rsidRPr="00E07C9A">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276726B" w14:textId="77777777" w:rsidR="008151A6" w:rsidRPr="00E07C9A" w:rsidRDefault="008151A6" w:rsidP="00664874">
            <w:pPr>
              <w:rPr>
                <w:rFonts w:ascii="Times New Roman" w:hAnsi="Times New Roman"/>
                <w:b/>
                <w:sz w:val="24"/>
                <w:u w:val="single"/>
              </w:rPr>
            </w:pPr>
            <w:r w:rsidRPr="00E07C9A">
              <w:rPr>
                <w:rFonts w:ascii="Times New Roman" w:hAnsi="Times New Roman"/>
                <w:b/>
                <w:sz w:val="24"/>
                <w:u w:val="single"/>
              </w:rPr>
              <w:t>OSTATNÉ (+/–)</w:t>
            </w:r>
          </w:p>
          <w:p w14:paraId="051040A7" w14:textId="0B684743" w:rsidR="008151A6" w:rsidRPr="00E07C9A" w:rsidRDefault="008151A6" w:rsidP="00664874">
            <w:pPr>
              <w:rPr>
                <w:rFonts w:ascii="Times New Roman" w:hAnsi="Times New Roman"/>
                <w:sz w:val="24"/>
              </w:rPr>
            </w:pPr>
            <w:r w:rsidRPr="00E07C9A">
              <w:rPr>
                <w:rFonts w:ascii="Times New Roman" w:hAnsi="Times New Roman"/>
                <w:sz w:val="24"/>
              </w:rPr>
              <w:t>Zmena hodnoty rizikovo váženej expozície medzi koncom predchádzajúceho obdobia vykazovania</w:t>
            </w:r>
            <w:r w:rsidR="009912F8" w:rsidRPr="00E07C9A">
              <w:rPr>
                <w:rFonts w:ascii="Times New Roman" w:hAnsi="Times New Roman"/>
                <w:sz w:val="24"/>
              </w:rPr>
              <w:t xml:space="preserve"> a </w:t>
            </w:r>
            <w:r w:rsidRPr="00E07C9A">
              <w:rPr>
                <w:rFonts w:ascii="Times New Roman" w:hAnsi="Times New Roman"/>
                <w:sz w:val="24"/>
              </w:rPr>
              <w:t>koncom bežného obdobia vykazovania</w:t>
            </w:r>
            <w:r w:rsidR="009912F8" w:rsidRPr="00E07C9A">
              <w:rPr>
                <w:rFonts w:ascii="Times New Roman" w:hAnsi="Times New Roman"/>
                <w:sz w:val="24"/>
              </w:rPr>
              <w:t xml:space="preserve"> z </w:t>
            </w:r>
            <w:r w:rsidRPr="00E07C9A">
              <w:rPr>
                <w:rFonts w:ascii="Times New Roman" w:hAnsi="Times New Roman"/>
                <w:sz w:val="24"/>
              </w:rPr>
              <w:t>dôvodu iných faktorov.</w:t>
            </w:r>
          </w:p>
          <w:p w14:paraId="6C32306F" w14:textId="77777777" w:rsidR="009912F8" w:rsidRPr="00E07C9A" w:rsidRDefault="008151A6" w:rsidP="0044539D">
            <w:pPr>
              <w:rPr>
                <w:rFonts w:ascii="Times New Roman" w:hAnsi="Times New Roman"/>
                <w:sz w:val="24"/>
              </w:rPr>
            </w:pPr>
            <w:r w:rsidRPr="00E07C9A">
              <w:rPr>
                <w:rFonts w:ascii="Times New Roman" w:hAnsi="Times New Roman"/>
                <w:sz w:val="24"/>
              </w:rPr>
              <w:t>Táto kategória sa používa na zachytenie zmien, ktoré nemožno zaradiť do žiadnej inej kategórie</w:t>
            </w:r>
            <w:r w:rsidR="009912F8" w:rsidRPr="00E07C9A">
              <w:rPr>
                <w:rFonts w:ascii="Times New Roman" w:hAnsi="Times New Roman"/>
                <w:sz w:val="24"/>
              </w:rPr>
              <w:t>.</w:t>
            </w:r>
          </w:p>
          <w:p w14:paraId="4B3705AC" w14:textId="3E377B0B" w:rsidR="008151A6" w:rsidRPr="00E07C9A" w:rsidRDefault="008151A6" w:rsidP="0044539D">
            <w:pPr>
              <w:rPr>
                <w:rFonts w:ascii="Times New Roman" w:hAnsi="Times New Roman"/>
                <w:sz w:val="24"/>
              </w:rPr>
            </w:pPr>
            <w:r w:rsidRPr="00E07C9A">
              <w:rPr>
                <w:rFonts w:ascii="Times New Roman" w:hAnsi="Times New Roman"/>
                <w:sz w:val="24"/>
              </w:rPr>
              <w:t>Zvýšenia hodnôt rizikovo vážených expozícií sa vykazujú ako kladná hodnota</w:t>
            </w:r>
            <w:r w:rsidR="009912F8" w:rsidRPr="00E07C9A">
              <w:rPr>
                <w:rFonts w:ascii="Times New Roman" w:hAnsi="Times New Roman"/>
                <w:sz w:val="24"/>
              </w:rPr>
              <w:t xml:space="preserve"> a </w:t>
            </w:r>
            <w:r w:rsidRPr="00E07C9A">
              <w:rPr>
                <w:rFonts w:ascii="Times New Roman" w:hAnsi="Times New Roman"/>
                <w:sz w:val="24"/>
              </w:rPr>
              <w:t>zníženia hodnôt rizikovo vážených expozícií sa vykazujú ako záporná hodnota.</w:t>
            </w:r>
          </w:p>
        </w:tc>
      </w:tr>
      <w:tr w:rsidR="008151A6" w:rsidRPr="00E07C9A" w14:paraId="31F95123"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C9CE521" w14:textId="77777777" w:rsidR="008151A6" w:rsidRPr="00E07C9A" w:rsidRDefault="008151A6" w:rsidP="00664874">
            <w:pPr>
              <w:rPr>
                <w:rFonts w:ascii="Times New Roman" w:hAnsi="Times New Roman"/>
                <w:sz w:val="24"/>
              </w:rPr>
            </w:pPr>
            <w:r w:rsidRPr="00E07C9A">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A0ED3D7" w14:textId="77777777" w:rsidR="008151A6" w:rsidRPr="00E07C9A" w:rsidRDefault="008151A6" w:rsidP="00664874">
            <w:pPr>
              <w:rPr>
                <w:rFonts w:ascii="Times New Roman" w:hAnsi="Times New Roman"/>
                <w:b/>
                <w:sz w:val="24"/>
                <w:u w:val="single"/>
              </w:rPr>
            </w:pPr>
            <w:r w:rsidRPr="00E07C9A">
              <w:rPr>
                <w:rFonts w:ascii="Times New Roman" w:hAnsi="Times New Roman"/>
                <w:b/>
                <w:sz w:val="24"/>
                <w:u w:val="single"/>
              </w:rPr>
              <w:t>HODNOTA RIZIKOVO VÁŽENEJ EXPOZÍCIE KU KONCU OBDOBIA VYKAZOVANIA</w:t>
            </w:r>
          </w:p>
          <w:p w14:paraId="35E1C96E" w14:textId="0B86B891" w:rsidR="008151A6" w:rsidRPr="00E07C9A" w:rsidRDefault="008151A6" w:rsidP="003F19BA">
            <w:pPr>
              <w:pStyle w:val="CommentText"/>
              <w:rPr>
                <w:rFonts w:ascii="Times New Roman" w:hAnsi="Times New Roman"/>
              </w:rPr>
            </w:pPr>
            <w:r w:rsidRPr="00E07C9A">
              <w:rPr>
                <w:rFonts w:ascii="Times New Roman" w:hAnsi="Times New Roman"/>
                <w:sz w:val="24"/>
              </w:rPr>
              <w:t>Hodnota rizikovo váženej expozície</w:t>
            </w:r>
            <w:r w:rsidR="009912F8" w:rsidRPr="00E07C9A">
              <w:rPr>
                <w:rFonts w:ascii="Times New Roman" w:hAnsi="Times New Roman"/>
                <w:sz w:val="24"/>
              </w:rPr>
              <w:t xml:space="preserve"> v </w:t>
            </w:r>
            <w:r w:rsidRPr="00E07C9A">
              <w:rPr>
                <w:rFonts w:ascii="Times New Roman" w:hAnsi="Times New Roman"/>
                <w:sz w:val="24"/>
              </w:rPr>
              <w:t>období vykazovania po uplatnení faktorov na podporu MSP</w:t>
            </w:r>
            <w:r w:rsidR="009912F8" w:rsidRPr="00E07C9A">
              <w:rPr>
                <w:rFonts w:ascii="Times New Roman" w:hAnsi="Times New Roman"/>
                <w:sz w:val="24"/>
              </w:rPr>
              <w:t xml:space="preserve"> a </w:t>
            </w:r>
            <w:r w:rsidRPr="00E07C9A">
              <w:rPr>
                <w:rFonts w:ascii="Times New Roman" w:hAnsi="Times New Roman"/>
                <w:sz w:val="24"/>
              </w:rPr>
              <w:t>infraštruktúry stanovených</w:t>
            </w:r>
            <w:r w:rsidR="009912F8" w:rsidRPr="00E07C9A">
              <w:rPr>
                <w:rFonts w:ascii="Times New Roman" w:hAnsi="Times New Roman"/>
                <w:sz w:val="24"/>
              </w:rPr>
              <w:t xml:space="preserve"> v </w:t>
            </w:r>
            <w:r w:rsidRPr="00E07C9A">
              <w:rPr>
                <w:rFonts w:ascii="Times New Roman" w:hAnsi="Times New Roman"/>
                <w:sz w:val="24"/>
              </w:rPr>
              <w:t>článkoch 501</w:t>
            </w:r>
            <w:r w:rsidR="009912F8" w:rsidRPr="00E07C9A">
              <w:rPr>
                <w:rFonts w:ascii="Times New Roman" w:hAnsi="Times New Roman"/>
                <w:sz w:val="24"/>
              </w:rPr>
              <w:t xml:space="preserve"> a </w:t>
            </w:r>
            <w:r w:rsidRPr="00E07C9A">
              <w:rPr>
                <w:rFonts w:ascii="Times New Roman" w:hAnsi="Times New Roman"/>
                <w:sz w:val="24"/>
              </w:rPr>
              <w:t xml:space="preserve">501a nariadenia (EÚ) </w:t>
            </w:r>
            <w:r w:rsidR="009912F8" w:rsidRPr="00E07C9A">
              <w:rPr>
                <w:rFonts w:ascii="Times New Roman" w:hAnsi="Times New Roman"/>
                <w:sz w:val="24"/>
              </w:rPr>
              <w:t>č. 575/2013</w:t>
            </w:r>
            <w:r w:rsidRPr="00E07C9A">
              <w:rPr>
                <w:rFonts w:ascii="Times New Roman" w:hAnsi="Times New Roman"/>
                <w:sz w:val="24"/>
              </w:rPr>
              <w:t>.</w:t>
            </w:r>
          </w:p>
        </w:tc>
      </w:tr>
    </w:tbl>
    <w:p w14:paraId="44AA6CD4" w14:textId="58345BB5" w:rsidR="008151A6" w:rsidRPr="00E07C9A" w:rsidRDefault="008151A6" w:rsidP="005C4397">
      <w:pPr>
        <w:pStyle w:val="Instructionsberschrift2"/>
        <w:numPr>
          <w:ilvl w:val="2"/>
          <w:numId w:val="27"/>
        </w:numPr>
        <w:rPr>
          <w:rFonts w:ascii="Times New Roman" w:hAnsi="Times New Roman" w:cs="Times New Roman"/>
          <w:sz w:val="24"/>
        </w:rPr>
      </w:pPr>
      <w:bookmarkStart w:id="335" w:name="_Toc19715761"/>
      <w:bookmarkStart w:id="336" w:name="_Toc115857798"/>
      <w:r w:rsidRPr="00E07C9A">
        <w:rPr>
          <w:rFonts w:ascii="Times New Roman" w:hAnsi="Times New Roman" w:cs="Times New Roman"/>
          <w:sz w:val="24"/>
        </w:rPr>
        <w:t>C 08.05 – Kreditné riziko</w:t>
      </w:r>
      <w:r w:rsidR="009912F8" w:rsidRPr="00E07C9A">
        <w:rPr>
          <w:rFonts w:ascii="Times New Roman" w:hAnsi="Times New Roman" w:cs="Times New Roman"/>
          <w:sz w:val="24"/>
        </w:rPr>
        <w:t xml:space="preserve"> a </w:t>
      </w:r>
      <w:r w:rsidRPr="00E07C9A">
        <w:rPr>
          <w:rFonts w:ascii="Times New Roman" w:hAnsi="Times New Roman" w:cs="Times New Roman"/>
          <w:sz w:val="24"/>
        </w:rPr>
        <w:t>bezodplatné dodanie: prístup IRB ku kapitálovým požiadavkám [spätné testovanie PD (CR IRB 5)]</w:t>
      </w:r>
      <w:bookmarkEnd w:id="335"/>
      <w:bookmarkEnd w:id="336"/>
    </w:p>
    <w:p w14:paraId="591DD4EF" w14:textId="77777777" w:rsidR="008151A6" w:rsidRPr="00E07C9A" w:rsidRDefault="008151A6" w:rsidP="005C4397">
      <w:pPr>
        <w:pStyle w:val="Instructionsberschrift2"/>
        <w:numPr>
          <w:ilvl w:val="3"/>
          <w:numId w:val="27"/>
        </w:numPr>
        <w:ind w:left="709"/>
        <w:rPr>
          <w:rFonts w:ascii="Times New Roman" w:hAnsi="Times New Roman" w:cs="Times New Roman"/>
          <w:sz w:val="24"/>
        </w:rPr>
      </w:pPr>
      <w:bookmarkStart w:id="337" w:name="_Toc19715762"/>
      <w:bookmarkStart w:id="338" w:name="_Toc115857799"/>
      <w:r w:rsidRPr="00E07C9A">
        <w:rPr>
          <w:rFonts w:ascii="Times New Roman" w:hAnsi="Times New Roman" w:cs="Times New Roman"/>
          <w:sz w:val="24"/>
        </w:rPr>
        <w:t>Všeobecné poznámky</w:t>
      </w:r>
      <w:bookmarkEnd w:id="337"/>
      <w:bookmarkEnd w:id="338"/>
    </w:p>
    <w:p w14:paraId="687EBF72" w14:textId="222EAA46" w:rsidR="008151A6" w:rsidRPr="00E07C9A" w:rsidRDefault="002A18DE" w:rsidP="00487A02">
      <w:pPr>
        <w:pStyle w:val="InstructionsText2"/>
        <w:numPr>
          <w:ilvl w:val="0"/>
          <w:numId w:val="0"/>
        </w:numPr>
        <w:ind w:left="1353" w:hanging="360"/>
      </w:pPr>
      <w:fldSimple w:instr=" seq paragraphs ">
        <w:r w:rsidR="00132AEE">
          <w:rPr>
            <w:noProof/>
          </w:rPr>
          <w:t>80</w:t>
        </w:r>
      </w:fldSimple>
      <w:r w:rsidR="00C3070C" w:rsidRPr="00E07C9A">
        <w:t>. Inštitúcie vykazujú informácie zahrnuté</w:t>
      </w:r>
      <w:r w:rsidR="009912F8" w:rsidRPr="00E07C9A">
        <w:t xml:space="preserve"> v </w:t>
      </w:r>
      <w:r w:rsidR="00C3070C" w:rsidRPr="00E07C9A">
        <w:t xml:space="preserve">tomto vzore pri uplatňovaní článku 452 písm. h) nariadenia (EÚ) </w:t>
      </w:r>
      <w:r w:rsidR="009912F8" w:rsidRPr="00E07C9A">
        <w:t>č. 575/2013</w:t>
      </w:r>
      <w:r w:rsidR="00C3070C" w:rsidRPr="00E07C9A">
        <w:t>. Inštitúcia zohľadňuje modely použité</w:t>
      </w:r>
      <w:r w:rsidR="009912F8" w:rsidRPr="00E07C9A">
        <w:t xml:space="preserve"> v </w:t>
      </w:r>
      <w:r w:rsidR="00C3070C" w:rsidRPr="00E07C9A">
        <w:t>rámci každej triedy expozícií</w:t>
      </w:r>
      <w:r w:rsidR="009912F8" w:rsidRPr="00E07C9A">
        <w:t xml:space="preserve"> a </w:t>
      </w:r>
      <w:r w:rsidR="00C3070C" w:rsidRPr="00E07C9A">
        <w:t>vysvetľuje percentuálny podiel hodnoty rizikovo váženej expozície príslušnej triedy expozícií, na ktorú sa modely vzťahujú</w:t>
      </w:r>
      <w:r w:rsidR="009912F8" w:rsidRPr="00E07C9A">
        <w:t xml:space="preserve"> a v </w:t>
      </w:r>
      <w:r w:rsidR="00C3070C" w:rsidRPr="00E07C9A">
        <w:t>súvislosti</w:t>
      </w:r>
      <w:r w:rsidR="009912F8" w:rsidRPr="00E07C9A">
        <w:t xml:space="preserve"> s </w:t>
      </w:r>
      <w:r w:rsidR="00C3070C" w:rsidRPr="00E07C9A">
        <w:t>ktorou sa tu vykazujú výsledky spätného testovania.</w:t>
      </w:r>
      <w:r w:rsidR="009912F8" w:rsidRPr="00E07C9A">
        <w:t xml:space="preserve"> Z </w:t>
      </w:r>
      <w:r w:rsidR="00C3070C" w:rsidRPr="00E07C9A">
        <w:t xml:space="preserve">tohto vzoru sú vylúčené expozície voči kreditnému riziku protistrany (CCR) [tretia časť hlava II kapitola 6 nariadenia (EÚ) </w:t>
      </w:r>
      <w:r w:rsidR="009912F8" w:rsidRPr="00E07C9A">
        <w:t>č. 575/2013</w:t>
      </w:r>
      <w:r w:rsidR="00C3070C" w:rsidRPr="00E07C9A">
        <w:t>].</w:t>
      </w:r>
    </w:p>
    <w:p w14:paraId="61836475" w14:textId="3AA4C8C2" w:rsidR="008151A6" w:rsidRPr="00E07C9A" w:rsidRDefault="008151A6" w:rsidP="005C4397">
      <w:pPr>
        <w:pStyle w:val="Instructionsberschrift2"/>
        <w:numPr>
          <w:ilvl w:val="3"/>
          <w:numId w:val="27"/>
        </w:numPr>
        <w:ind w:left="709"/>
        <w:rPr>
          <w:rFonts w:ascii="Times New Roman" w:hAnsi="Times New Roman" w:cs="Times New Roman"/>
          <w:sz w:val="24"/>
        </w:rPr>
      </w:pPr>
      <w:bookmarkStart w:id="339" w:name="_Toc19715763"/>
      <w:bookmarkStart w:id="340" w:name="_Toc115857800"/>
      <w:r w:rsidRPr="00E07C9A">
        <w:rPr>
          <w:rFonts w:ascii="Times New Roman" w:hAnsi="Times New Roman" w:cs="Times New Roman"/>
          <w:sz w:val="24"/>
        </w:rPr>
        <w:t>Pokyny týkajúce sa konkrétnych pozícií</w:t>
      </w:r>
      <w:bookmarkEnd w:id="339"/>
      <w:bookmarkEnd w:id="34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E07C9A" w14:paraId="4F03C024" w14:textId="77777777" w:rsidTr="00664874">
        <w:tc>
          <w:tcPr>
            <w:tcW w:w="1188" w:type="dxa"/>
            <w:shd w:val="clear" w:color="auto" w:fill="CCCCCC"/>
          </w:tcPr>
          <w:p w14:paraId="08B1D9DD" w14:textId="77777777" w:rsidR="008151A6" w:rsidRPr="00E07C9A" w:rsidRDefault="008151A6" w:rsidP="00664874">
            <w:pPr>
              <w:rPr>
                <w:rFonts w:ascii="Times New Roman" w:hAnsi="Times New Roman"/>
                <w:sz w:val="24"/>
              </w:rPr>
            </w:pPr>
            <w:r w:rsidRPr="00E07C9A">
              <w:rPr>
                <w:rFonts w:ascii="Times New Roman" w:hAnsi="Times New Roman"/>
                <w:sz w:val="24"/>
              </w:rPr>
              <w:t>Stĺpce</w:t>
            </w:r>
          </w:p>
        </w:tc>
        <w:tc>
          <w:tcPr>
            <w:tcW w:w="8843" w:type="dxa"/>
            <w:shd w:val="clear" w:color="auto" w:fill="CCCCCC"/>
          </w:tcPr>
          <w:p w14:paraId="29FFA258" w14:textId="77777777" w:rsidR="008151A6" w:rsidRPr="00E07C9A" w:rsidRDefault="008151A6" w:rsidP="00664874">
            <w:pPr>
              <w:rPr>
                <w:rFonts w:ascii="Times New Roman" w:hAnsi="Times New Roman"/>
                <w:sz w:val="24"/>
              </w:rPr>
            </w:pPr>
            <w:r w:rsidRPr="00E07C9A">
              <w:rPr>
                <w:rFonts w:ascii="Times New Roman" w:hAnsi="Times New Roman"/>
                <w:sz w:val="24"/>
              </w:rPr>
              <w:t>Pokyny</w:t>
            </w:r>
          </w:p>
        </w:tc>
      </w:tr>
      <w:tr w:rsidR="008151A6" w:rsidRPr="00E07C9A" w14:paraId="2979200E"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DEF0B6E" w14:textId="77777777" w:rsidR="008151A6" w:rsidRPr="00E07C9A" w:rsidRDefault="008151A6" w:rsidP="00664874">
            <w:pPr>
              <w:rPr>
                <w:rFonts w:ascii="Times New Roman" w:hAnsi="Times New Roman"/>
                <w:sz w:val="24"/>
              </w:rPr>
            </w:pPr>
            <w:r w:rsidRPr="00E07C9A">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6965972" w14:textId="77777777" w:rsidR="008151A6" w:rsidRPr="00E07C9A" w:rsidRDefault="00463F88" w:rsidP="00664874">
            <w:pPr>
              <w:rPr>
                <w:rFonts w:ascii="Times New Roman" w:hAnsi="Times New Roman"/>
                <w:b/>
                <w:sz w:val="24"/>
                <w:u w:val="single"/>
              </w:rPr>
            </w:pPr>
            <w:r w:rsidRPr="00E07C9A">
              <w:rPr>
                <w:rFonts w:ascii="Times New Roman" w:hAnsi="Times New Roman"/>
                <w:b/>
                <w:sz w:val="24"/>
                <w:u w:val="single"/>
              </w:rPr>
              <w:t>ARITMETICKÝ PRIEMER PD (%)</w:t>
            </w:r>
          </w:p>
          <w:p w14:paraId="40F24620" w14:textId="0812DB3D" w:rsidR="008151A6" w:rsidRPr="00E07C9A" w:rsidRDefault="00463F88" w:rsidP="00E50FA0">
            <w:pPr>
              <w:rPr>
                <w:rFonts w:ascii="Times New Roman" w:hAnsi="Times New Roman"/>
                <w:b/>
                <w:sz w:val="24"/>
              </w:rPr>
            </w:pPr>
            <w:r w:rsidRPr="00E07C9A">
              <w:rPr>
                <w:rFonts w:ascii="Times New Roman" w:hAnsi="Times New Roman"/>
                <w:sz w:val="24"/>
              </w:rPr>
              <w:t>Aritmetický priemer PD na začiatku obdobia vykazovania dlžníkov, ktorí patria do skupiny pevného rozsahu PD</w:t>
            </w:r>
            <w:r w:rsidR="009912F8" w:rsidRPr="00E07C9A">
              <w:rPr>
                <w:rFonts w:ascii="Times New Roman" w:hAnsi="Times New Roman"/>
                <w:sz w:val="24"/>
              </w:rPr>
              <w:t xml:space="preserve"> a </w:t>
            </w:r>
            <w:r w:rsidRPr="00E07C9A">
              <w:rPr>
                <w:rFonts w:ascii="Times New Roman" w:hAnsi="Times New Roman"/>
                <w:sz w:val="24"/>
              </w:rPr>
              <w:t>sú započítaní</w:t>
            </w:r>
            <w:r w:rsidR="009912F8" w:rsidRPr="00E07C9A">
              <w:rPr>
                <w:rFonts w:ascii="Times New Roman" w:hAnsi="Times New Roman"/>
                <w:sz w:val="24"/>
              </w:rPr>
              <w:t xml:space="preserve"> v </w:t>
            </w:r>
            <w:r w:rsidRPr="00E07C9A">
              <w:rPr>
                <w:rFonts w:ascii="Times New Roman" w:hAnsi="Times New Roman"/>
                <w:sz w:val="24"/>
              </w:rPr>
              <w:t>stĺpci 0020 (priemer vážený počtom dlžníkov).</w:t>
            </w:r>
          </w:p>
        </w:tc>
      </w:tr>
      <w:tr w:rsidR="008151A6" w:rsidRPr="00E07C9A" w14:paraId="510F160B"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6CF782D" w14:textId="77777777" w:rsidR="008151A6" w:rsidRPr="00E07C9A" w:rsidRDefault="008151A6" w:rsidP="00463F88">
            <w:pPr>
              <w:rPr>
                <w:rFonts w:ascii="Times New Roman" w:hAnsi="Times New Roman"/>
                <w:sz w:val="24"/>
              </w:rPr>
            </w:pPr>
            <w:r w:rsidRPr="00E07C9A">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0422DF1" w14:textId="77777777" w:rsidR="008151A6" w:rsidRPr="00E07C9A" w:rsidRDefault="008151A6" w:rsidP="00664874">
            <w:pPr>
              <w:rPr>
                <w:rFonts w:ascii="Times New Roman" w:hAnsi="Times New Roman"/>
                <w:b/>
                <w:sz w:val="24"/>
                <w:u w:val="single"/>
              </w:rPr>
            </w:pPr>
            <w:r w:rsidRPr="00E07C9A">
              <w:rPr>
                <w:rFonts w:ascii="Times New Roman" w:hAnsi="Times New Roman"/>
                <w:b/>
                <w:sz w:val="24"/>
                <w:u w:val="single"/>
              </w:rPr>
              <w:t>POČET DLŽNÍKOV KU KONCU PREDCHÁDZAJÚCEHO ROKA</w:t>
            </w:r>
          </w:p>
          <w:p w14:paraId="27C944D5" w14:textId="77777777" w:rsidR="009912F8" w:rsidRPr="00E07C9A" w:rsidRDefault="008151A6" w:rsidP="00463F88">
            <w:pPr>
              <w:rPr>
                <w:rFonts w:ascii="Times New Roman" w:hAnsi="Times New Roman"/>
                <w:sz w:val="24"/>
              </w:rPr>
            </w:pPr>
            <w:r w:rsidRPr="00E07C9A">
              <w:rPr>
                <w:rFonts w:ascii="Times New Roman" w:hAnsi="Times New Roman"/>
                <w:sz w:val="24"/>
              </w:rPr>
              <w:t>Počet dlžníkov, ktorí podliehajú vykazovaniu, ku koncu predchádzajúceho roka</w:t>
            </w:r>
            <w:r w:rsidR="009912F8" w:rsidRPr="00E07C9A">
              <w:rPr>
                <w:rFonts w:ascii="Times New Roman" w:hAnsi="Times New Roman"/>
                <w:sz w:val="24"/>
              </w:rPr>
              <w:t>.</w:t>
            </w:r>
          </w:p>
          <w:p w14:paraId="2C6FF1F2" w14:textId="1B78C828" w:rsidR="009912F8" w:rsidRPr="00E07C9A" w:rsidRDefault="008151A6" w:rsidP="00463F88">
            <w:pPr>
              <w:rPr>
                <w:rFonts w:ascii="Times New Roman" w:hAnsi="Times New Roman"/>
                <w:sz w:val="24"/>
              </w:rPr>
            </w:pPr>
            <w:r w:rsidRPr="00E07C9A">
              <w:rPr>
                <w:rFonts w:ascii="Times New Roman" w:hAnsi="Times New Roman"/>
                <w:sz w:val="24"/>
              </w:rPr>
              <w:t>Zahŕňajú sa všetci dlžníci, ktorí majú</w:t>
            </w:r>
            <w:r w:rsidR="009912F8" w:rsidRPr="00E07C9A">
              <w:rPr>
                <w:rFonts w:ascii="Times New Roman" w:hAnsi="Times New Roman"/>
                <w:sz w:val="24"/>
              </w:rPr>
              <w:t xml:space="preserve"> v </w:t>
            </w:r>
            <w:r w:rsidRPr="00E07C9A">
              <w:rPr>
                <w:rFonts w:ascii="Times New Roman" w:hAnsi="Times New Roman"/>
                <w:sz w:val="24"/>
              </w:rPr>
              <w:t>príslušnom čase kreditný záväzok</w:t>
            </w:r>
            <w:r w:rsidR="009912F8" w:rsidRPr="00E07C9A">
              <w:rPr>
                <w:rFonts w:ascii="Times New Roman" w:hAnsi="Times New Roman"/>
                <w:sz w:val="24"/>
              </w:rPr>
              <w:t>.</w:t>
            </w:r>
          </w:p>
          <w:p w14:paraId="21BC54D4" w14:textId="41C484BC" w:rsidR="008151A6" w:rsidRPr="00E07C9A" w:rsidRDefault="008A0983" w:rsidP="008A0983">
            <w:pPr>
              <w:rPr>
                <w:rFonts w:ascii="Times New Roman" w:hAnsi="Times New Roman"/>
                <w:sz w:val="24"/>
              </w:rPr>
            </w:pPr>
            <w:r w:rsidRPr="00E07C9A">
              <w:rPr>
                <w:rFonts w:ascii="Times New Roman" w:hAnsi="Times New Roman"/>
                <w:sz w:val="24"/>
              </w:rPr>
              <w:t>Počet dlžníkov sa počíta</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pokynmi</w:t>
            </w:r>
            <w:r w:rsidR="009912F8" w:rsidRPr="00E07C9A">
              <w:rPr>
                <w:rFonts w:ascii="Times New Roman" w:hAnsi="Times New Roman"/>
                <w:sz w:val="24"/>
              </w:rPr>
              <w:t xml:space="preserve"> v </w:t>
            </w:r>
            <w:r w:rsidRPr="00E07C9A">
              <w:rPr>
                <w:rFonts w:ascii="Times New Roman" w:hAnsi="Times New Roman"/>
                <w:sz w:val="24"/>
              </w:rPr>
              <w:t>stĺpci 0300 vzoru C 08.01. So spoločnými dlžníkmi sa zaobchádza rovnako ako na účely kalibrácie PD.</w:t>
            </w:r>
          </w:p>
        </w:tc>
      </w:tr>
      <w:tr w:rsidR="008151A6" w:rsidRPr="00E07C9A" w14:paraId="4B8A0538"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ACD7358" w14:textId="77777777" w:rsidR="008151A6" w:rsidRPr="00E07C9A" w:rsidRDefault="008151A6" w:rsidP="00F66371">
            <w:pPr>
              <w:rPr>
                <w:rFonts w:ascii="Times New Roman" w:hAnsi="Times New Roman"/>
                <w:sz w:val="24"/>
              </w:rPr>
            </w:pPr>
            <w:r w:rsidRPr="00E07C9A">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6CEDE85" w14:textId="77777777" w:rsidR="008151A6" w:rsidRPr="00E07C9A" w:rsidRDefault="008151A6" w:rsidP="00664874">
            <w:pPr>
              <w:rPr>
                <w:rFonts w:ascii="Times New Roman" w:hAnsi="Times New Roman"/>
                <w:b/>
                <w:sz w:val="24"/>
                <w:u w:val="single"/>
              </w:rPr>
            </w:pPr>
            <w:r w:rsidRPr="00E07C9A">
              <w:rPr>
                <w:rFonts w:ascii="Times New Roman" w:hAnsi="Times New Roman"/>
                <w:b/>
                <w:sz w:val="24"/>
                <w:u w:val="single"/>
              </w:rPr>
              <w:t>Z ČOHO: ZLYHANIA POČAS ROKA</w:t>
            </w:r>
          </w:p>
          <w:p w14:paraId="1A3DEC89" w14:textId="77777777" w:rsidR="009912F8" w:rsidRPr="00E07C9A" w:rsidRDefault="008151A6" w:rsidP="00664874">
            <w:pPr>
              <w:autoSpaceDE w:val="0"/>
              <w:autoSpaceDN w:val="0"/>
              <w:adjustRightInd w:val="0"/>
              <w:rPr>
                <w:rFonts w:ascii="Times New Roman" w:hAnsi="Times New Roman"/>
                <w:sz w:val="24"/>
              </w:rPr>
            </w:pPr>
            <w:r w:rsidRPr="00E07C9A">
              <w:rPr>
                <w:rFonts w:ascii="Times New Roman" w:hAnsi="Times New Roman"/>
                <w:sz w:val="24"/>
              </w:rPr>
              <w:t>Počet dlžníkov, ktorí počas roka (t. j. obdobia pozorovania pre výpočet miery zlyhania) zlyhali</w:t>
            </w:r>
            <w:r w:rsidR="009912F8" w:rsidRPr="00E07C9A">
              <w:rPr>
                <w:rFonts w:ascii="Times New Roman" w:hAnsi="Times New Roman"/>
                <w:sz w:val="24"/>
              </w:rPr>
              <w:t>.</w:t>
            </w:r>
          </w:p>
          <w:p w14:paraId="4BAAF336" w14:textId="15818824" w:rsidR="009912F8" w:rsidRPr="00E07C9A" w:rsidRDefault="008151A6" w:rsidP="00664874">
            <w:pPr>
              <w:autoSpaceDE w:val="0"/>
              <w:autoSpaceDN w:val="0"/>
              <w:adjustRightInd w:val="0"/>
              <w:rPr>
                <w:rFonts w:ascii="Times New Roman" w:hAnsi="Times New Roman"/>
                <w:sz w:val="24"/>
              </w:rPr>
            </w:pPr>
            <w:r w:rsidRPr="00E07C9A">
              <w:rPr>
                <w:rFonts w:ascii="Times New Roman" w:hAnsi="Times New Roman"/>
                <w:sz w:val="24"/>
              </w:rPr>
              <w:t>Zlyhania sa určujú</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178 nariadenia (EÚ) </w:t>
            </w:r>
            <w:r w:rsidR="009912F8" w:rsidRPr="00E07C9A">
              <w:rPr>
                <w:rFonts w:ascii="Times New Roman" w:hAnsi="Times New Roman"/>
                <w:sz w:val="24"/>
              </w:rPr>
              <w:t>č. 575/2013.</w:t>
            </w:r>
          </w:p>
          <w:p w14:paraId="75835CBF" w14:textId="283371EE" w:rsidR="008151A6" w:rsidRPr="00E07C9A" w:rsidRDefault="008151A6" w:rsidP="00664874">
            <w:pPr>
              <w:rPr>
                <w:rFonts w:ascii="Times New Roman" w:hAnsi="Times New Roman"/>
                <w:b/>
                <w:sz w:val="24"/>
                <w:u w:val="single"/>
              </w:rPr>
            </w:pPr>
            <w:r w:rsidRPr="00E07C9A">
              <w:rPr>
                <w:rFonts w:ascii="Times New Roman" w:hAnsi="Times New Roman"/>
                <w:sz w:val="24"/>
              </w:rPr>
              <w:t>Každý dlžník, ktorý zlyhal, sa započítava do čitateľa</w:t>
            </w:r>
            <w:r w:rsidR="009912F8" w:rsidRPr="00E07C9A">
              <w:rPr>
                <w:rFonts w:ascii="Times New Roman" w:hAnsi="Times New Roman"/>
                <w:sz w:val="24"/>
              </w:rPr>
              <w:t xml:space="preserve"> a </w:t>
            </w:r>
            <w:r w:rsidRPr="00E07C9A">
              <w:rPr>
                <w:rFonts w:ascii="Times New Roman" w:hAnsi="Times New Roman"/>
                <w:sz w:val="24"/>
              </w:rPr>
              <w:t>menovateľa pri výpočte jednoročnej miery zlyhania len raz,</w:t>
            </w:r>
            <w:r w:rsidR="009912F8" w:rsidRPr="00E07C9A">
              <w:rPr>
                <w:rFonts w:ascii="Times New Roman" w:hAnsi="Times New Roman"/>
                <w:sz w:val="24"/>
              </w:rPr>
              <w:t xml:space="preserve"> a </w:t>
            </w:r>
            <w:r w:rsidRPr="00E07C9A">
              <w:rPr>
                <w:rFonts w:ascii="Times New Roman" w:hAnsi="Times New Roman"/>
                <w:sz w:val="24"/>
              </w:rPr>
              <w:t>to aj vtedy, ak dlžník počas príslušného jednoročného obdobia zlyhal viac ako raz.</w:t>
            </w:r>
          </w:p>
        </w:tc>
      </w:tr>
      <w:tr w:rsidR="008151A6" w:rsidRPr="00E07C9A" w14:paraId="3969836C"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8F71CAC" w14:textId="77777777" w:rsidR="008151A6" w:rsidRPr="00E07C9A" w:rsidRDefault="008151A6" w:rsidP="00F66371">
            <w:pPr>
              <w:rPr>
                <w:rFonts w:ascii="Times New Roman" w:hAnsi="Times New Roman"/>
                <w:sz w:val="24"/>
              </w:rPr>
            </w:pPr>
            <w:r w:rsidRPr="00E07C9A">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B13B879" w14:textId="77777777" w:rsidR="008151A6" w:rsidRPr="00E07C9A" w:rsidRDefault="008151A6" w:rsidP="00664874">
            <w:pPr>
              <w:rPr>
                <w:rFonts w:ascii="Times New Roman" w:hAnsi="Times New Roman"/>
                <w:b/>
                <w:sz w:val="24"/>
                <w:u w:val="single"/>
              </w:rPr>
            </w:pPr>
            <w:r w:rsidRPr="00E07C9A">
              <w:rPr>
                <w:rFonts w:ascii="Times New Roman" w:hAnsi="Times New Roman"/>
                <w:b/>
                <w:sz w:val="24"/>
                <w:u w:val="single"/>
              </w:rPr>
              <w:t>POZOROVANÁ PRIEMERNÁ MIERA ZLYHANIA (%)</w:t>
            </w:r>
          </w:p>
          <w:p w14:paraId="0E98A019" w14:textId="1DCC38E7" w:rsidR="008151A6" w:rsidRPr="00E07C9A" w:rsidRDefault="008151A6" w:rsidP="00664874">
            <w:pPr>
              <w:autoSpaceDE w:val="0"/>
              <w:autoSpaceDN w:val="0"/>
              <w:adjustRightInd w:val="0"/>
              <w:rPr>
                <w:rFonts w:ascii="Times New Roman" w:hAnsi="Times New Roman"/>
                <w:sz w:val="24"/>
              </w:rPr>
            </w:pPr>
            <w:r w:rsidRPr="00E07C9A">
              <w:rPr>
                <w:rFonts w:ascii="Times New Roman" w:hAnsi="Times New Roman"/>
                <w:sz w:val="24"/>
              </w:rPr>
              <w:t>Jednoročná miera zlyhania uvedená</w:t>
            </w:r>
            <w:r w:rsidR="009912F8" w:rsidRPr="00E07C9A">
              <w:rPr>
                <w:rFonts w:ascii="Times New Roman" w:hAnsi="Times New Roman"/>
                <w:sz w:val="24"/>
              </w:rPr>
              <w:t xml:space="preserve"> v </w:t>
            </w:r>
            <w:r w:rsidRPr="00E07C9A">
              <w:rPr>
                <w:rFonts w:ascii="Times New Roman" w:hAnsi="Times New Roman"/>
                <w:sz w:val="24"/>
              </w:rPr>
              <w:t xml:space="preserve">článku 4 ods. 1 bode 78 nariadenia (EÚ) </w:t>
            </w:r>
            <w:r w:rsidR="009912F8" w:rsidRPr="00E07C9A">
              <w:rPr>
                <w:rFonts w:ascii="Times New Roman" w:hAnsi="Times New Roman"/>
                <w:sz w:val="24"/>
              </w:rPr>
              <w:t>č. 575/2013</w:t>
            </w:r>
            <w:r w:rsidRPr="00E07C9A">
              <w:rPr>
                <w:rFonts w:ascii="Times New Roman" w:hAnsi="Times New Roman"/>
                <w:sz w:val="24"/>
              </w:rPr>
              <w:t>.</w:t>
            </w:r>
          </w:p>
          <w:p w14:paraId="1042A405" w14:textId="77777777" w:rsidR="008151A6" w:rsidRPr="00E07C9A" w:rsidRDefault="008151A6" w:rsidP="00664874">
            <w:pPr>
              <w:autoSpaceDE w:val="0"/>
              <w:autoSpaceDN w:val="0"/>
              <w:adjustRightInd w:val="0"/>
              <w:rPr>
                <w:rFonts w:ascii="Times New Roman" w:hAnsi="Times New Roman"/>
                <w:sz w:val="24"/>
              </w:rPr>
            </w:pPr>
            <w:r w:rsidRPr="00E07C9A">
              <w:rPr>
                <w:rFonts w:ascii="Times New Roman" w:hAnsi="Times New Roman"/>
                <w:sz w:val="24"/>
              </w:rPr>
              <w:t>Inštitúcie zabezpečujú:</w:t>
            </w:r>
          </w:p>
          <w:p w14:paraId="679B0B7C" w14:textId="045B5F9D" w:rsidR="008151A6" w:rsidRPr="00E07C9A" w:rsidRDefault="008151A6" w:rsidP="00664874">
            <w:pPr>
              <w:autoSpaceDE w:val="0"/>
              <w:autoSpaceDN w:val="0"/>
              <w:adjustRightInd w:val="0"/>
              <w:rPr>
                <w:rFonts w:ascii="Times New Roman" w:hAnsi="Times New Roman"/>
                <w:sz w:val="24"/>
              </w:rPr>
            </w:pPr>
            <w:r w:rsidRPr="00E07C9A">
              <w:rPr>
                <w:rFonts w:ascii="Times New Roman" w:hAnsi="Times New Roman"/>
                <w:sz w:val="24"/>
              </w:rPr>
              <w:t>a) že menovateľ pozostáva</w:t>
            </w:r>
            <w:r w:rsidR="009912F8" w:rsidRPr="00E07C9A">
              <w:rPr>
                <w:rFonts w:ascii="Times New Roman" w:hAnsi="Times New Roman"/>
                <w:sz w:val="24"/>
              </w:rPr>
              <w:t xml:space="preserve"> z </w:t>
            </w:r>
            <w:r w:rsidRPr="00E07C9A">
              <w:rPr>
                <w:rFonts w:ascii="Times New Roman" w:hAnsi="Times New Roman"/>
                <w:sz w:val="24"/>
              </w:rPr>
              <w:t>počtu dlžníkov, ktorí nezlyhali,</w:t>
            </w:r>
            <w:r w:rsidR="009912F8" w:rsidRPr="00E07C9A">
              <w:rPr>
                <w:rFonts w:ascii="Times New Roman" w:hAnsi="Times New Roman"/>
                <w:sz w:val="24"/>
              </w:rPr>
              <w:t xml:space="preserve"> s </w:t>
            </w:r>
            <w:r w:rsidRPr="00E07C9A">
              <w:rPr>
                <w:rFonts w:ascii="Times New Roman" w:hAnsi="Times New Roman"/>
                <w:sz w:val="24"/>
              </w:rPr>
              <w:t>akýmkoľvek kreditným záväzkom pozorovaným na začiatku jednoročného obdobia pozorovania (t. j. začiatok roka pred referenčným dátumom vykazovania);</w:t>
            </w:r>
            <w:r w:rsidR="009912F8" w:rsidRPr="00E07C9A">
              <w:rPr>
                <w:rFonts w:ascii="Times New Roman" w:hAnsi="Times New Roman"/>
                <w:sz w:val="24"/>
              </w:rPr>
              <w:t xml:space="preserve"> v </w:t>
            </w:r>
            <w:r w:rsidRPr="00E07C9A">
              <w:rPr>
                <w:rFonts w:ascii="Times New Roman" w:hAnsi="Times New Roman"/>
                <w:sz w:val="24"/>
              </w:rPr>
              <w:t>tejto súvislosti sa kreditný záväzok vzťahuje na obe tieto položky: i) každú súvahovú položku vrátane akejkoľvek hodnoty istiny, úroku</w:t>
            </w:r>
            <w:r w:rsidR="009912F8" w:rsidRPr="00E07C9A">
              <w:rPr>
                <w:rFonts w:ascii="Times New Roman" w:hAnsi="Times New Roman"/>
                <w:sz w:val="24"/>
              </w:rPr>
              <w:t xml:space="preserve"> a </w:t>
            </w:r>
            <w:r w:rsidRPr="00E07C9A">
              <w:rPr>
                <w:rFonts w:ascii="Times New Roman" w:hAnsi="Times New Roman"/>
                <w:sz w:val="24"/>
              </w:rPr>
              <w:t>poplatkov; ii) všetky podsúvahové položky vrátane záruk vydaných inštitúciou ako ručiteľom;</w:t>
            </w:r>
          </w:p>
          <w:p w14:paraId="421492AD" w14:textId="3E713CE3" w:rsidR="008151A6" w:rsidRPr="00E07C9A" w:rsidRDefault="008151A6" w:rsidP="00664874">
            <w:pPr>
              <w:rPr>
                <w:rFonts w:ascii="Times New Roman" w:hAnsi="Times New Roman"/>
                <w:sz w:val="24"/>
              </w:rPr>
            </w:pPr>
            <w:r w:rsidRPr="00E07C9A">
              <w:rPr>
                <w:rFonts w:ascii="Times New Roman" w:hAnsi="Times New Roman"/>
                <w:sz w:val="24"/>
              </w:rPr>
              <w:t>b) že do čitateľa sú zahrnutí všetci tí dlžníci zohľadnení</w:t>
            </w:r>
            <w:r w:rsidR="009912F8" w:rsidRPr="00E07C9A">
              <w:rPr>
                <w:rFonts w:ascii="Times New Roman" w:hAnsi="Times New Roman"/>
                <w:sz w:val="24"/>
              </w:rPr>
              <w:t xml:space="preserve"> v </w:t>
            </w:r>
            <w:r w:rsidRPr="00E07C9A">
              <w:rPr>
                <w:rFonts w:ascii="Times New Roman" w:hAnsi="Times New Roman"/>
                <w:sz w:val="24"/>
              </w:rPr>
              <w:t>menovateli,</w:t>
            </w:r>
            <w:r w:rsidR="009912F8" w:rsidRPr="00E07C9A">
              <w:rPr>
                <w:rFonts w:ascii="Times New Roman" w:hAnsi="Times New Roman"/>
                <w:sz w:val="24"/>
              </w:rPr>
              <w:t xml:space="preserve"> v </w:t>
            </w:r>
            <w:r w:rsidRPr="00E07C9A">
              <w:rPr>
                <w:rFonts w:ascii="Times New Roman" w:hAnsi="Times New Roman"/>
                <w:sz w:val="24"/>
              </w:rPr>
              <w:t>prípade ktorých došlo počas jednoročného obdobia pozorovania (rok pred referenčným dátumom vykazovania) aspoň</w:t>
            </w:r>
            <w:r w:rsidR="009912F8" w:rsidRPr="00E07C9A">
              <w:rPr>
                <w:rFonts w:ascii="Times New Roman" w:hAnsi="Times New Roman"/>
                <w:sz w:val="24"/>
              </w:rPr>
              <w:t xml:space="preserve"> k </w:t>
            </w:r>
            <w:r w:rsidRPr="00E07C9A">
              <w:rPr>
                <w:rFonts w:ascii="Times New Roman" w:hAnsi="Times New Roman"/>
                <w:sz w:val="24"/>
              </w:rPr>
              <w:t>jednému zlyhaniu.</w:t>
            </w:r>
          </w:p>
          <w:p w14:paraId="2A4BCFA4" w14:textId="0885C08A" w:rsidR="008151A6" w:rsidRPr="00E07C9A" w:rsidRDefault="008151A6" w:rsidP="00851278">
            <w:pPr>
              <w:rPr>
                <w:rFonts w:ascii="Times New Roman" w:hAnsi="Times New Roman"/>
                <w:sz w:val="24"/>
              </w:rPr>
            </w:pPr>
            <w:r w:rsidRPr="00E07C9A">
              <w:rPr>
                <w:rFonts w:ascii="Times New Roman" w:hAnsi="Times New Roman"/>
                <w:sz w:val="24"/>
              </w:rPr>
              <w:t>Pokiaľ ide</w:t>
            </w:r>
            <w:r w:rsidR="009912F8" w:rsidRPr="00E07C9A">
              <w:rPr>
                <w:rFonts w:ascii="Times New Roman" w:hAnsi="Times New Roman"/>
                <w:sz w:val="24"/>
              </w:rPr>
              <w:t xml:space="preserve"> o </w:t>
            </w:r>
            <w:r w:rsidRPr="00E07C9A">
              <w:rPr>
                <w:rFonts w:ascii="Times New Roman" w:hAnsi="Times New Roman"/>
                <w:sz w:val="24"/>
              </w:rPr>
              <w:t>výpočet počtu dlžníkov, pozri stĺpec 0300 vzoru C 08.01.</w:t>
            </w:r>
          </w:p>
        </w:tc>
      </w:tr>
      <w:tr w:rsidR="008151A6" w:rsidRPr="00E07C9A" w14:paraId="44D5BF54"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FE38C98" w14:textId="77777777" w:rsidR="008151A6" w:rsidRPr="00E07C9A" w:rsidRDefault="008151A6" w:rsidP="00F66371">
            <w:pPr>
              <w:rPr>
                <w:rFonts w:ascii="Times New Roman" w:hAnsi="Times New Roman"/>
                <w:sz w:val="24"/>
              </w:rPr>
            </w:pPr>
            <w:r w:rsidRPr="00E07C9A">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7956C32" w14:textId="77777777" w:rsidR="008151A6" w:rsidRPr="00E07C9A" w:rsidRDefault="002754C0" w:rsidP="00664874">
            <w:pPr>
              <w:rPr>
                <w:rFonts w:ascii="Times New Roman" w:hAnsi="Times New Roman"/>
                <w:sz w:val="24"/>
                <w:u w:val="single"/>
              </w:rPr>
            </w:pPr>
            <w:r w:rsidRPr="00E07C9A">
              <w:rPr>
                <w:rFonts w:ascii="Times New Roman" w:hAnsi="Times New Roman"/>
                <w:b/>
                <w:sz w:val="24"/>
                <w:u w:val="single"/>
              </w:rPr>
              <w:t>PRIEMERNÁ HISTORICKÁ ROČNÁ MIERA ZLYHANIA (%)</w:t>
            </w:r>
          </w:p>
          <w:p w14:paraId="3A64B738" w14:textId="5241DB49" w:rsidR="008151A6" w:rsidRPr="00E07C9A" w:rsidRDefault="00A5427A" w:rsidP="008E0688">
            <w:pPr>
              <w:rPr>
                <w:rFonts w:ascii="Times New Roman" w:hAnsi="Times New Roman"/>
                <w:sz w:val="24"/>
              </w:rPr>
            </w:pPr>
            <w:r w:rsidRPr="00E07C9A">
              <w:rPr>
                <w:rFonts w:ascii="Times New Roman" w:hAnsi="Times New Roman"/>
                <w:sz w:val="24"/>
              </w:rPr>
              <w:t>Jednoduchý priemer ročnej miery zlyhania za posledných päť rokov (dlžníci na začiatku každého roka, ktorí počas daného roku zlyhali/celkový počet dlžníkov na začiatku roka) je minimum. Inštitúcia môže použiť dlhšie historické obdobie, ktoré je</w:t>
            </w:r>
            <w:r w:rsidR="009912F8" w:rsidRPr="00E07C9A">
              <w:rPr>
                <w:rFonts w:ascii="Times New Roman" w:hAnsi="Times New Roman"/>
                <w:sz w:val="24"/>
              </w:rPr>
              <w:t xml:space="preserve"> v </w:t>
            </w:r>
            <w:r w:rsidRPr="00E07C9A">
              <w:rPr>
                <w:rFonts w:ascii="Times New Roman" w:hAnsi="Times New Roman"/>
                <w:sz w:val="24"/>
              </w:rPr>
              <w:t>súlade so skutočnou praxou riadenia rizík inštitúcie.</w:t>
            </w:r>
          </w:p>
        </w:tc>
      </w:tr>
    </w:tbl>
    <w:p w14:paraId="5719C724" w14:textId="77777777" w:rsidR="008151A6" w:rsidRPr="00E07C9A" w:rsidRDefault="008151A6" w:rsidP="00487A02">
      <w:pPr>
        <w:pStyle w:val="InstructionsText2"/>
        <w:numPr>
          <w:ilvl w:val="0"/>
          <w:numId w:val="0"/>
        </w:numPr>
        <w:ind w:left="1353"/>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E07C9A" w14:paraId="15376354" w14:textId="77777777" w:rsidTr="00664874">
        <w:tc>
          <w:tcPr>
            <w:tcW w:w="1271" w:type="dxa"/>
            <w:shd w:val="pct25" w:color="auto" w:fill="auto"/>
          </w:tcPr>
          <w:p w14:paraId="12F990D0" w14:textId="77777777" w:rsidR="008151A6" w:rsidRPr="00E07C9A" w:rsidRDefault="008151A6" w:rsidP="00664874">
            <w:pPr>
              <w:rPr>
                <w:rFonts w:ascii="Times New Roman" w:hAnsi="Times New Roman"/>
                <w:sz w:val="24"/>
              </w:rPr>
            </w:pPr>
            <w:r w:rsidRPr="00E07C9A">
              <w:rPr>
                <w:rFonts w:ascii="Times New Roman" w:hAnsi="Times New Roman"/>
                <w:sz w:val="24"/>
              </w:rPr>
              <w:t>Riadky</w:t>
            </w:r>
          </w:p>
        </w:tc>
        <w:tc>
          <w:tcPr>
            <w:tcW w:w="8557" w:type="dxa"/>
            <w:shd w:val="pct25" w:color="auto" w:fill="auto"/>
          </w:tcPr>
          <w:p w14:paraId="0B354226" w14:textId="77777777" w:rsidR="008151A6" w:rsidRPr="00E07C9A" w:rsidRDefault="008151A6" w:rsidP="00664874">
            <w:pPr>
              <w:rPr>
                <w:rFonts w:ascii="Times New Roman" w:hAnsi="Times New Roman"/>
                <w:sz w:val="24"/>
              </w:rPr>
            </w:pPr>
            <w:r w:rsidRPr="00E07C9A">
              <w:rPr>
                <w:rFonts w:ascii="Times New Roman" w:hAnsi="Times New Roman"/>
                <w:sz w:val="24"/>
              </w:rPr>
              <w:t>Pokyny</w:t>
            </w:r>
          </w:p>
        </w:tc>
      </w:tr>
      <w:tr w:rsidR="008151A6" w:rsidRPr="00E07C9A" w14:paraId="1D2342F5" w14:textId="77777777" w:rsidTr="00664874">
        <w:tc>
          <w:tcPr>
            <w:tcW w:w="1271" w:type="dxa"/>
          </w:tcPr>
          <w:p w14:paraId="08EA57D9" w14:textId="77777777" w:rsidR="008151A6" w:rsidRPr="00E07C9A" w:rsidRDefault="008151A6" w:rsidP="00664874">
            <w:pPr>
              <w:rPr>
                <w:rFonts w:ascii="Times New Roman" w:hAnsi="Times New Roman"/>
                <w:sz w:val="24"/>
              </w:rPr>
            </w:pPr>
            <w:r w:rsidRPr="00E07C9A">
              <w:rPr>
                <w:rFonts w:ascii="Times New Roman" w:hAnsi="Times New Roman"/>
                <w:sz w:val="24"/>
              </w:rPr>
              <w:t>ROZSAH PD</w:t>
            </w:r>
          </w:p>
        </w:tc>
        <w:tc>
          <w:tcPr>
            <w:tcW w:w="8557" w:type="dxa"/>
          </w:tcPr>
          <w:p w14:paraId="2138DA81" w14:textId="4EA57615" w:rsidR="008151A6" w:rsidRPr="00E07C9A" w:rsidRDefault="008151A6" w:rsidP="00463F88">
            <w:pPr>
              <w:rPr>
                <w:rFonts w:ascii="Times New Roman" w:hAnsi="Times New Roman"/>
                <w:sz w:val="24"/>
              </w:rPr>
            </w:pPr>
            <w:r w:rsidRPr="00E07C9A">
              <w:rPr>
                <w:rFonts w:ascii="Times New Roman" w:hAnsi="Times New Roman"/>
                <w:sz w:val="24"/>
              </w:rPr>
              <w:t>Expozície sa zaraďujú do príslušnej skupiny pevného rozsahu PD na základe PD odhadovanej na začiatku obdobia vykazovania pre každého dlžníka zaradeného do tejto triedy expozícií (bez zohľadnenia substitučných účinkov</w:t>
            </w:r>
            <w:r w:rsidR="009912F8" w:rsidRPr="00E07C9A">
              <w:rPr>
                <w:rFonts w:ascii="Times New Roman" w:hAnsi="Times New Roman"/>
                <w:sz w:val="24"/>
              </w:rPr>
              <w:t xml:space="preserve"> z </w:t>
            </w:r>
            <w:r w:rsidRPr="00E07C9A">
              <w:rPr>
                <w:rFonts w:ascii="Times New Roman" w:hAnsi="Times New Roman"/>
                <w:sz w:val="24"/>
              </w:rPr>
              <w:t>dôvodu zmierňovania kreditného rizika). Inštitúcie priraďujú expozíciu za expozíciou</w:t>
            </w:r>
            <w:r w:rsidR="009912F8" w:rsidRPr="00E07C9A">
              <w:rPr>
                <w:rFonts w:ascii="Times New Roman" w:hAnsi="Times New Roman"/>
                <w:sz w:val="24"/>
              </w:rPr>
              <w:t xml:space="preserve"> k </w:t>
            </w:r>
            <w:r w:rsidRPr="00E07C9A">
              <w:rPr>
                <w:rFonts w:ascii="Times New Roman" w:hAnsi="Times New Roman"/>
                <w:sz w:val="24"/>
              </w:rPr>
              <w:t>rozsahu PD uvedenému vo vzore, pričom zároveň zohľadňujú spojité stupnice. Všetky zlyhané expozície sa zahŕňajú do skupiny predstavujúcej PD na úrovni 100</w:t>
            </w:r>
            <w:r w:rsidR="009912F8" w:rsidRPr="00E07C9A">
              <w:rPr>
                <w:rFonts w:ascii="Times New Roman" w:hAnsi="Times New Roman"/>
                <w:sz w:val="24"/>
              </w:rPr>
              <w:t> %</w:t>
            </w:r>
            <w:r w:rsidRPr="00E07C9A">
              <w:rPr>
                <w:rFonts w:ascii="Times New Roman" w:hAnsi="Times New Roman"/>
                <w:sz w:val="24"/>
              </w:rPr>
              <w:t>.</w:t>
            </w:r>
          </w:p>
        </w:tc>
      </w:tr>
    </w:tbl>
    <w:p w14:paraId="6CCC7E67" w14:textId="736E5005" w:rsidR="008151A6" w:rsidRPr="00E07C9A" w:rsidRDefault="008151A6" w:rsidP="005C4397">
      <w:pPr>
        <w:pStyle w:val="Instructionsberschrift2"/>
        <w:numPr>
          <w:ilvl w:val="2"/>
          <w:numId w:val="27"/>
        </w:numPr>
        <w:rPr>
          <w:rFonts w:ascii="Times New Roman" w:hAnsi="Times New Roman" w:cs="Times New Roman"/>
          <w:sz w:val="24"/>
        </w:rPr>
      </w:pPr>
      <w:bookmarkStart w:id="341" w:name="_Toc19715764"/>
      <w:bookmarkStart w:id="342" w:name="_Toc115857801"/>
      <w:r w:rsidRPr="00E07C9A">
        <w:rPr>
          <w:rFonts w:ascii="Times New Roman" w:hAnsi="Times New Roman" w:cs="Times New Roman"/>
          <w:sz w:val="24"/>
        </w:rPr>
        <w:t>C 08.05.1 – Kreditné riziko</w:t>
      </w:r>
      <w:r w:rsidR="009912F8" w:rsidRPr="00E07C9A">
        <w:rPr>
          <w:rFonts w:ascii="Times New Roman" w:hAnsi="Times New Roman" w:cs="Times New Roman"/>
          <w:sz w:val="24"/>
        </w:rPr>
        <w:t xml:space="preserve"> a </w:t>
      </w:r>
      <w:r w:rsidRPr="00E07C9A">
        <w:rPr>
          <w:rFonts w:ascii="Times New Roman" w:hAnsi="Times New Roman" w:cs="Times New Roman"/>
          <w:sz w:val="24"/>
        </w:rPr>
        <w:t xml:space="preserve">bezodplatné dodanie: Prístup IRB ku kapitálovým požiadavkám: spätné testovanie PD podľa článku 180 ods. 1 písm. f) nariadenia (EÚ) </w:t>
      </w:r>
      <w:r w:rsidR="009912F8" w:rsidRPr="00E07C9A">
        <w:rPr>
          <w:rFonts w:ascii="Times New Roman" w:hAnsi="Times New Roman" w:cs="Times New Roman"/>
          <w:sz w:val="24"/>
        </w:rPr>
        <w:t>č. 575/2013</w:t>
      </w:r>
      <w:r w:rsidRPr="00E07C9A">
        <w:rPr>
          <w:rFonts w:ascii="Times New Roman" w:hAnsi="Times New Roman" w:cs="Times New Roman"/>
          <w:sz w:val="24"/>
        </w:rPr>
        <w:t xml:space="preserve"> (CR IRB 5B)</w:t>
      </w:r>
      <w:bookmarkEnd w:id="341"/>
      <w:bookmarkEnd w:id="342"/>
    </w:p>
    <w:p w14:paraId="7C1A279B" w14:textId="77777777" w:rsidR="008151A6" w:rsidRPr="00E07C9A" w:rsidRDefault="008151A6" w:rsidP="005C4397">
      <w:pPr>
        <w:pStyle w:val="Instructionsberschrift2"/>
        <w:numPr>
          <w:ilvl w:val="3"/>
          <w:numId w:val="27"/>
        </w:numPr>
        <w:ind w:left="709"/>
        <w:rPr>
          <w:rFonts w:ascii="Times New Roman" w:hAnsi="Times New Roman" w:cs="Times New Roman"/>
          <w:sz w:val="24"/>
        </w:rPr>
      </w:pPr>
      <w:bookmarkStart w:id="343" w:name="_Toc19715765"/>
      <w:bookmarkStart w:id="344" w:name="_Toc115857802"/>
      <w:r w:rsidRPr="00E07C9A">
        <w:rPr>
          <w:rFonts w:ascii="Times New Roman" w:hAnsi="Times New Roman" w:cs="Times New Roman"/>
          <w:sz w:val="24"/>
        </w:rPr>
        <w:t>Pokyny týkajúce sa konkrétnych pozícií</w:t>
      </w:r>
      <w:bookmarkEnd w:id="343"/>
      <w:bookmarkEnd w:id="344"/>
    </w:p>
    <w:p w14:paraId="126E5E9F" w14:textId="087EEACE" w:rsidR="008151A6" w:rsidRPr="00E07C9A" w:rsidRDefault="002A18DE" w:rsidP="00487A02">
      <w:pPr>
        <w:pStyle w:val="InstructionsText2"/>
        <w:numPr>
          <w:ilvl w:val="0"/>
          <w:numId w:val="0"/>
        </w:numPr>
        <w:ind w:left="1353" w:hanging="360"/>
      </w:pPr>
      <w:fldSimple w:instr=" seq paragraphs ">
        <w:r w:rsidR="00132AEE">
          <w:rPr>
            <w:noProof/>
          </w:rPr>
          <w:t>81</w:t>
        </w:r>
      </w:fldSimple>
      <w:r w:rsidR="00C3070C" w:rsidRPr="00E07C9A">
        <w:t xml:space="preserve">. Ak inštitúcie pri odhade PD uplatňujú článok 180 ods. 1 písm. f) nariadenia (EÚ) </w:t>
      </w:r>
      <w:r w:rsidR="009912F8" w:rsidRPr="00E07C9A">
        <w:t>č. 575/2013</w:t>
      </w:r>
      <w:r w:rsidR="00C3070C" w:rsidRPr="00E07C9A">
        <w:t>, vykazujú okrem vzoru C 08.05 informácie zahrnuté vo vzore C 08.05.1,</w:t>
      </w:r>
      <w:r w:rsidR="009912F8" w:rsidRPr="00E07C9A">
        <w:t xml:space="preserve"> a </w:t>
      </w:r>
      <w:r w:rsidR="00C3070C" w:rsidRPr="00E07C9A">
        <w:t>to len pre odhady PD</w:t>
      </w:r>
      <w:r w:rsidR="009912F8" w:rsidRPr="00E07C9A">
        <w:t xml:space="preserve"> v </w:t>
      </w:r>
      <w:r w:rsidR="00C3070C" w:rsidRPr="00E07C9A">
        <w:t>súlade</w:t>
      </w:r>
      <w:r w:rsidR="009912F8" w:rsidRPr="00E07C9A">
        <w:t xml:space="preserve"> s </w:t>
      </w:r>
      <w:r w:rsidR="00C3070C" w:rsidRPr="00E07C9A">
        <w:t>tým istým článkom. Pokyny sú rovnaké ako pri vzore C 08.05</w:t>
      </w:r>
      <w:r w:rsidR="009912F8" w:rsidRPr="00E07C9A">
        <w:t xml:space="preserve"> s </w:t>
      </w:r>
      <w:r w:rsidR="00C3070C" w:rsidRPr="00E07C9A">
        <w:t>týmito výnimkami:</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E07C9A" w14:paraId="7F762664" w14:textId="77777777" w:rsidTr="00664874">
        <w:tc>
          <w:tcPr>
            <w:tcW w:w="1188" w:type="dxa"/>
            <w:shd w:val="clear" w:color="auto" w:fill="CCCCCC"/>
          </w:tcPr>
          <w:p w14:paraId="2F30B03C" w14:textId="77777777" w:rsidR="008151A6" w:rsidRPr="00E07C9A" w:rsidRDefault="008151A6" w:rsidP="00664874">
            <w:pPr>
              <w:rPr>
                <w:rFonts w:ascii="Times New Roman" w:hAnsi="Times New Roman"/>
                <w:sz w:val="24"/>
              </w:rPr>
            </w:pPr>
            <w:r w:rsidRPr="00E07C9A">
              <w:rPr>
                <w:rFonts w:ascii="Times New Roman" w:hAnsi="Times New Roman"/>
                <w:sz w:val="24"/>
              </w:rPr>
              <w:t>Stĺpce</w:t>
            </w:r>
          </w:p>
        </w:tc>
        <w:tc>
          <w:tcPr>
            <w:tcW w:w="8843" w:type="dxa"/>
            <w:shd w:val="clear" w:color="auto" w:fill="CCCCCC"/>
          </w:tcPr>
          <w:p w14:paraId="79E5C9A8" w14:textId="77777777" w:rsidR="008151A6" w:rsidRPr="00E07C9A" w:rsidRDefault="008151A6" w:rsidP="00664874">
            <w:pPr>
              <w:rPr>
                <w:rFonts w:ascii="Times New Roman" w:hAnsi="Times New Roman"/>
                <w:sz w:val="24"/>
              </w:rPr>
            </w:pPr>
            <w:r w:rsidRPr="00E07C9A">
              <w:rPr>
                <w:rFonts w:ascii="Times New Roman" w:hAnsi="Times New Roman"/>
                <w:sz w:val="24"/>
              </w:rPr>
              <w:t>Pokyny</w:t>
            </w:r>
          </w:p>
        </w:tc>
      </w:tr>
      <w:tr w:rsidR="008151A6" w:rsidRPr="00E07C9A" w14:paraId="1DDA2359" w14:textId="77777777" w:rsidTr="00664874">
        <w:tc>
          <w:tcPr>
            <w:tcW w:w="1188" w:type="dxa"/>
            <w:shd w:val="clear" w:color="auto" w:fill="auto"/>
          </w:tcPr>
          <w:p w14:paraId="72ABCDF9" w14:textId="77777777" w:rsidR="008151A6" w:rsidRPr="00E07C9A" w:rsidRDefault="008151A6" w:rsidP="008D1D6C">
            <w:pPr>
              <w:rPr>
                <w:rFonts w:ascii="Times New Roman" w:hAnsi="Times New Roman"/>
                <w:sz w:val="24"/>
              </w:rPr>
            </w:pPr>
            <w:r w:rsidRPr="00E07C9A">
              <w:rPr>
                <w:rFonts w:ascii="Times New Roman" w:hAnsi="Times New Roman"/>
                <w:sz w:val="24"/>
              </w:rPr>
              <w:t>0005</w:t>
            </w:r>
          </w:p>
        </w:tc>
        <w:tc>
          <w:tcPr>
            <w:tcW w:w="8843" w:type="dxa"/>
            <w:shd w:val="clear" w:color="auto" w:fill="auto"/>
          </w:tcPr>
          <w:p w14:paraId="4409CF34" w14:textId="77777777" w:rsidR="008151A6" w:rsidRPr="00E07C9A" w:rsidRDefault="008151A6" w:rsidP="00664874">
            <w:pPr>
              <w:rPr>
                <w:rFonts w:ascii="Times New Roman" w:hAnsi="Times New Roman"/>
                <w:b/>
                <w:sz w:val="24"/>
                <w:u w:val="single"/>
              </w:rPr>
            </w:pPr>
            <w:r w:rsidRPr="00E07C9A">
              <w:rPr>
                <w:rFonts w:ascii="Times New Roman" w:hAnsi="Times New Roman"/>
                <w:b/>
                <w:sz w:val="24"/>
                <w:u w:val="single"/>
              </w:rPr>
              <w:t>ROZSAH PD</w:t>
            </w:r>
          </w:p>
          <w:p w14:paraId="475EE092" w14:textId="37ECDC0F" w:rsidR="008151A6" w:rsidRPr="00E07C9A" w:rsidRDefault="008151A6" w:rsidP="00664874">
            <w:pPr>
              <w:rPr>
                <w:rFonts w:ascii="Times New Roman" w:hAnsi="Times New Roman"/>
                <w:sz w:val="24"/>
              </w:rPr>
            </w:pPr>
            <w:r w:rsidRPr="00E07C9A">
              <w:rPr>
                <w:rFonts w:ascii="Times New Roman" w:hAnsi="Times New Roman"/>
                <w:sz w:val="24"/>
              </w:rPr>
              <w:t>Inštitúcie vykazujú rozsahy PD</w:t>
            </w:r>
            <w:r w:rsidR="009912F8" w:rsidRPr="00E07C9A">
              <w:rPr>
                <w:rFonts w:ascii="Times New Roman" w:hAnsi="Times New Roman"/>
                <w:sz w:val="24"/>
              </w:rPr>
              <w:t xml:space="preserve"> v </w:t>
            </w:r>
            <w:r w:rsidRPr="00E07C9A">
              <w:rPr>
                <w:rStyle w:val="InstructionsTabelleText"/>
                <w:rFonts w:ascii="Times New Roman" w:hAnsi="Times New Roman"/>
                <w:sz w:val="24"/>
              </w:rPr>
              <w:t>súlade</w:t>
            </w:r>
            <w:r w:rsidRPr="00E07C9A">
              <w:rPr>
                <w:rFonts w:ascii="Times New Roman" w:hAnsi="Times New Roman"/>
                <w:sz w:val="24"/>
              </w:rPr>
              <w:t xml:space="preserve"> so svojimi internými stupňami, ktoré priraďujú</w:t>
            </w:r>
            <w:r w:rsidR="009912F8" w:rsidRPr="00E07C9A">
              <w:rPr>
                <w:rFonts w:ascii="Times New Roman" w:hAnsi="Times New Roman"/>
                <w:sz w:val="24"/>
              </w:rPr>
              <w:t xml:space="preserve"> k </w:t>
            </w:r>
            <w:r w:rsidRPr="00E07C9A">
              <w:rPr>
                <w:rFonts w:ascii="Times New Roman" w:hAnsi="Times New Roman"/>
                <w:sz w:val="24"/>
              </w:rPr>
              <w:t>stupnici používanej externou ECAI, namiesto pevného externého rozsahu PD.</w:t>
            </w:r>
          </w:p>
        </w:tc>
      </w:tr>
      <w:tr w:rsidR="008151A6" w:rsidRPr="00E07C9A" w14:paraId="11D3D82A" w14:textId="77777777" w:rsidTr="00664874">
        <w:tc>
          <w:tcPr>
            <w:tcW w:w="1188" w:type="dxa"/>
            <w:shd w:val="clear" w:color="auto" w:fill="auto"/>
          </w:tcPr>
          <w:p w14:paraId="548ACCCC" w14:textId="77777777" w:rsidR="008151A6" w:rsidRPr="00E07C9A" w:rsidRDefault="008151A6" w:rsidP="008D1D6C">
            <w:pPr>
              <w:rPr>
                <w:rFonts w:ascii="Times New Roman" w:hAnsi="Times New Roman"/>
                <w:sz w:val="24"/>
              </w:rPr>
            </w:pPr>
            <w:r w:rsidRPr="00E07C9A">
              <w:rPr>
                <w:rFonts w:ascii="Times New Roman" w:hAnsi="Times New Roman"/>
                <w:sz w:val="24"/>
              </w:rPr>
              <w:t>0006</w:t>
            </w:r>
          </w:p>
        </w:tc>
        <w:tc>
          <w:tcPr>
            <w:tcW w:w="8843" w:type="dxa"/>
            <w:shd w:val="clear" w:color="auto" w:fill="auto"/>
          </w:tcPr>
          <w:p w14:paraId="6BDF822D" w14:textId="77777777" w:rsidR="008151A6" w:rsidRPr="00E07C9A" w:rsidRDefault="008151A6" w:rsidP="00664874">
            <w:pPr>
              <w:rPr>
                <w:rFonts w:ascii="Times New Roman" w:hAnsi="Times New Roman"/>
                <w:b/>
                <w:sz w:val="24"/>
                <w:u w:val="single"/>
              </w:rPr>
            </w:pPr>
            <w:r w:rsidRPr="00E07C9A">
              <w:rPr>
                <w:rFonts w:ascii="Times New Roman" w:hAnsi="Times New Roman"/>
                <w:b/>
                <w:sz w:val="24"/>
                <w:u w:val="single"/>
              </w:rPr>
              <w:t>EKVIVALENT EXTERNÉHO RATINGU</w:t>
            </w:r>
          </w:p>
          <w:p w14:paraId="7891F0E7" w14:textId="61F9A43C" w:rsidR="008151A6" w:rsidRPr="00E07C9A" w:rsidRDefault="00B7583B" w:rsidP="00E1685B">
            <w:pPr>
              <w:rPr>
                <w:rFonts w:ascii="Times New Roman" w:hAnsi="Times New Roman"/>
                <w:sz w:val="24"/>
              </w:rPr>
            </w:pPr>
            <w:r w:rsidRPr="00E07C9A">
              <w:rPr>
                <w:rFonts w:ascii="Times New Roman" w:hAnsi="Times New Roman"/>
                <w:sz w:val="24"/>
              </w:rPr>
              <w:t xml:space="preserve">Inštitúcie vykazujú jeden stĺpec za každú zohľadnenú ECAI podľa článku 180 ods. 1 písm. f) nariadenia (EÚ) </w:t>
            </w:r>
            <w:r w:rsidR="009912F8" w:rsidRPr="00E07C9A">
              <w:rPr>
                <w:rFonts w:ascii="Times New Roman" w:hAnsi="Times New Roman"/>
                <w:sz w:val="24"/>
              </w:rPr>
              <w:t>č. 575/2013</w:t>
            </w:r>
            <w:r w:rsidRPr="00E07C9A">
              <w:rPr>
                <w:rFonts w:ascii="Times New Roman" w:hAnsi="Times New Roman"/>
                <w:sz w:val="24"/>
              </w:rPr>
              <w:t>. Inštitúcie zahŕňajú do týchto stĺpcov externý rating, ku ktorému sa priraďujú ich interné rozsahy PD.</w:t>
            </w:r>
          </w:p>
        </w:tc>
      </w:tr>
    </w:tbl>
    <w:p w14:paraId="07187BAF" w14:textId="5721309D" w:rsidR="008151A6" w:rsidRPr="00E07C9A" w:rsidRDefault="008151A6" w:rsidP="005C4397">
      <w:pPr>
        <w:pStyle w:val="Instructionsberschrift2"/>
        <w:numPr>
          <w:ilvl w:val="2"/>
          <w:numId w:val="27"/>
        </w:numPr>
        <w:rPr>
          <w:rFonts w:ascii="Times New Roman" w:hAnsi="Times New Roman" w:cs="Times New Roman"/>
          <w:sz w:val="24"/>
        </w:rPr>
      </w:pPr>
      <w:bookmarkStart w:id="345" w:name="_Toc19715766"/>
      <w:bookmarkStart w:id="346" w:name="_Toc115857803"/>
      <w:r w:rsidRPr="00E07C9A">
        <w:rPr>
          <w:rFonts w:ascii="Times New Roman" w:hAnsi="Times New Roman" w:cs="Times New Roman"/>
          <w:sz w:val="24"/>
        </w:rPr>
        <w:t>C 08.06 – Kreditné riziko</w:t>
      </w:r>
      <w:r w:rsidR="009912F8" w:rsidRPr="00E07C9A">
        <w:rPr>
          <w:rFonts w:ascii="Times New Roman" w:hAnsi="Times New Roman" w:cs="Times New Roman"/>
          <w:sz w:val="24"/>
        </w:rPr>
        <w:t xml:space="preserve"> a </w:t>
      </w:r>
      <w:r w:rsidRPr="00E07C9A">
        <w:rPr>
          <w:rFonts w:ascii="Times New Roman" w:hAnsi="Times New Roman" w:cs="Times New Roman"/>
          <w:sz w:val="24"/>
        </w:rPr>
        <w:t>bezodplatné dodanie: prístup IRB ku kapitálovým požiadavkám [prístup spočívajúci</w:t>
      </w:r>
      <w:r w:rsidR="009912F8" w:rsidRPr="00E07C9A">
        <w:rPr>
          <w:rFonts w:ascii="Times New Roman" w:hAnsi="Times New Roman" w:cs="Times New Roman"/>
          <w:sz w:val="24"/>
        </w:rPr>
        <w:t xml:space="preserve"> v </w:t>
      </w:r>
      <w:r w:rsidRPr="00E07C9A">
        <w:rPr>
          <w:rFonts w:ascii="Times New Roman" w:hAnsi="Times New Roman" w:cs="Times New Roman"/>
          <w:sz w:val="24"/>
        </w:rPr>
        <w:t>zaradení špecializovaného financovania (CR IRB 6)]</w:t>
      </w:r>
      <w:bookmarkEnd w:id="345"/>
      <w:bookmarkEnd w:id="346"/>
    </w:p>
    <w:p w14:paraId="514D936F" w14:textId="77777777" w:rsidR="008151A6" w:rsidRPr="00E07C9A" w:rsidRDefault="008151A6" w:rsidP="005C4397">
      <w:pPr>
        <w:pStyle w:val="Instructionsberschrift2"/>
        <w:numPr>
          <w:ilvl w:val="3"/>
          <w:numId w:val="27"/>
        </w:numPr>
        <w:ind w:left="709"/>
        <w:rPr>
          <w:rFonts w:ascii="Times New Roman" w:hAnsi="Times New Roman" w:cs="Times New Roman"/>
          <w:sz w:val="24"/>
        </w:rPr>
      </w:pPr>
      <w:bookmarkStart w:id="347" w:name="_Toc19715767"/>
      <w:bookmarkStart w:id="348" w:name="_Toc115857804"/>
      <w:r w:rsidRPr="00E07C9A">
        <w:rPr>
          <w:rFonts w:ascii="Times New Roman" w:hAnsi="Times New Roman" w:cs="Times New Roman"/>
          <w:sz w:val="24"/>
        </w:rPr>
        <w:t>Všeobecné poznámky</w:t>
      </w:r>
      <w:bookmarkEnd w:id="347"/>
      <w:bookmarkEnd w:id="348"/>
    </w:p>
    <w:p w14:paraId="281DDF45" w14:textId="6514DD56" w:rsidR="008151A6" w:rsidRPr="00E07C9A" w:rsidRDefault="002A18DE" w:rsidP="00487A02">
      <w:pPr>
        <w:pStyle w:val="InstructionsText2"/>
        <w:numPr>
          <w:ilvl w:val="0"/>
          <w:numId w:val="0"/>
        </w:numPr>
        <w:ind w:left="1353" w:hanging="360"/>
      </w:pPr>
      <w:fldSimple w:instr=" seq paragraphs ">
        <w:r w:rsidR="00132AEE">
          <w:rPr>
            <w:noProof/>
          </w:rPr>
          <w:t>82</w:t>
        </w:r>
      </w:fldSimple>
      <w:r w:rsidR="00C3070C" w:rsidRPr="00E07C9A">
        <w:t>. Inštitúcie vykazujú informácie zahrnuté</w:t>
      </w:r>
      <w:r w:rsidR="009912F8" w:rsidRPr="00E07C9A">
        <w:t xml:space="preserve"> v </w:t>
      </w:r>
      <w:r w:rsidR="00C3070C" w:rsidRPr="00E07C9A">
        <w:t xml:space="preserve">tomto vzore pri uplatňovaní článku 438 písm. e) nariadenia (EÚ) </w:t>
      </w:r>
      <w:r w:rsidR="009912F8" w:rsidRPr="00E07C9A">
        <w:t>č. 575/2013</w:t>
      </w:r>
      <w:r w:rsidR="00C3070C" w:rsidRPr="00E07C9A">
        <w:t>. Inštitúcie vykazujú informácie</w:t>
      </w:r>
      <w:r w:rsidR="009912F8" w:rsidRPr="00E07C9A">
        <w:t xml:space="preserve"> o </w:t>
      </w:r>
      <w:r w:rsidR="00C3070C" w:rsidRPr="00E07C9A">
        <w:t>týchto druhoch expozícií vo forme špecializovaného financovania uvedených</w:t>
      </w:r>
      <w:r w:rsidR="009912F8" w:rsidRPr="00E07C9A">
        <w:t xml:space="preserve"> v </w:t>
      </w:r>
      <w:r w:rsidR="00C3070C" w:rsidRPr="00E07C9A">
        <w:t>tabuľke 1</w:t>
      </w:r>
      <w:r w:rsidR="009912F8" w:rsidRPr="00E07C9A">
        <w:t xml:space="preserve"> v </w:t>
      </w:r>
      <w:r w:rsidR="00C3070C" w:rsidRPr="00E07C9A">
        <w:t>článku 153 ods. 5:</w:t>
      </w:r>
    </w:p>
    <w:p w14:paraId="1D0B1AA8" w14:textId="77777777" w:rsidR="008151A6" w:rsidRPr="00E07C9A" w:rsidRDefault="008151A6" w:rsidP="005C4397">
      <w:pPr>
        <w:pStyle w:val="InstructionsText2"/>
        <w:numPr>
          <w:ilvl w:val="1"/>
          <w:numId w:val="50"/>
        </w:numPr>
      </w:pPr>
      <w:r w:rsidRPr="00E07C9A">
        <w:t>projektové financovanie;</w:t>
      </w:r>
    </w:p>
    <w:p w14:paraId="4E0A6889" w14:textId="6F8D111D" w:rsidR="008151A6" w:rsidRPr="00E07C9A" w:rsidRDefault="008151A6" w:rsidP="005C4397">
      <w:pPr>
        <w:pStyle w:val="InstructionsText2"/>
        <w:numPr>
          <w:ilvl w:val="1"/>
          <w:numId w:val="50"/>
        </w:numPr>
      </w:pPr>
      <w:r w:rsidRPr="00E07C9A">
        <w:t>nehnuteľný majetok vytvárajúci príjem</w:t>
      </w:r>
      <w:r w:rsidR="009912F8" w:rsidRPr="00E07C9A">
        <w:t xml:space="preserve"> a </w:t>
      </w:r>
      <w:r w:rsidRPr="00E07C9A">
        <w:t>nehnuteľný majetok</w:t>
      </w:r>
      <w:r w:rsidR="009912F8" w:rsidRPr="00E07C9A">
        <w:t xml:space="preserve"> s </w:t>
      </w:r>
      <w:r w:rsidRPr="00E07C9A">
        <w:t>vysokou volatilitou určený na podnikanie;</w:t>
      </w:r>
    </w:p>
    <w:p w14:paraId="005930E1" w14:textId="77777777" w:rsidR="008151A6" w:rsidRPr="00E07C9A" w:rsidRDefault="008151A6" w:rsidP="005C4397">
      <w:pPr>
        <w:pStyle w:val="InstructionsText2"/>
        <w:numPr>
          <w:ilvl w:val="1"/>
          <w:numId w:val="50"/>
        </w:numPr>
      </w:pPr>
      <w:r w:rsidRPr="00E07C9A">
        <w:t>financovanie predmetov;</w:t>
      </w:r>
    </w:p>
    <w:p w14:paraId="78B4EACC" w14:textId="77777777" w:rsidR="008151A6" w:rsidRPr="00E07C9A" w:rsidRDefault="008151A6" w:rsidP="005C4397">
      <w:pPr>
        <w:pStyle w:val="InstructionsText2"/>
        <w:numPr>
          <w:ilvl w:val="1"/>
          <w:numId w:val="50"/>
        </w:numPr>
      </w:pPr>
      <w:r w:rsidRPr="00E07C9A">
        <w:t>financovanie komodít.</w:t>
      </w:r>
    </w:p>
    <w:p w14:paraId="4FA083C1" w14:textId="3D34F7EB" w:rsidR="008151A6" w:rsidRPr="00E07C9A" w:rsidRDefault="008151A6" w:rsidP="005C4397">
      <w:pPr>
        <w:pStyle w:val="Instructionsberschrift2"/>
        <w:numPr>
          <w:ilvl w:val="3"/>
          <w:numId w:val="27"/>
        </w:numPr>
        <w:ind w:left="709"/>
        <w:rPr>
          <w:rFonts w:ascii="Times New Roman" w:hAnsi="Times New Roman" w:cs="Times New Roman"/>
          <w:sz w:val="24"/>
        </w:rPr>
      </w:pPr>
      <w:bookmarkStart w:id="349" w:name="_Toc19715768"/>
      <w:bookmarkStart w:id="350" w:name="_Toc115857805"/>
      <w:r w:rsidRPr="00E07C9A">
        <w:rPr>
          <w:rFonts w:ascii="Times New Roman" w:hAnsi="Times New Roman" w:cs="Times New Roman"/>
          <w:sz w:val="24"/>
        </w:rPr>
        <w:t>Pokyny týkajúce sa konkrétnych pozícií</w:t>
      </w:r>
      <w:bookmarkEnd w:id="349"/>
      <w:bookmarkEnd w:id="35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E07C9A" w14:paraId="320CCF5C" w14:textId="77777777" w:rsidTr="00664874">
        <w:tc>
          <w:tcPr>
            <w:tcW w:w="1188" w:type="dxa"/>
            <w:shd w:val="clear" w:color="auto" w:fill="CCCCCC"/>
          </w:tcPr>
          <w:p w14:paraId="5BEB5DB3" w14:textId="77777777" w:rsidR="008151A6" w:rsidRPr="00E07C9A" w:rsidRDefault="008151A6" w:rsidP="00664874">
            <w:pPr>
              <w:rPr>
                <w:rFonts w:ascii="Times New Roman" w:hAnsi="Times New Roman"/>
                <w:sz w:val="24"/>
              </w:rPr>
            </w:pPr>
            <w:r w:rsidRPr="00E07C9A">
              <w:rPr>
                <w:rFonts w:ascii="Times New Roman" w:hAnsi="Times New Roman"/>
                <w:sz w:val="24"/>
              </w:rPr>
              <w:t>Stĺpce</w:t>
            </w:r>
          </w:p>
        </w:tc>
        <w:tc>
          <w:tcPr>
            <w:tcW w:w="8843" w:type="dxa"/>
            <w:shd w:val="clear" w:color="auto" w:fill="CCCCCC"/>
          </w:tcPr>
          <w:p w14:paraId="6F768D04" w14:textId="77777777" w:rsidR="008151A6" w:rsidRPr="00E07C9A" w:rsidRDefault="008151A6" w:rsidP="00664874">
            <w:pPr>
              <w:rPr>
                <w:rFonts w:ascii="Times New Roman" w:hAnsi="Times New Roman"/>
                <w:sz w:val="24"/>
              </w:rPr>
            </w:pPr>
            <w:r w:rsidRPr="00E07C9A">
              <w:rPr>
                <w:rFonts w:ascii="Times New Roman" w:hAnsi="Times New Roman"/>
                <w:sz w:val="24"/>
              </w:rPr>
              <w:t>Pokyny</w:t>
            </w:r>
          </w:p>
        </w:tc>
      </w:tr>
      <w:tr w:rsidR="008151A6" w:rsidRPr="00E07C9A" w14:paraId="6E352DD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307BCE78" w14:textId="77777777" w:rsidR="008151A6" w:rsidRPr="00E07C9A" w:rsidRDefault="008151A6" w:rsidP="00664874">
            <w:pPr>
              <w:rPr>
                <w:rStyle w:val="InstructionsTabelleText"/>
                <w:rFonts w:ascii="Times New Roman" w:hAnsi="Times New Roman"/>
                <w:sz w:val="24"/>
              </w:rPr>
            </w:pPr>
            <w:r w:rsidRPr="00E07C9A">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8ACA777" w14:textId="77777777" w:rsidR="008151A6" w:rsidRPr="00E07C9A" w:rsidRDefault="008151A6" w:rsidP="00664874">
            <w:pPr>
              <w:rPr>
                <w:rFonts w:ascii="Times New Roman" w:hAnsi="Times New Roman"/>
                <w:b/>
                <w:sz w:val="24"/>
                <w:u w:val="single"/>
              </w:rPr>
            </w:pPr>
            <w:r w:rsidRPr="00E07C9A">
              <w:rPr>
                <w:rFonts w:ascii="Times New Roman" w:hAnsi="Times New Roman"/>
                <w:b/>
                <w:sz w:val="24"/>
                <w:u w:val="single"/>
              </w:rPr>
              <w:t>PÔVODNÁ EXPOZÍCIA PRED UPLATNENÍM KONVERZNÝCH FAKTOROV</w:t>
            </w:r>
          </w:p>
          <w:p w14:paraId="32A139DA" w14:textId="38FEDC03" w:rsidR="008151A6" w:rsidRPr="00E07C9A" w:rsidRDefault="008151A6" w:rsidP="00664874">
            <w:pPr>
              <w:rPr>
                <w:rFonts w:ascii="Times New Roman" w:hAnsi="Times New Roman"/>
                <w:sz w:val="24"/>
              </w:rPr>
            </w:pPr>
            <w:r w:rsidRPr="00E07C9A">
              <w:rPr>
                <w:rFonts w:ascii="Times New Roman" w:hAnsi="Times New Roman"/>
                <w:sz w:val="24"/>
              </w:rPr>
              <w:t>Pozri pokyny</w:t>
            </w:r>
            <w:r w:rsidR="009912F8" w:rsidRPr="00E07C9A">
              <w:rPr>
                <w:rFonts w:ascii="Times New Roman" w:hAnsi="Times New Roman"/>
                <w:sz w:val="24"/>
              </w:rPr>
              <w:t xml:space="preserve"> k </w:t>
            </w:r>
            <w:r w:rsidRPr="00E07C9A">
              <w:rPr>
                <w:rFonts w:ascii="Times New Roman" w:hAnsi="Times New Roman"/>
                <w:sz w:val="24"/>
              </w:rPr>
              <w:t>vzoru CR-IRB.</w:t>
            </w:r>
          </w:p>
        </w:tc>
      </w:tr>
      <w:tr w:rsidR="008151A6" w:rsidRPr="00E07C9A" w14:paraId="579F97F0"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92BB206" w14:textId="77777777" w:rsidR="008151A6" w:rsidRPr="00E07C9A" w:rsidRDefault="008151A6" w:rsidP="00664874">
            <w:pPr>
              <w:rPr>
                <w:rFonts w:ascii="Times New Roman" w:hAnsi="Times New Roman"/>
                <w:sz w:val="24"/>
              </w:rPr>
            </w:pPr>
            <w:r w:rsidRPr="00E07C9A">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C5956D6" w14:textId="77777777" w:rsidR="008151A6" w:rsidRPr="00E07C9A" w:rsidRDefault="008151A6" w:rsidP="00664874">
            <w:pPr>
              <w:rPr>
                <w:rFonts w:ascii="Times New Roman" w:hAnsi="Times New Roman"/>
                <w:b/>
                <w:sz w:val="24"/>
                <w:u w:val="single"/>
              </w:rPr>
            </w:pPr>
            <w:r w:rsidRPr="00E07C9A">
              <w:rPr>
                <w:rFonts w:ascii="Times New Roman" w:hAnsi="Times New Roman"/>
                <w:b/>
                <w:sz w:val="24"/>
                <w:u w:val="single"/>
              </w:rPr>
              <w:t>EXPOZÍCIA PO SUBSTITUČNÝCH ÚČINKOCH CRM PRED UPLATNENÍM KONVERZNÝCH FAKTOROV</w:t>
            </w:r>
          </w:p>
          <w:p w14:paraId="3A653499" w14:textId="71B797F4" w:rsidR="008151A6" w:rsidRPr="00E07C9A" w:rsidRDefault="008151A6" w:rsidP="00664874">
            <w:pPr>
              <w:rPr>
                <w:rFonts w:ascii="Times New Roman" w:hAnsi="Times New Roman"/>
                <w:sz w:val="24"/>
              </w:rPr>
            </w:pPr>
            <w:r w:rsidRPr="00E07C9A">
              <w:rPr>
                <w:rFonts w:ascii="Times New Roman" w:hAnsi="Times New Roman"/>
                <w:sz w:val="24"/>
              </w:rPr>
              <w:t>Pozri pokyny</w:t>
            </w:r>
            <w:r w:rsidR="009912F8" w:rsidRPr="00E07C9A">
              <w:rPr>
                <w:rFonts w:ascii="Times New Roman" w:hAnsi="Times New Roman"/>
                <w:sz w:val="24"/>
              </w:rPr>
              <w:t xml:space="preserve"> k </w:t>
            </w:r>
            <w:r w:rsidRPr="00E07C9A">
              <w:rPr>
                <w:rFonts w:ascii="Times New Roman" w:hAnsi="Times New Roman"/>
                <w:sz w:val="24"/>
              </w:rPr>
              <w:t>vzoru CR-IRB.</w:t>
            </w:r>
          </w:p>
        </w:tc>
      </w:tr>
      <w:tr w:rsidR="008151A6" w:rsidRPr="00E07C9A" w14:paraId="6FCCF9EE"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094C188" w14:textId="77777777" w:rsidR="008151A6" w:rsidRPr="00E07C9A" w:rsidRDefault="008151A6" w:rsidP="00664874">
            <w:pPr>
              <w:rPr>
                <w:rFonts w:ascii="Times New Roman" w:hAnsi="Times New Roman"/>
                <w:sz w:val="24"/>
              </w:rPr>
            </w:pPr>
            <w:r w:rsidRPr="00E07C9A">
              <w:rPr>
                <w:rFonts w:ascii="Times New Roman" w:hAnsi="Times New Roman"/>
                <w:sz w:val="24"/>
              </w:rPr>
              <w:t>0030, 0050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ECD048C" w14:textId="77777777" w:rsidR="009912F8" w:rsidRPr="00E07C9A" w:rsidRDefault="008151A6" w:rsidP="00664874">
            <w:pPr>
              <w:rPr>
                <w:rStyle w:val="InstructionsTabelleberschrift"/>
                <w:rFonts w:ascii="Times New Roman" w:hAnsi="Times New Roman"/>
                <w:sz w:val="24"/>
              </w:rPr>
            </w:pPr>
            <w:r w:rsidRPr="00E07C9A">
              <w:rPr>
                <w:rStyle w:val="InstructionsTabelleberschrift"/>
                <w:rFonts w:ascii="Times New Roman" w:hAnsi="Times New Roman"/>
                <w:sz w:val="24"/>
              </w:rPr>
              <w:t>Z ČOHO: PODSÚVAHOVÉ POLOŽKY</w:t>
            </w:r>
          </w:p>
          <w:p w14:paraId="4ABA7FFD" w14:textId="4E9E025A" w:rsidR="008151A6" w:rsidRPr="00E07C9A" w:rsidRDefault="008151A6" w:rsidP="00664874">
            <w:pPr>
              <w:rPr>
                <w:rFonts w:ascii="Times New Roman" w:hAnsi="Times New Roman"/>
                <w:sz w:val="24"/>
              </w:rPr>
            </w:pPr>
            <w:r w:rsidRPr="00E07C9A">
              <w:rPr>
                <w:rFonts w:ascii="Times New Roman" w:hAnsi="Times New Roman"/>
                <w:sz w:val="24"/>
              </w:rPr>
              <w:t>Pozri pokyny</w:t>
            </w:r>
            <w:r w:rsidR="009912F8" w:rsidRPr="00E07C9A">
              <w:rPr>
                <w:rFonts w:ascii="Times New Roman" w:hAnsi="Times New Roman"/>
                <w:sz w:val="24"/>
              </w:rPr>
              <w:t xml:space="preserve"> k </w:t>
            </w:r>
            <w:r w:rsidRPr="00E07C9A">
              <w:rPr>
                <w:rFonts w:ascii="Times New Roman" w:hAnsi="Times New Roman"/>
                <w:sz w:val="24"/>
              </w:rPr>
              <w:t>vzoru CR-SA.</w:t>
            </w:r>
          </w:p>
        </w:tc>
      </w:tr>
      <w:tr w:rsidR="008151A6" w:rsidRPr="00E07C9A" w14:paraId="0CD823B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59D0451" w14:textId="77777777" w:rsidR="008151A6" w:rsidRPr="00E07C9A" w:rsidRDefault="008151A6" w:rsidP="00664874">
            <w:pPr>
              <w:rPr>
                <w:rFonts w:ascii="Times New Roman" w:hAnsi="Times New Roman"/>
                <w:sz w:val="24"/>
              </w:rPr>
            </w:pPr>
            <w:r w:rsidRPr="00E07C9A">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3BB5DC9" w14:textId="77777777" w:rsidR="008151A6" w:rsidRPr="00E07C9A" w:rsidRDefault="008151A6" w:rsidP="00664874">
            <w:pPr>
              <w:rPr>
                <w:rFonts w:ascii="Times New Roman" w:hAnsi="Times New Roman"/>
                <w:b/>
                <w:sz w:val="24"/>
                <w:u w:val="single"/>
              </w:rPr>
            </w:pPr>
            <w:r w:rsidRPr="00E07C9A">
              <w:rPr>
                <w:rFonts w:ascii="Times New Roman" w:hAnsi="Times New Roman"/>
                <w:b/>
                <w:sz w:val="24"/>
                <w:u w:val="single"/>
              </w:rPr>
              <w:t>HODNOTA EXPOZÍCIE</w:t>
            </w:r>
          </w:p>
          <w:p w14:paraId="1609B101" w14:textId="7DEC0C41" w:rsidR="008151A6" w:rsidRPr="00E07C9A" w:rsidRDefault="008151A6" w:rsidP="00664874">
            <w:pPr>
              <w:rPr>
                <w:rFonts w:ascii="Times New Roman" w:hAnsi="Times New Roman"/>
                <w:sz w:val="24"/>
              </w:rPr>
            </w:pPr>
            <w:r w:rsidRPr="00E07C9A">
              <w:rPr>
                <w:rFonts w:ascii="Times New Roman" w:hAnsi="Times New Roman"/>
                <w:sz w:val="24"/>
              </w:rPr>
              <w:t>Pozri pokyny</w:t>
            </w:r>
            <w:r w:rsidR="009912F8" w:rsidRPr="00E07C9A">
              <w:rPr>
                <w:rFonts w:ascii="Times New Roman" w:hAnsi="Times New Roman"/>
                <w:sz w:val="24"/>
              </w:rPr>
              <w:t xml:space="preserve"> k </w:t>
            </w:r>
            <w:r w:rsidRPr="00E07C9A">
              <w:rPr>
                <w:rFonts w:ascii="Times New Roman" w:hAnsi="Times New Roman"/>
                <w:sz w:val="24"/>
              </w:rPr>
              <w:t>vzoru CR-IRB.</w:t>
            </w:r>
          </w:p>
        </w:tc>
      </w:tr>
      <w:tr w:rsidR="008151A6" w:rsidRPr="00E07C9A" w14:paraId="6C692FB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ADE1D35" w14:textId="77777777" w:rsidR="008151A6" w:rsidRPr="00E07C9A" w:rsidRDefault="008151A6" w:rsidP="00664874">
            <w:pPr>
              <w:rPr>
                <w:rFonts w:ascii="Times New Roman" w:hAnsi="Times New Roman"/>
                <w:sz w:val="24"/>
              </w:rPr>
            </w:pPr>
            <w:r w:rsidRPr="00E07C9A">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1407EF0" w14:textId="77777777" w:rsidR="009912F8" w:rsidRPr="00E07C9A" w:rsidRDefault="008151A6" w:rsidP="00664874">
            <w:pPr>
              <w:rPr>
                <w:rStyle w:val="InstructionsTabelleberschrift"/>
                <w:rFonts w:ascii="Times New Roman" w:hAnsi="Times New Roman"/>
                <w:sz w:val="24"/>
              </w:rPr>
            </w:pPr>
            <w:r w:rsidRPr="00E07C9A">
              <w:rPr>
                <w:rStyle w:val="InstructionsTabelleberschrift"/>
                <w:rFonts w:ascii="Times New Roman" w:hAnsi="Times New Roman"/>
                <w:sz w:val="24"/>
              </w:rPr>
              <w:t>Z ČOHO: VYPLÝVAJÚCE</w:t>
            </w:r>
            <w:r w:rsidR="009912F8" w:rsidRPr="00E07C9A">
              <w:rPr>
                <w:rStyle w:val="InstructionsTabelleberschrift"/>
                <w:rFonts w:ascii="Times New Roman" w:hAnsi="Times New Roman"/>
                <w:sz w:val="24"/>
              </w:rPr>
              <w:t xml:space="preserve"> Z </w:t>
            </w:r>
            <w:r w:rsidRPr="00E07C9A">
              <w:rPr>
                <w:rStyle w:val="InstructionsTabelleberschrift"/>
                <w:rFonts w:ascii="Times New Roman" w:hAnsi="Times New Roman"/>
                <w:sz w:val="24"/>
              </w:rPr>
              <w:t>KREDITNÉHO RIZIKA PROTISTRANY</w:t>
            </w:r>
          </w:p>
          <w:p w14:paraId="016DCD4A" w14:textId="3A343E22" w:rsidR="008151A6" w:rsidRPr="00E07C9A" w:rsidRDefault="008151A6" w:rsidP="00664874">
            <w:pPr>
              <w:rPr>
                <w:rFonts w:ascii="Times New Roman" w:hAnsi="Times New Roman"/>
                <w:sz w:val="24"/>
              </w:rPr>
            </w:pPr>
            <w:r w:rsidRPr="00E07C9A">
              <w:rPr>
                <w:rFonts w:ascii="Times New Roman" w:hAnsi="Times New Roman"/>
                <w:sz w:val="24"/>
              </w:rPr>
              <w:t>Pozri pokyny</w:t>
            </w:r>
            <w:r w:rsidR="009912F8" w:rsidRPr="00E07C9A">
              <w:rPr>
                <w:rFonts w:ascii="Times New Roman" w:hAnsi="Times New Roman"/>
                <w:sz w:val="24"/>
              </w:rPr>
              <w:t xml:space="preserve"> k </w:t>
            </w:r>
            <w:r w:rsidRPr="00E07C9A">
              <w:rPr>
                <w:rFonts w:ascii="Times New Roman" w:hAnsi="Times New Roman"/>
                <w:sz w:val="24"/>
              </w:rPr>
              <w:t>vzoru CR SA.</w:t>
            </w:r>
            <w:r w:rsidRPr="00E07C9A">
              <w:rPr>
                <w:rStyle w:val="InstructionsTabelleText"/>
                <w:rFonts w:ascii="Times New Roman" w:hAnsi="Times New Roman"/>
                <w:sz w:val="24"/>
              </w:rPr>
              <w:t xml:space="preserve"> </w:t>
            </w:r>
          </w:p>
        </w:tc>
      </w:tr>
      <w:tr w:rsidR="008151A6" w:rsidRPr="00E07C9A" w14:paraId="100EA6EB"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A58D3FB" w14:textId="77777777" w:rsidR="008151A6" w:rsidRPr="00E07C9A" w:rsidRDefault="008151A6" w:rsidP="00664874">
            <w:pPr>
              <w:rPr>
                <w:rFonts w:ascii="Times New Roman" w:hAnsi="Times New Roman"/>
                <w:sz w:val="24"/>
              </w:rPr>
            </w:pPr>
            <w:r w:rsidRPr="00E07C9A">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CC9084B" w14:textId="77777777" w:rsidR="008151A6" w:rsidRPr="00E07C9A" w:rsidRDefault="008151A6" w:rsidP="00664874">
            <w:pPr>
              <w:rPr>
                <w:rFonts w:ascii="Times New Roman" w:hAnsi="Times New Roman"/>
                <w:b/>
                <w:sz w:val="24"/>
                <w:u w:val="single"/>
              </w:rPr>
            </w:pPr>
            <w:r w:rsidRPr="00E07C9A">
              <w:rPr>
                <w:rFonts w:ascii="Times New Roman" w:hAnsi="Times New Roman"/>
                <w:b/>
                <w:sz w:val="24"/>
                <w:u w:val="single"/>
              </w:rPr>
              <w:t>RIZIKOVÁ VÁHA</w:t>
            </w:r>
          </w:p>
          <w:p w14:paraId="2750035C" w14:textId="3833242A" w:rsidR="002771C5" w:rsidRPr="00E07C9A" w:rsidRDefault="0044539D" w:rsidP="00664874">
            <w:pPr>
              <w:rPr>
                <w:rFonts w:ascii="Times New Roman" w:hAnsi="Times New Roman"/>
                <w:sz w:val="24"/>
              </w:rPr>
            </w:pPr>
            <w:r w:rsidRPr="00E07C9A">
              <w:rPr>
                <w:rFonts w:ascii="Times New Roman" w:hAnsi="Times New Roman"/>
                <w:sz w:val="24"/>
              </w:rPr>
              <w:t xml:space="preserve">Článok 153 ods. 5 nariadenia (EÚ) </w:t>
            </w:r>
            <w:r w:rsidR="009912F8" w:rsidRPr="00E07C9A">
              <w:rPr>
                <w:rFonts w:ascii="Times New Roman" w:hAnsi="Times New Roman"/>
                <w:sz w:val="24"/>
              </w:rPr>
              <w:t>č. 575/2013</w:t>
            </w:r>
          </w:p>
          <w:p w14:paraId="439D994B" w14:textId="106E5C1B" w:rsidR="008151A6" w:rsidRPr="00E07C9A" w:rsidRDefault="008151A6" w:rsidP="00664874">
            <w:pPr>
              <w:rPr>
                <w:rFonts w:ascii="Times New Roman" w:hAnsi="Times New Roman"/>
                <w:sz w:val="24"/>
              </w:rPr>
            </w:pPr>
            <w:r w:rsidRPr="00E07C9A">
              <w:rPr>
                <w:rFonts w:ascii="Times New Roman" w:hAnsi="Times New Roman"/>
                <w:sz w:val="24"/>
              </w:rPr>
              <w:t>Toto je pevný stĺpec na informačné účely. Nesmú sa</w:t>
            </w:r>
            <w:r w:rsidR="009912F8" w:rsidRPr="00E07C9A">
              <w:rPr>
                <w:rFonts w:ascii="Times New Roman" w:hAnsi="Times New Roman"/>
                <w:sz w:val="24"/>
              </w:rPr>
              <w:t xml:space="preserve"> v </w:t>
            </w:r>
            <w:r w:rsidRPr="00E07C9A">
              <w:rPr>
                <w:rFonts w:ascii="Times New Roman" w:hAnsi="Times New Roman"/>
                <w:sz w:val="24"/>
              </w:rPr>
              <w:t xml:space="preserve">ňom vykonávať žiadne zmeny. </w:t>
            </w:r>
          </w:p>
        </w:tc>
      </w:tr>
      <w:tr w:rsidR="008151A6" w:rsidRPr="00E07C9A" w14:paraId="77F19A3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D264297" w14:textId="77777777" w:rsidR="008151A6" w:rsidRPr="00E07C9A" w:rsidRDefault="008151A6" w:rsidP="00664874">
            <w:pPr>
              <w:rPr>
                <w:rFonts w:ascii="Times New Roman" w:hAnsi="Times New Roman"/>
                <w:sz w:val="24"/>
              </w:rPr>
            </w:pPr>
            <w:r w:rsidRPr="00E07C9A">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FD55DB1" w14:textId="77777777" w:rsidR="008151A6" w:rsidRPr="00E07C9A" w:rsidRDefault="008151A6" w:rsidP="00664874">
            <w:pPr>
              <w:rPr>
                <w:rFonts w:ascii="Times New Roman" w:hAnsi="Times New Roman"/>
                <w:b/>
                <w:sz w:val="24"/>
                <w:u w:val="single"/>
              </w:rPr>
            </w:pPr>
            <w:r w:rsidRPr="00E07C9A">
              <w:rPr>
                <w:rFonts w:ascii="Times New Roman" w:hAnsi="Times New Roman"/>
                <w:b/>
                <w:sz w:val="24"/>
                <w:u w:val="single"/>
              </w:rPr>
              <w:t>HODNOTA RIZIKOVO VÁŽENEJ EXPOZÍCIE PO UPLATNENÍ PODPORNÝCH FAKTOROV</w:t>
            </w:r>
          </w:p>
          <w:p w14:paraId="17782A0B" w14:textId="668C3132" w:rsidR="008151A6" w:rsidRPr="00E07C9A" w:rsidRDefault="008151A6" w:rsidP="00664874">
            <w:pPr>
              <w:rPr>
                <w:rFonts w:ascii="Times New Roman" w:hAnsi="Times New Roman"/>
                <w:b/>
                <w:sz w:val="24"/>
              </w:rPr>
            </w:pPr>
            <w:r w:rsidRPr="00E07C9A">
              <w:rPr>
                <w:rFonts w:ascii="Times New Roman" w:hAnsi="Times New Roman"/>
                <w:sz w:val="24"/>
              </w:rPr>
              <w:t>Pozri pokyny</w:t>
            </w:r>
            <w:r w:rsidR="009912F8" w:rsidRPr="00E07C9A">
              <w:rPr>
                <w:rFonts w:ascii="Times New Roman" w:hAnsi="Times New Roman"/>
                <w:sz w:val="24"/>
              </w:rPr>
              <w:t xml:space="preserve"> k </w:t>
            </w:r>
            <w:r w:rsidRPr="00E07C9A">
              <w:rPr>
                <w:rFonts w:ascii="Times New Roman" w:hAnsi="Times New Roman"/>
                <w:sz w:val="24"/>
              </w:rPr>
              <w:t>vzoru CR-IRB.</w:t>
            </w:r>
          </w:p>
        </w:tc>
      </w:tr>
      <w:tr w:rsidR="008151A6" w:rsidRPr="00E07C9A" w14:paraId="435A081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AB564D5" w14:textId="77777777" w:rsidR="008151A6" w:rsidRPr="00E07C9A" w:rsidRDefault="008151A6" w:rsidP="00664874">
            <w:pPr>
              <w:rPr>
                <w:rFonts w:ascii="Times New Roman" w:hAnsi="Times New Roman"/>
                <w:sz w:val="24"/>
              </w:rPr>
            </w:pPr>
            <w:r w:rsidRPr="00E07C9A">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BE9EBCF" w14:textId="77777777" w:rsidR="008151A6" w:rsidRPr="00E07C9A" w:rsidRDefault="008151A6" w:rsidP="00664874">
            <w:pPr>
              <w:rPr>
                <w:rFonts w:ascii="Times New Roman" w:hAnsi="Times New Roman"/>
                <w:b/>
                <w:sz w:val="24"/>
                <w:u w:val="single"/>
              </w:rPr>
            </w:pPr>
            <w:r w:rsidRPr="00E07C9A">
              <w:rPr>
                <w:rFonts w:ascii="Times New Roman" w:hAnsi="Times New Roman"/>
                <w:b/>
                <w:sz w:val="24"/>
                <w:u w:val="single"/>
              </w:rPr>
              <w:t>VÝŠKA OČAKÁVANEJ STRATY</w:t>
            </w:r>
          </w:p>
          <w:p w14:paraId="08085964" w14:textId="0DC57ABD" w:rsidR="008151A6" w:rsidRPr="00E07C9A" w:rsidRDefault="008151A6" w:rsidP="00664874">
            <w:pPr>
              <w:rPr>
                <w:rFonts w:ascii="Times New Roman" w:hAnsi="Times New Roman"/>
                <w:b/>
                <w:sz w:val="24"/>
              </w:rPr>
            </w:pPr>
            <w:r w:rsidRPr="00E07C9A">
              <w:rPr>
                <w:rFonts w:ascii="Times New Roman" w:hAnsi="Times New Roman"/>
                <w:sz w:val="24"/>
              </w:rPr>
              <w:t>Pozri pokyny</w:t>
            </w:r>
            <w:r w:rsidR="009912F8" w:rsidRPr="00E07C9A">
              <w:rPr>
                <w:rFonts w:ascii="Times New Roman" w:hAnsi="Times New Roman"/>
                <w:sz w:val="24"/>
              </w:rPr>
              <w:t xml:space="preserve"> k </w:t>
            </w:r>
            <w:r w:rsidRPr="00E07C9A">
              <w:rPr>
                <w:rFonts w:ascii="Times New Roman" w:hAnsi="Times New Roman"/>
                <w:sz w:val="24"/>
              </w:rPr>
              <w:t>vzoru CR-IRB.</w:t>
            </w:r>
          </w:p>
        </w:tc>
      </w:tr>
      <w:tr w:rsidR="008151A6" w:rsidRPr="00E07C9A" w14:paraId="492900FC"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6FF59ED1" w14:textId="77777777" w:rsidR="008151A6" w:rsidRPr="00E07C9A" w:rsidRDefault="008151A6" w:rsidP="00664874">
            <w:pPr>
              <w:rPr>
                <w:rFonts w:ascii="Times New Roman" w:hAnsi="Times New Roman"/>
                <w:sz w:val="24"/>
              </w:rPr>
            </w:pPr>
            <w:r w:rsidRPr="00E07C9A">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CDA9BCE" w14:textId="77777777" w:rsidR="008151A6" w:rsidRPr="00E07C9A" w:rsidRDefault="008151A6" w:rsidP="00664874">
            <w:pPr>
              <w:rPr>
                <w:rFonts w:ascii="Times New Roman" w:hAnsi="Times New Roman"/>
                <w:b/>
                <w:sz w:val="24"/>
                <w:u w:val="single"/>
              </w:rPr>
            </w:pPr>
            <w:r w:rsidRPr="00E07C9A">
              <w:rPr>
                <w:rFonts w:ascii="Times New Roman" w:hAnsi="Times New Roman"/>
                <w:b/>
                <w:sz w:val="24"/>
                <w:u w:val="single"/>
              </w:rPr>
              <w:t>(–) ÚPRAVY OCENENIA A REZERVY</w:t>
            </w:r>
          </w:p>
          <w:p w14:paraId="29980C9F" w14:textId="3409E536" w:rsidR="008151A6" w:rsidRPr="00E07C9A" w:rsidRDefault="008151A6" w:rsidP="00664874">
            <w:pPr>
              <w:rPr>
                <w:rFonts w:ascii="Times New Roman" w:hAnsi="Times New Roman"/>
                <w:b/>
                <w:sz w:val="24"/>
              </w:rPr>
            </w:pPr>
            <w:r w:rsidRPr="00E07C9A">
              <w:rPr>
                <w:rFonts w:ascii="Times New Roman" w:hAnsi="Times New Roman"/>
                <w:sz w:val="24"/>
              </w:rPr>
              <w:t>Pozri pokyny</w:t>
            </w:r>
            <w:r w:rsidR="009912F8" w:rsidRPr="00E07C9A">
              <w:rPr>
                <w:rFonts w:ascii="Times New Roman" w:hAnsi="Times New Roman"/>
                <w:sz w:val="24"/>
              </w:rPr>
              <w:t xml:space="preserve"> k </w:t>
            </w:r>
            <w:r w:rsidRPr="00E07C9A">
              <w:rPr>
                <w:rFonts w:ascii="Times New Roman" w:hAnsi="Times New Roman"/>
                <w:sz w:val="24"/>
              </w:rPr>
              <w:t>vzoru CR-IRB.</w:t>
            </w:r>
          </w:p>
        </w:tc>
      </w:tr>
    </w:tbl>
    <w:p w14:paraId="4517997D" w14:textId="77777777" w:rsidR="008151A6" w:rsidRPr="00E07C9A" w:rsidRDefault="008151A6" w:rsidP="007D633B">
      <w:pPr>
        <w:pStyle w:val="body"/>
        <w:rPr>
          <w:rFonts w:ascii="Times New Roman" w:hAnsi="Times New Roman" w:cs="Times New Roman"/>
        </w:rPr>
      </w:pPr>
      <w:bookmarkStart w:id="351" w:name="_Toc19715769"/>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8931"/>
      </w:tblGrid>
      <w:tr w:rsidR="008151A6" w:rsidRPr="00E07C9A" w14:paraId="53B15BFD" w14:textId="77777777" w:rsidTr="00664874">
        <w:tc>
          <w:tcPr>
            <w:tcW w:w="1129" w:type="dxa"/>
            <w:shd w:val="pct25" w:color="auto" w:fill="auto"/>
          </w:tcPr>
          <w:p w14:paraId="3568375D" w14:textId="77777777" w:rsidR="008151A6" w:rsidRPr="00E07C9A" w:rsidRDefault="008151A6" w:rsidP="00664874">
            <w:pPr>
              <w:rPr>
                <w:rFonts w:ascii="Times New Roman" w:hAnsi="Times New Roman"/>
                <w:sz w:val="24"/>
              </w:rPr>
            </w:pPr>
            <w:r w:rsidRPr="00E07C9A">
              <w:rPr>
                <w:rFonts w:ascii="Times New Roman" w:hAnsi="Times New Roman"/>
                <w:sz w:val="24"/>
              </w:rPr>
              <w:t>Riadky</w:t>
            </w:r>
          </w:p>
        </w:tc>
        <w:tc>
          <w:tcPr>
            <w:tcW w:w="8931" w:type="dxa"/>
            <w:shd w:val="pct25" w:color="auto" w:fill="auto"/>
          </w:tcPr>
          <w:p w14:paraId="7A20B449" w14:textId="77777777" w:rsidR="008151A6" w:rsidRPr="00E07C9A" w:rsidRDefault="008151A6" w:rsidP="00664874">
            <w:pPr>
              <w:rPr>
                <w:rFonts w:ascii="Times New Roman" w:hAnsi="Times New Roman"/>
                <w:sz w:val="24"/>
              </w:rPr>
            </w:pPr>
            <w:r w:rsidRPr="00E07C9A">
              <w:rPr>
                <w:rFonts w:ascii="Times New Roman" w:hAnsi="Times New Roman"/>
                <w:sz w:val="24"/>
              </w:rPr>
              <w:t>Pokyny</w:t>
            </w:r>
          </w:p>
        </w:tc>
      </w:tr>
      <w:tr w:rsidR="008151A6" w:rsidRPr="00E07C9A" w14:paraId="4339CEE2" w14:textId="77777777" w:rsidTr="00664874">
        <w:tc>
          <w:tcPr>
            <w:tcW w:w="1129" w:type="dxa"/>
          </w:tcPr>
          <w:p w14:paraId="5622E255" w14:textId="77777777" w:rsidR="008151A6" w:rsidRPr="00E07C9A" w:rsidRDefault="008151A6" w:rsidP="00664874">
            <w:pPr>
              <w:rPr>
                <w:rFonts w:ascii="Times New Roman" w:hAnsi="Times New Roman"/>
                <w:sz w:val="24"/>
              </w:rPr>
            </w:pPr>
            <w:r w:rsidRPr="00E07C9A">
              <w:rPr>
                <w:rFonts w:ascii="Times New Roman" w:hAnsi="Times New Roman"/>
                <w:sz w:val="24"/>
              </w:rPr>
              <w:t>0010 –⁠ 0120</w:t>
            </w:r>
          </w:p>
        </w:tc>
        <w:tc>
          <w:tcPr>
            <w:tcW w:w="8931" w:type="dxa"/>
          </w:tcPr>
          <w:p w14:paraId="1351C686" w14:textId="038C64CC" w:rsidR="008151A6" w:rsidRPr="00E07C9A" w:rsidRDefault="008151A6" w:rsidP="00E1685B">
            <w:pPr>
              <w:rPr>
                <w:rFonts w:ascii="Times New Roman" w:hAnsi="Times New Roman"/>
                <w:sz w:val="24"/>
              </w:rPr>
            </w:pPr>
            <w:r w:rsidRPr="00E07C9A">
              <w:rPr>
                <w:rFonts w:ascii="Times New Roman" w:hAnsi="Times New Roman"/>
                <w:sz w:val="24"/>
              </w:rPr>
              <w:t>Expozície sa priraďujú</w:t>
            </w:r>
            <w:r w:rsidR="009912F8" w:rsidRPr="00E07C9A">
              <w:rPr>
                <w:rFonts w:ascii="Times New Roman" w:hAnsi="Times New Roman"/>
                <w:sz w:val="24"/>
              </w:rPr>
              <w:t xml:space="preserve"> k </w:t>
            </w:r>
            <w:r w:rsidRPr="00E07C9A">
              <w:rPr>
                <w:rFonts w:ascii="Times New Roman" w:hAnsi="Times New Roman"/>
                <w:sz w:val="24"/>
              </w:rPr>
              <w:t>príslušnej kategórii</w:t>
            </w:r>
            <w:r w:rsidR="009912F8" w:rsidRPr="00E07C9A">
              <w:rPr>
                <w:rFonts w:ascii="Times New Roman" w:hAnsi="Times New Roman"/>
                <w:sz w:val="24"/>
              </w:rPr>
              <w:t xml:space="preserve"> a </w:t>
            </w:r>
            <w:r w:rsidRPr="00E07C9A">
              <w:rPr>
                <w:rFonts w:ascii="Times New Roman" w:hAnsi="Times New Roman"/>
                <w:sz w:val="24"/>
              </w:rPr>
              <w:t>splatnosti</w:t>
            </w:r>
            <w:r w:rsidR="009912F8" w:rsidRPr="00E07C9A">
              <w:rPr>
                <w:rFonts w:ascii="Times New Roman" w:hAnsi="Times New Roman"/>
                <w:sz w:val="24"/>
              </w:rPr>
              <w:t xml:space="preserve"> v </w:t>
            </w:r>
            <w:r w:rsidRPr="00E07C9A">
              <w:rPr>
                <w:rStyle w:val="InstructionsTabelleText"/>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tabuľkou 1</w:t>
            </w:r>
            <w:r w:rsidR="009912F8" w:rsidRPr="00E07C9A">
              <w:rPr>
                <w:rFonts w:ascii="Times New Roman" w:hAnsi="Times New Roman"/>
                <w:sz w:val="24"/>
              </w:rPr>
              <w:t xml:space="preserve"> v </w:t>
            </w:r>
            <w:r w:rsidRPr="00E07C9A">
              <w:rPr>
                <w:rFonts w:ascii="Times New Roman" w:hAnsi="Times New Roman"/>
                <w:sz w:val="24"/>
              </w:rPr>
              <w:t xml:space="preserve">článku 153 ods. 5 nariadenia (EÚ) </w:t>
            </w:r>
            <w:r w:rsidR="009912F8" w:rsidRPr="00E07C9A">
              <w:rPr>
                <w:rFonts w:ascii="Times New Roman" w:hAnsi="Times New Roman"/>
                <w:sz w:val="24"/>
              </w:rPr>
              <w:t>č. 575/2013</w:t>
            </w:r>
            <w:r w:rsidRPr="00E07C9A">
              <w:rPr>
                <w:rFonts w:ascii="Times New Roman" w:hAnsi="Times New Roman"/>
                <w:sz w:val="24"/>
              </w:rPr>
              <w:t>.</w:t>
            </w:r>
          </w:p>
        </w:tc>
      </w:tr>
    </w:tbl>
    <w:p w14:paraId="1BC28387" w14:textId="77777777" w:rsidR="008151A6" w:rsidRPr="00E07C9A" w:rsidRDefault="008151A6" w:rsidP="007D633B">
      <w:pPr>
        <w:pStyle w:val="body"/>
        <w:rPr>
          <w:rFonts w:ascii="Times New Roman" w:hAnsi="Times New Roman" w:cs="Times New Roman"/>
        </w:rPr>
      </w:pPr>
    </w:p>
    <w:p w14:paraId="103C9A34" w14:textId="0D2661AE" w:rsidR="008151A6" w:rsidRPr="00E07C9A" w:rsidRDefault="008151A6" w:rsidP="005C4397">
      <w:pPr>
        <w:pStyle w:val="Instructionsberschrift2"/>
        <w:numPr>
          <w:ilvl w:val="2"/>
          <w:numId w:val="27"/>
        </w:numPr>
        <w:rPr>
          <w:rFonts w:ascii="Times New Roman" w:hAnsi="Times New Roman" w:cs="Times New Roman"/>
          <w:sz w:val="24"/>
        </w:rPr>
      </w:pPr>
      <w:bookmarkStart w:id="352" w:name="_Toc115857806"/>
      <w:r w:rsidRPr="00E07C9A">
        <w:rPr>
          <w:rFonts w:ascii="Times New Roman" w:hAnsi="Times New Roman" w:cs="Times New Roman"/>
          <w:sz w:val="24"/>
        </w:rPr>
        <w:t>C 08.07 – Kreditné riziko</w:t>
      </w:r>
      <w:r w:rsidR="009912F8" w:rsidRPr="00E07C9A">
        <w:rPr>
          <w:rFonts w:ascii="Times New Roman" w:hAnsi="Times New Roman" w:cs="Times New Roman"/>
          <w:sz w:val="24"/>
        </w:rPr>
        <w:t xml:space="preserve"> a </w:t>
      </w:r>
      <w:r w:rsidRPr="00E07C9A">
        <w:rPr>
          <w:rFonts w:ascii="Times New Roman" w:hAnsi="Times New Roman" w:cs="Times New Roman"/>
          <w:sz w:val="24"/>
        </w:rPr>
        <w:t>bezodplatné dodanie: prístup IRB ku kapitálovým požiadavkám [rozsah používania prístupov IRB</w:t>
      </w:r>
      <w:r w:rsidR="009912F8" w:rsidRPr="00E07C9A">
        <w:rPr>
          <w:rFonts w:ascii="Times New Roman" w:hAnsi="Times New Roman" w:cs="Times New Roman"/>
          <w:sz w:val="24"/>
        </w:rPr>
        <w:t xml:space="preserve"> a </w:t>
      </w:r>
      <w:r w:rsidRPr="00E07C9A">
        <w:rPr>
          <w:rFonts w:ascii="Times New Roman" w:hAnsi="Times New Roman" w:cs="Times New Roman"/>
          <w:sz w:val="24"/>
        </w:rPr>
        <w:t>SA (CR IRB 7)]</w:t>
      </w:r>
      <w:bookmarkEnd w:id="351"/>
      <w:bookmarkEnd w:id="352"/>
    </w:p>
    <w:p w14:paraId="7FF46D4A" w14:textId="77777777" w:rsidR="008151A6" w:rsidRPr="00E07C9A" w:rsidRDefault="008151A6" w:rsidP="005C4397">
      <w:pPr>
        <w:pStyle w:val="Instructionsberschrift2"/>
        <w:numPr>
          <w:ilvl w:val="3"/>
          <w:numId w:val="27"/>
        </w:numPr>
        <w:ind w:left="709"/>
        <w:rPr>
          <w:rFonts w:ascii="Times New Roman" w:hAnsi="Times New Roman" w:cs="Times New Roman"/>
          <w:sz w:val="24"/>
        </w:rPr>
      </w:pPr>
      <w:bookmarkStart w:id="353" w:name="_Toc19715770"/>
      <w:bookmarkStart w:id="354" w:name="_Toc115857807"/>
      <w:r w:rsidRPr="00E07C9A">
        <w:rPr>
          <w:rFonts w:ascii="Times New Roman" w:hAnsi="Times New Roman" w:cs="Times New Roman"/>
          <w:sz w:val="24"/>
        </w:rPr>
        <w:t>Všeobecné poznámky</w:t>
      </w:r>
      <w:bookmarkEnd w:id="353"/>
      <w:bookmarkEnd w:id="354"/>
    </w:p>
    <w:p w14:paraId="5F11BD1F" w14:textId="7196F088" w:rsidR="008151A6" w:rsidRPr="00E07C9A" w:rsidRDefault="002A18DE" w:rsidP="00487A02">
      <w:pPr>
        <w:pStyle w:val="InstructionsText2"/>
        <w:numPr>
          <w:ilvl w:val="0"/>
          <w:numId w:val="0"/>
        </w:numPr>
        <w:ind w:left="1353" w:hanging="360"/>
      </w:pPr>
      <w:fldSimple w:instr=" seq paragraphs ">
        <w:r w:rsidR="00132AEE">
          <w:rPr>
            <w:noProof/>
          </w:rPr>
          <w:t>83</w:t>
        </w:r>
      </w:fldSimple>
      <w:r w:rsidR="00C3070C" w:rsidRPr="00E07C9A">
        <w:t>. Na účely tohto vzoru inštitúcie, ktoré počítajú hodnoty rizikovo vážených expozícií podľa prístupu IRB ku kreditnému riziku, priraďujú svoje expozície na základe štandardizovaného prístupu stanoveného</w:t>
      </w:r>
      <w:r w:rsidR="009912F8" w:rsidRPr="00E07C9A">
        <w:t xml:space="preserve"> v </w:t>
      </w:r>
      <w:r w:rsidR="00C3070C" w:rsidRPr="00E07C9A">
        <w:t xml:space="preserve">tretej časti hlave II kapitole 2 nariadenia (EÚ) </w:t>
      </w:r>
      <w:r w:rsidR="009912F8" w:rsidRPr="00E07C9A">
        <w:t>č. 575/2013</w:t>
      </w:r>
      <w:r w:rsidR="00C3070C" w:rsidRPr="00E07C9A">
        <w:t xml:space="preserve"> alebo prístupu IRB stanoveného</w:t>
      </w:r>
      <w:r w:rsidR="009912F8" w:rsidRPr="00E07C9A">
        <w:t xml:space="preserve"> v </w:t>
      </w:r>
      <w:r w:rsidR="00C3070C" w:rsidRPr="00E07C9A">
        <w:t>tretej časti hlave II kapitole 3 uvedeného nariadenia, ako aj časť každej triedy expozícií, na ktorú sa vzťahuje plán zavádzania. Inštitúcie do tohto vzoru zahŕňajú informácie podľa tried expozícií</w:t>
      </w:r>
      <w:r w:rsidR="009912F8" w:rsidRPr="00E07C9A">
        <w:t xml:space="preserve"> v </w:t>
      </w:r>
      <w:r w:rsidR="00C3070C" w:rsidRPr="00E07C9A">
        <w:t>súlade</w:t>
      </w:r>
      <w:r w:rsidR="009912F8" w:rsidRPr="00E07C9A">
        <w:t xml:space="preserve"> s </w:t>
      </w:r>
      <w:r w:rsidR="00C3070C" w:rsidRPr="00E07C9A">
        <w:t>rozčlenením tried expozícií uvedeným</w:t>
      </w:r>
      <w:r w:rsidR="009912F8" w:rsidRPr="00E07C9A">
        <w:t xml:space="preserve"> v </w:t>
      </w:r>
      <w:r w:rsidR="00C3070C" w:rsidRPr="00E07C9A">
        <w:t>riadkoch vzoru.</w:t>
      </w:r>
    </w:p>
    <w:p w14:paraId="4691373C" w14:textId="1A4E548F" w:rsidR="008151A6" w:rsidRPr="00E07C9A" w:rsidRDefault="002A18DE" w:rsidP="00487A02">
      <w:pPr>
        <w:pStyle w:val="InstructionsText2"/>
        <w:numPr>
          <w:ilvl w:val="0"/>
          <w:numId w:val="0"/>
        </w:numPr>
        <w:ind w:left="1353" w:hanging="360"/>
      </w:pPr>
      <w:fldSimple w:instr=" seq paragraphs ">
        <w:r w:rsidR="00132AEE">
          <w:rPr>
            <w:noProof/>
          </w:rPr>
          <w:t>84</w:t>
        </w:r>
      </w:fldSimple>
      <w:r w:rsidR="00C3070C" w:rsidRPr="00E07C9A">
        <w:t>. Stĺpce 0030 až 0050 by mali pokrývať celé spektrum expozícií, takže súčet každého riadku pre tieto tri stĺpce by mal predstavovať 100</w:t>
      </w:r>
      <w:r w:rsidR="009912F8" w:rsidRPr="00E07C9A">
        <w:t> %</w:t>
      </w:r>
      <w:r w:rsidR="00C3070C" w:rsidRPr="00E07C9A">
        <w:t xml:space="preserve"> všetkých tried expozícií okrem sekuritizačných pozícií</w:t>
      </w:r>
      <w:r w:rsidR="009912F8" w:rsidRPr="00E07C9A">
        <w:t xml:space="preserve"> a </w:t>
      </w:r>
      <w:r w:rsidR="00C3070C" w:rsidRPr="00E07C9A">
        <w:t>odpočítaných pozícií.</w:t>
      </w:r>
    </w:p>
    <w:p w14:paraId="4C00E4FE" w14:textId="3DD5750B" w:rsidR="008151A6" w:rsidRPr="00E07C9A" w:rsidRDefault="008151A6" w:rsidP="005C4397">
      <w:pPr>
        <w:pStyle w:val="Instructionsberschrift2"/>
        <w:numPr>
          <w:ilvl w:val="3"/>
          <w:numId w:val="27"/>
        </w:numPr>
        <w:ind w:left="709"/>
        <w:rPr>
          <w:rFonts w:ascii="Times New Roman" w:hAnsi="Times New Roman" w:cs="Times New Roman"/>
          <w:sz w:val="24"/>
        </w:rPr>
      </w:pPr>
      <w:bookmarkStart w:id="355" w:name="_Toc19715771"/>
      <w:bookmarkStart w:id="356" w:name="_Toc115857808"/>
      <w:r w:rsidRPr="00E07C9A">
        <w:rPr>
          <w:rFonts w:ascii="Times New Roman" w:hAnsi="Times New Roman" w:cs="Times New Roman"/>
          <w:sz w:val="24"/>
        </w:rPr>
        <w:t>Pokyny týkajúce sa konkrétnych pozícií</w:t>
      </w:r>
      <w:bookmarkEnd w:id="355"/>
      <w:bookmarkEnd w:id="356"/>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E07C9A" w14:paraId="5F227276" w14:textId="77777777" w:rsidTr="00664874">
        <w:tc>
          <w:tcPr>
            <w:tcW w:w="1188" w:type="dxa"/>
            <w:shd w:val="clear" w:color="auto" w:fill="CCCCCC"/>
          </w:tcPr>
          <w:p w14:paraId="595DC933" w14:textId="77777777" w:rsidR="008151A6" w:rsidRPr="00E07C9A" w:rsidRDefault="008151A6" w:rsidP="00664874">
            <w:pPr>
              <w:rPr>
                <w:rFonts w:ascii="Times New Roman" w:hAnsi="Times New Roman"/>
                <w:sz w:val="24"/>
              </w:rPr>
            </w:pPr>
            <w:r w:rsidRPr="00E07C9A">
              <w:rPr>
                <w:rFonts w:ascii="Times New Roman" w:hAnsi="Times New Roman"/>
                <w:sz w:val="24"/>
              </w:rPr>
              <w:t>Stĺpce</w:t>
            </w:r>
          </w:p>
        </w:tc>
        <w:tc>
          <w:tcPr>
            <w:tcW w:w="8843" w:type="dxa"/>
            <w:shd w:val="clear" w:color="auto" w:fill="CCCCCC"/>
          </w:tcPr>
          <w:p w14:paraId="7DFC9D10" w14:textId="77777777" w:rsidR="008151A6" w:rsidRPr="00E07C9A" w:rsidRDefault="008151A6" w:rsidP="00664874">
            <w:pPr>
              <w:rPr>
                <w:rFonts w:ascii="Times New Roman" w:hAnsi="Times New Roman"/>
                <w:sz w:val="24"/>
              </w:rPr>
            </w:pPr>
            <w:r w:rsidRPr="00E07C9A">
              <w:rPr>
                <w:rFonts w:ascii="Times New Roman" w:hAnsi="Times New Roman"/>
                <w:sz w:val="24"/>
              </w:rPr>
              <w:t>Pokyny</w:t>
            </w:r>
          </w:p>
        </w:tc>
      </w:tr>
      <w:tr w:rsidR="00EE6F6C" w:rsidRPr="00E07C9A" w14:paraId="1CCE9024"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78DF840" w14:textId="77777777" w:rsidR="00EE6F6C" w:rsidRPr="00E07C9A" w:rsidRDefault="00EE6F6C" w:rsidP="00664874">
            <w:pPr>
              <w:rPr>
                <w:rStyle w:val="InstructionsTabelleText"/>
                <w:rFonts w:ascii="Times New Roman" w:hAnsi="Times New Roman"/>
                <w:sz w:val="24"/>
              </w:rPr>
            </w:pPr>
            <w:r w:rsidRPr="00E07C9A">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C7991DB" w14:textId="1BC4C612" w:rsidR="00EE6F6C" w:rsidRPr="00E07C9A" w:rsidRDefault="00EE6F6C" w:rsidP="00EE6F6C">
            <w:pPr>
              <w:rPr>
                <w:rFonts w:ascii="Times New Roman" w:hAnsi="Times New Roman"/>
                <w:b/>
                <w:sz w:val="24"/>
                <w:u w:val="single"/>
              </w:rPr>
            </w:pPr>
            <w:r w:rsidRPr="00E07C9A">
              <w:rPr>
                <w:rFonts w:ascii="Times New Roman" w:hAnsi="Times New Roman"/>
                <w:b/>
                <w:sz w:val="24"/>
                <w:u w:val="single"/>
              </w:rPr>
              <w:t>CELKOVÁ HODNOTA EXPOZÍCIE</w:t>
            </w:r>
            <w:r w:rsidR="009912F8" w:rsidRPr="00E07C9A">
              <w:rPr>
                <w:rFonts w:ascii="Times New Roman" w:hAnsi="Times New Roman"/>
                <w:b/>
                <w:sz w:val="24"/>
                <w:u w:val="single"/>
              </w:rPr>
              <w:t xml:space="preserve"> V </w:t>
            </w:r>
            <w:r w:rsidRPr="00E07C9A">
              <w:rPr>
                <w:rFonts w:ascii="Times New Roman" w:hAnsi="Times New Roman"/>
                <w:b/>
                <w:sz w:val="24"/>
                <w:u w:val="single"/>
              </w:rPr>
              <w:t>ZMYSLE VYMEDZENIA</w:t>
            </w:r>
            <w:r w:rsidR="009912F8" w:rsidRPr="00E07C9A">
              <w:rPr>
                <w:rFonts w:ascii="Times New Roman" w:hAnsi="Times New Roman"/>
                <w:b/>
                <w:sz w:val="24"/>
                <w:u w:val="single"/>
              </w:rPr>
              <w:t xml:space="preserve"> V </w:t>
            </w:r>
            <w:r w:rsidRPr="00E07C9A">
              <w:rPr>
                <w:rFonts w:ascii="Times New Roman" w:hAnsi="Times New Roman"/>
                <w:b/>
                <w:sz w:val="24"/>
                <w:u w:val="single"/>
              </w:rPr>
              <w:t xml:space="preserve">ČLÁNKU 166 NARIADENIA (EÚ) </w:t>
            </w:r>
            <w:r w:rsidR="009912F8" w:rsidRPr="00E07C9A">
              <w:rPr>
                <w:rFonts w:ascii="Times New Roman" w:hAnsi="Times New Roman"/>
                <w:b/>
                <w:sz w:val="24"/>
                <w:u w:val="single"/>
              </w:rPr>
              <w:t>č. 575/2013</w:t>
            </w:r>
          </w:p>
          <w:p w14:paraId="4EDD59E5" w14:textId="065190CF" w:rsidR="00EE6F6C" w:rsidRPr="00E07C9A" w:rsidRDefault="00EE6F6C" w:rsidP="00840A22">
            <w:pPr>
              <w:rPr>
                <w:rFonts w:ascii="Times New Roman" w:hAnsi="Times New Roman"/>
                <w:b/>
                <w:sz w:val="24"/>
              </w:rPr>
            </w:pPr>
            <w:r w:rsidRPr="00E07C9A">
              <w:rPr>
                <w:rFonts w:ascii="Times New Roman" w:hAnsi="Times New Roman"/>
                <w:sz w:val="24"/>
              </w:rPr>
              <w:t>Inštitúcie vykazujú hodnotu expozície pred zmierňovaním kreditného rizika</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166 nariadenia (EÚ) </w:t>
            </w:r>
            <w:r w:rsidR="009912F8" w:rsidRPr="00E07C9A">
              <w:rPr>
                <w:rFonts w:ascii="Times New Roman" w:hAnsi="Times New Roman"/>
                <w:sz w:val="24"/>
              </w:rPr>
              <w:t>č. 575/2013</w:t>
            </w:r>
            <w:r w:rsidRPr="00E07C9A">
              <w:rPr>
                <w:rFonts w:ascii="Times New Roman" w:hAnsi="Times New Roman"/>
                <w:sz w:val="24"/>
              </w:rPr>
              <w:t>.</w:t>
            </w:r>
          </w:p>
        </w:tc>
      </w:tr>
      <w:tr w:rsidR="008151A6" w:rsidRPr="00E07C9A" w14:paraId="1082ED9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3B7C88C6" w14:textId="77777777" w:rsidR="008151A6" w:rsidRPr="00E07C9A" w:rsidRDefault="008151A6" w:rsidP="00EE6F6C">
            <w:pPr>
              <w:rPr>
                <w:rStyle w:val="InstructionsTabelleText"/>
                <w:rFonts w:ascii="Times New Roman" w:hAnsi="Times New Roman"/>
                <w:sz w:val="24"/>
              </w:rPr>
            </w:pPr>
            <w:r w:rsidRPr="00E07C9A">
              <w:rPr>
                <w:rStyle w:val="InstructionsTabelleText"/>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397E9A6" w14:textId="77777777" w:rsidR="008151A6" w:rsidRPr="00E07C9A" w:rsidRDefault="008151A6" w:rsidP="00664874">
            <w:pPr>
              <w:rPr>
                <w:rFonts w:ascii="Times New Roman" w:hAnsi="Times New Roman"/>
                <w:b/>
                <w:sz w:val="24"/>
                <w:u w:val="single"/>
              </w:rPr>
            </w:pPr>
            <w:r w:rsidRPr="00E07C9A">
              <w:rPr>
                <w:rFonts w:ascii="Times New Roman" w:hAnsi="Times New Roman"/>
                <w:b/>
                <w:sz w:val="24"/>
                <w:u w:val="single"/>
              </w:rPr>
              <w:t>CELKOVÁ HODNOTA EXPOZÍCIE, NA KTORÚ SA VZŤAHUJE PRÍSTUP SA A PRÍSTUP IRB</w:t>
            </w:r>
          </w:p>
          <w:p w14:paraId="65EB5759" w14:textId="16E8ED0C" w:rsidR="008151A6" w:rsidRPr="00E07C9A" w:rsidRDefault="008151A6" w:rsidP="00EE6F6C">
            <w:pPr>
              <w:rPr>
                <w:rFonts w:ascii="Times New Roman" w:hAnsi="Times New Roman"/>
                <w:sz w:val="24"/>
              </w:rPr>
            </w:pPr>
            <w:r w:rsidRPr="00E07C9A">
              <w:rPr>
                <w:rFonts w:ascii="Times New Roman" w:hAnsi="Times New Roman"/>
                <w:sz w:val="24"/>
              </w:rPr>
              <w:t>Inštitúcie používajú hodnotu expozície pred zmierňovaním kreditného rizika</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429 ods. 4 nariadenia (EÚ) </w:t>
            </w:r>
            <w:r w:rsidR="009912F8" w:rsidRPr="00E07C9A">
              <w:rPr>
                <w:rFonts w:ascii="Times New Roman" w:hAnsi="Times New Roman"/>
                <w:sz w:val="24"/>
              </w:rPr>
              <w:t>č. 575/2013 s </w:t>
            </w:r>
            <w:r w:rsidRPr="00E07C9A">
              <w:rPr>
                <w:rFonts w:ascii="Times New Roman" w:hAnsi="Times New Roman"/>
                <w:sz w:val="24"/>
              </w:rPr>
              <w:t>cieľom vykazovať celkovú hodnotu expozície,</w:t>
            </w:r>
            <w:r w:rsidR="009912F8" w:rsidRPr="00E07C9A">
              <w:rPr>
                <w:rFonts w:ascii="Times New Roman" w:hAnsi="Times New Roman"/>
                <w:sz w:val="24"/>
              </w:rPr>
              <w:t xml:space="preserve"> a </w:t>
            </w:r>
            <w:r w:rsidRPr="00E07C9A">
              <w:rPr>
                <w:rFonts w:ascii="Times New Roman" w:hAnsi="Times New Roman"/>
                <w:sz w:val="24"/>
              </w:rPr>
              <w:t>to vrátane expozícií podľa štandardizovaného prístupu, ako aj expozícií podľa prístupu IRB.</w:t>
            </w:r>
          </w:p>
        </w:tc>
      </w:tr>
      <w:tr w:rsidR="008151A6" w:rsidRPr="00E07C9A" w14:paraId="38BD07F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9E08D4D" w14:textId="77777777" w:rsidR="008151A6" w:rsidRPr="00E07C9A" w:rsidRDefault="008151A6" w:rsidP="00EE6F6C">
            <w:pPr>
              <w:rPr>
                <w:rFonts w:ascii="Times New Roman" w:hAnsi="Times New Roman"/>
                <w:sz w:val="24"/>
              </w:rPr>
            </w:pPr>
            <w:r w:rsidRPr="00E07C9A">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6996A3D" w14:textId="77777777" w:rsidR="008151A6" w:rsidRPr="00E07C9A" w:rsidRDefault="008151A6" w:rsidP="00664874">
            <w:pPr>
              <w:rPr>
                <w:rFonts w:ascii="Times New Roman" w:hAnsi="Times New Roman"/>
                <w:b/>
                <w:sz w:val="24"/>
                <w:u w:val="single"/>
              </w:rPr>
            </w:pPr>
            <w:r w:rsidRPr="00E07C9A">
              <w:rPr>
                <w:rFonts w:ascii="Times New Roman" w:hAnsi="Times New Roman"/>
                <w:b/>
                <w:sz w:val="24"/>
                <w:u w:val="single"/>
              </w:rPr>
              <w:t>PERCENTUÁLNY PODIEL CELKOVEJ HODNOTY EXPOZÍCIE, NA KTORÚ SA VZŤAHUJE TRVALÉ ČIASTOČNÉ POUŽÍVANIE PRÍSTUPU SA (%)</w:t>
            </w:r>
          </w:p>
          <w:p w14:paraId="468D6087" w14:textId="5C265DED" w:rsidR="008151A6" w:rsidRPr="00E07C9A" w:rsidRDefault="008151A6" w:rsidP="00EE6F6C">
            <w:pPr>
              <w:rPr>
                <w:rFonts w:ascii="Times New Roman" w:hAnsi="Times New Roman"/>
                <w:sz w:val="24"/>
              </w:rPr>
            </w:pPr>
            <w:r w:rsidRPr="00E07C9A">
              <w:rPr>
                <w:rFonts w:ascii="Times New Roman" w:hAnsi="Times New Roman"/>
                <w:sz w:val="24"/>
              </w:rPr>
              <w:t>Časť expozície pri každej triede expozícií, na ktorú sa vzťahuje štandardizovaný prístup (expozícia, na ktorú sa vzťahuje štandardizovaný prístup, pred zmierňovaním kreditného rizika pre celkovú expozíciu</w:t>
            </w:r>
            <w:r w:rsidR="009912F8" w:rsidRPr="00E07C9A">
              <w:rPr>
                <w:rFonts w:ascii="Times New Roman" w:hAnsi="Times New Roman"/>
                <w:sz w:val="24"/>
              </w:rPr>
              <w:t xml:space="preserve"> v </w:t>
            </w:r>
            <w:r w:rsidRPr="00E07C9A">
              <w:rPr>
                <w:rFonts w:ascii="Times New Roman" w:hAnsi="Times New Roman"/>
                <w:sz w:val="24"/>
              </w:rPr>
              <w:t>danej triede expozícií</w:t>
            </w:r>
            <w:r w:rsidR="009912F8" w:rsidRPr="00E07C9A">
              <w:rPr>
                <w:rFonts w:ascii="Times New Roman" w:hAnsi="Times New Roman"/>
                <w:sz w:val="24"/>
              </w:rPr>
              <w:t xml:space="preserve"> v </w:t>
            </w:r>
            <w:r w:rsidRPr="00E07C9A">
              <w:rPr>
                <w:rFonts w:ascii="Times New Roman" w:hAnsi="Times New Roman"/>
                <w:sz w:val="24"/>
              </w:rPr>
              <w:t>stĺpci 0020), pri zohľadnení rozsahu povolenia na trvalé čiastočné používanie štandardizovaného prístupu udeleného príslušným orgánom</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150 nariadenia (EÚ) </w:t>
            </w:r>
            <w:r w:rsidR="009912F8" w:rsidRPr="00E07C9A">
              <w:rPr>
                <w:rFonts w:ascii="Times New Roman" w:hAnsi="Times New Roman"/>
                <w:sz w:val="24"/>
              </w:rPr>
              <w:t>č. 575/2013</w:t>
            </w:r>
            <w:r w:rsidRPr="00E07C9A">
              <w:rPr>
                <w:rFonts w:ascii="Times New Roman" w:hAnsi="Times New Roman"/>
                <w:sz w:val="24"/>
              </w:rPr>
              <w:t>.</w:t>
            </w:r>
          </w:p>
        </w:tc>
      </w:tr>
      <w:tr w:rsidR="008151A6" w:rsidRPr="00E07C9A" w14:paraId="509A5D0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6E852CC" w14:textId="77777777" w:rsidR="008151A6" w:rsidRPr="00E07C9A" w:rsidRDefault="008151A6" w:rsidP="00EE6F6C">
            <w:pPr>
              <w:rPr>
                <w:rFonts w:ascii="Times New Roman" w:hAnsi="Times New Roman"/>
                <w:sz w:val="24"/>
              </w:rPr>
            </w:pPr>
            <w:r w:rsidRPr="00E07C9A">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9BD2670" w14:textId="77777777" w:rsidR="008151A6" w:rsidRPr="00E07C9A" w:rsidRDefault="008151A6" w:rsidP="00664874">
            <w:pPr>
              <w:rPr>
                <w:rFonts w:ascii="Times New Roman" w:hAnsi="Times New Roman"/>
                <w:b/>
                <w:sz w:val="24"/>
                <w:u w:val="single"/>
              </w:rPr>
            </w:pPr>
            <w:r w:rsidRPr="00E07C9A">
              <w:rPr>
                <w:rFonts w:ascii="Times New Roman" w:hAnsi="Times New Roman"/>
                <w:b/>
                <w:sz w:val="24"/>
                <w:u w:val="single"/>
              </w:rPr>
              <w:t>PERCENTUÁLNY PODIEL CELKOVEJ HODNOTY EXPOZÍCIE, NA KTORÚ SA VZŤAHUJE PLÁN ZAVÁDZANIA (%)</w:t>
            </w:r>
          </w:p>
          <w:p w14:paraId="436B02A3" w14:textId="3B248DA2" w:rsidR="009912F8" w:rsidRPr="00E07C9A" w:rsidRDefault="008151A6" w:rsidP="00664874">
            <w:pPr>
              <w:rPr>
                <w:rFonts w:ascii="Times New Roman" w:hAnsi="Times New Roman"/>
                <w:sz w:val="24"/>
              </w:rPr>
            </w:pPr>
            <w:r w:rsidRPr="00E07C9A">
              <w:rPr>
                <w:rFonts w:ascii="Times New Roman" w:hAnsi="Times New Roman"/>
                <w:sz w:val="24"/>
              </w:rPr>
              <w:t xml:space="preserve">Časť expozície pri každej triede expozícií, na ktorú sa vzťahuje postupné zavádzanie prístupu IRB podľa článku 148 nariadenia (EÚ) </w:t>
            </w:r>
            <w:r w:rsidR="009912F8" w:rsidRPr="00E07C9A">
              <w:rPr>
                <w:rFonts w:ascii="Times New Roman" w:hAnsi="Times New Roman"/>
                <w:sz w:val="24"/>
              </w:rPr>
              <w:t>č. 575/2013</w:t>
            </w:r>
            <w:r w:rsidRPr="00E07C9A">
              <w:rPr>
                <w:rFonts w:ascii="Times New Roman" w:hAnsi="Times New Roman"/>
                <w:sz w:val="24"/>
              </w:rPr>
              <w:t>. To zahŕňa</w:t>
            </w:r>
            <w:r w:rsidR="009912F8" w:rsidRPr="00E07C9A">
              <w:rPr>
                <w:rFonts w:ascii="Times New Roman" w:hAnsi="Times New Roman"/>
                <w:sz w:val="24"/>
              </w:rPr>
              <w:t>:</w:t>
            </w:r>
          </w:p>
          <w:p w14:paraId="38EB87F1" w14:textId="4DA30879" w:rsidR="009912F8" w:rsidRPr="00E07C9A" w:rsidRDefault="008151A6" w:rsidP="005C4397">
            <w:pPr>
              <w:pStyle w:val="ListParagraph"/>
              <w:numPr>
                <w:ilvl w:val="0"/>
                <w:numId w:val="26"/>
              </w:numPr>
              <w:autoSpaceDE w:val="0"/>
              <w:autoSpaceDN w:val="0"/>
              <w:adjustRightInd w:val="0"/>
              <w:rPr>
                <w:rFonts w:ascii="Times New Roman" w:hAnsi="Times New Roman"/>
                <w:sz w:val="24"/>
              </w:rPr>
            </w:pPr>
            <w:r w:rsidRPr="00E07C9A">
              <w:rPr>
                <w:rFonts w:ascii="Times New Roman" w:hAnsi="Times New Roman"/>
                <w:sz w:val="24"/>
              </w:rPr>
              <w:t>expozície, pri ktorých inštitúcie plánujú uplatniť prístup IRB so svojimi vlastnými odhadmi LGD</w:t>
            </w:r>
            <w:r w:rsidR="009912F8" w:rsidRPr="00E07C9A">
              <w:rPr>
                <w:rFonts w:ascii="Times New Roman" w:hAnsi="Times New Roman"/>
                <w:sz w:val="24"/>
              </w:rPr>
              <w:t xml:space="preserve"> a </w:t>
            </w:r>
            <w:r w:rsidRPr="00E07C9A">
              <w:rPr>
                <w:rFonts w:ascii="Times New Roman" w:hAnsi="Times New Roman"/>
                <w:sz w:val="24"/>
              </w:rPr>
              <w:t>konverzných faktorov alebo bez nich (F-IRB</w:t>
            </w:r>
            <w:r w:rsidR="009912F8" w:rsidRPr="00E07C9A">
              <w:rPr>
                <w:rFonts w:ascii="Times New Roman" w:hAnsi="Times New Roman"/>
                <w:sz w:val="24"/>
              </w:rPr>
              <w:t xml:space="preserve"> a </w:t>
            </w:r>
            <w:r w:rsidRPr="00E07C9A">
              <w:rPr>
                <w:rFonts w:ascii="Times New Roman" w:hAnsi="Times New Roman"/>
                <w:sz w:val="24"/>
              </w:rPr>
              <w:t>A-IRB)</w:t>
            </w:r>
            <w:r w:rsidR="009912F8" w:rsidRPr="00E07C9A">
              <w:rPr>
                <w:rFonts w:ascii="Times New Roman" w:hAnsi="Times New Roman"/>
                <w:sz w:val="24"/>
              </w:rPr>
              <w:t>;</w:t>
            </w:r>
          </w:p>
          <w:p w14:paraId="19994760" w14:textId="79F33AB5" w:rsidR="008151A6" w:rsidRPr="00E07C9A" w:rsidRDefault="008151A6" w:rsidP="005C4397">
            <w:pPr>
              <w:pStyle w:val="ListParagraph"/>
              <w:numPr>
                <w:ilvl w:val="0"/>
                <w:numId w:val="26"/>
              </w:numPr>
              <w:autoSpaceDE w:val="0"/>
              <w:autoSpaceDN w:val="0"/>
              <w:adjustRightInd w:val="0"/>
              <w:rPr>
                <w:rFonts w:ascii="Times New Roman" w:hAnsi="Times New Roman"/>
                <w:spacing w:val="-2"/>
                <w:sz w:val="24"/>
              </w:rPr>
            </w:pPr>
            <w:r w:rsidRPr="00E07C9A">
              <w:rPr>
                <w:rFonts w:ascii="Times New Roman" w:hAnsi="Times New Roman"/>
                <w:sz w:val="24"/>
              </w:rPr>
              <w:t>nevýznamné kapitálové expozície, ktoré nie sú zahrnuté</w:t>
            </w:r>
            <w:r w:rsidR="009912F8" w:rsidRPr="00E07C9A">
              <w:rPr>
                <w:rFonts w:ascii="Times New Roman" w:hAnsi="Times New Roman"/>
                <w:sz w:val="24"/>
              </w:rPr>
              <w:t xml:space="preserve"> v </w:t>
            </w:r>
            <w:r w:rsidRPr="00E07C9A">
              <w:rPr>
                <w:rFonts w:ascii="Times New Roman" w:hAnsi="Times New Roman"/>
                <w:sz w:val="24"/>
              </w:rPr>
              <w:t>stĺpci 0020 ani 0040;</w:t>
            </w:r>
          </w:p>
          <w:p w14:paraId="0BEB563B" w14:textId="04B93AB9" w:rsidR="009912F8" w:rsidRPr="00E07C9A" w:rsidRDefault="008151A6" w:rsidP="005C4397">
            <w:pPr>
              <w:pStyle w:val="ListParagraph"/>
              <w:numPr>
                <w:ilvl w:val="0"/>
                <w:numId w:val="26"/>
              </w:numPr>
              <w:autoSpaceDE w:val="0"/>
              <w:autoSpaceDN w:val="0"/>
              <w:adjustRightInd w:val="0"/>
              <w:rPr>
                <w:rFonts w:ascii="Times New Roman" w:hAnsi="Times New Roman"/>
                <w:sz w:val="24"/>
              </w:rPr>
            </w:pPr>
            <w:r w:rsidRPr="00E07C9A">
              <w:rPr>
                <w:rFonts w:ascii="Times New Roman" w:hAnsi="Times New Roman"/>
                <w:sz w:val="24"/>
              </w:rPr>
              <w:t>expozície, na ktoré sa už uplatňuje prístup F-IRB, ak inštitúcia plánuje</w:t>
            </w:r>
            <w:r w:rsidR="009912F8" w:rsidRPr="00E07C9A">
              <w:rPr>
                <w:rFonts w:ascii="Times New Roman" w:hAnsi="Times New Roman"/>
                <w:sz w:val="24"/>
              </w:rPr>
              <w:t xml:space="preserve"> v </w:t>
            </w:r>
            <w:r w:rsidRPr="00E07C9A">
              <w:rPr>
                <w:rFonts w:ascii="Times New Roman" w:hAnsi="Times New Roman"/>
                <w:sz w:val="24"/>
              </w:rPr>
              <w:t>budúcnosti uplatňovať prístup A-IRB</w:t>
            </w:r>
            <w:r w:rsidR="009912F8" w:rsidRPr="00E07C9A">
              <w:rPr>
                <w:rFonts w:ascii="Times New Roman" w:hAnsi="Times New Roman"/>
                <w:sz w:val="24"/>
              </w:rPr>
              <w:t>;</w:t>
            </w:r>
          </w:p>
          <w:p w14:paraId="389F4156" w14:textId="5B0D5E75" w:rsidR="008151A6" w:rsidRPr="00E07C9A" w:rsidRDefault="008151A6" w:rsidP="005C4397">
            <w:pPr>
              <w:pStyle w:val="ListParagraph"/>
              <w:numPr>
                <w:ilvl w:val="0"/>
                <w:numId w:val="26"/>
              </w:numPr>
              <w:autoSpaceDE w:val="0"/>
              <w:autoSpaceDN w:val="0"/>
              <w:adjustRightInd w:val="0"/>
              <w:rPr>
                <w:rFonts w:ascii="Times New Roman" w:hAnsi="Times New Roman"/>
                <w:spacing w:val="-2"/>
                <w:sz w:val="24"/>
              </w:rPr>
            </w:pPr>
            <w:r w:rsidRPr="00E07C9A">
              <w:rPr>
                <w:rFonts w:ascii="Times New Roman" w:hAnsi="Times New Roman"/>
                <w:sz w:val="24"/>
              </w:rPr>
              <w:t>expozície vo forme špecializovaného financovania, pri ktorom sa uplatňuje prístup orgánov dohľadu spočívajúci</w:t>
            </w:r>
            <w:r w:rsidR="009912F8" w:rsidRPr="00E07C9A">
              <w:rPr>
                <w:rFonts w:ascii="Times New Roman" w:hAnsi="Times New Roman"/>
                <w:sz w:val="24"/>
              </w:rPr>
              <w:t xml:space="preserve"> v </w:t>
            </w:r>
            <w:r w:rsidRPr="00E07C9A">
              <w:rPr>
                <w:rFonts w:ascii="Times New Roman" w:hAnsi="Times New Roman"/>
                <w:sz w:val="24"/>
              </w:rPr>
              <w:t>zaradení</w:t>
            </w:r>
            <w:r w:rsidR="009912F8" w:rsidRPr="00E07C9A">
              <w:rPr>
                <w:rFonts w:ascii="Times New Roman" w:hAnsi="Times New Roman"/>
                <w:sz w:val="24"/>
              </w:rPr>
              <w:t xml:space="preserve"> a </w:t>
            </w:r>
            <w:r w:rsidRPr="00E07C9A">
              <w:rPr>
                <w:rFonts w:ascii="Times New Roman" w:hAnsi="Times New Roman"/>
                <w:sz w:val="24"/>
              </w:rPr>
              <w:t>ktoré nie sú zahrnuté</w:t>
            </w:r>
            <w:r w:rsidR="009912F8" w:rsidRPr="00E07C9A">
              <w:rPr>
                <w:rFonts w:ascii="Times New Roman" w:hAnsi="Times New Roman"/>
                <w:sz w:val="24"/>
              </w:rPr>
              <w:t xml:space="preserve"> v </w:t>
            </w:r>
            <w:r w:rsidRPr="00E07C9A">
              <w:rPr>
                <w:rFonts w:ascii="Times New Roman" w:hAnsi="Times New Roman"/>
                <w:sz w:val="24"/>
              </w:rPr>
              <w:t>stĺpci 0040.</w:t>
            </w:r>
          </w:p>
        </w:tc>
      </w:tr>
      <w:tr w:rsidR="008151A6" w:rsidRPr="00E07C9A" w14:paraId="50371C4F"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CEEC442" w14:textId="77777777" w:rsidR="008151A6" w:rsidRPr="00E07C9A" w:rsidRDefault="008151A6" w:rsidP="00EE6F6C">
            <w:pPr>
              <w:rPr>
                <w:rFonts w:ascii="Times New Roman" w:hAnsi="Times New Roman"/>
                <w:sz w:val="24"/>
              </w:rPr>
            </w:pPr>
            <w:r w:rsidRPr="00E07C9A">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EEBEA18" w14:textId="77777777" w:rsidR="008151A6" w:rsidRPr="00E07C9A" w:rsidRDefault="008151A6" w:rsidP="00664874">
            <w:pPr>
              <w:rPr>
                <w:rFonts w:ascii="Times New Roman" w:hAnsi="Times New Roman"/>
                <w:b/>
                <w:sz w:val="24"/>
                <w:u w:val="single"/>
              </w:rPr>
            </w:pPr>
            <w:r w:rsidRPr="00E07C9A">
              <w:rPr>
                <w:rFonts w:ascii="Times New Roman" w:hAnsi="Times New Roman"/>
                <w:b/>
                <w:sz w:val="24"/>
                <w:u w:val="single"/>
              </w:rPr>
              <w:t>PERCENTUÁLNY PODIEL CELKOVEJ HODNOTY EXPOZÍCIE, NA KTORÚ SA VZŤAHUJE PRÍSTUP IRB (%)</w:t>
            </w:r>
          </w:p>
          <w:p w14:paraId="3B809DEB" w14:textId="16D6E801" w:rsidR="008151A6" w:rsidRPr="00E07C9A" w:rsidRDefault="008151A6" w:rsidP="009A4399">
            <w:pPr>
              <w:rPr>
                <w:rFonts w:ascii="Times New Roman" w:hAnsi="Times New Roman"/>
                <w:b/>
                <w:sz w:val="24"/>
              </w:rPr>
            </w:pPr>
            <w:r w:rsidRPr="00E07C9A">
              <w:rPr>
                <w:rFonts w:ascii="Times New Roman" w:hAnsi="Times New Roman"/>
                <w:sz w:val="24"/>
              </w:rPr>
              <w:t>Časť expozície pri každej triede expozícií, na ktorú sa vzťahuje prístup IRB (expozícia, na ktorú sa vzťahuje prístup IRB, pred zmierňovaním kreditného rizika pre celkovú expozíciu</w:t>
            </w:r>
            <w:r w:rsidR="009912F8" w:rsidRPr="00E07C9A">
              <w:rPr>
                <w:rFonts w:ascii="Times New Roman" w:hAnsi="Times New Roman"/>
                <w:sz w:val="24"/>
              </w:rPr>
              <w:t xml:space="preserve"> v </w:t>
            </w:r>
            <w:r w:rsidRPr="00E07C9A">
              <w:rPr>
                <w:rFonts w:ascii="Times New Roman" w:hAnsi="Times New Roman"/>
                <w:sz w:val="24"/>
              </w:rPr>
              <w:t>danej triede expozícií), pri zohľadnení rozsahu povolenia, ktoré udelil príslušný orgán, na používanie prístupu IRB</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143 nariadenia (EÚ) </w:t>
            </w:r>
            <w:r w:rsidR="009912F8" w:rsidRPr="00E07C9A">
              <w:rPr>
                <w:rFonts w:ascii="Times New Roman" w:hAnsi="Times New Roman"/>
                <w:sz w:val="24"/>
              </w:rPr>
              <w:t>č. 575/2013</w:t>
            </w:r>
            <w:r w:rsidRPr="00E07C9A">
              <w:rPr>
                <w:rFonts w:ascii="Times New Roman" w:hAnsi="Times New Roman"/>
                <w:sz w:val="24"/>
              </w:rPr>
              <w:t>. To zahŕňa expozície, pri ktorých inštitúcie majú povolenie používať alebo nepoužívať svoje vlastné odhady LGD</w:t>
            </w:r>
            <w:r w:rsidR="009912F8" w:rsidRPr="00E07C9A">
              <w:rPr>
                <w:rFonts w:ascii="Times New Roman" w:hAnsi="Times New Roman"/>
                <w:sz w:val="24"/>
              </w:rPr>
              <w:t xml:space="preserve"> a </w:t>
            </w:r>
            <w:r w:rsidRPr="00E07C9A">
              <w:rPr>
                <w:rFonts w:ascii="Times New Roman" w:hAnsi="Times New Roman"/>
                <w:sz w:val="24"/>
              </w:rPr>
              <w:t>konverzných faktorov (F-IRB</w:t>
            </w:r>
            <w:r w:rsidR="009912F8" w:rsidRPr="00E07C9A">
              <w:rPr>
                <w:rFonts w:ascii="Times New Roman" w:hAnsi="Times New Roman"/>
                <w:sz w:val="24"/>
              </w:rPr>
              <w:t xml:space="preserve"> a </w:t>
            </w:r>
            <w:r w:rsidRPr="00E07C9A">
              <w:rPr>
                <w:rFonts w:ascii="Times New Roman" w:hAnsi="Times New Roman"/>
                <w:sz w:val="24"/>
              </w:rPr>
              <w:t>A-IRB), vrátane prístupu orgánov dohľadu spočívajúceho</w:t>
            </w:r>
            <w:r w:rsidR="009912F8" w:rsidRPr="00E07C9A">
              <w:rPr>
                <w:rFonts w:ascii="Times New Roman" w:hAnsi="Times New Roman"/>
                <w:sz w:val="24"/>
              </w:rPr>
              <w:t xml:space="preserve"> v </w:t>
            </w:r>
            <w:r w:rsidRPr="00E07C9A">
              <w:rPr>
                <w:rFonts w:ascii="Times New Roman" w:hAnsi="Times New Roman"/>
                <w:sz w:val="24"/>
              </w:rPr>
              <w:t>zaradení expozícií vo forme špecializovaného financovania</w:t>
            </w:r>
            <w:r w:rsidR="009912F8" w:rsidRPr="00E07C9A">
              <w:rPr>
                <w:rFonts w:ascii="Times New Roman" w:hAnsi="Times New Roman"/>
                <w:sz w:val="24"/>
              </w:rPr>
              <w:t xml:space="preserve"> a </w:t>
            </w:r>
            <w:r w:rsidRPr="00E07C9A">
              <w:rPr>
                <w:rFonts w:ascii="Times New Roman" w:hAnsi="Times New Roman"/>
                <w:sz w:val="24"/>
              </w:rPr>
              <w:t>kapitálových expozícií</w:t>
            </w:r>
            <w:r w:rsidR="009912F8" w:rsidRPr="00E07C9A">
              <w:rPr>
                <w:rFonts w:ascii="Times New Roman" w:hAnsi="Times New Roman"/>
                <w:sz w:val="24"/>
              </w:rPr>
              <w:t xml:space="preserve"> v </w:t>
            </w:r>
            <w:r w:rsidRPr="00E07C9A">
              <w:rPr>
                <w:rFonts w:ascii="Times New Roman" w:hAnsi="Times New Roman"/>
                <w:sz w:val="24"/>
              </w:rPr>
              <w:t>rámci jednoduchého prístupu založeného na použití rizikovej váhy, ako aj expozície vykazované</w:t>
            </w:r>
            <w:r w:rsidR="009912F8" w:rsidRPr="00E07C9A">
              <w:rPr>
                <w:rFonts w:ascii="Times New Roman" w:hAnsi="Times New Roman"/>
                <w:sz w:val="24"/>
              </w:rPr>
              <w:t xml:space="preserve"> v </w:t>
            </w:r>
            <w:r w:rsidRPr="00E07C9A">
              <w:rPr>
                <w:rFonts w:ascii="Times New Roman" w:hAnsi="Times New Roman"/>
                <w:sz w:val="24"/>
              </w:rPr>
              <w:t>riadku 0170 vzoru C 08.01.</w:t>
            </w:r>
          </w:p>
        </w:tc>
      </w:tr>
    </w:tbl>
    <w:p w14:paraId="6D45D7AA" w14:textId="77777777" w:rsidR="008151A6" w:rsidRPr="00E07C9A" w:rsidRDefault="008151A6" w:rsidP="008151A6">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E07C9A" w14:paraId="7436DCFC" w14:textId="77777777" w:rsidTr="00664874">
        <w:tc>
          <w:tcPr>
            <w:tcW w:w="1271" w:type="dxa"/>
            <w:shd w:val="pct25" w:color="auto" w:fill="auto"/>
          </w:tcPr>
          <w:p w14:paraId="2B6F9436" w14:textId="77777777" w:rsidR="008151A6" w:rsidRPr="00E07C9A" w:rsidRDefault="008151A6" w:rsidP="00664874">
            <w:pPr>
              <w:rPr>
                <w:rFonts w:ascii="Times New Roman" w:hAnsi="Times New Roman"/>
                <w:sz w:val="24"/>
              </w:rPr>
            </w:pPr>
            <w:r w:rsidRPr="00E07C9A">
              <w:rPr>
                <w:rFonts w:ascii="Times New Roman" w:hAnsi="Times New Roman"/>
                <w:sz w:val="24"/>
              </w:rPr>
              <w:t>Riadky</w:t>
            </w:r>
          </w:p>
        </w:tc>
        <w:tc>
          <w:tcPr>
            <w:tcW w:w="8557" w:type="dxa"/>
            <w:shd w:val="pct25" w:color="auto" w:fill="auto"/>
          </w:tcPr>
          <w:p w14:paraId="7295B468" w14:textId="77777777" w:rsidR="008151A6" w:rsidRPr="00E07C9A" w:rsidRDefault="008151A6" w:rsidP="00664874">
            <w:pPr>
              <w:rPr>
                <w:rFonts w:ascii="Times New Roman" w:hAnsi="Times New Roman"/>
                <w:sz w:val="24"/>
              </w:rPr>
            </w:pPr>
            <w:r w:rsidRPr="00E07C9A">
              <w:rPr>
                <w:rFonts w:ascii="Times New Roman" w:hAnsi="Times New Roman"/>
                <w:sz w:val="24"/>
              </w:rPr>
              <w:t>Pokyny</w:t>
            </w:r>
          </w:p>
        </w:tc>
      </w:tr>
      <w:tr w:rsidR="008151A6" w:rsidRPr="00E07C9A" w14:paraId="6CE69EFF" w14:textId="77777777" w:rsidTr="00664874">
        <w:tc>
          <w:tcPr>
            <w:tcW w:w="1271" w:type="dxa"/>
          </w:tcPr>
          <w:p w14:paraId="77C89C44" w14:textId="77777777" w:rsidR="008151A6" w:rsidRPr="00E07C9A" w:rsidRDefault="008151A6" w:rsidP="00664874">
            <w:pPr>
              <w:rPr>
                <w:rFonts w:ascii="Times New Roman" w:hAnsi="Times New Roman"/>
                <w:sz w:val="24"/>
              </w:rPr>
            </w:pPr>
            <w:r w:rsidRPr="00E07C9A">
              <w:rPr>
                <w:rFonts w:ascii="Times New Roman" w:hAnsi="Times New Roman"/>
                <w:sz w:val="24"/>
              </w:rPr>
              <w:t>TRIEDY EXPOZÍCIÍ</w:t>
            </w:r>
          </w:p>
        </w:tc>
        <w:tc>
          <w:tcPr>
            <w:tcW w:w="8557" w:type="dxa"/>
          </w:tcPr>
          <w:p w14:paraId="661FCC1F" w14:textId="019B7089" w:rsidR="008151A6" w:rsidRPr="00E07C9A" w:rsidRDefault="008151A6" w:rsidP="00CC2B5B">
            <w:pPr>
              <w:rPr>
                <w:rFonts w:ascii="Times New Roman" w:eastAsiaTheme="minorHAnsi" w:hAnsi="Times New Roman"/>
                <w:sz w:val="24"/>
              </w:rPr>
            </w:pPr>
            <w:r w:rsidRPr="00E07C9A">
              <w:rPr>
                <w:rFonts w:ascii="Times New Roman" w:hAnsi="Times New Roman"/>
                <w:sz w:val="24"/>
              </w:rPr>
              <w:t>Inštitúcie do tohto vzoru zahŕňajú informácie podľa tried expozícií</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rozčlenením tried expozícií uvedeným</w:t>
            </w:r>
            <w:r w:rsidR="009912F8" w:rsidRPr="00E07C9A">
              <w:rPr>
                <w:rFonts w:ascii="Times New Roman" w:hAnsi="Times New Roman"/>
                <w:sz w:val="24"/>
              </w:rPr>
              <w:t xml:space="preserve"> v </w:t>
            </w:r>
            <w:r w:rsidRPr="00E07C9A">
              <w:rPr>
                <w:rFonts w:ascii="Times New Roman" w:hAnsi="Times New Roman"/>
                <w:sz w:val="24"/>
              </w:rPr>
              <w:t>riadkoch vzoru.</w:t>
            </w:r>
          </w:p>
        </w:tc>
      </w:tr>
    </w:tbl>
    <w:p w14:paraId="666E7F64" w14:textId="77777777" w:rsidR="008151A6" w:rsidRPr="00E07C9A" w:rsidRDefault="008151A6" w:rsidP="00487A02">
      <w:pPr>
        <w:pStyle w:val="InstructionsText"/>
      </w:pPr>
    </w:p>
    <w:p w14:paraId="381A08C1" w14:textId="7E7B7533" w:rsidR="004357B9" w:rsidRPr="00E07C9A" w:rsidRDefault="00125707" w:rsidP="0023700C">
      <w:pPr>
        <w:pStyle w:val="Instructionsberschrift2"/>
        <w:numPr>
          <w:ilvl w:val="0"/>
          <w:numId w:val="0"/>
        </w:numPr>
        <w:ind w:left="357" w:hanging="357"/>
        <w:rPr>
          <w:rFonts w:ascii="Times New Roman" w:hAnsi="Times New Roman" w:cs="Times New Roman"/>
          <w:sz w:val="24"/>
        </w:rPr>
      </w:pPr>
      <w:bookmarkStart w:id="357" w:name="_Toc360188361"/>
      <w:bookmarkStart w:id="358" w:name="_Toc473560912"/>
      <w:bookmarkStart w:id="359" w:name="_Toc115857809"/>
      <w:r w:rsidRPr="00E07C9A">
        <w:rPr>
          <w:rFonts w:ascii="Times New Roman" w:hAnsi="Times New Roman" w:cs="Times New Roman"/>
          <w:sz w:val="24"/>
          <w:u w:val="none"/>
        </w:rPr>
        <w:t>3.4.</w:t>
      </w:r>
      <w:r w:rsidRPr="00E07C9A">
        <w:rPr>
          <w:rFonts w:ascii="Times New Roman" w:hAnsi="Times New Roman" w:cs="Times New Roman"/>
          <w:u w:val="none"/>
        </w:rPr>
        <w:tab/>
      </w:r>
      <w:r w:rsidRPr="00E07C9A">
        <w:rPr>
          <w:rFonts w:ascii="Times New Roman" w:hAnsi="Times New Roman" w:cs="Times New Roman"/>
          <w:sz w:val="24"/>
        </w:rPr>
        <w:t>Kreditné riziko</w:t>
      </w:r>
      <w:r w:rsidR="009912F8" w:rsidRPr="00E07C9A">
        <w:rPr>
          <w:rFonts w:ascii="Times New Roman" w:hAnsi="Times New Roman" w:cs="Times New Roman"/>
          <w:sz w:val="24"/>
        </w:rPr>
        <w:t xml:space="preserve"> a </w:t>
      </w:r>
      <w:r w:rsidRPr="00E07C9A">
        <w:rPr>
          <w:rFonts w:ascii="Times New Roman" w:hAnsi="Times New Roman" w:cs="Times New Roman"/>
          <w:sz w:val="24"/>
        </w:rPr>
        <w:t>kreditné riziko protistrany</w:t>
      </w:r>
      <w:r w:rsidR="009912F8" w:rsidRPr="00E07C9A">
        <w:rPr>
          <w:rFonts w:ascii="Times New Roman" w:hAnsi="Times New Roman" w:cs="Times New Roman"/>
          <w:sz w:val="24"/>
        </w:rPr>
        <w:t xml:space="preserve"> a </w:t>
      </w:r>
      <w:r w:rsidRPr="00E07C9A">
        <w:rPr>
          <w:rFonts w:ascii="Times New Roman" w:hAnsi="Times New Roman" w:cs="Times New Roman"/>
          <w:sz w:val="24"/>
        </w:rPr>
        <w:t>bezodplatné dodanie: informácie</w:t>
      </w:r>
      <w:r w:rsidR="009912F8" w:rsidRPr="00E07C9A">
        <w:rPr>
          <w:rFonts w:ascii="Times New Roman" w:hAnsi="Times New Roman" w:cs="Times New Roman"/>
          <w:sz w:val="24"/>
        </w:rPr>
        <w:t xml:space="preserve"> s </w:t>
      </w:r>
      <w:r w:rsidRPr="00E07C9A">
        <w:rPr>
          <w:rFonts w:ascii="Times New Roman" w:hAnsi="Times New Roman" w:cs="Times New Roman"/>
          <w:sz w:val="24"/>
        </w:rPr>
        <w:t>geografickým rozčlenením</w:t>
      </w:r>
      <w:bookmarkEnd w:id="357"/>
      <w:bookmarkEnd w:id="358"/>
      <w:bookmarkEnd w:id="359"/>
    </w:p>
    <w:p w14:paraId="59CE9D64" w14:textId="2FC4AE92" w:rsidR="004357B9" w:rsidRPr="00E07C9A" w:rsidRDefault="002A18DE" w:rsidP="00487A02">
      <w:pPr>
        <w:pStyle w:val="InstructionsText2"/>
        <w:numPr>
          <w:ilvl w:val="0"/>
          <w:numId w:val="0"/>
        </w:numPr>
        <w:ind w:left="1353" w:hanging="360"/>
      </w:pPr>
      <w:fldSimple w:instr=" seq paragraphs ">
        <w:r w:rsidR="00132AEE">
          <w:rPr>
            <w:noProof/>
          </w:rPr>
          <w:t>85</w:t>
        </w:r>
      </w:fldSimple>
      <w:r w:rsidR="00C3070C" w:rsidRPr="00E07C9A">
        <w:t>.</w:t>
      </w:r>
      <w:r w:rsidR="00C3070C" w:rsidRPr="00E07C9A">
        <w:tab/>
        <w:t>Všetky inštitúcie predkladajú informácie agregované na celkovej úrovni. Inštitúcie, ktoré spĺňajú prahovú hodnotu stanovenú</w:t>
      </w:r>
      <w:r w:rsidR="009912F8" w:rsidRPr="00E07C9A">
        <w:t xml:space="preserve"> v </w:t>
      </w:r>
      <w:r w:rsidR="00C3070C" w:rsidRPr="00E07C9A">
        <w:t>článku 5 ods. 5 tohto vykonávacieho nariadenia, navyše predkladajú informácie rozčlenené podľa krajiny,</w:t>
      </w:r>
      <w:r w:rsidR="009912F8" w:rsidRPr="00E07C9A">
        <w:t xml:space="preserve"> a </w:t>
      </w:r>
      <w:r w:rsidR="00C3070C" w:rsidRPr="00E07C9A">
        <w:t>to pokiaľ ide</w:t>
      </w:r>
      <w:r w:rsidR="009912F8" w:rsidRPr="00E07C9A">
        <w:t xml:space="preserve"> o </w:t>
      </w:r>
      <w:r w:rsidR="00C3070C" w:rsidRPr="00E07C9A">
        <w:t>domácu krajinu, ako aj akúkoľvek nedomácu krajinu. Prahová hodnota sa zohľadňuje iba vo vzťahu</w:t>
      </w:r>
      <w:r w:rsidR="009912F8" w:rsidRPr="00E07C9A">
        <w:t xml:space="preserve"> k </w:t>
      </w:r>
      <w:r w:rsidR="00C3070C" w:rsidRPr="00E07C9A">
        <w:t>vzorom CR GB 1</w:t>
      </w:r>
      <w:r w:rsidR="009912F8" w:rsidRPr="00E07C9A">
        <w:t xml:space="preserve"> a </w:t>
      </w:r>
      <w:r w:rsidR="00C3070C" w:rsidRPr="00E07C9A">
        <w:t>CR GB 2. Expozície voči nadnárodným organizáciám sa priraďujú ku geografickej oblasti „ostatné krajiny“.</w:t>
      </w:r>
    </w:p>
    <w:p w14:paraId="6678F7E4" w14:textId="25E61DF0" w:rsidR="004357B9" w:rsidRPr="00E07C9A" w:rsidRDefault="002A18DE" w:rsidP="00487A02">
      <w:pPr>
        <w:pStyle w:val="InstructionsText2"/>
        <w:numPr>
          <w:ilvl w:val="0"/>
          <w:numId w:val="0"/>
        </w:numPr>
        <w:ind w:left="1353" w:hanging="360"/>
      </w:pPr>
      <w:fldSimple w:instr=" seq paragraphs ">
        <w:r w:rsidR="00132AEE">
          <w:rPr>
            <w:noProof/>
          </w:rPr>
          <w:t>86</w:t>
        </w:r>
      </w:fldSimple>
      <w:r w:rsidR="00C3070C" w:rsidRPr="00E07C9A">
        <w:t>.</w:t>
      </w:r>
      <w:r w:rsidR="00C3070C" w:rsidRPr="00E07C9A">
        <w:tab/>
        <w:t>Pojem „sídlo dlžníka“ sa vzťahuje na krajinu založenia spoločnosti dlžníka. Tento pojem sa môže používať na základe priameho dlžníka</w:t>
      </w:r>
      <w:r w:rsidR="009912F8" w:rsidRPr="00E07C9A">
        <w:t xml:space="preserve"> a </w:t>
      </w:r>
      <w:r w:rsidR="00C3070C" w:rsidRPr="00E07C9A">
        <w:t>na základe konečného rizika. Postupy zmierňovania kreditného rizika so substitučnými účinkami môžu teda zmeniť priradenie expozície ku krajine. Expozície voči nadnárodným organizáciám sa nepriraďujú ku krajine sídla danej inštitúcie, ale ku geografickej oblasti „ostatné krajiny“ bez ohľadu na triedu expozícií, do ktorej sa priraďuje expozícia voči nadnárodným organizáciám.</w:t>
      </w:r>
    </w:p>
    <w:p w14:paraId="49CADB9D" w14:textId="0172C0E7" w:rsidR="0096378F" w:rsidRPr="00E07C9A" w:rsidRDefault="002A18DE" w:rsidP="00487A02">
      <w:pPr>
        <w:pStyle w:val="InstructionsText2"/>
        <w:numPr>
          <w:ilvl w:val="0"/>
          <w:numId w:val="0"/>
        </w:numPr>
        <w:ind w:left="1353" w:hanging="360"/>
      </w:pPr>
      <w:fldSimple w:instr=" seq paragraphs ">
        <w:r w:rsidR="00132AEE">
          <w:rPr>
            <w:noProof/>
          </w:rPr>
          <w:t>87</w:t>
        </w:r>
      </w:fldSimple>
      <w:r w:rsidR="00C3070C" w:rsidRPr="00E07C9A">
        <w:t>.</w:t>
      </w:r>
      <w:r w:rsidR="00C3070C" w:rsidRPr="00E07C9A">
        <w:tab/>
        <w:t>Údaje týkajúce sa „pôvodnej expozície pred uplatnením konverzných faktorov“ sa vykazujú vo vzťahu ku krajine sídla priameho dlžníka. Údaje týkajúce sa „hodnoty expozície“</w:t>
      </w:r>
      <w:r w:rsidR="009912F8" w:rsidRPr="00E07C9A">
        <w:t xml:space="preserve"> a </w:t>
      </w:r>
      <w:r w:rsidR="00C3070C" w:rsidRPr="00E07C9A">
        <w:t>„hodnôt rizikovo vážených expozícií“ sa vykazujú podľa krajiny sídla konečného dlžníka.</w:t>
      </w:r>
    </w:p>
    <w:p w14:paraId="0658048F" w14:textId="51485079" w:rsidR="004357B9" w:rsidRPr="00E07C9A" w:rsidRDefault="00125707" w:rsidP="0023700C">
      <w:pPr>
        <w:pStyle w:val="Instructionsberschrift2"/>
        <w:numPr>
          <w:ilvl w:val="0"/>
          <w:numId w:val="0"/>
        </w:numPr>
        <w:ind w:left="357" w:hanging="357"/>
        <w:rPr>
          <w:rFonts w:ascii="Times New Roman" w:hAnsi="Times New Roman" w:cs="Times New Roman"/>
          <w:sz w:val="24"/>
        </w:rPr>
      </w:pPr>
      <w:bookmarkStart w:id="360" w:name="_Toc360188362"/>
      <w:bookmarkStart w:id="361" w:name="_Toc473560913"/>
      <w:bookmarkStart w:id="362" w:name="_Toc115857810"/>
      <w:r w:rsidRPr="00E07C9A">
        <w:rPr>
          <w:rFonts w:ascii="Times New Roman" w:hAnsi="Times New Roman" w:cs="Times New Roman"/>
          <w:sz w:val="24"/>
          <w:u w:val="none"/>
        </w:rPr>
        <w:t>3.4.1.</w:t>
      </w:r>
      <w:r w:rsidRPr="00E07C9A">
        <w:rPr>
          <w:rFonts w:ascii="Times New Roman" w:hAnsi="Times New Roman" w:cs="Times New Roman"/>
          <w:u w:val="none"/>
        </w:rPr>
        <w:tab/>
      </w:r>
      <w:r w:rsidRPr="00E07C9A">
        <w:rPr>
          <w:rFonts w:ascii="Times New Roman" w:hAnsi="Times New Roman" w:cs="Times New Roman"/>
          <w:sz w:val="24"/>
        </w:rPr>
        <w:t>C 09.01 – Geografické rozčlenenie expozícií podľa sídla dlžníka: expozície SA (CR GB 1)</w:t>
      </w:r>
      <w:bookmarkEnd w:id="360"/>
      <w:bookmarkEnd w:id="361"/>
      <w:bookmarkEnd w:id="362"/>
    </w:p>
    <w:p w14:paraId="79B3925A" w14:textId="77777777" w:rsidR="004357B9" w:rsidRPr="00E07C9A" w:rsidRDefault="00125707" w:rsidP="0023700C">
      <w:pPr>
        <w:pStyle w:val="Instructionsberschrift2"/>
        <w:numPr>
          <w:ilvl w:val="0"/>
          <w:numId w:val="0"/>
        </w:numPr>
        <w:ind w:left="357" w:hanging="357"/>
        <w:rPr>
          <w:rFonts w:ascii="Times New Roman" w:hAnsi="Times New Roman" w:cs="Times New Roman"/>
          <w:sz w:val="24"/>
        </w:rPr>
      </w:pPr>
      <w:bookmarkStart w:id="363" w:name="_Toc360188363"/>
      <w:bookmarkStart w:id="364" w:name="_Toc473560914"/>
      <w:bookmarkStart w:id="365" w:name="_Toc115857811"/>
      <w:r w:rsidRPr="00E07C9A">
        <w:rPr>
          <w:rFonts w:ascii="Times New Roman" w:hAnsi="Times New Roman" w:cs="Times New Roman"/>
          <w:sz w:val="24"/>
          <w:u w:val="none"/>
        </w:rPr>
        <w:t>3.4.1.1.</w:t>
      </w:r>
      <w:r w:rsidRPr="00E07C9A">
        <w:rPr>
          <w:rFonts w:ascii="Times New Roman" w:hAnsi="Times New Roman" w:cs="Times New Roman"/>
          <w:u w:val="none"/>
        </w:rPr>
        <w:tab/>
      </w:r>
      <w:r w:rsidRPr="00E07C9A">
        <w:rPr>
          <w:rFonts w:ascii="Times New Roman" w:hAnsi="Times New Roman" w:cs="Times New Roman"/>
          <w:sz w:val="24"/>
        </w:rPr>
        <w:t>Pokyny týkajúce sa konkrétnych pozícií</w:t>
      </w:r>
      <w:bookmarkEnd w:id="363"/>
      <w:bookmarkEnd w:id="364"/>
      <w:bookmarkEnd w:id="365"/>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357B9" w:rsidRPr="00E07C9A" w14:paraId="6D326303" w14:textId="77777777" w:rsidTr="00672D2A">
        <w:trPr>
          <w:trHeight w:val="581"/>
        </w:trPr>
        <w:tc>
          <w:tcPr>
            <w:tcW w:w="9828" w:type="dxa"/>
            <w:gridSpan w:val="2"/>
            <w:shd w:val="clear" w:color="auto" w:fill="CCCCCC"/>
          </w:tcPr>
          <w:p w14:paraId="79026D92" w14:textId="77777777" w:rsidR="004357B9" w:rsidRPr="00E07C9A" w:rsidRDefault="004357B9" w:rsidP="004357B9">
            <w:pPr>
              <w:spacing w:after="0"/>
              <w:rPr>
                <w:rStyle w:val="InstructionsTabelleText"/>
                <w:rFonts w:ascii="Times New Roman" w:hAnsi="Times New Roman"/>
                <w:b/>
                <w:sz w:val="24"/>
              </w:rPr>
            </w:pPr>
            <w:r w:rsidRPr="00E07C9A">
              <w:rPr>
                <w:rStyle w:val="InstructionsTabelleText"/>
                <w:rFonts w:ascii="Times New Roman" w:hAnsi="Times New Roman"/>
                <w:b/>
                <w:sz w:val="24"/>
              </w:rPr>
              <w:t>Stĺpce</w:t>
            </w:r>
          </w:p>
        </w:tc>
      </w:tr>
      <w:tr w:rsidR="004357B9" w:rsidRPr="00E07C9A" w14:paraId="3746FB05" w14:textId="77777777" w:rsidTr="00672D2A">
        <w:tc>
          <w:tcPr>
            <w:tcW w:w="1188" w:type="dxa"/>
          </w:tcPr>
          <w:p w14:paraId="410D565D" w14:textId="77777777" w:rsidR="004357B9" w:rsidRPr="00E07C9A" w:rsidRDefault="004357B9" w:rsidP="004357B9">
            <w:pPr>
              <w:rPr>
                <w:rStyle w:val="InstructionsTabelleText"/>
                <w:rFonts w:ascii="Times New Roman" w:hAnsi="Times New Roman"/>
                <w:sz w:val="24"/>
              </w:rPr>
            </w:pPr>
            <w:r w:rsidRPr="00E07C9A">
              <w:rPr>
                <w:rStyle w:val="InstructionsTabelleText"/>
                <w:rFonts w:ascii="Times New Roman" w:hAnsi="Times New Roman"/>
                <w:sz w:val="24"/>
              </w:rPr>
              <w:t>0010</w:t>
            </w:r>
          </w:p>
        </w:tc>
        <w:tc>
          <w:tcPr>
            <w:tcW w:w="8640" w:type="dxa"/>
          </w:tcPr>
          <w:p w14:paraId="37B6F365" w14:textId="77777777" w:rsidR="004357B9" w:rsidRPr="00E07C9A" w:rsidRDefault="004357B9" w:rsidP="004357B9">
            <w:pPr>
              <w:rPr>
                <w:rFonts w:ascii="Times New Roman" w:hAnsi="Times New Roman"/>
                <w:b/>
                <w:sz w:val="24"/>
                <w:u w:val="single"/>
              </w:rPr>
            </w:pPr>
            <w:r w:rsidRPr="00E07C9A">
              <w:rPr>
                <w:rFonts w:ascii="Times New Roman" w:hAnsi="Times New Roman"/>
                <w:b/>
                <w:sz w:val="24"/>
                <w:u w:val="single"/>
              </w:rPr>
              <w:t>PÔVODNÁ EXPOZÍCIA PRED UPLATNENÍM KONVERZNÝCH FAKTOROV</w:t>
            </w:r>
          </w:p>
          <w:p w14:paraId="00A439B8" w14:textId="77777777" w:rsidR="004357B9" w:rsidRPr="00E07C9A" w:rsidRDefault="004357B9" w:rsidP="004357B9">
            <w:pPr>
              <w:rPr>
                <w:rFonts w:ascii="Times New Roman" w:hAnsi="Times New Roman"/>
                <w:sz w:val="24"/>
              </w:rPr>
            </w:pPr>
            <w:r w:rsidRPr="00E07C9A">
              <w:rPr>
                <w:rFonts w:ascii="Times New Roman" w:hAnsi="Times New Roman"/>
                <w:sz w:val="24"/>
              </w:rPr>
              <w:t>Rovnaká definícia ako pre stĺpec 0010 vzoru CR SA.</w:t>
            </w:r>
          </w:p>
        </w:tc>
      </w:tr>
      <w:tr w:rsidR="004357B9" w:rsidRPr="00E07C9A" w14:paraId="315BEA18" w14:textId="77777777" w:rsidTr="00672D2A">
        <w:tc>
          <w:tcPr>
            <w:tcW w:w="1188" w:type="dxa"/>
          </w:tcPr>
          <w:p w14:paraId="3918CAFB" w14:textId="77777777" w:rsidR="004357B9" w:rsidRPr="00E07C9A" w:rsidRDefault="004357B9" w:rsidP="004357B9">
            <w:pPr>
              <w:rPr>
                <w:rFonts w:ascii="Times New Roman" w:hAnsi="Times New Roman"/>
                <w:sz w:val="24"/>
              </w:rPr>
            </w:pPr>
            <w:r w:rsidRPr="00E07C9A">
              <w:rPr>
                <w:rFonts w:ascii="Times New Roman" w:hAnsi="Times New Roman"/>
                <w:sz w:val="24"/>
              </w:rPr>
              <w:t>0020</w:t>
            </w:r>
          </w:p>
        </w:tc>
        <w:tc>
          <w:tcPr>
            <w:tcW w:w="8640" w:type="dxa"/>
          </w:tcPr>
          <w:p w14:paraId="072FCE29" w14:textId="42B264FC" w:rsidR="004357B9" w:rsidRPr="00E07C9A" w:rsidRDefault="00771E97" w:rsidP="004357B9">
            <w:pPr>
              <w:rPr>
                <w:rFonts w:ascii="Times New Roman" w:hAnsi="Times New Roman"/>
                <w:b/>
                <w:sz w:val="24"/>
                <w:u w:val="single"/>
              </w:rPr>
            </w:pPr>
            <w:r w:rsidRPr="00E07C9A">
              <w:rPr>
                <w:rFonts w:ascii="Times New Roman" w:hAnsi="Times New Roman"/>
                <w:b/>
                <w:sz w:val="24"/>
                <w:u w:val="single"/>
              </w:rPr>
              <w:t>Expozície</w:t>
            </w:r>
            <w:r w:rsidR="009912F8" w:rsidRPr="00E07C9A">
              <w:rPr>
                <w:rFonts w:ascii="Times New Roman" w:hAnsi="Times New Roman"/>
                <w:b/>
                <w:sz w:val="24"/>
                <w:u w:val="single"/>
              </w:rPr>
              <w:t xml:space="preserve"> v </w:t>
            </w:r>
            <w:r w:rsidRPr="00E07C9A">
              <w:rPr>
                <w:rFonts w:ascii="Times New Roman" w:hAnsi="Times New Roman"/>
                <w:b/>
                <w:sz w:val="24"/>
                <w:u w:val="single"/>
              </w:rPr>
              <w:t>stave zlyhania</w:t>
            </w:r>
          </w:p>
          <w:p w14:paraId="5004BF9A" w14:textId="41A9054A" w:rsidR="004357B9" w:rsidRPr="00E07C9A" w:rsidRDefault="004357B9" w:rsidP="004357B9">
            <w:pPr>
              <w:rPr>
                <w:rStyle w:val="InstructionsTabelleText"/>
                <w:rFonts w:ascii="Times New Roman" w:hAnsi="Times New Roman"/>
                <w:sz w:val="24"/>
              </w:rPr>
            </w:pPr>
            <w:r w:rsidRPr="00E07C9A">
              <w:rPr>
                <w:rStyle w:val="InstructionsTabelleText"/>
                <w:rFonts w:ascii="Times New Roman" w:hAnsi="Times New Roman"/>
                <w:sz w:val="24"/>
              </w:rPr>
              <w:t>Pôvodná expozícia pred uplatnením konverzných faktorov pre tie expozície, ktoré sa klasifikovali ako „expozície</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stave zlyhania“</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pre expozície</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stave zlyhania zaradené do triedy expozícií „expozície,</w:t>
            </w:r>
            <w:r w:rsidR="009912F8" w:rsidRPr="00E07C9A">
              <w:rPr>
                <w:rStyle w:val="InstructionsTabelleText"/>
                <w:rFonts w:ascii="Times New Roman" w:hAnsi="Times New Roman"/>
                <w:sz w:val="24"/>
              </w:rPr>
              <w:t xml:space="preserve"> s </w:t>
            </w:r>
            <w:r w:rsidRPr="00E07C9A">
              <w:rPr>
                <w:rStyle w:val="InstructionsTabelleText"/>
                <w:rFonts w:ascii="Times New Roman" w:hAnsi="Times New Roman"/>
                <w:sz w:val="24"/>
              </w:rPr>
              <w:t>ktorými súvisí osobitne vysoké riziko“ alebo „kapitálové expozície“.</w:t>
            </w:r>
          </w:p>
          <w:p w14:paraId="7B64580C" w14:textId="0998C9AF" w:rsidR="009912F8" w:rsidRPr="00E07C9A" w:rsidRDefault="004357B9" w:rsidP="004357B9">
            <w:pPr>
              <w:rPr>
                <w:rStyle w:val="InstructionsTabelleText"/>
                <w:rFonts w:ascii="Times New Roman" w:hAnsi="Times New Roman"/>
                <w:sz w:val="24"/>
              </w:rPr>
            </w:pPr>
            <w:r w:rsidRPr="00E07C9A">
              <w:rPr>
                <w:rStyle w:val="InstructionsTabelleText"/>
                <w:rFonts w:ascii="Times New Roman" w:hAnsi="Times New Roman"/>
                <w:sz w:val="24"/>
              </w:rPr>
              <w:t>Táto „doplňujúca položka“ poskytuje ďalšie informácie</w:t>
            </w:r>
            <w:r w:rsidR="009912F8" w:rsidRPr="00E07C9A">
              <w:rPr>
                <w:rStyle w:val="InstructionsTabelleText"/>
                <w:rFonts w:ascii="Times New Roman" w:hAnsi="Times New Roman"/>
                <w:sz w:val="24"/>
              </w:rPr>
              <w:t xml:space="preserve"> o </w:t>
            </w:r>
            <w:r w:rsidRPr="00E07C9A">
              <w:rPr>
                <w:rStyle w:val="InstructionsTabelleText"/>
                <w:rFonts w:ascii="Times New Roman" w:hAnsi="Times New Roman"/>
                <w:sz w:val="24"/>
              </w:rPr>
              <w:t>štruktúre dlžníkov expozícií</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stave zlyhania. Expozície klasifikované ako „expozície</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stave zlyhania“ uvedené</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článku 112 písm. j)</w:t>
            </w:r>
            <w:r w:rsidRPr="00E07C9A">
              <w:rPr>
                <w:rFonts w:ascii="Times New Roman" w:hAnsi="Times New Roman"/>
                <w:sz w:val="24"/>
              </w:rPr>
              <w:t xml:space="preserve"> nariadenia (EÚ) </w:t>
            </w:r>
            <w:r w:rsidR="009912F8" w:rsidRPr="00E07C9A">
              <w:rPr>
                <w:rFonts w:ascii="Times New Roman" w:hAnsi="Times New Roman"/>
                <w:sz w:val="24"/>
              </w:rPr>
              <w:t>č. 575/2013</w:t>
            </w:r>
            <w:r w:rsidRPr="00E07C9A">
              <w:rPr>
                <w:rStyle w:val="InstructionsTabelleText"/>
                <w:rFonts w:ascii="Times New Roman" w:hAnsi="Times New Roman"/>
                <w:sz w:val="24"/>
              </w:rPr>
              <w:t xml:space="preserve"> sa vykazujú tak, ako by sa vykazovali dlžníci, ak by tieto expozície neboli zaradené do triedy expozícií „v stave zlyhania“</w:t>
            </w:r>
            <w:r w:rsidR="009912F8" w:rsidRPr="00E07C9A">
              <w:rPr>
                <w:rStyle w:val="InstructionsTabelleText"/>
                <w:rFonts w:ascii="Times New Roman" w:hAnsi="Times New Roman"/>
                <w:sz w:val="24"/>
              </w:rPr>
              <w:t>.</w:t>
            </w:r>
          </w:p>
          <w:p w14:paraId="2561BB51" w14:textId="0AB05A6D" w:rsidR="004357B9" w:rsidRPr="00E07C9A" w:rsidRDefault="004357B9" w:rsidP="00E1685B">
            <w:pPr>
              <w:rPr>
                <w:rFonts w:ascii="Times New Roman" w:hAnsi="Times New Roman"/>
                <w:sz w:val="24"/>
              </w:rPr>
            </w:pPr>
            <w:r w:rsidRPr="00E07C9A">
              <w:rPr>
                <w:rStyle w:val="InstructionsTabelleText"/>
                <w:rFonts w:ascii="Times New Roman" w:hAnsi="Times New Roman"/>
                <w:sz w:val="24"/>
              </w:rPr>
              <w:t>Táto informácia je „doplňujúca položka“ – neovplyvňuje teda výpočet hodnôt rizikovo vážených expozícií triedy expozícií „v stave zlyhania“, „expozícií,</w:t>
            </w:r>
            <w:r w:rsidR="009912F8" w:rsidRPr="00E07C9A">
              <w:rPr>
                <w:rStyle w:val="InstructionsTabelleText"/>
                <w:rFonts w:ascii="Times New Roman" w:hAnsi="Times New Roman"/>
                <w:sz w:val="24"/>
              </w:rPr>
              <w:t xml:space="preserve"> s </w:t>
            </w:r>
            <w:r w:rsidRPr="00E07C9A">
              <w:rPr>
                <w:rStyle w:val="InstructionsTabelleText"/>
                <w:rFonts w:ascii="Times New Roman" w:hAnsi="Times New Roman"/>
                <w:sz w:val="24"/>
              </w:rPr>
              <w:t>ktorými súvisí osobitne vysoké riziko“ alebo „kapitálových expozícií“ podľa článku 112 písm. j), k)</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 xml:space="preserve">p) </w:t>
            </w:r>
            <w:r w:rsidRPr="00E07C9A">
              <w:rPr>
                <w:rFonts w:ascii="Times New Roman" w:hAnsi="Times New Roman"/>
                <w:sz w:val="24"/>
              </w:rPr>
              <w:t xml:space="preserve">nariadenia (EÚ) </w:t>
            </w:r>
            <w:r w:rsidR="009912F8" w:rsidRPr="00E07C9A">
              <w:rPr>
                <w:rFonts w:ascii="Times New Roman" w:hAnsi="Times New Roman"/>
                <w:sz w:val="24"/>
              </w:rPr>
              <w:t>č. 575/2013</w:t>
            </w:r>
            <w:r w:rsidRPr="00E07C9A">
              <w:rPr>
                <w:rStyle w:val="InstructionsTabelleText"/>
                <w:rFonts w:ascii="Times New Roman" w:hAnsi="Times New Roman"/>
                <w:sz w:val="24"/>
              </w:rPr>
              <w:t>.</w:t>
            </w:r>
          </w:p>
        </w:tc>
      </w:tr>
      <w:tr w:rsidR="004357B9" w:rsidRPr="00E07C9A" w14:paraId="32B72884" w14:textId="77777777" w:rsidTr="00672D2A">
        <w:tc>
          <w:tcPr>
            <w:tcW w:w="1188" w:type="dxa"/>
          </w:tcPr>
          <w:p w14:paraId="2E306220" w14:textId="77777777" w:rsidR="004357B9" w:rsidRPr="00E07C9A" w:rsidRDefault="004357B9" w:rsidP="004357B9">
            <w:pPr>
              <w:rPr>
                <w:rFonts w:ascii="Times New Roman" w:hAnsi="Times New Roman"/>
                <w:sz w:val="24"/>
              </w:rPr>
            </w:pPr>
            <w:r w:rsidRPr="00E07C9A">
              <w:rPr>
                <w:rFonts w:ascii="Times New Roman" w:hAnsi="Times New Roman"/>
                <w:sz w:val="24"/>
              </w:rPr>
              <w:t>0040</w:t>
            </w:r>
          </w:p>
        </w:tc>
        <w:tc>
          <w:tcPr>
            <w:tcW w:w="8640" w:type="dxa"/>
          </w:tcPr>
          <w:p w14:paraId="11314370" w14:textId="39785A6C" w:rsidR="004357B9" w:rsidRPr="00E07C9A" w:rsidRDefault="004357B9" w:rsidP="004357B9">
            <w:pPr>
              <w:rPr>
                <w:rFonts w:ascii="Times New Roman" w:hAnsi="Times New Roman"/>
                <w:b/>
                <w:sz w:val="24"/>
                <w:u w:val="single"/>
              </w:rPr>
            </w:pPr>
            <w:r w:rsidRPr="00E07C9A">
              <w:rPr>
                <w:rFonts w:ascii="Times New Roman" w:hAnsi="Times New Roman"/>
                <w:b/>
                <w:sz w:val="24"/>
                <w:u w:val="single"/>
              </w:rPr>
              <w:t>Nové spozorované zlyhania</w:t>
            </w:r>
            <w:r w:rsidR="009912F8" w:rsidRPr="00E07C9A">
              <w:rPr>
                <w:rFonts w:ascii="Times New Roman" w:hAnsi="Times New Roman"/>
                <w:b/>
                <w:sz w:val="24"/>
                <w:u w:val="single"/>
              </w:rPr>
              <w:t xml:space="preserve"> v </w:t>
            </w:r>
            <w:r w:rsidRPr="00E07C9A">
              <w:rPr>
                <w:rFonts w:ascii="Times New Roman" w:hAnsi="Times New Roman"/>
                <w:b/>
                <w:sz w:val="24"/>
                <w:u w:val="single"/>
              </w:rPr>
              <w:t>danom období</w:t>
            </w:r>
          </w:p>
          <w:p w14:paraId="29F4E30D" w14:textId="64A330E8" w:rsidR="004357B9" w:rsidRPr="00E07C9A" w:rsidRDefault="00DF70AE" w:rsidP="00DF70AE">
            <w:pPr>
              <w:rPr>
                <w:rFonts w:ascii="Times New Roman" w:hAnsi="Times New Roman"/>
                <w:b/>
                <w:sz w:val="24"/>
                <w:u w:val="single"/>
              </w:rPr>
            </w:pPr>
            <w:r w:rsidRPr="00E07C9A">
              <w:rPr>
                <w:rStyle w:val="InstructionsTabelleText"/>
                <w:rFonts w:ascii="Times New Roman" w:hAnsi="Times New Roman"/>
                <w:sz w:val="24"/>
              </w:rPr>
              <w:t>Hodnota pôvodných expozícií, ktoré sa presunuli do triedy expozícií „expozície</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stave zlyhania“ počas trojmesačného obdobia od posledného referenčného dátumu vykazovania, sa vykazujú podľa triedy expozícií, do ktorej dlžník pôvodne patril.</w:t>
            </w:r>
          </w:p>
        </w:tc>
      </w:tr>
      <w:tr w:rsidR="004357B9" w:rsidRPr="00E07C9A" w14:paraId="502AA98C" w14:textId="77777777" w:rsidTr="00672D2A">
        <w:tc>
          <w:tcPr>
            <w:tcW w:w="1188" w:type="dxa"/>
          </w:tcPr>
          <w:p w14:paraId="379A0BAC" w14:textId="77777777" w:rsidR="004357B9" w:rsidRPr="00E07C9A" w:rsidRDefault="004357B9" w:rsidP="004357B9">
            <w:pPr>
              <w:rPr>
                <w:rFonts w:ascii="Times New Roman" w:hAnsi="Times New Roman"/>
                <w:sz w:val="24"/>
              </w:rPr>
            </w:pPr>
            <w:r w:rsidRPr="00E07C9A">
              <w:rPr>
                <w:rFonts w:ascii="Times New Roman" w:hAnsi="Times New Roman"/>
                <w:sz w:val="24"/>
              </w:rPr>
              <w:t>0050</w:t>
            </w:r>
          </w:p>
        </w:tc>
        <w:tc>
          <w:tcPr>
            <w:tcW w:w="8640" w:type="dxa"/>
          </w:tcPr>
          <w:p w14:paraId="2BBE9669" w14:textId="77777777" w:rsidR="004357B9" w:rsidRPr="00E07C9A" w:rsidRDefault="004357B9" w:rsidP="004357B9">
            <w:pPr>
              <w:rPr>
                <w:rFonts w:ascii="Times New Roman" w:hAnsi="Times New Roman"/>
                <w:b/>
                <w:sz w:val="24"/>
                <w:u w:val="single"/>
              </w:rPr>
            </w:pPr>
            <w:r w:rsidRPr="00E07C9A">
              <w:rPr>
                <w:rFonts w:ascii="Times New Roman" w:hAnsi="Times New Roman"/>
                <w:b/>
                <w:sz w:val="24"/>
                <w:u w:val="single"/>
              </w:rPr>
              <w:t>Všeobecné úpravy kreditného rizika</w:t>
            </w:r>
          </w:p>
          <w:p w14:paraId="423506EB" w14:textId="00BAFB00" w:rsidR="009912F8" w:rsidRPr="00E07C9A" w:rsidRDefault="004357B9" w:rsidP="004357B9">
            <w:pPr>
              <w:rPr>
                <w:rFonts w:ascii="Times New Roman" w:hAnsi="Times New Roman"/>
                <w:sz w:val="24"/>
              </w:rPr>
            </w:pPr>
            <w:r w:rsidRPr="00E07C9A">
              <w:rPr>
                <w:rFonts w:ascii="Times New Roman" w:hAnsi="Times New Roman"/>
                <w:sz w:val="24"/>
              </w:rPr>
              <w:t xml:space="preserve">Úpravy kreditného rizika podľa článku 110 nariadenia (EÚ) </w:t>
            </w:r>
            <w:r w:rsidR="009912F8" w:rsidRPr="00E07C9A">
              <w:rPr>
                <w:rFonts w:ascii="Times New Roman" w:hAnsi="Times New Roman"/>
                <w:sz w:val="24"/>
              </w:rPr>
              <w:t>č. 575/2013</w:t>
            </w:r>
            <w:r w:rsidRPr="00E07C9A">
              <w:rPr>
                <w:rFonts w:ascii="Times New Roman" w:hAnsi="Times New Roman"/>
                <w:sz w:val="24"/>
              </w:rPr>
              <w:t>, ako aj nariadenia (EÚ) č. 183/2014</w:t>
            </w:r>
            <w:r w:rsidR="009912F8" w:rsidRPr="00E07C9A">
              <w:rPr>
                <w:rFonts w:ascii="Times New Roman" w:hAnsi="Times New Roman"/>
                <w:sz w:val="24"/>
              </w:rPr>
              <w:t>.</w:t>
            </w:r>
          </w:p>
          <w:p w14:paraId="2551B30E" w14:textId="356648BE" w:rsidR="00D95045" w:rsidRPr="00E07C9A" w:rsidRDefault="00D95045" w:rsidP="00D95045">
            <w:pPr>
              <w:rPr>
                <w:rFonts w:ascii="Times New Roman" w:hAnsi="Times New Roman"/>
                <w:sz w:val="24"/>
              </w:rPr>
            </w:pPr>
            <w:r w:rsidRPr="00E07C9A">
              <w:rPr>
                <w:rFonts w:ascii="Times New Roman" w:hAnsi="Times New Roman"/>
                <w:sz w:val="24"/>
              </w:rPr>
              <w:t>Táto položka zahŕňa všeobecné úpravy kreditného rizika, ktoré sú prípustné na začlenenie do kapitálu T2, pred uplatnením horného ohraničenia uvedeného</w:t>
            </w:r>
            <w:r w:rsidR="009912F8" w:rsidRPr="00E07C9A">
              <w:rPr>
                <w:rFonts w:ascii="Times New Roman" w:hAnsi="Times New Roman"/>
                <w:sz w:val="24"/>
              </w:rPr>
              <w:t xml:space="preserve"> v </w:t>
            </w:r>
            <w:r w:rsidRPr="00E07C9A">
              <w:rPr>
                <w:rFonts w:ascii="Times New Roman" w:hAnsi="Times New Roman"/>
                <w:sz w:val="24"/>
              </w:rPr>
              <w:t xml:space="preserve">článku 62 písm. c) nariadenia (EÚ) </w:t>
            </w:r>
            <w:r w:rsidR="009912F8" w:rsidRPr="00E07C9A">
              <w:rPr>
                <w:rFonts w:ascii="Times New Roman" w:hAnsi="Times New Roman"/>
                <w:sz w:val="24"/>
              </w:rPr>
              <w:t>č. 575/2013</w:t>
            </w:r>
            <w:r w:rsidRPr="00E07C9A">
              <w:rPr>
                <w:rFonts w:ascii="Times New Roman" w:hAnsi="Times New Roman"/>
                <w:sz w:val="24"/>
              </w:rPr>
              <w:t>.</w:t>
            </w:r>
          </w:p>
          <w:p w14:paraId="4A4EE817" w14:textId="77777777" w:rsidR="00D95045" w:rsidRPr="00E07C9A" w:rsidRDefault="00D95045" w:rsidP="00D95045">
            <w:pPr>
              <w:rPr>
                <w:rFonts w:ascii="Times New Roman" w:hAnsi="Times New Roman"/>
                <w:b/>
                <w:sz w:val="24"/>
                <w:u w:val="single"/>
              </w:rPr>
            </w:pPr>
            <w:r w:rsidRPr="00E07C9A">
              <w:rPr>
                <w:rFonts w:ascii="Times New Roman" w:hAnsi="Times New Roman"/>
                <w:sz w:val="24"/>
              </w:rPr>
              <w:t>Vo vykazovanej hodnote sa nezohľadňujú daňové účinky.</w:t>
            </w:r>
          </w:p>
        </w:tc>
      </w:tr>
      <w:tr w:rsidR="004357B9" w:rsidRPr="00E07C9A" w14:paraId="65072DAE" w14:textId="77777777" w:rsidTr="00672D2A">
        <w:tc>
          <w:tcPr>
            <w:tcW w:w="1188" w:type="dxa"/>
          </w:tcPr>
          <w:p w14:paraId="0FB74EFB" w14:textId="77777777" w:rsidR="004357B9" w:rsidRPr="00E07C9A" w:rsidRDefault="004357B9" w:rsidP="004357B9">
            <w:pPr>
              <w:rPr>
                <w:rFonts w:ascii="Times New Roman" w:hAnsi="Times New Roman"/>
                <w:sz w:val="24"/>
              </w:rPr>
            </w:pPr>
            <w:r w:rsidRPr="00E07C9A">
              <w:rPr>
                <w:rFonts w:ascii="Times New Roman" w:hAnsi="Times New Roman"/>
                <w:sz w:val="24"/>
              </w:rPr>
              <w:t>0055</w:t>
            </w:r>
          </w:p>
        </w:tc>
        <w:tc>
          <w:tcPr>
            <w:tcW w:w="8640" w:type="dxa"/>
          </w:tcPr>
          <w:p w14:paraId="065DB4F9" w14:textId="77777777" w:rsidR="004357B9" w:rsidRPr="00E07C9A" w:rsidRDefault="004357B9" w:rsidP="004357B9">
            <w:pPr>
              <w:rPr>
                <w:rFonts w:ascii="Times New Roman" w:hAnsi="Times New Roman"/>
                <w:b/>
                <w:sz w:val="24"/>
                <w:u w:val="single"/>
              </w:rPr>
            </w:pPr>
            <w:r w:rsidRPr="00E07C9A">
              <w:rPr>
                <w:rFonts w:ascii="Times New Roman" w:hAnsi="Times New Roman"/>
                <w:b/>
                <w:sz w:val="24"/>
                <w:u w:val="single"/>
              </w:rPr>
              <w:t>Špecifické úpravy kreditného rizika</w:t>
            </w:r>
          </w:p>
          <w:p w14:paraId="53F47A5D" w14:textId="437E75BC" w:rsidR="004357B9" w:rsidRPr="00E07C9A" w:rsidRDefault="004357B9" w:rsidP="003B2712">
            <w:pPr>
              <w:rPr>
                <w:rFonts w:ascii="Times New Roman" w:hAnsi="Times New Roman"/>
                <w:b/>
                <w:sz w:val="24"/>
                <w:u w:val="single"/>
              </w:rPr>
            </w:pPr>
            <w:r w:rsidRPr="00E07C9A">
              <w:rPr>
                <w:rFonts w:ascii="Times New Roman" w:hAnsi="Times New Roman"/>
                <w:sz w:val="24"/>
              </w:rPr>
              <w:t xml:space="preserve">Úpravy kreditného rizika podľa článku 110 nariadenia (EÚ) </w:t>
            </w:r>
            <w:r w:rsidR="009912F8" w:rsidRPr="00E07C9A">
              <w:rPr>
                <w:rFonts w:ascii="Times New Roman" w:hAnsi="Times New Roman"/>
                <w:sz w:val="24"/>
              </w:rPr>
              <w:t>č. 575/2013</w:t>
            </w:r>
            <w:r w:rsidRPr="00E07C9A">
              <w:rPr>
                <w:rFonts w:ascii="Times New Roman" w:hAnsi="Times New Roman"/>
                <w:sz w:val="24"/>
              </w:rPr>
              <w:t>, ako aj nariadenia (EÚ) č. 183/2014.</w:t>
            </w:r>
          </w:p>
        </w:tc>
      </w:tr>
      <w:tr w:rsidR="004357B9" w:rsidRPr="00E07C9A" w14:paraId="78A9FC53" w14:textId="77777777" w:rsidTr="00672D2A">
        <w:tc>
          <w:tcPr>
            <w:tcW w:w="1188" w:type="dxa"/>
          </w:tcPr>
          <w:p w14:paraId="5F705BA1" w14:textId="77777777" w:rsidR="004357B9" w:rsidRPr="00E07C9A" w:rsidRDefault="004357B9" w:rsidP="004357B9">
            <w:pPr>
              <w:rPr>
                <w:rFonts w:ascii="Times New Roman" w:hAnsi="Times New Roman"/>
                <w:sz w:val="24"/>
              </w:rPr>
            </w:pPr>
            <w:r w:rsidRPr="00E07C9A">
              <w:rPr>
                <w:rFonts w:ascii="Times New Roman" w:hAnsi="Times New Roman"/>
                <w:sz w:val="24"/>
              </w:rPr>
              <w:t>0060</w:t>
            </w:r>
          </w:p>
        </w:tc>
        <w:tc>
          <w:tcPr>
            <w:tcW w:w="8640" w:type="dxa"/>
          </w:tcPr>
          <w:p w14:paraId="74780D25" w14:textId="77777777" w:rsidR="004357B9" w:rsidRPr="00E07C9A" w:rsidRDefault="004357B9" w:rsidP="004357B9">
            <w:pPr>
              <w:rPr>
                <w:rFonts w:ascii="Times New Roman" w:hAnsi="Times New Roman"/>
                <w:b/>
                <w:sz w:val="24"/>
                <w:u w:val="single"/>
              </w:rPr>
            </w:pPr>
            <w:r w:rsidRPr="00E07C9A">
              <w:rPr>
                <w:rFonts w:ascii="Times New Roman" w:hAnsi="Times New Roman"/>
                <w:b/>
                <w:sz w:val="24"/>
                <w:u w:val="single"/>
              </w:rPr>
              <w:t>Odpisy</w:t>
            </w:r>
          </w:p>
          <w:p w14:paraId="3C9D4698" w14:textId="3E5E193A" w:rsidR="004357B9" w:rsidRPr="00E07C9A" w:rsidRDefault="004357B9" w:rsidP="007D1F12">
            <w:pPr>
              <w:rPr>
                <w:rFonts w:ascii="Times New Roman" w:hAnsi="Times New Roman"/>
                <w:b/>
                <w:sz w:val="24"/>
                <w:u w:val="single"/>
              </w:rPr>
            </w:pPr>
            <w:r w:rsidRPr="00E07C9A">
              <w:rPr>
                <w:rStyle w:val="InstructionsTabelleText"/>
                <w:rFonts w:ascii="Times New Roman" w:hAnsi="Times New Roman"/>
                <w:sz w:val="24"/>
              </w:rPr>
              <w:t>Odpisy uvedené</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IFRS 9.5.4.4</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B5.4.9.</w:t>
            </w:r>
          </w:p>
        </w:tc>
      </w:tr>
      <w:tr w:rsidR="00664874" w:rsidRPr="00E07C9A" w14:paraId="678750D8" w14:textId="77777777" w:rsidTr="00672D2A">
        <w:tc>
          <w:tcPr>
            <w:tcW w:w="1188" w:type="dxa"/>
          </w:tcPr>
          <w:p w14:paraId="2C41E474" w14:textId="77777777" w:rsidR="00664874" w:rsidRPr="00E07C9A" w:rsidRDefault="00664874" w:rsidP="00010124">
            <w:pPr>
              <w:rPr>
                <w:rFonts w:ascii="Times New Roman" w:hAnsi="Times New Roman"/>
                <w:sz w:val="24"/>
              </w:rPr>
            </w:pPr>
            <w:r w:rsidRPr="00E07C9A">
              <w:rPr>
                <w:rFonts w:ascii="Times New Roman" w:hAnsi="Times New Roman"/>
                <w:sz w:val="24"/>
              </w:rPr>
              <w:t>0061</w:t>
            </w:r>
          </w:p>
        </w:tc>
        <w:tc>
          <w:tcPr>
            <w:tcW w:w="8640" w:type="dxa"/>
          </w:tcPr>
          <w:p w14:paraId="76E609FB" w14:textId="3D4B2E81" w:rsidR="00664874" w:rsidRPr="00E07C9A" w:rsidRDefault="00664874" w:rsidP="00664874">
            <w:pPr>
              <w:rPr>
                <w:rFonts w:ascii="Times New Roman" w:hAnsi="Times New Roman"/>
                <w:b/>
                <w:sz w:val="24"/>
                <w:u w:val="single"/>
              </w:rPr>
            </w:pPr>
            <w:r w:rsidRPr="00E07C9A">
              <w:rPr>
                <w:rFonts w:ascii="Times New Roman" w:hAnsi="Times New Roman"/>
                <w:b/>
                <w:sz w:val="24"/>
                <w:u w:val="single"/>
              </w:rPr>
              <w:t>Dodatočné úpravy ocenenia</w:t>
            </w:r>
            <w:r w:rsidR="009912F8" w:rsidRPr="00E07C9A">
              <w:rPr>
                <w:rFonts w:ascii="Times New Roman" w:hAnsi="Times New Roman"/>
                <w:b/>
                <w:sz w:val="24"/>
                <w:u w:val="single"/>
              </w:rPr>
              <w:t xml:space="preserve"> a </w:t>
            </w:r>
            <w:r w:rsidRPr="00E07C9A">
              <w:rPr>
                <w:rFonts w:ascii="Times New Roman" w:hAnsi="Times New Roman"/>
                <w:b/>
                <w:sz w:val="24"/>
                <w:u w:val="single"/>
              </w:rPr>
              <w:t>iné zníženia vlastných zdrojov</w:t>
            </w:r>
          </w:p>
          <w:p w14:paraId="7219EC33" w14:textId="35E9D6FE" w:rsidR="00664874" w:rsidRPr="00E07C9A" w:rsidRDefault="00664874" w:rsidP="00664874">
            <w:pPr>
              <w:rPr>
                <w:rFonts w:ascii="Times New Roman" w:hAnsi="Times New Roman"/>
                <w:b/>
                <w:sz w:val="24"/>
                <w:u w:val="single"/>
              </w:rPr>
            </w:pPr>
            <w:r w:rsidRPr="00E07C9A">
              <w:rPr>
                <w:rFonts w:ascii="Times New Roman" w:hAnsi="Times New Roman"/>
                <w:sz w:val="24"/>
              </w:rPr>
              <w:t>V súlade</w:t>
            </w:r>
            <w:r w:rsidR="009912F8" w:rsidRPr="00E07C9A">
              <w:rPr>
                <w:rFonts w:ascii="Times New Roman" w:hAnsi="Times New Roman"/>
                <w:sz w:val="24"/>
              </w:rPr>
              <w:t xml:space="preserve"> s </w:t>
            </w:r>
            <w:r w:rsidRPr="00E07C9A">
              <w:rPr>
                <w:rFonts w:ascii="Times New Roman" w:hAnsi="Times New Roman"/>
                <w:sz w:val="24"/>
              </w:rPr>
              <w:t xml:space="preserve">článkom 111 nariadenia (EÚ) </w:t>
            </w:r>
            <w:r w:rsidR="009912F8" w:rsidRPr="00E07C9A">
              <w:rPr>
                <w:rFonts w:ascii="Times New Roman" w:hAnsi="Times New Roman"/>
                <w:sz w:val="24"/>
              </w:rPr>
              <w:t>č. 575/2013</w:t>
            </w:r>
            <w:r w:rsidRPr="00E07C9A">
              <w:rPr>
                <w:rFonts w:ascii="Times New Roman" w:hAnsi="Times New Roman"/>
                <w:sz w:val="24"/>
              </w:rPr>
              <w:t>.</w:t>
            </w:r>
          </w:p>
        </w:tc>
      </w:tr>
      <w:tr w:rsidR="004357B9" w:rsidRPr="00E07C9A" w14:paraId="20BF7A58" w14:textId="77777777" w:rsidTr="00672D2A">
        <w:tc>
          <w:tcPr>
            <w:tcW w:w="1188" w:type="dxa"/>
          </w:tcPr>
          <w:p w14:paraId="4D355319" w14:textId="77777777" w:rsidR="004357B9" w:rsidRPr="00E07C9A" w:rsidRDefault="004357B9" w:rsidP="004357B9">
            <w:pPr>
              <w:rPr>
                <w:rFonts w:ascii="Times New Roman" w:hAnsi="Times New Roman"/>
                <w:sz w:val="24"/>
              </w:rPr>
            </w:pPr>
            <w:r w:rsidRPr="00E07C9A">
              <w:rPr>
                <w:rFonts w:ascii="Times New Roman" w:hAnsi="Times New Roman"/>
                <w:sz w:val="24"/>
              </w:rPr>
              <w:t>0070</w:t>
            </w:r>
          </w:p>
        </w:tc>
        <w:tc>
          <w:tcPr>
            <w:tcW w:w="8640" w:type="dxa"/>
          </w:tcPr>
          <w:p w14:paraId="11C1BDC0" w14:textId="77777777" w:rsidR="004357B9" w:rsidRPr="00E07C9A" w:rsidRDefault="004357B9" w:rsidP="004357B9">
            <w:pPr>
              <w:rPr>
                <w:rFonts w:ascii="Times New Roman" w:hAnsi="Times New Roman"/>
                <w:b/>
                <w:sz w:val="24"/>
                <w:u w:val="single"/>
              </w:rPr>
            </w:pPr>
            <w:r w:rsidRPr="00E07C9A">
              <w:rPr>
                <w:rFonts w:ascii="Times New Roman" w:hAnsi="Times New Roman"/>
                <w:b/>
                <w:sz w:val="24"/>
                <w:u w:val="single"/>
              </w:rPr>
              <w:t>Úpravy kreditného rizika/odpisy pre nové spozorované zlyhania</w:t>
            </w:r>
          </w:p>
          <w:p w14:paraId="50993628" w14:textId="2FCC1D83" w:rsidR="004357B9" w:rsidRPr="00E07C9A" w:rsidRDefault="004357B9" w:rsidP="004357B9">
            <w:pPr>
              <w:rPr>
                <w:rFonts w:ascii="Times New Roman" w:hAnsi="Times New Roman"/>
                <w:b/>
                <w:sz w:val="24"/>
                <w:u w:val="single"/>
              </w:rPr>
            </w:pPr>
            <w:r w:rsidRPr="00E07C9A">
              <w:rPr>
                <w:rStyle w:val="InstructionsTabelleText"/>
                <w:rFonts w:ascii="Times New Roman" w:hAnsi="Times New Roman"/>
                <w:sz w:val="24"/>
              </w:rPr>
              <w:t>Súčet úprav kreditného rizika</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odpisov pre expozície klasifikované ako „expozície</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stave zlyhania“ počas trojmesačného obdobia od posledného dátumu predloženia údajov.</w:t>
            </w:r>
          </w:p>
        </w:tc>
      </w:tr>
      <w:tr w:rsidR="004357B9" w:rsidRPr="00E07C9A" w14:paraId="27F6818E" w14:textId="77777777" w:rsidTr="00672D2A">
        <w:tc>
          <w:tcPr>
            <w:tcW w:w="1188" w:type="dxa"/>
          </w:tcPr>
          <w:p w14:paraId="6CC54554" w14:textId="77777777" w:rsidR="004357B9" w:rsidRPr="00E07C9A" w:rsidRDefault="004357B9" w:rsidP="004357B9">
            <w:pPr>
              <w:rPr>
                <w:rFonts w:ascii="Times New Roman" w:hAnsi="Times New Roman"/>
                <w:sz w:val="24"/>
              </w:rPr>
            </w:pPr>
            <w:r w:rsidRPr="00E07C9A">
              <w:rPr>
                <w:rFonts w:ascii="Times New Roman" w:hAnsi="Times New Roman"/>
                <w:sz w:val="24"/>
              </w:rPr>
              <w:t>0075</w:t>
            </w:r>
          </w:p>
        </w:tc>
        <w:tc>
          <w:tcPr>
            <w:tcW w:w="8640" w:type="dxa"/>
          </w:tcPr>
          <w:p w14:paraId="67018CAB" w14:textId="77777777" w:rsidR="004357B9" w:rsidRPr="00E07C9A" w:rsidRDefault="004357B9" w:rsidP="004357B9">
            <w:pPr>
              <w:rPr>
                <w:rFonts w:ascii="Times New Roman" w:hAnsi="Times New Roman"/>
                <w:b/>
                <w:sz w:val="24"/>
                <w:u w:val="single"/>
              </w:rPr>
            </w:pPr>
            <w:r w:rsidRPr="00E07C9A">
              <w:rPr>
                <w:rFonts w:ascii="Times New Roman" w:hAnsi="Times New Roman"/>
                <w:b/>
                <w:sz w:val="24"/>
                <w:u w:val="single"/>
              </w:rPr>
              <w:t>Hodnota expozície</w:t>
            </w:r>
          </w:p>
          <w:p w14:paraId="417E5E5A" w14:textId="77777777" w:rsidR="004357B9" w:rsidRPr="00E07C9A" w:rsidRDefault="004357B9" w:rsidP="004357B9">
            <w:pPr>
              <w:rPr>
                <w:rFonts w:ascii="Times New Roman" w:hAnsi="Times New Roman"/>
                <w:b/>
                <w:sz w:val="24"/>
                <w:u w:val="single"/>
              </w:rPr>
            </w:pPr>
            <w:r w:rsidRPr="00E07C9A">
              <w:rPr>
                <w:rStyle w:val="InstructionsTabelleText"/>
                <w:rFonts w:ascii="Times New Roman" w:hAnsi="Times New Roman"/>
                <w:sz w:val="24"/>
              </w:rPr>
              <w:t>Rovnaká definícia ako pre stĺpec 0200 vzoru CR SA.</w:t>
            </w:r>
          </w:p>
        </w:tc>
      </w:tr>
      <w:tr w:rsidR="004357B9" w:rsidRPr="00E07C9A" w14:paraId="56637744" w14:textId="77777777" w:rsidTr="00672D2A">
        <w:tc>
          <w:tcPr>
            <w:tcW w:w="1188" w:type="dxa"/>
          </w:tcPr>
          <w:p w14:paraId="36D4FCC7" w14:textId="77777777" w:rsidR="004357B9" w:rsidRPr="00E07C9A" w:rsidRDefault="004357B9" w:rsidP="004357B9">
            <w:pPr>
              <w:rPr>
                <w:rFonts w:ascii="Times New Roman" w:hAnsi="Times New Roman"/>
                <w:sz w:val="24"/>
              </w:rPr>
            </w:pPr>
            <w:r w:rsidRPr="00E07C9A">
              <w:rPr>
                <w:rFonts w:ascii="Times New Roman" w:hAnsi="Times New Roman"/>
                <w:sz w:val="24"/>
              </w:rPr>
              <w:t>0080</w:t>
            </w:r>
          </w:p>
        </w:tc>
        <w:tc>
          <w:tcPr>
            <w:tcW w:w="8640" w:type="dxa"/>
          </w:tcPr>
          <w:p w14:paraId="23F2301E" w14:textId="77777777" w:rsidR="004357B9" w:rsidRPr="00E07C9A" w:rsidRDefault="004357B9" w:rsidP="004357B9">
            <w:pPr>
              <w:rPr>
                <w:rFonts w:ascii="Times New Roman" w:hAnsi="Times New Roman"/>
                <w:b/>
                <w:sz w:val="24"/>
                <w:u w:val="single"/>
              </w:rPr>
            </w:pPr>
            <w:r w:rsidRPr="00E07C9A">
              <w:rPr>
                <w:rFonts w:ascii="Times New Roman" w:hAnsi="Times New Roman"/>
                <w:b/>
                <w:sz w:val="24"/>
                <w:u w:val="single"/>
              </w:rPr>
              <w:t>HODNOTA RIZIKOVO VÁŽENEJ EXPOZÍCIE PRED UPLATNENÍM PODPORNÝCH FAKTOROV</w:t>
            </w:r>
          </w:p>
          <w:p w14:paraId="1D2CAFDD" w14:textId="77777777" w:rsidR="004357B9" w:rsidRPr="00E07C9A" w:rsidRDefault="004357B9" w:rsidP="004357B9">
            <w:pPr>
              <w:rPr>
                <w:rFonts w:ascii="Times New Roman" w:hAnsi="Times New Roman"/>
                <w:b/>
                <w:sz w:val="24"/>
                <w:u w:val="single"/>
              </w:rPr>
            </w:pPr>
            <w:r w:rsidRPr="00E07C9A">
              <w:rPr>
                <w:rFonts w:ascii="Times New Roman" w:hAnsi="Times New Roman"/>
                <w:sz w:val="24"/>
              </w:rPr>
              <w:t>Rovnaká definícia ako pre stĺpec 0215 vzoru CR SA.</w:t>
            </w:r>
          </w:p>
        </w:tc>
      </w:tr>
      <w:tr w:rsidR="00664874" w:rsidRPr="00E07C9A" w14:paraId="4C13D31D" w14:textId="77777777" w:rsidTr="00672D2A">
        <w:tc>
          <w:tcPr>
            <w:tcW w:w="1188" w:type="dxa"/>
          </w:tcPr>
          <w:p w14:paraId="40E35E92" w14:textId="77777777" w:rsidR="00664874" w:rsidRPr="00E07C9A" w:rsidRDefault="00664874" w:rsidP="00664874">
            <w:pPr>
              <w:rPr>
                <w:rFonts w:ascii="Times New Roman" w:hAnsi="Times New Roman"/>
                <w:sz w:val="24"/>
              </w:rPr>
            </w:pPr>
            <w:r w:rsidRPr="00E07C9A">
              <w:rPr>
                <w:rFonts w:ascii="Times New Roman" w:hAnsi="Times New Roman"/>
                <w:sz w:val="24"/>
              </w:rPr>
              <w:t>0081</w:t>
            </w:r>
          </w:p>
        </w:tc>
        <w:tc>
          <w:tcPr>
            <w:tcW w:w="8640" w:type="dxa"/>
          </w:tcPr>
          <w:p w14:paraId="6DAFCBF8" w14:textId="77777777" w:rsidR="00664874" w:rsidRPr="00E07C9A" w:rsidRDefault="00664874" w:rsidP="00664874">
            <w:pPr>
              <w:rPr>
                <w:rStyle w:val="InstructionsTabelleberschrift"/>
                <w:rFonts w:ascii="Times New Roman" w:hAnsi="Times New Roman"/>
                <w:sz w:val="32"/>
              </w:rPr>
            </w:pPr>
            <w:r w:rsidRPr="00E07C9A">
              <w:rPr>
                <w:rStyle w:val="InstructionsTabelleberschrift"/>
                <w:rFonts w:ascii="Times New Roman" w:hAnsi="Times New Roman"/>
                <w:sz w:val="24"/>
              </w:rPr>
              <w:t>(–) ÚPRAVA HODNOTY RIZIKOVO VÁŽENEJ EXPOZÍCIE VZHĽADOM NA FAKTOR NA PODPORU MSP</w:t>
            </w:r>
          </w:p>
          <w:p w14:paraId="0C30ED7F" w14:textId="77777777" w:rsidR="00664874" w:rsidRPr="00E07C9A" w:rsidRDefault="00664874" w:rsidP="003F19BA">
            <w:pPr>
              <w:rPr>
                <w:rFonts w:ascii="Times New Roman" w:hAnsi="Times New Roman"/>
                <w:b/>
                <w:sz w:val="24"/>
                <w:u w:val="single"/>
              </w:rPr>
            </w:pPr>
            <w:r w:rsidRPr="00E07C9A">
              <w:rPr>
                <w:rFonts w:ascii="Times New Roman" w:hAnsi="Times New Roman"/>
                <w:sz w:val="24"/>
              </w:rPr>
              <w:t>Rovnaká definícia ako pre stĺpec 0216 vzoru CR SA.</w:t>
            </w:r>
          </w:p>
        </w:tc>
      </w:tr>
      <w:tr w:rsidR="00664874" w:rsidRPr="00E07C9A" w14:paraId="4C9F3A7E" w14:textId="77777777" w:rsidTr="00672D2A">
        <w:tc>
          <w:tcPr>
            <w:tcW w:w="1188" w:type="dxa"/>
          </w:tcPr>
          <w:p w14:paraId="2F96DF4B" w14:textId="77777777" w:rsidR="00664874" w:rsidRPr="00E07C9A" w:rsidRDefault="00664874" w:rsidP="00664874">
            <w:pPr>
              <w:rPr>
                <w:rFonts w:ascii="Times New Roman" w:hAnsi="Times New Roman"/>
                <w:sz w:val="24"/>
              </w:rPr>
            </w:pPr>
            <w:r w:rsidRPr="00E07C9A">
              <w:rPr>
                <w:rFonts w:ascii="Times New Roman" w:hAnsi="Times New Roman"/>
                <w:sz w:val="24"/>
              </w:rPr>
              <w:t>0082</w:t>
            </w:r>
          </w:p>
        </w:tc>
        <w:tc>
          <w:tcPr>
            <w:tcW w:w="8640" w:type="dxa"/>
          </w:tcPr>
          <w:p w14:paraId="4A011F54" w14:textId="77777777" w:rsidR="00664874" w:rsidRPr="00E07C9A" w:rsidRDefault="00664874" w:rsidP="00664874">
            <w:pPr>
              <w:rPr>
                <w:rStyle w:val="InstructionsTabelleberschrift"/>
                <w:rFonts w:ascii="Times New Roman" w:hAnsi="Times New Roman"/>
                <w:sz w:val="32"/>
              </w:rPr>
            </w:pPr>
            <w:r w:rsidRPr="00E07C9A">
              <w:rPr>
                <w:rStyle w:val="InstructionsTabelleberschrift"/>
                <w:rFonts w:ascii="Times New Roman" w:hAnsi="Times New Roman"/>
                <w:sz w:val="24"/>
              </w:rPr>
              <w:t>(–) ÚPRAVA HODNOTY RIZIKOVO VÁŽENEJ EXPOZÍCIE VZHĽADOM NA FAKTOR NA PODPORU INFRAŠTRUKTÚRY</w:t>
            </w:r>
          </w:p>
          <w:p w14:paraId="281BC69D" w14:textId="77777777" w:rsidR="00664874" w:rsidRPr="00E07C9A" w:rsidRDefault="00664874" w:rsidP="000E197A">
            <w:pPr>
              <w:rPr>
                <w:rFonts w:ascii="Times New Roman" w:hAnsi="Times New Roman"/>
                <w:b/>
                <w:sz w:val="24"/>
                <w:u w:val="single"/>
              </w:rPr>
            </w:pPr>
            <w:r w:rsidRPr="00E07C9A">
              <w:rPr>
                <w:rFonts w:ascii="Times New Roman" w:hAnsi="Times New Roman"/>
                <w:sz w:val="24"/>
              </w:rPr>
              <w:t>Rovnaká definícia ako pre stĺpec 0217 vzoru CR SA.</w:t>
            </w:r>
          </w:p>
        </w:tc>
      </w:tr>
      <w:tr w:rsidR="004357B9" w:rsidRPr="00E07C9A" w14:paraId="083AFF36" w14:textId="77777777" w:rsidTr="00672D2A">
        <w:tc>
          <w:tcPr>
            <w:tcW w:w="1188" w:type="dxa"/>
          </w:tcPr>
          <w:p w14:paraId="1393DC3A" w14:textId="77777777" w:rsidR="004357B9" w:rsidRPr="00E07C9A" w:rsidRDefault="004357B9" w:rsidP="004357B9">
            <w:pPr>
              <w:rPr>
                <w:rFonts w:ascii="Times New Roman" w:hAnsi="Times New Roman"/>
                <w:sz w:val="24"/>
              </w:rPr>
            </w:pPr>
            <w:r w:rsidRPr="00E07C9A">
              <w:rPr>
                <w:rFonts w:ascii="Times New Roman" w:hAnsi="Times New Roman"/>
                <w:sz w:val="24"/>
              </w:rPr>
              <w:t>0090</w:t>
            </w:r>
          </w:p>
        </w:tc>
        <w:tc>
          <w:tcPr>
            <w:tcW w:w="8640" w:type="dxa"/>
          </w:tcPr>
          <w:p w14:paraId="2A74587D" w14:textId="77777777" w:rsidR="004357B9" w:rsidRPr="00E07C9A" w:rsidRDefault="004357B9" w:rsidP="004357B9">
            <w:pPr>
              <w:rPr>
                <w:rFonts w:ascii="Times New Roman" w:hAnsi="Times New Roman"/>
                <w:b/>
                <w:sz w:val="24"/>
                <w:u w:val="single"/>
              </w:rPr>
            </w:pPr>
            <w:r w:rsidRPr="00E07C9A">
              <w:rPr>
                <w:rFonts w:ascii="Times New Roman" w:hAnsi="Times New Roman"/>
                <w:b/>
                <w:sz w:val="24"/>
                <w:u w:val="single"/>
              </w:rPr>
              <w:t>HODNOTA RIZIKOVO VÁŽENEJ EXPOZÍCIE PO UPLATNENÍ PODPORNÝCH FAKTOROV</w:t>
            </w:r>
          </w:p>
          <w:p w14:paraId="4C738ED2" w14:textId="77777777" w:rsidR="004357B9" w:rsidRPr="00E07C9A" w:rsidRDefault="004357B9" w:rsidP="004357B9">
            <w:pPr>
              <w:rPr>
                <w:rFonts w:ascii="Times New Roman" w:hAnsi="Times New Roman"/>
                <w:b/>
                <w:sz w:val="24"/>
                <w:u w:val="single"/>
              </w:rPr>
            </w:pPr>
            <w:r w:rsidRPr="00E07C9A">
              <w:rPr>
                <w:rFonts w:ascii="Times New Roman" w:hAnsi="Times New Roman"/>
                <w:sz w:val="24"/>
              </w:rPr>
              <w:t>Rovnaká definícia ako pre stĺpec 0220 vzoru CR SA.</w:t>
            </w:r>
          </w:p>
        </w:tc>
      </w:tr>
    </w:tbl>
    <w:p w14:paraId="5A5D63D4" w14:textId="77777777" w:rsidR="004357B9" w:rsidRPr="00E07C9A" w:rsidRDefault="004357B9" w:rsidP="004357B9">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4357B9" w:rsidRPr="00E07C9A" w14:paraId="5BB10AB2" w14:textId="77777777" w:rsidTr="00672D2A">
        <w:trPr>
          <w:gridAfter w:val="1"/>
          <w:wAfter w:w="61" w:type="dxa"/>
          <w:trHeight w:val="581"/>
        </w:trPr>
        <w:tc>
          <w:tcPr>
            <w:tcW w:w="9828" w:type="dxa"/>
            <w:gridSpan w:val="2"/>
            <w:shd w:val="clear" w:color="auto" w:fill="CCCCCC"/>
          </w:tcPr>
          <w:p w14:paraId="4BCB921C" w14:textId="77777777" w:rsidR="004357B9" w:rsidRPr="00E07C9A" w:rsidRDefault="004357B9" w:rsidP="004357B9">
            <w:pPr>
              <w:spacing w:after="0"/>
              <w:rPr>
                <w:rStyle w:val="InstructionsTabelleText"/>
                <w:rFonts w:ascii="Times New Roman" w:hAnsi="Times New Roman"/>
                <w:b/>
                <w:sz w:val="24"/>
              </w:rPr>
            </w:pPr>
            <w:r w:rsidRPr="00E07C9A">
              <w:rPr>
                <w:rStyle w:val="InstructionsTabelleText"/>
                <w:rFonts w:ascii="Times New Roman" w:hAnsi="Times New Roman"/>
                <w:b/>
                <w:sz w:val="24"/>
              </w:rPr>
              <w:t>Riadky</w:t>
            </w:r>
          </w:p>
        </w:tc>
      </w:tr>
      <w:tr w:rsidR="004357B9" w:rsidRPr="00E07C9A" w14:paraId="5CC3736E" w14:textId="77777777" w:rsidTr="00672D2A">
        <w:tc>
          <w:tcPr>
            <w:tcW w:w="1188" w:type="dxa"/>
            <w:shd w:val="clear" w:color="auto" w:fill="FFFFFF"/>
          </w:tcPr>
          <w:p w14:paraId="31F4364B" w14:textId="77777777" w:rsidR="004357B9" w:rsidRPr="00E07C9A" w:rsidRDefault="004357B9" w:rsidP="004357B9">
            <w:pPr>
              <w:rPr>
                <w:rFonts w:ascii="Times New Roman" w:hAnsi="Times New Roman"/>
                <w:sz w:val="24"/>
              </w:rPr>
            </w:pPr>
            <w:r w:rsidRPr="00E07C9A">
              <w:rPr>
                <w:rFonts w:ascii="Times New Roman" w:hAnsi="Times New Roman"/>
                <w:sz w:val="24"/>
              </w:rPr>
              <w:t>0010</w:t>
            </w:r>
          </w:p>
        </w:tc>
        <w:tc>
          <w:tcPr>
            <w:tcW w:w="8701" w:type="dxa"/>
            <w:gridSpan w:val="2"/>
            <w:shd w:val="clear" w:color="auto" w:fill="FFFFFF"/>
          </w:tcPr>
          <w:p w14:paraId="00D396BE" w14:textId="77777777" w:rsidR="004357B9" w:rsidRPr="00E07C9A" w:rsidRDefault="004357B9" w:rsidP="004357B9">
            <w:pPr>
              <w:ind w:left="72"/>
              <w:rPr>
                <w:rStyle w:val="InstructionsTabelleberschrift"/>
                <w:rFonts w:ascii="Times New Roman" w:hAnsi="Times New Roman"/>
                <w:sz w:val="24"/>
              </w:rPr>
            </w:pPr>
            <w:r w:rsidRPr="00E07C9A">
              <w:rPr>
                <w:rStyle w:val="InstructionsTabelleberschrift"/>
                <w:rFonts w:ascii="Times New Roman" w:hAnsi="Times New Roman"/>
                <w:sz w:val="24"/>
              </w:rPr>
              <w:t>Ústredné vlády alebo centrálne banky</w:t>
            </w:r>
          </w:p>
          <w:p w14:paraId="504AB30A" w14:textId="2911DE2E" w:rsidR="004357B9" w:rsidRPr="00E07C9A" w:rsidRDefault="004357B9" w:rsidP="00D21B29">
            <w:pPr>
              <w:ind w:left="72"/>
              <w:rPr>
                <w:rStyle w:val="InstructionsTabelleText"/>
                <w:rFonts w:ascii="Times New Roman" w:hAnsi="Times New Roman"/>
                <w:sz w:val="24"/>
              </w:rPr>
            </w:pPr>
            <w:r w:rsidRPr="00E07C9A">
              <w:rPr>
                <w:rFonts w:ascii="Times New Roman" w:hAnsi="Times New Roman"/>
                <w:sz w:val="24"/>
              </w:rPr>
              <w:t xml:space="preserve">Článok 112 písm. a) nariadenia (EÚ) </w:t>
            </w:r>
            <w:r w:rsidR="009912F8" w:rsidRPr="00E07C9A">
              <w:rPr>
                <w:rFonts w:ascii="Times New Roman" w:hAnsi="Times New Roman"/>
                <w:sz w:val="24"/>
              </w:rPr>
              <w:t>č. 575/2013</w:t>
            </w:r>
          </w:p>
        </w:tc>
      </w:tr>
      <w:tr w:rsidR="004357B9" w:rsidRPr="00E07C9A" w14:paraId="20D787DD" w14:textId="77777777" w:rsidTr="00672D2A">
        <w:tc>
          <w:tcPr>
            <w:tcW w:w="1188" w:type="dxa"/>
            <w:shd w:val="clear" w:color="auto" w:fill="FFFFFF"/>
          </w:tcPr>
          <w:p w14:paraId="51301E5F" w14:textId="77777777" w:rsidR="004357B9" w:rsidRPr="00E07C9A" w:rsidRDefault="004357B9" w:rsidP="004357B9">
            <w:pPr>
              <w:rPr>
                <w:rFonts w:ascii="Times New Roman" w:hAnsi="Times New Roman"/>
                <w:sz w:val="24"/>
              </w:rPr>
            </w:pPr>
            <w:r w:rsidRPr="00E07C9A">
              <w:rPr>
                <w:rFonts w:ascii="Times New Roman" w:hAnsi="Times New Roman"/>
                <w:sz w:val="24"/>
              </w:rPr>
              <w:t>0020</w:t>
            </w:r>
          </w:p>
        </w:tc>
        <w:tc>
          <w:tcPr>
            <w:tcW w:w="8701" w:type="dxa"/>
            <w:gridSpan w:val="2"/>
            <w:shd w:val="clear" w:color="auto" w:fill="FFFFFF"/>
          </w:tcPr>
          <w:p w14:paraId="3E0A136E" w14:textId="77777777" w:rsidR="004357B9" w:rsidRPr="00E07C9A" w:rsidRDefault="004357B9" w:rsidP="004357B9">
            <w:pPr>
              <w:ind w:left="72"/>
              <w:rPr>
                <w:rStyle w:val="InstructionsTabelleberschrift"/>
                <w:rFonts w:ascii="Times New Roman" w:hAnsi="Times New Roman"/>
                <w:sz w:val="24"/>
              </w:rPr>
            </w:pPr>
            <w:r w:rsidRPr="00E07C9A">
              <w:rPr>
                <w:rStyle w:val="InstructionsTabelleberschrift"/>
                <w:rFonts w:ascii="Times New Roman" w:hAnsi="Times New Roman"/>
                <w:sz w:val="24"/>
              </w:rPr>
              <w:t>Regionálne vlády alebo miestne orgány</w:t>
            </w:r>
          </w:p>
          <w:p w14:paraId="23983289" w14:textId="6EA0A739" w:rsidR="004357B9" w:rsidRPr="00E07C9A" w:rsidRDefault="000737D3" w:rsidP="00D21B29">
            <w:pPr>
              <w:ind w:left="72"/>
              <w:rPr>
                <w:rStyle w:val="InstructionsTabelleberschrift"/>
                <w:rFonts w:ascii="Times New Roman" w:hAnsi="Times New Roman"/>
                <w:sz w:val="24"/>
              </w:rPr>
            </w:pPr>
            <w:r w:rsidRPr="00E07C9A">
              <w:rPr>
                <w:rFonts w:ascii="Times New Roman" w:hAnsi="Times New Roman"/>
                <w:sz w:val="24"/>
              </w:rPr>
              <w:t xml:space="preserve">Článok 112 písm. b) nariadenia (EÚ) </w:t>
            </w:r>
            <w:r w:rsidR="009912F8" w:rsidRPr="00E07C9A">
              <w:rPr>
                <w:rFonts w:ascii="Times New Roman" w:hAnsi="Times New Roman"/>
                <w:sz w:val="24"/>
              </w:rPr>
              <w:t>č. 575/2013</w:t>
            </w:r>
          </w:p>
        </w:tc>
      </w:tr>
      <w:tr w:rsidR="004357B9" w:rsidRPr="00E07C9A" w14:paraId="3F8EFCC2" w14:textId="77777777" w:rsidTr="00672D2A">
        <w:tc>
          <w:tcPr>
            <w:tcW w:w="1188" w:type="dxa"/>
            <w:shd w:val="clear" w:color="auto" w:fill="FFFFFF"/>
          </w:tcPr>
          <w:p w14:paraId="0783F7D0" w14:textId="77777777" w:rsidR="004357B9" w:rsidRPr="00E07C9A" w:rsidRDefault="004357B9" w:rsidP="004357B9">
            <w:pPr>
              <w:rPr>
                <w:rFonts w:ascii="Times New Roman" w:hAnsi="Times New Roman"/>
                <w:sz w:val="24"/>
              </w:rPr>
            </w:pPr>
            <w:r w:rsidRPr="00E07C9A">
              <w:rPr>
                <w:rFonts w:ascii="Times New Roman" w:hAnsi="Times New Roman"/>
                <w:sz w:val="24"/>
              </w:rPr>
              <w:t>0030</w:t>
            </w:r>
          </w:p>
        </w:tc>
        <w:tc>
          <w:tcPr>
            <w:tcW w:w="8701" w:type="dxa"/>
            <w:gridSpan w:val="2"/>
            <w:shd w:val="clear" w:color="auto" w:fill="FFFFFF"/>
          </w:tcPr>
          <w:p w14:paraId="6CC6A7D3" w14:textId="77777777" w:rsidR="004357B9" w:rsidRPr="00E07C9A" w:rsidRDefault="004357B9" w:rsidP="004357B9">
            <w:pPr>
              <w:ind w:left="72"/>
              <w:rPr>
                <w:rStyle w:val="InstructionsTabelleberschrift"/>
                <w:rFonts w:ascii="Times New Roman" w:hAnsi="Times New Roman"/>
                <w:sz w:val="24"/>
              </w:rPr>
            </w:pPr>
            <w:r w:rsidRPr="00E07C9A">
              <w:rPr>
                <w:rStyle w:val="InstructionsTabelleberschrift"/>
                <w:rFonts w:ascii="Times New Roman" w:hAnsi="Times New Roman"/>
                <w:sz w:val="24"/>
              </w:rPr>
              <w:t>Subjekty verejného sektora</w:t>
            </w:r>
          </w:p>
          <w:p w14:paraId="1C212B83" w14:textId="340707BD" w:rsidR="004357B9" w:rsidRPr="00E07C9A" w:rsidRDefault="000737D3" w:rsidP="00D21B29">
            <w:pPr>
              <w:ind w:left="72"/>
              <w:rPr>
                <w:rStyle w:val="InstructionsTabelleberschrift"/>
                <w:rFonts w:ascii="Times New Roman" w:hAnsi="Times New Roman"/>
                <w:sz w:val="24"/>
              </w:rPr>
            </w:pPr>
            <w:r w:rsidRPr="00E07C9A">
              <w:rPr>
                <w:rFonts w:ascii="Times New Roman" w:hAnsi="Times New Roman"/>
                <w:sz w:val="24"/>
              </w:rPr>
              <w:t xml:space="preserve">Článok 112 písm. c) nariadenia (EÚ) </w:t>
            </w:r>
            <w:r w:rsidR="009912F8" w:rsidRPr="00E07C9A">
              <w:rPr>
                <w:rFonts w:ascii="Times New Roman" w:hAnsi="Times New Roman"/>
                <w:sz w:val="24"/>
              </w:rPr>
              <w:t>č. 575/2013</w:t>
            </w:r>
          </w:p>
        </w:tc>
      </w:tr>
      <w:tr w:rsidR="004357B9" w:rsidRPr="00E07C9A" w14:paraId="2BC0DE41" w14:textId="77777777" w:rsidTr="00672D2A">
        <w:tc>
          <w:tcPr>
            <w:tcW w:w="1188" w:type="dxa"/>
            <w:shd w:val="clear" w:color="auto" w:fill="FFFFFF"/>
          </w:tcPr>
          <w:p w14:paraId="6B8372D8" w14:textId="77777777" w:rsidR="004357B9" w:rsidRPr="00E07C9A" w:rsidRDefault="004357B9" w:rsidP="004357B9">
            <w:pPr>
              <w:rPr>
                <w:rFonts w:ascii="Times New Roman" w:hAnsi="Times New Roman"/>
                <w:sz w:val="24"/>
              </w:rPr>
            </w:pPr>
            <w:r w:rsidRPr="00E07C9A">
              <w:rPr>
                <w:rFonts w:ascii="Times New Roman" w:hAnsi="Times New Roman"/>
                <w:sz w:val="24"/>
              </w:rPr>
              <w:t>0040</w:t>
            </w:r>
          </w:p>
        </w:tc>
        <w:tc>
          <w:tcPr>
            <w:tcW w:w="8701" w:type="dxa"/>
            <w:gridSpan w:val="2"/>
            <w:shd w:val="clear" w:color="auto" w:fill="FFFFFF"/>
          </w:tcPr>
          <w:p w14:paraId="2CD9B68A" w14:textId="77777777" w:rsidR="004357B9" w:rsidRPr="00E07C9A" w:rsidRDefault="004357B9" w:rsidP="004357B9">
            <w:pPr>
              <w:ind w:left="72"/>
              <w:rPr>
                <w:rStyle w:val="InstructionsTabelleberschrift"/>
                <w:rFonts w:ascii="Times New Roman" w:hAnsi="Times New Roman"/>
                <w:sz w:val="24"/>
              </w:rPr>
            </w:pPr>
            <w:r w:rsidRPr="00E07C9A">
              <w:rPr>
                <w:rStyle w:val="InstructionsTabelleberschrift"/>
                <w:rFonts w:ascii="Times New Roman" w:hAnsi="Times New Roman"/>
                <w:sz w:val="24"/>
              </w:rPr>
              <w:t>Multilaterálne rozvojové banky</w:t>
            </w:r>
          </w:p>
          <w:p w14:paraId="373C9F87" w14:textId="56F0AAD2" w:rsidR="004357B9" w:rsidRPr="00E07C9A" w:rsidRDefault="000737D3" w:rsidP="00D21B29">
            <w:pPr>
              <w:ind w:left="72"/>
              <w:rPr>
                <w:rStyle w:val="InstructionsTabelleberschrift"/>
                <w:rFonts w:ascii="Times New Roman" w:hAnsi="Times New Roman"/>
                <w:sz w:val="24"/>
              </w:rPr>
            </w:pPr>
            <w:r w:rsidRPr="00E07C9A">
              <w:rPr>
                <w:rFonts w:ascii="Times New Roman" w:hAnsi="Times New Roman"/>
                <w:sz w:val="24"/>
              </w:rPr>
              <w:t xml:space="preserve">Článok 112 písm. d) nariadenia (EÚ) </w:t>
            </w:r>
            <w:r w:rsidR="009912F8" w:rsidRPr="00E07C9A">
              <w:rPr>
                <w:rFonts w:ascii="Times New Roman" w:hAnsi="Times New Roman"/>
                <w:sz w:val="24"/>
              </w:rPr>
              <w:t>č. 575/2013</w:t>
            </w:r>
          </w:p>
        </w:tc>
      </w:tr>
      <w:tr w:rsidR="004357B9" w:rsidRPr="00E07C9A" w14:paraId="4047FE92" w14:textId="77777777" w:rsidTr="00672D2A">
        <w:tc>
          <w:tcPr>
            <w:tcW w:w="1188" w:type="dxa"/>
            <w:shd w:val="clear" w:color="auto" w:fill="FFFFFF"/>
          </w:tcPr>
          <w:p w14:paraId="211B1FC8" w14:textId="77777777" w:rsidR="004357B9" w:rsidRPr="00E07C9A" w:rsidRDefault="004357B9" w:rsidP="004357B9">
            <w:pPr>
              <w:rPr>
                <w:rFonts w:ascii="Times New Roman" w:hAnsi="Times New Roman"/>
                <w:sz w:val="24"/>
              </w:rPr>
            </w:pPr>
            <w:r w:rsidRPr="00E07C9A">
              <w:rPr>
                <w:rFonts w:ascii="Times New Roman" w:hAnsi="Times New Roman"/>
                <w:sz w:val="24"/>
              </w:rPr>
              <w:t>0050</w:t>
            </w:r>
          </w:p>
        </w:tc>
        <w:tc>
          <w:tcPr>
            <w:tcW w:w="8701" w:type="dxa"/>
            <w:gridSpan w:val="2"/>
            <w:shd w:val="clear" w:color="auto" w:fill="FFFFFF"/>
          </w:tcPr>
          <w:p w14:paraId="289F1007" w14:textId="77777777" w:rsidR="004357B9" w:rsidRPr="00E07C9A" w:rsidRDefault="004357B9" w:rsidP="004357B9">
            <w:pPr>
              <w:ind w:left="72"/>
              <w:rPr>
                <w:rStyle w:val="InstructionsTabelleberschrift"/>
                <w:rFonts w:ascii="Times New Roman" w:hAnsi="Times New Roman"/>
                <w:sz w:val="24"/>
              </w:rPr>
            </w:pPr>
            <w:r w:rsidRPr="00E07C9A">
              <w:rPr>
                <w:rStyle w:val="InstructionsTabelleberschrift"/>
                <w:rFonts w:ascii="Times New Roman" w:hAnsi="Times New Roman"/>
                <w:sz w:val="24"/>
              </w:rPr>
              <w:t>Medzinárodné organizácie</w:t>
            </w:r>
          </w:p>
          <w:p w14:paraId="7936A43F" w14:textId="54BAE891" w:rsidR="004357B9" w:rsidRPr="00E07C9A" w:rsidRDefault="000737D3" w:rsidP="00D21B29">
            <w:pPr>
              <w:ind w:left="72"/>
              <w:rPr>
                <w:rStyle w:val="InstructionsTabelleberschrift"/>
                <w:rFonts w:ascii="Times New Roman" w:hAnsi="Times New Roman"/>
                <w:sz w:val="24"/>
              </w:rPr>
            </w:pPr>
            <w:r w:rsidRPr="00E07C9A">
              <w:rPr>
                <w:rFonts w:ascii="Times New Roman" w:hAnsi="Times New Roman"/>
                <w:sz w:val="24"/>
              </w:rPr>
              <w:t xml:space="preserve">Článok 112 písm. e) nariadenia (EÚ) </w:t>
            </w:r>
            <w:r w:rsidR="009912F8" w:rsidRPr="00E07C9A">
              <w:rPr>
                <w:rFonts w:ascii="Times New Roman" w:hAnsi="Times New Roman"/>
                <w:sz w:val="24"/>
              </w:rPr>
              <w:t>č. 575/2013</w:t>
            </w:r>
          </w:p>
        </w:tc>
      </w:tr>
      <w:tr w:rsidR="004357B9" w:rsidRPr="00E07C9A" w14:paraId="2AE38660" w14:textId="77777777" w:rsidTr="00672D2A">
        <w:tc>
          <w:tcPr>
            <w:tcW w:w="1188" w:type="dxa"/>
            <w:shd w:val="clear" w:color="auto" w:fill="FFFFFF"/>
          </w:tcPr>
          <w:p w14:paraId="24FE0048" w14:textId="77777777" w:rsidR="004357B9" w:rsidRPr="00E07C9A" w:rsidRDefault="004357B9" w:rsidP="004357B9">
            <w:pPr>
              <w:rPr>
                <w:rFonts w:ascii="Times New Roman" w:hAnsi="Times New Roman"/>
                <w:sz w:val="24"/>
              </w:rPr>
            </w:pPr>
            <w:r w:rsidRPr="00E07C9A">
              <w:rPr>
                <w:rFonts w:ascii="Times New Roman" w:hAnsi="Times New Roman"/>
                <w:sz w:val="24"/>
              </w:rPr>
              <w:t>0060</w:t>
            </w:r>
          </w:p>
        </w:tc>
        <w:tc>
          <w:tcPr>
            <w:tcW w:w="8701" w:type="dxa"/>
            <w:gridSpan w:val="2"/>
            <w:shd w:val="clear" w:color="auto" w:fill="FFFFFF"/>
          </w:tcPr>
          <w:p w14:paraId="3F5D8A72" w14:textId="77777777" w:rsidR="004357B9" w:rsidRPr="00E07C9A" w:rsidRDefault="004357B9" w:rsidP="004357B9">
            <w:pPr>
              <w:ind w:left="72"/>
              <w:rPr>
                <w:rStyle w:val="InstructionsTabelleberschrift"/>
                <w:rFonts w:ascii="Times New Roman" w:hAnsi="Times New Roman"/>
                <w:sz w:val="24"/>
              </w:rPr>
            </w:pPr>
            <w:r w:rsidRPr="00E07C9A">
              <w:rPr>
                <w:rStyle w:val="InstructionsTabelleberschrift"/>
                <w:rFonts w:ascii="Times New Roman" w:hAnsi="Times New Roman"/>
                <w:sz w:val="24"/>
              </w:rPr>
              <w:t>Inštitúcie</w:t>
            </w:r>
          </w:p>
          <w:p w14:paraId="02950B6A" w14:textId="333236D4" w:rsidR="004357B9" w:rsidRPr="00E07C9A" w:rsidRDefault="000737D3" w:rsidP="00D21B29">
            <w:pPr>
              <w:ind w:left="72"/>
              <w:rPr>
                <w:rStyle w:val="InstructionsTabelleberschrift"/>
                <w:rFonts w:ascii="Times New Roman" w:hAnsi="Times New Roman"/>
                <w:sz w:val="24"/>
              </w:rPr>
            </w:pPr>
            <w:r w:rsidRPr="00E07C9A">
              <w:rPr>
                <w:rFonts w:ascii="Times New Roman" w:hAnsi="Times New Roman"/>
                <w:sz w:val="24"/>
              </w:rPr>
              <w:t xml:space="preserve">Článok 112 písm. f) nariadenia (EÚ) </w:t>
            </w:r>
            <w:r w:rsidR="009912F8" w:rsidRPr="00E07C9A">
              <w:rPr>
                <w:rFonts w:ascii="Times New Roman" w:hAnsi="Times New Roman"/>
                <w:sz w:val="24"/>
              </w:rPr>
              <w:t>č. 575/2013</w:t>
            </w:r>
          </w:p>
        </w:tc>
      </w:tr>
      <w:tr w:rsidR="004357B9" w:rsidRPr="00E07C9A" w14:paraId="248223C9" w14:textId="77777777" w:rsidTr="00672D2A">
        <w:tc>
          <w:tcPr>
            <w:tcW w:w="1188" w:type="dxa"/>
            <w:shd w:val="clear" w:color="auto" w:fill="FFFFFF"/>
          </w:tcPr>
          <w:p w14:paraId="75A6D270" w14:textId="77777777" w:rsidR="004357B9" w:rsidRPr="00E07C9A" w:rsidRDefault="004357B9" w:rsidP="004357B9">
            <w:pPr>
              <w:rPr>
                <w:rFonts w:ascii="Times New Roman" w:hAnsi="Times New Roman"/>
                <w:sz w:val="24"/>
              </w:rPr>
            </w:pPr>
            <w:r w:rsidRPr="00E07C9A">
              <w:rPr>
                <w:rFonts w:ascii="Times New Roman" w:hAnsi="Times New Roman"/>
                <w:sz w:val="24"/>
              </w:rPr>
              <w:t>0070</w:t>
            </w:r>
          </w:p>
        </w:tc>
        <w:tc>
          <w:tcPr>
            <w:tcW w:w="8701" w:type="dxa"/>
            <w:gridSpan w:val="2"/>
            <w:shd w:val="clear" w:color="auto" w:fill="FFFFFF"/>
          </w:tcPr>
          <w:p w14:paraId="1BE4010F" w14:textId="77777777" w:rsidR="004357B9" w:rsidRPr="00E07C9A" w:rsidRDefault="004357B9" w:rsidP="004357B9">
            <w:pPr>
              <w:ind w:left="72"/>
              <w:rPr>
                <w:rStyle w:val="InstructionsTabelleberschrift"/>
                <w:rFonts w:ascii="Times New Roman" w:hAnsi="Times New Roman"/>
                <w:sz w:val="24"/>
              </w:rPr>
            </w:pPr>
            <w:r w:rsidRPr="00E07C9A">
              <w:rPr>
                <w:rStyle w:val="InstructionsTabelleberschrift"/>
                <w:rFonts w:ascii="Times New Roman" w:hAnsi="Times New Roman"/>
                <w:sz w:val="24"/>
              </w:rPr>
              <w:t>Podnikateľské subjekty</w:t>
            </w:r>
          </w:p>
          <w:p w14:paraId="1509655B" w14:textId="23F6FF36" w:rsidR="004357B9" w:rsidRPr="00E07C9A" w:rsidRDefault="000737D3" w:rsidP="00D21B29">
            <w:pPr>
              <w:ind w:left="72"/>
              <w:rPr>
                <w:rStyle w:val="InstructionsTabelleberschrift"/>
                <w:rFonts w:ascii="Times New Roman" w:hAnsi="Times New Roman"/>
                <w:sz w:val="24"/>
              </w:rPr>
            </w:pPr>
            <w:r w:rsidRPr="00E07C9A">
              <w:rPr>
                <w:rFonts w:ascii="Times New Roman" w:hAnsi="Times New Roman"/>
                <w:sz w:val="24"/>
              </w:rPr>
              <w:t xml:space="preserve">Článok 112 písm. g) nariadenia (EÚ) </w:t>
            </w:r>
            <w:r w:rsidR="009912F8" w:rsidRPr="00E07C9A">
              <w:rPr>
                <w:rFonts w:ascii="Times New Roman" w:hAnsi="Times New Roman"/>
                <w:sz w:val="24"/>
              </w:rPr>
              <w:t>č. 575/2013</w:t>
            </w:r>
          </w:p>
        </w:tc>
      </w:tr>
      <w:tr w:rsidR="004357B9" w:rsidRPr="00E07C9A" w14:paraId="1001BEA9" w14:textId="77777777" w:rsidTr="00672D2A">
        <w:tc>
          <w:tcPr>
            <w:tcW w:w="1188" w:type="dxa"/>
            <w:shd w:val="clear" w:color="auto" w:fill="FFFFFF"/>
          </w:tcPr>
          <w:p w14:paraId="2FA393B0" w14:textId="77777777" w:rsidR="004357B9" w:rsidRPr="00E07C9A" w:rsidRDefault="004357B9" w:rsidP="004357B9">
            <w:pPr>
              <w:rPr>
                <w:rFonts w:ascii="Times New Roman" w:hAnsi="Times New Roman"/>
                <w:sz w:val="24"/>
              </w:rPr>
            </w:pPr>
            <w:r w:rsidRPr="00E07C9A">
              <w:rPr>
                <w:rFonts w:ascii="Times New Roman" w:hAnsi="Times New Roman"/>
                <w:sz w:val="24"/>
              </w:rPr>
              <w:t>0075</w:t>
            </w:r>
          </w:p>
        </w:tc>
        <w:tc>
          <w:tcPr>
            <w:tcW w:w="8701" w:type="dxa"/>
            <w:gridSpan w:val="2"/>
            <w:shd w:val="clear" w:color="auto" w:fill="FFFFFF"/>
          </w:tcPr>
          <w:p w14:paraId="31658D39" w14:textId="77777777" w:rsidR="004357B9" w:rsidRPr="00E07C9A" w:rsidRDefault="004357B9" w:rsidP="004357B9">
            <w:pPr>
              <w:ind w:left="72"/>
              <w:rPr>
                <w:rStyle w:val="InstructionsTabelleberschrift"/>
                <w:rFonts w:ascii="Times New Roman" w:hAnsi="Times New Roman"/>
                <w:sz w:val="24"/>
              </w:rPr>
            </w:pPr>
            <w:r w:rsidRPr="00E07C9A">
              <w:rPr>
                <w:rStyle w:val="InstructionsTabelleberschrift"/>
                <w:rFonts w:ascii="Times New Roman" w:hAnsi="Times New Roman"/>
                <w:sz w:val="24"/>
              </w:rPr>
              <w:t>z čoho: MSP</w:t>
            </w:r>
          </w:p>
          <w:p w14:paraId="1FE785B9" w14:textId="77777777" w:rsidR="004357B9" w:rsidRPr="00E07C9A" w:rsidRDefault="004357B9" w:rsidP="007121C9">
            <w:pPr>
              <w:ind w:left="72"/>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Rovnaká definícia ako pre riadok 0020 vzoru CR SA.</w:t>
            </w:r>
          </w:p>
        </w:tc>
      </w:tr>
      <w:tr w:rsidR="004357B9" w:rsidRPr="00E07C9A" w14:paraId="309C835E" w14:textId="77777777" w:rsidTr="00672D2A">
        <w:tc>
          <w:tcPr>
            <w:tcW w:w="1188" w:type="dxa"/>
            <w:shd w:val="clear" w:color="auto" w:fill="FFFFFF"/>
          </w:tcPr>
          <w:p w14:paraId="2DFC1291" w14:textId="77777777" w:rsidR="004357B9" w:rsidRPr="00E07C9A" w:rsidRDefault="004357B9" w:rsidP="004357B9">
            <w:pPr>
              <w:rPr>
                <w:rFonts w:ascii="Times New Roman" w:hAnsi="Times New Roman"/>
                <w:sz w:val="24"/>
              </w:rPr>
            </w:pPr>
            <w:r w:rsidRPr="00E07C9A">
              <w:rPr>
                <w:rFonts w:ascii="Times New Roman" w:hAnsi="Times New Roman"/>
                <w:sz w:val="24"/>
              </w:rPr>
              <w:t>0080</w:t>
            </w:r>
          </w:p>
        </w:tc>
        <w:tc>
          <w:tcPr>
            <w:tcW w:w="8701" w:type="dxa"/>
            <w:gridSpan w:val="2"/>
            <w:shd w:val="clear" w:color="auto" w:fill="FFFFFF"/>
          </w:tcPr>
          <w:p w14:paraId="3A610EDB" w14:textId="77777777" w:rsidR="004357B9" w:rsidRPr="00E07C9A" w:rsidRDefault="004357B9" w:rsidP="004357B9">
            <w:pPr>
              <w:ind w:left="72"/>
              <w:rPr>
                <w:rStyle w:val="InstructionsTabelleberschrift"/>
                <w:rFonts w:ascii="Times New Roman" w:hAnsi="Times New Roman"/>
                <w:sz w:val="24"/>
              </w:rPr>
            </w:pPr>
            <w:r w:rsidRPr="00E07C9A">
              <w:rPr>
                <w:rStyle w:val="InstructionsTabelleberschrift"/>
                <w:rFonts w:ascii="Times New Roman" w:hAnsi="Times New Roman"/>
                <w:sz w:val="24"/>
              </w:rPr>
              <w:t>Retailové subjekty</w:t>
            </w:r>
          </w:p>
          <w:p w14:paraId="3883BAA8" w14:textId="64C848A6" w:rsidR="004357B9" w:rsidRPr="00E07C9A" w:rsidRDefault="000737D3" w:rsidP="00D21B29">
            <w:pPr>
              <w:ind w:left="72"/>
              <w:rPr>
                <w:rStyle w:val="InstructionsTabelleberschrift"/>
                <w:rFonts w:ascii="Times New Roman" w:hAnsi="Times New Roman"/>
                <w:sz w:val="24"/>
              </w:rPr>
            </w:pPr>
            <w:r w:rsidRPr="00E07C9A">
              <w:rPr>
                <w:rFonts w:ascii="Times New Roman" w:hAnsi="Times New Roman"/>
                <w:sz w:val="24"/>
              </w:rPr>
              <w:t xml:space="preserve">Článok 112 písm. h) nariadenia (EÚ) </w:t>
            </w:r>
            <w:r w:rsidR="009912F8" w:rsidRPr="00E07C9A">
              <w:rPr>
                <w:rFonts w:ascii="Times New Roman" w:hAnsi="Times New Roman"/>
                <w:sz w:val="24"/>
              </w:rPr>
              <w:t>č. 575/2013</w:t>
            </w:r>
          </w:p>
        </w:tc>
      </w:tr>
      <w:tr w:rsidR="004357B9" w:rsidRPr="00E07C9A" w14:paraId="56C32298" w14:textId="77777777" w:rsidTr="00672D2A">
        <w:tc>
          <w:tcPr>
            <w:tcW w:w="1188" w:type="dxa"/>
            <w:shd w:val="clear" w:color="auto" w:fill="FFFFFF"/>
          </w:tcPr>
          <w:p w14:paraId="7F6879CC" w14:textId="77777777" w:rsidR="004357B9" w:rsidRPr="00E07C9A" w:rsidRDefault="004357B9" w:rsidP="004357B9">
            <w:pPr>
              <w:rPr>
                <w:rFonts w:ascii="Times New Roman" w:hAnsi="Times New Roman"/>
                <w:sz w:val="24"/>
              </w:rPr>
            </w:pPr>
            <w:r w:rsidRPr="00E07C9A">
              <w:rPr>
                <w:rFonts w:ascii="Times New Roman" w:hAnsi="Times New Roman"/>
                <w:sz w:val="24"/>
              </w:rPr>
              <w:t>0085</w:t>
            </w:r>
          </w:p>
        </w:tc>
        <w:tc>
          <w:tcPr>
            <w:tcW w:w="8701" w:type="dxa"/>
            <w:gridSpan w:val="2"/>
            <w:shd w:val="clear" w:color="auto" w:fill="FFFFFF"/>
          </w:tcPr>
          <w:p w14:paraId="66158057" w14:textId="77777777" w:rsidR="004357B9" w:rsidRPr="00E07C9A" w:rsidRDefault="004357B9" w:rsidP="004357B9">
            <w:pPr>
              <w:ind w:left="72"/>
              <w:rPr>
                <w:rStyle w:val="InstructionsTabelleberschrift"/>
                <w:rFonts w:ascii="Times New Roman" w:hAnsi="Times New Roman"/>
                <w:sz w:val="24"/>
              </w:rPr>
            </w:pPr>
            <w:r w:rsidRPr="00E07C9A">
              <w:rPr>
                <w:rStyle w:val="InstructionsTabelleberschrift"/>
                <w:rFonts w:ascii="Times New Roman" w:hAnsi="Times New Roman"/>
                <w:sz w:val="24"/>
              </w:rPr>
              <w:t>z čoho: MSP</w:t>
            </w:r>
          </w:p>
          <w:p w14:paraId="61E985E9" w14:textId="77777777" w:rsidR="004357B9" w:rsidRPr="00E07C9A" w:rsidRDefault="004357B9" w:rsidP="00DE26F2">
            <w:pPr>
              <w:ind w:left="72"/>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Rovnaká definícia ako pre riadok 0020 vzoru CR SA.</w:t>
            </w:r>
          </w:p>
        </w:tc>
      </w:tr>
      <w:tr w:rsidR="004357B9" w:rsidRPr="00E07C9A" w14:paraId="08B0F683" w14:textId="77777777" w:rsidTr="00672D2A">
        <w:tc>
          <w:tcPr>
            <w:tcW w:w="1188" w:type="dxa"/>
            <w:shd w:val="clear" w:color="auto" w:fill="FFFFFF"/>
          </w:tcPr>
          <w:p w14:paraId="17131117" w14:textId="77777777" w:rsidR="004357B9" w:rsidRPr="00E07C9A" w:rsidRDefault="004357B9" w:rsidP="004357B9">
            <w:pPr>
              <w:rPr>
                <w:rFonts w:ascii="Times New Roman" w:hAnsi="Times New Roman"/>
                <w:sz w:val="24"/>
              </w:rPr>
            </w:pPr>
            <w:r w:rsidRPr="00E07C9A">
              <w:rPr>
                <w:rFonts w:ascii="Times New Roman" w:hAnsi="Times New Roman"/>
                <w:sz w:val="24"/>
              </w:rPr>
              <w:t>0090</w:t>
            </w:r>
          </w:p>
        </w:tc>
        <w:tc>
          <w:tcPr>
            <w:tcW w:w="8701" w:type="dxa"/>
            <w:gridSpan w:val="2"/>
            <w:shd w:val="clear" w:color="auto" w:fill="FFFFFF"/>
          </w:tcPr>
          <w:p w14:paraId="51835A19" w14:textId="77777777" w:rsidR="004357B9" w:rsidRPr="00E07C9A" w:rsidRDefault="004357B9" w:rsidP="004357B9">
            <w:pPr>
              <w:ind w:left="72"/>
              <w:rPr>
                <w:rStyle w:val="InstructionsTabelleberschrift"/>
                <w:rFonts w:ascii="Times New Roman" w:hAnsi="Times New Roman"/>
                <w:sz w:val="24"/>
              </w:rPr>
            </w:pPr>
            <w:r w:rsidRPr="00E07C9A">
              <w:rPr>
                <w:rStyle w:val="InstructionsTabelleberschrift"/>
                <w:rFonts w:ascii="Times New Roman" w:hAnsi="Times New Roman"/>
                <w:sz w:val="24"/>
              </w:rPr>
              <w:t>Zabezpečené hypotékami na nehnuteľný majetok</w:t>
            </w:r>
          </w:p>
          <w:p w14:paraId="37245A82" w14:textId="4BC22976" w:rsidR="004357B9" w:rsidRPr="00E07C9A" w:rsidRDefault="000737D3" w:rsidP="00D21B29">
            <w:pPr>
              <w:ind w:left="72"/>
              <w:rPr>
                <w:rStyle w:val="InstructionsTabelleText"/>
                <w:rFonts w:ascii="Times New Roman" w:hAnsi="Times New Roman"/>
                <w:sz w:val="24"/>
              </w:rPr>
            </w:pPr>
            <w:r w:rsidRPr="00E07C9A">
              <w:rPr>
                <w:rFonts w:ascii="Times New Roman" w:hAnsi="Times New Roman"/>
                <w:sz w:val="24"/>
              </w:rPr>
              <w:t xml:space="preserve">Článok 112 písm. i) nariadenia (EÚ) </w:t>
            </w:r>
            <w:r w:rsidR="009912F8" w:rsidRPr="00E07C9A">
              <w:rPr>
                <w:rFonts w:ascii="Times New Roman" w:hAnsi="Times New Roman"/>
                <w:sz w:val="24"/>
              </w:rPr>
              <w:t>č. 575/2013</w:t>
            </w:r>
          </w:p>
        </w:tc>
      </w:tr>
      <w:tr w:rsidR="004357B9" w:rsidRPr="00E07C9A" w14:paraId="3C78FE07" w14:textId="77777777" w:rsidTr="00672D2A">
        <w:tc>
          <w:tcPr>
            <w:tcW w:w="1188" w:type="dxa"/>
            <w:shd w:val="clear" w:color="auto" w:fill="FFFFFF"/>
          </w:tcPr>
          <w:p w14:paraId="07EDA56F" w14:textId="77777777" w:rsidR="004357B9" w:rsidRPr="00E07C9A" w:rsidRDefault="004357B9" w:rsidP="004357B9">
            <w:pPr>
              <w:rPr>
                <w:rFonts w:ascii="Times New Roman" w:hAnsi="Times New Roman"/>
                <w:sz w:val="24"/>
              </w:rPr>
            </w:pPr>
            <w:r w:rsidRPr="00E07C9A">
              <w:rPr>
                <w:rFonts w:ascii="Times New Roman" w:hAnsi="Times New Roman"/>
                <w:sz w:val="24"/>
              </w:rPr>
              <w:t>0095</w:t>
            </w:r>
          </w:p>
        </w:tc>
        <w:tc>
          <w:tcPr>
            <w:tcW w:w="8701" w:type="dxa"/>
            <w:gridSpan w:val="2"/>
            <w:shd w:val="clear" w:color="auto" w:fill="FFFFFF"/>
          </w:tcPr>
          <w:p w14:paraId="42F03C63" w14:textId="77777777" w:rsidR="004357B9" w:rsidRPr="00E07C9A" w:rsidRDefault="004357B9" w:rsidP="004357B9">
            <w:pPr>
              <w:ind w:left="72"/>
              <w:rPr>
                <w:rStyle w:val="InstructionsTabelleberschrift"/>
                <w:rFonts w:ascii="Times New Roman" w:hAnsi="Times New Roman"/>
                <w:sz w:val="24"/>
              </w:rPr>
            </w:pPr>
            <w:r w:rsidRPr="00E07C9A">
              <w:rPr>
                <w:rStyle w:val="InstructionsTabelleberschrift"/>
                <w:rFonts w:ascii="Times New Roman" w:hAnsi="Times New Roman"/>
                <w:sz w:val="24"/>
              </w:rPr>
              <w:t>z čoho: MSP</w:t>
            </w:r>
          </w:p>
          <w:p w14:paraId="15496A20" w14:textId="77777777" w:rsidR="004357B9" w:rsidRPr="00E07C9A" w:rsidRDefault="004357B9" w:rsidP="00DE26F2">
            <w:pPr>
              <w:ind w:left="72"/>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Rovnaká definícia ako pre riadok 0020 vzoru CR SA.</w:t>
            </w:r>
          </w:p>
        </w:tc>
      </w:tr>
      <w:tr w:rsidR="004357B9" w:rsidRPr="00E07C9A" w14:paraId="3F0D2CCC" w14:textId="77777777" w:rsidTr="00672D2A">
        <w:tc>
          <w:tcPr>
            <w:tcW w:w="1188" w:type="dxa"/>
            <w:shd w:val="clear" w:color="auto" w:fill="FFFFFF"/>
          </w:tcPr>
          <w:p w14:paraId="08B6396C" w14:textId="77777777" w:rsidR="004357B9" w:rsidRPr="00E07C9A" w:rsidRDefault="001452FC" w:rsidP="004357B9">
            <w:pPr>
              <w:rPr>
                <w:rFonts w:ascii="Times New Roman" w:hAnsi="Times New Roman"/>
                <w:sz w:val="24"/>
              </w:rPr>
            </w:pPr>
            <w:r w:rsidRPr="00E07C9A">
              <w:rPr>
                <w:rFonts w:ascii="Times New Roman" w:hAnsi="Times New Roman"/>
                <w:sz w:val="24"/>
              </w:rPr>
              <w:t>0100</w:t>
            </w:r>
          </w:p>
        </w:tc>
        <w:tc>
          <w:tcPr>
            <w:tcW w:w="8701" w:type="dxa"/>
            <w:gridSpan w:val="2"/>
            <w:shd w:val="clear" w:color="auto" w:fill="FFFFFF"/>
          </w:tcPr>
          <w:p w14:paraId="51C5A6C5" w14:textId="381178CE" w:rsidR="004357B9" w:rsidRPr="00E07C9A" w:rsidRDefault="004357B9" w:rsidP="004357B9">
            <w:pPr>
              <w:ind w:left="72"/>
              <w:rPr>
                <w:rStyle w:val="InstructionsTabelleberschrift"/>
                <w:rFonts w:ascii="Times New Roman" w:hAnsi="Times New Roman"/>
                <w:sz w:val="24"/>
              </w:rPr>
            </w:pPr>
            <w:r w:rsidRPr="00E07C9A">
              <w:rPr>
                <w:rStyle w:val="InstructionsTabelleberschrift"/>
                <w:rFonts w:ascii="Times New Roman" w:hAnsi="Times New Roman"/>
                <w:sz w:val="24"/>
              </w:rPr>
              <w:t>Expozície</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stave zlyhania</w:t>
            </w:r>
          </w:p>
          <w:p w14:paraId="269BB8CC" w14:textId="688E05C5" w:rsidR="004357B9" w:rsidRPr="00E07C9A" w:rsidRDefault="000737D3" w:rsidP="00D21B29">
            <w:pPr>
              <w:ind w:left="72"/>
              <w:rPr>
                <w:rStyle w:val="InstructionsTabelleberschrift"/>
                <w:rFonts w:ascii="Times New Roman" w:hAnsi="Times New Roman"/>
                <w:sz w:val="24"/>
              </w:rPr>
            </w:pPr>
            <w:r w:rsidRPr="00E07C9A">
              <w:rPr>
                <w:rFonts w:ascii="Times New Roman" w:hAnsi="Times New Roman"/>
                <w:sz w:val="24"/>
              </w:rPr>
              <w:t xml:space="preserve">Článok 112 písm. j) nariadenia (EÚ) </w:t>
            </w:r>
            <w:r w:rsidR="009912F8" w:rsidRPr="00E07C9A">
              <w:rPr>
                <w:rFonts w:ascii="Times New Roman" w:hAnsi="Times New Roman"/>
                <w:sz w:val="24"/>
              </w:rPr>
              <w:t>č. 575/2013</w:t>
            </w:r>
          </w:p>
        </w:tc>
      </w:tr>
      <w:tr w:rsidR="004357B9" w:rsidRPr="00E07C9A" w14:paraId="303B9824" w14:textId="77777777" w:rsidTr="00672D2A">
        <w:tc>
          <w:tcPr>
            <w:tcW w:w="1188" w:type="dxa"/>
            <w:shd w:val="clear" w:color="auto" w:fill="FFFFFF"/>
          </w:tcPr>
          <w:p w14:paraId="777C5AE8" w14:textId="77777777" w:rsidR="004357B9" w:rsidRPr="00E07C9A" w:rsidRDefault="001452FC" w:rsidP="004357B9">
            <w:pPr>
              <w:rPr>
                <w:rFonts w:ascii="Times New Roman" w:hAnsi="Times New Roman"/>
                <w:sz w:val="24"/>
              </w:rPr>
            </w:pPr>
            <w:r w:rsidRPr="00E07C9A">
              <w:rPr>
                <w:rFonts w:ascii="Times New Roman" w:hAnsi="Times New Roman"/>
                <w:sz w:val="24"/>
              </w:rPr>
              <w:t>0110</w:t>
            </w:r>
          </w:p>
        </w:tc>
        <w:tc>
          <w:tcPr>
            <w:tcW w:w="8701" w:type="dxa"/>
            <w:gridSpan w:val="2"/>
            <w:shd w:val="clear" w:color="auto" w:fill="FFFFFF"/>
          </w:tcPr>
          <w:p w14:paraId="78B87D73" w14:textId="38327C85" w:rsidR="004357B9" w:rsidRPr="00E07C9A" w:rsidRDefault="000565B6" w:rsidP="004357B9">
            <w:pPr>
              <w:autoSpaceDE w:val="0"/>
              <w:autoSpaceDN w:val="0"/>
              <w:adjustRightInd w:val="0"/>
              <w:spacing w:before="0"/>
              <w:ind w:left="72"/>
              <w:jc w:val="left"/>
              <w:rPr>
                <w:rFonts w:ascii="Times New Roman" w:hAnsi="Times New Roman"/>
                <w:b/>
                <w:bCs/>
                <w:sz w:val="24"/>
                <w:u w:val="single"/>
              </w:rPr>
            </w:pPr>
            <w:r w:rsidRPr="00E07C9A">
              <w:rPr>
                <w:rFonts w:ascii="Times New Roman" w:hAnsi="Times New Roman"/>
                <w:b/>
                <w:sz w:val="24"/>
                <w:u w:val="single"/>
              </w:rPr>
              <w:t>Položky spojené</w:t>
            </w:r>
            <w:r w:rsidR="009912F8" w:rsidRPr="00E07C9A">
              <w:rPr>
                <w:rFonts w:ascii="Times New Roman" w:hAnsi="Times New Roman"/>
                <w:b/>
                <w:sz w:val="24"/>
                <w:u w:val="single"/>
              </w:rPr>
              <w:t xml:space="preserve"> s </w:t>
            </w:r>
            <w:r w:rsidRPr="00E07C9A">
              <w:rPr>
                <w:rFonts w:ascii="Times New Roman" w:hAnsi="Times New Roman"/>
                <w:b/>
                <w:sz w:val="24"/>
                <w:u w:val="single"/>
              </w:rPr>
              <w:t>mimoriadne vysokým stupňom rizika</w:t>
            </w:r>
          </w:p>
          <w:p w14:paraId="58B198B1" w14:textId="7085CF2C" w:rsidR="004357B9" w:rsidRPr="00E07C9A" w:rsidRDefault="000737D3" w:rsidP="00D21B29">
            <w:pPr>
              <w:autoSpaceDE w:val="0"/>
              <w:autoSpaceDN w:val="0"/>
              <w:adjustRightInd w:val="0"/>
              <w:spacing w:before="0"/>
              <w:ind w:left="72"/>
              <w:jc w:val="left"/>
              <w:rPr>
                <w:rStyle w:val="InstructionsTabelleberschrift"/>
                <w:rFonts w:ascii="Times New Roman" w:hAnsi="Times New Roman"/>
                <w:sz w:val="24"/>
              </w:rPr>
            </w:pPr>
            <w:r w:rsidRPr="00E07C9A">
              <w:rPr>
                <w:rFonts w:ascii="Times New Roman" w:hAnsi="Times New Roman"/>
                <w:sz w:val="24"/>
              </w:rPr>
              <w:t xml:space="preserve">Článok 112 písm. k) nariadenia (EÚ) </w:t>
            </w:r>
            <w:r w:rsidR="009912F8" w:rsidRPr="00E07C9A">
              <w:rPr>
                <w:rFonts w:ascii="Times New Roman" w:hAnsi="Times New Roman"/>
                <w:sz w:val="24"/>
              </w:rPr>
              <w:t>č. 575/2013</w:t>
            </w:r>
          </w:p>
        </w:tc>
      </w:tr>
      <w:tr w:rsidR="004357B9" w:rsidRPr="00E07C9A" w14:paraId="71B4E008" w14:textId="77777777" w:rsidTr="00672D2A">
        <w:tc>
          <w:tcPr>
            <w:tcW w:w="1188" w:type="dxa"/>
            <w:shd w:val="clear" w:color="auto" w:fill="FFFFFF"/>
          </w:tcPr>
          <w:p w14:paraId="79486EBF" w14:textId="77777777" w:rsidR="004357B9" w:rsidRPr="00E07C9A" w:rsidRDefault="001452FC" w:rsidP="004357B9">
            <w:pPr>
              <w:rPr>
                <w:rFonts w:ascii="Times New Roman" w:hAnsi="Times New Roman"/>
                <w:sz w:val="24"/>
              </w:rPr>
            </w:pPr>
            <w:r w:rsidRPr="00E07C9A">
              <w:rPr>
                <w:rFonts w:ascii="Times New Roman" w:hAnsi="Times New Roman"/>
                <w:sz w:val="24"/>
              </w:rPr>
              <w:t>0120</w:t>
            </w:r>
          </w:p>
        </w:tc>
        <w:tc>
          <w:tcPr>
            <w:tcW w:w="8701" w:type="dxa"/>
            <w:gridSpan w:val="2"/>
            <w:shd w:val="clear" w:color="auto" w:fill="FFFFFF"/>
          </w:tcPr>
          <w:p w14:paraId="6ACD9523" w14:textId="77777777" w:rsidR="004357B9" w:rsidRPr="00E07C9A" w:rsidRDefault="004357B9" w:rsidP="004357B9">
            <w:pPr>
              <w:autoSpaceDE w:val="0"/>
              <w:autoSpaceDN w:val="0"/>
              <w:adjustRightInd w:val="0"/>
              <w:spacing w:before="0"/>
              <w:ind w:left="72"/>
              <w:jc w:val="left"/>
              <w:rPr>
                <w:rStyle w:val="InstructionsTabelleberschrift"/>
                <w:rFonts w:ascii="Times New Roman" w:hAnsi="Times New Roman"/>
                <w:sz w:val="24"/>
              </w:rPr>
            </w:pPr>
            <w:r w:rsidRPr="00E07C9A">
              <w:rPr>
                <w:rStyle w:val="InstructionsTabelleberschrift"/>
                <w:rFonts w:ascii="Times New Roman" w:hAnsi="Times New Roman"/>
                <w:sz w:val="24"/>
              </w:rPr>
              <w:t>Kryté dlhopisy</w:t>
            </w:r>
          </w:p>
          <w:p w14:paraId="6BDF5460" w14:textId="6E4B7AAE" w:rsidR="004357B9" w:rsidRPr="00E07C9A" w:rsidRDefault="000737D3" w:rsidP="00D21B29">
            <w:pPr>
              <w:autoSpaceDE w:val="0"/>
              <w:autoSpaceDN w:val="0"/>
              <w:adjustRightInd w:val="0"/>
              <w:spacing w:before="0"/>
              <w:ind w:left="72"/>
              <w:jc w:val="left"/>
              <w:rPr>
                <w:rStyle w:val="InstructionsTabelleText"/>
                <w:rFonts w:ascii="Times New Roman" w:hAnsi="Times New Roman"/>
                <w:bCs/>
                <w:sz w:val="24"/>
                <w:u w:val="single"/>
              </w:rPr>
            </w:pPr>
            <w:r w:rsidRPr="00E07C9A">
              <w:rPr>
                <w:rFonts w:ascii="Times New Roman" w:hAnsi="Times New Roman"/>
                <w:sz w:val="24"/>
              </w:rPr>
              <w:t xml:space="preserve">Článok 112 písm. l) nariadenia (EÚ) </w:t>
            </w:r>
            <w:r w:rsidR="009912F8" w:rsidRPr="00E07C9A">
              <w:rPr>
                <w:rFonts w:ascii="Times New Roman" w:hAnsi="Times New Roman"/>
                <w:sz w:val="24"/>
              </w:rPr>
              <w:t>č. 575/2013</w:t>
            </w:r>
          </w:p>
        </w:tc>
      </w:tr>
      <w:tr w:rsidR="004357B9" w:rsidRPr="00E07C9A" w14:paraId="138128E4" w14:textId="77777777" w:rsidTr="00672D2A">
        <w:tc>
          <w:tcPr>
            <w:tcW w:w="1188" w:type="dxa"/>
            <w:shd w:val="clear" w:color="auto" w:fill="FFFFFF"/>
          </w:tcPr>
          <w:p w14:paraId="4303882B" w14:textId="77777777" w:rsidR="004357B9" w:rsidRPr="00E07C9A" w:rsidRDefault="001452FC" w:rsidP="004357B9">
            <w:pPr>
              <w:rPr>
                <w:rFonts w:ascii="Times New Roman" w:hAnsi="Times New Roman"/>
                <w:sz w:val="24"/>
              </w:rPr>
            </w:pPr>
            <w:r w:rsidRPr="00E07C9A">
              <w:rPr>
                <w:rFonts w:ascii="Times New Roman" w:hAnsi="Times New Roman"/>
                <w:sz w:val="24"/>
              </w:rPr>
              <w:t>0130</w:t>
            </w:r>
          </w:p>
          <w:p w14:paraId="798BBDCC" w14:textId="77777777" w:rsidR="004357B9" w:rsidRPr="00E07C9A" w:rsidRDefault="004357B9" w:rsidP="004357B9">
            <w:pPr>
              <w:rPr>
                <w:rFonts w:ascii="Times New Roman" w:hAnsi="Times New Roman"/>
                <w:sz w:val="24"/>
              </w:rPr>
            </w:pPr>
          </w:p>
        </w:tc>
        <w:tc>
          <w:tcPr>
            <w:tcW w:w="8701" w:type="dxa"/>
            <w:gridSpan w:val="2"/>
            <w:shd w:val="clear" w:color="auto" w:fill="FFFFFF"/>
          </w:tcPr>
          <w:p w14:paraId="00FD35B2" w14:textId="221D158D" w:rsidR="004357B9" w:rsidRPr="00E07C9A" w:rsidRDefault="004357B9" w:rsidP="004357B9">
            <w:pPr>
              <w:ind w:left="72"/>
              <w:rPr>
                <w:rStyle w:val="InstructionsTabelleberschrift"/>
                <w:rFonts w:ascii="Times New Roman" w:hAnsi="Times New Roman"/>
                <w:bCs w:val="0"/>
                <w:sz w:val="24"/>
              </w:rPr>
            </w:pPr>
            <w:r w:rsidRPr="00E07C9A">
              <w:rPr>
                <w:rStyle w:val="InstructionsTabelleberschrift"/>
                <w:rFonts w:ascii="Times New Roman" w:hAnsi="Times New Roman"/>
                <w:sz w:val="24"/>
              </w:rPr>
              <w:t>Pohľadávky voči inštitúciám</w:t>
            </w:r>
            <w:r w:rsidR="009912F8" w:rsidRPr="00E07C9A">
              <w:rPr>
                <w:rStyle w:val="InstructionsTabelleberschrift"/>
                <w:rFonts w:ascii="Times New Roman" w:hAnsi="Times New Roman"/>
                <w:sz w:val="24"/>
              </w:rPr>
              <w:t xml:space="preserve"> a </w:t>
            </w:r>
            <w:r w:rsidRPr="00E07C9A">
              <w:rPr>
                <w:rStyle w:val="InstructionsTabelleberschrift"/>
                <w:rFonts w:ascii="Times New Roman" w:hAnsi="Times New Roman"/>
                <w:sz w:val="24"/>
              </w:rPr>
              <w:t>podnikateľským subjektom</w:t>
            </w:r>
            <w:r w:rsidR="009912F8" w:rsidRPr="00E07C9A">
              <w:rPr>
                <w:rStyle w:val="InstructionsTabelleberschrift"/>
                <w:rFonts w:ascii="Times New Roman" w:hAnsi="Times New Roman"/>
                <w:sz w:val="24"/>
              </w:rPr>
              <w:t xml:space="preserve"> s </w:t>
            </w:r>
            <w:r w:rsidRPr="00E07C9A">
              <w:rPr>
                <w:rStyle w:val="InstructionsTabelleberschrift"/>
                <w:rFonts w:ascii="Times New Roman" w:hAnsi="Times New Roman"/>
                <w:sz w:val="24"/>
              </w:rPr>
              <w:t>krátkodobým ratingovým hodnotením</w:t>
            </w:r>
          </w:p>
          <w:p w14:paraId="0D01A770" w14:textId="1D1C4931" w:rsidR="004357B9" w:rsidRPr="00E07C9A" w:rsidRDefault="000737D3" w:rsidP="00D21B29">
            <w:pPr>
              <w:ind w:left="72"/>
              <w:rPr>
                <w:rFonts w:ascii="Times New Roman" w:hAnsi="Times New Roman"/>
                <w:sz w:val="24"/>
              </w:rPr>
            </w:pPr>
            <w:r w:rsidRPr="00E07C9A">
              <w:rPr>
                <w:rFonts w:ascii="Times New Roman" w:hAnsi="Times New Roman"/>
                <w:sz w:val="24"/>
              </w:rPr>
              <w:t xml:space="preserve">Článok 112 písm. n) nariadenia (EÚ) </w:t>
            </w:r>
            <w:r w:rsidR="009912F8" w:rsidRPr="00E07C9A">
              <w:rPr>
                <w:rFonts w:ascii="Times New Roman" w:hAnsi="Times New Roman"/>
                <w:sz w:val="24"/>
              </w:rPr>
              <w:t>č. 575/2013</w:t>
            </w:r>
          </w:p>
        </w:tc>
      </w:tr>
      <w:tr w:rsidR="004357B9" w:rsidRPr="00E07C9A" w14:paraId="50B9FFEE" w14:textId="77777777" w:rsidTr="00672D2A">
        <w:tc>
          <w:tcPr>
            <w:tcW w:w="1188" w:type="dxa"/>
            <w:shd w:val="clear" w:color="auto" w:fill="FFFFFF"/>
          </w:tcPr>
          <w:p w14:paraId="5D0A7075" w14:textId="77777777" w:rsidR="004357B9" w:rsidRPr="00E07C9A" w:rsidRDefault="001452FC" w:rsidP="004357B9">
            <w:pPr>
              <w:rPr>
                <w:rFonts w:ascii="Times New Roman" w:hAnsi="Times New Roman"/>
                <w:sz w:val="24"/>
              </w:rPr>
            </w:pPr>
            <w:r w:rsidRPr="00E07C9A">
              <w:rPr>
                <w:rFonts w:ascii="Times New Roman" w:hAnsi="Times New Roman"/>
                <w:sz w:val="24"/>
              </w:rPr>
              <w:t>0140</w:t>
            </w:r>
          </w:p>
        </w:tc>
        <w:tc>
          <w:tcPr>
            <w:tcW w:w="8701" w:type="dxa"/>
            <w:gridSpan w:val="2"/>
            <w:shd w:val="clear" w:color="auto" w:fill="FFFFFF"/>
          </w:tcPr>
          <w:p w14:paraId="74890E7B" w14:textId="77777777" w:rsidR="00D82B60" w:rsidRPr="00E07C9A" w:rsidRDefault="00A402A8" w:rsidP="004357B9">
            <w:pPr>
              <w:ind w:left="72"/>
              <w:rPr>
                <w:rStyle w:val="InstructionsTabelleberschrift"/>
                <w:rFonts w:ascii="Times New Roman" w:hAnsi="Times New Roman"/>
                <w:sz w:val="24"/>
              </w:rPr>
            </w:pPr>
            <w:r w:rsidRPr="00E07C9A">
              <w:rPr>
                <w:rStyle w:val="InstructionsTabelleberschrift"/>
                <w:rFonts w:ascii="Times New Roman" w:hAnsi="Times New Roman"/>
                <w:sz w:val="24"/>
              </w:rPr>
              <w:t>Podniky kolektívneho investovania (PKI)</w:t>
            </w:r>
          </w:p>
          <w:p w14:paraId="48FD8243" w14:textId="20F05063" w:rsidR="004357B9" w:rsidRPr="00E07C9A" w:rsidRDefault="000737D3" w:rsidP="00D21B29">
            <w:pPr>
              <w:ind w:left="72"/>
              <w:rPr>
                <w:rFonts w:ascii="Times New Roman" w:hAnsi="Times New Roman"/>
                <w:bCs/>
                <w:sz w:val="24"/>
              </w:rPr>
            </w:pPr>
            <w:r w:rsidRPr="00E07C9A">
              <w:rPr>
                <w:rFonts w:ascii="Times New Roman" w:hAnsi="Times New Roman"/>
                <w:sz w:val="24"/>
              </w:rPr>
              <w:t xml:space="preserve">Článok 112 písm. o) nariadenia (EÚ) </w:t>
            </w:r>
            <w:r w:rsidR="009912F8" w:rsidRPr="00E07C9A">
              <w:rPr>
                <w:rFonts w:ascii="Times New Roman" w:hAnsi="Times New Roman"/>
                <w:sz w:val="24"/>
              </w:rPr>
              <w:t>č. 575/2013</w:t>
            </w:r>
          </w:p>
          <w:p w14:paraId="407B2EAA" w14:textId="77777777" w:rsidR="00C1357C" w:rsidRPr="00E07C9A" w:rsidRDefault="00C1357C" w:rsidP="00D21B29">
            <w:pPr>
              <w:ind w:left="72"/>
              <w:rPr>
                <w:rStyle w:val="InstructionsTabelleberschrift"/>
                <w:rFonts w:ascii="Times New Roman" w:hAnsi="Times New Roman"/>
                <w:b w:val="0"/>
                <w:bCs w:val="0"/>
                <w:sz w:val="24"/>
                <w:u w:val="none"/>
              </w:rPr>
            </w:pPr>
            <w:r w:rsidRPr="00E07C9A">
              <w:rPr>
                <w:rFonts w:ascii="Times New Roman" w:hAnsi="Times New Roman"/>
                <w:sz w:val="24"/>
              </w:rPr>
              <w:t>Súčet riadkov 0141 až 0143</w:t>
            </w:r>
          </w:p>
        </w:tc>
      </w:tr>
      <w:tr w:rsidR="00664874" w:rsidRPr="00E07C9A" w14:paraId="62A62D0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14:paraId="0A9C34F1" w14:textId="77777777" w:rsidR="00664874" w:rsidRPr="00E07C9A" w:rsidRDefault="001452FC" w:rsidP="00664874">
            <w:pPr>
              <w:rPr>
                <w:rFonts w:ascii="Times New Roman" w:hAnsi="Times New Roman"/>
                <w:sz w:val="24"/>
              </w:rPr>
            </w:pPr>
            <w:r w:rsidRPr="00E07C9A">
              <w:rPr>
                <w:rFonts w:ascii="Times New Roman" w:hAnsi="Times New Roman"/>
                <w:sz w:val="24"/>
              </w:rPr>
              <w:t>0141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25A7AF1C" w14:textId="77777777" w:rsidR="00664874" w:rsidRPr="00E07C9A" w:rsidRDefault="00664874" w:rsidP="00664874">
            <w:pPr>
              <w:ind w:left="72"/>
              <w:rPr>
                <w:rStyle w:val="InstructionsTabelleberschrift"/>
                <w:rFonts w:ascii="Times New Roman" w:hAnsi="Times New Roman"/>
                <w:sz w:val="24"/>
              </w:rPr>
            </w:pPr>
            <w:r w:rsidRPr="00E07C9A">
              <w:rPr>
                <w:rStyle w:val="InstructionsTabelleberschrift"/>
                <w:rFonts w:ascii="Times New Roman" w:hAnsi="Times New Roman"/>
                <w:sz w:val="24"/>
              </w:rPr>
              <w:t>Prístup založený na prezretí podkladových expozícií</w:t>
            </w:r>
          </w:p>
          <w:p w14:paraId="2CF5896F" w14:textId="77777777" w:rsidR="00664874" w:rsidRPr="00E07C9A" w:rsidRDefault="00664874" w:rsidP="00664874">
            <w:pPr>
              <w:ind w:left="72"/>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Rovnaká definícia ako pre riadok 0281 vzoru CR SA.</w:t>
            </w:r>
          </w:p>
        </w:tc>
      </w:tr>
      <w:tr w:rsidR="00664874" w:rsidRPr="00E07C9A" w14:paraId="418519B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14:paraId="1C197CB9" w14:textId="77777777" w:rsidR="00664874" w:rsidRPr="00E07C9A" w:rsidRDefault="001452FC" w:rsidP="00664874">
            <w:pPr>
              <w:rPr>
                <w:rFonts w:ascii="Times New Roman" w:hAnsi="Times New Roman"/>
                <w:sz w:val="24"/>
              </w:rPr>
            </w:pPr>
            <w:r w:rsidRPr="00E07C9A">
              <w:rPr>
                <w:rFonts w:ascii="Times New Roman" w:hAnsi="Times New Roman"/>
                <w:sz w:val="24"/>
              </w:rPr>
              <w:t>0142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18D27444" w14:textId="77777777" w:rsidR="00664874" w:rsidRPr="00E07C9A" w:rsidRDefault="00664874" w:rsidP="00664874">
            <w:pPr>
              <w:ind w:left="72"/>
              <w:rPr>
                <w:rStyle w:val="InstructionsTabelleberschrift"/>
                <w:rFonts w:ascii="Times New Roman" w:hAnsi="Times New Roman"/>
                <w:sz w:val="24"/>
              </w:rPr>
            </w:pPr>
            <w:r w:rsidRPr="00E07C9A">
              <w:rPr>
                <w:rStyle w:val="InstructionsTabelleberschrift"/>
                <w:rFonts w:ascii="Times New Roman" w:hAnsi="Times New Roman"/>
                <w:sz w:val="24"/>
              </w:rPr>
              <w:t>Prístup založený na mandáte</w:t>
            </w:r>
          </w:p>
          <w:p w14:paraId="5CC30AE0" w14:textId="77777777" w:rsidR="00664874" w:rsidRPr="00E07C9A" w:rsidRDefault="00664874" w:rsidP="00664874">
            <w:pPr>
              <w:ind w:left="72"/>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Rovnaká definícia ako pre riadok 0282 vzoru CR SA.</w:t>
            </w:r>
          </w:p>
        </w:tc>
      </w:tr>
      <w:tr w:rsidR="00664874" w:rsidRPr="00E07C9A" w14:paraId="6391B838"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14:paraId="2A38D30E" w14:textId="77777777" w:rsidR="00664874" w:rsidRPr="00E07C9A" w:rsidRDefault="001452FC" w:rsidP="00664874">
            <w:pPr>
              <w:rPr>
                <w:rFonts w:ascii="Times New Roman" w:hAnsi="Times New Roman"/>
                <w:sz w:val="24"/>
              </w:rPr>
            </w:pPr>
            <w:r w:rsidRPr="00E07C9A">
              <w:rPr>
                <w:rFonts w:ascii="Times New Roman" w:hAnsi="Times New Roman"/>
                <w:sz w:val="24"/>
              </w:rPr>
              <w:t>0143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61059BCC" w14:textId="77777777" w:rsidR="00664874" w:rsidRPr="00E07C9A" w:rsidRDefault="00664874" w:rsidP="00664874">
            <w:pPr>
              <w:ind w:left="72"/>
              <w:rPr>
                <w:rStyle w:val="InstructionsTabelleberschrift"/>
                <w:rFonts w:ascii="Times New Roman" w:hAnsi="Times New Roman"/>
                <w:sz w:val="24"/>
              </w:rPr>
            </w:pPr>
            <w:r w:rsidRPr="00E07C9A">
              <w:rPr>
                <w:rStyle w:val="InstructionsTabelleberschrift"/>
                <w:rFonts w:ascii="Times New Roman" w:hAnsi="Times New Roman"/>
                <w:sz w:val="24"/>
              </w:rPr>
              <w:t>Rezervný prístup</w:t>
            </w:r>
          </w:p>
          <w:p w14:paraId="2F36C78A" w14:textId="77777777" w:rsidR="00664874" w:rsidRPr="00E07C9A" w:rsidRDefault="00664874" w:rsidP="00664874">
            <w:pPr>
              <w:ind w:left="72"/>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Rovnaká definícia ako pre riadok 0283 vzoru CR SA.</w:t>
            </w:r>
          </w:p>
        </w:tc>
      </w:tr>
      <w:tr w:rsidR="004357B9" w:rsidRPr="00E07C9A" w14:paraId="0B976441" w14:textId="77777777" w:rsidTr="00672D2A">
        <w:tc>
          <w:tcPr>
            <w:tcW w:w="1188" w:type="dxa"/>
            <w:shd w:val="clear" w:color="auto" w:fill="FFFFFF"/>
          </w:tcPr>
          <w:p w14:paraId="68553A4C" w14:textId="77777777" w:rsidR="004357B9" w:rsidRPr="00E07C9A" w:rsidRDefault="001452FC" w:rsidP="004357B9">
            <w:pPr>
              <w:rPr>
                <w:rFonts w:ascii="Times New Roman" w:hAnsi="Times New Roman"/>
                <w:sz w:val="24"/>
              </w:rPr>
            </w:pPr>
            <w:r w:rsidRPr="00E07C9A">
              <w:rPr>
                <w:rFonts w:ascii="Times New Roman" w:hAnsi="Times New Roman"/>
                <w:sz w:val="24"/>
              </w:rPr>
              <w:t>0150</w:t>
            </w:r>
          </w:p>
        </w:tc>
        <w:tc>
          <w:tcPr>
            <w:tcW w:w="8701" w:type="dxa"/>
            <w:gridSpan w:val="2"/>
            <w:shd w:val="clear" w:color="auto" w:fill="FFFFFF"/>
          </w:tcPr>
          <w:p w14:paraId="28AA5C6A" w14:textId="77777777" w:rsidR="004357B9" w:rsidRPr="00E07C9A" w:rsidRDefault="004357B9" w:rsidP="004357B9">
            <w:pPr>
              <w:ind w:left="72"/>
              <w:rPr>
                <w:rStyle w:val="InstructionsTabelleberschrift"/>
                <w:rFonts w:ascii="Times New Roman" w:hAnsi="Times New Roman"/>
                <w:sz w:val="24"/>
              </w:rPr>
            </w:pPr>
            <w:r w:rsidRPr="00E07C9A">
              <w:rPr>
                <w:rStyle w:val="InstructionsTabelleberschrift"/>
                <w:rFonts w:ascii="Times New Roman" w:hAnsi="Times New Roman"/>
                <w:sz w:val="24"/>
              </w:rPr>
              <w:t>Kapitálové expozície</w:t>
            </w:r>
          </w:p>
          <w:p w14:paraId="2AA80A14" w14:textId="04F3960B" w:rsidR="004357B9" w:rsidRPr="00E07C9A" w:rsidRDefault="000737D3" w:rsidP="00D21B29">
            <w:pPr>
              <w:ind w:left="72"/>
              <w:rPr>
                <w:rStyle w:val="InstructionsTabelleberschrift"/>
                <w:rFonts w:ascii="Times New Roman" w:hAnsi="Times New Roman"/>
                <w:sz w:val="24"/>
              </w:rPr>
            </w:pPr>
            <w:r w:rsidRPr="00E07C9A">
              <w:rPr>
                <w:rFonts w:ascii="Times New Roman" w:hAnsi="Times New Roman"/>
                <w:sz w:val="24"/>
              </w:rPr>
              <w:t xml:space="preserve">Článok 112 písm. p) nariadenia (EÚ) </w:t>
            </w:r>
            <w:r w:rsidR="009912F8" w:rsidRPr="00E07C9A">
              <w:rPr>
                <w:rFonts w:ascii="Times New Roman" w:hAnsi="Times New Roman"/>
                <w:sz w:val="24"/>
              </w:rPr>
              <w:t>č. 575/2013</w:t>
            </w:r>
          </w:p>
        </w:tc>
      </w:tr>
      <w:tr w:rsidR="004357B9" w:rsidRPr="00E07C9A" w14:paraId="1CC71533" w14:textId="77777777" w:rsidTr="00672D2A">
        <w:tc>
          <w:tcPr>
            <w:tcW w:w="1188" w:type="dxa"/>
            <w:shd w:val="clear" w:color="auto" w:fill="FFFFFF"/>
          </w:tcPr>
          <w:p w14:paraId="49EDD3ED" w14:textId="77777777" w:rsidR="004357B9" w:rsidRPr="00E07C9A" w:rsidRDefault="001452FC" w:rsidP="004357B9">
            <w:pPr>
              <w:rPr>
                <w:rFonts w:ascii="Times New Roman" w:hAnsi="Times New Roman"/>
                <w:sz w:val="24"/>
              </w:rPr>
            </w:pPr>
            <w:r w:rsidRPr="00E07C9A">
              <w:rPr>
                <w:rFonts w:ascii="Times New Roman" w:hAnsi="Times New Roman"/>
                <w:sz w:val="24"/>
              </w:rPr>
              <w:t>0160</w:t>
            </w:r>
          </w:p>
        </w:tc>
        <w:tc>
          <w:tcPr>
            <w:tcW w:w="8701" w:type="dxa"/>
            <w:gridSpan w:val="2"/>
            <w:shd w:val="clear" w:color="auto" w:fill="FFFFFF"/>
          </w:tcPr>
          <w:p w14:paraId="43E7FB6C" w14:textId="77777777" w:rsidR="004357B9" w:rsidRPr="00E07C9A" w:rsidRDefault="004357B9" w:rsidP="004357B9">
            <w:pPr>
              <w:ind w:left="72"/>
              <w:rPr>
                <w:rStyle w:val="InstructionsTabelleberschrift"/>
                <w:rFonts w:ascii="Times New Roman" w:hAnsi="Times New Roman"/>
                <w:sz w:val="24"/>
              </w:rPr>
            </w:pPr>
            <w:r w:rsidRPr="00E07C9A">
              <w:rPr>
                <w:rStyle w:val="InstructionsTabelleberschrift"/>
                <w:rFonts w:ascii="Times New Roman" w:hAnsi="Times New Roman"/>
                <w:sz w:val="24"/>
              </w:rPr>
              <w:t>Iné expozície</w:t>
            </w:r>
          </w:p>
          <w:p w14:paraId="35A52D49" w14:textId="31A4447C" w:rsidR="004357B9" w:rsidRPr="00E07C9A" w:rsidRDefault="000737D3" w:rsidP="00D21B29">
            <w:pPr>
              <w:ind w:left="72"/>
              <w:rPr>
                <w:rStyle w:val="InstructionsTabelleberschrift"/>
                <w:rFonts w:ascii="Times New Roman" w:hAnsi="Times New Roman"/>
                <w:sz w:val="24"/>
              </w:rPr>
            </w:pPr>
            <w:r w:rsidRPr="00E07C9A">
              <w:rPr>
                <w:rFonts w:ascii="Times New Roman" w:hAnsi="Times New Roman"/>
                <w:sz w:val="24"/>
              </w:rPr>
              <w:t xml:space="preserve">Článok 112 písm. q) nariadenia (EÚ) </w:t>
            </w:r>
            <w:r w:rsidR="009912F8" w:rsidRPr="00E07C9A">
              <w:rPr>
                <w:rFonts w:ascii="Times New Roman" w:hAnsi="Times New Roman"/>
                <w:sz w:val="24"/>
              </w:rPr>
              <w:t>č. 575/2013</w:t>
            </w:r>
          </w:p>
        </w:tc>
      </w:tr>
      <w:tr w:rsidR="007A49AC" w:rsidRPr="00E07C9A" w14:paraId="7F2D9612" w14:textId="77777777" w:rsidTr="00672D2A">
        <w:tc>
          <w:tcPr>
            <w:tcW w:w="1188" w:type="dxa"/>
            <w:shd w:val="clear" w:color="auto" w:fill="FFFFFF"/>
          </w:tcPr>
          <w:p w14:paraId="1C850A8A" w14:textId="77777777" w:rsidR="007A49AC" w:rsidRPr="00E07C9A" w:rsidRDefault="001452FC" w:rsidP="004357B9">
            <w:pPr>
              <w:rPr>
                <w:rFonts w:ascii="Times New Roman" w:hAnsi="Times New Roman"/>
                <w:sz w:val="24"/>
              </w:rPr>
            </w:pPr>
            <w:r w:rsidRPr="00E07C9A">
              <w:rPr>
                <w:rFonts w:ascii="Times New Roman" w:hAnsi="Times New Roman"/>
                <w:sz w:val="24"/>
              </w:rPr>
              <w:t>0170</w:t>
            </w:r>
          </w:p>
        </w:tc>
        <w:tc>
          <w:tcPr>
            <w:tcW w:w="8701" w:type="dxa"/>
            <w:gridSpan w:val="2"/>
            <w:shd w:val="clear" w:color="auto" w:fill="FFFFFF"/>
          </w:tcPr>
          <w:p w14:paraId="36F20EC6" w14:textId="77777777" w:rsidR="007A49AC" w:rsidRPr="00E07C9A" w:rsidRDefault="007A49AC" w:rsidP="004357B9">
            <w:pPr>
              <w:ind w:left="72"/>
              <w:rPr>
                <w:rStyle w:val="InstructionsTabelleberschrift"/>
                <w:rFonts w:ascii="Times New Roman" w:hAnsi="Times New Roman"/>
                <w:sz w:val="24"/>
              </w:rPr>
            </w:pPr>
            <w:r w:rsidRPr="00E07C9A">
              <w:rPr>
                <w:rStyle w:val="InstructionsTabelleberschrift"/>
                <w:rFonts w:ascii="Times New Roman" w:hAnsi="Times New Roman"/>
                <w:sz w:val="24"/>
              </w:rPr>
              <w:t>Celkové expozície</w:t>
            </w:r>
          </w:p>
        </w:tc>
      </w:tr>
    </w:tbl>
    <w:p w14:paraId="12E33012" w14:textId="77777777" w:rsidR="004357B9" w:rsidRPr="00E07C9A" w:rsidRDefault="004357B9" w:rsidP="004357B9">
      <w:pPr>
        <w:spacing w:before="0" w:after="200" w:line="312" w:lineRule="auto"/>
        <w:jc w:val="left"/>
        <w:rPr>
          <w:rFonts w:ascii="Times New Roman" w:hAnsi="Times New Roman"/>
          <w:sz w:val="24"/>
        </w:rPr>
      </w:pPr>
      <w:bookmarkStart w:id="366" w:name="_Toc292456210"/>
    </w:p>
    <w:p w14:paraId="30B7DC03" w14:textId="77777777" w:rsidR="004357B9" w:rsidRPr="00E07C9A" w:rsidRDefault="00125707" w:rsidP="0023700C">
      <w:pPr>
        <w:pStyle w:val="Instructionsberschrift2"/>
        <w:numPr>
          <w:ilvl w:val="0"/>
          <w:numId w:val="0"/>
        </w:numPr>
        <w:ind w:left="357" w:hanging="357"/>
        <w:rPr>
          <w:rFonts w:ascii="Times New Roman" w:hAnsi="Times New Roman" w:cs="Times New Roman"/>
          <w:sz w:val="24"/>
        </w:rPr>
      </w:pPr>
      <w:bookmarkStart w:id="367" w:name="_Toc360188364"/>
      <w:bookmarkStart w:id="368" w:name="_Toc473560915"/>
      <w:bookmarkStart w:id="369" w:name="_Toc115857812"/>
      <w:r w:rsidRPr="00E07C9A">
        <w:rPr>
          <w:rFonts w:ascii="Times New Roman" w:hAnsi="Times New Roman" w:cs="Times New Roman"/>
          <w:sz w:val="24"/>
          <w:u w:val="none"/>
        </w:rPr>
        <w:t>3.4.2.</w:t>
      </w:r>
      <w:r w:rsidRPr="00E07C9A">
        <w:rPr>
          <w:rFonts w:ascii="Times New Roman" w:hAnsi="Times New Roman" w:cs="Times New Roman"/>
          <w:u w:val="none"/>
        </w:rPr>
        <w:tab/>
      </w:r>
      <w:r w:rsidRPr="00E07C9A">
        <w:rPr>
          <w:rFonts w:ascii="Times New Roman" w:hAnsi="Times New Roman" w:cs="Times New Roman"/>
          <w:sz w:val="24"/>
        </w:rPr>
        <w:t>C 09.02 – Geografické rozčlenenie expozícií podľa sídla dlžníka: expozície IRB</w:t>
      </w:r>
      <w:bookmarkEnd w:id="367"/>
      <w:r w:rsidRPr="00E07C9A">
        <w:rPr>
          <w:rFonts w:ascii="Times New Roman" w:hAnsi="Times New Roman" w:cs="Times New Roman"/>
          <w:sz w:val="24"/>
        </w:rPr>
        <w:t xml:space="preserve"> (CR GB 2)</w:t>
      </w:r>
      <w:bookmarkEnd w:id="368"/>
      <w:bookmarkEnd w:id="369"/>
    </w:p>
    <w:p w14:paraId="18801EC8" w14:textId="77777777" w:rsidR="004357B9" w:rsidRPr="00E07C9A" w:rsidRDefault="00125707" w:rsidP="0023700C">
      <w:pPr>
        <w:pStyle w:val="Instructionsberschrift2"/>
        <w:numPr>
          <w:ilvl w:val="0"/>
          <w:numId w:val="0"/>
        </w:numPr>
        <w:ind w:left="357" w:hanging="357"/>
        <w:rPr>
          <w:rFonts w:ascii="Times New Roman" w:hAnsi="Times New Roman" w:cs="Times New Roman"/>
          <w:sz w:val="24"/>
        </w:rPr>
      </w:pPr>
      <w:bookmarkStart w:id="370" w:name="_Toc360188365"/>
      <w:bookmarkStart w:id="371" w:name="_Toc473560916"/>
      <w:bookmarkStart w:id="372" w:name="_Toc115857813"/>
      <w:r w:rsidRPr="00E07C9A">
        <w:rPr>
          <w:rFonts w:ascii="Times New Roman" w:hAnsi="Times New Roman" w:cs="Times New Roman"/>
          <w:sz w:val="24"/>
          <w:u w:val="none"/>
        </w:rPr>
        <w:t>3.4.2.1.</w:t>
      </w:r>
      <w:r w:rsidRPr="00E07C9A">
        <w:rPr>
          <w:rFonts w:ascii="Times New Roman" w:hAnsi="Times New Roman" w:cs="Times New Roman"/>
          <w:u w:val="none"/>
        </w:rPr>
        <w:tab/>
      </w:r>
      <w:r w:rsidRPr="00E07C9A">
        <w:rPr>
          <w:rFonts w:ascii="Times New Roman" w:hAnsi="Times New Roman" w:cs="Times New Roman"/>
          <w:sz w:val="24"/>
        </w:rPr>
        <w:t>Pokyny týkajúce sa konkrétnych pozícií</w:t>
      </w:r>
      <w:bookmarkEnd w:id="370"/>
      <w:bookmarkEnd w:id="371"/>
      <w:bookmarkEnd w:id="37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E07C9A" w14:paraId="1248F17C" w14:textId="77777777" w:rsidTr="00672D2A">
        <w:tc>
          <w:tcPr>
            <w:tcW w:w="1188" w:type="dxa"/>
            <w:shd w:val="clear" w:color="auto" w:fill="CCCCCC"/>
          </w:tcPr>
          <w:p w14:paraId="0629A145" w14:textId="77777777" w:rsidR="004357B9" w:rsidRPr="00E07C9A" w:rsidRDefault="004357B9" w:rsidP="004357B9">
            <w:pPr>
              <w:rPr>
                <w:rFonts w:ascii="Times New Roman" w:hAnsi="Times New Roman"/>
                <w:b/>
                <w:sz w:val="24"/>
              </w:rPr>
            </w:pPr>
            <w:r w:rsidRPr="00E07C9A">
              <w:rPr>
                <w:rFonts w:ascii="Times New Roman" w:hAnsi="Times New Roman"/>
                <w:b/>
                <w:sz w:val="24"/>
              </w:rPr>
              <w:t>Stĺpce</w:t>
            </w:r>
          </w:p>
        </w:tc>
        <w:tc>
          <w:tcPr>
            <w:tcW w:w="8640" w:type="dxa"/>
            <w:shd w:val="clear" w:color="auto" w:fill="CCCCCC"/>
          </w:tcPr>
          <w:p w14:paraId="061C99E7" w14:textId="77777777" w:rsidR="004357B9" w:rsidRPr="00E07C9A" w:rsidRDefault="004357B9" w:rsidP="004357B9">
            <w:pPr>
              <w:ind w:left="72"/>
              <w:rPr>
                <w:rFonts w:ascii="Times New Roman" w:hAnsi="Times New Roman"/>
                <w:sz w:val="24"/>
              </w:rPr>
            </w:pPr>
          </w:p>
        </w:tc>
      </w:tr>
      <w:tr w:rsidR="004357B9" w:rsidRPr="00E07C9A" w14:paraId="2EA78CC5" w14:textId="77777777" w:rsidTr="00672D2A">
        <w:tc>
          <w:tcPr>
            <w:tcW w:w="1188" w:type="dxa"/>
          </w:tcPr>
          <w:p w14:paraId="1364EF3A" w14:textId="77777777" w:rsidR="004357B9" w:rsidRPr="00E07C9A" w:rsidRDefault="004357B9" w:rsidP="004357B9">
            <w:pPr>
              <w:rPr>
                <w:rStyle w:val="InstructionsTabelleText"/>
                <w:rFonts w:ascii="Times New Roman" w:hAnsi="Times New Roman"/>
                <w:sz w:val="24"/>
              </w:rPr>
            </w:pPr>
            <w:r w:rsidRPr="00E07C9A">
              <w:rPr>
                <w:rStyle w:val="InstructionsTabelleText"/>
                <w:rFonts w:ascii="Times New Roman" w:hAnsi="Times New Roman"/>
                <w:sz w:val="24"/>
              </w:rPr>
              <w:t>0010</w:t>
            </w:r>
          </w:p>
        </w:tc>
        <w:tc>
          <w:tcPr>
            <w:tcW w:w="8640" w:type="dxa"/>
          </w:tcPr>
          <w:p w14:paraId="223A3AFF" w14:textId="77777777" w:rsidR="004357B9" w:rsidRPr="00E07C9A" w:rsidRDefault="004357B9" w:rsidP="004357B9">
            <w:pPr>
              <w:rPr>
                <w:rStyle w:val="InstructionsTabelleberschrift"/>
                <w:rFonts w:ascii="Times New Roman" w:hAnsi="Times New Roman"/>
                <w:sz w:val="24"/>
              </w:rPr>
            </w:pPr>
            <w:r w:rsidRPr="00E07C9A">
              <w:rPr>
                <w:rStyle w:val="InstructionsTabelleberschrift"/>
                <w:rFonts w:ascii="Times New Roman" w:hAnsi="Times New Roman"/>
                <w:sz w:val="24"/>
              </w:rPr>
              <w:t>PÔVODNÁ EXPOZÍCIA PRED UPLATNENÍM KONVERZNÝCH FAKTOROV</w:t>
            </w:r>
          </w:p>
          <w:p w14:paraId="2EF60195" w14:textId="77777777" w:rsidR="004357B9" w:rsidRPr="00E07C9A" w:rsidRDefault="004357B9" w:rsidP="004357B9">
            <w:pPr>
              <w:autoSpaceDE w:val="0"/>
              <w:autoSpaceDN w:val="0"/>
              <w:adjustRightInd w:val="0"/>
              <w:spacing w:before="0" w:after="0"/>
              <w:jc w:val="left"/>
              <w:rPr>
                <w:rStyle w:val="InstructionsTabelleText"/>
                <w:rFonts w:ascii="Times New Roman" w:hAnsi="Times New Roman"/>
                <w:sz w:val="24"/>
              </w:rPr>
            </w:pPr>
            <w:r w:rsidRPr="00E07C9A">
              <w:rPr>
                <w:rFonts w:ascii="Times New Roman" w:hAnsi="Times New Roman"/>
                <w:sz w:val="24"/>
              </w:rPr>
              <w:t>Rovnaká definícia ako pre stĺpec 0020 vzoru CR IRB.</w:t>
            </w:r>
          </w:p>
        </w:tc>
      </w:tr>
      <w:tr w:rsidR="004357B9" w:rsidRPr="00E07C9A" w14:paraId="5A1D9BE4" w14:textId="77777777" w:rsidTr="00672D2A">
        <w:tc>
          <w:tcPr>
            <w:tcW w:w="1188" w:type="dxa"/>
          </w:tcPr>
          <w:p w14:paraId="6CD01AA9" w14:textId="77777777" w:rsidR="004357B9" w:rsidRPr="00E07C9A" w:rsidRDefault="004357B9" w:rsidP="004357B9">
            <w:pPr>
              <w:rPr>
                <w:rFonts w:ascii="Times New Roman" w:hAnsi="Times New Roman"/>
                <w:sz w:val="24"/>
              </w:rPr>
            </w:pPr>
            <w:r w:rsidRPr="00E07C9A">
              <w:rPr>
                <w:rFonts w:ascii="Times New Roman" w:hAnsi="Times New Roman"/>
                <w:sz w:val="24"/>
              </w:rPr>
              <w:t>0030</w:t>
            </w:r>
          </w:p>
        </w:tc>
        <w:tc>
          <w:tcPr>
            <w:tcW w:w="8640" w:type="dxa"/>
          </w:tcPr>
          <w:p w14:paraId="069BAEF9" w14:textId="6C0F1E5A" w:rsidR="004357B9" w:rsidRPr="00E07C9A" w:rsidRDefault="004357B9" w:rsidP="004357B9">
            <w:pPr>
              <w:rPr>
                <w:rFonts w:ascii="Times New Roman" w:hAnsi="Times New Roman"/>
                <w:b/>
                <w:sz w:val="24"/>
                <w:u w:val="single"/>
              </w:rPr>
            </w:pPr>
            <w:r w:rsidRPr="00E07C9A">
              <w:rPr>
                <w:rFonts w:ascii="Times New Roman" w:hAnsi="Times New Roman"/>
                <w:b/>
                <w:sz w:val="24"/>
                <w:u w:val="single"/>
              </w:rPr>
              <w:t>Z čoho:</w:t>
            </w:r>
            <w:r w:rsidR="009912F8" w:rsidRPr="00E07C9A">
              <w:rPr>
                <w:rFonts w:ascii="Times New Roman" w:hAnsi="Times New Roman"/>
                <w:b/>
                <w:sz w:val="24"/>
                <w:u w:val="single"/>
              </w:rPr>
              <w:t xml:space="preserve"> v </w:t>
            </w:r>
            <w:r w:rsidRPr="00E07C9A">
              <w:rPr>
                <w:rFonts w:ascii="Times New Roman" w:hAnsi="Times New Roman"/>
                <w:b/>
                <w:sz w:val="24"/>
                <w:u w:val="single"/>
              </w:rPr>
              <w:t>stave zlyhania</w:t>
            </w:r>
          </w:p>
          <w:p w14:paraId="1D943763" w14:textId="1CED06B3" w:rsidR="004357B9" w:rsidRPr="00E07C9A" w:rsidRDefault="004357B9" w:rsidP="00F855D5">
            <w:pPr>
              <w:rPr>
                <w:rStyle w:val="InstructionsTabelleText"/>
                <w:rFonts w:ascii="Times New Roman" w:hAnsi="Times New Roman"/>
                <w:sz w:val="24"/>
              </w:rPr>
            </w:pPr>
            <w:r w:rsidRPr="00E07C9A">
              <w:rPr>
                <w:rStyle w:val="InstructionsTabelleText"/>
                <w:rFonts w:ascii="Times New Roman" w:hAnsi="Times New Roman"/>
                <w:sz w:val="24"/>
              </w:rPr>
              <w:t>Hodnota pôvodnej expozície tých expozícií, ktoré sa klasifikovali ako „expozície</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stave zlyhania“ podľa článku 178</w:t>
            </w:r>
            <w:r w:rsidRPr="00E07C9A">
              <w:rPr>
                <w:rFonts w:ascii="Times New Roman" w:hAnsi="Times New Roman"/>
                <w:sz w:val="24"/>
              </w:rPr>
              <w:t xml:space="preserve"> nariadenia (EÚ) </w:t>
            </w:r>
            <w:r w:rsidR="009912F8" w:rsidRPr="00E07C9A">
              <w:rPr>
                <w:rFonts w:ascii="Times New Roman" w:hAnsi="Times New Roman"/>
                <w:sz w:val="24"/>
              </w:rPr>
              <w:t>č. 575/2013</w:t>
            </w:r>
            <w:r w:rsidRPr="00E07C9A">
              <w:rPr>
                <w:rFonts w:ascii="Times New Roman" w:hAnsi="Times New Roman"/>
                <w:sz w:val="24"/>
              </w:rPr>
              <w:t>.</w:t>
            </w:r>
          </w:p>
        </w:tc>
      </w:tr>
      <w:tr w:rsidR="004357B9" w:rsidRPr="00E07C9A" w14:paraId="0BFE3873" w14:textId="77777777" w:rsidTr="00672D2A">
        <w:tc>
          <w:tcPr>
            <w:tcW w:w="1188" w:type="dxa"/>
          </w:tcPr>
          <w:p w14:paraId="3CF26C3E" w14:textId="77777777" w:rsidR="004357B9" w:rsidRPr="00E07C9A" w:rsidRDefault="004357B9" w:rsidP="004357B9">
            <w:pPr>
              <w:rPr>
                <w:rFonts w:ascii="Times New Roman" w:hAnsi="Times New Roman"/>
                <w:sz w:val="24"/>
              </w:rPr>
            </w:pPr>
            <w:r w:rsidRPr="00E07C9A">
              <w:rPr>
                <w:rFonts w:ascii="Times New Roman" w:hAnsi="Times New Roman"/>
                <w:sz w:val="24"/>
              </w:rPr>
              <w:t>0040</w:t>
            </w:r>
          </w:p>
        </w:tc>
        <w:tc>
          <w:tcPr>
            <w:tcW w:w="8640" w:type="dxa"/>
          </w:tcPr>
          <w:p w14:paraId="3B2F6E60" w14:textId="4CBB3040" w:rsidR="004357B9" w:rsidRPr="00E07C9A" w:rsidRDefault="004357B9" w:rsidP="004357B9">
            <w:pPr>
              <w:rPr>
                <w:rFonts w:ascii="Times New Roman" w:hAnsi="Times New Roman"/>
                <w:b/>
                <w:sz w:val="24"/>
                <w:u w:val="single"/>
              </w:rPr>
            </w:pPr>
            <w:r w:rsidRPr="00E07C9A">
              <w:rPr>
                <w:rFonts w:ascii="Times New Roman" w:hAnsi="Times New Roman"/>
                <w:b/>
                <w:sz w:val="24"/>
                <w:u w:val="single"/>
              </w:rPr>
              <w:t>Nové spozorované zlyhania</w:t>
            </w:r>
            <w:r w:rsidR="009912F8" w:rsidRPr="00E07C9A">
              <w:rPr>
                <w:rFonts w:ascii="Times New Roman" w:hAnsi="Times New Roman"/>
                <w:b/>
                <w:sz w:val="24"/>
                <w:u w:val="single"/>
              </w:rPr>
              <w:t xml:space="preserve"> v </w:t>
            </w:r>
            <w:r w:rsidRPr="00E07C9A">
              <w:rPr>
                <w:rFonts w:ascii="Times New Roman" w:hAnsi="Times New Roman"/>
                <w:b/>
                <w:sz w:val="24"/>
                <w:u w:val="single"/>
              </w:rPr>
              <w:t>danom období</w:t>
            </w:r>
          </w:p>
          <w:p w14:paraId="25AA2946" w14:textId="0A294CBA" w:rsidR="004357B9" w:rsidRPr="00E07C9A" w:rsidRDefault="00220B85" w:rsidP="003D14AE">
            <w:pPr>
              <w:rPr>
                <w:rFonts w:ascii="Times New Roman" w:hAnsi="Times New Roman"/>
                <w:b/>
                <w:sz w:val="24"/>
                <w:u w:val="single"/>
              </w:rPr>
            </w:pPr>
            <w:r w:rsidRPr="00E07C9A">
              <w:rPr>
                <w:rStyle w:val="InstructionsTabelleText"/>
                <w:rFonts w:ascii="Times New Roman" w:hAnsi="Times New Roman"/>
                <w:sz w:val="24"/>
              </w:rPr>
              <w:t>Hodnota pôvodných expozícií, ktoré sa klasifikovali ako „expozície</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 xml:space="preserve">stave zlyhania“ počas trojmesačného obdobia od posledného referenčného dátumu vykazovania, sa vykazuje podľa triedy expozícií, do ktorej dlžník pôvodne patril. </w:t>
            </w:r>
          </w:p>
        </w:tc>
      </w:tr>
      <w:tr w:rsidR="004357B9" w:rsidRPr="00E07C9A" w14:paraId="06385E37" w14:textId="77777777" w:rsidTr="00672D2A">
        <w:tc>
          <w:tcPr>
            <w:tcW w:w="1188" w:type="dxa"/>
          </w:tcPr>
          <w:p w14:paraId="32C85B56" w14:textId="77777777" w:rsidR="004357B9" w:rsidRPr="00E07C9A" w:rsidRDefault="004357B9" w:rsidP="004357B9">
            <w:pPr>
              <w:rPr>
                <w:rFonts w:ascii="Times New Roman" w:hAnsi="Times New Roman"/>
                <w:sz w:val="24"/>
              </w:rPr>
            </w:pPr>
            <w:r w:rsidRPr="00E07C9A">
              <w:rPr>
                <w:rFonts w:ascii="Times New Roman" w:hAnsi="Times New Roman"/>
                <w:sz w:val="24"/>
              </w:rPr>
              <w:t>0050</w:t>
            </w:r>
          </w:p>
        </w:tc>
        <w:tc>
          <w:tcPr>
            <w:tcW w:w="8640" w:type="dxa"/>
          </w:tcPr>
          <w:p w14:paraId="4B64B7A0" w14:textId="77777777" w:rsidR="004357B9" w:rsidRPr="00E07C9A" w:rsidRDefault="004357B9" w:rsidP="004357B9">
            <w:pPr>
              <w:rPr>
                <w:rFonts w:ascii="Times New Roman" w:hAnsi="Times New Roman"/>
                <w:b/>
                <w:sz w:val="24"/>
                <w:u w:val="single"/>
              </w:rPr>
            </w:pPr>
            <w:r w:rsidRPr="00E07C9A">
              <w:rPr>
                <w:rFonts w:ascii="Times New Roman" w:hAnsi="Times New Roman"/>
                <w:b/>
                <w:sz w:val="24"/>
                <w:u w:val="single"/>
              </w:rPr>
              <w:t>Všeobecné úpravy kreditného rizika</w:t>
            </w:r>
          </w:p>
          <w:p w14:paraId="71E5569B" w14:textId="04BF20D7" w:rsidR="004357B9" w:rsidRPr="00E07C9A" w:rsidRDefault="004357B9" w:rsidP="00D82B60">
            <w:pPr>
              <w:rPr>
                <w:rFonts w:ascii="Times New Roman" w:hAnsi="Times New Roman"/>
                <w:b/>
                <w:sz w:val="24"/>
                <w:u w:val="single"/>
              </w:rPr>
            </w:pPr>
            <w:r w:rsidRPr="00E07C9A">
              <w:rPr>
                <w:rFonts w:ascii="Times New Roman" w:hAnsi="Times New Roman"/>
                <w:sz w:val="24"/>
              </w:rPr>
              <w:t xml:space="preserve">Úpravy kreditného rizika podľa článku 110 nariadenia (EÚ) </w:t>
            </w:r>
            <w:r w:rsidR="009912F8" w:rsidRPr="00E07C9A">
              <w:rPr>
                <w:rFonts w:ascii="Times New Roman" w:hAnsi="Times New Roman"/>
                <w:sz w:val="24"/>
              </w:rPr>
              <w:t>č. 575/2013</w:t>
            </w:r>
            <w:r w:rsidRPr="00E07C9A">
              <w:rPr>
                <w:rFonts w:ascii="Times New Roman" w:hAnsi="Times New Roman"/>
                <w:sz w:val="24"/>
              </w:rPr>
              <w:t>, ako aj nariadenia (EÚ) č. 183/2014.</w:t>
            </w:r>
          </w:p>
        </w:tc>
      </w:tr>
      <w:tr w:rsidR="004357B9" w:rsidRPr="00E07C9A" w14:paraId="70441C20" w14:textId="77777777" w:rsidTr="00672D2A">
        <w:tc>
          <w:tcPr>
            <w:tcW w:w="1188" w:type="dxa"/>
          </w:tcPr>
          <w:p w14:paraId="3B8318A8" w14:textId="77777777" w:rsidR="004357B9" w:rsidRPr="00E07C9A" w:rsidRDefault="004357B9" w:rsidP="004357B9">
            <w:pPr>
              <w:rPr>
                <w:rFonts w:ascii="Times New Roman" w:hAnsi="Times New Roman"/>
                <w:sz w:val="24"/>
              </w:rPr>
            </w:pPr>
            <w:r w:rsidRPr="00E07C9A">
              <w:rPr>
                <w:rFonts w:ascii="Times New Roman" w:hAnsi="Times New Roman"/>
                <w:sz w:val="24"/>
              </w:rPr>
              <w:t>0055</w:t>
            </w:r>
          </w:p>
        </w:tc>
        <w:tc>
          <w:tcPr>
            <w:tcW w:w="8640" w:type="dxa"/>
          </w:tcPr>
          <w:p w14:paraId="2F55B31C" w14:textId="77777777" w:rsidR="004357B9" w:rsidRPr="00E07C9A" w:rsidRDefault="004357B9" w:rsidP="004357B9">
            <w:pPr>
              <w:rPr>
                <w:rFonts w:ascii="Times New Roman" w:hAnsi="Times New Roman"/>
                <w:b/>
                <w:sz w:val="24"/>
                <w:u w:val="single"/>
              </w:rPr>
            </w:pPr>
            <w:r w:rsidRPr="00E07C9A">
              <w:rPr>
                <w:rFonts w:ascii="Times New Roman" w:hAnsi="Times New Roman"/>
                <w:b/>
                <w:sz w:val="24"/>
                <w:u w:val="single"/>
              </w:rPr>
              <w:t>Špecifické úpravy kreditného rizika</w:t>
            </w:r>
          </w:p>
          <w:p w14:paraId="05C4F6FE" w14:textId="59A20953" w:rsidR="004357B9" w:rsidRPr="00E07C9A" w:rsidRDefault="004357B9" w:rsidP="003B2712">
            <w:pPr>
              <w:rPr>
                <w:rFonts w:ascii="Times New Roman" w:hAnsi="Times New Roman"/>
                <w:b/>
                <w:sz w:val="24"/>
                <w:u w:val="single"/>
              </w:rPr>
            </w:pPr>
            <w:r w:rsidRPr="00E07C9A">
              <w:rPr>
                <w:rFonts w:ascii="Times New Roman" w:hAnsi="Times New Roman"/>
                <w:sz w:val="24"/>
              </w:rPr>
              <w:t xml:space="preserve">Úpravy kreditného rizika podľa článku 110 nariadenia (EÚ) </w:t>
            </w:r>
            <w:r w:rsidR="009912F8" w:rsidRPr="00E07C9A">
              <w:rPr>
                <w:rFonts w:ascii="Times New Roman" w:hAnsi="Times New Roman"/>
                <w:sz w:val="24"/>
              </w:rPr>
              <w:t>č. 575/2013</w:t>
            </w:r>
            <w:r w:rsidRPr="00E07C9A">
              <w:rPr>
                <w:rFonts w:ascii="Times New Roman" w:hAnsi="Times New Roman"/>
                <w:sz w:val="24"/>
              </w:rPr>
              <w:t>, ako aj nariadenia (EÚ) č. 183/2014.</w:t>
            </w:r>
          </w:p>
        </w:tc>
      </w:tr>
      <w:tr w:rsidR="004357B9" w:rsidRPr="00E07C9A" w14:paraId="46B24D89" w14:textId="77777777" w:rsidTr="00672D2A">
        <w:tc>
          <w:tcPr>
            <w:tcW w:w="1188" w:type="dxa"/>
          </w:tcPr>
          <w:p w14:paraId="7FF7FE1E" w14:textId="77777777" w:rsidR="004357B9" w:rsidRPr="00E07C9A" w:rsidRDefault="004357B9" w:rsidP="004357B9">
            <w:pPr>
              <w:rPr>
                <w:rFonts w:ascii="Times New Roman" w:hAnsi="Times New Roman"/>
                <w:sz w:val="24"/>
              </w:rPr>
            </w:pPr>
            <w:r w:rsidRPr="00E07C9A">
              <w:rPr>
                <w:rFonts w:ascii="Times New Roman" w:hAnsi="Times New Roman"/>
                <w:sz w:val="24"/>
              </w:rPr>
              <w:t>0060</w:t>
            </w:r>
          </w:p>
        </w:tc>
        <w:tc>
          <w:tcPr>
            <w:tcW w:w="8640" w:type="dxa"/>
          </w:tcPr>
          <w:p w14:paraId="67DCC6E6" w14:textId="77777777" w:rsidR="004357B9" w:rsidRPr="00E07C9A" w:rsidRDefault="004357B9" w:rsidP="004357B9">
            <w:pPr>
              <w:rPr>
                <w:rFonts w:ascii="Times New Roman" w:hAnsi="Times New Roman"/>
                <w:b/>
                <w:sz w:val="24"/>
                <w:u w:val="single"/>
              </w:rPr>
            </w:pPr>
            <w:r w:rsidRPr="00E07C9A">
              <w:rPr>
                <w:rFonts w:ascii="Times New Roman" w:hAnsi="Times New Roman"/>
                <w:b/>
                <w:sz w:val="24"/>
                <w:u w:val="single"/>
              </w:rPr>
              <w:t>Odpisy</w:t>
            </w:r>
          </w:p>
          <w:p w14:paraId="1BC74517" w14:textId="6B4E0285" w:rsidR="004357B9" w:rsidRPr="00E07C9A" w:rsidRDefault="004357B9" w:rsidP="00EA4F4F">
            <w:pPr>
              <w:rPr>
                <w:rFonts w:ascii="Times New Roman" w:hAnsi="Times New Roman"/>
                <w:b/>
                <w:sz w:val="24"/>
                <w:u w:val="single"/>
              </w:rPr>
            </w:pPr>
            <w:r w:rsidRPr="00E07C9A">
              <w:rPr>
                <w:rStyle w:val="InstructionsTabelleText"/>
                <w:rFonts w:ascii="Times New Roman" w:hAnsi="Times New Roman"/>
                <w:sz w:val="24"/>
              </w:rPr>
              <w:t>Odpisy uvedené</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IFRS 9.5.4.4</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B5.4.9.</w:t>
            </w:r>
          </w:p>
        </w:tc>
      </w:tr>
      <w:tr w:rsidR="004357B9" w:rsidRPr="00E07C9A" w14:paraId="2161AE67" w14:textId="77777777" w:rsidTr="00672D2A">
        <w:tc>
          <w:tcPr>
            <w:tcW w:w="1188" w:type="dxa"/>
          </w:tcPr>
          <w:p w14:paraId="415553DE" w14:textId="77777777" w:rsidR="004357B9" w:rsidRPr="00E07C9A" w:rsidRDefault="004357B9" w:rsidP="004357B9">
            <w:pPr>
              <w:rPr>
                <w:rFonts w:ascii="Times New Roman" w:hAnsi="Times New Roman"/>
                <w:sz w:val="24"/>
              </w:rPr>
            </w:pPr>
            <w:r w:rsidRPr="00E07C9A">
              <w:rPr>
                <w:rFonts w:ascii="Times New Roman" w:hAnsi="Times New Roman"/>
                <w:sz w:val="24"/>
              </w:rPr>
              <w:t>0070</w:t>
            </w:r>
          </w:p>
        </w:tc>
        <w:tc>
          <w:tcPr>
            <w:tcW w:w="8640" w:type="dxa"/>
          </w:tcPr>
          <w:p w14:paraId="017F2FFD" w14:textId="77777777" w:rsidR="004357B9" w:rsidRPr="00E07C9A" w:rsidRDefault="004357B9" w:rsidP="004357B9">
            <w:pPr>
              <w:rPr>
                <w:rFonts w:ascii="Times New Roman" w:hAnsi="Times New Roman"/>
                <w:b/>
                <w:sz w:val="24"/>
                <w:u w:val="single"/>
              </w:rPr>
            </w:pPr>
            <w:r w:rsidRPr="00E07C9A">
              <w:rPr>
                <w:rFonts w:ascii="Times New Roman" w:hAnsi="Times New Roman"/>
                <w:b/>
                <w:sz w:val="24"/>
                <w:u w:val="single"/>
              </w:rPr>
              <w:t>Úpravy kreditného rizika/odpisy pre nové spozorované zlyhania</w:t>
            </w:r>
          </w:p>
          <w:p w14:paraId="0760A334" w14:textId="2DD19753" w:rsidR="004357B9" w:rsidRPr="00E07C9A" w:rsidRDefault="004357B9" w:rsidP="004357B9">
            <w:pPr>
              <w:rPr>
                <w:rFonts w:ascii="Times New Roman" w:hAnsi="Times New Roman"/>
                <w:b/>
                <w:sz w:val="24"/>
                <w:u w:val="single"/>
              </w:rPr>
            </w:pPr>
            <w:r w:rsidRPr="00E07C9A">
              <w:rPr>
                <w:rStyle w:val="InstructionsTabelleText"/>
                <w:rFonts w:ascii="Times New Roman" w:hAnsi="Times New Roman"/>
                <w:sz w:val="24"/>
              </w:rPr>
              <w:t>Súčet úprav kreditného rizika</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odpisov pre expozície klasifikované ako „expozície</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stave zlyhania“ počas trojmesačného obdobia od posledného predloženia údajov.</w:t>
            </w:r>
          </w:p>
        </w:tc>
      </w:tr>
      <w:tr w:rsidR="004357B9" w:rsidRPr="00E07C9A" w14:paraId="2DA49C50" w14:textId="77777777" w:rsidTr="00672D2A">
        <w:tc>
          <w:tcPr>
            <w:tcW w:w="1188" w:type="dxa"/>
          </w:tcPr>
          <w:p w14:paraId="3B6C605A" w14:textId="77777777" w:rsidR="004357B9" w:rsidRPr="00E07C9A" w:rsidRDefault="004357B9" w:rsidP="004357B9">
            <w:pPr>
              <w:rPr>
                <w:rFonts w:ascii="Times New Roman" w:hAnsi="Times New Roman"/>
                <w:sz w:val="24"/>
              </w:rPr>
            </w:pPr>
            <w:r w:rsidRPr="00E07C9A">
              <w:rPr>
                <w:rFonts w:ascii="Times New Roman" w:hAnsi="Times New Roman"/>
                <w:sz w:val="24"/>
              </w:rPr>
              <w:t>0080</w:t>
            </w:r>
          </w:p>
        </w:tc>
        <w:tc>
          <w:tcPr>
            <w:tcW w:w="8640" w:type="dxa"/>
          </w:tcPr>
          <w:p w14:paraId="47B91DFF" w14:textId="77777777" w:rsidR="004357B9" w:rsidRPr="00E07C9A" w:rsidRDefault="004357B9" w:rsidP="004357B9">
            <w:pPr>
              <w:rPr>
                <w:rStyle w:val="InstructionsTabelleberschrift"/>
                <w:rFonts w:ascii="Times New Roman" w:hAnsi="Times New Roman"/>
                <w:bCs w:val="0"/>
                <w:sz w:val="24"/>
              </w:rPr>
            </w:pPr>
            <w:r w:rsidRPr="00E07C9A">
              <w:rPr>
                <w:rStyle w:val="InstructionsTabelleberschrift"/>
                <w:rFonts w:ascii="Times New Roman" w:hAnsi="Times New Roman"/>
                <w:sz w:val="24"/>
              </w:rPr>
              <w:t>INTERNÁ RATINGOVÁ STUPNICA/PD PRIRADENÁ RATINGOVÉMU STUPŇU ALEBO SKUPINE DLŽNÍKOV (%)</w:t>
            </w:r>
          </w:p>
          <w:p w14:paraId="23C091C3" w14:textId="77777777" w:rsidR="004357B9" w:rsidRPr="00E07C9A" w:rsidRDefault="004357B9" w:rsidP="004357B9">
            <w:pPr>
              <w:rPr>
                <w:rFonts w:ascii="Times New Roman" w:hAnsi="Times New Roman"/>
                <w:b/>
                <w:sz w:val="24"/>
                <w:u w:val="single"/>
              </w:rPr>
            </w:pPr>
            <w:r w:rsidRPr="00E07C9A">
              <w:rPr>
                <w:rStyle w:val="InstructionsTabelleText"/>
                <w:rFonts w:ascii="Times New Roman" w:hAnsi="Times New Roman"/>
                <w:sz w:val="24"/>
              </w:rPr>
              <w:t>Rovnaká definícia ako pre stĺpec 0010 vzoru CR IRB.</w:t>
            </w:r>
          </w:p>
        </w:tc>
      </w:tr>
      <w:tr w:rsidR="004357B9" w:rsidRPr="00E07C9A" w14:paraId="155DD554" w14:textId="77777777" w:rsidTr="00672D2A">
        <w:tc>
          <w:tcPr>
            <w:tcW w:w="1188" w:type="dxa"/>
          </w:tcPr>
          <w:p w14:paraId="1F0D84ED" w14:textId="77777777" w:rsidR="004357B9" w:rsidRPr="00E07C9A" w:rsidRDefault="004357B9" w:rsidP="004357B9">
            <w:pPr>
              <w:rPr>
                <w:rFonts w:ascii="Times New Roman" w:hAnsi="Times New Roman"/>
                <w:sz w:val="24"/>
              </w:rPr>
            </w:pPr>
            <w:r w:rsidRPr="00E07C9A">
              <w:rPr>
                <w:rFonts w:ascii="Times New Roman" w:hAnsi="Times New Roman"/>
                <w:sz w:val="24"/>
              </w:rPr>
              <w:t>0090</w:t>
            </w:r>
          </w:p>
        </w:tc>
        <w:tc>
          <w:tcPr>
            <w:tcW w:w="8640" w:type="dxa"/>
          </w:tcPr>
          <w:p w14:paraId="64B14619" w14:textId="77777777" w:rsidR="004357B9" w:rsidRPr="00E07C9A" w:rsidRDefault="004357B9" w:rsidP="004357B9">
            <w:pPr>
              <w:rPr>
                <w:rFonts w:ascii="Times New Roman" w:hAnsi="Times New Roman"/>
                <w:b/>
                <w:sz w:val="24"/>
                <w:u w:val="single"/>
              </w:rPr>
            </w:pPr>
            <w:r w:rsidRPr="00E07C9A">
              <w:rPr>
                <w:rFonts w:ascii="Times New Roman" w:hAnsi="Times New Roman"/>
                <w:b/>
                <w:sz w:val="24"/>
                <w:u w:val="single"/>
              </w:rPr>
              <w:t>EXPOZÍCIAMI VÁŽENÁ PRIEMERNÁ LGD (%)</w:t>
            </w:r>
          </w:p>
          <w:p w14:paraId="7FDB0A4A" w14:textId="70636669" w:rsidR="004357B9" w:rsidRPr="00E07C9A" w:rsidRDefault="004357B9" w:rsidP="004357B9">
            <w:pPr>
              <w:rPr>
                <w:rStyle w:val="InstructionsTabelleText"/>
                <w:rFonts w:ascii="Times New Roman" w:hAnsi="Times New Roman"/>
                <w:sz w:val="24"/>
              </w:rPr>
            </w:pPr>
            <w:r w:rsidRPr="00E07C9A">
              <w:rPr>
                <w:rStyle w:val="InstructionsTabelleText"/>
                <w:rFonts w:ascii="Times New Roman" w:hAnsi="Times New Roman"/>
                <w:sz w:val="24"/>
              </w:rPr>
              <w:t>Rovnaká definícia ako pri stĺpcoch 0230</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0240 vzoru CR IRB: expozíciami vážená priemerná LGD (%) zahŕňa všetky expozície vrátane expozícií voči veľkým subjektom finančného sektora</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 xml:space="preserve">neregulovaným finančným subjektom. Uplatňuje sa článok 181 ods. 1 písm. h) </w:t>
            </w:r>
            <w:r w:rsidRPr="00E07C9A">
              <w:rPr>
                <w:rFonts w:ascii="Times New Roman" w:hAnsi="Times New Roman"/>
                <w:sz w:val="24"/>
              </w:rPr>
              <w:t xml:space="preserve">nariadenia (EÚ) </w:t>
            </w:r>
            <w:r w:rsidR="009912F8" w:rsidRPr="00E07C9A">
              <w:rPr>
                <w:rFonts w:ascii="Times New Roman" w:hAnsi="Times New Roman"/>
                <w:sz w:val="24"/>
              </w:rPr>
              <w:t>č. 575/2013</w:t>
            </w:r>
            <w:r w:rsidRPr="00E07C9A">
              <w:rPr>
                <w:rStyle w:val="InstructionsTabelleText"/>
                <w:rFonts w:ascii="Times New Roman" w:hAnsi="Times New Roman"/>
                <w:sz w:val="24"/>
              </w:rPr>
              <w:t>.</w:t>
            </w:r>
          </w:p>
          <w:p w14:paraId="1126B797" w14:textId="71E87438" w:rsidR="0042766A" w:rsidRPr="00E07C9A" w:rsidRDefault="0027034D" w:rsidP="009A4399">
            <w:pPr>
              <w:rPr>
                <w:rFonts w:ascii="Times New Roman" w:hAnsi="Times New Roman"/>
                <w:b/>
                <w:sz w:val="24"/>
                <w:u w:val="single"/>
              </w:rPr>
            </w:pPr>
            <w:r w:rsidRPr="00E07C9A">
              <w:rPr>
                <w:rFonts w:ascii="Times New Roman" w:hAnsi="Times New Roman"/>
                <w:sz w:val="24"/>
              </w:rPr>
              <w:t>Pri expozíciách vo forme špecializovaného financovania, pri ktorých sa odhaduje PD, by vykazovanou hodnotou mala byť buď odhadovaná LGD alebo regulačná LGD. Pri expozíciách vo forme špecializovaného financovania uvedených</w:t>
            </w:r>
            <w:r w:rsidR="009912F8" w:rsidRPr="00E07C9A">
              <w:rPr>
                <w:rFonts w:ascii="Times New Roman" w:hAnsi="Times New Roman"/>
                <w:sz w:val="24"/>
              </w:rPr>
              <w:t xml:space="preserve"> v </w:t>
            </w:r>
            <w:r w:rsidRPr="00E07C9A">
              <w:rPr>
                <w:rFonts w:ascii="Times New Roman" w:hAnsi="Times New Roman"/>
                <w:sz w:val="24"/>
              </w:rPr>
              <w:t xml:space="preserve">článku 153 ods. 5 nariadenia (EÚ) </w:t>
            </w:r>
            <w:r w:rsidR="009912F8" w:rsidRPr="00E07C9A">
              <w:rPr>
                <w:rFonts w:ascii="Times New Roman" w:hAnsi="Times New Roman"/>
                <w:sz w:val="24"/>
              </w:rPr>
              <w:t>č. 575/2013</w:t>
            </w:r>
            <w:r w:rsidRPr="00E07C9A">
              <w:rPr>
                <w:rFonts w:ascii="Times New Roman" w:hAnsi="Times New Roman"/>
                <w:sz w:val="24"/>
              </w:rPr>
              <w:t xml:space="preserve"> nemožno vykazovať údaje, keďže nie sú</w:t>
            </w:r>
            <w:r w:rsidR="009912F8" w:rsidRPr="00E07C9A">
              <w:rPr>
                <w:rFonts w:ascii="Times New Roman" w:hAnsi="Times New Roman"/>
                <w:sz w:val="24"/>
              </w:rPr>
              <w:t xml:space="preserve"> k </w:t>
            </w:r>
            <w:r w:rsidRPr="00E07C9A">
              <w:rPr>
                <w:rFonts w:ascii="Times New Roman" w:hAnsi="Times New Roman"/>
                <w:sz w:val="24"/>
              </w:rPr>
              <w:t>dispozícii.</w:t>
            </w:r>
          </w:p>
        </w:tc>
      </w:tr>
      <w:tr w:rsidR="004357B9" w:rsidRPr="00E07C9A" w14:paraId="6FB9139C" w14:textId="77777777" w:rsidTr="00672D2A">
        <w:tc>
          <w:tcPr>
            <w:tcW w:w="1188" w:type="dxa"/>
          </w:tcPr>
          <w:p w14:paraId="4BCDB734" w14:textId="77777777" w:rsidR="004357B9" w:rsidRPr="00E07C9A" w:rsidRDefault="001452FC" w:rsidP="004357B9">
            <w:pPr>
              <w:rPr>
                <w:rFonts w:ascii="Times New Roman" w:hAnsi="Times New Roman"/>
                <w:sz w:val="24"/>
              </w:rPr>
            </w:pPr>
            <w:r w:rsidRPr="00E07C9A">
              <w:rPr>
                <w:rFonts w:ascii="Times New Roman" w:hAnsi="Times New Roman"/>
                <w:sz w:val="24"/>
              </w:rPr>
              <w:t>0100</w:t>
            </w:r>
          </w:p>
        </w:tc>
        <w:tc>
          <w:tcPr>
            <w:tcW w:w="8640" w:type="dxa"/>
          </w:tcPr>
          <w:p w14:paraId="2DFA2EDE" w14:textId="74FF8E73" w:rsidR="004357B9" w:rsidRPr="00E07C9A" w:rsidRDefault="004357B9" w:rsidP="004357B9">
            <w:pPr>
              <w:rPr>
                <w:rFonts w:ascii="Times New Roman" w:hAnsi="Times New Roman"/>
                <w:b/>
                <w:sz w:val="24"/>
                <w:u w:val="single"/>
              </w:rPr>
            </w:pPr>
            <w:r w:rsidRPr="00E07C9A">
              <w:rPr>
                <w:rFonts w:ascii="Times New Roman" w:hAnsi="Times New Roman"/>
                <w:b/>
                <w:sz w:val="24"/>
                <w:u w:val="single"/>
              </w:rPr>
              <w:t>Z čoho:</w:t>
            </w:r>
            <w:r w:rsidR="009912F8" w:rsidRPr="00E07C9A">
              <w:rPr>
                <w:rFonts w:ascii="Times New Roman" w:hAnsi="Times New Roman"/>
                <w:b/>
                <w:sz w:val="24"/>
                <w:u w:val="single"/>
              </w:rPr>
              <w:t xml:space="preserve"> v </w:t>
            </w:r>
            <w:r w:rsidRPr="00E07C9A">
              <w:rPr>
                <w:rFonts w:ascii="Times New Roman" w:hAnsi="Times New Roman"/>
                <w:b/>
                <w:sz w:val="24"/>
                <w:u w:val="single"/>
              </w:rPr>
              <w:t>stave zlyhania</w:t>
            </w:r>
          </w:p>
          <w:p w14:paraId="71E4C07B" w14:textId="34E0F779" w:rsidR="004357B9" w:rsidRPr="00E07C9A" w:rsidRDefault="004357B9" w:rsidP="003B2712">
            <w:pPr>
              <w:rPr>
                <w:rFonts w:ascii="Times New Roman" w:hAnsi="Times New Roman"/>
                <w:b/>
                <w:sz w:val="24"/>
                <w:u w:val="single"/>
              </w:rPr>
            </w:pPr>
            <w:r w:rsidRPr="00E07C9A">
              <w:rPr>
                <w:rStyle w:val="InstructionsTabelleText"/>
                <w:rFonts w:ascii="Times New Roman" w:hAnsi="Times New Roman"/>
                <w:sz w:val="24"/>
              </w:rPr>
              <w:t>Expozíciami vážená LGD pre tie expozície, ktoré sa klasifikovali ako „expozície</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stave zlyhania“ podľa článku 178</w:t>
            </w:r>
            <w:r w:rsidRPr="00E07C9A">
              <w:rPr>
                <w:rFonts w:ascii="Times New Roman" w:hAnsi="Times New Roman"/>
                <w:sz w:val="24"/>
              </w:rPr>
              <w:t xml:space="preserve"> nariadenia (EÚ) </w:t>
            </w:r>
            <w:r w:rsidR="009912F8" w:rsidRPr="00E07C9A">
              <w:rPr>
                <w:rFonts w:ascii="Times New Roman" w:hAnsi="Times New Roman"/>
                <w:sz w:val="24"/>
              </w:rPr>
              <w:t>č. 575/2013</w:t>
            </w:r>
            <w:r w:rsidRPr="00E07C9A">
              <w:rPr>
                <w:rFonts w:ascii="Times New Roman" w:hAnsi="Times New Roman"/>
                <w:sz w:val="24"/>
              </w:rPr>
              <w:t>.</w:t>
            </w:r>
          </w:p>
        </w:tc>
      </w:tr>
      <w:tr w:rsidR="004357B9" w:rsidRPr="00E07C9A" w14:paraId="73216ACC" w14:textId="77777777" w:rsidTr="00672D2A">
        <w:tc>
          <w:tcPr>
            <w:tcW w:w="1188" w:type="dxa"/>
          </w:tcPr>
          <w:p w14:paraId="2A323B4A" w14:textId="77777777" w:rsidR="004357B9" w:rsidRPr="00E07C9A" w:rsidRDefault="001452FC" w:rsidP="004357B9">
            <w:pPr>
              <w:rPr>
                <w:rFonts w:ascii="Times New Roman" w:hAnsi="Times New Roman"/>
                <w:sz w:val="24"/>
              </w:rPr>
            </w:pPr>
            <w:r w:rsidRPr="00E07C9A">
              <w:rPr>
                <w:rFonts w:ascii="Times New Roman" w:hAnsi="Times New Roman"/>
                <w:sz w:val="24"/>
              </w:rPr>
              <w:t>0105</w:t>
            </w:r>
          </w:p>
        </w:tc>
        <w:tc>
          <w:tcPr>
            <w:tcW w:w="8640" w:type="dxa"/>
          </w:tcPr>
          <w:p w14:paraId="641943D9" w14:textId="77777777" w:rsidR="004357B9" w:rsidRPr="00E07C9A" w:rsidRDefault="004357B9" w:rsidP="004357B9">
            <w:pPr>
              <w:rPr>
                <w:rFonts w:ascii="Times New Roman" w:hAnsi="Times New Roman"/>
                <w:b/>
                <w:sz w:val="24"/>
                <w:u w:val="single"/>
              </w:rPr>
            </w:pPr>
            <w:r w:rsidRPr="00E07C9A">
              <w:rPr>
                <w:rFonts w:ascii="Times New Roman" w:hAnsi="Times New Roman"/>
                <w:b/>
                <w:sz w:val="24"/>
                <w:u w:val="single"/>
              </w:rPr>
              <w:t>Hodnota expozície</w:t>
            </w:r>
          </w:p>
          <w:p w14:paraId="384CBDFD" w14:textId="77777777" w:rsidR="004357B9" w:rsidRPr="00E07C9A" w:rsidRDefault="004357B9" w:rsidP="004357B9">
            <w:pPr>
              <w:rPr>
                <w:rFonts w:ascii="Times New Roman" w:hAnsi="Times New Roman"/>
                <w:b/>
                <w:sz w:val="24"/>
                <w:u w:val="single"/>
              </w:rPr>
            </w:pPr>
            <w:r w:rsidRPr="00E07C9A">
              <w:rPr>
                <w:rStyle w:val="InstructionsTabelleText"/>
                <w:rFonts w:ascii="Times New Roman" w:hAnsi="Times New Roman"/>
                <w:sz w:val="24"/>
              </w:rPr>
              <w:t>Rovnaká definícia ako pre stĺpec 0110 vzoru CR IRB.</w:t>
            </w:r>
          </w:p>
        </w:tc>
      </w:tr>
      <w:tr w:rsidR="004357B9" w:rsidRPr="00E07C9A" w14:paraId="5D0977DA" w14:textId="77777777" w:rsidTr="00672D2A">
        <w:tc>
          <w:tcPr>
            <w:tcW w:w="1188" w:type="dxa"/>
          </w:tcPr>
          <w:p w14:paraId="640B16C8" w14:textId="77777777" w:rsidR="004357B9" w:rsidRPr="00E07C9A" w:rsidRDefault="001452FC" w:rsidP="004357B9">
            <w:pPr>
              <w:rPr>
                <w:rFonts w:ascii="Times New Roman" w:hAnsi="Times New Roman"/>
                <w:sz w:val="24"/>
              </w:rPr>
            </w:pPr>
            <w:r w:rsidRPr="00E07C9A">
              <w:rPr>
                <w:rFonts w:ascii="Times New Roman" w:hAnsi="Times New Roman"/>
                <w:sz w:val="24"/>
              </w:rPr>
              <w:t>0110</w:t>
            </w:r>
          </w:p>
        </w:tc>
        <w:tc>
          <w:tcPr>
            <w:tcW w:w="8640" w:type="dxa"/>
          </w:tcPr>
          <w:p w14:paraId="1875EE78" w14:textId="77777777" w:rsidR="004357B9" w:rsidRPr="00E07C9A" w:rsidRDefault="004357B9" w:rsidP="004357B9">
            <w:pPr>
              <w:rPr>
                <w:rFonts w:ascii="Times New Roman" w:hAnsi="Times New Roman"/>
                <w:b/>
                <w:sz w:val="24"/>
                <w:u w:val="single"/>
              </w:rPr>
            </w:pPr>
            <w:r w:rsidRPr="00E07C9A">
              <w:rPr>
                <w:rFonts w:ascii="Times New Roman" w:hAnsi="Times New Roman"/>
                <w:b/>
                <w:sz w:val="24"/>
                <w:u w:val="single"/>
              </w:rPr>
              <w:t>HODNOTA RIZIKOVO VÁŽENEJ EXPOZÍCIE PRED UPLATNENÍM PODPORNÝCH FAKTOROV</w:t>
            </w:r>
          </w:p>
          <w:p w14:paraId="7F4A3613" w14:textId="77777777" w:rsidR="004357B9" w:rsidRPr="00E07C9A" w:rsidRDefault="004357B9" w:rsidP="004357B9">
            <w:pPr>
              <w:rPr>
                <w:rFonts w:ascii="Times New Roman" w:hAnsi="Times New Roman"/>
                <w:b/>
                <w:sz w:val="24"/>
                <w:u w:val="single"/>
              </w:rPr>
            </w:pPr>
            <w:r w:rsidRPr="00E07C9A">
              <w:rPr>
                <w:rStyle w:val="InstructionsTabelleText"/>
                <w:rFonts w:ascii="Times New Roman" w:hAnsi="Times New Roman"/>
                <w:sz w:val="24"/>
              </w:rPr>
              <w:t>Rovnaká definícia ako pre stĺpec 0255 vzoru CR IRB.</w:t>
            </w:r>
          </w:p>
        </w:tc>
      </w:tr>
      <w:tr w:rsidR="004357B9" w:rsidRPr="00E07C9A" w14:paraId="226F22A3" w14:textId="77777777" w:rsidTr="00672D2A">
        <w:tc>
          <w:tcPr>
            <w:tcW w:w="1188" w:type="dxa"/>
          </w:tcPr>
          <w:p w14:paraId="4F47D743" w14:textId="77777777" w:rsidR="004357B9" w:rsidRPr="00E07C9A" w:rsidRDefault="001452FC" w:rsidP="004357B9">
            <w:pPr>
              <w:rPr>
                <w:rFonts w:ascii="Times New Roman" w:hAnsi="Times New Roman"/>
                <w:sz w:val="24"/>
              </w:rPr>
            </w:pPr>
            <w:r w:rsidRPr="00E07C9A">
              <w:rPr>
                <w:rFonts w:ascii="Times New Roman" w:hAnsi="Times New Roman"/>
                <w:sz w:val="24"/>
              </w:rPr>
              <w:t>0120</w:t>
            </w:r>
          </w:p>
        </w:tc>
        <w:tc>
          <w:tcPr>
            <w:tcW w:w="8640" w:type="dxa"/>
          </w:tcPr>
          <w:p w14:paraId="121A02DA" w14:textId="0F64BD98" w:rsidR="004357B9" w:rsidRPr="00E07C9A" w:rsidRDefault="004357B9" w:rsidP="004357B9">
            <w:pPr>
              <w:rPr>
                <w:rFonts w:ascii="Times New Roman" w:hAnsi="Times New Roman"/>
                <w:b/>
                <w:sz w:val="24"/>
                <w:u w:val="single"/>
              </w:rPr>
            </w:pPr>
            <w:r w:rsidRPr="00E07C9A">
              <w:rPr>
                <w:rFonts w:ascii="Times New Roman" w:hAnsi="Times New Roman"/>
                <w:b/>
                <w:sz w:val="24"/>
                <w:u w:val="single"/>
              </w:rPr>
              <w:t>Z čoho:</w:t>
            </w:r>
            <w:r w:rsidR="009912F8" w:rsidRPr="00E07C9A">
              <w:rPr>
                <w:rFonts w:ascii="Times New Roman" w:hAnsi="Times New Roman"/>
                <w:b/>
                <w:sz w:val="24"/>
                <w:u w:val="single"/>
              </w:rPr>
              <w:t xml:space="preserve"> v </w:t>
            </w:r>
            <w:r w:rsidRPr="00E07C9A">
              <w:rPr>
                <w:rFonts w:ascii="Times New Roman" w:hAnsi="Times New Roman"/>
                <w:b/>
                <w:sz w:val="24"/>
                <w:u w:val="single"/>
              </w:rPr>
              <w:t>stave zlyhania</w:t>
            </w:r>
          </w:p>
          <w:p w14:paraId="0AEC330D" w14:textId="6E5BB371" w:rsidR="004357B9" w:rsidRPr="00E07C9A" w:rsidRDefault="004357B9" w:rsidP="00BB22D4">
            <w:pPr>
              <w:rPr>
                <w:rFonts w:ascii="Times New Roman" w:hAnsi="Times New Roman"/>
                <w:b/>
                <w:sz w:val="24"/>
                <w:u w:val="single"/>
              </w:rPr>
            </w:pPr>
            <w:r w:rsidRPr="00E07C9A">
              <w:rPr>
                <w:rStyle w:val="InstructionsTabelleText"/>
                <w:rFonts w:ascii="Times New Roman" w:hAnsi="Times New Roman"/>
                <w:sz w:val="24"/>
              </w:rPr>
              <w:t>Hodnota rizikovo váženej expozície pre tie expozície, ktoré sa klasifikovali ako „expozície</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stave zlyhania“ podľa článku 178 ods. 1</w:t>
            </w:r>
            <w:r w:rsidRPr="00E07C9A">
              <w:rPr>
                <w:rFonts w:ascii="Times New Roman" w:hAnsi="Times New Roman"/>
                <w:sz w:val="24"/>
              </w:rPr>
              <w:t xml:space="preserve"> nariadenia (EÚ) </w:t>
            </w:r>
            <w:r w:rsidR="009912F8" w:rsidRPr="00E07C9A">
              <w:rPr>
                <w:rFonts w:ascii="Times New Roman" w:hAnsi="Times New Roman"/>
                <w:sz w:val="24"/>
              </w:rPr>
              <w:t>č. 575/2013</w:t>
            </w:r>
            <w:r w:rsidRPr="00E07C9A">
              <w:rPr>
                <w:rFonts w:ascii="Times New Roman" w:hAnsi="Times New Roman"/>
                <w:sz w:val="24"/>
              </w:rPr>
              <w:t>.</w:t>
            </w:r>
          </w:p>
        </w:tc>
      </w:tr>
      <w:tr w:rsidR="0027034D" w:rsidRPr="00E07C9A" w14:paraId="59911B61" w14:textId="77777777" w:rsidTr="00672D2A">
        <w:tc>
          <w:tcPr>
            <w:tcW w:w="1188" w:type="dxa"/>
          </w:tcPr>
          <w:p w14:paraId="1C908170" w14:textId="77777777" w:rsidR="0027034D" w:rsidRPr="00E07C9A" w:rsidRDefault="001452FC" w:rsidP="0027034D">
            <w:pPr>
              <w:rPr>
                <w:rFonts w:ascii="Times New Roman" w:hAnsi="Times New Roman"/>
                <w:sz w:val="24"/>
              </w:rPr>
            </w:pPr>
            <w:r w:rsidRPr="00E07C9A">
              <w:rPr>
                <w:rFonts w:ascii="Times New Roman" w:hAnsi="Times New Roman"/>
                <w:sz w:val="24"/>
              </w:rPr>
              <w:t>0121</w:t>
            </w:r>
          </w:p>
        </w:tc>
        <w:tc>
          <w:tcPr>
            <w:tcW w:w="8640" w:type="dxa"/>
          </w:tcPr>
          <w:p w14:paraId="6EC25E55" w14:textId="77777777" w:rsidR="0027034D" w:rsidRPr="00E07C9A" w:rsidRDefault="0027034D" w:rsidP="0027034D">
            <w:pPr>
              <w:rPr>
                <w:rFonts w:ascii="Times New Roman" w:hAnsi="Times New Roman"/>
                <w:b/>
                <w:sz w:val="24"/>
                <w:u w:val="single"/>
              </w:rPr>
            </w:pPr>
            <w:r w:rsidRPr="00E07C9A">
              <w:rPr>
                <w:rFonts w:ascii="Times New Roman" w:hAnsi="Times New Roman"/>
                <w:b/>
                <w:sz w:val="24"/>
                <w:u w:val="single"/>
              </w:rPr>
              <w:t>(–) ÚPRAVA HODNOTY RIZIKOVO VÁŽENEJ EXPOZÍCIE VZHĽADOM NA FAKTOR NA PODPORU MSP</w:t>
            </w:r>
          </w:p>
          <w:p w14:paraId="31A9C902" w14:textId="77777777" w:rsidR="0027034D" w:rsidRPr="00E07C9A" w:rsidRDefault="0027034D" w:rsidP="0027034D">
            <w:pPr>
              <w:rPr>
                <w:rFonts w:ascii="Times New Roman" w:hAnsi="Times New Roman"/>
                <w:b/>
                <w:sz w:val="24"/>
                <w:u w:val="single"/>
              </w:rPr>
            </w:pPr>
            <w:r w:rsidRPr="00E07C9A">
              <w:rPr>
                <w:rStyle w:val="InstructionsTabelleText"/>
                <w:rFonts w:ascii="Times New Roman" w:hAnsi="Times New Roman"/>
                <w:sz w:val="24"/>
              </w:rPr>
              <w:t>Rovnaká definícia ako pre stĺpec 0256 vzoru CR IRB.</w:t>
            </w:r>
          </w:p>
        </w:tc>
      </w:tr>
      <w:tr w:rsidR="0027034D" w:rsidRPr="00E07C9A" w14:paraId="634A7F5F" w14:textId="77777777" w:rsidTr="00672D2A">
        <w:tc>
          <w:tcPr>
            <w:tcW w:w="1188" w:type="dxa"/>
          </w:tcPr>
          <w:p w14:paraId="2ED44749" w14:textId="77777777" w:rsidR="0027034D" w:rsidRPr="00E07C9A" w:rsidRDefault="001452FC" w:rsidP="0027034D">
            <w:pPr>
              <w:rPr>
                <w:rFonts w:ascii="Times New Roman" w:hAnsi="Times New Roman"/>
                <w:sz w:val="24"/>
              </w:rPr>
            </w:pPr>
            <w:r w:rsidRPr="00E07C9A">
              <w:rPr>
                <w:rFonts w:ascii="Times New Roman" w:hAnsi="Times New Roman"/>
                <w:sz w:val="24"/>
              </w:rPr>
              <w:t>0122</w:t>
            </w:r>
          </w:p>
        </w:tc>
        <w:tc>
          <w:tcPr>
            <w:tcW w:w="8640" w:type="dxa"/>
          </w:tcPr>
          <w:p w14:paraId="20BF7657" w14:textId="77777777" w:rsidR="0027034D" w:rsidRPr="00E07C9A" w:rsidRDefault="0027034D" w:rsidP="0027034D">
            <w:pPr>
              <w:rPr>
                <w:rFonts w:ascii="Times New Roman" w:hAnsi="Times New Roman"/>
                <w:b/>
                <w:sz w:val="24"/>
                <w:u w:val="single"/>
              </w:rPr>
            </w:pPr>
            <w:r w:rsidRPr="00E07C9A">
              <w:rPr>
                <w:rFonts w:ascii="Times New Roman" w:hAnsi="Times New Roman"/>
                <w:b/>
                <w:sz w:val="24"/>
                <w:u w:val="single"/>
              </w:rPr>
              <w:t>(–) ÚPRAVA HODNOTY RIZIKOVO VÁŽENEJ EXPOZÍCIE VZHĽADOM NA FAKTOR NA PODPORU INFRAŠTRUKTÚRY</w:t>
            </w:r>
          </w:p>
          <w:p w14:paraId="6C2BB1A2" w14:textId="77777777" w:rsidR="0027034D" w:rsidRPr="00E07C9A" w:rsidRDefault="0027034D" w:rsidP="0027034D">
            <w:pPr>
              <w:rPr>
                <w:rFonts w:ascii="Times New Roman" w:hAnsi="Times New Roman"/>
                <w:b/>
                <w:sz w:val="24"/>
                <w:u w:val="single"/>
              </w:rPr>
            </w:pPr>
            <w:r w:rsidRPr="00E07C9A">
              <w:rPr>
                <w:rStyle w:val="InstructionsTabelleText"/>
                <w:rFonts w:ascii="Times New Roman" w:hAnsi="Times New Roman"/>
                <w:sz w:val="24"/>
              </w:rPr>
              <w:t>Rovnaká definícia ako pre stĺpec 0257 vzoru CR IRB.</w:t>
            </w:r>
          </w:p>
        </w:tc>
      </w:tr>
      <w:tr w:rsidR="004357B9" w:rsidRPr="00E07C9A" w14:paraId="686CEE7C" w14:textId="77777777" w:rsidTr="00672D2A">
        <w:tc>
          <w:tcPr>
            <w:tcW w:w="1188" w:type="dxa"/>
          </w:tcPr>
          <w:p w14:paraId="3C055287" w14:textId="77777777" w:rsidR="004357B9" w:rsidRPr="00E07C9A" w:rsidRDefault="001452FC" w:rsidP="004357B9">
            <w:pPr>
              <w:rPr>
                <w:rFonts w:ascii="Times New Roman" w:hAnsi="Times New Roman"/>
                <w:sz w:val="24"/>
              </w:rPr>
            </w:pPr>
            <w:r w:rsidRPr="00E07C9A">
              <w:rPr>
                <w:rFonts w:ascii="Times New Roman" w:hAnsi="Times New Roman"/>
                <w:sz w:val="24"/>
              </w:rPr>
              <w:t>0125</w:t>
            </w:r>
          </w:p>
        </w:tc>
        <w:tc>
          <w:tcPr>
            <w:tcW w:w="8640" w:type="dxa"/>
          </w:tcPr>
          <w:p w14:paraId="333BD7EA" w14:textId="77777777" w:rsidR="004357B9" w:rsidRPr="00E07C9A" w:rsidRDefault="004357B9" w:rsidP="004357B9">
            <w:pPr>
              <w:rPr>
                <w:rFonts w:ascii="Times New Roman" w:hAnsi="Times New Roman"/>
                <w:b/>
                <w:sz w:val="24"/>
                <w:u w:val="single"/>
              </w:rPr>
            </w:pPr>
            <w:r w:rsidRPr="00E07C9A">
              <w:rPr>
                <w:rFonts w:ascii="Times New Roman" w:hAnsi="Times New Roman"/>
                <w:b/>
                <w:sz w:val="24"/>
                <w:u w:val="single"/>
              </w:rPr>
              <w:t>HODNOTA RIZIKOVO VÁŽENEJ EXPOZÍCIE PO UPLATNENÍ PODPORNÝCH FAKTOROV</w:t>
            </w:r>
          </w:p>
          <w:p w14:paraId="19D701CE" w14:textId="77777777" w:rsidR="004357B9" w:rsidRPr="00E07C9A" w:rsidRDefault="004357B9" w:rsidP="004357B9">
            <w:pPr>
              <w:rPr>
                <w:rFonts w:ascii="Times New Roman" w:hAnsi="Times New Roman"/>
                <w:b/>
                <w:sz w:val="24"/>
                <w:u w:val="single"/>
              </w:rPr>
            </w:pPr>
            <w:r w:rsidRPr="00E07C9A">
              <w:rPr>
                <w:rStyle w:val="InstructionsTabelleText"/>
                <w:rFonts w:ascii="Times New Roman" w:hAnsi="Times New Roman"/>
                <w:sz w:val="24"/>
              </w:rPr>
              <w:t>Rovnaká definícia ako pre stĺpec 0260 vzoru CR IRB.</w:t>
            </w:r>
          </w:p>
        </w:tc>
      </w:tr>
      <w:tr w:rsidR="004357B9" w:rsidRPr="00E07C9A" w14:paraId="7EA39DF3" w14:textId="77777777" w:rsidTr="00672D2A">
        <w:tc>
          <w:tcPr>
            <w:tcW w:w="1188" w:type="dxa"/>
          </w:tcPr>
          <w:p w14:paraId="36060328" w14:textId="77777777" w:rsidR="004357B9" w:rsidRPr="00E07C9A" w:rsidRDefault="001452FC" w:rsidP="004357B9">
            <w:pPr>
              <w:rPr>
                <w:rFonts w:ascii="Times New Roman" w:hAnsi="Times New Roman"/>
                <w:sz w:val="24"/>
              </w:rPr>
            </w:pPr>
            <w:r w:rsidRPr="00E07C9A">
              <w:rPr>
                <w:rFonts w:ascii="Times New Roman" w:hAnsi="Times New Roman"/>
                <w:sz w:val="24"/>
              </w:rPr>
              <w:t>0130</w:t>
            </w:r>
          </w:p>
        </w:tc>
        <w:tc>
          <w:tcPr>
            <w:tcW w:w="8640" w:type="dxa"/>
          </w:tcPr>
          <w:p w14:paraId="1FB3F5E4" w14:textId="77777777" w:rsidR="004357B9" w:rsidRPr="00E07C9A" w:rsidRDefault="004357B9" w:rsidP="004357B9">
            <w:pPr>
              <w:rPr>
                <w:rFonts w:ascii="Times New Roman" w:hAnsi="Times New Roman"/>
                <w:b/>
                <w:sz w:val="24"/>
                <w:u w:val="single"/>
              </w:rPr>
            </w:pPr>
            <w:r w:rsidRPr="00E07C9A">
              <w:rPr>
                <w:rFonts w:ascii="Times New Roman" w:hAnsi="Times New Roman"/>
                <w:b/>
                <w:sz w:val="24"/>
                <w:u w:val="single"/>
              </w:rPr>
              <w:t>VÝŠKA OČAKÁVANEJ STRATY</w:t>
            </w:r>
          </w:p>
          <w:p w14:paraId="55ECF5EE" w14:textId="77777777" w:rsidR="004357B9" w:rsidRPr="00E07C9A" w:rsidRDefault="004357B9" w:rsidP="004357B9">
            <w:pPr>
              <w:rPr>
                <w:rFonts w:ascii="Times New Roman" w:hAnsi="Times New Roman"/>
                <w:b/>
                <w:sz w:val="24"/>
                <w:u w:val="single"/>
              </w:rPr>
            </w:pPr>
            <w:r w:rsidRPr="00E07C9A">
              <w:rPr>
                <w:rStyle w:val="InstructionsTabelleText"/>
                <w:rFonts w:ascii="Times New Roman" w:hAnsi="Times New Roman"/>
                <w:sz w:val="24"/>
              </w:rPr>
              <w:t>Rovnaká definícia ako pre stĺpec 0280 vzoru CR IRB.</w:t>
            </w:r>
          </w:p>
        </w:tc>
      </w:tr>
    </w:tbl>
    <w:p w14:paraId="65EF6218" w14:textId="77777777" w:rsidR="004357B9" w:rsidRPr="00E07C9A" w:rsidRDefault="004357B9" w:rsidP="004357B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E07C9A" w14:paraId="49914FDA" w14:textId="77777777" w:rsidTr="00672D2A">
        <w:tc>
          <w:tcPr>
            <w:tcW w:w="1188" w:type="dxa"/>
            <w:shd w:val="clear" w:color="auto" w:fill="CCCCCC"/>
          </w:tcPr>
          <w:p w14:paraId="2B93256F" w14:textId="77777777" w:rsidR="004357B9" w:rsidRPr="00E07C9A" w:rsidRDefault="004357B9" w:rsidP="004357B9">
            <w:pPr>
              <w:rPr>
                <w:rFonts w:ascii="Times New Roman" w:hAnsi="Times New Roman"/>
                <w:b/>
                <w:sz w:val="24"/>
              </w:rPr>
            </w:pPr>
            <w:r w:rsidRPr="00E07C9A">
              <w:rPr>
                <w:rFonts w:ascii="Times New Roman" w:hAnsi="Times New Roman"/>
                <w:b/>
                <w:sz w:val="24"/>
              </w:rPr>
              <w:t>Riadky</w:t>
            </w:r>
          </w:p>
        </w:tc>
        <w:tc>
          <w:tcPr>
            <w:tcW w:w="8640" w:type="dxa"/>
            <w:shd w:val="clear" w:color="auto" w:fill="CCCCCC"/>
          </w:tcPr>
          <w:p w14:paraId="470FF0AF" w14:textId="77777777" w:rsidR="004357B9" w:rsidRPr="00E07C9A" w:rsidRDefault="004357B9" w:rsidP="004357B9">
            <w:pPr>
              <w:ind w:left="72"/>
              <w:rPr>
                <w:rFonts w:ascii="Times New Roman" w:hAnsi="Times New Roman"/>
                <w:sz w:val="24"/>
              </w:rPr>
            </w:pPr>
          </w:p>
        </w:tc>
      </w:tr>
      <w:tr w:rsidR="004357B9" w:rsidRPr="00E07C9A" w14:paraId="0097A57F" w14:textId="77777777" w:rsidTr="00672D2A">
        <w:tc>
          <w:tcPr>
            <w:tcW w:w="1188" w:type="dxa"/>
          </w:tcPr>
          <w:p w14:paraId="66B135B6" w14:textId="77777777" w:rsidR="004357B9" w:rsidRPr="00E07C9A" w:rsidRDefault="004357B9" w:rsidP="004357B9">
            <w:pPr>
              <w:rPr>
                <w:rFonts w:ascii="Times New Roman" w:hAnsi="Times New Roman"/>
                <w:sz w:val="24"/>
              </w:rPr>
            </w:pPr>
            <w:r w:rsidRPr="00E07C9A">
              <w:rPr>
                <w:rFonts w:ascii="Times New Roman" w:hAnsi="Times New Roman"/>
                <w:sz w:val="24"/>
              </w:rPr>
              <w:t>0010</w:t>
            </w:r>
          </w:p>
        </w:tc>
        <w:tc>
          <w:tcPr>
            <w:tcW w:w="8640" w:type="dxa"/>
          </w:tcPr>
          <w:p w14:paraId="507F5282" w14:textId="77777777" w:rsidR="009912F8" w:rsidRPr="00E07C9A" w:rsidRDefault="004357B9" w:rsidP="004357B9">
            <w:pPr>
              <w:rPr>
                <w:rFonts w:ascii="Times New Roman" w:hAnsi="Times New Roman"/>
                <w:b/>
                <w:sz w:val="24"/>
                <w:u w:val="single"/>
              </w:rPr>
            </w:pPr>
            <w:r w:rsidRPr="00E07C9A">
              <w:rPr>
                <w:rFonts w:ascii="Times New Roman" w:hAnsi="Times New Roman"/>
                <w:b/>
                <w:sz w:val="24"/>
                <w:u w:val="single"/>
              </w:rPr>
              <w:t>Ústredné vlády</w:t>
            </w:r>
            <w:r w:rsidR="009912F8" w:rsidRPr="00E07C9A">
              <w:rPr>
                <w:rFonts w:ascii="Times New Roman" w:hAnsi="Times New Roman"/>
                <w:b/>
                <w:sz w:val="24"/>
                <w:u w:val="single"/>
              </w:rPr>
              <w:t xml:space="preserve"> a </w:t>
            </w:r>
            <w:r w:rsidRPr="00E07C9A">
              <w:rPr>
                <w:rFonts w:ascii="Times New Roman" w:hAnsi="Times New Roman"/>
                <w:b/>
                <w:sz w:val="24"/>
                <w:u w:val="single"/>
              </w:rPr>
              <w:t>centrálne banky</w:t>
            </w:r>
          </w:p>
          <w:p w14:paraId="6E885E54" w14:textId="4835DFCC" w:rsidR="004357B9" w:rsidRPr="00E07C9A" w:rsidRDefault="004357B9" w:rsidP="000737D3">
            <w:pPr>
              <w:rPr>
                <w:rFonts w:ascii="Times New Roman" w:hAnsi="Times New Roman"/>
                <w:sz w:val="24"/>
              </w:rPr>
            </w:pPr>
            <w:r w:rsidRPr="00E07C9A">
              <w:rPr>
                <w:rFonts w:ascii="Times New Roman" w:hAnsi="Times New Roman"/>
                <w:sz w:val="24"/>
              </w:rPr>
              <w:t xml:space="preserve">Článok 147 ods. 2 písm. a) nariadenia (EÚ) </w:t>
            </w:r>
            <w:r w:rsidR="009912F8" w:rsidRPr="00E07C9A">
              <w:rPr>
                <w:rFonts w:ascii="Times New Roman" w:hAnsi="Times New Roman"/>
                <w:sz w:val="24"/>
              </w:rPr>
              <w:t>č. 575/2013</w:t>
            </w:r>
          </w:p>
        </w:tc>
      </w:tr>
      <w:tr w:rsidR="004357B9" w:rsidRPr="00E07C9A" w14:paraId="5A62B8F1" w14:textId="77777777" w:rsidTr="00672D2A">
        <w:tc>
          <w:tcPr>
            <w:tcW w:w="1188" w:type="dxa"/>
          </w:tcPr>
          <w:p w14:paraId="54B498AE" w14:textId="77777777" w:rsidR="004357B9" w:rsidRPr="00E07C9A" w:rsidRDefault="004357B9" w:rsidP="004357B9">
            <w:pPr>
              <w:rPr>
                <w:rFonts w:ascii="Times New Roman" w:hAnsi="Times New Roman"/>
                <w:sz w:val="24"/>
              </w:rPr>
            </w:pPr>
            <w:r w:rsidRPr="00E07C9A">
              <w:rPr>
                <w:rFonts w:ascii="Times New Roman" w:hAnsi="Times New Roman"/>
                <w:sz w:val="24"/>
              </w:rPr>
              <w:t>0020</w:t>
            </w:r>
          </w:p>
        </w:tc>
        <w:tc>
          <w:tcPr>
            <w:tcW w:w="8640" w:type="dxa"/>
          </w:tcPr>
          <w:p w14:paraId="2F52371C" w14:textId="77777777" w:rsidR="004357B9" w:rsidRPr="00E07C9A" w:rsidRDefault="004357B9" w:rsidP="004357B9">
            <w:pPr>
              <w:rPr>
                <w:rFonts w:ascii="Times New Roman" w:hAnsi="Times New Roman"/>
                <w:b/>
                <w:sz w:val="24"/>
                <w:u w:val="single"/>
              </w:rPr>
            </w:pPr>
            <w:r w:rsidRPr="00E07C9A">
              <w:rPr>
                <w:rFonts w:ascii="Times New Roman" w:hAnsi="Times New Roman"/>
                <w:b/>
                <w:sz w:val="24"/>
                <w:u w:val="single"/>
              </w:rPr>
              <w:t>Inštitúcie</w:t>
            </w:r>
          </w:p>
          <w:p w14:paraId="001901B2" w14:textId="45270DAE" w:rsidR="004357B9" w:rsidRPr="00E07C9A" w:rsidRDefault="000737D3" w:rsidP="00D21B29">
            <w:pPr>
              <w:rPr>
                <w:rFonts w:ascii="Times New Roman" w:hAnsi="Times New Roman"/>
                <w:sz w:val="24"/>
              </w:rPr>
            </w:pPr>
            <w:r w:rsidRPr="00E07C9A">
              <w:rPr>
                <w:rFonts w:ascii="Times New Roman" w:hAnsi="Times New Roman"/>
                <w:sz w:val="24"/>
              </w:rPr>
              <w:t xml:space="preserve">Článok 147 ods. 2 písm. b) nariadenia (EÚ) </w:t>
            </w:r>
            <w:r w:rsidR="009912F8" w:rsidRPr="00E07C9A">
              <w:rPr>
                <w:rFonts w:ascii="Times New Roman" w:hAnsi="Times New Roman"/>
                <w:sz w:val="24"/>
              </w:rPr>
              <w:t>č. 575/2013</w:t>
            </w:r>
          </w:p>
        </w:tc>
      </w:tr>
      <w:tr w:rsidR="004357B9" w:rsidRPr="00E07C9A" w14:paraId="2E6A6087" w14:textId="77777777" w:rsidTr="00672D2A">
        <w:tc>
          <w:tcPr>
            <w:tcW w:w="1188" w:type="dxa"/>
          </w:tcPr>
          <w:p w14:paraId="185DE6FF" w14:textId="77777777" w:rsidR="004357B9" w:rsidRPr="00E07C9A" w:rsidRDefault="004357B9" w:rsidP="004357B9">
            <w:pPr>
              <w:rPr>
                <w:rFonts w:ascii="Times New Roman" w:hAnsi="Times New Roman"/>
                <w:sz w:val="24"/>
              </w:rPr>
            </w:pPr>
            <w:r w:rsidRPr="00E07C9A">
              <w:rPr>
                <w:rFonts w:ascii="Times New Roman" w:hAnsi="Times New Roman"/>
                <w:sz w:val="24"/>
              </w:rPr>
              <w:t>0030</w:t>
            </w:r>
          </w:p>
        </w:tc>
        <w:tc>
          <w:tcPr>
            <w:tcW w:w="8640" w:type="dxa"/>
          </w:tcPr>
          <w:p w14:paraId="23371906" w14:textId="77777777" w:rsidR="009912F8" w:rsidRPr="00E07C9A" w:rsidRDefault="004357B9" w:rsidP="004357B9">
            <w:pPr>
              <w:rPr>
                <w:rFonts w:ascii="Times New Roman" w:hAnsi="Times New Roman"/>
                <w:b/>
                <w:sz w:val="24"/>
                <w:u w:val="single"/>
              </w:rPr>
            </w:pPr>
            <w:r w:rsidRPr="00E07C9A">
              <w:rPr>
                <w:rFonts w:ascii="Times New Roman" w:hAnsi="Times New Roman"/>
                <w:b/>
                <w:sz w:val="24"/>
                <w:u w:val="single"/>
              </w:rPr>
              <w:t>Podnikateľské subjekty</w:t>
            </w:r>
          </w:p>
          <w:p w14:paraId="1BE4AA6A" w14:textId="152F950A" w:rsidR="004357B9" w:rsidRPr="00E07C9A" w:rsidRDefault="004357B9" w:rsidP="003B2712">
            <w:pPr>
              <w:pStyle w:val="ListParagraph"/>
              <w:ind w:left="0"/>
              <w:rPr>
                <w:rFonts w:ascii="Times New Roman" w:hAnsi="Times New Roman"/>
                <w:sz w:val="24"/>
              </w:rPr>
            </w:pPr>
            <w:r w:rsidRPr="00E07C9A">
              <w:rPr>
                <w:rFonts w:ascii="Times New Roman" w:hAnsi="Times New Roman"/>
                <w:sz w:val="24"/>
              </w:rPr>
              <w:t>Všetky expozície voči podnikateľským subjektom uvedeným</w:t>
            </w:r>
            <w:r w:rsidR="009912F8" w:rsidRPr="00E07C9A">
              <w:rPr>
                <w:rFonts w:ascii="Times New Roman" w:hAnsi="Times New Roman"/>
                <w:sz w:val="24"/>
              </w:rPr>
              <w:t xml:space="preserve"> v </w:t>
            </w:r>
            <w:r w:rsidRPr="00E07C9A">
              <w:rPr>
                <w:rFonts w:ascii="Times New Roman" w:hAnsi="Times New Roman"/>
                <w:sz w:val="24"/>
              </w:rPr>
              <w:t xml:space="preserve">článku 147 ods. 2 písm. c) nariadenia (EÚ) </w:t>
            </w:r>
            <w:r w:rsidR="009912F8" w:rsidRPr="00E07C9A">
              <w:rPr>
                <w:rFonts w:ascii="Times New Roman" w:hAnsi="Times New Roman"/>
                <w:sz w:val="24"/>
              </w:rPr>
              <w:t>č. 575/2013</w:t>
            </w:r>
          </w:p>
        </w:tc>
      </w:tr>
      <w:tr w:rsidR="004357B9" w:rsidRPr="00E07C9A" w14:paraId="75440460" w14:textId="77777777" w:rsidTr="00672D2A">
        <w:tc>
          <w:tcPr>
            <w:tcW w:w="1188" w:type="dxa"/>
          </w:tcPr>
          <w:p w14:paraId="4205E17A" w14:textId="77777777" w:rsidR="004357B9" w:rsidRPr="00E07C9A" w:rsidRDefault="004357B9" w:rsidP="004357B9">
            <w:pPr>
              <w:rPr>
                <w:rFonts w:ascii="Times New Roman" w:hAnsi="Times New Roman"/>
                <w:sz w:val="24"/>
              </w:rPr>
            </w:pPr>
            <w:r w:rsidRPr="00E07C9A">
              <w:rPr>
                <w:rFonts w:ascii="Times New Roman" w:hAnsi="Times New Roman"/>
                <w:sz w:val="24"/>
              </w:rPr>
              <w:t>0042</w:t>
            </w:r>
          </w:p>
        </w:tc>
        <w:tc>
          <w:tcPr>
            <w:tcW w:w="8640" w:type="dxa"/>
          </w:tcPr>
          <w:p w14:paraId="76A7D544" w14:textId="1C295066" w:rsidR="004357B9" w:rsidRPr="00E07C9A" w:rsidRDefault="004357B9" w:rsidP="004357B9">
            <w:pPr>
              <w:rPr>
                <w:rFonts w:ascii="Times New Roman" w:hAnsi="Times New Roman"/>
                <w:b/>
                <w:sz w:val="24"/>
                <w:u w:val="single"/>
              </w:rPr>
            </w:pPr>
            <w:r w:rsidRPr="00E07C9A">
              <w:rPr>
                <w:rFonts w:ascii="Times New Roman" w:hAnsi="Times New Roman"/>
                <w:b/>
                <w:sz w:val="24"/>
                <w:u w:val="single"/>
              </w:rPr>
              <w:t>Z čoho: špecializované financovanie (okrem špecializovaného financovania, pri ktorom sa uplatňuje prístup spočívajúci</w:t>
            </w:r>
            <w:r w:rsidR="009912F8" w:rsidRPr="00E07C9A">
              <w:rPr>
                <w:rFonts w:ascii="Times New Roman" w:hAnsi="Times New Roman"/>
                <w:b/>
                <w:sz w:val="24"/>
                <w:u w:val="single"/>
              </w:rPr>
              <w:t xml:space="preserve"> v </w:t>
            </w:r>
            <w:r w:rsidRPr="00E07C9A">
              <w:rPr>
                <w:rFonts w:ascii="Times New Roman" w:hAnsi="Times New Roman"/>
                <w:b/>
                <w:sz w:val="24"/>
                <w:u w:val="single"/>
              </w:rPr>
              <w:t>zaradení)</w:t>
            </w:r>
          </w:p>
          <w:p w14:paraId="1FAD8AA4" w14:textId="7CA0BFE1" w:rsidR="004357B9" w:rsidRPr="00E07C9A" w:rsidRDefault="004357B9" w:rsidP="004357B9">
            <w:pPr>
              <w:pStyle w:val="ListParagraph"/>
              <w:ind w:left="0"/>
              <w:rPr>
                <w:rFonts w:ascii="Times New Roman" w:hAnsi="Times New Roman"/>
                <w:sz w:val="24"/>
              </w:rPr>
            </w:pPr>
            <w:r w:rsidRPr="00E07C9A">
              <w:rPr>
                <w:rFonts w:ascii="Times New Roman" w:hAnsi="Times New Roman"/>
                <w:sz w:val="24"/>
              </w:rPr>
              <w:t xml:space="preserve">Článok 147 ods. 8 písm. a) nariadenia (EÚ) </w:t>
            </w:r>
            <w:r w:rsidR="009912F8" w:rsidRPr="00E07C9A">
              <w:rPr>
                <w:rFonts w:ascii="Times New Roman" w:hAnsi="Times New Roman"/>
                <w:sz w:val="24"/>
              </w:rPr>
              <w:t>č. 575/2013</w:t>
            </w:r>
          </w:p>
          <w:p w14:paraId="5FAC6FA5" w14:textId="715E8EF3" w:rsidR="0042766A" w:rsidRPr="00E07C9A" w:rsidRDefault="0042766A" w:rsidP="009A4399">
            <w:pPr>
              <w:pStyle w:val="ListParagraph"/>
              <w:ind w:left="0"/>
              <w:rPr>
                <w:rFonts w:ascii="Times New Roman" w:hAnsi="Times New Roman"/>
                <w:sz w:val="24"/>
              </w:rPr>
            </w:pPr>
            <w:r w:rsidRPr="00E07C9A">
              <w:rPr>
                <w:rFonts w:ascii="Times New Roman" w:hAnsi="Times New Roman"/>
                <w:sz w:val="24"/>
              </w:rPr>
              <w:t xml:space="preserve">Údaje za expozície vo forme špecializovaného financovania podľa článku 153 ods. 5 nariadenia (EÚ) </w:t>
            </w:r>
            <w:r w:rsidR="009912F8" w:rsidRPr="00E07C9A">
              <w:rPr>
                <w:rFonts w:ascii="Times New Roman" w:hAnsi="Times New Roman"/>
                <w:sz w:val="24"/>
              </w:rPr>
              <w:t>č. 575/2013</w:t>
            </w:r>
            <w:r w:rsidRPr="00E07C9A">
              <w:rPr>
                <w:rFonts w:ascii="Times New Roman" w:hAnsi="Times New Roman"/>
                <w:sz w:val="24"/>
              </w:rPr>
              <w:t xml:space="preserve"> sa nevykazujú.</w:t>
            </w:r>
          </w:p>
        </w:tc>
      </w:tr>
      <w:tr w:rsidR="000E093A" w:rsidRPr="00E07C9A" w14:paraId="5410E89F" w14:textId="77777777" w:rsidTr="00672D2A">
        <w:tc>
          <w:tcPr>
            <w:tcW w:w="1188" w:type="dxa"/>
          </w:tcPr>
          <w:p w14:paraId="4D68C53E" w14:textId="77777777" w:rsidR="000E093A" w:rsidRPr="00E07C9A" w:rsidRDefault="000E093A" w:rsidP="004357B9">
            <w:pPr>
              <w:rPr>
                <w:rFonts w:ascii="Times New Roman" w:hAnsi="Times New Roman"/>
                <w:sz w:val="24"/>
              </w:rPr>
            </w:pPr>
            <w:r w:rsidRPr="00E07C9A">
              <w:rPr>
                <w:rFonts w:ascii="Times New Roman" w:hAnsi="Times New Roman"/>
                <w:sz w:val="24"/>
              </w:rPr>
              <w:t>0045</w:t>
            </w:r>
          </w:p>
        </w:tc>
        <w:tc>
          <w:tcPr>
            <w:tcW w:w="8640" w:type="dxa"/>
          </w:tcPr>
          <w:p w14:paraId="4763CACB" w14:textId="68F1468A" w:rsidR="000E093A" w:rsidRPr="00E07C9A" w:rsidRDefault="000E093A" w:rsidP="004357B9">
            <w:pPr>
              <w:rPr>
                <w:rFonts w:ascii="Times New Roman" w:hAnsi="Times New Roman"/>
                <w:b/>
                <w:sz w:val="24"/>
                <w:u w:val="single"/>
              </w:rPr>
            </w:pPr>
            <w:r w:rsidRPr="00E07C9A">
              <w:rPr>
                <w:rFonts w:ascii="Times New Roman" w:hAnsi="Times New Roman"/>
                <w:b/>
                <w:sz w:val="24"/>
                <w:u w:val="single"/>
              </w:rPr>
              <w:t>Z čoho: špecializované financovanie, pri ktorom sa uplatňuje prístup spočívajúci</w:t>
            </w:r>
            <w:r w:rsidR="009912F8" w:rsidRPr="00E07C9A">
              <w:rPr>
                <w:rFonts w:ascii="Times New Roman" w:hAnsi="Times New Roman"/>
                <w:b/>
                <w:sz w:val="24"/>
                <w:u w:val="single"/>
              </w:rPr>
              <w:t xml:space="preserve"> v </w:t>
            </w:r>
            <w:r w:rsidRPr="00E07C9A">
              <w:rPr>
                <w:rFonts w:ascii="Times New Roman" w:hAnsi="Times New Roman"/>
                <w:b/>
                <w:sz w:val="24"/>
                <w:u w:val="single"/>
              </w:rPr>
              <w:t>zaradení</w:t>
            </w:r>
          </w:p>
          <w:p w14:paraId="5A679D78" w14:textId="13C2F8F3" w:rsidR="000E093A" w:rsidRPr="00E07C9A" w:rsidRDefault="000E093A" w:rsidP="00D21B29">
            <w:pPr>
              <w:rPr>
                <w:rFonts w:ascii="Times New Roman" w:hAnsi="Times New Roman"/>
                <w:b/>
                <w:sz w:val="24"/>
                <w:u w:val="single"/>
              </w:rPr>
            </w:pPr>
            <w:r w:rsidRPr="00E07C9A">
              <w:rPr>
                <w:rFonts w:ascii="Times New Roman" w:hAnsi="Times New Roman"/>
                <w:sz w:val="24"/>
              </w:rPr>
              <w:t>Článok 147 ods. 8 písm. a)</w:t>
            </w:r>
            <w:r w:rsidR="009912F8" w:rsidRPr="00E07C9A">
              <w:rPr>
                <w:rFonts w:ascii="Times New Roman" w:hAnsi="Times New Roman"/>
                <w:sz w:val="24"/>
              </w:rPr>
              <w:t xml:space="preserve"> a </w:t>
            </w:r>
            <w:r w:rsidRPr="00E07C9A">
              <w:rPr>
                <w:rFonts w:ascii="Times New Roman" w:hAnsi="Times New Roman"/>
                <w:sz w:val="24"/>
              </w:rPr>
              <w:t xml:space="preserve">článok 153 ods. 5 nariadenia (EÚ) </w:t>
            </w:r>
            <w:r w:rsidR="009912F8" w:rsidRPr="00E07C9A">
              <w:rPr>
                <w:rFonts w:ascii="Times New Roman" w:hAnsi="Times New Roman"/>
                <w:sz w:val="24"/>
              </w:rPr>
              <w:t>č. 575/2013</w:t>
            </w:r>
          </w:p>
        </w:tc>
      </w:tr>
      <w:tr w:rsidR="004357B9" w:rsidRPr="00E07C9A" w14:paraId="6918FCA7" w14:textId="77777777" w:rsidTr="00672D2A">
        <w:tc>
          <w:tcPr>
            <w:tcW w:w="1188" w:type="dxa"/>
          </w:tcPr>
          <w:p w14:paraId="27B90869" w14:textId="77777777" w:rsidR="004357B9" w:rsidRPr="00E07C9A" w:rsidRDefault="004357B9" w:rsidP="004357B9">
            <w:pPr>
              <w:rPr>
                <w:rFonts w:ascii="Times New Roman" w:hAnsi="Times New Roman"/>
                <w:sz w:val="24"/>
              </w:rPr>
            </w:pPr>
            <w:r w:rsidRPr="00E07C9A">
              <w:rPr>
                <w:rFonts w:ascii="Times New Roman" w:hAnsi="Times New Roman"/>
                <w:sz w:val="24"/>
              </w:rPr>
              <w:t>0050</w:t>
            </w:r>
          </w:p>
        </w:tc>
        <w:tc>
          <w:tcPr>
            <w:tcW w:w="8640" w:type="dxa"/>
          </w:tcPr>
          <w:p w14:paraId="00846629" w14:textId="77777777" w:rsidR="004357B9" w:rsidRPr="00E07C9A" w:rsidRDefault="004357B9" w:rsidP="004357B9">
            <w:pPr>
              <w:rPr>
                <w:rFonts w:ascii="Times New Roman" w:hAnsi="Times New Roman"/>
                <w:b/>
                <w:sz w:val="24"/>
                <w:u w:val="single"/>
              </w:rPr>
            </w:pPr>
            <w:r w:rsidRPr="00E07C9A">
              <w:rPr>
                <w:rFonts w:ascii="Times New Roman" w:hAnsi="Times New Roman"/>
                <w:b/>
                <w:sz w:val="24"/>
                <w:u w:val="single"/>
              </w:rPr>
              <w:t>Z čoho: MSP</w:t>
            </w:r>
          </w:p>
          <w:p w14:paraId="724FE757" w14:textId="473EF376" w:rsidR="004357B9" w:rsidRPr="00E07C9A" w:rsidRDefault="000737D3" w:rsidP="00D21B29">
            <w:pPr>
              <w:pStyle w:val="ListParagraph"/>
              <w:ind w:left="0"/>
              <w:rPr>
                <w:rFonts w:ascii="Times New Roman" w:hAnsi="Times New Roman"/>
                <w:sz w:val="24"/>
              </w:rPr>
            </w:pPr>
            <w:r w:rsidRPr="00E07C9A">
              <w:rPr>
                <w:rFonts w:ascii="Times New Roman" w:hAnsi="Times New Roman"/>
                <w:sz w:val="24"/>
              </w:rPr>
              <w:t xml:space="preserve">Článok 147 ods. 2 písm. c) nariadenia (EÚ) </w:t>
            </w:r>
            <w:r w:rsidR="009912F8" w:rsidRPr="00E07C9A">
              <w:rPr>
                <w:rFonts w:ascii="Times New Roman" w:hAnsi="Times New Roman"/>
                <w:sz w:val="24"/>
              </w:rPr>
              <w:t>č. 575/2013</w:t>
            </w:r>
          </w:p>
          <w:p w14:paraId="7E6AFA80" w14:textId="35B267A4" w:rsidR="0027034D" w:rsidRPr="00E07C9A" w:rsidRDefault="0027034D" w:rsidP="009A4399">
            <w:pPr>
              <w:pStyle w:val="ListParagraph"/>
              <w:ind w:left="0"/>
              <w:rPr>
                <w:rFonts w:ascii="Times New Roman" w:hAnsi="Times New Roman"/>
                <w:sz w:val="24"/>
              </w:rPr>
            </w:pPr>
            <w:r w:rsidRPr="00E07C9A">
              <w:rPr>
                <w:rFonts w:ascii="Times New Roman" w:hAnsi="Times New Roman"/>
                <w:sz w:val="24"/>
              </w:rPr>
              <w:t>V rámci prístupu IRB používajú vykazujúce subjekty svoju internú definíciu MSP, ako sa uplatňuje</w:t>
            </w:r>
            <w:r w:rsidR="009912F8" w:rsidRPr="00E07C9A">
              <w:rPr>
                <w:rFonts w:ascii="Times New Roman" w:hAnsi="Times New Roman"/>
                <w:sz w:val="24"/>
              </w:rPr>
              <w:t xml:space="preserve"> v </w:t>
            </w:r>
            <w:r w:rsidRPr="00E07C9A">
              <w:rPr>
                <w:rFonts w:ascii="Times New Roman" w:hAnsi="Times New Roman"/>
                <w:sz w:val="24"/>
              </w:rPr>
              <w:t>interných procesoch riadenia rizík.</w:t>
            </w:r>
          </w:p>
        </w:tc>
      </w:tr>
      <w:tr w:rsidR="004357B9" w:rsidRPr="00E07C9A" w14:paraId="6AE52FED" w14:textId="77777777" w:rsidTr="00672D2A">
        <w:tc>
          <w:tcPr>
            <w:tcW w:w="1188" w:type="dxa"/>
          </w:tcPr>
          <w:p w14:paraId="7EA1921E" w14:textId="77777777" w:rsidR="004357B9" w:rsidRPr="00E07C9A" w:rsidRDefault="004357B9" w:rsidP="004357B9">
            <w:pPr>
              <w:rPr>
                <w:rFonts w:ascii="Times New Roman" w:hAnsi="Times New Roman"/>
                <w:sz w:val="24"/>
              </w:rPr>
            </w:pPr>
            <w:r w:rsidRPr="00E07C9A">
              <w:rPr>
                <w:rFonts w:ascii="Times New Roman" w:hAnsi="Times New Roman"/>
                <w:sz w:val="24"/>
              </w:rPr>
              <w:t>0060</w:t>
            </w:r>
          </w:p>
        </w:tc>
        <w:tc>
          <w:tcPr>
            <w:tcW w:w="8640" w:type="dxa"/>
          </w:tcPr>
          <w:p w14:paraId="176F87FB" w14:textId="77777777" w:rsidR="004357B9" w:rsidRPr="00E07C9A" w:rsidRDefault="004357B9" w:rsidP="004357B9">
            <w:pPr>
              <w:rPr>
                <w:rFonts w:ascii="Times New Roman" w:hAnsi="Times New Roman"/>
                <w:b/>
                <w:sz w:val="24"/>
                <w:u w:val="single"/>
              </w:rPr>
            </w:pPr>
            <w:r w:rsidRPr="00E07C9A">
              <w:rPr>
                <w:rFonts w:ascii="Times New Roman" w:hAnsi="Times New Roman"/>
                <w:b/>
                <w:sz w:val="24"/>
                <w:u w:val="single"/>
              </w:rPr>
              <w:t>Retailové subjekty</w:t>
            </w:r>
          </w:p>
          <w:p w14:paraId="2CC05E0F" w14:textId="3446044C" w:rsidR="004357B9" w:rsidRPr="00E07C9A" w:rsidRDefault="004357B9" w:rsidP="003B2712">
            <w:pPr>
              <w:rPr>
                <w:rFonts w:ascii="Times New Roman" w:hAnsi="Times New Roman"/>
                <w:sz w:val="24"/>
              </w:rPr>
            </w:pPr>
            <w:r w:rsidRPr="00E07C9A">
              <w:rPr>
                <w:rFonts w:ascii="Times New Roman" w:hAnsi="Times New Roman"/>
                <w:sz w:val="24"/>
              </w:rPr>
              <w:t>Všetky retailové expozície uvedené</w:t>
            </w:r>
            <w:r w:rsidR="009912F8" w:rsidRPr="00E07C9A">
              <w:rPr>
                <w:rFonts w:ascii="Times New Roman" w:hAnsi="Times New Roman"/>
                <w:sz w:val="24"/>
              </w:rPr>
              <w:t xml:space="preserve"> v </w:t>
            </w:r>
            <w:r w:rsidRPr="00E07C9A">
              <w:rPr>
                <w:rFonts w:ascii="Times New Roman" w:hAnsi="Times New Roman"/>
                <w:sz w:val="24"/>
              </w:rPr>
              <w:t xml:space="preserve">článku 147 ods. 2 písm. d) nariadenia (EÚ) </w:t>
            </w:r>
            <w:r w:rsidR="009912F8" w:rsidRPr="00E07C9A">
              <w:rPr>
                <w:rFonts w:ascii="Times New Roman" w:hAnsi="Times New Roman"/>
                <w:sz w:val="24"/>
              </w:rPr>
              <w:t>č. 575/2013</w:t>
            </w:r>
          </w:p>
        </w:tc>
      </w:tr>
      <w:tr w:rsidR="004357B9" w:rsidRPr="00E07C9A" w14:paraId="740D0AC8" w14:textId="77777777" w:rsidTr="00672D2A">
        <w:tc>
          <w:tcPr>
            <w:tcW w:w="1188" w:type="dxa"/>
          </w:tcPr>
          <w:p w14:paraId="756C8610" w14:textId="77777777" w:rsidR="004357B9" w:rsidRPr="00E07C9A" w:rsidRDefault="004357B9" w:rsidP="004357B9">
            <w:pPr>
              <w:rPr>
                <w:rFonts w:ascii="Times New Roman" w:hAnsi="Times New Roman"/>
                <w:sz w:val="24"/>
              </w:rPr>
            </w:pPr>
            <w:r w:rsidRPr="00E07C9A">
              <w:rPr>
                <w:rFonts w:ascii="Times New Roman" w:hAnsi="Times New Roman"/>
                <w:sz w:val="24"/>
              </w:rPr>
              <w:t>0070</w:t>
            </w:r>
          </w:p>
        </w:tc>
        <w:tc>
          <w:tcPr>
            <w:tcW w:w="8640" w:type="dxa"/>
          </w:tcPr>
          <w:p w14:paraId="5F601476" w14:textId="77777777" w:rsidR="004357B9" w:rsidRPr="00E07C9A" w:rsidRDefault="004357B9" w:rsidP="004357B9">
            <w:pPr>
              <w:rPr>
                <w:rFonts w:ascii="Times New Roman" w:hAnsi="Times New Roman"/>
                <w:b/>
                <w:sz w:val="24"/>
                <w:u w:val="single"/>
              </w:rPr>
            </w:pPr>
            <w:r w:rsidRPr="00E07C9A">
              <w:rPr>
                <w:rFonts w:ascii="Times New Roman" w:hAnsi="Times New Roman"/>
                <w:b/>
                <w:sz w:val="24"/>
                <w:u w:val="single"/>
              </w:rPr>
              <w:t>Retail – zabezpečené nehnuteľným majetkom</w:t>
            </w:r>
          </w:p>
          <w:p w14:paraId="03FDEE6E" w14:textId="43380257" w:rsidR="004357B9" w:rsidRPr="00E07C9A" w:rsidRDefault="003B2712" w:rsidP="00D21B29">
            <w:pPr>
              <w:pStyle w:val="ListParagraph"/>
              <w:ind w:left="0"/>
              <w:rPr>
                <w:rFonts w:ascii="Times New Roman" w:hAnsi="Times New Roman"/>
                <w:sz w:val="24"/>
              </w:rPr>
            </w:pPr>
            <w:r w:rsidRPr="00E07C9A">
              <w:rPr>
                <w:rFonts w:ascii="Times New Roman" w:hAnsi="Times New Roman"/>
                <w:sz w:val="24"/>
              </w:rPr>
              <w:t>Retailové expozície uvedené</w:t>
            </w:r>
            <w:r w:rsidR="009912F8" w:rsidRPr="00E07C9A">
              <w:rPr>
                <w:rFonts w:ascii="Times New Roman" w:hAnsi="Times New Roman"/>
                <w:sz w:val="24"/>
              </w:rPr>
              <w:t xml:space="preserve"> v </w:t>
            </w:r>
            <w:r w:rsidRPr="00E07C9A">
              <w:rPr>
                <w:rFonts w:ascii="Times New Roman" w:hAnsi="Times New Roman"/>
                <w:sz w:val="24"/>
              </w:rPr>
              <w:t xml:space="preserve">článku 147 ods. 2 písm. d) nariadenia (EÚ) </w:t>
            </w:r>
            <w:r w:rsidR="009912F8" w:rsidRPr="00E07C9A">
              <w:rPr>
                <w:rFonts w:ascii="Times New Roman" w:hAnsi="Times New Roman"/>
                <w:sz w:val="24"/>
              </w:rPr>
              <w:t>č. 575/2013</w:t>
            </w:r>
            <w:r w:rsidRPr="00E07C9A">
              <w:rPr>
                <w:rFonts w:ascii="Times New Roman" w:hAnsi="Times New Roman"/>
                <w:sz w:val="24"/>
              </w:rPr>
              <w:t>, ktoré sú zabezpečené nehnuteľnosťou</w:t>
            </w:r>
          </w:p>
          <w:p w14:paraId="3FB0933B" w14:textId="6F2A616C" w:rsidR="0027034D" w:rsidRPr="00E07C9A" w:rsidRDefault="0027034D" w:rsidP="00D21B29">
            <w:pPr>
              <w:pStyle w:val="ListParagraph"/>
              <w:ind w:left="0"/>
              <w:rPr>
                <w:rFonts w:ascii="Times New Roman" w:hAnsi="Times New Roman"/>
                <w:sz w:val="24"/>
              </w:rPr>
            </w:pPr>
            <w:r w:rsidRPr="00E07C9A">
              <w:rPr>
                <w:rFonts w:ascii="Times New Roman" w:hAnsi="Times New Roman"/>
                <w:sz w:val="24"/>
              </w:rPr>
              <w:t>Za retailové expozície zabezpečené nehnuteľným majetkom sa budú považovať akékoľvek retailové expozície zabezpečené kolaterálom vo forme nehnuteľného majetku,</w:t>
            </w:r>
            <w:r w:rsidR="009912F8" w:rsidRPr="00E07C9A">
              <w:rPr>
                <w:rFonts w:ascii="Times New Roman" w:hAnsi="Times New Roman"/>
                <w:sz w:val="24"/>
              </w:rPr>
              <w:t xml:space="preserve"> a </w:t>
            </w:r>
            <w:r w:rsidRPr="00E07C9A">
              <w:rPr>
                <w:rFonts w:ascii="Times New Roman" w:hAnsi="Times New Roman"/>
                <w:sz w:val="24"/>
              </w:rPr>
              <w:t>to bez ohľadu na pomer hodnoty kolaterálu</w:t>
            </w:r>
            <w:r w:rsidR="009912F8" w:rsidRPr="00E07C9A">
              <w:rPr>
                <w:rFonts w:ascii="Times New Roman" w:hAnsi="Times New Roman"/>
                <w:sz w:val="24"/>
              </w:rPr>
              <w:t xml:space="preserve"> k </w:t>
            </w:r>
            <w:r w:rsidRPr="00E07C9A">
              <w:rPr>
                <w:rFonts w:ascii="Times New Roman" w:hAnsi="Times New Roman"/>
                <w:sz w:val="24"/>
              </w:rPr>
              <w:t>expozícii alebo účelu úveru.</w:t>
            </w:r>
          </w:p>
        </w:tc>
      </w:tr>
      <w:tr w:rsidR="004357B9" w:rsidRPr="00E07C9A" w14:paraId="12FEAF36" w14:textId="77777777" w:rsidTr="00672D2A">
        <w:tc>
          <w:tcPr>
            <w:tcW w:w="1188" w:type="dxa"/>
          </w:tcPr>
          <w:p w14:paraId="33639E62" w14:textId="77777777" w:rsidR="004357B9" w:rsidRPr="00E07C9A" w:rsidRDefault="004357B9" w:rsidP="004357B9">
            <w:pPr>
              <w:rPr>
                <w:rFonts w:ascii="Times New Roman" w:hAnsi="Times New Roman"/>
                <w:sz w:val="24"/>
              </w:rPr>
            </w:pPr>
            <w:r w:rsidRPr="00E07C9A">
              <w:rPr>
                <w:rFonts w:ascii="Times New Roman" w:hAnsi="Times New Roman"/>
                <w:sz w:val="24"/>
              </w:rPr>
              <w:t>0080</w:t>
            </w:r>
          </w:p>
        </w:tc>
        <w:tc>
          <w:tcPr>
            <w:tcW w:w="8640" w:type="dxa"/>
          </w:tcPr>
          <w:p w14:paraId="0FBFD5AB" w14:textId="77777777" w:rsidR="004357B9" w:rsidRPr="00E07C9A" w:rsidRDefault="004357B9" w:rsidP="004357B9">
            <w:pPr>
              <w:rPr>
                <w:rFonts w:ascii="Times New Roman" w:hAnsi="Times New Roman"/>
                <w:b/>
                <w:sz w:val="24"/>
                <w:u w:val="single"/>
              </w:rPr>
            </w:pPr>
            <w:r w:rsidRPr="00E07C9A">
              <w:rPr>
                <w:rFonts w:ascii="Times New Roman" w:hAnsi="Times New Roman"/>
                <w:b/>
                <w:sz w:val="24"/>
                <w:u w:val="single"/>
              </w:rPr>
              <w:t>MSP</w:t>
            </w:r>
          </w:p>
          <w:p w14:paraId="4D74C036" w14:textId="670A4E59" w:rsidR="004357B9" w:rsidRPr="00E07C9A" w:rsidRDefault="004357B9" w:rsidP="00BD4E13">
            <w:pPr>
              <w:pStyle w:val="ListParagraph"/>
              <w:ind w:left="0"/>
              <w:rPr>
                <w:rFonts w:ascii="Times New Roman" w:hAnsi="Times New Roman"/>
                <w:sz w:val="24"/>
              </w:rPr>
            </w:pPr>
            <w:r w:rsidRPr="00E07C9A">
              <w:rPr>
                <w:rFonts w:ascii="Times New Roman" w:hAnsi="Times New Roman"/>
                <w:sz w:val="24"/>
              </w:rPr>
              <w:t>Retailové expozície uvedené</w:t>
            </w:r>
            <w:r w:rsidR="009912F8" w:rsidRPr="00E07C9A">
              <w:rPr>
                <w:rFonts w:ascii="Times New Roman" w:hAnsi="Times New Roman"/>
                <w:sz w:val="24"/>
              </w:rPr>
              <w:t xml:space="preserve"> v </w:t>
            </w:r>
            <w:r w:rsidRPr="00E07C9A">
              <w:rPr>
                <w:rFonts w:ascii="Times New Roman" w:hAnsi="Times New Roman"/>
                <w:sz w:val="24"/>
              </w:rPr>
              <w:t>článku 147 ods. 2 písm. d)</w:t>
            </w:r>
            <w:r w:rsidR="009912F8" w:rsidRPr="00E07C9A">
              <w:rPr>
                <w:rFonts w:ascii="Times New Roman" w:hAnsi="Times New Roman"/>
                <w:sz w:val="24"/>
              </w:rPr>
              <w:t xml:space="preserve"> a </w:t>
            </w:r>
            <w:r w:rsidRPr="00E07C9A">
              <w:rPr>
                <w:rFonts w:ascii="Times New Roman" w:hAnsi="Times New Roman"/>
                <w:sz w:val="24"/>
              </w:rPr>
              <w:t xml:space="preserve">článku 154 ods. 3 nariadenia (EÚ) </w:t>
            </w:r>
            <w:r w:rsidR="009912F8" w:rsidRPr="00E07C9A">
              <w:rPr>
                <w:rFonts w:ascii="Times New Roman" w:hAnsi="Times New Roman"/>
                <w:sz w:val="24"/>
              </w:rPr>
              <w:t>č. 575/2013</w:t>
            </w:r>
            <w:r w:rsidRPr="00E07C9A">
              <w:rPr>
                <w:rFonts w:ascii="Times New Roman" w:hAnsi="Times New Roman"/>
                <w:sz w:val="24"/>
              </w:rPr>
              <w:t>, ktoré sú zabezpečené nehnuteľnosťou</w:t>
            </w:r>
          </w:p>
        </w:tc>
      </w:tr>
      <w:tr w:rsidR="004357B9" w:rsidRPr="00E07C9A" w14:paraId="35F00526" w14:textId="77777777" w:rsidTr="00672D2A">
        <w:tc>
          <w:tcPr>
            <w:tcW w:w="1188" w:type="dxa"/>
          </w:tcPr>
          <w:p w14:paraId="4F946B0E" w14:textId="77777777" w:rsidR="004357B9" w:rsidRPr="00E07C9A" w:rsidRDefault="004357B9" w:rsidP="004357B9">
            <w:pPr>
              <w:rPr>
                <w:rFonts w:ascii="Times New Roman" w:hAnsi="Times New Roman"/>
                <w:sz w:val="24"/>
              </w:rPr>
            </w:pPr>
            <w:r w:rsidRPr="00E07C9A">
              <w:rPr>
                <w:rFonts w:ascii="Times New Roman" w:hAnsi="Times New Roman"/>
                <w:sz w:val="24"/>
              </w:rPr>
              <w:t>0090</w:t>
            </w:r>
          </w:p>
        </w:tc>
        <w:tc>
          <w:tcPr>
            <w:tcW w:w="8640" w:type="dxa"/>
          </w:tcPr>
          <w:p w14:paraId="0BDBDA05" w14:textId="77777777" w:rsidR="004357B9" w:rsidRPr="00E07C9A" w:rsidRDefault="004357B9" w:rsidP="004357B9">
            <w:pPr>
              <w:rPr>
                <w:rFonts w:ascii="Times New Roman" w:hAnsi="Times New Roman"/>
                <w:b/>
                <w:sz w:val="24"/>
                <w:u w:val="single"/>
              </w:rPr>
            </w:pPr>
            <w:r w:rsidRPr="00E07C9A">
              <w:rPr>
                <w:rFonts w:ascii="Times New Roman" w:hAnsi="Times New Roman"/>
                <w:b/>
                <w:sz w:val="24"/>
                <w:u w:val="single"/>
              </w:rPr>
              <w:t>Iné ako MSP</w:t>
            </w:r>
          </w:p>
          <w:p w14:paraId="0C47B4CE" w14:textId="0C1C0F62" w:rsidR="004357B9" w:rsidRPr="00E07C9A" w:rsidRDefault="004357B9" w:rsidP="003B2712">
            <w:pPr>
              <w:pStyle w:val="ListParagraph"/>
              <w:ind w:left="0"/>
              <w:rPr>
                <w:rFonts w:ascii="Times New Roman" w:hAnsi="Times New Roman"/>
                <w:sz w:val="24"/>
              </w:rPr>
            </w:pPr>
            <w:r w:rsidRPr="00E07C9A">
              <w:rPr>
                <w:rFonts w:ascii="Times New Roman" w:hAnsi="Times New Roman"/>
                <w:sz w:val="24"/>
              </w:rPr>
              <w:t>Retailové expozície uvedené</w:t>
            </w:r>
            <w:r w:rsidR="009912F8" w:rsidRPr="00E07C9A">
              <w:rPr>
                <w:rFonts w:ascii="Times New Roman" w:hAnsi="Times New Roman"/>
                <w:sz w:val="24"/>
              </w:rPr>
              <w:t xml:space="preserve"> v </w:t>
            </w:r>
            <w:r w:rsidRPr="00E07C9A">
              <w:rPr>
                <w:rFonts w:ascii="Times New Roman" w:hAnsi="Times New Roman"/>
                <w:sz w:val="24"/>
              </w:rPr>
              <w:t xml:space="preserve">článku 147 ods. 2 písm. d) nariadenia (EÚ) </w:t>
            </w:r>
            <w:r w:rsidR="009912F8" w:rsidRPr="00E07C9A">
              <w:rPr>
                <w:rFonts w:ascii="Times New Roman" w:hAnsi="Times New Roman"/>
                <w:sz w:val="24"/>
              </w:rPr>
              <w:t>č. 575/2013</w:t>
            </w:r>
            <w:r w:rsidRPr="00E07C9A">
              <w:rPr>
                <w:rFonts w:ascii="Times New Roman" w:hAnsi="Times New Roman"/>
                <w:sz w:val="24"/>
              </w:rPr>
              <w:t>, ktoré sú zabezpečené nehnuteľnosťou</w:t>
            </w:r>
          </w:p>
        </w:tc>
      </w:tr>
      <w:tr w:rsidR="004357B9" w:rsidRPr="00E07C9A" w14:paraId="47BD2939" w14:textId="77777777" w:rsidTr="00672D2A">
        <w:tc>
          <w:tcPr>
            <w:tcW w:w="1188" w:type="dxa"/>
          </w:tcPr>
          <w:p w14:paraId="54025320" w14:textId="77777777" w:rsidR="004357B9" w:rsidRPr="00E07C9A" w:rsidRDefault="001452FC" w:rsidP="004357B9">
            <w:pPr>
              <w:rPr>
                <w:rFonts w:ascii="Times New Roman" w:hAnsi="Times New Roman"/>
                <w:sz w:val="24"/>
              </w:rPr>
            </w:pPr>
            <w:r w:rsidRPr="00E07C9A">
              <w:rPr>
                <w:rFonts w:ascii="Times New Roman" w:hAnsi="Times New Roman"/>
                <w:sz w:val="24"/>
              </w:rPr>
              <w:t>0100</w:t>
            </w:r>
          </w:p>
        </w:tc>
        <w:tc>
          <w:tcPr>
            <w:tcW w:w="8640" w:type="dxa"/>
          </w:tcPr>
          <w:p w14:paraId="783BE809" w14:textId="77777777" w:rsidR="004357B9" w:rsidRPr="00E07C9A" w:rsidRDefault="004357B9" w:rsidP="004357B9">
            <w:pPr>
              <w:rPr>
                <w:rFonts w:ascii="Times New Roman" w:hAnsi="Times New Roman"/>
                <w:b/>
                <w:sz w:val="24"/>
                <w:u w:val="single"/>
              </w:rPr>
            </w:pPr>
            <w:r w:rsidRPr="00E07C9A">
              <w:rPr>
                <w:rFonts w:ascii="Times New Roman" w:hAnsi="Times New Roman"/>
                <w:b/>
                <w:sz w:val="24"/>
                <w:u w:val="single"/>
              </w:rPr>
              <w:t>Retail – kvalifikovaný revolving</w:t>
            </w:r>
          </w:p>
          <w:p w14:paraId="2D419350" w14:textId="6F76476F" w:rsidR="004357B9" w:rsidRPr="00E07C9A" w:rsidRDefault="003B2712" w:rsidP="00F811C6">
            <w:pPr>
              <w:pStyle w:val="ListParagraph"/>
              <w:ind w:left="0"/>
              <w:rPr>
                <w:rFonts w:ascii="Times New Roman" w:hAnsi="Times New Roman"/>
                <w:sz w:val="24"/>
              </w:rPr>
            </w:pPr>
            <w:r w:rsidRPr="00E07C9A">
              <w:rPr>
                <w:rFonts w:ascii="Times New Roman" w:hAnsi="Times New Roman"/>
                <w:sz w:val="24"/>
              </w:rPr>
              <w:t>Všetky retailové expozície uvedené</w:t>
            </w:r>
            <w:r w:rsidR="009912F8" w:rsidRPr="00E07C9A">
              <w:rPr>
                <w:rFonts w:ascii="Times New Roman" w:hAnsi="Times New Roman"/>
                <w:sz w:val="24"/>
              </w:rPr>
              <w:t xml:space="preserve"> v </w:t>
            </w:r>
            <w:r w:rsidRPr="00E07C9A">
              <w:rPr>
                <w:rFonts w:ascii="Times New Roman" w:hAnsi="Times New Roman"/>
                <w:sz w:val="24"/>
              </w:rPr>
              <w:t>článku 147 ods. 2 písm. d)</w:t>
            </w:r>
            <w:r w:rsidR="009912F8" w:rsidRPr="00E07C9A">
              <w:rPr>
                <w:rFonts w:ascii="Times New Roman" w:hAnsi="Times New Roman"/>
                <w:sz w:val="24"/>
              </w:rPr>
              <w:t xml:space="preserve"> v </w:t>
            </w:r>
            <w:r w:rsidRPr="00E07C9A">
              <w:rPr>
                <w:rFonts w:ascii="Times New Roman" w:hAnsi="Times New Roman"/>
                <w:sz w:val="24"/>
              </w:rPr>
              <w:t>spojení</w:t>
            </w:r>
            <w:r w:rsidR="009912F8" w:rsidRPr="00E07C9A">
              <w:rPr>
                <w:rFonts w:ascii="Times New Roman" w:hAnsi="Times New Roman"/>
                <w:sz w:val="24"/>
              </w:rPr>
              <w:t xml:space="preserve"> s </w:t>
            </w:r>
            <w:r w:rsidRPr="00E07C9A">
              <w:rPr>
                <w:rFonts w:ascii="Times New Roman" w:hAnsi="Times New Roman"/>
                <w:sz w:val="24"/>
              </w:rPr>
              <w:t xml:space="preserve">článkom 154 ods. 4 nariadenia (EÚ) </w:t>
            </w:r>
            <w:r w:rsidR="009912F8" w:rsidRPr="00E07C9A">
              <w:rPr>
                <w:rFonts w:ascii="Times New Roman" w:hAnsi="Times New Roman"/>
                <w:sz w:val="24"/>
              </w:rPr>
              <w:t>č. 575/2013</w:t>
            </w:r>
          </w:p>
        </w:tc>
      </w:tr>
      <w:tr w:rsidR="004357B9" w:rsidRPr="00E07C9A" w14:paraId="08B39773" w14:textId="77777777" w:rsidTr="00672D2A">
        <w:tc>
          <w:tcPr>
            <w:tcW w:w="1188" w:type="dxa"/>
          </w:tcPr>
          <w:p w14:paraId="3EE33C49" w14:textId="77777777" w:rsidR="004357B9" w:rsidRPr="00E07C9A" w:rsidRDefault="001452FC" w:rsidP="004357B9">
            <w:pPr>
              <w:rPr>
                <w:rFonts w:ascii="Times New Roman" w:hAnsi="Times New Roman"/>
                <w:sz w:val="24"/>
              </w:rPr>
            </w:pPr>
            <w:r w:rsidRPr="00E07C9A">
              <w:rPr>
                <w:rFonts w:ascii="Times New Roman" w:hAnsi="Times New Roman"/>
                <w:sz w:val="24"/>
              </w:rPr>
              <w:t>0110</w:t>
            </w:r>
          </w:p>
        </w:tc>
        <w:tc>
          <w:tcPr>
            <w:tcW w:w="8640" w:type="dxa"/>
          </w:tcPr>
          <w:p w14:paraId="2E8C886C" w14:textId="77777777" w:rsidR="004357B9" w:rsidRPr="00E07C9A" w:rsidRDefault="004357B9" w:rsidP="004357B9">
            <w:pPr>
              <w:rPr>
                <w:rFonts w:ascii="Times New Roman" w:hAnsi="Times New Roman"/>
                <w:b/>
                <w:sz w:val="24"/>
                <w:u w:val="single"/>
              </w:rPr>
            </w:pPr>
            <w:r w:rsidRPr="00E07C9A">
              <w:rPr>
                <w:rFonts w:ascii="Times New Roman" w:hAnsi="Times New Roman"/>
                <w:b/>
                <w:sz w:val="24"/>
                <w:u w:val="single"/>
              </w:rPr>
              <w:t>Iný retail</w:t>
            </w:r>
          </w:p>
          <w:p w14:paraId="605A7126" w14:textId="28D535D4" w:rsidR="004357B9" w:rsidRPr="00E07C9A" w:rsidRDefault="004357B9" w:rsidP="003B2712">
            <w:pPr>
              <w:pStyle w:val="ListParagraph"/>
              <w:ind w:left="0"/>
              <w:rPr>
                <w:rFonts w:ascii="Times New Roman" w:hAnsi="Times New Roman"/>
                <w:sz w:val="24"/>
              </w:rPr>
            </w:pPr>
            <w:r w:rsidRPr="00E07C9A">
              <w:rPr>
                <w:rFonts w:ascii="Times New Roman" w:hAnsi="Times New Roman"/>
                <w:sz w:val="24"/>
              </w:rPr>
              <w:t>Iné retailové expozície uvedené</w:t>
            </w:r>
            <w:r w:rsidR="009912F8" w:rsidRPr="00E07C9A">
              <w:rPr>
                <w:rFonts w:ascii="Times New Roman" w:hAnsi="Times New Roman"/>
                <w:sz w:val="24"/>
              </w:rPr>
              <w:t xml:space="preserve"> v </w:t>
            </w:r>
            <w:r w:rsidRPr="00E07C9A">
              <w:rPr>
                <w:rFonts w:ascii="Times New Roman" w:hAnsi="Times New Roman"/>
                <w:sz w:val="24"/>
              </w:rPr>
              <w:t xml:space="preserve">článku 147 ods. 2 písm. d) nariadenia (EÚ) </w:t>
            </w:r>
            <w:r w:rsidR="009912F8" w:rsidRPr="00E07C9A">
              <w:rPr>
                <w:rFonts w:ascii="Times New Roman" w:hAnsi="Times New Roman"/>
                <w:sz w:val="24"/>
              </w:rPr>
              <w:t>č. 575/2013</w:t>
            </w:r>
            <w:r w:rsidRPr="00E07C9A">
              <w:rPr>
                <w:rFonts w:ascii="Times New Roman" w:hAnsi="Times New Roman"/>
                <w:sz w:val="24"/>
              </w:rPr>
              <w:t>, ktoré nie sú vykázané</w:t>
            </w:r>
            <w:r w:rsidR="009912F8" w:rsidRPr="00E07C9A">
              <w:rPr>
                <w:rFonts w:ascii="Times New Roman" w:hAnsi="Times New Roman"/>
                <w:sz w:val="24"/>
              </w:rPr>
              <w:t xml:space="preserve"> v </w:t>
            </w:r>
            <w:r w:rsidRPr="00E07C9A">
              <w:rPr>
                <w:rFonts w:ascii="Times New Roman" w:hAnsi="Times New Roman"/>
                <w:sz w:val="24"/>
              </w:rPr>
              <w:t>riadkoch 0070 – 0100</w:t>
            </w:r>
          </w:p>
        </w:tc>
      </w:tr>
      <w:tr w:rsidR="004357B9" w:rsidRPr="00E07C9A" w14:paraId="7273BA72" w14:textId="77777777" w:rsidTr="00672D2A">
        <w:tc>
          <w:tcPr>
            <w:tcW w:w="1188" w:type="dxa"/>
          </w:tcPr>
          <w:p w14:paraId="6CC5C5AE" w14:textId="77777777" w:rsidR="004357B9" w:rsidRPr="00E07C9A" w:rsidRDefault="001452FC" w:rsidP="004357B9">
            <w:pPr>
              <w:rPr>
                <w:rFonts w:ascii="Times New Roman" w:hAnsi="Times New Roman"/>
                <w:sz w:val="24"/>
              </w:rPr>
            </w:pPr>
            <w:r w:rsidRPr="00E07C9A">
              <w:rPr>
                <w:rFonts w:ascii="Times New Roman" w:hAnsi="Times New Roman"/>
                <w:sz w:val="24"/>
              </w:rPr>
              <w:t>0120</w:t>
            </w:r>
          </w:p>
        </w:tc>
        <w:tc>
          <w:tcPr>
            <w:tcW w:w="8640" w:type="dxa"/>
          </w:tcPr>
          <w:p w14:paraId="7A3D992C" w14:textId="77777777" w:rsidR="004357B9" w:rsidRPr="00E07C9A" w:rsidRDefault="004357B9" w:rsidP="004357B9">
            <w:pPr>
              <w:rPr>
                <w:rFonts w:ascii="Times New Roman" w:hAnsi="Times New Roman"/>
                <w:b/>
                <w:sz w:val="24"/>
                <w:u w:val="single"/>
              </w:rPr>
            </w:pPr>
            <w:r w:rsidRPr="00E07C9A">
              <w:rPr>
                <w:rFonts w:ascii="Times New Roman" w:hAnsi="Times New Roman"/>
                <w:b/>
                <w:sz w:val="24"/>
                <w:u w:val="single"/>
              </w:rPr>
              <w:t>MSP</w:t>
            </w:r>
          </w:p>
          <w:p w14:paraId="282A1BA8" w14:textId="197067FD" w:rsidR="004357B9" w:rsidRPr="00E07C9A" w:rsidRDefault="004357B9" w:rsidP="0024244E">
            <w:pPr>
              <w:pStyle w:val="ListParagraph"/>
              <w:ind w:left="0"/>
              <w:rPr>
                <w:rFonts w:ascii="Times New Roman" w:hAnsi="Times New Roman"/>
                <w:sz w:val="24"/>
              </w:rPr>
            </w:pPr>
            <w:r w:rsidRPr="00E07C9A">
              <w:rPr>
                <w:rFonts w:ascii="Times New Roman" w:hAnsi="Times New Roman"/>
                <w:sz w:val="24"/>
              </w:rPr>
              <w:t>Iné retailové expozície voči MSP uvedené</w:t>
            </w:r>
            <w:r w:rsidR="009912F8" w:rsidRPr="00E07C9A">
              <w:rPr>
                <w:rFonts w:ascii="Times New Roman" w:hAnsi="Times New Roman"/>
                <w:sz w:val="24"/>
              </w:rPr>
              <w:t xml:space="preserve"> v </w:t>
            </w:r>
            <w:r w:rsidRPr="00E07C9A">
              <w:rPr>
                <w:rFonts w:ascii="Times New Roman" w:hAnsi="Times New Roman"/>
                <w:sz w:val="24"/>
              </w:rPr>
              <w:t xml:space="preserve">článku 147 ods. 2 písm. d) nariadenia (EÚ) </w:t>
            </w:r>
            <w:r w:rsidR="009912F8" w:rsidRPr="00E07C9A">
              <w:rPr>
                <w:rFonts w:ascii="Times New Roman" w:hAnsi="Times New Roman"/>
                <w:sz w:val="24"/>
              </w:rPr>
              <w:t>č. 575/2013</w:t>
            </w:r>
          </w:p>
        </w:tc>
      </w:tr>
      <w:tr w:rsidR="004357B9" w:rsidRPr="00E07C9A" w14:paraId="455EB9DB" w14:textId="77777777" w:rsidTr="00672D2A">
        <w:tc>
          <w:tcPr>
            <w:tcW w:w="1188" w:type="dxa"/>
          </w:tcPr>
          <w:p w14:paraId="5CC48D04" w14:textId="77777777" w:rsidR="004357B9" w:rsidRPr="00E07C9A" w:rsidRDefault="001452FC" w:rsidP="004357B9">
            <w:pPr>
              <w:rPr>
                <w:rFonts w:ascii="Times New Roman" w:hAnsi="Times New Roman"/>
                <w:sz w:val="24"/>
              </w:rPr>
            </w:pPr>
            <w:r w:rsidRPr="00E07C9A">
              <w:rPr>
                <w:rFonts w:ascii="Times New Roman" w:hAnsi="Times New Roman"/>
                <w:sz w:val="24"/>
              </w:rPr>
              <w:t>0130</w:t>
            </w:r>
          </w:p>
        </w:tc>
        <w:tc>
          <w:tcPr>
            <w:tcW w:w="8640" w:type="dxa"/>
          </w:tcPr>
          <w:p w14:paraId="7B62B7FA" w14:textId="77777777" w:rsidR="004357B9" w:rsidRPr="00E07C9A" w:rsidRDefault="004357B9" w:rsidP="004357B9">
            <w:pPr>
              <w:rPr>
                <w:rFonts w:ascii="Times New Roman" w:hAnsi="Times New Roman"/>
                <w:b/>
                <w:sz w:val="24"/>
                <w:u w:val="single"/>
              </w:rPr>
            </w:pPr>
            <w:r w:rsidRPr="00E07C9A">
              <w:rPr>
                <w:rFonts w:ascii="Times New Roman" w:hAnsi="Times New Roman"/>
                <w:b/>
                <w:sz w:val="24"/>
                <w:u w:val="single"/>
              </w:rPr>
              <w:t>Iné ako MSP</w:t>
            </w:r>
          </w:p>
          <w:p w14:paraId="1538F6BF" w14:textId="4E3DEDF4" w:rsidR="004357B9" w:rsidRPr="00E07C9A" w:rsidRDefault="004357B9" w:rsidP="00DF4FF2">
            <w:pPr>
              <w:rPr>
                <w:rFonts w:ascii="Times New Roman" w:hAnsi="Times New Roman"/>
                <w:sz w:val="24"/>
              </w:rPr>
            </w:pPr>
            <w:r w:rsidRPr="00E07C9A">
              <w:rPr>
                <w:rFonts w:ascii="Times New Roman" w:hAnsi="Times New Roman"/>
                <w:sz w:val="24"/>
              </w:rPr>
              <w:t>Iné retailové expozície voči fyzickým osobám uvedené</w:t>
            </w:r>
            <w:r w:rsidR="009912F8" w:rsidRPr="00E07C9A">
              <w:rPr>
                <w:rFonts w:ascii="Times New Roman" w:hAnsi="Times New Roman"/>
                <w:sz w:val="24"/>
              </w:rPr>
              <w:t xml:space="preserve"> v </w:t>
            </w:r>
            <w:r w:rsidRPr="00E07C9A">
              <w:rPr>
                <w:rFonts w:ascii="Times New Roman" w:hAnsi="Times New Roman"/>
                <w:sz w:val="24"/>
              </w:rPr>
              <w:t xml:space="preserve">článku 147 ods. 2 písm. d) nariadenia (EÚ) </w:t>
            </w:r>
            <w:r w:rsidR="009912F8" w:rsidRPr="00E07C9A">
              <w:rPr>
                <w:rFonts w:ascii="Times New Roman" w:hAnsi="Times New Roman"/>
                <w:sz w:val="24"/>
              </w:rPr>
              <w:t>č. 575/2013</w:t>
            </w:r>
          </w:p>
        </w:tc>
      </w:tr>
      <w:bookmarkEnd w:id="366"/>
      <w:tr w:rsidR="004357B9" w:rsidRPr="00E07C9A" w14:paraId="39509267" w14:textId="77777777" w:rsidTr="00672D2A">
        <w:tc>
          <w:tcPr>
            <w:tcW w:w="1188" w:type="dxa"/>
            <w:tcBorders>
              <w:top w:val="single" w:sz="4" w:space="0" w:color="auto"/>
              <w:left w:val="single" w:sz="4" w:space="0" w:color="auto"/>
              <w:bottom w:val="single" w:sz="4" w:space="0" w:color="auto"/>
              <w:right w:val="single" w:sz="4" w:space="0" w:color="auto"/>
            </w:tcBorders>
          </w:tcPr>
          <w:p w14:paraId="5E0CD070" w14:textId="77777777" w:rsidR="004357B9" w:rsidRPr="00E07C9A" w:rsidRDefault="001452FC" w:rsidP="004357B9">
            <w:pPr>
              <w:rPr>
                <w:rFonts w:ascii="Times New Roman" w:hAnsi="Times New Roman"/>
                <w:sz w:val="24"/>
              </w:rPr>
            </w:pPr>
            <w:r w:rsidRPr="00E07C9A">
              <w:rPr>
                <w:rFonts w:ascii="Times New Roman" w:hAnsi="Times New Roman"/>
                <w:sz w:val="24"/>
              </w:rPr>
              <w:t>0140</w:t>
            </w:r>
          </w:p>
        </w:tc>
        <w:tc>
          <w:tcPr>
            <w:tcW w:w="8640" w:type="dxa"/>
            <w:tcBorders>
              <w:top w:val="single" w:sz="4" w:space="0" w:color="auto"/>
              <w:left w:val="single" w:sz="4" w:space="0" w:color="auto"/>
              <w:bottom w:val="single" w:sz="4" w:space="0" w:color="auto"/>
              <w:right w:val="single" w:sz="4" w:space="0" w:color="auto"/>
            </w:tcBorders>
          </w:tcPr>
          <w:p w14:paraId="2CA53646" w14:textId="77777777" w:rsidR="004357B9" w:rsidRPr="00E07C9A" w:rsidRDefault="004357B9" w:rsidP="004357B9">
            <w:pPr>
              <w:rPr>
                <w:rFonts w:ascii="Times New Roman" w:hAnsi="Times New Roman"/>
                <w:b/>
                <w:sz w:val="24"/>
                <w:u w:val="single"/>
              </w:rPr>
            </w:pPr>
            <w:r w:rsidRPr="00E07C9A">
              <w:rPr>
                <w:rFonts w:ascii="Times New Roman" w:hAnsi="Times New Roman"/>
                <w:b/>
                <w:sz w:val="24"/>
                <w:u w:val="single"/>
              </w:rPr>
              <w:t>Vlastné imanie</w:t>
            </w:r>
          </w:p>
          <w:p w14:paraId="591FF03F" w14:textId="6472D1E2" w:rsidR="004357B9" w:rsidRPr="00E07C9A" w:rsidRDefault="004357B9" w:rsidP="00DF4FF2">
            <w:pPr>
              <w:rPr>
                <w:rFonts w:ascii="Times New Roman" w:hAnsi="Times New Roman"/>
                <w:b/>
                <w:sz w:val="24"/>
                <w:u w:val="single"/>
              </w:rPr>
            </w:pPr>
            <w:r w:rsidRPr="00E07C9A">
              <w:rPr>
                <w:rFonts w:ascii="Times New Roman" w:hAnsi="Times New Roman"/>
                <w:sz w:val="24"/>
              </w:rPr>
              <w:t>Kapitálové expozície uvedené</w:t>
            </w:r>
            <w:r w:rsidR="009912F8" w:rsidRPr="00E07C9A">
              <w:rPr>
                <w:rFonts w:ascii="Times New Roman" w:hAnsi="Times New Roman"/>
                <w:sz w:val="24"/>
              </w:rPr>
              <w:t xml:space="preserve"> v </w:t>
            </w:r>
            <w:r w:rsidRPr="00E07C9A">
              <w:rPr>
                <w:rFonts w:ascii="Times New Roman" w:hAnsi="Times New Roman"/>
                <w:sz w:val="24"/>
              </w:rPr>
              <w:t xml:space="preserve">článku 147 ods. 2 písm. e) nariadenia (EÚ) </w:t>
            </w:r>
            <w:r w:rsidR="009912F8" w:rsidRPr="00E07C9A">
              <w:rPr>
                <w:rFonts w:ascii="Times New Roman" w:hAnsi="Times New Roman"/>
                <w:sz w:val="24"/>
              </w:rPr>
              <w:t>č. 575/2013</w:t>
            </w:r>
          </w:p>
        </w:tc>
      </w:tr>
      <w:tr w:rsidR="007A49AC" w:rsidRPr="00E07C9A" w14:paraId="4621F14F" w14:textId="77777777" w:rsidTr="00672D2A">
        <w:tc>
          <w:tcPr>
            <w:tcW w:w="1188" w:type="dxa"/>
            <w:tcBorders>
              <w:top w:val="single" w:sz="4" w:space="0" w:color="auto"/>
              <w:left w:val="single" w:sz="4" w:space="0" w:color="auto"/>
              <w:bottom w:val="single" w:sz="4" w:space="0" w:color="auto"/>
              <w:right w:val="single" w:sz="4" w:space="0" w:color="auto"/>
            </w:tcBorders>
          </w:tcPr>
          <w:p w14:paraId="630D5A60" w14:textId="77777777" w:rsidR="007A49AC" w:rsidRPr="00E07C9A" w:rsidRDefault="001452FC" w:rsidP="004357B9">
            <w:pPr>
              <w:rPr>
                <w:rFonts w:ascii="Times New Roman" w:hAnsi="Times New Roman"/>
                <w:sz w:val="24"/>
              </w:rPr>
            </w:pPr>
            <w:r w:rsidRPr="00E07C9A">
              <w:rPr>
                <w:rFonts w:ascii="Times New Roman" w:hAnsi="Times New Roman"/>
                <w:sz w:val="24"/>
              </w:rPr>
              <w:t>0150</w:t>
            </w:r>
          </w:p>
        </w:tc>
        <w:tc>
          <w:tcPr>
            <w:tcW w:w="8640" w:type="dxa"/>
            <w:tcBorders>
              <w:top w:val="single" w:sz="4" w:space="0" w:color="auto"/>
              <w:left w:val="single" w:sz="4" w:space="0" w:color="auto"/>
              <w:bottom w:val="single" w:sz="4" w:space="0" w:color="auto"/>
              <w:right w:val="single" w:sz="4" w:space="0" w:color="auto"/>
            </w:tcBorders>
          </w:tcPr>
          <w:p w14:paraId="1250F05E" w14:textId="77777777" w:rsidR="007A49AC" w:rsidRPr="00E07C9A" w:rsidRDefault="007A49AC" w:rsidP="00A779E9">
            <w:pPr>
              <w:rPr>
                <w:rFonts w:ascii="Times New Roman" w:hAnsi="Times New Roman"/>
                <w:b/>
                <w:sz w:val="24"/>
                <w:u w:val="single"/>
              </w:rPr>
            </w:pPr>
            <w:r w:rsidRPr="00E07C9A">
              <w:rPr>
                <w:rFonts w:ascii="Times New Roman" w:hAnsi="Times New Roman"/>
                <w:b/>
                <w:sz w:val="24"/>
                <w:u w:val="single"/>
              </w:rPr>
              <w:t>Celkové expozície</w:t>
            </w:r>
          </w:p>
        </w:tc>
      </w:tr>
    </w:tbl>
    <w:p w14:paraId="1F332F28" w14:textId="77777777" w:rsidR="004357B9" w:rsidRPr="00E07C9A" w:rsidRDefault="004357B9" w:rsidP="004357B9">
      <w:pPr>
        <w:spacing w:before="0" w:after="200" w:line="312" w:lineRule="auto"/>
        <w:jc w:val="left"/>
        <w:rPr>
          <w:rFonts w:ascii="Times New Roman" w:hAnsi="Times New Roman"/>
          <w:sz w:val="24"/>
        </w:rPr>
      </w:pPr>
    </w:p>
    <w:p w14:paraId="09A4C1A4" w14:textId="247BDD09" w:rsidR="004357B9" w:rsidRPr="00E07C9A" w:rsidRDefault="00125707" w:rsidP="0023700C">
      <w:pPr>
        <w:pStyle w:val="Instructionsberschrift2"/>
        <w:numPr>
          <w:ilvl w:val="0"/>
          <w:numId w:val="0"/>
        </w:numPr>
        <w:ind w:left="357" w:hanging="357"/>
        <w:rPr>
          <w:rFonts w:ascii="Times New Roman" w:hAnsi="Times New Roman" w:cs="Times New Roman"/>
          <w:sz w:val="24"/>
        </w:rPr>
      </w:pPr>
      <w:bookmarkStart w:id="373" w:name="_Toc360188366"/>
      <w:bookmarkStart w:id="374" w:name="_Toc473560917"/>
      <w:bookmarkStart w:id="375" w:name="_Toc115857814"/>
      <w:r w:rsidRPr="00E07C9A">
        <w:rPr>
          <w:rFonts w:ascii="Times New Roman" w:hAnsi="Times New Roman" w:cs="Times New Roman"/>
          <w:sz w:val="24"/>
          <w:u w:val="none"/>
        </w:rPr>
        <w:t>3.4.3.</w:t>
      </w:r>
      <w:r w:rsidRPr="00E07C9A">
        <w:rPr>
          <w:rFonts w:ascii="Times New Roman" w:hAnsi="Times New Roman" w:cs="Times New Roman"/>
        </w:rPr>
        <w:tab/>
      </w:r>
      <w:r w:rsidRPr="00E07C9A">
        <w:rPr>
          <w:rFonts w:ascii="Times New Roman" w:hAnsi="Times New Roman" w:cs="Times New Roman"/>
          <w:sz w:val="24"/>
        </w:rPr>
        <w:t>C 09.04 – Rozčlenenie expozícií voči kreditnému riziku relevantných pre výpočet proticyklického vankúša podľa krajín</w:t>
      </w:r>
      <w:r w:rsidR="009912F8" w:rsidRPr="00E07C9A">
        <w:rPr>
          <w:rFonts w:ascii="Times New Roman" w:hAnsi="Times New Roman" w:cs="Times New Roman"/>
          <w:sz w:val="24"/>
        </w:rPr>
        <w:t xml:space="preserve"> a </w:t>
      </w:r>
      <w:r w:rsidRPr="00E07C9A">
        <w:rPr>
          <w:rFonts w:ascii="Times New Roman" w:hAnsi="Times New Roman" w:cs="Times New Roman"/>
          <w:sz w:val="24"/>
        </w:rPr>
        <w:t xml:space="preserve">miery proticyklického vankúša špecifického pre inštitúciu </w:t>
      </w:r>
      <w:bookmarkEnd w:id="373"/>
      <w:r w:rsidRPr="00E07C9A">
        <w:rPr>
          <w:rFonts w:ascii="Times New Roman" w:hAnsi="Times New Roman" w:cs="Times New Roman"/>
          <w:sz w:val="24"/>
        </w:rPr>
        <w:t>(CCB)</w:t>
      </w:r>
      <w:bookmarkEnd w:id="374"/>
      <w:bookmarkEnd w:id="375"/>
    </w:p>
    <w:p w14:paraId="10A55539" w14:textId="77777777" w:rsidR="004357B9" w:rsidRPr="00E07C9A" w:rsidRDefault="00125707" w:rsidP="0023700C">
      <w:pPr>
        <w:pStyle w:val="Instructionsberschrift2"/>
        <w:numPr>
          <w:ilvl w:val="0"/>
          <w:numId w:val="0"/>
        </w:numPr>
        <w:ind w:left="357" w:hanging="357"/>
        <w:rPr>
          <w:rFonts w:ascii="Times New Roman" w:hAnsi="Times New Roman" w:cs="Times New Roman"/>
          <w:sz w:val="24"/>
        </w:rPr>
      </w:pPr>
      <w:bookmarkStart w:id="376" w:name="_Toc360188367"/>
      <w:bookmarkStart w:id="377" w:name="_Toc473560918"/>
      <w:bookmarkStart w:id="378" w:name="_Toc115857815"/>
      <w:r w:rsidRPr="00E07C9A">
        <w:rPr>
          <w:rFonts w:ascii="Times New Roman" w:hAnsi="Times New Roman" w:cs="Times New Roman"/>
          <w:sz w:val="24"/>
          <w:u w:val="none"/>
        </w:rPr>
        <w:t>3.4.3.1.</w:t>
      </w:r>
      <w:r w:rsidRPr="00E07C9A">
        <w:rPr>
          <w:rFonts w:ascii="Times New Roman" w:hAnsi="Times New Roman" w:cs="Times New Roman"/>
          <w:u w:val="none"/>
        </w:rPr>
        <w:tab/>
      </w:r>
      <w:r w:rsidRPr="00E07C9A">
        <w:rPr>
          <w:rFonts w:ascii="Times New Roman" w:hAnsi="Times New Roman" w:cs="Times New Roman"/>
          <w:sz w:val="24"/>
        </w:rPr>
        <w:t>Všeobecné poznámky</w:t>
      </w:r>
      <w:bookmarkEnd w:id="376"/>
      <w:bookmarkEnd w:id="377"/>
      <w:bookmarkEnd w:id="378"/>
    </w:p>
    <w:p w14:paraId="3AB05A50" w14:textId="1B480B95" w:rsidR="009912F8" w:rsidRPr="00E07C9A" w:rsidRDefault="002A18DE" w:rsidP="00487A02">
      <w:pPr>
        <w:pStyle w:val="InstructionsText2"/>
        <w:numPr>
          <w:ilvl w:val="0"/>
          <w:numId w:val="0"/>
        </w:numPr>
        <w:ind w:left="1353" w:hanging="360"/>
      </w:pPr>
      <w:fldSimple w:instr=" seq paragraphs ">
        <w:r w:rsidR="00132AEE">
          <w:rPr>
            <w:noProof/>
          </w:rPr>
          <w:t>88</w:t>
        </w:r>
      </w:fldSimple>
      <w:r w:rsidR="00C3070C" w:rsidRPr="00E07C9A">
        <w:t>.</w:t>
      </w:r>
      <w:r w:rsidR="00C3070C" w:rsidRPr="00E07C9A">
        <w:tab/>
        <w:t>Účelom tohto vzoru je získať viac informácií</w:t>
      </w:r>
      <w:r w:rsidR="009912F8" w:rsidRPr="00E07C9A">
        <w:t xml:space="preserve"> o </w:t>
      </w:r>
      <w:r w:rsidR="00C3070C" w:rsidRPr="00E07C9A">
        <w:t>prvkoch proticyklického kapitálového vankúša špecifického pre inštitúciu. Požadované informácie sa týkajú požiadaviek na vlastné zdroje určených</w:t>
      </w:r>
      <w:r w:rsidR="009912F8" w:rsidRPr="00E07C9A">
        <w:t xml:space="preserve"> v </w:t>
      </w:r>
      <w:r w:rsidR="00C3070C" w:rsidRPr="00E07C9A">
        <w:t>súlade</w:t>
      </w:r>
      <w:r w:rsidR="009912F8" w:rsidRPr="00E07C9A">
        <w:t xml:space="preserve"> s </w:t>
      </w:r>
      <w:r w:rsidR="00C3070C" w:rsidRPr="00E07C9A">
        <w:t>treťou časťou hlavou II</w:t>
      </w:r>
      <w:r w:rsidR="009912F8" w:rsidRPr="00E07C9A">
        <w:t xml:space="preserve"> a </w:t>
      </w:r>
      <w:r w:rsidR="00C3070C" w:rsidRPr="00E07C9A">
        <w:t xml:space="preserve">hlavou IV nariadenia (EÚ) </w:t>
      </w:r>
      <w:r w:rsidR="009912F8" w:rsidRPr="00E07C9A">
        <w:t>č. 575/2013 a </w:t>
      </w:r>
      <w:r w:rsidR="00C3070C" w:rsidRPr="00E07C9A">
        <w:t>geografického umiestnenia pre expozície voči kreditnému riziku, sekuritizačné expozície</w:t>
      </w:r>
      <w:r w:rsidR="009912F8" w:rsidRPr="00E07C9A">
        <w:t xml:space="preserve"> a </w:t>
      </w:r>
      <w:r w:rsidR="00C3070C" w:rsidRPr="00E07C9A">
        <w:t>expozície</w:t>
      </w:r>
      <w:r w:rsidR="009912F8" w:rsidRPr="00E07C9A">
        <w:t xml:space="preserve"> v </w:t>
      </w:r>
      <w:r w:rsidR="00C3070C" w:rsidRPr="00E07C9A">
        <w:t>obchodnej knihe relevantné pre výpočet proticyklického kapitálového vankúša špecifického pre inštitúciu (CCB)</w:t>
      </w:r>
      <w:r w:rsidR="009912F8" w:rsidRPr="00E07C9A">
        <w:t xml:space="preserve"> v </w:t>
      </w:r>
      <w:r w:rsidR="00C3070C" w:rsidRPr="00E07C9A">
        <w:t>súlade</w:t>
      </w:r>
      <w:r w:rsidR="009912F8" w:rsidRPr="00E07C9A">
        <w:t xml:space="preserve"> s </w:t>
      </w:r>
      <w:r w:rsidR="00C3070C" w:rsidRPr="00E07C9A">
        <w:t>článkom 140 smernice 2013/36/EÚ (príslušné expozície voči kreditnému riziku)</w:t>
      </w:r>
      <w:r w:rsidR="009912F8" w:rsidRPr="00E07C9A">
        <w:t>.</w:t>
      </w:r>
    </w:p>
    <w:p w14:paraId="103533D8" w14:textId="7F0AF6B3" w:rsidR="009912F8" w:rsidRPr="00E07C9A" w:rsidRDefault="002A18DE" w:rsidP="00487A02">
      <w:pPr>
        <w:pStyle w:val="InstructionsText2"/>
        <w:numPr>
          <w:ilvl w:val="0"/>
          <w:numId w:val="0"/>
        </w:numPr>
        <w:ind w:left="1353" w:hanging="360"/>
      </w:pPr>
      <w:fldSimple w:instr=" seq paragraphs ">
        <w:r w:rsidR="00132AEE">
          <w:rPr>
            <w:noProof/>
          </w:rPr>
          <w:t>89</w:t>
        </w:r>
      </w:fldSimple>
      <w:r w:rsidR="00C3070C" w:rsidRPr="00E07C9A">
        <w:t>.</w:t>
      </w:r>
      <w:r w:rsidR="00C3070C" w:rsidRPr="00E07C9A">
        <w:tab/>
        <w:t>Informácie vo vzore C 09.04 sa vykazujú pre riadok „spolu“ odkazujúci na súčet príslušných expozícií voči kreditnému riziku vo všetkých jurisdikciách,</w:t>
      </w:r>
      <w:r w:rsidR="009912F8" w:rsidRPr="00E07C9A">
        <w:t xml:space="preserve"> v </w:t>
      </w:r>
      <w:r w:rsidR="00C3070C" w:rsidRPr="00E07C9A">
        <w:t>ktorých sa tieto expozície nachádzajú,</w:t>
      </w:r>
      <w:r w:rsidR="009912F8" w:rsidRPr="00E07C9A">
        <w:t xml:space="preserve"> a </w:t>
      </w:r>
      <w:r w:rsidR="00C3070C" w:rsidRPr="00E07C9A">
        <w:t>jednotlivo pre každú jurisdikciu,</w:t>
      </w:r>
      <w:r w:rsidR="009912F8" w:rsidRPr="00E07C9A">
        <w:t xml:space="preserve"> v </w:t>
      </w:r>
      <w:r w:rsidR="00C3070C" w:rsidRPr="00E07C9A">
        <w:t>ktorej sa nachádzajú príslušné expozície voči kreditnému riziku. Celkové údaje</w:t>
      </w:r>
      <w:r w:rsidR="009912F8" w:rsidRPr="00E07C9A">
        <w:t xml:space="preserve"> a </w:t>
      </w:r>
      <w:r w:rsidR="00C3070C" w:rsidRPr="00E07C9A">
        <w:t>informácie</w:t>
      </w:r>
      <w:r w:rsidR="009912F8" w:rsidRPr="00E07C9A">
        <w:t xml:space="preserve"> o </w:t>
      </w:r>
      <w:r w:rsidR="00C3070C" w:rsidRPr="00E07C9A">
        <w:t>jednotlivých jurisdikciách sa vykazujú osobitne</w:t>
      </w:r>
      <w:r w:rsidR="009912F8" w:rsidRPr="00E07C9A">
        <w:t>.</w:t>
      </w:r>
    </w:p>
    <w:p w14:paraId="721717B9" w14:textId="42801D1C" w:rsidR="007463E2" w:rsidRPr="00E07C9A" w:rsidRDefault="002A18DE" w:rsidP="00487A02">
      <w:pPr>
        <w:pStyle w:val="InstructionsText2"/>
        <w:numPr>
          <w:ilvl w:val="0"/>
          <w:numId w:val="0"/>
        </w:numPr>
        <w:ind w:left="1353" w:hanging="360"/>
      </w:pPr>
      <w:fldSimple w:instr=" seq paragraphs ">
        <w:r w:rsidR="00132AEE">
          <w:rPr>
            <w:noProof/>
          </w:rPr>
          <w:t>90</w:t>
        </w:r>
      </w:fldSimple>
      <w:r w:rsidR="00C3070C" w:rsidRPr="00E07C9A">
        <w:t>.</w:t>
      </w:r>
      <w:r w:rsidR="00C3070C" w:rsidRPr="00E07C9A">
        <w:tab/>
        <w:t>Prahová hodnota stanovená</w:t>
      </w:r>
      <w:r w:rsidR="009912F8" w:rsidRPr="00E07C9A">
        <w:t xml:space="preserve"> v </w:t>
      </w:r>
      <w:r w:rsidR="00C3070C" w:rsidRPr="00E07C9A">
        <w:t>článku 5 ods. 5 tohto vykonávacieho nariadenia sa nevzťahuje na vykazovanie tohto rozčlenenia.</w:t>
      </w:r>
    </w:p>
    <w:p w14:paraId="7AF60D10" w14:textId="674882C9" w:rsidR="005A7CA9" w:rsidRPr="00E07C9A" w:rsidRDefault="002A18DE" w:rsidP="00487A02">
      <w:pPr>
        <w:pStyle w:val="InstructionsText2"/>
        <w:numPr>
          <w:ilvl w:val="0"/>
          <w:numId w:val="0"/>
        </w:numPr>
        <w:ind w:left="1353" w:hanging="360"/>
      </w:pPr>
      <w:fldSimple w:instr=" seq paragraphs ">
        <w:r w:rsidR="00132AEE">
          <w:rPr>
            <w:noProof/>
          </w:rPr>
          <w:t>91</w:t>
        </w:r>
      </w:fldSimple>
      <w:r w:rsidR="00C3070C" w:rsidRPr="00E07C9A">
        <w:t>.</w:t>
      </w:r>
      <w:r w:rsidR="00C3070C" w:rsidRPr="00E07C9A">
        <w:tab/>
        <w:t>S cieľom určiť geografické umiestnenie sa expozície zaraďujú na základe priameho dlžníka, ako sa uvádza</w:t>
      </w:r>
      <w:r w:rsidR="009912F8" w:rsidRPr="00E07C9A">
        <w:t xml:space="preserve"> v </w:t>
      </w:r>
      <w:r w:rsidR="00C3070C" w:rsidRPr="00E07C9A">
        <w:t>delego</w:t>
      </w:r>
      <w:r w:rsidR="000F7DD5" w:rsidRPr="00E07C9A">
        <w:t>vanom nariadení Komisie (EÚ) č. </w:t>
      </w:r>
      <w:r w:rsidR="00C3070C" w:rsidRPr="00E07C9A">
        <w:t>1152/2014</w:t>
      </w:r>
      <w:r w:rsidR="00C3070C" w:rsidRPr="00E07C9A">
        <w:footnoteReference w:id="5"/>
      </w:r>
      <w:r w:rsidR="00C3070C" w:rsidRPr="00E07C9A">
        <w:t>. Postupmi zmierňovania kreditného rizika sa preto nemení pridelenie expozície ku geografickému umiestneniu na účely vykazovania informácií stanovených</w:t>
      </w:r>
      <w:r w:rsidR="009912F8" w:rsidRPr="00E07C9A">
        <w:t xml:space="preserve"> v </w:t>
      </w:r>
      <w:r w:rsidR="00C3070C" w:rsidRPr="00E07C9A">
        <w:t>tomto vzore.</w:t>
      </w:r>
    </w:p>
    <w:p w14:paraId="4C601E91" w14:textId="1768C7FE" w:rsidR="00154859" w:rsidRPr="00E07C9A" w:rsidRDefault="00125707" w:rsidP="0023700C">
      <w:pPr>
        <w:pStyle w:val="Instructionsberschrift2"/>
        <w:numPr>
          <w:ilvl w:val="0"/>
          <w:numId w:val="0"/>
        </w:numPr>
        <w:ind w:left="357" w:hanging="357"/>
        <w:rPr>
          <w:rFonts w:ascii="Times New Roman" w:hAnsi="Times New Roman" w:cs="Times New Roman"/>
          <w:sz w:val="24"/>
        </w:rPr>
      </w:pPr>
      <w:bookmarkStart w:id="379" w:name="_Toc360188368"/>
      <w:bookmarkStart w:id="380" w:name="_Toc473560919"/>
      <w:bookmarkStart w:id="381" w:name="_Toc115857816"/>
      <w:r w:rsidRPr="00E07C9A">
        <w:rPr>
          <w:rFonts w:ascii="Times New Roman" w:hAnsi="Times New Roman" w:cs="Times New Roman"/>
          <w:sz w:val="24"/>
          <w:u w:val="none"/>
        </w:rPr>
        <w:t>3.4.3.2.</w:t>
      </w:r>
      <w:r w:rsidRPr="00E07C9A">
        <w:rPr>
          <w:rFonts w:ascii="Times New Roman" w:hAnsi="Times New Roman" w:cs="Times New Roman"/>
          <w:u w:val="none"/>
        </w:rPr>
        <w:tab/>
      </w:r>
      <w:r w:rsidRPr="00E07C9A">
        <w:rPr>
          <w:rFonts w:ascii="Times New Roman" w:hAnsi="Times New Roman" w:cs="Times New Roman"/>
          <w:sz w:val="24"/>
        </w:rPr>
        <w:t>Pokyny týkajúce sa konkrétnych pozícií</w:t>
      </w:r>
      <w:bookmarkEnd w:id="379"/>
      <w:bookmarkEnd w:id="380"/>
      <w:bookmarkEnd w:id="38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4357B9" w:rsidRPr="00E07C9A" w14:paraId="07117F5B" w14:textId="77777777" w:rsidTr="00672D2A">
        <w:tc>
          <w:tcPr>
            <w:tcW w:w="1697" w:type="dxa"/>
            <w:shd w:val="clear" w:color="auto" w:fill="CCCCCC"/>
          </w:tcPr>
          <w:p w14:paraId="1E816EFA" w14:textId="77777777" w:rsidR="00154859" w:rsidRPr="00E07C9A" w:rsidRDefault="00154859" w:rsidP="004357B9">
            <w:pPr>
              <w:rPr>
                <w:rFonts w:ascii="Times New Roman" w:hAnsi="Times New Roman"/>
                <w:b/>
                <w:sz w:val="24"/>
              </w:rPr>
            </w:pPr>
            <w:r w:rsidRPr="00E07C9A">
              <w:rPr>
                <w:rFonts w:ascii="Times New Roman" w:hAnsi="Times New Roman"/>
                <w:b/>
                <w:sz w:val="24"/>
              </w:rPr>
              <w:t>Stĺpce</w:t>
            </w:r>
          </w:p>
        </w:tc>
        <w:tc>
          <w:tcPr>
            <w:tcW w:w="8131" w:type="dxa"/>
            <w:shd w:val="clear" w:color="auto" w:fill="CCCCCC"/>
          </w:tcPr>
          <w:p w14:paraId="668B3F8A" w14:textId="77777777" w:rsidR="004357B9" w:rsidRPr="00E07C9A" w:rsidRDefault="004357B9" w:rsidP="004357B9">
            <w:pPr>
              <w:ind w:left="72"/>
              <w:rPr>
                <w:rFonts w:ascii="Times New Roman" w:hAnsi="Times New Roman"/>
                <w:sz w:val="24"/>
              </w:rPr>
            </w:pPr>
          </w:p>
        </w:tc>
      </w:tr>
      <w:tr w:rsidR="00154859" w:rsidRPr="00E07C9A" w14:paraId="261BA75A" w14:textId="77777777" w:rsidTr="00672D2A">
        <w:tc>
          <w:tcPr>
            <w:tcW w:w="1697" w:type="dxa"/>
          </w:tcPr>
          <w:p w14:paraId="454F80F4" w14:textId="77777777" w:rsidR="00154859" w:rsidRPr="00E07C9A" w:rsidRDefault="00154859" w:rsidP="004357B9">
            <w:pPr>
              <w:rPr>
                <w:rStyle w:val="InstructionsTabelleText"/>
                <w:rFonts w:ascii="Times New Roman" w:hAnsi="Times New Roman"/>
                <w:sz w:val="24"/>
              </w:rPr>
            </w:pPr>
            <w:r w:rsidRPr="00E07C9A">
              <w:rPr>
                <w:rFonts w:ascii="Times New Roman" w:hAnsi="Times New Roman"/>
                <w:sz w:val="24"/>
              </w:rPr>
              <w:t>0010</w:t>
            </w:r>
          </w:p>
        </w:tc>
        <w:tc>
          <w:tcPr>
            <w:tcW w:w="8131" w:type="dxa"/>
          </w:tcPr>
          <w:p w14:paraId="1612E1A4" w14:textId="77777777" w:rsidR="00154859" w:rsidRPr="00E07C9A" w:rsidRDefault="00154859" w:rsidP="00133107">
            <w:pPr>
              <w:rPr>
                <w:rFonts w:ascii="Times New Roman" w:hAnsi="Times New Roman"/>
                <w:b/>
                <w:bCs/>
                <w:sz w:val="24"/>
                <w:u w:val="single"/>
              </w:rPr>
            </w:pPr>
            <w:r w:rsidRPr="00E07C9A">
              <w:rPr>
                <w:rFonts w:ascii="Times New Roman" w:hAnsi="Times New Roman"/>
                <w:b/>
                <w:sz w:val="24"/>
                <w:u w:val="single"/>
              </w:rPr>
              <w:t>Hodnota</w:t>
            </w:r>
          </w:p>
          <w:p w14:paraId="6D67119D" w14:textId="4B1CA3C5" w:rsidR="00154859" w:rsidRPr="00E07C9A" w:rsidRDefault="006E3440" w:rsidP="00535A98">
            <w:pPr>
              <w:rPr>
                <w:rFonts w:ascii="Times New Roman" w:hAnsi="Times New Roman"/>
                <w:b/>
                <w:sz w:val="24"/>
                <w:u w:val="single"/>
              </w:rPr>
            </w:pPr>
            <w:r w:rsidRPr="00E07C9A">
              <w:rPr>
                <w:rFonts w:ascii="Times New Roman" w:hAnsi="Times New Roman"/>
                <w:sz w:val="24"/>
              </w:rPr>
              <w:t>Hodnota príslušných expozícií voči kreditnému riziku</w:t>
            </w:r>
            <w:r w:rsidR="009912F8" w:rsidRPr="00E07C9A">
              <w:rPr>
                <w:rFonts w:ascii="Times New Roman" w:hAnsi="Times New Roman"/>
                <w:sz w:val="24"/>
              </w:rPr>
              <w:t xml:space="preserve"> a </w:t>
            </w:r>
            <w:r w:rsidRPr="00E07C9A">
              <w:rPr>
                <w:rFonts w:ascii="Times New Roman" w:hAnsi="Times New Roman"/>
                <w:sz w:val="24"/>
              </w:rPr>
              <w:t>súvisiacich požiadaviek na vlastné zdroje určená</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pokynmi pre jednotlivé riadky.</w:t>
            </w:r>
          </w:p>
        </w:tc>
      </w:tr>
      <w:tr w:rsidR="00154859" w:rsidRPr="00E07C9A" w14:paraId="4FD29C3C" w14:textId="77777777" w:rsidTr="00672D2A">
        <w:tc>
          <w:tcPr>
            <w:tcW w:w="1697" w:type="dxa"/>
          </w:tcPr>
          <w:p w14:paraId="0DEFF028" w14:textId="77777777" w:rsidR="00154859" w:rsidRPr="00E07C9A" w:rsidRDefault="00154859" w:rsidP="004357B9">
            <w:pPr>
              <w:rPr>
                <w:rFonts w:ascii="Times New Roman" w:hAnsi="Times New Roman"/>
                <w:sz w:val="24"/>
              </w:rPr>
            </w:pPr>
            <w:r w:rsidRPr="00E07C9A">
              <w:rPr>
                <w:rFonts w:ascii="Times New Roman" w:hAnsi="Times New Roman"/>
                <w:sz w:val="24"/>
              </w:rPr>
              <w:t>0020</w:t>
            </w:r>
          </w:p>
        </w:tc>
        <w:tc>
          <w:tcPr>
            <w:tcW w:w="8131" w:type="dxa"/>
          </w:tcPr>
          <w:p w14:paraId="48DCD472" w14:textId="77777777" w:rsidR="00154859" w:rsidRPr="00E07C9A" w:rsidRDefault="00154859" w:rsidP="00133107">
            <w:pPr>
              <w:rPr>
                <w:rFonts w:ascii="Times New Roman" w:hAnsi="Times New Roman"/>
                <w:b/>
                <w:bCs/>
                <w:sz w:val="24"/>
                <w:u w:val="single"/>
              </w:rPr>
            </w:pPr>
            <w:r w:rsidRPr="00E07C9A">
              <w:rPr>
                <w:rFonts w:ascii="Times New Roman" w:hAnsi="Times New Roman"/>
                <w:b/>
                <w:sz w:val="24"/>
                <w:u w:val="single"/>
              </w:rPr>
              <w:t>Percentuálny podiel</w:t>
            </w:r>
          </w:p>
          <w:p w14:paraId="5ACEEFCE" w14:textId="77777777" w:rsidR="00154859" w:rsidRPr="00E07C9A" w:rsidRDefault="00154859" w:rsidP="00133107">
            <w:pPr>
              <w:rPr>
                <w:rFonts w:ascii="Times New Roman" w:hAnsi="Times New Roman"/>
                <w:b/>
                <w:bCs/>
                <w:sz w:val="24"/>
                <w:u w:val="single"/>
                <w:lang w:eastAsia="de-DE"/>
              </w:rPr>
            </w:pPr>
          </w:p>
        </w:tc>
      </w:tr>
      <w:tr w:rsidR="00154859" w:rsidRPr="00E07C9A" w14:paraId="3EB8127D" w14:textId="77777777" w:rsidTr="00672D2A">
        <w:tc>
          <w:tcPr>
            <w:tcW w:w="1697" w:type="dxa"/>
          </w:tcPr>
          <w:p w14:paraId="5DC080F0" w14:textId="77777777" w:rsidR="00154859" w:rsidRPr="00E07C9A" w:rsidRDefault="00154859" w:rsidP="004357B9">
            <w:pPr>
              <w:rPr>
                <w:rFonts w:ascii="Times New Roman" w:hAnsi="Times New Roman"/>
                <w:sz w:val="24"/>
              </w:rPr>
            </w:pPr>
            <w:r w:rsidRPr="00E07C9A">
              <w:rPr>
                <w:rFonts w:ascii="Times New Roman" w:hAnsi="Times New Roman"/>
                <w:sz w:val="24"/>
              </w:rPr>
              <w:t>0030</w:t>
            </w:r>
          </w:p>
        </w:tc>
        <w:tc>
          <w:tcPr>
            <w:tcW w:w="8131" w:type="dxa"/>
          </w:tcPr>
          <w:p w14:paraId="3D1F5A8B" w14:textId="77777777" w:rsidR="00154859" w:rsidRPr="00E07C9A" w:rsidRDefault="00187348" w:rsidP="00133107">
            <w:pPr>
              <w:autoSpaceDE w:val="0"/>
              <w:autoSpaceDN w:val="0"/>
              <w:adjustRightInd w:val="0"/>
              <w:rPr>
                <w:rFonts w:ascii="Times New Roman" w:hAnsi="Times New Roman"/>
                <w:b/>
                <w:bCs/>
                <w:sz w:val="24"/>
                <w:u w:val="single"/>
              </w:rPr>
            </w:pPr>
            <w:r w:rsidRPr="00E07C9A">
              <w:rPr>
                <w:rFonts w:ascii="Times New Roman" w:hAnsi="Times New Roman"/>
                <w:b/>
                <w:sz w:val="24"/>
                <w:u w:val="single"/>
              </w:rPr>
              <w:t>Kvalitatívne informácie</w:t>
            </w:r>
          </w:p>
          <w:p w14:paraId="37C775FE" w14:textId="7D515241" w:rsidR="009912F8" w:rsidRPr="00E07C9A" w:rsidRDefault="00CA270D" w:rsidP="00234E7D">
            <w:pPr>
              <w:autoSpaceDE w:val="0"/>
              <w:autoSpaceDN w:val="0"/>
              <w:adjustRightInd w:val="0"/>
              <w:rPr>
                <w:rFonts w:ascii="Times New Roman" w:hAnsi="Times New Roman"/>
                <w:sz w:val="24"/>
              </w:rPr>
            </w:pPr>
            <w:r w:rsidRPr="00E07C9A">
              <w:rPr>
                <w:rFonts w:ascii="Times New Roman" w:hAnsi="Times New Roman"/>
                <w:sz w:val="24"/>
              </w:rPr>
              <w:t>Tieto informácie sa vykazujú iba pre krajinu sídla inštitúcie (jurisdikcia zodpovedajúca jej domovskému členskému štátu)</w:t>
            </w:r>
            <w:r w:rsidR="009912F8" w:rsidRPr="00E07C9A">
              <w:rPr>
                <w:rFonts w:ascii="Times New Roman" w:hAnsi="Times New Roman"/>
                <w:sz w:val="24"/>
              </w:rPr>
              <w:t xml:space="preserve"> a </w:t>
            </w:r>
            <w:r w:rsidRPr="00E07C9A">
              <w:rPr>
                <w:rFonts w:ascii="Times New Roman" w:hAnsi="Times New Roman"/>
                <w:sz w:val="24"/>
              </w:rPr>
              <w:t>pre riadok „spolu“, ktorý odkazuje na súčet všetkých krajín</w:t>
            </w:r>
            <w:r w:rsidR="009912F8" w:rsidRPr="00E07C9A">
              <w:rPr>
                <w:rFonts w:ascii="Times New Roman" w:hAnsi="Times New Roman"/>
                <w:sz w:val="24"/>
              </w:rPr>
              <w:t>.</w:t>
            </w:r>
          </w:p>
          <w:p w14:paraId="3E64DE7C" w14:textId="4109E3C8" w:rsidR="00EF3F40" w:rsidRPr="00E07C9A" w:rsidRDefault="00514783" w:rsidP="00514783">
            <w:pPr>
              <w:autoSpaceDE w:val="0"/>
              <w:autoSpaceDN w:val="0"/>
              <w:adjustRightInd w:val="0"/>
              <w:rPr>
                <w:rFonts w:ascii="Times New Roman" w:hAnsi="Times New Roman"/>
                <w:b/>
                <w:bCs/>
                <w:sz w:val="24"/>
                <w:u w:val="single"/>
              </w:rPr>
            </w:pPr>
            <w:r w:rsidRPr="00E07C9A">
              <w:rPr>
                <w:rFonts w:ascii="Times New Roman" w:hAnsi="Times New Roman"/>
                <w:sz w:val="24"/>
              </w:rPr>
              <w:t>Inštitúcie vykážu buď {á} alebo {n}</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pokynmi pre príslušný riadok.</w:t>
            </w:r>
          </w:p>
        </w:tc>
      </w:tr>
    </w:tbl>
    <w:p w14:paraId="36AA1E47" w14:textId="77777777" w:rsidR="00464F34" w:rsidRPr="00E07C9A" w:rsidRDefault="00464F34"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BD5485" w:rsidRPr="00E07C9A" w14:paraId="66C9C536" w14:textId="77777777" w:rsidTr="00672D2A">
        <w:tc>
          <w:tcPr>
            <w:tcW w:w="1697" w:type="dxa"/>
            <w:shd w:val="clear" w:color="auto" w:fill="CCCCCC"/>
          </w:tcPr>
          <w:p w14:paraId="37584D9B" w14:textId="77777777" w:rsidR="00BD5485" w:rsidRPr="00E07C9A" w:rsidRDefault="00BD5485" w:rsidP="00133107">
            <w:pPr>
              <w:rPr>
                <w:rFonts w:ascii="Times New Roman" w:hAnsi="Times New Roman"/>
                <w:b/>
                <w:sz w:val="24"/>
              </w:rPr>
            </w:pPr>
            <w:r w:rsidRPr="00E07C9A">
              <w:rPr>
                <w:rFonts w:ascii="Times New Roman" w:hAnsi="Times New Roman"/>
                <w:b/>
                <w:sz w:val="24"/>
              </w:rPr>
              <w:t>Riadky</w:t>
            </w:r>
          </w:p>
        </w:tc>
        <w:tc>
          <w:tcPr>
            <w:tcW w:w="8131" w:type="dxa"/>
            <w:shd w:val="clear" w:color="auto" w:fill="CCCCCC"/>
          </w:tcPr>
          <w:p w14:paraId="51A5F58B" w14:textId="77777777" w:rsidR="00BD5485" w:rsidRPr="00E07C9A" w:rsidRDefault="00BD5485" w:rsidP="00133107">
            <w:pPr>
              <w:ind w:left="72"/>
              <w:rPr>
                <w:rFonts w:ascii="Times New Roman" w:hAnsi="Times New Roman"/>
                <w:sz w:val="24"/>
              </w:rPr>
            </w:pPr>
          </w:p>
        </w:tc>
      </w:tr>
      <w:tr w:rsidR="00BD5485" w:rsidRPr="00E07C9A" w14:paraId="65BDB5A7" w14:textId="77777777" w:rsidTr="00672D2A">
        <w:tc>
          <w:tcPr>
            <w:tcW w:w="1697" w:type="dxa"/>
          </w:tcPr>
          <w:p w14:paraId="659FA226" w14:textId="77777777" w:rsidR="00BD5485" w:rsidRPr="00E07C9A" w:rsidRDefault="00BD5485" w:rsidP="00133107">
            <w:pPr>
              <w:rPr>
                <w:rStyle w:val="InstructionsTabelleText"/>
                <w:rFonts w:ascii="Times New Roman" w:hAnsi="Times New Roman"/>
                <w:sz w:val="24"/>
              </w:rPr>
            </w:pPr>
            <w:r w:rsidRPr="00E07C9A">
              <w:rPr>
                <w:rFonts w:ascii="Times New Roman" w:hAnsi="Times New Roman"/>
                <w:sz w:val="24"/>
              </w:rPr>
              <w:t>0010 –⁠ 0020</w:t>
            </w:r>
          </w:p>
        </w:tc>
        <w:tc>
          <w:tcPr>
            <w:tcW w:w="8131" w:type="dxa"/>
          </w:tcPr>
          <w:p w14:paraId="381C7D79" w14:textId="77777777" w:rsidR="00BD5485" w:rsidRPr="00E07C9A" w:rsidRDefault="00BD5485" w:rsidP="00BD5485">
            <w:pPr>
              <w:rPr>
                <w:rFonts w:ascii="Times New Roman" w:hAnsi="Times New Roman"/>
                <w:b/>
                <w:bCs/>
                <w:sz w:val="24"/>
                <w:u w:val="single"/>
              </w:rPr>
            </w:pPr>
            <w:r w:rsidRPr="00E07C9A">
              <w:rPr>
                <w:rFonts w:ascii="Times New Roman" w:hAnsi="Times New Roman"/>
                <w:b/>
                <w:sz w:val="24"/>
                <w:u w:val="single"/>
              </w:rPr>
              <w:t>Príslušné expozície voči kreditnému riziku – Úverové riziko</w:t>
            </w:r>
          </w:p>
          <w:p w14:paraId="3806537D" w14:textId="0E03AC85" w:rsidR="00BD5485" w:rsidRPr="00E07C9A" w:rsidRDefault="00BD5485" w:rsidP="00DF4FF2">
            <w:pPr>
              <w:rPr>
                <w:rFonts w:ascii="Times New Roman" w:hAnsi="Times New Roman"/>
                <w:b/>
                <w:sz w:val="24"/>
                <w:u w:val="single"/>
              </w:rPr>
            </w:pPr>
            <w:r w:rsidRPr="00E07C9A">
              <w:rPr>
                <w:rFonts w:ascii="Times New Roman" w:hAnsi="Times New Roman"/>
                <w:sz w:val="24"/>
              </w:rPr>
              <w:t>Príslušné expozície voči kreditnému riziku uvedené</w:t>
            </w:r>
            <w:r w:rsidR="009912F8" w:rsidRPr="00E07C9A">
              <w:rPr>
                <w:rFonts w:ascii="Times New Roman" w:hAnsi="Times New Roman"/>
                <w:sz w:val="24"/>
              </w:rPr>
              <w:t xml:space="preserve"> v </w:t>
            </w:r>
            <w:r w:rsidRPr="00E07C9A">
              <w:rPr>
                <w:rFonts w:ascii="Times New Roman" w:hAnsi="Times New Roman"/>
                <w:sz w:val="24"/>
              </w:rPr>
              <w:t>článku 140 ods. 4 písm. a) smernice 2013/36/EÚ.</w:t>
            </w:r>
          </w:p>
        </w:tc>
      </w:tr>
      <w:tr w:rsidR="00BD5485" w:rsidRPr="00E07C9A" w14:paraId="349B3C7D" w14:textId="77777777" w:rsidTr="00672D2A">
        <w:tc>
          <w:tcPr>
            <w:tcW w:w="1697" w:type="dxa"/>
          </w:tcPr>
          <w:p w14:paraId="39EEC04E" w14:textId="77777777" w:rsidR="00BD5485" w:rsidRPr="00E07C9A" w:rsidRDefault="00BD5485" w:rsidP="00133107">
            <w:pPr>
              <w:rPr>
                <w:rFonts w:ascii="Times New Roman" w:hAnsi="Times New Roman"/>
                <w:sz w:val="24"/>
              </w:rPr>
            </w:pPr>
            <w:r w:rsidRPr="00E07C9A">
              <w:rPr>
                <w:rFonts w:ascii="Times New Roman" w:hAnsi="Times New Roman"/>
                <w:sz w:val="24"/>
              </w:rPr>
              <w:t>0010</w:t>
            </w:r>
          </w:p>
        </w:tc>
        <w:tc>
          <w:tcPr>
            <w:tcW w:w="8131" w:type="dxa"/>
          </w:tcPr>
          <w:p w14:paraId="175434C0" w14:textId="5AF1AD96" w:rsidR="00BD5485" w:rsidRPr="00E07C9A" w:rsidRDefault="00BD5485" w:rsidP="00BD5485">
            <w:pPr>
              <w:rPr>
                <w:rFonts w:ascii="Times New Roman" w:hAnsi="Times New Roman"/>
                <w:b/>
                <w:bCs/>
                <w:sz w:val="24"/>
                <w:u w:val="single"/>
              </w:rPr>
            </w:pPr>
            <w:r w:rsidRPr="00E07C9A">
              <w:rPr>
                <w:rFonts w:ascii="Times New Roman" w:hAnsi="Times New Roman"/>
                <w:b/>
                <w:sz w:val="24"/>
                <w:u w:val="single"/>
              </w:rPr>
              <w:t>Hodnota expozície</w:t>
            </w:r>
            <w:r w:rsidR="009912F8" w:rsidRPr="00E07C9A">
              <w:rPr>
                <w:rFonts w:ascii="Times New Roman" w:hAnsi="Times New Roman"/>
                <w:b/>
                <w:sz w:val="24"/>
                <w:u w:val="single"/>
              </w:rPr>
              <w:t xml:space="preserve"> v </w:t>
            </w:r>
            <w:r w:rsidRPr="00E07C9A">
              <w:rPr>
                <w:rFonts w:ascii="Times New Roman" w:hAnsi="Times New Roman"/>
                <w:b/>
                <w:sz w:val="24"/>
                <w:u w:val="single"/>
              </w:rPr>
              <w:t>rámci štandardizovaného prístupu</w:t>
            </w:r>
          </w:p>
          <w:p w14:paraId="631CEB25" w14:textId="6A159B92" w:rsidR="009912F8" w:rsidRPr="00E07C9A" w:rsidRDefault="00BD5485" w:rsidP="00BD5485">
            <w:pPr>
              <w:autoSpaceDE w:val="0"/>
              <w:autoSpaceDN w:val="0"/>
              <w:adjustRightInd w:val="0"/>
              <w:rPr>
                <w:rFonts w:ascii="Times New Roman" w:hAnsi="Times New Roman"/>
                <w:sz w:val="24"/>
              </w:rPr>
            </w:pPr>
            <w:r w:rsidRPr="00E07C9A">
              <w:rPr>
                <w:rFonts w:ascii="Times New Roman" w:hAnsi="Times New Roman"/>
                <w:sz w:val="24"/>
              </w:rPr>
              <w:t>Hodnota expozície vypočítaná</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111 nariadenia (EÚ) </w:t>
            </w:r>
            <w:r w:rsidR="009912F8" w:rsidRPr="00E07C9A">
              <w:rPr>
                <w:rFonts w:ascii="Times New Roman" w:hAnsi="Times New Roman"/>
                <w:sz w:val="24"/>
              </w:rPr>
              <w:t>č. 575/2013</w:t>
            </w:r>
            <w:r w:rsidRPr="00E07C9A">
              <w:rPr>
                <w:rFonts w:ascii="Times New Roman" w:hAnsi="Times New Roman"/>
                <w:sz w:val="24"/>
              </w:rPr>
              <w:t xml:space="preserve"> pre príslušné expozície voči kreditnému riziku uvedené</w:t>
            </w:r>
            <w:r w:rsidR="009912F8" w:rsidRPr="00E07C9A">
              <w:rPr>
                <w:rFonts w:ascii="Times New Roman" w:hAnsi="Times New Roman"/>
                <w:sz w:val="24"/>
              </w:rPr>
              <w:t xml:space="preserve"> v </w:t>
            </w:r>
            <w:r w:rsidRPr="00E07C9A">
              <w:rPr>
                <w:rFonts w:ascii="Times New Roman" w:hAnsi="Times New Roman"/>
                <w:sz w:val="24"/>
              </w:rPr>
              <w:t>článku 140 ods. 4 písm. a) smernice 2013/36/EÚ</w:t>
            </w:r>
            <w:r w:rsidR="009912F8" w:rsidRPr="00E07C9A">
              <w:rPr>
                <w:rFonts w:ascii="Times New Roman" w:hAnsi="Times New Roman"/>
                <w:sz w:val="24"/>
              </w:rPr>
              <w:t>.</w:t>
            </w:r>
          </w:p>
          <w:p w14:paraId="67AEB679" w14:textId="6CB567B4" w:rsidR="00BD5485" w:rsidRPr="00E07C9A" w:rsidRDefault="00BD5485" w:rsidP="00B85F75">
            <w:pPr>
              <w:autoSpaceDE w:val="0"/>
              <w:autoSpaceDN w:val="0"/>
              <w:adjustRightInd w:val="0"/>
              <w:rPr>
                <w:rFonts w:ascii="Times New Roman" w:hAnsi="Times New Roman"/>
                <w:b/>
                <w:bCs/>
                <w:sz w:val="24"/>
                <w:u w:val="single"/>
              </w:rPr>
            </w:pPr>
            <w:r w:rsidRPr="00E07C9A">
              <w:rPr>
                <w:rFonts w:ascii="Times New Roman" w:hAnsi="Times New Roman"/>
                <w:sz w:val="24"/>
              </w:rPr>
              <w:t>Hodnota expozície pre sekuritizačné pozície</w:t>
            </w:r>
            <w:r w:rsidR="009912F8" w:rsidRPr="00E07C9A">
              <w:rPr>
                <w:rFonts w:ascii="Times New Roman" w:hAnsi="Times New Roman"/>
                <w:sz w:val="24"/>
              </w:rPr>
              <w:t xml:space="preserve"> v </w:t>
            </w:r>
            <w:r w:rsidRPr="00E07C9A">
              <w:rPr>
                <w:rFonts w:ascii="Times New Roman" w:hAnsi="Times New Roman"/>
                <w:sz w:val="24"/>
              </w:rPr>
              <w:t>bankovej knihe sa vylučuje</w:t>
            </w:r>
            <w:r w:rsidR="009912F8" w:rsidRPr="00E07C9A">
              <w:rPr>
                <w:rFonts w:ascii="Times New Roman" w:hAnsi="Times New Roman"/>
                <w:sz w:val="24"/>
              </w:rPr>
              <w:t xml:space="preserve"> z </w:t>
            </w:r>
            <w:r w:rsidRPr="00E07C9A">
              <w:rPr>
                <w:rFonts w:ascii="Times New Roman" w:hAnsi="Times New Roman"/>
                <w:sz w:val="24"/>
              </w:rPr>
              <w:t>tohto riadku</w:t>
            </w:r>
            <w:r w:rsidR="009912F8" w:rsidRPr="00E07C9A">
              <w:rPr>
                <w:rFonts w:ascii="Times New Roman" w:hAnsi="Times New Roman"/>
                <w:sz w:val="24"/>
              </w:rPr>
              <w:t xml:space="preserve"> a </w:t>
            </w:r>
            <w:r w:rsidRPr="00E07C9A">
              <w:rPr>
                <w:rFonts w:ascii="Times New Roman" w:hAnsi="Times New Roman"/>
                <w:sz w:val="24"/>
              </w:rPr>
              <w:t>vykazuje sa</w:t>
            </w:r>
            <w:r w:rsidR="009912F8" w:rsidRPr="00E07C9A">
              <w:rPr>
                <w:rFonts w:ascii="Times New Roman" w:hAnsi="Times New Roman"/>
                <w:sz w:val="24"/>
              </w:rPr>
              <w:t xml:space="preserve"> v </w:t>
            </w:r>
            <w:r w:rsidRPr="00E07C9A">
              <w:rPr>
                <w:rFonts w:ascii="Times New Roman" w:hAnsi="Times New Roman"/>
                <w:sz w:val="24"/>
              </w:rPr>
              <w:t>riadku 0055.</w:t>
            </w:r>
          </w:p>
        </w:tc>
      </w:tr>
      <w:tr w:rsidR="00BD5485" w:rsidRPr="00E07C9A" w14:paraId="3D7FA88C" w14:textId="77777777" w:rsidTr="00672D2A">
        <w:tc>
          <w:tcPr>
            <w:tcW w:w="1697" w:type="dxa"/>
          </w:tcPr>
          <w:p w14:paraId="426C5CE7" w14:textId="77777777" w:rsidR="00BD5485" w:rsidRPr="00E07C9A" w:rsidRDefault="00BD5485" w:rsidP="00133107">
            <w:pPr>
              <w:rPr>
                <w:rFonts w:ascii="Times New Roman" w:hAnsi="Times New Roman"/>
                <w:sz w:val="24"/>
              </w:rPr>
            </w:pPr>
            <w:r w:rsidRPr="00E07C9A">
              <w:rPr>
                <w:rFonts w:ascii="Times New Roman" w:hAnsi="Times New Roman"/>
                <w:sz w:val="24"/>
              </w:rPr>
              <w:t>0020</w:t>
            </w:r>
          </w:p>
        </w:tc>
        <w:tc>
          <w:tcPr>
            <w:tcW w:w="8131" w:type="dxa"/>
          </w:tcPr>
          <w:p w14:paraId="5234ED6C" w14:textId="77777777" w:rsidR="00BD5485" w:rsidRPr="00E07C9A" w:rsidRDefault="00BD5485" w:rsidP="00BD5485">
            <w:pPr>
              <w:rPr>
                <w:rFonts w:ascii="Times New Roman" w:hAnsi="Times New Roman"/>
                <w:b/>
                <w:bCs/>
                <w:sz w:val="24"/>
                <w:u w:val="single"/>
              </w:rPr>
            </w:pPr>
            <w:r w:rsidRPr="00E07C9A">
              <w:rPr>
                <w:rFonts w:ascii="Times New Roman" w:hAnsi="Times New Roman"/>
                <w:b/>
                <w:sz w:val="24"/>
                <w:u w:val="single"/>
              </w:rPr>
              <w:t>Hodnota expozície podľa prístupu IRB</w:t>
            </w:r>
          </w:p>
          <w:p w14:paraId="2F6D27FF" w14:textId="029FA4F9" w:rsidR="009912F8" w:rsidRPr="00E07C9A" w:rsidRDefault="00BD5485" w:rsidP="00BD5485">
            <w:pPr>
              <w:autoSpaceDE w:val="0"/>
              <w:autoSpaceDN w:val="0"/>
              <w:adjustRightInd w:val="0"/>
              <w:rPr>
                <w:rFonts w:ascii="Times New Roman" w:hAnsi="Times New Roman"/>
                <w:sz w:val="24"/>
              </w:rPr>
            </w:pPr>
            <w:r w:rsidRPr="00E07C9A">
              <w:rPr>
                <w:rFonts w:ascii="Times New Roman" w:hAnsi="Times New Roman"/>
                <w:sz w:val="24"/>
              </w:rPr>
              <w:t>Hodnota expozície vypočítaná</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166 nariadenia (EÚ) </w:t>
            </w:r>
            <w:r w:rsidR="009912F8" w:rsidRPr="00E07C9A">
              <w:rPr>
                <w:rFonts w:ascii="Times New Roman" w:hAnsi="Times New Roman"/>
                <w:sz w:val="24"/>
              </w:rPr>
              <w:t>č. 575/2013</w:t>
            </w:r>
            <w:r w:rsidRPr="00E07C9A">
              <w:rPr>
                <w:rFonts w:ascii="Times New Roman" w:hAnsi="Times New Roman"/>
                <w:sz w:val="24"/>
              </w:rPr>
              <w:t xml:space="preserve"> pre príslušné expozície voči kreditnému riziku uvedené</w:t>
            </w:r>
            <w:r w:rsidR="009912F8" w:rsidRPr="00E07C9A">
              <w:rPr>
                <w:rFonts w:ascii="Times New Roman" w:hAnsi="Times New Roman"/>
                <w:sz w:val="24"/>
              </w:rPr>
              <w:t xml:space="preserve"> v </w:t>
            </w:r>
            <w:r w:rsidRPr="00E07C9A">
              <w:rPr>
                <w:rFonts w:ascii="Times New Roman" w:hAnsi="Times New Roman"/>
                <w:sz w:val="24"/>
              </w:rPr>
              <w:t>článku 140 ods. 4 písm. a) smernice 2013/36/EÚ</w:t>
            </w:r>
            <w:r w:rsidR="009912F8" w:rsidRPr="00E07C9A">
              <w:rPr>
                <w:rFonts w:ascii="Times New Roman" w:hAnsi="Times New Roman"/>
                <w:sz w:val="24"/>
              </w:rPr>
              <w:t>.</w:t>
            </w:r>
          </w:p>
          <w:p w14:paraId="36BAF617" w14:textId="0893877C" w:rsidR="00BD5485" w:rsidRPr="00E07C9A" w:rsidRDefault="00BD5485" w:rsidP="00B85F75">
            <w:pPr>
              <w:rPr>
                <w:rFonts w:ascii="Times New Roman" w:hAnsi="Times New Roman"/>
                <w:b/>
                <w:bCs/>
                <w:sz w:val="24"/>
                <w:u w:val="single"/>
              </w:rPr>
            </w:pPr>
            <w:r w:rsidRPr="00E07C9A">
              <w:rPr>
                <w:rFonts w:ascii="Times New Roman" w:hAnsi="Times New Roman"/>
                <w:sz w:val="24"/>
              </w:rPr>
              <w:t>Hodnota expozície pre sekuritizačné pozície</w:t>
            </w:r>
            <w:r w:rsidR="009912F8" w:rsidRPr="00E07C9A">
              <w:rPr>
                <w:rFonts w:ascii="Times New Roman" w:hAnsi="Times New Roman"/>
                <w:sz w:val="24"/>
              </w:rPr>
              <w:t xml:space="preserve"> v </w:t>
            </w:r>
            <w:r w:rsidRPr="00E07C9A">
              <w:rPr>
                <w:rFonts w:ascii="Times New Roman" w:hAnsi="Times New Roman"/>
                <w:sz w:val="24"/>
              </w:rPr>
              <w:t>bankovej knihe sa vylučuje</w:t>
            </w:r>
            <w:r w:rsidR="009912F8" w:rsidRPr="00E07C9A">
              <w:rPr>
                <w:rFonts w:ascii="Times New Roman" w:hAnsi="Times New Roman"/>
                <w:sz w:val="24"/>
              </w:rPr>
              <w:t xml:space="preserve"> z </w:t>
            </w:r>
            <w:r w:rsidRPr="00E07C9A">
              <w:rPr>
                <w:rFonts w:ascii="Times New Roman" w:hAnsi="Times New Roman"/>
                <w:sz w:val="24"/>
              </w:rPr>
              <w:t>tohto riadku</w:t>
            </w:r>
            <w:r w:rsidR="009912F8" w:rsidRPr="00E07C9A">
              <w:rPr>
                <w:rFonts w:ascii="Times New Roman" w:hAnsi="Times New Roman"/>
                <w:sz w:val="24"/>
              </w:rPr>
              <w:t xml:space="preserve"> a </w:t>
            </w:r>
            <w:r w:rsidRPr="00E07C9A">
              <w:rPr>
                <w:rFonts w:ascii="Times New Roman" w:hAnsi="Times New Roman"/>
                <w:sz w:val="24"/>
              </w:rPr>
              <w:t>vykazuje sa</w:t>
            </w:r>
            <w:r w:rsidR="009912F8" w:rsidRPr="00E07C9A">
              <w:rPr>
                <w:rFonts w:ascii="Times New Roman" w:hAnsi="Times New Roman"/>
                <w:sz w:val="24"/>
              </w:rPr>
              <w:t xml:space="preserve"> v </w:t>
            </w:r>
            <w:r w:rsidRPr="00E07C9A">
              <w:rPr>
                <w:rFonts w:ascii="Times New Roman" w:hAnsi="Times New Roman"/>
                <w:sz w:val="24"/>
              </w:rPr>
              <w:t>riadku 0055.</w:t>
            </w:r>
          </w:p>
        </w:tc>
      </w:tr>
      <w:tr w:rsidR="00BD5485" w:rsidRPr="00E07C9A" w14:paraId="3075DD67" w14:textId="77777777" w:rsidTr="00672D2A">
        <w:tc>
          <w:tcPr>
            <w:tcW w:w="1697" w:type="dxa"/>
          </w:tcPr>
          <w:p w14:paraId="6571D4AE" w14:textId="77777777" w:rsidR="00BD5485" w:rsidRPr="00E07C9A" w:rsidRDefault="00BD5485" w:rsidP="00133107">
            <w:pPr>
              <w:rPr>
                <w:rFonts w:ascii="Times New Roman" w:hAnsi="Times New Roman"/>
                <w:sz w:val="24"/>
              </w:rPr>
            </w:pPr>
            <w:r w:rsidRPr="00E07C9A">
              <w:rPr>
                <w:rFonts w:ascii="Times New Roman" w:hAnsi="Times New Roman"/>
                <w:sz w:val="24"/>
              </w:rPr>
              <w:t>0030 – 0040</w:t>
            </w:r>
          </w:p>
        </w:tc>
        <w:tc>
          <w:tcPr>
            <w:tcW w:w="8131" w:type="dxa"/>
          </w:tcPr>
          <w:p w14:paraId="5AF8FE89" w14:textId="77777777" w:rsidR="00BD5485" w:rsidRPr="00E07C9A" w:rsidRDefault="00BD5485" w:rsidP="00BD5485">
            <w:pPr>
              <w:rPr>
                <w:rFonts w:ascii="Times New Roman" w:hAnsi="Times New Roman"/>
                <w:b/>
                <w:bCs/>
                <w:sz w:val="24"/>
                <w:u w:val="single"/>
              </w:rPr>
            </w:pPr>
            <w:r w:rsidRPr="00E07C9A">
              <w:rPr>
                <w:rFonts w:ascii="Times New Roman" w:hAnsi="Times New Roman"/>
                <w:b/>
                <w:sz w:val="24"/>
                <w:u w:val="single"/>
              </w:rPr>
              <w:t>Príslušné expozície voči kreditnému riziku – Trhové riziko</w:t>
            </w:r>
          </w:p>
          <w:p w14:paraId="1D49BA1E" w14:textId="3B171BD2" w:rsidR="00BD5485" w:rsidRPr="00E07C9A" w:rsidRDefault="00BD5485" w:rsidP="00A37A04">
            <w:pPr>
              <w:rPr>
                <w:rFonts w:ascii="Times New Roman" w:hAnsi="Times New Roman"/>
                <w:b/>
                <w:bCs/>
                <w:sz w:val="24"/>
                <w:u w:val="single"/>
              </w:rPr>
            </w:pPr>
            <w:r w:rsidRPr="00E07C9A">
              <w:rPr>
                <w:rFonts w:ascii="Times New Roman" w:hAnsi="Times New Roman"/>
                <w:sz w:val="24"/>
              </w:rPr>
              <w:t>Príslušné expozície voči kreditnému riziku uvedené</w:t>
            </w:r>
            <w:r w:rsidR="009912F8" w:rsidRPr="00E07C9A">
              <w:rPr>
                <w:rFonts w:ascii="Times New Roman" w:hAnsi="Times New Roman"/>
                <w:sz w:val="24"/>
              </w:rPr>
              <w:t xml:space="preserve"> v </w:t>
            </w:r>
            <w:r w:rsidRPr="00E07C9A">
              <w:rPr>
                <w:rFonts w:ascii="Times New Roman" w:hAnsi="Times New Roman"/>
                <w:sz w:val="24"/>
              </w:rPr>
              <w:t>článku 140 ods. 4 písm. b) smernice 2013/36/EÚ.</w:t>
            </w:r>
          </w:p>
        </w:tc>
      </w:tr>
      <w:tr w:rsidR="00BD5485" w:rsidRPr="00E07C9A" w14:paraId="2F0A25E9" w14:textId="77777777" w:rsidTr="00672D2A">
        <w:tc>
          <w:tcPr>
            <w:tcW w:w="1697" w:type="dxa"/>
          </w:tcPr>
          <w:p w14:paraId="34BB7D5A" w14:textId="77777777" w:rsidR="00BD5485" w:rsidRPr="00E07C9A" w:rsidRDefault="00BD5485" w:rsidP="00133107">
            <w:pPr>
              <w:rPr>
                <w:rFonts w:ascii="Times New Roman" w:hAnsi="Times New Roman"/>
                <w:sz w:val="24"/>
              </w:rPr>
            </w:pPr>
            <w:r w:rsidRPr="00E07C9A">
              <w:rPr>
                <w:rFonts w:ascii="Times New Roman" w:hAnsi="Times New Roman"/>
                <w:sz w:val="24"/>
              </w:rPr>
              <w:t>0030</w:t>
            </w:r>
          </w:p>
        </w:tc>
        <w:tc>
          <w:tcPr>
            <w:tcW w:w="8131" w:type="dxa"/>
          </w:tcPr>
          <w:p w14:paraId="17C4C3BC" w14:textId="78243F11" w:rsidR="00BD5485" w:rsidRPr="00E07C9A" w:rsidRDefault="00BD5485" w:rsidP="00BD5485">
            <w:pPr>
              <w:rPr>
                <w:rFonts w:ascii="Times New Roman" w:hAnsi="Times New Roman"/>
                <w:b/>
                <w:bCs/>
                <w:sz w:val="24"/>
                <w:u w:val="single"/>
              </w:rPr>
            </w:pPr>
            <w:r w:rsidRPr="00E07C9A">
              <w:rPr>
                <w:rFonts w:ascii="Times New Roman" w:hAnsi="Times New Roman"/>
                <w:b/>
                <w:sz w:val="24"/>
                <w:u w:val="single"/>
              </w:rPr>
              <w:t>Súčet dlhých</w:t>
            </w:r>
            <w:r w:rsidR="009912F8" w:rsidRPr="00E07C9A">
              <w:rPr>
                <w:rFonts w:ascii="Times New Roman" w:hAnsi="Times New Roman"/>
                <w:b/>
                <w:sz w:val="24"/>
                <w:u w:val="single"/>
              </w:rPr>
              <w:t xml:space="preserve"> a </w:t>
            </w:r>
            <w:r w:rsidRPr="00E07C9A">
              <w:rPr>
                <w:rFonts w:ascii="Times New Roman" w:hAnsi="Times New Roman"/>
                <w:b/>
                <w:sz w:val="24"/>
                <w:u w:val="single"/>
              </w:rPr>
              <w:t>krátkych pozícií expozícií</w:t>
            </w:r>
            <w:r w:rsidR="009912F8" w:rsidRPr="00E07C9A">
              <w:rPr>
                <w:rFonts w:ascii="Times New Roman" w:hAnsi="Times New Roman"/>
                <w:b/>
                <w:sz w:val="24"/>
                <w:u w:val="single"/>
              </w:rPr>
              <w:t xml:space="preserve"> v </w:t>
            </w:r>
            <w:r w:rsidRPr="00E07C9A">
              <w:rPr>
                <w:rFonts w:ascii="Times New Roman" w:hAnsi="Times New Roman"/>
                <w:b/>
                <w:sz w:val="24"/>
                <w:u w:val="single"/>
              </w:rPr>
              <w:t>obchodnej knihe pre štandardizovaný prístup</w:t>
            </w:r>
          </w:p>
          <w:p w14:paraId="6FF82CDB" w14:textId="3D55E2C6" w:rsidR="009912F8" w:rsidRPr="00E07C9A" w:rsidRDefault="00BD5485" w:rsidP="00BD5485">
            <w:pPr>
              <w:autoSpaceDE w:val="0"/>
              <w:autoSpaceDN w:val="0"/>
              <w:adjustRightInd w:val="0"/>
              <w:rPr>
                <w:rFonts w:ascii="Times New Roman" w:hAnsi="Times New Roman"/>
                <w:sz w:val="24"/>
              </w:rPr>
            </w:pPr>
            <w:r w:rsidRPr="00E07C9A">
              <w:rPr>
                <w:rFonts w:ascii="Times New Roman" w:hAnsi="Times New Roman"/>
                <w:sz w:val="24"/>
              </w:rPr>
              <w:t>Súčet čistých dlhých</w:t>
            </w:r>
            <w:r w:rsidR="009912F8" w:rsidRPr="00E07C9A">
              <w:rPr>
                <w:rFonts w:ascii="Times New Roman" w:hAnsi="Times New Roman"/>
                <w:sz w:val="24"/>
              </w:rPr>
              <w:t xml:space="preserve"> a </w:t>
            </w:r>
            <w:r w:rsidRPr="00E07C9A">
              <w:rPr>
                <w:rFonts w:ascii="Times New Roman" w:hAnsi="Times New Roman"/>
                <w:sz w:val="24"/>
              </w:rPr>
              <w:t>čistých krátkych pozícií</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327 nariadenia (EÚ) </w:t>
            </w:r>
            <w:r w:rsidR="009912F8" w:rsidRPr="00E07C9A">
              <w:rPr>
                <w:rFonts w:ascii="Times New Roman" w:hAnsi="Times New Roman"/>
                <w:sz w:val="24"/>
              </w:rPr>
              <w:t>č. 575/2013 v </w:t>
            </w:r>
            <w:r w:rsidRPr="00E07C9A">
              <w:rPr>
                <w:rFonts w:ascii="Times New Roman" w:hAnsi="Times New Roman"/>
                <w:sz w:val="24"/>
              </w:rPr>
              <w:t>súvislosti</w:t>
            </w:r>
            <w:r w:rsidR="009912F8" w:rsidRPr="00E07C9A">
              <w:rPr>
                <w:rFonts w:ascii="Times New Roman" w:hAnsi="Times New Roman"/>
                <w:sz w:val="24"/>
              </w:rPr>
              <w:t xml:space="preserve"> s </w:t>
            </w:r>
            <w:r w:rsidRPr="00E07C9A">
              <w:rPr>
                <w:rFonts w:ascii="Times New Roman" w:hAnsi="Times New Roman"/>
                <w:sz w:val="24"/>
              </w:rPr>
              <w:t>expozíciami voči kreditnému riziku uvedenými</w:t>
            </w:r>
            <w:r w:rsidR="009912F8" w:rsidRPr="00E07C9A">
              <w:rPr>
                <w:rFonts w:ascii="Times New Roman" w:hAnsi="Times New Roman"/>
                <w:sz w:val="24"/>
              </w:rPr>
              <w:t xml:space="preserve"> v </w:t>
            </w:r>
            <w:r w:rsidRPr="00E07C9A">
              <w:rPr>
                <w:rFonts w:ascii="Times New Roman" w:hAnsi="Times New Roman"/>
                <w:sz w:val="24"/>
              </w:rPr>
              <w:t xml:space="preserve">článku 140 ods. 4 písm. b) smernice 2013/36/EÚ, na ktoré sa vzťahujú požiadavky na vlastné zdroje podľa tretej časti hlavy IV kapitoly 2 nariadenia (EÚ) </w:t>
            </w:r>
            <w:r w:rsidR="009912F8" w:rsidRPr="00E07C9A">
              <w:rPr>
                <w:rFonts w:ascii="Times New Roman" w:hAnsi="Times New Roman"/>
                <w:sz w:val="24"/>
              </w:rPr>
              <w:t>č. 575/2013:</w:t>
            </w:r>
          </w:p>
          <w:p w14:paraId="74553E51" w14:textId="7B5110A3" w:rsidR="00C4425F" w:rsidRPr="00E07C9A" w:rsidRDefault="00125707" w:rsidP="0023700C">
            <w:pPr>
              <w:autoSpaceDE w:val="0"/>
              <w:autoSpaceDN w:val="0"/>
              <w:adjustRightInd w:val="0"/>
              <w:ind w:left="357" w:hanging="357"/>
              <w:contextualSpacing/>
              <w:rPr>
                <w:rFonts w:ascii="Times New Roman" w:hAnsi="Times New Roman"/>
                <w:sz w:val="24"/>
              </w:rPr>
            </w:pPr>
            <w:r w:rsidRPr="00E07C9A">
              <w:rPr>
                <w:rFonts w:ascii="Times New Roman" w:hAnsi="Times New Roman"/>
                <w:sz w:val="24"/>
              </w:rPr>
              <w:t>–</w:t>
            </w:r>
            <w:r w:rsidRPr="00E07C9A">
              <w:rPr>
                <w:rFonts w:ascii="Times New Roman" w:hAnsi="Times New Roman"/>
              </w:rPr>
              <w:tab/>
            </w:r>
            <w:r w:rsidRPr="00E07C9A">
              <w:rPr>
                <w:rFonts w:ascii="Times New Roman" w:hAnsi="Times New Roman"/>
                <w:sz w:val="24"/>
              </w:rPr>
              <w:t>expozície voči dlhovým nástrojom iným než sekuritizácii;</w:t>
            </w:r>
          </w:p>
          <w:p w14:paraId="05448CB6" w14:textId="252F92A3" w:rsidR="00C4425F" w:rsidRPr="00E07C9A" w:rsidRDefault="00125707" w:rsidP="0023700C">
            <w:pPr>
              <w:autoSpaceDE w:val="0"/>
              <w:autoSpaceDN w:val="0"/>
              <w:adjustRightInd w:val="0"/>
              <w:ind w:left="357" w:hanging="357"/>
              <w:contextualSpacing/>
              <w:rPr>
                <w:rFonts w:ascii="Times New Roman" w:hAnsi="Times New Roman"/>
                <w:sz w:val="24"/>
              </w:rPr>
            </w:pPr>
            <w:r w:rsidRPr="00E07C9A">
              <w:rPr>
                <w:rFonts w:ascii="Times New Roman" w:hAnsi="Times New Roman"/>
                <w:sz w:val="24"/>
              </w:rPr>
              <w:t>–</w:t>
            </w:r>
            <w:r w:rsidRPr="00E07C9A">
              <w:rPr>
                <w:rFonts w:ascii="Times New Roman" w:hAnsi="Times New Roman"/>
              </w:rPr>
              <w:tab/>
            </w:r>
            <w:r w:rsidRPr="00E07C9A">
              <w:rPr>
                <w:rFonts w:ascii="Times New Roman" w:hAnsi="Times New Roman"/>
                <w:sz w:val="24"/>
              </w:rPr>
              <w:t>expozície voči sekuritizačným pozíciám</w:t>
            </w:r>
            <w:r w:rsidR="009912F8" w:rsidRPr="00E07C9A">
              <w:rPr>
                <w:rFonts w:ascii="Times New Roman" w:hAnsi="Times New Roman"/>
                <w:sz w:val="24"/>
              </w:rPr>
              <w:t xml:space="preserve"> v </w:t>
            </w:r>
            <w:r w:rsidRPr="00E07C9A">
              <w:rPr>
                <w:rFonts w:ascii="Times New Roman" w:hAnsi="Times New Roman"/>
                <w:sz w:val="24"/>
              </w:rPr>
              <w:t>obchodnej knihe;</w:t>
            </w:r>
          </w:p>
          <w:p w14:paraId="31D6C928" w14:textId="77777777" w:rsidR="00C4425F" w:rsidRPr="00E07C9A" w:rsidRDefault="00125707" w:rsidP="0023700C">
            <w:pPr>
              <w:autoSpaceDE w:val="0"/>
              <w:autoSpaceDN w:val="0"/>
              <w:adjustRightInd w:val="0"/>
              <w:ind w:left="357" w:hanging="357"/>
              <w:contextualSpacing/>
              <w:rPr>
                <w:rFonts w:ascii="Times New Roman" w:hAnsi="Times New Roman"/>
                <w:sz w:val="24"/>
              </w:rPr>
            </w:pPr>
            <w:r w:rsidRPr="00E07C9A">
              <w:rPr>
                <w:rFonts w:ascii="Times New Roman" w:hAnsi="Times New Roman"/>
                <w:sz w:val="24"/>
              </w:rPr>
              <w:t>–</w:t>
            </w:r>
            <w:r w:rsidRPr="00E07C9A">
              <w:rPr>
                <w:rFonts w:ascii="Times New Roman" w:hAnsi="Times New Roman"/>
              </w:rPr>
              <w:tab/>
            </w:r>
            <w:r w:rsidRPr="00E07C9A">
              <w:rPr>
                <w:rFonts w:ascii="Times New Roman" w:hAnsi="Times New Roman"/>
                <w:sz w:val="24"/>
              </w:rPr>
              <w:t>expozície voči korelačným obchodným portfóliám;</w:t>
            </w:r>
          </w:p>
          <w:p w14:paraId="17EFCF5D" w14:textId="77777777" w:rsidR="00C4425F" w:rsidRPr="00E07C9A" w:rsidRDefault="00125707" w:rsidP="0023700C">
            <w:pPr>
              <w:autoSpaceDE w:val="0"/>
              <w:autoSpaceDN w:val="0"/>
              <w:adjustRightInd w:val="0"/>
              <w:ind w:left="357" w:hanging="357"/>
              <w:contextualSpacing/>
              <w:rPr>
                <w:rFonts w:ascii="Times New Roman" w:hAnsi="Times New Roman"/>
                <w:sz w:val="24"/>
              </w:rPr>
            </w:pPr>
            <w:r w:rsidRPr="00E07C9A">
              <w:rPr>
                <w:rFonts w:ascii="Times New Roman" w:hAnsi="Times New Roman"/>
                <w:sz w:val="24"/>
              </w:rPr>
              <w:t>–</w:t>
            </w:r>
            <w:r w:rsidRPr="00E07C9A">
              <w:rPr>
                <w:rFonts w:ascii="Times New Roman" w:hAnsi="Times New Roman"/>
              </w:rPr>
              <w:tab/>
            </w:r>
            <w:r w:rsidRPr="00E07C9A">
              <w:rPr>
                <w:rFonts w:ascii="Times New Roman" w:hAnsi="Times New Roman"/>
                <w:sz w:val="24"/>
              </w:rPr>
              <w:t>expozície voči majetkovým cenným papierom;</w:t>
            </w:r>
          </w:p>
          <w:p w14:paraId="65F2CF5E" w14:textId="7655A93D" w:rsidR="00797715" w:rsidRPr="00E07C9A" w:rsidRDefault="00125707" w:rsidP="0023700C">
            <w:pPr>
              <w:autoSpaceDE w:val="0"/>
              <w:autoSpaceDN w:val="0"/>
              <w:adjustRightInd w:val="0"/>
              <w:ind w:left="357" w:hanging="357"/>
              <w:contextualSpacing/>
              <w:rPr>
                <w:rFonts w:ascii="Times New Roman" w:hAnsi="Times New Roman"/>
                <w:b/>
                <w:bCs/>
                <w:sz w:val="24"/>
                <w:u w:val="single"/>
              </w:rPr>
            </w:pPr>
            <w:r w:rsidRPr="00E07C9A">
              <w:rPr>
                <w:rFonts w:ascii="Times New Roman" w:hAnsi="Times New Roman"/>
                <w:sz w:val="24"/>
              </w:rPr>
              <w:t>–</w:t>
            </w:r>
            <w:r w:rsidRPr="00E07C9A">
              <w:rPr>
                <w:rFonts w:ascii="Times New Roman" w:hAnsi="Times New Roman"/>
              </w:rPr>
              <w:tab/>
            </w:r>
            <w:r w:rsidRPr="00E07C9A">
              <w:rPr>
                <w:rFonts w:ascii="Times New Roman" w:hAnsi="Times New Roman"/>
                <w:sz w:val="24"/>
              </w:rPr>
              <w:t>expozície voči PKI, ak sa kapitálové požiadavky vypočítavajú</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348 nariadenia (EÚ) </w:t>
            </w:r>
            <w:r w:rsidR="009912F8" w:rsidRPr="00E07C9A">
              <w:rPr>
                <w:rFonts w:ascii="Times New Roman" w:hAnsi="Times New Roman"/>
                <w:sz w:val="24"/>
              </w:rPr>
              <w:t>č. 575/2013</w:t>
            </w:r>
            <w:r w:rsidRPr="00E07C9A">
              <w:rPr>
                <w:rFonts w:ascii="Times New Roman" w:hAnsi="Times New Roman"/>
                <w:sz w:val="24"/>
              </w:rPr>
              <w:t>.</w:t>
            </w:r>
          </w:p>
        </w:tc>
      </w:tr>
      <w:tr w:rsidR="00BD5485" w:rsidRPr="00E07C9A" w14:paraId="09D848FB" w14:textId="77777777" w:rsidTr="00672D2A">
        <w:tc>
          <w:tcPr>
            <w:tcW w:w="1697" w:type="dxa"/>
          </w:tcPr>
          <w:p w14:paraId="335D308A" w14:textId="77777777" w:rsidR="00BD5485" w:rsidRPr="00E07C9A" w:rsidRDefault="00BD5485" w:rsidP="00133107">
            <w:pPr>
              <w:rPr>
                <w:rFonts w:ascii="Times New Roman" w:hAnsi="Times New Roman"/>
                <w:sz w:val="24"/>
              </w:rPr>
            </w:pPr>
            <w:r w:rsidRPr="00E07C9A">
              <w:rPr>
                <w:rFonts w:ascii="Times New Roman" w:hAnsi="Times New Roman"/>
                <w:sz w:val="24"/>
              </w:rPr>
              <w:t>0040</w:t>
            </w:r>
          </w:p>
        </w:tc>
        <w:tc>
          <w:tcPr>
            <w:tcW w:w="8131" w:type="dxa"/>
          </w:tcPr>
          <w:p w14:paraId="191BF042" w14:textId="6626DECC" w:rsidR="00BD5485" w:rsidRPr="00E07C9A" w:rsidRDefault="00BD5485" w:rsidP="00BD5485">
            <w:pPr>
              <w:rPr>
                <w:rFonts w:ascii="Times New Roman" w:hAnsi="Times New Roman"/>
                <w:b/>
                <w:bCs/>
                <w:sz w:val="24"/>
                <w:u w:val="single"/>
              </w:rPr>
            </w:pPr>
            <w:r w:rsidRPr="00E07C9A">
              <w:rPr>
                <w:rFonts w:ascii="Times New Roman" w:hAnsi="Times New Roman"/>
                <w:b/>
                <w:sz w:val="24"/>
                <w:u w:val="single"/>
              </w:rPr>
              <w:t>Hodnota expozícií</w:t>
            </w:r>
            <w:r w:rsidR="009912F8" w:rsidRPr="00E07C9A">
              <w:rPr>
                <w:rFonts w:ascii="Times New Roman" w:hAnsi="Times New Roman"/>
                <w:b/>
                <w:sz w:val="24"/>
                <w:u w:val="single"/>
              </w:rPr>
              <w:t xml:space="preserve"> v </w:t>
            </w:r>
            <w:r w:rsidRPr="00E07C9A">
              <w:rPr>
                <w:rFonts w:ascii="Times New Roman" w:hAnsi="Times New Roman"/>
                <w:b/>
                <w:sz w:val="24"/>
                <w:u w:val="single"/>
              </w:rPr>
              <w:t>obchodnej knihe</w:t>
            </w:r>
            <w:r w:rsidR="009912F8" w:rsidRPr="00E07C9A">
              <w:rPr>
                <w:rFonts w:ascii="Times New Roman" w:hAnsi="Times New Roman"/>
                <w:b/>
                <w:sz w:val="24"/>
                <w:u w:val="single"/>
              </w:rPr>
              <w:t xml:space="preserve"> v </w:t>
            </w:r>
            <w:r w:rsidRPr="00E07C9A">
              <w:rPr>
                <w:rFonts w:ascii="Times New Roman" w:hAnsi="Times New Roman"/>
                <w:b/>
                <w:sz w:val="24"/>
                <w:u w:val="single"/>
              </w:rPr>
              <w:t>rámci prístupu interných modelov</w:t>
            </w:r>
          </w:p>
          <w:p w14:paraId="5FDCCA73" w14:textId="7659EB00" w:rsidR="00BD5485" w:rsidRPr="00E07C9A" w:rsidRDefault="00BD5485" w:rsidP="00BD5485">
            <w:pPr>
              <w:autoSpaceDE w:val="0"/>
              <w:autoSpaceDN w:val="0"/>
              <w:adjustRightInd w:val="0"/>
              <w:rPr>
                <w:rFonts w:ascii="Times New Roman" w:hAnsi="Times New Roman"/>
                <w:sz w:val="24"/>
              </w:rPr>
            </w:pPr>
            <w:r w:rsidRPr="00E07C9A">
              <w:rPr>
                <w:rFonts w:ascii="Times New Roman" w:hAnsi="Times New Roman"/>
                <w:sz w:val="24"/>
              </w:rPr>
              <w:t>Pre príslušné expozície voči kreditnému riziku uvedené</w:t>
            </w:r>
            <w:r w:rsidR="009912F8" w:rsidRPr="00E07C9A">
              <w:rPr>
                <w:rFonts w:ascii="Times New Roman" w:hAnsi="Times New Roman"/>
                <w:sz w:val="24"/>
              </w:rPr>
              <w:t xml:space="preserve"> v </w:t>
            </w:r>
            <w:r w:rsidRPr="00E07C9A">
              <w:rPr>
                <w:rFonts w:ascii="Times New Roman" w:hAnsi="Times New Roman"/>
                <w:sz w:val="24"/>
              </w:rPr>
              <w:t>článku 140 ods. 4 písm. b) smernice 2013/36/EÚ, na ktoré sa vzťahujú požiadavky na vlastné zdroje podľa tretej časti hlavy IV kapitol 2</w:t>
            </w:r>
            <w:r w:rsidR="009912F8" w:rsidRPr="00E07C9A">
              <w:rPr>
                <w:rFonts w:ascii="Times New Roman" w:hAnsi="Times New Roman"/>
                <w:sz w:val="24"/>
              </w:rPr>
              <w:t xml:space="preserve"> a </w:t>
            </w:r>
            <w:r w:rsidRPr="00E07C9A">
              <w:rPr>
                <w:rFonts w:ascii="Times New Roman" w:hAnsi="Times New Roman"/>
                <w:sz w:val="24"/>
              </w:rPr>
              <w:t xml:space="preserve">5 nariadenia (EÚ) </w:t>
            </w:r>
            <w:r w:rsidR="009912F8" w:rsidRPr="00E07C9A">
              <w:rPr>
                <w:rFonts w:ascii="Times New Roman" w:hAnsi="Times New Roman"/>
                <w:sz w:val="24"/>
              </w:rPr>
              <w:t>č. 575/2013</w:t>
            </w:r>
            <w:r w:rsidRPr="00E07C9A">
              <w:rPr>
                <w:rFonts w:ascii="Times New Roman" w:hAnsi="Times New Roman"/>
                <w:sz w:val="24"/>
              </w:rPr>
              <w:t>, sa vykazuje súčet týchto hodnôt:</w:t>
            </w:r>
          </w:p>
          <w:p w14:paraId="344F79A4" w14:textId="7DCFA320" w:rsidR="00BD5485" w:rsidRPr="00E07C9A" w:rsidRDefault="00125707" w:rsidP="0023700C">
            <w:pPr>
              <w:autoSpaceDE w:val="0"/>
              <w:autoSpaceDN w:val="0"/>
              <w:adjustRightInd w:val="0"/>
              <w:ind w:left="357" w:hanging="357"/>
              <w:contextualSpacing/>
              <w:rPr>
                <w:rFonts w:ascii="Times New Roman" w:hAnsi="Times New Roman"/>
                <w:sz w:val="24"/>
              </w:rPr>
            </w:pPr>
            <w:r w:rsidRPr="00E07C9A">
              <w:rPr>
                <w:rFonts w:ascii="Times New Roman" w:hAnsi="Times New Roman"/>
                <w:sz w:val="24"/>
              </w:rPr>
              <w:t>–</w:t>
            </w:r>
            <w:r w:rsidRPr="00E07C9A">
              <w:rPr>
                <w:rFonts w:ascii="Times New Roman" w:hAnsi="Times New Roman"/>
              </w:rPr>
              <w:tab/>
            </w:r>
            <w:r w:rsidRPr="00E07C9A">
              <w:rPr>
                <w:rFonts w:ascii="Times New Roman" w:hAnsi="Times New Roman"/>
                <w:sz w:val="24"/>
              </w:rPr>
              <w:t>Reálnej hodnoty nederivátových pozícií, ktoré predstavujú príslušné expozície voči kreditnému riziku uvedené</w:t>
            </w:r>
            <w:r w:rsidR="009912F8" w:rsidRPr="00E07C9A">
              <w:rPr>
                <w:rFonts w:ascii="Times New Roman" w:hAnsi="Times New Roman"/>
                <w:sz w:val="24"/>
              </w:rPr>
              <w:t xml:space="preserve"> v </w:t>
            </w:r>
            <w:r w:rsidRPr="00E07C9A">
              <w:rPr>
                <w:rFonts w:ascii="Times New Roman" w:hAnsi="Times New Roman"/>
                <w:sz w:val="24"/>
              </w:rPr>
              <w:t>článku 140 ods. 4 písm. b) smernice 2013/36/EÚ, určenej</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104 nariadenia (EÚ) </w:t>
            </w:r>
            <w:r w:rsidR="009912F8" w:rsidRPr="00E07C9A">
              <w:rPr>
                <w:rFonts w:ascii="Times New Roman" w:hAnsi="Times New Roman"/>
                <w:sz w:val="24"/>
              </w:rPr>
              <w:t>č. 575/2013</w:t>
            </w:r>
            <w:r w:rsidRPr="00E07C9A">
              <w:rPr>
                <w:rFonts w:ascii="Times New Roman" w:hAnsi="Times New Roman"/>
                <w:sz w:val="24"/>
              </w:rPr>
              <w:t>.</w:t>
            </w:r>
          </w:p>
          <w:p w14:paraId="67FA5694" w14:textId="3DDF11BF" w:rsidR="00BD5485" w:rsidRPr="00E07C9A" w:rsidRDefault="00125707" w:rsidP="00A37A04">
            <w:pPr>
              <w:autoSpaceDE w:val="0"/>
              <w:autoSpaceDN w:val="0"/>
              <w:adjustRightInd w:val="0"/>
              <w:ind w:left="357" w:hanging="357"/>
              <w:contextualSpacing/>
              <w:rPr>
                <w:rFonts w:ascii="Times New Roman" w:hAnsi="Times New Roman"/>
                <w:b/>
                <w:bCs/>
                <w:sz w:val="24"/>
                <w:u w:val="single"/>
              </w:rPr>
            </w:pPr>
            <w:r w:rsidRPr="00E07C9A">
              <w:rPr>
                <w:rFonts w:ascii="Times New Roman" w:hAnsi="Times New Roman"/>
                <w:sz w:val="24"/>
              </w:rPr>
              <w:t>–</w:t>
            </w:r>
            <w:r w:rsidRPr="00E07C9A">
              <w:rPr>
                <w:rFonts w:ascii="Times New Roman" w:hAnsi="Times New Roman"/>
              </w:rPr>
              <w:tab/>
            </w:r>
            <w:r w:rsidRPr="00E07C9A">
              <w:rPr>
                <w:rFonts w:ascii="Times New Roman" w:hAnsi="Times New Roman"/>
                <w:sz w:val="24"/>
              </w:rPr>
              <w:t>Pomyselnej hodnoty derivátov, ktoré predstavujú príslušné expozície voči kreditnému riziku</w:t>
            </w:r>
            <w:r w:rsidR="009912F8" w:rsidRPr="00E07C9A">
              <w:rPr>
                <w:rFonts w:ascii="Times New Roman" w:hAnsi="Times New Roman"/>
                <w:sz w:val="24"/>
              </w:rPr>
              <w:t xml:space="preserve"> v </w:t>
            </w:r>
            <w:r w:rsidRPr="00E07C9A">
              <w:rPr>
                <w:rFonts w:ascii="Times New Roman" w:hAnsi="Times New Roman"/>
                <w:sz w:val="24"/>
              </w:rPr>
              <w:t>uvedené</w:t>
            </w:r>
            <w:r w:rsidR="009912F8" w:rsidRPr="00E07C9A">
              <w:rPr>
                <w:rFonts w:ascii="Times New Roman" w:hAnsi="Times New Roman"/>
                <w:sz w:val="24"/>
              </w:rPr>
              <w:t xml:space="preserve"> v </w:t>
            </w:r>
            <w:r w:rsidRPr="00E07C9A">
              <w:rPr>
                <w:rFonts w:ascii="Times New Roman" w:hAnsi="Times New Roman"/>
                <w:sz w:val="24"/>
              </w:rPr>
              <w:t>článku 140 ods. 4 písm. b) smernice 2013/36/EÚ.</w:t>
            </w:r>
          </w:p>
        </w:tc>
      </w:tr>
      <w:tr w:rsidR="00BD5485" w:rsidRPr="00E07C9A" w14:paraId="610C5AD8" w14:textId="77777777" w:rsidTr="00672D2A">
        <w:tc>
          <w:tcPr>
            <w:tcW w:w="1697" w:type="dxa"/>
          </w:tcPr>
          <w:p w14:paraId="49747729" w14:textId="77777777" w:rsidR="00BD5485" w:rsidRPr="00E07C9A" w:rsidRDefault="008B6B86" w:rsidP="008B6B86">
            <w:pPr>
              <w:rPr>
                <w:rFonts w:ascii="Times New Roman" w:hAnsi="Times New Roman"/>
                <w:sz w:val="24"/>
              </w:rPr>
            </w:pPr>
            <w:r w:rsidRPr="00E07C9A">
              <w:rPr>
                <w:rFonts w:ascii="Times New Roman" w:hAnsi="Times New Roman"/>
                <w:sz w:val="24"/>
              </w:rPr>
              <w:t>0055</w:t>
            </w:r>
          </w:p>
        </w:tc>
        <w:tc>
          <w:tcPr>
            <w:tcW w:w="8131" w:type="dxa"/>
          </w:tcPr>
          <w:p w14:paraId="140C3FA8" w14:textId="12DC5B9C" w:rsidR="00BD5485" w:rsidRPr="00E07C9A" w:rsidRDefault="00BD5485" w:rsidP="00BD5485">
            <w:pPr>
              <w:rPr>
                <w:rFonts w:ascii="Times New Roman" w:hAnsi="Times New Roman"/>
                <w:b/>
                <w:bCs/>
                <w:sz w:val="24"/>
                <w:u w:val="single"/>
              </w:rPr>
            </w:pPr>
            <w:r w:rsidRPr="00E07C9A">
              <w:rPr>
                <w:rFonts w:ascii="Times New Roman" w:hAnsi="Times New Roman"/>
                <w:b/>
                <w:sz w:val="24"/>
                <w:u w:val="single"/>
              </w:rPr>
              <w:t>Príslušné expozície voči kreditnému riziku – Sekuritizačné pozície</w:t>
            </w:r>
            <w:r w:rsidR="009912F8" w:rsidRPr="00E07C9A">
              <w:rPr>
                <w:rFonts w:ascii="Times New Roman" w:hAnsi="Times New Roman"/>
                <w:b/>
                <w:sz w:val="24"/>
                <w:u w:val="single"/>
              </w:rPr>
              <w:t xml:space="preserve"> v </w:t>
            </w:r>
            <w:r w:rsidRPr="00E07C9A">
              <w:rPr>
                <w:rFonts w:ascii="Times New Roman" w:hAnsi="Times New Roman"/>
                <w:b/>
                <w:sz w:val="24"/>
                <w:u w:val="single"/>
              </w:rPr>
              <w:t>bankovej knihe</w:t>
            </w:r>
          </w:p>
          <w:p w14:paraId="34F2C8C1" w14:textId="42716FCD" w:rsidR="00BD5485" w:rsidRPr="00E07C9A" w:rsidRDefault="00C44421" w:rsidP="00A37A04">
            <w:pPr>
              <w:rPr>
                <w:rFonts w:ascii="Times New Roman" w:hAnsi="Times New Roman"/>
                <w:sz w:val="24"/>
              </w:rPr>
            </w:pPr>
            <w:r w:rsidRPr="00E07C9A">
              <w:rPr>
                <w:rFonts w:ascii="Times New Roman" w:hAnsi="Times New Roman"/>
                <w:sz w:val="24"/>
              </w:rPr>
              <w:t>Hodnota expozície vypočítaná</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248 nariadenia (EÚ) </w:t>
            </w:r>
            <w:r w:rsidR="009912F8" w:rsidRPr="00E07C9A">
              <w:rPr>
                <w:rFonts w:ascii="Times New Roman" w:hAnsi="Times New Roman"/>
                <w:sz w:val="24"/>
              </w:rPr>
              <w:t>č. 575/2013</w:t>
            </w:r>
            <w:r w:rsidRPr="00E07C9A">
              <w:rPr>
                <w:rFonts w:ascii="Times New Roman" w:hAnsi="Times New Roman"/>
                <w:sz w:val="24"/>
              </w:rPr>
              <w:t xml:space="preserve"> pre príslušné expozície voči kreditnému riziku uvedené</w:t>
            </w:r>
            <w:r w:rsidR="009912F8" w:rsidRPr="00E07C9A">
              <w:rPr>
                <w:rFonts w:ascii="Times New Roman" w:hAnsi="Times New Roman"/>
                <w:sz w:val="24"/>
              </w:rPr>
              <w:t xml:space="preserve"> v </w:t>
            </w:r>
            <w:r w:rsidRPr="00E07C9A">
              <w:rPr>
                <w:rFonts w:ascii="Times New Roman" w:hAnsi="Times New Roman"/>
                <w:sz w:val="24"/>
              </w:rPr>
              <w:t>článku 140 ods. 4 písm. c) smernice 2013/36/EÚ.</w:t>
            </w:r>
          </w:p>
        </w:tc>
      </w:tr>
      <w:tr w:rsidR="00BD5485" w:rsidRPr="00E07C9A" w14:paraId="386A1DA9" w14:textId="77777777" w:rsidTr="00672D2A">
        <w:tc>
          <w:tcPr>
            <w:tcW w:w="1697" w:type="dxa"/>
          </w:tcPr>
          <w:p w14:paraId="3205FC4B" w14:textId="77777777" w:rsidR="00BD5485" w:rsidRPr="00E07C9A" w:rsidRDefault="00BD5485" w:rsidP="00133107">
            <w:pPr>
              <w:rPr>
                <w:rFonts w:ascii="Times New Roman" w:hAnsi="Times New Roman"/>
                <w:sz w:val="24"/>
              </w:rPr>
            </w:pPr>
            <w:r w:rsidRPr="00E07C9A">
              <w:rPr>
                <w:rFonts w:ascii="Times New Roman" w:hAnsi="Times New Roman"/>
                <w:sz w:val="24"/>
              </w:rPr>
              <w:t>0070 – 0110</w:t>
            </w:r>
          </w:p>
        </w:tc>
        <w:tc>
          <w:tcPr>
            <w:tcW w:w="8131" w:type="dxa"/>
          </w:tcPr>
          <w:p w14:paraId="2AAC8B56" w14:textId="162ED6F0" w:rsidR="00BD5485" w:rsidRPr="00E07C9A" w:rsidRDefault="00BD5485" w:rsidP="00133107">
            <w:pPr>
              <w:rPr>
                <w:rFonts w:ascii="Times New Roman" w:hAnsi="Times New Roman"/>
                <w:b/>
                <w:bCs/>
                <w:sz w:val="24"/>
                <w:u w:val="single"/>
              </w:rPr>
            </w:pPr>
            <w:r w:rsidRPr="00E07C9A">
              <w:rPr>
                <w:rFonts w:ascii="Times New Roman" w:hAnsi="Times New Roman"/>
                <w:b/>
                <w:sz w:val="24"/>
                <w:u w:val="single"/>
              </w:rPr>
              <w:t>Požiadavky na vlastné zdroje</w:t>
            </w:r>
            <w:r w:rsidR="009912F8" w:rsidRPr="00E07C9A">
              <w:rPr>
                <w:rFonts w:ascii="Times New Roman" w:hAnsi="Times New Roman"/>
                <w:b/>
                <w:sz w:val="24"/>
                <w:u w:val="single"/>
              </w:rPr>
              <w:t xml:space="preserve"> a </w:t>
            </w:r>
            <w:r w:rsidRPr="00E07C9A">
              <w:rPr>
                <w:rFonts w:ascii="Times New Roman" w:hAnsi="Times New Roman"/>
                <w:b/>
                <w:sz w:val="24"/>
                <w:u w:val="single"/>
              </w:rPr>
              <w:t>ich váženie</w:t>
            </w:r>
          </w:p>
        </w:tc>
      </w:tr>
      <w:tr w:rsidR="00BD5485" w:rsidRPr="00E07C9A" w14:paraId="6F463F07" w14:textId="77777777" w:rsidTr="00672D2A">
        <w:tc>
          <w:tcPr>
            <w:tcW w:w="1697" w:type="dxa"/>
          </w:tcPr>
          <w:p w14:paraId="5A00B7CE" w14:textId="77777777" w:rsidR="00BD5485" w:rsidRPr="00E07C9A" w:rsidRDefault="00BD5485" w:rsidP="00133107">
            <w:pPr>
              <w:rPr>
                <w:rFonts w:ascii="Times New Roman" w:hAnsi="Times New Roman"/>
                <w:sz w:val="24"/>
              </w:rPr>
            </w:pPr>
            <w:r w:rsidRPr="00E07C9A">
              <w:rPr>
                <w:rFonts w:ascii="Times New Roman" w:hAnsi="Times New Roman"/>
                <w:sz w:val="24"/>
              </w:rPr>
              <w:t>0070</w:t>
            </w:r>
          </w:p>
        </w:tc>
        <w:tc>
          <w:tcPr>
            <w:tcW w:w="8131" w:type="dxa"/>
          </w:tcPr>
          <w:p w14:paraId="68984AC0" w14:textId="77777777" w:rsidR="00BD5485" w:rsidRPr="00E07C9A" w:rsidRDefault="00BD5485" w:rsidP="00BD5485">
            <w:pPr>
              <w:rPr>
                <w:rFonts w:ascii="Times New Roman" w:hAnsi="Times New Roman"/>
                <w:b/>
                <w:bCs/>
                <w:sz w:val="24"/>
                <w:u w:val="single"/>
              </w:rPr>
            </w:pPr>
            <w:r w:rsidRPr="00E07C9A">
              <w:rPr>
                <w:rFonts w:ascii="Times New Roman" w:hAnsi="Times New Roman"/>
                <w:b/>
                <w:sz w:val="24"/>
                <w:u w:val="single"/>
              </w:rPr>
              <w:t>Požiadavky na celkové vlastné zdroje pre proticyklický kapitálový vankúš</w:t>
            </w:r>
          </w:p>
          <w:p w14:paraId="35789DB0" w14:textId="5CBD3FF9" w:rsidR="00BD5485" w:rsidRPr="00E07C9A" w:rsidRDefault="00BD5485" w:rsidP="00BD5485">
            <w:pPr>
              <w:rPr>
                <w:rFonts w:ascii="Times New Roman" w:hAnsi="Times New Roman"/>
                <w:b/>
                <w:bCs/>
                <w:sz w:val="24"/>
                <w:u w:val="single"/>
              </w:rPr>
            </w:pPr>
            <w:r w:rsidRPr="00E07C9A">
              <w:rPr>
                <w:rFonts w:ascii="Times New Roman" w:hAnsi="Times New Roman"/>
                <w:sz w:val="24"/>
              </w:rPr>
              <w:t>Súčet riadkov 0080, 0090</w:t>
            </w:r>
            <w:r w:rsidR="009912F8" w:rsidRPr="00E07C9A">
              <w:rPr>
                <w:rFonts w:ascii="Times New Roman" w:hAnsi="Times New Roman"/>
                <w:sz w:val="24"/>
              </w:rPr>
              <w:t xml:space="preserve"> a </w:t>
            </w:r>
            <w:r w:rsidRPr="00E07C9A">
              <w:rPr>
                <w:rFonts w:ascii="Times New Roman" w:hAnsi="Times New Roman"/>
                <w:sz w:val="24"/>
              </w:rPr>
              <w:t>0100.</w:t>
            </w:r>
          </w:p>
        </w:tc>
      </w:tr>
      <w:tr w:rsidR="00BD5485" w:rsidRPr="00E07C9A" w14:paraId="5E930628" w14:textId="77777777" w:rsidTr="00672D2A">
        <w:tc>
          <w:tcPr>
            <w:tcW w:w="1697" w:type="dxa"/>
          </w:tcPr>
          <w:p w14:paraId="74ECE46E" w14:textId="77777777" w:rsidR="00BD5485" w:rsidRPr="00E07C9A" w:rsidRDefault="00BD5485" w:rsidP="00133107">
            <w:pPr>
              <w:rPr>
                <w:rFonts w:ascii="Times New Roman" w:hAnsi="Times New Roman"/>
                <w:sz w:val="24"/>
              </w:rPr>
            </w:pPr>
            <w:r w:rsidRPr="00E07C9A">
              <w:rPr>
                <w:rFonts w:ascii="Times New Roman" w:hAnsi="Times New Roman"/>
                <w:sz w:val="24"/>
              </w:rPr>
              <w:t>0080</w:t>
            </w:r>
          </w:p>
        </w:tc>
        <w:tc>
          <w:tcPr>
            <w:tcW w:w="8131" w:type="dxa"/>
          </w:tcPr>
          <w:p w14:paraId="03057806" w14:textId="77777777" w:rsidR="009912F8" w:rsidRPr="00E07C9A" w:rsidRDefault="00C211DC" w:rsidP="00BD5485">
            <w:pPr>
              <w:rPr>
                <w:rFonts w:ascii="Times New Roman" w:hAnsi="Times New Roman"/>
                <w:b/>
                <w:sz w:val="24"/>
                <w:u w:val="single"/>
              </w:rPr>
            </w:pPr>
            <w:r w:rsidRPr="00E07C9A">
              <w:rPr>
                <w:rFonts w:ascii="Times New Roman" w:hAnsi="Times New Roman"/>
                <w:b/>
                <w:sz w:val="24"/>
                <w:u w:val="single"/>
              </w:rPr>
              <w:t>Požiadavky na vlastné zdroje pre príslušné expozície voči kreditnému riziku – úverové riziko</w:t>
            </w:r>
          </w:p>
          <w:p w14:paraId="1FD5576D" w14:textId="2C5422F8" w:rsidR="00BD5485" w:rsidRPr="00E07C9A" w:rsidRDefault="00BD5485" w:rsidP="00BD5485">
            <w:pPr>
              <w:autoSpaceDE w:val="0"/>
              <w:autoSpaceDN w:val="0"/>
              <w:adjustRightInd w:val="0"/>
              <w:rPr>
                <w:rFonts w:ascii="Times New Roman" w:hAnsi="Times New Roman"/>
                <w:sz w:val="24"/>
              </w:rPr>
            </w:pPr>
            <w:r w:rsidRPr="00E07C9A">
              <w:rPr>
                <w:rFonts w:ascii="Times New Roman" w:hAnsi="Times New Roman"/>
                <w:sz w:val="24"/>
              </w:rPr>
              <w:t>Požiadavky na vlastné zdroje vypočítané</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treťou časťou hlavou II kapitolami 1 až 4</w:t>
            </w:r>
            <w:r w:rsidR="009912F8" w:rsidRPr="00E07C9A">
              <w:rPr>
                <w:rFonts w:ascii="Times New Roman" w:hAnsi="Times New Roman"/>
                <w:sz w:val="24"/>
              </w:rPr>
              <w:t xml:space="preserve"> a </w:t>
            </w:r>
            <w:r w:rsidRPr="00E07C9A">
              <w:rPr>
                <w:rFonts w:ascii="Times New Roman" w:hAnsi="Times New Roman"/>
                <w:sz w:val="24"/>
              </w:rPr>
              <w:t xml:space="preserve">kapitolou 6 nariadenia (EÚ) </w:t>
            </w:r>
            <w:r w:rsidR="009912F8" w:rsidRPr="00E07C9A">
              <w:rPr>
                <w:rFonts w:ascii="Times New Roman" w:hAnsi="Times New Roman"/>
                <w:sz w:val="24"/>
              </w:rPr>
              <w:t>č. 575/2013</w:t>
            </w:r>
            <w:r w:rsidRPr="00E07C9A">
              <w:rPr>
                <w:rFonts w:ascii="Times New Roman" w:hAnsi="Times New Roman"/>
                <w:sz w:val="24"/>
              </w:rPr>
              <w:t xml:space="preserve"> pre príslušné expozície voči kreditnému riziku uvedené</w:t>
            </w:r>
            <w:r w:rsidR="009912F8" w:rsidRPr="00E07C9A">
              <w:rPr>
                <w:rFonts w:ascii="Times New Roman" w:hAnsi="Times New Roman"/>
                <w:sz w:val="24"/>
              </w:rPr>
              <w:t xml:space="preserve"> v </w:t>
            </w:r>
            <w:r w:rsidRPr="00E07C9A">
              <w:rPr>
                <w:rFonts w:ascii="Times New Roman" w:hAnsi="Times New Roman"/>
                <w:sz w:val="24"/>
              </w:rPr>
              <w:t>článku 140 ods. 4 písm. a) smernice 2013/36/EÚ</w:t>
            </w:r>
            <w:r w:rsidR="009912F8" w:rsidRPr="00E07C9A">
              <w:rPr>
                <w:rFonts w:ascii="Times New Roman" w:hAnsi="Times New Roman"/>
                <w:sz w:val="24"/>
              </w:rPr>
              <w:t xml:space="preserve"> v </w:t>
            </w:r>
            <w:r w:rsidRPr="00E07C9A">
              <w:rPr>
                <w:rFonts w:ascii="Times New Roman" w:hAnsi="Times New Roman"/>
                <w:sz w:val="24"/>
              </w:rPr>
              <w:t>dotknutej krajine.</w:t>
            </w:r>
          </w:p>
          <w:p w14:paraId="5687B395" w14:textId="67FE589C" w:rsidR="00BD5485" w:rsidRPr="00E07C9A" w:rsidRDefault="00BD5485" w:rsidP="00BD5485">
            <w:pPr>
              <w:autoSpaceDE w:val="0"/>
              <w:autoSpaceDN w:val="0"/>
              <w:adjustRightInd w:val="0"/>
              <w:rPr>
                <w:rFonts w:ascii="Times New Roman" w:hAnsi="Times New Roman"/>
                <w:sz w:val="24"/>
              </w:rPr>
            </w:pPr>
            <w:r w:rsidRPr="00E07C9A">
              <w:rPr>
                <w:rFonts w:ascii="Times New Roman" w:hAnsi="Times New Roman"/>
                <w:sz w:val="24"/>
              </w:rPr>
              <w:t>Požiadavky na vlastné zdroje pre sekuritizačné pozície</w:t>
            </w:r>
            <w:r w:rsidR="009912F8" w:rsidRPr="00E07C9A">
              <w:rPr>
                <w:rFonts w:ascii="Times New Roman" w:hAnsi="Times New Roman"/>
                <w:sz w:val="24"/>
              </w:rPr>
              <w:t xml:space="preserve"> v </w:t>
            </w:r>
            <w:r w:rsidRPr="00E07C9A">
              <w:rPr>
                <w:rFonts w:ascii="Times New Roman" w:hAnsi="Times New Roman"/>
                <w:sz w:val="24"/>
              </w:rPr>
              <w:t>bankovej knihe sa vylučujú</w:t>
            </w:r>
            <w:r w:rsidR="009912F8" w:rsidRPr="00E07C9A">
              <w:rPr>
                <w:rFonts w:ascii="Times New Roman" w:hAnsi="Times New Roman"/>
                <w:sz w:val="24"/>
              </w:rPr>
              <w:t xml:space="preserve"> z </w:t>
            </w:r>
            <w:r w:rsidRPr="00E07C9A">
              <w:rPr>
                <w:rFonts w:ascii="Times New Roman" w:hAnsi="Times New Roman"/>
                <w:sz w:val="24"/>
              </w:rPr>
              <w:t>tohto riadku</w:t>
            </w:r>
            <w:r w:rsidR="009912F8" w:rsidRPr="00E07C9A">
              <w:rPr>
                <w:rFonts w:ascii="Times New Roman" w:hAnsi="Times New Roman"/>
                <w:sz w:val="24"/>
              </w:rPr>
              <w:t xml:space="preserve"> a </w:t>
            </w:r>
            <w:r w:rsidRPr="00E07C9A">
              <w:rPr>
                <w:rFonts w:ascii="Times New Roman" w:hAnsi="Times New Roman"/>
                <w:sz w:val="24"/>
              </w:rPr>
              <w:t>uvádzajú sa</w:t>
            </w:r>
            <w:r w:rsidR="009912F8" w:rsidRPr="00E07C9A">
              <w:rPr>
                <w:rFonts w:ascii="Times New Roman" w:hAnsi="Times New Roman"/>
                <w:sz w:val="24"/>
              </w:rPr>
              <w:t xml:space="preserve"> v </w:t>
            </w:r>
            <w:r w:rsidRPr="00E07C9A">
              <w:rPr>
                <w:rFonts w:ascii="Times New Roman" w:hAnsi="Times New Roman"/>
                <w:sz w:val="24"/>
              </w:rPr>
              <w:t>riadku 0100.</w:t>
            </w:r>
          </w:p>
          <w:p w14:paraId="2F0143CE" w14:textId="30166118" w:rsidR="00BD5485" w:rsidRPr="00E07C9A" w:rsidRDefault="00BD5485" w:rsidP="002B004B">
            <w:pPr>
              <w:rPr>
                <w:rFonts w:ascii="Times New Roman" w:hAnsi="Times New Roman"/>
                <w:b/>
                <w:bCs/>
                <w:sz w:val="24"/>
                <w:u w:val="single"/>
              </w:rPr>
            </w:pPr>
            <w:r w:rsidRPr="00E07C9A">
              <w:rPr>
                <w:rFonts w:ascii="Times New Roman" w:hAnsi="Times New Roman"/>
                <w:sz w:val="24"/>
              </w:rPr>
              <w:t>Požiadavky na vlastné zdroje predstavujú 8</w:t>
            </w:r>
            <w:r w:rsidR="009912F8" w:rsidRPr="00E07C9A">
              <w:rPr>
                <w:rFonts w:ascii="Times New Roman" w:hAnsi="Times New Roman"/>
                <w:sz w:val="24"/>
              </w:rPr>
              <w:t> %</w:t>
            </w:r>
            <w:r w:rsidRPr="00E07C9A">
              <w:rPr>
                <w:rFonts w:ascii="Times New Roman" w:hAnsi="Times New Roman"/>
                <w:sz w:val="24"/>
              </w:rPr>
              <w:t xml:space="preserve"> hodnoty rizikovo váženej expozície určenej</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treťou časťou hlavou II kapitolami 1 až 4</w:t>
            </w:r>
            <w:r w:rsidR="009912F8" w:rsidRPr="00E07C9A">
              <w:rPr>
                <w:rFonts w:ascii="Times New Roman" w:hAnsi="Times New Roman"/>
                <w:sz w:val="24"/>
              </w:rPr>
              <w:t xml:space="preserve"> a </w:t>
            </w:r>
            <w:r w:rsidRPr="00E07C9A">
              <w:rPr>
                <w:rFonts w:ascii="Times New Roman" w:hAnsi="Times New Roman"/>
                <w:sz w:val="24"/>
              </w:rPr>
              <w:t xml:space="preserve">kapitolou 6 nariadenia (EÚ) </w:t>
            </w:r>
            <w:r w:rsidR="009912F8" w:rsidRPr="00E07C9A">
              <w:rPr>
                <w:rFonts w:ascii="Times New Roman" w:hAnsi="Times New Roman"/>
                <w:sz w:val="24"/>
              </w:rPr>
              <w:t>č. 575/2013</w:t>
            </w:r>
            <w:r w:rsidRPr="00E07C9A">
              <w:rPr>
                <w:rFonts w:ascii="Times New Roman" w:hAnsi="Times New Roman"/>
                <w:sz w:val="24"/>
              </w:rPr>
              <w:t>.</w:t>
            </w:r>
          </w:p>
        </w:tc>
      </w:tr>
      <w:tr w:rsidR="00BD5485" w:rsidRPr="00E07C9A" w14:paraId="14DF530D" w14:textId="77777777" w:rsidTr="00672D2A">
        <w:tc>
          <w:tcPr>
            <w:tcW w:w="1697" w:type="dxa"/>
          </w:tcPr>
          <w:p w14:paraId="496021F2" w14:textId="77777777" w:rsidR="00BD5485" w:rsidRPr="00E07C9A" w:rsidRDefault="00BD5485" w:rsidP="00133107">
            <w:pPr>
              <w:rPr>
                <w:rFonts w:ascii="Times New Roman" w:hAnsi="Times New Roman"/>
                <w:sz w:val="24"/>
              </w:rPr>
            </w:pPr>
            <w:r w:rsidRPr="00E07C9A">
              <w:rPr>
                <w:rFonts w:ascii="Times New Roman" w:hAnsi="Times New Roman"/>
                <w:sz w:val="24"/>
              </w:rPr>
              <w:t>0090</w:t>
            </w:r>
          </w:p>
        </w:tc>
        <w:tc>
          <w:tcPr>
            <w:tcW w:w="8131" w:type="dxa"/>
          </w:tcPr>
          <w:p w14:paraId="64F1E8BB" w14:textId="77777777" w:rsidR="009912F8" w:rsidRPr="00E07C9A" w:rsidRDefault="00C211DC" w:rsidP="00BD5485">
            <w:pPr>
              <w:rPr>
                <w:rFonts w:ascii="Times New Roman" w:hAnsi="Times New Roman"/>
                <w:b/>
                <w:sz w:val="24"/>
                <w:u w:val="single"/>
              </w:rPr>
            </w:pPr>
            <w:r w:rsidRPr="00E07C9A">
              <w:rPr>
                <w:rFonts w:ascii="Times New Roman" w:hAnsi="Times New Roman"/>
                <w:b/>
                <w:sz w:val="24"/>
                <w:u w:val="single"/>
              </w:rPr>
              <w:t>Požiadavky na vlastné zdroje pre príslušné expozície voči kreditnému riziku – trhové riziko</w:t>
            </w:r>
          </w:p>
          <w:p w14:paraId="7BFACF75" w14:textId="4020C9E4" w:rsidR="009912F8" w:rsidRPr="00E07C9A" w:rsidRDefault="00BD5485" w:rsidP="00BD5485">
            <w:pPr>
              <w:autoSpaceDE w:val="0"/>
              <w:autoSpaceDN w:val="0"/>
              <w:adjustRightInd w:val="0"/>
              <w:rPr>
                <w:rFonts w:ascii="Times New Roman" w:hAnsi="Times New Roman"/>
                <w:sz w:val="24"/>
              </w:rPr>
            </w:pPr>
            <w:r w:rsidRPr="00E07C9A">
              <w:rPr>
                <w:rFonts w:ascii="Times New Roman" w:hAnsi="Times New Roman"/>
                <w:sz w:val="24"/>
              </w:rPr>
              <w:t>Požiadavky na vlastné zdroje vypočítané</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treťou časťou hlavou IV kapitolou 2 nariadenia (EÚ) </w:t>
            </w:r>
            <w:r w:rsidR="009912F8" w:rsidRPr="00E07C9A">
              <w:rPr>
                <w:rFonts w:ascii="Times New Roman" w:hAnsi="Times New Roman"/>
                <w:sz w:val="24"/>
              </w:rPr>
              <w:t>č. 575/2013</w:t>
            </w:r>
            <w:r w:rsidRPr="00E07C9A">
              <w:rPr>
                <w:rFonts w:ascii="Times New Roman" w:hAnsi="Times New Roman"/>
                <w:sz w:val="24"/>
              </w:rPr>
              <w:t xml:space="preserve"> pre špecifické riziko alebo</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treťou časťou hlavou IV kapitolou 5 nariadenia (EÚ) </w:t>
            </w:r>
            <w:r w:rsidR="009912F8" w:rsidRPr="00E07C9A">
              <w:rPr>
                <w:rFonts w:ascii="Times New Roman" w:hAnsi="Times New Roman"/>
                <w:sz w:val="24"/>
              </w:rPr>
              <w:t>č. 575/2013</w:t>
            </w:r>
            <w:r w:rsidRPr="00E07C9A">
              <w:rPr>
                <w:rFonts w:ascii="Times New Roman" w:hAnsi="Times New Roman"/>
                <w:sz w:val="24"/>
              </w:rPr>
              <w:t xml:space="preserve"> pre inkrementálne riziko zlyhania</w:t>
            </w:r>
            <w:r w:rsidR="009912F8" w:rsidRPr="00E07C9A">
              <w:rPr>
                <w:rFonts w:ascii="Times New Roman" w:hAnsi="Times New Roman"/>
                <w:sz w:val="24"/>
              </w:rPr>
              <w:t xml:space="preserve"> a </w:t>
            </w:r>
            <w:r w:rsidRPr="00E07C9A">
              <w:rPr>
                <w:rFonts w:ascii="Times New Roman" w:hAnsi="Times New Roman"/>
                <w:sz w:val="24"/>
              </w:rPr>
              <w:t>riziko migrácie pre príslušné expozície voči kreditnému riziku uvedené</w:t>
            </w:r>
            <w:r w:rsidR="009912F8" w:rsidRPr="00E07C9A">
              <w:rPr>
                <w:rFonts w:ascii="Times New Roman" w:hAnsi="Times New Roman"/>
                <w:sz w:val="24"/>
              </w:rPr>
              <w:t xml:space="preserve"> v </w:t>
            </w:r>
            <w:r w:rsidRPr="00E07C9A">
              <w:rPr>
                <w:rFonts w:ascii="Times New Roman" w:hAnsi="Times New Roman"/>
                <w:sz w:val="24"/>
              </w:rPr>
              <w:t>článku 140 ods. 4 písm. b) smernice 2013/36/EÚ</w:t>
            </w:r>
            <w:r w:rsidR="009912F8" w:rsidRPr="00E07C9A">
              <w:rPr>
                <w:rFonts w:ascii="Times New Roman" w:hAnsi="Times New Roman"/>
                <w:sz w:val="24"/>
              </w:rPr>
              <w:t xml:space="preserve"> v </w:t>
            </w:r>
            <w:r w:rsidRPr="00E07C9A">
              <w:rPr>
                <w:rFonts w:ascii="Times New Roman" w:hAnsi="Times New Roman"/>
                <w:sz w:val="24"/>
              </w:rPr>
              <w:t>dotknutej krajine</w:t>
            </w:r>
            <w:r w:rsidR="009912F8" w:rsidRPr="00E07C9A">
              <w:rPr>
                <w:rFonts w:ascii="Times New Roman" w:hAnsi="Times New Roman"/>
                <w:sz w:val="24"/>
              </w:rPr>
              <w:t>.</w:t>
            </w:r>
          </w:p>
          <w:p w14:paraId="3C07DE13" w14:textId="7B23B4B8" w:rsidR="00BD5485" w:rsidRPr="00E07C9A" w:rsidRDefault="00BD5485" w:rsidP="004D3C0E">
            <w:pPr>
              <w:autoSpaceDE w:val="0"/>
              <w:autoSpaceDN w:val="0"/>
              <w:adjustRightInd w:val="0"/>
              <w:rPr>
                <w:rFonts w:ascii="Times New Roman" w:hAnsi="Times New Roman"/>
                <w:b/>
                <w:bCs/>
                <w:sz w:val="24"/>
                <w:u w:val="single"/>
              </w:rPr>
            </w:pPr>
            <w:r w:rsidRPr="00E07C9A">
              <w:rPr>
                <w:rFonts w:ascii="Times New Roman" w:hAnsi="Times New Roman"/>
                <w:sz w:val="24"/>
              </w:rPr>
              <w:t>K požiadavkám na vlastné zdroje pre príslušné expozície voči kreditnému riziku</w:t>
            </w:r>
            <w:r w:rsidR="009912F8" w:rsidRPr="00E07C9A">
              <w:rPr>
                <w:rFonts w:ascii="Times New Roman" w:hAnsi="Times New Roman"/>
                <w:sz w:val="24"/>
              </w:rPr>
              <w:t xml:space="preserve"> v </w:t>
            </w:r>
            <w:r w:rsidRPr="00E07C9A">
              <w:rPr>
                <w:rFonts w:ascii="Times New Roman" w:hAnsi="Times New Roman"/>
                <w:sz w:val="24"/>
              </w:rPr>
              <w:t xml:space="preserve">rámci trhového rizika patria okrem iného požiadavky na vlastné zdroje pre sekuritizačné pozície vypočítané podľa tretej časti hlavy IV kapitoly 2 nariadenia (EÚ) </w:t>
            </w:r>
            <w:r w:rsidR="009912F8" w:rsidRPr="00E07C9A">
              <w:rPr>
                <w:rFonts w:ascii="Times New Roman" w:hAnsi="Times New Roman"/>
                <w:sz w:val="24"/>
              </w:rPr>
              <w:t>č. 575/2013 a </w:t>
            </w:r>
            <w:r w:rsidRPr="00E07C9A">
              <w:rPr>
                <w:rFonts w:ascii="Times New Roman" w:hAnsi="Times New Roman"/>
                <w:sz w:val="24"/>
              </w:rPr>
              <w:t>požiadavky na vlastné zdroje pre expozície voči podnikom kolektívneho investovania určené</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článkom 348 uvedeného nariadenia.</w:t>
            </w:r>
          </w:p>
        </w:tc>
      </w:tr>
      <w:tr w:rsidR="00BD5485" w:rsidRPr="00E07C9A" w14:paraId="4614C803" w14:textId="77777777" w:rsidTr="00672D2A">
        <w:tc>
          <w:tcPr>
            <w:tcW w:w="1697" w:type="dxa"/>
          </w:tcPr>
          <w:p w14:paraId="5681CC86" w14:textId="77777777" w:rsidR="00BD5485" w:rsidRPr="00E07C9A" w:rsidRDefault="006E0E76" w:rsidP="00133107">
            <w:pPr>
              <w:rPr>
                <w:rFonts w:ascii="Times New Roman" w:hAnsi="Times New Roman"/>
                <w:sz w:val="24"/>
              </w:rPr>
            </w:pPr>
            <w:r w:rsidRPr="00E07C9A">
              <w:rPr>
                <w:rFonts w:ascii="Times New Roman" w:hAnsi="Times New Roman"/>
                <w:sz w:val="24"/>
              </w:rPr>
              <w:t>0100</w:t>
            </w:r>
          </w:p>
        </w:tc>
        <w:tc>
          <w:tcPr>
            <w:tcW w:w="8131" w:type="dxa"/>
          </w:tcPr>
          <w:p w14:paraId="4C90105D" w14:textId="0A27DDD9" w:rsidR="00BD5485" w:rsidRPr="00E07C9A" w:rsidRDefault="00C211DC" w:rsidP="00BD5485">
            <w:pPr>
              <w:rPr>
                <w:rFonts w:ascii="Times New Roman" w:hAnsi="Times New Roman"/>
                <w:b/>
                <w:bCs/>
                <w:sz w:val="24"/>
                <w:u w:val="single"/>
              </w:rPr>
            </w:pPr>
            <w:r w:rsidRPr="00E07C9A">
              <w:rPr>
                <w:rFonts w:ascii="Times New Roman" w:hAnsi="Times New Roman"/>
                <w:b/>
                <w:sz w:val="24"/>
                <w:u w:val="single"/>
              </w:rPr>
              <w:t>Požiadavky na vlastné zdroje pre príslušné expozície voči kreditnému riziku – sekuritizačné pozície</w:t>
            </w:r>
            <w:r w:rsidR="009912F8" w:rsidRPr="00E07C9A">
              <w:rPr>
                <w:rFonts w:ascii="Times New Roman" w:hAnsi="Times New Roman"/>
                <w:b/>
                <w:sz w:val="24"/>
                <w:u w:val="single"/>
              </w:rPr>
              <w:t xml:space="preserve"> v </w:t>
            </w:r>
            <w:r w:rsidRPr="00E07C9A">
              <w:rPr>
                <w:rFonts w:ascii="Times New Roman" w:hAnsi="Times New Roman"/>
                <w:b/>
                <w:sz w:val="24"/>
                <w:u w:val="single"/>
              </w:rPr>
              <w:t>bankovej knihe</w:t>
            </w:r>
          </w:p>
          <w:p w14:paraId="4DD097E6" w14:textId="57170742" w:rsidR="00BD5485" w:rsidRPr="00E07C9A" w:rsidRDefault="00BD5485" w:rsidP="00BD5485">
            <w:pPr>
              <w:autoSpaceDE w:val="0"/>
              <w:autoSpaceDN w:val="0"/>
              <w:adjustRightInd w:val="0"/>
              <w:rPr>
                <w:rFonts w:ascii="Times New Roman" w:hAnsi="Times New Roman"/>
                <w:sz w:val="24"/>
              </w:rPr>
            </w:pPr>
            <w:r w:rsidRPr="00E07C9A">
              <w:rPr>
                <w:rFonts w:ascii="Times New Roman" w:hAnsi="Times New Roman"/>
                <w:sz w:val="24"/>
              </w:rPr>
              <w:t>Požiadavky na vlastné zdroje vypočítané</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treťou časťou hlavou II kapitolou 5 nariadenia (EÚ) </w:t>
            </w:r>
            <w:r w:rsidR="009912F8" w:rsidRPr="00E07C9A">
              <w:rPr>
                <w:rFonts w:ascii="Times New Roman" w:hAnsi="Times New Roman"/>
                <w:sz w:val="24"/>
              </w:rPr>
              <w:t>č. 575/2013</w:t>
            </w:r>
            <w:r w:rsidRPr="00E07C9A">
              <w:rPr>
                <w:rFonts w:ascii="Times New Roman" w:hAnsi="Times New Roman"/>
                <w:sz w:val="24"/>
              </w:rPr>
              <w:t xml:space="preserve"> pre príslušné expozície voči kreditnému riziku uvedené</w:t>
            </w:r>
            <w:r w:rsidR="009912F8" w:rsidRPr="00E07C9A">
              <w:rPr>
                <w:rFonts w:ascii="Times New Roman" w:hAnsi="Times New Roman"/>
                <w:sz w:val="24"/>
              </w:rPr>
              <w:t xml:space="preserve"> v </w:t>
            </w:r>
            <w:r w:rsidRPr="00E07C9A">
              <w:rPr>
                <w:rFonts w:ascii="Times New Roman" w:hAnsi="Times New Roman"/>
                <w:sz w:val="24"/>
              </w:rPr>
              <w:t>článku 140 ods. 4 písm. c) smernice 2013/36/EÚ</w:t>
            </w:r>
            <w:r w:rsidR="009912F8" w:rsidRPr="00E07C9A">
              <w:rPr>
                <w:rFonts w:ascii="Times New Roman" w:hAnsi="Times New Roman"/>
                <w:sz w:val="24"/>
              </w:rPr>
              <w:t xml:space="preserve"> v </w:t>
            </w:r>
            <w:r w:rsidRPr="00E07C9A">
              <w:rPr>
                <w:rFonts w:ascii="Times New Roman" w:hAnsi="Times New Roman"/>
                <w:sz w:val="24"/>
              </w:rPr>
              <w:t>dotknutej krajine.</w:t>
            </w:r>
          </w:p>
          <w:p w14:paraId="566043C5" w14:textId="6EB914B4" w:rsidR="00BD5485" w:rsidRPr="00E07C9A" w:rsidRDefault="00BD5485" w:rsidP="004D3C0E">
            <w:pPr>
              <w:rPr>
                <w:rFonts w:ascii="Times New Roman" w:hAnsi="Times New Roman"/>
                <w:b/>
                <w:bCs/>
                <w:sz w:val="24"/>
                <w:u w:val="single"/>
              </w:rPr>
            </w:pPr>
            <w:r w:rsidRPr="00E07C9A">
              <w:rPr>
                <w:rFonts w:ascii="Times New Roman" w:hAnsi="Times New Roman"/>
                <w:sz w:val="24"/>
              </w:rPr>
              <w:t>Požiadavky na vlastné zdroje predstavujú 8</w:t>
            </w:r>
            <w:r w:rsidR="009912F8" w:rsidRPr="00E07C9A">
              <w:rPr>
                <w:rFonts w:ascii="Times New Roman" w:hAnsi="Times New Roman"/>
                <w:sz w:val="24"/>
              </w:rPr>
              <w:t> %</w:t>
            </w:r>
            <w:r w:rsidRPr="00E07C9A">
              <w:rPr>
                <w:rFonts w:ascii="Times New Roman" w:hAnsi="Times New Roman"/>
                <w:sz w:val="24"/>
              </w:rPr>
              <w:t xml:space="preserve"> hodnoty rizikovo váženej expozície vypočítanej</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treťou časťou hlavou II kapitolou 5 nariadenia (EÚ) </w:t>
            </w:r>
            <w:r w:rsidR="009912F8" w:rsidRPr="00E07C9A">
              <w:rPr>
                <w:rFonts w:ascii="Times New Roman" w:hAnsi="Times New Roman"/>
                <w:sz w:val="24"/>
              </w:rPr>
              <w:t>č. 575/2013</w:t>
            </w:r>
            <w:r w:rsidRPr="00E07C9A">
              <w:rPr>
                <w:rFonts w:ascii="Times New Roman" w:hAnsi="Times New Roman"/>
                <w:sz w:val="24"/>
              </w:rPr>
              <w:t>.</w:t>
            </w:r>
          </w:p>
        </w:tc>
      </w:tr>
      <w:tr w:rsidR="00BD5485" w:rsidRPr="00E07C9A" w14:paraId="60898E0C" w14:textId="77777777" w:rsidTr="00672D2A">
        <w:tc>
          <w:tcPr>
            <w:tcW w:w="1697" w:type="dxa"/>
          </w:tcPr>
          <w:p w14:paraId="264A0710" w14:textId="77777777" w:rsidR="00BD5485" w:rsidRPr="00E07C9A" w:rsidRDefault="006E0E76" w:rsidP="00133107">
            <w:pPr>
              <w:rPr>
                <w:rFonts w:ascii="Times New Roman" w:hAnsi="Times New Roman"/>
                <w:sz w:val="24"/>
              </w:rPr>
            </w:pPr>
            <w:r w:rsidRPr="00E07C9A">
              <w:rPr>
                <w:rFonts w:ascii="Times New Roman" w:hAnsi="Times New Roman"/>
                <w:sz w:val="24"/>
              </w:rPr>
              <w:t>0110</w:t>
            </w:r>
          </w:p>
        </w:tc>
        <w:tc>
          <w:tcPr>
            <w:tcW w:w="8131" w:type="dxa"/>
          </w:tcPr>
          <w:p w14:paraId="00FDC0D7" w14:textId="77777777" w:rsidR="00966663" w:rsidRPr="00E07C9A" w:rsidRDefault="00966663" w:rsidP="00966663">
            <w:pPr>
              <w:rPr>
                <w:rFonts w:ascii="Times New Roman" w:hAnsi="Times New Roman"/>
                <w:b/>
                <w:bCs/>
                <w:sz w:val="24"/>
                <w:u w:val="single"/>
              </w:rPr>
            </w:pPr>
            <w:r w:rsidRPr="00E07C9A">
              <w:rPr>
                <w:rFonts w:ascii="Times New Roman" w:hAnsi="Times New Roman"/>
                <w:b/>
                <w:sz w:val="24"/>
                <w:u w:val="single"/>
              </w:rPr>
              <w:t>Váženie požiadaviek na vlastné zdroje</w:t>
            </w:r>
          </w:p>
          <w:p w14:paraId="21DBAB49" w14:textId="3A421921" w:rsidR="00966663" w:rsidRPr="00E07C9A" w:rsidRDefault="00966663" w:rsidP="00966663">
            <w:pPr>
              <w:rPr>
                <w:rFonts w:ascii="Times New Roman" w:hAnsi="Times New Roman"/>
                <w:sz w:val="24"/>
              </w:rPr>
            </w:pPr>
            <w:r w:rsidRPr="00E07C9A">
              <w:rPr>
                <w:rFonts w:ascii="Times New Roman" w:hAnsi="Times New Roman"/>
                <w:sz w:val="24"/>
              </w:rPr>
              <w:t>Váha uplatňovaná na mieru proticyklického vankúša sa</w:t>
            </w:r>
            <w:r w:rsidR="009912F8" w:rsidRPr="00E07C9A">
              <w:rPr>
                <w:rFonts w:ascii="Times New Roman" w:hAnsi="Times New Roman"/>
                <w:sz w:val="24"/>
              </w:rPr>
              <w:t xml:space="preserve"> v </w:t>
            </w:r>
            <w:r w:rsidRPr="00E07C9A">
              <w:rPr>
                <w:rFonts w:ascii="Times New Roman" w:hAnsi="Times New Roman"/>
                <w:sz w:val="24"/>
              </w:rPr>
              <w:t>jednotlivých krajinách vypočítava ako pomer požiadaviek na vlastné zdroje určených takto:</w:t>
            </w:r>
          </w:p>
          <w:p w14:paraId="6D800AEB" w14:textId="425FE1E2" w:rsidR="009912F8" w:rsidRPr="00E07C9A" w:rsidRDefault="00966663" w:rsidP="00966663">
            <w:pPr>
              <w:rPr>
                <w:rFonts w:ascii="Times New Roman" w:hAnsi="Times New Roman"/>
                <w:sz w:val="24"/>
              </w:rPr>
            </w:pPr>
            <w:r w:rsidRPr="00E07C9A">
              <w:rPr>
                <w:rFonts w:ascii="Times New Roman" w:hAnsi="Times New Roman"/>
                <w:sz w:val="24"/>
              </w:rPr>
              <w:t>1.</w:t>
            </w:r>
            <w:r w:rsidRPr="00E07C9A">
              <w:rPr>
                <w:rFonts w:ascii="Times New Roman" w:hAnsi="Times New Roman"/>
              </w:rPr>
              <w:tab/>
            </w:r>
            <w:r w:rsidRPr="00E07C9A">
              <w:rPr>
                <w:rFonts w:ascii="Times New Roman" w:hAnsi="Times New Roman"/>
                <w:sz w:val="24"/>
              </w:rPr>
              <w:t>Čitateľ: Požiadavky na celkové vlastné zdroje, ktoré sa týkajú príslušných expozícií voči kreditnému riziku</w:t>
            </w:r>
            <w:r w:rsidR="009912F8" w:rsidRPr="00E07C9A">
              <w:rPr>
                <w:rFonts w:ascii="Times New Roman" w:hAnsi="Times New Roman"/>
                <w:sz w:val="24"/>
              </w:rPr>
              <w:t xml:space="preserve"> v </w:t>
            </w:r>
            <w:r w:rsidRPr="00E07C9A">
              <w:rPr>
                <w:rFonts w:ascii="Times New Roman" w:hAnsi="Times New Roman"/>
                <w:sz w:val="24"/>
              </w:rPr>
              <w:t>dotknutej krajine [r0070; c0010; informačný list krajiny]</w:t>
            </w:r>
            <w:r w:rsidR="009912F8" w:rsidRPr="00E07C9A">
              <w:rPr>
                <w:rFonts w:ascii="Times New Roman" w:hAnsi="Times New Roman"/>
                <w:sz w:val="24"/>
              </w:rPr>
              <w:t>.</w:t>
            </w:r>
          </w:p>
          <w:p w14:paraId="4D0CA9CD" w14:textId="5FF5A321" w:rsidR="00BD5485" w:rsidRPr="00E07C9A" w:rsidRDefault="00966663" w:rsidP="00CF5466">
            <w:pPr>
              <w:rPr>
                <w:rFonts w:ascii="Times New Roman" w:hAnsi="Times New Roman"/>
                <w:b/>
                <w:bCs/>
                <w:sz w:val="24"/>
                <w:u w:val="single"/>
              </w:rPr>
            </w:pPr>
            <w:r w:rsidRPr="00E07C9A">
              <w:rPr>
                <w:rFonts w:ascii="Times New Roman" w:hAnsi="Times New Roman"/>
                <w:sz w:val="24"/>
              </w:rPr>
              <w:t>2.</w:t>
            </w:r>
            <w:r w:rsidRPr="00E07C9A">
              <w:rPr>
                <w:rFonts w:ascii="Times New Roman" w:hAnsi="Times New Roman"/>
              </w:rPr>
              <w:tab/>
            </w:r>
            <w:r w:rsidRPr="00E07C9A">
              <w:rPr>
                <w:rFonts w:ascii="Times New Roman" w:hAnsi="Times New Roman"/>
                <w:sz w:val="24"/>
              </w:rPr>
              <w:t>Menovateľ: Požiadavky na celkové vlastné zdroje, ktoré sa týkajú všetkých expozícií voči kreditnému riziku relevantných pre výpočet proticyklického vankúša podľa článku 140 ods. 4 smernice 2013/36/EÚ [r0070; c0010; „Spolu“].</w:t>
            </w:r>
          </w:p>
          <w:p w14:paraId="79DAF8D9" w14:textId="1B60FC30" w:rsidR="003B00F4" w:rsidRPr="00E07C9A" w:rsidRDefault="003B00F4" w:rsidP="003B00F4">
            <w:pPr>
              <w:rPr>
                <w:rFonts w:ascii="Times New Roman" w:hAnsi="Times New Roman"/>
                <w:b/>
                <w:bCs/>
                <w:sz w:val="24"/>
                <w:u w:val="single"/>
              </w:rPr>
            </w:pPr>
            <w:r w:rsidRPr="00E07C9A">
              <w:rPr>
                <w:rFonts w:ascii="Times New Roman" w:hAnsi="Times New Roman"/>
                <w:sz w:val="24"/>
              </w:rPr>
              <w:t>Informácie</w:t>
            </w:r>
            <w:r w:rsidR="009912F8" w:rsidRPr="00E07C9A">
              <w:rPr>
                <w:rFonts w:ascii="Times New Roman" w:hAnsi="Times New Roman"/>
                <w:sz w:val="24"/>
              </w:rPr>
              <w:t xml:space="preserve"> o </w:t>
            </w:r>
            <w:r w:rsidRPr="00E07C9A">
              <w:rPr>
                <w:rFonts w:ascii="Times New Roman" w:hAnsi="Times New Roman"/>
                <w:sz w:val="24"/>
              </w:rPr>
              <w:t>vážení požiadaviek na vlastné zdroje sa nevykazujú pre riadok „spolu“, ktorý odkazuje na súčet všetkých krajín.</w:t>
            </w:r>
          </w:p>
        </w:tc>
      </w:tr>
      <w:tr w:rsidR="00966663" w:rsidRPr="00E07C9A" w14:paraId="709F161C" w14:textId="77777777" w:rsidTr="00672D2A">
        <w:tc>
          <w:tcPr>
            <w:tcW w:w="1697" w:type="dxa"/>
          </w:tcPr>
          <w:p w14:paraId="181B4DE2" w14:textId="77777777" w:rsidR="00966663" w:rsidRPr="00E07C9A" w:rsidRDefault="006E0E76" w:rsidP="00133107">
            <w:pPr>
              <w:rPr>
                <w:rFonts w:ascii="Times New Roman" w:hAnsi="Times New Roman"/>
                <w:sz w:val="24"/>
              </w:rPr>
            </w:pPr>
            <w:r w:rsidRPr="00E07C9A">
              <w:rPr>
                <w:rFonts w:ascii="Times New Roman" w:hAnsi="Times New Roman"/>
                <w:sz w:val="24"/>
              </w:rPr>
              <w:t>0120 –⁠ 0140</w:t>
            </w:r>
          </w:p>
        </w:tc>
        <w:tc>
          <w:tcPr>
            <w:tcW w:w="8131" w:type="dxa"/>
          </w:tcPr>
          <w:p w14:paraId="6A87A3AD" w14:textId="77777777" w:rsidR="00966663" w:rsidRPr="00E07C9A" w:rsidRDefault="00966663" w:rsidP="00133107">
            <w:pPr>
              <w:rPr>
                <w:rFonts w:ascii="Times New Roman" w:hAnsi="Times New Roman"/>
                <w:b/>
                <w:bCs/>
                <w:sz w:val="24"/>
                <w:u w:val="single"/>
              </w:rPr>
            </w:pPr>
            <w:r w:rsidRPr="00E07C9A">
              <w:rPr>
                <w:rFonts w:ascii="Times New Roman" w:hAnsi="Times New Roman"/>
                <w:b/>
                <w:sz w:val="24"/>
                <w:u w:val="single"/>
              </w:rPr>
              <w:t>Miery proticyklického vankúša</w:t>
            </w:r>
          </w:p>
        </w:tc>
      </w:tr>
      <w:tr w:rsidR="00966663" w:rsidRPr="00E07C9A" w14:paraId="453A81C6" w14:textId="77777777" w:rsidTr="00672D2A">
        <w:tc>
          <w:tcPr>
            <w:tcW w:w="1697" w:type="dxa"/>
          </w:tcPr>
          <w:p w14:paraId="22203074" w14:textId="77777777" w:rsidR="00966663" w:rsidRPr="00E07C9A" w:rsidRDefault="006E0E76" w:rsidP="00133107">
            <w:pPr>
              <w:rPr>
                <w:rFonts w:ascii="Times New Roman" w:hAnsi="Times New Roman"/>
                <w:sz w:val="24"/>
              </w:rPr>
            </w:pPr>
            <w:r w:rsidRPr="00E07C9A">
              <w:rPr>
                <w:rFonts w:ascii="Times New Roman" w:hAnsi="Times New Roman"/>
                <w:sz w:val="24"/>
              </w:rPr>
              <w:t>0120</w:t>
            </w:r>
          </w:p>
        </w:tc>
        <w:tc>
          <w:tcPr>
            <w:tcW w:w="8131" w:type="dxa"/>
          </w:tcPr>
          <w:p w14:paraId="47EF846B" w14:textId="77777777" w:rsidR="00966663" w:rsidRPr="00E07C9A" w:rsidRDefault="00966663" w:rsidP="00133107">
            <w:pPr>
              <w:rPr>
                <w:rFonts w:ascii="Times New Roman" w:hAnsi="Times New Roman"/>
                <w:b/>
                <w:bCs/>
                <w:sz w:val="24"/>
                <w:u w:val="single"/>
              </w:rPr>
            </w:pPr>
            <w:r w:rsidRPr="00E07C9A">
              <w:rPr>
                <w:rFonts w:ascii="Times New Roman" w:hAnsi="Times New Roman"/>
                <w:b/>
                <w:sz w:val="24"/>
                <w:u w:val="single"/>
              </w:rPr>
              <w:t>Miera proticyklického kapitálového vankúša stanovená určeným orgánom</w:t>
            </w:r>
          </w:p>
          <w:p w14:paraId="4AB7D224" w14:textId="78983FEF" w:rsidR="00966663" w:rsidRPr="00E07C9A" w:rsidRDefault="00966663" w:rsidP="00133107">
            <w:pPr>
              <w:autoSpaceDE w:val="0"/>
              <w:autoSpaceDN w:val="0"/>
              <w:adjustRightInd w:val="0"/>
              <w:rPr>
                <w:rFonts w:ascii="Times New Roman" w:hAnsi="Times New Roman"/>
                <w:sz w:val="24"/>
              </w:rPr>
            </w:pPr>
            <w:r w:rsidRPr="00E07C9A">
              <w:rPr>
                <w:rFonts w:ascii="Times New Roman" w:hAnsi="Times New Roman"/>
                <w:sz w:val="24"/>
              </w:rPr>
              <w:t>Miera proticyklického kapitálového vankúša stanovená pre dotknutú krajinu určeným orgánom danej krajiny</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článkami 136, 137, 139, článkom 140 ods. 2 písm. a)</w:t>
            </w:r>
            <w:r w:rsidR="009912F8" w:rsidRPr="00E07C9A">
              <w:rPr>
                <w:rFonts w:ascii="Times New Roman" w:hAnsi="Times New Roman"/>
                <w:sz w:val="24"/>
              </w:rPr>
              <w:t xml:space="preserve"> a </w:t>
            </w:r>
            <w:r w:rsidRPr="00E07C9A">
              <w:rPr>
                <w:rFonts w:ascii="Times New Roman" w:hAnsi="Times New Roman"/>
                <w:sz w:val="24"/>
              </w:rPr>
              <w:t>c)</w:t>
            </w:r>
            <w:r w:rsidR="009912F8" w:rsidRPr="00E07C9A">
              <w:rPr>
                <w:rFonts w:ascii="Times New Roman" w:hAnsi="Times New Roman"/>
                <w:sz w:val="24"/>
              </w:rPr>
              <w:t xml:space="preserve"> a </w:t>
            </w:r>
            <w:r w:rsidRPr="00E07C9A">
              <w:rPr>
                <w:rFonts w:ascii="Times New Roman" w:hAnsi="Times New Roman"/>
                <w:sz w:val="24"/>
              </w:rPr>
              <w:t>článkom 140 ods. 3 písm. b) smernice 2013/36/EÚ.</w:t>
            </w:r>
          </w:p>
          <w:p w14:paraId="09057DAE" w14:textId="77777777" w:rsidR="00C4425F" w:rsidRPr="00E07C9A" w:rsidRDefault="00966663" w:rsidP="00133107">
            <w:pPr>
              <w:autoSpaceDE w:val="0"/>
              <w:autoSpaceDN w:val="0"/>
              <w:adjustRightInd w:val="0"/>
              <w:rPr>
                <w:rFonts w:ascii="Times New Roman" w:hAnsi="Times New Roman"/>
                <w:sz w:val="24"/>
              </w:rPr>
            </w:pPr>
            <w:r w:rsidRPr="00E07C9A">
              <w:rPr>
                <w:rFonts w:ascii="Times New Roman" w:hAnsi="Times New Roman"/>
                <w:sz w:val="24"/>
              </w:rPr>
              <w:t>Tento riadok sa nevypĺňa, ak určený orgán dotknutej krajiny nestanovil pre uvedenú krajinu žiadnu mieru proticyklického vankúša.</w:t>
            </w:r>
          </w:p>
          <w:p w14:paraId="32B34471" w14:textId="48FC3E43" w:rsidR="00C4425F" w:rsidRPr="00E07C9A" w:rsidRDefault="00966663" w:rsidP="00133107">
            <w:pPr>
              <w:autoSpaceDE w:val="0"/>
              <w:autoSpaceDN w:val="0"/>
              <w:adjustRightInd w:val="0"/>
              <w:rPr>
                <w:rFonts w:ascii="Times New Roman" w:hAnsi="Times New Roman"/>
                <w:sz w:val="24"/>
              </w:rPr>
            </w:pPr>
            <w:r w:rsidRPr="00E07C9A">
              <w:rPr>
                <w:rFonts w:ascii="Times New Roman" w:hAnsi="Times New Roman"/>
                <w:sz w:val="24"/>
              </w:rPr>
              <w:t>Miery proticyklického kapitálového vankúša, ktoré stanovil určený orgán, ale ktoré sa</w:t>
            </w:r>
            <w:r w:rsidR="009912F8" w:rsidRPr="00E07C9A">
              <w:rPr>
                <w:rFonts w:ascii="Times New Roman" w:hAnsi="Times New Roman"/>
                <w:sz w:val="24"/>
              </w:rPr>
              <w:t xml:space="preserve"> v </w:t>
            </w:r>
            <w:r w:rsidRPr="00E07C9A">
              <w:rPr>
                <w:rFonts w:ascii="Times New Roman" w:hAnsi="Times New Roman"/>
                <w:sz w:val="24"/>
              </w:rPr>
              <w:t>dotknutej krajine</w:t>
            </w:r>
            <w:r w:rsidR="009912F8" w:rsidRPr="00E07C9A">
              <w:rPr>
                <w:rFonts w:ascii="Times New Roman" w:hAnsi="Times New Roman"/>
                <w:sz w:val="24"/>
              </w:rPr>
              <w:t xml:space="preserve"> k </w:t>
            </w:r>
            <w:r w:rsidRPr="00E07C9A">
              <w:rPr>
                <w:rFonts w:ascii="Times New Roman" w:hAnsi="Times New Roman"/>
                <w:sz w:val="24"/>
              </w:rPr>
              <w:t>referenčnému dátumu vykazovania ešte neuplatňujú, sa nevykazujú.</w:t>
            </w:r>
          </w:p>
          <w:p w14:paraId="225580CA" w14:textId="03090BF5" w:rsidR="00966663" w:rsidRPr="00E07C9A" w:rsidRDefault="00966663" w:rsidP="000E6835">
            <w:pPr>
              <w:rPr>
                <w:rFonts w:ascii="Times New Roman" w:hAnsi="Times New Roman"/>
                <w:b/>
                <w:bCs/>
                <w:sz w:val="24"/>
                <w:u w:val="single"/>
              </w:rPr>
            </w:pPr>
            <w:r w:rsidRPr="00E07C9A">
              <w:rPr>
                <w:rFonts w:ascii="Times New Roman" w:hAnsi="Times New Roman"/>
                <w:sz w:val="24"/>
              </w:rPr>
              <w:t>Informácie</w:t>
            </w:r>
            <w:r w:rsidR="009912F8" w:rsidRPr="00E07C9A">
              <w:rPr>
                <w:rFonts w:ascii="Times New Roman" w:hAnsi="Times New Roman"/>
                <w:sz w:val="24"/>
              </w:rPr>
              <w:t xml:space="preserve"> o </w:t>
            </w:r>
            <w:r w:rsidRPr="00E07C9A">
              <w:rPr>
                <w:rFonts w:ascii="Times New Roman" w:hAnsi="Times New Roman"/>
                <w:sz w:val="24"/>
              </w:rPr>
              <w:t xml:space="preserve">miere proticyklického kapitálového vankúša, ktorú stanovil určený orgán, sa nevykazujú pre riadok „spolu“, ktorý odkazuje na súčet všetkých krajín. </w:t>
            </w:r>
          </w:p>
        </w:tc>
      </w:tr>
      <w:tr w:rsidR="00966663" w:rsidRPr="00E07C9A" w14:paraId="0E50828C" w14:textId="77777777" w:rsidTr="00672D2A">
        <w:tc>
          <w:tcPr>
            <w:tcW w:w="1697" w:type="dxa"/>
          </w:tcPr>
          <w:p w14:paraId="70917234" w14:textId="77777777" w:rsidR="00966663" w:rsidRPr="00E07C9A" w:rsidRDefault="006E0E76" w:rsidP="00133107">
            <w:pPr>
              <w:rPr>
                <w:rFonts w:ascii="Times New Roman" w:hAnsi="Times New Roman"/>
                <w:sz w:val="24"/>
              </w:rPr>
            </w:pPr>
            <w:r w:rsidRPr="00E07C9A">
              <w:rPr>
                <w:rFonts w:ascii="Times New Roman" w:hAnsi="Times New Roman"/>
                <w:sz w:val="24"/>
              </w:rPr>
              <w:t>0130</w:t>
            </w:r>
          </w:p>
        </w:tc>
        <w:tc>
          <w:tcPr>
            <w:tcW w:w="8131" w:type="dxa"/>
          </w:tcPr>
          <w:p w14:paraId="16D7169A" w14:textId="77777777" w:rsidR="00966663" w:rsidRPr="00E07C9A" w:rsidRDefault="00966663" w:rsidP="00133107">
            <w:pPr>
              <w:rPr>
                <w:rFonts w:ascii="Times New Roman" w:hAnsi="Times New Roman"/>
                <w:b/>
                <w:bCs/>
                <w:sz w:val="24"/>
                <w:u w:val="single"/>
              </w:rPr>
            </w:pPr>
            <w:r w:rsidRPr="00E07C9A">
              <w:rPr>
                <w:rFonts w:ascii="Times New Roman" w:hAnsi="Times New Roman"/>
                <w:b/>
                <w:sz w:val="24"/>
                <w:u w:val="single"/>
              </w:rPr>
              <w:t>Miera proticyklického kapitálového vankúša uplatniteľná pre krajinu inštitúcie</w:t>
            </w:r>
          </w:p>
          <w:p w14:paraId="548AC006" w14:textId="2385DF63" w:rsidR="00C4425F" w:rsidRPr="00E07C9A" w:rsidRDefault="00966663" w:rsidP="00133107">
            <w:pPr>
              <w:autoSpaceDE w:val="0"/>
              <w:autoSpaceDN w:val="0"/>
              <w:adjustRightInd w:val="0"/>
              <w:rPr>
                <w:rFonts w:ascii="Times New Roman" w:hAnsi="Times New Roman"/>
                <w:sz w:val="24"/>
              </w:rPr>
            </w:pPr>
            <w:r w:rsidRPr="00E07C9A">
              <w:rPr>
                <w:rFonts w:ascii="Times New Roman" w:hAnsi="Times New Roman"/>
                <w:sz w:val="24"/>
              </w:rPr>
              <w:t>Miera proticyklického kapitálového vankúša uplatniteľná pre dotknutú krajinu, ktorú stanovil určený orgán krajiny sídla inštitúcie</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článkami 137, 138</w:t>
            </w:r>
            <w:r w:rsidR="009912F8" w:rsidRPr="00E07C9A">
              <w:rPr>
                <w:rFonts w:ascii="Times New Roman" w:hAnsi="Times New Roman"/>
                <w:sz w:val="24"/>
              </w:rPr>
              <w:t xml:space="preserve"> a </w:t>
            </w:r>
            <w:r w:rsidRPr="00E07C9A">
              <w:rPr>
                <w:rFonts w:ascii="Times New Roman" w:hAnsi="Times New Roman"/>
                <w:sz w:val="24"/>
              </w:rPr>
              <w:t>139, článkom 140 ods. 2 písm. b)</w:t>
            </w:r>
            <w:r w:rsidR="009912F8" w:rsidRPr="00E07C9A">
              <w:rPr>
                <w:rFonts w:ascii="Times New Roman" w:hAnsi="Times New Roman"/>
                <w:sz w:val="24"/>
              </w:rPr>
              <w:t xml:space="preserve"> a </w:t>
            </w:r>
            <w:r w:rsidRPr="00E07C9A">
              <w:rPr>
                <w:rFonts w:ascii="Times New Roman" w:hAnsi="Times New Roman"/>
                <w:sz w:val="24"/>
              </w:rPr>
              <w:t>článkom 140 ods. 3 písm. a) smernice 2013/36/EÚ. Miery proticyklického kapitálového vankúša, ktoré sa</w:t>
            </w:r>
            <w:r w:rsidR="009912F8" w:rsidRPr="00E07C9A">
              <w:rPr>
                <w:rFonts w:ascii="Times New Roman" w:hAnsi="Times New Roman"/>
                <w:sz w:val="24"/>
              </w:rPr>
              <w:t xml:space="preserve"> k </w:t>
            </w:r>
            <w:r w:rsidRPr="00E07C9A">
              <w:rPr>
                <w:rFonts w:ascii="Times New Roman" w:hAnsi="Times New Roman"/>
                <w:sz w:val="24"/>
              </w:rPr>
              <w:t>referenčnému dátumu vykazovania ešte neuplatňujú, sa nevykazujú.</w:t>
            </w:r>
          </w:p>
          <w:p w14:paraId="69F59B37" w14:textId="15685BA0" w:rsidR="00966663" w:rsidRPr="00E07C9A" w:rsidRDefault="00966663" w:rsidP="00133107">
            <w:pPr>
              <w:rPr>
                <w:rFonts w:ascii="Times New Roman" w:hAnsi="Times New Roman"/>
                <w:b/>
                <w:bCs/>
                <w:sz w:val="24"/>
                <w:u w:val="single"/>
              </w:rPr>
            </w:pPr>
            <w:r w:rsidRPr="00E07C9A">
              <w:rPr>
                <w:rFonts w:ascii="Times New Roman" w:hAnsi="Times New Roman"/>
                <w:sz w:val="24"/>
              </w:rPr>
              <w:t>Informácie</w:t>
            </w:r>
            <w:r w:rsidR="009912F8" w:rsidRPr="00E07C9A">
              <w:rPr>
                <w:rFonts w:ascii="Times New Roman" w:hAnsi="Times New Roman"/>
                <w:sz w:val="24"/>
              </w:rPr>
              <w:t xml:space="preserve"> o </w:t>
            </w:r>
            <w:r w:rsidRPr="00E07C9A">
              <w:rPr>
                <w:rFonts w:ascii="Times New Roman" w:hAnsi="Times New Roman"/>
                <w:sz w:val="24"/>
              </w:rPr>
              <w:t>miere proticyklického kapitálového vankúša</w:t>
            </w:r>
            <w:r w:rsidR="009912F8" w:rsidRPr="00E07C9A">
              <w:rPr>
                <w:rFonts w:ascii="Times New Roman" w:hAnsi="Times New Roman"/>
                <w:sz w:val="24"/>
              </w:rPr>
              <w:t xml:space="preserve"> v </w:t>
            </w:r>
            <w:r w:rsidRPr="00E07C9A">
              <w:rPr>
                <w:rFonts w:ascii="Times New Roman" w:hAnsi="Times New Roman"/>
                <w:sz w:val="24"/>
              </w:rPr>
              <w:t>krajine inštitúcie sa nevykazujú pre riadok „spolu“, ktorý odkazuje na súčet všetkých krajín.</w:t>
            </w:r>
          </w:p>
        </w:tc>
      </w:tr>
      <w:tr w:rsidR="00966663" w:rsidRPr="00E07C9A" w14:paraId="5DEB582E" w14:textId="77777777" w:rsidTr="00672D2A">
        <w:tc>
          <w:tcPr>
            <w:tcW w:w="1697" w:type="dxa"/>
          </w:tcPr>
          <w:p w14:paraId="41ACE81C" w14:textId="77777777" w:rsidR="00966663" w:rsidRPr="00E07C9A" w:rsidRDefault="006E0E76" w:rsidP="00133107">
            <w:pPr>
              <w:rPr>
                <w:rFonts w:ascii="Times New Roman" w:hAnsi="Times New Roman"/>
                <w:sz w:val="24"/>
              </w:rPr>
            </w:pPr>
            <w:r w:rsidRPr="00E07C9A">
              <w:rPr>
                <w:rFonts w:ascii="Times New Roman" w:hAnsi="Times New Roman"/>
                <w:sz w:val="24"/>
              </w:rPr>
              <w:t>0140</w:t>
            </w:r>
          </w:p>
        </w:tc>
        <w:tc>
          <w:tcPr>
            <w:tcW w:w="8131" w:type="dxa"/>
          </w:tcPr>
          <w:p w14:paraId="7D00C4D4" w14:textId="77777777" w:rsidR="009912F8" w:rsidRPr="00E07C9A" w:rsidRDefault="00966663" w:rsidP="00133107">
            <w:pPr>
              <w:rPr>
                <w:rFonts w:ascii="Times New Roman" w:hAnsi="Times New Roman"/>
                <w:b/>
                <w:sz w:val="24"/>
                <w:u w:val="single"/>
              </w:rPr>
            </w:pPr>
            <w:r w:rsidRPr="00E07C9A">
              <w:rPr>
                <w:rFonts w:ascii="Times New Roman" w:hAnsi="Times New Roman"/>
                <w:b/>
                <w:sz w:val="24"/>
                <w:u w:val="single"/>
              </w:rPr>
              <w:t>Miera proticyklického kapitálového vankúša špecifického pre inštitúciu</w:t>
            </w:r>
          </w:p>
          <w:p w14:paraId="174DF5AC" w14:textId="2F7A2C43" w:rsidR="009912F8" w:rsidRPr="00E07C9A" w:rsidRDefault="00966663" w:rsidP="00133107">
            <w:pPr>
              <w:autoSpaceDE w:val="0"/>
              <w:autoSpaceDN w:val="0"/>
              <w:adjustRightInd w:val="0"/>
              <w:rPr>
                <w:rFonts w:ascii="Times New Roman" w:hAnsi="Times New Roman"/>
                <w:sz w:val="24"/>
              </w:rPr>
            </w:pPr>
            <w:r w:rsidRPr="00E07C9A">
              <w:rPr>
                <w:rFonts w:ascii="Times New Roman" w:hAnsi="Times New Roman"/>
                <w:sz w:val="24"/>
              </w:rPr>
              <w:t>Miera proticyklického kapitálového vankúša špecifického pre inštitúciu vypočítaná</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článkom 140 ods. 1 smernice 2013/36/EÚ</w:t>
            </w:r>
            <w:r w:rsidR="009912F8" w:rsidRPr="00E07C9A">
              <w:rPr>
                <w:rFonts w:ascii="Times New Roman" w:hAnsi="Times New Roman"/>
                <w:sz w:val="24"/>
              </w:rPr>
              <w:t>.</w:t>
            </w:r>
          </w:p>
          <w:p w14:paraId="310E04AC" w14:textId="466E7D52" w:rsidR="00C4425F" w:rsidRPr="00E07C9A" w:rsidRDefault="00966663" w:rsidP="00133107">
            <w:pPr>
              <w:autoSpaceDE w:val="0"/>
              <w:autoSpaceDN w:val="0"/>
              <w:adjustRightInd w:val="0"/>
              <w:rPr>
                <w:rFonts w:ascii="Times New Roman" w:hAnsi="Times New Roman"/>
                <w:sz w:val="24"/>
              </w:rPr>
            </w:pPr>
            <w:r w:rsidRPr="00E07C9A">
              <w:rPr>
                <w:rFonts w:ascii="Times New Roman" w:hAnsi="Times New Roman"/>
                <w:sz w:val="24"/>
              </w:rPr>
              <w:t>Miera proticyklického kapitálového vankúša špecifického pre inštitúciu sa vypočítava ako vážený priemer mier proticyklického vankúša, ktoré sa uplatňujú</w:t>
            </w:r>
            <w:r w:rsidR="009912F8" w:rsidRPr="00E07C9A">
              <w:rPr>
                <w:rFonts w:ascii="Times New Roman" w:hAnsi="Times New Roman"/>
                <w:sz w:val="24"/>
              </w:rPr>
              <w:t xml:space="preserve"> v </w:t>
            </w:r>
            <w:r w:rsidRPr="00E07C9A">
              <w:rPr>
                <w:rFonts w:ascii="Times New Roman" w:hAnsi="Times New Roman"/>
                <w:sz w:val="24"/>
              </w:rPr>
              <w:t>jurisdikciách,</w:t>
            </w:r>
            <w:r w:rsidR="009912F8" w:rsidRPr="00E07C9A">
              <w:rPr>
                <w:rFonts w:ascii="Times New Roman" w:hAnsi="Times New Roman"/>
                <w:sz w:val="24"/>
              </w:rPr>
              <w:t xml:space="preserve"> v </w:t>
            </w:r>
            <w:r w:rsidRPr="00E07C9A">
              <w:rPr>
                <w:rFonts w:ascii="Times New Roman" w:hAnsi="Times New Roman"/>
                <w:sz w:val="24"/>
              </w:rPr>
              <w:t>ktorých sa príslušné expozície voči kreditnému riziku inštitúcie nachádzajú, alebo ktoré sa na základe článku 139 ods. 2 alebo 3 smernice 2013/36/EÚ uplatňujú na účely článku 140. Príslušná miera proticyklického vankúša sa uvádza</w:t>
            </w:r>
            <w:r w:rsidR="009912F8" w:rsidRPr="00E07C9A">
              <w:rPr>
                <w:rFonts w:ascii="Times New Roman" w:hAnsi="Times New Roman"/>
                <w:sz w:val="24"/>
              </w:rPr>
              <w:t xml:space="preserve"> v </w:t>
            </w:r>
            <w:r w:rsidRPr="00E07C9A">
              <w:rPr>
                <w:rFonts w:ascii="Times New Roman" w:hAnsi="Times New Roman"/>
                <w:sz w:val="24"/>
              </w:rPr>
              <w:t>[r0120; c0020; informačný list krajiny], alebo [r0130; c0020; informačný list krajiny] podľa toho, ktorý sa uplatňuje.</w:t>
            </w:r>
          </w:p>
          <w:p w14:paraId="53E19968" w14:textId="2A60C11B" w:rsidR="009912F8" w:rsidRPr="00E07C9A" w:rsidRDefault="00966663" w:rsidP="00133107">
            <w:pPr>
              <w:autoSpaceDE w:val="0"/>
              <w:autoSpaceDN w:val="0"/>
              <w:adjustRightInd w:val="0"/>
              <w:rPr>
                <w:rFonts w:ascii="Times New Roman" w:hAnsi="Times New Roman"/>
                <w:sz w:val="24"/>
              </w:rPr>
            </w:pPr>
            <w:r w:rsidRPr="00E07C9A">
              <w:rPr>
                <w:rFonts w:ascii="Times New Roman" w:hAnsi="Times New Roman"/>
                <w:sz w:val="24"/>
              </w:rPr>
              <w:t>Váha uplatnená na mieru proticyklického vankúša</w:t>
            </w:r>
            <w:r w:rsidR="009912F8" w:rsidRPr="00E07C9A">
              <w:rPr>
                <w:rFonts w:ascii="Times New Roman" w:hAnsi="Times New Roman"/>
                <w:sz w:val="24"/>
              </w:rPr>
              <w:t xml:space="preserve"> v </w:t>
            </w:r>
            <w:r w:rsidRPr="00E07C9A">
              <w:rPr>
                <w:rFonts w:ascii="Times New Roman" w:hAnsi="Times New Roman"/>
                <w:sz w:val="24"/>
              </w:rPr>
              <w:t>jednotlivých krajinách je podiel požiadaviek na vlastné zdroje na požiadavkách na celkové vlastné zdroje</w:t>
            </w:r>
            <w:r w:rsidR="009912F8" w:rsidRPr="00E07C9A">
              <w:rPr>
                <w:rFonts w:ascii="Times New Roman" w:hAnsi="Times New Roman"/>
                <w:sz w:val="24"/>
              </w:rPr>
              <w:t xml:space="preserve"> a </w:t>
            </w:r>
            <w:r w:rsidRPr="00E07C9A">
              <w:rPr>
                <w:rFonts w:ascii="Times New Roman" w:hAnsi="Times New Roman"/>
                <w:sz w:val="24"/>
              </w:rPr>
              <w:t>vykazuje sa</w:t>
            </w:r>
            <w:r w:rsidR="009912F8" w:rsidRPr="00E07C9A">
              <w:rPr>
                <w:rFonts w:ascii="Times New Roman" w:hAnsi="Times New Roman"/>
                <w:sz w:val="24"/>
              </w:rPr>
              <w:t xml:space="preserve"> v </w:t>
            </w:r>
            <w:r w:rsidRPr="00E07C9A">
              <w:rPr>
                <w:rFonts w:ascii="Times New Roman" w:hAnsi="Times New Roman"/>
                <w:sz w:val="24"/>
              </w:rPr>
              <w:t>[r0110; c0020; informačný list krajiny]</w:t>
            </w:r>
            <w:r w:rsidR="009912F8" w:rsidRPr="00E07C9A">
              <w:rPr>
                <w:rFonts w:ascii="Times New Roman" w:hAnsi="Times New Roman"/>
                <w:sz w:val="24"/>
              </w:rPr>
              <w:t>.</w:t>
            </w:r>
          </w:p>
          <w:p w14:paraId="0C4F6BE8" w14:textId="22AAAF49" w:rsidR="00966663" w:rsidRPr="00E07C9A" w:rsidRDefault="00966663" w:rsidP="00B816A3">
            <w:pPr>
              <w:rPr>
                <w:rFonts w:ascii="Times New Roman" w:hAnsi="Times New Roman"/>
                <w:b/>
                <w:bCs/>
                <w:sz w:val="24"/>
                <w:u w:val="single"/>
              </w:rPr>
            </w:pPr>
            <w:r w:rsidRPr="00E07C9A">
              <w:rPr>
                <w:rFonts w:ascii="Times New Roman" w:hAnsi="Times New Roman"/>
                <w:sz w:val="24"/>
              </w:rPr>
              <w:t>Informácie</w:t>
            </w:r>
            <w:r w:rsidR="009912F8" w:rsidRPr="00E07C9A">
              <w:rPr>
                <w:rFonts w:ascii="Times New Roman" w:hAnsi="Times New Roman"/>
                <w:sz w:val="24"/>
              </w:rPr>
              <w:t xml:space="preserve"> o </w:t>
            </w:r>
            <w:r w:rsidRPr="00E07C9A">
              <w:rPr>
                <w:rFonts w:ascii="Times New Roman" w:hAnsi="Times New Roman"/>
                <w:sz w:val="24"/>
              </w:rPr>
              <w:t>miere proticyklického kapitálového vankúša špecifického pre inštitúciu sa vykazujú iba pre riadok „spolu“, ktorý odkazuje na súčet všetkých krajín,</w:t>
            </w:r>
            <w:r w:rsidR="009912F8" w:rsidRPr="00E07C9A">
              <w:rPr>
                <w:rFonts w:ascii="Times New Roman" w:hAnsi="Times New Roman"/>
                <w:sz w:val="24"/>
              </w:rPr>
              <w:t xml:space="preserve"> a </w:t>
            </w:r>
            <w:r w:rsidRPr="00E07C9A">
              <w:rPr>
                <w:rFonts w:ascii="Times New Roman" w:hAnsi="Times New Roman"/>
                <w:sz w:val="24"/>
              </w:rPr>
              <w:t>nie pre každú krajinu osobitne.</w:t>
            </w:r>
          </w:p>
        </w:tc>
      </w:tr>
      <w:tr w:rsidR="006B1A77" w:rsidRPr="00E07C9A" w14:paraId="10C48C7E" w14:textId="77777777" w:rsidTr="00672D2A">
        <w:tc>
          <w:tcPr>
            <w:tcW w:w="1697" w:type="dxa"/>
          </w:tcPr>
          <w:p w14:paraId="28A2D6B0" w14:textId="77777777" w:rsidR="006B1A77" w:rsidRPr="00E07C9A" w:rsidRDefault="006E0E76" w:rsidP="00FC0B81">
            <w:pPr>
              <w:rPr>
                <w:rFonts w:ascii="Times New Roman" w:hAnsi="Times New Roman"/>
                <w:sz w:val="24"/>
              </w:rPr>
            </w:pPr>
            <w:r w:rsidRPr="00E07C9A">
              <w:rPr>
                <w:rFonts w:ascii="Times New Roman" w:hAnsi="Times New Roman"/>
                <w:sz w:val="24"/>
              </w:rPr>
              <w:t>0150 – 0160</w:t>
            </w:r>
          </w:p>
        </w:tc>
        <w:tc>
          <w:tcPr>
            <w:tcW w:w="8131" w:type="dxa"/>
          </w:tcPr>
          <w:p w14:paraId="0A12DD68" w14:textId="1DF32C94" w:rsidR="006B1A77" w:rsidRPr="00E07C9A" w:rsidRDefault="006B1A77" w:rsidP="00133107">
            <w:pPr>
              <w:rPr>
                <w:rFonts w:ascii="Times New Roman" w:hAnsi="Times New Roman"/>
                <w:b/>
                <w:bCs/>
                <w:sz w:val="24"/>
                <w:u w:val="single"/>
              </w:rPr>
            </w:pPr>
            <w:r w:rsidRPr="00E07C9A">
              <w:rPr>
                <w:rFonts w:ascii="Times New Roman" w:hAnsi="Times New Roman"/>
                <w:b/>
                <w:sz w:val="24"/>
                <w:u w:val="single"/>
              </w:rPr>
              <w:t>Použitie 2-percentnej prahovej hodnoty</w:t>
            </w:r>
          </w:p>
        </w:tc>
      </w:tr>
      <w:tr w:rsidR="00966663" w:rsidRPr="00E07C9A" w14:paraId="14E724CE" w14:textId="77777777" w:rsidTr="00672D2A">
        <w:tc>
          <w:tcPr>
            <w:tcW w:w="1697" w:type="dxa"/>
          </w:tcPr>
          <w:p w14:paraId="5F4E699B" w14:textId="77777777" w:rsidR="00966663" w:rsidRPr="00E07C9A" w:rsidRDefault="006E0E76" w:rsidP="00133107">
            <w:pPr>
              <w:rPr>
                <w:rFonts w:ascii="Times New Roman" w:hAnsi="Times New Roman"/>
                <w:sz w:val="24"/>
              </w:rPr>
            </w:pPr>
            <w:r w:rsidRPr="00E07C9A">
              <w:rPr>
                <w:rFonts w:ascii="Times New Roman" w:hAnsi="Times New Roman"/>
                <w:sz w:val="24"/>
              </w:rPr>
              <w:t>0150</w:t>
            </w:r>
          </w:p>
        </w:tc>
        <w:tc>
          <w:tcPr>
            <w:tcW w:w="8131" w:type="dxa"/>
          </w:tcPr>
          <w:p w14:paraId="0EF38CFA" w14:textId="77777777" w:rsidR="009912F8" w:rsidRPr="00E07C9A" w:rsidRDefault="00FC0B81" w:rsidP="006A3A82">
            <w:pPr>
              <w:autoSpaceDE w:val="0"/>
              <w:autoSpaceDN w:val="0"/>
              <w:adjustRightInd w:val="0"/>
              <w:rPr>
                <w:rFonts w:ascii="Times New Roman" w:hAnsi="Times New Roman"/>
                <w:sz w:val="24"/>
              </w:rPr>
            </w:pPr>
            <w:r w:rsidRPr="00E07C9A">
              <w:rPr>
                <w:rFonts w:ascii="Times New Roman" w:hAnsi="Times New Roman"/>
                <w:b/>
                <w:sz w:val="24"/>
                <w:u w:val="single"/>
              </w:rPr>
              <w:t>Použitie 2-percentnej prahovej hodnoty pre všeobecné expozície voči kreditnému riziku</w:t>
            </w:r>
          </w:p>
          <w:p w14:paraId="62B98746" w14:textId="62FDEBFA" w:rsidR="006A3A82" w:rsidRPr="00E07C9A" w:rsidRDefault="006A3A82" w:rsidP="006A3A82">
            <w:pPr>
              <w:autoSpaceDE w:val="0"/>
              <w:autoSpaceDN w:val="0"/>
              <w:adjustRightInd w:val="0"/>
              <w:rPr>
                <w:rFonts w:ascii="Times New Roman" w:hAnsi="Times New Roman"/>
                <w:sz w:val="24"/>
              </w:rPr>
            </w:pPr>
            <w:r w:rsidRPr="00E07C9A">
              <w:rPr>
                <w:rFonts w:ascii="Times New Roman" w:hAnsi="Times New Roman"/>
                <w:sz w:val="24"/>
              </w:rPr>
              <w:t>V súlade</w:t>
            </w:r>
            <w:r w:rsidR="009912F8" w:rsidRPr="00E07C9A">
              <w:rPr>
                <w:rFonts w:ascii="Times New Roman" w:hAnsi="Times New Roman"/>
                <w:sz w:val="24"/>
              </w:rPr>
              <w:t xml:space="preserve"> s </w:t>
            </w:r>
            <w:r w:rsidRPr="00E07C9A">
              <w:rPr>
                <w:rFonts w:ascii="Times New Roman" w:hAnsi="Times New Roman"/>
                <w:sz w:val="24"/>
              </w:rPr>
              <w:t>článkom 2 ods. 5 písm. b) delegova</w:t>
            </w:r>
            <w:r w:rsidR="000F7DD5" w:rsidRPr="00E07C9A">
              <w:rPr>
                <w:rFonts w:ascii="Times New Roman" w:hAnsi="Times New Roman"/>
                <w:sz w:val="24"/>
              </w:rPr>
              <w:t>ného nariadenia Komisie (EÚ) č. </w:t>
            </w:r>
            <w:r w:rsidRPr="00E07C9A">
              <w:rPr>
                <w:rFonts w:ascii="Times New Roman" w:hAnsi="Times New Roman"/>
                <w:sz w:val="24"/>
              </w:rPr>
              <w:t>1152/2014 zahraničné všeobecné expozície voči kreditnému riziku, ktorých súhrn nepresahuje 2</w:t>
            </w:r>
            <w:r w:rsidR="009912F8" w:rsidRPr="00E07C9A">
              <w:rPr>
                <w:rFonts w:ascii="Times New Roman" w:hAnsi="Times New Roman"/>
                <w:sz w:val="24"/>
              </w:rPr>
              <w:t> %</w:t>
            </w:r>
            <w:r w:rsidRPr="00E07C9A">
              <w:rPr>
                <w:rFonts w:ascii="Times New Roman" w:hAnsi="Times New Roman"/>
                <w:sz w:val="24"/>
              </w:rPr>
              <w:t xml:space="preserve"> súhrnu všeobecných expozícií voči kreditnému riziku, expozícií</w:t>
            </w:r>
            <w:r w:rsidR="009912F8" w:rsidRPr="00E07C9A">
              <w:rPr>
                <w:rFonts w:ascii="Times New Roman" w:hAnsi="Times New Roman"/>
                <w:sz w:val="24"/>
              </w:rPr>
              <w:t xml:space="preserve"> v </w:t>
            </w:r>
            <w:r w:rsidRPr="00E07C9A">
              <w:rPr>
                <w:rFonts w:ascii="Times New Roman" w:hAnsi="Times New Roman"/>
                <w:sz w:val="24"/>
              </w:rPr>
              <w:t>obchodnej knihe</w:t>
            </w:r>
            <w:r w:rsidR="009912F8" w:rsidRPr="00E07C9A">
              <w:rPr>
                <w:rFonts w:ascii="Times New Roman" w:hAnsi="Times New Roman"/>
                <w:sz w:val="24"/>
              </w:rPr>
              <w:t xml:space="preserve"> a </w:t>
            </w:r>
            <w:r w:rsidRPr="00E07C9A">
              <w:rPr>
                <w:rFonts w:ascii="Times New Roman" w:hAnsi="Times New Roman"/>
                <w:sz w:val="24"/>
              </w:rPr>
              <w:t>sekuritizačných expozícií uvedenej inštitúcie, možno prideliť domovskému členskému štátu inštitúcií. Súhrn všeobecných expozícií voči kreditnému riziku, expozícií</w:t>
            </w:r>
            <w:r w:rsidR="009912F8" w:rsidRPr="00E07C9A">
              <w:rPr>
                <w:rFonts w:ascii="Times New Roman" w:hAnsi="Times New Roman"/>
                <w:sz w:val="24"/>
              </w:rPr>
              <w:t xml:space="preserve"> v </w:t>
            </w:r>
            <w:r w:rsidRPr="00E07C9A">
              <w:rPr>
                <w:rFonts w:ascii="Times New Roman" w:hAnsi="Times New Roman"/>
                <w:sz w:val="24"/>
              </w:rPr>
              <w:t>obchodnej knihe</w:t>
            </w:r>
            <w:r w:rsidR="009912F8" w:rsidRPr="00E07C9A">
              <w:rPr>
                <w:rFonts w:ascii="Times New Roman" w:hAnsi="Times New Roman"/>
                <w:sz w:val="24"/>
              </w:rPr>
              <w:t xml:space="preserve"> a </w:t>
            </w:r>
            <w:r w:rsidRPr="00E07C9A">
              <w:rPr>
                <w:rFonts w:ascii="Times New Roman" w:hAnsi="Times New Roman"/>
                <w:sz w:val="24"/>
              </w:rPr>
              <w:t>sekuritizačných expozícií sa vypočítava tak, že sa vylúčia všeobecné expozície voči kreditnému riziku umiestnené</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článkom 2 ods. 5 písm. a)</w:t>
            </w:r>
            <w:r w:rsidR="009912F8" w:rsidRPr="00E07C9A">
              <w:rPr>
                <w:rFonts w:ascii="Times New Roman" w:hAnsi="Times New Roman"/>
                <w:sz w:val="24"/>
              </w:rPr>
              <w:t xml:space="preserve"> a </w:t>
            </w:r>
            <w:r w:rsidRPr="00E07C9A">
              <w:rPr>
                <w:rFonts w:ascii="Times New Roman" w:hAnsi="Times New Roman"/>
                <w:sz w:val="24"/>
              </w:rPr>
              <w:t>článkom 2 ods. 4 delegovaného nariadenia Komisie (EÚ) č. 1152/2014.</w:t>
            </w:r>
          </w:p>
          <w:p w14:paraId="02877D2C" w14:textId="50491E60" w:rsidR="00966663" w:rsidRPr="00E07C9A" w:rsidRDefault="006A3A82" w:rsidP="006A3A82">
            <w:pPr>
              <w:autoSpaceDE w:val="0"/>
              <w:autoSpaceDN w:val="0"/>
              <w:adjustRightInd w:val="0"/>
              <w:rPr>
                <w:rFonts w:ascii="Times New Roman" w:hAnsi="Times New Roman"/>
                <w:sz w:val="24"/>
              </w:rPr>
            </w:pPr>
            <w:r w:rsidRPr="00E07C9A">
              <w:rPr>
                <w:rFonts w:ascii="Times New Roman" w:hAnsi="Times New Roman"/>
                <w:sz w:val="24"/>
              </w:rPr>
              <w:t>Ak inštitúcia využije túto odchýlku, uvedie vo vzore pre jurisdikciu zodpovedajúcu jej domovskému členskému štátu</w:t>
            </w:r>
            <w:r w:rsidR="009912F8" w:rsidRPr="00E07C9A">
              <w:rPr>
                <w:rFonts w:ascii="Times New Roman" w:hAnsi="Times New Roman"/>
                <w:sz w:val="24"/>
              </w:rPr>
              <w:t xml:space="preserve"> a </w:t>
            </w:r>
            <w:r w:rsidRPr="00E07C9A">
              <w:rPr>
                <w:rFonts w:ascii="Times New Roman" w:hAnsi="Times New Roman"/>
                <w:sz w:val="24"/>
              </w:rPr>
              <w:t>pre riadok „spolu“, ktorý odkazuje na súčet všetkých krajín, hodnotu „y“.</w:t>
            </w:r>
          </w:p>
          <w:p w14:paraId="22D9B450" w14:textId="05A60EC0" w:rsidR="006A3A82" w:rsidRPr="00E07C9A" w:rsidRDefault="006A3A82" w:rsidP="006A3A82">
            <w:pPr>
              <w:autoSpaceDE w:val="0"/>
              <w:autoSpaceDN w:val="0"/>
              <w:adjustRightInd w:val="0"/>
              <w:rPr>
                <w:rFonts w:ascii="Times New Roman" w:hAnsi="Times New Roman"/>
                <w:sz w:val="24"/>
              </w:rPr>
            </w:pPr>
            <w:r w:rsidRPr="00E07C9A">
              <w:rPr>
                <w:rFonts w:ascii="Times New Roman" w:hAnsi="Times New Roman"/>
                <w:sz w:val="24"/>
              </w:rPr>
              <w:t>Ak inštitúcia túto výnimku nevyužije, uvedie</w:t>
            </w:r>
            <w:r w:rsidR="009912F8" w:rsidRPr="00E07C9A">
              <w:rPr>
                <w:rFonts w:ascii="Times New Roman" w:hAnsi="Times New Roman"/>
                <w:sz w:val="24"/>
              </w:rPr>
              <w:t xml:space="preserve"> v </w:t>
            </w:r>
            <w:r w:rsidRPr="00E07C9A">
              <w:rPr>
                <w:rFonts w:ascii="Times New Roman" w:hAnsi="Times New Roman"/>
                <w:sz w:val="24"/>
              </w:rPr>
              <w:t>príslušnej bunke hodnotu „n“.</w:t>
            </w:r>
          </w:p>
        </w:tc>
      </w:tr>
      <w:tr w:rsidR="00966663" w:rsidRPr="00E07C9A" w14:paraId="007043F4" w14:textId="77777777" w:rsidTr="00672D2A">
        <w:tc>
          <w:tcPr>
            <w:tcW w:w="1697" w:type="dxa"/>
          </w:tcPr>
          <w:p w14:paraId="027B9EBF" w14:textId="77777777" w:rsidR="00966663" w:rsidRPr="00E07C9A" w:rsidRDefault="006E0E76" w:rsidP="00133107">
            <w:pPr>
              <w:rPr>
                <w:rFonts w:ascii="Times New Roman" w:hAnsi="Times New Roman"/>
                <w:sz w:val="24"/>
              </w:rPr>
            </w:pPr>
            <w:r w:rsidRPr="00E07C9A">
              <w:rPr>
                <w:rFonts w:ascii="Times New Roman" w:hAnsi="Times New Roman"/>
                <w:sz w:val="24"/>
              </w:rPr>
              <w:t>0160</w:t>
            </w:r>
          </w:p>
        </w:tc>
        <w:tc>
          <w:tcPr>
            <w:tcW w:w="8131" w:type="dxa"/>
          </w:tcPr>
          <w:p w14:paraId="5B85C9CB" w14:textId="1BE48975" w:rsidR="00535A98" w:rsidRPr="00E07C9A" w:rsidRDefault="00FC0B81" w:rsidP="006A3A82">
            <w:pPr>
              <w:autoSpaceDE w:val="0"/>
              <w:autoSpaceDN w:val="0"/>
              <w:adjustRightInd w:val="0"/>
              <w:rPr>
                <w:rFonts w:ascii="Times New Roman" w:hAnsi="Times New Roman"/>
                <w:sz w:val="24"/>
              </w:rPr>
            </w:pPr>
            <w:r w:rsidRPr="00E07C9A">
              <w:rPr>
                <w:rFonts w:ascii="Times New Roman" w:hAnsi="Times New Roman"/>
                <w:b/>
                <w:sz w:val="24"/>
                <w:u w:val="single"/>
              </w:rPr>
              <w:t>Použitie 2-percentnej prahovej hodnoty pre expozíciu</w:t>
            </w:r>
            <w:r w:rsidR="009912F8" w:rsidRPr="00E07C9A">
              <w:rPr>
                <w:rFonts w:ascii="Times New Roman" w:hAnsi="Times New Roman"/>
                <w:b/>
                <w:sz w:val="24"/>
                <w:u w:val="single"/>
              </w:rPr>
              <w:t xml:space="preserve"> v </w:t>
            </w:r>
            <w:r w:rsidRPr="00E07C9A">
              <w:rPr>
                <w:rFonts w:ascii="Times New Roman" w:hAnsi="Times New Roman"/>
                <w:b/>
                <w:sz w:val="24"/>
                <w:u w:val="single"/>
              </w:rPr>
              <w:t>obchodnej knihe</w:t>
            </w:r>
          </w:p>
          <w:p w14:paraId="369B6ABC" w14:textId="06E0F4F7" w:rsidR="006A3A82" w:rsidRPr="00E07C9A" w:rsidRDefault="006A3A82" w:rsidP="006A3A82">
            <w:pPr>
              <w:autoSpaceDE w:val="0"/>
              <w:autoSpaceDN w:val="0"/>
              <w:adjustRightInd w:val="0"/>
              <w:rPr>
                <w:rFonts w:ascii="Times New Roman" w:hAnsi="Times New Roman"/>
                <w:sz w:val="24"/>
              </w:rPr>
            </w:pPr>
            <w:r w:rsidRPr="00E07C9A">
              <w:rPr>
                <w:rFonts w:ascii="Times New Roman" w:hAnsi="Times New Roman"/>
                <w:sz w:val="24"/>
              </w:rPr>
              <w:t>V súlade</w:t>
            </w:r>
            <w:r w:rsidR="009912F8" w:rsidRPr="00E07C9A">
              <w:rPr>
                <w:rFonts w:ascii="Times New Roman" w:hAnsi="Times New Roman"/>
                <w:sz w:val="24"/>
              </w:rPr>
              <w:t xml:space="preserve"> s </w:t>
            </w:r>
            <w:r w:rsidRPr="00E07C9A">
              <w:rPr>
                <w:rFonts w:ascii="Times New Roman" w:hAnsi="Times New Roman"/>
                <w:sz w:val="24"/>
              </w:rPr>
              <w:t>článkom 3 ods. 3 delegovaného nariadenia Komisie (EÚ) č. 1152/2014 môžu inštitúcie prideliť expozície</w:t>
            </w:r>
            <w:r w:rsidR="009912F8" w:rsidRPr="00E07C9A">
              <w:rPr>
                <w:rFonts w:ascii="Times New Roman" w:hAnsi="Times New Roman"/>
                <w:sz w:val="24"/>
              </w:rPr>
              <w:t xml:space="preserve"> v </w:t>
            </w:r>
            <w:r w:rsidRPr="00E07C9A">
              <w:rPr>
                <w:rFonts w:ascii="Times New Roman" w:hAnsi="Times New Roman"/>
                <w:sz w:val="24"/>
              </w:rPr>
              <w:t>obchodnej knihe svojmu domovskému členskému štátu, ak celkové expozície</w:t>
            </w:r>
            <w:r w:rsidR="009912F8" w:rsidRPr="00E07C9A">
              <w:rPr>
                <w:rFonts w:ascii="Times New Roman" w:hAnsi="Times New Roman"/>
                <w:sz w:val="24"/>
              </w:rPr>
              <w:t xml:space="preserve"> v </w:t>
            </w:r>
            <w:r w:rsidRPr="00E07C9A">
              <w:rPr>
                <w:rFonts w:ascii="Times New Roman" w:hAnsi="Times New Roman"/>
                <w:sz w:val="24"/>
              </w:rPr>
              <w:t>obchodnej knihe nepresahujú 2</w:t>
            </w:r>
            <w:r w:rsidR="009912F8" w:rsidRPr="00E07C9A">
              <w:rPr>
                <w:rFonts w:ascii="Times New Roman" w:hAnsi="Times New Roman"/>
                <w:sz w:val="24"/>
              </w:rPr>
              <w:t> %</w:t>
            </w:r>
            <w:r w:rsidRPr="00E07C9A">
              <w:rPr>
                <w:rFonts w:ascii="Times New Roman" w:hAnsi="Times New Roman"/>
                <w:sz w:val="24"/>
              </w:rPr>
              <w:t xml:space="preserve"> ich celkových všeobecných expozícií voči kreditnému riziku, expozícií</w:t>
            </w:r>
            <w:r w:rsidR="009912F8" w:rsidRPr="00E07C9A">
              <w:rPr>
                <w:rFonts w:ascii="Times New Roman" w:hAnsi="Times New Roman"/>
                <w:sz w:val="24"/>
              </w:rPr>
              <w:t xml:space="preserve"> v </w:t>
            </w:r>
            <w:r w:rsidRPr="00E07C9A">
              <w:rPr>
                <w:rFonts w:ascii="Times New Roman" w:hAnsi="Times New Roman"/>
                <w:sz w:val="24"/>
              </w:rPr>
              <w:t>obchodnej knihe</w:t>
            </w:r>
            <w:r w:rsidR="009912F8" w:rsidRPr="00E07C9A">
              <w:rPr>
                <w:rFonts w:ascii="Times New Roman" w:hAnsi="Times New Roman"/>
                <w:sz w:val="24"/>
              </w:rPr>
              <w:t xml:space="preserve"> a </w:t>
            </w:r>
            <w:r w:rsidRPr="00E07C9A">
              <w:rPr>
                <w:rFonts w:ascii="Times New Roman" w:hAnsi="Times New Roman"/>
                <w:sz w:val="24"/>
              </w:rPr>
              <w:t>sekuritizačných expozícií.</w:t>
            </w:r>
          </w:p>
          <w:p w14:paraId="035A6DB1" w14:textId="616F96B4" w:rsidR="006A3A82" w:rsidRPr="00E07C9A" w:rsidRDefault="006A3A82" w:rsidP="006A3A82">
            <w:pPr>
              <w:rPr>
                <w:rFonts w:ascii="Times New Roman" w:hAnsi="Times New Roman"/>
                <w:sz w:val="24"/>
              </w:rPr>
            </w:pPr>
            <w:r w:rsidRPr="00E07C9A">
              <w:rPr>
                <w:rFonts w:ascii="Times New Roman" w:hAnsi="Times New Roman"/>
                <w:sz w:val="24"/>
              </w:rPr>
              <w:t>Ak inštitúcia využije túto odchýlku, uvedie vo vzore pre jurisdikciu zodpovedajúcu jej domovskému členskému štátu</w:t>
            </w:r>
            <w:r w:rsidR="009912F8" w:rsidRPr="00E07C9A">
              <w:rPr>
                <w:rFonts w:ascii="Times New Roman" w:hAnsi="Times New Roman"/>
                <w:sz w:val="24"/>
              </w:rPr>
              <w:t xml:space="preserve"> a </w:t>
            </w:r>
            <w:r w:rsidRPr="00E07C9A">
              <w:rPr>
                <w:rFonts w:ascii="Times New Roman" w:hAnsi="Times New Roman"/>
                <w:sz w:val="24"/>
              </w:rPr>
              <w:t>pre riadok „spolu“, ktorý odkazuje na súčet všetkých krajín, hodnotu „y“.</w:t>
            </w:r>
          </w:p>
          <w:p w14:paraId="3F2EC60A" w14:textId="2B4D9529" w:rsidR="00966663" w:rsidRPr="00E07C9A" w:rsidRDefault="006A3A82" w:rsidP="006A3A82">
            <w:pPr>
              <w:rPr>
                <w:rFonts w:ascii="Times New Roman" w:hAnsi="Times New Roman"/>
                <w:b/>
                <w:bCs/>
                <w:sz w:val="24"/>
                <w:u w:val="single"/>
              </w:rPr>
            </w:pPr>
            <w:r w:rsidRPr="00E07C9A">
              <w:rPr>
                <w:rFonts w:ascii="Times New Roman" w:hAnsi="Times New Roman"/>
                <w:sz w:val="24"/>
              </w:rPr>
              <w:t>Ak inštitúcia túto výnimku nevyužije, uvedie</w:t>
            </w:r>
            <w:r w:rsidR="009912F8" w:rsidRPr="00E07C9A">
              <w:rPr>
                <w:rFonts w:ascii="Times New Roman" w:hAnsi="Times New Roman"/>
                <w:sz w:val="24"/>
              </w:rPr>
              <w:t xml:space="preserve"> v </w:t>
            </w:r>
            <w:r w:rsidRPr="00E07C9A">
              <w:rPr>
                <w:rFonts w:ascii="Times New Roman" w:hAnsi="Times New Roman"/>
                <w:sz w:val="24"/>
              </w:rPr>
              <w:t>príslušnej bunke hodnotu „n“.</w:t>
            </w:r>
          </w:p>
        </w:tc>
      </w:tr>
    </w:tbl>
    <w:p w14:paraId="6DEBA4B4" w14:textId="77777777" w:rsidR="004357B9" w:rsidRPr="00E07C9A" w:rsidRDefault="004357B9">
      <w:pPr>
        <w:spacing w:before="0" w:after="0"/>
        <w:jc w:val="left"/>
        <w:rPr>
          <w:rFonts w:ascii="Times New Roman" w:hAnsi="Times New Roman"/>
          <w:bCs/>
          <w:sz w:val="24"/>
          <w:lang w:eastAsia="de-DE"/>
        </w:rPr>
      </w:pPr>
    </w:p>
    <w:p w14:paraId="041A8F06" w14:textId="2ADED31E" w:rsidR="00C61FF5" w:rsidRPr="00E07C9A" w:rsidRDefault="00125707" w:rsidP="0023700C">
      <w:pPr>
        <w:pStyle w:val="Instructionsberschrift2"/>
        <w:numPr>
          <w:ilvl w:val="0"/>
          <w:numId w:val="0"/>
        </w:numPr>
        <w:ind w:left="357" w:hanging="357"/>
        <w:rPr>
          <w:rFonts w:ascii="Times New Roman" w:hAnsi="Times New Roman" w:cs="Times New Roman"/>
          <w:sz w:val="24"/>
        </w:rPr>
      </w:pPr>
      <w:bookmarkStart w:id="382" w:name="_Toc295829919"/>
      <w:bookmarkStart w:id="383" w:name="_Toc310415031"/>
      <w:bookmarkStart w:id="384" w:name="_Toc360188369"/>
      <w:bookmarkStart w:id="385" w:name="_Toc473560920"/>
      <w:bookmarkStart w:id="386" w:name="_Toc115857817"/>
      <w:r w:rsidRPr="00E07C9A">
        <w:rPr>
          <w:rFonts w:ascii="Times New Roman" w:hAnsi="Times New Roman" w:cs="Times New Roman"/>
          <w:sz w:val="24"/>
          <w:u w:val="none"/>
        </w:rPr>
        <w:t>3.5.</w:t>
      </w:r>
      <w:r w:rsidRPr="00E07C9A">
        <w:rPr>
          <w:rFonts w:ascii="Times New Roman" w:hAnsi="Times New Roman" w:cs="Times New Roman"/>
          <w:u w:val="none"/>
        </w:rPr>
        <w:tab/>
      </w:r>
      <w:r w:rsidRPr="00E07C9A">
        <w:rPr>
          <w:rFonts w:ascii="Times New Roman" w:hAnsi="Times New Roman" w:cs="Times New Roman"/>
          <w:sz w:val="24"/>
        </w:rPr>
        <w:t>C 10.01</w:t>
      </w:r>
      <w:r w:rsidR="009912F8" w:rsidRPr="00E07C9A">
        <w:rPr>
          <w:rFonts w:ascii="Times New Roman" w:hAnsi="Times New Roman" w:cs="Times New Roman"/>
          <w:sz w:val="24"/>
        </w:rPr>
        <w:t xml:space="preserve"> a </w:t>
      </w:r>
      <w:r w:rsidRPr="00E07C9A">
        <w:rPr>
          <w:rFonts w:ascii="Times New Roman" w:hAnsi="Times New Roman" w:cs="Times New Roman"/>
          <w:sz w:val="24"/>
        </w:rPr>
        <w:t>C 10.02 – Kapitálové expozície</w:t>
      </w:r>
      <w:r w:rsidR="009912F8" w:rsidRPr="00E07C9A">
        <w:rPr>
          <w:rFonts w:ascii="Times New Roman" w:hAnsi="Times New Roman" w:cs="Times New Roman"/>
          <w:sz w:val="24"/>
        </w:rPr>
        <w:t xml:space="preserve"> v </w:t>
      </w:r>
      <w:r w:rsidRPr="00E07C9A">
        <w:rPr>
          <w:rFonts w:ascii="Times New Roman" w:hAnsi="Times New Roman" w:cs="Times New Roman"/>
          <w:sz w:val="24"/>
        </w:rPr>
        <w:t>rámci prístupu interných ratingov</w:t>
      </w:r>
      <w:bookmarkEnd w:id="382"/>
      <w:bookmarkEnd w:id="383"/>
      <w:bookmarkEnd w:id="384"/>
      <w:r w:rsidRPr="00E07C9A">
        <w:rPr>
          <w:rFonts w:ascii="Times New Roman" w:hAnsi="Times New Roman" w:cs="Times New Roman"/>
          <w:sz w:val="24"/>
        </w:rPr>
        <w:t xml:space="preserve"> (CR EQU IRB 1</w:t>
      </w:r>
      <w:r w:rsidR="009912F8" w:rsidRPr="00E07C9A">
        <w:rPr>
          <w:rFonts w:ascii="Times New Roman" w:hAnsi="Times New Roman" w:cs="Times New Roman"/>
          <w:sz w:val="24"/>
        </w:rPr>
        <w:t xml:space="preserve"> a </w:t>
      </w:r>
      <w:r w:rsidRPr="00E07C9A">
        <w:rPr>
          <w:rFonts w:ascii="Times New Roman" w:hAnsi="Times New Roman" w:cs="Times New Roman"/>
          <w:sz w:val="24"/>
        </w:rPr>
        <w:t>CR EQU IRB 2)</w:t>
      </w:r>
      <w:bookmarkEnd w:id="385"/>
      <w:bookmarkEnd w:id="386"/>
    </w:p>
    <w:p w14:paraId="09ED7AFA" w14:textId="77777777" w:rsidR="00C61FF5" w:rsidRPr="00E07C9A" w:rsidRDefault="00125707" w:rsidP="0023700C">
      <w:pPr>
        <w:pStyle w:val="Instructionsberschrift2"/>
        <w:numPr>
          <w:ilvl w:val="0"/>
          <w:numId w:val="0"/>
        </w:numPr>
        <w:ind w:left="357" w:hanging="357"/>
        <w:rPr>
          <w:rFonts w:ascii="Times New Roman" w:hAnsi="Times New Roman" w:cs="Times New Roman"/>
          <w:sz w:val="24"/>
        </w:rPr>
      </w:pPr>
      <w:bookmarkStart w:id="387" w:name="_Toc239157382"/>
      <w:bookmarkStart w:id="388" w:name="_Toc295829920"/>
      <w:bookmarkStart w:id="389" w:name="_Toc310415032"/>
      <w:bookmarkStart w:id="390" w:name="_Toc360188370"/>
      <w:bookmarkStart w:id="391" w:name="_Toc473560921"/>
      <w:bookmarkStart w:id="392" w:name="_Toc115857818"/>
      <w:r w:rsidRPr="00E07C9A">
        <w:rPr>
          <w:rFonts w:ascii="Times New Roman" w:hAnsi="Times New Roman" w:cs="Times New Roman"/>
          <w:sz w:val="24"/>
          <w:u w:val="none"/>
        </w:rPr>
        <w:t>3.5.1.</w:t>
      </w:r>
      <w:r w:rsidRPr="00E07C9A">
        <w:rPr>
          <w:rFonts w:ascii="Times New Roman" w:hAnsi="Times New Roman" w:cs="Times New Roman"/>
          <w:u w:val="none"/>
        </w:rPr>
        <w:tab/>
      </w:r>
      <w:r w:rsidRPr="00E07C9A">
        <w:rPr>
          <w:rFonts w:ascii="Times New Roman" w:hAnsi="Times New Roman" w:cs="Times New Roman"/>
          <w:sz w:val="24"/>
        </w:rPr>
        <w:t>Všeobecné poznámky</w:t>
      </w:r>
      <w:bookmarkEnd w:id="387"/>
      <w:bookmarkEnd w:id="388"/>
      <w:bookmarkEnd w:id="389"/>
      <w:bookmarkEnd w:id="390"/>
      <w:bookmarkEnd w:id="391"/>
      <w:bookmarkEnd w:id="392"/>
    </w:p>
    <w:p w14:paraId="76937939" w14:textId="7B7BB152" w:rsidR="00C61FF5" w:rsidRPr="00E07C9A" w:rsidRDefault="002A18DE" w:rsidP="00487A02">
      <w:pPr>
        <w:pStyle w:val="InstructionsText2"/>
        <w:numPr>
          <w:ilvl w:val="0"/>
          <w:numId w:val="0"/>
        </w:numPr>
        <w:ind w:left="1353" w:hanging="360"/>
      </w:pPr>
      <w:fldSimple w:instr=" seq paragraphs ">
        <w:r w:rsidR="00132AEE">
          <w:rPr>
            <w:noProof/>
          </w:rPr>
          <w:t>92</w:t>
        </w:r>
      </w:fldSimple>
      <w:r w:rsidR="00C3070C" w:rsidRPr="00E07C9A">
        <w:t>.</w:t>
      </w:r>
      <w:r w:rsidR="00C3070C" w:rsidRPr="00E07C9A">
        <w:tab/>
        <w:t>Vzor CR EQU IRB tvoria dva vzory: vzor CR EQU IRB 1 poskytuje všeobecný prehľad</w:t>
      </w:r>
      <w:r w:rsidR="009912F8" w:rsidRPr="00E07C9A">
        <w:t xml:space="preserve"> o </w:t>
      </w:r>
      <w:r w:rsidR="00C3070C" w:rsidRPr="00E07C9A">
        <w:t>expozíciách IRB triedy kapitálových expozícií</w:t>
      </w:r>
      <w:r w:rsidR="009912F8" w:rsidRPr="00E07C9A">
        <w:t xml:space="preserve"> a o </w:t>
      </w:r>
      <w:r w:rsidR="00C3070C" w:rsidRPr="00E07C9A">
        <w:t>rôznych metódach výpočtu celkových hodnôt rizikových expozícií. Vo vzore CR EQU IRB 2 sa uvádza rozčlenenie celkových expozícií priradených ratingovým stupňom dlžníkov</w:t>
      </w:r>
      <w:r w:rsidR="009912F8" w:rsidRPr="00E07C9A">
        <w:t xml:space="preserve"> v </w:t>
      </w:r>
      <w:r w:rsidR="00C3070C" w:rsidRPr="00E07C9A">
        <w:t>rámci prístupu PD/LGD. Vzor „CR EQU IRB“ sa</w:t>
      </w:r>
      <w:r w:rsidR="009912F8" w:rsidRPr="00E07C9A">
        <w:t xml:space="preserve"> v </w:t>
      </w:r>
      <w:r w:rsidR="00C3070C" w:rsidRPr="00E07C9A">
        <w:t>týchto pokynoch vzťahuje na obidva vzory „CR EQU IRB 1“</w:t>
      </w:r>
      <w:r w:rsidR="009912F8" w:rsidRPr="00E07C9A">
        <w:t xml:space="preserve"> a </w:t>
      </w:r>
      <w:r w:rsidR="00C3070C" w:rsidRPr="00E07C9A">
        <w:t>„CR EQU IRB 2“, podľa toho, ktorý sa uplatňuje.</w:t>
      </w:r>
    </w:p>
    <w:p w14:paraId="129E6696" w14:textId="06431FC9" w:rsidR="00C61FF5" w:rsidRPr="00E07C9A" w:rsidRDefault="002A18DE" w:rsidP="00487A02">
      <w:pPr>
        <w:pStyle w:val="InstructionsText2"/>
        <w:numPr>
          <w:ilvl w:val="0"/>
          <w:numId w:val="0"/>
        </w:numPr>
        <w:ind w:left="1353" w:hanging="360"/>
      </w:pPr>
      <w:fldSimple w:instr=" seq paragraphs ">
        <w:r w:rsidR="00132AEE">
          <w:rPr>
            <w:noProof/>
          </w:rPr>
          <w:t>93</w:t>
        </w:r>
      </w:fldSimple>
      <w:r w:rsidR="00C3070C" w:rsidRPr="00E07C9A">
        <w:t>.</w:t>
      </w:r>
      <w:r w:rsidR="00C3070C" w:rsidRPr="00E07C9A">
        <w:tab/>
        <w:t>Vo vzore CR EQU IRB sa uvádzajú informácie</w:t>
      </w:r>
      <w:r w:rsidR="009912F8" w:rsidRPr="00E07C9A">
        <w:t xml:space="preserve"> o </w:t>
      </w:r>
      <w:r w:rsidR="00C3070C" w:rsidRPr="00E07C9A">
        <w:t xml:space="preserve">výpočte hodnôt rizikovo vážených expozícií pre kreditné riziko [článok 92 ods. 3 písm. a) nariadenia (EÚ) </w:t>
      </w:r>
      <w:r w:rsidR="009912F8" w:rsidRPr="00E07C9A">
        <w:t>č. 575/2013</w:t>
      </w:r>
      <w:r w:rsidR="00C3070C" w:rsidRPr="00E07C9A">
        <w:t>]</w:t>
      </w:r>
      <w:r w:rsidR="009912F8" w:rsidRPr="00E07C9A">
        <w:t xml:space="preserve"> v </w:t>
      </w:r>
      <w:r w:rsidR="00C3070C" w:rsidRPr="00E07C9A">
        <w:t>súlade</w:t>
      </w:r>
      <w:r w:rsidR="009912F8" w:rsidRPr="00E07C9A">
        <w:t xml:space="preserve"> s </w:t>
      </w:r>
      <w:r w:rsidR="00C3070C" w:rsidRPr="00E07C9A">
        <w:t xml:space="preserve">treťou časťou hlavou II kapitolou 3 nariadenia (EÚ) </w:t>
      </w:r>
      <w:r w:rsidR="009912F8" w:rsidRPr="00E07C9A">
        <w:t>č. 575/2013 v </w:t>
      </w:r>
      <w:r w:rsidR="00C3070C" w:rsidRPr="00E07C9A">
        <w:t>prípade kapitálových expozícií uvedených</w:t>
      </w:r>
      <w:r w:rsidR="009912F8" w:rsidRPr="00E07C9A">
        <w:t xml:space="preserve"> v </w:t>
      </w:r>
      <w:r w:rsidR="00C3070C" w:rsidRPr="00E07C9A">
        <w:t>článku 147 ods. 2 písm. e) uvedeného nariadenia.</w:t>
      </w:r>
    </w:p>
    <w:p w14:paraId="61D24B1A" w14:textId="6C8AB0AA" w:rsidR="00C61FF5" w:rsidRPr="00E07C9A" w:rsidRDefault="002A18DE" w:rsidP="00487A02">
      <w:pPr>
        <w:pStyle w:val="InstructionsText2"/>
        <w:numPr>
          <w:ilvl w:val="0"/>
          <w:numId w:val="0"/>
        </w:numPr>
        <w:ind w:left="1353" w:hanging="360"/>
      </w:pPr>
      <w:fldSimple w:instr=" seq paragraphs ">
        <w:r w:rsidR="00132AEE">
          <w:rPr>
            <w:noProof/>
          </w:rPr>
          <w:t>94</w:t>
        </w:r>
      </w:fldSimple>
      <w:r w:rsidR="00C3070C" w:rsidRPr="00E07C9A">
        <w:t>.</w:t>
      </w:r>
      <w:r w:rsidR="00C3070C" w:rsidRPr="00E07C9A">
        <w:tab/>
        <w:t>V súlade</w:t>
      </w:r>
      <w:r w:rsidR="009912F8" w:rsidRPr="00E07C9A">
        <w:t xml:space="preserve"> s </w:t>
      </w:r>
      <w:r w:rsidR="00C3070C" w:rsidRPr="00E07C9A">
        <w:t xml:space="preserve">článkom 147 ods. 6 nariadenia (EÚ) </w:t>
      </w:r>
      <w:r w:rsidR="009912F8" w:rsidRPr="00E07C9A">
        <w:t>č. 575/2013</w:t>
      </w:r>
      <w:r w:rsidR="00C3070C" w:rsidRPr="00E07C9A">
        <w:t xml:space="preserve"> sa do triedy kapitálových expozícií zaradia tieto expozície:</w:t>
      </w:r>
    </w:p>
    <w:p w14:paraId="5B9810A4" w14:textId="77777777" w:rsidR="00C61FF5" w:rsidRPr="00E07C9A" w:rsidRDefault="00125707" w:rsidP="00487A02">
      <w:pPr>
        <w:pStyle w:val="InstructionsText2"/>
        <w:numPr>
          <w:ilvl w:val="0"/>
          <w:numId w:val="0"/>
        </w:numPr>
        <w:ind w:left="1353" w:hanging="360"/>
      </w:pPr>
      <w:r w:rsidRPr="00E07C9A">
        <w:t>a)</w:t>
      </w:r>
      <w:r w:rsidRPr="00E07C9A">
        <w:tab/>
        <w:t>nedlhové expozície vyjadrujúce podriadenú, zostatkovú pohľadávku voči aktívam alebo príjmu emitenta;</w:t>
      </w:r>
    </w:p>
    <w:p w14:paraId="73C34881" w14:textId="711195C9" w:rsidR="00C61FF5" w:rsidRPr="00E07C9A" w:rsidRDefault="00125707" w:rsidP="00487A02">
      <w:pPr>
        <w:pStyle w:val="InstructionsText2"/>
        <w:numPr>
          <w:ilvl w:val="0"/>
          <w:numId w:val="0"/>
        </w:numPr>
        <w:ind w:left="1353" w:hanging="360"/>
      </w:pPr>
      <w:r w:rsidRPr="00E07C9A">
        <w:t>b)</w:t>
      </w:r>
      <w:r w:rsidRPr="00E07C9A">
        <w:tab/>
        <w:t>dlhové expozície</w:t>
      </w:r>
      <w:r w:rsidR="009912F8" w:rsidRPr="00E07C9A">
        <w:t xml:space="preserve"> a </w:t>
      </w:r>
      <w:r w:rsidRPr="00E07C9A">
        <w:t>iné cenné papiere, partnerstvá, deriváty alebo iné prostriedky, ktorých ekonomický význam je podobný expozíciám uvedeným</w:t>
      </w:r>
      <w:r w:rsidR="009912F8" w:rsidRPr="00E07C9A">
        <w:t xml:space="preserve"> v </w:t>
      </w:r>
      <w:r w:rsidRPr="00E07C9A">
        <w:t>písmene a).</w:t>
      </w:r>
    </w:p>
    <w:p w14:paraId="25C17068" w14:textId="1607ECD1" w:rsidR="00C61FF5" w:rsidRPr="00E07C9A" w:rsidRDefault="002A18DE" w:rsidP="00487A02">
      <w:pPr>
        <w:pStyle w:val="InstructionsText2"/>
        <w:numPr>
          <w:ilvl w:val="0"/>
          <w:numId w:val="0"/>
        </w:numPr>
        <w:ind w:left="1353" w:hanging="360"/>
      </w:pPr>
      <w:fldSimple w:instr=" seq paragraphs ">
        <w:r w:rsidR="00132AEE">
          <w:rPr>
            <w:noProof/>
          </w:rPr>
          <w:t>95</w:t>
        </w:r>
      </w:fldSimple>
      <w:r w:rsidR="00C3070C" w:rsidRPr="00E07C9A">
        <w:t>.</w:t>
      </w:r>
      <w:r w:rsidR="00C3070C" w:rsidRPr="00E07C9A">
        <w:tab/>
        <w:t>Podniky kolektívneho investovania,</w:t>
      </w:r>
      <w:r w:rsidR="009912F8" w:rsidRPr="00E07C9A">
        <w:t xml:space="preserve"> s </w:t>
      </w:r>
      <w:r w:rsidR="00C3070C" w:rsidRPr="00E07C9A">
        <w:t>ktorými sa zaobchádza</w:t>
      </w:r>
      <w:r w:rsidR="009912F8" w:rsidRPr="00E07C9A">
        <w:t xml:space="preserve"> v </w:t>
      </w:r>
      <w:r w:rsidR="00C3070C" w:rsidRPr="00E07C9A">
        <w:t>súlade</w:t>
      </w:r>
      <w:r w:rsidR="009912F8" w:rsidRPr="00E07C9A">
        <w:t xml:space="preserve"> s </w:t>
      </w:r>
      <w:r w:rsidR="00C3070C" w:rsidRPr="00E07C9A">
        <w:t>jednoduchým prístupom založeným na použití rizikovej váhy stanoveným</w:t>
      </w:r>
      <w:r w:rsidR="009912F8" w:rsidRPr="00E07C9A">
        <w:t xml:space="preserve"> v </w:t>
      </w:r>
      <w:r w:rsidR="00C3070C" w:rsidRPr="00E07C9A">
        <w:t xml:space="preserve">článku 152 ods. 4 písm. a) nariadenia (EÚ) </w:t>
      </w:r>
      <w:r w:rsidR="009912F8" w:rsidRPr="00E07C9A">
        <w:t>č. 575/2013</w:t>
      </w:r>
      <w:r w:rsidR="00C3070C" w:rsidRPr="00E07C9A">
        <w:t xml:space="preserve"> alebo</w:t>
      </w:r>
      <w:r w:rsidR="009912F8" w:rsidRPr="00E07C9A">
        <w:t xml:space="preserve"> s </w:t>
      </w:r>
      <w:r w:rsidR="00C3070C" w:rsidRPr="00E07C9A">
        <w:t>ktorými sa zaobchádza</w:t>
      </w:r>
      <w:r w:rsidR="009912F8" w:rsidRPr="00E07C9A">
        <w:t xml:space="preserve"> v </w:t>
      </w:r>
      <w:r w:rsidR="00C3070C" w:rsidRPr="00E07C9A">
        <w:t>súlade</w:t>
      </w:r>
      <w:r w:rsidR="009912F8" w:rsidRPr="00E07C9A">
        <w:t xml:space="preserve"> s </w:t>
      </w:r>
      <w:r w:rsidR="00C3070C" w:rsidRPr="00E07C9A">
        <w:t>rezervným prístupom podľa článku 152 ods. 6 uvedeného nariadenia, sa takisto vykazujú vo vzore CR EQU IRB.</w:t>
      </w:r>
    </w:p>
    <w:p w14:paraId="3C261ADE" w14:textId="3D23F464" w:rsidR="009912F8" w:rsidRPr="00E07C9A" w:rsidRDefault="002A18DE" w:rsidP="00487A02">
      <w:pPr>
        <w:pStyle w:val="InstructionsText2"/>
        <w:numPr>
          <w:ilvl w:val="0"/>
          <w:numId w:val="0"/>
        </w:numPr>
        <w:ind w:left="1353" w:hanging="360"/>
      </w:pPr>
      <w:fldSimple w:instr=" seq paragraphs ">
        <w:r w:rsidR="00132AEE">
          <w:rPr>
            <w:noProof/>
          </w:rPr>
          <w:t>96</w:t>
        </w:r>
      </w:fldSimple>
      <w:r w:rsidR="00C3070C" w:rsidRPr="00E07C9A">
        <w:t>.</w:t>
      </w:r>
      <w:r w:rsidR="00C3070C" w:rsidRPr="00E07C9A">
        <w:tab/>
        <w:t>Inštitúcie</w:t>
      </w:r>
      <w:r w:rsidR="009912F8" w:rsidRPr="00E07C9A">
        <w:t xml:space="preserve"> v </w:t>
      </w:r>
      <w:r w:rsidR="00C3070C" w:rsidRPr="00E07C9A">
        <w:t>súlade</w:t>
      </w:r>
      <w:r w:rsidR="009912F8" w:rsidRPr="00E07C9A">
        <w:t xml:space="preserve"> s </w:t>
      </w:r>
      <w:r w:rsidR="00C3070C" w:rsidRPr="00E07C9A">
        <w:t xml:space="preserve">článkom 151 ods. 1 nariadenia (EÚ) </w:t>
      </w:r>
      <w:r w:rsidR="009912F8" w:rsidRPr="00E07C9A">
        <w:t>č. 575/2013</w:t>
      </w:r>
      <w:r w:rsidR="00C3070C" w:rsidRPr="00E07C9A">
        <w:t xml:space="preserve"> vypĺňajú vzor CR EQU IRB, keď uplatňujú jeden</w:t>
      </w:r>
      <w:r w:rsidR="009912F8" w:rsidRPr="00E07C9A">
        <w:t xml:space="preserve"> z </w:t>
      </w:r>
      <w:r w:rsidR="00C3070C" w:rsidRPr="00E07C9A">
        <w:t>týchto troch prístupov uvedených</w:t>
      </w:r>
      <w:r w:rsidR="009912F8" w:rsidRPr="00E07C9A">
        <w:t xml:space="preserve"> v </w:t>
      </w:r>
      <w:r w:rsidR="00C3070C" w:rsidRPr="00E07C9A">
        <w:t xml:space="preserve">článku 155 nariadenia (EÚ) </w:t>
      </w:r>
      <w:r w:rsidR="009912F8" w:rsidRPr="00E07C9A">
        <w:t>č. 575/2013:</w:t>
      </w:r>
    </w:p>
    <w:p w14:paraId="2C4E2471" w14:textId="1EDDC047" w:rsidR="00C61FF5" w:rsidRPr="00E07C9A" w:rsidRDefault="00C61FF5" w:rsidP="00487A02">
      <w:pPr>
        <w:pStyle w:val="InstructionsText"/>
      </w:pPr>
      <w:r w:rsidRPr="00E07C9A">
        <w:t>– jednoduchý prístup založený na použití rizikovej váhy;</w:t>
      </w:r>
    </w:p>
    <w:p w14:paraId="4CD8D672" w14:textId="77777777" w:rsidR="00C61FF5" w:rsidRPr="00E07C9A" w:rsidRDefault="00C61FF5" w:rsidP="00487A02">
      <w:pPr>
        <w:pStyle w:val="InstructionsText"/>
      </w:pPr>
      <w:r w:rsidRPr="00E07C9A">
        <w:t>– prístup PD/LGD;</w:t>
      </w:r>
    </w:p>
    <w:p w14:paraId="35A7B39F" w14:textId="5F994C21" w:rsidR="00C61FF5" w:rsidRPr="00E07C9A" w:rsidRDefault="00C61FF5" w:rsidP="00487A02">
      <w:pPr>
        <w:pStyle w:val="InstructionsText"/>
      </w:pPr>
      <w:r w:rsidRPr="00E07C9A">
        <w:t>– prístup interných modelov.</w:t>
      </w:r>
    </w:p>
    <w:p w14:paraId="170A8607" w14:textId="627E434D" w:rsidR="00BB1DFE" w:rsidRPr="00E07C9A" w:rsidRDefault="00BB1DFE" w:rsidP="001235ED">
      <w:pPr>
        <w:pStyle w:val="InstructionsText"/>
        <w:ind w:left="1386"/>
      </w:pPr>
      <w:r w:rsidRPr="00E07C9A">
        <w:t>Inštitúcie môžu</w:t>
      </w:r>
      <w:r w:rsidR="009912F8" w:rsidRPr="00E07C9A">
        <w:t xml:space="preserve"> v </w:t>
      </w:r>
      <w:r w:rsidRPr="00E07C9A">
        <w:t>súlade</w:t>
      </w:r>
      <w:r w:rsidR="009912F8" w:rsidRPr="00E07C9A">
        <w:t xml:space="preserve"> s </w:t>
      </w:r>
      <w:r w:rsidRPr="00E07C9A">
        <w:t xml:space="preserve">článkom 155 nariadenia (EÚ) </w:t>
      </w:r>
      <w:r w:rsidR="009912F8" w:rsidRPr="00E07C9A">
        <w:t>č. 575/2013</w:t>
      </w:r>
      <w:r w:rsidRPr="00E07C9A">
        <w:t xml:space="preserve"> použiť rôzne prístupy (jednoduchý prístup založený na použití rizikovej váhy, prístup PD/LGD alebo prístup interných modelov) pre rôzne portfólia, keď interne používajú tieto rôzne prístupy.</w:t>
      </w:r>
    </w:p>
    <w:p w14:paraId="7DA2BD4A" w14:textId="1C2845AB" w:rsidR="00C61FF5" w:rsidRPr="00E07C9A" w:rsidRDefault="00C61FF5" w:rsidP="00487A02">
      <w:pPr>
        <w:pStyle w:val="InstructionsText"/>
        <w:ind w:left="1353"/>
      </w:pPr>
      <w:r w:rsidRPr="00E07C9A">
        <w:t>Inštitúcie, ktoré uplatňujú prístup IRB, navyše vypĺňajú vo vzore CR EQU IRB aj hodnoty rizikovo vážených expozícií pre kapitálové expozície, ktoré priťahujú zaobchádzanie na základe pevnej rizikovej váhy [avšak bez toho, aby sa</w:t>
      </w:r>
      <w:r w:rsidR="009912F8" w:rsidRPr="00E07C9A">
        <w:t xml:space="preserve"> s </w:t>
      </w:r>
      <w:r w:rsidRPr="00E07C9A">
        <w:t>nimi výslovne zaobchádzalo podľa jednoduchého prístupu založeného na použití rizikovej váhy alebo sa (dočasne alebo trvalo) čiastočne používal štandardizovaný prístup pre kreditné riziko], napr. kapitálové expozície, ktoré priťahujú rizikovú váhu vo výške 250</w:t>
      </w:r>
      <w:r w:rsidR="009912F8" w:rsidRPr="00E07C9A">
        <w:t> % v </w:t>
      </w:r>
      <w:r w:rsidRPr="00E07C9A">
        <w:t>súlade</w:t>
      </w:r>
      <w:r w:rsidR="009912F8" w:rsidRPr="00E07C9A">
        <w:t xml:space="preserve"> s </w:t>
      </w:r>
      <w:r w:rsidRPr="00E07C9A">
        <w:t xml:space="preserve">článkom 48 ods. 4 nariadenia (EÚ) </w:t>
      </w:r>
      <w:r w:rsidR="009912F8" w:rsidRPr="00E07C9A">
        <w:t>č. 575/2013</w:t>
      </w:r>
      <w:r w:rsidRPr="00E07C9A">
        <w:t>, prípadne rizikovú váhu vo výške 370</w:t>
      </w:r>
      <w:r w:rsidR="009912F8" w:rsidRPr="00E07C9A">
        <w:t> % v </w:t>
      </w:r>
      <w:r w:rsidRPr="00E07C9A">
        <w:t>súlade</w:t>
      </w:r>
      <w:r w:rsidR="009912F8" w:rsidRPr="00E07C9A">
        <w:t xml:space="preserve"> s </w:t>
      </w:r>
      <w:r w:rsidRPr="00E07C9A">
        <w:t>článkom 471 ods. 2 uvedeného nariadenia.</w:t>
      </w:r>
    </w:p>
    <w:p w14:paraId="6744BA9D" w14:textId="2DEDF9D2" w:rsidR="00C61FF5" w:rsidRPr="00E07C9A" w:rsidRDefault="002A18DE" w:rsidP="00487A02">
      <w:pPr>
        <w:pStyle w:val="InstructionsText2"/>
        <w:numPr>
          <w:ilvl w:val="0"/>
          <w:numId w:val="0"/>
        </w:numPr>
        <w:ind w:left="1353" w:hanging="360"/>
      </w:pPr>
      <w:fldSimple w:instr=" seq paragraphs ">
        <w:r w:rsidR="00132AEE">
          <w:rPr>
            <w:noProof/>
          </w:rPr>
          <w:t>97</w:t>
        </w:r>
      </w:fldSimple>
      <w:r w:rsidR="00C3070C" w:rsidRPr="00E07C9A">
        <w:t>.</w:t>
      </w:r>
      <w:r w:rsidR="00C3070C" w:rsidRPr="00E07C9A">
        <w:tab/>
        <w:t>Vo vzore CR EQU IRB sa nevykazujú tieto kapitálové pohľadávky:</w:t>
      </w:r>
    </w:p>
    <w:p w14:paraId="67A3F13F" w14:textId="7A2A90AA" w:rsidR="009912F8" w:rsidRPr="00E07C9A" w:rsidRDefault="00C61FF5" w:rsidP="00487A02">
      <w:pPr>
        <w:pStyle w:val="InstructionsText"/>
        <w:ind w:left="1353"/>
      </w:pPr>
      <w:r w:rsidRPr="00E07C9A">
        <w:t>– kapitálové expozície</w:t>
      </w:r>
      <w:r w:rsidR="009912F8" w:rsidRPr="00E07C9A">
        <w:t xml:space="preserve"> v </w:t>
      </w:r>
      <w:r w:rsidRPr="00E07C9A">
        <w:t>obchodnej knihe [keď inštitúcie nie sú oslobodené od výpočtu požiadaviek na vlastné zdroje pre pozície</w:t>
      </w:r>
      <w:r w:rsidR="009912F8" w:rsidRPr="00E07C9A">
        <w:t xml:space="preserve"> v </w:t>
      </w:r>
      <w:r w:rsidRPr="00E07C9A">
        <w:t xml:space="preserve">obchodnej knihe – [článok 94 nariadenia (EÚ) </w:t>
      </w:r>
      <w:r w:rsidR="009912F8" w:rsidRPr="00E07C9A">
        <w:t>č. 575/2013</w:t>
      </w:r>
      <w:r w:rsidRPr="00E07C9A">
        <w:t>]</w:t>
      </w:r>
      <w:r w:rsidR="009912F8" w:rsidRPr="00E07C9A">
        <w:t>;</w:t>
      </w:r>
    </w:p>
    <w:p w14:paraId="78FB29DE" w14:textId="74F0FEB7" w:rsidR="00C61FF5" w:rsidRPr="00E07C9A" w:rsidRDefault="00C61FF5" w:rsidP="00487A02">
      <w:pPr>
        <w:pStyle w:val="InstructionsText"/>
        <w:ind w:left="1353"/>
      </w:pPr>
      <w:r w:rsidRPr="00E07C9A">
        <w:t xml:space="preserve">– kapitálové expozície, na ktoré sa uplatňuje čiastočné používanie štandardizovaného prístupu [článok 150 nariadenia (EÚ) </w:t>
      </w:r>
      <w:r w:rsidR="009912F8" w:rsidRPr="00E07C9A">
        <w:t>č. 575/2013</w:t>
      </w:r>
      <w:r w:rsidRPr="00E07C9A">
        <w:t>], vrátane:</w:t>
      </w:r>
    </w:p>
    <w:p w14:paraId="56822102" w14:textId="377C16AB" w:rsidR="00C61FF5" w:rsidRPr="00E07C9A" w:rsidRDefault="00C61FF5" w:rsidP="00487A02">
      <w:pPr>
        <w:pStyle w:val="InstructionsText"/>
        <w:ind w:left="1353"/>
      </w:pPr>
      <w:r w:rsidRPr="00E07C9A">
        <w:t>– kapitálových expozícií zachovaných</w:t>
      </w:r>
      <w:r w:rsidR="009912F8" w:rsidRPr="00E07C9A">
        <w:t xml:space="preserve"> v </w:t>
      </w:r>
      <w:r w:rsidRPr="00E07C9A">
        <w:t>predchádzajúcom stave</w:t>
      </w:r>
      <w:r w:rsidR="009912F8" w:rsidRPr="00E07C9A">
        <w:t xml:space="preserve"> v </w:t>
      </w:r>
      <w:r w:rsidRPr="00E07C9A">
        <w:t>súlade</w:t>
      </w:r>
      <w:r w:rsidR="009912F8" w:rsidRPr="00E07C9A">
        <w:t xml:space="preserve"> s </w:t>
      </w:r>
      <w:r w:rsidRPr="00E07C9A">
        <w:t xml:space="preserve">článkom 495 ods. 1 nariadenia (EÚ) </w:t>
      </w:r>
      <w:r w:rsidR="009912F8" w:rsidRPr="00E07C9A">
        <w:t>č. 575/2013</w:t>
      </w:r>
      <w:r w:rsidRPr="00E07C9A">
        <w:t>;</w:t>
      </w:r>
    </w:p>
    <w:p w14:paraId="59393134" w14:textId="45C6FECA" w:rsidR="00C61FF5" w:rsidRPr="00E07C9A" w:rsidRDefault="00C61FF5" w:rsidP="00487A02">
      <w:pPr>
        <w:pStyle w:val="InstructionsText"/>
        <w:ind w:left="1353"/>
      </w:pPr>
      <w:r w:rsidRPr="00E07C9A">
        <w:t>– kapitálových expozícií voči subjektom, ktorých kreditné záväzky majú priradenú rizikovú váhu 0</w:t>
      </w:r>
      <w:r w:rsidR="009912F8" w:rsidRPr="00E07C9A">
        <w:t> % v </w:t>
      </w:r>
      <w:r w:rsidRPr="00E07C9A">
        <w:t>rámci štandardizovaného prístupu, vrátane tých verejne sponzorovaných subjektov, pri ktorých sa môže uplatniť riziková váha 0</w:t>
      </w:r>
      <w:r w:rsidR="009912F8" w:rsidRPr="00E07C9A">
        <w:t> %</w:t>
      </w:r>
      <w:r w:rsidRPr="00E07C9A">
        <w:t xml:space="preserve"> [článok 150 ods. 1 písm. g) nariadenia (EÚ) </w:t>
      </w:r>
      <w:r w:rsidR="009912F8" w:rsidRPr="00E07C9A">
        <w:t>č. 575/2013</w:t>
      </w:r>
      <w:r w:rsidRPr="00E07C9A">
        <w:t>];</w:t>
      </w:r>
    </w:p>
    <w:p w14:paraId="02216BD0" w14:textId="130F050C" w:rsidR="00C61FF5" w:rsidRPr="00E07C9A" w:rsidRDefault="00C61FF5" w:rsidP="00487A02">
      <w:pPr>
        <w:pStyle w:val="InstructionsText"/>
        <w:ind w:left="1353"/>
      </w:pPr>
      <w:r w:rsidRPr="00E07C9A">
        <w:t>– kapitálových expozícií, ktoré vznikli podľa legislatívnych programov na podporu určitých hospodárskych odvetví poskytujúcich významné dotácie na investovanie inštitúcii</w:t>
      </w:r>
      <w:r w:rsidR="009912F8" w:rsidRPr="00E07C9A">
        <w:t xml:space="preserve"> a </w:t>
      </w:r>
      <w:r w:rsidRPr="00E07C9A">
        <w:t>zahŕňajú určitú formu vládneho dozoru</w:t>
      </w:r>
      <w:r w:rsidR="009912F8" w:rsidRPr="00E07C9A">
        <w:t xml:space="preserve"> a </w:t>
      </w:r>
      <w:r w:rsidRPr="00E07C9A">
        <w:t xml:space="preserve">reštrikcií akciových investícií [článok 150 ods. 1 písm. h) nariadenia (EÚ) </w:t>
      </w:r>
      <w:r w:rsidR="009912F8" w:rsidRPr="00E07C9A">
        <w:t>č. 575/2013</w:t>
      </w:r>
      <w:r w:rsidRPr="00E07C9A">
        <w:t>];</w:t>
      </w:r>
    </w:p>
    <w:p w14:paraId="5731CED2" w14:textId="6281487A" w:rsidR="00C61FF5" w:rsidRPr="00E07C9A" w:rsidRDefault="00C61FF5" w:rsidP="00487A02">
      <w:pPr>
        <w:pStyle w:val="InstructionsText"/>
        <w:ind w:left="1353"/>
      </w:pPr>
      <w:r w:rsidRPr="00E07C9A">
        <w:t>– kapitálových expozícií voči podnikom pomocných služieb, ktorých hodnoty rizikovo vážených expozícií sa môžu vypočítať</w:t>
      </w:r>
      <w:r w:rsidR="009912F8" w:rsidRPr="00E07C9A">
        <w:t xml:space="preserve"> v </w:t>
      </w:r>
      <w:r w:rsidRPr="00E07C9A">
        <w:t>súlade</w:t>
      </w:r>
      <w:r w:rsidR="009912F8" w:rsidRPr="00E07C9A">
        <w:t xml:space="preserve"> s </w:t>
      </w:r>
      <w:r w:rsidRPr="00E07C9A">
        <w:t>prístupom</w:t>
      </w:r>
      <w:r w:rsidR="009912F8" w:rsidRPr="00E07C9A">
        <w:t xml:space="preserve"> k </w:t>
      </w:r>
      <w:r w:rsidRPr="00E07C9A">
        <w:t xml:space="preserve">„iným aktívam, ktoré nemajú povahu kreditného záväzku“ [článok 155 ods. 1 nariadenia (EÚ) </w:t>
      </w:r>
      <w:r w:rsidR="009912F8" w:rsidRPr="00E07C9A">
        <w:t>č. 575/2013</w:t>
      </w:r>
      <w:r w:rsidRPr="00E07C9A">
        <w:t>];</w:t>
      </w:r>
    </w:p>
    <w:p w14:paraId="2CD83A57" w14:textId="17F5031A" w:rsidR="00C61FF5" w:rsidRPr="00E07C9A" w:rsidRDefault="00C61FF5" w:rsidP="00487A02">
      <w:pPr>
        <w:pStyle w:val="InstructionsText"/>
        <w:ind w:left="1353"/>
      </w:pPr>
      <w:r w:rsidRPr="00E07C9A">
        <w:t>– kapitálových pohľadávok odpočítaných od vlastných zdrojov</w:t>
      </w:r>
      <w:r w:rsidR="009912F8" w:rsidRPr="00E07C9A">
        <w:t xml:space="preserve"> v </w:t>
      </w:r>
      <w:r w:rsidRPr="00E07C9A">
        <w:t>súlade</w:t>
      </w:r>
      <w:r w:rsidR="009912F8" w:rsidRPr="00E07C9A">
        <w:t xml:space="preserve"> s </w:t>
      </w:r>
      <w:r w:rsidRPr="00E07C9A">
        <w:t>článkami 46</w:t>
      </w:r>
      <w:r w:rsidR="009912F8" w:rsidRPr="00E07C9A">
        <w:t xml:space="preserve"> a </w:t>
      </w:r>
      <w:r w:rsidRPr="00E07C9A">
        <w:t xml:space="preserve">48 nariadenia (EÚ) </w:t>
      </w:r>
      <w:r w:rsidR="009912F8" w:rsidRPr="00E07C9A">
        <w:t>č. 575/2013</w:t>
      </w:r>
      <w:r w:rsidRPr="00E07C9A">
        <w:t>.</w:t>
      </w:r>
    </w:p>
    <w:p w14:paraId="7E42E33C" w14:textId="77777777" w:rsidR="00C61FF5" w:rsidRPr="00E07C9A" w:rsidRDefault="00C61FF5" w:rsidP="00487A02">
      <w:pPr>
        <w:pStyle w:val="InstructionsText"/>
        <w:ind w:left="1353"/>
      </w:pPr>
    </w:p>
    <w:p w14:paraId="67146783" w14:textId="7E1C406D" w:rsidR="00C61FF5" w:rsidRPr="00E07C9A" w:rsidRDefault="00125707" w:rsidP="0023700C">
      <w:pPr>
        <w:pStyle w:val="Instructionsberschrift2"/>
        <w:numPr>
          <w:ilvl w:val="0"/>
          <w:numId w:val="0"/>
        </w:numPr>
        <w:ind w:left="357" w:hanging="357"/>
        <w:rPr>
          <w:rFonts w:ascii="Times New Roman" w:hAnsi="Times New Roman" w:cs="Times New Roman"/>
          <w:sz w:val="24"/>
        </w:rPr>
      </w:pPr>
      <w:bookmarkStart w:id="393" w:name="_Toc295829921"/>
      <w:bookmarkStart w:id="394" w:name="_Toc310415033"/>
      <w:bookmarkStart w:id="395" w:name="_Toc360188371"/>
      <w:bookmarkStart w:id="396" w:name="_Toc473560922"/>
      <w:bookmarkStart w:id="397" w:name="_Toc115857819"/>
      <w:r w:rsidRPr="00E07C9A">
        <w:rPr>
          <w:rFonts w:ascii="Times New Roman" w:hAnsi="Times New Roman" w:cs="Times New Roman"/>
          <w:sz w:val="24"/>
          <w:u w:val="none"/>
        </w:rPr>
        <w:t>3.5.2.</w:t>
      </w:r>
      <w:r w:rsidRPr="00E07C9A">
        <w:rPr>
          <w:rFonts w:ascii="Times New Roman" w:hAnsi="Times New Roman" w:cs="Times New Roman"/>
          <w:u w:val="none"/>
        </w:rPr>
        <w:tab/>
      </w:r>
      <w:r w:rsidRPr="00E07C9A">
        <w:rPr>
          <w:rFonts w:ascii="Times New Roman" w:hAnsi="Times New Roman" w:cs="Times New Roman"/>
          <w:sz w:val="24"/>
        </w:rPr>
        <w:t>Pokyny týkajúce sa konkrétnych pozícií</w:t>
      </w:r>
      <w:bookmarkEnd w:id="393"/>
      <w:bookmarkEnd w:id="394"/>
      <w:r w:rsidRPr="00E07C9A">
        <w:rPr>
          <w:rFonts w:ascii="Times New Roman" w:hAnsi="Times New Roman" w:cs="Times New Roman"/>
          <w:sz w:val="24"/>
        </w:rPr>
        <w:t xml:space="preserve"> (uplatniteľné na obidva vzory CR EQU IRB 1</w:t>
      </w:r>
      <w:r w:rsidR="009912F8" w:rsidRPr="00E07C9A">
        <w:rPr>
          <w:rFonts w:ascii="Times New Roman" w:hAnsi="Times New Roman" w:cs="Times New Roman"/>
          <w:sz w:val="24"/>
        </w:rPr>
        <w:t xml:space="preserve"> a </w:t>
      </w:r>
      <w:r w:rsidRPr="00E07C9A">
        <w:rPr>
          <w:rFonts w:ascii="Times New Roman" w:hAnsi="Times New Roman" w:cs="Times New Roman"/>
          <w:sz w:val="24"/>
        </w:rPr>
        <w:t>CR EQU IRB 2)</w:t>
      </w:r>
      <w:bookmarkEnd w:id="395"/>
      <w:bookmarkEnd w:id="396"/>
      <w:bookmarkEnd w:id="397"/>
    </w:p>
    <w:tbl>
      <w:tblPr>
        <w:tblW w:w="0" w:type="auto"/>
        <w:tblLook w:val="01E0" w:firstRow="1" w:lastRow="1" w:firstColumn="1" w:lastColumn="1" w:noHBand="0" w:noVBand="0"/>
      </w:tblPr>
      <w:tblGrid>
        <w:gridCol w:w="852"/>
        <w:gridCol w:w="8004"/>
      </w:tblGrid>
      <w:tr w:rsidR="00C61FF5" w:rsidRPr="00E07C9A" w14:paraId="20C5D56D" w14:textId="77777777" w:rsidTr="00672D2A">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14:paraId="14D3EA07" w14:textId="77777777" w:rsidR="00745369" w:rsidRPr="00E07C9A" w:rsidRDefault="00C61FF5" w:rsidP="00EA0BAB">
            <w:pPr>
              <w:spacing w:beforeLines="60" w:before="144" w:afterLines="60" w:after="144"/>
              <w:rPr>
                <w:rStyle w:val="InstructionsTabelleText"/>
                <w:rFonts w:ascii="Times New Roman" w:hAnsi="Times New Roman"/>
                <w:b/>
                <w:sz w:val="24"/>
              </w:rPr>
            </w:pPr>
            <w:r w:rsidRPr="00E07C9A">
              <w:rPr>
                <w:rStyle w:val="InstructionsTabelleText"/>
                <w:rFonts w:ascii="Times New Roman" w:hAnsi="Times New Roman"/>
                <w:b/>
                <w:sz w:val="24"/>
              </w:rPr>
              <w:t>Stĺpce</w:t>
            </w:r>
          </w:p>
        </w:tc>
      </w:tr>
      <w:tr w:rsidR="003F05A0" w:rsidRPr="00E07C9A" w14:paraId="62B19C6C"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609989FE" w14:textId="77777777" w:rsidR="003F05A0" w:rsidRPr="00E07C9A" w:rsidRDefault="003F05A0" w:rsidP="00EA0BAB">
            <w:pPr>
              <w:spacing w:beforeLines="60" w:before="144" w:afterLines="60" w:after="144"/>
              <w:rPr>
                <w:rStyle w:val="InstructionsTabelleText"/>
                <w:rFonts w:ascii="Times New Roman" w:hAnsi="Times New Roman"/>
                <w:sz w:val="24"/>
              </w:rPr>
            </w:pPr>
            <w:r w:rsidRPr="00E07C9A">
              <w:rPr>
                <w:rStyle w:val="InstructionsTabelleText"/>
                <w:rFonts w:ascii="Times New Roman" w:hAnsi="Times New Roman"/>
                <w:sz w:val="24"/>
              </w:rPr>
              <w:t>0005</w:t>
            </w:r>
          </w:p>
        </w:tc>
        <w:tc>
          <w:tcPr>
            <w:tcW w:w="8004" w:type="dxa"/>
          </w:tcPr>
          <w:p w14:paraId="7D4FB57A" w14:textId="77777777" w:rsidR="003F05A0" w:rsidRPr="00E07C9A" w:rsidRDefault="003F05A0" w:rsidP="00450A2E">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RATINGOVÝ STUPEŇ DLŽNÍKA (IDENTIFIKÁTOR RIADKU)</w:t>
            </w:r>
          </w:p>
          <w:p w14:paraId="75F21236" w14:textId="4F4D36F4" w:rsidR="003F05A0" w:rsidRPr="00E07C9A" w:rsidRDefault="003F05A0" w:rsidP="00133396">
            <w:pPr>
              <w:spacing w:beforeLines="60" w:before="144" w:afterLines="60" w:after="144"/>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Ratingový stupeň dlžníka je identifikátorom riadku</w:t>
            </w:r>
            <w:r w:rsidR="009912F8" w:rsidRPr="00E07C9A">
              <w:rPr>
                <w:rStyle w:val="InstructionsTabelleberschrift"/>
                <w:rFonts w:ascii="Times New Roman" w:hAnsi="Times New Roman"/>
                <w:b w:val="0"/>
                <w:sz w:val="24"/>
                <w:u w:val="none"/>
              </w:rPr>
              <w:t xml:space="preserve"> a </w:t>
            </w:r>
            <w:r w:rsidRPr="00E07C9A">
              <w:rPr>
                <w:rStyle w:val="InstructionsTabelleberschrift"/>
                <w:rFonts w:ascii="Times New Roman" w:hAnsi="Times New Roman"/>
                <w:b w:val="0"/>
                <w:sz w:val="24"/>
                <w:u w:val="none"/>
              </w:rPr>
              <w:t xml:space="preserve">musí byť jedinečný pre každý riadok vzoru. </w:t>
            </w:r>
            <w:r w:rsidRPr="00E07C9A">
              <w:rPr>
                <w:rFonts w:ascii="Times New Roman" w:hAnsi="Times New Roman"/>
                <w:sz w:val="24"/>
              </w:rPr>
              <w:t>Riadi sa číselným poradím 1, 2, 3 atď.</w:t>
            </w:r>
          </w:p>
        </w:tc>
      </w:tr>
      <w:tr w:rsidR="00C61FF5" w:rsidRPr="00E07C9A" w14:paraId="2D1E5F5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2CAD059" w14:textId="77777777" w:rsidR="00745369" w:rsidRPr="00E07C9A" w:rsidRDefault="00C61FF5" w:rsidP="00EA0BAB">
            <w:pPr>
              <w:spacing w:beforeLines="60" w:before="144" w:afterLines="60" w:after="144"/>
              <w:rPr>
                <w:rStyle w:val="InstructionsTabelleText"/>
                <w:rFonts w:ascii="Times New Roman" w:hAnsi="Times New Roman"/>
                <w:sz w:val="24"/>
              </w:rPr>
            </w:pPr>
            <w:r w:rsidRPr="00E07C9A">
              <w:rPr>
                <w:rStyle w:val="InstructionsTabelleText"/>
                <w:rFonts w:ascii="Times New Roman" w:hAnsi="Times New Roman"/>
                <w:sz w:val="24"/>
              </w:rPr>
              <w:t>0010</w:t>
            </w:r>
          </w:p>
        </w:tc>
        <w:tc>
          <w:tcPr>
            <w:tcW w:w="8004" w:type="dxa"/>
          </w:tcPr>
          <w:p w14:paraId="6FF12E75" w14:textId="77777777" w:rsidR="009912F8" w:rsidRPr="00E07C9A" w:rsidRDefault="00C61FF5" w:rsidP="00450A2E">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INTERNÁ RATINGOVÁ STUPNICA</w:t>
            </w:r>
          </w:p>
          <w:p w14:paraId="42F74FFE" w14:textId="3074125C" w:rsidR="00745369" w:rsidRPr="00E07C9A" w:rsidRDefault="00C61FF5" w:rsidP="00450A2E">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PD PRIRADENÁ RATINGOVÉMU STUPŇU DLŽNÍKA (%)</w:t>
            </w:r>
          </w:p>
          <w:p w14:paraId="24C4A6C8" w14:textId="5743B80F" w:rsidR="00745369" w:rsidRPr="00E07C9A" w:rsidRDefault="00C61FF5" w:rsidP="00450A2E">
            <w:pPr>
              <w:spacing w:beforeLines="60" w:before="144" w:afterLines="60" w:after="144"/>
              <w:rPr>
                <w:rStyle w:val="InstructionsTabelleText"/>
                <w:rFonts w:ascii="Times New Roman" w:hAnsi="Times New Roman"/>
                <w:sz w:val="24"/>
              </w:rPr>
            </w:pPr>
            <w:r w:rsidRPr="00E07C9A">
              <w:rPr>
                <w:rStyle w:val="InstructionsTabelleText"/>
                <w:rFonts w:ascii="Times New Roman" w:hAnsi="Times New Roman"/>
                <w:sz w:val="24"/>
              </w:rPr>
              <w:t>Inštitúcie, ktoré uplatňujú prístup PD/LGD, vykazujú</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stĺpci 0010 pravdepodobnosť zlyhania (PD) vypočítanú</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súlade</w:t>
            </w:r>
            <w:r w:rsidR="009912F8" w:rsidRPr="00E07C9A">
              <w:rPr>
                <w:rStyle w:val="InstructionsTabelleText"/>
                <w:rFonts w:ascii="Times New Roman" w:hAnsi="Times New Roman"/>
                <w:sz w:val="24"/>
              </w:rPr>
              <w:t xml:space="preserve"> s </w:t>
            </w:r>
            <w:r w:rsidRPr="00E07C9A">
              <w:rPr>
                <w:rStyle w:val="InstructionsTabelleText"/>
                <w:rFonts w:ascii="Times New Roman" w:hAnsi="Times New Roman"/>
                <w:sz w:val="24"/>
              </w:rPr>
              <w:t xml:space="preserve">článkom 165 ods. 1 nariadenia (EÚ) </w:t>
            </w:r>
            <w:r w:rsidR="009912F8" w:rsidRPr="00E07C9A">
              <w:rPr>
                <w:rStyle w:val="InstructionsTabelleText"/>
                <w:rFonts w:ascii="Times New Roman" w:hAnsi="Times New Roman"/>
                <w:sz w:val="24"/>
              </w:rPr>
              <w:t>č. 575/2013</w:t>
            </w:r>
            <w:r w:rsidRPr="00E07C9A">
              <w:rPr>
                <w:rStyle w:val="InstructionsTabelleText"/>
                <w:rFonts w:ascii="Times New Roman" w:hAnsi="Times New Roman"/>
                <w:sz w:val="24"/>
              </w:rPr>
              <w:t>.</w:t>
            </w:r>
          </w:p>
          <w:p w14:paraId="273F0287" w14:textId="7A921B6D" w:rsidR="00745369" w:rsidRPr="00E07C9A" w:rsidRDefault="00C61FF5" w:rsidP="00450A2E">
            <w:pPr>
              <w:spacing w:beforeLines="60" w:before="144" w:afterLines="60" w:after="144"/>
              <w:rPr>
                <w:rStyle w:val="InstructionsTabelleText"/>
                <w:rFonts w:ascii="Times New Roman" w:hAnsi="Times New Roman"/>
                <w:sz w:val="24"/>
              </w:rPr>
            </w:pPr>
            <w:r w:rsidRPr="00E07C9A">
              <w:rPr>
                <w:rStyle w:val="InstructionsTabelleText"/>
                <w:rFonts w:ascii="Times New Roman" w:hAnsi="Times New Roman"/>
                <w:sz w:val="24"/>
              </w:rPr>
              <w:t>Vykazovaná PD priradená ratingovému stupňu alebo skupine dlžníkov musí byť</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súlade</w:t>
            </w:r>
            <w:r w:rsidR="009912F8" w:rsidRPr="00E07C9A">
              <w:rPr>
                <w:rStyle w:val="InstructionsTabelleText"/>
                <w:rFonts w:ascii="Times New Roman" w:hAnsi="Times New Roman"/>
                <w:sz w:val="24"/>
              </w:rPr>
              <w:t xml:space="preserve"> s </w:t>
            </w:r>
            <w:r w:rsidRPr="00E07C9A">
              <w:rPr>
                <w:rStyle w:val="InstructionsTabelleText"/>
                <w:rFonts w:ascii="Times New Roman" w:hAnsi="Times New Roman"/>
                <w:sz w:val="24"/>
              </w:rPr>
              <w:t>minimálnymi požiadavkami stanovenými</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tretej časti hlave II kapitole 3 oddiele 6</w:t>
            </w:r>
            <w:r w:rsidR="009912F8" w:rsidRPr="00E07C9A">
              <w:rPr>
                <w:rStyle w:val="InstructionsTabelleText"/>
                <w:rFonts w:ascii="Times New Roman" w:hAnsi="Times New Roman"/>
                <w:sz w:val="24"/>
              </w:rPr>
              <w:t xml:space="preserve"> </w:t>
            </w:r>
            <w:r w:rsidRPr="00E07C9A">
              <w:rPr>
                <w:rStyle w:val="InstructionsTabelleText"/>
                <w:rFonts w:ascii="Times New Roman" w:hAnsi="Times New Roman"/>
                <w:sz w:val="24"/>
              </w:rPr>
              <w:t xml:space="preserve">nariadenia (EÚ) </w:t>
            </w:r>
            <w:r w:rsidR="009912F8" w:rsidRPr="00E07C9A">
              <w:rPr>
                <w:rStyle w:val="InstructionsTabelleText"/>
                <w:rFonts w:ascii="Times New Roman" w:hAnsi="Times New Roman"/>
                <w:sz w:val="24"/>
              </w:rPr>
              <w:t>č. 575/2013</w:t>
            </w:r>
            <w:r w:rsidRPr="00E07C9A">
              <w:rPr>
                <w:rStyle w:val="InstructionsTabelleText"/>
                <w:rFonts w:ascii="Times New Roman" w:hAnsi="Times New Roman"/>
                <w:sz w:val="24"/>
              </w:rPr>
              <w:t>. Pre každý jednotlivý ratingový stupeň alebo skupinu sa vykazuje PD priradená tomuto ratingovému stupňu alebo skupine dlžníkov. Všetky vykazované parametre rizika sa odvodzujú od parametrov rizika používaných</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internej ratingovej stupnici schválenej dotknutým príslušným orgánom.</w:t>
            </w:r>
          </w:p>
          <w:p w14:paraId="3750AD8A" w14:textId="1FF6F832" w:rsidR="00745369" w:rsidRPr="00E07C9A" w:rsidRDefault="00C61FF5" w:rsidP="00450A2E">
            <w:pPr>
              <w:spacing w:beforeLines="60" w:before="144" w:afterLines="60" w:after="144"/>
              <w:rPr>
                <w:rStyle w:val="InstructionsTabelleText"/>
                <w:rFonts w:ascii="Times New Roman" w:hAnsi="Times New Roman"/>
                <w:sz w:val="24"/>
              </w:rPr>
            </w:pPr>
            <w:r w:rsidRPr="00E07C9A">
              <w:rPr>
                <w:rStyle w:val="InstructionsTabelleText"/>
                <w:rFonts w:ascii="Times New Roman" w:hAnsi="Times New Roman"/>
                <w:sz w:val="24"/>
              </w:rPr>
              <w:t>Pre číselné údaje zodpovedajúce súhrnu ratingových stupňov alebo skupín dlžníkov (napr. „celkové expozície“) sa uvedie expozíciami vážený priemer PD priradených ratingovým stupňom alebo skupinám dlžníkov, ktoré sú zahrnuté</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súhrne. Na účely výpočtu expozíciami váženej priemernej PD sa zoberú do úvahy všetky expozície vrátane expozícií</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 xml:space="preserve">stave zlyhania. Na výpočet expozíciami váženej priemernej PD sa na účely váženia použije hodnota expozície so zohľadnením nefinancovaného kreditného zabezpečenia (stĺpec 0060). </w:t>
            </w:r>
          </w:p>
        </w:tc>
      </w:tr>
      <w:tr w:rsidR="00C61FF5" w:rsidRPr="00E07C9A" w14:paraId="5285005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13BC4FA" w14:textId="77777777" w:rsidR="00745369" w:rsidRPr="00E07C9A" w:rsidRDefault="00C61FF5" w:rsidP="00EA0BAB">
            <w:pPr>
              <w:spacing w:beforeLines="60" w:before="144" w:afterLines="60" w:after="144"/>
              <w:rPr>
                <w:rStyle w:val="InstructionsTabelleText"/>
                <w:rFonts w:ascii="Times New Roman" w:hAnsi="Times New Roman"/>
                <w:sz w:val="24"/>
              </w:rPr>
            </w:pPr>
            <w:r w:rsidRPr="00E07C9A">
              <w:rPr>
                <w:rStyle w:val="InstructionsTabelleText"/>
                <w:rFonts w:ascii="Times New Roman" w:hAnsi="Times New Roman"/>
                <w:sz w:val="24"/>
              </w:rPr>
              <w:t>0020</w:t>
            </w:r>
          </w:p>
        </w:tc>
        <w:tc>
          <w:tcPr>
            <w:tcW w:w="8004" w:type="dxa"/>
          </w:tcPr>
          <w:p w14:paraId="6D006BC8" w14:textId="77777777" w:rsidR="00745369" w:rsidRPr="00E07C9A" w:rsidRDefault="00C61FF5" w:rsidP="00450A2E">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PÔVODNÁ EXPOZÍCIA PRED UPLATNENÍM KONVERZNÝCH FAKTOROV</w:t>
            </w:r>
          </w:p>
          <w:p w14:paraId="4433C401" w14:textId="10C10B15" w:rsidR="00C61FF5" w:rsidRPr="00E07C9A" w:rsidRDefault="00C61FF5" w:rsidP="00C61FF5">
            <w:pPr>
              <w:autoSpaceDE w:val="0"/>
              <w:autoSpaceDN w:val="0"/>
              <w:adjustRightInd w:val="0"/>
              <w:spacing w:before="0" w:after="0"/>
              <w:rPr>
                <w:rStyle w:val="InstructionsTabelleText"/>
                <w:rFonts w:ascii="Times New Roman" w:hAnsi="Times New Roman"/>
                <w:sz w:val="24"/>
              </w:rPr>
            </w:pPr>
            <w:r w:rsidRPr="00E07C9A">
              <w:rPr>
                <w:rStyle w:val="InstructionsTabelleText"/>
                <w:rFonts w:ascii="Times New Roman" w:hAnsi="Times New Roman"/>
                <w:sz w:val="24"/>
              </w:rPr>
              <w:t>Inštitúcie vykazujú</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stĺpci 0020 hodnotu pôvodnej expozície (pred uplatnením konverzných faktorov).</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súlade</w:t>
            </w:r>
            <w:r w:rsidR="009912F8" w:rsidRPr="00E07C9A">
              <w:rPr>
                <w:rStyle w:val="InstructionsTabelleText"/>
                <w:rFonts w:ascii="Times New Roman" w:hAnsi="Times New Roman"/>
                <w:sz w:val="24"/>
              </w:rPr>
              <w:t xml:space="preserve"> s </w:t>
            </w:r>
            <w:r w:rsidRPr="00E07C9A">
              <w:rPr>
                <w:rStyle w:val="InstructionsTabelleText"/>
                <w:rFonts w:ascii="Times New Roman" w:hAnsi="Times New Roman"/>
                <w:sz w:val="24"/>
              </w:rPr>
              <w:t xml:space="preserve">článkom 167 nariadenia (EÚ) </w:t>
            </w:r>
            <w:r w:rsidR="009912F8" w:rsidRPr="00E07C9A">
              <w:rPr>
                <w:rStyle w:val="InstructionsTabelleText"/>
                <w:rFonts w:ascii="Times New Roman" w:hAnsi="Times New Roman"/>
                <w:sz w:val="24"/>
              </w:rPr>
              <w:t>č. 575/2013</w:t>
            </w:r>
            <w:r w:rsidRPr="00E07C9A">
              <w:rPr>
                <w:rStyle w:val="InstructionsTabelleText"/>
                <w:rFonts w:ascii="Times New Roman" w:hAnsi="Times New Roman"/>
                <w:sz w:val="24"/>
              </w:rPr>
              <w:t xml:space="preserve"> je hodnotou expozície pre kapitálové expozície účtovná hodnota, ktorá zostane po uplatnení špecifických úprav kreditného rizika. Hodnota</w:t>
            </w:r>
            <w:r w:rsidRPr="00E07C9A">
              <w:rPr>
                <w:rFonts w:ascii="Times New Roman" w:hAnsi="Times New Roman"/>
                <w:sz w:val="24"/>
              </w:rPr>
              <w:t xml:space="preserve"> podsúvahových kapitálových expozícií je ich nominálna hodnota po uplatnení špecifických úprav kreditného rizika.</w:t>
            </w:r>
          </w:p>
          <w:p w14:paraId="10F33268" w14:textId="2D48E381" w:rsidR="00745369" w:rsidRPr="00E07C9A" w:rsidRDefault="00C61FF5" w:rsidP="00EA0BAB">
            <w:pPr>
              <w:spacing w:beforeLines="60" w:before="144" w:afterLines="60" w:after="144"/>
              <w:rPr>
                <w:rStyle w:val="InstructionsTabelleText"/>
                <w:rFonts w:ascii="Times New Roman" w:hAnsi="Times New Roman"/>
                <w:sz w:val="24"/>
              </w:rPr>
            </w:pPr>
            <w:r w:rsidRPr="00E07C9A">
              <w:rPr>
                <w:rStyle w:val="InstructionsTabelleText"/>
                <w:rFonts w:ascii="Times New Roman" w:hAnsi="Times New Roman"/>
                <w:sz w:val="24"/>
              </w:rPr>
              <w:t>Inštitúcie do stĺpca 0020 zahrnú aj podsúvahové položky uvedené</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prílohe I</w:t>
            </w:r>
            <w:r w:rsidR="009912F8" w:rsidRPr="00E07C9A">
              <w:rPr>
                <w:rFonts w:ascii="Times New Roman" w:hAnsi="Times New Roman"/>
                <w:sz w:val="24"/>
              </w:rPr>
              <w:t xml:space="preserve"> k </w:t>
            </w:r>
            <w:r w:rsidRPr="00E07C9A">
              <w:rPr>
                <w:rFonts w:ascii="Times New Roman" w:hAnsi="Times New Roman"/>
                <w:sz w:val="24"/>
              </w:rPr>
              <w:t xml:space="preserve">nariadeniu (EÚ) </w:t>
            </w:r>
            <w:r w:rsidR="009912F8" w:rsidRPr="00E07C9A">
              <w:rPr>
                <w:rFonts w:ascii="Times New Roman" w:hAnsi="Times New Roman"/>
                <w:sz w:val="24"/>
              </w:rPr>
              <w:t>č. 575/2013</w:t>
            </w:r>
            <w:r w:rsidRPr="00E07C9A">
              <w:rPr>
                <w:rStyle w:val="InstructionsTabelleText"/>
                <w:rFonts w:ascii="Times New Roman" w:hAnsi="Times New Roman"/>
                <w:sz w:val="24"/>
              </w:rPr>
              <w:t xml:space="preserve"> zaradené do triedy kapitálových expozícií (napr. „nesplatená časť čiastočne splatených akcií“).</w:t>
            </w:r>
          </w:p>
          <w:p w14:paraId="5CE183AA" w14:textId="7C222E24" w:rsidR="00745369" w:rsidRPr="00E07C9A" w:rsidRDefault="00C61FF5" w:rsidP="00DF4FF2">
            <w:pPr>
              <w:spacing w:beforeLines="60" w:before="144" w:afterLines="60" w:after="144"/>
              <w:rPr>
                <w:rStyle w:val="InstructionsTabelleText"/>
                <w:rFonts w:ascii="Times New Roman" w:hAnsi="Times New Roman"/>
                <w:sz w:val="24"/>
              </w:rPr>
            </w:pPr>
            <w:r w:rsidRPr="00E07C9A">
              <w:rPr>
                <w:rStyle w:val="InstructionsTabelleText"/>
                <w:rFonts w:ascii="Times New Roman" w:hAnsi="Times New Roman"/>
                <w:sz w:val="24"/>
              </w:rPr>
              <w:t>Inštitúcie, ktoré uplatňujú jednoduchý prístup založený na použití rizikovej váhy alebo prístup PD/LGD [ako sa uvádza</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článku 165 ods. 1</w:t>
            </w:r>
            <w:r w:rsidRPr="00E07C9A">
              <w:rPr>
                <w:rFonts w:ascii="Times New Roman" w:hAnsi="Times New Roman"/>
                <w:sz w:val="24"/>
              </w:rPr>
              <w:t xml:space="preserve"> nariadenia (EÚ) </w:t>
            </w:r>
            <w:r w:rsidR="009912F8" w:rsidRPr="00E07C9A">
              <w:rPr>
                <w:rFonts w:ascii="Times New Roman" w:hAnsi="Times New Roman"/>
                <w:sz w:val="24"/>
              </w:rPr>
              <w:t>č. 575/2013</w:t>
            </w:r>
            <w:r w:rsidRPr="00E07C9A">
              <w:rPr>
                <w:rFonts w:ascii="Times New Roman" w:hAnsi="Times New Roman"/>
                <w:sz w:val="24"/>
              </w:rPr>
              <w:t>]</w:t>
            </w:r>
            <w:r w:rsidRPr="00E07C9A">
              <w:rPr>
                <w:rStyle w:val="InstructionsTabelleText"/>
                <w:rFonts w:ascii="Times New Roman" w:hAnsi="Times New Roman"/>
                <w:sz w:val="24"/>
              </w:rPr>
              <w:t>, zohľadňujú aj kompenzácie uvedené</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článku 155 ods. 2 druhom pododseku</w:t>
            </w:r>
            <w:r w:rsidRPr="00E07C9A">
              <w:rPr>
                <w:rFonts w:ascii="Times New Roman" w:hAnsi="Times New Roman"/>
                <w:sz w:val="24"/>
              </w:rPr>
              <w:t xml:space="preserve"> nariadenia (EÚ) </w:t>
            </w:r>
            <w:r w:rsidR="009912F8" w:rsidRPr="00E07C9A">
              <w:rPr>
                <w:rFonts w:ascii="Times New Roman" w:hAnsi="Times New Roman"/>
                <w:sz w:val="24"/>
              </w:rPr>
              <w:t>č. 575/2013</w:t>
            </w:r>
            <w:r w:rsidRPr="00E07C9A">
              <w:rPr>
                <w:rStyle w:val="InstructionsTabelleText"/>
                <w:rFonts w:ascii="Times New Roman" w:hAnsi="Times New Roman"/>
                <w:sz w:val="24"/>
              </w:rPr>
              <w:t xml:space="preserve">. </w:t>
            </w:r>
          </w:p>
        </w:tc>
      </w:tr>
      <w:tr w:rsidR="00C61FF5" w:rsidRPr="00E07C9A" w14:paraId="787E86A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36A5BC0" w14:textId="77777777" w:rsidR="00745369" w:rsidRPr="00E07C9A" w:rsidRDefault="00C61FF5" w:rsidP="00EA0BAB">
            <w:pPr>
              <w:spacing w:beforeLines="60" w:before="144" w:afterLines="60" w:after="144"/>
              <w:rPr>
                <w:rStyle w:val="InstructionsTabelleText"/>
                <w:rFonts w:ascii="Times New Roman" w:hAnsi="Times New Roman"/>
                <w:sz w:val="24"/>
              </w:rPr>
            </w:pPr>
            <w:r w:rsidRPr="00E07C9A">
              <w:rPr>
                <w:rStyle w:val="InstructionsTabelleText"/>
                <w:rFonts w:ascii="Times New Roman" w:hAnsi="Times New Roman"/>
                <w:sz w:val="24"/>
              </w:rPr>
              <w:t>0030 – 0040</w:t>
            </w:r>
          </w:p>
        </w:tc>
        <w:tc>
          <w:tcPr>
            <w:tcW w:w="8004" w:type="dxa"/>
          </w:tcPr>
          <w:p w14:paraId="324EA84C" w14:textId="77777777" w:rsidR="00745369" w:rsidRPr="00E07C9A" w:rsidRDefault="00C61FF5" w:rsidP="00450A2E">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POSTUPY ZMIERŇOVANIA KREDITNÉHO RIZIKA (CRM) SO SUBSTITUČNÝMI ÚČINKAMI NA EXPOZÍCIU</w:t>
            </w:r>
          </w:p>
          <w:p w14:paraId="0E9B3365" w14:textId="77777777" w:rsidR="00745369" w:rsidRPr="00E07C9A" w:rsidRDefault="00C61FF5" w:rsidP="00450A2E">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NEFINANCOVANÉ KREDITNÉ ZABEZPEČENIE</w:t>
            </w:r>
          </w:p>
          <w:p w14:paraId="730F5D9D" w14:textId="77777777" w:rsidR="00745369" w:rsidRPr="00E07C9A" w:rsidRDefault="00C61FF5" w:rsidP="00450A2E">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ZÁRUKY</w:t>
            </w:r>
          </w:p>
          <w:p w14:paraId="2F874B85" w14:textId="77777777" w:rsidR="00745369" w:rsidRPr="00E07C9A" w:rsidRDefault="00C61FF5" w:rsidP="00450A2E">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KREDITNÉ DERIVÁTY</w:t>
            </w:r>
          </w:p>
          <w:p w14:paraId="7468EDFA" w14:textId="7FF16A75" w:rsidR="00745369" w:rsidRPr="00E07C9A" w:rsidRDefault="00C61FF5" w:rsidP="00FD2AE8">
            <w:pPr>
              <w:spacing w:beforeLines="60" w:before="144" w:afterLines="60" w:after="144"/>
              <w:rPr>
                <w:rStyle w:val="InstructionsTabelleText"/>
                <w:rFonts w:ascii="Times New Roman" w:hAnsi="Times New Roman"/>
                <w:sz w:val="24"/>
              </w:rPr>
            </w:pPr>
            <w:r w:rsidRPr="00E07C9A">
              <w:rPr>
                <w:rStyle w:val="InstructionsTabelleText"/>
                <w:rFonts w:ascii="Times New Roman" w:hAnsi="Times New Roman"/>
                <w:sz w:val="24"/>
              </w:rPr>
              <w:t>Inštitúcie bez ohľadu na prístup použitý na výpočet hodnôt rizikovo vážených kapitálových expozícií môžu vykázať nefinancované kreditné zabezpečenie získané pre kapitálové expozície [článok 155 ods. 2, 3</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4</w:t>
            </w:r>
            <w:r w:rsidRPr="00E07C9A">
              <w:rPr>
                <w:rFonts w:ascii="Times New Roman" w:hAnsi="Times New Roman"/>
                <w:sz w:val="24"/>
              </w:rPr>
              <w:t xml:space="preserve"> nariadenia (EÚ) </w:t>
            </w:r>
            <w:r w:rsidR="009912F8" w:rsidRPr="00E07C9A">
              <w:rPr>
                <w:rFonts w:ascii="Times New Roman" w:hAnsi="Times New Roman"/>
                <w:sz w:val="24"/>
              </w:rPr>
              <w:t>č. 575/2013</w:t>
            </w:r>
            <w:r w:rsidRPr="00E07C9A">
              <w:rPr>
                <w:rStyle w:val="InstructionsTabelleText"/>
                <w:rFonts w:ascii="Times New Roman" w:hAnsi="Times New Roman"/>
                <w:sz w:val="24"/>
              </w:rPr>
              <w:t>]. Inštitúcie, ktoré uplatňujú jednoduchý prístup založený na použití rizikovej váhy alebo prístup PD/LGD, vykazujú</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stĺpcoch 0030</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0040 hodnotu nefinancovaného kreditného zabezpečenia vo forme záruk (stĺpec 0030) alebo kreditných derivátov (stĺpec 0040) vykazovaných</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súlade</w:t>
            </w:r>
            <w:r w:rsidR="009912F8" w:rsidRPr="00E07C9A">
              <w:rPr>
                <w:rStyle w:val="InstructionsTabelleText"/>
                <w:rFonts w:ascii="Times New Roman" w:hAnsi="Times New Roman"/>
                <w:sz w:val="24"/>
              </w:rPr>
              <w:t xml:space="preserve"> s </w:t>
            </w:r>
            <w:r w:rsidRPr="00E07C9A">
              <w:rPr>
                <w:rStyle w:val="InstructionsTabelleText"/>
                <w:rFonts w:ascii="Times New Roman" w:hAnsi="Times New Roman"/>
                <w:sz w:val="24"/>
              </w:rPr>
              <w:t>metódami stanovenými</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tretej časti hlave II kapitole 4</w:t>
            </w:r>
            <w:r w:rsidRPr="00E07C9A">
              <w:rPr>
                <w:rFonts w:ascii="Times New Roman" w:hAnsi="Times New Roman"/>
                <w:sz w:val="24"/>
              </w:rPr>
              <w:t xml:space="preserve"> nariadenia (EÚ) </w:t>
            </w:r>
            <w:r w:rsidR="009912F8" w:rsidRPr="00E07C9A">
              <w:rPr>
                <w:rFonts w:ascii="Times New Roman" w:hAnsi="Times New Roman"/>
                <w:sz w:val="24"/>
              </w:rPr>
              <w:t>č. 575/2013</w:t>
            </w:r>
            <w:r w:rsidRPr="00E07C9A">
              <w:rPr>
                <w:rStyle w:val="InstructionsTabelleText"/>
                <w:rFonts w:ascii="Times New Roman" w:hAnsi="Times New Roman"/>
                <w:sz w:val="24"/>
              </w:rPr>
              <w:t>.</w:t>
            </w:r>
          </w:p>
        </w:tc>
      </w:tr>
      <w:tr w:rsidR="00C61FF5" w:rsidRPr="00E07C9A" w14:paraId="5E9D82B4"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900B82B" w14:textId="77777777" w:rsidR="00745369" w:rsidRPr="00E07C9A" w:rsidRDefault="00C61FF5" w:rsidP="00EA0BAB">
            <w:pPr>
              <w:spacing w:beforeLines="60" w:before="144" w:afterLines="60" w:after="144"/>
              <w:rPr>
                <w:rStyle w:val="InstructionsTabelleText"/>
                <w:rFonts w:ascii="Times New Roman" w:hAnsi="Times New Roman"/>
                <w:sz w:val="24"/>
              </w:rPr>
            </w:pPr>
            <w:r w:rsidRPr="00E07C9A">
              <w:rPr>
                <w:rStyle w:val="InstructionsTabelleText"/>
                <w:rFonts w:ascii="Times New Roman" w:hAnsi="Times New Roman"/>
                <w:sz w:val="24"/>
              </w:rPr>
              <w:t>0050</w:t>
            </w:r>
          </w:p>
        </w:tc>
        <w:tc>
          <w:tcPr>
            <w:tcW w:w="8004" w:type="dxa"/>
          </w:tcPr>
          <w:p w14:paraId="1BA61B12" w14:textId="77777777" w:rsidR="00745369" w:rsidRPr="00E07C9A" w:rsidRDefault="00C61FF5" w:rsidP="00450A2E">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POSTUPY ZMIERŇOVANIA KREDITNÉHO RIZIKA (CRM) SO SUBSTITUČNÝMI ÚČINKAMI NA EXPOZÍCIU</w:t>
            </w:r>
          </w:p>
          <w:p w14:paraId="4E694606" w14:textId="77777777" w:rsidR="00745369" w:rsidRPr="00E07C9A" w:rsidRDefault="00C61FF5" w:rsidP="00450A2E">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SUBSTITÚCIA EXPOZÍCIE NA ZÁKLADE ZMIERŇOVANIA KREDITNÉHO RIZIKA</w:t>
            </w:r>
          </w:p>
          <w:p w14:paraId="37B02EC5" w14:textId="77777777" w:rsidR="00745369" w:rsidRPr="00E07C9A" w:rsidRDefault="00C61FF5" w:rsidP="00450A2E">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 CELKOVÉ ZÁPORNÉ PEŇAŽNÉ TOKY</w:t>
            </w:r>
          </w:p>
          <w:p w14:paraId="7CFF0631" w14:textId="42FB7667" w:rsidR="00745369" w:rsidRPr="00E07C9A" w:rsidRDefault="00C61FF5" w:rsidP="00FD2AE8">
            <w:pPr>
              <w:spacing w:beforeLines="60" w:before="144" w:afterLines="60" w:after="144"/>
              <w:rPr>
                <w:rStyle w:val="InstructionsTabelleText"/>
                <w:rFonts w:ascii="Times New Roman" w:hAnsi="Times New Roman"/>
                <w:sz w:val="24"/>
              </w:rPr>
            </w:pPr>
            <w:r w:rsidRPr="00E07C9A">
              <w:rPr>
                <w:rStyle w:val="InstructionsTabelleText"/>
                <w:rFonts w:ascii="Times New Roman" w:hAnsi="Times New Roman"/>
                <w:sz w:val="24"/>
              </w:rPr>
              <w:t>Inštitúcie vykazujú</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stĺpci 0050 časť pôvodnej expozície pred uplatnením konverzných faktorov krytú nefinancovaným kreditným zabezpečením vykázaným</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súlade</w:t>
            </w:r>
            <w:r w:rsidR="009912F8" w:rsidRPr="00E07C9A">
              <w:rPr>
                <w:rStyle w:val="InstructionsTabelleText"/>
                <w:rFonts w:ascii="Times New Roman" w:hAnsi="Times New Roman"/>
                <w:sz w:val="24"/>
              </w:rPr>
              <w:t xml:space="preserve"> s </w:t>
            </w:r>
            <w:r w:rsidRPr="00E07C9A">
              <w:rPr>
                <w:rStyle w:val="InstructionsTabelleText"/>
                <w:rFonts w:ascii="Times New Roman" w:hAnsi="Times New Roman"/>
                <w:sz w:val="24"/>
              </w:rPr>
              <w:t>postupmi stanovenými</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tretej časti hlave II kapitole 4</w:t>
            </w:r>
            <w:r w:rsidRPr="00E07C9A">
              <w:rPr>
                <w:rFonts w:ascii="Times New Roman" w:hAnsi="Times New Roman"/>
                <w:sz w:val="24"/>
              </w:rPr>
              <w:t xml:space="preserve"> nariadenia (EÚ) </w:t>
            </w:r>
            <w:r w:rsidR="009912F8" w:rsidRPr="00E07C9A">
              <w:rPr>
                <w:rFonts w:ascii="Times New Roman" w:hAnsi="Times New Roman"/>
                <w:sz w:val="24"/>
              </w:rPr>
              <w:t>č. 575/2013</w:t>
            </w:r>
            <w:r w:rsidRPr="00E07C9A">
              <w:rPr>
                <w:rStyle w:val="InstructionsTabelleText"/>
                <w:rFonts w:ascii="Times New Roman" w:hAnsi="Times New Roman"/>
                <w:sz w:val="24"/>
              </w:rPr>
              <w:t>.</w:t>
            </w:r>
          </w:p>
        </w:tc>
      </w:tr>
      <w:tr w:rsidR="00C61FF5" w:rsidRPr="00E07C9A" w14:paraId="0E57F74A"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BAC2BCD" w14:textId="77777777" w:rsidR="00745369" w:rsidRPr="00E07C9A" w:rsidRDefault="00C61FF5" w:rsidP="00450A2E">
            <w:pPr>
              <w:spacing w:beforeLines="60" w:before="144" w:afterLines="60" w:after="144"/>
              <w:rPr>
                <w:rStyle w:val="InstructionsTabelleText"/>
                <w:rFonts w:ascii="Times New Roman" w:hAnsi="Times New Roman"/>
                <w:sz w:val="24"/>
              </w:rPr>
            </w:pPr>
            <w:r w:rsidRPr="00E07C9A">
              <w:rPr>
                <w:rStyle w:val="InstructionsTabelleText"/>
                <w:rFonts w:ascii="Times New Roman" w:hAnsi="Times New Roman"/>
                <w:sz w:val="24"/>
              </w:rPr>
              <w:t>0060</w:t>
            </w:r>
          </w:p>
        </w:tc>
        <w:tc>
          <w:tcPr>
            <w:tcW w:w="8004" w:type="dxa"/>
          </w:tcPr>
          <w:p w14:paraId="77192D56" w14:textId="77777777" w:rsidR="00745369" w:rsidRPr="00E07C9A" w:rsidRDefault="00C61FF5" w:rsidP="00450A2E">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HODNOTA EXPOZÍCIE</w:t>
            </w:r>
          </w:p>
          <w:p w14:paraId="1BED4297" w14:textId="6BA78457" w:rsidR="00745369" w:rsidRPr="00E07C9A" w:rsidRDefault="00C61FF5" w:rsidP="00450A2E">
            <w:pPr>
              <w:spacing w:beforeLines="60" w:before="144" w:afterLines="60" w:after="144"/>
              <w:rPr>
                <w:rStyle w:val="InstructionsTabelleText"/>
                <w:rFonts w:ascii="Times New Roman" w:hAnsi="Times New Roman"/>
                <w:sz w:val="24"/>
              </w:rPr>
            </w:pPr>
            <w:r w:rsidRPr="00E07C9A">
              <w:rPr>
                <w:rStyle w:val="InstructionsTabelleText"/>
                <w:rFonts w:ascii="Times New Roman" w:hAnsi="Times New Roman"/>
                <w:sz w:val="24"/>
              </w:rPr>
              <w:t>Inštitúcie, ktoré používajú jednoduchý prístup založený na použití rizikovej váhy alebo prístup PD/LGD, vykazujú</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stĺpci 0060 hodnotu expozície so zohľadnením substitučných účinkov, ktoré pochádzajú</w:t>
            </w:r>
            <w:r w:rsidR="009912F8" w:rsidRPr="00E07C9A">
              <w:rPr>
                <w:rStyle w:val="InstructionsTabelleText"/>
                <w:rFonts w:ascii="Times New Roman" w:hAnsi="Times New Roman"/>
                <w:sz w:val="24"/>
              </w:rPr>
              <w:t xml:space="preserve"> z </w:t>
            </w:r>
            <w:r w:rsidRPr="00E07C9A">
              <w:rPr>
                <w:rStyle w:val="InstructionsTabelleText"/>
                <w:rFonts w:ascii="Times New Roman" w:hAnsi="Times New Roman"/>
                <w:sz w:val="24"/>
              </w:rPr>
              <w:t>nefinancovaného kreditného zabezpečenia (článok 155 ods. 2</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3</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článok 167</w:t>
            </w:r>
            <w:r w:rsidRPr="00E07C9A">
              <w:rPr>
                <w:rFonts w:ascii="Times New Roman" w:hAnsi="Times New Roman"/>
                <w:sz w:val="24"/>
              </w:rPr>
              <w:t xml:space="preserve"> nariadenia (EÚ) </w:t>
            </w:r>
            <w:r w:rsidR="009912F8" w:rsidRPr="00E07C9A">
              <w:rPr>
                <w:rFonts w:ascii="Times New Roman" w:hAnsi="Times New Roman"/>
                <w:sz w:val="24"/>
              </w:rPr>
              <w:t>č. 575/2013</w:t>
            </w:r>
            <w:r w:rsidRPr="00E07C9A">
              <w:rPr>
                <w:rStyle w:val="InstructionsTabelleText"/>
                <w:rFonts w:ascii="Times New Roman" w:hAnsi="Times New Roman"/>
                <w:sz w:val="24"/>
              </w:rPr>
              <w:t>).</w:t>
            </w:r>
          </w:p>
          <w:p w14:paraId="7820688E" w14:textId="7DDB17FF" w:rsidR="00745369" w:rsidRPr="00E07C9A" w:rsidRDefault="00A16FFF" w:rsidP="00450A2E">
            <w:pPr>
              <w:spacing w:beforeLines="60" w:before="144" w:afterLines="60" w:after="144"/>
              <w:rPr>
                <w:rStyle w:val="InstructionsTabelleText"/>
                <w:rFonts w:ascii="Times New Roman" w:hAnsi="Times New Roman"/>
                <w:sz w:val="24"/>
              </w:rPr>
            </w:pPr>
            <w:r w:rsidRPr="00E07C9A">
              <w:rPr>
                <w:rStyle w:val="InstructionsTabelleText"/>
                <w:rFonts w:ascii="Times New Roman" w:hAnsi="Times New Roman"/>
                <w:sz w:val="24"/>
              </w:rPr>
              <w:t>V prípade podsúvahových kapitálových expozícií je hodnotou expozície nominálna hodnota po uplatnení špecifických úprav kreditného rizika [článok 167</w:t>
            </w:r>
            <w:r w:rsidRPr="00E07C9A">
              <w:rPr>
                <w:rFonts w:ascii="Times New Roman" w:hAnsi="Times New Roman"/>
                <w:sz w:val="24"/>
              </w:rPr>
              <w:t xml:space="preserve"> nariadenia (EÚ) </w:t>
            </w:r>
            <w:r w:rsidR="009912F8" w:rsidRPr="00E07C9A">
              <w:rPr>
                <w:rFonts w:ascii="Times New Roman" w:hAnsi="Times New Roman"/>
                <w:sz w:val="24"/>
              </w:rPr>
              <w:t>č. 575/2013</w:t>
            </w:r>
            <w:r w:rsidRPr="00E07C9A">
              <w:rPr>
                <w:rStyle w:val="InstructionsTabelleText"/>
                <w:rFonts w:ascii="Times New Roman" w:hAnsi="Times New Roman"/>
                <w:sz w:val="24"/>
              </w:rPr>
              <w:t>].</w:t>
            </w:r>
          </w:p>
        </w:tc>
      </w:tr>
      <w:tr w:rsidR="0027034D" w:rsidRPr="00E07C9A" w14:paraId="1B605F0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FB69458" w14:textId="77777777" w:rsidR="0027034D" w:rsidRPr="00E07C9A" w:rsidRDefault="0027034D" w:rsidP="0027034D">
            <w:pPr>
              <w:spacing w:beforeLines="60" w:before="144" w:afterLines="60" w:after="144"/>
              <w:rPr>
                <w:rStyle w:val="InstructionsTabelleText"/>
                <w:rFonts w:ascii="Times New Roman" w:hAnsi="Times New Roman"/>
                <w:sz w:val="24"/>
              </w:rPr>
            </w:pPr>
            <w:r w:rsidRPr="00E07C9A">
              <w:rPr>
                <w:rStyle w:val="InstructionsTabelleText"/>
                <w:rFonts w:ascii="Times New Roman" w:hAnsi="Times New Roman"/>
                <w:sz w:val="24"/>
              </w:rPr>
              <w:t>0061</w:t>
            </w:r>
          </w:p>
        </w:tc>
        <w:tc>
          <w:tcPr>
            <w:tcW w:w="8004" w:type="dxa"/>
          </w:tcPr>
          <w:p w14:paraId="7A65D23A" w14:textId="77777777" w:rsidR="0027034D" w:rsidRPr="00E07C9A" w:rsidRDefault="0027034D" w:rsidP="0027034D">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Z ČOHO: PODSÚVAHOVÉ POLOŽKY</w:t>
            </w:r>
          </w:p>
          <w:p w14:paraId="2F3EE83E" w14:textId="6649199E" w:rsidR="0027034D" w:rsidRPr="00E07C9A" w:rsidRDefault="0027034D" w:rsidP="0027034D">
            <w:pPr>
              <w:spacing w:beforeLines="60" w:before="144" w:afterLines="60" w:after="144"/>
              <w:rPr>
                <w:rStyle w:val="InstructionsTabelleberschrift"/>
                <w:rFonts w:ascii="Times New Roman" w:hAnsi="Times New Roman"/>
                <w:b w:val="0"/>
                <w:sz w:val="24"/>
              </w:rPr>
            </w:pPr>
            <w:r w:rsidRPr="00E07C9A">
              <w:rPr>
                <w:rStyle w:val="InstructionsTabelleberschrift"/>
                <w:rFonts w:ascii="Times New Roman" w:hAnsi="Times New Roman"/>
                <w:b w:val="0"/>
                <w:sz w:val="24"/>
                <w:u w:val="none"/>
              </w:rPr>
              <w:t>Pozri pokyny</w:t>
            </w:r>
            <w:r w:rsidR="009912F8" w:rsidRPr="00E07C9A">
              <w:rPr>
                <w:rStyle w:val="InstructionsTabelleberschrift"/>
                <w:rFonts w:ascii="Times New Roman" w:hAnsi="Times New Roman"/>
                <w:b w:val="0"/>
                <w:sz w:val="24"/>
                <w:u w:val="none"/>
              </w:rPr>
              <w:t xml:space="preserve"> k </w:t>
            </w:r>
            <w:r w:rsidRPr="00E07C9A">
              <w:rPr>
                <w:rStyle w:val="InstructionsTabelleberschrift"/>
                <w:rFonts w:ascii="Times New Roman" w:hAnsi="Times New Roman"/>
                <w:b w:val="0"/>
                <w:sz w:val="24"/>
                <w:u w:val="none"/>
              </w:rPr>
              <w:t>vzoru CR-SA.</w:t>
            </w:r>
            <w:r w:rsidRPr="00E07C9A">
              <w:rPr>
                <w:rStyle w:val="InstructionsTabelleberschrift"/>
                <w:rFonts w:ascii="Times New Roman" w:hAnsi="Times New Roman"/>
                <w:b w:val="0"/>
                <w:sz w:val="24"/>
              </w:rPr>
              <w:t xml:space="preserve"> </w:t>
            </w:r>
          </w:p>
        </w:tc>
      </w:tr>
      <w:tr w:rsidR="00C61FF5" w:rsidRPr="00E07C9A" w14:paraId="079F0A2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B2A547A" w14:textId="77777777" w:rsidR="00745369" w:rsidRPr="00E07C9A" w:rsidRDefault="00C61FF5" w:rsidP="00450A2E">
            <w:pPr>
              <w:spacing w:beforeLines="60" w:before="144" w:afterLines="60" w:after="144"/>
              <w:rPr>
                <w:rStyle w:val="InstructionsTabelleText"/>
                <w:rFonts w:ascii="Times New Roman" w:hAnsi="Times New Roman"/>
                <w:sz w:val="24"/>
              </w:rPr>
            </w:pPr>
            <w:r w:rsidRPr="00E07C9A">
              <w:rPr>
                <w:rStyle w:val="InstructionsTabelleText"/>
                <w:rFonts w:ascii="Times New Roman" w:hAnsi="Times New Roman"/>
                <w:sz w:val="24"/>
              </w:rPr>
              <w:t>0070</w:t>
            </w:r>
          </w:p>
        </w:tc>
        <w:tc>
          <w:tcPr>
            <w:tcW w:w="8004" w:type="dxa"/>
          </w:tcPr>
          <w:p w14:paraId="01F7AA5C" w14:textId="77777777" w:rsidR="00745369" w:rsidRPr="00E07C9A" w:rsidRDefault="00C61FF5" w:rsidP="00450A2E">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EXPOZÍCIAMI VÁŽENÁ PRIEMERNÁ LGD (%)</w:t>
            </w:r>
          </w:p>
          <w:p w14:paraId="154F3D54" w14:textId="3AF46F07" w:rsidR="001A627D" w:rsidRPr="00E07C9A" w:rsidRDefault="00C61FF5" w:rsidP="001A627D">
            <w:pPr>
              <w:spacing w:beforeLines="60" w:before="144" w:afterLines="60" w:after="144"/>
              <w:rPr>
                <w:rStyle w:val="InstructionsTabelleText"/>
                <w:rFonts w:ascii="Times New Roman" w:hAnsi="Times New Roman"/>
                <w:sz w:val="24"/>
              </w:rPr>
            </w:pPr>
            <w:r w:rsidRPr="00E07C9A">
              <w:rPr>
                <w:rStyle w:val="InstructionsTabelleText"/>
                <w:rFonts w:ascii="Times New Roman" w:hAnsi="Times New Roman"/>
                <w:sz w:val="24"/>
              </w:rPr>
              <w:t>Inštitúcie, ktoré uplatňujú prístup PD/LGD, vykazujú expozíciami vážený priemer LGD priradených ratingovým stupňom alebo skupinám dlžníkov zahrnutým</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súhrne.</w:t>
            </w:r>
          </w:p>
          <w:p w14:paraId="41C64E5E" w14:textId="77777777" w:rsidR="009912F8" w:rsidRPr="00E07C9A" w:rsidRDefault="00C61FF5" w:rsidP="001A627D">
            <w:pPr>
              <w:spacing w:beforeLines="60" w:before="144" w:afterLines="60" w:after="144"/>
              <w:rPr>
                <w:rStyle w:val="InstructionsTabelleText"/>
                <w:rFonts w:ascii="Times New Roman" w:hAnsi="Times New Roman"/>
                <w:sz w:val="24"/>
              </w:rPr>
            </w:pPr>
            <w:r w:rsidRPr="00E07C9A">
              <w:rPr>
                <w:rStyle w:val="InstructionsTabelleText"/>
                <w:rFonts w:ascii="Times New Roman" w:hAnsi="Times New Roman"/>
                <w:sz w:val="24"/>
              </w:rPr>
              <w:t>Hodnota expozície so zohľadnením nefinancovaného kreditného zabezpečenia (stĺpec 0060) sa použije na výpočet expozíciami váženej priemernej LGD</w:t>
            </w:r>
            <w:r w:rsidR="009912F8" w:rsidRPr="00E07C9A">
              <w:rPr>
                <w:rStyle w:val="InstructionsTabelleText"/>
                <w:rFonts w:ascii="Times New Roman" w:hAnsi="Times New Roman"/>
                <w:sz w:val="24"/>
              </w:rPr>
              <w:t>.</w:t>
            </w:r>
          </w:p>
          <w:p w14:paraId="725024C2" w14:textId="51A90CD2" w:rsidR="00745369" w:rsidRPr="00E07C9A" w:rsidRDefault="00C61FF5" w:rsidP="001A627D">
            <w:pPr>
              <w:spacing w:beforeLines="60" w:before="144" w:afterLines="60" w:after="144"/>
              <w:rPr>
                <w:rStyle w:val="InstructionsTabelleText"/>
                <w:rFonts w:ascii="Times New Roman" w:hAnsi="Times New Roman"/>
                <w:sz w:val="24"/>
              </w:rPr>
            </w:pPr>
            <w:r w:rsidRPr="00E07C9A">
              <w:rPr>
                <w:rStyle w:val="InstructionsTabelleText"/>
                <w:rFonts w:ascii="Times New Roman" w:hAnsi="Times New Roman"/>
                <w:sz w:val="24"/>
              </w:rPr>
              <w:t>Inštitúcie zohľadňujú článok 165 ods. 2</w:t>
            </w:r>
            <w:r w:rsidRPr="00E07C9A">
              <w:rPr>
                <w:rFonts w:ascii="Times New Roman" w:hAnsi="Times New Roman"/>
                <w:sz w:val="24"/>
              </w:rPr>
              <w:t xml:space="preserve"> nariadenia (EÚ) </w:t>
            </w:r>
            <w:r w:rsidR="009912F8" w:rsidRPr="00E07C9A">
              <w:rPr>
                <w:rFonts w:ascii="Times New Roman" w:hAnsi="Times New Roman"/>
                <w:sz w:val="24"/>
              </w:rPr>
              <w:t>č. 575/2013</w:t>
            </w:r>
            <w:r w:rsidRPr="00E07C9A">
              <w:rPr>
                <w:rStyle w:val="InstructionsTabelleText"/>
                <w:rFonts w:ascii="Times New Roman" w:hAnsi="Times New Roman"/>
                <w:sz w:val="24"/>
              </w:rPr>
              <w:t>.</w:t>
            </w:r>
          </w:p>
        </w:tc>
      </w:tr>
      <w:tr w:rsidR="00C61FF5" w:rsidRPr="00E07C9A" w14:paraId="51FAC47F"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7B54844D" w14:textId="77777777" w:rsidR="00745369" w:rsidRPr="00E07C9A" w:rsidRDefault="00C61FF5" w:rsidP="00450A2E">
            <w:pPr>
              <w:spacing w:beforeLines="60" w:before="144" w:afterLines="60" w:after="144"/>
              <w:rPr>
                <w:rStyle w:val="InstructionsTabelleText"/>
                <w:rFonts w:ascii="Times New Roman" w:hAnsi="Times New Roman"/>
                <w:sz w:val="24"/>
              </w:rPr>
            </w:pPr>
            <w:r w:rsidRPr="00E07C9A">
              <w:rPr>
                <w:rStyle w:val="InstructionsTabelleText"/>
                <w:rFonts w:ascii="Times New Roman" w:hAnsi="Times New Roman"/>
                <w:sz w:val="24"/>
              </w:rPr>
              <w:t>0080</w:t>
            </w:r>
          </w:p>
        </w:tc>
        <w:tc>
          <w:tcPr>
            <w:tcW w:w="8004" w:type="dxa"/>
          </w:tcPr>
          <w:p w14:paraId="746488E3" w14:textId="77777777" w:rsidR="00745369" w:rsidRPr="00E07C9A" w:rsidRDefault="00C61FF5" w:rsidP="00450A2E">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HODNOTA RIZIKOVO VÁŽENEJ EXPOZÍCIE</w:t>
            </w:r>
          </w:p>
          <w:p w14:paraId="4FE463AD" w14:textId="6C4D2C69" w:rsidR="00745369" w:rsidRPr="00E07C9A" w:rsidRDefault="00C61FF5" w:rsidP="00450A2E">
            <w:pPr>
              <w:spacing w:beforeLines="60" w:before="144" w:afterLines="60" w:after="144"/>
              <w:rPr>
                <w:rStyle w:val="InstructionsTabelleText"/>
                <w:rFonts w:ascii="Times New Roman" w:hAnsi="Times New Roman"/>
                <w:sz w:val="24"/>
              </w:rPr>
            </w:pPr>
            <w:r w:rsidRPr="00E07C9A">
              <w:rPr>
                <w:rStyle w:val="InstructionsTabelleText"/>
                <w:rFonts w:ascii="Times New Roman" w:hAnsi="Times New Roman"/>
                <w:sz w:val="24"/>
              </w:rPr>
              <w:t>Inštitúcie vykazujú hodnoty rizikovo vážených kapitálových expozícií vypočítané</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súlade</w:t>
            </w:r>
            <w:r w:rsidR="009912F8" w:rsidRPr="00E07C9A">
              <w:rPr>
                <w:rStyle w:val="InstructionsTabelleText"/>
                <w:rFonts w:ascii="Times New Roman" w:hAnsi="Times New Roman"/>
                <w:sz w:val="24"/>
              </w:rPr>
              <w:t xml:space="preserve"> s </w:t>
            </w:r>
            <w:r w:rsidRPr="00E07C9A">
              <w:rPr>
                <w:rStyle w:val="InstructionsTabelleText"/>
                <w:rFonts w:ascii="Times New Roman" w:hAnsi="Times New Roman"/>
                <w:sz w:val="24"/>
              </w:rPr>
              <w:t>článkom 155</w:t>
            </w:r>
            <w:r w:rsidRPr="00E07C9A">
              <w:rPr>
                <w:rFonts w:ascii="Times New Roman" w:hAnsi="Times New Roman"/>
                <w:sz w:val="24"/>
              </w:rPr>
              <w:t xml:space="preserve"> nariadenia (EÚ) </w:t>
            </w:r>
            <w:r w:rsidR="009912F8" w:rsidRPr="00E07C9A">
              <w:rPr>
                <w:rFonts w:ascii="Times New Roman" w:hAnsi="Times New Roman"/>
                <w:sz w:val="24"/>
              </w:rPr>
              <w:t>č. 575/2013</w:t>
            </w:r>
            <w:r w:rsidRPr="00E07C9A">
              <w:rPr>
                <w:rStyle w:val="InstructionsTabelleText"/>
                <w:rFonts w:ascii="Times New Roman" w:hAnsi="Times New Roman"/>
                <w:sz w:val="24"/>
              </w:rPr>
              <w:t>.</w:t>
            </w:r>
          </w:p>
          <w:p w14:paraId="32FDDE3A" w14:textId="5278801F" w:rsidR="009912F8" w:rsidRPr="00E07C9A" w:rsidRDefault="00D021AF" w:rsidP="00450A2E">
            <w:pPr>
              <w:spacing w:beforeLines="60" w:before="144" w:afterLines="60" w:after="144"/>
              <w:rPr>
                <w:rStyle w:val="InstructionsTabelleText"/>
                <w:rFonts w:ascii="Times New Roman" w:hAnsi="Times New Roman"/>
                <w:sz w:val="24"/>
              </w:rPr>
            </w:pPr>
            <w:r w:rsidRPr="00E07C9A">
              <w:rPr>
                <w:rStyle w:val="InstructionsTabelleText"/>
                <w:rFonts w:ascii="Times New Roman" w:hAnsi="Times New Roman"/>
                <w:sz w:val="24"/>
              </w:rPr>
              <w:t>Ak inštitúcie, ktoré používajú prístup PD/LGD, nemajú dostatok informácií na použitie definície zlyhania uvedenej</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článku 178</w:t>
            </w:r>
            <w:r w:rsidRPr="00E07C9A">
              <w:rPr>
                <w:rFonts w:ascii="Times New Roman" w:hAnsi="Times New Roman"/>
                <w:sz w:val="24"/>
              </w:rPr>
              <w:t xml:space="preserve"> nariadenia (EÚ) </w:t>
            </w:r>
            <w:r w:rsidR="009912F8" w:rsidRPr="00E07C9A">
              <w:rPr>
                <w:rFonts w:ascii="Times New Roman" w:hAnsi="Times New Roman"/>
                <w:sz w:val="24"/>
              </w:rPr>
              <w:t>č. 575/2013</w:t>
            </w:r>
            <w:r w:rsidRPr="00E07C9A">
              <w:rPr>
                <w:rStyle w:val="InstructionsTabelleText"/>
                <w:rFonts w:ascii="Times New Roman" w:hAnsi="Times New Roman"/>
                <w:sz w:val="24"/>
              </w:rPr>
              <w:t>, rizikovým váham sa pri výpočte hodnôt rizikovo vážených expozícií priradí koeficient vo výške 1,5 [článok 155 ods. 3</w:t>
            </w:r>
            <w:r w:rsidRPr="00E07C9A">
              <w:rPr>
                <w:rFonts w:ascii="Times New Roman" w:hAnsi="Times New Roman"/>
                <w:sz w:val="24"/>
              </w:rPr>
              <w:t xml:space="preserve"> nariadenia (EÚ) </w:t>
            </w:r>
            <w:r w:rsidR="009912F8" w:rsidRPr="00E07C9A">
              <w:rPr>
                <w:rFonts w:ascii="Times New Roman" w:hAnsi="Times New Roman"/>
                <w:sz w:val="24"/>
              </w:rPr>
              <w:t>č. 575/2013</w:t>
            </w:r>
            <w:r w:rsidRPr="00E07C9A">
              <w:rPr>
                <w:rStyle w:val="InstructionsTabelleText"/>
                <w:rFonts w:ascii="Times New Roman" w:hAnsi="Times New Roman"/>
                <w:sz w:val="24"/>
              </w:rPr>
              <w:t>]</w:t>
            </w:r>
            <w:r w:rsidR="009912F8" w:rsidRPr="00E07C9A">
              <w:rPr>
                <w:rStyle w:val="InstructionsTabelleText"/>
                <w:rFonts w:ascii="Times New Roman" w:hAnsi="Times New Roman"/>
                <w:sz w:val="24"/>
              </w:rPr>
              <w:t>.</w:t>
            </w:r>
          </w:p>
          <w:p w14:paraId="6DFE5B20" w14:textId="40FAB343" w:rsidR="00745369" w:rsidRPr="00E07C9A" w:rsidRDefault="00C61FF5" w:rsidP="00450A2E">
            <w:pPr>
              <w:spacing w:beforeLines="60" w:before="144" w:afterLines="60" w:after="144"/>
              <w:rPr>
                <w:rStyle w:val="InstructionsTabelleText"/>
                <w:rFonts w:ascii="Times New Roman" w:hAnsi="Times New Roman"/>
                <w:sz w:val="24"/>
              </w:rPr>
            </w:pPr>
            <w:r w:rsidRPr="00E07C9A">
              <w:rPr>
                <w:rStyle w:val="InstructionsTabelleText"/>
                <w:rFonts w:ascii="Times New Roman" w:hAnsi="Times New Roman"/>
                <w:sz w:val="24"/>
              </w:rPr>
              <w:t>Pokiaľ ide</w:t>
            </w:r>
            <w:r w:rsidR="009912F8" w:rsidRPr="00E07C9A">
              <w:rPr>
                <w:rStyle w:val="InstructionsTabelleText"/>
                <w:rFonts w:ascii="Times New Roman" w:hAnsi="Times New Roman"/>
                <w:sz w:val="24"/>
              </w:rPr>
              <w:t xml:space="preserve"> o </w:t>
            </w:r>
            <w:r w:rsidRPr="00E07C9A">
              <w:rPr>
                <w:rStyle w:val="InstructionsTabelleText"/>
                <w:rFonts w:ascii="Times New Roman" w:hAnsi="Times New Roman"/>
                <w:sz w:val="24"/>
              </w:rPr>
              <w:t>vstupný parameter M (splatnosť)</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súvislosti</w:t>
            </w:r>
            <w:r w:rsidR="009912F8" w:rsidRPr="00E07C9A">
              <w:rPr>
                <w:rStyle w:val="InstructionsTabelleText"/>
                <w:rFonts w:ascii="Times New Roman" w:hAnsi="Times New Roman"/>
                <w:sz w:val="24"/>
              </w:rPr>
              <w:t xml:space="preserve"> s </w:t>
            </w:r>
            <w:r w:rsidRPr="00E07C9A">
              <w:rPr>
                <w:rStyle w:val="InstructionsTabelleText"/>
                <w:rFonts w:ascii="Times New Roman" w:hAnsi="Times New Roman"/>
                <w:sz w:val="24"/>
              </w:rPr>
              <w:t>funkciou rizikovej váhy, splatnosť priradená kapitálovým expozíciám sa rovná 5 rokom [článok 165 ods. 3</w:t>
            </w:r>
            <w:r w:rsidRPr="00E07C9A">
              <w:rPr>
                <w:rFonts w:ascii="Times New Roman" w:hAnsi="Times New Roman"/>
                <w:sz w:val="24"/>
              </w:rPr>
              <w:t xml:space="preserve"> nariadenia (EÚ) </w:t>
            </w:r>
            <w:r w:rsidR="009912F8" w:rsidRPr="00E07C9A">
              <w:rPr>
                <w:rFonts w:ascii="Times New Roman" w:hAnsi="Times New Roman"/>
                <w:sz w:val="24"/>
              </w:rPr>
              <w:t>č. 575/2013</w:t>
            </w:r>
            <w:r w:rsidRPr="00E07C9A">
              <w:rPr>
                <w:rStyle w:val="InstructionsTabelleText"/>
                <w:rFonts w:ascii="Times New Roman" w:hAnsi="Times New Roman"/>
                <w:sz w:val="24"/>
              </w:rPr>
              <w:t>].</w:t>
            </w:r>
          </w:p>
        </w:tc>
      </w:tr>
      <w:tr w:rsidR="00C61FF5" w:rsidRPr="00E07C9A" w14:paraId="6CBDDE1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C512F4E" w14:textId="77777777" w:rsidR="00745369" w:rsidRPr="00E07C9A" w:rsidRDefault="00C61FF5" w:rsidP="00450A2E">
            <w:pPr>
              <w:spacing w:beforeLines="60" w:before="144" w:afterLines="60" w:after="144"/>
              <w:rPr>
                <w:rStyle w:val="InstructionsTabelleText"/>
                <w:rFonts w:ascii="Times New Roman" w:hAnsi="Times New Roman"/>
                <w:sz w:val="24"/>
              </w:rPr>
            </w:pPr>
            <w:r w:rsidRPr="00E07C9A">
              <w:rPr>
                <w:rStyle w:val="InstructionsTabelleText"/>
                <w:rFonts w:ascii="Times New Roman" w:hAnsi="Times New Roman"/>
                <w:sz w:val="24"/>
              </w:rPr>
              <w:t>0090</w:t>
            </w:r>
          </w:p>
        </w:tc>
        <w:tc>
          <w:tcPr>
            <w:tcW w:w="8004" w:type="dxa"/>
          </w:tcPr>
          <w:p w14:paraId="71907DC7" w14:textId="77777777" w:rsidR="00745369" w:rsidRPr="00E07C9A" w:rsidRDefault="00C61FF5" w:rsidP="00450A2E">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DOPLŇUJÚCA POLOŽKA: VÝŠKA OČAKÁVANEJ STRATY</w:t>
            </w:r>
          </w:p>
          <w:p w14:paraId="4F362F35" w14:textId="01EF01BB" w:rsidR="00745369" w:rsidRPr="00E07C9A" w:rsidRDefault="00C61FF5" w:rsidP="00DF4FF2">
            <w:pPr>
              <w:spacing w:beforeLines="60" w:before="144" w:afterLines="60" w:after="144"/>
              <w:rPr>
                <w:rStyle w:val="InstructionsTabelleText"/>
                <w:rFonts w:ascii="Times New Roman" w:hAnsi="Times New Roman"/>
                <w:sz w:val="24"/>
              </w:rPr>
            </w:pPr>
            <w:r w:rsidRPr="00E07C9A">
              <w:rPr>
                <w:rStyle w:val="InstructionsTabelleText"/>
                <w:rFonts w:ascii="Times New Roman" w:hAnsi="Times New Roman"/>
                <w:sz w:val="24"/>
              </w:rPr>
              <w:t>Inštitúcie vykazujú</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stĺpci 0090 výšku očakávanej straty pre kapitálové expozície vypočítanú</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súlade</w:t>
            </w:r>
            <w:r w:rsidR="009912F8" w:rsidRPr="00E07C9A">
              <w:rPr>
                <w:rStyle w:val="InstructionsTabelleText"/>
                <w:rFonts w:ascii="Times New Roman" w:hAnsi="Times New Roman"/>
                <w:sz w:val="24"/>
              </w:rPr>
              <w:t xml:space="preserve"> s </w:t>
            </w:r>
            <w:r w:rsidRPr="00E07C9A">
              <w:rPr>
                <w:rStyle w:val="InstructionsTabelleText"/>
                <w:rFonts w:ascii="Times New Roman" w:hAnsi="Times New Roman"/>
                <w:sz w:val="24"/>
              </w:rPr>
              <w:t>článkom 158 ods. 4, 7, 8</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9</w:t>
            </w:r>
            <w:r w:rsidRPr="00E07C9A">
              <w:rPr>
                <w:rFonts w:ascii="Times New Roman" w:hAnsi="Times New Roman"/>
                <w:sz w:val="24"/>
              </w:rPr>
              <w:t xml:space="preserve"> nariadenia (EÚ) </w:t>
            </w:r>
            <w:r w:rsidR="009912F8" w:rsidRPr="00E07C9A">
              <w:rPr>
                <w:rFonts w:ascii="Times New Roman" w:hAnsi="Times New Roman"/>
                <w:sz w:val="24"/>
              </w:rPr>
              <w:t>č. 575/2013</w:t>
            </w:r>
            <w:r w:rsidRPr="00E07C9A">
              <w:rPr>
                <w:rStyle w:val="InstructionsTabelleText"/>
                <w:rFonts w:ascii="Times New Roman" w:hAnsi="Times New Roman"/>
                <w:sz w:val="24"/>
              </w:rPr>
              <w:t xml:space="preserve">. </w:t>
            </w:r>
          </w:p>
        </w:tc>
      </w:tr>
    </w:tbl>
    <w:p w14:paraId="4AFE1064" w14:textId="77777777" w:rsidR="00745369" w:rsidRPr="00E07C9A" w:rsidRDefault="00745369" w:rsidP="00487A02">
      <w:pPr>
        <w:pStyle w:val="InstructionsText"/>
      </w:pPr>
    </w:p>
    <w:p w14:paraId="0FC7A5DF" w14:textId="14923F59" w:rsidR="00C61FF5" w:rsidRPr="00E07C9A" w:rsidRDefault="002A18DE" w:rsidP="00487A02">
      <w:pPr>
        <w:pStyle w:val="InstructionsText2"/>
        <w:numPr>
          <w:ilvl w:val="0"/>
          <w:numId w:val="0"/>
        </w:numPr>
        <w:ind w:left="1353" w:hanging="360"/>
      </w:pPr>
      <w:fldSimple w:instr=" seq paragraphs ">
        <w:r w:rsidR="00132AEE">
          <w:rPr>
            <w:noProof/>
          </w:rPr>
          <w:t>98</w:t>
        </w:r>
      </w:fldSimple>
      <w:r w:rsidR="00C3070C" w:rsidRPr="00E07C9A">
        <w:t>.</w:t>
      </w:r>
      <w:r w:rsidR="00C3070C" w:rsidRPr="00E07C9A">
        <w:tab/>
        <w:t>[Vypúšťa sa.]</w:t>
      </w:r>
    </w:p>
    <w:tbl>
      <w:tblPr>
        <w:tblW w:w="9524" w:type="dxa"/>
        <w:tblLook w:val="01E0" w:firstRow="1" w:lastRow="1" w:firstColumn="1" w:lastColumn="1" w:noHBand="0" w:noVBand="0"/>
      </w:tblPr>
      <w:tblGrid>
        <w:gridCol w:w="1608"/>
        <w:gridCol w:w="7916"/>
      </w:tblGrid>
      <w:tr w:rsidR="00C61FF5" w:rsidRPr="00E07C9A" w14:paraId="373F1C13" w14:textId="77777777" w:rsidTr="00672D2A">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14:paraId="793311CF" w14:textId="77777777" w:rsidR="00745369" w:rsidRPr="00E07C9A" w:rsidRDefault="00C61FF5" w:rsidP="00EA0BAB">
            <w:pPr>
              <w:spacing w:beforeLines="60" w:before="144" w:afterLines="60" w:after="144"/>
              <w:rPr>
                <w:rStyle w:val="InstructionsTabelleText"/>
                <w:rFonts w:ascii="Times New Roman" w:hAnsi="Times New Roman"/>
                <w:b/>
                <w:sz w:val="24"/>
              </w:rPr>
            </w:pPr>
            <w:r w:rsidRPr="00E07C9A">
              <w:rPr>
                <w:rStyle w:val="InstructionsTabelleText"/>
                <w:rFonts w:ascii="Times New Roman" w:hAnsi="Times New Roman"/>
                <w:b/>
                <w:sz w:val="24"/>
              </w:rPr>
              <w:t>Riadky</w:t>
            </w:r>
          </w:p>
        </w:tc>
      </w:tr>
      <w:tr w:rsidR="00C61FF5" w:rsidRPr="00E07C9A" w14:paraId="147A379D" w14:textId="77777777" w:rsidTr="00672D2A">
        <w:tc>
          <w:tcPr>
            <w:tcW w:w="1608" w:type="dxa"/>
            <w:tcBorders>
              <w:top w:val="single" w:sz="4" w:space="0" w:color="auto"/>
              <w:left w:val="single" w:sz="4" w:space="0" w:color="auto"/>
              <w:bottom w:val="single" w:sz="4" w:space="0" w:color="auto"/>
              <w:right w:val="single" w:sz="4" w:space="0" w:color="auto"/>
            </w:tcBorders>
          </w:tcPr>
          <w:p w14:paraId="0B24D1B5" w14:textId="77777777" w:rsidR="00745369" w:rsidRPr="00E07C9A" w:rsidRDefault="00C61FF5" w:rsidP="00EA0BAB">
            <w:pPr>
              <w:spacing w:beforeLines="60" w:before="144" w:afterLines="60" w:after="144"/>
              <w:rPr>
                <w:rStyle w:val="InstructionsTabelleText"/>
                <w:rFonts w:ascii="Times New Roman" w:hAnsi="Times New Roman"/>
                <w:sz w:val="24"/>
              </w:rPr>
            </w:pPr>
            <w:r w:rsidRPr="00E07C9A">
              <w:rPr>
                <w:rStyle w:val="InstructionsTabelleText"/>
                <w:rFonts w:ascii="Times New Roman" w:hAnsi="Times New Roman"/>
                <w:sz w:val="24"/>
              </w:rPr>
              <w:t>CR EQU IRB 1 – riadok 0020</w:t>
            </w:r>
          </w:p>
          <w:p w14:paraId="1E8DC733" w14:textId="77777777" w:rsidR="00745369" w:rsidRPr="00E07C9A" w:rsidRDefault="00745369" w:rsidP="00450A2E">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40FF2BE1" w14:textId="77777777" w:rsidR="009912F8" w:rsidRPr="00E07C9A" w:rsidRDefault="00C61FF5" w:rsidP="00450A2E">
            <w:pPr>
              <w:keepNext/>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PRÍSTUP PD/LGD: SPOLU</w:t>
            </w:r>
          </w:p>
          <w:p w14:paraId="1CA58208" w14:textId="39D42210" w:rsidR="00745369" w:rsidRPr="00E07C9A" w:rsidRDefault="00C61FF5" w:rsidP="00AA7658">
            <w:pPr>
              <w:keepNext/>
              <w:spacing w:beforeLines="60" w:before="144" w:afterLines="60" w:after="144"/>
              <w:rPr>
                <w:rStyle w:val="InstructionsTabelleText"/>
                <w:rFonts w:ascii="Times New Roman" w:hAnsi="Times New Roman"/>
                <w:sz w:val="24"/>
              </w:rPr>
            </w:pPr>
            <w:r w:rsidRPr="00E07C9A">
              <w:rPr>
                <w:rStyle w:val="InstructionsTabelleText"/>
                <w:rFonts w:ascii="Times New Roman" w:hAnsi="Times New Roman"/>
                <w:sz w:val="24"/>
              </w:rPr>
              <w:t>Inštitúcie, ktoré používajú prístup PD/LGD [článok 155 ods. 3</w:t>
            </w:r>
            <w:r w:rsidRPr="00E07C9A">
              <w:rPr>
                <w:rFonts w:ascii="Times New Roman" w:hAnsi="Times New Roman"/>
                <w:sz w:val="24"/>
              </w:rPr>
              <w:t xml:space="preserve"> nariadenia (EÚ) </w:t>
            </w:r>
            <w:r w:rsidR="009912F8" w:rsidRPr="00E07C9A">
              <w:rPr>
                <w:rFonts w:ascii="Times New Roman" w:hAnsi="Times New Roman"/>
                <w:sz w:val="24"/>
              </w:rPr>
              <w:t>č. 575/2013</w:t>
            </w:r>
            <w:r w:rsidRPr="00E07C9A">
              <w:rPr>
                <w:rStyle w:val="InstructionsTabelleText"/>
                <w:rFonts w:ascii="Times New Roman" w:hAnsi="Times New Roman"/>
                <w:sz w:val="24"/>
              </w:rPr>
              <w:t>], vykazujú požadované informácie</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riadku 0020 vzoru CR EQU IRB 1.</w:t>
            </w:r>
          </w:p>
        </w:tc>
      </w:tr>
      <w:tr w:rsidR="00C61FF5" w:rsidRPr="00E07C9A" w14:paraId="12A4ECCE" w14:textId="77777777" w:rsidTr="00672D2A">
        <w:tc>
          <w:tcPr>
            <w:tcW w:w="1608" w:type="dxa"/>
            <w:tcBorders>
              <w:top w:val="single" w:sz="4" w:space="0" w:color="auto"/>
              <w:left w:val="single" w:sz="4" w:space="0" w:color="auto"/>
              <w:bottom w:val="single" w:sz="4" w:space="0" w:color="auto"/>
              <w:right w:val="single" w:sz="4" w:space="0" w:color="auto"/>
            </w:tcBorders>
          </w:tcPr>
          <w:p w14:paraId="2FB4392F" w14:textId="77777777" w:rsidR="00745369" w:rsidRPr="00E07C9A" w:rsidRDefault="00C61FF5" w:rsidP="00EA0BAB">
            <w:pPr>
              <w:spacing w:beforeLines="60" w:before="144" w:afterLines="60" w:after="144"/>
              <w:rPr>
                <w:rStyle w:val="InstructionsTabelleText"/>
                <w:rFonts w:ascii="Times New Roman" w:hAnsi="Times New Roman"/>
                <w:sz w:val="24"/>
              </w:rPr>
            </w:pPr>
            <w:r w:rsidRPr="00E07C9A">
              <w:rPr>
                <w:rStyle w:val="InstructionsTabelleText"/>
                <w:rFonts w:ascii="Times New Roman" w:hAnsi="Times New Roman"/>
                <w:sz w:val="24"/>
              </w:rPr>
              <w:t>CR EQU IRB 1 – riadky 0050 – 0090</w:t>
            </w:r>
          </w:p>
        </w:tc>
        <w:tc>
          <w:tcPr>
            <w:tcW w:w="7916" w:type="dxa"/>
            <w:tcBorders>
              <w:top w:val="single" w:sz="4" w:space="0" w:color="auto"/>
              <w:left w:val="single" w:sz="4" w:space="0" w:color="auto"/>
              <w:bottom w:val="single" w:sz="4" w:space="0" w:color="auto"/>
              <w:right w:val="single" w:sz="4" w:space="0" w:color="auto"/>
            </w:tcBorders>
          </w:tcPr>
          <w:p w14:paraId="30028DED" w14:textId="77777777" w:rsidR="00C61FF5" w:rsidRPr="00E07C9A" w:rsidRDefault="00C61FF5" w:rsidP="00C61FF5">
            <w:pPr>
              <w:rPr>
                <w:rStyle w:val="InstructionsTabelleText"/>
                <w:rFonts w:ascii="Times New Roman" w:hAnsi="Times New Roman"/>
                <w:b/>
                <w:sz w:val="24"/>
                <w:u w:val="single"/>
              </w:rPr>
            </w:pPr>
            <w:r w:rsidRPr="00E07C9A">
              <w:rPr>
                <w:rStyle w:val="InstructionsTabelleText"/>
                <w:rFonts w:ascii="Times New Roman" w:hAnsi="Times New Roman"/>
                <w:b/>
                <w:sz w:val="24"/>
                <w:u w:val="single"/>
              </w:rPr>
              <w:t>JEDNODUCHÝ PRÍSTUP ZALOŽENÝ NA POUŽITÍ RIZIKOVEJ VÁHY: SPOLU</w:t>
            </w:r>
          </w:p>
          <w:p w14:paraId="6D0B8C5F" w14:textId="5011F8B4" w:rsidR="00C61FF5" w:rsidRPr="00E07C9A" w:rsidRDefault="00C61FF5" w:rsidP="00C61FF5">
            <w:pPr>
              <w:rPr>
                <w:rStyle w:val="InstructionsTabelleText"/>
                <w:rFonts w:ascii="Times New Roman" w:hAnsi="Times New Roman"/>
                <w:b/>
                <w:sz w:val="24"/>
                <w:u w:val="single"/>
              </w:rPr>
            </w:pPr>
            <w:r w:rsidRPr="00E07C9A">
              <w:rPr>
                <w:rStyle w:val="InstructionsTabelleText"/>
                <w:rFonts w:ascii="Times New Roman" w:hAnsi="Times New Roman"/>
                <w:b/>
                <w:sz w:val="24"/>
                <w:u w:val="single"/>
              </w:rPr>
              <w:t>ROZČLENENIE CELKOVÝCH EXPOZÍCIÍ</w:t>
            </w:r>
            <w:r w:rsidR="009912F8" w:rsidRPr="00E07C9A">
              <w:rPr>
                <w:rStyle w:val="InstructionsTabelleText"/>
                <w:rFonts w:ascii="Times New Roman" w:hAnsi="Times New Roman"/>
                <w:b/>
                <w:sz w:val="24"/>
                <w:u w:val="single"/>
              </w:rPr>
              <w:t xml:space="preserve"> V </w:t>
            </w:r>
            <w:r w:rsidRPr="00E07C9A">
              <w:rPr>
                <w:rStyle w:val="InstructionsTabelleText"/>
                <w:rFonts w:ascii="Times New Roman" w:hAnsi="Times New Roman"/>
                <w:b/>
                <w:sz w:val="24"/>
                <w:u w:val="single"/>
              </w:rPr>
              <w:t>RÁMCI JEDNODUCHÉHO PRÍSTUPU ZALOŽENÉHO NA POUŽITÍ RIZIKOVEJ VÁHY PODĽA RIZIKOVÝCH VÁH:</w:t>
            </w:r>
          </w:p>
          <w:p w14:paraId="6F14F917" w14:textId="16114913" w:rsidR="00745369" w:rsidRPr="00E07C9A" w:rsidRDefault="00C61FF5" w:rsidP="00FD239F">
            <w:pPr>
              <w:keepNext/>
              <w:spacing w:beforeLines="60" w:before="144" w:afterLines="60" w:after="144"/>
              <w:rPr>
                <w:rStyle w:val="InstructionsTabelleText"/>
                <w:rFonts w:ascii="Times New Roman" w:hAnsi="Times New Roman"/>
                <w:sz w:val="24"/>
              </w:rPr>
            </w:pPr>
            <w:r w:rsidRPr="00E07C9A">
              <w:rPr>
                <w:rStyle w:val="InstructionsTabelleText"/>
                <w:rFonts w:ascii="Times New Roman" w:hAnsi="Times New Roman"/>
                <w:sz w:val="24"/>
              </w:rPr>
              <w:t>Inštitúcie, ktoré používajú jednoduchý prístup založený na použití rizikovej váhy [článok 155 ods. 2</w:t>
            </w:r>
            <w:r w:rsidRPr="00E07C9A">
              <w:rPr>
                <w:rFonts w:ascii="Times New Roman" w:hAnsi="Times New Roman"/>
                <w:sz w:val="24"/>
              </w:rPr>
              <w:t xml:space="preserve"> nariadenia (EÚ) </w:t>
            </w:r>
            <w:r w:rsidR="009912F8" w:rsidRPr="00E07C9A">
              <w:rPr>
                <w:rFonts w:ascii="Times New Roman" w:hAnsi="Times New Roman"/>
                <w:sz w:val="24"/>
              </w:rPr>
              <w:t>č. 575/2013</w:t>
            </w:r>
            <w:r w:rsidRPr="00E07C9A">
              <w:rPr>
                <w:rStyle w:val="InstructionsTabelleText"/>
                <w:rFonts w:ascii="Times New Roman" w:hAnsi="Times New Roman"/>
                <w:sz w:val="24"/>
              </w:rPr>
              <w:t>], vykazujú požadované informácie podľa charakteristík podkladových expozícií</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riadkoch 0050 až 0090.</w:t>
            </w:r>
          </w:p>
        </w:tc>
      </w:tr>
      <w:tr w:rsidR="00C61FF5" w:rsidRPr="00E07C9A" w14:paraId="26C7178E" w14:textId="77777777" w:rsidTr="00672D2A">
        <w:tc>
          <w:tcPr>
            <w:tcW w:w="1608" w:type="dxa"/>
            <w:tcBorders>
              <w:top w:val="single" w:sz="4" w:space="0" w:color="auto"/>
              <w:left w:val="single" w:sz="4" w:space="0" w:color="auto"/>
              <w:bottom w:val="single" w:sz="4" w:space="0" w:color="auto"/>
              <w:right w:val="single" w:sz="4" w:space="0" w:color="auto"/>
            </w:tcBorders>
          </w:tcPr>
          <w:p w14:paraId="5C1D61A4" w14:textId="77777777" w:rsidR="00745369" w:rsidRPr="00E07C9A" w:rsidRDefault="00C61FF5" w:rsidP="00EA0BAB">
            <w:pPr>
              <w:spacing w:beforeLines="60" w:before="144" w:afterLines="60" w:after="144"/>
              <w:rPr>
                <w:rStyle w:val="InstructionsTabelleText"/>
                <w:rFonts w:ascii="Times New Roman" w:hAnsi="Times New Roman"/>
                <w:sz w:val="24"/>
              </w:rPr>
            </w:pPr>
            <w:r w:rsidRPr="00E07C9A">
              <w:rPr>
                <w:rStyle w:val="InstructionsTabelleText"/>
                <w:rFonts w:ascii="Times New Roman" w:hAnsi="Times New Roman"/>
                <w:sz w:val="24"/>
              </w:rPr>
              <w:t>CR EQU IRB 1 – riadok 0100</w:t>
            </w:r>
          </w:p>
        </w:tc>
        <w:tc>
          <w:tcPr>
            <w:tcW w:w="7916" w:type="dxa"/>
            <w:tcBorders>
              <w:top w:val="single" w:sz="4" w:space="0" w:color="auto"/>
              <w:left w:val="single" w:sz="4" w:space="0" w:color="auto"/>
              <w:bottom w:val="single" w:sz="4" w:space="0" w:color="auto"/>
              <w:right w:val="single" w:sz="4" w:space="0" w:color="auto"/>
            </w:tcBorders>
          </w:tcPr>
          <w:p w14:paraId="6E37C35E" w14:textId="77777777" w:rsidR="00C61FF5" w:rsidRPr="00E07C9A" w:rsidRDefault="00C61FF5" w:rsidP="00C61FF5">
            <w:pPr>
              <w:rPr>
                <w:rStyle w:val="InstructionsTabelleberschrift"/>
                <w:rFonts w:ascii="Times New Roman" w:hAnsi="Times New Roman"/>
                <w:sz w:val="24"/>
              </w:rPr>
            </w:pPr>
            <w:r w:rsidRPr="00E07C9A">
              <w:rPr>
                <w:rStyle w:val="InstructionsTabelleberschrift"/>
                <w:rFonts w:ascii="Times New Roman" w:hAnsi="Times New Roman"/>
                <w:sz w:val="24"/>
              </w:rPr>
              <w:t>PRÍSTUP INTERNÝCH MODELOV</w:t>
            </w:r>
          </w:p>
          <w:p w14:paraId="6C4ED17A" w14:textId="4E8D0A8D" w:rsidR="00C61FF5" w:rsidRPr="00E07C9A" w:rsidRDefault="00C61FF5" w:rsidP="00487A02">
            <w:pPr>
              <w:pStyle w:val="InstructionsText"/>
              <w:rPr>
                <w:rStyle w:val="FormatvorlageInstructionsTabelleText"/>
                <w:rFonts w:ascii="Times New Roman" w:hAnsi="Times New Roman"/>
                <w:bCs w:val="0"/>
                <w:sz w:val="24"/>
              </w:rPr>
            </w:pPr>
            <w:r w:rsidRPr="00E07C9A">
              <w:rPr>
                <w:rStyle w:val="FormatvorlageInstructionsTabelleText"/>
                <w:rFonts w:ascii="Times New Roman" w:hAnsi="Times New Roman"/>
                <w:sz w:val="24"/>
              </w:rPr>
              <w:t>Inštitúcie, ktoré používajú prístup interných modelov [článok 155 ods. 4</w:t>
            </w:r>
            <w:r w:rsidRPr="00E07C9A">
              <w:t xml:space="preserve"> nariadenia (EÚ) </w:t>
            </w:r>
            <w:r w:rsidR="009912F8" w:rsidRPr="00E07C9A">
              <w:t>č. 575/2013</w:t>
            </w:r>
            <w:r w:rsidRPr="00E07C9A">
              <w:rPr>
                <w:rStyle w:val="FormatvorlageInstructionsTabelleText"/>
                <w:rFonts w:ascii="Times New Roman" w:hAnsi="Times New Roman"/>
                <w:sz w:val="24"/>
              </w:rPr>
              <w:t>], vykazujú požadované informácie</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riadku 0100.</w:t>
            </w:r>
          </w:p>
        </w:tc>
      </w:tr>
      <w:tr w:rsidR="00C61FF5" w:rsidRPr="00E07C9A" w14:paraId="5F5C2774" w14:textId="77777777" w:rsidTr="00672D2A">
        <w:tc>
          <w:tcPr>
            <w:tcW w:w="1608" w:type="dxa"/>
            <w:tcBorders>
              <w:top w:val="single" w:sz="4" w:space="0" w:color="auto"/>
              <w:left w:val="single" w:sz="4" w:space="0" w:color="auto"/>
              <w:bottom w:val="single" w:sz="4" w:space="0" w:color="auto"/>
              <w:right w:val="single" w:sz="4" w:space="0" w:color="auto"/>
            </w:tcBorders>
          </w:tcPr>
          <w:p w14:paraId="3EDF5B28" w14:textId="77777777" w:rsidR="00745369" w:rsidRPr="00E07C9A" w:rsidRDefault="00C61FF5" w:rsidP="00EA0BAB">
            <w:pPr>
              <w:spacing w:beforeLines="60" w:before="144" w:afterLines="60" w:after="144"/>
              <w:rPr>
                <w:rStyle w:val="InstructionsTabelleText"/>
                <w:rFonts w:ascii="Times New Roman" w:hAnsi="Times New Roman"/>
                <w:bCs/>
                <w:sz w:val="24"/>
              </w:rPr>
            </w:pPr>
            <w:r w:rsidRPr="00E07C9A">
              <w:rPr>
                <w:rStyle w:val="InstructionsTabelleText"/>
                <w:rFonts w:ascii="Times New Roman" w:hAnsi="Times New Roman"/>
                <w:sz w:val="24"/>
              </w:rPr>
              <w:t>CR EQU IRB 1 – riadok 0110</w:t>
            </w:r>
          </w:p>
        </w:tc>
        <w:tc>
          <w:tcPr>
            <w:tcW w:w="7916" w:type="dxa"/>
            <w:tcBorders>
              <w:top w:val="single" w:sz="4" w:space="0" w:color="auto"/>
              <w:left w:val="single" w:sz="4" w:space="0" w:color="auto"/>
              <w:bottom w:val="single" w:sz="4" w:space="0" w:color="auto"/>
              <w:right w:val="single" w:sz="4" w:space="0" w:color="auto"/>
            </w:tcBorders>
          </w:tcPr>
          <w:p w14:paraId="19B8ECB1" w14:textId="77777777" w:rsidR="00C61FF5" w:rsidRPr="00E07C9A" w:rsidRDefault="00C61FF5" w:rsidP="00C61FF5">
            <w:pPr>
              <w:rPr>
                <w:rStyle w:val="InstructionsTabelleberschrift"/>
                <w:rFonts w:ascii="Times New Roman" w:hAnsi="Times New Roman"/>
                <w:sz w:val="24"/>
              </w:rPr>
            </w:pPr>
            <w:r w:rsidRPr="00E07C9A">
              <w:rPr>
                <w:rStyle w:val="InstructionsTabelleberschrift"/>
                <w:rFonts w:ascii="Times New Roman" w:hAnsi="Times New Roman"/>
                <w:sz w:val="24"/>
              </w:rPr>
              <w:t>KAPITÁLOVÉ EXPOZÍCIE, NA KTORÉ SA UPLATŇUJÚ RIZIKOVÉ VÁHY</w:t>
            </w:r>
          </w:p>
          <w:p w14:paraId="0D6FAD77" w14:textId="2F4D31B9" w:rsidR="005C7A65" w:rsidRPr="00E07C9A" w:rsidRDefault="00C61FF5" w:rsidP="005C7A65">
            <w:pPr>
              <w:rPr>
                <w:rFonts w:ascii="Times New Roman" w:hAnsi="Times New Roman"/>
                <w:sz w:val="24"/>
              </w:rPr>
            </w:pPr>
            <w:r w:rsidRPr="00E07C9A">
              <w:rPr>
                <w:rFonts w:ascii="Times New Roman" w:hAnsi="Times New Roman"/>
                <w:sz w:val="24"/>
              </w:rPr>
              <w:t>Inštitúcie, ktoré uplatňujú prístup IRB, vykazujú hodnoty rizikovo vážených expozícií pre tie kapitálové expozície, ktoré priťahujú zaobchádzanie na základe pevnej rizikovej váhy [avšak bez toho, aby sa</w:t>
            </w:r>
            <w:r w:rsidR="009912F8" w:rsidRPr="00E07C9A">
              <w:rPr>
                <w:rFonts w:ascii="Times New Roman" w:hAnsi="Times New Roman"/>
                <w:sz w:val="24"/>
              </w:rPr>
              <w:t xml:space="preserve"> s </w:t>
            </w:r>
            <w:r w:rsidRPr="00E07C9A">
              <w:rPr>
                <w:rFonts w:ascii="Times New Roman" w:hAnsi="Times New Roman"/>
                <w:sz w:val="24"/>
              </w:rPr>
              <w:t>nimi výslovne zaobchádzalo podľa jednoduchého prístupu založeného na použití rizikovej váhy alebo sa (dočasne alebo trvalo) čiastočne používal štandardizovaný prístup pre kreditné riziko] vrátane týchto expozícií:</w:t>
            </w:r>
          </w:p>
          <w:p w14:paraId="1B3BB7B4" w14:textId="48407886" w:rsidR="00C61FF5" w:rsidRPr="00E07C9A" w:rsidRDefault="00C61FF5" w:rsidP="00C61FF5">
            <w:pPr>
              <w:rPr>
                <w:rStyle w:val="FormatvorlageInstructionsTabelleText"/>
                <w:rFonts w:ascii="Times New Roman" w:hAnsi="Times New Roman"/>
                <w:sz w:val="24"/>
              </w:rPr>
            </w:pPr>
            <w:r w:rsidRPr="00E07C9A">
              <w:rPr>
                <w:rFonts w:ascii="Times New Roman" w:hAnsi="Times New Roman"/>
                <w:sz w:val="24"/>
              </w:rPr>
              <w:t>–</w:t>
            </w:r>
            <w:r w:rsidRPr="00E07C9A">
              <w:rPr>
                <w:rStyle w:val="FormatvorlageInstructionsTabelleText"/>
                <w:rFonts w:ascii="Times New Roman" w:hAnsi="Times New Roman"/>
                <w:sz w:val="24"/>
              </w:rPr>
              <w:t xml:space="preserve"> hodnota rizikovo váženej expozície pre kapitálové pozície</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subjektoch finančného sektora,</w:t>
            </w:r>
            <w:r w:rsidR="009912F8" w:rsidRPr="00E07C9A">
              <w:rPr>
                <w:rStyle w:val="FormatvorlageInstructionsTabelleText"/>
                <w:rFonts w:ascii="Times New Roman" w:hAnsi="Times New Roman"/>
                <w:sz w:val="24"/>
              </w:rPr>
              <w:t xml:space="preserve"> s </w:t>
            </w:r>
            <w:r w:rsidRPr="00E07C9A">
              <w:rPr>
                <w:rStyle w:val="FormatvorlageInstructionsTabelleText"/>
                <w:rFonts w:ascii="Times New Roman" w:hAnsi="Times New Roman"/>
                <w:sz w:val="24"/>
              </w:rPr>
              <w:t>ktorými sa zaobchádza podľa článku 48 ods. 4</w:t>
            </w:r>
            <w:r w:rsidRPr="00E07C9A">
              <w:rPr>
                <w:rFonts w:ascii="Times New Roman" w:hAnsi="Times New Roman"/>
                <w:sz w:val="24"/>
              </w:rPr>
              <w:t xml:space="preserve"> nariadenia (EÚ) </w:t>
            </w:r>
            <w:r w:rsidR="009912F8" w:rsidRPr="00E07C9A">
              <w:rPr>
                <w:rFonts w:ascii="Times New Roman" w:hAnsi="Times New Roman"/>
                <w:sz w:val="24"/>
              </w:rPr>
              <w:t>č. 575/2013</w:t>
            </w:r>
            <w:r w:rsidRPr="00E07C9A">
              <w:rPr>
                <w:rStyle w:val="FormatvorlageInstructionsTabelleText"/>
                <w:rFonts w:ascii="Times New Roman" w:hAnsi="Times New Roman"/>
                <w:sz w:val="24"/>
              </w:rPr>
              <w:t>, ako aj</w:t>
            </w:r>
          </w:p>
          <w:p w14:paraId="5D0336DA" w14:textId="33739B92" w:rsidR="005C7A65" w:rsidRPr="00E07C9A" w:rsidRDefault="00C61FF5" w:rsidP="0033476C">
            <w:pPr>
              <w:rPr>
                <w:rStyle w:val="FormatvorlageInstructionsTabelleText"/>
                <w:rFonts w:ascii="Times New Roman" w:hAnsi="Times New Roman"/>
                <w:sz w:val="24"/>
              </w:rPr>
            </w:pPr>
            <w:r w:rsidRPr="00E07C9A">
              <w:rPr>
                <w:rStyle w:val="FormatvorlageInstructionsTabelleText"/>
                <w:rFonts w:ascii="Times New Roman" w:hAnsi="Times New Roman"/>
                <w:sz w:val="24"/>
              </w:rPr>
              <w:t>– kapitálové pozície, na ktoré sa uplatnila riziková váha vo výške 370</w:t>
            </w:r>
            <w:r w:rsidR="009912F8" w:rsidRPr="00E07C9A">
              <w:rPr>
                <w:rFonts w:ascii="Times New Roman" w:hAnsi="Times New Roman"/>
              </w:rPr>
              <w:t> %</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súlade</w:t>
            </w:r>
            <w:r w:rsidR="009912F8" w:rsidRPr="00E07C9A">
              <w:rPr>
                <w:rStyle w:val="FormatvorlageInstructionsTabelleText"/>
                <w:rFonts w:ascii="Times New Roman" w:hAnsi="Times New Roman"/>
                <w:sz w:val="24"/>
              </w:rPr>
              <w:t xml:space="preserve"> s </w:t>
            </w:r>
            <w:r w:rsidRPr="00E07C9A">
              <w:rPr>
                <w:rStyle w:val="FormatvorlageInstructionsTabelleText"/>
                <w:rFonts w:ascii="Times New Roman" w:hAnsi="Times New Roman"/>
                <w:sz w:val="24"/>
              </w:rPr>
              <w:t>článkom 471 ods. 2</w:t>
            </w:r>
            <w:r w:rsidRPr="00E07C9A">
              <w:rPr>
                <w:rFonts w:ascii="Times New Roman" w:hAnsi="Times New Roman"/>
                <w:sz w:val="24"/>
              </w:rPr>
              <w:t xml:space="preserve"> nariadenia (EÚ) </w:t>
            </w:r>
            <w:r w:rsidR="009912F8" w:rsidRPr="00E07C9A">
              <w:rPr>
                <w:rFonts w:ascii="Times New Roman" w:hAnsi="Times New Roman"/>
                <w:sz w:val="24"/>
              </w:rPr>
              <w:t>č. 575/2013</w:t>
            </w:r>
            <w:r w:rsidRPr="00E07C9A">
              <w:rPr>
                <w:rStyle w:val="FormatvorlageInstructionsTabelleText"/>
                <w:rFonts w:ascii="Times New Roman" w:hAnsi="Times New Roman"/>
                <w:sz w:val="24"/>
              </w:rPr>
              <w:t>, sa vykazujú</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riadku 0110.</w:t>
            </w:r>
          </w:p>
        </w:tc>
      </w:tr>
      <w:tr w:rsidR="000763E0" w:rsidRPr="00E07C9A" w14:paraId="12AF4142" w14:textId="77777777" w:rsidTr="00672D2A">
        <w:tc>
          <w:tcPr>
            <w:tcW w:w="1608" w:type="dxa"/>
            <w:tcBorders>
              <w:top w:val="single" w:sz="4" w:space="0" w:color="auto"/>
              <w:left w:val="single" w:sz="4" w:space="0" w:color="auto"/>
              <w:bottom w:val="single" w:sz="4" w:space="0" w:color="auto"/>
              <w:right w:val="single" w:sz="4" w:space="0" w:color="auto"/>
            </w:tcBorders>
          </w:tcPr>
          <w:p w14:paraId="54AC1B71" w14:textId="284E3812" w:rsidR="000763E0" w:rsidRPr="00E07C9A" w:rsidRDefault="008C66C7" w:rsidP="00EA0BAB">
            <w:pPr>
              <w:spacing w:beforeLines="60" w:before="144" w:afterLines="60" w:after="144"/>
              <w:rPr>
                <w:rStyle w:val="InstructionsTabelleText"/>
                <w:rFonts w:ascii="Times New Roman" w:hAnsi="Times New Roman"/>
                <w:sz w:val="24"/>
              </w:rPr>
            </w:pPr>
            <w:r w:rsidRPr="00E07C9A">
              <w:rPr>
                <w:rStyle w:val="InstructionsTabelleText"/>
                <w:rFonts w:ascii="Times New Roman" w:hAnsi="Times New Roman"/>
                <w:sz w:val="24"/>
              </w:rPr>
              <w:t>CR EQU IRB 1 – riadok 0120</w:t>
            </w:r>
          </w:p>
        </w:tc>
        <w:tc>
          <w:tcPr>
            <w:tcW w:w="7916" w:type="dxa"/>
            <w:tcBorders>
              <w:top w:val="single" w:sz="4" w:space="0" w:color="auto"/>
              <w:left w:val="single" w:sz="4" w:space="0" w:color="auto"/>
              <w:bottom w:val="single" w:sz="4" w:space="0" w:color="auto"/>
              <w:right w:val="single" w:sz="4" w:space="0" w:color="auto"/>
            </w:tcBorders>
          </w:tcPr>
          <w:p w14:paraId="67B895C3" w14:textId="65E1AD3E" w:rsidR="008C66C7" w:rsidRPr="00E07C9A" w:rsidRDefault="008C66C7" w:rsidP="00C61FF5">
            <w:pPr>
              <w:rPr>
                <w:rStyle w:val="FormatvorlageInstructionsTabelleText"/>
                <w:rFonts w:ascii="Times New Roman" w:hAnsi="Times New Roman"/>
                <w:b/>
                <w:bCs w:val="0"/>
                <w:sz w:val="24"/>
              </w:rPr>
            </w:pPr>
            <w:r w:rsidRPr="00E07C9A">
              <w:rPr>
                <w:rStyle w:val="FormatvorlageInstructionsTabelleText"/>
                <w:rFonts w:ascii="Times New Roman" w:hAnsi="Times New Roman"/>
                <w:b/>
                <w:sz w:val="24"/>
              </w:rPr>
              <w:t>EXPOZÍCIE PKI, NA KTORÉ SA VZŤAHUJE REZERVNÝ PRÍSTUP</w:t>
            </w:r>
          </w:p>
          <w:p w14:paraId="69A5A4C6" w14:textId="7E68BEC6" w:rsidR="000763E0" w:rsidRPr="00E07C9A" w:rsidRDefault="000763E0" w:rsidP="00C61FF5">
            <w:pPr>
              <w:rPr>
                <w:rStyle w:val="InstructionsTabelleberschrift"/>
                <w:rFonts w:ascii="Times New Roman" w:hAnsi="Times New Roman"/>
                <w:sz w:val="24"/>
              </w:rPr>
            </w:pPr>
            <w:r w:rsidRPr="00E07C9A">
              <w:rPr>
                <w:rStyle w:val="FormatvorlageInstructionsTabelleText"/>
                <w:rFonts w:ascii="Times New Roman" w:hAnsi="Times New Roman"/>
                <w:sz w:val="24"/>
              </w:rPr>
              <w:t>Expozície vo forme podielových listov alebo akcií</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PKI,</w:t>
            </w:r>
            <w:r w:rsidR="009912F8" w:rsidRPr="00E07C9A">
              <w:rPr>
                <w:rStyle w:val="FormatvorlageInstructionsTabelleText"/>
                <w:rFonts w:ascii="Times New Roman" w:hAnsi="Times New Roman"/>
                <w:sz w:val="24"/>
              </w:rPr>
              <w:t xml:space="preserve"> s </w:t>
            </w:r>
            <w:r w:rsidRPr="00E07C9A">
              <w:rPr>
                <w:rStyle w:val="FormatvorlageInstructionsTabelleText"/>
                <w:rFonts w:ascii="Times New Roman" w:hAnsi="Times New Roman"/>
                <w:sz w:val="24"/>
              </w:rPr>
              <w:t>ktorými sa zaobchádza</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súlade</w:t>
            </w:r>
            <w:r w:rsidR="009912F8" w:rsidRPr="00E07C9A">
              <w:rPr>
                <w:rStyle w:val="FormatvorlageInstructionsTabelleText"/>
                <w:rFonts w:ascii="Times New Roman" w:hAnsi="Times New Roman"/>
                <w:sz w:val="24"/>
              </w:rPr>
              <w:t xml:space="preserve"> s </w:t>
            </w:r>
            <w:r w:rsidRPr="00E07C9A">
              <w:rPr>
                <w:rStyle w:val="FormatvorlageInstructionsTabelleText"/>
                <w:rFonts w:ascii="Times New Roman" w:hAnsi="Times New Roman"/>
                <w:sz w:val="24"/>
              </w:rPr>
              <w:t xml:space="preserve">rezervným prístupom podľa článku 152 ods. 6 nariadenia (EÚ) </w:t>
            </w:r>
            <w:r w:rsidR="009912F8" w:rsidRPr="00E07C9A">
              <w:rPr>
                <w:rStyle w:val="FormatvorlageInstructionsTabelleText"/>
                <w:rFonts w:ascii="Times New Roman" w:hAnsi="Times New Roman"/>
                <w:sz w:val="24"/>
              </w:rPr>
              <w:t>č. 575/2013</w:t>
            </w:r>
            <w:r w:rsidRPr="00E07C9A">
              <w:rPr>
                <w:rStyle w:val="FormatvorlageInstructionsTabelleText"/>
                <w:rFonts w:ascii="Times New Roman" w:hAnsi="Times New Roman"/>
                <w:sz w:val="24"/>
              </w:rPr>
              <w:t>, sa takisto vykazujú</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tomto riadku.</w:t>
            </w:r>
          </w:p>
        </w:tc>
      </w:tr>
      <w:tr w:rsidR="00C61FF5" w:rsidRPr="00E07C9A" w14:paraId="04057722" w14:textId="77777777" w:rsidTr="00672D2A">
        <w:tc>
          <w:tcPr>
            <w:tcW w:w="1608" w:type="dxa"/>
            <w:tcBorders>
              <w:top w:val="single" w:sz="4" w:space="0" w:color="auto"/>
              <w:left w:val="single" w:sz="4" w:space="0" w:color="auto"/>
              <w:bottom w:val="single" w:sz="4" w:space="0" w:color="auto"/>
              <w:right w:val="single" w:sz="4" w:space="0" w:color="auto"/>
            </w:tcBorders>
          </w:tcPr>
          <w:p w14:paraId="6D627A4F" w14:textId="77777777" w:rsidR="00C61FF5" w:rsidRPr="00E07C9A" w:rsidRDefault="00C61FF5" w:rsidP="00C61FF5">
            <w:pPr>
              <w:rPr>
                <w:rStyle w:val="InstructionsTabelleText"/>
                <w:rFonts w:ascii="Times New Roman" w:hAnsi="Times New Roman"/>
                <w:sz w:val="24"/>
              </w:rPr>
            </w:pPr>
            <w:r w:rsidRPr="00E07C9A">
              <w:rPr>
                <w:rStyle w:val="InstructionsTabelleText"/>
                <w:rFonts w:ascii="Times New Roman" w:hAnsi="Times New Roman"/>
                <w:sz w:val="24"/>
              </w:rPr>
              <w:t>CR EQU IRB 2</w:t>
            </w:r>
          </w:p>
          <w:p w14:paraId="75FB1B7D" w14:textId="77777777" w:rsidR="00745369" w:rsidRPr="00E07C9A" w:rsidRDefault="00745369" w:rsidP="00EA0BAB">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3D5A6EBD" w14:textId="0F54A29B" w:rsidR="00745369" w:rsidRPr="00E07C9A" w:rsidRDefault="00C61FF5" w:rsidP="00450A2E">
            <w:pPr>
              <w:keepNext/>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ROZČLENENIE CELKOVÝCH EXPOZÍCIÍ</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RÁMCI PRÍSTUPU PD/LGD PODĽA RATINGOVÝCH STUPŇOV DLŽNÍKOV:</w:t>
            </w:r>
          </w:p>
          <w:p w14:paraId="51572AE4" w14:textId="268F093D" w:rsidR="00745369" w:rsidRPr="00E07C9A" w:rsidRDefault="00C61FF5" w:rsidP="00450A2E">
            <w:pPr>
              <w:keepNext/>
              <w:spacing w:beforeLines="60" w:before="144" w:afterLines="60" w:after="144"/>
              <w:rPr>
                <w:rStyle w:val="InstructionsTabelleText"/>
                <w:rFonts w:ascii="Times New Roman" w:hAnsi="Times New Roman"/>
                <w:sz w:val="24"/>
              </w:rPr>
            </w:pPr>
            <w:r w:rsidRPr="00E07C9A">
              <w:rPr>
                <w:rStyle w:val="InstructionsTabelleText"/>
                <w:rFonts w:ascii="Times New Roman" w:hAnsi="Times New Roman"/>
                <w:sz w:val="24"/>
              </w:rPr>
              <w:t>Inštitúcie, ktoré používajú prístup PD/LGD [článok 155 ods. 3</w:t>
            </w:r>
            <w:r w:rsidRPr="00E07C9A">
              <w:rPr>
                <w:rFonts w:ascii="Times New Roman" w:hAnsi="Times New Roman"/>
                <w:sz w:val="24"/>
              </w:rPr>
              <w:t xml:space="preserve"> nariadenia (EÚ) </w:t>
            </w:r>
            <w:r w:rsidR="009912F8" w:rsidRPr="00E07C9A">
              <w:rPr>
                <w:rFonts w:ascii="Times New Roman" w:hAnsi="Times New Roman"/>
                <w:sz w:val="24"/>
              </w:rPr>
              <w:t>č. 575/2013</w:t>
            </w:r>
            <w:r w:rsidRPr="00E07C9A">
              <w:rPr>
                <w:rStyle w:val="InstructionsTabelleText"/>
                <w:rFonts w:ascii="Times New Roman" w:hAnsi="Times New Roman"/>
                <w:sz w:val="24"/>
              </w:rPr>
              <w:t>], vykazujú požadované informácie vo vzore CR EQU IRB 2.</w:t>
            </w:r>
          </w:p>
          <w:p w14:paraId="18154BB1" w14:textId="5A1015C6" w:rsidR="00C61FF5" w:rsidRPr="00E07C9A" w:rsidRDefault="00D021AF" w:rsidP="00C61FF5">
            <w:pPr>
              <w:rPr>
                <w:rStyle w:val="InstructionsTabelleberschrift"/>
                <w:rFonts w:ascii="Times New Roman" w:hAnsi="Times New Roman"/>
                <w:b w:val="0"/>
                <w:bCs w:val="0"/>
                <w:sz w:val="24"/>
                <w:u w:val="none"/>
              </w:rPr>
            </w:pPr>
            <w:r w:rsidRPr="00E07C9A">
              <w:rPr>
                <w:rStyle w:val="InstructionsTabelleText"/>
                <w:rFonts w:ascii="Times New Roman" w:hAnsi="Times New Roman"/>
                <w:sz w:val="24"/>
              </w:rPr>
              <w:t>Inštitúcie, ktoré používajú prístup PD/LGD</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ktoré uplatňujú jedinečnú ratingovú stupnicu alebo dokážu vykazovať podľa internej hlavnej stupnice, vykazujú vo vzore CR EQU IRB 2 ratingové stupne alebo skupiny, ktoré sa spájajú</w:t>
            </w:r>
            <w:r w:rsidR="009912F8" w:rsidRPr="00E07C9A">
              <w:rPr>
                <w:rStyle w:val="InstructionsTabelleText"/>
                <w:rFonts w:ascii="Times New Roman" w:hAnsi="Times New Roman"/>
                <w:sz w:val="24"/>
              </w:rPr>
              <w:t xml:space="preserve"> s </w:t>
            </w:r>
            <w:r w:rsidRPr="00E07C9A">
              <w:rPr>
                <w:rStyle w:val="InstructionsTabelleText"/>
                <w:rFonts w:ascii="Times New Roman" w:hAnsi="Times New Roman"/>
                <w:sz w:val="24"/>
              </w:rPr>
              <w:t>touto jedinečnou ratingovou stupnicou/hlavnou stupnicou.</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každom inom prípade sa rôzne ratingové stupnice zlúčia</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zoradia podľa týchto kritérií: ratingové stupne alebo skupiny dlžníkov rôznych ratingových stupníc sa zlúčia</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zoradia od najnižšej PD priradenej jednotlivým ratingovým stupňom alebo skupinám dlžníkov po najvyššiu.</w:t>
            </w:r>
          </w:p>
        </w:tc>
      </w:tr>
    </w:tbl>
    <w:p w14:paraId="60B7FECF" w14:textId="77777777" w:rsidR="00633DEB" w:rsidRPr="00E07C9A" w:rsidRDefault="00633DEB">
      <w:pPr>
        <w:spacing w:before="0" w:after="0"/>
        <w:jc w:val="left"/>
        <w:rPr>
          <w:rStyle w:val="InstructionsTabelleText"/>
          <w:rFonts w:ascii="Times New Roman" w:hAnsi="Times New Roman"/>
          <w:sz w:val="24"/>
        </w:rPr>
      </w:pPr>
    </w:p>
    <w:p w14:paraId="0DB73287" w14:textId="77777777" w:rsidR="00612780" w:rsidRPr="00E07C9A" w:rsidRDefault="00125707" w:rsidP="0023700C">
      <w:pPr>
        <w:pStyle w:val="Instructionsberschrift2"/>
        <w:numPr>
          <w:ilvl w:val="0"/>
          <w:numId w:val="0"/>
        </w:numPr>
        <w:ind w:left="357" w:hanging="357"/>
        <w:rPr>
          <w:rFonts w:ascii="Times New Roman" w:hAnsi="Times New Roman" w:cs="Times New Roman"/>
          <w:sz w:val="24"/>
        </w:rPr>
      </w:pPr>
      <w:bookmarkStart w:id="398" w:name="_Toc310415035"/>
      <w:bookmarkStart w:id="399" w:name="_Toc360188372"/>
      <w:bookmarkStart w:id="400" w:name="_Toc473560923"/>
      <w:bookmarkStart w:id="401" w:name="_Toc115857820"/>
      <w:r w:rsidRPr="00E07C9A">
        <w:rPr>
          <w:rFonts w:ascii="Times New Roman" w:hAnsi="Times New Roman" w:cs="Times New Roman"/>
          <w:sz w:val="24"/>
          <w:u w:val="none"/>
        </w:rPr>
        <w:t>3.6.</w:t>
      </w:r>
      <w:r w:rsidRPr="00E07C9A">
        <w:rPr>
          <w:rFonts w:ascii="Times New Roman" w:hAnsi="Times New Roman" w:cs="Times New Roman"/>
          <w:u w:val="none"/>
        </w:rPr>
        <w:tab/>
      </w:r>
      <w:r w:rsidRPr="00E07C9A">
        <w:rPr>
          <w:rFonts w:ascii="Times New Roman" w:hAnsi="Times New Roman" w:cs="Times New Roman"/>
          <w:sz w:val="24"/>
        </w:rPr>
        <w:t>C 11.00 – Riziko vyrovnania/dodania</w:t>
      </w:r>
      <w:bookmarkEnd w:id="398"/>
      <w:bookmarkEnd w:id="399"/>
      <w:r w:rsidRPr="00E07C9A">
        <w:rPr>
          <w:rFonts w:ascii="Times New Roman" w:hAnsi="Times New Roman" w:cs="Times New Roman"/>
          <w:sz w:val="24"/>
        </w:rPr>
        <w:t xml:space="preserve"> (CR SETT)</w:t>
      </w:r>
      <w:bookmarkEnd w:id="400"/>
      <w:bookmarkEnd w:id="401"/>
    </w:p>
    <w:p w14:paraId="481A2B07" w14:textId="77777777" w:rsidR="00612780" w:rsidRPr="00E07C9A" w:rsidRDefault="00125707" w:rsidP="0023700C">
      <w:pPr>
        <w:pStyle w:val="Instructionsberschrift2"/>
        <w:numPr>
          <w:ilvl w:val="0"/>
          <w:numId w:val="0"/>
        </w:numPr>
        <w:ind w:left="357" w:hanging="357"/>
        <w:rPr>
          <w:rFonts w:ascii="Times New Roman" w:hAnsi="Times New Roman" w:cs="Times New Roman"/>
          <w:sz w:val="24"/>
        </w:rPr>
      </w:pPr>
      <w:bookmarkStart w:id="402" w:name="_Toc262568045"/>
      <w:bookmarkStart w:id="403" w:name="_Toc295829924"/>
      <w:bookmarkStart w:id="404" w:name="_Toc310415036"/>
      <w:bookmarkStart w:id="405" w:name="_Toc360188373"/>
      <w:bookmarkStart w:id="406" w:name="_Toc473560924"/>
      <w:bookmarkStart w:id="407" w:name="_Toc115857821"/>
      <w:r w:rsidRPr="00E07C9A">
        <w:rPr>
          <w:rFonts w:ascii="Times New Roman" w:hAnsi="Times New Roman" w:cs="Times New Roman"/>
          <w:sz w:val="24"/>
          <w:u w:val="none"/>
        </w:rPr>
        <w:t>3.6.1.</w:t>
      </w:r>
      <w:r w:rsidRPr="00E07C9A">
        <w:rPr>
          <w:rFonts w:ascii="Times New Roman" w:hAnsi="Times New Roman" w:cs="Times New Roman"/>
          <w:u w:val="none"/>
        </w:rPr>
        <w:tab/>
      </w:r>
      <w:r w:rsidRPr="00E07C9A">
        <w:rPr>
          <w:rFonts w:ascii="Times New Roman" w:hAnsi="Times New Roman" w:cs="Times New Roman"/>
          <w:sz w:val="24"/>
        </w:rPr>
        <w:t>Všeobecné poznámky</w:t>
      </w:r>
      <w:bookmarkEnd w:id="402"/>
      <w:bookmarkEnd w:id="403"/>
      <w:bookmarkEnd w:id="404"/>
      <w:bookmarkEnd w:id="405"/>
      <w:bookmarkEnd w:id="406"/>
      <w:bookmarkEnd w:id="407"/>
    </w:p>
    <w:p w14:paraId="3D19E7EB" w14:textId="706A7D16" w:rsidR="009912F8" w:rsidRPr="00E07C9A" w:rsidRDefault="002A18DE" w:rsidP="00487A02">
      <w:pPr>
        <w:pStyle w:val="InstructionsText2"/>
        <w:numPr>
          <w:ilvl w:val="0"/>
          <w:numId w:val="0"/>
        </w:numPr>
        <w:ind w:left="1353" w:hanging="360"/>
      </w:pPr>
      <w:fldSimple w:instr=" seq paragraphs ">
        <w:r w:rsidR="00132AEE">
          <w:rPr>
            <w:noProof/>
          </w:rPr>
          <w:t>99</w:t>
        </w:r>
      </w:fldSimple>
      <w:r w:rsidR="00C3070C" w:rsidRPr="00E07C9A">
        <w:t>.</w:t>
      </w:r>
      <w:r w:rsidR="00C3070C" w:rsidRPr="00E07C9A">
        <w:tab/>
        <w:t>V tomto vzore sa vyžadujú informácie</w:t>
      </w:r>
      <w:r w:rsidR="009912F8" w:rsidRPr="00E07C9A">
        <w:t xml:space="preserve"> o </w:t>
      </w:r>
      <w:r w:rsidR="00C3070C" w:rsidRPr="00E07C9A">
        <w:t>transakciách</w:t>
      </w:r>
      <w:r w:rsidR="009912F8" w:rsidRPr="00E07C9A">
        <w:t xml:space="preserve"> v </w:t>
      </w:r>
      <w:r w:rsidR="00C3070C" w:rsidRPr="00E07C9A">
        <w:t>obchodnej</w:t>
      </w:r>
      <w:r w:rsidR="009912F8" w:rsidRPr="00E07C9A">
        <w:t xml:space="preserve"> i </w:t>
      </w:r>
      <w:r w:rsidR="00C3070C" w:rsidRPr="00E07C9A">
        <w:t>neobchodnej knihe, ktoré sú nevyrovnané po dátume ich riadneho dodania,</w:t>
      </w:r>
      <w:r w:rsidR="009912F8" w:rsidRPr="00E07C9A">
        <w:t xml:space="preserve"> a </w:t>
      </w:r>
      <w:r w:rsidR="00C3070C" w:rsidRPr="00E07C9A">
        <w:t>ich zodpovedajúce požiadavky na vlastné zdroje pre riziko vyrovnania podľa článku 92 ods. 3 písm. c) bodu ii)</w:t>
      </w:r>
      <w:r w:rsidR="009912F8" w:rsidRPr="00E07C9A">
        <w:t xml:space="preserve"> a </w:t>
      </w:r>
      <w:r w:rsidR="00C3070C" w:rsidRPr="00E07C9A">
        <w:t xml:space="preserve">článku 378 nariadenia (EÚ) </w:t>
      </w:r>
      <w:r w:rsidR="009912F8" w:rsidRPr="00E07C9A">
        <w:t>č. 575/2013.</w:t>
      </w:r>
    </w:p>
    <w:p w14:paraId="11E0DF0C" w14:textId="7D27D3C5" w:rsidR="009912F8" w:rsidRPr="00E07C9A" w:rsidRDefault="002A18DE" w:rsidP="00487A02">
      <w:pPr>
        <w:pStyle w:val="InstructionsText2"/>
        <w:numPr>
          <w:ilvl w:val="0"/>
          <w:numId w:val="0"/>
        </w:numPr>
        <w:ind w:left="1353" w:hanging="360"/>
      </w:pPr>
      <w:fldSimple w:instr=" seq paragraphs ">
        <w:r w:rsidR="00132AEE">
          <w:rPr>
            <w:noProof/>
          </w:rPr>
          <w:t>100</w:t>
        </w:r>
      </w:fldSimple>
      <w:r w:rsidR="00C3070C" w:rsidRPr="00E07C9A">
        <w:t>.</w:t>
      </w:r>
      <w:r w:rsidR="00C3070C" w:rsidRPr="00E07C9A">
        <w:tab/>
        <w:t>Inštitúcie vo vzore CR SETT vykazujú informácie</w:t>
      </w:r>
      <w:r w:rsidR="009912F8" w:rsidRPr="00E07C9A">
        <w:t xml:space="preserve"> o </w:t>
      </w:r>
      <w:r w:rsidR="00C3070C" w:rsidRPr="00E07C9A">
        <w:t>riziku vyrovnania/dodania</w:t>
      </w:r>
      <w:r w:rsidR="009912F8" w:rsidRPr="00E07C9A">
        <w:t xml:space="preserve"> v </w:t>
      </w:r>
      <w:r w:rsidR="00C3070C" w:rsidRPr="00E07C9A">
        <w:t>spojení</w:t>
      </w:r>
      <w:r w:rsidR="009912F8" w:rsidRPr="00E07C9A">
        <w:t xml:space="preserve"> s </w:t>
      </w:r>
      <w:r w:rsidR="00C3070C" w:rsidRPr="00E07C9A">
        <w:t>dlhovými nástrojmi, kapitálovými cennými papiermi, cudzími menami</w:t>
      </w:r>
      <w:r w:rsidR="009912F8" w:rsidRPr="00E07C9A">
        <w:t xml:space="preserve"> a </w:t>
      </w:r>
      <w:r w:rsidR="00C3070C" w:rsidRPr="00E07C9A">
        <w:t>komoditami držanými</w:t>
      </w:r>
      <w:r w:rsidR="009912F8" w:rsidRPr="00E07C9A">
        <w:t xml:space="preserve"> v </w:t>
      </w:r>
      <w:r w:rsidR="00C3070C" w:rsidRPr="00E07C9A">
        <w:t>ich obchodnej alebo neobchodnej knihe</w:t>
      </w:r>
      <w:r w:rsidR="009912F8" w:rsidRPr="00E07C9A">
        <w:t>.</w:t>
      </w:r>
    </w:p>
    <w:p w14:paraId="42180048" w14:textId="62D362F6" w:rsidR="00612780" w:rsidRPr="00E07C9A" w:rsidRDefault="002A18DE" w:rsidP="00487A02">
      <w:pPr>
        <w:pStyle w:val="InstructionsText2"/>
        <w:numPr>
          <w:ilvl w:val="0"/>
          <w:numId w:val="0"/>
        </w:numPr>
        <w:ind w:left="1353" w:hanging="360"/>
      </w:pPr>
      <w:fldSimple w:instr=" seq paragraphs ">
        <w:r w:rsidR="00132AEE">
          <w:rPr>
            <w:noProof/>
          </w:rPr>
          <w:t>101</w:t>
        </w:r>
      </w:fldSimple>
      <w:r w:rsidR="00C3070C" w:rsidRPr="00E07C9A">
        <w:t>.</w:t>
      </w:r>
      <w:r w:rsidR="00C3070C" w:rsidRPr="00E07C9A">
        <w:tab/>
        <w:t>V súlade</w:t>
      </w:r>
      <w:r w:rsidR="009912F8" w:rsidRPr="00E07C9A">
        <w:t xml:space="preserve"> s </w:t>
      </w:r>
      <w:r w:rsidR="00C3070C" w:rsidRPr="00E07C9A">
        <w:t xml:space="preserve">článkom 378 nariadenia (EÚ) </w:t>
      </w:r>
      <w:r w:rsidR="009912F8" w:rsidRPr="00E07C9A">
        <w:t>č. 575/2013</w:t>
      </w:r>
      <w:r w:rsidR="00C3070C" w:rsidRPr="00E07C9A">
        <w:t xml:space="preserve"> repo transakcie, pôžičky</w:t>
      </w:r>
      <w:r w:rsidR="009912F8" w:rsidRPr="00E07C9A">
        <w:t xml:space="preserve"> a </w:t>
      </w:r>
      <w:r w:rsidR="00C3070C" w:rsidRPr="00E07C9A">
        <w:t>výpožičky cenných papierov alebo komodít</w:t>
      </w:r>
      <w:r w:rsidR="009912F8" w:rsidRPr="00E07C9A">
        <w:t xml:space="preserve"> v </w:t>
      </w:r>
      <w:r w:rsidR="00C3070C" w:rsidRPr="00E07C9A">
        <w:t>spojení</w:t>
      </w:r>
      <w:r w:rsidR="009912F8" w:rsidRPr="00E07C9A">
        <w:t xml:space="preserve"> s </w:t>
      </w:r>
      <w:r w:rsidR="00C3070C" w:rsidRPr="00E07C9A">
        <w:t>dlhovými nástrojmi, kapitálovými cennými papiermi, cudzími menami</w:t>
      </w:r>
      <w:r w:rsidR="009912F8" w:rsidRPr="00E07C9A">
        <w:t xml:space="preserve"> a </w:t>
      </w:r>
      <w:r w:rsidR="00C3070C" w:rsidRPr="00E07C9A">
        <w:t>komoditami nepodliehajú požiadavkám na vlastné zdroje pre riziko vyrovnania/dodania. Treba však poznamenať, že deriváty</w:t>
      </w:r>
      <w:r w:rsidR="009912F8" w:rsidRPr="00E07C9A">
        <w:t xml:space="preserve"> a </w:t>
      </w:r>
      <w:r w:rsidR="00C3070C" w:rsidRPr="00E07C9A">
        <w:t>transakcie</w:t>
      </w:r>
      <w:r w:rsidR="009912F8" w:rsidRPr="00E07C9A">
        <w:t xml:space="preserve"> s </w:t>
      </w:r>
      <w:r w:rsidR="00C3070C" w:rsidRPr="00E07C9A">
        <w:t>dlhou dobou vyrovnania, ktoré nie sú vyrovnané po riadnom dátume ich dodania, podliehajú požiadavkám na vlastné zdroje pre riziko vyrovnania/dodania, ako sa stanovuje</w:t>
      </w:r>
      <w:r w:rsidR="009912F8" w:rsidRPr="00E07C9A">
        <w:t xml:space="preserve"> v </w:t>
      </w:r>
      <w:r w:rsidR="00C3070C" w:rsidRPr="00E07C9A">
        <w:t xml:space="preserve">článku 378 nariadenia (EÚ) </w:t>
      </w:r>
      <w:r w:rsidR="009912F8" w:rsidRPr="00E07C9A">
        <w:t>č. 575/2013</w:t>
      </w:r>
      <w:r w:rsidR="00C3070C" w:rsidRPr="00E07C9A">
        <w:t>.</w:t>
      </w:r>
    </w:p>
    <w:p w14:paraId="086E3B89" w14:textId="26B680DA" w:rsidR="009912F8" w:rsidRPr="00E07C9A" w:rsidRDefault="002A18DE" w:rsidP="00487A02">
      <w:pPr>
        <w:pStyle w:val="InstructionsText2"/>
        <w:numPr>
          <w:ilvl w:val="0"/>
          <w:numId w:val="0"/>
        </w:numPr>
        <w:ind w:left="1353" w:hanging="360"/>
      </w:pPr>
      <w:fldSimple w:instr=" seq paragraphs ">
        <w:r w:rsidR="00132AEE">
          <w:rPr>
            <w:noProof/>
          </w:rPr>
          <w:t>102</w:t>
        </w:r>
      </w:fldSimple>
      <w:r w:rsidR="00C3070C" w:rsidRPr="00E07C9A">
        <w:t>.</w:t>
      </w:r>
      <w:r w:rsidR="00C3070C" w:rsidRPr="00E07C9A">
        <w:tab/>
        <w:t>V prípade transakcií, ktoré nie sú vyrovnané po riadnom dátume ich dodania, inštitúcie vypočítajú cenový rozdiel, ktorý sa na ne uplatňuje. Ide</w:t>
      </w:r>
      <w:r w:rsidR="009912F8" w:rsidRPr="00E07C9A">
        <w:t xml:space="preserve"> o </w:t>
      </w:r>
      <w:r w:rsidR="00C3070C" w:rsidRPr="00E07C9A">
        <w:t>rozdiel medzi dohodnutou cenou vyrovnania za príslušný dlhový nástroj, kapitálové cenné papiere, cudziu menu alebo komoditu</w:t>
      </w:r>
      <w:r w:rsidR="009912F8" w:rsidRPr="00E07C9A">
        <w:t xml:space="preserve"> a </w:t>
      </w:r>
      <w:r w:rsidR="00C3070C" w:rsidRPr="00E07C9A">
        <w:t>jeho aktuálnou trhovou hodnotou, pričom rozdiel by mohol pre inštitúciu znamenať stratu</w:t>
      </w:r>
      <w:r w:rsidR="009912F8" w:rsidRPr="00E07C9A">
        <w:t>.</w:t>
      </w:r>
    </w:p>
    <w:p w14:paraId="1196ED7E" w14:textId="5D794371" w:rsidR="00612780" w:rsidRPr="00E07C9A" w:rsidRDefault="002A18DE" w:rsidP="00487A02">
      <w:pPr>
        <w:pStyle w:val="InstructionsText2"/>
        <w:numPr>
          <w:ilvl w:val="0"/>
          <w:numId w:val="0"/>
        </w:numPr>
        <w:ind w:left="1353" w:hanging="360"/>
      </w:pPr>
      <w:fldSimple w:instr=" seq paragraphs ">
        <w:r w:rsidR="00132AEE">
          <w:rPr>
            <w:noProof/>
          </w:rPr>
          <w:t>103</w:t>
        </w:r>
      </w:fldSimple>
      <w:r w:rsidR="00C3070C" w:rsidRPr="00E07C9A">
        <w:t>.</w:t>
      </w:r>
      <w:r w:rsidR="00C3070C" w:rsidRPr="00E07C9A">
        <w:tab/>
        <w:t>Inštitúcie na určenie svojich príslušných požiadaviek na vlastné zdroje vynásobia tento rozdiel príslušným koeficientom uvedeným</w:t>
      </w:r>
      <w:r w:rsidR="009912F8" w:rsidRPr="00E07C9A">
        <w:t xml:space="preserve"> v </w:t>
      </w:r>
      <w:r w:rsidR="00C3070C" w:rsidRPr="00E07C9A">
        <w:t xml:space="preserve">tabuľke 1 článku 378 nariadenia (EÚ) </w:t>
      </w:r>
      <w:r w:rsidR="009912F8" w:rsidRPr="00E07C9A">
        <w:t>č. 575/2013</w:t>
      </w:r>
      <w:r w:rsidR="00C3070C" w:rsidRPr="00E07C9A">
        <w:t>.</w:t>
      </w:r>
    </w:p>
    <w:p w14:paraId="6621AF99" w14:textId="499F3104" w:rsidR="00612780" w:rsidRPr="00E07C9A" w:rsidRDefault="002A18DE" w:rsidP="00487A02">
      <w:pPr>
        <w:pStyle w:val="InstructionsText2"/>
        <w:numPr>
          <w:ilvl w:val="0"/>
          <w:numId w:val="0"/>
        </w:numPr>
        <w:ind w:left="1353" w:hanging="360"/>
      </w:pPr>
      <w:fldSimple w:instr=" seq paragraphs ">
        <w:r w:rsidR="00132AEE">
          <w:rPr>
            <w:noProof/>
          </w:rPr>
          <w:t>104</w:t>
        </w:r>
      </w:fldSimple>
      <w:r w:rsidR="00C3070C" w:rsidRPr="00E07C9A">
        <w:t>.</w:t>
      </w:r>
      <w:r w:rsidR="00C3070C" w:rsidRPr="00E07C9A">
        <w:tab/>
        <w:t>V súlade</w:t>
      </w:r>
      <w:r w:rsidR="009912F8" w:rsidRPr="00E07C9A">
        <w:t xml:space="preserve"> s </w:t>
      </w:r>
      <w:r w:rsidR="00C3070C" w:rsidRPr="00E07C9A">
        <w:t xml:space="preserve">článkom 92 ods. 4 písm. b) nariadenia (EÚ) </w:t>
      </w:r>
      <w:r w:rsidR="009912F8" w:rsidRPr="00E07C9A">
        <w:t>č. 575/2013</w:t>
      </w:r>
      <w:r w:rsidR="00C3070C" w:rsidRPr="00E07C9A">
        <w:t xml:space="preserve"> sa požiadavky na vlastné zdroje pre riziko vyrovnania/dodania na účel vypočítania hodnoty rizikovej expozície vynásobujú koeficientom 12,5.</w:t>
      </w:r>
    </w:p>
    <w:p w14:paraId="355A5C98" w14:textId="51F811C3" w:rsidR="00612780" w:rsidRPr="00E07C9A" w:rsidRDefault="002A18DE" w:rsidP="00487A02">
      <w:pPr>
        <w:pStyle w:val="InstructionsText2"/>
        <w:numPr>
          <w:ilvl w:val="0"/>
          <w:numId w:val="0"/>
        </w:numPr>
        <w:ind w:left="1353" w:hanging="360"/>
      </w:pPr>
      <w:fldSimple w:instr=" seq paragraphs ">
        <w:r w:rsidR="00132AEE">
          <w:rPr>
            <w:noProof/>
          </w:rPr>
          <w:t>105</w:t>
        </w:r>
      </w:fldSimple>
      <w:r w:rsidR="00C3070C" w:rsidRPr="00E07C9A">
        <w:t>.</w:t>
      </w:r>
      <w:r w:rsidR="00C3070C" w:rsidRPr="00E07C9A">
        <w:tab/>
        <w:t>Treba poznamenať, že požiadavky na vlastné zdroje pre bezodplatné dodania stanovené</w:t>
      </w:r>
      <w:r w:rsidR="009912F8" w:rsidRPr="00E07C9A">
        <w:t xml:space="preserve"> v </w:t>
      </w:r>
      <w:r w:rsidR="00C3070C" w:rsidRPr="00E07C9A">
        <w:t xml:space="preserve">článku 379 nariadenia (EÚ) </w:t>
      </w:r>
      <w:r w:rsidR="009912F8" w:rsidRPr="00E07C9A">
        <w:t>č. 575/2013</w:t>
      </w:r>
      <w:r w:rsidR="00C3070C" w:rsidRPr="00E07C9A">
        <w:t xml:space="preserve"> nie sú</w:t>
      </w:r>
      <w:r w:rsidR="009912F8" w:rsidRPr="00E07C9A">
        <w:t xml:space="preserve"> v </w:t>
      </w:r>
      <w:r w:rsidR="00C3070C" w:rsidRPr="00E07C9A">
        <w:t>rozsahu pôsobnosti vzoru CR SETT. Uvedené požiadavky na vlastné zdroje sa vykazujú vo vzoroch pre kreditné riziko (CR SA, CR IRB).</w:t>
      </w:r>
    </w:p>
    <w:p w14:paraId="669F0F27" w14:textId="51A71603" w:rsidR="00612780" w:rsidRPr="00E07C9A" w:rsidRDefault="00125707" w:rsidP="0023700C">
      <w:pPr>
        <w:pStyle w:val="Instructionsberschrift2"/>
        <w:numPr>
          <w:ilvl w:val="0"/>
          <w:numId w:val="0"/>
        </w:numPr>
        <w:ind w:left="357" w:hanging="357"/>
        <w:rPr>
          <w:rFonts w:ascii="Times New Roman" w:hAnsi="Times New Roman" w:cs="Times New Roman"/>
          <w:sz w:val="24"/>
        </w:rPr>
      </w:pPr>
      <w:bookmarkStart w:id="408" w:name="_Toc310415037"/>
      <w:bookmarkStart w:id="409" w:name="_Toc360188374"/>
      <w:bookmarkStart w:id="410" w:name="_Toc473560925"/>
      <w:bookmarkStart w:id="411" w:name="_Toc115857822"/>
      <w:r w:rsidRPr="00E07C9A">
        <w:rPr>
          <w:rFonts w:ascii="Times New Roman" w:hAnsi="Times New Roman" w:cs="Times New Roman"/>
          <w:sz w:val="24"/>
          <w:u w:val="none"/>
        </w:rPr>
        <w:t>3.6.2.</w:t>
      </w:r>
      <w:r w:rsidRPr="00E07C9A">
        <w:rPr>
          <w:rFonts w:ascii="Times New Roman" w:hAnsi="Times New Roman" w:cs="Times New Roman"/>
          <w:u w:val="none"/>
        </w:rPr>
        <w:tab/>
      </w:r>
      <w:r w:rsidRPr="00E07C9A">
        <w:rPr>
          <w:rFonts w:ascii="Times New Roman" w:hAnsi="Times New Roman" w:cs="Times New Roman"/>
          <w:sz w:val="24"/>
        </w:rPr>
        <w:t>Pokyny týkajúce sa konkrétnych pozícií</w:t>
      </w:r>
      <w:bookmarkEnd w:id="408"/>
      <w:bookmarkEnd w:id="409"/>
      <w:bookmarkEnd w:id="410"/>
      <w:bookmarkEnd w:id="4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612780" w:rsidRPr="00E07C9A" w14:paraId="6E3E7596" w14:textId="77777777" w:rsidTr="00672D2A">
        <w:tc>
          <w:tcPr>
            <w:tcW w:w="8856" w:type="dxa"/>
            <w:gridSpan w:val="2"/>
            <w:shd w:val="clear" w:color="auto" w:fill="CCCCCC"/>
          </w:tcPr>
          <w:p w14:paraId="7F15467F" w14:textId="77777777" w:rsidR="00745369" w:rsidRPr="00E07C9A" w:rsidRDefault="00612780" w:rsidP="00EA0BAB">
            <w:pPr>
              <w:spacing w:beforeLines="60" w:before="144" w:afterLines="60" w:after="144"/>
              <w:rPr>
                <w:rFonts w:ascii="Times New Roman" w:hAnsi="Times New Roman"/>
                <w:b/>
                <w:sz w:val="24"/>
              </w:rPr>
            </w:pPr>
            <w:r w:rsidRPr="00E07C9A">
              <w:rPr>
                <w:rFonts w:ascii="Times New Roman" w:hAnsi="Times New Roman"/>
                <w:b/>
                <w:sz w:val="24"/>
              </w:rPr>
              <w:t>Stĺpce</w:t>
            </w:r>
          </w:p>
        </w:tc>
      </w:tr>
      <w:tr w:rsidR="00612780" w:rsidRPr="00E07C9A" w14:paraId="766E5BF1" w14:textId="77777777" w:rsidTr="00672D2A">
        <w:tc>
          <w:tcPr>
            <w:tcW w:w="852" w:type="dxa"/>
          </w:tcPr>
          <w:p w14:paraId="6D31FAA5" w14:textId="77777777" w:rsidR="00745369" w:rsidRPr="00E07C9A" w:rsidRDefault="00612780" w:rsidP="00EA0BAB">
            <w:pPr>
              <w:spacing w:beforeLines="60" w:before="144" w:afterLines="60" w:after="144"/>
              <w:rPr>
                <w:rFonts w:ascii="Times New Roman" w:hAnsi="Times New Roman"/>
                <w:sz w:val="24"/>
              </w:rPr>
            </w:pPr>
            <w:r w:rsidRPr="00E07C9A">
              <w:rPr>
                <w:rFonts w:ascii="Times New Roman" w:hAnsi="Times New Roman"/>
                <w:sz w:val="24"/>
              </w:rPr>
              <w:t>0010</w:t>
            </w:r>
          </w:p>
        </w:tc>
        <w:tc>
          <w:tcPr>
            <w:tcW w:w="8004" w:type="dxa"/>
          </w:tcPr>
          <w:p w14:paraId="31696F39" w14:textId="148CD97F" w:rsidR="00745369" w:rsidRPr="00E07C9A" w:rsidRDefault="00612780" w:rsidP="00450A2E">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NEVYROVNANÉ TRANSAKCIE</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CENE VYROVNANIA</w:t>
            </w:r>
          </w:p>
          <w:p w14:paraId="69200EE7" w14:textId="49AAA81A" w:rsidR="009912F8" w:rsidRPr="00E07C9A" w:rsidRDefault="00A16FFF" w:rsidP="00450A2E">
            <w:pPr>
              <w:spacing w:beforeLines="60" w:before="144" w:afterLines="60" w:after="144"/>
              <w:rPr>
                <w:rFonts w:ascii="Times New Roman" w:hAnsi="Times New Roman"/>
                <w:sz w:val="24"/>
              </w:rPr>
            </w:pPr>
            <w:r w:rsidRPr="00E07C9A">
              <w:rPr>
                <w:rFonts w:ascii="Times New Roman" w:hAnsi="Times New Roman"/>
                <w:sz w:val="24"/>
              </w:rPr>
              <w:t>Inštitúcie vykazujú nevyrovnané transakcie po riadnom dátume ich dodania</w:t>
            </w:r>
            <w:r w:rsidR="009912F8" w:rsidRPr="00E07C9A">
              <w:rPr>
                <w:rFonts w:ascii="Times New Roman" w:hAnsi="Times New Roman"/>
                <w:sz w:val="24"/>
              </w:rPr>
              <w:t xml:space="preserve"> v </w:t>
            </w:r>
            <w:r w:rsidRPr="00E07C9A">
              <w:rPr>
                <w:rFonts w:ascii="Times New Roman" w:hAnsi="Times New Roman"/>
                <w:sz w:val="24"/>
              </w:rPr>
              <w:t>príslušnej dohodnutej cene vyrovnania, ako sa uvádza</w:t>
            </w:r>
            <w:r w:rsidR="009912F8" w:rsidRPr="00E07C9A">
              <w:rPr>
                <w:rFonts w:ascii="Times New Roman" w:hAnsi="Times New Roman"/>
                <w:sz w:val="24"/>
              </w:rPr>
              <w:t xml:space="preserve"> v </w:t>
            </w:r>
            <w:r w:rsidRPr="00E07C9A">
              <w:rPr>
                <w:rFonts w:ascii="Times New Roman" w:hAnsi="Times New Roman"/>
                <w:sz w:val="24"/>
              </w:rPr>
              <w:t xml:space="preserve">článku 378 nariadenia (EÚ) </w:t>
            </w:r>
            <w:r w:rsidR="009912F8" w:rsidRPr="00E07C9A">
              <w:rPr>
                <w:rFonts w:ascii="Times New Roman" w:hAnsi="Times New Roman"/>
                <w:sz w:val="24"/>
              </w:rPr>
              <w:t>č. 575/2013.</w:t>
            </w:r>
          </w:p>
          <w:p w14:paraId="109D1D01" w14:textId="07EEA441" w:rsidR="00745369" w:rsidRPr="00E07C9A" w:rsidRDefault="00612780" w:rsidP="00302C3F">
            <w:pPr>
              <w:spacing w:beforeLines="60" w:before="144" w:afterLines="60" w:after="144"/>
              <w:rPr>
                <w:rFonts w:ascii="Times New Roman" w:hAnsi="Times New Roman"/>
                <w:sz w:val="24"/>
              </w:rPr>
            </w:pPr>
            <w:r w:rsidRPr="00E07C9A">
              <w:rPr>
                <w:rFonts w:ascii="Times New Roman" w:hAnsi="Times New Roman"/>
                <w:sz w:val="24"/>
              </w:rPr>
              <w:t>Všetky nevyrovnané transakcie sa zahrnú do tohto stĺpca bez ohľadu na to, či predstavujú zisk alebo stratu po riadnom termíne vyrovnania.</w:t>
            </w:r>
          </w:p>
        </w:tc>
      </w:tr>
      <w:tr w:rsidR="00612780" w:rsidRPr="00E07C9A" w14:paraId="5C90675B" w14:textId="77777777" w:rsidTr="00672D2A">
        <w:tc>
          <w:tcPr>
            <w:tcW w:w="852" w:type="dxa"/>
          </w:tcPr>
          <w:p w14:paraId="02CA2FAE" w14:textId="77777777" w:rsidR="00745369" w:rsidRPr="00E07C9A" w:rsidRDefault="00612780" w:rsidP="00EA0BAB">
            <w:pPr>
              <w:spacing w:beforeLines="60" w:before="144" w:afterLines="60" w:after="144"/>
              <w:rPr>
                <w:rFonts w:ascii="Times New Roman" w:hAnsi="Times New Roman"/>
                <w:sz w:val="24"/>
              </w:rPr>
            </w:pPr>
            <w:r w:rsidRPr="00E07C9A">
              <w:rPr>
                <w:rFonts w:ascii="Times New Roman" w:hAnsi="Times New Roman"/>
                <w:sz w:val="24"/>
              </w:rPr>
              <w:t>0020</w:t>
            </w:r>
          </w:p>
        </w:tc>
        <w:tc>
          <w:tcPr>
            <w:tcW w:w="8004" w:type="dxa"/>
          </w:tcPr>
          <w:p w14:paraId="2193D4E5" w14:textId="488EB51A" w:rsidR="00745369" w:rsidRPr="00E07C9A" w:rsidRDefault="00612780" w:rsidP="00450A2E">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EXPOZÍCIA VOČI CENOVÉMU ROZDIELU</w:t>
            </w:r>
            <w:r w:rsidR="009912F8" w:rsidRPr="00E07C9A">
              <w:rPr>
                <w:rStyle w:val="InstructionsTabelleberschrift"/>
                <w:rFonts w:ascii="Times New Roman" w:hAnsi="Times New Roman"/>
                <w:sz w:val="24"/>
              </w:rPr>
              <w:t xml:space="preserve"> Z </w:t>
            </w:r>
            <w:r w:rsidRPr="00E07C9A">
              <w:rPr>
                <w:rStyle w:val="InstructionsTabelleberschrift"/>
                <w:rFonts w:ascii="Times New Roman" w:hAnsi="Times New Roman"/>
                <w:sz w:val="24"/>
              </w:rPr>
              <w:t>NEVYROVNANÝCH TRANSAKCIÍ</w:t>
            </w:r>
          </w:p>
          <w:p w14:paraId="30EBB69C" w14:textId="1CA389A1" w:rsidR="009912F8" w:rsidRPr="00E07C9A" w:rsidRDefault="00A16FFF" w:rsidP="00450A2E">
            <w:pPr>
              <w:spacing w:beforeLines="60" w:before="144" w:afterLines="60" w:after="144"/>
              <w:rPr>
                <w:rFonts w:ascii="Times New Roman" w:hAnsi="Times New Roman"/>
                <w:sz w:val="24"/>
              </w:rPr>
            </w:pPr>
            <w:r w:rsidRPr="00E07C9A">
              <w:rPr>
                <w:rFonts w:ascii="Times New Roman" w:hAnsi="Times New Roman"/>
                <w:sz w:val="24"/>
              </w:rPr>
              <w:t>Inštitúcie vykazujú cenový rozdiel medzi dohodnutou cenou vyrovnania</w:t>
            </w:r>
            <w:r w:rsidR="009912F8" w:rsidRPr="00E07C9A">
              <w:rPr>
                <w:rFonts w:ascii="Times New Roman" w:hAnsi="Times New Roman"/>
                <w:sz w:val="24"/>
              </w:rPr>
              <w:t xml:space="preserve"> a </w:t>
            </w:r>
            <w:r w:rsidRPr="00E07C9A">
              <w:rPr>
                <w:rFonts w:ascii="Times New Roman" w:hAnsi="Times New Roman"/>
                <w:sz w:val="24"/>
              </w:rPr>
              <w:t>aktuálnou trhovou hodnotou za príslušný dlhový nástroj, kapitálové cenné papiere, cudziu menu alebo komoditu, pričom rozdiel by mohol znamenať stratu pre inštitúciu, ako sa uvádza</w:t>
            </w:r>
            <w:r w:rsidR="009912F8" w:rsidRPr="00E07C9A">
              <w:rPr>
                <w:rFonts w:ascii="Times New Roman" w:hAnsi="Times New Roman"/>
                <w:sz w:val="24"/>
              </w:rPr>
              <w:t xml:space="preserve"> v </w:t>
            </w:r>
            <w:r w:rsidRPr="00E07C9A">
              <w:rPr>
                <w:rFonts w:ascii="Times New Roman" w:hAnsi="Times New Roman"/>
                <w:sz w:val="24"/>
              </w:rPr>
              <w:t xml:space="preserve">článku 378 nariadenia (EÚ) </w:t>
            </w:r>
            <w:r w:rsidR="009912F8" w:rsidRPr="00E07C9A">
              <w:rPr>
                <w:rFonts w:ascii="Times New Roman" w:hAnsi="Times New Roman"/>
                <w:sz w:val="24"/>
              </w:rPr>
              <w:t>č. 575/2013.</w:t>
            </w:r>
          </w:p>
          <w:p w14:paraId="23570610" w14:textId="0DE8A417" w:rsidR="00745369" w:rsidRPr="00E07C9A" w:rsidRDefault="00612780" w:rsidP="00302C3F">
            <w:pPr>
              <w:spacing w:beforeLines="60" w:before="144" w:afterLines="60" w:after="144"/>
              <w:rPr>
                <w:rFonts w:ascii="Times New Roman" w:hAnsi="Times New Roman"/>
                <w:sz w:val="24"/>
              </w:rPr>
            </w:pPr>
            <w:r w:rsidRPr="00E07C9A">
              <w:rPr>
                <w:rFonts w:ascii="Times New Roman" w:hAnsi="Times New Roman"/>
                <w:sz w:val="24"/>
              </w:rPr>
              <w:t>V tomto stĺpci sa vykazujú len nevyrovnané transakcie predstavujúce stratu po riadnom termíne vyrovnania.</w:t>
            </w:r>
          </w:p>
        </w:tc>
      </w:tr>
      <w:tr w:rsidR="00612780" w:rsidRPr="00E07C9A" w14:paraId="51F55A0B" w14:textId="77777777" w:rsidTr="00672D2A">
        <w:tc>
          <w:tcPr>
            <w:tcW w:w="852" w:type="dxa"/>
          </w:tcPr>
          <w:p w14:paraId="2AD9FC34" w14:textId="77777777" w:rsidR="00745369" w:rsidRPr="00E07C9A" w:rsidRDefault="00612780" w:rsidP="00EA0BAB">
            <w:pPr>
              <w:spacing w:beforeLines="60" w:before="144" w:afterLines="60" w:after="144"/>
              <w:rPr>
                <w:rFonts w:ascii="Times New Roman" w:hAnsi="Times New Roman"/>
                <w:sz w:val="24"/>
              </w:rPr>
            </w:pPr>
            <w:r w:rsidRPr="00E07C9A">
              <w:rPr>
                <w:rFonts w:ascii="Times New Roman" w:hAnsi="Times New Roman"/>
                <w:sz w:val="24"/>
              </w:rPr>
              <w:t>0030</w:t>
            </w:r>
          </w:p>
        </w:tc>
        <w:tc>
          <w:tcPr>
            <w:tcW w:w="8004" w:type="dxa"/>
          </w:tcPr>
          <w:p w14:paraId="07AD312F" w14:textId="77777777" w:rsidR="00745369" w:rsidRPr="00E07C9A" w:rsidRDefault="00612780" w:rsidP="00450A2E">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POŽIADAVKY NA VLASTNÉ ZDROJE</w:t>
            </w:r>
          </w:p>
          <w:p w14:paraId="1A4486D5" w14:textId="61024FC9" w:rsidR="00745369" w:rsidRPr="00E07C9A" w:rsidRDefault="00612780" w:rsidP="00302C3F">
            <w:pPr>
              <w:spacing w:beforeLines="60" w:before="144" w:afterLines="60" w:after="144"/>
              <w:rPr>
                <w:rFonts w:ascii="Times New Roman" w:hAnsi="Times New Roman"/>
                <w:sz w:val="24"/>
              </w:rPr>
            </w:pPr>
            <w:r w:rsidRPr="00E07C9A">
              <w:rPr>
                <w:rFonts w:ascii="Times New Roman" w:hAnsi="Times New Roman"/>
                <w:sz w:val="24"/>
              </w:rPr>
              <w:t>Inštitúcie vykazujú požiadavky na vlastné zdroje vypočítané</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378 nariadenia (EÚ) </w:t>
            </w:r>
            <w:r w:rsidR="009912F8" w:rsidRPr="00E07C9A">
              <w:rPr>
                <w:rFonts w:ascii="Times New Roman" w:hAnsi="Times New Roman"/>
                <w:sz w:val="24"/>
              </w:rPr>
              <w:t>č. 575/2013</w:t>
            </w:r>
            <w:r w:rsidRPr="00E07C9A">
              <w:rPr>
                <w:rFonts w:ascii="Times New Roman" w:hAnsi="Times New Roman"/>
                <w:sz w:val="24"/>
              </w:rPr>
              <w:t>.</w:t>
            </w:r>
          </w:p>
        </w:tc>
      </w:tr>
      <w:tr w:rsidR="00612780" w:rsidRPr="00E07C9A" w14:paraId="5AF83B6F" w14:textId="77777777" w:rsidTr="00672D2A">
        <w:tc>
          <w:tcPr>
            <w:tcW w:w="852" w:type="dxa"/>
          </w:tcPr>
          <w:p w14:paraId="4C8C2878" w14:textId="77777777" w:rsidR="00745369" w:rsidRPr="00E07C9A" w:rsidRDefault="00612780" w:rsidP="00EA0BAB">
            <w:pPr>
              <w:spacing w:beforeLines="60" w:before="144" w:afterLines="60" w:after="144"/>
              <w:rPr>
                <w:rFonts w:ascii="Times New Roman" w:hAnsi="Times New Roman"/>
                <w:sz w:val="24"/>
              </w:rPr>
            </w:pPr>
            <w:r w:rsidRPr="00E07C9A">
              <w:rPr>
                <w:rFonts w:ascii="Times New Roman" w:hAnsi="Times New Roman"/>
                <w:sz w:val="24"/>
              </w:rPr>
              <w:t>0040</w:t>
            </w:r>
          </w:p>
        </w:tc>
        <w:tc>
          <w:tcPr>
            <w:tcW w:w="8004" w:type="dxa"/>
          </w:tcPr>
          <w:p w14:paraId="37F96095" w14:textId="77777777" w:rsidR="00745369" w:rsidRPr="00E07C9A" w:rsidRDefault="00612780" w:rsidP="00450A2E">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CELKOVÁ HODNOTA EXPOZÍCIE VOČI RIZIKU VYROVNANIA</w:t>
            </w:r>
          </w:p>
          <w:p w14:paraId="74FAF790" w14:textId="2CF8EEDC" w:rsidR="00745369" w:rsidRPr="00E07C9A" w:rsidRDefault="00612780" w:rsidP="00DF4FF2">
            <w:pPr>
              <w:spacing w:beforeLines="60" w:before="144" w:afterLines="60" w:after="144"/>
              <w:rPr>
                <w:rFonts w:ascii="Times New Roman" w:hAnsi="Times New Roman"/>
                <w:sz w:val="24"/>
              </w:rPr>
            </w:pPr>
            <w:r w:rsidRPr="00E07C9A">
              <w:rPr>
                <w:rFonts w:ascii="Times New Roman" w:hAnsi="Times New Roman"/>
                <w:sz w:val="24"/>
              </w:rPr>
              <w:t>Inštitúcie</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92 ods. 4 písm. b) nariadenia (EÚ) </w:t>
            </w:r>
            <w:r w:rsidR="009912F8" w:rsidRPr="00E07C9A">
              <w:rPr>
                <w:rFonts w:ascii="Times New Roman" w:hAnsi="Times New Roman"/>
                <w:sz w:val="24"/>
              </w:rPr>
              <w:t>č. 575/2013</w:t>
            </w:r>
            <w:r w:rsidRPr="00E07C9A">
              <w:rPr>
                <w:rFonts w:ascii="Times New Roman" w:hAnsi="Times New Roman"/>
                <w:sz w:val="24"/>
              </w:rPr>
              <w:t xml:space="preserve"> na účel vypočítania hodnoty expozície voči riziku vyrovnania vynásobia svoje požiadavky na vlastné zdroje vykázané</w:t>
            </w:r>
            <w:r w:rsidR="009912F8" w:rsidRPr="00E07C9A">
              <w:rPr>
                <w:rFonts w:ascii="Times New Roman" w:hAnsi="Times New Roman"/>
                <w:sz w:val="24"/>
              </w:rPr>
              <w:t xml:space="preserve"> v </w:t>
            </w:r>
            <w:r w:rsidRPr="00E07C9A">
              <w:rPr>
                <w:rFonts w:ascii="Times New Roman" w:hAnsi="Times New Roman"/>
                <w:sz w:val="24"/>
              </w:rPr>
              <w:t>stĺpci 0030 koeficientom 12,5.</w:t>
            </w:r>
          </w:p>
        </w:tc>
      </w:tr>
    </w:tbl>
    <w:p w14:paraId="000CEF5D" w14:textId="77777777" w:rsidR="00612780" w:rsidRPr="00E07C9A" w:rsidRDefault="00612780" w:rsidP="00612780">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6"/>
        <w:gridCol w:w="7646"/>
      </w:tblGrid>
      <w:tr w:rsidR="00612780" w:rsidRPr="00E07C9A" w14:paraId="4F545CBA" w14:textId="77777777" w:rsidTr="00672D2A">
        <w:tc>
          <w:tcPr>
            <w:tcW w:w="8862" w:type="dxa"/>
            <w:gridSpan w:val="2"/>
            <w:shd w:val="clear" w:color="auto" w:fill="CCCCCC"/>
          </w:tcPr>
          <w:p w14:paraId="0B4774B1" w14:textId="77777777" w:rsidR="00745369" w:rsidRPr="00E07C9A" w:rsidRDefault="00612780" w:rsidP="00EA0BAB">
            <w:pPr>
              <w:spacing w:beforeLines="60" w:before="144" w:afterLines="60" w:after="144"/>
              <w:rPr>
                <w:rFonts w:ascii="Times New Roman" w:hAnsi="Times New Roman"/>
                <w:b/>
                <w:sz w:val="24"/>
              </w:rPr>
            </w:pPr>
            <w:r w:rsidRPr="00E07C9A">
              <w:rPr>
                <w:rFonts w:ascii="Times New Roman" w:hAnsi="Times New Roman"/>
                <w:b/>
                <w:sz w:val="24"/>
              </w:rPr>
              <w:t>Riadky</w:t>
            </w:r>
          </w:p>
        </w:tc>
      </w:tr>
      <w:tr w:rsidR="00612780" w:rsidRPr="00E07C9A" w14:paraId="59DD0E3B" w14:textId="77777777" w:rsidTr="00672D2A">
        <w:tc>
          <w:tcPr>
            <w:tcW w:w="852" w:type="dxa"/>
          </w:tcPr>
          <w:p w14:paraId="72763C6E" w14:textId="77777777" w:rsidR="00745369" w:rsidRPr="00E07C9A" w:rsidRDefault="00612780" w:rsidP="00EA0BAB">
            <w:pPr>
              <w:spacing w:beforeLines="60" w:before="144" w:afterLines="60" w:after="144"/>
              <w:rPr>
                <w:rFonts w:ascii="Times New Roman" w:hAnsi="Times New Roman"/>
                <w:sz w:val="24"/>
              </w:rPr>
            </w:pPr>
            <w:r w:rsidRPr="00E07C9A">
              <w:rPr>
                <w:rFonts w:ascii="Times New Roman" w:hAnsi="Times New Roman"/>
                <w:sz w:val="24"/>
              </w:rPr>
              <w:t>0010</w:t>
            </w:r>
          </w:p>
        </w:tc>
        <w:tc>
          <w:tcPr>
            <w:tcW w:w="8010" w:type="dxa"/>
          </w:tcPr>
          <w:p w14:paraId="3CF92F10" w14:textId="3C583D62" w:rsidR="00745369" w:rsidRPr="00E07C9A" w:rsidRDefault="00612780" w:rsidP="00450A2E">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Celkové nevyrovnané transakcie</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neobchodnej knihe</w:t>
            </w:r>
          </w:p>
          <w:p w14:paraId="3E8F5041" w14:textId="6EC1CF3F" w:rsidR="00745369" w:rsidRPr="00E07C9A" w:rsidRDefault="00612780" w:rsidP="00450A2E">
            <w:pPr>
              <w:spacing w:beforeLines="60" w:before="144" w:afterLines="60" w:after="144"/>
              <w:rPr>
                <w:rFonts w:ascii="Times New Roman" w:hAnsi="Times New Roman"/>
                <w:sz w:val="24"/>
              </w:rPr>
            </w:pPr>
            <w:r w:rsidRPr="00E07C9A">
              <w:rPr>
                <w:rFonts w:ascii="Times New Roman" w:hAnsi="Times New Roman"/>
                <w:sz w:val="24"/>
              </w:rPr>
              <w:t>Inštitúcie vykazujú súhrnné informácie</w:t>
            </w:r>
            <w:r w:rsidR="009912F8" w:rsidRPr="00E07C9A">
              <w:rPr>
                <w:rFonts w:ascii="Times New Roman" w:hAnsi="Times New Roman"/>
                <w:sz w:val="24"/>
              </w:rPr>
              <w:t xml:space="preserve"> o </w:t>
            </w:r>
            <w:r w:rsidRPr="00E07C9A">
              <w:rPr>
                <w:rFonts w:ascii="Times New Roman" w:hAnsi="Times New Roman"/>
                <w:sz w:val="24"/>
              </w:rPr>
              <w:t>riziku vyrovnania/dodania pre pozície</w:t>
            </w:r>
            <w:r w:rsidR="009912F8" w:rsidRPr="00E07C9A">
              <w:rPr>
                <w:rFonts w:ascii="Times New Roman" w:hAnsi="Times New Roman"/>
                <w:sz w:val="24"/>
              </w:rPr>
              <w:t xml:space="preserve"> v </w:t>
            </w:r>
            <w:r w:rsidRPr="00E07C9A">
              <w:rPr>
                <w:rFonts w:ascii="Times New Roman" w:hAnsi="Times New Roman"/>
                <w:sz w:val="24"/>
              </w:rPr>
              <w:t>neobchodnej knihe [ako sa uvádza</w:t>
            </w:r>
            <w:r w:rsidR="009912F8" w:rsidRPr="00E07C9A">
              <w:rPr>
                <w:rFonts w:ascii="Times New Roman" w:hAnsi="Times New Roman"/>
                <w:sz w:val="24"/>
              </w:rPr>
              <w:t xml:space="preserve"> v </w:t>
            </w:r>
            <w:r w:rsidRPr="00E07C9A">
              <w:rPr>
                <w:rFonts w:ascii="Times New Roman" w:hAnsi="Times New Roman"/>
                <w:sz w:val="24"/>
              </w:rPr>
              <w:t>článku 92 ods. 3 písm. c) bode ii)</w:t>
            </w:r>
            <w:r w:rsidR="009912F8" w:rsidRPr="00E07C9A">
              <w:rPr>
                <w:rFonts w:ascii="Times New Roman" w:hAnsi="Times New Roman"/>
                <w:sz w:val="24"/>
              </w:rPr>
              <w:t xml:space="preserve"> a </w:t>
            </w:r>
            <w:r w:rsidRPr="00E07C9A">
              <w:rPr>
                <w:rFonts w:ascii="Times New Roman" w:hAnsi="Times New Roman"/>
                <w:sz w:val="24"/>
              </w:rPr>
              <w:t xml:space="preserve">článku 378 nariadenia (EÚ) </w:t>
            </w:r>
            <w:r w:rsidR="009912F8" w:rsidRPr="00E07C9A">
              <w:rPr>
                <w:rFonts w:ascii="Times New Roman" w:hAnsi="Times New Roman"/>
                <w:sz w:val="24"/>
              </w:rPr>
              <w:t>č. 575/2013</w:t>
            </w:r>
            <w:r w:rsidRPr="00E07C9A">
              <w:rPr>
                <w:rFonts w:ascii="Times New Roman" w:hAnsi="Times New Roman"/>
                <w:sz w:val="24"/>
              </w:rPr>
              <w:t>].</w:t>
            </w:r>
          </w:p>
          <w:p w14:paraId="1B06A67B" w14:textId="1A12FB60" w:rsidR="00745369" w:rsidRPr="00E07C9A" w:rsidRDefault="00612780" w:rsidP="00450A2E">
            <w:pPr>
              <w:spacing w:beforeLines="60" w:before="144"/>
              <w:rPr>
                <w:rFonts w:ascii="Times New Roman" w:hAnsi="Times New Roman"/>
                <w:sz w:val="24"/>
              </w:rPr>
            </w:pPr>
            <w:r w:rsidRPr="00E07C9A">
              <w:rPr>
                <w:rFonts w:ascii="Times New Roman" w:hAnsi="Times New Roman"/>
                <w:sz w:val="24"/>
              </w:rPr>
              <w:t>Inštitúcie vykazujú</w:t>
            </w:r>
            <w:r w:rsidR="009912F8" w:rsidRPr="00E07C9A">
              <w:rPr>
                <w:rFonts w:ascii="Times New Roman" w:hAnsi="Times New Roman"/>
                <w:sz w:val="24"/>
              </w:rPr>
              <w:t xml:space="preserve"> v </w:t>
            </w:r>
            <w:r w:rsidRPr="00E07C9A">
              <w:rPr>
                <w:rFonts w:ascii="Times New Roman" w:hAnsi="Times New Roman"/>
                <w:sz w:val="24"/>
              </w:rPr>
              <w:t>{r0010;c0010} súhrnnú hodnotu transakcií nevyrovnaných po riadnom dátume ich dodania</w:t>
            </w:r>
            <w:r w:rsidR="009912F8" w:rsidRPr="00E07C9A">
              <w:rPr>
                <w:rFonts w:ascii="Times New Roman" w:hAnsi="Times New Roman"/>
                <w:sz w:val="24"/>
              </w:rPr>
              <w:t xml:space="preserve"> v </w:t>
            </w:r>
            <w:r w:rsidRPr="00E07C9A">
              <w:rPr>
                <w:rFonts w:ascii="Times New Roman" w:hAnsi="Times New Roman"/>
                <w:sz w:val="24"/>
              </w:rPr>
              <w:t>príslušných dohodnutých cenách vyrovnania.</w:t>
            </w:r>
          </w:p>
          <w:p w14:paraId="692D807E" w14:textId="4F8A580C" w:rsidR="00745369" w:rsidRPr="00E07C9A" w:rsidRDefault="00612780" w:rsidP="00450A2E">
            <w:pPr>
              <w:spacing w:beforeLines="60" w:before="144"/>
              <w:rPr>
                <w:rFonts w:ascii="Times New Roman" w:hAnsi="Times New Roman"/>
                <w:sz w:val="24"/>
              </w:rPr>
            </w:pPr>
            <w:r w:rsidRPr="00E07C9A">
              <w:rPr>
                <w:rFonts w:ascii="Times New Roman" w:hAnsi="Times New Roman"/>
                <w:sz w:val="24"/>
              </w:rPr>
              <w:t>Inštitúcie vykazujú</w:t>
            </w:r>
            <w:r w:rsidR="009912F8" w:rsidRPr="00E07C9A">
              <w:rPr>
                <w:rFonts w:ascii="Times New Roman" w:hAnsi="Times New Roman"/>
                <w:sz w:val="24"/>
              </w:rPr>
              <w:t xml:space="preserve"> v </w:t>
            </w:r>
            <w:r w:rsidRPr="00E07C9A">
              <w:rPr>
                <w:rFonts w:ascii="Times New Roman" w:hAnsi="Times New Roman"/>
                <w:sz w:val="24"/>
              </w:rPr>
              <w:t>{r0010;c0020} súhrnné informácie</w:t>
            </w:r>
            <w:r w:rsidR="009912F8" w:rsidRPr="00E07C9A">
              <w:rPr>
                <w:rFonts w:ascii="Times New Roman" w:hAnsi="Times New Roman"/>
                <w:sz w:val="24"/>
              </w:rPr>
              <w:t xml:space="preserve"> o </w:t>
            </w:r>
            <w:r w:rsidRPr="00E07C9A">
              <w:rPr>
                <w:rFonts w:ascii="Times New Roman" w:hAnsi="Times New Roman"/>
                <w:sz w:val="24"/>
              </w:rPr>
              <w:t>expozícii voči cenovému rozdielu</w:t>
            </w:r>
            <w:r w:rsidR="009912F8" w:rsidRPr="00E07C9A">
              <w:rPr>
                <w:rFonts w:ascii="Times New Roman" w:hAnsi="Times New Roman"/>
                <w:sz w:val="24"/>
              </w:rPr>
              <w:t xml:space="preserve"> z </w:t>
            </w:r>
            <w:r w:rsidRPr="00E07C9A">
              <w:rPr>
                <w:rFonts w:ascii="Times New Roman" w:hAnsi="Times New Roman"/>
                <w:sz w:val="24"/>
              </w:rPr>
              <w:t>nevyrovnaných transakcií predstavujúcich stratu.</w:t>
            </w:r>
          </w:p>
          <w:p w14:paraId="11A74A60" w14:textId="4055A235" w:rsidR="00745369" w:rsidRPr="00E07C9A" w:rsidRDefault="00612780" w:rsidP="00DF4FF2">
            <w:pPr>
              <w:spacing w:beforeLines="60" w:before="144" w:afterLines="60" w:after="144"/>
              <w:rPr>
                <w:rFonts w:ascii="Times New Roman" w:hAnsi="Times New Roman"/>
                <w:sz w:val="24"/>
              </w:rPr>
            </w:pPr>
            <w:r w:rsidRPr="00E07C9A">
              <w:rPr>
                <w:rFonts w:ascii="Times New Roman" w:hAnsi="Times New Roman"/>
                <w:sz w:val="24"/>
              </w:rPr>
              <w:t>Inštitúcie vykazujú</w:t>
            </w:r>
            <w:r w:rsidR="009912F8" w:rsidRPr="00E07C9A">
              <w:rPr>
                <w:rFonts w:ascii="Times New Roman" w:hAnsi="Times New Roman"/>
                <w:sz w:val="24"/>
              </w:rPr>
              <w:t xml:space="preserve"> v </w:t>
            </w:r>
            <w:r w:rsidRPr="00E07C9A">
              <w:rPr>
                <w:rFonts w:ascii="Times New Roman" w:hAnsi="Times New Roman"/>
                <w:sz w:val="24"/>
              </w:rPr>
              <w:t>{r0010;c0030} súhrnné požiadavky na vlastné zdroje, ktoré sa odvodzujú zo súčtu požiadaviek na vlastné zdroje pre nevyrovnané transakcie vynásobením „cenového rozdielu“ vykázaného</w:t>
            </w:r>
            <w:r w:rsidR="009912F8" w:rsidRPr="00E07C9A">
              <w:rPr>
                <w:rFonts w:ascii="Times New Roman" w:hAnsi="Times New Roman"/>
                <w:sz w:val="24"/>
              </w:rPr>
              <w:t xml:space="preserve"> v </w:t>
            </w:r>
            <w:r w:rsidRPr="00E07C9A">
              <w:rPr>
                <w:rFonts w:ascii="Times New Roman" w:hAnsi="Times New Roman"/>
                <w:sz w:val="24"/>
              </w:rPr>
              <w:t>stĺpci 0020 príslušným koeficientom podľa počtu pracovných dní po riadnom termíne vyrovnania [kategórie uvedené</w:t>
            </w:r>
            <w:r w:rsidR="009912F8" w:rsidRPr="00E07C9A">
              <w:rPr>
                <w:rFonts w:ascii="Times New Roman" w:hAnsi="Times New Roman"/>
                <w:sz w:val="24"/>
              </w:rPr>
              <w:t xml:space="preserve"> v </w:t>
            </w:r>
            <w:r w:rsidRPr="00E07C9A">
              <w:rPr>
                <w:rFonts w:ascii="Times New Roman" w:hAnsi="Times New Roman"/>
                <w:sz w:val="24"/>
              </w:rPr>
              <w:t xml:space="preserve">tabuľke 1 článku 378 nariadenia (EÚ) </w:t>
            </w:r>
            <w:r w:rsidR="009912F8" w:rsidRPr="00E07C9A">
              <w:rPr>
                <w:rFonts w:ascii="Times New Roman" w:hAnsi="Times New Roman"/>
                <w:sz w:val="24"/>
              </w:rPr>
              <w:t>č. 575/2013</w:t>
            </w:r>
            <w:r w:rsidRPr="00E07C9A">
              <w:rPr>
                <w:rFonts w:ascii="Times New Roman" w:hAnsi="Times New Roman"/>
                <w:sz w:val="24"/>
              </w:rPr>
              <w:t>].</w:t>
            </w:r>
          </w:p>
        </w:tc>
      </w:tr>
      <w:tr w:rsidR="00612780" w:rsidRPr="00E07C9A" w14:paraId="228C4371" w14:textId="77777777" w:rsidTr="00672D2A">
        <w:tc>
          <w:tcPr>
            <w:tcW w:w="852" w:type="dxa"/>
          </w:tcPr>
          <w:p w14:paraId="1077C09B" w14:textId="016EE432" w:rsidR="00745369" w:rsidRPr="00E07C9A" w:rsidRDefault="00612780" w:rsidP="00EA0BAB">
            <w:pPr>
              <w:spacing w:beforeLines="60" w:before="144" w:afterLines="60" w:after="144"/>
              <w:rPr>
                <w:rFonts w:ascii="Times New Roman" w:hAnsi="Times New Roman"/>
                <w:sz w:val="24"/>
              </w:rPr>
            </w:pPr>
            <w:r w:rsidRPr="00E07C9A">
              <w:rPr>
                <w:rFonts w:ascii="Times New Roman" w:hAnsi="Times New Roman"/>
                <w:sz w:val="24"/>
              </w:rPr>
              <w:t>0020 – 0060</w:t>
            </w:r>
          </w:p>
        </w:tc>
        <w:tc>
          <w:tcPr>
            <w:tcW w:w="8010" w:type="dxa"/>
          </w:tcPr>
          <w:p w14:paraId="65EA8115" w14:textId="0D7C5D76" w:rsidR="009912F8" w:rsidRPr="00E07C9A" w:rsidRDefault="00612780" w:rsidP="00450A2E">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Transakcie nevyrovnané do 4 dní (koeficient 0</w:t>
            </w:r>
            <w:r w:rsidR="009912F8" w:rsidRPr="00E07C9A">
              <w:rPr>
                <w:rStyle w:val="InstructionsTabelleberschrift"/>
                <w:rFonts w:ascii="Times New Roman" w:hAnsi="Times New Roman"/>
                <w:sz w:val="24"/>
              </w:rPr>
              <w:t> %</w:t>
            </w:r>
            <w:r w:rsidRPr="00E07C9A">
              <w:rPr>
                <w:rStyle w:val="InstructionsTabelleberschrift"/>
                <w:rFonts w:ascii="Times New Roman" w:hAnsi="Times New Roman"/>
                <w:sz w:val="24"/>
              </w:rPr>
              <w:t>)</w:t>
            </w:r>
          </w:p>
          <w:p w14:paraId="66BDE090" w14:textId="4284BA90" w:rsidR="00745369" w:rsidRPr="00E07C9A" w:rsidRDefault="00612780" w:rsidP="00450A2E">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Transakcie nevyrovnané od 5 do 15 dní (koeficient 8</w:t>
            </w:r>
            <w:r w:rsidR="009912F8" w:rsidRPr="00E07C9A">
              <w:rPr>
                <w:rStyle w:val="InstructionsTabelleberschrift"/>
                <w:rFonts w:ascii="Times New Roman" w:hAnsi="Times New Roman"/>
                <w:sz w:val="24"/>
              </w:rPr>
              <w:t> %</w:t>
            </w:r>
            <w:r w:rsidRPr="00E07C9A">
              <w:rPr>
                <w:rStyle w:val="InstructionsTabelleberschrift"/>
                <w:rFonts w:ascii="Times New Roman" w:hAnsi="Times New Roman"/>
                <w:sz w:val="24"/>
              </w:rPr>
              <w:t>)</w:t>
            </w:r>
          </w:p>
          <w:p w14:paraId="1D5CEDEC" w14:textId="101A6DB9" w:rsidR="00745369" w:rsidRPr="00E07C9A" w:rsidRDefault="00612780" w:rsidP="00450A2E">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Transakcie nevyrovnané od 16 do 30 dní (koeficient 50</w:t>
            </w:r>
            <w:r w:rsidR="009912F8" w:rsidRPr="00E07C9A">
              <w:rPr>
                <w:rStyle w:val="InstructionsTabelleberschrift"/>
                <w:rFonts w:ascii="Times New Roman" w:hAnsi="Times New Roman"/>
                <w:sz w:val="24"/>
              </w:rPr>
              <w:t> %</w:t>
            </w:r>
            <w:r w:rsidRPr="00E07C9A">
              <w:rPr>
                <w:rStyle w:val="InstructionsTabelleberschrift"/>
                <w:rFonts w:ascii="Times New Roman" w:hAnsi="Times New Roman"/>
                <w:sz w:val="24"/>
              </w:rPr>
              <w:t>)</w:t>
            </w:r>
          </w:p>
          <w:p w14:paraId="11204902" w14:textId="744D4E47" w:rsidR="00745369" w:rsidRPr="00E07C9A" w:rsidRDefault="00612780" w:rsidP="00450A2E">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Transakcie nevyrovnané od 31 do 45 dní (koeficient 75</w:t>
            </w:r>
            <w:r w:rsidR="009912F8" w:rsidRPr="00E07C9A">
              <w:rPr>
                <w:rStyle w:val="InstructionsTabelleberschrift"/>
                <w:rFonts w:ascii="Times New Roman" w:hAnsi="Times New Roman"/>
                <w:sz w:val="24"/>
              </w:rPr>
              <w:t> %</w:t>
            </w:r>
            <w:r w:rsidRPr="00E07C9A">
              <w:rPr>
                <w:rStyle w:val="InstructionsTabelleberschrift"/>
                <w:rFonts w:ascii="Times New Roman" w:hAnsi="Times New Roman"/>
                <w:sz w:val="24"/>
              </w:rPr>
              <w:t>)</w:t>
            </w:r>
          </w:p>
          <w:p w14:paraId="1E9D9623" w14:textId="06BCE5FF" w:rsidR="00745369" w:rsidRPr="00E07C9A" w:rsidRDefault="00612780" w:rsidP="00450A2E">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Transakcie nevyrovnané 46 dní alebo dlhšie (koeficient 100</w:t>
            </w:r>
            <w:r w:rsidR="009912F8" w:rsidRPr="00E07C9A">
              <w:rPr>
                <w:rStyle w:val="InstructionsTabelleberschrift"/>
                <w:rFonts w:ascii="Times New Roman" w:hAnsi="Times New Roman"/>
                <w:sz w:val="24"/>
              </w:rPr>
              <w:t> %</w:t>
            </w:r>
            <w:r w:rsidRPr="00E07C9A">
              <w:rPr>
                <w:rStyle w:val="InstructionsTabelleberschrift"/>
                <w:rFonts w:ascii="Times New Roman" w:hAnsi="Times New Roman"/>
                <w:sz w:val="24"/>
              </w:rPr>
              <w:t>)</w:t>
            </w:r>
          </w:p>
          <w:p w14:paraId="1032ECD1" w14:textId="231A69EF" w:rsidR="009912F8" w:rsidRPr="00E07C9A" w:rsidRDefault="00612780" w:rsidP="00450A2E">
            <w:pPr>
              <w:spacing w:beforeLines="60" w:before="144" w:afterLines="60" w:after="144"/>
              <w:rPr>
                <w:rFonts w:ascii="Times New Roman" w:hAnsi="Times New Roman"/>
                <w:sz w:val="24"/>
              </w:rPr>
            </w:pPr>
            <w:r w:rsidRPr="00E07C9A">
              <w:rPr>
                <w:rFonts w:ascii="Times New Roman" w:hAnsi="Times New Roman"/>
                <w:sz w:val="24"/>
              </w:rPr>
              <w:t>Inštitúcie</w:t>
            </w:r>
            <w:r w:rsidR="009912F8" w:rsidRPr="00E07C9A">
              <w:rPr>
                <w:rFonts w:ascii="Times New Roman" w:hAnsi="Times New Roman"/>
                <w:sz w:val="24"/>
              </w:rPr>
              <w:t xml:space="preserve"> v </w:t>
            </w:r>
            <w:r w:rsidRPr="00E07C9A">
              <w:rPr>
                <w:rFonts w:ascii="Times New Roman" w:hAnsi="Times New Roman"/>
                <w:sz w:val="24"/>
              </w:rPr>
              <w:t>riadkoch 0020 až 0060 vykazujú informácie týkajúce sa rizika vyrovnania/dodania pre pozície</w:t>
            </w:r>
            <w:r w:rsidR="009912F8" w:rsidRPr="00E07C9A">
              <w:rPr>
                <w:rFonts w:ascii="Times New Roman" w:hAnsi="Times New Roman"/>
                <w:sz w:val="24"/>
              </w:rPr>
              <w:t xml:space="preserve"> v </w:t>
            </w:r>
            <w:r w:rsidRPr="00E07C9A">
              <w:rPr>
                <w:rFonts w:ascii="Times New Roman" w:hAnsi="Times New Roman"/>
                <w:sz w:val="24"/>
              </w:rPr>
              <w:t>neobchodnej knihe podľa kategórií uvedených</w:t>
            </w:r>
            <w:r w:rsidR="009912F8" w:rsidRPr="00E07C9A">
              <w:rPr>
                <w:rFonts w:ascii="Times New Roman" w:hAnsi="Times New Roman"/>
                <w:sz w:val="24"/>
              </w:rPr>
              <w:t xml:space="preserve"> v </w:t>
            </w:r>
            <w:r w:rsidRPr="00E07C9A">
              <w:rPr>
                <w:rFonts w:ascii="Times New Roman" w:hAnsi="Times New Roman"/>
                <w:sz w:val="24"/>
              </w:rPr>
              <w:t xml:space="preserve">tabuľke 1 článku 378 nariadenia (EÚ) </w:t>
            </w:r>
            <w:r w:rsidR="009912F8" w:rsidRPr="00E07C9A">
              <w:rPr>
                <w:rFonts w:ascii="Times New Roman" w:hAnsi="Times New Roman"/>
                <w:sz w:val="24"/>
              </w:rPr>
              <w:t>č. 575/2013.</w:t>
            </w:r>
          </w:p>
          <w:p w14:paraId="6ACF01FD" w14:textId="5DC9579C" w:rsidR="00745369" w:rsidRPr="00E07C9A" w:rsidRDefault="00612780" w:rsidP="00450A2E">
            <w:pPr>
              <w:spacing w:beforeLines="60" w:before="144" w:afterLines="60" w:after="144"/>
              <w:rPr>
                <w:rFonts w:ascii="Times New Roman" w:hAnsi="Times New Roman"/>
                <w:sz w:val="24"/>
              </w:rPr>
            </w:pPr>
            <w:r w:rsidRPr="00E07C9A">
              <w:rPr>
                <w:rFonts w:ascii="Times New Roman" w:hAnsi="Times New Roman"/>
                <w:sz w:val="24"/>
              </w:rPr>
              <w:t>V prípade transakcií, ktoré sú nevyrovnané menej než 5 pracovných dní po riadnom termíne vyrovnania, sa nevyžadujú požiadavky na vlastné zdroje pre riziko vyrovnania/dodania.</w:t>
            </w:r>
          </w:p>
        </w:tc>
      </w:tr>
      <w:tr w:rsidR="00612780" w:rsidRPr="00E07C9A" w14:paraId="524F0B99" w14:textId="77777777" w:rsidTr="00672D2A">
        <w:tc>
          <w:tcPr>
            <w:tcW w:w="852" w:type="dxa"/>
          </w:tcPr>
          <w:p w14:paraId="7A041BB1" w14:textId="77777777" w:rsidR="00745369" w:rsidRPr="00E07C9A" w:rsidRDefault="00612780" w:rsidP="00EA0BAB">
            <w:pPr>
              <w:spacing w:beforeLines="60" w:before="144" w:afterLines="60" w:after="144"/>
              <w:rPr>
                <w:rFonts w:ascii="Times New Roman" w:hAnsi="Times New Roman"/>
                <w:sz w:val="24"/>
              </w:rPr>
            </w:pPr>
            <w:r w:rsidRPr="00E07C9A">
              <w:rPr>
                <w:rFonts w:ascii="Times New Roman" w:hAnsi="Times New Roman"/>
                <w:sz w:val="24"/>
              </w:rPr>
              <w:t>0070</w:t>
            </w:r>
          </w:p>
        </w:tc>
        <w:tc>
          <w:tcPr>
            <w:tcW w:w="8010" w:type="dxa"/>
          </w:tcPr>
          <w:p w14:paraId="0AA746BF" w14:textId="0AA1DBF9" w:rsidR="00745369" w:rsidRPr="00E07C9A" w:rsidRDefault="00612780" w:rsidP="00450A2E">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Celkové nevyrovnané transakcie</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obchodnej knihe</w:t>
            </w:r>
          </w:p>
          <w:p w14:paraId="4E51C129" w14:textId="185D8072" w:rsidR="00745369" w:rsidRPr="00E07C9A" w:rsidRDefault="00612780" w:rsidP="00450A2E">
            <w:pPr>
              <w:spacing w:beforeLines="60" w:before="144" w:afterLines="60" w:after="144"/>
              <w:rPr>
                <w:rFonts w:ascii="Times New Roman" w:hAnsi="Times New Roman"/>
                <w:sz w:val="24"/>
              </w:rPr>
            </w:pPr>
            <w:r w:rsidRPr="00E07C9A">
              <w:rPr>
                <w:rFonts w:ascii="Times New Roman" w:hAnsi="Times New Roman"/>
                <w:sz w:val="24"/>
              </w:rPr>
              <w:t>Inštitúcie vykazujú súhrnné informácie</w:t>
            </w:r>
            <w:r w:rsidR="009912F8" w:rsidRPr="00E07C9A">
              <w:rPr>
                <w:rFonts w:ascii="Times New Roman" w:hAnsi="Times New Roman"/>
                <w:sz w:val="24"/>
              </w:rPr>
              <w:t xml:space="preserve"> o </w:t>
            </w:r>
            <w:r w:rsidRPr="00E07C9A">
              <w:rPr>
                <w:rFonts w:ascii="Times New Roman" w:hAnsi="Times New Roman"/>
                <w:sz w:val="24"/>
              </w:rPr>
              <w:t>riziku vyrovnania/dodania pre pozície</w:t>
            </w:r>
            <w:r w:rsidR="009912F8" w:rsidRPr="00E07C9A">
              <w:rPr>
                <w:rFonts w:ascii="Times New Roman" w:hAnsi="Times New Roman"/>
                <w:sz w:val="24"/>
              </w:rPr>
              <w:t xml:space="preserve"> v </w:t>
            </w:r>
            <w:r w:rsidRPr="00E07C9A">
              <w:rPr>
                <w:rFonts w:ascii="Times New Roman" w:hAnsi="Times New Roman"/>
                <w:sz w:val="24"/>
              </w:rPr>
              <w:t>obchodnej knihe [ako sa uvádza</w:t>
            </w:r>
            <w:r w:rsidR="009912F8" w:rsidRPr="00E07C9A">
              <w:rPr>
                <w:rFonts w:ascii="Times New Roman" w:hAnsi="Times New Roman"/>
                <w:sz w:val="24"/>
              </w:rPr>
              <w:t xml:space="preserve"> v </w:t>
            </w:r>
            <w:r w:rsidRPr="00E07C9A">
              <w:rPr>
                <w:rFonts w:ascii="Times New Roman" w:hAnsi="Times New Roman"/>
                <w:sz w:val="24"/>
              </w:rPr>
              <w:t>článku 92 ods. 3 písm. c) bode ii)</w:t>
            </w:r>
            <w:r w:rsidR="009912F8" w:rsidRPr="00E07C9A">
              <w:rPr>
                <w:rFonts w:ascii="Times New Roman" w:hAnsi="Times New Roman"/>
                <w:sz w:val="24"/>
              </w:rPr>
              <w:t xml:space="preserve"> a </w:t>
            </w:r>
            <w:r w:rsidRPr="00E07C9A">
              <w:rPr>
                <w:rFonts w:ascii="Times New Roman" w:hAnsi="Times New Roman"/>
                <w:sz w:val="24"/>
              </w:rPr>
              <w:t xml:space="preserve">článku 378 nariadenia (EÚ) </w:t>
            </w:r>
            <w:r w:rsidR="009912F8" w:rsidRPr="00E07C9A">
              <w:rPr>
                <w:rFonts w:ascii="Times New Roman" w:hAnsi="Times New Roman"/>
                <w:sz w:val="24"/>
              </w:rPr>
              <w:t>č. 575/2013</w:t>
            </w:r>
            <w:r w:rsidRPr="00E07C9A">
              <w:rPr>
                <w:rFonts w:ascii="Times New Roman" w:hAnsi="Times New Roman"/>
                <w:sz w:val="24"/>
              </w:rPr>
              <w:t>].</w:t>
            </w:r>
          </w:p>
          <w:p w14:paraId="316C2F71" w14:textId="209036EB" w:rsidR="00745369" w:rsidRPr="00E07C9A" w:rsidRDefault="00612780" w:rsidP="00450A2E">
            <w:pPr>
              <w:spacing w:beforeLines="60" w:before="144" w:afterLines="60" w:after="144"/>
              <w:rPr>
                <w:rFonts w:ascii="Times New Roman" w:hAnsi="Times New Roman"/>
                <w:sz w:val="24"/>
              </w:rPr>
            </w:pPr>
            <w:r w:rsidRPr="00E07C9A">
              <w:rPr>
                <w:rFonts w:ascii="Times New Roman" w:hAnsi="Times New Roman"/>
                <w:sz w:val="24"/>
              </w:rPr>
              <w:t>Inštitúcie vykazujú</w:t>
            </w:r>
            <w:r w:rsidR="009912F8" w:rsidRPr="00E07C9A">
              <w:rPr>
                <w:rFonts w:ascii="Times New Roman" w:hAnsi="Times New Roman"/>
                <w:sz w:val="24"/>
              </w:rPr>
              <w:t xml:space="preserve"> v </w:t>
            </w:r>
            <w:r w:rsidRPr="00E07C9A">
              <w:rPr>
                <w:rFonts w:ascii="Times New Roman" w:hAnsi="Times New Roman"/>
                <w:sz w:val="24"/>
              </w:rPr>
              <w:t>{r0070;c0010} súhrnnú hodnotu transakcií nevyrovnaných po riadnom dátume ich dodania</w:t>
            </w:r>
            <w:r w:rsidR="009912F8" w:rsidRPr="00E07C9A">
              <w:rPr>
                <w:rFonts w:ascii="Times New Roman" w:hAnsi="Times New Roman"/>
                <w:sz w:val="24"/>
              </w:rPr>
              <w:t xml:space="preserve"> v </w:t>
            </w:r>
            <w:r w:rsidRPr="00E07C9A">
              <w:rPr>
                <w:rFonts w:ascii="Times New Roman" w:hAnsi="Times New Roman"/>
                <w:sz w:val="24"/>
              </w:rPr>
              <w:t>príslušných dohodnutých cenách vyrovnania.</w:t>
            </w:r>
          </w:p>
          <w:p w14:paraId="1E64CAF5" w14:textId="5C9045F4" w:rsidR="00745369" w:rsidRPr="00E07C9A" w:rsidRDefault="00612780" w:rsidP="00450A2E">
            <w:pPr>
              <w:spacing w:beforeLines="60" w:before="144" w:afterLines="60" w:after="144"/>
              <w:rPr>
                <w:rFonts w:ascii="Times New Roman" w:hAnsi="Times New Roman"/>
                <w:sz w:val="24"/>
              </w:rPr>
            </w:pPr>
            <w:r w:rsidRPr="00E07C9A">
              <w:rPr>
                <w:rFonts w:ascii="Times New Roman" w:hAnsi="Times New Roman"/>
                <w:sz w:val="24"/>
              </w:rPr>
              <w:t>Inštitúcie vykazujú</w:t>
            </w:r>
            <w:r w:rsidR="009912F8" w:rsidRPr="00E07C9A">
              <w:rPr>
                <w:rFonts w:ascii="Times New Roman" w:hAnsi="Times New Roman"/>
                <w:sz w:val="24"/>
              </w:rPr>
              <w:t xml:space="preserve"> v </w:t>
            </w:r>
            <w:r w:rsidRPr="00E07C9A">
              <w:rPr>
                <w:rFonts w:ascii="Times New Roman" w:hAnsi="Times New Roman"/>
                <w:sz w:val="24"/>
              </w:rPr>
              <w:t>{r0070;c0020} súhrnné informácie</w:t>
            </w:r>
            <w:r w:rsidR="009912F8" w:rsidRPr="00E07C9A">
              <w:rPr>
                <w:rFonts w:ascii="Times New Roman" w:hAnsi="Times New Roman"/>
                <w:sz w:val="24"/>
              </w:rPr>
              <w:t xml:space="preserve"> o </w:t>
            </w:r>
            <w:r w:rsidRPr="00E07C9A">
              <w:rPr>
                <w:rFonts w:ascii="Times New Roman" w:hAnsi="Times New Roman"/>
                <w:sz w:val="24"/>
              </w:rPr>
              <w:t>expozícii voči cenovému rozdielu</w:t>
            </w:r>
            <w:r w:rsidR="009912F8" w:rsidRPr="00E07C9A">
              <w:rPr>
                <w:rFonts w:ascii="Times New Roman" w:hAnsi="Times New Roman"/>
                <w:sz w:val="24"/>
              </w:rPr>
              <w:t xml:space="preserve"> z </w:t>
            </w:r>
            <w:r w:rsidRPr="00E07C9A">
              <w:rPr>
                <w:rFonts w:ascii="Times New Roman" w:hAnsi="Times New Roman"/>
                <w:sz w:val="24"/>
              </w:rPr>
              <w:t>nevyrovnaných transakcií predstavujúcich stratu.</w:t>
            </w:r>
          </w:p>
          <w:p w14:paraId="1BCAE8BB" w14:textId="0AFBB499" w:rsidR="00745369" w:rsidRPr="00E07C9A" w:rsidRDefault="00612780" w:rsidP="00DF4FF2">
            <w:pPr>
              <w:spacing w:beforeLines="60" w:before="144" w:afterLines="60" w:after="144"/>
              <w:rPr>
                <w:rFonts w:ascii="Times New Roman" w:hAnsi="Times New Roman"/>
                <w:b/>
                <w:sz w:val="24"/>
              </w:rPr>
            </w:pPr>
            <w:r w:rsidRPr="00E07C9A">
              <w:rPr>
                <w:rFonts w:ascii="Times New Roman" w:hAnsi="Times New Roman"/>
                <w:sz w:val="24"/>
              </w:rPr>
              <w:t>Inštitúcie vykazujú</w:t>
            </w:r>
            <w:r w:rsidR="009912F8" w:rsidRPr="00E07C9A">
              <w:rPr>
                <w:rFonts w:ascii="Times New Roman" w:hAnsi="Times New Roman"/>
                <w:sz w:val="24"/>
              </w:rPr>
              <w:t xml:space="preserve"> v </w:t>
            </w:r>
            <w:r w:rsidRPr="00E07C9A">
              <w:rPr>
                <w:rFonts w:ascii="Times New Roman" w:hAnsi="Times New Roman"/>
                <w:sz w:val="24"/>
              </w:rPr>
              <w:t>{r0070;c0030} súhrnné požiadavky na vlastné zdroje, ktoré sa odvodzujú zo súčtu požiadaviek na vlastné zdroje pre nevyrovnané transakcie vynásobením „cenového rozdielu“ vykázaného</w:t>
            </w:r>
            <w:r w:rsidR="009912F8" w:rsidRPr="00E07C9A">
              <w:rPr>
                <w:rFonts w:ascii="Times New Roman" w:hAnsi="Times New Roman"/>
                <w:sz w:val="24"/>
              </w:rPr>
              <w:t xml:space="preserve"> v </w:t>
            </w:r>
            <w:r w:rsidRPr="00E07C9A">
              <w:rPr>
                <w:rFonts w:ascii="Times New Roman" w:hAnsi="Times New Roman"/>
                <w:sz w:val="24"/>
              </w:rPr>
              <w:t>stĺpci 0020 príslušným koeficientom podľa počtu pracovných dní po riadnom termíne vyrovnania [kategórie uvedené</w:t>
            </w:r>
            <w:r w:rsidR="009912F8" w:rsidRPr="00E07C9A">
              <w:rPr>
                <w:rFonts w:ascii="Times New Roman" w:hAnsi="Times New Roman"/>
                <w:sz w:val="24"/>
              </w:rPr>
              <w:t xml:space="preserve"> v </w:t>
            </w:r>
            <w:r w:rsidRPr="00E07C9A">
              <w:rPr>
                <w:rFonts w:ascii="Times New Roman" w:hAnsi="Times New Roman"/>
                <w:sz w:val="24"/>
              </w:rPr>
              <w:t xml:space="preserve">tabuľke 1 článku 378 nariadenia (EÚ) </w:t>
            </w:r>
            <w:r w:rsidR="009912F8" w:rsidRPr="00E07C9A">
              <w:rPr>
                <w:rFonts w:ascii="Times New Roman" w:hAnsi="Times New Roman"/>
                <w:sz w:val="24"/>
              </w:rPr>
              <w:t>č. 575/2013</w:t>
            </w:r>
            <w:r w:rsidRPr="00E07C9A">
              <w:rPr>
                <w:rFonts w:ascii="Times New Roman" w:hAnsi="Times New Roman"/>
                <w:sz w:val="24"/>
              </w:rPr>
              <w:t>].</w:t>
            </w:r>
          </w:p>
        </w:tc>
      </w:tr>
      <w:tr w:rsidR="00612780" w:rsidRPr="00E07C9A" w14:paraId="4C2BECA0" w14:textId="77777777" w:rsidTr="00672D2A">
        <w:tc>
          <w:tcPr>
            <w:tcW w:w="852" w:type="dxa"/>
          </w:tcPr>
          <w:p w14:paraId="3D7CD93B" w14:textId="163501AC" w:rsidR="00745369" w:rsidRPr="00E07C9A" w:rsidRDefault="00612780" w:rsidP="00EA0BAB">
            <w:pPr>
              <w:spacing w:beforeLines="60" w:before="144" w:afterLines="60" w:after="144"/>
              <w:rPr>
                <w:rFonts w:ascii="Times New Roman" w:hAnsi="Times New Roman"/>
                <w:sz w:val="24"/>
              </w:rPr>
            </w:pPr>
            <w:r w:rsidRPr="00E07C9A">
              <w:rPr>
                <w:rFonts w:ascii="Times New Roman" w:hAnsi="Times New Roman"/>
                <w:sz w:val="24"/>
              </w:rPr>
              <w:t>0080 – 0120</w:t>
            </w:r>
          </w:p>
        </w:tc>
        <w:tc>
          <w:tcPr>
            <w:tcW w:w="8010" w:type="dxa"/>
          </w:tcPr>
          <w:p w14:paraId="35839500" w14:textId="251A5FCE" w:rsidR="009912F8" w:rsidRPr="00E07C9A" w:rsidRDefault="00612780" w:rsidP="00450A2E">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Transakcie nevyrovnané do 4 dní (koeficient 0</w:t>
            </w:r>
            <w:r w:rsidR="009912F8" w:rsidRPr="00E07C9A">
              <w:rPr>
                <w:rStyle w:val="InstructionsTabelleberschrift"/>
                <w:rFonts w:ascii="Times New Roman" w:hAnsi="Times New Roman"/>
                <w:sz w:val="24"/>
              </w:rPr>
              <w:t> %</w:t>
            </w:r>
            <w:r w:rsidRPr="00E07C9A">
              <w:rPr>
                <w:rStyle w:val="InstructionsTabelleberschrift"/>
                <w:rFonts w:ascii="Times New Roman" w:hAnsi="Times New Roman"/>
                <w:sz w:val="24"/>
              </w:rPr>
              <w:t>)</w:t>
            </w:r>
          </w:p>
          <w:p w14:paraId="00E7E63B" w14:textId="6F1F70D3" w:rsidR="00745369" w:rsidRPr="00E07C9A" w:rsidRDefault="00612780" w:rsidP="00450A2E">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Transakcie nevyrovnané od 5 do 15 dní (koeficient 8</w:t>
            </w:r>
            <w:r w:rsidR="009912F8" w:rsidRPr="00E07C9A">
              <w:rPr>
                <w:rStyle w:val="InstructionsTabelleberschrift"/>
                <w:rFonts w:ascii="Times New Roman" w:hAnsi="Times New Roman"/>
                <w:sz w:val="24"/>
              </w:rPr>
              <w:t> %</w:t>
            </w:r>
            <w:r w:rsidRPr="00E07C9A">
              <w:rPr>
                <w:rStyle w:val="InstructionsTabelleberschrift"/>
                <w:rFonts w:ascii="Times New Roman" w:hAnsi="Times New Roman"/>
                <w:sz w:val="24"/>
              </w:rPr>
              <w:t>)</w:t>
            </w:r>
          </w:p>
          <w:p w14:paraId="5B781E9A" w14:textId="1B47E692" w:rsidR="00745369" w:rsidRPr="00E07C9A" w:rsidRDefault="00612780" w:rsidP="00450A2E">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Transakcie nevyrovnané od 16 do 30 dní (koeficient 50</w:t>
            </w:r>
            <w:r w:rsidR="009912F8" w:rsidRPr="00E07C9A">
              <w:rPr>
                <w:rStyle w:val="InstructionsTabelleberschrift"/>
                <w:rFonts w:ascii="Times New Roman" w:hAnsi="Times New Roman"/>
                <w:sz w:val="24"/>
              </w:rPr>
              <w:t> %</w:t>
            </w:r>
            <w:r w:rsidRPr="00E07C9A">
              <w:rPr>
                <w:rStyle w:val="InstructionsTabelleberschrift"/>
                <w:rFonts w:ascii="Times New Roman" w:hAnsi="Times New Roman"/>
                <w:sz w:val="24"/>
              </w:rPr>
              <w:t>)</w:t>
            </w:r>
          </w:p>
          <w:p w14:paraId="2A3AEA7E" w14:textId="3753A0CD" w:rsidR="00745369" w:rsidRPr="00E07C9A" w:rsidRDefault="00612780" w:rsidP="00450A2E">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Transakcie nevyrovnané od 31 do 45 dní (koeficient 75</w:t>
            </w:r>
            <w:r w:rsidR="009912F8" w:rsidRPr="00E07C9A">
              <w:rPr>
                <w:rStyle w:val="InstructionsTabelleberschrift"/>
                <w:rFonts w:ascii="Times New Roman" w:hAnsi="Times New Roman"/>
                <w:sz w:val="24"/>
              </w:rPr>
              <w:t> %</w:t>
            </w:r>
            <w:r w:rsidRPr="00E07C9A">
              <w:rPr>
                <w:rStyle w:val="InstructionsTabelleberschrift"/>
                <w:rFonts w:ascii="Times New Roman" w:hAnsi="Times New Roman"/>
                <w:sz w:val="24"/>
              </w:rPr>
              <w:t>)</w:t>
            </w:r>
          </w:p>
          <w:p w14:paraId="31429BF9" w14:textId="7E1127DD" w:rsidR="00745369" w:rsidRPr="00E07C9A" w:rsidRDefault="00612780" w:rsidP="00450A2E">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Transakcie nevyrovnané 46 dní alebo dlhšie (koeficient 100</w:t>
            </w:r>
            <w:r w:rsidR="009912F8" w:rsidRPr="00E07C9A">
              <w:rPr>
                <w:rStyle w:val="InstructionsTabelleberschrift"/>
                <w:rFonts w:ascii="Times New Roman" w:hAnsi="Times New Roman"/>
                <w:sz w:val="24"/>
              </w:rPr>
              <w:t> %</w:t>
            </w:r>
            <w:r w:rsidRPr="00E07C9A">
              <w:rPr>
                <w:rStyle w:val="InstructionsTabelleberschrift"/>
                <w:rFonts w:ascii="Times New Roman" w:hAnsi="Times New Roman"/>
                <w:sz w:val="24"/>
              </w:rPr>
              <w:t>)</w:t>
            </w:r>
          </w:p>
          <w:p w14:paraId="68A78BB9" w14:textId="7F2050FD" w:rsidR="009912F8" w:rsidRPr="00E07C9A" w:rsidRDefault="00612780" w:rsidP="00450A2E">
            <w:pPr>
              <w:spacing w:beforeLines="60" w:before="144" w:afterLines="60" w:after="144"/>
              <w:rPr>
                <w:rFonts w:ascii="Times New Roman" w:hAnsi="Times New Roman"/>
                <w:sz w:val="24"/>
              </w:rPr>
            </w:pPr>
            <w:r w:rsidRPr="00E07C9A">
              <w:rPr>
                <w:rFonts w:ascii="Times New Roman" w:hAnsi="Times New Roman"/>
                <w:sz w:val="24"/>
              </w:rPr>
              <w:t>Inštitúcie</w:t>
            </w:r>
            <w:r w:rsidR="009912F8" w:rsidRPr="00E07C9A">
              <w:rPr>
                <w:rFonts w:ascii="Times New Roman" w:hAnsi="Times New Roman"/>
                <w:sz w:val="24"/>
              </w:rPr>
              <w:t xml:space="preserve"> v </w:t>
            </w:r>
            <w:r w:rsidRPr="00E07C9A">
              <w:rPr>
                <w:rFonts w:ascii="Times New Roman" w:hAnsi="Times New Roman"/>
                <w:sz w:val="24"/>
              </w:rPr>
              <w:t>riadkoch 0080 až 0120 vykazujú informácie týkajúce sa rizika vyrovnania/dodania pre pozície</w:t>
            </w:r>
            <w:r w:rsidR="009912F8" w:rsidRPr="00E07C9A">
              <w:rPr>
                <w:rFonts w:ascii="Times New Roman" w:hAnsi="Times New Roman"/>
                <w:sz w:val="24"/>
              </w:rPr>
              <w:t xml:space="preserve"> v </w:t>
            </w:r>
            <w:r w:rsidRPr="00E07C9A">
              <w:rPr>
                <w:rFonts w:ascii="Times New Roman" w:hAnsi="Times New Roman"/>
                <w:sz w:val="24"/>
              </w:rPr>
              <w:t>obchodnej knihe podľa kategórií uvedených</w:t>
            </w:r>
            <w:r w:rsidR="009912F8" w:rsidRPr="00E07C9A">
              <w:rPr>
                <w:rFonts w:ascii="Times New Roman" w:hAnsi="Times New Roman"/>
                <w:sz w:val="24"/>
              </w:rPr>
              <w:t xml:space="preserve"> v </w:t>
            </w:r>
            <w:r w:rsidRPr="00E07C9A">
              <w:rPr>
                <w:rFonts w:ascii="Times New Roman" w:hAnsi="Times New Roman"/>
                <w:sz w:val="24"/>
              </w:rPr>
              <w:t xml:space="preserve">tabuľke 1 článku 378 nariadenia (EÚ) </w:t>
            </w:r>
            <w:r w:rsidR="009912F8" w:rsidRPr="00E07C9A">
              <w:rPr>
                <w:rFonts w:ascii="Times New Roman" w:hAnsi="Times New Roman"/>
                <w:sz w:val="24"/>
              </w:rPr>
              <w:t>č. 575/2013.</w:t>
            </w:r>
          </w:p>
          <w:p w14:paraId="68DB9D3C" w14:textId="0CB3CC0B" w:rsidR="00745369" w:rsidRPr="00E07C9A" w:rsidRDefault="00612780" w:rsidP="00D021AF">
            <w:pPr>
              <w:spacing w:beforeLines="60" w:before="144" w:afterLines="60" w:after="144"/>
              <w:rPr>
                <w:rFonts w:ascii="Times New Roman" w:hAnsi="Times New Roman"/>
                <w:b/>
                <w:sz w:val="24"/>
              </w:rPr>
            </w:pPr>
            <w:r w:rsidRPr="00E07C9A">
              <w:rPr>
                <w:rFonts w:ascii="Times New Roman" w:hAnsi="Times New Roman"/>
                <w:sz w:val="24"/>
              </w:rPr>
              <w:t>V prípade transakcií, ktoré sú nevyrovnané menej než 5 pracovných dní po riadnom termíne vyrovnania, sa nevyžadujú požiadavky na vlastné zdroje pre riziko vyrovnania/dodania.</w:t>
            </w:r>
          </w:p>
        </w:tc>
      </w:tr>
    </w:tbl>
    <w:p w14:paraId="4C218A32" w14:textId="77777777" w:rsidR="00612780" w:rsidRPr="00E07C9A" w:rsidRDefault="00612780" w:rsidP="00612780">
      <w:pPr>
        <w:spacing w:after="0"/>
        <w:rPr>
          <w:rFonts w:ascii="Times New Roman" w:hAnsi="Times New Roman"/>
          <w:sz w:val="24"/>
        </w:rPr>
      </w:pPr>
    </w:p>
    <w:p w14:paraId="3DBF725C" w14:textId="77777777" w:rsidR="00612780" w:rsidRPr="00E07C9A" w:rsidRDefault="00612780">
      <w:pPr>
        <w:spacing w:before="0" w:after="0"/>
        <w:jc w:val="left"/>
        <w:rPr>
          <w:rStyle w:val="InstructionsTabelleText"/>
          <w:rFonts w:ascii="Times New Roman" w:hAnsi="Times New Roman"/>
          <w:sz w:val="24"/>
        </w:rPr>
      </w:pPr>
      <w:r w:rsidRPr="00E07C9A">
        <w:rPr>
          <w:rFonts w:ascii="Times New Roman" w:hAnsi="Times New Roman"/>
        </w:rPr>
        <w:br w:type="page"/>
      </w:r>
    </w:p>
    <w:p w14:paraId="74931739" w14:textId="77777777" w:rsidR="00612780" w:rsidRPr="00E07C9A" w:rsidRDefault="00612780" w:rsidP="00612780">
      <w:pPr>
        <w:autoSpaceDE w:val="0"/>
        <w:autoSpaceDN w:val="0"/>
        <w:adjustRightInd w:val="0"/>
        <w:spacing w:before="0" w:after="0"/>
        <w:jc w:val="left"/>
        <w:rPr>
          <w:rFonts w:ascii="Times New Roman" w:hAnsi="Times New Roman"/>
          <w:sz w:val="24"/>
          <w:lang w:eastAsia="es-ES_tradnl"/>
        </w:rPr>
      </w:pPr>
    </w:p>
    <w:p w14:paraId="49EEE3D0" w14:textId="77777777" w:rsidR="00E026FB" w:rsidRPr="00E07C9A" w:rsidRDefault="00E026FB" w:rsidP="00E026FB">
      <w:pPr>
        <w:pStyle w:val="Instructionsberschrift2"/>
        <w:numPr>
          <w:ilvl w:val="0"/>
          <w:numId w:val="0"/>
        </w:numPr>
        <w:ind w:left="357" w:hanging="357"/>
        <w:rPr>
          <w:rFonts w:ascii="Times New Roman" w:hAnsi="Times New Roman" w:cs="Times New Roman"/>
          <w:sz w:val="24"/>
        </w:rPr>
      </w:pPr>
      <w:bookmarkStart w:id="412" w:name="_Toc522019827"/>
      <w:bookmarkStart w:id="413" w:name="_Toc115857823"/>
      <w:r w:rsidRPr="00E07C9A">
        <w:rPr>
          <w:rFonts w:ascii="Times New Roman" w:hAnsi="Times New Roman" w:cs="Times New Roman"/>
          <w:sz w:val="24"/>
          <w:u w:val="none"/>
        </w:rPr>
        <w:t>3.7.</w:t>
      </w:r>
      <w:r w:rsidRPr="00E07C9A">
        <w:rPr>
          <w:rFonts w:ascii="Times New Roman" w:hAnsi="Times New Roman" w:cs="Times New Roman"/>
          <w:u w:val="none"/>
        </w:rPr>
        <w:tab/>
      </w:r>
      <w:r w:rsidRPr="00E07C9A">
        <w:rPr>
          <w:rFonts w:ascii="Times New Roman" w:hAnsi="Times New Roman" w:cs="Times New Roman"/>
          <w:sz w:val="24"/>
        </w:rPr>
        <w:t>C 13.01 – Kreditné riziko – Sekuritizácie (CR SEC)</w:t>
      </w:r>
      <w:bookmarkEnd w:id="412"/>
      <w:bookmarkEnd w:id="413"/>
    </w:p>
    <w:p w14:paraId="6CA67103" w14:textId="77777777" w:rsidR="00E026FB" w:rsidRPr="00E07C9A" w:rsidRDefault="00E026FB" w:rsidP="00E026FB">
      <w:pPr>
        <w:pStyle w:val="Instructionsberschrift2"/>
        <w:numPr>
          <w:ilvl w:val="0"/>
          <w:numId w:val="0"/>
        </w:numPr>
        <w:ind w:left="357" w:hanging="357"/>
        <w:rPr>
          <w:rFonts w:ascii="Times New Roman" w:hAnsi="Times New Roman" w:cs="Times New Roman"/>
          <w:sz w:val="24"/>
        </w:rPr>
      </w:pPr>
      <w:bookmarkStart w:id="414" w:name="_Toc522019828"/>
      <w:bookmarkStart w:id="415" w:name="_Toc115857824"/>
      <w:r w:rsidRPr="00E07C9A">
        <w:rPr>
          <w:rFonts w:ascii="Times New Roman" w:hAnsi="Times New Roman" w:cs="Times New Roman"/>
          <w:sz w:val="24"/>
          <w:u w:val="none"/>
        </w:rPr>
        <w:t>3.7.1.</w:t>
      </w:r>
      <w:r w:rsidRPr="00E07C9A">
        <w:rPr>
          <w:rFonts w:ascii="Times New Roman" w:hAnsi="Times New Roman" w:cs="Times New Roman"/>
          <w:u w:val="none"/>
        </w:rPr>
        <w:tab/>
      </w:r>
      <w:r w:rsidRPr="00E07C9A">
        <w:rPr>
          <w:rFonts w:ascii="Times New Roman" w:hAnsi="Times New Roman" w:cs="Times New Roman"/>
          <w:sz w:val="24"/>
        </w:rPr>
        <w:t>Všeobecné poznámky</w:t>
      </w:r>
      <w:bookmarkEnd w:id="414"/>
      <w:bookmarkEnd w:id="415"/>
    </w:p>
    <w:p w14:paraId="1501F768" w14:textId="6973309A" w:rsidR="009912F8" w:rsidRPr="00E07C9A" w:rsidRDefault="002A18DE" w:rsidP="00487A02">
      <w:pPr>
        <w:pStyle w:val="InstructionsText2"/>
        <w:numPr>
          <w:ilvl w:val="0"/>
          <w:numId w:val="0"/>
        </w:numPr>
        <w:ind w:left="1353" w:hanging="360"/>
      </w:pPr>
      <w:fldSimple w:instr=" seq paragraphs ">
        <w:r w:rsidR="00132AEE">
          <w:rPr>
            <w:noProof/>
          </w:rPr>
          <w:t>106</w:t>
        </w:r>
      </w:fldSimple>
      <w:r w:rsidR="00C3070C" w:rsidRPr="00E07C9A">
        <w:t>. Keď inštitúcia vystupuje ako originátor, informácie</w:t>
      </w:r>
      <w:r w:rsidR="009912F8" w:rsidRPr="00E07C9A">
        <w:t xml:space="preserve"> v </w:t>
      </w:r>
      <w:r w:rsidR="00C3070C" w:rsidRPr="00E07C9A">
        <w:t>tomto vzore sa vyžadujú pre všetky sekuritizácie, pri ktorých sa uznal prenos významného rizika. Keď inštitúcia vystupuje ako investor, vykazujú sa všetky expozície</w:t>
      </w:r>
      <w:r w:rsidR="009912F8" w:rsidRPr="00E07C9A">
        <w:t>.</w:t>
      </w:r>
    </w:p>
    <w:p w14:paraId="686E6583" w14:textId="7606CE7E" w:rsidR="00E026FB" w:rsidRPr="00E07C9A" w:rsidRDefault="002A18DE" w:rsidP="00487A02">
      <w:pPr>
        <w:pStyle w:val="InstructionsText2"/>
        <w:numPr>
          <w:ilvl w:val="0"/>
          <w:numId w:val="0"/>
        </w:numPr>
        <w:ind w:left="1353" w:hanging="360"/>
      </w:pPr>
      <w:fldSimple w:instr=" seq paragraphs ">
        <w:r w:rsidR="00132AEE">
          <w:rPr>
            <w:noProof/>
          </w:rPr>
          <w:t>107</w:t>
        </w:r>
      </w:fldSimple>
      <w:r w:rsidR="00C3070C" w:rsidRPr="00E07C9A">
        <w:t>.</w:t>
      </w:r>
      <w:r w:rsidR="00C3070C" w:rsidRPr="00E07C9A">
        <w:tab/>
        <w:t xml:space="preserve"> Vykazované informácie závisia od úlohy inštitúcie</w:t>
      </w:r>
      <w:r w:rsidR="009912F8" w:rsidRPr="00E07C9A">
        <w:t xml:space="preserve"> v </w:t>
      </w:r>
      <w:r w:rsidR="00C3070C" w:rsidRPr="00E07C9A">
        <w:t>sekuritizačnom procese. Preto sa na originátorov, sponzorov</w:t>
      </w:r>
      <w:r w:rsidR="009912F8" w:rsidRPr="00E07C9A">
        <w:t xml:space="preserve"> a </w:t>
      </w:r>
      <w:r w:rsidR="00C3070C" w:rsidRPr="00E07C9A">
        <w:t>investorov vzťahujú špecifické vykazovacie položky.</w:t>
      </w:r>
    </w:p>
    <w:p w14:paraId="658E81D0" w14:textId="153BD341" w:rsidR="009912F8" w:rsidRPr="00E07C9A" w:rsidRDefault="002A18DE" w:rsidP="00487A02">
      <w:pPr>
        <w:pStyle w:val="InstructionsText2"/>
        <w:numPr>
          <w:ilvl w:val="0"/>
          <w:numId w:val="0"/>
        </w:numPr>
        <w:ind w:left="1353" w:hanging="360"/>
      </w:pPr>
      <w:fldSimple w:instr=" seq paragraphs ">
        <w:r w:rsidR="00132AEE">
          <w:rPr>
            <w:noProof/>
          </w:rPr>
          <w:t>108</w:t>
        </w:r>
      </w:fldSimple>
      <w:r w:rsidR="00C3070C" w:rsidRPr="00E07C9A">
        <w:t>.</w:t>
      </w:r>
      <w:r w:rsidR="009912F8" w:rsidRPr="00E07C9A">
        <w:t xml:space="preserve"> V </w:t>
      </w:r>
      <w:r w:rsidR="00C3070C" w:rsidRPr="00E07C9A">
        <w:t>tomto vzore sa zhromažďujú spoločné informácie</w:t>
      </w:r>
      <w:r w:rsidR="009912F8" w:rsidRPr="00E07C9A">
        <w:t xml:space="preserve"> o </w:t>
      </w:r>
      <w:r w:rsidR="00C3070C" w:rsidRPr="00E07C9A">
        <w:t>tradičných</w:t>
      </w:r>
      <w:r w:rsidR="009912F8" w:rsidRPr="00E07C9A">
        <w:t xml:space="preserve"> i </w:t>
      </w:r>
      <w:r w:rsidR="00C3070C" w:rsidRPr="00E07C9A">
        <w:t>syntetických sekuritizáciách držaných</w:t>
      </w:r>
      <w:r w:rsidR="009912F8" w:rsidRPr="00E07C9A">
        <w:t xml:space="preserve"> v </w:t>
      </w:r>
      <w:r w:rsidR="00C3070C" w:rsidRPr="00E07C9A">
        <w:t>bankovej knihe</w:t>
      </w:r>
      <w:r w:rsidR="009912F8" w:rsidRPr="00E07C9A">
        <w:t>.</w:t>
      </w:r>
    </w:p>
    <w:p w14:paraId="25BA437C" w14:textId="077D1B57" w:rsidR="00E026FB" w:rsidRPr="00E07C9A" w:rsidRDefault="00E026FB" w:rsidP="00E026FB">
      <w:pPr>
        <w:pStyle w:val="Instructionsberschrift2"/>
        <w:numPr>
          <w:ilvl w:val="0"/>
          <w:numId w:val="0"/>
        </w:numPr>
        <w:ind w:left="357" w:hanging="357"/>
        <w:rPr>
          <w:rFonts w:ascii="Times New Roman" w:hAnsi="Times New Roman" w:cs="Times New Roman"/>
          <w:sz w:val="24"/>
        </w:rPr>
      </w:pPr>
      <w:bookmarkStart w:id="416" w:name="_Toc522019829"/>
      <w:bookmarkStart w:id="417" w:name="_Toc115857825"/>
      <w:r w:rsidRPr="00E07C9A">
        <w:rPr>
          <w:rFonts w:ascii="Times New Roman" w:hAnsi="Times New Roman" w:cs="Times New Roman"/>
          <w:sz w:val="24"/>
          <w:u w:val="none"/>
        </w:rPr>
        <w:t>3.7.2.</w:t>
      </w:r>
      <w:r w:rsidRPr="00E07C9A">
        <w:rPr>
          <w:rFonts w:ascii="Times New Roman" w:hAnsi="Times New Roman" w:cs="Times New Roman"/>
          <w:u w:val="none"/>
        </w:rPr>
        <w:tab/>
      </w:r>
      <w:r w:rsidRPr="00E07C9A">
        <w:rPr>
          <w:rFonts w:ascii="Times New Roman" w:hAnsi="Times New Roman" w:cs="Times New Roman"/>
          <w:sz w:val="24"/>
        </w:rPr>
        <w:t>Pokyny týkajúce sa konkrétnych pozícií</w:t>
      </w:r>
      <w:bookmarkEnd w:id="416"/>
      <w:bookmarkEnd w:id="417"/>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E026FB" w:rsidRPr="00E07C9A" w14:paraId="76D24871" w14:textId="77777777" w:rsidTr="00E10B85">
        <w:tc>
          <w:tcPr>
            <w:tcW w:w="9004" w:type="dxa"/>
            <w:gridSpan w:val="2"/>
            <w:shd w:val="clear" w:color="auto" w:fill="CCCCCC"/>
          </w:tcPr>
          <w:p w14:paraId="75BBAB0F" w14:textId="77777777" w:rsidR="00E026FB" w:rsidRPr="00E07C9A" w:rsidRDefault="00E026FB" w:rsidP="00E10B85">
            <w:pPr>
              <w:autoSpaceDE w:val="0"/>
              <w:autoSpaceDN w:val="0"/>
              <w:adjustRightInd w:val="0"/>
              <w:spacing w:before="0" w:after="0"/>
              <w:ind w:left="426"/>
              <w:jc w:val="left"/>
              <w:rPr>
                <w:rFonts w:ascii="Times New Roman" w:hAnsi="Times New Roman"/>
                <w:sz w:val="24"/>
                <w:lang w:eastAsia="de-DE"/>
              </w:rPr>
            </w:pPr>
          </w:p>
          <w:p w14:paraId="3B9E5570" w14:textId="77777777" w:rsidR="00E026FB" w:rsidRPr="00E07C9A" w:rsidRDefault="00E026FB" w:rsidP="00E10B85">
            <w:pPr>
              <w:autoSpaceDE w:val="0"/>
              <w:autoSpaceDN w:val="0"/>
              <w:adjustRightInd w:val="0"/>
              <w:spacing w:before="0" w:after="0"/>
              <w:rPr>
                <w:rFonts w:ascii="Times New Roman" w:hAnsi="Times New Roman"/>
                <w:b/>
                <w:bCs/>
                <w:sz w:val="24"/>
              </w:rPr>
            </w:pPr>
            <w:r w:rsidRPr="00E07C9A">
              <w:rPr>
                <w:rFonts w:ascii="Times New Roman" w:hAnsi="Times New Roman"/>
                <w:b/>
                <w:sz w:val="24"/>
              </w:rPr>
              <w:t>Stĺpce</w:t>
            </w:r>
          </w:p>
          <w:p w14:paraId="44406E3F" w14:textId="77777777" w:rsidR="00E026FB" w:rsidRPr="00E07C9A" w:rsidRDefault="00E026FB" w:rsidP="00E10B85">
            <w:pPr>
              <w:autoSpaceDE w:val="0"/>
              <w:autoSpaceDN w:val="0"/>
              <w:adjustRightInd w:val="0"/>
              <w:spacing w:before="0" w:after="0"/>
              <w:rPr>
                <w:rFonts w:ascii="Times New Roman" w:hAnsi="Times New Roman"/>
                <w:bCs/>
                <w:sz w:val="24"/>
                <w:lang w:eastAsia="nl-BE"/>
              </w:rPr>
            </w:pPr>
          </w:p>
        </w:tc>
      </w:tr>
      <w:tr w:rsidR="00E026FB" w:rsidRPr="00E07C9A" w14:paraId="2667E1A4" w14:textId="77777777" w:rsidTr="00E10B85">
        <w:tc>
          <w:tcPr>
            <w:tcW w:w="1568" w:type="dxa"/>
          </w:tcPr>
          <w:p w14:paraId="7C3203EB" w14:textId="77777777" w:rsidR="00E026FB" w:rsidRPr="00E07C9A" w:rsidRDefault="00E026FB" w:rsidP="00E10B85">
            <w:pPr>
              <w:autoSpaceDE w:val="0"/>
              <w:autoSpaceDN w:val="0"/>
              <w:adjustRightInd w:val="0"/>
              <w:spacing w:before="0" w:after="0"/>
              <w:rPr>
                <w:rFonts w:ascii="Times New Roman" w:hAnsi="Times New Roman"/>
                <w:bCs/>
                <w:sz w:val="24"/>
              </w:rPr>
            </w:pPr>
            <w:r w:rsidRPr="00E07C9A">
              <w:rPr>
                <w:rFonts w:ascii="Times New Roman" w:hAnsi="Times New Roman"/>
                <w:sz w:val="24"/>
              </w:rPr>
              <w:t>0010</w:t>
            </w:r>
          </w:p>
        </w:tc>
        <w:tc>
          <w:tcPr>
            <w:tcW w:w="7436" w:type="dxa"/>
          </w:tcPr>
          <w:p w14:paraId="25CD4BBA" w14:textId="77777777" w:rsidR="00E026FB" w:rsidRPr="00E07C9A" w:rsidRDefault="00E026FB" w:rsidP="00E10B85">
            <w:pPr>
              <w:spacing w:before="0" w:after="0"/>
              <w:jc w:val="left"/>
              <w:rPr>
                <w:rFonts w:ascii="Times New Roman" w:hAnsi="Times New Roman"/>
                <w:sz w:val="24"/>
              </w:rPr>
            </w:pPr>
            <w:r w:rsidRPr="00E07C9A">
              <w:rPr>
                <w:rFonts w:ascii="Times New Roman" w:hAnsi="Times New Roman"/>
                <w:b/>
                <w:sz w:val="24"/>
                <w:u w:val="single"/>
              </w:rPr>
              <w:t>CELKOVÁ HODNOTA VZNIKNUTÝCH SEKURITIZAČNÝCH EXPOZÍCIÍ</w:t>
            </w:r>
          </w:p>
          <w:p w14:paraId="4FDEF410" w14:textId="77777777" w:rsidR="00E026FB" w:rsidRPr="00E07C9A" w:rsidRDefault="00E026FB" w:rsidP="00E10B85">
            <w:pPr>
              <w:spacing w:before="0" w:after="0"/>
              <w:jc w:val="left"/>
              <w:rPr>
                <w:rFonts w:ascii="Times New Roman" w:hAnsi="Times New Roman"/>
                <w:sz w:val="24"/>
              </w:rPr>
            </w:pPr>
          </w:p>
          <w:p w14:paraId="5FFA2C2D" w14:textId="636B2CE8" w:rsidR="009912F8" w:rsidRPr="00E07C9A" w:rsidRDefault="00E026FB"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Inštitúcie, ktoré sú originátormi, vykazujú</w:t>
            </w:r>
            <w:r w:rsidR="009912F8" w:rsidRPr="00E07C9A">
              <w:rPr>
                <w:rFonts w:ascii="Times New Roman" w:hAnsi="Times New Roman"/>
                <w:sz w:val="24"/>
              </w:rPr>
              <w:t xml:space="preserve"> k </w:t>
            </w:r>
            <w:r w:rsidRPr="00E07C9A">
              <w:rPr>
                <w:rFonts w:ascii="Times New Roman" w:hAnsi="Times New Roman"/>
                <w:sz w:val="24"/>
              </w:rPr>
              <w:t>dátumu vykazovania nesplatenú hodnotu všetkých aktuálnych sekuritizačných expozícií, ktoré vznikli</w:t>
            </w:r>
            <w:r w:rsidR="009912F8" w:rsidRPr="00E07C9A">
              <w:rPr>
                <w:rFonts w:ascii="Times New Roman" w:hAnsi="Times New Roman"/>
                <w:sz w:val="24"/>
              </w:rPr>
              <w:t xml:space="preserve"> v </w:t>
            </w:r>
            <w:r w:rsidRPr="00E07C9A">
              <w:rPr>
                <w:rFonts w:ascii="Times New Roman" w:hAnsi="Times New Roman"/>
                <w:sz w:val="24"/>
              </w:rPr>
              <w:t>rámci sekuritizačnej transakcie, bez ohľadu na to, kto drží pozície. Vykazujú sa súvahové sekuritizačné expozície (napr. dlhopisy, podriadené úvery)</w:t>
            </w:r>
            <w:r w:rsidR="009912F8" w:rsidRPr="00E07C9A">
              <w:rPr>
                <w:rFonts w:ascii="Times New Roman" w:hAnsi="Times New Roman"/>
                <w:sz w:val="24"/>
              </w:rPr>
              <w:t xml:space="preserve"> a </w:t>
            </w:r>
            <w:r w:rsidRPr="00E07C9A">
              <w:rPr>
                <w:rFonts w:ascii="Times New Roman" w:hAnsi="Times New Roman"/>
                <w:sz w:val="24"/>
              </w:rPr>
              <w:t>podsúvahové expozície</w:t>
            </w:r>
            <w:r w:rsidR="009912F8" w:rsidRPr="00E07C9A">
              <w:rPr>
                <w:rFonts w:ascii="Times New Roman" w:hAnsi="Times New Roman"/>
                <w:sz w:val="24"/>
              </w:rPr>
              <w:t xml:space="preserve"> a </w:t>
            </w:r>
            <w:r w:rsidRPr="00E07C9A">
              <w:rPr>
                <w:rFonts w:ascii="Times New Roman" w:hAnsi="Times New Roman"/>
                <w:sz w:val="24"/>
              </w:rPr>
              <w:t>deriváty (napr. podriadené úverové linky, nástroje likvidity, úrokové swapy, swapy na kreditné zlyhanie atď.), ktoré vznikli</w:t>
            </w:r>
            <w:r w:rsidR="009912F8" w:rsidRPr="00E07C9A">
              <w:rPr>
                <w:rFonts w:ascii="Times New Roman" w:hAnsi="Times New Roman"/>
                <w:sz w:val="24"/>
              </w:rPr>
              <w:t xml:space="preserve"> v </w:t>
            </w:r>
            <w:r w:rsidRPr="00E07C9A">
              <w:rPr>
                <w:rFonts w:ascii="Times New Roman" w:hAnsi="Times New Roman"/>
                <w:sz w:val="24"/>
              </w:rPr>
              <w:t>rámci sekuritizácie</w:t>
            </w:r>
            <w:r w:rsidR="009912F8" w:rsidRPr="00E07C9A">
              <w:rPr>
                <w:rFonts w:ascii="Times New Roman" w:hAnsi="Times New Roman"/>
                <w:sz w:val="24"/>
              </w:rPr>
              <w:t>.</w:t>
            </w:r>
          </w:p>
          <w:p w14:paraId="10AE1EA9" w14:textId="468463EC" w:rsidR="00E026FB" w:rsidRPr="00E07C9A" w:rsidRDefault="00E026FB" w:rsidP="00E10B85">
            <w:pPr>
              <w:autoSpaceDE w:val="0"/>
              <w:autoSpaceDN w:val="0"/>
              <w:adjustRightInd w:val="0"/>
              <w:spacing w:before="0" w:after="0"/>
              <w:rPr>
                <w:rFonts w:ascii="Times New Roman" w:hAnsi="Times New Roman"/>
                <w:sz w:val="24"/>
              </w:rPr>
            </w:pPr>
          </w:p>
          <w:p w14:paraId="02DAF1E5" w14:textId="68B4E585" w:rsidR="00E026FB" w:rsidRPr="00E07C9A" w:rsidRDefault="00E026FB"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Keď originátor</w:t>
            </w:r>
            <w:r w:rsidR="009912F8" w:rsidRPr="00E07C9A">
              <w:rPr>
                <w:rFonts w:ascii="Times New Roman" w:hAnsi="Times New Roman"/>
                <w:sz w:val="24"/>
              </w:rPr>
              <w:t xml:space="preserve"> v </w:t>
            </w:r>
            <w:r w:rsidRPr="00E07C9A">
              <w:rPr>
                <w:rFonts w:ascii="Times New Roman" w:hAnsi="Times New Roman"/>
                <w:sz w:val="24"/>
              </w:rPr>
              <w:t>prípade tradičných sekuritizácií nedrží žiadne pozície, pri vypĺňaní tohto vzoru neposudzuje túto sekuritizáciu. Na tento účel sekuritizačné pozície držané originátorom zahŕňajú ustanovenia</w:t>
            </w:r>
            <w:r w:rsidR="009912F8" w:rsidRPr="00E07C9A">
              <w:rPr>
                <w:rFonts w:ascii="Times New Roman" w:hAnsi="Times New Roman"/>
                <w:sz w:val="24"/>
              </w:rPr>
              <w:t xml:space="preserve"> o </w:t>
            </w:r>
            <w:r w:rsidRPr="00E07C9A">
              <w:rPr>
                <w:rFonts w:ascii="Times New Roman" w:hAnsi="Times New Roman"/>
                <w:sz w:val="24"/>
              </w:rPr>
              <w:t>predčasnom splatení</w:t>
            </w:r>
            <w:r w:rsidR="009912F8" w:rsidRPr="00E07C9A">
              <w:rPr>
                <w:rFonts w:ascii="Times New Roman" w:hAnsi="Times New Roman"/>
                <w:sz w:val="24"/>
              </w:rPr>
              <w:t xml:space="preserve"> v </w:t>
            </w:r>
            <w:r w:rsidRPr="00E07C9A">
              <w:rPr>
                <w:rFonts w:ascii="Times New Roman" w:hAnsi="Times New Roman"/>
                <w:sz w:val="24"/>
              </w:rPr>
              <w:t>zmysle vymedzenia</w:t>
            </w:r>
            <w:r w:rsidR="009912F8" w:rsidRPr="00E07C9A">
              <w:rPr>
                <w:rFonts w:ascii="Times New Roman" w:hAnsi="Times New Roman"/>
                <w:sz w:val="24"/>
              </w:rPr>
              <w:t xml:space="preserve"> v </w:t>
            </w:r>
            <w:r w:rsidRPr="00E07C9A">
              <w:rPr>
                <w:rFonts w:ascii="Times New Roman" w:hAnsi="Times New Roman"/>
                <w:sz w:val="24"/>
              </w:rPr>
              <w:t xml:space="preserve">článku 242 ods. 16 nariadenia (EÚ) </w:t>
            </w:r>
            <w:r w:rsidR="009912F8" w:rsidRPr="00E07C9A">
              <w:rPr>
                <w:rFonts w:ascii="Times New Roman" w:hAnsi="Times New Roman"/>
                <w:sz w:val="24"/>
              </w:rPr>
              <w:t>č. 575/2013 v </w:t>
            </w:r>
            <w:r w:rsidRPr="00E07C9A">
              <w:rPr>
                <w:rFonts w:ascii="Times New Roman" w:hAnsi="Times New Roman"/>
                <w:sz w:val="24"/>
              </w:rPr>
              <w:t>sekuritizácii revolvingových expozícií.</w:t>
            </w:r>
          </w:p>
          <w:p w14:paraId="247E9005" w14:textId="77777777" w:rsidR="00E026FB" w:rsidRPr="00E07C9A" w:rsidRDefault="00E026FB" w:rsidP="00E10B85">
            <w:pPr>
              <w:autoSpaceDE w:val="0"/>
              <w:autoSpaceDN w:val="0"/>
              <w:adjustRightInd w:val="0"/>
              <w:spacing w:before="0" w:after="0"/>
              <w:rPr>
                <w:rFonts w:ascii="Times New Roman" w:hAnsi="Times New Roman"/>
                <w:bCs/>
                <w:sz w:val="24"/>
                <w:lang w:eastAsia="nl-BE"/>
              </w:rPr>
            </w:pPr>
          </w:p>
        </w:tc>
      </w:tr>
      <w:tr w:rsidR="00E026FB" w:rsidRPr="00E07C9A" w14:paraId="73510D03" w14:textId="77777777" w:rsidTr="00E10B85">
        <w:tc>
          <w:tcPr>
            <w:tcW w:w="1568" w:type="dxa"/>
          </w:tcPr>
          <w:p w14:paraId="7A48288A" w14:textId="77777777" w:rsidR="00E026FB" w:rsidRPr="00E07C9A" w:rsidRDefault="00E026FB" w:rsidP="00E10B85">
            <w:pPr>
              <w:autoSpaceDE w:val="0"/>
              <w:autoSpaceDN w:val="0"/>
              <w:adjustRightInd w:val="0"/>
              <w:spacing w:before="0" w:after="0"/>
              <w:rPr>
                <w:rFonts w:ascii="Times New Roman" w:hAnsi="Times New Roman"/>
                <w:bCs/>
                <w:sz w:val="24"/>
              </w:rPr>
            </w:pPr>
            <w:r w:rsidRPr="00E07C9A">
              <w:rPr>
                <w:rFonts w:ascii="Times New Roman" w:hAnsi="Times New Roman"/>
                <w:sz w:val="24"/>
              </w:rPr>
              <w:t>0020 – 0040</w:t>
            </w:r>
          </w:p>
        </w:tc>
        <w:tc>
          <w:tcPr>
            <w:tcW w:w="7436" w:type="dxa"/>
          </w:tcPr>
          <w:p w14:paraId="3D483FC7" w14:textId="77777777" w:rsidR="00E026FB" w:rsidRPr="00E07C9A" w:rsidRDefault="00E026FB" w:rsidP="00E10B85">
            <w:pPr>
              <w:spacing w:before="0" w:after="0"/>
              <w:jc w:val="left"/>
              <w:rPr>
                <w:rFonts w:ascii="Times New Roman" w:hAnsi="Times New Roman"/>
                <w:b/>
                <w:sz w:val="24"/>
                <w:u w:val="single"/>
              </w:rPr>
            </w:pPr>
            <w:r w:rsidRPr="00E07C9A">
              <w:rPr>
                <w:rFonts w:ascii="Times New Roman" w:hAnsi="Times New Roman"/>
                <w:b/>
                <w:sz w:val="24"/>
                <w:u w:val="single"/>
              </w:rPr>
              <w:t>SYNTETICKÉ SEKURITIZÁCIE: ZABEZPEČENIE SEKURITIZOVANÝCH EXPOZÍCIÍ</w:t>
            </w:r>
          </w:p>
          <w:p w14:paraId="17C382B2" w14:textId="77777777" w:rsidR="00E026FB" w:rsidRPr="00E07C9A" w:rsidRDefault="00E026FB" w:rsidP="00E10B85">
            <w:pPr>
              <w:spacing w:before="0" w:after="0"/>
              <w:jc w:val="left"/>
              <w:rPr>
                <w:rFonts w:ascii="Times New Roman" w:hAnsi="Times New Roman"/>
                <w:sz w:val="24"/>
              </w:rPr>
            </w:pPr>
          </w:p>
          <w:p w14:paraId="282E8082" w14:textId="734853BE" w:rsidR="009912F8" w:rsidRPr="00E07C9A" w:rsidRDefault="00E026FB" w:rsidP="00E10B85">
            <w:pPr>
              <w:spacing w:before="0" w:after="0"/>
              <w:rPr>
                <w:rFonts w:ascii="Times New Roman" w:hAnsi="Times New Roman"/>
                <w:sz w:val="24"/>
              </w:rPr>
            </w:pPr>
            <w:r w:rsidRPr="00E07C9A">
              <w:rPr>
                <w:rFonts w:ascii="Times New Roman" w:hAnsi="Times New Roman"/>
                <w:sz w:val="24"/>
              </w:rPr>
              <w:t>Články 251</w:t>
            </w:r>
            <w:r w:rsidR="009912F8" w:rsidRPr="00E07C9A">
              <w:rPr>
                <w:rFonts w:ascii="Times New Roman" w:hAnsi="Times New Roman"/>
                <w:sz w:val="24"/>
              </w:rPr>
              <w:t xml:space="preserve"> a </w:t>
            </w:r>
            <w:r w:rsidRPr="00E07C9A">
              <w:rPr>
                <w:rFonts w:ascii="Times New Roman" w:hAnsi="Times New Roman"/>
                <w:sz w:val="24"/>
              </w:rPr>
              <w:t xml:space="preserve">252 nariadenia (EÚ) </w:t>
            </w:r>
            <w:r w:rsidR="009912F8" w:rsidRPr="00E07C9A">
              <w:rPr>
                <w:rFonts w:ascii="Times New Roman" w:hAnsi="Times New Roman"/>
                <w:sz w:val="24"/>
              </w:rPr>
              <w:t>č. 575/2013</w:t>
            </w:r>
          </w:p>
          <w:p w14:paraId="51C15EB8" w14:textId="13F7E590" w:rsidR="00E026FB" w:rsidRPr="00E07C9A" w:rsidRDefault="00E026FB" w:rsidP="00E10B85">
            <w:pPr>
              <w:spacing w:before="0" w:after="0"/>
              <w:rPr>
                <w:rFonts w:ascii="Times New Roman" w:hAnsi="Times New Roman"/>
                <w:sz w:val="24"/>
              </w:rPr>
            </w:pPr>
          </w:p>
          <w:p w14:paraId="3B8568CB" w14:textId="77777777" w:rsidR="009912F8" w:rsidRPr="00E07C9A" w:rsidRDefault="00E026FB" w:rsidP="00E10B85">
            <w:pPr>
              <w:spacing w:before="0" w:after="0"/>
              <w:rPr>
                <w:rFonts w:ascii="Times New Roman" w:hAnsi="Times New Roman"/>
                <w:sz w:val="24"/>
              </w:rPr>
            </w:pPr>
            <w:r w:rsidRPr="00E07C9A">
              <w:rPr>
                <w:rFonts w:ascii="Times New Roman" w:hAnsi="Times New Roman"/>
                <w:sz w:val="24"/>
              </w:rPr>
              <w:t>V upravenej hodnote postupov zmierňovania kreditného rizika, ktoré sú súčasťou sekuritizačnej štruktúry, sa nezohľadňuje nesúlad splatností</w:t>
            </w:r>
            <w:r w:rsidR="009912F8" w:rsidRPr="00E07C9A">
              <w:rPr>
                <w:rFonts w:ascii="Times New Roman" w:hAnsi="Times New Roman"/>
                <w:sz w:val="24"/>
              </w:rPr>
              <w:t>.</w:t>
            </w:r>
          </w:p>
          <w:p w14:paraId="0E873035" w14:textId="1B7D9337" w:rsidR="00E026FB" w:rsidRPr="00E07C9A" w:rsidRDefault="00E026FB" w:rsidP="00E10B85">
            <w:pPr>
              <w:spacing w:before="0" w:after="0"/>
              <w:rPr>
                <w:rFonts w:ascii="Times New Roman" w:hAnsi="Times New Roman"/>
                <w:bCs/>
                <w:sz w:val="24"/>
                <w:lang w:eastAsia="nl-BE"/>
              </w:rPr>
            </w:pPr>
          </w:p>
        </w:tc>
      </w:tr>
      <w:tr w:rsidR="00E026FB" w:rsidRPr="00E07C9A" w14:paraId="7500D5C2" w14:textId="77777777" w:rsidTr="00E10B85">
        <w:tc>
          <w:tcPr>
            <w:tcW w:w="1568" w:type="dxa"/>
          </w:tcPr>
          <w:p w14:paraId="076D1FEF" w14:textId="77777777" w:rsidR="00E026FB" w:rsidRPr="00E07C9A" w:rsidRDefault="00E026FB" w:rsidP="00E10B85">
            <w:pPr>
              <w:autoSpaceDE w:val="0"/>
              <w:autoSpaceDN w:val="0"/>
              <w:adjustRightInd w:val="0"/>
              <w:spacing w:before="0" w:after="0"/>
              <w:rPr>
                <w:rFonts w:ascii="Times New Roman" w:hAnsi="Times New Roman"/>
                <w:bCs/>
                <w:sz w:val="24"/>
              </w:rPr>
            </w:pPr>
            <w:r w:rsidRPr="00E07C9A">
              <w:rPr>
                <w:rFonts w:ascii="Times New Roman" w:hAnsi="Times New Roman"/>
                <w:sz w:val="24"/>
              </w:rPr>
              <w:t>0020</w:t>
            </w:r>
          </w:p>
        </w:tc>
        <w:tc>
          <w:tcPr>
            <w:tcW w:w="7436" w:type="dxa"/>
          </w:tcPr>
          <w:p w14:paraId="20892037" w14:textId="77777777" w:rsidR="009912F8" w:rsidRPr="00E07C9A" w:rsidRDefault="00E026FB" w:rsidP="00E10B85">
            <w:pPr>
              <w:spacing w:before="0" w:after="0"/>
              <w:jc w:val="left"/>
              <w:rPr>
                <w:rFonts w:ascii="Times New Roman" w:hAnsi="Times New Roman"/>
                <w:b/>
                <w:sz w:val="24"/>
                <w:u w:val="single"/>
              </w:rPr>
            </w:pPr>
            <w:r w:rsidRPr="00E07C9A">
              <w:rPr>
                <w:rFonts w:ascii="Times New Roman" w:hAnsi="Times New Roman"/>
                <w:b/>
                <w:sz w:val="24"/>
                <w:u w:val="single"/>
              </w:rPr>
              <w:t>(–) FINANCOVANÉ KREDITNÉ ZABEZPEČENIE (C</w:t>
            </w:r>
            <w:r w:rsidRPr="00E07C9A">
              <w:rPr>
                <w:rFonts w:ascii="Times New Roman" w:hAnsi="Times New Roman"/>
                <w:b/>
                <w:sz w:val="24"/>
                <w:u w:val="single"/>
                <w:vertAlign w:val="subscript"/>
              </w:rPr>
              <w:t>VA</w:t>
            </w:r>
            <w:r w:rsidRPr="00E07C9A">
              <w:rPr>
                <w:rFonts w:ascii="Times New Roman" w:hAnsi="Times New Roman"/>
                <w:b/>
                <w:sz w:val="24"/>
                <w:u w:val="single"/>
              </w:rPr>
              <w:t>)</w:t>
            </w:r>
          </w:p>
          <w:p w14:paraId="33D8328B" w14:textId="1B04C1BD" w:rsidR="00E026FB" w:rsidRPr="00E07C9A" w:rsidRDefault="00E026FB" w:rsidP="00E10B85">
            <w:pPr>
              <w:spacing w:before="0" w:after="0"/>
              <w:jc w:val="left"/>
              <w:rPr>
                <w:rFonts w:ascii="Times New Roman" w:hAnsi="Times New Roman"/>
                <w:sz w:val="24"/>
                <w:lang w:eastAsia="es-ES_tradnl"/>
              </w:rPr>
            </w:pPr>
          </w:p>
          <w:p w14:paraId="0817D365" w14:textId="743B84B3" w:rsidR="00E026FB" w:rsidRPr="00E07C9A" w:rsidRDefault="00E026FB"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Podrobný výpočet hodnoty kolaterálu upravenej</w:t>
            </w:r>
            <w:r w:rsidR="009912F8" w:rsidRPr="00E07C9A">
              <w:rPr>
                <w:rFonts w:ascii="Times New Roman" w:hAnsi="Times New Roman"/>
                <w:sz w:val="24"/>
              </w:rPr>
              <w:t xml:space="preserve"> z </w:t>
            </w:r>
            <w:r w:rsidRPr="00E07C9A">
              <w:rPr>
                <w:rFonts w:ascii="Times New Roman" w:hAnsi="Times New Roman"/>
                <w:sz w:val="24"/>
              </w:rPr>
              <w:t>dôvodu volatility (C</w:t>
            </w:r>
            <w:r w:rsidRPr="00E07C9A">
              <w:rPr>
                <w:rFonts w:ascii="Times New Roman" w:hAnsi="Times New Roman"/>
                <w:sz w:val="24"/>
                <w:vertAlign w:val="subscript"/>
              </w:rPr>
              <w:t>VA</w:t>
            </w:r>
            <w:r w:rsidRPr="00E07C9A">
              <w:rPr>
                <w:rFonts w:ascii="Times New Roman" w:hAnsi="Times New Roman"/>
                <w:sz w:val="24"/>
              </w:rPr>
              <w:t>), ktorá sa vykazuje</w:t>
            </w:r>
            <w:r w:rsidR="009912F8" w:rsidRPr="00E07C9A">
              <w:rPr>
                <w:rFonts w:ascii="Times New Roman" w:hAnsi="Times New Roman"/>
                <w:sz w:val="24"/>
              </w:rPr>
              <w:t xml:space="preserve"> v </w:t>
            </w:r>
            <w:r w:rsidRPr="00E07C9A">
              <w:rPr>
                <w:rFonts w:ascii="Times New Roman" w:hAnsi="Times New Roman"/>
                <w:sz w:val="24"/>
              </w:rPr>
              <w:t>tomto stĺpci, sa stanovuje</w:t>
            </w:r>
            <w:r w:rsidR="009912F8" w:rsidRPr="00E07C9A">
              <w:rPr>
                <w:rFonts w:ascii="Times New Roman" w:hAnsi="Times New Roman"/>
                <w:sz w:val="24"/>
              </w:rPr>
              <w:t xml:space="preserve"> v </w:t>
            </w:r>
            <w:r w:rsidRPr="00E07C9A">
              <w:rPr>
                <w:rFonts w:ascii="Times New Roman" w:hAnsi="Times New Roman"/>
                <w:sz w:val="24"/>
              </w:rPr>
              <w:t xml:space="preserve">článku 223 ods. 2 nariadenia (EÚ) </w:t>
            </w:r>
            <w:r w:rsidR="009912F8" w:rsidRPr="00E07C9A">
              <w:rPr>
                <w:rFonts w:ascii="Times New Roman" w:hAnsi="Times New Roman"/>
                <w:sz w:val="24"/>
              </w:rPr>
              <w:t>č. 575/2013</w:t>
            </w:r>
            <w:r w:rsidRPr="00E07C9A">
              <w:rPr>
                <w:rFonts w:ascii="Times New Roman" w:hAnsi="Times New Roman"/>
                <w:sz w:val="24"/>
              </w:rPr>
              <w:t>.</w:t>
            </w:r>
          </w:p>
          <w:p w14:paraId="151580F4" w14:textId="77777777" w:rsidR="00E026FB" w:rsidRPr="00E07C9A" w:rsidRDefault="00E026FB" w:rsidP="00E10B85">
            <w:pPr>
              <w:spacing w:before="0" w:after="0"/>
              <w:jc w:val="left"/>
              <w:rPr>
                <w:rFonts w:ascii="Times New Roman" w:hAnsi="Times New Roman"/>
                <w:b/>
                <w:sz w:val="24"/>
                <w:u w:val="single"/>
              </w:rPr>
            </w:pPr>
          </w:p>
        </w:tc>
      </w:tr>
      <w:tr w:rsidR="00E026FB" w:rsidRPr="00E07C9A" w14:paraId="206D30C2" w14:textId="77777777" w:rsidTr="00E10B85">
        <w:tc>
          <w:tcPr>
            <w:tcW w:w="1568" w:type="dxa"/>
          </w:tcPr>
          <w:p w14:paraId="3C15761D" w14:textId="77777777" w:rsidR="00E026FB" w:rsidRPr="00E07C9A" w:rsidRDefault="00E026FB" w:rsidP="00E10B85">
            <w:pPr>
              <w:autoSpaceDE w:val="0"/>
              <w:autoSpaceDN w:val="0"/>
              <w:adjustRightInd w:val="0"/>
              <w:spacing w:before="0" w:after="0"/>
              <w:rPr>
                <w:rFonts w:ascii="Times New Roman" w:hAnsi="Times New Roman"/>
                <w:bCs/>
                <w:sz w:val="24"/>
              </w:rPr>
            </w:pPr>
            <w:r w:rsidRPr="00E07C9A">
              <w:rPr>
                <w:rFonts w:ascii="Times New Roman" w:hAnsi="Times New Roman"/>
                <w:sz w:val="24"/>
              </w:rPr>
              <w:t>0030</w:t>
            </w:r>
          </w:p>
        </w:tc>
        <w:tc>
          <w:tcPr>
            <w:tcW w:w="7436" w:type="dxa"/>
          </w:tcPr>
          <w:p w14:paraId="39D4D89E" w14:textId="77777777" w:rsidR="009912F8" w:rsidRPr="00E07C9A" w:rsidRDefault="00E026FB" w:rsidP="00E10B85">
            <w:pPr>
              <w:spacing w:before="0" w:after="0"/>
              <w:jc w:val="left"/>
              <w:rPr>
                <w:rFonts w:ascii="Times New Roman" w:hAnsi="Times New Roman"/>
                <w:b/>
                <w:sz w:val="24"/>
                <w:u w:val="single"/>
              </w:rPr>
            </w:pPr>
            <w:r w:rsidRPr="00E07C9A">
              <w:rPr>
                <w:rFonts w:ascii="Times New Roman" w:hAnsi="Times New Roman"/>
                <w:b/>
                <w:sz w:val="24"/>
                <w:u w:val="single"/>
              </w:rPr>
              <w:t>(–⁠) CELKOVÉ ZÁPORNÉ PEŇAŽNÉ TOKY: UPRAVENÉ HODNOTY NEFINANCOVANÉHO KREDITNÉHO ZABEZPEČENIA (G*)</w:t>
            </w:r>
          </w:p>
          <w:p w14:paraId="0DD7B7E0" w14:textId="47A5AC6E" w:rsidR="00E026FB" w:rsidRPr="00E07C9A" w:rsidRDefault="00E026FB" w:rsidP="00E10B85">
            <w:pPr>
              <w:spacing w:before="0" w:after="0"/>
              <w:jc w:val="left"/>
              <w:rPr>
                <w:rFonts w:ascii="Times New Roman" w:hAnsi="Times New Roman"/>
                <w:sz w:val="24"/>
                <w:lang w:eastAsia="es-ES_tradnl"/>
              </w:rPr>
            </w:pPr>
          </w:p>
          <w:p w14:paraId="27B5D189" w14:textId="783132C9" w:rsidR="00E026FB" w:rsidRPr="00E07C9A" w:rsidRDefault="00E026FB" w:rsidP="00E10B85">
            <w:pPr>
              <w:spacing w:before="0" w:after="0"/>
              <w:rPr>
                <w:rFonts w:ascii="Times New Roman" w:hAnsi="Times New Roman"/>
                <w:sz w:val="24"/>
              </w:rPr>
            </w:pPr>
            <w:r w:rsidRPr="00E07C9A">
              <w:rPr>
                <w:rFonts w:ascii="Times New Roman" w:hAnsi="Times New Roman"/>
                <w:sz w:val="24"/>
              </w:rPr>
              <w:t>Hodnoty vykazované</w:t>
            </w:r>
            <w:r w:rsidR="009912F8" w:rsidRPr="00E07C9A">
              <w:rPr>
                <w:rFonts w:ascii="Times New Roman" w:hAnsi="Times New Roman"/>
                <w:sz w:val="24"/>
              </w:rPr>
              <w:t xml:space="preserve"> v </w:t>
            </w:r>
            <w:r w:rsidRPr="00E07C9A">
              <w:rPr>
                <w:rFonts w:ascii="Times New Roman" w:hAnsi="Times New Roman"/>
                <w:sz w:val="24"/>
              </w:rPr>
              <w:t>tomto stĺpci sa na základe všeobecného pravidla pre „kladné peňažné toky“</w:t>
            </w:r>
            <w:r w:rsidR="009912F8" w:rsidRPr="00E07C9A">
              <w:rPr>
                <w:rFonts w:ascii="Times New Roman" w:hAnsi="Times New Roman"/>
                <w:sz w:val="24"/>
              </w:rPr>
              <w:t xml:space="preserve"> a </w:t>
            </w:r>
            <w:r w:rsidRPr="00E07C9A">
              <w:rPr>
                <w:rFonts w:ascii="Times New Roman" w:hAnsi="Times New Roman"/>
                <w:sz w:val="24"/>
              </w:rPr>
              <w:t>„záporné peňažné toky“ vykazujú ako „kladné peňažné toky“</w:t>
            </w:r>
            <w:r w:rsidR="009912F8" w:rsidRPr="00E07C9A">
              <w:rPr>
                <w:rFonts w:ascii="Times New Roman" w:hAnsi="Times New Roman"/>
                <w:sz w:val="24"/>
              </w:rPr>
              <w:t xml:space="preserve"> v </w:t>
            </w:r>
            <w:r w:rsidRPr="00E07C9A">
              <w:rPr>
                <w:rFonts w:ascii="Times New Roman" w:hAnsi="Times New Roman"/>
                <w:sz w:val="24"/>
              </w:rPr>
              <w:t>príslušnom vzore pre kreditné riziko (CR SA alebo CR IRB)</w:t>
            </w:r>
            <w:r w:rsidR="009912F8" w:rsidRPr="00E07C9A">
              <w:rPr>
                <w:rFonts w:ascii="Times New Roman" w:hAnsi="Times New Roman"/>
                <w:sz w:val="24"/>
              </w:rPr>
              <w:t xml:space="preserve"> a v </w:t>
            </w:r>
            <w:r w:rsidRPr="00E07C9A">
              <w:rPr>
                <w:rFonts w:ascii="Times New Roman" w:hAnsi="Times New Roman"/>
                <w:sz w:val="24"/>
              </w:rPr>
              <w:t>triede expozícií, do ktorej vykazujúci subjekt zaraďuje poskytovateľa zabezpečenia (t. j. tretia strana, na ktorú sa prostredníctvom nefinancovaného kreditného zabezpečenia prenáša tranža).</w:t>
            </w:r>
          </w:p>
          <w:p w14:paraId="0534415A" w14:textId="77777777" w:rsidR="00E026FB" w:rsidRPr="00E07C9A" w:rsidRDefault="00E026FB" w:rsidP="00E10B85">
            <w:pPr>
              <w:spacing w:before="0" w:after="0"/>
              <w:jc w:val="left"/>
              <w:rPr>
                <w:rFonts w:ascii="Times New Roman" w:hAnsi="Times New Roman"/>
                <w:sz w:val="24"/>
                <w:lang w:eastAsia="es-ES_tradnl"/>
              </w:rPr>
            </w:pPr>
          </w:p>
          <w:p w14:paraId="40BBBF3C" w14:textId="0D1D0181" w:rsidR="00E026FB" w:rsidRPr="00E07C9A" w:rsidRDefault="00E026FB"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Postup výpočtu nominálnej hodnoty zabezpečenia upravenej</w:t>
            </w:r>
            <w:r w:rsidR="009912F8" w:rsidRPr="00E07C9A">
              <w:rPr>
                <w:rFonts w:ascii="Times New Roman" w:hAnsi="Times New Roman"/>
                <w:sz w:val="24"/>
              </w:rPr>
              <w:t xml:space="preserve"> o </w:t>
            </w:r>
            <w:r w:rsidRPr="00E07C9A">
              <w:rPr>
                <w:rFonts w:ascii="Times New Roman" w:hAnsi="Times New Roman"/>
                <w:sz w:val="24"/>
              </w:rPr>
              <w:t>„devízové riziko“ (G*) sa stanovuje</w:t>
            </w:r>
            <w:r w:rsidR="009912F8" w:rsidRPr="00E07C9A">
              <w:rPr>
                <w:rFonts w:ascii="Times New Roman" w:hAnsi="Times New Roman"/>
                <w:sz w:val="24"/>
              </w:rPr>
              <w:t xml:space="preserve"> v </w:t>
            </w:r>
            <w:r w:rsidRPr="00E07C9A">
              <w:rPr>
                <w:rFonts w:ascii="Times New Roman" w:hAnsi="Times New Roman"/>
                <w:sz w:val="24"/>
              </w:rPr>
              <w:t xml:space="preserve">článku 233 ods. 3 nariadenia (EÚ) </w:t>
            </w:r>
            <w:r w:rsidR="009912F8" w:rsidRPr="00E07C9A">
              <w:rPr>
                <w:rFonts w:ascii="Times New Roman" w:hAnsi="Times New Roman"/>
                <w:sz w:val="24"/>
              </w:rPr>
              <w:t>č. 575/2013</w:t>
            </w:r>
            <w:r w:rsidRPr="00E07C9A">
              <w:rPr>
                <w:rFonts w:ascii="Times New Roman" w:hAnsi="Times New Roman"/>
                <w:sz w:val="24"/>
              </w:rPr>
              <w:t>.</w:t>
            </w:r>
          </w:p>
          <w:p w14:paraId="7DA43AB5" w14:textId="77777777" w:rsidR="00E026FB" w:rsidRPr="00E07C9A" w:rsidRDefault="00E026FB" w:rsidP="00E10B85">
            <w:pPr>
              <w:autoSpaceDE w:val="0"/>
              <w:autoSpaceDN w:val="0"/>
              <w:adjustRightInd w:val="0"/>
              <w:spacing w:before="0" w:after="0"/>
              <w:jc w:val="left"/>
              <w:rPr>
                <w:rFonts w:ascii="Times New Roman" w:hAnsi="Times New Roman"/>
                <w:bCs/>
                <w:sz w:val="24"/>
                <w:lang w:eastAsia="nl-BE"/>
              </w:rPr>
            </w:pPr>
          </w:p>
        </w:tc>
      </w:tr>
      <w:tr w:rsidR="00E026FB" w:rsidRPr="00E07C9A" w14:paraId="434C37AA" w14:textId="77777777" w:rsidTr="00E10B85">
        <w:tc>
          <w:tcPr>
            <w:tcW w:w="1568" w:type="dxa"/>
          </w:tcPr>
          <w:p w14:paraId="17F457D3" w14:textId="77777777" w:rsidR="00E026FB" w:rsidRPr="00E07C9A" w:rsidRDefault="00E026FB" w:rsidP="00E10B85">
            <w:pPr>
              <w:autoSpaceDE w:val="0"/>
              <w:autoSpaceDN w:val="0"/>
              <w:adjustRightInd w:val="0"/>
              <w:spacing w:before="0" w:after="0"/>
              <w:rPr>
                <w:rFonts w:ascii="Times New Roman" w:hAnsi="Times New Roman"/>
                <w:bCs/>
                <w:sz w:val="24"/>
              </w:rPr>
            </w:pPr>
            <w:r w:rsidRPr="00E07C9A">
              <w:rPr>
                <w:rFonts w:ascii="Times New Roman" w:hAnsi="Times New Roman"/>
                <w:sz w:val="24"/>
              </w:rPr>
              <w:t>0040</w:t>
            </w:r>
          </w:p>
        </w:tc>
        <w:tc>
          <w:tcPr>
            <w:tcW w:w="7436" w:type="dxa"/>
          </w:tcPr>
          <w:p w14:paraId="13D9E8DC" w14:textId="77777777" w:rsidR="00E026FB" w:rsidRPr="00E07C9A" w:rsidRDefault="00E026FB" w:rsidP="00E10B85">
            <w:pPr>
              <w:spacing w:before="0" w:after="0"/>
              <w:jc w:val="left"/>
              <w:rPr>
                <w:rFonts w:ascii="Times New Roman" w:hAnsi="Times New Roman"/>
                <w:b/>
                <w:sz w:val="24"/>
                <w:u w:val="single"/>
              </w:rPr>
            </w:pPr>
            <w:r w:rsidRPr="00E07C9A">
              <w:rPr>
                <w:rFonts w:ascii="Times New Roman" w:hAnsi="Times New Roman"/>
                <w:b/>
                <w:sz w:val="24"/>
                <w:u w:val="single"/>
              </w:rPr>
              <w:t>PONECHANÁ ALEBO SPÄTNE ODKÚPENÁ POMYSELNÁ HODNOTA ZABEZPEČENIA</w:t>
            </w:r>
          </w:p>
          <w:p w14:paraId="29C70409" w14:textId="77777777" w:rsidR="00E026FB" w:rsidRPr="00E07C9A" w:rsidRDefault="00E026FB" w:rsidP="00E10B85">
            <w:pPr>
              <w:spacing w:before="0" w:after="0"/>
              <w:jc w:val="left"/>
              <w:rPr>
                <w:rFonts w:ascii="Times New Roman" w:hAnsi="Times New Roman"/>
                <w:sz w:val="24"/>
                <w:lang w:eastAsia="es-ES_tradnl"/>
              </w:rPr>
            </w:pPr>
          </w:p>
          <w:p w14:paraId="52F28504" w14:textId="77777777" w:rsidR="00E026FB" w:rsidRPr="00E07C9A" w:rsidRDefault="00E026FB"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Všetky tranže, ktoré boli ponechané alebo spätne odkúpené, napr. ponechané pozície prvej straty, sa vykazujú vo svojich nominálnych hodnotách.</w:t>
            </w:r>
          </w:p>
          <w:p w14:paraId="3CE5C9B0" w14:textId="77777777" w:rsidR="00E026FB" w:rsidRPr="00E07C9A" w:rsidRDefault="00E026FB" w:rsidP="00E10B85">
            <w:pPr>
              <w:autoSpaceDE w:val="0"/>
              <w:autoSpaceDN w:val="0"/>
              <w:adjustRightInd w:val="0"/>
              <w:spacing w:before="0" w:after="0"/>
              <w:rPr>
                <w:rFonts w:ascii="Times New Roman" w:hAnsi="Times New Roman"/>
                <w:bCs/>
                <w:sz w:val="24"/>
                <w:lang w:eastAsia="nl-BE"/>
              </w:rPr>
            </w:pPr>
          </w:p>
          <w:p w14:paraId="5677399B" w14:textId="7B3B684F" w:rsidR="00E026FB" w:rsidRPr="00E07C9A" w:rsidRDefault="00E026FB"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Pri výpočte ponechanej alebo spätne odkúpenej hodnoty zabezpečenia sa nezohľadňuje účinok haircutov dohľadu</w:t>
            </w:r>
            <w:r w:rsidR="009912F8" w:rsidRPr="00E07C9A">
              <w:rPr>
                <w:rFonts w:ascii="Times New Roman" w:hAnsi="Times New Roman"/>
                <w:sz w:val="24"/>
              </w:rPr>
              <w:t xml:space="preserve"> v </w:t>
            </w:r>
            <w:r w:rsidRPr="00E07C9A">
              <w:rPr>
                <w:rFonts w:ascii="Times New Roman" w:hAnsi="Times New Roman"/>
                <w:sz w:val="24"/>
              </w:rPr>
              <w:t>zabezpečení.</w:t>
            </w:r>
          </w:p>
          <w:p w14:paraId="36E9D2E4" w14:textId="77777777" w:rsidR="00E026FB" w:rsidRPr="00E07C9A" w:rsidRDefault="00E026FB" w:rsidP="00E10B85">
            <w:pPr>
              <w:autoSpaceDE w:val="0"/>
              <w:autoSpaceDN w:val="0"/>
              <w:adjustRightInd w:val="0"/>
              <w:spacing w:before="0" w:after="0"/>
              <w:rPr>
                <w:rFonts w:ascii="Times New Roman" w:hAnsi="Times New Roman"/>
                <w:bCs/>
                <w:sz w:val="24"/>
                <w:lang w:eastAsia="nl-BE"/>
              </w:rPr>
            </w:pPr>
          </w:p>
        </w:tc>
      </w:tr>
      <w:tr w:rsidR="00E026FB" w:rsidRPr="00E07C9A" w14:paraId="55902329" w14:textId="77777777" w:rsidTr="00E10B85">
        <w:tc>
          <w:tcPr>
            <w:tcW w:w="1568" w:type="dxa"/>
          </w:tcPr>
          <w:p w14:paraId="5E004F7F" w14:textId="77777777" w:rsidR="00E026FB" w:rsidRPr="00E07C9A" w:rsidRDefault="00E026FB" w:rsidP="00E10B85">
            <w:pPr>
              <w:autoSpaceDE w:val="0"/>
              <w:autoSpaceDN w:val="0"/>
              <w:adjustRightInd w:val="0"/>
              <w:spacing w:before="0" w:after="0"/>
              <w:rPr>
                <w:rFonts w:ascii="Times New Roman" w:hAnsi="Times New Roman"/>
                <w:bCs/>
                <w:sz w:val="24"/>
              </w:rPr>
            </w:pPr>
            <w:r w:rsidRPr="00E07C9A">
              <w:rPr>
                <w:rFonts w:ascii="Times New Roman" w:hAnsi="Times New Roman"/>
                <w:sz w:val="24"/>
              </w:rPr>
              <w:t>0050</w:t>
            </w:r>
          </w:p>
        </w:tc>
        <w:tc>
          <w:tcPr>
            <w:tcW w:w="7436" w:type="dxa"/>
          </w:tcPr>
          <w:p w14:paraId="18CC43E2" w14:textId="77777777" w:rsidR="009912F8" w:rsidRPr="00E07C9A" w:rsidRDefault="00E026FB" w:rsidP="00E10B85">
            <w:pPr>
              <w:spacing w:before="0" w:after="0"/>
              <w:rPr>
                <w:rFonts w:ascii="Times New Roman" w:hAnsi="Times New Roman"/>
                <w:b/>
                <w:sz w:val="24"/>
                <w:u w:val="single"/>
              </w:rPr>
            </w:pPr>
            <w:r w:rsidRPr="00E07C9A">
              <w:rPr>
                <w:rFonts w:ascii="Times New Roman" w:hAnsi="Times New Roman"/>
                <w:b/>
                <w:sz w:val="24"/>
                <w:u w:val="single"/>
              </w:rPr>
              <w:t>SEKURITIZAČNÉ POZÍCIE: PÔVODNÁ EXPOZÍCIA PRED UPLATNENÍM KONVERZNÝCH FAKTOROV</w:t>
            </w:r>
          </w:p>
          <w:p w14:paraId="2A8D2EB1" w14:textId="35870B60" w:rsidR="00E026FB" w:rsidRPr="00E07C9A" w:rsidRDefault="00E026FB" w:rsidP="00E10B85">
            <w:pPr>
              <w:spacing w:before="0" w:after="0"/>
              <w:jc w:val="left"/>
              <w:rPr>
                <w:rFonts w:ascii="Times New Roman" w:hAnsi="Times New Roman"/>
                <w:sz w:val="24"/>
              </w:rPr>
            </w:pPr>
          </w:p>
          <w:p w14:paraId="05450F07" w14:textId="524DFE77" w:rsidR="00126395" w:rsidRPr="00E07C9A" w:rsidRDefault="00A16FFF" w:rsidP="0002267E">
            <w:pPr>
              <w:autoSpaceDE w:val="0"/>
              <w:autoSpaceDN w:val="0"/>
              <w:adjustRightInd w:val="0"/>
              <w:spacing w:before="0" w:after="0"/>
              <w:jc w:val="left"/>
              <w:rPr>
                <w:rFonts w:ascii="Times New Roman" w:hAnsi="Times New Roman"/>
                <w:sz w:val="24"/>
              </w:rPr>
            </w:pPr>
            <w:r w:rsidRPr="00E07C9A">
              <w:rPr>
                <w:rFonts w:ascii="Times New Roman" w:hAnsi="Times New Roman"/>
                <w:sz w:val="24"/>
              </w:rPr>
              <w:t>Tento stĺpec zahŕňa hodnoty expozícií sekuritizačných pozícií, ktoré drží vykazujúca inštitúcia, vypočítané</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článkom 248 ods. 1</w:t>
            </w:r>
            <w:r w:rsidR="009912F8" w:rsidRPr="00E07C9A">
              <w:rPr>
                <w:rFonts w:ascii="Times New Roman" w:hAnsi="Times New Roman"/>
                <w:sz w:val="24"/>
              </w:rPr>
              <w:t xml:space="preserve"> a </w:t>
            </w:r>
            <w:r w:rsidRPr="00E07C9A">
              <w:rPr>
                <w:rFonts w:ascii="Times New Roman" w:hAnsi="Times New Roman"/>
                <w:sz w:val="24"/>
              </w:rPr>
              <w:t xml:space="preserve">2 nariadenia (EÚ) </w:t>
            </w:r>
            <w:r w:rsidR="009912F8" w:rsidRPr="00E07C9A">
              <w:rPr>
                <w:rFonts w:ascii="Times New Roman" w:hAnsi="Times New Roman"/>
                <w:sz w:val="24"/>
              </w:rPr>
              <w:t>č. 575/2013</w:t>
            </w:r>
            <w:r w:rsidRPr="00E07C9A">
              <w:rPr>
                <w:rFonts w:ascii="Times New Roman" w:hAnsi="Times New Roman"/>
                <w:sz w:val="24"/>
              </w:rPr>
              <w:t>, bez uplatnenia konverzných faktorov úverov, bez úprav ocenenia</w:t>
            </w:r>
            <w:r w:rsidR="009912F8" w:rsidRPr="00E07C9A">
              <w:rPr>
                <w:rFonts w:ascii="Times New Roman" w:hAnsi="Times New Roman"/>
                <w:sz w:val="24"/>
              </w:rPr>
              <w:t xml:space="preserve"> a </w:t>
            </w:r>
            <w:r w:rsidRPr="00E07C9A">
              <w:rPr>
                <w:rFonts w:ascii="Times New Roman" w:hAnsi="Times New Roman"/>
                <w:sz w:val="24"/>
              </w:rPr>
              <w:t>rezerv</w:t>
            </w:r>
            <w:r w:rsidR="009912F8" w:rsidRPr="00E07C9A">
              <w:rPr>
                <w:rFonts w:ascii="Times New Roman" w:hAnsi="Times New Roman"/>
                <w:sz w:val="24"/>
              </w:rPr>
              <w:t xml:space="preserve"> a </w:t>
            </w:r>
            <w:r w:rsidRPr="00E07C9A">
              <w:rPr>
                <w:rFonts w:ascii="Times New Roman" w:hAnsi="Times New Roman"/>
                <w:sz w:val="24"/>
              </w:rPr>
              <w:t>akýchkoľvek nerefundovateľných zliav</w:t>
            </w:r>
            <w:r w:rsidR="009912F8" w:rsidRPr="00E07C9A">
              <w:rPr>
                <w:rFonts w:ascii="Times New Roman" w:hAnsi="Times New Roman"/>
                <w:sz w:val="24"/>
              </w:rPr>
              <w:t xml:space="preserve"> z </w:t>
            </w:r>
            <w:r w:rsidRPr="00E07C9A">
              <w:rPr>
                <w:rFonts w:ascii="Times New Roman" w:hAnsi="Times New Roman"/>
                <w:sz w:val="24"/>
              </w:rPr>
              <w:t>obstarávacej ceny pri sekuritizovaných expozíciách, ako sa uvádza</w:t>
            </w:r>
            <w:r w:rsidR="009912F8" w:rsidRPr="00E07C9A">
              <w:rPr>
                <w:rFonts w:ascii="Times New Roman" w:hAnsi="Times New Roman"/>
                <w:sz w:val="24"/>
              </w:rPr>
              <w:t xml:space="preserve"> v </w:t>
            </w:r>
            <w:r w:rsidRPr="00E07C9A">
              <w:rPr>
                <w:rFonts w:ascii="Times New Roman" w:hAnsi="Times New Roman"/>
                <w:sz w:val="24"/>
              </w:rPr>
              <w:t xml:space="preserve">článku 248 ods. 1 písm. d) nariadenia (EÚ) </w:t>
            </w:r>
            <w:r w:rsidR="009912F8" w:rsidRPr="00E07C9A">
              <w:rPr>
                <w:rFonts w:ascii="Times New Roman" w:hAnsi="Times New Roman"/>
                <w:sz w:val="24"/>
              </w:rPr>
              <w:t>č. 575/2013</w:t>
            </w:r>
            <w:r w:rsidRPr="00E07C9A">
              <w:rPr>
                <w:rFonts w:ascii="Times New Roman" w:hAnsi="Times New Roman"/>
                <w:sz w:val="24"/>
              </w:rPr>
              <w:t>,</w:t>
            </w:r>
            <w:r w:rsidR="009912F8" w:rsidRPr="00E07C9A">
              <w:rPr>
                <w:rFonts w:ascii="Times New Roman" w:hAnsi="Times New Roman"/>
                <w:sz w:val="24"/>
              </w:rPr>
              <w:t xml:space="preserve"> a </w:t>
            </w:r>
            <w:r w:rsidRPr="00E07C9A">
              <w:rPr>
                <w:rFonts w:ascii="Times New Roman" w:hAnsi="Times New Roman"/>
                <w:sz w:val="24"/>
              </w:rPr>
              <w:t>bez úprav ocenenia</w:t>
            </w:r>
            <w:r w:rsidR="009912F8" w:rsidRPr="00E07C9A">
              <w:rPr>
                <w:rFonts w:ascii="Times New Roman" w:hAnsi="Times New Roman"/>
                <w:sz w:val="24"/>
              </w:rPr>
              <w:t xml:space="preserve"> a </w:t>
            </w:r>
            <w:r w:rsidRPr="00E07C9A">
              <w:rPr>
                <w:rFonts w:ascii="Times New Roman" w:hAnsi="Times New Roman"/>
                <w:sz w:val="24"/>
              </w:rPr>
              <w:t>rezerv na sekuritizačnú pozíciu.</w:t>
            </w:r>
          </w:p>
          <w:p w14:paraId="455E2109" w14:textId="77777777" w:rsidR="00A16FFF" w:rsidRPr="00E07C9A" w:rsidRDefault="00A16FFF" w:rsidP="0002267E">
            <w:pPr>
              <w:autoSpaceDE w:val="0"/>
              <w:autoSpaceDN w:val="0"/>
              <w:adjustRightInd w:val="0"/>
              <w:spacing w:before="0" w:after="0"/>
              <w:jc w:val="left"/>
              <w:rPr>
                <w:rFonts w:ascii="Times New Roman" w:hAnsi="Times New Roman"/>
                <w:sz w:val="24"/>
                <w:lang w:eastAsia="es-ES_tradnl"/>
              </w:rPr>
            </w:pPr>
          </w:p>
          <w:p w14:paraId="34168DE7" w14:textId="60B50544" w:rsidR="009912F8" w:rsidRPr="00E07C9A" w:rsidRDefault="00E026FB"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Započítavanie je relevantné, len pokiaľ ide</w:t>
            </w:r>
            <w:r w:rsidR="009912F8" w:rsidRPr="00E07C9A">
              <w:rPr>
                <w:rFonts w:ascii="Times New Roman" w:hAnsi="Times New Roman"/>
                <w:sz w:val="24"/>
              </w:rPr>
              <w:t xml:space="preserve"> o </w:t>
            </w:r>
            <w:r w:rsidRPr="00E07C9A">
              <w:rPr>
                <w:rFonts w:ascii="Times New Roman" w:hAnsi="Times New Roman"/>
                <w:sz w:val="24"/>
              </w:rPr>
              <w:t>viacnásobné zmluvy</w:t>
            </w:r>
            <w:r w:rsidR="009912F8" w:rsidRPr="00E07C9A">
              <w:rPr>
                <w:rFonts w:ascii="Times New Roman" w:hAnsi="Times New Roman"/>
                <w:sz w:val="24"/>
              </w:rPr>
              <w:t xml:space="preserve"> o </w:t>
            </w:r>
            <w:r w:rsidRPr="00E07C9A">
              <w:rPr>
                <w:rFonts w:ascii="Times New Roman" w:hAnsi="Times New Roman"/>
                <w:sz w:val="24"/>
              </w:rPr>
              <w:t>derivátoch poskytnuté rovnakému účelovému subjektu zaoberajúcemu sa sekuritizáciou (SSPE) kryté prípustnou dohodou</w:t>
            </w:r>
            <w:r w:rsidR="009912F8" w:rsidRPr="00E07C9A">
              <w:rPr>
                <w:rFonts w:ascii="Times New Roman" w:hAnsi="Times New Roman"/>
                <w:sz w:val="24"/>
              </w:rPr>
              <w:t xml:space="preserve"> o </w:t>
            </w:r>
            <w:r w:rsidRPr="00E07C9A">
              <w:rPr>
                <w:rFonts w:ascii="Times New Roman" w:hAnsi="Times New Roman"/>
                <w:sz w:val="24"/>
              </w:rPr>
              <w:t>vzájomnom započítavaní</w:t>
            </w:r>
            <w:r w:rsidR="009912F8" w:rsidRPr="00E07C9A">
              <w:rPr>
                <w:rFonts w:ascii="Times New Roman" w:hAnsi="Times New Roman"/>
                <w:sz w:val="24"/>
              </w:rPr>
              <w:t>.</w:t>
            </w:r>
          </w:p>
          <w:p w14:paraId="202D070B" w14:textId="0811F5FD" w:rsidR="00E026FB" w:rsidRPr="00E07C9A" w:rsidRDefault="00E026FB" w:rsidP="00E10B85">
            <w:pPr>
              <w:autoSpaceDE w:val="0"/>
              <w:autoSpaceDN w:val="0"/>
              <w:adjustRightInd w:val="0"/>
              <w:spacing w:before="0" w:after="0"/>
              <w:rPr>
                <w:rFonts w:ascii="Times New Roman" w:hAnsi="Times New Roman"/>
                <w:sz w:val="24"/>
                <w:lang w:eastAsia="es-ES_tradnl"/>
              </w:rPr>
            </w:pPr>
          </w:p>
          <w:p w14:paraId="7A73F208" w14:textId="77777777" w:rsidR="00E026FB" w:rsidRPr="00E07C9A" w:rsidRDefault="00E026FB"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V prípade syntetických sekuritizácií sú pozície držané originátorom vo forme súvahových položiek a/alebo podielu investora výsledkom súhrnu stĺpcov 0010 až 0040.</w:t>
            </w:r>
          </w:p>
          <w:p w14:paraId="4D191038" w14:textId="77777777" w:rsidR="00E026FB" w:rsidRPr="00E07C9A" w:rsidRDefault="00E026FB" w:rsidP="00E10B85">
            <w:pPr>
              <w:autoSpaceDE w:val="0"/>
              <w:autoSpaceDN w:val="0"/>
              <w:adjustRightInd w:val="0"/>
              <w:spacing w:before="0" w:after="0"/>
              <w:rPr>
                <w:rFonts w:ascii="Times New Roman" w:hAnsi="Times New Roman"/>
                <w:bCs/>
                <w:sz w:val="24"/>
                <w:lang w:eastAsia="nl-BE"/>
              </w:rPr>
            </w:pPr>
          </w:p>
        </w:tc>
      </w:tr>
      <w:tr w:rsidR="00E026FB" w:rsidRPr="00E07C9A" w14:paraId="0387C63D" w14:textId="77777777" w:rsidTr="00E10B85">
        <w:tc>
          <w:tcPr>
            <w:tcW w:w="1568" w:type="dxa"/>
          </w:tcPr>
          <w:p w14:paraId="15A1CE8A" w14:textId="77777777" w:rsidR="00E026FB" w:rsidRPr="00E07C9A" w:rsidRDefault="00E026FB" w:rsidP="00E10B85">
            <w:pPr>
              <w:autoSpaceDE w:val="0"/>
              <w:autoSpaceDN w:val="0"/>
              <w:adjustRightInd w:val="0"/>
              <w:spacing w:before="0" w:after="0"/>
              <w:rPr>
                <w:rFonts w:ascii="Times New Roman" w:hAnsi="Times New Roman"/>
                <w:bCs/>
                <w:sz w:val="24"/>
              </w:rPr>
            </w:pPr>
            <w:r w:rsidRPr="00E07C9A">
              <w:rPr>
                <w:rFonts w:ascii="Times New Roman" w:hAnsi="Times New Roman"/>
                <w:sz w:val="24"/>
              </w:rPr>
              <w:t>0060</w:t>
            </w:r>
          </w:p>
        </w:tc>
        <w:tc>
          <w:tcPr>
            <w:tcW w:w="7436" w:type="dxa"/>
          </w:tcPr>
          <w:p w14:paraId="2AC9A0A4" w14:textId="77777777" w:rsidR="009912F8" w:rsidRPr="00E07C9A" w:rsidRDefault="00E026FB" w:rsidP="00E10B85">
            <w:pPr>
              <w:spacing w:before="0" w:after="0"/>
              <w:jc w:val="left"/>
              <w:rPr>
                <w:rFonts w:ascii="Times New Roman" w:hAnsi="Times New Roman"/>
                <w:b/>
                <w:sz w:val="24"/>
                <w:u w:val="single"/>
              </w:rPr>
            </w:pPr>
            <w:r w:rsidRPr="00E07C9A">
              <w:rPr>
                <w:rFonts w:ascii="Times New Roman" w:hAnsi="Times New Roman"/>
                <w:b/>
                <w:sz w:val="24"/>
                <w:u w:val="single"/>
              </w:rPr>
              <w:t>(–) ÚPRAVY OCENENIA A REZERVY</w:t>
            </w:r>
          </w:p>
          <w:p w14:paraId="0D46F34C" w14:textId="6F54FF0E" w:rsidR="00E026FB" w:rsidRPr="00E07C9A" w:rsidRDefault="00E026FB" w:rsidP="00E10B85">
            <w:pPr>
              <w:pStyle w:val="ListParagraph"/>
              <w:spacing w:before="0" w:after="0"/>
              <w:ind w:left="284" w:hanging="284"/>
              <w:rPr>
                <w:rFonts w:ascii="Times New Roman" w:hAnsi="Times New Roman"/>
                <w:sz w:val="24"/>
                <w:lang w:eastAsia="es-ES_tradnl"/>
              </w:rPr>
            </w:pPr>
          </w:p>
          <w:p w14:paraId="75F05B62" w14:textId="3933A23D" w:rsidR="00E026FB" w:rsidRPr="00E07C9A" w:rsidRDefault="00E026FB"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 xml:space="preserve">Článok 248 nariadenia (EÚ) </w:t>
            </w:r>
            <w:r w:rsidR="009912F8" w:rsidRPr="00E07C9A">
              <w:rPr>
                <w:rFonts w:ascii="Times New Roman" w:hAnsi="Times New Roman"/>
                <w:sz w:val="24"/>
              </w:rPr>
              <w:t>č. 575/2013</w:t>
            </w:r>
            <w:r w:rsidRPr="00E07C9A">
              <w:rPr>
                <w:rFonts w:ascii="Times New Roman" w:hAnsi="Times New Roman"/>
                <w:sz w:val="24"/>
              </w:rPr>
              <w:t xml:space="preserve"> Úpravy ocenenia</w:t>
            </w:r>
            <w:r w:rsidR="009912F8" w:rsidRPr="00E07C9A">
              <w:rPr>
                <w:rFonts w:ascii="Times New Roman" w:hAnsi="Times New Roman"/>
                <w:sz w:val="24"/>
              </w:rPr>
              <w:t xml:space="preserve"> a </w:t>
            </w:r>
            <w:r w:rsidRPr="00E07C9A">
              <w:rPr>
                <w:rFonts w:ascii="Times New Roman" w:hAnsi="Times New Roman"/>
                <w:sz w:val="24"/>
              </w:rPr>
              <w:t>rezervy, ktoré sa vykazujú</w:t>
            </w:r>
            <w:r w:rsidR="009912F8" w:rsidRPr="00E07C9A">
              <w:rPr>
                <w:rFonts w:ascii="Times New Roman" w:hAnsi="Times New Roman"/>
                <w:sz w:val="24"/>
              </w:rPr>
              <w:t xml:space="preserve"> v </w:t>
            </w:r>
            <w:r w:rsidRPr="00E07C9A">
              <w:rPr>
                <w:rFonts w:ascii="Times New Roman" w:hAnsi="Times New Roman"/>
                <w:sz w:val="24"/>
              </w:rPr>
              <w:t>tomto stĺpci, sa vzťahujú len na sekuritizačné pozície. Úpravy ocenenia sekuritizovaných expozícií sa nezohľadňujú.</w:t>
            </w:r>
          </w:p>
          <w:p w14:paraId="20EEC852" w14:textId="77777777" w:rsidR="00E026FB" w:rsidRPr="00E07C9A"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E07C9A" w14:paraId="525A8FB8" w14:textId="77777777" w:rsidTr="00E10B85">
        <w:tc>
          <w:tcPr>
            <w:tcW w:w="1568" w:type="dxa"/>
          </w:tcPr>
          <w:p w14:paraId="0ACCBA7A" w14:textId="77777777" w:rsidR="00E026FB" w:rsidRPr="00E07C9A" w:rsidRDefault="00E026FB" w:rsidP="00E10B85">
            <w:pPr>
              <w:autoSpaceDE w:val="0"/>
              <w:autoSpaceDN w:val="0"/>
              <w:adjustRightInd w:val="0"/>
              <w:spacing w:before="0" w:after="0"/>
              <w:rPr>
                <w:rFonts w:ascii="Times New Roman" w:hAnsi="Times New Roman"/>
                <w:bCs/>
                <w:sz w:val="24"/>
              </w:rPr>
            </w:pPr>
            <w:r w:rsidRPr="00E07C9A">
              <w:rPr>
                <w:rFonts w:ascii="Times New Roman" w:hAnsi="Times New Roman"/>
                <w:sz w:val="24"/>
              </w:rPr>
              <w:t>0070</w:t>
            </w:r>
          </w:p>
        </w:tc>
        <w:tc>
          <w:tcPr>
            <w:tcW w:w="7436" w:type="dxa"/>
          </w:tcPr>
          <w:p w14:paraId="6B1A8327" w14:textId="77777777" w:rsidR="00E026FB" w:rsidRPr="00E07C9A" w:rsidRDefault="00E026FB" w:rsidP="00E10B85">
            <w:pPr>
              <w:spacing w:before="0" w:after="0"/>
              <w:jc w:val="left"/>
              <w:rPr>
                <w:rFonts w:ascii="Times New Roman" w:hAnsi="Times New Roman"/>
                <w:b/>
                <w:sz w:val="24"/>
                <w:u w:val="single"/>
              </w:rPr>
            </w:pPr>
            <w:r w:rsidRPr="00E07C9A">
              <w:rPr>
                <w:rFonts w:ascii="Times New Roman" w:hAnsi="Times New Roman"/>
                <w:b/>
                <w:sz w:val="24"/>
                <w:u w:val="single"/>
              </w:rPr>
              <w:t>EXPOZÍCIA PO ODPOČÍTANÍ ÚPRAV OCENENIA A REZERV</w:t>
            </w:r>
          </w:p>
          <w:p w14:paraId="73266F25" w14:textId="77777777" w:rsidR="00E026FB" w:rsidRPr="00E07C9A" w:rsidRDefault="00E026FB" w:rsidP="00E10B85">
            <w:pPr>
              <w:spacing w:before="0" w:after="0"/>
              <w:jc w:val="left"/>
              <w:rPr>
                <w:rFonts w:ascii="Times New Roman" w:hAnsi="Times New Roman"/>
                <w:sz w:val="24"/>
                <w:lang w:eastAsia="es-ES_tradnl"/>
              </w:rPr>
            </w:pPr>
          </w:p>
          <w:p w14:paraId="2482C193" w14:textId="70BF1184" w:rsidR="00E026FB" w:rsidRPr="00E07C9A" w:rsidRDefault="00A16FFF" w:rsidP="00E10B85">
            <w:pPr>
              <w:autoSpaceDE w:val="0"/>
              <w:autoSpaceDN w:val="0"/>
              <w:adjustRightInd w:val="0"/>
              <w:spacing w:before="0" w:after="0"/>
              <w:jc w:val="left"/>
              <w:rPr>
                <w:rFonts w:ascii="Times New Roman" w:hAnsi="Times New Roman"/>
                <w:sz w:val="24"/>
              </w:rPr>
            </w:pPr>
            <w:r w:rsidRPr="00E07C9A">
              <w:rPr>
                <w:rFonts w:ascii="Times New Roman" w:hAnsi="Times New Roman"/>
                <w:sz w:val="24"/>
              </w:rPr>
              <w:t>Tento stĺpec zahŕňa hodnoty expozícií sekuritizačných pozícií vypočítané</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článkom 248 ods. 1</w:t>
            </w:r>
            <w:r w:rsidR="009912F8" w:rsidRPr="00E07C9A">
              <w:rPr>
                <w:rFonts w:ascii="Times New Roman" w:hAnsi="Times New Roman"/>
                <w:sz w:val="24"/>
              </w:rPr>
              <w:t xml:space="preserve"> a </w:t>
            </w:r>
            <w:r w:rsidRPr="00E07C9A">
              <w:rPr>
                <w:rFonts w:ascii="Times New Roman" w:hAnsi="Times New Roman"/>
                <w:sz w:val="24"/>
              </w:rPr>
              <w:t xml:space="preserve">2 nariadenia (EÚ) </w:t>
            </w:r>
            <w:r w:rsidR="009912F8" w:rsidRPr="00E07C9A">
              <w:rPr>
                <w:rFonts w:ascii="Times New Roman" w:hAnsi="Times New Roman"/>
                <w:sz w:val="24"/>
              </w:rPr>
              <w:t>č. 575/2013</w:t>
            </w:r>
            <w:r w:rsidRPr="00E07C9A">
              <w:rPr>
                <w:rFonts w:ascii="Times New Roman" w:hAnsi="Times New Roman"/>
                <w:sz w:val="24"/>
              </w:rPr>
              <w:t>, po započítaní úprav ocenenia</w:t>
            </w:r>
            <w:r w:rsidR="009912F8" w:rsidRPr="00E07C9A">
              <w:rPr>
                <w:rFonts w:ascii="Times New Roman" w:hAnsi="Times New Roman"/>
                <w:sz w:val="24"/>
              </w:rPr>
              <w:t xml:space="preserve"> a </w:t>
            </w:r>
            <w:r w:rsidRPr="00E07C9A">
              <w:rPr>
                <w:rFonts w:ascii="Times New Roman" w:hAnsi="Times New Roman"/>
                <w:sz w:val="24"/>
              </w:rPr>
              <w:t>rezerv, bez uplatnenia konverzných faktorov</w:t>
            </w:r>
            <w:r w:rsidR="009912F8" w:rsidRPr="00E07C9A">
              <w:rPr>
                <w:rFonts w:ascii="Times New Roman" w:hAnsi="Times New Roman"/>
                <w:sz w:val="24"/>
              </w:rPr>
              <w:t xml:space="preserve"> a </w:t>
            </w:r>
            <w:r w:rsidRPr="00E07C9A">
              <w:rPr>
                <w:rFonts w:ascii="Times New Roman" w:hAnsi="Times New Roman"/>
                <w:sz w:val="24"/>
              </w:rPr>
              <w:t>bez akýchkoľvek nerefundovateľných zliav</w:t>
            </w:r>
            <w:r w:rsidR="009912F8" w:rsidRPr="00E07C9A">
              <w:rPr>
                <w:rFonts w:ascii="Times New Roman" w:hAnsi="Times New Roman"/>
                <w:sz w:val="24"/>
              </w:rPr>
              <w:t xml:space="preserve"> z </w:t>
            </w:r>
            <w:r w:rsidRPr="00E07C9A">
              <w:rPr>
                <w:rFonts w:ascii="Times New Roman" w:hAnsi="Times New Roman"/>
                <w:sz w:val="24"/>
              </w:rPr>
              <w:t>obstarávacej ceny pri sekuritizovaných expozíciách, ako sa uvádza</w:t>
            </w:r>
            <w:r w:rsidR="009912F8" w:rsidRPr="00E07C9A">
              <w:rPr>
                <w:rFonts w:ascii="Times New Roman" w:hAnsi="Times New Roman"/>
                <w:sz w:val="24"/>
              </w:rPr>
              <w:t xml:space="preserve"> v </w:t>
            </w:r>
            <w:r w:rsidRPr="00E07C9A">
              <w:rPr>
                <w:rFonts w:ascii="Times New Roman" w:hAnsi="Times New Roman"/>
                <w:sz w:val="24"/>
              </w:rPr>
              <w:t xml:space="preserve">článku 248 ods. 1 písm. d) nariadenia (EÚ) </w:t>
            </w:r>
            <w:r w:rsidR="009912F8" w:rsidRPr="00E07C9A">
              <w:rPr>
                <w:rFonts w:ascii="Times New Roman" w:hAnsi="Times New Roman"/>
                <w:sz w:val="24"/>
              </w:rPr>
              <w:t>č. 575/2013</w:t>
            </w:r>
            <w:r w:rsidRPr="00E07C9A">
              <w:rPr>
                <w:rFonts w:ascii="Times New Roman" w:hAnsi="Times New Roman"/>
                <w:sz w:val="24"/>
              </w:rPr>
              <w:t>,</w:t>
            </w:r>
            <w:r w:rsidR="009912F8" w:rsidRPr="00E07C9A">
              <w:rPr>
                <w:rFonts w:ascii="Times New Roman" w:hAnsi="Times New Roman"/>
                <w:sz w:val="24"/>
              </w:rPr>
              <w:t xml:space="preserve"> a </w:t>
            </w:r>
            <w:r w:rsidRPr="00E07C9A">
              <w:rPr>
                <w:rFonts w:ascii="Times New Roman" w:hAnsi="Times New Roman"/>
                <w:sz w:val="24"/>
              </w:rPr>
              <w:t>po započítaní úprav ocenenia</w:t>
            </w:r>
            <w:r w:rsidR="009912F8" w:rsidRPr="00E07C9A">
              <w:rPr>
                <w:rFonts w:ascii="Times New Roman" w:hAnsi="Times New Roman"/>
                <w:sz w:val="24"/>
              </w:rPr>
              <w:t xml:space="preserve"> a </w:t>
            </w:r>
            <w:r w:rsidRPr="00E07C9A">
              <w:rPr>
                <w:rFonts w:ascii="Times New Roman" w:hAnsi="Times New Roman"/>
                <w:sz w:val="24"/>
              </w:rPr>
              <w:t>rezerv na sekuritizačnú pozíciu.</w:t>
            </w:r>
          </w:p>
          <w:p w14:paraId="4748E3DE" w14:textId="77777777" w:rsidR="00E026FB" w:rsidRPr="00E07C9A"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E07C9A" w14:paraId="288730F6" w14:textId="77777777" w:rsidTr="00E10B85">
        <w:tc>
          <w:tcPr>
            <w:tcW w:w="1568" w:type="dxa"/>
          </w:tcPr>
          <w:p w14:paraId="77485809" w14:textId="77777777" w:rsidR="00E026FB" w:rsidRPr="00E07C9A" w:rsidRDefault="00E026FB" w:rsidP="00E10B85">
            <w:pPr>
              <w:autoSpaceDE w:val="0"/>
              <w:autoSpaceDN w:val="0"/>
              <w:adjustRightInd w:val="0"/>
              <w:spacing w:before="0" w:after="0"/>
              <w:rPr>
                <w:rFonts w:ascii="Times New Roman" w:hAnsi="Times New Roman"/>
                <w:bCs/>
                <w:sz w:val="24"/>
              </w:rPr>
            </w:pPr>
            <w:r w:rsidRPr="00E07C9A">
              <w:rPr>
                <w:rFonts w:ascii="Times New Roman" w:hAnsi="Times New Roman"/>
                <w:sz w:val="24"/>
              </w:rPr>
              <w:t>0080 – 0110</w:t>
            </w:r>
          </w:p>
        </w:tc>
        <w:tc>
          <w:tcPr>
            <w:tcW w:w="7436" w:type="dxa"/>
          </w:tcPr>
          <w:p w14:paraId="2D665B70" w14:textId="77777777" w:rsidR="00E026FB" w:rsidRPr="00E07C9A" w:rsidRDefault="00E026FB" w:rsidP="00E10B85">
            <w:pPr>
              <w:spacing w:before="0" w:after="0"/>
              <w:jc w:val="left"/>
              <w:rPr>
                <w:rFonts w:ascii="Times New Roman" w:hAnsi="Times New Roman"/>
                <w:b/>
                <w:sz w:val="24"/>
                <w:u w:val="single"/>
              </w:rPr>
            </w:pPr>
            <w:r w:rsidRPr="00E07C9A">
              <w:rPr>
                <w:rFonts w:ascii="Times New Roman" w:hAnsi="Times New Roman"/>
                <w:b/>
                <w:sz w:val="24"/>
                <w:u w:val="single"/>
              </w:rPr>
              <w:t>POSTUPY ZMIERŇOVANIA KREDITNÉHO RIZIKA (CRM) SO SUBSTITUČNÝMI ÚČINKAMI NA EXPOZÍCIU</w:t>
            </w:r>
          </w:p>
          <w:p w14:paraId="4ACEAF6E" w14:textId="77777777" w:rsidR="00E026FB" w:rsidRPr="00E07C9A" w:rsidRDefault="00E026FB" w:rsidP="00E10B85">
            <w:pPr>
              <w:spacing w:before="0" w:after="0"/>
              <w:jc w:val="left"/>
              <w:rPr>
                <w:rFonts w:ascii="Times New Roman" w:hAnsi="Times New Roman"/>
                <w:sz w:val="24"/>
                <w:lang w:eastAsia="es-ES_tradnl"/>
              </w:rPr>
            </w:pPr>
          </w:p>
          <w:p w14:paraId="762CDD55" w14:textId="14433F10" w:rsidR="00E026FB" w:rsidRPr="00E07C9A" w:rsidRDefault="00E026FB" w:rsidP="00E10B85">
            <w:pPr>
              <w:spacing w:before="0" w:after="0"/>
              <w:rPr>
                <w:rFonts w:ascii="Times New Roman" w:hAnsi="Times New Roman"/>
                <w:sz w:val="24"/>
              </w:rPr>
            </w:pPr>
            <w:r w:rsidRPr="00E07C9A">
              <w:rPr>
                <w:rFonts w:ascii="Times New Roman" w:hAnsi="Times New Roman"/>
                <w:sz w:val="24"/>
              </w:rPr>
              <w:t>Článok 4 ods. 1 bod 57, tretia časť hlava II kapitola 4</w:t>
            </w:r>
            <w:r w:rsidR="009912F8" w:rsidRPr="00E07C9A">
              <w:rPr>
                <w:rFonts w:ascii="Times New Roman" w:hAnsi="Times New Roman"/>
                <w:sz w:val="24"/>
              </w:rPr>
              <w:t xml:space="preserve"> a </w:t>
            </w:r>
            <w:r w:rsidRPr="00E07C9A">
              <w:rPr>
                <w:rFonts w:ascii="Times New Roman" w:hAnsi="Times New Roman"/>
                <w:sz w:val="24"/>
              </w:rPr>
              <w:t xml:space="preserve">článok 249 nariadenia (EÚ) </w:t>
            </w:r>
            <w:r w:rsidR="009912F8" w:rsidRPr="00E07C9A">
              <w:rPr>
                <w:rFonts w:ascii="Times New Roman" w:hAnsi="Times New Roman"/>
                <w:sz w:val="24"/>
              </w:rPr>
              <w:t>č. 575/2013</w:t>
            </w:r>
          </w:p>
          <w:p w14:paraId="323405EF" w14:textId="77777777" w:rsidR="00E026FB" w:rsidRPr="00E07C9A" w:rsidRDefault="00E026FB" w:rsidP="00E10B85">
            <w:pPr>
              <w:spacing w:before="0" w:after="0"/>
              <w:rPr>
                <w:rFonts w:ascii="Times New Roman" w:hAnsi="Times New Roman"/>
                <w:sz w:val="24"/>
                <w:lang w:eastAsia="es-ES_tradnl"/>
              </w:rPr>
            </w:pPr>
          </w:p>
          <w:p w14:paraId="10D465A3" w14:textId="3DC2D35A" w:rsidR="00E026FB" w:rsidRPr="00E07C9A" w:rsidRDefault="007A00D6" w:rsidP="00E10B85">
            <w:pPr>
              <w:spacing w:before="0" w:after="0"/>
              <w:rPr>
                <w:rFonts w:ascii="Times New Roman" w:hAnsi="Times New Roman"/>
                <w:sz w:val="24"/>
              </w:rPr>
            </w:pPr>
            <w:r w:rsidRPr="00E07C9A">
              <w:rPr>
                <w:rFonts w:ascii="Times New Roman" w:hAnsi="Times New Roman"/>
                <w:sz w:val="24"/>
              </w:rPr>
              <w:t>V týchto stĺpcoch inštitúcie vykazujú informácie</w:t>
            </w:r>
            <w:r w:rsidR="009912F8" w:rsidRPr="00E07C9A">
              <w:rPr>
                <w:rFonts w:ascii="Times New Roman" w:hAnsi="Times New Roman"/>
                <w:sz w:val="24"/>
              </w:rPr>
              <w:t xml:space="preserve"> o </w:t>
            </w:r>
            <w:r w:rsidRPr="00E07C9A">
              <w:rPr>
                <w:rFonts w:ascii="Times New Roman" w:hAnsi="Times New Roman"/>
                <w:sz w:val="24"/>
              </w:rPr>
              <w:t>postupoch zmierňovania kreditného rizika, ktorými sa znižuje kreditné riziko expozície alebo expozícií prostredníctvom substitúcie expozícií (ako je uvedené nižšie pre kladné</w:t>
            </w:r>
            <w:r w:rsidR="009912F8" w:rsidRPr="00E07C9A">
              <w:rPr>
                <w:rFonts w:ascii="Times New Roman" w:hAnsi="Times New Roman"/>
                <w:sz w:val="24"/>
              </w:rPr>
              <w:t xml:space="preserve"> a </w:t>
            </w:r>
            <w:r w:rsidRPr="00E07C9A">
              <w:rPr>
                <w:rFonts w:ascii="Times New Roman" w:hAnsi="Times New Roman"/>
                <w:sz w:val="24"/>
              </w:rPr>
              <w:t>záporné peňažné toky).</w:t>
            </w:r>
          </w:p>
          <w:p w14:paraId="3F4BE074" w14:textId="77777777" w:rsidR="00E026FB" w:rsidRPr="00E07C9A" w:rsidRDefault="00E026FB" w:rsidP="00E10B85">
            <w:pPr>
              <w:spacing w:before="0" w:after="0"/>
              <w:rPr>
                <w:rFonts w:ascii="Times New Roman" w:hAnsi="Times New Roman"/>
                <w:sz w:val="24"/>
                <w:lang w:eastAsia="es-ES_tradnl"/>
              </w:rPr>
            </w:pPr>
          </w:p>
          <w:p w14:paraId="5CEE8B7E" w14:textId="77777777" w:rsidR="00E026FB" w:rsidRPr="00E07C9A" w:rsidRDefault="00D021AF" w:rsidP="00487A02">
            <w:pPr>
              <w:pStyle w:val="InstructionsText"/>
            </w:pPr>
            <w:r w:rsidRPr="00E07C9A">
              <w:t>Kolaterál, ktorý má účinok na hodnotu expozície (napr. ak sa používa pri postupoch zmierňovania kreditného rizika so substitučnými účinkami na expozíciu), sa zhora ohraničuje hodnotou expozície.</w:t>
            </w:r>
          </w:p>
          <w:p w14:paraId="466A5A4F" w14:textId="77777777" w:rsidR="00E026FB" w:rsidRPr="00E07C9A" w:rsidRDefault="00E026FB" w:rsidP="00487A02">
            <w:pPr>
              <w:pStyle w:val="InstructionsText"/>
            </w:pPr>
            <w:r w:rsidRPr="00E07C9A">
              <w:t>Položky, ktoré sa tu vykazujú:</w:t>
            </w:r>
          </w:p>
          <w:p w14:paraId="79175400" w14:textId="3DBEA75D" w:rsidR="00E026FB" w:rsidRPr="00E07C9A" w:rsidRDefault="00E026FB" w:rsidP="005C4397">
            <w:pPr>
              <w:pStyle w:val="ListParagraph"/>
              <w:numPr>
                <w:ilvl w:val="0"/>
                <w:numId w:val="24"/>
              </w:numPr>
              <w:tabs>
                <w:tab w:val="num" w:pos="360"/>
              </w:tabs>
              <w:spacing w:before="0" w:after="0"/>
              <w:rPr>
                <w:rFonts w:ascii="Times New Roman" w:hAnsi="Times New Roman"/>
                <w:sz w:val="24"/>
              </w:rPr>
            </w:pPr>
            <w:r w:rsidRPr="00E07C9A">
              <w:rPr>
                <w:rFonts w:ascii="Times New Roman" w:hAnsi="Times New Roman"/>
                <w:sz w:val="24"/>
              </w:rPr>
              <w:t>kolaterál zahrnutý</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222 nariadenia (EÚ) </w:t>
            </w:r>
            <w:r w:rsidR="009912F8" w:rsidRPr="00E07C9A">
              <w:rPr>
                <w:rFonts w:ascii="Times New Roman" w:hAnsi="Times New Roman"/>
                <w:sz w:val="24"/>
              </w:rPr>
              <w:t>č. 575/2013</w:t>
            </w:r>
            <w:r w:rsidRPr="00E07C9A">
              <w:rPr>
                <w:rFonts w:ascii="Times New Roman" w:hAnsi="Times New Roman"/>
                <w:sz w:val="24"/>
              </w:rPr>
              <w:t xml:space="preserve"> (jednoduchá metóda nakladania</w:t>
            </w:r>
            <w:r w:rsidR="009912F8" w:rsidRPr="00E07C9A">
              <w:rPr>
                <w:rFonts w:ascii="Times New Roman" w:hAnsi="Times New Roman"/>
                <w:sz w:val="24"/>
              </w:rPr>
              <w:t xml:space="preserve"> s </w:t>
            </w:r>
            <w:r w:rsidRPr="00E07C9A">
              <w:rPr>
                <w:rFonts w:ascii="Times New Roman" w:hAnsi="Times New Roman"/>
                <w:sz w:val="24"/>
              </w:rPr>
              <w:t>finančným kolaterálom);</w:t>
            </w:r>
          </w:p>
          <w:p w14:paraId="0EFE72E6" w14:textId="77777777" w:rsidR="00E026FB" w:rsidRPr="00E07C9A" w:rsidRDefault="00E026FB" w:rsidP="005C4397">
            <w:pPr>
              <w:pStyle w:val="ListParagraph"/>
              <w:numPr>
                <w:ilvl w:val="0"/>
                <w:numId w:val="24"/>
              </w:numPr>
              <w:tabs>
                <w:tab w:val="num" w:pos="360"/>
              </w:tabs>
              <w:spacing w:before="0" w:after="0"/>
              <w:rPr>
                <w:rFonts w:ascii="Times New Roman" w:hAnsi="Times New Roman"/>
                <w:sz w:val="24"/>
              </w:rPr>
            </w:pPr>
            <w:r w:rsidRPr="00E07C9A">
              <w:rPr>
                <w:rFonts w:ascii="Times New Roman" w:hAnsi="Times New Roman"/>
                <w:sz w:val="24"/>
              </w:rPr>
              <w:t>prípustné nefinancované kreditné zabezpečenie.</w:t>
            </w:r>
          </w:p>
          <w:p w14:paraId="528A8E70" w14:textId="77777777" w:rsidR="00E026FB" w:rsidRPr="00E07C9A" w:rsidRDefault="00E026FB" w:rsidP="00E10B85">
            <w:pPr>
              <w:spacing w:before="0" w:after="0"/>
              <w:rPr>
                <w:rFonts w:ascii="Times New Roman" w:hAnsi="Times New Roman"/>
                <w:b/>
                <w:sz w:val="24"/>
                <w:u w:val="single"/>
              </w:rPr>
            </w:pPr>
          </w:p>
        </w:tc>
      </w:tr>
      <w:tr w:rsidR="00E026FB" w:rsidRPr="00E07C9A" w14:paraId="61E86DE7" w14:textId="77777777" w:rsidTr="00E10B85">
        <w:tc>
          <w:tcPr>
            <w:tcW w:w="1568" w:type="dxa"/>
          </w:tcPr>
          <w:p w14:paraId="656E11C6" w14:textId="77777777" w:rsidR="00E026FB" w:rsidRPr="00E07C9A" w:rsidRDefault="00E026FB" w:rsidP="00E10B85">
            <w:pPr>
              <w:autoSpaceDE w:val="0"/>
              <w:autoSpaceDN w:val="0"/>
              <w:adjustRightInd w:val="0"/>
              <w:spacing w:before="0" w:after="0"/>
              <w:rPr>
                <w:rFonts w:ascii="Times New Roman" w:hAnsi="Times New Roman"/>
                <w:bCs/>
                <w:sz w:val="24"/>
              </w:rPr>
            </w:pPr>
            <w:r w:rsidRPr="00E07C9A">
              <w:rPr>
                <w:rFonts w:ascii="Times New Roman" w:hAnsi="Times New Roman"/>
                <w:sz w:val="24"/>
              </w:rPr>
              <w:t>0080</w:t>
            </w:r>
          </w:p>
        </w:tc>
        <w:tc>
          <w:tcPr>
            <w:tcW w:w="7436" w:type="dxa"/>
          </w:tcPr>
          <w:p w14:paraId="57F92310" w14:textId="77777777" w:rsidR="009912F8" w:rsidRPr="00E07C9A" w:rsidRDefault="00E026FB" w:rsidP="00E10B85">
            <w:pPr>
              <w:spacing w:before="0" w:after="0"/>
              <w:jc w:val="left"/>
              <w:rPr>
                <w:rFonts w:ascii="Times New Roman" w:hAnsi="Times New Roman"/>
                <w:b/>
                <w:sz w:val="24"/>
                <w:u w:val="single"/>
              </w:rPr>
            </w:pPr>
            <w:r w:rsidRPr="00E07C9A">
              <w:rPr>
                <w:rFonts w:ascii="Times New Roman" w:hAnsi="Times New Roman"/>
                <w:b/>
                <w:sz w:val="24"/>
                <w:u w:val="single"/>
              </w:rPr>
              <w:t>(–) NEFINANCOVANÉ KREDITNÉ ZABEZPEČENIE: UPRAVENÉ HODNOTY (G</w:t>
            </w:r>
            <w:r w:rsidRPr="00E07C9A">
              <w:rPr>
                <w:rFonts w:ascii="Times New Roman" w:hAnsi="Times New Roman"/>
                <w:b/>
                <w:sz w:val="24"/>
                <w:u w:val="single"/>
                <w:vertAlign w:val="subscript"/>
              </w:rPr>
              <w:t>A</w:t>
            </w:r>
            <w:r w:rsidRPr="00E07C9A">
              <w:rPr>
                <w:rFonts w:ascii="Times New Roman" w:hAnsi="Times New Roman"/>
                <w:b/>
                <w:sz w:val="24"/>
                <w:u w:val="single"/>
              </w:rPr>
              <w:t>)</w:t>
            </w:r>
          </w:p>
          <w:p w14:paraId="632429C1" w14:textId="1424846E" w:rsidR="00E026FB" w:rsidRPr="00E07C9A" w:rsidRDefault="00E026FB" w:rsidP="00E10B85">
            <w:pPr>
              <w:spacing w:before="0" w:after="0"/>
              <w:jc w:val="left"/>
              <w:rPr>
                <w:rFonts w:ascii="Times New Roman" w:hAnsi="Times New Roman"/>
                <w:b/>
                <w:sz w:val="24"/>
                <w:u w:val="single"/>
                <w:lang w:eastAsia="es-ES_tradnl"/>
              </w:rPr>
            </w:pPr>
          </w:p>
          <w:p w14:paraId="7D62CDA4" w14:textId="42DFEDBA" w:rsidR="00E026FB" w:rsidRPr="00E07C9A" w:rsidRDefault="00E026FB"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Nefinancované kreditné zabezpečenie</w:t>
            </w:r>
            <w:r w:rsidR="009912F8" w:rsidRPr="00E07C9A">
              <w:rPr>
                <w:rFonts w:ascii="Times New Roman" w:hAnsi="Times New Roman"/>
                <w:sz w:val="24"/>
              </w:rPr>
              <w:t xml:space="preserve"> v </w:t>
            </w:r>
            <w:r w:rsidRPr="00E07C9A">
              <w:rPr>
                <w:rFonts w:ascii="Times New Roman" w:hAnsi="Times New Roman"/>
                <w:sz w:val="24"/>
              </w:rPr>
              <w:t>zmysle vymedzenia</w:t>
            </w:r>
            <w:r w:rsidR="009912F8" w:rsidRPr="00E07C9A">
              <w:rPr>
                <w:rFonts w:ascii="Times New Roman" w:hAnsi="Times New Roman"/>
                <w:sz w:val="24"/>
              </w:rPr>
              <w:t xml:space="preserve"> v </w:t>
            </w:r>
            <w:r w:rsidRPr="00E07C9A">
              <w:rPr>
                <w:rFonts w:ascii="Times New Roman" w:hAnsi="Times New Roman"/>
                <w:sz w:val="24"/>
              </w:rPr>
              <w:t>článku 4 ods. 1 bode 59</w:t>
            </w:r>
            <w:r w:rsidR="009912F8" w:rsidRPr="00E07C9A">
              <w:rPr>
                <w:rFonts w:ascii="Times New Roman" w:hAnsi="Times New Roman"/>
                <w:sz w:val="24"/>
              </w:rPr>
              <w:t xml:space="preserve"> a </w:t>
            </w:r>
            <w:r w:rsidRPr="00E07C9A">
              <w:rPr>
                <w:rFonts w:ascii="Times New Roman" w:hAnsi="Times New Roman"/>
                <w:sz w:val="24"/>
              </w:rPr>
              <w:t xml:space="preserve">článkoch 234 až 236 nariadenia (EÚ) </w:t>
            </w:r>
            <w:r w:rsidR="009912F8" w:rsidRPr="00E07C9A">
              <w:rPr>
                <w:rFonts w:ascii="Times New Roman" w:hAnsi="Times New Roman"/>
                <w:sz w:val="24"/>
              </w:rPr>
              <w:t>č. 575/2013</w:t>
            </w:r>
            <w:r w:rsidRPr="00E07C9A">
              <w:rPr>
                <w:rFonts w:ascii="Times New Roman" w:hAnsi="Times New Roman"/>
                <w:sz w:val="24"/>
              </w:rPr>
              <w:t>.</w:t>
            </w:r>
          </w:p>
          <w:p w14:paraId="5278086F" w14:textId="77777777" w:rsidR="00E026FB" w:rsidRPr="00E07C9A" w:rsidRDefault="00E026FB" w:rsidP="00E10B85">
            <w:pPr>
              <w:autoSpaceDE w:val="0"/>
              <w:autoSpaceDN w:val="0"/>
              <w:adjustRightInd w:val="0"/>
              <w:spacing w:before="0" w:after="0"/>
              <w:rPr>
                <w:rFonts w:ascii="Times New Roman" w:hAnsi="Times New Roman"/>
                <w:b/>
                <w:sz w:val="24"/>
                <w:u w:val="single"/>
              </w:rPr>
            </w:pPr>
          </w:p>
        </w:tc>
      </w:tr>
      <w:tr w:rsidR="00E026FB" w:rsidRPr="00E07C9A" w14:paraId="33D797B8" w14:textId="77777777" w:rsidTr="00E10B85">
        <w:tc>
          <w:tcPr>
            <w:tcW w:w="1568" w:type="dxa"/>
          </w:tcPr>
          <w:p w14:paraId="2CCD201E" w14:textId="77777777" w:rsidR="00E026FB" w:rsidRPr="00E07C9A" w:rsidRDefault="00E026FB" w:rsidP="00E10B85">
            <w:pPr>
              <w:autoSpaceDE w:val="0"/>
              <w:autoSpaceDN w:val="0"/>
              <w:adjustRightInd w:val="0"/>
              <w:spacing w:before="0" w:after="0"/>
              <w:rPr>
                <w:rFonts w:ascii="Times New Roman" w:hAnsi="Times New Roman"/>
                <w:bCs/>
                <w:sz w:val="24"/>
              </w:rPr>
            </w:pPr>
            <w:r w:rsidRPr="00E07C9A">
              <w:rPr>
                <w:rFonts w:ascii="Times New Roman" w:hAnsi="Times New Roman"/>
                <w:sz w:val="24"/>
              </w:rPr>
              <w:t>0090</w:t>
            </w:r>
          </w:p>
        </w:tc>
        <w:tc>
          <w:tcPr>
            <w:tcW w:w="7436" w:type="dxa"/>
          </w:tcPr>
          <w:p w14:paraId="5455F9A3" w14:textId="77777777" w:rsidR="00E026FB" w:rsidRPr="00E07C9A" w:rsidRDefault="00E026FB" w:rsidP="00E10B85">
            <w:pPr>
              <w:spacing w:before="0" w:after="0"/>
              <w:rPr>
                <w:rFonts w:ascii="Times New Roman" w:hAnsi="Times New Roman"/>
                <w:b/>
                <w:sz w:val="24"/>
                <w:u w:val="single"/>
              </w:rPr>
            </w:pPr>
            <w:r w:rsidRPr="00E07C9A">
              <w:rPr>
                <w:rFonts w:ascii="Times New Roman" w:hAnsi="Times New Roman"/>
                <w:b/>
                <w:sz w:val="24"/>
                <w:u w:val="single"/>
              </w:rPr>
              <w:t>(–) FINANCOVANÉ KREDITNÉ ZABEZPEČENIE</w:t>
            </w:r>
          </w:p>
          <w:p w14:paraId="0156BAC9" w14:textId="77777777" w:rsidR="00E026FB" w:rsidRPr="00E07C9A" w:rsidRDefault="00E026FB" w:rsidP="00E10B85">
            <w:pPr>
              <w:spacing w:before="0" w:after="0"/>
              <w:rPr>
                <w:rFonts w:ascii="Times New Roman" w:hAnsi="Times New Roman"/>
                <w:sz w:val="24"/>
              </w:rPr>
            </w:pPr>
          </w:p>
          <w:p w14:paraId="774858F4" w14:textId="2CB485F9" w:rsidR="00E026FB" w:rsidRPr="00E07C9A" w:rsidRDefault="00E026FB"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Financované kreditné zabezpečenie</w:t>
            </w:r>
            <w:r w:rsidR="009912F8" w:rsidRPr="00E07C9A">
              <w:rPr>
                <w:rFonts w:ascii="Times New Roman" w:hAnsi="Times New Roman"/>
                <w:sz w:val="24"/>
              </w:rPr>
              <w:t xml:space="preserve"> v </w:t>
            </w:r>
            <w:r w:rsidRPr="00E07C9A">
              <w:rPr>
                <w:rFonts w:ascii="Times New Roman" w:hAnsi="Times New Roman"/>
                <w:sz w:val="24"/>
              </w:rPr>
              <w:t>zmysle vymedzenia</w:t>
            </w:r>
            <w:r w:rsidR="009912F8" w:rsidRPr="00E07C9A">
              <w:rPr>
                <w:rFonts w:ascii="Times New Roman" w:hAnsi="Times New Roman"/>
                <w:sz w:val="24"/>
              </w:rPr>
              <w:t xml:space="preserve"> v </w:t>
            </w:r>
            <w:r w:rsidRPr="00E07C9A">
              <w:rPr>
                <w:rFonts w:ascii="Times New Roman" w:hAnsi="Times New Roman"/>
                <w:sz w:val="24"/>
              </w:rPr>
              <w:t xml:space="preserve">článku 4 ods. 1 bode 58 nariadenia (EÚ) </w:t>
            </w:r>
            <w:r w:rsidR="009912F8" w:rsidRPr="00E07C9A">
              <w:rPr>
                <w:rFonts w:ascii="Times New Roman" w:hAnsi="Times New Roman"/>
                <w:sz w:val="24"/>
              </w:rPr>
              <w:t>č. 575/2013</w:t>
            </w:r>
            <w:r w:rsidRPr="00E07C9A">
              <w:rPr>
                <w:rFonts w:ascii="Times New Roman" w:hAnsi="Times New Roman"/>
                <w:sz w:val="24"/>
              </w:rPr>
              <w:t>, ako sa uvádza</w:t>
            </w:r>
            <w:r w:rsidR="009912F8" w:rsidRPr="00E07C9A">
              <w:rPr>
                <w:rFonts w:ascii="Times New Roman" w:hAnsi="Times New Roman"/>
                <w:sz w:val="24"/>
              </w:rPr>
              <w:t xml:space="preserve"> v </w:t>
            </w:r>
            <w:r w:rsidRPr="00E07C9A">
              <w:rPr>
                <w:rFonts w:ascii="Times New Roman" w:hAnsi="Times New Roman"/>
                <w:sz w:val="24"/>
              </w:rPr>
              <w:t>článku 249 ods. 2 prvom pododseku uvedeného nariadenia</w:t>
            </w:r>
            <w:r w:rsidR="009912F8" w:rsidRPr="00E07C9A">
              <w:rPr>
                <w:rFonts w:ascii="Times New Roman" w:hAnsi="Times New Roman"/>
                <w:sz w:val="24"/>
              </w:rPr>
              <w:t xml:space="preserve"> a </w:t>
            </w:r>
            <w:r w:rsidRPr="00E07C9A">
              <w:rPr>
                <w:rFonts w:ascii="Times New Roman" w:hAnsi="Times New Roman"/>
                <w:sz w:val="24"/>
              </w:rPr>
              <w:t>ako sa stanovuje</w:t>
            </w:r>
            <w:r w:rsidR="009912F8" w:rsidRPr="00E07C9A">
              <w:rPr>
                <w:rFonts w:ascii="Times New Roman" w:hAnsi="Times New Roman"/>
                <w:sz w:val="24"/>
              </w:rPr>
              <w:t xml:space="preserve"> v </w:t>
            </w:r>
            <w:r w:rsidRPr="00E07C9A">
              <w:rPr>
                <w:rFonts w:ascii="Times New Roman" w:hAnsi="Times New Roman"/>
                <w:sz w:val="24"/>
              </w:rPr>
              <w:t>článkoch 195, 197</w:t>
            </w:r>
            <w:r w:rsidR="009912F8" w:rsidRPr="00E07C9A">
              <w:rPr>
                <w:rFonts w:ascii="Times New Roman" w:hAnsi="Times New Roman"/>
                <w:sz w:val="24"/>
              </w:rPr>
              <w:t xml:space="preserve"> a </w:t>
            </w:r>
            <w:r w:rsidRPr="00E07C9A">
              <w:rPr>
                <w:rFonts w:ascii="Times New Roman" w:hAnsi="Times New Roman"/>
                <w:sz w:val="24"/>
              </w:rPr>
              <w:t>200 uvedeného nariadenia.</w:t>
            </w:r>
          </w:p>
          <w:p w14:paraId="2D8981BA" w14:textId="77777777" w:rsidR="00E026FB" w:rsidRPr="00E07C9A" w:rsidRDefault="00E026FB" w:rsidP="00E10B85">
            <w:pPr>
              <w:autoSpaceDE w:val="0"/>
              <w:autoSpaceDN w:val="0"/>
              <w:adjustRightInd w:val="0"/>
              <w:spacing w:before="0" w:after="0"/>
              <w:ind w:left="284" w:hanging="284"/>
              <w:rPr>
                <w:rFonts w:ascii="Times New Roman" w:hAnsi="Times New Roman"/>
                <w:sz w:val="24"/>
                <w:lang w:eastAsia="es-ES_tradnl"/>
              </w:rPr>
            </w:pPr>
          </w:p>
          <w:p w14:paraId="0F428FF8" w14:textId="04AC9BA3" w:rsidR="00E026FB" w:rsidRPr="00E07C9A" w:rsidRDefault="00E026FB" w:rsidP="00E10B85">
            <w:pPr>
              <w:spacing w:before="0" w:after="0"/>
              <w:rPr>
                <w:rFonts w:ascii="Times New Roman" w:hAnsi="Times New Roman"/>
                <w:sz w:val="24"/>
              </w:rPr>
            </w:pPr>
            <w:r w:rsidRPr="00E07C9A">
              <w:rPr>
                <w:rFonts w:ascii="Times New Roman" w:hAnsi="Times New Roman"/>
                <w:sz w:val="24"/>
              </w:rPr>
              <w:t>S dlhovými nástrojmi viazanými na úver</w:t>
            </w:r>
            <w:r w:rsidR="009912F8" w:rsidRPr="00E07C9A">
              <w:rPr>
                <w:rFonts w:ascii="Times New Roman" w:hAnsi="Times New Roman"/>
                <w:sz w:val="24"/>
              </w:rPr>
              <w:t xml:space="preserve"> a </w:t>
            </w:r>
            <w:r w:rsidRPr="00E07C9A">
              <w:rPr>
                <w:rFonts w:ascii="Times New Roman" w:hAnsi="Times New Roman"/>
                <w:sz w:val="24"/>
              </w:rPr>
              <w:t>vzájomným započítavaním</w:t>
            </w:r>
            <w:r w:rsidR="009912F8" w:rsidRPr="00E07C9A">
              <w:rPr>
                <w:rFonts w:ascii="Times New Roman" w:hAnsi="Times New Roman"/>
                <w:sz w:val="24"/>
              </w:rPr>
              <w:t xml:space="preserve"> v </w:t>
            </w:r>
            <w:r w:rsidRPr="00E07C9A">
              <w:rPr>
                <w:rFonts w:ascii="Times New Roman" w:hAnsi="Times New Roman"/>
                <w:sz w:val="24"/>
              </w:rPr>
              <w:t>súvahe sa podľa článkov 218</w:t>
            </w:r>
            <w:r w:rsidR="009912F8" w:rsidRPr="00E07C9A">
              <w:rPr>
                <w:rFonts w:ascii="Times New Roman" w:hAnsi="Times New Roman"/>
                <w:sz w:val="24"/>
              </w:rPr>
              <w:t xml:space="preserve"> a </w:t>
            </w:r>
            <w:r w:rsidRPr="00E07C9A">
              <w:rPr>
                <w:rFonts w:ascii="Times New Roman" w:hAnsi="Times New Roman"/>
                <w:sz w:val="24"/>
              </w:rPr>
              <w:t xml:space="preserve">219 nariadenia (EÚ) </w:t>
            </w:r>
            <w:r w:rsidR="009912F8" w:rsidRPr="00E07C9A">
              <w:rPr>
                <w:rFonts w:ascii="Times New Roman" w:hAnsi="Times New Roman"/>
                <w:sz w:val="24"/>
              </w:rPr>
              <w:t>č. 575/2013</w:t>
            </w:r>
            <w:r w:rsidRPr="00E07C9A">
              <w:rPr>
                <w:rFonts w:ascii="Times New Roman" w:hAnsi="Times New Roman"/>
                <w:sz w:val="24"/>
              </w:rPr>
              <w:t xml:space="preserve"> zaobchádza ako</w:t>
            </w:r>
            <w:r w:rsidR="009912F8" w:rsidRPr="00E07C9A">
              <w:rPr>
                <w:rFonts w:ascii="Times New Roman" w:hAnsi="Times New Roman"/>
                <w:sz w:val="24"/>
              </w:rPr>
              <w:t xml:space="preserve"> s </w:t>
            </w:r>
            <w:r w:rsidRPr="00E07C9A">
              <w:rPr>
                <w:rFonts w:ascii="Times New Roman" w:hAnsi="Times New Roman"/>
                <w:sz w:val="24"/>
              </w:rPr>
              <w:t>peňažným kolaterálom.</w:t>
            </w:r>
          </w:p>
          <w:p w14:paraId="0799D6F1" w14:textId="77777777" w:rsidR="00E026FB" w:rsidRPr="00E07C9A" w:rsidRDefault="00E026FB" w:rsidP="00E10B85">
            <w:pPr>
              <w:autoSpaceDE w:val="0"/>
              <w:autoSpaceDN w:val="0"/>
              <w:adjustRightInd w:val="0"/>
              <w:spacing w:before="0" w:after="0"/>
              <w:rPr>
                <w:rFonts w:ascii="Times New Roman" w:hAnsi="Times New Roman"/>
                <w:bCs/>
                <w:sz w:val="24"/>
                <w:lang w:eastAsia="nl-BE"/>
              </w:rPr>
            </w:pPr>
          </w:p>
        </w:tc>
      </w:tr>
      <w:tr w:rsidR="00E026FB" w:rsidRPr="00E07C9A" w14:paraId="79B55BCF" w14:textId="77777777" w:rsidTr="00E10B85">
        <w:tc>
          <w:tcPr>
            <w:tcW w:w="1568" w:type="dxa"/>
          </w:tcPr>
          <w:p w14:paraId="70E44236" w14:textId="77777777" w:rsidR="00E026FB" w:rsidRPr="00E07C9A" w:rsidRDefault="00E026FB" w:rsidP="00E10B85">
            <w:pPr>
              <w:autoSpaceDE w:val="0"/>
              <w:autoSpaceDN w:val="0"/>
              <w:adjustRightInd w:val="0"/>
              <w:spacing w:before="0" w:after="0"/>
              <w:rPr>
                <w:rFonts w:ascii="Times New Roman" w:hAnsi="Times New Roman"/>
                <w:bCs/>
                <w:sz w:val="24"/>
              </w:rPr>
            </w:pPr>
            <w:r w:rsidRPr="00E07C9A">
              <w:rPr>
                <w:rFonts w:ascii="Times New Roman" w:hAnsi="Times New Roman"/>
                <w:sz w:val="24"/>
              </w:rPr>
              <w:t>0100 – 0110</w:t>
            </w:r>
          </w:p>
        </w:tc>
        <w:tc>
          <w:tcPr>
            <w:tcW w:w="7436" w:type="dxa"/>
          </w:tcPr>
          <w:p w14:paraId="7FCCFFAF" w14:textId="77777777" w:rsidR="00E026FB" w:rsidRPr="00E07C9A" w:rsidRDefault="00E026FB" w:rsidP="00E10B85">
            <w:pPr>
              <w:autoSpaceDE w:val="0"/>
              <w:autoSpaceDN w:val="0"/>
              <w:adjustRightInd w:val="0"/>
              <w:spacing w:before="0" w:after="0"/>
              <w:jc w:val="left"/>
              <w:rPr>
                <w:rFonts w:ascii="Times New Roman" w:hAnsi="Times New Roman"/>
                <w:b/>
                <w:sz w:val="24"/>
                <w:u w:val="single"/>
              </w:rPr>
            </w:pPr>
            <w:r w:rsidRPr="00E07C9A">
              <w:rPr>
                <w:rFonts w:ascii="Times New Roman" w:hAnsi="Times New Roman"/>
                <w:b/>
                <w:sz w:val="24"/>
                <w:u w:val="single"/>
              </w:rPr>
              <w:t>SUBSTITÚCIA EXPOZÍCIE NA ZÁKLADE ZMIERŇOVANIA KREDITNÉHO RIZIKA:</w:t>
            </w:r>
          </w:p>
          <w:p w14:paraId="7679D654" w14:textId="77777777" w:rsidR="00E026FB" w:rsidRPr="00E07C9A" w:rsidRDefault="00E026FB" w:rsidP="00E10B85">
            <w:pPr>
              <w:spacing w:before="0" w:after="0"/>
              <w:rPr>
                <w:rFonts w:ascii="Times New Roman" w:hAnsi="Times New Roman"/>
                <w:b/>
                <w:sz w:val="24"/>
                <w:u w:val="single"/>
              </w:rPr>
            </w:pPr>
          </w:p>
          <w:p w14:paraId="3B205B2A" w14:textId="0C11382A" w:rsidR="00E026FB" w:rsidRPr="00E07C9A" w:rsidRDefault="00E026FB"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Vykazujú sa kladné</w:t>
            </w:r>
            <w:r w:rsidR="009912F8" w:rsidRPr="00E07C9A">
              <w:rPr>
                <w:rFonts w:ascii="Times New Roman" w:hAnsi="Times New Roman"/>
                <w:sz w:val="24"/>
              </w:rPr>
              <w:t xml:space="preserve"> a </w:t>
            </w:r>
            <w:r w:rsidRPr="00E07C9A">
              <w:rPr>
                <w:rFonts w:ascii="Times New Roman" w:hAnsi="Times New Roman"/>
                <w:sz w:val="24"/>
              </w:rPr>
              <w:t>záporné peňažné toky</w:t>
            </w:r>
            <w:r w:rsidR="009912F8" w:rsidRPr="00E07C9A">
              <w:rPr>
                <w:rFonts w:ascii="Times New Roman" w:hAnsi="Times New Roman"/>
                <w:sz w:val="24"/>
              </w:rPr>
              <w:t xml:space="preserve"> v </w:t>
            </w:r>
            <w:r w:rsidRPr="00E07C9A">
              <w:rPr>
                <w:rFonts w:ascii="Times New Roman" w:hAnsi="Times New Roman"/>
                <w:sz w:val="24"/>
              </w:rPr>
              <w:t>rámci rovnakých tried expozícií</w:t>
            </w:r>
            <w:r w:rsidR="009912F8" w:rsidRPr="00E07C9A">
              <w:rPr>
                <w:rFonts w:ascii="Times New Roman" w:hAnsi="Times New Roman"/>
                <w:sz w:val="24"/>
              </w:rPr>
              <w:t xml:space="preserve"> a v </w:t>
            </w:r>
            <w:r w:rsidRPr="00E07C9A">
              <w:rPr>
                <w:rFonts w:ascii="Times New Roman" w:hAnsi="Times New Roman"/>
                <w:sz w:val="24"/>
              </w:rPr>
              <w:t>náležitých prípadoch</w:t>
            </w:r>
            <w:r w:rsidR="009912F8" w:rsidRPr="00E07C9A">
              <w:rPr>
                <w:rFonts w:ascii="Times New Roman" w:hAnsi="Times New Roman"/>
                <w:sz w:val="24"/>
              </w:rPr>
              <w:t xml:space="preserve"> v </w:t>
            </w:r>
            <w:r w:rsidRPr="00E07C9A">
              <w:rPr>
                <w:rFonts w:ascii="Times New Roman" w:hAnsi="Times New Roman"/>
                <w:sz w:val="24"/>
              </w:rPr>
              <w:t>rizikových váhach alebo ratingových stupňoch dlžníkov.</w:t>
            </w:r>
          </w:p>
          <w:p w14:paraId="63561D77" w14:textId="77777777" w:rsidR="00E026FB" w:rsidRPr="00E07C9A" w:rsidRDefault="00E026FB" w:rsidP="00E10B85">
            <w:pPr>
              <w:spacing w:before="0" w:after="0"/>
              <w:rPr>
                <w:rFonts w:ascii="Times New Roman" w:hAnsi="Times New Roman"/>
                <w:b/>
                <w:sz w:val="24"/>
                <w:u w:val="single"/>
              </w:rPr>
            </w:pPr>
          </w:p>
        </w:tc>
      </w:tr>
      <w:tr w:rsidR="00E026FB" w:rsidRPr="00E07C9A" w14:paraId="605060ED" w14:textId="77777777" w:rsidTr="00E10B85">
        <w:tc>
          <w:tcPr>
            <w:tcW w:w="1568" w:type="dxa"/>
          </w:tcPr>
          <w:p w14:paraId="3D8FFE86" w14:textId="77777777" w:rsidR="00E026FB" w:rsidRPr="00E07C9A" w:rsidRDefault="00E026FB" w:rsidP="00E10B85">
            <w:pPr>
              <w:autoSpaceDE w:val="0"/>
              <w:autoSpaceDN w:val="0"/>
              <w:adjustRightInd w:val="0"/>
              <w:spacing w:before="0" w:after="0"/>
              <w:rPr>
                <w:rFonts w:ascii="Times New Roman" w:hAnsi="Times New Roman"/>
                <w:bCs/>
                <w:sz w:val="24"/>
              </w:rPr>
            </w:pPr>
            <w:r w:rsidRPr="00E07C9A">
              <w:rPr>
                <w:rFonts w:ascii="Times New Roman" w:hAnsi="Times New Roman"/>
                <w:sz w:val="24"/>
              </w:rPr>
              <w:t>0100</w:t>
            </w:r>
          </w:p>
        </w:tc>
        <w:tc>
          <w:tcPr>
            <w:tcW w:w="7436" w:type="dxa"/>
          </w:tcPr>
          <w:p w14:paraId="58242AED" w14:textId="77777777" w:rsidR="00E026FB" w:rsidRPr="00E07C9A" w:rsidRDefault="00E026FB" w:rsidP="00E10B85">
            <w:pPr>
              <w:autoSpaceDE w:val="0"/>
              <w:autoSpaceDN w:val="0"/>
              <w:adjustRightInd w:val="0"/>
              <w:spacing w:before="0" w:after="0"/>
              <w:jc w:val="left"/>
              <w:rPr>
                <w:rFonts w:ascii="Times New Roman" w:hAnsi="Times New Roman"/>
                <w:b/>
                <w:sz w:val="24"/>
                <w:u w:val="single"/>
              </w:rPr>
            </w:pPr>
            <w:r w:rsidRPr="00E07C9A">
              <w:rPr>
                <w:rFonts w:ascii="Times New Roman" w:hAnsi="Times New Roman"/>
                <w:b/>
                <w:sz w:val="24"/>
                <w:u w:val="single"/>
              </w:rPr>
              <w:t>(–⁠) CELKOVÉ ZÁPORNÉ PEŇAŽNÉ TOKY</w:t>
            </w:r>
          </w:p>
          <w:p w14:paraId="7E8FB48A" w14:textId="77777777" w:rsidR="00E026FB" w:rsidRPr="00E07C9A" w:rsidRDefault="00E026FB" w:rsidP="00E10B85">
            <w:pPr>
              <w:autoSpaceDE w:val="0"/>
              <w:autoSpaceDN w:val="0"/>
              <w:adjustRightInd w:val="0"/>
              <w:spacing w:before="0" w:after="0"/>
              <w:jc w:val="left"/>
              <w:rPr>
                <w:rFonts w:ascii="Times New Roman" w:hAnsi="Times New Roman"/>
                <w:sz w:val="24"/>
                <w:lang w:eastAsia="es-ES_tradnl"/>
              </w:rPr>
            </w:pPr>
          </w:p>
          <w:p w14:paraId="50CAFE5B" w14:textId="3924ED4D" w:rsidR="009912F8" w:rsidRPr="00E07C9A" w:rsidRDefault="00E026FB"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Článok 222 ods. 3, článok 235 ods. 1</w:t>
            </w:r>
            <w:r w:rsidR="009912F8" w:rsidRPr="00E07C9A">
              <w:rPr>
                <w:rFonts w:ascii="Times New Roman" w:hAnsi="Times New Roman"/>
                <w:sz w:val="24"/>
              </w:rPr>
              <w:t xml:space="preserve"> a </w:t>
            </w:r>
            <w:r w:rsidRPr="00E07C9A">
              <w:rPr>
                <w:rFonts w:ascii="Times New Roman" w:hAnsi="Times New Roman"/>
                <w:sz w:val="24"/>
              </w:rPr>
              <w:t>2</w:t>
            </w:r>
            <w:r w:rsidR="009912F8" w:rsidRPr="00E07C9A">
              <w:rPr>
                <w:rFonts w:ascii="Times New Roman" w:hAnsi="Times New Roman"/>
                <w:sz w:val="24"/>
              </w:rPr>
              <w:t xml:space="preserve"> a </w:t>
            </w:r>
            <w:r w:rsidRPr="00E07C9A">
              <w:rPr>
                <w:rFonts w:ascii="Times New Roman" w:hAnsi="Times New Roman"/>
                <w:sz w:val="24"/>
              </w:rPr>
              <w:t xml:space="preserve">článok 236 nariadenia (EÚ) </w:t>
            </w:r>
            <w:r w:rsidR="009912F8" w:rsidRPr="00E07C9A">
              <w:rPr>
                <w:rFonts w:ascii="Times New Roman" w:hAnsi="Times New Roman"/>
                <w:sz w:val="24"/>
              </w:rPr>
              <w:t>č. 575/2013</w:t>
            </w:r>
          </w:p>
          <w:p w14:paraId="37611052" w14:textId="0BC2F202" w:rsidR="00E026FB" w:rsidRPr="00E07C9A" w:rsidRDefault="00E026FB" w:rsidP="00E10B85">
            <w:pPr>
              <w:autoSpaceDE w:val="0"/>
              <w:autoSpaceDN w:val="0"/>
              <w:adjustRightInd w:val="0"/>
              <w:spacing w:before="0" w:after="0"/>
              <w:rPr>
                <w:rFonts w:ascii="Times New Roman" w:hAnsi="Times New Roman"/>
                <w:sz w:val="24"/>
                <w:lang w:eastAsia="es-ES_tradnl"/>
              </w:rPr>
            </w:pPr>
          </w:p>
          <w:p w14:paraId="44DFFFA9" w14:textId="4947D306" w:rsidR="009912F8" w:rsidRPr="00E07C9A" w:rsidRDefault="00E026FB"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Záporné peňažné toky zodpovedajú krytej časti „expozícií po odpočítaní úprav ocenení</w:t>
            </w:r>
            <w:r w:rsidR="009912F8" w:rsidRPr="00E07C9A">
              <w:rPr>
                <w:rFonts w:ascii="Times New Roman" w:hAnsi="Times New Roman"/>
                <w:sz w:val="24"/>
              </w:rPr>
              <w:t xml:space="preserve"> a </w:t>
            </w:r>
            <w:r w:rsidRPr="00E07C9A">
              <w:rPr>
                <w:rFonts w:ascii="Times New Roman" w:hAnsi="Times New Roman"/>
                <w:sz w:val="24"/>
              </w:rPr>
              <w:t>rezerv“, ktorá sa odpočítava od triedy expozícií dlžníka</w:t>
            </w:r>
            <w:r w:rsidR="009912F8" w:rsidRPr="00E07C9A">
              <w:rPr>
                <w:rFonts w:ascii="Times New Roman" w:hAnsi="Times New Roman"/>
                <w:sz w:val="24"/>
              </w:rPr>
              <w:t xml:space="preserve"> a v </w:t>
            </w:r>
            <w:r w:rsidRPr="00E07C9A">
              <w:rPr>
                <w:rFonts w:ascii="Times New Roman" w:hAnsi="Times New Roman"/>
                <w:sz w:val="24"/>
              </w:rPr>
              <w:t>náležitých prípadoch od rizikovej váhy alebo ratingového stupňa dlžníka</w:t>
            </w:r>
            <w:r w:rsidR="009912F8" w:rsidRPr="00E07C9A">
              <w:rPr>
                <w:rFonts w:ascii="Times New Roman" w:hAnsi="Times New Roman"/>
                <w:sz w:val="24"/>
              </w:rPr>
              <w:t xml:space="preserve"> a </w:t>
            </w:r>
            <w:r w:rsidRPr="00E07C9A">
              <w:rPr>
                <w:rFonts w:ascii="Times New Roman" w:hAnsi="Times New Roman"/>
                <w:sz w:val="24"/>
              </w:rPr>
              <w:t>potom sa zaradí do triedy expozícií poskytovateľa zabezpečenia</w:t>
            </w:r>
            <w:r w:rsidR="009912F8" w:rsidRPr="00E07C9A">
              <w:rPr>
                <w:rFonts w:ascii="Times New Roman" w:hAnsi="Times New Roman"/>
                <w:sz w:val="24"/>
              </w:rPr>
              <w:t xml:space="preserve"> a v </w:t>
            </w:r>
            <w:r w:rsidRPr="00E07C9A">
              <w:rPr>
                <w:rFonts w:ascii="Times New Roman" w:hAnsi="Times New Roman"/>
                <w:sz w:val="24"/>
              </w:rPr>
              <w:t>náležitých prípadoch do rizikovej váhy alebo ratingového stupňa dlžníka</w:t>
            </w:r>
            <w:r w:rsidR="009912F8" w:rsidRPr="00E07C9A">
              <w:rPr>
                <w:rFonts w:ascii="Times New Roman" w:hAnsi="Times New Roman"/>
                <w:sz w:val="24"/>
              </w:rPr>
              <w:t>.</w:t>
            </w:r>
          </w:p>
          <w:p w14:paraId="3FFD3600" w14:textId="604EAA16" w:rsidR="00E026FB" w:rsidRPr="00E07C9A" w:rsidRDefault="00E026FB" w:rsidP="00E10B85">
            <w:pPr>
              <w:autoSpaceDE w:val="0"/>
              <w:autoSpaceDN w:val="0"/>
              <w:adjustRightInd w:val="0"/>
              <w:spacing w:before="0" w:after="0"/>
              <w:rPr>
                <w:rFonts w:ascii="Times New Roman" w:hAnsi="Times New Roman"/>
                <w:sz w:val="24"/>
                <w:lang w:eastAsia="es-ES_tradnl"/>
              </w:rPr>
            </w:pPr>
          </w:p>
          <w:p w14:paraId="700D75AA" w14:textId="7858C9BC" w:rsidR="00E026FB" w:rsidRPr="00E07C9A" w:rsidRDefault="00E026FB"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Táto hodnota sa považuje za kladný peňažný tok do triedy expozícií poskytovateľa zabezpečenia</w:t>
            </w:r>
            <w:r w:rsidR="009912F8" w:rsidRPr="00E07C9A">
              <w:rPr>
                <w:rFonts w:ascii="Times New Roman" w:hAnsi="Times New Roman"/>
                <w:sz w:val="24"/>
              </w:rPr>
              <w:t xml:space="preserve"> a v </w:t>
            </w:r>
            <w:r w:rsidRPr="00E07C9A">
              <w:rPr>
                <w:rFonts w:ascii="Times New Roman" w:hAnsi="Times New Roman"/>
                <w:sz w:val="24"/>
              </w:rPr>
              <w:t>náležitých prípadoch do rizikových váh alebo ratingových stupňov dlžníka.</w:t>
            </w:r>
          </w:p>
          <w:p w14:paraId="4F67E887" w14:textId="77777777" w:rsidR="00E026FB" w:rsidRPr="00E07C9A"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E07C9A" w14:paraId="2EEE42A8" w14:textId="77777777" w:rsidTr="00E10B85">
        <w:tc>
          <w:tcPr>
            <w:tcW w:w="1568" w:type="dxa"/>
          </w:tcPr>
          <w:p w14:paraId="06A354CB" w14:textId="77777777" w:rsidR="00E026FB" w:rsidRPr="00E07C9A" w:rsidRDefault="00E026FB" w:rsidP="00E10B85">
            <w:pPr>
              <w:autoSpaceDE w:val="0"/>
              <w:autoSpaceDN w:val="0"/>
              <w:adjustRightInd w:val="0"/>
              <w:spacing w:before="0" w:after="0"/>
              <w:rPr>
                <w:rFonts w:ascii="Times New Roman" w:hAnsi="Times New Roman"/>
                <w:bCs/>
                <w:sz w:val="24"/>
              </w:rPr>
            </w:pPr>
            <w:r w:rsidRPr="00E07C9A">
              <w:rPr>
                <w:rFonts w:ascii="Times New Roman" w:hAnsi="Times New Roman"/>
                <w:sz w:val="24"/>
              </w:rPr>
              <w:t>0110</w:t>
            </w:r>
          </w:p>
        </w:tc>
        <w:tc>
          <w:tcPr>
            <w:tcW w:w="7436" w:type="dxa"/>
          </w:tcPr>
          <w:p w14:paraId="42F8AA6A" w14:textId="77777777" w:rsidR="00E026FB" w:rsidRPr="00E07C9A" w:rsidRDefault="00E026FB" w:rsidP="00E10B85">
            <w:pPr>
              <w:autoSpaceDE w:val="0"/>
              <w:autoSpaceDN w:val="0"/>
              <w:adjustRightInd w:val="0"/>
              <w:spacing w:before="0" w:after="0"/>
              <w:jc w:val="left"/>
              <w:rPr>
                <w:rStyle w:val="InstructionsTabelleberschrift"/>
                <w:rFonts w:ascii="Times New Roman" w:hAnsi="Times New Roman"/>
                <w:sz w:val="24"/>
              </w:rPr>
            </w:pPr>
            <w:r w:rsidRPr="00E07C9A">
              <w:rPr>
                <w:rStyle w:val="InstructionsTabelleberschrift"/>
                <w:rFonts w:ascii="Times New Roman" w:hAnsi="Times New Roman"/>
                <w:sz w:val="24"/>
              </w:rPr>
              <w:t>CELKOVÉ KLADNÉ PEŇAŽNÉ TOKY</w:t>
            </w:r>
          </w:p>
          <w:p w14:paraId="58AE86F6" w14:textId="77777777" w:rsidR="00E026FB" w:rsidRPr="00E07C9A"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A7C7F22" w14:textId="053E0E69" w:rsidR="00E026FB" w:rsidRPr="00E07C9A" w:rsidRDefault="00E026FB" w:rsidP="00E10B85">
            <w:pPr>
              <w:spacing w:before="0" w:after="0"/>
              <w:rPr>
                <w:rFonts w:ascii="Times New Roman" w:hAnsi="Times New Roman"/>
                <w:sz w:val="24"/>
              </w:rPr>
            </w:pPr>
            <w:r w:rsidRPr="00E07C9A">
              <w:rPr>
                <w:rFonts w:ascii="Times New Roman" w:hAnsi="Times New Roman"/>
                <w:sz w:val="24"/>
              </w:rPr>
              <w:t>Sekuritizačné pozície, ktoré sú dlhovými cennými papiermi</w:t>
            </w:r>
            <w:r w:rsidR="009912F8" w:rsidRPr="00E07C9A">
              <w:rPr>
                <w:rFonts w:ascii="Times New Roman" w:hAnsi="Times New Roman"/>
                <w:sz w:val="24"/>
              </w:rPr>
              <w:t xml:space="preserve"> a </w:t>
            </w:r>
            <w:r w:rsidRPr="00E07C9A">
              <w:rPr>
                <w:rFonts w:ascii="Times New Roman" w:hAnsi="Times New Roman"/>
                <w:sz w:val="24"/>
              </w:rPr>
              <w:t>používajú sa ako prípustný finančný kolaterál</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197 ods. 1 nariadenia (EÚ) </w:t>
            </w:r>
            <w:r w:rsidR="009912F8" w:rsidRPr="00E07C9A">
              <w:rPr>
                <w:rFonts w:ascii="Times New Roman" w:hAnsi="Times New Roman"/>
                <w:sz w:val="24"/>
              </w:rPr>
              <w:t>č. 575/2013 a </w:t>
            </w:r>
            <w:r w:rsidRPr="00E07C9A">
              <w:rPr>
                <w:rFonts w:ascii="Times New Roman" w:hAnsi="Times New Roman"/>
                <w:sz w:val="24"/>
              </w:rPr>
              <w:t>pri ktorých sa používa jednoduchá metóda nakladania</w:t>
            </w:r>
            <w:r w:rsidR="009912F8" w:rsidRPr="00E07C9A">
              <w:rPr>
                <w:rFonts w:ascii="Times New Roman" w:hAnsi="Times New Roman"/>
                <w:sz w:val="24"/>
              </w:rPr>
              <w:t xml:space="preserve"> s </w:t>
            </w:r>
            <w:r w:rsidRPr="00E07C9A">
              <w:rPr>
                <w:rFonts w:ascii="Times New Roman" w:hAnsi="Times New Roman"/>
                <w:sz w:val="24"/>
              </w:rPr>
              <w:t>finančným kolaterálom, sa vykazujú</w:t>
            </w:r>
            <w:r w:rsidR="009912F8" w:rsidRPr="00E07C9A">
              <w:rPr>
                <w:rFonts w:ascii="Times New Roman" w:hAnsi="Times New Roman"/>
                <w:sz w:val="24"/>
              </w:rPr>
              <w:t xml:space="preserve"> v </w:t>
            </w:r>
            <w:r w:rsidRPr="00E07C9A">
              <w:rPr>
                <w:rFonts w:ascii="Times New Roman" w:hAnsi="Times New Roman"/>
                <w:sz w:val="24"/>
              </w:rPr>
              <w:t>tomto stĺpci ako kladné peňažné toky.</w:t>
            </w:r>
          </w:p>
          <w:p w14:paraId="5526072E" w14:textId="77777777" w:rsidR="00E026FB" w:rsidRPr="00E07C9A"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E07C9A" w14:paraId="33A998AD" w14:textId="77777777" w:rsidTr="00E10B85">
        <w:tc>
          <w:tcPr>
            <w:tcW w:w="1568" w:type="dxa"/>
          </w:tcPr>
          <w:p w14:paraId="058003CC" w14:textId="77777777" w:rsidR="00E026FB" w:rsidRPr="00E07C9A" w:rsidRDefault="00E026FB" w:rsidP="00E10B85">
            <w:pPr>
              <w:autoSpaceDE w:val="0"/>
              <w:autoSpaceDN w:val="0"/>
              <w:adjustRightInd w:val="0"/>
              <w:spacing w:before="0" w:after="0"/>
              <w:rPr>
                <w:rFonts w:ascii="Times New Roman" w:hAnsi="Times New Roman"/>
                <w:bCs/>
                <w:sz w:val="24"/>
              </w:rPr>
            </w:pPr>
            <w:r w:rsidRPr="00E07C9A">
              <w:rPr>
                <w:rFonts w:ascii="Times New Roman" w:hAnsi="Times New Roman"/>
                <w:sz w:val="24"/>
              </w:rPr>
              <w:t>0120</w:t>
            </w:r>
          </w:p>
        </w:tc>
        <w:tc>
          <w:tcPr>
            <w:tcW w:w="7436" w:type="dxa"/>
          </w:tcPr>
          <w:p w14:paraId="1B1E57A4" w14:textId="77777777" w:rsidR="00E026FB" w:rsidRPr="00E07C9A" w:rsidRDefault="00E026FB" w:rsidP="00E10B85">
            <w:pPr>
              <w:autoSpaceDE w:val="0"/>
              <w:autoSpaceDN w:val="0"/>
              <w:adjustRightInd w:val="0"/>
              <w:spacing w:before="0" w:after="0"/>
              <w:jc w:val="left"/>
              <w:rPr>
                <w:rStyle w:val="InstructionsTabelleberschrift"/>
                <w:rFonts w:ascii="Times New Roman" w:hAnsi="Times New Roman"/>
                <w:sz w:val="24"/>
              </w:rPr>
            </w:pPr>
            <w:r w:rsidRPr="00E07C9A">
              <w:rPr>
                <w:rStyle w:val="InstructionsTabelleberschrift"/>
                <w:rFonts w:ascii="Times New Roman" w:hAnsi="Times New Roman"/>
                <w:sz w:val="24"/>
              </w:rPr>
              <w:t>ČISTÁ EXPOZÍCIA PO SUBSTITUČNÝCH ÚČINKOCH CRM PRED UPLATNENÍM KONVERZNÝCH FAKTOROV</w:t>
            </w:r>
          </w:p>
          <w:p w14:paraId="761500B2" w14:textId="77777777" w:rsidR="00E026FB" w:rsidRPr="00E07C9A" w:rsidRDefault="00E026FB" w:rsidP="00E10B85">
            <w:pPr>
              <w:autoSpaceDE w:val="0"/>
              <w:autoSpaceDN w:val="0"/>
              <w:adjustRightInd w:val="0"/>
              <w:spacing w:before="0" w:after="0"/>
              <w:jc w:val="left"/>
              <w:rPr>
                <w:rStyle w:val="FormatvorlageInstructionsTabelleText"/>
                <w:rFonts w:ascii="Times New Roman" w:hAnsi="Times New Roman"/>
                <w:sz w:val="24"/>
              </w:rPr>
            </w:pPr>
          </w:p>
          <w:p w14:paraId="1EC8AFDE" w14:textId="769986CD" w:rsidR="00E026FB" w:rsidRPr="00E07C9A" w:rsidRDefault="00A16FFF" w:rsidP="00E10B85">
            <w:pPr>
              <w:autoSpaceDE w:val="0"/>
              <w:autoSpaceDN w:val="0"/>
              <w:adjustRightInd w:val="0"/>
              <w:spacing w:before="0" w:after="0"/>
              <w:jc w:val="left"/>
              <w:rPr>
                <w:rStyle w:val="FormatvorlageInstructionsTabelleText"/>
                <w:rFonts w:ascii="Times New Roman" w:hAnsi="Times New Roman"/>
                <w:sz w:val="24"/>
              </w:rPr>
            </w:pPr>
            <w:r w:rsidRPr="00E07C9A">
              <w:rPr>
                <w:rStyle w:val="FormatvorlageInstructionsTabelleText"/>
                <w:rFonts w:ascii="Times New Roman" w:hAnsi="Times New Roman"/>
                <w:sz w:val="24"/>
              </w:rPr>
              <w:t>Tento stĺpec zahŕňa expozície zaradené do príslušnej rizikovej váhy</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triedy expozícií po zohľadnení záporných</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kladných peňažných tokov na základe „postupov zmierňovania kreditného rizika (CRM) so substitučnými účinkami na expozíciu“.</w:t>
            </w:r>
          </w:p>
          <w:p w14:paraId="140F8D3A" w14:textId="77777777" w:rsidR="00E026FB" w:rsidRPr="00E07C9A"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E07C9A" w14:paraId="6E0D198A" w14:textId="77777777" w:rsidTr="00E10B85">
        <w:tc>
          <w:tcPr>
            <w:tcW w:w="1568" w:type="dxa"/>
          </w:tcPr>
          <w:p w14:paraId="0C52FDF1" w14:textId="77777777" w:rsidR="00E026FB" w:rsidRPr="00E07C9A" w:rsidRDefault="00E026FB" w:rsidP="00E10B85">
            <w:pPr>
              <w:autoSpaceDE w:val="0"/>
              <w:autoSpaceDN w:val="0"/>
              <w:adjustRightInd w:val="0"/>
              <w:spacing w:before="0" w:after="0"/>
              <w:rPr>
                <w:rFonts w:ascii="Times New Roman" w:hAnsi="Times New Roman"/>
                <w:bCs/>
                <w:sz w:val="24"/>
              </w:rPr>
            </w:pPr>
            <w:r w:rsidRPr="00E07C9A">
              <w:rPr>
                <w:rFonts w:ascii="Times New Roman" w:hAnsi="Times New Roman"/>
                <w:sz w:val="24"/>
              </w:rPr>
              <w:t>0130</w:t>
            </w:r>
          </w:p>
        </w:tc>
        <w:tc>
          <w:tcPr>
            <w:tcW w:w="7436" w:type="dxa"/>
          </w:tcPr>
          <w:p w14:paraId="66E4B8E7" w14:textId="0FECBA09" w:rsidR="00E026FB" w:rsidRPr="00E07C9A" w:rsidRDefault="00E026FB" w:rsidP="00E10B85">
            <w:pPr>
              <w:autoSpaceDE w:val="0"/>
              <w:autoSpaceDN w:val="0"/>
              <w:adjustRightInd w:val="0"/>
              <w:spacing w:before="0" w:after="0"/>
              <w:jc w:val="left"/>
              <w:rPr>
                <w:rStyle w:val="InstructionsTabelleberschrift"/>
                <w:rFonts w:ascii="Times New Roman" w:hAnsi="Times New Roman"/>
                <w:sz w:val="24"/>
              </w:rPr>
            </w:pPr>
            <w:r w:rsidRPr="00E07C9A">
              <w:rPr>
                <w:rStyle w:val="InstructionsTabelleberschrift"/>
                <w:rFonts w:ascii="Times New Roman" w:hAnsi="Times New Roman"/>
                <w:sz w:val="24"/>
              </w:rPr>
              <w:t>(–) POSTUPY ZMIERŇOVANIA KREDITNÉHO RIZIKA</w:t>
            </w:r>
            <w:r w:rsidR="009912F8" w:rsidRPr="00E07C9A">
              <w:rPr>
                <w:rStyle w:val="InstructionsTabelleberschrift"/>
                <w:rFonts w:ascii="Times New Roman" w:hAnsi="Times New Roman"/>
                <w:sz w:val="24"/>
              </w:rPr>
              <w:t xml:space="preserve"> S </w:t>
            </w:r>
            <w:r w:rsidRPr="00E07C9A">
              <w:rPr>
                <w:rStyle w:val="InstructionsTabelleberschrift"/>
                <w:rFonts w:ascii="Times New Roman" w:hAnsi="Times New Roman"/>
                <w:sz w:val="24"/>
              </w:rPr>
              <w:t>VPLYVOM NA HODNOTU EXPOZÍCIE: HODNOTA FINANCOVANÉHO KREDITNÉHO ZABEZPEČENIA UPRAVENÁ NA ZÁKLADE SÚHRNNEJ METÓDY NAKLADANIA</w:t>
            </w:r>
            <w:r w:rsidR="009912F8" w:rsidRPr="00E07C9A">
              <w:rPr>
                <w:rStyle w:val="InstructionsTabelleberschrift"/>
                <w:rFonts w:ascii="Times New Roman" w:hAnsi="Times New Roman"/>
                <w:sz w:val="24"/>
              </w:rPr>
              <w:t xml:space="preserve"> S </w:t>
            </w:r>
            <w:r w:rsidRPr="00E07C9A">
              <w:rPr>
                <w:rStyle w:val="InstructionsTabelleberschrift"/>
                <w:rFonts w:ascii="Times New Roman" w:hAnsi="Times New Roman"/>
                <w:sz w:val="24"/>
              </w:rPr>
              <w:t>FINANČNÝM KOLATERÁLOM (CVAM)</w:t>
            </w:r>
          </w:p>
          <w:p w14:paraId="6F965227" w14:textId="77777777" w:rsidR="00E026FB" w:rsidRPr="00E07C9A" w:rsidRDefault="00E026FB" w:rsidP="00E10B85">
            <w:pPr>
              <w:autoSpaceDE w:val="0"/>
              <w:autoSpaceDN w:val="0"/>
              <w:adjustRightInd w:val="0"/>
              <w:spacing w:before="0" w:after="0"/>
              <w:jc w:val="left"/>
              <w:rPr>
                <w:rStyle w:val="FormatvorlageInstructionsTabelleText"/>
                <w:rFonts w:ascii="Times New Roman" w:hAnsi="Times New Roman"/>
                <w:sz w:val="24"/>
              </w:rPr>
            </w:pPr>
          </w:p>
          <w:p w14:paraId="7CF9B7A6" w14:textId="0EA5A38E" w:rsidR="009912F8" w:rsidRPr="00E07C9A" w:rsidRDefault="00E026FB" w:rsidP="00487A02">
            <w:pPr>
              <w:pStyle w:val="InstructionsText"/>
            </w:pPr>
            <w:r w:rsidRPr="00E07C9A">
              <w:t xml:space="preserve">Články 223 až 228 nariadenia (EÚ) </w:t>
            </w:r>
            <w:r w:rsidR="009912F8" w:rsidRPr="00E07C9A">
              <w:t>č. 575/2013</w:t>
            </w:r>
          </w:p>
          <w:p w14:paraId="0046A2D9" w14:textId="69CDCD4F" w:rsidR="00E026FB" w:rsidRPr="00E07C9A" w:rsidRDefault="00A16FFF" w:rsidP="00487A02">
            <w:pPr>
              <w:pStyle w:val="InstructionsText"/>
            </w:pPr>
            <w:r w:rsidRPr="00E07C9A">
              <w:t xml:space="preserve">Vykazovaná hodnota zahŕňa aj dlhové nástroje viazané na úver [článok 218 nariadenia (EÚ) </w:t>
            </w:r>
            <w:r w:rsidR="009912F8" w:rsidRPr="00E07C9A">
              <w:t>č. 575/2013</w:t>
            </w:r>
            <w:r w:rsidRPr="00E07C9A">
              <w:t>].</w:t>
            </w:r>
          </w:p>
          <w:p w14:paraId="30E220B2" w14:textId="77777777" w:rsidR="00E026FB" w:rsidRPr="00E07C9A"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E07C9A" w14:paraId="0DB6C588" w14:textId="77777777" w:rsidTr="00E10B85">
        <w:tc>
          <w:tcPr>
            <w:tcW w:w="1568" w:type="dxa"/>
          </w:tcPr>
          <w:p w14:paraId="0799B94C" w14:textId="77777777" w:rsidR="00E026FB" w:rsidRPr="00E07C9A" w:rsidRDefault="00E026FB" w:rsidP="00E10B85">
            <w:pPr>
              <w:autoSpaceDE w:val="0"/>
              <w:autoSpaceDN w:val="0"/>
              <w:adjustRightInd w:val="0"/>
              <w:spacing w:before="0" w:after="0"/>
              <w:rPr>
                <w:rFonts w:ascii="Times New Roman" w:hAnsi="Times New Roman"/>
                <w:bCs/>
                <w:sz w:val="24"/>
              </w:rPr>
            </w:pPr>
            <w:r w:rsidRPr="00E07C9A">
              <w:rPr>
                <w:rFonts w:ascii="Times New Roman" w:hAnsi="Times New Roman"/>
                <w:sz w:val="24"/>
              </w:rPr>
              <w:t>0140</w:t>
            </w:r>
          </w:p>
        </w:tc>
        <w:tc>
          <w:tcPr>
            <w:tcW w:w="7436" w:type="dxa"/>
          </w:tcPr>
          <w:p w14:paraId="2F665D52" w14:textId="77777777" w:rsidR="00E026FB" w:rsidRPr="00E07C9A" w:rsidRDefault="00E026FB" w:rsidP="00E10B85">
            <w:pPr>
              <w:spacing w:before="0" w:after="0"/>
              <w:rPr>
                <w:rFonts w:ascii="Times New Roman" w:hAnsi="Times New Roman"/>
                <w:b/>
                <w:sz w:val="24"/>
                <w:u w:val="single"/>
              </w:rPr>
            </w:pPr>
            <w:r w:rsidRPr="00E07C9A">
              <w:rPr>
                <w:rFonts w:ascii="Times New Roman" w:hAnsi="Times New Roman"/>
                <w:b/>
                <w:sz w:val="24"/>
                <w:u w:val="single"/>
              </w:rPr>
              <w:t>PLNE UPRAVENÁ HODNOTA EXPOZÍCIE (E*)</w:t>
            </w:r>
          </w:p>
          <w:p w14:paraId="0516DBEC" w14:textId="77777777" w:rsidR="00E026FB" w:rsidRPr="00E07C9A" w:rsidRDefault="00E026FB" w:rsidP="00E10B85">
            <w:pPr>
              <w:pStyle w:val="Heading1"/>
              <w:rPr>
                <w:rFonts w:ascii="Times New Roman" w:eastAsia="Times New Roman" w:hAnsi="Times New Roman"/>
                <w:sz w:val="24"/>
                <w:szCs w:val="24"/>
                <w:lang w:eastAsia="es-ES_tradnl"/>
              </w:rPr>
            </w:pPr>
          </w:p>
          <w:p w14:paraId="5C34E427" w14:textId="147B958C" w:rsidR="009912F8" w:rsidRPr="00E07C9A" w:rsidRDefault="00D021AF"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Hodnota expozície sekuritizačných pozícií vypočítaná</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248 nariadenia (EÚ) </w:t>
            </w:r>
            <w:r w:rsidR="009912F8" w:rsidRPr="00E07C9A">
              <w:rPr>
                <w:rFonts w:ascii="Times New Roman" w:hAnsi="Times New Roman"/>
                <w:sz w:val="24"/>
              </w:rPr>
              <w:t>č. 575/2013</w:t>
            </w:r>
            <w:r w:rsidRPr="00E07C9A">
              <w:rPr>
                <w:rFonts w:ascii="Times New Roman" w:hAnsi="Times New Roman"/>
                <w:sz w:val="24"/>
              </w:rPr>
              <w:t>, no bez uplatnenia konverzných faktorov uvedených</w:t>
            </w:r>
            <w:r w:rsidR="009912F8" w:rsidRPr="00E07C9A">
              <w:rPr>
                <w:rFonts w:ascii="Times New Roman" w:hAnsi="Times New Roman"/>
                <w:sz w:val="24"/>
              </w:rPr>
              <w:t xml:space="preserve"> v </w:t>
            </w:r>
            <w:r w:rsidRPr="00E07C9A">
              <w:rPr>
                <w:rFonts w:ascii="Times New Roman" w:hAnsi="Times New Roman"/>
                <w:sz w:val="24"/>
              </w:rPr>
              <w:t>článku 248 ods. 1 písm. b) uvedeného nariadenia</w:t>
            </w:r>
            <w:r w:rsidR="009912F8" w:rsidRPr="00E07C9A">
              <w:rPr>
                <w:rFonts w:ascii="Times New Roman" w:hAnsi="Times New Roman"/>
                <w:sz w:val="24"/>
              </w:rPr>
              <w:t>.</w:t>
            </w:r>
          </w:p>
          <w:p w14:paraId="634FF6AA" w14:textId="1395283A" w:rsidR="00E026FB" w:rsidRPr="00E07C9A" w:rsidRDefault="00E026FB" w:rsidP="00E10B85">
            <w:pPr>
              <w:autoSpaceDE w:val="0"/>
              <w:autoSpaceDN w:val="0"/>
              <w:adjustRightInd w:val="0"/>
              <w:spacing w:before="0" w:after="0"/>
              <w:jc w:val="left"/>
              <w:rPr>
                <w:rFonts w:ascii="Times New Roman" w:hAnsi="Times New Roman"/>
                <w:sz w:val="24"/>
                <w:lang w:eastAsia="es-ES_tradnl"/>
              </w:rPr>
            </w:pPr>
          </w:p>
        </w:tc>
      </w:tr>
      <w:tr w:rsidR="00E026FB" w:rsidRPr="00E07C9A" w14:paraId="2501645F" w14:textId="77777777" w:rsidTr="00E10B85">
        <w:tc>
          <w:tcPr>
            <w:tcW w:w="1568" w:type="dxa"/>
          </w:tcPr>
          <w:p w14:paraId="37C4A9DB" w14:textId="77777777" w:rsidR="00E026FB" w:rsidRPr="00E07C9A" w:rsidRDefault="00E026FB"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0150</w:t>
            </w:r>
          </w:p>
        </w:tc>
        <w:tc>
          <w:tcPr>
            <w:tcW w:w="7436" w:type="dxa"/>
          </w:tcPr>
          <w:p w14:paraId="0EB4F9EC" w14:textId="0F0A8F71" w:rsidR="00E026FB" w:rsidRPr="00E07C9A" w:rsidRDefault="00E026FB" w:rsidP="00E10B85">
            <w:pPr>
              <w:spacing w:before="0" w:after="0"/>
              <w:rPr>
                <w:rFonts w:ascii="Times New Roman" w:hAnsi="Times New Roman"/>
                <w:b/>
                <w:sz w:val="24"/>
                <w:u w:val="single"/>
              </w:rPr>
            </w:pPr>
            <w:r w:rsidRPr="00E07C9A">
              <w:rPr>
                <w:rFonts w:ascii="Times New Roman" w:hAnsi="Times New Roman"/>
                <w:b/>
                <w:sz w:val="24"/>
                <w:u w:val="single"/>
              </w:rPr>
              <w:t>Z ČOHO: PODLIEHA KONVERZNÉMU FAKTORU VO VÝŠKE 0</w:t>
            </w:r>
            <w:r w:rsidR="009912F8" w:rsidRPr="00E07C9A">
              <w:rPr>
                <w:rFonts w:ascii="Times New Roman" w:hAnsi="Times New Roman"/>
                <w:b/>
                <w:sz w:val="24"/>
                <w:u w:val="single"/>
              </w:rPr>
              <w:t> %</w:t>
            </w:r>
          </w:p>
          <w:p w14:paraId="4FE49186" w14:textId="77777777" w:rsidR="00E026FB" w:rsidRPr="00E07C9A" w:rsidRDefault="00E026FB" w:rsidP="00E10B85">
            <w:pPr>
              <w:spacing w:before="0" w:after="0"/>
              <w:rPr>
                <w:rFonts w:ascii="Times New Roman" w:hAnsi="Times New Roman"/>
                <w:b/>
                <w:sz w:val="24"/>
                <w:u w:val="single"/>
                <w:lang w:eastAsia="es-ES_tradnl"/>
              </w:rPr>
            </w:pPr>
          </w:p>
          <w:p w14:paraId="1DD82A2F" w14:textId="74FED338" w:rsidR="009912F8" w:rsidRPr="00E07C9A" w:rsidRDefault="00247193"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 xml:space="preserve">Článok 248 ods. 1 písm. b) nariadenia (EÚ) </w:t>
            </w:r>
            <w:r w:rsidR="009912F8" w:rsidRPr="00E07C9A">
              <w:rPr>
                <w:rFonts w:ascii="Times New Roman" w:hAnsi="Times New Roman"/>
                <w:sz w:val="24"/>
              </w:rPr>
              <w:t>č. 575/2013</w:t>
            </w:r>
          </w:p>
          <w:p w14:paraId="032A40C4" w14:textId="130765C6" w:rsidR="00705025" w:rsidRPr="00E07C9A" w:rsidRDefault="00705025" w:rsidP="00E10B85">
            <w:pPr>
              <w:autoSpaceDE w:val="0"/>
              <w:autoSpaceDN w:val="0"/>
              <w:adjustRightInd w:val="0"/>
              <w:spacing w:before="0" w:after="0"/>
              <w:rPr>
                <w:rFonts w:ascii="Times New Roman" w:hAnsi="Times New Roman"/>
                <w:sz w:val="24"/>
                <w:lang w:eastAsia="es-ES_tradnl"/>
              </w:rPr>
            </w:pPr>
          </w:p>
          <w:p w14:paraId="07035947" w14:textId="087498CD" w:rsidR="00E026FB" w:rsidRPr="00E07C9A" w:rsidRDefault="00E026FB"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V tejto súvislosti sa konverzný faktor vymedzuje</w:t>
            </w:r>
            <w:r w:rsidR="009912F8" w:rsidRPr="00E07C9A">
              <w:rPr>
                <w:rFonts w:ascii="Times New Roman" w:hAnsi="Times New Roman"/>
                <w:sz w:val="24"/>
              </w:rPr>
              <w:t xml:space="preserve"> v </w:t>
            </w:r>
            <w:r w:rsidRPr="00E07C9A">
              <w:rPr>
                <w:rFonts w:ascii="Times New Roman" w:hAnsi="Times New Roman"/>
                <w:sz w:val="24"/>
              </w:rPr>
              <w:t xml:space="preserve">článku 4 ods. 1 bode 56 nariadenia (EÚ) </w:t>
            </w:r>
            <w:r w:rsidR="009912F8" w:rsidRPr="00E07C9A">
              <w:rPr>
                <w:rFonts w:ascii="Times New Roman" w:hAnsi="Times New Roman"/>
                <w:sz w:val="24"/>
              </w:rPr>
              <w:t>č. 575/2013</w:t>
            </w:r>
            <w:r w:rsidRPr="00E07C9A">
              <w:rPr>
                <w:rFonts w:ascii="Times New Roman" w:hAnsi="Times New Roman"/>
                <w:sz w:val="24"/>
              </w:rPr>
              <w:t>.</w:t>
            </w:r>
          </w:p>
          <w:p w14:paraId="2684A382" w14:textId="77777777" w:rsidR="00E026FB" w:rsidRPr="00E07C9A" w:rsidRDefault="00E026FB" w:rsidP="00E10B85">
            <w:pPr>
              <w:autoSpaceDE w:val="0"/>
              <w:autoSpaceDN w:val="0"/>
              <w:adjustRightInd w:val="0"/>
              <w:spacing w:before="0" w:after="0"/>
              <w:jc w:val="left"/>
              <w:rPr>
                <w:rFonts w:ascii="Times New Roman" w:hAnsi="Times New Roman"/>
                <w:sz w:val="24"/>
                <w:lang w:eastAsia="es-ES_tradnl"/>
              </w:rPr>
            </w:pPr>
          </w:p>
          <w:p w14:paraId="49816ADD" w14:textId="28F614E3" w:rsidR="00E026FB" w:rsidRPr="00E07C9A" w:rsidRDefault="00E026FB"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Na účely vykazovania sa pre konverzný faktor 0</w:t>
            </w:r>
            <w:r w:rsidR="009912F8" w:rsidRPr="00E07C9A">
              <w:rPr>
                <w:rFonts w:ascii="Times New Roman" w:hAnsi="Times New Roman"/>
              </w:rPr>
              <w:t> %</w:t>
            </w:r>
            <w:r w:rsidRPr="00E07C9A">
              <w:rPr>
                <w:rFonts w:ascii="Times New Roman" w:hAnsi="Times New Roman"/>
                <w:sz w:val="24"/>
              </w:rPr>
              <w:t xml:space="preserve"> vykazujú plne upravené hodnoty expozície (E*).</w:t>
            </w:r>
          </w:p>
          <w:p w14:paraId="04ED772B" w14:textId="77777777" w:rsidR="00E026FB" w:rsidRPr="00E07C9A" w:rsidRDefault="00E026FB" w:rsidP="00E10B85">
            <w:pPr>
              <w:spacing w:before="0" w:after="0"/>
              <w:rPr>
                <w:rFonts w:ascii="Times New Roman" w:hAnsi="Times New Roman"/>
                <w:b/>
                <w:sz w:val="24"/>
                <w:u w:val="single"/>
              </w:rPr>
            </w:pPr>
          </w:p>
        </w:tc>
      </w:tr>
      <w:tr w:rsidR="00E026FB" w:rsidRPr="00E07C9A" w14:paraId="27A5837E" w14:textId="77777777" w:rsidTr="00E10B85">
        <w:tc>
          <w:tcPr>
            <w:tcW w:w="1568" w:type="dxa"/>
          </w:tcPr>
          <w:p w14:paraId="41744962" w14:textId="77777777" w:rsidR="00E026FB" w:rsidRPr="00E07C9A" w:rsidRDefault="00E026FB"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0160</w:t>
            </w:r>
          </w:p>
        </w:tc>
        <w:tc>
          <w:tcPr>
            <w:tcW w:w="7436" w:type="dxa"/>
          </w:tcPr>
          <w:p w14:paraId="25300946" w14:textId="4DD4E3EE" w:rsidR="00E026FB" w:rsidRPr="00E07C9A" w:rsidRDefault="00E026FB" w:rsidP="00E10B85">
            <w:pPr>
              <w:spacing w:before="0" w:after="0"/>
              <w:jc w:val="left"/>
              <w:rPr>
                <w:rFonts w:ascii="Times New Roman" w:hAnsi="Times New Roman"/>
                <w:b/>
                <w:sz w:val="24"/>
                <w:u w:val="single"/>
              </w:rPr>
            </w:pPr>
            <w:r w:rsidRPr="00E07C9A">
              <w:rPr>
                <w:rFonts w:ascii="Times New Roman" w:hAnsi="Times New Roman"/>
                <w:b/>
                <w:sz w:val="24"/>
                <w:u w:val="single"/>
              </w:rPr>
              <w:t>(–) NEREFUNDOVATEĽNÁ ZĽAVA</w:t>
            </w:r>
            <w:r w:rsidR="009912F8" w:rsidRPr="00E07C9A">
              <w:rPr>
                <w:rFonts w:ascii="Times New Roman" w:hAnsi="Times New Roman"/>
                <w:b/>
                <w:sz w:val="24"/>
                <w:u w:val="single"/>
              </w:rPr>
              <w:t xml:space="preserve"> Z </w:t>
            </w:r>
            <w:r w:rsidRPr="00E07C9A">
              <w:rPr>
                <w:rFonts w:ascii="Times New Roman" w:hAnsi="Times New Roman"/>
                <w:b/>
                <w:sz w:val="24"/>
                <w:u w:val="single"/>
              </w:rPr>
              <w:t>OBSTARÁVACEJ CENY</w:t>
            </w:r>
          </w:p>
          <w:p w14:paraId="3EE07FA6" w14:textId="77777777" w:rsidR="00E026FB" w:rsidRPr="00E07C9A" w:rsidRDefault="00E026FB" w:rsidP="00E10B85">
            <w:pPr>
              <w:spacing w:before="0" w:after="0"/>
              <w:jc w:val="left"/>
              <w:rPr>
                <w:rFonts w:ascii="Times New Roman" w:hAnsi="Times New Roman"/>
                <w:b/>
                <w:sz w:val="24"/>
                <w:u w:val="single"/>
              </w:rPr>
            </w:pPr>
          </w:p>
          <w:p w14:paraId="458DC624" w14:textId="0C5A2A6B" w:rsidR="00E026FB" w:rsidRPr="00E07C9A" w:rsidRDefault="00BB22D4" w:rsidP="00E10B85">
            <w:pPr>
              <w:spacing w:before="0" w:after="0"/>
              <w:jc w:val="left"/>
              <w:rPr>
                <w:rFonts w:ascii="Times New Roman" w:hAnsi="Times New Roman"/>
                <w:sz w:val="24"/>
              </w:rPr>
            </w:pPr>
            <w:r w:rsidRPr="00E07C9A">
              <w:rPr>
                <w:rFonts w:ascii="Times New Roman" w:hAnsi="Times New Roman"/>
                <w:sz w:val="24"/>
              </w:rPr>
              <w:t>V súlade</w:t>
            </w:r>
            <w:r w:rsidR="009912F8" w:rsidRPr="00E07C9A">
              <w:rPr>
                <w:rFonts w:ascii="Times New Roman" w:hAnsi="Times New Roman"/>
                <w:sz w:val="24"/>
              </w:rPr>
              <w:t xml:space="preserve"> s </w:t>
            </w:r>
            <w:r w:rsidRPr="00E07C9A">
              <w:rPr>
                <w:rFonts w:ascii="Times New Roman" w:hAnsi="Times New Roman"/>
                <w:sz w:val="24"/>
              </w:rPr>
              <w:t xml:space="preserve">článkom 248 ods. 1 písm. d) nariadenia (EÚ) </w:t>
            </w:r>
            <w:r w:rsidR="009912F8" w:rsidRPr="00E07C9A">
              <w:rPr>
                <w:rFonts w:ascii="Times New Roman" w:hAnsi="Times New Roman"/>
                <w:sz w:val="24"/>
              </w:rPr>
              <w:t>č. 575/2013</w:t>
            </w:r>
            <w:r w:rsidRPr="00E07C9A">
              <w:rPr>
                <w:rFonts w:ascii="Times New Roman" w:hAnsi="Times New Roman"/>
                <w:sz w:val="24"/>
              </w:rPr>
              <w:t xml:space="preserve"> môže inštitúcia, ktorá je originátorom, odpočítať od hodnoty expozície sekuritizačnej pozície, ktorej je priradená riziková váha 1 250</w:t>
            </w:r>
            <w:r w:rsidR="009912F8" w:rsidRPr="00E07C9A">
              <w:rPr>
                <w:rFonts w:ascii="Times New Roman" w:hAnsi="Times New Roman"/>
                <w:sz w:val="24"/>
              </w:rPr>
              <w:t> %</w:t>
            </w:r>
            <w:r w:rsidRPr="00E07C9A">
              <w:rPr>
                <w:rFonts w:ascii="Times New Roman" w:hAnsi="Times New Roman"/>
                <w:sz w:val="24"/>
              </w:rPr>
              <w:t>, akékoľvek nerefundovateľné zľavy</w:t>
            </w:r>
            <w:r w:rsidR="009912F8" w:rsidRPr="00E07C9A">
              <w:rPr>
                <w:rFonts w:ascii="Times New Roman" w:hAnsi="Times New Roman"/>
                <w:sz w:val="24"/>
              </w:rPr>
              <w:t xml:space="preserve"> z </w:t>
            </w:r>
            <w:r w:rsidRPr="00E07C9A">
              <w:rPr>
                <w:rFonts w:ascii="Times New Roman" w:hAnsi="Times New Roman"/>
                <w:sz w:val="24"/>
              </w:rPr>
              <w:t>obstarávacej ceny spojené</w:t>
            </w:r>
            <w:r w:rsidR="009912F8" w:rsidRPr="00E07C9A">
              <w:rPr>
                <w:rFonts w:ascii="Times New Roman" w:hAnsi="Times New Roman"/>
                <w:sz w:val="24"/>
              </w:rPr>
              <w:t xml:space="preserve"> s </w:t>
            </w:r>
            <w:r w:rsidRPr="00E07C9A">
              <w:rPr>
                <w:rFonts w:ascii="Times New Roman" w:hAnsi="Times New Roman"/>
                <w:sz w:val="24"/>
              </w:rPr>
              <w:t>takýmito podkladovými expozíciami</w:t>
            </w:r>
            <w:r w:rsidR="009912F8" w:rsidRPr="00E07C9A">
              <w:rPr>
                <w:rFonts w:ascii="Times New Roman" w:hAnsi="Times New Roman"/>
                <w:sz w:val="24"/>
              </w:rPr>
              <w:t xml:space="preserve"> v </w:t>
            </w:r>
            <w:r w:rsidRPr="00E07C9A">
              <w:rPr>
                <w:rFonts w:ascii="Times New Roman" w:hAnsi="Times New Roman"/>
                <w:sz w:val="24"/>
              </w:rPr>
              <w:t>rozsahu,</w:t>
            </w:r>
            <w:r w:rsidR="009912F8" w:rsidRPr="00E07C9A">
              <w:rPr>
                <w:rFonts w:ascii="Times New Roman" w:hAnsi="Times New Roman"/>
                <w:sz w:val="24"/>
              </w:rPr>
              <w:t xml:space="preserve"> v </w:t>
            </w:r>
            <w:r w:rsidRPr="00E07C9A">
              <w:rPr>
                <w:rFonts w:ascii="Times New Roman" w:hAnsi="Times New Roman"/>
                <w:sz w:val="24"/>
              </w:rPr>
              <w:t>akom tieto zľavy spôsobili zníženie vlastných zdrojov.</w:t>
            </w:r>
          </w:p>
          <w:p w14:paraId="6AF72DD0" w14:textId="77777777" w:rsidR="00E026FB" w:rsidRPr="00E07C9A" w:rsidRDefault="00E026FB" w:rsidP="00E10B85">
            <w:pPr>
              <w:spacing w:before="0" w:after="0"/>
              <w:jc w:val="left"/>
              <w:rPr>
                <w:rFonts w:ascii="Times New Roman" w:hAnsi="Times New Roman"/>
                <w:b/>
                <w:sz w:val="24"/>
                <w:u w:val="single"/>
              </w:rPr>
            </w:pPr>
          </w:p>
        </w:tc>
      </w:tr>
      <w:tr w:rsidR="00E026FB" w:rsidRPr="00E07C9A" w14:paraId="151C0294" w14:textId="77777777" w:rsidTr="00E10B85">
        <w:tc>
          <w:tcPr>
            <w:tcW w:w="1568" w:type="dxa"/>
          </w:tcPr>
          <w:p w14:paraId="13B2473A" w14:textId="77777777" w:rsidR="00E026FB" w:rsidRPr="00E07C9A" w:rsidRDefault="00E026FB"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0170</w:t>
            </w:r>
          </w:p>
        </w:tc>
        <w:tc>
          <w:tcPr>
            <w:tcW w:w="7436" w:type="dxa"/>
          </w:tcPr>
          <w:p w14:paraId="3963365E" w14:textId="77777777" w:rsidR="00E026FB" w:rsidRPr="00E07C9A" w:rsidRDefault="00E026FB" w:rsidP="00E10B85">
            <w:pPr>
              <w:spacing w:before="0" w:after="0"/>
              <w:jc w:val="left"/>
              <w:rPr>
                <w:rFonts w:ascii="Times New Roman" w:hAnsi="Times New Roman"/>
                <w:b/>
                <w:sz w:val="24"/>
                <w:u w:val="single"/>
              </w:rPr>
            </w:pPr>
            <w:r w:rsidRPr="00E07C9A">
              <w:rPr>
                <w:rFonts w:ascii="Times New Roman" w:hAnsi="Times New Roman"/>
                <w:b/>
                <w:sz w:val="24"/>
                <w:u w:val="single"/>
              </w:rPr>
              <w:t>(–) ŠPECIFICKÉ ÚPRAVY KREDITNÉHO RIZIKA PODKLADOVÝCH EXPOZÍCIÍ</w:t>
            </w:r>
          </w:p>
          <w:p w14:paraId="2E2973C4" w14:textId="77777777" w:rsidR="00E026FB" w:rsidRPr="00E07C9A" w:rsidRDefault="00E026FB" w:rsidP="00E10B85">
            <w:pPr>
              <w:spacing w:before="0" w:after="0"/>
              <w:jc w:val="left"/>
              <w:rPr>
                <w:rFonts w:ascii="Times New Roman" w:hAnsi="Times New Roman"/>
                <w:b/>
                <w:sz w:val="24"/>
                <w:u w:val="single"/>
              </w:rPr>
            </w:pPr>
          </w:p>
          <w:p w14:paraId="542C5D58" w14:textId="2B45308A" w:rsidR="009912F8" w:rsidRPr="00E07C9A" w:rsidRDefault="00BB22D4" w:rsidP="00E10B85">
            <w:pPr>
              <w:spacing w:before="0" w:after="0"/>
              <w:jc w:val="left"/>
              <w:rPr>
                <w:rFonts w:ascii="Times New Roman" w:hAnsi="Times New Roman"/>
                <w:sz w:val="24"/>
              </w:rPr>
            </w:pPr>
            <w:r w:rsidRPr="00E07C9A">
              <w:rPr>
                <w:rFonts w:ascii="Times New Roman" w:hAnsi="Times New Roman"/>
                <w:sz w:val="24"/>
              </w:rPr>
              <w:t>V súlade</w:t>
            </w:r>
            <w:r w:rsidR="009912F8" w:rsidRPr="00E07C9A">
              <w:rPr>
                <w:rFonts w:ascii="Times New Roman" w:hAnsi="Times New Roman"/>
                <w:sz w:val="24"/>
              </w:rPr>
              <w:t xml:space="preserve"> s </w:t>
            </w:r>
            <w:r w:rsidRPr="00E07C9A">
              <w:rPr>
                <w:rFonts w:ascii="Times New Roman" w:hAnsi="Times New Roman"/>
                <w:sz w:val="24"/>
              </w:rPr>
              <w:t xml:space="preserve">článkom 248 ods. 1 písm. d) nariadenia (EÚ) </w:t>
            </w:r>
            <w:r w:rsidR="009912F8" w:rsidRPr="00E07C9A">
              <w:rPr>
                <w:rFonts w:ascii="Times New Roman" w:hAnsi="Times New Roman"/>
                <w:sz w:val="24"/>
              </w:rPr>
              <w:t>č. 575/2013</w:t>
            </w:r>
            <w:r w:rsidRPr="00E07C9A">
              <w:rPr>
                <w:rFonts w:ascii="Times New Roman" w:hAnsi="Times New Roman"/>
                <w:sz w:val="24"/>
              </w:rPr>
              <w:t xml:space="preserve"> môže inštitúcia, ktorá je originátorom, odpočítať od hodnoty expozície sekuritizačnej pozície, ktorej je priradená riziková váha 1 250</w:t>
            </w:r>
            <w:r w:rsidR="009912F8" w:rsidRPr="00E07C9A">
              <w:rPr>
                <w:rFonts w:ascii="Times New Roman" w:hAnsi="Times New Roman"/>
                <w:sz w:val="24"/>
              </w:rPr>
              <w:t> %</w:t>
            </w:r>
            <w:r w:rsidRPr="00E07C9A">
              <w:rPr>
                <w:rFonts w:ascii="Times New Roman" w:hAnsi="Times New Roman"/>
                <w:sz w:val="24"/>
              </w:rPr>
              <w:t xml:space="preserve"> alebo ktorá je odpočítaná od vlastného kapitálu Tier 1, hodnotu špecifických úprav kreditného rizika podkladových expozícií určenú</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110 nariadenia (EÚ) </w:t>
            </w:r>
            <w:r w:rsidR="009912F8" w:rsidRPr="00E07C9A">
              <w:rPr>
                <w:rFonts w:ascii="Times New Roman" w:hAnsi="Times New Roman"/>
                <w:sz w:val="24"/>
              </w:rPr>
              <w:t>č. 575/2013.</w:t>
            </w:r>
          </w:p>
          <w:p w14:paraId="5EC70BC9" w14:textId="605FBEEC" w:rsidR="00E026FB" w:rsidRPr="00E07C9A" w:rsidRDefault="00E026FB" w:rsidP="00E10B85">
            <w:pPr>
              <w:spacing w:before="0" w:after="0"/>
              <w:jc w:val="left"/>
              <w:rPr>
                <w:rFonts w:ascii="Times New Roman" w:hAnsi="Times New Roman"/>
                <w:b/>
                <w:sz w:val="24"/>
                <w:u w:val="single"/>
              </w:rPr>
            </w:pPr>
          </w:p>
        </w:tc>
      </w:tr>
      <w:tr w:rsidR="00E026FB" w:rsidRPr="00E07C9A" w14:paraId="4AD452D1" w14:textId="77777777" w:rsidTr="00E10B85">
        <w:tc>
          <w:tcPr>
            <w:tcW w:w="1568" w:type="dxa"/>
          </w:tcPr>
          <w:p w14:paraId="6E9B9219" w14:textId="77777777" w:rsidR="00E026FB" w:rsidRPr="00E07C9A" w:rsidRDefault="00E026FB"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0180</w:t>
            </w:r>
          </w:p>
        </w:tc>
        <w:tc>
          <w:tcPr>
            <w:tcW w:w="7436" w:type="dxa"/>
          </w:tcPr>
          <w:p w14:paraId="6140BAF9" w14:textId="77777777" w:rsidR="00E026FB" w:rsidRPr="00E07C9A" w:rsidRDefault="00E026FB" w:rsidP="00E10B85">
            <w:pPr>
              <w:spacing w:before="0" w:after="0"/>
              <w:jc w:val="left"/>
              <w:rPr>
                <w:rFonts w:ascii="Times New Roman" w:hAnsi="Times New Roman"/>
                <w:b/>
                <w:sz w:val="24"/>
                <w:u w:val="single"/>
              </w:rPr>
            </w:pPr>
            <w:r w:rsidRPr="00E07C9A">
              <w:rPr>
                <w:rFonts w:ascii="Times New Roman" w:hAnsi="Times New Roman"/>
                <w:b/>
                <w:sz w:val="24"/>
                <w:u w:val="single"/>
              </w:rPr>
              <w:t>HODNOTA EXPOZÍCIE</w:t>
            </w:r>
          </w:p>
          <w:p w14:paraId="0B51BFE5" w14:textId="77777777" w:rsidR="00E026FB" w:rsidRPr="00E07C9A" w:rsidRDefault="00E026FB" w:rsidP="00E10B85">
            <w:pPr>
              <w:spacing w:before="0" w:after="0"/>
              <w:jc w:val="left"/>
              <w:rPr>
                <w:rFonts w:ascii="Times New Roman" w:hAnsi="Times New Roman"/>
                <w:b/>
                <w:sz w:val="24"/>
                <w:u w:val="single"/>
                <w:lang w:eastAsia="es-ES_tradnl"/>
              </w:rPr>
            </w:pPr>
          </w:p>
          <w:p w14:paraId="5A3B7B13" w14:textId="4986E10E" w:rsidR="00E026FB" w:rsidRPr="00E07C9A" w:rsidRDefault="00D021AF"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Hodnota expozície sekuritizačných pozícií vypočítaná</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248 nariadenia (EÚ) </w:t>
            </w:r>
            <w:r w:rsidR="009912F8" w:rsidRPr="00E07C9A">
              <w:rPr>
                <w:rFonts w:ascii="Times New Roman" w:hAnsi="Times New Roman"/>
                <w:sz w:val="24"/>
              </w:rPr>
              <w:t>č. 575/2013</w:t>
            </w:r>
            <w:r w:rsidRPr="00E07C9A">
              <w:rPr>
                <w:rFonts w:ascii="Times New Roman" w:hAnsi="Times New Roman"/>
                <w:sz w:val="24"/>
              </w:rPr>
              <w:t>.</w:t>
            </w:r>
          </w:p>
          <w:p w14:paraId="36ED5B4C" w14:textId="77777777" w:rsidR="00E026FB" w:rsidRPr="00E07C9A" w:rsidRDefault="00E026FB" w:rsidP="00E10B85">
            <w:pPr>
              <w:spacing w:before="0" w:after="0"/>
              <w:jc w:val="left"/>
              <w:rPr>
                <w:rFonts w:ascii="Times New Roman" w:hAnsi="Times New Roman"/>
                <w:b/>
                <w:sz w:val="24"/>
                <w:u w:val="single"/>
              </w:rPr>
            </w:pPr>
          </w:p>
        </w:tc>
      </w:tr>
      <w:tr w:rsidR="00E026FB" w:rsidRPr="00E07C9A" w14:paraId="324EBC9B" w14:textId="77777777" w:rsidTr="00E10B85">
        <w:tc>
          <w:tcPr>
            <w:tcW w:w="1568" w:type="dxa"/>
          </w:tcPr>
          <w:p w14:paraId="4E79FE75" w14:textId="77777777" w:rsidR="00E026FB" w:rsidRPr="00E07C9A" w:rsidRDefault="00E026FB" w:rsidP="00E10B85">
            <w:pPr>
              <w:autoSpaceDE w:val="0"/>
              <w:autoSpaceDN w:val="0"/>
              <w:adjustRightInd w:val="0"/>
              <w:spacing w:before="0" w:after="0"/>
              <w:rPr>
                <w:rFonts w:ascii="Times New Roman" w:hAnsi="Times New Roman"/>
                <w:bCs/>
                <w:sz w:val="24"/>
              </w:rPr>
            </w:pPr>
            <w:r w:rsidRPr="00E07C9A">
              <w:rPr>
                <w:rFonts w:ascii="Times New Roman" w:hAnsi="Times New Roman"/>
                <w:sz w:val="24"/>
              </w:rPr>
              <w:t>0190</w:t>
            </w:r>
          </w:p>
        </w:tc>
        <w:tc>
          <w:tcPr>
            <w:tcW w:w="7436" w:type="dxa"/>
          </w:tcPr>
          <w:p w14:paraId="3923A2E0" w14:textId="77777777" w:rsidR="00E026FB" w:rsidRPr="00E07C9A" w:rsidRDefault="00E026FB" w:rsidP="00E10B85">
            <w:pPr>
              <w:spacing w:before="0" w:after="0"/>
              <w:jc w:val="left"/>
              <w:rPr>
                <w:rFonts w:ascii="Times New Roman" w:hAnsi="Times New Roman"/>
                <w:b/>
                <w:sz w:val="24"/>
                <w:u w:val="single"/>
              </w:rPr>
            </w:pPr>
            <w:r w:rsidRPr="00E07C9A">
              <w:rPr>
                <w:rFonts w:ascii="Times New Roman" w:hAnsi="Times New Roman"/>
                <w:b/>
                <w:sz w:val="24"/>
                <w:u w:val="single"/>
              </w:rPr>
              <w:t>(–) HODNOTA EXPOZÍCIE ODPOČÍTANÁ OD VLASTNÝCH ZDROJOV</w:t>
            </w:r>
          </w:p>
          <w:p w14:paraId="272C3315" w14:textId="77777777" w:rsidR="00E026FB" w:rsidRPr="00E07C9A" w:rsidRDefault="00E026FB" w:rsidP="00E10B85">
            <w:pPr>
              <w:spacing w:before="0" w:after="0"/>
              <w:jc w:val="left"/>
              <w:rPr>
                <w:rFonts w:ascii="Times New Roman" w:hAnsi="Times New Roman"/>
                <w:sz w:val="24"/>
              </w:rPr>
            </w:pPr>
          </w:p>
          <w:p w14:paraId="65B07FF2" w14:textId="577C5286" w:rsidR="00E026FB" w:rsidRPr="00E07C9A" w:rsidRDefault="00BB22D4" w:rsidP="00E10B85">
            <w:pPr>
              <w:spacing w:before="0" w:after="0"/>
              <w:rPr>
                <w:rFonts w:ascii="Times New Roman" w:hAnsi="Times New Roman"/>
                <w:sz w:val="24"/>
              </w:rPr>
            </w:pPr>
            <w:r w:rsidRPr="00E07C9A">
              <w:rPr>
                <w:rFonts w:ascii="Times New Roman" w:hAnsi="Times New Roman"/>
                <w:sz w:val="24"/>
              </w:rPr>
              <w:t>V súlade</w:t>
            </w:r>
            <w:r w:rsidR="009912F8" w:rsidRPr="00E07C9A">
              <w:rPr>
                <w:rFonts w:ascii="Times New Roman" w:hAnsi="Times New Roman"/>
                <w:sz w:val="24"/>
              </w:rPr>
              <w:t xml:space="preserve"> s </w:t>
            </w:r>
            <w:r w:rsidRPr="00E07C9A">
              <w:rPr>
                <w:rFonts w:ascii="Times New Roman" w:hAnsi="Times New Roman"/>
                <w:sz w:val="24"/>
              </w:rPr>
              <w:t xml:space="preserve">článkom </w:t>
            </w:r>
            <w:r w:rsidRPr="00E07C9A">
              <w:rPr>
                <w:rStyle w:val="FormatvorlageInstructionsTabelleText"/>
                <w:rFonts w:ascii="Times New Roman" w:hAnsi="Times New Roman"/>
                <w:sz w:val="24"/>
              </w:rPr>
              <w:t>244 ods. 1 písm. b), článkom 245 ods. 1 písm. b)</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článkom</w:t>
            </w:r>
            <w:r w:rsidRPr="00E07C9A">
              <w:rPr>
                <w:rFonts w:ascii="Times New Roman" w:hAnsi="Times New Roman"/>
                <w:sz w:val="24"/>
              </w:rPr>
              <w:t xml:space="preserve"> 253 ods. 1 nariadenia (EÚ) </w:t>
            </w:r>
            <w:r w:rsidR="009912F8" w:rsidRPr="00E07C9A">
              <w:rPr>
                <w:rFonts w:ascii="Times New Roman" w:hAnsi="Times New Roman"/>
                <w:sz w:val="24"/>
              </w:rPr>
              <w:t>č. 575/2013</w:t>
            </w:r>
            <w:r w:rsidRPr="00E07C9A">
              <w:rPr>
                <w:rFonts w:ascii="Times New Roman" w:hAnsi="Times New Roman"/>
                <w:sz w:val="24"/>
              </w:rPr>
              <w:t xml:space="preserve"> sa stanovuje, že</w:t>
            </w:r>
            <w:r w:rsidR="009912F8" w:rsidRPr="00E07C9A">
              <w:rPr>
                <w:rFonts w:ascii="Times New Roman" w:hAnsi="Times New Roman"/>
                <w:sz w:val="24"/>
              </w:rPr>
              <w:t xml:space="preserve"> v </w:t>
            </w:r>
            <w:r w:rsidRPr="00E07C9A">
              <w:rPr>
                <w:rFonts w:ascii="Times New Roman" w:hAnsi="Times New Roman"/>
                <w:sz w:val="24"/>
              </w:rPr>
              <w:t>prípade sekuritizačnej pozície, na ktorú sa vzťahuje riziková váha 1 250</w:t>
            </w:r>
            <w:r w:rsidR="009912F8" w:rsidRPr="00E07C9A">
              <w:rPr>
                <w:rFonts w:ascii="Times New Roman" w:hAnsi="Times New Roman"/>
              </w:rPr>
              <w:t> %</w:t>
            </w:r>
            <w:r w:rsidRPr="00E07C9A">
              <w:rPr>
                <w:rFonts w:ascii="Times New Roman" w:hAnsi="Times New Roman"/>
                <w:sz w:val="24"/>
              </w:rPr>
              <w:t>, môžu inštitúcie ako alternatívu</w:t>
            </w:r>
            <w:r w:rsidR="009912F8" w:rsidRPr="00E07C9A">
              <w:rPr>
                <w:rFonts w:ascii="Times New Roman" w:hAnsi="Times New Roman"/>
                <w:sz w:val="24"/>
              </w:rPr>
              <w:t xml:space="preserve"> k </w:t>
            </w:r>
            <w:r w:rsidRPr="00E07C9A">
              <w:rPr>
                <w:rFonts w:ascii="Times New Roman" w:hAnsi="Times New Roman"/>
                <w:sz w:val="24"/>
              </w:rPr>
              <w:t>zahrnutiu pozície do svojho výpočtu hodnôt rizikovo vážených expozícií odpočítať hodnotu expozície pozície od vlastných zdrojov.</w:t>
            </w:r>
          </w:p>
          <w:p w14:paraId="3F296684" w14:textId="77777777" w:rsidR="00E026FB" w:rsidRPr="00E07C9A" w:rsidRDefault="00E026FB" w:rsidP="00E10B85">
            <w:pPr>
              <w:autoSpaceDE w:val="0"/>
              <w:autoSpaceDN w:val="0"/>
              <w:adjustRightInd w:val="0"/>
              <w:spacing w:before="0" w:after="0"/>
              <w:ind w:left="284" w:hanging="284"/>
              <w:jc w:val="left"/>
              <w:rPr>
                <w:rFonts w:ascii="Times New Roman" w:hAnsi="Times New Roman"/>
                <w:sz w:val="24"/>
                <w:lang w:eastAsia="es-ES_tradnl"/>
              </w:rPr>
            </w:pPr>
          </w:p>
        </w:tc>
      </w:tr>
      <w:tr w:rsidR="00E026FB" w:rsidRPr="00E07C9A" w14:paraId="53AA7D7B" w14:textId="77777777" w:rsidTr="00E10B85">
        <w:tc>
          <w:tcPr>
            <w:tcW w:w="1568" w:type="dxa"/>
          </w:tcPr>
          <w:p w14:paraId="11A65A4E" w14:textId="77777777" w:rsidR="00E026FB" w:rsidRPr="00E07C9A" w:rsidRDefault="00E026FB" w:rsidP="00E10B85">
            <w:pPr>
              <w:autoSpaceDE w:val="0"/>
              <w:autoSpaceDN w:val="0"/>
              <w:adjustRightInd w:val="0"/>
              <w:spacing w:before="0" w:after="0"/>
              <w:rPr>
                <w:rFonts w:ascii="Times New Roman" w:hAnsi="Times New Roman"/>
                <w:bCs/>
                <w:sz w:val="24"/>
              </w:rPr>
            </w:pPr>
            <w:r w:rsidRPr="00E07C9A">
              <w:rPr>
                <w:rFonts w:ascii="Times New Roman" w:hAnsi="Times New Roman"/>
                <w:sz w:val="24"/>
              </w:rPr>
              <w:t>0200</w:t>
            </w:r>
          </w:p>
        </w:tc>
        <w:tc>
          <w:tcPr>
            <w:tcW w:w="7436" w:type="dxa"/>
          </w:tcPr>
          <w:p w14:paraId="35E32D91" w14:textId="77777777" w:rsidR="00E026FB" w:rsidRPr="00E07C9A" w:rsidRDefault="00E026FB" w:rsidP="00E10B85">
            <w:pPr>
              <w:spacing w:before="0" w:after="0"/>
              <w:jc w:val="left"/>
              <w:rPr>
                <w:rFonts w:ascii="Times New Roman" w:hAnsi="Times New Roman"/>
                <w:b/>
                <w:sz w:val="24"/>
                <w:u w:val="single"/>
              </w:rPr>
            </w:pPr>
            <w:r w:rsidRPr="00E07C9A">
              <w:rPr>
                <w:rFonts w:ascii="Times New Roman" w:hAnsi="Times New Roman"/>
                <w:b/>
                <w:sz w:val="24"/>
                <w:u w:val="single"/>
              </w:rPr>
              <w:t>HODNOTA EXPOZÍCIE, NA KTORÚ SA UPLATŇUJÚ RIZIKOVÉ VÁHY</w:t>
            </w:r>
          </w:p>
          <w:p w14:paraId="6757D53C" w14:textId="77777777" w:rsidR="00E026FB" w:rsidRPr="00E07C9A" w:rsidRDefault="00E026FB" w:rsidP="00E10B85">
            <w:pPr>
              <w:spacing w:before="0" w:after="0"/>
              <w:jc w:val="left"/>
              <w:rPr>
                <w:rFonts w:ascii="Times New Roman" w:hAnsi="Times New Roman"/>
                <w:b/>
                <w:sz w:val="24"/>
                <w:u w:val="single"/>
              </w:rPr>
            </w:pPr>
          </w:p>
          <w:p w14:paraId="2F9C5C87" w14:textId="77777777" w:rsidR="00E026FB" w:rsidRPr="00E07C9A" w:rsidRDefault="00E026FB" w:rsidP="00E10B85">
            <w:pPr>
              <w:spacing w:before="0" w:after="0"/>
              <w:rPr>
                <w:rFonts w:ascii="Times New Roman" w:hAnsi="Times New Roman"/>
                <w:sz w:val="24"/>
              </w:rPr>
            </w:pPr>
            <w:r w:rsidRPr="00E07C9A">
              <w:rPr>
                <w:rFonts w:ascii="Times New Roman" w:hAnsi="Times New Roman"/>
                <w:sz w:val="24"/>
              </w:rPr>
              <w:t>Hodnota expozície mínus hodnota expozície odpočítaná od vlastných zdrojov.</w:t>
            </w:r>
          </w:p>
          <w:p w14:paraId="1C9678F1" w14:textId="77777777" w:rsidR="00E026FB" w:rsidRPr="00E07C9A" w:rsidRDefault="00E026FB" w:rsidP="00E10B85">
            <w:pPr>
              <w:pStyle w:val="Heading1"/>
              <w:rPr>
                <w:rFonts w:ascii="Times New Roman" w:eastAsia="Times New Roman" w:hAnsi="Times New Roman"/>
                <w:sz w:val="24"/>
                <w:szCs w:val="24"/>
                <w:lang w:eastAsia="es-ES_tradnl"/>
              </w:rPr>
            </w:pPr>
          </w:p>
        </w:tc>
      </w:tr>
      <w:tr w:rsidR="00E026FB" w:rsidRPr="00E07C9A" w14:paraId="20D74DFD" w14:textId="77777777" w:rsidTr="00E10B85">
        <w:tc>
          <w:tcPr>
            <w:tcW w:w="1568" w:type="dxa"/>
          </w:tcPr>
          <w:p w14:paraId="4E9CBFE9" w14:textId="77777777" w:rsidR="00E026FB" w:rsidRPr="00E07C9A" w:rsidRDefault="00E026FB"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0210</w:t>
            </w:r>
          </w:p>
        </w:tc>
        <w:tc>
          <w:tcPr>
            <w:tcW w:w="7436" w:type="dxa"/>
          </w:tcPr>
          <w:p w14:paraId="6E7B1A85" w14:textId="77777777" w:rsidR="00E026FB" w:rsidRPr="00E07C9A" w:rsidRDefault="00E026FB" w:rsidP="00E10B85">
            <w:pPr>
              <w:spacing w:before="0" w:after="0"/>
              <w:jc w:val="left"/>
              <w:rPr>
                <w:rFonts w:ascii="Times New Roman" w:hAnsi="Times New Roman"/>
                <w:b/>
                <w:sz w:val="24"/>
                <w:u w:val="single"/>
              </w:rPr>
            </w:pPr>
            <w:r w:rsidRPr="00E07C9A">
              <w:rPr>
                <w:rFonts w:ascii="Times New Roman" w:hAnsi="Times New Roman"/>
                <w:b/>
                <w:sz w:val="24"/>
                <w:u w:val="single"/>
              </w:rPr>
              <w:t>SEC-IRBA</w:t>
            </w:r>
          </w:p>
          <w:p w14:paraId="03B54819" w14:textId="77777777" w:rsidR="00E026FB" w:rsidRPr="00E07C9A" w:rsidRDefault="00E026FB" w:rsidP="00E10B85">
            <w:pPr>
              <w:spacing w:before="0" w:after="0"/>
              <w:jc w:val="left"/>
              <w:rPr>
                <w:rFonts w:ascii="Times New Roman" w:hAnsi="Times New Roman"/>
                <w:b/>
                <w:sz w:val="24"/>
                <w:u w:val="single"/>
              </w:rPr>
            </w:pPr>
          </w:p>
          <w:p w14:paraId="5C9B8A39" w14:textId="0382B61C" w:rsidR="00E026FB" w:rsidRPr="00E07C9A" w:rsidRDefault="00E026FB" w:rsidP="00E10B85">
            <w:pPr>
              <w:spacing w:before="0" w:after="0"/>
              <w:jc w:val="left"/>
              <w:rPr>
                <w:rFonts w:ascii="Times New Roman" w:hAnsi="Times New Roman"/>
                <w:sz w:val="24"/>
              </w:rPr>
            </w:pPr>
            <w:r w:rsidRPr="00E07C9A">
              <w:rPr>
                <w:rFonts w:ascii="Times New Roman" w:hAnsi="Times New Roman"/>
                <w:sz w:val="24"/>
              </w:rPr>
              <w:t xml:space="preserve">Článok 254 ods. 1 písm. a) nariadenia (EÚ) </w:t>
            </w:r>
            <w:r w:rsidR="009912F8" w:rsidRPr="00E07C9A">
              <w:rPr>
                <w:rFonts w:ascii="Times New Roman" w:hAnsi="Times New Roman"/>
                <w:sz w:val="24"/>
              </w:rPr>
              <w:t>č. 575/2013</w:t>
            </w:r>
          </w:p>
          <w:p w14:paraId="56128DD0" w14:textId="77777777" w:rsidR="00E026FB" w:rsidRPr="00E07C9A" w:rsidRDefault="00E026FB" w:rsidP="00E10B85">
            <w:pPr>
              <w:spacing w:before="0" w:after="0"/>
              <w:jc w:val="left"/>
              <w:rPr>
                <w:rFonts w:ascii="Times New Roman" w:hAnsi="Times New Roman"/>
                <w:sz w:val="24"/>
              </w:rPr>
            </w:pPr>
          </w:p>
        </w:tc>
      </w:tr>
      <w:tr w:rsidR="00E026FB" w:rsidRPr="00E07C9A" w14:paraId="473740A2" w14:textId="77777777" w:rsidTr="00E10B85">
        <w:tc>
          <w:tcPr>
            <w:tcW w:w="1568" w:type="dxa"/>
          </w:tcPr>
          <w:p w14:paraId="7ED7AC30" w14:textId="77777777" w:rsidR="00E026FB" w:rsidRPr="00E07C9A" w:rsidRDefault="00E026FB"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0220 – 0260</w:t>
            </w:r>
          </w:p>
        </w:tc>
        <w:tc>
          <w:tcPr>
            <w:tcW w:w="7436" w:type="dxa"/>
          </w:tcPr>
          <w:p w14:paraId="32F5A001" w14:textId="77777777" w:rsidR="00E026FB" w:rsidRPr="00E07C9A" w:rsidRDefault="00E026FB" w:rsidP="00E10B85">
            <w:pPr>
              <w:spacing w:before="0" w:after="0"/>
              <w:jc w:val="left"/>
              <w:rPr>
                <w:rFonts w:ascii="Times New Roman" w:hAnsi="Times New Roman"/>
                <w:b/>
                <w:sz w:val="24"/>
                <w:u w:val="single"/>
              </w:rPr>
            </w:pPr>
            <w:r w:rsidRPr="00E07C9A">
              <w:rPr>
                <w:rFonts w:ascii="Times New Roman" w:hAnsi="Times New Roman"/>
                <w:b/>
                <w:sz w:val="24"/>
                <w:u w:val="single"/>
              </w:rPr>
              <w:t>ROZČLENENIE PODĽA PÁSIEM RIZIKOVÝCH VÁH</w:t>
            </w:r>
          </w:p>
          <w:p w14:paraId="140815DD" w14:textId="77777777" w:rsidR="00E026FB" w:rsidRPr="00E07C9A" w:rsidRDefault="00E026FB" w:rsidP="00E10B85">
            <w:pPr>
              <w:spacing w:before="0" w:after="0"/>
              <w:jc w:val="left"/>
              <w:rPr>
                <w:rFonts w:ascii="Times New Roman" w:hAnsi="Times New Roman"/>
                <w:sz w:val="24"/>
              </w:rPr>
            </w:pPr>
          </w:p>
          <w:p w14:paraId="153B8E6A" w14:textId="77777777" w:rsidR="00E026FB" w:rsidRPr="00E07C9A" w:rsidRDefault="00E026FB" w:rsidP="00E10B85">
            <w:pPr>
              <w:spacing w:before="0" w:after="0"/>
              <w:jc w:val="left"/>
              <w:rPr>
                <w:rFonts w:ascii="Times New Roman" w:hAnsi="Times New Roman"/>
                <w:sz w:val="24"/>
              </w:rPr>
            </w:pPr>
            <w:r w:rsidRPr="00E07C9A">
              <w:rPr>
                <w:rFonts w:ascii="Times New Roman" w:hAnsi="Times New Roman"/>
                <w:sz w:val="24"/>
              </w:rPr>
              <w:t>Expozície SEC-IRBA rozčlenené podľa pásiem rizikových váh.</w:t>
            </w:r>
          </w:p>
          <w:p w14:paraId="28D324CB" w14:textId="77777777" w:rsidR="00E026FB" w:rsidRPr="00E07C9A" w:rsidRDefault="00E026FB" w:rsidP="00E10B85">
            <w:pPr>
              <w:spacing w:before="0" w:after="0"/>
              <w:jc w:val="left"/>
              <w:rPr>
                <w:rFonts w:ascii="Times New Roman" w:hAnsi="Times New Roman"/>
                <w:b/>
                <w:sz w:val="24"/>
                <w:u w:val="single"/>
              </w:rPr>
            </w:pPr>
          </w:p>
        </w:tc>
      </w:tr>
      <w:tr w:rsidR="00E026FB" w:rsidRPr="00E07C9A" w14:paraId="6CED6C3C" w14:textId="77777777" w:rsidTr="00E10B85">
        <w:tc>
          <w:tcPr>
            <w:tcW w:w="1568" w:type="dxa"/>
          </w:tcPr>
          <w:p w14:paraId="2DB76C3B" w14:textId="77777777" w:rsidR="00E026FB" w:rsidRPr="00E07C9A" w:rsidRDefault="00E026FB"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0270</w:t>
            </w:r>
          </w:p>
        </w:tc>
        <w:tc>
          <w:tcPr>
            <w:tcW w:w="7436" w:type="dxa"/>
          </w:tcPr>
          <w:p w14:paraId="34D8184B" w14:textId="77777777" w:rsidR="009912F8" w:rsidRPr="00E07C9A" w:rsidRDefault="00E026FB" w:rsidP="00E10B85">
            <w:pPr>
              <w:spacing w:before="0" w:after="0"/>
              <w:jc w:val="left"/>
              <w:rPr>
                <w:rFonts w:ascii="Times New Roman" w:hAnsi="Times New Roman"/>
                <w:b/>
                <w:sz w:val="24"/>
                <w:u w:val="single"/>
              </w:rPr>
            </w:pPr>
            <w:r w:rsidRPr="00E07C9A">
              <w:rPr>
                <w:rFonts w:ascii="Times New Roman" w:hAnsi="Times New Roman"/>
                <w:b/>
                <w:sz w:val="24"/>
                <w:u w:val="single"/>
              </w:rPr>
              <w:t>Z ČOHO: VYPOČÍTANÉ NA ZÁKLADE ČLÁNKU 255 ODS. 4 (ODKÚPENÉ POHĽADÁVKY)</w:t>
            </w:r>
          </w:p>
          <w:p w14:paraId="0C9CD803" w14:textId="168CDBC7" w:rsidR="00E026FB" w:rsidRPr="00E07C9A" w:rsidRDefault="00E026FB" w:rsidP="00E10B85">
            <w:pPr>
              <w:spacing w:before="0" w:after="0"/>
              <w:jc w:val="left"/>
              <w:rPr>
                <w:rFonts w:ascii="Times New Roman" w:hAnsi="Times New Roman"/>
                <w:sz w:val="24"/>
              </w:rPr>
            </w:pPr>
          </w:p>
          <w:p w14:paraId="7817A65B" w14:textId="7D5FD352" w:rsidR="001E0C80" w:rsidRPr="00E07C9A" w:rsidRDefault="00E026FB" w:rsidP="00E10B85">
            <w:pPr>
              <w:spacing w:before="0" w:after="0"/>
              <w:jc w:val="left"/>
              <w:rPr>
                <w:rFonts w:ascii="Times New Roman" w:hAnsi="Times New Roman"/>
                <w:sz w:val="24"/>
              </w:rPr>
            </w:pPr>
            <w:r w:rsidRPr="00E07C9A">
              <w:rPr>
                <w:rFonts w:ascii="Times New Roman" w:hAnsi="Times New Roman"/>
                <w:sz w:val="24"/>
              </w:rPr>
              <w:t xml:space="preserve">Článok 255 ods. 4 nariadenia (EÚ) </w:t>
            </w:r>
            <w:r w:rsidR="009912F8" w:rsidRPr="00E07C9A">
              <w:rPr>
                <w:rFonts w:ascii="Times New Roman" w:hAnsi="Times New Roman"/>
                <w:sz w:val="24"/>
              </w:rPr>
              <w:t>č. 575/2013</w:t>
            </w:r>
          </w:p>
          <w:p w14:paraId="6128B529" w14:textId="77777777" w:rsidR="009912F8" w:rsidRPr="00E07C9A" w:rsidRDefault="009912F8" w:rsidP="00E10B85">
            <w:pPr>
              <w:spacing w:before="0" w:after="0"/>
              <w:jc w:val="left"/>
              <w:rPr>
                <w:rFonts w:ascii="Times New Roman" w:hAnsi="Times New Roman"/>
                <w:sz w:val="24"/>
              </w:rPr>
            </w:pPr>
          </w:p>
          <w:p w14:paraId="003B1E81" w14:textId="31CDE77B" w:rsidR="00E026FB" w:rsidRPr="00E07C9A" w:rsidRDefault="00E026FB" w:rsidP="00E10B85">
            <w:pPr>
              <w:spacing w:before="0" w:after="0"/>
              <w:jc w:val="left"/>
              <w:rPr>
                <w:rFonts w:ascii="Times New Roman" w:hAnsi="Times New Roman"/>
                <w:sz w:val="24"/>
              </w:rPr>
            </w:pPr>
            <w:r w:rsidRPr="00E07C9A">
              <w:rPr>
                <w:rFonts w:ascii="Times New Roman" w:hAnsi="Times New Roman"/>
                <w:sz w:val="24"/>
              </w:rPr>
              <w:t>Na účely tohto stĺpca sa</w:t>
            </w:r>
            <w:r w:rsidR="009912F8" w:rsidRPr="00E07C9A">
              <w:rPr>
                <w:rFonts w:ascii="Times New Roman" w:hAnsi="Times New Roman"/>
                <w:sz w:val="24"/>
              </w:rPr>
              <w:t xml:space="preserve"> s </w:t>
            </w:r>
            <w:r w:rsidRPr="00E07C9A">
              <w:rPr>
                <w:rFonts w:ascii="Times New Roman" w:hAnsi="Times New Roman"/>
                <w:sz w:val="24"/>
              </w:rPr>
              <w:t>retailovými expozíciami zaobchádza ako</w:t>
            </w:r>
            <w:r w:rsidR="009912F8" w:rsidRPr="00E07C9A">
              <w:rPr>
                <w:rFonts w:ascii="Times New Roman" w:hAnsi="Times New Roman"/>
                <w:sz w:val="24"/>
              </w:rPr>
              <w:t xml:space="preserve"> s </w:t>
            </w:r>
            <w:r w:rsidRPr="00E07C9A">
              <w:rPr>
                <w:rFonts w:ascii="Times New Roman" w:hAnsi="Times New Roman"/>
                <w:sz w:val="24"/>
              </w:rPr>
              <w:t>odkúpenými retailovými pohľadávkami</w:t>
            </w:r>
            <w:r w:rsidR="009912F8" w:rsidRPr="00E07C9A">
              <w:rPr>
                <w:rFonts w:ascii="Times New Roman" w:hAnsi="Times New Roman"/>
                <w:sz w:val="24"/>
              </w:rPr>
              <w:t xml:space="preserve"> a s </w:t>
            </w:r>
            <w:r w:rsidRPr="00E07C9A">
              <w:rPr>
                <w:rFonts w:ascii="Times New Roman" w:hAnsi="Times New Roman"/>
                <w:sz w:val="24"/>
              </w:rPr>
              <w:t>neretailovými expozíciami sa zaobchádza ako</w:t>
            </w:r>
            <w:r w:rsidR="009912F8" w:rsidRPr="00E07C9A">
              <w:rPr>
                <w:rFonts w:ascii="Times New Roman" w:hAnsi="Times New Roman"/>
                <w:sz w:val="24"/>
              </w:rPr>
              <w:t xml:space="preserve"> s </w:t>
            </w:r>
            <w:r w:rsidRPr="00E07C9A">
              <w:rPr>
                <w:rFonts w:ascii="Times New Roman" w:hAnsi="Times New Roman"/>
                <w:sz w:val="24"/>
              </w:rPr>
              <w:t>odkúpenými podnikovými pohľadávkami.</w:t>
            </w:r>
          </w:p>
          <w:p w14:paraId="770DF142" w14:textId="77777777" w:rsidR="00E026FB" w:rsidRPr="00E07C9A" w:rsidRDefault="00E026FB" w:rsidP="00E10B85">
            <w:pPr>
              <w:spacing w:before="0" w:after="0"/>
              <w:jc w:val="left"/>
              <w:rPr>
                <w:rFonts w:ascii="Times New Roman" w:hAnsi="Times New Roman"/>
                <w:sz w:val="24"/>
              </w:rPr>
            </w:pPr>
          </w:p>
        </w:tc>
      </w:tr>
      <w:tr w:rsidR="00E026FB" w:rsidRPr="00E07C9A" w14:paraId="138A8410" w14:textId="77777777" w:rsidTr="00E10B85">
        <w:tc>
          <w:tcPr>
            <w:tcW w:w="1568" w:type="dxa"/>
          </w:tcPr>
          <w:p w14:paraId="6B5E1A61" w14:textId="77777777" w:rsidR="00E026FB" w:rsidRPr="00E07C9A" w:rsidRDefault="00E026FB"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0280</w:t>
            </w:r>
          </w:p>
        </w:tc>
        <w:tc>
          <w:tcPr>
            <w:tcW w:w="7436" w:type="dxa"/>
          </w:tcPr>
          <w:p w14:paraId="1426DA53" w14:textId="77777777" w:rsidR="00E026FB" w:rsidRPr="00E07C9A" w:rsidRDefault="00E026FB" w:rsidP="00E10B85">
            <w:pPr>
              <w:spacing w:before="0" w:after="0"/>
              <w:jc w:val="left"/>
              <w:rPr>
                <w:rFonts w:ascii="Times New Roman" w:hAnsi="Times New Roman"/>
                <w:b/>
                <w:sz w:val="24"/>
                <w:u w:val="single"/>
              </w:rPr>
            </w:pPr>
            <w:r w:rsidRPr="00E07C9A">
              <w:rPr>
                <w:rFonts w:ascii="Times New Roman" w:hAnsi="Times New Roman"/>
                <w:b/>
                <w:sz w:val="24"/>
                <w:u w:val="single"/>
              </w:rPr>
              <w:t>SEC-SA</w:t>
            </w:r>
          </w:p>
          <w:p w14:paraId="319268F6" w14:textId="77777777" w:rsidR="00E026FB" w:rsidRPr="00E07C9A" w:rsidRDefault="00E026FB" w:rsidP="00E10B85">
            <w:pPr>
              <w:spacing w:before="0" w:after="0"/>
              <w:jc w:val="left"/>
              <w:rPr>
                <w:rFonts w:ascii="Times New Roman" w:hAnsi="Times New Roman"/>
                <w:b/>
                <w:sz w:val="24"/>
                <w:u w:val="single"/>
              </w:rPr>
            </w:pPr>
          </w:p>
          <w:p w14:paraId="58D171CB" w14:textId="4DD4EDB2" w:rsidR="00E026FB" w:rsidRPr="00E07C9A" w:rsidRDefault="00247193" w:rsidP="00E10B85">
            <w:pPr>
              <w:spacing w:before="0" w:after="0"/>
              <w:jc w:val="left"/>
              <w:rPr>
                <w:rFonts w:ascii="Times New Roman" w:hAnsi="Times New Roman"/>
                <w:b/>
                <w:sz w:val="24"/>
                <w:u w:val="single"/>
              </w:rPr>
            </w:pPr>
            <w:r w:rsidRPr="00E07C9A">
              <w:rPr>
                <w:rFonts w:ascii="Times New Roman" w:hAnsi="Times New Roman"/>
                <w:sz w:val="24"/>
              </w:rPr>
              <w:t xml:space="preserve">Článok 254 ods. 1 písm. b) nariadenia (EÚ) </w:t>
            </w:r>
            <w:r w:rsidR="009912F8" w:rsidRPr="00E07C9A">
              <w:rPr>
                <w:rFonts w:ascii="Times New Roman" w:hAnsi="Times New Roman"/>
                <w:sz w:val="24"/>
              </w:rPr>
              <w:t>č. 575/2013</w:t>
            </w:r>
          </w:p>
          <w:p w14:paraId="76075D12" w14:textId="77777777" w:rsidR="00E026FB" w:rsidRPr="00E07C9A" w:rsidRDefault="00E026FB" w:rsidP="00E10B85">
            <w:pPr>
              <w:spacing w:before="0" w:after="0"/>
              <w:jc w:val="left"/>
              <w:rPr>
                <w:rFonts w:ascii="Times New Roman" w:hAnsi="Times New Roman"/>
                <w:sz w:val="24"/>
              </w:rPr>
            </w:pPr>
          </w:p>
        </w:tc>
      </w:tr>
      <w:tr w:rsidR="00E026FB" w:rsidRPr="00E07C9A" w14:paraId="3E05A410" w14:textId="77777777" w:rsidTr="00E10B85">
        <w:tc>
          <w:tcPr>
            <w:tcW w:w="1568" w:type="dxa"/>
          </w:tcPr>
          <w:p w14:paraId="43F90B7D" w14:textId="77777777" w:rsidR="00E026FB" w:rsidRPr="00E07C9A" w:rsidRDefault="00E026FB"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0290 – 0340</w:t>
            </w:r>
          </w:p>
        </w:tc>
        <w:tc>
          <w:tcPr>
            <w:tcW w:w="7436" w:type="dxa"/>
          </w:tcPr>
          <w:p w14:paraId="443AA4A9" w14:textId="77777777" w:rsidR="00E026FB" w:rsidRPr="00E07C9A" w:rsidRDefault="00E026FB" w:rsidP="00E10B85">
            <w:pPr>
              <w:spacing w:before="0" w:after="0"/>
              <w:jc w:val="left"/>
              <w:rPr>
                <w:rFonts w:ascii="Times New Roman" w:hAnsi="Times New Roman"/>
                <w:b/>
                <w:sz w:val="24"/>
                <w:u w:val="single"/>
              </w:rPr>
            </w:pPr>
            <w:r w:rsidRPr="00E07C9A">
              <w:rPr>
                <w:rFonts w:ascii="Times New Roman" w:hAnsi="Times New Roman"/>
                <w:b/>
                <w:sz w:val="24"/>
                <w:u w:val="single"/>
              </w:rPr>
              <w:t>ROZČLENENIE PODĽA PÁSIEM RIZIKOVÝCH VÁH</w:t>
            </w:r>
          </w:p>
          <w:p w14:paraId="18CBB09A" w14:textId="77777777" w:rsidR="00E026FB" w:rsidRPr="00E07C9A" w:rsidRDefault="00E026FB" w:rsidP="00E10B85">
            <w:pPr>
              <w:spacing w:before="0" w:after="0"/>
              <w:jc w:val="left"/>
              <w:rPr>
                <w:rFonts w:ascii="Times New Roman" w:hAnsi="Times New Roman"/>
                <w:sz w:val="24"/>
              </w:rPr>
            </w:pPr>
          </w:p>
          <w:p w14:paraId="5942C92E" w14:textId="77777777" w:rsidR="00E026FB" w:rsidRPr="00E07C9A" w:rsidRDefault="00E026FB" w:rsidP="00E10B85">
            <w:pPr>
              <w:spacing w:before="0" w:after="0"/>
              <w:jc w:val="left"/>
              <w:rPr>
                <w:rFonts w:ascii="Times New Roman" w:hAnsi="Times New Roman"/>
                <w:sz w:val="24"/>
              </w:rPr>
            </w:pPr>
            <w:r w:rsidRPr="00E07C9A">
              <w:rPr>
                <w:rFonts w:ascii="Times New Roman" w:hAnsi="Times New Roman"/>
                <w:sz w:val="24"/>
              </w:rPr>
              <w:t>Expozície SEC-SA rozčlenené podľa pásiem rizikových váh.</w:t>
            </w:r>
          </w:p>
          <w:p w14:paraId="722CBD41" w14:textId="77777777" w:rsidR="00E026FB" w:rsidRPr="00E07C9A" w:rsidRDefault="00E026FB" w:rsidP="00E10B85">
            <w:pPr>
              <w:spacing w:before="0" w:after="0"/>
              <w:jc w:val="left"/>
              <w:rPr>
                <w:rFonts w:ascii="Times New Roman" w:hAnsi="Times New Roman"/>
                <w:sz w:val="24"/>
                <w:u w:val="single"/>
              </w:rPr>
            </w:pPr>
          </w:p>
          <w:p w14:paraId="396554C2" w14:textId="796FBF0E" w:rsidR="00E026FB" w:rsidRPr="00E07C9A" w:rsidRDefault="00E026FB" w:rsidP="00E10B85">
            <w:pPr>
              <w:spacing w:before="0" w:after="0"/>
              <w:jc w:val="left"/>
              <w:rPr>
                <w:rFonts w:ascii="Times New Roman" w:hAnsi="Times New Roman"/>
                <w:sz w:val="24"/>
              </w:rPr>
            </w:pPr>
            <w:r w:rsidRPr="00E07C9A">
              <w:rPr>
                <w:rFonts w:ascii="Times New Roman" w:hAnsi="Times New Roman"/>
                <w:sz w:val="24"/>
              </w:rPr>
              <w:t>Pre RW = 1 250</w:t>
            </w:r>
            <w:r w:rsidR="009912F8" w:rsidRPr="00E07C9A">
              <w:rPr>
                <w:rFonts w:ascii="Times New Roman" w:hAnsi="Times New Roman"/>
              </w:rPr>
              <w:t> %</w:t>
            </w:r>
            <w:r w:rsidRPr="00E07C9A">
              <w:rPr>
                <w:rFonts w:ascii="Times New Roman" w:hAnsi="Times New Roman"/>
                <w:sz w:val="24"/>
              </w:rPr>
              <w:t xml:space="preserve"> (W neznáme) sa</w:t>
            </w:r>
            <w:r w:rsidR="009912F8" w:rsidRPr="00E07C9A">
              <w:rPr>
                <w:rFonts w:ascii="Times New Roman" w:hAnsi="Times New Roman"/>
                <w:sz w:val="24"/>
              </w:rPr>
              <w:t xml:space="preserve"> v </w:t>
            </w:r>
            <w:r w:rsidRPr="00E07C9A">
              <w:rPr>
                <w:rFonts w:ascii="Times New Roman" w:hAnsi="Times New Roman"/>
                <w:sz w:val="24"/>
              </w:rPr>
              <w:t xml:space="preserve">článku 261 ods. 2 písm. b) štvrtom pododseku nariadenia (EÚ) </w:t>
            </w:r>
            <w:r w:rsidR="009912F8" w:rsidRPr="00E07C9A">
              <w:rPr>
                <w:rFonts w:ascii="Times New Roman" w:hAnsi="Times New Roman"/>
                <w:sz w:val="24"/>
              </w:rPr>
              <w:t>č. 575/2013</w:t>
            </w:r>
            <w:r w:rsidRPr="00E07C9A">
              <w:rPr>
                <w:rFonts w:ascii="Times New Roman" w:hAnsi="Times New Roman"/>
                <w:sz w:val="24"/>
              </w:rPr>
              <w:t xml:space="preserve"> stanovuje, že pozícii</w:t>
            </w:r>
            <w:r w:rsidR="009912F8" w:rsidRPr="00E07C9A">
              <w:rPr>
                <w:rFonts w:ascii="Times New Roman" w:hAnsi="Times New Roman"/>
                <w:sz w:val="24"/>
              </w:rPr>
              <w:t xml:space="preserve"> v </w:t>
            </w:r>
            <w:r w:rsidRPr="00E07C9A">
              <w:rPr>
                <w:rFonts w:ascii="Times New Roman" w:hAnsi="Times New Roman"/>
                <w:sz w:val="24"/>
              </w:rPr>
              <w:t>sekuritizácii sa pridelí riziková váha 1 250</w:t>
            </w:r>
            <w:r w:rsidR="009912F8" w:rsidRPr="00E07C9A">
              <w:rPr>
                <w:rFonts w:ascii="Times New Roman" w:hAnsi="Times New Roman"/>
                <w:sz w:val="24"/>
              </w:rPr>
              <w:t> %</w:t>
            </w:r>
            <w:r w:rsidRPr="00E07C9A">
              <w:rPr>
                <w:rFonts w:ascii="Times New Roman" w:hAnsi="Times New Roman"/>
                <w:sz w:val="24"/>
              </w:rPr>
              <w:t xml:space="preserve"> vtedy, keď inštitúcia nepozná mieru platobnej disciplinovanosti pri viac než 5</w:t>
            </w:r>
            <w:r w:rsidR="009912F8" w:rsidRPr="00E07C9A">
              <w:rPr>
                <w:rFonts w:ascii="Times New Roman" w:hAnsi="Times New Roman"/>
                <w:sz w:val="24"/>
              </w:rPr>
              <w:t> %</w:t>
            </w:r>
            <w:r w:rsidRPr="00E07C9A">
              <w:rPr>
                <w:rFonts w:ascii="Times New Roman" w:hAnsi="Times New Roman"/>
                <w:sz w:val="24"/>
              </w:rPr>
              <w:t xml:space="preserve"> podkladových expozícií</w:t>
            </w:r>
            <w:r w:rsidR="009912F8" w:rsidRPr="00E07C9A">
              <w:rPr>
                <w:rFonts w:ascii="Times New Roman" w:hAnsi="Times New Roman"/>
                <w:sz w:val="24"/>
              </w:rPr>
              <w:t xml:space="preserve"> v </w:t>
            </w:r>
            <w:r w:rsidRPr="00E07C9A">
              <w:rPr>
                <w:rFonts w:ascii="Times New Roman" w:hAnsi="Times New Roman"/>
                <w:sz w:val="24"/>
              </w:rPr>
              <w:t>skupine.</w:t>
            </w:r>
          </w:p>
          <w:p w14:paraId="7F7170E9" w14:textId="77777777" w:rsidR="00E026FB" w:rsidRPr="00E07C9A" w:rsidRDefault="00E026FB" w:rsidP="00E10B85">
            <w:pPr>
              <w:spacing w:before="0" w:after="0"/>
              <w:jc w:val="left"/>
              <w:rPr>
                <w:rFonts w:ascii="Times New Roman" w:hAnsi="Times New Roman"/>
                <w:sz w:val="24"/>
                <w:u w:val="single"/>
              </w:rPr>
            </w:pPr>
          </w:p>
        </w:tc>
      </w:tr>
      <w:tr w:rsidR="00E026FB" w:rsidRPr="00E07C9A" w14:paraId="4F905A8B" w14:textId="77777777" w:rsidTr="00E10B85">
        <w:tc>
          <w:tcPr>
            <w:tcW w:w="1568" w:type="dxa"/>
          </w:tcPr>
          <w:p w14:paraId="7973D8BE" w14:textId="77777777" w:rsidR="00E026FB" w:rsidRPr="00E07C9A" w:rsidDel="002122FF" w:rsidRDefault="00E026FB"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0350</w:t>
            </w:r>
          </w:p>
        </w:tc>
        <w:tc>
          <w:tcPr>
            <w:tcW w:w="7436" w:type="dxa"/>
          </w:tcPr>
          <w:p w14:paraId="6C4EF68B" w14:textId="77777777" w:rsidR="00E026FB" w:rsidRPr="00E07C9A" w:rsidRDefault="00E026FB" w:rsidP="00E10B85">
            <w:pPr>
              <w:spacing w:before="0" w:after="0"/>
              <w:rPr>
                <w:rFonts w:ascii="Times New Roman" w:hAnsi="Times New Roman"/>
                <w:b/>
                <w:sz w:val="24"/>
                <w:u w:val="single"/>
              </w:rPr>
            </w:pPr>
            <w:r w:rsidRPr="00E07C9A">
              <w:rPr>
                <w:rFonts w:ascii="Times New Roman" w:hAnsi="Times New Roman"/>
                <w:b/>
                <w:sz w:val="24"/>
                <w:u w:val="single"/>
              </w:rPr>
              <w:t>SEC-ERBA</w:t>
            </w:r>
          </w:p>
          <w:p w14:paraId="2C5526B6" w14:textId="77777777" w:rsidR="00E026FB" w:rsidRPr="00E07C9A" w:rsidRDefault="00E026FB" w:rsidP="00E10B85">
            <w:pPr>
              <w:spacing w:before="0" w:after="0"/>
              <w:rPr>
                <w:rFonts w:ascii="Times New Roman" w:hAnsi="Times New Roman"/>
                <w:sz w:val="24"/>
              </w:rPr>
            </w:pPr>
          </w:p>
          <w:p w14:paraId="3CCC80EB" w14:textId="08B3617E" w:rsidR="009912F8" w:rsidRPr="00E07C9A" w:rsidRDefault="00247193" w:rsidP="00E10B85">
            <w:pPr>
              <w:spacing w:before="0" w:after="0"/>
              <w:jc w:val="left"/>
              <w:rPr>
                <w:rFonts w:ascii="Times New Roman" w:hAnsi="Times New Roman"/>
                <w:sz w:val="24"/>
              </w:rPr>
            </w:pPr>
            <w:r w:rsidRPr="00E07C9A">
              <w:rPr>
                <w:rFonts w:ascii="Times New Roman" w:hAnsi="Times New Roman"/>
                <w:sz w:val="24"/>
              </w:rPr>
              <w:t xml:space="preserve">Článok 254 ods. 1 písm. c) nariadenia (EÚ) </w:t>
            </w:r>
            <w:r w:rsidR="009912F8" w:rsidRPr="00E07C9A">
              <w:rPr>
                <w:rFonts w:ascii="Times New Roman" w:hAnsi="Times New Roman"/>
                <w:sz w:val="24"/>
              </w:rPr>
              <w:t>č. 575/2013</w:t>
            </w:r>
          </w:p>
          <w:p w14:paraId="71B533C7" w14:textId="08D70AF8" w:rsidR="00E026FB" w:rsidRPr="00E07C9A" w:rsidRDefault="00E026FB" w:rsidP="00E10B85">
            <w:pPr>
              <w:spacing w:before="0" w:after="0"/>
              <w:rPr>
                <w:rFonts w:ascii="Times New Roman" w:hAnsi="Times New Roman"/>
                <w:b/>
                <w:sz w:val="24"/>
                <w:u w:val="single"/>
              </w:rPr>
            </w:pPr>
          </w:p>
        </w:tc>
      </w:tr>
      <w:tr w:rsidR="00E026FB" w:rsidRPr="00E07C9A" w14:paraId="37F40710" w14:textId="77777777" w:rsidTr="00E10B85">
        <w:tc>
          <w:tcPr>
            <w:tcW w:w="1568" w:type="dxa"/>
          </w:tcPr>
          <w:p w14:paraId="6FEE6D12" w14:textId="77777777" w:rsidR="00E026FB" w:rsidRPr="00E07C9A" w:rsidRDefault="00E026FB" w:rsidP="00E10B85">
            <w:pPr>
              <w:autoSpaceDE w:val="0"/>
              <w:autoSpaceDN w:val="0"/>
              <w:adjustRightInd w:val="0"/>
              <w:spacing w:before="0" w:after="0"/>
              <w:rPr>
                <w:rFonts w:ascii="Times New Roman" w:hAnsi="Times New Roman"/>
                <w:bCs/>
                <w:sz w:val="24"/>
              </w:rPr>
            </w:pPr>
            <w:r w:rsidRPr="00E07C9A">
              <w:rPr>
                <w:rFonts w:ascii="Times New Roman" w:hAnsi="Times New Roman"/>
                <w:sz w:val="24"/>
              </w:rPr>
              <w:t>0360 – 0570</w:t>
            </w:r>
          </w:p>
        </w:tc>
        <w:tc>
          <w:tcPr>
            <w:tcW w:w="7436" w:type="dxa"/>
          </w:tcPr>
          <w:p w14:paraId="28DB3EEE" w14:textId="77777777" w:rsidR="00E026FB" w:rsidRPr="00E07C9A" w:rsidRDefault="00E026FB" w:rsidP="00E10B85">
            <w:pPr>
              <w:spacing w:before="0" w:after="0"/>
              <w:rPr>
                <w:rFonts w:ascii="Times New Roman" w:hAnsi="Times New Roman"/>
                <w:b/>
                <w:sz w:val="24"/>
                <w:u w:val="single"/>
              </w:rPr>
            </w:pPr>
            <w:r w:rsidRPr="00E07C9A">
              <w:rPr>
                <w:rFonts w:ascii="Times New Roman" w:hAnsi="Times New Roman"/>
                <w:b/>
                <w:sz w:val="24"/>
                <w:u w:val="single"/>
              </w:rPr>
              <w:t>ROZČLENENIE PODĽA STUPŇOV KREDITNEJ KVALITY (KRÁTKODOBÉ/DLHODOBÉ STUPNE KREDITNEJ KVALITY)</w:t>
            </w:r>
          </w:p>
          <w:p w14:paraId="7E09FFCE" w14:textId="77777777" w:rsidR="00E026FB" w:rsidRPr="00E07C9A" w:rsidRDefault="00E026FB" w:rsidP="00E10B85">
            <w:pPr>
              <w:spacing w:before="0" w:after="0"/>
              <w:rPr>
                <w:rFonts w:ascii="Times New Roman" w:hAnsi="Times New Roman"/>
                <w:sz w:val="24"/>
              </w:rPr>
            </w:pPr>
          </w:p>
          <w:p w14:paraId="60A78FC0" w14:textId="49B140F2" w:rsidR="00E026FB" w:rsidRPr="00E07C9A" w:rsidRDefault="00E026FB" w:rsidP="00E10B85">
            <w:pPr>
              <w:spacing w:before="0" w:after="0"/>
              <w:rPr>
                <w:rFonts w:ascii="Times New Roman" w:hAnsi="Times New Roman"/>
                <w:sz w:val="24"/>
              </w:rPr>
            </w:pPr>
            <w:r w:rsidRPr="00E07C9A">
              <w:rPr>
                <w:rFonts w:ascii="Times New Roman" w:hAnsi="Times New Roman"/>
                <w:sz w:val="24"/>
              </w:rPr>
              <w:t xml:space="preserve">Článok 263 nariadenia (EÚ) </w:t>
            </w:r>
            <w:r w:rsidR="009912F8" w:rsidRPr="00E07C9A">
              <w:rPr>
                <w:rFonts w:ascii="Times New Roman" w:hAnsi="Times New Roman"/>
                <w:sz w:val="24"/>
              </w:rPr>
              <w:t>č. 575/2013</w:t>
            </w:r>
          </w:p>
          <w:p w14:paraId="174293CA" w14:textId="77777777" w:rsidR="00E026FB" w:rsidRPr="00E07C9A" w:rsidRDefault="00E026FB" w:rsidP="00E10B85">
            <w:pPr>
              <w:spacing w:before="0" w:after="0"/>
              <w:rPr>
                <w:rFonts w:ascii="Times New Roman" w:hAnsi="Times New Roman"/>
                <w:sz w:val="24"/>
              </w:rPr>
            </w:pPr>
          </w:p>
          <w:p w14:paraId="702C7A75" w14:textId="3F0DE309" w:rsidR="00E026FB" w:rsidRPr="00E07C9A" w:rsidRDefault="00E026FB" w:rsidP="00E10B85">
            <w:pPr>
              <w:spacing w:before="0" w:after="0"/>
              <w:rPr>
                <w:rFonts w:ascii="Times New Roman" w:hAnsi="Times New Roman"/>
                <w:sz w:val="24"/>
              </w:rPr>
            </w:pPr>
            <w:r w:rsidRPr="00E07C9A">
              <w:rPr>
                <w:rFonts w:ascii="Times New Roman" w:hAnsi="Times New Roman"/>
                <w:sz w:val="24"/>
              </w:rPr>
              <w:t>SEC-ERBA sekuritizačné pozície</w:t>
            </w:r>
            <w:r w:rsidR="009912F8" w:rsidRPr="00E07C9A">
              <w:rPr>
                <w:rFonts w:ascii="Times New Roman" w:hAnsi="Times New Roman"/>
                <w:sz w:val="24"/>
              </w:rPr>
              <w:t xml:space="preserve"> s </w:t>
            </w:r>
            <w:r w:rsidRPr="00E07C9A">
              <w:rPr>
                <w:rFonts w:ascii="Times New Roman" w:hAnsi="Times New Roman"/>
                <w:sz w:val="24"/>
              </w:rPr>
              <w:t xml:space="preserve">odvodeným ratingom podľa článku 254 ods. 2 nariadenia (EÚ) </w:t>
            </w:r>
            <w:r w:rsidR="009912F8" w:rsidRPr="00E07C9A">
              <w:rPr>
                <w:rFonts w:ascii="Times New Roman" w:hAnsi="Times New Roman"/>
                <w:sz w:val="24"/>
              </w:rPr>
              <w:t>č. 575/2013</w:t>
            </w:r>
            <w:r w:rsidRPr="00E07C9A">
              <w:rPr>
                <w:rFonts w:ascii="Times New Roman" w:hAnsi="Times New Roman"/>
                <w:sz w:val="24"/>
              </w:rPr>
              <w:t xml:space="preserve"> sa vykazujú ako pozície</w:t>
            </w:r>
            <w:r w:rsidR="009912F8" w:rsidRPr="00E07C9A">
              <w:rPr>
                <w:rFonts w:ascii="Times New Roman" w:hAnsi="Times New Roman"/>
                <w:sz w:val="24"/>
              </w:rPr>
              <w:t xml:space="preserve"> s </w:t>
            </w:r>
            <w:r w:rsidRPr="00E07C9A">
              <w:rPr>
                <w:rFonts w:ascii="Times New Roman" w:hAnsi="Times New Roman"/>
                <w:sz w:val="24"/>
              </w:rPr>
              <w:t>ratingom.</w:t>
            </w:r>
          </w:p>
          <w:p w14:paraId="7562BEAE" w14:textId="77777777" w:rsidR="00E026FB" w:rsidRPr="00E07C9A" w:rsidRDefault="00E026FB" w:rsidP="00E10B85">
            <w:pPr>
              <w:spacing w:before="0" w:after="0"/>
              <w:rPr>
                <w:rFonts w:ascii="Times New Roman" w:hAnsi="Times New Roman"/>
                <w:sz w:val="24"/>
              </w:rPr>
            </w:pPr>
          </w:p>
          <w:p w14:paraId="0A52CDF0" w14:textId="298EEE40" w:rsidR="009912F8" w:rsidRPr="00E07C9A" w:rsidRDefault="00E026FB"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Hodnoty expozícií, na ktoré sa vzťahujú rizikové váhy, sa rozčleňujú podľa krátkodobých</w:t>
            </w:r>
            <w:r w:rsidR="009912F8" w:rsidRPr="00E07C9A">
              <w:rPr>
                <w:rFonts w:ascii="Times New Roman" w:hAnsi="Times New Roman"/>
                <w:sz w:val="24"/>
              </w:rPr>
              <w:t xml:space="preserve"> a </w:t>
            </w:r>
            <w:r w:rsidRPr="00E07C9A">
              <w:rPr>
                <w:rFonts w:ascii="Times New Roman" w:hAnsi="Times New Roman"/>
                <w:sz w:val="24"/>
              </w:rPr>
              <w:t>dlhodobých stupňov kreditnej kvality (CQS), ako sa stanovuje</w:t>
            </w:r>
            <w:r w:rsidR="009912F8" w:rsidRPr="00E07C9A">
              <w:rPr>
                <w:rFonts w:ascii="Times New Roman" w:hAnsi="Times New Roman"/>
                <w:sz w:val="24"/>
              </w:rPr>
              <w:t xml:space="preserve"> v </w:t>
            </w:r>
            <w:r w:rsidRPr="00E07C9A">
              <w:rPr>
                <w:rFonts w:ascii="Times New Roman" w:hAnsi="Times New Roman"/>
                <w:sz w:val="24"/>
              </w:rPr>
              <w:t>tabuľkách 1</w:t>
            </w:r>
            <w:r w:rsidR="009912F8" w:rsidRPr="00E07C9A">
              <w:rPr>
                <w:rFonts w:ascii="Times New Roman" w:hAnsi="Times New Roman"/>
                <w:sz w:val="24"/>
              </w:rPr>
              <w:t xml:space="preserve"> a </w:t>
            </w:r>
            <w:r w:rsidRPr="00E07C9A">
              <w:rPr>
                <w:rFonts w:ascii="Times New Roman" w:hAnsi="Times New Roman"/>
                <w:sz w:val="24"/>
              </w:rPr>
              <w:t>2 článku 263</w:t>
            </w:r>
            <w:r w:rsidR="009912F8" w:rsidRPr="00E07C9A">
              <w:rPr>
                <w:rFonts w:ascii="Times New Roman" w:hAnsi="Times New Roman"/>
                <w:sz w:val="24"/>
              </w:rPr>
              <w:t xml:space="preserve"> a </w:t>
            </w:r>
            <w:r w:rsidRPr="00E07C9A">
              <w:rPr>
                <w:rFonts w:ascii="Times New Roman" w:hAnsi="Times New Roman"/>
                <w:sz w:val="24"/>
              </w:rPr>
              <w:t>tabuľkách 3</w:t>
            </w:r>
            <w:r w:rsidR="009912F8" w:rsidRPr="00E07C9A">
              <w:rPr>
                <w:rFonts w:ascii="Times New Roman" w:hAnsi="Times New Roman"/>
                <w:sz w:val="24"/>
              </w:rPr>
              <w:t xml:space="preserve"> a </w:t>
            </w:r>
            <w:r w:rsidRPr="00E07C9A">
              <w:rPr>
                <w:rFonts w:ascii="Times New Roman" w:hAnsi="Times New Roman"/>
                <w:sz w:val="24"/>
              </w:rPr>
              <w:t xml:space="preserve">4 článku 264 nariadenia (EÚ) </w:t>
            </w:r>
            <w:r w:rsidR="009912F8" w:rsidRPr="00E07C9A">
              <w:rPr>
                <w:rFonts w:ascii="Times New Roman" w:hAnsi="Times New Roman"/>
                <w:sz w:val="24"/>
              </w:rPr>
              <w:t>č. 575/2013.</w:t>
            </w:r>
          </w:p>
          <w:p w14:paraId="171912D4" w14:textId="4505CB3D" w:rsidR="00E026FB" w:rsidRPr="00E07C9A" w:rsidRDefault="00E026FB" w:rsidP="00E10B85">
            <w:pPr>
              <w:pStyle w:val="Heading1"/>
              <w:rPr>
                <w:rFonts w:ascii="Times New Roman" w:eastAsia="Times New Roman" w:hAnsi="Times New Roman"/>
                <w:sz w:val="24"/>
                <w:szCs w:val="24"/>
                <w:lang w:eastAsia="es-ES_tradnl"/>
              </w:rPr>
            </w:pPr>
          </w:p>
        </w:tc>
      </w:tr>
      <w:tr w:rsidR="00E026FB" w:rsidRPr="00E07C9A" w14:paraId="6F87E86B" w14:textId="77777777" w:rsidTr="00E10B85">
        <w:tc>
          <w:tcPr>
            <w:tcW w:w="1568" w:type="dxa"/>
          </w:tcPr>
          <w:p w14:paraId="27BFC58F" w14:textId="77777777" w:rsidR="00E026FB" w:rsidRPr="00E07C9A" w:rsidRDefault="00E026FB"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0580 – 0630</w:t>
            </w:r>
          </w:p>
        </w:tc>
        <w:tc>
          <w:tcPr>
            <w:tcW w:w="7436" w:type="dxa"/>
          </w:tcPr>
          <w:p w14:paraId="030AC323" w14:textId="77777777" w:rsidR="00E026FB" w:rsidRPr="00E07C9A" w:rsidRDefault="00E026FB" w:rsidP="00E10B85">
            <w:pPr>
              <w:spacing w:before="0" w:after="0"/>
              <w:rPr>
                <w:rFonts w:ascii="Times New Roman" w:hAnsi="Times New Roman"/>
                <w:b/>
                <w:sz w:val="24"/>
                <w:u w:val="single"/>
              </w:rPr>
            </w:pPr>
            <w:r w:rsidRPr="00E07C9A">
              <w:rPr>
                <w:rFonts w:ascii="Times New Roman" w:hAnsi="Times New Roman"/>
                <w:b/>
                <w:sz w:val="24"/>
                <w:u w:val="single"/>
              </w:rPr>
              <w:t>ROZČLENENIE PODĽA DÔVODU UPLATŇOVANIA SEC-ERBA</w:t>
            </w:r>
          </w:p>
          <w:p w14:paraId="4EECD46E" w14:textId="77777777" w:rsidR="00E026FB" w:rsidRPr="00E07C9A" w:rsidRDefault="00E026FB" w:rsidP="00E10B85">
            <w:pPr>
              <w:spacing w:before="0" w:after="0"/>
              <w:rPr>
                <w:rFonts w:ascii="Times New Roman" w:hAnsi="Times New Roman"/>
                <w:b/>
                <w:sz w:val="24"/>
                <w:u w:val="single"/>
              </w:rPr>
            </w:pPr>
          </w:p>
          <w:p w14:paraId="6E9E5B13" w14:textId="2DB4AC73" w:rsidR="00E026FB" w:rsidRPr="00E07C9A" w:rsidRDefault="00E026FB" w:rsidP="00E10B85">
            <w:pPr>
              <w:spacing w:before="0" w:after="0"/>
              <w:rPr>
                <w:rFonts w:ascii="Times New Roman" w:hAnsi="Times New Roman"/>
                <w:sz w:val="24"/>
              </w:rPr>
            </w:pPr>
            <w:r w:rsidRPr="00E07C9A">
              <w:rPr>
                <w:rFonts w:ascii="Times New Roman" w:hAnsi="Times New Roman"/>
                <w:sz w:val="24"/>
              </w:rPr>
              <w:t>Pri každej sekuritizačnej pozícii inštitúcie zvažujú jednu</w:t>
            </w:r>
            <w:r w:rsidR="009912F8" w:rsidRPr="00E07C9A">
              <w:rPr>
                <w:rFonts w:ascii="Times New Roman" w:hAnsi="Times New Roman"/>
                <w:sz w:val="24"/>
              </w:rPr>
              <w:t xml:space="preserve"> z </w:t>
            </w:r>
            <w:r w:rsidRPr="00E07C9A">
              <w:rPr>
                <w:rFonts w:ascii="Times New Roman" w:hAnsi="Times New Roman"/>
                <w:sz w:val="24"/>
              </w:rPr>
              <w:t>týchto možností uvedených</w:t>
            </w:r>
            <w:r w:rsidR="009912F8" w:rsidRPr="00E07C9A">
              <w:rPr>
                <w:rFonts w:ascii="Times New Roman" w:hAnsi="Times New Roman"/>
                <w:sz w:val="24"/>
              </w:rPr>
              <w:t xml:space="preserve"> v </w:t>
            </w:r>
            <w:r w:rsidRPr="00E07C9A">
              <w:rPr>
                <w:rFonts w:ascii="Times New Roman" w:hAnsi="Times New Roman"/>
                <w:sz w:val="24"/>
              </w:rPr>
              <w:t>stĺpcoch 0580 až 0620.</w:t>
            </w:r>
          </w:p>
          <w:p w14:paraId="4C18D3F3" w14:textId="77777777" w:rsidR="00E026FB" w:rsidRPr="00E07C9A" w:rsidRDefault="00E026FB" w:rsidP="00E10B85">
            <w:pPr>
              <w:spacing w:before="0" w:after="0"/>
              <w:rPr>
                <w:rFonts w:ascii="Times New Roman" w:hAnsi="Times New Roman"/>
                <w:sz w:val="24"/>
                <w:u w:val="single"/>
              </w:rPr>
            </w:pPr>
          </w:p>
        </w:tc>
      </w:tr>
      <w:tr w:rsidR="00E026FB" w:rsidRPr="00E07C9A" w14:paraId="3F835757" w14:textId="77777777" w:rsidTr="00E10B85">
        <w:tc>
          <w:tcPr>
            <w:tcW w:w="1568" w:type="dxa"/>
          </w:tcPr>
          <w:p w14:paraId="4BEC343A" w14:textId="77777777" w:rsidR="00E026FB" w:rsidRPr="00E07C9A" w:rsidRDefault="00E026FB"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0580</w:t>
            </w:r>
          </w:p>
        </w:tc>
        <w:tc>
          <w:tcPr>
            <w:tcW w:w="7436" w:type="dxa"/>
          </w:tcPr>
          <w:p w14:paraId="3F9C6984" w14:textId="77777777" w:rsidR="00E026FB" w:rsidRPr="00E07C9A" w:rsidRDefault="00E026FB" w:rsidP="00E10B85">
            <w:pPr>
              <w:spacing w:before="0" w:after="0"/>
              <w:rPr>
                <w:rFonts w:ascii="Times New Roman" w:hAnsi="Times New Roman"/>
                <w:b/>
                <w:sz w:val="24"/>
                <w:u w:val="single"/>
              </w:rPr>
            </w:pPr>
            <w:r w:rsidRPr="00E07C9A">
              <w:rPr>
                <w:rFonts w:ascii="Times New Roman" w:hAnsi="Times New Roman"/>
                <w:b/>
                <w:sz w:val="24"/>
                <w:u w:val="single"/>
              </w:rPr>
              <w:t>ÚVERY NA MOTOROVÉ VOZIDLÁ, LÍZINGY NA MOTOROVÉ VOZIDLÁ A LÍZINGY NA ZARIADENIA</w:t>
            </w:r>
          </w:p>
          <w:p w14:paraId="6E88BBA0" w14:textId="77777777" w:rsidR="00E026FB" w:rsidRPr="00E07C9A" w:rsidRDefault="00E026FB" w:rsidP="00E10B85">
            <w:pPr>
              <w:spacing w:before="0" w:after="0"/>
              <w:rPr>
                <w:rFonts w:ascii="Times New Roman" w:hAnsi="Times New Roman"/>
                <w:b/>
                <w:sz w:val="24"/>
                <w:u w:val="single"/>
              </w:rPr>
            </w:pPr>
          </w:p>
          <w:p w14:paraId="5574F28A" w14:textId="7FC110F7" w:rsidR="009912F8" w:rsidRPr="00E07C9A" w:rsidRDefault="001E0C80" w:rsidP="00E10B85">
            <w:pPr>
              <w:spacing w:before="0" w:after="0"/>
              <w:rPr>
                <w:rFonts w:ascii="Times New Roman" w:hAnsi="Times New Roman"/>
                <w:sz w:val="24"/>
              </w:rPr>
            </w:pPr>
            <w:r w:rsidRPr="00E07C9A">
              <w:rPr>
                <w:rFonts w:ascii="Times New Roman" w:hAnsi="Times New Roman"/>
                <w:sz w:val="24"/>
              </w:rPr>
              <w:t xml:space="preserve"> Článok 254 ods. 2 písm. c) nariadenia (EÚ) </w:t>
            </w:r>
            <w:r w:rsidR="009912F8" w:rsidRPr="00E07C9A">
              <w:rPr>
                <w:rFonts w:ascii="Times New Roman" w:hAnsi="Times New Roman"/>
                <w:sz w:val="24"/>
              </w:rPr>
              <w:t>č. 575/2013</w:t>
            </w:r>
          </w:p>
          <w:p w14:paraId="3375DFA1" w14:textId="0C7A9363" w:rsidR="001E0C80" w:rsidRPr="00E07C9A" w:rsidRDefault="001E0C80" w:rsidP="00E10B85">
            <w:pPr>
              <w:spacing w:before="0" w:after="0"/>
              <w:rPr>
                <w:rFonts w:ascii="Times New Roman" w:hAnsi="Times New Roman"/>
                <w:sz w:val="24"/>
              </w:rPr>
            </w:pPr>
          </w:p>
          <w:p w14:paraId="4C10E739" w14:textId="2DE8E3F4" w:rsidR="00E026FB" w:rsidRPr="00E07C9A" w:rsidRDefault="00FC5515" w:rsidP="00247193">
            <w:pPr>
              <w:spacing w:before="0" w:after="0"/>
              <w:rPr>
                <w:rFonts w:ascii="Times New Roman" w:hAnsi="Times New Roman"/>
                <w:b/>
                <w:sz w:val="24"/>
                <w:u w:val="single"/>
              </w:rPr>
            </w:pPr>
            <w:r w:rsidRPr="00E07C9A">
              <w:rPr>
                <w:rFonts w:ascii="Times New Roman" w:hAnsi="Times New Roman"/>
                <w:sz w:val="24"/>
              </w:rPr>
              <w:t>V tomto stĺpci sa vykazujú všetky úvery na motorové vozidlá, lízingy na motorové vozidlá</w:t>
            </w:r>
            <w:r w:rsidR="009912F8" w:rsidRPr="00E07C9A">
              <w:rPr>
                <w:rFonts w:ascii="Times New Roman" w:hAnsi="Times New Roman"/>
                <w:sz w:val="24"/>
              </w:rPr>
              <w:t xml:space="preserve"> a </w:t>
            </w:r>
            <w:r w:rsidRPr="00E07C9A">
              <w:rPr>
                <w:rFonts w:ascii="Times New Roman" w:hAnsi="Times New Roman"/>
                <w:sz w:val="24"/>
              </w:rPr>
              <w:t>lízingy na zariadenia,</w:t>
            </w:r>
            <w:r w:rsidR="009912F8" w:rsidRPr="00E07C9A">
              <w:rPr>
                <w:rFonts w:ascii="Times New Roman" w:hAnsi="Times New Roman"/>
                <w:sz w:val="24"/>
              </w:rPr>
              <w:t xml:space="preserve"> a </w:t>
            </w:r>
            <w:r w:rsidRPr="00E07C9A">
              <w:rPr>
                <w:rFonts w:ascii="Times New Roman" w:hAnsi="Times New Roman"/>
                <w:sz w:val="24"/>
              </w:rPr>
              <w:t xml:space="preserve">to aj vtedy, ak spĺňajú náležitosti článku 254 ods. 2 písm. a) alebo b) nariadenia (EÚ) </w:t>
            </w:r>
            <w:r w:rsidR="009912F8" w:rsidRPr="00E07C9A">
              <w:rPr>
                <w:rFonts w:ascii="Times New Roman" w:hAnsi="Times New Roman"/>
                <w:sz w:val="24"/>
              </w:rPr>
              <w:t>č. 575/2013</w:t>
            </w:r>
            <w:r w:rsidRPr="00E07C9A">
              <w:rPr>
                <w:rFonts w:ascii="Times New Roman" w:hAnsi="Times New Roman"/>
                <w:sz w:val="24"/>
              </w:rPr>
              <w:t>.</w:t>
            </w:r>
          </w:p>
        </w:tc>
      </w:tr>
      <w:tr w:rsidR="00E026FB" w:rsidRPr="00E07C9A" w14:paraId="74719CFA" w14:textId="77777777" w:rsidTr="00E10B85">
        <w:tc>
          <w:tcPr>
            <w:tcW w:w="1568" w:type="dxa"/>
          </w:tcPr>
          <w:p w14:paraId="2CBA7215" w14:textId="77777777" w:rsidR="00E026FB" w:rsidRPr="00E07C9A" w:rsidRDefault="00E026FB"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0590</w:t>
            </w:r>
          </w:p>
        </w:tc>
        <w:tc>
          <w:tcPr>
            <w:tcW w:w="7436" w:type="dxa"/>
          </w:tcPr>
          <w:p w14:paraId="07B7626E" w14:textId="77777777" w:rsidR="00E026FB" w:rsidRPr="00E07C9A" w:rsidRDefault="00E026FB" w:rsidP="00E10B85">
            <w:pPr>
              <w:spacing w:before="0" w:after="0"/>
              <w:rPr>
                <w:rFonts w:ascii="Times New Roman" w:hAnsi="Times New Roman"/>
                <w:b/>
                <w:sz w:val="24"/>
                <w:u w:val="single"/>
              </w:rPr>
            </w:pPr>
            <w:r w:rsidRPr="00E07C9A">
              <w:rPr>
                <w:rFonts w:ascii="Times New Roman" w:hAnsi="Times New Roman"/>
                <w:b/>
                <w:sz w:val="24"/>
                <w:u w:val="single"/>
              </w:rPr>
              <w:t>MOŽNOSŤ UPLATŇOVAŤ SEC-ERBA</w:t>
            </w:r>
          </w:p>
          <w:p w14:paraId="2147BE6D" w14:textId="77777777" w:rsidR="00E026FB" w:rsidRPr="00E07C9A" w:rsidRDefault="00E026FB" w:rsidP="00E10B85">
            <w:pPr>
              <w:spacing w:before="0" w:after="0"/>
              <w:rPr>
                <w:rFonts w:ascii="Times New Roman" w:hAnsi="Times New Roman"/>
                <w:b/>
                <w:sz w:val="24"/>
                <w:u w:val="single"/>
              </w:rPr>
            </w:pPr>
          </w:p>
          <w:p w14:paraId="5861125E" w14:textId="2ABB97CC" w:rsidR="00E026FB" w:rsidRPr="00E07C9A" w:rsidRDefault="00E026FB" w:rsidP="00E10B85">
            <w:pPr>
              <w:spacing w:before="0" w:after="0"/>
              <w:rPr>
                <w:rFonts w:ascii="Times New Roman" w:hAnsi="Times New Roman"/>
                <w:sz w:val="24"/>
              </w:rPr>
            </w:pPr>
            <w:r w:rsidRPr="00E07C9A">
              <w:rPr>
                <w:rFonts w:ascii="Times New Roman" w:hAnsi="Times New Roman"/>
                <w:sz w:val="24"/>
              </w:rPr>
              <w:t xml:space="preserve">Článok 254 ods. 3 nariadenia (EÚ) </w:t>
            </w:r>
            <w:r w:rsidR="009912F8" w:rsidRPr="00E07C9A">
              <w:rPr>
                <w:rFonts w:ascii="Times New Roman" w:hAnsi="Times New Roman"/>
                <w:sz w:val="24"/>
              </w:rPr>
              <w:t>č. 575/2013</w:t>
            </w:r>
          </w:p>
          <w:p w14:paraId="1F0A97E3" w14:textId="77777777" w:rsidR="00E026FB" w:rsidRPr="00E07C9A" w:rsidRDefault="00E026FB" w:rsidP="00E10B85">
            <w:pPr>
              <w:spacing w:before="0" w:after="0"/>
              <w:rPr>
                <w:rFonts w:ascii="Times New Roman" w:hAnsi="Times New Roman"/>
                <w:b/>
                <w:sz w:val="24"/>
                <w:u w:val="single"/>
              </w:rPr>
            </w:pPr>
          </w:p>
        </w:tc>
      </w:tr>
      <w:tr w:rsidR="00E026FB" w:rsidRPr="00E07C9A" w14:paraId="2262A65A" w14:textId="77777777" w:rsidTr="00E10B85">
        <w:tc>
          <w:tcPr>
            <w:tcW w:w="1568" w:type="dxa"/>
          </w:tcPr>
          <w:p w14:paraId="45A027E5" w14:textId="77777777" w:rsidR="00E026FB" w:rsidRPr="00E07C9A" w:rsidRDefault="00E026FB"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0600</w:t>
            </w:r>
          </w:p>
        </w:tc>
        <w:tc>
          <w:tcPr>
            <w:tcW w:w="7436" w:type="dxa"/>
          </w:tcPr>
          <w:p w14:paraId="2C274672" w14:textId="1CFD33B9" w:rsidR="00E026FB" w:rsidRPr="00E07C9A" w:rsidRDefault="00E026FB" w:rsidP="00E10B85">
            <w:pPr>
              <w:spacing w:before="0" w:after="0"/>
              <w:rPr>
                <w:rFonts w:ascii="Times New Roman" w:hAnsi="Times New Roman"/>
                <w:b/>
                <w:bCs/>
                <w:sz w:val="24"/>
                <w:u w:val="single"/>
              </w:rPr>
            </w:pPr>
            <w:r w:rsidRPr="00E07C9A">
              <w:rPr>
                <w:rFonts w:ascii="Times New Roman" w:hAnsi="Times New Roman"/>
                <w:b/>
                <w:sz w:val="24"/>
                <w:u w:val="single"/>
              </w:rPr>
              <w:t xml:space="preserve">POZÍCIE, NA KTORÉ SA UPLATŇUJE ČLÁNOK 254 ODS. 2 PÍSM. a) NARIADENIA (EÚ) </w:t>
            </w:r>
            <w:r w:rsidR="009912F8" w:rsidRPr="00E07C9A">
              <w:rPr>
                <w:rFonts w:ascii="Times New Roman" w:hAnsi="Times New Roman"/>
                <w:b/>
                <w:sz w:val="24"/>
                <w:u w:val="single"/>
              </w:rPr>
              <w:t>č. 575/2013</w:t>
            </w:r>
          </w:p>
          <w:p w14:paraId="79C65D7A" w14:textId="77777777" w:rsidR="00E026FB" w:rsidRPr="00E07C9A" w:rsidRDefault="00E026FB" w:rsidP="00E10B85">
            <w:pPr>
              <w:spacing w:before="0" w:after="0"/>
              <w:rPr>
                <w:rFonts w:ascii="Times New Roman" w:hAnsi="Times New Roman"/>
                <w:b/>
                <w:bCs/>
                <w:sz w:val="24"/>
                <w:u w:val="single"/>
              </w:rPr>
            </w:pPr>
          </w:p>
          <w:p w14:paraId="49FCF7E6" w14:textId="3B4624B9" w:rsidR="00E026FB" w:rsidRPr="00E07C9A" w:rsidRDefault="00E026FB" w:rsidP="00E10B85">
            <w:pPr>
              <w:spacing w:before="0" w:after="0"/>
              <w:rPr>
                <w:rFonts w:ascii="Times New Roman" w:hAnsi="Times New Roman"/>
                <w:sz w:val="24"/>
              </w:rPr>
            </w:pPr>
            <w:r w:rsidRPr="00E07C9A">
              <w:rPr>
                <w:rFonts w:ascii="Times New Roman" w:hAnsi="Times New Roman"/>
                <w:sz w:val="24"/>
              </w:rPr>
              <w:t xml:space="preserve">Článok 254 ods. 2 písm. a) nariadenia (EÚ) </w:t>
            </w:r>
            <w:r w:rsidR="009912F8" w:rsidRPr="00E07C9A">
              <w:rPr>
                <w:rFonts w:ascii="Times New Roman" w:hAnsi="Times New Roman"/>
                <w:sz w:val="24"/>
              </w:rPr>
              <w:t>č. 575/2013</w:t>
            </w:r>
          </w:p>
          <w:p w14:paraId="08BEFFA9" w14:textId="77777777" w:rsidR="00E026FB" w:rsidRPr="00E07C9A" w:rsidRDefault="00E026FB" w:rsidP="00E10B85">
            <w:pPr>
              <w:spacing w:before="0" w:after="0"/>
              <w:rPr>
                <w:rFonts w:ascii="Times New Roman" w:hAnsi="Times New Roman"/>
                <w:sz w:val="24"/>
              </w:rPr>
            </w:pPr>
          </w:p>
        </w:tc>
      </w:tr>
      <w:tr w:rsidR="00E026FB" w:rsidRPr="00E07C9A" w14:paraId="0D8687C4" w14:textId="77777777" w:rsidTr="00E10B85">
        <w:tc>
          <w:tcPr>
            <w:tcW w:w="1568" w:type="dxa"/>
          </w:tcPr>
          <w:p w14:paraId="3D9487C3" w14:textId="77777777" w:rsidR="00E026FB" w:rsidRPr="00E07C9A" w:rsidRDefault="00E026FB"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0610</w:t>
            </w:r>
          </w:p>
        </w:tc>
        <w:tc>
          <w:tcPr>
            <w:tcW w:w="7436" w:type="dxa"/>
          </w:tcPr>
          <w:p w14:paraId="6D2B5788" w14:textId="2E46FD65" w:rsidR="009912F8" w:rsidRPr="00E07C9A" w:rsidRDefault="00E026FB" w:rsidP="00E10B85">
            <w:pPr>
              <w:spacing w:before="0" w:after="0"/>
              <w:rPr>
                <w:rFonts w:ascii="Times New Roman" w:hAnsi="Times New Roman"/>
                <w:b/>
                <w:sz w:val="24"/>
                <w:u w:val="single"/>
              </w:rPr>
            </w:pPr>
            <w:r w:rsidRPr="00E07C9A">
              <w:rPr>
                <w:rFonts w:ascii="Times New Roman" w:hAnsi="Times New Roman"/>
                <w:b/>
                <w:sz w:val="24"/>
                <w:u w:val="single"/>
              </w:rPr>
              <w:t xml:space="preserve">POZÍCIE, NA KTORÉ SA UPLATŇUJE ČLÁNOK 254 ODS. 2 PÍSM. b) NARIADENIA (EÚ) </w:t>
            </w:r>
            <w:r w:rsidR="009912F8" w:rsidRPr="00E07C9A">
              <w:rPr>
                <w:rFonts w:ascii="Times New Roman" w:hAnsi="Times New Roman"/>
                <w:b/>
                <w:sz w:val="24"/>
                <w:u w:val="single"/>
              </w:rPr>
              <w:t>č. 575/2013</w:t>
            </w:r>
          </w:p>
          <w:p w14:paraId="729B0B6C" w14:textId="02896D1B" w:rsidR="00E026FB" w:rsidRPr="00E07C9A" w:rsidRDefault="00E026FB" w:rsidP="00E10B85">
            <w:pPr>
              <w:spacing w:before="0" w:after="0"/>
              <w:rPr>
                <w:rFonts w:ascii="Times New Roman" w:hAnsi="Times New Roman"/>
                <w:b/>
                <w:sz w:val="24"/>
                <w:u w:val="single"/>
              </w:rPr>
            </w:pPr>
          </w:p>
          <w:p w14:paraId="41122C6A" w14:textId="19511116" w:rsidR="00E026FB" w:rsidRPr="00E07C9A" w:rsidRDefault="00247193" w:rsidP="00E10B85">
            <w:pPr>
              <w:spacing w:before="0" w:after="0"/>
              <w:rPr>
                <w:rFonts w:ascii="Times New Roman" w:hAnsi="Times New Roman"/>
                <w:sz w:val="24"/>
              </w:rPr>
            </w:pPr>
            <w:r w:rsidRPr="00E07C9A">
              <w:rPr>
                <w:rFonts w:ascii="Times New Roman" w:hAnsi="Times New Roman"/>
                <w:sz w:val="24"/>
              </w:rPr>
              <w:t xml:space="preserve">Článok 254 ods. 2 písm. b) nariadenia (EÚ) </w:t>
            </w:r>
            <w:r w:rsidR="009912F8" w:rsidRPr="00E07C9A">
              <w:rPr>
                <w:rFonts w:ascii="Times New Roman" w:hAnsi="Times New Roman"/>
                <w:sz w:val="24"/>
              </w:rPr>
              <w:t>č. 575/2013</w:t>
            </w:r>
          </w:p>
          <w:p w14:paraId="713EB3D9" w14:textId="77777777" w:rsidR="00E026FB" w:rsidRPr="00E07C9A" w:rsidRDefault="00E026FB" w:rsidP="00E10B85">
            <w:pPr>
              <w:spacing w:before="0" w:after="0"/>
              <w:rPr>
                <w:rFonts w:ascii="Times New Roman" w:hAnsi="Times New Roman"/>
                <w:b/>
                <w:sz w:val="24"/>
                <w:u w:val="single"/>
              </w:rPr>
            </w:pPr>
          </w:p>
        </w:tc>
      </w:tr>
      <w:tr w:rsidR="00E026FB" w:rsidRPr="00E07C9A" w14:paraId="6C316289" w14:textId="77777777" w:rsidTr="00E10B85">
        <w:tc>
          <w:tcPr>
            <w:tcW w:w="1568" w:type="dxa"/>
          </w:tcPr>
          <w:p w14:paraId="7D132E76" w14:textId="77777777" w:rsidR="00E026FB" w:rsidRPr="00E07C9A" w:rsidRDefault="00E026FB"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0620</w:t>
            </w:r>
          </w:p>
        </w:tc>
        <w:tc>
          <w:tcPr>
            <w:tcW w:w="7436" w:type="dxa"/>
          </w:tcPr>
          <w:p w14:paraId="63EA50E9" w14:textId="3B23B070" w:rsidR="00962BBD" w:rsidRPr="00E07C9A" w:rsidRDefault="00E026FB" w:rsidP="00E10B85">
            <w:pPr>
              <w:spacing w:before="0" w:after="0"/>
              <w:rPr>
                <w:rFonts w:ascii="Times New Roman" w:hAnsi="Times New Roman"/>
                <w:b/>
                <w:bCs/>
                <w:sz w:val="24"/>
                <w:u w:val="single"/>
              </w:rPr>
            </w:pPr>
            <w:r w:rsidRPr="00E07C9A">
              <w:rPr>
                <w:rFonts w:ascii="Times New Roman" w:hAnsi="Times New Roman"/>
                <w:b/>
                <w:sz w:val="24"/>
                <w:u w:val="single"/>
              </w:rPr>
              <w:t xml:space="preserve">POZÍCIE, NA KTORÉ SA UPLATŇUJE ČLÁNOK 254 ODS. 4 ALEBO ČLÁNOK 258 ODS. 2 NARIADENIA (EÚ) </w:t>
            </w:r>
            <w:r w:rsidR="009912F8" w:rsidRPr="00E07C9A">
              <w:rPr>
                <w:rFonts w:ascii="Times New Roman" w:hAnsi="Times New Roman"/>
                <w:b/>
                <w:sz w:val="24"/>
                <w:u w:val="single"/>
              </w:rPr>
              <w:t>č. 575/2013</w:t>
            </w:r>
          </w:p>
          <w:p w14:paraId="2F2EF827" w14:textId="77777777" w:rsidR="00962BBD" w:rsidRPr="00E07C9A" w:rsidRDefault="00962BBD" w:rsidP="00E10B85">
            <w:pPr>
              <w:spacing w:before="0" w:after="0"/>
              <w:rPr>
                <w:rFonts w:ascii="Times New Roman" w:hAnsi="Times New Roman"/>
                <w:sz w:val="24"/>
              </w:rPr>
            </w:pPr>
          </w:p>
          <w:p w14:paraId="37F2AD29" w14:textId="6F3D00DF" w:rsidR="00E026FB" w:rsidRPr="00E07C9A" w:rsidRDefault="00E026FB" w:rsidP="00E10B85">
            <w:pPr>
              <w:spacing w:before="0" w:after="0"/>
              <w:rPr>
                <w:rFonts w:ascii="Times New Roman" w:hAnsi="Times New Roman"/>
                <w:sz w:val="24"/>
              </w:rPr>
            </w:pPr>
            <w:r w:rsidRPr="00E07C9A">
              <w:rPr>
                <w:rFonts w:ascii="Times New Roman" w:hAnsi="Times New Roman"/>
                <w:sz w:val="24"/>
              </w:rPr>
              <w:t>Sekuritizačné pozície, na ktoré sa vzťahuje SEC-ERBA, keď uplatňovaniu SEC-IRBA alebo SEC-SA zabránili príslušné orgány</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254 ods. 4 alebo článkom 258 ods. 2 nariadenia (EÚ) </w:t>
            </w:r>
            <w:r w:rsidR="009912F8" w:rsidRPr="00E07C9A">
              <w:rPr>
                <w:rFonts w:ascii="Times New Roman" w:hAnsi="Times New Roman"/>
                <w:sz w:val="24"/>
              </w:rPr>
              <w:t>č. 575/2013</w:t>
            </w:r>
            <w:r w:rsidRPr="00E07C9A">
              <w:rPr>
                <w:rFonts w:ascii="Times New Roman" w:hAnsi="Times New Roman"/>
                <w:sz w:val="24"/>
              </w:rPr>
              <w:t>.</w:t>
            </w:r>
          </w:p>
          <w:p w14:paraId="73E9D230" w14:textId="77777777" w:rsidR="00E026FB" w:rsidRPr="00E07C9A" w:rsidRDefault="00E026FB" w:rsidP="00E10B85">
            <w:pPr>
              <w:spacing w:before="0" w:after="0"/>
              <w:rPr>
                <w:rFonts w:ascii="Times New Roman" w:hAnsi="Times New Roman"/>
                <w:b/>
                <w:sz w:val="24"/>
                <w:u w:val="single"/>
              </w:rPr>
            </w:pPr>
          </w:p>
        </w:tc>
      </w:tr>
      <w:tr w:rsidR="00E026FB" w:rsidRPr="00E07C9A" w14:paraId="305792AB" w14:textId="77777777" w:rsidTr="00E10B85">
        <w:tc>
          <w:tcPr>
            <w:tcW w:w="1568" w:type="dxa"/>
          </w:tcPr>
          <w:p w14:paraId="3D9E1F93" w14:textId="77777777" w:rsidR="00E026FB" w:rsidRPr="00E07C9A" w:rsidRDefault="00E026FB"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0630</w:t>
            </w:r>
          </w:p>
        </w:tc>
        <w:tc>
          <w:tcPr>
            <w:tcW w:w="7436" w:type="dxa"/>
          </w:tcPr>
          <w:p w14:paraId="240144FB" w14:textId="77777777" w:rsidR="009912F8" w:rsidRPr="00E07C9A" w:rsidRDefault="00E026FB" w:rsidP="00E10B85">
            <w:pPr>
              <w:spacing w:before="0" w:after="0"/>
              <w:rPr>
                <w:rFonts w:ascii="Times New Roman" w:hAnsi="Times New Roman"/>
                <w:b/>
                <w:sz w:val="24"/>
                <w:u w:val="single"/>
              </w:rPr>
            </w:pPr>
            <w:r w:rsidRPr="00E07C9A">
              <w:rPr>
                <w:rFonts w:ascii="Times New Roman" w:hAnsi="Times New Roman"/>
                <w:b/>
                <w:sz w:val="24"/>
                <w:u w:val="single"/>
              </w:rPr>
              <w:t>DODRŽIAVANIE HIERARCHIE PRÍSTUPOV</w:t>
            </w:r>
          </w:p>
          <w:p w14:paraId="630EB1BF" w14:textId="71BABD68" w:rsidR="00E026FB" w:rsidRPr="00E07C9A" w:rsidRDefault="00E026FB" w:rsidP="00E10B85">
            <w:pPr>
              <w:spacing w:before="0" w:after="0"/>
              <w:rPr>
                <w:rFonts w:ascii="Times New Roman" w:hAnsi="Times New Roman"/>
                <w:b/>
                <w:sz w:val="24"/>
                <w:u w:val="single"/>
              </w:rPr>
            </w:pPr>
          </w:p>
          <w:p w14:paraId="45C5D104" w14:textId="3EC46E36" w:rsidR="00E026FB" w:rsidRPr="00E07C9A" w:rsidRDefault="00E026FB" w:rsidP="00E10B85">
            <w:pPr>
              <w:spacing w:before="0" w:after="0"/>
              <w:rPr>
                <w:rFonts w:ascii="Times New Roman" w:hAnsi="Times New Roman"/>
                <w:sz w:val="24"/>
              </w:rPr>
            </w:pPr>
            <w:r w:rsidRPr="00E07C9A">
              <w:rPr>
                <w:rFonts w:ascii="Times New Roman" w:hAnsi="Times New Roman"/>
                <w:sz w:val="24"/>
              </w:rPr>
              <w:t>Sekuritizačné pozície, keď sa SEC-ERBA uplatňuje</w:t>
            </w:r>
            <w:r w:rsidR="009912F8" w:rsidRPr="00E07C9A">
              <w:rPr>
                <w:rFonts w:ascii="Times New Roman" w:hAnsi="Times New Roman"/>
                <w:sz w:val="24"/>
              </w:rPr>
              <w:t xml:space="preserve"> z </w:t>
            </w:r>
            <w:r w:rsidRPr="00E07C9A">
              <w:rPr>
                <w:rFonts w:ascii="Times New Roman" w:hAnsi="Times New Roman"/>
                <w:sz w:val="24"/>
              </w:rPr>
              <w:t>dôvodu dodržiavania hierarchie prístupov, ako je stanovené</w:t>
            </w:r>
            <w:r w:rsidR="009912F8" w:rsidRPr="00E07C9A">
              <w:rPr>
                <w:rFonts w:ascii="Times New Roman" w:hAnsi="Times New Roman"/>
                <w:sz w:val="24"/>
              </w:rPr>
              <w:t xml:space="preserve"> v </w:t>
            </w:r>
            <w:r w:rsidRPr="00E07C9A">
              <w:rPr>
                <w:rFonts w:ascii="Times New Roman" w:hAnsi="Times New Roman"/>
                <w:sz w:val="24"/>
              </w:rPr>
              <w:t xml:space="preserve">článku 254 ods. 1 nariadenia (EÚ) </w:t>
            </w:r>
            <w:r w:rsidR="009912F8" w:rsidRPr="00E07C9A">
              <w:rPr>
                <w:rFonts w:ascii="Times New Roman" w:hAnsi="Times New Roman"/>
                <w:sz w:val="24"/>
              </w:rPr>
              <w:t>č. 575/2013</w:t>
            </w:r>
            <w:r w:rsidRPr="00E07C9A">
              <w:rPr>
                <w:rFonts w:ascii="Times New Roman" w:hAnsi="Times New Roman"/>
                <w:sz w:val="24"/>
              </w:rPr>
              <w:t>.</w:t>
            </w:r>
          </w:p>
          <w:p w14:paraId="50F05E1E" w14:textId="77777777" w:rsidR="00E026FB" w:rsidRPr="00E07C9A" w:rsidRDefault="00E026FB" w:rsidP="00E10B85">
            <w:pPr>
              <w:spacing w:before="0" w:after="0"/>
              <w:rPr>
                <w:rFonts w:ascii="Times New Roman" w:hAnsi="Times New Roman"/>
                <w:b/>
                <w:sz w:val="24"/>
                <w:u w:val="single"/>
              </w:rPr>
            </w:pPr>
          </w:p>
        </w:tc>
      </w:tr>
      <w:tr w:rsidR="00E026FB" w:rsidRPr="00E07C9A" w14:paraId="5318A1CA" w14:textId="77777777" w:rsidTr="00E10B85">
        <w:tc>
          <w:tcPr>
            <w:tcW w:w="1568" w:type="dxa"/>
          </w:tcPr>
          <w:p w14:paraId="2AA287EF" w14:textId="77777777" w:rsidR="00E026FB" w:rsidRPr="00E07C9A" w:rsidRDefault="00E026FB" w:rsidP="00E10B85">
            <w:pPr>
              <w:autoSpaceDE w:val="0"/>
              <w:autoSpaceDN w:val="0"/>
              <w:adjustRightInd w:val="0"/>
              <w:spacing w:before="0" w:after="0"/>
              <w:rPr>
                <w:rFonts w:ascii="Times New Roman" w:hAnsi="Times New Roman"/>
                <w:bCs/>
                <w:sz w:val="24"/>
              </w:rPr>
            </w:pPr>
            <w:r w:rsidRPr="00E07C9A">
              <w:rPr>
                <w:rFonts w:ascii="Times New Roman" w:hAnsi="Times New Roman"/>
                <w:sz w:val="24"/>
              </w:rPr>
              <w:t>0640</w:t>
            </w:r>
          </w:p>
        </w:tc>
        <w:tc>
          <w:tcPr>
            <w:tcW w:w="7436" w:type="dxa"/>
          </w:tcPr>
          <w:p w14:paraId="38459F30" w14:textId="6A304D10" w:rsidR="00E026FB" w:rsidRPr="00E07C9A" w:rsidRDefault="00E026FB" w:rsidP="00E10B85">
            <w:pPr>
              <w:spacing w:before="0" w:after="0"/>
              <w:jc w:val="left"/>
              <w:rPr>
                <w:rFonts w:ascii="Times New Roman" w:hAnsi="Times New Roman"/>
                <w:b/>
                <w:sz w:val="24"/>
                <w:u w:val="single"/>
              </w:rPr>
            </w:pPr>
            <w:r w:rsidRPr="00E07C9A">
              <w:rPr>
                <w:rFonts w:ascii="Times New Roman" w:hAnsi="Times New Roman"/>
                <w:b/>
                <w:sz w:val="24"/>
                <w:u w:val="single"/>
              </w:rPr>
              <w:t>PRÍSTUP INTERNÉHO HODNOTENIA</w:t>
            </w:r>
          </w:p>
          <w:p w14:paraId="61F8B33A" w14:textId="77777777" w:rsidR="00E026FB" w:rsidRPr="00E07C9A" w:rsidRDefault="00E026FB" w:rsidP="00E10B85">
            <w:pPr>
              <w:spacing w:before="0" w:after="0"/>
              <w:jc w:val="left"/>
              <w:rPr>
                <w:rFonts w:ascii="Times New Roman" w:hAnsi="Times New Roman"/>
                <w:sz w:val="24"/>
              </w:rPr>
            </w:pPr>
          </w:p>
          <w:p w14:paraId="1D009A27" w14:textId="6B71F660" w:rsidR="00E026FB" w:rsidRPr="00E07C9A" w:rsidRDefault="008F2C6B" w:rsidP="00E10B85">
            <w:pPr>
              <w:spacing w:before="0" w:after="0"/>
              <w:rPr>
                <w:rFonts w:ascii="Times New Roman" w:hAnsi="Times New Roman"/>
                <w:sz w:val="24"/>
              </w:rPr>
            </w:pPr>
            <w:r w:rsidRPr="00E07C9A">
              <w:rPr>
                <w:rFonts w:ascii="Times New Roman" w:hAnsi="Times New Roman"/>
                <w:sz w:val="24"/>
              </w:rPr>
              <w:t>Článok 254 ods. 5</w:t>
            </w:r>
            <w:r w:rsidRPr="00E07C9A">
              <w:rPr>
                <w:rFonts w:ascii="Times New Roman" w:hAnsi="Times New Roman"/>
              </w:rPr>
              <w:t xml:space="preserve"> </w:t>
            </w:r>
            <w:bookmarkStart w:id="418" w:name="_Hlk73564575"/>
            <w:r w:rsidRPr="00E07C9A">
              <w:rPr>
                <w:rFonts w:ascii="Times New Roman" w:hAnsi="Times New Roman"/>
                <w:sz w:val="24"/>
              </w:rPr>
              <w:t xml:space="preserve">nariadenia (EÚ) </w:t>
            </w:r>
            <w:r w:rsidR="009912F8" w:rsidRPr="00E07C9A">
              <w:rPr>
                <w:rFonts w:ascii="Times New Roman" w:hAnsi="Times New Roman"/>
                <w:sz w:val="24"/>
              </w:rPr>
              <w:t>č. 575/2013</w:t>
            </w:r>
            <w:bookmarkEnd w:id="418"/>
            <w:r w:rsidR="009912F8" w:rsidRPr="00E07C9A">
              <w:rPr>
                <w:rFonts w:ascii="Times New Roman" w:hAnsi="Times New Roman"/>
              </w:rPr>
              <w:t xml:space="preserve"> o </w:t>
            </w:r>
            <w:r w:rsidRPr="00E07C9A">
              <w:rPr>
                <w:rFonts w:ascii="Times New Roman" w:hAnsi="Times New Roman"/>
                <w:sz w:val="24"/>
              </w:rPr>
              <w:t>„prístupe interného hodnotenia“ (IAA) pre pozície</w:t>
            </w:r>
            <w:r w:rsidR="009912F8" w:rsidRPr="00E07C9A">
              <w:rPr>
                <w:rFonts w:ascii="Times New Roman" w:hAnsi="Times New Roman"/>
                <w:sz w:val="24"/>
              </w:rPr>
              <w:t xml:space="preserve"> v </w:t>
            </w:r>
            <w:r w:rsidRPr="00E07C9A">
              <w:rPr>
                <w:rFonts w:ascii="Times New Roman" w:hAnsi="Times New Roman"/>
                <w:sz w:val="24"/>
              </w:rPr>
              <w:t>programoch ABCP.</w:t>
            </w:r>
          </w:p>
          <w:p w14:paraId="3B269B17" w14:textId="77777777" w:rsidR="00E026FB" w:rsidRPr="00E07C9A" w:rsidRDefault="00E026FB" w:rsidP="00E10B85">
            <w:pPr>
              <w:spacing w:before="0" w:after="0"/>
              <w:jc w:val="left"/>
              <w:rPr>
                <w:rFonts w:ascii="Times New Roman" w:hAnsi="Times New Roman"/>
                <w:sz w:val="24"/>
              </w:rPr>
            </w:pPr>
          </w:p>
        </w:tc>
      </w:tr>
      <w:tr w:rsidR="00E026FB" w:rsidRPr="00E07C9A" w14:paraId="010197D1" w14:textId="77777777" w:rsidTr="00E10B85">
        <w:tc>
          <w:tcPr>
            <w:tcW w:w="1568" w:type="dxa"/>
          </w:tcPr>
          <w:p w14:paraId="73039374" w14:textId="77777777" w:rsidR="00E026FB" w:rsidRPr="00E07C9A" w:rsidDel="002122FF" w:rsidRDefault="00E026FB"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0650 – 0690</w:t>
            </w:r>
          </w:p>
        </w:tc>
        <w:tc>
          <w:tcPr>
            <w:tcW w:w="7436" w:type="dxa"/>
          </w:tcPr>
          <w:p w14:paraId="6B3CB782" w14:textId="77777777" w:rsidR="00E026FB" w:rsidRPr="00E07C9A" w:rsidRDefault="00E026FB" w:rsidP="00E10B85">
            <w:pPr>
              <w:spacing w:before="0" w:after="0"/>
              <w:jc w:val="left"/>
              <w:rPr>
                <w:rFonts w:ascii="Times New Roman" w:hAnsi="Times New Roman"/>
                <w:b/>
                <w:sz w:val="24"/>
                <w:u w:val="single"/>
              </w:rPr>
            </w:pPr>
            <w:r w:rsidRPr="00E07C9A">
              <w:rPr>
                <w:rFonts w:ascii="Times New Roman" w:hAnsi="Times New Roman"/>
                <w:b/>
                <w:sz w:val="24"/>
                <w:u w:val="single"/>
              </w:rPr>
              <w:t>ROZČLENENIE PODĽA PÁSIEM RIZIKOVÝCH VÁH</w:t>
            </w:r>
          </w:p>
          <w:p w14:paraId="1358E580" w14:textId="77777777" w:rsidR="00E026FB" w:rsidRPr="00E07C9A" w:rsidRDefault="00E026FB" w:rsidP="00E10B85">
            <w:pPr>
              <w:spacing w:before="0" w:after="0"/>
              <w:jc w:val="left"/>
              <w:rPr>
                <w:rFonts w:ascii="Times New Roman" w:hAnsi="Times New Roman"/>
                <w:sz w:val="24"/>
              </w:rPr>
            </w:pPr>
          </w:p>
          <w:p w14:paraId="546908EF" w14:textId="7ADC2992" w:rsidR="00E026FB" w:rsidRPr="00E07C9A" w:rsidRDefault="00E026FB" w:rsidP="00E10B85">
            <w:pPr>
              <w:spacing w:before="0" w:after="0"/>
              <w:jc w:val="left"/>
              <w:rPr>
                <w:rFonts w:ascii="Times New Roman" w:hAnsi="Times New Roman"/>
                <w:sz w:val="24"/>
              </w:rPr>
            </w:pPr>
            <w:r w:rsidRPr="00E07C9A">
              <w:rPr>
                <w:rFonts w:ascii="Times New Roman" w:hAnsi="Times New Roman"/>
                <w:sz w:val="24"/>
              </w:rPr>
              <w:t>Expozície</w:t>
            </w:r>
            <w:r w:rsidR="009912F8" w:rsidRPr="00E07C9A">
              <w:rPr>
                <w:rFonts w:ascii="Times New Roman" w:hAnsi="Times New Roman"/>
                <w:sz w:val="24"/>
              </w:rPr>
              <w:t xml:space="preserve"> v </w:t>
            </w:r>
            <w:r w:rsidRPr="00E07C9A">
              <w:rPr>
                <w:rFonts w:ascii="Times New Roman" w:hAnsi="Times New Roman"/>
                <w:sz w:val="24"/>
              </w:rPr>
              <w:t>rámci prístupu interného hodnotenia rozčlenené podľa pásiem rizikových váh.</w:t>
            </w:r>
          </w:p>
          <w:p w14:paraId="5C88A3D2" w14:textId="77777777" w:rsidR="00E026FB" w:rsidRPr="00E07C9A" w:rsidRDefault="00E026FB" w:rsidP="00E10B85">
            <w:pPr>
              <w:spacing w:before="0" w:after="0"/>
              <w:jc w:val="left"/>
              <w:rPr>
                <w:rFonts w:ascii="Times New Roman" w:hAnsi="Times New Roman"/>
                <w:b/>
                <w:sz w:val="24"/>
                <w:u w:val="single"/>
              </w:rPr>
            </w:pPr>
          </w:p>
        </w:tc>
      </w:tr>
      <w:tr w:rsidR="00401E48" w:rsidRPr="00E07C9A" w14:paraId="60E62DB4" w14:textId="77777777" w:rsidTr="00E10B85">
        <w:tc>
          <w:tcPr>
            <w:tcW w:w="1568" w:type="dxa"/>
          </w:tcPr>
          <w:p w14:paraId="0890CCD3" w14:textId="49C85DF5" w:rsidR="00401E48" w:rsidRPr="00E07C9A" w:rsidRDefault="00401E48"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0695</w:t>
            </w:r>
          </w:p>
        </w:tc>
        <w:tc>
          <w:tcPr>
            <w:tcW w:w="7436" w:type="dxa"/>
          </w:tcPr>
          <w:p w14:paraId="02C17FD1" w14:textId="77777777" w:rsidR="00401E48" w:rsidRPr="00E07C9A" w:rsidRDefault="00401E48" w:rsidP="00E10B85">
            <w:pPr>
              <w:spacing w:before="0" w:after="0"/>
              <w:jc w:val="left"/>
              <w:rPr>
                <w:rFonts w:ascii="Times New Roman" w:hAnsi="Times New Roman"/>
                <w:b/>
                <w:sz w:val="24"/>
                <w:u w:val="single"/>
              </w:rPr>
            </w:pPr>
            <w:r w:rsidRPr="00E07C9A">
              <w:rPr>
                <w:rFonts w:ascii="Times New Roman" w:hAnsi="Times New Roman"/>
                <w:b/>
                <w:sz w:val="24"/>
                <w:u w:val="single"/>
              </w:rPr>
              <w:t>OSOBITNÉ ZAOBCHÁDZANIE PRE NADRIADENÉ TRANŽE KVALIFIKOVANÝCH SEKURITIZÁCIÍ PROBLÉMOVÝCH EXPOZÍCIÍ</w:t>
            </w:r>
          </w:p>
          <w:p w14:paraId="345607EE" w14:textId="77777777" w:rsidR="00401E48" w:rsidRPr="00E07C9A" w:rsidRDefault="00401E48" w:rsidP="00E10B85">
            <w:pPr>
              <w:spacing w:before="0" w:after="0"/>
              <w:jc w:val="left"/>
              <w:rPr>
                <w:rFonts w:ascii="Times New Roman" w:hAnsi="Times New Roman"/>
                <w:b/>
                <w:sz w:val="24"/>
                <w:u w:val="single"/>
              </w:rPr>
            </w:pPr>
          </w:p>
          <w:p w14:paraId="739CBF17" w14:textId="7A111AE0" w:rsidR="00401E48" w:rsidRPr="00E07C9A" w:rsidRDefault="00401E48" w:rsidP="00E10B85">
            <w:pPr>
              <w:spacing w:before="0" w:after="0"/>
              <w:jc w:val="left"/>
              <w:rPr>
                <w:rFonts w:ascii="Times New Roman" w:hAnsi="Times New Roman"/>
                <w:sz w:val="24"/>
              </w:rPr>
            </w:pPr>
            <w:r w:rsidRPr="00E07C9A">
              <w:rPr>
                <w:rFonts w:ascii="Times New Roman" w:hAnsi="Times New Roman"/>
                <w:sz w:val="24"/>
              </w:rPr>
              <w:t xml:space="preserve">Článok 269a ods. 3 nariadenia (EÚ) </w:t>
            </w:r>
            <w:r w:rsidR="009912F8" w:rsidRPr="00E07C9A">
              <w:rPr>
                <w:rFonts w:ascii="Times New Roman" w:hAnsi="Times New Roman"/>
                <w:sz w:val="24"/>
              </w:rPr>
              <w:t>č. 575/2013</w:t>
            </w:r>
          </w:p>
          <w:p w14:paraId="360E6284" w14:textId="05F71993" w:rsidR="000A6BBC" w:rsidRPr="00E07C9A" w:rsidRDefault="000A6BBC" w:rsidP="00E10B85">
            <w:pPr>
              <w:spacing w:before="0" w:after="0"/>
              <w:jc w:val="left"/>
              <w:rPr>
                <w:rFonts w:ascii="Times New Roman" w:hAnsi="Times New Roman"/>
                <w:b/>
                <w:sz w:val="24"/>
                <w:u w:val="single"/>
              </w:rPr>
            </w:pPr>
          </w:p>
        </w:tc>
      </w:tr>
      <w:tr w:rsidR="00E026FB" w:rsidRPr="00E07C9A" w14:paraId="04AE71E8" w14:textId="77777777" w:rsidTr="00E10B85">
        <w:tc>
          <w:tcPr>
            <w:tcW w:w="1568" w:type="dxa"/>
          </w:tcPr>
          <w:p w14:paraId="3529EF50" w14:textId="77777777" w:rsidR="00E026FB" w:rsidRPr="00E07C9A" w:rsidRDefault="00E026FB" w:rsidP="00E10B85">
            <w:pPr>
              <w:autoSpaceDE w:val="0"/>
              <w:autoSpaceDN w:val="0"/>
              <w:adjustRightInd w:val="0"/>
              <w:spacing w:before="0" w:after="0"/>
              <w:rPr>
                <w:rFonts w:ascii="Times New Roman" w:hAnsi="Times New Roman"/>
                <w:bCs/>
                <w:sz w:val="24"/>
              </w:rPr>
            </w:pPr>
            <w:r w:rsidRPr="00E07C9A">
              <w:rPr>
                <w:rFonts w:ascii="Times New Roman" w:hAnsi="Times New Roman"/>
                <w:sz w:val="24"/>
              </w:rPr>
              <w:t>0700</w:t>
            </w:r>
          </w:p>
        </w:tc>
        <w:tc>
          <w:tcPr>
            <w:tcW w:w="7436" w:type="dxa"/>
          </w:tcPr>
          <w:p w14:paraId="24CEA75B" w14:textId="60E30B59" w:rsidR="00E026FB" w:rsidRPr="00E07C9A" w:rsidRDefault="00E026FB" w:rsidP="00E10B85">
            <w:pPr>
              <w:spacing w:before="0" w:after="0"/>
              <w:jc w:val="left"/>
              <w:rPr>
                <w:rFonts w:ascii="Times New Roman" w:hAnsi="Times New Roman"/>
                <w:b/>
                <w:sz w:val="24"/>
                <w:u w:val="single"/>
              </w:rPr>
            </w:pPr>
            <w:r w:rsidRPr="00E07C9A">
              <w:rPr>
                <w:rFonts w:ascii="Times New Roman" w:hAnsi="Times New Roman"/>
                <w:b/>
                <w:sz w:val="24"/>
                <w:u w:val="single"/>
              </w:rPr>
              <w:t>INÉ (RW = 1 250</w:t>
            </w:r>
            <w:r w:rsidR="009912F8" w:rsidRPr="00E07C9A">
              <w:rPr>
                <w:rFonts w:ascii="Times New Roman" w:hAnsi="Times New Roman"/>
              </w:rPr>
              <w:t> %</w:t>
            </w:r>
            <w:r w:rsidRPr="00E07C9A">
              <w:rPr>
                <w:rFonts w:ascii="Times New Roman" w:hAnsi="Times New Roman"/>
                <w:b/>
                <w:sz w:val="24"/>
                <w:u w:val="single"/>
              </w:rPr>
              <w:t>)</w:t>
            </w:r>
          </w:p>
          <w:p w14:paraId="26F7247D" w14:textId="77777777" w:rsidR="00E026FB" w:rsidRPr="00E07C9A" w:rsidRDefault="00E026FB" w:rsidP="00E10B85">
            <w:pPr>
              <w:spacing w:before="0" w:after="0"/>
              <w:jc w:val="left"/>
              <w:rPr>
                <w:rFonts w:ascii="Times New Roman" w:hAnsi="Times New Roman"/>
                <w:b/>
                <w:sz w:val="24"/>
                <w:u w:val="single"/>
              </w:rPr>
            </w:pPr>
          </w:p>
          <w:p w14:paraId="723FAA1C" w14:textId="41D71AA7" w:rsidR="00E026FB" w:rsidRPr="00E07C9A" w:rsidRDefault="00D021AF" w:rsidP="00E10B85">
            <w:pPr>
              <w:spacing w:before="0" w:after="0"/>
              <w:jc w:val="left"/>
              <w:rPr>
                <w:rFonts w:ascii="Times New Roman" w:hAnsi="Times New Roman"/>
                <w:sz w:val="24"/>
              </w:rPr>
            </w:pPr>
            <w:r w:rsidRPr="00E07C9A">
              <w:rPr>
                <w:rFonts w:ascii="Times New Roman" w:hAnsi="Times New Roman"/>
                <w:sz w:val="24"/>
              </w:rPr>
              <w:t>Keď sa neuplatňuje žiadny</w:t>
            </w:r>
            <w:r w:rsidR="009912F8" w:rsidRPr="00E07C9A">
              <w:rPr>
                <w:rFonts w:ascii="Times New Roman" w:hAnsi="Times New Roman"/>
                <w:sz w:val="24"/>
              </w:rPr>
              <w:t xml:space="preserve"> z </w:t>
            </w:r>
            <w:r w:rsidRPr="00E07C9A">
              <w:rPr>
                <w:rFonts w:ascii="Times New Roman" w:hAnsi="Times New Roman"/>
                <w:sz w:val="24"/>
              </w:rPr>
              <w:t>predchádzajúcich prístupov, sekuritizačným pozíciám sa</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254 ods. 7 nariadenia (EÚ) </w:t>
            </w:r>
            <w:r w:rsidR="009912F8" w:rsidRPr="00E07C9A">
              <w:rPr>
                <w:rFonts w:ascii="Times New Roman" w:hAnsi="Times New Roman"/>
                <w:sz w:val="24"/>
              </w:rPr>
              <w:t>č. 575/2013</w:t>
            </w:r>
            <w:r w:rsidRPr="00E07C9A">
              <w:rPr>
                <w:rFonts w:ascii="Times New Roman" w:hAnsi="Times New Roman"/>
                <w:sz w:val="24"/>
              </w:rPr>
              <w:t xml:space="preserve"> prideľuje riziková váha 1 250</w:t>
            </w:r>
            <w:r w:rsidR="009912F8" w:rsidRPr="00E07C9A">
              <w:rPr>
                <w:rFonts w:ascii="Times New Roman" w:hAnsi="Times New Roman"/>
                <w:sz w:val="24"/>
              </w:rPr>
              <w:t> %</w:t>
            </w:r>
            <w:r w:rsidRPr="00E07C9A">
              <w:rPr>
                <w:rFonts w:ascii="Times New Roman" w:hAnsi="Times New Roman"/>
                <w:sz w:val="24"/>
              </w:rPr>
              <w:t>.</w:t>
            </w:r>
          </w:p>
          <w:p w14:paraId="0F6DDC70" w14:textId="77777777" w:rsidR="00E026FB" w:rsidRPr="00E07C9A" w:rsidRDefault="00E026FB" w:rsidP="00E10B85">
            <w:pPr>
              <w:spacing w:before="0" w:after="0"/>
              <w:jc w:val="left"/>
              <w:rPr>
                <w:rFonts w:ascii="Times New Roman" w:hAnsi="Times New Roman"/>
                <w:b/>
                <w:sz w:val="24"/>
                <w:u w:val="single"/>
              </w:rPr>
            </w:pPr>
          </w:p>
        </w:tc>
      </w:tr>
      <w:tr w:rsidR="00E026FB" w:rsidRPr="00E07C9A" w14:paraId="6BD8E86D" w14:textId="77777777" w:rsidTr="00E10B85">
        <w:tc>
          <w:tcPr>
            <w:tcW w:w="1568" w:type="dxa"/>
          </w:tcPr>
          <w:p w14:paraId="3354941E" w14:textId="77777777" w:rsidR="00E026FB" w:rsidRPr="00E07C9A" w:rsidRDefault="00E026FB" w:rsidP="00E10B85">
            <w:pPr>
              <w:autoSpaceDE w:val="0"/>
              <w:autoSpaceDN w:val="0"/>
              <w:adjustRightInd w:val="0"/>
              <w:spacing w:before="0" w:after="0"/>
              <w:rPr>
                <w:rFonts w:ascii="Times New Roman" w:hAnsi="Times New Roman"/>
                <w:bCs/>
                <w:sz w:val="24"/>
              </w:rPr>
            </w:pPr>
            <w:r w:rsidRPr="00E07C9A">
              <w:rPr>
                <w:rFonts w:ascii="Times New Roman" w:hAnsi="Times New Roman"/>
                <w:sz w:val="24"/>
              </w:rPr>
              <w:t>0710 – 0860</w:t>
            </w:r>
          </w:p>
        </w:tc>
        <w:tc>
          <w:tcPr>
            <w:tcW w:w="7436" w:type="dxa"/>
          </w:tcPr>
          <w:p w14:paraId="4EC31DA3" w14:textId="77777777" w:rsidR="00E026FB" w:rsidRPr="00E07C9A" w:rsidRDefault="00E026FB" w:rsidP="00E10B85">
            <w:pPr>
              <w:spacing w:before="0" w:after="0"/>
              <w:jc w:val="left"/>
              <w:rPr>
                <w:rFonts w:ascii="Times New Roman" w:hAnsi="Times New Roman"/>
                <w:b/>
                <w:sz w:val="24"/>
                <w:u w:val="single"/>
              </w:rPr>
            </w:pPr>
            <w:r w:rsidRPr="00E07C9A">
              <w:rPr>
                <w:rFonts w:ascii="Times New Roman" w:hAnsi="Times New Roman"/>
                <w:b/>
                <w:sz w:val="24"/>
                <w:u w:val="single"/>
              </w:rPr>
              <w:t>HODNOTA RIZIKOVO VÁŽENEJ EXPOZÍCIE</w:t>
            </w:r>
          </w:p>
          <w:p w14:paraId="2E54CEC8" w14:textId="77777777" w:rsidR="00E026FB" w:rsidRPr="00E07C9A" w:rsidRDefault="00E026FB" w:rsidP="00E10B85">
            <w:pPr>
              <w:spacing w:before="0" w:after="0"/>
              <w:jc w:val="left"/>
              <w:rPr>
                <w:rFonts w:ascii="Times New Roman" w:hAnsi="Times New Roman"/>
                <w:sz w:val="24"/>
              </w:rPr>
            </w:pPr>
          </w:p>
          <w:p w14:paraId="637D6D29" w14:textId="7AF930C3" w:rsidR="009912F8" w:rsidRPr="00E07C9A" w:rsidRDefault="00E026FB" w:rsidP="00E10B85">
            <w:pPr>
              <w:spacing w:before="0" w:after="0"/>
              <w:rPr>
                <w:rFonts w:ascii="Times New Roman" w:hAnsi="Times New Roman"/>
                <w:sz w:val="24"/>
              </w:rPr>
            </w:pPr>
            <w:r w:rsidRPr="00E07C9A">
              <w:rPr>
                <w:rFonts w:ascii="Times New Roman" w:hAnsi="Times New Roman"/>
                <w:sz w:val="24"/>
              </w:rPr>
              <w:t xml:space="preserve">Celková hodnota rizikovo váženej expozície vypočítaná podľa tretej časti hlavy II kapitoly 5 oddielu 3 nariadenia (EÚ) </w:t>
            </w:r>
            <w:r w:rsidR="009912F8" w:rsidRPr="00E07C9A">
              <w:rPr>
                <w:rFonts w:ascii="Times New Roman" w:hAnsi="Times New Roman"/>
                <w:sz w:val="24"/>
              </w:rPr>
              <w:t>č. 575/2013</w:t>
            </w:r>
            <w:r w:rsidRPr="00E07C9A">
              <w:rPr>
                <w:rFonts w:ascii="Times New Roman" w:hAnsi="Times New Roman"/>
                <w:sz w:val="24"/>
              </w:rPr>
              <w:t xml:space="preserve"> pred úpravami</w:t>
            </w:r>
            <w:r w:rsidR="009912F8" w:rsidRPr="00E07C9A">
              <w:rPr>
                <w:rFonts w:ascii="Times New Roman" w:hAnsi="Times New Roman"/>
                <w:sz w:val="24"/>
              </w:rPr>
              <w:t xml:space="preserve"> z </w:t>
            </w:r>
            <w:r w:rsidRPr="00E07C9A">
              <w:rPr>
                <w:rFonts w:ascii="Times New Roman" w:hAnsi="Times New Roman"/>
                <w:sz w:val="24"/>
              </w:rPr>
              <w:t>dôvodu nesúladu splatností alebo porušenia ustanovení</w:t>
            </w:r>
            <w:r w:rsidR="009912F8" w:rsidRPr="00E07C9A">
              <w:rPr>
                <w:rFonts w:ascii="Times New Roman" w:hAnsi="Times New Roman"/>
                <w:sz w:val="24"/>
              </w:rPr>
              <w:t xml:space="preserve"> o </w:t>
            </w:r>
            <w:r w:rsidRPr="00E07C9A">
              <w:rPr>
                <w:rFonts w:ascii="Times New Roman" w:hAnsi="Times New Roman"/>
                <w:sz w:val="24"/>
              </w:rPr>
              <w:t>náležitej starostlivosti</w:t>
            </w:r>
            <w:r w:rsidR="009912F8" w:rsidRPr="00E07C9A">
              <w:rPr>
                <w:rFonts w:ascii="Times New Roman" w:hAnsi="Times New Roman"/>
                <w:sz w:val="24"/>
              </w:rPr>
              <w:t xml:space="preserve"> a </w:t>
            </w:r>
            <w:r w:rsidRPr="00E07C9A">
              <w:rPr>
                <w:rFonts w:ascii="Times New Roman" w:hAnsi="Times New Roman"/>
                <w:sz w:val="24"/>
              </w:rPr>
              <w:t>bez hodnoty rizikovo váženej expozície, ktorá zodpovedá expozíciám preradeným prostredníctvom záporných peňažných tokov do iného vzoru</w:t>
            </w:r>
            <w:r w:rsidR="009912F8" w:rsidRPr="00E07C9A">
              <w:rPr>
                <w:rFonts w:ascii="Times New Roman" w:hAnsi="Times New Roman"/>
                <w:sz w:val="24"/>
              </w:rPr>
              <w:t>.</w:t>
            </w:r>
          </w:p>
          <w:p w14:paraId="01CB35BB" w14:textId="25B31D72" w:rsidR="00E026FB" w:rsidRPr="00E07C9A" w:rsidRDefault="00E026FB" w:rsidP="00E10B85">
            <w:pPr>
              <w:spacing w:before="0" w:after="0"/>
              <w:rPr>
                <w:rFonts w:ascii="Times New Roman" w:hAnsi="Times New Roman"/>
                <w:sz w:val="24"/>
              </w:rPr>
            </w:pPr>
          </w:p>
        </w:tc>
      </w:tr>
      <w:tr w:rsidR="00E026FB" w:rsidRPr="00E07C9A" w14:paraId="5D611548" w14:textId="77777777" w:rsidTr="00E10B85">
        <w:tc>
          <w:tcPr>
            <w:tcW w:w="1568" w:type="dxa"/>
          </w:tcPr>
          <w:p w14:paraId="7B597EDB" w14:textId="77777777" w:rsidR="00E026FB" w:rsidRPr="00E07C9A" w:rsidRDefault="00E026FB" w:rsidP="00CF6F63">
            <w:pPr>
              <w:autoSpaceDE w:val="0"/>
              <w:autoSpaceDN w:val="0"/>
              <w:adjustRightInd w:val="0"/>
              <w:spacing w:before="0" w:after="0"/>
              <w:rPr>
                <w:rFonts w:ascii="Times New Roman" w:hAnsi="Times New Roman"/>
                <w:bCs/>
                <w:sz w:val="24"/>
              </w:rPr>
            </w:pPr>
            <w:r w:rsidRPr="00E07C9A">
              <w:rPr>
                <w:rFonts w:ascii="Times New Roman" w:hAnsi="Times New Roman"/>
                <w:sz w:val="24"/>
              </w:rPr>
              <w:t>0840</w:t>
            </w:r>
          </w:p>
        </w:tc>
        <w:tc>
          <w:tcPr>
            <w:tcW w:w="7436" w:type="dxa"/>
          </w:tcPr>
          <w:p w14:paraId="33647FA3" w14:textId="77777777" w:rsidR="00E026FB" w:rsidRPr="00E07C9A" w:rsidRDefault="00E026FB" w:rsidP="00E10B85">
            <w:pPr>
              <w:spacing w:before="0" w:after="0"/>
              <w:jc w:val="left"/>
              <w:rPr>
                <w:rFonts w:ascii="Times New Roman" w:hAnsi="Times New Roman"/>
                <w:b/>
                <w:sz w:val="24"/>
                <w:u w:val="single"/>
              </w:rPr>
            </w:pPr>
            <w:r w:rsidRPr="00E07C9A">
              <w:rPr>
                <w:rFonts w:ascii="Times New Roman" w:hAnsi="Times New Roman"/>
                <w:b/>
                <w:sz w:val="24"/>
                <w:u w:val="single"/>
              </w:rPr>
              <w:t>PRÍSTUP INTERNÉHO HODNOTENIA: PRIEMERNÁ RIZIKOVÁ VÁHA (%)</w:t>
            </w:r>
          </w:p>
          <w:p w14:paraId="31814F3B" w14:textId="77777777" w:rsidR="00E026FB" w:rsidRPr="00E07C9A" w:rsidRDefault="00E026FB" w:rsidP="00E10B85">
            <w:pPr>
              <w:spacing w:before="0" w:after="0"/>
              <w:rPr>
                <w:rFonts w:ascii="Times New Roman" w:hAnsi="Times New Roman"/>
                <w:sz w:val="24"/>
              </w:rPr>
            </w:pPr>
          </w:p>
          <w:p w14:paraId="48C95B0E" w14:textId="77777777" w:rsidR="00E026FB" w:rsidRPr="00E07C9A" w:rsidRDefault="00E026FB" w:rsidP="00E10B85">
            <w:pPr>
              <w:spacing w:before="0" w:after="0"/>
              <w:jc w:val="left"/>
              <w:rPr>
                <w:rFonts w:ascii="Times New Roman" w:hAnsi="Times New Roman"/>
                <w:sz w:val="24"/>
              </w:rPr>
            </w:pPr>
            <w:r w:rsidRPr="00E07C9A">
              <w:rPr>
                <w:rFonts w:ascii="Times New Roman" w:hAnsi="Times New Roman"/>
                <w:sz w:val="24"/>
              </w:rPr>
              <w:t>V tomto stĺpci sa vykazujú expozíciami vážené priemerné rizikové váhy sekuritizačných pozícií.</w:t>
            </w:r>
          </w:p>
          <w:p w14:paraId="6FB71302" w14:textId="77777777" w:rsidR="00E026FB" w:rsidRPr="00E07C9A" w:rsidRDefault="00E026FB" w:rsidP="00E10B85">
            <w:pPr>
              <w:spacing w:before="0" w:after="0"/>
              <w:jc w:val="left"/>
              <w:rPr>
                <w:rFonts w:ascii="Times New Roman" w:hAnsi="Times New Roman"/>
                <w:sz w:val="24"/>
              </w:rPr>
            </w:pPr>
          </w:p>
        </w:tc>
      </w:tr>
      <w:tr w:rsidR="00E026FB" w:rsidRPr="00E07C9A" w14:paraId="5A66A188" w14:textId="77777777" w:rsidTr="00E10B85">
        <w:tc>
          <w:tcPr>
            <w:tcW w:w="1568" w:type="dxa"/>
          </w:tcPr>
          <w:p w14:paraId="707A582D" w14:textId="77777777" w:rsidR="00E026FB" w:rsidRPr="00E07C9A" w:rsidRDefault="00E026FB" w:rsidP="00CF6F63">
            <w:pPr>
              <w:autoSpaceDE w:val="0"/>
              <w:autoSpaceDN w:val="0"/>
              <w:adjustRightInd w:val="0"/>
              <w:spacing w:before="0" w:after="0"/>
              <w:rPr>
                <w:rFonts w:ascii="Times New Roman" w:hAnsi="Times New Roman"/>
                <w:bCs/>
                <w:sz w:val="24"/>
              </w:rPr>
            </w:pPr>
            <w:r w:rsidRPr="00E07C9A">
              <w:rPr>
                <w:rFonts w:ascii="Times New Roman" w:hAnsi="Times New Roman"/>
                <w:sz w:val="24"/>
              </w:rPr>
              <w:t>0860</w:t>
            </w:r>
          </w:p>
        </w:tc>
        <w:tc>
          <w:tcPr>
            <w:tcW w:w="7436" w:type="dxa"/>
          </w:tcPr>
          <w:p w14:paraId="20959B34" w14:textId="53331479" w:rsidR="00E026FB" w:rsidRPr="00E07C9A" w:rsidRDefault="00E026FB" w:rsidP="00E10B85">
            <w:pPr>
              <w:spacing w:before="0" w:after="0"/>
              <w:rPr>
                <w:rFonts w:ascii="Times New Roman" w:hAnsi="Times New Roman"/>
                <w:b/>
                <w:sz w:val="24"/>
                <w:u w:val="single"/>
              </w:rPr>
            </w:pPr>
            <w:r w:rsidRPr="00E07C9A">
              <w:rPr>
                <w:rFonts w:ascii="Times New Roman" w:hAnsi="Times New Roman"/>
                <w:b/>
                <w:sz w:val="24"/>
                <w:u w:val="single"/>
              </w:rPr>
              <w:t>HODNOTA RIZIKOVO VÁŽENEJ EXPOZÍCIE,</w:t>
            </w:r>
            <w:r w:rsidR="009912F8" w:rsidRPr="00E07C9A">
              <w:rPr>
                <w:rFonts w:ascii="Times New Roman" w:hAnsi="Times New Roman"/>
                <w:b/>
                <w:sz w:val="24"/>
                <w:u w:val="single"/>
              </w:rPr>
              <w:t xml:space="preserve"> Z </w:t>
            </w:r>
            <w:r w:rsidRPr="00E07C9A">
              <w:rPr>
                <w:rFonts w:ascii="Times New Roman" w:hAnsi="Times New Roman"/>
                <w:b/>
                <w:sz w:val="24"/>
                <w:u w:val="single"/>
              </w:rPr>
              <w:t>ČOHO: SYNTETICKÉ SEKURITIZÁCIE</w:t>
            </w:r>
          </w:p>
          <w:p w14:paraId="266FE040" w14:textId="77777777" w:rsidR="00E026FB" w:rsidRPr="00E07C9A" w:rsidRDefault="00E026FB" w:rsidP="00E10B85">
            <w:pPr>
              <w:spacing w:before="0" w:after="0"/>
              <w:jc w:val="left"/>
              <w:rPr>
                <w:rFonts w:ascii="Times New Roman" w:hAnsi="Times New Roman"/>
                <w:sz w:val="24"/>
              </w:rPr>
            </w:pPr>
          </w:p>
          <w:p w14:paraId="2CFAC03B" w14:textId="29954F16" w:rsidR="00E026FB" w:rsidRPr="00E07C9A" w:rsidRDefault="00E026FB" w:rsidP="00E10B85">
            <w:pPr>
              <w:spacing w:before="0" w:after="0"/>
              <w:rPr>
                <w:rFonts w:ascii="Times New Roman" w:hAnsi="Times New Roman"/>
                <w:sz w:val="24"/>
              </w:rPr>
            </w:pPr>
            <w:r w:rsidRPr="00E07C9A">
              <w:rPr>
                <w:rFonts w:ascii="Times New Roman" w:hAnsi="Times New Roman"/>
                <w:sz w:val="24"/>
              </w:rPr>
              <w:t>Pokiaľ ide</w:t>
            </w:r>
            <w:r w:rsidR="009912F8" w:rsidRPr="00E07C9A">
              <w:rPr>
                <w:rFonts w:ascii="Times New Roman" w:hAnsi="Times New Roman"/>
                <w:sz w:val="24"/>
              </w:rPr>
              <w:t xml:space="preserve"> o </w:t>
            </w:r>
            <w:r w:rsidRPr="00E07C9A">
              <w:rPr>
                <w:rFonts w:ascii="Times New Roman" w:hAnsi="Times New Roman"/>
                <w:sz w:val="24"/>
              </w:rPr>
              <w:t>syntetické sekuritizácie</w:t>
            </w:r>
            <w:r w:rsidR="009912F8" w:rsidRPr="00E07C9A">
              <w:rPr>
                <w:rFonts w:ascii="Times New Roman" w:hAnsi="Times New Roman"/>
                <w:sz w:val="24"/>
              </w:rPr>
              <w:t xml:space="preserve"> s </w:t>
            </w:r>
            <w:r w:rsidRPr="00E07C9A">
              <w:rPr>
                <w:rFonts w:ascii="Times New Roman" w:hAnsi="Times New Roman"/>
                <w:sz w:val="24"/>
              </w:rPr>
              <w:t>nesúladom splatností,</w:t>
            </w:r>
            <w:r w:rsidR="009912F8" w:rsidRPr="00E07C9A">
              <w:rPr>
                <w:rFonts w:ascii="Times New Roman" w:hAnsi="Times New Roman"/>
                <w:sz w:val="24"/>
              </w:rPr>
              <w:t xml:space="preserve"> v </w:t>
            </w:r>
            <w:r w:rsidRPr="00E07C9A">
              <w:rPr>
                <w:rFonts w:ascii="Times New Roman" w:hAnsi="Times New Roman"/>
                <w:sz w:val="24"/>
              </w:rPr>
              <w:t>hodnote vykazovanej</w:t>
            </w:r>
            <w:r w:rsidR="009912F8" w:rsidRPr="00E07C9A">
              <w:rPr>
                <w:rFonts w:ascii="Times New Roman" w:hAnsi="Times New Roman"/>
                <w:sz w:val="24"/>
              </w:rPr>
              <w:t xml:space="preserve"> v </w:t>
            </w:r>
            <w:r w:rsidRPr="00E07C9A">
              <w:rPr>
                <w:rFonts w:ascii="Times New Roman" w:hAnsi="Times New Roman"/>
                <w:sz w:val="24"/>
              </w:rPr>
              <w:t>tomto stĺpci sa nezohľadňuje nesúlad splatností.</w:t>
            </w:r>
          </w:p>
          <w:p w14:paraId="2AAD6E21" w14:textId="77777777" w:rsidR="00E026FB" w:rsidRPr="00E07C9A" w:rsidRDefault="00E026FB" w:rsidP="00E10B85">
            <w:pPr>
              <w:spacing w:before="0" w:after="0"/>
              <w:jc w:val="left"/>
              <w:rPr>
                <w:rFonts w:ascii="Times New Roman" w:hAnsi="Times New Roman"/>
                <w:sz w:val="24"/>
              </w:rPr>
            </w:pPr>
          </w:p>
        </w:tc>
      </w:tr>
      <w:tr w:rsidR="00E026FB" w:rsidRPr="00E07C9A" w14:paraId="688CB360" w14:textId="77777777" w:rsidTr="00E10B85">
        <w:tc>
          <w:tcPr>
            <w:tcW w:w="1568" w:type="dxa"/>
          </w:tcPr>
          <w:p w14:paraId="2E4FCB6E" w14:textId="77777777" w:rsidR="00E026FB" w:rsidRPr="00E07C9A" w:rsidRDefault="00E026FB"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0870</w:t>
            </w:r>
          </w:p>
        </w:tc>
        <w:tc>
          <w:tcPr>
            <w:tcW w:w="7436" w:type="dxa"/>
          </w:tcPr>
          <w:p w14:paraId="463BF973" w14:textId="04733C70" w:rsidR="00E026FB" w:rsidRPr="00E07C9A" w:rsidRDefault="00E026FB" w:rsidP="00E10B85">
            <w:pPr>
              <w:spacing w:before="0" w:after="0"/>
              <w:jc w:val="left"/>
              <w:rPr>
                <w:rFonts w:ascii="Times New Roman" w:hAnsi="Times New Roman"/>
                <w:b/>
                <w:sz w:val="24"/>
                <w:u w:val="single"/>
              </w:rPr>
            </w:pPr>
            <w:r w:rsidRPr="00E07C9A">
              <w:rPr>
                <w:rFonts w:ascii="Times New Roman" w:hAnsi="Times New Roman"/>
                <w:b/>
                <w:sz w:val="24"/>
                <w:u w:val="single"/>
              </w:rPr>
              <w:t>ÚPRAVA HODNOTY RIZIKOVO VÁŽENEJ EXPOZÍCIE</w:t>
            </w:r>
            <w:r w:rsidR="009912F8" w:rsidRPr="00E07C9A">
              <w:rPr>
                <w:rFonts w:ascii="Times New Roman" w:hAnsi="Times New Roman"/>
                <w:b/>
                <w:sz w:val="24"/>
                <w:u w:val="single"/>
              </w:rPr>
              <w:t xml:space="preserve"> Z </w:t>
            </w:r>
            <w:r w:rsidRPr="00E07C9A">
              <w:rPr>
                <w:rFonts w:ascii="Times New Roman" w:hAnsi="Times New Roman"/>
                <w:b/>
                <w:sz w:val="24"/>
                <w:u w:val="single"/>
              </w:rPr>
              <w:t>DÔVODU NESÚLADU SPLATNOSTÍ</w:t>
            </w:r>
          </w:p>
          <w:p w14:paraId="05DD9D5A" w14:textId="77777777" w:rsidR="00E026FB" w:rsidRPr="00E07C9A" w:rsidRDefault="00E026FB" w:rsidP="00E10B85">
            <w:pPr>
              <w:spacing w:before="0" w:after="0"/>
              <w:jc w:val="left"/>
              <w:rPr>
                <w:rFonts w:ascii="Times New Roman" w:hAnsi="Times New Roman"/>
                <w:b/>
                <w:sz w:val="24"/>
                <w:u w:val="single"/>
                <w:lang w:eastAsia="es-ES_tradnl"/>
              </w:rPr>
            </w:pPr>
          </w:p>
          <w:p w14:paraId="21EA40BE" w14:textId="10EF7F68" w:rsidR="00E026FB" w:rsidRPr="00E07C9A" w:rsidRDefault="008F2C6B" w:rsidP="00E10B85">
            <w:pPr>
              <w:spacing w:before="0" w:after="0"/>
              <w:rPr>
                <w:rFonts w:ascii="Times New Roman" w:hAnsi="Times New Roman"/>
                <w:sz w:val="24"/>
              </w:rPr>
            </w:pPr>
            <w:r w:rsidRPr="00E07C9A">
              <w:rPr>
                <w:rFonts w:ascii="Times New Roman" w:hAnsi="Times New Roman"/>
                <w:sz w:val="24"/>
              </w:rPr>
              <w:t>Zahrnú sa nesúlady splatností</w:t>
            </w:r>
            <w:r w:rsidR="009912F8" w:rsidRPr="00E07C9A">
              <w:rPr>
                <w:rFonts w:ascii="Times New Roman" w:hAnsi="Times New Roman"/>
                <w:sz w:val="24"/>
              </w:rPr>
              <w:t xml:space="preserve"> v </w:t>
            </w:r>
            <w:r w:rsidRPr="00E07C9A">
              <w:rPr>
                <w:rFonts w:ascii="Times New Roman" w:hAnsi="Times New Roman"/>
                <w:sz w:val="24"/>
              </w:rPr>
              <w:t>syntetických sekuritizáciách RW* – RW(SP) vypočítané</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252 nariadenia (EÚ) </w:t>
            </w:r>
            <w:r w:rsidR="009912F8" w:rsidRPr="00E07C9A">
              <w:rPr>
                <w:rFonts w:ascii="Times New Roman" w:hAnsi="Times New Roman"/>
                <w:sz w:val="24"/>
              </w:rPr>
              <w:t>č. 575/2013</w:t>
            </w:r>
            <w:r w:rsidRPr="00E07C9A">
              <w:rPr>
                <w:rFonts w:ascii="Times New Roman" w:hAnsi="Times New Roman"/>
                <w:sz w:val="24"/>
              </w:rPr>
              <w:t xml:space="preserve"> okrem prípadu, keď sú tranže zaťažené rizikovou váhou vo výške 1 250</w:t>
            </w:r>
            <w:r w:rsidR="009912F8" w:rsidRPr="00E07C9A">
              <w:rPr>
                <w:rFonts w:ascii="Times New Roman" w:hAnsi="Times New Roman"/>
              </w:rPr>
              <w:t> %</w:t>
            </w:r>
            <w:r w:rsidRPr="00E07C9A">
              <w:rPr>
                <w:rFonts w:ascii="Times New Roman" w:hAnsi="Times New Roman"/>
                <w:sz w:val="24"/>
              </w:rPr>
              <w:t>, pričom vykazovaná hodnota sa rovná nule. RW(SP) zahŕňa nielen hodnoty rizikovo vážených expozícií vykázané</w:t>
            </w:r>
            <w:r w:rsidR="009912F8" w:rsidRPr="00E07C9A">
              <w:rPr>
                <w:rFonts w:ascii="Times New Roman" w:hAnsi="Times New Roman"/>
                <w:sz w:val="24"/>
              </w:rPr>
              <w:t xml:space="preserve"> v </w:t>
            </w:r>
            <w:r w:rsidRPr="00E07C9A">
              <w:rPr>
                <w:rFonts w:ascii="Times New Roman" w:hAnsi="Times New Roman"/>
                <w:sz w:val="24"/>
              </w:rPr>
              <w:t>stĺpci 0650, ale aj hodnoty rizikovo vážených expozícií, ktoré zodpovedajú expozíciám preradeným prostredníctvom záporných peňažných tokov do iných vzorov.</w:t>
            </w:r>
          </w:p>
          <w:p w14:paraId="32C27198" w14:textId="77777777" w:rsidR="00E026FB" w:rsidRPr="00E07C9A" w:rsidRDefault="00E026FB" w:rsidP="00E10B85">
            <w:pPr>
              <w:spacing w:before="0" w:after="0"/>
              <w:rPr>
                <w:rFonts w:ascii="Times New Roman" w:hAnsi="Times New Roman"/>
                <w:sz w:val="24"/>
                <w:lang w:eastAsia="es-ES_tradnl"/>
              </w:rPr>
            </w:pPr>
          </w:p>
        </w:tc>
      </w:tr>
      <w:tr w:rsidR="00E026FB" w:rsidRPr="00E07C9A" w14:paraId="338882AE" w14:textId="77777777" w:rsidTr="00E10B85">
        <w:tc>
          <w:tcPr>
            <w:tcW w:w="1568" w:type="dxa"/>
          </w:tcPr>
          <w:p w14:paraId="78CA5DF0" w14:textId="77777777" w:rsidR="00E026FB" w:rsidRPr="00E07C9A" w:rsidDel="002122FF" w:rsidRDefault="00E026FB"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0880</w:t>
            </w:r>
          </w:p>
        </w:tc>
        <w:tc>
          <w:tcPr>
            <w:tcW w:w="7436" w:type="dxa"/>
          </w:tcPr>
          <w:p w14:paraId="0682A7E4" w14:textId="7D8E9A17" w:rsidR="00E026FB" w:rsidRPr="00E07C9A" w:rsidRDefault="00E026FB" w:rsidP="00E10B85">
            <w:pPr>
              <w:spacing w:before="0" w:after="0"/>
              <w:jc w:val="left"/>
              <w:rPr>
                <w:rFonts w:ascii="Times New Roman" w:hAnsi="Times New Roman"/>
                <w:b/>
                <w:sz w:val="24"/>
                <w:u w:val="single"/>
              </w:rPr>
            </w:pPr>
            <w:r w:rsidRPr="00E07C9A">
              <w:rPr>
                <w:rFonts w:ascii="Times New Roman" w:hAnsi="Times New Roman"/>
                <w:b/>
                <w:sz w:val="24"/>
                <w:u w:val="single"/>
              </w:rPr>
              <w:t>CELKOVÝ ÚČINOK (ÚPRAVA)</w:t>
            </w:r>
            <w:r w:rsidR="009912F8" w:rsidRPr="00E07C9A">
              <w:rPr>
                <w:rFonts w:ascii="Times New Roman" w:hAnsi="Times New Roman"/>
                <w:b/>
                <w:sz w:val="24"/>
                <w:u w:val="single"/>
              </w:rPr>
              <w:t xml:space="preserve"> V </w:t>
            </w:r>
            <w:r w:rsidRPr="00E07C9A">
              <w:rPr>
                <w:rFonts w:ascii="Times New Roman" w:hAnsi="Times New Roman"/>
                <w:b/>
                <w:sz w:val="24"/>
                <w:u w:val="single"/>
              </w:rPr>
              <w:t>DÔSLEDKU PORUŠENIA KAPITOLY 2 NARIADENIA (EÚ) 2017/2402</w:t>
            </w:r>
            <w:r w:rsidRPr="00E07C9A">
              <w:rPr>
                <w:rStyle w:val="FootnoteReference"/>
                <w:rFonts w:ascii="Times New Roman" w:hAnsi="Times New Roman"/>
                <w:sz w:val="24"/>
                <w:szCs w:val="24"/>
                <w:vertAlign w:val="superscript"/>
                <w:lang w:eastAsia="es-ES_tradnl"/>
              </w:rPr>
              <w:footnoteReference w:id="6"/>
            </w:r>
          </w:p>
          <w:p w14:paraId="5D6F984A" w14:textId="77777777" w:rsidR="00E026FB" w:rsidRPr="00E07C9A" w:rsidRDefault="00E026FB" w:rsidP="00E10B85">
            <w:pPr>
              <w:spacing w:before="0" w:after="0"/>
              <w:jc w:val="left"/>
              <w:rPr>
                <w:rFonts w:ascii="Times New Roman" w:hAnsi="Times New Roman"/>
                <w:sz w:val="24"/>
                <w:lang w:eastAsia="es-ES_tradnl"/>
              </w:rPr>
            </w:pPr>
          </w:p>
          <w:p w14:paraId="51E9BD17" w14:textId="3AB954A2" w:rsidR="009912F8" w:rsidRPr="00E07C9A" w:rsidRDefault="00BB22D4" w:rsidP="00E10B85">
            <w:pPr>
              <w:spacing w:before="0" w:after="0"/>
              <w:jc w:val="left"/>
              <w:rPr>
                <w:rFonts w:ascii="Times New Roman" w:hAnsi="Times New Roman"/>
                <w:sz w:val="24"/>
              </w:rPr>
            </w:pPr>
            <w:r w:rsidRPr="00E07C9A">
              <w:rPr>
                <w:rFonts w:ascii="Times New Roman" w:hAnsi="Times New Roman"/>
                <w:sz w:val="24"/>
              </w:rPr>
              <w:t>V súlade</w:t>
            </w:r>
            <w:r w:rsidR="009912F8" w:rsidRPr="00E07C9A">
              <w:rPr>
                <w:rFonts w:ascii="Times New Roman" w:hAnsi="Times New Roman"/>
                <w:sz w:val="24"/>
              </w:rPr>
              <w:t xml:space="preserve"> s </w:t>
            </w:r>
            <w:r w:rsidRPr="00E07C9A">
              <w:rPr>
                <w:rFonts w:ascii="Times New Roman" w:hAnsi="Times New Roman"/>
                <w:sz w:val="24"/>
              </w:rPr>
              <w:t xml:space="preserve">článkom 270a nariadenia (EÚ) </w:t>
            </w:r>
            <w:r w:rsidR="009912F8" w:rsidRPr="00E07C9A">
              <w:rPr>
                <w:rFonts w:ascii="Times New Roman" w:hAnsi="Times New Roman"/>
                <w:sz w:val="24"/>
              </w:rPr>
              <w:t>č. 575/2013</w:t>
            </w:r>
            <w:r w:rsidRPr="00E07C9A">
              <w:rPr>
                <w:rFonts w:ascii="Times New Roman" w:hAnsi="Times New Roman"/>
                <w:sz w:val="24"/>
              </w:rPr>
              <w:t xml:space="preserve"> vždy, keď inštitúcia nespĺňa určité požiadavky, príslušné orgány uložia primeranú dodatočnú rizikovú váhu vo výške minimálne 250</w:t>
            </w:r>
            <w:r w:rsidR="009912F8" w:rsidRPr="00E07C9A">
              <w:rPr>
                <w:rFonts w:ascii="Times New Roman" w:hAnsi="Times New Roman"/>
              </w:rPr>
              <w:t> %</w:t>
            </w:r>
            <w:r w:rsidRPr="00E07C9A">
              <w:rPr>
                <w:rFonts w:ascii="Times New Roman" w:hAnsi="Times New Roman"/>
                <w:sz w:val="24"/>
              </w:rPr>
              <w:t xml:space="preserve"> rizikovej váhy (s horným ohraničením vo výške 1 250</w:t>
            </w:r>
            <w:r w:rsidR="009912F8" w:rsidRPr="00E07C9A">
              <w:rPr>
                <w:rFonts w:ascii="Times New Roman" w:hAnsi="Times New Roman"/>
              </w:rPr>
              <w:t> %</w:t>
            </w:r>
            <w:r w:rsidRPr="00E07C9A">
              <w:rPr>
                <w:rFonts w:ascii="Times New Roman" w:hAnsi="Times New Roman"/>
                <w:sz w:val="24"/>
              </w:rPr>
              <w:t xml:space="preserve">), ktorá by sa uplatňovala na príslušné sekuritizačné pozície podľa tretej časti hlavy II kapitoly 5 oddielu 3 nariadenia (EÚ) </w:t>
            </w:r>
            <w:r w:rsidR="009912F8" w:rsidRPr="00E07C9A">
              <w:rPr>
                <w:rFonts w:ascii="Times New Roman" w:hAnsi="Times New Roman"/>
                <w:sz w:val="24"/>
              </w:rPr>
              <w:t>č. 575/2013.</w:t>
            </w:r>
          </w:p>
          <w:p w14:paraId="28FAAB40" w14:textId="5DD1BA6D" w:rsidR="00E026FB" w:rsidRPr="00E07C9A" w:rsidRDefault="00E026FB" w:rsidP="00E10B85">
            <w:pPr>
              <w:spacing w:before="0" w:after="0"/>
              <w:jc w:val="left"/>
              <w:rPr>
                <w:rFonts w:ascii="Times New Roman" w:hAnsi="Times New Roman"/>
                <w:b/>
                <w:sz w:val="24"/>
                <w:u w:val="single"/>
              </w:rPr>
            </w:pPr>
          </w:p>
        </w:tc>
      </w:tr>
      <w:tr w:rsidR="00E026FB" w:rsidRPr="00E07C9A" w14:paraId="37F2D8BC" w14:textId="77777777" w:rsidTr="00E10B85">
        <w:tc>
          <w:tcPr>
            <w:tcW w:w="1568" w:type="dxa"/>
          </w:tcPr>
          <w:p w14:paraId="170A0B2E" w14:textId="77777777" w:rsidR="00E026FB" w:rsidRPr="00E07C9A" w:rsidRDefault="00E026FB"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0890</w:t>
            </w:r>
          </w:p>
        </w:tc>
        <w:tc>
          <w:tcPr>
            <w:tcW w:w="7436" w:type="dxa"/>
          </w:tcPr>
          <w:p w14:paraId="775B9F80" w14:textId="77777777" w:rsidR="00E026FB" w:rsidRPr="00E07C9A" w:rsidRDefault="00E026FB" w:rsidP="00E10B85">
            <w:pPr>
              <w:spacing w:before="0" w:after="0"/>
              <w:jc w:val="left"/>
              <w:rPr>
                <w:rFonts w:ascii="Times New Roman" w:hAnsi="Times New Roman"/>
                <w:b/>
                <w:sz w:val="24"/>
                <w:u w:val="single"/>
              </w:rPr>
            </w:pPr>
            <w:r w:rsidRPr="00E07C9A">
              <w:rPr>
                <w:rFonts w:ascii="Times New Roman" w:hAnsi="Times New Roman"/>
                <w:b/>
                <w:sz w:val="24"/>
                <w:u w:val="single"/>
              </w:rPr>
              <w:t>PRED UPLATNENÍM HORNÉHO OHRANIČENIA</w:t>
            </w:r>
          </w:p>
          <w:p w14:paraId="1102EFC2" w14:textId="77777777" w:rsidR="00E026FB" w:rsidRPr="00E07C9A" w:rsidRDefault="00E026FB" w:rsidP="00E10B85">
            <w:pPr>
              <w:spacing w:before="0" w:after="0"/>
              <w:jc w:val="left"/>
              <w:rPr>
                <w:rFonts w:ascii="Times New Roman" w:hAnsi="Times New Roman"/>
                <w:b/>
                <w:sz w:val="24"/>
                <w:u w:val="single"/>
                <w:lang w:eastAsia="es-ES_tradnl"/>
              </w:rPr>
            </w:pPr>
          </w:p>
          <w:p w14:paraId="38B49B80" w14:textId="395E1D4E" w:rsidR="00E026FB" w:rsidRPr="00E07C9A" w:rsidRDefault="00E026FB" w:rsidP="00E10B85">
            <w:pPr>
              <w:spacing w:before="0" w:after="0"/>
              <w:jc w:val="left"/>
              <w:rPr>
                <w:rFonts w:ascii="Times New Roman" w:eastAsia="Arial" w:hAnsi="Times New Roman"/>
                <w:sz w:val="24"/>
              </w:rPr>
            </w:pPr>
            <w:r w:rsidRPr="00E07C9A">
              <w:rPr>
                <w:rFonts w:ascii="Times New Roman" w:hAnsi="Times New Roman"/>
                <w:sz w:val="24"/>
              </w:rPr>
              <w:t>Celková hodnota rizikovo váženej expozície vypočítaná</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treťou časťou hlavou II kapitolou 5 oddielom 3 nariadenia (EÚ) </w:t>
            </w:r>
            <w:r w:rsidR="009912F8" w:rsidRPr="00E07C9A">
              <w:rPr>
                <w:rFonts w:ascii="Times New Roman" w:hAnsi="Times New Roman"/>
                <w:sz w:val="24"/>
              </w:rPr>
              <w:t>č. 575/2013</w:t>
            </w:r>
            <w:r w:rsidRPr="00E07C9A">
              <w:rPr>
                <w:rFonts w:ascii="Times New Roman" w:hAnsi="Times New Roman"/>
                <w:sz w:val="24"/>
              </w:rPr>
              <w:t>, pred uplatnením limitov uvedených</w:t>
            </w:r>
            <w:r w:rsidR="009912F8" w:rsidRPr="00E07C9A">
              <w:rPr>
                <w:rFonts w:ascii="Times New Roman" w:hAnsi="Times New Roman"/>
                <w:sz w:val="24"/>
              </w:rPr>
              <w:t xml:space="preserve"> v </w:t>
            </w:r>
            <w:r w:rsidRPr="00E07C9A">
              <w:rPr>
                <w:rFonts w:ascii="Times New Roman" w:hAnsi="Times New Roman"/>
                <w:sz w:val="24"/>
              </w:rPr>
              <w:t>článkoch 267</w:t>
            </w:r>
            <w:r w:rsidR="009912F8" w:rsidRPr="00E07C9A">
              <w:rPr>
                <w:rFonts w:ascii="Times New Roman" w:hAnsi="Times New Roman"/>
                <w:sz w:val="24"/>
              </w:rPr>
              <w:t xml:space="preserve"> a </w:t>
            </w:r>
            <w:r w:rsidRPr="00E07C9A">
              <w:rPr>
                <w:rFonts w:ascii="Times New Roman" w:hAnsi="Times New Roman"/>
                <w:sz w:val="24"/>
              </w:rPr>
              <w:t>268 uvedeného nariadenia alebo</w:t>
            </w:r>
            <w:r w:rsidR="009912F8" w:rsidRPr="00E07C9A">
              <w:rPr>
                <w:rFonts w:ascii="Times New Roman" w:hAnsi="Times New Roman"/>
                <w:sz w:val="24"/>
              </w:rPr>
              <w:t xml:space="preserve"> v </w:t>
            </w:r>
            <w:r w:rsidRPr="00E07C9A">
              <w:rPr>
                <w:rFonts w:ascii="Times New Roman" w:hAnsi="Times New Roman"/>
                <w:sz w:val="24"/>
              </w:rPr>
              <w:t xml:space="preserve">prípade kvalifikovaných tradičných sekuritizácií problémových expozícií pred uplatnením článku 269a nariadenia (EÚ) </w:t>
            </w:r>
            <w:r w:rsidR="009912F8" w:rsidRPr="00E07C9A">
              <w:rPr>
                <w:rFonts w:ascii="Times New Roman" w:hAnsi="Times New Roman"/>
                <w:sz w:val="24"/>
              </w:rPr>
              <w:t>č. 575/2013</w:t>
            </w:r>
            <w:r w:rsidRPr="00E07C9A">
              <w:rPr>
                <w:rFonts w:ascii="Times New Roman" w:hAnsi="Times New Roman"/>
                <w:sz w:val="24"/>
              </w:rPr>
              <w:t>.</w:t>
            </w:r>
          </w:p>
          <w:p w14:paraId="03BE55EB" w14:textId="77777777" w:rsidR="00E026FB" w:rsidRPr="00E07C9A" w:rsidRDefault="00E026FB" w:rsidP="00E10B85">
            <w:pPr>
              <w:spacing w:before="0" w:after="0"/>
              <w:jc w:val="left"/>
              <w:rPr>
                <w:rFonts w:ascii="Times New Roman" w:hAnsi="Times New Roman"/>
                <w:b/>
                <w:sz w:val="24"/>
                <w:u w:val="single"/>
                <w:lang w:eastAsia="es-ES_tradnl"/>
              </w:rPr>
            </w:pPr>
          </w:p>
        </w:tc>
      </w:tr>
      <w:tr w:rsidR="00E026FB" w:rsidRPr="00E07C9A" w14:paraId="5F6A1518" w14:textId="77777777" w:rsidTr="00E10B85">
        <w:tc>
          <w:tcPr>
            <w:tcW w:w="1568" w:type="dxa"/>
          </w:tcPr>
          <w:p w14:paraId="7A717F42" w14:textId="77777777" w:rsidR="00E026FB" w:rsidRPr="00E07C9A" w:rsidRDefault="00E026FB"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0900</w:t>
            </w:r>
          </w:p>
        </w:tc>
        <w:tc>
          <w:tcPr>
            <w:tcW w:w="7436" w:type="dxa"/>
          </w:tcPr>
          <w:p w14:paraId="6F2BF472" w14:textId="2531C25E" w:rsidR="00E026FB" w:rsidRPr="00E07C9A" w:rsidRDefault="00E026FB" w:rsidP="00E10B85">
            <w:pPr>
              <w:spacing w:before="0" w:after="0"/>
              <w:jc w:val="left"/>
              <w:rPr>
                <w:rFonts w:ascii="Times New Roman" w:hAnsi="Times New Roman"/>
                <w:b/>
                <w:sz w:val="24"/>
                <w:u w:val="single"/>
              </w:rPr>
            </w:pPr>
            <w:r w:rsidRPr="00E07C9A">
              <w:rPr>
                <w:rFonts w:ascii="Times New Roman" w:hAnsi="Times New Roman"/>
                <w:b/>
                <w:sz w:val="24"/>
                <w:u w:val="single"/>
              </w:rPr>
              <w:t>(–) ZNÍŽENIE</w:t>
            </w:r>
            <w:r w:rsidR="009912F8" w:rsidRPr="00E07C9A">
              <w:rPr>
                <w:rFonts w:ascii="Times New Roman" w:hAnsi="Times New Roman"/>
                <w:b/>
                <w:sz w:val="24"/>
                <w:u w:val="single"/>
              </w:rPr>
              <w:t xml:space="preserve"> V </w:t>
            </w:r>
            <w:r w:rsidRPr="00E07C9A">
              <w:rPr>
                <w:rFonts w:ascii="Times New Roman" w:hAnsi="Times New Roman"/>
                <w:b/>
                <w:sz w:val="24"/>
                <w:u w:val="single"/>
              </w:rPr>
              <w:t>DÔSLEDKU HORNÉHO OHRANIČENIA RIZIKOVEJ VÁHY</w:t>
            </w:r>
          </w:p>
          <w:p w14:paraId="044DA1CB" w14:textId="77777777" w:rsidR="00E026FB" w:rsidRPr="00E07C9A" w:rsidRDefault="00E026FB" w:rsidP="00E10B85">
            <w:pPr>
              <w:spacing w:before="0" w:after="0"/>
              <w:jc w:val="left"/>
              <w:rPr>
                <w:rFonts w:ascii="Times New Roman" w:hAnsi="Times New Roman"/>
                <w:b/>
                <w:sz w:val="24"/>
                <w:u w:val="single"/>
              </w:rPr>
            </w:pPr>
          </w:p>
          <w:p w14:paraId="31449D46" w14:textId="0B9F9623" w:rsidR="00E026FB" w:rsidRPr="00E07C9A" w:rsidRDefault="00BB22D4" w:rsidP="00E10B85">
            <w:pPr>
              <w:spacing w:before="0" w:after="0"/>
              <w:jc w:val="left"/>
              <w:rPr>
                <w:rFonts w:ascii="Times New Roman" w:hAnsi="Times New Roman"/>
                <w:sz w:val="24"/>
              </w:rPr>
            </w:pPr>
            <w:r w:rsidRPr="00E07C9A">
              <w:rPr>
                <w:rFonts w:ascii="Times New Roman" w:hAnsi="Times New Roman"/>
                <w:sz w:val="24"/>
              </w:rPr>
              <w:t>V súlade</w:t>
            </w:r>
            <w:r w:rsidR="009912F8" w:rsidRPr="00E07C9A">
              <w:rPr>
                <w:rFonts w:ascii="Times New Roman" w:hAnsi="Times New Roman"/>
                <w:sz w:val="24"/>
              </w:rPr>
              <w:t xml:space="preserve"> s </w:t>
            </w:r>
            <w:r w:rsidRPr="00E07C9A">
              <w:rPr>
                <w:rFonts w:ascii="Times New Roman" w:hAnsi="Times New Roman"/>
                <w:sz w:val="24"/>
              </w:rPr>
              <w:t xml:space="preserve">článkom 267 nariadenia (EÚ) </w:t>
            </w:r>
            <w:r w:rsidR="009912F8" w:rsidRPr="00E07C9A">
              <w:rPr>
                <w:rFonts w:ascii="Times New Roman" w:hAnsi="Times New Roman"/>
                <w:sz w:val="24"/>
              </w:rPr>
              <w:t>č. 575/2013</w:t>
            </w:r>
            <w:r w:rsidRPr="00E07C9A">
              <w:rPr>
                <w:rFonts w:ascii="Times New Roman" w:hAnsi="Times New Roman"/>
                <w:sz w:val="24"/>
              </w:rPr>
              <w:t xml:space="preserve"> môže inštitúcia, ktorá neustále pozná zloženie podkladových expozícií, nadriadenej sekuritizačnej pozícii priradiť maximálnu rizikovú váhu rovnajúcu sa expozíciou váženej priemernej rizikovej váhe, ktorá by sa uplatnila na podkladové expozície, ak by podkladové expozície neboli sekuritizované.</w:t>
            </w:r>
            <w:r w:rsidR="009912F8" w:rsidRPr="00E07C9A">
              <w:rPr>
                <w:rFonts w:ascii="Times New Roman" w:hAnsi="Times New Roman"/>
                <w:sz w:val="24"/>
              </w:rPr>
              <w:t xml:space="preserve"> V </w:t>
            </w:r>
            <w:r w:rsidRPr="00E07C9A">
              <w:rPr>
                <w:rFonts w:ascii="Times New Roman" w:hAnsi="Times New Roman"/>
                <w:sz w:val="24"/>
              </w:rPr>
              <w:t xml:space="preserve">prípade kvalifikovaných tradičných sekuritizácií problémových expozícií sa uplatňuje článok 269a nariadenia (EÚ) </w:t>
            </w:r>
            <w:r w:rsidR="009912F8" w:rsidRPr="00E07C9A">
              <w:rPr>
                <w:rFonts w:ascii="Times New Roman" w:hAnsi="Times New Roman"/>
                <w:sz w:val="24"/>
              </w:rPr>
              <w:t>č. 575/2013</w:t>
            </w:r>
            <w:r w:rsidRPr="00E07C9A">
              <w:rPr>
                <w:rFonts w:ascii="Times New Roman" w:hAnsi="Times New Roman"/>
                <w:sz w:val="24"/>
              </w:rPr>
              <w:t>,</w:t>
            </w:r>
            <w:r w:rsidR="009912F8" w:rsidRPr="00E07C9A">
              <w:rPr>
                <w:rFonts w:ascii="Times New Roman" w:hAnsi="Times New Roman"/>
                <w:sz w:val="24"/>
              </w:rPr>
              <w:t xml:space="preserve"> a </w:t>
            </w:r>
            <w:r w:rsidRPr="00E07C9A">
              <w:rPr>
                <w:rFonts w:ascii="Times New Roman" w:hAnsi="Times New Roman"/>
                <w:sz w:val="24"/>
              </w:rPr>
              <w:t>najmä jeho odseky 6</w:t>
            </w:r>
            <w:r w:rsidR="009912F8" w:rsidRPr="00E07C9A">
              <w:rPr>
                <w:rFonts w:ascii="Times New Roman" w:hAnsi="Times New Roman"/>
                <w:sz w:val="24"/>
              </w:rPr>
              <w:t xml:space="preserve"> a </w:t>
            </w:r>
            <w:r w:rsidRPr="00E07C9A">
              <w:rPr>
                <w:rFonts w:ascii="Times New Roman" w:hAnsi="Times New Roman"/>
                <w:sz w:val="24"/>
              </w:rPr>
              <w:t>7.</w:t>
            </w:r>
          </w:p>
          <w:p w14:paraId="30524692" w14:textId="77777777" w:rsidR="00E026FB" w:rsidRPr="00E07C9A" w:rsidRDefault="00E026FB" w:rsidP="00E10B85">
            <w:pPr>
              <w:spacing w:before="0" w:after="0"/>
              <w:jc w:val="left"/>
              <w:rPr>
                <w:rFonts w:ascii="Times New Roman" w:hAnsi="Times New Roman"/>
                <w:b/>
                <w:sz w:val="24"/>
                <w:u w:val="single"/>
              </w:rPr>
            </w:pPr>
          </w:p>
        </w:tc>
      </w:tr>
      <w:tr w:rsidR="00E026FB" w:rsidRPr="00E07C9A" w14:paraId="59E98D50" w14:textId="77777777" w:rsidTr="00E10B85">
        <w:tc>
          <w:tcPr>
            <w:tcW w:w="1568" w:type="dxa"/>
          </w:tcPr>
          <w:p w14:paraId="03B8338E" w14:textId="77777777" w:rsidR="00E026FB" w:rsidRPr="00E07C9A" w:rsidRDefault="00E026FB"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0910</w:t>
            </w:r>
          </w:p>
        </w:tc>
        <w:tc>
          <w:tcPr>
            <w:tcW w:w="7436" w:type="dxa"/>
          </w:tcPr>
          <w:p w14:paraId="4C9E8F66" w14:textId="3A1DF9BA" w:rsidR="00E026FB" w:rsidRPr="00E07C9A" w:rsidRDefault="00E026FB" w:rsidP="00E10B85">
            <w:pPr>
              <w:spacing w:before="0" w:after="0"/>
              <w:jc w:val="left"/>
              <w:rPr>
                <w:rFonts w:ascii="Times New Roman" w:hAnsi="Times New Roman"/>
                <w:b/>
                <w:sz w:val="24"/>
                <w:u w:val="single"/>
              </w:rPr>
            </w:pPr>
            <w:r w:rsidRPr="00E07C9A">
              <w:rPr>
                <w:rFonts w:ascii="Times New Roman" w:hAnsi="Times New Roman"/>
                <w:b/>
                <w:sz w:val="24"/>
                <w:u w:val="single"/>
              </w:rPr>
              <w:t>(–) ZNÍŽENIE</w:t>
            </w:r>
            <w:r w:rsidR="009912F8" w:rsidRPr="00E07C9A">
              <w:rPr>
                <w:rFonts w:ascii="Times New Roman" w:hAnsi="Times New Roman"/>
                <w:b/>
                <w:sz w:val="24"/>
                <w:u w:val="single"/>
              </w:rPr>
              <w:t xml:space="preserve"> V </w:t>
            </w:r>
            <w:r w:rsidRPr="00E07C9A">
              <w:rPr>
                <w:rFonts w:ascii="Times New Roman" w:hAnsi="Times New Roman"/>
                <w:b/>
                <w:sz w:val="24"/>
                <w:u w:val="single"/>
              </w:rPr>
              <w:t>DÔSLEDKU CELKOVÉHO HORNÉHO OHRANIČENIA</w:t>
            </w:r>
          </w:p>
          <w:p w14:paraId="79F01A76" w14:textId="77777777" w:rsidR="00E026FB" w:rsidRPr="00E07C9A" w:rsidRDefault="00E026FB" w:rsidP="00E10B85">
            <w:pPr>
              <w:spacing w:before="0" w:after="0"/>
              <w:jc w:val="left"/>
              <w:rPr>
                <w:rFonts w:ascii="Times New Roman" w:hAnsi="Times New Roman"/>
                <w:b/>
                <w:sz w:val="24"/>
                <w:u w:val="single"/>
              </w:rPr>
            </w:pPr>
          </w:p>
          <w:p w14:paraId="0B341BFA" w14:textId="78384F46" w:rsidR="00E026FB" w:rsidRPr="00E07C9A" w:rsidRDefault="00BB22D4" w:rsidP="00E10B85">
            <w:pPr>
              <w:spacing w:before="0" w:after="0"/>
              <w:jc w:val="left"/>
              <w:rPr>
                <w:rFonts w:ascii="Times New Roman" w:hAnsi="Times New Roman"/>
                <w:sz w:val="24"/>
              </w:rPr>
            </w:pPr>
            <w:r w:rsidRPr="00E07C9A">
              <w:rPr>
                <w:rFonts w:ascii="Times New Roman" w:hAnsi="Times New Roman"/>
                <w:sz w:val="24"/>
              </w:rPr>
              <w:t>V súlade</w:t>
            </w:r>
            <w:r w:rsidR="009912F8" w:rsidRPr="00E07C9A">
              <w:rPr>
                <w:rFonts w:ascii="Times New Roman" w:hAnsi="Times New Roman"/>
                <w:sz w:val="24"/>
              </w:rPr>
              <w:t xml:space="preserve"> s </w:t>
            </w:r>
            <w:r w:rsidRPr="00E07C9A">
              <w:rPr>
                <w:rFonts w:ascii="Times New Roman" w:hAnsi="Times New Roman"/>
                <w:sz w:val="24"/>
              </w:rPr>
              <w:t xml:space="preserve">článkom 268 nariadenia (EÚ) </w:t>
            </w:r>
            <w:r w:rsidR="009912F8" w:rsidRPr="00E07C9A">
              <w:rPr>
                <w:rFonts w:ascii="Times New Roman" w:hAnsi="Times New Roman"/>
                <w:sz w:val="24"/>
              </w:rPr>
              <w:t>č. 575/2013</w:t>
            </w:r>
            <w:r w:rsidRPr="00E07C9A">
              <w:rPr>
                <w:rFonts w:ascii="Times New Roman" w:hAnsi="Times New Roman"/>
                <w:sz w:val="24"/>
              </w:rPr>
              <w:t xml:space="preserve"> môže inštitúcia, ktorá je originátorom, inštitúcia, ktorá je sponzorom, alebo iná inštitúcia používajúca SEC-IRBA alebo inštitúcia, ktorá je originátorom, alebo inštitúcia, ktorá je sponzorom, používajúca SEC-SA alebo SEC-ERBA, uplatniť maximálnu kapitálovú požiadavku</w:t>
            </w:r>
            <w:r w:rsidR="009912F8" w:rsidRPr="00E07C9A">
              <w:rPr>
                <w:rFonts w:ascii="Times New Roman" w:hAnsi="Times New Roman"/>
                <w:sz w:val="24"/>
              </w:rPr>
              <w:t xml:space="preserve"> v </w:t>
            </w:r>
            <w:r w:rsidRPr="00E07C9A">
              <w:rPr>
                <w:rFonts w:ascii="Times New Roman" w:hAnsi="Times New Roman"/>
                <w:sz w:val="24"/>
              </w:rPr>
              <w:t xml:space="preserve">súvislosti so sekuritizačnou pozíciou, ktorú drží, rovnajúcu sa kapitálovým požiadavkám, ktoré by sa vypočítali podľa tretej časti hlavy II kapitoly 2 alebo 3 nariadenia (EÚ) </w:t>
            </w:r>
            <w:r w:rsidR="009912F8" w:rsidRPr="00E07C9A">
              <w:rPr>
                <w:rFonts w:ascii="Times New Roman" w:hAnsi="Times New Roman"/>
                <w:sz w:val="24"/>
              </w:rPr>
              <w:t>č. 575/2013</w:t>
            </w:r>
            <w:r w:rsidRPr="00E07C9A">
              <w:rPr>
                <w:rFonts w:ascii="Times New Roman" w:hAnsi="Times New Roman"/>
                <w:sz w:val="24"/>
              </w:rPr>
              <w:t>, pokiaľ ide</w:t>
            </w:r>
            <w:r w:rsidR="009912F8" w:rsidRPr="00E07C9A">
              <w:rPr>
                <w:rFonts w:ascii="Times New Roman" w:hAnsi="Times New Roman"/>
                <w:sz w:val="24"/>
              </w:rPr>
              <w:t xml:space="preserve"> o </w:t>
            </w:r>
            <w:r w:rsidRPr="00E07C9A">
              <w:rPr>
                <w:rFonts w:ascii="Times New Roman" w:hAnsi="Times New Roman"/>
                <w:sz w:val="24"/>
              </w:rPr>
              <w:t>podkladové expozície, ak by neboli sekuritizované.</w:t>
            </w:r>
            <w:r w:rsidR="009912F8" w:rsidRPr="00E07C9A">
              <w:rPr>
                <w:rFonts w:ascii="Times New Roman" w:hAnsi="Times New Roman"/>
                <w:sz w:val="24"/>
              </w:rPr>
              <w:t xml:space="preserve"> V </w:t>
            </w:r>
            <w:r w:rsidRPr="00E07C9A">
              <w:rPr>
                <w:rFonts w:ascii="Times New Roman" w:hAnsi="Times New Roman"/>
                <w:sz w:val="24"/>
              </w:rPr>
              <w:t xml:space="preserve">prípade kvalifikovaných tradičných sekuritizácií problémových expozícií sa uplatňuje článok 269a nariadenia (EÚ) </w:t>
            </w:r>
            <w:r w:rsidR="009912F8" w:rsidRPr="00E07C9A">
              <w:rPr>
                <w:rFonts w:ascii="Times New Roman" w:hAnsi="Times New Roman"/>
                <w:sz w:val="24"/>
              </w:rPr>
              <w:t>č. 575/2013</w:t>
            </w:r>
            <w:r w:rsidRPr="00E07C9A">
              <w:rPr>
                <w:rFonts w:ascii="Times New Roman" w:hAnsi="Times New Roman"/>
                <w:sz w:val="24"/>
              </w:rPr>
              <w:t>,</w:t>
            </w:r>
            <w:r w:rsidR="009912F8" w:rsidRPr="00E07C9A">
              <w:rPr>
                <w:rFonts w:ascii="Times New Roman" w:hAnsi="Times New Roman"/>
                <w:sz w:val="24"/>
              </w:rPr>
              <w:t xml:space="preserve"> a </w:t>
            </w:r>
            <w:r w:rsidRPr="00E07C9A">
              <w:rPr>
                <w:rFonts w:ascii="Times New Roman" w:hAnsi="Times New Roman"/>
                <w:sz w:val="24"/>
              </w:rPr>
              <w:t>najmä jeho odseky 5</w:t>
            </w:r>
            <w:r w:rsidR="009912F8" w:rsidRPr="00E07C9A">
              <w:rPr>
                <w:rFonts w:ascii="Times New Roman" w:hAnsi="Times New Roman"/>
                <w:sz w:val="24"/>
              </w:rPr>
              <w:t xml:space="preserve"> a </w:t>
            </w:r>
            <w:r w:rsidRPr="00E07C9A">
              <w:rPr>
                <w:rFonts w:ascii="Times New Roman" w:hAnsi="Times New Roman"/>
                <w:sz w:val="24"/>
              </w:rPr>
              <w:t>7.</w:t>
            </w:r>
          </w:p>
          <w:p w14:paraId="69220A14" w14:textId="77777777" w:rsidR="00E026FB" w:rsidRPr="00E07C9A" w:rsidRDefault="00E026FB" w:rsidP="00E10B85">
            <w:pPr>
              <w:spacing w:before="0" w:after="0"/>
              <w:jc w:val="left"/>
              <w:rPr>
                <w:rFonts w:ascii="Times New Roman" w:hAnsi="Times New Roman"/>
                <w:b/>
                <w:sz w:val="24"/>
                <w:u w:val="single"/>
              </w:rPr>
            </w:pPr>
          </w:p>
        </w:tc>
      </w:tr>
      <w:tr w:rsidR="00E026FB" w:rsidRPr="00E07C9A" w14:paraId="755F636A" w14:textId="77777777" w:rsidTr="00E10B85">
        <w:tc>
          <w:tcPr>
            <w:tcW w:w="1568" w:type="dxa"/>
          </w:tcPr>
          <w:p w14:paraId="6FDF0D0D" w14:textId="77777777" w:rsidR="00E026FB" w:rsidRPr="00E07C9A" w:rsidRDefault="00E026FB"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0920</w:t>
            </w:r>
          </w:p>
        </w:tc>
        <w:tc>
          <w:tcPr>
            <w:tcW w:w="7436" w:type="dxa"/>
          </w:tcPr>
          <w:p w14:paraId="5B04A781" w14:textId="77777777" w:rsidR="00E026FB" w:rsidRPr="00E07C9A" w:rsidRDefault="00E026FB" w:rsidP="00E10B85">
            <w:pPr>
              <w:spacing w:before="0" w:after="0"/>
              <w:jc w:val="left"/>
              <w:rPr>
                <w:rFonts w:ascii="Times New Roman" w:hAnsi="Times New Roman"/>
                <w:b/>
                <w:sz w:val="24"/>
                <w:u w:val="single"/>
              </w:rPr>
            </w:pPr>
            <w:r w:rsidRPr="00E07C9A">
              <w:rPr>
                <w:rFonts w:ascii="Times New Roman" w:hAnsi="Times New Roman"/>
                <w:b/>
                <w:sz w:val="24"/>
                <w:u w:val="single"/>
              </w:rPr>
              <w:t>CELKOVÁ HODNOTA RIZIKOVO VÁŽENEJ EXPOZÍCIE</w:t>
            </w:r>
          </w:p>
          <w:p w14:paraId="5C9ADC66" w14:textId="77777777" w:rsidR="00E026FB" w:rsidRPr="00E07C9A" w:rsidRDefault="00E026FB" w:rsidP="00E10B85">
            <w:pPr>
              <w:spacing w:before="0" w:after="0"/>
              <w:jc w:val="left"/>
              <w:rPr>
                <w:rFonts w:ascii="Times New Roman" w:hAnsi="Times New Roman"/>
                <w:b/>
                <w:sz w:val="24"/>
                <w:u w:val="single"/>
              </w:rPr>
            </w:pPr>
          </w:p>
          <w:p w14:paraId="3C061B68" w14:textId="56153090" w:rsidR="00E026FB" w:rsidRPr="00E07C9A" w:rsidRDefault="00E026FB" w:rsidP="00E10B85">
            <w:pPr>
              <w:spacing w:before="0" w:after="0"/>
              <w:jc w:val="left"/>
              <w:rPr>
                <w:rFonts w:ascii="Times New Roman" w:hAnsi="Times New Roman"/>
                <w:b/>
                <w:sz w:val="24"/>
                <w:u w:val="single"/>
              </w:rPr>
            </w:pPr>
            <w:r w:rsidRPr="00E07C9A">
              <w:rPr>
                <w:rFonts w:ascii="Times New Roman" w:hAnsi="Times New Roman"/>
                <w:sz w:val="24"/>
              </w:rPr>
              <w:t>Celková hodnota rizikovo váženej expozície vypočítaná</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treťou časťou hlavou II kapitolou 5 oddielom 3 nariadenia (EÚ) </w:t>
            </w:r>
            <w:r w:rsidR="009912F8" w:rsidRPr="00E07C9A">
              <w:rPr>
                <w:rFonts w:ascii="Times New Roman" w:hAnsi="Times New Roman"/>
                <w:sz w:val="24"/>
              </w:rPr>
              <w:t>č. 575/2013</w:t>
            </w:r>
            <w:r w:rsidRPr="00E07C9A">
              <w:rPr>
                <w:rFonts w:ascii="Times New Roman" w:hAnsi="Times New Roman"/>
                <w:sz w:val="24"/>
              </w:rPr>
              <w:t xml:space="preserve"> pri zvážení celkovej rizikovej váhy podľa článku 247 ods. 6 uvedeného nariadenia.</w:t>
            </w:r>
          </w:p>
          <w:p w14:paraId="51564344" w14:textId="77777777" w:rsidR="00E026FB" w:rsidRPr="00E07C9A" w:rsidRDefault="00E026FB" w:rsidP="00E10B85">
            <w:pPr>
              <w:spacing w:before="0" w:after="0"/>
              <w:jc w:val="left"/>
              <w:rPr>
                <w:rFonts w:ascii="Times New Roman" w:hAnsi="Times New Roman"/>
                <w:b/>
                <w:sz w:val="24"/>
                <w:u w:val="single"/>
                <w:lang w:eastAsia="es-ES_tradnl"/>
              </w:rPr>
            </w:pPr>
          </w:p>
        </w:tc>
      </w:tr>
      <w:tr w:rsidR="00E026FB" w:rsidRPr="00E07C9A" w14:paraId="1E431A0D" w14:textId="77777777" w:rsidTr="00E10B85">
        <w:tc>
          <w:tcPr>
            <w:tcW w:w="1568" w:type="dxa"/>
          </w:tcPr>
          <w:p w14:paraId="6775BFEF" w14:textId="77777777" w:rsidR="00E026FB" w:rsidRPr="00E07C9A" w:rsidRDefault="00E026FB" w:rsidP="00E10B85">
            <w:pPr>
              <w:autoSpaceDE w:val="0"/>
              <w:autoSpaceDN w:val="0"/>
              <w:adjustRightInd w:val="0"/>
              <w:spacing w:before="0" w:after="0"/>
              <w:rPr>
                <w:rFonts w:ascii="Times New Roman" w:hAnsi="Times New Roman"/>
                <w:bCs/>
                <w:sz w:val="24"/>
              </w:rPr>
            </w:pPr>
            <w:r w:rsidRPr="00E07C9A">
              <w:rPr>
                <w:rFonts w:ascii="Times New Roman" w:hAnsi="Times New Roman"/>
                <w:sz w:val="24"/>
              </w:rPr>
              <w:t>0930</w:t>
            </w:r>
          </w:p>
        </w:tc>
        <w:tc>
          <w:tcPr>
            <w:tcW w:w="7436" w:type="dxa"/>
          </w:tcPr>
          <w:p w14:paraId="2B51195B" w14:textId="77777777" w:rsidR="00E026FB" w:rsidRPr="00E07C9A" w:rsidRDefault="00E026FB" w:rsidP="00E10B85">
            <w:pPr>
              <w:spacing w:before="0" w:after="0"/>
              <w:jc w:val="left"/>
              <w:rPr>
                <w:rFonts w:ascii="Times New Roman" w:hAnsi="Times New Roman"/>
                <w:b/>
                <w:sz w:val="24"/>
                <w:u w:val="single"/>
              </w:rPr>
            </w:pPr>
            <w:r w:rsidRPr="00E07C9A">
              <w:rPr>
                <w:rFonts w:ascii="Times New Roman" w:hAnsi="Times New Roman"/>
                <w:b/>
                <w:sz w:val="24"/>
                <w:u w:val="single"/>
              </w:rPr>
              <w:t>DOPLŇUJÚCA POLOŽKA: HODNOTA RIZIKOVO VÁŽENEJ EXPOZÍCIE ZODPOVEDAJÚCA ZÁPORNÝM PEŇAŽNÝM TOKOM ZO SEKURITIZÁCIÍ DO INÝCH TRIED EXPOZÍCIÍ</w:t>
            </w:r>
          </w:p>
          <w:p w14:paraId="61467041" w14:textId="77777777" w:rsidR="00E026FB" w:rsidRPr="00E07C9A" w:rsidRDefault="00E026FB" w:rsidP="00E10B85">
            <w:pPr>
              <w:spacing w:before="0" w:after="0"/>
              <w:jc w:val="left"/>
              <w:rPr>
                <w:rFonts w:ascii="Times New Roman" w:hAnsi="Times New Roman"/>
                <w:sz w:val="24"/>
              </w:rPr>
            </w:pPr>
          </w:p>
          <w:p w14:paraId="664D504B" w14:textId="4EBE2E62" w:rsidR="00E026FB" w:rsidRPr="00E07C9A" w:rsidRDefault="00E026FB" w:rsidP="00E10B85">
            <w:pPr>
              <w:spacing w:before="0" w:after="0"/>
              <w:rPr>
                <w:rFonts w:ascii="Times New Roman" w:hAnsi="Times New Roman"/>
                <w:sz w:val="24"/>
              </w:rPr>
            </w:pPr>
            <w:r w:rsidRPr="00E07C9A">
              <w:rPr>
                <w:rFonts w:ascii="Times New Roman" w:hAnsi="Times New Roman"/>
                <w:sz w:val="24"/>
              </w:rPr>
              <w:t>Hodnota rizikovo váženej expozície pochádzajúcej</w:t>
            </w:r>
            <w:r w:rsidR="009912F8" w:rsidRPr="00E07C9A">
              <w:rPr>
                <w:rFonts w:ascii="Times New Roman" w:hAnsi="Times New Roman"/>
                <w:sz w:val="24"/>
              </w:rPr>
              <w:t xml:space="preserve"> z </w:t>
            </w:r>
            <w:r w:rsidRPr="00E07C9A">
              <w:rPr>
                <w:rFonts w:ascii="Times New Roman" w:hAnsi="Times New Roman"/>
                <w:sz w:val="24"/>
              </w:rPr>
              <w:t>expozícií preradených poskytovateľovi postupov zmierňovania rizika, ktoré sa preto vypočítavajú</w:t>
            </w:r>
            <w:r w:rsidR="009912F8" w:rsidRPr="00E07C9A">
              <w:rPr>
                <w:rFonts w:ascii="Times New Roman" w:hAnsi="Times New Roman"/>
                <w:sz w:val="24"/>
              </w:rPr>
              <w:t xml:space="preserve"> v </w:t>
            </w:r>
            <w:r w:rsidRPr="00E07C9A">
              <w:rPr>
                <w:rFonts w:ascii="Times New Roman" w:hAnsi="Times New Roman"/>
                <w:sz w:val="24"/>
              </w:rPr>
              <w:t>príslušnom vzore</w:t>
            </w:r>
            <w:r w:rsidR="009912F8" w:rsidRPr="00E07C9A">
              <w:rPr>
                <w:rFonts w:ascii="Times New Roman" w:hAnsi="Times New Roman"/>
                <w:sz w:val="24"/>
              </w:rPr>
              <w:t xml:space="preserve"> a </w:t>
            </w:r>
            <w:r w:rsidRPr="00E07C9A">
              <w:rPr>
                <w:rFonts w:ascii="Times New Roman" w:hAnsi="Times New Roman"/>
                <w:sz w:val="24"/>
              </w:rPr>
              <w:t>ktoré sa zohľadňujú pri výpočte horného ohraničenia pre sekuritizačné pozície.</w:t>
            </w:r>
          </w:p>
          <w:p w14:paraId="3F0E2F8D" w14:textId="77777777" w:rsidR="00E026FB" w:rsidRPr="00E07C9A" w:rsidRDefault="00E026FB" w:rsidP="00E10B85">
            <w:pPr>
              <w:spacing w:before="0" w:after="0"/>
              <w:jc w:val="left"/>
              <w:rPr>
                <w:rFonts w:ascii="Times New Roman" w:hAnsi="Times New Roman"/>
                <w:sz w:val="24"/>
              </w:rPr>
            </w:pPr>
          </w:p>
        </w:tc>
      </w:tr>
    </w:tbl>
    <w:p w14:paraId="0F4B38CC" w14:textId="77777777" w:rsidR="00E026FB" w:rsidRPr="00E07C9A" w:rsidRDefault="00E026FB" w:rsidP="00E026FB">
      <w:pPr>
        <w:spacing w:before="0" w:after="0"/>
        <w:rPr>
          <w:rFonts w:ascii="Times New Roman" w:hAnsi="Times New Roman"/>
          <w:sz w:val="24"/>
        </w:rPr>
      </w:pPr>
    </w:p>
    <w:p w14:paraId="53CE95F1" w14:textId="77777777" w:rsidR="00E026FB" w:rsidRPr="00E07C9A" w:rsidRDefault="00E026FB" w:rsidP="00E026FB">
      <w:pPr>
        <w:spacing w:before="0" w:after="0"/>
        <w:rPr>
          <w:rFonts w:ascii="Times New Roman" w:hAnsi="Times New Roman"/>
          <w:sz w:val="24"/>
        </w:rPr>
      </w:pPr>
    </w:p>
    <w:p w14:paraId="375B225B" w14:textId="0EFB8B25" w:rsidR="00E026FB" w:rsidRPr="00E07C9A" w:rsidRDefault="002A18DE" w:rsidP="00487A02">
      <w:pPr>
        <w:pStyle w:val="InstructionsText2"/>
        <w:numPr>
          <w:ilvl w:val="0"/>
          <w:numId w:val="0"/>
        </w:numPr>
        <w:ind w:left="1353" w:hanging="360"/>
      </w:pPr>
      <w:fldSimple w:instr=" seq paragraphs ">
        <w:r w:rsidR="00132AEE">
          <w:rPr>
            <w:noProof/>
          </w:rPr>
          <w:t>109</w:t>
        </w:r>
      </w:fldSimple>
      <w:r w:rsidR="00C3070C" w:rsidRPr="00E07C9A">
        <w:t>.</w:t>
      </w:r>
      <w:r w:rsidR="00C3070C" w:rsidRPr="00E07C9A">
        <w:tab/>
        <w:t xml:space="preserve"> Vzor je rozdelený na tri hlavné bloky riadkov,</w:t>
      </w:r>
      <w:r w:rsidR="009912F8" w:rsidRPr="00E07C9A">
        <w:t xml:space="preserve"> v </w:t>
      </w:r>
      <w:r w:rsidR="00C3070C" w:rsidRPr="00E07C9A">
        <w:t>ktorých sa zhromažďujú údaje</w:t>
      </w:r>
      <w:r w:rsidR="009912F8" w:rsidRPr="00E07C9A">
        <w:t xml:space="preserve"> o </w:t>
      </w:r>
      <w:r w:rsidR="00C3070C" w:rsidRPr="00E07C9A">
        <w:t>vzniknutých/sponzorovaných/ponechaných alebo kúpených expozíciách podľa originátorov, investorov</w:t>
      </w:r>
      <w:r w:rsidR="009912F8" w:rsidRPr="00E07C9A">
        <w:t xml:space="preserve"> a </w:t>
      </w:r>
      <w:r w:rsidR="00C3070C" w:rsidRPr="00E07C9A">
        <w:t>sponzorov. Pre každého</w:t>
      </w:r>
      <w:r w:rsidR="009912F8" w:rsidRPr="00E07C9A">
        <w:t xml:space="preserve"> z </w:t>
      </w:r>
      <w:r w:rsidR="00C3070C" w:rsidRPr="00E07C9A">
        <w:t>týchto aktérov sa informácie rozčleňujú podľa súvahových</w:t>
      </w:r>
      <w:r w:rsidR="009912F8" w:rsidRPr="00E07C9A">
        <w:t xml:space="preserve"> a </w:t>
      </w:r>
      <w:r w:rsidR="00C3070C" w:rsidRPr="00E07C9A">
        <w:t>podsúvahových položiek</w:t>
      </w:r>
      <w:r w:rsidR="009912F8" w:rsidRPr="00E07C9A">
        <w:t xml:space="preserve"> a </w:t>
      </w:r>
      <w:r w:rsidR="00C3070C" w:rsidRPr="00E07C9A">
        <w:t>derivátov, ako aj podľa toho, či podliehajú zaobchádzaniu</w:t>
      </w:r>
      <w:r w:rsidR="009912F8" w:rsidRPr="00E07C9A">
        <w:t xml:space="preserve"> s </w:t>
      </w:r>
      <w:r w:rsidR="00C3070C" w:rsidRPr="00E07C9A">
        <w:t>diferencovaným kapitálom.</w:t>
      </w:r>
    </w:p>
    <w:p w14:paraId="3E41D4CD" w14:textId="565718B2" w:rsidR="00E026FB" w:rsidRPr="00E07C9A" w:rsidRDefault="002A18DE" w:rsidP="00487A02">
      <w:pPr>
        <w:pStyle w:val="InstructionsText2"/>
        <w:numPr>
          <w:ilvl w:val="0"/>
          <w:numId w:val="0"/>
        </w:numPr>
        <w:ind w:left="1353" w:hanging="360"/>
      </w:pPr>
      <w:fldSimple w:instr=" seq paragraphs ">
        <w:r w:rsidR="00132AEE">
          <w:rPr>
            <w:noProof/>
          </w:rPr>
          <w:t>110</w:t>
        </w:r>
      </w:fldSimple>
      <w:r w:rsidR="00C3070C" w:rsidRPr="00E07C9A">
        <w:t>. Pozície,</w:t>
      </w:r>
      <w:r w:rsidR="009912F8" w:rsidRPr="00E07C9A">
        <w:t xml:space="preserve"> s </w:t>
      </w:r>
      <w:r w:rsidR="00C3070C" w:rsidRPr="00E07C9A">
        <w:t>ktorými sa zaobchádza</w:t>
      </w:r>
      <w:r w:rsidR="009912F8" w:rsidRPr="00E07C9A">
        <w:t xml:space="preserve"> v </w:t>
      </w:r>
      <w:r w:rsidR="00C3070C" w:rsidRPr="00E07C9A">
        <w:t>súlade so SEC-ERBA,</w:t>
      </w:r>
      <w:r w:rsidR="009912F8" w:rsidRPr="00E07C9A">
        <w:t xml:space="preserve"> a </w:t>
      </w:r>
      <w:r w:rsidR="00C3070C" w:rsidRPr="00E07C9A">
        <w:t>pozície bez ratingu (expozície</w:t>
      </w:r>
      <w:r w:rsidR="009912F8" w:rsidRPr="00E07C9A">
        <w:t xml:space="preserve"> v </w:t>
      </w:r>
      <w:r w:rsidR="00C3070C" w:rsidRPr="00E07C9A">
        <w:t>čase vykázania) sa rozčleňujú podľa stupňov kreditnej kvality uplatnených pri vzniku (posledný blok riadkov). Tieto informácie vykazujú originátori, sponzori, ako aj investori.</w:t>
      </w:r>
    </w:p>
    <w:p w14:paraId="7E8D8AD8" w14:textId="77777777" w:rsidR="00E026FB" w:rsidRPr="00E07C9A" w:rsidRDefault="00E026FB" w:rsidP="00E026FB">
      <w:pPr>
        <w:spacing w:before="0" w:after="0"/>
        <w:rPr>
          <w:rFonts w:ascii="Times New Roman" w:hAnsi="Times New Roman"/>
          <w:sz w:val="24"/>
          <w:lang w:eastAsia="de-DE"/>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3"/>
        <w:gridCol w:w="7562"/>
      </w:tblGrid>
      <w:tr w:rsidR="00E026FB" w:rsidRPr="00E07C9A" w14:paraId="538BE872" w14:textId="77777777" w:rsidTr="00E10B85">
        <w:tc>
          <w:tcPr>
            <w:tcW w:w="9145" w:type="dxa"/>
            <w:gridSpan w:val="2"/>
            <w:shd w:val="clear" w:color="auto" w:fill="CCCCCC"/>
          </w:tcPr>
          <w:p w14:paraId="17148086" w14:textId="77777777" w:rsidR="00E026FB" w:rsidRPr="00E07C9A" w:rsidRDefault="00E026FB" w:rsidP="00E10B85">
            <w:pPr>
              <w:autoSpaceDE w:val="0"/>
              <w:autoSpaceDN w:val="0"/>
              <w:adjustRightInd w:val="0"/>
              <w:spacing w:before="0" w:after="0"/>
              <w:rPr>
                <w:rFonts w:ascii="Times New Roman" w:hAnsi="Times New Roman"/>
                <w:bCs/>
                <w:sz w:val="24"/>
                <w:lang w:eastAsia="nl-BE"/>
              </w:rPr>
            </w:pPr>
          </w:p>
          <w:p w14:paraId="0893587E" w14:textId="77777777" w:rsidR="00E026FB" w:rsidRPr="00E07C9A" w:rsidRDefault="00E026FB" w:rsidP="00E10B85">
            <w:pPr>
              <w:autoSpaceDE w:val="0"/>
              <w:autoSpaceDN w:val="0"/>
              <w:adjustRightInd w:val="0"/>
              <w:spacing w:before="0" w:after="0"/>
              <w:rPr>
                <w:rFonts w:ascii="Times New Roman" w:hAnsi="Times New Roman"/>
                <w:b/>
                <w:bCs/>
                <w:sz w:val="24"/>
              </w:rPr>
            </w:pPr>
            <w:r w:rsidRPr="00E07C9A">
              <w:rPr>
                <w:rFonts w:ascii="Times New Roman" w:hAnsi="Times New Roman"/>
                <w:b/>
                <w:sz w:val="24"/>
              </w:rPr>
              <w:t>Riadky</w:t>
            </w:r>
          </w:p>
          <w:p w14:paraId="17B69C03" w14:textId="77777777" w:rsidR="00E026FB" w:rsidRPr="00E07C9A" w:rsidRDefault="00E026FB" w:rsidP="00E10B85">
            <w:pPr>
              <w:autoSpaceDE w:val="0"/>
              <w:autoSpaceDN w:val="0"/>
              <w:adjustRightInd w:val="0"/>
              <w:spacing w:before="0" w:after="0"/>
              <w:rPr>
                <w:rFonts w:ascii="Times New Roman" w:hAnsi="Times New Roman"/>
                <w:bCs/>
                <w:sz w:val="24"/>
                <w:lang w:eastAsia="nl-BE"/>
              </w:rPr>
            </w:pPr>
          </w:p>
        </w:tc>
      </w:tr>
      <w:tr w:rsidR="00E026FB" w:rsidRPr="00E07C9A" w14:paraId="44909582" w14:textId="77777777" w:rsidTr="00E10B85">
        <w:tc>
          <w:tcPr>
            <w:tcW w:w="1256" w:type="dxa"/>
          </w:tcPr>
          <w:p w14:paraId="39613096" w14:textId="77777777" w:rsidR="00E026FB" w:rsidRPr="00E07C9A" w:rsidRDefault="00E026FB" w:rsidP="00E10B85">
            <w:pPr>
              <w:autoSpaceDE w:val="0"/>
              <w:autoSpaceDN w:val="0"/>
              <w:adjustRightInd w:val="0"/>
              <w:spacing w:before="0" w:after="0"/>
              <w:rPr>
                <w:rFonts w:ascii="Times New Roman" w:hAnsi="Times New Roman"/>
                <w:bCs/>
                <w:sz w:val="24"/>
              </w:rPr>
            </w:pPr>
            <w:r w:rsidRPr="00E07C9A">
              <w:rPr>
                <w:rFonts w:ascii="Times New Roman" w:hAnsi="Times New Roman"/>
                <w:sz w:val="24"/>
              </w:rPr>
              <w:t>0010</w:t>
            </w:r>
          </w:p>
        </w:tc>
        <w:tc>
          <w:tcPr>
            <w:tcW w:w="7889" w:type="dxa"/>
          </w:tcPr>
          <w:p w14:paraId="665703DB" w14:textId="77777777" w:rsidR="009912F8" w:rsidRPr="00E07C9A" w:rsidRDefault="00E026FB" w:rsidP="00E10B85">
            <w:pPr>
              <w:autoSpaceDE w:val="0"/>
              <w:autoSpaceDN w:val="0"/>
              <w:adjustRightInd w:val="0"/>
              <w:spacing w:before="0" w:after="0"/>
              <w:jc w:val="left"/>
              <w:rPr>
                <w:rFonts w:ascii="Times New Roman" w:hAnsi="Times New Roman"/>
                <w:b/>
                <w:sz w:val="24"/>
                <w:u w:val="single"/>
              </w:rPr>
            </w:pPr>
            <w:r w:rsidRPr="00E07C9A">
              <w:rPr>
                <w:rFonts w:ascii="Times New Roman" w:hAnsi="Times New Roman"/>
                <w:b/>
                <w:sz w:val="24"/>
                <w:u w:val="single"/>
              </w:rPr>
              <w:t>CELKOVÉ EXPOZÍCIE</w:t>
            </w:r>
          </w:p>
          <w:p w14:paraId="50F81BA4" w14:textId="5FC010F2" w:rsidR="00E026FB" w:rsidRPr="00E07C9A" w:rsidRDefault="00E026FB" w:rsidP="00E10B85">
            <w:pPr>
              <w:autoSpaceDE w:val="0"/>
              <w:autoSpaceDN w:val="0"/>
              <w:adjustRightInd w:val="0"/>
              <w:spacing w:before="0" w:after="0"/>
              <w:jc w:val="left"/>
              <w:rPr>
                <w:rFonts w:ascii="Times New Roman" w:hAnsi="Times New Roman"/>
                <w:sz w:val="24"/>
                <w:lang w:eastAsia="es-ES_tradnl"/>
              </w:rPr>
            </w:pPr>
          </w:p>
          <w:p w14:paraId="594935D2" w14:textId="03F1144B" w:rsidR="00E026FB" w:rsidRPr="00E07C9A" w:rsidRDefault="00E026FB"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Celkové expozície sa vzťahujú na celkovú hodnotu zostávajúcich sekuritizácií</w:t>
            </w:r>
            <w:r w:rsidR="009912F8" w:rsidRPr="00E07C9A">
              <w:rPr>
                <w:rFonts w:ascii="Times New Roman" w:hAnsi="Times New Roman"/>
                <w:sz w:val="24"/>
              </w:rPr>
              <w:t xml:space="preserve"> a </w:t>
            </w:r>
            <w:r w:rsidRPr="00E07C9A">
              <w:rPr>
                <w:rFonts w:ascii="Times New Roman" w:hAnsi="Times New Roman"/>
                <w:sz w:val="24"/>
              </w:rPr>
              <w:t>resekuritizácií.</w:t>
            </w:r>
            <w:r w:rsidR="009912F8" w:rsidRPr="00E07C9A">
              <w:rPr>
                <w:rFonts w:ascii="Times New Roman" w:hAnsi="Times New Roman"/>
                <w:sz w:val="24"/>
              </w:rPr>
              <w:t xml:space="preserve"> V </w:t>
            </w:r>
            <w:r w:rsidRPr="00E07C9A">
              <w:rPr>
                <w:rFonts w:ascii="Times New Roman" w:hAnsi="Times New Roman"/>
                <w:sz w:val="24"/>
              </w:rPr>
              <w:t>tomto riadku sa sumarizujú všetky informácie vykázané originátormi, sponzormi</w:t>
            </w:r>
            <w:r w:rsidR="009912F8" w:rsidRPr="00E07C9A">
              <w:rPr>
                <w:rFonts w:ascii="Times New Roman" w:hAnsi="Times New Roman"/>
                <w:sz w:val="24"/>
              </w:rPr>
              <w:t xml:space="preserve"> a </w:t>
            </w:r>
            <w:r w:rsidRPr="00E07C9A">
              <w:rPr>
                <w:rFonts w:ascii="Times New Roman" w:hAnsi="Times New Roman"/>
                <w:sz w:val="24"/>
              </w:rPr>
              <w:t>investormi</w:t>
            </w:r>
            <w:r w:rsidR="009912F8" w:rsidRPr="00E07C9A">
              <w:rPr>
                <w:rFonts w:ascii="Times New Roman" w:hAnsi="Times New Roman"/>
                <w:sz w:val="24"/>
              </w:rPr>
              <w:t xml:space="preserve"> v </w:t>
            </w:r>
            <w:r w:rsidRPr="00E07C9A">
              <w:rPr>
                <w:rFonts w:ascii="Times New Roman" w:hAnsi="Times New Roman"/>
                <w:sz w:val="24"/>
              </w:rPr>
              <w:t>nasledujúcich riadkoch.</w:t>
            </w:r>
          </w:p>
          <w:p w14:paraId="68A2B1EC" w14:textId="77777777" w:rsidR="00E026FB" w:rsidRPr="00E07C9A" w:rsidRDefault="00E026FB" w:rsidP="00E10B85">
            <w:pPr>
              <w:autoSpaceDE w:val="0"/>
              <w:autoSpaceDN w:val="0"/>
              <w:adjustRightInd w:val="0"/>
              <w:spacing w:before="0" w:after="0"/>
              <w:rPr>
                <w:rFonts w:ascii="Times New Roman" w:hAnsi="Times New Roman"/>
                <w:b/>
                <w:bCs/>
                <w:sz w:val="24"/>
                <w:u w:val="single"/>
                <w:lang w:eastAsia="nl-BE"/>
              </w:rPr>
            </w:pPr>
          </w:p>
        </w:tc>
      </w:tr>
      <w:tr w:rsidR="00E026FB" w:rsidRPr="00E07C9A" w14:paraId="7BB6B5CF" w14:textId="77777777" w:rsidTr="00E10B85">
        <w:tc>
          <w:tcPr>
            <w:tcW w:w="1256" w:type="dxa"/>
          </w:tcPr>
          <w:p w14:paraId="79C46FD8" w14:textId="77777777" w:rsidR="00E026FB" w:rsidRPr="00E07C9A" w:rsidRDefault="00E026FB" w:rsidP="00E10B85">
            <w:pPr>
              <w:autoSpaceDE w:val="0"/>
              <w:autoSpaceDN w:val="0"/>
              <w:adjustRightInd w:val="0"/>
              <w:spacing w:before="0" w:after="0"/>
              <w:rPr>
                <w:rFonts w:ascii="Times New Roman" w:hAnsi="Times New Roman"/>
                <w:bCs/>
                <w:sz w:val="24"/>
              </w:rPr>
            </w:pPr>
            <w:r w:rsidRPr="00E07C9A">
              <w:rPr>
                <w:rFonts w:ascii="Times New Roman" w:hAnsi="Times New Roman"/>
                <w:sz w:val="24"/>
              </w:rPr>
              <w:t>0020</w:t>
            </w:r>
          </w:p>
        </w:tc>
        <w:tc>
          <w:tcPr>
            <w:tcW w:w="7889" w:type="dxa"/>
          </w:tcPr>
          <w:p w14:paraId="0003A696" w14:textId="77777777" w:rsidR="00E026FB" w:rsidRPr="00E07C9A" w:rsidRDefault="00E026FB" w:rsidP="00E10B85">
            <w:pPr>
              <w:autoSpaceDE w:val="0"/>
              <w:autoSpaceDN w:val="0"/>
              <w:adjustRightInd w:val="0"/>
              <w:spacing w:before="0" w:after="0"/>
              <w:jc w:val="left"/>
              <w:rPr>
                <w:rFonts w:ascii="Times New Roman" w:hAnsi="Times New Roman"/>
                <w:b/>
                <w:sz w:val="24"/>
                <w:u w:val="single"/>
              </w:rPr>
            </w:pPr>
            <w:r w:rsidRPr="00E07C9A">
              <w:rPr>
                <w:rFonts w:ascii="Times New Roman" w:hAnsi="Times New Roman"/>
                <w:b/>
                <w:sz w:val="24"/>
                <w:u w:val="single"/>
              </w:rPr>
              <w:t>SEKURITIZAČNÉ POZÍCIE</w:t>
            </w:r>
          </w:p>
          <w:p w14:paraId="271A7860" w14:textId="77777777" w:rsidR="00E026FB" w:rsidRPr="00E07C9A"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D88B0FA" w14:textId="0E0DB06E" w:rsidR="00E026FB" w:rsidRPr="00E07C9A" w:rsidRDefault="00E026FB" w:rsidP="00E10B85">
            <w:pPr>
              <w:autoSpaceDE w:val="0"/>
              <w:autoSpaceDN w:val="0"/>
              <w:adjustRightInd w:val="0"/>
              <w:spacing w:before="0" w:after="0"/>
              <w:jc w:val="left"/>
              <w:rPr>
                <w:rFonts w:ascii="Times New Roman" w:hAnsi="Times New Roman"/>
                <w:sz w:val="24"/>
              </w:rPr>
            </w:pPr>
            <w:r w:rsidRPr="00E07C9A">
              <w:rPr>
                <w:rFonts w:ascii="Times New Roman" w:hAnsi="Times New Roman"/>
                <w:sz w:val="24"/>
              </w:rPr>
              <w:t>Celková hodnota nesplatených sekuritizačných pozícií, ako sú vymedzené</w:t>
            </w:r>
            <w:r w:rsidR="009912F8" w:rsidRPr="00E07C9A">
              <w:rPr>
                <w:rFonts w:ascii="Times New Roman" w:hAnsi="Times New Roman"/>
                <w:sz w:val="24"/>
              </w:rPr>
              <w:t xml:space="preserve"> v </w:t>
            </w:r>
            <w:r w:rsidRPr="00E07C9A">
              <w:rPr>
                <w:rFonts w:ascii="Times New Roman" w:hAnsi="Times New Roman"/>
                <w:sz w:val="24"/>
              </w:rPr>
              <w:t xml:space="preserve">článku 4 ods. 1 bode 62 nariadenia (EÚ) </w:t>
            </w:r>
            <w:r w:rsidR="009912F8" w:rsidRPr="00E07C9A">
              <w:rPr>
                <w:rFonts w:ascii="Times New Roman" w:hAnsi="Times New Roman"/>
                <w:sz w:val="24"/>
              </w:rPr>
              <w:t>č. 575/2013</w:t>
            </w:r>
            <w:r w:rsidRPr="00E07C9A">
              <w:rPr>
                <w:rFonts w:ascii="Times New Roman" w:hAnsi="Times New Roman"/>
                <w:sz w:val="24"/>
              </w:rPr>
              <w:t>, ktoré nie sú resekuritizáciami</w:t>
            </w:r>
            <w:r w:rsidR="009912F8" w:rsidRPr="00E07C9A">
              <w:rPr>
                <w:rFonts w:ascii="Times New Roman" w:hAnsi="Times New Roman"/>
                <w:sz w:val="24"/>
              </w:rPr>
              <w:t xml:space="preserve"> v </w:t>
            </w:r>
            <w:r w:rsidRPr="00E07C9A">
              <w:rPr>
                <w:rFonts w:ascii="Times New Roman" w:hAnsi="Times New Roman"/>
                <w:sz w:val="24"/>
              </w:rPr>
              <w:t>zmysle vymedzenia</w:t>
            </w:r>
            <w:r w:rsidR="009912F8" w:rsidRPr="00E07C9A">
              <w:rPr>
                <w:rFonts w:ascii="Times New Roman" w:hAnsi="Times New Roman"/>
                <w:sz w:val="24"/>
              </w:rPr>
              <w:t xml:space="preserve"> v </w:t>
            </w:r>
            <w:r w:rsidRPr="00E07C9A">
              <w:rPr>
                <w:rFonts w:ascii="Times New Roman" w:hAnsi="Times New Roman"/>
                <w:sz w:val="24"/>
              </w:rPr>
              <w:t xml:space="preserve">článku 4 ods. 1 bode 63 nariadenia (EÚ) </w:t>
            </w:r>
            <w:r w:rsidR="009912F8" w:rsidRPr="00E07C9A">
              <w:rPr>
                <w:rFonts w:ascii="Times New Roman" w:hAnsi="Times New Roman"/>
                <w:sz w:val="24"/>
              </w:rPr>
              <w:t>č. 575/2013</w:t>
            </w:r>
            <w:r w:rsidRPr="00E07C9A">
              <w:rPr>
                <w:rFonts w:ascii="Times New Roman" w:hAnsi="Times New Roman"/>
                <w:sz w:val="24"/>
              </w:rPr>
              <w:t>.</w:t>
            </w:r>
          </w:p>
          <w:p w14:paraId="3FFA2DAA" w14:textId="77777777" w:rsidR="00E026FB" w:rsidRPr="00E07C9A"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E07C9A" w14:paraId="6DFF3D7F" w14:textId="77777777" w:rsidTr="00E10B85">
        <w:tc>
          <w:tcPr>
            <w:tcW w:w="1256" w:type="dxa"/>
          </w:tcPr>
          <w:p w14:paraId="2B69CB59" w14:textId="77777777" w:rsidR="00E026FB" w:rsidRPr="00E07C9A" w:rsidRDefault="00E026FB" w:rsidP="00E10B85">
            <w:pPr>
              <w:autoSpaceDE w:val="0"/>
              <w:autoSpaceDN w:val="0"/>
              <w:adjustRightInd w:val="0"/>
              <w:spacing w:before="0" w:after="0"/>
              <w:rPr>
                <w:rFonts w:ascii="Times New Roman" w:hAnsi="Times New Roman"/>
                <w:bCs/>
                <w:sz w:val="24"/>
              </w:rPr>
            </w:pPr>
            <w:r w:rsidRPr="00E07C9A">
              <w:rPr>
                <w:rFonts w:ascii="Times New Roman" w:hAnsi="Times New Roman"/>
                <w:sz w:val="24"/>
              </w:rPr>
              <w:t>0030</w:t>
            </w:r>
          </w:p>
        </w:tc>
        <w:tc>
          <w:tcPr>
            <w:tcW w:w="7889" w:type="dxa"/>
          </w:tcPr>
          <w:p w14:paraId="14AAE6A2" w14:textId="14DF2D29" w:rsidR="00E026FB" w:rsidRPr="00E07C9A" w:rsidRDefault="00E026FB" w:rsidP="00E10B85">
            <w:pPr>
              <w:autoSpaceDE w:val="0"/>
              <w:autoSpaceDN w:val="0"/>
              <w:adjustRightInd w:val="0"/>
              <w:spacing w:before="0" w:after="0"/>
              <w:jc w:val="left"/>
              <w:rPr>
                <w:rFonts w:ascii="Times New Roman" w:hAnsi="Times New Roman"/>
                <w:b/>
                <w:sz w:val="24"/>
                <w:u w:val="single"/>
              </w:rPr>
            </w:pPr>
            <w:r w:rsidRPr="00E07C9A">
              <w:rPr>
                <w:rFonts w:ascii="Times New Roman" w:hAnsi="Times New Roman"/>
                <w:b/>
                <w:sz w:val="24"/>
                <w:u w:val="single"/>
              </w:rPr>
              <w:t>SPĹŇAJÚCE PODMIENKY PRE ZAOBCHÁDZANIE</w:t>
            </w:r>
            <w:r w:rsidR="009912F8" w:rsidRPr="00E07C9A">
              <w:rPr>
                <w:rFonts w:ascii="Times New Roman" w:hAnsi="Times New Roman"/>
                <w:b/>
                <w:sz w:val="24"/>
                <w:u w:val="single"/>
              </w:rPr>
              <w:t xml:space="preserve"> S </w:t>
            </w:r>
            <w:r w:rsidRPr="00E07C9A">
              <w:rPr>
                <w:rFonts w:ascii="Times New Roman" w:hAnsi="Times New Roman"/>
                <w:b/>
                <w:sz w:val="24"/>
                <w:u w:val="single"/>
              </w:rPr>
              <w:t>DIFERENCOVANÝM KAPITÁLOM</w:t>
            </w:r>
          </w:p>
          <w:p w14:paraId="7B5E8B65" w14:textId="77777777" w:rsidR="00E026FB" w:rsidRPr="00E07C9A" w:rsidRDefault="00E026FB" w:rsidP="00E10B85">
            <w:pPr>
              <w:autoSpaceDE w:val="0"/>
              <w:autoSpaceDN w:val="0"/>
              <w:adjustRightInd w:val="0"/>
              <w:spacing w:before="0" w:after="0"/>
              <w:jc w:val="left"/>
              <w:rPr>
                <w:rFonts w:ascii="Times New Roman" w:hAnsi="Times New Roman"/>
                <w:b/>
                <w:sz w:val="24"/>
                <w:u w:val="single"/>
                <w:lang w:eastAsia="es-ES_tradnl"/>
              </w:rPr>
            </w:pPr>
          </w:p>
          <w:p w14:paraId="7516AAE2" w14:textId="3E2174B2" w:rsidR="00E026FB" w:rsidRPr="00E07C9A" w:rsidRDefault="00E026FB" w:rsidP="00E10B85">
            <w:pPr>
              <w:autoSpaceDE w:val="0"/>
              <w:autoSpaceDN w:val="0"/>
              <w:adjustRightInd w:val="0"/>
              <w:spacing w:before="0" w:after="0"/>
              <w:jc w:val="left"/>
              <w:rPr>
                <w:rFonts w:ascii="Times New Roman" w:hAnsi="Times New Roman"/>
                <w:sz w:val="24"/>
              </w:rPr>
            </w:pPr>
            <w:r w:rsidRPr="00E07C9A">
              <w:rPr>
                <w:rFonts w:ascii="Times New Roman" w:hAnsi="Times New Roman"/>
                <w:sz w:val="24"/>
              </w:rPr>
              <w:t xml:space="preserve">Celková hodnota sekuritizačných pozícií, ktoré spĺňajú kritériá článku 243, 270 alebo 494c nariadenia (EÚ) </w:t>
            </w:r>
            <w:r w:rsidR="009912F8" w:rsidRPr="00E07C9A">
              <w:rPr>
                <w:rFonts w:ascii="Times New Roman" w:hAnsi="Times New Roman"/>
                <w:sz w:val="24"/>
              </w:rPr>
              <w:t>č. 575/2013</w:t>
            </w:r>
            <w:r w:rsidRPr="00E07C9A">
              <w:rPr>
                <w:rFonts w:ascii="Times New Roman" w:hAnsi="Times New Roman"/>
                <w:sz w:val="24"/>
              </w:rPr>
              <w:t>,</w:t>
            </w:r>
            <w:r w:rsidR="009912F8" w:rsidRPr="00E07C9A">
              <w:rPr>
                <w:rFonts w:ascii="Times New Roman" w:hAnsi="Times New Roman"/>
                <w:sz w:val="24"/>
              </w:rPr>
              <w:t xml:space="preserve"> a </w:t>
            </w:r>
            <w:r w:rsidRPr="00E07C9A">
              <w:rPr>
                <w:rFonts w:ascii="Times New Roman" w:hAnsi="Times New Roman"/>
                <w:sz w:val="24"/>
              </w:rPr>
              <w:t>ktoré teda spĺňajú podmienky pre zaobchádzanie</w:t>
            </w:r>
            <w:r w:rsidR="009912F8" w:rsidRPr="00E07C9A">
              <w:rPr>
                <w:rFonts w:ascii="Times New Roman" w:hAnsi="Times New Roman"/>
                <w:sz w:val="24"/>
              </w:rPr>
              <w:t xml:space="preserve"> s </w:t>
            </w:r>
            <w:r w:rsidRPr="00E07C9A">
              <w:rPr>
                <w:rFonts w:ascii="Times New Roman" w:hAnsi="Times New Roman"/>
                <w:sz w:val="24"/>
              </w:rPr>
              <w:t>diferencovaným kapitálom.</w:t>
            </w:r>
          </w:p>
          <w:p w14:paraId="01A6906C" w14:textId="77777777" w:rsidR="00E026FB" w:rsidRPr="00E07C9A"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E07C9A" w14:paraId="5F3AD15D" w14:textId="77777777" w:rsidTr="00E10B85">
        <w:tc>
          <w:tcPr>
            <w:tcW w:w="1256" w:type="dxa"/>
          </w:tcPr>
          <w:p w14:paraId="73E72F2A" w14:textId="77777777" w:rsidR="00E026FB" w:rsidRPr="00E07C9A" w:rsidRDefault="00E026FB" w:rsidP="00E10B85">
            <w:pPr>
              <w:autoSpaceDE w:val="0"/>
              <w:autoSpaceDN w:val="0"/>
              <w:adjustRightInd w:val="0"/>
              <w:spacing w:before="0" w:after="0"/>
              <w:rPr>
                <w:rFonts w:ascii="Times New Roman" w:hAnsi="Times New Roman"/>
                <w:bCs/>
                <w:sz w:val="24"/>
              </w:rPr>
            </w:pPr>
            <w:r w:rsidRPr="00E07C9A">
              <w:rPr>
                <w:rFonts w:ascii="Times New Roman" w:hAnsi="Times New Roman"/>
                <w:sz w:val="24"/>
              </w:rPr>
              <w:t>0040</w:t>
            </w:r>
          </w:p>
        </w:tc>
        <w:tc>
          <w:tcPr>
            <w:tcW w:w="7889" w:type="dxa"/>
          </w:tcPr>
          <w:p w14:paraId="0C713284" w14:textId="55C4CE59" w:rsidR="00E026FB" w:rsidRPr="00E07C9A" w:rsidRDefault="00086A31" w:rsidP="00E10B85">
            <w:pPr>
              <w:autoSpaceDE w:val="0"/>
              <w:autoSpaceDN w:val="0"/>
              <w:adjustRightInd w:val="0"/>
              <w:spacing w:before="0" w:after="0"/>
              <w:jc w:val="left"/>
              <w:rPr>
                <w:rFonts w:ascii="Times New Roman" w:hAnsi="Times New Roman"/>
                <w:b/>
                <w:sz w:val="24"/>
                <w:u w:val="single"/>
              </w:rPr>
            </w:pPr>
            <w:r w:rsidRPr="00E07C9A">
              <w:rPr>
                <w:rFonts w:ascii="Times New Roman" w:hAnsi="Times New Roman"/>
                <w:b/>
                <w:sz w:val="24"/>
                <w:u w:val="single"/>
              </w:rPr>
              <w:t>EXPOZÍCIE</w:t>
            </w:r>
            <w:r w:rsidR="009912F8" w:rsidRPr="00E07C9A">
              <w:rPr>
                <w:rFonts w:ascii="Times New Roman" w:hAnsi="Times New Roman"/>
                <w:b/>
                <w:sz w:val="24"/>
                <w:u w:val="single"/>
              </w:rPr>
              <w:t xml:space="preserve"> V </w:t>
            </w:r>
            <w:r w:rsidRPr="00E07C9A">
              <w:rPr>
                <w:rFonts w:ascii="Times New Roman" w:hAnsi="Times New Roman"/>
                <w:b/>
                <w:sz w:val="24"/>
                <w:u w:val="single"/>
              </w:rPr>
              <w:t>TRADIČNÝCH STS SEKURITIZÁCIÁCH ABCP A TRADIČNÝCH STS SEKURITIZÁCIÁCH INÝCH AKO ABCP</w:t>
            </w:r>
          </w:p>
          <w:p w14:paraId="6DABA773" w14:textId="5C14565F" w:rsidR="00E026FB" w:rsidRPr="00E07C9A" w:rsidRDefault="00E026FB" w:rsidP="00E10B85">
            <w:pPr>
              <w:autoSpaceDE w:val="0"/>
              <w:autoSpaceDN w:val="0"/>
              <w:adjustRightInd w:val="0"/>
              <w:spacing w:before="0" w:after="0"/>
              <w:jc w:val="left"/>
              <w:rPr>
                <w:rFonts w:ascii="Times New Roman" w:hAnsi="Times New Roman"/>
                <w:sz w:val="24"/>
              </w:rPr>
            </w:pPr>
            <w:r w:rsidRPr="00E07C9A">
              <w:rPr>
                <w:rFonts w:ascii="Times New Roman" w:hAnsi="Times New Roman"/>
                <w:sz w:val="24"/>
              </w:rPr>
              <w:t>Celková hodnota STS sekuritizačných pozícií, ktoré spĺňajú požiadavky stanovené</w:t>
            </w:r>
            <w:r w:rsidR="009912F8" w:rsidRPr="00E07C9A">
              <w:rPr>
                <w:rFonts w:ascii="Times New Roman" w:hAnsi="Times New Roman"/>
                <w:sz w:val="24"/>
              </w:rPr>
              <w:t xml:space="preserve"> v </w:t>
            </w:r>
            <w:r w:rsidRPr="00E07C9A">
              <w:rPr>
                <w:rFonts w:ascii="Times New Roman" w:hAnsi="Times New Roman"/>
                <w:sz w:val="24"/>
              </w:rPr>
              <w:t xml:space="preserve">článku 243 nariadenia (EÚ) </w:t>
            </w:r>
            <w:r w:rsidR="009912F8" w:rsidRPr="00E07C9A">
              <w:rPr>
                <w:rFonts w:ascii="Times New Roman" w:hAnsi="Times New Roman"/>
                <w:sz w:val="24"/>
              </w:rPr>
              <w:t>č. 575/2013</w:t>
            </w:r>
            <w:r w:rsidRPr="00E07C9A">
              <w:rPr>
                <w:rFonts w:ascii="Times New Roman" w:hAnsi="Times New Roman"/>
                <w:sz w:val="24"/>
              </w:rPr>
              <w:t>.</w:t>
            </w:r>
          </w:p>
          <w:p w14:paraId="6D43DB23" w14:textId="77777777" w:rsidR="00E026FB" w:rsidRPr="00E07C9A"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E07C9A" w14:paraId="6517DE47" w14:textId="77777777" w:rsidTr="00E10B85">
        <w:tc>
          <w:tcPr>
            <w:tcW w:w="1256" w:type="dxa"/>
          </w:tcPr>
          <w:p w14:paraId="6E7EBC2B" w14:textId="77777777" w:rsidR="00E026FB" w:rsidRPr="00E07C9A" w:rsidRDefault="00E026FB" w:rsidP="00E10B85">
            <w:pPr>
              <w:autoSpaceDE w:val="0"/>
              <w:autoSpaceDN w:val="0"/>
              <w:adjustRightInd w:val="0"/>
              <w:spacing w:before="0" w:after="0"/>
              <w:rPr>
                <w:rFonts w:ascii="Times New Roman" w:hAnsi="Times New Roman"/>
                <w:bCs/>
                <w:sz w:val="24"/>
              </w:rPr>
            </w:pPr>
            <w:r w:rsidRPr="00E07C9A">
              <w:rPr>
                <w:rFonts w:ascii="Times New Roman" w:hAnsi="Times New Roman"/>
                <w:sz w:val="24"/>
              </w:rPr>
              <w:t>0050</w:t>
            </w:r>
          </w:p>
        </w:tc>
        <w:tc>
          <w:tcPr>
            <w:tcW w:w="7889" w:type="dxa"/>
          </w:tcPr>
          <w:p w14:paraId="18BFBC28" w14:textId="77777777" w:rsidR="009912F8" w:rsidRPr="00E07C9A" w:rsidRDefault="00F530D8" w:rsidP="00E10B85">
            <w:pPr>
              <w:autoSpaceDE w:val="0"/>
              <w:autoSpaceDN w:val="0"/>
              <w:adjustRightInd w:val="0"/>
              <w:spacing w:before="0" w:after="0"/>
              <w:jc w:val="left"/>
              <w:rPr>
                <w:rFonts w:ascii="Times New Roman" w:hAnsi="Times New Roman"/>
                <w:b/>
                <w:sz w:val="24"/>
                <w:u w:val="single"/>
              </w:rPr>
            </w:pPr>
            <w:r w:rsidRPr="00E07C9A">
              <w:rPr>
                <w:rFonts w:ascii="Times New Roman" w:hAnsi="Times New Roman"/>
                <w:b/>
                <w:sz w:val="24"/>
                <w:u w:val="single"/>
              </w:rPr>
              <w:t>NADRIADENÁ POZÍCIA ZACHOVANÁ</w:t>
            </w:r>
            <w:r w:rsidR="009912F8" w:rsidRPr="00E07C9A">
              <w:rPr>
                <w:rFonts w:ascii="Times New Roman" w:hAnsi="Times New Roman"/>
                <w:b/>
                <w:sz w:val="24"/>
                <w:u w:val="single"/>
              </w:rPr>
              <w:t xml:space="preserve"> V </w:t>
            </w:r>
            <w:r w:rsidRPr="00E07C9A">
              <w:rPr>
                <w:rFonts w:ascii="Times New Roman" w:hAnsi="Times New Roman"/>
                <w:b/>
                <w:sz w:val="24"/>
                <w:u w:val="single"/>
              </w:rPr>
              <w:t>PREDCHÁDZAJÚCOM STAVE</w:t>
            </w:r>
            <w:r w:rsidR="009912F8" w:rsidRPr="00E07C9A">
              <w:rPr>
                <w:rFonts w:ascii="Times New Roman" w:hAnsi="Times New Roman"/>
                <w:b/>
                <w:sz w:val="24"/>
                <w:u w:val="single"/>
              </w:rPr>
              <w:t xml:space="preserve"> V </w:t>
            </w:r>
            <w:r w:rsidRPr="00E07C9A">
              <w:rPr>
                <w:rFonts w:ascii="Times New Roman" w:hAnsi="Times New Roman"/>
                <w:b/>
                <w:sz w:val="24"/>
                <w:u w:val="single"/>
              </w:rPr>
              <w:t>SYNTETICKÝCH SEKURITIZÁCIÁCH MSP</w:t>
            </w:r>
          </w:p>
          <w:p w14:paraId="65E0AC68" w14:textId="333BD0A3" w:rsidR="00E026FB" w:rsidRPr="00E07C9A" w:rsidRDefault="00E026FB" w:rsidP="00E10B85">
            <w:pPr>
              <w:autoSpaceDE w:val="0"/>
              <w:autoSpaceDN w:val="0"/>
              <w:adjustRightInd w:val="0"/>
              <w:spacing w:before="0" w:after="0"/>
              <w:jc w:val="left"/>
              <w:rPr>
                <w:rFonts w:ascii="Times New Roman" w:hAnsi="Times New Roman"/>
                <w:b/>
                <w:sz w:val="24"/>
                <w:u w:val="single"/>
                <w:lang w:eastAsia="es-ES_tradnl"/>
              </w:rPr>
            </w:pPr>
          </w:p>
          <w:p w14:paraId="7742FBBA" w14:textId="7570D26C" w:rsidR="00E026FB" w:rsidRPr="00E07C9A" w:rsidRDefault="00E026FB" w:rsidP="00E10B85">
            <w:pPr>
              <w:autoSpaceDE w:val="0"/>
              <w:autoSpaceDN w:val="0"/>
              <w:adjustRightInd w:val="0"/>
              <w:spacing w:before="0" w:after="0"/>
              <w:jc w:val="left"/>
              <w:rPr>
                <w:rFonts w:ascii="Times New Roman" w:hAnsi="Times New Roman"/>
                <w:sz w:val="24"/>
              </w:rPr>
            </w:pPr>
            <w:r w:rsidRPr="00E07C9A">
              <w:rPr>
                <w:rFonts w:ascii="Times New Roman" w:hAnsi="Times New Roman"/>
                <w:sz w:val="24"/>
              </w:rPr>
              <w:t>Celková hodnota nadriadených pozícií zachovaných</w:t>
            </w:r>
            <w:r w:rsidR="009912F8" w:rsidRPr="00E07C9A">
              <w:rPr>
                <w:rFonts w:ascii="Times New Roman" w:hAnsi="Times New Roman"/>
                <w:sz w:val="24"/>
              </w:rPr>
              <w:t xml:space="preserve"> v </w:t>
            </w:r>
            <w:r w:rsidRPr="00E07C9A">
              <w:rPr>
                <w:rFonts w:ascii="Times New Roman" w:hAnsi="Times New Roman"/>
                <w:sz w:val="24"/>
              </w:rPr>
              <w:t>predchádzajúcom stave</w:t>
            </w:r>
            <w:r w:rsidR="009912F8" w:rsidRPr="00E07C9A">
              <w:rPr>
                <w:rFonts w:ascii="Times New Roman" w:hAnsi="Times New Roman"/>
                <w:sz w:val="24"/>
              </w:rPr>
              <w:t xml:space="preserve"> v </w:t>
            </w:r>
            <w:r w:rsidRPr="00E07C9A">
              <w:rPr>
                <w:rFonts w:ascii="Times New Roman" w:hAnsi="Times New Roman"/>
                <w:sz w:val="24"/>
              </w:rPr>
              <w:t>syntetických sekuritizačných pozíciách MSP, ktoré spĺňajú požiadavky stanovené</w:t>
            </w:r>
            <w:r w:rsidR="009912F8" w:rsidRPr="00E07C9A">
              <w:rPr>
                <w:rFonts w:ascii="Times New Roman" w:hAnsi="Times New Roman"/>
                <w:sz w:val="24"/>
              </w:rPr>
              <w:t xml:space="preserve"> v </w:t>
            </w:r>
            <w:r w:rsidRPr="00E07C9A">
              <w:rPr>
                <w:rFonts w:ascii="Times New Roman" w:hAnsi="Times New Roman"/>
                <w:sz w:val="24"/>
              </w:rPr>
              <w:t xml:space="preserve">článku 494c nariadenia (EÚ) </w:t>
            </w:r>
            <w:r w:rsidR="009912F8" w:rsidRPr="00E07C9A">
              <w:rPr>
                <w:rFonts w:ascii="Times New Roman" w:hAnsi="Times New Roman"/>
                <w:sz w:val="24"/>
              </w:rPr>
              <w:t>č. 575/2013</w:t>
            </w:r>
            <w:r w:rsidRPr="00E07C9A">
              <w:rPr>
                <w:rFonts w:ascii="Times New Roman" w:hAnsi="Times New Roman"/>
                <w:sz w:val="24"/>
              </w:rPr>
              <w:t>.</w:t>
            </w:r>
          </w:p>
          <w:p w14:paraId="5FC008A0" w14:textId="77777777" w:rsidR="00E026FB" w:rsidRPr="00E07C9A"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F530D8" w:rsidRPr="00E07C9A" w14:paraId="55E49428" w14:textId="77777777" w:rsidTr="00E10B85">
        <w:tc>
          <w:tcPr>
            <w:tcW w:w="1256" w:type="dxa"/>
          </w:tcPr>
          <w:p w14:paraId="12DFC5B3" w14:textId="498C22D2" w:rsidR="00F530D8" w:rsidRPr="00E07C9A" w:rsidRDefault="00F530D8" w:rsidP="00E10B85">
            <w:pPr>
              <w:autoSpaceDE w:val="0"/>
              <w:autoSpaceDN w:val="0"/>
              <w:adjustRightInd w:val="0"/>
              <w:spacing w:before="0" w:after="0"/>
              <w:rPr>
                <w:rFonts w:ascii="Times New Roman" w:hAnsi="Times New Roman"/>
                <w:bCs/>
                <w:sz w:val="24"/>
              </w:rPr>
            </w:pPr>
            <w:r w:rsidRPr="00E07C9A">
              <w:rPr>
                <w:rFonts w:ascii="Times New Roman" w:hAnsi="Times New Roman"/>
                <w:sz w:val="24"/>
              </w:rPr>
              <w:t>0051</w:t>
            </w:r>
          </w:p>
        </w:tc>
        <w:tc>
          <w:tcPr>
            <w:tcW w:w="7889" w:type="dxa"/>
          </w:tcPr>
          <w:p w14:paraId="2060F6CF" w14:textId="59D01DF3" w:rsidR="00F530D8" w:rsidRPr="00E07C9A" w:rsidRDefault="00F530D8" w:rsidP="00E10B85">
            <w:pPr>
              <w:autoSpaceDE w:val="0"/>
              <w:autoSpaceDN w:val="0"/>
              <w:adjustRightInd w:val="0"/>
              <w:spacing w:before="0" w:after="0"/>
              <w:jc w:val="left"/>
              <w:rPr>
                <w:rFonts w:ascii="Times New Roman" w:hAnsi="Times New Roman"/>
                <w:b/>
                <w:sz w:val="24"/>
                <w:u w:val="single"/>
              </w:rPr>
            </w:pPr>
            <w:r w:rsidRPr="00E07C9A">
              <w:rPr>
                <w:rFonts w:ascii="Times New Roman" w:hAnsi="Times New Roman"/>
                <w:b/>
                <w:sz w:val="24"/>
                <w:u w:val="single"/>
              </w:rPr>
              <w:t>NADRIADENÉ POZÍCIE</w:t>
            </w:r>
            <w:r w:rsidR="009912F8" w:rsidRPr="00E07C9A">
              <w:rPr>
                <w:rFonts w:ascii="Times New Roman" w:hAnsi="Times New Roman"/>
                <w:b/>
                <w:sz w:val="24"/>
                <w:u w:val="single"/>
              </w:rPr>
              <w:t xml:space="preserve"> V </w:t>
            </w:r>
            <w:r w:rsidRPr="00E07C9A">
              <w:rPr>
                <w:rFonts w:ascii="Times New Roman" w:hAnsi="Times New Roman"/>
                <w:b/>
                <w:sz w:val="24"/>
                <w:u w:val="single"/>
              </w:rPr>
              <w:t>SÚVAHOVÝCH STS SEKURITIZÁCIÁCH</w:t>
            </w:r>
          </w:p>
          <w:p w14:paraId="042CC195" w14:textId="77777777" w:rsidR="00F530D8" w:rsidRPr="00E07C9A" w:rsidRDefault="00F530D8" w:rsidP="00E10B85">
            <w:pPr>
              <w:autoSpaceDE w:val="0"/>
              <w:autoSpaceDN w:val="0"/>
              <w:adjustRightInd w:val="0"/>
              <w:spacing w:before="0" w:after="0"/>
              <w:jc w:val="left"/>
              <w:rPr>
                <w:rFonts w:ascii="Times New Roman" w:hAnsi="Times New Roman"/>
                <w:b/>
                <w:sz w:val="24"/>
                <w:u w:val="single"/>
                <w:lang w:eastAsia="es-ES_tradnl"/>
              </w:rPr>
            </w:pPr>
          </w:p>
          <w:p w14:paraId="0E2D2161" w14:textId="752E9370" w:rsidR="00F530D8" w:rsidRPr="00E07C9A" w:rsidRDefault="00F530D8" w:rsidP="00F530D8">
            <w:pPr>
              <w:autoSpaceDE w:val="0"/>
              <w:autoSpaceDN w:val="0"/>
              <w:adjustRightInd w:val="0"/>
              <w:spacing w:before="0" w:after="0"/>
              <w:jc w:val="left"/>
              <w:rPr>
                <w:rFonts w:ascii="Times New Roman" w:hAnsi="Times New Roman"/>
                <w:sz w:val="24"/>
              </w:rPr>
            </w:pPr>
            <w:r w:rsidRPr="00E07C9A">
              <w:rPr>
                <w:rFonts w:ascii="Times New Roman" w:hAnsi="Times New Roman"/>
                <w:sz w:val="24"/>
              </w:rPr>
              <w:t>Celková hodnota nadriadených sekuritizačných pozícií</w:t>
            </w:r>
            <w:r w:rsidR="009912F8" w:rsidRPr="00E07C9A">
              <w:rPr>
                <w:rFonts w:ascii="Times New Roman" w:hAnsi="Times New Roman"/>
                <w:sz w:val="24"/>
              </w:rPr>
              <w:t xml:space="preserve"> v </w:t>
            </w:r>
            <w:r w:rsidRPr="00E07C9A">
              <w:rPr>
                <w:rFonts w:ascii="Times New Roman" w:hAnsi="Times New Roman"/>
                <w:sz w:val="24"/>
              </w:rPr>
              <w:t>súvahových STS sekuritizáciách, ktoré spĺňajú požiadavky stanovené</w:t>
            </w:r>
            <w:r w:rsidR="009912F8" w:rsidRPr="00E07C9A">
              <w:rPr>
                <w:rFonts w:ascii="Times New Roman" w:hAnsi="Times New Roman"/>
                <w:sz w:val="24"/>
              </w:rPr>
              <w:t xml:space="preserve"> v </w:t>
            </w:r>
            <w:r w:rsidRPr="00E07C9A">
              <w:rPr>
                <w:rFonts w:ascii="Times New Roman" w:hAnsi="Times New Roman"/>
                <w:sz w:val="24"/>
              </w:rPr>
              <w:t xml:space="preserve">článku 270 nariadenia (EÚ) </w:t>
            </w:r>
            <w:r w:rsidR="009912F8" w:rsidRPr="00E07C9A">
              <w:rPr>
                <w:rFonts w:ascii="Times New Roman" w:hAnsi="Times New Roman"/>
                <w:sz w:val="24"/>
              </w:rPr>
              <w:t>č. 575/2013</w:t>
            </w:r>
            <w:r w:rsidRPr="00E07C9A">
              <w:rPr>
                <w:rFonts w:ascii="Times New Roman" w:hAnsi="Times New Roman"/>
                <w:sz w:val="24"/>
              </w:rPr>
              <w:t>.</w:t>
            </w:r>
          </w:p>
          <w:p w14:paraId="2DB00CB7" w14:textId="0CB12D8A" w:rsidR="00F530D8" w:rsidRPr="00E07C9A" w:rsidRDefault="00F530D8"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E07C9A" w14:paraId="60A2822C" w14:textId="77777777" w:rsidTr="00E10B85">
        <w:tc>
          <w:tcPr>
            <w:tcW w:w="1256" w:type="dxa"/>
          </w:tcPr>
          <w:p w14:paraId="5FB7492B" w14:textId="11D2CE76" w:rsidR="00E026FB" w:rsidRPr="00E07C9A" w:rsidRDefault="00E026FB" w:rsidP="00E10B85">
            <w:pPr>
              <w:autoSpaceDE w:val="0"/>
              <w:autoSpaceDN w:val="0"/>
              <w:adjustRightInd w:val="0"/>
              <w:spacing w:before="0" w:after="0"/>
              <w:rPr>
                <w:rFonts w:ascii="Times New Roman" w:hAnsi="Times New Roman"/>
                <w:bCs/>
                <w:sz w:val="24"/>
              </w:rPr>
            </w:pPr>
            <w:r w:rsidRPr="00E07C9A">
              <w:rPr>
                <w:rFonts w:ascii="Times New Roman" w:hAnsi="Times New Roman"/>
                <w:sz w:val="24"/>
              </w:rPr>
              <w:t>0060, 0120, 0170, 0240, 0290, 0360</w:t>
            </w:r>
            <w:r w:rsidR="009912F8" w:rsidRPr="00E07C9A">
              <w:rPr>
                <w:rFonts w:ascii="Times New Roman" w:hAnsi="Times New Roman"/>
                <w:sz w:val="24"/>
              </w:rPr>
              <w:t xml:space="preserve"> a </w:t>
            </w:r>
            <w:r w:rsidRPr="00E07C9A">
              <w:rPr>
                <w:rFonts w:ascii="Times New Roman" w:hAnsi="Times New Roman"/>
                <w:sz w:val="24"/>
              </w:rPr>
              <w:t>0410</w:t>
            </w:r>
          </w:p>
        </w:tc>
        <w:tc>
          <w:tcPr>
            <w:tcW w:w="7889" w:type="dxa"/>
          </w:tcPr>
          <w:p w14:paraId="157EEEBC" w14:textId="78850F06" w:rsidR="00E026FB" w:rsidRPr="00E07C9A" w:rsidRDefault="00E026FB" w:rsidP="00E10B85">
            <w:pPr>
              <w:autoSpaceDE w:val="0"/>
              <w:autoSpaceDN w:val="0"/>
              <w:adjustRightInd w:val="0"/>
              <w:spacing w:before="0" w:after="0"/>
              <w:jc w:val="left"/>
              <w:rPr>
                <w:rFonts w:ascii="Times New Roman" w:hAnsi="Times New Roman"/>
                <w:b/>
                <w:sz w:val="24"/>
                <w:u w:val="single"/>
              </w:rPr>
            </w:pPr>
            <w:r w:rsidRPr="00E07C9A">
              <w:rPr>
                <w:rFonts w:ascii="Times New Roman" w:hAnsi="Times New Roman"/>
                <w:b/>
                <w:sz w:val="24"/>
                <w:u w:val="single"/>
              </w:rPr>
              <w:t>NESPĹŇAJÚCE PODMIENKY PRE ZAOBCHÁDZANIE</w:t>
            </w:r>
            <w:r w:rsidR="009912F8" w:rsidRPr="00E07C9A">
              <w:rPr>
                <w:rFonts w:ascii="Times New Roman" w:hAnsi="Times New Roman"/>
                <w:b/>
                <w:sz w:val="24"/>
                <w:u w:val="single"/>
              </w:rPr>
              <w:t xml:space="preserve"> S </w:t>
            </w:r>
            <w:r w:rsidRPr="00E07C9A">
              <w:rPr>
                <w:rFonts w:ascii="Times New Roman" w:hAnsi="Times New Roman"/>
                <w:b/>
                <w:sz w:val="24"/>
                <w:u w:val="single"/>
              </w:rPr>
              <w:t>DIFERENCOVANÝM KAPITÁLOM</w:t>
            </w:r>
          </w:p>
          <w:p w14:paraId="41995C4B" w14:textId="77777777" w:rsidR="00E026FB" w:rsidRPr="00E07C9A"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376735A" w14:textId="718CB25D" w:rsidR="00192744" w:rsidRPr="00E07C9A" w:rsidRDefault="001E0C80" w:rsidP="001E0C80">
            <w:pPr>
              <w:autoSpaceDE w:val="0"/>
              <w:autoSpaceDN w:val="0"/>
              <w:adjustRightInd w:val="0"/>
              <w:spacing w:before="0" w:after="0"/>
              <w:jc w:val="left"/>
              <w:rPr>
                <w:rFonts w:ascii="Times New Roman" w:hAnsi="Times New Roman"/>
                <w:sz w:val="24"/>
              </w:rPr>
            </w:pPr>
            <w:r w:rsidRPr="00E07C9A">
              <w:rPr>
                <w:rFonts w:ascii="Times New Roman" w:hAnsi="Times New Roman"/>
                <w:sz w:val="24"/>
              </w:rPr>
              <w:t>Článok 254 ods. 1, 4, 5</w:t>
            </w:r>
            <w:r w:rsidR="009912F8" w:rsidRPr="00E07C9A">
              <w:rPr>
                <w:rFonts w:ascii="Times New Roman" w:hAnsi="Times New Roman"/>
                <w:sz w:val="24"/>
              </w:rPr>
              <w:t xml:space="preserve"> a </w:t>
            </w:r>
            <w:r w:rsidRPr="00E07C9A">
              <w:rPr>
                <w:rFonts w:ascii="Times New Roman" w:hAnsi="Times New Roman"/>
                <w:sz w:val="24"/>
              </w:rPr>
              <w:t>6, články 259, 261, 263, 265, 266</w:t>
            </w:r>
            <w:r w:rsidR="009912F8" w:rsidRPr="00E07C9A">
              <w:rPr>
                <w:rFonts w:ascii="Times New Roman" w:hAnsi="Times New Roman"/>
                <w:sz w:val="24"/>
              </w:rPr>
              <w:t xml:space="preserve"> a </w:t>
            </w:r>
            <w:r w:rsidRPr="00E07C9A">
              <w:rPr>
                <w:rFonts w:ascii="Times New Roman" w:hAnsi="Times New Roman"/>
                <w:sz w:val="24"/>
              </w:rPr>
              <w:t xml:space="preserve">269 nariadenia (EÚ) </w:t>
            </w:r>
            <w:r w:rsidR="009912F8" w:rsidRPr="00E07C9A">
              <w:rPr>
                <w:rFonts w:ascii="Times New Roman" w:hAnsi="Times New Roman"/>
                <w:sz w:val="24"/>
              </w:rPr>
              <w:t>č. 575/2013</w:t>
            </w:r>
          </w:p>
          <w:p w14:paraId="62340FD2" w14:textId="77777777" w:rsidR="00192744" w:rsidRPr="00E07C9A" w:rsidRDefault="00192744" w:rsidP="00192744">
            <w:pPr>
              <w:autoSpaceDE w:val="0"/>
              <w:autoSpaceDN w:val="0"/>
              <w:adjustRightInd w:val="0"/>
              <w:spacing w:before="0" w:after="0"/>
              <w:jc w:val="left"/>
              <w:rPr>
                <w:rFonts w:ascii="Times New Roman" w:hAnsi="Times New Roman"/>
                <w:sz w:val="24"/>
                <w:lang w:eastAsia="es-ES_tradnl"/>
              </w:rPr>
            </w:pPr>
          </w:p>
          <w:p w14:paraId="4C6F3073" w14:textId="7C7AAFF7" w:rsidR="00E026FB" w:rsidRPr="00E07C9A" w:rsidRDefault="00E026FB" w:rsidP="008126F5">
            <w:pPr>
              <w:autoSpaceDE w:val="0"/>
              <w:autoSpaceDN w:val="0"/>
              <w:adjustRightInd w:val="0"/>
              <w:spacing w:before="0" w:after="0"/>
              <w:jc w:val="left"/>
              <w:rPr>
                <w:rFonts w:ascii="Times New Roman" w:hAnsi="Times New Roman"/>
                <w:b/>
                <w:sz w:val="24"/>
                <w:u w:val="single"/>
              </w:rPr>
            </w:pPr>
            <w:r w:rsidRPr="00E07C9A">
              <w:rPr>
                <w:rFonts w:ascii="Times New Roman" w:hAnsi="Times New Roman"/>
                <w:sz w:val="24"/>
              </w:rPr>
              <w:t>Celková hodnota sekuritizačných pozícií, ktoré nespĺňajú podmienky pre zaobchádzanie</w:t>
            </w:r>
            <w:r w:rsidR="009912F8" w:rsidRPr="00E07C9A">
              <w:rPr>
                <w:rFonts w:ascii="Times New Roman" w:hAnsi="Times New Roman"/>
                <w:sz w:val="24"/>
              </w:rPr>
              <w:t xml:space="preserve"> s </w:t>
            </w:r>
            <w:r w:rsidRPr="00E07C9A">
              <w:rPr>
                <w:rFonts w:ascii="Times New Roman" w:hAnsi="Times New Roman"/>
                <w:sz w:val="24"/>
              </w:rPr>
              <w:t>diferencovaným kapitálom.</w:t>
            </w:r>
          </w:p>
        </w:tc>
      </w:tr>
      <w:tr w:rsidR="00E026FB" w:rsidRPr="00E07C9A" w14:paraId="304029EC" w14:textId="77777777" w:rsidTr="00E10B85">
        <w:tc>
          <w:tcPr>
            <w:tcW w:w="1256" w:type="dxa"/>
          </w:tcPr>
          <w:p w14:paraId="5568AD05" w14:textId="0A27AF4E" w:rsidR="00E026FB" w:rsidRPr="00E07C9A" w:rsidRDefault="00E026FB" w:rsidP="00E10B85">
            <w:pPr>
              <w:autoSpaceDE w:val="0"/>
              <w:autoSpaceDN w:val="0"/>
              <w:adjustRightInd w:val="0"/>
              <w:spacing w:before="0" w:after="0"/>
              <w:rPr>
                <w:rFonts w:ascii="Times New Roman" w:hAnsi="Times New Roman"/>
                <w:bCs/>
                <w:sz w:val="24"/>
              </w:rPr>
            </w:pPr>
            <w:r w:rsidRPr="00E07C9A">
              <w:rPr>
                <w:rFonts w:ascii="Times New Roman" w:hAnsi="Times New Roman"/>
                <w:sz w:val="24"/>
              </w:rPr>
              <w:t>0070, 0190, 0310</w:t>
            </w:r>
            <w:r w:rsidR="009912F8" w:rsidRPr="00E07C9A">
              <w:rPr>
                <w:rFonts w:ascii="Times New Roman" w:hAnsi="Times New Roman"/>
                <w:sz w:val="24"/>
              </w:rPr>
              <w:t xml:space="preserve"> a </w:t>
            </w:r>
            <w:r w:rsidRPr="00E07C9A">
              <w:rPr>
                <w:rFonts w:ascii="Times New Roman" w:hAnsi="Times New Roman"/>
                <w:sz w:val="24"/>
              </w:rPr>
              <w:t>0430</w:t>
            </w:r>
          </w:p>
        </w:tc>
        <w:tc>
          <w:tcPr>
            <w:tcW w:w="7889" w:type="dxa"/>
          </w:tcPr>
          <w:p w14:paraId="2BC28D42" w14:textId="77777777" w:rsidR="00E026FB" w:rsidRPr="00E07C9A" w:rsidRDefault="00E026FB" w:rsidP="00E10B85">
            <w:pPr>
              <w:autoSpaceDE w:val="0"/>
              <w:autoSpaceDN w:val="0"/>
              <w:adjustRightInd w:val="0"/>
              <w:spacing w:before="0" w:after="0"/>
              <w:jc w:val="left"/>
              <w:rPr>
                <w:rFonts w:ascii="Times New Roman" w:hAnsi="Times New Roman"/>
                <w:b/>
                <w:sz w:val="24"/>
                <w:u w:val="single"/>
              </w:rPr>
            </w:pPr>
            <w:r w:rsidRPr="00E07C9A">
              <w:rPr>
                <w:rFonts w:ascii="Times New Roman" w:hAnsi="Times New Roman"/>
                <w:b/>
                <w:sz w:val="24"/>
                <w:u w:val="single"/>
              </w:rPr>
              <w:t>RESEKURITIZAČNÉ POZÍCIE</w:t>
            </w:r>
          </w:p>
          <w:p w14:paraId="61B1DACA" w14:textId="77777777" w:rsidR="00E026FB" w:rsidRPr="00E07C9A" w:rsidRDefault="00E026FB" w:rsidP="00E10B85">
            <w:pPr>
              <w:autoSpaceDE w:val="0"/>
              <w:autoSpaceDN w:val="0"/>
              <w:adjustRightInd w:val="0"/>
              <w:spacing w:before="0" w:after="0"/>
              <w:jc w:val="left"/>
              <w:rPr>
                <w:rFonts w:ascii="Times New Roman" w:hAnsi="Times New Roman"/>
                <w:b/>
                <w:sz w:val="24"/>
                <w:u w:val="single"/>
                <w:lang w:eastAsia="es-ES_tradnl"/>
              </w:rPr>
            </w:pPr>
          </w:p>
          <w:p w14:paraId="7F2371F6" w14:textId="46158ABA" w:rsidR="00E026FB" w:rsidRPr="00E07C9A" w:rsidRDefault="00E026FB" w:rsidP="0052490C">
            <w:pPr>
              <w:autoSpaceDE w:val="0"/>
              <w:autoSpaceDN w:val="0"/>
              <w:adjustRightInd w:val="0"/>
              <w:spacing w:before="0" w:after="0"/>
              <w:rPr>
                <w:rFonts w:ascii="Times New Roman" w:hAnsi="Times New Roman"/>
                <w:sz w:val="24"/>
              </w:rPr>
            </w:pPr>
            <w:r w:rsidRPr="00E07C9A">
              <w:rPr>
                <w:rFonts w:ascii="Times New Roman" w:hAnsi="Times New Roman"/>
                <w:sz w:val="24"/>
              </w:rPr>
              <w:t>Celková hodnota nesplatených resekuritizačných pozícií podľa vymedzenia</w:t>
            </w:r>
            <w:r w:rsidR="009912F8" w:rsidRPr="00E07C9A">
              <w:rPr>
                <w:rFonts w:ascii="Times New Roman" w:hAnsi="Times New Roman"/>
                <w:sz w:val="24"/>
              </w:rPr>
              <w:t xml:space="preserve"> v </w:t>
            </w:r>
            <w:r w:rsidRPr="00E07C9A">
              <w:rPr>
                <w:rFonts w:ascii="Times New Roman" w:hAnsi="Times New Roman"/>
                <w:sz w:val="24"/>
              </w:rPr>
              <w:t xml:space="preserve">článku 4 ods. 1 bode 64 nariadenia (EÚ) </w:t>
            </w:r>
            <w:r w:rsidR="009912F8" w:rsidRPr="00E07C9A">
              <w:rPr>
                <w:rFonts w:ascii="Times New Roman" w:hAnsi="Times New Roman"/>
                <w:sz w:val="24"/>
              </w:rPr>
              <w:t>č. 575/2013</w:t>
            </w:r>
            <w:r w:rsidRPr="00E07C9A">
              <w:rPr>
                <w:rFonts w:ascii="Times New Roman" w:hAnsi="Times New Roman"/>
                <w:sz w:val="24"/>
              </w:rPr>
              <w:t>.</w:t>
            </w:r>
          </w:p>
          <w:p w14:paraId="0DD7F0DE" w14:textId="77777777" w:rsidR="00E026FB" w:rsidRPr="00E07C9A"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E07C9A" w14:paraId="6542F713" w14:textId="77777777" w:rsidTr="00E10B85">
        <w:tc>
          <w:tcPr>
            <w:tcW w:w="1256" w:type="dxa"/>
          </w:tcPr>
          <w:p w14:paraId="28952232" w14:textId="77777777" w:rsidR="00E026FB" w:rsidRPr="00E07C9A" w:rsidRDefault="00E026FB" w:rsidP="00E10B85">
            <w:pPr>
              <w:autoSpaceDE w:val="0"/>
              <w:autoSpaceDN w:val="0"/>
              <w:adjustRightInd w:val="0"/>
              <w:spacing w:before="0" w:after="0"/>
              <w:rPr>
                <w:rFonts w:ascii="Times New Roman" w:hAnsi="Times New Roman"/>
                <w:bCs/>
                <w:sz w:val="24"/>
              </w:rPr>
            </w:pPr>
            <w:r w:rsidRPr="00E07C9A">
              <w:rPr>
                <w:rFonts w:ascii="Times New Roman" w:hAnsi="Times New Roman"/>
                <w:sz w:val="24"/>
              </w:rPr>
              <w:t>0080</w:t>
            </w:r>
          </w:p>
        </w:tc>
        <w:tc>
          <w:tcPr>
            <w:tcW w:w="7889" w:type="dxa"/>
          </w:tcPr>
          <w:p w14:paraId="7AED3E1D" w14:textId="77777777" w:rsidR="009912F8" w:rsidRPr="00E07C9A" w:rsidRDefault="00E026FB" w:rsidP="00E10B85">
            <w:pPr>
              <w:autoSpaceDE w:val="0"/>
              <w:autoSpaceDN w:val="0"/>
              <w:adjustRightInd w:val="0"/>
              <w:spacing w:before="0" w:after="0"/>
              <w:jc w:val="left"/>
              <w:rPr>
                <w:rFonts w:ascii="Times New Roman" w:hAnsi="Times New Roman"/>
                <w:b/>
                <w:sz w:val="24"/>
                <w:u w:val="single"/>
              </w:rPr>
            </w:pPr>
            <w:r w:rsidRPr="00E07C9A">
              <w:rPr>
                <w:rFonts w:ascii="Times New Roman" w:hAnsi="Times New Roman"/>
                <w:b/>
                <w:sz w:val="24"/>
                <w:u w:val="single"/>
              </w:rPr>
              <w:t>ORIGINÁTOR: CELKOVÉ EXPOZÍCIE</w:t>
            </w:r>
          </w:p>
          <w:p w14:paraId="484E8917" w14:textId="0EA21430" w:rsidR="00E026FB" w:rsidRPr="00E07C9A" w:rsidRDefault="00E026FB" w:rsidP="00E10B85">
            <w:pPr>
              <w:autoSpaceDE w:val="0"/>
              <w:autoSpaceDN w:val="0"/>
              <w:adjustRightInd w:val="0"/>
              <w:spacing w:before="0" w:after="0"/>
              <w:jc w:val="left"/>
              <w:rPr>
                <w:rFonts w:ascii="Times New Roman" w:hAnsi="Times New Roman"/>
                <w:sz w:val="24"/>
                <w:lang w:eastAsia="es-ES_tradnl"/>
              </w:rPr>
            </w:pPr>
          </w:p>
          <w:p w14:paraId="07EE21AF" w14:textId="67D5C091" w:rsidR="00E026FB" w:rsidRPr="00E07C9A" w:rsidRDefault="00E026FB"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V tomto riadku sa sumarizujú informácie</w:t>
            </w:r>
            <w:r w:rsidR="009912F8" w:rsidRPr="00E07C9A">
              <w:rPr>
                <w:rFonts w:ascii="Times New Roman" w:hAnsi="Times New Roman"/>
                <w:sz w:val="24"/>
              </w:rPr>
              <w:t xml:space="preserve"> o </w:t>
            </w:r>
            <w:r w:rsidRPr="00E07C9A">
              <w:rPr>
                <w:rFonts w:ascii="Times New Roman" w:hAnsi="Times New Roman"/>
                <w:sz w:val="24"/>
              </w:rPr>
              <w:t>súvahových položkách, podsúvahových položkách</w:t>
            </w:r>
            <w:r w:rsidR="009912F8" w:rsidRPr="00E07C9A">
              <w:rPr>
                <w:rFonts w:ascii="Times New Roman" w:hAnsi="Times New Roman"/>
                <w:sz w:val="24"/>
              </w:rPr>
              <w:t xml:space="preserve"> a </w:t>
            </w:r>
            <w:r w:rsidRPr="00E07C9A">
              <w:rPr>
                <w:rFonts w:ascii="Times New Roman" w:hAnsi="Times New Roman"/>
                <w:sz w:val="24"/>
              </w:rPr>
              <w:t>derivátoch uvedených sekuritizačných</w:t>
            </w:r>
            <w:r w:rsidR="009912F8" w:rsidRPr="00E07C9A">
              <w:rPr>
                <w:rFonts w:ascii="Times New Roman" w:hAnsi="Times New Roman"/>
                <w:sz w:val="24"/>
              </w:rPr>
              <w:t xml:space="preserve"> a </w:t>
            </w:r>
            <w:r w:rsidRPr="00E07C9A">
              <w:rPr>
                <w:rFonts w:ascii="Times New Roman" w:hAnsi="Times New Roman"/>
                <w:sz w:val="24"/>
              </w:rPr>
              <w:t>resekuritizačných pozícií,</w:t>
            </w:r>
            <w:r w:rsidR="009912F8" w:rsidRPr="00E07C9A">
              <w:rPr>
                <w:rFonts w:ascii="Times New Roman" w:hAnsi="Times New Roman"/>
                <w:sz w:val="24"/>
              </w:rPr>
              <w:t xml:space="preserve"> v </w:t>
            </w:r>
            <w:r w:rsidRPr="00E07C9A">
              <w:rPr>
                <w:rFonts w:ascii="Times New Roman" w:hAnsi="Times New Roman"/>
                <w:sz w:val="24"/>
              </w:rPr>
              <w:t>prípade ktorých zohráva inštitúcia úlohu originátora podľa vymedzenia</w:t>
            </w:r>
            <w:r w:rsidR="009912F8" w:rsidRPr="00E07C9A">
              <w:rPr>
                <w:rFonts w:ascii="Times New Roman" w:hAnsi="Times New Roman"/>
                <w:sz w:val="24"/>
              </w:rPr>
              <w:t xml:space="preserve"> v </w:t>
            </w:r>
            <w:r w:rsidRPr="00E07C9A">
              <w:rPr>
                <w:rFonts w:ascii="Times New Roman" w:hAnsi="Times New Roman"/>
                <w:sz w:val="24"/>
              </w:rPr>
              <w:t xml:space="preserve">článku 4 ods. 1 bode 13 nariadenia (EÚ) </w:t>
            </w:r>
            <w:r w:rsidR="009912F8" w:rsidRPr="00E07C9A">
              <w:rPr>
                <w:rFonts w:ascii="Times New Roman" w:hAnsi="Times New Roman"/>
                <w:sz w:val="24"/>
              </w:rPr>
              <w:t>č. 575/2013</w:t>
            </w:r>
            <w:r w:rsidRPr="00E07C9A">
              <w:rPr>
                <w:rFonts w:ascii="Times New Roman" w:hAnsi="Times New Roman"/>
                <w:sz w:val="24"/>
              </w:rPr>
              <w:t>.</w:t>
            </w:r>
          </w:p>
          <w:p w14:paraId="558EE062" w14:textId="77777777" w:rsidR="00E026FB" w:rsidRPr="00E07C9A" w:rsidRDefault="00E026FB" w:rsidP="00E10B85">
            <w:pPr>
              <w:autoSpaceDE w:val="0"/>
              <w:autoSpaceDN w:val="0"/>
              <w:adjustRightInd w:val="0"/>
              <w:spacing w:before="0" w:after="0"/>
              <w:rPr>
                <w:rFonts w:ascii="Times New Roman" w:hAnsi="Times New Roman"/>
                <w:b/>
                <w:sz w:val="24"/>
                <w:u w:val="single"/>
              </w:rPr>
            </w:pPr>
            <w:r w:rsidRPr="00E07C9A">
              <w:rPr>
                <w:rFonts w:ascii="Times New Roman" w:hAnsi="Times New Roman"/>
                <w:b/>
                <w:sz w:val="24"/>
                <w:u w:val="single"/>
              </w:rPr>
              <w:t xml:space="preserve"> </w:t>
            </w:r>
          </w:p>
        </w:tc>
      </w:tr>
      <w:tr w:rsidR="00E026FB" w:rsidRPr="00E07C9A" w14:paraId="7D1C22AD" w14:textId="77777777" w:rsidTr="00E10B85">
        <w:tc>
          <w:tcPr>
            <w:tcW w:w="1256" w:type="dxa"/>
          </w:tcPr>
          <w:p w14:paraId="550D8E2F" w14:textId="50BE8869" w:rsidR="00E026FB" w:rsidRPr="00E07C9A" w:rsidRDefault="00E026FB" w:rsidP="00E10B85">
            <w:pPr>
              <w:autoSpaceDE w:val="0"/>
              <w:autoSpaceDN w:val="0"/>
              <w:adjustRightInd w:val="0"/>
              <w:spacing w:before="0" w:after="0"/>
              <w:rPr>
                <w:rFonts w:ascii="Times New Roman" w:hAnsi="Times New Roman"/>
                <w:bCs/>
                <w:sz w:val="24"/>
              </w:rPr>
            </w:pPr>
            <w:r w:rsidRPr="00E07C9A">
              <w:rPr>
                <w:rFonts w:ascii="Times New Roman" w:hAnsi="Times New Roman"/>
                <w:sz w:val="24"/>
              </w:rPr>
              <w:t>0090 – 0136, 0210 – 0250</w:t>
            </w:r>
            <w:r w:rsidR="009912F8" w:rsidRPr="00E07C9A">
              <w:rPr>
                <w:rFonts w:ascii="Times New Roman" w:hAnsi="Times New Roman"/>
                <w:sz w:val="24"/>
              </w:rPr>
              <w:t xml:space="preserve"> a </w:t>
            </w:r>
            <w:r w:rsidRPr="00E07C9A">
              <w:rPr>
                <w:rFonts w:ascii="Times New Roman" w:hAnsi="Times New Roman"/>
                <w:sz w:val="24"/>
              </w:rPr>
              <w:t>0330 – 0370</w:t>
            </w:r>
          </w:p>
        </w:tc>
        <w:tc>
          <w:tcPr>
            <w:tcW w:w="7889" w:type="dxa"/>
          </w:tcPr>
          <w:p w14:paraId="71AB7DBB" w14:textId="77777777" w:rsidR="009912F8" w:rsidRPr="00E07C9A" w:rsidRDefault="00E026FB" w:rsidP="00E10B85">
            <w:pPr>
              <w:autoSpaceDE w:val="0"/>
              <w:autoSpaceDN w:val="0"/>
              <w:adjustRightInd w:val="0"/>
              <w:spacing w:before="0" w:after="0"/>
              <w:jc w:val="left"/>
              <w:rPr>
                <w:rFonts w:ascii="Times New Roman" w:hAnsi="Times New Roman"/>
                <w:b/>
                <w:sz w:val="24"/>
                <w:u w:val="single"/>
              </w:rPr>
            </w:pPr>
            <w:r w:rsidRPr="00E07C9A">
              <w:rPr>
                <w:rFonts w:ascii="Times New Roman" w:hAnsi="Times New Roman"/>
                <w:b/>
                <w:sz w:val="24"/>
                <w:u w:val="single"/>
              </w:rPr>
              <w:t>SEKURITIZAČNÉ POZÍCIE: SÚVAHOVÉ POLOŽKY</w:t>
            </w:r>
          </w:p>
          <w:p w14:paraId="234017B6" w14:textId="7A74E614" w:rsidR="00E026FB" w:rsidRPr="00E07C9A" w:rsidRDefault="00E026FB" w:rsidP="00E10B85">
            <w:pPr>
              <w:autoSpaceDE w:val="0"/>
              <w:autoSpaceDN w:val="0"/>
              <w:adjustRightInd w:val="0"/>
              <w:spacing w:before="0" w:after="0"/>
              <w:jc w:val="left"/>
              <w:rPr>
                <w:rFonts w:ascii="Times New Roman" w:hAnsi="Times New Roman"/>
                <w:sz w:val="24"/>
                <w:lang w:eastAsia="es-ES_tradnl"/>
              </w:rPr>
            </w:pPr>
          </w:p>
          <w:p w14:paraId="6CDA781B" w14:textId="6F3B9CEC" w:rsidR="00E026FB" w:rsidRPr="00E07C9A" w:rsidRDefault="00BB22D4"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V súlade</w:t>
            </w:r>
            <w:r w:rsidR="009912F8" w:rsidRPr="00E07C9A">
              <w:rPr>
                <w:rFonts w:ascii="Times New Roman" w:hAnsi="Times New Roman"/>
                <w:sz w:val="24"/>
              </w:rPr>
              <w:t xml:space="preserve"> s </w:t>
            </w:r>
            <w:r w:rsidRPr="00E07C9A">
              <w:rPr>
                <w:rFonts w:ascii="Times New Roman" w:hAnsi="Times New Roman"/>
                <w:sz w:val="24"/>
              </w:rPr>
              <w:t xml:space="preserve">článkom 248 ods. 1 písm. a) nariadenia (EÚ) </w:t>
            </w:r>
            <w:r w:rsidR="009912F8" w:rsidRPr="00E07C9A">
              <w:rPr>
                <w:rFonts w:ascii="Times New Roman" w:hAnsi="Times New Roman"/>
                <w:sz w:val="24"/>
              </w:rPr>
              <w:t>č. 575/2013</w:t>
            </w:r>
            <w:r w:rsidRPr="00E07C9A">
              <w:rPr>
                <w:rFonts w:ascii="Times New Roman" w:hAnsi="Times New Roman"/>
                <w:sz w:val="24"/>
              </w:rPr>
              <w:t xml:space="preserve"> je hodnotou expozície súvahovej sekuritizačnej pozície jej účtovná hodnota, ktorá zostane po tom, ako boli</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110 nariadenia (EÚ) </w:t>
            </w:r>
            <w:r w:rsidR="009912F8" w:rsidRPr="00E07C9A">
              <w:rPr>
                <w:rFonts w:ascii="Times New Roman" w:hAnsi="Times New Roman"/>
                <w:sz w:val="24"/>
              </w:rPr>
              <w:t>č. 575/2013</w:t>
            </w:r>
            <w:r w:rsidRPr="00E07C9A">
              <w:rPr>
                <w:rFonts w:ascii="Times New Roman" w:hAnsi="Times New Roman"/>
                <w:sz w:val="24"/>
              </w:rPr>
              <w:t xml:space="preserve"> na sekuritizačnú pozíciu uplatnené akékoľvek príslušné špecifické úpravy kreditného rizika.</w:t>
            </w:r>
          </w:p>
          <w:p w14:paraId="143E9F98" w14:textId="6433FD3F" w:rsidR="00E026FB" w:rsidRPr="00E07C9A" w:rsidRDefault="00E026FB"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Súvahové položky sa rozčlenia tak, aby</w:t>
            </w:r>
            <w:r w:rsidR="009912F8" w:rsidRPr="00E07C9A">
              <w:rPr>
                <w:rFonts w:ascii="Times New Roman" w:hAnsi="Times New Roman"/>
                <w:sz w:val="24"/>
              </w:rPr>
              <w:t xml:space="preserve"> v </w:t>
            </w:r>
            <w:r w:rsidRPr="00E07C9A">
              <w:rPr>
                <w:rFonts w:ascii="Times New Roman" w:hAnsi="Times New Roman"/>
                <w:sz w:val="24"/>
              </w:rPr>
              <w:t>riadkoch 0100</w:t>
            </w:r>
            <w:r w:rsidR="009912F8" w:rsidRPr="00E07C9A">
              <w:rPr>
                <w:rFonts w:ascii="Times New Roman" w:hAnsi="Times New Roman"/>
                <w:sz w:val="24"/>
              </w:rPr>
              <w:t xml:space="preserve"> a </w:t>
            </w:r>
            <w:r w:rsidRPr="00E07C9A">
              <w:rPr>
                <w:rFonts w:ascii="Times New Roman" w:hAnsi="Times New Roman"/>
                <w:sz w:val="24"/>
              </w:rPr>
              <w:t>0120 zachytávali informácie týkajúce sa zaobchádzania</w:t>
            </w:r>
            <w:r w:rsidR="009912F8" w:rsidRPr="00E07C9A">
              <w:rPr>
                <w:rFonts w:ascii="Times New Roman" w:hAnsi="Times New Roman"/>
                <w:sz w:val="24"/>
              </w:rPr>
              <w:t xml:space="preserve"> s </w:t>
            </w:r>
            <w:r w:rsidRPr="00E07C9A">
              <w:rPr>
                <w:rFonts w:ascii="Times New Roman" w:hAnsi="Times New Roman"/>
                <w:sz w:val="24"/>
              </w:rPr>
              <w:t>diferencovaným kapitálom, ako sa uvádza</w:t>
            </w:r>
            <w:r w:rsidR="009912F8" w:rsidRPr="00E07C9A">
              <w:rPr>
                <w:rFonts w:ascii="Times New Roman" w:hAnsi="Times New Roman"/>
                <w:sz w:val="24"/>
              </w:rPr>
              <w:t xml:space="preserve"> v </w:t>
            </w:r>
            <w:r w:rsidRPr="00E07C9A">
              <w:rPr>
                <w:rFonts w:ascii="Times New Roman" w:hAnsi="Times New Roman"/>
                <w:sz w:val="24"/>
              </w:rPr>
              <w:t xml:space="preserve">článku 243 nariadenia (EÚ) </w:t>
            </w:r>
            <w:r w:rsidR="009912F8" w:rsidRPr="00E07C9A">
              <w:rPr>
                <w:rFonts w:ascii="Times New Roman" w:hAnsi="Times New Roman"/>
                <w:sz w:val="24"/>
              </w:rPr>
              <w:t>č. 575/2013</w:t>
            </w:r>
            <w:r w:rsidRPr="00E07C9A">
              <w:rPr>
                <w:rFonts w:ascii="Times New Roman" w:hAnsi="Times New Roman"/>
                <w:sz w:val="24"/>
              </w:rPr>
              <w:t>,</w:t>
            </w:r>
            <w:r w:rsidR="009912F8" w:rsidRPr="00E07C9A">
              <w:rPr>
                <w:rFonts w:ascii="Times New Roman" w:hAnsi="Times New Roman"/>
                <w:sz w:val="24"/>
              </w:rPr>
              <w:t xml:space="preserve"> a </w:t>
            </w:r>
            <w:r w:rsidRPr="00E07C9A">
              <w:rPr>
                <w:rFonts w:ascii="Times New Roman" w:hAnsi="Times New Roman"/>
                <w:sz w:val="24"/>
              </w:rPr>
              <w:t>aby</w:t>
            </w:r>
            <w:r w:rsidR="009912F8" w:rsidRPr="00E07C9A">
              <w:rPr>
                <w:rFonts w:ascii="Times New Roman" w:hAnsi="Times New Roman"/>
                <w:sz w:val="24"/>
              </w:rPr>
              <w:t xml:space="preserve"> v </w:t>
            </w:r>
            <w:r w:rsidRPr="00E07C9A">
              <w:rPr>
                <w:rFonts w:ascii="Times New Roman" w:hAnsi="Times New Roman"/>
                <w:sz w:val="24"/>
              </w:rPr>
              <w:t>riadkoch 0110</w:t>
            </w:r>
            <w:r w:rsidR="009912F8" w:rsidRPr="00E07C9A">
              <w:rPr>
                <w:rFonts w:ascii="Times New Roman" w:hAnsi="Times New Roman"/>
                <w:sz w:val="24"/>
              </w:rPr>
              <w:t xml:space="preserve"> a </w:t>
            </w:r>
            <w:r w:rsidRPr="00E07C9A">
              <w:rPr>
                <w:rFonts w:ascii="Times New Roman" w:hAnsi="Times New Roman"/>
                <w:sz w:val="24"/>
              </w:rPr>
              <w:t>0130 zachytávali informácie</w:t>
            </w:r>
            <w:r w:rsidR="009912F8" w:rsidRPr="00E07C9A">
              <w:rPr>
                <w:rFonts w:ascii="Times New Roman" w:hAnsi="Times New Roman"/>
                <w:sz w:val="24"/>
              </w:rPr>
              <w:t xml:space="preserve"> o </w:t>
            </w:r>
            <w:r w:rsidRPr="00E07C9A">
              <w:rPr>
                <w:rFonts w:ascii="Times New Roman" w:hAnsi="Times New Roman"/>
                <w:sz w:val="24"/>
              </w:rPr>
              <w:t>celkovej hodnote nadriadených sekuritizačných pozícií, ako sú vymedzené</w:t>
            </w:r>
            <w:r w:rsidR="009912F8" w:rsidRPr="00E07C9A">
              <w:rPr>
                <w:rFonts w:ascii="Times New Roman" w:hAnsi="Times New Roman"/>
                <w:sz w:val="24"/>
              </w:rPr>
              <w:t xml:space="preserve"> v </w:t>
            </w:r>
            <w:r w:rsidRPr="00E07C9A">
              <w:rPr>
                <w:rFonts w:ascii="Times New Roman" w:hAnsi="Times New Roman"/>
                <w:sz w:val="24"/>
              </w:rPr>
              <w:t>článku 242 ods. 6 uvedeného nariadenia.</w:t>
            </w:r>
          </w:p>
          <w:p w14:paraId="417D4064" w14:textId="77777777" w:rsidR="00E026FB" w:rsidRPr="00E07C9A"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E07C9A" w14:paraId="4F15539C" w14:textId="77777777" w:rsidTr="00E10B85">
        <w:tc>
          <w:tcPr>
            <w:tcW w:w="1256" w:type="dxa"/>
          </w:tcPr>
          <w:p w14:paraId="3B6B4BB2" w14:textId="210B1CA0" w:rsidR="00E026FB" w:rsidRPr="00E07C9A" w:rsidRDefault="00E026FB" w:rsidP="00E10B85">
            <w:pPr>
              <w:autoSpaceDE w:val="0"/>
              <w:autoSpaceDN w:val="0"/>
              <w:adjustRightInd w:val="0"/>
              <w:spacing w:before="0" w:after="0"/>
              <w:rPr>
                <w:rFonts w:ascii="Times New Roman" w:hAnsi="Times New Roman"/>
                <w:bCs/>
                <w:sz w:val="24"/>
              </w:rPr>
            </w:pPr>
            <w:r w:rsidRPr="00E07C9A">
              <w:rPr>
                <w:rFonts w:ascii="Times New Roman" w:hAnsi="Times New Roman"/>
                <w:sz w:val="24"/>
              </w:rPr>
              <w:t>0100, 0220</w:t>
            </w:r>
            <w:r w:rsidR="009912F8" w:rsidRPr="00E07C9A">
              <w:rPr>
                <w:rFonts w:ascii="Times New Roman" w:hAnsi="Times New Roman"/>
                <w:sz w:val="24"/>
              </w:rPr>
              <w:t xml:space="preserve"> a </w:t>
            </w:r>
            <w:r w:rsidRPr="00E07C9A">
              <w:rPr>
                <w:rFonts w:ascii="Times New Roman" w:hAnsi="Times New Roman"/>
                <w:sz w:val="24"/>
              </w:rPr>
              <w:t>0340</w:t>
            </w:r>
          </w:p>
        </w:tc>
        <w:tc>
          <w:tcPr>
            <w:tcW w:w="7889" w:type="dxa"/>
          </w:tcPr>
          <w:p w14:paraId="1E43C774" w14:textId="0C36DD98" w:rsidR="00E026FB" w:rsidRPr="00E07C9A" w:rsidRDefault="00E026FB" w:rsidP="00E10B85">
            <w:pPr>
              <w:autoSpaceDE w:val="0"/>
              <w:autoSpaceDN w:val="0"/>
              <w:adjustRightInd w:val="0"/>
              <w:spacing w:before="0" w:after="0"/>
              <w:jc w:val="left"/>
              <w:rPr>
                <w:rFonts w:ascii="Times New Roman" w:hAnsi="Times New Roman"/>
                <w:b/>
                <w:sz w:val="24"/>
                <w:u w:val="single"/>
              </w:rPr>
            </w:pPr>
            <w:r w:rsidRPr="00E07C9A">
              <w:rPr>
                <w:rFonts w:ascii="Times New Roman" w:hAnsi="Times New Roman"/>
                <w:b/>
                <w:sz w:val="24"/>
                <w:u w:val="single"/>
              </w:rPr>
              <w:t>SPĹŇAJÚCE PODMIENKY PRE ZAOBCHÁDZANIE</w:t>
            </w:r>
            <w:r w:rsidR="009912F8" w:rsidRPr="00E07C9A">
              <w:rPr>
                <w:rFonts w:ascii="Times New Roman" w:hAnsi="Times New Roman"/>
                <w:b/>
                <w:sz w:val="24"/>
                <w:u w:val="single"/>
              </w:rPr>
              <w:t xml:space="preserve"> S </w:t>
            </w:r>
            <w:r w:rsidRPr="00E07C9A">
              <w:rPr>
                <w:rFonts w:ascii="Times New Roman" w:hAnsi="Times New Roman"/>
                <w:b/>
                <w:sz w:val="24"/>
                <w:u w:val="single"/>
              </w:rPr>
              <w:t>DIFERENCOVANÝM KAPITÁLOM</w:t>
            </w:r>
          </w:p>
          <w:p w14:paraId="2947742D" w14:textId="77777777" w:rsidR="00E026FB" w:rsidRPr="00E07C9A"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5409D51" w14:textId="1747A529" w:rsidR="00E026FB" w:rsidRPr="00E07C9A" w:rsidRDefault="00E026FB" w:rsidP="00E10B85">
            <w:pPr>
              <w:autoSpaceDE w:val="0"/>
              <w:autoSpaceDN w:val="0"/>
              <w:adjustRightInd w:val="0"/>
              <w:spacing w:before="0" w:after="0"/>
              <w:jc w:val="left"/>
              <w:rPr>
                <w:rFonts w:ascii="Times New Roman" w:hAnsi="Times New Roman"/>
                <w:sz w:val="24"/>
              </w:rPr>
            </w:pPr>
            <w:r w:rsidRPr="00E07C9A">
              <w:rPr>
                <w:rFonts w:ascii="Times New Roman" w:hAnsi="Times New Roman"/>
                <w:sz w:val="24"/>
              </w:rPr>
              <w:t xml:space="preserve">Celková hodnota sekuritizačných pozícií, ktoré spĺňajú kritériá článku 243 nariadenia (EÚ) </w:t>
            </w:r>
            <w:r w:rsidR="009912F8" w:rsidRPr="00E07C9A">
              <w:rPr>
                <w:rFonts w:ascii="Times New Roman" w:hAnsi="Times New Roman"/>
                <w:sz w:val="24"/>
              </w:rPr>
              <w:t>č. 575/2013</w:t>
            </w:r>
            <w:r w:rsidRPr="00E07C9A">
              <w:rPr>
                <w:rFonts w:ascii="Times New Roman" w:hAnsi="Times New Roman"/>
                <w:sz w:val="24"/>
              </w:rPr>
              <w:t>,</w:t>
            </w:r>
            <w:r w:rsidR="009912F8" w:rsidRPr="00E07C9A">
              <w:rPr>
                <w:rFonts w:ascii="Times New Roman" w:hAnsi="Times New Roman"/>
                <w:sz w:val="24"/>
              </w:rPr>
              <w:t xml:space="preserve"> a </w:t>
            </w:r>
            <w:r w:rsidRPr="00E07C9A">
              <w:rPr>
                <w:rFonts w:ascii="Times New Roman" w:hAnsi="Times New Roman"/>
                <w:sz w:val="24"/>
              </w:rPr>
              <w:t>ktoré teda spĺňajú podmienky pre zaobchádzanie</w:t>
            </w:r>
            <w:r w:rsidR="009912F8" w:rsidRPr="00E07C9A">
              <w:rPr>
                <w:rFonts w:ascii="Times New Roman" w:hAnsi="Times New Roman"/>
                <w:sz w:val="24"/>
              </w:rPr>
              <w:t xml:space="preserve"> s </w:t>
            </w:r>
            <w:r w:rsidRPr="00E07C9A">
              <w:rPr>
                <w:rFonts w:ascii="Times New Roman" w:hAnsi="Times New Roman"/>
                <w:sz w:val="24"/>
              </w:rPr>
              <w:t>diferencovaným kapitálom.</w:t>
            </w:r>
          </w:p>
          <w:p w14:paraId="0AE00465" w14:textId="77777777" w:rsidR="00E026FB" w:rsidRPr="00E07C9A"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E07C9A" w14:paraId="2AF65269" w14:textId="77777777" w:rsidTr="00E10B85">
        <w:tc>
          <w:tcPr>
            <w:tcW w:w="1256" w:type="dxa"/>
          </w:tcPr>
          <w:p w14:paraId="00355501" w14:textId="103857CC" w:rsidR="00E026FB" w:rsidRPr="00E07C9A" w:rsidRDefault="00E026FB" w:rsidP="00E10B85">
            <w:pPr>
              <w:autoSpaceDE w:val="0"/>
              <w:autoSpaceDN w:val="0"/>
              <w:adjustRightInd w:val="0"/>
              <w:spacing w:before="0" w:after="0"/>
              <w:rPr>
                <w:rFonts w:ascii="Times New Roman" w:hAnsi="Times New Roman"/>
                <w:bCs/>
                <w:sz w:val="24"/>
              </w:rPr>
            </w:pPr>
            <w:r w:rsidRPr="00E07C9A">
              <w:rPr>
                <w:rFonts w:ascii="Times New Roman" w:hAnsi="Times New Roman"/>
                <w:sz w:val="24"/>
              </w:rPr>
              <w:t>0110, 0131, 0134, 0160, 0180, 0230, 0251, 0254, 0280, 0300, 0350, 0371, 0374, 0400</w:t>
            </w:r>
            <w:r w:rsidR="009912F8" w:rsidRPr="00E07C9A">
              <w:rPr>
                <w:rFonts w:ascii="Times New Roman" w:hAnsi="Times New Roman"/>
                <w:sz w:val="24"/>
              </w:rPr>
              <w:t xml:space="preserve"> a </w:t>
            </w:r>
            <w:r w:rsidRPr="00E07C9A">
              <w:rPr>
                <w:rFonts w:ascii="Times New Roman" w:hAnsi="Times New Roman"/>
                <w:sz w:val="24"/>
              </w:rPr>
              <w:t>0420</w:t>
            </w:r>
          </w:p>
        </w:tc>
        <w:tc>
          <w:tcPr>
            <w:tcW w:w="7889" w:type="dxa"/>
          </w:tcPr>
          <w:p w14:paraId="190AA5DD" w14:textId="77777777" w:rsidR="00E026FB" w:rsidRPr="00E07C9A" w:rsidRDefault="00E026FB" w:rsidP="00E10B85">
            <w:pPr>
              <w:autoSpaceDE w:val="0"/>
              <w:autoSpaceDN w:val="0"/>
              <w:adjustRightInd w:val="0"/>
              <w:spacing w:before="0" w:after="0"/>
              <w:jc w:val="left"/>
              <w:rPr>
                <w:rFonts w:ascii="Times New Roman" w:hAnsi="Times New Roman"/>
                <w:b/>
                <w:sz w:val="24"/>
                <w:u w:val="single"/>
              </w:rPr>
            </w:pPr>
            <w:r w:rsidRPr="00E07C9A">
              <w:rPr>
                <w:rFonts w:ascii="Times New Roman" w:hAnsi="Times New Roman"/>
                <w:b/>
                <w:sz w:val="24"/>
                <w:u w:val="single"/>
              </w:rPr>
              <w:t>Z ČOHO: NADRIADENÉ EXPOZÍCIE</w:t>
            </w:r>
          </w:p>
          <w:p w14:paraId="4889BFFD" w14:textId="77777777" w:rsidR="00E026FB" w:rsidRPr="00E07C9A" w:rsidRDefault="00E026FB" w:rsidP="00E10B85">
            <w:pPr>
              <w:autoSpaceDE w:val="0"/>
              <w:autoSpaceDN w:val="0"/>
              <w:adjustRightInd w:val="0"/>
              <w:spacing w:before="0" w:after="0"/>
              <w:jc w:val="left"/>
              <w:rPr>
                <w:rFonts w:ascii="Times New Roman" w:hAnsi="Times New Roman"/>
                <w:b/>
                <w:sz w:val="24"/>
                <w:u w:val="single"/>
                <w:lang w:eastAsia="es-ES_tradnl"/>
              </w:rPr>
            </w:pPr>
          </w:p>
          <w:p w14:paraId="679737AA" w14:textId="07484E54" w:rsidR="00E026FB" w:rsidRPr="00E07C9A" w:rsidRDefault="00E026FB" w:rsidP="00E10B85">
            <w:pPr>
              <w:autoSpaceDE w:val="0"/>
              <w:autoSpaceDN w:val="0"/>
              <w:adjustRightInd w:val="0"/>
              <w:spacing w:before="0" w:after="0"/>
              <w:jc w:val="left"/>
              <w:rPr>
                <w:rFonts w:ascii="Times New Roman" w:hAnsi="Times New Roman"/>
                <w:sz w:val="24"/>
              </w:rPr>
            </w:pPr>
            <w:r w:rsidRPr="00E07C9A">
              <w:rPr>
                <w:rFonts w:ascii="Times New Roman" w:hAnsi="Times New Roman"/>
                <w:sz w:val="24"/>
              </w:rPr>
              <w:t>Celková hodnota nadriadených sekuritizačných pozícií podľa vymedzenia</w:t>
            </w:r>
            <w:r w:rsidR="009912F8" w:rsidRPr="00E07C9A">
              <w:rPr>
                <w:rFonts w:ascii="Times New Roman" w:hAnsi="Times New Roman"/>
                <w:sz w:val="24"/>
              </w:rPr>
              <w:t xml:space="preserve"> v </w:t>
            </w:r>
            <w:r w:rsidRPr="00E07C9A">
              <w:rPr>
                <w:rFonts w:ascii="Times New Roman" w:hAnsi="Times New Roman"/>
                <w:sz w:val="24"/>
              </w:rPr>
              <w:t xml:space="preserve">článku 242 ods. 6 nariadenia (EÚ) </w:t>
            </w:r>
            <w:r w:rsidR="009912F8" w:rsidRPr="00E07C9A">
              <w:rPr>
                <w:rFonts w:ascii="Times New Roman" w:hAnsi="Times New Roman"/>
                <w:sz w:val="24"/>
              </w:rPr>
              <w:t>č. 575/2013</w:t>
            </w:r>
            <w:r w:rsidRPr="00E07C9A">
              <w:rPr>
                <w:rFonts w:ascii="Times New Roman" w:hAnsi="Times New Roman"/>
                <w:sz w:val="24"/>
              </w:rPr>
              <w:t>.</w:t>
            </w:r>
          </w:p>
          <w:p w14:paraId="2F3F503F" w14:textId="77777777" w:rsidR="00E026FB" w:rsidRPr="00E07C9A"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7421F4" w:rsidRPr="00E07C9A" w14:paraId="7A0F8EFC" w14:textId="77777777" w:rsidTr="00E10B85">
        <w:tc>
          <w:tcPr>
            <w:tcW w:w="1256" w:type="dxa"/>
          </w:tcPr>
          <w:p w14:paraId="560F102D" w14:textId="22D5D493" w:rsidR="007421F4" w:rsidRPr="00E07C9A" w:rsidRDefault="007421F4" w:rsidP="00E10B85">
            <w:pPr>
              <w:autoSpaceDE w:val="0"/>
              <w:autoSpaceDN w:val="0"/>
              <w:adjustRightInd w:val="0"/>
              <w:spacing w:before="0" w:after="0"/>
              <w:rPr>
                <w:rFonts w:ascii="Times New Roman" w:hAnsi="Times New Roman"/>
                <w:bCs/>
                <w:sz w:val="24"/>
              </w:rPr>
            </w:pPr>
            <w:r w:rsidRPr="00E07C9A">
              <w:rPr>
                <w:rFonts w:ascii="Times New Roman" w:hAnsi="Times New Roman"/>
                <w:sz w:val="24"/>
              </w:rPr>
              <w:t>0121, 0241</w:t>
            </w:r>
            <w:r w:rsidR="009912F8" w:rsidRPr="00E07C9A">
              <w:rPr>
                <w:rFonts w:ascii="Times New Roman" w:hAnsi="Times New Roman"/>
                <w:sz w:val="24"/>
              </w:rPr>
              <w:t xml:space="preserve"> a </w:t>
            </w:r>
            <w:r w:rsidRPr="00E07C9A">
              <w:rPr>
                <w:rFonts w:ascii="Times New Roman" w:hAnsi="Times New Roman"/>
                <w:sz w:val="24"/>
              </w:rPr>
              <w:t>0361</w:t>
            </w:r>
          </w:p>
        </w:tc>
        <w:tc>
          <w:tcPr>
            <w:tcW w:w="7889" w:type="dxa"/>
          </w:tcPr>
          <w:p w14:paraId="1639AA56" w14:textId="194C04A9" w:rsidR="007421F4" w:rsidRPr="00E07C9A" w:rsidRDefault="00086A31" w:rsidP="007421F4">
            <w:pPr>
              <w:spacing w:before="0" w:after="0"/>
              <w:rPr>
                <w:rFonts w:ascii="Times New Roman" w:hAnsi="Times New Roman"/>
                <w:b/>
                <w:sz w:val="24"/>
                <w:u w:val="single"/>
              </w:rPr>
            </w:pPr>
            <w:r w:rsidRPr="00E07C9A">
              <w:rPr>
                <w:rFonts w:ascii="Times New Roman" w:hAnsi="Times New Roman"/>
                <w:b/>
                <w:sz w:val="24"/>
                <w:u w:val="single"/>
              </w:rPr>
              <w:t>EXPOZÍCIE</w:t>
            </w:r>
            <w:r w:rsidR="009912F8" w:rsidRPr="00E07C9A">
              <w:rPr>
                <w:rFonts w:ascii="Times New Roman" w:hAnsi="Times New Roman"/>
                <w:b/>
                <w:sz w:val="24"/>
                <w:u w:val="single"/>
              </w:rPr>
              <w:t xml:space="preserve"> V </w:t>
            </w:r>
            <w:r w:rsidRPr="00E07C9A">
              <w:rPr>
                <w:rFonts w:ascii="Times New Roman" w:hAnsi="Times New Roman"/>
                <w:b/>
                <w:sz w:val="24"/>
                <w:u w:val="single"/>
              </w:rPr>
              <w:t>SEKURITIZÁCIÁCH INÝCH AKO PROBLÉMOVÝCH EXPOZÍCIÍ</w:t>
            </w:r>
          </w:p>
          <w:p w14:paraId="3D4866FE" w14:textId="77777777" w:rsidR="007421F4" w:rsidRPr="00E07C9A" w:rsidRDefault="007421F4" w:rsidP="007421F4">
            <w:pPr>
              <w:autoSpaceDE w:val="0"/>
              <w:autoSpaceDN w:val="0"/>
              <w:adjustRightInd w:val="0"/>
              <w:spacing w:before="0" w:after="0"/>
              <w:jc w:val="left"/>
              <w:rPr>
                <w:rFonts w:ascii="Times New Roman" w:hAnsi="Times New Roman"/>
                <w:sz w:val="24"/>
              </w:rPr>
            </w:pPr>
          </w:p>
          <w:p w14:paraId="69BDC2C3" w14:textId="01B8AC40" w:rsidR="007421F4" w:rsidRPr="00E07C9A" w:rsidRDefault="00F530D8" w:rsidP="007421F4">
            <w:pPr>
              <w:autoSpaceDE w:val="0"/>
              <w:autoSpaceDN w:val="0"/>
              <w:adjustRightInd w:val="0"/>
              <w:spacing w:before="0" w:after="0"/>
              <w:jc w:val="left"/>
              <w:rPr>
                <w:rFonts w:ascii="Times New Roman" w:hAnsi="Times New Roman"/>
                <w:b/>
                <w:sz w:val="24"/>
                <w:u w:val="single"/>
              </w:rPr>
            </w:pPr>
            <w:r w:rsidRPr="00E07C9A">
              <w:rPr>
                <w:rFonts w:ascii="Times New Roman" w:hAnsi="Times New Roman"/>
                <w:sz w:val="24"/>
              </w:rPr>
              <w:t>Celková hodnota expozícií, ktoré nespĺňajú požiadavky stanovené</w:t>
            </w:r>
            <w:r w:rsidR="009912F8" w:rsidRPr="00E07C9A">
              <w:rPr>
                <w:rFonts w:ascii="Times New Roman" w:hAnsi="Times New Roman"/>
                <w:sz w:val="24"/>
              </w:rPr>
              <w:t xml:space="preserve"> v </w:t>
            </w:r>
            <w:r w:rsidRPr="00E07C9A">
              <w:rPr>
                <w:rFonts w:ascii="Times New Roman" w:hAnsi="Times New Roman"/>
                <w:sz w:val="24"/>
              </w:rPr>
              <w:t xml:space="preserve">článku 269a ods. 1 písm. a) nariadenia (EÚ) </w:t>
            </w:r>
            <w:r w:rsidR="009912F8" w:rsidRPr="00E07C9A">
              <w:rPr>
                <w:rFonts w:ascii="Times New Roman" w:hAnsi="Times New Roman"/>
                <w:sz w:val="24"/>
              </w:rPr>
              <w:t>č. 575/2013</w:t>
            </w:r>
            <w:r w:rsidRPr="00E07C9A">
              <w:rPr>
                <w:rFonts w:ascii="Times New Roman" w:hAnsi="Times New Roman"/>
                <w:sz w:val="24"/>
              </w:rPr>
              <w:t>.</w:t>
            </w:r>
          </w:p>
          <w:p w14:paraId="1AEC65F1" w14:textId="09C51B87" w:rsidR="00F530D8" w:rsidRPr="00E07C9A" w:rsidRDefault="00F530D8" w:rsidP="007421F4">
            <w:pPr>
              <w:autoSpaceDE w:val="0"/>
              <w:autoSpaceDN w:val="0"/>
              <w:adjustRightInd w:val="0"/>
              <w:spacing w:before="0" w:after="0"/>
              <w:jc w:val="left"/>
              <w:rPr>
                <w:rFonts w:ascii="Times New Roman" w:hAnsi="Times New Roman"/>
                <w:b/>
                <w:sz w:val="24"/>
                <w:u w:val="single"/>
                <w:lang w:eastAsia="es-ES_tradnl"/>
              </w:rPr>
            </w:pPr>
          </w:p>
        </w:tc>
      </w:tr>
      <w:tr w:rsidR="007421F4" w:rsidRPr="00E07C9A" w14:paraId="1D3255CE" w14:textId="77777777" w:rsidTr="00E10B85">
        <w:tc>
          <w:tcPr>
            <w:tcW w:w="1256" w:type="dxa"/>
          </w:tcPr>
          <w:p w14:paraId="4EE70CEC" w14:textId="01A4715B" w:rsidR="007421F4" w:rsidRPr="00E07C9A" w:rsidRDefault="007421F4" w:rsidP="00E10B85">
            <w:pPr>
              <w:autoSpaceDE w:val="0"/>
              <w:autoSpaceDN w:val="0"/>
              <w:adjustRightInd w:val="0"/>
              <w:spacing w:before="0" w:after="0"/>
              <w:rPr>
                <w:rFonts w:ascii="Times New Roman" w:hAnsi="Times New Roman"/>
                <w:bCs/>
                <w:sz w:val="24"/>
              </w:rPr>
            </w:pPr>
            <w:r w:rsidRPr="00E07C9A">
              <w:rPr>
                <w:rFonts w:ascii="Times New Roman" w:hAnsi="Times New Roman"/>
                <w:sz w:val="24"/>
              </w:rPr>
              <w:t>0133, 0253</w:t>
            </w:r>
            <w:r w:rsidR="009912F8" w:rsidRPr="00E07C9A">
              <w:rPr>
                <w:rFonts w:ascii="Times New Roman" w:hAnsi="Times New Roman"/>
                <w:sz w:val="24"/>
              </w:rPr>
              <w:t xml:space="preserve"> a </w:t>
            </w:r>
            <w:r w:rsidRPr="00E07C9A">
              <w:rPr>
                <w:rFonts w:ascii="Times New Roman" w:hAnsi="Times New Roman"/>
                <w:sz w:val="24"/>
              </w:rPr>
              <w:t>0373</w:t>
            </w:r>
          </w:p>
        </w:tc>
        <w:tc>
          <w:tcPr>
            <w:tcW w:w="7889" w:type="dxa"/>
          </w:tcPr>
          <w:p w14:paraId="06075A51" w14:textId="13FB94E5" w:rsidR="005C7542" w:rsidRPr="00E07C9A" w:rsidRDefault="00086A31" w:rsidP="007421F4">
            <w:pPr>
              <w:spacing w:before="0" w:after="0"/>
              <w:rPr>
                <w:rFonts w:ascii="Times New Roman" w:hAnsi="Times New Roman"/>
                <w:b/>
                <w:sz w:val="24"/>
                <w:u w:val="single"/>
              </w:rPr>
            </w:pPr>
            <w:r w:rsidRPr="00E07C9A">
              <w:rPr>
                <w:rFonts w:ascii="Times New Roman" w:hAnsi="Times New Roman"/>
                <w:b/>
                <w:sz w:val="24"/>
                <w:u w:val="single"/>
              </w:rPr>
              <w:t>EXPOZÍCIE</w:t>
            </w:r>
            <w:r w:rsidR="009912F8" w:rsidRPr="00E07C9A">
              <w:rPr>
                <w:rFonts w:ascii="Times New Roman" w:hAnsi="Times New Roman"/>
                <w:b/>
                <w:sz w:val="24"/>
                <w:u w:val="single"/>
              </w:rPr>
              <w:t xml:space="preserve"> V </w:t>
            </w:r>
            <w:r w:rsidRPr="00E07C9A">
              <w:rPr>
                <w:rFonts w:ascii="Times New Roman" w:hAnsi="Times New Roman"/>
                <w:b/>
                <w:sz w:val="24"/>
                <w:u w:val="single"/>
              </w:rPr>
              <w:t>SEKURITIZÁCIÁCH PROBLÉMOVÝCH EXPOZÍCIÍ</w:t>
            </w:r>
          </w:p>
          <w:p w14:paraId="732DCC35" w14:textId="77777777" w:rsidR="005C7542" w:rsidRPr="00E07C9A" w:rsidRDefault="005C7542" w:rsidP="007421F4">
            <w:pPr>
              <w:spacing w:before="0" w:after="0"/>
              <w:rPr>
                <w:rFonts w:ascii="Times New Roman" w:hAnsi="Times New Roman"/>
                <w:b/>
                <w:sz w:val="24"/>
                <w:u w:val="single"/>
                <w:lang w:eastAsia="es-ES_tradnl"/>
              </w:rPr>
            </w:pPr>
          </w:p>
          <w:p w14:paraId="4FEDC7B3" w14:textId="4330822A" w:rsidR="00086A31" w:rsidRPr="00E07C9A" w:rsidRDefault="000A6BBC" w:rsidP="007421F4">
            <w:pPr>
              <w:spacing w:before="0" w:after="0"/>
              <w:rPr>
                <w:rFonts w:ascii="Times New Roman" w:hAnsi="Times New Roman"/>
                <w:sz w:val="24"/>
              </w:rPr>
            </w:pPr>
            <w:r w:rsidRPr="00E07C9A">
              <w:rPr>
                <w:rFonts w:ascii="Times New Roman" w:hAnsi="Times New Roman"/>
                <w:sz w:val="24"/>
              </w:rPr>
              <w:t>Celková hodnota expozícií, ktoré spĺňajú požiadavky stanovené</w:t>
            </w:r>
            <w:r w:rsidR="009912F8" w:rsidRPr="00E07C9A">
              <w:rPr>
                <w:rFonts w:ascii="Times New Roman" w:hAnsi="Times New Roman"/>
                <w:sz w:val="24"/>
              </w:rPr>
              <w:t xml:space="preserve"> v </w:t>
            </w:r>
            <w:r w:rsidRPr="00E07C9A">
              <w:rPr>
                <w:rFonts w:ascii="Times New Roman" w:hAnsi="Times New Roman"/>
                <w:sz w:val="24"/>
              </w:rPr>
              <w:t xml:space="preserve">článku 269a ods. 1 písm. a) nariadenia (EÚ) </w:t>
            </w:r>
            <w:r w:rsidR="009912F8" w:rsidRPr="00E07C9A">
              <w:rPr>
                <w:rFonts w:ascii="Times New Roman" w:hAnsi="Times New Roman"/>
                <w:sz w:val="24"/>
              </w:rPr>
              <w:t>č. 575/2013</w:t>
            </w:r>
            <w:r w:rsidRPr="00E07C9A">
              <w:rPr>
                <w:rFonts w:ascii="Times New Roman" w:hAnsi="Times New Roman"/>
                <w:sz w:val="24"/>
              </w:rPr>
              <w:t>.</w:t>
            </w:r>
          </w:p>
          <w:p w14:paraId="10E786FD" w14:textId="728E15F8" w:rsidR="00F530D8" w:rsidRPr="00E07C9A" w:rsidRDefault="00F530D8" w:rsidP="007421F4">
            <w:pPr>
              <w:spacing w:before="0" w:after="0"/>
              <w:rPr>
                <w:rFonts w:ascii="Times New Roman" w:hAnsi="Times New Roman"/>
                <w:b/>
                <w:sz w:val="24"/>
                <w:u w:val="single"/>
                <w:lang w:eastAsia="es-ES_tradnl"/>
              </w:rPr>
            </w:pPr>
          </w:p>
        </w:tc>
      </w:tr>
      <w:tr w:rsidR="00086A31" w:rsidRPr="00E07C9A" w14:paraId="523AA8E4" w14:textId="77777777" w:rsidTr="00E10B85">
        <w:tc>
          <w:tcPr>
            <w:tcW w:w="1256" w:type="dxa"/>
          </w:tcPr>
          <w:p w14:paraId="647E2E47" w14:textId="5AB31953" w:rsidR="00086A31" w:rsidRPr="00E07C9A" w:rsidRDefault="00086A31" w:rsidP="00E10B85">
            <w:pPr>
              <w:autoSpaceDE w:val="0"/>
              <w:autoSpaceDN w:val="0"/>
              <w:adjustRightInd w:val="0"/>
              <w:spacing w:before="0" w:after="0"/>
              <w:rPr>
                <w:rFonts w:ascii="Times New Roman" w:hAnsi="Times New Roman"/>
                <w:bCs/>
                <w:sz w:val="24"/>
              </w:rPr>
            </w:pPr>
            <w:r w:rsidRPr="00E07C9A">
              <w:rPr>
                <w:rFonts w:ascii="Times New Roman" w:hAnsi="Times New Roman"/>
                <w:sz w:val="24"/>
              </w:rPr>
              <w:t>0134, 0254</w:t>
            </w:r>
            <w:r w:rsidR="009912F8" w:rsidRPr="00E07C9A">
              <w:rPr>
                <w:rFonts w:ascii="Times New Roman" w:hAnsi="Times New Roman"/>
                <w:sz w:val="24"/>
              </w:rPr>
              <w:t xml:space="preserve"> a </w:t>
            </w:r>
            <w:r w:rsidRPr="00E07C9A">
              <w:rPr>
                <w:rFonts w:ascii="Times New Roman" w:hAnsi="Times New Roman"/>
                <w:sz w:val="24"/>
              </w:rPr>
              <w:t xml:space="preserve">0374 </w:t>
            </w:r>
          </w:p>
        </w:tc>
        <w:tc>
          <w:tcPr>
            <w:tcW w:w="7889" w:type="dxa"/>
          </w:tcPr>
          <w:p w14:paraId="214FD62A" w14:textId="4F72D039" w:rsidR="00086A31" w:rsidRPr="00E07C9A" w:rsidRDefault="006D2499" w:rsidP="007421F4">
            <w:pPr>
              <w:spacing w:before="0" w:after="0"/>
              <w:rPr>
                <w:rFonts w:ascii="Times New Roman" w:hAnsi="Times New Roman"/>
                <w:b/>
                <w:sz w:val="24"/>
                <w:u w:val="single"/>
              </w:rPr>
            </w:pPr>
            <w:r w:rsidRPr="00E07C9A">
              <w:rPr>
                <w:rFonts w:ascii="Times New Roman" w:hAnsi="Times New Roman"/>
                <w:b/>
                <w:sz w:val="24"/>
                <w:u w:val="single"/>
              </w:rPr>
              <w:t>Z ČOHO: NADRIADENÉ EXPOZÍCIE</w:t>
            </w:r>
            <w:r w:rsidR="009912F8" w:rsidRPr="00E07C9A">
              <w:rPr>
                <w:rFonts w:ascii="Times New Roman" w:hAnsi="Times New Roman"/>
                <w:b/>
                <w:sz w:val="24"/>
                <w:u w:val="single"/>
              </w:rPr>
              <w:t xml:space="preserve"> V </w:t>
            </w:r>
            <w:r w:rsidRPr="00E07C9A">
              <w:rPr>
                <w:rFonts w:ascii="Times New Roman" w:hAnsi="Times New Roman"/>
                <w:b/>
                <w:sz w:val="24"/>
                <w:u w:val="single"/>
              </w:rPr>
              <w:t>KVALIFIKOVANÝCH TRADIČNÝCH SEKURITIZÁCIÁCH PROBLÉMOVÝCH EXPOZÍCIÍ</w:t>
            </w:r>
          </w:p>
          <w:p w14:paraId="0FB01293" w14:textId="77777777" w:rsidR="006D2499" w:rsidRPr="00E07C9A" w:rsidRDefault="006D2499" w:rsidP="007421F4">
            <w:pPr>
              <w:spacing w:before="0" w:after="0"/>
              <w:rPr>
                <w:rFonts w:ascii="Times New Roman" w:hAnsi="Times New Roman"/>
                <w:b/>
                <w:sz w:val="24"/>
                <w:u w:val="single"/>
                <w:lang w:eastAsia="es-ES_tradnl"/>
              </w:rPr>
            </w:pPr>
          </w:p>
          <w:p w14:paraId="160B5798" w14:textId="553A4EC8" w:rsidR="006D2499" w:rsidRPr="00E07C9A" w:rsidRDefault="000A6BBC" w:rsidP="006D2499">
            <w:pPr>
              <w:spacing w:before="0" w:after="0"/>
              <w:rPr>
                <w:rFonts w:ascii="Times New Roman" w:hAnsi="Times New Roman"/>
                <w:sz w:val="24"/>
              </w:rPr>
            </w:pPr>
            <w:r w:rsidRPr="00E07C9A">
              <w:rPr>
                <w:rFonts w:ascii="Times New Roman" w:hAnsi="Times New Roman"/>
                <w:sz w:val="24"/>
              </w:rPr>
              <w:t>Celková hodnota expozícií, ktoré spĺňajú požiadavky stanovené</w:t>
            </w:r>
            <w:r w:rsidR="009912F8" w:rsidRPr="00E07C9A">
              <w:rPr>
                <w:rFonts w:ascii="Times New Roman" w:hAnsi="Times New Roman"/>
                <w:sz w:val="24"/>
              </w:rPr>
              <w:t xml:space="preserve"> v </w:t>
            </w:r>
            <w:r w:rsidRPr="00E07C9A">
              <w:rPr>
                <w:rFonts w:ascii="Times New Roman" w:hAnsi="Times New Roman"/>
                <w:sz w:val="24"/>
              </w:rPr>
              <w:t xml:space="preserve">článku 269a ods. 1 písm. b) nariadenia (EÚ) </w:t>
            </w:r>
            <w:r w:rsidR="009912F8" w:rsidRPr="00E07C9A">
              <w:rPr>
                <w:rFonts w:ascii="Times New Roman" w:hAnsi="Times New Roman"/>
                <w:sz w:val="24"/>
              </w:rPr>
              <w:t>č. 575/2013</w:t>
            </w:r>
            <w:r w:rsidRPr="00E07C9A">
              <w:rPr>
                <w:rFonts w:ascii="Times New Roman" w:hAnsi="Times New Roman"/>
                <w:sz w:val="24"/>
              </w:rPr>
              <w:t>.</w:t>
            </w:r>
          </w:p>
          <w:p w14:paraId="57C240BE" w14:textId="5B27844D" w:rsidR="00F530D8" w:rsidRPr="00E07C9A" w:rsidRDefault="00F530D8" w:rsidP="006D2499">
            <w:pPr>
              <w:spacing w:before="0" w:after="0"/>
              <w:rPr>
                <w:rFonts w:ascii="Times New Roman" w:hAnsi="Times New Roman"/>
                <w:b/>
                <w:sz w:val="24"/>
                <w:u w:val="single"/>
                <w:lang w:eastAsia="es-ES_tradnl"/>
              </w:rPr>
            </w:pPr>
          </w:p>
        </w:tc>
      </w:tr>
      <w:tr w:rsidR="00086A31" w:rsidRPr="00E07C9A" w14:paraId="3372EF93" w14:textId="77777777" w:rsidTr="00E10B85">
        <w:tc>
          <w:tcPr>
            <w:tcW w:w="1256" w:type="dxa"/>
          </w:tcPr>
          <w:p w14:paraId="5D31CA20" w14:textId="4EAD4105" w:rsidR="00086A31" w:rsidRPr="00E07C9A" w:rsidRDefault="00031FA5" w:rsidP="00E10B85">
            <w:pPr>
              <w:autoSpaceDE w:val="0"/>
              <w:autoSpaceDN w:val="0"/>
              <w:adjustRightInd w:val="0"/>
              <w:spacing w:before="0" w:after="0"/>
              <w:rPr>
                <w:rFonts w:ascii="Times New Roman" w:hAnsi="Times New Roman"/>
                <w:bCs/>
                <w:sz w:val="24"/>
              </w:rPr>
            </w:pPr>
            <w:r w:rsidRPr="00E07C9A">
              <w:rPr>
                <w:rFonts w:ascii="Times New Roman" w:hAnsi="Times New Roman"/>
                <w:sz w:val="24"/>
              </w:rPr>
              <w:t>0135, 0255</w:t>
            </w:r>
            <w:r w:rsidR="009912F8" w:rsidRPr="00E07C9A">
              <w:rPr>
                <w:rFonts w:ascii="Times New Roman" w:hAnsi="Times New Roman"/>
                <w:sz w:val="24"/>
              </w:rPr>
              <w:t xml:space="preserve"> a </w:t>
            </w:r>
            <w:r w:rsidRPr="00E07C9A">
              <w:rPr>
                <w:rFonts w:ascii="Times New Roman" w:hAnsi="Times New Roman"/>
                <w:sz w:val="24"/>
              </w:rPr>
              <w:t>0375</w:t>
            </w:r>
          </w:p>
        </w:tc>
        <w:tc>
          <w:tcPr>
            <w:tcW w:w="7889" w:type="dxa"/>
          </w:tcPr>
          <w:p w14:paraId="0AB20156" w14:textId="73ADEDF1" w:rsidR="00086A31" w:rsidRPr="00E07C9A" w:rsidRDefault="006D2499" w:rsidP="00E10B85">
            <w:pPr>
              <w:spacing w:before="0" w:after="0"/>
              <w:rPr>
                <w:rFonts w:ascii="Times New Roman" w:hAnsi="Times New Roman"/>
                <w:b/>
                <w:sz w:val="24"/>
                <w:u w:val="single"/>
              </w:rPr>
            </w:pPr>
            <w:r w:rsidRPr="00E07C9A">
              <w:rPr>
                <w:rFonts w:ascii="Times New Roman" w:hAnsi="Times New Roman"/>
                <w:b/>
                <w:sz w:val="24"/>
                <w:u w:val="single"/>
              </w:rPr>
              <w:t>Z ČOHO: NADRIADENÉ EXPOZÍCIE</w:t>
            </w:r>
            <w:r w:rsidR="009912F8" w:rsidRPr="00E07C9A">
              <w:rPr>
                <w:rFonts w:ascii="Times New Roman" w:hAnsi="Times New Roman"/>
                <w:b/>
                <w:sz w:val="24"/>
                <w:u w:val="single"/>
              </w:rPr>
              <w:t xml:space="preserve"> V </w:t>
            </w:r>
            <w:r w:rsidRPr="00E07C9A">
              <w:rPr>
                <w:rFonts w:ascii="Times New Roman" w:hAnsi="Times New Roman"/>
                <w:b/>
                <w:sz w:val="24"/>
                <w:u w:val="single"/>
              </w:rPr>
              <w:t>NEKVALIFIKOVANÝCH TRADIČNÝCH SEKURITIZÁCIÁCH PROBLÉMOVÝCH EXPOZÍCIÍ</w:t>
            </w:r>
          </w:p>
          <w:p w14:paraId="5444F469" w14:textId="77777777" w:rsidR="00F530D8" w:rsidRPr="00E07C9A" w:rsidRDefault="00F530D8" w:rsidP="00E10B85">
            <w:pPr>
              <w:spacing w:before="0" w:after="0"/>
              <w:rPr>
                <w:rFonts w:ascii="Times New Roman" w:hAnsi="Times New Roman"/>
                <w:b/>
                <w:sz w:val="24"/>
                <w:u w:val="single"/>
                <w:lang w:eastAsia="es-ES_tradnl"/>
              </w:rPr>
            </w:pPr>
          </w:p>
          <w:p w14:paraId="0B48BE5A" w14:textId="7FBE24B5" w:rsidR="00F530D8" w:rsidRPr="00E07C9A" w:rsidRDefault="00F530D8" w:rsidP="00F530D8">
            <w:pPr>
              <w:autoSpaceDE w:val="0"/>
              <w:autoSpaceDN w:val="0"/>
              <w:adjustRightInd w:val="0"/>
              <w:spacing w:before="0" w:after="0"/>
              <w:jc w:val="left"/>
              <w:rPr>
                <w:rFonts w:ascii="Times New Roman" w:hAnsi="Times New Roman"/>
                <w:b/>
                <w:sz w:val="24"/>
                <w:u w:val="single"/>
              </w:rPr>
            </w:pPr>
            <w:r w:rsidRPr="00E07C9A">
              <w:rPr>
                <w:rFonts w:ascii="Times New Roman" w:hAnsi="Times New Roman"/>
                <w:sz w:val="24"/>
              </w:rPr>
              <w:t>Celková hodnota expozícií, ktoré nespĺňajú požiadavky stanovené</w:t>
            </w:r>
            <w:r w:rsidR="009912F8" w:rsidRPr="00E07C9A">
              <w:rPr>
                <w:rFonts w:ascii="Times New Roman" w:hAnsi="Times New Roman"/>
                <w:sz w:val="24"/>
              </w:rPr>
              <w:t xml:space="preserve"> v </w:t>
            </w:r>
            <w:r w:rsidRPr="00E07C9A">
              <w:rPr>
                <w:rFonts w:ascii="Times New Roman" w:hAnsi="Times New Roman"/>
                <w:sz w:val="24"/>
              </w:rPr>
              <w:t xml:space="preserve">článku 269a ods. 1 písm. b) nariadenia (EÚ) </w:t>
            </w:r>
            <w:r w:rsidR="009912F8" w:rsidRPr="00E07C9A">
              <w:rPr>
                <w:rFonts w:ascii="Times New Roman" w:hAnsi="Times New Roman"/>
                <w:sz w:val="24"/>
              </w:rPr>
              <w:t>č. 575/2013</w:t>
            </w:r>
            <w:r w:rsidRPr="00E07C9A">
              <w:rPr>
                <w:rFonts w:ascii="Times New Roman" w:hAnsi="Times New Roman"/>
                <w:sz w:val="24"/>
              </w:rPr>
              <w:t>.</w:t>
            </w:r>
          </w:p>
          <w:p w14:paraId="5A2408D0" w14:textId="31DBB1E9" w:rsidR="00F530D8" w:rsidRPr="00E07C9A" w:rsidRDefault="00F530D8" w:rsidP="00E10B85">
            <w:pPr>
              <w:spacing w:before="0" w:after="0"/>
              <w:rPr>
                <w:rFonts w:ascii="Times New Roman" w:hAnsi="Times New Roman"/>
                <w:b/>
                <w:sz w:val="24"/>
                <w:u w:val="single"/>
                <w:lang w:eastAsia="es-ES_tradnl"/>
              </w:rPr>
            </w:pPr>
          </w:p>
        </w:tc>
      </w:tr>
      <w:tr w:rsidR="007D0ABB" w:rsidRPr="00E07C9A" w14:paraId="28112C34" w14:textId="77777777" w:rsidTr="00E10B85">
        <w:tc>
          <w:tcPr>
            <w:tcW w:w="1256" w:type="dxa"/>
          </w:tcPr>
          <w:p w14:paraId="4CBC047B" w14:textId="1FD4D399" w:rsidR="007D0ABB" w:rsidRPr="00E07C9A" w:rsidDel="00031FA5" w:rsidRDefault="007D0ABB" w:rsidP="00E10B85">
            <w:pPr>
              <w:autoSpaceDE w:val="0"/>
              <w:autoSpaceDN w:val="0"/>
              <w:adjustRightInd w:val="0"/>
              <w:spacing w:before="0" w:after="0"/>
              <w:rPr>
                <w:rFonts w:ascii="Times New Roman" w:hAnsi="Times New Roman"/>
                <w:bCs/>
                <w:sz w:val="24"/>
              </w:rPr>
            </w:pPr>
            <w:r w:rsidRPr="00E07C9A">
              <w:rPr>
                <w:rFonts w:ascii="Times New Roman" w:hAnsi="Times New Roman"/>
                <w:sz w:val="24"/>
              </w:rPr>
              <w:t>0136, 0256</w:t>
            </w:r>
            <w:r w:rsidR="009912F8" w:rsidRPr="00E07C9A">
              <w:rPr>
                <w:rFonts w:ascii="Times New Roman" w:hAnsi="Times New Roman"/>
                <w:sz w:val="24"/>
              </w:rPr>
              <w:t xml:space="preserve"> a </w:t>
            </w:r>
            <w:r w:rsidRPr="00E07C9A">
              <w:rPr>
                <w:rFonts w:ascii="Times New Roman" w:hAnsi="Times New Roman"/>
                <w:sz w:val="24"/>
              </w:rPr>
              <w:t>0376</w:t>
            </w:r>
          </w:p>
        </w:tc>
        <w:tc>
          <w:tcPr>
            <w:tcW w:w="7889" w:type="dxa"/>
          </w:tcPr>
          <w:p w14:paraId="191E167F" w14:textId="53EBBD64" w:rsidR="007D0ABB" w:rsidRPr="00E07C9A" w:rsidRDefault="007D0ABB" w:rsidP="00E10B85">
            <w:pPr>
              <w:spacing w:before="0" w:after="0"/>
              <w:rPr>
                <w:rFonts w:ascii="Times New Roman" w:hAnsi="Times New Roman"/>
                <w:b/>
                <w:sz w:val="24"/>
                <w:u w:val="single"/>
              </w:rPr>
            </w:pPr>
            <w:r w:rsidRPr="00E07C9A">
              <w:rPr>
                <w:rFonts w:ascii="Times New Roman" w:hAnsi="Times New Roman"/>
                <w:b/>
                <w:sz w:val="24"/>
                <w:u w:val="single"/>
              </w:rPr>
              <w:t>Z ČOHO: INÉ AKO NADRIADENÉ EXPOZÍCIE</w:t>
            </w:r>
            <w:r w:rsidR="009912F8" w:rsidRPr="00E07C9A">
              <w:rPr>
                <w:rFonts w:ascii="Times New Roman" w:hAnsi="Times New Roman"/>
                <w:b/>
                <w:sz w:val="24"/>
                <w:u w:val="single"/>
              </w:rPr>
              <w:t xml:space="preserve"> V </w:t>
            </w:r>
            <w:r w:rsidRPr="00E07C9A">
              <w:rPr>
                <w:rFonts w:ascii="Times New Roman" w:hAnsi="Times New Roman"/>
                <w:b/>
                <w:sz w:val="24"/>
                <w:u w:val="single"/>
              </w:rPr>
              <w:t>KVALIFIKOVANÝCH TRADIČNÝCH SEKURITIZÁCIÁCH PROBLÉMOVÝCH EXPOZÍCIÍ</w:t>
            </w:r>
          </w:p>
          <w:p w14:paraId="082A4118" w14:textId="77777777" w:rsidR="007D0ABB" w:rsidRPr="00E07C9A" w:rsidRDefault="007D0ABB" w:rsidP="00E10B85">
            <w:pPr>
              <w:spacing w:before="0" w:after="0"/>
              <w:rPr>
                <w:rFonts w:ascii="Times New Roman" w:hAnsi="Times New Roman"/>
                <w:b/>
                <w:sz w:val="24"/>
                <w:u w:val="single"/>
                <w:lang w:eastAsia="es-ES_tradnl"/>
              </w:rPr>
            </w:pPr>
          </w:p>
          <w:p w14:paraId="12FE6C8B" w14:textId="7E675875" w:rsidR="007D0ABB" w:rsidRPr="00E07C9A" w:rsidRDefault="004B6F60" w:rsidP="00E10B85">
            <w:pPr>
              <w:spacing w:before="0" w:after="0"/>
              <w:rPr>
                <w:rFonts w:ascii="Times New Roman" w:hAnsi="Times New Roman"/>
                <w:sz w:val="24"/>
              </w:rPr>
            </w:pPr>
            <w:r w:rsidRPr="00E07C9A">
              <w:rPr>
                <w:rFonts w:ascii="Times New Roman" w:hAnsi="Times New Roman"/>
                <w:sz w:val="24"/>
              </w:rPr>
              <w:t>Celková hodnota expozícií, ktoré spĺňajú požiadavky stanovené</w:t>
            </w:r>
            <w:r w:rsidR="009912F8" w:rsidRPr="00E07C9A">
              <w:rPr>
                <w:rFonts w:ascii="Times New Roman" w:hAnsi="Times New Roman"/>
                <w:sz w:val="24"/>
              </w:rPr>
              <w:t xml:space="preserve"> v </w:t>
            </w:r>
            <w:r w:rsidRPr="00E07C9A">
              <w:rPr>
                <w:rFonts w:ascii="Times New Roman" w:hAnsi="Times New Roman"/>
                <w:sz w:val="24"/>
              </w:rPr>
              <w:t xml:space="preserve">článku 269a ods. 1 písm. a) nariadenia (EÚ) </w:t>
            </w:r>
            <w:r w:rsidR="009912F8" w:rsidRPr="00E07C9A">
              <w:rPr>
                <w:rFonts w:ascii="Times New Roman" w:hAnsi="Times New Roman"/>
                <w:sz w:val="24"/>
              </w:rPr>
              <w:t>č. 575/2013 a </w:t>
            </w:r>
            <w:r w:rsidRPr="00E07C9A">
              <w:rPr>
                <w:rFonts w:ascii="Times New Roman" w:hAnsi="Times New Roman"/>
                <w:sz w:val="24"/>
              </w:rPr>
              <w:t>ktoré nespĺňajú požiadavky stanovené</w:t>
            </w:r>
            <w:r w:rsidR="009912F8" w:rsidRPr="00E07C9A">
              <w:rPr>
                <w:rFonts w:ascii="Times New Roman" w:hAnsi="Times New Roman"/>
                <w:sz w:val="24"/>
              </w:rPr>
              <w:t xml:space="preserve"> v </w:t>
            </w:r>
            <w:r w:rsidRPr="00E07C9A">
              <w:rPr>
                <w:rFonts w:ascii="Times New Roman" w:hAnsi="Times New Roman"/>
                <w:sz w:val="24"/>
              </w:rPr>
              <w:t xml:space="preserve">článku 269a ods. 1 písm. b) nariadenia (EÚ) </w:t>
            </w:r>
            <w:r w:rsidR="009912F8" w:rsidRPr="00E07C9A">
              <w:rPr>
                <w:rFonts w:ascii="Times New Roman" w:hAnsi="Times New Roman"/>
                <w:sz w:val="24"/>
              </w:rPr>
              <w:t>č. 575/2013</w:t>
            </w:r>
            <w:r w:rsidRPr="00E07C9A">
              <w:rPr>
                <w:rFonts w:ascii="Times New Roman" w:hAnsi="Times New Roman"/>
                <w:sz w:val="24"/>
              </w:rPr>
              <w:t>.</w:t>
            </w:r>
          </w:p>
          <w:p w14:paraId="6404D2A0" w14:textId="141F61FA" w:rsidR="004B6F60" w:rsidRPr="00E07C9A" w:rsidRDefault="004B6F60" w:rsidP="00E10B85">
            <w:pPr>
              <w:spacing w:before="0" w:after="0"/>
              <w:rPr>
                <w:rFonts w:ascii="Times New Roman" w:hAnsi="Times New Roman"/>
                <w:b/>
                <w:sz w:val="24"/>
                <w:u w:val="single"/>
                <w:lang w:eastAsia="es-ES_tradnl"/>
              </w:rPr>
            </w:pPr>
          </w:p>
        </w:tc>
      </w:tr>
      <w:tr w:rsidR="00E026FB" w:rsidRPr="00E07C9A" w14:paraId="5E3CF5DF" w14:textId="77777777" w:rsidTr="00E10B85">
        <w:tc>
          <w:tcPr>
            <w:tcW w:w="1256" w:type="dxa"/>
          </w:tcPr>
          <w:p w14:paraId="46C45199" w14:textId="2801AC19" w:rsidR="00E026FB" w:rsidRPr="00E07C9A" w:rsidRDefault="00E026FB" w:rsidP="00E10B85">
            <w:pPr>
              <w:autoSpaceDE w:val="0"/>
              <w:autoSpaceDN w:val="0"/>
              <w:adjustRightInd w:val="0"/>
              <w:spacing w:before="0" w:after="0"/>
              <w:rPr>
                <w:rFonts w:ascii="Times New Roman" w:hAnsi="Times New Roman"/>
                <w:bCs/>
                <w:sz w:val="24"/>
              </w:rPr>
            </w:pPr>
            <w:r w:rsidRPr="00E07C9A">
              <w:rPr>
                <w:rFonts w:ascii="Times New Roman" w:hAnsi="Times New Roman"/>
                <w:sz w:val="24"/>
              </w:rPr>
              <w:t>0140 –⁠ 0180, 0260 –⁠ 0300</w:t>
            </w:r>
            <w:r w:rsidR="009912F8" w:rsidRPr="00E07C9A">
              <w:rPr>
                <w:rFonts w:ascii="Times New Roman" w:hAnsi="Times New Roman"/>
                <w:sz w:val="24"/>
              </w:rPr>
              <w:t xml:space="preserve"> a </w:t>
            </w:r>
            <w:r w:rsidRPr="00E07C9A">
              <w:rPr>
                <w:rFonts w:ascii="Times New Roman" w:hAnsi="Times New Roman"/>
                <w:sz w:val="24"/>
              </w:rPr>
              <w:t>0380 –⁠ 0420</w:t>
            </w:r>
          </w:p>
        </w:tc>
        <w:tc>
          <w:tcPr>
            <w:tcW w:w="7889" w:type="dxa"/>
          </w:tcPr>
          <w:p w14:paraId="747B310C" w14:textId="77777777" w:rsidR="00E026FB" w:rsidRPr="00E07C9A" w:rsidRDefault="00E026FB" w:rsidP="00E10B85">
            <w:pPr>
              <w:spacing w:before="0" w:after="0"/>
              <w:rPr>
                <w:rFonts w:ascii="Times New Roman" w:hAnsi="Times New Roman"/>
                <w:b/>
                <w:sz w:val="24"/>
                <w:u w:val="single"/>
              </w:rPr>
            </w:pPr>
            <w:r w:rsidRPr="00E07C9A">
              <w:rPr>
                <w:rFonts w:ascii="Times New Roman" w:hAnsi="Times New Roman"/>
                <w:b/>
                <w:sz w:val="24"/>
                <w:u w:val="single"/>
              </w:rPr>
              <w:t>SEKURITIZAČNÉ POZÍCIE: PODSÚVAHOVÉ POLOŽKY A DERIVÁTY</w:t>
            </w:r>
          </w:p>
          <w:p w14:paraId="35158ABA" w14:textId="77777777" w:rsidR="00E026FB" w:rsidRPr="00E07C9A" w:rsidRDefault="00E026FB" w:rsidP="00E10B85">
            <w:pPr>
              <w:autoSpaceDE w:val="0"/>
              <w:autoSpaceDN w:val="0"/>
              <w:adjustRightInd w:val="0"/>
              <w:spacing w:before="0" w:after="0"/>
              <w:jc w:val="left"/>
              <w:rPr>
                <w:rFonts w:ascii="Times New Roman" w:hAnsi="Times New Roman"/>
                <w:sz w:val="24"/>
                <w:lang w:eastAsia="es-ES_tradnl"/>
              </w:rPr>
            </w:pPr>
          </w:p>
          <w:p w14:paraId="1677D4AB" w14:textId="070AA393" w:rsidR="00E026FB" w:rsidRPr="00E07C9A" w:rsidRDefault="00E026FB" w:rsidP="00E10B85">
            <w:pPr>
              <w:autoSpaceDE w:val="0"/>
              <w:autoSpaceDN w:val="0"/>
              <w:adjustRightInd w:val="0"/>
              <w:spacing w:before="0" w:after="0"/>
              <w:rPr>
                <w:rFonts w:ascii="Times New Roman" w:hAnsi="Times New Roman"/>
                <w:i/>
                <w:sz w:val="24"/>
              </w:rPr>
            </w:pPr>
            <w:r w:rsidRPr="00E07C9A">
              <w:rPr>
                <w:rFonts w:ascii="Times New Roman" w:hAnsi="Times New Roman"/>
                <w:sz w:val="24"/>
              </w:rPr>
              <w:t>V týchto riadkoch sa zhromažďujú informácie</w:t>
            </w:r>
            <w:r w:rsidR="009912F8" w:rsidRPr="00E07C9A">
              <w:rPr>
                <w:rFonts w:ascii="Times New Roman" w:hAnsi="Times New Roman"/>
                <w:sz w:val="24"/>
              </w:rPr>
              <w:t xml:space="preserve"> o </w:t>
            </w:r>
            <w:r w:rsidRPr="00E07C9A">
              <w:rPr>
                <w:rFonts w:ascii="Times New Roman" w:hAnsi="Times New Roman"/>
                <w:sz w:val="24"/>
              </w:rPr>
              <w:t>podsúvahových položkách</w:t>
            </w:r>
            <w:r w:rsidR="009912F8" w:rsidRPr="00E07C9A">
              <w:rPr>
                <w:rFonts w:ascii="Times New Roman" w:hAnsi="Times New Roman"/>
                <w:sz w:val="24"/>
              </w:rPr>
              <w:t xml:space="preserve"> a </w:t>
            </w:r>
            <w:r w:rsidRPr="00E07C9A">
              <w:rPr>
                <w:rFonts w:ascii="Times New Roman" w:hAnsi="Times New Roman"/>
                <w:sz w:val="24"/>
              </w:rPr>
              <w:t>derivátových sekuritizačných pozíciách, na ktoré sa uplatňuje konverzný faktor podľa rámca pre sekuritizáciu. Hodnotou expozície podsúvahovej sekuritizačnej pozície je jej nominálna hodnota po vykonaní špecifických úprav kreditného rizika tejto sekuritizačnej pozície vynásobená konverzným faktorom vo výške 100</w:t>
            </w:r>
            <w:r w:rsidR="009912F8" w:rsidRPr="00E07C9A">
              <w:rPr>
                <w:rFonts w:ascii="Times New Roman" w:hAnsi="Times New Roman"/>
              </w:rPr>
              <w:t> %</w:t>
            </w:r>
            <w:r w:rsidRPr="00E07C9A">
              <w:rPr>
                <w:rFonts w:ascii="Times New Roman" w:hAnsi="Times New Roman"/>
                <w:sz w:val="24"/>
              </w:rPr>
              <w:t>, pokiaľ sa nestanovuje inak.</w:t>
            </w:r>
          </w:p>
          <w:p w14:paraId="0E266876" w14:textId="77777777" w:rsidR="00E026FB" w:rsidRPr="00E07C9A" w:rsidRDefault="00E026FB" w:rsidP="00E10B85">
            <w:pPr>
              <w:autoSpaceDE w:val="0"/>
              <w:autoSpaceDN w:val="0"/>
              <w:adjustRightInd w:val="0"/>
              <w:spacing w:before="0" w:after="0"/>
              <w:rPr>
                <w:rFonts w:ascii="Times New Roman" w:hAnsi="Times New Roman"/>
                <w:i/>
                <w:sz w:val="24"/>
              </w:rPr>
            </w:pPr>
          </w:p>
          <w:p w14:paraId="40C92027" w14:textId="7183682B" w:rsidR="009912F8" w:rsidRPr="00E07C9A" w:rsidRDefault="00E026FB"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Podsúvahové sekuritizačné pozície vyplývajúce</w:t>
            </w:r>
            <w:r w:rsidR="009912F8" w:rsidRPr="00E07C9A">
              <w:rPr>
                <w:rFonts w:ascii="Times New Roman" w:hAnsi="Times New Roman"/>
                <w:sz w:val="24"/>
              </w:rPr>
              <w:t xml:space="preserve"> z </w:t>
            </w:r>
            <w:r w:rsidRPr="00E07C9A">
              <w:rPr>
                <w:rFonts w:ascii="Times New Roman" w:hAnsi="Times New Roman"/>
                <w:sz w:val="24"/>
              </w:rPr>
              <w:t>derivátového nástroja uvedeného</w:t>
            </w:r>
            <w:r w:rsidR="009912F8" w:rsidRPr="00E07C9A">
              <w:rPr>
                <w:rFonts w:ascii="Times New Roman" w:hAnsi="Times New Roman"/>
                <w:sz w:val="24"/>
              </w:rPr>
              <w:t xml:space="preserve"> v </w:t>
            </w:r>
            <w:r w:rsidRPr="00E07C9A">
              <w:rPr>
                <w:rFonts w:ascii="Times New Roman" w:hAnsi="Times New Roman"/>
                <w:sz w:val="24"/>
              </w:rPr>
              <w:t>prílohe II</w:t>
            </w:r>
            <w:r w:rsidR="009912F8" w:rsidRPr="00E07C9A">
              <w:rPr>
                <w:rFonts w:ascii="Times New Roman" w:hAnsi="Times New Roman"/>
                <w:sz w:val="24"/>
              </w:rPr>
              <w:t xml:space="preserve"> k </w:t>
            </w:r>
            <w:r w:rsidRPr="00E07C9A">
              <w:rPr>
                <w:rFonts w:ascii="Times New Roman" w:hAnsi="Times New Roman"/>
                <w:sz w:val="24"/>
              </w:rPr>
              <w:t xml:space="preserve">nariadeniu (EÚ) </w:t>
            </w:r>
            <w:r w:rsidR="009912F8" w:rsidRPr="00E07C9A">
              <w:rPr>
                <w:rFonts w:ascii="Times New Roman" w:hAnsi="Times New Roman"/>
                <w:sz w:val="24"/>
              </w:rPr>
              <w:t>č. 575/2013</w:t>
            </w:r>
            <w:r w:rsidRPr="00E07C9A">
              <w:rPr>
                <w:rFonts w:ascii="Times New Roman" w:hAnsi="Times New Roman"/>
                <w:sz w:val="24"/>
              </w:rPr>
              <w:t xml:space="preserve"> sa určujú</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treťou časťou hlavou II kapitolou 6 nariadenia (EÚ) </w:t>
            </w:r>
            <w:r w:rsidR="009912F8" w:rsidRPr="00E07C9A">
              <w:rPr>
                <w:rFonts w:ascii="Times New Roman" w:hAnsi="Times New Roman"/>
                <w:sz w:val="24"/>
              </w:rPr>
              <w:t>č. 575/2013</w:t>
            </w:r>
            <w:r w:rsidRPr="00E07C9A">
              <w:rPr>
                <w:rFonts w:ascii="Times New Roman" w:hAnsi="Times New Roman"/>
                <w:sz w:val="24"/>
              </w:rPr>
              <w:t>. Hodnota expozície voči kreditnému riziku protistrany derivátového nástroja uvedeného</w:t>
            </w:r>
            <w:r w:rsidR="009912F8" w:rsidRPr="00E07C9A">
              <w:rPr>
                <w:rFonts w:ascii="Times New Roman" w:hAnsi="Times New Roman"/>
                <w:sz w:val="24"/>
              </w:rPr>
              <w:t xml:space="preserve"> v </w:t>
            </w:r>
            <w:r w:rsidRPr="00E07C9A">
              <w:rPr>
                <w:rFonts w:ascii="Times New Roman" w:hAnsi="Times New Roman"/>
                <w:sz w:val="24"/>
              </w:rPr>
              <w:t>prílohe II</w:t>
            </w:r>
            <w:r w:rsidR="009912F8" w:rsidRPr="00E07C9A">
              <w:rPr>
                <w:rFonts w:ascii="Times New Roman" w:hAnsi="Times New Roman"/>
                <w:sz w:val="24"/>
              </w:rPr>
              <w:t xml:space="preserve"> k </w:t>
            </w:r>
            <w:r w:rsidRPr="00E07C9A">
              <w:rPr>
                <w:rFonts w:ascii="Times New Roman" w:hAnsi="Times New Roman"/>
                <w:sz w:val="24"/>
              </w:rPr>
              <w:t xml:space="preserve">nariadeniu (EÚ) </w:t>
            </w:r>
            <w:r w:rsidR="009912F8" w:rsidRPr="00E07C9A">
              <w:rPr>
                <w:rFonts w:ascii="Times New Roman" w:hAnsi="Times New Roman"/>
                <w:sz w:val="24"/>
              </w:rPr>
              <w:t>č. 575/2013</w:t>
            </w:r>
            <w:r w:rsidRPr="00E07C9A">
              <w:rPr>
                <w:rFonts w:ascii="Times New Roman" w:hAnsi="Times New Roman"/>
                <w:sz w:val="24"/>
              </w:rPr>
              <w:t xml:space="preserve"> sa určuje</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treťou časťou hlavou II kapitolou 6 nariadenia (EÚ) </w:t>
            </w:r>
            <w:r w:rsidR="009912F8" w:rsidRPr="00E07C9A">
              <w:rPr>
                <w:rFonts w:ascii="Times New Roman" w:hAnsi="Times New Roman"/>
                <w:sz w:val="24"/>
              </w:rPr>
              <w:t>č. 575/2013.</w:t>
            </w:r>
          </w:p>
          <w:p w14:paraId="04A55A68" w14:textId="0F07FEDD" w:rsidR="00E026FB" w:rsidRPr="00E07C9A" w:rsidRDefault="00E026FB" w:rsidP="00E10B85">
            <w:pPr>
              <w:autoSpaceDE w:val="0"/>
              <w:autoSpaceDN w:val="0"/>
              <w:adjustRightInd w:val="0"/>
              <w:spacing w:before="0" w:after="0"/>
              <w:rPr>
                <w:rFonts w:ascii="Times New Roman" w:hAnsi="Times New Roman"/>
                <w:sz w:val="24"/>
              </w:rPr>
            </w:pPr>
          </w:p>
          <w:p w14:paraId="5689F75C" w14:textId="3E00648F" w:rsidR="00E026FB" w:rsidRPr="00E07C9A" w:rsidRDefault="00E026FB"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Pre nástroje likvidity, kreditné facility</w:t>
            </w:r>
            <w:r w:rsidR="009912F8" w:rsidRPr="00E07C9A">
              <w:rPr>
                <w:rFonts w:ascii="Times New Roman" w:hAnsi="Times New Roman"/>
                <w:sz w:val="24"/>
              </w:rPr>
              <w:t xml:space="preserve"> a </w:t>
            </w:r>
            <w:r w:rsidRPr="00E07C9A">
              <w:rPr>
                <w:rFonts w:ascii="Times New Roman" w:hAnsi="Times New Roman"/>
                <w:sz w:val="24"/>
              </w:rPr>
              <w:t>hotovostné zálohy správcu inštitúcie vykazujú nečerpané sumy.</w:t>
            </w:r>
          </w:p>
          <w:p w14:paraId="05E36B61" w14:textId="77777777" w:rsidR="00E026FB" w:rsidRPr="00E07C9A" w:rsidRDefault="00E026FB" w:rsidP="00E10B85">
            <w:pPr>
              <w:autoSpaceDE w:val="0"/>
              <w:autoSpaceDN w:val="0"/>
              <w:adjustRightInd w:val="0"/>
              <w:spacing w:before="0" w:after="0"/>
              <w:rPr>
                <w:rFonts w:ascii="Times New Roman" w:hAnsi="Times New Roman"/>
                <w:sz w:val="24"/>
              </w:rPr>
            </w:pPr>
          </w:p>
          <w:p w14:paraId="009B0B62" w14:textId="0FC087C9" w:rsidR="00E026FB" w:rsidRPr="00E07C9A" w:rsidRDefault="00E026FB"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Pre úrokové</w:t>
            </w:r>
            <w:r w:rsidR="009912F8" w:rsidRPr="00E07C9A">
              <w:rPr>
                <w:rFonts w:ascii="Times New Roman" w:hAnsi="Times New Roman"/>
                <w:sz w:val="24"/>
              </w:rPr>
              <w:t xml:space="preserve"> a </w:t>
            </w:r>
            <w:r w:rsidRPr="00E07C9A">
              <w:rPr>
                <w:rFonts w:ascii="Times New Roman" w:hAnsi="Times New Roman"/>
                <w:sz w:val="24"/>
              </w:rPr>
              <w:t>menové swapy sa poskytuje hodnota expozície [vypočítaná</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248 ods. 1 nariadenia (EÚ) </w:t>
            </w:r>
            <w:r w:rsidR="009912F8" w:rsidRPr="00E07C9A">
              <w:rPr>
                <w:rFonts w:ascii="Times New Roman" w:hAnsi="Times New Roman"/>
                <w:sz w:val="24"/>
              </w:rPr>
              <w:t>č. 575/2013</w:t>
            </w:r>
            <w:r w:rsidRPr="00E07C9A">
              <w:rPr>
                <w:rFonts w:ascii="Times New Roman" w:hAnsi="Times New Roman"/>
                <w:sz w:val="24"/>
              </w:rPr>
              <w:t>].</w:t>
            </w:r>
          </w:p>
          <w:p w14:paraId="57106958" w14:textId="77777777" w:rsidR="00E026FB" w:rsidRPr="00E07C9A" w:rsidRDefault="00E026FB" w:rsidP="00E10B85">
            <w:pPr>
              <w:autoSpaceDE w:val="0"/>
              <w:autoSpaceDN w:val="0"/>
              <w:adjustRightInd w:val="0"/>
              <w:spacing w:before="0" w:after="0"/>
              <w:rPr>
                <w:rFonts w:ascii="Times New Roman" w:hAnsi="Times New Roman"/>
                <w:sz w:val="24"/>
              </w:rPr>
            </w:pPr>
          </w:p>
          <w:p w14:paraId="2BA63E65" w14:textId="291B7A20" w:rsidR="00E026FB" w:rsidRPr="00E07C9A" w:rsidRDefault="00E026FB"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Podsúvahové položky</w:t>
            </w:r>
            <w:r w:rsidR="009912F8" w:rsidRPr="00E07C9A">
              <w:rPr>
                <w:rFonts w:ascii="Times New Roman" w:hAnsi="Times New Roman"/>
                <w:sz w:val="24"/>
              </w:rPr>
              <w:t xml:space="preserve"> a </w:t>
            </w:r>
            <w:r w:rsidRPr="00E07C9A">
              <w:rPr>
                <w:rFonts w:ascii="Times New Roman" w:hAnsi="Times New Roman"/>
                <w:sz w:val="24"/>
              </w:rPr>
              <w:t>deriváty sa rozčleňujú tak, aby</w:t>
            </w:r>
            <w:r w:rsidR="009912F8" w:rsidRPr="00E07C9A">
              <w:rPr>
                <w:rFonts w:ascii="Times New Roman" w:hAnsi="Times New Roman"/>
                <w:sz w:val="24"/>
              </w:rPr>
              <w:t xml:space="preserve"> v </w:t>
            </w:r>
            <w:r w:rsidRPr="00E07C9A">
              <w:rPr>
                <w:rFonts w:ascii="Times New Roman" w:hAnsi="Times New Roman"/>
                <w:sz w:val="24"/>
              </w:rPr>
              <w:t>riadkoch 0150</w:t>
            </w:r>
            <w:r w:rsidR="009912F8" w:rsidRPr="00E07C9A">
              <w:rPr>
                <w:rFonts w:ascii="Times New Roman" w:hAnsi="Times New Roman"/>
                <w:sz w:val="24"/>
              </w:rPr>
              <w:t xml:space="preserve"> a </w:t>
            </w:r>
            <w:r w:rsidRPr="00E07C9A">
              <w:rPr>
                <w:rFonts w:ascii="Times New Roman" w:hAnsi="Times New Roman"/>
                <w:sz w:val="24"/>
              </w:rPr>
              <w:t>0170 zachytávali informácie týkajúce sa zaobchádzania</w:t>
            </w:r>
            <w:r w:rsidR="009912F8" w:rsidRPr="00E07C9A">
              <w:rPr>
                <w:rFonts w:ascii="Times New Roman" w:hAnsi="Times New Roman"/>
                <w:sz w:val="24"/>
              </w:rPr>
              <w:t xml:space="preserve"> s </w:t>
            </w:r>
            <w:r w:rsidRPr="00E07C9A">
              <w:rPr>
                <w:rFonts w:ascii="Times New Roman" w:hAnsi="Times New Roman"/>
                <w:sz w:val="24"/>
              </w:rPr>
              <w:t>diferencovaným kapitálom, ako sa uvádza</w:t>
            </w:r>
            <w:r w:rsidR="009912F8" w:rsidRPr="00E07C9A">
              <w:rPr>
                <w:rFonts w:ascii="Times New Roman" w:hAnsi="Times New Roman"/>
                <w:sz w:val="24"/>
              </w:rPr>
              <w:t xml:space="preserve"> v </w:t>
            </w:r>
            <w:r w:rsidRPr="00E07C9A">
              <w:rPr>
                <w:rFonts w:ascii="Times New Roman" w:hAnsi="Times New Roman"/>
                <w:sz w:val="24"/>
              </w:rPr>
              <w:t xml:space="preserve">článku 270 nariadenia (EÚ) </w:t>
            </w:r>
            <w:r w:rsidR="009912F8" w:rsidRPr="00E07C9A">
              <w:rPr>
                <w:rFonts w:ascii="Times New Roman" w:hAnsi="Times New Roman"/>
                <w:sz w:val="24"/>
              </w:rPr>
              <w:t>č. 575/2013</w:t>
            </w:r>
            <w:r w:rsidRPr="00E07C9A">
              <w:rPr>
                <w:rFonts w:ascii="Times New Roman" w:hAnsi="Times New Roman"/>
                <w:sz w:val="24"/>
              </w:rPr>
              <w:t>,</w:t>
            </w:r>
            <w:r w:rsidR="009912F8" w:rsidRPr="00E07C9A">
              <w:rPr>
                <w:rFonts w:ascii="Times New Roman" w:hAnsi="Times New Roman"/>
                <w:sz w:val="24"/>
              </w:rPr>
              <w:t xml:space="preserve"> a </w:t>
            </w:r>
            <w:r w:rsidRPr="00E07C9A">
              <w:rPr>
                <w:rFonts w:ascii="Times New Roman" w:hAnsi="Times New Roman"/>
                <w:sz w:val="24"/>
              </w:rPr>
              <w:t>aby</w:t>
            </w:r>
            <w:r w:rsidR="009912F8" w:rsidRPr="00E07C9A">
              <w:rPr>
                <w:rFonts w:ascii="Times New Roman" w:hAnsi="Times New Roman"/>
                <w:sz w:val="24"/>
              </w:rPr>
              <w:t xml:space="preserve"> v </w:t>
            </w:r>
            <w:r w:rsidRPr="00E07C9A">
              <w:rPr>
                <w:rFonts w:ascii="Times New Roman" w:hAnsi="Times New Roman"/>
                <w:sz w:val="24"/>
              </w:rPr>
              <w:t>riadkoch 0160</w:t>
            </w:r>
            <w:r w:rsidR="009912F8" w:rsidRPr="00E07C9A">
              <w:rPr>
                <w:rFonts w:ascii="Times New Roman" w:hAnsi="Times New Roman"/>
                <w:sz w:val="24"/>
              </w:rPr>
              <w:t xml:space="preserve"> a </w:t>
            </w:r>
            <w:r w:rsidRPr="00E07C9A">
              <w:rPr>
                <w:rFonts w:ascii="Times New Roman" w:hAnsi="Times New Roman"/>
                <w:sz w:val="24"/>
              </w:rPr>
              <w:t>0180 zachytávali informácie</w:t>
            </w:r>
            <w:r w:rsidR="009912F8" w:rsidRPr="00E07C9A">
              <w:rPr>
                <w:rFonts w:ascii="Times New Roman" w:hAnsi="Times New Roman"/>
                <w:sz w:val="24"/>
              </w:rPr>
              <w:t xml:space="preserve"> o </w:t>
            </w:r>
            <w:r w:rsidRPr="00E07C9A">
              <w:rPr>
                <w:rFonts w:ascii="Times New Roman" w:hAnsi="Times New Roman"/>
                <w:sz w:val="24"/>
              </w:rPr>
              <w:t>celkovej hodnote nadriadených sekuritizačných pozícií, ako sú vymedzené</w:t>
            </w:r>
            <w:r w:rsidR="009912F8" w:rsidRPr="00E07C9A">
              <w:rPr>
                <w:rFonts w:ascii="Times New Roman" w:hAnsi="Times New Roman"/>
                <w:sz w:val="24"/>
              </w:rPr>
              <w:t xml:space="preserve"> v </w:t>
            </w:r>
            <w:r w:rsidRPr="00E07C9A">
              <w:rPr>
                <w:rFonts w:ascii="Times New Roman" w:hAnsi="Times New Roman"/>
                <w:sz w:val="24"/>
              </w:rPr>
              <w:t xml:space="preserve">článku 242 ods. 6 nariadenia (EÚ) </w:t>
            </w:r>
            <w:r w:rsidR="009912F8" w:rsidRPr="00E07C9A">
              <w:rPr>
                <w:rFonts w:ascii="Times New Roman" w:hAnsi="Times New Roman"/>
                <w:sz w:val="24"/>
              </w:rPr>
              <w:t>č. 575/2013</w:t>
            </w:r>
            <w:r w:rsidRPr="00E07C9A">
              <w:rPr>
                <w:rFonts w:ascii="Times New Roman" w:hAnsi="Times New Roman"/>
                <w:sz w:val="24"/>
              </w:rPr>
              <w:t>. Uplatňujú sa odkazy na tie isté právne predpisy ako pri riadkoch 0100 až 0130.</w:t>
            </w:r>
          </w:p>
          <w:p w14:paraId="23B47D70" w14:textId="77777777" w:rsidR="00E026FB" w:rsidRPr="00E07C9A" w:rsidRDefault="00E026FB" w:rsidP="00E10B85">
            <w:pPr>
              <w:autoSpaceDE w:val="0"/>
              <w:autoSpaceDN w:val="0"/>
              <w:adjustRightInd w:val="0"/>
              <w:spacing w:before="0" w:after="0"/>
              <w:rPr>
                <w:rFonts w:ascii="Times New Roman" w:hAnsi="Times New Roman"/>
                <w:bCs/>
                <w:sz w:val="24"/>
                <w:lang w:eastAsia="nl-BE"/>
              </w:rPr>
            </w:pPr>
          </w:p>
        </w:tc>
      </w:tr>
      <w:tr w:rsidR="00E026FB" w:rsidRPr="00E07C9A" w14:paraId="17E2AB89" w14:textId="77777777" w:rsidTr="00E10B85">
        <w:tc>
          <w:tcPr>
            <w:tcW w:w="1256" w:type="dxa"/>
          </w:tcPr>
          <w:p w14:paraId="63B15117" w14:textId="350F4FDC" w:rsidR="00E026FB" w:rsidRPr="00E07C9A" w:rsidRDefault="00E026FB" w:rsidP="00E10B85">
            <w:pPr>
              <w:autoSpaceDE w:val="0"/>
              <w:autoSpaceDN w:val="0"/>
              <w:adjustRightInd w:val="0"/>
              <w:spacing w:before="0" w:after="0"/>
              <w:rPr>
                <w:rFonts w:ascii="Times New Roman" w:hAnsi="Times New Roman"/>
                <w:bCs/>
                <w:sz w:val="24"/>
              </w:rPr>
            </w:pPr>
            <w:r w:rsidRPr="00E07C9A">
              <w:rPr>
                <w:rFonts w:ascii="Times New Roman" w:hAnsi="Times New Roman"/>
                <w:sz w:val="24"/>
              </w:rPr>
              <w:t>0150, 0270</w:t>
            </w:r>
            <w:r w:rsidR="009912F8" w:rsidRPr="00E07C9A">
              <w:rPr>
                <w:rFonts w:ascii="Times New Roman" w:hAnsi="Times New Roman"/>
                <w:sz w:val="24"/>
              </w:rPr>
              <w:t xml:space="preserve"> a </w:t>
            </w:r>
            <w:r w:rsidRPr="00E07C9A">
              <w:rPr>
                <w:rFonts w:ascii="Times New Roman" w:hAnsi="Times New Roman"/>
                <w:sz w:val="24"/>
              </w:rPr>
              <w:t>0390</w:t>
            </w:r>
          </w:p>
        </w:tc>
        <w:tc>
          <w:tcPr>
            <w:tcW w:w="7889" w:type="dxa"/>
          </w:tcPr>
          <w:p w14:paraId="2480BA78" w14:textId="3774690D" w:rsidR="00E026FB" w:rsidRPr="00E07C9A" w:rsidRDefault="00E026FB" w:rsidP="00E10B85">
            <w:pPr>
              <w:autoSpaceDE w:val="0"/>
              <w:autoSpaceDN w:val="0"/>
              <w:adjustRightInd w:val="0"/>
              <w:spacing w:before="0" w:after="0"/>
              <w:jc w:val="left"/>
              <w:rPr>
                <w:rFonts w:ascii="Times New Roman" w:hAnsi="Times New Roman"/>
                <w:b/>
                <w:sz w:val="24"/>
                <w:u w:val="single"/>
              </w:rPr>
            </w:pPr>
            <w:r w:rsidRPr="00E07C9A">
              <w:rPr>
                <w:rFonts w:ascii="Times New Roman" w:hAnsi="Times New Roman"/>
                <w:b/>
                <w:sz w:val="24"/>
                <w:u w:val="single"/>
              </w:rPr>
              <w:t>SPĹŇAJÚCE PODMIENKY PRE ZAOBCHÁDZANIE</w:t>
            </w:r>
            <w:r w:rsidR="009912F8" w:rsidRPr="00E07C9A">
              <w:rPr>
                <w:rFonts w:ascii="Times New Roman" w:hAnsi="Times New Roman"/>
                <w:b/>
                <w:sz w:val="24"/>
                <w:u w:val="single"/>
              </w:rPr>
              <w:t xml:space="preserve"> S </w:t>
            </w:r>
            <w:r w:rsidRPr="00E07C9A">
              <w:rPr>
                <w:rFonts w:ascii="Times New Roman" w:hAnsi="Times New Roman"/>
                <w:b/>
                <w:sz w:val="24"/>
                <w:u w:val="single"/>
              </w:rPr>
              <w:t>DIFERENCOVANÝM KAPITÁLOM</w:t>
            </w:r>
          </w:p>
          <w:p w14:paraId="797E62A2" w14:textId="77777777" w:rsidR="00E026FB" w:rsidRPr="00E07C9A" w:rsidRDefault="00E026FB" w:rsidP="00E10B85">
            <w:pPr>
              <w:autoSpaceDE w:val="0"/>
              <w:autoSpaceDN w:val="0"/>
              <w:adjustRightInd w:val="0"/>
              <w:spacing w:before="0" w:after="0"/>
              <w:jc w:val="left"/>
              <w:rPr>
                <w:rFonts w:ascii="Times New Roman" w:hAnsi="Times New Roman"/>
                <w:b/>
                <w:sz w:val="24"/>
                <w:u w:val="single"/>
                <w:lang w:eastAsia="es-ES_tradnl"/>
              </w:rPr>
            </w:pPr>
          </w:p>
          <w:p w14:paraId="683F5922" w14:textId="10D0ABAC" w:rsidR="00E026FB" w:rsidRPr="00E07C9A" w:rsidRDefault="00E026FB" w:rsidP="001235ED">
            <w:pPr>
              <w:autoSpaceDE w:val="0"/>
              <w:autoSpaceDN w:val="0"/>
              <w:adjustRightInd w:val="0"/>
              <w:spacing w:before="0" w:after="0"/>
              <w:jc w:val="left"/>
              <w:rPr>
                <w:rFonts w:ascii="Times New Roman" w:hAnsi="Times New Roman"/>
                <w:sz w:val="24"/>
              </w:rPr>
            </w:pPr>
            <w:r w:rsidRPr="00E07C9A">
              <w:rPr>
                <w:rFonts w:ascii="Times New Roman" w:hAnsi="Times New Roman"/>
                <w:sz w:val="24"/>
              </w:rPr>
              <w:t xml:space="preserve">Celková hodnota sekuritizačných pozícií, ktoré spĺňajú kritériá článku 243 nariadenia (EÚ) </w:t>
            </w:r>
            <w:r w:rsidR="009912F8" w:rsidRPr="00E07C9A">
              <w:rPr>
                <w:rFonts w:ascii="Times New Roman" w:hAnsi="Times New Roman"/>
                <w:sz w:val="24"/>
              </w:rPr>
              <w:t>č. 575/2013</w:t>
            </w:r>
            <w:r w:rsidRPr="00E07C9A">
              <w:rPr>
                <w:rFonts w:ascii="Times New Roman" w:hAnsi="Times New Roman"/>
                <w:sz w:val="24"/>
              </w:rPr>
              <w:t>, alebo, len</w:t>
            </w:r>
            <w:r w:rsidR="009912F8" w:rsidRPr="00E07C9A">
              <w:rPr>
                <w:rFonts w:ascii="Times New Roman" w:hAnsi="Times New Roman"/>
                <w:sz w:val="24"/>
              </w:rPr>
              <w:t xml:space="preserve"> v </w:t>
            </w:r>
            <w:r w:rsidRPr="00E07C9A">
              <w:rPr>
                <w:rFonts w:ascii="Times New Roman" w:hAnsi="Times New Roman"/>
                <w:sz w:val="24"/>
              </w:rPr>
              <w:t xml:space="preserve">prípade originátorov, článku 270 alebo článku 494c nariadenia (EÚ) </w:t>
            </w:r>
            <w:r w:rsidR="009912F8" w:rsidRPr="00E07C9A">
              <w:rPr>
                <w:rFonts w:ascii="Times New Roman" w:hAnsi="Times New Roman"/>
                <w:sz w:val="24"/>
              </w:rPr>
              <w:t>č. 575/2013</w:t>
            </w:r>
            <w:r w:rsidRPr="00E07C9A">
              <w:rPr>
                <w:rFonts w:ascii="Times New Roman" w:hAnsi="Times New Roman"/>
                <w:sz w:val="24"/>
              </w:rPr>
              <w:t>,</w:t>
            </w:r>
            <w:r w:rsidR="009912F8" w:rsidRPr="00E07C9A">
              <w:rPr>
                <w:rFonts w:ascii="Times New Roman" w:hAnsi="Times New Roman"/>
                <w:sz w:val="24"/>
              </w:rPr>
              <w:t xml:space="preserve"> a </w:t>
            </w:r>
            <w:r w:rsidRPr="00E07C9A">
              <w:rPr>
                <w:rFonts w:ascii="Times New Roman" w:hAnsi="Times New Roman"/>
                <w:sz w:val="24"/>
              </w:rPr>
              <w:t>ktoré teda spĺňajú podmienky pre zaobchádzanie</w:t>
            </w:r>
            <w:r w:rsidR="009912F8" w:rsidRPr="00E07C9A">
              <w:rPr>
                <w:rFonts w:ascii="Times New Roman" w:hAnsi="Times New Roman"/>
                <w:sz w:val="24"/>
              </w:rPr>
              <w:t xml:space="preserve"> s </w:t>
            </w:r>
            <w:r w:rsidRPr="00E07C9A">
              <w:rPr>
                <w:rFonts w:ascii="Times New Roman" w:hAnsi="Times New Roman"/>
                <w:sz w:val="24"/>
              </w:rPr>
              <w:t>diferencovaným kapitálom.</w:t>
            </w:r>
          </w:p>
          <w:p w14:paraId="31CB5730" w14:textId="5A4D6499" w:rsidR="00AF2910" w:rsidRPr="00E07C9A" w:rsidRDefault="00AF2910" w:rsidP="00AF2910">
            <w:pPr>
              <w:spacing w:before="0" w:after="0"/>
              <w:rPr>
                <w:rFonts w:ascii="Times New Roman" w:hAnsi="Times New Roman"/>
                <w:sz w:val="24"/>
                <w:lang w:eastAsia="es-ES_tradnl"/>
              </w:rPr>
            </w:pPr>
          </w:p>
          <w:p w14:paraId="51A73D2C" w14:textId="18207F96" w:rsidR="00950EE5" w:rsidRPr="00E07C9A" w:rsidRDefault="00950EE5" w:rsidP="00AF2910">
            <w:pPr>
              <w:spacing w:before="0" w:after="0"/>
              <w:rPr>
                <w:rFonts w:ascii="Times New Roman" w:hAnsi="Times New Roman"/>
                <w:b/>
                <w:sz w:val="24"/>
                <w:u w:val="single"/>
                <w:lang w:eastAsia="es-ES_tradnl"/>
              </w:rPr>
            </w:pPr>
          </w:p>
        </w:tc>
      </w:tr>
      <w:tr w:rsidR="00E026FB" w:rsidRPr="00E07C9A" w14:paraId="643BF42E" w14:textId="77777777" w:rsidTr="00E10B85">
        <w:tc>
          <w:tcPr>
            <w:tcW w:w="1256" w:type="dxa"/>
          </w:tcPr>
          <w:p w14:paraId="6DDB70F2" w14:textId="77777777" w:rsidR="00E026FB" w:rsidRPr="00E07C9A" w:rsidRDefault="00E026FB" w:rsidP="00E10B85">
            <w:pPr>
              <w:autoSpaceDE w:val="0"/>
              <w:autoSpaceDN w:val="0"/>
              <w:adjustRightInd w:val="0"/>
              <w:spacing w:before="0" w:after="0"/>
              <w:rPr>
                <w:rFonts w:ascii="Times New Roman" w:hAnsi="Times New Roman"/>
                <w:bCs/>
                <w:sz w:val="24"/>
              </w:rPr>
            </w:pPr>
            <w:r w:rsidRPr="00E07C9A">
              <w:rPr>
                <w:rFonts w:ascii="Times New Roman" w:hAnsi="Times New Roman"/>
                <w:sz w:val="24"/>
              </w:rPr>
              <w:t>0200</w:t>
            </w:r>
          </w:p>
        </w:tc>
        <w:tc>
          <w:tcPr>
            <w:tcW w:w="7889" w:type="dxa"/>
          </w:tcPr>
          <w:p w14:paraId="2BC03B00" w14:textId="77777777" w:rsidR="009912F8" w:rsidRPr="00E07C9A" w:rsidRDefault="00E026FB" w:rsidP="00E10B85">
            <w:pPr>
              <w:autoSpaceDE w:val="0"/>
              <w:autoSpaceDN w:val="0"/>
              <w:adjustRightInd w:val="0"/>
              <w:spacing w:before="0" w:after="0"/>
              <w:jc w:val="left"/>
              <w:rPr>
                <w:rFonts w:ascii="Times New Roman" w:hAnsi="Times New Roman"/>
                <w:b/>
                <w:sz w:val="24"/>
                <w:u w:val="single"/>
              </w:rPr>
            </w:pPr>
            <w:r w:rsidRPr="00E07C9A">
              <w:rPr>
                <w:rFonts w:ascii="Times New Roman" w:hAnsi="Times New Roman"/>
                <w:b/>
                <w:sz w:val="24"/>
                <w:u w:val="single"/>
              </w:rPr>
              <w:t>INVESTOR: CELKOVÉ EXPOZÍCIE</w:t>
            </w:r>
          </w:p>
          <w:p w14:paraId="1E074049" w14:textId="5B03617F" w:rsidR="00E026FB" w:rsidRPr="00E07C9A" w:rsidRDefault="00E026FB" w:rsidP="00E10B85">
            <w:pPr>
              <w:autoSpaceDE w:val="0"/>
              <w:autoSpaceDN w:val="0"/>
              <w:adjustRightInd w:val="0"/>
              <w:spacing w:before="0" w:after="0"/>
              <w:jc w:val="left"/>
              <w:rPr>
                <w:rFonts w:ascii="Times New Roman" w:hAnsi="Times New Roman"/>
                <w:sz w:val="24"/>
                <w:lang w:eastAsia="es-ES_tradnl"/>
              </w:rPr>
            </w:pPr>
          </w:p>
          <w:p w14:paraId="728E7FBB" w14:textId="2A91E15A" w:rsidR="009912F8" w:rsidRPr="00E07C9A" w:rsidRDefault="00E026FB" w:rsidP="00E10B85">
            <w:pPr>
              <w:autoSpaceDE w:val="0"/>
              <w:autoSpaceDN w:val="0"/>
              <w:adjustRightInd w:val="0"/>
              <w:spacing w:before="0" w:after="0"/>
              <w:rPr>
                <w:rStyle w:val="FormatvorlageInstructionsTabelleText"/>
                <w:rFonts w:ascii="Times New Roman" w:hAnsi="Times New Roman"/>
                <w:sz w:val="24"/>
              </w:rPr>
            </w:pPr>
            <w:r w:rsidRPr="00E07C9A">
              <w:rPr>
                <w:rStyle w:val="FormatvorlageInstructionsTabelleText"/>
                <w:rFonts w:ascii="Times New Roman" w:hAnsi="Times New Roman"/>
                <w:sz w:val="24"/>
              </w:rPr>
              <w:t>V tomto riadku sa sumarizujú informácie</w:t>
            </w:r>
            <w:r w:rsidR="009912F8" w:rsidRPr="00E07C9A">
              <w:rPr>
                <w:rStyle w:val="FormatvorlageInstructionsTabelleText"/>
                <w:rFonts w:ascii="Times New Roman" w:hAnsi="Times New Roman"/>
                <w:sz w:val="24"/>
              </w:rPr>
              <w:t xml:space="preserve"> o </w:t>
            </w:r>
            <w:r w:rsidRPr="00E07C9A">
              <w:rPr>
                <w:rStyle w:val="FormatvorlageInstructionsTabelleText"/>
                <w:rFonts w:ascii="Times New Roman" w:hAnsi="Times New Roman"/>
                <w:sz w:val="24"/>
              </w:rPr>
              <w:t>súvahových</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podsúvahových položkách</w:t>
            </w:r>
            <w:r w:rsidR="009912F8" w:rsidRPr="00E07C9A">
              <w:rPr>
                <w:rStyle w:val="FormatvorlageInstructionsTabelleText"/>
                <w:rFonts w:ascii="Times New Roman" w:hAnsi="Times New Roman"/>
                <w:sz w:val="24"/>
              </w:rPr>
              <w:t xml:space="preserve"> a </w:t>
            </w:r>
            <w:r w:rsidRPr="00E07C9A">
              <w:rPr>
                <w:rStyle w:val="FormatvorlageInstructionsTabelleText"/>
                <w:rFonts w:ascii="Times New Roman" w:hAnsi="Times New Roman"/>
                <w:sz w:val="24"/>
              </w:rPr>
              <w:t>derivátoch tých sekuritizačných</w:t>
            </w:r>
            <w:r w:rsidR="009912F8" w:rsidRPr="00E07C9A">
              <w:rPr>
                <w:rFonts w:ascii="Times New Roman" w:hAnsi="Times New Roman"/>
                <w:sz w:val="24"/>
              </w:rPr>
              <w:t xml:space="preserve"> a </w:t>
            </w:r>
            <w:r w:rsidRPr="00E07C9A">
              <w:rPr>
                <w:rFonts w:ascii="Times New Roman" w:hAnsi="Times New Roman"/>
                <w:sz w:val="24"/>
              </w:rPr>
              <w:t xml:space="preserve">resekuritizačných </w:t>
            </w:r>
            <w:r w:rsidRPr="00E07C9A">
              <w:rPr>
                <w:rStyle w:val="FormatvorlageInstructionsTabelleText"/>
                <w:rFonts w:ascii="Times New Roman" w:hAnsi="Times New Roman"/>
                <w:sz w:val="24"/>
              </w:rPr>
              <w:t>pozícií,</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prípade ktorých zohráva inštitúcia úlohu investora</w:t>
            </w:r>
            <w:r w:rsidR="009912F8" w:rsidRPr="00E07C9A">
              <w:rPr>
                <w:rStyle w:val="FormatvorlageInstructionsTabelleText"/>
                <w:rFonts w:ascii="Times New Roman" w:hAnsi="Times New Roman"/>
                <w:sz w:val="24"/>
              </w:rPr>
              <w:t>.</w:t>
            </w:r>
          </w:p>
          <w:p w14:paraId="27BDA7D4" w14:textId="7EE35706" w:rsidR="00E026FB" w:rsidRPr="00E07C9A" w:rsidRDefault="00E026FB" w:rsidP="00E10B85">
            <w:pPr>
              <w:autoSpaceDE w:val="0"/>
              <w:autoSpaceDN w:val="0"/>
              <w:adjustRightInd w:val="0"/>
              <w:spacing w:before="0" w:after="0"/>
              <w:rPr>
                <w:rStyle w:val="FormatvorlageInstructionsTabelleText"/>
                <w:rFonts w:ascii="Times New Roman" w:hAnsi="Times New Roman"/>
                <w:sz w:val="24"/>
              </w:rPr>
            </w:pPr>
          </w:p>
          <w:p w14:paraId="31DC462F" w14:textId="6670F563" w:rsidR="00E026FB" w:rsidRPr="00E07C9A" w:rsidRDefault="00E20FAC" w:rsidP="00E10B85">
            <w:pPr>
              <w:autoSpaceDE w:val="0"/>
              <w:autoSpaceDN w:val="0"/>
              <w:adjustRightInd w:val="0"/>
              <w:spacing w:before="0" w:after="0"/>
              <w:rPr>
                <w:rStyle w:val="FormatvorlageInstructionsTabelleText"/>
                <w:rFonts w:ascii="Times New Roman" w:hAnsi="Times New Roman"/>
                <w:sz w:val="24"/>
              </w:rPr>
            </w:pPr>
            <w:r w:rsidRPr="00E07C9A">
              <w:rPr>
                <w:rStyle w:val="FormatvorlageInstructionsTabelleText"/>
                <w:rFonts w:ascii="Times New Roman" w:hAnsi="Times New Roman"/>
                <w:sz w:val="24"/>
              </w:rPr>
              <w:t>Na účely tohto vzoru sa pod pojmom investor rozumie inštitúcia, ktorá drží sekuritizačnú pozíciu</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sekuritizačnej transakcii, pre ktorú nie je originátorom ani sponzorom.</w:t>
            </w:r>
          </w:p>
          <w:p w14:paraId="6A7D4E91" w14:textId="77777777" w:rsidR="00E026FB" w:rsidRPr="00E07C9A"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E07C9A" w14:paraId="36D9A378" w14:textId="77777777" w:rsidTr="00E10B85">
        <w:tc>
          <w:tcPr>
            <w:tcW w:w="1256" w:type="dxa"/>
          </w:tcPr>
          <w:p w14:paraId="6B136AF1" w14:textId="77777777" w:rsidR="00E026FB" w:rsidRPr="00E07C9A" w:rsidRDefault="00E026FB" w:rsidP="00E10B85">
            <w:pPr>
              <w:autoSpaceDE w:val="0"/>
              <w:autoSpaceDN w:val="0"/>
              <w:adjustRightInd w:val="0"/>
              <w:spacing w:before="0" w:after="0"/>
              <w:rPr>
                <w:rFonts w:ascii="Times New Roman" w:hAnsi="Times New Roman"/>
                <w:bCs/>
                <w:sz w:val="24"/>
              </w:rPr>
            </w:pPr>
            <w:r w:rsidRPr="00E07C9A">
              <w:rPr>
                <w:rFonts w:ascii="Times New Roman" w:hAnsi="Times New Roman"/>
                <w:sz w:val="24"/>
              </w:rPr>
              <w:t>0320</w:t>
            </w:r>
          </w:p>
        </w:tc>
        <w:tc>
          <w:tcPr>
            <w:tcW w:w="7889" w:type="dxa"/>
          </w:tcPr>
          <w:p w14:paraId="1FF02446" w14:textId="77777777" w:rsidR="009912F8" w:rsidRPr="00E07C9A" w:rsidRDefault="00E026FB" w:rsidP="00E10B85">
            <w:pPr>
              <w:autoSpaceDE w:val="0"/>
              <w:autoSpaceDN w:val="0"/>
              <w:adjustRightInd w:val="0"/>
              <w:spacing w:before="0" w:after="0"/>
              <w:jc w:val="left"/>
              <w:rPr>
                <w:rFonts w:ascii="Times New Roman" w:hAnsi="Times New Roman"/>
                <w:b/>
                <w:sz w:val="24"/>
                <w:u w:val="single"/>
              </w:rPr>
            </w:pPr>
            <w:r w:rsidRPr="00E07C9A">
              <w:rPr>
                <w:rFonts w:ascii="Times New Roman" w:hAnsi="Times New Roman"/>
                <w:b/>
                <w:sz w:val="24"/>
                <w:u w:val="single"/>
              </w:rPr>
              <w:t>SPONZOR: CELKOVÉ EXPOZÍCIE</w:t>
            </w:r>
          </w:p>
          <w:p w14:paraId="3ED05A7C" w14:textId="08A43E21" w:rsidR="00E026FB" w:rsidRPr="00E07C9A" w:rsidRDefault="00E026FB" w:rsidP="00E10B85">
            <w:pPr>
              <w:autoSpaceDE w:val="0"/>
              <w:autoSpaceDN w:val="0"/>
              <w:adjustRightInd w:val="0"/>
              <w:spacing w:before="0" w:after="0"/>
              <w:jc w:val="left"/>
              <w:rPr>
                <w:rFonts w:ascii="Times New Roman" w:hAnsi="Times New Roman"/>
                <w:sz w:val="24"/>
                <w:lang w:eastAsia="es-ES_tradnl"/>
              </w:rPr>
            </w:pPr>
          </w:p>
          <w:p w14:paraId="5A2C26CE" w14:textId="08B4DED3" w:rsidR="00E026FB" w:rsidRPr="00E07C9A" w:rsidRDefault="00E026FB"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V tomto riadku sa sumarizujú informácie</w:t>
            </w:r>
            <w:r w:rsidR="009912F8" w:rsidRPr="00E07C9A">
              <w:rPr>
                <w:rFonts w:ascii="Times New Roman" w:hAnsi="Times New Roman"/>
                <w:sz w:val="24"/>
              </w:rPr>
              <w:t xml:space="preserve"> o </w:t>
            </w:r>
            <w:r w:rsidRPr="00E07C9A">
              <w:rPr>
                <w:rFonts w:ascii="Times New Roman" w:hAnsi="Times New Roman"/>
                <w:sz w:val="24"/>
              </w:rPr>
              <w:t>súvahových</w:t>
            </w:r>
            <w:r w:rsidR="009912F8" w:rsidRPr="00E07C9A">
              <w:rPr>
                <w:rFonts w:ascii="Times New Roman" w:hAnsi="Times New Roman"/>
                <w:sz w:val="24"/>
              </w:rPr>
              <w:t xml:space="preserve"> a </w:t>
            </w:r>
            <w:r w:rsidRPr="00E07C9A">
              <w:rPr>
                <w:rFonts w:ascii="Times New Roman" w:hAnsi="Times New Roman"/>
                <w:sz w:val="24"/>
              </w:rPr>
              <w:t>podsúvahových položkách</w:t>
            </w:r>
            <w:r w:rsidR="009912F8" w:rsidRPr="00E07C9A">
              <w:rPr>
                <w:rFonts w:ascii="Times New Roman" w:hAnsi="Times New Roman"/>
                <w:sz w:val="24"/>
              </w:rPr>
              <w:t xml:space="preserve"> a </w:t>
            </w:r>
            <w:r w:rsidRPr="00E07C9A">
              <w:rPr>
                <w:rFonts w:ascii="Times New Roman" w:hAnsi="Times New Roman"/>
                <w:sz w:val="24"/>
              </w:rPr>
              <w:t>derivátoch uvedených sekuritizačných</w:t>
            </w:r>
            <w:r w:rsidR="009912F8" w:rsidRPr="00E07C9A">
              <w:rPr>
                <w:rFonts w:ascii="Times New Roman" w:hAnsi="Times New Roman"/>
                <w:sz w:val="24"/>
              </w:rPr>
              <w:t xml:space="preserve"> a </w:t>
            </w:r>
            <w:r w:rsidRPr="00E07C9A">
              <w:rPr>
                <w:rFonts w:ascii="Times New Roman" w:hAnsi="Times New Roman"/>
                <w:sz w:val="24"/>
              </w:rPr>
              <w:t>resekuritizačných pozícií,</w:t>
            </w:r>
            <w:r w:rsidR="009912F8" w:rsidRPr="00E07C9A">
              <w:rPr>
                <w:rFonts w:ascii="Times New Roman" w:hAnsi="Times New Roman"/>
                <w:sz w:val="24"/>
              </w:rPr>
              <w:t xml:space="preserve"> v </w:t>
            </w:r>
            <w:r w:rsidRPr="00E07C9A">
              <w:rPr>
                <w:rFonts w:ascii="Times New Roman" w:hAnsi="Times New Roman"/>
                <w:sz w:val="24"/>
              </w:rPr>
              <w:t>prípade ktorých zohráva inštitúcia úlohu sponzora podľa vymedzenia</w:t>
            </w:r>
            <w:r w:rsidR="009912F8" w:rsidRPr="00E07C9A">
              <w:rPr>
                <w:rFonts w:ascii="Times New Roman" w:hAnsi="Times New Roman"/>
                <w:sz w:val="24"/>
              </w:rPr>
              <w:t xml:space="preserve"> v </w:t>
            </w:r>
            <w:r w:rsidRPr="00E07C9A">
              <w:rPr>
                <w:rFonts w:ascii="Times New Roman" w:hAnsi="Times New Roman"/>
                <w:sz w:val="24"/>
              </w:rPr>
              <w:t xml:space="preserve">článku 4 ods. 1 bode 14 nariadenia (EÚ) </w:t>
            </w:r>
            <w:r w:rsidR="009912F8" w:rsidRPr="00E07C9A">
              <w:rPr>
                <w:rFonts w:ascii="Times New Roman" w:hAnsi="Times New Roman"/>
                <w:sz w:val="24"/>
              </w:rPr>
              <w:t>č. 575/2013</w:t>
            </w:r>
            <w:r w:rsidRPr="00E07C9A">
              <w:rPr>
                <w:rFonts w:ascii="Times New Roman" w:hAnsi="Times New Roman"/>
                <w:sz w:val="24"/>
              </w:rPr>
              <w:t>. Ak sponzor sekuritizuje aj svoje vlastné aktíva,</w:t>
            </w:r>
            <w:r w:rsidR="009912F8" w:rsidRPr="00E07C9A">
              <w:rPr>
                <w:rFonts w:ascii="Times New Roman" w:hAnsi="Times New Roman"/>
                <w:sz w:val="24"/>
              </w:rPr>
              <w:t xml:space="preserve"> v </w:t>
            </w:r>
            <w:r w:rsidRPr="00E07C9A">
              <w:rPr>
                <w:rFonts w:ascii="Times New Roman" w:hAnsi="Times New Roman"/>
                <w:sz w:val="24"/>
              </w:rPr>
              <w:t>riadkoch originátora uvedie informácie týkajúce sa svojich vlastných sekuritizovaných aktív.</w:t>
            </w:r>
          </w:p>
          <w:p w14:paraId="6AD98BEB" w14:textId="77777777" w:rsidR="00E026FB" w:rsidRPr="00E07C9A" w:rsidRDefault="00E026FB" w:rsidP="00E10B85">
            <w:pPr>
              <w:autoSpaceDE w:val="0"/>
              <w:autoSpaceDN w:val="0"/>
              <w:adjustRightInd w:val="0"/>
              <w:spacing w:before="0" w:after="0"/>
              <w:rPr>
                <w:rFonts w:ascii="Times New Roman" w:hAnsi="Times New Roman"/>
                <w:sz w:val="24"/>
                <w:lang w:eastAsia="es-ES_tradnl"/>
              </w:rPr>
            </w:pPr>
          </w:p>
        </w:tc>
      </w:tr>
      <w:tr w:rsidR="00E026FB" w:rsidRPr="00E07C9A" w14:paraId="2094B86E" w14:textId="77777777" w:rsidTr="00E10B85">
        <w:tc>
          <w:tcPr>
            <w:tcW w:w="1256" w:type="dxa"/>
          </w:tcPr>
          <w:p w14:paraId="5660F80D" w14:textId="77777777" w:rsidR="00E026FB" w:rsidRPr="00E07C9A" w:rsidRDefault="00E026FB" w:rsidP="00E10B85">
            <w:pPr>
              <w:autoSpaceDE w:val="0"/>
              <w:autoSpaceDN w:val="0"/>
              <w:adjustRightInd w:val="0"/>
              <w:spacing w:before="0" w:after="0"/>
              <w:rPr>
                <w:rFonts w:ascii="Times New Roman" w:hAnsi="Times New Roman"/>
                <w:bCs/>
                <w:sz w:val="24"/>
              </w:rPr>
            </w:pPr>
            <w:r w:rsidRPr="00E07C9A">
              <w:rPr>
                <w:rFonts w:ascii="Times New Roman" w:hAnsi="Times New Roman"/>
                <w:sz w:val="24"/>
              </w:rPr>
              <w:t>0440 – 0670</w:t>
            </w:r>
          </w:p>
        </w:tc>
        <w:tc>
          <w:tcPr>
            <w:tcW w:w="7889" w:type="dxa"/>
          </w:tcPr>
          <w:p w14:paraId="6118F32C" w14:textId="0AD0410D" w:rsidR="00E026FB" w:rsidRPr="00E07C9A" w:rsidRDefault="00E026FB" w:rsidP="00E10B85">
            <w:pPr>
              <w:autoSpaceDE w:val="0"/>
              <w:autoSpaceDN w:val="0"/>
              <w:adjustRightInd w:val="0"/>
              <w:spacing w:before="0" w:after="0"/>
              <w:jc w:val="left"/>
              <w:rPr>
                <w:rFonts w:ascii="Times New Roman" w:hAnsi="Times New Roman"/>
                <w:b/>
                <w:sz w:val="24"/>
                <w:u w:val="single"/>
              </w:rPr>
            </w:pPr>
            <w:r w:rsidRPr="00E07C9A">
              <w:rPr>
                <w:rFonts w:ascii="Times New Roman" w:hAnsi="Times New Roman"/>
                <w:b/>
                <w:sz w:val="24"/>
                <w:u w:val="single"/>
              </w:rPr>
              <w:t>ROZČLENENIE ZOSTÁVAJÚCICH POZÍCIÍ PODĽA CQS</w:t>
            </w:r>
            <w:r w:rsidR="009912F8" w:rsidRPr="00E07C9A">
              <w:rPr>
                <w:rFonts w:ascii="Times New Roman" w:hAnsi="Times New Roman"/>
                <w:b/>
                <w:sz w:val="24"/>
                <w:u w:val="single"/>
              </w:rPr>
              <w:t xml:space="preserve"> V </w:t>
            </w:r>
            <w:r w:rsidRPr="00E07C9A">
              <w:rPr>
                <w:rFonts w:ascii="Times New Roman" w:hAnsi="Times New Roman"/>
                <w:b/>
                <w:sz w:val="24"/>
                <w:u w:val="single"/>
              </w:rPr>
              <w:t>ČASE VZNIKU</w:t>
            </w:r>
          </w:p>
          <w:p w14:paraId="1535C0C5" w14:textId="77777777" w:rsidR="00E026FB" w:rsidRPr="00E07C9A" w:rsidRDefault="00E026FB" w:rsidP="00E10B85">
            <w:pPr>
              <w:autoSpaceDE w:val="0"/>
              <w:autoSpaceDN w:val="0"/>
              <w:adjustRightInd w:val="0"/>
              <w:spacing w:before="0" w:after="0"/>
              <w:jc w:val="left"/>
              <w:rPr>
                <w:rFonts w:ascii="Times New Roman" w:hAnsi="Times New Roman"/>
                <w:b/>
                <w:sz w:val="24"/>
                <w:u w:val="single"/>
                <w:lang w:eastAsia="es-ES_tradnl"/>
              </w:rPr>
            </w:pPr>
          </w:p>
          <w:p w14:paraId="4A30FA9E" w14:textId="0BD5D778" w:rsidR="00E026FB" w:rsidRPr="00E07C9A" w:rsidRDefault="00E026FB"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V týchto riadkoch sa zhromažďujú informácie</w:t>
            </w:r>
            <w:r w:rsidR="009912F8" w:rsidRPr="00E07C9A">
              <w:rPr>
                <w:rFonts w:ascii="Times New Roman" w:hAnsi="Times New Roman"/>
                <w:sz w:val="24"/>
              </w:rPr>
              <w:t xml:space="preserve"> o </w:t>
            </w:r>
            <w:r w:rsidRPr="00E07C9A">
              <w:rPr>
                <w:rFonts w:ascii="Times New Roman" w:hAnsi="Times New Roman"/>
                <w:sz w:val="24"/>
              </w:rPr>
              <w:t>nesplatených pozíciách (k dátumu vykazovania), pre ktoré bol</w:t>
            </w:r>
            <w:r w:rsidR="009912F8" w:rsidRPr="00E07C9A">
              <w:rPr>
                <w:rFonts w:ascii="Times New Roman" w:hAnsi="Times New Roman"/>
                <w:sz w:val="24"/>
              </w:rPr>
              <w:t xml:space="preserve"> k </w:t>
            </w:r>
            <w:r w:rsidRPr="00E07C9A">
              <w:rPr>
                <w:rFonts w:ascii="Times New Roman" w:hAnsi="Times New Roman"/>
                <w:sz w:val="24"/>
              </w:rPr>
              <w:t>dátumu vzniku určený stupeň kreditnej kvality [ako je stanovené</w:t>
            </w:r>
            <w:r w:rsidR="009912F8" w:rsidRPr="00E07C9A">
              <w:rPr>
                <w:rFonts w:ascii="Times New Roman" w:hAnsi="Times New Roman"/>
                <w:sz w:val="24"/>
              </w:rPr>
              <w:t xml:space="preserve"> v </w:t>
            </w:r>
            <w:r w:rsidRPr="00E07C9A">
              <w:rPr>
                <w:rFonts w:ascii="Times New Roman" w:hAnsi="Times New Roman"/>
                <w:sz w:val="24"/>
              </w:rPr>
              <w:t>tabuľkách 1</w:t>
            </w:r>
            <w:r w:rsidR="009912F8" w:rsidRPr="00E07C9A">
              <w:rPr>
                <w:rFonts w:ascii="Times New Roman" w:hAnsi="Times New Roman"/>
                <w:sz w:val="24"/>
              </w:rPr>
              <w:t xml:space="preserve"> a </w:t>
            </w:r>
            <w:r w:rsidRPr="00E07C9A">
              <w:rPr>
                <w:rFonts w:ascii="Times New Roman" w:hAnsi="Times New Roman"/>
                <w:sz w:val="24"/>
              </w:rPr>
              <w:t>2 článku 263</w:t>
            </w:r>
            <w:r w:rsidR="009912F8" w:rsidRPr="00E07C9A">
              <w:rPr>
                <w:rFonts w:ascii="Times New Roman" w:hAnsi="Times New Roman"/>
                <w:sz w:val="24"/>
              </w:rPr>
              <w:t xml:space="preserve"> a </w:t>
            </w:r>
            <w:r w:rsidRPr="00E07C9A">
              <w:rPr>
                <w:rFonts w:ascii="Times New Roman" w:hAnsi="Times New Roman"/>
                <w:sz w:val="24"/>
              </w:rPr>
              <w:t>tabuľkách 3</w:t>
            </w:r>
            <w:r w:rsidR="009912F8" w:rsidRPr="00E07C9A">
              <w:rPr>
                <w:rFonts w:ascii="Times New Roman" w:hAnsi="Times New Roman"/>
                <w:sz w:val="24"/>
              </w:rPr>
              <w:t xml:space="preserve"> a </w:t>
            </w:r>
            <w:r w:rsidRPr="00E07C9A">
              <w:rPr>
                <w:rFonts w:ascii="Times New Roman" w:hAnsi="Times New Roman"/>
                <w:sz w:val="24"/>
              </w:rPr>
              <w:t xml:space="preserve">4 článku 264 nariadenia (EÚ) </w:t>
            </w:r>
            <w:r w:rsidR="009912F8" w:rsidRPr="00E07C9A">
              <w:rPr>
                <w:rFonts w:ascii="Times New Roman" w:hAnsi="Times New Roman"/>
                <w:sz w:val="24"/>
              </w:rPr>
              <w:t>č. 575/2013</w:t>
            </w:r>
            <w:r w:rsidRPr="00E07C9A">
              <w:rPr>
                <w:rFonts w:ascii="Times New Roman" w:hAnsi="Times New Roman"/>
                <w:sz w:val="24"/>
              </w:rPr>
              <w:t>]. Pri sekuritizačných pozíciách,</w:t>
            </w:r>
            <w:r w:rsidR="009912F8" w:rsidRPr="00E07C9A">
              <w:rPr>
                <w:rFonts w:ascii="Times New Roman" w:hAnsi="Times New Roman"/>
                <w:sz w:val="24"/>
              </w:rPr>
              <w:t xml:space="preserve"> s </w:t>
            </w:r>
            <w:r w:rsidRPr="00E07C9A">
              <w:rPr>
                <w:rFonts w:ascii="Times New Roman" w:hAnsi="Times New Roman"/>
                <w:sz w:val="24"/>
              </w:rPr>
              <w:t>ktorými sa zaobchádza podľa IAA, je stupňom kreditnej kvality stupeň, ktorý bol priradený</w:t>
            </w:r>
            <w:r w:rsidR="009912F8" w:rsidRPr="00E07C9A">
              <w:rPr>
                <w:rFonts w:ascii="Times New Roman" w:hAnsi="Times New Roman"/>
                <w:sz w:val="24"/>
              </w:rPr>
              <w:t xml:space="preserve"> v </w:t>
            </w:r>
            <w:r w:rsidRPr="00E07C9A">
              <w:rPr>
                <w:rFonts w:ascii="Times New Roman" w:hAnsi="Times New Roman"/>
                <w:sz w:val="24"/>
              </w:rPr>
              <w:t>čase, keď bolo po prvýkrát priradené ratingové hodnotenie IAA. Keď tieto informácie nie sú</w:t>
            </w:r>
            <w:r w:rsidR="009912F8" w:rsidRPr="00E07C9A">
              <w:rPr>
                <w:rFonts w:ascii="Times New Roman" w:hAnsi="Times New Roman"/>
                <w:sz w:val="24"/>
              </w:rPr>
              <w:t xml:space="preserve"> k </w:t>
            </w:r>
            <w:r w:rsidRPr="00E07C9A">
              <w:rPr>
                <w:rFonts w:ascii="Times New Roman" w:hAnsi="Times New Roman"/>
                <w:sz w:val="24"/>
              </w:rPr>
              <w:t>dispozícii, vykazujú sa najskoršie údaje rovnocenné</w:t>
            </w:r>
            <w:r w:rsidR="009912F8" w:rsidRPr="00E07C9A">
              <w:rPr>
                <w:rFonts w:ascii="Times New Roman" w:hAnsi="Times New Roman"/>
                <w:sz w:val="24"/>
              </w:rPr>
              <w:t xml:space="preserve"> s </w:t>
            </w:r>
            <w:r w:rsidRPr="00E07C9A">
              <w:rPr>
                <w:rFonts w:ascii="Times New Roman" w:hAnsi="Times New Roman"/>
                <w:sz w:val="24"/>
              </w:rPr>
              <w:t>CQS.</w:t>
            </w:r>
          </w:p>
          <w:p w14:paraId="540B49F4" w14:textId="77777777" w:rsidR="00E026FB" w:rsidRPr="00E07C9A" w:rsidRDefault="00E026FB" w:rsidP="00E10B85">
            <w:pPr>
              <w:autoSpaceDE w:val="0"/>
              <w:autoSpaceDN w:val="0"/>
              <w:adjustRightInd w:val="0"/>
              <w:spacing w:before="0" w:after="0"/>
              <w:jc w:val="left"/>
              <w:rPr>
                <w:rFonts w:ascii="Times New Roman" w:hAnsi="Times New Roman"/>
                <w:sz w:val="24"/>
                <w:lang w:eastAsia="es-ES_tradnl"/>
              </w:rPr>
            </w:pPr>
          </w:p>
          <w:p w14:paraId="5020E537" w14:textId="57890A24" w:rsidR="00E026FB" w:rsidRPr="00E07C9A" w:rsidRDefault="00E026FB"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Tieto riadky sa vypĺňajú len pre stĺpce 0180 až 0210, 0280, 0350 až 0640, 0700 až 0720, 0740, 0760 až 0830</w:t>
            </w:r>
            <w:r w:rsidR="009912F8" w:rsidRPr="00E07C9A">
              <w:rPr>
                <w:rFonts w:ascii="Times New Roman" w:hAnsi="Times New Roman"/>
                <w:sz w:val="24"/>
              </w:rPr>
              <w:t xml:space="preserve"> a </w:t>
            </w:r>
            <w:r w:rsidRPr="00E07C9A">
              <w:rPr>
                <w:rFonts w:ascii="Times New Roman" w:hAnsi="Times New Roman"/>
                <w:sz w:val="24"/>
              </w:rPr>
              <w:t>0850.</w:t>
            </w:r>
          </w:p>
          <w:p w14:paraId="19064513" w14:textId="77777777" w:rsidR="00E026FB" w:rsidRPr="00E07C9A" w:rsidRDefault="00E026FB" w:rsidP="00E10B85">
            <w:pPr>
              <w:autoSpaceDE w:val="0"/>
              <w:autoSpaceDN w:val="0"/>
              <w:adjustRightInd w:val="0"/>
              <w:spacing w:before="0" w:after="0"/>
              <w:jc w:val="left"/>
              <w:rPr>
                <w:rFonts w:ascii="Times New Roman" w:hAnsi="Times New Roman"/>
                <w:b/>
                <w:sz w:val="24"/>
                <w:u w:val="single"/>
                <w:lang w:eastAsia="es-ES_tradnl"/>
              </w:rPr>
            </w:pPr>
          </w:p>
        </w:tc>
      </w:tr>
    </w:tbl>
    <w:p w14:paraId="0474153A" w14:textId="77777777" w:rsidR="00E026FB" w:rsidRPr="00E07C9A" w:rsidRDefault="00E026FB" w:rsidP="00612780">
      <w:pPr>
        <w:autoSpaceDE w:val="0"/>
        <w:autoSpaceDN w:val="0"/>
        <w:adjustRightInd w:val="0"/>
        <w:spacing w:before="0" w:after="0"/>
        <w:jc w:val="left"/>
        <w:rPr>
          <w:rFonts w:ascii="Times New Roman" w:hAnsi="Times New Roman"/>
          <w:sz w:val="24"/>
          <w:lang w:eastAsia="es-ES_tradnl"/>
        </w:rPr>
      </w:pPr>
    </w:p>
    <w:p w14:paraId="745F0D8F" w14:textId="5CC17947" w:rsidR="00612780" w:rsidRPr="00E07C9A" w:rsidRDefault="002858D1" w:rsidP="0023700C">
      <w:pPr>
        <w:pStyle w:val="Instructionsberschrift2"/>
        <w:numPr>
          <w:ilvl w:val="0"/>
          <w:numId w:val="0"/>
        </w:numPr>
        <w:ind w:left="357" w:hanging="357"/>
        <w:rPr>
          <w:rFonts w:ascii="Times New Roman" w:hAnsi="Times New Roman" w:cs="Times New Roman"/>
          <w:sz w:val="24"/>
        </w:rPr>
      </w:pPr>
      <w:bookmarkStart w:id="419" w:name="_Toc239157390"/>
      <w:bookmarkStart w:id="420" w:name="_Toc310415046"/>
      <w:bookmarkStart w:id="421" w:name="_Toc360188381"/>
      <w:bookmarkStart w:id="422" w:name="_Toc473560932"/>
      <w:bookmarkStart w:id="423" w:name="_Toc115857826"/>
      <w:r w:rsidRPr="00E07C9A">
        <w:rPr>
          <w:rFonts w:ascii="Times New Roman" w:hAnsi="Times New Roman" w:cs="Times New Roman"/>
          <w:sz w:val="24"/>
          <w:u w:val="none"/>
        </w:rPr>
        <w:t>3.</w:t>
      </w:r>
      <w:r w:rsidR="00125707" w:rsidRPr="00E07C9A">
        <w:rPr>
          <w:rFonts w:ascii="Times New Roman" w:hAnsi="Times New Roman" w:cs="Times New Roman"/>
          <w:sz w:val="24"/>
          <w:u w:val="none"/>
        </w:rPr>
        <w:t>8.</w:t>
      </w:r>
      <w:r w:rsidR="00125707" w:rsidRPr="00E07C9A">
        <w:rPr>
          <w:rFonts w:ascii="Times New Roman" w:hAnsi="Times New Roman" w:cs="Times New Roman"/>
          <w:u w:val="none"/>
        </w:rPr>
        <w:tab/>
      </w:r>
      <w:bookmarkEnd w:id="419"/>
      <w:r w:rsidR="00125707" w:rsidRPr="00E07C9A">
        <w:rPr>
          <w:rFonts w:ascii="Times New Roman" w:hAnsi="Times New Roman" w:cs="Times New Roman"/>
          <w:sz w:val="24"/>
        </w:rPr>
        <w:t>Podrobné informácie</w:t>
      </w:r>
      <w:r w:rsidR="009912F8" w:rsidRPr="00E07C9A">
        <w:rPr>
          <w:rFonts w:ascii="Times New Roman" w:hAnsi="Times New Roman" w:cs="Times New Roman"/>
          <w:sz w:val="24"/>
        </w:rPr>
        <w:t xml:space="preserve"> o </w:t>
      </w:r>
      <w:r w:rsidR="00125707" w:rsidRPr="00E07C9A">
        <w:rPr>
          <w:rFonts w:ascii="Times New Roman" w:hAnsi="Times New Roman" w:cs="Times New Roman"/>
          <w:sz w:val="24"/>
        </w:rPr>
        <w:t>sekuritizáciách</w:t>
      </w:r>
      <w:bookmarkEnd w:id="420"/>
      <w:bookmarkEnd w:id="421"/>
      <w:r w:rsidR="00125707" w:rsidRPr="00E07C9A">
        <w:rPr>
          <w:rFonts w:ascii="Times New Roman" w:hAnsi="Times New Roman" w:cs="Times New Roman"/>
          <w:sz w:val="24"/>
        </w:rPr>
        <w:t xml:space="preserve"> (SEC DETAILS)</w:t>
      </w:r>
      <w:bookmarkEnd w:id="422"/>
      <w:bookmarkEnd w:id="423"/>
    </w:p>
    <w:p w14:paraId="7D982FB1" w14:textId="77777777" w:rsidR="00612780" w:rsidRPr="00E07C9A" w:rsidRDefault="00A2220F" w:rsidP="0023700C">
      <w:pPr>
        <w:pStyle w:val="Instructionsberschrift2"/>
        <w:numPr>
          <w:ilvl w:val="0"/>
          <w:numId w:val="0"/>
        </w:numPr>
        <w:ind w:left="357" w:hanging="357"/>
        <w:rPr>
          <w:rFonts w:ascii="Times New Roman" w:hAnsi="Times New Roman" w:cs="Times New Roman"/>
          <w:sz w:val="24"/>
          <w:u w:val="none"/>
        </w:rPr>
      </w:pPr>
      <w:bookmarkStart w:id="424" w:name="_Toc310415047"/>
      <w:bookmarkStart w:id="425" w:name="_Toc360188382"/>
      <w:bookmarkStart w:id="426" w:name="_Toc473560933"/>
      <w:bookmarkStart w:id="427" w:name="_Toc115857827"/>
      <w:r w:rsidRPr="00E07C9A">
        <w:rPr>
          <w:rFonts w:ascii="Times New Roman" w:hAnsi="Times New Roman" w:cs="Times New Roman"/>
          <w:sz w:val="24"/>
          <w:u w:val="none"/>
        </w:rPr>
        <w:t>3.8.1.</w:t>
      </w:r>
      <w:r w:rsidRPr="00E07C9A">
        <w:rPr>
          <w:rFonts w:ascii="Times New Roman" w:hAnsi="Times New Roman" w:cs="Times New Roman"/>
          <w:u w:val="none"/>
        </w:rPr>
        <w:tab/>
      </w:r>
      <w:r w:rsidRPr="00E07C9A">
        <w:rPr>
          <w:rFonts w:ascii="Times New Roman" w:hAnsi="Times New Roman" w:cs="Times New Roman"/>
          <w:sz w:val="24"/>
          <w:u w:val="none"/>
        </w:rPr>
        <w:t>Rozsah vzoru SEC DETAILS</w:t>
      </w:r>
      <w:bookmarkEnd w:id="424"/>
      <w:bookmarkEnd w:id="425"/>
      <w:bookmarkEnd w:id="426"/>
      <w:bookmarkEnd w:id="427"/>
    </w:p>
    <w:bookmarkStart w:id="428" w:name="_Toc310415048"/>
    <w:bookmarkStart w:id="429" w:name="_Toc360188383"/>
    <w:bookmarkStart w:id="430" w:name="_Toc473560934"/>
    <w:p w14:paraId="7551432B" w14:textId="5517F0EE" w:rsidR="009912F8" w:rsidRPr="00E07C9A" w:rsidRDefault="00771068" w:rsidP="00487A02">
      <w:pPr>
        <w:pStyle w:val="InstructionsText2"/>
        <w:numPr>
          <w:ilvl w:val="0"/>
          <w:numId w:val="0"/>
        </w:numPr>
        <w:ind w:left="1353" w:hanging="360"/>
      </w:pPr>
      <w:r w:rsidRPr="00E07C9A">
        <w:fldChar w:fldCharType="begin"/>
      </w:r>
      <w:r w:rsidRPr="00E07C9A">
        <w:instrText xml:space="preserve"> seq paragraphs </w:instrText>
      </w:r>
      <w:r w:rsidRPr="00E07C9A">
        <w:fldChar w:fldCharType="separate"/>
      </w:r>
      <w:r w:rsidR="00132AEE">
        <w:rPr>
          <w:noProof/>
        </w:rPr>
        <w:t>111</w:t>
      </w:r>
      <w:r w:rsidRPr="00E07C9A">
        <w:fldChar w:fldCharType="end"/>
      </w:r>
      <w:r w:rsidRPr="00E07C9A">
        <w:t>.</w:t>
      </w:r>
      <w:r w:rsidRPr="00E07C9A">
        <w:tab/>
      </w:r>
      <w:r w:rsidR="009912F8" w:rsidRPr="00E07C9A">
        <w:t xml:space="preserve"> V </w:t>
      </w:r>
      <w:r w:rsidRPr="00E07C9A">
        <w:t>týchto vzoroch sa zhromažďujú informácie na základe jednotlivých transakcií (na rozdiel od súhrnných informácií vykazovaných vo vzoroch CR SEC, MKR SA SEC, MKR SA CTP, CA1</w:t>
      </w:r>
      <w:r w:rsidR="009912F8" w:rsidRPr="00E07C9A">
        <w:t xml:space="preserve"> a </w:t>
      </w:r>
      <w:r w:rsidRPr="00E07C9A">
        <w:t>CA2)</w:t>
      </w:r>
      <w:r w:rsidR="009912F8" w:rsidRPr="00E07C9A">
        <w:t xml:space="preserve"> o </w:t>
      </w:r>
      <w:r w:rsidRPr="00E07C9A">
        <w:t>všetkých sekuritizáciách, do ktorých je vykazovaná inštitúcia zapojená. Vykazujú sa hlavné prvky každej sekuritizácie, ako napríklad povaha podkladovej skupiny</w:t>
      </w:r>
      <w:r w:rsidR="009912F8" w:rsidRPr="00E07C9A">
        <w:t xml:space="preserve"> a </w:t>
      </w:r>
      <w:r w:rsidRPr="00E07C9A">
        <w:t>požiadavky na vlastné zdroje</w:t>
      </w:r>
      <w:r w:rsidR="009912F8" w:rsidRPr="00E07C9A">
        <w:t>.</w:t>
      </w:r>
    </w:p>
    <w:p w14:paraId="5BAA1CFA" w14:textId="3EFA953A" w:rsidR="00062A1F" w:rsidRPr="00E07C9A" w:rsidRDefault="002A18DE" w:rsidP="00487A02">
      <w:pPr>
        <w:pStyle w:val="InstructionsText2"/>
        <w:numPr>
          <w:ilvl w:val="0"/>
          <w:numId w:val="0"/>
        </w:numPr>
        <w:ind w:left="1353" w:hanging="360"/>
      </w:pPr>
      <w:fldSimple w:instr=" seq paragraphs ">
        <w:r w:rsidR="00132AEE">
          <w:rPr>
            <w:noProof/>
          </w:rPr>
          <w:t>112</w:t>
        </w:r>
      </w:fldSimple>
      <w:r w:rsidR="00C3070C" w:rsidRPr="00E07C9A">
        <w:t>.</w:t>
      </w:r>
      <w:r w:rsidR="00C3070C" w:rsidRPr="00E07C9A">
        <w:tab/>
      </w:r>
      <w:r w:rsidR="009912F8" w:rsidRPr="00E07C9A">
        <w:t xml:space="preserve"> V </w:t>
      </w:r>
      <w:r w:rsidR="00C3070C" w:rsidRPr="00E07C9A">
        <w:t>týchto vzoroch sa vykazujú:</w:t>
      </w:r>
    </w:p>
    <w:p w14:paraId="2826783E" w14:textId="174B80A7" w:rsidR="002409C1" w:rsidRPr="00E07C9A" w:rsidRDefault="00062A1F" w:rsidP="00487A02">
      <w:pPr>
        <w:pStyle w:val="InstructionsText2"/>
        <w:numPr>
          <w:ilvl w:val="0"/>
          <w:numId w:val="0"/>
        </w:numPr>
        <w:ind w:left="1353" w:hanging="360"/>
      </w:pPr>
      <w:r w:rsidRPr="00E07C9A">
        <w:t>a)</w:t>
      </w:r>
      <w:r w:rsidRPr="00E07C9A">
        <w:tab/>
        <w:t>Sekuritizácie,</w:t>
      </w:r>
      <w:r w:rsidR="009912F8" w:rsidRPr="00E07C9A">
        <w:t xml:space="preserve"> v </w:t>
      </w:r>
      <w:r w:rsidRPr="00E07C9A">
        <w:t>prípade ktorých je vykazujúca inštitúcia originátorom/sponzorom,</w:t>
      </w:r>
      <w:r w:rsidR="009912F8" w:rsidRPr="00E07C9A">
        <w:t xml:space="preserve"> a </w:t>
      </w:r>
      <w:r w:rsidRPr="00E07C9A">
        <w:t>to aj vtedy, keď</w:t>
      </w:r>
      <w:r w:rsidR="009912F8" w:rsidRPr="00E07C9A">
        <w:t xml:space="preserve"> v </w:t>
      </w:r>
      <w:r w:rsidRPr="00E07C9A">
        <w:t>sekuritizácii nedrží žiadnu pozíciu.</w:t>
      </w:r>
      <w:r w:rsidR="009912F8" w:rsidRPr="00E07C9A">
        <w:t xml:space="preserve"> V </w:t>
      </w:r>
      <w:r w:rsidRPr="00E07C9A">
        <w:t>prípadoch, keď inštitúcie držia</w:t>
      </w:r>
      <w:r w:rsidR="009912F8" w:rsidRPr="00E07C9A">
        <w:t xml:space="preserve"> v </w:t>
      </w:r>
      <w:r w:rsidRPr="00E07C9A">
        <w:t>sekuritizácii aspoň jednu pozíciu, bez ohľadu na to, či nastal prenos významného rizika alebo nie, inštitúcie vykazujú informácie</w:t>
      </w:r>
      <w:r w:rsidR="009912F8" w:rsidRPr="00E07C9A">
        <w:t xml:space="preserve"> o </w:t>
      </w:r>
      <w:r w:rsidRPr="00E07C9A">
        <w:t>všetkých pozíciách, ktoré držia (v bankovej knihe alebo obchodnej knihe). Držané pozície zahŕňajú pozície, ktoré boli ponechané</w:t>
      </w:r>
      <w:r w:rsidR="009912F8" w:rsidRPr="00E07C9A">
        <w:t xml:space="preserve"> v </w:t>
      </w:r>
      <w:r w:rsidRPr="00E07C9A">
        <w:t>dôsledku uplatnenia článku 6 nariadenia (EÚ) 2017/2402,</w:t>
      </w:r>
      <w:r w:rsidR="009912F8" w:rsidRPr="00E07C9A">
        <w:t xml:space="preserve"> a </w:t>
      </w:r>
      <w:r w:rsidRPr="00E07C9A">
        <w:t>keď sa uplatňuje článok 43 ods. 6 uvedeného nariadenia,</w:t>
      </w:r>
      <w:r w:rsidR="009912F8" w:rsidRPr="00E07C9A">
        <w:t xml:space="preserve"> v </w:t>
      </w:r>
      <w:r w:rsidRPr="00E07C9A">
        <w:t xml:space="preserve">dôsledku uplatnenia článku 405 nariadenia (EÚ) </w:t>
      </w:r>
      <w:r w:rsidR="009912F8" w:rsidRPr="00E07C9A">
        <w:t>č. 575/2013</w:t>
      </w:r>
      <w:r w:rsidRPr="00E07C9A">
        <w:t xml:space="preserve"> vo verzii, ktorá bola uplatniteľná</w:t>
      </w:r>
      <w:r w:rsidR="009912F8" w:rsidRPr="00E07C9A">
        <w:t xml:space="preserve"> k </w:t>
      </w:r>
      <w:r w:rsidRPr="00E07C9A">
        <w:t>31. decembru 2018.</w:t>
      </w:r>
    </w:p>
    <w:p w14:paraId="66DF98B2" w14:textId="70BE623B" w:rsidR="00062A1F" w:rsidRPr="00E07C9A" w:rsidRDefault="00062A1F" w:rsidP="00487A02">
      <w:pPr>
        <w:pStyle w:val="InstructionsText2"/>
        <w:numPr>
          <w:ilvl w:val="0"/>
          <w:numId w:val="0"/>
        </w:numPr>
        <w:ind w:left="1353" w:hanging="360"/>
      </w:pPr>
      <w:r w:rsidRPr="00E07C9A">
        <w:t>b)</w:t>
      </w:r>
      <w:r w:rsidRPr="00E07C9A">
        <w:tab/>
        <w:t>Sekuritizácie, ktorých základným podkladovým aktívom sú finančné záväzky pôvodne emitované vykazujúcou inštitúciou</w:t>
      </w:r>
      <w:r w:rsidR="009912F8" w:rsidRPr="00E07C9A">
        <w:t xml:space="preserve"> a </w:t>
      </w:r>
      <w:r w:rsidRPr="00E07C9A">
        <w:t>(čiastočne) nadobudnuté sekuritizačným subjektom. Toto podkladové aktívum by mohlo zahŕňať kryté dlhopisy alebo iné záväzky,</w:t>
      </w:r>
      <w:r w:rsidR="009912F8" w:rsidRPr="00E07C9A">
        <w:t xml:space="preserve"> a v </w:t>
      </w:r>
      <w:r w:rsidRPr="00E07C9A">
        <w:t>stĺpci 0160 sa teda musí takto aj označiť.</w:t>
      </w:r>
    </w:p>
    <w:p w14:paraId="2AF1CB05" w14:textId="62B381DF" w:rsidR="00062A1F" w:rsidRPr="00E07C9A" w:rsidRDefault="002409C1" w:rsidP="00487A02">
      <w:pPr>
        <w:pStyle w:val="InstructionsText2"/>
        <w:numPr>
          <w:ilvl w:val="0"/>
          <w:numId w:val="0"/>
        </w:numPr>
        <w:ind w:left="1353" w:hanging="360"/>
      </w:pPr>
      <w:r w:rsidRPr="00E07C9A">
        <w:t>c)</w:t>
      </w:r>
      <w:r w:rsidRPr="00E07C9A">
        <w:tab/>
        <w:t>Pozície držané</w:t>
      </w:r>
      <w:r w:rsidR="009912F8" w:rsidRPr="00E07C9A">
        <w:t xml:space="preserve"> v </w:t>
      </w:r>
      <w:r w:rsidRPr="00E07C9A">
        <w:t>sekuritizáciách, keď vykazujúca inštitúcia nie je originátorom ani sponzorom (t. j. investori</w:t>
      </w:r>
      <w:r w:rsidR="009912F8" w:rsidRPr="00E07C9A">
        <w:t xml:space="preserve"> a </w:t>
      </w:r>
      <w:r w:rsidRPr="00E07C9A">
        <w:t>pôvodní veritelia).</w:t>
      </w:r>
    </w:p>
    <w:p w14:paraId="67373E52" w14:textId="66F223C3" w:rsidR="00B814CA" w:rsidRPr="00E07C9A" w:rsidRDefault="00B814CA" w:rsidP="001235ED">
      <w:pPr>
        <w:pStyle w:val="InstructionsText2"/>
        <w:numPr>
          <w:ilvl w:val="0"/>
          <w:numId w:val="0"/>
        </w:numPr>
        <w:ind w:left="1353"/>
      </w:pPr>
      <w:r w:rsidRPr="00E07C9A">
        <w:t>Vzor C 14.01 sa vykazuje len pre sekuritizačné pozície,</w:t>
      </w:r>
      <w:r w:rsidR="009912F8" w:rsidRPr="00E07C9A">
        <w:t xml:space="preserve"> s </w:t>
      </w:r>
      <w:r w:rsidRPr="00E07C9A">
        <w:t>ktorými sa zaobchádza podľa rámca pre sekuritizáciu.</w:t>
      </w:r>
    </w:p>
    <w:p w14:paraId="69BA95AE" w14:textId="40D4AB9D" w:rsidR="009912F8" w:rsidRPr="00E07C9A" w:rsidRDefault="002A18DE" w:rsidP="00487A02">
      <w:pPr>
        <w:pStyle w:val="InstructionsText2"/>
        <w:numPr>
          <w:ilvl w:val="0"/>
          <w:numId w:val="0"/>
        </w:numPr>
        <w:ind w:left="1353" w:hanging="360"/>
      </w:pPr>
      <w:fldSimple w:instr=" seq paragraphs ">
        <w:r w:rsidR="00132AEE">
          <w:rPr>
            <w:noProof/>
          </w:rPr>
          <w:t>113</w:t>
        </w:r>
      </w:fldSimple>
      <w:r w:rsidR="00C3070C" w:rsidRPr="00E07C9A">
        <w:t>.</w:t>
      </w:r>
      <w:r w:rsidR="00C3070C" w:rsidRPr="00E07C9A">
        <w:tab/>
        <w:t xml:space="preserve"> Tieto vzory vykazujú konsolidované skupiny</w:t>
      </w:r>
      <w:r w:rsidR="009912F8" w:rsidRPr="00E07C9A">
        <w:t xml:space="preserve"> a </w:t>
      </w:r>
      <w:r w:rsidR="00C3070C" w:rsidRPr="00E07C9A">
        <w:t>samostatné inštitúcie</w:t>
      </w:r>
      <w:r w:rsidR="00C3070C" w:rsidRPr="00E07C9A">
        <w:rPr>
          <w:rStyle w:val="FootnoteReference"/>
          <w:rFonts w:ascii="Times New Roman" w:hAnsi="Times New Roman"/>
        </w:rPr>
        <w:footnoteReference w:id="7"/>
      </w:r>
      <w:r w:rsidR="00C3070C" w:rsidRPr="00E07C9A">
        <w:t xml:space="preserve"> so sídlom</w:t>
      </w:r>
      <w:r w:rsidR="009912F8" w:rsidRPr="00E07C9A">
        <w:t xml:space="preserve"> v </w:t>
      </w:r>
      <w:r w:rsidR="00C3070C" w:rsidRPr="00E07C9A">
        <w:t>tej istej krajine, kde sa na ne vzťahujú požiadavky na vlastné zdroje.</w:t>
      </w:r>
      <w:r w:rsidR="009912F8" w:rsidRPr="00E07C9A">
        <w:t xml:space="preserve"> V </w:t>
      </w:r>
      <w:r w:rsidR="00C3070C" w:rsidRPr="00E07C9A">
        <w:t>prípade sekuritizácií, ktoré sa týkajú viacerých subjektov tej istej konsolidovanej skupiny, sa uvedie podrobné rozčlenenie podľa jednotlivých subjektov</w:t>
      </w:r>
      <w:r w:rsidR="009912F8" w:rsidRPr="00E07C9A">
        <w:t>.</w:t>
      </w:r>
    </w:p>
    <w:p w14:paraId="1E7670E7" w14:textId="5921259A" w:rsidR="00062A1F" w:rsidRPr="00E07C9A" w:rsidRDefault="002A18DE" w:rsidP="00487A02">
      <w:pPr>
        <w:pStyle w:val="InstructionsText2"/>
        <w:numPr>
          <w:ilvl w:val="0"/>
          <w:numId w:val="0"/>
        </w:numPr>
        <w:ind w:left="1353" w:hanging="360"/>
      </w:pPr>
      <w:fldSimple w:instr=" seq paragraphs ">
        <w:r w:rsidR="00132AEE">
          <w:rPr>
            <w:noProof/>
          </w:rPr>
          <w:t>114</w:t>
        </w:r>
      </w:fldSimple>
      <w:r w:rsidR="00C3070C" w:rsidRPr="00E07C9A">
        <w:t>.</w:t>
      </w:r>
      <w:r w:rsidR="00C3070C" w:rsidRPr="00E07C9A">
        <w:tab/>
      </w:r>
      <w:r w:rsidR="009912F8" w:rsidRPr="00E07C9A">
        <w:t xml:space="preserve"> V </w:t>
      </w:r>
      <w:r w:rsidR="00C3070C" w:rsidRPr="00E07C9A">
        <w:t>dôsledku článku 5 nariadenia (EÚ) 2017/2402,</w:t>
      </w:r>
      <w:r w:rsidR="009912F8" w:rsidRPr="00E07C9A">
        <w:t xml:space="preserve"> v </w:t>
      </w:r>
      <w:r w:rsidR="00C3070C" w:rsidRPr="00E07C9A">
        <w:t>ktorom sa stanovuje, že inštitúcie investujúce do sekuritizačných pozícií získavajú</w:t>
      </w:r>
      <w:r w:rsidR="009912F8" w:rsidRPr="00E07C9A">
        <w:t xml:space="preserve"> o </w:t>
      </w:r>
      <w:r w:rsidR="00C3070C" w:rsidRPr="00E07C9A">
        <w:t>nich množstvo informácií</w:t>
      </w:r>
      <w:r w:rsidR="009912F8" w:rsidRPr="00E07C9A">
        <w:t xml:space="preserve"> s </w:t>
      </w:r>
      <w:r w:rsidR="00C3070C" w:rsidRPr="00E07C9A">
        <w:t>cieľom dodržať požiadavky na náležitú starostlivosť, sa rozsah vykazovania vzoru na investorov uplatňuje</w:t>
      </w:r>
      <w:r w:rsidR="009912F8" w:rsidRPr="00E07C9A">
        <w:t xml:space="preserve"> v </w:t>
      </w:r>
      <w:r w:rsidR="00C3070C" w:rsidRPr="00E07C9A">
        <w:t>obmedzenej miere. Konkrétne vykazujú stĺpce 0010 – 0040; 0070 – 0110; 0160; 0190; 0290 –⁠ 0300; 0310 – 0470.</w:t>
      </w:r>
    </w:p>
    <w:p w14:paraId="40D60DFB" w14:textId="5BE24980" w:rsidR="00062A1F" w:rsidRPr="00E07C9A" w:rsidRDefault="002A18DE" w:rsidP="00487A02">
      <w:pPr>
        <w:pStyle w:val="InstructionsText2"/>
        <w:numPr>
          <w:ilvl w:val="0"/>
          <w:numId w:val="0"/>
        </w:numPr>
        <w:ind w:left="1353" w:hanging="360"/>
      </w:pPr>
      <w:fldSimple w:instr=" seq paragraphs ">
        <w:r w:rsidR="00132AEE">
          <w:rPr>
            <w:noProof/>
          </w:rPr>
          <w:t>115</w:t>
        </w:r>
      </w:fldSimple>
      <w:r w:rsidR="00C3070C" w:rsidRPr="00E07C9A">
        <w:t>.</w:t>
      </w:r>
      <w:r w:rsidR="00C3070C" w:rsidRPr="00E07C9A">
        <w:tab/>
        <w:t xml:space="preserve"> Inštitúcie</w:t>
      </w:r>
      <w:r w:rsidR="009912F8" w:rsidRPr="00E07C9A">
        <w:t xml:space="preserve"> v </w:t>
      </w:r>
      <w:r w:rsidR="00C3070C" w:rsidRPr="00E07C9A">
        <w:t>úlohe pôvodných veriteľov (ktoré nevykonávajú aj úlohu originátorov alebo sponzorov</w:t>
      </w:r>
      <w:r w:rsidR="009912F8" w:rsidRPr="00E07C9A">
        <w:t xml:space="preserve"> v </w:t>
      </w:r>
      <w:r w:rsidR="00C3070C" w:rsidRPr="00E07C9A">
        <w:t>rovnakej sekuritizácii) vypĺňajú vzor spravidla</w:t>
      </w:r>
      <w:r w:rsidR="009912F8" w:rsidRPr="00E07C9A">
        <w:t xml:space="preserve"> v </w:t>
      </w:r>
      <w:r w:rsidR="00C3070C" w:rsidRPr="00E07C9A">
        <w:t>rovnakom rozsahu ako investori.</w:t>
      </w:r>
    </w:p>
    <w:p w14:paraId="6EE33BA2" w14:textId="77777777" w:rsidR="00062A1F" w:rsidRPr="00E07C9A" w:rsidRDefault="00A2220F" w:rsidP="003B3533">
      <w:pPr>
        <w:pStyle w:val="Instructionsberschrift2"/>
        <w:numPr>
          <w:ilvl w:val="0"/>
          <w:numId w:val="0"/>
        </w:numPr>
        <w:ind w:left="357" w:hanging="357"/>
        <w:rPr>
          <w:rFonts w:ascii="Times New Roman" w:hAnsi="Times New Roman" w:cs="Times New Roman"/>
          <w:sz w:val="24"/>
          <w:u w:val="none"/>
        </w:rPr>
      </w:pPr>
      <w:bookmarkStart w:id="431" w:name="_Toc522019892"/>
      <w:bookmarkStart w:id="432" w:name="_Toc115857828"/>
      <w:r w:rsidRPr="00E07C9A">
        <w:rPr>
          <w:rFonts w:ascii="Times New Roman" w:hAnsi="Times New Roman" w:cs="Times New Roman"/>
          <w:sz w:val="24"/>
          <w:u w:val="none"/>
        </w:rPr>
        <w:t>3.8.2. Rozčlenenie vzoru SEC DETAILS</w:t>
      </w:r>
      <w:bookmarkEnd w:id="431"/>
      <w:bookmarkEnd w:id="432"/>
    </w:p>
    <w:p w14:paraId="3005E1B2" w14:textId="62AB1235" w:rsidR="009912F8" w:rsidRPr="00E07C9A" w:rsidRDefault="002A18DE" w:rsidP="00487A02">
      <w:pPr>
        <w:pStyle w:val="InstructionsText2"/>
        <w:numPr>
          <w:ilvl w:val="0"/>
          <w:numId w:val="0"/>
        </w:numPr>
        <w:ind w:left="1353" w:hanging="360"/>
      </w:pPr>
      <w:fldSimple w:instr=" seq paragraphs ">
        <w:r w:rsidR="00132AEE">
          <w:rPr>
            <w:noProof/>
          </w:rPr>
          <w:t>116</w:t>
        </w:r>
      </w:fldSimple>
      <w:r w:rsidR="00C3070C" w:rsidRPr="00E07C9A">
        <w:t>. Vzor SEC DETAILS tvoria dva vzory. Vzor SEC DETAILS poskytuje všeobecný prehľad</w:t>
      </w:r>
      <w:r w:rsidR="009912F8" w:rsidRPr="00E07C9A">
        <w:t xml:space="preserve"> o </w:t>
      </w:r>
      <w:r w:rsidR="00C3070C" w:rsidRPr="00E07C9A">
        <w:t>sekuritizáciách. Vzor SEC DETAILS 2 poskytuje rozčlenenie sekuritizačných pozícií, na ktoré sa vzťahujú požiadavky na vlastné zdroje</w:t>
      </w:r>
      <w:r w:rsidR="009912F8" w:rsidRPr="00E07C9A">
        <w:t xml:space="preserve"> v </w:t>
      </w:r>
      <w:r w:rsidR="00C3070C" w:rsidRPr="00E07C9A">
        <w:t>súlade</w:t>
      </w:r>
      <w:r w:rsidR="009912F8" w:rsidRPr="00E07C9A">
        <w:t xml:space="preserve"> s </w:t>
      </w:r>
      <w:r w:rsidR="00C3070C" w:rsidRPr="00E07C9A">
        <w:t xml:space="preserve">treťou časťou hlavou II kapitolou 5 oddielom 3 nariadenia (EÚ) </w:t>
      </w:r>
      <w:r w:rsidR="009912F8" w:rsidRPr="00E07C9A">
        <w:t>č. 575/2013</w:t>
      </w:r>
      <w:r w:rsidR="00C3070C" w:rsidRPr="00E07C9A">
        <w:t>, podľa uplatneného prístupu</w:t>
      </w:r>
      <w:r w:rsidR="009912F8" w:rsidRPr="00E07C9A">
        <w:t>.</w:t>
      </w:r>
    </w:p>
    <w:p w14:paraId="3E0F8095" w14:textId="3BE7F98B" w:rsidR="009912F8" w:rsidRPr="00E07C9A" w:rsidRDefault="002A18DE" w:rsidP="00487A02">
      <w:pPr>
        <w:pStyle w:val="InstructionsText2"/>
        <w:numPr>
          <w:ilvl w:val="0"/>
          <w:numId w:val="0"/>
        </w:numPr>
        <w:ind w:left="1353" w:hanging="360"/>
      </w:pPr>
      <w:fldSimple w:instr=" seq paragraphs ">
        <w:r w:rsidR="00132AEE">
          <w:rPr>
            <w:noProof/>
          </w:rPr>
          <w:t>117</w:t>
        </w:r>
      </w:fldSimple>
      <w:r w:rsidR="00C3070C" w:rsidRPr="00E07C9A">
        <w:t>. Sekuritizačné pozície</w:t>
      </w:r>
      <w:r w:rsidR="009912F8" w:rsidRPr="00E07C9A">
        <w:t xml:space="preserve"> v </w:t>
      </w:r>
      <w:r w:rsidR="00C3070C" w:rsidRPr="00E07C9A">
        <w:t>obchodnej knihe sa vykazujú len</w:t>
      </w:r>
      <w:r w:rsidR="009912F8" w:rsidRPr="00E07C9A">
        <w:t xml:space="preserve"> v </w:t>
      </w:r>
      <w:r w:rsidR="00C3070C" w:rsidRPr="00E07C9A">
        <w:t>stĺpcoch 0010 – 0020, 0420, 0430, 0431, 0432, 0440</w:t>
      </w:r>
      <w:r w:rsidR="009912F8" w:rsidRPr="00E07C9A">
        <w:t xml:space="preserve"> a </w:t>
      </w:r>
      <w:r w:rsidR="00C3070C" w:rsidRPr="00E07C9A">
        <w:t>0450 – 0470. Pri stĺpcoch 0420, 0430</w:t>
      </w:r>
      <w:r w:rsidR="009912F8" w:rsidRPr="00E07C9A">
        <w:t xml:space="preserve"> a </w:t>
      </w:r>
      <w:r w:rsidR="00C3070C" w:rsidRPr="00E07C9A">
        <w:t>0440 inštitúcie zohľadňujú rizikovú váhu zodpovedajúcu požiadavke na vlastné zdroje čistej pozície</w:t>
      </w:r>
      <w:r w:rsidR="009912F8" w:rsidRPr="00E07C9A">
        <w:t>.</w:t>
      </w:r>
    </w:p>
    <w:p w14:paraId="5A4B4B04" w14:textId="35B6F15F" w:rsidR="00612780" w:rsidRPr="00E07C9A" w:rsidRDefault="00A2220F">
      <w:pPr>
        <w:pStyle w:val="Instructionsberschrift2"/>
        <w:numPr>
          <w:ilvl w:val="0"/>
          <w:numId w:val="0"/>
        </w:numPr>
        <w:ind w:left="357" w:hanging="357"/>
        <w:rPr>
          <w:rFonts w:ascii="Times New Roman" w:hAnsi="Times New Roman" w:cs="Times New Roman"/>
          <w:sz w:val="24"/>
          <w:u w:val="none"/>
        </w:rPr>
      </w:pPr>
      <w:bookmarkStart w:id="433" w:name="_Toc115857829"/>
      <w:r w:rsidRPr="00E07C9A">
        <w:rPr>
          <w:rFonts w:ascii="Times New Roman" w:hAnsi="Times New Roman" w:cs="Times New Roman"/>
          <w:sz w:val="24"/>
          <w:u w:val="none"/>
        </w:rPr>
        <w:t>3.8.3. C 14.00 – Podrobné informácie</w:t>
      </w:r>
      <w:r w:rsidR="009912F8" w:rsidRPr="00E07C9A">
        <w:rPr>
          <w:rFonts w:ascii="Times New Roman" w:hAnsi="Times New Roman" w:cs="Times New Roman"/>
          <w:sz w:val="24"/>
          <w:u w:val="none"/>
        </w:rPr>
        <w:t xml:space="preserve"> o </w:t>
      </w:r>
      <w:r w:rsidRPr="00E07C9A">
        <w:rPr>
          <w:rFonts w:ascii="Times New Roman" w:hAnsi="Times New Roman" w:cs="Times New Roman"/>
          <w:sz w:val="24"/>
          <w:u w:val="none"/>
        </w:rPr>
        <w:t>sekuritizáciách (SEC DETAILS)</w:t>
      </w:r>
      <w:bookmarkEnd w:id="428"/>
      <w:bookmarkEnd w:id="429"/>
      <w:bookmarkEnd w:id="430"/>
      <w:bookmarkEnd w:id="433"/>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C55547" w:rsidRPr="00E07C9A" w14:paraId="4248EDE3" w14:textId="77777777" w:rsidTr="00E10B85">
        <w:tc>
          <w:tcPr>
            <w:tcW w:w="9004" w:type="dxa"/>
            <w:gridSpan w:val="2"/>
            <w:shd w:val="clear" w:color="auto" w:fill="CCCCCC"/>
          </w:tcPr>
          <w:p w14:paraId="1589BDAF" w14:textId="77777777" w:rsidR="00C55547" w:rsidRPr="00E07C9A" w:rsidRDefault="00C55547" w:rsidP="00E10B85">
            <w:pPr>
              <w:autoSpaceDE w:val="0"/>
              <w:autoSpaceDN w:val="0"/>
              <w:adjustRightInd w:val="0"/>
              <w:spacing w:before="0" w:after="0"/>
              <w:rPr>
                <w:rFonts w:ascii="Times New Roman" w:hAnsi="Times New Roman"/>
                <w:bCs/>
                <w:sz w:val="24"/>
                <w:lang w:eastAsia="nl-BE"/>
              </w:rPr>
            </w:pPr>
          </w:p>
          <w:p w14:paraId="603EA542" w14:textId="77777777" w:rsidR="00C55547" w:rsidRPr="00E07C9A" w:rsidRDefault="00C55547" w:rsidP="00E10B85">
            <w:pPr>
              <w:autoSpaceDE w:val="0"/>
              <w:autoSpaceDN w:val="0"/>
              <w:adjustRightInd w:val="0"/>
              <w:spacing w:before="0" w:after="0"/>
              <w:rPr>
                <w:rFonts w:ascii="Times New Roman" w:hAnsi="Times New Roman"/>
                <w:b/>
                <w:bCs/>
                <w:sz w:val="24"/>
              </w:rPr>
            </w:pPr>
            <w:r w:rsidRPr="00E07C9A">
              <w:rPr>
                <w:rFonts w:ascii="Times New Roman" w:hAnsi="Times New Roman"/>
                <w:b/>
                <w:sz w:val="24"/>
              </w:rPr>
              <w:t>Stĺpce</w:t>
            </w:r>
          </w:p>
          <w:p w14:paraId="5E56C824" w14:textId="77777777" w:rsidR="00C55547" w:rsidRPr="00E07C9A" w:rsidRDefault="00C55547" w:rsidP="00E10B85">
            <w:pPr>
              <w:autoSpaceDE w:val="0"/>
              <w:autoSpaceDN w:val="0"/>
              <w:adjustRightInd w:val="0"/>
              <w:spacing w:before="0" w:after="0"/>
              <w:rPr>
                <w:rFonts w:ascii="Times New Roman" w:hAnsi="Times New Roman"/>
                <w:bCs/>
                <w:sz w:val="24"/>
                <w:lang w:eastAsia="nl-BE"/>
              </w:rPr>
            </w:pPr>
          </w:p>
        </w:tc>
      </w:tr>
      <w:tr w:rsidR="00C55547" w:rsidRPr="00E07C9A" w14:paraId="2A0F07B3" w14:textId="77777777" w:rsidTr="00E10B85">
        <w:tc>
          <w:tcPr>
            <w:tcW w:w="1101" w:type="dxa"/>
          </w:tcPr>
          <w:p w14:paraId="02DAEB05" w14:textId="77777777" w:rsidR="00C55547" w:rsidRPr="00E07C9A" w:rsidRDefault="00C55547" w:rsidP="00E10B85">
            <w:pPr>
              <w:autoSpaceDE w:val="0"/>
              <w:autoSpaceDN w:val="0"/>
              <w:adjustRightInd w:val="0"/>
              <w:spacing w:before="0" w:after="0"/>
              <w:rPr>
                <w:rFonts w:ascii="Times New Roman" w:hAnsi="Times New Roman"/>
                <w:bCs/>
                <w:sz w:val="24"/>
              </w:rPr>
            </w:pPr>
            <w:r w:rsidRPr="00E07C9A">
              <w:rPr>
                <w:rFonts w:ascii="Times New Roman" w:hAnsi="Times New Roman"/>
                <w:sz w:val="24"/>
              </w:rPr>
              <w:t>0010</w:t>
            </w:r>
          </w:p>
        </w:tc>
        <w:tc>
          <w:tcPr>
            <w:tcW w:w="7903" w:type="dxa"/>
          </w:tcPr>
          <w:p w14:paraId="2376D238" w14:textId="77777777" w:rsidR="00C55547" w:rsidRPr="00E07C9A" w:rsidRDefault="00C55547" w:rsidP="00E10B85">
            <w:pPr>
              <w:spacing w:before="0" w:after="0"/>
              <w:jc w:val="left"/>
              <w:rPr>
                <w:rFonts w:ascii="Times New Roman" w:hAnsi="Times New Roman"/>
                <w:b/>
                <w:sz w:val="24"/>
                <w:u w:val="single"/>
              </w:rPr>
            </w:pPr>
            <w:r w:rsidRPr="00E07C9A">
              <w:rPr>
                <w:rFonts w:ascii="Times New Roman" w:hAnsi="Times New Roman"/>
                <w:b/>
                <w:sz w:val="24"/>
                <w:u w:val="single"/>
              </w:rPr>
              <w:t>INTERNÝ KÓD</w:t>
            </w:r>
          </w:p>
          <w:p w14:paraId="206B790D" w14:textId="77777777" w:rsidR="00C55547" w:rsidRPr="00E07C9A" w:rsidRDefault="00C55547" w:rsidP="00E10B85">
            <w:pPr>
              <w:spacing w:before="0" w:after="0"/>
              <w:jc w:val="left"/>
              <w:rPr>
                <w:rFonts w:ascii="Times New Roman" w:hAnsi="Times New Roman"/>
                <w:sz w:val="24"/>
              </w:rPr>
            </w:pPr>
          </w:p>
          <w:p w14:paraId="560FB5DF" w14:textId="77777777" w:rsidR="006C5A49" w:rsidRPr="00E07C9A" w:rsidRDefault="00D956C2" w:rsidP="00D956C2">
            <w:pPr>
              <w:autoSpaceDE w:val="0"/>
              <w:autoSpaceDN w:val="0"/>
              <w:adjustRightInd w:val="0"/>
              <w:spacing w:before="0" w:after="0"/>
              <w:rPr>
                <w:rFonts w:ascii="Times New Roman" w:hAnsi="Times New Roman"/>
                <w:sz w:val="24"/>
              </w:rPr>
            </w:pPr>
            <w:r w:rsidRPr="00E07C9A">
              <w:rPr>
                <w:rFonts w:ascii="Times New Roman" w:hAnsi="Times New Roman"/>
                <w:sz w:val="24"/>
              </w:rPr>
              <w:t>Interný (alfanumerický) kód, ktorý inštitúcia používa na identifikáciu sekuritizácie.</w:t>
            </w:r>
          </w:p>
          <w:p w14:paraId="33C11729" w14:textId="77777777" w:rsidR="006C5A49" w:rsidRPr="00E07C9A" w:rsidRDefault="006C5A49" w:rsidP="00D956C2">
            <w:pPr>
              <w:autoSpaceDE w:val="0"/>
              <w:autoSpaceDN w:val="0"/>
              <w:adjustRightInd w:val="0"/>
              <w:spacing w:before="0" w:after="0"/>
              <w:rPr>
                <w:rFonts w:ascii="Times New Roman" w:hAnsi="Times New Roman"/>
                <w:sz w:val="24"/>
              </w:rPr>
            </w:pPr>
          </w:p>
          <w:p w14:paraId="11A24FFF" w14:textId="77777777" w:rsidR="00D956C2" w:rsidRPr="00E07C9A" w:rsidRDefault="00D956C2" w:rsidP="00D956C2">
            <w:pPr>
              <w:autoSpaceDE w:val="0"/>
              <w:autoSpaceDN w:val="0"/>
              <w:adjustRightInd w:val="0"/>
              <w:spacing w:before="0" w:after="0"/>
              <w:rPr>
                <w:rFonts w:ascii="Times New Roman" w:hAnsi="Times New Roman"/>
                <w:sz w:val="24"/>
              </w:rPr>
            </w:pPr>
            <w:r w:rsidRPr="00E07C9A">
              <w:rPr>
                <w:rFonts w:ascii="Times New Roman" w:hAnsi="Times New Roman"/>
                <w:sz w:val="24"/>
              </w:rPr>
              <w:t>Interný kód je priradený identifikátoru sekuritizačnej transakcie.</w:t>
            </w:r>
          </w:p>
          <w:p w14:paraId="1AE3A3C9" w14:textId="77777777" w:rsidR="00C55547" w:rsidRPr="00E07C9A"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E07C9A" w14:paraId="76F45A25" w14:textId="77777777" w:rsidTr="00E10B85">
        <w:tc>
          <w:tcPr>
            <w:tcW w:w="1101" w:type="dxa"/>
          </w:tcPr>
          <w:p w14:paraId="1DA721EA" w14:textId="77777777" w:rsidR="00C55547" w:rsidRPr="00E07C9A" w:rsidRDefault="00C55547" w:rsidP="00E10B85">
            <w:pPr>
              <w:autoSpaceDE w:val="0"/>
              <w:autoSpaceDN w:val="0"/>
              <w:adjustRightInd w:val="0"/>
              <w:spacing w:before="0" w:after="0"/>
              <w:rPr>
                <w:rFonts w:ascii="Times New Roman" w:hAnsi="Times New Roman"/>
                <w:bCs/>
                <w:sz w:val="24"/>
              </w:rPr>
            </w:pPr>
            <w:r w:rsidRPr="00E07C9A">
              <w:rPr>
                <w:rFonts w:ascii="Times New Roman" w:hAnsi="Times New Roman"/>
                <w:sz w:val="24"/>
              </w:rPr>
              <w:t>0020</w:t>
            </w:r>
          </w:p>
        </w:tc>
        <w:tc>
          <w:tcPr>
            <w:tcW w:w="7903" w:type="dxa"/>
          </w:tcPr>
          <w:p w14:paraId="2FCCD737" w14:textId="6285FCDA" w:rsidR="00C55547" w:rsidRPr="00E07C9A" w:rsidRDefault="00C55547" w:rsidP="00E10B85">
            <w:pPr>
              <w:autoSpaceDE w:val="0"/>
              <w:autoSpaceDN w:val="0"/>
              <w:adjustRightInd w:val="0"/>
              <w:spacing w:before="0" w:after="0"/>
              <w:jc w:val="left"/>
              <w:rPr>
                <w:rFonts w:ascii="Times New Roman" w:hAnsi="Times New Roman"/>
                <w:b/>
                <w:sz w:val="24"/>
                <w:u w:val="single"/>
              </w:rPr>
            </w:pPr>
            <w:r w:rsidRPr="00E07C9A">
              <w:rPr>
                <w:rFonts w:ascii="Times New Roman" w:hAnsi="Times New Roman"/>
                <w:b/>
                <w:sz w:val="24"/>
                <w:u w:val="single"/>
              </w:rPr>
              <w:t>IDENTIFIKÁTOR SEKURITIZÁCIE</w:t>
            </w:r>
          </w:p>
          <w:p w14:paraId="60691E36" w14:textId="77777777" w:rsidR="00C55547" w:rsidRPr="00E07C9A" w:rsidRDefault="00C55547" w:rsidP="00E10B85">
            <w:pPr>
              <w:spacing w:before="0" w:after="0"/>
              <w:jc w:val="left"/>
              <w:rPr>
                <w:rFonts w:ascii="Times New Roman" w:hAnsi="Times New Roman"/>
                <w:sz w:val="24"/>
              </w:rPr>
            </w:pPr>
          </w:p>
          <w:p w14:paraId="253E1E04" w14:textId="58D4687F" w:rsidR="009912F8" w:rsidRPr="00E07C9A" w:rsidRDefault="00C55547"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Kód používaný na zákonnú registráciu sekuritizačnej transakcie alebo, ak nie je</w:t>
            </w:r>
            <w:r w:rsidR="009912F8" w:rsidRPr="00E07C9A">
              <w:rPr>
                <w:rFonts w:ascii="Times New Roman" w:hAnsi="Times New Roman"/>
                <w:sz w:val="24"/>
              </w:rPr>
              <w:t xml:space="preserve"> k </w:t>
            </w:r>
            <w:r w:rsidRPr="00E07C9A">
              <w:rPr>
                <w:rFonts w:ascii="Times New Roman" w:hAnsi="Times New Roman"/>
                <w:sz w:val="24"/>
              </w:rPr>
              <w:t>dispozícii, názov, pod ktorým je sekuritizačná transakcia známa na trhu alebo</w:t>
            </w:r>
            <w:r w:rsidR="009912F8" w:rsidRPr="00E07C9A">
              <w:rPr>
                <w:rFonts w:ascii="Times New Roman" w:hAnsi="Times New Roman"/>
                <w:sz w:val="24"/>
              </w:rPr>
              <w:t xml:space="preserve"> v </w:t>
            </w:r>
            <w:r w:rsidRPr="00E07C9A">
              <w:rPr>
                <w:rFonts w:ascii="Times New Roman" w:hAnsi="Times New Roman"/>
                <w:sz w:val="24"/>
              </w:rPr>
              <w:t>rámci inštitúcie, ak ide</w:t>
            </w:r>
            <w:r w:rsidR="009912F8" w:rsidRPr="00E07C9A">
              <w:rPr>
                <w:rFonts w:ascii="Times New Roman" w:hAnsi="Times New Roman"/>
                <w:sz w:val="24"/>
              </w:rPr>
              <w:t xml:space="preserve"> o </w:t>
            </w:r>
            <w:r w:rsidRPr="00E07C9A">
              <w:rPr>
                <w:rFonts w:ascii="Times New Roman" w:hAnsi="Times New Roman"/>
                <w:sz w:val="24"/>
              </w:rPr>
              <w:t>internú alebo súkromnú sekuritizáciu</w:t>
            </w:r>
            <w:r w:rsidR="009912F8" w:rsidRPr="00E07C9A">
              <w:rPr>
                <w:rFonts w:ascii="Times New Roman" w:hAnsi="Times New Roman"/>
                <w:sz w:val="24"/>
              </w:rPr>
              <w:t>.</w:t>
            </w:r>
          </w:p>
          <w:p w14:paraId="41FCBDD3" w14:textId="7FB6DCB6" w:rsidR="006C5A49" w:rsidRPr="00E07C9A" w:rsidRDefault="006C5A49" w:rsidP="00E10B85">
            <w:pPr>
              <w:autoSpaceDE w:val="0"/>
              <w:autoSpaceDN w:val="0"/>
              <w:adjustRightInd w:val="0"/>
              <w:spacing w:before="0" w:after="0"/>
              <w:rPr>
                <w:rFonts w:ascii="Times New Roman" w:hAnsi="Times New Roman"/>
                <w:sz w:val="24"/>
              </w:rPr>
            </w:pPr>
          </w:p>
          <w:p w14:paraId="180B21F2" w14:textId="5D0A7BD4" w:rsidR="00C55547" w:rsidRPr="00E07C9A" w:rsidRDefault="00C55547"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Keď je</w:t>
            </w:r>
            <w:r w:rsidR="009912F8" w:rsidRPr="00E07C9A">
              <w:rPr>
                <w:rFonts w:ascii="Times New Roman" w:hAnsi="Times New Roman"/>
                <w:sz w:val="24"/>
              </w:rPr>
              <w:t xml:space="preserve"> k </w:t>
            </w:r>
            <w:r w:rsidRPr="00E07C9A">
              <w:rPr>
                <w:rFonts w:ascii="Times New Roman" w:hAnsi="Times New Roman"/>
                <w:sz w:val="24"/>
              </w:rPr>
              <w:t>dispozícii medzinárodné identifikačné číslo cenného papiera ISIN (t. j. pre verejné transakcie),</w:t>
            </w:r>
            <w:r w:rsidR="009912F8" w:rsidRPr="00E07C9A">
              <w:rPr>
                <w:rFonts w:ascii="Times New Roman" w:hAnsi="Times New Roman"/>
                <w:sz w:val="24"/>
              </w:rPr>
              <w:t xml:space="preserve"> v </w:t>
            </w:r>
            <w:r w:rsidRPr="00E07C9A">
              <w:rPr>
                <w:rFonts w:ascii="Times New Roman" w:hAnsi="Times New Roman"/>
                <w:sz w:val="24"/>
              </w:rPr>
              <w:t>tomto stĺpci sa vykazujú znaky, ktoré sú spoločné pre všetky tranže sekuritizácie.</w:t>
            </w:r>
          </w:p>
          <w:p w14:paraId="7E21EFAA" w14:textId="77777777" w:rsidR="00C55547" w:rsidRPr="00E07C9A"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E07C9A" w14:paraId="70E34DA8" w14:textId="77777777" w:rsidTr="00E10B85">
        <w:tc>
          <w:tcPr>
            <w:tcW w:w="1101" w:type="dxa"/>
          </w:tcPr>
          <w:p w14:paraId="1733345B" w14:textId="77777777" w:rsidR="00C55547" w:rsidRPr="00E07C9A" w:rsidRDefault="00C55547"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0021</w:t>
            </w:r>
          </w:p>
        </w:tc>
        <w:tc>
          <w:tcPr>
            <w:tcW w:w="7903" w:type="dxa"/>
          </w:tcPr>
          <w:p w14:paraId="226C44BA" w14:textId="6B7F3B2A" w:rsidR="00C55547" w:rsidRPr="00E07C9A" w:rsidRDefault="00C55547" w:rsidP="00E10B85">
            <w:pPr>
              <w:autoSpaceDE w:val="0"/>
              <w:autoSpaceDN w:val="0"/>
              <w:adjustRightInd w:val="0"/>
              <w:spacing w:before="0" w:after="0"/>
              <w:jc w:val="left"/>
              <w:rPr>
                <w:rFonts w:ascii="Times New Roman" w:hAnsi="Times New Roman"/>
                <w:b/>
                <w:sz w:val="24"/>
                <w:u w:val="single"/>
              </w:rPr>
            </w:pPr>
            <w:r w:rsidRPr="00E07C9A">
              <w:rPr>
                <w:rFonts w:ascii="Times New Roman" w:hAnsi="Times New Roman"/>
                <w:b/>
                <w:sz w:val="24"/>
                <w:u w:val="single"/>
              </w:rPr>
              <w:t>SEKURITIZÁCIA</w:t>
            </w:r>
            <w:r w:rsidR="009912F8" w:rsidRPr="00E07C9A">
              <w:rPr>
                <w:rFonts w:ascii="Times New Roman" w:hAnsi="Times New Roman"/>
                <w:b/>
                <w:sz w:val="24"/>
                <w:u w:val="single"/>
              </w:rPr>
              <w:t xml:space="preserve"> V </w:t>
            </w:r>
            <w:r w:rsidRPr="00E07C9A">
              <w:rPr>
                <w:rFonts w:ascii="Times New Roman" w:hAnsi="Times New Roman"/>
                <w:b/>
                <w:sz w:val="24"/>
                <w:u w:val="single"/>
              </w:rPr>
              <w:t>RÁMCI SKUPINY, SÚKROMNÁ ALEBO VEREJNÁ SEKURITIZÁCIA?</w:t>
            </w:r>
          </w:p>
          <w:p w14:paraId="2E9559DB" w14:textId="77777777" w:rsidR="00C55547" w:rsidRPr="00E07C9A" w:rsidRDefault="00C55547" w:rsidP="00E10B85">
            <w:pPr>
              <w:autoSpaceDE w:val="0"/>
              <w:autoSpaceDN w:val="0"/>
              <w:adjustRightInd w:val="0"/>
              <w:spacing w:before="0" w:after="0"/>
              <w:jc w:val="left"/>
              <w:rPr>
                <w:rFonts w:ascii="Times New Roman" w:hAnsi="Times New Roman"/>
                <w:b/>
                <w:sz w:val="24"/>
                <w:u w:val="single"/>
              </w:rPr>
            </w:pPr>
          </w:p>
          <w:p w14:paraId="32A4E892" w14:textId="2D1F2B59" w:rsidR="00C55547" w:rsidRPr="00E07C9A" w:rsidRDefault="00C55547" w:rsidP="00E10B85">
            <w:pPr>
              <w:autoSpaceDE w:val="0"/>
              <w:autoSpaceDN w:val="0"/>
              <w:adjustRightInd w:val="0"/>
              <w:spacing w:before="0" w:after="0"/>
              <w:jc w:val="left"/>
              <w:rPr>
                <w:rFonts w:ascii="Times New Roman" w:hAnsi="Times New Roman"/>
                <w:sz w:val="24"/>
              </w:rPr>
            </w:pPr>
            <w:r w:rsidRPr="00E07C9A">
              <w:rPr>
                <w:rFonts w:ascii="Times New Roman" w:hAnsi="Times New Roman"/>
                <w:sz w:val="24"/>
              </w:rPr>
              <w:t>V tomto stĺpci sa identifikuje, či je daná sekuritizácia sekuritizáciou</w:t>
            </w:r>
            <w:r w:rsidR="009912F8" w:rsidRPr="00E07C9A">
              <w:rPr>
                <w:rFonts w:ascii="Times New Roman" w:hAnsi="Times New Roman"/>
                <w:sz w:val="24"/>
              </w:rPr>
              <w:t xml:space="preserve"> v </w:t>
            </w:r>
            <w:r w:rsidRPr="00E07C9A">
              <w:rPr>
                <w:rFonts w:ascii="Times New Roman" w:hAnsi="Times New Roman"/>
                <w:sz w:val="24"/>
              </w:rPr>
              <w:t>rámci skupiny, súkromnou alebo verejnou sekuritizáciou.</w:t>
            </w:r>
          </w:p>
          <w:p w14:paraId="7B7B03D9" w14:textId="77777777" w:rsidR="00C55547" w:rsidRPr="00E07C9A" w:rsidRDefault="00C55547" w:rsidP="00E10B85">
            <w:pPr>
              <w:autoSpaceDE w:val="0"/>
              <w:autoSpaceDN w:val="0"/>
              <w:adjustRightInd w:val="0"/>
              <w:spacing w:before="0" w:after="0"/>
              <w:jc w:val="left"/>
              <w:rPr>
                <w:rFonts w:ascii="Times New Roman" w:hAnsi="Times New Roman"/>
                <w:sz w:val="24"/>
              </w:rPr>
            </w:pPr>
          </w:p>
          <w:p w14:paraId="394FA1BB" w14:textId="7376A63E" w:rsidR="00C55547" w:rsidRPr="00E07C9A" w:rsidRDefault="00E20FAC" w:rsidP="00E10B85">
            <w:pPr>
              <w:autoSpaceDE w:val="0"/>
              <w:autoSpaceDN w:val="0"/>
              <w:adjustRightInd w:val="0"/>
              <w:spacing w:before="0" w:after="0"/>
              <w:jc w:val="left"/>
              <w:rPr>
                <w:rFonts w:ascii="Times New Roman" w:hAnsi="Times New Roman"/>
                <w:sz w:val="24"/>
              </w:rPr>
            </w:pPr>
            <w:r w:rsidRPr="00E07C9A">
              <w:rPr>
                <w:rFonts w:ascii="Times New Roman" w:hAnsi="Times New Roman"/>
                <w:sz w:val="24"/>
              </w:rPr>
              <w:t>Inštitúcie vykazujú jednu</w:t>
            </w:r>
            <w:r w:rsidR="009912F8" w:rsidRPr="00E07C9A">
              <w:rPr>
                <w:rFonts w:ascii="Times New Roman" w:hAnsi="Times New Roman"/>
                <w:sz w:val="24"/>
              </w:rPr>
              <w:t xml:space="preserve"> z </w:t>
            </w:r>
            <w:r w:rsidRPr="00E07C9A">
              <w:rPr>
                <w:rFonts w:ascii="Times New Roman" w:hAnsi="Times New Roman"/>
                <w:sz w:val="24"/>
              </w:rPr>
              <w:t>týchto možností:</w:t>
            </w:r>
          </w:p>
          <w:p w14:paraId="3EFC4D30" w14:textId="77777777" w:rsidR="00C55547" w:rsidRPr="00E07C9A" w:rsidRDefault="00C55547" w:rsidP="00E10B85">
            <w:pPr>
              <w:autoSpaceDE w:val="0"/>
              <w:autoSpaceDN w:val="0"/>
              <w:adjustRightInd w:val="0"/>
              <w:spacing w:before="0" w:after="0"/>
              <w:jc w:val="left"/>
              <w:rPr>
                <w:rFonts w:ascii="Times New Roman" w:hAnsi="Times New Roman"/>
                <w:sz w:val="24"/>
              </w:rPr>
            </w:pPr>
          </w:p>
          <w:p w14:paraId="702A0480" w14:textId="55CF4710" w:rsidR="00C55547" w:rsidRPr="00E07C9A" w:rsidRDefault="00C55547" w:rsidP="005C4397">
            <w:pPr>
              <w:pStyle w:val="ListParagraph"/>
              <w:numPr>
                <w:ilvl w:val="0"/>
                <w:numId w:val="25"/>
              </w:numPr>
              <w:autoSpaceDE w:val="0"/>
              <w:autoSpaceDN w:val="0"/>
              <w:adjustRightInd w:val="0"/>
              <w:spacing w:before="0" w:after="0"/>
              <w:jc w:val="left"/>
              <w:rPr>
                <w:rFonts w:ascii="Times New Roman" w:hAnsi="Times New Roman"/>
                <w:sz w:val="24"/>
              </w:rPr>
            </w:pPr>
            <w:r w:rsidRPr="00E07C9A">
              <w:rPr>
                <w:rFonts w:ascii="Times New Roman" w:hAnsi="Times New Roman"/>
                <w:sz w:val="24"/>
              </w:rPr>
              <w:t>súkromná sekuritizácia,</w:t>
            </w:r>
          </w:p>
          <w:p w14:paraId="16FB8914" w14:textId="58624586" w:rsidR="00BF67D7" w:rsidRPr="00E07C9A" w:rsidRDefault="00C55547" w:rsidP="005C4397">
            <w:pPr>
              <w:pStyle w:val="ListParagraph"/>
              <w:numPr>
                <w:ilvl w:val="0"/>
                <w:numId w:val="25"/>
              </w:numPr>
              <w:autoSpaceDE w:val="0"/>
              <w:autoSpaceDN w:val="0"/>
              <w:adjustRightInd w:val="0"/>
              <w:spacing w:before="0" w:after="0"/>
              <w:jc w:val="left"/>
              <w:rPr>
                <w:rFonts w:ascii="Times New Roman" w:hAnsi="Times New Roman"/>
                <w:sz w:val="24"/>
              </w:rPr>
            </w:pPr>
            <w:r w:rsidRPr="00E07C9A">
              <w:rPr>
                <w:rFonts w:ascii="Times New Roman" w:hAnsi="Times New Roman"/>
                <w:sz w:val="24"/>
              </w:rPr>
              <w:t>sekuritizácia</w:t>
            </w:r>
            <w:r w:rsidR="009912F8" w:rsidRPr="00E07C9A">
              <w:rPr>
                <w:rFonts w:ascii="Times New Roman" w:hAnsi="Times New Roman"/>
                <w:sz w:val="24"/>
              </w:rPr>
              <w:t xml:space="preserve"> v </w:t>
            </w:r>
            <w:r w:rsidRPr="00E07C9A">
              <w:rPr>
                <w:rFonts w:ascii="Times New Roman" w:hAnsi="Times New Roman"/>
                <w:sz w:val="24"/>
              </w:rPr>
              <w:t>rámci skupiny,</w:t>
            </w:r>
          </w:p>
          <w:p w14:paraId="4AC6915E" w14:textId="0C967364" w:rsidR="00C55547" w:rsidRPr="00E07C9A" w:rsidRDefault="00C55547" w:rsidP="005C4397">
            <w:pPr>
              <w:pStyle w:val="ListParagraph"/>
              <w:numPr>
                <w:ilvl w:val="0"/>
                <w:numId w:val="25"/>
              </w:numPr>
              <w:autoSpaceDE w:val="0"/>
              <w:autoSpaceDN w:val="0"/>
              <w:adjustRightInd w:val="0"/>
              <w:spacing w:before="0" w:after="0"/>
              <w:jc w:val="left"/>
              <w:rPr>
                <w:rFonts w:ascii="Times New Roman" w:hAnsi="Times New Roman"/>
                <w:sz w:val="24"/>
              </w:rPr>
            </w:pPr>
            <w:r w:rsidRPr="00E07C9A">
              <w:rPr>
                <w:rFonts w:ascii="Times New Roman" w:hAnsi="Times New Roman"/>
                <w:sz w:val="24"/>
              </w:rPr>
              <w:t>verejná sekuritizácia.</w:t>
            </w:r>
          </w:p>
          <w:p w14:paraId="3EC39977" w14:textId="77777777" w:rsidR="00C55547" w:rsidRPr="00E07C9A" w:rsidRDefault="00C55547" w:rsidP="00E10B85">
            <w:pPr>
              <w:autoSpaceDE w:val="0"/>
              <w:autoSpaceDN w:val="0"/>
              <w:adjustRightInd w:val="0"/>
              <w:spacing w:before="0" w:after="0"/>
              <w:jc w:val="left"/>
              <w:rPr>
                <w:rFonts w:ascii="Times New Roman" w:hAnsi="Times New Roman"/>
                <w:b/>
                <w:sz w:val="24"/>
                <w:u w:val="single"/>
              </w:rPr>
            </w:pPr>
          </w:p>
        </w:tc>
      </w:tr>
      <w:tr w:rsidR="00C55547" w:rsidRPr="00E07C9A" w14:paraId="52268936" w14:textId="77777777" w:rsidTr="00E10B85">
        <w:tc>
          <w:tcPr>
            <w:tcW w:w="1101" w:type="dxa"/>
            <w:shd w:val="clear" w:color="auto" w:fill="auto"/>
          </w:tcPr>
          <w:p w14:paraId="5B2727A8" w14:textId="77777777" w:rsidR="00C55547" w:rsidRPr="00E07C9A" w:rsidRDefault="006E0E76" w:rsidP="00E10B85">
            <w:pPr>
              <w:autoSpaceDE w:val="0"/>
              <w:autoSpaceDN w:val="0"/>
              <w:adjustRightInd w:val="0"/>
              <w:spacing w:before="0" w:after="0"/>
              <w:rPr>
                <w:rFonts w:ascii="Times New Roman" w:hAnsi="Times New Roman"/>
                <w:bCs/>
                <w:sz w:val="24"/>
              </w:rPr>
            </w:pPr>
            <w:r w:rsidRPr="00E07C9A">
              <w:rPr>
                <w:rFonts w:ascii="Times New Roman" w:hAnsi="Times New Roman"/>
                <w:sz w:val="24"/>
              </w:rPr>
              <w:t>0110</w:t>
            </w:r>
          </w:p>
        </w:tc>
        <w:tc>
          <w:tcPr>
            <w:tcW w:w="7903" w:type="dxa"/>
            <w:shd w:val="clear" w:color="auto" w:fill="auto"/>
          </w:tcPr>
          <w:p w14:paraId="08293B2A" w14:textId="02D57B14" w:rsidR="00C55547" w:rsidRPr="00E07C9A" w:rsidRDefault="00C55547" w:rsidP="00E10B85">
            <w:pPr>
              <w:spacing w:before="0" w:after="0"/>
              <w:jc w:val="left"/>
              <w:rPr>
                <w:rFonts w:ascii="Times New Roman" w:hAnsi="Times New Roman"/>
                <w:b/>
                <w:sz w:val="24"/>
                <w:u w:val="single"/>
              </w:rPr>
            </w:pPr>
            <w:r w:rsidRPr="00E07C9A">
              <w:rPr>
                <w:rFonts w:ascii="Times New Roman" w:hAnsi="Times New Roman"/>
                <w:b/>
                <w:sz w:val="24"/>
                <w:u w:val="single"/>
              </w:rPr>
              <w:t>ÚLOHA INŠTITÚCIE: (ORIGINÁTOR/SPONZOR/PÔVODNÝ VERITEĽ/INVESTOR)</w:t>
            </w:r>
          </w:p>
          <w:p w14:paraId="30CF79A6" w14:textId="77777777" w:rsidR="00C55547" w:rsidRPr="00E07C9A" w:rsidRDefault="00C55547" w:rsidP="00E10B85">
            <w:pPr>
              <w:autoSpaceDE w:val="0"/>
              <w:autoSpaceDN w:val="0"/>
              <w:adjustRightInd w:val="0"/>
              <w:spacing w:before="0" w:after="0"/>
              <w:jc w:val="left"/>
              <w:rPr>
                <w:rFonts w:ascii="Times New Roman" w:hAnsi="Times New Roman"/>
                <w:sz w:val="24"/>
              </w:rPr>
            </w:pPr>
          </w:p>
          <w:p w14:paraId="11999DCE" w14:textId="586A71FB" w:rsidR="009912F8" w:rsidRPr="00E07C9A" w:rsidRDefault="00E20FAC" w:rsidP="00E10B85">
            <w:pPr>
              <w:autoSpaceDE w:val="0"/>
              <w:autoSpaceDN w:val="0"/>
              <w:adjustRightInd w:val="0"/>
              <w:spacing w:before="0" w:after="0"/>
              <w:jc w:val="left"/>
              <w:rPr>
                <w:rFonts w:ascii="Times New Roman" w:hAnsi="Times New Roman"/>
                <w:sz w:val="24"/>
              </w:rPr>
            </w:pPr>
            <w:r w:rsidRPr="00E07C9A">
              <w:rPr>
                <w:rFonts w:ascii="Times New Roman" w:hAnsi="Times New Roman"/>
                <w:sz w:val="24"/>
              </w:rPr>
              <w:t>Inštitúcie vykazujú jednu</w:t>
            </w:r>
            <w:r w:rsidR="009912F8" w:rsidRPr="00E07C9A">
              <w:rPr>
                <w:rFonts w:ascii="Times New Roman" w:hAnsi="Times New Roman"/>
                <w:sz w:val="24"/>
              </w:rPr>
              <w:t xml:space="preserve"> z </w:t>
            </w:r>
            <w:r w:rsidRPr="00E07C9A">
              <w:rPr>
                <w:rFonts w:ascii="Times New Roman" w:hAnsi="Times New Roman"/>
                <w:sz w:val="24"/>
              </w:rPr>
              <w:t>týchto možností</w:t>
            </w:r>
            <w:r w:rsidR="009912F8" w:rsidRPr="00E07C9A">
              <w:rPr>
                <w:rFonts w:ascii="Times New Roman" w:hAnsi="Times New Roman"/>
                <w:sz w:val="24"/>
              </w:rPr>
              <w:t>:</w:t>
            </w:r>
          </w:p>
          <w:p w14:paraId="55B54619" w14:textId="1CE17D88" w:rsidR="00C55547" w:rsidRPr="00E07C9A" w:rsidRDefault="00C55547" w:rsidP="00E10B85">
            <w:pPr>
              <w:autoSpaceDE w:val="0"/>
              <w:autoSpaceDN w:val="0"/>
              <w:adjustRightInd w:val="0"/>
              <w:spacing w:before="0" w:after="0"/>
              <w:jc w:val="left"/>
              <w:rPr>
                <w:rFonts w:ascii="Times New Roman" w:hAnsi="Times New Roman"/>
                <w:sz w:val="24"/>
              </w:rPr>
            </w:pPr>
            <w:r w:rsidRPr="00E07C9A">
              <w:rPr>
                <w:rFonts w:ascii="Times New Roman" w:hAnsi="Times New Roman"/>
                <w:sz w:val="24"/>
              </w:rPr>
              <w:t>– originátor,</w:t>
            </w:r>
          </w:p>
          <w:p w14:paraId="264F1084" w14:textId="61699B35" w:rsidR="00C55547" w:rsidRPr="00E07C9A" w:rsidRDefault="00C55547" w:rsidP="00E10B85">
            <w:pPr>
              <w:autoSpaceDE w:val="0"/>
              <w:autoSpaceDN w:val="0"/>
              <w:adjustRightInd w:val="0"/>
              <w:spacing w:before="0" w:after="0"/>
              <w:jc w:val="left"/>
              <w:rPr>
                <w:rFonts w:ascii="Times New Roman" w:hAnsi="Times New Roman"/>
                <w:sz w:val="24"/>
              </w:rPr>
            </w:pPr>
            <w:r w:rsidRPr="00E07C9A">
              <w:rPr>
                <w:rFonts w:ascii="Times New Roman" w:hAnsi="Times New Roman"/>
                <w:sz w:val="24"/>
              </w:rPr>
              <w:t>– sponzor,</w:t>
            </w:r>
          </w:p>
          <w:p w14:paraId="1FDED2CE" w14:textId="77777777" w:rsidR="009912F8" w:rsidRPr="00E07C9A" w:rsidRDefault="00C55547" w:rsidP="00E10B85">
            <w:pPr>
              <w:autoSpaceDE w:val="0"/>
              <w:autoSpaceDN w:val="0"/>
              <w:adjustRightInd w:val="0"/>
              <w:spacing w:before="0" w:after="0"/>
              <w:jc w:val="left"/>
              <w:rPr>
                <w:rFonts w:ascii="Times New Roman" w:hAnsi="Times New Roman"/>
                <w:sz w:val="24"/>
              </w:rPr>
            </w:pPr>
            <w:r w:rsidRPr="00E07C9A">
              <w:rPr>
                <w:rFonts w:ascii="Times New Roman" w:hAnsi="Times New Roman"/>
                <w:sz w:val="24"/>
              </w:rPr>
              <w:t>– investor,</w:t>
            </w:r>
          </w:p>
          <w:p w14:paraId="2B462A2D" w14:textId="5AAC5251" w:rsidR="00C55547" w:rsidRPr="00E07C9A" w:rsidRDefault="00C55547" w:rsidP="00E10B85">
            <w:pPr>
              <w:autoSpaceDE w:val="0"/>
              <w:autoSpaceDN w:val="0"/>
              <w:adjustRightInd w:val="0"/>
              <w:spacing w:before="0" w:after="0"/>
              <w:jc w:val="left"/>
              <w:rPr>
                <w:rFonts w:ascii="Times New Roman" w:hAnsi="Times New Roman"/>
                <w:sz w:val="24"/>
              </w:rPr>
            </w:pPr>
            <w:r w:rsidRPr="00E07C9A">
              <w:rPr>
                <w:rFonts w:ascii="Times New Roman" w:hAnsi="Times New Roman"/>
                <w:sz w:val="24"/>
              </w:rPr>
              <w:t>– pôvodný veriteľ.</w:t>
            </w:r>
          </w:p>
          <w:p w14:paraId="3DCCD82A" w14:textId="77777777" w:rsidR="00C55547" w:rsidRPr="00E07C9A" w:rsidRDefault="00C55547" w:rsidP="00E10B85">
            <w:pPr>
              <w:autoSpaceDE w:val="0"/>
              <w:autoSpaceDN w:val="0"/>
              <w:adjustRightInd w:val="0"/>
              <w:spacing w:before="0" w:after="0"/>
              <w:jc w:val="left"/>
              <w:rPr>
                <w:rFonts w:ascii="Times New Roman" w:hAnsi="Times New Roman"/>
                <w:sz w:val="24"/>
              </w:rPr>
            </w:pPr>
          </w:p>
          <w:p w14:paraId="768D9899" w14:textId="56EB479A" w:rsidR="00C55547" w:rsidRPr="00E07C9A" w:rsidRDefault="00E20FAC" w:rsidP="00E10B85">
            <w:pPr>
              <w:autoSpaceDE w:val="0"/>
              <w:autoSpaceDN w:val="0"/>
              <w:adjustRightInd w:val="0"/>
              <w:spacing w:before="0" w:after="0"/>
              <w:jc w:val="left"/>
              <w:rPr>
                <w:rFonts w:ascii="Times New Roman" w:hAnsi="Times New Roman"/>
                <w:sz w:val="24"/>
              </w:rPr>
            </w:pPr>
            <w:r w:rsidRPr="00E07C9A">
              <w:rPr>
                <w:rFonts w:ascii="Times New Roman" w:hAnsi="Times New Roman"/>
                <w:sz w:val="24"/>
              </w:rPr>
              <w:t>Originátor</w:t>
            </w:r>
            <w:r w:rsidR="009912F8" w:rsidRPr="00E07C9A">
              <w:rPr>
                <w:rFonts w:ascii="Times New Roman" w:hAnsi="Times New Roman"/>
                <w:sz w:val="24"/>
              </w:rPr>
              <w:t xml:space="preserve"> v </w:t>
            </w:r>
            <w:r w:rsidRPr="00E07C9A">
              <w:rPr>
                <w:rFonts w:ascii="Times New Roman" w:hAnsi="Times New Roman"/>
                <w:sz w:val="24"/>
              </w:rPr>
              <w:t>zmysle vymedzenia</w:t>
            </w:r>
            <w:r w:rsidR="009912F8" w:rsidRPr="00E07C9A">
              <w:rPr>
                <w:rFonts w:ascii="Times New Roman" w:hAnsi="Times New Roman"/>
                <w:sz w:val="24"/>
              </w:rPr>
              <w:t xml:space="preserve"> v </w:t>
            </w:r>
            <w:r w:rsidRPr="00E07C9A">
              <w:rPr>
                <w:rFonts w:ascii="Times New Roman" w:hAnsi="Times New Roman"/>
                <w:sz w:val="24"/>
              </w:rPr>
              <w:t xml:space="preserve">článku 4 ods. 1 bode 13 nariadenia (EÚ) </w:t>
            </w:r>
            <w:r w:rsidR="009912F8" w:rsidRPr="00E07C9A">
              <w:rPr>
                <w:rFonts w:ascii="Times New Roman" w:hAnsi="Times New Roman"/>
                <w:sz w:val="24"/>
              </w:rPr>
              <w:t>č. 575/2013 a </w:t>
            </w:r>
            <w:r w:rsidRPr="00E07C9A">
              <w:rPr>
                <w:rFonts w:ascii="Times New Roman" w:hAnsi="Times New Roman"/>
                <w:sz w:val="24"/>
              </w:rPr>
              <w:t>sponzor</w:t>
            </w:r>
            <w:r w:rsidR="009912F8" w:rsidRPr="00E07C9A">
              <w:rPr>
                <w:rFonts w:ascii="Times New Roman" w:hAnsi="Times New Roman"/>
                <w:sz w:val="24"/>
              </w:rPr>
              <w:t xml:space="preserve"> v </w:t>
            </w:r>
            <w:r w:rsidRPr="00E07C9A">
              <w:rPr>
                <w:rFonts w:ascii="Times New Roman" w:hAnsi="Times New Roman"/>
                <w:sz w:val="24"/>
              </w:rPr>
              <w:t>zmysle vymedzenia</w:t>
            </w:r>
            <w:r w:rsidR="009912F8" w:rsidRPr="00E07C9A">
              <w:rPr>
                <w:rFonts w:ascii="Times New Roman" w:hAnsi="Times New Roman"/>
                <w:sz w:val="24"/>
              </w:rPr>
              <w:t xml:space="preserve"> v </w:t>
            </w:r>
            <w:r w:rsidRPr="00E07C9A">
              <w:rPr>
                <w:rFonts w:ascii="Times New Roman" w:hAnsi="Times New Roman"/>
                <w:sz w:val="24"/>
              </w:rPr>
              <w:t>článku 4 ods. 1 bode 14 uvedeného nariadenia. Pri investoroch sa predpokladá, že ide</w:t>
            </w:r>
            <w:r w:rsidR="009912F8" w:rsidRPr="00E07C9A">
              <w:rPr>
                <w:rFonts w:ascii="Times New Roman" w:hAnsi="Times New Roman"/>
                <w:sz w:val="24"/>
              </w:rPr>
              <w:t xml:space="preserve"> o </w:t>
            </w:r>
            <w:r w:rsidRPr="00E07C9A">
              <w:rPr>
                <w:rFonts w:ascii="Times New Roman" w:hAnsi="Times New Roman"/>
                <w:sz w:val="24"/>
              </w:rPr>
              <w:t>tie inštitúcie, na ktoré sa vzťahuje článok 5 nariadenia (EÚ) 2017/2402. Ak sa uplatňuje článok 43 ods. 5 nariadenia (EÚ) 2017/2402, uplatňujú sa články 406</w:t>
            </w:r>
            <w:r w:rsidR="009912F8" w:rsidRPr="00E07C9A">
              <w:rPr>
                <w:rFonts w:ascii="Times New Roman" w:hAnsi="Times New Roman"/>
                <w:sz w:val="24"/>
              </w:rPr>
              <w:t xml:space="preserve"> a </w:t>
            </w:r>
            <w:r w:rsidRPr="00E07C9A">
              <w:rPr>
                <w:rFonts w:ascii="Times New Roman" w:hAnsi="Times New Roman"/>
                <w:sz w:val="24"/>
              </w:rPr>
              <w:t xml:space="preserve">407 nariadenia (EÚ) </w:t>
            </w:r>
            <w:r w:rsidR="009912F8" w:rsidRPr="00E07C9A">
              <w:rPr>
                <w:rFonts w:ascii="Times New Roman" w:hAnsi="Times New Roman"/>
                <w:sz w:val="24"/>
              </w:rPr>
              <w:t>č. 575/2013</w:t>
            </w:r>
            <w:r w:rsidRPr="00E07C9A">
              <w:rPr>
                <w:rFonts w:ascii="Times New Roman" w:hAnsi="Times New Roman"/>
                <w:sz w:val="24"/>
              </w:rPr>
              <w:t xml:space="preserve"> vo verzii, ktorá bola uplatniteľná</w:t>
            </w:r>
            <w:r w:rsidR="009912F8" w:rsidRPr="00E07C9A">
              <w:rPr>
                <w:rFonts w:ascii="Times New Roman" w:hAnsi="Times New Roman"/>
                <w:sz w:val="24"/>
              </w:rPr>
              <w:t xml:space="preserve"> k </w:t>
            </w:r>
            <w:r w:rsidRPr="00E07C9A">
              <w:rPr>
                <w:rFonts w:ascii="Times New Roman" w:hAnsi="Times New Roman"/>
                <w:sz w:val="24"/>
              </w:rPr>
              <w:t>31. decembru 2018.</w:t>
            </w:r>
          </w:p>
          <w:p w14:paraId="31242184" w14:textId="77777777" w:rsidR="00C55547" w:rsidRPr="00E07C9A" w:rsidRDefault="00C55547" w:rsidP="00E10B85">
            <w:pPr>
              <w:autoSpaceDE w:val="0"/>
              <w:autoSpaceDN w:val="0"/>
              <w:adjustRightInd w:val="0"/>
              <w:spacing w:before="0" w:after="0"/>
              <w:jc w:val="left"/>
              <w:rPr>
                <w:rFonts w:ascii="Times New Roman" w:hAnsi="Times New Roman"/>
                <w:sz w:val="24"/>
              </w:rPr>
            </w:pPr>
          </w:p>
        </w:tc>
      </w:tr>
      <w:tr w:rsidR="00C55547" w:rsidRPr="00E07C9A" w14:paraId="1315165C" w14:textId="77777777" w:rsidTr="00E10B85">
        <w:tc>
          <w:tcPr>
            <w:tcW w:w="1101" w:type="dxa"/>
          </w:tcPr>
          <w:p w14:paraId="2B6AC8AA" w14:textId="77777777" w:rsidR="00C55547" w:rsidRPr="00E07C9A" w:rsidRDefault="00C55547" w:rsidP="00E10B85">
            <w:pPr>
              <w:autoSpaceDE w:val="0"/>
              <w:autoSpaceDN w:val="0"/>
              <w:adjustRightInd w:val="0"/>
              <w:spacing w:before="0" w:after="0"/>
              <w:rPr>
                <w:rFonts w:ascii="Times New Roman" w:hAnsi="Times New Roman"/>
                <w:bCs/>
                <w:sz w:val="24"/>
              </w:rPr>
            </w:pPr>
            <w:r w:rsidRPr="00E07C9A">
              <w:rPr>
                <w:rFonts w:ascii="Times New Roman" w:hAnsi="Times New Roman"/>
                <w:sz w:val="24"/>
              </w:rPr>
              <w:t>0030</w:t>
            </w:r>
          </w:p>
        </w:tc>
        <w:tc>
          <w:tcPr>
            <w:tcW w:w="7903" w:type="dxa"/>
          </w:tcPr>
          <w:p w14:paraId="3AA0F8C0" w14:textId="35CD812F" w:rsidR="00C55547" w:rsidRPr="00E07C9A" w:rsidRDefault="00C55547" w:rsidP="00E10B85">
            <w:pPr>
              <w:autoSpaceDE w:val="0"/>
              <w:autoSpaceDN w:val="0"/>
              <w:adjustRightInd w:val="0"/>
              <w:spacing w:before="0" w:after="0"/>
              <w:jc w:val="left"/>
              <w:rPr>
                <w:rFonts w:ascii="Times New Roman" w:hAnsi="Times New Roman"/>
                <w:b/>
                <w:sz w:val="24"/>
                <w:u w:val="single"/>
              </w:rPr>
            </w:pPr>
            <w:r w:rsidRPr="00E07C9A">
              <w:rPr>
                <w:rFonts w:ascii="Times New Roman" w:hAnsi="Times New Roman"/>
                <w:b/>
                <w:sz w:val="24"/>
                <w:u w:val="single"/>
              </w:rPr>
              <w:t>IDENTIFIKÁTOR ORIGINÁTORA</w:t>
            </w:r>
          </w:p>
          <w:p w14:paraId="4C73B32B" w14:textId="77777777" w:rsidR="00C55547" w:rsidRPr="00E07C9A" w:rsidRDefault="00C55547" w:rsidP="00E10B85">
            <w:pPr>
              <w:autoSpaceDE w:val="0"/>
              <w:autoSpaceDN w:val="0"/>
              <w:adjustRightInd w:val="0"/>
              <w:spacing w:before="0" w:after="0"/>
              <w:jc w:val="left"/>
              <w:rPr>
                <w:rFonts w:ascii="Times New Roman" w:hAnsi="Times New Roman"/>
                <w:sz w:val="24"/>
              </w:rPr>
            </w:pPr>
          </w:p>
          <w:p w14:paraId="0DAD5529" w14:textId="51B1AE17" w:rsidR="00C55547" w:rsidRPr="00E07C9A" w:rsidRDefault="00C55547"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V tomto stĺpci sa vykazuje kód LEI, ktorý je uplatniteľný pre originátora, alebo, ak nie je</w:t>
            </w:r>
            <w:r w:rsidR="009912F8" w:rsidRPr="00E07C9A">
              <w:rPr>
                <w:rFonts w:ascii="Times New Roman" w:hAnsi="Times New Roman"/>
                <w:sz w:val="24"/>
              </w:rPr>
              <w:t xml:space="preserve"> k </w:t>
            </w:r>
            <w:r w:rsidRPr="00E07C9A">
              <w:rPr>
                <w:rFonts w:ascii="Times New Roman" w:hAnsi="Times New Roman"/>
                <w:sz w:val="24"/>
              </w:rPr>
              <w:t>dispozícii, kód, ktorý originátorovi pridelil orgán dohľadu, alebo, ak nie je</w:t>
            </w:r>
            <w:r w:rsidR="009912F8" w:rsidRPr="00E07C9A">
              <w:rPr>
                <w:rFonts w:ascii="Times New Roman" w:hAnsi="Times New Roman"/>
                <w:sz w:val="24"/>
              </w:rPr>
              <w:t xml:space="preserve"> k </w:t>
            </w:r>
            <w:r w:rsidRPr="00E07C9A">
              <w:rPr>
                <w:rFonts w:ascii="Times New Roman" w:hAnsi="Times New Roman"/>
                <w:sz w:val="24"/>
              </w:rPr>
              <w:t>dispozícii, názov samotnej inštitúcie.</w:t>
            </w:r>
          </w:p>
          <w:p w14:paraId="4DA8C5E2" w14:textId="77777777" w:rsidR="00C55547" w:rsidRPr="00E07C9A" w:rsidRDefault="00C55547" w:rsidP="00E10B85">
            <w:pPr>
              <w:autoSpaceDE w:val="0"/>
              <w:autoSpaceDN w:val="0"/>
              <w:adjustRightInd w:val="0"/>
              <w:spacing w:before="0" w:after="0"/>
              <w:rPr>
                <w:rFonts w:ascii="Times New Roman" w:hAnsi="Times New Roman"/>
                <w:sz w:val="24"/>
              </w:rPr>
            </w:pPr>
          </w:p>
          <w:p w14:paraId="5EBC4D96" w14:textId="77E4E873" w:rsidR="00C55547" w:rsidRPr="00E07C9A" w:rsidRDefault="00C55547"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V prípade sekuritizácií</w:t>
            </w:r>
            <w:r w:rsidR="009912F8" w:rsidRPr="00E07C9A">
              <w:rPr>
                <w:rFonts w:ascii="Times New Roman" w:hAnsi="Times New Roman"/>
                <w:sz w:val="24"/>
              </w:rPr>
              <w:t xml:space="preserve"> s </w:t>
            </w:r>
            <w:r w:rsidRPr="00E07C9A">
              <w:rPr>
                <w:rFonts w:ascii="Times New Roman" w:hAnsi="Times New Roman"/>
                <w:sz w:val="24"/>
              </w:rPr>
              <w:t>viacerými predávajúcimi, do ktorých je vykazujúca inštitúcia zapojená ako originátor, sponzor alebo pôvodný veriteľ, vykazujúca inštitúcia vykazuje identifikátor všetkých subjektov</w:t>
            </w:r>
            <w:r w:rsidR="009912F8" w:rsidRPr="00E07C9A">
              <w:rPr>
                <w:rFonts w:ascii="Times New Roman" w:hAnsi="Times New Roman"/>
                <w:sz w:val="24"/>
              </w:rPr>
              <w:t xml:space="preserve"> v </w:t>
            </w:r>
            <w:r w:rsidRPr="00E07C9A">
              <w:rPr>
                <w:rFonts w:ascii="Times New Roman" w:hAnsi="Times New Roman"/>
                <w:sz w:val="24"/>
              </w:rPr>
              <w:t>rámci svojej konsolidovanej skupiny, ktoré sú do transakcie zapojené (ako originátor, sponzor alebo pôvodný veriteľ). Ak kód nie je</w:t>
            </w:r>
            <w:r w:rsidR="009912F8" w:rsidRPr="00E07C9A">
              <w:rPr>
                <w:rFonts w:ascii="Times New Roman" w:hAnsi="Times New Roman"/>
                <w:sz w:val="24"/>
              </w:rPr>
              <w:t xml:space="preserve"> k </w:t>
            </w:r>
            <w:r w:rsidRPr="00E07C9A">
              <w:rPr>
                <w:rFonts w:ascii="Times New Roman" w:hAnsi="Times New Roman"/>
                <w:sz w:val="24"/>
              </w:rPr>
              <w:t>dispozícii alebo ho vykazujúca inštitúcia nevie, vykazuje sa názov inštitúcie.</w:t>
            </w:r>
          </w:p>
          <w:p w14:paraId="78F94F34" w14:textId="77777777" w:rsidR="00C55547" w:rsidRPr="00E07C9A" w:rsidRDefault="00C55547" w:rsidP="00E10B85">
            <w:pPr>
              <w:autoSpaceDE w:val="0"/>
              <w:autoSpaceDN w:val="0"/>
              <w:adjustRightInd w:val="0"/>
              <w:spacing w:before="0" w:after="0"/>
              <w:rPr>
                <w:rFonts w:ascii="Times New Roman" w:hAnsi="Times New Roman"/>
                <w:sz w:val="24"/>
              </w:rPr>
            </w:pPr>
          </w:p>
          <w:p w14:paraId="0F606452" w14:textId="2C2003DD" w:rsidR="00C55547" w:rsidRPr="00E07C9A" w:rsidRDefault="00C55547"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V prípade sekuritizácií</w:t>
            </w:r>
            <w:r w:rsidR="009912F8" w:rsidRPr="00E07C9A">
              <w:rPr>
                <w:rFonts w:ascii="Times New Roman" w:hAnsi="Times New Roman"/>
                <w:sz w:val="24"/>
              </w:rPr>
              <w:t xml:space="preserve"> s </w:t>
            </w:r>
            <w:r w:rsidRPr="00E07C9A">
              <w:rPr>
                <w:rFonts w:ascii="Times New Roman" w:hAnsi="Times New Roman"/>
                <w:sz w:val="24"/>
              </w:rPr>
              <w:t>viacerými predávajúcimi, keď vykazujúca inštitúcia drží</w:t>
            </w:r>
            <w:r w:rsidR="009912F8" w:rsidRPr="00E07C9A">
              <w:rPr>
                <w:rFonts w:ascii="Times New Roman" w:hAnsi="Times New Roman"/>
                <w:sz w:val="24"/>
              </w:rPr>
              <w:t xml:space="preserve"> v </w:t>
            </w:r>
            <w:r w:rsidRPr="00E07C9A">
              <w:rPr>
                <w:rFonts w:ascii="Times New Roman" w:hAnsi="Times New Roman"/>
                <w:sz w:val="24"/>
              </w:rPr>
              <w:t>sekuritizácii pozíciu ako investor, vykazujúca inštitúcia uvedie identifikátor všetkých jednotlivých originátorov zapojených do sekuritizácie, alebo, ak nie je</w:t>
            </w:r>
            <w:r w:rsidR="009912F8" w:rsidRPr="00E07C9A">
              <w:rPr>
                <w:rFonts w:ascii="Times New Roman" w:hAnsi="Times New Roman"/>
                <w:sz w:val="24"/>
              </w:rPr>
              <w:t xml:space="preserve"> k </w:t>
            </w:r>
            <w:r w:rsidRPr="00E07C9A">
              <w:rPr>
                <w:rFonts w:ascii="Times New Roman" w:hAnsi="Times New Roman"/>
                <w:sz w:val="24"/>
              </w:rPr>
              <w:t>dispozícii, názvy jednotlivých originátorov. Keď tieto názvy vykazujúcej inštitúcii nie sú známe, vykazujúca inštitúcia vykáže, že ide</w:t>
            </w:r>
            <w:r w:rsidR="009912F8" w:rsidRPr="00E07C9A">
              <w:rPr>
                <w:rFonts w:ascii="Times New Roman" w:hAnsi="Times New Roman"/>
                <w:sz w:val="24"/>
              </w:rPr>
              <w:t xml:space="preserve"> o </w:t>
            </w:r>
            <w:r w:rsidRPr="00E07C9A">
              <w:rPr>
                <w:rFonts w:ascii="Times New Roman" w:hAnsi="Times New Roman"/>
                <w:sz w:val="24"/>
              </w:rPr>
              <w:t>sekuritizáciu</w:t>
            </w:r>
            <w:r w:rsidR="009912F8" w:rsidRPr="00E07C9A">
              <w:rPr>
                <w:rFonts w:ascii="Times New Roman" w:hAnsi="Times New Roman"/>
                <w:sz w:val="24"/>
              </w:rPr>
              <w:t xml:space="preserve"> s </w:t>
            </w:r>
            <w:r w:rsidRPr="00E07C9A">
              <w:rPr>
                <w:rFonts w:ascii="Times New Roman" w:hAnsi="Times New Roman"/>
                <w:sz w:val="24"/>
              </w:rPr>
              <w:t>„viacerými predávajúcimi“ (</w:t>
            </w:r>
            <w:r w:rsidRPr="00E07C9A">
              <w:rPr>
                <w:rFonts w:ascii="Times New Roman" w:hAnsi="Times New Roman"/>
                <w:i/>
                <w:sz w:val="24"/>
              </w:rPr>
              <w:t>multi-seller</w:t>
            </w:r>
            <w:r w:rsidRPr="00E07C9A">
              <w:rPr>
                <w:rFonts w:ascii="Times New Roman" w:hAnsi="Times New Roman"/>
                <w:sz w:val="24"/>
              </w:rPr>
              <w:t>).</w:t>
            </w:r>
          </w:p>
          <w:p w14:paraId="7FF55CF3" w14:textId="77777777" w:rsidR="00C55547" w:rsidRPr="00E07C9A" w:rsidRDefault="00C55547" w:rsidP="00E10B85">
            <w:pPr>
              <w:autoSpaceDE w:val="0"/>
              <w:autoSpaceDN w:val="0"/>
              <w:adjustRightInd w:val="0"/>
              <w:spacing w:before="0" w:after="0"/>
              <w:rPr>
                <w:rFonts w:ascii="Times New Roman" w:hAnsi="Times New Roman"/>
                <w:sz w:val="24"/>
              </w:rPr>
            </w:pPr>
          </w:p>
          <w:p w14:paraId="02FBDB34" w14:textId="77777777" w:rsidR="00C55547" w:rsidRPr="00E07C9A" w:rsidRDefault="00C55547" w:rsidP="00E10B85">
            <w:pPr>
              <w:autoSpaceDE w:val="0"/>
              <w:autoSpaceDN w:val="0"/>
              <w:adjustRightInd w:val="0"/>
              <w:spacing w:before="0" w:after="0"/>
              <w:rPr>
                <w:rFonts w:ascii="Times New Roman" w:hAnsi="Times New Roman"/>
                <w:bCs/>
                <w:sz w:val="24"/>
                <w:lang w:eastAsia="nl-BE"/>
              </w:rPr>
            </w:pPr>
          </w:p>
        </w:tc>
      </w:tr>
      <w:tr w:rsidR="00C55547" w:rsidRPr="00E07C9A" w14:paraId="04E157AF" w14:textId="77777777" w:rsidTr="00E10B85">
        <w:tc>
          <w:tcPr>
            <w:tcW w:w="1101" w:type="dxa"/>
          </w:tcPr>
          <w:p w14:paraId="2B07914E" w14:textId="77777777" w:rsidR="00C55547" w:rsidRPr="00E07C9A" w:rsidRDefault="00C55547" w:rsidP="00E10B85">
            <w:pPr>
              <w:autoSpaceDE w:val="0"/>
              <w:autoSpaceDN w:val="0"/>
              <w:adjustRightInd w:val="0"/>
              <w:spacing w:before="0" w:after="0"/>
              <w:rPr>
                <w:rFonts w:ascii="Times New Roman" w:hAnsi="Times New Roman"/>
                <w:bCs/>
                <w:sz w:val="24"/>
              </w:rPr>
            </w:pPr>
            <w:r w:rsidRPr="00E07C9A">
              <w:rPr>
                <w:rFonts w:ascii="Times New Roman" w:hAnsi="Times New Roman"/>
                <w:sz w:val="24"/>
              </w:rPr>
              <w:t>0040</w:t>
            </w:r>
          </w:p>
        </w:tc>
        <w:tc>
          <w:tcPr>
            <w:tcW w:w="7903" w:type="dxa"/>
          </w:tcPr>
          <w:p w14:paraId="2AF3E86E" w14:textId="77777777" w:rsidR="009912F8" w:rsidRPr="00E07C9A" w:rsidRDefault="00C55547" w:rsidP="00E10B85">
            <w:pPr>
              <w:spacing w:before="0" w:after="0"/>
              <w:jc w:val="left"/>
              <w:rPr>
                <w:rFonts w:ascii="Times New Roman" w:hAnsi="Times New Roman"/>
                <w:b/>
                <w:sz w:val="24"/>
                <w:u w:val="single"/>
              </w:rPr>
            </w:pPr>
            <w:r w:rsidRPr="00E07C9A">
              <w:rPr>
                <w:rFonts w:ascii="Times New Roman" w:hAnsi="Times New Roman"/>
                <w:b/>
                <w:sz w:val="24"/>
                <w:u w:val="single"/>
              </w:rPr>
              <w:t>TYP SEKURITIZÁCIE</w:t>
            </w:r>
          </w:p>
          <w:p w14:paraId="23B9FF11" w14:textId="4249F975" w:rsidR="00C55547" w:rsidRPr="00E07C9A" w:rsidRDefault="00C55547" w:rsidP="00E10B85">
            <w:pPr>
              <w:spacing w:before="0" w:after="0"/>
              <w:jc w:val="left"/>
              <w:rPr>
                <w:rFonts w:ascii="Times New Roman" w:hAnsi="Times New Roman"/>
                <w:sz w:val="24"/>
              </w:rPr>
            </w:pPr>
          </w:p>
          <w:p w14:paraId="317AFB27" w14:textId="490CD75C" w:rsidR="00C55547" w:rsidRPr="00E07C9A" w:rsidRDefault="00E20FAC" w:rsidP="00E10B85">
            <w:pPr>
              <w:autoSpaceDE w:val="0"/>
              <w:autoSpaceDN w:val="0"/>
              <w:adjustRightInd w:val="0"/>
              <w:spacing w:before="0" w:after="0"/>
              <w:jc w:val="left"/>
              <w:rPr>
                <w:rFonts w:ascii="Times New Roman" w:hAnsi="Times New Roman"/>
                <w:sz w:val="24"/>
              </w:rPr>
            </w:pPr>
            <w:r w:rsidRPr="00E07C9A">
              <w:rPr>
                <w:rFonts w:ascii="Times New Roman" w:hAnsi="Times New Roman"/>
                <w:sz w:val="24"/>
              </w:rPr>
              <w:t>Inštitúcie vykazujú jednu</w:t>
            </w:r>
            <w:r w:rsidR="009912F8" w:rsidRPr="00E07C9A">
              <w:rPr>
                <w:rFonts w:ascii="Times New Roman" w:hAnsi="Times New Roman"/>
                <w:sz w:val="24"/>
              </w:rPr>
              <w:t xml:space="preserve"> z </w:t>
            </w:r>
            <w:r w:rsidRPr="00E07C9A">
              <w:rPr>
                <w:rFonts w:ascii="Times New Roman" w:hAnsi="Times New Roman"/>
                <w:sz w:val="24"/>
              </w:rPr>
              <w:t>týchto možností:</w:t>
            </w:r>
            <w:r w:rsidRPr="00E07C9A">
              <w:rPr>
                <w:rFonts w:ascii="Times New Roman" w:hAnsi="Times New Roman"/>
              </w:rPr>
              <w:t xml:space="preserve"> </w:t>
            </w:r>
            <w:r w:rsidRPr="00E07C9A">
              <w:rPr>
                <w:rFonts w:ascii="Times New Roman" w:hAnsi="Times New Roman"/>
              </w:rPr>
              <w:br/>
            </w:r>
            <w:r w:rsidRPr="00E07C9A">
              <w:rPr>
                <w:rFonts w:ascii="Times New Roman" w:hAnsi="Times New Roman"/>
                <w:sz w:val="24"/>
              </w:rPr>
              <w:t>– program ABCP,</w:t>
            </w:r>
          </w:p>
          <w:p w14:paraId="5601E80D" w14:textId="668C6A2A" w:rsidR="00C55547" w:rsidRPr="00E07C9A" w:rsidRDefault="00C55547" w:rsidP="00E10B85">
            <w:pPr>
              <w:autoSpaceDE w:val="0"/>
              <w:autoSpaceDN w:val="0"/>
              <w:adjustRightInd w:val="0"/>
              <w:spacing w:before="0" w:after="0"/>
              <w:jc w:val="left"/>
              <w:rPr>
                <w:rFonts w:ascii="Times New Roman" w:hAnsi="Times New Roman"/>
                <w:sz w:val="24"/>
              </w:rPr>
            </w:pPr>
            <w:r w:rsidRPr="00E07C9A">
              <w:rPr>
                <w:rFonts w:ascii="Times New Roman" w:hAnsi="Times New Roman"/>
                <w:sz w:val="24"/>
              </w:rPr>
              <w:t>– transakcia ABCP,</w:t>
            </w:r>
          </w:p>
          <w:p w14:paraId="22300F3E" w14:textId="1029178C" w:rsidR="00C55547" w:rsidRPr="00E07C9A" w:rsidRDefault="00C55547" w:rsidP="00E10B85">
            <w:pPr>
              <w:autoSpaceDE w:val="0"/>
              <w:autoSpaceDN w:val="0"/>
              <w:adjustRightInd w:val="0"/>
              <w:spacing w:before="0" w:after="0"/>
              <w:jc w:val="left"/>
              <w:rPr>
                <w:rFonts w:ascii="Times New Roman" w:hAnsi="Times New Roman"/>
                <w:sz w:val="24"/>
              </w:rPr>
            </w:pPr>
            <w:r w:rsidRPr="00E07C9A">
              <w:rPr>
                <w:rFonts w:ascii="Times New Roman" w:hAnsi="Times New Roman"/>
                <w:sz w:val="24"/>
              </w:rPr>
              <w:t>– tradičné sekuritizácie iné ako sekuritizácie problémových expozícií,</w:t>
            </w:r>
          </w:p>
          <w:p w14:paraId="28C5932B" w14:textId="137905E4" w:rsidR="009239A1" w:rsidRPr="00E07C9A" w:rsidRDefault="009239A1" w:rsidP="00E10B85">
            <w:pPr>
              <w:autoSpaceDE w:val="0"/>
              <w:autoSpaceDN w:val="0"/>
              <w:adjustRightInd w:val="0"/>
              <w:spacing w:before="0" w:after="0"/>
              <w:jc w:val="left"/>
              <w:rPr>
                <w:rFonts w:ascii="Times New Roman" w:hAnsi="Times New Roman"/>
                <w:sz w:val="24"/>
              </w:rPr>
            </w:pPr>
            <w:r w:rsidRPr="00E07C9A">
              <w:rPr>
                <w:rFonts w:ascii="Times New Roman" w:hAnsi="Times New Roman"/>
                <w:sz w:val="24"/>
              </w:rPr>
              <w:t>– nekvalifikované sekuritizácie problémových expozícií,</w:t>
            </w:r>
          </w:p>
          <w:p w14:paraId="3EABA3B3" w14:textId="24E3BFDD" w:rsidR="009239A1" w:rsidRPr="00E07C9A" w:rsidRDefault="009239A1" w:rsidP="00E10B85">
            <w:pPr>
              <w:autoSpaceDE w:val="0"/>
              <w:autoSpaceDN w:val="0"/>
              <w:adjustRightInd w:val="0"/>
              <w:spacing w:before="0" w:after="0"/>
              <w:jc w:val="left"/>
              <w:rPr>
                <w:rFonts w:ascii="Times New Roman" w:hAnsi="Times New Roman"/>
                <w:sz w:val="24"/>
              </w:rPr>
            </w:pPr>
            <w:r w:rsidRPr="00E07C9A">
              <w:rPr>
                <w:rFonts w:ascii="Times New Roman" w:hAnsi="Times New Roman"/>
                <w:sz w:val="24"/>
              </w:rPr>
              <w:t>– kvalifikované sekuritizácie problémových expozícií,</w:t>
            </w:r>
          </w:p>
          <w:p w14:paraId="653F4D0F" w14:textId="6DBFD4EF" w:rsidR="00C55547" w:rsidRPr="00E07C9A" w:rsidRDefault="00C55547" w:rsidP="00E10B85">
            <w:pPr>
              <w:autoSpaceDE w:val="0"/>
              <w:autoSpaceDN w:val="0"/>
              <w:adjustRightInd w:val="0"/>
              <w:spacing w:before="0" w:after="0"/>
              <w:jc w:val="left"/>
              <w:rPr>
                <w:rFonts w:ascii="Times New Roman" w:hAnsi="Times New Roman"/>
                <w:sz w:val="24"/>
              </w:rPr>
            </w:pPr>
            <w:r w:rsidRPr="00E07C9A">
              <w:rPr>
                <w:rFonts w:ascii="Times New Roman" w:hAnsi="Times New Roman"/>
                <w:sz w:val="24"/>
              </w:rPr>
              <w:t>– syntetické transakcie.</w:t>
            </w:r>
          </w:p>
          <w:p w14:paraId="487C2FF6" w14:textId="0B503A4B" w:rsidR="00C55547" w:rsidRPr="00E07C9A" w:rsidRDefault="00C55547"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Vymedzenie pojmov „program aktívami zabezpečených krátkodobých obchodovateľných cenných papierov“, „transakcia</w:t>
            </w:r>
            <w:r w:rsidR="009912F8" w:rsidRPr="00E07C9A">
              <w:rPr>
                <w:rFonts w:ascii="Times New Roman" w:hAnsi="Times New Roman"/>
                <w:sz w:val="24"/>
              </w:rPr>
              <w:t xml:space="preserve"> s </w:t>
            </w:r>
            <w:r w:rsidRPr="00E07C9A">
              <w:rPr>
                <w:rFonts w:ascii="Times New Roman" w:hAnsi="Times New Roman"/>
                <w:sz w:val="24"/>
              </w:rPr>
              <w:t>krátkodobými obchodovateľnými cennými papiermi zabezpečenými aktívami“, „tradičná sekuritizácia“</w:t>
            </w:r>
            <w:r w:rsidR="009912F8" w:rsidRPr="00E07C9A">
              <w:rPr>
                <w:rFonts w:ascii="Times New Roman" w:hAnsi="Times New Roman"/>
                <w:sz w:val="24"/>
              </w:rPr>
              <w:t xml:space="preserve"> a </w:t>
            </w:r>
            <w:r w:rsidRPr="00E07C9A">
              <w:rPr>
                <w:rFonts w:ascii="Times New Roman" w:hAnsi="Times New Roman"/>
                <w:sz w:val="24"/>
              </w:rPr>
              <w:t>„syntetická sekuritizácia“ je uvedené</w:t>
            </w:r>
            <w:r w:rsidR="009912F8" w:rsidRPr="00E07C9A">
              <w:rPr>
                <w:rFonts w:ascii="Times New Roman" w:hAnsi="Times New Roman"/>
                <w:sz w:val="24"/>
              </w:rPr>
              <w:t xml:space="preserve"> v </w:t>
            </w:r>
            <w:r w:rsidRPr="00E07C9A">
              <w:rPr>
                <w:rFonts w:ascii="Times New Roman" w:hAnsi="Times New Roman"/>
                <w:sz w:val="24"/>
              </w:rPr>
              <w:t xml:space="preserve">článku 242 ods. 11 až 14 nariadenia (EÚ) </w:t>
            </w:r>
            <w:r w:rsidR="009912F8" w:rsidRPr="00E07C9A">
              <w:rPr>
                <w:rFonts w:ascii="Times New Roman" w:hAnsi="Times New Roman"/>
                <w:sz w:val="24"/>
              </w:rPr>
              <w:t>č. 575/2013</w:t>
            </w:r>
            <w:r w:rsidRPr="00E07C9A">
              <w:rPr>
                <w:rFonts w:ascii="Times New Roman" w:hAnsi="Times New Roman"/>
                <w:sz w:val="24"/>
              </w:rPr>
              <w:t>; vymedzenie pojmov „kvalifikované tradičné sekuritizácie problémových expozícií“</w:t>
            </w:r>
            <w:r w:rsidR="009912F8" w:rsidRPr="00E07C9A">
              <w:rPr>
                <w:rFonts w:ascii="Times New Roman" w:hAnsi="Times New Roman"/>
                <w:sz w:val="24"/>
              </w:rPr>
              <w:t xml:space="preserve"> a </w:t>
            </w:r>
            <w:r w:rsidRPr="00E07C9A">
              <w:rPr>
                <w:rFonts w:ascii="Times New Roman" w:hAnsi="Times New Roman"/>
                <w:sz w:val="24"/>
              </w:rPr>
              <w:t>„sekuritizácie problémových expozícií“ je uvedené</w:t>
            </w:r>
            <w:r w:rsidR="009912F8" w:rsidRPr="00E07C9A">
              <w:rPr>
                <w:rFonts w:ascii="Times New Roman" w:hAnsi="Times New Roman"/>
                <w:sz w:val="24"/>
              </w:rPr>
              <w:t xml:space="preserve"> v </w:t>
            </w:r>
            <w:r w:rsidRPr="00E07C9A">
              <w:rPr>
                <w:rFonts w:ascii="Times New Roman" w:hAnsi="Times New Roman"/>
                <w:sz w:val="24"/>
              </w:rPr>
              <w:t xml:space="preserve">článku 269a ods. 1 nariadenia (EÚ) </w:t>
            </w:r>
            <w:r w:rsidR="009912F8" w:rsidRPr="00E07C9A">
              <w:rPr>
                <w:rFonts w:ascii="Times New Roman" w:hAnsi="Times New Roman"/>
                <w:sz w:val="24"/>
              </w:rPr>
              <w:t>č. 575/2013</w:t>
            </w:r>
            <w:r w:rsidRPr="00E07C9A">
              <w:rPr>
                <w:rFonts w:ascii="Times New Roman" w:hAnsi="Times New Roman"/>
                <w:sz w:val="24"/>
              </w:rPr>
              <w:t>.</w:t>
            </w:r>
          </w:p>
          <w:p w14:paraId="5F48BF57" w14:textId="77777777" w:rsidR="00C55547" w:rsidRPr="00E07C9A" w:rsidRDefault="00C55547" w:rsidP="00E10B85">
            <w:pPr>
              <w:autoSpaceDE w:val="0"/>
              <w:autoSpaceDN w:val="0"/>
              <w:adjustRightInd w:val="0"/>
              <w:spacing w:before="0" w:after="0"/>
              <w:jc w:val="left"/>
              <w:rPr>
                <w:rFonts w:ascii="Times New Roman" w:hAnsi="Times New Roman"/>
                <w:sz w:val="24"/>
              </w:rPr>
            </w:pPr>
          </w:p>
        </w:tc>
      </w:tr>
      <w:tr w:rsidR="00C55547" w:rsidRPr="00E07C9A" w14:paraId="3999CCE8" w14:textId="77777777" w:rsidTr="00E10B85">
        <w:tc>
          <w:tcPr>
            <w:tcW w:w="1101" w:type="dxa"/>
          </w:tcPr>
          <w:p w14:paraId="53ED7757" w14:textId="77777777" w:rsidR="00C55547" w:rsidRPr="00E07C9A" w:rsidRDefault="00C55547" w:rsidP="00E10B85">
            <w:pPr>
              <w:autoSpaceDE w:val="0"/>
              <w:autoSpaceDN w:val="0"/>
              <w:adjustRightInd w:val="0"/>
              <w:spacing w:before="0" w:after="0"/>
              <w:rPr>
                <w:rFonts w:ascii="Times New Roman" w:hAnsi="Times New Roman"/>
                <w:bCs/>
                <w:sz w:val="24"/>
              </w:rPr>
            </w:pPr>
            <w:r w:rsidRPr="00E07C9A">
              <w:rPr>
                <w:rFonts w:ascii="Times New Roman" w:hAnsi="Times New Roman"/>
                <w:sz w:val="24"/>
              </w:rPr>
              <w:t>0051</w:t>
            </w:r>
          </w:p>
        </w:tc>
        <w:tc>
          <w:tcPr>
            <w:tcW w:w="7903" w:type="dxa"/>
          </w:tcPr>
          <w:p w14:paraId="5808293C" w14:textId="27A8DEC6" w:rsidR="00C55547" w:rsidRPr="00E07C9A" w:rsidRDefault="00C55547" w:rsidP="00E10B85">
            <w:pPr>
              <w:autoSpaceDE w:val="0"/>
              <w:autoSpaceDN w:val="0"/>
              <w:adjustRightInd w:val="0"/>
              <w:spacing w:before="0" w:after="0"/>
              <w:jc w:val="left"/>
              <w:rPr>
                <w:rFonts w:ascii="Times New Roman" w:hAnsi="Times New Roman"/>
                <w:b/>
                <w:sz w:val="24"/>
                <w:u w:val="single"/>
              </w:rPr>
            </w:pPr>
            <w:r w:rsidRPr="00E07C9A">
              <w:rPr>
                <w:rFonts w:ascii="Times New Roman" w:hAnsi="Times New Roman"/>
                <w:b/>
                <w:sz w:val="24"/>
                <w:u w:val="single"/>
              </w:rPr>
              <w:t>POSTUP ÚČTOVANIA: VEDÚ SA SEKURITIZOVANÉ EXPOZÍCIE</w:t>
            </w:r>
            <w:r w:rsidR="009912F8" w:rsidRPr="00E07C9A">
              <w:rPr>
                <w:rFonts w:ascii="Times New Roman" w:hAnsi="Times New Roman"/>
                <w:b/>
                <w:sz w:val="24"/>
                <w:u w:val="single"/>
              </w:rPr>
              <w:t xml:space="preserve"> V </w:t>
            </w:r>
            <w:r w:rsidRPr="00E07C9A">
              <w:rPr>
                <w:rFonts w:ascii="Times New Roman" w:hAnsi="Times New Roman"/>
                <w:b/>
                <w:sz w:val="24"/>
                <w:u w:val="single"/>
              </w:rPr>
              <w:t>SÚVAHE ALEBO SA ODTIAĽ VYLÚČIA?</w:t>
            </w:r>
          </w:p>
          <w:p w14:paraId="4C22BA76" w14:textId="77777777" w:rsidR="00C55547" w:rsidRPr="00E07C9A" w:rsidRDefault="00C55547" w:rsidP="00E10B85">
            <w:pPr>
              <w:autoSpaceDE w:val="0"/>
              <w:autoSpaceDN w:val="0"/>
              <w:adjustRightInd w:val="0"/>
              <w:spacing w:before="0" w:after="0"/>
              <w:jc w:val="left"/>
              <w:rPr>
                <w:rFonts w:ascii="Times New Roman" w:hAnsi="Times New Roman"/>
                <w:sz w:val="24"/>
              </w:rPr>
            </w:pPr>
          </w:p>
          <w:p w14:paraId="6B582EA3" w14:textId="4164F2CB" w:rsidR="00C55547" w:rsidRPr="00E07C9A" w:rsidRDefault="00784A19" w:rsidP="00E10B85">
            <w:pPr>
              <w:autoSpaceDE w:val="0"/>
              <w:autoSpaceDN w:val="0"/>
              <w:adjustRightInd w:val="0"/>
              <w:spacing w:before="0" w:after="0"/>
              <w:jc w:val="left"/>
              <w:rPr>
                <w:rFonts w:ascii="Times New Roman" w:hAnsi="Times New Roman"/>
                <w:sz w:val="24"/>
              </w:rPr>
            </w:pPr>
            <w:r w:rsidRPr="00E07C9A">
              <w:rPr>
                <w:rFonts w:ascii="Times New Roman" w:hAnsi="Times New Roman"/>
                <w:sz w:val="24"/>
              </w:rPr>
              <w:t>Inštitúcie ako originátori, sponzori</w:t>
            </w:r>
            <w:r w:rsidR="009912F8" w:rsidRPr="00E07C9A">
              <w:rPr>
                <w:rFonts w:ascii="Times New Roman" w:hAnsi="Times New Roman"/>
                <w:sz w:val="24"/>
              </w:rPr>
              <w:t xml:space="preserve"> a </w:t>
            </w:r>
            <w:r w:rsidRPr="00E07C9A">
              <w:rPr>
                <w:rFonts w:ascii="Times New Roman" w:hAnsi="Times New Roman"/>
                <w:sz w:val="24"/>
              </w:rPr>
              <w:t>pôvodní veritelia vykazujú jednu</w:t>
            </w:r>
            <w:r w:rsidR="009912F8" w:rsidRPr="00E07C9A">
              <w:rPr>
                <w:rFonts w:ascii="Times New Roman" w:hAnsi="Times New Roman"/>
                <w:sz w:val="24"/>
              </w:rPr>
              <w:t xml:space="preserve"> z </w:t>
            </w:r>
            <w:r w:rsidRPr="00E07C9A">
              <w:rPr>
                <w:rFonts w:ascii="Times New Roman" w:hAnsi="Times New Roman"/>
                <w:sz w:val="24"/>
              </w:rPr>
              <w:t>týchto skratiek:</w:t>
            </w:r>
          </w:p>
          <w:p w14:paraId="31020107" w14:textId="3A496680" w:rsidR="00C55547" w:rsidRPr="00E07C9A" w:rsidRDefault="00C55547" w:rsidP="00E10B85">
            <w:pPr>
              <w:autoSpaceDE w:val="0"/>
              <w:autoSpaceDN w:val="0"/>
              <w:adjustRightInd w:val="0"/>
              <w:spacing w:before="0" w:after="0"/>
              <w:ind w:left="1440" w:hanging="1440"/>
              <w:jc w:val="left"/>
              <w:rPr>
                <w:rFonts w:ascii="Times New Roman" w:hAnsi="Times New Roman"/>
                <w:sz w:val="24"/>
              </w:rPr>
            </w:pPr>
            <w:r w:rsidRPr="00E07C9A">
              <w:rPr>
                <w:rFonts w:ascii="Times New Roman" w:hAnsi="Times New Roman"/>
                <w:sz w:val="24"/>
              </w:rPr>
              <w:t>– „K – vedené</w:t>
            </w:r>
            <w:r w:rsidR="009912F8" w:rsidRPr="00E07C9A">
              <w:rPr>
                <w:rFonts w:ascii="Times New Roman" w:hAnsi="Times New Roman"/>
                <w:sz w:val="24"/>
              </w:rPr>
              <w:t xml:space="preserve"> v </w:t>
            </w:r>
            <w:r w:rsidRPr="00E07C9A">
              <w:rPr>
                <w:rFonts w:ascii="Times New Roman" w:hAnsi="Times New Roman"/>
                <w:sz w:val="24"/>
              </w:rPr>
              <w:t>plnom rozsahu“, ak sa sekuritizované expozície vykazujú</w:t>
            </w:r>
            <w:r w:rsidR="009912F8" w:rsidRPr="00E07C9A">
              <w:rPr>
                <w:rFonts w:ascii="Times New Roman" w:hAnsi="Times New Roman"/>
                <w:sz w:val="24"/>
              </w:rPr>
              <w:t xml:space="preserve"> v </w:t>
            </w:r>
            <w:r w:rsidRPr="00E07C9A">
              <w:rPr>
                <w:rFonts w:ascii="Times New Roman" w:hAnsi="Times New Roman"/>
                <w:sz w:val="24"/>
              </w:rPr>
              <w:t>plnom rozsahu,</w:t>
            </w:r>
          </w:p>
          <w:p w14:paraId="34EE2CE8" w14:textId="5D056228" w:rsidR="00C55547" w:rsidRPr="00E07C9A" w:rsidRDefault="00C55547" w:rsidP="00E10B85">
            <w:pPr>
              <w:autoSpaceDE w:val="0"/>
              <w:autoSpaceDN w:val="0"/>
              <w:adjustRightInd w:val="0"/>
              <w:spacing w:before="0" w:after="0"/>
              <w:jc w:val="left"/>
              <w:rPr>
                <w:rFonts w:ascii="Times New Roman" w:hAnsi="Times New Roman"/>
                <w:sz w:val="24"/>
              </w:rPr>
            </w:pPr>
            <w:r w:rsidRPr="00E07C9A">
              <w:rPr>
                <w:rFonts w:ascii="Times New Roman" w:hAnsi="Times New Roman"/>
                <w:sz w:val="24"/>
              </w:rPr>
              <w:t>– „P – čiastočne vylúčené“, ak sa vykazovanie sekuritizovaných expozícií čiastočne ukončilo,</w:t>
            </w:r>
          </w:p>
          <w:p w14:paraId="303D7F13" w14:textId="41F63AA5" w:rsidR="00C55547" w:rsidRPr="00E07C9A" w:rsidRDefault="00C55547" w:rsidP="00E10B85">
            <w:pPr>
              <w:autoSpaceDE w:val="0"/>
              <w:autoSpaceDN w:val="0"/>
              <w:adjustRightInd w:val="0"/>
              <w:spacing w:before="0" w:after="0"/>
              <w:jc w:val="left"/>
              <w:rPr>
                <w:rFonts w:ascii="Times New Roman" w:hAnsi="Times New Roman"/>
                <w:sz w:val="24"/>
              </w:rPr>
            </w:pPr>
            <w:r w:rsidRPr="00E07C9A">
              <w:rPr>
                <w:rFonts w:ascii="Times New Roman" w:hAnsi="Times New Roman"/>
                <w:sz w:val="24"/>
              </w:rPr>
              <w:t>– „R – úplne odstránené“, ak sa vykazovanie sekuritizovaných expozícií ukončilo</w:t>
            </w:r>
            <w:r w:rsidR="009912F8" w:rsidRPr="00E07C9A">
              <w:rPr>
                <w:rFonts w:ascii="Times New Roman" w:hAnsi="Times New Roman"/>
                <w:sz w:val="24"/>
              </w:rPr>
              <w:t xml:space="preserve"> v </w:t>
            </w:r>
            <w:r w:rsidRPr="00E07C9A">
              <w:rPr>
                <w:rFonts w:ascii="Times New Roman" w:hAnsi="Times New Roman"/>
                <w:sz w:val="24"/>
              </w:rPr>
              <w:t>plnom rozsahu,</w:t>
            </w:r>
          </w:p>
          <w:p w14:paraId="4240B79F" w14:textId="6313CEFC" w:rsidR="00C55547" w:rsidRPr="00E07C9A" w:rsidRDefault="00C55547" w:rsidP="00E10B85">
            <w:pPr>
              <w:autoSpaceDE w:val="0"/>
              <w:autoSpaceDN w:val="0"/>
              <w:adjustRightInd w:val="0"/>
              <w:spacing w:before="0" w:after="0"/>
              <w:jc w:val="left"/>
              <w:rPr>
                <w:rFonts w:ascii="Times New Roman" w:hAnsi="Times New Roman"/>
                <w:sz w:val="24"/>
              </w:rPr>
            </w:pPr>
            <w:r w:rsidRPr="00E07C9A">
              <w:rPr>
                <w:rFonts w:ascii="Times New Roman" w:hAnsi="Times New Roman"/>
                <w:sz w:val="24"/>
              </w:rPr>
              <w:t>– „N – neuplatňuje sa“</w:t>
            </w:r>
            <w:r w:rsidR="009912F8" w:rsidRPr="00E07C9A">
              <w:rPr>
                <w:rFonts w:ascii="Times New Roman" w:hAnsi="Times New Roman"/>
                <w:sz w:val="24"/>
              </w:rPr>
              <w:t xml:space="preserve"> v </w:t>
            </w:r>
            <w:r w:rsidRPr="00E07C9A">
              <w:rPr>
                <w:rFonts w:ascii="Times New Roman" w:hAnsi="Times New Roman"/>
                <w:sz w:val="24"/>
              </w:rPr>
              <w:t>prípade neuplatňovania.</w:t>
            </w:r>
          </w:p>
          <w:p w14:paraId="47D11FAF" w14:textId="77777777" w:rsidR="00C55547" w:rsidRPr="00E07C9A" w:rsidRDefault="00C55547" w:rsidP="00E10B85">
            <w:pPr>
              <w:autoSpaceDE w:val="0"/>
              <w:autoSpaceDN w:val="0"/>
              <w:adjustRightInd w:val="0"/>
              <w:spacing w:before="0" w:after="0"/>
              <w:jc w:val="left"/>
              <w:rPr>
                <w:rFonts w:ascii="Times New Roman" w:hAnsi="Times New Roman"/>
                <w:sz w:val="24"/>
              </w:rPr>
            </w:pPr>
          </w:p>
          <w:p w14:paraId="3CB95D02" w14:textId="664122BC" w:rsidR="00C55547" w:rsidRPr="00E07C9A" w:rsidRDefault="00C55547"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V tomto stĺpci sa sumarizuje postup účtovania transakcie. Prenos významného rizika (SRT) podľa článkov 244</w:t>
            </w:r>
            <w:r w:rsidR="009912F8" w:rsidRPr="00E07C9A">
              <w:rPr>
                <w:rFonts w:ascii="Times New Roman" w:hAnsi="Times New Roman"/>
                <w:sz w:val="24"/>
              </w:rPr>
              <w:t xml:space="preserve"> a </w:t>
            </w:r>
            <w:r w:rsidRPr="00E07C9A">
              <w:rPr>
                <w:rFonts w:ascii="Times New Roman" w:hAnsi="Times New Roman"/>
                <w:sz w:val="24"/>
              </w:rPr>
              <w:t xml:space="preserve">245 nariadenia (EÚ) </w:t>
            </w:r>
            <w:r w:rsidR="009912F8" w:rsidRPr="00E07C9A">
              <w:rPr>
                <w:rFonts w:ascii="Times New Roman" w:hAnsi="Times New Roman"/>
                <w:sz w:val="24"/>
              </w:rPr>
              <w:t>č. 575/2013</w:t>
            </w:r>
            <w:r w:rsidRPr="00E07C9A">
              <w:rPr>
                <w:rFonts w:ascii="Times New Roman" w:hAnsi="Times New Roman"/>
                <w:sz w:val="24"/>
              </w:rPr>
              <w:t xml:space="preserve"> nemá vplyv na postup účtovania transakcie na základe príslušného účtovného rámca.</w:t>
            </w:r>
          </w:p>
          <w:p w14:paraId="2E31E6CD" w14:textId="77777777" w:rsidR="007F1970" w:rsidRPr="00E07C9A" w:rsidRDefault="007F1970" w:rsidP="00E10B85">
            <w:pPr>
              <w:autoSpaceDE w:val="0"/>
              <w:autoSpaceDN w:val="0"/>
              <w:adjustRightInd w:val="0"/>
              <w:spacing w:before="0" w:after="0"/>
              <w:rPr>
                <w:rFonts w:ascii="Times New Roman" w:hAnsi="Times New Roman"/>
                <w:sz w:val="24"/>
              </w:rPr>
            </w:pPr>
          </w:p>
          <w:p w14:paraId="4B700E7A" w14:textId="77777777" w:rsidR="00C55547" w:rsidRPr="00E07C9A" w:rsidRDefault="00C55547"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V prípade sekuritizácií záväzkov originátori tento stĺpec nevypĺňajú.</w:t>
            </w:r>
          </w:p>
          <w:p w14:paraId="24E84D84" w14:textId="6E1BD293" w:rsidR="00C55547" w:rsidRPr="00E07C9A" w:rsidRDefault="00C55547"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Možnosť „P“ (čiastočne vylúčené) sa vykazuje, keď sa sekuritizované aktíva vykázali</w:t>
            </w:r>
            <w:r w:rsidR="009912F8" w:rsidRPr="00E07C9A">
              <w:rPr>
                <w:rFonts w:ascii="Times New Roman" w:hAnsi="Times New Roman"/>
                <w:sz w:val="24"/>
              </w:rPr>
              <w:t xml:space="preserve"> v </w:t>
            </w:r>
            <w:r w:rsidRPr="00E07C9A">
              <w:rPr>
                <w:rFonts w:ascii="Times New Roman" w:hAnsi="Times New Roman"/>
                <w:sz w:val="24"/>
              </w:rPr>
              <w:t>súvahe</w:t>
            </w:r>
            <w:r w:rsidR="009912F8" w:rsidRPr="00E07C9A">
              <w:rPr>
                <w:rFonts w:ascii="Times New Roman" w:hAnsi="Times New Roman"/>
                <w:sz w:val="24"/>
              </w:rPr>
              <w:t xml:space="preserve"> v </w:t>
            </w:r>
            <w:r w:rsidRPr="00E07C9A">
              <w:rPr>
                <w:rFonts w:ascii="Times New Roman" w:hAnsi="Times New Roman"/>
                <w:sz w:val="24"/>
              </w:rPr>
              <w:t>miere pokračujúceho zapojenia vykazujúceho subjektu</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IFRS 9 ods. 3.2.16 až 3.2.21.</w:t>
            </w:r>
          </w:p>
          <w:p w14:paraId="7EF289B4" w14:textId="77777777" w:rsidR="00C55547" w:rsidRPr="00E07C9A"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E07C9A" w14:paraId="7CDE4796" w14:textId="77777777" w:rsidTr="00E10B85">
        <w:tc>
          <w:tcPr>
            <w:tcW w:w="1101" w:type="dxa"/>
          </w:tcPr>
          <w:p w14:paraId="5C56A656" w14:textId="77777777" w:rsidR="00C55547" w:rsidRPr="00E07C9A" w:rsidRDefault="00C55547" w:rsidP="00E10B85">
            <w:pPr>
              <w:autoSpaceDE w:val="0"/>
              <w:autoSpaceDN w:val="0"/>
              <w:adjustRightInd w:val="0"/>
              <w:spacing w:before="0" w:after="0"/>
              <w:rPr>
                <w:rFonts w:ascii="Times New Roman" w:hAnsi="Times New Roman"/>
                <w:bCs/>
                <w:sz w:val="24"/>
              </w:rPr>
            </w:pPr>
            <w:r w:rsidRPr="00E07C9A">
              <w:rPr>
                <w:rFonts w:ascii="Times New Roman" w:hAnsi="Times New Roman"/>
                <w:sz w:val="24"/>
              </w:rPr>
              <w:t>0060</w:t>
            </w:r>
          </w:p>
        </w:tc>
        <w:tc>
          <w:tcPr>
            <w:tcW w:w="7903" w:type="dxa"/>
          </w:tcPr>
          <w:p w14:paraId="03382B14" w14:textId="36A106BD" w:rsidR="00C55547" w:rsidRPr="00E07C9A" w:rsidRDefault="00C55547" w:rsidP="00E10B85">
            <w:pPr>
              <w:spacing w:before="0" w:after="0"/>
              <w:jc w:val="left"/>
              <w:rPr>
                <w:rFonts w:ascii="Times New Roman" w:hAnsi="Times New Roman"/>
                <w:b/>
                <w:sz w:val="24"/>
                <w:u w:val="single"/>
              </w:rPr>
            </w:pPr>
            <w:r w:rsidRPr="00E07C9A">
              <w:rPr>
                <w:rFonts w:ascii="Times New Roman" w:hAnsi="Times New Roman"/>
                <w:b/>
                <w:sz w:val="24"/>
                <w:u w:val="single"/>
              </w:rPr>
              <w:t>ZAOBCHÁDZANIE</w:t>
            </w:r>
            <w:r w:rsidR="009912F8" w:rsidRPr="00E07C9A">
              <w:rPr>
                <w:rFonts w:ascii="Times New Roman" w:hAnsi="Times New Roman"/>
                <w:b/>
                <w:sz w:val="24"/>
                <w:u w:val="single"/>
              </w:rPr>
              <w:t xml:space="preserve"> V </w:t>
            </w:r>
            <w:r w:rsidRPr="00E07C9A">
              <w:rPr>
                <w:rFonts w:ascii="Times New Roman" w:hAnsi="Times New Roman"/>
                <w:b/>
                <w:sz w:val="24"/>
                <w:u w:val="single"/>
              </w:rPr>
              <w:t>SÚVISLOSTI</w:t>
            </w:r>
            <w:r w:rsidR="009912F8" w:rsidRPr="00E07C9A">
              <w:rPr>
                <w:rFonts w:ascii="Times New Roman" w:hAnsi="Times New Roman"/>
                <w:b/>
                <w:sz w:val="24"/>
                <w:u w:val="single"/>
              </w:rPr>
              <w:t xml:space="preserve"> S </w:t>
            </w:r>
            <w:r w:rsidRPr="00E07C9A">
              <w:rPr>
                <w:rFonts w:ascii="Times New Roman" w:hAnsi="Times New Roman"/>
                <w:b/>
                <w:sz w:val="24"/>
                <w:u w:val="single"/>
              </w:rPr>
              <w:t>PLATOBNOU SCHOPNOSŤOU: VZŤAHUJÚ SA NA SEKURITIZAČNÉ POZÍCIE POŽIADAVKY NA VLASTNÉ ZDROJE?</w:t>
            </w:r>
          </w:p>
          <w:p w14:paraId="1CD95F15" w14:textId="77777777" w:rsidR="00C55547" w:rsidRPr="00E07C9A" w:rsidRDefault="00C55547" w:rsidP="00E10B85">
            <w:pPr>
              <w:autoSpaceDE w:val="0"/>
              <w:autoSpaceDN w:val="0"/>
              <w:adjustRightInd w:val="0"/>
              <w:spacing w:before="0" w:after="0"/>
              <w:jc w:val="left"/>
              <w:rPr>
                <w:rFonts w:ascii="Times New Roman" w:hAnsi="Times New Roman"/>
                <w:sz w:val="24"/>
              </w:rPr>
            </w:pPr>
          </w:p>
          <w:p w14:paraId="5A2160AD" w14:textId="50B886BE" w:rsidR="006C5A49" w:rsidRPr="00E07C9A" w:rsidRDefault="006C5A49" w:rsidP="006C5A49">
            <w:pPr>
              <w:autoSpaceDE w:val="0"/>
              <w:autoSpaceDN w:val="0"/>
              <w:adjustRightInd w:val="0"/>
              <w:spacing w:before="0" w:after="0"/>
              <w:rPr>
                <w:rFonts w:ascii="Times New Roman" w:hAnsi="Times New Roman"/>
                <w:sz w:val="24"/>
              </w:rPr>
            </w:pPr>
            <w:r w:rsidRPr="00E07C9A">
              <w:rPr>
                <w:rFonts w:ascii="Times New Roman" w:hAnsi="Times New Roman"/>
                <w:sz w:val="24"/>
              </w:rPr>
              <w:t>Články 109, 244</w:t>
            </w:r>
            <w:r w:rsidR="009912F8" w:rsidRPr="00E07C9A">
              <w:rPr>
                <w:rFonts w:ascii="Times New Roman" w:hAnsi="Times New Roman"/>
                <w:sz w:val="24"/>
              </w:rPr>
              <w:t xml:space="preserve"> a </w:t>
            </w:r>
            <w:r w:rsidRPr="00E07C9A">
              <w:rPr>
                <w:rFonts w:ascii="Times New Roman" w:hAnsi="Times New Roman"/>
                <w:sz w:val="24"/>
              </w:rPr>
              <w:t xml:space="preserve">245 nariadenia (EÚ) </w:t>
            </w:r>
            <w:r w:rsidR="009912F8" w:rsidRPr="00E07C9A">
              <w:rPr>
                <w:rFonts w:ascii="Times New Roman" w:hAnsi="Times New Roman"/>
                <w:sz w:val="24"/>
              </w:rPr>
              <w:t>č. 575/2013</w:t>
            </w:r>
          </w:p>
          <w:p w14:paraId="4D86B898" w14:textId="77777777" w:rsidR="006C5A49" w:rsidRPr="00E07C9A" w:rsidRDefault="006C5A49" w:rsidP="006C5A49">
            <w:pPr>
              <w:autoSpaceDE w:val="0"/>
              <w:autoSpaceDN w:val="0"/>
              <w:adjustRightInd w:val="0"/>
              <w:spacing w:before="0" w:after="0"/>
              <w:rPr>
                <w:rFonts w:ascii="Times New Roman" w:hAnsi="Times New Roman"/>
                <w:sz w:val="24"/>
              </w:rPr>
            </w:pPr>
          </w:p>
          <w:p w14:paraId="501272BE" w14:textId="2E3853E3" w:rsidR="009912F8" w:rsidRPr="00E07C9A" w:rsidRDefault="00C55547" w:rsidP="00E10B85">
            <w:pPr>
              <w:autoSpaceDE w:val="0"/>
              <w:autoSpaceDN w:val="0"/>
              <w:adjustRightInd w:val="0"/>
              <w:spacing w:before="0" w:after="0"/>
              <w:jc w:val="left"/>
              <w:rPr>
                <w:rFonts w:ascii="Times New Roman" w:hAnsi="Times New Roman"/>
                <w:sz w:val="24"/>
              </w:rPr>
            </w:pPr>
            <w:r w:rsidRPr="00E07C9A">
              <w:rPr>
                <w:rFonts w:ascii="Times New Roman" w:hAnsi="Times New Roman"/>
                <w:sz w:val="24"/>
              </w:rPr>
              <w:t>Len originátori vykazujú jednu</w:t>
            </w:r>
            <w:r w:rsidR="009912F8" w:rsidRPr="00E07C9A">
              <w:rPr>
                <w:rFonts w:ascii="Times New Roman" w:hAnsi="Times New Roman"/>
                <w:sz w:val="24"/>
              </w:rPr>
              <w:t xml:space="preserve"> z </w:t>
            </w:r>
            <w:r w:rsidRPr="00E07C9A">
              <w:rPr>
                <w:rFonts w:ascii="Times New Roman" w:hAnsi="Times New Roman"/>
                <w:sz w:val="24"/>
              </w:rPr>
              <w:t>týchto možností</w:t>
            </w:r>
            <w:r w:rsidR="009912F8" w:rsidRPr="00E07C9A">
              <w:rPr>
                <w:rFonts w:ascii="Times New Roman" w:hAnsi="Times New Roman"/>
                <w:sz w:val="24"/>
              </w:rPr>
              <w:t>:</w:t>
            </w:r>
          </w:p>
          <w:p w14:paraId="5EAA38EE" w14:textId="4D47A1AE" w:rsidR="00C55547" w:rsidRPr="00E07C9A" w:rsidRDefault="00C55547" w:rsidP="00E10B85">
            <w:pPr>
              <w:autoSpaceDE w:val="0"/>
              <w:autoSpaceDN w:val="0"/>
              <w:adjustRightInd w:val="0"/>
              <w:spacing w:before="0" w:after="0"/>
              <w:jc w:val="left"/>
              <w:rPr>
                <w:rFonts w:ascii="Times New Roman" w:hAnsi="Times New Roman"/>
                <w:sz w:val="24"/>
              </w:rPr>
            </w:pPr>
            <w:r w:rsidRPr="00E07C9A">
              <w:rPr>
                <w:rFonts w:ascii="Times New Roman" w:hAnsi="Times New Roman"/>
                <w:sz w:val="24"/>
              </w:rPr>
              <w:t>– nepodliehajú požiadavkám na vlastné zdroje,</w:t>
            </w:r>
          </w:p>
          <w:p w14:paraId="4356DD80" w14:textId="4C01E305" w:rsidR="00C55547" w:rsidRPr="00E07C9A" w:rsidRDefault="00C55547" w:rsidP="00E10B85">
            <w:pPr>
              <w:autoSpaceDE w:val="0"/>
              <w:autoSpaceDN w:val="0"/>
              <w:adjustRightInd w:val="0"/>
              <w:spacing w:before="0" w:after="0"/>
              <w:jc w:val="left"/>
              <w:rPr>
                <w:rFonts w:ascii="Times New Roman" w:hAnsi="Times New Roman"/>
                <w:sz w:val="24"/>
              </w:rPr>
            </w:pPr>
            <w:r w:rsidRPr="00E07C9A">
              <w:rPr>
                <w:rFonts w:ascii="Times New Roman" w:hAnsi="Times New Roman"/>
                <w:sz w:val="24"/>
              </w:rPr>
              <w:t>– banková kniha,</w:t>
            </w:r>
          </w:p>
          <w:p w14:paraId="767C4593" w14:textId="6418209B" w:rsidR="00C55547" w:rsidRPr="00E07C9A" w:rsidRDefault="00C55547" w:rsidP="00E10B85">
            <w:pPr>
              <w:autoSpaceDE w:val="0"/>
              <w:autoSpaceDN w:val="0"/>
              <w:adjustRightInd w:val="0"/>
              <w:spacing w:before="0" w:after="0"/>
              <w:jc w:val="left"/>
              <w:rPr>
                <w:rFonts w:ascii="Times New Roman" w:hAnsi="Times New Roman"/>
                <w:sz w:val="24"/>
              </w:rPr>
            </w:pPr>
            <w:r w:rsidRPr="00E07C9A">
              <w:rPr>
                <w:rFonts w:ascii="Times New Roman" w:hAnsi="Times New Roman"/>
                <w:sz w:val="24"/>
              </w:rPr>
              <w:t>– obchodná kniha,</w:t>
            </w:r>
          </w:p>
          <w:p w14:paraId="1885FC96" w14:textId="519F08F6" w:rsidR="00C55547" w:rsidRPr="00E07C9A" w:rsidRDefault="00C55547" w:rsidP="00E10B85">
            <w:pPr>
              <w:autoSpaceDE w:val="0"/>
              <w:autoSpaceDN w:val="0"/>
              <w:adjustRightInd w:val="0"/>
              <w:spacing w:before="0" w:after="0"/>
              <w:jc w:val="left"/>
              <w:rPr>
                <w:rFonts w:ascii="Times New Roman" w:hAnsi="Times New Roman"/>
                <w:sz w:val="24"/>
              </w:rPr>
            </w:pPr>
            <w:r w:rsidRPr="00E07C9A">
              <w:rPr>
                <w:rFonts w:ascii="Times New Roman" w:hAnsi="Times New Roman"/>
                <w:sz w:val="24"/>
              </w:rPr>
              <w:t>– čiastočne</w:t>
            </w:r>
            <w:r w:rsidR="009912F8" w:rsidRPr="00E07C9A">
              <w:rPr>
                <w:rFonts w:ascii="Times New Roman" w:hAnsi="Times New Roman"/>
                <w:sz w:val="24"/>
              </w:rPr>
              <w:t xml:space="preserve"> v </w:t>
            </w:r>
            <w:r w:rsidRPr="00E07C9A">
              <w:rPr>
                <w:rFonts w:ascii="Times New Roman" w:hAnsi="Times New Roman"/>
                <w:sz w:val="24"/>
              </w:rPr>
              <w:t>bankovej aj obchodnej knihe.</w:t>
            </w:r>
          </w:p>
          <w:p w14:paraId="6737B46C" w14:textId="77777777" w:rsidR="00C55547" w:rsidRPr="00E07C9A" w:rsidRDefault="00C55547" w:rsidP="00E10B85">
            <w:pPr>
              <w:autoSpaceDE w:val="0"/>
              <w:autoSpaceDN w:val="0"/>
              <w:adjustRightInd w:val="0"/>
              <w:spacing w:before="0" w:after="0"/>
              <w:rPr>
                <w:rFonts w:ascii="Times New Roman" w:hAnsi="Times New Roman"/>
                <w:sz w:val="24"/>
              </w:rPr>
            </w:pPr>
          </w:p>
          <w:p w14:paraId="692F2CF8" w14:textId="532AB066" w:rsidR="009912F8" w:rsidRPr="00E07C9A" w:rsidRDefault="00C55547"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V tomto stĺpci sa sumarizuje zaobchádzanie so sekuritizačnou schémou originátora</w:t>
            </w:r>
            <w:r w:rsidR="009912F8" w:rsidRPr="00E07C9A">
              <w:rPr>
                <w:rFonts w:ascii="Times New Roman" w:hAnsi="Times New Roman"/>
                <w:sz w:val="24"/>
              </w:rPr>
              <w:t xml:space="preserve"> v </w:t>
            </w:r>
            <w:r w:rsidRPr="00E07C9A">
              <w:rPr>
                <w:rFonts w:ascii="Times New Roman" w:hAnsi="Times New Roman"/>
                <w:sz w:val="24"/>
              </w:rPr>
              <w:t>súvislosti</w:t>
            </w:r>
            <w:r w:rsidR="009912F8" w:rsidRPr="00E07C9A">
              <w:rPr>
                <w:rFonts w:ascii="Times New Roman" w:hAnsi="Times New Roman"/>
                <w:sz w:val="24"/>
              </w:rPr>
              <w:t xml:space="preserve"> s </w:t>
            </w:r>
            <w:r w:rsidRPr="00E07C9A">
              <w:rPr>
                <w:rFonts w:ascii="Times New Roman" w:hAnsi="Times New Roman"/>
                <w:sz w:val="24"/>
              </w:rPr>
              <w:t>platobnou schopnosťou. Uvádza sa, či sa požiadavky na vlastné zdroje vypočítavajú na základe sekuritizovaných expozícií alebo sekuritizačných pozícií (banková kniha/obchodná kniha)</w:t>
            </w:r>
            <w:r w:rsidR="009912F8" w:rsidRPr="00E07C9A">
              <w:rPr>
                <w:rFonts w:ascii="Times New Roman" w:hAnsi="Times New Roman"/>
                <w:sz w:val="24"/>
              </w:rPr>
              <w:t>.</w:t>
            </w:r>
          </w:p>
          <w:p w14:paraId="3C8F0CAF" w14:textId="5B12540C" w:rsidR="00C55547" w:rsidRPr="00E07C9A" w:rsidRDefault="00C55547" w:rsidP="00E10B85">
            <w:pPr>
              <w:autoSpaceDE w:val="0"/>
              <w:autoSpaceDN w:val="0"/>
              <w:adjustRightInd w:val="0"/>
              <w:spacing w:before="0" w:after="0"/>
              <w:rPr>
                <w:rFonts w:ascii="Times New Roman" w:hAnsi="Times New Roman"/>
                <w:sz w:val="24"/>
              </w:rPr>
            </w:pPr>
          </w:p>
          <w:p w14:paraId="56E66E70" w14:textId="77777777" w:rsidR="00C55547" w:rsidRPr="00E07C9A" w:rsidRDefault="007F1970"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 xml:space="preserve">Keď sú požiadavky na vlastné zdroje založené na </w:t>
            </w:r>
            <w:r w:rsidRPr="00E07C9A">
              <w:rPr>
                <w:rFonts w:ascii="Times New Roman" w:hAnsi="Times New Roman"/>
                <w:i/>
                <w:sz w:val="24"/>
              </w:rPr>
              <w:t>sekuritizovaných expozíciách</w:t>
            </w:r>
            <w:r w:rsidRPr="00E07C9A">
              <w:rPr>
                <w:rFonts w:ascii="Times New Roman" w:hAnsi="Times New Roman"/>
                <w:sz w:val="24"/>
              </w:rPr>
              <w:t xml:space="preserve"> (keďže sa nedosiahol žiadny prenos významného rizika), výpočet požiadaviek na vlastné zdroje pre kreditné riziko sa vykazuje vo vzore CR SA pre tie sekuritizované expozície, pre ktoré sa používa štandardizovaný prístup, alebo vo vzore CR IRB pre tie sekuritizované expozície, pre ktoré inštitúcia používa prístup interných ratingov.</w:t>
            </w:r>
          </w:p>
          <w:p w14:paraId="6127A8DC" w14:textId="77777777" w:rsidR="00C55547" w:rsidRPr="00E07C9A" w:rsidRDefault="00C55547" w:rsidP="00E10B85">
            <w:pPr>
              <w:autoSpaceDE w:val="0"/>
              <w:autoSpaceDN w:val="0"/>
              <w:adjustRightInd w:val="0"/>
              <w:spacing w:before="0" w:after="0"/>
              <w:rPr>
                <w:rFonts w:ascii="Times New Roman" w:hAnsi="Times New Roman"/>
                <w:sz w:val="24"/>
              </w:rPr>
            </w:pPr>
          </w:p>
          <w:p w14:paraId="4985E886" w14:textId="39B05C24" w:rsidR="00C55547" w:rsidRPr="00E07C9A" w:rsidRDefault="00C55547"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 xml:space="preserve">Ak sú naopak požiadavky na vlastné zdroje založené na </w:t>
            </w:r>
            <w:r w:rsidRPr="00E07C9A">
              <w:rPr>
                <w:rFonts w:ascii="Times New Roman" w:hAnsi="Times New Roman"/>
                <w:i/>
                <w:sz w:val="24"/>
              </w:rPr>
              <w:t>sekuritizačných pozíciách držaných</w:t>
            </w:r>
            <w:r w:rsidR="009912F8" w:rsidRPr="00E07C9A">
              <w:rPr>
                <w:rFonts w:ascii="Times New Roman" w:hAnsi="Times New Roman"/>
                <w:i/>
                <w:sz w:val="24"/>
              </w:rPr>
              <w:t xml:space="preserve"> v </w:t>
            </w:r>
            <w:r w:rsidRPr="00E07C9A">
              <w:rPr>
                <w:rFonts w:ascii="Times New Roman" w:hAnsi="Times New Roman"/>
                <w:i/>
                <w:sz w:val="24"/>
              </w:rPr>
              <w:t>bankovej knihe</w:t>
            </w:r>
            <w:r w:rsidRPr="00E07C9A">
              <w:rPr>
                <w:rFonts w:ascii="Times New Roman" w:hAnsi="Times New Roman"/>
                <w:sz w:val="24"/>
              </w:rPr>
              <w:t xml:space="preserve"> (keďže sa dosiahol prenos významného rizika), informácie</w:t>
            </w:r>
            <w:r w:rsidR="009912F8" w:rsidRPr="00E07C9A">
              <w:rPr>
                <w:rFonts w:ascii="Times New Roman" w:hAnsi="Times New Roman"/>
                <w:sz w:val="24"/>
              </w:rPr>
              <w:t xml:space="preserve"> o </w:t>
            </w:r>
            <w:r w:rsidRPr="00E07C9A">
              <w:rPr>
                <w:rFonts w:ascii="Times New Roman" w:hAnsi="Times New Roman"/>
                <w:sz w:val="24"/>
              </w:rPr>
              <w:t>výpočte požiadaviek na vlastné zdroje pre kreditné riziko sa vykazujú vo vzore CR SEC.</w:t>
            </w:r>
            <w:r w:rsidR="009912F8" w:rsidRPr="00E07C9A">
              <w:rPr>
                <w:rFonts w:ascii="Times New Roman" w:hAnsi="Times New Roman"/>
                <w:sz w:val="24"/>
              </w:rPr>
              <w:t xml:space="preserve"> V </w:t>
            </w:r>
            <w:r w:rsidRPr="00E07C9A">
              <w:rPr>
                <w:rFonts w:ascii="Times New Roman" w:hAnsi="Times New Roman"/>
                <w:sz w:val="24"/>
              </w:rPr>
              <w:t xml:space="preserve">prípade </w:t>
            </w:r>
            <w:r w:rsidRPr="00E07C9A">
              <w:rPr>
                <w:rFonts w:ascii="Times New Roman" w:hAnsi="Times New Roman"/>
                <w:i/>
                <w:sz w:val="24"/>
              </w:rPr>
              <w:t>sekuritizačných pozícií vedených</w:t>
            </w:r>
            <w:r w:rsidR="009912F8" w:rsidRPr="00E07C9A">
              <w:rPr>
                <w:rFonts w:ascii="Times New Roman" w:hAnsi="Times New Roman"/>
                <w:i/>
                <w:sz w:val="24"/>
              </w:rPr>
              <w:t xml:space="preserve"> v </w:t>
            </w:r>
            <w:r w:rsidRPr="00E07C9A">
              <w:rPr>
                <w:rFonts w:ascii="Times New Roman" w:hAnsi="Times New Roman"/>
                <w:i/>
                <w:sz w:val="24"/>
              </w:rPr>
              <w:t>obchodnej knihe</w:t>
            </w:r>
            <w:r w:rsidRPr="00E07C9A">
              <w:rPr>
                <w:rFonts w:ascii="Times New Roman" w:hAnsi="Times New Roman"/>
                <w:sz w:val="24"/>
              </w:rPr>
              <w:t xml:space="preserve"> sa informácie</w:t>
            </w:r>
            <w:r w:rsidR="009912F8" w:rsidRPr="00E07C9A">
              <w:rPr>
                <w:rFonts w:ascii="Times New Roman" w:hAnsi="Times New Roman"/>
                <w:sz w:val="24"/>
              </w:rPr>
              <w:t xml:space="preserve"> o </w:t>
            </w:r>
            <w:r w:rsidRPr="00E07C9A">
              <w:rPr>
                <w:rFonts w:ascii="Times New Roman" w:hAnsi="Times New Roman"/>
                <w:sz w:val="24"/>
              </w:rPr>
              <w:t>výpočte požiadaviek na vlastné zdroje pre trhové riziko vykazujú vo vzore MKR SA TDI (štandardizované všeobecné pozičné riziko)</w:t>
            </w:r>
            <w:r w:rsidR="009912F8" w:rsidRPr="00E07C9A">
              <w:rPr>
                <w:rFonts w:ascii="Times New Roman" w:hAnsi="Times New Roman"/>
                <w:sz w:val="24"/>
              </w:rPr>
              <w:t xml:space="preserve"> a </w:t>
            </w:r>
            <w:r w:rsidRPr="00E07C9A">
              <w:rPr>
                <w:rFonts w:ascii="Times New Roman" w:hAnsi="Times New Roman"/>
                <w:sz w:val="24"/>
              </w:rPr>
              <w:t>vo vzore MKR SA SEC alebo MKR SA CTP (štandardizované špecifické pozičné riziko) alebo vo vzore MKR IM (interné modely).</w:t>
            </w:r>
          </w:p>
          <w:p w14:paraId="31362609" w14:textId="77777777" w:rsidR="006C5A49" w:rsidRPr="00E07C9A" w:rsidRDefault="006C5A49" w:rsidP="00E10B85">
            <w:pPr>
              <w:autoSpaceDE w:val="0"/>
              <w:autoSpaceDN w:val="0"/>
              <w:adjustRightInd w:val="0"/>
              <w:spacing w:before="0" w:after="0"/>
              <w:rPr>
                <w:rFonts w:ascii="Times New Roman" w:hAnsi="Times New Roman"/>
                <w:sz w:val="24"/>
              </w:rPr>
            </w:pPr>
          </w:p>
          <w:p w14:paraId="055DFA72" w14:textId="77777777" w:rsidR="00C55547" w:rsidRPr="00E07C9A" w:rsidRDefault="00C55547"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V prípade sekuritizácií záväzkov originátori tento stĺpec nevypĺňajú.</w:t>
            </w:r>
          </w:p>
          <w:p w14:paraId="015D8C5C" w14:textId="77777777" w:rsidR="00C55547" w:rsidRPr="00E07C9A"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E07C9A" w14:paraId="000FBFAC" w14:textId="77777777" w:rsidTr="00E10B85">
        <w:tc>
          <w:tcPr>
            <w:tcW w:w="1101" w:type="dxa"/>
          </w:tcPr>
          <w:p w14:paraId="766D3F19" w14:textId="77777777" w:rsidR="00C55547" w:rsidRPr="00E07C9A" w:rsidRDefault="00C55547"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0061</w:t>
            </w:r>
          </w:p>
        </w:tc>
        <w:tc>
          <w:tcPr>
            <w:tcW w:w="7903" w:type="dxa"/>
          </w:tcPr>
          <w:p w14:paraId="581AA654" w14:textId="77777777" w:rsidR="00C55547" w:rsidRPr="00E07C9A" w:rsidRDefault="00C55547" w:rsidP="00E10B85">
            <w:pPr>
              <w:autoSpaceDE w:val="0"/>
              <w:autoSpaceDN w:val="0"/>
              <w:adjustRightInd w:val="0"/>
              <w:spacing w:before="0" w:after="0"/>
              <w:jc w:val="left"/>
              <w:rPr>
                <w:rFonts w:ascii="Times New Roman" w:hAnsi="Times New Roman"/>
                <w:b/>
                <w:sz w:val="24"/>
                <w:u w:val="single"/>
              </w:rPr>
            </w:pPr>
            <w:r w:rsidRPr="00E07C9A">
              <w:rPr>
                <w:rFonts w:ascii="Times New Roman" w:hAnsi="Times New Roman"/>
                <w:b/>
                <w:sz w:val="24"/>
                <w:u w:val="single"/>
              </w:rPr>
              <w:t>PRENOS VÝZNAMNÉHO RIZIKA</w:t>
            </w:r>
          </w:p>
          <w:p w14:paraId="116BD549" w14:textId="77777777" w:rsidR="00C55547" w:rsidRPr="00E07C9A" w:rsidRDefault="00C55547" w:rsidP="00E10B85">
            <w:pPr>
              <w:autoSpaceDE w:val="0"/>
              <w:autoSpaceDN w:val="0"/>
              <w:adjustRightInd w:val="0"/>
              <w:spacing w:before="0" w:after="0"/>
              <w:jc w:val="left"/>
              <w:rPr>
                <w:rFonts w:ascii="Times New Roman" w:hAnsi="Times New Roman"/>
                <w:b/>
                <w:sz w:val="24"/>
                <w:u w:val="single"/>
              </w:rPr>
            </w:pPr>
          </w:p>
          <w:p w14:paraId="70E21327" w14:textId="3BA4BDBE" w:rsidR="00C55547" w:rsidRPr="00E07C9A" w:rsidRDefault="00C55547" w:rsidP="00E10B85">
            <w:pPr>
              <w:autoSpaceDE w:val="0"/>
              <w:autoSpaceDN w:val="0"/>
              <w:adjustRightInd w:val="0"/>
              <w:spacing w:before="0" w:after="0"/>
              <w:jc w:val="left"/>
              <w:rPr>
                <w:rFonts w:ascii="Times New Roman" w:hAnsi="Times New Roman"/>
                <w:sz w:val="24"/>
              </w:rPr>
            </w:pPr>
            <w:r w:rsidRPr="00E07C9A">
              <w:rPr>
                <w:rFonts w:ascii="Times New Roman" w:hAnsi="Times New Roman"/>
                <w:sz w:val="24"/>
              </w:rPr>
              <w:t>Len originátori vykazujú jednu</w:t>
            </w:r>
            <w:r w:rsidR="009912F8" w:rsidRPr="00E07C9A">
              <w:rPr>
                <w:rFonts w:ascii="Times New Roman" w:hAnsi="Times New Roman"/>
                <w:sz w:val="24"/>
              </w:rPr>
              <w:t xml:space="preserve"> z </w:t>
            </w:r>
            <w:r w:rsidRPr="00E07C9A">
              <w:rPr>
                <w:rFonts w:ascii="Times New Roman" w:hAnsi="Times New Roman"/>
                <w:sz w:val="24"/>
              </w:rPr>
              <w:t>týchto možností:</w:t>
            </w:r>
          </w:p>
          <w:p w14:paraId="2C05C3DE" w14:textId="0E4346B7" w:rsidR="00C55547" w:rsidRPr="00E07C9A" w:rsidRDefault="00C55547" w:rsidP="00E10B85">
            <w:pPr>
              <w:autoSpaceDE w:val="0"/>
              <w:autoSpaceDN w:val="0"/>
              <w:adjustRightInd w:val="0"/>
              <w:spacing w:before="0" w:after="0"/>
              <w:jc w:val="left"/>
              <w:rPr>
                <w:rFonts w:ascii="Times New Roman" w:hAnsi="Times New Roman"/>
                <w:sz w:val="24"/>
              </w:rPr>
            </w:pPr>
            <w:r w:rsidRPr="00E07C9A">
              <w:rPr>
                <w:rFonts w:ascii="Times New Roman" w:hAnsi="Times New Roman"/>
                <w:sz w:val="24"/>
              </w:rPr>
              <w:t>– neuplatňuje sa na prenos významného rizika (SRT), vykazujúci subjekt rizikovo váži svoje sekuritizované expozície,</w:t>
            </w:r>
          </w:p>
          <w:p w14:paraId="7437E97F" w14:textId="33765593" w:rsidR="00C55547" w:rsidRPr="00E07C9A" w:rsidRDefault="00C55547" w:rsidP="00E10B85">
            <w:pPr>
              <w:autoSpaceDE w:val="0"/>
              <w:autoSpaceDN w:val="0"/>
              <w:adjustRightInd w:val="0"/>
              <w:spacing w:before="0" w:after="0"/>
              <w:jc w:val="left"/>
              <w:rPr>
                <w:rFonts w:ascii="Times New Roman" w:hAnsi="Times New Roman"/>
                <w:sz w:val="24"/>
              </w:rPr>
            </w:pPr>
            <w:r w:rsidRPr="00E07C9A">
              <w:rPr>
                <w:rFonts w:ascii="Times New Roman" w:hAnsi="Times New Roman"/>
                <w:sz w:val="24"/>
              </w:rPr>
              <w:t xml:space="preserve">– prenos významného rizika dosiahnutý podľa článku 244 ods. 2 písm. a) alebo podľa článku 245 ods. 2 písm. a) nariadenia (EÚ) </w:t>
            </w:r>
            <w:r w:rsidR="009912F8" w:rsidRPr="00E07C9A">
              <w:rPr>
                <w:rFonts w:ascii="Times New Roman" w:hAnsi="Times New Roman"/>
                <w:sz w:val="24"/>
              </w:rPr>
              <w:t>č. 575/2013</w:t>
            </w:r>
            <w:r w:rsidRPr="00E07C9A">
              <w:rPr>
                <w:rFonts w:ascii="Times New Roman" w:hAnsi="Times New Roman"/>
                <w:sz w:val="24"/>
              </w:rPr>
              <w:t>,</w:t>
            </w:r>
          </w:p>
          <w:p w14:paraId="2005A2C7" w14:textId="543ED148" w:rsidR="00C55547" w:rsidRPr="00E07C9A" w:rsidRDefault="00C55547" w:rsidP="00E10B85">
            <w:pPr>
              <w:autoSpaceDE w:val="0"/>
              <w:autoSpaceDN w:val="0"/>
              <w:adjustRightInd w:val="0"/>
              <w:spacing w:before="0" w:after="0"/>
              <w:jc w:val="left"/>
              <w:rPr>
                <w:rFonts w:ascii="Times New Roman" w:hAnsi="Times New Roman"/>
                <w:sz w:val="24"/>
              </w:rPr>
            </w:pPr>
            <w:r w:rsidRPr="00E07C9A">
              <w:rPr>
                <w:rFonts w:ascii="Times New Roman" w:hAnsi="Times New Roman"/>
                <w:sz w:val="24"/>
              </w:rPr>
              <w:t xml:space="preserve">– prenos významného rizika dosiahnutý podľa článku 244 ods. 2 písm. b) alebo podľa článku 245 ods. 2 písm. b) nariadenia (EÚ) </w:t>
            </w:r>
            <w:r w:rsidR="009912F8" w:rsidRPr="00E07C9A">
              <w:rPr>
                <w:rFonts w:ascii="Times New Roman" w:hAnsi="Times New Roman"/>
                <w:sz w:val="24"/>
              </w:rPr>
              <w:t>č. 575/2013</w:t>
            </w:r>
            <w:r w:rsidRPr="00E07C9A">
              <w:rPr>
                <w:rFonts w:ascii="Times New Roman" w:hAnsi="Times New Roman"/>
                <w:sz w:val="24"/>
              </w:rPr>
              <w:t>,</w:t>
            </w:r>
          </w:p>
          <w:p w14:paraId="134266AA" w14:textId="69105E84" w:rsidR="00C55547" w:rsidRPr="00E07C9A" w:rsidRDefault="00C55547" w:rsidP="00E10B85">
            <w:pPr>
              <w:autoSpaceDE w:val="0"/>
              <w:autoSpaceDN w:val="0"/>
              <w:adjustRightInd w:val="0"/>
              <w:spacing w:before="0" w:after="0"/>
              <w:jc w:val="left"/>
              <w:rPr>
                <w:rFonts w:ascii="Times New Roman" w:hAnsi="Times New Roman"/>
                <w:sz w:val="24"/>
              </w:rPr>
            </w:pPr>
            <w:r w:rsidRPr="00E07C9A">
              <w:rPr>
                <w:rFonts w:ascii="Times New Roman" w:hAnsi="Times New Roman"/>
                <w:sz w:val="24"/>
              </w:rPr>
              <w:t xml:space="preserve">– prenos významného rizika dosiahnutý podľa článku 244 ods. 3 písm. a) alebo podľa článku 245 ods. 3 písm. a) nariadenia (EÚ) </w:t>
            </w:r>
            <w:r w:rsidR="009912F8" w:rsidRPr="00E07C9A">
              <w:rPr>
                <w:rFonts w:ascii="Times New Roman" w:hAnsi="Times New Roman"/>
                <w:sz w:val="24"/>
              </w:rPr>
              <w:t>č. 575/2013</w:t>
            </w:r>
            <w:r w:rsidRPr="00E07C9A">
              <w:rPr>
                <w:rFonts w:ascii="Times New Roman" w:hAnsi="Times New Roman"/>
                <w:sz w:val="24"/>
              </w:rPr>
              <w:t>,</w:t>
            </w:r>
          </w:p>
          <w:p w14:paraId="75694E56" w14:textId="04003EDA" w:rsidR="00C55547" w:rsidRPr="00E07C9A" w:rsidRDefault="00C55547" w:rsidP="00E10B85">
            <w:pPr>
              <w:autoSpaceDE w:val="0"/>
              <w:autoSpaceDN w:val="0"/>
              <w:adjustRightInd w:val="0"/>
              <w:spacing w:before="0" w:after="0"/>
              <w:jc w:val="left"/>
              <w:rPr>
                <w:rFonts w:ascii="Times New Roman" w:hAnsi="Times New Roman"/>
                <w:sz w:val="24"/>
              </w:rPr>
            </w:pPr>
            <w:r w:rsidRPr="00E07C9A">
              <w:rPr>
                <w:rFonts w:ascii="Times New Roman" w:hAnsi="Times New Roman"/>
                <w:sz w:val="24"/>
              </w:rPr>
              <w:t>– uplatňuje sa riziková váha 1 250</w:t>
            </w:r>
            <w:r w:rsidR="009912F8" w:rsidRPr="00E07C9A">
              <w:rPr>
                <w:rFonts w:ascii="Times New Roman" w:hAnsi="Times New Roman"/>
              </w:rPr>
              <w:t> %</w:t>
            </w:r>
            <w:r w:rsidRPr="00E07C9A">
              <w:rPr>
                <w:rFonts w:ascii="Times New Roman" w:hAnsi="Times New Roman"/>
                <w:sz w:val="24"/>
              </w:rPr>
              <w:t xml:space="preserve"> alebo sa odpočítavajú ponechané pozície</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článkom 244 ods. 1 písm. b) alebo</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245 ods. 1 písm. b) nariadenia (EÚ) </w:t>
            </w:r>
            <w:r w:rsidR="009912F8" w:rsidRPr="00E07C9A">
              <w:rPr>
                <w:rFonts w:ascii="Times New Roman" w:hAnsi="Times New Roman"/>
                <w:sz w:val="24"/>
              </w:rPr>
              <w:t>č. 575/2013</w:t>
            </w:r>
            <w:r w:rsidRPr="00E07C9A">
              <w:rPr>
                <w:rFonts w:ascii="Times New Roman" w:hAnsi="Times New Roman"/>
                <w:sz w:val="24"/>
              </w:rPr>
              <w:t>.</w:t>
            </w:r>
          </w:p>
          <w:p w14:paraId="63EF3D7D" w14:textId="77777777" w:rsidR="00C55547" w:rsidRPr="00E07C9A" w:rsidRDefault="00C55547" w:rsidP="00E10B85">
            <w:pPr>
              <w:autoSpaceDE w:val="0"/>
              <w:autoSpaceDN w:val="0"/>
              <w:adjustRightInd w:val="0"/>
              <w:spacing w:before="0" w:after="0"/>
              <w:jc w:val="left"/>
              <w:rPr>
                <w:rFonts w:ascii="Times New Roman" w:hAnsi="Times New Roman"/>
                <w:sz w:val="24"/>
              </w:rPr>
            </w:pPr>
          </w:p>
          <w:p w14:paraId="6C16D52D" w14:textId="47F5FBBA" w:rsidR="00C55547" w:rsidRPr="00E07C9A" w:rsidRDefault="00C55547" w:rsidP="00E10B85">
            <w:pPr>
              <w:autoSpaceDE w:val="0"/>
              <w:autoSpaceDN w:val="0"/>
              <w:adjustRightInd w:val="0"/>
              <w:spacing w:before="0" w:after="0"/>
              <w:jc w:val="left"/>
              <w:rPr>
                <w:rFonts w:ascii="Times New Roman" w:hAnsi="Times New Roman"/>
                <w:sz w:val="24"/>
              </w:rPr>
            </w:pPr>
            <w:r w:rsidRPr="00E07C9A">
              <w:rPr>
                <w:rFonts w:ascii="Times New Roman" w:hAnsi="Times New Roman"/>
                <w:sz w:val="24"/>
              </w:rPr>
              <w:t>V tomto stĺpci sa sumarizuje, či bol dosiahnutý prenos významného rizika,</w:t>
            </w:r>
            <w:r w:rsidR="009912F8" w:rsidRPr="00E07C9A">
              <w:rPr>
                <w:rFonts w:ascii="Times New Roman" w:hAnsi="Times New Roman"/>
                <w:sz w:val="24"/>
              </w:rPr>
              <w:t xml:space="preserve"> a </w:t>
            </w:r>
            <w:r w:rsidRPr="00E07C9A">
              <w:rPr>
                <w:rFonts w:ascii="Times New Roman" w:hAnsi="Times New Roman"/>
                <w:sz w:val="24"/>
              </w:rPr>
              <w:t>ak áno, akým spôsobom. Dosiahnutím prenosu významného rizika sa určí príslušné zaobchádzanie</w:t>
            </w:r>
            <w:r w:rsidR="009912F8" w:rsidRPr="00E07C9A">
              <w:rPr>
                <w:rFonts w:ascii="Times New Roman" w:hAnsi="Times New Roman"/>
                <w:sz w:val="24"/>
              </w:rPr>
              <w:t xml:space="preserve"> v </w:t>
            </w:r>
            <w:r w:rsidRPr="00E07C9A">
              <w:rPr>
                <w:rFonts w:ascii="Times New Roman" w:hAnsi="Times New Roman"/>
                <w:sz w:val="24"/>
              </w:rPr>
              <w:t>súvislosti</w:t>
            </w:r>
            <w:r w:rsidR="009912F8" w:rsidRPr="00E07C9A">
              <w:rPr>
                <w:rFonts w:ascii="Times New Roman" w:hAnsi="Times New Roman"/>
                <w:sz w:val="24"/>
              </w:rPr>
              <w:t xml:space="preserve"> s </w:t>
            </w:r>
            <w:r w:rsidRPr="00E07C9A">
              <w:rPr>
                <w:rFonts w:ascii="Times New Roman" w:hAnsi="Times New Roman"/>
                <w:sz w:val="24"/>
              </w:rPr>
              <w:t>platobnou schopnosťou zo strany originátora.</w:t>
            </w:r>
          </w:p>
          <w:p w14:paraId="42FD0759" w14:textId="77777777" w:rsidR="00C55547" w:rsidRPr="00E07C9A" w:rsidRDefault="00C55547" w:rsidP="00E10B85">
            <w:pPr>
              <w:spacing w:before="0" w:after="0"/>
              <w:jc w:val="left"/>
              <w:rPr>
                <w:rFonts w:ascii="Times New Roman" w:hAnsi="Times New Roman"/>
              </w:rPr>
            </w:pPr>
          </w:p>
        </w:tc>
      </w:tr>
      <w:tr w:rsidR="00C55547" w:rsidRPr="00E07C9A" w14:paraId="1B084AEC" w14:textId="77777777" w:rsidTr="00E10B85">
        <w:tc>
          <w:tcPr>
            <w:tcW w:w="1101" w:type="dxa"/>
          </w:tcPr>
          <w:p w14:paraId="7738D0E5" w14:textId="77777777" w:rsidR="00C55547" w:rsidRPr="00E07C9A" w:rsidRDefault="00C55547"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0070</w:t>
            </w:r>
          </w:p>
        </w:tc>
        <w:tc>
          <w:tcPr>
            <w:tcW w:w="7903" w:type="dxa"/>
          </w:tcPr>
          <w:p w14:paraId="59B2CFDC" w14:textId="77777777" w:rsidR="00C55547" w:rsidRPr="00E07C9A" w:rsidRDefault="00C55547" w:rsidP="00E10B85">
            <w:pPr>
              <w:autoSpaceDE w:val="0"/>
              <w:autoSpaceDN w:val="0"/>
              <w:adjustRightInd w:val="0"/>
              <w:spacing w:before="0" w:after="0"/>
              <w:jc w:val="left"/>
              <w:rPr>
                <w:rFonts w:ascii="Times New Roman" w:hAnsi="Times New Roman"/>
                <w:b/>
                <w:sz w:val="24"/>
                <w:u w:val="single"/>
              </w:rPr>
            </w:pPr>
            <w:r w:rsidRPr="00E07C9A">
              <w:rPr>
                <w:rFonts w:ascii="Times New Roman" w:hAnsi="Times New Roman"/>
                <w:b/>
                <w:sz w:val="24"/>
                <w:u w:val="single"/>
              </w:rPr>
              <w:t>SEKURITIZÁCIA ALEBO RESEKURITIZÁCIA?</w:t>
            </w:r>
          </w:p>
          <w:p w14:paraId="3BDD1D57" w14:textId="77777777" w:rsidR="00C55547" w:rsidRPr="00E07C9A" w:rsidRDefault="00C55547" w:rsidP="00E10B85">
            <w:pPr>
              <w:autoSpaceDE w:val="0"/>
              <w:autoSpaceDN w:val="0"/>
              <w:adjustRightInd w:val="0"/>
              <w:spacing w:before="0" w:after="0"/>
              <w:jc w:val="left"/>
              <w:rPr>
                <w:rFonts w:ascii="Times New Roman" w:hAnsi="Times New Roman"/>
                <w:sz w:val="24"/>
              </w:rPr>
            </w:pPr>
          </w:p>
          <w:p w14:paraId="2CBB5418" w14:textId="46E55704" w:rsidR="00C55547" w:rsidRPr="00E07C9A" w:rsidRDefault="00BB22D4" w:rsidP="006418A0">
            <w:pPr>
              <w:autoSpaceDE w:val="0"/>
              <w:autoSpaceDN w:val="0"/>
              <w:adjustRightInd w:val="0"/>
              <w:spacing w:before="0"/>
              <w:jc w:val="left"/>
              <w:rPr>
                <w:rFonts w:ascii="Times New Roman" w:hAnsi="Times New Roman"/>
                <w:sz w:val="24"/>
              </w:rPr>
            </w:pPr>
            <w:r w:rsidRPr="00E07C9A">
              <w:rPr>
                <w:rFonts w:ascii="Times New Roman" w:hAnsi="Times New Roman"/>
                <w:sz w:val="24"/>
              </w:rPr>
              <w:t>V súlade</w:t>
            </w:r>
            <w:r w:rsidR="009912F8" w:rsidRPr="00E07C9A">
              <w:rPr>
                <w:rFonts w:ascii="Times New Roman" w:hAnsi="Times New Roman"/>
                <w:sz w:val="24"/>
              </w:rPr>
              <w:t xml:space="preserve"> s </w:t>
            </w:r>
            <w:r w:rsidRPr="00E07C9A">
              <w:rPr>
                <w:rFonts w:ascii="Times New Roman" w:hAnsi="Times New Roman"/>
                <w:sz w:val="24"/>
              </w:rPr>
              <w:t>vymedzením „sekuritizácie“</w:t>
            </w:r>
            <w:r w:rsidR="009912F8" w:rsidRPr="00E07C9A">
              <w:rPr>
                <w:rFonts w:ascii="Times New Roman" w:hAnsi="Times New Roman"/>
                <w:sz w:val="24"/>
              </w:rPr>
              <w:t xml:space="preserve"> v </w:t>
            </w:r>
            <w:r w:rsidRPr="00E07C9A">
              <w:rPr>
                <w:rFonts w:ascii="Times New Roman" w:hAnsi="Times New Roman"/>
                <w:sz w:val="24"/>
              </w:rPr>
              <w:t xml:space="preserve">článku 4 ods. 1 bode 61 nariadenia (EÚ) </w:t>
            </w:r>
            <w:r w:rsidR="009912F8" w:rsidRPr="00E07C9A">
              <w:rPr>
                <w:rFonts w:ascii="Times New Roman" w:hAnsi="Times New Roman"/>
                <w:sz w:val="24"/>
              </w:rPr>
              <w:t>č. 575/2013 a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vymedzením „resekuritizácie“</w:t>
            </w:r>
            <w:r w:rsidR="009912F8" w:rsidRPr="00E07C9A">
              <w:rPr>
                <w:rFonts w:ascii="Times New Roman" w:hAnsi="Times New Roman"/>
                <w:sz w:val="24"/>
              </w:rPr>
              <w:t xml:space="preserve"> v </w:t>
            </w:r>
            <w:r w:rsidRPr="00E07C9A">
              <w:rPr>
                <w:rFonts w:ascii="Times New Roman" w:hAnsi="Times New Roman"/>
                <w:sz w:val="24"/>
              </w:rPr>
              <w:t xml:space="preserve">článku 4 ods. 1 bode 63 nariadenia (EÚ) </w:t>
            </w:r>
            <w:r w:rsidR="009912F8" w:rsidRPr="00E07C9A">
              <w:rPr>
                <w:rFonts w:ascii="Times New Roman" w:hAnsi="Times New Roman"/>
                <w:sz w:val="24"/>
              </w:rPr>
              <w:t>č. 575/2013</w:t>
            </w:r>
            <w:r w:rsidRPr="00E07C9A">
              <w:rPr>
                <w:rFonts w:ascii="Times New Roman" w:hAnsi="Times New Roman"/>
                <w:sz w:val="24"/>
              </w:rPr>
              <w:t xml:space="preserve"> sa vykazuje typ sekuritizácie:</w:t>
            </w:r>
          </w:p>
          <w:p w14:paraId="2995ED1E" w14:textId="2BC2893A" w:rsidR="00C55547" w:rsidRPr="00E07C9A" w:rsidRDefault="00C55547" w:rsidP="00E10B85">
            <w:pPr>
              <w:autoSpaceDE w:val="0"/>
              <w:autoSpaceDN w:val="0"/>
              <w:adjustRightInd w:val="0"/>
              <w:spacing w:before="0" w:after="0"/>
              <w:jc w:val="left"/>
              <w:rPr>
                <w:rFonts w:ascii="Times New Roman" w:hAnsi="Times New Roman"/>
                <w:sz w:val="24"/>
              </w:rPr>
            </w:pPr>
            <w:r w:rsidRPr="00E07C9A">
              <w:rPr>
                <w:rFonts w:ascii="Times New Roman" w:hAnsi="Times New Roman"/>
                <w:sz w:val="24"/>
              </w:rPr>
              <w:t>– sekuritizácia,</w:t>
            </w:r>
          </w:p>
          <w:p w14:paraId="77B66DEA" w14:textId="538A3009" w:rsidR="00C55547" w:rsidRPr="00E07C9A" w:rsidRDefault="00C55547" w:rsidP="00E10B85">
            <w:pPr>
              <w:autoSpaceDE w:val="0"/>
              <w:autoSpaceDN w:val="0"/>
              <w:adjustRightInd w:val="0"/>
              <w:spacing w:before="0" w:after="0"/>
              <w:jc w:val="left"/>
              <w:rPr>
                <w:rFonts w:ascii="Times New Roman" w:hAnsi="Times New Roman"/>
                <w:sz w:val="24"/>
              </w:rPr>
            </w:pPr>
            <w:r w:rsidRPr="00E07C9A">
              <w:rPr>
                <w:rFonts w:ascii="Times New Roman" w:hAnsi="Times New Roman"/>
                <w:sz w:val="24"/>
              </w:rPr>
              <w:t>– resekuritizácia.</w:t>
            </w:r>
          </w:p>
          <w:p w14:paraId="2CA397EE" w14:textId="77777777" w:rsidR="00C55547" w:rsidRPr="00E07C9A" w:rsidRDefault="00C55547" w:rsidP="00E10B85">
            <w:pPr>
              <w:spacing w:before="0" w:after="0"/>
              <w:jc w:val="left"/>
              <w:rPr>
                <w:rFonts w:ascii="Times New Roman" w:hAnsi="Times New Roman"/>
                <w:b/>
                <w:sz w:val="24"/>
                <w:u w:val="single"/>
              </w:rPr>
            </w:pPr>
          </w:p>
        </w:tc>
      </w:tr>
      <w:tr w:rsidR="00C55547" w:rsidRPr="00E07C9A" w14:paraId="62FE36F3" w14:textId="77777777" w:rsidTr="00E10B85">
        <w:tc>
          <w:tcPr>
            <w:tcW w:w="1101" w:type="dxa"/>
          </w:tcPr>
          <w:p w14:paraId="282F01D3" w14:textId="77777777" w:rsidR="00C55547" w:rsidRPr="00E07C9A" w:rsidRDefault="00C55547"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0075</w:t>
            </w:r>
          </w:p>
        </w:tc>
        <w:tc>
          <w:tcPr>
            <w:tcW w:w="7903" w:type="dxa"/>
          </w:tcPr>
          <w:p w14:paraId="2E65B712" w14:textId="151B037E" w:rsidR="00C55547" w:rsidRPr="00E07C9A" w:rsidRDefault="00C55547" w:rsidP="00E10B85">
            <w:pPr>
              <w:tabs>
                <w:tab w:val="left" w:pos="3274"/>
              </w:tabs>
              <w:spacing w:before="0" w:after="0"/>
              <w:jc w:val="left"/>
              <w:rPr>
                <w:rFonts w:ascii="Times New Roman" w:hAnsi="Times New Roman"/>
                <w:b/>
                <w:sz w:val="24"/>
                <w:u w:val="single"/>
              </w:rPr>
            </w:pPr>
            <w:r w:rsidRPr="00E07C9A">
              <w:rPr>
                <w:rFonts w:ascii="Times New Roman" w:hAnsi="Times New Roman"/>
                <w:b/>
                <w:sz w:val="24"/>
                <w:u w:val="single"/>
              </w:rPr>
              <w:t>STS SEKURITIZÁCIA</w:t>
            </w:r>
          </w:p>
          <w:p w14:paraId="0F2D08F4" w14:textId="77777777" w:rsidR="00C55547" w:rsidRPr="00E07C9A" w:rsidRDefault="00C55547" w:rsidP="00E10B85">
            <w:pPr>
              <w:spacing w:before="0" w:after="0"/>
              <w:jc w:val="left"/>
              <w:rPr>
                <w:rFonts w:ascii="Times New Roman" w:hAnsi="Times New Roman"/>
                <w:sz w:val="24"/>
              </w:rPr>
            </w:pPr>
          </w:p>
          <w:p w14:paraId="4DBD4332" w14:textId="77777777" w:rsidR="00C55547" w:rsidRPr="00E07C9A" w:rsidRDefault="00C55547" w:rsidP="00E10B85">
            <w:pPr>
              <w:spacing w:before="0" w:after="0"/>
              <w:jc w:val="left"/>
              <w:rPr>
                <w:rFonts w:ascii="Times New Roman" w:hAnsi="Times New Roman"/>
                <w:sz w:val="24"/>
              </w:rPr>
            </w:pPr>
            <w:r w:rsidRPr="00E07C9A">
              <w:rPr>
                <w:rFonts w:ascii="Times New Roman" w:hAnsi="Times New Roman"/>
                <w:sz w:val="24"/>
              </w:rPr>
              <w:t>Článok 18 nariadenia (EÚ) 2017/2402</w:t>
            </w:r>
          </w:p>
          <w:p w14:paraId="70C7A4BC" w14:textId="77777777" w:rsidR="00C55547" w:rsidRPr="00E07C9A" w:rsidRDefault="00C55547" w:rsidP="00E10B85">
            <w:pPr>
              <w:spacing w:before="0" w:after="0"/>
              <w:jc w:val="left"/>
              <w:rPr>
                <w:rFonts w:ascii="Times New Roman" w:hAnsi="Times New Roman"/>
                <w:sz w:val="24"/>
              </w:rPr>
            </w:pPr>
          </w:p>
          <w:p w14:paraId="3607BCC1" w14:textId="11B1454C" w:rsidR="00C55547" w:rsidRPr="00E07C9A" w:rsidRDefault="00554261" w:rsidP="006418A0">
            <w:pPr>
              <w:spacing w:before="0"/>
              <w:jc w:val="left"/>
              <w:rPr>
                <w:rFonts w:ascii="Times New Roman" w:hAnsi="Times New Roman"/>
                <w:sz w:val="24"/>
              </w:rPr>
            </w:pPr>
            <w:r w:rsidRPr="00E07C9A">
              <w:rPr>
                <w:rFonts w:ascii="Times New Roman" w:hAnsi="Times New Roman"/>
                <w:sz w:val="24"/>
              </w:rPr>
              <w:t>Inštitúcie vykazujú jednu</w:t>
            </w:r>
            <w:r w:rsidR="009912F8" w:rsidRPr="00E07C9A">
              <w:rPr>
                <w:rFonts w:ascii="Times New Roman" w:hAnsi="Times New Roman"/>
                <w:sz w:val="24"/>
              </w:rPr>
              <w:t xml:space="preserve"> z </w:t>
            </w:r>
            <w:r w:rsidRPr="00E07C9A">
              <w:rPr>
                <w:rFonts w:ascii="Times New Roman" w:hAnsi="Times New Roman"/>
                <w:sz w:val="24"/>
              </w:rPr>
              <w:t>týchto skratiek:</w:t>
            </w:r>
          </w:p>
          <w:p w14:paraId="61E106B6" w14:textId="77777777" w:rsidR="00C55547" w:rsidRPr="00E07C9A" w:rsidRDefault="00C55547" w:rsidP="00E10B85">
            <w:pPr>
              <w:spacing w:before="0" w:after="0"/>
              <w:jc w:val="left"/>
              <w:rPr>
                <w:rFonts w:ascii="Times New Roman" w:hAnsi="Times New Roman"/>
                <w:sz w:val="24"/>
              </w:rPr>
            </w:pPr>
            <w:r w:rsidRPr="00E07C9A">
              <w:rPr>
                <w:rFonts w:ascii="Times New Roman" w:hAnsi="Times New Roman"/>
                <w:sz w:val="24"/>
              </w:rPr>
              <w:t>Y – áno,</w:t>
            </w:r>
          </w:p>
          <w:p w14:paraId="10CB62B7" w14:textId="77777777" w:rsidR="00C55547" w:rsidRPr="00E07C9A" w:rsidRDefault="00C55547" w:rsidP="00E10B85">
            <w:pPr>
              <w:spacing w:before="0" w:after="0"/>
              <w:jc w:val="left"/>
              <w:rPr>
                <w:rFonts w:ascii="Times New Roman" w:hAnsi="Times New Roman"/>
                <w:sz w:val="24"/>
              </w:rPr>
            </w:pPr>
            <w:r w:rsidRPr="00E07C9A">
              <w:rPr>
                <w:rFonts w:ascii="Times New Roman" w:hAnsi="Times New Roman"/>
                <w:sz w:val="24"/>
              </w:rPr>
              <w:t>N – nie.</w:t>
            </w:r>
          </w:p>
          <w:p w14:paraId="6596BDDA" w14:textId="77777777" w:rsidR="00C55547" w:rsidRPr="00E07C9A" w:rsidRDefault="00C55547" w:rsidP="00E10B85">
            <w:pPr>
              <w:spacing w:before="0" w:after="0"/>
              <w:jc w:val="left"/>
              <w:rPr>
                <w:rFonts w:ascii="Times New Roman" w:hAnsi="Times New Roman"/>
                <w:b/>
                <w:sz w:val="24"/>
                <w:u w:val="single"/>
              </w:rPr>
            </w:pPr>
          </w:p>
        </w:tc>
      </w:tr>
      <w:tr w:rsidR="00C55547" w:rsidRPr="00E07C9A" w14:paraId="5711CF54" w14:textId="77777777" w:rsidTr="00E10B85">
        <w:tc>
          <w:tcPr>
            <w:tcW w:w="1101" w:type="dxa"/>
          </w:tcPr>
          <w:p w14:paraId="4D8EF18D" w14:textId="77777777" w:rsidR="00C55547" w:rsidRPr="00E07C9A" w:rsidRDefault="006E0E76"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0446</w:t>
            </w:r>
          </w:p>
        </w:tc>
        <w:tc>
          <w:tcPr>
            <w:tcW w:w="7903" w:type="dxa"/>
          </w:tcPr>
          <w:p w14:paraId="7FD58FED" w14:textId="1629AD0F" w:rsidR="00C55547" w:rsidRPr="00E07C9A" w:rsidRDefault="00C55547" w:rsidP="00E10B85">
            <w:pPr>
              <w:spacing w:before="0" w:after="0"/>
              <w:jc w:val="left"/>
              <w:rPr>
                <w:rFonts w:ascii="Times New Roman" w:hAnsi="Times New Roman"/>
                <w:b/>
                <w:sz w:val="24"/>
                <w:u w:val="single"/>
              </w:rPr>
            </w:pPr>
            <w:r w:rsidRPr="00E07C9A">
              <w:rPr>
                <w:rFonts w:ascii="Times New Roman" w:hAnsi="Times New Roman"/>
                <w:b/>
                <w:sz w:val="24"/>
                <w:u w:val="single"/>
              </w:rPr>
              <w:t>SEKURITIZÁCIE SPĹŇAJÚCE PODMIENKY PRE ZAOBCHÁDZANIE</w:t>
            </w:r>
            <w:r w:rsidR="009912F8" w:rsidRPr="00E07C9A">
              <w:rPr>
                <w:rFonts w:ascii="Times New Roman" w:hAnsi="Times New Roman"/>
                <w:b/>
                <w:sz w:val="24"/>
                <w:u w:val="single"/>
              </w:rPr>
              <w:t xml:space="preserve"> S </w:t>
            </w:r>
            <w:r w:rsidRPr="00E07C9A">
              <w:rPr>
                <w:rFonts w:ascii="Times New Roman" w:hAnsi="Times New Roman"/>
                <w:b/>
                <w:sz w:val="24"/>
                <w:u w:val="single"/>
              </w:rPr>
              <w:t>DIFERENCOVANÝM KAPITÁLOM</w:t>
            </w:r>
          </w:p>
          <w:p w14:paraId="3EFF71E8" w14:textId="77777777" w:rsidR="00C55547" w:rsidRPr="00E07C9A" w:rsidRDefault="00C55547" w:rsidP="00E10B85">
            <w:pPr>
              <w:spacing w:before="0" w:after="0"/>
              <w:jc w:val="left"/>
              <w:rPr>
                <w:rFonts w:ascii="Times New Roman" w:hAnsi="Times New Roman"/>
                <w:sz w:val="24"/>
              </w:rPr>
            </w:pPr>
          </w:p>
          <w:p w14:paraId="68C1A007" w14:textId="512E325E" w:rsidR="00554261" w:rsidRPr="00E07C9A" w:rsidRDefault="00C55547" w:rsidP="006418A0">
            <w:pPr>
              <w:spacing w:before="0"/>
              <w:jc w:val="left"/>
              <w:rPr>
                <w:rFonts w:ascii="Times New Roman" w:hAnsi="Times New Roman"/>
                <w:sz w:val="24"/>
              </w:rPr>
            </w:pPr>
            <w:r w:rsidRPr="00E07C9A">
              <w:rPr>
                <w:rFonts w:ascii="Times New Roman" w:hAnsi="Times New Roman"/>
                <w:sz w:val="24"/>
              </w:rPr>
              <w:t>Články 243, 270</w:t>
            </w:r>
            <w:r w:rsidR="009912F8" w:rsidRPr="00E07C9A">
              <w:rPr>
                <w:rFonts w:ascii="Times New Roman" w:hAnsi="Times New Roman"/>
                <w:sz w:val="24"/>
              </w:rPr>
              <w:t xml:space="preserve"> a </w:t>
            </w:r>
            <w:r w:rsidRPr="00E07C9A">
              <w:rPr>
                <w:rFonts w:ascii="Times New Roman" w:hAnsi="Times New Roman"/>
                <w:sz w:val="24"/>
              </w:rPr>
              <w:t xml:space="preserve">494c nariadenia (EÚ) </w:t>
            </w:r>
            <w:r w:rsidR="009912F8" w:rsidRPr="00E07C9A">
              <w:rPr>
                <w:rFonts w:ascii="Times New Roman" w:hAnsi="Times New Roman"/>
                <w:sz w:val="24"/>
              </w:rPr>
              <w:t>č. 575/2013</w:t>
            </w:r>
          </w:p>
          <w:p w14:paraId="67252912" w14:textId="46CD74FB" w:rsidR="00C55547" w:rsidRPr="00E07C9A" w:rsidRDefault="00EE2BEA" w:rsidP="00E10B85">
            <w:pPr>
              <w:spacing w:before="0" w:after="0"/>
              <w:jc w:val="left"/>
              <w:rPr>
                <w:rFonts w:ascii="Times New Roman" w:hAnsi="Times New Roman"/>
                <w:sz w:val="24"/>
              </w:rPr>
            </w:pPr>
            <w:r w:rsidRPr="00E07C9A">
              <w:rPr>
                <w:rFonts w:ascii="Times New Roman" w:hAnsi="Times New Roman"/>
                <w:sz w:val="24"/>
              </w:rPr>
              <w:t>Inštitúcie vykazujú jednu</w:t>
            </w:r>
            <w:r w:rsidR="009912F8" w:rsidRPr="00E07C9A">
              <w:rPr>
                <w:rFonts w:ascii="Times New Roman" w:hAnsi="Times New Roman"/>
                <w:sz w:val="24"/>
              </w:rPr>
              <w:t xml:space="preserve"> z </w:t>
            </w:r>
            <w:r w:rsidRPr="00E07C9A">
              <w:rPr>
                <w:rFonts w:ascii="Times New Roman" w:hAnsi="Times New Roman"/>
                <w:sz w:val="24"/>
              </w:rPr>
              <w:t>týchto skratiek:</w:t>
            </w:r>
          </w:p>
          <w:p w14:paraId="17A59366" w14:textId="77777777" w:rsidR="00C55547" w:rsidRPr="00E07C9A" w:rsidRDefault="00C55547" w:rsidP="00E10B85">
            <w:pPr>
              <w:spacing w:before="0" w:after="0"/>
              <w:jc w:val="left"/>
              <w:rPr>
                <w:rFonts w:ascii="Times New Roman" w:hAnsi="Times New Roman"/>
                <w:sz w:val="24"/>
              </w:rPr>
            </w:pPr>
            <w:r w:rsidRPr="00E07C9A">
              <w:rPr>
                <w:rFonts w:ascii="Times New Roman" w:hAnsi="Times New Roman"/>
                <w:sz w:val="24"/>
              </w:rPr>
              <w:t>Y</w:t>
            </w:r>
            <w:r w:rsidRPr="00E07C9A">
              <w:rPr>
                <w:rFonts w:ascii="Times New Roman" w:hAnsi="Times New Roman"/>
              </w:rPr>
              <w:tab/>
            </w:r>
            <w:r w:rsidRPr="00E07C9A">
              <w:rPr>
                <w:rFonts w:ascii="Times New Roman" w:hAnsi="Times New Roman"/>
                <w:sz w:val="24"/>
              </w:rPr>
              <w:t>– áno,</w:t>
            </w:r>
          </w:p>
          <w:p w14:paraId="46146D32" w14:textId="77777777" w:rsidR="00C55547" w:rsidRPr="00E07C9A" w:rsidRDefault="00C55547" w:rsidP="006418A0">
            <w:pPr>
              <w:tabs>
                <w:tab w:val="left" w:pos="708"/>
                <w:tab w:val="left" w:pos="1573"/>
              </w:tabs>
              <w:spacing w:before="0" w:after="0"/>
              <w:jc w:val="left"/>
              <w:rPr>
                <w:rFonts w:ascii="Times New Roman" w:hAnsi="Times New Roman"/>
                <w:sz w:val="24"/>
              </w:rPr>
            </w:pPr>
            <w:r w:rsidRPr="00E07C9A">
              <w:rPr>
                <w:rFonts w:ascii="Times New Roman" w:hAnsi="Times New Roman"/>
                <w:sz w:val="24"/>
              </w:rPr>
              <w:t>N</w:t>
            </w:r>
            <w:r w:rsidRPr="00E07C9A">
              <w:rPr>
                <w:rFonts w:ascii="Times New Roman" w:hAnsi="Times New Roman"/>
              </w:rPr>
              <w:tab/>
            </w:r>
            <w:r w:rsidRPr="00E07C9A">
              <w:rPr>
                <w:rFonts w:ascii="Times New Roman" w:hAnsi="Times New Roman"/>
                <w:sz w:val="24"/>
              </w:rPr>
              <w:t>– nie.</w:t>
            </w:r>
          </w:p>
          <w:p w14:paraId="18ADF966" w14:textId="77777777" w:rsidR="00C55547" w:rsidRPr="00E07C9A" w:rsidRDefault="00C55547" w:rsidP="00E10B85">
            <w:pPr>
              <w:spacing w:before="0" w:after="0"/>
              <w:jc w:val="left"/>
              <w:rPr>
                <w:rFonts w:ascii="Times New Roman" w:hAnsi="Times New Roman"/>
                <w:b/>
                <w:sz w:val="24"/>
                <w:u w:val="single"/>
              </w:rPr>
            </w:pPr>
          </w:p>
          <w:p w14:paraId="53B28548" w14:textId="10BEDCDE" w:rsidR="00FC70BF" w:rsidRPr="00E07C9A" w:rsidRDefault="00C55547" w:rsidP="00E10B85">
            <w:pPr>
              <w:spacing w:before="0" w:after="0"/>
              <w:jc w:val="left"/>
              <w:rPr>
                <w:rFonts w:ascii="Times New Roman" w:hAnsi="Times New Roman"/>
                <w:sz w:val="24"/>
              </w:rPr>
            </w:pPr>
            <w:r w:rsidRPr="00E07C9A">
              <w:rPr>
                <w:rFonts w:ascii="Times New Roman" w:hAnsi="Times New Roman"/>
                <w:sz w:val="24"/>
              </w:rPr>
              <w:t>„Áno“ sa vykazuje</w:t>
            </w:r>
            <w:r w:rsidR="009912F8" w:rsidRPr="00E07C9A">
              <w:rPr>
                <w:rFonts w:ascii="Times New Roman" w:hAnsi="Times New Roman"/>
                <w:sz w:val="24"/>
              </w:rPr>
              <w:t xml:space="preserve"> v </w:t>
            </w:r>
            <w:r w:rsidRPr="00E07C9A">
              <w:rPr>
                <w:rFonts w:ascii="Times New Roman" w:hAnsi="Times New Roman"/>
                <w:sz w:val="24"/>
              </w:rPr>
              <w:t>týchto prípadoch:</w:t>
            </w:r>
          </w:p>
          <w:p w14:paraId="2EA2E80A" w14:textId="1A9085FB" w:rsidR="009912F8" w:rsidRPr="00E07C9A" w:rsidRDefault="00C55547" w:rsidP="005C4397">
            <w:pPr>
              <w:pStyle w:val="ListParagraph"/>
              <w:numPr>
                <w:ilvl w:val="0"/>
                <w:numId w:val="25"/>
              </w:numPr>
              <w:spacing w:before="0" w:after="0"/>
              <w:jc w:val="left"/>
              <w:rPr>
                <w:rFonts w:ascii="Times New Roman" w:hAnsi="Times New Roman"/>
                <w:sz w:val="24"/>
              </w:rPr>
            </w:pPr>
            <w:r w:rsidRPr="00E07C9A">
              <w:rPr>
                <w:rFonts w:ascii="Times New Roman" w:hAnsi="Times New Roman"/>
                <w:sz w:val="24"/>
              </w:rPr>
              <w:t>STS sekuritizácie spĺňajúce podmienky pre zaobchádzanie</w:t>
            </w:r>
            <w:r w:rsidR="009912F8" w:rsidRPr="00E07C9A">
              <w:rPr>
                <w:rFonts w:ascii="Times New Roman" w:hAnsi="Times New Roman"/>
                <w:sz w:val="24"/>
              </w:rPr>
              <w:t xml:space="preserve"> s </w:t>
            </w:r>
            <w:r w:rsidRPr="00E07C9A">
              <w:rPr>
                <w:rFonts w:ascii="Times New Roman" w:hAnsi="Times New Roman"/>
                <w:sz w:val="24"/>
              </w:rPr>
              <w:t>diferencovaným kapitálom</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243 nariadenia (EÚ) </w:t>
            </w:r>
            <w:r w:rsidR="009912F8" w:rsidRPr="00E07C9A">
              <w:rPr>
                <w:rFonts w:ascii="Times New Roman" w:hAnsi="Times New Roman"/>
                <w:sz w:val="24"/>
              </w:rPr>
              <w:t>č. 575/2013</w:t>
            </w:r>
            <w:r w:rsidRPr="00E07C9A">
              <w:rPr>
                <w:rFonts w:ascii="Times New Roman" w:hAnsi="Times New Roman"/>
                <w:sz w:val="24"/>
              </w:rPr>
              <w:t>,</w:t>
            </w:r>
          </w:p>
          <w:p w14:paraId="1434E575" w14:textId="3DFF162B" w:rsidR="00FC70BF" w:rsidRPr="00E07C9A" w:rsidRDefault="00FC70BF" w:rsidP="005C4397">
            <w:pPr>
              <w:pStyle w:val="ListParagraph"/>
              <w:numPr>
                <w:ilvl w:val="0"/>
                <w:numId w:val="25"/>
              </w:numPr>
              <w:spacing w:before="0" w:after="0"/>
              <w:jc w:val="left"/>
              <w:rPr>
                <w:rFonts w:ascii="Times New Roman" w:hAnsi="Times New Roman"/>
                <w:sz w:val="24"/>
              </w:rPr>
            </w:pPr>
            <w:r w:rsidRPr="00E07C9A">
              <w:rPr>
                <w:rFonts w:ascii="Times New Roman" w:hAnsi="Times New Roman"/>
                <w:sz w:val="24"/>
              </w:rPr>
              <w:t>nadriadené pozície</w:t>
            </w:r>
            <w:r w:rsidR="009912F8" w:rsidRPr="00E07C9A">
              <w:rPr>
                <w:rFonts w:ascii="Times New Roman" w:hAnsi="Times New Roman"/>
                <w:sz w:val="24"/>
              </w:rPr>
              <w:t xml:space="preserve"> v </w:t>
            </w:r>
            <w:r w:rsidRPr="00E07C9A">
              <w:rPr>
                <w:rFonts w:ascii="Times New Roman" w:hAnsi="Times New Roman"/>
                <w:sz w:val="24"/>
              </w:rPr>
              <w:t>súvahových STS sekuritizáciách spĺňajúce podmienky pre toto zaobchádzanie</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270 nariadenia (EÚ) </w:t>
            </w:r>
            <w:r w:rsidR="009912F8" w:rsidRPr="00E07C9A">
              <w:rPr>
                <w:rFonts w:ascii="Times New Roman" w:hAnsi="Times New Roman"/>
                <w:sz w:val="24"/>
              </w:rPr>
              <w:t>č. 575/2013</w:t>
            </w:r>
            <w:r w:rsidRPr="00E07C9A">
              <w:rPr>
                <w:rFonts w:ascii="Times New Roman" w:hAnsi="Times New Roman"/>
                <w:sz w:val="24"/>
              </w:rPr>
              <w:t>,</w:t>
            </w:r>
          </w:p>
          <w:p w14:paraId="6545768C" w14:textId="39643E8E" w:rsidR="00C55547" w:rsidRPr="00E07C9A" w:rsidRDefault="00FC70BF" w:rsidP="005C4397">
            <w:pPr>
              <w:pStyle w:val="ListParagraph"/>
              <w:numPr>
                <w:ilvl w:val="0"/>
                <w:numId w:val="25"/>
              </w:numPr>
              <w:spacing w:before="0" w:after="0"/>
              <w:jc w:val="left"/>
              <w:rPr>
                <w:rFonts w:ascii="Times New Roman" w:hAnsi="Times New Roman"/>
                <w:sz w:val="24"/>
              </w:rPr>
            </w:pPr>
            <w:r w:rsidRPr="00E07C9A">
              <w:rPr>
                <w:rFonts w:ascii="Times New Roman" w:hAnsi="Times New Roman"/>
                <w:sz w:val="24"/>
              </w:rPr>
              <w:t>syntetické sekuritizácie MSP zachované</w:t>
            </w:r>
            <w:r w:rsidR="009912F8" w:rsidRPr="00E07C9A">
              <w:rPr>
                <w:rFonts w:ascii="Times New Roman" w:hAnsi="Times New Roman"/>
                <w:sz w:val="24"/>
              </w:rPr>
              <w:t xml:space="preserve"> v </w:t>
            </w:r>
            <w:r w:rsidRPr="00E07C9A">
              <w:rPr>
                <w:rFonts w:ascii="Times New Roman" w:hAnsi="Times New Roman"/>
                <w:sz w:val="24"/>
              </w:rPr>
              <w:t>predchádzajúcom stave</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494c nariadenia (EÚ) </w:t>
            </w:r>
            <w:r w:rsidR="009912F8" w:rsidRPr="00E07C9A">
              <w:rPr>
                <w:rFonts w:ascii="Times New Roman" w:hAnsi="Times New Roman"/>
                <w:sz w:val="24"/>
              </w:rPr>
              <w:t>č. 575/2013</w:t>
            </w:r>
            <w:r w:rsidRPr="00E07C9A">
              <w:rPr>
                <w:rFonts w:ascii="Times New Roman" w:hAnsi="Times New Roman"/>
                <w:sz w:val="24"/>
              </w:rPr>
              <w:t>.</w:t>
            </w:r>
          </w:p>
          <w:p w14:paraId="34E1D76A" w14:textId="77777777" w:rsidR="00C55547" w:rsidRPr="00E07C9A" w:rsidRDefault="00C55547" w:rsidP="00E10B85">
            <w:pPr>
              <w:tabs>
                <w:tab w:val="left" w:pos="3274"/>
              </w:tabs>
              <w:spacing w:before="0" w:after="0"/>
              <w:jc w:val="left"/>
              <w:rPr>
                <w:rFonts w:ascii="Times New Roman" w:hAnsi="Times New Roman"/>
                <w:b/>
                <w:sz w:val="24"/>
                <w:u w:val="single"/>
              </w:rPr>
            </w:pPr>
          </w:p>
        </w:tc>
      </w:tr>
      <w:tr w:rsidR="00826E25" w:rsidRPr="00E07C9A" w14:paraId="207BD40C" w14:textId="77777777" w:rsidTr="00E10B85">
        <w:tc>
          <w:tcPr>
            <w:tcW w:w="1101" w:type="dxa"/>
          </w:tcPr>
          <w:p w14:paraId="038980DF" w14:textId="4CB4FFA7" w:rsidR="00826E25" w:rsidRPr="00E07C9A" w:rsidRDefault="00826E25"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0076</w:t>
            </w:r>
          </w:p>
        </w:tc>
        <w:tc>
          <w:tcPr>
            <w:tcW w:w="7903" w:type="dxa"/>
          </w:tcPr>
          <w:p w14:paraId="5DB1213F" w14:textId="333234F4" w:rsidR="00826E25" w:rsidRPr="00E07C9A" w:rsidRDefault="00EC153B" w:rsidP="00E10B85">
            <w:pPr>
              <w:spacing w:before="0" w:after="0"/>
              <w:jc w:val="left"/>
              <w:rPr>
                <w:rFonts w:ascii="Times New Roman" w:hAnsi="Times New Roman"/>
                <w:b/>
                <w:sz w:val="24"/>
                <w:u w:val="single"/>
              </w:rPr>
            </w:pPr>
            <w:r w:rsidRPr="00E07C9A">
              <w:rPr>
                <w:rFonts w:ascii="Times New Roman" w:hAnsi="Times New Roman"/>
                <w:b/>
                <w:sz w:val="24"/>
                <w:u w:val="single"/>
              </w:rPr>
              <w:t>TYP PREBYTKOVEJ MARŽE</w:t>
            </w:r>
          </w:p>
          <w:p w14:paraId="346D2C34" w14:textId="77777777" w:rsidR="00826E25" w:rsidRPr="00E07C9A" w:rsidRDefault="00826E25" w:rsidP="00E10B85">
            <w:pPr>
              <w:spacing w:before="0" w:after="0"/>
              <w:jc w:val="left"/>
              <w:rPr>
                <w:rFonts w:ascii="Times New Roman" w:hAnsi="Times New Roman"/>
                <w:b/>
                <w:sz w:val="24"/>
                <w:u w:val="single"/>
              </w:rPr>
            </w:pPr>
          </w:p>
          <w:p w14:paraId="0B4B55AD" w14:textId="77777777" w:rsidR="009912F8" w:rsidRPr="00E07C9A" w:rsidRDefault="00826E25" w:rsidP="00826E25">
            <w:pPr>
              <w:spacing w:before="0" w:after="0"/>
              <w:jc w:val="left"/>
              <w:rPr>
                <w:rFonts w:ascii="Times New Roman" w:hAnsi="Times New Roman"/>
                <w:sz w:val="24"/>
              </w:rPr>
            </w:pPr>
            <w:r w:rsidRPr="00E07C9A">
              <w:rPr>
                <w:rFonts w:ascii="Times New Roman" w:hAnsi="Times New Roman"/>
                <w:sz w:val="24"/>
              </w:rPr>
              <w:t>Článok 2 bod 29 nariadenia (EÚ) 2017/2402</w:t>
            </w:r>
          </w:p>
          <w:p w14:paraId="421CE5BA" w14:textId="3AAC9E8D" w:rsidR="00826E25" w:rsidRPr="00E07C9A" w:rsidRDefault="00826E25" w:rsidP="00826E25">
            <w:pPr>
              <w:spacing w:before="0" w:after="0"/>
              <w:jc w:val="left"/>
              <w:rPr>
                <w:rFonts w:ascii="Times New Roman" w:hAnsi="Times New Roman"/>
                <w:sz w:val="24"/>
              </w:rPr>
            </w:pPr>
          </w:p>
          <w:p w14:paraId="42748242" w14:textId="4CC19E30" w:rsidR="00826E25" w:rsidRPr="00E07C9A" w:rsidRDefault="00826E25" w:rsidP="00826E25">
            <w:pPr>
              <w:spacing w:before="0" w:after="0"/>
              <w:jc w:val="left"/>
              <w:rPr>
                <w:rFonts w:ascii="Times New Roman" w:hAnsi="Times New Roman"/>
                <w:sz w:val="24"/>
              </w:rPr>
            </w:pPr>
            <w:r w:rsidRPr="00E07C9A">
              <w:rPr>
                <w:rFonts w:ascii="Times New Roman" w:hAnsi="Times New Roman"/>
                <w:sz w:val="24"/>
              </w:rPr>
              <w:t>Inštitúcie vykazujú jednu</w:t>
            </w:r>
            <w:r w:rsidR="009912F8" w:rsidRPr="00E07C9A">
              <w:rPr>
                <w:rFonts w:ascii="Times New Roman" w:hAnsi="Times New Roman"/>
                <w:sz w:val="24"/>
              </w:rPr>
              <w:t xml:space="preserve"> z </w:t>
            </w:r>
            <w:r w:rsidRPr="00E07C9A">
              <w:rPr>
                <w:rFonts w:ascii="Times New Roman" w:hAnsi="Times New Roman"/>
                <w:sz w:val="24"/>
              </w:rPr>
              <w:t>týchto možností:</w:t>
            </w:r>
          </w:p>
          <w:p w14:paraId="00BEB12E" w14:textId="5A1149B3" w:rsidR="00826E25" w:rsidRPr="00E07C9A" w:rsidRDefault="00826E25" w:rsidP="005C4397">
            <w:pPr>
              <w:pStyle w:val="ListParagraph"/>
              <w:numPr>
                <w:ilvl w:val="0"/>
                <w:numId w:val="25"/>
              </w:numPr>
              <w:spacing w:before="0" w:after="0"/>
              <w:jc w:val="left"/>
              <w:rPr>
                <w:rFonts w:ascii="Times New Roman" w:hAnsi="Times New Roman"/>
                <w:sz w:val="24"/>
              </w:rPr>
            </w:pPr>
            <w:r w:rsidRPr="00E07C9A">
              <w:rPr>
                <w:rFonts w:ascii="Times New Roman" w:hAnsi="Times New Roman"/>
                <w:sz w:val="24"/>
              </w:rPr>
              <w:t>žiadna prebytková marža,</w:t>
            </w:r>
          </w:p>
          <w:p w14:paraId="2E9FE1BE" w14:textId="2418713E" w:rsidR="00826E25" w:rsidRPr="00E07C9A" w:rsidRDefault="00922B19" w:rsidP="005C4397">
            <w:pPr>
              <w:pStyle w:val="ListParagraph"/>
              <w:numPr>
                <w:ilvl w:val="0"/>
                <w:numId w:val="25"/>
              </w:numPr>
              <w:spacing w:before="0" w:after="0"/>
              <w:jc w:val="left"/>
              <w:rPr>
                <w:rFonts w:ascii="Times New Roman" w:hAnsi="Times New Roman"/>
                <w:sz w:val="24"/>
              </w:rPr>
            </w:pPr>
            <w:r w:rsidRPr="00E07C9A">
              <w:rPr>
                <w:rFonts w:ascii="Times New Roman" w:hAnsi="Times New Roman"/>
                <w:sz w:val="24"/>
              </w:rPr>
              <w:t>prebytková marža, fixná suma – mechanizmus „využiť alebo stratiť“,</w:t>
            </w:r>
          </w:p>
          <w:p w14:paraId="46A3FA0F" w14:textId="694FFA2B" w:rsidR="00826E25" w:rsidRPr="00E07C9A" w:rsidRDefault="00922B19" w:rsidP="005C4397">
            <w:pPr>
              <w:pStyle w:val="ListParagraph"/>
              <w:numPr>
                <w:ilvl w:val="0"/>
                <w:numId w:val="25"/>
              </w:numPr>
              <w:spacing w:before="0" w:after="0"/>
              <w:jc w:val="left"/>
              <w:rPr>
                <w:rFonts w:ascii="Times New Roman" w:hAnsi="Times New Roman"/>
                <w:sz w:val="24"/>
              </w:rPr>
            </w:pPr>
            <w:r w:rsidRPr="00E07C9A">
              <w:rPr>
                <w:rFonts w:ascii="Times New Roman" w:hAnsi="Times New Roman"/>
                <w:sz w:val="24"/>
              </w:rPr>
              <w:t>prebytková marža, fixná suma – viazaný mechanizmus,</w:t>
            </w:r>
          </w:p>
          <w:p w14:paraId="1BBCF418" w14:textId="3C3D28DA" w:rsidR="00826E25" w:rsidRPr="00E07C9A" w:rsidRDefault="00922B19" w:rsidP="005C4397">
            <w:pPr>
              <w:pStyle w:val="ListParagraph"/>
              <w:numPr>
                <w:ilvl w:val="0"/>
                <w:numId w:val="25"/>
              </w:numPr>
              <w:spacing w:before="0" w:after="0"/>
              <w:jc w:val="left"/>
              <w:rPr>
                <w:rFonts w:ascii="Times New Roman" w:hAnsi="Times New Roman"/>
                <w:sz w:val="24"/>
              </w:rPr>
            </w:pPr>
            <w:r w:rsidRPr="00E07C9A">
              <w:rPr>
                <w:rFonts w:ascii="Times New Roman" w:hAnsi="Times New Roman"/>
                <w:sz w:val="24"/>
              </w:rPr>
              <w:t>prebytková marža, variabilná suma – mechanizmus „využiť alebo stratiť“,</w:t>
            </w:r>
          </w:p>
          <w:p w14:paraId="0A52D195" w14:textId="0369ABE8" w:rsidR="00826E25" w:rsidRPr="00E07C9A" w:rsidRDefault="00922B19" w:rsidP="005C4397">
            <w:pPr>
              <w:pStyle w:val="ListParagraph"/>
              <w:numPr>
                <w:ilvl w:val="0"/>
                <w:numId w:val="25"/>
              </w:numPr>
              <w:spacing w:before="0" w:after="0"/>
              <w:jc w:val="left"/>
              <w:rPr>
                <w:rFonts w:ascii="Times New Roman" w:hAnsi="Times New Roman"/>
                <w:sz w:val="24"/>
              </w:rPr>
            </w:pPr>
            <w:r w:rsidRPr="00E07C9A">
              <w:rPr>
                <w:rFonts w:ascii="Times New Roman" w:hAnsi="Times New Roman"/>
                <w:sz w:val="24"/>
              </w:rPr>
              <w:t>prebytková marža, variabilná suma – viazaný mechanizmus.</w:t>
            </w:r>
          </w:p>
          <w:p w14:paraId="4D21B078" w14:textId="0D8D8C7A" w:rsidR="00826E25" w:rsidRPr="00E07C9A" w:rsidRDefault="00826E25" w:rsidP="00167602">
            <w:pPr>
              <w:pStyle w:val="ListParagraph"/>
              <w:spacing w:before="0" w:after="0"/>
              <w:ind w:left="1080"/>
              <w:jc w:val="left"/>
              <w:rPr>
                <w:rFonts w:ascii="Times New Roman" w:hAnsi="Times New Roman"/>
                <w:sz w:val="24"/>
              </w:rPr>
            </w:pPr>
          </w:p>
        </w:tc>
      </w:tr>
      <w:tr w:rsidR="007421F4" w:rsidRPr="00E07C9A" w14:paraId="2BD1CCFE" w14:textId="77777777" w:rsidTr="00E10B85">
        <w:tc>
          <w:tcPr>
            <w:tcW w:w="1101" w:type="dxa"/>
          </w:tcPr>
          <w:p w14:paraId="57229320" w14:textId="05503A0B" w:rsidR="007421F4" w:rsidRPr="00E07C9A" w:rsidRDefault="007421F4" w:rsidP="007421F4">
            <w:pPr>
              <w:autoSpaceDE w:val="0"/>
              <w:autoSpaceDN w:val="0"/>
              <w:adjustRightInd w:val="0"/>
              <w:spacing w:before="0" w:after="0"/>
              <w:rPr>
                <w:rFonts w:ascii="Times New Roman" w:hAnsi="Times New Roman"/>
                <w:sz w:val="24"/>
              </w:rPr>
            </w:pPr>
            <w:r w:rsidRPr="00E07C9A">
              <w:rPr>
                <w:rFonts w:ascii="Times New Roman" w:hAnsi="Times New Roman"/>
                <w:sz w:val="24"/>
              </w:rPr>
              <w:t>0077</w:t>
            </w:r>
          </w:p>
        </w:tc>
        <w:tc>
          <w:tcPr>
            <w:tcW w:w="7903" w:type="dxa"/>
          </w:tcPr>
          <w:p w14:paraId="11610D20" w14:textId="6EEF25E4" w:rsidR="007421F4" w:rsidRPr="00E07C9A" w:rsidRDefault="007421F4" w:rsidP="007421F4">
            <w:pPr>
              <w:spacing w:before="0" w:after="0"/>
              <w:jc w:val="left"/>
              <w:rPr>
                <w:rFonts w:ascii="Times New Roman" w:hAnsi="Times New Roman"/>
                <w:b/>
                <w:sz w:val="24"/>
                <w:u w:val="single"/>
              </w:rPr>
            </w:pPr>
            <w:r w:rsidRPr="00E07C9A">
              <w:rPr>
                <w:rFonts w:ascii="Times New Roman" w:hAnsi="Times New Roman"/>
                <w:b/>
                <w:sz w:val="24"/>
                <w:u w:val="single"/>
              </w:rPr>
              <w:t>AMORTIZAČNÝ SYSTÉM</w:t>
            </w:r>
          </w:p>
          <w:p w14:paraId="53412D3C" w14:textId="77777777" w:rsidR="007421F4" w:rsidRPr="00E07C9A" w:rsidRDefault="007421F4" w:rsidP="007421F4">
            <w:pPr>
              <w:spacing w:before="0" w:after="0"/>
              <w:jc w:val="left"/>
              <w:rPr>
                <w:rFonts w:ascii="Times New Roman" w:hAnsi="Times New Roman"/>
                <w:b/>
                <w:sz w:val="24"/>
                <w:u w:val="single"/>
              </w:rPr>
            </w:pPr>
          </w:p>
          <w:p w14:paraId="017C36B6" w14:textId="0178F04F" w:rsidR="007421F4" w:rsidRPr="00E07C9A" w:rsidRDefault="007421F4" w:rsidP="007421F4">
            <w:pPr>
              <w:spacing w:before="0" w:after="0"/>
              <w:jc w:val="left"/>
              <w:rPr>
                <w:rFonts w:ascii="Times New Roman" w:hAnsi="Times New Roman"/>
                <w:sz w:val="24"/>
              </w:rPr>
            </w:pPr>
            <w:r w:rsidRPr="00E07C9A">
              <w:rPr>
                <w:rFonts w:ascii="Times New Roman" w:hAnsi="Times New Roman"/>
                <w:sz w:val="24"/>
              </w:rPr>
              <w:t>Inštitúcie vykazujú jednu</w:t>
            </w:r>
            <w:r w:rsidR="009912F8" w:rsidRPr="00E07C9A">
              <w:rPr>
                <w:rFonts w:ascii="Times New Roman" w:hAnsi="Times New Roman"/>
                <w:sz w:val="24"/>
              </w:rPr>
              <w:t xml:space="preserve"> z </w:t>
            </w:r>
            <w:r w:rsidRPr="00E07C9A">
              <w:rPr>
                <w:rFonts w:ascii="Times New Roman" w:hAnsi="Times New Roman"/>
                <w:sz w:val="24"/>
              </w:rPr>
              <w:t>týchto možností:</w:t>
            </w:r>
          </w:p>
          <w:p w14:paraId="0297FC4D" w14:textId="3F6BDE08" w:rsidR="007421F4" w:rsidRPr="00E07C9A" w:rsidRDefault="007421F4" w:rsidP="005C4397">
            <w:pPr>
              <w:pStyle w:val="ListParagraph"/>
              <w:numPr>
                <w:ilvl w:val="0"/>
                <w:numId w:val="25"/>
              </w:numPr>
              <w:spacing w:before="0" w:after="0"/>
              <w:jc w:val="left"/>
              <w:rPr>
                <w:rFonts w:ascii="Times New Roman" w:hAnsi="Times New Roman"/>
                <w:sz w:val="24"/>
              </w:rPr>
            </w:pPr>
            <w:r w:rsidRPr="00E07C9A">
              <w:rPr>
                <w:rFonts w:ascii="Times New Roman" w:hAnsi="Times New Roman"/>
                <w:sz w:val="24"/>
              </w:rPr>
              <w:t>sekvenčná amortizácia,</w:t>
            </w:r>
          </w:p>
          <w:p w14:paraId="1BB6CD33" w14:textId="0993E469" w:rsidR="007421F4" w:rsidRPr="00E07C9A" w:rsidRDefault="007421F4" w:rsidP="005C4397">
            <w:pPr>
              <w:pStyle w:val="ListParagraph"/>
              <w:numPr>
                <w:ilvl w:val="0"/>
                <w:numId w:val="25"/>
              </w:numPr>
              <w:spacing w:before="0" w:after="0"/>
              <w:jc w:val="left"/>
              <w:rPr>
                <w:rFonts w:ascii="Times New Roman" w:hAnsi="Times New Roman"/>
                <w:sz w:val="24"/>
              </w:rPr>
            </w:pPr>
            <w:r w:rsidRPr="00E07C9A">
              <w:rPr>
                <w:rFonts w:ascii="Times New Roman" w:hAnsi="Times New Roman"/>
                <w:sz w:val="24"/>
              </w:rPr>
              <w:t>pomerná amortizácia,</w:t>
            </w:r>
          </w:p>
          <w:p w14:paraId="1BCDB30F" w14:textId="3ABBBCFC" w:rsidR="009912F8" w:rsidRPr="00E07C9A" w:rsidRDefault="007421F4" w:rsidP="005C4397">
            <w:pPr>
              <w:pStyle w:val="ListParagraph"/>
              <w:numPr>
                <w:ilvl w:val="0"/>
                <w:numId w:val="25"/>
              </w:numPr>
              <w:spacing w:before="0" w:after="0"/>
              <w:jc w:val="left"/>
              <w:rPr>
                <w:rFonts w:ascii="Times New Roman" w:hAnsi="Times New Roman"/>
                <w:sz w:val="24"/>
              </w:rPr>
            </w:pPr>
            <w:r w:rsidRPr="00E07C9A">
              <w:rPr>
                <w:rFonts w:ascii="Times New Roman" w:hAnsi="Times New Roman"/>
                <w:sz w:val="24"/>
              </w:rPr>
              <w:t>zmena pomernej amortizácie na sekvenčnú amortizáciu.</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STS kritériami pre súvahové sekuritizácie</w:t>
            </w:r>
            <w:r w:rsidR="009912F8" w:rsidRPr="00E07C9A">
              <w:rPr>
                <w:rFonts w:ascii="Times New Roman" w:hAnsi="Times New Roman"/>
                <w:sz w:val="24"/>
              </w:rPr>
              <w:t xml:space="preserve"> </w:t>
            </w:r>
            <w:r w:rsidRPr="00E07C9A">
              <w:rPr>
                <w:rFonts w:ascii="Times New Roman" w:hAnsi="Times New Roman"/>
              </w:rPr>
              <w:br/>
            </w:r>
            <w:r w:rsidRPr="00E07C9A">
              <w:rPr>
                <w:rFonts w:ascii="Times New Roman" w:hAnsi="Times New Roman"/>
                <w:sz w:val="24"/>
              </w:rPr>
              <w:t>[článok 26c ods. 5 nariadenia (EÚ) 2017/2402],</w:t>
            </w:r>
          </w:p>
          <w:p w14:paraId="44442548" w14:textId="794D4029" w:rsidR="007421F4" w:rsidRPr="00E07C9A" w:rsidRDefault="007421F4" w:rsidP="005C4397">
            <w:pPr>
              <w:pStyle w:val="ListParagraph"/>
              <w:numPr>
                <w:ilvl w:val="0"/>
                <w:numId w:val="25"/>
              </w:numPr>
              <w:spacing w:before="0" w:after="0"/>
              <w:jc w:val="left"/>
              <w:rPr>
                <w:rFonts w:ascii="Times New Roman" w:hAnsi="Times New Roman"/>
                <w:sz w:val="24"/>
              </w:rPr>
            </w:pPr>
            <w:r w:rsidRPr="00E07C9A">
              <w:rPr>
                <w:rFonts w:ascii="Times New Roman" w:hAnsi="Times New Roman"/>
                <w:sz w:val="24"/>
              </w:rPr>
              <w:t>zmena pomernej amortizácie na sekvenčnú amortizáciu.</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STS kritériami pre transakcie iné ako ABCP</w:t>
            </w:r>
            <w:r w:rsidR="009912F8" w:rsidRPr="00E07C9A">
              <w:rPr>
                <w:rFonts w:ascii="Times New Roman" w:hAnsi="Times New Roman"/>
                <w:sz w:val="24"/>
              </w:rPr>
              <w:t xml:space="preserve"> </w:t>
            </w:r>
            <w:r w:rsidRPr="00E07C9A">
              <w:rPr>
                <w:rFonts w:ascii="Times New Roman" w:hAnsi="Times New Roman"/>
              </w:rPr>
              <w:br/>
            </w:r>
            <w:r w:rsidRPr="00E07C9A">
              <w:rPr>
                <w:rFonts w:ascii="Times New Roman" w:hAnsi="Times New Roman"/>
                <w:sz w:val="24"/>
              </w:rPr>
              <w:t>[Usmernenia</w:t>
            </w:r>
            <w:r w:rsidR="009912F8" w:rsidRPr="00E07C9A">
              <w:rPr>
                <w:rFonts w:ascii="Times New Roman" w:hAnsi="Times New Roman"/>
                <w:sz w:val="24"/>
              </w:rPr>
              <w:t xml:space="preserve"> o </w:t>
            </w:r>
            <w:r w:rsidRPr="00E07C9A">
              <w:rPr>
                <w:rFonts w:ascii="Times New Roman" w:hAnsi="Times New Roman"/>
                <w:sz w:val="24"/>
              </w:rPr>
              <w:t>STS kritériách pre transakcie iné ako ABCP</w:t>
            </w:r>
            <w:r w:rsidR="009912F8" w:rsidRPr="00E07C9A">
              <w:rPr>
                <w:rFonts w:ascii="Times New Roman" w:hAnsi="Times New Roman"/>
                <w:sz w:val="24"/>
              </w:rPr>
              <w:t xml:space="preserve"> a </w:t>
            </w:r>
            <w:r w:rsidRPr="00E07C9A">
              <w:rPr>
                <w:rFonts w:ascii="Times New Roman" w:hAnsi="Times New Roman"/>
                <w:sz w:val="24"/>
              </w:rPr>
              <w:t>článok 21 ods. 5) nariadenia (EÚ) 2017/2402],</w:t>
            </w:r>
          </w:p>
          <w:p w14:paraId="05571779" w14:textId="165870C0" w:rsidR="007421F4" w:rsidRPr="00E07C9A" w:rsidRDefault="007421F4" w:rsidP="005C4397">
            <w:pPr>
              <w:pStyle w:val="ListParagraph"/>
              <w:numPr>
                <w:ilvl w:val="0"/>
                <w:numId w:val="25"/>
              </w:numPr>
              <w:spacing w:before="0" w:after="0"/>
              <w:jc w:val="left"/>
              <w:rPr>
                <w:rFonts w:ascii="Times New Roman" w:hAnsi="Times New Roman"/>
                <w:sz w:val="24"/>
              </w:rPr>
            </w:pPr>
            <w:r w:rsidRPr="00E07C9A">
              <w:rPr>
                <w:rFonts w:ascii="Times New Roman" w:hAnsi="Times New Roman"/>
                <w:sz w:val="24"/>
              </w:rPr>
              <w:t>zmena pomernej amortizácie na sekvenčnú amortizáciu. Nenachádzajúca sa</w:t>
            </w:r>
            <w:r w:rsidR="009912F8" w:rsidRPr="00E07C9A">
              <w:rPr>
                <w:rFonts w:ascii="Times New Roman" w:hAnsi="Times New Roman"/>
                <w:sz w:val="24"/>
              </w:rPr>
              <w:t xml:space="preserve"> v </w:t>
            </w:r>
            <w:r w:rsidRPr="00E07C9A">
              <w:rPr>
                <w:rFonts w:ascii="Times New Roman" w:hAnsi="Times New Roman"/>
                <w:sz w:val="24"/>
              </w:rPr>
              <w:t>súlade,</w:t>
            </w:r>
          </w:p>
          <w:p w14:paraId="248D25E9" w14:textId="264A3114" w:rsidR="007421F4" w:rsidRPr="00E07C9A" w:rsidRDefault="007421F4" w:rsidP="005C4397">
            <w:pPr>
              <w:numPr>
                <w:ilvl w:val="0"/>
                <w:numId w:val="25"/>
              </w:numPr>
              <w:spacing w:before="0" w:after="0"/>
              <w:jc w:val="left"/>
              <w:rPr>
                <w:rFonts w:ascii="Times New Roman" w:hAnsi="Times New Roman"/>
                <w:b/>
                <w:sz w:val="24"/>
                <w:u w:val="single"/>
              </w:rPr>
            </w:pPr>
            <w:r w:rsidRPr="00E07C9A">
              <w:rPr>
                <w:rFonts w:ascii="Times New Roman" w:hAnsi="Times New Roman"/>
                <w:sz w:val="24"/>
              </w:rPr>
              <w:t>iný amortizačný systém.</w:t>
            </w:r>
          </w:p>
          <w:p w14:paraId="6473069E" w14:textId="0E711DB3" w:rsidR="007421F4" w:rsidRPr="00E07C9A" w:rsidRDefault="007421F4" w:rsidP="001235ED">
            <w:pPr>
              <w:spacing w:before="0" w:after="0"/>
              <w:ind w:left="1080"/>
              <w:jc w:val="left"/>
              <w:rPr>
                <w:rFonts w:ascii="Times New Roman" w:hAnsi="Times New Roman"/>
                <w:b/>
                <w:sz w:val="24"/>
                <w:u w:val="single"/>
              </w:rPr>
            </w:pPr>
          </w:p>
        </w:tc>
      </w:tr>
      <w:tr w:rsidR="009E5CC6" w:rsidRPr="00E07C9A" w14:paraId="1FE757F8" w14:textId="77777777" w:rsidTr="00E10B85">
        <w:tc>
          <w:tcPr>
            <w:tcW w:w="1101" w:type="dxa"/>
          </w:tcPr>
          <w:p w14:paraId="6D9BA909" w14:textId="11552533" w:rsidR="009E5CC6" w:rsidRPr="00E07C9A" w:rsidRDefault="009E5CC6" w:rsidP="007421F4">
            <w:pPr>
              <w:autoSpaceDE w:val="0"/>
              <w:autoSpaceDN w:val="0"/>
              <w:adjustRightInd w:val="0"/>
              <w:spacing w:before="0" w:after="0"/>
              <w:rPr>
                <w:rFonts w:ascii="Times New Roman" w:hAnsi="Times New Roman"/>
                <w:sz w:val="24"/>
              </w:rPr>
            </w:pPr>
            <w:r w:rsidRPr="00E07C9A">
              <w:rPr>
                <w:rFonts w:ascii="Times New Roman" w:hAnsi="Times New Roman"/>
                <w:sz w:val="24"/>
              </w:rPr>
              <w:t>0078</w:t>
            </w:r>
          </w:p>
        </w:tc>
        <w:tc>
          <w:tcPr>
            <w:tcW w:w="7903" w:type="dxa"/>
          </w:tcPr>
          <w:p w14:paraId="45803CC0" w14:textId="77777777" w:rsidR="009E5CC6" w:rsidRPr="00E07C9A" w:rsidRDefault="009E5CC6" w:rsidP="007421F4">
            <w:pPr>
              <w:spacing w:before="0" w:after="0"/>
              <w:jc w:val="left"/>
              <w:rPr>
                <w:rFonts w:ascii="Times New Roman" w:hAnsi="Times New Roman"/>
                <w:b/>
                <w:sz w:val="24"/>
                <w:u w:val="single"/>
              </w:rPr>
            </w:pPr>
            <w:r w:rsidRPr="00E07C9A">
              <w:rPr>
                <w:rFonts w:ascii="Times New Roman" w:hAnsi="Times New Roman"/>
                <w:b/>
                <w:sz w:val="24"/>
                <w:u w:val="single"/>
              </w:rPr>
              <w:t>MOŽNOSTI ZABEZPEČENIA KOLATERÁLOM</w:t>
            </w:r>
          </w:p>
          <w:p w14:paraId="28394332" w14:textId="77777777" w:rsidR="009E5CC6" w:rsidRPr="00E07C9A" w:rsidRDefault="009E5CC6" w:rsidP="007421F4">
            <w:pPr>
              <w:spacing w:before="0" w:after="0"/>
              <w:jc w:val="left"/>
              <w:rPr>
                <w:rFonts w:ascii="Times New Roman" w:hAnsi="Times New Roman"/>
                <w:b/>
                <w:sz w:val="24"/>
                <w:u w:val="single"/>
              </w:rPr>
            </w:pPr>
          </w:p>
          <w:p w14:paraId="43E323A5" w14:textId="2A0A5AD2" w:rsidR="009E5CC6" w:rsidRPr="00E07C9A" w:rsidRDefault="009E5CC6" w:rsidP="007421F4">
            <w:pPr>
              <w:spacing w:before="0" w:after="0"/>
              <w:jc w:val="left"/>
              <w:rPr>
                <w:rFonts w:ascii="Times New Roman" w:hAnsi="Times New Roman"/>
                <w:sz w:val="24"/>
              </w:rPr>
            </w:pPr>
            <w:r w:rsidRPr="00E07C9A">
              <w:rPr>
                <w:rFonts w:ascii="Times New Roman" w:hAnsi="Times New Roman"/>
                <w:sz w:val="24"/>
              </w:rPr>
              <w:t>Článok 26e nariadenia (EÚ) 2017/2402</w:t>
            </w:r>
          </w:p>
          <w:p w14:paraId="4795E396" w14:textId="1CBFA694" w:rsidR="00D5668A" w:rsidRPr="00E07C9A" w:rsidRDefault="00D5668A" w:rsidP="007421F4">
            <w:pPr>
              <w:spacing w:before="0" w:after="0"/>
              <w:jc w:val="left"/>
              <w:rPr>
                <w:rFonts w:ascii="Times New Roman" w:hAnsi="Times New Roman"/>
                <w:sz w:val="24"/>
              </w:rPr>
            </w:pPr>
          </w:p>
          <w:p w14:paraId="13A7932C" w14:textId="15A4644C" w:rsidR="00D5668A" w:rsidRPr="00E07C9A" w:rsidRDefault="00D5668A" w:rsidP="00D5668A">
            <w:pPr>
              <w:rPr>
                <w:rFonts w:ascii="Times New Roman" w:hAnsi="Times New Roman"/>
                <w:szCs w:val="22"/>
              </w:rPr>
            </w:pPr>
            <w:r w:rsidRPr="00E07C9A">
              <w:rPr>
                <w:rFonts w:ascii="Times New Roman" w:hAnsi="Times New Roman"/>
                <w:sz w:val="24"/>
              </w:rPr>
              <w:t>Inštitúcie vykazujú jednu</w:t>
            </w:r>
            <w:r w:rsidR="009912F8" w:rsidRPr="00E07C9A">
              <w:rPr>
                <w:rFonts w:ascii="Times New Roman" w:hAnsi="Times New Roman"/>
                <w:sz w:val="24"/>
              </w:rPr>
              <w:t xml:space="preserve"> z </w:t>
            </w:r>
            <w:r w:rsidRPr="00E07C9A">
              <w:rPr>
                <w:rFonts w:ascii="Times New Roman" w:hAnsi="Times New Roman"/>
                <w:sz w:val="24"/>
              </w:rPr>
              <w:t>nasledujúcich možností zabezpečenia kolaterálom dohody</w:t>
            </w:r>
            <w:r w:rsidR="009912F8" w:rsidRPr="00E07C9A">
              <w:rPr>
                <w:rFonts w:ascii="Times New Roman" w:hAnsi="Times New Roman"/>
                <w:sz w:val="24"/>
              </w:rPr>
              <w:t xml:space="preserve"> o </w:t>
            </w:r>
            <w:r w:rsidRPr="00E07C9A">
              <w:rPr>
                <w:rFonts w:ascii="Times New Roman" w:hAnsi="Times New Roman"/>
                <w:sz w:val="24"/>
              </w:rPr>
              <w:t>kreditnom zabezpečení:</w:t>
            </w:r>
          </w:p>
          <w:p w14:paraId="1EC5B888" w14:textId="77777777" w:rsidR="00D5668A" w:rsidRPr="00E07C9A" w:rsidRDefault="00D5668A" w:rsidP="00D5668A">
            <w:pPr>
              <w:rPr>
                <w:rFonts w:ascii="Times New Roman" w:hAnsi="Times New Roman"/>
              </w:rPr>
            </w:pPr>
          </w:p>
          <w:p w14:paraId="22450011" w14:textId="4F9DD411" w:rsidR="00D5668A" w:rsidRPr="00E07C9A" w:rsidRDefault="00D5668A" w:rsidP="005C4397">
            <w:pPr>
              <w:pStyle w:val="ListParagraph"/>
              <w:numPr>
                <w:ilvl w:val="0"/>
                <w:numId w:val="25"/>
              </w:numPr>
              <w:spacing w:before="0" w:after="0"/>
              <w:jc w:val="left"/>
              <w:rPr>
                <w:rFonts w:ascii="Times New Roman" w:hAnsi="Times New Roman"/>
                <w:sz w:val="24"/>
              </w:rPr>
            </w:pPr>
            <w:r w:rsidRPr="00E07C9A">
              <w:rPr>
                <w:rFonts w:ascii="Times New Roman" w:hAnsi="Times New Roman"/>
                <w:sz w:val="24"/>
              </w:rPr>
              <w:t>kolaterál vo forme 0</w:t>
            </w:r>
            <w:r w:rsidR="009912F8" w:rsidRPr="00E07C9A">
              <w:rPr>
                <w:rFonts w:ascii="Times New Roman" w:hAnsi="Times New Roman"/>
                <w:sz w:val="24"/>
              </w:rPr>
              <w:t> %</w:t>
            </w:r>
            <w:r w:rsidRPr="00E07C9A">
              <w:rPr>
                <w:rFonts w:ascii="Times New Roman" w:hAnsi="Times New Roman"/>
                <w:sz w:val="24"/>
              </w:rPr>
              <w:t xml:space="preserve"> rizikovo vážených dlhových cenných papierov.</w:t>
            </w:r>
            <w:r w:rsidR="009912F8" w:rsidRPr="00E07C9A">
              <w:rPr>
                <w:rFonts w:ascii="Times New Roman" w:hAnsi="Times New Roman"/>
                <w:sz w:val="24"/>
              </w:rPr>
              <w:t xml:space="preserve"> </w:t>
            </w:r>
            <w:r w:rsidRPr="00E07C9A">
              <w:rPr>
                <w:rFonts w:ascii="Times New Roman" w:hAnsi="Times New Roman"/>
              </w:rPr>
              <w:br/>
            </w:r>
            <w:r w:rsidRPr="00E07C9A">
              <w:rPr>
                <w:rFonts w:ascii="Times New Roman" w:hAnsi="Times New Roman"/>
                <w:sz w:val="24"/>
              </w:rPr>
              <w:t>Článok 26e ods. 10 prvý pododsek písm. a) nariadenia (EÚ) 2017/2402,</w:t>
            </w:r>
          </w:p>
          <w:p w14:paraId="4C204AAA" w14:textId="06D4EC67" w:rsidR="00D5668A" w:rsidRPr="00E07C9A" w:rsidRDefault="00D5668A" w:rsidP="005C4397">
            <w:pPr>
              <w:pStyle w:val="ListParagraph"/>
              <w:numPr>
                <w:ilvl w:val="0"/>
                <w:numId w:val="25"/>
              </w:numPr>
              <w:spacing w:before="0" w:after="0"/>
              <w:jc w:val="left"/>
              <w:rPr>
                <w:rFonts w:ascii="Times New Roman" w:hAnsi="Times New Roman"/>
                <w:sz w:val="24"/>
              </w:rPr>
            </w:pPr>
            <w:r w:rsidRPr="00E07C9A">
              <w:rPr>
                <w:rFonts w:ascii="Times New Roman" w:hAnsi="Times New Roman"/>
                <w:sz w:val="24"/>
              </w:rPr>
              <w:t>kolaterál vo forme hotovosti</w:t>
            </w:r>
            <w:r w:rsidR="009912F8" w:rsidRPr="00E07C9A">
              <w:rPr>
                <w:rFonts w:ascii="Times New Roman" w:hAnsi="Times New Roman"/>
                <w:sz w:val="24"/>
              </w:rPr>
              <w:t xml:space="preserve"> v </w:t>
            </w:r>
            <w:r w:rsidRPr="00E07C9A">
              <w:rPr>
                <w:rFonts w:ascii="Times New Roman" w:hAnsi="Times New Roman"/>
                <w:sz w:val="24"/>
              </w:rPr>
              <w:t>držbe úverovej inštitúcie tretej strany so stupňom kreditnej kvality 3 alebo vyšším.</w:t>
            </w:r>
            <w:r w:rsidRPr="00E07C9A">
              <w:rPr>
                <w:rFonts w:ascii="Times New Roman" w:hAnsi="Times New Roman"/>
              </w:rPr>
              <w:t xml:space="preserve"> </w:t>
            </w:r>
            <w:r w:rsidRPr="00E07C9A">
              <w:rPr>
                <w:rFonts w:ascii="Times New Roman" w:hAnsi="Times New Roman"/>
              </w:rPr>
              <w:br/>
            </w:r>
            <w:r w:rsidRPr="00E07C9A">
              <w:rPr>
                <w:rFonts w:ascii="Times New Roman" w:hAnsi="Times New Roman"/>
                <w:sz w:val="24"/>
              </w:rPr>
              <w:t>Článok 26e ods. 10 prvý pododsek písm. b) nariadenia (EÚ) 2017/2402,</w:t>
            </w:r>
          </w:p>
          <w:p w14:paraId="0DDD4855" w14:textId="607AF184" w:rsidR="00D5668A" w:rsidRPr="00E07C9A" w:rsidRDefault="00D5668A" w:rsidP="005C4397">
            <w:pPr>
              <w:pStyle w:val="ListParagraph"/>
              <w:numPr>
                <w:ilvl w:val="0"/>
                <w:numId w:val="25"/>
              </w:numPr>
              <w:spacing w:before="0" w:after="0"/>
              <w:jc w:val="left"/>
              <w:rPr>
                <w:rFonts w:ascii="Times New Roman" w:hAnsi="Times New Roman"/>
                <w:sz w:val="24"/>
              </w:rPr>
            </w:pPr>
            <w:r w:rsidRPr="00E07C9A">
              <w:rPr>
                <w:rFonts w:ascii="Times New Roman" w:hAnsi="Times New Roman"/>
                <w:sz w:val="24"/>
              </w:rPr>
              <w:t>kolaterál vo forme hotovosti</w:t>
            </w:r>
            <w:r w:rsidR="009912F8" w:rsidRPr="00E07C9A">
              <w:rPr>
                <w:rFonts w:ascii="Times New Roman" w:hAnsi="Times New Roman"/>
                <w:sz w:val="24"/>
              </w:rPr>
              <w:t xml:space="preserve"> v </w:t>
            </w:r>
            <w:r w:rsidRPr="00E07C9A">
              <w:rPr>
                <w:rFonts w:ascii="Times New Roman" w:hAnsi="Times New Roman"/>
                <w:sz w:val="24"/>
              </w:rPr>
              <w:t>podobe vkladu</w:t>
            </w:r>
            <w:r w:rsidR="009912F8" w:rsidRPr="00E07C9A">
              <w:rPr>
                <w:rFonts w:ascii="Times New Roman" w:hAnsi="Times New Roman"/>
                <w:sz w:val="24"/>
              </w:rPr>
              <w:t xml:space="preserve"> u </w:t>
            </w:r>
            <w:r w:rsidRPr="00E07C9A">
              <w:rPr>
                <w:rFonts w:ascii="Times New Roman" w:hAnsi="Times New Roman"/>
                <w:sz w:val="24"/>
              </w:rPr>
              <w:t>originátora alebo jedného</w:t>
            </w:r>
            <w:r w:rsidR="009912F8" w:rsidRPr="00E07C9A">
              <w:rPr>
                <w:rFonts w:ascii="Times New Roman" w:hAnsi="Times New Roman"/>
                <w:sz w:val="24"/>
              </w:rPr>
              <w:t xml:space="preserve"> z </w:t>
            </w:r>
            <w:r w:rsidRPr="00E07C9A">
              <w:rPr>
                <w:rFonts w:ascii="Times New Roman" w:hAnsi="Times New Roman"/>
                <w:sz w:val="24"/>
              </w:rPr>
              <w:t>jeho pridružených subjektov, ak sa originátor alebo jeden</w:t>
            </w:r>
            <w:r w:rsidR="009912F8" w:rsidRPr="00E07C9A">
              <w:rPr>
                <w:rFonts w:ascii="Times New Roman" w:hAnsi="Times New Roman"/>
                <w:sz w:val="24"/>
              </w:rPr>
              <w:t xml:space="preserve"> z </w:t>
            </w:r>
            <w:r w:rsidRPr="00E07C9A">
              <w:rPr>
                <w:rFonts w:ascii="Times New Roman" w:hAnsi="Times New Roman"/>
                <w:sz w:val="24"/>
              </w:rPr>
              <w:t>jeho pridružených subjektov kvalifikuje minimálne do druhého stupňa kreditnej kvality.</w:t>
            </w:r>
            <w:r w:rsidRPr="00E07C9A">
              <w:rPr>
                <w:rFonts w:ascii="Times New Roman" w:hAnsi="Times New Roman"/>
              </w:rPr>
              <w:t xml:space="preserve"> </w:t>
            </w:r>
            <w:r w:rsidRPr="00E07C9A">
              <w:rPr>
                <w:rFonts w:ascii="Times New Roman" w:hAnsi="Times New Roman"/>
              </w:rPr>
              <w:br/>
            </w:r>
            <w:r w:rsidRPr="00E07C9A">
              <w:rPr>
                <w:rFonts w:ascii="Times New Roman" w:hAnsi="Times New Roman"/>
                <w:sz w:val="24"/>
              </w:rPr>
              <w:t>Článok 26e ods. 10 druhý pododsek nariadenia (EÚ) 2017/2402,</w:t>
            </w:r>
          </w:p>
          <w:p w14:paraId="7D2C9FEB" w14:textId="23CFB75B" w:rsidR="00D5668A" w:rsidRPr="00E07C9A" w:rsidRDefault="00D5668A" w:rsidP="005C4397">
            <w:pPr>
              <w:pStyle w:val="ListParagraph"/>
              <w:numPr>
                <w:ilvl w:val="0"/>
                <w:numId w:val="25"/>
              </w:numPr>
              <w:spacing w:before="0" w:after="0"/>
              <w:jc w:val="left"/>
              <w:rPr>
                <w:rFonts w:ascii="Times New Roman" w:hAnsi="Times New Roman"/>
                <w:sz w:val="24"/>
              </w:rPr>
            </w:pPr>
            <w:r w:rsidRPr="00E07C9A">
              <w:rPr>
                <w:rFonts w:ascii="Times New Roman" w:hAnsi="Times New Roman"/>
                <w:sz w:val="24"/>
              </w:rPr>
              <w:t>kolaterál vo forme hotovosti</w:t>
            </w:r>
            <w:r w:rsidR="009912F8" w:rsidRPr="00E07C9A">
              <w:rPr>
                <w:rFonts w:ascii="Times New Roman" w:hAnsi="Times New Roman"/>
                <w:sz w:val="24"/>
              </w:rPr>
              <w:t xml:space="preserve"> v </w:t>
            </w:r>
            <w:r w:rsidRPr="00E07C9A">
              <w:rPr>
                <w:rFonts w:ascii="Times New Roman" w:hAnsi="Times New Roman"/>
                <w:sz w:val="24"/>
              </w:rPr>
              <w:t>podobe vkladu</w:t>
            </w:r>
            <w:r w:rsidR="009912F8" w:rsidRPr="00E07C9A">
              <w:rPr>
                <w:rFonts w:ascii="Times New Roman" w:hAnsi="Times New Roman"/>
                <w:sz w:val="24"/>
              </w:rPr>
              <w:t xml:space="preserve"> u </w:t>
            </w:r>
            <w:r w:rsidRPr="00E07C9A">
              <w:rPr>
                <w:rFonts w:ascii="Times New Roman" w:hAnsi="Times New Roman"/>
                <w:sz w:val="24"/>
              </w:rPr>
              <w:t>originátora alebo jedného</w:t>
            </w:r>
            <w:r w:rsidR="009912F8" w:rsidRPr="00E07C9A">
              <w:rPr>
                <w:rFonts w:ascii="Times New Roman" w:hAnsi="Times New Roman"/>
                <w:sz w:val="24"/>
              </w:rPr>
              <w:t xml:space="preserve"> z </w:t>
            </w:r>
            <w:r w:rsidRPr="00E07C9A">
              <w:rPr>
                <w:rFonts w:ascii="Times New Roman" w:hAnsi="Times New Roman"/>
                <w:sz w:val="24"/>
              </w:rPr>
              <w:t>jeho pridružených subjektov, ak sa originátor alebo jeden</w:t>
            </w:r>
            <w:r w:rsidR="009912F8" w:rsidRPr="00E07C9A">
              <w:rPr>
                <w:rFonts w:ascii="Times New Roman" w:hAnsi="Times New Roman"/>
                <w:sz w:val="24"/>
              </w:rPr>
              <w:t xml:space="preserve"> z </w:t>
            </w:r>
            <w:r w:rsidRPr="00E07C9A">
              <w:rPr>
                <w:rFonts w:ascii="Times New Roman" w:hAnsi="Times New Roman"/>
                <w:sz w:val="24"/>
              </w:rPr>
              <w:t>jeho pridružených subjektov kvalifikuje do tretieho stupňa kreditnej kvality.</w:t>
            </w:r>
            <w:r w:rsidRPr="00E07C9A">
              <w:rPr>
                <w:rFonts w:ascii="Times New Roman" w:hAnsi="Times New Roman"/>
              </w:rPr>
              <w:t xml:space="preserve"> </w:t>
            </w:r>
            <w:r w:rsidRPr="00E07C9A">
              <w:rPr>
                <w:rFonts w:ascii="Times New Roman" w:hAnsi="Times New Roman"/>
              </w:rPr>
              <w:br/>
            </w:r>
            <w:r w:rsidRPr="00E07C9A">
              <w:rPr>
                <w:rFonts w:ascii="Times New Roman" w:hAnsi="Times New Roman"/>
                <w:sz w:val="24"/>
              </w:rPr>
              <w:t>Článok 26e ods. 10 tretí pododsek nariadenia (EÚ) 2017/2402,</w:t>
            </w:r>
          </w:p>
          <w:p w14:paraId="33FFFFAB" w14:textId="55AA23EE" w:rsidR="00D5668A" w:rsidRPr="00E07C9A" w:rsidRDefault="00D5668A" w:rsidP="005C4397">
            <w:pPr>
              <w:pStyle w:val="ListParagraph"/>
              <w:numPr>
                <w:ilvl w:val="0"/>
                <w:numId w:val="25"/>
              </w:numPr>
              <w:spacing w:before="0" w:after="0"/>
              <w:jc w:val="left"/>
              <w:rPr>
                <w:rFonts w:ascii="Times New Roman" w:hAnsi="Times New Roman"/>
                <w:sz w:val="24"/>
              </w:rPr>
            </w:pPr>
            <w:r w:rsidRPr="00E07C9A">
              <w:rPr>
                <w:rFonts w:ascii="Times New Roman" w:hAnsi="Times New Roman"/>
                <w:sz w:val="24"/>
              </w:rPr>
              <w:t>požiadavky splnené</w:t>
            </w:r>
            <w:r w:rsidR="009912F8" w:rsidRPr="00E07C9A">
              <w:rPr>
                <w:rFonts w:ascii="Times New Roman" w:hAnsi="Times New Roman"/>
                <w:sz w:val="24"/>
              </w:rPr>
              <w:t xml:space="preserve"> v </w:t>
            </w:r>
            <w:r w:rsidRPr="00E07C9A">
              <w:rPr>
                <w:rFonts w:ascii="Times New Roman" w:hAnsi="Times New Roman"/>
                <w:sz w:val="24"/>
              </w:rPr>
              <w:t>prípade investícií do dlhových nástrojov viazaných na úver emitovaných originátorom.</w:t>
            </w:r>
            <w:r w:rsidRPr="00E07C9A">
              <w:rPr>
                <w:rFonts w:ascii="Times New Roman" w:hAnsi="Times New Roman"/>
              </w:rPr>
              <w:t xml:space="preserve"> </w:t>
            </w:r>
            <w:r w:rsidRPr="00E07C9A">
              <w:rPr>
                <w:rFonts w:ascii="Times New Roman" w:hAnsi="Times New Roman"/>
              </w:rPr>
              <w:br/>
            </w:r>
            <w:r w:rsidRPr="00E07C9A">
              <w:rPr>
                <w:rFonts w:ascii="Times New Roman" w:hAnsi="Times New Roman"/>
                <w:sz w:val="24"/>
              </w:rPr>
              <w:t>Článok 26e ods. 10 štvrtý pododsek nariadenia (EÚ) 2017/2402,</w:t>
            </w:r>
          </w:p>
          <w:p w14:paraId="7F00225A" w14:textId="276FE0A1" w:rsidR="00D5668A" w:rsidRPr="00E07C9A" w:rsidRDefault="00D5668A" w:rsidP="005C4397">
            <w:pPr>
              <w:pStyle w:val="ListParagraph"/>
              <w:numPr>
                <w:ilvl w:val="0"/>
                <w:numId w:val="25"/>
              </w:numPr>
              <w:spacing w:before="0" w:after="0"/>
              <w:jc w:val="left"/>
              <w:rPr>
                <w:rFonts w:ascii="Times New Roman" w:hAnsi="Times New Roman"/>
                <w:sz w:val="24"/>
              </w:rPr>
            </w:pPr>
            <w:r w:rsidRPr="00E07C9A">
              <w:rPr>
                <w:rFonts w:ascii="Times New Roman" w:hAnsi="Times New Roman"/>
                <w:sz w:val="24"/>
              </w:rPr>
              <w:t>žiadny kolaterál, investor sa kvalifikuje pre rizikovú váhu 0</w:t>
            </w:r>
            <w:r w:rsidR="009912F8" w:rsidRPr="00E07C9A">
              <w:rPr>
                <w:rFonts w:ascii="Times New Roman" w:hAnsi="Times New Roman"/>
              </w:rPr>
              <w:t> %</w:t>
            </w:r>
            <w:r w:rsidRPr="00E07C9A">
              <w:rPr>
                <w:rFonts w:ascii="Times New Roman" w:hAnsi="Times New Roman"/>
                <w:sz w:val="24"/>
              </w:rPr>
              <w:t>.</w:t>
            </w:r>
            <w:r w:rsidRPr="00E07C9A">
              <w:rPr>
                <w:rFonts w:ascii="Times New Roman" w:hAnsi="Times New Roman"/>
              </w:rPr>
              <w:t xml:space="preserve"> </w:t>
            </w:r>
            <w:r w:rsidRPr="00E07C9A">
              <w:rPr>
                <w:rFonts w:ascii="Times New Roman" w:hAnsi="Times New Roman"/>
              </w:rPr>
              <w:br/>
            </w:r>
            <w:r w:rsidRPr="00E07C9A">
              <w:rPr>
                <w:rFonts w:ascii="Times New Roman" w:hAnsi="Times New Roman"/>
                <w:sz w:val="24"/>
              </w:rPr>
              <w:t>Článok 26e ods. 8 písm. a) nariadenia (EÚ) 2017/2402,</w:t>
            </w:r>
          </w:p>
          <w:p w14:paraId="4332D1BA" w14:textId="23B89BBE" w:rsidR="00D5668A" w:rsidRPr="00E07C9A" w:rsidRDefault="00D5668A" w:rsidP="005C4397">
            <w:pPr>
              <w:pStyle w:val="ListParagraph"/>
              <w:numPr>
                <w:ilvl w:val="0"/>
                <w:numId w:val="25"/>
              </w:numPr>
              <w:spacing w:before="0" w:after="0"/>
              <w:jc w:val="left"/>
              <w:rPr>
                <w:rFonts w:ascii="Times New Roman" w:hAnsi="Times New Roman"/>
                <w:sz w:val="24"/>
              </w:rPr>
            </w:pPr>
            <w:r w:rsidRPr="00E07C9A">
              <w:rPr>
                <w:rFonts w:ascii="Times New Roman" w:hAnsi="Times New Roman"/>
                <w:sz w:val="24"/>
              </w:rPr>
              <w:t>žiadny kolaterál, investor využíva dodatočnú záruku ktoréhokoľvek zo subjektov, ktorý sa kvalifikuje pre rizikovú váhu 0</w:t>
            </w:r>
            <w:r w:rsidR="009912F8" w:rsidRPr="00E07C9A">
              <w:rPr>
                <w:rFonts w:ascii="Times New Roman" w:hAnsi="Times New Roman"/>
              </w:rPr>
              <w:t> %</w:t>
            </w:r>
            <w:r w:rsidRPr="00E07C9A">
              <w:rPr>
                <w:rFonts w:ascii="Times New Roman" w:hAnsi="Times New Roman"/>
                <w:sz w:val="24"/>
              </w:rPr>
              <w:t>.</w:t>
            </w:r>
            <w:r w:rsidRPr="00E07C9A">
              <w:rPr>
                <w:rFonts w:ascii="Times New Roman" w:hAnsi="Times New Roman"/>
              </w:rPr>
              <w:t xml:space="preserve"> </w:t>
            </w:r>
            <w:r w:rsidRPr="00E07C9A">
              <w:rPr>
                <w:rFonts w:ascii="Times New Roman" w:hAnsi="Times New Roman"/>
              </w:rPr>
              <w:br/>
            </w:r>
            <w:r w:rsidRPr="00E07C9A">
              <w:rPr>
                <w:rFonts w:ascii="Times New Roman" w:hAnsi="Times New Roman"/>
                <w:sz w:val="24"/>
              </w:rPr>
              <w:t>Článok 26e ods. 8 písm. b) nariadenia (EÚ) 2017/2402,</w:t>
            </w:r>
          </w:p>
          <w:p w14:paraId="676C1CAC" w14:textId="77777777" w:rsidR="009912F8" w:rsidRPr="00E07C9A" w:rsidRDefault="00D5668A" w:rsidP="005C4397">
            <w:pPr>
              <w:pStyle w:val="ListParagraph"/>
              <w:numPr>
                <w:ilvl w:val="0"/>
                <w:numId w:val="25"/>
              </w:numPr>
              <w:spacing w:before="0" w:after="0"/>
              <w:jc w:val="left"/>
              <w:rPr>
                <w:rFonts w:ascii="Times New Roman" w:hAnsi="Times New Roman"/>
                <w:sz w:val="24"/>
              </w:rPr>
            </w:pPr>
            <w:r w:rsidRPr="00E07C9A">
              <w:rPr>
                <w:rFonts w:ascii="Times New Roman" w:hAnsi="Times New Roman"/>
                <w:sz w:val="24"/>
              </w:rPr>
              <w:t>iné druhy kolaterálu: dlhové cenné papiere, ktoré nie sú</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článkom 26e nariadenia (EÚ) 2017/2402,</w:t>
            </w:r>
          </w:p>
          <w:p w14:paraId="1E0A6B55" w14:textId="77777777" w:rsidR="009912F8" w:rsidRPr="00E07C9A" w:rsidRDefault="00D5668A" w:rsidP="005C4397">
            <w:pPr>
              <w:pStyle w:val="ListParagraph"/>
              <w:numPr>
                <w:ilvl w:val="0"/>
                <w:numId w:val="25"/>
              </w:numPr>
              <w:spacing w:before="0" w:after="0"/>
              <w:jc w:val="left"/>
              <w:rPr>
                <w:rFonts w:ascii="Times New Roman" w:hAnsi="Times New Roman"/>
                <w:sz w:val="24"/>
              </w:rPr>
            </w:pPr>
            <w:r w:rsidRPr="00E07C9A">
              <w:rPr>
                <w:rFonts w:ascii="Times New Roman" w:hAnsi="Times New Roman"/>
                <w:sz w:val="24"/>
              </w:rPr>
              <w:t>iné druhy kolaterálu: hotovosť, ktorá nie je</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článkom 26e nariadenia (EÚ) 2017/2402,</w:t>
            </w:r>
          </w:p>
          <w:p w14:paraId="7F664E2F" w14:textId="5AA721E4" w:rsidR="00D5668A" w:rsidRPr="00E07C9A" w:rsidRDefault="00D5668A" w:rsidP="005C4397">
            <w:pPr>
              <w:pStyle w:val="ListParagraph"/>
              <w:numPr>
                <w:ilvl w:val="0"/>
                <w:numId w:val="25"/>
              </w:numPr>
              <w:spacing w:before="0" w:after="0"/>
              <w:jc w:val="left"/>
              <w:rPr>
                <w:rFonts w:ascii="Times New Roman" w:hAnsi="Times New Roman"/>
                <w:sz w:val="24"/>
              </w:rPr>
            </w:pPr>
            <w:r w:rsidRPr="00E07C9A">
              <w:rPr>
                <w:rFonts w:ascii="Times New Roman" w:hAnsi="Times New Roman"/>
                <w:sz w:val="24"/>
              </w:rPr>
              <w:t>žiadny kolaterál, nie je</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STS kritériami pre súvahové sekuritizácie.</w:t>
            </w:r>
            <w:r w:rsidRPr="00E07C9A">
              <w:rPr>
                <w:rFonts w:ascii="Times New Roman" w:hAnsi="Times New Roman"/>
              </w:rPr>
              <w:t xml:space="preserve"> </w:t>
            </w:r>
            <w:r w:rsidRPr="00E07C9A">
              <w:rPr>
                <w:rFonts w:ascii="Times New Roman" w:hAnsi="Times New Roman"/>
              </w:rPr>
              <w:br/>
            </w:r>
            <w:r w:rsidRPr="00E07C9A">
              <w:rPr>
                <w:rFonts w:ascii="Times New Roman" w:hAnsi="Times New Roman"/>
                <w:sz w:val="24"/>
              </w:rPr>
              <w:t>Prípady rozdielne od tých prípadov,</w:t>
            </w:r>
            <w:r w:rsidR="009912F8" w:rsidRPr="00E07C9A">
              <w:rPr>
                <w:rFonts w:ascii="Times New Roman" w:hAnsi="Times New Roman"/>
                <w:sz w:val="24"/>
              </w:rPr>
              <w:t xml:space="preserve"> v </w:t>
            </w:r>
            <w:r w:rsidRPr="00E07C9A">
              <w:rPr>
                <w:rFonts w:ascii="Times New Roman" w:hAnsi="Times New Roman"/>
                <w:sz w:val="24"/>
              </w:rPr>
              <w:t>ktorých neexistuje žiadny kolaterál, ale investor sa kvalifikuje pre rizikovú váhu 0</w:t>
            </w:r>
            <w:r w:rsidR="009912F8" w:rsidRPr="00E07C9A">
              <w:rPr>
                <w:rFonts w:ascii="Times New Roman" w:hAnsi="Times New Roman"/>
              </w:rPr>
              <w:t> %</w:t>
            </w:r>
            <w:r w:rsidRPr="00E07C9A">
              <w:rPr>
                <w:rFonts w:ascii="Times New Roman" w:hAnsi="Times New Roman"/>
                <w:sz w:val="24"/>
              </w:rPr>
              <w:t xml:space="preserve"> alebo využíva dodatočnú záruku ktoréhokoľvek zo subjektov, ktorý sa kvalifikuje pre rizikovú váhu 0</w:t>
            </w:r>
            <w:r w:rsidR="009912F8" w:rsidRPr="00E07C9A">
              <w:rPr>
                <w:rFonts w:ascii="Times New Roman" w:hAnsi="Times New Roman"/>
              </w:rPr>
              <w:t> %</w:t>
            </w:r>
            <w:r w:rsidRPr="00E07C9A">
              <w:rPr>
                <w:rFonts w:ascii="Times New Roman" w:hAnsi="Times New Roman"/>
                <w:sz w:val="24"/>
              </w:rPr>
              <w:t>.</w:t>
            </w:r>
          </w:p>
          <w:p w14:paraId="4583F100" w14:textId="08E18543" w:rsidR="009E5CC6" w:rsidRPr="00E07C9A" w:rsidRDefault="009E5CC6" w:rsidP="007421F4">
            <w:pPr>
              <w:spacing w:before="0" w:after="0"/>
              <w:jc w:val="left"/>
              <w:rPr>
                <w:rFonts w:ascii="Times New Roman" w:hAnsi="Times New Roman"/>
                <w:sz w:val="24"/>
              </w:rPr>
            </w:pPr>
          </w:p>
          <w:p w14:paraId="4EC203A7" w14:textId="7CC116AF" w:rsidR="009E5CC6" w:rsidRPr="00E07C9A" w:rsidRDefault="009E5CC6" w:rsidP="007421F4">
            <w:pPr>
              <w:spacing w:before="0" w:after="0"/>
              <w:jc w:val="left"/>
              <w:rPr>
                <w:rFonts w:ascii="Times New Roman" w:hAnsi="Times New Roman"/>
                <w:sz w:val="24"/>
              </w:rPr>
            </w:pPr>
            <w:r w:rsidRPr="00E07C9A">
              <w:rPr>
                <w:rFonts w:ascii="Times New Roman" w:hAnsi="Times New Roman"/>
                <w:sz w:val="24"/>
              </w:rPr>
              <w:t>Tento stĺpec sa vykazuje len vtedy, ak sa stĺpec 0040 vykazuje ako „syntetická transakcia“.</w:t>
            </w:r>
          </w:p>
          <w:p w14:paraId="07B0ACF1" w14:textId="56F659E2" w:rsidR="009E5CC6" w:rsidRPr="00E07C9A" w:rsidRDefault="009E5CC6" w:rsidP="007421F4">
            <w:pPr>
              <w:spacing w:before="0" w:after="0"/>
              <w:jc w:val="left"/>
              <w:rPr>
                <w:rFonts w:ascii="Times New Roman" w:hAnsi="Times New Roman"/>
                <w:b/>
                <w:sz w:val="24"/>
                <w:u w:val="single"/>
              </w:rPr>
            </w:pPr>
          </w:p>
        </w:tc>
      </w:tr>
      <w:tr w:rsidR="007421F4" w:rsidRPr="00E07C9A" w14:paraId="071A0F6A" w14:textId="77777777" w:rsidTr="00E10B85">
        <w:tc>
          <w:tcPr>
            <w:tcW w:w="1101" w:type="dxa"/>
          </w:tcPr>
          <w:p w14:paraId="614BB0D7" w14:textId="77777777" w:rsidR="007421F4" w:rsidRPr="00E07C9A" w:rsidRDefault="007421F4" w:rsidP="007421F4">
            <w:pPr>
              <w:autoSpaceDE w:val="0"/>
              <w:autoSpaceDN w:val="0"/>
              <w:adjustRightInd w:val="0"/>
              <w:spacing w:before="0" w:after="0"/>
              <w:rPr>
                <w:rFonts w:ascii="Times New Roman" w:hAnsi="Times New Roman"/>
                <w:sz w:val="24"/>
              </w:rPr>
            </w:pPr>
            <w:r w:rsidRPr="00E07C9A">
              <w:rPr>
                <w:rFonts w:ascii="Times New Roman" w:hAnsi="Times New Roman"/>
                <w:sz w:val="24"/>
              </w:rPr>
              <w:t>0080 – 0100</w:t>
            </w:r>
          </w:p>
        </w:tc>
        <w:tc>
          <w:tcPr>
            <w:tcW w:w="7903" w:type="dxa"/>
          </w:tcPr>
          <w:p w14:paraId="2FCC1474" w14:textId="77777777" w:rsidR="007421F4" w:rsidRPr="00E07C9A" w:rsidRDefault="007421F4" w:rsidP="007421F4">
            <w:pPr>
              <w:spacing w:before="0" w:after="0"/>
              <w:jc w:val="left"/>
              <w:rPr>
                <w:rFonts w:ascii="Times New Roman" w:hAnsi="Times New Roman"/>
                <w:sz w:val="24"/>
              </w:rPr>
            </w:pPr>
            <w:r w:rsidRPr="00E07C9A">
              <w:rPr>
                <w:rFonts w:ascii="Times New Roman" w:hAnsi="Times New Roman"/>
                <w:b/>
                <w:sz w:val="24"/>
                <w:u w:val="single"/>
              </w:rPr>
              <w:t>PONECHANIE SI</w:t>
            </w:r>
          </w:p>
          <w:p w14:paraId="433972A4" w14:textId="77777777" w:rsidR="007421F4" w:rsidRPr="00E07C9A" w:rsidRDefault="007421F4" w:rsidP="007421F4">
            <w:pPr>
              <w:spacing w:before="0" w:after="0"/>
              <w:rPr>
                <w:rFonts w:ascii="Times New Roman" w:hAnsi="Times New Roman"/>
                <w:sz w:val="24"/>
              </w:rPr>
            </w:pPr>
          </w:p>
          <w:p w14:paraId="293EA3E0" w14:textId="5BF7C5DA" w:rsidR="009912F8" w:rsidRPr="00E07C9A" w:rsidRDefault="007421F4" w:rsidP="007421F4">
            <w:pPr>
              <w:spacing w:before="0"/>
              <w:rPr>
                <w:rFonts w:ascii="Times New Roman" w:hAnsi="Times New Roman"/>
                <w:sz w:val="24"/>
              </w:rPr>
            </w:pPr>
            <w:r w:rsidRPr="00E07C9A">
              <w:rPr>
                <w:rFonts w:ascii="Times New Roman" w:hAnsi="Times New Roman"/>
                <w:sz w:val="24"/>
              </w:rPr>
              <w:t xml:space="preserve">Článok 6 nariadenia (EÚ) 2017/2402; ak sa uplatňuje článok 43 ods. 6 nariadenia (EÚ) 2017/2402, uplatňuje sa článok 405 nariadenia (EÚ) </w:t>
            </w:r>
            <w:r w:rsidR="009912F8" w:rsidRPr="00E07C9A">
              <w:rPr>
                <w:rFonts w:ascii="Times New Roman" w:hAnsi="Times New Roman"/>
                <w:sz w:val="24"/>
              </w:rPr>
              <w:t>č. 575/2013</w:t>
            </w:r>
            <w:r w:rsidRPr="00E07C9A">
              <w:rPr>
                <w:rFonts w:ascii="Times New Roman" w:hAnsi="Times New Roman"/>
                <w:sz w:val="24"/>
              </w:rPr>
              <w:t xml:space="preserve"> vo verzii, ktorá bola uplatniteľná</w:t>
            </w:r>
            <w:r w:rsidR="009912F8" w:rsidRPr="00E07C9A">
              <w:rPr>
                <w:rFonts w:ascii="Times New Roman" w:hAnsi="Times New Roman"/>
                <w:sz w:val="24"/>
              </w:rPr>
              <w:t xml:space="preserve"> k </w:t>
            </w:r>
            <w:r w:rsidRPr="00E07C9A">
              <w:rPr>
                <w:rFonts w:ascii="Times New Roman" w:hAnsi="Times New Roman"/>
                <w:sz w:val="24"/>
              </w:rPr>
              <w:t>31. decembru 2018</w:t>
            </w:r>
            <w:r w:rsidR="009912F8" w:rsidRPr="00E07C9A">
              <w:rPr>
                <w:rFonts w:ascii="Times New Roman" w:hAnsi="Times New Roman"/>
                <w:sz w:val="24"/>
              </w:rPr>
              <w:t>.</w:t>
            </w:r>
          </w:p>
          <w:p w14:paraId="47C5B769" w14:textId="51DD136A" w:rsidR="007421F4" w:rsidRPr="00E07C9A" w:rsidRDefault="007421F4" w:rsidP="007421F4">
            <w:pPr>
              <w:spacing w:before="0" w:after="0"/>
              <w:jc w:val="left"/>
              <w:rPr>
                <w:rFonts w:ascii="Times New Roman" w:hAnsi="Times New Roman"/>
                <w:sz w:val="24"/>
              </w:rPr>
            </w:pPr>
          </w:p>
        </w:tc>
      </w:tr>
      <w:tr w:rsidR="007421F4" w:rsidRPr="00E07C9A" w14:paraId="0098BFF6" w14:textId="77777777" w:rsidTr="00E10B85">
        <w:tc>
          <w:tcPr>
            <w:tcW w:w="1101" w:type="dxa"/>
          </w:tcPr>
          <w:p w14:paraId="0DCE07F0" w14:textId="77777777" w:rsidR="007421F4" w:rsidRPr="00E07C9A" w:rsidRDefault="007421F4" w:rsidP="007421F4">
            <w:pPr>
              <w:autoSpaceDE w:val="0"/>
              <w:autoSpaceDN w:val="0"/>
              <w:adjustRightInd w:val="0"/>
              <w:spacing w:before="0" w:after="0"/>
              <w:rPr>
                <w:rFonts w:ascii="Times New Roman" w:hAnsi="Times New Roman"/>
                <w:bCs/>
                <w:sz w:val="24"/>
              </w:rPr>
            </w:pPr>
            <w:r w:rsidRPr="00E07C9A">
              <w:rPr>
                <w:rFonts w:ascii="Times New Roman" w:hAnsi="Times New Roman"/>
                <w:sz w:val="24"/>
              </w:rPr>
              <w:t>0080</w:t>
            </w:r>
          </w:p>
        </w:tc>
        <w:tc>
          <w:tcPr>
            <w:tcW w:w="7903" w:type="dxa"/>
          </w:tcPr>
          <w:p w14:paraId="34133F08" w14:textId="77777777" w:rsidR="007421F4" w:rsidRPr="00E07C9A" w:rsidRDefault="007421F4" w:rsidP="007421F4">
            <w:pPr>
              <w:spacing w:before="0" w:after="0"/>
              <w:jc w:val="left"/>
              <w:rPr>
                <w:rFonts w:ascii="Times New Roman" w:hAnsi="Times New Roman"/>
                <w:b/>
                <w:sz w:val="24"/>
                <w:u w:val="single"/>
              </w:rPr>
            </w:pPr>
            <w:r w:rsidRPr="00E07C9A">
              <w:rPr>
                <w:rFonts w:ascii="Times New Roman" w:hAnsi="Times New Roman"/>
                <w:b/>
                <w:sz w:val="24"/>
                <w:u w:val="single"/>
              </w:rPr>
              <w:t>TYP UPLATNENÉHO PONECHANIA SI</w:t>
            </w:r>
          </w:p>
          <w:p w14:paraId="6165DC43" w14:textId="77777777" w:rsidR="007421F4" w:rsidRPr="00E07C9A" w:rsidRDefault="007421F4" w:rsidP="007421F4">
            <w:pPr>
              <w:spacing w:before="0" w:after="0"/>
              <w:jc w:val="left"/>
              <w:rPr>
                <w:rFonts w:ascii="Times New Roman" w:hAnsi="Times New Roman"/>
                <w:sz w:val="24"/>
              </w:rPr>
            </w:pPr>
          </w:p>
          <w:p w14:paraId="1BBFE5B0" w14:textId="4FAEF31F" w:rsidR="007421F4" w:rsidRPr="00E07C9A" w:rsidRDefault="007421F4" w:rsidP="007421F4">
            <w:pPr>
              <w:spacing w:before="0" w:after="0"/>
              <w:rPr>
                <w:rFonts w:ascii="Times New Roman" w:hAnsi="Times New Roman"/>
                <w:sz w:val="24"/>
              </w:rPr>
            </w:pPr>
            <w:r w:rsidRPr="00E07C9A">
              <w:rPr>
                <w:rFonts w:ascii="Times New Roman" w:hAnsi="Times New Roman"/>
                <w:sz w:val="24"/>
              </w:rPr>
              <w:t>Pre každú vzniknutú sekuritizačnú schému sa vykazuje príslušný typ ponechania si čistého hospodárskeho podielu, ako sa uvádza</w:t>
            </w:r>
            <w:r w:rsidR="009912F8" w:rsidRPr="00E07C9A">
              <w:rPr>
                <w:rFonts w:ascii="Times New Roman" w:hAnsi="Times New Roman"/>
                <w:sz w:val="24"/>
              </w:rPr>
              <w:t xml:space="preserve"> v </w:t>
            </w:r>
            <w:r w:rsidRPr="00E07C9A">
              <w:rPr>
                <w:rFonts w:ascii="Times New Roman" w:hAnsi="Times New Roman"/>
                <w:sz w:val="24"/>
              </w:rPr>
              <w:t>článku 6 nariadenia (EÚ) 2017/2402:</w:t>
            </w:r>
          </w:p>
          <w:p w14:paraId="2BDB4145" w14:textId="77777777" w:rsidR="007421F4" w:rsidRPr="00E07C9A" w:rsidRDefault="007421F4" w:rsidP="007421F4">
            <w:pPr>
              <w:spacing w:before="0" w:after="0"/>
              <w:rPr>
                <w:rFonts w:ascii="Times New Roman" w:hAnsi="Times New Roman"/>
                <w:sz w:val="24"/>
              </w:rPr>
            </w:pPr>
          </w:p>
          <w:p w14:paraId="1563AD9D" w14:textId="28D86739" w:rsidR="007421F4" w:rsidRPr="00E07C9A" w:rsidRDefault="007421F4" w:rsidP="007421F4">
            <w:pPr>
              <w:spacing w:before="0" w:after="0"/>
              <w:rPr>
                <w:rFonts w:ascii="Times New Roman" w:hAnsi="Times New Roman"/>
                <w:sz w:val="24"/>
              </w:rPr>
            </w:pPr>
            <w:r w:rsidRPr="00E07C9A">
              <w:rPr>
                <w:rFonts w:ascii="Times New Roman" w:hAnsi="Times New Roman"/>
                <w:sz w:val="24"/>
              </w:rPr>
              <w:t xml:space="preserve">A – vertikálna časť (sekuritizačné pozície): </w:t>
            </w:r>
            <w:r w:rsidRPr="00E07C9A">
              <w:rPr>
                <w:rFonts w:ascii="Times New Roman" w:hAnsi="Times New Roman"/>
                <w:i/>
                <w:sz w:val="24"/>
              </w:rPr>
              <w:t>„ponechanie si najmenej 5</w:t>
            </w:r>
            <w:r w:rsidR="009912F8" w:rsidRPr="00E07C9A">
              <w:rPr>
                <w:rFonts w:ascii="Times New Roman" w:hAnsi="Times New Roman"/>
                <w:i/>
                <w:sz w:val="24"/>
              </w:rPr>
              <w:t> %</w:t>
            </w:r>
            <w:r w:rsidRPr="00E07C9A">
              <w:rPr>
                <w:rFonts w:ascii="Times New Roman" w:hAnsi="Times New Roman"/>
                <w:i/>
                <w:sz w:val="24"/>
              </w:rPr>
              <w:t xml:space="preserve"> nominálnej hodnoty každej</w:t>
            </w:r>
            <w:r w:rsidR="009912F8" w:rsidRPr="00E07C9A">
              <w:rPr>
                <w:rFonts w:ascii="Times New Roman" w:hAnsi="Times New Roman"/>
                <w:i/>
                <w:sz w:val="24"/>
              </w:rPr>
              <w:t xml:space="preserve"> z </w:t>
            </w:r>
            <w:r w:rsidRPr="00E07C9A">
              <w:rPr>
                <w:rFonts w:ascii="Times New Roman" w:hAnsi="Times New Roman"/>
                <w:i/>
                <w:sz w:val="24"/>
              </w:rPr>
              <w:t>tranží predaných investorom alebo prevedených na investorov“;</w:t>
            </w:r>
          </w:p>
          <w:p w14:paraId="2C0826B2" w14:textId="77777777" w:rsidR="007421F4" w:rsidRPr="00E07C9A" w:rsidRDefault="007421F4" w:rsidP="007421F4">
            <w:pPr>
              <w:spacing w:before="0" w:after="0"/>
              <w:rPr>
                <w:rFonts w:ascii="Times New Roman" w:hAnsi="Times New Roman"/>
                <w:sz w:val="24"/>
              </w:rPr>
            </w:pPr>
          </w:p>
          <w:p w14:paraId="4FC13927" w14:textId="489FB9FC" w:rsidR="007421F4" w:rsidRPr="00E07C9A" w:rsidRDefault="007421F4" w:rsidP="007421F4">
            <w:pPr>
              <w:spacing w:before="0" w:after="0"/>
              <w:rPr>
                <w:rFonts w:ascii="Times New Roman" w:hAnsi="Times New Roman"/>
                <w:sz w:val="24"/>
              </w:rPr>
            </w:pPr>
            <w:r w:rsidRPr="00E07C9A">
              <w:rPr>
                <w:rFonts w:ascii="Times New Roman" w:hAnsi="Times New Roman"/>
                <w:sz w:val="24"/>
              </w:rPr>
              <w:t>V – vertikálna časť (sekuritizované expozície): ponechanie si najmenej</w:t>
            </w:r>
            <w:r w:rsidRPr="00E07C9A">
              <w:rPr>
                <w:rFonts w:ascii="Times New Roman" w:hAnsi="Times New Roman"/>
                <w:i/>
                <w:sz w:val="24"/>
              </w:rPr>
              <w:t xml:space="preserve"> </w:t>
            </w:r>
            <w:r w:rsidRPr="00E07C9A">
              <w:rPr>
                <w:rFonts w:ascii="Times New Roman" w:hAnsi="Times New Roman"/>
                <w:sz w:val="24"/>
              </w:rPr>
              <w:t>5</w:t>
            </w:r>
            <w:r w:rsidR="009912F8" w:rsidRPr="00E07C9A">
              <w:rPr>
                <w:rFonts w:ascii="Times New Roman" w:hAnsi="Times New Roman"/>
                <w:sz w:val="24"/>
              </w:rPr>
              <w:t> %</w:t>
            </w:r>
            <w:r w:rsidRPr="00E07C9A">
              <w:rPr>
                <w:rFonts w:ascii="Times New Roman" w:hAnsi="Times New Roman"/>
                <w:sz w:val="24"/>
              </w:rPr>
              <w:t xml:space="preserve"> kreditného rizika každej sekuritizovanej expozície, ak takto ponechané kreditné riziko vo vzťahu</w:t>
            </w:r>
            <w:r w:rsidR="009912F8" w:rsidRPr="00E07C9A">
              <w:rPr>
                <w:rFonts w:ascii="Times New Roman" w:hAnsi="Times New Roman"/>
                <w:sz w:val="24"/>
              </w:rPr>
              <w:t xml:space="preserve"> k </w:t>
            </w:r>
            <w:r w:rsidRPr="00E07C9A">
              <w:rPr>
                <w:rFonts w:ascii="Times New Roman" w:hAnsi="Times New Roman"/>
                <w:sz w:val="24"/>
              </w:rPr>
              <w:t xml:space="preserve">týmto sekuritizovaným expozíciám je vždy </w:t>
            </w:r>
            <w:r w:rsidRPr="00E07C9A">
              <w:rPr>
                <w:rFonts w:ascii="Times New Roman" w:hAnsi="Times New Roman"/>
                <w:i/>
                <w:sz w:val="24"/>
              </w:rPr>
              <w:t>rovnocenné</w:t>
            </w:r>
            <w:r w:rsidR="009912F8" w:rsidRPr="00E07C9A">
              <w:rPr>
                <w:rFonts w:ascii="Times New Roman" w:hAnsi="Times New Roman"/>
                <w:sz w:val="24"/>
              </w:rPr>
              <w:t xml:space="preserve"> s </w:t>
            </w:r>
            <w:r w:rsidRPr="00E07C9A">
              <w:rPr>
                <w:rFonts w:ascii="Times New Roman" w:hAnsi="Times New Roman"/>
                <w:sz w:val="24"/>
              </w:rPr>
              <w:t>kreditným rizikom, ktoré sa sekuritizovalo vo vzťahu</w:t>
            </w:r>
            <w:r w:rsidR="009912F8" w:rsidRPr="00E07C9A">
              <w:rPr>
                <w:rFonts w:ascii="Times New Roman" w:hAnsi="Times New Roman"/>
                <w:sz w:val="24"/>
              </w:rPr>
              <w:t xml:space="preserve"> k </w:t>
            </w:r>
            <w:r w:rsidRPr="00E07C9A">
              <w:rPr>
                <w:rFonts w:ascii="Times New Roman" w:hAnsi="Times New Roman"/>
                <w:sz w:val="24"/>
              </w:rPr>
              <w:t>tým istým expozíciám, alebo mu je podriadené;</w:t>
            </w:r>
          </w:p>
          <w:p w14:paraId="42BA79BD" w14:textId="77777777" w:rsidR="007421F4" w:rsidRPr="00E07C9A" w:rsidRDefault="007421F4" w:rsidP="007421F4">
            <w:pPr>
              <w:spacing w:before="0" w:after="0"/>
              <w:rPr>
                <w:rFonts w:ascii="Times New Roman" w:hAnsi="Times New Roman"/>
                <w:sz w:val="24"/>
              </w:rPr>
            </w:pPr>
          </w:p>
          <w:p w14:paraId="7D15DBDF" w14:textId="7AE90DAE" w:rsidR="009912F8" w:rsidRPr="00E07C9A" w:rsidRDefault="007421F4" w:rsidP="007421F4">
            <w:pPr>
              <w:spacing w:before="0" w:after="0"/>
              <w:rPr>
                <w:rFonts w:ascii="Times New Roman" w:hAnsi="Times New Roman"/>
                <w:sz w:val="24"/>
              </w:rPr>
            </w:pPr>
            <w:r w:rsidRPr="00E07C9A">
              <w:rPr>
                <w:rFonts w:ascii="Times New Roman" w:hAnsi="Times New Roman"/>
                <w:sz w:val="24"/>
              </w:rPr>
              <w:t>B – revolvingové expozície: „</w:t>
            </w:r>
            <w:r w:rsidRPr="00E07C9A">
              <w:rPr>
                <w:rFonts w:ascii="Times New Roman" w:hAnsi="Times New Roman"/>
                <w:i/>
                <w:sz w:val="24"/>
              </w:rPr>
              <w:t>v prípade sekuritizácií revolvingových expozícií ponechanie si podielu originátora vo výške najmenej 5</w:t>
            </w:r>
            <w:r w:rsidR="009912F8" w:rsidRPr="00E07C9A">
              <w:rPr>
                <w:rFonts w:ascii="Times New Roman" w:hAnsi="Times New Roman"/>
                <w:i/>
                <w:sz w:val="24"/>
              </w:rPr>
              <w:t> %</w:t>
            </w:r>
            <w:r w:rsidRPr="00E07C9A">
              <w:rPr>
                <w:rFonts w:ascii="Times New Roman" w:hAnsi="Times New Roman"/>
                <w:i/>
                <w:sz w:val="24"/>
              </w:rPr>
              <w:t xml:space="preserve"> nominálnej hodnoty sekuritizovaných expozícií</w:t>
            </w:r>
            <w:r w:rsidRPr="00E07C9A">
              <w:rPr>
                <w:rFonts w:ascii="Times New Roman" w:hAnsi="Times New Roman"/>
                <w:sz w:val="24"/>
              </w:rPr>
              <w:t>“</w:t>
            </w:r>
            <w:r w:rsidR="009912F8" w:rsidRPr="00E07C9A">
              <w:rPr>
                <w:rFonts w:ascii="Times New Roman" w:hAnsi="Times New Roman"/>
                <w:sz w:val="24"/>
              </w:rPr>
              <w:t>;</w:t>
            </w:r>
          </w:p>
          <w:p w14:paraId="6D7D501C" w14:textId="176AF3C0" w:rsidR="007421F4" w:rsidRPr="00E07C9A" w:rsidRDefault="007421F4" w:rsidP="007421F4">
            <w:pPr>
              <w:spacing w:before="0" w:after="0"/>
              <w:rPr>
                <w:rFonts w:ascii="Times New Roman" w:hAnsi="Times New Roman"/>
                <w:sz w:val="24"/>
              </w:rPr>
            </w:pPr>
          </w:p>
          <w:p w14:paraId="7B772154" w14:textId="086CC7FB" w:rsidR="007421F4" w:rsidRPr="00E07C9A" w:rsidRDefault="007421F4" w:rsidP="007421F4">
            <w:pPr>
              <w:spacing w:before="0" w:after="0"/>
              <w:rPr>
                <w:rFonts w:ascii="Times New Roman" w:hAnsi="Times New Roman"/>
                <w:sz w:val="24"/>
              </w:rPr>
            </w:pPr>
            <w:r w:rsidRPr="00E07C9A">
              <w:rPr>
                <w:rFonts w:ascii="Times New Roman" w:hAnsi="Times New Roman"/>
                <w:sz w:val="24"/>
              </w:rPr>
              <w:t>C – súvaha: „</w:t>
            </w:r>
            <w:r w:rsidRPr="00E07C9A">
              <w:rPr>
                <w:rFonts w:ascii="Times New Roman" w:hAnsi="Times New Roman"/>
                <w:i/>
                <w:sz w:val="24"/>
              </w:rPr>
              <w:t>ponechanie si náhodne vybraných expozícií, ktoré predstavujú najmenej 5</w:t>
            </w:r>
            <w:r w:rsidR="009912F8" w:rsidRPr="00E07C9A">
              <w:rPr>
                <w:rFonts w:ascii="Times New Roman" w:hAnsi="Times New Roman"/>
                <w:i/>
                <w:sz w:val="24"/>
              </w:rPr>
              <w:t> %</w:t>
            </w:r>
            <w:r w:rsidRPr="00E07C9A">
              <w:rPr>
                <w:rFonts w:ascii="Times New Roman" w:hAnsi="Times New Roman"/>
                <w:i/>
                <w:sz w:val="24"/>
              </w:rPr>
              <w:t xml:space="preserve"> nominálnej hodnoty sekuritizovaných expozícií, ak by sa takéto expozície inak sekuritizovali</w:t>
            </w:r>
            <w:r w:rsidR="009912F8" w:rsidRPr="00E07C9A">
              <w:rPr>
                <w:rFonts w:ascii="Times New Roman" w:hAnsi="Times New Roman"/>
                <w:i/>
                <w:sz w:val="24"/>
              </w:rPr>
              <w:t xml:space="preserve"> v </w:t>
            </w:r>
            <w:r w:rsidRPr="00E07C9A">
              <w:rPr>
                <w:rFonts w:ascii="Times New Roman" w:hAnsi="Times New Roman"/>
                <w:i/>
                <w:sz w:val="24"/>
              </w:rPr>
              <w:t>rámci sekuritizácie, za predpokladu, že počet potenciálne sekuritizovaných expozícií nie je pri ich vzniku nižší než 100</w:t>
            </w:r>
            <w:r w:rsidRPr="00E07C9A">
              <w:rPr>
                <w:rFonts w:ascii="Times New Roman" w:hAnsi="Times New Roman"/>
                <w:sz w:val="24"/>
              </w:rPr>
              <w:t>“;</w:t>
            </w:r>
          </w:p>
          <w:p w14:paraId="244687BB" w14:textId="77777777" w:rsidR="007421F4" w:rsidRPr="00E07C9A" w:rsidRDefault="007421F4" w:rsidP="007421F4">
            <w:pPr>
              <w:spacing w:before="0" w:after="0"/>
              <w:rPr>
                <w:rFonts w:ascii="Times New Roman" w:hAnsi="Times New Roman"/>
                <w:sz w:val="24"/>
              </w:rPr>
            </w:pPr>
          </w:p>
          <w:p w14:paraId="40D1E048" w14:textId="5B528089" w:rsidR="007421F4" w:rsidRPr="00E07C9A" w:rsidRDefault="007421F4" w:rsidP="007421F4">
            <w:pPr>
              <w:spacing w:before="0" w:after="0"/>
              <w:rPr>
                <w:rFonts w:ascii="Times New Roman" w:hAnsi="Times New Roman"/>
                <w:sz w:val="24"/>
              </w:rPr>
            </w:pPr>
            <w:r w:rsidRPr="00E07C9A">
              <w:rPr>
                <w:rFonts w:ascii="Times New Roman" w:hAnsi="Times New Roman"/>
                <w:sz w:val="24"/>
              </w:rPr>
              <w:t>D – prvá strata: „</w:t>
            </w:r>
            <w:r w:rsidRPr="00E07C9A">
              <w:rPr>
                <w:rFonts w:ascii="Times New Roman" w:hAnsi="Times New Roman"/>
                <w:i/>
                <w:sz w:val="24"/>
              </w:rPr>
              <w:t>ponechanie si tranže prvej straty</w:t>
            </w:r>
            <w:r w:rsidR="009912F8" w:rsidRPr="00E07C9A">
              <w:rPr>
                <w:rFonts w:ascii="Times New Roman" w:hAnsi="Times New Roman"/>
                <w:i/>
                <w:sz w:val="24"/>
              </w:rPr>
              <w:t xml:space="preserve"> a v </w:t>
            </w:r>
            <w:r w:rsidRPr="00E07C9A">
              <w:rPr>
                <w:rFonts w:ascii="Times New Roman" w:hAnsi="Times New Roman"/>
                <w:i/>
                <w:sz w:val="24"/>
              </w:rPr>
              <w:t>prípade potreby iných tranží, ktoré majú rovnaký alebo nepriaznivejší rizikový profil než tranže prevedené na investorov alebo predané investorom</w:t>
            </w:r>
            <w:r w:rsidR="009912F8" w:rsidRPr="00E07C9A">
              <w:rPr>
                <w:rFonts w:ascii="Times New Roman" w:hAnsi="Times New Roman"/>
                <w:i/>
                <w:sz w:val="24"/>
              </w:rPr>
              <w:t xml:space="preserve"> a </w:t>
            </w:r>
            <w:r w:rsidRPr="00E07C9A">
              <w:rPr>
                <w:rFonts w:ascii="Times New Roman" w:hAnsi="Times New Roman"/>
                <w:i/>
                <w:sz w:val="24"/>
              </w:rPr>
              <w:t>ktoré nie sú splatné skôr ako tranže prevedené na investorov alebo predané investorom, aby ponechanie predstavovalo spolu najmenej 5</w:t>
            </w:r>
            <w:r w:rsidR="009912F8" w:rsidRPr="00E07C9A">
              <w:rPr>
                <w:rFonts w:ascii="Times New Roman" w:hAnsi="Times New Roman"/>
                <w:i/>
                <w:sz w:val="24"/>
              </w:rPr>
              <w:t> %</w:t>
            </w:r>
            <w:r w:rsidRPr="00E07C9A">
              <w:rPr>
                <w:rFonts w:ascii="Times New Roman" w:hAnsi="Times New Roman"/>
                <w:i/>
                <w:sz w:val="24"/>
              </w:rPr>
              <w:t xml:space="preserve"> nominálnej hodnoty sekuritizovaných expozícií</w:t>
            </w:r>
            <w:r w:rsidRPr="00E07C9A">
              <w:rPr>
                <w:rFonts w:ascii="Times New Roman" w:hAnsi="Times New Roman"/>
                <w:sz w:val="24"/>
              </w:rPr>
              <w:t>“;</w:t>
            </w:r>
          </w:p>
          <w:p w14:paraId="4E9611B5" w14:textId="77777777" w:rsidR="007421F4" w:rsidRPr="00E07C9A" w:rsidRDefault="007421F4" w:rsidP="007421F4">
            <w:pPr>
              <w:spacing w:before="0" w:after="0"/>
              <w:rPr>
                <w:rFonts w:ascii="Times New Roman" w:hAnsi="Times New Roman"/>
                <w:sz w:val="24"/>
              </w:rPr>
            </w:pPr>
          </w:p>
          <w:p w14:paraId="6E3227A4" w14:textId="77777777" w:rsidR="007421F4" w:rsidRPr="00E07C9A" w:rsidRDefault="007421F4" w:rsidP="007421F4">
            <w:pPr>
              <w:spacing w:before="0" w:after="0"/>
              <w:rPr>
                <w:rFonts w:ascii="Times New Roman" w:hAnsi="Times New Roman"/>
                <w:sz w:val="24"/>
              </w:rPr>
            </w:pPr>
            <w:r w:rsidRPr="00E07C9A">
              <w:rPr>
                <w:rFonts w:ascii="Times New Roman" w:hAnsi="Times New Roman"/>
                <w:sz w:val="24"/>
              </w:rPr>
              <w:t>E – oslobodené. Tento kód sa vykazuje pre sekuritizácie, na ktoré má vplyv uplatňovanie článku 6 ods. 6 nariadenia (EÚ) 2017/2402;</w:t>
            </w:r>
          </w:p>
          <w:p w14:paraId="1527A515" w14:textId="77777777" w:rsidR="007421F4" w:rsidRPr="00E07C9A" w:rsidRDefault="007421F4" w:rsidP="007421F4">
            <w:pPr>
              <w:spacing w:before="0" w:after="0"/>
              <w:rPr>
                <w:rFonts w:ascii="Times New Roman" w:hAnsi="Times New Roman"/>
                <w:sz w:val="24"/>
              </w:rPr>
            </w:pPr>
          </w:p>
          <w:p w14:paraId="2CF4DCB0" w14:textId="540ACB8A" w:rsidR="007421F4" w:rsidRPr="00E07C9A" w:rsidRDefault="007421F4" w:rsidP="007421F4">
            <w:pPr>
              <w:spacing w:before="0" w:after="0"/>
              <w:rPr>
                <w:rFonts w:ascii="Times New Roman" w:hAnsi="Times New Roman"/>
                <w:sz w:val="24"/>
              </w:rPr>
            </w:pPr>
            <w:r w:rsidRPr="00E07C9A">
              <w:rPr>
                <w:rFonts w:ascii="Times New Roman" w:hAnsi="Times New Roman"/>
                <w:sz w:val="24"/>
              </w:rPr>
              <w:t>U –</w:t>
            </w:r>
            <w:r w:rsidR="009912F8" w:rsidRPr="00E07C9A">
              <w:rPr>
                <w:rFonts w:ascii="Times New Roman" w:hAnsi="Times New Roman"/>
                <w:sz w:val="24"/>
              </w:rPr>
              <w:t xml:space="preserve"> v </w:t>
            </w:r>
            <w:r w:rsidRPr="00E07C9A">
              <w:rPr>
                <w:rFonts w:ascii="Times New Roman" w:hAnsi="Times New Roman"/>
                <w:sz w:val="24"/>
              </w:rPr>
              <w:t>rozpore alebo neznáme. Tento kód sa vyplní, keď vykazujúca inštitúcia nevie</w:t>
            </w:r>
            <w:r w:rsidR="009912F8" w:rsidRPr="00E07C9A">
              <w:rPr>
                <w:rFonts w:ascii="Times New Roman" w:hAnsi="Times New Roman"/>
                <w:sz w:val="24"/>
              </w:rPr>
              <w:t xml:space="preserve"> s </w:t>
            </w:r>
            <w:r w:rsidRPr="00E07C9A">
              <w:rPr>
                <w:rFonts w:ascii="Times New Roman" w:hAnsi="Times New Roman"/>
                <w:sz w:val="24"/>
              </w:rPr>
              <w:t>istotou, ktorý typ ponechania si sa uplatňuje, alebo</w:t>
            </w:r>
            <w:r w:rsidR="009912F8" w:rsidRPr="00E07C9A">
              <w:rPr>
                <w:rFonts w:ascii="Times New Roman" w:hAnsi="Times New Roman"/>
                <w:sz w:val="24"/>
              </w:rPr>
              <w:t xml:space="preserve"> v </w:t>
            </w:r>
            <w:r w:rsidRPr="00E07C9A">
              <w:rPr>
                <w:rFonts w:ascii="Times New Roman" w:hAnsi="Times New Roman"/>
                <w:sz w:val="24"/>
              </w:rPr>
              <w:t>prípade porušenia predpisov.</w:t>
            </w:r>
          </w:p>
          <w:p w14:paraId="48C31F68" w14:textId="77777777" w:rsidR="007421F4" w:rsidRPr="00E07C9A" w:rsidRDefault="007421F4" w:rsidP="007421F4">
            <w:pPr>
              <w:autoSpaceDE w:val="0"/>
              <w:autoSpaceDN w:val="0"/>
              <w:adjustRightInd w:val="0"/>
              <w:spacing w:before="0" w:after="0"/>
              <w:jc w:val="left"/>
              <w:rPr>
                <w:rFonts w:ascii="Times New Roman" w:hAnsi="Times New Roman"/>
                <w:sz w:val="24"/>
              </w:rPr>
            </w:pPr>
          </w:p>
        </w:tc>
      </w:tr>
      <w:tr w:rsidR="007421F4" w:rsidRPr="00E07C9A" w14:paraId="45984CAC" w14:textId="77777777" w:rsidTr="00E10B85">
        <w:tc>
          <w:tcPr>
            <w:tcW w:w="1101" w:type="dxa"/>
          </w:tcPr>
          <w:p w14:paraId="7F08F869" w14:textId="77777777" w:rsidR="007421F4" w:rsidRPr="00E07C9A" w:rsidRDefault="007421F4" w:rsidP="007421F4">
            <w:pPr>
              <w:autoSpaceDE w:val="0"/>
              <w:autoSpaceDN w:val="0"/>
              <w:adjustRightInd w:val="0"/>
              <w:spacing w:before="0" w:after="0"/>
              <w:rPr>
                <w:rFonts w:ascii="Times New Roman" w:hAnsi="Times New Roman"/>
                <w:bCs/>
                <w:sz w:val="24"/>
              </w:rPr>
            </w:pPr>
            <w:r w:rsidRPr="00E07C9A">
              <w:rPr>
                <w:rFonts w:ascii="Times New Roman" w:hAnsi="Times New Roman"/>
                <w:sz w:val="24"/>
              </w:rPr>
              <w:t>0090</w:t>
            </w:r>
          </w:p>
        </w:tc>
        <w:tc>
          <w:tcPr>
            <w:tcW w:w="7903" w:type="dxa"/>
          </w:tcPr>
          <w:p w14:paraId="162ECF41" w14:textId="798D0575" w:rsidR="007421F4" w:rsidRPr="00E07C9A" w:rsidRDefault="007421F4" w:rsidP="007421F4">
            <w:pPr>
              <w:spacing w:before="0" w:after="0"/>
              <w:jc w:val="left"/>
              <w:rPr>
                <w:rFonts w:ascii="Times New Roman" w:hAnsi="Times New Roman"/>
                <w:b/>
                <w:sz w:val="24"/>
                <w:u w:val="single"/>
              </w:rPr>
            </w:pPr>
            <w:r w:rsidRPr="00E07C9A">
              <w:rPr>
                <w:rFonts w:ascii="Times New Roman" w:hAnsi="Times New Roman"/>
                <w:b/>
                <w:sz w:val="24"/>
                <w:u w:val="single"/>
              </w:rPr>
              <w:t>% PONECHANIA SI</w:t>
            </w:r>
            <w:r w:rsidR="009912F8" w:rsidRPr="00E07C9A">
              <w:rPr>
                <w:rFonts w:ascii="Times New Roman" w:hAnsi="Times New Roman"/>
                <w:b/>
                <w:sz w:val="24"/>
                <w:u w:val="single"/>
              </w:rPr>
              <w:t xml:space="preserve"> V </w:t>
            </w:r>
            <w:r w:rsidRPr="00E07C9A">
              <w:rPr>
                <w:rFonts w:ascii="Times New Roman" w:hAnsi="Times New Roman"/>
                <w:b/>
                <w:sz w:val="24"/>
                <w:u w:val="single"/>
              </w:rPr>
              <w:t>ČASE VYKAZOVANIA</w:t>
            </w:r>
          </w:p>
          <w:p w14:paraId="1CD1C06A" w14:textId="77777777" w:rsidR="007421F4" w:rsidRPr="00E07C9A" w:rsidRDefault="007421F4" w:rsidP="007421F4">
            <w:pPr>
              <w:spacing w:before="0" w:after="0"/>
              <w:jc w:val="left"/>
              <w:rPr>
                <w:rFonts w:ascii="Times New Roman" w:hAnsi="Times New Roman"/>
                <w:sz w:val="24"/>
              </w:rPr>
            </w:pPr>
          </w:p>
          <w:p w14:paraId="35CF6725" w14:textId="0B5A9C86" w:rsidR="007421F4" w:rsidRPr="00E07C9A" w:rsidRDefault="007421F4" w:rsidP="007421F4">
            <w:pPr>
              <w:spacing w:before="0" w:after="0"/>
              <w:rPr>
                <w:rFonts w:ascii="Times New Roman" w:hAnsi="Times New Roman"/>
                <w:i/>
                <w:sz w:val="24"/>
              </w:rPr>
            </w:pPr>
            <w:r w:rsidRPr="00E07C9A">
              <w:rPr>
                <w:rFonts w:ascii="Times New Roman" w:hAnsi="Times New Roman"/>
                <w:sz w:val="24"/>
              </w:rPr>
              <w:t xml:space="preserve">Ponechanie si </w:t>
            </w:r>
            <w:r w:rsidRPr="00E07C9A">
              <w:rPr>
                <w:rFonts w:ascii="Times New Roman" w:hAnsi="Times New Roman"/>
                <w:i/>
                <w:sz w:val="24"/>
              </w:rPr>
              <w:t>významného čistého hospodárskeho podielu zo strany originátora, sponzora alebo pôvodného veriteľa</w:t>
            </w:r>
            <w:r w:rsidRPr="00E07C9A">
              <w:rPr>
                <w:rFonts w:ascii="Times New Roman" w:hAnsi="Times New Roman"/>
                <w:sz w:val="24"/>
              </w:rPr>
              <w:t xml:space="preserve"> sekuritizácie je najmenej 5</w:t>
            </w:r>
            <w:r w:rsidR="009912F8" w:rsidRPr="00E07C9A">
              <w:rPr>
                <w:rFonts w:ascii="Times New Roman" w:hAnsi="Times New Roman"/>
                <w:sz w:val="24"/>
              </w:rPr>
              <w:t> %</w:t>
            </w:r>
            <w:r w:rsidRPr="00E07C9A">
              <w:rPr>
                <w:rFonts w:ascii="Times New Roman" w:hAnsi="Times New Roman"/>
                <w:sz w:val="24"/>
              </w:rPr>
              <w:t xml:space="preserve"> (k dátumu vzniku).</w:t>
            </w:r>
          </w:p>
          <w:p w14:paraId="70B4B89A" w14:textId="77777777" w:rsidR="007421F4" w:rsidRPr="00E07C9A" w:rsidRDefault="007421F4" w:rsidP="007421F4">
            <w:pPr>
              <w:spacing w:before="0" w:after="0"/>
              <w:rPr>
                <w:rFonts w:ascii="Times New Roman" w:hAnsi="Times New Roman"/>
                <w:i/>
                <w:sz w:val="24"/>
              </w:rPr>
            </w:pPr>
          </w:p>
          <w:p w14:paraId="601AD4B2" w14:textId="2753E67C" w:rsidR="007421F4" w:rsidRPr="00E07C9A" w:rsidRDefault="007421F4" w:rsidP="007421F4">
            <w:pPr>
              <w:autoSpaceDE w:val="0"/>
              <w:autoSpaceDN w:val="0"/>
              <w:adjustRightInd w:val="0"/>
              <w:spacing w:before="0" w:after="0"/>
              <w:rPr>
                <w:rFonts w:ascii="Times New Roman" w:hAnsi="Times New Roman"/>
                <w:i/>
                <w:sz w:val="24"/>
              </w:rPr>
            </w:pPr>
            <w:r w:rsidRPr="00E07C9A">
              <w:rPr>
                <w:rFonts w:ascii="Times New Roman" w:hAnsi="Times New Roman"/>
                <w:sz w:val="24"/>
              </w:rPr>
              <w:t>Tento stĺpec sa nevypĺňa</w:t>
            </w:r>
            <w:r w:rsidR="009912F8" w:rsidRPr="00E07C9A">
              <w:rPr>
                <w:rFonts w:ascii="Times New Roman" w:hAnsi="Times New Roman"/>
                <w:sz w:val="24"/>
              </w:rPr>
              <w:t xml:space="preserve"> v </w:t>
            </w:r>
            <w:r w:rsidRPr="00E07C9A">
              <w:rPr>
                <w:rFonts w:ascii="Times New Roman" w:hAnsi="Times New Roman"/>
                <w:sz w:val="24"/>
              </w:rPr>
              <w:t>prípade, že</w:t>
            </w:r>
            <w:r w:rsidR="009912F8" w:rsidRPr="00E07C9A">
              <w:rPr>
                <w:rFonts w:ascii="Times New Roman" w:hAnsi="Times New Roman"/>
                <w:sz w:val="24"/>
              </w:rPr>
              <w:t xml:space="preserve"> v </w:t>
            </w:r>
            <w:r w:rsidRPr="00E07C9A">
              <w:rPr>
                <w:rFonts w:ascii="Times New Roman" w:hAnsi="Times New Roman"/>
                <w:sz w:val="24"/>
              </w:rPr>
              <w:t>stĺpci 0080 (Typ uplatneného ponechania si) sa vykázal kód „E“ (oslobodené).</w:t>
            </w:r>
          </w:p>
          <w:p w14:paraId="005E881C" w14:textId="77777777" w:rsidR="007421F4" w:rsidRPr="00E07C9A" w:rsidRDefault="007421F4" w:rsidP="007421F4">
            <w:pPr>
              <w:spacing w:before="0" w:after="0"/>
              <w:jc w:val="left"/>
              <w:rPr>
                <w:rFonts w:ascii="Times New Roman" w:hAnsi="Times New Roman"/>
                <w:sz w:val="24"/>
              </w:rPr>
            </w:pPr>
          </w:p>
        </w:tc>
      </w:tr>
      <w:tr w:rsidR="007421F4" w:rsidRPr="00E07C9A" w14:paraId="01882A0E" w14:textId="77777777" w:rsidTr="00E10B85">
        <w:tc>
          <w:tcPr>
            <w:tcW w:w="1101" w:type="dxa"/>
          </w:tcPr>
          <w:p w14:paraId="7EC24CA8" w14:textId="77777777" w:rsidR="007421F4" w:rsidRPr="00E07C9A" w:rsidRDefault="007421F4" w:rsidP="007421F4">
            <w:pPr>
              <w:autoSpaceDE w:val="0"/>
              <w:autoSpaceDN w:val="0"/>
              <w:adjustRightInd w:val="0"/>
              <w:spacing w:before="0" w:after="0"/>
              <w:rPr>
                <w:rFonts w:ascii="Times New Roman" w:hAnsi="Times New Roman"/>
                <w:bCs/>
                <w:sz w:val="24"/>
              </w:rPr>
            </w:pPr>
            <w:r w:rsidRPr="00E07C9A">
              <w:rPr>
                <w:rFonts w:ascii="Times New Roman" w:hAnsi="Times New Roman"/>
                <w:sz w:val="24"/>
              </w:rPr>
              <w:t>0100</w:t>
            </w:r>
          </w:p>
        </w:tc>
        <w:tc>
          <w:tcPr>
            <w:tcW w:w="7903" w:type="dxa"/>
          </w:tcPr>
          <w:p w14:paraId="7F03C004" w14:textId="77777777" w:rsidR="007421F4" w:rsidRPr="00E07C9A" w:rsidRDefault="007421F4" w:rsidP="007421F4">
            <w:pPr>
              <w:spacing w:before="0" w:after="0"/>
              <w:jc w:val="left"/>
              <w:rPr>
                <w:rFonts w:ascii="Times New Roman" w:hAnsi="Times New Roman"/>
                <w:b/>
                <w:sz w:val="24"/>
                <w:u w:val="single"/>
              </w:rPr>
            </w:pPr>
            <w:r w:rsidRPr="00E07C9A">
              <w:rPr>
                <w:rFonts w:ascii="Times New Roman" w:hAnsi="Times New Roman"/>
                <w:b/>
                <w:sz w:val="24"/>
                <w:u w:val="single"/>
              </w:rPr>
              <w:t>DODRŽIAVANIE POŽIADAVKY NA PONECHANIE SI?</w:t>
            </w:r>
          </w:p>
          <w:p w14:paraId="4DEA4460" w14:textId="77777777" w:rsidR="007421F4" w:rsidRPr="00E07C9A" w:rsidRDefault="007421F4" w:rsidP="007421F4">
            <w:pPr>
              <w:spacing w:before="0" w:after="0"/>
              <w:jc w:val="left"/>
              <w:rPr>
                <w:rFonts w:ascii="Times New Roman" w:hAnsi="Times New Roman"/>
                <w:b/>
                <w:sz w:val="24"/>
                <w:u w:val="single"/>
              </w:rPr>
            </w:pPr>
          </w:p>
          <w:p w14:paraId="2F4DF882" w14:textId="77777777" w:rsidR="007421F4" w:rsidRPr="00E07C9A" w:rsidRDefault="007421F4" w:rsidP="007421F4">
            <w:pPr>
              <w:spacing w:before="0" w:after="0"/>
              <w:jc w:val="left"/>
              <w:rPr>
                <w:rFonts w:ascii="Times New Roman" w:hAnsi="Times New Roman"/>
                <w:sz w:val="24"/>
              </w:rPr>
            </w:pPr>
            <w:r w:rsidRPr="00E07C9A">
              <w:rPr>
                <w:rFonts w:ascii="Times New Roman" w:hAnsi="Times New Roman"/>
                <w:sz w:val="24"/>
              </w:rPr>
              <w:t>Inštitúcie vykazujú tieto skratky:</w:t>
            </w:r>
          </w:p>
          <w:p w14:paraId="5D4360B3" w14:textId="77777777" w:rsidR="007421F4" w:rsidRPr="00E07C9A" w:rsidRDefault="007421F4" w:rsidP="007421F4">
            <w:pPr>
              <w:tabs>
                <w:tab w:val="left" w:pos="317"/>
                <w:tab w:val="left" w:pos="600"/>
              </w:tabs>
              <w:spacing w:before="0" w:after="0"/>
              <w:jc w:val="left"/>
              <w:rPr>
                <w:rFonts w:ascii="Times New Roman" w:hAnsi="Times New Roman"/>
                <w:sz w:val="24"/>
              </w:rPr>
            </w:pPr>
            <w:r w:rsidRPr="00E07C9A">
              <w:rPr>
                <w:rFonts w:ascii="Times New Roman" w:hAnsi="Times New Roman"/>
                <w:sz w:val="24"/>
              </w:rPr>
              <w:t>Y</w:t>
            </w:r>
            <w:r w:rsidRPr="00E07C9A">
              <w:rPr>
                <w:rFonts w:ascii="Times New Roman" w:hAnsi="Times New Roman"/>
              </w:rPr>
              <w:tab/>
            </w:r>
            <w:r w:rsidRPr="00E07C9A">
              <w:rPr>
                <w:rFonts w:ascii="Times New Roman" w:hAnsi="Times New Roman"/>
                <w:sz w:val="24"/>
              </w:rPr>
              <w:t>–</w:t>
            </w:r>
            <w:r w:rsidRPr="00E07C9A">
              <w:rPr>
                <w:rFonts w:ascii="Times New Roman" w:hAnsi="Times New Roman"/>
              </w:rPr>
              <w:tab/>
            </w:r>
            <w:r w:rsidRPr="00E07C9A">
              <w:rPr>
                <w:rFonts w:ascii="Times New Roman" w:hAnsi="Times New Roman"/>
                <w:sz w:val="24"/>
              </w:rPr>
              <w:t>áno,</w:t>
            </w:r>
          </w:p>
          <w:p w14:paraId="7CE1AC2F" w14:textId="77777777" w:rsidR="007421F4" w:rsidRPr="00E07C9A" w:rsidRDefault="007421F4" w:rsidP="007421F4">
            <w:pPr>
              <w:tabs>
                <w:tab w:val="left" w:pos="317"/>
                <w:tab w:val="left" w:pos="600"/>
              </w:tabs>
              <w:spacing w:before="0" w:after="0"/>
              <w:jc w:val="left"/>
              <w:rPr>
                <w:rFonts w:ascii="Times New Roman" w:hAnsi="Times New Roman"/>
                <w:sz w:val="24"/>
              </w:rPr>
            </w:pPr>
            <w:r w:rsidRPr="00E07C9A">
              <w:rPr>
                <w:rFonts w:ascii="Times New Roman" w:hAnsi="Times New Roman"/>
                <w:sz w:val="24"/>
              </w:rPr>
              <w:t>N</w:t>
            </w:r>
            <w:r w:rsidRPr="00E07C9A">
              <w:rPr>
                <w:rFonts w:ascii="Times New Roman" w:hAnsi="Times New Roman"/>
              </w:rPr>
              <w:tab/>
            </w:r>
            <w:r w:rsidRPr="00E07C9A">
              <w:rPr>
                <w:rFonts w:ascii="Times New Roman" w:hAnsi="Times New Roman"/>
                <w:sz w:val="24"/>
              </w:rPr>
              <w:t>–</w:t>
            </w:r>
            <w:r w:rsidRPr="00E07C9A">
              <w:rPr>
                <w:rFonts w:ascii="Times New Roman" w:hAnsi="Times New Roman"/>
              </w:rPr>
              <w:tab/>
            </w:r>
            <w:r w:rsidRPr="00E07C9A">
              <w:rPr>
                <w:rFonts w:ascii="Times New Roman" w:hAnsi="Times New Roman"/>
                <w:sz w:val="24"/>
              </w:rPr>
              <w:t>nie.</w:t>
            </w:r>
          </w:p>
          <w:p w14:paraId="78977C42" w14:textId="77777777" w:rsidR="007421F4" w:rsidRPr="00E07C9A" w:rsidRDefault="007421F4" w:rsidP="007421F4">
            <w:pPr>
              <w:spacing w:before="0" w:after="0"/>
              <w:jc w:val="left"/>
              <w:rPr>
                <w:rFonts w:ascii="Times New Roman" w:hAnsi="Times New Roman"/>
                <w:sz w:val="24"/>
              </w:rPr>
            </w:pPr>
          </w:p>
          <w:p w14:paraId="6686F379" w14:textId="7D0E33C1" w:rsidR="007421F4" w:rsidRPr="00E07C9A" w:rsidRDefault="007421F4" w:rsidP="007421F4">
            <w:pPr>
              <w:autoSpaceDE w:val="0"/>
              <w:autoSpaceDN w:val="0"/>
              <w:adjustRightInd w:val="0"/>
              <w:spacing w:before="0" w:after="0"/>
              <w:rPr>
                <w:rFonts w:ascii="Times New Roman" w:hAnsi="Times New Roman"/>
                <w:i/>
                <w:sz w:val="24"/>
              </w:rPr>
            </w:pPr>
            <w:r w:rsidRPr="00E07C9A">
              <w:rPr>
                <w:rFonts w:ascii="Times New Roman" w:hAnsi="Times New Roman"/>
                <w:sz w:val="24"/>
              </w:rPr>
              <w:t>Tento stĺpec sa nevypĺňa</w:t>
            </w:r>
            <w:r w:rsidR="009912F8" w:rsidRPr="00E07C9A">
              <w:rPr>
                <w:rFonts w:ascii="Times New Roman" w:hAnsi="Times New Roman"/>
                <w:sz w:val="24"/>
              </w:rPr>
              <w:t xml:space="preserve"> v </w:t>
            </w:r>
            <w:r w:rsidRPr="00E07C9A">
              <w:rPr>
                <w:rFonts w:ascii="Times New Roman" w:hAnsi="Times New Roman"/>
                <w:sz w:val="24"/>
              </w:rPr>
              <w:t>prípade, že</w:t>
            </w:r>
            <w:r w:rsidR="009912F8" w:rsidRPr="00E07C9A">
              <w:rPr>
                <w:rFonts w:ascii="Times New Roman" w:hAnsi="Times New Roman"/>
                <w:sz w:val="24"/>
              </w:rPr>
              <w:t xml:space="preserve"> v </w:t>
            </w:r>
            <w:r w:rsidRPr="00E07C9A">
              <w:rPr>
                <w:rFonts w:ascii="Times New Roman" w:hAnsi="Times New Roman"/>
                <w:sz w:val="24"/>
              </w:rPr>
              <w:t>stĺpci 0080 (Typ uplatneného ponechania si) sa vykázal kód „E“ (oslobodené).</w:t>
            </w:r>
          </w:p>
          <w:p w14:paraId="623760C4" w14:textId="77777777" w:rsidR="007421F4" w:rsidRPr="00E07C9A" w:rsidRDefault="007421F4" w:rsidP="007421F4">
            <w:pPr>
              <w:spacing w:before="0" w:after="0"/>
              <w:jc w:val="left"/>
              <w:rPr>
                <w:rFonts w:ascii="Times New Roman" w:hAnsi="Times New Roman"/>
                <w:b/>
                <w:sz w:val="24"/>
                <w:u w:val="single"/>
              </w:rPr>
            </w:pPr>
          </w:p>
        </w:tc>
      </w:tr>
      <w:tr w:rsidR="007421F4" w:rsidRPr="00E07C9A" w14:paraId="492FBC68" w14:textId="77777777" w:rsidTr="00E10B85">
        <w:tc>
          <w:tcPr>
            <w:tcW w:w="1101" w:type="dxa"/>
          </w:tcPr>
          <w:p w14:paraId="5FC20F4F" w14:textId="77777777" w:rsidR="007421F4" w:rsidRPr="00E07C9A" w:rsidRDefault="007421F4" w:rsidP="007421F4">
            <w:pPr>
              <w:autoSpaceDE w:val="0"/>
              <w:autoSpaceDN w:val="0"/>
              <w:adjustRightInd w:val="0"/>
              <w:spacing w:before="0" w:after="0"/>
              <w:rPr>
                <w:rFonts w:ascii="Times New Roman" w:hAnsi="Times New Roman"/>
                <w:bCs/>
                <w:sz w:val="24"/>
              </w:rPr>
            </w:pPr>
            <w:r w:rsidRPr="00E07C9A">
              <w:rPr>
                <w:rFonts w:ascii="Times New Roman" w:hAnsi="Times New Roman"/>
                <w:sz w:val="24"/>
              </w:rPr>
              <w:t>0120 –⁠ 0130</w:t>
            </w:r>
          </w:p>
        </w:tc>
        <w:tc>
          <w:tcPr>
            <w:tcW w:w="7903" w:type="dxa"/>
          </w:tcPr>
          <w:p w14:paraId="32D23AB2" w14:textId="77777777" w:rsidR="007421F4" w:rsidRPr="00E07C9A" w:rsidRDefault="007421F4" w:rsidP="007421F4">
            <w:pPr>
              <w:autoSpaceDE w:val="0"/>
              <w:autoSpaceDN w:val="0"/>
              <w:adjustRightInd w:val="0"/>
              <w:spacing w:before="0" w:after="0"/>
              <w:jc w:val="left"/>
              <w:rPr>
                <w:rFonts w:ascii="Times New Roman" w:hAnsi="Times New Roman"/>
                <w:b/>
                <w:sz w:val="24"/>
              </w:rPr>
            </w:pPr>
            <w:r w:rsidRPr="00E07C9A">
              <w:rPr>
                <w:rFonts w:ascii="Times New Roman" w:hAnsi="Times New Roman"/>
                <w:b/>
                <w:sz w:val="24"/>
              </w:rPr>
              <w:t>PROGRAMY INÉ AKO PROGRAMY ABCP</w:t>
            </w:r>
          </w:p>
          <w:p w14:paraId="46227A4F" w14:textId="77777777" w:rsidR="007421F4" w:rsidRPr="00E07C9A" w:rsidRDefault="007421F4" w:rsidP="007421F4">
            <w:pPr>
              <w:autoSpaceDE w:val="0"/>
              <w:autoSpaceDN w:val="0"/>
              <w:adjustRightInd w:val="0"/>
              <w:spacing w:before="0" w:after="0"/>
              <w:jc w:val="left"/>
              <w:rPr>
                <w:rFonts w:ascii="Times New Roman" w:hAnsi="Times New Roman"/>
                <w:sz w:val="24"/>
              </w:rPr>
            </w:pPr>
          </w:p>
          <w:p w14:paraId="33BAF2A8" w14:textId="5D32BC31" w:rsidR="007421F4" w:rsidRPr="00E07C9A" w:rsidRDefault="007421F4" w:rsidP="007421F4">
            <w:pPr>
              <w:autoSpaceDE w:val="0"/>
              <w:autoSpaceDN w:val="0"/>
              <w:adjustRightInd w:val="0"/>
              <w:spacing w:before="0" w:after="0"/>
              <w:rPr>
                <w:rFonts w:ascii="Times New Roman" w:hAnsi="Times New Roman"/>
                <w:sz w:val="24"/>
              </w:rPr>
            </w:pPr>
            <w:r w:rsidRPr="00E07C9A">
              <w:rPr>
                <w:rFonts w:ascii="Times New Roman" w:hAnsi="Times New Roman"/>
                <w:sz w:val="24"/>
              </w:rPr>
              <w:t>Vzhľadom na osobitný charakter programov ABCP, ktorý vyplýva</w:t>
            </w:r>
            <w:r w:rsidR="009912F8" w:rsidRPr="00E07C9A">
              <w:rPr>
                <w:rFonts w:ascii="Times New Roman" w:hAnsi="Times New Roman"/>
                <w:sz w:val="24"/>
              </w:rPr>
              <w:t xml:space="preserve"> z </w:t>
            </w:r>
            <w:r w:rsidRPr="00E07C9A">
              <w:rPr>
                <w:rFonts w:ascii="Times New Roman" w:hAnsi="Times New Roman"/>
                <w:sz w:val="24"/>
              </w:rPr>
              <w:t>toho, že zahŕňajú viaceré jednotlivé sekuritizačné pozície, sú programy ABCP [v zmysle vymedzenia</w:t>
            </w:r>
            <w:r w:rsidR="009912F8" w:rsidRPr="00E07C9A">
              <w:rPr>
                <w:rFonts w:ascii="Times New Roman" w:hAnsi="Times New Roman"/>
                <w:sz w:val="24"/>
              </w:rPr>
              <w:t xml:space="preserve"> v </w:t>
            </w:r>
            <w:r w:rsidRPr="00E07C9A">
              <w:rPr>
                <w:rFonts w:ascii="Times New Roman" w:hAnsi="Times New Roman"/>
                <w:sz w:val="24"/>
              </w:rPr>
              <w:t xml:space="preserve">článku 242 ods. 11 nariadenia (EÚ) </w:t>
            </w:r>
            <w:r w:rsidR="009912F8" w:rsidRPr="00E07C9A">
              <w:rPr>
                <w:rFonts w:ascii="Times New Roman" w:hAnsi="Times New Roman"/>
                <w:sz w:val="24"/>
              </w:rPr>
              <w:t>č. 575/2013</w:t>
            </w:r>
            <w:r w:rsidRPr="00E07C9A">
              <w:rPr>
                <w:rFonts w:ascii="Times New Roman" w:hAnsi="Times New Roman"/>
                <w:sz w:val="24"/>
              </w:rPr>
              <w:t>] oslobodené od vykazovania</w:t>
            </w:r>
            <w:r w:rsidR="009912F8" w:rsidRPr="00E07C9A">
              <w:rPr>
                <w:rFonts w:ascii="Times New Roman" w:hAnsi="Times New Roman"/>
                <w:sz w:val="24"/>
              </w:rPr>
              <w:t xml:space="preserve"> v </w:t>
            </w:r>
            <w:r w:rsidRPr="00E07C9A">
              <w:rPr>
                <w:rFonts w:ascii="Times New Roman" w:hAnsi="Times New Roman"/>
                <w:sz w:val="24"/>
              </w:rPr>
              <w:t>stĺpcoch 0120, 0121</w:t>
            </w:r>
            <w:r w:rsidR="009912F8" w:rsidRPr="00E07C9A">
              <w:rPr>
                <w:rFonts w:ascii="Times New Roman" w:hAnsi="Times New Roman"/>
                <w:sz w:val="24"/>
              </w:rPr>
              <w:t xml:space="preserve"> a </w:t>
            </w:r>
            <w:r w:rsidRPr="00E07C9A">
              <w:rPr>
                <w:rFonts w:ascii="Times New Roman" w:hAnsi="Times New Roman"/>
                <w:sz w:val="24"/>
              </w:rPr>
              <w:t>0130.</w:t>
            </w:r>
          </w:p>
          <w:p w14:paraId="25FBD539" w14:textId="77777777" w:rsidR="007421F4" w:rsidRPr="00E07C9A" w:rsidRDefault="007421F4" w:rsidP="007421F4">
            <w:pPr>
              <w:spacing w:before="0" w:after="0"/>
              <w:jc w:val="left"/>
              <w:rPr>
                <w:rFonts w:ascii="Times New Roman" w:hAnsi="Times New Roman"/>
                <w:sz w:val="24"/>
              </w:rPr>
            </w:pPr>
          </w:p>
        </w:tc>
      </w:tr>
      <w:tr w:rsidR="007421F4" w:rsidRPr="00E07C9A" w14:paraId="6A66CA82" w14:textId="77777777" w:rsidTr="00E10B85">
        <w:tc>
          <w:tcPr>
            <w:tcW w:w="1101" w:type="dxa"/>
          </w:tcPr>
          <w:p w14:paraId="475BAD4F" w14:textId="77777777" w:rsidR="007421F4" w:rsidRPr="00E07C9A" w:rsidRDefault="007421F4" w:rsidP="007421F4">
            <w:pPr>
              <w:autoSpaceDE w:val="0"/>
              <w:autoSpaceDN w:val="0"/>
              <w:adjustRightInd w:val="0"/>
              <w:spacing w:before="0" w:after="0"/>
              <w:rPr>
                <w:rFonts w:ascii="Times New Roman" w:hAnsi="Times New Roman"/>
                <w:bCs/>
                <w:sz w:val="24"/>
              </w:rPr>
            </w:pPr>
            <w:r w:rsidRPr="00E07C9A">
              <w:rPr>
                <w:rFonts w:ascii="Times New Roman" w:hAnsi="Times New Roman"/>
                <w:sz w:val="24"/>
              </w:rPr>
              <w:t>0120</w:t>
            </w:r>
          </w:p>
        </w:tc>
        <w:tc>
          <w:tcPr>
            <w:tcW w:w="7903" w:type="dxa"/>
          </w:tcPr>
          <w:p w14:paraId="23148D23" w14:textId="77777777" w:rsidR="007421F4" w:rsidRPr="00E07C9A" w:rsidRDefault="007421F4" w:rsidP="007421F4">
            <w:pPr>
              <w:spacing w:before="0" w:after="0"/>
              <w:jc w:val="left"/>
              <w:rPr>
                <w:rFonts w:ascii="Times New Roman" w:hAnsi="Times New Roman"/>
                <w:b/>
                <w:sz w:val="24"/>
              </w:rPr>
            </w:pPr>
            <w:r w:rsidRPr="00E07C9A">
              <w:rPr>
                <w:rFonts w:ascii="Times New Roman" w:hAnsi="Times New Roman"/>
                <w:b/>
                <w:sz w:val="24"/>
              </w:rPr>
              <w:t>DÁTUM VZNIKU (rrrr-mm-dd)</w:t>
            </w:r>
          </w:p>
          <w:p w14:paraId="66773E98" w14:textId="77777777" w:rsidR="007421F4" w:rsidRPr="00E07C9A" w:rsidRDefault="007421F4" w:rsidP="007421F4">
            <w:pPr>
              <w:spacing w:before="0" w:after="0"/>
              <w:jc w:val="left"/>
              <w:rPr>
                <w:rFonts w:ascii="Times New Roman" w:hAnsi="Times New Roman"/>
                <w:sz w:val="24"/>
              </w:rPr>
            </w:pPr>
          </w:p>
          <w:p w14:paraId="07A946FB" w14:textId="65E482D6" w:rsidR="007421F4" w:rsidRPr="00E07C9A" w:rsidRDefault="007421F4" w:rsidP="007421F4">
            <w:pPr>
              <w:autoSpaceDE w:val="0"/>
              <w:autoSpaceDN w:val="0"/>
              <w:adjustRightInd w:val="0"/>
              <w:spacing w:before="0" w:after="0"/>
              <w:rPr>
                <w:rFonts w:ascii="Times New Roman" w:hAnsi="Times New Roman"/>
                <w:sz w:val="24"/>
              </w:rPr>
            </w:pPr>
            <w:r w:rsidRPr="00E07C9A">
              <w:rPr>
                <w:rFonts w:ascii="Times New Roman" w:hAnsi="Times New Roman"/>
                <w:sz w:val="24"/>
              </w:rPr>
              <w:t>Mesiac</w:t>
            </w:r>
            <w:r w:rsidR="009912F8" w:rsidRPr="00E07C9A">
              <w:rPr>
                <w:rFonts w:ascii="Times New Roman" w:hAnsi="Times New Roman"/>
                <w:sz w:val="24"/>
              </w:rPr>
              <w:t xml:space="preserve"> a </w:t>
            </w:r>
            <w:r w:rsidRPr="00E07C9A">
              <w:rPr>
                <w:rFonts w:ascii="Times New Roman" w:hAnsi="Times New Roman"/>
                <w:sz w:val="24"/>
              </w:rPr>
              <w:t>rok dátumu vzniku (t. j. dátum prerušenia alebo zatvorenia skupiny) sekuritizácie sa vykazuje</w:t>
            </w:r>
            <w:r w:rsidR="009912F8" w:rsidRPr="00E07C9A">
              <w:rPr>
                <w:rFonts w:ascii="Times New Roman" w:hAnsi="Times New Roman"/>
                <w:sz w:val="24"/>
              </w:rPr>
              <w:t xml:space="preserve"> v </w:t>
            </w:r>
            <w:r w:rsidRPr="00E07C9A">
              <w:rPr>
                <w:rFonts w:ascii="Times New Roman" w:hAnsi="Times New Roman"/>
                <w:sz w:val="24"/>
              </w:rPr>
              <w:t>tomto formáte: „mm/rrrr“.</w:t>
            </w:r>
          </w:p>
          <w:p w14:paraId="0414C508" w14:textId="77777777" w:rsidR="007421F4" w:rsidRPr="00E07C9A" w:rsidRDefault="007421F4" w:rsidP="007421F4">
            <w:pPr>
              <w:autoSpaceDE w:val="0"/>
              <w:autoSpaceDN w:val="0"/>
              <w:adjustRightInd w:val="0"/>
              <w:spacing w:before="0" w:after="0"/>
              <w:rPr>
                <w:rFonts w:ascii="Times New Roman" w:hAnsi="Times New Roman"/>
                <w:sz w:val="24"/>
              </w:rPr>
            </w:pPr>
          </w:p>
          <w:p w14:paraId="16EF67FD" w14:textId="41EDE820" w:rsidR="009912F8" w:rsidRPr="00E07C9A" w:rsidRDefault="007421F4" w:rsidP="007421F4">
            <w:pPr>
              <w:autoSpaceDE w:val="0"/>
              <w:autoSpaceDN w:val="0"/>
              <w:adjustRightInd w:val="0"/>
              <w:spacing w:before="0" w:after="0"/>
              <w:rPr>
                <w:rFonts w:ascii="Times New Roman" w:hAnsi="Times New Roman"/>
                <w:sz w:val="24"/>
              </w:rPr>
            </w:pPr>
            <w:r w:rsidRPr="00E07C9A">
              <w:rPr>
                <w:rFonts w:ascii="Times New Roman" w:hAnsi="Times New Roman"/>
                <w:sz w:val="24"/>
              </w:rPr>
              <w:t>Dátum vzniku sa pre jednotlivé sekuritizačné schémy nesmie medzi dátumami vykazovania meniť.</w:t>
            </w:r>
            <w:r w:rsidR="009912F8" w:rsidRPr="00E07C9A">
              <w:rPr>
                <w:rFonts w:ascii="Times New Roman" w:hAnsi="Times New Roman"/>
                <w:sz w:val="24"/>
              </w:rPr>
              <w:t xml:space="preserve"> V </w:t>
            </w:r>
            <w:r w:rsidRPr="00E07C9A">
              <w:rPr>
                <w:rFonts w:ascii="Times New Roman" w:hAnsi="Times New Roman"/>
                <w:sz w:val="24"/>
              </w:rPr>
              <w:t>osobitnom prípade sekuritizačných schém založených na otvorených skupinách je dátumom vzniku dátum prvej emisie cenných papierov</w:t>
            </w:r>
            <w:r w:rsidR="009912F8" w:rsidRPr="00E07C9A">
              <w:rPr>
                <w:rFonts w:ascii="Times New Roman" w:hAnsi="Times New Roman"/>
                <w:sz w:val="24"/>
              </w:rPr>
              <w:t>.</w:t>
            </w:r>
          </w:p>
          <w:p w14:paraId="05592D47" w14:textId="63217E19" w:rsidR="007421F4" w:rsidRPr="00E07C9A" w:rsidRDefault="007421F4" w:rsidP="007421F4">
            <w:pPr>
              <w:autoSpaceDE w:val="0"/>
              <w:autoSpaceDN w:val="0"/>
              <w:adjustRightInd w:val="0"/>
              <w:spacing w:before="0" w:after="0"/>
              <w:rPr>
                <w:rFonts w:ascii="Times New Roman" w:hAnsi="Times New Roman"/>
                <w:sz w:val="24"/>
              </w:rPr>
            </w:pPr>
          </w:p>
          <w:p w14:paraId="492A9E23" w14:textId="4C8997E5" w:rsidR="007421F4" w:rsidRPr="00E07C9A" w:rsidRDefault="007421F4" w:rsidP="007421F4">
            <w:pPr>
              <w:autoSpaceDE w:val="0"/>
              <w:autoSpaceDN w:val="0"/>
              <w:adjustRightInd w:val="0"/>
              <w:spacing w:before="0" w:after="0"/>
              <w:rPr>
                <w:rFonts w:ascii="Times New Roman" w:hAnsi="Times New Roman"/>
                <w:sz w:val="24"/>
              </w:rPr>
            </w:pPr>
            <w:r w:rsidRPr="00E07C9A">
              <w:rPr>
                <w:rFonts w:ascii="Times New Roman" w:hAnsi="Times New Roman"/>
                <w:sz w:val="24"/>
              </w:rPr>
              <w:t>Táto informácia sa vykazuje, aj keď vykazujúci subjekt nedrží žiadne pozície</w:t>
            </w:r>
            <w:r w:rsidR="009912F8" w:rsidRPr="00E07C9A">
              <w:rPr>
                <w:rFonts w:ascii="Times New Roman" w:hAnsi="Times New Roman"/>
                <w:sz w:val="24"/>
              </w:rPr>
              <w:t xml:space="preserve"> v </w:t>
            </w:r>
            <w:r w:rsidRPr="00E07C9A">
              <w:rPr>
                <w:rFonts w:ascii="Times New Roman" w:hAnsi="Times New Roman"/>
                <w:sz w:val="24"/>
              </w:rPr>
              <w:t>sekuritizácii.</w:t>
            </w:r>
          </w:p>
          <w:p w14:paraId="0301780A" w14:textId="77777777" w:rsidR="007421F4" w:rsidRPr="00E07C9A" w:rsidRDefault="007421F4" w:rsidP="007421F4">
            <w:pPr>
              <w:autoSpaceDE w:val="0"/>
              <w:autoSpaceDN w:val="0"/>
              <w:adjustRightInd w:val="0"/>
              <w:spacing w:before="0" w:after="0"/>
              <w:jc w:val="left"/>
              <w:rPr>
                <w:rFonts w:ascii="Times New Roman" w:hAnsi="Times New Roman"/>
                <w:sz w:val="24"/>
              </w:rPr>
            </w:pPr>
          </w:p>
        </w:tc>
      </w:tr>
      <w:tr w:rsidR="007421F4" w:rsidRPr="00E07C9A" w14:paraId="34A5D093" w14:textId="77777777" w:rsidTr="00E10B85">
        <w:tc>
          <w:tcPr>
            <w:tcW w:w="1101" w:type="dxa"/>
          </w:tcPr>
          <w:p w14:paraId="0473C3E2" w14:textId="77777777" w:rsidR="007421F4" w:rsidRPr="00E07C9A" w:rsidRDefault="007421F4" w:rsidP="007421F4">
            <w:pPr>
              <w:autoSpaceDE w:val="0"/>
              <w:autoSpaceDN w:val="0"/>
              <w:adjustRightInd w:val="0"/>
              <w:spacing w:before="0" w:after="0"/>
              <w:rPr>
                <w:rFonts w:ascii="Times New Roman" w:hAnsi="Times New Roman"/>
                <w:bCs/>
                <w:sz w:val="24"/>
              </w:rPr>
            </w:pPr>
            <w:r w:rsidRPr="00E07C9A">
              <w:rPr>
                <w:rFonts w:ascii="Times New Roman" w:hAnsi="Times New Roman"/>
                <w:sz w:val="24"/>
              </w:rPr>
              <w:t>0121</w:t>
            </w:r>
          </w:p>
        </w:tc>
        <w:tc>
          <w:tcPr>
            <w:tcW w:w="7903" w:type="dxa"/>
          </w:tcPr>
          <w:p w14:paraId="682E79BC" w14:textId="77777777" w:rsidR="007421F4" w:rsidRPr="00E07C9A" w:rsidRDefault="007421F4" w:rsidP="007421F4">
            <w:pPr>
              <w:spacing w:before="0" w:after="0"/>
              <w:jc w:val="left"/>
              <w:rPr>
                <w:rFonts w:ascii="Times New Roman" w:hAnsi="Times New Roman"/>
                <w:b/>
                <w:sz w:val="24"/>
                <w:u w:val="single"/>
              </w:rPr>
            </w:pPr>
            <w:r w:rsidRPr="00E07C9A">
              <w:rPr>
                <w:rFonts w:ascii="Times New Roman" w:hAnsi="Times New Roman"/>
                <w:b/>
                <w:sz w:val="24"/>
                <w:u w:val="single"/>
              </w:rPr>
              <w:t>DÁTUM POSLEDNEJ EMISIE (rrrr-mm-dd)</w:t>
            </w:r>
          </w:p>
          <w:p w14:paraId="5A0109D2" w14:textId="77777777" w:rsidR="007421F4" w:rsidRPr="00E07C9A" w:rsidRDefault="007421F4" w:rsidP="007421F4">
            <w:pPr>
              <w:spacing w:before="0" w:after="0"/>
              <w:jc w:val="left"/>
              <w:rPr>
                <w:rFonts w:ascii="Times New Roman" w:hAnsi="Times New Roman"/>
                <w:b/>
                <w:sz w:val="24"/>
                <w:u w:val="single"/>
              </w:rPr>
            </w:pPr>
          </w:p>
          <w:p w14:paraId="74E2A609" w14:textId="58CE8A62" w:rsidR="007421F4" w:rsidRPr="00E07C9A" w:rsidRDefault="007421F4" w:rsidP="007421F4">
            <w:pPr>
              <w:spacing w:before="0" w:after="0"/>
              <w:jc w:val="left"/>
              <w:rPr>
                <w:rFonts w:ascii="Times New Roman" w:hAnsi="Times New Roman"/>
                <w:sz w:val="24"/>
              </w:rPr>
            </w:pPr>
            <w:r w:rsidRPr="00E07C9A">
              <w:rPr>
                <w:rFonts w:ascii="Times New Roman" w:hAnsi="Times New Roman"/>
                <w:sz w:val="24"/>
              </w:rPr>
              <w:t>Mesiac</w:t>
            </w:r>
            <w:r w:rsidR="009912F8" w:rsidRPr="00E07C9A">
              <w:rPr>
                <w:rFonts w:ascii="Times New Roman" w:hAnsi="Times New Roman"/>
                <w:sz w:val="24"/>
              </w:rPr>
              <w:t xml:space="preserve"> a </w:t>
            </w:r>
            <w:r w:rsidRPr="00E07C9A">
              <w:rPr>
                <w:rFonts w:ascii="Times New Roman" w:hAnsi="Times New Roman"/>
                <w:sz w:val="24"/>
              </w:rPr>
              <w:t>rok dátumu poslednej emisie cenných papierov</w:t>
            </w:r>
            <w:r w:rsidR="009912F8" w:rsidRPr="00E07C9A">
              <w:rPr>
                <w:rFonts w:ascii="Times New Roman" w:hAnsi="Times New Roman"/>
                <w:sz w:val="24"/>
              </w:rPr>
              <w:t xml:space="preserve"> v </w:t>
            </w:r>
            <w:r w:rsidRPr="00E07C9A">
              <w:rPr>
                <w:rFonts w:ascii="Times New Roman" w:hAnsi="Times New Roman"/>
                <w:sz w:val="24"/>
              </w:rPr>
              <w:t>sekuritizácii sa vykazuje</w:t>
            </w:r>
            <w:r w:rsidR="009912F8" w:rsidRPr="00E07C9A">
              <w:rPr>
                <w:rFonts w:ascii="Times New Roman" w:hAnsi="Times New Roman"/>
                <w:sz w:val="24"/>
              </w:rPr>
              <w:t xml:space="preserve"> v </w:t>
            </w:r>
            <w:r w:rsidRPr="00E07C9A">
              <w:rPr>
                <w:rFonts w:ascii="Times New Roman" w:hAnsi="Times New Roman"/>
                <w:sz w:val="24"/>
              </w:rPr>
              <w:t>tomto formáte: „rrrr-mm-dd“.</w:t>
            </w:r>
          </w:p>
          <w:p w14:paraId="3608A4ED" w14:textId="77777777" w:rsidR="007421F4" w:rsidRPr="00E07C9A" w:rsidRDefault="007421F4" w:rsidP="007421F4">
            <w:pPr>
              <w:spacing w:before="0" w:after="0"/>
              <w:jc w:val="left"/>
              <w:rPr>
                <w:rFonts w:ascii="Times New Roman" w:hAnsi="Times New Roman"/>
                <w:sz w:val="24"/>
              </w:rPr>
            </w:pPr>
          </w:p>
          <w:p w14:paraId="04ABE31B" w14:textId="1BF7A0CF" w:rsidR="007421F4" w:rsidRPr="00E07C9A" w:rsidRDefault="007421F4" w:rsidP="007421F4">
            <w:pPr>
              <w:spacing w:before="0" w:after="0"/>
              <w:jc w:val="left"/>
              <w:rPr>
                <w:rFonts w:ascii="Times New Roman" w:hAnsi="Times New Roman"/>
                <w:sz w:val="24"/>
              </w:rPr>
            </w:pPr>
            <w:r w:rsidRPr="00E07C9A">
              <w:rPr>
                <w:rFonts w:ascii="Times New Roman" w:hAnsi="Times New Roman"/>
                <w:sz w:val="24"/>
              </w:rPr>
              <w:t>Nariadenie (EÚ) 2017/2402 sa vzťahuje len na sekuritizácie,</w:t>
            </w:r>
            <w:r w:rsidR="009912F8" w:rsidRPr="00E07C9A">
              <w:rPr>
                <w:rFonts w:ascii="Times New Roman" w:hAnsi="Times New Roman"/>
                <w:sz w:val="24"/>
              </w:rPr>
              <w:t xml:space="preserve"> v </w:t>
            </w:r>
            <w:r w:rsidRPr="00E07C9A">
              <w:rPr>
                <w:rFonts w:ascii="Times New Roman" w:hAnsi="Times New Roman"/>
                <w:sz w:val="24"/>
              </w:rPr>
              <w:t>rámci ktorých boli cenné papiere emitované 1</w:t>
            </w:r>
            <w:r w:rsidR="009912F8" w:rsidRPr="00E07C9A">
              <w:rPr>
                <w:rFonts w:ascii="Times New Roman" w:hAnsi="Times New Roman"/>
                <w:sz w:val="24"/>
              </w:rPr>
              <w:t>. januára</w:t>
            </w:r>
            <w:r w:rsidRPr="00E07C9A">
              <w:rPr>
                <w:rFonts w:ascii="Times New Roman" w:hAnsi="Times New Roman"/>
                <w:sz w:val="24"/>
              </w:rPr>
              <w:t xml:space="preserve"> 2019 alebo neskôr. Na základe dátumu poslednej emisie cenných papierov sa určuje, či príslušná sekuritizačná schéma patrí do rozsahu pôsobnosti nariadenia (EÚ) 2017/2402.</w:t>
            </w:r>
          </w:p>
          <w:p w14:paraId="51342F77" w14:textId="77777777" w:rsidR="007421F4" w:rsidRPr="00E07C9A" w:rsidRDefault="007421F4" w:rsidP="007421F4">
            <w:pPr>
              <w:spacing w:before="0" w:after="0"/>
              <w:jc w:val="left"/>
              <w:rPr>
                <w:rFonts w:ascii="Times New Roman" w:hAnsi="Times New Roman"/>
                <w:sz w:val="24"/>
              </w:rPr>
            </w:pPr>
          </w:p>
          <w:p w14:paraId="5A0DCBF5" w14:textId="07A7FD4C" w:rsidR="007421F4" w:rsidRPr="00E07C9A" w:rsidRDefault="007421F4" w:rsidP="007421F4">
            <w:pPr>
              <w:spacing w:before="0" w:after="0"/>
              <w:jc w:val="left"/>
              <w:rPr>
                <w:rFonts w:ascii="Times New Roman" w:hAnsi="Times New Roman"/>
                <w:sz w:val="24"/>
              </w:rPr>
            </w:pPr>
            <w:r w:rsidRPr="00E07C9A">
              <w:rPr>
                <w:rFonts w:ascii="Times New Roman" w:hAnsi="Times New Roman"/>
                <w:sz w:val="24"/>
              </w:rPr>
              <w:t>Táto informácia sa vykazuje, aj keď vykazujúci subjekt nedrží žiadne pozície</w:t>
            </w:r>
            <w:r w:rsidR="009912F8" w:rsidRPr="00E07C9A">
              <w:rPr>
                <w:rFonts w:ascii="Times New Roman" w:hAnsi="Times New Roman"/>
                <w:sz w:val="24"/>
              </w:rPr>
              <w:t xml:space="preserve"> v </w:t>
            </w:r>
            <w:r w:rsidRPr="00E07C9A">
              <w:rPr>
                <w:rFonts w:ascii="Times New Roman" w:hAnsi="Times New Roman"/>
                <w:sz w:val="24"/>
              </w:rPr>
              <w:t>sekuritizácii.</w:t>
            </w:r>
          </w:p>
          <w:p w14:paraId="5E566D23" w14:textId="77777777" w:rsidR="007421F4" w:rsidRPr="00E07C9A" w:rsidRDefault="007421F4" w:rsidP="007421F4">
            <w:pPr>
              <w:spacing w:before="0" w:after="0"/>
              <w:jc w:val="left"/>
              <w:rPr>
                <w:rFonts w:ascii="Times New Roman" w:hAnsi="Times New Roman"/>
                <w:b/>
                <w:sz w:val="24"/>
                <w:u w:val="single"/>
              </w:rPr>
            </w:pPr>
          </w:p>
        </w:tc>
      </w:tr>
      <w:tr w:rsidR="007421F4" w:rsidRPr="00E07C9A" w14:paraId="0F7CD8A0" w14:textId="77777777" w:rsidTr="00E10B85">
        <w:tc>
          <w:tcPr>
            <w:tcW w:w="1101" w:type="dxa"/>
          </w:tcPr>
          <w:p w14:paraId="583F70B7" w14:textId="77777777" w:rsidR="007421F4" w:rsidRPr="00E07C9A" w:rsidRDefault="007421F4" w:rsidP="007421F4">
            <w:pPr>
              <w:autoSpaceDE w:val="0"/>
              <w:autoSpaceDN w:val="0"/>
              <w:adjustRightInd w:val="0"/>
              <w:spacing w:before="0" w:after="0"/>
              <w:rPr>
                <w:rFonts w:ascii="Times New Roman" w:hAnsi="Times New Roman"/>
                <w:bCs/>
                <w:sz w:val="24"/>
              </w:rPr>
            </w:pPr>
            <w:r w:rsidRPr="00E07C9A">
              <w:rPr>
                <w:rFonts w:ascii="Times New Roman" w:hAnsi="Times New Roman"/>
                <w:sz w:val="24"/>
              </w:rPr>
              <w:t>0130</w:t>
            </w:r>
          </w:p>
        </w:tc>
        <w:tc>
          <w:tcPr>
            <w:tcW w:w="7903" w:type="dxa"/>
          </w:tcPr>
          <w:p w14:paraId="14D40A1B" w14:textId="162A9277" w:rsidR="007421F4" w:rsidRPr="00E07C9A" w:rsidRDefault="007421F4" w:rsidP="007421F4">
            <w:pPr>
              <w:spacing w:before="0" w:after="0"/>
              <w:jc w:val="left"/>
              <w:rPr>
                <w:rFonts w:ascii="Times New Roman" w:hAnsi="Times New Roman"/>
                <w:b/>
                <w:sz w:val="24"/>
                <w:u w:val="single"/>
              </w:rPr>
            </w:pPr>
            <w:r w:rsidRPr="00E07C9A">
              <w:rPr>
                <w:rFonts w:ascii="Times New Roman" w:hAnsi="Times New Roman"/>
                <w:b/>
                <w:sz w:val="24"/>
                <w:u w:val="single"/>
              </w:rPr>
              <w:t>CELKOVÁ HODNOTA SEKURITIZOVANÝCH EXPOZÍCIÍ</w:t>
            </w:r>
            <w:r w:rsidR="009912F8" w:rsidRPr="00E07C9A">
              <w:rPr>
                <w:rFonts w:ascii="Times New Roman" w:hAnsi="Times New Roman"/>
                <w:b/>
                <w:sz w:val="24"/>
                <w:u w:val="single"/>
              </w:rPr>
              <w:t xml:space="preserve"> K </w:t>
            </w:r>
            <w:r w:rsidRPr="00E07C9A">
              <w:rPr>
                <w:rFonts w:ascii="Times New Roman" w:hAnsi="Times New Roman"/>
                <w:b/>
                <w:sz w:val="24"/>
                <w:u w:val="single"/>
              </w:rPr>
              <w:t>DÁTUMU VZNIKU</w:t>
            </w:r>
          </w:p>
          <w:p w14:paraId="25945752" w14:textId="77777777" w:rsidR="007421F4" w:rsidRPr="00E07C9A" w:rsidRDefault="007421F4" w:rsidP="007421F4">
            <w:pPr>
              <w:spacing w:before="0" w:after="0"/>
              <w:jc w:val="left"/>
              <w:rPr>
                <w:rFonts w:ascii="Times New Roman" w:hAnsi="Times New Roman"/>
                <w:sz w:val="24"/>
              </w:rPr>
            </w:pPr>
          </w:p>
          <w:p w14:paraId="1E365CF1" w14:textId="4AA56E38" w:rsidR="009912F8" w:rsidRPr="00E07C9A" w:rsidRDefault="007421F4" w:rsidP="007421F4">
            <w:pPr>
              <w:autoSpaceDE w:val="0"/>
              <w:autoSpaceDN w:val="0"/>
              <w:adjustRightInd w:val="0"/>
              <w:spacing w:before="0" w:after="0"/>
              <w:rPr>
                <w:rFonts w:ascii="Times New Roman" w:hAnsi="Times New Roman"/>
                <w:sz w:val="24"/>
              </w:rPr>
            </w:pPr>
            <w:r w:rsidRPr="00E07C9A">
              <w:rPr>
                <w:rFonts w:ascii="Times New Roman" w:hAnsi="Times New Roman"/>
                <w:sz w:val="24"/>
              </w:rPr>
              <w:t>V tomto stĺpci sa vykazuje hodnota (vypočítaná na základe pôvodných expozícií pred uplatnením konverzných faktorov) sekuritizovaného portfólia</w:t>
            </w:r>
            <w:r w:rsidR="009912F8" w:rsidRPr="00E07C9A">
              <w:rPr>
                <w:rFonts w:ascii="Times New Roman" w:hAnsi="Times New Roman"/>
                <w:sz w:val="24"/>
              </w:rPr>
              <w:t xml:space="preserve"> k </w:t>
            </w:r>
            <w:r w:rsidRPr="00E07C9A">
              <w:rPr>
                <w:rFonts w:ascii="Times New Roman" w:hAnsi="Times New Roman"/>
                <w:sz w:val="24"/>
              </w:rPr>
              <w:t>dátumu vzniku</w:t>
            </w:r>
            <w:r w:rsidR="009912F8" w:rsidRPr="00E07C9A">
              <w:rPr>
                <w:rFonts w:ascii="Times New Roman" w:hAnsi="Times New Roman"/>
                <w:sz w:val="24"/>
              </w:rPr>
              <w:t>.</w:t>
            </w:r>
          </w:p>
          <w:p w14:paraId="1B09D0BC" w14:textId="797525C1" w:rsidR="007421F4" w:rsidRPr="00E07C9A" w:rsidRDefault="007421F4" w:rsidP="007421F4">
            <w:pPr>
              <w:autoSpaceDE w:val="0"/>
              <w:autoSpaceDN w:val="0"/>
              <w:adjustRightInd w:val="0"/>
              <w:spacing w:before="0" w:after="0"/>
              <w:rPr>
                <w:rFonts w:ascii="Times New Roman" w:hAnsi="Times New Roman"/>
                <w:sz w:val="24"/>
              </w:rPr>
            </w:pPr>
          </w:p>
          <w:p w14:paraId="62997F0E" w14:textId="41328467" w:rsidR="007421F4" w:rsidRPr="00E07C9A" w:rsidRDefault="007421F4" w:rsidP="007421F4">
            <w:pPr>
              <w:autoSpaceDE w:val="0"/>
              <w:autoSpaceDN w:val="0"/>
              <w:adjustRightInd w:val="0"/>
              <w:spacing w:before="0" w:after="0"/>
              <w:rPr>
                <w:rFonts w:ascii="Times New Roman" w:hAnsi="Times New Roman"/>
                <w:sz w:val="24"/>
              </w:rPr>
            </w:pPr>
            <w:r w:rsidRPr="00E07C9A">
              <w:rPr>
                <w:rFonts w:ascii="Times New Roman" w:hAnsi="Times New Roman"/>
                <w:sz w:val="24"/>
              </w:rPr>
              <w:t>V prípade sekuritizačných schém založených na otvorených skupinách sa vykazuje hodnota vzťahujúca sa na dátum vzniku prvej emisie cenných papierov.</w:t>
            </w:r>
            <w:r w:rsidR="009912F8" w:rsidRPr="00E07C9A">
              <w:rPr>
                <w:rFonts w:ascii="Times New Roman" w:hAnsi="Times New Roman"/>
                <w:sz w:val="24"/>
              </w:rPr>
              <w:t xml:space="preserve"> V </w:t>
            </w:r>
            <w:r w:rsidRPr="00E07C9A">
              <w:rPr>
                <w:rFonts w:ascii="Times New Roman" w:hAnsi="Times New Roman"/>
                <w:sz w:val="24"/>
              </w:rPr>
              <w:t>prípade tradičných sekuritizácií sa nezahrnú žiadne iné aktíva sekuritizačnej skupiny.</w:t>
            </w:r>
            <w:r w:rsidR="009912F8" w:rsidRPr="00E07C9A">
              <w:rPr>
                <w:rFonts w:ascii="Times New Roman" w:hAnsi="Times New Roman"/>
                <w:sz w:val="24"/>
              </w:rPr>
              <w:t xml:space="preserve"> V </w:t>
            </w:r>
            <w:r w:rsidRPr="00E07C9A">
              <w:rPr>
                <w:rFonts w:ascii="Times New Roman" w:hAnsi="Times New Roman"/>
                <w:sz w:val="24"/>
              </w:rPr>
              <w:t>prípade sekuritizačných schém</w:t>
            </w:r>
            <w:r w:rsidR="009912F8" w:rsidRPr="00E07C9A">
              <w:rPr>
                <w:rFonts w:ascii="Times New Roman" w:hAnsi="Times New Roman"/>
                <w:sz w:val="24"/>
              </w:rPr>
              <w:t xml:space="preserve"> s </w:t>
            </w:r>
            <w:r w:rsidRPr="00E07C9A">
              <w:rPr>
                <w:rFonts w:ascii="Times New Roman" w:hAnsi="Times New Roman"/>
                <w:sz w:val="24"/>
              </w:rPr>
              <w:t>viacerými predávajúcimi (t. j.</w:t>
            </w:r>
            <w:r w:rsidR="009912F8" w:rsidRPr="00E07C9A">
              <w:rPr>
                <w:rFonts w:ascii="Times New Roman" w:hAnsi="Times New Roman"/>
                <w:sz w:val="24"/>
              </w:rPr>
              <w:t xml:space="preserve"> s </w:t>
            </w:r>
            <w:r w:rsidRPr="00E07C9A">
              <w:rPr>
                <w:rFonts w:ascii="Times New Roman" w:hAnsi="Times New Roman"/>
                <w:sz w:val="24"/>
              </w:rPr>
              <w:t>viacerými originátormi) sa vykazuje len hodnota zodpovedajúca príspevku vykazujúceho subjektu do sekuritizovaného portfólia.</w:t>
            </w:r>
            <w:r w:rsidR="009912F8" w:rsidRPr="00E07C9A">
              <w:rPr>
                <w:rFonts w:ascii="Times New Roman" w:hAnsi="Times New Roman"/>
                <w:sz w:val="24"/>
              </w:rPr>
              <w:t xml:space="preserve"> V </w:t>
            </w:r>
            <w:r w:rsidRPr="00E07C9A">
              <w:rPr>
                <w:rFonts w:ascii="Times New Roman" w:hAnsi="Times New Roman"/>
                <w:sz w:val="24"/>
              </w:rPr>
              <w:t>prípade sekuritizácií záväzkov sa vykazujú len hodnoty vydané vykazujúcim subjektom.</w:t>
            </w:r>
          </w:p>
          <w:p w14:paraId="35AC3638" w14:textId="77777777" w:rsidR="007421F4" w:rsidRPr="00E07C9A" w:rsidRDefault="007421F4" w:rsidP="007421F4">
            <w:pPr>
              <w:autoSpaceDE w:val="0"/>
              <w:autoSpaceDN w:val="0"/>
              <w:adjustRightInd w:val="0"/>
              <w:spacing w:before="0" w:after="0"/>
              <w:rPr>
                <w:rFonts w:ascii="Times New Roman" w:hAnsi="Times New Roman"/>
                <w:sz w:val="24"/>
              </w:rPr>
            </w:pPr>
          </w:p>
          <w:p w14:paraId="2AA8DF08" w14:textId="4F96186F" w:rsidR="007421F4" w:rsidRPr="00E07C9A" w:rsidRDefault="007421F4" w:rsidP="007421F4">
            <w:pPr>
              <w:autoSpaceDE w:val="0"/>
              <w:autoSpaceDN w:val="0"/>
              <w:adjustRightInd w:val="0"/>
              <w:spacing w:before="0" w:after="0"/>
              <w:rPr>
                <w:rFonts w:ascii="Times New Roman" w:hAnsi="Times New Roman"/>
                <w:sz w:val="24"/>
              </w:rPr>
            </w:pPr>
            <w:r w:rsidRPr="00E07C9A">
              <w:rPr>
                <w:rFonts w:ascii="Times New Roman" w:hAnsi="Times New Roman"/>
                <w:sz w:val="24"/>
              </w:rPr>
              <w:t>Táto informácia sa vykazuje, aj keď vykazujúci subjekt nedrží žiadne pozície</w:t>
            </w:r>
            <w:r w:rsidR="009912F8" w:rsidRPr="00E07C9A">
              <w:rPr>
                <w:rFonts w:ascii="Times New Roman" w:hAnsi="Times New Roman"/>
                <w:sz w:val="24"/>
              </w:rPr>
              <w:t xml:space="preserve"> v </w:t>
            </w:r>
            <w:r w:rsidRPr="00E07C9A">
              <w:rPr>
                <w:rFonts w:ascii="Times New Roman" w:hAnsi="Times New Roman"/>
                <w:sz w:val="24"/>
              </w:rPr>
              <w:t>sekuritizácii.</w:t>
            </w:r>
          </w:p>
          <w:p w14:paraId="2B8103D5" w14:textId="77777777" w:rsidR="007421F4" w:rsidRPr="00E07C9A" w:rsidRDefault="007421F4" w:rsidP="007421F4">
            <w:pPr>
              <w:autoSpaceDE w:val="0"/>
              <w:autoSpaceDN w:val="0"/>
              <w:adjustRightInd w:val="0"/>
              <w:spacing w:before="0" w:after="0"/>
              <w:jc w:val="left"/>
              <w:rPr>
                <w:rFonts w:ascii="Times New Roman" w:hAnsi="Times New Roman"/>
                <w:sz w:val="24"/>
              </w:rPr>
            </w:pPr>
          </w:p>
        </w:tc>
      </w:tr>
      <w:tr w:rsidR="007421F4" w:rsidRPr="00E07C9A" w14:paraId="1726024E" w14:textId="77777777" w:rsidTr="00E10B85">
        <w:tc>
          <w:tcPr>
            <w:tcW w:w="1101" w:type="dxa"/>
          </w:tcPr>
          <w:p w14:paraId="438F2839" w14:textId="77777777" w:rsidR="007421F4" w:rsidRPr="00E07C9A" w:rsidRDefault="007421F4" w:rsidP="007421F4">
            <w:pPr>
              <w:autoSpaceDE w:val="0"/>
              <w:autoSpaceDN w:val="0"/>
              <w:adjustRightInd w:val="0"/>
              <w:spacing w:before="0" w:after="0"/>
              <w:rPr>
                <w:rFonts w:ascii="Times New Roman" w:hAnsi="Times New Roman"/>
                <w:bCs/>
                <w:sz w:val="24"/>
              </w:rPr>
            </w:pPr>
            <w:r w:rsidRPr="00E07C9A">
              <w:rPr>
                <w:rFonts w:ascii="Times New Roman" w:hAnsi="Times New Roman"/>
                <w:sz w:val="24"/>
              </w:rPr>
              <w:t>0140 –⁠ 0225</w:t>
            </w:r>
          </w:p>
        </w:tc>
        <w:tc>
          <w:tcPr>
            <w:tcW w:w="7903" w:type="dxa"/>
          </w:tcPr>
          <w:p w14:paraId="6606F217" w14:textId="77777777" w:rsidR="007421F4" w:rsidRPr="00E07C9A" w:rsidRDefault="007421F4" w:rsidP="007421F4">
            <w:pPr>
              <w:autoSpaceDE w:val="0"/>
              <w:autoSpaceDN w:val="0"/>
              <w:adjustRightInd w:val="0"/>
              <w:spacing w:before="0" w:after="0"/>
              <w:jc w:val="left"/>
              <w:rPr>
                <w:rFonts w:ascii="Times New Roman" w:hAnsi="Times New Roman"/>
                <w:b/>
                <w:sz w:val="24"/>
                <w:u w:val="single"/>
              </w:rPr>
            </w:pPr>
            <w:r w:rsidRPr="00E07C9A">
              <w:rPr>
                <w:rFonts w:ascii="Times New Roman" w:hAnsi="Times New Roman"/>
                <w:b/>
                <w:sz w:val="24"/>
                <w:u w:val="single"/>
              </w:rPr>
              <w:t>SEKURITIZOVANÉ EXPOZÍCIE</w:t>
            </w:r>
          </w:p>
          <w:p w14:paraId="33823EF6" w14:textId="77777777" w:rsidR="007421F4" w:rsidRPr="00E07C9A" w:rsidRDefault="007421F4" w:rsidP="007421F4">
            <w:pPr>
              <w:autoSpaceDE w:val="0"/>
              <w:autoSpaceDN w:val="0"/>
              <w:adjustRightInd w:val="0"/>
              <w:spacing w:before="0" w:after="0"/>
              <w:jc w:val="left"/>
              <w:rPr>
                <w:rFonts w:ascii="Times New Roman" w:hAnsi="Times New Roman"/>
                <w:sz w:val="24"/>
              </w:rPr>
            </w:pPr>
          </w:p>
          <w:p w14:paraId="26B63EB5" w14:textId="79DF54DD" w:rsidR="007421F4" w:rsidRPr="00E07C9A" w:rsidRDefault="007421F4" w:rsidP="007421F4">
            <w:pPr>
              <w:autoSpaceDE w:val="0"/>
              <w:autoSpaceDN w:val="0"/>
              <w:adjustRightInd w:val="0"/>
              <w:spacing w:before="0" w:after="0"/>
              <w:rPr>
                <w:rFonts w:ascii="Times New Roman" w:hAnsi="Times New Roman"/>
                <w:sz w:val="24"/>
              </w:rPr>
            </w:pPr>
            <w:r w:rsidRPr="00E07C9A">
              <w:rPr>
                <w:rFonts w:ascii="Times New Roman" w:hAnsi="Times New Roman"/>
                <w:sz w:val="24"/>
              </w:rPr>
              <w:t>V stĺpcoch 0140 až 0225 sa od vykazujúceho subjektu požadujú informácie</w:t>
            </w:r>
            <w:r w:rsidR="009912F8" w:rsidRPr="00E07C9A">
              <w:rPr>
                <w:rFonts w:ascii="Times New Roman" w:hAnsi="Times New Roman"/>
                <w:sz w:val="24"/>
              </w:rPr>
              <w:t xml:space="preserve"> o </w:t>
            </w:r>
            <w:r w:rsidRPr="00E07C9A">
              <w:rPr>
                <w:rFonts w:ascii="Times New Roman" w:hAnsi="Times New Roman"/>
                <w:sz w:val="24"/>
              </w:rPr>
              <w:t>viacerých vlastnostiach sekuritizovaného portfólia.</w:t>
            </w:r>
          </w:p>
          <w:p w14:paraId="38906957" w14:textId="77777777" w:rsidR="007421F4" w:rsidRPr="00E07C9A" w:rsidRDefault="007421F4" w:rsidP="007421F4">
            <w:pPr>
              <w:autoSpaceDE w:val="0"/>
              <w:autoSpaceDN w:val="0"/>
              <w:adjustRightInd w:val="0"/>
              <w:spacing w:before="0" w:after="0"/>
              <w:jc w:val="left"/>
              <w:rPr>
                <w:rFonts w:ascii="Times New Roman" w:hAnsi="Times New Roman"/>
                <w:sz w:val="24"/>
              </w:rPr>
            </w:pPr>
          </w:p>
        </w:tc>
      </w:tr>
      <w:tr w:rsidR="007421F4" w:rsidRPr="00E07C9A" w14:paraId="03F6A8B4" w14:textId="77777777" w:rsidTr="00E10B85">
        <w:tc>
          <w:tcPr>
            <w:tcW w:w="1101" w:type="dxa"/>
          </w:tcPr>
          <w:p w14:paraId="283319B1" w14:textId="77777777" w:rsidR="007421F4" w:rsidRPr="00E07C9A" w:rsidRDefault="007421F4" w:rsidP="007421F4">
            <w:pPr>
              <w:autoSpaceDE w:val="0"/>
              <w:autoSpaceDN w:val="0"/>
              <w:adjustRightInd w:val="0"/>
              <w:spacing w:before="0" w:after="0"/>
              <w:rPr>
                <w:rFonts w:ascii="Times New Roman" w:hAnsi="Times New Roman"/>
                <w:bCs/>
                <w:sz w:val="24"/>
              </w:rPr>
            </w:pPr>
            <w:r w:rsidRPr="00E07C9A">
              <w:rPr>
                <w:rFonts w:ascii="Times New Roman" w:hAnsi="Times New Roman"/>
                <w:sz w:val="24"/>
              </w:rPr>
              <w:t>0140</w:t>
            </w:r>
          </w:p>
        </w:tc>
        <w:tc>
          <w:tcPr>
            <w:tcW w:w="7903" w:type="dxa"/>
          </w:tcPr>
          <w:p w14:paraId="4B6D6D59" w14:textId="77777777" w:rsidR="007421F4" w:rsidRPr="00E07C9A" w:rsidRDefault="007421F4" w:rsidP="007421F4">
            <w:pPr>
              <w:spacing w:before="0" w:after="0"/>
              <w:jc w:val="left"/>
              <w:rPr>
                <w:rFonts w:ascii="Times New Roman" w:hAnsi="Times New Roman"/>
                <w:b/>
                <w:sz w:val="24"/>
                <w:u w:val="single"/>
              </w:rPr>
            </w:pPr>
            <w:r w:rsidRPr="00E07C9A">
              <w:rPr>
                <w:rFonts w:ascii="Times New Roman" w:hAnsi="Times New Roman"/>
                <w:b/>
                <w:sz w:val="24"/>
                <w:u w:val="single"/>
              </w:rPr>
              <w:t>CELKOVÁ HODNOTA</w:t>
            </w:r>
          </w:p>
          <w:p w14:paraId="4008C533" w14:textId="77777777" w:rsidR="007421F4" w:rsidRPr="00E07C9A" w:rsidRDefault="007421F4" w:rsidP="007421F4">
            <w:pPr>
              <w:spacing w:before="0" w:after="0"/>
              <w:jc w:val="left"/>
              <w:rPr>
                <w:rFonts w:ascii="Times New Roman" w:hAnsi="Times New Roman"/>
                <w:sz w:val="24"/>
              </w:rPr>
            </w:pPr>
          </w:p>
          <w:p w14:paraId="2B821583" w14:textId="0BAD7DBC" w:rsidR="007421F4" w:rsidRPr="00E07C9A" w:rsidRDefault="007421F4" w:rsidP="007421F4">
            <w:pPr>
              <w:autoSpaceDE w:val="0"/>
              <w:autoSpaceDN w:val="0"/>
              <w:adjustRightInd w:val="0"/>
              <w:spacing w:before="0" w:after="0"/>
              <w:rPr>
                <w:rFonts w:ascii="Times New Roman" w:hAnsi="Times New Roman"/>
                <w:sz w:val="24"/>
              </w:rPr>
            </w:pPr>
            <w:r w:rsidRPr="00E07C9A">
              <w:rPr>
                <w:rFonts w:ascii="Times New Roman" w:hAnsi="Times New Roman"/>
                <w:sz w:val="24"/>
              </w:rPr>
              <w:t>Inštitúcie vykazujú hodnotu sekuritizovaného portfólia</w:t>
            </w:r>
            <w:r w:rsidR="009912F8" w:rsidRPr="00E07C9A">
              <w:rPr>
                <w:rFonts w:ascii="Times New Roman" w:hAnsi="Times New Roman"/>
                <w:sz w:val="24"/>
              </w:rPr>
              <w:t xml:space="preserve"> k </w:t>
            </w:r>
            <w:r w:rsidRPr="00E07C9A">
              <w:rPr>
                <w:rFonts w:ascii="Times New Roman" w:hAnsi="Times New Roman"/>
                <w:sz w:val="24"/>
              </w:rPr>
              <w:t>dátumu vykazovania, t. j. zostávajúcu hodnotu sekuritizovaných expozícií.</w:t>
            </w:r>
            <w:r w:rsidR="009912F8" w:rsidRPr="00E07C9A">
              <w:rPr>
                <w:rFonts w:ascii="Times New Roman" w:hAnsi="Times New Roman"/>
                <w:sz w:val="24"/>
              </w:rPr>
              <w:t xml:space="preserve"> V </w:t>
            </w:r>
            <w:r w:rsidRPr="00E07C9A">
              <w:rPr>
                <w:rFonts w:ascii="Times New Roman" w:hAnsi="Times New Roman"/>
                <w:sz w:val="24"/>
              </w:rPr>
              <w:t>prípade tradičných sekuritizácií sa nezahrnú žiadne iné aktíva sekuritizačnej skupiny.</w:t>
            </w:r>
            <w:r w:rsidR="009912F8" w:rsidRPr="00E07C9A">
              <w:rPr>
                <w:rFonts w:ascii="Times New Roman" w:hAnsi="Times New Roman"/>
                <w:sz w:val="24"/>
              </w:rPr>
              <w:t xml:space="preserve"> V </w:t>
            </w:r>
            <w:r w:rsidRPr="00E07C9A">
              <w:rPr>
                <w:rFonts w:ascii="Times New Roman" w:hAnsi="Times New Roman"/>
                <w:sz w:val="24"/>
              </w:rPr>
              <w:t>prípade sekuritizačných schém</w:t>
            </w:r>
            <w:r w:rsidR="009912F8" w:rsidRPr="00E07C9A">
              <w:rPr>
                <w:rFonts w:ascii="Times New Roman" w:hAnsi="Times New Roman"/>
                <w:sz w:val="24"/>
              </w:rPr>
              <w:t xml:space="preserve"> s </w:t>
            </w:r>
            <w:r w:rsidRPr="00E07C9A">
              <w:rPr>
                <w:rFonts w:ascii="Times New Roman" w:hAnsi="Times New Roman"/>
                <w:sz w:val="24"/>
              </w:rPr>
              <w:t>viacerými predávajúcimi (t. j.</w:t>
            </w:r>
            <w:r w:rsidR="009912F8" w:rsidRPr="00E07C9A">
              <w:rPr>
                <w:rFonts w:ascii="Times New Roman" w:hAnsi="Times New Roman"/>
                <w:sz w:val="24"/>
              </w:rPr>
              <w:t xml:space="preserve"> s </w:t>
            </w:r>
            <w:r w:rsidRPr="00E07C9A">
              <w:rPr>
                <w:rFonts w:ascii="Times New Roman" w:hAnsi="Times New Roman"/>
                <w:sz w:val="24"/>
              </w:rPr>
              <w:t>viacerými originátormi) sa vykazuje len hodnota zodpovedajúca príspevku vykazujúceho subjektu do sekuritizovaného portfólia.</w:t>
            </w:r>
            <w:r w:rsidR="009912F8" w:rsidRPr="00E07C9A">
              <w:rPr>
                <w:rFonts w:ascii="Times New Roman" w:hAnsi="Times New Roman"/>
                <w:sz w:val="24"/>
              </w:rPr>
              <w:t xml:space="preserve"> V </w:t>
            </w:r>
            <w:r w:rsidRPr="00E07C9A">
              <w:rPr>
                <w:rFonts w:ascii="Times New Roman" w:hAnsi="Times New Roman"/>
                <w:sz w:val="24"/>
              </w:rPr>
              <w:t>prípade sekuritizačných schém založených na zatvorených skupinách (t. j. portfólio sekuritizovaných aktív nemožno po dátume vzniku rozšíriť) sa bude hodnota postupne znižovať.</w:t>
            </w:r>
          </w:p>
          <w:p w14:paraId="38801037" w14:textId="77777777" w:rsidR="007421F4" w:rsidRPr="00E07C9A" w:rsidRDefault="007421F4" w:rsidP="007421F4">
            <w:pPr>
              <w:autoSpaceDE w:val="0"/>
              <w:autoSpaceDN w:val="0"/>
              <w:adjustRightInd w:val="0"/>
              <w:spacing w:before="0" w:after="0"/>
              <w:rPr>
                <w:rFonts w:ascii="Times New Roman" w:hAnsi="Times New Roman"/>
                <w:sz w:val="24"/>
              </w:rPr>
            </w:pPr>
          </w:p>
          <w:p w14:paraId="23FAEEB7" w14:textId="0B0C9210" w:rsidR="007421F4" w:rsidRPr="00E07C9A" w:rsidRDefault="007421F4" w:rsidP="007421F4">
            <w:pPr>
              <w:autoSpaceDE w:val="0"/>
              <w:autoSpaceDN w:val="0"/>
              <w:adjustRightInd w:val="0"/>
              <w:spacing w:before="0" w:after="0"/>
              <w:rPr>
                <w:rFonts w:ascii="Times New Roman" w:hAnsi="Times New Roman"/>
                <w:sz w:val="24"/>
              </w:rPr>
            </w:pPr>
            <w:r w:rsidRPr="00E07C9A">
              <w:rPr>
                <w:rFonts w:ascii="Times New Roman" w:hAnsi="Times New Roman"/>
                <w:sz w:val="24"/>
              </w:rPr>
              <w:t>Táto informácia sa vykazuje, aj keď vykazujúci subjekt nedrží žiadne pozície</w:t>
            </w:r>
            <w:r w:rsidR="009912F8" w:rsidRPr="00E07C9A">
              <w:rPr>
                <w:rFonts w:ascii="Times New Roman" w:hAnsi="Times New Roman"/>
                <w:sz w:val="24"/>
              </w:rPr>
              <w:t xml:space="preserve"> v </w:t>
            </w:r>
            <w:r w:rsidRPr="00E07C9A">
              <w:rPr>
                <w:rFonts w:ascii="Times New Roman" w:hAnsi="Times New Roman"/>
                <w:sz w:val="24"/>
              </w:rPr>
              <w:t>sekuritizácii.</w:t>
            </w:r>
          </w:p>
          <w:p w14:paraId="6CA4A90F" w14:textId="77777777" w:rsidR="007421F4" w:rsidRPr="00E07C9A" w:rsidRDefault="007421F4" w:rsidP="007421F4">
            <w:pPr>
              <w:autoSpaceDE w:val="0"/>
              <w:autoSpaceDN w:val="0"/>
              <w:adjustRightInd w:val="0"/>
              <w:spacing w:before="0" w:after="0"/>
              <w:jc w:val="left"/>
              <w:rPr>
                <w:rFonts w:ascii="Times New Roman" w:hAnsi="Times New Roman"/>
                <w:sz w:val="24"/>
              </w:rPr>
            </w:pPr>
          </w:p>
        </w:tc>
      </w:tr>
      <w:tr w:rsidR="007421F4" w:rsidRPr="00E07C9A" w14:paraId="6CCC5F74" w14:textId="77777777" w:rsidTr="00E10B85">
        <w:tc>
          <w:tcPr>
            <w:tcW w:w="1101" w:type="dxa"/>
          </w:tcPr>
          <w:p w14:paraId="28B2A56F" w14:textId="77777777" w:rsidR="007421F4" w:rsidRPr="00E07C9A" w:rsidRDefault="007421F4" w:rsidP="007421F4">
            <w:pPr>
              <w:autoSpaceDE w:val="0"/>
              <w:autoSpaceDN w:val="0"/>
              <w:adjustRightInd w:val="0"/>
              <w:spacing w:before="0" w:after="0"/>
              <w:rPr>
                <w:rFonts w:ascii="Times New Roman" w:hAnsi="Times New Roman"/>
                <w:bCs/>
                <w:sz w:val="24"/>
              </w:rPr>
            </w:pPr>
            <w:r w:rsidRPr="00E07C9A">
              <w:rPr>
                <w:rFonts w:ascii="Times New Roman" w:hAnsi="Times New Roman"/>
                <w:sz w:val="24"/>
              </w:rPr>
              <w:t>0150</w:t>
            </w:r>
          </w:p>
        </w:tc>
        <w:tc>
          <w:tcPr>
            <w:tcW w:w="7903" w:type="dxa"/>
          </w:tcPr>
          <w:p w14:paraId="688154F6" w14:textId="77777777" w:rsidR="007421F4" w:rsidRPr="00E07C9A" w:rsidRDefault="007421F4" w:rsidP="007421F4">
            <w:pPr>
              <w:spacing w:before="0" w:after="0"/>
              <w:jc w:val="left"/>
              <w:rPr>
                <w:rFonts w:ascii="Times New Roman" w:hAnsi="Times New Roman"/>
                <w:b/>
                <w:sz w:val="24"/>
                <w:u w:val="single"/>
              </w:rPr>
            </w:pPr>
            <w:r w:rsidRPr="00E07C9A">
              <w:rPr>
                <w:rFonts w:ascii="Times New Roman" w:hAnsi="Times New Roman"/>
                <w:b/>
                <w:sz w:val="24"/>
                <w:u w:val="single"/>
              </w:rPr>
              <w:t>PODIEL INŠTITÚCIE (%)</w:t>
            </w:r>
          </w:p>
          <w:p w14:paraId="44A53FB4" w14:textId="77777777" w:rsidR="007421F4" w:rsidRPr="00E07C9A" w:rsidRDefault="007421F4" w:rsidP="007421F4">
            <w:pPr>
              <w:spacing w:before="0" w:after="0"/>
              <w:jc w:val="left"/>
              <w:rPr>
                <w:rFonts w:ascii="Times New Roman" w:hAnsi="Times New Roman"/>
                <w:sz w:val="24"/>
              </w:rPr>
            </w:pPr>
          </w:p>
          <w:p w14:paraId="1289AA2B" w14:textId="05ABA357" w:rsidR="007421F4" w:rsidRPr="00E07C9A" w:rsidRDefault="007421F4" w:rsidP="007421F4">
            <w:pPr>
              <w:spacing w:before="0" w:after="0"/>
              <w:rPr>
                <w:rFonts w:ascii="Times New Roman" w:hAnsi="Times New Roman"/>
                <w:sz w:val="24"/>
              </w:rPr>
            </w:pPr>
            <w:r w:rsidRPr="00E07C9A">
              <w:rPr>
                <w:rFonts w:ascii="Times New Roman" w:hAnsi="Times New Roman"/>
                <w:sz w:val="24"/>
              </w:rPr>
              <w:t>Podiel inštitúcie (percentuálny podiel</w:t>
            </w:r>
            <w:r w:rsidR="009912F8" w:rsidRPr="00E07C9A">
              <w:rPr>
                <w:rFonts w:ascii="Times New Roman" w:hAnsi="Times New Roman"/>
                <w:sz w:val="24"/>
              </w:rPr>
              <w:t xml:space="preserve"> s </w:t>
            </w:r>
            <w:r w:rsidRPr="00E07C9A">
              <w:rPr>
                <w:rFonts w:ascii="Times New Roman" w:hAnsi="Times New Roman"/>
                <w:sz w:val="24"/>
              </w:rPr>
              <w:t>dvoma desatinnými miestami)</w:t>
            </w:r>
            <w:r w:rsidR="009912F8" w:rsidRPr="00E07C9A">
              <w:rPr>
                <w:rFonts w:ascii="Times New Roman" w:hAnsi="Times New Roman"/>
                <w:sz w:val="24"/>
              </w:rPr>
              <w:t xml:space="preserve"> v </w:t>
            </w:r>
            <w:r w:rsidRPr="00E07C9A">
              <w:rPr>
                <w:rFonts w:ascii="Times New Roman" w:hAnsi="Times New Roman"/>
                <w:sz w:val="24"/>
              </w:rPr>
              <w:t>sekuritizovanom portfóliu</w:t>
            </w:r>
            <w:r w:rsidR="009912F8" w:rsidRPr="00E07C9A">
              <w:rPr>
                <w:rFonts w:ascii="Times New Roman" w:hAnsi="Times New Roman"/>
                <w:sz w:val="24"/>
              </w:rPr>
              <w:t xml:space="preserve"> k </w:t>
            </w:r>
            <w:r w:rsidRPr="00E07C9A">
              <w:rPr>
                <w:rFonts w:ascii="Times New Roman" w:hAnsi="Times New Roman"/>
                <w:sz w:val="24"/>
              </w:rPr>
              <w:t>dátumu vykazovania. Hodnota vykazovaná</w:t>
            </w:r>
            <w:r w:rsidR="009912F8" w:rsidRPr="00E07C9A">
              <w:rPr>
                <w:rFonts w:ascii="Times New Roman" w:hAnsi="Times New Roman"/>
                <w:sz w:val="24"/>
              </w:rPr>
              <w:t xml:space="preserve"> v </w:t>
            </w:r>
            <w:r w:rsidRPr="00E07C9A">
              <w:rPr>
                <w:rFonts w:ascii="Times New Roman" w:hAnsi="Times New Roman"/>
                <w:sz w:val="24"/>
              </w:rPr>
              <w:t>tomto stĺpci je zvyčajne 100</w:t>
            </w:r>
            <w:r w:rsidR="009912F8" w:rsidRPr="00E07C9A">
              <w:rPr>
                <w:rFonts w:ascii="Times New Roman" w:hAnsi="Times New Roman"/>
              </w:rPr>
              <w:t> %</w:t>
            </w:r>
            <w:r w:rsidRPr="00E07C9A">
              <w:rPr>
                <w:rFonts w:ascii="Times New Roman" w:hAnsi="Times New Roman"/>
                <w:sz w:val="24"/>
              </w:rPr>
              <w:t xml:space="preserve"> okrem sekuritizačných schém</w:t>
            </w:r>
            <w:r w:rsidR="009912F8" w:rsidRPr="00E07C9A">
              <w:rPr>
                <w:rFonts w:ascii="Times New Roman" w:hAnsi="Times New Roman"/>
                <w:sz w:val="24"/>
              </w:rPr>
              <w:t xml:space="preserve"> s </w:t>
            </w:r>
            <w:r w:rsidRPr="00E07C9A">
              <w:rPr>
                <w:rFonts w:ascii="Times New Roman" w:hAnsi="Times New Roman"/>
                <w:sz w:val="24"/>
              </w:rPr>
              <w:t>viacerými predávajúcimi. Vykazujúci subjekt</w:t>
            </w:r>
            <w:r w:rsidR="009912F8" w:rsidRPr="00E07C9A">
              <w:rPr>
                <w:rFonts w:ascii="Times New Roman" w:hAnsi="Times New Roman"/>
                <w:sz w:val="24"/>
              </w:rPr>
              <w:t xml:space="preserve"> v </w:t>
            </w:r>
            <w:r w:rsidRPr="00E07C9A">
              <w:rPr>
                <w:rFonts w:ascii="Times New Roman" w:hAnsi="Times New Roman"/>
                <w:sz w:val="24"/>
              </w:rPr>
              <w:t>tomto prípade vykáže svoj aktuálny príspevok do sekuritizovaného portfólia (relatívny ekvivalent stĺpca 0140).</w:t>
            </w:r>
          </w:p>
          <w:p w14:paraId="4651FBED" w14:textId="77777777" w:rsidR="007421F4" w:rsidRPr="00E07C9A" w:rsidRDefault="007421F4" w:rsidP="007421F4">
            <w:pPr>
              <w:spacing w:before="0" w:after="0"/>
              <w:rPr>
                <w:rFonts w:ascii="Times New Roman" w:hAnsi="Times New Roman"/>
                <w:sz w:val="24"/>
              </w:rPr>
            </w:pPr>
          </w:p>
          <w:p w14:paraId="523A97CD" w14:textId="7E05DAC2" w:rsidR="007421F4" w:rsidRPr="00E07C9A" w:rsidRDefault="007421F4" w:rsidP="007421F4">
            <w:pPr>
              <w:autoSpaceDE w:val="0"/>
              <w:autoSpaceDN w:val="0"/>
              <w:adjustRightInd w:val="0"/>
              <w:spacing w:before="0" w:after="0"/>
              <w:rPr>
                <w:rFonts w:ascii="Times New Roman" w:hAnsi="Times New Roman"/>
                <w:sz w:val="24"/>
              </w:rPr>
            </w:pPr>
            <w:r w:rsidRPr="00E07C9A">
              <w:rPr>
                <w:rFonts w:ascii="Times New Roman" w:hAnsi="Times New Roman"/>
                <w:sz w:val="24"/>
              </w:rPr>
              <w:t>Táto informácia sa vykazuje, aj keď vykazujúci subjekt nedrží žiadne pozície</w:t>
            </w:r>
            <w:r w:rsidR="009912F8" w:rsidRPr="00E07C9A">
              <w:rPr>
                <w:rFonts w:ascii="Times New Roman" w:hAnsi="Times New Roman"/>
                <w:sz w:val="24"/>
              </w:rPr>
              <w:t xml:space="preserve"> v </w:t>
            </w:r>
            <w:r w:rsidRPr="00E07C9A">
              <w:rPr>
                <w:rFonts w:ascii="Times New Roman" w:hAnsi="Times New Roman"/>
                <w:sz w:val="24"/>
              </w:rPr>
              <w:t>sekuritizácii.</w:t>
            </w:r>
          </w:p>
          <w:p w14:paraId="2CDE721C" w14:textId="77777777" w:rsidR="007421F4" w:rsidRPr="00E07C9A" w:rsidRDefault="007421F4" w:rsidP="007421F4">
            <w:pPr>
              <w:autoSpaceDE w:val="0"/>
              <w:autoSpaceDN w:val="0"/>
              <w:adjustRightInd w:val="0"/>
              <w:spacing w:before="0" w:after="0"/>
              <w:jc w:val="left"/>
              <w:rPr>
                <w:rFonts w:ascii="Times New Roman" w:hAnsi="Times New Roman"/>
                <w:sz w:val="24"/>
              </w:rPr>
            </w:pPr>
          </w:p>
        </w:tc>
      </w:tr>
      <w:tr w:rsidR="007421F4" w:rsidRPr="00E07C9A" w14:paraId="1A87B758" w14:textId="77777777" w:rsidTr="00E10B85">
        <w:tc>
          <w:tcPr>
            <w:tcW w:w="1101" w:type="dxa"/>
          </w:tcPr>
          <w:p w14:paraId="7776E9B0" w14:textId="77777777" w:rsidR="007421F4" w:rsidRPr="00E07C9A" w:rsidDel="00817047" w:rsidRDefault="007421F4" w:rsidP="007421F4">
            <w:pPr>
              <w:autoSpaceDE w:val="0"/>
              <w:autoSpaceDN w:val="0"/>
              <w:adjustRightInd w:val="0"/>
              <w:spacing w:before="0" w:after="0"/>
              <w:rPr>
                <w:rFonts w:ascii="Times New Roman" w:hAnsi="Times New Roman"/>
                <w:bCs/>
                <w:sz w:val="24"/>
              </w:rPr>
            </w:pPr>
            <w:r w:rsidRPr="00E07C9A">
              <w:rPr>
                <w:rFonts w:ascii="Times New Roman" w:hAnsi="Times New Roman"/>
                <w:sz w:val="24"/>
              </w:rPr>
              <w:t>0160</w:t>
            </w:r>
          </w:p>
        </w:tc>
        <w:tc>
          <w:tcPr>
            <w:tcW w:w="7903" w:type="dxa"/>
          </w:tcPr>
          <w:p w14:paraId="27EFEB37" w14:textId="77777777" w:rsidR="007421F4" w:rsidRPr="00E07C9A" w:rsidRDefault="007421F4" w:rsidP="007421F4">
            <w:pPr>
              <w:spacing w:before="0" w:after="0"/>
              <w:jc w:val="left"/>
              <w:rPr>
                <w:rFonts w:ascii="Times New Roman" w:hAnsi="Times New Roman"/>
                <w:b/>
                <w:sz w:val="24"/>
                <w:u w:val="single"/>
              </w:rPr>
            </w:pPr>
            <w:r w:rsidRPr="00E07C9A">
              <w:rPr>
                <w:rFonts w:ascii="Times New Roman" w:hAnsi="Times New Roman"/>
                <w:b/>
                <w:sz w:val="24"/>
                <w:u w:val="single"/>
              </w:rPr>
              <w:t>TYP</w:t>
            </w:r>
          </w:p>
          <w:p w14:paraId="3A1F7493" w14:textId="77777777" w:rsidR="007421F4" w:rsidRPr="00E07C9A" w:rsidRDefault="007421F4" w:rsidP="007421F4">
            <w:pPr>
              <w:autoSpaceDE w:val="0"/>
              <w:autoSpaceDN w:val="0"/>
              <w:adjustRightInd w:val="0"/>
              <w:spacing w:before="0" w:after="0"/>
              <w:rPr>
                <w:rFonts w:ascii="Times New Roman" w:hAnsi="Times New Roman"/>
                <w:sz w:val="24"/>
              </w:rPr>
            </w:pPr>
          </w:p>
          <w:p w14:paraId="63C7EBD7" w14:textId="3A6372FA" w:rsidR="007421F4" w:rsidRPr="00E07C9A" w:rsidRDefault="007421F4" w:rsidP="007421F4">
            <w:pPr>
              <w:autoSpaceDE w:val="0"/>
              <w:autoSpaceDN w:val="0"/>
              <w:adjustRightInd w:val="0"/>
              <w:spacing w:before="0" w:after="0"/>
              <w:rPr>
                <w:rFonts w:ascii="Times New Roman" w:hAnsi="Times New Roman"/>
                <w:sz w:val="24"/>
              </w:rPr>
            </w:pPr>
            <w:r w:rsidRPr="00E07C9A">
              <w:rPr>
                <w:rFonts w:ascii="Times New Roman" w:hAnsi="Times New Roman"/>
                <w:sz w:val="24"/>
              </w:rPr>
              <w:t>V tomto stĺpci sa zhromažďujú informácie</w:t>
            </w:r>
            <w:r w:rsidR="009912F8" w:rsidRPr="00E07C9A">
              <w:rPr>
                <w:rFonts w:ascii="Times New Roman" w:hAnsi="Times New Roman"/>
                <w:sz w:val="24"/>
              </w:rPr>
              <w:t xml:space="preserve"> o </w:t>
            </w:r>
            <w:r w:rsidRPr="00E07C9A">
              <w:rPr>
                <w:rFonts w:ascii="Times New Roman" w:hAnsi="Times New Roman"/>
                <w:sz w:val="24"/>
              </w:rPr>
              <w:t>type aktív („Hypotéky na nehnuteľný majetok určený na bývanie“ až „Iné veľkoobchodné expozície“) alebo záväzkov („Kryté dlhopisy“</w:t>
            </w:r>
            <w:r w:rsidR="009912F8" w:rsidRPr="00E07C9A">
              <w:rPr>
                <w:rFonts w:ascii="Times New Roman" w:hAnsi="Times New Roman"/>
                <w:sz w:val="24"/>
              </w:rPr>
              <w:t xml:space="preserve"> a </w:t>
            </w:r>
            <w:r w:rsidRPr="00E07C9A">
              <w:rPr>
                <w:rFonts w:ascii="Times New Roman" w:hAnsi="Times New Roman"/>
                <w:sz w:val="24"/>
              </w:rPr>
              <w:t>„Iné záväzky“) sekuritizovaného portfólia. Inštitúcia vykazuje jednu</w:t>
            </w:r>
            <w:r w:rsidR="009912F8" w:rsidRPr="00E07C9A">
              <w:rPr>
                <w:rFonts w:ascii="Times New Roman" w:hAnsi="Times New Roman"/>
                <w:sz w:val="24"/>
              </w:rPr>
              <w:t xml:space="preserve"> z </w:t>
            </w:r>
            <w:r w:rsidRPr="00E07C9A">
              <w:rPr>
                <w:rFonts w:ascii="Times New Roman" w:hAnsi="Times New Roman"/>
                <w:sz w:val="24"/>
              </w:rPr>
              <w:t>nasledujúcich možností, pričom zohľadňuje najvyšší EAD:</w:t>
            </w:r>
          </w:p>
          <w:p w14:paraId="07AF790A" w14:textId="77777777" w:rsidR="007421F4" w:rsidRPr="00E07C9A" w:rsidRDefault="007421F4" w:rsidP="007421F4">
            <w:pPr>
              <w:autoSpaceDE w:val="0"/>
              <w:autoSpaceDN w:val="0"/>
              <w:adjustRightInd w:val="0"/>
              <w:spacing w:before="0" w:after="0"/>
              <w:jc w:val="left"/>
              <w:rPr>
                <w:rFonts w:ascii="Times New Roman" w:hAnsi="Times New Roman"/>
                <w:sz w:val="24"/>
              </w:rPr>
            </w:pPr>
          </w:p>
          <w:p w14:paraId="71C3379E" w14:textId="77777777" w:rsidR="007421F4" w:rsidRPr="00E07C9A" w:rsidRDefault="007421F4" w:rsidP="007421F4">
            <w:pPr>
              <w:autoSpaceDE w:val="0"/>
              <w:autoSpaceDN w:val="0"/>
              <w:adjustRightInd w:val="0"/>
              <w:spacing w:before="0" w:after="0"/>
              <w:jc w:val="left"/>
              <w:rPr>
                <w:rFonts w:ascii="Times New Roman" w:hAnsi="Times New Roman"/>
                <w:b/>
                <w:sz w:val="24"/>
              </w:rPr>
            </w:pPr>
            <w:r w:rsidRPr="00E07C9A">
              <w:rPr>
                <w:rFonts w:ascii="Times New Roman" w:hAnsi="Times New Roman"/>
                <w:b/>
                <w:sz w:val="24"/>
              </w:rPr>
              <w:t>Retailové subjekty:</w:t>
            </w:r>
          </w:p>
          <w:p w14:paraId="1B97EE25" w14:textId="77777777" w:rsidR="009912F8" w:rsidRPr="00E07C9A" w:rsidRDefault="007421F4" w:rsidP="007421F4">
            <w:pPr>
              <w:autoSpaceDE w:val="0"/>
              <w:autoSpaceDN w:val="0"/>
              <w:adjustRightInd w:val="0"/>
              <w:spacing w:before="0" w:after="0"/>
              <w:jc w:val="left"/>
              <w:rPr>
                <w:rFonts w:ascii="Times New Roman" w:hAnsi="Times New Roman"/>
                <w:sz w:val="24"/>
              </w:rPr>
            </w:pPr>
            <w:r w:rsidRPr="00E07C9A">
              <w:rPr>
                <w:rFonts w:ascii="Times New Roman" w:hAnsi="Times New Roman"/>
                <w:sz w:val="24"/>
              </w:rPr>
              <w:t>hypotéky na nehnuteľný majetok určený na bývanie</w:t>
            </w:r>
            <w:r w:rsidR="009912F8" w:rsidRPr="00E07C9A">
              <w:rPr>
                <w:rFonts w:ascii="Times New Roman" w:hAnsi="Times New Roman"/>
                <w:sz w:val="24"/>
              </w:rPr>
              <w:t>;</w:t>
            </w:r>
          </w:p>
          <w:p w14:paraId="0FCA6D1A" w14:textId="7C62BFDF" w:rsidR="009912F8" w:rsidRPr="00E07C9A" w:rsidRDefault="007421F4" w:rsidP="007421F4">
            <w:pPr>
              <w:autoSpaceDE w:val="0"/>
              <w:autoSpaceDN w:val="0"/>
              <w:adjustRightInd w:val="0"/>
              <w:spacing w:before="0" w:after="0"/>
              <w:jc w:val="left"/>
              <w:rPr>
                <w:rFonts w:ascii="Times New Roman" w:hAnsi="Times New Roman"/>
                <w:sz w:val="24"/>
              </w:rPr>
            </w:pPr>
            <w:r w:rsidRPr="00E07C9A">
              <w:rPr>
                <w:rFonts w:ascii="Times New Roman" w:hAnsi="Times New Roman"/>
                <w:sz w:val="24"/>
              </w:rPr>
              <w:t>pohľadávky</w:t>
            </w:r>
            <w:r w:rsidR="009912F8" w:rsidRPr="00E07C9A">
              <w:rPr>
                <w:rFonts w:ascii="Times New Roman" w:hAnsi="Times New Roman"/>
                <w:sz w:val="24"/>
              </w:rPr>
              <w:t xml:space="preserve"> z </w:t>
            </w:r>
            <w:r w:rsidRPr="00E07C9A">
              <w:rPr>
                <w:rFonts w:ascii="Times New Roman" w:hAnsi="Times New Roman"/>
                <w:sz w:val="24"/>
              </w:rPr>
              <w:t>kreditných kariet</w:t>
            </w:r>
            <w:r w:rsidR="009912F8" w:rsidRPr="00E07C9A">
              <w:rPr>
                <w:rFonts w:ascii="Times New Roman" w:hAnsi="Times New Roman"/>
                <w:sz w:val="24"/>
              </w:rPr>
              <w:t>;</w:t>
            </w:r>
          </w:p>
          <w:p w14:paraId="101E9DFE" w14:textId="2E97C76D" w:rsidR="007421F4" w:rsidRPr="00E07C9A" w:rsidRDefault="007421F4" w:rsidP="007421F4">
            <w:pPr>
              <w:autoSpaceDE w:val="0"/>
              <w:autoSpaceDN w:val="0"/>
              <w:adjustRightInd w:val="0"/>
              <w:spacing w:before="0" w:after="0"/>
              <w:jc w:val="left"/>
              <w:rPr>
                <w:rFonts w:ascii="Times New Roman" w:hAnsi="Times New Roman"/>
                <w:sz w:val="24"/>
              </w:rPr>
            </w:pPr>
            <w:r w:rsidRPr="00E07C9A">
              <w:rPr>
                <w:rFonts w:ascii="Times New Roman" w:hAnsi="Times New Roman"/>
                <w:sz w:val="24"/>
              </w:rPr>
              <w:t>spotrebiteľské úvery;</w:t>
            </w:r>
          </w:p>
          <w:p w14:paraId="019FE0D6" w14:textId="0AECD364" w:rsidR="007421F4" w:rsidRPr="00E07C9A" w:rsidRDefault="007421F4" w:rsidP="007421F4">
            <w:pPr>
              <w:autoSpaceDE w:val="0"/>
              <w:autoSpaceDN w:val="0"/>
              <w:adjustRightInd w:val="0"/>
              <w:spacing w:before="0" w:after="0"/>
              <w:jc w:val="left"/>
              <w:rPr>
                <w:rFonts w:ascii="Times New Roman" w:hAnsi="Times New Roman"/>
                <w:sz w:val="24"/>
              </w:rPr>
            </w:pPr>
            <w:r w:rsidRPr="00E07C9A">
              <w:rPr>
                <w:rFonts w:ascii="Times New Roman" w:hAnsi="Times New Roman"/>
                <w:sz w:val="24"/>
              </w:rPr>
              <w:t>úvery poskytnuté MSP (s ktorými sa zaobchádza ako</w:t>
            </w:r>
            <w:r w:rsidR="009912F8" w:rsidRPr="00E07C9A">
              <w:rPr>
                <w:rFonts w:ascii="Times New Roman" w:hAnsi="Times New Roman"/>
                <w:sz w:val="24"/>
              </w:rPr>
              <w:t xml:space="preserve"> s </w:t>
            </w:r>
            <w:r w:rsidRPr="00E07C9A">
              <w:rPr>
                <w:rFonts w:ascii="Times New Roman" w:hAnsi="Times New Roman"/>
                <w:sz w:val="24"/>
              </w:rPr>
              <w:t>retailovými subjektmi);</w:t>
            </w:r>
          </w:p>
          <w:p w14:paraId="6D8110C3" w14:textId="77777777" w:rsidR="007421F4" w:rsidRPr="00E07C9A" w:rsidRDefault="007421F4" w:rsidP="007421F4">
            <w:pPr>
              <w:autoSpaceDE w:val="0"/>
              <w:autoSpaceDN w:val="0"/>
              <w:adjustRightInd w:val="0"/>
              <w:spacing w:before="0" w:after="0"/>
              <w:jc w:val="left"/>
              <w:rPr>
                <w:rFonts w:ascii="Times New Roman" w:hAnsi="Times New Roman"/>
                <w:sz w:val="24"/>
              </w:rPr>
            </w:pPr>
            <w:r w:rsidRPr="00E07C9A">
              <w:rPr>
                <w:rFonts w:ascii="Times New Roman" w:hAnsi="Times New Roman"/>
                <w:sz w:val="24"/>
              </w:rPr>
              <w:t>iné retailové expozície.</w:t>
            </w:r>
          </w:p>
          <w:p w14:paraId="0B6CEA54" w14:textId="77777777" w:rsidR="007421F4" w:rsidRPr="00E07C9A" w:rsidRDefault="007421F4" w:rsidP="007421F4">
            <w:pPr>
              <w:autoSpaceDE w:val="0"/>
              <w:autoSpaceDN w:val="0"/>
              <w:adjustRightInd w:val="0"/>
              <w:spacing w:before="0" w:after="0"/>
              <w:jc w:val="left"/>
              <w:rPr>
                <w:rFonts w:ascii="Times New Roman" w:hAnsi="Times New Roman"/>
                <w:sz w:val="24"/>
              </w:rPr>
            </w:pPr>
          </w:p>
          <w:p w14:paraId="6C663D4E" w14:textId="77777777" w:rsidR="007421F4" w:rsidRPr="00E07C9A" w:rsidRDefault="007421F4" w:rsidP="007421F4">
            <w:pPr>
              <w:autoSpaceDE w:val="0"/>
              <w:autoSpaceDN w:val="0"/>
              <w:adjustRightInd w:val="0"/>
              <w:spacing w:before="0" w:after="0"/>
              <w:jc w:val="left"/>
              <w:rPr>
                <w:rFonts w:ascii="Times New Roman" w:hAnsi="Times New Roman"/>
                <w:b/>
                <w:sz w:val="24"/>
              </w:rPr>
            </w:pPr>
            <w:r w:rsidRPr="00E07C9A">
              <w:rPr>
                <w:rFonts w:ascii="Times New Roman" w:hAnsi="Times New Roman"/>
                <w:b/>
                <w:sz w:val="24"/>
              </w:rPr>
              <w:t>Veľkoobchodné:</w:t>
            </w:r>
          </w:p>
          <w:p w14:paraId="14CDBE47" w14:textId="77777777" w:rsidR="009912F8" w:rsidRPr="00E07C9A" w:rsidRDefault="007421F4" w:rsidP="007421F4">
            <w:pPr>
              <w:autoSpaceDE w:val="0"/>
              <w:autoSpaceDN w:val="0"/>
              <w:adjustRightInd w:val="0"/>
              <w:spacing w:before="0" w:after="0"/>
              <w:jc w:val="left"/>
              <w:rPr>
                <w:rFonts w:ascii="Times New Roman" w:hAnsi="Times New Roman"/>
                <w:sz w:val="24"/>
              </w:rPr>
            </w:pPr>
            <w:r w:rsidRPr="00E07C9A">
              <w:rPr>
                <w:rFonts w:ascii="Times New Roman" w:hAnsi="Times New Roman"/>
                <w:sz w:val="24"/>
              </w:rPr>
              <w:t>hypotéky na nehnuteľný majetok určený na podnikanie</w:t>
            </w:r>
            <w:r w:rsidR="009912F8" w:rsidRPr="00E07C9A">
              <w:rPr>
                <w:rFonts w:ascii="Times New Roman" w:hAnsi="Times New Roman"/>
                <w:sz w:val="24"/>
              </w:rPr>
              <w:t>;</w:t>
            </w:r>
          </w:p>
          <w:p w14:paraId="660F9474" w14:textId="77777777" w:rsidR="009912F8" w:rsidRPr="00E07C9A" w:rsidRDefault="007421F4" w:rsidP="007421F4">
            <w:pPr>
              <w:autoSpaceDE w:val="0"/>
              <w:autoSpaceDN w:val="0"/>
              <w:adjustRightInd w:val="0"/>
              <w:spacing w:before="0" w:after="0"/>
              <w:jc w:val="left"/>
              <w:rPr>
                <w:rFonts w:ascii="Times New Roman" w:hAnsi="Times New Roman"/>
                <w:sz w:val="24"/>
              </w:rPr>
            </w:pPr>
            <w:r w:rsidRPr="00E07C9A">
              <w:rPr>
                <w:rFonts w:ascii="Times New Roman" w:hAnsi="Times New Roman"/>
                <w:sz w:val="24"/>
              </w:rPr>
              <w:t>lízing</w:t>
            </w:r>
            <w:r w:rsidR="009912F8" w:rsidRPr="00E07C9A">
              <w:rPr>
                <w:rFonts w:ascii="Times New Roman" w:hAnsi="Times New Roman"/>
                <w:sz w:val="24"/>
              </w:rPr>
              <w:t>;</w:t>
            </w:r>
          </w:p>
          <w:p w14:paraId="637D7F8F" w14:textId="34095BB2" w:rsidR="007421F4" w:rsidRPr="00E07C9A" w:rsidRDefault="007421F4" w:rsidP="007421F4">
            <w:pPr>
              <w:autoSpaceDE w:val="0"/>
              <w:autoSpaceDN w:val="0"/>
              <w:adjustRightInd w:val="0"/>
              <w:spacing w:before="0" w:after="0"/>
              <w:jc w:val="left"/>
              <w:rPr>
                <w:rFonts w:ascii="Times New Roman" w:hAnsi="Times New Roman"/>
                <w:sz w:val="24"/>
              </w:rPr>
            </w:pPr>
            <w:r w:rsidRPr="00E07C9A">
              <w:rPr>
                <w:rFonts w:ascii="Times New Roman" w:hAnsi="Times New Roman"/>
                <w:sz w:val="24"/>
              </w:rPr>
              <w:t>úvery poskytnuté podnikateľským subjektom;</w:t>
            </w:r>
          </w:p>
          <w:p w14:paraId="01D661B2" w14:textId="6754C0DF" w:rsidR="009912F8" w:rsidRPr="00E07C9A" w:rsidRDefault="007421F4" w:rsidP="007421F4">
            <w:pPr>
              <w:autoSpaceDE w:val="0"/>
              <w:autoSpaceDN w:val="0"/>
              <w:adjustRightInd w:val="0"/>
              <w:spacing w:before="0" w:after="0"/>
              <w:jc w:val="left"/>
              <w:rPr>
                <w:rFonts w:ascii="Times New Roman" w:hAnsi="Times New Roman"/>
                <w:sz w:val="24"/>
              </w:rPr>
            </w:pPr>
            <w:r w:rsidRPr="00E07C9A">
              <w:rPr>
                <w:rFonts w:ascii="Times New Roman" w:hAnsi="Times New Roman"/>
                <w:sz w:val="24"/>
              </w:rPr>
              <w:t>úvery poskytnuté MSP (s ktorými sa zaobchádza ako</w:t>
            </w:r>
            <w:r w:rsidR="009912F8" w:rsidRPr="00E07C9A">
              <w:rPr>
                <w:rFonts w:ascii="Times New Roman" w:hAnsi="Times New Roman"/>
                <w:sz w:val="24"/>
              </w:rPr>
              <w:t xml:space="preserve"> s </w:t>
            </w:r>
            <w:r w:rsidRPr="00E07C9A">
              <w:rPr>
                <w:rFonts w:ascii="Times New Roman" w:hAnsi="Times New Roman"/>
                <w:sz w:val="24"/>
              </w:rPr>
              <w:t>podnikateľskými subjektmi)</w:t>
            </w:r>
            <w:r w:rsidR="009912F8" w:rsidRPr="00E07C9A">
              <w:rPr>
                <w:rFonts w:ascii="Times New Roman" w:hAnsi="Times New Roman"/>
                <w:sz w:val="24"/>
              </w:rPr>
              <w:t>;</w:t>
            </w:r>
          </w:p>
          <w:p w14:paraId="14D03DE6" w14:textId="7EBF0958" w:rsidR="007421F4" w:rsidRPr="00E07C9A" w:rsidRDefault="007421F4" w:rsidP="007421F4">
            <w:pPr>
              <w:autoSpaceDE w:val="0"/>
              <w:autoSpaceDN w:val="0"/>
              <w:adjustRightInd w:val="0"/>
              <w:spacing w:before="0" w:after="0"/>
              <w:jc w:val="left"/>
              <w:rPr>
                <w:rFonts w:ascii="Times New Roman" w:hAnsi="Times New Roman"/>
                <w:sz w:val="24"/>
              </w:rPr>
            </w:pPr>
            <w:r w:rsidRPr="00E07C9A">
              <w:rPr>
                <w:rFonts w:ascii="Times New Roman" w:hAnsi="Times New Roman"/>
                <w:sz w:val="24"/>
              </w:rPr>
              <w:t>obchodné pohľadávky;</w:t>
            </w:r>
          </w:p>
          <w:p w14:paraId="3E7D4CC3" w14:textId="77777777" w:rsidR="009912F8" w:rsidRPr="00E07C9A" w:rsidRDefault="007421F4" w:rsidP="007421F4">
            <w:pPr>
              <w:autoSpaceDE w:val="0"/>
              <w:autoSpaceDN w:val="0"/>
              <w:adjustRightInd w:val="0"/>
              <w:spacing w:before="0" w:after="0"/>
              <w:jc w:val="left"/>
              <w:rPr>
                <w:rFonts w:ascii="Times New Roman" w:hAnsi="Times New Roman"/>
                <w:sz w:val="24"/>
              </w:rPr>
            </w:pPr>
            <w:r w:rsidRPr="00E07C9A">
              <w:rPr>
                <w:rFonts w:ascii="Times New Roman" w:hAnsi="Times New Roman"/>
                <w:sz w:val="24"/>
              </w:rPr>
              <w:t>iné veľkoobchodné expozície</w:t>
            </w:r>
            <w:r w:rsidR="009912F8" w:rsidRPr="00E07C9A">
              <w:rPr>
                <w:rFonts w:ascii="Times New Roman" w:hAnsi="Times New Roman"/>
                <w:sz w:val="24"/>
              </w:rPr>
              <w:t>.</w:t>
            </w:r>
          </w:p>
          <w:p w14:paraId="1593EC21" w14:textId="26985EE5" w:rsidR="007421F4" w:rsidRPr="00E07C9A" w:rsidRDefault="007421F4" w:rsidP="007421F4">
            <w:pPr>
              <w:autoSpaceDE w:val="0"/>
              <w:autoSpaceDN w:val="0"/>
              <w:adjustRightInd w:val="0"/>
              <w:spacing w:before="0" w:after="0"/>
              <w:jc w:val="left"/>
              <w:rPr>
                <w:rFonts w:ascii="Times New Roman" w:hAnsi="Times New Roman"/>
                <w:sz w:val="24"/>
              </w:rPr>
            </w:pPr>
          </w:p>
          <w:p w14:paraId="66D66F19" w14:textId="77777777" w:rsidR="007421F4" w:rsidRPr="00E07C9A" w:rsidRDefault="007421F4" w:rsidP="007421F4">
            <w:pPr>
              <w:autoSpaceDE w:val="0"/>
              <w:autoSpaceDN w:val="0"/>
              <w:adjustRightInd w:val="0"/>
              <w:spacing w:before="0" w:after="0"/>
              <w:jc w:val="left"/>
              <w:rPr>
                <w:rFonts w:ascii="Times New Roman" w:hAnsi="Times New Roman"/>
                <w:b/>
                <w:sz w:val="24"/>
              </w:rPr>
            </w:pPr>
            <w:r w:rsidRPr="00E07C9A">
              <w:rPr>
                <w:rFonts w:ascii="Times New Roman" w:hAnsi="Times New Roman"/>
                <w:b/>
                <w:sz w:val="24"/>
              </w:rPr>
              <w:t>Záväzky:</w:t>
            </w:r>
          </w:p>
          <w:p w14:paraId="4B710C5D" w14:textId="77777777" w:rsidR="007421F4" w:rsidRPr="00E07C9A" w:rsidRDefault="007421F4" w:rsidP="007421F4">
            <w:pPr>
              <w:autoSpaceDE w:val="0"/>
              <w:autoSpaceDN w:val="0"/>
              <w:adjustRightInd w:val="0"/>
              <w:spacing w:before="0" w:after="0"/>
              <w:jc w:val="left"/>
              <w:rPr>
                <w:rFonts w:ascii="Times New Roman" w:hAnsi="Times New Roman"/>
                <w:sz w:val="24"/>
              </w:rPr>
            </w:pPr>
            <w:r w:rsidRPr="00E07C9A">
              <w:rPr>
                <w:rFonts w:ascii="Times New Roman" w:hAnsi="Times New Roman"/>
                <w:sz w:val="24"/>
              </w:rPr>
              <w:t>kryté dlhopisy;</w:t>
            </w:r>
          </w:p>
          <w:p w14:paraId="4AF43668" w14:textId="77777777" w:rsidR="007421F4" w:rsidRPr="00E07C9A" w:rsidRDefault="007421F4" w:rsidP="007421F4">
            <w:pPr>
              <w:autoSpaceDE w:val="0"/>
              <w:autoSpaceDN w:val="0"/>
              <w:adjustRightInd w:val="0"/>
              <w:spacing w:before="0" w:after="0"/>
              <w:jc w:val="left"/>
              <w:rPr>
                <w:rFonts w:ascii="Times New Roman" w:hAnsi="Times New Roman"/>
                <w:sz w:val="24"/>
              </w:rPr>
            </w:pPr>
            <w:r w:rsidRPr="00E07C9A">
              <w:rPr>
                <w:rFonts w:ascii="Times New Roman" w:hAnsi="Times New Roman"/>
                <w:sz w:val="24"/>
              </w:rPr>
              <w:t>iné záväzky.</w:t>
            </w:r>
          </w:p>
          <w:p w14:paraId="15D81FD5" w14:textId="77777777" w:rsidR="007421F4" w:rsidRPr="00E07C9A" w:rsidRDefault="007421F4" w:rsidP="007421F4">
            <w:pPr>
              <w:autoSpaceDE w:val="0"/>
              <w:autoSpaceDN w:val="0"/>
              <w:adjustRightInd w:val="0"/>
              <w:spacing w:before="0" w:after="0"/>
              <w:jc w:val="left"/>
              <w:rPr>
                <w:rFonts w:ascii="Times New Roman" w:hAnsi="Times New Roman"/>
                <w:sz w:val="24"/>
              </w:rPr>
            </w:pPr>
          </w:p>
          <w:p w14:paraId="7A568062" w14:textId="236ECFE8" w:rsidR="009912F8" w:rsidRPr="00E07C9A" w:rsidRDefault="007421F4" w:rsidP="007421F4">
            <w:pPr>
              <w:autoSpaceDE w:val="0"/>
              <w:autoSpaceDN w:val="0"/>
              <w:adjustRightInd w:val="0"/>
              <w:spacing w:before="0" w:after="0"/>
              <w:rPr>
                <w:rFonts w:ascii="Times New Roman" w:hAnsi="Times New Roman"/>
                <w:sz w:val="24"/>
              </w:rPr>
            </w:pPr>
            <w:r w:rsidRPr="00E07C9A">
              <w:rPr>
                <w:rFonts w:ascii="Times New Roman" w:hAnsi="Times New Roman"/>
                <w:sz w:val="24"/>
              </w:rPr>
              <w:t>Ak je skupina sekuritizovaných expozícií mixom vyššie uvedených typov, inštitúcia uvedie najdôležitejší typ. Inštitúcia</w:t>
            </w:r>
            <w:r w:rsidR="009912F8" w:rsidRPr="00E07C9A">
              <w:rPr>
                <w:rFonts w:ascii="Times New Roman" w:hAnsi="Times New Roman"/>
                <w:sz w:val="24"/>
              </w:rPr>
              <w:t xml:space="preserve"> v </w:t>
            </w:r>
            <w:r w:rsidRPr="00E07C9A">
              <w:rPr>
                <w:rFonts w:ascii="Times New Roman" w:hAnsi="Times New Roman"/>
                <w:sz w:val="24"/>
              </w:rPr>
              <w:t>prípade resekuritizácie uvedie základnú podkladovú skupinu aktív</w:t>
            </w:r>
            <w:r w:rsidR="009912F8" w:rsidRPr="00E07C9A">
              <w:rPr>
                <w:rFonts w:ascii="Times New Roman" w:hAnsi="Times New Roman"/>
                <w:sz w:val="24"/>
              </w:rPr>
              <w:t>.</w:t>
            </w:r>
          </w:p>
          <w:p w14:paraId="5D86D8FA" w14:textId="67F698F3" w:rsidR="007421F4" w:rsidRPr="00E07C9A" w:rsidRDefault="007421F4" w:rsidP="007421F4">
            <w:pPr>
              <w:autoSpaceDE w:val="0"/>
              <w:autoSpaceDN w:val="0"/>
              <w:adjustRightInd w:val="0"/>
              <w:spacing w:before="0" w:after="0"/>
              <w:rPr>
                <w:rFonts w:ascii="Times New Roman" w:hAnsi="Times New Roman"/>
                <w:sz w:val="24"/>
              </w:rPr>
            </w:pPr>
            <w:r w:rsidRPr="00E07C9A">
              <w:rPr>
                <w:rFonts w:ascii="Times New Roman" w:hAnsi="Times New Roman"/>
                <w:sz w:val="24"/>
              </w:rPr>
              <w:t>V prípade sekuritizačných schém založených na zatvorených skupinách sa medzi dátumami vykazovania nesmie meniť ich typ.</w:t>
            </w:r>
          </w:p>
          <w:p w14:paraId="4CEC8FD9" w14:textId="77777777" w:rsidR="00674FCA" w:rsidRPr="00E07C9A" w:rsidRDefault="00674FCA" w:rsidP="00674FCA">
            <w:pPr>
              <w:autoSpaceDE w:val="0"/>
              <w:autoSpaceDN w:val="0"/>
              <w:adjustRightInd w:val="0"/>
              <w:spacing w:before="0" w:after="0"/>
              <w:rPr>
                <w:rFonts w:ascii="Times New Roman" w:hAnsi="Times New Roman"/>
                <w:sz w:val="24"/>
              </w:rPr>
            </w:pPr>
          </w:p>
          <w:p w14:paraId="4DEF2D41" w14:textId="71B48809" w:rsidR="00674FCA" w:rsidRPr="00E07C9A" w:rsidRDefault="00674FCA" w:rsidP="007421F4">
            <w:pPr>
              <w:autoSpaceDE w:val="0"/>
              <w:autoSpaceDN w:val="0"/>
              <w:adjustRightInd w:val="0"/>
              <w:spacing w:before="0" w:after="0"/>
              <w:rPr>
                <w:rFonts w:ascii="Times New Roman" w:hAnsi="Times New Roman"/>
                <w:sz w:val="24"/>
              </w:rPr>
            </w:pPr>
            <w:r w:rsidRPr="00E07C9A">
              <w:rPr>
                <w:rFonts w:ascii="Times New Roman" w:hAnsi="Times New Roman"/>
                <w:sz w:val="24"/>
              </w:rPr>
              <w:t>Pod pojmom záväzky by sa mali rozumieť záväzky pôvodne emitované vykazujúcou inštitúciou [pozri odsek 112 písm. b) oddielu 3.2.1 tejto prílohy].</w:t>
            </w:r>
          </w:p>
          <w:p w14:paraId="193ED540" w14:textId="77777777" w:rsidR="007421F4" w:rsidRPr="00E07C9A" w:rsidRDefault="007421F4" w:rsidP="007421F4">
            <w:pPr>
              <w:spacing w:before="0" w:after="0"/>
              <w:jc w:val="left"/>
              <w:rPr>
                <w:rFonts w:ascii="Times New Roman" w:hAnsi="Times New Roman"/>
                <w:b/>
                <w:sz w:val="24"/>
                <w:u w:val="single"/>
              </w:rPr>
            </w:pPr>
          </w:p>
        </w:tc>
      </w:tr>
      <w:tr w:rsidR="007421F4" w:rsidRPr="00E07C9A" w14:paraId="1D1A75D7" w14:textId="77777777" w:rsidTr="00E10B85">
        <w:tc>
          <w:tcPr>
            <w:tcW w:w="1101" w:type="dxa"/>
          </w:tcPr>
          <w:p w14:paraId="63915C32" w14:textId="77777777" w:rsidR="007421F4" w:rsidRPr="00E07C9A" w:rsidRDefault="007421F4" w:rsidP="007421F4">
            <w:pPr>
              <w:autoSpaceDE w:val="0"/>
              <w:autoSpaceDN w:val="0"/>
              <w:adjustRightInd w:val="0"/>
              <w:spacing w:before="0" w:after="0"/>
              <w:rPr>
                <w:rFonts w:ascii="Times New Roman" w:hAnsi="Times New Roman"/>
                <w:bCs/>
                <w:sz w:val="24"/>
              </w:rPr>
            </w:pPr>
            <w:r w:rsidRPr="00E07C9A">
              <w:rPr>
                <w:rFonts w:ascii="Times New Roman" w:hAnsi="Times New Roman"/>
                <w:sz w:val="24"/>
              </w:rPr>
              <w:t>0171</w:t>
            </w:r>
          </w:p>
        </w:tc>
        <w:tc>
          <w:tcPr>
            <w:tcW w:w="7903" w:type="dxa"/>
          </w:tcPr>
          <w:p w14:paraId="5A8AD0F7" w14:textId="0DCBA389" w:rsidR="007421F4" w:rsidRPr="00E07C9A" w:rsidRDefault="007421F4" w:rsidP="007421F4">
            <w:pPr>
              <w:spacing w:before="0" w:after="0"/>
              <w:jc w:val="left"/>
              <w:rPr>
                <w:rFonts w:ascii="Times New Roman" w:hAnsi="Times New Roman"/>
                <w:b/>
                <w:sz w:val="24"/>
                <w:u w:val="single"/>
              </w:rPr>
            </w:pPr>
            <w:r w:rsidRPr="00E07C9A">
              <w:rPr>
                <w:rFonts w:ascii="Times New Roman" w:hAnsi="Times New Roman"/>
                <w:b/>
                <w:sz w:val="24"/>
                <w:u w:val="single"/>
              </w:rPr>
              <w:t>% IRB</w:t>
            </w:r>
            <w:r w:rsidR="009912F8" w:rsidRPr="00E07C9A">
              <w:rPr>
                <w:rFonts w:ascii="Times New Roman" w:hAnsi="Times New Roman"/>
                <w:b/>
                <w:sz w:val="24"/>
                <w:u w:val="single"/>
              </w:rPr>
              <w:t xml:space="preserve"> V </w:t>
            </w:r>
            <w:r w:rsidRPr="00E07C9A">
              <w:rPr>
                <w:rFonts w:ascii="Times New Roman" w:hAnsi="Times New Roman"/>
                <w:b/>
                <w:sz w:val="24"/>
                <w:u w:val="single"/>
              </w:rPr>
              <w:t>UPLATNENOM PRÍSTUPE</w:t>
            </w:r>
          </w:p>
          <w:p w14:paraId="1A7F75AA" w14:textId="77777777" w:rsidR="007421F4" w:rsidRPr="00E07C9A" w:rsidRDefault="007421F4" w:rsidP="007421F4">
            <w:pPr>
              <w:spacing w:before="0" w:after="0"/>
              <w:jc w:val="left"/>
              <w:rPr>
                <w:rFonts w:ascii="Times New Roman" w:hAnsi="Times New Roman"/>
                <w:sz w:val="24"/>
              </w:rPr>
            </w:pPr>
          </w:p>
          <w:p w14:paraId="26D1BDBF" w14:textId="67FEBDA2" w:rsidR="007421F4" w:rsidRPr="00E07C9A" w:rsidRDefault="007421F4" w:rsidP="007421F4">
            <w:pPr>
              <w:autoSpaceDE w:val="0"/>
              <w:autoSpaceDN w:val="0"/>
              <w:adjustRightInd w:val="0"/>
              <w:spacing w:before="0" w:after="0"/>
              <w:rPr>
                <w:rFonts w:ascii="Times New Roman" w:hAnsi="Times New Roman"/>
                <w:sz w:val="24"/>
              </w:rPr>
            </w:pPr>
            <w:r w:rsidRPr="00E07C9A">
              <w:rPr>
                <w:rFonts w:ascii="Times New Roman" w:hAnsi="Times New Roman"/>
                <w:sz w:val="24"/>
              </w:rPr>
              <w:t>V tomto stĺpci sa vykazujú informácie</w:t>
            </w:r>
            <w:r w:rsidR="009912F8" w:rsidRPr="00E07C9A">
              <w:rPr>
                <w:rFonts w:ascii="Times New Roman" w:hAnsi="Times New Roman"/>
                <w:sz w:val="24"/>
              </w:rPr>
              <w:t xml:space="preserve"> o </w:t>
            </w:r>
            <w:r w:rsidRPr="00E07C9A">
              <w:rPr>
                <w:rFonts w:ascii="Times New Roman" w:hAnsi="Times New Roman"/>
                <w:sz w:val="24"/>
              </w:rPr>
              <w:t>prístupe/prístupoch, ktoré inštitúcia používa vo vzťahu</w:t>
            </w:r>
            <w:r w:rsidR="009912F8" w:rsidRPr="00E07C9A">
              <w:rPr>
                <w:rFonts w:ascii="Times New Roman" w:hAnsi="Times New Roman"/>
                <w:sz w:val="24"/>
              </w:rPr>
              <w:t xml:space="preserve"> k </w:t>
            </w:r>
            <w:r w:rsidRPr="00E07C9A">
              <w:rPr>
                <w:rFonts w:ascii="Times New Roman" w:hAnsi="Times New Roman"/>
                <w:sz w:val="24"/>
              </w:rPr>
              <w:t>sekuritizovaným expozíciám</w:t>
            </w:r>
            <w:r w:rsidR="009912F8" w:rsidRPr="00E07C9A">
              <w:rPr>
                <w:rFonts w:ascii="Times New Roman" w:hAnsi="Times New Roman"/>
                <w:sz w:val="24"/>
              </w:rPr>
              <w:t xml:space="preserve"> k </w:t>
            </w:r>
            <w:r w:rsidRPr="00E07C9A">
              <w:rPr>
                <w:rFonts w:ascii="Times New Roman" w:hAnsi="Times New Roman"/>
                <w:sz w:val="24"/>
              </w:rPr>
              <w:t>dátumu vykazovania.</w:t>
            </w:r>
          </w:p>
          <w:p w14:paraId="57690AB2" w14:textId="77777777" w:rsidR="007421F4" w:rsidRPr="00E07C9A" w:rsidRDefault="007421F4" w:rsidP="007421F4">
            <w:pPr>
              <w:autoSpaceDE w:val="0"/>
              <w:autoSpaceDN w:val="0"/>
              <w:adjustRightInd w:val="0"/>
              <w:spacing w:before="0" w:after="0"/>
              <w:jc w:val="left"/>
              <w:rPr>
                <w:rFonts w:ascii="Times New Roman" w:hAnsi="Times New Roman"/>
                <w:sz w:val="24"/>
              </w:rPr>
            </w:pPr>
          </w:p>
          <w:p w14:paraId="7B6DBA45" w14:textId="394AD64E" w:rsidR="009912F8" w:rsidRPr="00E07C9A" w:rsidRDefault="007421F4" w:rsidP="007421F4">
            <w:pPr>
              <w:autoSpaceDE w:val="0"/>
              <w:autoSpaceDN w:val="0"/>
              <w:adjustRightInd w:val="0"/>
              <w:spacing w:before="0" w:after="0"/>
              <w:jc w:val="left"/>
              <w:rPr>
                <w:rFonts w:ascii="Times New Roman" w:hAnsi="Times New Roman"/>
                <w:sz w:val="24"/>
              </w:rPr>
            </w:pPr>
            <w:r w:rsidRPr="00E07C9A">
              <w:rPr>
                <w:rFonts w:ascii="Times New Roman" w:hAnsi="Times New Roman"/>
                <w:sz w:val="24"/>
              </w:rPr>
              <w:t>Inštitúcie vykazujú percentuálny podiel sekuritizovaných expozícií (meraný podľa hodnoty expozície), na ktoré sa</w:t>
            </w:r>
            <w:r w:rsidR="009912F8" w:rsidRPr="00E07C9A">
              <w:rPr>
                <w:rFonts w:ascii="Times New Roman" w:hAnsi="Times New Roman"/>
                <w:sz w:val="24"/>
              </w:rPr>
              <w:t xml:space="preserve"> k </w:t>
            </w:r>
            <w:r w:rsidRPr="00E07C9A">
              <w:rPr>
                <w:rFonts w:ascii="Times New Roman" w:hAnsi="Times New Roman"/>
                <w:sz w:val="24"/>
              </w:rPr>
              <w:t>dátumu vykazovania uplatňuje prístup interných ratingov</w:t>
            </w:r>
            <w:r w:rsidR="009912F8" w:rsidRPr="00E07C9A">
              <w:rPr>
                <w:rFonts w:ascii="Times New Roman" w:hAnsi="Times New Roman"/>
                <w:sz w:val="24"/>
              </w:rPr>
              <w:t>.</w:t>
            </w:r>
          </w:p>
          <w:p w14:paraId="7E8D5CBE" w14:textId="63883532" w:rsidR="007421F4" w:rsidRPr="00E07C9A" w:rsidRDefault="007421F4" w:rsidP="007421F4">
            <w:pPr>
              <w:autoSpaceDE w:val="0"/>
              <w:autoSpaceDN w:val="0"/>
              <w:adjustRightInd w:val="0"/>
              <w:spacing w:before="0" w:after="0"/>
              <w:rPr>
                <w:rFonts w:ascii="Times New Roman" w:hAnsi="Times New Roman"/>
                <w:sz w:val="24"/>
              </w:rPr>
            </w:pPr>
          </w:p>
          <w:p w14:paraId="17B61344" w14:textId="1CA2DB16" w:rsidR="009912F8" w:rsidRPr="00E07C9A" w:rsidRDefault="007421F4" w:rsidP="007421F4">
            <w:pPr>
              <w:autoSpaceDE w:val="0"/>
              <w:autoSpaceDN w:val="0"/>
              <w:adjustRightInd w:val="0"/>
              <w:spacing w:before="0" w:after="0"/>
              <w:rPr>
                <w:rFonts w:ascii="Times New Roman" w:hAnsi="Times New Roman"/>
                <w:sz w:val="24"/>
              </w:rPr>
            </w:pPr>
            <w:r w:rsidRPr="00E07C9A">
              <w:rPr>
                <w:rFonts w:ascii="Times New Roman" w:hAnsi="Times New Roman"/>
                <w:sz w:val="24"/>
              </w:rPr>
              <w:t>Táto informácia sa vykazuje, aj keď vykazujúci subjekt nedrží žiadne pozície</w:t>
            </w:r>
            <w:r w:rsidR="009912F8" w:rsidRPr="00E07C9A">
              <w:rPr>
                <w:rFonts w:ascii="Times New Roman" w:hAnsi="Times New Roman"/>
                <w:sz w:val="24"/>
              </w:rPr>
              <w:t xml:space="preserve"> v </w:t>
            </w:r>
            <w:r w:rsidRPr="00E07C9A">
              <w:rPr>
                <w:rFonts w:ascii="Times New Roman" w:hAnsi="Times New Roman"/>
                <w:sz w:val="24"/>
              </w:rPr>
              <w:t>sekuritizácii. Tento stĺpec sa však nepoužíva pre sekuritizácie záväzkov</w:t>
            </w:r>
            <w:r w:rsidR="009912F8" w:rsidRPr="00E07C9A">
              <w:rPr>
                <w:rFonts w:ascii="Times New Roman" w:hAnsi="Times New Roman"/>
                <w:sz w:val="24"/>
              </w:rPr>
              <w:t>.</w:t>
            </w:r>
          </w:p>
          <w:p w14:paraId="7CE94C20" w14:textId="3B8FD39D" w:rsidR="007421F4" w:rsidRPr="00E07C9A" w:rsidRDefault="007421F4" w:rsidP="007421F4">
            <w:pPr>
              <w:autoSpaceDE w:val="0"/>
              <w:autoSpaceDN w:val="0"/>
              <w:adjustRightInd w:val="0"/>
              <w:spacing w:before="0" w:after="0"/>
              <w:jc w:val="left"/>
              <w:rPr>
                <w:rFonts w:ascii="Times New Roman" w:hAnsi="Times New Roman"/>
                <w:sz w:val="24"/>
              </w:rPr>
            </w:pPr>
          </w:p>
        </w:tc>
      </w:tr>
      <w:tr w:rsidR="007421F4" w:rsidRPr="00E07C9A" w14:paraId="791FB9E3" w14:textId="77777777" w:rsidTr="00E10B85">
        <w:tc>
          <w:tcPr>
            <w:tcW w:w="1101" w:type="dxa"/>
          </w:tcPr>
          <w:p w14:paraId="1B2789A8" w14:textId="77777777" w:rsidR="007421F4" w:rsidRPr="00E07C9A" w:rsidRDefault="007421F4" w:rsidP="007421F4">
            <w:pPr>
              <w:autoSpaceDE w:val="0"/>
              <w:autoSpaceDN w:val="0"/>
              <w:adjustRightInd w:val="0"/>
              <w:spacing w:before="0" w:after="0"/>
              <w:rPr>
                <w:rFonts w:ascii="Times New Roman" w:hAnsi="Times New Roman"/>
                <w:bCs/>
                <w:sz w:val="24"/>
              </w:rPr>
            </w:pPr>
            <w:r w:rsidRPr="00E07C9A">
              <w:rPr>
                <w:rFonts w:ascii="Times New Roman" w:hAnsi="Times New Roman"/>
                <w:sz w:val="24"/>
              </w:rPr>
              <w:t>0180</w:t>
            </w:r>
          </w:p>
        </w:tc>
        <w:tc>
          <w:tcPr>
            <w:tcW w:w="7903" w:type="dxa"/>
            <w:shd w:val="clear" w:color="auto" w:fill="auto"/>
          </w:tcPr>
          <w:p w14:paraId="56D8AF9F" w14:textId="77777777" w:rsidR="007421F4" w:rsidRPr="00E07C9A" w:rsidRDefault="007421F4" w:rsidP="007421F4">
            <w:pPr>
              <w:spacing w:before="0" w:after="0"/>
              <w:jc w:val="left"/>
              <w:rPr>
                <w:rFonts w:ascii="Times New Roman" w:hAnsi="Times New Roman"/>
                <w:b/>
                <w:sz w:val="24"/>
                <w:u w:val="single"/>
              </w:rPr>
            </w:pPr>
            <w:r w:rsidRPr="00E07C9A">
              <w:rPr>
                <w:rFonts w:ascii="Times New Roman" w:hAnsi="Times New Roman"/>
                <w:b/>
                <w:sz w:val="24"/>
                <w:u w:val="single"/>
              </w:rPr>
              <w:t>POČET EXPOZÍCIÍ</w:t>
            </w:r>
          </w:p>
          <w:p w14:paraId="51D64C70" w14:textId="77777777" w:rsidR="007421F4" w:rsidRPr="00E07C9A" w:rsidRDefault="007421F4" w:rsidP="007421F4">
            <w:pPr>
              <w:spacing w:before="0" w:after="0"/>
              <w:jc w:val="left"/>
              <w:rPr>
                <w:rFonts w:ascii="Times New Roman" w:hAnsi="Times New Roman"/>
                <w:sz w:val="24"/>
              </w:rPr>
            </w:pPr>
          </w:p>
          <w:p w14:paraId="253F5130" w14:textId="5B1A17EF" w:rsidR="007421F4" w:rsidRPr="00E07C9A" w:rsidRDefault="007421F4" w:rsidP="007421F4">
            <w:pPr>
              <w:autoSpaceDE w:val="0"/>
              <w:autoSpaceDN w:val="0"/>
              <w:adjustRightInd w:val="0"/>
              <w:spacing w:before="0" w:after="0"/>
              <w:jc w:val="left"/>
              <w:rPr>
                <w:rFonts w:ascii="Times New Roman" w:hAnsi="Times New Roman"/>
                <w:sz w:val="24"/>
              </w:rPr>
            </w:pPr>
            <w:r w:rsidRPr="00E07C9A">
              <w:rPr>
                <w:rFonts w:ascii="Times New Roman" w:hAnsi="Times New Roman"/>
                <w:sz w:val="24"/>
              </w:rPr>
              <w:t xml:space="preserve">Článok 259 ods. 4 nariadenia (EÚ) </w:t>
            </w:r>
            <w:r w:rsidR="009912F8" w:rsidRPr="00E07C9A">
              <w:rPr>
                <w:rFonts w:ascii="Times New Roman" w:hAnsi="Times New Roman"/>
                <w:sz w:val="24"/>
              </w:rPr>
              <w:t>č. 575/2013</w:t>
            </w:r>
          </w:p>
          <w:p w14:paraId="091A5284" w14:textId="77777777" w:rsidR="007421F4" w:rsidRPr="00E07C9A" w:rsidRDefault="007421F4" w:rsidP="007421F4">
            <w:pPr>
              <w:autoSpaceDE w:val="0"/>
              <w:autoSpaceDN w:val="0"/>
              <w:adjustRightInd w:val="0"/>
              <w:spacing w:before="0" w:after="0"/>
              <w:jc w:val="left"/>
              <w:rPr>
                <w:rFonts w:ascii="Times New Roman" w:hAnsi="Times New Roman"/>
                <w:sz w:val="24"/>
              </w:rPr>
            </w:pPr>
          </w:p>
          <w:p w14:paraId="51DC4EA5" w14:textId="0B0518A9" w:rsidR="007421F4" w:rsidRPr="00E07C9A" w:rsidRDefault="007421F4" w:rsidP="007421F4">
            <w:pPr>
              <w:autoSpaceDE w:val="0"/>
              <w:autoSpaceDN w:val="0"/>
              <w:adjustRightInd w:val="0"/>
              <w:spacing w:before="0" w:after="0"/>
              <w:jc w:val="left"/>
              <w:rPr>
                <w:rFonts w:ascii="Times New Roman" w:hAnsi="Times New Roman"/>
                <w:sz w:val="24"/>
              </w:rPr>
            </w:pPr>
            <w:r w:rsidRPr="00E07C9A">
              <w:rPr>
                <w:rFonts w:ascii="Times New Roman" w:hAnsi="Times New Roman"/>
                <w:sz w:val="24"/>
              </w:rPr>
              <w:t>Tento stĺpec je povinný len pre inštitúcie, ktoré používajú prístup SEC-IRBA</w:t>
            </w:r>
            <w:r w:rsidR="009912F8" w:rsidRPr="00E07C9A">
              <w:rPr>
                <w:rFonts w:ascii="Times New Roman" w:hAnsi="Times New Roman"/>
                <w:sz w:val="24"/>
              </w:rPr>
              <w:t xml:space="preserve"> k </w:t>
            </w:r>
            <w:r w:rsidRPr="00E07C9A">
              <w:rPr>
                <w:rFonts w:ascii="Times New Roman" w:hAnsi="Times New Roman"/>
                <w:sz w:val="24"/>
              </w:rPr>
              <w:t>sekuritizačným pozíciám (a preto</w:t>
            </w:r>
            <w:r w:rsidR="009912F8" w:rsidRPr="00E07C9A">
              <w:rPr>
                <w:rFonts w:ascii="Times New Roman" w:hAnsi="Times New Roman"/>
                <w:sz w:val="24"/>
              </w:rPr>
              <w:t xml:space="preserve"> v </w:t>
            </w:r>
            <w:r w:rsidRPr="00E07C9A">
              <w:rPr>
                <w:rFonts w:ascii="Times New Roman" w:hAnsi="Times New Roman"/>
                <w:sz w:val="24"/>
              </w:rPr>
              <w:t>stĺpci 171 vykazujú viac než 95</w:t>
            </w:r>
            <w:r w:rsidR="009912F8" w:rsidRPr="00E07C9A">
              <w:rPr>
                <w:rFonts w:ascii="Times New Roman" w:hAnsi="Times New Roman"/>
                <w:sz w:val="24"/>
              </w:rPr>
              <w:t> %</w:t>
            </w:r>
            <w:r w:rsidRPr="00E07C9A">
              <w:rPr>
                <w:rFonts w:ascii="Times New Roman" w:hAnsi="Times New Roman"/>
                <w:sz w:val="24"/>
              </w:rPr>
              <w:t>). Inštitúcia vykazuje skutočný počet expozícií.</w:t>
            </w:r>
          </w:p>
          <w:p w14:paraId="0BC1EEBB" w14:textId="77777777" w:rsidR="007421F4" w:rsidRPr="00E07C9A" w:rsidRDefault="007421F4" w:rsidP="007421F4">
            <w:pPr>
              <w:autoSpaceDE w:val="0"/>
              <w:autoSpaceDN w:val="0"/>
              <w:adjustRightInd w:val="0"/>
              <w:spacing w:before="0" w:after="0"/>
              <w:jc w:val="left"/>
              <w:rPr>
                <w:rFonts w:ascii="Times New Roman" w:hAnsi="Times New Roman"/>
                <w:sz w:val="24"/>
              </w:rPr>
            </w:pPr>
          </w:p>
          <w:p w14:paraId="29F026CB" w14:textId="4632A983" w:rsidR="007421F4" w:rsidRPr="00E07C9A" w:rsidRDefault="007421F4" w:rsidP="007421F4">
            <w:pPr>
              <w:autoSpaceDE w:val="0"/>
              <w:autoSpaceDN w:val="0"/>
              <w:adjustRightInd w:val="0"/>
              <w:spacing w:before="0" w:after="0"/>
              <w:rPr>
                <w:rFonts w:ascii="Times New Roman" w:hAnsi="Times New Roman"/>
                <w:sz w:val="24"/>
              </w:rPr>
            </w:pPr>
            <w:r w:rsidRPr="00E07C9A">
              <w:rPr>
                <w:rFonts w:ascii="Times New Roman" w:hAnsi="Times New Roman"/>
                <w:sz w:val="24"/>
              </w:rPr>
              <w:t>Tento stĺpec sa nevypĺňa</w:t>
            </w:r>
            <w:r w:rsidR="009912F8" w:rsidRPr="00E07C9A">
              <w:rPr>
                <w:rFonts w:ascii="Times New Roman" w:hAnsi="Times New Roman"/>
                <w:sz w:val="24"/>
              </w:rPr>
              <w:t xml:space="preserve"> v </w:t>
            </w:r>
            <w:r w:rsidRPr="00E07C9A">
              <w:rPr>
                <w:rFonts w:ascii="Times New Roman" w:hAnsi="Times New Roman"/>
                <w:sz w:val="24"/>
              </w:rPr>
              <w:t>prípade sekuritizácie záväzkov alebo keď sú požiadavky na vlastné zdroje založené na sekuritizovaných expozíciách (v prípade sekuritizácie aktív). Tento stĺpec sa nevypĺňa, keď vykazujúca inštitúcia nedrží žiadne pozície</w:t>
            </w:r>
            <w:r w:rsidR="009912F8" w:rsidRPr="00E07C9A">
              <w:rPr>
                <w:rFonts w:ascii="Times New Roman" w:hAnsi="Times New Roman"/>
                <w:sz w:val="24"/>
              </w:rPr>
              <w:t xml:space="preserve"> v </w:t>
            </w:r>
            <w:r w:rsidRPr="00E07C9A">
              <w:rPr>
                <w:rFonts w:ascii="Times New Roman" w:hAnsi="Times New Roman"/>
                <w:sz w:val="24"/>
              </w:rPr>
              <w:t>sekuritizácii. Investori tento stĺpec nevykazujú.</w:t>
            </w:r>
          </w:p>
          <w:p w14:paraId="7D0D0FAF" w14:textId="77777777" w:rsidR="007421F4" w:rsidRPr="00E07C9A" w:rsidRDefault="007421F4" w:rsidP="007421F4">
            <w:pPr>
              <w:autoSpaceDE w:val="0"/>
              <w:autoSpaceDN w:val="0"/>
              <w:adjustRightInd w:val="0"/>
              <w:spacing w:before="0" w:after="0"/>
              <w:jc w:val="left"/>
              <w:rPr>
                <w:rFonts w:ascii="Times New Roman" w:hAnsi="Times New Roman"/>
                <w:sz w:val="24"/>
              </w:rPr>
            </w:pPr>
          </w:p>
        </w:tc>
      </w:tr>
      <w:tr w:rsidR="007421F4" w:rsidRPr="00E07C9A" w14:paraId="44E434EF" w14:textId="77777777" w:rsidTr="00E10B85">
        <w:tc>
          <w:tcPr>
            <w:tcW w:w="1101" w:type="dxa"/>
            <w:shd w:val="clear" w:color="auto" w:fill="auto"/>
          </w:tcPr>
          <w:p w14:paraId="512B297B" w14:textId="77777777" w:rsidR="007421F4" w:rsidRPr="00E07C9A" w:rsidRDefault="007421F4" w:rsidP="007421F4">
            <w:pPr>
              <w:autoSpaceDE w:val="0"/>
              <w:autoSpaceDN w:val="0"/>
              <w:adjustRightInd w:val="0"/>
              <w:spacing w:before="0" w:after="0"/>
              <w:rPr>
                <w:rFonts w:ascii="Times New Roman" w:hAnsi="Times New Roman"/>
                <w:bCs/>
                <w:sz w:val="24"/>
              </w:rPr>
            </w:pPr>
            <w:r w:rsidRPr="00E07C9A">
              <w:rPr>
                <w:rFonts w:ascii="Times New Roman" w:hAnsi="Times New Roman"/>
                <w:sz w:val="24"/>
              </w:rPr>
              <w:t>0181</w:t>
            </w:r>
          </w:p>
        </w:tc>
        <w:tc>
          <w:tcPr>
            <w:tcW w:w="7903" w:type="dxa"/>
            <w:shd w:val="clear" w:color="auto" w:fill="auto"/>
          </w:tcPr>
          <w:p w14:paraId="7FE342CC" w14:textId="2FB15AB7" w:rsidR="007421F4" w:rsidRPr="00E07C9A" w:rsidRDefault="007421F4" w:rsidP="007421F4">
            <w:pPr>
              <w:spacing w:before="0" w:after="0"/>
              <w:jc w:val="left"/>
              <w:rPr>
                <w:rFonts w:ascii="Times New Roman" w:hAnsi="Times New Roman"/>
                <w:b/>
                <w:sz w:val="24"/>
                <w:u w:val="single"/>
              </w:rPr>
            </w:pPr>
            <w:r w:rsidRPr="00E07C9A">
              <w:rPr>
                <w:rFonts w:ascii="Times New Roman" w:hAnsi="Times New Roman"/>
                <w:b/>
                <w:sz w:val="24"/>
                <w:u w:val="single"/>
              </w:rPr>
              <w:t>EXPOZÍCIE</w:t>
            </w:r>
            <w:r w:rsidR="009912F8" w:rsidRPr="00E07C9A">
              <w:rPr>
                <w:rFonts w:ascii="Times New Roman" w:hAnsi="Times New Roman"/>
                <w:b/>
                <w:sz w:val="24"/>
                <w:u w:val="single"/>
              </w:rPr>
              <w:t xml:space="preserve"> V </w:t>
            </w:r>
            <w:r w:rsidRPr="00E07C9A">
              <w:rPr>
                <w:rFonts w:ascii="Times New Roman" w:hAnsi="Times New Roman"/>
                <w:b/>
                <w:sz w:val="24"/>
                <w:u w:val="single"/>
              </w:rPr>
              <w:t>STAVE ZLYHANIA „W“ (%)</w:t>
            </w:r>
          </w:p>
          <w:p w14:paraId="4C869A9F" w14:textId="77777777" w:rsidR="007421F4" w:rsidRPr="00E07C9A" w:rsidRDefault="007421F4" w:rsidP="007421F4">
            <w:pPr>
              <w:spacing w:before="0" w:after="0"/>
              <w:jc w:val="left"/>
              <w:rPr>
                <w:rFonts w:ascii="Times New Roman" w:hAnsi="Times New Roman"/>
                <w:b/>
                <w:sz w:val="24"/>
                <w:u w:val="single"/>
              </w:rPr>
            </w:pPr>
          </w:p>
          <w:p w14:paraId="62E6B22E" w14:textId="27CF24B5" w:rsidR="007421F4" w:rsidRPr="00E07C9A" w:rsidRDefault="007421F4" w:rsidP="007421F4">
            <w:pPr>
              <w:spacing w:before="0" w:after="0"/>
              <w:jc w:val="left"/>
              <w:rPr>
                <w:rFonts w:ascii="Times New Roman" w:hAnsi="Times New Roman"/>
                <w:sz w:val="24"/>
              </w:rPr>
            </w:pPr>
            <w:r w:rsidRPr="00E07C9A">
              <w:rPr>
                <w:rFonts w:ascii="Times New Roman" w:hAnsi="Times New Roman"/>
                <w:sz w:val="24"/>
              </w:rPr>
              <w:t xml:space="preserve">Článok 261 ods. 2 nariadenia (EÚ) </w:t>
            </w:r>
            <w:r w:rsidR="009912F8" w:rsidRPr="00E07C9A">
              <w:rPr>
                <w:rFonts w:ascii="Times New Roman" w:hAnsi="Times New Roman"/>
                <w:sz w:val="24"/>
              </w:rPr>
              <w:t>č. 575/2013</w:t>
            </w:r>
          </w:p>
          <w:p w14:paraId="474E888B" w14:textId="77777777" w:rsidR="007421F4" w:rsidRPr="00E07C9A" w:rsidRDefault="007421F4" w:rsidP="007421F4">
            <w:pPr>
              <w:spacing w:before="0" w:after="0"/>
              <w:jc w:val="left"/>
              <w:rPr>
                <w:rFonts w:ascii="Times New Roman" w:hAnsi="Times New Roman"/>
                <w:sz w:val="24"/>
              </w:rPr>
            </w:pPr>
          </w:p>
          <w:p w14:paraId="117FFB22" w14:textId="720D1AF1" w:rsidR="009912F8" w:rsidRPr="00E07C9A" w:rsidRDefault="007421F4" w:rsidP="007421F4">
            <w:pPr>
              <w:spacing w:before="0" w:after="0"/>
              <w:jc w:val="left"/>
              <w:rPr>
                <w:rFonts w:ascii="Times New Roman" w:hAnsi="Times New Roman"/>
                <w:sz w:val="24"/>
              </w:rPr>
            </w:pPr>
            <w:r w:rsidRPr="00E07C9A">
              <w:rPr>
                <w:rFonts w:ascii="Times New Roman" w:hAnsi="Times New Roman"/>
                <w:sz w:val="24"/>
              </w:rPr>
              <w:t>Aj keď inštitúcia neuplatňuje na sekuritizačné pozície prístup SEC-SA, vykazuje koeficient „W“ (súvisiaci</w:t>
            </w:r>
            <w:r w:rsidR="009912F8" w:rsidRPr="00E07C9A">
              <w:rPr>
                <w:rFonts w:ascii="Times New Roman" w:hAnsi="Times New Roman"/>
                <w:sz w:val="24"/>
              </w:rPr>
              <w:t xml:space="preserve"> s </w:t>
            </w:r>
            <w:r w:rsidRPr="00E07C9A">
              <w:rPr>
                <w:rFonts w:ascii="Times New Roman" w:hAnsi="Times New Roman"/>
                <w:sz w:val="24"/>
              </w:rPr>
              <w:t>podkladovými expozíciami</w:t>
            </w:r>
            <w:r w:rsidR="009912F8" w:rsidRPr="00E07C9A">
              <w:rPr>
                <w:rFonts w:ascii="Times New Roman" w:hAnsi="Times New Roman"/>
                <w:sz w:val="24"/>
              </w:rPr>
              <w:t xml:space="preserve"> v </w:t>
            </w:r>
            <w:r w:rsidRPr="00E07C9A">
              <w:rPr>
                <w:rFonts w:ascii="Times New Roman" w:hAnsi="Times New Roman"/>
                <w:sz w:val="24"/>
              </w:rPr>
              <w:t>stave zlyhania), ktorý sa vypočíta tak, ako je uvedené</w:t>
            </w:r>
            <w:r w:rsidR="009912F8" w:rsidRPr="00E07C9A">
              <w:rPr>
                <w:rFonts w:ascii="Times New Roman" w:hAnsi="Times New Roman"/>
                <w:sz w:val="24"/>
              </w:rPr>
              <w:t xml:space="preserve"> v </w:t>
            </w:r>
            <w:r w:rsidRPr="00E07C9A">
              <w:rPr>
                <w:rFonts w:ascii="Times New Roman" w:hAnsi="Times New Roman"/>
                <w:sz w:val="24"/>
              </w:rPr>
              <w:t xml:space="preserve">článku 261 ods. 2 nariadenia (EÚ) </w:t>
            </w:r>
            <w:r w:rsidR="009912F8" w:rsidRPr="00E07C9A">
              <w:rPr>
                <w:rFonts w:ascii="Times New Roman" w:hAnsi="Times New Roman"/>
                <w:sz w:val="24"/>
              </w:rPr>
              <w:t>č. 575/2013.</w:t>
            </w:r>
          </w:p>
          <w:p w14:paraId="673A5BE4" w14:textId="3F0DDA64" w:rsidR="007421F4" w:rsidRPr="00E07C9A" w:rsidRDefault="007421F4" w:rsidP="007421F4">
            <w:pPr>
              <w:spacing w:before="0" w:after="0"/>
              <w:jc w:val="left"/>
              <w:rPr>
                <w:rFonts w:ascii="Times New Roman" w:hAnsi="Times New Roman"/>
                <w:b/>
                <w:sz w:val="24"/>
                <w:u w:val="single"/>
              </w:rPr>
            </w:pPr>
          </w:p>
        </w:tc>
      </w:tr>
      <w:tr w:rsidR="007421F4" w:rsidRPr="00E07C9A" w14:paraId="68592508" w14:textId="77777777" w:rsidTr="00E10B85">
        <w:tc>
          <w:tcPr>
            <w:tcW w:w="1101" w:type="dxa"/>
            <w:shd w:val="clear" w:color="auto" w:fill="auto"/>
          </w:tcPr>
          <w:p w14:paraId="01CF9F60" w14:textId="77777777" w:rsidR="007421F4" w:rsidRPr="00E07C9A" w:rsidDel="00A749EA" w:rsidRDefault="007421F4" w:rsidP="007421F4">
            <w:pPr>
              <w:autoSpaceDE w:val="0"/>
              <w:autoSpaceDN w:val="0"/>
              <w:adjustRightInd w:val="0"/>
              <w:spacing w:before="0" w:after="0"/>
              <w:rPr>
                <w:rFonts w:ascii="Times New Roman" w:hAnsi="Times New Roman"/>
                <w:bCs/>
                <w:sz w:val="24"/>
              </w:rPr>
            </w:pPr>
            <w:r w:rsidRPr="00E07C9A">
              <w:rPr>
                <w:rFonts w:ascii="Times New Roman" w:hAnsi="Times New Roman"/>
                <w:sz w:val="24"/>
              </w:rPr>
              <w:t>0190</w:t>
            </w:r>
          </w:p>
        </w:tc>
        <w:tc>
          <w:tcPr>
            <w:tcW w:w="7903" w:type="dxa"/>
            <w:shd w:val="clear" w:color="auto" w:fill="auto"/>
          </w:tcPr>
          <w:p w14:paraId="1521E498" w14:textId="77777777" w:rsidR="007421F4" w:rsidRPr="00E07C9A" w:rsidRDefault="007421F4" w:rsidP="007421F4">
            <w:pPr>
              <w:spacing w:before="0" w:after="0"/>
              <w:jc w:val="left"/>
              <w:rPr>
                <w:rFonts w:ascii="Times New Roman" w:hAnsi="Times New Roman"/>
                <w:b/>
                <w:sz w:val="24"/>
                <w:u w:val="single"/>
              </w:rPr>
            </w:pPr>
            <w:r w:rsidRPr="00E07C9A">
              <w:rPr>
                <w:rFonts w:ascii="Times New Roman" w:hAnsi="Times New Roman"/>
                <w:b/>
                <w:sz w:val="24"/>
                <w:u w:val="single"/>
              </w:rPr>
              <w:t>KRAJINA</w:t>
            </w:r>
          </w:p>
          <w:p w14:paraId="504B4FF8" w14:textId="77777777" w:rsidR="007421F4" w:rsidRPr="00E07C9A" w:rsidRDefault="007421F4" w:rsidP="007421F4">
            <w:pPr>
              <w:spacing w:before="0" w:after="0"/>
              <w:jc w:val="left"/>
              <w:rPr>
                <w:rFonts w:ascii="Times New Roman" w:hAnsi="Times New Roman"/>
                <w:sz w:val="24"/>
              </w:rPr>
            </w:pPr>
          </w:p>
          <w:p w14:paraId="7447C923" w14:textId="70BF49FB" w:rsidR="007421F4" w:rsidRPr="00E07C9A" w:rsidRDefault="007421F4" w:rsidP="007421F4">
            <w:pPr>
              <w:spacing w:before="0" w:after="0"/>
              <w:rPr>
                <w:rFonts w:ascii="Times New Roman" w:hAnsi="Times New Roman"/>
                <w:sz w:val="24"/>
              </w:rPr>
            </w:pPr>
            <w:r w:rsidRPr="00E07C9A">
              <w:rPr>
                <w:rFonts w:ascii="Times New Roman" w:hAnsi="Times New Roman"/>
                <w:sz w:val="24"/>
              </w:rPr>
              <w:t>Inštitúcie vykazujú dvojpísmenový kód krajiny vzniku základnej podkladovej transakcie, t. j. krajiny priameho dlžníka pôvodných sekuritizovaných expozícií (prezretie), podľa ISO 3166-1. Ak skupina sekuritizácie pozostáva</w:t>
            </w:r>
            <w:r w:rsidR="009912F8" w:rsidRPr="00E07C9A">
              <w:rPr>
                <w:rFonts w:ascii="Times New Roman" w:hAnsi="Times New Roman"/>
                <w:sz w:val="24"/>
              </w:rPr>
              <w:t xml:space="preserve"> z </w:t>
            </w:r>
            <w:r w:rsidRPr="00E07C9A">
              <w:rPr>
                <w:rFonts w:ascii="Times New Roman" w:hAnsi="Times New Roman"/>
                <w:sz w:val="24"/>
              </w:rPr>
              <w:t>rôznych krajín, inštitúcia uvedie najdôležitejšiu krajinu. Ak žiadna krajina na základe hodnoty aktív/záväzkov nepresahuje prahovú hodnotu 20</w:t>
            </w:r>
            <w:r w:rsidR="009912F8" w:rsidRPr="00E07C9A">
              <w:rPr>
                <w:rFonts w:ascii="Times New Roman" w:hAnsi="Times New Roman"/>
                <w:sz w:val="24"/>
              </w:rPr>
              <w:t> %</w:t>
            </w:r>
            <w:r w:rsidRPr="00E07C9A">
              <w:rPr>
                <w:rFonts w:ascii="Times New Roman" w:hAnsi="Times New Roman"/>
                <w:sz w:val="24"/>
              </w:rPr>
              <w:t>, vykazuje sa možnosť „ostatné krajiny“.</w:t>
            </w:r>
          </w:p>
          <w:p w14:paraId="00FC4113" w14:textId="77777777" w:rsidR="007421F4" w:rsidRPr="00E07C9A" w:rsidRDefault="007421F4" w:rsidP="007421F4">
            <w:pPr>
              <w:spacing w:before="0" w:after="0"/>
              <w:rPr>
                <w:rFonts w:ascii="Times New Roman" w:hAnsi="Times New Roman"/>
                <w:sz w:val="24"/>
              </w:rPr>
            </w:pPr>
          </w:p>
        </w:tc>
      </w:tr>
      <w:tr w:rsidR="007421F4" w:rsidRPr="00E07C9A" w14:paraId="46A3244A" w14:textId="77777777" w:rsidTr="00E10B85">
        <w:tc>
          <w:tcPr>
            <w:tcW w:w="1101" w:type="dxa"/>
          </w:tcPr>
          <w:p w14:paraId="3EEE876A" w14:textId="77777777" w:rsidR="007421F4" w:rsidRPr="00E07C9A" w:rsidRDefault="007421F4" w:rsidP="007421F4">
            <w:pPr>
              <w:autoSpaceDE w:val="0"/>
              <w:autoSpaceDN w:val="0"/>
              <w:adjustRightInd w:val="0"/>
              <w:spacing w:before="0" w:after="0"/>
              <w:rPr>
                <w:rFonts w:ascii="Times New Roman" w:hAnsi="Times New Roman"/>
                <w:bCs/>
                <w:sz w:val="24"/>
              </w:rPr>
            </w:pPr>
            <w:r w:rsidRPr="00E07C9A">
              <w:rPr>
                <w:rFonts w:ascii="Times New Roman" w:hAnsi="Times New Roman"/>
                <w:sz w:val="24"/>
              </w:rPr>
              <w:t>0201</w:t>
            </w:r>
          </w:p>
        </w:tc>
        <w:tc>
          <w:tcPr>
            <w:tcW w:w="7903" w:type="dxa"/>
          </w:tcPr>
          <w:p w14:paraId="59BFDE37" w14:textId="77777777" w:rsidR="009912F8" w:rsidRPr="00E07C9A" w:rsidRDefault="007421F4" w:rsidP="007421F4">
            <w:pPr>
              <w:spacing w:before="0" w:after="0"/>
              <w:jc w:val="left"/>
              <w:rPr>
                <w:rFonts w:ascii="Times New Roman" w:hAnsi="Times New Roman"/>
                <w:b/>
                <w:sz w:val="24"/>
                <w:u w:val="single"/>
              </w:rPr>
            </w:pPr>
            <w:r w:rsidRPr="00E07C9A">
              <w:rPr>
                <w:rFonts w:ascii="Times New Roman" w:hAnsi="Times New Roman"/>
                <w:b/>
                <w:sz w:val="24"/>
                <w:u w:val="single"/>
              </w:rPr>
              <w:t>LGD (%)</w:t>
            </w:r>
          </w:p>
          <w:p w14:paraId="719F72F2" w14:textId="10C46769" w:rsidR="007421F4" w:rsidRPr="00E07C9A" w:rsidRDefault="007421F4" w:rsidP="007421F4">
            <w:pPr>
              <w:spacing w:before="0" w:after="0"/>
              <w:jc w:val="left"/>
              <w:rPr>
                <w:rFonts w:ascii="Times New Roman" w:hAnsi="Times New Roman"/>
                <w:sz w:val="24"/>
              </w:rPr>
            </w:pPr>
          </w:p>
          <w:p w14:paraId="149BBCAA" w14:textId="61F65173" w:rsidR="009912F8" w:rsidRPr="00E07C9A" w:rsidRDefault="007421F4" w:rsidP="007421F4">
            <w:pPr>
              <w:autoSpaceDE w:val="0"/>
              <w:autoSpaceDN w:val="0"/>
              <w:adjustRightInd w:val="0"/>
              <w:spacing w:before="0" w:after="0"/>
              <w:rPr>
                <w:rFonts w:ascii="Times New Roman" w:hAnsi="Times New Roman"/>
                <w:sz w:val="24"/>
              </w:rPr>
            </w:pPr>
            <w:r w:rsidRPr="00E07C9A">
              <w:rPr>
                <w:rFonts w:ascii="Times New Roman" w:hAnsi="Times New Roman"/>
                <w:sz w:val="24"/>
              </w:rPr>
              <w:t>Expozíciami váženú priemernú stratu</w:t>
            </w:r>
            <w:r w:rsidR="009912F8" w:rsidRPr="00E07C9A">
              <w:rPr>
                <w:rFonts w:ascii="Times New Roman" w:hAnsi="Times New Roman"/>
                <w:sz w:val="24"/>
              </w:rPr>
              <w:t xml:space="preserve"> v </w:t>
            </w:r>
            <w:r w:rsidRPr="00E07C9A">
              <w:rPr>
                <w:rFonts w:ascii="Times New Roman" w:hAnsi="Times New Roman"/>
                <w:sz w:val="24"/>
              </w:rPr>
              <w:t>prípade zlyhania (LGD) vykazujú len inštitúcie, ktoré používajú prístup SEC-IRBA (a preto</w:t>
            </w:r>
            <w:r w:rsidR="009912F8" w:rsidRPr="00E07C9A">
              <w:rPr>
                <w:rFonts w:ascii="Times New Roman" w:hAnsi="Times New Roman"/>
                <w:sz w:val="24"/>
              </w:rPr>
              <w:t xml:space="preserve"> v </w:t>
            </w:r>
            <w:r w:rsidRPr="00E07C9A">
              <w:rPr>
                <w:rFonts w:ascii="Times New Roman" w:hAnsi="Times New Roman"/>
                <w:sz w:val="24"/>
              </w:rPr>
              <w:t>stĺpci 0170 vykazujú 95</w:t>
            </w:r>
            <w:r w:rsidR="009912F8" w:rsidRPr="00E07C9A">
              <w:rPr>
                <w:rFonts w:ascii="Times New Roman" w:hAnsi="Times New Roman"/>
                <w:sz w:val="24"/>
              </w:rPr>
              <w:t> %</w:t>
            </w:r>
            <w:r w:rsidRPr="00E07C9A">
              <w:rPr>
                <w:rFonts w:ascii="Times New Roman" w:hAnsi="Times New Roman"/>
                <w:sz w:val="24"/>
              </w:rPr>
              <w:t xml:space="preserve"> alebo viac). LGD sa vypočítava podľa článku 259 ods. 5 nariadenia (EÚ) </w:t>
            </w:r>
            <w:r w:rsidR="009912F8" w:rsidRPr="00E07C9A">
              <w:rPr>
                <w:rFonts w:ascii="Times New Roman" w:hAnsi="Times New Roman"/>
                <w:sz w:val="24"/>
              </w:rPr>
              <w:t>č. 575/2013.</w:t>
            </w:r>
          </w:p>
          <w:p w14:paraId="0EB4C479" w14:textId="2C239013" w:rsidR="009912F8" w:rsidRPr="00E07C9A" w:rsidRDefault="007421F4" w:rsidP="007421F4">
            <w:pPr>
              <w:autoSpaceDE w:val="0"/>
              <w:autoSpaceDN w:val="0"/>
              <w:adjustRightInd w:val="0"/>
              <w:spacing w:before="0" w:after="0"/>
              <w:rPr>
                <w:rFonts w:ascii="Times New Roman" w:hAnsi="Times New Roman"/>
                <w:sz w:val="24"/>
              </w:rPr>
            </w:pPr>
            <w:r w:rsidRPr="00E07C9A">
              <w:rPr>
                <w:rFonts w:ascii="Times New Roman" w:hAnsi="Times New Roman"/>
                <w:sz w:val="24"/>
              </w:rPr>
              <w:t>Tento stĺpec sa nevypĺňa</w:t>
            </w:r>
            <w:r w:rsidR="009912F8" w:rsidRPr="00E07C9A">
              <w:rPr>
                <w:rFonts w:ascii="Times New Roman" w:hAnsi="Times New Roman"/>
                <w:sz w:val="24"/>
              </w:rPr>
              <w:t xml:space="preserve"> v </w:t>
            </w:r>
            <w:r w:rsidRPr="00E07C9A">
              <w:rPr>
                <w:rFonts w:ascii="Times New Roman" w:hAnsi="Times New Roman"/>
                <w:sz w:val="24"/>
              </w:rPr>
              <w:t>prípade sekuritizácie záväzkov alebo keď sú požiadavky na vlastné zdroje založené na sekuritizovaných expozíciách (v prípade sekuritizácie aktív)</w:t>
            </w:r>
            <w:r w:rsidR="009912F8" w:rsidRPr="00E07C9A">
              <w:rPr>
                <w:rFonts w:ascii="Times New Roman" w:hAnsi="Times New Roman"/>
                <w:sz w:val="24"/>
              </w:rPr>
              <w:t>.</w:t>
            </w:r>
          </w:p>
          <w:p w14:paraId="2CFED0F5" w14:textId="35A1793C" w:rsidR="007421F4" w:rsidRPr="00E07C9A" w:rsidRDefault="007421F4" w:rsidP="007421F4">
            <w:pPr>
              <w:spacing w:before="0" w:after="0"/>
              <w:jc w:val="left"/>
              <w:rPr>
                <w:rFonts w:ascii="Times New Roman" w:hAnsi="Times New Roman"/>
                <w:sz w:val="24"/>
              </w:rPr>
            </w:pPr>
          </w:p>
        </w:tc>
      </w:tr>
      <w:tr w:rsidR="007421F4" w:rsidRPr="00E07C9A" w14:paraId="6DB55463" w14:textId="77777777" w:rsidTr="00E10B85">
        <w:tc>
          <w:tcPr>
            <w:tcW w:w="1101" w:type="dxa"/>
          </w:tcPr>
          <w:p w14:paraId="7BB40A30" w14:textId="77777777" w:rsidR="007421F4" w:rsidRPr="00E07C9A" w:rsidRDefault="007421F4" w:rsidP="007421F4">
            <w:pPr>
              <w:autoSpaceDE w:val="0"/>
              <w:autoSpaceDN w:val="0"/>
              <w:adjustRightInd w:val="0"/>
              <w:spacing w:before="0" w:after="0"/>
              <w:rPr>
                <w:rFonts w:ascii="Times New Roman" w:hAnsi="Times New Roman"/>
                <w:bCs/>
                <w:sz w:val="24"/>
              </w:rPr>
            </w:pPr>
            <w:r w:rsidRPr="00E07C9A">
              <w:rPr>
                <w:rFonts w:ascii="Times New Roman" w:hAnsi="Times New Roman"/>
                <w:sz w:val="24"/>
              </w:rPr>
              <w:t>0202</w:t>
            </w:r>
          </w:p>
        </w:tc>
        <w:tc>
          <w:tcPr>
            <w:tcW w:w="7903" w:type="dxa"/>
          </w:tcPr>
          <w:p w14:paraId="44F7D570" w14:textId="77777777" w:rsidR="007421F4" w:rsidRPr="00E07C9A" w:rsidRDefault="007421F4" w:rsidP="007421F4">
            <w:pPr>
              <w:spacing w:before="0" w:after="0"/>
              <w:jc w:val="left"/>
              <w:rPr>
                <w:rFonts w:ascii="Times New Roman" w:hAnsi="Times New Roman"/>
                <w:b/>
                <w:sz w:val="24"/>
                <w:u w:val="single"/>
              </w:rPr>
            </w:pPr>
            <w:r w:rsidRPr="00E07C9A">
              <w:rPr>
                <w:rFonts w:ascii="Times New Roman" w:hAnsi="Times New Roman"/>
                <w:b/>
                <w:sz w:val="24"/>
                <w:u w:val="single"/>
              </w:rPr>
              <w:t>EL (%)</w:t>
            </w:r>
          </w:p>
          <w:p w14:paraId="72C40938" w14:textId="77777777" w:rsidR="007421F4" w:rsidRPr="00E07C9A" w:rsidRDefault="007421F4" w:rsidP="007421F4">
            <w:pPr>
              <w:spacing w:before="0" w:after="0"/>
              <w:jc w:val="left"/>
              <w:rPr>
                <w:rFonts w:ascii="Times New Roman" w:hAnsi="Times New Roman"/>
                <w:b/>
                <w:sz w:val="24"/>
                <w:u w:val="single"/>
              </w:rPr>
            </w:pPr>
          </w:p>
          <w:p w14:paraId="65A299E2" w14:textId="658711D4" w:rsidR="007421F4" w:rsidRPr="00E07C9A" w:rsidRDefault="007421F4" w:rsidP="007421F4">
            <w:pPr>
              <w:autoSpaceDE w:val="0"/>
              <w:autoSpaceDN w:val="0"/>
              <w:adjustRightInd w:val="0"/>
              <w:spacing w:before="0" w:after="0"/>
              <w:rPr>
                <w:rFonts w:ascii="Times New Roman" w:hAnsi="Times New Roman"/>
                <w:sz w:val="24"/>
              </w:rPr>
            </w:pPr>
            <w:r w:rsidRPr="00E07C9A">
              <w:rPr>
                <w:rFonts w:ascii="Times New Roman" w:hAnsi="Times New Roman"/>
                <w:sz w:val="24"/>
              </w:rPr>
              <w:t>Expozíciami váženú priemernú očakávanú stratu (EL) sekuritizovaných aktív vykazujú len inštitúcie, ktoré používajú prístup SEC-IRBA (a ktoré preto</w:t>
            </w:r>
            <w:r w:rsidR="009912F8" w:rsidRPr="00E07C9A">
              <w:rPr>
                <w:rFonts w:ascii="Times New Roman" w:hAnsi="Times New Roman"/>
                <w:sz w:val="24"/>
              </w:rPr>
              <w:t xml:space="preserve"> v </w:t>
            </w:r>
            <w:r w:rsidRPr="00E07C9A">
              <w:rPr>
                <w:rFonts w:ascii="Times New Roman" w:hAnsi="Times New Roman"/>
                <w:sz w:val="24"/>
              </w:rPr>
              <w:t>stĺpci 0171 vykazujú 95</w:t>
            </w:r>
            <w:r w:rsidR="009912F8" w:rsidRPr="00E07C9A">
              <w:rPr>
                <w:rFonts w:ascii="Times New Roman" w:hAnsi="Times New Roman"/>
                <w:sz w:val="24"/>
              </w:rPr>
              <w:t> %</w:t>
            </w:r>
            <w:r w:rsidRPr="00E07C9A">
              <w:rPr>
                <w:rFonts w:ascii="Times New Roman" w:hAnsi="Times New Roman"/>
                <w:sz w:val="24"/>
              </w:rPr>
              <w:t xml:space="preserve"> alebo viac).</w:t>
            </w:r>
            <w:r w:rsidR="009912F8" w:rsidRPr="00E07C9A">
              <w:rPr>
                <w:rFonts w:ascii="Times New Roman" w:hAnsi="Times New Roman"/>
                <w:sz w:val="24"/>
              </w:rPr>
              <w:t xml:space="preserve"> V </w:t>
            </w:r>
            <w:r w:rsidRPr="00E07C9A">
              <w:rPr>
                <w:rFonts w:ascii="Times New Roman" w:hAnsi="Times New Roman"/>
                <w:sz w:val="24"/>
              </w:rPr>
              <w:t xml:space="preserve">prípade sekuritizovaných aktív podľa SA sú vykazovanou očakávanou stratou špecifické úpravy kreditného rizika podľa článku 111 nariadenia (EÚ) </w:t>
            </w:r>
            <w:r w:rsidR="009912F8" w:rsidRPr="00E07C9A">
              <w:rPr>
                <w:rFonts w:ascii="Times New Roman" w:hAnsi="Times New Roman"/>
                <w:sz w:val="24"/>
              </w:rPr>
              <w:t>č. 575/2013</w:t>
            </w:r>
            <w:r w:rsidRPr="00E07C9A">
              <w:rPr>
                <w:rFonts w:ascii="Times New Roman" w:hAnsi="Times New Roman"/>
                <w:sz w:val="24"/>
              </w:rPr>
              <w:t>. EL sa vypočítava tak, ako sa uvádza</w:t>
            </w:r>
            <w:r w:rsidR="009912F8" w:rsidRPr="00E07C9A">
              <w:rPr>
                <w:rFonts w:ascii="Times New Roman" w:hAnsi="Times New Roman"/>
                <w:sz w:val="24"/>
              </w:rPr>
              <w:t xml:space="preserve"> v </w:t>
            </w:r>
            <w:r w:rsidRPr="00E07C9A">
              <w:rPr>
                <w:rFonts w:ascii="Times New Roman" w:hAnsi="Times New Roman"/>
                <w:sz w:val="24"/>
              </w:rPr>
              <w:t xml:space="preserve">tretej časti hlave II kapitole 3 oddiele 3 nariadenia (EÚ) </w:t>
            </w:r>
            <w:r w:rsidR="009912F8" w:rsidRPr="00E07C9A">
              <w:rPr>
                <w:rFonts w:ascii="Times New Roman" w:hAnsi="Times New Roman"/>
                <w:sz w:val="24"/>
              </w:rPr>
              <w:t>č. 575/2013</w:t>
            </w:r>
            <w:r w:rsidRPr="00E07C9A">
              <w:rPr>
                <w:rFonts w:ascii="Times New Roman" w:hAnsi="Times New Roman"/>
                <w:sz w:val="24"/>
              </w:rPr>
              <w:t>. Tento stĺpec sa nevypĺňa</w:t>
            </w:r>
            <w:r w:rsidR="009912F8" w:rsidRPr="00E07C9A">
              <w:rPr>
                <w:rFonts w:ascii="Times New Roman" w:hAnsi="Times New Roman"/>
                <w:sz w:val="24"/>
              </w:rPr>
              <w:t xml:space="preserve"> v </w:t>
            </w:r>
            <w:r w:rsidRPr="00E07C9A">
              <w:rPr>
                <w:rFonts w:ascii="Times New Roman" w:hAnsi="Times New Roman"/>
                <w:sz w:val="24"/>
              </w:rPr>
              <w:t>prípade sekuritizácie záväzkov alebo keď sú požiadavky na vlastné zdroje založené na sekuritizovaných expozíciách (v prípade sekuritizácie aktív).</w:t>
            </w:r>
          </w:p>
          <w:p w14:paraId="29F66CB6" w14:textId="77777777" w:rsidR="007421F4" w:rsidRPr="00E07C9A" w:rsidRDefault="007421F4" w:rsidP="007421F4">
            <w:pPr>
              <w:spacing w:before="0" w:after="0"/>
              <w:jc w:val="left"/>
              <w:rPr>
                <w:rFonts w:ascii="Times New Roman" w:hAnsi="Times New Roman"/>
                <w:b/>
                <w:sz w:val="24"/>
                <w:u w:val="single"/>
              </w:rPr>
            </w:pPr>
          </w:p>
        </w:tc>
      </w:tr>
      <w:tr w:rsidR="007421F4" w:rsidRPr="00E07C9A" w14:paraId="36FA1B17" w14:textId="77777777" w:rsidTr="00E10B85">
        <w:tc>
          <w:tcPr>
            <w:tcW w:w="1101" w:type="dxa"/>
          </w:tcPr>
          <w:p w14:paraId="607344BC" w14:textId="77777777" w:rsidR="007421F4" w:rsidRPr="00E07C9A" w:rsidRDefault="007421F4" w:rsidP="007421F4">
            <w:pPr>
              <w:autoSpaceDE w:val="0"/>
              <w:autoSpaceDN w:val="0"/>
              <w:adjustRightInd w:val="0"/>
              <w:spacing w:before="0" w:after="0"/>
              <w:rPr>
                <w:rFonts w:ascii="Times New Roman" w:hAnsi="Times New Roman"/>
                <w:bCs/>
                <w:sz w:val="24"/>
              </w:rPr>
            </w:pPr>
            <w:r w:rsidRPr="00E07C9A">
              <w:rPr>
                <w:rFonts w:ascii="Times New Roman" w:hAnsi="Times New Roman"/>
                <w:sz w:val="24"/>
              </w:rPr>
              <w:t>0203</w:t>
            </w:r>
          </w:p>
        </w:tc>
        <w:tc>
          <w:tcPr>
            <w:tcW w:w="7903" w:type="dxa"/>
          </w:tcPr>
          <w:p w14:paraId="4120DA5B" w14:textId="77777777" w:rsidR="007421F4" w:rsidRPr="00E07C9A" w:rsidRDefault="007421F4" w:rsidP="007421F4">
            <w:pPr>
              <w:spacing w:before="0" w:after="0"/>
              <w:jc w:val="left"/>
              <w:rPr>
                <w:rFonts w:ascii="Times New Roman" w:hAnsi="Times New Roman"/>
                <w:b/>
                <w:sz w:val="24"/>
                <w:u w:val="single"/>
              </w:rPr>
            </w:pPr>
            <w:r w:rsidRPr="00E07C9A">
              <w:rPr>
                <w:rFonts w:ascii="Times New Roman" w:hAnsi="Times New Roman"/>
                <w:b/>
                <w:sz w:val="24"/>
                <w:u w:val="single"/>
              </w:rPr>
              <w:t>UL (%)</w:t>
            </w:r>
          </w:p>
          <w:p w14:paraId="2465AAC7" w14:textId="77777777" w:rsidR="007421F4" w:rsidRPr="00E07C9A" w:rsidRDefault="007421F4" w:rsidP="007421F4">
            <w:pPr>
              <w:spacing w:before="0" w:after="0"/>
              <w:jc w:val="left"/>
              <w:rPr>
                <w:rFonts w:ascii="Times New Roman" w:hAnsi="Times New Roman"/>
                <w:b/>
                <w:sz w:val="24"/>
                <w:u w:val="single"/>
              </w:rPr>
            </w:pPr>
          </w:p>
          <w:p w14:paraId="6B556656" w14:textId="38E051AD" w:rsidR="007421F4" w:rsidRPr="00E07C9A" w:rsidRDefault="007421F4" w:rsidP="007421F4">
            <w:pPr>
              <w:autoSpaceDE w:val="0"/>
              <w:autoSpaceDN w:val="0"/>
              <w:adjustRightInd w:val="0"/>
              <w:spacing w:before="0" w:after="0"/>
              <w:rPr>
                <w:rFonts w:ascii="Times New Roman" w:hAnsi="Times New Roman"/>
                <w:sz w:val="24"/>
              </w:rPr>
            </w:pPr>
            <w:r w:rsidRPr="00E07C9A">
              <w:rPr>
                <w:rFonts w:ascii="Times New Roman" w:hAnsi="Times New Roman"/>
                <w:sz w:val="24"/>
              </w:rPr>
              <w:t>Expozíciami váženú priemernú neočakávanú stratu (UL) sekuritizovaných aktív vykazujú len inštitúcie, ktoré používajú prístup SEC-IRBA (a preto</w:t>
            </w:r>
            <w:r w:rsidR="009912F8" w:rsidRPr="00E07C9A">
              <w:rPr>
                <w:rFonts w:ascii="Times New Roman" w:hAnsi="Times New Roman"/>
                <w:sz w:val="24"/>
              </w:rPr>
              <w:t xml:space="preserve"> v </w:t>
            </w:r>
            <w:r w:rsidRPr="00E07C9A">
              <w:rPr>
                <w:rFonts w:ascii="Times New Roman" w:hAnsi="Times New Roman"/>
                <w:sz w:val="24"/>
              </w:rPr>
              <w:t>stĺpci 0170 vykazujú 95</w:t>
            </w:r>
            <w:r w:rsidR="009912F8" w:rsidRPr="00E07C9A">
              <w:rPr>
                <w:rFonts w:ascii="Times New Roman" w:hAnsi="Times New Roman"/>
                <w:sz w:val="24"/>
              </w:rPr>
              <w:t> %</w:t>
            </w:r>
            <w:r w:rsidRPr="00E07C9A">
              <w:rPr>
                <w:rFonts w:ascii="Times New Roman" w:hAnsi="Times New Roman"/>
                <w:sz w:val="24"/>
              </w:rPr>
              <w:t xml:space="preserve"> alebo viac). UL aktív sa rovná hodnote rizikovo váženej expozície (RWEA) vynásobenej 8</w:t>
            </w:r>
            <w:r w:rsidR="009912F8" w:rsidRPr="00E07C9A">
              <w:rPr>
                <w:rFonts w:ascii="Times New Roman" w:hAnsi="Times New Roman"/>
                <w:sz w:val="24"/>
              </w:rPr>
              <w:t> %</w:t>
            </w:r>
            <w:r w:rsidRPr="00E07C9A">
              <w:rPr>
                <w:rFonts w:ascii="Times New Roman" w:hAnsi="Times New Roman"/>
                <w:sz w:val="24"/>
              </w:rPr>
              <w:t>. RWEA sa vypočítava tak, ako sa uvádza</w:t>
            </w:r>
            <w:r w:rsidR="009912F8" w:rsidRPr="00E07C9A">
              <w:rPr>
                <w:rFonts w:ascii="Times New Roman" w:hAnsi="Times New Roman"/>
                <w:sz w:val="24"/>
              </w:rPr>
              <w:t xml:space="preserve"> v </w:t>
            </w:r>
            <w:r w:rsidRPr="00E07C9A">
              <w:rPr>
                <w:rFonts w:ascii="Times New Roman" w:hAnsi="Times New Roman"/>
                <w:sz w:val="24"/>
              </w:rPr>
              <w:t xml:space="preserve">tretej časti hlave II kapitole 3 oddiele 2 nariadenia (EÚ) </w:t>
            </w:r>
            <w:r w:rsidR="009912F8" w:rsidRPr="00E07C9A">
              <w:rPr>
                <w:rFonts w:ascii="Times New Roman" w:hAnsi="Times New Roman"/>
                <w:sz w:val="24"/>
              </w:rPr>
              <w:t>č. 575/2013</w:t>
            </w:r>
            <w:r w:rsidRPr="00E07C9A">
              <w:rPr>
                <w:rFonts w:ascii="Times New Roman" w:hAnsi="Times New Roman"/>
                <w:sz w:val="24"/>
              </w:rPr>
              <w:t>. Tento stĺpec sa nevypĺňa</w:t>
            </w:r>
            <w:r w:rsidR="009912F8" w:rsidRPr="00E07C9A">
              <w:rPr>
                <w:rFonts w:ascii="Times New Roman" w:hAnsi="Times New Roman"/>
                <w:sz w:val="24"/>
              </w:rPr>
              <w:t xml:space="preserve"> v </w:t>
            </w:r>
            <w:r w:rsidRPr="00E07C9A">
              <w:rPr>
                <w:rFonts w:ascii="Times New Roman" w:hAnsi="Times New Roman"/>
                <w:sz w:val="24"/>
              </w:rPr>
              <w:t>prípade sekuritizácie záväzkov alebo keď sú požiadavky na vlastné zdroje založené na sekuritizovaných expozíciách (v prípade sekuritizácie aktív).</w:t>
            </w:r>
          </w:p>
          <w:p w14:paraId="4643ED79" w14:textId="77777777" w:rsidR="007421F4" w:rsidRPr="00E07C9A" w:rsidRDefault="007421F4" w:rsidP="007421F4">
            <w:pPr>
              <w:spacing w:before="0" w:after="0"/>
              <w:jc w:val="left"/>
              <w:rPr>
                <w:rFonts w:ascii="Times New Roman" w:hAnsi="Times New Roman"/>
                <w:b/>
                <w:sz w:val="24"/>
                <w:u w:val="single"/>
              </w:rPr>
            </w:pPr>
          </w:p>
        </w:tc>
      </w:tr>
      <w:tr w:rsidR="007421F4" w:rsidRPr="00E07C9A" w14:paraId="7BEFDD4A" w14:textId="77777777" w:rsidTr="00E10B85">
        <w:tc>
          <w:tcPr>
            <w:tcW w:w="1101" w:type="dxa"/>
          </w:tcPr>
          <w:p w14:paraId="33EE1CEB" w14:textId="77777777" w:rsidR="007421F4" w:rsidRPr="00E07C9A" w:rsidRDefault="007421F4" w:rsidP="007421F4">
            <w:pPr>
              <w:autoSpaceDE w:val="0"/>
              <w:autoSpaceDN w:val="0"/>
              <w:adjustRightInd w:val="0"/>
              <w:spacing w:before="0" w:after="0"/>
              <w:rPr>
                <w:rFonts w:ascii="Times New Roman" w:hAnsi="Times New Roman"/>
                <w:bCs/>
                <w:sz w:val="24"/>
              </w:rPr>
            </w:pPr>
            <w:r w:rsidRPr="00E07C9A">
              <w:rPr>
                <w:rFonts w:ascii="Times New Roman" w:hAnsi="Times New Roman"/>
                <w:sz w:val="24"/>
              </w:rPr>
              <w:t>0204</w:t>
            </w:r>
          </w:p>
        </w:tc>
        <w:tc>
          <w:tcPr>
            <w:tcW w:w="7903" w:type="dxa"/>
          </w:tcPr>
          <w:p w14:paraId="50D83BDC" w14:textId="77777777" w:rsidR="007421F4" w:rsidRPr="00E07C9A" w:rsidRDefault="007421F4" w:rsidP="007421F4">
            <w:pPr>
              <w:spacing w:before="0" w:after="0"/>
              <w:jc w:val="left"/>
              <w:rPr>
                <w:rFonts w:ascii="Times New Roman" w:hAnsi="Times New Roman"/>
                <w:b/>
                <w:sz w:val="24"/>
                <w:u w:val="single"/>
              </w:rPr>
            </w:pPr>
            <w:r w:rsidRPr="00E07C9A">
              <w:rPr>
                <w:rFonts w:ascii="Times New Roman" w:hAnsi="Times New Roman"/>
                <w:b/>
                <w:sz w:val="24"/>
                <w:u w:val="single"/>
              </w:rPr>
              <w:t>EXPOZÍCIAMI VÁŽENÁ PRIEMERNÁ SPLATNOSŤ AKTÍV</w:t>
            </w:r>
          </w:p>
          <w:p w14:paraId="127D549F" w14:textId="77777777" w:rsidR="007421F4" w:rsidRPr="00E07C9A" w:rsidRDefault="007421F4" w:rsidP="007421F4">
            <w:pPr>
              <w:spacing w:before="0" w:after="0"/>
              <w:jc w:val="left"/>
              <w:rPr>
                <w:rFonts w:ascii="Times New Roman" w:hAnsi="Times New Roman"/>
                <w:b/>
                <w:sz w:val="24"/>
                <w:u w:val="single"/>
              </w:rPr>
            </w:pPr>
          </w:p>
          <w:p w14:paraId="6D24083D" w14:textId="6DEC68D4" w:rsidR="007421F4" w:rsidRPr="00E07C9A" w:rsidRDefault="007421F4" w:rsidP="007421F4">
            <w:pPr>
              <w:spacing w:before="0" w:after="0"/>
              <w:jc w:val="left"/>
              <w:rPr>
                <w:rFonts w:ascii="Times New Roman" w:hAnsi="Times New Roman"/>
                <w:b/>
                <w:sz w:val="24"/>
                <w:u w:val="single"/>
              </w:rPr>
            </w:pPr>
            <w:r w:rsidRPr="00E07C9A">
              <w:rPr>
                <w:rFonts w:ascii="Times New Roman" w:hAnsi="Times New Roman"/>
                <w:sz w:val="24"/>
              </w:rPr>
              <w:t>Expozíciami váženú priemernú splatnosť (WAM) sekuritizovaných aktív</w:t>
            </w:r>
            <w:r w:rsidR="009912F8" w:rsidRPr="00E07C9A">
              <w:rPr>
                <w:rFonts w:ascii="Times New Roman" w:hAnsi="Times New Roman"/>
                <w:sz w:val="24"/>
              </w:rPr>
              <w:t xml:space="preserve"> k </w:t>
            </w:r>
            <w:r w:rsidRPr="00E07C9A">
              <w:rPr>
                <w:rFonts w:ascii="Times New Roman" w:hAnsi="Times New Roman"/>
                <w:sz w:val="24"/>
              </w:rPr>
              <w:t>dátumu vykazovania vykazujú všetky inštitúcie bez ohľadu na prístup použitý na výpočet kapitálových požiadaviek. Inštitúcie vypočítavajú splatnosť každého aktíva</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článkom 162 ods. 2 písm. a)</w:t>
            </w:r>
            <w:r w:rsidR="009912F8" w:rsidRPr="00E07C9A">
              <w:rPr>
                <w:rFonts w:ascii="Times New Roman" w:hAnsi="Times New Roman"/>
                <w:sz w:val="24"/>
              </w:rPr>
              <w:t xml:space="preserve"> a </w:t>
            </w:r>
            <w:r w:rsidRPr="00E07C9A">
              <w:rPr>
                <w:rFonts w:ascii="Times New Roman" w:hAnsi="Times New Roman"/>
                <w:sz w:val="24"/>
              </w:rPr>
              <w:t xml:space="preserve">f) nariadenia (EÚ) </w:t>
            </w:r>
            <w:r w:rsidR="009912F8" w:rsidRPr="00E07C9A">
              <w:rPr>
                <w:rFonts w:ascii="Times New Roman" w:hAnsi="Times New Roman"/>
                <w:sz w:val="24"/>
              </w:rPr>
              <w:t>č. 575/2013</w:t>
            </w:r>
            <w:r w:rsidRPr="00E07C9A">
              <w:rPr>
                <w:rFonts w:ascii="Times New Roman" w:hAnsi="Times New Roman"/>
                <w:sz w:val="24"/>
              </w:rPr>
              <w:t>,</w:t>
            </w:r>
            <w:r w:rsidR="009912F8" w:rsidRPr="00E07C9A">
              <w:rPr>
                <w:rFonts w:ascii="Times New Roman" w:hAnsi="Times New Roman"/>
                <w:sz w:val="24"/>
              </w:rPr>
              <w:t xml:space="preserve"> a </w:t>
            </w:r>
            <w:r w:rsidRPr="00E07C9A">
              <w:rPr>
                <w:rFonts w:ascii="Times New Roman" w:hAnsi="Times New Roman"/>
                <w:sz w:val="24"/>
              </w:rPr>
              <w:t>to bez uplatnenia horného ohraničenia vo výške piatich rokov.</w:t>
            </w:r>
          </w:p>
          <w:p w14:paraId="1A5CFA02" w14:textId="77777777" w:rsidR="007421F4" w:rsidRPr="00E07C9A" w:rsidRDefault="007421F4" w:rsidP="007421F4">
            <w:pPr>
              <w:spacing w:before="0" w:after="0"/>
              <w:jc w:val="left"/>
              <w:rPr>
                <w:rFonts w:ascii="Times New Roman" w:hAnsi="Times New Roman"/>
                <w:b/>
                <w:sz w:val="24"/>
                <w:u w:val="single"/>
              </w:rPr>
            </w:pPr>
          </w:p>
        </w:tc>
      </w:tr>
      <w:tr w:rsidR="007421F4" w:rsidRPr="00E07C9A" w14:paraId="085DF274" w14:textId="77777777" w:rsidTr="00E10B85">
        <w:tc>
          <w:tcPr>
            <w:tcW w:w="1101" w:type="dxa"/>
          </w:tcPr>
          <w:p w14:paraId="3C09536C" w14:textId="77777777" w:rsidR="007421F4" w:rsidRPr="00E07C9A" w:rsidRDefault="007421F4" w:rsidP="007421F4">
            <w:pPr>
              <w:autoSpaceDE w:val="0"/>
              <w:autoSpaceDN w:val="0"/>
              <w:adjustRightInd w:val="0"/>
              <w:spacing w:before="0" w:after="0"/>
              <w:rPr>
                <w:rFonts w:ascii="Times New Roman" w:hAnsi="Times New Roman"/>
                <w:bCs/>
                <w:sz w:val="24"/>
              </w:rPr>
            </w:pPr>
            <w:r w:rsidRPr="00E07C9A">
              <w:rPr>
                <w:rFonts w:ascii="Times New Roman" w:hAnsi="Times New Roman"/>
                <w:sz w:val="24"/>
              </w:rPr>
              <w:t>0210</w:t>
            </w:r>
          </w:p>
        </w:tc>
        <w:tc>
          <w:tcPr>
            <w:tcW w:w="7903" w:type="dxa"/>
          </w:tcPr>
          <w:p w14:paraId="4CD233AB" w14:textId="77777777" w:rsidR="007421F4" w:rsidRPr="00E07C9A" w:rsidRDefault="007421F4" w:rsidP="007421F4">
            <w:pPr>
              <w:spacing w:before="0" w:after="0"/>
              <w:jc w:val="left"/>
              <w:rPr>
                <w:rFonts w:ascii="Times New Roman" w:hAnsi="Times New Roman"/>
                <w:b/>
                <w:sz w:val="24"/>
                <w:u w:val="single"/>
              </w:rPr>
            </w:pPr>
            <w:r w:rsidRPr="00E07C9A">
              <w:rPr>
                <w:rFonts w:ascii="Times New Roman" w:hAnsi="Times New Roman"/>
                <w:b/>
                <w:sz w:val="24"/>
                <w:u w:val="single"/>
              </w:rPr>
              <w:t>(–) ÚPRAVY OCENENIA A REZERVY</w:t>
            </w:r>
          </w:p>
          <w:p w14:paraId="3715145E" w14:textId="77777777" w:rsidR="007421F4" w:rsidRPr="00E07C9A" w:rsidRDefault="007421F4" w:rsidP="007421F4">
            <w:pPr>
              <w:spacing w:before="0" w:after="0"/>
              <w:jc w:val="left"/>
              <w:rPr>
                <w:rFonts w:ascii="Times New Roman" w:hAnsi="Times New Roman"/>
                <w:sz w:val="24"/>
              </w:rPr>
            </w:pPr>
          </w:p>
          <w:p w14:paraId="3EBB2D8B" w14:textId="09855B6C" w:rsidR="007421F4" w:rsidRPr="00E07C9A" w:rsidRDefault="007421F4" w:rsidP="007421F4">
            <w:pPr>
              <w:autoSpaceDE w:val="0"/>
              <w:autoSpaceDN w:val="0"/>
              <w:adjustRightInd w:val="0"/>
              <w:spacing w:before="0" w:after="0"/>
              <w:jc w:val="left"/>
              <w:rPr>
                <w:rFonts w:ascii="Times New Roman" w:hAnsi="Times New Roman"/>
                <w:sz w:val="24"/>
              </w:rPr>
            </w:pPr>
            <w:r w:rsidRPr="00E07C9A">
              <w:rPr>
                <w:rFonts w:ascii="Times New Roman" w:hAnsi="Times New Roman"/>
                <w:sz w:val="24"/>
              </w:rPr>
              <w:t>Úpravy ocenenia</w:t>
            </w:r>
            <w:r w:rsidR="009912F8" w:rsidRPr="00E07C9A">
              <w:rPr>
                <w:rFonts w:ascii="Times New Roman" w:hAnsi="Times New Roman"/>
                <w:sz w:val="24"/>
              </w:rPr>
              <w:t xml:space="preserve"> a </w:t>
            </w:r>
            <w:r w:rsidRPr="00E07C9A">
              <w:rPr>
                <w:rFonts w:ascii="Times New Roman" w:hAnsi="Times New Roman"/>
                <w:sz w:val="24"/>
              </w:rPr>
              <w:t xml:space="preserve">rezervy [článok 159 nariadenia (EÚ) </w:t>
            </w:r>
            <w:r w:rsidR="009912F8" w:rsidRPr="00E07C9A">
              <w:rPr>
                <w:rFonts w:ascii="Times New Roman" w:hAnsi="Times New Roman"/>
                <w:sz w:val="24"/>
              </w:rPr>
              <w:t>č. 575/2013</w:t>
            </w:r>
            <w:r w:rsidRPr="00E07C9A">
              <w:rPr>
                <w:rFonts w:ascii="Times New Roman" w:hAnsi="Times New Roman"/>
                <w:sz w:val="24"/>
              </w:rPr>
              <w:t>] pre kreditné straty vykonané</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účtovným rámcom, ktorý sa vzťahuje na vykazujúci subjekt. Úpravy ocenenia zahŕňajú všetky hodnoty vykázané vo výsledku hospodárenia pre kreditné straty finančných aktív od ich počiatočného vykázania</w:t>
            </w:r>
            <w:r w:rsidR="009912F8" w:rsidRPr="00E07C9A">
              <w:rPr>
                <w:rFonts w:ascii="Times New Roman" w:hAnsi="Times New Roman"/>
                <w:sz w:val="24"/>
              </w:rPr>
              <w:t xml:space="preserve"> v </w:t>
            </w:r>
            <w:r w:rsidRPr="00E07C9A">
              <w:rPr>
                <w:rFonts w:ascii="Times New Roman" w:hAnsi="Times New Roman"/>
                <w:sz w:val="24"/>
              </w:rPr>
              <w:t>súvahe (vrátane strát</w:t>
            </w:r>
            <w:r w:rsidR="009912F8" w:rsidRPr="00E07C9A">
              <w:rPr>
                <w:rFonts w:ascii="Times New Roman" w:hAnsi="Times New Roman"/>
                <w:sz w:val="24"/>
              </w:rPr>
              <w:t xml:space="preserve"> z </w:t>
            </w:r>
            <w:r w:rsidRPr="00E07C9A">
              <w:rPr>
                <w:rFonts w:ascii="Times New Roman" w:hAnsi="Times New Roman"/>
                <w:sz w:val="24"/>
              </w:rPr>
              <w:t>dôvodu kreditného rizika finančných aktív ocenených reálnou hodnotou, ktoré sa neodpočítavajú od hodnoty expozície) plus zníženia aktív kúpených</w:t>
            </w:r>
            <w:r w:rsidR="009912F8" w:rsidRPr="00E07C9A">
              <w:rPr>
                <w:rFonts w:ascii="Times New Roman" w:hAnsi="Times New Roman"/>
                <w:sz w:val="24"/>
              </w:rPr>
              <w:t xml:space="preserve"> v </w:t>
            </w:r>
            <w:r w:rsidRPr="00E07C9A">
              <w:rPr>
                <w:rFonts w:ascii="Times New Roman" w:hAnsi="Times New Roman"/>
                <w:sz w:val="24"/>
              </w:rPr>
              <w:t xml:space="preserve">stave zlyhania podľa článku 166 ods. 1 nariadenia (EÚ) </w:t>
            </w:r>
            <w:r w:rsidR="009912F8" w:rsidRPr="00E07C9A">
              <w:rPr>
                <w:rFonts w:ascii="Times New Roman" w:hAnsi="Times New Roman"/>
                <w:sz w:val="24"/>
              </w:rPr>
              <w:t>č. 575/2013</w:t>
            </w:r>
            <w:r w:rsidRPr="00E07C9A">
              <w:rPr>
                <w:rFonts w:ascii="Times New Roman" w:hAnsi="Times New Roman"/>
                <w:sz w:val="24"/>
              </w:rPr>
              <w:t>. Rezervy zahŕňajú akumulované hodnoty kreditných strát</w:t>
            </w:r>
            <w:r w:rsidR="009912F8" w:rsidRPr="00E07C9A">
              <w:rPr>
                <w:rFonts w:ascii="Times New Roman" w:hAnsi="Times New Roman"/>
                <w:sz w:val="24"/>
              </w:rPr>
              <w:t xml:space="preserve"> v </w:t>
            </w:r>
            <w:r w:rsidRPr="00E07C9A">
              <w:rPr>
                <w:rFonts w:ascii="Times New Roman" w:hAnsi="Times New Roman"/>
                <w:sz w:val="24"/>
              </w:rPr>
              <w:t>podsúvahových položkách.</w:t>
            </w:r>
          </w:p>
          <w:p w14:paraId="2DCF0DB5" w14:textId="77777777" w:rsidR="007421F4" w:rsidRPr="00E07C9A" w:rsidRDefault="007421F4" w:rsidP="007421F4">
            <w:pPr>
              <w:autoSpaceDE w:val="0"/>
              <w:autoSpaceDN w:val="0"/>
              <w:adjustRightInd w:val="0"/>
              <w:spacing w:before="0" w:after="0"/>
              <w:jc w:val="left"/>
              <w:rPr>
                <w:rFonts w:ascii="Times New Roman" w:hAnsi="Times New Roman"/>
                <w:sz w:val="24"/>
              </w:rPr>
            </w:pPr>
          </w:p>
          <w:p w14:paraId="7B4D94EB" w14:textId="4A8D7F6B" w:rsidR="007421F4" w:rsidRPr="00E07C9A" w:rsidRDefault="007421F4" w:rsidP="007421F4">
            <w:pPr>
              <w:autoSpaceDE w:val="0"/>
              <w:autoSpaceDN w:val="0"/>
              <w:adjustRightInd w:val="0"/>
              <w:spacing w:before="0" w:after="0"/>
              <w:rPr>
                <w:rFonts w:ascii="Times New Roman" w:hAnsi="Times New Roman"/>
                <w:sz w:val="24"/>
              </w:rPr>
            </w:pPr>
            <w:r w:rsidRPr="00E07C9A">
              <w:rPr>
                <w:rFonts w:ascii="Times New Roman" w:hAnsi="Times New Roman"/>
                <w:sz w:val="24"/>
              </w:rPr>
              <w:t>V tomto stĺpci sa vykazujú informácie</w:t>
            </w:r>
            <w:r w:rsidR="009912F8" w:rsidRPr="00E07C9A">
              <w:rPr>
                <w:rFonts w:ascii="Times New Roman" w:hAnsi="Times New Roman"/>
                <w:sz w:val="24"/>
              </w:rPr>
              <w:t xml:space="preserve"> o </w:t>
            </w:r>
            <w:r w:rsidRPr="00E07C9A">
              <w:rPr>
                <w:rFonts w:ascii="Times New Roman" w:hAnsi="Times New Roman"/>
                <w:sz w:val="24"/>
              </w:rPr>
              <w:t>úpravách ocenení</w:t>
            </w:r>
            <w:r w:rsidR="009912F8" w:rsidRPr="00E07C9A">
              <w:rPr>
                <w:rFonts w:ascii="Times New Roman" w:hAnsi="Times New Roman"/>
                <w:sz w:val="24"/>
              </w:rPr>
              <w:t xml:space="preserve"> a </w:t>
            </w:r>
            <w:r w:rsidRPr="00E07C9A">
              <w:rPr>
                <w:rFonts w:ascii="Times New Roman" w:hAnsi="Times New Roman"/>
                <w:sz w:val="24"/>
              </w:rPr>
              <w:t>rezerv uplatnených na sekuritizované expozície. Tento stĺpec sa nevypĺňa</w:t>
            </w:r>
            <w:r w:rsidR="009912F8" w:rsidRPr="00E07C9A">
              <w:rPr>
                <w:rFonts w:ascii="Times New Roman" w:hAnsi="Times New Roman"/>
                <w:sz w:val="24"/>
              </w:rPr>
              <w:t xml:space="preserve"> v </w:t>
            </w:r>
            <w:r w:rsidRPr="00E07C9A">
              <w:rPr>
                <w:rFonts w:ascii="Times New Roman" w:hAnsi="Times New Roman"/>
                <w:sz w:val="24"/>
              </w:rPr>
              <w:t>prípade sekuritizácie záväzkov.</w:t>
            </w:r>
          </w:p>
          <w:p w14:paraId="6A56F61A" w14:textId="77777777" w:rsidR="007421F4" w:rsidRPr="00E07C9A" w:rsidRDefault="007421F4" w:rsidP="007421F4">
            <w:pPr>
              <w:autoSpaceDE w:val="0"/>
              <w:autoSpaceDN w:val="0"/>
              <w:adjustRightInd w:val="0"/>
              <w:spacing w:before="0" w:after="0"/>
              <w:rPr>
                <w:rFonts w:ascii="Times New Roman" w:hAnsi="Times New Roman"/>
                <w:sz w:val="24"/>
              </w:rPr>
            </w:pPr>
          </w:p>
          <w:p w14:paraId="457F79C6" w14:textId="137A3A19" w:rsidR="009912F8" w:rsidRPr="00E07C9A" w:rsidRDefault="007421F4" w:rsidP="007421F4">
            <w:pPr>
              <w:autoSpaceDE w:val="0"/>
              <w:autoSpaceDN w:val="0"/>
              <w:adjustRightInd w:val="0"/>
              <w:spacing w:before="0" w:after="0"/>
              <w:rPr>
                <w:rFonts w:ascii="Times New Roman" w:hAnsi="Times New Roman"/>
                <w:sz w:val="24"/>
              </w:rPr>
            </w:pPr>
            <w:r w:rsidRPr="00E07C9A">
              <w:rPr>
                <w:rFonts w:ascii="Times New Roman" w:hAnsi="Times New Roman"/>
                <w:sz w:val="24"/>
              </w:rPr>
              <w:t>Táto informácia sa vykazuje, aj keď vykazujúci subjekt nedrží žiadne pozície</w:t>
            </w:r>
            <w:r w:rsidR="009912F8" w:rsidRPr="00E07C9A">
              <w:rPr>
                <w:rFonts w:ascii="Times New Roman" w:hAnsi="Times New Roman"/>
                <w:sz w:val="24"/>
              </w:rPr>
              <w:t xml:space="preserve"> v </w:t>
            </w:r>
            <w:r w:rsidRPr="00E07C9A">
              <w:rPr>
                <w:rFonts w:ascii="Times New Roman" w:hAnsi="Times New Roman"/>
                <w:sz w:val="24"/>
              </w:rPr>
              <w:t>sekuritizácii</w:t>
            </w:r>
            <w:r w:rsidR="009912F8" w:rsidRPr="00E07C9A">
              <w:rPr>
                <w:rFonts w:ascii="Times New Roman" w:hAnsi="Times New Roman"/>
                <w:sz w:val="24"/>
              </w:rPr>
              <w:t>.</w:t>
            </w:r>
          </w:p>
          <w:p w14:paraId="2B7A2804" w14:textId="47E208FC" w:rsidR="007421F4" w:rsidRPr="00E07C9A" w:rsidRDefault="007421F4" w:rsidP="007421F4">
            <w:pPr>
              <w:autoSpaceDE w:val="0"/>
              <w:autoSpaceDN w:val="0"/>
              <w:adjustRightInd w:val="0"/>
              <w:spacing w:before="0" w:after="0"/>
              <w:rPr>
                <w:rFonts w:ascii="Times New Roman" w:hAnsi="Times New Roman"/>
                <w:sz w:val="24"/>
              </w:rPr>
            </w:pPr>
          </w:p>
        </w:tc>
      </w:tr>
      <w:tr w:rsidR="007421F4" w:rsidRPr="00E07C9A" w14:paraId="346E2A99" w14:textId="77777777" w:rsidTr="00E10B85">
        <w:tc>
          <w:tcPr>
            <w:tcW w:w="1101" w:type="dxa"/>
          </w:tcPr>
          <w:p w14:paraId="172B0D2E" w14:textId="77777777" w:rsidR="007421F4" w:rsidRPr="00E07C9A" w:rsidRDefault="007421F4" w:rsidP="007421F4">
            <w:pPr>
              <w:autoSpaceDE w:val="0"/>
              <w:autoSpaceDN w:val="0"/>
              <w:adjustRightInd w:val="0"/>
              <w:spacing w:before="0" w:after="0"/>
              <w:rPr>
                <w:rFonts w:ascii="Times New Roman" w:hAnsi="Times New Roman"/>
                <w:bCs/>
                <w:sz w:val="24"/>
              </w:rPr>
            </w:pPr>
            <w:r w:rsidRPr="00E07C9A">
              <w:rPr>
                <w:rFonts w:ascii="Times New Roman" w:hAnsi="Times New Roman"/>
                <w:sz w:val="24"/>
              </w:rPr>
              <w:t>0221</w:t>
            </w:r>
          </w:p>
        </w:tc>
        <w:tc>
          <w:tcPr>
            <w:tcW w:w="7903" w:type="dxa"/>
          </w:tcPr>
          <w:p w14:paraId="69A56AA9" w14:textId="77777777" w:rsidR="007421F4" w:rsidRPr="00E07C9A" w:rsidRDefault="007421F4" w:rsidP="007421F4">
            <w:pPr>
              <w:spacing w:before="0" w:after="0"/>
              <w:jc w:val="left"/>
              <w:rPr>
                <w:rFonts w:ascii="Times New Roman" w:hAnsi="Times New Roman"/>
                <w:b/>
                <w:sz w:val="24"/>
                <w:u w:val="single"/>
                <w:vertAlign w:val="subscript"/>
              </w:rPr>
            </w:pPr>
            <w:r w:rsidRPr="00E07C9A">
              <w:rPr>
                <w:rFonts w:ascii="Times New Roman" w:hAnsi="Times New Roman"/>
                <w:b/>
                <w:sz w:val="24"/>
                <w:u w:val="single"/>
              </w:rPr>
              <w:t>POŽIADAVKY NA VLASTNÉ ZDROJE PRED SEKURITIZÁCIOU (%) K</w:t>
            </w:r>
            <w:r w:rsidRPr="00E07C9A">
              <w:rPr>
                <w:rFonts w:ascii="Times New Roman" w:hAnsi="Times New Roman"/>
                <w:b/>
                <w:sz w:val="24"/>
                <w:u w:val="single"/>
                <w:vertAlign w:val="subscript"/>
              </w:rPr>
              <w:t>IRB</w:t>
            </w:r>
          </w:p>
          <w:p w14:paraId="09F9C424" w14:textId="77777777" w:rsidR="007421F4" w:rsidRPr="00E07C9A" w:rsidRDefault="007421F4" w:rsidP="007421F4">
            <w:pPr>
              <w:spacing w:before="0" w:after="0"/>
              <w:jc w:val="left"/>
              <w:rPr>
                <w:rFonts w:ascii="Times New Roman" w:hAnsi="Times New Roman"/>
                <w:sz w:val="24"/>
              </w:rPr>
            </w:pPr>
          </w:p>
          <w:p w14:paraId="4DE65E63" w14:textId="11F2FAD6" w:rsidR="007421F4" w:rsidRPr="00E07C9A" w:rsidRDefault="007421F4" w:rsidP="007421F4">
            <w:pPr>
              <w:autoSpaceDE w:val="0"/>
              <w:autoSpaceDN w:val="0"/>
              <w:adjustRightInd w:val="0"/>
              <w:spacing w:before="0" w:after="0"/>
              <w:rPr>
                <w:rFonts w:ascii="Times New Roman" w:hAnsi="Times New Roman"/>
                <w:sz w:val="24"/>
              </w:rPr>
            </w:pPr>
            <w:r w:rsidRPr="00E07C9A">
              <w:rPr>
                <w:rFonts w:ascii="Times New Roman" w:hAnsi="Times New Roman"/>
                <w:sz w:val="24"/>
              </w:rPr>
              <w:t>Tento stĺpec vykazujú len inštitúcie, ktoré uplatňujú prístup SEC-IRBA (a preto</w:t>
            </w:r>
            <w:r w:rsidR="009912F8" w:rsidRPr="00E07C9A">
              <w:rPr>
                <w:rFonts w:ascii="Times New Roman" w:hAnsi="Times New Roman"/>
                <w:sz w:val="24"/>
              </w:rPr>
              <w:t xml:space="preserve"> v </w:t>
            </w:r>
            <w:r w:rsidRPr="00E07C9A">
              <w:rPr>
                <w:rFonts w:ascii="Times New Roman" w:hAnsi="Times New Roman"/>
                <w:sz w:val="24"/>
              </w:rPr>
              <w:t>stĺpci 171 vykazujú 95</w:t>
            </w:r>
            <w:r w:rsidR="009912F8" w:rsidRPr="00E07C9A">
              <w:rPr>
                <w:rFonts w:ascii="Times New Roman" w:hAnsi="Times New Roman"/>
                <w:sz w:val="24"/>
              </w:rPr>
              <w:t> %</w:t>
            </w:r>
            <w:r w:rsidRPr="00E07C9A">
              <w:rPr>
                <w:rFonts w:ascii="Times New Roman" w:hAnsi="Times New Roman"/>
                <w:sz w:val="24"/>
              </w:rPr>
              <w:t xml:space="preserve"> alebo viac),</w:t>
            </w:r>
            <w:r w:rsidR="009912F8" w:rsidRPr="00E07C9A">
              <w:rPr>
                <w:rFonts w:ascii="Times New Roman" w:hAnsi="Times New Roman"/>
                <w:sz w:val="24"/>
              </w:rPr>
              <w:t xml:space="preserve"> a </w:t>
            </w:r>
            <w:r w:rsidRPr="00E07C9A">
              <w:rPr>
                <w:rFonts w:ascii="Times New Roman" w:hAnsi="Times New Roman"/>
                <w:sz w:val="24"/>
              </w:rPr>
              <w:t>zhromažďujú sa</w:t>
            </w:r>
            <w:r w:rsidR="009912F8" w:rsidRPr="00E07C9A">
              <w:rPr>
                <w:rFonts w:ascii="Times New Roman" w:hAnsi="Times New Roman"/>
                <w:sz w:val="24"/>
              </w:rPr>
              <w:t xml:space="preserve"> v </w:t>
            </w:r>
            <w:r w:rsidRPr="00E07C9A">
              <w:rPr>
                <w:rFonts w:ascii="Times New Roman" w:hAnsi="Times New Roman"/>
                <w:sz w:val="24"/>
              </w:rPr>
              <w:t>ňom informácie</w:t>
            </w:r>
            <w:r w:rsidR="009912F8" w:rsidRPr="00E07C9A">
              <w:rPr>
                <w:rFonts w:ascii="Times New Roman" w:hAnsi="Times New Roman"/>
                <w:sz w:val="24"/>
              </w:rPr>
              <w:t xml:space="preserve"> o </w:t>
            </w:r>
            <w:r w:rsidRPr="00E07C9A">
              <w:rPr>
                <w:rFonts w:ascii="Times New Roman" w:hAnsi="Times New Roman"/>
                <w:sz w:val="24"/>
              </w:rPr>
              <w:t>K</w:t>
            </w:r>
            <w:r w:rsidRPr="00E07C9A">
              <w:rPr>
                <w:rFonts w:ascii="Times New Roman" w:hAnsi="Times New Roman"/>
                <w:sz w:val="24"/>
                <w:vertAlign w:val="subscript"/>
              </w:rPr>
              <w:t>IRB</w:t>
            </w:r>
            <w:r w:rsidRPr="00E07C9A">
              <w:rPr>
                <w:rFonts w:ascii="Times New Roman" w:hAnsi="Times New Roman"/>
                <w:sz w:val="24"/>
              </w:rPr>
              <w:t>, ako sa uvádza</w:t>
            </w:r>
            <w:r w:rsidR="009912F8" w:rsidRPr="00E07C9A">
              <w:rPr>
                <w:rFonts w:ascii="Times New Roman" w:hAnsi="Times New Roman"/>
                <w:sz w:val="24"/>
              </w:rPr>
              <w:t xml:space="preserve"> v </w:t>
            </w:r>
            <w:r w:rsidRPr="00E07C9A">
              <w:rPr>
                <w:rFonts w:ascii="Times New Roman" w:hAnsi="Times New Roman"/>
                <w:sz w:val="24"/>
              </w:rPr>
              <w:t xml:space="preserve">článku 255 nariadenia (EÚ) </w:t>
            </w:r>
            <w:r w:rsidR="009912F8" w:rsidRPr="00E07C9A">
              <w:rPr>
                <w:rFonts w:ascii="Times New Roman" w:hAnsi="Times New Roman"/>
                <w:sz w:val="24"/>
              </w:rPr>
              <w:t>č. 575/2013</w:t>
            </w:r>
            <w:r w:rsidRPr="00E07C9A">
              <w:rPr>
                <w:rFonts w:ascii="Times New Roman" w:hAnsi="Times New Roman"/>
                <w:sz w:val="24"/>
              </w:rPr>
              <w:t>. K</w:t>
            </w:r>
            <w:r w:rsidRPr="00E07C9A">
              <w:rPr>
                <w:rFonts w:ascii="Times New Roman" w:hAnsi="Times New Roman"/>
                <w:sz w:val="24"/>
                <w:vertAlign w:val="subscript"/>
              </w:rPr>
              <w:t>IRB</w:t>
            </w:r>
            <w:r w:rsidRPr="00E07C9A">
              <w:rPr>
                <w:rFonts w:ascii="Times New Roman" w:hAnsi="Times New Roman"/>
                <w:sz w:val="24"/>
              </w:rPr>
              <w:t xml:space="preserve"> sa vyjadruje ako percentuálny podiel (s dvoma desatinnými miestami).</w:t>
            </w:r>
          </w:p>
          <w:p w14:paraId="19BFD67B" w14:textId="77777777" w:rsidR="007421F4" w:rsidRPr="00E07C9A" w:rsidRDefault="007421F4" w:rsidP="007421F4">
            <w:pPr>
              <w:autoSpaceDE w:val="0"/>
              <w:autoSpaceDN w:val="0"/>
              <w:adjustRightInd w:val="0"/>
              <w:spacing w:before="0" w:after="0"/>
              <w:rPr>
                <w:rFonts w:ascii="Times New Roman" w:hAnsi="Times New Roman"/>
                <w:sz w:val="24"/>
              </w:rPr>
            </w:pPr>
          </w:p>
          <w:p w14:paraId="3BA9418D" w14:textId="29E70E7F" w:rsidR="009912F8" w:rsidRPr="00E07C9A" w:rsidRDefault="007421F4" w:rsidP="007421F4">
            <w:pPr>
              <w:autoSpaceDE w:val="0"/>
              <w:autoSpaceDN w:val="0"/>
              <w:adjustRightInd w:val="0"/>
              <w:spacing w:before="0" w:after="0"/>
              <w:rPr>
                <w:rFonts w:ascii="Times New Roman" w:hAnsi="Times New Roman"/>
                <w:sz w:val="24"/>
              </w:rPr>
            </w:pPr>
            <w:r w:rsidRPr="00E07C9A">
              <w:rPr>
                <w:rFonts w:ascii="Times New Roman" w:hAnsi="Times New Roman"/>
                <w:sz w:val="24"/>
              </w:rPr>
              <w:t>Tento stĺpec sa nevypĺňa</w:t>
            </w:r>
            <w:r w:rsidR="009912F8" w:rsidRPr="00E07C9A">
              <w:rPr>
                <w:rFonts w:ascii="Times New Roman" w:hAnsi="Times New Roman"/>
                <w:sz w:val="24"/>
              </w:rPr>
              <w:t xml:space="preserve"> v </w:t>
            </w:r>
            <w:r w:rsidRPr="00E07C9A">
              <w:rPr>
                <w:rFonts w:ascii="Times New Roman" w:hAnsi="Times New Roman"/>
                <w:sz w:val="24"/>
              </w:rPr>
              <w:t>prípade sekuritizácie záväzkov.</w:t>
            </w:r>
            <w:r w:rsidR="009912F8" w:rsidRPr="00E07C9A">
              <w:rPr>
                <w:rFonts w:ascii="Times New Roman" w:hAnsi="Times New Roman"/>
                <w:sz w:val="24"/>
              </w:rPr>
              <w:t xml:space="preserve"> V </w:t>
            </w:r>
            <w:r w:rsidRPr="00E07C9A">
              <w:rPr>
                <w:rFonts w:ascii="Times New Roman" w:hAnsi="Times New Roman"/>
                <w:sz w:val="24"/>
              </w:rPr>
              <w:t>prípade sekuritizácie aktív sa táto informácia vykazuje, aj keď vykazujúci subjekt nedrží žiadne pozície</w:t>
            </w:r>
            <w:r w:rsidR="009912F8" w:rsidRPr="00E07C9A">
              <w:rPr>
                <w:rFonts w:ascii="Times New Roman" w:hAnsi="Times New Roman"/>
                <w:sz w:val="24"/>
              </w:rPr>
              <w:t xml:space="preserve"> v </w:t>
            </w:r>
            <w:r w:rsidRPr="00E07C9A">
              <w:rPr>
                <w:rFonts w:ascii="Times New Roman" w:hAnsi="Times New Roman"/>
                <w:sz w:val="24"/>
              </w:rPr>
              <w:t>sekuritizácii</w:t>
            </w:r>
            <w:r w:rsidR="009912F8" w:rsidRPr="00E07C9A">
              <w:rPr>
                <w:rFonts w:ascii="Times New Roman" w:hAnsi="Times New Roman"/>
                <w:sz w:val="24"/>
              </w:rPr>
              <w:t>.</w:t>
            </w:r>
          </w:p>
          <w:p w14:paraId="19783AA2" w14:textId="466F6CAF" w:rsidR="007421F4" w:rsidRPr="00E07C9A" w:rsidRDefault="007421F4" w:rsidP="007421F4">
            <w:pPr>
              <w:autoSpaceDE w:val="0"/>
              <w:autoSpaceDN w:val="0"/>
              <w:adjustRightInd w:val="0"/>
              <w:spacing w:before="0" w:after="0"/>
              <w:rPr>
                <w:rFonts w:ascii="Times New Roman" w:hAnsi="Times New Roman"/>
                <w:sz w:val="24"/>
              </w:rPr>
            </w:pPr>
          </w:p>
        </w:tc>
      </w:tr>
      <w:tr w:rsidR="007421F4" w:rsidRPr="00E07C9A" w14:paraId="68323907" w14:textId="77777777" w:rsidTr="00E10B85">
        <w:tc>
          <w:tcPr>
            <w:tcW w:w="1101" w:type="dxa"/>
          </w:tcPr>
          <w:p w14:paraId="01650FF2" w14:textId="77777777" w:rsidR="007421F4" w:rsidRPr="00E07C9A" w:rsidRDefault="007421F4" w:rsidP="007421F4">
            <w:pPr>
              <w:autoSpaceDE w:val="0"/>
              <w:autoSpaceDN w:val="0"/>
              <w:adjustRightInd w:val="0"/>
              <w:spacing w:before="0" w:after="0"/>
              <w:rPr>
                <w:rFonts w:ascii="Times New Roman" w:hAnsi="Times New Roman"/>
                <w:sz w:val="24"/>
              </w:rPr>
            </w:pPr>
            <w:r w:rsidRPr="00E07C9A">
              <w:rPr>
                <w:rFonts w:ascii="Times New Roman" w:hAnsi="Times New Roman"/>
                <w:sz w:val="24"/>
              </w:rPr>
              <w:t>0222</w:t>
            </w:r>
          </w:p>
        </w:tc>
        <w:tc>
          <w:tcPr>
            <w:tcW w:w="7903" w:type="dxa"/>
          </w:tcPr>
          <w:p w14:paraId="1D215AA8" w14:textId="19C59EDB" w:rsidR="007421F4" w:rsidRPr="00E07C9A" w:rsidRDefault="007421F4" w:rsidP="007421F4">
            <w:pPr>
              <w:autoSpaceDE w:val="0"/>
              <w:autoSpaceDN w:val="0"/>
              <w:adjustRightInd w:val="0"/>
              <w:spacing w:before="0" w:after="0"/>
              <w:jc w:val="left"/>
              <w:rPr>
                <w:rFonts w:ascii="Times New Roman" w:hAnsi="Times New Roman"/>
                <w:b/>
                <w:sz w:val="24"/>
                <w:u w:val="single"/>
              </w:rPr>
            </w:pPr>
            <w:r w:rsidRPr="00E07C9A">
              <w:rPr>
                <w:rFonts w:ascii="Times New Roman" w:hAnsi="Times New Roman"/>
                <w:b/>
                <w:sz w:val="24"/>
                <w:u w:val="single"/>
              </w:rPr>
              <w:t>% RETAILOVÝCH EXPOZÍCIÍ</w:t>
            </w:r>
            <w:r w:rsidR="009912F8" w:rsidRPr="00E07C9A">
              <w:rPr>
                <w:rFonts w:ascii="Times New Roman" w:hAnsi="Times New Roman"/>
                <w:b/>
                <w:sz w:val="24"/>
                <w:u w:val="single"/>
              </w:rPr>
              <w:t xml:space="preserve"> V </w:t>
            </w:r>
            <w:r w:rsidRPr="00E07C9A">
              <w:rPr>
                <w:rFonts w:ascii="Times New Roman" w:hAnsi="Times New Roman"/>
                <w:b/>
                <w:sz w:val="24"/>
                <w:u w:val="single"/>
              </w:rPr>
              <w:t>SKUPINÁCH PODĽA IRB</w:t>
            </w:r>
          </w:p>
          <w:p w14:paraId="239FAB29" w14:textId="77777777" w:rsidR="007421F4" w:rsidRPr="00E07C9A" w:rsidRDefault="007421F4" w:rsidP="007421F4">
            <w:pPr>
              <w:autoSpaceDE w:val="0"/>
              <w:autoSpaceDN w:val="0"/>
              <w:adjustRightInd w:val="0"/>
              <w:spacing w:before="0" w:after="0"/>
              <w:jc w:val="left"/>
              <w:rPr>
                <w:rFonts w:ascii="Times New Roman" w:hAnsi="Times New Roman"/>
                <w:sz w:val="24"/>
              </w:rPr>
            </w:pPr>
          </w:p>
          <w:p w14:paraId="4E98A354" w14:textId="36A22E6A" w:rsidR="009912F8" w:rsidRPr="00E07C9A" w:rsidRDefault="007421F4" w:rsidP="007421F4">
            <w:pPr>
              <w:autoSpaceDE w:val="0"/>
              <w:autoSpaceDN w:val="0"/>
              <w:adjustRightInd w:val="0"/>
              <w:spacing w:before="0" w:after="0"/>
              <w:jc w:val="left"/>
              <w:rPr>
                <w:rFonts w:ascii="Times New Roman" w:hAnsi="Times New Roman"/>
                <w:sz w:val="24"/>
              </w:rPr>
            </w:pPr>
            <w:r w:rsidRPr="00E07C9A">
              <w:rPr>
                <w:rFonts w:ascii="Times New Roman" w:hAnsi="Times New Roman"/>
                <w:sz w:val="24"/>
              </w:rPr>
              <w:t>Skupiny podľa IRB</w:t>
            </w:r>
            <w:r w:rsidR="009912F8" w:rsidRPr="00E07C9A">
              <w:rPr>
                <w:rFonts w:ascii="Times New Roman" w:hAnsi="Times New Roman"/>
                <w:sz w:val="24"/>
              </w:rPr>
              <w:t xml:space="preserve"> v </w:t>
            </w:r>
            <w:r w:rsidRPr="00E07C9A">
              <w:rPr>
                <w:rFonts w:ascii="Times New Roman" w:hAnsi="Times New Roman"/>
                <w:sz w:val="24"/>
              </w:rPr>
              <w:t>zmysle vymedzenia</w:t>
            </w:r>
            <w:r w:rsidR="009912F8" w:rsidRPr="00E07C9A">
              <w:rPr>
                <w:rFonts w:ascii="Times New Roman" w:hAnsi="Times New Roman"/>
                <w:sz w:val="24"/>
              </w:rPr>
              <w:t xml:space="preserve"> v </w:t>
            </w:r>
            <w:r w:rsidRPr="00E07C9A">
              <w:rPr>
                <w:rFonts w:ascii="Times New Roman" w:hAnsi="Times New Roman"/>
                <w:sz w:val="24"/>
              </w:rPr>
              <w:t xml:space="preserve">článku 242 ods. 7 nariadenia (EÚ) </w:t>
            </w:r>
            <w:r w:rsidR="009912F8" w:rsidRPr="00E07C9A">
              <w:rPr>
                <w:rFonts w:ascii="Times New Roman" w:hAnsi="Times New Roman"/>
                <w:sz w:val="24"/>
              </w:rPr>
              <w:t>č. 575/2013</w:t>
            </w:r>
            <w:r w:rsidRPr="00E07C9A">
              <w:rPr>
                <w:rFonts w:ascii="Times New Roman" w:hAnsi="Times New Roman"/>
                <w:sz w:val="24"/>
              </w:rPr>
              <w:t xml:space="preserve"> za predpokladu, že inštitúcia dokáže vypočítať K</w:t>
            </w:r>
            <w:r w:rsidRPr="00E07C9A">
              <w:rPr>
                <w:rFonts w:ascii="Times New Roman" w:hAnsi="Times New Roman"/>
                <w:sz w:val="24"/>
                <w:vertAlign w:val="subscript"/>
              </w:rPr>
              <w:t>IRB</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treťou časťou hlavou II kapitolou 6 oddielom 3 nariadenia (EÚ) </w:t>
            </w:r>
            <w:r w:rsidR="009912F8" w:rsidRPr="00E07C9A">
              <w:rPr>
                <w:rFonts w:ascii="Times New Roman" w:hAnsi="Times New Roman"/>
                <w:sz w:val="24"/>
              </w:rPr>
              <w:t>č. 575/2013</w:t>
            </w:r>
            <w:r w:rsidRPr="00E07C9A">
              <w:rPr>
                <w:rFonts w:ascii="Times New Roman" w:hAnsi="Times New Roman"/>
                <w:sz w:val="24"/>
              </w:rPr>
              <w:t xml:space="preserve"> minimálne pre 95</w:t>
            </w:r>
            <w:r w:rsidR="009912F8" w:rsidRPr="00E07C9A">
              <w:rPr>
                <w:rFonts w:ascii="Times New Roman" w:hAnsi="Times New Roman"/>
                <w:sz w:val="24"/>
              </w:rPr>
              <w:t> %</w:t>
            </w:r>
            <w:r w:rsidRPr="00E07C9A">
              <w:rPr>
                <w:rFonts w:ascii="Times New Roman" w:hAnsi="Times New Roman"/>
                <w:sz w:val="24"/>
              </w:rPr>
              <w:t xml:space="preserve"> hodnoty podkladovej expozície [článok 259 ods. 2 nariadenia (EÚ) </w:t>
            </w:r>
            <w:r w:rsidR="009912F8" w:rsidRPr="00E07C9A">
              <w:rPr>
                <w:rFonts w:ascii="Times New Roman" w:hAnsi="Times New Roman"/>
                <w:sz w:val="24"/>
              </w:rPr>
              <w:t>č. 575/2013</w:t>
            </w:r>
            <w:r w:rsidRPr="00E07C9A">
              <w:rPr>
                <w:rFonts w:ascii="Times New Roman" w:hAnsi="Times New Roman"/>
                <w:sz w:val="24"/>
              </w:rPr>
              <w:t>]</w:t>
            </w:r>
            <w:r w:rsidR="009912F8" w:rsidRPr="00E07C9A">
              <w:rPr>
                <w:rFonts w:ascii="Times New Roman" w:hAnsi="Times New Roman"/>
                <w:sz w:val="24"/>
              </w:rPr>
              <w:t>.</w:t>
            </w:r>
          </w:p>
          <w:p w14:paraId="307DE11F" w14:textId="67449F1A" w:rsidR="007421F4" w:rsidRPr="00E07C9A" w:rsidRDefault="007421F4" w:rsidP="007421F4">
            <w:pPr>
              <w:autoSpaceDE w:val="0"/>
              <w:autoSpaceDN w:val="0"/>
              <w:adjustRightInd w:val="0"/>
              <w:spacing w:before="0" w:after="0"/>
              <w:jc w:val="left"/>
              <w:rPr>
                <w:rFonts w:ascii="Times New Roman" w:hAnsi="Times New Roman"/>
                <w:b/>
                <w:sz w:val="24"/>
                <w:u w:val="single"/>
              </w:rPr>
            </w:pPr>
          </w:p>
        </w:tc>
      </w:tr>
      <w:tr w:rsidR="007421F4" w:rsidRPr="00E07C9A" w14:paraId="03228A70" w14:textId="77777777" w:rsidTr="00E10B85">
        <w:tc>
          <w:tcPr>
            <w:tcW w:w="1101" w:type="dxa"/>
          </w:tcPr>
          <w:p w14:paraId="69C2A86B" w14:textId="77777777" w:rsidR="007421F4" w:rsidRPr="00E07C9A" w:rsidRDefault="007421F4" w:rsidP="007421F4">
            <w:pPr>
              <w:autoSpaceDE w:val="0"/>
              <w:autoSpaceDN w:val="0"/>
              <w:adjustRightInd w:val="0"/>
              <w:spacing w:before="0" w:after="0"/>
              <w:rPr>
                <w:rFonts w:ascii="Times New Roman" w:hAnsi="Times New Roman"/>
                <w:sz w:val="24"/>
              </w:rPr>
            </w:pPr>
            <w:r w:rsidRPr="00E07C9A">
              <w:rPr>
                <w:rFonts w:ascii="Times New Roman" w:hAnsi="Times New Roman"/>
                <w:sz w:val="24"/>
              </w:rPr>
              <w:t>0223</w:t>
            </w:r>
          </w:p>
        </w:tc>
        <w:tc>
          <w:tcPr>
            <w:tcW w:w="7903" w:type="dxa"/>
          </w:tcPr>
          <w:p w14:paraId="6BC3F9C5" w14:textId="77777777" w:rsidR="007421F4" w:rsidRPr="00E07C9A" w:rsidRDefault="007421F4" w:rsidP="007421F4">
            <w:pPr>
              <w:autoSpaceDE w:val="0"/>
              <w:autoSpaceDN w:val="0"/>
              <w:adjustRightInd w:val="0"/>
              <w:spacing w:before="0" w:after="0"/>
              <w:jc w:val="left"/>
              <w:rPr>
                <w:rFonts w:ascii="Times New Roman" w:hAnsi="Times New Roman"/>
                <w:b/>
                <w:sz w:val="24"/>
                <w:u w:val="single"/>
              </w:rPr>
            </w:pPr>
            <w:r w:rsidRPr="00E07C9A">
              <w:rPr>
                <w:rFonts w:ascii="Times New Roman" w:hAnsi="Times New Roman"/>
                <w:b/>
                <w:sz w:val="24"/>
                <w:u w:val="single"/>
              </w:rPr>
              <w:t>POŽIADAVKY NA VLASTNÉ ZDROJE PRED SEKURITIZÁCIOU (%) K</w:t>
            </w:r>
            <w:r w:rsidRPr="00E07C9A">
              <w:rPr>
                <w:rFonts w:ascii="Times New Roman" w:hAnsi="Times New Roman"/>
                <w:b/>
                <w:sz w:val="24"/>
                <w:u w:val="single"/>
                <w:vertAlign w:val="subscript"/>
              </w:rPr>
              <w:t>sa</w:t>
            </w:r>
          </w:p>
          <w:p w14:paraId="5851DFCB" w14:textId="77777777" w:rsidR="007421F4" w:rsidRPr="00E07C9A" w:rsidRDefault="007421F4" w:rsidP="007421F4">
            <w:pPr>
              <w:autoSpaceDE w:val="0"/>
              <w:autoSpaceDN w:val="0"/>
              <w:adjustRightInd w:val="0"/>
              <w:spacing w:before="0" w:after="0"/>
              <w:jc w:val="left"/>
              <w:rPr>
                <w:rFonts w:ascii="Times New Roman" w:hAnsi="Times New Roman"/>
                <w:b/>
                <w:sz w:val="24"/>
                <w:u w:val="single"/>
              </w:rPr>
            </w:pPr>
          </w:p>
          <w:p w14:paraId="580357DF" w14:textId="2C56EB27" w:rsidR="007421F4" w:rsidRPr="00E07C9A" w:rsidRDefault="007421F4" w:rsidP="007421F4">
            <w:pPr>
              <w:autoSpaceDE w:val="0"/>
              <w:autoSpaceDN w:val="0"/>
              <w:adjustRightInd w:val="0"/>
              <w:spacing w:before="0" w:after="0"/>
              <w:rPr>
                <w:rFonts w:ascii="Times New Roman" w:hAnsi="Times New Roman"/>
                <w:sz w:val="24"/>
              </w:rPr>
            </w:pPr>
            <w:r w:rsidRPr="00E07C9A">
              <w:rPr>
                <w:rFonts w:ascii="Times New Roman" w:hAnsi="Times New Roman"/>
                <w:sz w:val="24"/>
              </w:rPr>
              <w:t>Aj keď inštitúcia neuplatňuje na sekuritizačné pozície prístup SEC-SA, vykáže tento stĺpec.</w:t>
            </w:r>
            <w:r w:rsidR="009912F8" w:rsidRPr="00E07C9A">
              <w:rPr>
                <w:rFonts w:ascii="Times New Roman" w:hAnsi="Times New Roman"/>
                <w:sz w:val="24"/>
              </w:rPr>
              <w:t xml:space="preserve"> V </w:t>
            </w:r>
            <w:r w:rsidRPr="00E07C9A">
              <w:rPr>
                <w:rFonts w:ascii="Times New Roman" w:hAnsi="Times New Roman"/>
                <w:sz w:val="24"/>
              </w:rPr>
              <w:t>tomto stĺpci sa zhromažďujú informácie</w:t>
            </w:r>
            <w:r w:rsidR="009912F8" w:rsidRPr="00E07C9A">
              <w:rPr>
                <w:rFonts w:ascii="Times New Roman" w:hAnsi="Times New Roman"/>
                <w:sz w:val="24"/>
              </w:rPr>
              <w:t xml:space="preserve"> o </w:t>
            </w:r>
            <w:r w:rsidRPr="00E07C9A">
              <w:rPr>
                <w:rFonts w:ascii="Times New Roman" w:hAnsi="Times New Roman"/>
                <w:sz w:val="24"/>
              </w:rPr>
              <w:t>K</w:t>
            </w:r>
            <w:r w:rsidRPr="00E07C9A">
              <w:rPr>
                <w:rFonts w:ascii="Times New Roman" w:hAnsi="Times New Roman"/>
                <w:sz w:val="24"/>
                <w:vertAlign w:val="subscript"/>
              </w:rPr>
              <w:t>SA</w:t>
            </w:r>
            <w:r w:rsidRPr="00E07C9A">
              <w:rPr>
                <w:rFonts w:ascii="Times New Roman" w:hAnsi="Times New Roman"/>
                <w:sz w:val="24"/>
              </w:rPr>
              <w:t>, ako sa uvádza</w:t>
            </w:r>
            <w:r w:rsidR="009912F8" w:rsidRPr="00E07C9A">
              <w:rPr>
                <w:rFonts w:ascii="Times New Roman" w:hAnsi="Times New Roman"/>
                <w:sz w:val="24"/>
              </w:rPr>
              <w:t xml:space="preserve"> v </w:t>
            </w:r>
            <w:r w:rsidRPr="00E07C9A">
              <w:rPr>
                <w:rFonts w:ascii="Times New Roman" w:hAnsi="Times New Roman"/>
                <w:sz w:val="24"/>
              </w:rPr>
              <w:t xml:space="preserve">článku 255 ods. 6 nariadenia (EÚ) </w:t>
            </w:r>
            <w:r w:rsidR="009912F8" w:rsidRPr="00E07C9A">
              <w:rPr>
                <w:rFonts w:ascii="Times New Roman" w:hAnsi="Times New Roman"/>
                <w:sz w:val="24"/>
              </w:rPr>
              <w:t>č. 575/2013</w:t>
            </w:r>
            <w:r w:rsidRPr="00E07C9A">
              <w:rPr>
                <w:rFonts w:ascii="Times New Roman" w:hAnsi="Times New Roman"/>
                <w:sz w:val="24"/>
              </w:rPr>
              <w:t>. K</w:t>
            </w:r>
            <w:r w:rsidRPr="00E07C9A">
              <w:rPr>
                <w:rFonts w:ascii="Times New Roman" w:hAnsi="Times New Roman"/>
                <w:sz w:val="24"/>
                <w:vertAlign w:val="subscript"/>
              </w:rPr>
              <w:t>SA</w:t>
            </w:r>
            <w:r w:rsidRPr="00E07C9A">
              <w:rPr>
                <w:rFonts w:ascii="Times New Roman" w:hAnsi="Times New Roman"/>
                <w:sz w:val="24"/>
              </w:rPr>
              <w:t xml:space="preserve"> sa vyjadruje ako percentuálny podiel (s dvoma desatinnými miestami).</w:t>
            </w:r>
          </w:p>
          <w:p w14:paraId="134ED9C9" w14:textId="77777777" w:rsidR="007421F4" w:rsidRPr="00E07C9A" w:rsidRDefault="007421F4" w:rsidP="007421F4">
            <w:pPr>
              <w:autoSpaceDE w:val="0"/>
              <w:autoSpaceDN w:val="0"/>
              <w:adjustRightInd w:val="0"/>
              <w:spacing w:before="0" w:after="0"/>
              <w:rPr>
                <w:rFonts w:ascii="Times New Roman" w:hAnsi="Times New Roman"/>
                <w:sz w:val="24"/>
              </w:rPr>
            </w:pPr>
          </w:p>
          <w:p w14:paraId="3C8626F9" w14:textId="3F562965" w:rsidR="009912F8" w:rsidRPr="00E07C9A" w:rsidRDefault="007421F4" w:rsidP="007421F4">
            <w:pPr>
              <w:autoSpaceDE w:val="0"/>
              <w:autoSpaceDN w:val="0"/>
              <w:adjustRightInd w:val="0"/>
              <w:spacing w:before="0" w:after="0"/>
              <w:rPr>
                <w:rFonts w:ascii="Times New Roman" w:hAnsi="Times New Roman"/>
                <w:sz w:val="24"/>
              </w:rPr>
            </w:pPr>
            <w:r w:rsidRPr="00E07C9A">
              <w:rPr>
                <w:rFonts w:ascii="Times New Roman" w:hAnsi="Times New Roman"/>
                <w:sz w:val="24"/>
              </w:rPr>
              <w:t>Tento stĺpec sa nevypĺňa</w:t>
            </w:r>
            <w:r w:rsidR="009912F8" w:rsidRPr="00E07C9A">
              <w:rPr>
                <w:rFonts w:ascii="Times New Roman" w:hAnsi="Times New Roman"/>
                <w:sz w:val="24"/>
              </w:rPr>
              <w:t xml:space="preserve"> v </w:t>
            </w:r>
            <w:r w:rsidRPr="00E07C9A">
              <w:rPr>
                <w:rFonts w:ascii="Times New Roman" w:hAnsi="Times New Roman"/>
                <w:sz w:val="24"/>
              </w:rPr>
              <w:t>prípade sekuritizácie záväzkov.</w:t>
            </w:r>
            <w:r w:rsidR="009912F8" w:rsidRPr="00E07C9A">
              <w:rPr>
                <w:rFonts w:ascii="Times New Roman" w:hAnsi="Times New Roman"/>
                <w:sz w:val="24"/>
              </w:rPr>
              <w:t xml:space="preserve"> V </w:t>
            </w:r>
            <w:r w:rsidRPr="00E07C9A">
              <w:rPr>
                <w:rFonts w:ascii="Times New Roman" w:hAnsi="Times New Roman"/>
                <w:sz w:val="24"/>
              </w:rPr>
              <w:t>prípade sekuritizácie aktív sa táto informácia vykazuje, aj keď vykazujúci subjekt nedrží žiadne pozície</w:t>
            </w:r>
            <w:r w:rsidR="009912F8" w:rsidRPr="00E07C9A">
              <w:rPr>
                <w:rFonts w:ascii="Times New Roman" w:hAnsi="Times New Roman"/>
                <w:sz w:val="24"/>
              </w:rPr>
              <w:t xml:space="preserve"> v </w:t>
            </w:r>
            <w:r w:rsidRPr="00E07C9A">
              <w:rPr>
                <w:rFonts w:ascii="Times New Roman" w:hAnsi="Times New Roman"/>
                <w:sz w:val="24"/>
              </w:rPr>
              <w:t>sekuritizácii</w:t>
            </w:r>
            <w:r w:rsidR="009912F8" w:rsidRPr="00E07C9A">
              <w:rPr>
                <w:rFonts w:ascii="Times New Roman" w:hAnsi="Times New Roman"/>
                <w:sz w:val="24"/>
              </w:rPr>
              <w:t>.</w:t>
            </w:r>
          </w:p>
          <w:p w14:paraId="1B64BFE6" w14:textId="50BEA328" w:rsidR="007421F4" w:rsidRPr="00E07C9A" w:rsidRDefault="007421F4" w:rsidP="007421F4">
            <w:pPr>
              <w:autoSpaceDE w:val="0"/>
              <w:autoSpaceDN w:val="0"/>
              <w:adjustRightInd w:val="0"/>
              <w:spacing w:before="0" w:after="0"/>
              <w:jc w:val="left"/>
              <w:rPr>
                <w:rFonts w:ascii="Times New Roman" w:hAnsi="Times New Roman"/>
                <w:b/>
                <w:sz w:val="24"/>
                <w:u w:val="single"/>
              </w:rPr>
            </w:pPr>
          </w:p>
        </w:tc>
      </w:tr>
      <w:tr w:rsidR="007421F4" w:rsidRPr="00E07C9A" w14:paraId="03568756" w14:textId="77777777" w:rsidTr="00E10B85">
        <w:tc>
          <w:tcPr>
            <w:tcW w:w="1101" w:type="dxa"/>
          </w:tcPr>
          <w:p w14:paraId="60F991D0" w14:textId="77777777" w:rsidR="007421F4" w:rsidRPr="00E07C9A" w:rsidRDefault="007421F4" w:rsidP="007421F4">
            <w:pPr>
              <w:autoSpaceDE w:val="0"/>
              <w:autoSpaceDN w:val="0"/>
              <w:adjustRightInd w:val="0"/>
              <w:spacing w:before="0" w:after="0"/>
              <w:rPr>
                <w:rFonts w:ascii="Times New Roman" w:hAnsi="Times New Roman"/>
                <w:sz w:val="24"/>
              </w:rPr>
            </w:pPr>
            <w:r w:rsidRPr="00E07C9A">
              <w:rPr>
                <w:rFonts w:ascii="Times New Roman" w:hAnsi="Times New Roman"/>
                <w:sz w:val="24"/>
              </w:rPr>
              <w:t>0225</w:t>
            </w:r>
          </w:p>
        </w:tc>
        <w:tc>
          <w:tcPr>
            <w:tcW w:w="7903" w:type="dxa"/>
          </w:tcPr>
          <w:p w14:paraId="56B37177" w14:textId="77777777" w:rsidR="009912F8" w:rsidRPr="00E07C9A" w:rsidRDefault="00080DDC" w:rsidP="007421F4">
            <w:pPr>
              <w:autoSpaceDE w:val="0"/>
              <w:autoSpaceDN w:val="0"/>
              <w:adjustRightInd w:val="0"/>
              <w:spacing w:before="0" w:after="0"/>
              <w:jc w:val="left"/>
              <w:rPr>
                <w:rFonts w:ascii="Times New Roman" w:hAnsi="Times New Roman"/>
                <w:b/>
                <w:sz w:val="24"/>
                <w:u w:val="single"/>
              </w:rPr>
            </w:pPr>
            <w:r w:rsidRPr="00E07C9A">
              <w:rPr>
                <w:rFonts w:ascii="Times New Roman" w:hAnsi="Times New Roman"/>
                <w:b/>
                <w:sz w:val="24"/>
                <w:u w:val="single"/>
              </w:rPr>
              <w:t>DOPLŇUJÚCE POLOŽKY: ÚPRAVY KREDITNÉHO RIZIKA POČAS BEŽNÉHO OBDOBIA</w:t>
            </w:r>
          </w:p>
          <w:p w14:paraId="18618DDD" w14:textId="30BCD13A" w:rsidR="007421F4" w:rsidRPr="00E07C9A" w:rsidRDefault="007421F4" w:rsidP="007421F4">
            <w:pPr>
              <w:autoSpaceDE w:val="0"/>
              <w:autoSpaceDN w:val="0"/>
              <w:adjustRightInd w:val="0"/>
              <w:spacing w:before="0" w:after="0"/>
              <w:jc w:val="left"/>
              <w:rPr>
                <w:rFonts w:ascii="Times New Roman" w:hAnsi="Times New Roman"/>
                <w:b/>
                <w:sz w:val="24"/>
                <w:u w:val="single"/>
              </w:rPr>
            </w:pPr>
          </w:p>
          <w:p w14:paraId="718C2608" w14:textId="03F39A17" w:rsidR="007421F4" w:rsidRPr="00E07C9A" w:rsidRDefault="007421F4" w:rsidP="007421F4">
            <w:pPr>
              <w:autoSpaceDE w:val="0"/>
              <w:autoSpaceDN w:val="0"/>
              <w:adjustRightInd w:val="0"/>
              <w:spacing w:before="0" w:after="0"/>
              <w:jc w:val="left"/>
              <w:rPr>
                <w:rFonts w:ascii="Times New Roman" w:hAnsi="Times New Roman"/>
                <w:sz w:val="24"/>
              </w:rPr>
            </w:pPr>
            <w:r w:rsidRPr="00E07C9A">
              <w:rPr>
                <w:rFonts w:ascii="Times New Roman" w:hAnsi="Times New Roman"/>
                <w:sz w:val="24"/>
              </w:rPr>
              <w:t xml:space="preserve">Článok 110 nariadenia (EÚ) </w:t>
            </w:r>
            <w:r w:rsidR="009912F8" w:rsidRPr="00E07C9A">
              <w:rPr>
                <w:rFonts w:ascii="Times New Roman" w:hAnsi="Times New Roman"/>
                <w:sz w:val="24"/>
              </w:rPr>
              <w:t>č. 575/2013</w:t>
            </w:r>
          </w:p>
          <w:p w14:paraId="289BFD70" w14:textId="77777777" w:rsidR="007421F4" w:rsidRPr="00E07C9A" w:rsidRDefault="007421F4" w:rsidP="007421F4">
            <w:pPr>
              <w:autoSpaceDE w:val="0"/>
              <w:autoSpaceDN w:val="0"/>
              <w:adjustRightInd w:val="0"/>
              <w:spacing w:before="0" w:after="0"/>
              <w:jc w:val="left"/>
              <w:rPr>
                <w:rFonts w:ascii="Times New Roman" w:hAnsi="Times New Roman"/>
                <w:b/>
                <w:sz w:val="24"/>
                <w:u w:val="single"/>
              </w:rPr>
            </w:pPr>
          </w:p>
        </w:tc>
      </w:tr>
      <w:tr w:rsidR="007421F4" w:rsidRPr="00E07C9A" w14:paraId="13CF27A7" w14:textId="77777777" w:rsidTr="00E10B85">
        <w:tc>
          <w:tcPr>
            <w:tcW w:w="1101" w:type="dxa"/>
          </w:tcPr>
          <w:p w14:paraId="299292F5" w14:textId="77777777" w:rsidR="007421F4" w:rsidRPr="00E07C9A" w:rsidRDefault="007421F4" w:rsidP="007421F4">
            <w:pPr>
              <w:autoSpaceDE w:val="0"/>
              <w:autoSpaceDN w:val="0"/>
              <w:adjustRightInd w:val="0"/>
              <w:spacing w:before="0" w:after="0"/>
              <w:rPr>
                <w:rFonts w:ascii="Times New Roman" w:hAnsi="Times New Roman"/>
                <w:bCs/>
                <w:sz w:val="24"/>
              </w:rPr>
            </w:pPr>
            <w:r w:rsidRPr="00E07C9A">
              <w:rPr>
                <w:rFonts w:ascii="Times New Roman" w:hAnsi="Times New Roman"/>
                <w:sz w:val="24"/>
              </w:rPr>
              <w:t>0230 –⁠ 0304</w:t>
            </w:r>
          </w:p>
        </w:tc>
        <w:tc>
          <w:tcPr>
            <w:tcW w:w="7903" w:type="dxa"/>
          </w:tcPr>
          <w:p w14:paraId="771C9AFD" w14:textId="77777777" w:rsidR="007421F4" w:rsidRPr="00E07C9A" w:rsidRDefault="007421F4" w:rsidP="007421F4">
            <w:pPr>
              <w:autoSpaceDE w:val="0"/>
              <w:autoSpaceDN w:val="0"/>
              <w:adjustRightInd w:val="0"/>
              <w:spacing w:before="0" w:after="0"/>
              <w:jc w:val="left"/>
              <w:rPr>
                <w:rFonts w:ascii="Times New Roman" w:hAnsi="Times New Roman"/>
                <w:b/>
                <w:sz w:val="24"/>
                <w:u w:val="single"/>
              </w:rPr>
            </w:pPr>
            <w:r w:rsidRPr="00E07C9A">
              <w:rPr>
                <w:rFonts w:ascii="Times New Roman" w:hAnsi="Times New Roman"/>
                <w:b/>
                <w:sz w:val="24"/>
                <w:u w:val="single"/>
              </w:rPr>
              <w:t>ŠTRUKTÚRA SEKURITIZÁCIE</w:t>
            </w:r>
          </w:p>
          <w:p w14:paraId="1F72E1E2" w14:textId="77777777" w:rsidR="007421F4" w:rsidRPr="00E07C9A" w:rsidRDefault="007421F4" w:rsidP="007421F4">
            <w:pPr>
              <w:autoSpaceDE w:val="0"/>
              <w:autoSpaceDN w:val="0"/>
              <w:adjustRightInd w:val="0"/>
              <w:spacing w:before="0" w:after="0"/>
              <w:jc w:val="left"/>
              <w:rPr>
                <w:rFonts w:ascii="Times New Roman" w:hAnsi="Times New Roman"/>
                <w:sz w:val="24"/>
                <w:u w:val="single"/>
              </w:rPr>
            </w:pPr>
          </w:p>
          <w:p w14:paraId="57F50D05" w14:textId="6F3E671B" w:rsidR="009912F8" w:rsidRPr="00E07C9A" w:rsidRDefault="007421F4" w:rsidP="007421F4">
            <w:pPr>
              <w:autoSpaceDE w:val="0"/>
              <w:autoSpaceDN w:val="0"/>
              <w:adjustRightInd w:val="0"/>
              <w:spacing w:before="0" w:after="0"/>
              <w:rPr>
                <w:rFonts w:ascii="Times New Roman" w:hAnsi="Times New Roman"/>
                <w:sz w:val="24"/>
              </w:rPr>
            </w:pPr>
            <w:r w:rsidRPr="00E07C9A">
              <w:rPr>
                <w:rFonts w:ascii="Times New Roman" w:hAnsi="Times New Roman"/>
                <w:sz w:val="24"/>
              </w:rPr>
              <w:t>V tomto bloku stĺpcov sa zhromažďujú informácie</w:t>
            </w:r>
            <w:r w:rsidR="009912F8" w:rsidRPr="00E07C9A">
              <w:rPr>
                <w:rFonts w:ascii="Times New Roman" w:hAnsi="Times New Roman"/>
                <w:sz w:val="24"/>
              </w:rPr>
              <w:t xml:space="preserve"> o </w:t>
            </w:r>
            <w:r w:rsidRPr="00E07C9A">
              <w:rPr>
                <w:rFonts w:ascii="Times New Roman" w:hAnsi="Times New Roman"/>
                <w:sz w:val="24"/>
              </w:rPr>
              <w:t>štruktúre sekuritizácie na základe súvahových/podsúvahových pozícií, tranží (nadriadené/mezanínové/prvej straty)</w:t>
            </w:r>
            <w:r w:rsidR="009912F8" w:rsidRPr="00E07C9A">
              <w:rPr>
                <w:rFonts w:ascii="Times New Roman" w:hAnsi="Times New Roman"/>
                <w:sz w:val="24"/>
              </w:rPr>
              <w:t xml:space="preserve"> a </w:t>
            </w:r>
            <w:r w:rsidRPr="00E07C9A">
              <w:rPr>
                <w:rFonts w:ascii="Times New Roman" w:hAnsi="Times New Roman"/>
                <w:sz w:val="24"/>
              </w:rPr>
              <w:t>splatností</w:t>
            </w:r>
            <w:r w:rsidR="009912F8" w:rsidRPr="00E07C9A">
              <w:rPr>
                <w:rFonts w:ascii="Times New Roman" w:hAnsi="Times New Roman"/>
                <w:sz w:val="24"/>
              </w:rPr>
              <w:t xml:space="preserve"> k </w:t>
            </w:r>
            <w:r w:rsidRPr="00E07C9A">
              <w:rPr>
                <w:rFonts w:ascii="Times New Roman" w:hAnsi="Times New Roman"/>
                <w:sz w:val="24"/>
              </w:rPr>
              <w:t>dátumu vykazovania</w:t>
            </w:r>
            <w:r w:rsidR="009912F8" w:rsidRPr="00E07C9A">
              <w:rPr>
                <w:rFonts w:ascii="Times New Roman" w:hAnsi="Times New Roman"/>
                <w:sz w:val="24"/>
              </w:rPr>
              <w:t>.</w:t>
            </w:r>
          </w:p>
          <w:p w14:paraId="4955A239" w14:textId="0191F873" w:rsidR="007421F4" w:rsidRPr="00E07C9A" w:rsidRDefault="007421F4" w:rsidP="007421F4">
            <w:pPr>
              <w:autoSpaceDE w:val="0"/>
              <w:autoSpaceDN w:val="0"/>
              <w:adjustRightInd w:val="0"/>
              <w:spacing w:before="0" w:after="0"/>
              <w:rPr>
                <w:rFonts w:ascii="Times New Roman" w:hAnsi="Times New Roman"/>
                <w:sz w:val="24"/>
              </w:rPr>
            </w:pPr>
          </w:p>
          <w:p w14:paraId="753D4FC7" w14:textId="303597F7" w:rsidR="007421F4" w:rsidRPr="00E07C9A" w:rsidRDefault="007421F4" w:rsidP="007421F4">
            <w:pPr>
              <w:spacing w:before="0" w:after="0"/>
              <w:rPr>
                <w:rFonts w:ascii="Times New Roman" w:hAnsi="Times New Roman"/>
                <w:sz w:val="24"/>
              </w:rPr>
            </w:pPr>
            <w:r w:rsidRPr="00E07C9A">
              <w:rPr>
                <w:rFonts w:ascii="Times New Roman" w:hAnsi="Times New Roman"/>
                <w:sz w:val="24"/>
              </w:rPr>
              <w:t>Pri sekuritizáciách</w:t>
            </w:r>
            <w:r w:rsidR="009912F8" w:rsidRPr="00E07C9A">
              <w:rPr>
                <w:rFonts w:ascii="Times New Roman" w:hAnsi="Times New Roman"/>
                <w:sz w:val="24"/>
              </w:rPr>
              <w:t xml:space="preserve"> s </w:t>
            </w:r>
            <w:r w:rsidRPr="00E07C9A">
              <w:rPr>
                <w:rFonts w:ascii="Times New Roman" w:hAnsi="Times New Roman"/>
                <w:sz w:val="24"/>
              </w:rPr>
              <w:t>viacerými predávajúcimi sa vykazuje len hodnota zodpovedajúca alebo priradená vykazujúcej inštitúcii.</w:t>
            </w:r>
          </w:p>
          <w:p w14:paraId="4C2A74C9" w14:textId="77777777" w:rsidR="007421F4" w:rsidRPr="00E07C9A" w:rsidRDefault="007421F4" w:rsidP="007421F4">
            <w:pPr>
              <w:spacing w:before="0" w:after="0"/>
              <w:jc w:val="left"/>
              <w:rPr>
                <w:rFonts w:ascii="Times New Roman" w:hAnsi="Times New Roman"/>
                <w:sz w:val="24"/>
              </w:rPr>
            </w:pPr>
          </w:p>
        </w:tc>
      </w:tr>
      <w:tr w:rsidR="007421F4" w:rsidRPr="00E07C9A" w14:paraId="6C7A8FD7" w14:textId="77777777" w:rsidTr="00E10B85">
        <w:tc>
          <w:tcPr>
            <w:tcW w:w="1101" w:type="dxa"/>
          </w:tcPr>
          <w:p w14:paraId="0D30E2F9" w14:textId="7EFAE4C9" w:rsidR="007421F4" w:rsidRPr="00E07C9A" w:rsidRDefault="007421F4" w:rsidP="007421F4">
            <w:pPr>
              <w:autoSpaceDE w:val="0"/>
              <w:autoSpaceDN w:val="0"/>
              <w:adjustRightInd w:val="0"/>
              <w:spacing w:before="0" w:after="0"/>
              <w:rPr>
                <w:rFonts w:ascii="Times New Roman" w:hAnsi="Times New Roman"/>
                <w:sz w:val="24"/>
              </w:rPr>
            </w:pPr>
            <w:r w:rsidRPr="00E07C9A">
              <w:rPr>
                <w:rFonts w:ascii="Times New Roman" w:hAnsi="Times New Roman"/>
                <w:sz w:val="24"/>
              </w:rPr>
              <w:t>0230 –⁠ 0255</w:t>
            </w:r>
          </w:p>
        </w:tc>
        <w:tc>
          <w:tcPr>
            <w:tcW w:w="7903" w:type="dxa"/>
          </w:tcPr>
          <w:p w14:paraId="278031DE" w14:textId="77777777" w:rsidR="007421F4" w:rsidRPr="00E07C9A" w:rsidRDefault="007421F4" w:rsidP="007421F4">
            <w:pPr>
              <w:autoSpaceDE w:val="0"/>
              <w:autoSpaceDN w:val="0"/>
              <w:adjustRightInd w:val="0"/>
              <w:spacing w:before="0" w:after="0"/>
              <w:jc w:val="left"/>
              <w:rPr>
                <w:rFonts w:ascii="Times New Roman" w:hAnsi="Times New Roman"/>
                <w:b/>
                <w:sz w:val="24"/>
                <w:u w:val="single"/>
              </w:rPr>
            </w:pPr>
            <w:r w:rsidRPr="00E07C9A">
              <w:rPr>
                <w:rFonts w:ascii="Times New Roman" w:hAnsi="Times New Roman"/>
                <w:b/>
                <w:sz w:val="24"/>
                <w:u w:val="single"/>
              </w:rPr>
              <w:t>SÚVAHOVÉ POLOŽKY</w:t>
            </w:r>
          </w:p>
          <w:p w14:paraId="7C05C918" w14:textId="77777777" w:rsidR="007421F4" w:rsidRPr="00E07C9A" w:rsidRDefault="007421F4" w:rsidP="007421F4">
            <w:pPr>
              <w:autoSpaceDE w:val="0"/>
              <w:autoSpaceDN w:val="0"/>
              <w:adjustRightInd w:val="0"/>
              <w:spacing w:before="0" w:after="0"/>
              <w:jc w:val="left"/>
              <w:rPr>
                <w:rFonts w:ascii="Times New Roman" w:hAnsi="Times New Roman"/>
                <w:b/>
                <w:sz w:val="24"/>
                <w:u w:val="single"/>
              </w:rPr>
            </w:pPr>
          </w:p>
          <w:p w14:paraId="05008772" w14:textId="32FEB7F9" w:rsidR="007421F4" w:rsidRPr="00E07C9A" w:rsidRDefault="007421F4" w:rsidP="007421F4">
            <w:pPr>
              <w:autoSpaceDE w:val="0"/>
              <w:autoSpaceDN w:val="0"/>
              <w:adjustRightInd w:val="0"/>
              <w:spacing w:before="0" w:after="0"/>
              <w:jc w:val="left"/>
              <w:rPr>
                <w:rFonts w:ascii="Times New Roman" w:hAnsi="Times New Roman"/>
                <w:sz w:val="24"/>
              </w:rPr>
            </w:pPr>
            <w:r w:rsidRPr="00E07C9A">
              <w:rPr>
                <w:rFonts w:ascii="Times New Roman" w:hAnsi="Times New Roman"/>
                <w:sz w:val="24"/>
              </w:rPr>
              <w:t>V tomto bloku stĺpcov sa zhromažďujú informácie</w:t>
            </w:r>
            <w:r w:rsidR="009912F8" w:rsidRPr="00E07C9A">
              <w:rPr>
                <w:rFonts w:ascii="Times New Roman" w:hAnsi="Times New Roman"/>
                <w:sz w:val="24"/>
              </w:rPr>
              <w:t xml:space="preserve"> o </w:t>
            </w:r>
            <w:r w:rsidRPr="00E07C9A">
              <w:rPr>
                <w:rFonts w:ascii="Times New Roman" w:hAnsi="Times New Roman"/>
                <w:sz w:val="24"/>
              </w:rPr>
              <w:t>súvahových položkách rozčlenené podľa tranží (nadriadené/mezanínové/prvej straty).</w:t>
            </w:r>
          </w:p>
          <w:p w14:paraId="0058DF48" w14:textId="77777777" w:rsidR="007421F4" w:rsidRPr="00E07C9A" w:rsidRDefault="007421F4" w:rsidP="007421F4">
            <w:pPr>
              <w:autoSpaceDE w:val="0"/>
              <w:autoSpaceDN w:val="0"/>
              <w:adjustRightInd w:val="0"/>
              <w:spacing w:before="0" w:after="0"/>
              <w:jc w:val="left"/>
              <w:rPr>
                <w:rFonts w:ascii="Times New Roman" w:hAnsi="Times New Roman"/>
                <w:b/>
                <w:sz w:val="24"/>
                <w:u w:val="single"/>
              </w:rPr>
            </w:pPr>
          </w:p>
        </w:tc>
      </w:tr>
      <w:tr w:rsidR="007421F4" w:rsidRPr="00E07C9A" w14:paraId="73F91DC2" w14:textId="77777777" w:rsidTr="00E10B85">
        <w:tc>
          <w:tcPr>
            <w:tcW w:w="1101" w:type="dxa"/>
          </w:tcPr>
          <w:p w14:paraId="34ED1E46" w14:textId="77777777" w:rsidR="007421F4" w:rsidRPr="00E07C9A" w:rsidRDefault="007421F4" w:rsidP="007421F4">
            <w:pPr>
              <w:autoSpaceDE w:val="0"/>
              <w:autoSpaceDN w:val="0"/>
              <w:adjustRightInd w:val="0"/>
              <w:spacing w:before="0" w:after="0"/>
              <w:rPr>
                <w:rFonts w:ascii="Times New Roman" w:hAnsi="Times New Roman"/>
                <w:sz w:val="24"/>
              </w:rPr>
            </w:pPr>
            <w:r w:rsidRPr="00E07C9A">
              <w:rPr>
                <w:rFonts w:ascii="Times New Roman" w:hAnsi="Times New Roman"/>
                <w:sz w:val="24"/>
              </w:rPr>
              <w:t>0230 –⁠ 0232</w:t>
            </w:r>
          </w:p>
        </w:tc>
        <w:tc>
          <w:tcPr>
            <w:tcW w:w="7903" w:type="dxa"/>
          </w:tcPr>
          <w:p w14:paraId="07AF2C57" w14:textId="77777777" w:rsidR="007421F4" w:rsidRPr="00E07C9A" w:rsidRDefault="007421F4" w:rsidP="007421F4">
            <w:pPr>
              <w:autoSpaceDE w:val="0"/>
              <w:autoSpaceDN w:val="0"/>
              <w:adjustRightInd w:val="0"/>
              <w:spacing w:before="0" w:after="0"/>
              <w:jc w:val="left"/>
              <w:rPr>
                <w:rFonts w:ascii="Times New Roman" w:hAnsi="Times New Roman"/>
                <w:b/>
                <w:sz w:val="24"/>
                <w:u w:val="single"/>
              </w:rPr>
            </w:pPr>
            <w:r w:rsidRPr="00E07C9A">
              <w:rPr>
                <w:rFonts w:ascii="Times New Roman" w:hAnsi="Times New Roman"/>
                <w:b/>
                <w:sz w:val="24"/>
                <w:u w:val="single"/>
              </w:rPr>
              <w:t>NADRIADENÉ</w:t>
            </w:r>
          </w:p>
          <w:p w14:paraId="6644AEF7" w14:textId="77777777" w:rsidR="007421F4" w:rsidRPr="00E07C9A" w:rsidRDefault="007421F4" w:rsidP="007421F4">
            <w:pPr>
              <w:autoSpaceDE w:val="0"/>
              <w:autoSpaceDN w:val="0"/>
              <w:adjustRightInd w:val="0"/>
              <w:spacing w:before="0" w:after="0"/>
              <w:jc w:val="left"/>
              <w:rPr>
                <w:rFonts w:ascii="Times New Roman" w:hAnsi="Times New Roman"/>
                <w:b/>
                <w:sz w:val="24"/>
                <w:u w:val="single"/>
              </w:rPr>
            </w:pPr>
          </w:p>
        </w:tc>
      </w:tr>
      <w:tr w:rsidR="007421F4" w:rsidRPr="00E07C9A" w14:paraId="5231351E" w14:textId="77777777" w:rsidTr="00E10B85">
        <w:tc>
          <w:tcPr>
            <w:tcW w:w="1101" w:type="dxa"/>
          </w:tcPr>
          <w:p w14:paraId="36F78820" w14:textId="77777777" w:rsidR="007421F4" w:rsidRPr="00E07C9A" w:rsidRDefault="007421F4" w:rsidP="007421F4">
            <w:pPr>
              <w:autoSpaceDE w:val="0"/>
              <w:autoSpaceDN w:val="0"/>
              <w:adjustRightInd w:val="0"/>
              <w:spacing w:before="0" w:after="0"/>
              <w:rPr>
                <w:rFonts w:ascii="Times New Roman" w:hAnsi="Times New Roman"/>
                <w:sz w:val="24"/>
              </w:rPr>
            </w:pPr>
            <w:r w:rsidRPr="00E07C9A">
              <w:rPr>
                <w:rFonts w:ascii="Times New Roman" w:hAnsi="Times New Roman"/>
                <w:sz w:val="24"/>
              </w:rPr>
              <w:t>0230</w:t>
            </w:r>
          </w:p>
        </w:tc>
        <w:tc>
          <w:tcPr>
            <w:tcW w:w="7903" w:type="dxa"/>
          </w:tcPr>
          <w:p w14:paraId="512DF5C9" w14:textId="77777777" w:rsidR="007421F4" w:rsidRPr="00E07C9A" w:rsidRDefault="007421F4" w:rsidP="007421F4">
            <w:pPr>
              <w:autoSpaceDE w:val="0"/>
              <w:autoSpaceDN w:val="0"/>
              <w:adjustRightInd w:val="0"/>
              <w:spacing w:before="0" w:after="0"/>
              <w:jc w:val="left"/>
              <w:rPr>
                <w:rFonts w:ascii="Times New Roman" w:hAnsi="Times New Roman"/>
                <w:b/>
                <w:sz w:val="24"/>
                <w:u w:val="single"/>
              </w:rPr>
            </w:pPr>
            <w:r w:rsidRPr="00E07C9A">
              <w:rPr>
                <w:rFonts w:ascii="Times New Roman" w:hAnsi="Times New Roman"/>
                <w:b/>
                <w:sz w:val="24"/>
                <w:u w:val="single"/>
              </w:rPr>
              <w:t>HODNOTA</w:t>
            </w:r>
          </w:p>
          <w:p w14:paraId="6B3B08C4" w14:textId="77777777" w:rsidR="007421F4" w:rsidRPr="00E07C9A" w:rsidRDefault="007421F4" w:rsidP="007421F4">
            <w:pPr>
              <w:autoSpaceDE w:val="0"/>
              <w:autoSpaceDN w:val="0"/>
              <w:adjustRightInd w:val="0"/>
              <w:spacing w:before="0" w:after="0"/>
              <w:jc w:val="left"/>
              <w:rPr>
                <w:rFonts w:ascii="Times New Roman" w:hAnsi="Times New Roman"/>
                <w:b/>
                <w:sz w:val="24"/>
                <w:u w:val="single"/>
              </w:rPr>
            </w:pPr>
          </w:p>
          <w:p w14:paraId="52CC44DB" w14:textId="2D280771" w:rsidR="007421F4" w:rsidRPr="00E07C9A" w:rsidRDefault="007421F4" w:rsidP="007421F4">
            <w:pPr>
              <w:autoSpaceDE w:val="0"/>
              <w:autoSpaceDN w:val="0"/>
              <w:adjustRightInd w:val="0"/>
              <w:spacing w:before="0" w:after="0"/>
              <w:jc w:val="left"/>
              <w:rPr>
                <w:rFonts w:ascii="Times New Roman" w:hAnsi="Times New Roman"/>
                <w:sz w:val="24"/>
              </w:rPr>
            </w:pPr>
            <w:r w:rsidRPr="00E07C9A">
              <w:rPr>
                <w:rFonts w:ascii="Times New Roman" w:hAnsi="Times New Roman"/>
                <w:sz w:val="24"/>
              </w:rPr>
              <w:t>Hodnota nadriadených sekuritizačných pozícií podľa vymedzenia</w:t>
            </w:r>
            <w:r w:rsidR="009912F8" w:rsidRPr="00E07C9A">
              <w:rPr>
                <w:rFonts w:ascii="Times New Roman" w:hAnsi="Times New Roman"/>
                <w:sz w:val="24"/>
              </w:rPr>
              <w:t xml:space="preserve"> v </w:t>
            </w:r>
            <w:r w:rsidRPr="00E07C9A">
              <w:rPr>
                <w:rFonts w:ascii="Times New Roman" w:hAnsi="Times New Roman"/>
                <w:sz w:val="24"/>
              </w:rPr>
              <w:t xml:space="preserve">článku 242 ods. 6 nariadenia (EÚ) </w:t>
            </w:r>
            <w:r w:rsidR="009912F8" w:rsidRPr="00E07C9A">
              <w:rPr>
                <w:rFonts w:ascii="Times New Roman" w:hAnsi="Times New Roman"/>
                <w:sz w:val="24"/>
              </w:rPr>
              <w:t>č. 575/2013</w:t>
            </w:r>
            <w:r w:rsidRPr="00E07C9A">
              <w:rPr>
                <w:rFonts w:ascii="Times New Roman" w:hAnsi="Times New Roman"/>
                <w:sz w:val="24"/>
              </w:rPr>
              <w:t>.</w:t>
            </w:r>
          </w:p>
          <w:p w14:paraId="017A76EE" w14:textId="77777777" w:rsidR="007421F4" w:rsidRPr="00E07C9A" w:rsidRDefault="007421F4" w:rsidP="007421F4">
            <w:pPr>
              <w:autoSpaceDE w:val="0"/>
              <w:autoSpaceDN w:val="0"/>
              <w:adjustRightInd w:val="0"/>
              <w:spacing w:before="0" w:after="0"/>
              <w:jc w:val="left"/>
              <w:rPr>
                <w:rFonts w:ascii="Times New Roman" w:hAnsi="Times New Roman"/>
                <w:b/>
                <w:sz w:val="24"/>
                <w:u w:val="single"/>
              </w:rPr>
            </w:pPr>
          </w:p>
        </w:tc>
      </w:tr>
      <w:tr w:rsidR="007421F4" w:rsidRPr="00E07C9A" w14:paraId="29521FDE" w14:textId="77777777" w:rsidTr="00E10B85">
        <w:tc>
          <w:tcPr>
            <w:tcW w:w="1101" w:type="dxa"/>
          </w:tcPr>
          <w:p w14:paraId="44CFA3A1" w14:textId="77777777" w:rsidR="007421F4" w:rsidRPr="00E07C9A" w:rsidRDefault="007421F4" w:rsidP="007421F4">
            <w:pPr>
              <w:autoSpaceDE w:val="0"/>
              <w:autoSpaceDN w:val="0"/>
              <w:adjustRightInd w:val="0"/>
              <w:spacing w:before="0" w:after="0"/>
              <w:rPr>
                <w:rFonts w:ascii="Times New Roman" w:hAnsi="Times New Roman"/>
                <w:sz w:val="24"/>
              </w:rPr>
            </w:pPr>
            <w:r w:rsidRPr="00E07C9A">
              <w:rPr>
                <w:rFonts w:ascii="Times New Roman" w:hAnsi="Times New Roman"/>
                <w:sz w:val="24"/>
              </w:rPr>
              <w:t>0231</w:t>
            </w:r>
          </w:p>
        </w:tc>
        <w:tc>
          <w:tcPr>
            <w:tcW w:w="7903" w:type="dxa"/>
          </w:tcPr>
          <w:p w14:paraId="6CC533B9" w14:textId="77777777" w:rsidR="007421F4" w:rsidRPr="00E07C9A" w:rsidRDefault="007421F4" w:rsidP="007421F4">
            <w:pPr>
              <w:autoSpaceDE w:val="0"/>
              <w:autoSpaceDN w:val="0"/>
              <w:adjustRightInd w:val="0"/>
              <w:spacing w:before="0" w:after="0"/>
              <w:jc w:val="left"/>
              <w:rPr>
                <w:rFonts w:ascii="Times New Roman" w:hAnsi="Times New Roman"/>
                <w:b/>
                <w:sz w:val="24"/>
                <w:u w:val="single"/>
              </w:rPr>
            </w:pPr>
            <w:r w:rsidRPr="00E07C9A">
              <w:rPr>
                <w:rFonts w:ascii="Times New Roman" w:hAnsi="Times New Roman"/>
                <w:b/>
                <w:sz w:val="24"/>
                <w:u w:val="single"/>
              </w:rPr>
              <w:t>BOD PRIRADENIA (%)</w:t>
            </w:r>
          </w:p>
          <w:p w14:paraId="645E310C" w14:textId="77777777" w:rsidR="007421F4" w:rsidRPr="00E07C9A" w:rsidRDefault="007421F4" w:rsidP="007421F4">
            <w:pPr>
              <w:autoSpaceDE w:val="0"/>
              <w:autoSpaceDN w:val="0"/>
              <w:adjustRightInd w:val="0"/>
              <w:spacing w:before="0" w:after="0"/>
              <w:jc w:val="left"/>
              <w:rPr>
                <w:rFonts w:ascii="Times New Roman" w:hAnsi="Times New Roman"/>
                <w:b/>
                <w:sz w:val="24"/>
                <w:u w:val="single"/>
              </w:rPr>
            </w:pPr>
          </w:p>
          <w:p w14:paraId="0C8C887B" w14:textId="19F8D2A2" w:rsidR="007421F4" w:rsidRPr="00E07C9A" w:rsidRDefault="007421F4" w:rsidP="007421F4">
            <w:pPr>
              <w:autoSpaceDE w:val="0"/>
              <w:autoSpaceDN w:val="0"/>
              <w:adjustRightInd w:val="0"/>
              <w:spacing w:before="0" w:after="0"/>
              <w:jc w:val="left"/>
              <w:rPr>
                <w:rFonts w:ascii="Times New Roman" w:hAnsi="Times New Roman"/>
                <w:sz w:val="24"/>
              </w:rPr>
            </w:pPr>
            <w:r w:rsidRPr="00E07C9A">
              <w:rPr>
                <w:rFonts w:ascii="Times New Roman" w:hAnsi="Times New Roman"/>
                <w:sz w:val="24"/>
              </w:rPr>
              <w:t xml:space="preserve">Bod priradenia (%) podľa článku 256 ods. 1 nariadenia (EÚ) </w:t>
            </w:r>
            <w:r w:rsidR="009912F8" w:rsidRPr="00E07C9A">
              <w:rPr>
                <w:rFonts w:ascii="Times New Roman" w:hAnsi="Times New Roman"/>
                <w:sz w:val="24"/>
              </w:rPr>
              <w:t>č. 575/2013</w:t>
            </w:r>
            <w:r w:rsidRPr="00E07C9A">
              <w:rPr>
                <w:rFonts w:ascii="Times New Roman" w:hAnsi="Times New Roman"/>
                <w:sz w:val="24"/>
              </w:rPr>
              <w:t>.</w:t>
            </w:r>
          </w:p>
          <w:p w14:paraId="065C9879" w14:textId="77777777" w:rsidR="007421F4" w:rsidRPr="00E07C9A" w:rsidRDefault="007421F4" w:rsidP="007421F4">
            <w:pPr>
              <w:autoSpaceDE w:val="0"/>
              <w:autoSpaceDN w:val="0"/>
              <w:adjustRightInd w:val="0"/>
              <w:spacing w:before="0" w:after="0"/>
              <w:jc w:val="left"/>
              <w:rPr>
                <w:rFonts w:ascii="Times New Roman" w:hAnsi="Times New Roman"/>
                <w:b/>
                <w:sz w:val="24"/>
                <w:u w:val="single"/>
              </w:rPr>
            </w:pPr>
          </w:p>
        </w:tc>
      </w:tr>
      <w:tr w:rsidR="007421F4" w:rsidRPr="00E07C9A" w14:paraId="145C2E16" w14:textId="77777777" w:rsidTr="00E10B85">
        <w:tc>
          <w:tcPr>
            <w:tcW w:w="1101" w:type="dxa"/>
          </w:tcPr>
          <w:p w14:paraId="4E9D4D2E" w14:textId="3702CE99" w:rsidR="007421F4" w:rsidRPr="00E07C9A" w:rsidRDefault="007421F4" w:rsidP="007421F4">
            <w:pPr>
              <w:autoSpaceDE w:val="0"/>
              <w:autoSpaceDN w:val="0"/>
              <w:adjustRightInd w:val="0"/>
              <w:spacing w:before="0" w:after="0"/>
              <w:rPr>
                <w:rFonts w:ascii="Times New Roman" w:hAnsi="Times New Roman"/>
                <w:sz w:val="24"/>
              </w:rPr>
            </w:pPr>
            <w:r w:rsidRPr="00E07C9A">
              <w:rPr>
                <w:rFonts w:ascii="Times New Roman" w:hAnsi="Times New Roman"/>
                <w:sz w:val="24"/>
              </w:rPr>
              <w:t>0232</w:t>
            </w:r>
            <w:r w:rsidR="009912F8" w:rsidRPr="00E07C9A">
              <w:rPr>
                <w:rFonts w:ascii="Times New Roman" w:hAnsi="Times New Roman"/>
                <w:sz w:val="24"/>
              </w:rPr>
              <w:t xml:space="preserve"> a </w:t>
            </w:r>
            <w:r w:rsidRPr="00E07C9A">
              <w:rPr>
                <w:rFonts w:ascii="Times New Roman" w:hAnsi="Times New Roman"/>
                <w:sz w:val="24"/>
              </w:rPr>
              <w:t>0252</w:t>
            </w:r>
          </w:p>
        </w:tc>
        <w:tc>
          <w:tcPr>
            <w:tcW w:w="7903" w:type="dxa"/>
          </w:tcPr>
          <w:p w14:paraId="03A6CD22" w14:textId="77777777" w:rsidR="007421F4" w:rsidRPr="00E07C9A" w:rsidRDefault="007421F4" w:rsidP="007421F4">
            <w:pPr>
              <w:autoSpaceDE w:val="0"/>
              <w:autoSpaceDN w:val="0"/>
              <w:adjustRightInd w:val="0"/>
              <w:spacing w:before="0" w:after="0"/>
              <w:jc w:val="left"/>
              <w:rPr>
                <w:rFonts w:ascii="Times New Roman" w:hAnsi="Times New Roman"/>
                <w:b/>
                <w:sz w:val="24"/>
                <w:u w:val="single"/>
              </w:rPr>
            </w:pPr>
            <w:r w:rsidRPr="00E07C9A">
              <w:rPr>
                <w:rFonts w:ascii="Times New Roman" w:hAnsi="Times New Roman"/>
                <w:b/>
                <w:sz w:val="24"/>
                <w:u w:val="single"/>
              </w:rPr>
              <w:t>STUPNE KREDITNEJ KVALITY</w:t>
            </w:r>
          </w:p>
          <w:p w14:paraId="311848A6" w14:textId="77777777" w:rsidR="007421F4" w:rsidRPr="00E07C9A" w:rsidRDefault="007421F4" w:rsidP="007421F4">
            <w:pPr>
              <w:autoSpaceDE w:val="0"/>
              <w:autoSpaceDN w:val="0"/>
              <w:adjustRightInd w:val="0"/>
              <w:spacing w:before="0" w:after="0"/>
              <w:jc w:val="left"/>
              <w:rPr>
                <w:rFonts w:ascii="Times New Roman" w:hAnsi="Times New Roman"/>
                <w:b/>
                <w:sz w:val="24"/>
                <w:u w:val="single"/>
              </w:rPr>
            </w:pPr>
          </w:p>
          <w:p w14:paraId="0BA7E418" w14:textId="3D413733" w:rsidR="007421F4" w:rsidRPr="00E07C9A" w:rsidRDefault="007421F4" w:rsidP="007421F4">
            <w:pPr>
              <w:autoSpaceDE w:val="0"/>
              <w:autoSpaceDN w:val="0"/>
              <w:adjustRightInd w:val="0"/>
              <w:spacing w:before="0" w:after="0"/>
              <w:jc w:val="left"/>
              <w:rPr>
                <w:rFonts w:ascii="Times New Roman" w:hAnsi="Times New Roman"/>
                <w:b/>
                <w:sz w:val="24"/>
                <w:u w:val="single"/>
              </w:rPr>
            </w:pPr>
            <w:r w:rsidRPr="00E07C9A">
              <w:rPr>
                <w:rFonts w:ascii="Times New Roman" w:hAnsi="Times New Roman"/>
                <w:sz w:val="24"/>
              </w:rPr>
              <w:t>Stupne kreditnej kvality (CQS), ako sú stanovené pre inštitúcie uplatňujúce SEC-ERBA [tabuľky 1</w:t>
            </w:r>
            <w:r w:rsidR="009912F8" w:rsidRPr="00E07C9A">
              <w:rPr>
                <w:rFonts w:ascii="Times New Roman" w:hAnsi="Times New Roman"/>
                <w:sz w:val="24"/>
              </w:rPr>
              <w:t xml:space="preserve"> a </w:t>
            </w:r>
            <w:r w:rsidRPr="00E07C9A">
              <w:rPr>
                <w:rFonts w:ascii="Times New Roman" w:hAnsi="Times New Roman"/>
                <w:sz w:val="24"/>
              </w:rPr>
              <w:t>2</w:t>
            </w:r>
            <w:r w:rsidR="009912F8" w:rsidRPr="00E07C9A">
              <w:rPr>
                <w:rFonts w:ascii="Times New Roman" w:hAnsi="Times New Roman"/>
                <w:sz w:val="24"/>
              </w:rPr>
              <w:t xml:space="preserve"> v </w:t>
            </w:r>
            <w:r w:rsidRPr="00E07C9A">
              <w:rPr>
                <w:rFonts w:ascii="Times New Roman" w:hAnsi="Times New Roman"/>
                <w:sz w:val="24"/>
              </w:rPr>
              <w:t>článku 263</w:t>
            </w:r>
            <w:r w:rsidR="009912F8" w:rsidRPr="00E07C9A">
              <w:rPr>
                <w:rFonts w:ascii="Times New Roman" w:hAnsi="Times New Roman"/>
                <w:sz w:val="24"/>
              </w:rPr>
              <w:t xml:space="preserve"> a </w:t>
            </w:r>
            <w:r w:rsidRPr="00E07C9A">
              <w:rPr>
                <w:rFonts w:ascii="Times New Roman" w:hAnsi="Times New Roman"/>
                <w:sz w:val="24"/>
              </w:rPr>
              <w:t>tabuľky 3</w:t>
            </w:r>
            <w:r w:rsidR="009912F8" w:rsidRPr="00E07C9A">
              <w:rPr>
                <w:rFonts w:ascii="Times New Roman" w:hAnsi="Times New Roman"/>
                <w:sz w:val="24"/>
              </w:rPr>
              <w:t xml:space="preserve"> a </w:t>
            </w:r>
            <w:r w:rsidRPr="00E07C9A">
              <w:rPr>
                <w:rFonts w:ascii="Times New Roman" w:hAnsi="Times New Roman"/>
                <w:sz w:val="24"/>
              </w:rPr>
              <w:t>4</w:t>
            </w:r>
            <w:r w:rsidR="009912F8" w:rsidRPr="00E07C9A">
              <w:rPr>
                <w:rFonts w:ascii="Times New Roman" w:hAnsi="Times New Roman"/>
                <w:sz w:val="24"/>
              </w:rPr>
              <w:t xml:space="preserve"> v </w:t>
            </w:r>
            <w:r w:rsidRPr="00E07C9A">
              <w:rPr>
                <w:rFonts w:ascii="Times New Roman" w:hAnsi="Times New Roman"/>
                <w:sz w:val="24"/>
              </w:rPr>
              <w:t xml:space="preserve">článku 264 nariadenia (EÚ) </w:t>
            </w:r>
            <w:r w:rsidR="009912F8" w:rsidRPr="00E07C9A">
              <w:rPr>
                <w:rFonts w:ascii="Times New Roman" w:hAnsi="Times New Roman"/>
                <w:sz w:val="24"/>
              </w:rPr>
              <w:t>č. 575/2013</w:t>
            </w:r>
            <w:r w:rsidRPr="00E07C9A">
              <w:rPr>
                <w:rFonts w:ascii="Times New Roman" w:hAnsi="Times New Roman"/>
                <w:sz w:val="24"/>
              </w:rPr>
              <w:t>)]. Tieto stĺpce sa vykazujú pre všetky transakcie</w:t>
            </w:r>
            <w:r w:rsidR="009912F8" w:rsidRPr="00E07C9A">
              <w:rPr>
                <w:rFonts w:ascii="Times New Roman" w:hAnsi="Times New Roman"/>
                <w:sz w:val="24"/>
              </w:rPr>
              <w:t xml:space="preserve"> s </w:t>
            </w:r>
            <w:r w:rsidRPr="00E07C9A">
              <w:rPr>
                <w:rFonts w:ascii="Times New Roman" w:hAnsi="Times New Roman"/>
                <w:sz w:val="24"/>
              </w:rPr>
              <w:t>ratingovým hodnotením bez ohľadu na uplatnený prístup.</w:t>
            </w:r>
          </w:p>
          <w:p w14:paraId="42E633C0" w14:textId="77777777" w:rsidR="007421F4" w:rsidRPr="00E07C9A" w:rsidRDefault="007421F4" w:rsidP="007421F4">
            <w:pPr>
              <w:autoSpaceDE w:val="0"/>
              <w:autoSpaceDN w:val="0"/>
              <w:adjustRightInd w:val="0"/>
              <w:spacing w:before="0" w:after="0"/>
              <w:jc w:val="left"/>
              <w:rPr>
                <w:rFonts w:ascii="Times New Roman" w:hAnsi="Times New Roman"/>
                <w:b/>
                <w:sz w:val="24"/>
                <w:u w:val="single"/>
              </w:rPr>
            </w:pPr>
          </w:p>
        </w:tc>
      </w:tr>
      <w:tr w:rsidR="007421F4" w:rsidRPr="00E07C9A" w14:paraId="304AB1E0" w14:textId="77777777" w:rsidTr="00E10B85">
        <w:tc>
          <w:tcPr>
            <w:tcW w:w="1101" w:type="dxa"/>
          </w:tcPr>
          <w:p w14:paraId="2F60B399" w14:textId="77777777" w:rsidR="007421F4" w:rsidRPr="00E07C9A" w:rsidRDefault="007421F4" w:rsidP="007421F4">
            <w:pPr>
              <w:autoSpaceDE w:val="0"/>
              <w:autoSpaceDN w:val="0"/>
              <w:adjustRightInd w:val="0"/>
              <w:spacing w:before="0" w:after="0"/>
              <w:rPr>
                <w:rFonts w:ascii="Times New Roman" w:hAnsi="Times New Roman"/>
                <w:sz w:val="24"/>
              </w:rPr>
            </w:pPr>
            <w:r w:rsidRPr="00E07C9A">
              <w:rPr>
                <w:rFonts w:ascii="Times New Roman" w:hAnsi="Times New Roman"/>
                <w:sz w:val="24"/>
              </w:rPr>
              <w:t>0240 –⁠ 0242</w:t>
            </w:r>
          </w:p>
        </w:tc>
        <w:tc>
          <w:tcPr>
            <w:tcW w:w="7903" w:type="dxa"/>
          </w:tcPr>
          <w:p w14:paraId="2BD6B180" w14:textId="77777777" w:rsidR="007421F4" w:rsidRPr="00E07C9A" w:rsidRDefault="007421F4" w:rsidP="007421F4">
            <w:pPr>
              <w:autoSpaceDE w:val="0"/>
              <w:autoSpaceDN w:val="0"/>
              <w:adjustRightInd w:val="0"/>
              <w:spacing w:before="0" w:after="0"/>
              <w:jc w:val="left"/>
              <w:rPr>
                <w:rFonts w:ascii="Times New Roman" w:hAnsi="Times New Roman"/>
                <w:b/>
                <w:sz w:val="24"/>
                <w:u w:val="single"/>
              </w:rPr>
            </w:pPr>
            <w:r w:rsidRPr="00E07C9A">
              <w:rPr>
                <w:rFonts w:ascii="Times New Roman" w:hAnsi="Times New Roman"/>
                <w:b/>
                <w:sz w:val="24"/>
                <w:u w:val="single"/>
              </w:rPr>
              <w:t>MEZANÍNOVÉ</w:t>
            </w:r>
          </w:p>
          <w:p w14:paraId="666448D3" w14:textId="77777777" w:rsidR="007421F4" w:rsidRPr="00E07C9A" w:rsidRDefault="007421F4" w:rsidP="007421F4">
            <w:pPr>
              <w:autoSpaceDE w:val="0"/>
              <w:autoSpaceDN w:val="0"/>
              <w:adjustRightInd w:val="0"/>
              <w:spacing w:before="0" w:after="0"/>
              <w:jc w:val="left"/>
              <w:rPr>
                <w:rFonts w:ascii="Times New Roman" w:hAnsi="Times New Roman"/>
                <w:b/>
                <w:sz w:val="24"/>
                <w:u w:val="single"/>
              </w:rPr>
            </w:pPr>
          </w:p>
        </w:tc>
      </w:tr>
      <w:tr w:rsidR="007421F4" w:rsidRPr="00E07C9A" w14:paraId="666244C3" w14:textId="77777777" w:rsidTr="00E10B85">
        <w:tc>
          <w:tcPr>
            <w:tcW w:w="1101" w:type="dxa"/>
          </w:tcPr>
          <w:p w14:paraId="3C96B571" w14:textId="77777777" w:rsidR="007421F4" w:rsidRPr="00E07C9A" w:rsidRDefault="007421F4" w:rsidP="007421F4">
            <w:pPr>
              <w:autoSpaceDE w:val="0"/>
              <w:autoSpaceDN w:val="0"/>
              <w:adjustRightInd w:val="0"/>
              <w:spacing w:before="0" w:after="0"/>
              <w:rPr>
                <w:rFonts w:ascii="Times New Roman" w:hAnsi="Times New Roman"/>
                <w:sz w:val="24"/>
              </w:rPr>
            </w:pPr>
            <w:r w:rsidRPr="00E07C9A">
              <w:rPr>
                <w:rFonts w:ascii="Times New Roman" w:hAnsi="Times New Roman"/>
                <w:sz w:val="24"/>
              </w:rPr>
              <w:t>0240</w:t>
            </w:r>
          </w:p>
        </w:tc>
        <w:tc>
          <w:tcPr>
            <w:tcW w:w="7903" w:type="dxa"/>
          </w:tcPr>
          <w:p w14:paraId="7CBB8C6F" w14:textId="77777777" w:rsidR="007421F4" w:rsidRPr="00E07C9A" w:rsidRDefault="007421F4" w:rsidP="007421F4">
            <w:pPr>
              <w:autoSpaceDE w:val="0"/>
              <w:autoSpaceDN w:val="0"/>
              <w:adjustRightInd w:val="0"/>
              <w:spacing w:before="0" w:after="0"/>
              <w:jc w:val="left"/>
              <w:rPr>
                <w:rFonts w:ascii="Times New Roman" w:hAnsi="Times New Roman"/>
                <w:b/>
                <w:sz w:val="24"/>
                <w:u w:val="single"/>
              </w:rPr>
            </w:pPr>
            <w:r w:rsidRPr="00E07C9A">
              <w:rPr>
                <w:rFonts w:ascii="Times New Roman" w:hAnsi="Times New Roman"/>
                <w:b/>
                <w:sz w:val="24"/>
                <w:u w:val="single"/>
              </w:rPr>
              <w:t>HODNOTA</w:t>
            </w:r>
          </w:p>
          <w:p w14:paraId="42077D1A" w14:textId="77777777" w:rsidR="007421F4" w:rsidRPr="00E07C9A" w:rsidRDefault="007421F4" w:rsidP="007421F4">
            <w:pPr>
              <w:autoSpaceDE w:val="0"/>
              <w:autoSpaceDN w:val="0"/>
              <w:adjustRightInd w:val="0"/>
              <w:spacing w:before="0" w:after="0"/>
              <w:jc w:val="left"/>
              <w:rPr>
                <w:rFonts w:ascii="Times New Roman" w:hAnsi="Times New Roman"/>
                <w:b/>
                <w:sz w:val="24"/>
                <w:u w:val="single"/>
              </w:rPr>
            </w:pPr>
          </w:p>
          <w:p w14:paraId="3457352C" w14:textId="77777777" w:rsidR="007421F4" w:rsidRPr="00E07C9A" w:rsidRDefault="007421F4" w:rsidP="007421F4">
            <w:pPr>
              <w:autoSpaceDE w:val="0"/>
              <w:autoSpaceDN w:val="0"/>
              <w:adjustRightInd w:val="0"/>
              <w:spacing w:before="0" w:after="0"/>
              <w:jc w:val="left"/>
              <w:rPr>
                <w:rFonts w:ascii="Times New Roman" w:hAnsi="Times New Roman"/>
                <w:sz w:val="24"/>
              </w:rPr>
            </w:pPr>
            <w:r w:rsidRPr="00E07C9A">
              <w:rPr>
                <w:rFonts w:ascii="Times New Roman" w:hAnsi="Times New Roman"/>
                <w:sz w:val="24"/>
              </w:rPr>
              <w:t>Vykazovaná hodnota zahŕňa:</w:t>
            </w:r>
          </w:p>
          <w:p w14:paraId="109FB3F3" w14:textId="4496CB3B" w:rsidR="007421F4" w:rsidRPr="00E07C9A" w:rsidRDefault="007421F4" w:rsidP="005C4397">
            <w:pPr>
              <w:pStyle w:val="ListParagraph"/>
              <w:numPr>
                <w:ilvl w:val="0"/>
                <w:numId w:val="20"/>
              </w:numPr>
              <w:autoSpaceDE w:val="0"/>
              <w:autoSpaceDN w:val="0"/>
              <w:adjustRightInd w:val="0"/>
              <w:spacing w:before="0" w:after="0"/>
              <w:jc w:val="left"/>
              <w:rPr>
                <w:rFonts w:ascii="Times New Roman" w:hAnsi="Times New Roman"/>
                <w:sz w:val="24"/>
              </w:rPr>
            </w:pPr>
            <w:r w:rsidRPr="00E07C9A">
              <w:rPr>
                <w:rFonts w:ascii="Times New Roman" w:hAnsi="Times New Roman"/>
                <w:sz w:val="24"/>
              </w:rPr>
              <w:t>mezanínové sekuritizačné pozície podľa vymedzenia</w:t>
            </w:r>
            <w:r w:rsidR="009912F8" w:rsidRPr="00E07C9A">
              <w:rPr>
                <w:rFonts w:ascii="Times New Roman" w:hAnsi="Times New Roman"/>
                <w:sz w:val="24"/>
              </w:rPr>
              <w:t xml:space="preserve"> v </w:t>
            </w:r>
            <w:r w:rsidRPr="00E07C9A">
              <w:rPr>
                <w:rFonts w:ascii="Times New Roman" w:hAnsi="Times New Roman"/>
                <w:sz w:val="24"/>
              </w:rPr>
              <w:t xml:space="preserve">článku 242 ods. 18 nariadenia (EÚ) </w:t>
            </w:r>
            <w:r w:rsidR="009912F8" w:rsidRPr="00E07C9A">
              <w:rPr>
                <w:rFonts w:ascii="Times New Roman" w:hAnsi="Times New Roman"/>
                <w:sz w:val="24"/>
              </w:rPr>
              <w:t>č. 575/2013</w:t>
            </w:r>
            <w:r w:rsidRPr="00E07C9A">
              <w:rPr>
                <w:rFonts w:ascii="Times New Roman" w:hAnsi="Times New Roman"/>
                <w:sz w:val="24"/>
              </w:rPr>
              <w:t>,</w:t>
            </w:r>
          </w:p>
          <w:p w14:paraId="59C73862" w14:textId="4FB0A603" w:rsidR="007421F4" w:rsidRPr="00E07C9A" w:rsidRDefault="007421F4" w:rsidP="005C4397">
            <w:pPr>
              <w:pStyle w:val="ListParagraph"/>
              <w:numPr>
                <w:ilvl w:val="0"/>
                <w:numId w:val="20"/>
              </w:numPr>
              <w:autoSpaceDE w:val="0"/>
              <w:autoSpaceDN w:val="0"/>
              <w:adjustRightInd w:val="0"/>
              <w:spacing w:before="0" w:after="0"/>
              <w:jc w:val="left"/>
              <w:rPr>
                <w:rFonts w:ascii="Times New Roman" w:hAnsi="Times New Roman"/>
                <w:sz w:val="24"/>
              </w:rPr>
            </w:pPr>
            <w:r w:rsidRPr="00E07C9A">
              <w:rPr>
                <w:rFonts w:ascii="Times New Roman" w:hAnsi="Times New Roman"/>
                <w:sz w:val="24"/>
              </w:rPr>
              <w:t>dodatočné sekuritizačné pozície, ktoré nie sú pozíciami vymedzenými</w:t>
            </w:r>
            <w:r w:rsidR="009912F8" w:rsidRPr="00E07C9A">
              <w:rPr>
                <w:rFonts w:ascii="Times New Roman" w:hAnsi="Times New Roman"/>
                <w:sz w:val="24"/>
              </w:rPr>
              <w:t xml:space="preserve"> v </w:t>
            </w:r>
            <w:r w:rsidRPr="00E07C9A">
              <w:rPr>
                <w:rFonts w:ascii="Times New Roman" w:hAnsi="Times New Roman"/>
                <w:sz w:val="24"/>
              </w:rPr>
              <w:t xml:space="preserve">článku 242 ods. 6, 17 alebo 18 nariadenia (EÚ) </w:t>
            </w:r>
            <w:r w:rsidR="009912F8" w:rsidRPr="00E07C9A">
              <w:rPr>
                <w:rFonts w:ascii="Times New Roman" w:hAnsi="Times New Roman"/>
                <w:sz w:val="24"/>
              </w:rPr>
              <w:t>č. 575/2013</w:t>
            </w:r>
            <w:r w:rsidRPr="00E07C9A">
              <w:rPr>
                <w:rFonts w:ascii="Times New Roman" w:hAnsi="Times New Roman"/>
                <w:sz w:val="24"/>
              </w:rPr>
              <w:t>.</w:t>
            </w:r>
          </w:p>
          <w:p w14:paraId="4ACAEFE7" w14:textId="77777777" w:rsidR="007421F4" w:rsidRPr="00E07C9A" w:rsidRDefault="007421F4" w:rsidP="007421F4">
            <w:pPr>
              <w:autoSpaceDE w:val="0"/>
              <w:autoSpaceDN w:val="0"/>
              <w:adjustRightInd w:val="0"/>
              <w:spacing w:before="0" w:after="0"/>
              <w:jc w:val="left"/>
              <w:rPr>
                <w:rFonts w:ascii="Times New Roman" w:hAnsi="Times New Roman"/>
                <w:sz w:val="24"/>
              </w:rPr>
            </w:pPr>
          </w:p>
        </w:tc>
      </w:tr>
      <w:tr w:rsidR="007421F4" w:rsidRPr="00E07C9A" w14:paraId="0077E8D7" w14:textId="77777777" w:rsidTr="00E10B85">
        <w:tc>
          <w:tcPr>
            <w:tcW w:w="1101" w:type="dxa"/>
          </w:tcPr>
          <w:p w14:paraId="62F4D07E" w14:textId="77777777" w:rsidR="007421F4" w:rsidRPr="00E07C9A" w:rsidRDefault="007421F4" w:rsidP="007421F4">
            <w:pPr>
              <w:autoSpaceDE w:val="0"/>
              <w:autoSpaceDN w:val="0"/>
              <w:adjustRightInd w:val="0"/>
              <w:spacing w:before="0" w:after="0"/>
              <w:rPr>
                <w:rFonts w:ascii="Times New Roman" w:hAnsi="Times New Roman"/>
                <w:sz w:val="24"/>
              </w:rPr>
            </w:pPr>
            <w:r w:rsidRPr="00E07C9A">
              <w:rPr>
                <w:rFonts w:ascii="Times New Roman" w:hAnsi="Times New Roman"/>
                <w:sz w:val="24"/>
              </w:rPr>
              <w:t>0241</w:t>
            </w:r>
          </w:p>
        </w:tc>
        <w:tc>
          <w:tcPr>
            <w:tcW w:w="7903" w:type="dxa"/>
          </w:tcPr>
          <w:p w14:paraId="64EF61F0" w14:textId="77777777" w:rsidR="007421F4" w:rsidRPr="00E07C9A" w:rsidRDefault="007421F4" w:rsidP="007421F4">
            <w:pPr>
              <w:autoSpaceDE w:val="0"/>
              <w:autoSpaceDN w:val="0"/>
              <w:adjustRightInd w:val="0"/>
              <w:spacing w:before="0" w:after="0"/>
              <w:jc w:val="left"/>
              <w:rPr>
                <w:rFonts w:ascii="Times New Roman" w:hAnsi="Times New Roman"/>
                <w:b/>
                <w:sz w:val="24"/>
                <w:u w:val="single"/>
              </w:rPr>
            </w:pPr>
            <w:r w:rsidRPr="00E07C9A">
              <w:rPr>
                <w:rFonts w:ascii="Times New Roman" w:hAnsi="Times New Roman"/>
                <w:b/>
                <w:sz w:val="24"/>
                <w:u w:val="single"/>
              </w:rPr>
              <w:t>POČET TRANŽÍ</w:t>
            </w:r>
          </w:p>
          <w:p w14:paraId="4E8D312B" w14:textId="77777777" w:rsidR="007421F4" w:rsidRPr="00E07C9A" w:rsidRDefault="007421F4" w:rsidP="007421F4">
            <w:pPr>
              <w:autoSpaceDE w:val="0"/>
              <w:autoSpaceDN w:val="0"/>
              <w:adjustRightInd w:val="0"/>
              <w:spacing w:before="0" w:after="0"/>
              <w:jc w:val="left"/>
              <w:rPr>
                <w:rFonts w:ascii="Times New Roman" w:hAnsi="Times New Roman"/>
                <w:b/>
                <w:sz w:val="24"/>
                <w:u w:val="single"/>
              </w:rPr>
            </w:pPr>
          </w:p>
          <w:p w14:paraId="19A41790" w14:textId="77777777" w:rsidR="007421F4" w:rsidRPr="00E07C9A" w:rsidRDefault="007421F4" w:rsidP="007421F4">
            <w:pPr>
              <w:autoSpaceDE w:val="0"/>
              <w:autoSpaceDN w:val="0"/>
              <w:adjustRightInd w:val="0"/>
              <w:spacing w:before="0" w:after="0"/>
              <w:jc w:val="left"/>
              <w:rPr>
                <w:rFonts w:ascii="Times New Roman" w:hAnsi="Times New Roman"/>
                <w:sz w:val="24"/>
              </w:rPr>
            </w:pPr>
            <w:r w:rsidRPr="00E07C9A">
              <w:rPr>
                <w:rFonts w:ascii="Times New Roman" w:hAnsi="Times New Roman"/>
                <w:sz w:val="24"/>
              </w:rPr>
              <w:t>Počet mezanínových tranží.</w:t>
            </w:r>
          </w:p>
          <w:p w14:paraId="4728BA17" w14:textId="77777777" w:rsidR="007421F4" w:rsidRPr="00E07C9A" w:rsidRDefault="007421F4" w:rsidP="007421F4">
            <w:pPr>
              <w:autoSpaceDE w:val="0"/>
              <w:autoSpaceDN w:val="0"/>
              <w:adjustRightInd w:val="0"/>
              <w:spacing w:before="0" w:after="0"/>
              <w:jc w:val="left"/>
              <w:rPr>
                <w:rFonts w:ascii="Times New Roman" w:hAnsi="Times New Roman"/>
                <w:b/>
                <w:sz w:val="24"/>
                <w:u w:val="single"/>
              </w:rPr>
            </w:pPr>
          </w:p>
        </w:tc>
      </w:tr>
      <w:tr w:rsidR="007421F4" w:rsidRPr="00E07C9A" w14:paraId="63D07845" w14:textId="77777777" w:rsidTr="00E10B85">
        <w:tc>
          <w:tcPr>
            <w:tcW w:w="1101" w:type="dxa"/>
          </w:tcPr>
          <w:p w14:paraId="132C237A" w14:textId="77777777" w:rsidR="007421F4" w:rsidRPr="00E07C9A" w:rsidRDefault="007421F4" w:rsidP="007421F4">
            <w:pPr>
              <w:autoSpaceDE w:val="0"/>
              <w:autoSpaceDN w:val="0"/>
              <w:adjustRightInd w:val="0"/>
              <w:spacing w:before="0" w:after="0"/>
              <w:rPr>
                <w:rFonts w:ascii="Times New Roman" w:hAnsi="Times New Roman"/>
                <w:sz w:val="24"/>
              </w:rPr>
            </w:pPr>
            <w:r w:rsidRPr="00E07C9A">
              <w:rPr>
                <w:rFonts w:ascii="Times New Roman" w:hAnsi="Times New Roman"/>
                <w:sz w:val="24"/>
              </w:rPr>
              <w:t>0242</w:t>
            </w:r>
          </w:p>
        </w:tc>
        <w:tc>
          <w:tcPr>
            <w:tcW w:w="7903" w:type="dxa"/>
          </w:tcPr>
          <w:p w14:paraId="1F59A89C" w14:textId="749C7D1C" w:rsidR="007421F4" w:rsidRPr="00E07C9A" w:rsidRDefault="007421F4" w:rsidP="007421F4">
            <w:pPr>
              <w:autoSpaceDE w:val="0"/>
              <w:autoSpaceDN w:val="0"/>
              <w:adjustRightInd w:val="0"/>
              <w:spacing w:before="0" w:after="0"/>
              <w:jc w:val="left"/>
              <w:rPr>
                <w:rFonts w:ascii="Times New Roman" w:hAnsi="Times New Roman"/>
                <w:b/>
                <w:sz w:val="24"/>
                <w:u w:val="single"/>
              </w:rPr>
            </w:pPr>
            <w:r w:rsidRPr="00E07C9A">
              <w:rPr>
                <w:rFonts w:ascii="Times New Roman" w:hAnsi="Times New Roman"/>
                <w:b/>
                <w:sz w:val="24"/>
                <w:u w:val="single"/>
              </w:rPr>
              <w:t>CQS NAJVIAC PODRIADENEJ TRANŽE</w:t>
            </w:r>
          </w:p>
          <w:p w14:paraId="4DA62ADF" w14:textId="77777777" w:rsidR="007421F4" w:rsidRPr="00E07C9A" w:rsidRDefault="007421F4" w:rsidP="007421F4">
            <w:pPr>
              <w:autoSpaceDE w:val="0"/>
              <w:autoSpaceDN w:val="0"/>
              <w:adjustRightInd w:val="0"/>
              <w:spacing w:before="0" w:after="0"/>
              <w:jc w:val="left"/>
              <w:rPr>
                <w:rFonts w:ascii="Times New Roman" w:hAnsi="Times New Roman"/>
                <w:b/>
                <w:sz w:val="24"/>
                <w:u w:val="single"/>
              </w:rPr>
            </w:pPr>
          </w:p>
          <w:p w14:paraId="253F20F5" w14:textId="3F67E44E" w:rsidR="009912F8" w:rsidRPr="00E07C9A" w:rsidRDefault="007421F4" w:rsidP="007421F4">
            <w:pPr>
              <w:autoSpaceDE w:val="0"/>
              <w:autoSpaceDN w:val="0"/>
              <w:adjustRightInd w:val="0"/>
              <w:spacing w:before="0" w:after="0"/>
              <w:jc w:val="left"/>
              <w:rPr>
                <w:rFonts w:ascii="Times New Roman" w:hAnsi="Times New Roman"/>
                <w:sz w:val="24"/>
              </w:rPr>
            </w:pPr>
            <w:r w:rsidRPr="00E07C9A">
              <w:rPr>
                <w:rFonts w:ascii="Times New Roman" w:hAnsi="Times New Roman"/>
                <w:sz w:val="24"/>
              </w:rPr>
              <w:t>Stupeň kreditnej kvality (CQS) najviac podriadenej mezanínovej tranže, určený</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tabuľkou 2 článku 263</w:t>
            </w:r>
            <w:r w:rsidR="009912F8" w:rsidRPr="00E07C9A">
              <w:rPr>
                <w:rFonts w:ascii="Times New Roman" w:hAnsi="Times New Roman"/>
                <w:sz w:val="24"/>
              </w:rPr>
              <w:t xml:space="preserve"> a </w:t>
            </w:r>
            <w:r w:rsidRPr="00E07C9A">
              <w:rPr>
                <w:rFonts w:ascii="Times New Roman" w:hAnsi="Times New Roman"/>
                <w:sz w:val="24"/>
              </w:rPr>
              <w:t xml:space="preserve">tabuľkou 3 článku 264 nariadenia (EÚ) </w:t>
            </w:r>
            <w:r w:rsidR="009912F8" w:rsidRPr="00E07C9A">
              <w:rPr>
                <w:rFonts w:ascii="Times New Roman" w:hAnsi="Times New Roman"/>
                <w:sz w:val="24"/>
              </w:rPr>
              <w:t>č. 575/2013.</w:t>
            </w:r>
          </w:p>
          <w:p w14:paraId="536EFC43" w14:textId="6F017053" w:rsidR="007421F4" w:rsidRPr="00E07C9A" w:rsidRDefault="007421F4" w:rsidP="007421F4">
            <w:pPr>
              <w:autoSpaceDE w:val="0"/>
              <w:autoSpaceDN w:val="0"/>
              <w:adjustRightInd w:val="0"/>
              <w:spacing w:before="0" w:after="0"/>
              <w:jc w:val="left"/>
              <w:rPr>
                <w:rFonts w:ascii="Times New Roman" w:hAnsi="Times New Roman"/>
                <w:b/>
                <w:sz w:val="24"/>
                <w:u w:val="single"/>
              </w:rPr>
            </w:pPr>
          </w:p>
        </w:tc>
      </w:tr>
      <w:tr w:rsidR="007421F4" w:rsidRPr="00E07C9A" w14:paraId="333D421B" w14:textId="77777777" w:rsidTr="00E10B85">
        <w:tc>
          <w:tcPr>
            <w:tcW w:w="1101" w:type="dxa"/>
          </w:tcPr>
          <w:p w14:paraId="4FA2D86A" w14:textId="77777777" w:rsidR="007421F4" w:rsidRPr="00E07C9A" w:rsidRDefault="007421F4" w:rsidP="007421F4">
            <w:pPr>
              <w:autoSpaceDE w:val="0"/>
              <w:autoSpaceDN w:val="0"/>
              <w:adjustRightInd w:val="0"/>
              <w:spacing w:before="0" w:after="0"/>
              <w:rPr>
                <w:rFonts w:ascii="Times New Roman" w:hAnsi="Times New Roman"/>
                <w:sz w:val="24"/>
              </w:rPr>
            </w:pPr>
            <w:r w:rsidRPr="00E07C9A">
              <w:rPr>
                <w:rFonts w:ascii="Times New Roman" w:hAnsi="Times New Roman"/>
                <w:sz w:val="24"/>
              </w:rPr>
              <w:t>0250 –⁠ 0252</w:t>
            </w:r>
          </w:p>
        </w:tc>
        <w:tc>
          <w:tcPr>
            <w:tcW w:w="7903" w:type="dxa"/>
          </w:tcPr>
          <w:p w14:paraId="3555432F" w14:textId="77777777" w:rsidR="007421F4" w:rsidRPr="00E07C9A" w:rsidRDefault="007421F4" w:rsidP="007421F4">
            <w:pPr>
              <w:autoSpaceDE w:val="0"/>
              <w:autoSpaceDN w:val="0"/>
              <w:adjustRightInd w:val="0"/>
              <w:spacing w:before="0" w:after="0"/>
              <w:jc w:val="left"/>
              <w:rPr>
                <w:rFonts w:ascii="Times New Roman" w:hAnsi="Times New Roman"/>
                <w:b/>
                <w:sz w:val="24"/>
                <w:u w:val="single"/>
              </w:rPr>
            </w:pPr>
            <w:r w:rsidRPr="00E07C9A">
              <w:rPr>
                <w:rFonts w:ascii="Times New Roman" w:hAnsi="Times New Roman"/>
                <w:b/>
                <w:sz w:val="24"/>
                <w:u w:val="single"/>
              </w:rPr>
              <w:t>PRVEJ STRATY</w:t>
            </w:r>
          </w:p>
          <w:p w14:paraId="22FF3266" w14:textId="77777777" w:rsidR="007421F4" w:rsidRPr="00E07C9A" w:rsidRDefault="007421F4" w:rsidP="007421F4">
            <w:pPr>
              <w:autoSpaceDE w:val="0"/>
              <w:autoSpaceDN w:val="0"/>
              <w:adjustRightInd w:val="0"/>
              <w:spacing w:before="0" w:after="0"/>
              <w:jc w:val="left"/>
              <w:rPr>
                <w:rFonts w:ascii="Times New Roman" w:hAnsi="Times New Roman"/>
                <w:b/>
                <w:sz w:val="24"/>
                <w:u w:val="single"/>
              </w:rPr>
            </w:pPr>
          </w:p>
        </w:tc>
      </w:tr>
      <w:tr w:rsidR="007421F4" w:rsidRPr="00E07C9A" w14:paraId="2E996450" w14:textId="77777777" w:rsidTr="00E10B85">
        <w:tc>
          <w:tcPr>
            <w:tcW w:w="1101" w:type="dxa"/>
          </w:tcPr>
          <w:p w14:paraId="501DD17C" w14:textId="77777777" w:rsidR="007421F4" w:rsidRPr="00E07C9A" w:rsidRDefault="007421F4" w:rsidP="007421F4">
            <w:pPr>
              <w:autoSpaceDE w:val="0"/>
              <w:autoSpaceDN w:val="0"/>
              <w:adjustRightInd w:val="0"/>
              <w:spacing w:before="0" w:after="0"/>
              <w:rPr>
                <w:rFonts w:ascii="Times New Roman" w:hAnsi="Times New Roman"/>
                <w:sz w:val="24"/>
              </w:rPr>
            </w:pPr>
            <w:r w:rsidRPr="00E07C9A">
              <w:rPr>
                <w:rFonts w:ascii="Times New Roman" w:hAnsi="Times New Roman"/>
                <w:sz w:val="24"/>
              </w:rPr>
              <w:t>0250</w:t>
            </w:r>
          </w:p>
        </w:tc>
        <w:tc>
          <w:tcPr>
            <w:tcW w:w="7903" w:type="dxa"/>
          </w:tcPr>
          <w:p w14:paraId="22FA6D6C" w14:textId="77777777" w:rsidR="007421F4" w:rsidRPr="00E07C9A" w:rsidRDefault="007421F4" w:rsidP="007421F4">
            <w:pPr>
              <w:autoSpaceDE w:val="0"/>
              <w:autoSpaceDN w:val="0"/>
              <w:adjustRightInd w:val="0"/>
              <w:spacing w:before="0" w:after="0"/>
              <w:jc w:val="left"/>
              <w:rPr>
                <w:rFonts w:ascii="Times New Roman" w:hAnsi="Times New Roman"/>
                <w:b/>
                <w:sz w:val="24"/>
                <w:u w:val="single"/>
              </w:rPr>
            </w:pPr>
            <w:r w:rsidRPr="00E07C9A">
              <w:rPr>
                <w:rFonts w:ascii="Times New Roman" w:hAnsi="Times New Roman"/>
                <w:b/>
                <w:sz w:val="24"/>
                <w:u w:val="single"/>
              </w:rPr>
              <w:t>HODNOTA</w:t>
            </w:r>
          </w:p>
          <w:p w14:paraId="7C4486DF" w14:textId="77777777" w:rsidR="007421F4" w:rsidRPr="00E07C9A" w:rsidRDefault="007421F4" w:rsidP="007421F4">
            <w:pPr>
              <w:autoSpaceDE w:val="0"/>
              <w:autoSpaceDN w:val="0"/>
              <w:adjustRightInd w:val="0"/>
              <w:spacing w:before="0" w:after="0"/>
              <w:jc w:val="left"/>
              <w:rPr>
                <w:rFonts w:ascii="Times New Roman" w:hAnsi="Times New Roman"/>
                <w:b/>
                <w:sz w:val="24"/>
                <w:u w:val="single"/>
              </w:rPr>
            </w:pPr>
          </w:p>
          <w:p w14:paraId="6BF71384" w14:textId="2E5D01A9" w:rsidR="007421F4" w:rsidRPr="00E07C9A" w:rsidRDefault="007421F4" w:rsidP="007421F4">
            <w:pPr>
              <w:autoSpaceDE w:val="0"/>
              <w:autoSpaceDN w:val="0"/>
              <w:adjustRightInd w:val="0"/>
              <w:spacing w:before="0" w:after="0"/>
              <w:jc w:val="left"/>
              <w:rPr>
                <w:rFonts w:ascii="Times New Roman" w:hAnsi="Times New Roman"/>
                <w:b/>
                <w:sz w:val="24"/>
                <w:u w:val="single"/>
              </w:rPr>
            </w:pPr>
            <w:r w:rsidRPr="00E07C9A">
              <w:rPr>
                <w:rFonts w:ascii="Times New Roman" w:hAnsi="Times New Roman"/>
                <w:sz w:val="24"/>
              </w:rPr>
              <w:t>Hodnota tranže prvej straty podľa vymedzenia</w:t>
            </w:r>
            <w:r w:rsidR="009912F8" w:rsidRPr="00E07C9A">
              <w:rPr>
                <w:rFonts w:ascii="Times New Roman" w:hAnsi="Times New Roman"/>
                <w:sz w:val="24"/>
              </w:rPr>
              <w:t xml:space="preserve"> v </w:t>
            </w:r>
            <w:r w:rsidRPr="00E07C9A">
              <w:rPr>
                <w:rFonts w:ascii="Times New Roman" w:hAnsi="Times New Roman"/>
                <w:sz w:val="24"/>
              </w:rPr>
              <w:t xml:space="preserve">článku 242 ods. 17 nariadenia (EÚ) </w:t>
            </w:r>
            <w:r w:rsidR="009912F8" w:rsidRPr="00E07C9A">
              <w:rPr>
                <w:rFonts w:ascii="Times New Roman" w:hAnsi="Times New Roman"/>
                <w:sz w:val="24"/>
              </w:rPr>
              <w:t>č. 575/2013</w:t>
            </w:r>
            <w:r w:rsidRPr="00E07C9A">
              <w:rPr>
                <w:rFonts w:ascii="Times New Roman" w:hAnsi="Times New Roman"/>
                <w:sz w:val="24"/>
              </w:rPr>
              <w:t>.</w:t>
            </w:r>
          </w:p>
          <w:p w14:paraId="00B4AE8F" w14:textId="77777777" w:rsidR="007421F4" w:rsidRPr="00E07C9A" w:rsidRDefault="007421F4" w:rsidP="007421F4">
            <w:pPr>
              <w:autoSpaceDE w:val="0"/>
              <w:autoSpaceDN w:val="0"/>
              <w:adjustRightInd w:val="0"/>
              <w:spacing w:before="0" w:after="0"/>
              <w:jc w:val="left"/>
              <w:rPr>
                <w:rFonts w:ascii="Times New Roman" w:hAnsi="Times New Roman"/>
                <w:sz w:val="24"/>
              </w:rPr>
            </w:pPr>
          </w:p>
        </w:tc>
      </w:tr>
      <w:tr w:rsidR="007421F4" w:rsidRPr="00E07C9A" w14:paraId="04816793" w14:textId="77777777" w:rsidTr="00E10B85">
        <w:tc>
          <w:tcPr>
            <w:tcW w:w="1101" w:type="dxa"/>
          </w:tcPr>
          <w:p w14:paraId="4DAA2C07" w14:textId="77777777" w:rsidR="007421F4" w:rsidRPr="00E07C9A" w:rsidRDefault="007421F4" w:rsidP="007421F4">
            <w:pPr>
              <w:autoSpaceDE w:val="0"/>
              <w:autoSpaceDN w:val="0"/>
              <w:adjustRightInd w:val="0"/>
              <w:spacing w:before="0" w:after="0"/>
              <w:rPr>
                <w:rFonts w:ascii="Times New Roman" w:hAnsi="Times New Roman"/>
                <w:sz w:val="24"/>
              </w:rPr>
            </w:pPr>
            <w:r w:rsidRPr="00E07C9A">
              <w:rPr>
                <w:rFonts w:ascii="Times New Roman" w:hAnsi="Times New Roman"/>
                <w:sz w:val="24"/>
              </w:rPr>
              <w:t>0251</w:t>
            </w:r>
          </w:p>
        </w:tc>
        <w:tc>
          <w:tcPr>
            <w:tcW w:w="7903" w:type="dxa"/>
          </w:tcPr>
          <w:p w14:paraId="1467DB28" w14:textId="77777777" w:rsidR="007421F4" w:rsidRPr="00E07C9A" w:rsidRDefault="007421F4" w:rsidP="007421F4">
            <w:pPr>
              <w:autoSpaceDE w:val="0"/>
              <w:autoSpaceDN w:val="0"/>
              <w:adjustRightInd w:val="0"/>
              <w:spacing w:before="0" w:after="0"/>
              <w:jc w:val="left"/>
              <w:rPr>
                <w:rFonts w:ascii="Times New Roman" w:hAnsi="Times New Roman"/>
                <w:b/>
                <w:sz w:val="24"/>
                <w:u w:val="single"/>
              </w:rPr>
            </w:pPr>
            <w:r w:rsidRPr="00E07C9A">
              <w:rPr>
                <w:rFonts w:ascii="Times New Roman" w:hAnsi="Times New Roman"/>
                <w:b/>
                <w:sz w:val="24"/>
                <w:u w:val="single"/>
              </w:rPr>
              <w:t>BOD VYRADENIA (%)</w:t>
            </w:r>
          </w:p>
          <w:p w14:paraId="6F4F37CA" w14:textId="77777777" w:rsidR="007421F4" w:rsidRPr="00E07C9A" w:rsidRDefault="007421F4" w:rsidP="007421F4">
            <w:pPr>
              <w:autoSpaceDE w:val="0"/>
              <w:autoSpaceDN w:val="0"/>
              <w:adjustRightInd w:val="0"/>
              <w:spacing w:before="0" w:after="0"/>
              <w:jc w:val="left"/>
              <w:rPr>
                <w:rFonts w:ascii="Times New Roman" w:hAnsi="Times New Roman"/>
                <w:b/>
                <w:sz w:val="24"/>
                <w:u w:val="single"/>
              </w:rPr>
            </w:pPr>
          </w:p>
          <w:p w14:paraId="4D1C2B4E" w14:textId="706B083A" w:rsidR="007421F4" w:rsidRPr="00E07C9A" w:rsidRDefault="007421F4" w:rsidP="007421F4">
            <w:pPr>
              <w:autoSpaceDE w:val="0"/>
              <w:autoSpaceDN w:val="0"/>
              <w:adjustRightInd w:val="0"/>
              <w:spacing w:before="0" w:after="0"/>
              <w:jc w:val="left"/>
              <w:rPr>
                <w:rFonts w:ascii="Times New Roman" w:hAnsi="Times New Roman"/>
                <w:sz w:val="24"/>
              </w:rPr>
            </w:pPr>
            <w:r w:rsidRPr="00E07C9A">
              <w:rPr>
                <w:rFonts w:ascii="Times New Roman" w:hAnsi="Times New Roman"/>
                <w:sz w:val="24"/>
              </w:rPr>
              <w:t xml:space="preserve">Bod vyradenia (%) podľa článku 256 ods. 2 nariadenia (EÚ) </w:t>
            </w:r>
            <w:r w:rsidR="009912F8" w:rsidRPr="00E07C9A">
              <w:rPr>
                <w:rFonts w:ascii="Times New Roman" w:hAnsi="Times New Roman"/>
                <w:sz w:val="24"/>
              </w:rPr>
              <w:t>č. 575/2013</w:t>
            </w:r>
            <w:r w:rsidRPr="00E07C9A">
              <w:rPr>
                <w:rFonts w:ascii="Times New Roman" w:hAnsi="Times New Roman"/>
                <w:sz w:val="24"/>
              </w:rPr>
              <w:t>.</w:t>
            </w:r>
          </w:p>
          <w:p w14:paraId="4CB630F8" w14:textId="77777777" w:rsidR="007421F4" w:rsidRPr="00E07C9A" w:rsidRDefault="007421F4" w:rsidP="007421F4">
            <w:pPr>
              <w:autoSpaceDE w:val="0"/>
              <w:autoSpaceDN w:val="0"/>
              <w:adjustRightInd w:val="0"/>
              <w:spacing w:before="0" w:after="0"/>
              <w:jc w:val="left"/>
              <w:rPr>
                <w:rFonts w:ascii="Times New Roman" w:hAnsi="Times New Roman"/>
                <w:b/>
                <w:sz w:val="24"/>
                <w:u w:val="single"/>
              </w:rPr>
            </w:pPr>
          </w:p>
        </w:tc>
      </w:tr>
      <w:tr w:rsidR="00123D62" w:rsidRPr="00E07C9A" w14:paraId="379A0D84" w14:textId="77777777" w:rsidTr="00E10B85">
        <w:tc>
          <w:tcPr>
            <w:tcW w:w="1101" w:type="dxa"/>
          </w:tcPr>
          <w:p w14:paraId="4A26EEEE" w14:textId="71587D32" w:rsidR="00123D62" w:rsidRPr="00E07C9A" w:rsidRDefault="00123D62" w:rsidP="007421F4">
            <w:pPr>
              <w:autoSpaceDE w:val="0"/>
              <w:autoSpaceDN w:val="0"/>
              <w:adjustRightInd w:val="0"/>
              <w:spacing w:before="0" w:after="0"/>
              <w:rPr>
                <w:rFonts w:ascii="Times New Roman" w:hAnsi="Times New Roman"/>
                <w:sz w:val="24"/>
              </w:rPr>
            </w:pPr>
            <w:r w:rsidRPr="00E07C9A">
              <w:rPr>
                <w:rFonts w:ascii="Times New Roman" w:hAnsi="Times New Roman"/>
                <w:sz w:val="24"/>
              </w:rPr>
              <w:t>0252</w:t>
            </w:r>
          </w:p>
        </w:tc>
        <w:tc>
          <w:tcPr>
            <w:tcW w:w="7903" w:type="dxa"/>
          </w:tcPr>
          <w:p w14:paraId="6E536EDE" w14:textId="77777777" w:rsidR="00123D62" w:rsidRPr="00E07C9A" w:rsidRDefault="00123D62" w:rsidP="007421F4">
            <w:pPr>
              <w:autoSpaceDE w:val="0"/>
              <w:autoSpaceDN w:val="0"/>
              <w:adjustRightInd w:val="0"/>
              <w:spacing w:before="0" w:after="0"/>
              <w:jc w:val="left"/>
              <w:rPr>
                <w:rFonts w:ascii="Times New Roman" w:hAnsi="Times New Roman"/>
                <w:b/>
                <w:sz w:val="24"/>
                <w:u w:val="single"/>
              </w:rPr>
            </w:pPr>
            <w:r w:rsidRPr="00E07C9A">
              <w:rPr>
                <w:rFonts w:ascii="Times New Roman" w:hAnsi="Times New Roman"/>
                <w:b/>
                <w:sz w:val="24"/>
                <w:u w:val="single"/>
              </w:rPr>
              <w:t>STUPNE KREDITNEJ KVALITY</w:t>
            </w:r>
          </w:p>
          <w:p w14:paraId="52A8FA60" w14:textId="7FB8C466" w:rsidR="00123D62" w:rsidRPr="00E07C9A" w:rsidRDefault="00123D62" w:rsidP="007421F4">
            <w:pPr>
              <w:autoSpaceDE w:val="0"/>
              <w:autoSpaceDN w:val="0"/>
              <w:adjustRightInd w:val="0"/>
              <w:spacing w:before="0" w:after="0"/>
              <w:jc w:val="left"/>
              <w:rPr>
                <w:rFonts w:ascii="Times New Roman" w:hAnsi="Times New Roman"/>
                <w:b/>
                <w:sz w:val="24"/>
                <w:u w:val="single"/>
              </w:rPr>
            </w:pPr>
          </w:p>
        </w:tc>
      </w:tr>
      <w:tr w:rsidR="007421F4" w:rsidRPr="00E07C9A" w14:paraId="6B888F43" w14:textId="77777777" w:rsidTr="00E10B85">
        <w:tc>
          <w:tcPr>
            <w:tcW w:w="1101" w:type="dxa"/>
          </w:tcPr>
          <w:p w14:paraId="1BF165CC" w14:textId="033A59FA" w:rsidR="007421F4" w:rsidRPr="00E07C9A" w:rsidRDefault="007421F4" w:rsidP="007421F4">
            <w:pPr>
              <w:autoSpaceDE w:val="0"/>
              <w:autoSpaceDN w:val="0"/>
              <w:adjustRightInd w:val="0"/>
              <w:spacing w:before="0" w:after="0"/>
              <w:rPr>
                <w:rFonts w:ascii="Times New Roman" w:hAnsi="Times New Roman"/>
                <w:sz w:val="24"/>
              </w:rPr>
            </w:pPr>
            <w:r w:rsidRPr="00E07C9A">
              <w:rPr>
                <w:rFonts w:ascii="Times New Roman" w:hAnsi="Times New Roman"/>
                <w:sz w:val="24"/>
              </w:rPr>
              <w:t>0254 – 0255</w:t>
            </w:r>
          </w:p>
        </w:tc>
        <w:tc>
          <w:tcPr>
            <w:tcW w:w="7903" w:type="dxa"/>
          </w:tcPr>
          <w:p w14:paraId="5A2CAF53" w14:textId="6CA2F700" w:rsidR="007421F4" w:rsidRPr="00E07C9A" w:rsidRDefault="007421F4" w:rsidP="007421F4">
            <w:pPr>
              <w:autoSpaceDE w:val="0"/>
              <w:autoSpaceDN w:val="0"/>
              <w:adjustRightInd w:val="0"/>
              <w:spacing w:before="0" w:after="0"/>
              <w:jc w:val="left"/>
              <w:rPr>
                <w:rFonts w:ascii="Times New Roman" w:hAnsi="Times New Roman"/>
                <w:b/>
                <w:sz w:val="24"/>
                <w:u w:val="single"/>
              </w:rPr>
            </w:pPr>
            <w:r w:rsidRPr="00E07C9A">
              <w:rPr>
                <w:rFonts w:ascii="Times New Roman" w:hAnsi="Times New Roman"/>
                <w:b/>
                <w:sz w:val="24"/>
                <w:u w:val="single"/>
              </w:rPr>
              <w:t>NADMERNÉ ZABEZPEČENIE KOLATERÁLOM A FINANCOVANÉ ÚČTY POVINNÝCH MINIMÁLNYCH REZERV</w:t>
            </w:r>
          </w:p>
          <w:p w14:paraId="1D36D27D" w14:textId="77777777" w:rsidR="001B6114" w:rsidRPr="00E07C9A" w:rsidRDefault="001B6114" w:rsidP="007421F4">
            <w:pPr>
              <w:autoSpaceDE w:val="0"/>
              <w:autoSpaceDN w:val="0"/>
              <w:adjustRightInd w:val="0"/>
              <w:spacing w:before="0" w:after="0"/>
              <w:jc w:val="left"/>
              <w:rPr>
                <w:rFonts w:ascii="Times New Roman" w:hAnsi="Times New Roman"/>
                <w:b/>
                <w:sz w:val="24"/>
                <w:u w:val="single"/>
              </w:rPr>
            </w:pPr>
          </w:p>
          <w:p w14:paraId="383CCE61" w14:textId="6A94AB28" w:rsidR="007038D5" w:rsidRPr="00E07C9A" w:rsidRDefault="001B6114" w:rsidP="007421F4">
            <w:pPr>
              <w:autoSpaceDE w:val="0"/>
              <w:autoSpaceDN w:val="0"/>
              <w:adjustRightInd w:val="0"/>
              <w:spacing w:before="0" w:after="0"/>
              <w:jc w:val="left"/>
              <w:rPr>
                <w:rFonts w:ascii="Times New Roman" w:hAnsi="Times New Roman"/>
                <w:sz w:val="24"/>
              </w:rPr>
            </w:pPr>
            <w:r w:rsidRPr="00E07C9A">
              <w:rPr>
                <w:rFonts w:ascii="Times New Roman" w:hAnsi="Times New Roman"/>
                <w:sz w:val="24"/>
              </w:rPr>
              <w:t>Článok 256 ods. 3</w:t>
            </w:r>
            <w:r w:rsidR="009912F8" w:rsidRPr="00E07C9A">
              <w:rPr>
                <w:rFonts w:ascii="Times New Roman" w:hAnsi="Times New Roman"/>
                <w:sz w:val="24"/>
              </w:rPr>
              <w:t xml:space="preserve"> a </w:t>
            </w:r>
            <w:r w:rsidRPr="00E07C9A">
              <w:rPr>
                <w:rFonts w:ascii="Times New Roman" w:hAnsi="Times New Roman"/>
                <w:sz w:val="24"/>
              </w:rPr>
              <w:t xml:space="preserve">4 nariadenia (EÚ) </w:t>
            </w:r>
            <w:r w:rsidR="009912F8" w:rsidRPr="00E07C9A">
              <w:rPr>
                <w:rFonts w:ascii="Times New Roman" w:hAnsi="Times New Roman"/>
                <w:sz w:val="24"/>
              </w:rPr>
              <w:t>č. 575/2013</w:t>
            </w:r>
          </w:p>
          <w:p w14:paraId="5054C171" w14:textId="5E8DF3E6" w:rsidR="00723A50" w:rsidRPr="00E07C9A" w:rsidRDefault="00723A50" w:rsidP="007421F4">
            <w:pPr>
              <w:autoSpaceDE w:val="0"/>
              <w:autoSpaceDN w:val="0"/>
              <w:adjustRightInd w:val="0"/>
              <w:spacing w:before="0" w:after="0"/>
              <w:jc w:val="left"/>
              <w:rPr>
                <w:rFonts w:ascii="Times New Roman" w:hAnsi="Times New Roman"/>
                <w:sz w:val="24"/>
              </w:rPr>
            </w:pPr>
          </w:p>
          <w:p w14:paraId="0C635253" w14:textId="489168E9" w:rsidR="009912F8" w:rsidRPr="00E07C9A" w:rsidRDefault="00723A50" w:rsidP="007421F4">
            <w:pPr>
              <w:autoSpaceDE w:val="0"/>
              <w:autoSpaceDN w:val="0"/>
              <w:adjustRightInd w:val="0"/>
              <w:spacing w:before="0" w:after="0"/>
              <w:jc w:val="left"/>
              <w:rPr>
                <w:rFonts w:ascii="Times New Roman" w:hAnsi="Times New Roman"/>
                <w:sz w:val="24"/>
              </w:rPr>
            </w:pPr>
            <w:r w:rsidRPr="00E07C9A">
              <w:rPr>
                <w:rFonts w:ascii="Times New Roman" w:hAnsi="Times New Roman"/>
                <w:sz w:val="24"/>
              </w:rPr>
              <w:t>Hodnoty zabezpečenia kolaterálom</w:t>
            </w:r>
            <w:r w:rsidR="009912F8" w:rsidRPr="00E07C9A">
              <w:rPr>
                <w:rFonts w:ascii="Times New Roman" w:hAnsi="Times New Roman"/>
                <w:sz w:val="24"/>
              </w:rPr>
              <w:t xml:space="preserve"> a </w:t>
            </w:r>
            <w:r w:rsidRPr="00E07C9A">
              <w:rPr>
                <w:rFonts w:ascii="Times New Roman" w:hAnsi="Times New Roman"/>
                <w:sz w:val="24"/>
              </w:rPr>
              <w:t>financovaných účtov povinných minimálnych rezerv, ktoré nespĺňajú vymedzenie „tranža“</w:t>
            </w:r>
            <w:r w:rsidR="009912F8" w:rsidRPr="00E07C9A">
              <w:rPr>
                <w:rFonts w:ascii="Times New Roman" w:hAnsi="Times New Roman"/>
                <w:sz w:val="24"/>
              </w:rPr>
              <w:t xml:space="preserve"> v </w:t>
            </w:r>
            <w:r w:rsidRPr="00E07C9A">
              <w:rPr>
                <w:rFonts w:ascii="Times New Roman" w:hAnsi="Times New Roman"/>
                <w:sz w:val="24"/>
              </w:rPr>
              <w:t>článku 2 ods. 6 nariadenia (EÚ) 2017/2402, ale sa považujú za tranže na účely vypočítania bodov priradenia</w:t>
            </w:r>
            <w:r w:rsidR="009912F8" w:rsidRPr="00E07C9A">
              <w:rPr>
                <w:rFonts w:ascii="Times New Roman" w:hAnsi="Times New Roman"/>
                <w:sz w:val="24"/>
              </w:rPr>
              <w:t xml:space="preserve"> a </w:t>
            </w:r>
            <w:r w:rsidRPr="00E07C9A">
              <w:rPr>
                <w:rFonts w:ascii="Times New Roman" w:hAnsi="Times New Roman"/>
                <w:sz w:val="24"/>
              </w:rPr>
              <w:t>vyradenia</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256 ods. 3 nariadenia (EÚ) </w:t>
            </w:r>
            <w:r w:rsidR="009912F8" w:rsidRPr="00E07C9A">
              <w:rPr>
                <w:rFonts w:ascii="Times New Roman" w:hAnsi="Times New Roman"/>
                <w:sz w:val="24"/>
              </w:rPr>
              <w:t>č. 575/2013.</w:t>
            </w:r>
          </w:p>
          <w:p w14:paraId="16DB062C" w14:textId="01E013C6" w:rsidR="007B54D6" w:rsidRPr="00E07C9A" w:rsidRDefault="007B54D6" w:rsidP="007421F4">
            <w:pPr>
              <w:autoSpaceDE w:val="0"/>
              <w:autoSpaceDN w:val="0"/>
              <w:adjustRightInd w:val="0"/>
              <w:spacing w:before="0" w:after="0"/>
              <w:jc w:val="left"/>
              <w:rPr>
                <w:rFonts w:ascii="Times New Roman" w:hAnsi="Times New Roman"/>
                <w:b/>
                <w:sz w:val="24"/>
                <w:u w:val="single"/>
              </w:rPr>
            </w:pPr>
          </w:p>
        </w:tc>
      </w:tr>
      <w:tr w:rsidR="007421F4" w:rsidRPr="00E07C9A" w14:paraId="20E7CCA6" w14:textId="77777777" w:rsidTr="00E10B85">
        <w:tc>
          <w:tcPr>
            <w:tcW w:w="1101" w:type="dxa"/>
          </w:tcPr>
          <w:p w14:paraId="3DF146D6" w14:textId="2B21635D" w:rsidR="007421F4" w:rsidRPr="00E07C9A" w:rsidRDefault="007421F4" w:rsidP="007421F4">
            <w:pPr>
              <w:autoSpaceDE w:val="0"/>
              <w:autoSpaceDN w:val="0"/>
              <w:adjustRightInd w:val="0"/>
              <w:spacing w:before="0" w:after="0"/>
              <w:rPr>
                <w:rFonts w:ascii="Times New Roman" w:hAnsi="Times New Roman"/>
                <w:sz w:val="24"/>
              </w:rPr>
            </w:pPr>
            <w:r w:rsidRPr="00E07C9A">
              <w:rPr>
                <w:rFonts w:ascii="Times New Roman" w:hAnsi="Times New Roman"/>
                <w:sz w:val="24"/>
              </w:rPr>
              <w:t>0254</w:t>
            </w:r>
          </w:p>
        </w:tc>
        <w:tc>
          <w:tcPr>
            <w:tcW w:w="7903" w:type="dxa"/>
          </w:tcPr>
          <w:p w14:paraId="194FE505" w14:textId="77777777" w:rsidR="007421F4" w:rsidRPr="00E07C9A" w:rsidRDefault="007421F4" w:rsidP="007421F4">
            <w:pPr>
              <w:autoSpaceDE w:val="0"/>
              <w:autoSpaceDN w:val="0"/>
              <w:adjustRightInd w:val="0"/>
              <w:spacing w:before="0" w:after="0"/>
              <w:jc w:val="left"/>
              <w:rPr>
                <w:rFonts w:ascii="Times New Roman" w:hAnsi="Times New Roman"/>
                <w:b/>
                <w:sz w:val="24"/>
                <w:u w:val="single"/>
              </w:rPr>
            </w:pPr>
            <w:r w:rsidRPr="00E07C9A">
              <w:rPr>
                <w:rFonts w:ascii="Times New Roman" w:hAnsi="Times New Roman"/>
                <w:b/>
                <w:sz w:val="24"/>
                <w:u w:val="single"/>
              </w:rPr>
              <w:t>HODNOTA</w:t>
            </w:r>
          </w:p>
          <w:p w14:paraId="6C374F3D" w14:textId="40A1C6AE" w:rsidR="007421F4" w:rsidRPr="00E07C9A" w:rsidRDefault="007421F4" w:rsidP="007421F4">
            <w:pPr>
              <w:autoSpaceDE w:val="0"/>
              <w:autoSpaceDN w:val="0"/>
              <w:adjustRightInd w:val="0"/>
              <w:spacing w:before="0" w:after="0"/>
              <w:jc w:val="left"/>
              <w:rPr>
                <w:rFonts w:ascii="Times New Roman" w:hAnsi="Times New Roman"/>
                <w:b/>
                <w:sz w:val="24"/>
                <w:u w:val="single"/>
              </w:rPr>
            </w:pPr>
          </w:p>
        </w:tc>
      </w:tr>
      <w:tr w:rsidR="007421F4" w:rsidRPr="00E07C9A" w14:paraId="01D3B5A5" w14:textId="77777777" w:rsidTr="00E10B85">
        <w:tc>
          <w:tcPr>
            <w:tcW w:w="1101" w:type="dxa"/>
          </w:tcPr>
          <w:p w14:paraId="1EA4BCFF" w14:textId="3AEDBDDA" w:rsidR="007421F4" w:rsidRPr="00E07C9A" w:rsidRDefault="007421F4" w:rsidP="007421F4">
            <w:pPr>
              <w:autoSpaceDE w:val="0"/>
              <w:autoSpaceDN w:val="0"/>
              <w:adjustRightInd w:val="0"/>
              <w:spacing w:before="0" w:after="0"/>
              <w:rPr>
                <w:rFonts w:ascii="Times New Roman" w:hAnsi="Times New Roman"/>
                <w:sz w:val="24"/>
              </w:rPr>
            </w:pPr>
            <w:r w:rsidRPr="00E07C9A">
              <w:rPr>
                <w:rFonts w:ascii="Times New Roman" w:hAnsi="Times New Roman"/>
                <w:sz w:val="24"/>
              </w:rPr>
              <w:t>0255</w:t>
            </w:r>
          </w:p>
        </w:tc>
        <w:tc>
          <w:tcPr>
            <w:tcW w:w="7903" w:type="dxa"/>
          </w:tcPr>
          <w:p w14:paraId="380EF81A" w14:textId="2D3BEACF" w:rsidR="007421F4" w:rsidRPr="00E07C9A" w:rsidRDefault="007421F4" w:rsidP="007421F4">
            <w:pPr>
              <w:autoSpaceDE w:val="0"/>
              <w:autoSpaceDN w:val="0"/>
              <w:adjustRightInd w:val="0"/>
              <w:spacing w:before="0" w:after="0"/>
              <w:jc w:val="left"/>
              <w:rPr>
                <w:rFonts w:ascii="Times New Roman" w:hAnsi="Times New Roman"/>
                <w:b/>
                <w:sz w:val="24"/>
                <w:u w:val="single"/>
              </w:rPr>
            </w:pPr>
            <w:r w:rsidRPr="00E07C9A">
              <w:rPr>
                <w:rFonts w:ascii="Times New Roman" w:hAnsi="Times New Roman"/>
                <w:b/>
                <w:sz w:val="24"/>
                <w:u w:val="single"/>
              </w:rPr>
              <w:t>Z ČOHO: NEREFUNDOVATEĽNÁ ZĽAVA</w:t>
            </w:r>
            <w:r w:rsidR="009912F8" w:rsidRPr="00E07C9A">
              <w:rPr>
                <w:rFonts w:ascii="Times New Roman" w:hAnsi="Times New Roman"/>
                <w:b/>
                <w:sz w:val="24"/>
                <w:u w:val="single"/>
              </w:rPr>
              <w:t xml:space="preserve"> Z </w:t>
            </w:r>
            <w:r w:rsidRPr="00E07C9A">
              <w:rPr>
                <w:rFonts w:ascii="Times New Roman" w:hAnsi="Times New Roman"/>
                <w:b/>
                <w:sz w:val="24"/>
                <w:u w:val="single"/>
              </w:rPr>
              <w:t>OBSTARÁVACEJ CENY</w:t>
            </w:r>
          </w:p>
          <w:p w14:paraId="249DEA8B" w14:textId="77777777" w:rsidR="007421F4" w:rsidRPr="00E07C9A" w:rsidRDefault="007421F4" w:rsidP="007421F4">
            <w:pPr>
              <w:autoSpaceDE w:val="0"/>
              <w:autoSpaceDN w:val="0"/>
              <w:adjustRightInd w:val="0"/>
              <w:spacing w:before="0" w:after="0"/>
              <w:jc w:val="left"/>
              <w:rPr>
                <w:rFonts w:ascii="Times New Roman" w:hAnsi="Times New Roman"/>
                <w:b/>
                <w:sz w:val="18"/>
                <w:szCs w:val="18"/>
                <w:u w:val="single"/>
              </w:rPr>
            </w:pPr>
          </w:p>
          <w:p w14:paraId="60742537" w14:textId="77777777" w:rsidR="009912F8" w:rsidRPr="00E07C9A" w:rsidRDefault="001B6114" w:rsidP="007421F4">
            <w:pPr>
              <w:autoSpaceDE w:val="0"/>
              <w:autoSpaceDN w:val="0"/>
              <w:adjustRightInd w:val="0"/>
              <w:spacing w:before="0" w:after="0"/>
              <w:jc w:val="left"/>
              <w:rPr>
                <w:rFonts w:ascii="Times New Roman" w:hAnsi="Times New Roman"/>
                <w:sz w:val="24"/>
              </w:rPr>
            </w:pPr>
            <w:r w:rsidRPr="00E07C9A">
              <w:rPr>
                <w:rFonts w:ascii="Times New Roman" w:hAnsi="Times New Roman"/>
                <w:sz w:val="24"/>
              </w:rPr>
              <w:t>Článok 2 bod 31 nariadenia (EÚ) 2017/2402</w:t>
            </w:r>
          </w:p>
          <w:p w14:paraId="02DEC9E7" w14:textId="3D14C270" w:rsidR="007038D5" w:rsidRPr="00E07C9A" w:rsidRDefault="007038D5" w:rsidP="007421F4">
            <w:pPr>
              <w:autoSpaceDE w:val="0"/>
              <w:autoSpaceDN w:val="0"/>
              <w:adjustRightInd w:val="0"/>
              <w:spacing w:before="0" w:after="0"/>
              <w:jc w:val="left"/>
              <w:rPr>
                <w:rFonts w:ascii="Times New Roman" w:hAnsi="Times New Roman"/>
                <w:sz w:val="18"/>
                <w:szCs w:val="18"/>
              </w:rPr>
            </w:pPr>
          </w:p>
          <w:p w14:paraId="0BABAE71" w14:textId="7C36FD3A" w:rsidR="0037077A" w:rsidRPr="00E07C9A" w:rsidRDefault="0037077A" w:rsidP="007421F4">
            <w:pPr>
              <w:autoSpaceDE w:val="0"/>
              <w:autoSpaceDN w:val="0"/>
              <w:adjustRightInd w:val="0"/>
              <w:spacing w:before="0" w:after="0"/>
              <w:jc w:val="left"/>
              <w:rPr>
                <w:rFonts w:ascii="Times New Roman" w:hAnsi="Times New Roman"/>
                <w:sz w:val="24"/>
              </w:rPr>
            </w:pPr>
            <w:r w:rsidRPr="00E07C9A">
              <w:rPr>
                <w:rFonts w:ascii="Times New Roman" w:hAnsi="Times New Roman"/>
                <w:sz w:val="24"/>
              </w:rPr>
              <w:t>Inštitúcie vykazujú</w:t>
            </w:r>
            <w:r w:rsidR="009912F8" w:rsidRPr="00E07C9A">
              <w:rPr>
                <w:rFonts w:ascii="Times New Roman" w:hAnsi="Times New Roman"/>
                <w:sz w:val="24"/>
              </w:rPr>
              <w:t xml:space="preserve"> k </w:t>
            </w:r>
            <w:r w:rsidRPr="00E07C9A">
              <w:rPr>
                <w:rFonts w:ascii="Times New Roman" w:hAnsi="Times New Roman"/>
                <w:sz w:val="24"/>
              </w:rPr>
              <w:t>dátumu vykazovania nerefundovateľnú zľavu</w:t>
            </w:r>
            <w:r w:rsidR="009912F8" w:rsidRPr="00E07C9A">
              <w:rPr>
                <w:rFonts w:ascii="Times New Roman" w:hAnsi="Times New Roman"/>
                <w:sz w:val="24"/>
              </w:rPr>
              <w:t xml:space="preserve"> z </w:t>
            </w:r>
            <w:r w:rsidRPr="00E07C9A">
              <w:rPr>
                <w:rFonts w:ascii="Times New Roman" w:hAnsi="Times New Roman"/>
                <w:sz w:val="24"/>
              </w:rPr>
              <w:t>obstarávacej ceny</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269a ods. 7 nariadenia (EÚ) </w:t>
            </w:r>
            <w:r w:rsidR="009912F8" w:rsidRPr="00E07C9A">
              <w:rPr>
                <w:rFonts w:ascii="Times New Roman" w:hAnsi="Times New Roman"/>
                <w:sz w:val="24"/>
              </w:rPr>
              <w:t>č. 575/2013</w:t>
            </w:r>
            <w:r w:rsidRPr="00E07C9A">
              <w:rPr>
                <w:rFonts w:ascii="Times New Roman" w:hAnsi="Times New Roman"/>
                <w:sz w:val="24"/>
              </w:rPr>
              <w:t>, ktorá sa upravuje smerom nadol</w:t>
            </w:r>
            <w:r w:rsidR="009912F8" w:rsidRPr="00E07C9A">
              <w:rPr>
                <w:rFonts w:ascii="Times New Roman" w:hAnsi="Times New Roman"/>
                <w:sz w:val="24"/>
              </w:rPr>
              <w:t xml:space="preserve"> s </w:t>
            </w:r>
            <w:r w:rsidRPr="00E07C9A">
              <w:rPr>
                <w:rFonts w:ascii="Times New Roman" w:hAnsi="Times New Roman"/>
                <w:sz w:val="24"/>
              </w:rPr>
              <w:t>ohľadom na realizované straty, ako sa uvádza</w:t>
            </w:r>
            <w:r w:rsidR="009912F8" w:rsidRPr="00E07C9A">
              <w:rPr>
                <w:rFonts w:ascii="Times New Roman" w:hAnsi="Times New Roman"/>
                <w:sz w:val="24"/>
              </w:rPr>
              <w:t xml:space="preserve"> v </w:t>
            </w:r>
            <w:r w:rsidRPr="00E07C9A">
              <w:rPr>
                <w:rFonts w:ascii="Times New Roman" w:hAnsi="Times New Roman"/>
                <w:sz w:val="24"/>
              </w:rPr>
              <w:t>druhom pododseku. Tento stĺpec sa vykazuje len vtedy, ak sa stĺpec 0040 vykazuje ako „kvalifikovaná sekuritizácia problémových expozícií“ alebo „nekvalifikovaná sekuritizácia problémových expozícií“.</w:t>
            </w:r>
          </w:p>
          <w:p w14:paraId="30F35369" w14:textId="2834C664" w:rsidR="0037077A" w:rsidRPr="00E07C9A" w:rsidRDefault="0037077A" w:rsidP="007421F4">
            <w:pPr>
              <w:autoSpaceDE w:val="0"/>
              <w:autoSpaceDN w:val="0"/>
              <w:adjustRightInd w:val="0"/>
              <w:spacing w:before="0" w:after="0"/>
              <w:jc w:val="left"/>
              <w:rPr>
                <w:rFonts w:ascii="Times New Roman" w:hAnsi="Times New Roman"/>
                <w:b/>
                <w:sz w:val="24"/>
                <w:u w:val="single"/>
              </w:rPr>
            </w:pPr>
          </w:p>
        </w:tc>
      </w:tr>
      <w:tr w:rsidR="007421F4" w:rsidRPr="00E07C9A" w14:paraId="08BDDCA6" w14:textId="77777777" w:rsidTr="00E10B85">
        <w:tc>
          <w:tcPr>
            <w:tcW w:w="1101" w:type="dxa"/>
          </w:tcPr>
          <w:p w14:paraId="736F1ED5" w14:textId="66F79637" w:rsidR="007421F4" w:rsidRPr="00E07C9A" w:rsidRDefault="007421F4" w:rsidP="007421F4">
            <w:pPr>
              <w:autoSpaceDE w:val="0"/>
              <w:autoSpaceDN w:val="0"/>
              <w:adjustRightInd w:val="0"/>
              <w:spacing w:before="0" w:after="0"/>
              <w:rPr>
                <w:rFonts w:ascii="Times New Roman" w:hAnsi="Times New Roman"/>
                <w:sz w:val="24"/>
              </w:rPr>
            </w:pPr>
            <w:r w:rsidRPr="00E07C9A">
              <w:rPr>
                <w:rFonts w:ascii="Times New Roman" w:hAnsi="Times New Roman"/>
                <w:sz w:val="24"/>
              </w:rPr>
              <w:t>0260 – 0287</w:t>
            </w:r>
          </w:p>
        </w:tc>
        <w:tc>
          <w:tcPr>
            <w:tcW w:w="7903" w:type="dxa"/>
          </w:tcPr>
          <w:p w14:paraId="08FEC692" w14:textId="77777777" w:rsidR="007421F4" w:rsidRPr="00E07C9A" w:rsidRDefault="007421F4" w:rsidP="007421F4">
            <w:pPr>
              <w:autoSpaceDE w:val="0"/>
              <w:autoSpaceDN w:val="0"/>
              <w:adjustRightInd w:val="0"/>
              <w:spacing w:before="0" w:after="0"/>
              <w:jc w:val="left"/>
              <w:rPr>
                <w:rFonts w:ascii="Times New Roman" w:hAnsi="Times New Roman"/>
                <w:b/>
                <w:sz w:val="24"/>
                <w:u w:val="single"/>
              </w:rPr>
            </w:pPr>
            <w:r w:rsidRPr="00E07C9A">
              <w:rPr>
                <w:rFonts w:ascii="Times New Roman" w:hAnsi="Times New Roman"/>
                <w:b/>
                <w:sz w:val="24"/>
                <w:u w:val="single"/>
              </w:rPr>
              <w:t>PODSÚVAHOVÉ POLOŽKY A DERIVÁTY</w:t>
            </w:r>
          </w:p>
          <w:p w14:paraId="311485D0" w14:textId="77777777" w:rsidR="007421F4" w:rsidRPr="00E07C9A" w:rsidRDefault="007421F4" w:rsidP="007421F4">
            <w:pPr>
              <w:autoSpaceDE w:val="0"/>
              <w:autoSpaceDN w:val="0"/>
              <w:adjustRightInd w:val="0"/>
              <w:spacing w:before="0" w:after="0"/>
              <w:jc w:val="left"/>
              <w:rPr>
                <w:rFonts w:ascii="Times New Roman" w:hAnsi="Times New Roman"/>
                <w:b/>
                <w:sz w:val="24"/>
                <w:u w:val="single"/>
              </w:rPr>
            </w:pPr>
          </w:p>
          <w:p w14:paraId="7B5E4DEE" w14:textId="71C1F0B5" w:rsidR="007421F4" w:rsidRPr="00E07C9A" w:rsidRDefault="007421F4" w:rsidP="007421F4">
            <w:pPr>
              <w:autoSpaceDE w:val="0"/>
              <w:autoSpaceDN w:val="0"/>
              <w:adjustRightInd w:val="0"/>
              <w:spacing w:before="0" w:after="0"/>
              <w:jc w:val="left"/>
              <w:rPr>
                <w:rFonts w:ascii="Times New Roman" w:hAnsi="Times New Roman"/>
                <w:sz w:val="24"/>
              </w:rPr>
            </w:pPr>
            <w:r w:rsidRPr="00E07C9A">
              <w:rPr>
                <w:rFonts w:ascii="Times New Roman" w:hAnsi="Times New Roman"/>
                <w:sz w:val="24"/>
              </w:rPr>
              <w:t>V tomto bloku stĺpcov sa vykazujú informácie</w:t>
            </w:r>
            <w:r w:rsidR="009912F8" w:rsidRPr="00E07C9A">
              <w:rPr>
                <w:rFonts w:ascii="Times New Roman" w:hAnsi="Times New Roman"/>
                <w:sz w:val="24"/>
              </w:rPr>
              <w:t xml:space="preserve"> o </w:t>
            </w:r>
            <w:r w:rsidRPr="00E07C9A">
              <w:rPr>
                <w:rFonts w:ascii="Times New Roman" w:hAnsi="Times New Roman"/>
                <w:sz w:val="24"/>
              </w:rPr>
              <w:t>podsúvahových položkách</w:t>
            </w:r>
            <w:r w:rsidR="009912F8" w:rsidRPr="00E07C9A">
              <w:rPr>
                <w:rFonts w:ascii="Times New Roman" w:hAnsi="Times New Roman"/>
                <w:sz w:val="24"/>
              </w:rPr>
              <w:t xml:space="preserve"> a </w:t>
            </w:r>
            <w:r w:rsidRPr="00E07C9A">
              <w:rPr>
                <w:rFonts w:ascii="Times New Roman" w:hAnsi="Times New Roman"/>
                <w:sz w:val="24"/>
              </w:rPr>
              <w:t>derivátoch pred uplatnením konverzných faktorov, rozčlenené podľa tranží (nadriadené/mezanínové/prvej straty).</w:t>
            </w:r>
          </w:p>
          <w:p w14:paraId="2574B12D" w14:textId="77777777" w:rsidR="007421F4" w:rsidRPr="00E07C9A" w:rsidRDefault="007421F4" w:rsidP="001235ED">
            <w:pPr>
              <w:autoSpaceDE w:val="0"/>
              <w:autoSpaceDN w:val="0"/>
              <w:adjustRightInd w:val="0"/>
              <w:spacing w:before="0" w:after="0"/>
              <w:rPr>
                <w:rFonts w:ascii="Times New Roman" w:hAnsi="Times New Roman"/>
                <w:b/>
                <w:sz w:val="24"/>
                <w:u w:val="single"/>
              </w:rPr>
            </w:pPr>
          </w:p>
        </w:tc>
      </w:tr>
      <w:tr w:rsidR="00080DDC" w:rsidRPr="00E07C9A" w14:paraId="3F65043B" w14:textId="77777777" w:rsidTr="00E10B85">
        <w:tc>
          <w:tcPr>
            <w:tcW w:w="1101" w:type="dxa"/>
          </w:tcPr>
          <w:p w14:paraId="629CCF22" w14:textId="006AD6ED" w:rsidR="00080DDC" w:rsidRPr="00E07C9A" w:rsidRDefault="00080DDC" w:rsidP="007421F4">
            <w:pPr>
              <w:autoSpaceDE w:val="0"/>
              <w:autoSpaceDN w:val="0"/>
              <w:adjustRightInd w:val="0"/>
              <w:spacing w:before="0" w:after="0"/>
              <w:rPr>
                <w:rFonts w:ascii="Times New Roman" w:hAnsi="Times New Roman"/>
                <w:sz w:val="24"/>
              </w:rPr>
            </w:pPr>
            <w:r w:rsidRPr="00E07C9A">
              <w:rPr>
                <w:rFonts w:ascii="Times New Roman" w:hAnsi="Times New Roman"/>
                <w:sz w:val="24"/>
              </w:rPr>
              <w:t>0260 – 0285</w:t>
            </w:r>
          </w:p>
        </w:tc>
        <w:tc>
          <w:tcPr>
            <w:tcW w:w="7903" w:type="dxa"/>
          </w:tcPr>
          <w:p w14:paraId="146C62FB" w14:textId="15A17DE8" w:rsidR="00080DDC" w:rsidRPr="00E07C9A" w:rsidRDefault="00080DDC" w:rsidP="001235ED">
            <w:pPr>
              <w:autoSpaceDE w:val="0"/>
              <w:autoSpaceDN w:val="0"/>
              <w:adjustRightInd w:val="0"/>
              <w:spacing w:before="0" w:after="0"/>
              <w:jc w:val="left"/>
              <w:rPr>
                <w:rFonts w:ascii="Times New Roman" w:hAnsi="Times New Roman"/>
                <w:b/>
                <w:sz w:val="24"/>
                <w:u w:val="single"/>
              </w:rPr>
            </w:pPr>
            <w:r w:rsidRPr="00E07C9A">
              <w:rPr>
                <w:rFonts w:ascii="Times New Roman" w:hAnsi="Times New Roman"/>
                <w:b/>
                <w:sz w:val="24"/>
                <w:u w:val="single"/>
              </w:rPr>
              <w:t>NADRIADENÉ/MEZANÍNOVÉ/PRVEJ STRATY</w:t>
            </w:r>
          </w:p>
          <w:p w14:paraId="5882569B" w14:textId="77777777" w:rsidR="00080DDC" w:rsidRPr="00E07C9A" w:rsidRDefault="00080DDC" w:rsidP="00080DDC">
            <w:pPr>
              <w:autoSpaceDE w:val="0"/>
              <w:autoSpaceDN w:val="0"/>
              <w:adjustRightInd w:val="0"/>
              <w:spacing w:before="0" w:after="0"/>
              <w:rPr>
                <w:rFonts w:ascii="Times New Roman" w:hAnsi="Times New Roman"/>
                <w:sz w:val="18"/>
                <w:szCs w:val="18"/>
                <w:lang w:eastAsia="es-ES_tradnl"/>
              </w:rPr>
            </w:pPr>
          </w:p>
          <w:p w14:paraId="7BF11284" w14:textId="7854E7E4" w:rsidR="00080DDC" w:rsidRPr="00E07C9A" w:rsidRDefault="00080DDC" w:rsidP="00080DDC">
            <w:pPr>
              <w:autoSpaceDE w:val="0"/>
              <w:autoSpaceDN w:val="0"/>
              <w:adjustRightInd w:val="0"/>
              <w:spacing w:before="0" w:after="0"/>
              <w:rPr>
                <w:rFonts w:ascii="Times New Roman" w:hAnsi="Times New Roman"/>
                <w:sz w:val="24"/>
              </w:rPr>
            </w:pPr>
            <w:r w:rsidRPr="00E07C9A">
              <w:rPr>
                <w:rFonts w:ascii="Times New Roman" w:hAnsi="Times New Roman"/>
                <w:sz w:val="24"/>
              </w:rPr>
              <w:t>Na klasifikáciu tranží</w:t>
            </w:r>
            <w:r w:rsidR="009912F8" w:rsidRPr="00E07C9A">
              <w:rPr>
                <w:rFonts w:ascii="Times New Roman" w:hAnsi="Times New Roman"/>
                <w:sz w:val="24"/>
              </w:rPr>
              <w:t xml:space="preserve"> a </w:t>
            </w:r>
            <w:r w:rsidRPr="00E07C9A">
              <w:rPr>
                <w:rFonts w:ascii="Times New Roman" w:hAnsi="Times New Roman"/>
                <w:sz w:val="24"/>
              </w:rPr>
              <w:t>identifikáciu bodu priradenia, počtu tranží</w:t>
            </w:r>
            <w:r w:rsidR="009912F8" w:rsidRPr="00E07C9A">
              <w:rPr>
                <w:rFonts w:ascii="Times New Roman" w:hAnsi="Times New Roman"/>
                <w:sz w:val="24"/>
              </w:rPr>
              <w:t xml:space="preserve"> a </w:t>
            </w:r>
            <w:r w:rsidRPr="00E07C9A">
              <w:rPr>
                <w:rFonts w:ascii="Times New Roman" w:hAnsi="Times New Roman"/>
                <w:sz w:val="24"/>
              </w:rPr>
              <w:t>bodu vyradenia sa uplatňujú rovnaké kritériá ako na klasifikáciu súvahových položiek (pozri pokyny</w:t>
            </w:r>
            <w:r w:rsidR="009912F8" w:rsidRPr="00E07C9A">
              <w:rPr>
                <w:rFonts w:ascii="Times New Roman" w:hAnsi="Times New Roman"/>
                <w:sz w:val="24"/>
              </w:rPr>
              <w:t xml:space="preserve"> k </w:t>
            </w:r>
            <w:r w:rsidRPr="00E07C9A">
              <w:rPr>
                <w:rFonts w:ascii="Times New Roman" w:hAnsi="Times New Roman"/>
                <w:sz w:val="24"/>
              </w:rPr>
              <w:t>stĺpcom 0230 až 0252).</w:t>
            </w:r>
          </w:p>
          <w:p w14:paraId="34C33214" w14:textId="77777777" w:rsidR="00080DDC" w:rsidRPr="00E07C9A" w:rsidRDefault="00080DDC" w:rsidP="007421F4">
            <w:pPr>
              <w:autoSpaceDE w:val="0"/>
              <w:autoSpaceDN w:val="0"/>
              <w:adjustRightInd w:val="0"/>
              <w:spacing w:before="0" w:after="0"/>
              <w:jc w:val="left"/>
              <w:rPr>
                <w:rFonts w:ascii="Times New Roman" w:hAnsi="Times New Roman"/>
                <w:b/>
                <w:sz w:val="24"/>
                <w:u w:val="single"/>
              </w:rPr>
            </w:pPr>
          </w:p>
        </w:tc>
      </w:tr>
      <w:tr w:rsidR="007421F4" w:rsidRPr="00E07C9A" w14:paraId="1A043FE5" w14:textId="77777777" w:rsidTr="00E10B85">
        <w:tc>
          <w:tcPr>
            <w:tcW w:w="1101" w:type="dxa"/>
          </w:tcPr>
          <w:p w14:paraId="5C4F8BEE" w14:textId="78BF8AA2" w:rsidR="007421F4" w:rsidRPr="00E07C9A" w:rsidRDefault="007421F4" w:rsidP="007421F4">
            <w:pPr>
              <w:autoSpaceDE w:val="0"/>
              <w:autoSpaceDN w:val="0"/>
              <w:adjustRightInd w:val="0"/>
              <w:spacing w:before="0" w:after="0"/>
              <w:rPr>
                <w:rFonts w:ascii="Times New Roman" w:hAnsi="Times New Roman"/>
                <w:sz w:val="24"/>
              </w:rPr>
            </w:pPr>
            <w:r w:rsidRPr="00E07C9A">
              <w:rPr>
                <w:rFonts w:ascii="Times New Roman" w:hAnsi="Times New Roman"/>
                <w:sz w:val="24"/>
              </w:rPr>
              <w:t>0287</w:t>
            </w:r>
          </w:p>
        </w:tc>
        <w:tc>
          <w:tcPr>
            <w:tcW w:w="7903" w:type="dxa"/>
          </w:tcPr>
          <w:p w14:paraId="597E5A8B" w14:textId="77777777" w:rsidR="007421F4" w:rsidRPr="00E07C9A" w:rsidRDefault="007421F4" w:rsidP="007421F4">
            <w:pPr>
              <w:autoSpaceDE w:val="0"/>
              <w:autoSpaceDN w:val="0"/>
              <w:adjustRightInd w:val="0"/>
              <w:spacing w:before="0" w:after="0"/>
              <w:jc w:val="left"/>
              <w:rPr>
                <w:rFonts w:ascii="Times New Roman" w:hAnsi="Times New Roman"/>
                <w:b/>
                <w:sz w:val="24"/>
                <w:u w:val="single"/>
              </w:rPr>
            </w:pPr>
            <w:r w:rsidRPr="00E07C9A">
              <w:rPr>
                <w:rFonts w:ascii="Times New Roman" w:hAnsi="Times New Roman"/>
                <w:b/>
                <w:sz w:val="24"/>
                <w:u w:val="single"/>
              </w:rPr>
              <w:t>SYNTETICKÁ PREBYTKOVÁ MARŽA</w:t>
            </w:r>
          </w:p>
          <w:p w14:paraId="49A55A2F" w14:textId="77777777" w:rsidR="007421F4" w:rsidRPr="00E07C9A" w:rsidRDefault="007421F4" w:rsidP="007421F4">
            <w:pPr>
              <w:autoSpaceDE w:val="0"/>
              <w:autoSpaceDN w:val="0"/>
              <w:adjustRightInd w:val="0"/>
              <w:spacing w:before="0" w:after="0"/>
              <w:jc w:val="left"/>
              <w:rPr>
                <w:rFonts w:ascii="Times New Roman" w:hAnsi="Times New Roman"/>
                <w:b/>
                <w:sz w:val="18"/>
                <w:szCs w:val="18"/>
                <w:u w:val="single"/>
              </w:rPr>
            </w:pPr>
          </w:p>
          <w:p w14:paraId="2DAF9930" w14:textId="0D42A075" w:rsidR="009912F8" w:rsidRPr="00E07C9A" w:rsidRDefault="0037077A" w:rsidP="0037077A">
            <w:pPr>
              <w:autoSpaceDE w:val="0"/>
              <w:autoSpaceDN w:val="0"/>
              <w:adjustRightInd w:val="0"/>
              <w:spacing w:before="0" w:after="0"/>
              <w:jc w:val="left"/>
              <w:rPr>
                <w:rFonts w:ascii="Times New Roman" w:hAnsi="Times New Roman"/>
                <w:sz w:val="24"/>
              </w:rPr>
            </w:pPr>
            <w:r w:rsidRPr="00E07C9A">
              <w:rPr>
                <w:rFonts w:ascii="Times New Roman" w:hAnsi="Times New Roman"/>
                <w:sz w:val="24"/>
              </w:rPr>
              <w:t>Článok 242 bod 20, článok 248 ods. 1 písm. e)</w:t>
            </w:r>
            <w:r w:rsidR="009912F8" w:rsidRPr="00E07C9A">
              <w:rPr>
                <w:rFonts w:ascii="Times New Roman" w:hAnsi="Times New Roman"/>
                <w:sz w:val="24"/>
              </w:rPr>
              <w:t xml:space="preserve"> a </w:t>
            </w:r>
            <w:r w:rsidRPr="00E07C9A">
              <w:rPr>
                <w:rFonts w:ascii="Times New Roman" w:hAnsi="Times New Roman"/>
                <w:sz w:val="24"/>
              </w:rPr>
              <w:t xml:space="preserve">článok 256 ods. 6 nariadenia (EÚ) </w:t>
            </w:r>
            <w:r w:rsidR="009912F8" w:rsidRPr="00E07C9A">
              <w:rPr>
                <w:rFonts w:ascii="Times New Roman" w:hAnsi="Times New Roman"/>
                <w:sz w:val="24"/>
              </w:rPr>
              <w:t>č. 575/2013</w:t>
            </w:r>
          </w:p>
          <w:p w14:paraId="2177D346" w14:textId="62C4A9B6" w:rsidR="00512CC7" w:rsidRPr="00E07C9A" w:rsidRDefault="00512CC7" w:rsidP="0037077A">
            <w:pPr>
              <w:autoSpaceDE w:val="0"/>
              <w:autoSpaceDN w:val="0"/>
              <w:adjustRightInd w:val="0"/>
              <w:spacing w:before="0" w:after="0"/>
              <w:jc w:val="left"/>
              <w:rPr>
                <w:rFonts w:ascii="Times New Roman" w:hAnsi="Times New Roman"/>
                <w:sz w:val="18"/>
                <w:szCs w:val="18"/>
              </w:rPr>
            </w:pPr>
          </w:p>
          <w:p w14:paraId="6B91B6AB" w14:textId="2A267C35" w:rsidR="0037077A" w:rsidRPr="00E07C9A" w:rsidRDefault="0037077A" w:rsidP="0037077A">
            <w:pPr>
              <w:autoSpaceDE w:val="0"/>
              <w:autoSpaceDN w:val="0"/>
              <w:adjustRightInd w:val="0"/>
              <w:spacing w:before="0" w:after="0"/>
              <w:jc w:val="left"/>
              <w:rPr>
                <w:rFonts w:ascii="Times New Roman" w:hAnsi="Times New Roman"/>
                <w:sz w:val="24"/>
              </w:rPr>
            </w:pPr>
            <w:r w:rsidRPr="00E07C9A">
              <w:rPr>
                <w:rFonts w:ascii="Times New Roman" w:hAnsi="Times New Roman"/>
                <w:sz w:val="24"/>
              </w:rPr>
              <w:t>Tento stĺpec sa vykazuje len vtedy, ak sa stĺpec 0110 vykazuje ako „originátor“.</w:t>
            </w:r>
          </w:p>
          <w:p w14:paraId="72B80E29" w14:textId="398983CA" w:rsidR="0037077A" w:rsidRPr="00E07C9A" w:rsidRDefault="0037077A" w:rsidP="0037077A">
            <w:pPr>
              <w:autoSpaceDE w:val="0"/>
              <w:autoSpaceDN w:val="0"/>
              <w:adjustRightInd w:val="0"/>
              <w:spacing w:before="0" w:after="0"/>
              <w:jc w:val="left"/>
              <w:rPr>
                <w:rFonts w:ascii="Times New Roman" w:hAnsi="Times New Roman"/>
                <w:b/>
                <w:sz w:val="24"/>
                <w:u w:val="single"/>
              </w:rPr>
            </w:pPr>
          </w:p>
        </w:tc>
      </w:tr>
      <w:tr w:rsidR="007421F4" w:rsidRPr="00E07C9A" w14:paraId="0B847E80" w14:textId="77777777" w:rsidTr="00E10B85">
        <w:tc>
          <w:tcPr>
            <w:tcW w:w="1101" w:type="dxa"/>
            <w:shd w:val="clear" w:color="auto" w:fill="auto"/>
          </w:tcPr>
          <w:p w14:paraId="76C682D9" w14:textId="77777777" w:rsidR="007421F4" w:rsidRPr="00E07C9A" w:rsidRDefault="007421F4" w:rsidP="007421F4">
            <w:pPr>
              <w:autoSpaceDE w:val="0"/>
              <w:autoSpaceDN w:val="0"/>
              <w:adjustRightInd w:val="0"/>
              <w:spacing w:before="0" w:after="0"/>
              <w:rPr>
                <w:rFonts w:ascii="Times New Roman" w:hAnsi="Times New Roman"/>
                <w:sz w:val="24"/>
              </w:rPr>
            </w:pPr>
            <w:r w:rsidRPr="00E07C9A">
              <w:rPr>
                <w:rFonts w:ascii="Times New Roman" w:hAnsi="Times New Roman"/>
                <w:sz w:val="24"/>
              </w:rPr>
              <w:t>0290 –⁠ 0300</w:t>
            </w:r>
          </w:p>
        </w:tc>
        <w:tc>
          <w:tcPr>
            <w:tcW w:w="7903" w:type="dxa"/>
            <w:shd w:val="clear" w:color="auto" w:fill="auto"/>
          </w:tcPr>
          <w:p w14:paraId="3896C807" w14:textId="77777777" w:rsidR="007421F4" w:rsidRPr="00E07C9A" w:rsidRDefault="007421F4" w:rsidP="007421F4">
            <w:pPr>
              <w:spacing w:before="0" w:after="0"/>
              <w:jc w:val="left"/>
              <w:rPr>
                <w:rFonts w:ascii="Times New Roman" w:hAnsi="Times New Roman"/>
                <w:b/>
                <w:sz w:val="24"/>
                <w:u w:val="single"/>
              </w:rPr>
            </w:pPr>
            <w:r w:rsidRPr="00E07C9A">
              <w:rPr>
                <w:rFonts w:ascii="Times New Roman" w:hAnsi="Times New Roman"/>
                <w:b/>
                <w:sz w:val="24"/>
                <w:u w:val="single"/>
              </w:rPr>
              <w:t>SPLATNOSŤ</w:t>
            </w:r>
          </w:p>
        </w:tc>
      </w:tr>
      <w:tr w:rsidR="007421F4" w:rsidRPr="00E07C9A" w14:paraId="17DD01B5" w14:textId="77777777" w:rsidTr="00E10B85">
        <w:tc>
          <w:tcPr>
            <w:tcW w:w="1101" w:type="dxa"/>
            <w:shd w:val="clear" w:color="auto" w:fill="auto"/>
          </w:tcPr>
          <w:p w14:paraId="74F5B2B0" w14:textId="77777777" w:rsidR="007421F4" w:rsidRPr="00E07C9A" w:rsidDel="00304CB1" w:rsidRDefault="007421F4" w:rsidP="007421F4">
            <w:pPr>
              <w:autoSpaceDE w:val="0"/>
              <w:autoSpaceDN w:val="0"/>
              <w:adjustRightInd w:val="0"/>
              <w:spacing w:before="0" w:after="0"/>
              <w:rPr>
                <w:rFonts w:ascii="Times New Roman" w:hAnsi="Times New Roman"/>
                <w:sz w:val="24"/>
              </w:rPr>
            </w:pPr>
            <w:r w:rsidRPr="00E07C9A">
              <w:rPr>
                <w:rFonts w:ascii="Times New Roman" w:hAnsi="Times New Roman"/>
                <w:sz w:val="24"/>
              </w:rPr>
              <w:t>0290</w:t>
            </w:r>
          </w:p>
        </w:tc>
        <w:tc>
          <w:tcPr>
            <w:tcW w:w="7903" w:type="dxa"/>
            <w:shd w:val="clear" w:color="auto" w:fill="auto"/>
          </w:tcPr>
          <w:p w14:paraId="10D50100" w14:textId="77777777" w:rsidR="007421F4" w:rsidRPr="00E07C9A" w:rsidRDefault="007421F4" w:rsidP="007421F4">
            <w:pPr>
              <w:spacing w:before="0" w:after="0"/>
              <w:jc w:val="left"/>
              <w:rPr>
                <w:rFonts w:ascii="Times New Roman" w:hAnsi="Times New Roman"/>
                <w:b/>
                <w:sz w:val="24"/>
                <w:u w:val="single"/>
              </w:rPr>
            </w:pPr>
            <w:r w:rsidRPr="00E07C9A">
              <w:rPr>
                <w:rFonts w:ascii="Times New Roman" w:hAnsi="Times New Roman"/>
                <w:b/>
                <w:sz w:val="24"/>
                <w:u w:val="single"/>
              </w:rPr>
              <w:t>PRVÝ PREDPOKLADANÝ DÁTUM UKONČENIA</w:t>
            </w:r>
          </w:p>
          <w:p w14:paraId="5694289A" w14:textId="77777777" w:rsidR="007421F4" w:rsidRPr="00E07C9A" w:rsidRDefault="007421F4" w:rsidP="007421F4">
            <w:pPr>
              <w:spacing w:before="0" w:after="0"/>
              <w:jc w:val="left"/>
              <w:rPr>
                <w:rFonts w:ascii="Times New Roman" w:hAnsi="Times New Roman"/>
                <w:b/>
                <w:sz w:val="18"/>
                <w:szCs w:val="18"/>
                <w:u w:val="single"/>
              </w:rPr>
            </w:pPr>
          </w:p>
          <w:p w14:paraId="25306566" w14:textId="47CB266C" w:rsidR="009912F8" w:rsidRPr="00E07C9A" w:rsidRDefault="007421F4" w:rsidP="007421F4">
            <w:pPr>
              <w:spacing w:before="0" w:after="0"/>
              <w:jc w:val="left"/>
              <w:rPr>
                <w:rFonts w:ascii="Times New Roman" w:hAnsi="Times New Roman"/>
                <w:sz w:val="24"/>
              </w:rPr>
            </w:pPr>
            <w:r w:rsidRPr="00E07C9A">
              <w:rPr>
                <w:rFonts w:ascii="Times New Roman" w:hAnsi="Times New Roman"/>
                <w:sz w:val="24"/>
              </w:rPr>
              <w:t>Pravdepodobný dátum ukončenia celej sekuritizácie so zreteľom na jej zmluvné ustanovenia</w:t>
            </w:r>
            <w:r w:rsidR="009912F8" w:rsidRPr="00E07C9A">
              <w:rPr>
                <w:rFonts w:ascii="Times New Roman" w:hAnsi="Times New Roman"/>
                <w:sz w:val="24"/>
              </w:rPr>
              <w:t xml:space="preserve"> a </w:t>
            </w:r>
            <w:r w:rsidRPr="00E07C9A">
              <w:rPr>
                <w:rFonts w:ascii="Times New Roman" w:hAnsi="Times New Roman"/>
                <w:sz w:val="24"/>
              </w:rPr>
              <w:t>momentálne očakávané finančné podmienky. Vo všeobecnosti by to mal byť najskorší</w:t>
            </w:r>
            <w:r w:rsidR="009912F8" w:rsidRPr="00E07C9A">
              <w:rPr>
                <w:rFonts w:ascii="Times New Roman" w:hAnsi="Times New Roman"/>
                <w:sz w:val="24"/>
              </w:rPr>
              <w:t xml:space="preserve"> z </w:t>
            </w:r>
            <w:r w:rsidRPr="00E07C9A">
              <w:rPr>
                <w:rFonts w:ascii="Times New Roman" w:hAnsi="Times New Roman"/>
                <w:sz w:val="24"/>
              </w:rPr>
              <w:t>týchto dátumov</w:t>
            </w:r>
            <w:r w:rsidR="009912F8" w:rsidRPr="00E07C9A">
              <w:rPr>
                <w:rFonts w:ascii="Times New Roman" w:hAnsi="Times New Roman"/>
                <w:sz w:val="24"/>
              </w:rPr>
              <w:t>:</w:t>
            </w:r>
          </w:p>
          <w:p w14:paraId="01D6BF76" w14:textId="6EC8B764" w:rsidR="007421F4" w:rsidRPr="00E07C9A" w:rsidRDefault="007421F4" w:rsidP="007421F4">
            <w:pPr>
              <w:spacing w:before="0" w:after="0"/>
              <w:jc w:val="left"/>
              <w:rPr>
                <w:rFonts w:ascii="Times New Roman" w:hAnsi="Times New Roman"/>
                <w:sz w:val="18"/>
                <w:szCs w:val="18"/>
              </w:rPr>
            </w:pPr>
          </w:p>
          <w:p w14:paraId="267BBF47" w14:textId="6DF77FFB" w:rsidR="007421F4" w:rsidRPr="00E07C9A" w:rsidRDefault="007421F4" w:rsidP="007421F4">
            <w:pPr>
              <w:spacing w:before="0" w:after="0"/>
              <w:jc w:val="left"/>
              <w:rPr>
                <w:rFonts w:ascii="Times New Roman" w:hAnsi="Times New Roman"/>
                <w:sz w:val="24"/>
              </w:rPr>
            </w:pPr>
            <w:r w:rsidRPr="00E07C9A">
              <w:rPr>
                <w:rFonts w:ascii="Times New Roman" w:hAnsi="Times New Roman"/>
                <w:sz w:val="24"/>
              </w:rPr>
              <w:t>i)</w:t>
            </w:r>
            <w:r w:rsidRPr="00E07C9A">
              <w:rPr>
                <w:rFonts w:ascii="Times New Roman" w:hAnsi="Times New Roman"/>
              </w:rPr>
              <w:tab/>
            </w:r>
            <w:r w:rsidRPr="00E07C9A">
              <w:rPr>
                <w:rFonts w:ascii="Times New Roman" w:hAnsi="Times New Roman"/>
                <w:sz w:val="24"/>
              </w:rPr>
              <w:t>dátum, kedy sa prvýkrát môže uplatniť kúpna clean-up opcia [vymedzená</w:t>
            </w:r>
            <w:r w:rsidR="009912F8" w:rsidRPr="00E07C9A">
              <w:rPr>
                <w:rFonts w:ascii="Times New Roman" w:hAnsi="Times New Roman"/>
                <w:sz w:val="24"/>
              </w:rPr>
              <w:t xml:space="preserve"> v </w:t>
            </w:r>
            <w:r w:rsidRPr="00E07C9A">
              <w:rPr>
                <w:rFonts w:ascii="Times New Roman" w:hAnsi="Times New Roman"/>
                <w:sz w:val="24"/>
              </w:rPr>
              <w:t xml:space="preserve">článku 242 ods. 1 nariadenia (EÚ) </w:t>
            </w:r>
            <w:r w:rsidR="009912F8" w:rsidRPr="00E07C9A">
              <w:rPr>
                <w:rFonts w:ascii="Times New Roman" w:hAnsi="Times New Roman"/>
                <w:sz w:val="24"/>
              </w:rPr>
              <w:t>č. 575/2013</w:t>
            </w:r>
            <w:r w:rsidRPr="00E07C9A">
              <w:rPr>
                <w:rFonts w:ascii="Times New Roman" w:hAnsi="Times New Roman"/>
                <w:sz w:val="24"/>
              </w:rPr>
              <w:t>] so zohľadnením splatnosti podkladových expozícií</w:t>
            </w:r>
            <w:r w:rsidR="009912F8" w:rsidRPr="00E07C9A">
              <w:rPr>
                <w:rFonts w:ascii="Times New Roman" w:hAnsi="Times New Roman"/>
                <w:sz w:val="24"/>
              </w:rPr>
              <w:t xml:space="preserve"> a </w:t>
            </w:r>
            <w:r w:rsidRPr="00E07C9A">
              <w:rPr>
                <w:rFonts w:ascii="Times New Roman" w:hAnsi="Times New Roman"/>
                <w:sz w:val="24"/>
              </w:rPr>
              <w:t>ich miery predbežných platieb alebo možných nových rokovaní;</w:t>
            </w:r>
          </w:p>
          <w:p w14:paraId="7465BD1E" w14:textId="77777777" w:rsidR="007421F4" w:rsidRPr="00E07C9A" w:rsidRDefault="007421F4" w:rsidP="007421F4">
            <w:pPr>
              <w:spacing w:before="0" w:after="0"/>
              <w:jc w:val="left"/>
              <w:rPr>
                <w:rFonts w:ascii="Times New Roman" w:hAnsi="Times New Roman"/>
                <w:sz w:val="18"/>
                <w:szCs w:val="18"/>
              </w:rPr>
            </w:pPr>
          </w:p>
          <w:p w14:paraId="7E150CD3" w14:textId="1F0358AB" w:rsidR="007421F4" w:rsidRPr="00E07C9A" w:rsidRDefault="007421F4" w:rsidP="007421F4">
            <w:pPr>
              <w:spacing w:before="0" w:after="0"/>
              <w:jc w:val="left"/>
              <w:rPr>
                <w:rFonts w:ascii="Times New Roman" w:hAnsi="Times New Roman"/>
                <w:sz w:val="24"/>
              </w:rPr>
            </w:pPr>
            <w:r w:rsidRPr="00E07C9A">
              <w:rPr>
                <w:rFonts w:ascii="Times New Roman" w:hAnsi="Times New Roman"/>
                <w:sz w:val="24"/>
              </w:rPr>
              <w:t>ii)</w:t>
            </w:r>
            <w:r w:rsidRPr="00E07C9A">
              <w:rPr>
                <w:rFonts w:ascii="Times New Roman" w:hAnsi="Times New Roman"/>
              </w:rPr>
              <w:tab/>
            </w:r>
            <w:r w:rsidRPr="00E07C9A">
              <w:rPr>
                <w:rFonts w:ascii="Times New Roman" w:hAnsi="Times New Roman"/>
                <w:sz w:val="24"/>
              </w:rPr>
              <w:t>dátum, kedy originátor môže prvýkrát uplatniť akúkoľvek kúpnu opciu zahrnutú</w:t>
            </w:r>
            <w:r w:rsidR="009912F8" w:rsidRPr="00E07C9A">
              <w:rPr>
                <w:rFonts w:ascii="Times New Roman" w:hAnsi="Times New Roman"/>
                <w:sz w:val="24"/>
              </w:rPr>
              <w:t xml:space="preserve"> v </w:t>
            </w:r>
            <w:r w:rsidRPr="00E07C9A">
              <w:rPr>
                <w:rFonts w:ascii="Times New Roman" w:hAnsi="Times New Roman"/>
                <w:sz w:val="24"/>
              </w:rPr>
              <w:t>zmluvných ustanoveniach sekuritizácie, čo by viedlo</w:t>
            </w:r>
            <w:r w:rsidR="009912F8" w:rsidRPr="00E07C9A">
              <w:rPr>
                <w:rFonts w:ascii="Times New Roman" w:hAnsi="Times New Roman"/>
                <w:sz w:val="24"/>
              </w:rPr>
              <w:t xml:space="preserve"> k </w:t>
            </w:r>
            <w:r w:rsidRPr="00E07C9A">
              <w:rPr>
                <w:rFonts w:ascii="Times New Roman" w:hAnsi="Times New Roman"/>
                <w:sz w:val="24"/>
              </w:rPr>
              <w:t>úplnému splateniu sekuritizácie.</w:t>
            </w:r>
          </w:p>
          <w:p w14:paraId="0899EE45" w14:textId="77777777" w:rsidR="007421F4" w:rsidRPr="00E07C9A" w:rsidRDefault="007421F4" w:rsidP="007421F4">
            <w:pPr>
              <w:spacing w:before="0" w:after="0"/>
              <w:jc w:val="left"/>
              <w:rPr>
                <w:rFonts w:ascii="Times New Roman" w:hAnsi="Times New Roman"/>
                <w:sz w:val="16"/>
                <w:szCs w:val="16"/>
              </w:rPr>
            </w:pPr>
          </w:p>
          <w:p w14:paraId="14568B09" w14:textId="641C2430" w:rsidR="007421F4" w:rsidRPr="00E07C9A" w:rsidRDefault="007421F4" w:rsidP="007421F4">
            <w:pPr>
              <w:autoSpaceDE w:val="0"/>
              <w:autoSpaceDN w:val="0"/>
              <w:adjustRightInd w:val="0"/>
              <w:spacing w:before="0" w:after="0"/>
              <w:rPr>
                <w:rFonts w:ascii="Times New Roman" w:hAnsi="Times New Roman"/>
                <w:sz w:val="24"/>
              </w:rPr>
            </w:pPr>
            <w:r w:rsidRPr="00E07C9A">
              <w:rPr>
                <w:rFonts w:ascii="Times New Roman" w:hAnsi="Times New Roman"/>
                <w:sz w:val="24"/>
              </w:rPr>
              <w:t>Vykazuje sa deň, mesiac</w:t>
            </w:r>
            <w:r w:rsidR="009912F8" w:rsidRPr="00E07C9A">
              <w:rPr>
                <w:rFonts w:ascii="Times New Roman" w:hAnsi="Times New Roman"/>
                <w:sz w:val="24"/>
              </w:rPr>
              <w:t xml:space="preserve"> a </w:t>
            </w:r>
            <w:r w:rsidRPr="00E07C9A">
              <w:rPr>
                <w:rFonts w:ascii="Times New Roman" w:hAnsi="Times New Roman"/>
                <w:sz w:val="24"/>
              </w:rPr>
              <w:t>rok prvého predpokladaného dátumu ukončenia.</w:t>
            </w:r>
            <w:r w:rsidRPr="00E07C9A">
              <w:rPr>
                <w:rFonts w:ascii="Times New Roman" w:hAnsi="Times New Roman"/>
              </w:rPr>
              <w:t xml:space="preserve"> </w:t>
            </w:r>
            <w:r w:rsidRPr="00E07C9A">
              <w:rPr>
                <w:rFonts w:ascii="Times New Roman" w:hAnsi="Times New Roman"/>
                <w:sz w:val="24"/>
              </w:rPr>
              <w:t>Presný deň sa vykazuje vtedy, keď je táto informácia dostupná, inak sa vykazuje prvý deň</w:t>
            </w:r>
            <w:r w:rsidR="009912F8" w:rsidRPr="00E07C9A">
              <w:rPr>
                <w:rFonts w:ascii="Times New Roman" w:hAnsi="Times New Roman"/>
                <w:sz w:val="24"/>
              </w:rPr>
              <w:t xml:space="preserve"> v </w:t>
            </w:r>
            <w:r w:rsidRPr="00E07C9A">
              <w:rPr>
                <w:rFonts w:ascii="Times New Roman" w:hAnsi="Times New Roman"/>
                <w:sz w:val="24"/>
              </w:rPr>
              <w:t>mesiaci.</w:t>
            </w:r>
          </w:p>
          <w:p w14:paraId="57209410" w14:textId="77777777" w:rsidR="007421F4" w:rsidRPr="00E07C9A" w:rsidRDefault="007421F4" w:rsidP="007421F4">
            <w:pPr>
              <w:spacing w:before="0" w:after="0"/>
              <w:jc w:val="left"/>
              <w:rPr>
                <w:rFonts w:ascii="Times New Roman" w:hAnsi="Times New Roman"/>
                <w:sz w:val="24"/>
              </w:rPr>
            </w:pPr>
          </w:p>
        </w:tc>
      </w:tr>
      <w:tr w:rsidR="007421F4" w:rsidRPr="00E07C9A" w14:paraId="05EF583B" w14:textId="77777777" w:rsidTr="00E10B85">
        <w:tc>
          <w:tcPr>
            <w:tcW w:w="1101" w:type="dxa"/>
            <w:shd w:val="clear" w:color="auto" w:fill="auto"/>
          </w:tcPr>
          <w:p w14:paraId="149732B5" w14:textId="77777777" w:rsidR="007421F4" w:rsidRPr="00E07C9A" w:rsidRDefault="007421F4" w:rsidP="007421F4">
            <w:pPr>
              <w:autoSpaceDE w:val="0"/>
              <w:autoSpaceDN w:val="0"/>
              <w:adjustRightInd w:val="0"/>
              <w:spacing w:before="0" w:after="0"/>
              <w:rPr>
                <w:rFonts w:ascii="Times New Roman" w:hAnsi="Times New Roman"/>
                <w:sz w:val="24"/>
              </w:rPr>
            </w:pPr>
            <w:r w:rsidRPr="00E07C9A">
              <w:rPr>
                <w:rFonts w:ascii="Times New Roman" w:hAnsi="Times New Roman"/>
                <w:sz w:val="24"/>
              </w:rPr>
              <w:t>0291</w:t>
            </w:r>
          </w:p>
        </w:tc>
        <w:tc>
          <w:tcPr>
            <w:tcW w:w="7903" w:type="dxa"/>
            <w:shd w:val="clear" w:color="auto" w:fill="auto"/>
          </w:tcPr>
          <w:p w14:paraId="0780F4D7" w14:textId="77777777" w:rsidR="007421F4" w:rsidRPr="00E07C9A" w:rsidRDefault="007421F4" w:rsidP="007421F4">
            <w:pPr>
              <w:spacing w:before="0" w:after="0"/>
              <w:jc w:val="left"/>
              <w:rPr>
                <w:rFonts w:ascii="Times New Roman" w:hAnsi="Times New Roman"/>
                <w:b/>
                <w:sz w:val="24"/>
                <w:u w:val="single"/>
              </w:rPr>
            </w:pPr>
            <w:r w:rsidRPr="00E07C9A">
              <w:rPr>
                <w:rFonts w:ascii="Times New Roman" w:hAnsi="Times New Roman"/>
                <w:b/>
                <w:sz w:val="24"/>
                <w:u w:val="single"/>
              </w:rPr>
              <w:t>KÚPNE OPCIE ORIGINÁTORA ZAHRNUTÉ DO TRANSAKCIE</w:t>
            </w:r>
          </w:p>
          <w:p w14:paraId="793DA096" w14:textId="77777777" w:rsidR="007421F4" w:rsidRPr="00E07C9A" w:rsidRDefault="007421F4" w:rsidP="007421F4">
            <w:pPr>
              <w:spacing w:before="0" w:after="0"/>
              <w:jc w:val="left"/>
              <w:rPr>
                <w:rFonts w:ascii="Times New Roman" w:hAnsi="Times New Roman"/>
                <w:b/>
                <w:sz w:val="16"/>
                <w:szCs w:val="16"/>
                <w:u w:val="single"/>
              </w:rPr>
            </w:pPr>
          </w:p>
          <w:p w14:paraId="4C469B71" w14:textId="77777777" w:rsidR="007421F4" w:rsidRPr="00E07C9A" w:rsidRDefault="007421F4" w:rsidP="007421F4">
            <w:pPr>
              <w:spacing w:before="0" w:after="0"/>
              <w:jc w:val="left"/>
              <w:rPr>
                <w:rFonts w:ascii="Times New Roman" w:hAnsi="Times New Roman"/>
                <w:sz w:val="24"/>
              </w:rPr>
            </w:pPr>
            <w:r w:rsidRPr="00E07C9A">
              <w:rPr>
                <w:rFonts w:ascii="Times New Roman" w:hAnsi="Times New Roman"/>
                <w:sz w:val="24"/>
              </w:rPr>
              <w:t>Typ kúpnej opcie relevantný pre prvý očakávaný dátum ukončenia:</w:t>
            </w:r>
          </w:p>
          <w:p w14:paraId="4BC62F1E" w14:textId="4C227E57" w:rsidR="007421F4" w:rsidRPr="00E07C9A" w:rsidRDefault="007421F4" w:rsidP="005C4397">
            <w:pPr>
              <w:pStyle w:val="ListParagraph"/>
              <w:numPr>
                <w:ilvl w:val="0"/>
                <w:numId w:val="20"/>
              </w:numPr>
              <w:spacing w:before="0" w:after="0"/>
              <w:jc w:val="left"/>
              <w:rPr>
                <w:rFonts w:ascii="Times New Roman" w:hAnsi="Times New Roman"/>
                <w:sz w:val="24"/>
              </w:rPr>
            </w:pPr>
            <w:r w:rsidRPr="00E07C9A">
              <w:rPr>
                <w:rFonts w:ascii="Times New Roman" w:hAnsi="Times New Roman"/>
                <w:sz w:val="24"/>
              </w:rPr>
              <w:t xml:space="preserve">kúpna clean-up opcia spĺňajúca požiadavky článku 244 ods. 4 písm. g) nariadenia (EÚ) </w:t>
            </w:r>
            <w:r w:rsidR="009912F8" w:rsidRPr="00E07C9A">
              <w:rPr>
                <w:rFonts w:ascii="Times New Roman" w:hAnsi="Times New Roman"/>
                <w:sz w:val="24"/>
              </w:rPr>
              <w:t>č. 575/2013</w:t>
            </w:r>
            <w:r w:rsidRPr="00E07C9A">
              <w:rPr>
                <w:rFonts w:ascii="Times New Roman" w:hAnsi="Times New Roman"/>
                <w:sz w:val="24"/>
              </w:rPr>
              <w:t>;</w:t>
            </w:r>
          </w:p>
          <w:p w14:paraId="0D0A6F6A" w14:textId="77777777" w:rsidR="007421F4" w:rsidRPr="00E07C9A" w:rsidRDefault="007421F4" w:rsidP="005C4397">
            <w:pPr>
              <w:pStyle w:val="ListParagraph"/>
              <w:numPr>
                <w:ilvl w:val="0"/>
                <w:numId w:val="20"/>
              </w:numPr>
              <w:spacing w:before="0" w:after="0"/>
              <w:jc w:val="left"/>
              <w:rPr>
                <w:rFonts w:ascii="Times New Roman" w:hAnsi="Times New Roman"/>
                <w:sz w:val="24"/>
              </w:rPr>
            </w:pPr>
            <w:r w:rsidRPr="00E07C9A">
              <w:rPr>
                <w:rFonts w:ascii="Times New Roman" w:hAnsi="Times New Roman"/>
                <w:sz w:val="24"/>
              </w:rPr>
              <w:t>iná kúpna clean-up opcia;</w:t>
            </w:r>
          </w:p>
          <w:p w14:paraId="6460DCFE" w14:textId="77777777" w:rsidR="007421F4" w:rsidRPr="00E07C9A" w:rsidRDefault="007421F4" w:rsidP="005C4397">
            <w:pPr>
              <w:pStyle w:val="ListParagraph"/>
              <w:numPr>
                <w:ilvl w:val="0"/>
                <w:numId w:val="20"/>
              </w:numPr>
              <w:spacing w:before="0" w:after="0"/>
              <w:jc w:val="left"/>
              <w:rPr>
                <w:rFonts w:ascii="Times New Roman" w:hAnsi="Times New Roman"/>
                <w:sz w:val="24"/>
              </w:rPr>
            </w:pPr>
            <w:r w:rsidRPr="00E07C9A">
              <w:rPr>
                <w:rFonts w:ascii="Times New Roman" w:hAnsi="Times New Roman"/>
                <w:sz w:val="24"/>
              </w:rPr>
              <w:t>iný typ kúpnej opcie.</w:t>
            </w:r>
          </w:p>
          <w:p w14:paraId="730AF1E8" w14:textId="77777777" w:rsidR="007421F4" w:rsidRPr="00E07C9A" w:rsidRDefault="007421F4" w:rsidP="007421F4">
            <w:pPr>
              <w:spacing w:before="0" w:after="0"/>
              <w:jc w:val="left"/>
              <w:rPr>
                <w:rFonts w:ascii="Times New Roman" w:hAnsi="Times New Roman"/>
                <w:b/>
                <w:sz w:val="24"/>
                <w:u w:val="single"/>
              </w:rPr>
            </w:pPr>
          </w:p>
        </w:tc>
      </w:tr>
      <w:tr w:rsidR="007421F4" w:rsidRPr="00E07C9A" w14:paraId="50C07A48" w14:textId="77777777" w:rsidTr="00E10B85">
        <w:tc>
          <w:tcPr>
            <w:tcW w:w="1101" w:type="dxa"/>
            <w:shd w:val="clear" w:color="auto" w:fill="auto"/>
          </w:tcPr>
          <w:p w14:paraId="4A188827" w14:textId="77777777" w:rsidR="007421F4" w:rsidRPr="00E07C9A" w:rsidDel="00304CB1" w:rsidRDefault="007421F4" w:rsidP="007421F4">
            <w:pPr>
              <w:autoSpaceDE w:val="0"/>
              <w:autoSpaceDN w:val="0"/>
              <w:adjustRightInd w:val="0"/>
              <w:spacing w:before="0" w:after="0"/>
              <w:rPr>
                <w:rFonts w:ascii="Times New Roman" w:hAnsi="Times New Roman"/>
                <w:sz w:val="24"/>
              </w:rPr>
            </w:pPr>
            <w:r w:rsidRPr="00E07C9A">
              <w:rPr>
                <w:rFonts w:ascii="Times New Roman" w:hAnsi="Times New Roman"/>
                <w:sz w:val="24"/>
              </w:rPr>
              <w:t>0300</w:t>
            </w:r>
          </w:p>
        </w:tc>
        <w:tc>
          <w:tcPr>
            <w:tcW w:w="7903" w:type="dxa"/>
            <w:shd w:val="clear" w:color="auto" w:fill="auto"/>
          </w:tcPr>
          <w:p w14:paraId="2A2C2D44" w14:textId="77777777" w:rsidR="007421F4" w:rsidRPr="00E07C9A" w:rsidRDefault="007421F4" w:rsidP="007421F4">
            <w:pPr>
              <w:spacing w:before="0" w:after="0"/>
              <w:jc w:val="left"/>
              <w:rPr>
                <w:rFonts w:ascii="Times New Roman" w:hAnsi="Times New Roman"/>
                <w:b/>
                <w:sz w:val="24"/>
                <w:u w:val="single"/>
              </w:rPr>
            </w:pPr>
            <w:r w:rsidRPr="00E07C9A">
              <w:rPr>
                <w:rFonts w:ascii="Times New Roman" w:hAnsi="Times New Roman"/>
                <w:b/>
                <w:sz w:val="24"/>
                <w:u w:val="single"/>
              </w:rPr>
              <w:t>PRÁVNY KONEČNÝ DÁTUM SPLATNOSTI</w:t>
            </w:r>
          </w:p>
          <w:p w14:paraId="7BD14F29" w14:textId="77777777" w:rsidR="007421F4" w:rsidRPr="00E07C9A" w:rsidRDefault="007421F4" w:rsidP="007421F4">
            <w:pPr>
              <w:spacing w:before="0" w:after="0"/>
              <w:jc w:val="left"/>
              <w:rPr>
                <w:rFonts w:ascii="Times New Roman" w:hAnsi="Times New Roman"/>
                <w:b/>
                <w:sz w:val="16"/>
                <w:szCs w:val="16"/>
                <w:u w:val="single"/>
              </w:rPr>
            </w:pPr>
          </w:p>
          <w:p w14:paraId="27D6C059" w14:textId="289C4DBC" w:rsidR="007421F4" w:rsidRPr="00E07C9A" w:rsidRDefault="007421F4" w:rsidP="007421F4">
            <w:pPr>
              <w:spacing w:before="0" w:after="0"/>
              <w:jc w:val="left"/>
              <w:rPr>
                <w:rFonts w:ascii="Times New Roman" w:hAnsi="Times New Roman"/>
                <w:sz w:val="24"/>
              </w:rPr>
            </w:pPr>
            <w:r w:rsidRPr="00E07C9A">
              <w:rPr>
                <w:rFonts w:ascii="Times New Roman" w:hAnsi="Times New Roman"/>
                <w:sz w:val="24"/>
              </w:rPr>
              <w:t>Dátum, ku ktorému sa musí</w:t>
            </w:r>
            <w:r w:rsidR="009912F8" w:rsidRPr="00E07C9A">
              <w:rPr>
                <w:rFonts w:ascii="Times New Roman" w:hAnsi="Times New Roman"/>
                <w:sz w:val="24"/>
              </w:rPr>
              <w:t xml:space="preserve"> z </w:t>
            </w:r>
            <w:r w:rsidRPr="00E07C9A">
              <w:rPr>
                <w:rFonts w:ascii="Times New Roman" w:hAnsi="Times New Roman"/>
                <w:sz w:val="24"/>
              </w:rPr>
              <w:t>právneho hľadiska (na základe príslušnej dokumentácie</w:t>
            </w:r>
            <w:r w:rsidR="009912F8" w:rsidRPr="00E07C9A">
              <w:rPr>
                <w:rFonts w:ascii="Times New Roman" w:hAnsi="Times New Roman"/>
                <w:sz w:val="24"/>
              </w:rPr>
              <w:t xml:space="preserve"> o </w:t>
            </w:r>
            <w:r w:rsidRPr="00E07C9A">
              <w:rPr>
                <w:rFonts w:ascii="Times New Roman" w:hAnsi="Times New Roman"/>
                <w:sz w:val="24"/>
              </w:rPr>
              <w:t>transakcii) splatiť celá istina</w:t>
            </w:r>
            <w:r w:rsidR="009912F8" w:rsidRPr="00E07C9A">
              <w:rPr>
                <w:rFonts w:ascii="Times New Roman" w:hAnsi="Times New Roman"/>
                <w:sz w:val="24"/>
              </w:rPr>
              <w:t xml:space="preserve"> a </w:t>
            </w:r>
            <w:r w:rsidRPr="00E07C9A">
              <w:rPr>
                <w:rFonts w:ascii="Times New Roman" w:hAnsi="Times New Roman"/>
                <w:sz w:val="24"/>
              </w:rPr>
              <w:t>úroky sekuritizácie.</w:t>
            </w:r>
          </w:p>
          <w:p w14:paraId="749DD1E6" w14:textId="77777777" w:rsidR="007421F4" w:rsidRPr="00E07C9A" w:rsidRDefault="007421F4" w:rsidP="007421F4">
            <w:pPr>
              <w:spacing w:before="0" w:after="0"/>
              <w:jc w:val="left"/>
              <w:rPr>
                <w:rFonts w:ascii="Times New Roman" w:hAnsi="Times New Roman"/>
                <w:sz w:val="16"/>
                <w:szCs w:val="16"/>
              </w:rPr>
            </w:pPr>
          </w:p>
          <w:p w14:paraId="658A4DE7" w14:textId="451950D1" w:rsidR="007421F4" w:rsidRPr="00E07C9A" w:rsidRDefault="007421F4" w:rsidP="007421F4">
            <w:pPr>
              <w:autoSpaceDE w:val="0"/>
              <w:autoSpaceDN w:val="0"/>
              <w:adjustRightInd w:val="0"/>
              <w:spacing w:before="0" w:after="0"/>
              <w:rPr>
                <w:rFonts w:ascii="Times New Roman" w:hAnsi="Times New Roman"/>
                <w:sz w:val="24"/>
              </w:rPr>
            </w:pPr>
            <w:r w:rsidRPr="00E07C9A">
              <w:rPr>
                <w:rFonts w:ascii="Times New Roman" w:hAnsi="Times New Roman"/>
                <w:sz w:val="24"/>
              </w:rPr>
              <w:t>Vykazuje sa deň, mesiac</w:t>
            </w:r>
            <w:r w:rsidR="009912F8" w:rsidRPr="00E07C9A">
              <w:rPr>
                <w:rFonts w:ascii="Times New Roman" w:hAnsi="Times New Roman"/>
                <w:sz w:val="24"/>
              </w:rPr>
              <w:t xml:space="preserve"> a </w:t>
            </w:r>
            <w:r w:rsidRPr="00E07C9A">
              <w:rPr>
                <w:rFonts w:ascii="Times New Roman" w:hAnsi="Times New Roman"/>
                <w:sz w:val="24"/>
              </w:rPr>
              <w:t>rok právneho konečného dátumu splatnosti.</w:t>
            </w:r>
            <w:r w:rsidRPr="00E07C9A">
              <w:rPr>
                <w:rFonts w:ascii="Times New Roman" w:hAnsi="Times New Roman"/>
              </w:rPr>
              <w:t xml:space="preserve"> </w:t>
            </w:r>
            <w:r w:rsidRPr="00E07C9A">
              <w:rPr>
                <w:rFonts w:ascii="Times New Roman" w:hAnsi="Times New Roman"/>
                <w:sz w:val="24"/>
              </w:rPr>
              <w:t>Presný deň sa vykazuje vtedy, keď je táto informácia dostupná, inak sa vykazuje prvý deň</w:t>
            </w:r>
            <w:r w:rsidR="009912F8" w:rsidRPr="00E07C9A">
              <w:rPr>
                <w:rFonts w:ascii="Times New Roman" w:hAnsi="Times New Roman"/>
                <w:sz w:val="24"/>
              </w:rPr>
              <w:t xml:space="preserve"> v </w:t>
            </w:r>
            <w:r w:rsidRPr="00E07C9A">
              <w:rPr>
                <w:rFonts w:ascii="Times New Roman" w:hAnsi="Times New Roman"/>
                <w:sz w:val="24"/>
              </w:rPr>
              <w:t>mesiaci.</w:t>
            </w:r>
          </w:p>
          <w:p w14:paraId="05DB7FBF" w14:textId="77777777" w:rsidR="007421F4" w:rsidRPr="00E07C9A" w:rsidRDefault="007421F4" w:rsidP="007421F4">
            <w:pPr>
              <w:spacing w:before="0" w:after="0"/>
              <w:jc w:val="left"/>
              <w:rPr>
                <w:rFonts w:ascii="Times New Roman" w:hAnsi="Times New Roman"/>
                <w:sz w:val="24"/>
              </w:rPr>
            </w:pPr>
          </w:p>
        </w:tc>
      </w:tr>
      <w:tr w:rsidR="007421F4" w:rsidRPr="00E07C9A" w14:paraId="09C1ACE3" w14:textId="77777777" w:rsidTr="00E10B85">
        <w:tc>
          <w:tcPr>
            <w:tcW w:w="1101" w:type="dxa"/>
            <w:shd w:val="clear" w:color="auto" w:fill="auto"/>
          </w:tcPr>
          <w:p w14:paraId="03200955" w14:textId="77777777" w:rsidR="007421F4" w:rsidRPr="00E07C9A" w:rsidRDefault="007421F4" w:rsidP="007421F4">
            <w:pPr>
              <w:autoSpaceDE w:val="0"/>
              <w:autoSpaceDN w:val="0"/>
              <w:adjustRightInd w:val="0"/>
              <w:spacing w:before="0" w:after="0"/>
              <w:rPr>
                <w:rFonts w:ascii="Times New Roman" w:hAnsi="Times New Roman"/>
                <w:bCs/>
                <w:sz w:val="24"/>
              </w:rPr>
            </w:pPr>
            <w:r w:rsidRPr="00E07C9A">
              <w:rPr>
                <w:rFonts w:ascii="Times New Roman" w:hAnsi="Times New Roman"/>
                <w:sz w:val="24"/>
              </w:rPr>
              <w:t>0302 –⁠ 0304</w:t>
            </w:r>
          </w:p>
        </w:tc>
        <w:tc>
          <w:tcPr>
            <w:tcW w:w="7903" w:type="dxa"/>
            <w:shd w:val="clear" w:color="auto" w:fill="auto"/>
          </w:tcPr>
          <w:p w14:paraId="7F12A7F0" w14:textId="77777777" w:rsidR="007421F4" w:rsidRPr="00E07C9A" w:rsidRDefault="007421F4" w:rsidP="007421F4">
            <w:pPr>
              <w:spacing w:before="0" w:after="0"/>
              <w:jc w:val="left"/>
              <w:rPr>
                <w:rFonts w:ascii="Times New Roman" w:hAnsi="Times New Roman"/>
                <w:b/>
                <w:sz w:val="24"/>
                <w:u w:val="single"/>
              </w:rPr>
            </w:pPr>
            <w:r w:rsidRPr="00E07C9A">
              <w:rPr>
                <w:rFonts w:ascii="Times New Roman" w:hAnsi="Times New Roman"/>
                <w:b/>
                <w:sz w:val="24"/>
                <w:u w:val="single"/>
              </w:rPr>
              <w:t xml:space="preserve">DOPLŇUJÚCE POLOŽKY </w:t>
            </w:r>
          </w:p>
        </w:tc>
      </w:tr>
      <w:tr w:rsidR="007421F4" w:rsidRPr="00E07C9A" w14:paraId="239C75FD" w14:textId="77777777" w:rsidTr="00E10B85">
        <w:tc>
          <w:tcPr>
            <w:tcW w:w="1101" w:type="dxa"/>
            <w:shd w:val="clear" w:color="auto" w:fill="auto"/>
          </w:tcPr>
          <w:p w14:paraId="66122CE5" w14:textId="77777777" w:rsidR="007421F4" w:rsidRPr="00E07C9A" w:rsidRDefault="007421F4" w:rsidP="007421F4">
            <w:pPr>
              <w:autoSpaceDE w:val="0"/>
              <w:autoSpaceDN w:val="0"/>
              <w:adjustRightInd w:val="0"/>
              <w:spacing w:before="0" w:after="0"/>
              <w:rPr>
                <w:rFonts w:ascii="Times New Roman" w:hAnsi="Times New Roman"/>
                <w:sz w:val="24"/>
              </w:rPr>
            </w:pPr>
            <w:r w:rsidRPr="00E07C9A">
              <w:rPr>
                <w:rFonts w:ascii="Times New Roman" w:hAnsi="Times New Roman"/>
                <w:sz w:val="24"/>
              </w:rPr>
              <w:t>0302</w:t>
            </w:r>
          </w:p>
        </w:tc>
        <w:tc>
          <w:tcPr>
            <w:tcW w:w="7903" w:type="dxa"/>
            <w:shd w:val="clear" w:color="auto" w:fill="auto"/>
          </w:tcPr>
          <w:p w14:paraId="62514261" w14:textId="77777777" w:rsidR="007421F4" w:rsidRPr="00E07C9A" w:rsidRDefault="007421F4" w:rsidP="007421F4">
            <w:pPr>
              <w:spacing w:before="0" w:after="0"/>
              <w:jc w:val="left"/>
              <w:rPr>
                <w:rFonts w:ascii="Times New Roman" w:hAnsi="Times New Roman"/>
                <w:b/>
                <w:sz w:val="24"/>
                <w:u w:val="single"/>
              </w:rPr>
            </w:pPr>
            <w:r w:rsidRPr="00E07C9A">
              <w:rPr>
                <w:rFonts w:ascii="Times New Roman" w:hAnsi="Times New Roman"/>
                <w:b/>
                <w:sz w:val="24"/>
                <w:u w:val="single"/>
              </w:rPr>
              <w:t>BOD PRIRADENIA PREDANÉHO RIZIKA (%)</w:t>
            </w:r>
          </w:p>
          <w:p w14:paraId="626C605F" w14:textId="77777777" w:rsidR="007421F4" w:rsidRPr="00E07C9A" w:rsidRDefault="007421F4" w:rsidP="007421F4">
            <w:pPr>
              <w:spacing w:before="0" w:after="0"/>
              <w:jc w:val="left"/>
              <w:rPr>
                <w:rFonts w:ascii="Times New Roman" w:hAnsi="Times New Roman"/>
                <w:b/>
                <w:sz w:val="16"/>
                <w:szCs w:val="16"/>
                <w:u w:val="single"/>
              </w:rPr>
            </w:pPr>
          </w:p>
          <w:p w14:paraId="72BA143F" w14:textId="77777777" w:rsidR="007421F4" w:rsidRPr="00E07C9A" w:rsidRDefault="007421F4" w:rsidP="007421F4">
            <w:pPr>
              <w:spacing w:before="0" w:after="0"/>
              <w:jc w:val="left"/>
              <w:rPr>
                <w:rFonts w:ascii="Times New Roman" w:hAnsi="Times New Roman"/>
                <w:b/>
                <w:sz w:val="24"/>
                <w:u w:val="single"/>
              </w:rPr>
            </w:pPr>
            <w:r w:rsidRPr="00E07C9A">
              <w:rPr>
                <w:rFonts w:ascii="Times New Roman" w:hAnsi="Times New Roman"/>
                <w:sz w:val="24"/>
              </w:rPr>
              <w:t>Bod priradenia najviac podriadenej tranže predanej tretím stranám pri tradičných sekuritizáciách alebo chránenej tretími stranami pri syntetických sekuritizáciách vykazujú len originátori.</w:t>
            </w:r>
          </w:p>
          <w:p w14:paraId="67A798C4" w14:textId="77777777" w:rsidR="007421F4" w:rsidRPr="00E07C9A" w:rsidRDefault="007421F4" w:rsidP="007421F4">
            <w:pPr>
              <w:spacing w:before="0" w:after="0"/>
              <w:jc w:val="left"/>
              <w:rPr>
                <w:rFonts w:ascii="Times New Roman" w:hAnsi="Times New Roman"/>
                <w:b/>
                <w:sz w:val="24"/>
                <w:u w:val="single"/>
              </w:rPr>
            </w:pPr>
          </w:p>
        </w:tc>
      </w:tr>
      <w:tr w:rsidR="007421F4" w:rsidRPr="00E07C9A" w14:paraId="7C038C83" w14:textId="77777777" w:rsidTr="00E10B85">
        <w:tc>
          <w:tcPr>
            <w:tcW w:w="1101" w:type="dxa"/>
            <w:shd w:val="clear" w:color="auto" w:fill="auto"/>
          </w:tcPr>
          <w:p w14:paraId="44673C22" w14:textId="77777777" w:rsidR="007421F4" w:rsidRPr="00E07C9A" w:rsidRDefault="007421F4" w:rsidP="007421F4">
            <w:pPr>
              <w:autoSpaceDE w:val="0"/>
              <w:autoSpaceDN w:val="0"/>
              <w:adjustRightInd w:val="0"/>
              <w:spacing w:before="0" w:after="0"/>
              <w:rPr>
                <w:rFonts w:ascii="Times New Roman" w:hAnsi="Times New Roman"/>
                <w:sz w:val="24"/>
              </w:rPr>
            </w:pPr>
            <w:r w:rsidRPr="00E07C9A">
              <w:rPr>
                <w:rFonts w:ascii="Times New Roman" w:hAnsi="Times New Roman"/>
                <w:sz w:val="24"/>
              </w:rPr>
              <w:t>0303</w:t>
            </w:r>
          </w:p>
        </w:tc>
        <w:tc>
          <w:tcPr>
            <w:tcW w:w="7903" w:type="dxa"/>
            <w:shd w:val="clear" w:color="auto" w:fill="auto"/>
          </w:tcPr>
          <w:p w14:paraId="477ABA4B" w14:textId="77777777" w:rsidR="007421F4" w:rsidRPr="00E07C9A" w:rsidRDefault="007421F4" w:rsidP="007421F4">
            <w:pPr>
              <w:spacing w:before="0" w:after="0"/>
              <w:jc w:val="left"/>
              <w:rPr>
                <w:rFonts w:ascii="Times New Roman" w:hAnsi="Times New Roman"/>
                <w:b/>
                <w:sz w:val="24"/>
                <w:u w:val="single"/>
              </w:rPr>
            </w:pPr>
            <w:r w:rsidRPr="00E07C9A">
              <w:rPr>
                <w:rFonts w:ascii="Times New Roman" w:hAnsi="Times New Roman"/>
                <w:b/>
                <w:sz w:val="24"/>
                <w:u w:val="single"/>
              </w:rPr>
              <w:t>BOD VYRADENIA PREDANÉHO RIZIKA (%)</w:t>
            </w:r>
          </w:p>
          <w:p w14:paraId="4A49B632" w14:textId="77777777" w:rsidR="007421F4" w:rsidRPr="00E07C9A" w:rsidRDefault="007421F4" w:rsidP="007421F4">
            <w:pPr>
              <w:spacing w:before="0" w:after="0"/>
              <w:jc w:val="left"/>
              <w:rPr>
                <w:rFonts w:ascii="Times New Roman" w:hAnsi="Times New Roman"/>
                <w:b/>
                <w:sz w:val="16"/>
                <w:szCs w:val="16"/>
                <w:u w:val="single"/>
              </w:rPr>
            </w:pPr>
          </w:p>
          <w:p w14:paraId="08DF8C09" w14:textId="77777777" w:rsidR="007421F4" w:rsidRPr="00E07C9A" w:rsidRDefault="007421F4" w:rsidP="007421F4">
            <w:pPr>
              <w:spacing w:before="0" w:after="0"/>
              <w:jc w:val="left"/>
              <w:rPr>
                <w:rFonts w:ascii="Times New Roman" w:hAnsi="Times New Roman"/>
                <w:sz w:val="24"/>
              </w:rPr>
            </w:pPr>
            <w:r w:rsidRPr="00E07C9A">
              <w:rPr>
                <w:rFonts w:ascii="Times New Roman" w:hAnsi="Times New Roman"/>
                <w:sz w:val="24"/>
              </w:rPr>
              <w:t>Bod vyradenia najviac nadriadenej tranže predanej tretím stranám pri tradičných sekuritizáciách alebo chránenej tretími stranami pri syntetických sekuritizáciách vykazujú len originátori.</w:t>
            </w:r>
          </w:p>
          <w:p w14:paraId="030BF004" w14:textId="77777777" w:rsidR="007421F4" w:rsidRPr="00E07C9A" w:rsidRDefault="007421F4" w:rsidP="007421F4">
            <w:pPr>
              <w:spacing w:before="0" w:after="0"/>
              <w:jc w:val="left"/>
              <w:rPr>
                <w:rFonts w:ascii="Times New Roman" w:hAnsi="Times New Roman"/>
                <w:b/>
                <w:sz w:val="24"/>
                <w:u w:val="single"/>
              </w:rPr>
            </w:pPr>
          </w:p>
        </w:tc>
      </w:tr>
      <w:tr w:rsidR="007421F4" w:rsidRPr="00E07C9A" w14:paraId="27B0D944" w14:textId="77777777" w:rsidTr="00E10B85">
        <w:tc>
          <w:tcPr>
            <w:tcW w:w="1101" w:type="dxa"/>
            <w:shd w:val="clear" w:color="auto" w:fill="auto"/>
          </w:tcPr>
          <w:p w14:paraId="2F326D3D" w14:textId="77777777" w:rsidR="007421F4" w:rsidRPr="00E07C9A" w:rsidRDefault="007421F4" w:rsidP="007421F4">
            <w:pPr>
              <w:autoSpaceDE w:val="0"/>
              <w:autoSpaceDN w:val="0"/>
              <w:adjustRightInd w:val="0"/>
              <w:spacing w:before="0" w:after="0"/>
              <w:rPr>
                <w:rFonts w:ascii="Times New Roman" w:hAnsi="Times New Roman"/>
                <w:sz w:val="24"/>
              </w:rPr>
            </w:pPr>
            <w:r w:rsidRPr="00E07C9A">
              <w:rPr>
                <w:rFonts w:ascii="Times New Roman" w:hAnsi="Times New Roman"/>
                <w:sz w:val="24"/>
              </w:rPr>
              <w:t>0304</w:t>
            </w:r>
          </w:p>
        </w:tc>
        <w:tc>
          <w:tcPr>
            <w:tcW w:w="7903" w:type="dxa"/>
            <w:shd w:val="clear" w:color="auto" w:fill="auto"/>
          </w:tcPr>
          <w:p w14:paraId="3C957A14" w14:textId="77777777" w:rsidR="007421F4" w:rsidRPr="00E07C9A" w:rsidRDefault="007421F4" w:rsidP="007421F4">
            <w:pPr>
              <w:spacing w:before="0" w:after="0"/>
              <w:jc w:val="left"/>
              <w:rPr>
                <w:rFonts w:ascii="Times New Roman" w:hAnsi="Times New Roman"/>
                <w:b/>
                <w:sz w:val="24"/>
                <w:u w:val="single"/>
              </w:rPr>
            </w:pPr>
            <w:r w:rsidRPr="00E07C9A">
              <w:rPr>
                <w:rFonts w:ascii="Times New Roman" w:hAnsi="Times New Roman"/>
                <w:b/>
                <w:sz w:val="24"/>
                <w:u w:val="single"/>
              </w:rPr>
              <w:t>PRENOS RIZIKA, NA KTORÝ SI ROBÍ NÁROK INŠTITÚCIA, KTORÁ JE ORIGINÁTOROM (%)</w:t>
            </w:r>
          </w:p>
          <w:p w14:paraId="4D791E97" w14:textId="77777777" w:rsidR="007421F4" w:rsidRPr="00E07C9A" w:rsidRDefault="007421F4" w:rsidP="007421F4">
            <w:pPr>
              <w:spacing w:before="0" w:after="0"/>
              <w:jc w:val="left"/>
              <w:rPr>
                <w:rFonts w:ascii="Times New Roman" w:hAnsi="Times New Roman"/>
                <w:b/>
                <w:sz w:val="16"/>
                <w:szCs w:val="16"/>
                <w:u w:val="single"/>
              </w:rPr>
            </w:pPr>
          </w:p>
          <w:p w14:paraId="68157823" w14:textId="572D5E01" w:rsidR="009912F8" w:rsidRPr="00E07C9A" w:rsidRDefault="007421F4" w:rsidP="007421F4">
            <w:pPr>
              <w:spacing w:before="0" w:after="0"/>
              <w:jc w:val="left"/>
              <w:rPr>
                <w:rFonts w:ascii="Times New Roman" w:hAnsi="Times New Roman"/>
                <w:sz w:val="24"/>
              </w:rPr>
            </w:pPr>
            <w:r w:rsidRPr="00E07C9A">
              <w:rPr>
                <w:rFonts w:ascii="Times New Roman" w:hAnsi="Times New Roman"/>
                <w:sz w:val="24"/>
              </w:rPr>
              <w:t>Očakávanú stratu (EL) plus neočakávanú stratu (UL) týkajúcu sa sekuritizovaných aktív presunutých na tretie strany vykazujú ako percentuálny podiel na celkových EL plus UL len originátori. EL</w:t>
            </w:r>
            <w:r w:rsidR="009912F8" w:rsidRPr="00E07C9A">
              <w:rPr>
                <w:rFonts w:ascii="Times New Roman" w:hAnsi="Times New Roman"/>
                <w:sz w:val="24"/>
              </w:rPr>
              <w:t xml:space="preserve"> a </w:t>
            </w:r>
            <w:r w:rsidRPr="00E07C9A">
              <w:rPr>
                <w:rFonts w:ascii="Times New Roman" w:hAnsi="Times New Roman"/>
                <w:sz w:val="24"/>
              </w:rPr>
              <w:t>UL podkladových expozícií sa vykážu</w:t>
            </w:r>
            <w:r w:rsidR="009912F8" w:rsidRPr="00E07C9A">
              <w:rPr>
                <w:rFonts w:ascii="Times New Roman" w:hAnsi="Times New Roman"/>
                <w:sz w:val="24"/>
              </w:rPr>
              <w:t xml:space="preserve"> a </w:t>
            </w:r>
            <w:r w:rsidRPr="00E07C9A">
              <w:rPr>
                <w:rFonts w:ascii="Times New Roman" w:hAnsi="Times New Roman"/>
                <w:sz w:val="24"/>
              </w:rPr>
              <w:t>následne sa prostredníctvom sekuritizačnej kaskády pridelia do príslušných tranží danej sekuritizácie. Pre banky</w:t>
            </w:r>
            <w:r w:rsidR="009912F8" w:rsidRPr="00E07C9A">
              <w:rPr>
                <w:rFonts w:ascii="Times New Roman" w:hAnsi="Times New Roman"/>
                <w:sz w:val="24"/>
              </w:rPr>
              <w:t xml:space="preserve"> v </w:t>
            </w:r>
            <w:r w:rsidRPr="00E07C9A">
              <w:rPr>
                <w:rFonts w:ascii="Times New Roman" w:hAnsi="Times New Roman"/>
                <w:sz w:val="24"/>
              </w:rPr>
              <w:t>rámci SA je EL špecifickou úpravou kreditného rizika sekuritizovaných aktív</w:t>
            </w:r>
            <w:r w:rsidR="009912F8" w:rsidRPr="00E07C9A">
              <w:rPr>
                <w:rFonts w:ascii="Times New Roman" w:hAnsi="Times New Roman"/>
                <w:sz w:val="24"/>
              </w:rPr>
              <w:t xml:space="preserve"> a </w:t>
            </w:r>
            <w:r w:rsidRPr="00E07C9A">
              <w:rPr>
                <w:rFonts w:ascii="Times New Roman" w:hAnsi="Times New Roman"/>
                <w:sz w:val="24"/>
              </w:rPr>
              <w:t>UL je kapitálovou požiadavkou sekuritizovaných expozícií</w:t>
            </w:r>
            <w:r w:rsidR="009912F8" w:rsidRPr="00E07C9A">
              <w:rPr>
                <w:rFonts w:ascii="Times New Roman" w:hAnsi="Times New Roman"/>
                <w:sz w:val="24"/>
              </w:rPr>
              <w:t>.</w:t>
            </w:r>
          </w:p>
          <w:p w14:paraId="5F004055" w14:textId="5959E0E4" w:rsidR="007421F4" w:rsidRPr="00E07C9A" w:rsidRDefault="007421F4" w:rsidP="007421F4">
            <w:pPr>
              <w:spacing w:before="0" w:after="0"/>
              <w:jc w:val="left"/>
              <w:rPr>
                <w:rFonts w:ascii="Times New Roman" w:hAnsi="Times New Roman"/>
                <w:b/>
                <w:sz w:val="24"/>
                <w:u w:val="single"/>
              </w:rPr>
            </w:pPr>
          </w:p>
        </w:tc>
      </w:tr>
    </w:tbl>
    <w:p w14:paraId="468BDE1E" w14:textId="77777777" w:rsidR="00612780" w:rsidRPr="00E07C9A" w:rsidRDefault="00612780">
      <w:pPr>
        <w:spacing w:before="0" w:after="0"/>
        <w:jc w:val="left"/>
        <w:rPr>
          <w:rStyle w:val="InstructionsTabelleText"/>
          <w:rFonts w:ascii="Times New Roman" w:hAnsi="Times New Roman"/>
          <w:sz w:val="14"/>
          <w:szCs w:val="14"/>
        </w:rPr>
      </w:pPr>
    </w:p>
    <w:p w14:paraId="7ED50B9F" w14:textId="0E21D96E" w:rsidR="00FC6275" w:rsidRPr="00E07C9A" w:rsidRDefault="00FC6275" w:rsidP="00FC6275">
      <w:pPr>
        <w:pStyle w:val="Instructionsberschrift2"/>
        <w:numPr>
          <w:ilvl w:val="0"/>
          <w:numId w:val="0"/>
        </w:numPr>
        <w:ind w:left="357" w:hanging="357"/>
        <w:rPr>
          <w:rFonts w:ascii="Times New Roman" w:hAnsi="Times New Roman" w:cs="Times New Roman"/>
          <w:sz w:val="24"/>
        </w:rPr>
      </w:pPr>
      <w:bookmarkStart w:id="434" w:name="_Toc522019895"/>
      <w:bookmarkStart w:id="435" w:name="_Toc115857830"/>
      <w:r w:rsidRPr="00E07C9A">
        <w:rPr>
          <w:rFonts w:ascii="Times New Roman" w:hAnsi="Times New Roman" w:cs="Times New Roman"/>
          <w:sz w:val="24"/>
          <w:u w:val="none"/>
        </w:rPr>
        <w:t>3.8.4.</w:t>
      </w:r>
      <w:r w:rsidRPr="00E07C9A">
        <w:rPr>
          <w:rFonts w:ascii="Times New Roman" w:hAnsi="Times New Roman" w:cs="Times New Roman"/>
          <w:u w:val="none"/>
        </w:rPr>
        <w:tab/>
      </w:r>
      <w:r w:rsidRPr="00E07C9A">
        <w:rPr>
          <w:rFonts w:ascii="Times New Roman" w:hAnsi="Times New Roman" w:cs="Times New Roman"/>
          <w:sz w:val="24"/>
        </w:rPr>
        <w:t>C 14.01 – Podrobné informácie</w:t>
      </w:r>
      <w:r w:rsidR="009912F8" w:rsidRPr="00E07C9A">
        <w:rPr>
          <w:rFonts w:ascii="Times New Roman" w:hAnsi="Times New Roman" w:cs="Times New Roman"/>
          <w:sz w:val="24"/>
        </w:rPr>
        <w:t xml:space="preserve"> o </w:t>
      </w:r>
      <w:r w:rsidRPr="00E07C9A">
        <w:rPr>
          <w:rFonts w:ascii="Times New Roman" w:hAnsi="Times New Roman" w:cs="Times New Roman"/>
          <w:sz w:val="24"/>
        </w:rPr>
        <w:t>sekuritizáciách (SEC DETAILS 2)</w:t>
      </w:r>
      <w:bookmarkEnd w:id="434"/>
      <w:bookmarkEnd w:id="435"/>
    </w:p>
    <w:bookmarkStart w:id="436" w:name="_Toc522019896"/>
    <w:p w14:paraId="4E2BD416" w14:textId="66864E64" w:rsidR="00CA4EB2" w:rsidRPr="00E07C9A" w:rsidRDefault="00771068" w:rsidP="00487A02">
      <w:pPr>
        <w:pStyle w:val="InstructionsText2"/>
        <w:numPr>
          <w:ilvl w:val="0"/>
          <w:numId w:val="0"/>
        </w:numPr>
        <w:ind w:left="1353" w:hanging="360"/>
      </w:pPr>
      <w:r w:rsidRPr="00E07C9A">
        <w:fldChar w:fldCharType="begin"/>
      </w:r>
      <w:r w:rsidRPr="00E07C9A">
        <w:instrText xml:space="preserve"> seq paragraphs </w:instrText>
      </w:r>
      <w:r w:rsidRPr="00E07C9A">
        <w:fldChar w:fldCharType="separate"/>
      </w:r>
      <w:r w:rsidR="00132AEE">
        <w:rPr>
          <w:noProof/>
        </w:rPr>
        <w:t>118</w:t>
      </w:r>
      <w:r w:rsidRPr="00E07C9A">
        <w:fldChar w:fldCharType="end"/>
      </w:r>
      <w:r w:rsidRPr="00E07C9A">
        <w:t>. Vzor SEC DETAILS 2 sa vykazuje samostatne pre tieto prístupy:</w:t>
      </w:r>
    </w:p>
    <w:p w14:paraId="02743D9E" w14:textId="77777777" w:rsidR="00CA4EB2" w:rsidRPr="00E07C9A" w:rsidRDefault="00CA4EB2" w:rsidP="00487A02">
      <w:pPr>
        <w:pStyle w:val="InstructionsText2"/>
        <w:numPr>
          <w:ilvl w:val="0"/>
          <w:numId w:val="0"/>
        </w:numPr>
        <w:ind w:left="1353" w:hanging="360"/>
      </w:pPr>
      <w:r w:rsidRPr="00E07C9A">
        <w:t>1. SEC-IRBA;</w:t>
      </w:r>
    </w:p>
    <w:p w14:paraId="406C7FE9" w14:textId="77777777" w:rsidR="00CA4EB2" w:rsidRPr="00E07C9A" w:rsidRDefault="00CA4EB2" w:rsidP="00487A02">
      <w:pPr>
        <w:pStyle w:val="InstructionsText2"/>
        <w:numPr>
          <w:ilvl w:val="0"/>
          <w:numId w:val="0"/>
        </w:numPr>
        <w:ind w:left="1353" w:hanging="360"/>
      </w:pPr>
      <w:r w:rsidRPr="00E07C9A">
        <w:t>2. SEC-SA;</w:t>
      </w:r>
    </w:p>
    <w:p w14:paraId="21228F8E" w14:textId="3F2CF048" w:rsidR="006A7EC8" w:rsidRPr="00E07C9A" w:rsidRDefault="00CA4EB2" w:rsidP="00487A02">
      <w:pPr>
        <w:pStyle w:val="InstructionsText2"/>
        <w:numPr>
          <w:ilvl w:val="0"/>
          <w:numId w:val="0"/>
        </w:numPr>
        <w:ind w:left="1353" w:hanging="360"/>
      </w:pPr>
      <w:r w:rsidRPr="00E07C9A">
        <w:t>3. SEC-ERBA;</w:t>
      </w:r>
    </w:p>
    <w:p w14:paraId="0062414C" w14:textId="4B38C11F" w:rsidR="00CA4EB2" w:rsidRPr="00E07C9A" w:rsidRDefault="00CA4EB2" w:rsidP="00487A02">
      <w:pPr>
        <w:pStyle w:val="InstructionsText2"/>
        <w:numPr>
          <w:ilvl w:val="0"/>
          <w:numId w:val="0"/>
        </w:numPr>
        <w:ind w:left="1353" w:hanging="360"/>
      </w:pPr>
      <w:r w:rsidRPr="00E07C9A">
        <w:t>4. 1 250</w:t>
      </w:r>
      <w:r w:rsidR="009912F8" w:rsidRPr="00E07C9A">
        <w:t> %</w:t>
      </w:r>
      <w:r w:rsidRPr="00E07C9A">
        <w:t>;</w:t>
      </w:r>
    </w:p>
    <w:p w14:paraId="6F7C4A1C" w14:textId="1FE96360" w:rsidR="00B12E10" w:rsidRPr="00E07C9A" w:rsidRDefault="00B12E10" w:rsidP="00487A02">
      <w:pPr>
        <w:pStyle w:val="InstructionsText2"/>
        <w:numPr>
          <w:ilvl w:val="0"/>
          <w:numId w:val="0"/>
        </w:numPr>
        <w:ind w:left="1353" w:hanging="360"/>
      </w:pPr>
      <w:r w:rsidRPr="00E07C9A">
        <w:t>5. prístup interného hodnotenia;</w:t>
      </w:r>
    </w:p>
    <w:p w14:paraId="1F10A4FD" w14:textId="4DA46199" w:rsidR="00855EAC" w:rsidRPr="00E07C9A" w:rsidRDefault="00B12E10" w:rsidP="00487A02">
      <w:pPr>
        <w:pStyle w:val="InstructionsText2"/>
        <w:numPr>
          <w:ilvl w:val="0"/>
          <w:numId w:val="0"/>
        </w:numPr>
        <w:ind w:left="1353" w:hanging="360"/>
      </w:pPr>
      <w:r w:rsidRPr="00E07C9A">
        <w:t>6. osobitné zaobchádzanie pre nadriadené tranže kvalifikovaných sekuritizácií problémových expozícií.</w:t>
      </w:r>
    </w:p>
    <w:bookmarkEnd w:id="436"/>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6"/>
        <w:gridCol w:w="7588"/>
      </w:tblGrid>
      <w:tr w:rsidR="00FC6275" w:rsidRPr="00E07C9A" w14:paraId="005DAD8B" w14:textId="77777777" w:rsidTr="00E10B85">
        <w:tc>
          <w:tcPr>
            <w:tcW w:w="9004" w:type="dxa"/>
            <w:gridSpan w:val="2"/>
            <w:shd w:val="clear" w:color="auto" w:fill="CCCCCC"/>
          </w:tcPr>
          <w:p w14:paraId="24BB9376" w14:textId="77777777" w:rsidR="00FC6275" w:rsidRPr="00E07C9A" w:rsidRDefault="00FC6275" w:rsidP="00E10B85">
            <w:pPr>
              <w:autoSpaceDE w:val="0"/>
              <w:autoSpaceDN w:val="0"/>
              <w:adjustRightInd w:val="0"/>
              <w:spacing w:before="0" w:after="0"/>
              <w:rPr>
                <w:rFonts w:ascii="Times New Roman" w:hAnsi="Times New Roman"/>
                <w:bCs/>
                <w:sz w:val="24"/>
                <w:lang w:eastAsia="nl-BE"/>
              </w:rPr>
            </w:pPr>
          </w:p>
          <w:p w14:paraId="4B14D807" w14:textId="77777777" w:rsidR="00FC6275" w:rsidRPr="00E07C9A" w:rsidRDefault="00FC6275" w:rsidP="00E10B85">
            <w:pPr>
              <w:autoSpaceDE w:val="0"/>
              <w:autoSpaceDN w:val="0"/>
              <w:adjustRightInd w:val="0"/>
              <w:spacing w:before="0" w:after="0"/>
              <w:rPr>
                <w:rFonts w:ascii="Times New Roman" w:hAnsi="Times New Roman"/>
                <w:b/>
                <w:bCs/>
                <w:sz w:val="24"/>
              </w:rPr>
            </w:pPr>
            <w:r w:rsidRPr="00E07C9A">
              <w:rPr>
                <w:rFonts w:ascii="Times New Roman" w:hAnsi="Times New Roman"/>
                <w:b/>
                <w:sz w:val="24"/>
              </w:rPr>
              <w:t>Stĺpce</w:t>
            </w:r>
          </w:p>
          <w:p w14:paraId="79B06D4A" w14:textId="77777777" w:rsidR="00FC6275" w:rsidRPr="00E07C9A" w:rsidRDefault="00FC6275" w:rsidP="00E10B85">
            <w:pPr>
              <w:autoSpaceDE w:val="0"/>
              <w:autoSpaceDN w:val="0"/>
              <w:adjustRightInd w:val="0"/>
              <w:spacing w:before="0" w:after="0"/>
              <w:rPr>
                <w:rFonts w:ascii="Times New Roman" w:hAnsi="Times New Roman"/>
                <w:bCs/>
                <w:sz w:val="24"/>
                <w:lang w:eastAsia="nl-BE"/>
              </w:rPr>
            </w:pPr>
          </w:p>
        </w:tc>
      </w:tr>
      <w:tr w:rsidR="00FC6275" w:rsidRPr="00E07C9A" w14:paraId="2EA068DF" w14:textId="77777777" w:rsidTr="00E10B85">
        <w:tc>
          <w:tcPr>
            <w:tcW w:w="1101" w:type="dxa"/>
          </w:tcPr>
          <w:p w14:paraId="24D75223" w14:textId="77777777" w:rsidR="00FC6275" w:rsidRPr="00E07C9A" w:rsidRDefault="00FC6275" w:rsidP="00E10B85">
            <w:pPr>
              <w:autoSpaceDE w:val="0"/>
              <w:autoSpaceDN w:val="0"/>
              <w:adjustRightInd w:val="0"/>
              <w:spacing w:before="0" w:after="0"/>
              <w:rPr>
                <w:rFonts w:ascii="Times New Roman" w:hAnsi="Times New Roman"/>
                <w:bCs/>
                <w:sz w:val="24"/>
              </w:rPr>
            </w:pPr>
            <w:r w:rsidRPr="00E07C9A">
              <w:rPr>
                <w:rFonts w:ascii="Times New Roman" w:hAnsi="Times New Roman"/>
                <w:sz w:val="24"/>
              </w:rPr>
              <w:t>0010</w:t>
            </w:r>
          </w:p>
        </w:tc>
        <w:tc>
          <w:tcPr>
            <w:tcW w:w="7903" w:type="dxa"/>
          </w:tcPr>
          <w:p w14:paraId="7376DBBC" w14:textId="77777777" w:rsidR="00FC6275" w:rsidRPr="00E07C9A" w:rsidRDefault="00FC6275" w:rsidP="00E10B85">
            <w:pPr>
              <w:spacing w:before="0" w:after="0"/>
              <w:jc w:val="left"/>
              <w:rPr>
                <w:rFonts w:ascii="Times New Roman" w:hAnsi="Times New Roman"/>
                <w:b/>
                <w:sz w:val="24"/>
                <w:u w:val="single"/>
              </w:rPr>
            </w:pPr>
            <w:r w:rsidRPr="00E07C9A">
              <w:rPr>
                <w:rFonts w:ascii="Times New Roman" w:hAnsi="Times New Roman"/>
                <w:b/>
                <w:sz w:val="24"/>
                <w:u w:val="single"/>
              </w:rPr>
              <w:t>INTERNÝ KÓD</w:t>
            </w:r>
          </w:p>
          <w:p w14:paraId="31D8AD6A" w14:textId="77777777" w:rsidR="00FC6275" w:rsidRPr="00E07C9A" w:rsidRDefault="00FC6275" w:rsidP="00E10B85">
            <w:pPr>
              <w:spacing w:before="0" w:after="0"/>
              <w:jc w:val="left"/>
              <w:rPr>
                <w:rFonts w:ascii="Times New Roman" w:hAnsi="Times New Roman"/>
                <w:sz w:val="24"/>
              </w:rPr>
            </w:pPr>
          </w:p>
          <w:p w14:paraId="6081878F" w14:textId="77777777" w:rsidR="00FC6275" w:rsidRPr="00E07C9A" w:rsidRDefault="00FC6275"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Interný (alfanumerický) kód, ktorý inštitúcia používa na identifikáciu sekuritizácie. Interný kód je priradený identifikátoru sekuritizačnej transakcie.</w:t>
            </w:r>
          </w:p>
          <w:p w14:paraId="643A60CC" w14:textId="77777777" w:rsidR="00FC6275" w:rsidRPr="00E07C9A"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E07C9A" w14:paraId="02485254" w14:textId="77777777" w:rsidTr="00E10B85">
        <w:tc>
          <w:tcPr>
            <w:tcW w:w="1101" w:type="dxa"/>
          </w:tcPr>
          <w:p w14:paraId="5AE40907" w14:textId="77777777" w:rsidR="00FC6275" w:rsidRPr="00E07C9A" w:rsidRDefault="00973973" w:rsidP="00E10B85">
            <w:pPr>
              <w:autoSpaceDE w:val="0"/>
              <w:autoSpaceDN w:val="0"/>
              <w:adjustRightInd w:val="0"/>
              <w:spacing w:before="0" w:after="0"/>
              <w:rPr>
                <w:rFonts w:ascii="Times New Roman" w:hAnsi="Times New Roman"/>
                <w:bCs/>
                <w:sz w:val="24"/>
              </w:rPr>
            </w:pPr>
            <w:r w:rsidRPr="00E07C9A">
              <w:rPr>
                <w:rFonts w:ascii="Times New Roman" w:hAnsi="Times New Roman"/>
                <w:sz w:val="24"/>
              </w:rPr>
              <w:t>0020</w:t>
            </w:r>
          </w:p>
        </w:tc>
        <w:tc>
          <w:tcPr>
            <w:tcW w:w="7903" w:type="dxa"/>
          </w:tcPr>
          <w:p w14:paraId="793B3F76" w14:textId="044D028F" w:rsidR="00FC6275" w:rsidRPr="00E07C9A" w:rsidRDefault="00FC6275" w:rsidP="00E10B85">
            <w:pPr>
              <w:autoSpaceDE w:val="0"/>
              <w:autoSpaceDN w:val="0"/>
              <w:adjustRightInd w:val="0"/>
              <w:spacing w:before="0" w:after="0"/>
              <w:jc w:val="left"/>
              <w:rPr>
                <w:rFonts w:ascii="Times New Roman" w:hAnsi="Times New Roman"/>
                <w:b/>
                <w:sz w:val="24"/>
                <w:u w:val="single"/>
              </w:rPr>
            </w:pPr>
            <w:r w:rsidRPr="00E07C9A">
              <w:rPr>
                <w:rFonts w:ascii="Times New Roman" w:hAnsi="Times New Roman"/>
                <w:b/>
                <w:sz w:val="24"/>
                <w:u w:val="single"/>
              </w:rPr>
              <w:t>IDENTIFIKÁTOR SEKURITIZÁCIE</w:t>
            </w:r>
          </w:p>
          <w:p w14:paraId="70FE7D9D" w14:textId="77777777" w:rsidR="00FC6275" w:rsidRPr="00E07C9A" w:rsidRDefault="00FC6275" w:rsidP="00E10B85">
            <w:pPr>
              <w:spacing w:before="0" w:after="0"/>
              <w:jc w:val="left"/>
              <w:rPr>
                <w:rFonts w:ascii="Times New Roman" w:hAnsi="Times New Roman"/>
                <w:sz w:val="24"/>
              </w:rPr>
            </w:pPr>
          </w:p>
          <w:p w14:paraId="6E25D1AA" w14:textId="69C9C269" w:rsidR="00FC6275" w:rsidRPr="00E07C9A" w:rsidRDefault="00FC6275"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Kód používaný na zákonnú registráciu sekuritizačnej pozície alebo transakcie</w:t>
            </w:r>
            <w:r w:rsidR="009912F8" w:rsidRPr="00E07C9A">
              <w:rPr>
                <w:rFonts w:ascii="Times New Roman" w:hAnsi="Times New Roman"/>
                <w:sz w:val="24"/>
              </w:rPr>
              <w:t xml:space="preserve"> v </w:t>
            </w:r>
            <w:r w:rsidRPr="00E07C9A">
              <w:rPr>
                <w:rFonts w:ascii="Times New Roman" w:hAnsi="Times New Roman"/>
                <w:sz w:val="24"/>
              </w:rPr>
              <w:t>prípade niekoľkých pozícií, ktoré možno vykázať</w:t>
            </w:r>
            <w:r w:rsidR="009912F8" w:rsidRPr="00E07C9A">
              <w:rPr>
                <w:rFonts w:ascii="Times New Roman" w:hAnsi="Times New Roman"/>
                <w:sz w:val="24"/>
              </w:rPr>
              <w:t xml:space="preserve"> v </w:t>
            </w:r>
            <w:r w:rsidRPr="00E07C9A">
              <w:rPr>
                <w:rFonts w:ascii="Times New Roman" w:hAnsi="Times New Roman"/>
                <w:sz w:val="24"/>
              </w:rPr>
              <w:t>tom istom riadku, alebo, ak nie je</w:t>
            </w:r>
            <w:r w:rsidR="009912F8" w:rsidRPr="00E07C9A">
              <w:rPr>
                <w:rFonts w:ascii="Times New Roman" w:hAnsi="Times New Roman"/>
                <w:sz w:val="24"/>
              </w:rPr>
              <w:t xml:space="preserve"> k </w:t>
            </w:r>
            <w:r w:rsidRPr="00E07C9A">
              <w:rPr>
                <w:rFonts w:ascii="Times New Roman" w:hAnsi="Times New Roman"/>
                <w:sz w:val="24"/>
              </w:rPr>
              <w:t>dispozícii, názov, pod ktorým je sekuritizačná pozícia alebo transakcia známa na trhu alebo</w:t>
            </w:r>
            <w:r w:rsidR="009912F8" w:rsidRPr="00E07C9A">
              <w:rPr>
                <w:rFonts w:ascii="Times New Roman" w:hAnsi="Times New Roman"/>
                <w:sz w:val="24"/>
              </w:rPr>
              <w:t xml:space="preserve"> v </w:t>
            </w:r>
            <w:r w:rsidRPr="00E07C9A">
              <w:rPr>
                <w:rFonts w:ascii="Times New Roman" w:hAnsi="Times New Roman"/>
                <w:sz w:val="24"/>
              </w:rPr>
              <w:t>rámci inštitúcie, ak ide</w:t>
            </w:r>
            <w:r w:rsidR="009912F8" w:rsidRPr="00E07C9A">
              <w:rPr>
                <w:rFonts w:ascii="Times New Roman" w:hAnsi="Times New Roman"/>
                <w:sz w:val="24"/>
              </w:rPr>
              <w:t xml:space="preserve"> o </w:t>
            </w:r>
            <w:r w:rsidRPr="00E07C9A">
              <w:rPr>
                <w:rFonts w:ascii="Times New Roman" w:hAnsi="Times New Roman"/>
                <w:sz w:val="24"/>
              </w:rPr>
              <w:t>internú alebo súkromnú sekuritizáciu. Keď je</w:t>
            </w:r>
            <w:r w:rsidR="009912F8" w:rsidRPr="00E07C9A">
              <w:rPr>
                <w:rFonts w:ascii="Times New Roman" w:hAnsi="Times New Roman"/>
                <w:sz w:val="24"/>
              </w:rPr>
              <w:t xml:space="preserve"> k </w:t>
            </w:r>
            <w:r w:rsidRPr="00E07C9A">
              <w:rPr>
                <w:rFonts w:ascii="Times New Roman" w:hAnsi="Times New Roman"/>
                <w:sz w:val="24"/>
              </w:rPr>
              <w:t>dispozícii medzinárodné identifikačné číslo cenného papiera ISIN (t. j. pre verejné transakcie),</w:t>
            </w:r>
            <w:r w:rsidR="009912F8" w:rsidRPr="00E07C9A">
              <w:rPr>
                <w:rFonts w:ascii="Times New Roman" w:hAnsi="Times New Roman"/>
                <w:sz w:val="24"/>
              </w:rPr>
              <w:t xml:space="preserve"> v </w:t>
            </w:r>
            <w:r w:rsidRPr="00E07C9A">
              <w:rPr>
                <w:rFonts w:ascii="Times New Roman" w:hAnsi="Times New Roman"/>
                <w:sz w:val="24"/>
              </w:rPr>
              <w:t>tomto stĺpci sa vykazujú znaky, ktoré sú spoločné pre všetky tranže sekuritizácie.</w:t>
            </w:r>
          </w:p>
          <w:p w14:paraId="3BE95AAC" w14:textId="77777777" w:rsidR="00FC6275" w:rsidRPr="00E07C9A"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E07C9A" w14:paraId="0569B09B" w14:textId="77777777" w:rsidTr="00E10B85">
        <w:tc>
          <w:tcPr>
            <w:tcW w:w="1101" w:type="dxa"/>
          </w:tcPr>
          <w:p w14:paraId="2B8B0BD3" w14:textId="77777777" w:rsidR="00FC6275" w:rsidRPr="00E07C9A" w:rsidRDefault="00973973" w:rsidP="00E10B85">
            <w:pPr>
              <w:autoSpaceDE w:val="0"/>
              <w:autoSpaceDN w:val="0"/>
              <w:adjustRightInd w:val="0"/>
              <w:spacing w:before="0" w:after="0"/>
              <w:rPr>
                <w:rFonts w:ascii="Times New Roman" w:hAnsi="Times New Roman"/>
                <w:bCs/>
                <w:sz w:val="24"/>
              </w:rPr>
            </w:pPr>
            <w:r w:rsidRPr="00E07C9A">
              <w:rPr>
                <w:rFonts w:ascii="Times New Roman" w:hAnsi="Times New Roman"/>
                <w:sz w:val="24"/>
              </w:rPr>
              <w:t>0310 –⁠ 0400</w:t>
            </w:r>
          </w:p>
        </w:tc>
        <w:tc>
          <w:tcPr>
            <w:tcW w:w="7903" w:type="dxa"/>
          </w:tcPr>
          <w:p w14:paraId="1051770C" w14:textId="77777777" w:rsidR="00FC6275" w:rsidRPr="00E07C9A" w:rsidRDefault="00FC6275" w:rsidP="00E10B85">
            <w:pPr>
              <w:spacing w:before="0" w:after="0"/>
              <w:jc w:val="left"/>
              <w:rPr>
                <w:rFonts w:ascii="Times New Roman" w:hAnsi="Times New Roman"/>
                <w:b/>
                <w:sz w:val="24"/>
                <w:u w:val="single"/>
              </w:rPr>
            </w:pPr>
            <w:r w:rsidRPr="00E07C9A">
              <w:rPr>
                <w:rFonts w:ascii="Times New Roman" w:hAnsi="Times New Roman"/>
                <w:b/>
                <w:sz w:val="24"/>
                <w:u w:val="single"/>
              </w:rPr>
              <w:t>SEKURITIZAČNÉ POZÍCIE: PÔVODNÁ EXPOZÍCIA PRED UPLATNENÍM KONVERZNÝCH FAKTOROV</w:t>
            </w:r>
          </w:p>
          <w:p w14:paraId="2050C63A" w14:textId="77777777" w:rsidR="00FC6275" w:rsidRPr="00E07C9A" w:rsidRDefault="00FC6275" w:rsidP="00E10B85">
            <w:pPr>
              <w:spacing w:before="0" w:after="0"/>
              <w:jc w:val="left"/>
              <w:rPr>
                <w:rFonts w:ascii="Times New Roman" w:hAnsi="Times New Roman"/>
                <w:sz w:val="24"/>
              </w:rPr>
            </w:pPr>
          </w:p>
          <w:p w14:paraId="3E418085" w14:textId="72508DD9" w:rsidR="009912F8" w:rsidRPr="00E07C9A" w:rsidRDefault="00FC6275" w:rsidP="00E10B85">
            <w:pPr>
              <w:spacing w:before="0" w:after="0"/>
              <w:rPr>
                <w:rFonts w:ascii="Times New Roman" w:hAnsi="Times New Roman"/>
                <w:sz w:val="24"/>
              </w:rPr>
            </w:pPr>
            <w:r w:rsidRPr="00E07C9A">
              <w:rPr>
                <w:rFonts w:ascii="Times New Roman" w:hAnsi="Times New Roman"/>
                <w:sz w:val="24"/>
              </w:rPr>
              <w:t>V tomto bloku stĺpcov sa vykazujú informácie</w:t>
            </w:r>
            <w:r w:rsidR="009912F8" w:rsidRPr="00E07C9A">
              <w:rPr>
                <w:rFonts w:ascii="Times New Roman" w:hAnsi="Times New Roman"/>
                <w:sz w:val="24"/>
              </w:rPr>
              <w:t xml:space="preserve"> o </w:t>
            </w:r>
            <w:r w:rsidRPr="00E07C9A">
              <w:rPr>
                <w:rFonts w:ascii="Times New Roman" w:hAnsi="Times New Roman"/>
                <w:sz w:val="24"/>
              </w:rPr>
              <w:t>sekuritizačných pozíciách</w:t>
            </w:r>
            <w:r w:rsidR="009912F8" w:rsidRPr="00E07C9A">
              <w:rPr>
                <w:rFonts w:ascii="Times New Roman" w:hAnsi="Times New Roman"/>
                <w:sz w:val="24"/>
              </w:rPr>
              <w:t xml:space="preserve"> v </w:t>
            </w:r>
            <w:r w:rsidRPr="00E07C9A">
              <w:rPr>
                <w:rFonts w:ascii="Times New Roman" w:hAnsi="Times New Roman"/>
                <w:sz w:val="24"/>
              </w:rPr>
              <w:t>rozčlenení podľa súvahových/podsúvahových pozícií</w:t>
            </w:r>
            <w:r w:rsidR="009912F8" w:rsidRPr="00E07C9A">
              <w:rPr>
                <w:rFonts w:ascii="Times New Roman" w:hAnsi="Times New Roman"/>
                <w:sz w:val="24"/>
              </w:rPr>
              <w:t xml:space="preserve"> a </w:t>
            </w:r>
            <w:r w:rsidRPr="00E07C9A">
              <w:rPr>
                <w:rFonts w:ascii="Times New Roman" w:hAnsi="Times New Roman"/>
                <w:sz w:val="24"/>
              </w:rPr>
              <w:t>tranží (nadriadené/mezanínové/prvej straty)</w:t>
            </w:r>
            <w:r w:rsidR="009912F8" w:rsidRPr="00E07C9A">
              <w:rPr>
                <w:rFonts w:ascii="Times New Roman" w:hAnsi="Times New Roman"/>
                <w:sz w:val="24"/>
              </w:rPr>
              <w:t xml:space="preserve"> k </w:t>
            </w:r>
            <w:r w:rsidRPr="00E07C9A">
              <w:rPr>
                <w:rFonts w:ascii="Times New Roman" w:hAnsi="Times New Roman"/>
                <w:sz w:val="24"/>
              </w:rPr>
              <w:t>dátumu vykazovania</w:t>
            </w:r>
            <w:r w:rsidR="009912F8" w:rsidRPr="00E07C9A">
              <w:rPr>
                <w:rFonts w:ascii="Times New Roman" w:hAnsi="Times New Roman"/>
                <w:sz w:val="24"/>
              </w:rPr>
              <w:t>.</w:t>
            </w:r>
          </w:p>
          <w:p w14:paraId="5CA01C47" w14:textId="1AAEC829" w:rsidR="00FC6275" w:rsidRPr="00E07C9A" w:rsidRDefault="00FC6275" w:rsidP="00E10B85">
            <w:pPr>
              <w:spacing w:before="0" w:after="0"/>
              <w:jc w:val="left"/>
              <w:rPr>
                <w:rFonts w:ascii="Times New Roman" w:hAnsi="Times New Roman"/>
                <w:sz w:val="24"/>
              </w:rPr>
            </w:pPr>
          </w:p>
        </w:tc>
      </w:tr>
      <w:tr w:rsidR="00FC6275" w:rsidRPr="00E07C9A" w14:paraId="7CAC076D" w14:textId="77777777" w:rsidTr="00E10B85">
        <w:tc>
          <w:tcPr>
            <w:tcW w:w="1101" w:type="dxa"/>
          </w:tcPr>
          <w:p w14:paraId="42A8D17F" w14:textId="77777777" w:rsidR="00FC6275" w:rsidRPr="00E07C9A" w:rsidRDefault="00973973" w:rsidP="00E10B85">
            <w:pPr>
              <w:autoSpaceDE w:val="0"/>
              <w:autoSpaceDN w:val="0"/>
              <w:adjustRightInd w:val="0"/>
              <w:spacing w:before="0" w:after="0"/>
              <w:rPr>
                <w:rFonts w:ascii="Times New Roman" w:hAnsi="Times New Roman"/>
                <w:bCs/>
                <w:sz w:val="24"/>
              </w:rPr>
            </w:pPr>
            <w:r w:rsidRPr="00E07C9A">
              <w:rPr>
                <w:rFonts w:ascii="Times New Roman" w:hAnsi="Times New Roman"/>
                <w:sz w:val="24"/>
              </w:rPr>
              <w:t>0310 –⁠ 0330</w:t>
            </w:r>
          </w:p>
        </w:tc>
        <w:tc>
          <w:tcPr>
            <w:tcW w:w="7903" w:type="dxa"/>
          </w:tcPr>
          <w:p w14:paraId="13DB80B8" w14:textId="77777777" w:rsidR="009912F8" w:rsidRPr="00E07C9A" w:rsidRDefault="00FC6275" w:rsidP="00E10B85">
            <w:pPr>
              <w:spacing w:before="0" w:after="0"/>
              <w:jc w:val="left"/>
              <w:rPr>
                <w:rFonts w:ascii="Times New Roman" w:hAnsi="Times New Roman"/>
                <w:b/>
                <w:sz w:val="24"/>
                <w:u w:val="single"/>
              </w:rPr>
            </w:pPr>
            <w:r w:rsidRPr="00E07C9A">
              <w:rPr>
                <w:rFonts w:ascii="Times New Roman" w:hAnsi="Times New Roman"/>
                <w:b/>
                <w:sz w:val="24"/>
                <w:u w:val="single"/>
              </w:rPr>
              <w:t>SÚVAHOVÉ POLOŽKY</w:t>
            </w:r>
          </w:p>
          <w:p w14:paraId="19033EA0" w14:textId="449499C2" w:rsidR="00FC6275" w:rsidRPr="00E07C9A" w:rsidRDefault="00FC6275" w:rsidP="00E10B85">
            <w:pPr>
              <w:spacing w:before="0" w:after="0"/>
              <w:jc w:val="left"/>
              <w:rPr>
                <w:rFonts w:ascii="Times New Roman" w:hAnsi="Times New Roman"/>
                <w:sz w:val="24"/>
              </w:rPr>
            </w:pPr>
          </w:p>
          <w:p w14:paraId="2C863746" w14:textId="297C3EA2" w:rsidR="00FC6275" w:rsidRPr="00E07C9A" w:rsidRDefault="00FC6275" w:rsidP="00E10B85">
            <w:pPr>
              <w:spacing w:before="0" w:after="0"/>
              <w:jc w:val="left"/>
              <w:rPr>
                <w:rFonts w:ascii="Times New Roman" w:hAnsi="Times New Roman"/>
                <w:sz w:val="24"/>
              </w:rPr>
            </w:pPr>
            <w:r w:rsidRPr="00E07C9A">
              <w:rPr>
                <w:rFonts w:ascii="Times New Roman" w:hAnsi="Times New Roman"/>
                <w:sz w:val="24"/>
              </w:rPr>
              <w:t>Uplatňujú sa tu rovnaké kritériá na klasifikáciu tranží ako pri stĺpcoch 0230, 0240</w:t>
            </w:r>
            <w:r w:rsidR="009912F8" w:rsidRPr="00E07C9A">
              <w:rPr>
                <w:rFonts w:ascii="Times New Roman" w:hAnsi="Times New Roman"/>
                <w:sz w:val="24"/>
              </w:rPr>
              <w:t xml:space="preserve"> a </w:t>
            </w:r>
            <w:r w:rsidRPr="00E07C9A">
              <w:rPr>
                <w:rFonts w:ascii="Times New Roman" w:hAnsi="Times New Roman"/>
                <w:sz w:val="24"/>
              </w:rPr>
              <w:t>0250 vzoru C 14.00.</w:t>
            </w:r>
          </w:p>
          <w:p w14:paraId="34034648" w14:textId="77777777" w:rsidR="00FC6275" w:rsidRPr="00E07C9A" w:rsidRDefault="00FC6275" w:rsidP="00E10B85">
            <w:pPr>
              <w:spacing w:before="0" w:after="0"/>
              <w:jc w:val="left"/>
              <w:rPr>
                <w:rFonts w:ascii="Times New Roman" w:hAnsi="Times New Roman"/>
                <w:sz w:val="24"/>
              </w:rPr>
            </w:pPr>
          </w:p>
        </w:tc>
      </w:tr>
      <w:tr w:rsidR="00FC6275" w:rsidRPr="00E07C9A" w14:paraId="6280B5D5" w14:textId="77777777" w:rsidTr="00E10B85">
        <w:tc>
          <w:tcPr>
            <w:tcW w:w="1101" w:type="dxa"/>
          </w:tcPr>
          <w:p w14:paraId="6EA5E78A" w14:textId="413CCC0E" w:rsidR="00FC6275" w:rsidRPr="00E07C9A" w:rsidRDefault="00973973" w:rsidP="007421F4">
            <w:pPr>
              <w:autoSpaceDE w:val="0"/>
              <w:autoSpaceDN w:val="0"/>
              <w:adjustRightInd w:val="0"/>
              <w:spacing w:before="0" w:after="0"/>
              <w:rPr>
                <w:rFonts w:ascii="Times New Roman" w:hAnsi="Times New Roman"/>
                <w:bCs/>
                <w:sz w:val="24"/>
              </w:rPr>
            </w:pPr>
            <w:r w:rsidRPr="00E07C9A">
              <w:rPr>
                <w:rFonts w:ascii="Times New Roman" w:hAnsi="Times New Roman"/>
                <w:sz w:val="24"/>
              </w:rPr>
              <w:t>0340 – 0362</w:t>
            </w:r>
          </w:p>
        </w:tc>
        <w:tc>
          <w:tcPr>
            <w:tcW w:w="7903" w:type="dxa"/>
          </w:tcPr>
          <w:p w14:paraId="6DB09E94" w14:textId="77777777" w:rsidR="00FC6275" w:rsidRPr="00E07C9A" w:rsidRDefault="00FC6275" w:rsidP="00E10B85">
            <w:pPr>
              <w:spacing w:before="0" w:after="0"/>
              <w:jc w:val="left"/>
              <w:rPr>
                <w:rFonts w:ascii="Times New Roman" w:hAnsi="Times New Roman"/>
                <w:b/>
                <w:sz w:val="24"/>
                <w:u w:val="single"/>
              </w:rPr>
            </w:pPr>
            <w:r w:rsidRPr="00E07C9A">
              <w:rPr>
                <w:rFonts w:ascii="Times New Roman" w:hAnsi="Times New Roman"/>
                <w:b/>
                <w:sz w:val="24"/>
                <w:u w:val="single"/>
              </w:rPr>
              <w:t>PODSÚVAHOVÉ POLOŽKY A DERIVÁTY</w:t>
            </w:r>
          </w:p>
          <w:p w14:paraId="2BC080F0" w14:textId="77777777" w:rsidR="00FC6275" w:rsidRPr="00E07C9A" w:rsidRDefault="00FC6275" w:rsidP="00E10B85">
            <w:pPr>
              <w:spacing w:before="0" w:after="0"/>
              <w:jc w:val="left"/>
              <w:rPr>
                <w:rFonts w:ascii="Times New Roman" w:hAnsi="Times New Roman"/>
                <w:sz w:val="24"/>
              </w:rPr>
            </w:pPr>
          </w:p>
          <w:p w14:paraId="131F43B1" w14:textId="0F29C3D7" w:rsidR="00FC6275" w:rsidRPr="00E07C9A" w:rsidRDefault="00FC6275" w:rsidP="00E10B85">
            <w:pPr>
              <w:spacing w:before="0" w:after="0"/>
              <w:jc w:val="left"/>
              <w:rPr>
                <w:rFonts w:ascii="Times New Roman" w:hAnsi="Times New Roman"/>
                <w:sz w:val="24"/>
              </w:rPr>
            </w:pPr>
            <w:r w:rsidRPr="00E07C9A">
              <w:rPr>
                <w:rFonts w:ascii="Times New Roman" w:hAnsi="Times New Roman"/>
                <w:sz w:val="24"/>
              </w:rPr>
              <w:t>Uplatňujú sa tu rovnaké kritériá na klasifikáciu tranží ako pri stĺpcoch 0260 až 0287 vzoru C 14.00.</w:t>
            </w:r>
          </w:p>
          <w:p w14:paraId="3174A23C" w14:textId="77777777" w:rsidR="00FC6275" w:rsidRPr="00E07C9A" w:rsidRDefault="00FC6275" w:rsidP="00E10B85">
            <w:pPr>
              <w:spacing w:before="0" w:after="0"/>
              <w:jc w:val="left"/>
              <w:rPr>
                <w:rFonts w:ascii="Times New Roman" w:hAnsi="Times New Roman"/>
                <w:sz w:val="24"/>
              </w:rPr>
            </w:pPr>
          </w:p>
        </w:tc>
      </w:tr>
      <w:tr w:rsidR="00FC6275" w:rsidRPr="00E07C9A" w14:paraId="783E2A03" w14:textId="77777777" w:rsidTr="00E10B85">
        <w:tc>
          <w:tcPr>
            <w:tcW w:w="1101" w:type="dxa"/>
          </w:tcPr>
          <w:p w14:paraId="7ECC84A4" w14:textId="08D084D0" w:rsidR="00FC6275" w:rsidRPr="00E07C9A" w:rsidRDefault="00973973"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0351</w:t>
            </w:r>
            <w:r w:rsidR="009912F8" w:rsidRPr="00E07C9A">
              <w:rPr>
                <w:rFonts w:ascii="Times New Roman" w:hAnsi="Times New Roman"/>
                <w:sz w:val="24"/>
              </w:rPr>
              <w:t xml:space="preserve"> a </w:t>
            </w:r>
            <w:r w:rsidRPr="00E07C9A">
              <w:rPr>
                <w:rFonts w:ascii="Times New Roman" w:hAnsi="Times New Roman"/>
                <w:sz w:val="24"/>
              </w:rPr>
              <w:t>0361</w:t>
            </w:r>
          </w:p>
        </w:tc>
        <w:tc>
          <w:tcPr>
            <w:tcW w:w="7903" w:type="dxa"/>
          </w:tcPr>
          <w:p w14:paraId="070986BC" w14:textId="77777777" w:rsidR="00FC6275" w:rsidRPr="00E07C9A" w:rsidRDefault="00FC6275" w:rsidP="00E10B85">
            <w:pPr>
              <w:autoSpaceDE w:val="0"/>
              <w:autoSpaceDN w:val="0"/>
              <w:adjustRightInd w:val="0"/>
              <w:spacing w:before="0" w:after="0"/>
              <w:jc w:val="left"/>
              <w:rPr>
                <w:rFonts w:ascii="Times New Roman" w:hAnsi="Times New Roman"/>
                <w:b/>
                <w:sz w:val="24"/>
                <w:u w:val="single"/>
              </w:rPr>
            </w:pPr>
            <w:r w:rsidRPr="00E07C9A">
              <w:rPr>
                <w:rFonts w:ascii="Times New Roman" w:hAnsi="Times New Roman"/>
                <w:b/>
                <w:sz w:val="24"/>
                <w:u w:val="single"/>
              </w:rPr>
              <w:t>RIZIKOVÉ VÁHY ZODPOVEDAJÚCE POSKYTOVATEĽOVI/NÁSTROJU ZABEZPEČENIA</w:t>
            </w:r>
          </w:p>
          <w:p w14:paraId="13829737" w14:textId="77777777" w:rsidR="00FC6275" w:rsidRPr="00E07C9A" w:rsidRDefault="00FC6275" w:rsidP="00E10B85">
            <w:pPr>
              <w:autoSpaceDE w:val="0"/>
              <w:autoSpaceDN w:val="0"/>
              <w:adjustRightInd w:val="0"/>
              <w:spacing w:before="0" w:after="0"/>
              <w:jc w:val="left"/>
              <w:rPr>
                <w:rFonts w:ascii="Times New Roman" w:hAnsi="Times New Roman"/>
                <w:b/>
                <w:sz w:val="24"/>
                <w:u w:val="single"/>
              </w:rPr>
            </w:pPr>
          </w:p>
          <w:p w14:paraId="13EFE64F" w14:textId="0DC7CFC4" w:rsidR="00FC6275" w:rsidRPr="00E07C9A" w:rsidRDefault="00FC6275" w:rsidP="00E10B85">
            <w:pPr>
              <w:autoSpaceDE w:val="0"/>
              <w:autoSpaceDN w:val="0"/>
              <w:adjustRightInd w:val="0"/>
              <w:spacing w:before="0" w:after="0"/>
              <w:jc w:val="left"/>
              <w:rPr>
                <w:rFonts w:ascii="Times New Roman" w:hAnsi="Times New Roman"/>
                <w:sz w:val="24"/>
              </w:rPr>
            </w:pPr>
            <w:r w:rsidRPr="00E07C9A">
              <w:rPr>
                <w:rFonts w:ascii="Times New Roman" w:hAnsi="Times New Roman"/>
                <w:sz w:val="24"/>
              </w:rPr>
              <w:t>% rizikovej váhy prípustného ručiteľa alebo</w:t>
            </w:r>
            <w:r w:rsidR="009912F8" w:rsidRPr="00E07C9A">
              <w:rPr>
                <w:rFonts w:ascii="Times New Roman" w:hAnsi="Times New Roman"/>
                <w:sz w:val="24"/>
              </w:rPr>
              <w:t> %</w:t>
            </w:r>
            <w:r w:rsidRPr="00E07C9A">
              <w:rPr>
                <w:rFonts w:ascii="Times New Roman" w:hAnsi="Times New Roman"/>
                <w:sz w:val="24"/>
              </w:rPr>
              <w:t xml:space="preserve"> rizikovej váhy príslušného nástroja, ktorým sa poskytuje zabezpečenie</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249 nariadenia (EÚ) </w:t>
            </w:r>
            <w:r w:rsidR="009912F8" w:rsidRPr="00E07C9A">
              <w:rPr>
                <w:rFonts w:ascii="Times New Roman" w:hAnsi="Times New Roman"/>
                <w:sz w:val="24"/>
              </w:rPr>
              <w:t>č. 575/2013</w:t>
            </w:r>
            <w:r w:rsidRPr="00E07C9A">
              <w:rPr>
                <w:rFonts w:ascii="Times New Roman" w:hAnsi="Times New Roman"/>
                <w:sz w:val="24"/>
              </w:rPr>
              <w:t>.</w:t>
            </w:r>
          </w:p>
          <w:p w14:paraId="7563298E" w14:textId="77777777" w:rsidR="00FC6275" w:rsidRPr="00E07C9A" w:rsidRDefault="00FC6275" w:rsidP="00E10B85">
            <w:pPr>
              <w:autoSpaceDE w:val="0"/>
              <w:autoSpaceDN w:val="0"/>
              <w:adjustRightInd w:val="0"/>
              <w:spacing w:before="0" w:after="0"/>
              <w:jc w:val="left"/>
              <w:rPr>
                <w:rFonts w:ascii="Times New Roman" w:hAnsi="Times New Roman"/>
                <w:b/>
                <w:sz w:val="24"/>
                <w:u w:val="single"/>
              </w:rPr>
            </w:pPr>
          </w:p>
        </w:tc>
      </w:tr>
      <w:tr w:rsidR="007421F4" w:rsidRPr="00E07C9A" w14:paraId="5C51007F" w14:textId="77777777" w:rsidTr="00E10B85">
        <w:tc>
          <w:tcPr>
            <w:tcW w:w="1101" w:type="dxa"/>
          </w:tcPr>
          <w:p w14:paraId="2B9C576D" w14:textId="79037309" w:rsidR="007421F4" w:rsidRPr="00E07C9A" w:rsidRDefault="007421F4"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0362</w:t>
            </w:r>
          </w:p>
        </w:tc>
        <w:tc>
          <w:tcPr>
            <w:tcW w:w="7903" w:type="dxa"/>
          </w:tcPr>
          <w:p w14:paraId="57011843" w14:textId="77777777" w:rsidR="007421F4" w:rsidRPr="00E07C9A" w:rsidRDefault="007421F4" w:rsidP="00E10B85">
            <w:pPr>
              <w:autoSpaceDE w:val="0"/>
              <w:autoSpaceDN w:val="0"/>
              <w:adjustRightInd w:val="0"/>
              <w:spacing w:before="0" w:after="0"/>
              <w:jc w:val="left"/>
              <w:rPr>
                <w:rFonts w:ascii="Times New Roman" w:hAnsi="Times New Roman"/>
                <w:b/>
                <w:sz w:val="24"/>
                <w:u w:val="single"/>
              </w:rPr>
            </w:pPr>
            <w:r w:rsidRPr="00E07C9A">
              <w:rPr>
                <w:rFonts w:ascii="Times New Roman" w:hAnsi="Times New Roman"/>
                <w:b/>
                <w:sz w:val="24"/>
                <w:u w:val="single"/>
              </w:rPr>
              <w:t>SYNTETICKÁ PREBYTKOVÁ MARŽA</w:t>
            </w:r>
          </w:p>
          <w:p w14:paraId="0988FD01" w14:textId="77777777" w:rsidR="007421F4" w:rsidRPr="00E07C9A" w:rsidRDefault="007421F4" w:rsidP="00E10B85">
            <w:pPr>
              <w:autoSpaceDE w:val="0"/>
              <w:autoSpaceDN w:val="0"/>
              <w:adjustRightInd w:val="0"/>
              <w:spacing w:before="0" w:after="0"/>
              <w:jc w:val="left"/>
              <w:rPr>
                <w:rFonts w:ascii="Times New Roman" w:hAnsi="Times New Roman"/>
                <w:b/>
                <w:sz w:val="24"/>
                <w:u w:val="single"/>
              </w:rPr>
            </w:pPr>
          </w:p>
          <w:p w14:paraId="09C1B75D" w14:textId="0179373D" w:rsidR="009912F8" w:rsidRPr="00E07C9A" w:rsidRDefault="00C24F3F" w:rsidP="0037077A">
            <w:pPr>
              <w:autoSpaceDE w:val="0"/>
              <w:autoSpaceDN w:val="0"/>
              <w:adjustRightInd w:val="0"/>
              <w:spacing w:before="0" w:after="0"/>
              <w:jc w:val="left"/>
              <w:rPr>
                <w:rFonts w:ascii="Times New Roman" w:hAnsi="Times New Roman"/>
                <w:sz w:val="24"/>
              </w:rPr>
            </w:pPr>
            <w:r w:rsidRPr="00E07C9A">
              <w:rPr>
                <w:rFonts w:ascii="Times New Roman" w:hAnsi="Times New Roman"/>
                <w:sz w:val="24"/>
              </w:rPr>
              <w:t>Článok 242 bod 20, článok 248 ods. 1 písm. e)</w:t>
            </w:r>
            <w:r w:rsidR="009912F8" w:rsidRPr="00E07C9A">
              <w:rPr>
                <w:rFonts w:ascii="Times New Roman" w:hAnsi="Times New Roman"/>
                <w:sz w:val="24"/>
              </w:rPr>
              <w:t xml:space="preserve"> a </w:t>
            </w:r>
            <w:r w:rsidRPr="00E07C9A">
              <w:rPr>
                <w:rFonts w:ascii="Times New Roman" w:hAnsi="Times New Roman"/>
                <w:sz w:val="24"/>
              </w:rPr>
              <w:t xml:space="preserve">článok 256 ods. 6 nariadenia (EÚ) </w:t>
            </w:r>
            <w:r w:rsidR="009912F8" w:rsidRPr="00E07C9A">
              <w:rPr>
                <w:rFonts w:ascii="Times New Roman" w:hAnsi="Times New Roman"/>
                <w:sz w:val="24"/>
              </w:rPr>
              <w:t>č. 575/2013</w:t>
            </w:r>
          </w:p>
          <w:p w14:paraId="66950D54" w14:textId="32C9FB7D" w:rsidR="002339F2" w:rsidRPr="00E07C9A" w:rsidRDefault="002339F2" w:rsidP="0037077A">
            <w:pPr>
              <w:autoSpaceDE w:val="0"/>
              <w:autoSpaceDN w:val="0"/>
              <w:adjustRightInd w:val="0"/>
              <w:spacing w:before="0" w:after="0"/>
              <w:jc w:val="left"/>
              <w:rPr>
                <w:rFonts w:ascii="Times New Roman" w:hAnsi="Times New Roman"/>
                <w:sz w:val="24"/>
              </w:rPr>
            </w:pPr>
          </w:p>
          <w:p w14:paraId="77D51587" w14:textId="1FB10EE4" w:rsidR="00C24F3F" w:rsidRPr="00E07C9A" w:rsidRDefault="0037077A" w:rsidP="0037077A">
            <w:pPr>
              <w:autoSpaceDE w:val="0"/>
              <w:autoSpaceDN w:val="0"/>
              <w:adjustRightInd w:val="0"/>
              <w:spacing w:before="0" w:after="0"/>
              <w:jc w:val="left"/>
              <w:rPr>
                <w:rFonts w:ascii="Times New Roman" w:hAnsi="Times New Roman"/>
                <w:sz w:val="24"/>
              </w:rPr>
            </w:pPr>
            <w:r w:rsidRPr="00E07C9A">
              <w:rPr>
                <w:rFonts w:ascii="Times New Roman" w:hAnsi="Times New Roman"/>
                <w:sz w:val="24"/>
              </w:rPr>
              <w:t>Tento stĺpec sa vykazuje len vtedy, ak sa stĺpec 0110 vykazuje ako „originátor“.</w:t>
            </w:r>
          </w:p>
          <w:p w14:paraId="27D2C80A" w14:textId="33C43744" w:rsidR="0037077A" w:rsidRPr="00E07C9A" w:rsidRDefault="0037077A" w:rsidP="00E10B85">
            <w:pPr>
              <w:autoSpaceDE w:val="0"/>
              <w:autoSpaceDN w:val="0"/>
              <w:adjustRightInd w:val="0"/>
              <w:spacing w:before="0" w:after="0"/>
              <w:jc w:val="left"/>
              <w:rPr>
                <w:rFonts w:ascii="Times New Roman" w:hAnsi="Times New Roman"/>
                <w:b/>
                <w:sz w:val="24"/>
                <w:u w:val="single"/>
              </w:rPr>
            </w:pPr>
          </w:p>
        </w:tc>
      </w:tr>
      <w:tr w:rsidR="00FC6275" w:rsidRPr="00E07C9A" w14:paraId="78A91F70" w14:textId="77777777" w:rsidTr="00E10B85">
        <w:tc>
          <w:tcPr>
            <w:tcW w:w="1101" w:type="dxa"/>
          </w:tcPr>
          <w:p w14:paraId="03DEB7FE" w14:textId="77777777" w:rsidR="00FC6275" w:rsidRPr="00E07C9A" w:rsidRDefault="00973973"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0370 –⁠ 0400</w:t>
            </w:r>
          </w:p>
        </w:tc>
        <w:tc>
          <w:tcPr>
            <w:tcW w:w="7903" w:type="dxa"/>
          </w:tcPr>
          <w:p w14:paraId="12454B57" w14:textId="77777777" w:rsidR="00FC6275" w:rsidRPr="00E07C9A" w:rsidRDefault="00FC6275" w:rsidP="00E10B85">
            <w:pPr>
              <w:autoSpaceDE w:val="0"/>
              <w:autoSpaceDN w:val="0"/>
              <w:adjustRightInd w:val="0"/>
              <w:spacing w:before="0" w:after="0"/>
              <w:jc w:val="left"/>
              <w:rPr>
                <w:rFonts w:ascii="Times New Roman" w:hAnsi="Times New Roman"/>
                <w:b/>
                <w:sz w:val="24"/>
                <w:u w:val="single"/>
              </w:rPr>
            </w:pPr>
            <w:r w:rsidRPr="00E07C9A">
              <w:rPr>
                <w:rFonts w:ascii="Times New Roman" w:hAnsi="Times New Roman"/>
                <w:b/>
                <w:sz w:val="24"/>
                <w:u w:val="single"/>
              </w:rPr>
              <w:t>DOPLŇUJÚCE POLOŽKY: PODSÚVAHOVÉ POLOŽKY A DERIVÁTY PRED UPLATNENÍM KONVERZNÝCH FAKTOROV</w:t>
            </w:r>
          </w:p>
          <w:p w14:paraId="076807B3" w14:textId="77777777" w:rsidR="00FC6275" w:rsidRPr="00E07C9A" w:rsidRDefault="00FC6275" w:rsidP="00E10B85">
            <w:pPr>
              <w:autoSpaceDE w:val="0"/>
              <w:autoSpaceDN w:val="0"/>
              <w:adjustRightInd w:val="0"/>
              <w:spacing w:before="0" w:after="0"/>
              <w:jc w:val="left"/>
              <w:rPr>
                <w:rFonts w:ascii="Times New Roman" w:hAnsi="Times New Roman"/>
                <w:b/>
                <w:sz w:val="24"/>
                <w:u w:val="single"/>
              </w:rPr>
            </w:pPr>
          </w:p>
          <w:p w14:paraId="3CFC0F41" w14:textId="2D259D07" w:rsidR="00FC6275" w:rsidRPr="00E07C9A" w:rsidRDefault="00FC6275"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V tomto bloku stĺpcov sa vykazujú dodatočné informácie</w:t>
            </w:r>
            <w:r w:rsidR="009912F8" w:rsidRPr="00E07C9A">
              <w:rPr>
                <w:rFonts w:ascii="Times New Roman" w:hAnsi="Times New Roman"/>
                <w:sz w:val="24"/>
              </w:rPr>
              <w:t xml:space="preserve"> o </w:t>
            </w:r>
            <w:r w:rsidRPr="00E07C9A">
              <w:rPr>
                <w:rFonts w:ascii="Times New Roman" w:hAnsi="Times New Roman"/>
                <w:sz w:val="24"/>
              </w:rPr>
              <w:t>celkových podsúvahových položkách</w:t>
            </w:r>
            <w:r w:rsidR="009912F8" w:rsidRPr="00E07C9A">
              <w:rPr>
                <w:rFonts w:ascii="Times New Roman" w:hAnsi="Times New Roman"/>
                <w:sz w:val="24"/>
              </w:rPr>
              <w:t xml:space="preserve"> a </w:t>
            </w:r>
            <w:r w:rsidRPr="00E07C9A">
              <w:rPr>
                <w:rFonts w:ascii="Times New Roman" w:hAnsi="Times New Roman"/>
                <w:sz w:val="24"/>
              </w:rPr>
              <w:t>derivátoch (ktoré sa už vykázali</w:t>
            </w:r>
            <w:r w:rsidR="009912F8" w:rsidRPr="00E07C9A">
              <w:rPr>
                <w:rFonts w:ascii="Times New Roman" w:hAnsi="Times New Roman"/>
                <w:sz w:val="24"/>
              </w:rPr>
              <w:t xml:space="preserve"> v </w:t>
            </w:r>
            <w:r w:rsidRPr="00E07C9A">
              <w:rPr>
                <w:rFonts w:ascii="Times New Roman" w:hAnsi="Times New Roman"/>
                <w:sz w:val="24"/>
              </w:rPr>
              <w:t>inom rozčlenení</w:t>
            </w:r>
            <w:r w:rsidR="009912F8" w:rsidRPr="00E07C9A">
              <w:rPr>
                <w:rFonts w:ascii="Times New Roman" w:hAnsi="Times New Roman"/>
                <w:sz w:val="24"/>
              </w:rPr>
              <w:t xml:space="preserve"> v </w:t>
            </w:r>
            <w:r w:rsidRPr="00E07C9A">
              <w:rPr>
                <w:rFonts w:ascii="Times New Roman" w:hAnsi="Times New Roman"/>
                <w:sz w:val="24"/>
              </w:rPr>
              <w:t>stĺpcoch 0340 – 0361).</w:t>
            </w:r>
          </w:p>
          <w:p w14:paraId="2CE2176B" w14:textId="77777777" w:rsidR="00FC6275" w:rsidRPr="00E07C9A" w:rsidRDefault="00FC6275" w:rsidP="00E10B85">
            <w:pPr>
              <w:autoSpaceDE w:val="0"/>
              <w:autoSpaceDN w:val="0"/>
              <w:adjustRightInd w:val="0"/>
              <w:spacing w:before="0" w:after="0"/>
              <w:jc w:val="left"/>
              <w:rPr>
                <w:rFonts w:ascii="Times New Roman" w:hAnsi="Times New Roman"/>
                <w:sz w:val="24"/>
              </w:rPr>
            </w:pPr>
          </w:p>
        </w:tc>
      </w:tr>
      <w:tr w:rsidR="00FC6275" w:rsidRPr="00E07C9A" w14:paraId="1244256F" w14:textId="77777777" w:rsidTr="00E10B85">
        <w:tc>
          <w:tcPr>
            <w:tcW w:w="1101" w:type="dxa"/>
          </w:tcPr>
          <w:p w14:paraId="0B27F50A" w14:textId="77777777" w:rsidR="00FC6275" w:rsidRPr="00E07C9A" w:rsidRDefault="00973973"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0370</w:t>
            </w:r>
          </w:p>
        </w:tc>
        <w:tc>
          <w:tcPr>
            <w:tcW w:w="7903" w:type="dxa"/>
          </w:tcPr>
          <w:p w14:paraId="16F04319" w14:textId="77777777" w:rsidR="00FC6275" w:rsidRPr="00E07C9A" w:rsidRDefault="00FC6275" w:rsidP="00E10B85">
            <w:pPr>
              <w:autoSpaceDE w:val="0"/>
              <w:autoSpaceDN w:val="0"/>
              <w:adjustRightInd w:val="0"/>
              <w:spacing w:before="0" w:after="0"/>
              <w:jc w:val="left"/>
              <w:rPr>
                <w:rFonts w:ascii="Times New Roman" w:hAnsi="Times New Roman"/>
                <w:b/>
                <w:sz w:val="24"/>
                <w:u w:val="single"/>
              </w:rPr>
            </w:pPr>
            <w:r w:rsidRPr="00E07C9A">
              <w:rPr>
                <w:rFonts w:ascii="Times New Roman" w:hAnsi="Times New Roman"/>
                <w:b/>
                <w:sz w:val="24"/>
                <w:u w:val="single"/>
              </w:rPr>
              <w:t>PRIAME ÚVEROVÉ SUBSTITÚTY (DCS)</w:t>
            </w:r>
          </w:p>
          <w:p w14:paraId="1A4ACDFB" w14:textId="77777777" w:rsidR="00FC6275" w:rsidRPr="00E07C9A" w:rsidRDefault="00FC6275" w:rsidP="00E10B85">
            <w:pPr>
              <w:autoSpaceDE w:val="0"/>
              <w:autoSpaceDN w:val="0"/>
              <w:adjustRightInd w:val="0"/>
              <w:spacing w:before="0" w:after="0"/>
              <w:jc w:val="left"/>
              <w:rPr>
                <w:rFonts w:ascii="Times New Roman" w:hAnsi="Times New Roman"/>
                <w:b/>
                <w:sz w:val="24"/>
                <w:u w:val="single"/>
              </w:rPr>
            </w:pPr>
          </w:p>
          <w:p w14:paraId="42CCDCFE" w14:textId="57928D3B" w:rsidR="00FC6275" w:rsidRPr="00E07C9A" w:rsidRDefault="00FC6275" w:rsidP="00E10B85">
            <w:pPr>
              <w:spacing w:before="0" w:after="0"/>
              <w:rPr>
                <w:rFonts w:ascii="Times New Roman" w:hAnsi="Times New Roman"/>
                <w:sz w:val="24"/>
              </w:rPr>
            </w:pPr>
            <w:r w:rsidRPr="00E07C9A">
              <w:rPr>
                <w:rFonts w:ascii="Times New Roman" w:hAnsi="Times New Roman"/>
                <w:sz w:val="24"/>
              </w:rPr>
              <w:t>Tento stĺpec sa uplatňuje na sekuritizačné pozície držané originátorom</w:t>
            </w:r>
            <w:r w:rsidR="009912F8" w:rsidRPr="00E07C9A">
              <w:rPr>
                <w:rFonts w:ascii="Times New Roman" w:hAnsi="Times New Roman"/>
                <w:sz w:val="24"/>
              </w:rPr>
              <w:t xml:space="preserve"> a </w:t>
            </w:r>
            <w:r w:rsidRPr="00E07C9A">
              <w:rPr>
                <w:rFonts w:ascii="Times New Roman" w:hAnsi="Times New Roman"/>
                <w:sz w:val="24"/>
              </w:rPr>
              <w:t>zaručené priamymi úverovými substitútmi (DCS).</w:t>
            </w:r>
          </w:p>
          <w:p w14:paraId="4846C8B3" w14:textId="77777777" w:rsidR="00FC6275" w:rsidRPr="00E07C9A" w:rsidRDefault="00FC6275" w:rsidP="00E10B85">
            <w:pPr>
              <w:spacing w:before="0" w:after="0"/>
              <w:rPr>
                <w:rFonts w:ascii="Times New Roman" w:hAnsi="Times New Roman"/>
                <w:sz w:val="24"/>
              </w:rPr>
            </w:pPr>
          </w:p>
          <w:p w14:paraId="5E8E5F5B" w14:textId="5C10C80E" w:rsidR="00FC6275" w:rsidRPr="00E07C9A" w:rsidRDefault="00BB22D4" w:rsidP="00E10B85">
            <w:pPr>
              <w:spacing w:before="0" w:after="0"/>
              <w:rPr>
                <w:rFonts w:ascii="Times New Roman" w:hAnsi="Times New Roman"/>
                <w:sz w:val="24"/>
              </w:rPr>
            </w:pPr>
            <w:r w:rsidRPr="00E07C9A">
              <w:rPr>
                <w:rFonts w:ascii="Times New Roman" w:hAnsi="Times New Roman"/>
                <w:sz w:val="24"/>
              </w:rPr>
              <w:t>Podľa prílohy I</w:t>
            </w:r>
            <w:r w:rsidR="009912F8" w:rsidRPr="00E07C9A">
              <w:rPr>
                <w:rFonts w:ascii="Times New Roman" w:hAnsi="Times New Roman"/>
                <w:sz w:val="24"/>
              </w:rPr>
              <w:t xml:space="preserve"> k </w:t>
            </w:r>
            <w:r w:rsidRPr="00E07C9A">
              <w:rPr>
                <w:rFonts w:ascii="Times New Roman" w:hAnsi="Times New Roman"/>
                <w:sz w:val="24"/>
              </w:rPr>
              <w:t xml:space="preserve">nariadeniu (EÚ) </w:t>
            </w:r>
            <w:r w:rsidR="009912F8" w:rsidRPr="00E07C9A">
              <w:rPr>
                <w:rFonts w:ascii="Times New Roman" w:hAnsi="Times New Roman"/>
                <w:sz w:val="24"/>
              </w:rPr>
              <w:t>č. 575/2013</w:t>
            </w:r>
            <w:r w:rsidRPr="00E07C9A">
              <w:rPr>
                <w:rFonts w:ascii="Times New Roman" w:hAnsi="Times New Roman"/>
                <w:sz w:val="24"/>
              </w:rPr>
              <w:t xml:space="preserve"> sa za DCS považujú tieto vysoko rizikové podsúvahové položky:</w:t>
            </w:r>
          </w:p>
          <w:p w14:paraId="16ED0838" w14:textId="77777777" w:rsidR="00FC6275" w:rsidRPr="00E07C9A" w:rsidRDefault="00FC6275" w:rsidP="00E10B85">
            <w:pPr>
              <w:spacing w:before="0" w:after="0"/>
              <w:rPr>
                <w:rFonts w:ascii="Times New Roman" w:hAnsi="Times New Roman"/>
                <w:sz w:val="24"/>
              </w:rPr>
            </w:pPr>
          </w:p>
          <w:p w14:paraId="1E60FDE0" w14:textId="59EA1C77" w:rsidR="00FC6275" w:rsidRPr="00E07C9A" w:rsidRDefault="00FC6275" w:rsidP="00E10B85">
            <w:pPr>
              <w:spacing w:before="0" w:after="0"/>
              <w:rPr>
                <w:rFonts w:ascii="Times New Roman" w:hAnsi="Times New Roman"/>
                <w:i/>
                <w:sz w:val="24"/>
              </w:rPr>
            </w:pPr>
            <w:r w:rsidRPr="00E07C9A">
              <w:rPr>
                <w:rFonts w:ascii="Times New Roman" w:hAnsi="Times New Roman"/>
                <w:i/>
                <w:sz w:val="24"/>
              </w:rPr>
              <w:t>– záruky</w:t>
            </w:r>
            <w:r w:rsidR="009912F8" w:rsidRPr="00E07C9A">
              <w:rPr>
                <w:rFonts w:ascii="Times New Roman" w:hAnsi="Times New Roman"/>
                <w:i/>
                <w:sz w:val="24"/>
              </w:rPr>
              <w:t xml:space="preserve"> s </w:t>
            </w:r>
            <w:r w:rsidRPr="00E07C9A">
              <w:rPr>
                <w:rFonts w:ascii="Times New Roman" w:hAnsi="Times New Roman"/>
                <w:i/>
                <w:sz w:val="24"/>
              </w:rPr>
              <w:t>charakterom úverových substitútov,</w:t>
            </w:r>
          </w:p>
          <w:p w14:paraId="09F83054" w14:textId="567FF526" w:rsidR="00FC6275" w:rsidRPr="00E07C9A" w:rsidRDefault="00FC6275" w:rsidP="00E10B85">
            <w:pPr>
              <w:spacing w:before="0" w:after="0"/>
              <w:rPr>
                <w:rFonts w:ascii="Times New Roman" w:hAnsi="Times New Roman"/>
                <w:i/>
                <w:sz w:val="24"/>
              </w:rPr>
            </w:pPr>
            <w:r w:rsidRPr="00E07C9A">
              <w:rPr>
                <w:rFonts w:ascii="Times New Roman" w:hAnsi="Times New Roman"/>
                <w:i/>
                <w:sz w:val="24"/>
              </w:rPr>
              <w:t>– neodvolateľné standby akreditívy</w:t>
            </w:r>
            <w:r w:rsidR="009912F8" w:rsidRPr="00E07C9A">
              <w:rPr>
                <w:rFonts w:ascii="Times New Roman" w:hAnsi="Times New Roman"/>
                <w:i/>
                <w:sz w:val="24"/>
              </w:rPr>
              <w:t xml:space="preserve"> s </w:t>
            </w:r>
            <w:r w:rsidRPr="00E07C9A">
              <w:rPr>
                <w:rFonts w:ascii="Times New Roman" w:hAnsi="Times New Roman"/>
                <w:i/>
                <w:sz w:val="24"/>
              </w:rPr>
              <w:t>charakterom úverových substitútov.</w:t>
            </w:r>
          </w:p>
          <w:p w14:paraId="1162B19A" w14:textId="77777777" w:rsidR="00FC6275" w:rsidRPr="00E07C9A" w:rsidRDefault="00FC6275" w:rsidP="00E10B85">
            <w:pPr>
              <w:autoSpaceDE w:val="0"/>
              <w:autoSpaceDN w:val="0"/>
              <w:adjustRightInd w:val="0"/>
              <w:spacing w:before="0" w:after="0"/>
              <w:jc w:val="left"/>
              <w:rPr>
                <w:rFonts w:ascii="Times New Roman" w:hAnsi="Times New Roman"/>
                <w:b/>
                <w:sz w:val="24"/>
                <w:u w:val="single"/>
              </w:rPr>
            </w:pPr>
          </w:p>
        </w:tc>
      </w:tr>
      <w:tr w:rsidR="00FC6275" w:rsidRPr="00E07C9A" w14:paraId="149329DB" w14:textId="77777777" w:rsidTr="00E10B85">
        <w:tc>
          <w:tcPr>
            <w:tcW w:w="1101" w:type="dxa"/>
          </w:tcPr>
          <w:p w14:paraId="5B5CC78C" w14:textId="77777777" w:rsidR="00FC6275" w:rsidRPr="00E07C9A" w:rsidRDefault="00973973" w:rsidP="00E10B85">
            <w:pPr>
              <w:autoSpaceDE w:val="0"/>
              <w:autoSpaceDN w:val="0"/>
              <w:adjustRightInd w:val="0"/>
              <w:spacing w:before="0" w:after="0"/>
              <w:rPr>
                <w:rFonts w:ascii="Times New Roman" w:hAnsi="Times New Roman"/>
                <w:bCs/>
                <w:sz w:val="24"/>
              </w:rPr>
            </w:pPr>
            <w:r w:rsidRPr="00E07C9A">
              <w:rPr>
                <w:rFonts w:ascii="Times New Roman" w:hAnsi="Times New Roman"/>
                <w:sz w:val="24"/>
              </w:rPr>
              <w:t>0380</w:t>
            </w:r>
          </w:p>
        </w:tc>
        <w:tc>
          <w:tcPr>
            <w:tcW w:w="7903" w:type="dxa"/>
          </w:tcPr>
          <w:p w14:paraId="116036DB" w14:textId="77777777" w:rsidR="00FC6275" w:rsidRPr="00E07C9A" w:rsidRDefault="00FC6275" w:rsidP="00E10B85">
            <w:pPr>
              <w:spacing w:before="0" w:after="0"/>
              <w:jc w:val="left"/>
              <w:rPr>
                <w:rFonts w:ascii="Times New Roman" w:hAnsi="Times New Roman"/>
                <w:b/>
                <w:sz w:val="24"/>
                <w:u w:val="single"/>
              </w:rPr>
            </w:pPr>
            <w:r w:rsidRPr="00E07C9A">
              <w:rPr>
                <w:rFonts w:ascii="Times New Roman" w:hAnsi="Times New Roman"/>
                <w:b/>
                <w:sz w:val="24"/>
                <w:u w:val="single"/>
              </w:rPr>
              <w:t>IRS/CRS</w:t>
            </w:r>
          </w:p>
          <w:p w14:paraId="33251FBD" w14:textId="77777777" w:rsidR="00FC6275" w:rsidRPr="00E07C9A" w:rsidRDefault="00FC6275" w:rsidP="00E10B85">
            <w:pPr>
              <w:spacing w:before="0" w:after="0"/>
              <w:jc w:val="left"/>
              <w:rPr>
                <w:rFonts w:ascii="Times New Roman" w:hAnsi="Times New Roman"/>
                <w:sz w:val="24"/>
              </w:rPr>
            </w:pPr>
          </w:p>
          <w:p w14:paraId="323F67A2" w14:textId="0D636C08" w:rsidR="00FC6275" w:rsidRPr="00E07C9A" w:rsidRDefault="00FC6275" w:rsidP="00E10B85">
            <w:pPr>
              <w:spacing w:before="0" w:after="0"/>
              <w:rPr>
                <w:rFonts w:ascii="Times New Roman" w:hAnsi="Times New Roman"/>
                <w:sz w:val="24"/>
              </w:rPr>
            </w:pPr>
            <w:r w:rsidRPr="00E07C9A">
              <w:rPr>
                <w:rFonts w:ascii="Times New Roman" w:hAnsi="Times New Roman"/>
                <w:sz w:val="24"/>
              </w:rPr>
              <w:t>Skratka IRS označuje úrokové swapy</w:t>
            </w:r>
            <w:r w:rsidR="009912F8" w:rsidRPr="00E07C9A">
              <w:rPr>
                <w:rFonts w:ascii="Times New Roman" w:hAnsi="Times New Roman"/>
                <w:sz w:val="24"/>
              </w:rPr>
              <w:t xml:space="preserve"> a </w:t>
            </w:r>
            <w:r w:rsidRPr="00E07C9A">
              <w:rPr>
                <w:rFonts w:ascii="Times New Roman" w:hAnsi="Times New Roman"/>
                <w:sz w:val="24"/>
              </w:rPr>
              <w:t>skratka CRS označuje menové swapy. Tieto deriváty sú uvedené</w:t>
            </w:r>
            <w:r w:rsidR="009912F8" w:rsidRPr="00E07C9A">
              <w:rPr>
                <w:rFonts w:ascii="Times New Roman" w:hAnsi="Times New Roman"/>
                <w:sz w:val="24"/>
              </w:rPr>
              <w:t xml:space="preserve"> v </w:t>
            </w:r>
            <w:r w:rsidRPr="00E07C9A">
              <w:rPr>
                <w:rFonts w:ascii="Times New Roman" w:hAnsi="Times New Roman"/>
                <w:sz w:val="24"/>
              </w:rPr>
              <w:t>prílohe II</w:t>
            </w:r>
            <w:r w:rsidR="009912F8" w:rsidRPr="00E07C9A">
              <w:rPr>
                <w:rFonts w:ascii="Times New Roman" w:hAnsi="Times New Roman"/>
                <w:sz w:val="24"/>
              </w:rPr>
              <w:t xml:space="preserve"> k </w:t>
            </w:r>
            <w:r w:rsidRPr="00E07C9A">
              <w:rPr>
                <w:rFonts w:ascii="Times New Roman" w:hAnsi="Times New Roman"/>
                <w:sz w:val="24"/>
              </w:rPr>
              <w:t xml:space="preserve">nariadeniu (EÚ) </w:t>
            </w:r>
            <w:r w:rsidR="009912F8" w:rsidRPr="00E07C9A">
              <w:rPr>
                <w:rFonts w:ascii="Times New Roman" w:hAnsi="Times New Roman"/>
                <w:sz w:val="24"/>
              </w:rPr>
              <w:t>č. 575/2013</w:t>
            </w:r>
            <w:r w:rsidRPr="00E07C9A">
              <w:rPr>
                <w:rFonts w:ascii="Times New Roman" w:hAnsi="Times New Roman"/>
                <w:sz w:val="24"/>
              </w:rPr>
              <w:t>.</w:t>
            </w:r>
          </w:p>
          <w:p w14:paraId="457780C0" w14:textId="77777777" w:rsidR="00FC6275" w:rsidRPr="00E07C9A" w:rsidRDefault="00FC6275" w:rsidP="00E10B85">
            <w:pPr>
              <w:spacing w:before="0" w:after="0"/>
              <w:jc w:val="left"/>
              <w:rPr>
                <w:rFonts w:ascii="Times New Roman" w:hAnsi="Times New Roman"/>
                <w:sz w:val="24"/>
              </w:rPr>
            </w:pPr>
          </w:p>
        </w:tc>
      </w:tr>
      <w:tr w:rsidR="00FC6275" w:rsidRPr="00E07C9A" w14:paraId="5A02438E" w14:textId="77777777" w:rsidTr="00E10B85">
        <w:tc>
          <w:tcPr>
            <w:tcW w:w="1101" w:type="dxa"/>
          </w:tcPr>
          <w:p w14:paraId="6CB983CF" w14:textId="77777777" w:rsidR="00FC6275" w:rsidRPr="00E07C9A" w:rsidRDefault="00973973" w:rsidP="00E10B85">
            <w:pPr>
              <w:autoSpaceDE w:val="0"/>
              <w:autoSpaceDN w:val="0"/>
              <w:adjustRightInd w:val="0"/>
              <w:spacing w:before="0" w:after="0"/>
              <w:rPr>
                <w:rFonts w:ascii="Times New Roman" w:hAnsi="Times New Roman"/>
                <w:bCs/>
                <w:sz w:val="24"/>
              </w:rPr>
            </w:pPr>
            <w:r w:rsidRPr="00E07C9A">
              <w:rPr>
                <w:rFonts w:ascii="Times New Roman" w:hAnsi="Times New Roman"/>
                <w:sz w:val="24"/>
              </w:rPr>
              <w:t>0390</w:t>
            </w:r>
          </w:p>
        </w:tc>
        <w:tc>
          <w:tcPr>
            <w:tcW w:w="7903" w:type="dxa"/>
          </w:tcPr>
          <w:p w14:paraId="24028075" w14:textId="77777777" w:rsidR="00FC6275" w:rsidRPr="00E07C9A" w:rsidRDefault="00FC6275" w:rsidP="00E10B85">
            <w:pPr>
              <w:spacing w:before="0" w:after="0"/>
              <w:jc w:val="left"/>
              <w:rPr>
                <w:rFonts w:ascii="Times New Roman" w:hAnsi="Times New Roman"/>
                <w:b/>
                <w:sz w:val="24"/>
                <w:u w:val="single"/>
              </w:rPr>
            </w:pPr>
            <w:r w:rsidRPr="00E07C9A">
              <w:rPr>
                <w:rFonts w:ascii="Times New Roman" w:hAnsi="Times New Roman"/>
                <w:b/>
                <w:sz w:val="24"/>
                <w:u w:val="single"/>
              </w:rPr>
              <w:t>NÁSTROJE LIKVIDITY</w:t>
            </w:r>
          </w:p>
          <w:p w14:paraId="0F06BD7B" w14:textId="77777777" w:rsidR="00FC6275" w:rsidRPr="00E07C9A" w:rsidRDefault="00FC6275" w:rsidP="00E10B85">
            <w:pPr>
              <w:spacing w:before="0" w:after="0"/>
              <w:jc w:val="left"/>
              <w:rPr>
                <w:rFonts w:ascii="Times New Roman" w:hAnsi="Times New Roman"/>
                <w:sz w:val="24"/>
              </w:rPr>
            </w:pPr>
          </w:p>
          <w:p w14:paraId="109FDB46" w14:textId="7E1A8FA1" w:rsidR="00FC6275" w:rsidRPr="00E07C9A" w:rsidRDefault="00FC6275" w:rsidP="00E10B85">
            <w:pPr>
              <w:spacing w:before="0" w:after="0"/>
              <w:rPr>
                <w:rFonts w:ascii="Times New Roman" w:hAnsi="Times New Roman"/>
                <w:sz w:val="24"/>
              </w:rPr>
            </w:pPr>
            <w:r w:rsidRPr="00E07C9A">
              <w:rPr>
                <w:rFonts w:ascii="Times New Roman" w:hAnsi="Times New Roman"/>
                <w:sz w:val="24"/>
              </w:rPr>
              <w:t>Nástroje likvidity (LF) podľa vymedzenia</w:t>
            </w:r>
            <w:r w:rsidR="009912F8" w:rsidRPr="00E07C9A">
              <w:rPr>
                <w:rFonts w:ascii="Times New Roman" w:hAnsi="Times New Roman"/>
                <w:sz w:val="24"/>
              </w:rPr>
              <w:t xml:space="preserve"> v </w:t>
            </w:r>
            <w:r w:rsidRPr="00E07C9A">
              <w:rPr>
                <w:rFonts w:ascii="Times New Roman" w:hAnsi="Times New Roman"/>
                <w:sz w:val="24"/>
              </w:rPr>
              <w:t xml:space="preserve">článku 242 ods. 3 nariadenia (EÚ) </w:t>
            </w:r>
            <w:r w:rsidR="009912F8" w:rsidRPr="00E07C9A">
              <w:rPr>
                <w:rFonts w:ascii="Times New Roman" w:hAnsi="Times New Roman"/>
                <w:sz w:val="24"/>
              </w:rPr>
              <w:t>č. 575/2013</w:t>
            </w:r>
            <w:r w:rsidRPr="00E07C9A">
              <w:rPr>
                <w:rFonts w:ascii="Times New Roman" w:hAnsi="Times New Roman"/>
                <w:sz w:val="24"/>
              </w:rPr>
              <w:t>.</w:t>
            </w:r>
          </w:p>
          <w:p w14:paraId="5FABB9C2" w14:textId="77777777" w:rsidR="00FC6275" w:rsidRPr="00E07C9A" w:rsidRDefault="00FC6275" w:rsidP="00E10B85">
            <w:pPr>
              <w:spacing w:before="0" w:after="0"/>
              <w:rPr>
                <w:rFonts w:ascii="Times New Roman" w:hAnsi="Times New Roman"/>
                <w:sz w:val="24"/>
              </w:rPr>
            </w:pPr>
          </w:p>
        </w:tc>
      </w:tr>
      <w:tr w:rsidR="00FC6275" w:rsidRPr="00E07C9A" w14:paraId="443A1FBE" w14:textId="77777777" w:rsidTr="00E10B85">
        <w:tc>
          <w:tcPr>
            <w:tcW w:w="1101" w:type="dxa"/>
          </w:tcPr>
          <w:p w14:paraId="23E696FF" w14:textId="77777777" w:rsidR="00FC6275" w:rsidRPr="00E07C9A" w:rsidRDefault="00973973" w:rsidP="00E10B85">
            <w:pPr>
              <w:autoSpaceDE w:val="0"/>
              <w:autoSpaceDN w:val="0"/>
              <w:adjustRightInd w:val="0"/>
              <w:spacing w:before="0" w:after="0"/>
              <w:rPr>
                <w:rFonts w:ascii="Times New Roman" w:hAnsi="Times New Roman"/>
                <w:bCs/>
                <w:sz w:val="24"/>
              </w:rPr>
            </w:pPr>
            <w:r w:rsidRPr="00E07C9A">
              <w:rPr>
                <w:rFonts w:ascii="Times New Roman" w:hAnsi="Times New Roman"/>
                <w:sz w:val="24"/>
              </w:rPr>
              <w:t>0400</w:t>
            </w:r>
          </w:p>
        </w:tc>
        <w:tc>
          <w:tcPr>
            <w:tcW w:w="7903" w:type="dxa"/>
          </w:tcPr>
          <w:p w14:paraId="19E19359" w14:textId="77777777" w:rsidR="009912F8" w:rsidRPr="00E07C9A" w:rsidRDefault="00FC6275" w:rsidP="00E10B85">
            <w:pPr>
              <w:spacing w:before="0" w:after="0"/>
              <w:jc w:val="left"/>
              <w:rPr>
                <w:rFonts w:ascii="Times New Roman" w:hAnsi="Times New Roman"/>
                <w:b/>
                <w:sz w:val="24"/>
                <w:u w:val="single"/>
              </w:rPr>
            </w:pPr>
            <w:r w:rsidRPr="00E07C9A">
              <w:rPr>
                <w:rFonts w:ascii="Times New Roman" w:hAnsi="Times New Roman"/>
                <w:b/>
                <w:sz w:val="24"/>
                <w:u w:val="single"/>
              </w:rPr>
              <w:t>INÉ</w:t>
            </w:r>
          </w:p>
          <w:p w14:paraId="673D56D8" w14:textId="66E5D321" w:rsidR="00FC6275" w:rsidRPr="00E07C9A" w:rsidRDefault="00FC6275" w:rsidP="00E10B85">
            <w:pPr>
              <w:spacing w:before="0" w:after="0"/>
              <w:jc w:val="left"/>
              <w:rPr>
                <w:rFonts w:ascii="Times New Roman" w:hAnsi="Times New Roman"/>
                <w:sz w:val="24"/>
              </w:rPr>
            </w:pPr>
          </w:p>
          <w:p w14:paraId="37399075" w14:textId="77777777" w:rsidR="00FC6275" w:rsidRPr="00E07C9A" w:rsidRDefault="001C3443" w:rsidP="00E10B85">
            <w:pPr>
              <w:spacing w:before="0" w:after="0"/>
              <w:rPr>
                <w:rFonts w:ascii="Times New Roman" w:hAnsi="Times New Roman"/>
                <w:sz w:val="24"/>
              </w:rPr>
            </w:pPr>
            <w:r w:rsidRPr="00E07C9A">
              <w:rPr>
                <w:rFonts w:ascii="Times New Roman" w:hAnsi="Times New Roman"/>
                <w:sz w:val="24"/>
              </w:rPr>
              <w:t>Zostávajúce podsúvahové položky.</w:t>
            </w:r>
          </w:p>
          <w:p w14:paraId="3667B93D" w14:textId="77777777" w:rsidR="00FC6275" w:rsidRPr="00E07C9A" w:rsidRDefault="00FC6275" w:rsidP="00E10B85">
            <w:pPr>
              <w:spacing w:before="0" w:after="0"/>
              <w:jc w:val="left"/>
              <w:rPr>
                <w:rFonts w:ascii="Times New Roman" w:hAnsi="Times New Roman"/>
                <w:sz w:val="24"/>
              </w:rPr>
            </w:pPr>
          </w:p>
        </w:tc>
      </w:tr>
      <w:tr w:rsidR="00FC6275" w:rsidRPr="00E07C9A" w14:paraId="0E1D1BA1" w14:textId="77777777" w:rsidTr="00E10B85">
        <w:tc>
          <w:tcPr>
            <w:tcW w:w="1101" w:type="dxa"/>
          </w:tcPr>
          <w:p w14:paraId="04E099EA" w14:textId="77777777" w:rsidR="00FC6275" w:rsidRPr="00E07C9A" w:rsidRDefault="00973973" w:rsidP="00E10B85">
            <w:pPr>
              <w:autoSpaceDE w:val="0"/>
              <w:autoSpaceDN w:val="0"/>
              <w:adjustRightInd w:val="0"/>
              <w:spacing w:before="0" w:after="0"/>
              <w:rPr>
                <w:rFonts w:ascii="Times New Roman" w:hAnsi="Times New Roman"/>
                <w:bCs/>
                <w:sz w:val="24"/>
              </w:rPr>
            </w:pPr>
            <w:r w:rsidRPr="00E07C9A">
              <w:rPr>
                <w:rFonts w:ascii="Times New Roman" w:hAnsi="Times New Roman"/>
                <w:sz w:val="24"/>
              </w:rPr>
              <w:t>0411</w:t>
            </w:r>
          </w:p>
        </w:tc>
        <w:tc>
          <w:tcPr>
            <w:tcW w:w="7903" w:type="dxa"/>
          </w:tcPr>
          <w:p w14:paraId="377D49F9" w14:textId="77777777" w:rsidR="00FC6275" w:rsidRPr="00E07C9A" w:rsidRDefault="00FC6275" w:rsidP="00E10B85">
            <w:pPr>
              <w:spacing w:before="0" w:after="0"/>
              <w:jc w:val="left"/>
              <w:rPr>
                <w:rFonts w:ascii="Times New Roman" w:hAnsi="Times New Roman"/>
                <w:b/>
                <w:sz w:val="24"/>
                <w:u w:val="single"/>
              </w:rPr>
            </w:pPr>
            <w:r w:rsidRPr="00E07C9A">
              <w:rPr>
                <w:rFonts w:ascii="Times New Roman" w:hAnsi="Times New Roman"/>
                <w:b/>
                <w:sz w:val="24"/>
                <w:u w:val="single"/>
              </w:rPr>
              <w:t>HODNOTA EXPOZÍCIE</w:t>
            </w:r>
          </w:p>
          <w:p w14:paraId="5C8BB67D" w14:textId="77777777" w:rsidR="00FC6275" w:rsidRPr="00E07C9A" w:rsidRDefault="00FC6275" w:rsidP="00E10B85">
            <w:pPr>
              <w:spacing w:before="0" w:after="0"/>
              <w:jc w:val="left"/>
              <w:rPr>
                <w:rFonts w:ascii="Times New Roman" w:hAnsi="Times New Roman"/>
                <w:b/>
                <w:sz w:val="24"/>
                <w:u w:val="single"/>
              </w:rPr>
            </w:pPr>
          </w:p>
          <w:p w14:paraId="76E4BBDD" w14:textId="77777777" w:rsidR="00FC6275" w:rsidRPr="00E07C9A" w:rsidRDefault="00FC6275" w:rsidP="00E10B85">
            <w:pPr>
              <w:spacing w:before="0" w:after="0"/>
              <w:rPr>
                <w:rFonts w:ascii="Times New Roman" w:hAnsi="Times New Roman"/>
                <w:sz w:val="24"/>
              </w:rPr>
            </w:pPr>
            <w:r w:rsidRPr="00E07C9A">
              <w:rPr>
                <w:rFonts w:ascii="Times New Roman" w:hAnsi="Times New Roman"/>
                <w:sz w:val="24"/>
              </w:rPr>
              <w:t>Táto informácia úzko súvisí so stĺpcom 0180 vzoru CR SEC.</w:t>
            </w:r>
          </w:p>
          <w:p w14:paraId="4008010D" w14:textId="77777777" w:rsidR="00FC6275" w:rsidRPr="00E07C9A" w:rsidRDefault="00FC6275" w:rsidP="00E10B85">
            <w:pPr>
              <w:spacing w:before="0" w:after="0"/>
              <w:jc w:val="left"/>
              <w:rPr>
                <w:rFonts w:ascii="Times New Roman" w:hAnsi="Times New Roman"/>
                <w:b/>
                <w:sz w:val="24"/>
                <w:u w:val="single"/>
              </w:rPr>
            </w:pPr>
          </w:p>
        </w:tc>
      </w:tr>
      <w:tr w:rsidR="00FC6275" w:rsidRPr="00E07C9A" w14:paraId="383CEFCF" w14:textId="77777777" w:rsidTr="00E10B85">
        <w:tc>
          <w:tcPr>
            <w:tcW w:w="1101" w:type="dxa"/>
          </w:tcPr>
          <w:p w14:paraId="0DB9A30B" w14:textId="77777777" w:rsidR="00FC6275" w:rsidRPr="00E07C9A" w:rsidRDefault="00973973" w:rsidP="00E10B85">
            <w:pPr>
              <w:autoSpaceDE w:val="0"/>
              <w:autoSpaceDN w:val="0"/>
              <w:adjustRightInd w:val="0"/>
              <w:spacing w:before="0" w:after="0"/>
              <w:rPr>
                <w:rFonts w:ascii="Times New Roman" w:hAnsi="Times New Roman"/>
                <w:bCs/>
                <w:sz w:val="24"/>
              </w:rPr>
            </w:pPr>
            <w:r w:rsidRPr="00E07C9A">
              <w:rPr>
                <w:rFonts w:ascii="Times New Roman" w:hAnsi="Times New Roman"/>
                <w:sz w:val="24"/>
              </w:rPr>
              <w:t>0420</w:t>
            </w:r>
          </w:p>
        </w:tc>
        <w:tc>
          <w:tcPr>
            <w:tcW w:w="7903" w:type="dxa"/>
          </w:tcPr>
          <w:p w14:paraId="25B08F46" w14:textId="77777777" w:rsidR="00FC6275" w:rsidRPr="00E07C9A" w:rsidRDefault="00FC6275" w:rsidP="00E10B85">
            <w:pPr>
              <w:spacing w:before="0" w:after="0"/>
              <w:jc w:val="left"/>
              <w:rPr>
                <w:rFonts w:ascii="Times New Roman" w:hAnsi="Times New Roman"/>
                <w:b/>
                <w:sz w:val="24"/>
                <w:u w:val="single"/>
              </w:rPr>
            </w:pPr>
            <w:r w:rsidRPr="00E07C9A">
              <w:rPr>
                <w:rFonts w:ascii="Times New Roman" w:hAnsi="Times New Roman"/>
                <w:b/>
                <w:sz w:val="24"/>
                <w:u w:val="single"/>
              </w:rPr>
              <w:t>(–) HODNOTA EXPOZÍCIE ODPOČÍTANÁ OD VLASTNÝCH ZDROJOV</w:t>
            </w:r>
          </w:p>
          <w:p w14:paraId="017545B4" w14:textId="77777777" w:rsidR="00FC6275" w:rsidRPr="00E07C9A" w:rsidRDefault="00FC6275" w:rsidP="00E10B85">
            <w:pPr>
              <w:spacing w:before="0" w:after="0"/>
              <w:jc w:val="left"/>
              <w:rPr>
                <w:rFonts w:ascii="Times New Roman" w:hAnsi="Times New Roman"/>
                <w:sz w:val="24"/>
              </w:rPr>
            </w:pPr>
          </w:p>
          <w:p w14:paraId="0AFFB2A1" w14:textId="77777777" w:rsidR="00FC6275" w:rsidRPr="00E07C9A" w:rsidRDefault="00FC6275" w:rsidP="00E10B85">
            <w:pPr>
              <w:spacing w:before="0" w:after="0"/>
              <w:rPr>
                <w:rFonts w:ascii="Times New Roman" w:hAnsi="Times New Roman"/>
                <w:sz w:val="24"/>
              </w:rPr>
            </w:pPr>
            <w:r w:rsidRPr="00E07C9A">
              <w:rPr>
                <w:rFonts w:ascii="Times New Roman" w:hAnsi="Times New Roman"/>
                <w:sz w:val="24"/>
              </w:rPr>
              <w:t>Táto informácia úzko súvisí so stĺpcom 0190 vzoru CR SEC.</w:t>
            </w:r>
          </w:p>
          <w:p w14:paraId="0E7492B9" w14:textId="77777777" w:rsidR="00FC6275" w:rsidRPr="00E07C9A" w:rsidRDefault="00FC6275" w:rsidP="00E10B85">
            <w:pPr>
              <w:spacing w:before="0" w:after="0"/>
              <w:rPr>
                <w:rFonts w:ascii="Times New Roman" w:hAnsi="Times New Roman"/>
                <w:sz w:val="24"/>
              </w:rPr>
            </w:pPr>
          </w:p>
          <w:p w14:paraId="292D8615" w14:textId="77777777" w:rsidR="00FC6275" w:rsidRPr="00E07C9A" w:rsidRDefault="00FC6275" w:rsidP="00E10B85">
            <w:pPr>
              <w:spacing w:before="0" w:after="0"/>
              <w:rPr>
                <w:rFonts w:ascii="Times New Roman" w:hAnsi="Times New Roman"/>
                <w:sz w:val="24"/>
              </w:rPr>
            </w:pPr>
            <w:r w:rsidRPr="00E07C9A">
              <w:rPr>
                <w:rFonts w:ascii="Times New Roman" w:hAnsi="Times New Roman"/>
                <w:sz w:val="24"/>
              </w:rPr>
              <w:t>V tomto stĺpci sa vykazuje záporná hodnota.</w:t>
            </w:r>
          </w:p>
          <w:p w14:paraId="527D9EAB" w14:textId="77777777" w:rsidR="00FC6275" w:rsidRPr="00E07C9A" w:rsidRDefault="00FC6275" w:rsidP="00E10B85">
            <w:pPr>
              <w:spacing w:before="0" w:after="0"/>
              <w:jc w:val="left"/>
              <w:rPr>
                <w:rFonts w:ascii="Times New Roman" w:hAnsi="Times New Roman"/>
                <w:sz w:val="24"/>
              </w:rPr>
            </w:pPr>
          </w:p>
        </w:tc>
      </w:tr>
      <w:tr w:rsidR="00FC6275" w:rsidRPr="00E07C9A" w14:paraId="35451815" w14:textId="77777777" w:rsidTr="00E10B85">
        <w:tc>
          <w:tcPr>
            <w:tcW w:w="1101" w:type="dxa"/>
          </w:tcPr>
          <w:p w14:paraId="14C8A6BA" w14:textId="77777777" w:rsidR="00FC6275" w:rsidRPr="00E07C9A" w:rsidDel="00304CB1" w:rsidRDefault="00973973" w:rsidP="00E10B85">
            <w:pPr>
              <w:autoSpaceDE w:val="0"/>
              <w:autoSpaceDN w:val="0"/>
              <w:adjustRightInd w:val="0"/>
              <w:spacing w:before="0" w:after="0"/>
              <w:rPr>
                <w:rFonts w:ascii="Times New Roman" w:hAnsi="Times New Roman"/>
                <w:bCs/>
                <w:sz w:val="24"/>
              </w:rPr>
            </w:pPr>
            <w:r w:rsidRPr="00E07C9A">
              <w:rPr>
                <w:rFonts w:ascii="Times New Roman" w:hAnsi="Times New Roman"/>
                <w:sz w:val="24"/>
              </w:rPr>
              <w:t>0430</w:t>
            </w:r>
          </w:p>
        </w:tc>
        <w:tc>
          <w:tcPr>
            <w:tcW w:w="7903" w:type="dxa"/>
          </w:tcPr>
          <w:p w14:paraId="70B0EED5" w14:textId="77777777" w:rsidR="00FC6275" w:rsidRPr="00E07C9A" w:rsidRDefault="00FC6275" w:rsidP="00E10B85">
            <w:pPr>
              <w:spacing w:before="0" w:after="0"/>
              <w:jc w:val="left"/>
              <w:rPr>
                <w:rFonts w:ascii="Times New Roman" w:hAnsi="Times New Roman"/>
                <w:b/>
                <w:sz w:val="24"/>
                <w:u w:val="single"/>
              </w:rPr>
            </w:pPr>
            <w:r w:rsidRPr="00E07C9A">
              <w:rPr>
                <w:rFonts w:ascii="Times New Roman" w:hAnsi="Times New Roman"/>
                <w:b/>
                <w:sz w:val="24"/>
                <w:u w:val="single"/>
              </w:rPr>
              <w:t>CELKOVÁ HODNOTA RIZIKOVO VÁŽENEJ EXPOZÍCIE PRED OHRANIČENÍM</w:t>
            </w:r>
          </w:p>
          <w:p w14:paraId="4EC7433C" w14:textId="77777777" w:rsidR="00FC6275" w:rsidRPr="00E07C9A" w:rsidRDefault="00FC6275" w:rsidP="00E10B85">
            <w:pPr>
              <w:spacing w:before="0" w:after="0"/>
              <w:jc w:val="left"/>
              <w:rPr>
                <w:rFonts w:ascii="Times New Roman" w:hAnsi="Times New Roman"/>
                <w:sz w:val="24"/>
              </w:rPr>
            </w:pPr>
          </w:p>
          <w:p w14:paraId="253665E3" w14:textId="4BA8A9D6" w:rsidR="00FC6275" w:rsidRPr="00E07C9A" w:rsidRDefault="00FC6275" w:rsidP="001235ED">
            <w:pPr>
              <w:spacing w:before="0" w:after="0"/>
              <w:rPr>
                <w:rFonts w:ascii="Times New Roman" w:hAnsi="Times New Roman"/>
                <w:sz w:val="24"/>
              </w:rPr>
            </w:pPr>
            <w:r w:rsidRPr="00E07C9A">
              <w:rPr>
                <w:rFonts w:ascii="Times New Roman" w:hAnsi="Times New Roman"/>
                <w:sz w:val="24"/>
              </w:rPr>
              <w:t>V tomto stĺpci sa zhromažďujú informácie</w:t>
            </w:r>
            <w:r w:rsidR="009912F8" w:rsidRPr="00E07C9A">
              <w:rPr>
                <w:rFonts w:ascii="Times New Roman" w:hAnsi="Times New Roman"/>
                <w:sz w:val="24"/>
              </w:rPr>
              <w:t xml:space="preserve"> o </w:t>
            </w:r>
            <w:r w:rsidRPr="00E07C9A">
              <w:rPr>
                <w:rFonts w:ascii="Times New Roman" w:hAnsi="Times New Roman"/>
                <w:sz w:val="24"/>
              </w:rPr>
              <w:t>hodnote rizikovo váženej expozície pred uplatnením ohraničenia, ktoré sa vzťahuje na sekuritizačné pozície, vypočítanej</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treťou časťou hlavou II kapitolou 5 oddielom 3 nariadenia (EÚ) </w:t>
            </w:r>
            <w:r w:rsidR="009912F8" w:rsidRPr="00E07C9A">
              <w:rPr>
                <w:rFonts w:ascii="Times New Roman" w:hAnsi="Times New Roman"/>
                <w:sz w:val="24"/>
              </w:rPr>
              <w:t>č. 575/2013</w:t>
            </w:r>
            <w:r w:rsidRPr="00E07C9A">
              <w:rPr>
                <w:rFonts w:ascii="Times New Roman" w:hAnsi="Times New Roman"/>
                <w:sz w:val="24"/>
              </w:rPr>
              <w:t>.</w:t>
            </w:r>
          </w:p>
          <w:p w14:paraId="7DDE888E" w14:textId="77777777" w:rsidR="009912F8" w:rsidRPr="00E07C9A" w:rsidRDefault="009912F8" w:rsidP="00E10B85">
            <w:pPr>
              <w:spacing w:before="0" w:after="0"/>
              <w:jc w:val="left"/>
              <w:rPr>
                <w:rFonts w:ascii="Times New Roman" w:hAnsi="Times New Roman"/>
                <w:sz w:val="24"/>
              </w:rPr>
            </w:pPr>
          </w:p>
          <w:p w14:paraId="11764E40" w14:textId="0B2A19CB" w:rsidR="009912F8" w:rsidRPr="00E07C9A" w:rsidRDefault="00FC6275" w:rsidP="00E10B85">
            <w:pPr>
              <w:spacing w:before="0" w:after="0"/>
              <w:jc w:val="left"/>
              <w:rPr>
                <w:rFonts w:ascii="Times New Roman" w:hAnsi="Times New Roman"/>
                <w:sz w:val="24"/>
              </w:rPr>
            </w:pPr>
            <w:r w:rsidRPr="00E07C9A">
              <w:rPr>
                <w:rFonts w:ascii="Times New Roman" w:hAnsi="Times New Roman"/>
                <w:sz w:val="24"/>
              </w:rPr>
              <w:t>V prípade sekuritizácií</w:t>
            </w:r>
            <w:r w:rsidR="009912F8" w:rsidRPr="00E07C9A">
              <w:rPr>
                <w:rFonts w:ascii="Times New Roman" w:hAnsi="Times New Roman"/>
                <w:sz w:val="24"/>
              </w:rPr>
              <w:t xml:space="preserve"> v </w:t>
            </w:r>
            <w:r w:rsidRPr="00E07C9A">
              <w:rPr>
                <w:rFonts w:ascii="Times New Roman" w:hAnsi="Times New Roman"/>
                <w:sz w:val="24"/>
              </w:rPr>
              <w:t>obchodnej knihe sa vykazuje RWEA týkajúca sa špecifického rizika. Pozri stĺpec 0570 vzoru MKR SA SEC, resp. stĺpce 0410</w:t>
            </w:r>
            <w:r w:rsidR="009912F8" w:rsidRPr="00E07C9A">
              <w:rPr>
                <w:rFonts w:ascii="Times New Roman" w:hAnsi="Times New Roman"/>
                <w:sz w:val="24"/>
              </w:rPr>
              <w:t xml:space="preserve"> a </w:t>
            </w:r>
            <w:r w:rsidRPr="00E07C9A">
              <w:rPr>
                <w:rFonts w:ascii="Times New Roman" w:hAnsi="Times New Roman"/>
                <w:sz w:val="24"/>
              </w:rPr>
              <w:t>0420 (relevantný stĺpec pre požiadavku na vlastné zdroje) vzoru MKR SA CTP</w:t>
            </w:r>
            <w:r w:rsidR="009912F8" w:rsidRPr="00E07C9A">
              <w:rPr>
                <w:rFonts w:ascii="Times New Roman" w:hAnsi="Times New Roman"/>
                <w:sz w:val="24"/>
              </w:rPr>
              <w:t>.</w:t>
            </w:r>
          </w:p>
          <w:p w14:paraId="23F6270E" w14:textId="71EC4DEC" w:rsidR="00FC6275" w:rsidRPr="00E07C9A" w:rsidRDefault="00FC6275" w:rsidP="00E10B85">
            <w:pPr>
              <w:spacing w:before="0" w:after="0"/>
              <w:jc w:val="left"/>
              <w:rPr>
                <w:rFonts w:ascii="Times New Roman" w:hAnsi="Times New Roman"/>
                <w:b/>
                <w:sz w:val="24"/>
                <w:u w:val="single"/>
              </w:rPr>
            </w:pPr>
          </w:p>
        </w:tc>
      </w:tr>
      <w:tr w:rsidR="00FC6275" w:rsidRPr="00E07C9A" w14:paraId="6FB1F857" w14:textId="77777777" w:rsidTr="00E10B85">
        <w:tc>
          <w:tcPr>
            <w:tcW w:w="1101" w:type="dxa"/>
          </w:tcPr>
          <w:p w14:paraId="36B9A8DC" w14:textId="77777777" w:rsidR="00FC6275" w:rsidRPr="00E07C9A" w:rsidRDefault="00973973"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0431</w:t>
            </w:r>
          </w:p>
        </w:tc>
        <w:tc>
          <w:tcPr>
            <w:tcW w:w="7903" w:type="dxa"/>
          </w:tcPr>
          <w:p w14:paraId="0B8FC17D" w14:textId="084E9F37" w:rsidR="00FC6275" w:rsidRPr="00E07C9A" w:rsidRDefault="00FC6275" w:rsidP="00E10B85">
            <w:pPr>
              <w:spacing w:before="0" w:after="0"/>
              <w:jc w:val="left"/>
              <w:rPr>
                <w:rFonts w:ascii="Times New Roman" w:hAnsi="Times New Roman"/>
                <w:b/>
                <w:sz w:val="24"/>
                <w:u w:val="single"/>
              </w:rPr>
            </w:pPr>
            <w:r w:rsidRPr="00E07C9A">
              <w:rPr>
                <w:rFonts w:ascii="Times New Roman" w:hAnsi="Times New Roman"/>
                <w:b/>
                <w:sz w:val="24"/>
                <w:u w:val="single"/>
              </w:rPr>
              <w:t>(–) ZNÍŽENIE</w:t>
            </w:r>
            <w:r w:rsidR="009912F8" w:rsidRPr="00E07C9A">
              <w:rPr>
                <w:rFonts w:ascii="Times New Roman" w:hAnsi="Times New Roman"/>
                <w:b/>
                <w:sz w:val="24"/>
                <w:u w:val="single"/>
              </w:rPr>
              <w:t xml:space="preserve"> V </w:t>
            </w:r>
            <w:r w:rsidRPr="00E07C9A">
              <w:rPr>
                <w:rFonts w:ascii="Times New Roman" w:hAnsi="Times New Roman"/>
                <w:b/>
                <w:sz w:val="24"/>
                <w:u w:val="single"/>
              </w:rPr>
              <w:t>DÔSLEDKU HORNÉHO OHRANIČENIA RIZIKOVEJ VÁHY</w:t>
            </w:r>
          </w:p>
          <w:p w14:paraId="24FE896A" w14:textId="77777777" w:rsidR="00FC6275" w:rsidRPr="00E07C9A" w:rsidRDefault="00FC6275" w:rsidP="00E10B85">
            <w:pPr>
              <w:spacing w:before="0" w:after="0"/>
              <w:jc w:val="left"/>
              <w:rPr>
                <w:rFonts w:ascii="Times New Roman" w:hAnsi="Times New Roman"/>
                <w:b/>
                <w:sz w:val="24"/>
                <w:u w:val="single"/>
              </w:rPr>
            </w:pPr>
          </w:p>
          <w:p w14:paraId="53EA7967" w14:textId="2BB5B134" w:rsidR="00FC6275" w:rsidRPr="00E07C9A" w:rsidRDefault="00FC6275" w:rsidP="00E10B85">
            <w:pPr>
              <w:spacing w:before="0" w:after="0"/>
              <w:jc w:val="left"/>
              <w:rPr>
                <w:rFonts w:ascii="Times New Roman" w:hAnsi="Times New Roman"/>
                <w:sz w:val="24"/>
              </w:rPr>
            </w:pPr>
            <w:r w:rsidRPr="00E07C9A">
              <w:rPr>
                <w:rFonts w:ascii="Times New Roman" w:hAnsi="Times New Roman"/>
                <w:sz w:val="24"/>
              </w:rPr>
              <w:t>Články 267</w:t>
            </w:r>
            <w:r w:rsidR="009912F8" w:rsidRPr="00E07C9A">
              <w:rPr>
                <w:rFonts w:ascii="Times New Roman" w:hAnsi="Times New Roman"/>
                <w:sz w:val="24"/>
              </w:rPr>
              <w:t xml:space="preserve"> a </w:t>
            </w:r>
            <w:r w:rsidRPr="00E07C9A">
              <w:rPr>
                <w:rFonts w:ascii="Times New Roman" w:hAnsi="Times New Roman"/>
                <w:sz w:val="24"/>
              </w:rPr>
              <w:t xml:space="preserve">269a nariadenia (EÚ) </w:t>
            </w:r>
            <w:r w:rsidR="009912F8" w:rsidRPr="00E07C9A">
              <w:rPr>
                <w:rFonts w:ascii="Times New Roman" w:hAnsi="Times New Roman"/>
                <w:sz w:val="24"/>
              </w:rPr>
              <w:t>č. 575/2013</w:t>
            </w:r>
          </w:p>
          <w:p w14:paraId="654052B6" w14:textId="77777777" w:rsidR="00FC6275" w:rsidRPr="00E07C9A" w:rsidRDefault="00FC6275" w:rsidP="00E10B85">
            <w:pPr>
              <w:spacing w:before="0" w:after="0"/>
              <w:jc w:val="left"/>
              <w:rPr>
                <w:rFonts w:ascii="Times New Roman" w:hAnsi="Times New Roman"/>
                <w:b/>
                <w:sz w:val="24"/>
                <w:u w:val="single"/>
              </w:rPr>
            </w:pPr>
          </w:p>
        </w:tc>
      </w:tr>
      <w:tr w:rsidR="00FC6275" w:rsidRPr="00E07C9A" w14:paraId="23F19180" w14:textId="77777777" w:rsidTr="00E10B85">
        <w:tc>
          <w:tcPr>
            <w:tcW w:w="1101" w:type="dxa"/>
          </w:tcPr>
          <w:p w14:paraId="199114D9" w14:textId="77777777" w:rsidR="00FC6275" w:rsidRPr="00E07C9A" w:rsidRDefault="00973973"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0432</w:t>
            </w:r>
          </w:p>
        </w:tc>
        <w:tc>
          <w:tcPr>
            <w:tcW w:w="7903" w:type="dxa"/>
          </w:tcPr>
          <w:p w14:paraId="6DD98A64" w14:textId="3D113B89" w:rsidR="00FC6275" w:rsidRPr="00E07C9A" w:rsidRDefault="00FC6275" w:rsidP="00E10B85">
            <w:pPr>
              <w:spacing w:before="0" w:after="0"/>
              <w:jc w:val="left"/>
              <w:rPr>
                <w:rFonts w:ascii="Times New Roman" w:hAnsi="Times New Roman"/>
                <w:b/>
                <w:sz w:val="24"/>
                <w:u w:val="single"/>
              </w:rPr>
            </w:pPr>
            <w:r w:rsidRPr="00E07C9A">
              <w:rPr>
                <w:rFonts w:ascii="Times New Roman" w:hAnsi="Times New Roman"/>
                <w:b/>
                <w:sz w:val="24"/>
                <w:u w:val="single"/>
              </w:rPr>
              <w:t>(–) ZNÍŽENIE</w:t>
            </w:r>
            <w:r w:rsidR="009912F8" w:rsidRPr="00E07C9A">
              <w:rPr>
                <w:rFonts w:ascii="Times New Roman" w:hAnsi="Times New Roman"/>
                <w:b/>
                <w:sz w:val="24"/>
                <w:u w:val="single"/>
              </w:rPr>
              <w:t xml:space="preserve"> V </w:t>
            </w:r>
            <w:r w:rsidRPr="00E07C9A">
              <w:rPr>
                <w:rFonts w:ascii="Times New Roman" w:hAnsi="Times New Roman"/>
                <w:b/>
                <w:sz w:val="24"/>
                <w:u w:val="single"/>
              </w:rPr>
              <w:t>DÔSLEDKU CELKOVÉHO HORNÉHO OHRANIČENIA</w:t>
            </w:r>
          </w:p>
          <w:p w14:paraId="4D9F1C0F" w14:textId="77777777" w:rsidR="00FC6275" w:rsidRPr="00E07C9A" w:rsidRDefault="00FC6275" w:rsidP="00E10B85">
            <w:pPr>
              <w:spacing w:before="0" w:after="0"/>
              <w:jc w:val="left"/>
              <w:rPr>
                <w:rFonts w:ascii="Times New Roman" w:hAnsi="Times New Roman"/>
                <w:b/>
                <w:sz w:val="24"/>
                <w:u w:val="single"/>
              </w:rPr>
            </w:pPr>
          </w:p>
          <w:p w14:paraId="256611D1" w14:textId="03F6DFE6" w:rsidR="009912F8" w:rsidRPr="00E07C9A" w:rsidRDefault="00FC6275" w:rsidP="00E10B85">
            <w:pPr>
              <w:spacing w:before="0" w:after="0"/>
              <w:jc w:val="left"/>
              <w:rPr>
                <w:rFonts w:ascii="Times New Roman" w:hAnsi="Times New Roman"/>
                <w:sz w:val="24"/>
              </w:rPr>
            </w:pPr>
            <w:r w:rsidRPr="00E07C9A">
              <w:rPr>
                <w:rFonts w:ascii="Times New Roman" w:hAnsi="Times New Roman"/>
                <w:sz w:val="24"/>
              </w:rPr>
              <w:t>Články 268</w:t>
            </w:r>
            <w:r w:rsidR="009912F8" w:rsidRPr="00E07C9A">
              <w:rPr>
                <w:rFonts w:ascii="Times New Roman" w:hAnsi="Times New Roman"/>
                <w:sz w:val="24"/>
              </w:rPr>
              <w:t xml:space="preserve"> a </w:t>
            </w:r>
            <w:r w:rsidRPr="00E07C9A">
              <w:rPr>
                <w:rFonts w:ascii="Times New Roman" w:hAnsi="Times New Roman"/>
                <w:sz w:val="24"/>
              </w:rPr>
              <w:t xml:space="preserve">269a nariadenia (EÚ) </w:t>
            </w:r>
            <w:r w:rsidR="009912F8" w:rsidRPr="00E07C9A">
              <w:rPr>
                <w:rFonts w:ascii="Times New Roman" w:hAnsi="Times New Roman"/>
                <w:sz w:val="24"/>
              </w:rPr>
              <w:t>č. 575/2013</w:t>
            </w:r>
          </w:p>
          <w:p w14:paraId="79B80700" w14:textId="5D29BDE0" w:rsidR="00FC6275" w:rsidRPr="00E07C9A" w:rsidRDefault="00FC6275" w:rsidP="00E10B85">
            <w:pPr>
              <w:spacing w:before="0" w:after="0"/>
              <w:jc w:val="left"/>
              <w:rPr>
                <w:rFonts w:ascii="Times New Roman" w:hAnsi="Times New Roman"/>
                <w:b/>
                <w:sz w:val="24"/>
                <w:u w:val="single"/>
              </w:rPr>
            </w:pPr>
          </w:p>
        </w:tc>
      </w:tr>
      <w:tr w:rsidR="00FC6275" w:rsidRPr="00E07C9A" w14:paraId="78E7C337" w14:textId="77777777" w:rsidTr="00E10B85">
        <w:tc>
          <w:tcPr>
            <w:tcW w:w="1101" w:type="dxa"/>
          </w:tcPr>
          <w:p w14:paraId="056790C7" w14:textId="77777777" w:rsidR="00FC6275" w:rsidRPr="00E07C9A" w:rsidRDefault="00973973" w:rsidP="00E10B85">
            <w:pPr>
              <w:autoSpaceDE w:val="0"/>
              <w:autoSpaceDN w:val="0"/>
              <w:adjustRightInd w:val="0"/>
              <w:spacing w:before="0" w:after="0"/>
              <w:rPr>
                <w:rFonts w:ascii="Times New Roman" w:hAnsi="Times New Roman"/>
                <w:bCs/>
                <w:sz w:val="24"/>
              </w:rPr>
            </w:pPr>
            <w:r w:rsidRPr="00E07C9A">
              <w:rPr>
                <w:rFonts w:ascii="Times New Roman" w:hAnsi="Times New Roman"/>
                <w:sz w:val="24"/>
              </w:rPr>
              <w:t>0440</w:t>
            </w:r>
          </w:p>
        </w:tc>
        <w:tc>
          <w:tcPr>
            <w:tcW w:w="7903" w:type="dxa"/>
          </w:tcPr>
          <w:p w14:paraId="7129DB63" w14:textId="77777777" w:rsidR="00FC6275" w:rsidRPr="00E07C9A" w:rsidRDefault="00FC6275" w:rsidP="00E10B85">
            <w:pPr>
              <w:spacing w:before="0" w:after="0"/>
              <w:jc w:val="left"/>
              <w:rPr>
                <w:rFonts w:ascii="Times New Roman" w:hAnsi="Times New Roman"/>
                <w:b/>
                <w:sz w:val="24"/>
                <w:u w:val="single"/>
              </w:rPr>
            </w:pPr>
            <w:r w:rsidRPr="00E07C9A">
              <w:rPr>
                <w:rFonts w:ascii="Times New Roman" w:hAnsi="Times New Roman"/>
                <w:b/>
                <w:sz w:val="24"/>
                <w:u w:val="single"/>
              </w:rPr>
              <w:t>CELKOVÁ HODNOTA RIZIKOVO VÁŽENEJ EXPOZÍCIE PO OHRANIČENÍ</w:t>
            </w:r>
          </w:p>
          <w:p w14:paraId="6DD24E89" w14:textId="77777777" w:rsidR="00FC6275" w:rsidRPr="00E07C9A" w:rsidRDefault="00FC6275" w:rsidP="00E10B85">
            <w:pPr>
              <w:spacing w:before="0" w:after="0"/>
              <w:jc w:val="left"/>
              <w:rPr>
                <w:rFonts w:ascii="Times New Roman" w:hAnsi="Times New Roman"/>
                <w:sz w:val="24"/>
              </w:rPr>
            </w:pPr>
          </w:p>
          <w:p w14:paraId="7F18E3DD" w14:textId="3A10D157" w:rsidR="009912F8" w:rsidRPr="00E07C9A" w:rsidRDefault="00FC6275" w:rsidP="00E10B85">
            <w:pPr>
              <w:spacing w:before="0" w:after="0"/>
              <w:rPr>
                <w:rFonts w:ascii="Times New Roman" w:hAnsi="Times New Roman"/>
                <w:sz w:val="24"/>
              </w:rPr>
            </w:pPr>
            <w:r w:rsidRPr="00E07C9A">
              <w:rPr>
                <w:rFonts w:ascii="Times New Roman" w:hAnsi="Times New Roman"/>
                <w:sz w:val="24"/>
              </w:rPr>
              <w:t>V tomto stĺpci sa zhromažďujú informácie</w:t>
            </w:r>
            <w:r w:rsidR="009912F8" w:rsidRPr="00E07C9A">
              <w:rPr>
                <w:rFonts w:ascii="Times New Roman" w:hAnsi="Times New Roman"/>
                <w:sz w:val="24"/>
              </w:rPr>
              <w:t xml:space="preserve"> o </w:t>
            </w:r>
            <w:r w:rsidRPr="00E07C9A">
              <w:rPr>
                <w:rFonts w:ascii="Times New Roman" w:hAnsi="Times New Roman"/>
                <w:sz w:val="24"/>
              </w:rPr>
              <w:t>hodnote rizikovo váženej expozície po uplatnení ohraničenia, ktoré sa vzťahuje na sekuritizačné pozície, vypočítanej</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treťou časťou hlavou II kapitolou 5 oddielom 3 nariadenia (EÚ) </w:t>
            </w:r>
            <w:r w:rsidR="009912F8" w:rsidRPr="00E07C9A">
              <w:rPr>
                <w:rFonts w:ascii="Times New Roman" w:hAnsi="Times New Roman"/>
                <w:sz w:val="24"/>
              </w:rPr>
              <w:t>č. 575/2013.</w:t>
            </w:r>
          </w:p>
          <w:p w14:paraId="5281DC76" w14:textId="02A495F1" w:rsidR="00FC6275" w:rsidRPr="00E07C9A" w:rsidRDefault="00FC6275" w:rsidP="00E10B85">
            <w:pPr>
              <w:spacing w:before="0" w:after="0"/>
              <w:rPr>
                <w:rFonts w:ascii="Times New Roman" w:hAnsi="Times New Roman"/>
                <w:sz w:val="24"/>
              </w:rPr>
            </w:pPr>
          </w:p>
          <w:p w14:paraId="5AF36BA3" w14:textId="3123C0AA" w:rsidR="00FC6275" w:rsidRPr="00E07C9A" w:rsidRDefault="00FC6275" w:rsidP="00E10B85">
            <w:pPr>
              <w:spacing w:before="0" w:after="0"/>
              <w:rPr>
                <w:rFonts w:ascii="Times New Roman" w:hAnsi="Times New Roman"/>
                <w:sz w:val="24"/>
              </w:rPr>
            </w:pPr>
            <w:r w:rsidRPr="00E07C9A">
              <w:rPr>
                <w:rFonts w:ascii="Times New Roman" w:hAnsi="Times New Roman"/>
                <w:sz w:val="24"/>
              </w:rPr>
              <w:t>V prípade sekuritizácií</w:t>
            </w:r>
            <w:r w:rsidR="009912F8" w:rsidRPr="00E07C9A">
              <w:rPr>
                <w:rFonts w:ascii="Times New Roman" w:hAnsi="Times New Roman"/>
                <w:sz w:val="24"/>
              </w:rPr>
              <w:t xml:space="preserve"> v </w:t>
            </w:r>
            <w:r w:rsidRPr="00E07C9A">
              <w:rPr>
                <w:rFonts w:ascii="Times New Roman" w:hAnsi="Times New Roman"/>
                <w:sz w:val="24"/>
              </w:rPr>
              <w:t>obchodnej knihe sa vykazuje RWEA týkajúca sa špecifického rizika. Pozri stĺpec 0601 vzoru MKR SA SEC alebo prípadne stĺpec 0450 vzoru MKR SA CTP.</w:t>
            </w:r>
          </w:p>
          <w:p w14:paraId="47754513" w14:textId="77777777" w:rsidR="00FC6275" w:rsidRPr="00E07C9A" w:rsidRDefault="00FC6275" w:rsidP="00E10B85">
            <w:pPr>
              <w:spacing w:before="0" w:after="0"/>
              <w:jc w:val="left"/>
              <w:rPr>
                <w:rFonts w:ascii="Times New Roman" w:hAnsi="Times New Roman"/>
                <w:sz w:val="24"/>
              </w:rPr>
            </w:pPr>
          </w:p>
        </w:tc>
      </w:tr>
      <w:tr w:rsidR="00FC6275" w:rsidRPr="00E07C9A" w14:paraId="6A272CD6" w14:textId="77777777" w:rsidTr="00E10B85">
        <w:tc>
          <w:tcPr>
            <w:tcW w:w="1101" w:type="dxa"/>
          </w:tcPr>
          <w:p w14:paraId="6E390299" w14:textId="77777777" w:rsidR="00FC6275" w:rsidRPr="00E07C9A" w:rsidRDefault="00973973"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0447 – 0448</w:t>
            </w:r>
          </w:p>
        </w:tc>
        <w:tc>
          <w:tcPr>
            <w:tcW w:w="7903" w:type="dxa"/>
          </w:tcPr>
          <w:p w14:paraId="1C259DE5" w14:textId="77777777" w:rsidR="00FC6275" w:rsidRPr="00E07C9A" w:rsidRDefault="00FC6275" w:rsidP="00E10B85">
            <w:pPr>
              <w:spacing w:before="0" w:after="0"/>
              <w:jc w:val="left"/>
              <w:rPr>
                <w:rFonts w:ascii="Times New Roman" w:hAnsi="Times New Roman"/>
                <w:b/>
                <w:sz w:val="24"/>
                <w:u w:val="single"/>
              </w:rPr>
            </w:pPr>
            <w:r w:rsidRPr="00E07C9A">
              <w:rPr>
                <w:rFonts w:ascii="Times New Roman" w:hAnsi="Times New Roman"/>
                <w:b/>
                <w:sz w:val="24"/>
                <w:u w:val="single"/>
              </w:rPr>
              <w:t>DOPLŇUJÚCE POLOŽKY</w:t>
            </w:r>
          </w:p>
        </w:tc>
      </w:tr>
      <w:tr w:rsidR="00FC6275" w:rsidRPr="00E07C9A" w14:paraId="2799DE67" w14:textId="77777777" w:rsidTr="00E10B85">
        <w:tc>
          <w:tcPr>
            <w:tcW w:w="1101" w:type="dxa"/>
          </w:tcPr>
          <w:p w14:paraId="7BEFF4FD" w14:textId="77777777" w:rsidR="00FC6275" w:rsidRPr="00E07C9A" w:rsidRDefault="00973973"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0447</w:t>
            </w:r>
          </w:p>
        </w:tc>
        <w:tc>
          <w:tcPr>
            <w:tcW w:w="7903" w:type="dxa"/>
          </w:tcPr>
          <w:p w14:paraId="3F9699A7" w14:textId="17260BDC" w:rsidR="00FC6275" w:rsidRPr="00E07C9A" w:rsidRDefault="00FC6275" w:rsidP="00E10B85">
            <w:pPr>
              <w:spacing w:before="0" w:after="0"/>
              <w:jc w:val="left"/>
              <w:rPr>
                <w:rFonts w:ascii="Times New Roman" w:hAnsi="Times New Roman"/>
                <w:b/>
                <w:sz w:val="24"/>
                <w:u w:val="single"/>
              </w:rPr>
            </w:pPr>
            <w:r w:rsidRPr="00E07C9A">
              <w:rPr>
                <w:rFonts w:ascii="Times New Roman" w:hAnsi="Times New Roman"/>
                <w:b/>
                <w:sz w:val="24"/>
                <w:u w:val="single"/>
              </w:rPr>
              <w:t>HODNOTA RIZIKOVO VÁŽENEJ EXPOZÍCIE</w:t>
            </w:r>
            <w:r w:rsidR="009912F8" w:rsidRPr="00E07C9A">
              <w:rPr>
                <w:rFonts w:ascii="Times New Roman" w:hAnsi="Times New Roman"/>
                <w:b/>
                <w:sz w:val="24"/>
                <w:u w:val="single"/>
              </w:rPr>
              <w:t xml:space="preserve"> V </w:t>
            </w:r>
            <w:r w:rsidRPr="00E07C9A">
              <w:rPr>
                <w:rFonts w:ascii="Times New Roman" w:hAnsi="Times New Roman"/>
                <w:b/>
                <w:sz w:val="24"/>
                <w:u w:val="single"/>
              </w:rPr>
              <w:t>RÁMCI SEC-ERBA</w:t>
            </w:r>
          </w:p>
          <w:p w14:paraId="0F916C5E" w14:textId="77777777" w:rsidR="00FC6275" w:rsidRPr="00E07C9A" w:rsidRDefault="00FC6275" w:rsidP="00E10B85">
            <w:pPr>
              <w:spacing w:before="0" w:after="0"/>
              <w:jc w:val="left"/>
              <w:rPr>
                <w:rFonts w:ascii="Times New Roman" w:hAnsi="Times New Roman"/>
                <w:b/>
                <w:sz w:val="24"/>
                <w:u w:val="single"/>
              </w:rPr>
            </w:pPr>
          </w:p>
          <w:p w14:paraId="5756A909" w14:textId="3B1D3E12" w:rsidR="009912F8" w:rsidRPr="00E07C9A" w:rsidRDefault="00FC6275" w:rsidP="00E10B85">
            <w:pPr>
              <w:spacing w:before="0" w:after="0"/>
              <w:jc w:val="left"/>
              <w:rPr>
                <w:rFonts w:ascii="Times New Roman" w:hAnsi="Times New Roman"/>
                <w:sz w:val="24"/>
              </w:rPr>
            </w:pPr>
            <w:r w:rsidRPr="00E07C9A">
              <w:rPr>
                <w:rFonts w:ascii="Times New Roman" w:hAnsi="Times New Roman"/>
                <w:sz w:val="24"/>
              </w:rPr>
              <w:t>Články 263</w:t>
            </w:r>
            <w:r w:rsidR="009912F8" w:rsidRPr="00E07C9A">
              <w:rPr>
                <w:rFonts w:ascii="Times New Roman" w:hAnsi="Times New Roman"/>
                <w:sz w:val="24"/>
              </w:rPr>
              <w:t xml:space="preserve"> a </w:t>
            </w:r>
            <w:r w:rsidRPr="00E07C9A">
              <w:rPr>
                <w:rFonts w:ascii="Times New Roman" w:hAnsi="Times New Roman"/>
                <w:sz w:val="24"/>
              </w:rPr>
              <w:t xml:space="preserve">264 nariadenia (EÚ) </w:t>
            </w:r>
            <w:r w:rsidR="009912F8" w:rsidRPr="00E07C9A">
              <w:rPr>
                <w:rFonts w:ascii="Times New Roman" w:hAnsi="Times New Roman"/>
                <w:sz w:val="24"/>
              </w:rPr>
              <w:t>č. 575/2013</w:t>
            </w:r>
            <w:r w:rsidRPr="00E07C9A">
              <w:rPr>
                <w:rFonts w:ascii="Times New Roman" w:hAnsi="Times New Roman"/>
                <w:sz w:val="24"/>
              </w:rPr>
              <w:t xml:space="preserve"> Tento stĺpec sa vykazuje len pre transakcie</w:t>
            </w:r>
            <w:r w:rsidR="009912F8" w:rsidRPr="00E07C9A">
              <w:rPr>
                <w:rFonts w:ascii="Times New Roman" w:hAnsi="Times New Roman"/>
                <w:sz w:val="24"/>
              </w:rPr>
              <w:t xml:space="preserve"> s </w:t>
            </w:r>
            <w:r w:rsidRPr="00E07C9A">
              <w:rPr>
                <w:rFonts w:ascii="Times New Roman" w:hAnsi="Times New Roman"/>
                <w:sz w:val="24"/>
              </w:rPr>
              <w:t>ratingovým hodnotením pred uplatnením horného ohraničenia, pričom pre transakcie</w:t>
            </w:r>
            <w:r w:rsidR="009912F8" w:rsidRPr="00E07C9A">
              <w:rPr>
                <w:rFonts w:ascii="Times New Roman" w:hAnsi="Times New Roman"/>
                <w:sz w:val="24"/>
              </w:rPr>
              <w:t xml:space="preserve"> v </w:t>
            </w:r>
            <w:r w:rsidRPr="00E07C9A">
              <w:rPr>
                <w:rFonts w:ascii="Times New Roman" w:hAnsi="Times New Roman"/>
                <w:sz w:val="24"/>
              </w:rPr>
              <w:t>rámci SEC-ERBA sa nevykazuje</w:t>
            </w:r>
            <w:r w:rsidR="009912F8" w:rsidRPr="00E07C9A">
              <w:rPr>
                <w:rFonts w:ascii="Times New Roman" w:hAnsi="Times New Roman"/>
                <w:sz w:val="24"/>
              </w:rPr>
              <w:t>.</w:t>
            </w:r>
          </w:p>
          <w:p w14:paraId="1B3A5349" w14:textId="78EA80A8" w:rsidR="00FC6275" w:rsidRPr="00E07C9A" w:rsidRDefault="00FC6275" w:rsidP="00E10B85">
            <w:pPr>
              <w:spacing w:before="0" w:after="0"/>
              <w:jc w:val="left"/>
              <w:rPr>
                <w:rFonts w:ascii="Times New Roman" w:hAnsi="Times New Roman"/>
                <w:b/>
                <w:sz w:val="24"/>
                <w:u w:val="single"/>
              </w:rPr>
            </w:pPr>
          </w:p>
        </w:tc>
      </w:tr>
      <w:tr w:rsidR="00FC6275" w:rsidRPr="00E07C9A" w14:paraId="1D86DD0C" w14:textId="77777777" w:rsidTr="00E10B85">
        <w:tc>
          <w:tcPr>
            <w:tcW w:w="1101" w:type="dxa"/>
          </w:tcPr>
          <w:p w14:paraId="54F5E8D0" w14:textId="77777777" w:rsidR="00FC6275" w:rsidRPr="00E07C9A" w:rsidRDefault="00973973"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0448</w:t>
            </w:r>
          </w:p>
        </w:tc>
        <w:tc>
          <w:tcPr>
            <w:tcW w:w="7903" w:type="dxa"/>
          </w:tcPr>
          <w:p w14:paraId="78F153C4" w14:textId="3CC79D8F" w:rsidR="00FC6275" w:rsidRPr="00E07C9A" w:rsidRDefault="00FC6275" w:rsidP="00E10B85">
            <w:pPr>
              <w:spacing w:before="0" w:after="0"/>
              <w:jc w:val="left"/>
              <w:rPr>
                <w:rFonts w:ascii="Times New Roman" w:hAnsi="Times New Roman"/>
                <w:b/>
                <w:sz w:val="24"/>
                <w:u w:val="single"/>
              </w:rPr>
            </w:pPr>
            <w:r w:rsidRPr="00E07C9A">
              <w:rPr>
                <w:rFonts w:ascii="Times New Roman" w:hAnsi="Times New Roman"/>
                <w:b/>
                <w:sz w:val="24"/>
                <w:u w:val="single"/>
              </w:rPr>
              <w:t>HODNOTA RIZIKOVO VÁŽENEJ EXPOZÍCIE</w:t>
            </w:r>
            <w:r w:rsidR="009912F8" w:rsidRPr="00E07C9A">
              <w:rPr>
                <w:rFonts w:ascii="Times New Roman" w:hAnsi="Times New Roman"/>
                <w:b/>
                <w:sz w:val="24"/>
                <w:u w:val="single"/>
              </w:rPr>
              <w:t xml:space="preserve"> V </w:t>
            </w:r>
            <w:r w:rsidRPr="00E07C9A">
              <w:rPr>
                <w:rFonts w:ascii="Times New Roman" w:hAnsi="Times New Roman"/>
                <w:b/>
                <w:sz w:val="24"/>
                <w:u w:val="single"/>
              </w:rPr>
              <w:t>RÁMCI SEC-SA</w:t>
            </w:r>
          </w:p>
          <w:p w14:paraId="5D278F18" w14:textId="77777777" w:rsidR="00FC6275" w:rsidRPr="00E07C9A" w:rsidRDefault="00FC6275" w:rsidP="00E10B85">
            <w:pPr>
              <w:spacing w:before="0" w:after="0"/>
              <w:jc w:val="left"/>
              <w:rPr>
                <w:rFonts w:ascii="Times New Roman" w:hAnsi="Times New Roman"/>
                <w:b/>
                <w:sz w:val="24"/>
                <w:u w:val="single"/>
              </w:rPr>
            </w:pPr>
          </w:p>
          <w:p w14:paraId="51A98687" w14:textId="000E72E2" w:rsidR="00FC6275" w:rsidRPr="00E07C9A" w:rsidRDefault="00FC6275" w:rsidP="00E10B85">
            <w:pPr>
              <w:spacing w:before="0" w:after="0"/>
              <w:jc w:val="left"/>
              <w:rPr>
                <w:rFonts w:ascii="Times New Roman" w:hAnsi="Times New Roman"/>
                <w:sz w:val="24"/>
              </w:rPr>
            </w:pPr>
            <w:r w:rsidRPr="00E07C9A">
              <w:rPr>
                <w:rFonts w:ascii="Times New Roman" w:hAnsi="Times New Roman"/>
                <w:sz w:val="24"/>
              </w:rPr>
              <w:t>Články 261</w:t>
            </w:r>
            <w:r w:rsidR="009912F8" w:rsidRPr="00E07C9A">
              <w:rPr>
                <w:rFonts w:ascii="Times New Roman" w:hAnsi="Times New Roman"/>
                <w:sz w:val="24"/>
              </w:rPr>
              <w:t xml:space="preserve"> a </w:t>
            </w:r>
            <w:r w:rsidRPr="00E07C9A">
              <w:rPr>
                <w:rFonts w:ascii="Times New Roman" w:hAnsi="Times New Roman"/>
                <w:sz w:val="24"/>
              </w:rPr>
              <w:t xml:space="preserve">262 nariadenia (EÚ) </w:t>
            </w:r>
            <w:r w:rsidR="009912F8" w:rsidRPr="00E07C9A">
              <w:rPr>
                <w:rFonts w:ascii="Times New Roman" w:hAnsi="Times New Roman"/>
                <w:sz w:val="24"/>
              </w:rPr>
              <w:t>č. 575/2013</w:t>
            </w:r>
            <w:r w:rsidRPr="00E07C9A">
              <w:rPr>
                <w:rFonts w:ascii="Times New Roman" w:hAnsi="Times New Roman"/>
                <w:sz w:val="24"/>
              </w:rPr>
              <w:t xml:space="preserve"> Tento stĺpec sa vykazuje pred uplatnením horného ohraničenia, pričom pre transakcie</w:t>
            </w:r>
            <w:r w:rsidR="009912F8" w:rsidRPr="00E07C9A">
              <w:rPr>
                <w:rFonts w:ascii="Times New Roman" w:hAnsi="Times New Roman"/>
                <w:sz w:val="24"/>
              </w:rPr>
              <w:t xml:space="preserve"> v </w:t>
            </w:r>
            <w:r w:rsidRPr="00E07C9A">
              <w:rPr>
                <w:rFonts w:ascii="Times New Roman" w:hAnsi="Times New Roman"/>
                <w:sz w:val="24"/>
              </w:rPr>
              <w:t>rámci SEC-SA sa nevykazuje.</w:t>
            </w:r>
          </w:p>
          <w:p w14:paraId="6F9AB7B7" w14:textId="77777777" w:rsidR="00FC6275" w:rsidRPr="00E07C9A" w:rsidRDefault="00FC6275" w:rsidP="00E10B85">
            <w:pPr>
              <w:spacing w:before="0" w:after="0"/>
              <w:jc w:val="left"/>
              <w:rPr>
                <w:rFonts w:ascii="Times New Roman" w:hAnsi="Times New Roman"/>
                <w:b/>
                <w:sz w:val="24"/>
                <w:u w:val="single"/>
              </w:rPr>
            </w:pPr>
          </w:p>
        </w:tc>
      </w:tr>
      <w:tr w:rsidR="00FC6275" w:rsidRPr="00E07C9A" w14:paraId="0E23B761" w14:textId="77777777" w:rsidTr="00E10B85">
        <w:tc>
          <w:tcPr>
            <w:tcW w:w="1101" w:type="dxa"/>
            <w:shd w:val="clear" w:color="auto" w:fill="auto"/>
          </w:tcPr>
          <w:p w14:paraId="59DAC8AF" w14:textId="77777777" w:rsidR="00FC6275" w:rsidRPr="00E07C9A" w:rsidRDefault="00973973" w:rsidP="00677A91">
            <w:pPr>
              <w:autoSpaceDE w:val="0"/>
              <w:autoSpaceDN w:val="0"/>
              <w:adjustRightInd w:val="0"/>
              <w:spacing w:before="0" w:after="0"/>
              <w:rPr>
                <w:rFonts w:ascii="Times New Roman" w:hAnsi="Times New Roman"/>
                <w:sz w:val="24"/>
              </w:rPr>
            </w:pPr>
            <w:r w:rsidRPr="00E07C9A">
              <w:rPr>
                <w:rFonts w:ascii="Times New Roman" w:hAnsi="Times New Roman"/>
                <w:sz w:val="24"/>
              </w:rPr>
              <w:t>0450 –⁠ 0470</w:t>
            </w:r>
          </w:p>
        </w:tc>
        <w:tc>
          <w:tcPr>
            <w:tcW w:w="7903" w:type="dxa"/>
            <w:shd w:val="clear" w:color="auto" w:fill="auto"/>
          </w:tcPr>
          <w:p w14:paraId="3951CBAC" w14:textId="77777777" w:rsidR="00FC6275" w:rsidRPr="00E07C9A" w:rsidRDefault="00FC6275" w:rsidP="00E10B85">
            <w:pPr>
              <w:spacing w:before="0" w:after="0"/>
              <w:jc w:val="left"/>
              <w:rPr>
                <w:rFonts w:ascii="Times New Roman" w:hAnsi="Times New Roman"/>
                <w:b/>
                <w:sz w:val="24"/>
                <w:u w:val="single"/>
              </w:rPr>
            </w:pPr>
            <w:r w:rsidRPr="00E07C9A">
              <w:rPr>
                <w:rFonts w:ascii="Times New Roman" w:hAnsi="Times New Roman"/>
                <w:b/>
                <w:sz w:val="24"/>
                <w:u w:val="single"/>
              </w:rPr>
              <w:t>SEKURITIZAČNÉ POZÍCIE – OBCHODNÁ KNIHA</w:t>
            </w:r>
          </w:p>
          <w:p w14:paraId="11FF671E" w14:textId="77777777" w:rsidR="00FC6275" w:rsidRPr="00E07C9A" w:rsidRDefault="00FC6275" w:rsidP="00E10B85">
            <w:pPr>
              <w:spacing w:before="0" w:after="0"/>
              <w:jc w:val="left"/>
              <w:rPr>
                <w:rFonts w:ascii="Times New Roman" w:hAnsi="Times New Roman"/>
                <w:b/>
                <w:sz w:val="24"/>
                <w:u w:val="single"/>
              </w:rPr>
            </w:pPr>
          </w:p>
        </w:tc>
      </w:tr>
      <w:tr w:rsidR="00FC6275" w:rsidRPr="00E07C9A" w14:paraId="42261104"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0B3EB0AD" w14:textId="77777777" w:rsidR="00FC6275" w:rsidRPr="00E07C9A" w:rsidDel="00304CB1" w:rsidRDefault="00973973"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0450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7F0C854E" w14:textId="77777777" w:rsidR="00FC6275" w:rsidRPr="00E07C9A" w:rsidRDefault="00FC6275" w:rsidP="00E10B85">
            <w:pPr>
              <w:spacing w:before="0" w:after="0"/>
              <w:jc w:val="left"/>
              <w:rPr>
                <w:rFonts w:ascii="Times New Roman" w:hAnsi="Times New Roman"/>
                <w:b/>
                <w:sz w:val="24"/>
                <w:u w:val="single"/>
              </w:rPr>
            </w:pPr>
            <w:r w:rsidRPr="00E07C9A">
              <w:rPr>
                <w:rFonts w:ascii="Times New Roman" w:hAnsi="Times New Roman"/>
                <w:b/>
                <w:sz w:val="24"/>
                <w:u w:val="single"/>
              </w:rPr>
              <w:t>KORELAČNÉ OBCHODNÉ PORTFÓLIO ALEBO INÉ AKO KORELAČNÉ OBCHODNÉ PORTFÓLIO?</w:t>
            </w:r>
          </w:p>
          <w:p w14:paraId="1E6304D6" w14:textId="77777777" w:rsidR="00FC6275" w:rsidRPr="00E07C9A" w:rsidRDefault="00FC6275" w:rsidP="00E10B85">
            <w:pPr>
              <w:spacing w:before="0" w:after="0"/>
              <w:jc w:val="left"/>
              <w:rPr>
                <w:rStyle w:val="InstructionsTabelleText"/>
                <w:rFonts w:ascii="Times New Roman" w:hAnsi="Times New Roman"/>
                <w:sz w:val="24"/>
              </w:rPr>
            </w:pPr>
          </w:p>
          <w:p w14:paraId="57BD5730" w14:textId="3B5147B4" w:rsidR="00FC6275" w:rsidRPr="00E07C9A" w:rsidRDefault="00037FCC" w:rsidP="00E10B85">
            <w:pPr>
              <w:spacing w:before="0" w:after="0"/>
              <w:jc w:val="left"/>
              <w:rPr>
                <w:rStyle w:val="InstructionsTabelleText"/>
                <w:rFonts w:ascii="Times New Roman" w:hAnsi="Times New Roman"/>
                <w:sz w:val="24"/>
              </w:rPr>
            </w:pPr>
            <w:r w:rsidRPr="00E07C9A">
              <w:rPr>
                <w:rStyle w:val="InstructionsTabelleText"/>
                <w:rFonts w:ascii="Times New Roman" w:hAnsi="Times New Roman"/>
                <w:sz w:val="24"/>
              </w:rPr>
              <w:t>Inštitúcie vykazujú jednu</w:t>
            </w:r>
            <w:r w:rsidR="009912F8" w:rsidRPr="00E07C9A">
              <w:rPr>
                <w:rStyle w:val="InstructionsTabelleText"/>
                <w:rFonts w:ascii="Times New Roman" w:hAnsi="Times New Roman"/>
                <w:sz w:val="24"/>
              </w:rPr>
              <w:t xml:space="preserve"> z </w:t>
            </w:r>
            <w:r w:rsidRPr="00E07C9A">
              <w:rPr>
                <w:rStyle w:val="InstructionsTabelleText"/>
                <w:rFonts w:ascii="Times New Roman" w:hAnsi="Times New Roman"/>
                <w:sz w:val="24"/>
              </w:rPr>
              <w:t>týchto možností:</w:t>
            </w:r>
          </w:p>
          <w:p w14:paraId="15C6B74A" w14:textId="4251565B" w:rsidR="00FC6275" w:rsidRPr="00E07C9A" w:rsidRDefault="000D1FBE" w:rsidP="00E10B85">
            <w:pPr>
              <w:spacing w:before="0" w:after="0"/>
              <w:jc w:val="left"/>
              <w:rPr>
                <w:rStyle w:val="InstructionsTabelleText"/>
                <w:rFonts w:ascii="Times New Roman" w:hAnsi="Times New Roman"/>
                <w:sz w:val="24"/>
              </w:rPr>
            </w:pPr>
            <w:r w:rsidRPr="00E07C9A">
              <w:rPr>
                <w:rStyle w:val="InstructionsTabelleText"/>
                <w:rFonts w:ascii="Times New Roman" w:hAnsi="Times New Roman"/>
                <w:sz w:val="24"/>
              </w:rPr>
              <w:t>„CTP“ – korelačné obchodné portfólio,</w:t>
            </w:r>
          </w:p>
          <w:p w14:paraId="0372461D" w14:textId="456AB773" w:rsidR="00FC6275" w:rsidRPr="00E07C9A" w:rsidRDefault="000D1FBE" w:rsidP="00E10B85">
            <w:pPr>
              <w:spacing w:before="0" w:after="0"/>
              <w:jc w:val="left"/>
              <w:rPr>
                <w:rStyle w:val="InstructionsTabelleText"/>
                <w:rFonts w:ascii="Times New Roman" w:hAnsi="Times New Roman"/>
                <w:sz w:val="24"/>
              </w:rPr>
            </w:pPr>
            <w:r w:rsidRPr="00E07C9A">
              <w:rPr>
                <w:rStyle w:val="InstructionsTabelleText"/>
                <w:rFonts w:ascii="Times New Roman" w:hAnsi="Times New Roman"/>
                <w:sz w:val="24"/>
              </w:rPr>
              <w:t>„Non-CTP“ – iné ako korelačné obchodné portfólio.</w:t>
            </w:r>
          </w:p>
          <w:p w14:paraId="51F86ACD" w14:textId="77777777" w:rsidR="00FC6275" w:rsidRPr="00E07C9A" w:rsidRDefault="00FC6275" w:rsidP="00E10B85">
            <w:pPr>
              <w:spacing w:before="0" w:after="0"/>
              <w:jc w:val="left"/>
              <w:rPr>
                <w:rFonts w:ascii="Times New Roman" w:hAnsi="Times New Roman"/>
                <w:b/>
                <w:sz w:val="24"/>
                <w:u w:val="single"/>
              </w:rPr>
            </w:pPr>
          </w:p>
        </w:tc>
      </w:tr>
      <w:tr w:rsidR="00FC6275" w:rsidRPr="00E07C9A" w14:paraId="380AFD44"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4967986D" w14:textId="77777777" w:rsidR="00FC6275" w:rsidRPr="00E07C9A" w:rsidDel="00304CB1" w:rsidRDefault="00973973"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0460 –⁠ 0470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264F5C80" w14:textId="77777777" w:rsidR="00FC6275" w:rsidRPr="00E07C9A" w:rsidRDefault="00FC6275" w:rsidP="00E10B85">
            <w:pPr>
              <w:spacing w:before="0" w:after="0"/>
              <w:jc w:val="left"/>
              <w:rPr>
                <w:rStyle w:val="InstructionsTabelleberschrift"/>
                <w:rFonts w:ascii="Times New Roman" w:hAnsi="Times New Roman"/>
                <w:sz w:val="24"/>
              </w:rPr>
            </w:pPr>
            <w:r w:rsidRPr="00E07C9A">
              <w:rPr>
                <w:rStyle w:val="InstructionsTabelleberschrift"/>
                <w:rFonts w:ascii="Times New Roman" w:hAnsi="Times New Roman"/>
                <w:sz w:val="24"/>
              </w:rPr>
              <w:t>ČISTÉ POZÍCIE – DLHÉ/KRÁTKE</w:t>
            </w:r>
          </w:p>
          <w:p w14:paraId="4D9C583E" w14:textId="77777777" w:rsidR="00FC6275" w:rsidRPr="00E07C9A" w:rsidRDefault="00FC6275" w:rsidP="00E10B85">
            <w:pPr>
              <w:spacing w:before="0" w:after="0"/>
              <w:jc w:val="left"/>
              <w:rPr>
                <w:rFonts w:ascii="Times New Roman" w:hAnsi="Times New Roman"/>
                <w:b/>
                <w:sz w:val="24"/>
                <w:u w:val="single"/>
              </w:rPr>
            </w:pPr>
          </w:p>
          <w:p w14:paraId="332792FA" w14:textId="77777777" w:rsidR="009912F8" w:rsidRPr="00E07C9A" w:rsidRDefault="00FC6275" w:rsidP="00E10B85">
            <w:pPr>
              <w:spacing w:before="0" w:after="0"/>
              <w:jc w:val="left"/>
              <w:rPr>
                <w:rStyle w:val="InstructionsTabelleText"/>
                <w:rFonts w:ascii="Times New Roman" w:hAnsi="Times New Roman"/>
                <w:sz w:val="24"/>
              </w:rPr>
            </w:pPr>
            <w:r w:rsidRPr="00E07C9A">
              <w:rPr>
                <w:rStyle w:val="InstructionsTabelleText"/>
                <w:rFonts w:ascii="Times New Roman" w:hAnsi="Times New Roman"/>
                <w:sz w:val="24"/>
              </w:rPr>
              <w:t>Pozri stĺpce 0050/0060 vzoru MKR SA SEC alebo vzoru MKR SA CTP</w:t>
            </w:r>
            <w:r w:rsidR="009912F8" w:rsidRPr="00E07C9A">
              <w:rPr>
                <w:rStyle w:val="InstructionsTabelleText"/>
                <w:rFonts w:ascii="Times New Roman" w:hAnsi="Times New Roman"/>
                <w:sz w:val="24"/>
              </w:rPr>
              <w:t>.</w:t>
            </w:r>
          </w:p>
          <w:p w14:paraId="3E54032F" w14:textId="329FAFC9" w:rsidR="00FC6275" w:rsidRPr="00E07C9A" w:rsidRDefault="00FC6275" w:rsidP="00E10B85">
            <w:pPr>
              <w:spacing w:before="0" w:after="0"/>
              <w:jc w:val="left"/>
              <w:rPr>
                <w:rFonts w:ascii="Times New Roman" w:hAnsi="Times New Roman"/>
                <w:b/>
                <w:sz w:val="24"/>
                <w:u w:val="single"/>
              </w:rPr>
            </w:pPr>
          </w:p>
        </w:tc>
      </w:tr>
    </w:tbl>
    <w:p w14:paraId="18A2E65C" w14:textId="77777777" w:rsidR="00595FAD" w:rsidRPr="00E07C9A" w:rsidRDefault="00595FAD" w:rsidP="005C4397">
      <w:pPr>
        <w:pStyle w:val="ListParagraph"/>
        <w:keepNext/>
        <w:numPr>
          <w:ilvl w:val="1"/>
          <w:numId w:val="39"/>
        </w:numPr>
        <w:spacing w:before="240" w:after="240"/>
        <w:outlineLvl w:val="1"/>
        <w:rPr>
          <w:rFonts w:ascii="Times New Roman" w:hAnsi="Times New Roman"/>
          <w:sz w:val="24"/>
        </w:rPr>
      </w:pPr>
      <w:bookmarkStart w:id="437" w:name="_Toc19715796"/>
      <w:bookmarkStart w:id="438" w:name="_Toc115857831"/>
      <w:r w:rsidRPr="00E07C9A">
        <w:rPr>
          <w:rFonts w:ascii="Times New Roman" w:hAnsi="Times New Roman"/>
          <w:sz w:val="24"/>
        </w:rPr>
        <w:t>Kreditné riziko protistrany</w:t>
      </w:r>
      <w:bookmarkEnd w:id="437"/>
      <w:bookmarkEnd w:id="438"/>
    </w:p>
    <w:p w14:paraId="3C6C03EE" w14:textId="77777777" w:rsidR="00595FAD" w:rsidRPr="00E07C9A" w:rsidRDefault="00595FAD" w:rsidP="005C4397">
      <w:pPr>
        <w:pStyle w:val="Instructionsberschrift2"/>
        <w:numPr>
          <w:ilvl w:val="2"/>
          <w:numId w:val="39"/>
        </w:numPr>
        <w:rPr>
          <w:rFonts w:ascii="Times New Roman" w:hAnsi="Times New Roman" w:cs="Times New Roman"/>
          <w:sz w:val="24"/>
        </w:rPr>
      </w:pPr>
      <w:bookmarkStart w:id="439" w:name="_Toc19712307"/>
      <w:bookmarkStart w:id="440" w:name="_Toc19715797"/>
      <w:bookmarkStart w:id="441" w:name="_Toc19715798"/>
      <w:bookmarkStart w:id="442" w:name="_Toc19715799"/>
      <w:bookmarkStart w:id="443" w:name="_Toc19715800"/>
      <w:bookmarkStart w:id="444" w:name="_Toc19715801"/>
      <w:bookmarkStart w:id="445" w:name="_Toc5612629"/>
      <w:bookmarkStart w:id="446" w:name="_Toc19715802"/>
      <w:bookmarkStart w:id="447" w:name="_Toc115857832"/>
      <w:bookmarkEnd w:id="439"/>
      <w:bookmarkEnd w:id="440"/>
      <w:bookmarkEnd w:id="441"/>
      <w:bookmarkEnd w:id="442"/>
      <w:bookmarkEnd w:id="443"/>
      <w:bookmarkEnd w:id="444"/>
      <w:r w:rsidRPr="00E07C9A">
        <w:rPr>
          <w:rFonts w:ascii="Times New Roman" w:hAnsi="Times New Roman" w:cs="Times New Roman"/>
          <w:sz w:val="24"/>
        </w:rPr>
        <w:t>Rozsah pôsobnosti vzorov pre kreditné riziko protistrany</w:t>
      </w:r>
      <w:bookmarkEnd w:id="445"/>
      <w:bookmarkEnd w:id="446"/>
      <w:bookmarkEnd w:id="447"/>
    </w:p>
    <w:p w14:paraId="16DF9742" w14:textId="06130580" w:rsidR="00595FAD" w:rsidRPr="00E07C9A" w:rsidRDefault="002A18DE" w:rsidP="00487A02">
      <w:pPr>
        <w:pStyle w:val="InstructionsText2"/>
        <w:numPr>
          <w:ilvl w:val="0"/>
          <w:numId w:val="0"/>
        </w:numPr>
        <w:ind w:left="1353" w:hanging="360"/>
      </w:pPr>
      <w:fldSimple w:instr=" seq paragraphs ">
        <w:r w:rsidR="00132AEE">
          <w:rPr>
            <w:noProof/>
          </w:rPr>
          <w:t>119</w:t>
        </w:r>
      </w:fldSimple>
      <w:r w:rsidR="00C3070C" w:rsidRPr="00E07C9A">
        <w:t>. Vzory pre kreditné riziko protistrany sa týkajú informácií</w:t>
      </w:r>
      <w:r w:rsidR="009912F8" w:rsidRPr="00E07C9A">
        <w:t xml:space="preserve"> o </w:t>
      </w:r>
      <w:r w:rsidR="00C3070C" w:rsidRPr="00E07C9A">
        <w:t>expozíciách, na ktoré sa vzťahuje kreditné riziko protistrany, pri uplatňovaní tretej časti hlavy II kapitol 4</w:t>
      </w:r>
      <w:r w:rsidR="009912F8" w:rsidRPr="00E07C9A">
        <w:t xml:space="preserve"> a </w:t>
      </w:r>
      <w:r w:rsidR="00C3070C" w:rsidRPr="00E07C9A">
        <w:t xml:space="preserve">6 nariadenia (EÚ) </w:t>
      </w:r>
      <w:r w:rsidR="009912F8" w:rsidRPr="00E07C9A">
        <w:t>č. 575/2013</w:t>
      </w:r>
      <w:r w:rsidR="00C3070C" w:rsidRPr="00E07C9A">
        <w:t>.</w:t>
      </w:r>
    </w:p>
    <w:p w14:paraId="43681439" w14:textId="39D02962" w:rsidR="009912F8" w:rsidRPr="00E07C9A" w:rsidRDefault="002A18DE" w:rsidP="00487A02">
      <w:pPr>
        <w:pStyle w:val="InstructionsText2"/>
        <w:numPr>
          <w:ilvl w:val="0"/>
          <w:numId w:val="0"/>
        </w:numPr>
        <w:ind w:left="1353" w:hanging="360"/>
      </w:pPr>
      <w:fldSimple w:instr=" seq paragraphs ">
        <w:r w:rsidR="00132AEE">
          <w:rPr>
            <w:noProof/>
          </w:rPr>
          <w:t>120</w:t>
        </w:r>
      </w:fldSimple>
      <w:r w:rsidR="00C3070C" w:rsidRPr="00E07C9A">
        <w:t>. Zo vzorov sú vylúčené požiadavky na vlastné zdroje pre riziko úpravy ocenenia pohľadávok [článok 92 ods. 3 písm. d)</w:t>
      </w:r>
      <w:r w:rsidR="009912F8" w:rsidRPr="00E07C9A">
        <w:t xml:space="preserve"> a </w:t>
      </w:r>
      <w:r w:rsidR="00C3070C" w:rsidRPr="00E07C9A">
        <w:t xml:space="preserve">tretia časť hlava VI nariadenia (EÚ) </w:t>
      </w:r>
      <w:r w:rsidR="009912F8" w:rsidRPr="00E07C9A">
        <w:t>č. 575/2013</w:t>
      </w:r>
      <w:r w:rsidR="00C3070C" w:rsidRPr="00E07C9A">
        <w:t>], ktoré sa vykazujú vo vzore pre riziko úpravy ocenenia pohľadávok</w:t>
      </w:r>
      <w:r w:rsidR="009912F8" w:rsidRPr="00E07C9A">
        <w:t>.</w:t>
      </w:r>
    </w:p>
    <w:p w14:paraId="7DA5FF3B" w14:textId="342C9698" w:rsidR="00595FAD" w:rsidRPr="00E07C9A" w:rsidRDefault="002A18DE" w:rsidP="00487A02">
      <w:pPr>
        <w:pStyle w:val="InstructionsText2"/>
        <w:numPr>
          <w:ilvl w:val="0"/>
          <w:numId w:val="0"/>
        </w:numPr>
        <w:ind w:left="1353" w:hanging="360"/>
      </w:pPr>
      <w:fldSimple w:instr=" seq paragraphs ">
        <w:r w:rsidR="00132AEE">
          <w:rPr>
            <w:noProof/>
          </w:rPr>
          <w:t>121</w:t>
        </w:r>
      </w:fldSimple>
      <w:r w:rsidR="00C3070C" w:rsidRPr="00E07C9A">
        <w:t>. Expozície voči kreditnému riziku centrálnych protistrán [tretia časť hlava II kapitola 4</w:t>
      </w:r>
      <w:r w:rsidR="009912F8" w:rsidRPr="00E07C9A">
        <w:t xml:space="preserve"> a </w:t>
      </w:r>
      <w:r w:rsidR="00C3070C" w:rsidRPr="00E07C9A">
        <w:t xml:space="preserve">tretia časť hlava II kapitola 6 oddiel 9 nariadenia (EÚ) </w:t>
      </w:r>
      <w:r w:rsidR="009912F8" w:rsidRPr="00E07C9A">
        <w:t>č. 575/2013</w:t>
      </w:r>
      <w:r w:rsidR="00C3070C" w:rsidRPr="00E07C9A">
        <w:t>] by sa mali zahrnúť do údajov</w:t>
      </w:r>
      <w:r w:rsidR="009912F8" w:rsidRPr="00E07C9A">
        <w:t xml:space="preserve"> o </w:t>
      </w:r>
      <w:r w:rsidR="00C3070C" w:rsidRPr="00E07C9A">
        <w:t>CCR, ak nie je uvedené inak. Príspevky do fondu pre prípad zlyhania vypočítané</w:t>
      </w:r>
      <w:r w:rsidR="009912F8" w:rsidRPr="00E07C9A">
        <w:t xml:space="preserve"> v </w:t>
      </w:r>
      <w:r w:rsidR="00C3070C" w:rsidRPr="00E07C9A">
        <w:t>súlade</w:t>
      </w:r>
      <w:r w:rsidR="009912F8" w:rsidRPr="00E07C9A">
        <w:t xml:space="preserve"> s </w:t>
      </w:r>
      <w:r w:rsidR="00C3070C" w:rsidRPr="00E07C9A">
        <w:t xml:space="preserve">článkami 307 až 310 nariadenia (EÚ) </w:t>
      </w:r>
      <w:r w:rsidR="009912F8" w:rsidRPr="00E07C9A">
        <w:t>č. 575/2013</w:t>
      </w:r>
      <w:r w:rsidR="00C3070C" w:rsidRPr="00E07C9A">
        <w:t xml:space="preserve"> sa však nevykazujú vo vzoroch pre kreditné riziko protistrany,</w:t>
      </w:r>
      <w:r w:rsidR="009912F8" w:rsidRPr="00E07C9A">
        <w:t xml:space="preserve"> s </w:t>
      </w:r>
      <w:r w:rsidR="00C3070C" w:rsidRPr="00E07C9A">
        <w:t>výnimkou vzoru C 34.10, konkrétne príslušných riadkov. Hodnoty rizikovo vážených expozícií príspevkov do fondu pre prípad zlyhania sa vo všeobecnosti vykazujú priamo vo vzore C 02.00, riadku 0460.</w:t>
      </w:r>
    </w:p>
    <w:p w14:paraId="643D8127" w14:textId="77777777" w:rsidR="00595FAD" w:rsidRPr="00E07C9A" w:rsidRDefault="00595FAD" w:rsidP="005C4397">
      <w:pPr>
        <w:pStyle w:val="Instructionsberschrift2"/>
        <w:numPr>
          <w:ilvl w:val="2"/>
          <w:numId w:val="39"/>
        </w:numPr>
        <w:rPr>
          <w:rFonts w:ascii="Times New Roman" w:hAnsi="Times New Roman" w:cs="Times New Roman"/>
          <w:sz w:val="24"/>
        </w:rPr>
      </w:pPr>
      <w:bookmarkStart w:id="448" w:name="_Toc19715803"/>
      <w:bookmarkStart w:id="449" w:name="_Toc115857833"/>
      <w:bookmarkStart w:id="450" w:name="_Toc516210659"/>
      <w:r w:rsidRPr="00E07C9A">
        <w:rPr>
          <w:rFonts w:ascii="Times New Roman" w:hAnsi="Times New Roman" w:cs="Times New Roman"/>
          <w:sz w:val="24"/>
        </w:rPr>
        <w:t>C 34.01 –⁠ Objem derivátových činností</w:t>
      </w:r>
      <w:bookmarkEnd w:id="448"/>
      <w:bookmarkEnd w:id="449"/>
    </w:p>
    <w:p w14:paraId="2690A5C9" w14:textId="27A54DBD" w:rsidR="00595FAD" w:rsidRPr="00E07C9A" w:rsidRDefault="00595FAD" w:rsidP="005C4397">
      <w:pPr>
        <w:pStyle w:val="Instructionsberschrift2"/>
        <w:numPr>
          <w:ilvl w:val="3"/>
          <w:numId w:val="39"/>
        </w:numPr>
        <w:rPr>
          <w:rFonts w:ascii="Times New Roman" w:hAnsi="Times New Roman" w:cs="Times New Roman"/>
          <w:sz w:val="24"/>
        </w:rPr>
      </w:pPr>
      <w:bookmarkStart w:id="451" w:name="_Toc19715804"/>
      <w:bookmarkStart w:id="452" w:name="_Toc115857834"/>
      <w:r w:rsidRPr="00E07C9A">
        <w:rPr>
          <w:rFonts w:ascii="Times New Roman" w:hAnsi="Times New Roman" w:cs="Times New Roman"/>
          <w:sz w:val="24"/>
        </w:rPr>
        <w:t>Všeobecné poznámky</w:t>
      </w:r>
      <w:bookmarkEnd w:id="450"/>
      <w:bookmarkEnd w:id="451"/>
      <w:bookmarkEnd w:id="452"/>
    </w:p>
    <w:p w14:paraId="1634EA16" w14:textId="0BF71304" w:rsidR="00595FAD" w:rsidRPr="00E07C9A" w:rsidRDefault="002A18DE" w:rsidP="00487A02">
      <w:pPr>
        <w:pStyle w:val="InstructionsText2"/>
        <w:numPr>
          <w:ilvl w:val="0"/>
          <w:numId w:val="0"/>
        </w:numPr>
        <w:ind w:left="1353" w:hanging="360"/>
      </w:pPr>
      <w:fldSimple w:instr=" seq paragraphs ">
        <w:r w:rsidR="00132AEE">
          <w:rPr>
            <w:noProof/>
          </w:rPr>
          <w:t>122</w:t>
        </w:r>
      </w:fldSimple>
      <w:r w:rsidR="00C3070C" w:rsidRPr="00E07C9A">
        <w:t>.</w:t>
      </w:r>
      <w:r w:rsidR="009912F8" w:rsidRPr="00E07C9A">
        <w:t xml:space="preserve"> V </w:t>
      </w:r>
      <w:r w:rsidR="00C3070C" w:rsidRPr="00E07C9A">
        <w:t>súlade</w:t>
      </w:r>
      <w:r w:rsidR="009912F8" w:rsidRPr="00E07C9A">
        <w:t xml:space="preserve"> s </w:t>
      </w:r>
      <w:r w:rsidR="00C3070C" w:rsidRPr="00E07C9A">
        <w:t xml:space="preserve">článkom 273a nariadenia (EÚ) </w:t>
      </w:r>
      <w:r w:rsidR="009912F8" w:rsidRPr="00E07C9A">
        <w:t>č. 575/2013</w:t>
      </w:r>
      <w:r w:rsidR="00C3070C" w:rsidRPr="00E07C9A">
        <w:t xml:space="preserve"> môže inštitúcia vypočítať hodnotu expozície svojich derivátových pozícií</w:t>
      </w:r>
      <w:r w:rsidR="009912F8" w:rsidRPr="00E07C9A">
        <w:t xml:space="preserve"> v </w:t>
      </w:r>
      <w:r w:rsidR="00C3070C" w:rsidRPr="00E07C9A">
        <w:t>súlade</w:t>
      </w:r>
      <w:r w:rsidR="009912F8" w:rsidRPr="00E07C9A">
        <w:t xml:space="preserve"> s </w:t>
      </w:r>
      <w:r w:rsidR="00C3070C" w:rsidRPr="00E07C9A">
        <w:t>metódou uvedenou</w:t>
      </w:r>
      <w:r w:rsidR="009912F8" w:rsidRPr="00E07C9A">
        <w:t xml:space="preserve"> v </w:t>
      </w:r>
      <w:r w:rsidR="00C3070C" w:rsidRPr="00E07C9A">
        <w:t xml:space="preserve">tretej časti hlave II kapitole 6 oddiele 4 alebo 5 nariadenia (EÚ) </w:t>
      </w:r>
      <w:r w:rsidR="009912F8" w:rsidRPr="00E07C9A">
        <w:t>č. 575/2013</w:t>
      </w:r>
      <w:r w:rsidR="00C3070C" w:rsidRPr="00E07C9A">
        <w:t xml:space="preserve"> za predpokladu, že rozsah jej súvahových, resp. podsúvahových derivátových činností neprevyšuje vopred stanovené prahové hodnoty. Zodpovedajúce posúdenie sa má uskutočňovať každý mesiac</w:t>
      </w:r>
      <w:r w:rsidR="009912F8" w:rsidRPr="00E07C9A">
        <w:t xml:space="preserve"> s </w:t>
      </w:r>
      <w:r w:rsidR="00C3070C" w:rsidRPr="00E07C9A">
        <w:t>použitím údajov</w:t>
      </w:r>
      <w:r w:rsidR="009912F8" w:rsidRPr="00E07C9A">
        <w:t xml:space="preserve"> k </w:t>
      </w:r>
      <w:r w:rsidR="00C3070C" w:rsidRPr="00E07C9A">
        <w:t>poslednému dňu mesiaca.</w:t>
      </w:r>
      <w:r w:rsidR="009912F8" w:rsidRPr="00E07C9A">
        <w:t xml:space="preserve"> V </w:t>
      </w:r>
      <w:r w:rsidR="00C3070C" w:rsidRPr="00E07C9A">
        <w:t>tomto vzore sa uvádzajú informácie</w:t>
      </w:r>
      <w:r w:rsidR="009912F8" w:rsidRPr="00E07C9A">
        <w:t xml:space="preserve"> o </w:t>
      </w:r>
      <w:r w:rsidR="00C3070C" w:rsidRPr="00E07C9A">
        <w:t>dodržiavaní uvedených prahových hodnôt</w:t>
      </w:r>
      <w:r w:rsidR="009912F8" w:rsidRPr="00E07C9A">
        <w:t xml:space="preserve"> a </w:t>
      </w:r>
      <w:r w:rsidR="00C3070C" w:rsidRPr="00E07C9A">
        <w:t>všeobecnejšie dôležité informácie</w:t>
      </w:r>
      <w:r w:rsidR="009912F8" w:rsidRPr="00E07C9A">
        <w:t xml:space="preserve"> o </w:t>
      </w:r>
      <w:r w:rsidR="00C3070C" w:rsidRPr="00E07C9A">
        <w:t>objeme derivátových činností.</w:t>
      </w:r>
    </w:p>
    <w:p w14:paraId="07050E36" w14:textId="65126EF5" w:rsidR="00595FAD" w:rsidRPr="00E07C9A" w:rsidRDefault="002A18DE" w:rsidP="00487A02">
      <w:pPr>
        <w:pStyle w:val="InstructionsText2"/>
        <w:numPr>
          <w:ilvl w:val="0"/>
          <w:numId w:val="0"/>
        </w:numPr>
        <w:ind w:left="1353" w:hanging="360"/>
      </w:pPr>
      <w:fldSimple w:instr=" seq paragraphs ">
        <w:r w:rsidR="00132AEE">
          <w:rPr>
            <w:noProof/>
          </w:rPr>
          <w:t>123</w:t>
        </w:r>
      </w:fldSimple>
      <w:r w:rsidR="00C3070C" w:rsidRPr="00E07C9A">
        <w:t>. Mesiac 1, mesiac 2</w:t>
      </w:r>
      <w:r w:rsidR="009912F8" w:rsidRPr="00E07C9A">
        <w:t xml:space="preserve"> a </w:t>
      </w:r>
      <w:r w:rsidR="00C3070C" w:rsidRPr="00E07C9A">
        <w:t>mesiac 3 sa vzťahujú na prvý, druhý</w:t>
      </w:r>
      <w:r w:rsidR="009912F8" w:rsidRPr="00E07C9A">
        <w:t xml:space="preserve"> a </w:t>
      </w:r>
      <w:r w:rsidR="00C3070C" w:rsidRPr="00E07C9A">
        <w:t>posledný mesiac vykazovaného štvrťroka. Informácie sa vykazujú pre koniec mesiacov len po 28. júni 2021.</w:t>
      </w:r>
    </w:p>
    <w:p w14:paraId="67FED447" w14:textId="2C384D2E" w:rsidR="00595FAD" w:rsidRPr="00E07C9A" w:rsidRDefault="00595FAD" w:rsidP="005C4397">
      <w:pPr>
        <w:pStyle w:val="Instructionsberschrift2"/>
        <w:numPr>
          <w:ilvl w:val="3"/>
          <w:numId w:val="39"/>
        </w:numPr>
        <w:rPr>
          <w:rFonts w:ascii="Times New Roman" w:hAnsi="Times New Roman" w:cs="Times New Roman"/>
          <w:sz w:val="24"/>
        </w:rPr>
      </w:pPr>
      <w:bookmarkStart w:id="453" w:name="_Toc516210660"/>
      <w:bookmarkStart w:id="454" w:name="_Toc19715805"/>
      <w:bookmarkStart w:id="455" w:name="_Toc115857835"/>
      <w:r w:rsidRPr="00E07C9A">
        <w:rPr>
          <w:rFonts w:ascii="Times New Roman" w:hAnsi="Times New Roman" w:cs="Times New Roman"/>
          <w:sz w:val="24"/>
        </w:rPr>
        <w:t>Pokyny týkajúce sa konkrétnych pozícií</w:t>
      </w:r>
      <w:bookmarkEnd w:id="453"/>
      <w:bookmarkEnd w:id="454"/>
      <w:bookmarkEnd w:id="455"/>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
        <w:gridCol w:w="8206"/>
      </w:tblGrid>
      <w:tr w:rsidR="00595FAD" w:rsidRPr="00E07C9A" w14:paraId="69014569" w14:textId="77777777" w:rsidTr="00FF15C6">
        <w:tc>
          <w:tcPr>
            <w:tcW w:w="851" w:type="dxa"/>
            <w:gridSpan w:val="2"/>
            <w:shd w:val="clear" w:color="auto" w:fill="CCCCCC"/>
          </w:tcPr>
          <w:p w14:paraId="36229D82" w14:textId="77777777" w:rsidR="00595FAD" w:rsidRPr="00E07C9A" w:rsidRDefault="00595FAD" w:rsidP="00FF15C6">
            <w:pPr>
              <w:spacing w:beforeLines="60" w:before="144" w:afterLines="60" w:after="144"/>
              <w:rPr>
                <w:rFonts w:ascii="Times New Roman" w:hAnsi="Times New Roman"/>
                <w:b/>
                <w:sz w:val="24"/>
              </w:rPr>
            </w:pPr>
            <w:r w:rsidRPr="00E07C9A">
              <w:rPr>
                <w:rFonts w:ascii="Times New Roman" w:hAnsi="Times New Roman"/>
                <w:b/>
                <w:sz w:val="24"/>
              </w:rPr>
              <w:t>Stĺpce</w:t>
            </w:r>
          </w:p>
        </w:tc>
      </w:tr>
      <w:tr w:rsidR="00595FAD" w:rsidRPr="00E07C9A" w14:paraId="49D68A86" w14:textId="77777777" w:rsidTr="00FF15C6">
        <w:tc>
          <w:tcPr>
            <w:tcW w:w="851" w:type="dxa"/>
          </w:tcPr>
          <w:p w14:paraId="70D0CE65" w14:textId="77777777" w:rsidR="00595FAD" w:rsidRPr="00E07C9A" w:rsidRDefault="00595FAD" w:rsidP="00FF15C6">
            <w:pPr>
              <w:spacing w:beforeLines="60" w:before="144" w:afterLines="60" w:after="144"/>
              <w:rPr>
                <w:rFonts w:ascii="Times New Roman" w:hAnsi="Times New Roman"/>
                <w:sz w:val="24"/>
              </w:rPr>
            </w:pPr>
            <w:r w:rsidRPr="00E07C9A">
              <w:rPr>
                <w:rFonts w:ascii="Times New Roman" w:hAnsi="Times New Roman"/>
                <w:sz w:val="24"/>
              </w:rPr>
              <w:t>0010, 0040, 0070</w:t>
            </w:r>
          </w:p>
        </w:tc>
        <w:tc>
          <w:tcPr>
            <w:tcW w:w="8108" w:type="dxa"/>
          </w:tcPr>
          <w:p w14:paraId="158ADF32" w14:textId="77777777" w:rsidR="00595FAD" w:rsidRPr="00E07C9A" w:rsidRDefault="00595FAD" w:rsidP="00FF15C6">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DLHÉ DERIVÁTOVÉ POZÍCIE</w:t>
            </w:r>
          </w:p>
          <w:p w14:paraId="0BA1473A" w14:textId="264D6F12" w:rsidR="00595FAD" w:rsidRPr="00E07C9A" w:rsidRDefault="00595FAD" w:rsidP="00FF15C6">
            <w:pPr>
              <w:spacing w:beforeLines="60" w:before="144" w:afterLines="60" w:after="144"/>
              <w:rPr>
                <w:rStyle w:val="InstructionsTabelleberschrift"/>
                <w:rFonts w:ascii="Times New Roman" w:hAnsi="Times New Roman"/>
                <w:b w:val="0"/>
                <w:sz w:val="24"/>
              </w:rPr>
            </w:pPr>
            <w:r w:rsidRPr="00E07C9A">
              <w:rPr>
                <w:rStyle w:val="InstructionsTabelleberschrift"/>
                <w:rFonts w:ascii="Times New Roman" w:hAnsi="Times New Roman"/>
                <w:sz w:val="24"/>
              </w:rPr>
              <w:t xml:space="preserve">Článok 273a ods. 3 nariadenia (EÚ) </w:t>
            </w:r>
            <w:r w:rsidR="009912F8" w:rsidRPr="00E07C9A">
              <w:rPr>
                <w:rStyle w:val="InstructionsTabelleberschrift"/>
                <w:rFonts w:ascii="Times New Roman" w:hAnsi="Times New Roman"/>
                <w:sz w:val="24"/>
              </w:rPr>
              <w:t>č. 575/2013</w:t>
            </w:r>
          </w:p>
          <w:p w14:paraId="4536292D" w14:textId="5387AD2A" w:rsidR="00595FAD" w:rsidRPr="00E07C9A" w:rsidRDefault="00595FAD" w:rsidP="00FF15C6">
            <w:pPr>
              <w:spacing w:beforeLines="60" w:before="144" w:afterLines="60" w:after="144"/>
              <w:rPr>
                <w:rFonts w:ascii="Times New Roman" w:hAnsi="Times New Roman"/>
                <w:sz w:val="24"/>
              </w:rPr>
            </w:pPr>
            <w:r w:rsidRPr="00E07C9A">
              <w:rPr>
                <w:rFonts w:ascii="Times New Roman" w:hAnsi="Times New Roman"/>
                <w:sz w:val="24"/>
              </w:rPr>
              <w:t>Vykazuje sa súčet absolútnych trhových hodnôt dlhých derivátových pozícií</w:t>
            </w:r>
            <w:r w:rsidR="009912F8" w:rsidRPr="00E07C9A">
              <w:rPr>
                <w:rFonts w:ascii="Times New Roman" w:hAnsi="Times New Roman"/>
                <w:sz w:val="24"/>
              </w:rPr>
              <w:t xml:space="preserve"> k </w:t>
            </w:r>
            <w:r w:rsidRPr="00E07C9A">
              <w:rPr>
                <w:rFonts w:ascii="Times New Roman" w:hAnsi="Times New Roman"/>
                <w:sz w:val="24"/>
              </w:rPr>
              <w:t>poslednému dňu mesiaca.</w:t>
            </w:r>
          </w:p>
        </w:tc>
      </w:tr>
      <w:tr w:rsidR="00595FAD" w:rsidRPr="00E07C9A" w14:paraId="05D9DD6E" w14:textId="77777777" w:rsidTr="00FF15C6">
        <w:tc>
          <w:tcPr>
            <w:tcW w:w="851" w:type="dxa"/>
          </w:tcPr>
          <w:p w14:paraId="468D1517" w14:textId="77777777" w:rsidR="00595FAD" w:rsidRPr="00E07C9A" w:rsidRDefault="00595FAD" w:rsidP="00FF15C6">
            <w:pPr>
              <w:spacing w:beforeLines="60" w:before="144" w:afterLines="60" w:after="144"/>
              <w:rPr>
                <w:rFonts w:ascii="Times New Roman" w:hAnsi="Times New Roman"/>
                <w:sz w:val="24"/>
              </w:rPr>
            </w:pPr>
            <w:r w:rsidRPr="00E07C9A">
              <w:rPr>
                <w:rFonts w:ascii="Times New Roman" w:hAnsi="Times New Roman"/>
                <w:sz w:val="24"/>
              </w:rPr>
              <w:t>0020, 0050,</w:t>
            </w:r>
          </w:p>
          <w:p w14:paraId="2D6EE81A" w14:textId="77777777" w:rsidR="00595FAD" w:rsidRPr="00E07C9A" w:rsidRDefault="00595FAD" w:rsidP="00FF15C6">
            <w:pPr>
              <w:spacing w:beforeLines="60" w:before="144" w:afterLines="60" w:after="144"/>
              <w:rPr>
                <w:rFonts w:ascii="Times New Roman" w:hAnsi="Times New Roman"/>
                <w:sz w:val="24"/>
              </w:rPr>
            </w:pPr>
            <w:r w:rsidRPr="00E07C9A">
              <w:rPr>
                <w:rFonts w:ascii="Times New Roman" w:hAnsi="Times New Roman"/>
                <w:sz w:val="24"/>
              </w:rPr>
              <w:t>0080</w:t>
            </w:r>
          </w:p>
        </w:tc>
        <w:tc>
          <w:tcPr>
            <w:tcW w:w="8108" w:type="dxa"/>
          </w:tcPr>
          <w:p w14:paraId="12CAF1A2" w14:textId="77777777" w:rsidR="00595FAD" w:rsidRPr="00E07C9A" w:rsidRDefault="00595FAD" w:rsidP="00FF15C6">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KRÁTKE DERIVÁTOVÉ POZÍCIE</w:t>
            </w:r>
          </w:p>
          <w:p w14:paraId="0EA49292" w14:textId="47E16024" w:rsidR="00595FAD" w:rsidRPr="00E07C9A" w:rsidRDefault="00595FAD" w:rsidP="00FF15C6">
            <w:pPr>
              <w:spacing w:beforeLines="60" w:before="144" w:afterLines="60" w:after="144"/>
              <w:rPr>
                <w:rStyle w:val="InstructionsTabelleberschrift"/>
                <w:rFonts w:ascii="Times New Roman" w:hAnsi="Times New Roman"/>
                <w:b w:val="0"/>
                <w:sz w:val="24"/>
              </w:rPr>
            </w:pPr>
            <w:r w:rsidRPr="00E07C9A">
              <w:rPr>
                <w:rStyle w:val="InstructionsTabelleberschrift"/>
                <w:rFonts w:ascii="Times New Roman" w:hAnsi="Times New Roman"/>
                <w:sz w:val="24"/>
              </w:rPr>
              <w:t xml:space="preserve">Článok 273a ods. 3 nariadenia (EÚ) </w:t>
            </w:r>
            <w:r w:rsidR="009912F8" w:rsidRPr="00E07C9A">
              <w:rPr>
                <w:rStyle w:val="InstructionsTabelleberschrift"/>
                <w:rFonts w:ascii="Times New Roman" w:hAnsi="Times New Roman"/>
                <w:sz w:val="24"/>
              </w:rPr>
              <w:t>č. 575/2013</w:t>
            </w:r>
          </w:p>
          <w:p w14:paraId="5A979FCA" w14:textId="1D5DE443" w:rsidR="00595FAD" w:rsidRPr="00E07C9A" w:rsidRDefault="00595FAD" w:rsidP="00FF15C6">
            <w:pPr>
              <w:spacing w:beforeLines="60" w:before="144" w:afterLines="60" w:after="144"/>
              <w:rPr>
                <w:rFonts w:ascii="Times New Roman" w:hAnsi="Times New Roman"/>
                <w:sz w:val="24"/>
              </w:rPr>
            </w:pPr>
            <w:r w:rsidRPr="00E07C9A">
              <w:rPr>
                <w:rFonts w:ascii="Times New Roman" w:hAnsi="Times New Roman"/>
                <w:sz w:val="24"/>
              </w:rPr>
              <w:t>Vykazuje sa súčet absolútnych trhových hodnôt krátkych derivátových pozícií</w:t>
            </w:r>
            <w:r w:rsidR="009912F8" w:rsidRPr="00E07C9A">
              <w:rPr>
                <w:rFonts w:ascii="Times New Roman" w:hAnsi="Times New Roman"/>
                <w:sz w:val="24"/>
              </w:rPr>
              <w:t xml:space="preserve"> k </w:t>
            </w:r>
            <w:r w:rsidRPr="00E07C9A">
              <w:rPr>
                <w:rFonts w:ascii="Times New Roman" w:hAnsi="Times New Roman"/>
                <w:sz w:val="24"/>
              </w:rPr>
              <w:t>poslednému dňu mesiaca.</w:t>
            </w:r>
          </w:p>
        </w:tc>
      </w:tr>
      <w:tr w:rsidR="00595FAD" w:rsidRPr="00E07C9A" w14:paraId="745845CB" w14:textId="77777777" w:rsidTr="00FF15C6">
        <w:tc>
          <w:tcPr>
            <w:tcW w:w="851" w:type="dxa"/>
          </w:tcPr>
          <w:p w14:paraId="12107EA9" w14:textId="77777777" w:rsidR="00595FAD" w:rsidRPr="00E07C9A" w:rsidRDefault="00595FAD" w:rsidP="00FF15C6">
            <w:pPr>
              <w:spacing w:beforeLines="60" w:before="144" w:afterLines="60" w:after="144"/>
              <w:rPr>
                <w:rFonts w:ascii="Times New Roman" w:hAnsi="Times New Roman"/>
                <w:sz w:val="24"/>
              </w:rPr>
            </w:pPr>
            <w:r w:rsidRPr="00E07C9A">
              <w:rPr>
                <w:rFonts w:ascii="Times New Roman" w:hAnsi="Times New Roman"/>
                <w:sz w:val="24"/>
              </w:rPr>
              <w:t>0030, 0060,</w:t>
            </w:r>
          </w:p>
          <w:p w14:paraId="1DD7C7A1" w14:textId="77777777" w:rsidR="00595FAD" w:rsidRPr="00E07C9A" w:rsidRDefault="00595FAD" w:rsidP="00FF15C6">
            <w:pPr>
              <w:spacing w:beforeLines="60" w:before="144" w:afterLines="60" w:after="144"/>
              <w:rPr>
                <w:rFonts w:ascii="Times New Roman" w:hAnsi="Times New Roman"/>
                <w:sz w:val="24"/>
              </w:rPr>
            </w:pPr>
            <w:r w:rsidRPr="00E07C9A">
              <w:rPr>
                <w:rFonts w:ascii="Times New Roman" w:hAnsi="Times New Roman"/>
                <w:sz w:val="24"/>
              </w:rPr>
              <w:t>0090</w:t>
            </w:r>
          </w:p>
        </w:tc>
        <w:tc>
          <w:tcPr>
            <w:tcW w:w="8108" w:type="dxa"/>
          </w:tcPr>
          <w:p w14:paraId="7A1221BC" w14:textId="77777777" w:rsidR="00595FAD" w:rsidRPr="00E07C9A" w:rsidRDefault="00595FAD" w:rsidP="00FF15C6">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SPOLU</w:t>
            </w:r>
          </w:p>
          <w:p w14:paraId="24A5169F" w14:textId="1AF6F237" w:rsidR="00595FAD" w:rsidRPr="00E07C9A" w:rsidRDefault="00595FAD" w:rsidP="00FF15C6">
            <w:pPr>
              <w:spacing w:beforeLines="60" w:before="144" w:afterLines="60" w:after="144"/>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 xml:space="preserve">Článok 273a ods. 3 písm. b) </w:t>
            </w:r>
            <w:r w:rsidRPr="00E07C9A">
              <w:rPr>
                <w:rFonts w:ascii="Times New Roman" w:hAnsi="Times New Roman"/>
                <w:sz w:val="24"/>
              </w:rPr>
              <w:t xml:space="preserve">nariadenia (EÚ) </w:t>
            </w:r>
            <w:r w:rsidR="009912F8" w:rsidRPr="00E07C9A">
              <w:rPr>
                <w:rFonts w:ascii="Times New Roman" w:hAnsi="Times New Roman"/>
                <w:sz w:val="24"/>
              </w:rPr>
              <w:t>č. 575/2013</w:t>
            </w:r>
          </w:p>
          <w:p w14:paraId="6C6185D6" w14:textId="266AE53C" w:rsidR="00595FAD" w:rsidRPr="00E07C9A" w:rsidRDefault="00595FAD" w:rsidP="00FF15C6">
            <w:pPr>
              <w:spacing w:beforeLines="60" w:before="144" w:afterLines="60" w:after="144"/>
              <w:rPr>
                <w:rFonts w:ascii="Times New Roman" w:hAnsi="Times New Roman"/>
                <w:sz w:val="24"/>
              </w:rPr>
            </w:pPr>
            <w:r w:rsidRPr="00E07C9A">
              <w:rPr>
                <w:rFonts w:ascii="Times New Roman" w:hAnsi="Times New Roman"/>
                <w:sz w:val="24"/>
              </w:rPr>
              <w:t>Súčet absolútnej hodnoty dlhých derivátových pozícií</w:t>
            </w:r>
            <w:r w:rsidR="009912F8" w:rsidRPr="00E07C9A">
              <w:rPr>
                <w:rFonts w:ascii="Times New Roman" w:hAnsi="Times New Roman"/>
                <w:sz w:val="24"/>
              </w:rPr>
              <w:t xml:space="preserve"> a </w:t>
            </w:r>
            <w:r w:rsidRPr="00E07C9A">
              <w:rPr>
                <w:rFonts w:ascii="Times New Roman" w:hAnsi="Times New Roman"/>
                <w:sz w:val="24"/>
              </w:rPr>
              <w:t>absolútnej hodnoty krátkych derivátových pozícií.</w:t>
            </w:r>
          </w:p>
        </w:tc>
      </w:tr>
    </w:tbl>
    <w:p w14:paraId="797A820A" w14:textId="77777777" w:rsidR="00595FAD" w:rsidRPr="00E07C9A" w:rsidRDefault="00595FAD" w:rsidP="00595FAD">
      <w:pPr>
        <w:rPr>
          <w:rFonts w:ascii="Times New Roman" w:hAnsi="Times New Roman"/>
          <w:szCs w:val="2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187"/>
      </w:tblGrid>
      <w:tr w:rsidR="00595FAD" w:rsidRPr="00E07C9A" w14:paraId="68440F2D" w14:textId="77777777" w:rsidTr="00FF15C6">
        <w:tc>
          <w:tcPr>
            <w:tcW w:w="9039" w:type="dxa"/>
            <w:gridSpan w:val="2"/>
            <w:shd w:val="clear" w:color="auto" w:fill="CCCCCC"/>
          </w:tcPr>
          <w:p w14:paraId="6BDBBF3A" w14:textId="77777777" w:rsidR="00595FAD" w:rsidRPr="00E07C9A" w:rsidRDefault="00595FAD" w:rsidP="00FF15C6">
            <w:pPr>
              <w:spacing w:beforeLines="60" w:before="144" w:afterLines="60" w:after="144"/>
              <w:rPr>
                <w:rFonts w:ascii="Times New Roman" w:hAnsi="Times New Roman"/>
                <w:b/>
                <w:sz w:val="24"/>
              </w:rPr>
            </w:pPr>
            <w:r w:rsidRPr="00E07C9A">
              <w:rPr>
                <w:rFonts w:ascii="Times New Roman" w:hAnsi="Times New Roman"/>
                <w:b/>
                <w:sz w:val="24"/>
              </w:rPr>
              <w:t>Riadky</w:t>
            </w:r>
          </w:p>
        </w:tc>
      </w:tr>
      <w:tr w:rsidR="00595FAD" w:rsidRPr="00E07C9A" w14:paraId="3C51338A" w14:textId="77777777" w:rsidTr="00FF15C6">
        <w:tc>
          <w:tcPr>
            <w:tcW w:w="852" w:type="dxa"/>
          </w:tcPr>
          <w:p w14:paraId="16071BF9" w14:textId="77777777" w:rsidR="00595FAD" w:rsidRPr="00E07C9A" w:rsidRDefault="00595FAD" w:rsidP="00FF15C6">
            <w:pPr>
              <w:spacing w:beforeLines="60" w:before="144" w:afterLines="60" w:after="144"/>
              <w:rPr>
                <w:rFonts w:ascii="Times New Roman" w:hAnsi="Times New Roman"/>
                <w:sz w:val="24"/>
              </w:rPr>
            </w:pPr>
            <w:r w:rsidRPr="00E07C9A">
              <w:rPr>
                <w:rFonts w:ascii="Times New Roman" w:hAnsi="Times New Roman"/>
                <w:sz w:val="24"/>
              </w:rPr>
              <w:t>0010</w:t>
            </w:r>
          </w:p>
        </w:tc>
        <w:tc>
          <w:tcPr>
            <w:tcW w:w="8187" w:type="dxa"/>
          </w:tcPr>
          <w:p w14:paraId="29C8E524" w14:textId="77777777" w:rsidR="00595FAD" w:rsidRPr="00E07C9A" w:rsidRDefault="00595FAD" w:rsidP="00FF15C6">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Objem derivátových činností</w:t>
            </w:r>
          </w:p>
          <w:p w14:paraId="1B0B6D13" w14:textId="1A4CCF50" w:rsidR="00595FAD" w:rsidRPr="00E07C9A" w:rsidRDefault="00595FAD" w:rsidP="00FF15C6">
            <w:pPr>
              <w:spacing w:beforeLines="60" w:before="144" w:afterLines="60" w:after="144"/>
              <w:rPr>
                <w:rFonts w:ascii="Times New Roman" w:hAnsi="Times New Roman"/>
                <w:bCs/>
                <w:sz w:val="24"/>
              </w:rPr>
            </w:pPr>
            <w:r w:rsidRPr="00E07C9A">
              <w:rPr>
                <w:rStyle w:val="InstructionsTabelleberschrift"/>
                <w:rFonts w:ascii="Times New Roman" w:hAnsi="Times New Roman"/>
                <w:b w:val="0"/>
                <w:sz w:val="24"/>
                <w:u w:val="none"/>
              </w:rPr>
              <w:t xml:space="preserve">Článok 273a ods. 3 </w:t>
            </w:r>
            <w:r w:rsidRPr="00E07C9A">
              <w:rPr>
                <w:rFonts w:ascii="Times New Roman" w:hAnsi="Times New Roman"/>
                <w:sz w:val="24"/>
              </w:rPr>
              <w:t xml:space="preserve">nariadenia (EÚ) </w:t>
            </w:r>
            <w:r w:rsidR="009912F8" w:rsidRPr="00E07C9A">
              <w:rPr>
                <w:rFonts w:ascii="Times New Roman" w:hAnsi="Times New Roman"/>
                <w:sz w:val="24"/>
              </w:rPr>
              <w:t>č. 575/2013</w:t>
            </w:r>
          </w:p>
          <w:p w14:paraId="206420F6" w14:textId="1C70CFC2" w:rsidR="00595FAD" w:rsidRPr="00E07C9A" w:rsidRDefault="00595FAD" w:rsidP="00FF15C6">
            <w:pPr>
              <w:spacing w:beforeLines="60" w:before="144" w:afterLines="60" w:after="144"/>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Zahŕňajú sa všetky súvahové</w:t>
            </w:r>
            <w:r w:rsidR="009912F8" w:rsidRPr="00E07C9A">
              <w:rPr>
                <w:rStyle w:val="InstructionsTabelleberschrift"/>
                <w:rFonts w:ascii="Times New Roman" w:hAnsi="Times New Roman"/>
                <w:b w:val="0"/>
                <w:sz w:val="24"/>
                <w:u w:val="none"/>
              </w:rPr>
              <w:t xml:space="preserve"> a </w:t>
            </w:r>
            <w:r w:rsidRPr="00E07C9A">
              <w:rPr>
                <w:rStyle w:val="InstructionsTabelleberschrift"/>
                <w:rFonts w:ascii="Times New Roman" w:hAnsi="Times New Roman"/>
                <w:b w:val="0"/>
                <w:sz w:val="24"/>
                <w:u w:val="none"/>
              </w:rPr>
              <w:t>podsúvahové deriváty okrem kreditných derivátov, ktoré sú uznané za interný hedžing proti expozíciám voči kreditnému riziku neobchodnej knihy.</w:t>
            </w:r>
          </w:p>
        </w:tc>
      </w:tr>
      <w:tr w:rsidR="00595FAD" w:rsidRPr="00E07C9A" w14:paraId="0D96359C" w14:textId="77777777" w:rsidTr="00FF15C6">
        <w:tc>
          <w:tcPr>
            <w:tcW w:w="852" w:type="dxa"/>
          </w:tcPr>
          <w:p w14:paraId="12331B7D" w14:textId="77777777" w:rsidR="00595FAD" w:rsidRPr="00E07C9A" w:rsidRDefault="00595FAD" w:rsidP="00FF15C6">
            <w:pPr>
              <w:spacing w:beforeLines="60" w:before="144" w:afterLines="60" w:after="144"/>
              <w:rPr>
                <w:rFonts w:ascii="Times New Roman" w:hAnsi="Times New Roman"/>
                <w:sz w:val="24"/>
              </w:rPr>
            </w:pPr>
            <w:r w:rsidRPr="00E07C9A">
              <w:rPr>
                <w:rFonts w:ascii="Times New Roman" w:hAnsi="Times New Roman"/>
                <w:sz w:val="24"/>
              </w:rPr>
              <w:t xml:space="preserve">0020 </w:t>
            </w:r>
          </w:p>
        </w:tc>
        <w:tc>
          <w:tcPr>
            <w:tcW w:w="8187" w:type="dxa"/>
          </w:tcPr>
          <w:p w14:paraId="4DB24288" w14:textId="3AA57E74" w:rsidR="00595FAD" w:rsidRPr="00E07C9A" w:rsidRDefault="00595FAD" w:rsidP="00FF15C6">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Súvahové</w:t>
            </w:r>
            <w:r w:rsidR="009912F8" w:rsidRPr="00E07C9A">
              <w:rPr>
                <w:rStyle w:val="InstructionsTabelleberschrift"/>
                <w:rFonts w:ascii="Times New Roman" w:hAnsi="Times New Roman"/>
                <w:sz w:val="24"/>
              </w:rPr>
              <w:t xml:space="preserve"> a </w:t>
            </w:r>
            <w:r w:rsidRPr="00E07C9A">
              <w:rPr>
                <w:rStyle w:val="InstructionsTabelleberschrift"/>
                <w:rFonts w:ascii="Times New Roman" w:hAnsi="Times New Roman"/>
                <w:sz w:val="24"/>
              </w:rPr>
              <w:t>podsúvahové deriváty</w:t>
            </w:r>
          </w:p>
          <w:p w14:paraId="4AAF371E" w14:textId="6C409570" w:rsidR="00595FAD" w:rsidRPr="00E07C9A" w:rsidRDefault="00595FAD" w:rsidP="00FF15C6">
            <w:pPr>
              <w:spacing w:beforeLines="60" w:before="144" w:afterLines="60" w:after="144"/>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Článok 273a ods. 3 písm. a)</w:t>
            </w:r>
            <w:r w:rsidR="009912F8" w:rsidRPr="00E07C9A">
              <w:rPr>
                <w:rStyle w:val="InstructionsTabelleberschrift"/>
                <w:rFonts w:ascii="Times New Roman" w:hAnsi="Times New Roman"/>
                <w:b w:val="0"/>
                <w:sz w:val="24"/>
                <w:u w:val="none"/>
              </w:rPr>
              <w:t xml:space="preserve"> a </w:t>
            </w:r>
            <w:r w:rsidRPr="00E07C9A">
              <w:rPr>
                <w:rStyle w:val="InstructionsTabelleberschrift"/>
                <w:rFonts w:ascii="Times New Roman" w:hAnsi="Times New Roman"/>
                <w:b w:val="0"/>
                <w:sz w:val="24"/>
                <w:u w:val="none"/>
              </w:rPr>
              <w:t>b)</w:t>
            </w:r>
            <w:r w:rsidRPr="00E07C9A">
              <w:rPr>
                <w:rFonts w:ascii="Times New Roman" w:hAnsi="Times New Roman"/>
                <w:sz w:val="24"/>
              </w:rPr>
              <w:t xml:space="preserve"> nariadenia (EÚ) </w:t>
            </w:r>
            <w:r w:rsidR="009912F8" w:rsidRPr="00E07C9A">
              <w:rPr>
                <w:rFonts w:ascii="Times New Roman" w:hAnsi="Times New Roman"/>
                <w:sz w:val="24"/>
              </w:rPr>
              <w:t>č. 575/2013</w:t>
            </w:r>
          </w:p>
          <w:p w14:paraId="3EE26053" w14:textId="2D1847E2" w:rsidR="00595FAD" w:rsidRPr="00E07C9A" w:rsidRDefault="00595FAD" w:rsidP="00FF15C6">
            <w:pPr>
              <w:spacing w:beforeLines="60" w:before="144" w:afterLines="60" w:after="144"/>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Vykazuje sa celková trhová hodnota súvahových</w:t>
            </w:r>
            <w:r w:rsidR="009912F8" w:rsidRPr="00E07C9A">
              <w:rPr>
                <w:rStyle w:val="InstructionsTabelleberschrift"/>
                <w:rFonts w:ascii="Times New Roman" w:hAnsi="Times New Roman"/>
                <w:b w:val="0"/>
                <w:sz w:val="24"/>
                <w:u w:val="none"/>
              </w:rPr>
              <w:t xml:space="preserve"> a </w:t>
            </w:r>
            <w:r w:rsidRPr="00E07C9A">
              <w:rPr>
                <w:rStyle w:val="InstructionsTabelleberschrift"/>
                <w:rFonts w:ascii="Times New Roman" w:hAnsi="Times New Roman"/>
                <w:b w:val="0"/>
                <w:sz w:val="24"/>
                <w:u w:val="none"/>
              </w:rPr>
              <w:t>podsúvahových derivátových pozícií</w:t>
            </w:r>
            <w:r w:rsidR="009912F8" w:rsidRPr="00E07C9A">
              <w:rPr>
                <w:rStyle w:val="InstructionsTabelleberschrift"/>
                <w:rFonts w:ascii="Times New Roman" w:hAnsi="Times New Roman"/>
                <w:b w:val="0"/>
                <w:sz w:val="24"/>
                <w:u w:val="none"/>
              </w:rPr>
              <w:t xml:space="preserve"> k </w:t>
            </w:r>
            <w:r w:rsidRPr="00E07C9A">
              <w:rPr>
                <w:rStyle w:val="InstructionsTabelleberschrift"/>
                <w:rFonts w:ascii="Times New Roman" w:hAnsi="Times New Roman"/>
                <w:b w:val="0"/>
                <w:sz w:val="24"/>
                <w:u w:val="none"/>
              </w:rPr>
              <w:t>poslednému dňu mesiaca.</w:t>
            </w:r>
            <w:r w:rsidRPr="00E07C9A">
              <w:rPr>
                <w:rFonts w:ascii="Times New Roman" w:hAnsi="Times New Roman"/>
                <w:sz w:val="24"/>
              </w:rPr>
              <w:t xml:space="preserve"> Ak trhová hodnota pozície nie je</w:t>
            </w:r>
            <w:r w:rsidR="009912F8" w:rsidRPr="00E07C9A">
              <w:rPr>
                <w:rFonts w:ascii="Times New Roman" w:hAnsi="Times New Roman"/>
                <w:sz w:val="24"/>
              </w:rPr>
              <w:t xml:space="preserve"> k </w:t>
            </w:r>
            <w:r w:rsidRPr="00E07C9A">
              <w:rPr>
                <w:rFonts w:ascii="Times New Roman" w:hAnsi="Times New Roman"/>
                <w:sz w:val="24"/>
              </w:rPr>
              <w:t>danému dátumu</w:t>
            </w:r>
            <w:r w:rsidR="009912F8" w:rsidRPr="00E07C9A">
              <w:rPr>
                <w:rFonts w:ascii="Times New Roman" w:hAnsi="Times New Roman"/>
                <w:sz w:val="24"/>
              </w:rPr>
              <w:t xml:space="preserve"> k </w:t>
            </w:r>
            <w:r w:rsidRPr="00E07C9A">
              <w:rPr>
                <w:rFonts w:ascii="Times New Roman" w:hAnsi="Times New Roman"/>
                <w:sz w:val="24"/>
              </w:rPr>
              <w:t>dispozícii, inštitúcie použijú</w:t>
            </w:r>
            <w:r w:rsidR="009912F8" w:rsidRPr="00E07C9A">
              <w:rPr>
                <w:rFonts w:ascii="Times New Roman" w:hAnsi="Times New Roman"/>
                <w:sz w:val="24"/>
              </w:rPr>
              <w:t xml:space="preserve"> k </w:t>
            </w:r>
            <w:r w:rsidRPr="00E07C9A">
              <w:rPr>
                <w:rFonts w:ascii="Times New Roman" w:hAnsi="Times New Roman"/>
                <w:sz w:val="24"/>
              </w:rPr>
              <w:t>danému dátumu pre túto pozíciu reálnu hodnotu; ak trhová hodnota</w:t>
            </w:r>
            <w:r w:rsidR="009912F8" w:rsidRPr="00E07C9A">
              <w:rPr>
                <w:rFonts w:ascii="Times New Roman" w:hAnsi="Times New Roman"/>
                <w:sz w:val="24"/>
              </w:rPr>
              <w:t xml:space="preserve"> a </w:t>
            </w:r>
            <w:r w:rsidRPr="00E07C9A">
              <w:rPr>
                <w:rFonts w:ascii="Times New Roman" w:hAnsi="Times New Roman"/>
                <w:sz w:val="24"/>
              </w:rPr>
              <w:t>reálna hodnota pozície nie sú</w:t>
            </w:r>
            <w:r w:rsidR="009912F8" w:rsidRPr="00E07C9A">
              <w:rPr>
                <w:rFonts w:ascii="Times New Roman" w:hAnsi="Times New Roman"/>
                <w:sz w:val="24"/>
              </w:rPr>
              <w:t xml:space="preserve"> k </w:t>
            </w:r>
            <w:r w:rsidRPr="00E07C9A">
              <w:rPr>
                <w:rFonts w:ascii="Times New Roman" w:hAnsi="Times New Roman"/>
                <w:sz w:val="24"/>
              </w:rPr>
              <w:t>danému dátumu</w:t>
            </w:r>
            <w:r w:rsidR="009912F8" w:rsidRPr="00E07C9A">
              <w:rPr>
                <w:rFonts w:ascii="Times New Roman" w:hAnsi="Times New Roman"/>
                <w:sz w:val="24"/>
              </w:rPr>
              <w:t xml:space="preserve"> k </w:t>
            </w:r>
            <w:r w:rsidRPr="00E07C9A">
              <w:rPr>
                <w:rFonts w:ascii="Times New Roman" w:hAnsi="Times New Roman"/>
                <w:sz w:val="24"/>
              </w:rPr>
              <w:t>dispozícii, inštitúcie uvedenú pozíciu ocenia poslednou trhovou hodnotou alebo reálnou hodnotou.</w:t>
            </w:r>
          </w:p>
        </w:tc>
      </w:tr>
      <w:tr w:rsidR="00595FAD" w:rsidRPr="00E07C9A" w14:paraId="16C8BF9A" w14:textId="77777777" w:rsidTr="00FF15C6">
        <w:tc>
          <w:tcPr>
            <w:tcW w:w="852" w:type="dxa"/>
          </w:tcPr>
          <w:p w14:paraId="569352E6" w14:textId="77777777" w:rsidR="00595FAD" w:rsidRPr="00E07C9A" w:rsidRDefault="00595FAD" w:rsidP="00FF15C6">
            <w:pPr>
              <w:spacing w:beforeLines="60" w:before="144" w:afterLines="60" w:after="144"/>
              <w:rPr>
                <w:rFonts w:ascii="Times New Roman" w:hAnsi="Times New Roman"/>
                <w:sz w:val="24"/>
              </w:rPr>
            </w:pPr>
            <w:r w:rsidRPr="00E07C9A">
              <w:rPr>
                <w:rFonts w:ascii="Times New Roman" w:hAnsi="Times New Roman"/>
                <w:sz w:val="24"/>
              </w:rPr>
              <w:t xml:space="preserve">0030 </w:t>
            </w:r>
          </w:p>
        </w:tc>
        <w:tc>
          <w:tcPr>
            <w:tcW w:w="8187" w:type="dxa"/>
          </w:tcPr>
          <w:p w14:paraId="6CE0285B" w14:textId="77777777" w:rsidR="00595FAD" w:rsidRPr="00E07C9A" w:rsidRDefault="00595FAD" w:rsidP="00FF15C6">
            <w:pPr>
              <w:spacing w:beforeLines="60" w:before="144" w:afterLines="60" w:after="144"/>
              <w:rPr>
                <w:rFonts w:ascii="Times New Roman" w:hAnsi="Times New Roman"/>
                <w:b/>
                <w:sz w:val="24"/>
                <w:u w:val="single"/>
              </w:rPr>
            </w:pPr>
            <w:r w:rsidRPr="00E07C9A">
              <w:rPr>
                <w:rFonts w:ascii="Times New Roman" w:hAnsi="Times New Roman"/>
                <w:b/>
                <w:sz w:val="24"/>
                <w:u w:val="single"/>
              </w:rPr>
              <w:t>(–⁠) Kreditné deriváty, ktoré sú uznané za interný hedžing proti expozíciám voči kreditnému riziku neobchodnej knihy</w:t>
            </w:r>
          </w:p>
          <w:p w14:paraId="6E790CFD" w14:textId="343951AF" w:rsidR="00595FAD" w:rsidRPr="00E07C9A" w:rsidRDefault="00595FAD" w:rsidP="00FF15C6">
            <w:pPr>
              <w:spacing w:beforeLines="60" w:before="144" w:afterLines="60" w:after="144"/>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 xml:space="preserve">Článok 273a ods. 3 písm. c) </w:t>
            </w:r>
            <w:r w:rsidRPr="00E07C9A">
              <w:rPr>
                <w:rFonts w:ascii="Times New Roman" w:hAnsi="Times New Roman"/>
                <w:sz w:val="24"/>
              </w:rPr>
              <w:t xml:space="preserve">nariadenia (EÚ) </w:t>
            </w:r>
            <w:r w:rsidR="009912F8" w:rsidRPr="00E07C9A">
              <w:rPr>
                <w:rFonts w:ascii="Times New Roman" w:hAnsi="Times New Roman"/>
                <w:sz w:val="24"/>
              </w:rPr>
              <w:t>č. 575/2013</w:t>
            </w:r>
          </w:p>
          <w:p w14:paraId="34F42F56" w14:textId="77777777" w:rsidR="00595FAD" w:rsidRPr="00E07C9A" w:rsidRDefault="00595FAD" w:rsidP="00FF15C6">
            <w:pPr>
              <w:spacing w:beforeLines="60" w:before="144" w:afterLines="60" w:after="144"/>
              <w:rPr>
                <w:rFonts w:ascii="Times New Roman" w:hAnsi="Times New Roman"/>
                <w:sz w:val="24"/>
              </w:rPr>
            </w:pPr>
            <w:r w:rsidRPr="00E07C9A">
              <w:rPr>
                <w:rFonts w:ascii="Times New Roman" w:hAnsi="Times New Roman"/>
                <w:sz w:val="24"/>
              </w:rPr>
              <w:t>Celková trhová hodnota kreditných derivátov, ktoré sú uznané za interný hedžing proti expozíciám voči kreditnému riziku neobchodnej knihy.</w:t>
            </w:r>
          </w:p>
        </w:tc>
      </w:tr>
      <w:tr w:rsidR="00595FAD" w:rsidRPr="00E07C9A" w14:paraId="79788507" w14:textId="77777777" w:rsidTr="00FF15C6">
        <w:tc>
          <w:tcPr>
            <w:tcW w:w="852" w:type="dxa"/>
          </w:tcPr>
          <w:p w14:paraId="2E6B23C1" w14:textId="77777777" w:rsidR="00595FAD" w:rsidRPr="00E07C9A" w:rsidRDefault="00595FAD" w:rsidP="00FF15C6">
            <w:pPr>
              <w:spacing w:beforeLines="60" w:before="144" w:afterLines="60" w:after="144"/>
              <w:rPr>
                <w:rFonts w:ascii="Times New Roman" w:hAnsi="Times New Roman"/>
                <w:sz w:val="24"/>
              </w:rPr>
            </w:pPr>
            <w:r w:rsidRPr="00E07C9A">
              <w:rPr>
                <w:rFonts w:ascii="Times New Roman" w:hAnsi="Times New Roman"/>
                <w:sz w:val="24"/>
              </w:rPr>
              <w:t>0040</w:t>
            </w:r>
          </w:p>
        </w:tc>
        <w:tc>
          <w:tcPr>
            <w:tcW w:w="8187" w:type="dxa"/>
          </w:tcPr>
          <w:p w14:paraId="5F476E6A" w14:textId="77777777" w:rsidR="00595FAD" w:rsidRPr="00E07C9A" w:rsidRDefault="00595FAD" w:rsidP="00FF15C6">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Celkové aktíva</w:t>
            </w:r>
          </w:p>
          <w:p w14:paraId="5263C767" w14:textId="3DA70F46" w:rsidR="00595FAD" w:rsidRPr="00E07C9A" w:rsidRDefault="00595FAD" w:rsidP="00FF15C6">
            <w:pPr>
              <w:spacing w:beforeLines="60" w:before="144" w:afterLines="60" w:after="144"/>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Celkové aktíva</w:t>
            </w:r>
            <w:r w:rsidR="009912F8" w:rsidRPr="00E07C9A">
              <w:rPr>
                <w:rStyle w:val="InstructionsTabelleberschrift"/>
                <w:rFonts w:ascii="Times New Roman" w:hAnsi="Times New Roman"/>
                <w:b w:val="0"/>
                <w:sz w:val="24"/>
                <w:u w:val="none"/>
              </w:rPr>
              <w:t xml:space="preserve"> v </w:t>
            </w:r>
            <w:r w:rsidRPr="00E07C9A">
              <w:rPr>
                <w:rStyle w:val="InstructionsTabelleberschrift"/>
                <w:rFonts w:ascii="Times New Roman" w:hAnsi="Times New Roman"/>
                <w:b w:val="0"/>
                <w:sz w:val="24"/>
                <w:u w:val="none"/>
              </w:rPr>
              <w:t>súlade</w:t>
            </w:r>
            <w:r w:rsidR="009912F8" w:rsidRPr="00E07C9A">
              <w:rPr>
                <w:rStyle w:val="InstructionsTabelleberschrift"/>
                <w:rFonts w:ascii="Times New Roman" w:hAnsi="Times New Roman"/>
                <w:b w:val="0"/>
                <w:sz w:val="24"/>
                <w:u w:val="none"/>
              </w:rPr>
              <w:t xml:space="preserve"> s </w:t>
            </w:r>
            <w:r w:rsidRPr="00E07C9A">
              <w:rPr>
                <w:rStyle w:val="InstructionsTabelleberschrift"/>
                <w:rFonts w:ascii="Times New Roman" w:hAnsi="Times New Roman"/>
                <w:b w:val="0"/>
                <w:sz w:val="24"/>
                <w:u w:val="none"/>
              </w:rPr>
              <w:t>uplatniteľnými účtovnými štandardmi.</w:t>
            </w:r>
          </w:p>
          <w:p w14:paraId="58E58DA9" w14:textId="06AECB85" w:rsidR="00595FAD" w:rsidRPr="00E07C9A" w:rsidRDefault="00595FAD" w:rsidP="00215CD7">
            <w:pPr>
              <w:spacing w:beforeLines="60" w:before="144" w:afterLines="60" w:after="144"/>
              <w:rPr>
                <w:rStyle w:val="InstructionsTabelleberschrift"/>
                <w:rFonts w:ascii="Times New Roman" w:hAnsi="Times New Roman"/>
                <w:b w:val="0"/>
                <w:sz w:val="24"/>
              </w:rPr>
            </w:pPr>
            <w:r w:rsidRPr="00E07C9A">
              <w:rPr>
                <w:rStyle w:val="InstructionsTabelleberschrift"/>
                <w:rFonts w:ascii="Times New Roman" w:hAnsi="Times New Roman"/>
                <w:b w:val="0"/>
                <w:sz w:val="24"/>
                <w:u w:val="none"/>
              </w:rPr>
              <w:t>Pri konsolidovanom vykazovaní inštitúcia vykazuje celkové aktíva podľa prudenciálneho rozsahu konsolidácie</w:t>
            </w:r>
            <w:r w:rsidR="009912F8" w:rsidRPr="00E07C9A">
              <w:rPr>
                <w:rStyle w:val="InstructionsTabelleberschrift"/>
                <w:rFonts w:ascii="Times New Roman" w:hAnsi="Times New Roman"/>
                <w:b w:val="0"/>
                <w:sz w:val="24"/>
                <w:u w:val="none"/>
              </w:rPr>
              <w:t xml:space="preserve"> v </w:t>
            </w:r>
            <w:r w:rsidRPr="00E07C9A">
              <w:rPr>
                <w:rStyle w:val="InstructionsTabelleberschrift"/>
                <w:rFonts w:ascii="Times New Roman" w:hAnsi="Times New Roman"/>
                <w:b w:val="0"/>
                <w:sz w:val="24"/>
                <w:u w:val="none"/>
              </w:rPr>
              <w:t>súlade</w:t>
            </w:r>
            <w:r w:rsidR="009912F8" w:rsidRPr="00E07C9A">
              <w:rPr>
                <w:rStyle w:val="InstructionsTabelleberschrift"/>
                <w:rFonts w:ascii="Times New Roman" w:hAnsi="Times New Roman"/>
                <w:b w:val="0"/>
                <w:sz w:val="24"/>
                <w:u w:val="none"/>
              </w:rPr>
              <w:t xml:space="preserve"> s </w:t>
            </w:r>
            <w:r w:rsidRPr="00E07C9A">
              <w:rPr>
                <w:rStyle w:val="InstructionsTabelleberschrift"/>
                <w:rFonts w:ascii="Times New Roman" w:hAnsi="Times New Roman"/>
                <w:b w:val="0"/>
                <w:sz w:val="24"/>
                <w:u w:val="none"/>
              </w:rPr>
              <w:t>prvou časťou hlavou II kapitolou 2 oddielom 2</w:t>
            </w:r>
            <w:r w:rsidRPr="00E07C9A">
              <w:rPr>
                <w:rFonts w:ascii="Times New Roman" w:hAnsi="Times New Roman"/>
                <w:sz w:val="24"/>
              </w:rPr>
              <w:t xml:space="preserve"> nariadenia (EÚ) </w:t>
            </w:r>
            <w:r w:rsidR="009912F8" w:rsidRPr="00E07C9A">
              <w:rPr>
                <w:rFonts w:ascii="Times New Roman" w:hAnsi="Times New Roman"/>
                <w:sz w:val="24"/>
              </w:rPr>
              <w:t>č. 575/2013</w:t>
            </w:r>
            <w:r w:rsidRPr="00E07C9A">
              <w:rPr>
                <w:rStyle w:val="InstructionsTabelleberschrift"/>
                <w:rFonts w:ascii="Times New Roman" w:hAnsi="Times New Roman"/>
                <w:b w:val="0"/>
                <w:sz w:val="24"/>
                <w:u w:val="none"/>
              </w:rPr>
              <w:t>.</w:t>
            </w:r>
          </w:p>
        </w:tc>
      </w:tr>
      <w:tr w:rsidR="00595FAD" w:rsidRPr="00E07C9A" w14:paraId="54C2183B" w14:textId="77777777" w:rsidTr="00FF15C6">
        <w:tc>
          <w:tcPr>
            <w:tcW w:w="852" w:type="dxa"/>
          </w:tcPr>
          <w:p w14:paraId="1F944851" w14:textId="77777777" w:rsidR="00595FAD" w:rsidRPr="00E07C9A" w:rsidRDefault="00595FAD" w:rsidP="00FF15C6">
            <w:pPr>
              <w:spacing w:beforeLines="60" w:before="144" w:afterLines="60" w:after="144"/>
              <w:rPr>
                <w:rFonts w:ascii="Times New Roman" w:hAnsi="Times New Roman"/>
                <w:sz w:val="24"/>
              </w:rPr>
            </w:pPr>
            <w:r w:rsidRPr="00E07C9A">
              <w:rPr>
                <w:rFonts w:ascii="Times New Roman" w:hAnsi="Times New Roman"/>
                <w:sz w:val="24"/>
              </w:rPr>
              <w:t>0050</w:t>
            </w:r>
          </w:p>
        </w:tc>
        <w:tc>
          <w:tcPr>
            <w:tcW w:w="8187" w:type="dxa"/>
          </w:tcPr>
          <w:p w14:paraId="16A71F20" w14:textId="77777777" w:rsidR="00595FAD" w:rsidRPr="00E07C9A" w:rsidRDefault="00595FAD" w:rsidP="00FF15C6">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Percentuálny podiel celkových aktív</w:t>
            </w:r>
          </w:p>
          <w:p w14:paraId="2461BDFB" w14:textId="36D1349B" w:rsidR="00595FAD" w:rsidRPr="00E07C9A" w:rsidRDefault="00595FAD" w:rsidP="00FF15C6">
            <w:pPr>
              <w:spacing w:beforeLines="60" w:before="144" w:afterLines="60" w:after="144"/>
              <w:rPr>
                <w:rFonts w:ascii="Times New Roman" w:hAnsi="Times New Roman"/>
                <w:b/>
                <w:sz w:val="24"/>
              </w:rPr>
            </w:pPr>
            <w:r w:rsidRPr="00E07C9A">
              <w:rPr>
                <w:rStyle w:val="InstructionsTabelleberschrift"/>
                <w:rFonts w:ascii="Times New Roman" w:hAnsi="Times New Roman"/>
                <w:b w:val="0"/>
                <w:sz w:val="24"/>
                <w:u w:val="none"/>
              </w:rPr>
              <w:t>Pomer, ktorý sa vypočíta ako podiel objemu derivátových činností (riadok 0010)</w:t>
            </w:r>
            <w:r w:rsidR="009912F8" w:rsidRPr="00E07C9A">
              <w:rPr>
                <w:rStyle w:val="InstructionsTabelleberschrift"/>
                <w:rFonts w:ascii="Times New Roman" w:hAnsi="Times New Roman"/>
                <w:b w:val="0"/>
                <w:sz w:val="24"/>
                <w:u w:val="none"/>
              </w:rPr>
              <w:t xml:space="preserve"> a </w:t>
            </w:r>
            <w:r w:rsidRPr="00E07C9A">
              <w:rPr>
                <w:rStyle w:val="InstructionsTabelleberschrift"/>
                <w:rFonts w:ascii="Times New Roman" w:hAnsi="Times New Roman"/>
                <w:b w:val="0"/>
                <w:sz w:val="24"/>
                <w:u w:val="none"/>
              </w:rPr>
              <w:t xml:space="preserve">celkových aktív (riadok 0040). </w:t>
            </w:r>
          </w:p>
        </w:tc>
      </w:tr>
      <w:tr w:rsidR="00595FAD" w:rsidRPr="00E07C9A" w14:paraId="69C31AF4" w14:textId="77777777" w:rsidTr="00FF15C6">
        <w:tc>
          <w:tcPr>
            <w:tcW w:w="9039" w:type="dxa"/>
            <w:gridSpan w:val="2"/>
            <w:shd w:val="clear" w:color="auto" w:fill="A6A6A6" w:themeFill="background1" w:themeFillShade="A6"/>
          </w:tcPr>
          <w:p w14:paraId="3528654D" w14:textId="0CD48B42" w:rsidR="00595FAD" w:rsidRPr="00E07C9A" w:rsidRDefault="00595FAD" w:rsidP="00FF15C6">
            <w:pPr>
              <w:spacing w:beforeLines="60" w:before="144" w:afterLines="60" w:after="144"/>
              <w:rPr>
                <w:rFonts w:ascii="Times New Roman" w:hAnsi="Times New Roman"/>
                <w:b/>
                <w:sz w:val="24"/>
              </w:rPr>
            </w:pPr>
            <w:r w:rsidRPr="00E07C9A">
              <w:rPr>
                <w:rFonts w:ascii="Times New Roman" w:hAnsi="Times New Roman"/>
                <w:b/>
                <w:sz w:val="24"/>
              </w:rPr>
              <w:t>ODCHÝLKA</w:t>
            </w:r>
            <w:r w:rsidR="009912F8" w:rsidRPr="00E07C9A">
              <w:rPr>
                <w:rFonts w:ascii="Times New Roman" w:hAnsi="Times New Roman"/>
                <w:b/>
                <w:sz w:val="24"/>
              </w:rPr>
              <w:t xml:space="preserve"> V </w:t>
            </w:r>
            <w:r w:rsidRPr="00E07C9A">
              <w:rPr>
                <w:rFonts w:ascii="Times New Roman" w:hAnsi="Times New Roman"/>
                <w:b/>
                <w:sz w:val="24"/>
              </w:rPr>
              <w:t>SÚLADE</w:t>
            </w:r>
            <w:r w:rsidR="009912F8" w:rsidRPr="00E07C9A">
              <w:rPr>
                <w:rFonts w:ascii="Times New Roman" w:hAnsi="Times New Roman"/>
                <w:b/>
                <w:sz w:val="24"/>
              </w:rPr>
              <w:t xml:space="preserve"> S </w:t>
            </w:r>
            <w:r w:rsidRPr="00E07C9A">
              <w:rPr>
                <w:rFonts w:ascii="Times New Roman" w:hAnsi="Times New Roman"/>
                <w:b/>
                <w:sz w:val="24"/>
              </w:rPr>
              <w:t xml:space="preserve">ČLÁNKOM 273a ODS. 4 </w:t>
            </w:r>
            <w:r w:rsidRPr="00E07C9A">
              <w:rPr>
                <w:rFonts w:ascii="Times New Roman" w:hAnsi="Times New Roman"/>
                <w:b/>
                <w:sz w:val="24"/>
                <w:u w:val="single"/>
              </w:rPr>
              <w:t xml:space="preserve">NARIADENIA (EÚ) </w:t>
            </w:r>
            <w:r w:rsidR="009912F8" w:rsidRPr="00E07C9A">
              <w:rPr>
                <w:rFonts w:ascii="Times New Roman" w:hAnsi="Times New Roman"/>
                <w:b/>
                <w:sz w:val="24"/>
                <w:u w:val="single"/>
              </w:rPr>
              <w:t>č. 575/2013</w:t>
            </w:r>
          </w:p>
        </w:tc>
      </w:tr>
      <w:tr w:rsidR="00595FAD" w:rsidRPr="00E07C9A" w14:paraId="00CAED6E" w14:textId="77777777" w:rsidTr="007063EE">
        <w:trPr>
          <w:trHeight w:val="3003"/>
        </w:trPr>
        <w:tc>
          <w:tcPr>
            <w:tcW w:w="852" w:type="dxa"/>
          </w:tcPr>
          <w:p w14:paraId="7CEDF6A0" w14:textId="77777777" w:rsidR="00595FAD" w:rsidRPr="00E07C9A" w:rsidRDefault="00595FAD" w:rsidP="00FF15C6">
            <w:pPr>
              <w:spacing w:beforeLines="60" w:before="144" w:afterLines="60" w:after="144"/>
              <w:rPr>
                <w:rFonts w:ascii="Times New Roman" w:hAnsi="Times New Roman"/>
                <w:sz w:val="24"/>
              </w:rPr>
            </w:pPr>
            <w:r w:rsidRPr="00E07C9A">
              <w:rPr>
                <w:rFonts w:ascii="Times New Roman" w:hAnsi="Times New Roman"/>
                <w:sz w:val="24"/>
              </w:rPr>
              <w:t>0060</w:t>
            </w:r>
          </w:p>
        </w:tc>
        <w:tc>
          <w:tcPr>
            <w:tcW w:w="8187" w:type="dxa"/>
          </w:tcPr>
          <w:p w14:paraId="501B5F38" w14:textId="020611BE" w:rsidR="00595FAD" w:rsidRPr="00E07C9A" w:rsidRDefault="00595FAD" w:rsidP="00FF15C6">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Sú splnené podmienky článku 273a ods. 4</w:t>
            </w:r>
            <w:r w:rsidRPr="00E07C9A">
              <w:rPr>
                <w:rFonts w:ascii="Times New Roman" w:hAnsi="Times New Roman"/>
                <w:sz w:val="24"/>
              </w:rPr>
              <w:t xml:space="preserve"> nariadenia (EÚ) </w:t>
            </w:r>
            <w:r w:rsidR="009912F8" w:rsidRPr="00E07C9A">
              <w:rPr>
                <w:rFonts w:ascii="Times New Roman" w:hAnsi="Times New Roman"/>
                <w:sz w:val="24"/>
              </w:rPr>
              <w:t>č. 575/2013</w:t>
            </w:r>
            <w:r w:rsidRPr="00E07C9A">
              <w:rPr>
                <w:rStyle w:val="InstructionsTabelleberschrift"/>
                <w:rFonts w:ascii="Times New Roman" w:hAnsi="Times New Roman"/>
                <w:sz w:val="24"/>
              </w:rPr>
              <w:t xml:space="preserve"> vrátane súhlasu príslušných orgánov</w:t>
            </w:r>
            <w:r w:rsidRPr="00E07C9A">
              <w:rPr>
                <w:rFonts w:ascii="Times New Roman" w:hAnsi="Times New Roman"/>
                <w:sz w:val="24"/>
              </w:rPr>
              <w:t>?</w:t>
            </w:r>
          </w:p>
          <w:p w14:paraId="4520D45D" w14:textId="57ECFE27" w:rsidR="00595FAD" w:rsidRPr="00E07C9A" w:rsidRDefault="00595FAD" w:rsidP="00FF15C6">
            <w:pPr>
              <w:spacing w:beforeLines="60" w:before="144" w:afterLines="60" w:after="144"/>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 xml:space="preserve">Článok 273a ods. 4 </w:t>
            </w:r>
            <w:r w:rsidRPr="00E07C9A">
              <w:rPr>
                <w:rFonts w:ascii="Times New Roman" w:hAnsi="Times New Roman"/>
                <w:sz w:val="24"/>
              </w:rPr>
              <w:t xml:space="preserve">nariadenia (EÚ) </w:t>
            </w:r>
            <w:r w:rsidR="009912F8" w:rsidRPr="00E07C9A">
              <w:rPr>
                <w:rFonts w:ascii="Times New Roman" w:hAnsi="Times New Roman"/>
                <w:sz w:val="24"/>
              </w:rPr>
              <w:t>č. 575/2013</w:t>
            </w:r>
          </w:p>
          <w:p w14:paraId="177FD8A4" w14:textId="3C8C377D" w:rsidR="00595FAD" w:rsidRPr="00E07C9A" w:rsidRDefault="00595FAD" w:rsidP="00FF15C6">
            <w:pPr>
              <w:spacing w:beforeLines="60" w:before="144" w:afterLines="60" w:after="144"/>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Inštitúcie, ktoré presahujú prahové hodnoty na používanie zjednodušeného prístupu pre kreditné riziko protistrany, ale ktoré napriek tomu používajú jeden</w:t>
            </w:r>
            <w:r w:rsidR="009912F8" w:rsidRPr="00E07C9A">
              <w:rPr>
                <w:rStyle w:val="InstructionsTabelleberschrift"/>
                <w:rFonts w:ascii="Times New Roman" w:hAnsi="Times New Roman"/>
                <w:b w:val="0"/>
                <w:sz w:val="24"/>
                <w:u w:val="none"/>
              </w:rPr>
              <w:t xml:space="preserve"> z </w:t>
            </w:r>
            <w:r w:rsidRPr="00E07C9A">
              <w:rPr>
                <w:rStyle w:val="InstructionsTabelleberschrift"/>
                <w:rFonts w:ascii="Times New Roman" w:hAnsi="Times New Roman"/>
                <w:b w:val="0"/>
                <w:sz w:val="24"/>
                <w:u w:val="none"/>
              </w:rPr>
              <w:t>takýchto prístupov na základe článku 273a ods. 4</w:t>
            </w:r>
            <w:r w:rsidRPr="00E07C9A">
              <w:rPr>
                <w:rFonts w:ascii="Times New Roman" w:hAnsi="Times New Roman"/>
                <w:sz w:val="24"/>
              </w:rPr>
              <w:t xml:space="preserve"> nariadenia (EÚ) </w:t>
            </w:r>
            <w:r w:rsidR="009912F8" w:rsidRPr="00E07C9A">
              <w:rPr>
                <w:rFonts w:ascii="Times New Roman" w:hAnsi="Times New Roman"/>
                <w:sz w:val="24"/>
              </w:rPr>
              <w:t>č. 575/2013</w:t>
            </w:r>
            <w:r w:rsidRPr="00E07C9A">
              <w:rPr>
                <w:rStyle w:val="InstructionsTabelleberschrift"/>
                <w:rFonts w:ascii="Times New Roman" w:hAnsi="Times New Roman"/>
                <w:b w:val="0"/>
                <w:sz w:val="24"/>
                <w:u w:val="none"/>
              </w:rPr>
              <w:t>, uvádzajú (pomocou áno/nie), či spĺňajú všetky podmienky uvedeného článku.</w:t>
            </w:r>
          </w:p>
          <w:p w14:paraId="1EA6D1CA" w14:textId="3F2E841A" w:rsidR="00595FAD" w:rsidRPr="00E07C9A" w:rsidRDefault="00595FAD" w:rsidP="00FF15C6">
            <w:pPr>
              <w:spacing w:beforeLines="60" w:before="144" w:afterLines="60" w:after="144"/>
              <w:rPr>
                <w:rFonts w:ascii="Times New Roman" w:hAnsi="Times New Roman"/>
                <w:b/>
                <w:sz w:val="24"/>
              </w:rPr>
            </w:pPr>
            <w:r w:rsidRPr="00E07C9A">
              <w:rPr>
                <w:rStyle w:val="InstructionsTabelleberschrift"/>
                <w:rFonts w:ascii="Times New Roman" w:hAnsi="Times New Roman"/>
                <w:b w:val="0"/>
                <w:sz w:val="24"/>
                <w:u w:val="none"/>
              </w:rPr>
              <w:t>Túto položku vykazujú len inštitúcie, ktoré uplatňujú výnimku</w:t>
            </w:r>
            <w:r w:rsidR="009912F8" w:rsidRPr="00E07C9A">
              <w:rPr>
                <w:rStyle w:val="InstructionsTabelleberschrift"/>
                <w:rFonts w:ascii="Times New Roman" w:hAnsi="Times New Roman"/>
                <w:b w:val="0"/>
                <w:sz w:val="24"/>
                <w:u w:val="none"/>
              </w:rPr>
              <w:t xml:space="preserve"> v </w:t>
            </w:r>
            <w:r w:rsidRPr="00E07C9A">
              <w:rPr>
                <w:rStyle w:val="InstructionsTabelleberschrift"/>
                <w:rFonts w:ascii="Times New Roman" w:hAnsi="Times New Roman"/>
                <w:b w:val="0"/>
                <w:sz w:val="24"/>
                <w:u w:val="none"/>
              </w:rPr>
              <w:t>súlade</w:t>
            </w:r>
            <w:r w:rsidR="009912F8" w:rsidRPr="00E07C9A">
              <w:rPr>
                <w:rStyle w:val="InstructionsTabelleberschrift"/>
                <w:rFonts w:ascii="Times New Roman" w:hAnsi="Times New Roman"/>
                <w:b w:val="0"/>
                <w:sz w:val="24"/>
                <w:u w:val="none"/>
              </w:rPr>
              <w:t xml:space="preserve"> s </w:t>
            </w:r>
            <w:r w:rsidRPr="00E07C9A">
              <w:rPr>
                <w:rStyle w:val="InstructionsTabelleberschrift"/>
                <w:rFonts w:ascii="Times New Roman" w:hAnsi="Times New Roman"/>
                <w:b w:val="0"/>
                <w:sz w:val="24"/>
                <w:u w:val="none"/>
              </w:rPr>
              <w:t>článkom 273a ods. 4</w:t>
            </w:r>
            <w:r w:rsidRPr="00E07C9A">
              <w:rPr>
                <w:rFonts w:ascii="Times New Roman" w:hAnsi="Times New Roman"/>
                <w:sz w:val="24"/>
              </w:rPr>
              <w:t xml:space="preserve"> nariadenia (EÚ) </w:t>
            </w:r>
            <w:r w:rsidR="009912F8" w:rsidRPr="00E07C9A">
              <w:rPr>
                <w:rFonts w:ascii="Times New Roman" w:hAnsi="Times New Roman"/>
                <w:sz w:val="24"/>
              </w:rPr>
              <w:t>č. 575/2013</w:t>
            </w:r>
            <w:r w:rsidRPr="00E07C9A">
              <w:rPr>
                <w:rStyle w:val="InstructionsTabelleberschrift"/>
                <w:rFonts w:ascii="Times New Roman" w:hAnsi="Times New Roman"/>
                <w:b w:val="0"/>
                <w:sz w:val="24"/>
                <w:u w:val="none"/>
              </w:rPr>
              <w:t>.</w:t>
            </w:r>
          </w:p>
        </w:tc>
      </w:tr>
      <w:tr w:rsidR="00595FAD" w:rsidRPr="00E07C9A" w14:paraId="330DC909" w14:textId="77777777" w:rsidTr="00FF15C6">
        <w:tc>
          <w:tcPr>
            <w:tcW w:w="852" w:type="dxa"/>
          </w:tcPr>
          <w:p w14:paraId="04034D89" w14:textId="77777777" w:rsidR="00595FAD" w:rsidRPr="00E07C9A" w:rsidRDefault="00595FAD" w:rsidP="00FF15C6">
            <w:pPr>
              <w:spacing w:beforeLines="60" w:before="144" w:afterLines="60" w:after="144"/>
              <w:rPr>
                <w:rFonts w:ascii="Times New Roman" w:hAnsi="Times New Roman"/>
                <w:sz w:val="24"/>
              </w:rPr>
            </w:pPr>
            <w:r w:rsidRPr="00E07C9A">
              <w:rPr>
                <w:rFonts w:ascii="Times New Roman" w:hAnsi="Times New Roman"/>
                <w:sz w:val="24"/>
              </w:rPr>
              <w:t>0070</w:t>
            </w:r>
          </w:p>
        </w:tc>
        <w:tc>
          <w:tcPr>
            <w:tcW w:w="8187" w:type="dxa"/>
          </w:tcPr>
          <w:p w14:paraId="0DC23992" w14:textId="77777777" w:rsidR="00595FAD" w:rsidRPr="00E07C9A" w:rsidRDefault="00595FAD" w:rsidP="00FF15C6">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Metóda na výpočet hodnôt expozícií na konsolidovanej úrovni</w:t>
            </w:r>
          </w:p>
          <w:p w14:paraId="6F2748DF" w14:textId="59BD7D7F" w:rsidR="00595FAD" w:rsidRPr="00E07C9A" w:rsidRDefault="00595FAD" w:rsidP="00FF15C6">
            <w:pPr>
              <w:spacing w:beforeLines="60" w:before="144" w:afterLines="60" w:after="144"/>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 xml:space="preserve">Článok 273a ods. 4 </w:t>
            </w:r>
            <w:r w:rsidRPr="00E07C9A">
              <w:rPr>
                <w:rFonts w:ascii="Times New Roman" w:hAnsi="Times New Roman"/>
                <w:sz w:val="24"/>
              </w:rPr>
              <w:t xml:space="preserve">nariadenia (EÚ) </w:t>
            </w:r>
            <w:r w:rsidR="009912F8" w:rsidRPr="00E07C9A">
              <w:rPr>
                <w:rFonts w:ascii="Times New Roman" w:hAnsi="Times New Roman"/>
                <w:sz w:val="24"/>
              </w:rPr>
              <w:t>č. 575/2013</w:t>
            </w:r>
          </w:p>
          <w:p w14:paraId="512381BC" w14:textId="4E687410" w:rsidR="00595FAD" w:rsidRPr="00E07C9A" w:rsidRDefault="00595FAD" w:rsidP="00FF15C6">
            <w:pPr>
              <w:spacing w:beforeLines="60" w:before="144" w:afterLines="60" w:after="144"/>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Metóda na výpočet hodnôt expozícií derivátových pozícií na konsolidovanom základe, ktorá sa používa aj na úrovni samostatného subjektu</w:t>
            </w:r>
            <w:r w:rsidR="009912F8" w:rsidRPr="00E07C9A">
              <w:rPr>
                <w:rStyle w:val="InstructionsTabelleberschrift"/>
                <w:rFonts w:ascii="Times New Roman" w:hAnsi="Times New Roman"/>
                <w:b w:val="0"/>
                <w:sz w:val="24"/>
                <w:u w:val="none"/>
              </w:rPr>
              <w:t xml:space="preserve"> v </w:t>
            </w:r>
            <w:r w:rsidRPr="00E07C9A">
              <w:rPr>
                <w:rStyle w:val="InstructionsTabelleberschrift"/>
                <w:rFonts w:ascii="Times New Roman" w:hAnsi="Times New Roman"/>
                <w:b w:val="0"/>
                <w:sz w:val="24"/>
                <w:u w:val="none"/>
              </w:rPr>
              <w:t>súlade</w:t>
            </w:r>
            <w:r w:rsidR="009912F8" w:rsidRPr="00E07C9A">
              <w:rPr>
                <w:rStyle w:val="InstructionsTabelleberschrift"/>
                <w:rFonts w:ascii="Times New Roman" w:hAnsi="Times New Roman"/>
                <w:b w:val="0"/>
                <w:sz w:val="24"/>
                <w:u w:val="none"/>
              </w:rPr>
              <w:t xml:space="preserve"> s </w:t>
            </w:r>
            <w:r w:rsidRPr="00E07C9A">
              <w:rPr>
                <w:rStyle w:val="InstructionsTabelleberschrift"/>
                <w:rFonts w:ascii="Times New Roman" w:hAnsi="Times New Roman"/>
                <w:b w:val="0"/>
                <w:sz w:val="24"/>
                <w:u w:val="none"/>
              </w:rPr>
              <w:t>článkom 273a ods. 4</w:t>
            </w:r>
            <w:r w:rsidRPr="00E07C9A">
              <w:rPr>
                <w:rFonts w:ascii="Times New Roman" w:hAnsi="Times New Roman"/>
                <w:sz w:val="24"/>
              </w:rPr>
              <w:t xml:space="preserve"> nariadenia (EÚ) </w:t>
            </w:r>
            <w:r w:rsidR="009912F8" w:rsidRPr="00E07C9A">
              <w:rPr>
                <w:rFonts w:ascii="Times New Roman" w:hAnsi="Times New Roman"/>
                <w:sz w:val="24"/>
              </w:rPr>
              <w:t>č. 575/2013</w:t>
            </w:r>
            <w:r w:rsidRPr="00E07C9A">
              <w:rPr>
                <w:rStyle w:val="InstructionsTabelleberschrift"/>
                <w:rFonts w:ascii="Times New Roman" w:hAnsi="Times New Roman"/>
                <w:b w:val="0"/>
                <w:sz w:val="24"/>
                <w:u w:val="none"/>
              </w:rPr>
              <w:t>:</w:t>
            </w:r>
          </w:p>
          <w:p w14:paraId="5A34FCE9" w14:textId="77777777" w:rsidR="00595FAD" w:rsidRPr="00E07C9A" w:rsidRDefault="00595FAD" w:rsidP="00FF15C6">
            <w:pPr>
              <w:spacing w:beforeLines="60" w:before="144" w:afterLines="60" w:after="144"/>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 OEM: metóda pôvodnej expozície,</w:t>
            </w:r>
          </w:p>
          <w:p w14:paraId="4C12ED5D" w14:textId="77777777" w:rsidR="009912F8" w:rsidRPr="00E07C9A" w:rsidRDefault="00595FAD" w:rsidP="00FF15C6">
            <w:pPr>
              <w:spacing w:beforeLines="60" w:before="144" w:afterLines="60" w:after="144"/>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 zjednodušený prístup SA-CCR: zjednodušený štandardizovaný prístup pre kreditné riziko protistrany</w:t>
            </w:r>
            <w:r w:rsidR="009912F8" w:rsidRPr="00E07C9A">
              <w:rPr>
                <w:rStyle w:val="InstructionsTabelleberschrift"/>
                <w:rFonts w:ascii="Times New Roman" w:hAnsi="Times New Roman"/>
                <w:b w:val="0"/>
                <w:sz w:val="24"/>
                <w:u w:val="none"/>
              </w:rPr>
              <w:t>.</w:t>
            </w:r>
          </w:p>
          <w:p w14:paraId="09C704BF" w14:textId="6C54D37A" w:rsidR="00595FAD" w:rsidRPr="00E07C9A" w:rsidRDefault="00595FAD" w:rsidP="00FF15C6">
            <w:pPr>
              <w:spacing w:beforeLines="60" w:before="144" w:afterLines="60" w:after="144"/>
              <w:rPr>
                <w:rFonts w:ascii="Times New Roman" w:hAnsi="Times New Roman"/>
                <w:b/>
                <w:sz w:val="24"/>
              </w:rPr>
            </w:pPr>
            <w:r w:rsidRPr="00E07C9A">
              <w:rPr>
                <w:rStyle w:val="InstructionsTabelleberschrift"/>
                <w:rFonts w:ascii="Times New Roman" w:hAnsi="Times New Roman"/>
                <w:b w:val="0"/>
                <w:sz w:val="24"/>
                <w:u w:val="none"/>
              </w:rPr>
              <w:t>Túto položku vykazujú len inštitúcie, ktoré uplatňujú výnimku</w:t>
            </w:r>
            <w:r w:rsidR="009912F8" w:rsidRPr="00E07C9A">
              <w:rPr>
                <w:rStyle w:val="InstructionsTabelleberschrift"/>
                <w:rFonts w:ascii="Times New Roman" w:hAnsi="Times New Roman"/>
                <w:b w:val="0"/>
                <w:sz w:val="24"/>
                <w:u w:val="none"/>
              </w:rPr>
              <w:t xml:space="preserve"> v </w:t>
            </w:r>
            <w:r w:rsidRPr="00E07C9A">
              <w:rPr>
                <w:rStyle w:val="InstructionsTabelleberschrift"/>
                <w:rFonts w:ascii="Times New Roman" w:hAnsi="Times New Roman"/>
                <w:b w:val="0"/>
                <w:sz w:val="24"/>
                <w:u w:val="none"/>
              </w:rPr>
              <w:t>súlade</w:t>
            </w:r>
            <w:r w:rsidR="009912F8" w:rsidRPr="00E07C9A">
              <w:rPr>
                <w:rStyle w:val="InstructionsTabelleberschrift"/>
                <w:rFonts w:ascii="Times New Roman" w:hAnsi="Times New Roman"/>
                <w:b w:val="0"/>
                <w:sz w:val="24"/>
                <w:u w:val="none"/>
              </w:rPr>
              <w:t xml:space="preserve"> s </w:t>
            </w:r>
            <w:r w:rsidRPr="00E07C9A">
              <w:rPr>
                <w:rStyle w:val="InstructionsTabelleberschrift"/>
                <w:rFonts w:ascii="Times New Roman" w:hAnsi="Times New Roman"/>
                <w:b w:val="0"/>
                <w:sz w:val="24"/>
                <w:u w:val="none"/>
              </w:rPr>
              <w:t>článkom 273a ods. 4</w:t>
            </w:r>
            <w:r w:rsidRPr="00E07C9A">
              <w:rPr>
                <w:rFonts w:ascii="Times New Roman" w:hAnsi="Times New Roman"/>
                <w:sz w:val="24"/>
              </w:rPr>
              <w:t xml:space="preserve"> nariadenia (EÚ) </w:t>
            </w:r>
            <w:r w:rsidR="009912F8" w:rsidRPr="00E07C9A">
              <w:rPr>
                <w:rFonts w:ascii="Times New Roman" w:hAnsi="Times New Roman"/>
                <w:sz w:val="24"/>
              </w:rPr>
              <w:t>č. 575/2013</w:t>
            </w:r>
            <w:r w:rsidRPr="00E07C9A">
              <w:rPr>
                <w:rStyle w:val="InstructionsTabelleberschrift"/>
                <w:rFonts w:ascii="Times New Roman" w:hAnsi="Times New Roman"/>
                <w:b w:val="0"/>
                <w:sz w:val="24"/>
                <w:u w:val="none"/>
              </w:rPr>
              <w:t>.</w:t>
            </w:r>
          </w:p>
        </w:tc>
      </w:tr>
    </w:tbl>
    <w:p w14:paraId="6F22CA8E" w14:textId="77777777" w:rsidR="009912F8" w:rsidRPr="00E07C9A" w:rsidRDefault="00595FAD" w:rsidP="005C4397">
      <w:pPr>
        <w:pStyle w:val="Instructionsberschrift2"/>
        <w:numPr>
          <w:ilvl w:val="2"/>
          <w:numId w:val="39"/>
        </w:numPr>
        <w:rPr>
          <w:rFonts w:ascii="Times New Roman" w:hAnsi="Times New Roman" w:cs="Times New Roman"/>
          <w:sz w:val="24"/>
        </w:rPr>
      </w:pPr>
      <w:bookmarkStart w:id="456" w:name="_Toc19715806"/>
      <w:bookmarkStart w:id="457" w:name="_Toc115857836"/>
      <w:r w:rsidRPr="00E07C9A">
        <w:rPr>
          <w:rFonts w:ascii="Times New Roman" w:hAnsi="Times New Roman" w:cs="Times New Roman"/>
          <w:sz w:val="24"/>
        </w:rPr>
        <w:t>C 34.02 – Expozície voči CCR podľa prístupu</w:t>
      </w:r>
      <w:bookmarkEnd w:id="456"/>
      <w:bookmarkEnd w:id="457"/>
    </w:p>
    <w:p w14:paraId="4553D839" w14:textId="57C657CA" w:rsidR="00595FAD" w:rsidRPr="00E07C9A" w:rsidRDefault="00595FAD" w:rsidP="005C4397">
      <w:pPr>
        <w:pStyle w:val="Instructionsberschrift2"/>
        <w:numPr>
          <w:ilvl w:val="3"/>
          <w:numId w:val="39"/>
        </w:numPr>
        <w:rPr>
          <w:rFonts w:ascii="Times New Roman" w:hAnsi="Times New Roman" w:cs="Times New Roman"/>
          <w:sz w:val="24"/>
        </w:rPr>
      </w:pPr>
      <w:bookmarkStart w:id="458" w:name="_Toc19715807"/>
      <w:bookmarkStart w:id="459" w:name="_Toc115857837"/>
      <w:r w:rsidRPr="00E07C9A">
        <w:rPr>
          <w:rFonts w:ascii="Times New Roman" w:hAnsi="Times New Roman" w:cs="Times New Roman"/>
          <w:sz w:val="24"/>
        </w:rPr>
        <w:t>Všeobecné poznámky</w:t>
      </w:r>
      <w:bookmarkEnd w:id="458"/>
      <w:bookmarkEnd w:id="459"/>
    </w:p>
    <w:p w14:paraId="3C9ADBCC" w14:textId="61900EE1" w:rsidR="00595FAD" w:rsidRPr="00E07C9A" w:rsidRDefault="002A18DE" w:rsidP="00487A02">
      <w:pPr>
        <w:pStyle w:val="InstructionsText2"/>
        <w:numPr>
          <w:ilvl w:val="0"/>
          <w:numId w:val="0"/>
        </w:numPr>
        <w:ind w:left="1353" w:hanging="360"/>
      </w:pPr>
      <w:fldSimple w:instr=" seq paragraphs ">
        <w:r w:rsidR="00132AEE">
          <w:rPr>
            <w:noProof/>
          </w:rPr>
          <w:t>124</w:t>
        </w:r>
      </w:fldSimple>
      <w:r w:rsidR="00C3070C" w:rsidRPr="00E07C9A">
        <w:t>. Inštitúcie vykazujú vzor osobitne pre všetky expozície voči CCR</w:t>
      </w:r>
      <w:r w:rsidR="009912F8" w:rsidRPr="00E07C9A">
        <w:t xml:space="preserve"> a </w:t>
      </w:r>
      <w:r w:rsidR="00C3070C" w:rsidRPr="00E07C9A">
        <w:t>pre všetky expozície voči CCR okrem expozícií voči centrálnym protistranám (CCP)</w:t>
      </w:r>
      <w:r w:rsidR="009912F8" w:rsidRPr="00E07C9A">
        <w:t xml:space="preserve"> v </w:t>
      </w:r>
      <w:r w:rsidR="00C3070C" w:rsidRPr="00E07C9A">
        <w:t>zmysle vymedzenia na účely vzoru C 34.10.</w:t>
      </w:r>
    </w:p>
    <w:p w14:paraId="1BEEF9D4" w14:textId="62460C3E" w:rsidR="00595FAD" w:rsidRPr="00E07C9A" w:rsidRDefault="00595FAD" w:rsidP="005C4397">
      <w:pPr>
        <w:pStyle w:val="Instructionsberschrift2"/>
        <w:numPr>
          <w:ilvl w:val="3"/>
          <w:numId w:val="39"/>
        </w:numPr>
        <w:rPr>
          <w:rFonts w:ascii="Times New Roman" w:hAnsi="Times New Roman" w:cs="Times New Roman"/>
          <w:sz w:val="24"/>
        </w:rPr>
      </w:pPr>
      <w:bookmarkStart w:id="460" w:name="_Toc19715808"/>
      <w:bookmarkStart w:id="461" w:name="_Toc115857838"/>
      <w:r w:rsidRPr="00E07C9A">
        <w:rPr>
          <w:rFonts w:ascii="Times New Roman" w:hAnsi="Times New Roman" w:cs="Times New Roman"/>
          <w:sz w:val="24"/>
        </w:rPr>
        <w:t>Pokyny týkajúce sa konkrétnych pozícií</w:t>
      </w:r>
      <w:bookmarkEnd w:id="460"/>
      <w:bookmarkEnd w:id="46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E07C9A" w14:paraId="37E9C84F" w14:textId="77777777" w:rsidTr="00751FBE">
        <w:trPr>
          <w:trHeight w:val="616"/>
        </w:trPr>
        <w:tc>
          <w:tcPr>
            <w:tcW w:w="9039" w:type="dxa"/>
            <w:gridSpan w:val="2"/>
            <w:tcBorders>
              <w:right w:val="single" w:sz="4" w:space="0" w:color="auto"/>
            </w:tcBorders>
            <w:shd w:val="clear" w:color="auto" w:fill="D9D9D9" w:themeFill="background1" w:themeFillShade="D9"/>
          </w:tcPr>
          <w:p w14:paraId="39F2EFE4" w14:textId="77777777" w:rsidR="00595FAD" w:rsidRPr="00E07C9A" w:rsidRDefault="00595FAD" w:rsidP="00751FBE">
            <w:pPr>
              <w:autoSpaceDE w:val="0"/>
              <w:autoSpaceDN w:val="0"/>
              <w:adjustRightInd w:val="0"/>
              <w:rPr>
                <w:rFonts w:ascii="Times New Roman" w:hAnsi="Times New Roman"/>
                <w:b/>
                <w:sz w:val="24"/>
              </w:rPr>
            </w:pPr>
            <w:r w:rsidRPr="00E07C9A">
              <w:rPr>
                <w:rFonts w:ascii="Times New Roman" w:hAnsi="Times New Roman"/>
                <w:b/>
                <w:sz w:val="24"/>
              </w:rPr>
              <w:t>Stĺpce</w:t>
            </w:r>
          </w:p>
        </w:tc>
      </w:tr>
      <w:tr w:rsidR="00595FAD" w:rsidRPr="00E07C9A" w14:paraId="6016B7A8" w14:textId="77777777" w:rsidTr="00FF15C6">
        <w:trPr>
          <w:trHeight w:val="680"/>
        </w:trPr>
        <w:tc>
          <w:tcPr>
            <w:tcW w:w="1384" w:type="dxa"/>
          </w:tcPr>
          <w:p w14:paraId="1EB6474F" w14:textId="77777777" w:rsidR="00595FAD" w:rsidRPr="00E07C9A" w:rsidRDefault="00595FAD" w:rsidP="00FF15C6">
            <w:pPr>
              <w:pStyle w:val="Applicationdirecte"/>
              <w:spacing w:before="0" w:after="0"/>
            </w:pPr>
            <w:r w:rsidRPr="00E07C9A">
              <w:t>0010</w:t>
            </w:r>
          </w:p>
        </w:tc>
        <w:tc>
          <w:tcPr>
            <w:tcW w:w="7655" w:type="dxa"/>
            <w:vAlign w:val="center"/>
          </w:tcPr>
          <w:p w14:paraId="51DA558D" w14:textId="77777777" w:rsidR="00595FAD" w:rsidRPr="00E07C9A" w:rsidRDefault="00595FAD" w:rsidP="00FF15C6">
            <w:pPr>
              <w:keepNext/>
              <w:spacing w:before="60"/>
              <w:rPr>
                <w:rStyle w:val="InstructionsTabelleberschrift"/>
                <w:rFonts w:ascii="Times New Roman" w:hAnsi="Times New Roman"/>
                <w:sz w:val="24"/>
              </w:rPr>
            </w:pPr>
            <w:r w:rsidRPr="00E07C9A">
              <w:rPr>
                <w:rStyle w:val="InstructionsTabelleberschrift"/>
                <w:rFonts w:ascii="Times New Roman" w:hAnsi="Times New Roman"/>
                <w:sz w:val="24"/>
              </w:rPr>
              <w:t>POČET PROTISTRÁN</w:t>
            </w:r>
          </w:p>
          <w:p w14:paraId="4010D060" w14:textId="77777777" w:rsidR="00595FAD" w:rsidRPr="00E07C9A" w:rsidRDefault="00595FAD" w:rsidP="00FF15C6">
            <w:pPr>
              <w:autoSpaceDE w:val="0"/>
              <w:autoSpaceDN w:val="0"/>
              <w:adjustRightInd w:val="0"/>
              <w:spacing w:before="60"/>
              <w:rPr>
                <w:rFonts w:ascii="Times New Roman" w:hAnsi="Times New Roman"/>
                <w:i/>
                <w:sz w:val="24"/>
              </w:rPr>
            </w:pPr>
            <w:r w:rsidRPr="00E07C9A">
              <w:rPr>
                <w:rFonts w:ascii="Times New Roman" w:hAnsi="Times New Roman"/>
                <w:sz w:val="24"/>
              </w:rPr>
              <w:t>Počet individuálnych protistrán, vo vzťahu ku ktorým má inštitúcia expozície voči CCR.</w:t>
            </w:r>
          </w:p>
        </w:tc>
      </w:tr>
      <w:tr w:rsidR="00595FAD" w:rsidRPr="00E07C9A" w14:paraId="1322AA6A" w14:textId="77777777" w:rsidTr="00FF15C6">
        <w:trPr>
          <w:trHeight w:val="416"/>
        </w:trPr>
        <w:tc>
          <w:tcPr>
            <w:tcW w:w="1384" w:type="dxa"/>
          </w:tcPr>
          <w:p w14:paraId="62909E7E" w14:textId="77777777" w:rsidR="00595FAD" w:rsidRPr="00E07C9A" w:rsidRDefault="00595FAD" w:rsidP="00FF15C6">
            <w:pPr>
              <w:pStyle w:val="Applicationdirecte"/>
              <w:spacing w:before="0" w:after="0"/>
            </w:pPr>
            <w:r w:rsidRPr="00E07C9A">
              <w:t>0020</w:t>
            </w:r>
          </w:p>
        </w:tc>
        <w:tc>
          <w:tcPr>
            <w:tcW w:w="7655" w:type="dxa"/>
            <w:vAlign w:val="center"/>
          </w:tcPr>
          <w:p w14:paraId="611D2848" w14:textId="77777777" w:rsidR="00595FAD" w:rsidRPr="00E07C9A" w:rsidRDefault="00595FAD" w:rsidP="00FF15C6">
            <w:pPr>
              <w:keepNext/>
              <w:spacing w:before="60"/>
              <w:rPr>
                <w:rStyle w:val="InstructionsTabelleberschrift"/>
                <w:rFonts w:ascii="Times New Roman" w:hAnsi="Times New Roman"/>
                <w:sz w:val="24"/>
              </w:rPr>
            </w:pPr>
            <w:r w:rsidRPr="00E07C9A">
              <w:rPr>
                <w:rStyle w:val="InstructionsTabelleberschrift"/>
                <w:rFonts w:ascii="Times New Roman" w:hAnsi="Times New Roman"/>
                <w:sz w:val="24"/>
              </w:rPr>
              <w:t>POČET TRANSAKCIÍ</w:t>
            </w:r>
          </w:p>
          <w:p w14:paraId="369F2A33" w14:textId="60A0A9D6" w:rsidR="00595FAD" w:rsidRPr="00E07C9A" w:rsidRDefault="00595FAD" w:rsidP="00FF15C6">
            <w:pPr>
              <w:autoSpaceDE w:val="0"/>
              <w:autoSpaceDN w:val="0"/>
              <w:adjustRightInd w:val="0"/>
              <w:spacing w:before="60"/>
              <w:rPr>
                <w:rFonts w:ascii="Times New Roman" w:hAnsi="Times New Roman"/>
                <w:sz w:val="24"/>
              </w:rPr>
            </w:pPr>
            <w:r w:rsidRPr="00E07C9A">
              <w:rPr>
                <w:rFonts w:ascii="Times New Roman" w:hAnsi="Times New Roman"/>
                <w:sz w:val="24"/>
              </w:rPr>
              <w:t>Počet transakcií, na ktoré sa vzťahuje kreditné riziko protistrany</w:t>
            </w:r>
            <w:r w:rsidR="009912F8" w:rsidRPr="00E07C9A">
              <w:rPr>
                <w:rFonts w:ascii="Times New Roman" w:hAnsi="Times New Roman"/>
                <w:sz w:val="24"/>
              </w:rPr>
              <w:t xml:space="preserve"> k </w:t>
            </w:r>
            <w:r w:rsidRPr="00E07C9A">
              <w:rPr>
                <w:rFonts w:ascii="Times New Roman" w:hAnsi="Times New Roman"/>
                <w:sz w:val="24"/>
              </w:rPr>
              <w:t>dátumu vykazovania. Treba poznamenať, že obchodné číselné údaje centrálnej protistrany by nemali zahŕňať kladné ani záporné peňažné toky, ale celkové pozície</w:t>
            </w:r>
            <w:r w:rsidR="009912F8" w:rsidRPr="00E07C9A">
              <w:rPr>
                <w:rFonts w:ascii="Times New Roman" w:hAnsi="Times New Roman"/>
                <w:sz w:val="24"/>
              </w:rPr>
              <w:t xml:space="preserve"> v </w:t>
            </w:r>
            <w:r w:rsidRPr="00E07C9A">
              <w:rPr>
                <w:rFonts w:ascii="Times New Roman" w:hAnsi="Times New Roman"/>
                <w:sz w:val="24"/>
              </w:rPr>
              <w:t>portfóliu CCR</w:t>
            </w:r>
            <w:r w:rsidR="009912F8" w:rsidRPr="00E07C9A">
              <w:rPr>
                <w:rFonts w:ascii="Times New Roman" w:hAnsi="Times New Roman"/>
                <w:sz w:val="24"/>
              </w:rPr>
              <w:t xml:space="preserve"> k </w:t>
            </w:r>
            <w:r w:rsidRPr="00E07C9A">
              <w:rPr>
                <w:rFonts w:ascii="Times New Roman" w:hAnsi="Times New Roman"/>
                <w:sz w:val="24"/>
              </w:rPr>
              <w:t>dátumu vykazovania. Okrem toho sa derivátový nástroj alebo SFT, ktoré sú rozdelené na dve alebo viac častí (aspoň) na účely modelovania, stále považujú za jedinú transakciu.</w:t>
            </w:r>
          </w:p>
        </w:tc>
      </w:tr>
      <w:tr w:rsidR="00595FAD" w:rsidRPr="00E07C9A" w14:paraId="2FC2AE53" w14:textId="77777777" w:rsidTr="00FF15C6">
        <w:trPr>
          <w:trHeight w:val="680"/>
        </w:trPr>
        <w:tc>
          <w:tcPr>
            <w:tcW w:w="1384" w:type="dxa"/>
          </w:tcPr>
          <w:p w14:paraId="33F06DB7" w14:textId="77777777" w:rsidR="00595FAD" w:rsidRPr="00E07C9A" w:rsidRDefault="00595FAD" w:rsidP="00FF15C6">
            <w:pPr>
              <w:pStyle w:val="Applicationdirecte"/>
              <w:spacing w:before="0" w:after="0"/>
            </w:pPr>
            <w:r w:rsidRPr="00E07C9A">
              <w:t>0030</w:t>
            </w:r>
          </w:p>
        </w:tc>
        <w:tc>
          <w:tcPr>
            <w:tcW w:w="7655" w:type="dxa"/>
            <w:vAlign w:val="center"/>
          </w:tcPr>
          <w:p w14:paraId="29ADCAB7" w14:textId="77777777" w:rsidR="00595FAD" w:rsidRPr="00E07C9A" w:rsidRDefault="00595FAD" w:rsidP="00FF15C6">
            <w:pPr>
              <w:keepNext/>
              <w:spacing w:before="60"/>
              <w:rPr>
                <w:rStyle w:val="InstructionsTabelleberschrift"/>
                <w:rFonts w:ascii="Times New Roman" w:hAnsi="Times New Roman"/>
                <w:sz w:val="24"/>
              </w:rPr>
            </w:pPr>
            <w:r w:rsidRPr="00E07C9A">
              <w:rPr>
                <w:rStyle w:val="InstructionsTabelleberschrift"/>
                <w:rFonts w:ascii="Times New Roman" w:hAnsi="Times New Roman"/>
                <w:sz w:val="24"/>
              </w:rPr>
              <w:t>POMYSELNÉ HODNOTY</w:t>
            </w:r>
          </w:p>
          <w:p w14:paraId="0B46A207" w14:textId="32419F73" w:rsidR="00595FAD" w:rsidRPr="00E07C9A" w:rsidRDefault="00595FAD" w:rsidP="00FF15C6">
            <w:pPr>
              <w:keepNext/>
              <w:spacing w:before="60"/>
              <w:rPr>
                <w:rFonts w:ascii="Times New Roman" w:hAnsi="Times New Roman"/>
                <w:sz w:val="24"/>
              </w:rPr>
            </w:pPr>
            <w:r w:rsidRPr="00E07C9A">
              <w:rPr>
                <w:rFonts w:ascii="Times New Roman" w:hAnsi="Times New Roman"/>
                <w:sz w:val="24"/>
              </w:rPr>
              <w:t>Súčet pomyselných hodnôt derivátov</w:t>
            </w:r>
            <w:r w:rsidR="009912F8" w:rsidRPr="00E07C9A">
              <w:rPr>
                <w:rFonts w:ascii="Times New Roman" w:hAnsi="Times New Roman"/>
                <w:sz w:val="24"/>
              </w:rPr>
              <w:t xml:space="preserve"> a </w:t>
            </w:r>
            <w:r w:rsidRPr="00E07C9A">
              <w:rPr>
                <w:rFonts w:ascii="Times New Roman" w:hAnsi="Times New Roman"/>
                <w:sz w:val="24"/>
              </w:rPr>
              <w:t>SFT pred akýmkoľvek vzájomným započítavaním</w:t>
            </w:r>
            <w:r w:rsidR="009912F8" w:rsidRPr="00E07C9A">
              <w:rPr>
                <w:rFonts w:ascii="Times New Roman" w:hAnsi="Times New Roman"/>
                <w:sz w:val="24"/>
              </w:rPr>
              <w:t xml:space="preserve"> a </w:t>
            </w:r>
            <w:r w:rsidRPr="00E07C9A">
              <w:rPr>
                <w:rFonts w:ascii="Times New Roman" w:hAnsi="Times New Roman"/>
                <w:sz w:val="24"/>
              </w:rPr>
              <w:t>bez akýchkoľvek úprav</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279b nariadenia (EÚ) </w:t>
            </w:r>
            <w:r w:rsidR="009912F8" w:rsidRPr="00E07C9A">
              <w:rPr>
                <w:rFonts w:ascii="Times New Roman" w:hAnsi="Times New Roman"/>
                <w:sz w:val="24"/>
              </w:rPr>
              <w:t>č. 575/2013</w:t>
            </w:r>
            <w:r w:rsidRPr="00E07C9A">
              <w:rPr>
                <w:rFonts w:ascii="Times New Roman" w:hAnsi="Times New Roman"/>
                <w:sz w:val="24"/>
              </w:rPr>
              <w:t>.</w:t>
            </w:r>
          </w:p>
        </w:tc>
      </w:tr>
      <w:tr w:rsidR="00595FAD" w:rsidRPr="00E07C9A" w14:paraId="16470B6F" w14:textId="77777777" w:rsidTr="00FF15C6">
        <w:trPr>
          <w:trHeight w:val="680"/>
        </w:trPr>
        <w:tc>
          <w:tcPr>
            <w:tcW w:w="1384" w:type="dxa"/>
          </w:tcPr>
          <w:p w14:paraId="5AA68071" w14:textId="77777777" w:rsidR="00595FAD" w:rsidRPr="00E07C9A" w:rsidRDefault="00595FAD" w:rsidP="00FF15C6">
            <w:pPr>
              <w:pStyle w:val="Applicationdirecte"/>
              <w:spacing w:before="0" w:after="0"/>
            </w:pPr>
            <w:r w:rsidRPr="00E07C9A">
              <w:t>0040</w:t>
            </w:r>
          </w:p>
        </w:tc>
        <w:tc>
          <w:tcPr>
            <w:tcW w:w="7655" w:type="dxa"/>
            <w:vAlign w:val="center"/>
          </w:tcPr>
          <w:p w14:paraId="409A442B" w14:textId="4A61E485" w:rsidR="00595FAD" w:rsidRPr="00E07C9A" w:rsidRDefault="00595FAD" w:rsidP="00FF15C6">
            <w:pPr>
              <w:keepNext/>
              <w:spacing w:before="60"/>
              <w:rPr>
                <w:rStyle w:val="InstructionsTabelleberschrift"/>
                <w:rFonts w:ascii="Times New Roman" w:hAnsi="Times New Roman"/>
                <w:sz w:val="24"/>
              </w:rPr>
            </w:pPr>
            <w:r w:rsidRPr="00E07C9A">
              <w:rPr>
                <w:rStyle w:val="InstructionsTabelleberschrift"/>
                <w:rFonts w:ascii="Times New Roman" w:hAnsi="Times New Roman"/>
                <w:sz w:val="24"/>
              </w:rPr>
              <w:t>SÚČASNÁ TRHOVÁ HODNOTA (CMV), KLADNÁ</w:t>
            </w:r>
          </w:p>
          <w:p w14:paraId="79360CA5" w14:textId="73ABE77E" w:rsidR="00595FAD" w:rsidRPr="00E07C9A" w:rsidRDefault="00595FAD" w:rsidP="00FF15C6">
            <w:pPr>
              <w:keepNext/>
              <w:spacing w:before="60"/>
              <w:rPr>
                <w:rFonts w:ascii="Times New Roman" w:hAnsi="Times New Roman"/>
                <w:sz w:val="24"/>
              </w:rPr>
            </w:pPr>
            <w:r w:rsidRPr="00E07C9A">
              <w:rPr>
                <w:rFonts w:ascii="Times New Roman" w:hAnsi="Times New Roman"/>
                <w:sz w:val="24"/>
              </w:rPr>
              <w:t xml:space="preserve">Článok 272 ods. 12 nariadenia (EÚ) </w:t>
            </w:r>
            <w:r w:rsidR="009912F8" w:rsidRPr="00E07C9A">
              <w:rPr>
                <w:rFonts w:ascii="Times New Roman" w:hAnsi="Times New Roman"/>
                <w:sz w:val="24"/>
              </w:rPr>
              <w:t>č. 575/2013</w:t>
            </w:r>
          </w:p>
          <w:p w14:paraId="29900CC8" w14:textId="43911D16" w:rsidR="00595FAD" w:rsidRPr="00E07C9A" w:rsidRDefault="00595FAD" w:rsidP="00FF15C6">
            <w:pPr>
              <w:keepNext/>
              <w:spacing w:before="60"/>
              <w:rPr>
                <w:rFonts w:ascii="Times New Roman" w:hAnsi="Times New Roman"/>
                <w:sz w:val="24"/>
              </w:rPr>
            </w:pPr>
            <w:r w:rsidRPr="00E07C9A">
              <w:rPr>
                <w:rFonts w:ascii="Times New Roman" w:hAnsi="Times New Roman"/>
                <w:sz w:val="24"/>
              </w:rPr>
              <w:t>Súčet súčasných trhových hodnôt (CMV) všetkých súborov vzájomného započítavania</w:t>
            </w:r>
            <w:r w:rsidR="009912F8" w:rsidRPr="00E07C9A">
              <w:rPr>
                <w:rFonts w:ascii="Times New Roman" w:hAnsi="Times New Roman"/>
                <w:sz w:val="24"/>
              </w:rPr>
              <w:t xml:space="preserve"> s </w:t>
            </w:r>
            <w:r w:rsidRPr="00E07C9A">
              <w:rPr>
                <w:rFonts w:ascii="Times New Roman" w:hAnsi="Times New Roman"/>
                <w:sz w:val="24"/>
              </w:rPr>
              <w:t>kladnou CMV</w:t>
            </w:r>
            <w:r w:rsidR="009912F8" w:rsidRPr="00E07C9A">
              <w:rPr>
                <w:rFonts w:ascii="Times New Roman" w:hAnsi="Times New Roman"/>
                <w:sz w:val="24"/>
              </w:rPr>
              <w:t xml:space="preserve"> v </w:t>
            </w:r>
            <w:r w:rsidRPr="00E07C9A">
              <w:rPr>
                <w:rFonts w:ascii="Times New Roman" w:hAnsi="Times New Roman"/>
                <w:sz w:val="24"/>
              </w:rPr>
              <w:t>zmysle vymedzenia</w:t>
            </w:r>
            <w:r w:rsidR="009912F8" w:rsidRPr="00E07C9A">
              <w:rPr>
                <w:rFonts w:ascii="Times New Roman" w:hAnsi="Times New Roman"/>
                <w:sz w:val="24"/>
              </w:rPr>
              <w:t xml:space="preserve"> v </w:t>
            </w:r>
            <w:r w:rsidRPr="00E07C9A">
              <w:rPr>
                <w:rFonts w:ascii="Times New Roman" w:hAnsi="Times New Roman"/>
                <w:sz w:val="24"/>
              </w:rPr>
              <w:t xml:space="preserve">článku 272 ods. 12 nariadenia (EÚ) </w:t>
            </w:r>
            <w:r w:rsidR="009912F8" w:rsidRPr="00E07C9A">
              <w:rPr>
                <w:rFonts w:ascii="Times New Roman" w:hAnsi="Times New Roman"/>
                <w:sz w:val="24"/>
              </w:rPr>
              <w:t>č. 575/2013</w:t>
            </w:r>
            <w:r w:rsidRPr="00E07C9A">
              <w:rPr>
                <w:rFonts w:ascii="Times New Roman" w:hAnsi="Times New Roman"/>
                <w:sz w:val="24"/>
              </w:rPr>
              <w:t xml:space="preserve">. </w:t>
            </w:r>
          </w:p>
        </w:tc>
      </w:tr>
      <w:tr w:rsidR="00595FAD" w:rsidRPr="00E07C9A" w14:paraId="41C6F45D" w14:textId="77777777" w:rsidTr="00FF15C6">
        <w:trPr>
          <w:trHeight w:val="680"/>
        </w:trPr>
        <w:tc>
          <w:tcPr>
            <w:tcW w:w="1384" w:type="dxa"/>
          </w:tcPr>
          <w:p w14:paraId="3E8E4C55" w14:textId="77777777" w:rsidR="00595FAD" w:rsidRPr="00E07C9A" w:rsidRDefault="00595FAD" w:rsidP="00FF15C6">
            <w:pPr>
              <w:pStyle w:val="Applicationdirecte"/>
              <w:spacing w:before="0" w:after="0"/>
            </w:pPr>
            <w:r w:rsidRPr="00E07C9A">
              <w:t>0050</w:t>
            </w:r>
          </w:p>
        </w:tc>
        <w:tc>
          <w:tcPr>
            <w:tcW w:w="7655" w:type="dxa"/>
            <w:vAlign w:val="center"/>
          </w:tcPr>
          <w:p w14:paraId="74133CC1" w14:textId="77777777" w:rsidR="00595FAD" w:rsidRPr="00E07C9A" w:rsidRDefault="00595FAD" w:rsidP="00FF15C6">
            <w:pPr>
              <w:keepNext/>
              <w:spacing w:before="60"/>
              <w:rPr>
                <w:rStyle w:val="InstructionsTabelleberschrift"/>
                <w:rFonts w:ascii="Times New Roman" w:hAnsi="Times New Roman"/>
                <w:sz w:val="24"/>
              </w:rPr>
            </w:pPr>
            <w:r w:rsidRPr="00E07C9A">
              <w:rPr>
                <w:rStyle w:val="InstructionsTabelleberschrift"/>
                <w:rFonts w:ascii="Times New Roman" w:hAnsi="Times New Roman"/>
                <w:sz w:val="24"/>
              </w:rPr>
              <w:t>SÚČASNÁ TRHOVÁ HODNOTA (CMV), ZÁPORNÁ</w:t>
            </w:r>
          </w:p>
          <w:p w14:paraId="210EBD30" w14:textId="25E429F1" w:rsidR="00595FAD" w:rsidRPr="00E07C9A" w:rsidRDefault="00595FAD" w:rsidP="00FF15C6">
            <w:pPr>
              <w:keepNext/>
              <w:spacing w:before="60"/>
              <w:rPr>
                <w:rFonts w:ascii="Times New Roman" w:hAnsi="Times New Roman"/>
                <w:sz w:val="24"/>
              </w:rPr>
            </w:pPr>
            <w:r w:rsidRPr="00E07C9A">
              <w:rPr>
                <w:rFonts w:ascii="Times New Roman" w:hAnsi="Times New Roman"/>
                <w:sz w:val="24"/>
              </w:rPr>
              <w:t xml:space="preserve">Článok 272 ods. 12 nariadenia (EÚ) </w:t>
            </w:r>
            <w:r w:rsidR="009912F8" w:rsidRPr="00E07C9A">
              <w:rPr>
                <w:rFonts w:ascii="Times New Roman" w:hAnsi="Times New Roman"/>
                <w:sz w:val="24"/>
              </w:rPr>
              <w:t>č. 575/2013</w:t>
            </w:r>
          </w:p>
          <w:p w14:paraId="4D7CA4B1" w14:textId="09FB99E0" w:rsidR="00595FAD" w:rsidRPr="00E07C9A" w:rsidRDefault="00595FAD" w:rsidP="00FF15C6">
            <w:pPr>
              <w:keepNext/>
              <w:spacing w:before="60"/>
              <w:rPr>
                <w:rStyle w:val="InstructionsTabelleberschrift"/>
                <w:rFonts w:ascii="Times New Roman" w:hAnsi="Times New Roman"/>
                <w:sz w:val="24"/>
              </w:rPr>
            </w:pPr>
            <w:r w:rsidRPr="00E07C9A">
              <w:rPr>
                <w:rFonts w:ascii="Times New Roman" w:hAnsi="Times New Roman"/>
                <w:sz w:val="24"/>
              </w:rPr>
              <w:t>Súčet absolútnych súčasných trhových hodnôt (CMV) všetkých súborov vzájomného započítavania so zápornou CMV</w:t>
            </w:r>
            <w:r w:rsidR="009912F8" w:rsidRPr="00E07C9A">
              <w:rPr>
                <w:rFonts w:ascii="Times New Roman" w:hAnsi="Times New Roman"/>
                <w:sz w:val="24"/>
              </w:rPr>
              <w:t xml:space="preserve"> v </w:t>
            </w:r>
            <w:r w:rsidRPr="00E07C9A">
              <w:rPr>
                <w:rFonts w:ascii="Times New Roman" w:hAnsi="Times New Roman"/>
                <w:sz w:val="24"/>
              </w:rPr>
              <w:t>zmysle vymedzenia</w:t>
            </w:r>
            <w:r w:rsidR="009912F8" w:rsidRPr="00E07C9A">
              <w:rPr>
                <w:rFonts w:ascii="Times New Roman" w:hAnsi="Times New Roman"/>
                <w:sz w:val="24"/>
              </w:rPr>
              <w:t xml:space="preserve"> v </w:t>
            </w:r>
            <w:r w:rsidRPr="00E07C9A">
              <w:rPr>
                <w:rFonts w:ascii="Times New Roman" w:hAnsi="Times New Roman"/>
                <w:sz w:val="24"/>
              </w:rPr>
              <w:t xml:space="preserve">článku 272 ods. 12 nariadenia (EÚ) </w:t>
            </w:r>
            <w:r w:rsidR="009912F8" w:rsidRPr="00E07C9A">
              <w:rPr>
                <w:rFonts w:ascii="Times New Roman" w:hAnsi="Times New Roman"/>
                <w:sz w:val="24"/>
              </w:rPr>
              <w:t>č. 575/2013</w:t>
            </w:r>
            <w:r w:rsidRPr="00E07C9A">
              <w:rPr>
                <w:rFonts w:ascii="Times New Roman" w:hAnsi="Times New Roman"/>
                <w:sz w:val="24"/>
              </w:rPr>
              <w:t>.</w:t>
            </w:r>
          </w:p>
        </w:tc>
      </w:tr>
      <w:tr w:rsidR="00595FAD" w:rsidRPr="00E07C9A" w14:paraId="4B814A0D" w14:textId="77777777" w:rsidTr="00FF15C6">
        <w:trPr>
          <w:trHeight w:val="680"/>
        </w:trPr>
        <w:tc>
          <w:tcPr>
            <w:tcW w:w="1384" w:type="dxa"/>
          </w:tcPr>
          <w:p w14:paraId="08997A5E" w14:textId="77777777" w:rsidR="00595FAD" w:rsidRPr="00E07C9A" w:rsidRDefault="00595FAD" w:rsidP="00FF15C6">
            <w:pPr>
              <w:pStyle w:val="Fait"/>
            </w:pPr>
            <w:r w:rsidRPr="00E07C9A">
              <w:t>0060</w:t>
            </w:r>
          </w:p>
        </w:tc>
        <w:tc>
          <w:tcPr>
            <w:tcW w:w="7655" w:type="dxa"/>
            <w:vAlign w:val="center"/>
          </w:tcPr>
          <w:p w14:paraId="02F80ED1" w14:textId="77777777" w:rsidR="00595FAD" w:rsidRPr="00E07C9A" w:rsidRDefault="00595FAD" w:rsidP="00FF15C6">
            <w:pPr>
              <w:keepNext/>
              <w:spacing w:before="60"/>
              <w:rPr>
                <w:rStyle w:val="InstructionsTabelleberschrift"/>
                <w:rFonts w:ascii="Times New Roman" w:hAnsi="Times New Roman"/>
                <w:b w:val="0"/>
                <w:bCs w:val="0"/>
                <w:sz w:val="24"/>
              </w:rPr>
            </w:pPr>
            <w:r w:rsidRPr="00E07C9A">
              <w:rPr>
                <w:rStyle w:val="InstructionsTabelleberschrift"/>
                <w:rFonts w:ascii="Times New Roman" w:hAnsi="Times New Roman"/>
                <w:sz w:val="24"/>
              </w:rPr>
              <w:t>VARIAČNÁ MARŽA (VM), PRIJATÁ</w:t>
            </w:r>
          </w:p>
          <w:p w14:paraId="015D10EA" w14:textId="15E4F9C2" w:rsidR="00595FAD" w:rsidRPr="00E07C9A" w:rsidRDefault="00595FAD" w:rsidP="00FF15C6">
            <w:pPr>
              <w:keepNext/>
              <w:spacing w:before="60"/>
              <w:rPr>
                <w:rFonts w:ascii="Times New Roman" w:hAnsi="Times New Roman"/>
                <w:sz w:val="24"/>
              </w:rPr>
            </w:pPr>
            <w:r w:rsidRPr="00E07C9A">
              <w:rPr>
                <w:rFonts w:ascii="Times New Roman" w:hAnsi="Times New Roman"/>
                <w:sz w:val="24"/>
              </w:rPr>
              <w:t>Článok 275 ods. 2, článok 275 ods. 3</w:t>
            </w:r>
            <w:r w:rsidR="009912F8" w:rsidRPr="00E07C9A">
              <w:rPr>
                <w:rFonts w:ascii="Times New Roman" w:hAnsi="Times New Roman"/>
                <w:sz w:val="24"/>
              </w:rPr>
              <w:t xml:space="preserve"> a </w:t>
            </w:r>
            <w:r w:rsidRPr="00E07C9A">
              <w:rPr>
                <w:rFonts w:ascii="Times New Roman" w:hAnsi="Times New Roman"/>
                <w:sz w:val="24"/>
              </w:rPr>
              <w:t xml:space="preserve">článok 276 nariadenia (EÚ) </w:t>
            </w:r>
            <w:r w:rsidR="009912F8" w:rsidRPr="00E07C9A">
              <w:rPr>
                <w:rFonts w:ascii="Times New Roman" w:hAnsi="Times New Roman"/>
                <w:sz w:val="24"/>
              </w:rPr>
              <w:t>č. 575/2013</w:t>
            </w:r>
          </w:p>
          <w:p w14:paraId="6A5EA232" w14:textId="3354B07E" w:rsidR="00595FAD" w:rsidRPr="00E07C9A" w:rsidRDefault="00595FAD" w:rsidP="00FF15C6">
            <w:pPr>
              <w:keepNext/>
              <w:spacing w:before="60"/>
              <w:rPr>
                <w:rFonts w:ascii="Times New Roman" w:hAnsi="Times New Roman"/>
                <w:sz w:val="24"/>
              </w:rPr>
            </w:pPr>
            <w:r w:rsidRPr="00E07C9A">
              <w:rPr>
                <w:rFonts w:ascii="Times New Roman" w:hAnsi="Times New Roman"/>
                <w:sz w:val="24"/>
              </w:rPr>
              <w:t>Súčet hodnôt variačnej marže (VM) všetkých dohôd</w:t>
            </w:r>
            <w:r w:rsidR="009912F8" w:rsidRPr="00E07C9A">
              <w:rPr>
                <w:rFonts w:ascii="Times New Roman" w:hAnsi="Times New Roman"/>
                <w:sz w:val="24"/>
              </w:rPr>
              <w:t xml:space="preserve"> o </w:t>
            </w:r>
            <w:r w:rsidRPr="00E07C9A">
              <w:rPr>
                <w:rFonts w:ascii="Times New Roman" w:hAnsi="Times New Roman"/>
                <w:sz w:val="24"/>
              </w:rPr>
              <w:t>dozabezpečení,</w:t>
            </w:r>
            <w:r w:rsidR="009912F8" w:rsidRPr="00E07C9A">
              <w:rPr>
                <w:rFonts w:ascii="Times New Roman" w:hAnsi="Times New Roman"/>
                <w:sz w:val="24"/>
              </w:rPr>
              <w:t xml:space="preserve"> v </w:t>
            </w:r>
            <w:r w:rsidRPr="00E07C9A">
              <w:rPr>
                <w:rFonts w:ascii="Times New Roman" w:hAnsi="Times New Roman"/>
                <w:sz w:val="24"/>
              </w:rPr>
              <w:t>súvislosti</w:t>
            </w:r>
            <w:r w:rsidR="009912F8" w:rsidRPr="00E07C9A">
              <w:rPr>
                <w:rFonts w:ascii="Times New Roman" w:hAnsi="Times New Roman"/>
                <w:sz w:val="24"/>
              </w:rPr>
              <w:t xml:space="preserve"> s </w:t>
            </w:r>
            <w:r w:rsidRPr="00E07C9A">
              <w:rPr>
                <w:rFonts w:ascii="Times New Roman" w:hAnsi="Times New Roman"/>
                <w:sz w:val="24"/>
              </w:rPr>
              <w:t>ktorými sa VM prijíma, vypočítaný</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276 nariadenia (EÚ) </w:t>
            </w:r>
            <w:r w:rsidR="009912F8" w:rsidRPr="00E07C9A">
              <w:rPr>
                <w:rFonts w:ascii="Times New Roman" w:hAnsi="Times New Roman"/>
                <w:sz w:val="24"/>
              </w:rPr>
              <w:t>č. 575/2013</w:t>
            </w:r>
            <w:r w:rsidRPr="00E07C9A">
              <w:rPr>
                <w:rFonts w:ascii="Times New Roman" w:hAnsi="Times New Roman"/>
                <w:sz w:val="24"/>
              </w:rPr>
              <w:t>.</w:t>
            </w:r>
          </w:p>
        </w:tc>
      </w:tr>
      <w:tr w:rsidR="00595FAD" w:rsidRPr="00E07C9A" w14:paraId="4EB29CE1" w14:textId="77777777" w:rsidTr="00FF15C6">
        <w:trPr>
          <w:trHeight w:val="680"/>
        </w:trPr>
        <w:tc>
          <w:tcPr>
            <w:tcW w:w="1384" w:type="dxa"/>
          </w:tcPr>
          <w:p w14:paraId="3A029F0D" w14:textId="77777777" w:rsidR="00595FAD" w:rsidRPr="00E07C9A" w:rsidRDefault="00595FAD" w:rsidP="00FF15C6">
            <w:pPr>
              <w:pStyle w:val="Fait"/>
            </w:pPr>
            <w:r w:rsidRPr="00E07C9A">
              <w:t>0070</w:t>
            </w:r>
          </w:p>
        </w:tc>
        <w:tc>
          <w:tcPr>
            <w:tcW w:w="7655" w:type="dxa"/>
            <w:vAlign w:val="center"/>
          </w:tcPr>
          <w:p w14:paraId="119C96C2" w14:textId="08DBE497" w:rsidR="00595FAD" w:rsidRPr="00E07C9A" w:rsidRDefault="00595FAD" w:rsidP="00FF15C6">
            <w:pPr>
              <w:keepNext/>
              <w:spacing w:before="60"/>
              <w:rPr>
                <w:rStyle w:val="InstructionsTabelleberschrift"/>
                <w:rFonts w:ascii="Times New Roman" w:hAnsi="Times New Roman"/>
                <w:b w:val="0"/>
                <w:bCs w:val="0"/>
                <w:sz w:val="24"/>
              </w:rPr>
            </w:pPr>
            <w:r w:rsidRPr="00E07C9A">
              <w:rPr>
                <w:rStyle w:val="InstructionsTabelleberschrift"/>
                <w:rFonts w:ascii="Times New Roman" w:hAnsi="Times New Roman"/>
                <w:sz w:val="24"/>
              </w:rPr>
              <w:t>VARIAČNÁ MARŽA (VM), POSKYTNUTÁ</w:t>
            </w:r>
          </w:p>
          <w:p w14:paraId="3F504C92" w14:textId="4A71CA88" w:rsidR="00595FAD" w:rsidRPr="00E07C9A" w:rsidRDefault="00595FAD" w:rsidP="00FF15C6">
            <w:pPr>
              <w:keepNext/>
              <w:spacing w:before="60"/>
              <w:rPr>
                <w:rFonts w:ascii="Times New Roman" w:hAnsi="Times New Roman"/>
                <w:sz w:val="24"/>
              </w:rPr>
            </w:pPr>
            <w:r w:rsidRPr="00E07C9A">
              <w:rPr>
                <w:rFonts w:ascii="Times New Roman" w:hAnsi="Times New Roman"/>
                <w:sz w:val="24"/>
              </w:rPr>
              <w:t>Článok 275 ods. 2, článok 275 ods. 3</w:t>
            </w:r>
            <w:r w:rsidR="009912F8" w:rsidRPr="00E07C9A">
              <w:rPr>
                <w:rFonts w:ascii="Times New Roman" w:hAnsi="Times New Roman"/>
                <w:sz w:val="24"/>
              </w:rPr>
              <w:t xml:space="preserve"> a </w:t>
            </w:r>
            <w:r w:rsidRPr="00E07C9A">
              <w:rPr>
                <w:rFonts w:ascii="Times New Roman" w:hAnsi="Times New Roman"/>
                <w:sz w:val="24"/>
              </w:rPr>
              <w:t xml:space="preserve">článok 276 nariadenia (EÚ) </w:t>
            </w:r>
            <w:r w:rsidR="009912F8" w:rsidRPr="00E07C9A">
              <w:rPr>
                <w:rFonts w:ascii="Times New Roman" w:hAnsi="Times New Roman"/>
                <w:sz w:val="24"/>
              </w:rPr>
              <w:t>č. 575/2013</w:t>
            </w:r>
          </w:p>
          <w:p w14:paraId="06964A72" w14:textId="11921DFC" w:rsidR="00595FAD" w:rsidRPr="00E07C9A" w:rsidRDefault="00595FAD" w:rsidP="007063EE">
            <w:pPr>
              <w:keepNext/>
              <w:spacing w:before="60"/>
              <w:rPr>
                <w:rStyle w:val="InstructionsTabelleberschrift"/>
                <w:rFonts w:ascii="Times New Roman" w:hAnsi="Times New Roman"/>
                <w:sz w:val="24"/>
              </w:rPr>
            </w:pPr>
            <w:r w:rsidRPr="00E07C9A">
              <w:rPr>
                <w:rFonts w:ascii="Times New Roman" w:hAnsi="Times New Roman"/>
                <w:sz w:val="24"/>
              </w:rPr>
              <w:t>Súčet hodnôt variačnej marže (VM) všetkých dohôd</w:t>
            </w:r>
            <w:r w:rsidR="009912F8" w:rsidRPr="00E07C9A">
              <w:rPr>
                <w:rFonts w:ascii="Times New Roman" w:hAnsi="Times New Roman"/>
                <w:sz w:val="24"/>
              </w:rPr>
              <w:t xml:space="preserve"> o </w:t>
            </w:r>
            <w:r w:rsidRPr="00E07C9A">
              <w:rPr>
                <w:rFonts w:ascii="Times New Roman" w:hAnsi="Times New Roman"/>
                <w:sz w:val="24"/>
              </w:rPr>
              <w:t>dozabezpečení,</w:t>
            </w:r>
            <w:r w:rsidR="009912F8" w:rsidRPr="00E07C9A">
              <w:rPr>
                <w:rFonts w:ascii="Times New Roman" w:hAnsi="Times New Roman"/>
                <w:sz w:val="24"/>
              </w:rPr>
              <w:t xml:space="preserve"> v </w:t>
            </w:r>
            <w:r w:rsidRPr="00E07C9A">
              <w:rPr>
                <w:rFonts w:ascii="Times New Roman" w:hAnsi="Times New Roman"/>
                <w:sz w:val="24"/>
              </w:rPr>
              <w:t>súvislosti</w:t>
            </w:r>
            <w:r w:rsidR="009912F8" w:rsidRPr="00E07C9A">
              <w:rPr>
                <w:rFonts w:ascii="Times New Roman" w:hAnsi="Times New Roman"/>
                <w:sz w:val="24"/>
              </w:rPr>
              <w:t xml:space="preserve"> s </w:t>
            </w:r>
            <w:r w:rsidRPr="00E07C9A">
              <w:rPr>
                <w:rFonts w:ascii="Times New Roman" w:hAnsi="Times New Roman"/>
                <w:sz w:val="24"/>
              </w:rPr>
              <w:t>ktorými sa VM poskytuje, vypočítaný</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276 nariadenia (EÚ) </w:t>
            </w:r>
            <w:r w:rsidR="009912F8" w:rsidRPr="00E07C9A">
              <w:rPr>
                <w:rFonts w:ascii="Times New Roman" w:hAnsi="Times New Roman"/>
                <w:sz w:val="24"/>
              </w:rPr>
              <w:t>č. 575/2013</w:t>
            </w:r>
            <w:r w:rsidRPr="00E07C9A">
              <w:rPr>
                <w:rFonts w:ascii="Times New Roman" w:hAnsi="Times New Roman"/>
                <w:sz w:val="24"/>
              </w:rPr>
              <w:t>.</w:t>
            </w:r>
          </w:p>
        </w:tc>
      </w:tr>
      <w:tr w:rsidR="00595FAD" w:rsidRPr="00E07C9A" w14:paraId="168B9A74" w14:textId="77777777" w:rsidTr="00FF15C6">
        <w:trPr>
          <w:trHeight w:val="680"/>
        </w:trPr>
        <w:tc>
          <w:tcPr>
            <w:tcW w:w="1384" w:type="dxa"/>
          </w:tcPr>
          <w:p w14:paraId="353936AF" w14:textId="77777777" w:rsidR="00595FAD" w:rsidRPr="00E07C9A" w:rsidRDefault="00595FAD" w:rsidP="00FF15C6">
            <w:pPr>
              <w:pStyle w:val="Applicationdirecte"/>
              <w:spacing w:before="0" w:after="0"/>
            </w:pPr>
            <w:r w:rsidRPr="00E07C9A">
              <w:t>0080</w:t>
            </w:r>
          </w:p>
        </w:tc>
        <w:tc>
          <w:tcPr>
            <w:tcW w:w="7655" w:type="dxa"/>
            <w:vAlign w:val="center"/>
          </w:tcPr>
          <w:p w14:paraId="504D5191" w14:textId="77777777" w:rsidR="009912F8" w:rsidRPr="00E07C9A" w:rsidRDefault="00595FAD" w:rsidP="00FF15C6">
            <w:pPr>
              <w:spacing w:before="60"/>
              <w:rPr>
                <w:rStyle w:val="InstructionsTabelleberschrift"/>
                <w:rFonts w:ascii="Times New Roman" w:hAnsi="Times New Roman"/>
                <w:sz w:val="24"/>
              </w:rPr>
            </w:pPr>
            <w:r w:rsidRPr="00E07C9A">
              <w:rPr>
                <w:rStyle w:val="InstructionsTabelleberschrift"/>
                <w:rFonts w:ascii="Times New Roman" w:hAnsi="Times New Roman"/>
                <w:sz w:val="24"/>
              </w:rPr>
              <w:t>ČISTÁ SUMA NEZÁVISLÉHO KOLATERÁLU (NICA), PRIJATÁ</w:t>
            </w:r>
          </w:p>
          <w:p w14:paraId="165A1C24" w14:textId="46826B1F" w:rsidR="00595FAD" w:rsidRPr="00E07C9A" w:rsidRDefault="00595FAD" w:rsidP="00FF15C6">
            <w:pPr>
              <w:keepNext/>
              <w:spacing w:before="60"/>
              <w:rPr>
                <w:rFonts w:ascii="Times New Roman" w:hAnsi="Times New Roman"/>
                <w:sz w:val="24"/>
              </w:rPr>
            </w:pPr>
            <w:r w:rsidRPr="00E07C9A">
              <w:rPr>
                <w:rFonts w:ascii="Times New Roman" w:hAnsi="Times New Roman"/>
                <w:sz w:val="24"/>
              </w:rPr>
              <w:t>Článok 272 ods. 12a, článok 275 ods. 3</w:t>
            </w:r>
            <w:r w:rsidR="009912F8" w:rsidRPr="00E07C9A">
              <w:rPr>
                <w:rFonts w:ascii="Times New Roman" w:hAnsi="Times New Roman"/>
                <w:sz w:val="24"/>
              </w:rPr>
              <w:t xml:space="preserve"> a </w:t>
            </w:r>
            <w:r w:rsidRPr="00E07C9A">
              <w:rPr>
                <w:rFonts w:ascii="Times New Roman" w:hAnsi="Times New Roman"/>
                <w:sz w:val="24"/>
              </w:rPr>
              <w:t xml:space="preserve">článok 276 nariadenia (EÚ) </w:t>
            </w:r>
            <w:r w:rsidR="009912F8" w:rsidRPr="00E07C9A">
              <w:rPr>
                <w:rFonts w:ascii="Times New Roman" w:hAnsi="Times New Roman"/>
                <w:sz w:val="24"/>
              </w:rPr>
              <w:t>č. 575/2013</w:t>
            </w:r>
          </w:p>
          <w:p w14:paraId="19F63CEA" w14:textId="03A23D82" w:rsidR="00595FAD" w:rsidRPr="00E07C9A" w:rsidRDefault="00595FAD" w:rsidP="00FF15C6">
            <w:pPr>
              <w:keepNext/>
              <w:spacing w:before="60"/>
              <w:rPr>
                <w:rFonts w:ascii="Times New Roman" w:hAnsi="Times New Roman"/>
                <w:sz w:val="24"/>
              </w:rPr>
            </w:pPr>
            <w:r w:rsidRPr="00E07C9A">
              <w:rPr>
                <w:rFonts w:ascii="Times New Roman" w:hAnsi="Times New Roman"/>
                <w:sz w:val="24"/>
              </w:rPr>
              <w:t>Súčet čistých súm nezávislého kolaterálu (NICA) všetkých dohôd</w:t>
            </w:r>
            <w:r w:rsidR="009912F8" w:rsidRPr="00E07C9A">
              <w:rPr>
                <w:rFonts w:ascii="Times New Roman" w:hAnsi="Times New Roman"/>
                <w:sz w:val="24"/>
              </w:rPr>
              <w:t xml:space="preserve"> o </w:t>
            </w:r>
            <w:r w:rsidRPr="00E07C9A">
              <w:rPr>
                <w:rFonts w:ascii="Times New Roman" w:hAnsi="Times New Roman"/>
                <w:sz w:val="24"/>
              </w:rPr>
              <w:t>dozabezpečení,</w:t>
            </w:r>
            <w:r w:rsidR="009912F8" w:rsidRPr="00E07C9A">
              <w:rPr>
                <w:rFonts w:ascii="Times New Roman" w:hAnsi="Times New Roman"/>
                <w:sz w:val="24"/>
              </w:rPr>
              <w:t xml:space="preserve"> v </w:t>
            </w:r>
            <w:r w:rsidRPr="00E07C9A">
              <w:rPr>
                <w:rFonts w:ascii="Times New Roman" w:hAnsi="Times New Roman"/>
                <w:sz w:val="24"/>
              </w:rPr>
              <w:t>súvislosti</w:t>
            </w:r>
            <w:r w:rsidR="009912F8" w:rsidRPr="00E07C9A">
              <w:rPr>
                <w:rFonts w:ascii="Times New Roman" w:hAnsi="Times New Roman"/>
                <w:sz w:val="24"/>
              </w:rPr>
              <w:t xml:space="preserve"> s </w:t>
            </w:r>
            <w:r w:rsidRPr="00E07C9A">
              <w:rPr>
                <w:rFonts w:ascii="Times New Roman" w:hAnsi="Times New Roman"/>
                <w:sz w:val="24"/>
              </w:rPr>
              <w:t>ktorými sa NICA prijíma, vypočítaný</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276 nariadenia (EÚ) </w:t>
            </w:r>
            <w:r w:rsidR="009912F8" w:rsidRPr="00E07C9A">
              <w:rPr>
                <w:rFonts w:ascii="Times New Roman" w:hAnsi="Times New Roman"/>
                <w:sz w:val="24"/>
              </w:rPr>
              <w:t>č. 575/2013</w:t>
            </w:r>
            <w:r w:rsidRPr="00E07C9A">
              <w:rPr>
                <w:rFonts w:ascii="Times New Roman" w:hAnsi="Times New Roman"/>
                <w:sz w:val="24"/>
              </w:rPr>
              <w:t>.</w:t>
            </w:r>
          </w:p>
        </w:tc>
      </w:tr>
      <w:tr w:rsidR="00595FAD" w:rsidRPr="00E07C9A" w14:paraId="08148A5D" w14:textId="77777777" w:rsidTr="00FF15C6">
        <w:trPr>
          <w:trHeight w:val="680"/>
        </w:trPr>
        <w:tc>
          <w:tcPr>
            <w:tcW w:w="1384" w:type="dxa"/>
          </w:tcPr>
          <w:p w14:paraId="04B10586" w14:textId="77777777" w:rsidR="00595FAD" w:rsidRPr="00E07C9A" w:rsidRDefault="00595FAD" w:rsidP="00FF15C6">
            <w:pPr>
              <w:pStyle w:val="Applicationdirecte"/>
              <w:spacing w:before="0" w:after="0"/>
            </w:pPr>
            <w:r w:rsidRPr="00E07C9A">
              <w:t>0090</w:t>
            </w:r>
          </w:p>
        </w:tc>
        <w:tc>
          <w:tcPr>
            <w:tcW w:w="7655" w:type="dxa"/>
            <w:vAlign w:val="center"/>
          </w:tcPr>
          <w:p w14:paraId="2C127522" w14:textId="77777777" w:rsidR="009912F8" w:rsidRPr="00E07C9A" w:rsidRDefault="00595FAD" w:rsidP="00FF15C6">
            <w:pPr>
              <w:spacing w:before="60"/>
              <w:rPr>
                <w:rStyle w:val="InstructionsTabelleberschrift"/>
                <w:rFonts w:ascii="Times New Roman" w:hAnsi="Times New Roman"/>
                <w:sz w:val="24"/>
              </w:rPr>
            </w:pPr>
            <w:r w:rsidRPr="00E07C9A">
              <w:rPr>
                <w:rStyle w:val="InstructionsTabelleberschrift"/>
                <w:rFonts w:ascii="Times New Roman" w:hAnsi="Times New Roman"/>
                <w:sz w:val="24"/>
              </w:rPr>
              <w:t>ČISTÁ SUMA NEZÁVISLÉHO KOLATERÁLU (NICA), POSKYTNUTÁ</w:t>
            </w:r>
          </w:p>
          <w:p w14:paraId="6CA198FD" w14:textId="62E0717F" w:rsidR="00595FAD" w:rsidRPr="00E07C9A" w:rsidRDefault="00595FAD" w:rsidP="00FF15C6">
            <w:pPr>
              <w:keepNext/>
              <w:spacing w:before="60"/>
              <w:rPr>
                <w:rFonts w:ascii="Times New Roman" w:hAnsi="Times New Roman"/>
                <w:sz w:val="24"/>
              </w:rPr>
            </w:pPr>
            <w:r w:rsidRPr="00E07C9A">
              <w:rPr>
                <w:rFonts w:ascii="Times New Roman" w:hAnsi="Times New Roman"/>
                <w:sz w:val="24"/>
              </w:rPr>
              <w:t>Článok 272 ods. 12a, článok 275 ods. 3</w:t>
            </w:r>
            <w:r w:rsidR="009912F8" w:rsidRPr="00E07C9A">
              <w:rPr>
                <w:rFonts w:ascii="Times New Roman" w:hAnsi="Times New Roman"/>
                <w:sz w:val="24"/>
              </w:rPr>
              <w:t xml:space="preserve"> a </w:t>
            </w:r>
            <w:r w:rsidRPr="00E07C9A">
              <w:rPr>
                <w:rFonts w:ascii="Times New Roman" w:hAnsi="Times New Roman"/>
                <w:sz w:val="24"/>
              </w:rPr>
              <w:t xml:space="preserve">článok 276 nariadenia (EÚ) </w:t>
            </w:r>
            <w:r w:rsidR="009912F8" w:rsidRPr="00E07C9A">
              <w:rPr>
                <w:rFonts w:ascii="Times New Roman" w:hAnsi="Times New Roman"/>
                <w:sz w:val="24"/>
              </w:rPr>
              <w:t>č. 575/2013</w:t>
            </w:r>
          </w:p>
          <w:p w14:paraId="0E770C03" w14:textId="5B0B795B" w:rsidR="00595FAD" w:rsidRPr="00E07C9A" w:rsidRDefault="00595FAD" w:rsidP="00FF15C6">
            <w:pPr>
              <w:spacing w:before="60"/>
              <w:rPr>
                <w:rStyle w:val="InstructionsTabelleberschrift"/>
                <w:rFonts w:ascii="Times New Roman" w:hAnsi="Times New Roman"/>
                <w:sz w:val="24"/>
              </w:rPr>
            </w:pPr>
            <w:r w:rsidRPr="00E07C9A">
              <w:rPr>
                <w:rFonts w:ascii="Times New Roman" w:hAnsi="Times New Roman"/>
                <w:sz w:val="24"/>
              </w:rPr>
              <w:t>Súčet čistých súm nezávislého kolaterálu (NICA) všetkých dohôd</w:t>
            </w:r>
            <w:r w:rsidR="009912F8" w:rsidRPr="00E07C9A">
              <w:rPr>
                <w:rFonts w:ascii="Times New Roman" w:hAnsi="Times New Roman"/>
                <w:sz w:val="24"/>
              </w:rPr>
              <w:t xml:space="preserve"> o </w:t>
            </w:r>
            <w:r w:rsidRPr="00E07C9A">
              <w:rPr>
                <w:rFonts w:ascii="Times New Roman" w:hAnsi="Times New Roman"/>
                <w:sz w:val="24"/>
              </w:rPr>
              <w:t>dozabezpečení,</w:t>
            </w:r>
            <w:r w:rsidR="009912F8" w:rsidRPr="00E07C9A">
              <w:rPr>
                <w:rFonts w:ascii="Times New Roman" w:hAnsi="Times New Roman"/>
                <w:sz w:val="24"/>
              </w:rPr>
              <w:t xml:space="preserve"> v </w:t>
            </w:r>
            <w:r w:rsidRPr="00E07C9A">
              <w:rPr>
                <w:rFonts w:ascii="Times New Roman" w:hAnsi="Times New Roman"/>
                <w:sz w:val="24"/>
              </w:rPr>
              <w:t>súvislosti</w:t>
            </w:r>
            <w:r w:rsidR="009912F8" w:rsidRPr="00E07C9A">
              <w:rPr>
                <w:rFonts w:ascii="Times New Roman" w:hAnsi="Times New Roman"/>
                <w:sz w:val="24"/>
              </w:rPr>
              <w:t xml:space="preserve"> s </w:t>
            </w:r>
            <w:r w:rsidRPr="00E07C9A">
              <w:rPr>
                <w:rFonts w:ascii="Times New Roman" w:hAnsi="Times New Roman"/>
                <w:sz w:val="24"/>
              </w:rPr>
              <w:t>ktorými sa NICA poskytuje, vypočítaný</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276 nariadenia (EÚ) </w:t>
            </w:r>
            <w:r w:rsidR="009912F8" w:rsidRPr="00E07C9A">
              <w:rPr>
                <w:rFonts w:ascii="Times New Roman" w:hAnsi="Times New Roman"/>
                <w:sz w:val="24"/>
              </w:rPr>
              <w:t>č. 575/2013</w:t>
            </w:r>
            <w:r w:rsidRPr="00E07C9A">
              <w:rPr>
                <w:rFonts w:ascii="Times New Roman" w:hAnsi="Times New Roman"/>
                <w:sz w:val="24"/>
              </w:rPr>
              <w:t>.</w:t>
            </w:r>
          </w:p>
        </w:tc>
      </w:tr>
      <w:tr w:rsidR="00595FAD" w:rsidRPr="00E07C9A" w14:paraId="30EE55EC" w14:textId="77777777" w:rsidTr="00FF15C6">
        <w:trPr>
          <w:trHeight w:val="680"/>
        </w:trPr>
        <w:tc>
          <w:tcPr>
            <w:tcW w:w="1384" w:type="dxa"/>
          </w:tcPr>
          <w:p w14:paraId="170CB8E7" w14:textId="77777777" w:rsidR="00595FAD" w:rsidRPr="00E07C9A" w:rsidRDefault="00595FAD" w:rsidP="00FF15C6">
            <w:pPr>
              <w:pStyle w:val="Applicationdirecte"/>
              <w:spacing w:before="0" w:after="0"/>
            </w:pPr>
            <w:r w:rsidRPr="00E07C9A">
              <w:t>0100</w:t>
            </w:r>
          </w:p>
        </w:tc>
        <w:tc>
          <w:tcPr>
            <w:tcW w:w="7655" w:type="dxa"/>
            <w:vAlign w:val="center"/>
          </w:tcPr>
          <w:p w14:paraId="1B9887B3" w14:textId="77777777" w:rsidR="009912F8" w:rsidRPr="00E07C9A" w:rsidRDefault="00595FAD" w:rsidP="00FF15C6">
            <w:pPr>
              <w:spacing w:before="60"/>
              <w:rPr>
                <w:rStyle w:val="InstructionsTabelleberschrift"/>
                <w:rFonts w:ascii="Times New Roman" w:hAnsi="Times New Roman"/>
                <w:sz w:val="24"/>
              </w:rPr>
            </w:pPr>
            <w:r w:rsidRPr="00E07C9A">
              <w:rPr>
                <w:rStyle w:val="InstructionsTabelleberschrift"/>
                <w:rFonts w:ascii="Times New Roman" w:hAnsi="Times New Roman"/>
                <w:sz w:val="24"/>
              </w:rPr>
              <w:t>REPRODUKČNÉ NÁKLADY (RC)</w:t>
            </w:r>
          </w:p>
          <w:p w14:paraId="4518A585" w14:textId="2227E134" w:rsidR="00595FAD" w:rsidRPr="00E07C9A" w:rsidRDefault="00595FAD" w:rsidP="00FF15C6">
            <w:pPr>
              <w:spacing w:before="60"/>
              <w:rPr>
                <w:rFonts w:ascii="Times New Roman" w:eastAsia="Calibri" w:hAnsi="Times New Roman"/>
                <w:sz w:val="24"/>
              </w:rPr>
            </w:pPr>
            <w:r w:rsidRPr="00E07C9A">
              <w:rPr>
                <w:rFonts w:ascii="Times New Roman" w:hAnsi="Times New Roman"/>
                <w:sz w:val="24"/>
              </w:rPr>
              <w:t>Články 275, 281</w:t>
            </w:r>
            <w:r w:rsidR="009912F8" w:rsidRPr="00E07C9A">
              <w:rPr>
                <w:rFonts w:ascii="Times New Roman" w:hAnsi="Times New Roman"/>
                <w:sz w:val="24"/>
              </w:rPr>
              <w:t xml:space="preserve"> a </w:t>
            </w:r>
            <w:r w:rsidRPr="00E07C9A">
              <w:rPr>
                <w:rFonts w:ascii="Times New Roman" w:hAnsi="Times New Roman"/>
                <w:sz w:val="24"/>
              </w:rPr>
              <w:t xml:space="preserve">282 nariadenia (EÚ) </w:t>
            </w:r>
            <w:r w:rsidR="009912F8" w:rsidRPr="00E07C9A">
              <w:rPr>
                <w:rFonts w:ascii="Times New Roman" w:hAnsi="Times New Roman"/>
                <w:sz w:val="24"/>
              </w:rPr>
              <w:t>č. 575/2013</w:t>
            </w:r>
          </w:p>
          <w:p w14:paraId="690C94FC" w14:textId="1DCD3753" w:rsidR="009912F8" w:rsidRPr="00E07C9A" w:rsidRDefault="00595FAD" w:rsidP="00FF15C6">
            <w:pPr>
              <w:pStyle w:val="TableMainHeading"/>
              <w:spacing w:before="0" w:after="0"/>
              <w:jc w:val="both"/>
              <w:rPr>
                <w:rFonts w:ascii="Times New Roman" w:hAnsi="Times New Roman"/>
                <w:sz w:val="24"/>
              </w:rPr>
            </w:pPr>
            <w:r w:rsidRPr="00E07C9A">
              <w:rPr>
                <w:rFonts w:ascii="Times New Roman" w:hAnsi="Times New Roman"/>
                <w:sz w:val="24"/>
              </w:rPr>
              <w:t>Reprodukčné náklady (RC) súboru vzájomného započítavania sa vypočítavajú</w:t>
            </w:r>
            <w:r w:rsidR="009912F8" w:rsidRPr="00E07C9A">
              <w:rPr>
                <w:rFonts w:ascii="Times New Roman" w:hAnsi="Times New Roman"/>
                <w:sz w:val="24"/>
              </w:rPr>
              <w:t xml:space="preserve"> v </w:t>
            </w:r>
            <w:r w:rsidRPr="00E07C9A">
              <w:rPr>
                <w:rFonts w:ascii="Times New Roman" w:hAnsi="Times New Roman"/>
                <w:sz w:val="24"/>
              </w:rPr>
              <w:t>súlade s</w:t>
            </w:r>
            <w:r w:rsidR="009912F8" w:rsidRPr="00E07C9A">
              <w:rPr>
                <w:rFonts w:ascii="Times New Roman" w:hAnsi="Times New Roman"/>
                <w:sz w:val="24"/>
              </w:rPr>
              <w:t>:</w:t>
            </w:r>
          </w:p>
          <w:p w14:paraId="54FAFCFA" w14:textId="231C983B" w:rsidR="009912F8" w:rsidRPr="00E07C9A" w:rsidRDefault="00595FAD" w:rsidP="00FF15C6">
            <w:pPr>
              <w:spacing w:before="60"/>
              <w:rPr>
                <w:rFonts w:ascii="Times New Roman" w:hAnsi="Times New Roman"/>
                <w:sz w:val="24"/>
              </w:rPr>
            </w:pPr>
            <w:r w:rsidRPr="00E07C9A">
              <w:rPr>
                <w:rFonts w:ascii="Times New Roman" w:hAnsi="Times New Roman"/>
                <w:sz w:val="24"/>
              </w:rPr>
              <w:t xml:space="preserve">– článkom 282 ods. 3 nariadenia (EÚ) </w:t>
            </w:r>
            <w:r w:rsidR="009912F8" w:rsidRPr="00E07C9A">
              <w:rPr>
                <w:rFonts w:ascii="Times New Roman" w:hAnsi="Times New Roman"/>
                <w:sz w:val="24"/>
              </w:rPr>
              <w:t>č. 575/2013</w:t>
            </w:r>
            <w:r w:rsidRPr="00E07C9A">
              <w:rPr>
                <w:rFonts w:ascii="Times New Roman" w:hAnsi="Times New Roman"/>
                <w:sz w:val="24"/>
              </w:rPr>
              <w:t>, pokiaľ ide</w:t>
            </w:r>
            <w:r w:rsidR="009912F8" w:rsidRPr="00E07C9A">
              <w:rPr>
                <w:rFonts w:ascii="Times New Roman" w:hAnsi="Times New Roman"/>
                <w:sz w:val="24"/>
              </w:rPr>
              <w:t xml:space="preserve"> o </w:t>
            </w:r>
            <w:r w:rsidRPr="00E07C9A">
              <w:rPr>
                <w:rFonts w:ascii="Times New Roman" w:hAnsi="Times New Roman"/>
                <w:sz w:val="24"/>
              </w:rPr>
              <w:t>metódu pôvodnej expozície,</w:t>
            </w:r>
          </w:p>
          <w:p w14:paraId="01ACA879" w14:textId="3A2A3651" w:rsidR="00595FAD" w:rsidRPr="00E07C9A" w:rsidRDefault="00595FAD" w:rsidP="00FF15C6">
            <w:pPr>
              <w:spacing w:before="60"/>
              <w:rPr>
                <w:rFonts w:ascii="Times New Roman" w:hAnsi="Times New Roman"/>
                <w:sz w:val="24"/>
              </w:rPr>
            </w:pPr>
            <w:r w:rsidRPr="00E07C9A">
              <w:rPr>
                <w:rFonts w:ascii="Times New Roman" w:hAnsi="Times New Roman"/>
                <w:sz w:val="24"/>
              </w:rPr>
              <w:t xml:space="preserve">– článkom 281 nariadenia (EÚ) </w:t>
            </w:r>
            <w:r w:rsidR="009912F8" w:rsidRPr="00E07C9A">
              <w:rPr>
                <w:rFonts w:ascii="Times New Roman" w:hAnsi="Times New Roman"/>
                <w:sz w:val="24"/>
              </w:rPr>
              <w:t>č. 575/2013</w:t>
            </w:r>
            <w:r w:rsidRPr="00E07C9A">
              <w:rPr>
                <w:rFonts w:ascii="Times New Roman" w:hAnsi="Times New Roman"/>
                <w:sz w:val="24"/>
              </w:rPr>
              <w:t>, pokiaľ ide</w:t>
            </w:r>
            <w:r w:rsidR="009912F8" w:rsidRPr="00E07C9A">
              <w:rPr>
                <w:rFonts w:ascii="Times New Roman" w:hAnsi="Times New Roman"/>
                <w:sz w:val="24"/>
              </w:rPr>
              <w:t xml:space="preserve"> o </w:t>
            </w:r>
            <w:r w:rsidRPr="00E07C9A">
              <w:rPr>
                <w:rFonts w:ascii="Times New Roman" w:hAnsi="Times New Roman"/>
                <w:sz w:val="24"/>
              </w:rPr>
              <w:t>zjednodušený prístup SA-CCR,</w:t>
            </w:r>
          </w:p>
          <w:p w14:paraId="57C7E24D" w14:textId="47AA1227" w:rsidR="00595FAD" w:rsidRPr="00E07C9A" w:rsidRDefault="00595FAD" w:rsidP="00FF15C6">
            <w:pPr>
              <w:spacing w:before="60"/>
              <w:rPr>
                <w:rFonts w:ascii="Times New Roman" w:hAnsi="Times New Roman"/>
                <w:sz w:val="24"/>
              </w:rPr>
            </w:pPr>
            <w:r w:rsidRPr="00E07C9A">
              <w:rPr>
                <w:rFonts w:ascii="Times New Roman" w:hAnsi="Times New Roman"/>
                <w:sz w:val="24"/>
              </w:rPr>
              <w:t xml:space="preserve">– článkom 275 nariadenia (EÚ) </w:t>
            </w:r>
            <w:r w:rsidR="009912F8" w:rsidRPr="00E07C9A">
              <w:rPr>
                <w:rFonts w:ascii="Times New Roman" w:hAnsi="Times New Roman"/>
                <w:sz w:val="24"/>
              </w:rPr>
              <w:t>č. 575/2013</w:t>
            </w:r>
            <w:r w:rsidRPr="00E07C9A">
              <w:rPr>
                <w:rFonts w:ascii="Times New Roman" w:hAnsi="Times New Roman"/>
                <w:sz w:val="24"/>
              </w:rPr>
              <w:t>, pokiaľ ide</w:t>
            </w:r>
            <w:r w:rsidR="009912F8" w:rsidRPr="00E07C9A">
              <w:rPr>
                <w:rFonts w:ascii="Times New Roman" w:hAnsi="Times New Roman"/>
                <w:sz w:val="24"/>
              </w:rPr>
              <w:t xml:space="preserve"> o </w:t>
            </w:r>
            <w:r w:rsidRPr="00E07C9A">
              <w:rPr>
                <w:rFonts w:ascii="Times New Roman" w:hAnsi="Times New Roman"/>
                <w:sz w:val="24"/>
              </w:rPr>
              <w:t>prístup SA-CCR.</w:t>
            </w:r>
          </w:p>
          <w:p w14:paraId="2A419498" w14:textId="23BA440B" w:rsidR="00595FAD" w:rsidRPr="00E07C9A" w:rsidRDefault="00595FAD" w:rsidP="00FF15C6">
            <w:pPr>
              <w:spacing w:before="60"/>
              <w:rPr>
                <w:rFonts w:ascii="Times New Roman" w:hAnsi="Times New Roman"/>
                <w:sz w:val="24"/>
              </w:rPr>
            </w:pPr>
            <w:r w:rsidRPr="00E07C9A">
              <w:rPr>
                <w:rFonts w:ascii="Times New Roman" w:hAnsi="Times New Roman"/>
                <w:sz w:val="24"/>
              </w:rPr>
              <w:t>Inštitúcia vykazuje</w:t>
            </w:r>
            <w:r w:rsidR="009912F8" w:rsidRPr="00E07C9A">
              <w:rPr>
                <w:rFonts w:ascii="Times New Roman" w:hAnsi="Times New Roman"/>
                <w:sz w:val="24"/>
              </w:rPr>
              <w:t xml:space="preserve"> v </w:t>
            </w:r>
            <w:r w:rsidRPr="00E07C9A">
              <w:rPr>
                <w:rFonts w:ascii="Times New Roman" w:hAnsi="Times New Roman"/>
                <w:sz w:val="24"/>
              </w:rPr>
              <w:t>príslušnom riadku súčet reprodukčných nákladov súborov vzájomného započítavania.</w:t>
            </w:r>
          </w:p>
        </w:tc>
      </w:tr>
      <w:tr w:rsidR="00595FAD" w:rsidRPr="00E07C9A" w14:paraId="64699A26" w14:textId="77777777" w:rsidTr="00FF15C6">
        <w:trPr>
          <w:trHeight w:val="680"/>
        </w:trPr>
        <w:tc>
          <w:tcPr>
            <w:tcW w:w="1384" w:type="dxa"/>
          </w:tcPr>
          <w:p w14:paraId="42631C3F" w14:textId="77777777" w:rsidR="00595FAD" w:rsidRPr="00E07C9A" w:rsidRDefault="00595FAD" w:rsidP="00FF15C6">
            <w:pPr>
              <w:pStyle w:val="Applicationdirecte"/>
              <w:spacing w:before="0" w:after="0"/>
            </w:pPr>
            <w:r w:rsidRPr="00E07C9A">
              <w:t>0110</w:t>
            </w:r>
          </w:p>
        </w:tc>
        <w:tc>
          <w:tcPr>
            <w:tcW w:w="7655" w:type="dxa"/>
            <w:vAlign w:val="center"/>
          </w:tcPr>
          <w:p w14:paraId="6F3F6ABC" w14:textId="77777777" w:rsidR="00595FAD" w:rsidRPr="00E07C9A" w:rsidRDefault="00595FAD" w:rsidP="00FF15C6">
            <w:pPr>
              <w:spacing w:before="60"/>
              <w:rPr>
                <w:rStyle w:val="InstructionsTabelleberschrift"/>
                <w:rFonts w:ascii="Times New Roman" w:hAnsi="Times New Roman"/>
                <w:sz w:val="24"/>
              </w:rPr>
            </w:pPr>
            <w:r w:rsidRPr="00E07C9A">
              <w:rPr>
                <w:rStyle w:val="InstructionsTabelleberschrift"/>
                <w:rFonts w:ascii="Times New Roman" w:hAnsi="Times New Roman"/>
                <w:sz w:val="24"/>
              </w:rPr>
              <w:t>POTENCIÁLNA BUDÚCA EXPOZÍCIA (PFE)</w:t>
            </w:r>
          </w:p>
          <w:p w14:paraId="6EEEA3EF" w14:textId="76F98E2C" w:rsidR="00595FAD" w:rsidRPr="00E07C9A" w:rsidRDefault="00595FAD" w:rsidP="00FF15C6">
            <w:pPr>
              <w:spacing w:before="60"/>
              <w:rPr>
                <w:rFonts w:ascii="Times New Roman" w:eastAsia="Calibri" w:hAnsi="Times New Roman"/>
                <w:sz w:val="24"/>
              </w:rPr>
            </w:pPr>
            <w:r w:rsidRPr="00E07C9A">
              <w:rPr>
                <w:rFonts w:ascii="Times New Roman" w:hAnsi="Times New Roman"/>
                <w:sz w:val="24"/>
              </w:rPr>
              <w:t>Články 278, 281</w:t>
            </w:r>
            <w:r w:rsidR="009912F8" w:rsidRPr="00E07C9A">
              <w:rPr>
                <w:rFonts w:ascii="Times New Roman" w:hAnsi="Times New Roman"/>
                <w:sz w:val="24"/>
              </w:rPr>
              <w:t xml:space="preserve"> a </w:t>
            </w:r>
            <w:r w:rsidRPr="00E07C9A">
              <w:rPr>
                <w:rFonts w:ascii="Times New Roman" w:hAnsi="Times New Roman"/>
                <w:sz w:val="24"/>
              </w:rPr>
              <w:t xml:space="preserve">282 nariadenia (EÚ) </w:t>
            </w:r>
            <w:r w:rsidR="009912F8" w:rsidRPr="00E07C9A">
              <w:rPr>
                <w:rFonts w:ascii="Times New Roman" w:hAnsi="Times New Roman"/>
                <w:sz w:val="24"/>
              </w:rPr>
              <w:t>č. 575/2013</w:t>
            </w:r>
          </w:p>
          <w:p w14:paraId="313E55A3" w14:textId="6200DE75" w:rsidR="009912F8" w:rsidRPr="00E07C9A" w:rsidRDefault="00595FAD" w:rsidP="00FF15C6">
            <w:pPr>
              <w:spacing w:before="60"/>
              <w:rPr>
                <w:rFonts w:ascii="Times New Roman" w:hAnsi="Times New Roman"/>
                <w:sz w:val="24"/>
              </w:rPr>
            </w:pPr>
            <w:r w:rsidRPr="00E07C9A">
              <w:rPr>
                <w:rFonts w:ascii="Times New Roman" w:hAnsi="Times New Roman"/>
                <w:sz w:val="24"/>
              </w:rPr>
              <w:t>Potenciálna budúca expozícia (PFE) súboru vzájomného započítavania sa vypočítava</w:t>
            </w:r>
            <w:r w:rsidR="009912F8" w:rsidRPr="00E07C9A">
              <w:rPr>
                <w:rFonts w:ascii="Times New Roman" w:hAnsi="Times New Roman"/>
                <w:sz w:val="24"/>
              </w:rPr>
              <w:t xml:space="preserve"> v </w:t>
            </w:r>
            <w:r w:rsidRPr="00E07C9A">
              <w:rPr>
                <w:rFonts w:ascii="Times New Roman" w:hAnsi="Times New Roman"/>
                <w:sz w:val="24"/>
              </w:rPr>
              <w:t>súlade s</w:t>
            </w:r>
            <w:r w:rsidR="009912F8" w:rsidRPr="00E07C9A">
              <w:rPr>
                <w:rFonts w:ascii="Times New Roman" w:hAnsi="Times New Roman"/>
                <w:sz w:val="24"/>
              </w:rPr>
              <w:t>:</w:t>
            </w:r>
          </w:p>
          <w:p w14:paraId="7C6EFC50" w14:textId="73635AF0" w:rsidR="009912F8" w:rsidRPr="00E07C9A" w:rsidRDefault="00595FAD" w:rsidP="00FF15C6">
            <w:pPr>
              <w:spacing w:before="60"/>
              <w:rPr>
                <w:rFonts w:ascii="Times New Roman" w:hAnsi="Times New Roman"/>
                <w:sz w:val="24"/>
              </w:rPr>
            </w:pPr>
            <w:r w:rsidRPr="00E07C9A">
              <w:rPr>
                <w:rFonts w:ascii="Times New Roman" w:hAnsi="Times New Roman"/>
                <w:sz w:val="24"/>
              </w:rPr>
              <w:t xml:space="preserve">– článkom 282 ods. 4 nariadenia (EÚ) </w:t>
            </w:r>
            <w:r w:rsidR="009912F8" w:rsidRPr="00E07C9A">
              <w:rPr>
                <w:rFonts w:ascii="Times New Roman" w:hAnsi="Times New Roman"/>
                <w:sz w:val="24"/>
              </w:rPr>
              <w:t>č. 575/2013</w:t>
            </w:r>
            <w:r w:rsidRPr="00E07C9A">
              <w:rPr>
                <w:rFonts w:ascii="Times New Roman" w:hAnsi="Times New Roman"/>
                <w:sz w:val="24"/>
              </w:rPr>
              <w:t>, pokiaľ ide</w:t>
            </w:r>
            <w:r w:rsidR="009912F8" w:rsidRPr="00E07C9A">
              <w:rPr>
                <w:rFonts w:ascii="Times New Roman" w:hAnsi="Times New Roman"/>
                <w:sz w:val="24"/>
              </w:rPr>
              <w:t xml:space="preserve"> o </w:t>
            </w:r>
            <w:r w:rsidRPr="00E07C9A">
              <w:rPr>
                <w:rFonts w:ascii="Times New Roman" w:hAnsi="Times New Roman"/>
                <w:sz w:val="24"/>
              </w:rPr>
              <w:t>metódu pôvodnej expozície,</w:t>
            </w:r>
          </w:p>
          <w:p w14:paraId="58322B29" w14:textId="579063D5" w:rsidR="00595FAD" w:rsidRPr="00E07C9A" w:rsidRDefault="00595FAD" w:rsidP="00FF15C6">
            <w:pPr>
              <w:spacing w:before="60"/>
              <w:rPr>
                <w:rFonts w:ascii="Times New Roman" w:hAnsi="Times New Roman"/>
                <w:sz w:val="24"/>
              </w:rPr>
            </w:pPr>
            <w:r w:rsidRPr="00E07C9A">
              <w:rPr>
                <w:rFonts w:ascii="Times New Roman" w:hAnsi="Times New Roman"/>
                <w:sz w:val="24"/>
              </w:rPr>
              <w:t xml:space="preserve">– článkom 281 nariadenia (EÚ) </w:t>
            </w:r>
            <w:r w:rsidR="009912F8" w:rsidRPr="00E07C9A">
              <w:rPr>
                <w:rFonts w:ascii="Times New Roman" w:hAnsi="Times New Roman"/>
                <w:sz w:val="24"/>
              </w:rPr>
              <w:t>č. 575/2013</w:t>
            </w:r>
            <w:r w:rsidRPr="00E07C9A">
              <w:rPr>
                <w:rFonts w:ascii="Times New Roman" w:hAnsi="Times New Roman"/>
                <w:sz w:val="24"/>
              </w:rPr>
              <w:t>, pokiaľ ide</w:t>
            </w:r>
            <w:r w:rsidR="009912F8" w:rsidRPr="00E07C9A">
              <w:rPr>
                <w:rFonts w:ascii="Times New Roman" w:hAnsi="Times New Roman"/>
                <w:sz w:val="24"/>
              </w:rPr>
              <w:t xml:space="preserve"> o </w:t>
            </w:r>
            <w:r w:rsidRPr="00E07C9A">
              <w:rPr>
                <w:rFonts w:ascii="Times New Roman" w:hAnsi="Times New Roman"/>
                <w:sz w:val="24"/>
              </w:rPr>
              <w:t>zjednodušený prístup SA-CCR,</w:t>
            </w:r>
          </w:p>
          <w:p w14:paraId="17AEB078" w14:textId="573F142D" w:rsidR="00595FAD" w:rsidRPr="00E07C9A" w:rsidRDefault="00595FAD" w:rsidP="00FF15C6">
            <w:pPr>
              <w:spacing w:before="60"/>
              <w:rPr>
                <w:rFonts w:ascii="Times New Roman" w:hAnsi="Times New Roman"/>
                <w:sz w:val="24"/>
              </w:rPr>
            </w:pPr>
            <w:r w:rsidRPr="00E07C9A">
              <w:rPr>
                <w:rFonts w:ascii="Times New Roman" w:hAnsi="Times New Roman"/>
                <w:sz w:val="24"/>
              </w:rPr>
              <w:t xml:space="preserve">– článkom 278 nariadenia (EÚ) </w:t>
            </w:r>
            <w:r w:rsidR="009912F8" w:rsidRPr="00E07C9A">
              <w:rPr>
                <w:rFonts w:ascii="Times New Roman" w:hAnsi="Times New Roman"/>
                <w:sz w:val="24"/>
              </w:rPr>
              <w:t>č. 575/2013</w:t>
            </w:r>
            <w:r w:rsidRPr="00E07C9A">
              <w:rPr>
                <w:rFonts w:ascii="Times New Roman" w:hAnsi="Times New Roman"/>
                <w:sz w:val="24"/>
              </w:rPr>
              <w:t>, pokiaľ ide</w:t>
            </w:r>
            <w:r w:rsidR="009912F8" w:rsidRPr="00E07C9A">
              <w:rPr>
                <w:rFonts w:ascii="Times New Roman" w:hAnsi="Times New Roman"/>
                <w:sz w:val="24"/>
              </w:rPr>
              <w:t xml:space="preserve"> o </w:t>
            </w:r>
            <w:r w:rsidRPr="00E07C9A">
              <w:rPr>
                <w:rFonts w:ascii="Times New Roman" w:hAnsi="Times New Roman"/>
                <w:sz w:val="24"/>
              </w:rPr>
              <w:t>prístup SA-CCR.</w:t>
            </w:r>
          </w:p>
          <w:p w14:paraId="23B4A6A4" w14:textId="33EFDF5A" w:rsidR="00595FAD" w:rsidRPr="00E07C9A" w:rsidRDefault="00595FAD" w:rsidP="00FF15C6">
            <w:pPr>
              <w:spacing w:before="60"/>
              <w:rPr>
                <w:rFonts w:ascii="Times New Roman" w:hAnsi="Times New Roman"/>
                <w:i/>
                <w:sz w:val="24"/>
              </w:rPr>
            </w:pPr>
            <w:r w:rsidRPr="00E07C9A">
              <w:rPr>
                <w:rFonts w:ascii="Times New Roman" w:hAnsi="Times New Roman"/>
                <w:sz w:val="24"/>
              </w:rPr>
              <w:t>Inštitúcia vykazuje</w:t>
            </w:r>
            <w:r w:rsidR="009912F8" w:rsidRPr="00E07C9A">
              <w:rPr>
                <w:rFonts w:ascii="Times New Roman" w:hAnsi="Times New Roman"/>
                <w:sz w:val="24"/>
              </w:rPr>
              <w:t xml:space="preserve"> v </w:t>
            </w:r>
            <w:r w:rsidRPr="00E07C9A">
              <w:rPr>
                <w:rFonts w:ascii="Times New Roman" w:hAnsi="Times New Roman"/>
                <w:sz w:val="24"/>
              </w:rPr>
              <w:t>príslušnom riadku súčet všetkých potenciálnych budúcich expozícií súborov vzájomného započítavania.</w:t>
            </w:r>
          </w:p>
        </w:tc>
      </w:tr>
      <w:tr w:rsidR="00595FAD" w:rsidRPr="00E07C9A" w14:paraId="0D07011F" w14:textId="77777777" w:rsidTr="00FF15C6">
        <w:trPr>
          <w:trHeight w:val="680"/>
        </w:trPr>
        <w:tc>
          <w:tcPr>
            <w:tcW w:w="1384" w:type="dxa"/>
          </w:tcPr>
          <w:p w14:paraId="424B82F7" w14:textId="77777777" w:rsidR="00595FAD" w:rsidRPr="00E07C9A" w:rsidRDefault="00595FAD" w:rsidP="00FF15C6">
            <w:pPr>
              <w:pStyle w:val="Applicationdirecte"/>
              <w:spacing w:before="0" w:after="0"/>
            </w:pPr>
            <w:r w:rsidRPr="00E07C9A">
              <w:t>0120</w:t>
            </w:r>
          </w:p>
        </w:tc>
        <w:tc>
          <w:tcPr>
            <w:tcW w:w="7655" w:type="dxa"/>
            <w:vAlign w:val="center"/>
          </w:tcPr>
          <w:p w14:paraId="65EC0B6E" w14:textId="77777777" w:rsidR="00595FAD" w:rsidRPr="00E07C9A" w:rsidRDefault="00595FAD" w:rsidP="00FF15C6">
            <w:pPr>
              <w:spacing w:before="60"/>
              <w:rPr>
                <w:rStyle w:val="InstructionsTabelleberschrift"/>
                <w:rFonts w:ascii="Times New Roman" w:hAnsi="Times New Roman"/>
                <w:sz w:val="24"/>
              </w:rPr>
            </w:pPr>
            <w:r w:rsidRPr="00E07C9A">
              <w:rPr>
                <w:rStyle w:val="InstructionsTabelleberschrift"/>
                <w:rFonts w:ascii="Times New Roman" w:hAnsi="Times New Roman"/>
                <w:sz w:val="24"/>
              </w:rPr>
              <w:t>AKTUÁLNA EXPOZÍCIA</w:t>
            </w:r>
          </w:p>
          <w:p w14:paraId="51D45169" w14:textId="5AE42E63" w:rsidR="009912F8" w:rsidRPr="00E07C9A" w:rsidRDefault="00595FAD" w:rsidP="00FF15C6">
            <w:pPr>
              <w:spacing w:before="60"/>
              <w:rPr>
                <w:rFonts w:ascii="Times New Roman" w:hAnsi="Times New Roman"/>
                <w:sz w:val="24"/>
              </w:rPr>
            </w:pPr>
            <w:r w:rsidRPr="00E07C9A">
              <w:rPr>
                <w:rFonts w:ascii="Times New Roman" w:hAnsi="Times New Roman"/>
                <w:sz w:val="24"/>
              </w:rPr>
              <w:t xml:space="preserve">Článok 272 ods. 17 nariadenia (EÚ) </w:t>
            </w:r>
            <w:r w:rsidR="009912F8" w:rsidRPr="00E07C9A">
              <w:rPr>
                <w:rFonts w:ascii="Times New Roman" w:hAnsi="Times New Roman"/>
                <w:sz w:val="24"/>
              </w:rPr>
              <w:t>č. 575/2013</w:t>
            </w:r>
          </w:p>
          <w:p w14:paraId="50F8D638" w14:textId="39FB4BD7" w:rsidR="00595FAD" w:rsidRPr="00E07C9A" w:rsidRDefault="00595FAD" w:rsidP="00FF15C6">
            <w:pPr>
              <w:spacing w:before="60"/>
              <w:rPr>
                <w:rFonts w:ascii="Times New Roman" w:hAnsi="Times New Roman"/>
                <w:sz w:val="24"/>
              </w:rPr>
            </w:pPr>
            <w:r w:rsidRPr="00E07C9A">
              <w:rPr>
                <w:rFonts w:ascii="Times New Roman" w:hAnsi="Times New Roman"/>
                <w:sz w:val="24"/>
              </w:rPr>
              <w:t>Aktuálna expozícia súboru vzájomného započítavania zodpovedá hodnote</w:t>
            </w:r>
            <w:r w:rsidR="009912F8" w:rsidRPr="00E07C9A">
              <w:rPr>
                <w:rFonts w:ascii="Times New Roman" w:hAnsi="Times New Roman"/>
                <w:sz w:val="24"/>
              </w:rPr>
              <w:t xml:space="preserve"> v </w:t>
            </w:r>
            <w:r w:rsidRPr="00E07C9A">
              <w:rPr>
                <w:rFonts w:ascii="Times New Roman" w:hAnsi="Times New Roman"/>
                <w:sz w:val="24"/>
              </w:rPr>
              <w:t>zmysle vymedzenia</w:t>
            </w:r>
            <w:r w:rsidR="009912F8" w:rsidRPr="00E07C9A">
              <w:rPr>
                <w:rFonts w:ascii="Times New Roman" w:hAnsi="Times New Roman"/>
                <w:sz w:val="24"/>
              </w:rPr>
              <w:t xml:space="preserve"> v </w:t>
            </w:r>
            <w:r w:rsidRPr="00E07C9A">
              <w:rPr>
                <w:rFonts w:ascii="Times New Roman" w:hAnsi="Times New Roman"/>
                <w:sz w:val="24"/>
              </w:rPr>
              <w:t xml:space="preserve">článku 272 ods. 17 nariadenia (EÚ) </w:t>
            </w:r>
            <w:r w:rsidR="009912F8" w:rsidRPr="00E07C9A">
              <w:rPr>
                <w:rFonts w:ascii="Times New Roman" w:hAnsi="Times New Roman"/>
                <w:sz w:val="24"/>
              </w:rPr>
              <w:t>č. 575/2013</w:t>
            </w:r>
            <w:r w:rsidRPr="00E07C9A">
              <w:rPr>
                <w:rFonts w:ascii="Times New Roman" w:hAnsi="Times New Roman"/>
                <w:sz w:val="24"/>
              </w:rPr>
              <w:t>.</w:t>
            </w:r>
          </w:p>
          <w:p w14:paraId="753F009A" w14:textId="24ABC65A" w:rsidR="00595FAD" w:rsidRPr="00E07C9A" w:rsidRDefault="00595FAD" w:rsidP="00FF15C6">
            <w:pPr>
              <w:spacing w:before="60"/>
              <w:rPr>
                <w:rFonts w:ascii="Times New Roman" w:hAnsi="Times New Roman"/>
                <w:sz w:val="24"/>
              </w:rPr>
            </w:pPr>
            <w:r w:rsidRPr="00E07C9A">
              <w:rPr>
                <w:rFonts w:ascii="Times New Roman" w:hAnsi="Times New Roman"/>
                <w:sz w:val="24"/>
              </w:rPr>
              <w:t>Inštitúcia vykazuje</w:t>
            </w:r>
            <w:r w:rsidR="009912F8" w:rsidRPr="00E07C9A">
              <w:rPr>
                <w:rFonts w:ascii="Times New Roman" w:hAnsi="Times New Roman"/>
                <w:sz w:val="24"/>
              </w:rPr>
              <w:t xml:space="preserve"> v </w:t>
            </w:r>
            <w:r w:rsidRPr="00E07C9A">
              <w:rPr>
                <w:rFonts w:ascii="Times New Roman" w:hAnsi="Times New Roman"/>
                <w:sz w:val="24"/>
              </w:rPr>
              <w:t>príslušnom riadku súčet všetkých aktuálnych expozícií súborov vzájomného započítavania.</w:t>
            </w:r>
          </w:p>
        </w:tc>
      </w:tr>
      <w:tr w:rsidR="00595FAD" w:rsidRPr="00E07C9A" w14:paraId="1B707BA2" w14:textId="77777777" w:rsidTr="00FF15C6">
        <w:trPr>
          <w:trHeight w:val="680"/>
        </w:trPr>
        <w:tc>
          <w:tcPr>
            <w:tcW w:w="1384" w:type="dxa"/>
          </w:tcPr>
          <w:p w14:paraId="60C2A866" w14:textId="77777777" w:rsidR="00595FAD" w:rsidRPr="00E07C9A" w:rsidRDefault="00595FAD" w:rsidP="00FF15C6">
            <w:pPr>
              <w:pStyle w:val="Applicationdirecte"/>
              <w:spacing w:before="0" w:after="0"/>
            </w:pPr>
            <w:r w:rsidRPr="00E07C9A">
              <w:t>0130</w:t>
            </w:r>
          </w:p>
        </w:tc>
        <w:tc>
          <w:tcPr>
            <w:tcW w:w="7655" w:type="dxa"/>
            <w:vAlign w:val="center"/>
          </w:tcPr>
          <w:p w14:paraId="26C33C5B" w14:textId="77777777" w:rsidR="00595FAD" w:rsidRPr="00E07C9A" w:rsidRDefault="00595FAD" w:rsidP="00FF15C6">
            <w:pPr>
              <w:spacing w:before="60"/>
              <w:rPr>
                <w:rStyle w:val="InstructionsTabelleberschrift"/>
                <w:rFonts w:ascii="Times New Roman" w:hAnsi="Times New Roman"/>
                <w:sz w:val="24"/>
              </w:rPr>
            </w:pPr>
            <w:r w:rsidRPr="00E07C9A">
              <w:rPr>
                <w:rStyle w:val="InstructionsTabelleberschrift"/>
                <w:rFonts w:ascii="Times New Roman" w:hAnsi="Times New Roman"/>
                <w:sz w:val="24"/>
              </w:rPr>
              <w:t>EFEKTÍVNA OČAKÁVANÁ POZITÍVNA EXPOZÍCIA (EEPE)</w:t>
            </w:r>
          </w:p>
          <w:p w14:paraId="2AEF26BB" w14:textId="295F0CA5" w:rsidR="00595FAD" w:rsidRPr="00E07C9A" w:rsidRDefault="00595FAD" w:rsidP="00FF15C6">
            <w:pPr>
              <w:spacing w:before="60"/>
              <w:rPr>
                <w:rFonts w:ascii="Times New Roman" w:eastAsia="Calibri" w:hAnsi="Times New Roman"/>
                <w:sz w:val="24"/>
              </w:rPr>
            </w:pPr>
            <w:r w:rsidRPr="00E07C9A">
              <w:rPr>
                <w:rFonts w:ascii="Times New Roman" w:hAnsi="Times New Roman"/>
                <w:sz w:val="24"/>
              </w:rPr>
              <w:t>Článok 272 ods. 22, článok 284 ods. 3</w:t>
            </w:r>
            <w:r w:rsidR="009912F8" w:rsidRPr="00E07C9A">
              <w:rPr>
                <w:rFonts w:ascii="Times New Roman" w:hAnsi="Times New Roman"/>
                <w:sz w:val="24"/>
              </w:rPr>
              <w:t xml:space="preserve"> a </w:t>
            </w:r>
            <w:r w:rsidRPr="00E07C9A">
              <w:rPr>
                <w:rFonts w:ascii="Times New Roman" w:hAnsi="Times New Roman"/>
                <w:sz w:val="24"/>
              </w:rPr>
              <w:t xml:space="preserve">článok 284 ods. 6 nariadenia (EÚ) </w:t>
            </w:r>
            <w:r w:rsidR="009912F8" w:rsidRPr="00E07C9A">
              <w:rPr>
                <w:rFonts w:ascii="Times New Roman" w:hAnsi="Times New Roman"/>
                <w:sz w:val="24"/>
              </w:rPr>
              <w:t>č. 575/2013</w:t>
            </w:r>
          </w:p>
          <w:p w14:paraId="33ADAC33" w14:textId="2896AF4D" w:rsidR="00595FAD" w:rsidRPr="00E07C9A" w:rsidRDefault="00595FAD" w:rsidP="00FF15C6">
            <w:pPr>
              <w:pStyle w:val="Default"/>
              <w:spacing w:after="120"/>
              <w:jc w:val="both"/>
              <w:rPr>
                <w:rFonts w:ascii="Times New Roman" w:hAnsi="Times New Roman" w:cs="Times New Roman"/>
                <w:color w:val="auto"/>
              </w:rPr>
            </w:pPr>
            <w:r w:rsidRPr="00E07C9A">
              <w:rPr>
                <w:rFonts w:ascii="Times New Roman" w:hAnsi="Times New Roman" w:cs="Times New Roman"/>
                <w:color w:val="auto"/>
              </w:rPr>
              <w:t>Efektívna očakávaná pozitívna expozícia (EEPE) súboru vzájomného započítavania je vymedzená</w:t>
            </w:r>
            <w:r w:rsidR="009912F8" w:rsidRPr="00E07C9A">
              <w:rPr>
                <w:rFonts w:ascii="Times New Roman" w:hAnsi="Times New Roman" w:cs="Times New Roman"/>
                <w:color w:val="auto"/>
              </w:rPr>
              <w:t xml:space="preserve"> v </w:t>
            </w:r>
            <w:r w:rsidRPr="00E07C9A">
              <w:rPr>
                <w:rFonts w:ascii="Times New Roman" w:hAnsi="Times New Roman" w:cs="Times New Roman"/>
                <w:color w:val="auto"/>
              </w:rPr>
              <w:t xml:space="preserve">článku 272 ods. 22 nariadenia (EÚ) </w:t>
            </w:r>
            <w:r w:rsidR="009912F8" w:rsidRPr="00E07C9A">
              <w:rPr>
                <w:rFonts w:ascii="Times New Roman" w:hAnsi="Times New Roman" w:cs="Times New Roman"/>
                <w:color w:val="auto"/>
              </w:rPr>
              <w:t>č. 575/2013 a </w:t>
            </w:r>
            <w:r w:rsidRPr="00E07C9A">
              <w:rPr>
                <w:rFonts w:ascii="Times New Roman" w:hAnsi="Times New Roman" w:cs="Times New Roman"/>
                <w:color w:val="auto"/>
              </w:rPr>
              <w:t>vypočítava sa</w:t>
            </w:r>
            <w:r w:rsidR="009912F8" w:rsidRPr="00E07C9A">
              <w:rPr>
                <w:rFonts w:ascii="Times New Roman" w:hAnsi="Times New Roman" w:cs="Times New Roman"/>
                <w:color w:val="auto"/>
              </w:rPr>
              <w:t xml:space="preserve"> v </w:t>
            </w:r>
            <w:r w:rsidRPr="00E07C9A">
              <w:rPr>
                <w:rFonts w:ascii="Times New Roman" w:hAnsi="Times New Roman" w:cs="Times New Roman"/>
                <w:color w:val="auto"/>
              </w:rPr>
              <w:t>súlade</w:t>
            </w:r>
            <w:r w:rsidR="009912F8" w:rsidRPr="00E07C9A">
              <w:rPr>
                <w:rFonts w:ascii="Times New Roman" w:hAnsi="Times New Roman" w:cs="Times New Roman"/>
                <w:color w:val="auto"/>
              </w:rPr>
              <w:t xml:space="preserve"> s </w:t>
            </w:r>
            <w:r w:rsidRPr="00E07C9A">
              <w:rPr>
                <w:rFonts w:ascii="Times New Roman" w:hAnsi="Times New Roman" w:cs="Times New Roman"/>
                <w:color w:val="auto"/>
              </w:rPr>
              <w:t xml:space="preserve">článkom 284 ods. 6 nariadenia (EÚ) </w:t>
            </w:r>
            <w:r w:rsidR="009912F8" w:rsidRPr="00E07C9A">
              <w:rPr>
                <w:rFonts w:ascii="Times New Roman" w:hAnsi="Times New Roman" w:cs="Times New Roman"/>
                <w:color w:val="auto"/>
              </w:rPr>
              <w:t>č. 575/2013</w:t>
            </w:r>
            <w:r w:rsidRPr="00E07C9A">
              <w:rPr>
                <w:rFonts w:ascii="Times New Roman" w:hAnsi="Times New Roman" w:cs="Times New Roman"/>
                <w:color w:val="auto"/>
              </w:rPr>
              <w:t>.</w:t>
            </w:r>
          </w:p>
          <w:p w14:paraId="28B3F952" w14:textId="3D00807B" w:rsidR="00595FAD" w:rsidRPr="00E07C9A" w:rsidRDefault="00595FAD" w:rsidP="00BC3A29">
            <w:pPr>
              <w:spacing w:before="60"/>
              <w:rPr>
                <w:rFonts w:ascii="Times New Roman" w:eastAsia="Calibri" w:hAnsi="Times New Roman"/>
                <w:sz w:val="24"/>
              </w:rPr>
            </w:pPr>
            <w:r w:rsidRPr="00E07C9A">
              <w:rPr>
                <w:rFonts w:ascii="Times New Roman" w:hAnsi="Times New Roman"/>
                <w:sz w:val="24"/>
              </w:rPr>
              <w:t>Inštitúcia vykazuje súčet všetkých EEPE použitých na určenie požiadaviek na vlastné zdroje</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284 ods. 3 nariadenia (EÚ) </w:t>
            </w:r>
            <w:r w:rsidR="009912F8" w:rsidRPr="00E07C9A">
              <w:rPr>
                <w:rFonts w:ascii="Times New Roman" w:hAnsi="Times New Roman"/>
                <w:sz w:val="24"/>
              </w:rPr>
              <w:t>č. 575/2013</w:t>
            </w:r>
            <w:r w:rsidRPr="00E07C9A">
              <w:rPr>
                <w:rFonts w:ascii="Times New Roman" w:hAnsi="Times New Roman"/>
                <w:sz w:val="24"/>
              </w:rPr>
              <w:t>, t. j. buď EEPE vypočítaných pomocou aktuálnych trhových údajov, alebo EEPE vypočítaných pomocou stresovej kalibrácie, podľa toho, čo vedie</w:t>
            </w:r>
            <w:r w:rsidR="009912F8" w:rsidRPr="00E07C9A">
              <w:rPr>
                <w:rFonts w:ascii="Times New Roman" w:hAnsi="Times New Roman"/>
                <w:sz w:val="24"/>
              </w:rPr>
              <w:t xml:space="preserve"> k </w:t>
            </w:r>
            <w:r w:rsidRPr="00E07C9A">
              <w:rPr>
                <w:rFonts w:ascii="Times New Roman" w:hAnsi="Times New Roman"/>
                <w:sz w:val="24"/>
              </w:rPr>
              <w:t>vyššej požiadavke na vlastné zdroje.</w:t>
            </w:r>
          </w:p>
        </w:tc>
      </w:tr>
      <w:tr w:rsidR="00595FAD" w:rsidRPr="00E07C9A" w14:paraId="20865944" w14:textId="77777777" w:rsidTr="00FF15C6">
        <w:trPr>
          <w:trHeight w:val="680"/>
        </w:trPr>
        <w:tc>
          <w:tcPr>
            <w:tcW w:w="1384" w:type="dxa"/>
          </w:tcPr>
          <w:p w14:paraId="4543BC36" w14:textId="77777777" w:rsidR="00595FAD" w:rsidRPr="00E07C9A" w:rsidRDefault="00595FAD" w:rsidP="00FF15C6">
            <w:pPr>
              <w:pStyle w:val="Applicationdirecte"/>
              <w:spacing w:before="0" w:after="0"/>
            </w:pPr>
            <w:r w:rsidRPr="00E07C9A">
              <w:t>0140</w:t>
            </w:r>
          </w:p>
        </w:tc>
        <w:tc>
          <w:tcPr>
            <w:tcW w:w="7655" w:type="dxa"/>
            <w:vAlign w:val="center"/>
          </w:tcPr>
          <w:p w14:paraId="21197063" w14:textId="77777777" w:rsidR="009912F8" w:rsidRPr="00E07C9A" w:rsidRDefault="00595FAD" w:rsidP="00FF15C6">
            <w:pPr>
              <w:spacing w:before="60"/>
              <w:rPr>
                <w:rStyle w:val="InstructionsTabelleberschrift"/>
                <w:rFonts w:ascii="Times New Roman" w:hAnsi="Times New Roman"/>
                <w:sz w:val="24"/>
              </w:rPr>
            </w:pPr>
            <w:r w:rsidRPr="00E07C9A">
              <w:rPr>
                <w:rStyle w:val="InstructionsTabelleberschrift"/>
                <w:rFonts w:ascii="Times New Roman" w:hAnsi="Times New Roman"/>
                <w:sz w:val="24"/>
              </w:rPr>
              <w:t>ALFA POUŽITÉ NA VÝPOČET REGULATÓRNEJ HODNOTY EXPOZÍCIE</w:t>
            </w:r>
          </w:p>
          <w:p w14:paraId="32F3C046" w14:textId="5DA55344" w:rsidR="00595FAD" w:rsidRPr="00E07C9A" w:rsidRDefault="00595FAD" w:rsidP="00FF15C6">
            <w:pPr>
              <w:spacing w:before="60"/>
              <w:rPr>
                <w:rFonts w:ascii="Times New Roman" w:hAnsi="Times New Roman"/>
                <w:i/>
                <w:sz w:val="24"/>
              </w:rPr>
            </w:pPr>
            <w:r w:rsidRPr="00E07C9A">
              <w:rPr>
                <w:rFonts w:ascii="Times New Roman" w:hAnsi="Times New Roman"/>
                <w:sz w:val="24"/>
              </w:rPr>
              <w:t>Článok 274 ods. 2, článok 282 ods. 2, článok 281 ods. 1, článok 284 ods. 4</w:t>
            </w:r>
            <w:r w:rsidR="009912F8" w:rsidRPr="00E07C9A">
              <w:rPr>
                <w:rFonts w:ascii="Times New Roman" w:hAnsi="Times New Roman"/>
                <w:sz w:val="24"/>
              </w:rPr>
              <w:t xml:space="preserve"> a </w:t>
            </w:r>
            <w:r w:rsidRPr="00E07C9A">
              <w:rPr>
                <w:rFonts w:ascii="Times New Roman" w:hAnsi="Times New Roman"/>
                <w:sz w:val="24"/>
              </w:rPr>
              <w:t xml:space="preserve">9 nariadenia (EÚ) </w:t>
            </w:r>
            <w:r w:rsidR="009912F8" w:rsidRPr="00E07C9A">
              <w:rPr>
                <w:rFonts w:ascii="Times New Roman" w:hAnsi="Times New Roman"/>
                <w:sz w:val="24"/>
              </w:rPr>
              <w:t>č. 575/2013</w:t>
            </w:r>
          </w:p>
          <w:p w14:paraId="4C241D56" w14:textId="6187129D" w:rsidR="00595FAD" w:rsidRPr="00E07C9A" w:rsidRDefault="00595FAD" w:rsidP="007172B2">
            <w:pPr>
              <w:spacing w:before="60"/>
              <w:rPr>
                <w:rFonts w:ascii="Times New Roman" w:eastAsia="Calibri" w:hAnsi="Times New Roman"/>
                <w:i/>
                <w:sz w:val="24"/>
              </w:rPr>
            </w:pPr>
            <w:r w:rsidRPr="00E07C9A">
              <w:rPr>
                <w:rFonts w:ascii="Times New Roman" w:hAnsi="Times New Roman"/>
                <w:sz w:val="24"/>
              </w:rPr>
              <w:t>Hodnota α je</w:t>
            </w:r>
            <w:r w:rsidR="009912F8" w:rsidRPr="00E07C9A">
              <w:rPr>
                <w:rFonts w:ascii="Times New Roman" w:hAnsi="Times New Roman"/>
                <w:sz w:val="24"/>
              </w:rPr>
              <w:t xml:space="preserve"> v </w:t>
            </w:r>
            <w:r w:rsidRPr="00E07C9A">
              <w:rPr>
                <w:rFonts w:ascii="Times New Roman" w:hAnsi="Times New Roman"/>
                <w:sz w:val="24"/>
              </w:rPr>
              <w:t>riadkoch pre metódu pôvodnej expozície, zjednodušený prístup SA-CCR</w:t>
            </w:r>
            <w:r w:rsidR="009912F8" w:rsidRPr="00E07C9A">
              <w:rPr>
                <w:rFonts w:ascii="Times New Roman" w:hAnsi="Times New Roman"/>
                <w:sz w:val="24"/>
              </w:rPr>
              <w:t xml:space="preserve"> a </w:t>
            </w:r>
            <w:r w:rsidRPr="00E07C9A">
              <w:rPr>
                <w:rFonts w:ascii="Times New Roman" w:hAnsi="Times New Roman"/>
                <w:sz w:val="24"/>
              </w:rPr>
              <w:t>prístup SA-CCR pevne stanovená na úrovni 1,4</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článkom 282 ods. 2, článkom 281 ods. 1</w:t>
            </w:r>
            <w:r w:rsidR="009912F8" w:rsidRPr="00E07C9A">
              <w:rPr>
                <w:rFonts w:ascii="Times New Roman" w:hAnsi="Times New Roman"/>
                <w:sz w:val="24"/>
              </w:rPr>
              <w:t xml:space="preserve"> a </w:t>
            </w:r>
            <w:r w:rsidRPr="00E07C9A">
              <w:rPr>
                <w:rFonts w:ascii="Times New Roman" w:hAnsi="Times New Roman"/>
                <w:sz w:val="24"/>
              </w:rPr>
              <w:t xml:space="preserve">článkom 274 ods. 2 nariadenia (EÚ) </w:t>
            </w:r>
            <w:r w:rsidR="009912F8" w:rsidRPr="00E07C9A">
              <w:rPr>
                <w:rFonts w:ascii="Times New Roman" w:hAnsi="Times New Roman"/>
                <w:sz w:val="24"/>
              </w:rPr>
              <w:t>č. 575/2013</w:t>
            </w:r>
            <w:r w:rsidRPr="00E07C9A">
              <w:rPr>
                <w:rFonts w:ascii="Times New Roman" w:hAnsi="Times New Roman"/>
                <w:sz w:val="24"/>
              </w:rPr>
              <w:t>.</w:t>
            </w:r>
            <w:r w:rsidR="009912F8" w:rsidRPr="00E07C9A">
              <w:rPr>
                <w:rFonts w:ascii="Times New Roman" w:hAnsi="Times New Roman"/>
                <w:sz w:val="24"/>
              </w:rPr>
              <w:t xml:space="preserve"> </w:t>
            </w:r>
            <w:r w:rsidRPr="00E07C9A">
              <w:rPr>
                <w:rFonts w:ascii="Times New Roman" w:hAnsi="Times New Roman"/>
                <w:sz w:val="24"/>
              </w:rPr>
              <w:t>Na účely metódy interných modelov (IMM) môže mať α štandardnú hodnotu 1,4 alebo inú hodnotu, ak príslušné orgány požadujú vyššie α</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284 ods. 4 nariadenia (EÚ) </w:t>
            </w:r>
            <w:r w:rsidR="009912F8" w:rsidRPr="00E07C9A">
              <w:rPr>
                <w:rFonts w:ascii="Times New Roman" w:hAnsi="Times New Roman"/>
                <w:sz w:val="24"/>
              </w:rPr>
              <w:t>č. 575/2013</w:t>
            </w:r>
            <w:r w:rsidRPr="00E07C9A">
              <w:rPr>
                <w:rFonts w:ascii="Times New Roman" w:hAnsi="Times New Roman"/>
                <w:sz w:val="24"/>
              </w:rPr>
              <w:t xml:space="preserve"> alebo ak inštitúciám povolia, aby použili vlastné odhady</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článkom 284 ods. 9 uvedeného nariadenia.</w:t>
            </w:r>
          </w:p>
        </w:tc>
      </w:tr>
      <w:tr w:rsidR="00595FAD" w:rsidRPr="00E07C9A" w14:paraId="47EC29C9" w14:textId="77777777" w:rsidTr="00FF15C6">
        <w:trPr>
          <w:trHeight w:val="680"/>
        </w:trPr>
        <w:tc>
          <w:tcPr>
            <w:tcW w:w="1384" w:type="dxa"/>
          </w:tcPr>
          <w:p w14:paraId="5D1B4431" w14:textId="77777777" w:rsidR="00595FAD" w:rsidRPr="00E07C9A" w:rsidRDefault="00595FAD" w:rsidP="00FF15C6">
            <w:pPr>
              <w:pStyle w:val="Applicationdirecte"/>
              <w:spacing w:before="0" w:after="0"/>
            </w:pPr>
            <w:r w:rsidRPr="00E07C9A">
              <w:t>0150</w:t>
            </w:r>
          </w:p>
        </w:tc>
        <w:tc>
          <w:tcPr>
            <w:tcW w:w="7655" w:type="dxa"/>
          </w:tcPr>
          <w:p w14:paraId="5EDB58B2" w14:textId="77777777" w:rsidR="009912F8" w:rsidRPr="00E07C9A" w:rsidRDefault="00595FAD" w:rsidP="00FF15C6">
            <w:pPr>
              <w:pStyle w:val="TableMainHeading"/>
              <w:jc w:val="both"/>
              <w:rPr>
                <w:rStyle w:val="InstructionsTabelleberschrift"/>
                <w:rFonts w:ascii="Times New Roman" w:hAnsi="Times New Roman"/>
                <w:sz w:val="24"/>
              </w:rPr>
            </w:pPr>
            <w:r w:rsidRPr="00E07C9A">
              <w:rPr>
                <w:rStyle w:val="InstructionsTabelleberschrift"/>
                <w:rFonts w:ascii="Times New Roman" w:hAnsi="Times New Roman"/>
                <w:sz w:val="24"/>
              </w:rPr>
              <w:t>HODNOTA EXPOZÍCIE PRED ZMIERŇOVANÍM KREDITNÉHO RIZIKA</w:t>
            </w:r>
          </w:p>
          <w:p w14:paraId="7251BF67" w14:textId="18DF4F53" w:rsidR="009912F8" w:rsidRPr="00E07C9A" w:rsidRDefault="00595FAD" w:rsidP="00FF15C6">
            <w:pPr>
              <w:pStyle w:val="TableMainHeading"/>
              <w:spacing w:before="60"/>
              <w:jc w:val="both"/>
              <w:rPr>
                <w:rFonts w:ascii="Times New Roman" w:hAnsi="Times New Roman"/>
                <w:sz w:val="24"/>
              </w:rPr>
            </w:pPr>
            <w:r w:rsidRPr="00E07C9A">
              <w:rPr>
                <w:rFonts w:ascii="Times New Roman" w:hAnsi="Times New Roman"/>
                <w:sz w:val="24"/>
              </w:rPr>
              <w:t>Hodnota expozície pred zmierňovaním kreditného rizika pri súboroch vzájomného započítavania CCR sa vypočítava</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metódami stanovenými</w:t>
            </w:r>
            <w:r w:rsidR="009912F8" w:rsidRPr="00E07C9A">
              <w:rPr>
                <w:rFonts w:ascii="Times New Roman" w:hAnsi="Times New Roman"/>
                <w:sz w:val="24"/>
              </w:rPr>
              <w:t xml:space="preserve"> v </w:t>
            </w:r>
            <w:r w:rsidRPr="00E07C9A">
              <w:rPr>
                <w:rFonts w:ascii="Times New Roman" w:hAnsi="Times New Roman"/>
                <w:sz w:val="24"/>
              </w:rPr>
              <w:t>tretej časti hlave II kapitolách 4</w:t>
            </w:r>
            <w:r w:rsidR="009912F8" w:rsidRPr="00E07C9A">
              <w:rPr>
                <w:rFonts w:ascii="Times New Roman" w:hAnsi="Times New Roman"/>
                <w:sz w:val="24"/>
              </w:rPr>
              <w:t xml:space="preserve"> a </w:t>
            </w:r>
            <w:r w:rsidRPr="00E07C9A">
              <w:rPr>
                <w:rFonts w:ascii="Times New Roman" w:hAnsi="Times New Roman"/>
                <w:sz w:val="24"/>
              </w:rPr>
              <w:t xml:space="preserve">6 nariadenia (EÚ) </w:t>
            </w:r>
            <w:r w:rsidR="009912F8" w:rsidRPr="00E07C9A">
              <w:rPr>
                <w:rFonts w:ascii="Times New Roman" w:hAnsi="Times New Roman"/>
                <w:sz w:val="24"/>
              </w:rPr>
              <w:t>č. 575/2013</w:t>
            </w:r>
            <w:r w:rsidRPr="00E07C9A">
              <w:rPr>
                <w:rFonts w:ascii="Times New Roman" w:hAnsi="Times New Roman"/>
                <w:sz w:val="24"/>
              </w:rPr>
              <w:t>, pričom sa zohľadňuje účinok vzájomného započítavania, ale nezohľadňujú sa žiadne iné postupy zmierňovania kreditného rizika (napr. maržový kolaterál)</w:t>
            </w:r>
            <w:r w:rsidR="009912F8" w:rsidRPr="00E07C9A">
              <w:rPr>
                <w:rFonts w:ascii="Times New Roman" w:hAnsi="Times New Roman"/>
                <w:sz w:val="24"/>
              </w:rPr>
              <w:t>.</w:t>
            </w:r>
          </w:p>
          <w:p w14:paraId="45E0A0A7" w14:textId="0DA8EFF1" w:rsidR="009912F8" w:rsidRPr="00E07C9A" w:rsidRDefault="00595FAD" w:rsidP="00FF15C6">
            <w:pPr>
              <w:pStyle w:val="TableMainHeading"/>
              <w:spacing w:before="60"/>
              <w:jc w:val="both"/>
              <w:rPr>
                <w:rFonts w:ascii="Times New Roman" w:hAnsi="Times New Roman"/>
                <w:sz w:val="24"/>
              </w:rPr>
            </w:pPr>
            <w:r w:rsidRPr="00E07C9A">
              <w:rPr>
                <w:rFonts w:ascii="Times New Roman" w:hAnsi="Times New Roman"/>
                <w:sz w:val="24"/>
              </w:rPr>
              <w:t>V prípade SFT sa časť týkajúca sa cenných papierov nezohľadňuje pri určovaní hodnoty expozície pred zmierňovaním kreditného rizika, keď sa kolaterál prijíma,</w:t>
            </w:r>
            <w:r w:rsidR="009912F8" w:rsidRPr="00E07C9A">
              <w:rPr>
                <w:rFonts w:ascii="Times New Roman" w:hAnsi="Times New Roman"/>
                <w:sz w:val="24"/>
              </w:rPr>
              <w:t xml:space="preserve"> a </w:t>
            </w:r>
            <w:r w:rsidRPr="00E07C9A">
              <w:rPr>
                <w:rFonts w:ascii="Times New Roman" w:hAnsi="Times New Roman"/>
                <w:sz w:val="24"/>
              </w:rPr>
              <w:t>preto neznižuje hodnotu expozície. Naopak, časť SFT týkajúca sa cenných papierov sa riadne zohľadňuje pri určovaní hodnoty expozície pred zmierňovaním kreditného rizika, keď sa kolaterál poskytuje</w:t>
            </w:r>
            <w:r w:rsidR="009912F8" w:rsidRPr="00E07C9A">
              <w:rPr>
                <w:rFonts w:ascii="Times New Roman" w:hAnsi="Times New Roman"/>
                <w:sz w:val="24"/>
              </w:rPr>
              <w:t>.</w:t>
            </w:r>
          </w:p>
          <w:p w14:paraId="47AB4F0B" w14:textId="3355D1AA" w:rsidR="009912F8" w:rsidRPr="00E07C9A" w:rsidRDefault="00595FAD" w:rsidP="00FF15C6">
            <w:pPr>
              <w:pStyle w:val="TableMainHeading"/>
              <w:spacing w:before="60"/>
              <w:jc w:val="both"/>
              <w:rPr>
                <w:rFonts w:ascii="Times New Roman" w:hAnsi="Times New Roman"/>
                <w:sz w:val="24"/>
              </w:rPr>
            </w:pPr>
            <w:r w:rsidRPr="00E07C9A">
              <w:rPr>
                <w:rFonts w:ascii="Times New Roman" w:hAnsi="Times New Roman"/>
                <w:sz w:val="24"/>
              </w:rPr>
              <w:t>Okrem toho sa</w:t>
            </w:r>
            <w:r w:rsidR="009912F8" w:rsidRPr="00E07C9A">
              <w:rPr>
                <w:rFonts w:ascii="Times New Roman" w:hAnsi="Times New Roman"/>
                <w:sz w:val="24"/>
              </w:rPr>
              <w:t xml:space="preserve"> s </w:t>
            </w:r>
            <w:r w:rsidRPr="00E07C9A">
              <w:rPr>
                <w:rFonts w:ascii="Times New Roman" w:hAnsi="Times New Roman"/>
                <w:sz w:val="24"/>
              </w:rPr>
              <w:t>obchodnou činnosťou, ktorá je zabezpečená kolaterálom, zaobchádza ako</w:t>
            </w:r>
            <w:r w:rsidR="009912F8" w:rsidRPr="00E07C9A">
              <w:rPr>
                <w:rFonts w:ascii="Times New Roman" w:hAnsi="Times New Roman"/>
                <w:sz w:val="24"/>
              </w:rPr>
              <w:t xml:space="preserve"> s </w:t>
            </w:r>
            <w:r w:rsidRPr="00E07C9A">
              <w:rPr>
                <w:rFonts w:ascii="Times New Roman" w:hAnsi="Times New Roman"/>
                <w:sz w:val="24"/>
              </w:rPr>
              <w:t>obchodnou činnosťou, ktorá nie je zabezpečená kolaterálom, t. j. neuplatňujú sa žiadne účinky dozabezpečenia</w:t>
            </w:r>
            <w:r w:rsidR="009912F8" w:rsidRPr="00E07C9A">
              <w:rPr>
                <w:rFonts w:ascii="Times New Roman" w:hAnsi="Times New Roman"/>
                <w:sz w:val="24"/>
              </w:rPr>
              <w:t>.</w:t>
            </w:r>
          </w:p>
          <w:p w14:paraId="2A91ED8C" w14:textId="03CA740B" w:rsidR="009912F8" w:rsidRPr="00E07C9A" w:rsidRDefault="00595FAD" w:rsidP="00FF15C6">
            <w:pPr>
              <w:spacing w:before="60"/>
              <w:rPr>
                <w:rFonts w:ascii="Times New Roman" w:hAnsi="Times New Roman"/>
                <w:sz w:val="24"/>
              </w:rPr>
            </w:pPr>
            <w:r w:rsidRPr="00E07C9A">
              <w:rPr>
                <w:rFonts w:ascii="Times New Roman" w:hAnsi="Times New Roman"/>
                <w:sz w:val="24"/>
              </w:rPr>
              <w:t>Hodnota expozície pred zmierňovaním kreditného rizika</w:t>
            </w:r>
            <w:r w:rsidR="009912F8" w:rsidRPr="00E07C9A">
              <w:rPr>
                <w:rFonts w:ascii="Times New Roman" w:hAnsi="Times New Roman"/>
                <w:sz w:val="24"/>
              </w:rPr>
              <w:t xml:space="preserve"> v </w:t>
            </w:r>
            <w:r w:rsidRPr="00E07C9A">
              <w:rPr>
                <w:rFonts w:ascii="Times New Roman" w:hAnsi="Times New Roman"/>
                <w:sz w:val="24"/>
              </w:rPr>
              <w:t>prípade transakcií,</w:t>
            </w:r>
            <w:r w:rsidR="009912F8" w:rsidRPr="00E07C9A">
              <w:rPr>
                <w:rFonts w:ascii="Times New Roman" w:hAnsi="Times New Roman"/>
                <w:sz w:val="24"/>
              </w:rPr>
              <w:t xml:space="preserve"> v </w:t>
            </w:r>
            <w:r w:rsidRPr="00E07C9A">
              <w:rPr>
                <w:rFonts w:ascii="Times New Roman" w:hAnsi="Times New Roman"/>
                <w:sz w:val="24"/>
              </w:rPr>
              <w:t>súvislosti</w:t>
            </w:r>
            <w:r w:rsidR="009912F8" w:rsidRPr="00E07C9A">
              <w:rPr>
                <w:rFonts w:ascii="Times New Roman" w:hAnsi="Times New Roman"/>
                <w:sz w:val="24"/>
              </w:rPr>
              <w:t xml:space="preserve"> s </w:t>
            </w:r>
            <w:r w:rsidRPr="00E07C9A">
              <w:rPr>
                <w:rFonts w:ascii="Times New Roman" w:hAnsi="Times New Roman"/>
                <w:sz w:val="24"/>
              </w:rPr>
              <w:t>ktorými bolo identifikované špecifické riziko nesprávnej voľby, musí byť určená</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291 nariadenia (EÚ) </w:t>
            </w:r>
            <w:r w:rsidR="009912F8" w:rsidRPr="00E07C9A">
              <w:rPr>
                <w:rFonts w:ascii="Times New Roman" w:hAnsi="Times New Roman"/>
                <w:sz w:val="24"/>
              </w:rPr>
              <w:t>č. 575/2013.</w:t>
            </w:r>
          </w:p>
          <w:p w14:paraId="74BB3D1F" w14:textId="0F5ACEAA" w:rsidR="009912F8" w:rsidRPr="00E07C9A" w:rsidRDefault="00595FAD" w:rsidP="00FF15C6">
            <w:pPr>
              <w:spacing w:before="60"/>
              <w:rPr>
                <w:rFonts w:ascii="Times New Roman" w:hAnsi="Times New Roman"/>
                <w:sz w:val="24"/>
              </w:rPr>
            </w:pPr>
            <w:r w:rsidRPr="00E07C9A">
              <w:rPr>
                <w:rFonts w:ascii="Times New Roman" w:hAnsi="Times New Roman"/>
                <w:sz w:val="24"/>
              </w:rPr>
              <w:t>V hodnote expozície pred zmierňovaním kreditného rizika sa nezohľadňuje odpočet vzniknutej straty</w:t>
            </w:r>
            <w:r w:rsidR="009912F8" w:rsidRPr="00E07C9A">
              <w:rPr>
                <w:rFonts w:ascii="Times New Roman" w:hAnsi="Times New Roman"/>
                <w:sz w:val="24"/>
              </w:rPr>
              <w:t xml:space="preserve"> z </w:t>
            </w:r>
            <w:r w:rsidRPr="00E07C9A">
              <w:rPr>
                <w:rFonts w:ascii="Times New Roman" w:hAnsi="Times New Roman"/>
                <w:sz w:val="24"/>
              </w:rPr>
              <w:t>celkovej úpravy ocenenia</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273 ods. 6 nariadenia (EÚ) </w:t>
            </w:r>
            <w:r w:rsidR="009912F8" w:rsidRPr="00E07C9A">
              <w:rPr>
                <w:rFonts w:ascii="Times New Roman" w:hAnsi="Times New Roman"/>
                <w:sz w:val="24"/>
              </w:rPr>
              <w:t>č. 575/2013.</w:t>
            </w:r>
          </w:p>
          <w:p w14:paraId="76236BD1" w14:textId="3BD02B54" w:rsidR="00595FAD" w:rsidRPr="00E07C9A" w:rsidRDefault="00595FAD" w:rsidP="00FF15C6">
            <w:pPr>
              <w:spacing w:before="60"/>
              <w:rPr>
                <w:rFonts w:ascii="Times New Roman" w:hAnsi="Times New Roman"/>
                <w:i/>
                <w:sz w:val="24"/>
              </w:rPr>
            </w:pPr>
            <w:r w:rsidRPr="00E07C9A">
              <w:rPr>
                <w:rFonts w:ascii="Times New Roman" w:hAnsi="Times New Roman"/>
                <w:sz w:val="24"/>
              </w:rPr>
              <w:t>Inštitúcia vykazuje</w:t>
            </w:r>
            <w:r w:rsidR="009912F8" w:rsidRPr="00E07C9A">
              <w:rPr>
                <w:rFonts w:ascii="Times New Roman" w:hAnsi="Times New Roman"/>
                <w:sz w:val="24"/>
              </w:rPr>
              <w:t xml:space="preserve"> v </w:t>
            </w:r>
            <w:r w:rsidRPr="00E07C9A">
              <w:rPr>
                <w:rFonts w:ascii="Times New Roman" w:hAnsi="Times New Roman"/>
                <w:sz w:val="24"/>
              </w:rPr>
              <w:t>príslušnom riadku súčet všetkých hodnôt expozície pred zmierňovaním kreditného rizika.</w:t>
            </w:r>
          </w:p>
        </w:tc>
      </w:tr>
      <w:tr w:rsidR="00595FAD" w:rsidRPr="00E07C9A" w14:paraId="189AC5BD" w14:textId="77777777" w:rsidTr="00FF15C6">
        <w:trPr>
          <w:trHeight w:val="680"/>
        </w:trPr>
        <w:tc>
          <w:tcPr>
            <w:tcW w:w="1384" w:type="dxa"/>
          </w:tcPr>
          <w:p w14:paraId="4A0BDD69" w14:textId="77777777" w:rsidR="00595FAD" w:rsidRPr="00E07C9A" w:rsidRDefault="00595FAD" w:rsidP="00FF15C6">
            <w:pPr>
              <w:pStyle w:val="Applicationdirecte"/>
              <w:spacing w:before="0" w:after="0"/>
            </w:pPr>
            <w:r w:rsidRPr="00E07C9A">
              <w:t>0160</w:t>
            </w:r>
          </w:p>
        </w:tc>
        <w:tc>
          <w:tcPr>
            <w:tcW w:w="7655" w:type="dxa"/>
          </w:tcPr>
          <w:p w14:paraId="6B336E24" w14:textId="77777777" w:rsidR="009912F8" w:rsidRPr="00E07C9A" w:rsidRDefault="00595FAD" w:rsidP="00FF15C6">
            <w:pPr>
              <w:pStyle w:val="TableMainHeading"/>
              <w:jc w:val="both"/>
              <w:rPr>
                <w:rStyle w:val="InstructionsTabelleberschrift"/>
                <w:rFonts w:ascii="Times New Roman" w:hAnsi="Times New Roman"/>
                <w:sz w:val="24"/>
              </w:rPr>
            </w:pPr>
            <w:r w:rsidRPr="00E07C9A">
              <w:rPr>
                <w:rStyle w:val="InstructionsTabelleberschrift"/>
                <w:rFonts w:ascii="Times New Roman" w:hAnsi="Times New Roman"/>
                <w:sz w:val="24"/>
              </w:rPr>
              <w:t>HODNOTA EXPOZÍCIE PO ZMIERŇOVANÍ KREDITNÉHO RIZIKA</w:t>
            </w:r>
          </w:p>
          <w:p w14:paraId="796EAF43" w14:textId="6F3D0CDC" w:rsidR="00595FAD" w:rsidRPr="00E07C9A" w:rsidRDefault="00595FAD" w:rsidP="00FF15C6">
            <w:pPr>
              <w:pStyle w:val="TableMainHeading"/>
              <w:spacing w:before="60"/>
              <w:jc w:val="both"/>
              <w:rPr>
                <w:rFonts w:ascii="Times New Roman" w:hAnsi="Times New Roman"/>
                <w:sz w:val="24"/>
                <w:szCs w:val="24"/>
              </w:rPr>
            </w:pPr>
            <w:r w:rsidRPr="00E07C9A">
              <w:rPr>
                <w:rFonts w:ascii="Times New Roman" w:hAnsi="Times New Roman"/>
                <w:sz w:val="24"/>
              </w:rPr>
              <w:t>Hodnota expozície po zmierňovaní kreditného rizika pri súboroch vzájomného započítavania CCR sa vypočítava</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metódami stanovenými</w:t>
            </w:r>
            <w:r w:rsidR="009912F8" w:rsidRPr="00E07C9A">
              <w:rPr>
                <w:rFonts w:ascii="Times New Roman" w:hAnsi="Times New Roman"/>
                <w:sz w:val="24"/>
              </w:rPr>
              <w:t xml:space="preserve"> v </w:t>
            </w:r>
            <w:r w:rsidRPr="00E07C9A">
              <w:rPr>
                <w:rFonts w:ascii="Times New Roman" w:hAnsi="Times New Roman"/>
                <w:sz w:val="24"/>
              </w:rPr>
              <w:t>tretej časti hlave II kapitolách 4</w:t>
            </w:r>
            <w:r w:rsidR="009912F8" w:rsidRPr="00E07C9A">
              <w:rPr>
                <w:rFonts w:ascii="Times New Roman" w:hAnsi="Times New Roman"/>
                <w:sz w:val="24"/>
              </w:rPr>
              <w:t xml:space="preserve"> a </w:t>
            </w:r>
            <w:r w:rsidRPr="00E07C9A">
              <w:rPr>
                <w:rFonts w:ascii="Times New Roman" w:hAnsi="Times New Roman"/>
                <w:sz w:val="24"/>
              </w:rPr>
              <w:t xml:space="preserve">6 nariadenia (EÚ) </w:t>
            </w:r>
            <w:r w:rsidR="009912F8" w:rsidRPr="00E07C9A">
              <w:rPr>
                <w:rFonts w:ascii="Times New Roman" w:hAnsi="Times New Roman"/>
                <w:sz w:val="24"/>
              </w:rPr>
              <w:t>č. 575/2013</w:t>
            </w:r>
            <w:r w:rsidRPr="00E07C9A">
              <w:rPr>
                <w:rFonts w:ascii="Times New Roman" w:hAnsi="Times New Roman"/>
                <w:sz w:val="24"/>
              </w:rPr>
              <w:t xml:space="preserve"> po uplatnení príslušných postupov zmierňovania kreditného rizika</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treťou časťou hlavou II kapitolami 4</w:t>
            </w:r>
            <w:r w:rsidR="009912F8" w:rsidRPr="00E07C9A">
              <w:rPr>
                <w:rFonts w:ascii="Times New Roman" w:hAnsi="Times New Roman"/>
                <w:sz w:val="24"/>
              </w:rPr>
              <w:t xml:space="preserve"> a </w:t>
            </w:r>
            <w:r w:rsidRPr="00E07C9A">
              <w:rPr>
                <w:rFonts w:ascii="Times New Roman" w:hAnsi="Times New Roman"/>
                <w:sz w:val="24"/>
              </w:rPr>
              <w:t>6 uvedeného nariadenia.</w:t>
            </w:r>
          </w:p>
          <w:p w14:paraId="759896F9" w14:textId="28C133FF" w:rsidR="009912F8" w:rsidRPr="00E07C9A" w:rsidRDefault="00595FAD" w:rsidP="00FF15C6">
            <w:pPr>
              <w:spacing w:before="60"/>
              <w:rPr>
                <w:rFonts w:ascii="Times New Roman" w:hAnsi="Times New Roman"/>
                <w:sz w:val="24"/>
              </w:rPr>
            </w:pPr>
            <w:r w:rsidRPr="00E07C9A">
              <w:rPr>
                <w:rFonts w:ascii="Times New Roman" w:hAnsi="Times New Roman"/>
                <w:sz w:val="24"/>
              </w:rPr>
              <w:t>Hodnota expozície po zmierňovaní kreditného rizika</w:t>
            </w:r>
            <w:r w:rsidR="009912F8" w:rsidRPr="00E07C9A">
              <w:rPr>
                <w:rFonts w:ascii="Times New Roman" w:hAnsi="Times New Roman"/>
                <w:sz w:val="24"/>
              </w:rPr>
              <w:t xml:space="preserve"> v </w:t>
            </w:r>
            <w:r w:rsidRPr="00E07C9A">
              <w:rPr>
                <w:rFonts w:ascii="Times New Roman" w:hAnsi="Times New Roman"/>
                <w:sz w:val="24"/>
              </w:rPr>
              <w:t>prípade transakcií,</w:t>
            </w:r>
            <w:r w:rsidR="009912F8" w:rsidRPr="00E07C9A">
              <w:rPr>
                <w:rFonts w:ascii="Times New Roman" w:hAnsi="Times New Roman"/>
                <w:sz w:val="24"/>
              </w:rPr>
              <w:t xml:space="preserve"> v </w:t>
            </w:r>
            <w:r w:rsidRPr="00E07C9A">
              <w:rPr>
                <w:rFonts w:ascii="Times New Roman" w:hAnsi="Times New Roman"/>
                <w:sz w:val="24"/>
              </w:rPr>
              <w:t>súvislosti</w:t>
            </w:r>
            <w:r w:rsidR="009912F8" w:rsidRPr="00E07C9A">
              <w:rPr>
                <w:rFonts w:ascii="Times New Roman" w:hAnsi="Times New Roman"/>
                <w:sz w:val="24"/>
              </w:rPr>
              <w:t xml:space="preserve"> s </w:t>
            </w:r>
            <w:r w:rsidRPr="00E07C9A">
              <w:rPr>
                <w:rFonts w:ascii="Times New Roman" w:hAnsi="Times New Roman"/>
                <w:sz w:val="24"/>
              </w:rPr>
              <w:t>ktorými bolo identifikované špecifické riziko nesprávnej voľby, musí byť určená</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291 nariadenia (EÚ) </w:t>
            </w:r>
            <w:r w:rsidR="009912F8" w:rsidRPr="00E07C9A">
              <w:rPr>
                <w:rFonts w:ascii="Times New Roman" w:hAnsi="Times New Roman"/>
                <w:sz w:val="24"/>
              </w:rPr>
              <w:t>č. 575/2013.</w:t>
            </w:r>
          </w:p>
          <w:p w14:paraId="7C02E73D" w14:textId="3E502CEB" w:rsidR="00595FAD" w:rsidRPr="00E07C9A" w:rsidRDefault="00595FAD" w:rsidP="00FF15C6">
            <w:pPr>
              <w:spacing w:before="60"/>
              <w:rPr>
                <w:rFonts w:ascii="Times New Roman" w:hAnsi="Times New Roman"/>
                <w:sz w:val="24"/>
              </w:rPr>
            </w:pPr>
            <w:r w:rsidRPr="00E07C9A">
              <w:rPr>
                <w:rFonts w:ascii="Times New Roman" w:hAnsi="Times New Roman"/>
                <w:sz w:val="24"/>
              </w:rPr>
              <w:t>V hodnote expozície po zmierňovaní kreditného rizika sa nezohľadňuje odpočet vzniknutej straty</w:t>
            </w:r>
            <w:r w:rsidR="009912F8" w:rsidRPr="00E07C9A">
              <w:rPr>
                <w:rFonts w:ascii="Times New Roman" w:hAnsi="Times New Roman"/>
                <w:sz w:val="24"/>
              </w:rPr>
              <w:t xml:space="preserve"> z </w:t>
            </w:r>
            <w:r w:rsidRPr="00E07C9A">
              <w:rPr>
                <w:rFonts w:ascii="Times New Roman" w:hAnsi="Times New Roman"/>
                <w:sz w:val="24"/>
              </w:rPr>
              <w:t>celkovej úpravy ocenenia</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273 ods. 6 nariadenia (EÚ) </w:t>
            </w:r>
            <w:r w:rsidR="009912F8" w:rsidRPr="00E07C9A">
              <w:rPr>
                <w:rFonts w:ascii="Times New Roman" w:hAnsi="Times New Roman"/>
                <w:sz w:val="24"/>
              </w:rPr>
              <w:t>č. 575/2013</w:t>
            </w:r>
            <w:r w:rsidRPr="00E07C9A">
              <w:rPr>
                <w:rFonts w:ascii="Times New Roman" w:hAnsi="Times New Roman"/>
                <w:sz w:val="24"/>
              </w:rPr>
              <w:t>.</w:t>
            </w:r>
          </w:p>
          <w:p w14:paraId="166E17FB" w14:textId="0F755A45" w:rsidR="00595FAD" w:rsidRPr="00E07C9A" w:rsidRDefault="00595FAD" w:rsidP="00FF15C6">
            <w:pPr>
              <w:spacing w:before="60"/>
              <w:rPr>
                <w:rFonts w:ascii="Times New Roman" w:hAnsi="Times New Roman"/>
                <w:i/>
                <w:sz w:val="24"/>
              </w:rPr>
            </w:pPr>
            <w:r w:rsidRPr="00E07C9A">
              <w:rPr>
                <w:rFonts w:ascii="Times New Roman" w:hAnsi="Times New Roman"/>
                <w:sz w:val="24"/>
              </w:rPr>
              <w:t>Inštitúcia vykazuje</w:t>
            </w:r>
            <w:r w:rsidR="009912F8" w:rsidRPr="00E07C9A">
              <w:rPr>
                <w:rFonts w:ascii="Times New Roman" w:hAnsi="Times New Roman"/>
                <w:sz w:val="24"/>
              </w:rPr>
              <w:t xml:space="preserve"> v </w:t>
            </w:r>
            <w:r w:rsidRPr="00E07C9A">
              <w:rPr>
                <w:rFonts w:ascii="Times New Roman" w:hAnsi="Times New Roman"/>
                <w:sz w:val="24"/>
              </w:rPr>
              <w:t>príslušnom riadku súčet všetkých hodnôt expozície po zmierňovaní kreditného rizika.</w:t>
            </w:r>
          </w:p>
        </w:tc>
      </w:tr>
      <w:tr w:rsidR="00595FAD" w:rsidRPr="00E07C9A" w14:paraId="08687A83" w14:textId="77777777" w:rsidTr="00FF15C6">
        <w:trPr>
          <w:trHeight w:val="680"/>
        </w:trPr>
        <w:tc>
          <w:tcPr>
            <w:tcW w:w="1384" w:type="dxa"/>
          </w:tcPr>
          <w:p w14:paraId="04A09711" w14:textId="77777777" w:rsidR="00595FAD" w:rsidRPr="00E07C9A" w:rsidRDefault="00595FAD" w:rsidP="00FF15C6">
            <w:pPr>
              <w:pStyle w:val="Applicationdirecte"/>
              <w:spacing w:before="0" w:after="0"/>
            </w:pPr>
            <w:r w:rsidRPr="00E07C9A">
              <w:t>0170</w:t>
            </w:r>
          </w:p>
        </w:tc>
        <w:tc>
          <w:tcPr>
            <w:tcW w:w="7655" w:type="dxa"/>
            <w:vAlign w:val="center"/>
          </w:tcPr>
          <w:p w14:paraId="1FD00B85" w14:textId="77777777" w:rsidR="00595FAD" w:rsidRPr="00E07C9A" w:rsidRDefault="00595FAD" w:rsidP="00FF15C6">
            <w:pPr>
              <w:pStyle w:val="TableMainHeading"/>
              <w:jc w:val="both"/>
              <w:rPr>
                <w:rStyle w:val="InstructionsTabelleberschrift"/>
                <w:rFonts w:ascii="Times New Roman" w:eastAsiaTheme="minorEastAsia" w:hAnsi="Times New Roman"/>
                <w:sz w:val="24"/>
                <w:szCs w:val="24"/>
              </w:rPr>
            </w:pPr>
            <w:r w:rsidRPr="00E07C9A">
              <w:rPr>
                <w:rStyle w:val="InstructionsTabelleberschrift"/>
                <w:rFonts w:ascii="Times New Roman" w:hAnsi="Times New Roman"/>
                <w:sz w:val="24"/>
              </w:rPr>
              <w:t>HODNOTA EXPOZÍCIE</w:t>
            </w:r>
          </w:p>
          <w:p w14:paraId="55D6C962" w14:textId="3F6B49A4" w:rsidR="009912F8" w:rsidRPr="00E07C9A" w:rsidRDefault="00595FAD" w:rsidP="00FF15C6">
            <w:pPr>
              <w:pStyle w:val="TableMainHeading"/>
              <w:spacing w:before="60"/>
              <w:jc w:val="both"/>
              <w:rPr>
                <w:rFonts w:ascii="Times New Roman" w:hAnsi="Times New Roman"/>
                <w:sz w:val="24"/>
              </w:rPr>
            </w:pPr>
            <w:r w:rsidRPr="00E07C9A">
              <w:rPr>
                <w:rFonts w:ascii="Times New Roman" w:hAnsi="Times New Roman"/>
                <w:sz w:val="24"/>
              </w:rPr>
              <w:t>Hodnota expozície</w:t>
            </w:r>
            <w:r w:rsidR="009912F8" w:rsidRPr="00E07C9A">
              <w:rPr>
                <w:rFonts w:ascii="Times New Roman" w:hAnsi="Times New Roman"/>
                <w:sz w:val="24"/>
              </w:rPr>
              <w:t xml:space="preserve"> v </w:t>
            </w:r>
            <w:r w:rsidRPr="00E07C9A">
              <w:rPr>
                <w:rFonts w:ascii="Times New Roman" w:hAnsi="Times New Roman"/>
                <w:sz w:val="24"/>
              </w:rPr>
              <w:t>prípade súborov vzájomného započítavania CCR, vypočítaná</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metódami stanovenými</w:t>
            </w:r>
            <w:r w:rsidR="009912F8" w:rsidRPr="00E07C9A">
              <w:rPr>
                <w:rFonts w:ascii="Times New Roman" w:hAnsi="Times New Roman"/>
                <w:sz w:val="24"/>
              </w:rPr>
              <w:t xml:space="preserve"> v </w:t>
            </w:r>
            <w:r w:rsidRPr="00E07C9A">
              <w:rPr>
                <w:rFonts w:ascii="Times New Roman" w:hAnsi="Times New Roman"/>
                <w:sz w:val="24"/>
              </w:rPr>
              <w:t>tretej časti hlave II kapitolách 4</w:t>
            </w:r>
            <w:r w:rsidR="009912F8" w:rsidRPr="00E07C9A">
              <w:rPr>
                <w:rFonts w:ascii="Times New Roman" w:hAnsi="Times New Roman"/>
                <w:sz w:val="24"/>
              </w:rPr>
              <w:t xml:space="preserve"> a </w:t>
            </w:r>
            <w:r w:rsidRPr="00E07C9A">
              <w:rPr>
                <w:rFonts w:ascii="Times New Roman" w:hAnsi="Times New Roman"/>
                <w:sz w:val="24"/>
              </w:rPr>
              <w:t xml:space="preserve">6 nariadenia (EÚ) </w:t>
            </w:r>
            <w:r w:rsidR="009912F8" w:rsidRPr="00E07C9A">
              <w:rPr>
                <w:rFonts w:ascii="Times New Roman" w:hAnsi="Times New Roman"/>
                <w:sz w:val="24"/>
              </w:rPr>
              <w:t>č. 575/2013</w:t>
            </w:r>
            <w:r w:rsidRPr="00E07C9A">
              <w:rPr>
                <w:rFonts w:ascii="Times New Roman" w:hAnsi="Times New Roman"/>
                <w:sz w:val="24"/>
              </w:rPr>
              <w:t>, ktorá je hodnotou relevantnou na výpočet hodnôt rizikovo vážených expozícií, t. j. po uplatnení príslušných postupov zmierňovania kreditného rizika</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treťou časťou hlavou II kapitolami 4</w:t>
            </w:r>
            <w:r w:rsidR="009912F8" w:rsidRPr="00E07C9A">
              <w:rPr>
                <w:rFonts w:ascii="Times New Roman" w:hAnsi="Times New Roman"/>
                <w:sz w:val="24"/>
              </w:rPr>
              <w:t xml:space="preserve"> a </w:t>
            </w:r>
            <w:r w:rsidRPr="00E07C9A">
              <w:rPr>
                <w:rFonts w:ascii="Times New Roman" w:hAnsi="Times New Roman"/>
                <w:sz w:val="24"/>
              </w:rPr>
              <w:t xml:space="preserve">6 nariadenia (EÚ) </w:t>
            </w:r>
            <w:r w:rsidR="009912F8" w:rsidRPr="00E07C9A">
              <w:rPr>
                <w:rFonts w:ascii="Times New Roman" w:hAnsi="Times New Roman"/>
                <w:sz w:val="24"/>
              </w:rPr>
              <w:t>č. 575/2013 a </w:t>
            </w:r>
            <w:r w:rsidRPr="00E07C9A">
              <w:rPr>
                <w:rFonts w:ascii="Times New Roman" w:hAnsi="Times New Roman"/>
                <w:sz w:val="24"/>
              </w:rPr>
              <w:t>po zohľadnení odpočtu vzniknutej straty</w:t>
            </w:r>
            <w:r w:rsidR="009912F8" w:rsidRPr="00E07C9A">
              <w:rPr>
                <w:rFonts w:ascii="Times New Roman" w:hAnsi="Times New Roman"/>
                <w:sz w:val="24"/>
              </w:rPr>
              <w:t xml:space="preserve"> z </w:t>
            </w:r>
            <w:r w:rsidRPr="00E07C9A">
              <w:rPr>
                <w:rFonts w:ascii="Times New Roman" w:hAnsi="Times New Roman"/>
                <w:sz w:val="24"/>
              </w:rPr>
              <w:t>celkovej úpravy ocenenia</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273 ods. 6 nariadenia (EÚ) </w:t>
            </w:r>
            <w:r w:rsidR="009912F8" w:rsidRPr="00E07C9A">
              <w:rPr>
                <w:rFonts w:ascii="Times New Roman" w:hAnsi="Times New Roman"/>
                <w:sz w:val="24"/>
              </w:rPr>
              <w:t>č. 575/2013.</w:t>
            </w:r>
          </w:p>
          <w:p w14:paraId="15F03715" w14:textId="7B63F74B" w:rsidR="00595FAD" w:rsidRPr="00E07C9A" w:rsidRDefault="00595FAD" w:rsidP="00FF15C6">
            <w:pPr>
              <w:rPr>
                <w:rFonts w:ascii="Times New Roman" w:hAnsi="Times New Roman"/>
                <w:sz w:val="24"/>
              </w:rPr>
            </w:pPr>
            <w:r w:rsidRPr="00E07C9A">
              <w:rPr>
                <w:rFonts w:ascii="Times New Roman" w:hAnsi="Times New Roman"/>
                <w:sz w:val="24"/>
              </w:rPr>
              <w:t>Hodnota expozície</w:t>
            </w:r>
            <w:r w:rsidR="009912F8" w:rsidRPr="00E07C9A">
              <w:rPr>
                <w:rFonts w:ascii="Times New Roman" w:hAnsi="Times New Roman"/>
                <w:sz w:val="24"/>
              </w:rPr>
              <w:t xml:space="preserve"> v </w:t>
            </w:r>
            <w:r w:rsidRPr="00E07C9A">
              <w:rPr>
                <w:rFonts w:ascii="Times New Roman" w:hAnsi="Times New Roman"/>
                <w:sz w:val="24"/>
              </w:rPr>
              <w:t>prípade transakcií,</w:t>
            </w:r>
            <w:r w:rsidR="009912F8" w:rsidRPr="00E07C9A">
              <w:rPr>
                <w:rFonts w:ascii="Times New Roman" w:hAnsi="Times New Roman"/>
                <w:sz w:val="24"/>
              </w:rPr>
              <w:t xml:space="preserve"> v </w:t>
            </w:r>
            <w:r w:rsidRPr="00E07C9A">
              <w:rPr>
                <w:rFonts w:ascii="Times New Roman" w:hAnsi="Times New Roman"/>
                <w:sz w:val="24"/>
              </w:rPr>
              <w:t>súvislosti</w:t>
            </w:r>
            <w:r w:rsidR="009912F8" w:rsidRPr="00E07C9A">
              <w:rPr>
                <w:rFonts w:ascii="Times New Roman" w:hAnsi="Times New Roman"/>
                <w:sz w:val="24"/>
              </w:rPr>
              <w:t xml:space="preserve"> s </w:t>
            </w:r>
            <w:r w:rsidRPr="00E07C9A">
              <w:rPr>
                <w:rFonts w:ascii="Times New Roman" w:hAnsi="Times New Roman"/>
                <w:sz w:val="24"/>
              </w:rPr>
              <w:t>ktorými bolo identifikované špecifické riziko nesprávnej voľby, musí byť určená</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291 nariadenia (EÚ) </w:t>
            </w:r>
            <w:r w:rsidR="009912F8" w:rsidRPr="00E07C9A">
              <w:rPr>
                <w:rFonts w:ascii="Times New Roman" w:hAnsi="Times New Roman"/>
                <w:sz w:val="24"/>
              </w:rPr>
              <w:t>č. 575/2013</w:t>
            </w:r>
            <w:r w:rsidRPr="00E07C9A">
              <w:rPr>
                <w:rFonts w:ascii="Times New Roman" w:hAnsi="Times New Roman"/>
                <w:sz w:val="24"/>
              </w:rPr>
              <w:t>.</w:t>
            </w:r>
          </w:p>
          <w:p w14:paraId="3B7DEFE7" w14:textId="325DDFD0" w:rsidR="00595FAD" w:rsidRPr="00E07C9A" w:rsidRDefault="00595FAD" w:rsidP="00FF15C6">
            <w:pPr>
              <w:pStyle w:val="TableMainHeading"/>
              <w:spacing w:before="60"/>
              <w:jc w:val="both"/>
              <w:rPr>
                <w:rFonts w:ascii="Times New Roman" w:hAnsi="Times New Roman"/>
                <w:sz w:val="24"/>
                <w:szCs w:val="24"/>
              </w:rPr>
            </w:pPr>
            <w:r w:rsidRPr="00E07C9A">
              <w:rPr>
                <w:rFonts w:ascii="Times New Roman" w:hAnsi="Times New Roman"/>
                <w:sz w:val="24"/>
              </w:rPr>
              <w:t>V prípadoch, keď sa pre jednu protistranu používa viac ako jeden prístup CCR, vzniknutá strata</w:t>
            </w:r>
            <w:r w:rsidR="009912F8" w:rsidRPr="00E07C9A">
              <w:rPr>
                <w:rFonts w:ascii="Times New Roman" w:hAnsi="Times New Roman"/>
                <w:sz w:val="24"/>
              </w:rPr>
              <w:t xml:space="preserve"> z </w:t>
            </w:r>
            <w:r w:rsidRPr="00E07C9A">
              <w:rPr>
                <w:rFonts w:ascii="Times New Roman" w:hAnsi="Times New Roman"/>
                <w:sz w:val="24"/>
              </w:rPr>
              <w:t>celkovej úpravy ocenenia, ktorá sa odpočítava na úrovni protistrany, sa</w:t>
            </w:r>
            <w:r w:rsidR="009912F8" w:rsidRPr="00E07C9A">
              <w:rPr>
                <w:rFonts w:ascii="Times New Roman" w:hAnsi="Times New Roman"/>
                <w:sz w:val="24"/>
              </w:rPr>
              <w:t xml:space="preserve"> v </w:t>
            </w:r>
            <w:r w:rsidRPr="00E07C9A">
              <w:rPr>
                <w:rFonts w:ascii="Times New Roman" w:hAnsi="Times New Roman"/>
                <w:sz w:val="24"/>
              </w:rPr>
              <w:t>rámci každého prístupu CCR priraďuje</w:t>
            </w:r>
            <w:r w:rsidR="009912F8" w:rsidRPr="00E07C9A">
              <w:rPr>
                <w:rFonts w:ascii="Times New Roman" w:hAnsi="Times New Roman"/>
                <w:sz w:val="24"/>
              </w:rPr>
              <w:t xml:space="preserve"> k </w:t>
            </w:r>
            <w:r w:rsidRPr="00E07C9A">
              <w:rPr>
                <w:rFonts w:ascii="Times New Roman" w:hAnsi="Times New Roman"/>
                <w:sz w:val="24"/>
              </w:rPr>
              <w:t>hodnote expozície rôznych súborov vzájomného započítavania, ktoré odrážajú pomer hodnoty expozície po zmierňovaní kreditného rizika príslušných súborov vzájomného započítavania</w:t>
            </w:r>
            <w:r w:rsidR="009912F8" w:rsidRPr="00E07C9A">
              <w:rPr>
                <w:rFonts w:ascii="Times New Roman" w:hAnsi="Times New Roman"/>
                <w:sz w:val="24"/>
              </w:rPr>
              <w:t xml:space="preserve"> k </w:t>
            </w:r>
            <w:r w:rsidRPr="00E07C9A">
              <w:rPr>
                <w:rFonts w:ascii="Times New Roman" w:hAnsi="Times New Roman"/>
                <w:sz w:val="24"/>
              </w:rPr>
              <w:t>celkovej hodnote expozície po zmierňovaní kreditného rizika protistrany.</w:t>
            </w:r>
          </w:p>
          <w:p w14:paraId="69695180" w14:textId="66ABFA85" w:rsidR="00595FAD" w:rsidRPr="00E07C9A" w:rsidRDefault="00595FAD" w:rsidP="00FF15C6">
            <w:pPr>
              <w:rPr>
                <w:rFonts w:ascii="Times New Roman" w:hAnsi="Times New Roman"/>
              </w:rPr>
            </w:pPr>
            <w:r w:rsidRPr="00E07C9A">
              <w:rPr>
                <w:rFonts w:ascii="Times New Roman" w:hAnsi="Times New Roman"/>
                <w:sz w:val="24"/>
              </w:rPr>
              <w:t>Inštitúcia vykazuje</w:t>
            </w:r>
            <w:r w:rsidR="009912F8" w:rsidRPr="00E07C9A">
              <w:rPr>
                <w:rFonts w:ascii="Times New Roman" w:hAnsi="Times New Roman"/>
                <w:sz w:val="24"/>
              </w:rPr>
              <w:t xml:space="preserve"> v </w:t>
            </w:r>
            <w:r w:rsidRPr="00E07C9A">
              <w:rPr>
                <w:rFonts w:ascii="Times New Roman" w:hAnsi="Times New Roman"/>
                <w:sz w:val="24"/>
              </w:rPr>
              <w:t>príslušnom riadku súčet všetkých hodnôt expozície.</w:t>
            </w:r>
          </w:p>
        </w:tc>
      </w:tr>
      <w:tr w:rsidR="00595FAD" w:rsidRPr="00E07C9A" w14:paraId="4C8C282F" w14:textId="77777777" w:rsidTr="00FF15C6">
        <w:trPr>
          <w:trHeight w:val="680"/>
        </w:trPr>
        <w:tc>
          <w:tcPr>
            <w:tcW w:w="1384" w:type="dxa"/>
          </w:tcPr>
          <w:p w14:paraId="2B30B35B" w14:textId="77777777" w:rsidR="00595FAD" w:rsidRPr="00E07C9A" w:rsidRDefault="00595FAD" w:rsidP="00FF15C6">
            <w:pPr>
              <w:pStyle w:val="Applicationdirecte"/>
              <w:spacing w:before="0" w:after="0"/>
            </w:pPr>
            <w:r w:rsidRPr="00E07C9A">
              <w:t>0180</w:t>
            </w:r>
          </w:p>
        </w:tc>
        <w:tc>
          <w:tcPr>
            <w:tcW w:w="7655" w:type="dxa"/>
          </w:tcPr>
          <w:p w14:paraId="065D73A4" w14:textId="0743F847" w:rsidR="00595FAD" w:rsidRPr="00E07C9A" w:rsidRDefault="00595FAD" w:rsidP="00FF15C6">
            <w:pPr>
              <w:pStyle w:val="TableMainHeading"/>
              <w:jc w:val="both"/>
              <w:rPr>
                <w:rStyle w:val="InstructionsTabelleberschrift"/>
                <w:rFonts w:ascii="Times New Roman" w:eastAsiaTheme="minorEastAsia" w:hAnsi="Times New Roman"/>
                <w:sz w:val="24"/>
                <w:szCs w:val="24"/>
              </w:rPr>
            </w:pPr>
            <w:r w:rsidRPr="00E07C9A">
              <w:rPr>
                <w:rStyle w:val="InstructionsTabelleberschrift"/>
                <w:rFonts w:ascii="Times New Roman" w:hAnsi="Times New Roman"/>
                <w:sz w:val="24"/>
              </w:rPr>
              <w:t>Pozície,</w:t>
            </w:r>
            <w:r w:rsidR="009912F8" w:rsidRPr="00E07C9A">
              <w:rPr>
                <w:rStyle w:val="InstructionsTabelleberschrift"/>
                <w:rFonts w:ascii="Times New Roman" w:hAnsi="Times New Roman"/>
                <w:sz w:val="24"/>
              </w:rPr>
              <w:t xml:space="preserve"> s </w:t>
            </w:r>
            <w:r w:rsidRPr="00E07C9A">
              <w:rPr>
                <w:rStyle w:val="InstructionsTabelleberschrift"/>
                <w:rFonts w:ascii="Times New Roman" w:hAnsi="Times New Roman"/>
                <w:sz w:val="24"/>
              </w:rPr>
              <w:t>ktorými sa zaobchádza podľa štandardizovaného prístupu ku kapitálovým požiadavkám</w:t>
            </w:r>
          </w:p>
          <w:p w14:paraId="4A2A1C4A" w14:textId="0151224B" w:rsidR="00595FAD" w:rsidRPr="00E07C9A" w:rsidRDefault="00595FAD" w:rsidP="00F02E37">
            <w:pPr>
              <w:spacing w:before="60"/>
              <w:rPr>
                <w:rFonts w:ascii="Times New Roman" w:hAnsi="Times New Roman"/>
                <w:i/>
                <w:sz w:val="24"/>
              </w:rPr>
            </w:pPr>
            <w:r w:rsidRPr="00E07C9A">
              <w:rPr>
                <w:rFonts w:ascii="Times New Roman" w:hAnsi="Times New Roman"/>
                <w:sz w:val="24"/>
              </w:rPr>
              <w:t>Hodnota expozície voči CCR</w:t>
            </w:r>
            <w:r w:rsidR="009912F8" w:rsidRPr="00E07C9A">
              <w:rPr>
                <w:rFonts w:ascii="Times New Roman" w:hAnsi="Times New Roman"/>
                <w:sz w:val="24"/>
              </w:rPr>
              <w:t xml:space="preserve"> v </w:t>
            </w:r>
            <w:r w:rsidRPr="00E07C9A">
              <w:rPr>
                <w:rFonts w:ascii="Times New Roman" w:hAnsi="Times New Roman"/>
                <w:sz w:val="24"/>
              </w:rPr>
              <w:t>prípade pozícií,</w:t>
            </w:r>
            <w:r w:rsidR="009912F8" w:rsidRPr="00E07C9A">
              <w:rPr>
                <w:rFonts w:ascii="Times New Roman" w:hAnsi="Times New Roman"/>
                <w:sz w:val="24"/>
              </w:rPr>
              <w:t xml:space="preserve"> s </w:t>
            </w:r>
            <w:r w:rsidRPr="00E07C9A">
              <w:rPr>
                <w:rFonts w:ascii="Times New Roman" w:hAnsi="Times New Roman"/>
                <w:sz w:val="24"/>
              </w:rPr>
              <w:t>ktorými sa zaobchádza podľa štandardizovaného prístupu pre kreditné riziko</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treťou časťou hlavou II kapitolou 2 nariadenia (EÚ) </w:t>
            </w:r>
            <w:r w:rsidR="009912F8" w:rsidRPr="00E07C9A">
              <w:rPr>
                <w:rFonts w:ascii="Times New Roman" w:hAnsi="Times New Roman"/>
                <w:sz w:val="24"/>
              </w:rPr>
              <w:t>č. 575/2013</w:t>
            </w:r>
            <w:r w:rsidRPr="00E07C9A">
              <w:rPr>
                <w:rFonts w:ascii="Times New Roman" w:hAnsi="Times New Roman"/>
                <w:sz w:val="24"/>
              </w:rPr>
              <w:t>.</w:t>
            </w:r>
          </w:p>
        </w:tc>
      </w:tr>
      <w:tr w:rsidR="00595FAD" w:rsidRPr="00E07C9A" w14:paraId="4006E831" w14:textId="77777777" w:rsidTr="00FF15C6">
        <w:trPr>
          <w:trHeight w:val="557"/>
        </w:trPr>
        <w:tc>
          <w:tcPr>
            <w:tcW w:w="1384" w:type="dxa"/>
          </w:tcPr>
          <w:p w14:paraId="37EE8318" w14:textId="77777777" w:rsidR="00595FAD" w:rsidRPr="00E07C9A" w:rsidRDefault="00595FAD" w:rsidP="00FF15C6">
            <w:pPr>
              <w:pStyle w:val="Applicationdirecte"/>
              <w:spacing w:before="0" w:after="0"/>
            </w:pPr>
            <w:r w:rsidRPr="00E07C9A">
              <w:t>0190</w:t>
            </w:r>
          </w:p>
        </w:tc>
        <w:tc>
          <w:tcPr>
            <w:tcW w:w="7655" w:type="dxa"/>
          </w:tcPr>
          <w:p w14:paraId="5427F866" w14:textId="5784D578" w:rsidR="00595FAD" w:rsidRPr="00E07C9A" w:rsidRDefault="00595FAD" w:rsidP="00FF15C6">
            <w:pPr>
              <w:pStyle w:val="TableMainHeading"/>
              <w:jc w:val="both"/>
              <w:rPr>
                <w:rStyle w:val="InstructionsTabelleberschrift"/>
                <w:rFonts w:ascii="Times New Roman" w:eastAsiaTheme="minorEastAsia" w:hAnsi="Times New Roman"/>
                <w:sz w:val="24"/>
                <w:szCs w:val="24"/>
              </w:rPr>
            </w:pPr>
            <w:r w:rsidRPr="00E07C9A">
              <w:rPr>
                <w:rStyle w:val="InstructionsTabelleberschrift"/>
                <w:rFonts w:ascii="Times New Roman" w:hAnsi="Times New Roman"/>
                <w:sz w:val="24"/>
              </w:rPr>
              <w:t>Pozície,</w:t>
            </w:r>
            <w:r w:rsidR="009912F8" w:rsidRPr="00E07C9A">
              <w:rPr>
                <w:rStyle w:val="InstructionsTabelleberschrift"/>
                <w:rFonts w:ascii="Times New Roman" w:hAnsi="Times New Roman"/>
                <w:sz w:val="24"/>
              </w:rPr>
              <w:t xml:space="preserve"> s </w:t>
            </w:r>
            <w:r w:rsidRPr="00E07C9A">
              <w:rPr>
                <w:rStyle w:val="InstructionsTabelleberschrift"/>
                <w:rFonts w:ascii="Times New Roman" w:hAnsi="Times New Roman"/>
                <w:sz w:val="24"/>
              </w:rPr>
              <w:t>ktorými sa zaobchádza podľa prístupu CR IRB</w:t>
            </w:r>
          </w:p>
          <w:p w14:paraId="1C71423D" w14:textId="4CF510A1" w:rsidR="00595FAD" w:rsidRPr="00E07C9A" w:rsidRDefault="00595FAD" w:rsidP="00F02E37">
            <w:pPr>
              <w:rPr>
                <w:rFonts w:ascii="Times New Roman" w:hAnsi="Times New Roman"/>
                <w:sz w:val="24"/>
              </w:rPr>
            </w:pPr>
            <w:r w:rsidRPr="00E07C9A">
              <w:rPr>
                <w:rFonts w:ascii="Times New Roman" w:hAnsi="Times New Roman"/>
                <w:sz w:val="24"/>
              </w:rPr>
              <w:t>Hodnota expozície voči CCR</w:t>
            </w:r>
            <w:r w:rsidR="009912F8" w:rsidRPr="00E07C9A">
              <w:rPr>
                <w:rFonts w:ascii="Times New Roman" w:hAnsi="Times New Roman"/>
                <w:sz w:val="24"/>
              </w:rPr>
              <w:t xml:space="preserve"> v </w:t>
            </w:r>
            <w:r w:rsidRPr="00E07C9A">
              <w:rPr>
                <w:rFonts w:ascii="Times New Roman" w:hAnsi="Times New Roman"/>
                <w:sz w:val="24"/>
              </w:rPr>
              <w:t>prípade pozícií,</w:t>
            </w:r>
            <w:r w:rsidR="009912F8" w:rsidRPr="00E07C9A">
              <w:rPr>
                <w:rFonts w:ascii="Times New Roman" w:hAnsi="Times New Roman"/>
                <w:sz w:val="24"/>
              </w:rPr>
              <w:t xml:space="preserve"> s </w:t>
            </w:r>
            <w:r w:rsidRPr="00E07C9A">
              <w:rPr>
                <w:rFonts w:ascii="Times New Roman" w:hAnsi="Times New Roman"/>
                <w:sz w:val="24"/>
              </w:rPr>
              <w:t>ktorými sa zaobchádza podľa prístupu IRB pre kreditné riziko</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treťou časťou hlavou II kapitolou 3 nariadenia (EÚ) </w:t>
            </w:r>
            <w:r w:rsidR="009912F8" w:rsidRPr="00E07C9A">
              <w:rPr>
                <w:rFonts w:ascii="Times New Roman" w:hAnsi="Times New Roman"/>
                <w:sz w:val="24"/>
              </w:rPr>
              <w:t>č. 575/2013</w:t>
            </w:r>
            <w:r w:rsidRPr="00E07C9A">
              <w:rPr>
                <w:rFonts w:ascii="Times New Roman" w:hAnsi="Times New Roman"/>
                <w:sz w:val="24"/>
              </w:rPr>
              <w:t xml:space="preserve">. </w:t>
            </w:r>
          </w:p>
        </w:tc>
      </w:tr>
      <w:tr w:rsidR="00595FAD" w:rsidRPr="00E07C9A" w14:paraId="25A667BF" w14:textId="77777777" w:rsidTr="00FF15C6">
        <w:trPr>
          <w:trHeight w:val="680"/>
        </w:trPr>
        <w:tc>
          <w:tcPr>
            <w:tcW w:w="1384" w:type="dxa"/>
          </w:tcPr>
          <w:p w14:paraId="640664F5" w14:textId="77777777" w:rsidR="00595FAD" w:rsidRPr="00E07C9A" w:rsidRDefault="00595FAD" w:rsidP="00FF15C6">
            <w:pPr>
              <w:pStyle w:val="Applicationdirecte"/>
              <w:spacing w:before="0" w:after="0"/>
            </w:pPr>
            <w:r w:rsidRPr="00E07C9A">
              <w:t>0200</w:t>
            </w:r>
          </w:p>
        </w:tc>
        <w:tc>
          <w:tcPr>
            <w:tcW w:w="7655" w:type="dxa"/>
          </w:tcPr>
          <w:p w14:paraId="645BFDF1" w14:textId="77777777" w:rsidR="00595FAD" w:rsidRPr="00E07C9A" w:rsidRDefault="00595FAD" w:rsidP="00FF15C6">
            <w:pPr>
              <w:pStyle w:val="TableMainHeading"/>
              <w:jc w:val="both"/>
              <w:rPr>
                <w:rStyle w:val="InstructionsTabelleberschrift"/>
                <w:rFonts w:ascii="Times New Roman" w:eastAsiaTheme="minorEastAsia" w:hAnsi="Times New Roman"/>
                <w:sz w:val="24"/>
                <w:szCs w:val="24"/>
              </w:rPr>
            </w:pPr>
            <w:r w:rsidRPr="00E07C9A">
              <w:rPr>
                <w:rStyle w:val="InstructionsTabelleberschrift"/>
                <w:rFonts w:ascii="Times New Roman" w:hAnsi="Times New Roman"/>
                <w:sz w:val="24"/>
              </w:rPr>
              <w:t>HODNOTY RIZIKOVO VÁŽENÝCH EXPOZÍCIÍ</w:t>
            </w:r>
          </w:p>
          <w:p w14:paraId="3829F8D1" w14:textId="402F5F72" w:rsidR="00595FAD" w:rsidRPr="00E07C9A" w:rsidRDefault="00595FAD" w:rsidP="00FF15C6">
            <w:pPr>
              <w:pStyle w:val="TableMainHeading"/>
              <w:spacing w:before="60"/>
              <w:jc w:val="both"/>
              <w:rPr>
                <w:rFonts w:ascii="Times New Roman" w:hAnsi="Times New Roman"/>
                <w:sz w:val="24"/>
                <w:szCs w:val="24"/>
              </w:rPr>
            </w:pPr>
            <w:r w:rsidRPr="00E07C9A">
              <w:rPr>
                <w:rFonts w:ascii="Times New Roman" w:hAnsi="Times New Roman"/>
                <w:sz w:val="24"/>
              </w:rPr>
              <w:t>Hodnoty rizikovo vážených expozícií pre CCR</w:t>
            </w:r>
            <w:r w:rsidR="009912F8" w:rsidRPr="00E07C9A">
              <w:rPr>
                <w:rFonts w:ascii="Times New Roman" w:hAnsi="Times New Roman"/>
                <w:sz w:val="24"/>
              </w:rPr>
              <w:t xml:space="preserve"> v </w:t>
            </w:r>
            <w:r w:rsidRPr="00E07C9A">
              <w:rPr>
                <w:rFonts w:ascii="Times New Roman" w:hAnsi="Times New Roman"/>
                <w:sz w:val="24"/>
              </w:rPr>
              <w:t>zmysle vymedzenia</w:t>
            </w:r>
            <w:r w:rsidR="009912F8" w:rsidRPr="00E07C9A">
              <w:rPr>
                <w:rFonts w:ascii="Times New Roman" w:hAnsi="Times New Roman"/>
                <w:sz w:val="24"/>
              </w:rPr>
              <w:t xml:space="preserve"> v </w:t>
            </w:r>
            <w:r w:rsidRPr="00E07C9A">
              <w:rPr>
                <w:rFonts w:ascii="Times New Roman" w:hAnsi="Times New Roman"/>
                <w:sz w:val="24"/>
              </w:rPr>
              <w:t>článku 92 ods. 3</w:t>
            </w:r>
            <w:r w:rsidR="009912F8" w:rsidRPr="00E07C9A">
              <w:rPr>
                <w:rFonts w:ascii="Times New Roman" w:hAnsi="Times New Roman"/>
                <w:sz w:val="24"/>
              </w:rPr>
              <w:t xml:space="preserve"> a </w:t>
            </w:r>
            <w:r w:rsidRPr="00E07C9A">
              <w:rPr>
                <w:rFonts w:ascii="Times New Roman" w:hAnsi="Times New Roman"/>
                <w:sz w:val="24"/>
              </w:rPr>
              <w:t xml:space="preserve">4 nariadenia (EÚ) </w:t>
            </w:r>
            <w:r w:rsidR="009912F8" w:rsidRPr="00E07C9A">
              <w:rPr>
                <w:rFonts w:ascii="Times New Roman" w:hAnsi="Times New Roman"/>
                <w:sz w:val="24"/>
              </w:rPr>
              <w:t>č. 575/2013</w:t>
            </w:r>
            <w:r w:rsidRPr="00E07C9A">
              <w:rPr>
                <w:rFonts w:ascii="Times New Roman" w:hAnsi="Times New Roman"/>
                <w:sz w:val="24"/>
              </w:rPr>
              <w:t>, ktoré sa vypočítavajú</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metódami stanovenými</w:t>
            </w:r>
            <w:r w:rsidR="009912F8" w:rsidRPr="00E07C9A">
              <w:rPr>
                <w:rFonts w:ascii="Times New Roman" w:hAnsi="Times New Roman"/>
                <w:sz w:val="24"/>
              </w:rPr>
              <w:t xml:space="preserve"> v </w:t>
            </w:r>
            <w:r w:rsidRPr="00E07C9A">
              <w:rPr>
                <w:rFonts w:ascii="Times New Roman" w:hAnsi="Times New Roman"/>
                <w:sz w:val="24"/>
              </w:rPr>
              <w:t>tretej časti hlave II kapitolách 2</w:t>
            </w:r>
            <w:r w:rsidR="009912F8" w:rsidRPr="00E07C9A">
              <w:rPr>
                <w:rFonts w:ascii="Times New Roman" w:hAnsi="Times New Roman"/>
                <w:sz w:val="24"/>
              </w:rPr>
              <w:t xml:space="preserve"> a </w:t>
            </w:r>
            <w:r w:rsidRPr="00E07C9A">
              <w:rPr>
                <w:rFonts w:ascii="Times New Roman" w:hAnsi="Times New Roman"/>
                <w:sz w:val="24"/>
              </w:rPr>
              <w:t>3.</w:t>
            </w:r>
          </w:p>
          <w:p w14:paraId="3D3B43D7" w14:textId="24270BE9" w:rsidR="00595FAD" w:rsidRPr="00E07C9A" w:rsidRDefault="00595FAD" w:rsidP="003F19BA">
            <w:pPr>
              <w:rPr>
                <w:rFonts w:ascii="Times New Roman" w:hAnsi="Times New Roman"/>
                <w:sz w:val="24"/>
              </w:rPr>
            </w:pPr>
            <w:r w:rsidRPr="00E07C9A">
              <w:rPr>
                <w:rFonts w:ascii="Times New Roman" w:hAnsi="Times New Roman"/>
                <w:sz w:val="24"/>
              </w:rPr>
              <w:t>Zohľadňujú sa faktory na podporu MSP</w:t>
            </w:r>
            <w:r w:rsidR="009912F8" w:rsidRPr="00E07C9A">
              <w:rPr>
                <w:rFonts w:ascii="Times New Roman" w:hAnsi="Times New Roman"/>
                <w:sz w:val="24"/>
              </w:rPr>
              <w:t xml:space="preserve"> a </w:t>
            </w:r>
            <w:r w:rsidRPr="00E07C9A">
              <w:rPr>
                <w:rFonts w:ascii="Times New Roman" w:hAnsi="Times New Roman"/>
                <w:sz w:val="24"/>
              </w:rPr>
              <w:t>infraštruktúry stanovené</w:t>
            </w:r>
            <w:r w:rsidR="009912F8" w:rsidRPr="00E07C9A">
              <w:rPr>
                <w:rFonts w:ascii="Times New Roman" w:hAnsi="Times New Roman"/>
                <w:sz w:val="24"/>
              </w:rPr>
              <w:t xml:space="preserve"> v </w:t>
            </w:r>
            <w:r w:rsidRPr="00E07C9A">
              <w:rPr>
                <w:rFonts w:ascii="Times New Roman" w:hAnsi="Times New Roman"/>
                <w:sz w:val="24"/>
              </w:rPr>
              <w:t>článkoch 501</w:t>
            </w:r>
            <w:r w:rsidR="009912F8" w:rsidRPr="00E07C9A">
              <w:rPr>
                <w:rFonts w:ascii="Times New Roman" w:hAnsi="Times New Roman"/>
                <w:sz w:val="24"/>
              </w:rPr>
              <w:t xml:space="preserve"> a </w:t>
            </w:r>
            <w:r w:rsidRPr="00E07C9A">
              <w:rPr>
                <w:rFonts w:ascii="Times New Roman" w:hAnsi="Times New Roman"/>
                <w:sz w:val="24"/>
              </w:rPr>
              <w:t xml:space="preserve">501a nariadenia (EÚ) </w:t>
            </w:r>
            <w:r w:rsidR="009912F8" w:rsidRPr="00E07C9A">
              <w:rPr>
                <w:rFonts w:ascii="Times New Roman" w:hAnsi="Times New Roman"/>
                <w:sz w:val="24"/>
              </w:rPr>
              <w:t>č. 575/2013</w:t>
            </w:r>
            <w:r w:rsidRPr="00E07C9A">
              <w:rPr>
                <w:rFonts w:ascii="Times New Roman" w:hAnsi="Times New Roman"/>
                <w:sz w:val="24"/>
              </w:rPr>
              <w:t xml:space="preserve">. </w:t>
            </w:r>
          </w:p>
        </w:tc>
      </w:tr>
      <w:tr w:rsidR="00595FAD" w:rsidRPr="00E07C9A" w14:paraId="1BDB106F"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BE6DFA7" w14:textId="77777777" w:rsidR="00595FAD" w:rsidRPr="00E07C9A" w:rsidRDefault="00595FAD" w:rsidP="00FF15C6">
            <w:pPr>
              <w:pStyle w:val="Applicationdirecte"/>
              <w:spacing w:before="0"/>
              <w:jc w:val="left"/>
            </w:pPr>
            <w:r w:rsidRPr="00E07C9A">
              <w:t>0210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1EFEA1" w14:textId="61899EBD" w:rsidR="00595FAD" w:rsidRPr="00E07C9A" w:rsidRDefault="00595FAD" w:rsidP="00FF15C6">
            <w:pPr>
              <w:pStyle w:val="TableMainHeading"/>
              <w:jc w:val="both"/>
              <w:rPr>
                <w:rStyle w:val="InstructionsTabelleberschrift"/>
                <w:rFonts w:ascii="Times New Roman" w:eastAsiaTheme="minorEastAsia" w:hAnsi="Times New Roman"/>
                <w:sz w:val="24"/>
                <w:szCs w:val="24"/>
              </w:rPr>
            </w:pPr>
            <w:r w:rsidRPr="00E07C9A">
              <w:rPr>
                <w:rStyle w:val="InstructionsTabelleberschrift"/>
                <w:rFonts w:ascii="Times New Roman" w:hAnsi="Times New Roman"/>
                <w:sz w:val="24"/>
              </w:rPr>
              <w:t>Pozície,</w:t>
            </w:r>
            <w:r w:rsidR="009912F8" w:rsidRPr="00E07C9A">
              <w:rPr>
                <w:rStyle w:val="InstructionsTabelleberschrift"/>
                <w:rFonts w:ascii="Times New Roman" w:hAnsi="Times New Roman"/>
                <w:sz w:val="24"/>
              </w:rPr>
              <w:t xml:space="preserve"> s </w:t>
            </w:r>
            <w:r w:rsidRPr="00E07C9A">
              <w:rPr>
                <w:rStyle w:val="InstructionsTabelleberschrift"/>
                <w:rFonts w:ascii="Times New Roman" w:hAnsi="Times New Roman"/>
                <w:sz w:val="24"/>
              </w:rPr>
              <w:t>ktorými sa zaobchádza podľa štandardizovaného prístupu ku kapitálovým požiadavkám</w:t>
            </w:r>
          </w:p>
          <w:p w14:paraId="7D882829" w14:textId="7A3EE169" w:rsidR="009912F8" w:rsidRPr="00E07C9A" w:rsidRDefault="00595FAD" w:rsidP="00FF15C6">
            <w:pPr>
              <w:spacing w:before="60"/>
              <w:rPr>
                <w:rFonts w:ascii="Times New Roman" w:hAnsi="Times New Roman"/>
                <w:sz w:val="24"/>
              </w:rPr>
            </w:pPr>
            <w:r w:rsidRPr="00E07C9A">
              <w:rPr>
                <w:rFonts w:ascii="Times New Roman" w:hAnsi="Times New Roman"/>
                <w:sz w:val="24"/>
              </w:rPr>
              <w:t>Hodnoty rizikovo vážených expozícií pre expozície voči CCR,</w:t>
            </w:r>
            <w:r w:rsidR="009912F8" w:rsidRPr="00E07C9A">
              <w:rPr>
                <w:rFonts w:ascii="Times New Roman" w:hAnsi="Times New Roman"/>
                <w:sz w:val="24"/>
              </w:rPr>
              <w:t xml:space="preserve"> s </w:t>
            </w:r>
            <w:r w:rsidRPr="00E07C9A">
              <w:rPr>
                <w:rFonts w:ascii="Times New Roman" w:hAnsi="Times New Roman"/>
                <w:sz w:val="24"/>
              </w:rPr>
              <w:t>ktorými sa zaobchádza podľa štandardizovaného prístupu pre kreditné riziko</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treťou časťou hlavou II kapitolou 2 nariadenia (EÚ) </w:t>
            </w:r>
            <w:r w:rsidR="009912F8" w:rsidRPr="00E07C9A">
              <w:rPr>
                <w:rFonts w:ascii="Times New Roman" w:hAnsi="Times New Roman"/>
                <w:sz w:val="24"/>
              </w:rPr>
              <w:t>č. 575/2013.</w:t>
            </w:r>
          </w:p>
          <w:p w14:paraId="2E9EC43C" w14:textId="2BF8A96B" w:rsidR="00595FAD" w:rsidRPr="00E07C9A" w:rsidRDefault="00595FAD" w:rsidP="00FF15C6">
            <w:pPr>
              <w:rPr>
                <w:rFonts w:ascii="Times New Roman" w:hAnsi="Times New Roman"/>
                <w:sz w:val="24"/>
              </w:rPr>
            </w:pPr>
            <w:r w:rsidRPr="00E07C9A">
              <w:rPr>
                <w:rFonts w:ascii="Times New Roman" w:hAnsi="Times New Roman"/>
                <w:sz w:val="24"/>
              </w:rPr>
              <w:t>Táto hodnota zodpovedá hodnote, ktorá sa zahŕňa do stĺpca 0220 vzoru C 07.00 pre pozície CCR.</w:t>
            </w:r>
          </w:p>
        </w:tc>
      </w:tr>
      <w:tr w:rsidR="00595FAD" w:rsidRPr="00E07C9A" w14:paraId="690C28EB" w14:textId="77777777" w:rsidTr="00FF15C6">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E12359C" w14:textId="77777777" w:rsidR="00595FAD" w:rsidRPr="00E07C9A" w:rsidRDefault="00595FAD" w:rsidP="00FF15C6">
            <w:pPr>
              <w:pStyle w:val="Applicationdirecte"/>
              <w:spacing w:before="0"/>
              <w:jc w:val="left"/>
            </w:pPr>
            <w:r w:rsidRPr="00E07C9A">
              <w:t>0220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B9F7FDB" w14:textId="0D4D83B8" w:rsidR="00595FAD" w:rsidRPr="00E07C9A" w:rsidRDefault="00595FAD" w:rsidP="00FF15C6">
            <w:pPr>
              <w:pStyle w:val="TableMainHeading"/>
              <w:jc w:val="both"/>
              <w:rPr>
                <w:rStyle w:val="InstructionsTabelleberschrift"/>
                <w:rFonts w:ascii="Times New Roman" w:eastAsiaTheme="minorEastAsia" w:hAnsi="Times New Roman"/>
                <w:sz w:val="24"/>
                <w:szCs w:val="24"/>
              </w:rPr>
            </w:pPr>
            <w:r w:rsidRPr="00E07C9A">
              <w:rPr>
                <w:rStyle w:val="InstructionsTabelleberschrift"/>
                <w:rFonts w:ascii="Times New Roman" w:hAnsi="Times New Roman"/>
                <w:sz w:val="24"/>
              </w:rPr>
              <w:t>Pozície,</w:t>
            </w:r>
            <w:r w:rsidR="009912F8" w:rsidRPr="00E07C9A">
              <w:rPr>
                <w:rStyle w:val="InstructionsTabelleberschrift"/>
                <w:rFonts w:ascii="Times New Roman" w:hAnsi="Times New Roman"/>
                <w:sz w:val="24"/>
              </w:rPr>
              <w:t xml:space="preserve"> s </w:t>
            </w:r>
            <w:r w:rsidRPr="00E07C9A">
              <w:rPr>
                <w:rStyle w:val="InstructionsTabelleberschrift"/>
                <w:rFonts w:ascii="Times New Roman" w:hAnsi="Times New Roman"/>
                <w:sz w:val="24"/>
              </w:rPr>
              <w:t>ktorými sa zaobchádza podľa prístupu CR IRB</w:t>
            </w:r>
          </w:p>
          <w:p w14:paraId="10F8DAC4" w14:textId="7CD77521" w:rsidR="00595FAD" w:rsidRPr="00E07C9A" w:rsidRDefault="00595FAD" w:rsidP="00FF15C6">
            <w:pPr>
              <w:pStyle w:val="TableMainHeading"/>
              <w:spacing w:before="60"/>
              <w:jc w:val="both"/>
              <w:rPr>
                <w:rFonts w:ascii="Times New Roman" w:hAnsi="Times New Roman"/>
                <w:sz w:val="24"/>
              </w:rPr>
            </w:pPr>
            <w:r w:rsidRPr="00E07C9A">
              <w:rPr>
                <w:rFonts w:ascii="Times New Roman" w:hAnsi="Times New Roman"/>
                <w:sz w:val="24"/>
              </w:rPr>
              <w:t>Hodnoty rizikovo vážených expozícií pre expozície voči CCR,</w:t>
            </w:r>
            <w:r w:rsidR="009912F8" w:rsidRPr="00E07C9A">
              <w:rPr>
                <w:rFonts w:ascii="Times New Roman" w:hAnsi="Times New Roman"/>
                <w:sz w:val="24"/>
              </w:rPr>
              <w:t xml:space="preserve"> s </w:t>
            </w:r>
            <w:r w:rsidRPr="00E07C9A">
              <w:rPr>
                <w:rFonts w:ascii="Times New Roman" w:hAnsi="Times New Roman"/>
                <w:sz w:val="24"/>
              </w:rPr>
              <w:t>ktorými sa zaobchádza podľa prístupu IRB pre kreditné riziko</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treťou časťou hlavou II kapitolou 3 nariadenia (EÚ) </w:t>
            </w:r>
            <w:r w:rsidR="009912F8" w:rsidRPr="00E07C9A">
              <w:rPr>
                <w:rFonts w:ascii="Times New Roman" w:hAnsi="Times New Roman"/>
                <w:sz w:val="24"/>
              </w:rPr>
              <w:t>č. 575/2013</w:t>
            </w:r>
            <w:r w:rsidRPr="00E07C9A">
              <w:rPr>
                <w:rFonts w:ascii="Times New Roman" w:hAnsi="Times New Roman"/>
                <w:sz w:val="24"/>
              </w:rPr>
              <w:t>.</w:t>
            </w:r>
          </w:p>
          <w:p w14:paraId="35ED3B64" w14:textId="77777777" w:rsidR="00595FAD" w:rsidRPr="00E07C9A" w:rsidRDefault="00595FAD" w:rsidP="00FF15C6">
            <w:pPr>
              <w:rPr>
                <w:rFonts w:ascii="Times New Roman" w:hAnsi="Times New Roman"/>
                <w:sz w:val="24"/>
              </w:rPr>
            </w:pPr>
            <w:r w:rsidRPr="00E07C9A">
              <w:rPr>
                <w:rFonts w:ascii="Times New Roman" w:hAnsi="Times New Roman"/>
                <w:sz w:val="24"/>
              </w:rPr>
              <w:t>Táto hodnota zodpovedá hodnote, ktorá sa zahŕňa do stĺpca 0260 vzoru C 08.01 pre pozície CCR.</w:t>
            </w:r>
          </w:p>
        </w:tc>
      </w:tr>
      <w:tr w:rsidR="00595FAD" w:rsidRPr="00E07C9A" w14:paraId="6BEAA9DA" w14:textId="77777777" w:rsidTr="00FF15C6">
        <w:trPr>
          <w:trHeight w:val="680"/>
        </w:trPr>
        <w:tc>
          <w:tcPr>
            <w:tcW w:w="9039" w:type="dxa"/>
            <w:gridSpan w:val="2"/>
            <w:tcBorders>
              <w:top w:val="single" w:sz="4" w:space="0" w:color="auto"/>
              <w:left w:val="nil"/>
              <w:bottom w:val="single" w:sz="4" w:space="0" w:color="auto"/>
              <w:right w:val="nil"/>
            </w:tcBorders>
            <w:shd w:val="clear" w:color="auto" w:fill="auto"/>
          </w:tcPr>
          <w:p w14:paraId="128AA50D" w14:textId="77777777" w:rsidR="00595FAD" w:rsidRPr="00E07C9A" w:rsidRDefault="00595FAD" w:rsidP="00FF15C6">
            <w:pPr>
              <w:pStyle w:val="TableMainHeading"/>
              <w:spacing w:before="60"/>
              <w:rPr>
                <w:rFonts w:ascii="Times New Roman" w:hAnsi="Times New Roman"/>
                <w:i/>
                <w:sz w:val="24"/>
                <w:szCs w:val="24"/>
              </w:rPr>
            </w:pPr>
          </w:p>
        </w:tc>
      </w:tr>
      <w:tr w:rsidR="00595FAD" w:rsidRPr="00E07C9A" w14:paraId="532FE9C4"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831100" w14:textId="77777777" w:rsidR="00595FAD" w:rsidRPr="00E07C9A" w:rsidRDefault="00595FAD" w:rsidP="00FF15C6">
            <w:pPr>
              <w:pStyle w:val="TableMainHeading"/>
              <w:spacing w:before="60"/>
              <w:rPr>
                <w:rFonts w:ascii="Times New Roman" w:hAnsi="Times New Roman"/>
                <w:b/>
                <w:sz w:val="24"/>
                <w:szCs w:val="24"/>
              </w:rPr>
            </w:pPr>
            <w:r w:rsidRPr="00E07C9A">
              <w:rPr>
                <w:rFonts w:ascii="Times New Roman" w:hAnsi="Times New Roman"/>
                <w:b/>
                <w:sz w:val="24"/>
              </w:rPr>
              <w:t xml:space="preserve">Riadok </w:t>
            </w:r>
          </w:p>
        </w:tc>
      </w:tr>
      <w:tr w:rsidR="00595FAD" w:rsidRPr="00E07C9A" w14:paraId="3FE6D9ED" w14:textId="77777777" w:rsidTr="00FF15C6">
        <w:trPr>
          <w:trHeight w:val="680"/>
        </w:trPr>
        <w:tc>
          <w:tcPr>
            <w:tcW w:w="1384" w:type="dxa"/>
          </w:tcPr>
          <w:p w14:paraId="7027E9F4" w14:textId="77777777" w:rsidR="00595FAD" w:rsidRPr="00E07C9A" w:rsidRDefault="00595FAD" w:rsidP="00FF15C6">
            <w:pPr>
              <w:pStyle w:val="Applicationdirecte"/>
              <w:spacing w:before="0" w:after="0"/>
            </w:pPr>
            <w:r w:rsidRPr="00E07C9A">
              <w:t>0010</w:t>
            </w:r>
          </w:p>
        </w:tc>
        <w:tc>
          <w:tcPr>
            <w:tcW w:w="7655" w:type="dxa"/>
          </w:tcPr>
          <w:p w14:paraId="5FE31BC5" w14:textId="77777777" w:rsidR="009912F8" w:rsidRPr="00E07C9A" w:rsidRDefault="00595FAD" w:rsidP="00FF15C6">
            <w:pPr>
              <w:pStyle w:val="TableMainHeading"/>
              <w:rPr>
                <w:rStyle w:val="InstructionsTabelleberschrift"/>
                <w:rFonts w:ascii="Times New Roman" w:hAnsi="Times New Roman"/>
                <w:sz w:val="24"/>
              </w:rPr>
            </w:pPr>
            <w:r w:rsidRPr="00E07C9A">
              <w:rPr>
                <w:rStyle w:val="InstructionsTabelleberschrift"/>
                <w:rFonts w:ascii="Times New Roman" w:hAnsi="Times New Roman"/>
                <w:sz w:val="24"/>
              </w:rPr>
              <w:t>METÓDA PÔVODNEJ EXPOZÍCIE (PRE DERIVÁTY)</w:t>
            </w:r>
          </w:p>
          <w:p w14:paraId="3300C734" w14:textId="0710C31F" w:rsidR="00595FAD" w:rsidRPr="00E07C9A" w:rsidRDefault="00595FAD" w:rsidP="00F26CE4">
            <w:pPr>
              <w:pStyle w:val="TableMainHeading"/>
              <w:spacing w:before="60"/>
              <w:rPr>
                <w:rFonts w:ascii="Times New Roman" w:hAnsi="Times New Roman"/>
                <w:i/>
                <w:sz w:val="24"/>
                <w:szCs w:val="24"/>
              </w:rPr>
            </w:pPr>
            <w:r w:rsidRPr="00E07C9A">
              <w:rPr>
                <w:rFonts w:ascii="Times New Roman" w:hAnsi="Times New Roman"/>
                <w:sz w:val="24"/>
              </w:rPr>
              <w:t>Deriváty</w:t>
            </w:r>
            <w:r w:rsidR="009912F8" w:rsidRPr="00E07C9A">
              <w:rPr>
                <w:rFonts w:ascii="Times New Roman" w:hAnsi="Times New Roman"/>
                <w:sz w:val="24"/>
              </w:rPr>
              <w:t xml:space="preserve"> a </w:t>
            </w:r>
            <w:r w:rsidRPr="00E07C9A">
              <w:rPr>
                <w:rFonts w:ascii="Times New Roman" w:hAnsi="Times New Roman"/>
                <w:sz w:val="24"/>
              </w:rPr>
              <w:t>transakcie</w:t>
            </w:r>
            <w:r w:rsidR="009912F8" w:rsidRPr="00E07C9A">
              <w:rPr>
                <w:rFonts w:ascii="Times New Roman" w:hAnsi="Times New Roman"/>
                <w:sz w:val="24"/>
              </w:rPr>
              <w:t xml:space="preserve"> s </w:t>
            </w:r>
            <w:r w:rsidRPr="00E07C9A">
              <w:rPr>
                <w:rFonts w:ascii="Times New Roman" w:hAnsi="Times New Roman"/>
                <w:sz w:val="24"/>
              </w:rPr>
              <w:t>dlhou dobou vyrovnania, pre ktoré inštitúcia vypočítava hodnotu expozície</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treťou časťou hlavou II kapitolou 6 oddielom 5 nariadenia (EÚ) </w:t>
            </w:r>
            <w:r w:rsidR="009912F8" w:rsidRPr="00E07C9A">
              <w:rPr>
                <w:rFonts w:ascii="Times New Roman" w:hAnsi="Times New Roman"/>
                <w:sz w:val="24"/>
              </w:rPr>
              <w:t>č. 575/2013</w:t>
            </w:r>
            <w:r w:rsidRPr="00E07C9A">
              <w:rPr>
                <w:rFonts w:ascii="Times New Roman" w:hAnsi="Times New Roman"/>
                <w:sz w:val="24"/>
              </w:rPr>
              <w:t>. Túto zjednodušenú metódu na výpočet hodnoty expozície môžu používať len inštitúcie, ktoré spĺňajú podmienky stanovené</w:t>
            </w:r>
            <w:r w:rsidR="009912F8" w:rsidRPr="00E07C9A">
              <w:rPr>
                <w:rFonts w:ascii="Times New Roman" w:hAnsi="Times New Roman"/>
                <w:sz w:val="24"/>
              </w:rPr>
              <w:t xml:space="preserve"> v </w:t>
            </w:r>
            <w:r w:rsidRPr="00E07C9A">
              <w:rPr>
                <w:rFonts w:ascii="Times New Roman" w:hAnsi="Times New Roman"/>
                <w:sz w:val="24"/>
              </w:rPr>
              <w:t xml:space="preserve">článku 273a ods. 2 alebo 4 nariadenia (EÚ) </w:t>
            </w:r>
            <w:r w:rsidR="009912F8" w:rsidRPr="00E07C9A">
              <w:rPr>
                <w:rFonts w:ascii="Times New Roman" w:hAnsi="Times New Roman"/>
                <w:sz w:val="24"/>
              </w:rPr>
              <w:t>č. 575/2013</w:t>
            </w:r>
            <w:r w:rsidRPr="00E07C9A">
              <w:rPr>
                <w:rFonts w:ascii="Times New Roman" w:hAnsi="Times New Roman"/>
                <w:sz w:val="24"/>
              </w:rPr>
              <w:t>.</w:t>
            </w:r>
          </w:p>
        </w:tc>
      </w:tr>
      <w:tr w:rsidR="00595FAD" w:rsidRPr="00E07C9A" w14:paraId="0A5D72F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1643303E" w14:textId="77777777" w:rsidR="00595FAD" w:rsidRPr="00E07C9A" w:rsidRDefault="00595FAD" w:rsidP="00FF15C6">
            <w:pPr>
              <w:pStyle w:val="Applicationdirecte"/>
              <w:spacing w:before="0" w:after="0"/>
            </w:pPr>
            <w:r w:rsidRPr="00E07C9A">
              <w:t>0020</w:t>
            </w:r>
          </w:p>
        </w:tc>
        <w:tc>
          <w:tcPr>
            <w:tcW w:w="7655" w:type="dxa"/>
            <w:tcBorders>
              <w:top w:val="single" w:sz="4" w:space="0" w:color="auto"/>
              <w:left w:val="single" w:sz="4" w:space="0" w:color="auto"/>
              <w:bottom w:val="single" w:sz="4" w:space="0" w:color="auto"/>
              <w:right w:val="single" w:sz="4" w:space="0" w:color="auto"/>
            </w:tcBorders>
          </w:tcPr>
          <w:p w14:paraId="2A9E7784" w14:textId="77777777" w:rsidR="00595FAD" w:rsidRPr="00E07C9A" w:rsidRDefault="00595FAD" w:rsidP="00FF15C6">
            <w:pPr>
              <w:pStyle w:val="TableMainHeading"/>
              <w:rPr>
                <w:rStyle w:val="InstructionsTabelleberschrift"/>
                <w:rFonts w:ascii="Times New Roman" w:eastAsiaTheme="minorEastAsia" w:hAnsi="Times New Roman"/>
                <w:sz w:val="24"/>
                <w:szCs w:val="24"/>
              </w:rPr>
            </w:pPr>
            <w:r w:rsidRPr="00E07C9A">
              <w:rPr>
                <w:rStyle w:val="InstructionsTabelleberschrift"/>
                <w:rFonts w:ascii="Times New Roman" w:hAnsi="Times New Roman"/>
                <w:sz w:val="24"/>
              </w:rPr>
              <w:t>ZJEDNODUŠENÝ ŠTANDARDIZOVANÝ PRÍSTUP PRE KREDITNÉ RIZIKO PROTISTRANY (ZJEDNODUŠENÝ PRÍSTUP SA-CCR PRE DERIVÁTY)</w:t>
            </w:r>
          </w:p>
          <w:p w14:paraId="1C5BD740" w14:textId="6B9CDCC7" w:rsidR="00595FAD" w:rsidRPr="00E07C9A" w:rsidRDefault="00595FAD" w:rsidP="00FF15C6">
            <w:pPr>
              <w:pStyle w:val="TableMainHeading"/>
              <w:spacing w:before="60"/>
              <w:jc w:val="both"/>
              <w:rPr>
                <w:rFonts w:ascii="Times New Roman" w:hAnsi="Times New Roman"/>
                <w:sz w:val="24"/>
                <w:szCs w:val="24"/>
              </w:rPr>
            </w:pPr>
            <w:r w:rsidRPr="00E07C9A">
              <w:rPr>
                <w:rFonts w:ascii="Times New Roman" w:hAnsi="Times New Roman"/>
                <w:sz w:val="24"/>
              </w:rPr>
              <w:t>Deriváty</w:t>
            </w:r>
            <w:r w:rsidR="009912F8" w:rsidRPr="00E07C9A">
              <w:rPr>
                <w:rFonts w:ascii="Times New Roman" w:hAnsi="Times New Roman"/>
                <w:sz w:val="24"/>
              </w:rPr>
              <w:t xml:space="preserve"> a </w:t>
            </w:r>
            <w:r w:rsidRPr="00E07C9A">
              <w:rPr>
                <w:rFonts w:ascii="Times New Roman" w:hAnsi="Times New Roman"/>
                <w:sz w:val="24"/>
              </w:rPr>
              <w:t>transakcie</w:t>
            </w:r>
            <w:r w:rsidR="009912F8" w:rsidRPr="00E07C9A">
              <w:rPr>
                <w:rFonts w:ascii="Times New Roman" w:hAnsi="Times New Roman"/>
                <w:sz w:val="24"/>
              </w:rPr>
              <w:t xml:space="preserve"> s </w:t>
            </w:r>
            <w:r w:rsidRPr="00E07C9A">
              <w:rPr>
                <w:rFonts w:ascii="Times New Roman" w:hAnsi="Times New Roman"/>
                <w:sz w:val="24"/>
              </w:rPr>
              <w:t>dlhou dobou vyrovnania, pre ktoré inštitúcia vypočítava hodnotu expozície</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treťou časťou hlavou II kapitolou 6 oddielom 4 nariadenia (EÚ) </w:t>
            </w:r>
            <w:r w:rsidR="009912F8" w:rsidRPr="00E07C9A">
              <w:rPr>
                <w:rFonts w:ascii="Times New Roman" w:hAnsi="Times New Roman"/>
                <w:sz w:val="24"/>
              </w:rPr>
              <w:t>č. 575/2013</w:t>
            </w:r>
            <w:r w:rsidRPr="00E07C9A">
              <w:rPr>
                <w:rFonts w:ascii="Times New Roman" w:hAnsi="Times New Roman"/>
                <w:sz w:val="24"/>
              </w:rPr>
              <w:t>. Zjednodušený štandardizovaný prístup na výpočet hodnoty expozície môžu používať len inštitúcie, ktoré spĺňajú podmienky stanovené</w:t>
            </w:r>
            <w:r w:rsidR="009912F8" w:rsidRPr="00E07C9A">
              <w:rPr>
                <w:rFonts w:ascii="Times New Roman" w:hAnsi="Times New Roman"/>
                <w:sz w:val="24"/>
              </w:rPr>
              <w:t xml:space="preserve"> v </w:t>
            </w:r>
            <w:r w:rsidRPr="00E07C9A">
              <w:rPr>
                <w:rFonts w:ascii="Times New Roman" w:hAnsi="Times New Roman"/>
                <w:sz w:val="24"/>
              </w:rPr>
              <w:t xml:space="preserve">článku 273a ods. 1 alebo 4 nariadenia (EÚ) </w:t>
            </w:r>
            <w:r w:rsidR="009912F8" w:rsidRPr="00E07C9A">
              <w:rPr>
                <w:rFonts w:ascii="Times New Roman" w:hAnsi="Times New Roman"/>
                <w:sz w:val="24"/>
              </w:rPr>
              <w:t>č. 575/2013</w:t>
            </w:r>
            <w:r w:rsidRPr="00E07C9A">
              <w:rPr>
                <w:rFonts w:ascii="Times New Roman" w:hAnsi="Times New Roman"/>
                <w:sz w:val="24"/>
              </w:rPr>
              <w:t xml:space="preserve">. </w:t>
            </w:r>
          </w:p>
        </w:tc>
      </w:tr>
      <w:tr w:rsidR="00595FAD" w:rsidRPr="00E07C9A" w14:paraId="43F719DD"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3E112B5A" w14:textId="77777777" w:rsidR="00595FAD" w:rsidRPr="00E07C9A" w:rsidRDefault="00595FAD" w:rsidP="00FF15C6">
            <w:pPr>
              <w:pStyle w:val="Applicationdirecte"/>
              <w:spacing w:before="0" w:after="0"/>
            </w:pPr>
            <w:r w:rsidRPr="00E07C9A">
              <w:t>0030</w:t>
            </w:r>
          </w:p>
        </w:tc>
        <w:tc>
          <w:tcPr>
            <w:tcW w:w="7655" w:type="dxa"/>
            <w:tcBorders>
              <w:top w:val="single" w:sz="4" w:space="0" w:color="auto"/>
              <w:left w:val="single" w:sz="4" w:space="0" w:color="auto"/>
              <w:bottom w:val="single" w:sz="4" w:space="0" w:color="auto"/>
              <w:right w:val="single" w:sz="4" w:space="0" w:color="auto"/>
            </w:tcBorders>
          </w:tcPr>
          <w:p w14:paraId="33B8F490" w14:textId="77777777" w:rsidR="00595FAD" w:rsidRPr="00E07C9A" w:rsidRDefault="00595FAD" w:rsidP="00FF15C6">
            <w:pPr>
              <w:pStyle w:val="TableMainHeading"/>
              <w:rPr>
                <w:rStyle w:val="InstructionsTabelleberschrift"/>
                <w:rFonts w:ascii="Times New Roman" w:eastAsiaTheme="minorEastAsia" w:hAnsi="Times New Roman"/>
                <w:sz w:val="24"/>
                <w:szCs w:val="24"/>
              </w:rPr>
            </w:pPr>
            <w:r w:rsidRPr="00E07C9A">
              <w:rPr>
                <w:rStyle w:val="InstructionsTabelleberschrift"/>
                <w:rFonts w:ascii="Times New Roman" w:hAnsi="Times New Roman"/>
                <w:sz w:val="24"/>
              </w:rPr>
              <w:t>ŠTANDARDIZOVANÝ PRÍSTUP PRE KREDITNÉ RIZIKO PROTISTRANY (PRÍSTUP SA-CCR PRE DERIVÁTY)</w:t>
            </w:r>
          </w:p>
          <w:p w14:paraId="598AFC1F" w14:textId="43389970" w:rsidR="00595FAD" w:rsidRPr="00E07C9A" w:rsidRDefault="00595FAD" w:rsidP="00FF15C6">
            <w:pPr>
              <w:pStyle w:val="TableMainHeading"/>
              <w:spacing w:before="60"/>
              <w:rPr>
                <w:rFonts w:ascii="Times New Roman" w:hAnsi="Times New Roman"/>
                <w:sz w:val="24"/>
                <w:szCs w:val="24"/>
              </w:rPr>
            </w:pPr>
            <w:r w:rsidRPr="00E07C9A">
              <w:rPr>
                <w:rFonts w:ascii="Times New Roman" w:hAnsi="Times New Roman"/>
                <w:sz w:val="24"/>
              </w:rPr>
              <w:t>Deriváty</w:t>
            </w:r>
            <w:r w:rsidR="009912F8" w:rsidRPr="00E07C9A">
              <w:rPr>
                <w:rFonts w:ascii="Times New Roman" w:hAnsi="Times New Roman"/>
                <w:sz w:val="24"/>
              </w:rPr>
              <w:t xml:space="preserve"> a </w:t>
            </w:r>
            <w:r w:rsidRPr="00E07C9A">
              <w:rPr>
                <w:rFonts w:ascii="Times New Roman" w:hAnsi="Times New Roman"/>
                <w:sz w:val="24"/>
              </w:rPr>
              <w:t>transakcie</w:t>
            </w:r>
            <w:r w:rsidR="009912F8" w:rsidRPr="00E07C9A">
              <w:rPr>
                <w:rFonts w:ascii="Times New Roman" w:hAnsi="Times New Roman"/>
                <w:sz w:val="24"/>
              </w:rPr>
              <w:t xml:space="preserve"> s </w:t>
            </w:r>
            <w:r w:rsidRPr="00E07C9A">
              <w:rPr>
                <w:rFonts w:ascii="Times New Roman" w:hAnsi="Times New Roman"/>
                <w:sz w:val="24"/>
              </w:rPr>
              <w:t>dlhou dobou vyrovnania, pre ktoré inštitúcia vypočítava hodnotu expozície</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treťou časťou hlavou II kapitolou 6 oddielom 3 nariadenia (EÚ) </w:t>
            </w:r>
            <w:r w:rsidR="009912F8" w:rsidRPr="00E07C9A">
              <w:rPr>
                <w:rFonts w:ascii="Times New Roman" w:hAnsi="Times New Roman"/>
                <w:sz w:val="24"/>
              </w:rPr>
              <w:t>č. 575/2013</w:t>
            </w:r>
            <w:r w:rsidRPr="00E07C9A">
              <w:rPr>
                <w:rFonts w:ascii="Times New Roman" w:hAnsi="Times New Roman"/>
                <w:sz w:val="24"/>
              </w:rPr>
              <w:t>.</w:t>
            </w:r>
          </w:p>
        </w:tc>
      </w:tr>
      <w:tr w:rsidR="00595FAD" w:rsidRPr="00E07C9A" w14:paraId="7C87505B"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9A7FCA3" w14:textId="77777777" w:rsidR="00595FAD" w:rsidRPr="00E07C9A" w:rsidRDefault="00595FAD" w:rsidP="00FF15C6">
            <w:pPr>
              <w:pStyle w:val="Applicationdirecte"/>
              <w:spacing w:before="0" w:after="0"/>
            </w:pPr>
            <w:r w:rsidRPr="00E07C9A">
              <w:t>0040</w:t>
            </w:r>
          </w:p>
        </w:tc>
        <w:tc>
          <w:tcPr>
            <w:tcW w:w="7655" w:type="dxa"/>
            <w:tcBorders>
              <w:top w:val="single" w:sz="4" w:space="0" w:color="auto"/>
              <w:left w:val="single" w:sz="4" w:space="0" w:color="auto"/>
              <w:bottom w:val="single" w:sz="4" w:space="0" w:color="auto"/>
              <w:right w:val="single" w:sz="4" w:space="0" w:color="auto"/>
            </w:tcBorders>
          </w:tcPr>
          <w:p w14:paraId="3C93F2C0" w14:textId="77777777" w:rsidR="00595FAD" w:rsidRPr="00E07C9A" w:rsidRDefault="00595FAD" w:rsidP="00FF15C6">
            <w:pPr>
              <w:pStyle w:val="TableMainHeading"/>
              <w:rPr>
                <w:rStyle w:val="InstructionsTabelleberschrift"/>
                <w:rFonts w:ascii="Times New Roman" w:eastAsiaTheme="minorEastAsia" w:hAnsi="Times New Roman"/>
                <w:sz w:val="24"/>
                <w:szCs w:val="24"/>
              </w:rPr>
            </w:pPr>
            <w:r w:rsidRPr="00E07C9A">
              <w:rPr>
                <w:rStyle w:val="InstructionsTabelleberschrift"/>
                <w:rFonts w:ascii="Times New Roman" w:hAnsi="Times New Roman"/>
                <w:sz w:val="24"/>
              </w:rPr>
              <w:t>METÓDA INTERNÝCH MODELOV (PRE DERIVÁTY A SFT)</w:t>
            </w:r>
          </w:p>
          <w:p w14:paraId="12D47B35" w14:textId="0F8D27CA" w:rsidR="00595FAD" w:rsidRPr="00E07C9A" w:rsidRDefault="00595FAD" w:rsidP="00FF15C6">
            <w:pPr>
              <w:pStyle w:val="TableMainHeading"/>
              <w:spacing w:before="60"/>
              <w:rPr>
                <w:rFonts w:ascii="Times New Roman" w:hAnsi="Times New Roman"/>
                <w:sz w:val="24"/>
                <w:szCs w:val="24"/>
              </w:rPr>
            </w:pPr>
            <w:r w:rsidRPr="00E07C9A">
              <w:rPr>
                <w:rFonts w:ascii="Times New Roman" w:hAnsi="Times New Roman"/>
                <w:sz w:val="24"/>
              </w:rPr>
              <w:t>Deriváty, transakcie</w:t>
            </w:r>
            <w:r w:rsidR="009912F8" w:rsidRPr="00E07C9A">
              <w:rPr>
                <w:rFonts w:ascii="Times New Roman" w:hAnsi="Times New Roman"/>
                <w:sz w:val="24"/>
              </w:rPr>
              <w:t xml:space="preserve"> s </w:t>
            </w:r>
            <w:r w:rsidRPr="00E07C9A">
              <w:rPr>
                <w:rFonts w:ascii="Times New Roman" w:hAnsi="Times New Roman"/>
                <w:sz w:val="24"/>
              </w:rPr>
              <w:t>dlhou dobou vyrovnania</w:t>
            </w:r>
            <w:r w:rsidR="009912F8" w:rsidRPr="00E07C9A">
              <w:rPr>
                <w:rFonts w:ascii="Times New Roman" w:hAnsi="Times New Roman"/>
                <w:sz w:val="24"/>
              </w:rPr>
              <w:t xml:space="preserve"> a </w:t>
            </w:r>
            <w:r w:rsidRPr="00E07C9A">
              <w:rPr>
                <w:rFonts w:ascii="Times New Roman" w:hAnsi="Times New Roman"/>
                <w:sz w:val="24"/>
              </w:rPr>
              <w:t>SFT,</w:t>
            </w:r>
            <w:r w:rsidR="009912F8" w:rsidRPr="00E07C9A">
              <w:rPr>
                <w:rFonts w:ascii="Times New Roman" w:hAnsi="Times New Roman"/>
                <w:sz w:val="24"/>
              </w:rPr>
              <w:t xml:space="preserve"> v </w:t>
            </w:r>
            <w:r w:rsidRPr="00E07C9A">
              <w:rPr>
                <w:rFonts w:ascii="Times New Roman" w:hAnsi="Times New Roman"/>
                <w:sz w:val="24"/>
              </w:rPr>
              <w:t>súvislosti</w:t>
            </w:r>
            <w:r w:rsidR="009912F8" w:rsidRPr="00E07C9A">
              <w:rPr>
                <w:rFonts w:ascii="Times New Roman" w:hAnsi="Times New Roman"/>
                <w:sz w:val="24"/>
              </w:rPr>
              <w:t xml:space="preserve"> s </w:t>
            </w:r>
            <w:r w:rsidRPr="00E07C9A">
              <w:rPr>
                <w:rFonts w:ascii="Times New Roman" w:hAnsi="Times New Roman"/>
                <w:sz w:val="24"/>
              </w:rPr>
              <w:t>ktorými sa inštitúcii povolilo vypočítavať hodnotu expozície pomocou metódy interných modelov (IMM)</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treťou časťou hlavou II kapitolou 6 oddielom 6 nariadenia (EÚ) </w:t>
            </w:r>
            <w:r w:rsidR="009912F8" w:rsidRPr="00E07C9A">
              <w:rPr>
                <w:rFonts w:ascii="Times New Roman" w:hAnsi="Times New Roman"/>
                <w:sz w:val="24"/>
              </w:rPr>
              <w:t>č. 575/2013</w:t>
            </w:r>
            <w:r w:rsidRPr="00E07C9A">
              <w:rPr>
                <w:rFonts w:ascii="Times New Roman" w:hAnsi="Times New Roman"/>
                <w:sz w:val="24"/>
              </w:rPr>
              <w:t>.</w:t>
            </w:r>
          </w:p>
        </w:tc>
      </w:tr>
      <w:tr w:rsidR="00595FAD" w:rsidRPr="00E07C9A" w14:paraId="23D4C46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E22A46C" w14:textId="77777777" w:rsidR="00595FAD" w:rsidRPr="00E07C9A" w:rsidRDefault="00595FAD" w:rsidP="00FF15C6">
            <w:pPr>
              <w:pStyle w:val="Applicationdirecte"/>
              <w:spacing w:before="0" w:after="0"/>
            </w:pPr>
            <w:r w:rsidRPr="00E07C9A">
              <w:t>0050</w:t>
            </w:r>
          </w:p>
        </w:tc>
        <w:tc>
          <w:tcPr>
            <w:tcW w:w="7655" w:type="dxa"/>
            <w:tcBorders>
              <w:top w:val="single" w:sz="4" w:space="0" w:color="auto"/>
              <w:left w:val="single" w:sz="4" w:space="0" w:color="auto"/>
              <w:bottom w:val="single" w:sz="4" w:space="0" w:color="auto"/>
              <w:right w:val="single" w:sz="4" w:space="0" w:color="auto"/>
            </w:tcBorders>
          </w:tcPr>
          <w:p w14:paraId="420ABCB1" w14:textId="77777777" w:rsidR="00595FAD" w:rsidRPr="00E07C9A" w:rsidRDefault="00595FAD" w:rsidP="00FF15C6">
            <w:pPr>
              <w:pStyle w:val="TableMainHeading"/>
              <w:jc w:val="both"/>
              <w:rPr>
                <w:rStyle w:val="InstructionsTabelleberschrift"/>
                <w:rFonts w:ascii="Times New Roman" w:eastAsiaTheme="minorEastAsia" w:hAnsi="Times New Roman"/>
                <w:sz w:val="24"/>
                <w:szCs w:val="24"/>
              </w:rPr>
            </w:pPr>
            <w:r w:rsidRPr="00E07C9A">
              <w:rPr>
                <w:rStyle w:val="InstructionsTabelleberschrift"/>
                <w:rFonts w:ascii="Times New Roman" w:hAnsi="Times New Roman"/>
                <w:sz w:val="24"/>
              </w:rPr>
              <w:t>Súbory vzájomného započítavania transakcií financovania prostredníctvom cenných papierov</w:t>
            </w:r>
          </w:p>
          <w:p w14:paraId="30F5BD13" w14:textId="62DBD6B1" w:rsidR="00595FAD" w:rsidRPr="00E07C9A" w:rsidRDefault="00595FAD" w:rsidP="00FF15C6">
            <w:pPr>
              <w:pStyle w:val="TableMainHeading"/>
              <w:spacing w:before="60"/>
              <w:jc w:val="both"/>
              <w:rPr>
                <w:rFonts w:ascii="Times New Roman" w:hAnsi="Times New Roman"/>
                <w:sz w:val="24"/>
                <w:szCs w:val="24"/>
              </w:rPr>
            </w:pPr>
            <w:r w:rsidRPr="00E07C9A">
              <w:rPr>
                <w:rFonts w:ascii="Times New Roman" w:hAnsi="Times New Roman"/>
                <w:sz w:val="24"/>
              </w:rPr>
              <w:t>Súbory vzájomného započítavania obsahujúce len SFT</w:t>
            </w:r>
            <w:r w:rsidR="009912F8" w:rsidRPr="00E07C9A">
              <w:rPr>
                <w:rFonts w:ascii="Times New Roman" w:hAnsi="Times New Roman"/>
              </w:rPr>
              <w:t xml:space="preserve"> v </w:t>
            </w:r>
            <w:r w:rsidRPr="00E07C9A">
              <w:rPr>
                <w:rFonts w:ascii="Times New Roman" w:hAnsi="Times New Roman"/>
                <w:sz w:val="24"/>
              </w:rPr>
              <w:t>zmysle vymedzenia</w:t>
            </w:r>
            <w:r w:rsidR="009912F8" w:rsidRPr="00E07C9A">
              <w:rPr>
                <w:rFonts w:ascii="Times New Roman" w:hAnsi="Times New Roman"/>
                <w:sz w:val="24"/>
              </w:rPr>
              <w:t xml:space="preserve"> v </w:t>
            </w:r>
            <w:r w:rsidRPr="00E07C9A">
              <w:rPr>
                <w:rFonts w:ascii="Times New Roman" w:hAnsi="Times New Roman"/>
                <w:sz w:val="24"/>
              </w:rPr>
              <w:t xml:space="preserve">článku 4 ods. 1 bode 139 nariadenia (EÚ) </w:t>
            </w:r>
            <w:r w:rsidR="009912F8" w:rsidRPr="00E07C9A">
              <w:rPr>
                <w:rFonts w:ascii="Times New Roman" w:hAnsi="Times New Roman"/>
                <w:sz w:val="24"/>
              </w:rPr>
              <w:t>č. 575/2013</w:t>
            </w:r>
            <w:r w:rsidRPr="00E07C9A">
              <w:rPr>
                <w:rFonts w:ascii="Times New Roman" w:hAnsi="Times New Roman"/>
                <w:sz w:val="24"/>
              </w:rPr>
              <w:t>,</w:t>
            </w:r>
            <w:r w:rsidR="009912F8" w:rsidRPr="00E07C9A">
              <w:rPr>
                <w:rFonts w:ascii="Times New Roman" w:hAnsi="Times New Roman"/>
                <w:sz w:val="24"/>
              </w:rPr>
              <w:t xml:space="preserve"> v </w:t>
            </w:r>
            <w:r w:rsidRPr="00E07C9A">
              <w:rPr>
                <w:rFonts w:ascii="Times New Roman" w:hAnsi="Times New Roman"/>
                <w:sz w:val="24"/>
              </w:rPr>
              <w:t>súvislosti</w:t>
            </w:r>
            <w:r w:rsidR="009912F8" w:rsidRPr="00E07C9A">
              <w:rPr>
                <w:rFonts w:ascii="Times New Roman" w:hAnsi="Times New Roman"/>
                <w:sz w:val="24"/>
              </w:rPr>
              <w:t xml:space="preserve"> s </w:t>
            </w:r>
            <w:r w:rsidRPr="00E07C9A">
              <w:rPr>
                <w:rFonts w:ascii="Times New Roman" w:hAnsi="Times New Roman"/>
                <w:sz w:val="24"/>
              </w:rPr>
              <w:t>ktorými sa inštitúcii povolilo určovať hodnotu expozície pomocou IMM.</w:t>
            </w:r>
          </w:p>
          <w:p w14:paraId="5E635585" w14:textId="3D7E0106" w:rsidR="00B3602B" w:rsidRPr="00E07C9A" w:rsidRDefault="00B3602B" w:rsidP="00B3602B">
            <w:pPr>
              <w:pStyle w:val="TableMainHeading"/>
              <w:spacing w:before="60"/>
              <w:jc w:val="both"/>
              <w:rPr>
                <w:rFonts w:ascii="Times New Roman" w:hAnsi="Times New Roman"/>
                <w:sz w:val="24"/>
                <w:szCs w:val="24"/>
              </w:rPr>
            </w:pPr>
            <w:r w:rsidRPr="00E07C9A">
              <w:rPr>
                <w:rFonts w:ascii="Times New Roman" w:hAnsi="Times New Roman"/>
                <w:sz w:val="24"/>
              </w:rPr>
              <w:t>SFT, ktoré sú zahrnuté</w:t>
            </w:r>
            <w:r w:rsidR="009912F8" w:rsidRPr="00E07C9A">
              <w:rPr>
                <w:rFonts w:ascii="Times New Roman" w:hAnsi="Times New Roman"/>
                <w:sz w:val="24"/>
              </w:rPr>
              <w:t xml:space="preserve"> v </w:t>
            </w:r>
            <w:r w:rsidRPr="00E07C9A">
              <w:rPr>
                <w:rFonts w:ascii="Times New Roman" w:hAnsi="Times New Roman"/>
                <w:sz w:val="24"/>
              </w:rPr>
              <w:t>súbore krížového vzájomného započítavania produktov,</w:t>
            </w:r>
            <w:r w:rsidR="009912F8" w:rsidRPr="00E07C9A">
              <w:rPr>
                <w:rFonts w:ascii="Times New Roman" w:hAnsi="Times New Roman"/>
                <w:sz w:val="24"/>
              </w:rPr>
              <w:t xml:space="preserve"> a </w:t>
            </w:r>
            <w:r w:rsidRPr="00E07C9A">
              <w:rPr>
                <w:rFonts w:ascii="Times New Roman" w:hAnsi="Times New Roman"/>
                <w:sz w:val="24"/>
              </w:rPr>
              <w:t>preto sa vykazujú</w:t>
            </w:r>
            <w:r w:rsidR="009912F8" w:rsidRPr="00E07C9A">
              <w:rPr>
                <w:rFonts w:ascii="Times New Roman" w:hAnsi="Times New Roman"/>
                <w:sz w:val="24"/>
              </w:rPr>
              <w:t xml:space="preserve"> v </w:t>
            </w:r>
            <w:r w:rsidRPr="00E07C9A">
              <w:rPr>
                <w:rFonts w:ascii="Times New Roman" w:hAnsi="Times New Roman"/>
                <w:sz w:val="24"/>
              </w:rPr>
              <w:t>riadku 0070, sa nevykazujú</w:t>
            </w:r>
            <w:r w:rsidR="009912F8" w:rsidRPr="00E07C9A">
              <w:rPr>
                <w:rFonts w:ascii="Times New Roman" w:hAnsi="Times New Roman"/>
                <w:sz w:val="24"/>
              </w:rPr>
              <w:t xml:space="preserve"> v </w:t>
            </w:r>
            <w:r w:rsidRPr="00E07C9A">
              <w:rPr>
                <w:rFonts w:ascii="Times New Roman" w:hAnsi="Times New Roman"/>
                <w:sz w:val="24"/>
              </w:rPr>
              <w:t>tomto riadku.</w:t>
            </w:r>
          </w:p>
        </w:tc>
      </w:tr>
      <w:tr w:rsidR="00595FAD" w:rsidRPr="00E07C9A" w14:paraId="480D10FB"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34808621" w14:textId="77777777" w:rsidR="00595FAD" w:rsidRPr="00E07C9A" w:rsidRDefault="00595FAD" w:rsidP="00FF15C6">
            <w:pPr>
              <w:pStyle w:val="Applicationdirecte"/>
              <w:spacing w:before="0" w:after="0"/>
            </w:pPr>
            <w:r w:rsidRPr="00E07C9A">
              <w:t>0060</w:t>
            </w:r>
          </w:p>
        </w:tc>
        <w:tc>
          <w:tcPr>
            <w:tcW w:w="7655" w:type="dxa"/>
            <w:tcBorders>
              <w:top w:val="single" w:sz="4" w:space="0" w:color="auto"/>
              <w:left w:val="single" w:sz="4" w:space="0" w:color="auto"/>
              <w:bottom w:val="single" w:sz="4" w:space="0" w:color="auto"/>
              <w:right w:val="single" w:sz="4" w:space="0" w:color="auto"/>
            </w:tcBorders>
          </w:tcPr>
          <w:p w14:paraId="41A6757B" w14:textId="081B3046" w:rsidR="00595FAD" w:rsidRPr="00E07C9A" w:rsidRDefault="00595FAD" w:rsidP="00FF15C6">
            <w:pPr>
              <w:pStyle w:val="TableMainHeading"/>
              <w:jc w:val="both"/>
              <w:rPr>
                <w:rStyle w:val="InstructionsTabelleberschrift"/>
                <w:rFonts w:ascii="Times New Roman" w:eastAsiaTheme="minorEastAsia" w:hAnsi="Times New Roman"/>
                <w:sz w:val="24"/>
                <w:szCs w:val="24"/>
              </w:rPr>
            </w:pPr>
            <w:r w:rsidRPr="00E07C9A">
              <w:rPr>
                <w:rStyle w:val="InstructionsTabelleberschrift"/>
                <w:rFonts w:ascii="Times New Roman" w:hAnsi="Times New Roman"/>
                <w:sz w:val="24"/>
              </w:rPr>
              <w:t>Súbory vzájomného započítavania derivátov</w:t>
            </w:r>
            <w:r w:rsidR="009912F8" w:rsidRPr="00E07C9A">
              <w:rPr>
                <w:rStyle w:val="InstructionsTabelleberschrift"/>
                <w:rFonts w:ascii="Times New Roman" w:hAnsi="Times New Roman"/>
                <w:sz w:val="24"/>
              </w:rPr>
              <w:t xml:space="preserve"> a </w:t>
            </w:r>
            <w:r w:rsidRPr="00E07C9A">
              <w:rPr>
                <w:rStyle w:val="InstructionsTabelleberschrift"/>
                <w:rFonts w:ascii="Times New Roman" w:hAnsi="Times New Roman"/>
                <w:sz w:val="24"/>
              </w:rPr>
              <w:t>transakcií</w:t>
            </w:r>
            <w:r w:rsidR="009912F8" w:rsidRPr="00E07C9A">
              <w:rPr>
                <w:rStyle w:val="InstructionsTabelleberschrift"/>
                <w:rFonts w:ascii="Times New Roman" w:hAnsi="Times New Roman"/>
                <w:sz w:val="24"/>
              </w:rPr>
              <w:t xml:space="preserve"> s </w:t>
            </w:r>
            <w:r w:rsidRPr="00E07C9A">
              <w:rPr>
                <w:rStyle w:val="InstructionsTabelleberschrift"/>
                <w:rFonts w:ascii="Times New Roman" w:hAnsi="Times New Roman"/>
                <w:sz w:val="24"/>
              </w:rPr>
              <w:t>dlhou dobou vyrovnania</w:t>
            </w:r>
          </w:p>
          <w:p w14:paraId="29F5D331" w14:textId="2D53655D" w:rsidR="00595FAD" w:rsidRPr="00E07C9A" w:rsidRDefault="00595FAD" w:rsidP="00FF15C6">
            <w:pPr>
              <w:pStyle w:val="TableMainHeading"/>
              <w:spacing w:before="60"/>
              <w:jc w:val="both"/>
              <w:rPr>
                <w:rFonts w:ascii="Times New Roman" w:hAnsi="Times New Roman"/>
                <w:sz w:val="24"/>
                <w:szCs w:val="24"/>
              </w:rPr>
            </w:pPr>
            <w:r w:rsidRPr="00E07C9A">
              <w:rPr>
                <w:rFonts w:ascii="Times New Roman" w:hAnsi="Times New Roman"/>
                <w:sz w:val="24"/>
              </w:rPr>
              <w:t>Súbory vzájomného započítavania obsahujúce len derivátové nástroje uvedené</w:t>
            </w:r>
            <w:r w:rsidR="009912F8" w:rsidRPr="00E07C9A">
              <w:rPr>
                <w:rFonts w:ascii="Times New Roman" w:hAnsi="Times New Roman"/>
                <w:sz w:val="24"/>
              </w:rPr>
              <w:t xml:space="preserve"> v </w:t>
            </w:r>
            <w:r w:rsidRPr="00E07C9A">
              <w:rPr>
                <w:rFonts w:ascii="Times New Roman" w:hAnsi="Times New Roman"/>
                <w:sz w:val="24"/>
              </w:rPr>
              <w:t>prílohe II</w:t>
            </w:r>
            <w:r w:rsidR="009912F8" w:rsidRPr="00E07C9A">
              <w:rPr>
                <w:rFonts w:ascii="Times New Roman" w:hAnsi="Times New Roman"/>
                <w:sz w:val="24"/>
              </w:rPr>
              <w:t xml:space="preserve"> k </w:t>
            </w:r>
            <w:r w:rsidRPr="00E07C9A">
              <w:rPr>
                <w:rFonts w:ascii="Times New Roman" w:hAnsi="Times New Roman"/>
                <w:sz w:val="24"/>
              </w:rPr>
              <w:t xml:space="preserve">nariadeniu (EÚ) </w:t>
            </w:r>
            <w:r w:rsidR="009912F8" w:rsidRPr="00E07C9A">
              <w:rPr>
                <w:rFonts w:ascii="Times New Roman" w:hAnsi="Times New Roman"/>
                <w:sz w:val="24"/>
              </w:rPr>
              <w:t>č. 575/2013 a </w:t>
            </w:r>
            <w:r w:rsidRPr="00E07C9A">
              <w:rPr>
                <w:rFonts w:ascii="Times New Roman" w:hAnsi="Times New Roman"/>
                <w:sz w:val="24"/>
              </w:rPr>
              <w:t>transakcie</w:t>
            </w:r>
            <w:r w:rsidR="009912F8" w:rsidRPr="00E07C9A">
              <w:rPr>
                <w:rFonts w:ascii="Times New Roman" w:hAnsi="Times New Roman"/>
                <w:sz w:val="24"/>
              </w:rPr>
              <w:t xml:space="preserve"> s </w:t>
            </w:r>
            <w:r w:rsidRPr="00E07C9A">
              <w:rPr>
                <w:rFonts w:ascii="Times New Roman" w:hAnsi="Times New Roman"/>
                <w:sz w:val="24"/>
              </w:rPr>
              <w:t>dlhou dobou vyrovnania</w:t>
            </w:r>
            <w:r w:rsidR="009912F8" w:rsidRPr="00E07C9A">
              <w:rPr>
                <w:rFonts w:ascii="Times New Roman" w:hAnsi="Times New Roman"/>
              </w:rPr>
              <w:t xml:space="preserve"> v </w:t>
            </w:r>
            <w:r w:rsidRPr="00E07C9A">
              <w:rPr>
                <w:rFonts w:ascii="Times New Roman" w:hAnsi="Times New Roman"/>
                <w:sz w:val="24"/>
              </w:rPr>
              <w:t>zmysle vymedzenia</w:t>
            </w:r>
            <w:r w:rsidR="009912F8" w:rsidRPr="00E07C9A">
              <w:rPr>
                <w:rFonts w:ascii="Times New Roman" w:hAnsi="Times New Roman"/>
                <w:sz w:val="24"/>
              </w:rPr>
              <w:t xml:space="preserve"> v </w:t>
            </w:r>
            <w:r w:rsidRPr="00E07C9A">
              <w:rPr>
                <w:rFonts w:ascii="Times New Roman" w:hAnsi="Times New Roman"/>
                <w:sz w:val="24"/>
              </w:rPr>
              <w:t xml:space="preserve">článku 272 bode 2 nariadenia (EÚ) </w:t>
            </w:r>
            <w:r w:rsidR="009912F8" w:rsidRPr="00E07C9A">
              <w:rPr>
                <w:rFonts w:ascii="Times New Roman" w:hAnsi="Times New Roman"/>
                <w:sz w:val="24"/>
              </w:rPr>
              <w:t>č. 575/2013</w:t>
            </w:r>
            <w:r w:rsidRPr="00E07C9A">
              <w:rPr>
                <w:rFonts w:ascii="Times New Roman" w:hAnsi="Times New Roman"/>
                <w:sz w:val="24"/>
              </w:rPr>
              <w:t>,</w:t>
            </w:r>
            <w:r w:rsidR="009912F8" w:rsidRPr="00E07C9A">
              <w:rPr>
                <w:rFonts w:ascii="Times New Roman" w:hAnsi="Times New Roman"/>
                <w:sz w:val="24"/>
              </w:rPr>
              <w:t xml:space="preserve"> v </w:t>
            </w:r>
            <w:r w:rsidRPr="00E07C9A">
              <w:rPr>
                <w:rFonts w:ascii="Times New Roman" w:hAnsi="Times New Roman"/>
                <w:sz w:val="24"/>
              </w:rPr>
              <w:t>súvislosti</w:t>
            </w:r>
            <w:r w:rsidR="009912F8" w:rsidRPr="00E07C9A">
              <w:rPr>
                <w:rFonts w:ascii="Times New Roman" w:hAnsi="Times New Roman"/>
                <w:sz w:val="24"/>
              </w:rPr>
              <w:t xml:space="preserve"> s </w:t>
            </w:r>
            <w:r w:rsidRPr="00E07C9A">
              <w:rPr>
                <w:rFonts w:ascii="Times New Roman" w:hAnsi="Times New Roman"/>
                <w:sz w:val="24"/>
              </w:rPr>
              <w:t>ktorými sa inštitúcii povolilo určovať hodnotu expozície pomocou IMM.</w:t>
            </w:r>
          </w:p>
          <w:p w14:paraId="56B3BAAB" w14:textId="1FBF76BE" w:rsidR="00B3602B" w:rsidRPr="00E07C9A" w:rsidRDefault="00B3602B" w:rsidP="00B3602B">
            <w:pPr>
              <w:pStyle w:val="TableMainHeading"/>
              <w:spacing w:before="60"/>
              <w:jc w:val="both"/>
              <w:rPr>
                <w:rFonts w:ascii="Times New Roman" w:hAnsi="Times New Roman"/>
                <w:sz w:val="24"/>
                <w:szCs w:val="24"/>
              </w:rPr>
            </w:pPr>
            <w:r w:rsidRPr="00E07C9A">
              <w:rPr>
                <w:rFonts w:ascii="Times New Roman" w:hAnsi="Times New Roman"/>
                <w:sz w:val="24"/>
              </w:rPr>
              <w:t>Deriváty</w:t>
            </w:r>
            <w:r w:rsidR="009912F8" w:rsidRPr="00E07C9A">
              <w:rPr>
                <w:rFonts w:ascii="Times New Roman" w:hAnsi="Times New Roman"/>
                <w:sz w:val="24"/>
              </w:rPr>
              <w:t xml:space="preserve"> a </w:t>
            </w:r>
            <w:r w:rsidRPr="00E07C9A">
              <w:rPr>
                <w:rFonts w:ascii="Times New Roman" w:hAnsi="Times New Roman"/>
                <w:sz w:val="24"/>
              </w:rPr>
              <w:t>transakcie</w:t>
            </w:r>
            <w:r w:rsidR="009912F8" w:rsidRPr="00E07C9A">
              <w:rPr>
                <w:rFonts w:ascii="Times New Roman" w:hAnsi="Times New Roman"/>
                <w:sz w:val="24"/>
              </w:rPr>
              <w:t xml:space="preserve"> s </w:t>
            </w:r>
            <w:r w:rsidRPr="00E07C9A">
              <w:rPr>
                <w:rFonts w:ascii="Times New Roman" w:hAnsi="Times New Roman"/>
                <w:sz w:val="24"/>
              </w:rPr>
              <w:t>dlhou dobou vyrovnania, ktoré sú zahrnuté</w:t>
            </w:r>
            <w:r w:rsidR="009912F8" w:rsidRPr="00E07C9A">
              <w:rPr>
                <w:rFonts w:ascii="Times New Roman" w:hAnsi="Times New Roman"/>
                <w:sz w:val="24"/>
              </w:rPr>
              <w:t xml:space="preserve"> v </w:t>
            </w:r>
            <w:r w:rsidRPr="00E07C9A">
              <w:rPr>
                <w:rFonts w:ascii="Times New Roman" w:hAnsi="Times New Roman"/>
                <w:sz w:val="24"/>
              </w:rPr>
              <w:t>súbore krížového vzájomného započítavania produktov,</w:t>
            </w:r>
            <w:r w:rsidR="009912F8" w:rsidRPr="00E07C9A">
              <w:rPr>
                <w:rFonts w:ascii="Times New Roman" w:hAnsi="Times New Roman"/>
                <w:sz w:val="24"/>
              </w:rPr>
              <w:t xml:space="preserve"> a </w:t>
            </w:r>
            <w:r w:rsidRPr="00E07C9A">
              <w:rPr>
                <w:rFonts w:ascii="Times New Roman" w:hAnsi="Times New Roman"/>
                <w:sz w:val="24"/>
              </w:rPr>
              <w:t>preto sa vykazujú</w:t>
            </w:r>
            <w:r w:rsidR="009912F8" w:rsidRPr="00E07C9A">
              <w:rPr>
                <w:rFonts w:ascii="Times New Roman" w:hAnsi="Times New Roman"/>
                <w:sz w:val="24"/>
              </w:rPr>
              <w:t xml:space="preserve"> v </w:t>
            </w:r>
            <w:r w:rsidRPr="00E07C9A">
              <w:rPr>
                <w:rFonts w:ascii="Times New Roman" w:hAnsi="Times New Roman"/>
                <w:sz w:val="24"/>
              </w:rPr>
              <w:t>riadku 0070, sa nevykazujú</w:t>
            </w:r>
            <w:r w:rsidR="009912F8" w:rsidRPr="00E07C9A">
              <w:rPr>
                <w:rFonts w:ascii="Times New Roman" w:hAnsi="Times New Roman"/>
                <w:sz w:val="24"/>
              </w:rPr>
              <w:t xml:space="preserve"> v </w:t>
            </w:r>
            <w:r w:rsidRPr="00E07C9A">
              <w:rPr>
                <w:rFonts w:ascii="Times New Roman" w:hAnsi="Times New Roman"/>
                <w:sz w:val="24"/>
              </w:rPr>
              <w:t>tomto riadku.</w:t>
            </w:r>
          </w:p>
        </w:tc>
      </w:tr>
      <w:tr w:rsidR="00595FAD" w:rsidRPr="00E07C9A" w14:paraId="3030327B"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38514560" w14:textId="77777777" w:rsidR="00595FAD" w:rsidRPr="00E07C9A" w:rsidRDefault="00595FAD" w:rsidP="00FF15C6">
            <w:pPr>
              <w:pStyle w:val="Applicationdirecte"/>
              <w:spacing w:before="0" w:after="0"/>
            </w:pPr>
            <w:r w:rsidRPr="00E07C9A">
              <w:t>0070</w:t>
            </w:r>
          </w:p>
        </w:tc>
        <w:tc>
          <w:tcPr>
            <w:tcW w:w="7655" w:type="dxa"/>
            <w:tcBorders>
              <w:top w:val="single" w:sz="4" w:space="0" w:color="auto"/>
              <w:left w:val="single" w:sz="4" w:space="0" w:color="auto"/>
              <w:bottom w:val="single" w:sz="4" w:space="0" w:color="auto"/>
              <w:right w:val="single" w:sz="4" w:space="0" w:color="auto"/>
            </w:tcBorders>
          </w:tcPr>
          <w:p w14:paraId="20DF45B3" w14:textId="77777777" w:rsidR="00595FAD" w:rsidRPr="00E07C9A" w:rsidRDefault="00595FAD" w:rsidP="00FF15C6">
            <w:pPr>
              <w:pStyle w:val="TableMainHeading"/>
              <w:jc w:val="both"/>
              <w:rPr>
                <w:rStyle w:val="InstructionsTabelleberschrift"/>
                <w:rFonts w:ascii="Times New Roman" w:eastAsiaTheme="minorEastAsia" w:hAnsi="Times New Roman"/>
                <w:sz w:val="24"/>
                <w:szCs w:val="24"/>
              </w:rPr>
            </w:pPr>
            <w:r w:rsidRPr="00E07C9A">
              <w:rPr>
                <w:rStyle w:val="InstructionsTabelleberschrift"/>
                <w:rFonts w:ascii="Times New Roman" w:hAnsi="Times New Roman"/>
                <w:sz w:val="24"/>
              </w:rPr>
              <w:t>Zo súborov krížového vzájomného započítavania produktov</w:t>
            </w:r>
          </w:p>
          <w:p w14:paraId="3081A4FE" w14:textId="70C6DD89" w:rsidR="00595FAD" w:rsidRPr="00E07C9A" w:rsidRDefault="00595FAD" w:rsidP="00FF15C6">
            <w:pPr>
              <w:rPr>
                <w:rFonts w:ascii="Times New Roman" w:hAnsi="Times New Roman"/>
                <w:sz w:val="24"/>
              </w:rPr>
            </w:pPr>
            <w:r w:rsidRPr="00E07C9A">
              <w:rPr>
                <w:rFonts w:ascii="Times New Roman" w:hAnsi="Times New Roman"/>
                <w:sz w:val="24"/>
              </w:rPr>
              <w:t>Článok 272 body 11</w:t>
            </w:r>
            <w:r w:rsidR="009912F8" w:rsidRPr="00E07C9A">
              <w:rPr>
                <w:rFonts w:ascii="Times New Roman" w:hAnsi="Times New Roman"/>
                <w:sz w:val="24"/>
              </w:rPr>
              <w:t xml:space="preserve"> a </w:t>
            </w:r>
            <w:r w:rsidRPr="00E07C9A">
              <w:rPr>
                <w:rFonts w:ascii="Times New Roman" w:hAnsi="Times New Roman"/>
                <w:sz w:val="24"/>
              </w:rPr>
              <w:t xml:space="preserve">25 nariadenia (EÚ) </w:t>
            </w:r>
            <w:r w:rsidR="009912F8" w:rsidRPr="00E07C9A">
              <w:rPr>
                <w:rFonts w:ascii="Times New Roman" w:hAnsi="Times New Roman"/>
                <w:sz w:val="24"/>
              </w:rPr>
              <w:t>č. 575/2013</w:t>
            </w:r>
          </w:p>
          <w:p w14:paraId="78A36A41" w14:textId="7341EAD5" w:rsidR="00595FAD" w:rsidRPr="00E07C9A" w:rsidRDefault="00595FAD" w:rsidP="00FF15C6">
            <w:pPr>
              <w:pStyle w:val="TableMainHeading"/>
              <w:spacing w:before="60"/>
              <w:jc w:val="both"/>
              <w:rPr>
                <w:rFonts w:ascii="Times New Roman" w:hAnsi="Times New Roman"/>
                <w:sz w:val="24"/>
                <w:szCs w:val="24"/>
              </w:rPr>
            </w:pPr>
            <w:r w:rsidRPr="00E07C9A">
              <w:rPr>
                <w:rFonts w:ascii="Times New Roman" w:hAnsi="Times New Roman"/>
                <w:sz w:val="24"/>
              </w:rPr>
              <w:t xml:space="preserve">Súbory vzájomného započítavania obsahujúce transakcie rôznych kategórií produktov [článok 272 bod 11 nariadenia (EÚ) </w:t>
            </w:r>
            <w:r w:rsidR="009912F8" w:rsidRPr="00E07C9A">
              <w:rPr>
                <w:rFonts w:ascii="Times New Roman" w:hAnsi="Times New Roman"/>
                <w:sz w:val="24"/>
              </w:rPr>
              <w:t>č. 575/2013</w:t>
            </w:r>
            <w:r w:rsidRPr="00E07C9A">
              <w:rPr>
                <w:rFonts w:ascii="Times New Roman" w:hAnsi="Times New Roman"/>
                <w:sz w:val="24"/>
              </w:rPr>
              <w:t>)], t. j. deriváty</w:t>
            </w:r>
            <w:r w:rsidR="009912F8" w:rsidRPr="00E07C9A">
              <w:rPr>
                <w:rFonts w:ascii="Times New Roman" w:hAnsi="Times New Roman"/>
                <w:sz w:val="24"/>
              </w:rPr>
              <w:t xml:space="preserve"> a </w:t>
            </w:r>
            <w:r w:rsidRPr="00E07C9A">
              <w:rPr>
                <w:rFonts w:ascii="Times New Roman" w:hAnsi="Times New Roman"/>
                <w:sz w:val="24"/>
              </w:rPr>
              <w:t>SFT, pre ktoré existuje dohoda</w:t>
            </w:r>
            <w:r w:rsidR="009912F8" w:rsidRPr="00E07C9A">
              <w:rPr>
                <w:rFonts w:ascii="Times New Roman" w:hAnsi="Times New Roman"/>
                <w:sz w:val="24"/>
              </w:rPr>
              <w:t xml:space="preserve"> o </w:t>
            </w:r>
            <w:r w:rsidRPr="00E07C9A">
              <w:rPr>
                <w:rFonts w:ascii="Times New Roman" w:hAnsi="Times New Roman"/>
                <w:sz w:val="24"/>
              </w:rPr>
              <w:t>krížovom vzájomnom započítavaní produktov</w:t>
            </w:r>
            <w:r w:rsidR="009912F8" w:rsidRPr="00E07C9A">
              <w:rPr>
                <w:rFonts w:ascii="Times New Roman" w:hAnsi="Times New Roman"/>
                <w:sz w:val="24"/>
              </w:rPr>
              <w:t xml:space="preserve"> v </w:t>
            </w:r>
            <w:r w:rsidRPr="00E07C9A">
              <w:rPr>
                <w:rFonts w:ascii="Times New Roman" w:hAnsi="Times New Roman"/>
                <w:sz w:val="24"/>
              </w:rPr>
              <w:t>zmysle vymedzenia</w:t>
            </w:r>
            <w:r w:rsidR="009912F8" w:rsidRPr="00E07C9A">
              <w:rPr>
                <w:rFonts w:ascii="Times New Roman" w:hAnsi="Times New Roman"/>
                <w:sz w:val="24"/>
              </w:rPr>
              <w:t xml:space="preserve"> v </w:t>
            </w:r>
            <w:r w:rsidRPr="00E07C9A">
              <w:rPr>
                <w:rFonts w:ascii="Times New Roman" w:hAnsi="Times New Roman"/>
                <w:sz w:val="24"/>
              </w:rPr>
              <w:t xml:space="preserve">článku 272 bode 25 nariadenia (EÚ) </w:t>
            </w:r>
            <w:r w:rsidR="009912F8" w:rsidRPr="00E07C9A">
              <w:rPr>
                <w:rFonts w:ascii="Times New Roman" w:hAnsi="Times New Roman"/>
                <w:sz w:val="24"/>
              </w:rPr>
              <w:t>č. 575/2013 a v </w:t>
            </w:r>
            <w:r w:rsidRPr="00E07C9A">
              <w:rPr>
                <w:rFonts w:ascii="Times New Roman" w:hAnsi="Times New Roman"/>
                <w:sz w:val="24"/>
              </w:rPr>
              <w:t>súvislosti</w:t>
            </w:r>
            <w:r w:rsidR="009912F8" w:rsidRPr="00E07C9A">
              <w:rPr>
                <w:rFonts w:ascii="Times New Roman" w:hAnsi="Times New Roman"/>
                <w:sz w:val="24"/>
              </w:rPr>
              <w:t xml:space="preserve"> s </w:t>
            </w:r>
            <w:r w:rsidRPr="00E07C9A">
              <w:rPr>
                <w:rFonts w:ascii="Times New Roman" w:hAnsi="Times New Roman"/>
                <w:sz w:val="24"/>
              </w:rPr>
              <w:t>ktorými sa inštitúcii povolilo určovať hodnotu expozície pomocou IMM.</w:t>
            </w:r>
          </w:p>
        </w:tc>
      </w:tr>
      <w:tr w:rsidR="00595FAD" w:rsidRPr="00E07C9A" w14:paraId="0978D785"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440D5DB1" w14:textId="77777777" w:rsidR="00595FAD" w:rsidRPr="00E07C9A" w:rsidRDefault="00595FAD" w:rsidP="00FF15C6">
            <w:pPr>
              <w:pStyle w:val="Applicationdirecte"/>
              <w:spacing w:before="0" w:after="0"/>
            </w:pPr>
            <w:r w:rsidRPr="00E07C9A">
              <w:t>0080</w:t>
            </w:r>
          </w:p>
        </w:tc>
        <w:tc>
          <w:tcPr>
            <w:tcW w:w="7655" w:type="dxa"/>
            <w:tcBorders>
              <w:top w:val="single" w:sz="4" w:space="0" w:color="auto"/>
              <w:left w:val="single" w:sz="4" w:space="0" w:color="auto"/>
              <w:bottom w:val="single" w:sz="4" w:space="0" w:color="auto"/>
              <w:right w:val="single" w:sz="4" w:space="0" w:color="auto"/>
            </w:tcBorders>
          </w:tcPr>
          <w:p w14:paraId="5D333971" w14:textId="77777777" w:rsidR="009912F8" w:rsidRPr="00E07C9A" w:rsidRDefault="00595FAD" w:rsidP="00FF15C6">
            <w:pPr>
              <w:keepNext/>
              <w:spacing w:before="60"/>
              <w:rPr>
                <w:rStyle w:val="InstructionsTabelleberschrift"/>
                <w:rFonts w:ascii="Times New Roman" w:hAnsi="Times New Roman"/>
                <w:sz w:val="24"/>
              </w:rPr>
            </w:pPr>
            <w:r w:rsidRPr="00E07C9A">
              <w:rPr>
                <w:rStyle w:val="InstructionsTabelleberschrift"/>
                <w:rFonts w:ascii="Times New Roman" w:hAnsi="Times New Roman"/>
                <w:sz w:val="24"/>
              </w:rPr>
              <w:t>JEDNODUCHÁ METÓDA NAKLADANIA</w:t>
            </w:r>
            <w:r w:rsidR="009912F8" w:rsidRPr="00E07C9A">
              <w:rPr>
                <w:rStyle w:val="InstructionsTabelleberschrift"/>
                <w:rFonts w:ascii="Times New Roman" w:hAnsi="Times New Roman"/>
                <w:sz w:val="24"/>
              </w:rPr>
              <w:t xml:space="preserve"> S </w:t>
            </w:r>
            <w:r w:rsidRPr="00E07C9A">
              <w:rPr>
                <w:rStyle w:val="InstructionsTabelleberschrift"/>
                <w:rFonts w:ascii="Times New Roman" w:hAnsi="Times New Roman"/>
                <w:sz w:val="24"/>
              </w:rPr>
              <w:t>FINANČNÝM KOLATERÁLOM (PRE SFT)</w:t>
            </w:r>
          </w:p>
          <w:p w14:paraId="0173687C" w14:textId="5FC8ADB1" w:rsidR="00595FAD" w:rsidRPr="00E07C9A" w:rsidRDefault="00595FAD" w:rsidP="00FF15C6">
            <w:pPr>
              <w:rPr>
                <w:rFonts w:ascii="Times New Roman" w:hAnsi="Times New Roman"/>
                <w:sz w:val="24"/>
              </w:rPr>
            </w:pPr>
            <w:r w:rsidRPr="00E07C9A">
              <w:rPr>
                <w:rFonts w:ascii="Times New Roman" w:hAnsi="Times New Roman"/>
                <w:sz w:val="24"/>
              </w:rPr>
              <w:t xml:space="preserve">Článok 222 nariadenia (EÚ) </w:t>
            </w:r>
            <w:r w:rsidR="009912F8" w:rsidRPr="00E07C9A">
              <w:rPr>
                <w:rFonts w:ascii="Times New Roman" w:hAnsi="Times New Roman"/>
                <w:sz w:val="24"/>
              </w:rPr>
              <w:t>č. 575/2013</w:t>
            </w:r>
          </w:p>
          <w:p w14:paraId="437C0FD9" w14:textId="403C4800" w:rsidR="00595FAD" w:rsidRPr="00E07C9A" w:rsidRDefault="00595FAD" w:rsidP="007079CE">
            <w:pPr>
              <w:pStyle w:val="TableMainHeading"/>
              <w:spacing w:before="60"/>
              <w:jc w:val="both"/>
              <w:rPr>
                <w:rFonts w:ascii="Times New Roman" w:hAnsi="Times New Roman"/>
                <w:sz w:val="24"/>
                <w:szCs w:val="24"/>
              </w:rPr>
            </w:pPr>
            <w:r w:rsidRPr="00E07C9A">
              <w:rPr>
                <w:rFonts w:ascii="Times New Roman" w:hAnsi="Times New Roman"/>
                <w:sz w:val="24"/>
              </w:rPr>
              <w:t>Repo transakcie, transakcie požičiavania alebo vypožičiavania cenných papierov alebo komodít, transakcie</w:t>
            </w:r>
            <w:r w:rsidR="009912F8" w:rsidRPr="00E07C9A">
              <w:rPr>
                <w:rFonts w:ascii="Times New Roman" w:hAnsi="Times New Roman"/>
                <w:sz w:val="24"/>
              </w:rPr>
              <w:t xml:space="preserve"> s </w:t>
            </w:r>
            <w:r w:rsidRPr="00E07C9A">
              <w:rPr>
                <w:rFonts w:ascii="Times New Roman" w:hAnsi="Times New Roman"/>
                <w:sz w:val="24"/>
              </w:rPr>
              <w:t>dlhou dobou vyrovnania</w:t>
            </w:r>
            <w:r w:rsidR="009912F8" w:rsidRPr="00E07C9A">
              <w:rPr>
                <w:rFonts w:ascii="Times New Roman" w:hAnsi="Times New Roman"/>
                <w:sz w:val="24"/>
              </w:rPr>
              <w:t xml:space="preserve"> a </w:t>
            </w:r>
            <w:r w:rsidRPr="00E07C9A">
              <w:rPr>
                <w:rFonts w:ascii="Times New Roman" w:hAnsi="Times New Roman"/>
                <w:sz w:val="24"/>
              </w:rPr>
              <w:t>transakcie požičiavania</w:t>
            </w:r>
            <w:r w:rsidR="009912F8" w:rsidRPr="00E07C9A">
              <w:rPr>
                <w:rFonts w:ascii="Times New Roman" w:hAnsi="Times New Roman"/>
                <w:sz w:val="24"/>
              </w:rPr>
              <w:t xml:space="preserve"> s </w:t>
            </w:r>
            <w:r w:rsidRPr="00E07C9A">
              <w:rPr>
                <w:rFonts w:ascii="Times New Roman" w:hAnsi="Times New Roman"/>
                <w:sz w:val="24"/>
              </w:rPr>
              <w:t>dozabezpečením, pri ktorých sa inštitúcia</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271 ods. 2 nariadenia (EÚ) </w:t>
            </w:r>
            <w:r w:rsidR="009912F8" w:rsidRPr="00E07C9A">
              <w:rPr>
                <w:rFonts w:ascii="Times New Roman" w:hAnsi="Times New Roman"/>
                <w:sz w:val="24"/>
              </w:rPr>
              <w:t>č. 575/2013</w:t>
            </w:r>
            <w:r w:rsidRPr="00E07C9A">
              <w:rPr>
                <w:rFonts w:ascii="Times New Roman" w:hAnsi="Times New Roman"/>
                <w:sz w:val="24"/>
              </w:rPr>
              <w:t xml:space="preserve"> rozhodla určovať hodnotu expozície</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článkom 222 uvedeného nariadenia namiesto tretej časti hlavy II kapitoly 6 uvedeného nariadenia.</w:t>
            </w:r>
          </w:p>
        </w:tc>
      </w:tr>
      <w:tr w:rsidR="00595FAD" w:rsidRPr="00E07C9A" w14:paraId="10617B67"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BF0C688" w14:textId="77777777" w:rsidR="00595FAD" w:rsidRPr="00E07C9A" w:rsidRDefault="00595FAD" w:rsidP="00FF15C6">
            <w:pPr>
              <w:pStyle w:val="Applicationdirecte"/>
              <w:spacing w:before="0" w:after="0"/>
            </w:pPr>
            <w:r w:rsidRPr="00E07C9A">
              <w:t>0090</w:t>
            </w:r>
          </w:p>
        </w:tc>
        <w:tc>
          <w:tcPr>
            <w:tcW w:w="7655" w:type="dxa"/>
            <w:tcBorders>
              <w:top w:val="single" w:sz="4" w:space="0" w:color="auto"/>
              <w:left w:val="single" w:sz="4" w:space="0" w:color="auto"/>
              <w:bottom w:val="single" w:sz="4" w:space="0" w:color="auto"/>
              <w:right w:val="single" w:sz="4" w:space="0" w:color="auto"/>
            </w:tcBorders>
          </w:tcPr>
          <w:p w14:paraId="5EFD389B" w14:textId="74467F65" w:rsidR="00595FAD" w:rsidRPr="00E07C9A" w:rsidRDefault="00595FAD" w:rsidP="00FF15C6">
            <w:pPr>
              <w:keepNext/>
              <w:spacing w:before="60"/>
              <w:rPr>
                <w:rStyle w:val="InstructionsTabelleberschrift"/>
                <w:rFonts w:ascii="Times New Roman" w:hAnsi="Times New Roman"/>
                <w:sz w:val="24"/>
              </w:rPr>
            </w:pPr>
            <w:r w:rsidRPr="00E07C9A">
              <w:rPr>
                <w:rStyle w:val="InstructionsTabelleberschrift"/>
                <w:rFonts w:ascii="Times New Roman" w:hAnsi="Times New Roman"/>
                <w:sz w:val="24"/>
              </w:rPr>
              <w:t>SÚHRNNÁ METÓDA NAKLADANIA</w:t>
            </w:r>
            <w:r w:rsidR="009912F8" w:rsidRPr="00E07C9A">
              <w:rPr>
                <w:rStyle w:val="InstructionsTabelleberschrift"/>
                <w:rFonts w:ascii="Times New Roman" w:hAnsi="Times New Roman"/>
                <w:sz w:val="24"/>
              </w:rPr>
              <w:t xml:space="preserve"> S </w:t>
            </w:r>
            <w:r w:rsidRPr="00E07C9A">
              <w:rPr>
                <w:rStyle w:val="InstructionsTabelleberschrift"/>
                <w:rFonts w:ascii="Times New Roman" w:hAnsi="Times New Roman"/>
                <w:sz w:val="24"/>
              </w:rPr>
              <w:t>FINANČNÝM KOLATERÁLOM (PRE SFT)</w:t>
            </w:r>
          </w:p>
          <w:p w14:paraId="33716D0C" w14:textId="7ECF8F2E" w:rsidR="00595FAD" w:rsidRPr="00E07C9A" w:rsidRDefault="00595FAD" w:rsidP="00FF15C6">
            <w:pPr>
              <w:rPr>
                <w:rFonts w:ascii="Times New Roman" w:hAnsi="Times New Roman"/>
                <w:sz w:val="24"/>
              </w:rPr>
            </w:pPr>
            <w:r w:rsidRPr="00E07C9A">
              <w:rPr>
                <w:rFonts w:ascii="Times New Roman" w:hAnsi="Times New Roman"/>
                <w:sz w:val="24"/>
              </w:rPr>
              <w:t>Články 220</w:t>
            </w:r>
            <w:r w:rsidR="009912F8" w:rsidRPr="00E07C9A">
              <w:rPr>
                <w:rFonts w:ascii="Times New Roman" w:hAnsi="Times New Roman"/>
                <w:sz w:val="24"/>
              </w:rPr>
              <w:t xml:space="preserve"> a </w:t>
            </w:r>
            <w:r w:rsidRPr="00E07C9A">
              <w:rPr>
                <w:rFonts w:ascii="Times New Roman" w:hAnsi="Times New Roman"/>
                <w:sz w:val="24"/>
              </w:rPr>
              <w:t xml:space="preserve">223 nariadenia (EÚ) </w:t>
            </w:r>
            <w:r w:rsidR="009912F8" w:rsidRPr="00E07C9A">
              <w:rPr>
                <w:rFonts w:ascii="Times New Roman" w:hAnsi="Times New Roman"/>
                <w:sz w:val="24"/>
              </w:rPr>
              <w:t>č. 575/2013</w:t>
            </w:r>
          </w:p>
          <w:p w14:paraId="21713DED" w14:textId="63A0DF9E" w:rsidR="00595FAD" w:rsidRPr="00E07C9A" w:rsidRDefault="00595FAD" w:rsidP="00F02E37">
            <w:pPr>
              <w:pStyle w:val="TableMainHeading"/>
              <w:spacing w:before="60"/>
              <w:jc w:val="both"/>
              <w:rPr>
                <w:rFonts w:ascii="Times New Roman" w:hAnsi="Times New Roman"/>
                <w:i/>
                <w:sz w:val="24"/>
                <w:szCs w:val="24"/>
              </w:rPr>
            </w:pPr>
            <w:r w:rsidRPr="00E07C9A">
              <w:rPr>
                <w:rFonts w:ascii="Times New Roman" w:hAnsi="Times New Roman"/>
                <w:sz w:val="24"/>
              </w:rPr>
              <w:t>Repo transakcie, transakcie požičiavania alebo vypožičiavania cenných papierov alebo komodít, transakcie</w:t>
            </w:r>
            <w:r w:rsidR="009912F8" w:rsidRPr="00E07C9A">
              <w:rPr>
                <w:rFonts w:ascii="Times New Roman" w:hAnsi="Times New Roman"/>
                <w:sz w:val="24"/>
              </w:rPr>
              <w:t xml:space="preserve"> s </w:t>
            </w:r>
            <w:r w:rsidRPr="00E07C9A">
              <w:rPr>
                <w:rFonts w:ascii="Times New Roman" w:hAnsi="Times New Roman"/>
                <w:sz w:val="24"/>
              </w:rPr>
              <w:t>dlhou dobou vyrovnania</w:t>
            </w:r>
            <w:r w:rsidR="009912F8" w:rsidRPr="00E07C9A">
              <w:rPr>
                <w:rFonts w:ascii="Times New Roman" w:hAnsi="Times New Roman"/>
                <w:sz w:val="24"/>
              </w:rPr>
              <w:t xml:space="preserve"> a </w:t>
            </w:r>
            <w:r w:rsidRPr="00E07C9A">
              <w:rPr>
                <w:rFonts w:ascii="Times New Roman" w:hAnsi="Times New Roman"/>
                <w:sz w:val="24"/>
              </w:rPr>
              <w:t>transakcie požičiavania</w:t>
            </w:r>
            <w:r w:rsidR="009912F8" w:rsidRPr="00E07C9A">
              <w:rPr>
                <w:rFonts w:ascii="Times New Roman" w:hAnsi="Times New Roman"/>
                <w:sz w:val="24"/>
              </w:rPr>
              <w:t xml:space="preserve"> s </w:t>
            </w:r>
            <w:r w:rsidRPr="00E07C9A">
              <w:rPr>
                <w:rFonts w:ascii="Times New Roman" w:hAnsi="Times New Roman"/>
                <w:sz w:val="24"/>
              </w:rPr>
              <w:t>dozabezpečením, pri ktorých sa inštitúcia</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271 ods. 2 nariadenia (EÚ) </w:t>
            </w:r>
            <w:r w:rsidR="009912F8" w:rsidRPr="00E07C9A">
              <w:rPr>
                <w:rFonts w:ascii="Times New Roman" w:hAnsi="Times New Roman"/>
                <w:sz w:val="24"/>
              </w:rPr>
              <w:t>č. 575/2013</w:t>
            </w:r>
            <w:r w:rsidRPr="00E07C9A">
              <w:rPr>
                <w:rFonts w:ascii="Times New Roman" w:hAnsi="Times New Roman"/>
                <w:sz w:val="24"/>
              </w:rPr>
              <w:t xml:space="preserve"> rozhodla určovať hodnotu expozície</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článkom 223 uvedeného nariadenia namiesto tretej časti hlavy II kapitoly 6 uvedeného nariadenia.</w:t>
            </w:r>
          </w:p>
        </w:tc>
      </w:tr>
      <w:tr w:rsidR="00595FAD" w:rsidRPr="00E07C9A" w14:paraId="4059E19A"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06C7CAC8" w14:textId="77777777" w:rsidR="00595FAD" w:rsidRPr="00E07C9A" w:rsidRDefault="00595FAD" w:rsidP="00FF15C6">
            <w:pPr>
              <w:pStyle w:val="Applicationdirecte"/>
              <w:spacing w:before="0" w:after="0"/>
            </w:pPr>
            <w:r w:rsidRPr="00E07C9A">
              <w:t>0100</w:t>
            </w:r>
          </w:p>
        </w:tc>
        <w:tc>
          <w:tcPr>
            <w:tcW w:w="7655" w:type="dxa"/>
            <w:tcBorders>
              <w:top w:val="single" w:sz="4" w:space="0" w:color="auto"/>
              <w:left w:val="single" w:sz="4" w:space="0" w:color="auto"/>
              <w:bottom w:val="single" w:sz="4" w:space="0" w:color="auto"/>
              <w:right w:val="single" w:sz="4" w:space="0" w:color="auto"/>
            </w:tcBorders>
          </w:tcPr>
          <w:p w14:paraId="39BAFC26" w14:textId="1B0CB379" w:rsidR="00595FAD" w:rsidRPr="00E07C9A" w:rsidRDefault="00595FAD" w:rsidP="00FF15C6">
            <w:pPr>
              <w:keepNext/>
              <w:spacing w:before="60"/>
              <w:rPr>
                <w:rStyle w:val="InstructionsTabelleberschrift"/>
                <w:rFonts w:ascii="Times New Roman" w:hAnsi="Times New Roman"/>
                <w:sz w:val="24"/>
              </w:rPr>
            </w:pPr>
            <w:r w:rsidRPr="00E07C9A">
              <w:rPr>
                <w:rStyle w:val="InstructionsTabelleberschrift"/>
                <w:rFonts w:ascii="Times New Roman" w:hAnsi="Times New Roman"/>
                <w:sz w:val="24"/>
              </w:rPr>
              <w:t>HODNOTA</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RIZIKU PRE SFT</w:t>
            </w:r>
          </w:p>
          <w:p w14:paraId="55681F10" w14:textId="45CC7000" w:rsidR="00595FAD" w:rsidRPr="00E07C9A" w:rsidRDefault="00595FAD" w:rsidP="00FF15C6">
            <w:pPr>
              <w:rPr>
                <w:rFonts w:ascii="Times New Roman" w:hAnsi="Times New Roman"/>
                <w:sz w:val="24"/>
              </w:rPr>
            </w:pPr>
            <w:r w:rsidRPr="00E07C9A">
              <w:rPr>
                <w:rFonts w:ascii="Times New Roman" w:hAnsi="Times New Roman"/>
                <w:sz w:val="24"/>
              </w:rPr>
              <w:t xml:space="preserve">Článok 221 nariadenia (EÚ) </w:t>
            </w:r>
            <w:r w:rsidR="009912F8" w:rsidRPr="00E07C9A">
              <w:rPr>
                <w:rFonts w:ascii="Times New Roman" w:hAnsi="Times New Roman"/>
                <w:sz w:val="24"/>
              </w:rPr>
              <w:t>č. 575/2013</w:t>
            </w:r>
          </w:p>
          <w:p w14:paraId="167C79D0" w14:textId="22B2153F" w:rsidR="00595FAD" w:rsidRPr="00E07C9A" w:rsidRDefault="00595FAD" w:rsidP="00BC3A29">
            <w:pPr>
              <w:pStyle w:val="TableMainHeading"/>
              <w:spacing w:before="60"/>
              <w:jc w:val="both"/>
              <w:rPr>
                <w:rFonts w:ascii="Times New Roman" w:hAnsi="Times New Roman"/>
                <w:sz w:val="24"/>
                <w:szCs w:val="24"/>
              </w:rPr>
            </w:pPr>
            <w:r w:rsidRPr="00E07C9A">
              <w:rPr>
                <w:rFonts w:ascii="Times New Roman" w:hAnsi="Times New Roman"/>
                <w:sz w:val="24"/>
              </w:rPr>
              <w:t>Repo transakcie, transakcie požičiavania alebo vypožičiavania cenných papierov alebo komodít, transakcie požičiavania</w:t>
            </w:r>
            <w:r w:rsidR="009912F8" w:rsidRPr="00E07C9A">
              <w:rPr>
                <w:rFonts w:ascii="Times New Roman" w:hAnsi="Times New Roman"/>
                <w:sz w:val="24"/>
              </w:rPr>
              <w:t xml:space="preserve"> s </w:t>
            </w:r>
            <w:r w:rsidRPr="00E07C9A">
              <w:rPr>
                <w:rFonts w:ascii="Times New Roman" w:hAnsi="Times New Roman"/>
                <w:sz w:val="24"/>
              </w:rPr>
              <w:t>dozabezpečením alebo iné transakcie kapitálového trhu</w:t>
            </w:r>
            <w:r w:rsidR="009912F8" w:rsidRPr="00E07C9A">
              <w:rPr>
                <w:rFonts w:ascii="Times New Roman" w:hAnsi="Times New Roman"/>
                <w:sz w:val="24"/>
              </w:rPr>
              <w:t xml:space="preserve"> s </w:t>
            </w:r>
            <w:r w:rsidRPr="00E07C9A">
              <w:rPr>
                <w:rFonts w:ascii="Times New Roman" w:hAnsi="Times New Roman"/>
                <w:sz w:val="24"/>
              </w:rPr>
              <w:t>výnimkou derivátových transakcií, pri ktorých sa</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221 nariadenia (EÚ) </w:t>
            </w:r>
            <w:r w:rsidR="009912F8" w:rsidRPr="00E07C9A">
              <w:rPr>
                <w:rFonts w:ascii="Times New Roman" w:hAnsi="Times New Roman"/>
                <w:sz w:val="24"/>
              </w:rPr>
              <w:t>č. 575/2013 a s </w:t>
            </w:r>
            <w:r w:rsidRPr="00E07C9A">
              <w:rPr>
                <w:rFonts w:ascii="Times New Roman" w:hAnsi="Times New Roman"/>
                <w:sz w:val="24"/>
              </w:rPr>
              <w:t>výhradou povolenia príslušného orgánu hodnota expozície vypočítava</w:t>
            </w:r>
            <w:r w:rsidR="009912F8" w:rsidRPr="00E07C9A">
              <w:rPr>
                <w:rFonts w:ascii="Times New Roman" w:hAnsi="Times New Roman"/>
                <w:sz w:val="24"/>
              </w:rPr>
              <w:t xml:space="preserve"> s </w:t>
            </w:r>
            <w:r w:rsidRPr="00E07C9A">
              <w:rPr>
                <w:rFonts w:ascii="Times New Roman" w:hAnsi="Times New Roman"/>
                <w:sz w:val="24"/>
              </w:rPr>
              <w:t>použitím prístupu interného modelu, ktorý zohľadňuje účinky korelácie medzi pozíciami cenných papierov</w:t>
            </w:r>
            <w:r w:rsidR="009912F8" w:rsidRPr="00E07C9A">
              <w:rPr>
                <w:rFonts w:ascii="Times New Roman" w:hAnsi="Times New Roman"/>
                <w:sz w:val="24"/>
              </w:rPr>
              <w:t xml:space="preserve"> v </w:t>
            </w:r>
            <w:r w:rsidRPr="00E07C9A">
              <w:rPr>
                <w:rFonts w:ascii="Times New Roman" w:hAnsi="Times New Roman"/>
                <w:sz w:val="24"/>
              </w:rPr>
              <w:t>zmysle rámcovej dohody</w:t>
            </w:r>
            <w:r w:rsidR="009912F8" w:rsidRPr="00E07C9A">
              <w:rPr>
                <w:rFonts w:ascii="Times New Roman" w:hAnsi="Times New Roman"/>
                <w:sz w:val="24"/>
              </w:rPr>
              <w:t xml:space="preserve"> o </w:t>
            </w:r>
            <w:r w:rsidRPr="00E07C9A">
              <w:rPr>
                <w:rFonts w:ascii="Times New Roman" w:hAnsi="Times New Roman"/>
                <w:sz w:val="24"/>
              </w:rPr>
              <w:t xml:space="preserve">vzájomnom započítavaní, ako aj likviditu príslušných nástrojov. </w:t>
            </w:r>
          </w:p>
        </w:tc>
      </w:tr>
      <w:tr w:rsidR="00595FAD" w:rsidRPr="00E07C9A" w14:paraId="73F2B6A6"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53309DE5" w14:textId="77777777" w:rsidR="00595FAD" w:rsidRPr="00E07C9A" w:rsidRDefault="00595FAD" w:rsidP="00FF15C6">
            <w:pPr>
              <w:pStyle w:val="Applicationdirecte"/>
              <w:spacing w:before="0" w:after="0"/>
            </w:pPr>
            <w:r w:rsidRPr="00E07C9A">
              <w:t>0110</w:t>
            </w:r>
          </w:p>
        </w:tc>
        <w:tc>
          <w:tcPr>
            <w:tcW w:w="7655" w:type="dxa"/>
            <w:tcBorders>
              <w:top w:val="single" w:sz="4" w:space="0" w:color="auto"/>
              <w:left w:val="single" w:sz="4" w:space="0" w:color="auto"/>
              <w:bottom w:val="single" w:sz="4" w:space="0" w:color="auto"/>
              <w:right w:val="single" w:sz="4" w:space="0" w:color="auto"/>
            </w:tcBorders>
          </w:tcPr>
          <w:p w14:paraId="0B2648F0" w14:textId="77777777" w:rsidR="00595FAD" w:rsidRPr="00E07C9A" w:rsidRDefault="00595FAD" w:rsidP="00FF15C6">
            <w:pPr>
              <w:keepNext/>
              <w:spacing w:before="60"/>
              <w:rPr>
                <w:rStyle w:val="InstructionsTabelleberschrift"/>
                <w:rFonts w:ascii="Times New Roman" w:hAnsi="Times New Roman"/>
                <w:sz w:val="24"/>
              </w:rPr>
            </w:pPr>
            <w:r w:rsidRPr="00E07C9A">
              <w:rPr>
                <w:rStyle w:val="InstructionsTabelleberschrift"/>
                <w:rFonts w:ascii="Times New Roman" w:hAnsi="Times New Roman"/>
                <w:sz w:val="24"/>
              </w:rPr>
              <w:t>SPOLU</w:t>
            </w:r>
          </w:p>
          <w:p w14:paraId="56C8E47F" w14:textId="77777777" w:rsidR="00595FAD" w:rsidRPr="00E07C9A" w:rsidRDefault="00595FAD" w:rsidP="00FF15C6">
            <w:pPr>
              <w:keepNext/>
              <w:spacing w:before="60"/>
              <w:rPr>
                <w:rStyle w:val="InstructionsTabelleberschrift"/>
                <w:rFonts w:ascii="Times New Roman" w:hAnsi="Times New Roman"/>
                <w:sz w:val="24"/>
              </w:rPr>
            </w:pPr>
          </w:p>
        </w:tc>
      </w:tr>
      <w:tr w:rsidR="00595FAD" w:rsidRPr="00E07C9A" w14:paraId="2B82AFD0" w14:textId="77777777" w:rsidTr="00FF15C6">
        <w:trPr>
          <w:trHeight w:val="1502"/>
        </w:trPr>
        <w:tc>
          <w:tcPr>
            <w:tcW w:w="1384" w:type="dxa"/>
          </w:tcPr>
          <w:p w14:paraId="4155E854" w14:textId="77777777" w:rsidR="00595FAD" w:rsidRPr="00E07C9A" w:rsidDel="003E0C6A" w:rsidRDefault="00595FAD" w:rsidP="00FF15C6">
            <w:pPr>
              <w:pStyle w:val="Applicationdirecte"/>
              <w:spacing w:before="60" w:after="0"/>
              <w:jc w:val="left"/>
            </w:pPr>
            <w:r w:rsidRPr="00E07C9A">
              <w:t>0120</w:t>
            </w:r>
          </w:p>
        </w:tc>
        <w:tc>
          <w:tcPr>
            <w:tcW w:w="7655" w:type="dxa"/>
          </w:tcPr>
          <w:p w14:paraId="17BEB942" w14:textId="77777777" w:rsidR="00595FAD" w:rsidRPr="00E07C9A" w:rsidRDefault="00595FAD" w:rsidP="00FF15C6">
            <w:pPr>
              <w:keepNext/>
              <w:spacing w:before="60"/>
              <w:rPr>
                <w:rStyle w:val="InstructionsTabelleberschrift"/>
                <w:rFonts w:ascii="Times New Roman" w:hAnsi="Times New Roman"/>
                <w:sz w:val="24"/>
              </w:rPr>
            </w:pPr>
            <w:r w:rsidRPr="00E07C9A">
              <w:rPr>
                <w:rStyle w:val="InstructionsTabelleberschrift"/>
                <w:rFonts w:ascii="Times New Roman" w:hAnsi="Times New Roman"/>
                <w:sz w:val="24"/>
              </w:rPr>
              <w:t>Z čoho: pozície so špecifickým rizikom nesprávnej voľby (SWWR)</w:t>
            </w:r>
          </w:p>
          <w:p w14:paraId="0AD5CB2F" w14:textId="1FE23AAA" w:rsidR="00595FAD" w:rsidRPr="00E07C9A" w:rsidRDefault="00595FAD" w:rsidP="00FF15C6">
            <w:pPr>
              <w:keepNext/>
              <w:spacing w:before="60"/>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 xml:space="preserve">Článok 291 </w:t>
            </w:r>
            <w:r w:rsidRPr="00E07C9A">
              <w:rPr>
                <w:rFonts w:ascii="Times New Roman" w:hAnsi="Times New Roman"/>
                <w:sz w:val="24"/>
              </w:rPr>
              <w:t xml:space="preserve">nariadenia (EÚ) </w:t>
            </w:r>
            <w:r w:rsidR="009912F8" w:rsidRPr="00E07C9A">
              <w:rPr>
                <w:rFonts w:ascii="Times New Roman" w:hAnsi="Times New Roman"/>
                <w:sz w:val="24"/>
              </w:rPr>
              <w:t>č. 575/2013</w:t>
            </w:r>
          </w:p>
          <w:p w14:paraId="46E07203" w14:textId="775B63B9" w:rsidR="00595FAD" w:rsidRPr="00E07C9A" w:rsidDel="003E0C6A" w:rsidRDefault="00595FAD" w:rsidP="00FF15C6">
            <w:pPr>
              <w:keepNext/>
              <w:spacing w:before="60"/>
              <w:rPr>
                <w:rFonts w:ascii="Times New Roman" w:hAnsi="Times New Roman"/>
                <w:bCs/>
                <w:sz w:val="24"/>
              </w:rPr>
            </w:pPr>
            <w:r w:rsidRPr="00E07C9A">
              <w:rPr>
                <w:rStyle w:val="InstructionsTabelleberschrift"/>
                <w:rFonts w:ascii="Times New Roman" w:hAnsi="Times New Roman"/>
                <w:b w:val="0"/>
                <w:sz w:val="24"/>
                <w:u w:val="none"/>
              </w:rPr>
              <w:t>Expozície voči CCR, pri ktorých bolo</w:t>
            </w:r>
            <w:r w:rsidR="009912F8" w:rsidRPr="00E07C9A">
              <w:rPr>
                <w:rStyle w:val="InstructionsTabelleberschrift"/>
                <w:rFonts w:ascii="Times New Roman" w:hAnsi="Times New Roman"/>
                <w:b w:val="0"/>
                <w:sz w:val="24"/>
                <w:u w:val="none"/>
              </w:rPr>
              <w:t xml:space="preserve"> v </w:t>
            </w:r>
            <w:r w:rsidRPr="00E07C9A">
              <w:rPr>
                <w:rStyle w:val="InstructionsTabelleberschrift"/>
                <w:rFonts w:ascii="Times New Roman" w:hAnsi="Times New Roman"/>
                <w:b w:val="0"/>
                <w:sz w:val="24"/>
                <w:u w:val="none"/>
              </w:rPr>
              <w:t>súlade</w:t>
            </w:r>
            <w:r w:rsidR="009912F8" w:rsidRPr="00E07C9A">
              <w:rPr>
                <w:rStyle w:val="InstructionsTabelleberschrift"/>
                <w:rFonts w:ascii="Times New Roman" w:hAnsi="Times New Roman"/>
                <w:b w:val="0"/>
                <w:sz w:val="24"/>
                <w:u w:val="none"/>
              </w:rPr>
              <w:t xml:space="preserve"> s </w:t>
            </w:r>
            <w:r w:rsidRPr="00E07C9A">
              <w:rPr>
                <w:rStyle w:val="InstructionsTabelleberschrift"/>
                <w:rFonts w:ascii="Times New Roman" w:hAnsi="Times New Roman"/>
                <w:b w:val="0"/>
                <w:sz w:val="24"/>
                <w:u w:val="none"/>
              </w:rPr>
              <w:t>článkom 291</w:t>
            </w:r>
            <w:r w:rsidRPr="00E07C9A">
              <w:rPr>
                <w:rFonts w:ascii="Times New Roman" w:hAnsi="Times New Roman"/>
                <w:sz w:val="24"/>
              </w:rPr>
              <w:t xml:space="preserve"> nariadenia (EÚ) </w:t>
            </w:r>
            <w:r w:rsidR="009912F8" w:rsidRPr="00E07C9A">
              <w:rPr>
                <w:rFonts w:ascii="Times New Roman" w:hAnsi="Times New Roman"/>
                <w:sz w:val="24"/>
              </w:rPr>
              <w:t>č. 575/2013</w:t>
            </w:r>
            <w:r w:rsidRPr="00E07C9A">
              <w:rPr>
                <w:rFonts w:ascii="Times New Roman" w:hAnsi="Times New Roman"/>
                <w:sz w:val="24"/>
              </w:rPr>
              <w:t xml:space="preserve"> </w:t>
            </w:r>
            <w:r w:rsidRPr="00E07C9A">
              <w:rPr>
                <w:rStyle w:val="InstructionsTabelleberschrift"/>
                <w:rFonts w:ascii="Times New Roman" w:hAnsi="Times New Roman"/>
                <w:b w:val="0"/>
                <w:sz w:val="24"/>
                <w:u w:val="none"/>
              </w:rPr>
              <w:t>zistené špecifické riziko nesprávnej voľby (SWWR).</w:t>
            </w:r>
          </w:p>
        </w:tc>
      </w:tr>
      <w:tr w:rsidR="00595FAD" w:rsidRPr="00E07C9A" w14:paraId="0987433B" w14:textId="77777777" w:rsidTr="00FF15C6">
        <w:trPr>
          <w:trHeight w:val="426"/>
        </w:trPr>
        <w:tc>
          <w:tcPr>
            <w:tcW w:w="1384" w:type="dxa"/>
          </w:tcPr>
          <w:p w14:paraId="4F9F866B" w14:textId="77777777" w:rsidR="00595FAD" w:rsidRPr="00E07C9A" w:rsidDel="003E0C6A" w:rsidRDefault="00595FAD" w:rsidP="00FF15C6">
            <w:pPr>
              <w:pStyle w:val="Applicationdirecte"/>
              <w:spacing w:before="60" w:after="0"/>
              <w:jc w:val="left"/>
            </w:pPr>
            <w:r w:rsidRPr="00E07C9A">
              <w:t>0130</w:t>
            </w:r>
          </w:p>
        </w:tc>
        <w:tc>
          <w:tcPr>
            <w:tcW w:w="7655" w:type="dxa"/>
          </w:tcPr>
          <w:p w14:paraId="35F49821" w14:textId="267C96A2" w:rsidR="00595FAD" w:rsidRPr="00E07C9A" w:rsidRDefault="00595FAD" w:rsidP="00FF15C6">
            <w:pPr>
              <w:keepNext/>
              <w:spacing w:before="60"/>
              <w:rPr>
                <w:rStyle w:val="InstructionsTabelleberschrift"/>
                <w:rFonts w:ascii="Times New Roman" w:hAnsi="Times New Roman"/>
                <w:sz w:val="24"/>
              </w:rPr>
            </w:pPr>
            <w:r w:rsidRPr="00E07C9A">
              <w:rPr>
                <w:rStyle w:val="InstructionsTabelleberschrift"/>
                <w:rFonts w:ascii="Times New Roman" w:hAnsi="Times New Roman"/>
                <w:sz w:val="24"/>
              </w:rPr>
              <w:t>Obchodná činnosť, na ktorú sa vzťahuje dohoda</w:t>
            </w:r>
            <w:r w:rsidR="009912F8" w:rsidRPr="00E07C9A">
              <w:rPr>
                <w:rStyle w:val="InstructionsTabelleberschrift"/>
                <w:rFonts w:ascii="Times New Roman" w:hAnsi="Times New Roman"/>
                <w:sz w:val="24"/>
              </w:rPr>
              <w:t xml:space="preserve"> o </w:t>
            </w:r>
            <w:r w:rsidRPr="00E07C9A">
              <w:rPr>
                <w:rStyle w:val="InstructionsTabelleberschrift"/>
                <w:rFonts w:ascii="Times New Roman" w:hAnsi="Times New Roman"/>
                <w:sz w:val="24"/>
              </w:rPr>
              <w:t>dozabezpečení</w:t>
            </w:r>
          </w:p>
          <w:p w14:paraId="037CFAFD" w14:textId="0EBA0EF7" w:rsidR="00595FAD" w:rsidRPr="00E07C9A" w:rsidRDefault="00595FAD" w:rsidP="00FF15C6">
            <w:pPr>
              <w:keepNext/>
              <w:spacing w:before="60"/>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 xml:space="preserve">Článok 272 bod 7 </w:t>
            </w:r>
            <w:r w:rsidRPr="00E07C9A">
              <w:rPr>
                <w:rFonts w:ascii="Times New Roman" w:hAnsi="Times New Roman"/>
                <w:sz w:val="24"/>
              </w:rPr>
              <w:t xml:space="preserve">nariadenia (EÚ) </w:t>
            </w:r>
            <w:r w:rsidR="009912F8" w:rsidRPr="00E07C9A">
              <w:rPr>
                <w:rFonts w:ascii="Times New Roman" w:hAnsi="Times New Roman"/>
                <w:sz w:val="24"/>
              </w:rPr>
              <w:t>č. 575/2013</w:t>
            </w:r>
          </w:p>
          <w:p w14:paraId="6CB57CF2" w14:textId="3DBBC4C7" w:rsidR="00595FAD" w:rsidRPr="00E07C9A" w:rsidDel="003E0C6A" w:rsidRDefault="00595FAD" w:rsidP="00FF15C6">
            <w:pPr>
              <w:keepNext/>
              <w:spacing w:before="60"/>
              <w:rPr>
                <w:rFonts w:ascii="Times New Roman" w:hAnsi="Times New Roman"/>
                <w:sz w:val="24"/>
              </w:rPr>
            </w:pPr>
            <w:r w:rsidRPr="00E07C9A">
              <w:rPr>
                <w:rStyle w:val="InstructionsTabelleberschrift"/>
                <w:rFonts w:ascii="Times New Roman" w:hAnsi="Times New Roman"/>
                <w:b w:val="0"/>
                <w:sz w:val="24"/>
                <w:u w:val="none"/>
              </w:rPr>
              <w:t>Expozície voči CCR, na ktoré sa vzťahuje dohoda</w:t>
            </w:r>
            <w:r w:rsidR="009912F8" w:rsidRPr="00E07C9A">
              <w:rPr>
                <w:rStyle w:val="InstructionsTabelleberschrift"/>
                <w:rFonts w:ascii="Times New Roman" w:hAnsi="Times New Roman"/>
                <w:b w:val="0"/>
                <w:sz w:val="24"/>
                <w:u w:val="none"/>
              </w:rPr>
              <w:t xml:space="preserve"> o </w:t>
            </w:r>
            <w:r w:rsidRPr="00E07C9A">
              <w:rPr>
                <w:rStyle w:val="InstructionsTabelleberschrift"/>
                <w:rFonts w:ascii="Times New Roman" w:hAnsi="Times New Roman"/>
                <w:b w:val="0"/>
                <w:sz w:val="24"/>
                <w:u w:val="none"/>
              </w:rPr>
              <w:t>dozabezpečení, t. j. súbory vzájomného započítavania, na ktoré sa vzťahuje dohoda</w:t>
            </w:r>
            <w:r w:rsidR="009912F8" w:rsidRPr="00E07C9A">
              <w:rPr>
                <w:rStyle w:val="InstructionsTabelleberschrift"/>
                <w:rFonts w:ascii="Times New Roman" w:hAnsi="Times New Roman"/>
                <w:b w:val="0"/>
                <w:sz w:val="24"/>
                <w:u w:val="none"/>
              </w:rPr>
              <w:t xml:space="preserve"> o </w:t>
            </w:r>
            <w:r w:rsidRPr="00E07C9A">
              <w:rPr>
                <w:rStyle w:val="InstructionsTabelleberschrift"/>
                <w:rFonts w:ascii="Times New Roman" w:hAnsi="Times New Roman"/>
                <w:b w:val="0"/>
                <w:sz w:val="24"/>
                <w:u w:val="none"/>
              </w:rPr>
              <w:t>dozabezpečení</w:t>
            </w:r>
            <w:r w:rsidR="009912F8" w:rsidRPr="00E07C9A">
              <w:rPr>
                <w:rStyle w:val="InstructionsTabelleberschrift"/>
                <w:rFonts w:ascii="Times New Roman" w:hAnsi="Times New Roman"/>
                <w:b w:val="0"/>
                <w:sz w:val="24"/>
                <w:u w:val="none"/>
              </w:rPr>
              <w:t xml:space="preserve"> v </w:t>
            </w:r>
            <w:r w:rsidRPr="00E07C9A">
              <w:rPr>
                <w:rStyle w:val="InstructionsTabelleberschrift"/>
                <w:rFonts w:ascii="Times New Roman" w:hAnsi="Times New Roman"/>
                <w:b w:val="0"/>
                <w:sz w:val="24"/>
                <w:u w:val="none"/>
              </w:rPr>
              <w:t>súlade</w:t>
            </w:r>
            <w:r w:rsidR="009912F8" w:rsidRPr="00E07C9A">
              <w:rPr>
                <w:rStyle w:val="InstructionsTabelleberschrift"/>
                <w:rFonts w:ascii="Times New Roman" w:hAnsi="Times New Roman"/>
                <w:b w:val="0"/>
                <w:sz w:val="24"/>
                <w:u w:val="none"/>
              </w:rPr>
              <w:t xml:space="preserve"> s </w:t>
            </w:r>
            <w:r w:rsidRPr="00E07C9A">
              <w:rPr>
                <w:rStyle w:val="InstructionsTabelleberschrift"/>
                <w:rFonts w:ascii="Times New Roman" w:hAnsi="Times New Roman"/>
                <w:b w:val="0"/>
                <w:sz w:val="24"/>
                <w:u w:val="none"/>
              </w:rPr>
              <w:t>článkom 272 bodom 7</w:t>
            </w:r>
            <w:r w:rsidRPr="00E07C9A">
              <w:rPr>
                <w:rFonts w:ascii="Times New Roman" w:hAnsi="Times New Roman"/>
                <w:sz w:val="24"/>
              </w:rPr>
              <w:t xml:space="preserve"> nariadenia (EÚ) </w:t>
            </w:r>
            <w:r w:rsidR="009912F8" w:rsidRPr="00E07C9A">
              <w:rPr>
                <w:rFonts w:ascii="Times New Roman" w:hAnsi="Times New Roman"/>
                <w:sz w:val="24"/>
              </w:rPr>
              <w:t>č. 575/2013</w:t>
            </w:r>
            <w:r w:rsidRPr="00E07C9A">
              <w:rPr>
                <w:rStyle w:val="InstructionsTabelleberschrift"/>
                <w:rFonts w:ascii="Times New Roman" w:hAnsi="Times New Roman"/>
                <w:b w:val="0"/>
                <w:sz w:val="24"/>
                <w:u w:val="none"/>
              </w:rPr>
              <w:t>.</w:t>
            </w:r>
          </w:p>
        </w:tc>
      </w:tr>
      <w:tr w:rsidR="00595FAD" w:rsidRPr="00E07C9A" w14:paraId="4B046600" w14:textId="77777777" w:rsidTr="00FF15C6">
        <w:trPr>
          <w:trHeight w:val="829"/>
        </w:trPr>
        <w:tc>
          <w:tcPr>
            <w:tcW w:w="1384" w:type="dxa"/>
          </w:tcPr>
          <w:p w14:paraId="252AF6E4" w14:textId="77777777" w:rsidR="00595FAD" w:rsidRPr="00E07C9A" w:rsidDel="003E0C6A" w:rsidRDefault="00595FAD" w:rsidP="00FF15C6">
            <w:pPr>
              <w:pStyle w:val="Applicationdirecte"/>
              <w:spacing w:before="60" w:after="0"/>
              <w:jc w:val="left"/>
            </w:pPr>
            <w:r w:rsidRPr="00E07C9A">
              <w:t>0140</w:t>
            </w:r>
          </w:p>
        </w:tc>
        <w:tc>
          <w:tcPr>
            <w:tcW w:w="7655" w:type="dxa"/>
          </w:tcPr>
          <w:p w14:paraId="7C4E551A" w14:textId="0432610D" w:rsidR="00595FAD" w:rsidRPr="00E07C9A" w:rsidRDefault="00595FAD" w:rsidP="00FF15C6">
            <w:pPr>
              <w:keepNext/>
              <w:spacing w:before="60"/>
              <w:rPr>
                <w:rStyle w:val="InstructionsTabelleberschrift"/>
                <w:rFonts w:ascii="Times New Roman" w:hAnsi="Times New Roman"/>
                <w:sz w:val="24"/>
              </w:rPr>
            </w:pPr>
            <w:r w:rsidRPr="00E07C9A">
              <w:rPr>
                <w:rStyle w:val="InstructionsTabelleberschrift"/>
                <w:rFonts w:ascii="Times New Roman" w:hAnsi="Times New Roman"/>
                <w:sz w:val="24"/>
              </w:rPr>
              <w:t>Obchodná činnosť, na ktorú sa nevzťahuje dohoda</w:t>
            </w:r>
            <w:r w:rsidR="009912F8" w:rsidRPr="00E07C9A">
              <w:rPr>
                <w:rStyle w:val="InstructionsTabelleberschrift"/>
                <w:rFonts w:ascii="Times New Roman" w:hAnsi="Times New Roman"/>
                <w:sz w:val="24"/>
              </w:rPr>
              <w:t xml:space="preserve"> o </w:t>
            </w:r>
            <w:r w:rsidRPr="00E07C9A">
              <w:rPr>
                <w:rStyle w:val="InstructionsTabelleberschrift"/>
                <w:rFonts w:ascii="Times New Roman" w:hAnsi="Times New Roman"/>
                <w:sz w:val="24"/>
              </w:rPr>
              <w:t>dozabezpečení</w:t>
            </w:r>
          </w:p>
          <w:p w14:paraId="6423C333" w14:textId="4FB39E1B" w:rsidR="00595FAD" w:rsidRPr="00E07C9A" w:rsidDel="003E0C6A" w:rsidRDefault="00595FAD" w:rsidP="00FF15C6">
            <w:pPr>
              <w:rPr>
                <w:rFonts w:ascii="Times New Roman" w:hAnsi="Times New Roman"/>
                <w:sz w:val="24"/>
              </w:rPr>
            </w:pPr>
            <w:r w:rsidRPr="00E07C9A">
              <w:rPr>
                <w:rFonts w:ascii="Times New Roman" w:hAnsi="Times New Roman"/>
                <w:sz w:val="24"/>
              </w:rPr>
              <w:t>Expozície voči CCR, ktoré nie sú zahrnuté</w:t>
            </w:r>
            <w:r w:rsidR="009912F8" w:rsidRPr="00E07C9A">
              <w:rPr>
                <w:rFonts w:ascii="Times New Roman" w:hAnsi="Times New Roman"/>
                <w:sz w:val="24"/>
              </w:rPr>
              <w:t xml:space="preserve"> v </w:t>
            </w:r>
            <w:r w:rsidRPr="00E07C9A">
              <w:rPr>
                <w:rFonts w:ascii="Times New Roman" w:hAnsi="Times New Roman"/>
                <w:sz w:val="24"/>
              </w:rPr>
              <w:t>riadku 0130.</w:t>
            </w:r>
          </w:p>
        </w:tc>
      </w:tr>
    </w:tbl>
    <w:p w14:paraId="02C9EC1D" w14:textId="77777777" w:rsidR="00595FAD" w:rsidRPr="00E07C9A" w:rsidRDefault="00595FAD" w:rsidP="00595FAD">
      <w:pPr>
        <w:rPr>
          <w:rFonts w:ascii="Times New Roman" w:hAnsi="Times New Roman"/>
          <w:sz w:val="24"/>
        </w:rPr>
      </w:pPr>
    </w:p>
    <w:p w14:paraId="1773CD69" w14:textId="00BAF2D3" w:rsidR="00595FAD" w:rsidRPr="00E07C9A" w:rsidRDefault="00595FAD" w:rsidP="005C4397">
      <w:pPr>
        <w:pStyle w:val="Instructionsberschrift2"/>
        <w:numPr>
          <w:ilvl w:val="2"/>
          <w:numId w:val="39"/>
        </w:numPr>
        <w:rPr>
          <w:rFonts w:ascii="Times New Roman" w:hAnsi="Times New Roman" w:cs="Times New Roman"/>
          <w:sz w:val="24"/>
        </w:rPr>
      </w:pPr>
      <w:bookmarkStart w:id="462" w:name="_Toc19715809"/>
      <w:bookmarkStart w:id="463" w:name="_Toc115857839"/>
      <w:r w:rsidRPr="00E07C9A">
        <w:rPr>
          <w:rFonts w:ascii="Times New Roman" w:hAnsi="Times New Roman" w:cs="Times New Roman"/>
          <w:sz w:val="24"/>
        </w:rPr>
        <w:t>C 34.03 –⁠ Expozície voči CCR,</w:t>
      </w:r>
      <w:r w:rsidR="009912F8" w:rsidRPr="00E07C9A">
        <w:rPr>
          <w:rFonts w:ascii="Times New Roman" w:hAnsi="Times New Roman" w:cs="Times New Roman"/>
          <w:sz w:val="24"/>
        </w:rPr>
        <w:t xml:space="preserve"> s </w:t>
      </w:r>
      <w:r w:rsidRPr="00E07C9A">
        <w:rPr>
          <w:rFonts w:ascii="Times New Roman" w:hAnsi="Times New Roman" w:cs="Times New Roman"/>
          <w:sz w:val="24"/>
        </w:rPr>
        <w:t>ktorými sa zaobchádza podľa štandardizovaných prístupov: prístup SA-CCR</w:t>
      </w:r>
      <w:r w:rsidR="009912F8" w:rsidRPr="00E07C9A">
        <w:rPr>
          <w:rFonts w:ascii="Times New Roman" w:hAnsi="Times New Roman" w:cs="Times New Roman"/>
          <w:sz w:val="24"/>
        </w:rPr>
        <w:t xml:space="preserve"> a </w:t>
      </w:r>
      <w:r w:rsidRPr="00E07C9A">
        <w:rPr>
          <w:rFonts w:ascii="Times New Roman" w:hAnsi="Times New Roman" w:cs="Times New Roman"/>
          <w:sz w:val="24"/>
        </w:rPr>
        <w:t>zjednodušený prístup SA-CCR</w:t>
      </w:r>
      <w:bookmarkEnd w:id="462"/>
      <w:bookmarkEnd w:id="463"/>
    </w:p>
    <w:p w14:paraId="509BE374" w14:textId="77777777" w:rsidR="00595FAD" w:rsidRPr="00E07C9A" w:rsidRDefault="00595FAD" w:rsidP="005C4397">
      <w:pPr>
        <w:pStyle w:val="Instructionsberschrift2"/>
        <w:numPr>
          <w:ilvl w:val="3"/>
          <w:numId w:val="39"/>
        </w:numPr>
        <w:rPr>
          <w:rFonts w:ascii="Times New Roman" w:hAnsi="Times New Roman" w:cs="Times New Roman"/>
          <w:sz w:val="24"/>
        </w:rPr>
      </w:pPr>
      <w:bookmarkStart w:id="464" w:name="_Toc19715810"/>
      <w:bookmarkStart w:id="465" w:name="_Toc115857840"/>
      <w:r w:rsidRPr="00E07C9A">
        <w:rPr>
          <w:rFonts w:ascii="Times New Roman" w:hAnsi="Times New Roman" w:cs="Times New Roman"/>
          <w:sz w:val="24"/>
        </w:rPr>
        <w:t>Všeobecné poznámky</w:t>
      </w:r>
      <w:bookmarkEnd w:id="464"/>
      <w:bookmarkEnd w:id="465"/>
    </w:p>
    <w:p w14:paraId="0771AD5D" w14:textId="4CD095BF" w:rsidR="00595FAD" w:rsidRPr="00E07C9A" w:rsidRDefault="002A18DE" w:rsidP="00487A02">
      <w:pPr>
        <w:pStyle w:val="InstructionsText2"/>
        <w:numPr>
          <w:ilvl w:val="0"/>
          <w:numId w:val="0"/>
        </w:numPr>
        <w:ind w:left="1353" w:hanging="360"/>
      </w:pPr>
      <w:fldSimple w:instr=" seq paragraphs ">
        <w:r w:rsidR="00132AEE">
          <w:rPr>
            <w:noProof/>
          </w:rPr>
          <w:t>125</w:t>
        </w:r>
      </w:fldSimple>
      <w:r w:rsidR="00C3070C" w:rsidRPr="00E07C9A">
        <w:t>. Vzor sa používa samostatne na vykazovanie expozícií voči CCR, ktoré sa vypočítavajú podľa prístupu SA-CCR alebo prípadne podľa zjednodušeného prístupu SA-CCR.</w:t>
      </w:r>
    </w:p>
    <w:p w14:paraId="2F14828E" w14:textId="3A752E64" w:rsidR="00595FAD" w:rsidRPr="00E07C9A" w:rsidRDefault="00595FAD" w:rsidP="005C4397">
      <w:pPr>
        <w:pStyle w:val="Instructionsberschrift2"/>
        <w:numPr>
          <w:ilvl w:val="3"/>
          <w:numId w:val="39"/>
        </w:numPr>
        <w:rPr>
          <w:rFonts w:ascii="Times New Roman" w:hAnsi="Times New Roman" w:cs="Times New Roman"/>
          <w:sz w:val="24"/>
        </w:rPr>
      </w:pPr>
      <w:bookmarkStart w:id="466" w:name="_Toc19715811"/>
      <w:bookmarkStart w:id="467" w:name="_Toc115857841"/>
      <w:r w:rsidRPr="00E07C9A">
        <w:rPr>
          <w:rFonts w:ascii="Times New Roman" w:hAnsi="Times New Roman" w:cs="Times New Roman"/>
          <w:sz w:val="24"/>
        </w:rPr>
        <w:t>Pokyny týkajúce sa konkrétnych pozícií</w:t>
      </w:r>
      <w:bookmarkEnd w:id="466"/>
      <w:bookmarkEnd w:id="46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E07C9A" w14:paraId="20BF534C" w14:textId="77777777" w:rsidTr="00751FBE">
        <w:trPr>
          <w:trHeight w:val="717"/>
        </w:trPr>
        <w:tc>
          <w:tcPr>
            <w:tcW w:w="9039" w:type="dxa"/>
            <w:gridSpan w:val="2"/>
            <w:shd w:val="clear" w:color="auto" w:fill="D9D9D9" w:themeFill="background1" w:themeFillShade="D9"/>
          </w:tcPr>
          <w:p w14:paraId="40E15D26" w14:textId="77777777" w:rsidR="00595FAD" w:rsidRPr="00E07C9A" w:rsidRDefault="00595FAD" w:rsidP="002858D1">
            <w:pPr>
              <w:keepNext/>
              <w:keepLines/>
              <w:autoSpaceDE w:val="0"/>
              <w:autoSpaceDN w:val="0"/>
              <w:adjustRightInd w:val="0"/>
              <w:rPr>
                <w:rFonts w:ascii="Times New Roman" w:hAnsi="Times New Roman"/>
                <w:b/>
                <w:sz w:val="24"/>
              </w:rPr>
            </w:pPr>
            <w:r w:rsidRPr="00E07C9A">
              <w:rPr>
                <w:rFonts w:ascii="Times New Roman" w:hAnsi="Times New Roman"/>
                <w:b/>
                <w:sz w:val="24"/>
              </w:rPr>
              <w:t>Stĺpce</w:t>
            </w:r>
          </w:p>
        </w:tc>
      </w:tr>
      <w:tr w:rsidR="00595FAD" w:rsidRPr="00E07C9A" w14:paraId="7E18AD5B" w14:textId="77777777" w:rsidTr="00FF15C6">
        <w:trPr>
          <w:trHeight w:val="680"/>
        </w:trPr>
        <w:tc>
          <w:tcPr>
            <w:tcW w:w="1384" w:type="dxa"/>
          </w:tcPr>
          <w:p w14:paraId="66EB51F0" w14:textId="77777777" w:rsidR="00595FAD" w:rsidRPr="00E07C9A" w:rsidRDefault="00595FAD" w:rsidP="00FF15C6">
            <w:pPr>
              <w:pStyle w:val="Applicationdirecte"/>
              <w:spacing w:before="0" w:after="0"/>
            </w:pPr>
            <w:r w:rsidRPr="00E07C9A">
              <w:t>0010</w:t>
            </w:r>
          </w:p>
        </w:tc>
        <w:tc>
          <w:tcPr>
            <w:tcW w:w="7655" w:type="dxa"/>
            <w:vAlign w:val="center"/>
          </w:tcPr>
          <w:p w14:paraId="6CB36164" w14:textId="77777777" w:rsidR="00595FAD" w:rsidRPr="00E07C9A" w:rsidRDefault="00595FAD" w:rsidP="00FF15C6">
            <w:pPr>
              <w:keepNext/>
              <w:spacing w:before="60"/>
              <w:rPr>
                <w:rFonts w:ascii="Times New Roman" w:hAnsi="Times New Roman"/>
                <w:sz w:val="24"/>
              </w:rPr>
            </w:pPr>
            <w:r w:rsidRPr="00E07C9A">
              <w:rPr>
                <w:rStyle w:val="InstructionsTabelleberschrift"/>
                <w:rFonts w:ascii="Times New Roman" w:hAnsi="Times New Roman"/>
                <w:sz w:val="24"/>
              </w:rPr>
              <w:t>MENA</w:t>
            </w:r>
          </w:p>
          <w:p w14:paraId="38AC272C" w14:textId="77777777" w:rsidR="00595FAD" w:rsidRPr="00E07C9A" w:rsidRDefault="00595FAD" w:rsidP="00FF15C6">
            <w:pPr>
              <w:keepNext/>
              <w:spacing w:before="60"/>
              <w:rPr>
                <w:rFonts w:ascii="Times New Roman" w:hAnsi="Times New Roman"/>
                <w:sz w:val="24"/>
              </w:rPr>
            </w:pPr>
            <w:r w:rsidRPr="00E07C9A">
              <w:rPr>
                <w:rFonts w:ascii="Times New Roman" w:hAnsi="Times New Roman"/>
                <w:sz w:val="24"/>
              </w:rPr>
              <w:t>Pri transakciách zaradených do kategórie úrokového rizika sa vykazuje mena denominácie transakcie.</w:t>
            </w:r>
          </w:p>
          <w:p w14:paraId="37C414E1" w14:textId="43F0B34F" w:rsidR="009912F8" w:rsidRPr="00E07C9A" w:rsidRDefault="00595FAD" w:rsidP="00FF15C6">
            <w:pPr>
              <w:keepNext/>
              <w:spacing w:before="60"/>
              <w:rPr>
                <w:rFonts w:ascii="Times New Roman" w:hAnsi="Times New Roman"/>
                <w:sz w:val="24"/>
              </w:rPr>
            </w:pPr>
            <w:r w:rsidRPr="00E07C9A">
              <w:rPr>
                <w:rFonts w:ascii="Times New Roman" w:hAnsi="Times New Roman"/>
                <w:sz w:val="24"/>
              </w:rPr>
              <w:t>Pri transakciách zaradených do kategórie devízového rizika sa vykazuje mena denominácie jednej</w:t>
            </w:r>
            <w:r w:rsidR="009912F8" w:rsidRPr="00E07C9A">
              <w:rPr>
                <w:rFonts w:ascii="Times New Roman" w:hAnsi="Times New Roman"/>
                <w:sz w:val="24"/>
              </w:rPr>
              <w:t xml:space="preserve"> z </w:t>
            </w:r>
            <w:r w:rsidRPr="00E07C9A">
              <w:rPr>
                <w:rFonts w:ascii="Times New Roman" w:hAnsi="Times New Roman"/>
                <w:sz w:val="24"/>
              </w:rPr>
              <w:t>dvoch častí transakcie. Inštitúcie uvádzajú meny</w:t>
            </w:r>
            <w:r w:rsidR="009912F8" w:rsidRPr="00E07C9A">
              <w:rPr>
                <w:rFonts w:ascii="Times New Roman" w:hAnsi="Times New Roman"/>
                <w:sz w:val="24"/>
              </w:rPr>
              <w:t xml:space="preserve"> v </w:t>
            </w:r>
            <w:r w:rsidRPr="00E07C9A">
              <w:rPr>
                <w:rFonts w:ascii="Times New Roman" w:hAnsi="Times New Roman"/>
                <w:sz w:val="24"/>
              </w:rPr>
              <w:t>rámci menového páru</w:t>
            </w:r>
            <w:r w:rsidR="009912F8" w:rsidRPr="00E07C9A">
              <w:rPr>
                <w:rFonts w:ascii="Times New Roman" w:hAnsi="Times New Roman"/>
                <w:sz w:val="24"/>
              </w:rPr>
              <w:t xml:space="preserve"> v </w:t>
            </w:r>
            <w:r w:rsidRPr="00E07C9A">
              <w:rPr>
                <w:rFonts w:ascii="Times New Roman" w:hAnsi="Times New Roman"/>
                <w:sz w:val="24"/>
              </w:rPr>
              <w:t>abecednom poradí, napr.</w:t>
            </w:r>
            <w:r w:rsidR="009912F8" w:rsidRPr="00E07C9A">
              <w:rPr>
                <w:rFonts w:ascii="Times New Roman" w:hAnsi="Times New Roman"/>
                <w:sz w:val="24"/>
              </w:rPr>
              <w:t xml:space="preserve"> v </w:t>
            </w:r>
            <w:r w:rsidRPr="00E07C9A">
              <w:rPr>
                <w:rFonts w:ascii="Times New Roman" w:hAnsi="Times New Roman"/>
                <w:sz w:val="24"/>
              </w:rPr>
              <w:t>prípade amerického dolára/eura sa</w:t>
            </w:r>
            <w:r w:rsidR="009912F8" w:rsidRPr="00E07C9A">
              <w:rPr>
                <w:rFonts w:ascii="Times New Roman" w:hAnsi="Times New Roman"/>
                <w:sz w:val="24"/>
              </w:rPr>
              <w:t xml:space="preserve"> v </w:t>
            </w:r>
            <w:r w:rsidRPr="00E07C9A">
              <w:rPr>
                <w:rFonts w:ascii="Times New Roman" w:hAnsi="Times New Roman"/>
                <w:sz w:val="24"/>
              </w:rPr>
              <w:t>tomto stĺpci uvádza EUR</w:t>
            </w:r>
            <w:r w:rsidR="009912F8" w:rsidRPr="00E07C9A">
              <w:rPr>
                <w:rFonts w:ascii="Times New Roman" w:hAnsi="Times New Roman"/>
                <w:sz w:val="24"/>
              </w:rPr>
              <w:t xml:space="preserve"> a v </w:t>
            </w:r>
            <w:r w:rsidRPr="00E07C9A">
              <w:rPr>
                <w:rFonts w:ascii="Times New Roman" w:hAnsi="Times New Roman"/>
                <w:sz w:val="24"/>
              </w:rPr>
              <w:t>stĺpci 0020 sa uvádza USD</w:t>
            </w:r>
            <w:r w:rsidR="009912F8" w:rsidRPr="00E07C9A">
              <w:rPr>
                <w:rFonts w:ascii="Times New Roman" w:hAnsi="Times New Roman"/>
                <w:sz w:val="24"/>
              </w:rPr>
              <w:t>.</w:t>
            </w:r>
          </w:p>
          <w:p w14:paraId="06A18930" w14:textId="6B79B93C" w:rsidR="00595FAD" w:rsidRPr="00E07C9A" w:rsidRDefault="00595FAD" w:rsidP="00FF15C6">
            <w:pPr>
              <w:keepNext/>
              <w:spacing w:before="60"/>
              <w:rPr>
                <w:rFonts w:ascii="Times New Roman" w:hAnsi="Times New Roman"/>
                <w:i/>
                <w:sz w:val="24"/>
              </w:rPr>
            </w:pPr>
            <w:r w:rsidRPr="00E07C9A">
              <w:rPr>
                <w:rFonts w:ascii="Times New Roman" w:hAnsi="Times New Roman"/>
                <w:sz w:val="24"/>
              </w:rPr>
              <w:t xml:space="preserve">Používajú sa </w:t>
            </w:r>
            <w:hyperlink r:id="rId13" w:history="1">
              <w:r w:rsidRPr="00E07C9A">
                <w:rPr>
                  <w:rFonts w:ascii="Times New Roman" w:hAnsi="Times New Roman"/>
                  <w:sz w:val="24"/>
                </w:rPr>
                <w:t>kódy mien podľa ISO</w:t>
              </w:r>
            </w:hyperlink>
            <w:r w:rsidRPr="00E07C9A">
              <w:rPr>
                <w:rFonts w:ascii="Times New Roman" w:hAnsi="Times New Roman"/>
                <w:sz w:val="24"/>
              </w:rPr>
              <w:t>.</w:t>
            </w:r>
          </w:p>
        </w:tc>
      </w:tr>
      <w:tr w:rsidR="00595FAD" w:rsidRPr="00E07C9A" w14:paraId="20652056" w14:textId="77777777" w:rsidTr="00FF15C6">
        <w:trPr>
          <w:trHeight w:val="680"/>
        </w:trPr>
        <w:tc>
          <w:tcPr>
            <w:tcW w:w="1384" w:type="dxa"/>
          </w:tcPr>
          <w:p w14:paraId="13BF81BC" w14:textId="77777777" w:rsidR="00595FAD" w:rsidRPr="00E07C9A" w:rsidRDefault="00595FAD" w:rsidP="00FF15C6">
            <w:pPr>
              <w:pStyle w:val="Applicationdirecte"/>
              <w:spacing w:before="0" w:after="0"/>
            </w:pPr>
            <w:r w:rsidRPr="00E07C9A">
              <w:t>0020</w:t>
            </w:r>
          </w:p>
        </w:tc>
        <w:tc>
          <w:tcPr>
            <w:tcW w:w="7655" w:type="dxa"/>
            <w:vAlign w:val="center"/>
          </w:tcPr>
          <w:p w14:paraId="34E0BE92" w14:textId="355E855B" w:rsidR="00595FAD" w:rsidRPr="00E07C9A" w:rsidRDefault="00595FAD" w:rsidP="00FF15C6">
            <w:pPr>
              <w:keepNext/>
              <w:spacing w:before="60"/>
              <w:rPr>
                <w:rStyle w:val="InstructionsTabelleberschrift"/>
                <w:rFonts w:ascii="Times New Roman" w:hAnsi="Times New Roman"/>
                <w:sz w:val="24"/>
              </w:rPr>
            </w:pPr>
            <w:r w:rsidRPr="00E07C9A">
              <w:rPr>
                <w:rStyle w:val="InstructionsTabelleberschrift"/>
                <w:rFonts w:ascii="Times New Roman" w:hAnsi="Times New Roman"/>
                <w:sz w:val="24"/>
              </w:rPr>
              <w:t>DRUHÁ MENA</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PÁRE</w:t>
            </w:r>
          </w:p>
          <w:p w14:paraId="2CFBC680" w14:textId="33913B02" w:rsidR="00595FAD" w:rsidRPr="00E07C9A" w:rsidRDefault="00595FAD" w:rsidP="00FF15C6">
            <w:pPr>
              <w:keepNext/>
              <w:spacing w:before="60"/>
              <w:rPr>
                <w:rFonts w:ascii="Times New Roman" w:hAnsi="Times New Roman"/>
                <w:sz w:val="24"/>
              </w:rPr>
            </w:pPr>
            <w:r w:rsidRPr="00E07C9A">
              <w:rPr>
                <w:rFonts w:ascii="Times New Roman" w:hAnsi="Times New Roman"/>
                <w:sz w:val="24"/>
              </w:rPr>
              <w:t>Pri transakciách zaradených do kategórie devízového rizika sa vykazuje mena denominácie druhej časti transakcie (vo vzťahu</w:t>
            </w:r>
            <w:r w:rsidR="009912F8" w:rsidRPr="00E07C9A">
              <w:rPr>
                <w:rFonts w:ascii="Times New Roman" w:hAnsi="Times New Roman"/>
                <w:sz w:val="24"/>
              </w:rPr>
              <w:t xml:space="preserve"> k </w:t>
            </w:r>
            <w:r w:rsidRPr="00E07C9A">
              <w:rPr>
                <w:rFonts w:ascii="Times New Roman" w:hAnsi="Times New Roman"/>
                <w:sz w:val="24"/>
              </w:rPr>
              <w:t>časti, ktorá sa zohľadnila</w:t>
            </w:r>
            <w:r w:rsidR="009912F8" w:rsidRPr="00E07C9A">
              <w:rPr>
                <w:rFonts w:ascii="Times New Roman" w:hAnsi="Times New Roman"/>
                <w:sz w:val="24"/>
              </w:rPr>
              <w:t xml:space="preserve"> v </w:t>
            </w:r>
            <w:r w:rsidRPr="00E07C9A">
              <w:rPr>
                <w:rFonts w:ascii="Times New Roman" w:hAnsi="Times New Roman"/>
                <w:sz w:val="24"/>
              </w:rPr>
              <w:t>stĺpci 0010). Inštitúcie uvádzajú meny</w:t>
            </w:r>
            <w:r w:rsidR="009912F8" w:rsidRPr="00E07C9A">
              <w:rPr>
                <w:rFonts w:ascii="Times New Roman" w:hAnsi="Times New Roman"/>
                <w:sz w:val="24"/>
              </w:rPr>
              <w:t xml:space="preserve"> v </w:t>
            </w:r>
            <w:r w:rsidRPr="00E07C9A">
              <w:rPr>
                <w:rFonts w:ascii="Times New Roman" w:hAnsi="Times New Roman"/>
                <w:sz w:val="24"/>
              </w:rPr>
              <w:t>rámci menového páru</w:t>
            </w:r>
            <w:r w:rsidR="009912F8" w:rsidRPr="00E07C9A">
              <w:rPr>
                <w:rFonts w:ascii="Times New Roman" w:hAnsi="Times New Roman"/>
                <w:sz w:val="24"/>
              </w:rPr>
              <w:t xml:space="preserve"> v </w:t>
            </w:r>
            <w:r w:rsidRPr="00E07C9A">
              <w:rPr>
                <w:rFonts w:ascii="Times New Roman" w:hAnsi="Times New Roman"/>
                <w:sz w:val="24"/>
              </w:rPr>
              <w:t>abecednom poradí, napr.</w:t>
            </w:r>
            <w:r w:rsidR="009912F8" w:rsidRPr="00E07C9A">
              <w:rPr>
                <w:rFonts w:ascii="Times New Roman" w:hAnsi="Times New Roman"/>
                <w:sz w:val="24"/>
              </w:rPr>
              <w:t xml:space="preserve"> v </w:t>
            </w:r>
            <w:r w:rsidRPr="00E07C9A">
              <w:rPr>
                <w:rFonts w:ascii="Times New Roman" w:hAnsi="Times New Roman"/>
                <w:sz w:val="24"/>
              </w:rPr>
              <w:t>prípade amerického dolára/eura sa</w:t>
            </w:r>
            <w:r w:rsidR="009912F8" w:rsidRPr="00E07C9A">
              <w:rPr>
                <w:rFonts w:ascii="Times New Roman" w:hAnsi="Times New Roman"/>
                <w:sz w:val="24"/>
              </w:rPr>
              <w:t xml:space="preserve"> v </w:t>
            </w:r>
            <w:r w:rsidRPr="00E07C9A">
              <w:rPr>
                <w:rFonts w:ascii="Times New Roman" w:hAnsi="Times New Roman"/>
                <w:sz w:val="24"/>
              </w:rPr>
              <w:t>tomto stĺpci uvádza USD</w:t>
            </w:r>
            <w:r w:rsidR="009912F8" w:rsidRPr="00E07C9A">
              <w:rPr>
                <w:rFonts w:ascii="Times New Roman" w:hAnsi="Times New Roman"/>
                <w:sz w:val="24"/>
              </w:rPr>
              <w:t xml:space="preserve"> a v </w:t>
            </w:r>
            <w:r w:rsidRPr="00E07C9A">
              <w:rPr>
                <w:rFonts w:ascii="Times New Roman" w:hAnsi="Times New Roman"/>
                <w:sz w:val="24"/>
              </w:rPr>
              <w:t>stĺpci 0010 sa uvádza EUR.</w:t>
            </w:r>
          </w:p>
          <w:p w14:paraId="51FADFB6" w14:textId="77777777" w:rsidR="00595FAD" w:rsidRPr="00E07C9A" w:rsidRDefault="00595FAD" w:rsidP="00FF15C6">
            <w:pPr>
              <w:keepNext/>
              <w:spacing w:before="60"/>
              <w:rPr>
                <w:rFonts w:ascii="Times New Roman" w:hAnsi="Times New Roman"/>
                <w:i/>
                <w:sz w:val="24"/>
              </w:rPr>
            </w:pPr>
            <w:r w:rsidRPr="00E07C9A">
              <w:rPr>
                <w:rFonts w:ascii="Times New Roman" w:hAnsi="Times New Roman"/>
                <w:sz w:val="24"/>
              </w:rPr>
              <w:t xml:space="preserve">Používajú sa </w:t>
            </w:r>
            <w:hyperlink r:id="rId14" w:history="1">
              <w:r w:rsidRPr="00E07C9A">
                <w:rPr>
                  <w:rFonts w:ascii="Times New Roman" w:hAnsi="Times New Roman"/>
                  <w:sz w:val="24"/>
                </w:rPr>
                <w:t>kódy mien podľa ISO</w:t>
              </w:r>
            </w:hyperlink>
            <w:r w:rsidRPr="00E07C9A">
              <w:rPr>
                <w:rFonts w:ascii="Times New Roman" w:hAnsi="Times New Roman"/>
                <w:sz w:val="24"/>
              </w:rPr>
              <w:t>.</w:t>
            </w:r>
          </w:p>
        </w:tc>
      </w:tr>
      <w:tr w:rsidR="00595FAD" w:rsidRPr="00E07C9A" w14:paraId="2D18F9CE" w14:textId="77777777" w:rsidTr="00FF15C6">
        <w:trPr>
          <w:trHeight w:val="680"/>
        </w:trPr>
        <w:tc>
          <w:tcPr>
            <w:tcW w:w="1384" w:type="dxa"/>
          </w:tcPr>
          <w:p w14:paraId="62964733" w14:textId="77777777" w:rsidR="00595FAD" w:rsidRPr="00E07C9A" w:rsidRDefault="00595FAD" w:rsidP="00FF15C6">
            <w:pPr>
              <w:pStyle w:val="Applicationdirecte"/>
              <w:spacing w:before="0" w:after="0"/>
            </w:pPr>
            <w:r w:rsidRPr="00E07C9A">
              <w:t>0030</w:t>
            </w:r>
          </w:p>
        </w:tc>
        <w:tc>
          <w:tcPr>
            <w:tcW w:w="7655" w:type="dxa"/>
            <w:vAlign w:val="center"/>
          </w:tcPr>
          <w:p w14:paraId="3A366611" w14:textId="77777777" w:rsidR="00595FAD" w:rsidRPr="00E07C9A" w:rsidRDefault="00595FAD" w:rsidP="00FF15C6">
            <w:pPr>
              <w:keepNext/>
              <w:spacing w:before="60"/>
              <w:rPr>
                <w:rStyle w:val="InstructionsTabelleberschrift"/>
                <w:rFonts w:ascii="Times New Roman" w:hAnsi="Times New Roman"/>
                <w:sz w:val="24"/>
              </w:rPr>
            </w:pPr>
            <w:r w:rsidRPr="00E07C9A">
              <w:rPr>
                <w:rStyle w:val="InstructionsTabelleberschrift"/>
                <w:rFonts w:ascii="Times New Roman" w:hAnsi="Times New Roman"/>
                <w:sz w:val="24"/>
              </w:rPr>
              <w:t>POČET TRANSAKCIÍ</w:t>
            </w:r>
          </w:p>
          <w:p w14:paraId="53F65B4A" w14:textId="1DAB3D7E" w:rsidR="00595FAD" w:rsidRPr="00E07C9A" w:rsidRDefault="00595FAD" w:rsidP="00FF15C6">
            <w:pPr>
              <w:keepNext/>
              <w:spacing w:before="60"/>
              <w:rPr>
                <w:rFonts w:ascii="Times New Roman" w:hAnsi="Times New Roman"/>
                <w:i/>
                <w:sz w:val="24"/>
              </w:rPr>
            </w:pPr>
            <w:r w:rsidRPr="00E07C9A">
              <w:rPr>
                <w:rFonts w:ascii="Times New Roman" w:hAnsi="Times New Roman"/>
                <w:sz w:val="24"/>
              </w:rPr>
              <w:t>Pozri pokyny</w:t>
            </w:r>
            <w:r w:rsidR="009912F8" w:rsidRPr="00E07C9A">
              <w:rPr>
                <w:rFonts w:ascii="Times New Roman" w:hAnsi="Times New Roman"/>
                <w:sz w:val="24"/>
              </w:rPr>
              <w:t xml:space="preserve"> k </w:t>
            </w:r>
            <w:r w:rsidRPr="00E07C9A">
              <w:rPr>
                <w:rFonts w:ascii="Times New Roman" w:hAnsi="Times New Roman"/>
                <w:sz w:val="24"/>
              </w:rPr>
              <w:t>stĺpcu 0020 vo vzore C 34.02.</w:t>
            </w:r>
          </w:p>
        </w:tc>
      </w:tr>
      <w:tr w:rsidR="00595FAD" w:rsidRPr="00E07C9A" w14:paraId="209E0D96" w14:textId="77777777" w:rsidTr="00FF15C6">
        <w:trPr>
          <w:trHeight w:val="680"/>
        </w:trPr>
        <w:tc>
          <w:tcPr>
            <w:tcW w:w="1384" w:type="dxa"/>
          </w:tcPr>
          <w:p w14:paraId="32341819" w14:textId="77777777" w:rsidR="00595FAD" w:rsidRPr="00E07C9A" w:rsidRDefault="00595FAD" w:rsidP="00FF15C6">
            <w:pPr>
              <w:pStyle w:val="Applicationdirecte"/>
              <w:spacing w:before="0" w:after="0"/>
            </w:pPr>
            <w:r w:rsidRPr="00E07C9A">
              <w:t>0040</w:t>
            </w:r>
          </w:p>
        </w:tc>
        <w:tc>
          <w:tcPr>
            <w:tcW w:w="7655" w:type="dxa"/>
            <w:vAlign w:val="center"/>
          </w:tcPr>
          <w:p w14:paraId="138D3CC5" w14:textId="77777777" w:rsidR="00595FAD" w:rsidRPr="00E07C9A" w:rsidRDefault="00595FAD" w:rsidP="00FF15C6">
            <w:pPr>
              <w:keepNext/>
              <w:spacing w:before="60"/>
              <w:rPr>
                <w:rStyle w:val="InstructionsTabelleberschrift"/>
                <w:rFonts w:ascii="Times New Roman" w:hAnsi="Times New Roman"/>
                <w:sz w:val="24"/>
              </w:rPr>
            </w:pPr>
            <w:r w:rsidRPr="00E07C9A">
              <w:rPr>
                <w:rStyle w:val="InstructionsTabelleberschrift"/>
                <w:rFonts w:ascii="Times New Roman" w:hAnsi="Times New Roman"/>
                <w:sz w:val="24"/>
              </w:rPr>
              <w:t>POMYSELNÉ HODNOTY</w:t>
            </w:r>
          </w:p>
          <w:p w14:paraId="2C610232" w14:textId="63990759" w:rsidR="00595FAD" w:rsidRPr="00E07C9A" w:rsidRDefault="00595FAD" w:rsidP="00FF15C6">
            <w:pPr>
              <w:keepNext/>
              <w:spacing w:before="60"/>
              <w:rPr>
                <w:rFonts w:ascii="Times New Roman" w:hAnsi="Times New Roman"/>
                <w:sz w:val="24"/>
              </w:rPr>
            </w:pPr>
            <w:r w:rsidRPr="00E07C9A">
              <w:rPr>
                <w:rFonts w:ascii="Times New Roman" w:hAnsi="Times New Roman"/>
                <w:sz w:val="24"/>
              </w:rPr>
              <w:t>Pozri pokyny</w:t>
            </w:r>
            <w:r w:rsidR="009912F8" w:rsidRPr="00E07C9A">
              <w:rPr>
                <w:rFonts w:ascii="Times New Roman" w:hAnsi="Times New Roman"/>
                <w:sz w:val="24"/>
              </w:rPr>
              <w:t xml:space="preserve"> k </w:t>
            </w:r>
            <w:r w:rsidRPr="00E07C9A">
              <w:rPr>
                <w:rFonts w:ascii="Times New Roman" w:hAnsi="Times New Roman"/>
                <w:sz w:val="24"/>
              </w:rPr>
              <w:t>stĺpcu 0030 vo vzore C 34.02.</w:t>
            </w:r>
          </w:p>
        </w:tc>
      </w:tr>
      <w:tr w:rsidR="00595FAD" w:rsidRPr="00E07C9A" w14:paraId="7307F073" w14:textId="77777777" w:rsidTr="00FF15C6">
        <w:trPr>
          <w:trHeight w:val="680"/>
        </w:trPr>
        <w:tc>
          <w:tcPr>
            <w:tcW w:w="1384" w:type="dxa"/>
          </w:tcPr>
          <w:p w14:paraId="6A7BE9AA" w14:textId="77777777" w:rsidR="00595FAD" w:rsidRPr="00E07C9A" w:rsidRDefault="00595FAD" w:rsidP="00FF15C6">
            <w:pPr>
              <w:pStyle w:val="Applicationdirecte"/>
              <w:spacing w:before="0" w:after="0"/>
            </w:pPr>
            <w:r w:rsidRPr="00E07C9A">
              <w:t>0050</w:t>
            </w:r>
          </w:p>
        </w:tc>
        <w:tc>
          <w:tcPr>
            <w:tcW w:w="7655" w:type="dxa"/>
            <w:vAlign w:val="center"/>
          </w:tcPr>
          <w:p w14:paraId="2EC0051C" w14:textId="680AAC96" w:rsidR="00595FAD" w:rsidRPr="00E07C9A" w:rsidRDefault="00595FAD" w:rsidP="00FF15C6">
            <w:pPr>
              <w:keepNext/>
              <w:spacing w:before="60"/>
              <w:rPr>
                <w:rStyle w:val="InstructionsTabelleberschrift"/>
                <w:rFonts w:ascii="Times New Roman" w:hAnsi="Times New Roman"/>
                <w:sz w:val="24"/>
              </w:rPr>
            </w:pPr>
            <w:r w:rsidRPr="00E07C9A">
              <w:rPr>
                <w:rStyle w:val="InstructionsTabelleberschrift"/>
                <w:rFonts w:ascii="Times New Roman" w:hAnsi="Times New Roman"/>
                <w:sz w:val="24"/>
              </w:rPr>
              <w:t>SÚČASNÁ TRHOVÁ HODNOTA (CMV), KLADNÁ</w:t>
            </w:r>
          </w:p>
          <w:p w14:paraId="1790E1A9" w14:textId="4EAF7155" w:rsidR="00595FAD" w:rsidRPr="00E07C9A" w:rsidRDefault="00595FAD" w:rsidP="00FF15C6">
            <w:pPr>
              <w:keepNext/>
              <w:spacing w:before="60"/>
              <w:rPr>
                <w:rFonts w:ascii="Times New Roman" w:hAnsi="Times New Roman"/>
                <w:sz w:val="24"/>
              </w:rPr>
            </w:pPr>
            <w:r w:rsidRPr="00E07C9A">
              <w:rPr>
                <w:rFonts w:ascii="Times New Roman" w:hAnsi="Times New Roman"/>
                <w:sz w:val="24"/>
              </w:rPr>
              <w:t>Súčet súčasných trhových hodnôt (CMV) všetkých hedžovacích súborov</w:t>
            </w:r>
            <w:r w:rsidR="009912F8" w:rsidRPr="00E07C9A">
              <w:rPr>
                <w:rFonts w:ascii="Times New Roman" w:hAnsi="Times New Roman"/>
                <w:sz w:val="24"/>
              </w:rPr>
              <w:t xml:space="preserve"> s </w:t>
            </w:r>
            <w:r w:rsidRPr="00E07C9A">
              <w:rPr>
                <w:rFonts w:ascii="Times New Roman" w:hAnsi="Times New Roman"/>
                <w:sz w:val="24"/>
              </w:rPr>
              <w:t>kladnou CMV</w:t>
            </w:r>
            <w:r w:rsidR="009912F8" w:rsidRPr="00E07C9A">
              <w:rPr>
                <w:rFonts w:ascii="Times New Roman" w:hAnsi="Times New Roman"/>
                <w:sz w:val="24"/>
              </w:rPr>
              <w:t xml:space="preserve"> v </w:t>
            </w:r>
            <w:r w:rsidRPr="00E07C9A">
              <w:rPr>
                <w:rFonts w:ascii="Times New Roman" w:hAnsi="Times New Roman"/>
                <w:sz w:val="24"/>
              </w:rPr>
              <w:t>príslušnej kategórii rizika.</w:t>
            </w:r>
          </w:p>
          <w:p w14:paraId="2C2DC5BF" w14:textId="1B9F9ECF" w:rsidR="00595FAD" w:rsidRPr="00E07C9A" w:rsidRDefault="00595FAD" w:rsidP="00FF15C6">
            <w:pPr>
              <w:keepNext/>
              <w:spacing w:before="60"/>
              <w:rPr>
                <w:rFonts w:ascii="Times New Roman" w:hAnsi="Times New Roman"/>
                <w:sz w:val="24"/>
              </w:rPr>
            </w:pPr>
            <w:r w:rsidRPr="00E07C9A">
              <w:rPr>
                <w:rFonts w:ascii="Times New Roman" w:hAnsi="Times New Roman"/>
                <w:sz w:val="24"/>
              </w:rPr>
              <w:t>Súčasná trhová hodnota na úrovni hedžovacieho súboru sa určuje vzájomným započítaním kladných</w:t>
            </w:r>
            <w:r w:rsidR="009912F8" w:rsidRPr="00E07C9A">
              <w:rPr>
                <w:rFonts w:ascii="Times New Roman" w:hAnsi="Times New Roman"/>
                <w:sz w:val="24"/>
              </w:rPr>
              <w:t xml:space="preserve"> a </w:t>
            </w:r>
            <w:r w:rsidRPr="00E07C9A">
              <w:rPr>
                <w:rFonts w:ascii="Times New Roman" w:hAnsi="Times New Roman"/>
                <w:sz w:val="24"/>
              </w:rPr>
              <w:t>záporných trhových hodnôt transakcií</w:t>
            </w:r>
            <w:r w:rsidR="009912F8" w:rsidRPr="00E07C9A">
              <w:rPr>
                <w:rFonts w:ascii="Times New Roman" w:hAnsi="Times New Roman"/>
                <w:sz w:val="24"/>
              </w:rPr>
              <w:t xml:space="preserve"> v </w:t>
            </w:r>
            <w:r w:rsidRPr="00E07C9A">
              <w:rPr>
                <w:rFonts w:ascii="Times New Roman" w:hAnsi="Times New Roman"/>
                <w:sz w:val="24"/>
              </w:rPr>
              <w:t>rámci jedného hedžovacieho súboru bez odpočítania akéhokoľvek držaného alebo poskytnutého kolaterálu.</w:t>
            </w:r>
          </w:p>
        </w:tc>
      </w:tr>
      <w:tr w:rsidR="00595FAD" w:rsidRPr="00E07C9A" w14:paraId="2DEABD4B" w14:textId="77777777" w:rsidTr="00FF15C6">
        <w:trPr>
          <w:trHeight w:val="680"/>
        </w:trPr>
        <w:tc>
          <w:tcPr>
            <w:tcW w:w="1384" w:type="dxa"/>
          </w:tcPr>
          <w:p w14:paraId="12A0513C" w14:textId="77777777" w:rsidR="00595FAD" w:rsidRPr="00E07C9A" w:rsidRDefault="00595FAD" w:rsidP="00FF15C6">
            <w:pPr>
              <w:pStyle w:val="Applicationdirecte"/>
              <w:spacing w:before="0" w:after="0"/>
            </w:pPr>
            <w:r w:rsidRPr="00E07C9A">
              <w:t>0060</w:t>
            </w:r>
          </w:p>
        </w:tc>
        <w:tc>
          <w:tcPr>
            <w:tcW w:w="7655" w:type="dxa"/>
            <w:vAlign w:val="center"/>
          </w:tcPr>
          <w:p w14:paraId="2B591C2D" w14:textId="77777777" w:rsidR="00595FAD" w:rsidRPr="00E07C9A" w:rsidRDefault="00595FAD" w:rsidP="00FF15C6">
            <w:pPr>
              <w:keepNext/>
              <w:spacing w:before="60"/>
              <w:rPr>
                <w:rStyle w:val="InstructionsTabelleberschrift"/>
                <w:rFonts w:ascii="Times New Roman" w:hAnsi="Times New Roman"/>
                <w:sz w:val="24"/>
              </w:rPr>
            </w:pPr>
            <w:r w:rsidRPr="00E07C9A">
              <w:rPr>
                <w:rStyle w:val="InstructionsTabelleberschrift"/>
                <w:rFonts w:ascii="Times New Roman" w:hAnsi="Times New Roman"/>
                <w:sz w:val="24"/>
              </w:rPr>
              <w:t>SÚČASNÁ TRHOVÁ HODNOTA (CMV), ZÁPORNÁ</w:t>
            </w:r>
          </w:p>
          <w:p w14:paraId="149AB8BA" w14:textId="50FB2889" w:rsidR="00595FAD" w:rsidRPr="00E07C9A" w:rsidRDefault="00595FAD" w:rsidP="00FF15C6">
            <w:pPr>
              <w:keepNext/>
              <w:spacing w:before="60"/>
              <w:rPr>
                <w:rFonts w:ascii="Times New Roman" w:hAnsi="Times New Roman"/>
                <w:sz w:val="24"/>
              </w:rPr>
            </w:pPr>
            <w:r w:rsidRPr="00E07C9A">
              <w:rPr>
                <w:rFonts w:ascii="Times New Roman" w:hAnsi="Times New Roman"/>
                <w:sz w:val="24"/>
              </w:rPr>
              <w:t>Súčet absolútnych súčasných trhových hodnôt (CMV) všetkých hedžovacích súborov so zápornou CMV</w:t>
            </w:r>
            <w:r w:rsidR="009912F8" w:rsidRPr="00E07C9A">
              <w:rPr>
                <w:rFonts w:ascii="Times New Roman" w:hAnsi="Times New Roman"/>
                <w:sz w:val="24"/>
              </w:rPr>
              <w:t xml:space="preserve"> v </w:t>
            </w:r>
            <w:r w:rsidRPr="00E07C9A">
              <w:rPr>
                <w:rFonts w:ascii="Times New Roman" w:hAnsi="Times New Roman"/>
                <w:sz w:val="24"/>
              </w:rPr>
              <w:t>príslušnej kategórii rizika.</w:t>
            </w:r>
          </w:p>
          <w:p w14:paraId="0EAD6AE6" w14:textId="6423240F" w:rsidR="00595FAD" w:rsidRPr="00E07C9A" w:rsidRDefault="00595FAD" w:rsidP="00FF15C6">
            <w:pPr>
              <w:keepNext/>
              <w:spacing w:before="60"/>
              <w:rPr>
                <w:rStyle w:val="InstructionsTabelleberschrift"/>
                <w:rFonts w:ascii="Times New Roman" w:hAnsi="Times New Roman"/>
                <w:sz w:val="24"/>
              </w:rPr>
            </w:pPr>
            <w:r w:rsidRPr="00E07C9A">
              <w:rPr>
                <w:rFonts w:ascii="Times New Roman" w:hAnsi="Times New Roman"/>
                <w:sz w:val="24"/>
              </w:rPr>
              <w:t>Súčasná trhová hodnota na úrovni hedžovacieho súboru sa určuje vzájomným započítaním kladných</w:t>
            </w:r>
            <w:r w:rsidR="009912F8" w:rsidRPr="00E07C9A">
              <w:rPr>
                <w:rFonts w:ascii="Times New Roman" w:hAnsi="Times New Roman"/>
                <w:sz w:val="24"/>
              </w:rPr>
              <w:t xml:space="preserve"> a </w:t>
            </w:r>
            <w:r w:rsidRPr="00E07C9A">
              <w:rPr>
                <w:rFonts w:ascii="Times New Roman" w:hAnsi="Times New Roman"/>
                <w:sz w:val="24"/>
              </w:rPr>
              <w:t>záporných trhových hodnôt transakcií</w:t>
            </w:r>
            <w:r w:rsidR="009912F8" w:rsidRPr="00E07C9A">
              <w:rPr>
                <w:rFonts w:ascii="Times New Roman" w:hAnsi="Times New Roman"/>
                <w:sz w:val="24"/>
              </w:rPr>
              <w:t xml:space="preserve"> v </w:t>
            </w:r>
            <w:r w:rsidRPr="00E07C9A">
              <w:rPr>
                <w:rFonts w:ascii="Times New Roman" w:hAnsi="Times New Roman"/>
                <w:sz w:val="24"/>
              </w:rPr>
              <w:t>rámci jedného hedžovacieho súboru bez odpočítania akéhokoľvek držaného alebo poskytnutého kolaterálu.</w:t>
            </w:r>
          </w:p>
        </w:tc>
      </w:tr>
      <w:tr w:rsidR="00595FAD" w:rsidRPr="00E07C9A" w14:paraId="6E134F8B" w14:textId="77777777" w:rsidTr="00FF15C6">
        <w:trPr>
          <w:trHeight w:val="680"/>
        </w:trPr>
        <w:tc>
          <w:tcPr>
            <w:tcW w:w="1384" w:type="dxa"/>
          </w:tcPr>
          <w:p w14:paraId="216CA184" w14:textId="77777777" w:rsidR="00595FAD" w:rsidRPr="00E07C9A" w:rsidRDefault="00595FAD" w:rsidP="00FF15C6">
            <w:pPr>
              <w:pStyle w:val="Applicationdirecte"/>
              <w:spacing w:before="0" w:after="0"/>
            </w:pPr>
            <w:r w:rsidRPr="00E07C9A">
              <w:t>0070</w:t>
            </w:r>
          </w:p>
        </w:tc>
        <w:tc>
          <w:tcPr>
            <w:tcW w:w="7655" w:type="dxa"/>
            <w:vAlign w:val="center"/>
          </w:tcPr>
          <w:p w14:paraId="69C619EA" w14:textId="77777777" w:rsidR="009912F8" w:rsidRPr="00E07C9A" w:rsidRDefault="00595FAD" w:rsidP="00FF15C6">
            <w:pPr>
              <w:keepNext/>
              <w:spacing w:before="60"/>
              <w:rPr>
                <w:rFonts w:ascii="Times New Roman" w:hAnsi="Times New Roman"/>
                <w:sz w:val="24"/>
              </w:rPr>
            </w:pPr>
            <w:r w:rsidRPr="00E07C9A">
              <w:rPr>
                <w:rStyle w:val="InstructionsTabelleberschrift"/>
                <w:rFonts w:ascii="Times New Roman" w:hAnsi="Times New Roman"/>
                <w:sz w:val="24"/>
              </w:rPr>
              <w:t>DODATOČNÁ HODNOTA</w:t>
            </w:r>
          </w:p>
          <w:p w14:paraId="5C38D8C1" w14:textId="21D9B9EF" w:rsidR="00595FAD" w:rsidRPr="00E07C9A" w:rsidRDefault="00595FAD" w:rsidP="00FF15C6">
            <w:pPr>
              <w:keepNext/>
              <w:spacing w:before="60"/>
              <w:rPr>
                <w:rFonts w:ascii="Times New Roman" w:hAnsi="Times New Roman"/>
                <w:sz w:val="24"/>
              </w:rPr>
            </w:pPr>
            <w:r w:rsidRPr="00E07C9A">
              <w:rPr>
                <w:rFonts w:ascii="Times New Roman" w:hAnsi="Times New Roman"/>
                <w:sz w:val="24"/>
              </w:rPr>
              <w:t>Články 280a až 280f</w:t>
            </w:r>
            <w:r w:rsidR="009912F8" w:rsidRPr="00E07C9A">
              <w:rPr>
                <w:rFonts w:ascii="Times New Roman" w:hAnsi="Times New Roman"/>
                <w:sz w:val="24"/>
              </w:rPr>
              <w:t xml:space="preserve"> a </w:t>
            </w:r>
            <w:r w:rsidRPr="00E07C9A">
              <w:rPr>
                <w:rFonts w:ascii="Times New Roman" w:hAnsi="Times New Roman"/>
                <w:sz w:val="24"/>
              </w:rPr>
              <w:t xml:space="preserve">článok 281 ods. 2 nariadenia (EÚ) </w:t>
            </w:r>
            <w:r w:rsidR="009912F8" w:rsidRPr="00E07C9A">
              <w:rPr>
                <w:rFonts w:ascii="Times New Roman" w:hAnsi="Times New Roman"/>
                <w:sz w:val="24"/>
              </w:rPr>
              <w:t>č. 575/2013</w:t>
            </w:r>
          </w:p>
          <w:p w14:paraId="5AF82FB2" w14:textId="0D59D695" w:rsidR="009912F8" w:rsidRPr="00E07C9A" w:rsidRDefault="00595FAD" w:rsidP="00FF15C6">
            <w:pPr>
              <w:keepNext/>
              <w:spacing w:before="60"/>
              <w:rPr>
                <w:rFonts w:ascii="Times New Roman" w:hAnsi="Times New Roman"/>
                <w:sz w:val="24"/>
              </w:rPr>
            </w:pPr>
            <w:r w:rsidRPr="00E07C9A">
              <w:rPr>
                <w:rFonts w:ascii="Times New Roman" w:hAnsi="Times New Roman"/>
                <w:sz w:val="24"/>
              </w:rPr>
              <w:t>Inštitúcia vykazuje súčet všetkých dodatočných hodnôt</w:t>
            </w:r>
            <w:r w:rsidR="009912F8" w:rsidRPr="00E07C9A">
              <w:rPr>
                <w:rFonts w:ascii="Times New Roman" w:hAnsi="Times New Roman"/>
                <w:sz w:val="24"/>
              </w:rPr>
              <w:t xml:space="preserve"> v </w:t>
            </w:r>
            <w:r w:rsidRPr="00E07C9A">
              <w:rPr>
                <w:rFonts w:ascii="Times New Roman" w:hAnsi="Times New Roman"/>
                <w:sz w:val="24"/>
              </w:rPr>
              <w:t>príslušnom hedžovacom súbore/príslušnej kategórii rizika</w:t>
            </w:r>
            <w:r w:rsidR="009912F8" w:rsidRPr="00E07C9A">
              <w:rPr>
                <w:rFonts w:ascii="Times New Roman" w:hAnsi="Times New Roman"/>
                <w:sz w:val="24"/>
              </w:rPr>
              <w:t>.</w:t>
            </w:r>
          </w:p>
          <w:p w14:paraId="38CEBC1C" w14:textId="1CD646FE" w:rsidR="00595FAD" w:rsidRPr="00E07C9A" w:rsidRDefault="00595FAD" w:rsidP="00F02E37">
            <w:pPr>
              <w:keepNext/>
              <w:spacing w:before="60"/>
              <w:rPr>
                <w:rFonts w:ascii="Times New Roman" w:hAnsi="Times New Roman"/>
                <w:sz w:val="24"/>
              </w:rPr>
            </w:pPr>
            <w:r w:rsidRPr="00E07C9A">
              <w:rPr>
                <w:rFonts w:ascii="Times New Roman" w:hAnsi="Times New Roman"/>
                <w:sz w:val="24"/>
              </w:rPr>
              <w:t>Dodatočná hodnota jednotlivých kategórií rizika, ktorá sa používa na určenie potenciálnej budúcej expozície súboru vzájomného započítavania</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článkom 278 ods. 1 alebo</w:t>
            </w:r>
            <w:r w:rsidR="009912F8" w:rsidRPr="00E07C9A">
              <w:rPr>
                <w:rFonts w:ascii="Times New Roman" w:hAnsi="Times New Roman"/>
                <w:sz w:val="24"/>
              </w:rPr>
              <w:t xml:space="preserve"> s </w:t>
            </w:r>
            <w:r w:rsidRPr="00E07C9A">
              <w:rPr>
                <w:rFonts w:ascii="Times New Roman" w:hAnsi="Times New Roman"/>
                <w:sz w:val="24"/>
              </w:rPr>
              <w:t xml:space="preserve">článkom 281 ods. 2 písm. f) nariadenia (EÚ) </w:t>
            </w:r>
            <w:r w:rsidR="009912F8" w:rsidRPr="00E07C9A">
              <w:rPr>
                <w:rFonts w:ascii="Times New Roman" w:hAnsi="Times New Roman"/>
                <w:sz w:val="24"/>
              </w:rPr>
              <w:t>č. 575/2013</w:t>
            </w:r>
            <w:r w:rsidRPr="00E07C9A">
              <w:rPr>
                <w:rFonts w:ascii="Times New Roman" w:hAnsi="Times New Roman"/>
                <w:sz w:val="24"/>
              </w:rPr>
              <w:t>, sa vypočítava</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článkami 280a až 280f uvedeného nariadenia. Pri zjednodušenom prístupe SA-CCR sa uplatňujú ustanovenia uvedené</w:t>
            </w:r>
            <w:r w:rsidR="009912F8" w:rsidRPr="00E07C9A">
              <w:rPr>
                <w:rFonts w:ascii="Times New Roman" w:hAnsi="Times New Roman"/>
                <w:sz w:val="24"/>
              </w:rPr>
              <w:t xml:space="preserve"> v </w:t>
            </w:r>
            <w:r w:rsidRPr="00E07C9A">
              <w:rPr>
                <w:rFonts w:ascii="Times New Roman" w:hAnsi="Times New Roman"/>
                <w:sz w:val="24"/>
              </w:rPr>
              <w:t xml:space="preserve">článku 281 ods. 2 nariadenia (EÚ) </w:t>
            </w:r>
            <w:r w:rsidR="009912F8" w:rsidRPr="00E07C9A">
              <w:rPr>
                <w:rFonts w:ascii="Times New Roman" w:hAnsi="Times New Roman"/>
                <w:sz w:val="24"/>
              </w:rPr>
              <w:t>č. 575/2013</w:t>
            </w:r>
            <w:r w:rsidRPr="00E07C9A">
              <w:rPr>
                <w:rFonts w:ascii="Times New Roman" w:hAnsi="Times New Roman"/>
                <w:sz w:val="24"/>
              </w:rPr>
              <w:t>.</w:t>
            </w:r>
          </w:p>
        </w:tc>
      </w:tr>
      <w:tr w:rsidR="00595FAD" w:rsidRPr="00E07C9A" w14:paraId="172720AA" w14:textId="77777777" w:rsidTr="00FF15C6">
        <w:trPr>
          <w:trHeight w:val="680"/>
        </w:trPr>
        <w:tc>
          <w:tcPr>
            <w:tcW w:w="9039" w:type="dxa"/>
            <w:gridSpan w:val="2"/>
            <w:tcBorders>
              <w:left w:val="nil"/>
              <w:right w:val="nil"/>
            </w:tcBorders>
          </w:tcPr>
          <w:p w14:paraId="75DF6B5F" w14:textId="77777777" w:rsidR="00595FAD" w:rsidRPr="00E07C9A" w:rsidDel="00DF07F8" w:rsidRDefault="00595FAD" w:rsidP="00FF15C6">
            <w:pPr>
              <w:keepNext/>
              <w:spacing w:before="60"/>
              <w:rPr>
                <w:rFonts w:ascii="Times New Roman" w:hAnsi="Times New Roman"/>
                <w:i/>
                <w:szCs w:val="22"/>
                <w:lang w:eastAsia="en-CA"/>
              </w:rPr>
            </w:pPr>
          </w:p>
        </w:tc>
      </w:tr>
      <w:tr w:rsidR="00595FAD" w:rsidRPr="00E07C9A" w14:paraId="11B29737"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1CC4B1" w14:textId="77777777" w:rsidR="00595FAD" w:rsidRPr="00E07C9A" w:rsidRDefault="00595FAD" w:rsidP="00751FBE">
            <w:pPr>
              <w:pStyle w:val="Applicationdirecte"/>
              <w:spacing w:before="0"/>
              <w:jc w:val="left"/>
              <w:rPr>
                <w:b/>
              </w:rPr>
            </w:pPr>
            <w:r w:rsidRPr="00E07C9A">
              <w:rPr>
                <w:b/>
              </w:rPr>
              <w:t xml:space="preserve">Riadky </w:t>
            </w:r>
          </w:p>
        </w:tc>
      </w:tr>
      <w:tr w:rsidR="00595FAD" w:rsidRPr="00E07C9A" w14:paraId="4B91CA94" w14:textId="77777777" w:rsidTr="00FF15C6">
        <w:trPr>
          <w:trHeight w:val="680"/>
        </w:trPr>
        <w:tc>
          <w:tcPr>
            <w:tcW w:w="1384" w:type="dxa"/>
          </w:tcPr>
          <w:p w14:paraId="0B5FD573" w14:textId="77777777" w:rsidR="00595FAD" w:rsidRPr="00E07C9A" w:rsidRDefault="00595FAD" w:rsidP="00FF15C6">
            <w:pPr>
              <w:pStyle w:val="Applicationdirecte"/>
              <w:spacing w:before="0" w:after="0"/>
            </w:pPr>
            <w:r w:rsidRPr="00E07C9A">
              <w:t>0050, 0120, 0190, 0230, 0270, 0340</w:t>
            </w:r>
          </w:p>
        </w:tc>
        <w:tc>
          <w:tcPr>
            <w:tcW w:w="7655" w:type="dxa"/>
          </w:tcPr>
          <w:p w14:paraId="768C66A7" w14:textId="77777777" w:rsidR="00595FAD" w:rsidRPr="00E07C9A" w:rsidRDefault="00595FAD" w:rsidP="00FF15C6">
            <w:pPr>
              <w:keepNext/>
              <w:spacing w:before="60"/>
              <w:rPr>
                <w:rStyle w:val="InstructionsTabelleberschrift"/>
                <w:rFonts w:ascii="Times New Roman" w:hAnsi="Times New Roman"/>
                <w:sz w:val="24"/>
              </w:rPr>
            </w:pPr>
            <w:r w:rsidRPr="00E07C9A">
              <w:rPr>
                <w:rStyle w:val="InstructionsTabelleberschrift"/>
                <w:rFonts w:ascii="Times New Roman" w:hAnsi="Times New Roman"/>
                <w:sz w:val="24"/>
              </w:rPr>
              <w:t>KATEGÓRIE RIZIKA</w:t>
            </w:r>
          </w:p>
          <w:p w14:paraId="034B189F" w14:textId="167CF8A8" w:rsidR="00595FAD" w:rsidRPr="00E07C9A" w:rsidRDefault="00595FAD" w:rsidP="00FF15C6">
            <w:pPr>
              <w:keepNext/>
              <w:spacing w:before="60"/>
              <w:rPr>
                <w:rFonts w:ascii="Times New Roman" w:hAnsi="Times New Roman"/>
                <w:sz w:val="24"/>
              </w:rPr>
            </w:pPr>
            <w:r w:rsidRPr="00E07C9A">
              <w:rPr>
                <w:rFonts w:ascii="Times New Roman" w:hAnsi="Times New Roman"/>
                <w:sz w:val="24"/>
              </w:rPr>
              <w:t>Články 277</w:t>
            </w:r>
            <w:r w:rsidR="009912F8" w:rsidRPr="00E07C9A">
              <w:rPr>
                <w:rFonts w:ascii="Times New Roman" w:hAnsi="Times New Roman"/>
                <w:sz w:val="24"/>
              </w:rPr>
              <w:t xml:space="preserve"> a </w:t>
            </w:r>
            <w:r w:rsidRPr="00E07C9A">
              <w:rPr>
                <w:rFonts w:ascii="Times New Roman" w:hAnsi="Times New Roman"/>
                <w:sz w:val="24"/>
              </w:rPr>
              <w:t xml:space="preserve">277a nariadenia (EÚ) </w:t>
            </w:r>
            <w:r w:rsidR="009912F8" w:rsidRPr="00E07C9A">
              <w:rPr>
                <w:rFonts w:ascii="Times New Roman" w:hAnsi="Times New Roman"/>
                <w:sz w:val="24"/>
              </w:rPr>
              <w:t>č. 575/2013</w:t>
            </w:r>
          </w:p>
          <w:p w14:paraId="72FC3A4A" w14:textId="0B92B6CE" w:rsidR="00595FAD" w:rsidRPr="00E07C9A" w:rsidRDefault="00595FAD" w:rsidP="00FF15C6">
            <w:pPr>
              <w:pStyle w:val="TableMainHeading"/>
              <w:spacing w:before="60"/>
              <w:jc w:val="both"/>
              <w:rPr>
                <w:rFonts w:ascii="Times New Roman" w:hAnsi="Times New Roman"/>
                <w:sz w:val="24"/>
                <w:szCs w:val="24"/>
              </w:rPr>
            </w:pPr>
            <w:r w:rsidRPr="00E07C9A">
              <w:rPr>
                <w:rFonts w:ascii="Times New Roman" w:hAnsi="Times New Roman"/>
                <w:sz w:val="24"/>
              </w:rPr>
              <w:t>Transakcie sa klasifikujú podľa kategórie rizika, do ktorej patria,</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277 ods. 1 až 4 nariadenia (EÚ) </w:t>
            </w:r>
            <w:r w:rsidR="009912F8" w:rsidRPr="00E07C9A">
              <w:rPr>
                <w:rFonts w:ascii="Times New Roman" w:hAnsi="Times New Roman"/>
                <w:sz w:val="24"/>
              </w:rPr>
              <w:t>č. 575/2013</w:t>
            </w:r>
            <w:r w:rsidRPr="00E07C9A">
              <w:rPr>
                <w:rFonts w:ascii="Times New Roman" w:hAnsi="Times New Roman"/>
                <w:sz w:val="24"/>
              </w:rPr>
              <w:t>.</w:t>
            </w:r>
          </w:p>
          <w:p w14:paraId="5155215E" w14:textId="23C2CC3E" w:rsidR="00595FAD" w:rsidRPr="00E07C9A" w:rsidRDefault="00595FAD" w:rsidP="00FF15C6">
            <w:pPr>
              <w:pStyle w:val="TableMainHeading"/>
              <w:spacing w:before="60"/>
              <w:jc w:val="both"/>
              <w:rPr>
                <w:rFonts w:ascii="Times New Roman" w:hAnsi="Times New Roman"/>
                <w:sz w:val="24"/>
              </w:rPr>
            </w:pPr>
            <w:r w:rsidRPr="00E07C9A">
              <w:rPr>
                <w:rFonts w:ascii="Times New Roman" w:hAnsi="Times New Roman"/>
                <w:sz w:val="24"/>
              </w:rPr>
              <w:t>Priraďovanie</w:t>
            </w:r>
            <w:r w:rsidR="009912F8" w:rsidRPr="00E07C9A">
              <w:rPr>
                <w:rFonts w:ascii="Times New Roman" w:hAnsi="Times New Roman"/>
                <w:sz w:val="24"/>
              </w:rPr>
              <w:t xml:space="preserve"> k </w:t>
            </w:r>
            <w:r w:rsidRPr="00E07C9A">
              <w:rPr>
                <w:rFonts w:ascii="Times New Roman" w:hAnsi="Times New Roman"/>
                <w:sz w:val="24"/>
              </w:rPr>
              <w:t>hedžovacím súborom podľa kategórie rizika sa vykonáva</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277a nariadenia (EÚ) </w:t>
            </w:r>
            <w:r w:rsidR="009912F8" w:rsidRPr="00E07C9A">
              <w:rPr>
                <w:rFonts w:ascii="Times New Roman" w:hAnsi="Times New Roman"/>
                <w:sz w:val="24"/>
              </w:rPr>
              <w:t>č. 575/2013</w:t>
            </w:r>
            <w:r w:rsidRPr="00E07C9A">
              <w:rPr>
                <w:rFonts w:ascii="Times New Roman" w:hAnsi="Times New Roman"/>
                <w:sz w:val="24"/>
              </w:rPr>
              <w:t>.</w:t>
            </w:r>
          </w:p>
          <w:p w14:paraId="49EE0710" w14:textId="51E6FA28" w:rsidR="00595FAD" w:rsidRPr="00E07C9A" w:rsidRDefault="00595FAD" w:rsidP="00FF15C6">
            <w:pPr>
              <w:pStyle w:val="TableMainHeading"/>
              <w:spacing w:before="60"/>
              <w:jc w:val="both"/>
              <w:rPr>
                <w:rFonts w:ascii="Times New Roman" w:hAnsi="Times New Roman"/>
                <w:sz w:val="24"/>
              </w:rPr>
            </w:pPr>
            <w:r w:rsidRPr="00E07C9A">
              <w:rPr>
                <w:rFonts w:ascii="Times New Roman" w:hAnsi="Times New Roman"/>
                <w:sz w:val="24"/>
              </w:rPr>
              <w:t>Pri zjednodušenom prístupe SA-CCR sa uplatňujú ustanovenia uvedené</w:t>
            </w:r>
            <w:r w:rsidR="009912F8" w:rsidRPr="00E07C9A">
              <w:rPr>
                <w:rFonts w:ascii="Times New Roman" w:hAnsi="Times New Roman"/>
                <w:sz w:val="24"/>
              </w:rPr>
              <w:t xml:space="preserve"> v </w:t>
            </w:r>
            <w:r w:rsidRPr="00E07C9A">
              <w:rPr>
                <w:rFonts w:ascii="Times New Roman" w:hAnsi="Times New Roman"/>
                <w:sz w:val="24"/>
              </w:rPr>
              <w:t xml:space="preserve">článku 281 ods. 2 nariadenia (EÚ) </w:t>
            </w:r>
            <w:r w:rsidR="009912F8" w:rsidRPr="00E07C9A">
              <w:rPr>
                <w:rFonts w:ascii="Times New Roman" w:hAnsi="Times New Roman"/>
                <w:sz w:val="24"/>
              </w:rPr>
              <w:t>č. 575/2013</w:t>
            </w:r>
            <w:r w:rsidRPr="00E07C9A">
              <w:rPr>
                <w:rFonts w:ascii="Times New Roman" w:hAnsi="Times New Roman"/>
                <w:sz w:val="24"/>
              </w:rPr>
              <w:t>.</w:t>
            </w:r>
          </w:p>
        </w:tc>
      </w:tr>
      <w:tr w:rsidR="00595FAD" w:rsidRPr="00E07C9A" w14:paraId="4042F2B4" w14:textId="77777777" w:rsidTr="00FF15C6">
        <w:trPr>
          <w:trHeight w:val="680"/>
        </w:trPr>
        <w:tc>
          <w:tcPr>
            <w:tcW w:w="1384" w:type="dxa"/>
          </w:tcPr>
          <w:p w14:paraId="33155A78" w14:textId="77777777" w:rsidR="00595FAD" w:rsidRPr="00E07C9A" w:rsidRDefault="00595FAD" w:rsidP="00FF15C6">
            <w:pPr>
              <w:pStyle w:val="Applicationdirecte"/>
              <w:spacing w:before="0" w:after="0"/>
            </w:pPr>
            <w:r w:rsidRPr="00E07C9A">
              <w:t>0020 – 0040</w:t>
            </w:r>
          </w:p>
        </w:tc>
        <w:tc>
          <w:tcPr>
            <w:tcW w:w="7655" w:type="dxa"/>
          </w:tcPr>
          <w:p w14:paraId="553C8B1A" w14:textId="77777777" w:rsidR="00595FAD" w:rsidRPr="00E07C9A" w:rsidRDefault="00595FAD" w:rsidP="00FF15C6">
            <w:pPr>
              <w:keepNext/>
              <w:spacing w:before="60"/>
              <w:rPr>
                <w:rStyle w:val="InstructionsTabelleberschrift"/>
                <w:rFonts w:ascii="Times New Roman" w:hAnsi="Times New Roman"/>
                <w:sz w:val="24"/>
              </w:rPr>
            </w:pPr>
            <w:r w:rsidRPr="00E07C9A">
              <w:rPr>
                <w:rStyle w:val="InstructionsTabelleberschrift"/>
                <w:rFonts w:ascii="Times New Roman" w:hAnsi="Times New Roman"/>
                <w:sz w:val="24"/>
              </w:rPr>
              <w:t>Z čoho: zaradené do viac ako jednej kategórie rizika</w:t>
            </w:r>
          </w:p>
          <w:p w14:paraId="0EB158AA" w14:textId="1AD865B2" w:rsidR="00595FAD" w:rsidRPr="00E07C9A" w:rsidRDefault="00595FAD" w:rsidP="00FF15C6">
            <w:pPr>
              <w:keepNext/>
              <w:spacing w:before="60"/>
              <w:rPr>
                <w:rFonts w:ascii="Times New Roman" w:hAnsi="Times New Roman"/>
                <w:sz w:val="24"/>
              </w:rPr>
            </w:pPr>
            <w:r w:rsidRPr="00E07C9A">
              <w:rPr>
                <w:rFonts w:ascii="Times New Roman" w:hAnsi="Times New Roman"/>
                <w:sz w:val="24"/>
              </w:rPr>
              <w:t xml:space="preserve">Článok 277 ods. 3 nariadenia (EÚ) </w:t>
            </w:r>
            <w:r w:rsidR="009912F8" w:rsidRPr="00E07C9A">
              <w:rPr>
                <w:rFonts w:ascii="Times New Roman" w:hAnsi="Times New Roman"/>
                <w:sz w:val="24"/>
              </w:rPr>
              <w:t>č. 575/2013</w:t>
            </w:r>
          </w:p>
          <w:p w14:paraId="44A31AAB" w14:textId="01B0E869" w:rsidR="00595FAD" w:rsidRPr="00E07C9A" w:rsidRDefault="00595FAD" w:rsidP="00F02E37">
            <w:pPr>
              <w:pStyle w:val="TableMainHeading"/>
              <w:spacing w:before="60"/>
              <w:jc w:val="both"/>
              <w:rPr>
                <w:rFonts w:ascii="Times New Roman" w:hAnsi="Times New Roman"/>
                <w:i/>
                <w:sz w:val="24"/>
                <w:szCs w:val="24"/>
              </w:rPr>
            </w:pPr>
            <w:r w:rsidRPr="00E07C9A">
              <w:rPr>
                <w:rFonts w:ascii="Times New Roman" w:hAnsi="Times New Roman"/>
                <w:sz w:val="24"/>
              </w:rPr>
              <w:t>Derivátové transakcie</w:t>
            </w:r>
            <w:r w:rsidR="009912F8" w:rsidRPr="00E07C9A">
              <w:rPr>
                <w:rFonts w:ascii="Times New Roman" w:hAnsi="Times New Roman"/>
                <w:sz w:val="24"/>
              </w:rPr>
              <w:t xml:space="preserve"> s </w:t>
            </w:r>
            <w:r w:rsidRPr="00E07C9A">
              <w:rPr>
                <w:rFonts w:ascii="Times New Roman" w:hAnsi="Times New Roman"/>
                <w:sz w:val="24"/>
              </w:rPr>
              <w:t>viac ako jedným významným rizikovým faktorom zaradené do dvoch (0020), troch (0030) alebo viac ako troch (0040) kategórií rizika na základe najvýznamnejších rizikových faktorov</w:t>
            </w:r>
            <w:r w:rsidR="009912F8" w:rsidRPr="00E07C9A">
              <w:rPr>
                <w:rFonts w:ascii="Times New Roman" w:hAnsi="Times New Roman"/>
                <w:sz w:val="24"/>
              </w:rPr>
              <w:t xml:space="preserve"> v </w:t>
            </w:r>
            <w:r w:rsidRPr="00E07C9A">
              <w:rPr>
                <w:rFonts w:ascii="Times New Roman" w:hAnsi="Times New Roman"/>
                <w:sz w:val="24"/>
              </w:rPr>
              <w:t>každej kategórii rizika</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277 ods. 3 nariadenia (EÚ) </w:t>
            </w:r>
            <w:r w:rsidR="009912F8" w:rsidRPr="00E07C9A">
              <w:rPr>
                <w:rFonts w:ascii="Times New Roman" w:hAnsi="Times New Roman"/>
                <w:sz w:val="24"/>
              </w:rPr>
              <w:t>č. 575/2013 a </w:t>
            </w:r>
            <w:r w:rsidRPr="00E07C9A">
              <w:rPr>
                <w:rFonts w:ascii="Times New Roman" w:hAnsi="Times New Roman"/>
                <w:sz w:val="24"/>
              </w:rPr>
              <w:t>regulačnými technickými predpismi EBA uvedenými</w:t>
            </w:r>
            <w:r w:rsidR="009912F8" w:rsidRPr="00E07C9A">
              <w:rPr>
                <w:rFonts w:ascii="Times New Roman" w:hAnsi="Times New Roman"/>
                <w:sz w:val="24"/>
              </w:rPr>
              <w:t xml:space="preserve"> v </w:t>
            </w:r>
            <w:r w:rsidRPr="00E07C9A">
              <w:rPr>
                <w:rFonts w:ascii="Times New Roman" w:hAnsi="Times New Roman"/>
                <w:sz w:val="24"/>
              </w:rPr>
              <w:t>článku 277 ods. 5 uvedeného nariadenia.</w:t>
            </w:r>
          </w:p>
        </w:tc>
      </w:tr>
      <w:tr w:rsidR="00595FAD" w:rsidRPr="00E07C9A" w14:paraId="4BC09553" w14:textId="77777777" w:rsidTr="00FF15C6">
        <w:trPr>
          <w:trHeight w:val="680"/>
        </w:trPr>
        <w:tc>
          <w:tcPr>
            <w:tcW w:w="1384" w:type="dxa"/>
          </w:tcPr>
          <w:p w14:paraId="6365C266" w14:textId="2E40827A" w:rsidR="00595FAD" w:rsidRPr="00E07C9A" w:rsidRDefault="00595FAD" w:rsidP="00FF15C6">
            <w:pPr>
              <w:pStyle w:val="Applicationdirecte"/>
              <w:spacing w:before="0" w:after="0"/>
              <w:jc w:val="left"/>
            </w:pPr>
            <w:r w:rsidRPr="00E07C9A">
              <w:t>0070 –⁠ 0110</w:t>
            </w:r>
            <w:r w:rsidR="009912F8" w:rsidRPr="00E07C9A">
              <w:t xml:space="preserve"> a </w:t>
            </w:r>
            <w:r w:rsidRPr="00E07C9A">
              <w:t>0140 –⁠ 0180</w:t>
            </w:r>
          </w:p>
        </w:tc>
        <w:tc>
          <w:tcPr>
            <w:tcW w:w="7655" w:type="dxa"/>
          </w:tcPr>
          <w:p w14:paraId="51DFA92E" w14:textId="02F1A3DD" w:rsidR="00595FAD" w:rsidRPr="00E07C9A" w:rsidRDefault="00595FAD" w:rsidP="00FF15C6">
            <w:pPr>
              <w:pStyle w:val="TableMainHeading"/>
              <w:spacing w:before="60"/>
              <w:jc w:val="both"/>
              <w:rPr>
                <w:rStyle w:val="InstructionsTabelleberschrift"/>
                <w:rFonts w:ascii="Times New Roman" w:eastAsiaTheme="minorEastAsia" w:hAnsi="Times New Roman"/>
                <w:sz w:val="24"/>
                <w:szCs w:val="24"/>
              </w:rPr>
            </w:pPr>
            <w:r w:rsidRPr="00E07C9A">
              <w:rPr>
                <w:rStyle w:val="InstructionsTabelleberschrift"/>
                <w:rFonts w:ascii="Times New Roman" w:hAnsi="Times New Roman"/>
                <w:sz w:val="24"/>
              </w:rPr>
              <w:t>Najväčšia mena</w:t>
            </w:r>
            <w:r w:rsidR="009912F8" w:rsidRPr="00E07C9A">
              <w:rPr>
                <w:rStyle w:val="InstructionsTabelleberschrift"/>
                <w:rFonts w:ascii="Times New Roman" w:hAnsi="Times New Roman"/>
                <w:sz w:val="24"/>
              </w:rPr>
              <w:t xml:space="preserve"> a </w:t>
            </w:r>
            <w:r w:rsidRPr="00E07C9A">
              <w:rPr>
                <w:rStyle w:val="InstructionsTabelleberschrift"/>
                <w:rFonts w:ascii="Times New Roman" w:hAnsi="Times New Roman"/>
                <w:sz w:val="24"/>
              </w:rPr>
              <w:t>menový pár</w:t>
            </w:r>
          </w:p>
          <w:p w14:paraId="12C10F91" w14:textId="738B22EE" w:rsidR="009912F8" w:rsidRPr="00E07C9A" w:rsidRDefault="00595FAD" w:rsidP="00FF15C6">
            <w:pPr>
              <w:rPr>
                <w:rFonts w:ascii="Times New Roman" w:hAnsi="Times New Roman"/>
                <w:sz w:val="24"/>
              </w:rPr>
            </w:pPr>
            <w:r w:rsidRPr="00E07C9A">
              <w:rPr>
                <w:rFonts w:ascii="Times New Roman" w:hAnsi="Times New Roman"/>
                <w:sz w:val="24"/>
              </w:rPr>
              <w:t>Táto klasifikácia sa vykonáva na základe CMV portfólia inštitúcie</w:t>
            </w:r>
            <w:r w:rsidR="009912F8" w:rsidRPr="00E07C9A">
              <w:rPr>
                <w:rFonts w:ascii="Times New Roman" w:hAnsi="Times New Roman"/>
                <w:sz w:val="24"/>
              </w:rPr>
              <w:t xml:space="preserve"> v </w:t>
            </w:r>
            <w:r w:rsidRPr="00E07C9A">
              <w:rPr>
                <w:rFonts w:ascii="Times New Roman" w:hAnsi="Times New Roman"/>
                <w:sz w:val="24"/>
              </w:rPr>
              <w:t>rámci prístupu SA-CCR alebo prípadne</w:t>
            </w:r>
            <w:r w:rsidR="009912F8" w:rsidRPr="00E07C9A">
              <w:rPr>
                <w:rFonts w:ascii="Times New Roman" w:hAnsi="Times New Roman"/>
                <w:sz w:val="24"/>
              </w:rPr>
              <w:t xml:space="preserve"> v </w:t>
            </w:r>
            <w:r w:rsidRPr="00E07C9A">
              <w:rPr>
                <w:rFonts w:ascii="Times New Roman" w:hAnsi="Times New Roman"/>
                <w:sz w:val="24"/>
              </w:rPr>
              <w:t>rámci zjednodušeného prístupu SA-CCR pri transakciách zaradených do kategórie úrokového rizika, resp. do kategórie devízového rizika</w:t>
            </w:r>
            <w:r w:rsidR="009912F8" w:rsidRPr="00E07C9A">
              <w:rPr>
                <w:rFonts w:ascii="Times New Roman" w:hAnsi="Times New Roman"/>
                <w:sz w:val="24"/>
              </w:rPr>
              <w:t>.</w:t>
            </w:r>
          </w:p>
          <w:p w14:paraId="6232A3BE" w14:textId="7E4AB2FA" w:rsidR="00595FAD" w:rsidRPr="00E07C9A" w:rsidRDefault="00595FAD" w:rsidP="00FF15C6">
            <w:pPr>
              <w:rPr>
                <w:rFonts w:ascii="Times New Roman" w:hAnsi="Times New Roman"/>
                <w:i/>
                <w:sz w:val="24"/>
              </w:rPr>
            </w:pPr>
            <w:r w:rsidRPr="00E07C9A">
              <w:rPr>
                <w:rFonts w:ascii="Times New Roman" w:hAnsi="Times New Roman"/>
                <w:sz w:val="24"/>
              </w:rPr>
              <w:t>Na účely klasifikácie sa spočíta absolútna hodnota CMV pozícií.</w:t>
            </w:r>
          </w:p>
        </w:tc>
      </w:tr>
      <w:tr w:rsidR="00595FAD" w:rsidRPr="00E07C9A" w14:paraId="4CDBE676" w14:textId="77777777" w:rsidTr="00FF15C6">
        <w:trPr>
          <w:trHeight w:val="2279"/>
        </w:trPr>
        <w:tc>
          <w:tcPr>
            <w:tcW w:w="1384" w:type="dxa"/>
          </w:tcPr>
          <w:p w14:paraId="362D812C" w14:textId="77777777" w:rsidR="00595FAD" w:rsidRPr="00E07C9A" w:rsidRDefault="00595FAD" w:rsidP="00FF15C6">
            <w:pPr>
              <w:pStyle w:val="Applicationdirecte"/>
              <w:spacing w:before="0" w:after="0"/>
            </w:pPr>
            <w:r w:rsidRPr="00E07C9A">
              <w:t>0060, 0130, 0200, 0240, 0280</w:t>
            </w:r>
          </w:p>
        </w:tc>
        <w:tc>
          <w:tcPr>
            <w:tcW w:w="7655" w:type="dxa"/>
          </w:tcPr>
          <w:p w14:paraId="0AC13DAB" w14:textId="77777777" w:rsidR="00595FAD" w:rsidRPr="00E07C9A" w:rsidRDefault="00595FAD" w:rsidP="00FF15C6">
            <w:pPr>
              <w:keepNext/>
              <w:spacing w:before="60"/>
              <w:rPr>
                <w:rStyle w:val="InstructionsTabelleberschrift"/>
                <w:rFonts w:ascii="Times New Roman" w:hAnsi="Times New Roman"/>
                <w:sz w:val="24"/>
              </w:rPr>
            </w:pPr>
            <w:r w:rsidRPr="00E07C9A">
              <w:rPr>
                <w:rStyle w:val="InstructionsTabelleberschrift"/>
                <w:rFonts w:ascii="Times New Roman" w:hAnsi="Times New Roman"/>
                <w:sz w:val="24"/>
              </w:rPr>
              <w:t>Výlučné zaradenie</w:t>
            </w:r>
          </w:p>
          <w:p w14:paraId="326783F1" w14:textId="335229C0" w:rsidR="00595FAD" w:rsidRPr="00E07C9A" w:rsidRDefault="00595FAD" w:rsidP="00FF15C6">
            <w:pPr>
              <w:keepNext/>
              <w:spacing w:before="60"/>
              <w:rPr>
                <w:rFonts w:ascii="Times New Roman" w:hAnsi="Times New Roman"/>
                <w:sz w:val="24"/>
              </w:rPr>
            </w:pPr>
            <w:r w:rsidRPr="00E07C9A">
              <w:rPr>
                <w:rFonts w:ascii="Times New Roman" w:hAnsi="Times New Roman"/>
                <w:sz w:val="24"/>
              </w:rPr>
              <w:t>Článok 277 ods. 1</w:t>
            </w:r>
            <w:r w:rsidR="009912F8" w:rsidRPr="00E07C9A">
              <w:rPr>
                <w:rFonts w:ascii="Times New Roman" w:hAnsi="Times New Roman"/>
                <w:sz w:val="24"/>
              </w:rPr>
              <w:t xml:space="preserve"> a </w:t>
            </w:r>
            <w:r w:rsidRPr="00E07C9A">
              <w:rPr>
                <w:rFonts w:ascii="Times New Roman" w:hAnsi="Times New Roman"/>
                <w:sz w:val="24"/>
              </w:rPr>
              <w:t xml:space="preserve">2 nariadenia (EÚ) </w:t>
            </w:r>
            <w:r w:rsidR="009912F8" w:rsidRPr="00E07C9A">
              <w:rPr>
                <w:rFonts w:ascii="Times New Roman" w:hAnsi="Times New Roman"/>
                <w:sz w:val="24"/>
              </w:rPr>
              <w:t>č. 575/2013</w:t>
            </w:r>
          </w:p>
          <w:p w14:paraId="084247CE" w14:textId="2DC0D347" w:rsidR="009912F8" w:rsidRPr="00E07C9A" w:rsidRDefault="00595FAD" w:rsidP="00FF15C6">
            <w:pPr>
              <w:pStyle w:val="TableMainHeading"/>
              <w:spacing w:before="60"/>
              <w:jc w:val="both"/>
              <w:rPr>
                <w:rFonts w:ascii="Times New Roman" w:hAnsi="Times New Roman"/>
                <w:sz w:val="24"/>
              </w:rPr>
            </w:pPr>
            <w:r w:rsidRPr="00E07C9A">
              <w:rPr>
                <w:rFonts w:ascii="Times New Roman" w:hAnsi="Times New Roman"/>
                <w:sz w:val="24"/>
              </w:rPr>
              <w:t>Derivátové transakcie zaradené výlučne do jednej kategórie rizika</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článkom 277 ods. 1</w:t>
            </w:r>
            <w:r w:rsidR="009912F8" w:rsidRPr="00E07C9A">
              <w:rPr>
                <w:rFonts w:ascii="Times New Roman" w:hAnsi="Times New Roman"/>
                <w:sz w:val="24"/>
              </w:rPr>
              <w:t xml:space="preserve"> a </w:t>
            </w:r>
            <w:r w:rsidRPr="00E07C9A">
              <w:rPr>
                <w:rFonts w:ascii="Times New Roman" w:hAnsi="Times New Roman"/>
                <w:sz w:val="24"/>
              </w:rPr>
              <w:t xml:space="preserve">2 nariadenia (EÚ) </w:t>
            </w:r>
            <w:r w:rsidR="009912F8" w:rsidRPr="00E07C9A">
              <w:rPr>
                <w:rFonts w:ascii="Times New Roman" w:hAnsi="Times New Roman"/>
                <w:sz w:val="24"/>
              </w:rPr>
              <w:t>č. 575/2013.</w:t>
            </w:r>
          </w:p>
          <w:p w14:paraId="7A2DDF49" w14:textId="1F8E6465" w:rsidR="00595FAD" w:rsidRPr="00E07C9A" w:rsidRDefault="00595FAD" w:rsidP="00FF15C6">
            <w:pPr>
              <w:pStyle w:val="TableMainHeading"/>
              <w:spacing w:before="60"/>
              <w:jc w:val="both"/>
              <w:rPr>
                <w:rFonts w:ascii="Times New Roman" w:hAnsi="Times New Roman"/>
                <w:sz w:val="24"/>
                <w:szCs w:val="24"/>
              </w:rPr>
            </w:pPr>
            <w:r w:rsidRPr="00E07C9A">
              <w:rPr>
                <w:rFonts w:ascii="Times New Roman" w:hAnsi="Times New Roman"/>
                <w:sz w:val="24"/>
              </w:rPr>
              <w:t>Vylúčené sú transakcie, ktoré sú zaradené do rôznych kategórií rizika</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277 ods. 3 nariadenia (EÚ) </w:t>
            </w:r>
            <w:r w:rsidR="009912F8" w:rsidRPr="00E07C9A">
              <w:rPr>
                <w:rFonts w:ascii="Times New Roman" w:hAnsi="Times New Roman"/>
                <w:sz w:val="24"/>
              </w:rPr>
              <w:t>č. 575/2013</w:t>
            </w:r>
            <w:r w:rsidRPr="00E07C9A">
              <w:rPr>
                <w:rFonts w:ascii="Times New Roman" w:hAnsi="Times New Roman"/>
                <w:sz w:val="24"/>
              </w:rPr>
              <w:t>.</w:t>
            </w:r>
          </w:p>
        </w:tc>
      </w:tr>
      <w:tr w:rsidR="00595FAD" w:rsidRPr="00E07C9A" w14:paraId="7BF96FD3" w14:textId="77777777" w:rsidTr="00FF15C6">
        <w:trPr>
          <w:trHeight w:val="680"/>
        </w:trPr>
        <w:tc>
          <w:tcPr>
            <w:tcW w:w="1384" w:type="dxa"/>
          </w:tcPr>
          <w:p w14:paraId="2B2508EC" w14:textId="77777777" w:rsidR="00595FAD" w:rsidRPr="00E07C9A" w:rsidRDefault="00595FAD" w:rsidP="00FF15C6">
            <w:pPr>
              <w:pStyle w:val="Applicationdirecte"/>
              <w:spacing w:before="0" w:after="0"/>
            </w:pPr>
            <w:r w:rsidRPr="00E07C9A">
              <w:t xml:space="preserve">0210, 0250 </w:t>
            </w:r>
          </w:p>
        </w:tc>
        <w:tc>
          <w:tcPr>
            <w:tcW w:w="7655" w:type="dxa"/>
          </w:tcPr>
          <w:p w14:paraId="10D66564" w14:textId="77777777" w:rsidR="009912F8" w:rsidRPr="00E07C9A" w:rsidRDefault="00595FAD" w:rsidP="00FF15C6">
            <w:pPr>
              <w:pStyle w:val="TableMainHeading"/>
              <w:spacing w:before="60"/>
              <w:jc w:val="both"/>
              <w:rPr>
                <w:rStyle w:val="InstructionsTabelleberschrift"/>
                <w:rFonts w:ascii="Times New Roman" w:hAnsi="Times New Roman"/>
                <w:sz w:val="24"/>
              </w:rPr>
            </w:pPr>
            <w:r w:rsidRPr="00E07C9A">
              <w:rPr>
                <w:rStyle w:val="InstructionsTabelleberschrift"/>
                <w:rFonts w:ascii="Times New Roman" w:hAnsi="Times New Roman"/>
                <w:sz w:val="24"/>
              </w:rPr>
              <w:t>Transakcie zmierňujúce kreditné riziko len jednej protistrany</w:t>
            </w:r>
          </w:p>
          <w:p w14:paraId="4F25E61B" w14:textId="6FDD1E0A" w:rsidR="00595FAD" w:rsidRPr="00E07C9A" w:rsidRDefault="00595FAD" w:rsidP="00FF15C6">
            <w:pPr>
              <w:pStyle w:val="TableMainHeading"/>
              <w:spacing w:before="60"/>
              <w:jc w:val="both"/>
              <w:rPr>
                <w:rStyle w:val="InstructionsTabelleberschrift"/>
                <w:rFonts w:ascii="Times New Roman" w:hAnsi="Times New Roman"/>
                <w:sz w:val="24"/>
              </w:rPr>
            </w:pPr>
            <w:r w:rsidRPr="00E07C9A">
              <w:rPr>
                <w:rFonts w:ascii="Times New Roman" w:hAnsi="Times New Roman"/>
                <w:sz w:val="24"/>
              </w:rPr>
              <w:t>Transakcie zmierňujúce kreditné riziko len jednej protistrany, ktoré sú zaradené do kategórie kreditného rizika, resp. do kategórie akciového rizika.</w:t>
            </w:r>
            <w:r w:rsidRPr="00E07C9A">
              <w:rPr>
                <w:rStyle w:val="InstructionsTabelleberschrift"/>
                <w:rFonts w:ascii="Times New Roman" w:hAnsi="Times New Roman"/>
                <w:sz w:val="24"/>
              </w:rPr>
              <w:t xml:space="preserve"> </w:t>
            </w:r>
          </w:p>
        </w:tc>
      </w:tr>
      <w:tr w:rsidR="00595FAD" w:rsidRPr="00E07C9A" w14:paraId="287F054B" w14:textId="77777777" w:rsidTr="00FF15C6">
        <w:trPr>
          <w:trHeight w:val="680"/>
        </w:trPr>
        <w:tc>
          <w:tcPr>
            <w:tcW w:w="1384" w:type="dxa"/>
          </w:tcPr>
          <w:p w14:paraId="2B43DF93" w14:textId="77777777" w:rsidR="00595FAD" w:rsidRPr="00E07C9A" w:rsidRDefault="00595FAD" w:rsidP="00FF15C6">
            <w:pPr>
              <w:pStyle w:val="Applicationdirecte"/>
              <w:spacing w:before="0" w:after="0"/>
            </w:pPr>
            <w:r w:rsidRPr="00E07C9A">
              <w:t>0220, 0260</w:t>
            </w:r>
          </w:p>
        </w:tc>
        <w:tc>
          <w:tcPr>
            <w:tcW w:w="7655" w:type="dxa"/>
          </w:tcPr>
          <w:p w14:paraId="65E4CFDC" w14:textId="77777777" w:rsidR="00595FAD" w:rsidRPr="00E07C9A" w:rsidRDefault="00595FAD" w:rsidP="00FF15C6">
            <w:pPr>
              <w:keepNext/>
              <w:spacing w:before="60"/>
              <w:rPr>
                <w:rStyle w:val="InstructionsTabelleberschrift"/>
                <w:rFonts w:ascii="Times New Roman" w:hAnsi="Times New Roman"/>
                <w:sz w:val="24"/>
              </w:rPr>
            </w:pPr>
            <w:r w:rsidRPr="00E07C9A">
              <w:rPr>
                <w:rStyle w:val="InstructionsTabelleberschrift"/>
                <w:rFonts w:ascii="Times New Roman" w:hAnsi="Times New Roman"/>
                <w:sz w:val="24"/>
              </w:rPr>
              <w:t>Transakcie zmierňujúce kreditné riziko viacerých zmluvných strán</w:t>
            </w:r>
          </w:p>
          <w:p w14:paraId="16071360" w14:textId="77777777" w:rsidR="00595FAD" w:rsidRPr="00E07C9A" w:rsidRDefault="00595FAD" w:rsidP="00FF15C6">
            <w:pPr>
              <w:keepNext/>
              <w:spacing w:before="60"/>
              <w:rPr>
                <w:rStyle w:val="InstructionsTabelleberschrift"/>
                <w:rFonts w:ascii="Times New Roman" w:hAnsi="Times New Roman"/>
                <w:sz w:val="24"/>
              </w:rPr>
            </w:pPr>
            <w:r w:rsidRPr="00E07C9A">
              <w:rPr>
                <w:rFonts w:ascii="Times New Roman" w:hAnsi="Times New Roman"/>
                <w:sz w:val="24"/>
              </w:rPr>
              <w:t xml:space="preserve">Transakcie zmierňujúce kreditné riziko viacerých zmluvných strán, ktoré sú zaradené do kategórie kreditného rizika, resp. do kategórie akciového rizika. </w:t>
            </w:r>
          </w:p>
        </w:tc>
      </w:tr>
      <w:tr w:rsidR="00595FAD" w:rsidRPr="00E07C9A" w14:paraId="4EC9884A" w14:textId="77777777" w:rsidTr="00FF15C6">
        <w:trPr>
          <w:trHeight w:val="680"/>
        </w:trPr>
        <w:tc>
          <w:tcPr>
            <w:tcW w:w="1384" w:type="dxa"/>
          </w:tcPr>
          <w:p w14:paraId="2BFAE9A9" w14:textId="77777777" w:rsidR="00595FAD" w:rsidRPr="00E07C9A" w:rsidRDefault="00595FAD" w:rsidP="00FF15C6">
            <w:pPr>
              <w:pStyle w:val="Applicationdirecte"/>
              <w:spacing w:before="0" w:after="0"/>
            </w:pPr>
            <w:r w:rsidRPr="00E07C9A">
              <w:t>0290 –⁠ 0330</w:t>
            </w:r>
          </w:p>
        </w:tc>
        <w:tc>
          <w:tcPr>
            <w:tcW w:w="7655" w:type="dxa"/>
          </w:tcPr>
          <w:p w14:paraId="53E2C2F3" w14:textId="77777777" w:rsidR="00595FAD" w:rsidRPr="00E07C9A" w:rsidRDefault="00595FAD" w:rsidP="00FF15C6">
            <w:pPr>
              <w:keepNext/>
              <w:spacing w:before="60"/>
              <w:rPr>
                <w:rStyle w:val="InstructionsTabelleberschrift"/>
                <w:rFonts w:ascii="Times New Roman" w:hAnsi="Times New Roman"/>
                <w:sz w:val="24"/>
              </w:rPr>
            </w:pPr>
            <w:r w:rsidRPr="00E07C9A">
              <w:rPr>
                <w:rStyle w:val="InstructionsTabelleberschrift"/>
                <w:rFonts w:ascii="Times New Roman" w:hAnsi="Times New Roman"/>
                <w:sz w:val="24"/>
              </w:rPr>
              <w:t>Hedžovacie súbory kategórie komoditného rizika</w:t>
            </w:r>
          </w:p>
          <w:p w14:paraId="3D5DB3DA" w14:textId="1AD92B2C" w:rsidR="00595FAD" w:rsidRPr="00E07C9A" w:rsidRDefault="00595FAD" w:rsidP="00070518">
            <w:pPr>
              <w:keepNext/>
              <w:spacing w:before="60"/>
              <w:rPr>
                <w:rFonts w:ascii="Times New Roman" w:hAnsi="Times New Roman"/>
                <w:sz w:val="24"/>
              </w:rPr>
            </w:pPr>
            <w:r w:rsidRPr="00E07C9A">
              <w:rPr>
                <w:rFonts w:ascii="Times New Roman" w:hAnsi="Times New Roman"/>
                <w:sz w:val="24"/>
              </w:rPr>
              <w:t>Derivátové transakcie priradené</w:t>
            </w:r>
            <w:r w:rsidR="009912F8" w:rsidRPr="00E07C9A">
              <w:rPr>
                <w:rFonts w:ascii="Times New Roman" w:hAnsi="Times New Roman"/>
                <w:sz w:val="24"/>
              </w:rPr>
              <w:t xml:space="preserve"> k </w:t>
            </w:r>
            <w:r w:rsidRPr="00E07C9A">
              <w:rPr>
                <w:rFonts w:ascii="Times New Roman" w:hAnsi="Times New Roman"/>
                <w:sz w:val="24"/>
              </w:rPr>
              <w:t>hedžovacím súborom kategórie komoditného rizika, ako sa uvádza</w:t>
            </w:r>
            <w:r w:rsidR="009912F8" w:rsidRPr="00E07C9A">
              <w:rPr>
                <w:rFonts w:ascii="Times New Roman" w:hAnsi="Times New Roman"/>
                <w:sz w:val="24"/>
              </w:rPr>
              <w:t xml:space="preserve"> v </w:t>
            </w:r>
            <w:r w:rsidRPr="00E07C9A">
              <w:rPr>
                <w:rFonts w:ascii="Times New Roman" w:hAnsi="Times New Roman"/>
                <w:sz w:val="24"/>
              </w:rPr>
              <w:t xml:space="preserve">článku 277a ods. 1 písm. e) nariadenia (EÚ) </w:t>
            </w:r>
            <w:r w:rsidR="009912F8" w:rsidRPr="00E07C9A">
              <w:rPr>
                <w:rFonts w:ascii="Times New Roman" w:hAnsi="Times New Roman"/>
                <w:sz w:val="24"/>
              </w:rPr>
              <w:t>č. 575/2013</w:t>
            </w:r>
            <w:r w:rsidRPr="00E07C9A">
              <w:rPr>
                <w:rFonts w:ascii="Times New Roman" w:hAnsi="Times New Roman"/>
                <w:sz w:val="24"/>
              </w:rPr>
              <w:t>.</w:t>
            </w:r>
          </w:p>
        </w:tc>
      </w:tr>
    </w:tbl>
    <w:p w14:paraId="1C6C7669" w14:textId="77777777" w:rsidR="00595FAD" w:rsidRPr="00E07C9A" w:rsidRDefault="00595FAD" w:rsidP="00595FAD">
      <w:pPr>
        <w:tabs>
          <w:tab w:val="left" w:pos="1430"/>
        </w:tabs>
        <w:rPr>
          <w:rFonts w:ascii="Times New Roman" w:hAnsi="Times New Roman"/>
        </w:rPr>
      </w:pPr>
    </w:p>
    <w:p w14:paraId="080755A4" w14:textId="37847C1E" w:rsidR="00595FAD" w:rsidRPr="00E07C9A" w:rsidRDefault="00595FAD" w:rsidP="005C4397">
      <w:pPr>
        <w:pStyle w:val="Instructionsberschrift2"/>
        <w:numPr>
          <w:ilvl w:val="2"/>
          <w:numId w:val="39"/>
        </w:numPr>
        <w:rPr>
          <w:rFonts w:ascii="Times New Roman" w:hAnsi="Times New Roman" w:cs="Times New Roman"/>
          <w:sz w:val="24"/>
        </w:rPr>
      </w:pPr>
      <w:bookmarkStart w:id="468" w:name="_Toc19715812"/>
      <w:bookmarkStart w:id="469" w:name="_Toc115857842"/>
      <w:r w:rsidRPr="00E07C9A">
        <w:rPr>
          <w:rFonts w:ascii="Times New Roman" w:hAnsi="Times New Roman" w:cs="Times New Roman"/>
          <w:sz w:val="24"/>
        </w:rPr>
        <w:t>C 34.04 –⁠ Expozície voči CCR,</w:t>
      </w:r>
      <w:r w:rsidR="009912F8" w:rsidRPr="00E07C9A">
        <w:rPr>
          <w:rFonts w:ascii="Times New Roman" w:hAnsi="Times New Roman" w:cs="Times New Roman"/>
          <w:sz w:val="24"/>
        </w:rPr>
        <w:t xml:space="preserve"> s </w:t>
      </w:r>
      <w:r w:rsidRPr="00E07C9A">
        <w:rPr>
          <w:rFonts w:ascii="Times New Roman" w:hAnsi="Times New Roman" w:cs="Times New Roman"/>
          <w:sz w:val="24"/>
        </w:rPr>
        <w:t>ktorými sa zaobchádza podľa metódy pôvodnej expozície (OEM)</w:t>
      </w:r>
      <w:bookmarkEnd w:id="468"/>
      <w:bookmarkEnd w:id="469"/>
    </w:p>
    <w:p w14:paraId="1C6D3099" w14:textId="77777777" w:rsidR="00595FAD" w:rsidRPr="00E07C9A" w:rsidRDefault="00595FAD" w:rsidP="005C4397">
      <w:pPr>
        <w:pStyle w:val="Instructionsberschrift2"/>
        <w:numPr>
          <w:ilvl w:val="3"/>
          <w:numId w:val="39"/>
        </w:numPr>
        <w:rPr>
          <w:rFonts w:ascii="Times New Roman" w:hAnsi="Times New Roman" w:cs="Times New Roman"/>
          <w:sz w:val="24"/>
        </w:rPr>
      </w:pPr>
      <w:bookmarkStart w:id="470" w:name="_Toc19715813"/>
      <w:bookmarkStart w:id="471" w:name="_Toc115857843"/>
      <w:r w:rsidRPr="00E07C9A">
        <w:rPr>
          <w:rFonts w:ascii="Times New Roman" w:hAnsi="Times New Roman" w:cs="Times New Roman"/>
          <w:sz w:val="24"/>
        </w:rPr>
        <w:t>Pokyny týkajúce sa konkrétnych pozícií</w:t>
      </w:r>
      <w:bookmarkEnd w:id="470"/>
      <w:bookmarkEnd w:id="47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E07C9A" w14:paraId="01E87D68" w14:textId="77777777" w:rsidTr="00FF15C6">
        <w:trPr>
          <w:trHeight w:val="238"/>
        </w:trPr>
        <w:tc>
          <w:tcPr>
            <w:tcW w:w="9039" w:type="dxa"/>
            <w:gridSpan w:val="2"/>
            <w:shd w:val="clear" w:color="auto" w:fill="D9D9D9" w:themeFill="background1" w:themeFillShade="D9"/>
          </w:tcPr>
          <w:p w14:paraId="23EE2404" w14:textId="77777777" w:rsidR="00595FAD" w:rsidRPr="00E07C9A" w:rsidRDefault="00595FAD" w:rsidP="00FF15C6">
            <w:pPr>
              <w:autoSpaceDE w:val="0"/>
              <w:autoSpaceDN w:val="0"/>
              <w:adjustRightInd w:val="0"/>
              <w:rPr>
                <w:rFonts w:ascii="Times New Roman" w:hAnsi="Times New Roman"/>
                <w:b/>
                <w:sz w:val="24"/>
              </w:rPr>
            </w:pPr>
            <w:r w:rsidRPr="00E07C9A">
              <w:rPr>
                <w:rFonts w:ascii="Times New Roman" w:hAnsi="Times New Roman"/>
                <w:b/>
                <w:sz w:val="24"/>
              </w:rPr>
              <w:t>Stĺpce</w:t>
            </w:r>
          </w:p>
        </w:tc>
      </w:tr>
      <w:tr w:rsidR="00595FAD" w:rsidRPr="00E07C9A" w14:paraId="5CE2344D" w14:textId="77777777" w:rsidTr="00FF15C6">
        <w:trPr>
          <w:trHeight w:val="680"/>
        </w:trPr>
        <w:tc>
          <w:tcPr>
            <w:tcW w:w="1384" w:type="dxa"/>
          </w:tcPr>
          <w:p w14:paraId="4F1FAAFD" w14:textId="77777777" w:rsidR="00595FAD" w:rsidRPr="00E07C9A" w:rsidRDefault="00595FAD" w:rsidP="00FF15C6">
            <w:pPr>
              <w:pStyle w:val="Applicationdirecte"/>
              <w:spacing w:before="0" w:after="0"/>
            </w:pPr>
            <w:r w:rsidRPr="00E07C9A">
              <w:t>0010 – 0020</w:t>
            </w:r>
          </w:p>
        </w:tc>
        <w:tc>
          <w:tcPr>
            <w:tcW w:w="7655" w:type="dxa"/>
            <w:vAlign w:val="center"/>
          </w:tcPr>
          <w:p w14:paraId="0CEF8C33" w14:textId="4E0FA410" w:rsidR="00595FAD" w:rsidRPr="00E07C9A" w:rsidRDefault="00595FAD" w:rsidP="00FF15C6">
            <w:pPr>
              <w:keepNext/>
              <w:spacing w:before="60"/>
              <w:rPr>
                <w:rFonts w:ascii="Times New Roman" w:hAnsi="Times New Roman"/>
                <w:sz w:val="24"/>
              </w:rPr>
            </w:pPr>
            <w:r w:rsidRPr="00E07C9A">
              <w:rPr>
                <w:rFonts w:ascii="Times New Roman" w:hAnsi="Times New Roman"/>
                <w:sz w:val="24"/>
              </w:rPr>
              <w:t>Pokyny</w:t>
            </w:r>
            <w:r w:rsidR="009912F8" w:rsidRPr="00E07C9A">
              <w:rPr>
                <w:rFonts w:ascii="Times New Roman" w:hAnsi="Times New Roman"/>
                <w:sz w:val="24"/>
              </w:rPr>
              <w:t xml:space="preserve"> k </w:t>
            </w:r>
            <w:r w:rsidRPr="00E07C9A">
              <w:rPr>
                <w:rFonts w:ascii="Times New Roman" w:hAnsi="Times New Roman"/>
                <w:sz w:val="24"/>
              </w:rPr>
              <w:t>stĺpcom 0010</w:t>
            </w:r>
            <w:r w:rsidR="009912F8" w:rsidRPr="00E07C9A">
              <w:rPr>
                <w:rFonts w:ascii="Times New Roman" w:hAnsi="Times New Roman"/>
                <w:sz w:val="24"/>
              </w:rPr>
              <w:t xml:space="preserve"> a </w:t>
            </w:r>
            <w:r w:rsidRPr="00E07C9A">
              <w:rPr>
                <w:rFonts w:ascii="Times New Roman" w:hAnsi="Times New Roman"/>
                <w:sz w:val="24"/>
              </w:rPr>
              <w:t>0020 zodpovedajú pokynom poskytnutým pre vzor C 34.02.</w:t>
            </w:r>
          </w:p>
        </w:tc>
      </w:tr>
      <w:tr w:rsidR="00595FAD" w:rsidRPr="00E07C9A" w14:paraId="2B1367DD" w14:textId="77777777" w:rsidTr="00FF15C6">
        <w:trPr>
          <w:trHeight w:val="680"/>
        </w:trPr>
        <w:tc>
          <w:tcPr>
            <w:tcW w:w="1384" w:type="dxa"/>
          </w:tcPr>
          <w:p w14:paraId="6CFD5B84" w14:textId="77777777" w:rsidR="00595FAD" w:rsidRPr="00E07C9A" w:rsidRDefault="00595FAD" w:rsidP="00FF15C6">
            <w:pPr>
              <w:pStyle w:val="Applicationdirecte"/>
              <w:spacing w:before="0" w:after="0"/>
              <w:jc w:val="left"/>
            </w:pPr>
            <w:r w:rsidRPr="00E07C9A">
              <w:t>0030</w:t>
            </w:r>
          </w:p>
        </w:tc>
        <w:tc>
          <w:tcPr>
            <w:tcW w:w="7655" w:type="dxa"/>
            <w:vAlign w:val="center"/>
          </w:tcPr>
          <w:p w14:paraId="4EACC639" w14:textId="32149075" w:rsidR="00595FAD" w:rsidRPr="00E07C9A" w:rsidRDefault="00595FAD" w:rsidP="00FF15C6">
            <w:pPr>
              <w:keepNext/>
              <w:spacing w:before="60"/>
              <w:rPr>
                <w:rStyle w:val="InstructionsTabelleberschrift"/>
                <w:rFonts w:ascii="Times New Roman" w:hAnsi="Times New Roman"/>
                <w:sz w:val="24"/>
              </w:rPr>
            </w:pPr>
            <w:r w:rsidRPr="00E07C9A">
              <w:rPr>
                <w:rStyle w:val="InstructionsTabelleberschrift"/>
                <w:rFonts w:ascii="Times New Roman" w:hAnsi="Times New Roman"/>
                <w:sz w:val="24"/>
              </w:rPr>
              <w:t>SÚČASNÁ TRHOVÁ HODNOTA (CMV), KLADNÁ</w:t>
            </w:r>
          </w:p>
          <w:p w14:paraId="553D4881" w14:textId="31D14DDE" w:rsidR="00595FAD" w:rsidRPr="00E07C9A" w:rsidRDefault="00595FAD" w:rsidP="00FF15C6">
            <w:pPr>
              <w:keepNext/>
              <w:spacing w:before="60"/>
              <w:rPr>
                <w:rFonts w:ascii="Times New Roman" w:hAnsi="Times New Roman"/>
                <w:sz w:val="24"/>
              </w:rPr>
            </w:pPr>
            <w:r w:rsidRPr="00E07C9A">
              <w:rPr>
                <w:rFonts w:ascii="Times New Roman" w:hAnsi="Times New Roman"/>
                <w:sz w:val="24"/>
              </w:rPr>
              <w:t>Súčet súčasných trhových hodnôt (CMV) všetkých transakcií</w:t>
            </w:r>
            <w:r w:rsidR="009912F8" w:rsidRPr="00E07C9A">
              <w:rPr>
                <w:rFonts w:ascii="Times New Roman" w:hAnsi="Times New Roman"/>
                <w:sz w:val="24"/>
              </w:rPr>
              <w:t xml:space="preserve"> s </w:t>
            </w:r>
            <w:r w:rsidRPr="00E07C9A">
              <w:rPr>
                <w:rFonts w:ascii="Times New Roman" w:hAnsi="Times New Roman"/>
                <w:sz w:val="24"/>
              </w:rPr>
              <w:t>kladnou CMV</w:t>
            </w:r>
            <w:r w:rsidR="009912F8" w:rsidRPr="00E07C9A">
              <w:rPr>
                <w:rFonts w:ascii="Times New Roman" w:hAnsi="Times New Roman"/>
                <w:sz w:val="24"/>
              </w:rPr>
              <w:t xml:space="preserve"> v </w:t>
            </w:r>
            <w:r w:rsidRPr="00E07C9A">
              <w:rPr>
                <w:rFonts w:ascii="Times New Roman" w:hAnsi="Times New Roman"/>
                <w:sz w:val="24"/>
              </w:rPr>
              <w:t>príslušnej kategórii rizika.</w:t>
            </w:r>
          </w:p>
        </w:tc>
      </w:tr>
      <w:tr w:rsidR="00595FAD" w:rsidRPr="00E07C9A" w14:paraId="11612B27" w14:textId="77777777" w:rsidTr="00FF15C6">
        <w:trPr>
          <w:trHeight w:val="680"/>
        </w:trPr>
        <w:tc>
          <w:tcPr>
            <w:tcW w:w="1384" w:type="dxa"/>
          </w:tcPr>
          <w:p w14:paraId="22844B73" w14:textId="77777777" w:rsidR="00595FAD" w:rsidRPr="00E07C9A" w:rsidRDefault="00595FAD" w:rsidP="00FF15C6">
            <w:pPr>
              <w:pStyle w:val="Applicationdirecte"/>
              <w:spacing w:before="0" w:after="0"/>
              <w:jc w:val="left"/>
            </w:pPr>
            <w:r w:rsidRPr="00E07C9A">
              <w:t>0040</w:t>
            </w:r>
          </w:p>
        </w:tc>
        <w:tc>
          <w:tcPr>
            <w:tcW w:w="7655" w:type="dxa"/>
            <w:vAlign w:val="center"/>
          </w:tcPr>
          <w:p w14:paraId="484F3D2A" w14:textId="77777777" w:rsidR="00595FAD" w:rsidRPr="00E07C9A" w:rsidRDefault="00595FAD" w:rsidP="00FF15C6">
            <w:pPr>
              <w:keepNext/>
              <w:spacing w:before="60"/>
              <w:rPr>
                <w:rStyle w:val="InstructionsTabelleberschrift"/>
                <w:rFonts w:ascii="Times New Roman" w:hAnsi="Times New Roman"/>
                <w:sz w:val="24"/>
              </w:rPr>
            </w:pPr>
            <w:r w:rsidRPr="00E07C9A">
              <w:rPr>
                <w:rStyle w:val="InstructionsTabelleberschrift"/>
                <w:rFonts w:ascii="Times New Roman" w:hAnsi="Times New Roman"/>
                <w:sz w:val="24"/>
              </w:rPr>
              <w:t>SÚČASNÁ TRHOVÁ HODNOTA (CMV), ZÁPORNÁ</w:t>
            </w:r>
          </w:p>
          <w:p w14:paraId="22EA4B8D" w14:textId="669D4972" w:rsidR="00595FAD" w:rsidRPr="00E07C9A" w:rsidRDefault="00595FAD" w:rsidP="00FF15C6">
            <w:pPr>
              <w:keepNext/>
              <w:spacing w:before="60"/>
              <w:rPr>
                <w:rStyle w:val="InstructionsTabelleberschrift"/>
                <w:rFonts w:ascii="Times New Roman" w:hAnsi="Times New Roman"/>
                <w:b w:val="0"/>
                <w:bCs w:val="0"/>
                <w:sz w:val="24"/>
                <w:u w:val="none"/>
              </w:rPr>
            </w:pPr>
            <w:r w:rsidRPr="00E07C9A">
              <w:rPr>
                <w:rFonts w:ascii="Times New Roman" w:hAnsi="Times New Roman"/>
                <w:sz w:val="24"/>
              </w:rPr>
              <w:t>Súčet absolútnych súčasných trhových hodnôt (CMV) všetkých transakcií so zápornou CMV</w:t>
            </w:r>
            <w:r w:rsidR="009912F8" w:rsidRPr="00E07C9A">
              <w:rPr>
                <w:rFonts w:ascii="Times New Roman" w:hAnsi="Times New Roman"/>
                <w:sz w:val="24"/>
              </w:rPr>
              <w:t xml:space="preserve"> v </w:t>
            </w:r>
            <w:r w:rsidRPr="00E07C9A">
              <w:rPr>
                <w:rFonts w:ascii="Times New Roman" w:hAnsi="Times New Roman"/>
                <w:sz w:val="24"/>
              </w:rPr>
              <w:t>príslušnej kategórii rizika.</w:t>
            </w:r>
          </w:p>
        </w:tc>
      </w:tr>
      <w:tr w:rsidR="00595FAD" w:rsidRPr="00E07C9A" w14:paraId="1209BB55" w14:textId="77777777" w:rsidTr="00FF15C6">
        <w:trPr>
          <w:trHeight w:val="680"/>
        </w:trPr>
        <w:tc>
          <w:tcPr>
            <w:tcW w:w="1384" w:type="dxa"/>
          </w:tcPr>
          <w:p w14:paraId="57C14338" w14:textId="77777777" w:rsidR="00595FAD" w:rsidRPr="00E07C9A" w:rsidRDefault="00595FAD" w:rsidP="00FF15C6">
            <w:pPr>
              <w:pStyle w:val="Applicationdirecte"/>
              <w:spacing w:before="0" w:after="0"/>
              <w:jc w:val="left"/>
            </w:pPr>
            <w:r w:rsidRPr="00E07C9A">
              <w:t>0050</w:t>
            </w:r>
          </w:p>
        </w:tc>
        <w:tc>
          <w:tcPr>
            <w:tcW w:w="7655" w:type="dxa"/>
            <w:vAlign w:val="center"/>
          </w:tcPr>
          <w:p w14:paraId="2C3CA332" w14:textId="77777777" w:rsidR="00595FAD" w:rsidRPr="00E07C9A" w:rsidRDefault="00595FAD" w:rsidP="00FF15C6">
            <w:pPr>
              <w:keepNext/>
              <w:spacing w:before="60"/>
              <w:rPr>
                <w:rStyle w:val="InstructionsTabelleberschrift"/>
                <w:rFonts w:ascii="Times New Roman" w:hAnsi="Times New Roman"/>
                <w:sz w:val="24"/>
              </w:rPr>
            </w:pPr>
            <w:r w:rsidRPr="00E07C9A">
              <w:rPr>
                <w:rStyle w:val="InstructionsTabelleberschrift"/>
                <w:rFonts w:ascii="Times New Roman" w:hAnsi="Times New Roman"/>
                <w:sz w:val="24"/>
              </w:rPr>
              <w:t>POTENCIÁLNA BUDÚCA EXPOZÍCIA (PFE)</w:t>
            </w:r>
          </w:p>
          <w:p w14:paraId="2D4D8590" w14:textId="77777777" w:rsidR="00595FAD" w:rsidRPr="00E07C9A" w:rsidRDefault="00595FAD" w:rsidP="00FF15C6">
            <w:pPr>
              <w:keepNext/>
              <w:spacing w:before="60"/>
              <w:rPr>
                <w:rStyle w:val="InstructionsTabelleberschrift"/>
                <w:rFonts w:ascii="Times New Roman" w:hAnsi="Times New Roman"/>
                <w:sz w:val="24"/>
              </w:rPr>
            </w:pPr>
            <w:r w:rsidRPr="00E07C9A">
              <w:rPr>
                <w:rFonts w:ascii="Times New Roman" w:hAnsi="Times New Roman"/>
                <w:sz w:val="24"/>
              </w:rPr>
              <w:t>Inštitúcia vykazuje súčet PFE za všetky transakcie patriace do rovnakej kategórie rizika.</w:t>
            </w:r>
          </w:p>
        </w:tc>
      </w:tr>
      <w:tr w:rsidR="00595FAD" w:rsidRPr="00E07C9A" w14:paraId="1AAD5513" w14:textId="77777777" w:rsidTr="00FF15C6">
        <w:trPr>
          <w:trHeight w:val="238"/>
        </w:trPr>
        <w:tc>
          <w:tcPr>
            <w:tcW w:w="9039" w:type="dxa"/>
            <w:gridSpan w:val="2"/>
            <w:tcBorders>
              <w:right w:val="single" w:sz="4" w:space="0" w:color="auto"/>
            </w:tcBorders>
            <w:shd w:val="clear" w:color="auto" w:fill="D9D9D9" w:themeFill="background1" w:themeFillShade="D9"/>
          </w:tcPr>
          <w:p w14:paraId="1A647370" w14:textId="77777777" w:rsidR="00595FAD" w:rsidRPr="00E07C9A" w:rsidRDefault="00595FAD" w:rsidP="00751FBE">
            <w:pPr>
              <w:autoSpaceDE w:val="0"/>
              <w:autoSpaceDN w:val="0"/>
              <w:adjustRightInd w:val="0"/>
              <w:rPr>
                <w:rFonts w:ascii="Times New Roman" w:hAnsi="Times New Roman"/>
                <w:b/>
                <w:sz w:val="24"/>
              </w:rPr>
            </w:pPr>
            <w:r w:rsidRPr="00E07C9A">
              <w:rPr>
                <w:rFonts w:ascii="Times New Roman" w:hAnsi="Times New Roman"/>
                <w:b/>
                <w:sz w:val="24"/>
              </w:rPr>
              <w:t>Riadky</w:t>
            </w:r>
          </w:p>
        </w:tc>
      </w:tr>
      <w:tr w:rsidR="00595FAD" w:rsidRPr="00E07C9A" w14:paraId="38371B2D" w14:textId="77777777" w:rsidTr="00FF15C6">
        <w:trPr>
          <w:trHeight w:val="680"/>
        </w:trPr>
        <w:tc>
          <w:tcPr>
            <w:tcW w:w="1384" w:type="dxa"/>
          </w:tcPr>
          <w:p w14:paraId="06A57506" w14:textId="77777777" w:rsidR="00595FAD" w:rsidRPr="00E07C9A" w:rsidRDefault="00595FAD" w:rsidP="00FF15C6">
            <w:pPr>
              <w:pStyle w:val="Applicationdirecte"/>
              <w:spacing w:before="0" w:after="0"/>
            </w:pPr>
            <w:r w:rsidRPr="00E07C9A">
              <w:t>0020 – 0070</w:t>
            </w:r>
          </w:p>
        </w:tc>
        <w:tc>
          <w:tcPr>
            <w:tcW w:w="7655" w:type="dxa"/>
            <w:vAlign w:val="center"/>
          </w:tcPr>
          <w:p w14:paraId="148726B9" w14:textId="77777777" w:rsidR="00595FAD" w:rsidRPr="00E07C9A" w:rsidRDefault="00595FAD" w:rsidP="00FF15C6">
            <w:pPr>
              <w:keepNext/>
              <w:spacing w:before="60"/>
              <w:rPr>
                <w:rStyle w:val="InstructionsTabelleberschrift"/>
                <w:rFonts w:ascii="Times New Roman" w:hAnsi="Times New Roman"/>
                <w:sz w:val="24"/>
              </w:rPr>
            </w:pPr>
            <w:r w:rsidRPr="00E07C9A">
              <w:rPr>
                <w:rStyle w:val="InstructionsTabelleberschrift"/>
                <w:rFonts w:ascii="Times New Roman" w:hAnsi="Times New Roman"/>
                <w:sz w:val="24"/>
              </w:rPr>
              <w:t>KATEGÓRIE RIZIKA</w:t>
            </w:r>
          </w:p>
          <w:p w14:paraId="1FE53BE2" w14:textId="4E2DEF66" w:rsidR="00595FAD" w:rsidRPr="00E07C9A" w:rsidRDefault="00595FAD" w:rsidP="00070518">
            <w:pPr>
              <w:keepNext/>
              <w:spacing w:before="60"/>
              <w:rPr>
                <w:rFonts w:ascii="Times New Roman" w:hAnsi="Times New Roman"/>
                <w:sz w:val="24"/>
              </w:rPr>
            </w:pPr>
            <w:r w:rsidRPr="00E07C9A">
              <w:rPr>
                <w:rFonts w:ascii="Times New Roman" w:hAnsi="Times New Roman"/>
                <w:sz w:val="24"/>
              </w:rPr>
              <w:t>Derivátové transakcie zaradené do kategórií rizika, ako sa uvádza</w:t>
            </w:r>
            <w:r w:rsidR="009912F8" w:rsidRPr="00E07C9A">
              <w:rPr>
                <w:rFonts w:ascii="Times New Roman" w:hAnsi="Times New Roman"/>
                <w:sz w:val="24"/>
              </w:rPr>
              <w:t xml:space="preserve"> v </w:t>
            </w:r>
            <w:r w:rsidRPr="00E07C9A">
              <w:rPr>
                <w:rFonts w:ascii="Times New Roman" w:hAnsi="Times New Roman"/>
                <w:sz w:val="24"/>
              </w:rPr>
              <w:t xml:space="preserve">článku 282 ods. 4 písm. b) nariadenia (EÚ) </w:t>
            </w:r>
            <w:r w:rsidR="009912F8" w:rsidRPr="00E07C9A">
              <w:rPr>
                <w:rFonts w:ascii="Times New Roman" w:hAnsi="Times New Roman"/>
                <w:sz w:val="24"/>
              </w:rPr>
              <w:t>č. 575/2013</w:t>
            </w:r>
            <w:r w:rsidRPr="00E07C9A">
              <w:rPr>
                <w:rFonts w:ascii="Times New Roman" w:hAnsi="Times New Roman"/>
                <w:sz w:val="24"/>
              </w:rPr>
              <w:t>.</w:t>
            </w:r>
          </w:p>
        </w:tc>
      </w:tr>
    </w:tbl>
    <w:p w14:paraId="351A7187" w14:textId="77777777" w:rsidR="00595FAD" w:rsidRPr="00E07C9A" w:rsidRDefault="00595FAD" w:rsidP="00595FAD">
      <w:pPr>
        <w:tabs>
          <w:tab w:val="left" w:pos="1430"/>
        </w:tabs>
        <w:rPr>
          <w:rFonts w:ascii="Times New Roman" w:hAnsi="Times New Roman"/>
        </w:rPr>
      </w:pPr>
    </w:p>
    <w:p w14:paraId="52821C43" w14:textId="622A21CE" w:rsidR="00595FAD" w:rsidRPr="00E07C9A" w:rsidRDefault="00595FAD" w:rsidP="005C4397">
      <w:pPr>
        <w:pStyle w:val="Instructionsberschrift2"/>
        <w:numPr>
          <w:ilvl w:val="2"/>
          <w:numId w:val="39"/>
        </w:numPr>
        <w:rPr>
          <w:rFonts w:ascii="Times New Roman" w:hAnsi="Times New Roman" w:cs="Times New Roman"/>
          <w:sz w:val="24"/>
        </w:rPr>
      </w:pPr>
      <w:bookmarkStart w:id="472" w:name="_Toc19715814"/>
      <w:bookmarkStart w:id="473" w:name="_Toc115857844"/>
      <w:r w:rsidRPr="00E07C9A">
        <w:rPr>
          <w:rFonts w:ascii="Times New Roman" w:hAnsi="Times New Roman" w:cs="Times New Roman"/>
          <w:sz w:val="24"/>
        </w:rPr>
        <w:t>C 34.05 –⁠ Expozície voči CCR,</w:t>
      </w:r>
      <w:r w:rsidR="009912F8" w:rsidRPr="00E07C9A">
        <w:rPr>
          <w:rFonts w:ascii="Times New Roman" w:hAnsi="Times New Roman" w:cs="Times New Roman"/>
          <w:sz w:val="24"/>
        </w:rPr>
        <w:t xml:space="preserve"> s </w:t>
      </w:r>
      <w:r w:rsidRPr="00E07C9A">
        <w:rPr>
          <w:rFonts w:ascii="Times New Roman" w:hAnsi="Times New Roman" w:cs="Times New Roman"/>
          <w:sz w:val="24"/>
        </w:rPr>
        <w:t>ktorými sa zaobchádza podľa metódy interných modelov (IMM)</w:t>
      </w:r>
      <w:bookmarkEnd w:id="472"/>
      <w:bookmarkEnd w:id="473"/>
    </w:p>
    <w:p w14:paraId="64831679" w14:textId="77777777" w:rsidR="00595FAD" w:rsidRPr="00E07C9A" w:rsidRDefault="00595FAD" w:rsidP="005C4397">
      <w:pPr>
        <w:pStyle w:val="Instructionsberschrift2"/>
        <w:numPr>
          <w:ilvl w:val="3"/>
          <w:numId w:val="39"/>
        </w:numPr>
        <w:rPr>
          <w:rFonts w:ascii="Times New Roman" w:hAnsi="Times New Roman" w:cs="Times New Roman"/>
          <w:sz w:val="24"/>
        </w:rPr>
      </w:pPr>
      <w:bookmarkStart w:id="474" w:name="_Toc19715815"/>
      <w:bookmarkStart w:id="475" w:name="_Toc115857845"/>
      <w:r w:rsidRPr="00E07C9A">
        <w:rPr>
          <w:rFonts w:ascii="Times New Roman" w:hAnsi="Times New Roman" w:cs="Times New Roman"/>
          <w:sz w:val="24"/>
        </w:rPr>
        <w:t>Pokyny týkajúce sa konkrétnych pozícií</w:t>
      </w:r>
      <w:bookmarkEnd w:id="474"/>
      <w:bookmarkEnd w:id="475"/>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E07C9A" w14:paraId="2B1AF5CF" w14:textId="77777777" w:rsidTr="00FF15C6">
        <w:trPr>
          <w:trHeight w:val="238"/>
        </w:trPr>
        <w:tc>
          <w:tcPr>
            <w:tcW w:w="9039" w:type="dxa"/>
            <w:gridSpan w:val="2"/>
            <w:shd w:val="clear" w:color="auto" w:fill="D9D9D9" w:themeFill="background1" w:themeFillShade="D9"/>
          </w:tcPr>
          <w:p w14:paraId="1401FB86" w14:textId="77777777" w:rsidR="00595FAD" w:rsidRPr="00E07C9A" w:rsidRDefault="00595FAD" w:rsidP="002858D1">
            <w:pPr>
              <w:keepNext/>
              <w:keepLines/>
              <w:autoSpaceDE w:val="0"/>
              <w:autoSpaceDN w:val="0"/>
              <w:adjustRightInd w:val="0"/>
              <w:rPr>
                <w:rFonts w:ascii="Times New Roman" w:hAnsi="Times New Roman"/>
                <w:b/>
                <w:sz w:val="24"/>
              </w:rPr>
            </w:pPr>
            <w:r w:rsidRPr="00E07C9A">
              <w:rPr>
                <w:rFonts w:ascii="Times New Roman" w:hAnsi="Times New Roman"/>
                <w:b/>
                <w:sz w:val="24"/>
              </w:rPr>
              <w:t>Stĺpce</w:t>
            </w:r>
          </w:p>
        </w:tc>
      </w:tr>
      <w:tr w:rsidR="00595FAD" w:rsidRPr="00E07C9A" w14:paraId="6C7A09B6" w14:textId="77777777" w:rsidTr="00FF15C6">
        <w:trPr>
          <w:trHeight w:val="680"/>
        </w:trPr>
        <w:tc>
          <w:tcPr>
            <w:tcW w:w="1384" w:type="dxa"/>
          </w:tcPr>
          <w:p w14:paraId="4454CD88" w14:textId="77777777" w:rsidR="00595FAD" w:rsidRPr="00E07C9A" w:rsidRDefault="00595FAD" w:rsidP="00FF15C6">
            <w:pPr>
              <w:pStyle w:val="Applicationdirecte"/>
              <w:spacing w:before="0" w:after="0"/>
            </w:pPr>
            <w:r w:rsidRPr="00E07C9A">
              <w:t>00010 – 0080</w:t>
            </w:r>
          </w:p>
        </w:tc>
        <w:tc>
          <w:tcPr>
            <w:tcW w:w="7655" w:type="dxa"/>
            <w:vAlign w:val="center"/>
          </w:tcPr>
          <w:p w14:paraId="6A5FE46C" w14:textId="77777777" w:rsidR="009912F8" w:rsidRPr="00E07C9A" w:rsidRDefault="00595FAD" w:rsidP="00FF15C6">
            <w:pPr>
              <w:keepNext/>
              <w:spacing w:before="60"/>
              <w:rPr>
                <w:rStyle w:val="InstructionsTabelleberschrift"/>
                <w:rFonts w:ascii="Times New Roman" w:hAnsi="Times New Roman"/>
                <w:sz w:val="24"/>
              </w:rPr>
            </w:pPr>
            <w:r w:rsidRPr="00E07C9A">
              <w:rPr>
                <w:rStyle w:val="InstructionsTabelleberschrift"/>
                <w:rFonts w:ascii="Times New Roman" w:hAnsi="Times New Roman"/>
                <w:sz w:val="24"/>
              </w:rPr>
              <w:t>S DOHODOU</w:t>
            </w:r>
            <w:r w:rsidR="009912F8" w:rsidRPr="00E07C9A">
              <w:rPr>
                <w:rStyle w:val="InstructionsTabelleberschrift"/>
                <w:rFonts w:ascii="Times New Roman" w:hAnsi="Times New Roman"/>
                <w:sz w:val="24"/>
              </w:rPr>
              <w:t xml:space="preserve"> O </w:t>
            </w:r>
            <w:r w:rsidRPr="00E07C9A">
              <w:rPr>
                <w:rStyle w:val="InstructionsTabelleberschrift"/>
                <w:rFonts w:ascii="Times New Roman" w:hAnsi="Times New Roman"/>
                <w:sz w:val="24"/>
              </w:rPr>
              <w:t>DOZABEZPEČENÍ</w:t>
            </w:r>
          </w:p>
          <w:p w14:paraId="1965ABBC" w14:textId="0BFC5545" w:rsidR="00595FAD" w:rsidRPr="00E07C9A" w:rsidRDefault="00595FAD" w:rsidP="00FF15C6">
            <w:pPr>
              <w:keepNext/>
              <w:spacing w:before="60"/>
              <w:rPr>
                <w:rFonts w:ascii="Times New Roman" w:hAnsi="Times New Roman"/>
                <w:strike/>
                <w:sz w:val="24"/>
              </w:rPr>
            </w:pPr>
            <w:r w:rsidRPr="00E07C9A">
              <w:rPr>
                <w:rFonts w:ascii="Times New Roman" w:hAnsi="Times New Roman"/>
                <w:sz w:val="24"/>
              </w:rPr>
              <w:t>Pozri pokyny</w:t>
            </w:r>
            <w:r w:rsidR="009912F8" w:rsidRPr="00E07C9A">
              <w:rPr>
                <w:rFonts w:ascii="Times New Roman" w:hAnsi="Times New Roman"/>
                <w:sz w:val="24"/>
              </w:rPr>
              <w:t xml:space="preserve"> k </w:t>
            </w:r>
            <w:r w:rsidRPr="00E07C9A">
              <w:rPr>
                <w:rFonts w:ascii="Times New Roman" w:hAnsi="Times New Roman"/>
                <w:sz w:val="24"/>
              </w:rPr>
              <w:t>riadku 0130 vo vzore C 34.02.</w:t>
            </w:r>
          </w:p>
        </w:tc>
      </w:tr>
      <w:tr w:rsidR="00595FAD" w:rsidRPr="00E07C9A" w14:paraId="58E9CC38" w14:textId="77777777" w:rsidTr="00FF15C6">
        <w:trPr>
          <w:trHeight w:val="680"/>
        </w:trPr>
        <w:tc>
          <w:tcPr>
            <w:tcW w:w="1384" w:type="dxa"/>
          </w:tcPr>
          <w:p w14:paraId="20D370B9" w14:textId="77777777" w:rsidR="00595FAD" w:rsidRPr="00E07C9A" w:rsidRDefault="00595FAD" w:rsidP="00FF15C6">
            <w:pPr>
              <w:pStyle w:val="Applicationdirecte"/>
              <w:spacing w:before="0" w:after="0"/>
            </w:pPr>
            <w:r w:rsidRPr="00E07C9A">
              <w:t>0090 – 0160</w:t>
            </w:r>
          </w:p>
        </w:tc>
        <w:tc>
          <w:tcPr>
            <w:tcW w:w="7655" w:type="dxa"/>
            <w:vAlign w:val="center"/>
          </w:tcPr>
          <w:p w14:paraId="339DD066" w14:textId="77777777" w:rsidR="009912F8" w:rsidRPr="00E07C9A" w:rsidRDefault="00595FAD" w:rsidP="00FF15C6">
            <w:pPr>
              <w:keepNext/>
              <w:spacing w:before="60"/>
              <w:rPr>
                <w:rStyle w:val="InstructionsTabelleberschrift"/>
                <w:rFonts w:ascii="Times New Roman" w:hAnsi="Times New Roman"/>
                <w:sz w:val="24"/>
              </w:rPr>
            </w:pPr>
            <w:r w:rsidRPr="00E07C9A">
              <w:rPr>
                <w:rStyle w:val="InstructionsTabelleberschrift"/>
                <w:rFonts w:ascii="Times New Roman" w:hAnsi="Times New Roman"/>
                <w:sz w:val="24"/>
              </w:rPr>
              <w:t>BEZ DOHODY</w:t>
            </w:r>
            <w:r w:rsidR="009912F8" w:rsidRPr="00E07C9A">
              <w:rPr>
                <w:rStyle w:val="InstructionsTabelleberschrift"/>
                <w:rFonts w:ascii="Times New Roman" w:hAnsi="Times New Roman"/>
                <w:sz w:val="24"/>
              </w:rPr>
              <w:t xml:space="preserve"> O </w:t>
            </w:r>
            <w:r w:rsidRPr="00E07C9A">
              <w:rPr>
                <w:rStyle w:val="InstructionsTabelleberschrift"/>
                <w:rFonts w:ascii="Times New Roman" w:hAnsi="Times New Roman"/>
                <w:sz w:val="24"/>
              </w:rPr>
              <w:t>DOZABEZPEČENÍ</w:t>
            </w:r>
          </w:p>
          <w:p w14:paraId="6A51A312" w14:textId="7BCAF173" w:rsidR="00595FAD" w:rsidRPr="00E07C9A" w:rsidRDefault="00595FAD" w:rsidP="00FF15C6">
            <w:pPr>
              <w:keepNext/>
              <w:spacing w:before="60"/>
              <w:rPr>
                <w:rFonts w:ascii="Times New Roman" w:hAnsi="Times New Roman"/>
                <w:strike/>
                <w:sz w:val="24"/>
              </w:rPr>
            </w:pPr>
            <w:r w:rsidRPr="00E07C9A">
              <w:rPr>
                <w:rFonts w:ascii="Times New Roman" w:hAnsi="Times New Roman"/>
                <w:sz w:val="24"/>
              </w:rPr>
              <w:t>Pozri pokyny</w:t>
            </w:r>
            <w:r w:rsidR="009912F8" w:rsidRPr="00E07C9A">
              <w:rPr>
                <w:rFonts w:ascii="Times New Roman" w:hAnsi="Times New Roman"/>
                <w:sz w:val="24"/>
              </w:rPr>
              <w:t xml:space="preserve"> k </w:t>
            </w:r>
            <w:r w:rsidRPr="00E07C9A">
              <w:rPr>
                <w:rFonts w:ascii="Times New Roman" w:hAnsi="Times New Roman"/>
                <w:sz w:val="24"/>
              </w:rPr>
              <w:t>riadku 0140 vo vzore C 34.02.</w:t>
            </w:r>
          </w:p>
        </w:tc>
      </w:tr>
      <w:tr w:rsidR="00595FAD" w:rsidRPr="00E07C9A" w14:paraId="078C1D6F" w14:textId="77777777" w:rsidTr="00FF15C6">
        <w:trPr>
          <w:trHeight w:val="680"/>
        </w:trPr>
        <w:tc>
          <w:tcPr>
            <w:tcW w:w="1384" w:type="dxa"/>
          </w:tcPr>
          <w:p w14:paraId="1C4C62A7" w14:textId="77777777" w:rsidR="00595FAD" w:rsidRPr="00E07C9A" w:rsidRDefault="00595FAD" w:rsidP="00FF15C6">
            <w:pPr>
              <w:pStyle w:val="Applicationdirecte"/>
              <w:spacing w:before="0" w:after="0"/>
              <w:jc w:val="left"/>
            </w:pPr>
            <w:r w:rsidRPr="00E07C9A">
              <w:t>0010, 0090</w:t>
            </w:r>
          </w:p>
        </w:tc>
        <w:tc>
          <w:tcPr>
            <w:tcW w:w="7655" w:type="dxa"/>
            <w:vAlign w:val="center"/>
          </w:tcPr>
          <w:p w14:paraId="599E5BDD" w14:textId="77777777" w:rsidR="009912F8" w:rsidRPr="00E07C9A" w:rsidRDefault="00595FAD" w:rsidP="00FF15C6">
            <w:pPr>
              <w:keepNext/>
              <w:spacing w:before="60"/>
              <w:rPr>
                <w:rStyle w:val="InstructionsTabelleberschrift"/>
                <w:rFonts w:ascii="Times New Roman" w:hAnsi="Times New Roman"/>
                <w:sz w:val="24"/>
              </w:rPr>
            </w:pPr>
            <w:r w:rsidRPr="00E07C9A">
              <w:rPr>
                <w:rStyle w:val="InstructionsTabelleberschrift"/>
                <w:rFonts w:ascii="Times New Roman" w:hAnsi="Times New Roman"/>
                <w:sz w:val="24"/>
              </w:rPr>
              <w:t>POČET TRANSAKCIÍ</w:t>
            </w:r>
          </w:p>
          <w:p w14:paraId="4D81CC6C" w14:textId="4850AA34" w:rsidR="00595FAD" w:rsidRPr="00E07C9A" w:rsidRDefault="00595FAD" w:rsidP="00FF15C6">
            <w:pPr>
              <w:keepNext/>
              <w:spacing w:before="60"/>
              <w:rPr>
                <w:rFonts w:ascii="Times New Roman" w:hAnsi="Times New Roman"/>
                <w:strike/>
                <w:sz w:val="24"/>
              </w:rPr>
            </w:pPr>
            <w:r w:rsidRPr="00E07C9A">
              <w:rPr>
                <w:rFonts w:ascii="Times New Roman" w:hAnsi="Times New Roman"/>
                <w:sz w:val="24"/>
              </w:rPr>
              <w:t>Pozri pokyny</w:t>
            </w:r>
            <w:r w:rsidR="009912F8" w:rsidRPr="00E07C9A">
              <w:rPr>
                <w:rFonts w:ascii="Times New Roman" w:hAnsi="Times New Roman"/>
                <w:sz w:val="24"/>
              </w:rPr>
              <w:t xml:space="preserve"> k </w:t>
            </w:r>
            <w:r w:rsidRPr="00E07C9A">
              <w:rPr>
                <w:rFonts w:ascii="Times New Roman" w:hAnsi="Times New Roman"/>
                <w:sz w:val="24"/>
              </w:rPr>
              <w:t>stĺpcu 0020 vo vzore C 34.02.</w:t>
            </w:r>
          </w:p>
        </w:tc>
      </w:tr>
      <w:tr w:rsidR="00595FAD" w:rsidRPr="00E07C9A" w14:paraId="7C736892" w14:textId="77777777" w:rsidTr="00FF15C6">
        <w:trPr>
          <w:trHeight w:val="680"/>
        </w:trPr>
        <w:tc>
          <w:tcPr>
            <w:tcW w:w="1384" w:type="dxa"/>
          </w:tcPr>
          <w:p w14:paraId="2551E8C4" w14:textId="77777777" w:rsidR="00595FAD" w:rsidRPr="00E07C9A" w:rsidRDefault="00595FAD" w:rsidP="00D768D3">
            <w:pPr>
              <w:pStyle w:val="Applicationdirecte"/>
              <w:spacing w:before="0" w:after="0"/>
              <w:jc w:val="left"/>
            </w:pPr>
            <w:r w:rsidRPr="00E07C9A">
              <w:t>0020, 0100</w:t>
            </w:r>
          </w:p>
        </w:tc>
        <w:tc>
          <w:tcPr>
            <w:tcW w:w="7655" w:type="dxa"/>
            <w:vAlign w:val="center"/>
          </w:tcPr>
          <w:p w14:paraId="7BAE4A8C" w14:textId="77777777" w:rsidR="009912F8" w:rsidRPr="00E07C9A" w:rsidRDefault="00595FAD" w:rsidP="00FF15C6">
            <w:pPr>
              <w:keepNext/>
              <w:spacing w:before="60"/>
              <w:rPr>
                <w:rStyle w:val="InstructionsTabelleberschrift"/>
                <w:rFonts w:ascii="Times New Roman" w:hAnsi="Times New Roman"/>
                <w:sz w:val="24"/>
              </w:rPr>
            </w:pPr>
            <w:r w:rsidRPr="00E07C9A">
              <w:rPr>
                <w:rStyle w:val="InstructionsTabelleberschrift"/>
                <w:rFonts w:ascii="Times New Roman" w:hAnsi="Times New Roman"/>
                <w:sz w:val="24"/>
              </w:rPr>
              <w:t>POMYSELNÉ HODNOTY</w:t>
            </w:r>
          </w:p>
          <w:p w14:paraId="1B21D84B" w14:textId="2B37185C" w:rsidR="00595FAD" w:rsidRPr="00E07C9A" w:rsidRDefault="00595FAD" w:rsidP="00FF15C6">
            <w:pPr>
              <w:keepNext/>
              <w:spacing w:before="60"/>
              <w:rPr>
                <w:rFonts w:ascii="Times New Roman" w:hAnsi="Times New Roman"/>
                <w:i/>
                <w:strike/>
                <w:sz w:val="24"/>
              </w:rPr>
            </w:pPr>
            <w:r w:rsidRPr="00E07C9A">
              <w:rPr>
                <w:rFonts w:ascii="Times New Roman" w:hAnsi="Times New Roman"/>
                <w:sz w:val="24"/>
              </w:rPr>
              <w:t>Pozri pokyny</w:t>
            </w:r>
            <w:r w:rsidR="009912F8" w:rsidRPr="00E07C9A">
              <w:rPr>
                <w:rFonts w:ascii="Times New Roman" w:hAnsi="Times New Roman"/>
                <w:sz w:val="24"/>
              </w:rPr>
              <w:t xml:space="preserve"> k </w:t>
            </w:r>
            <w:r w:rsidRPr="00E07C9A">
              <w:rPr>
                <w:rFonts w:ascii="Times New Roman" w:hAnsi="Times New Roman"/>
                <w:sz w:val="24"/>
              </w:rPr>
              <w:t>stĺpcu 0030 vo vzore C 34.02.</w:t>
            </w:r>
          </w:p>
        </w:tc>
      </w:tr>
      <w:tr w:rsidR="00595FAD" w:rsidRPr="00E07C9A" w14:paraId="68106DDD" w14:textId="77777777" w:rsidTr="00FF15C6">
        <w:trPr>
          <w:trHeight w:val="680"/>
        </w:trPr>
        <w:tc>
          <w:tcPr>
            <w:tcW w:w="1384" w:type="dxa"/>
          </w:tcPr>
          <w:p w14:paraId="727F9323" w14:textId="77777777" w:rsidR="00595FAD" w:rsidRPr="00E07C9A" w:rsidRDefault="00595FAD" w:rsidP="00FF15C6">
            <w:pPr>
              <w:pStyle w:val="Applicationdirecte"/>
              <w:spacing w:before="0" w:after="0"/>
              <w:jc w:val="left"/>
            </w:pPr>
            <w:r w:rsidRPr="00E07C9A">
              <w:t>0030, 0110</w:t>
            </w:r>
          </w:p>
        </w:tc>
        <w:tc>
          <w:tcPr>
            <w:tcW w:w="7655" w:type="dxa"/>
            <w:vAlign w:val="center"/>
          </w:tcPr>
          <w:p w14:paraId="233C8759" w14:textId="2A4E3F36" w:rsidR="00595FAD" w:rsidRPr="00E07C9A" w:rsidRDefault="00595FAD" w:rsidP="00FF15C6">
            <w:pPr>
              <w:keepNext/>
              <w:spacing w:before="60"/>
              <w:rPr>
                <w:rStyle w:val="InstructionsTabelleberschrift"/>
                <w:rFonts w:ascii="Times New Roman" w:hAnsi="Times New Roman"/>
                <w:sz w:val="24"/>
              </w:rPr>
            </w:pPr>
            <w:r w:rsidRPr="00E07C9A">
              <w:rPr>
                <w:rStyle w:val="InstructionsTabelleberschrift"/>
                <w:rFonts w:ascii="Times New Roman" w:hAnsi="Times New Roman"/>
                <w:sz w:val="24"/>
              </w:rPr>
              <w:t>SÚČASNÁ TRHOVÁ HODNOTA (CMV), KLADNÁ</w:t>
            </w:r>
          </w:p>
          <w:p w14:paraId="64212EE2" w14:textId="53DB6C1D" w:rsidR="00595FAD" w:rsidRPr="00E07C9A" w:rsidRDefault="00595FAD" w:rsidP="00FF15C6">
            <w:pPr>
              <w:keepNext/>
              <w:spacing w:before="60"/>
              <w:rPr>
                <w:rFonts w:ascii="Times New Roman" w:hAnsi="Times New Roman"/>
                <w:sz w:val="24"/>
              </w:rPr>
            </w:pPr>
            <w:r w:rsidRPr="00E07C9A">
              <w:rPr>
                <w:rFonts w:ascii="Times New Roman" w:hAnsi="Times New Roman"/>
                <w:sz w:val="24"/>
              </w:rPr>
              <w:t>Súčet súčasných trhových hodnôt (CMV) všetkých transakcií</w:t>
            </w:r>
            <w:r w:rsidR="009912F8" w:rsidRPr="00E07C9A">
              <w:rPr>
                <w:rFonts w:ascii="Times New Roman" w:hAnsi="Times New Roman"/>
                <w:sz w:val="24"/>
              </w:rPr>
              <w:t xml:space="preserve"> s </w:t>
            </w:r>
            <w:r w:rsidRPr="00E07C9A">
              <w:rPr>
                <w:rFonts w:ascii="Times New Roman" w:hAnsi="Times New Roman"/>
                <w:sz w:val="24"/>
              </w:rPr>
              <w:t>kladnou CMV, ktoré patria do rovnakej triedy aktív.</w:t>
            </w:r>
          </w:p>
        </w:tc>
      </w:tr>
      <w:tr w:rsidR="00595FAD" w:rsidRPr="00E07C9A" w14:paraId="79F93028" w14:textId="77777777" w:rsidTr="00FF15C6">
        <w:trPr>
          <w:trHeight w:val="680"/>
        </w:trPr>
        <w:tc>
          <w:tcPr>
            <w:tcW w:w="1384" w:type="dxa"/>
          </w:tcPr>
          <w:p w14:paraId="5953A85A" w14:textId="77777777" w:rsidR="00595FAD" w:rsidRPr="00E07C9A" w:rsidRDefault="00595FAD" w:rsidP="00FF15C6">
            <w:pPr>
              <w:pStyle w:val="Applicationdirecte"/>
              <w:spacing w:before="0" w:after="0"/>
              <w:jc w:val="left"/>
            </w:pPr>
            <w:r w:rsidRPr="00E07C9A">
              <w:t>0040, 0120</w:t>
            </w:r>
          </w:p>
        </w:tc>
        <w:tc>
          <w:tcPr>
            <w:tcW w:w="7655" w:type="dxa"/>
            <w:vAlign w:val="center"/>
          </w:tcPr>
          <w:p w14:paraId="796E6234" w14:textId="77777777" w:rsidR="00595FAD" w:rsidRPr="00E07C9A" w:rsidRDefault="00595FAD" w:rsidP="00FF15C6">
            <w:pPr>
              <w:keepNext/>
              <w:spacing w:before="60"/>
              <w:rPr>
                <w:rStyle w:val="InstructionsTabelleberschrift"/>
                <w:rFonts w:ascii="Times New Roman" w:hAnsi="Times New Roman"/>
                <w:sz w:val="24"/>
              </w:rPr>
            </w:pPr>
            <w:r w:rsidRPr="00E07C9A">
              <w:rPr>
                <w:rStyle w:val="InstructionsTabelleberschrift"/>
                <w:rFonts w:ascii="Times New Roman" w:hAnsi="Times New Roman"/>
                <w:sz w:val="24"/>
              </w:rPr>
              <w:t>SÚČASNÁ TRHOVÁ HODNOTA (CMV), ZÁPORNÁ</w:t>
            </w:r>
          </w:p>
          <w:p w14:paraId="1ABA591B" w14:textId="77777777" w:rsidR="00595FAD" w:rsidRPr="00E07C9A" w:rsidRDefault="00595FAD" w:rsidP="00FF15C6">
            <w:pPr>
              <w:keepNext/>
              <w:spacing w:before="60"/>
              <w:rPr>
                <w:rStyle w:val="InstructionsTabelleberschrift"/>
                <w:rFonts w:ascii="Times New Roman" w:hAnsi="Times New Roman"/>
                <w:sz w:val="24"/>
              </w:rPr>
            </w:pPr>
            <w:r w:rsidRPr="00E07C9A">
              <w:rPr>
                <w:rFonts w:ascii="Times New Roman" w:hAnsi="Times New Roman"/>
                <w:sz w:val="24"/>
              </w:rPr>
              <w:t>Súčet absolútnych súčasných trhových hodnôt (CMV) všetkých transakcií so zápornou CMV, ktoré patria do rovnakej triedy aktív.</w:t>
            </w:r>
          </w:p>
        </w:tc>
      </w:tr>
      <w:tr w:rsidR="00595FAD" w:rsidRPr="00E07C9A" w14:paraId="6FBD0657" w14:textId="77777777" w:rsidTr="00FF15C6">
        <w:trPr>
          <w:trHeight w:val="680"/>
        </w:trPr>
        <w:tc>
          <w:tcPr>
            <w:tcW w:w="1384" w:type="dxa"/>
          </w:tcPr>
          <w:p w14:paraId="67B95614" w14:textId="77777777" w:rsidR="00595FAD" w:rsidRPr="00E07C9A" w:rsidRDefault="00595FAD" w:rsidP="00FF15C6">
            <w:pPr>
              <w:pStyle w:val="Applicationdirecte"/>
              <w:spacing w:before="0" w:after="0"/>
              <w:jc w:val="left"/>
            </w:pPr>
            <w:r w:rsidRPr="00E07C9A">
              <w:t>0050, 0130</w:t>
            </w:r>
          </w:p>
        </w:tc>
        <w:tc>
          <w:tcPr>
            <w:tcW w:w="7655" w:type="dxa"/>
            <w:vAlign w:val="center"/>
          </w:tcPr>
          <w:p w14:paraId="4C283EAB" w14:textId="77777777" w:rsidR="00595FAD" w:rsidRPr="00E07C9A" w:rsidRDefault="00595FAD" w:rsidP="00FF15C6">
            <w:pPr>
              <w:keepNext/>
              <w:spacing w:before="60"/>
              <w:rPr>
                <w:rStyle w:val="InstructionsTabelleberschrift"/>
                <w:rFonts w:ascii="Times New Roman" w:hAnsi="Times New Roman"/>
                <w:sz w:val="24"/>
              </w:rPr>
            </w:pPr>
            <w:r w:rsidRPr="00E07C9A">
              <w:rPr>
                <w:rStyle w:val="InstructionsTabelleberschrift"/>
                <w:rFonts w:ascii="Times New Roman" w:hAnsi="Times New Roman"/>
                <w:sz w:val="24"/>
              </w:rPr>
              <w:t>AKTUÁLNA EXPOZÍCIA</w:t>
            </w:r>
          </w:p>
          <w:p w14:paraId="3EF8F432" w14:textId="0C6DBB7D" w:rsidR="00595FAD" w:rsidRPr="00E07C9A" w:rsidRDefault="00595FAD" w:rsidP="00FF15C6">
            <w:pPr>
              <w:keepNext/>
              <w:spacing w:before="60"/>
              <w:rPr>
                <w:rFonts w:ascii="Times New Roman" w:hAnsi="Times New Roman"/>
                <w:strike/>
                <w:sz w:val="24"/>
              </w:rPr>
            </w:pPr>
            <w:r w:rsidRPr="00E07C9A">
              <w:rPr>
                <w:rFonts w:ascii="Times New Roman" w:hAnsi="Times New Roman"/>
                <w:sz w:val="24"/>
              </w:rPr>
              <w:t>Pozri pokyny</w:t>
            </w:r>
            <w:r w:rsidR="009912F8" w:rsidRPr="00E07C9A">
              <w:rPr>
                <w:rFonts w:ascii="Times New Roman" w:hAnsi="Times New Roman"/>
                <w:sz w:val="24"/>
              </w:rPr>
              <w:t xml:space="preserve"> k </w:t>
            </w:r>
            <w:r w:rsidRPr="00E07C9A">
              <w:rPr>
                <w:rFonts w:ascii="Times New Roman" w:hAnsi="Times New Roman"/>
                <w:sz w:val="24"/>
              </w:rPr>
              <w:t>stĺpcu 0120 vo vzore C 34.02.</w:t>
            </w:r>
          </w:p>
        </w:tc>
      </w:tr>
      <w:tr w:rsidR="00595FAD" w:rsidRPr="00E07C9A" w14:paraId="0E568B70" w14:textId="77777777" w:rsidTr="00FF15C6">
        <w:trPr>
          <w:trHeight w:val="680"/>
        </w:trPr>
        <w:tc>
          <w:tcPr>
            <w:tcW w:w="1384" w:type="dxa"/>
          </w:tcPr>
          <w:p w14:paraId="41A93230" w14:textId="77777777" w:rsidR="00595FAD" w:rsidRPr="00E07C9A" w:rsidRDefault="00595FAD" w:rsidP="00FF15C6">
            <w:pPr>
              <w:pStyle w:val="Applicationdirecte"/>
              <w:spacing w:before="0" w:after="0"/>
              <w:jc w:val="left"/>
            </w:pPr>
            <w:r w:rsidRPr="00E07C9A">
              <w:t>0060, 0140</w:t>
            </w:r>
          </w:p>
        </w:tc>
        <w:tc>
          <w:tcPr>
            <w:tcW w:w="7655" w:type="dxa"/>
            <w:vAlign w:val="center"/>
          </w:tcPr>
          <w:p w14:paraId="12F73B93" w14:textId="77777777" w:rsidR="00595FAD" w:rsidRPr="00E07C9A" w:rsidRDefault="00595FAD" w:rsidP="00FF15C6">
            <w:pPr>
              <w:keepNext/>
              <w:spacing w:before="60"/>
              <w:rPr>
                <w:rStyle w:val="InstructionsTabelleberschrift"/>
                <w:rFonts w:ascii="Times New Roman" w:hAnsi="Times New Roman"/>
                <w:sz w:val="24"/>
              </w:rPr>
            </w:pPr>
            <w:r w:rsidRPr="00E07C9A">
              <w:rPr>
                <w:rStyle w:val="InstructionsTabelleberschrift"/>
                <w:rFonts w:ascii="Times New Roman" w:hAnsi="Times New Roman"/>
                <w:sz w:val="24"/>
              </w:rPr>
              <w:t>EFEKTÍVNA OČAKÁVANÁ POZITÍVNA EXPOZÍCIA (EEPE)</w:t>
            </w:r>
          </w:p>
          <w:p w14:paraId="31B52B9A" w14:textId="6B1EB3E2" w:rsidR="00595FAD" w:rsidRPr="00E07C9A" w:rsidRDefault="00595FAD" w:rsidP="00FF15C6">
            <w:pPr>
              <w:pStyle w:val="Default"/>
              <w:spacing w:after="120"/>
              <w:jc w:val="both"/>
              <w:rPr>
                <w:rFonts w:ascii="Times New Roman" w:hAnsi="Times New Roman" w:cs="Times New Roman"/>
                <w:strike/>
                <w:color w:val="auto"/>
              </w:rPr>
            </w:pPr>
            <w:r w:rsidRPr="00E07C9A">
              <w:rPr>
                <w:rFonts w:ascii="Times New Roman" w:hAnsi="Times New Roman" w:cs="Times New Roman"/>
                <w:color w:val="auto"/>
              </w:rPr>
              <w:t>Pozri pokyny</w:t>
            </w:r>
            <w:r w:rsidR="009912F8" w:rsidRPr="00E07C9A">
              <w:rPr>
                <w:rFonts w:ascii="Times New Roman" w:hAnsi="Times New Roman" w:cs="Times New Roman"/>
                <w:color w:val="auto"/>
              </w:rPr>
              <w:t xml:space="preserve"> k </w:t>
            </w:r>
            <w:r w:rsidRPr="00E07C9A">
              <w:rPr>
                <w:rFonts w:ascii="Times New Roman" w:hAnsi="Times New Roman" w:cs="Times New Roman"/>
                <w:color w:val="auto"/>
              </w:rPr>
              <w:t>stĺpcu 0130 vo vzore C 34.02.</w:t>
            </w:r>
          </w:p>
        </w:tc>
      </w:tr>
      <w:tr w:rsidR="00595FAD" w:rsidRPr="00E07C9A" w14:paraId="554D32D8" w14:textId="77777777" w:rsidTr="00FF15C6">
        <w:trPr>
          <w:trHeight w:val="680"/>
        </w:trPr>
        <w:tc>
          <w:tcPr>
            <w:tcW w:w="1384" w:type="dxa"/>
          </w:tcPr>
          <w:p w14:paraId="29300F05" w14:textId="77777777" w:rsidR="00595FAD" w:rsidRPr="00E07C9A" w:rsidRDefault="00595FAD" w:rsidP="00FF15C6">
            <w:pPr>
              <w:pStyle w:val="Applicationdirecte"/>
              <w:spacing w:before="0" w:after="0"/>
              <w:jc w:val="left"/>
            </w:pPr>
            <w:r w:rsidRPr="00E07C9A">
              <w:t>0070, 0150</w:t>
            </w:r>
          </w:p>
        </w:tc>
        <w:tc>
          <w:tcPr>
            <w:tcW w:w="7655" w:type="dxa"/>
            <w:vAlign w:val="center"/>
          </w:tcPr>
          <w:p w14:paraId="33BD09A9" w14:textId="4BCECB8A" w:rsidR="00595FAD" w:rsidRPr="00E07C9A" w:rsidRDefault="00595FAD" w:rsidP="00FF15C6">
            <w:pPr>
              <w:keepNext/>
              <w:spacing w:before="60"/>
              <w:rPr>
                <w:rStyle w:val="InstructionsTabelleberschrift"/>
                <w:rFonts w:ascii="Times New Roman" w:hAnsi="Times New Roman"/>
                <w:sz w:val="24"/>
              </w:rPr>
            </w:pPr>
            <w:r w:rsidRPr="00E07C9A">
              <w:rPr>
                <w:rStyle w:val="InstructionsTabelleberschrift"/>
                <w:rFonts w:ascii="Times New Roman" w:hAnsi="Times New Roman"/>
                <w:sz w:val="24"/>
              </w:rPr>
              <w:t>EEPE</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STRESOVÝCH PODMIENKACH</w:t>
            </w:r>
          </w:p>
          <w:p w14:paraId="76285FE0" w14:textId="3E7B5DEA" w:rsidR="00595FAD" w:rsidRPr="00E07C9A" w:rsidRDefault="00595FAD" w:rsidP="00FF15C6">
            <w:pPr>
              <w:keepNext/>
              <w:spacing w:before="60"/>
              <w:rPr>
                <w:rFonts w:ascii="Times New Roman" w:hAnsi="Times New Roman"/>
                <w:sz w:val="24"/>
              </w:rPr>
            </w:pPr>
            <w:r w:rsidRPr="00E07C9A">
              <w:rPr>
                <w:rFonts w:ascii="Times New Roman" w:hAnsi="Times New Roman"/>
                <w:sz w:val="24"/>
              </w:rPr>
              <w:t>Článok 284 ods. 6</w:t>
            </w:r>
            <w:r w:rsidR="009912F8" w:rsidRPr="00E07C9A">
              <w:rPr>
                <w:rFonts w:ascii="Times New Roman" w:hAnsi="Times New Roman"/>
                <w:sz w:val="24"/>
              </w:rPr>
              <w:t xml:space="preserve"> a </w:t>
            </w:r>
            <w:r w:rsidRPr="00E07C9A">
              <w:rPr>
                <w:rFonts w:ascii="Times New Roman" w:hAnsi="Times New Roman"/>
                <w:sz w:val="24"/>
              </w:rPr>
              <w:t xml:space="preserve">článok 292 ods. 2 nariadenia (EÚ) </w:t>
            </w:r>
            <w:r w:rsidR="009912F8" w:rsidRPr="00E07C9A">
              <w:rPr>
                <w:rFonts w:ascii="Times New Roman" w:hAnsi="Times New Roman"/>
                <w:sz w:val="24"/>
              </w:rPr>
              <w:t>č. 575/2013</w:t>
            </w:r>
          </w:p>
          <w:p w14:paraId="05F2F928" w14:textId="1EBACBB5" w:rsidR="00595FAD" w:rsidRPr="00E07C9A" w:rsidRDefault="00595FAD" w:rsidP="00FF15C6">
            <w:pPr>
              <w:keepNext/>
              <w:spacing w:before="60"/>
              <w:rPr>
                <w:rFonts w:ascii="Times New Roman" w:hAnsi="Times New Roman"/>
                <w:sz w:val="24"/>
              </w:rPr>
            </w:pPr>
            <w:r w:rsidRPr="00E07C9A">
              <w:rPr>
                <w:rFonts w:ascii="Times New Roman" w:hAnsi="Times New Roman"/>
                <w:sz w:val="24"/>
              </w:rPr>
              <w:t>EEPE</w:t>
            </w:r>
            <w:r w:rsidR="009912F8" w:rsidRPr="00E07C9A">
              <w:rPr>
                <w:rFonts w:ascii="Times New Roman" w:hAnsi="Times New Roman"/>
                <w:sz w:val="24"/>
              </w:rPr>
              <w:t xml:space="preserve"> v </w:t>
            </w:r>
            <w:r w:rsidRPr="00E07C9A">
              <w:rPr>
                <w:rFonts w:ascii="Times New Roman" w:hAnsi="Times New Roman"/>
                <w:sz w:val="24"/>
              </w:rPr>
              <w:t>stresových podmienkach sa vypočítava analogicky</w:t>
            </w:r>
            <w:r w:rsidR="009912F8" w:rsidRPr="00E07C9A">
              <w:rPr>
                <w:rFonts w:ascii="Times New Roman" w:hAnsi="Times New Roman"/>
                <w:sz w:val="24"/>
              </w:rPr>
              <w:t xml:space="preserve"> k </w:t>
            </w:r>
            <w:r w:rsidRPr="00E07C9A">
              <w:rPr>
                <w:rFonts w:ascii="Times New Roman" w:hAnsi="Times New Roman"/>
                <w:sz w:val="24"/>
              </w:rPr>
              <w:t xml:space="preserve">EEPE [článok 284 ods. 6 nariadenia (EÚ) </w:t>
            </w:r>
            <w:r w:rsidR="009912F8" w:rsidRPr="00E07C9A">
              <w:rPr>
                <w:rFonts w:ascii="Times New Roman" w:hAnsi="Times New Roman"/>
                <w:sz w:val="24"/>
              </w:rPr>
              <w:t>č. 575/2013</w:t>
            </w:r>
            <w:r w:rsidRPr="00E07C9A">
              <w:rPr>
                <w:rFonts w:ascii="Times New Roman" w:hAnsi="Times New Roman"/>
                <w:sz w:val="24"/>
              </w:rPr>
              <w:t>], ale pomocou stresovej kalibrácie</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292 ods. 2 nariadenia (EÚ) </w:t>
            </w:r>
            <w:r w:rsidR="009912F8" w:rsidRPr="00E07C9A">
              <w:rPr>
                <w:rFonts w:ascii="Times New Roman" w:hAnsi="Times New Roman"/>
                <w:sz w:val="24"/>
              </w:rPr>
              <w:t>č. 575/2013</w:t>
            </w:r>
            <w:r w:rsidRPr="00E07C9A">
              <w:rPr>
                <w:rFonts w:ascii="Times New Roman" w:hAnsi="Times New Roman"/>
                <w:sz w:val="24"/>
              </w:rPr>
              <w:t>.</w:t>
            </w:r>
          </w:p>
        </w:tc>
      </w:tr>
      <w:tr w:rsidR="00595FAD" w:rsidRPr="00E07C9A" w14:paraId="7787E1C7" w14:textId="77777777" w:rsidTr="00FF15C6">
        <w:trPr>
          <w:trHeight w:val="680"/>
        </w:trPr>
        <w:tc>
          <w:tcPr>
            <w:tcW w:w="1384" w:type="dxa"/>
          </w:tcPr>
          <w:p w14:paraId="0DA474F8" w14:textId="77777777" w:rsidR="00595FAD" w:rsidRPr="00E07C9A" w:rsidRDefault="00595FAD" w:rsidP="00FF15C6">
            <w:pPr>
              <w:pStyle w:val="Applicationdirecte"/>
              <w:spacing w:before="0" w:after="0"/>
              <w:jc w:val="left"/>
            </w:pPr>
            <w:r w:rsidRPr="00E07C9A">
              <w:t>0080, 0160,0170</w:t>
            </w:r>
          </w:p>
        </w:tc>
        <w:tc>
          <w:tcPr>
            <w:tcW w:w="7655" w:type="dxa"/>
            <w:vAlign w:val="center"/>
          </w:tcPr>
          <w:p w14:paraId="7928022A" w14:textId="77777777" w:rsidR="00595FAD" w:rsidRPr="00E07C9A" w:rsidRDefault="00595FAD" w:rsidP="00FF15C6">
            <w:pPr>
              <w:keepNext/>
              <w:spacing w:before="60"/>
              <w:rPr>
                <w:rStyle w:val="InstructionsTabelleberschrift"/>
                <w:rFonts w:ascii="Times New Roman" w:hAnsi="Times New Roman"/>
                <w:sz w:val="24"/>
              </w:rPr>
            </w:pPr>
            <w:r w:rsidRPr="00E07C9A">
              <w:rPr>
                <w:rStyle w:val="InstructionsTabelleberschrift"/>
                <w:rFonts w:ascii="Times New Roman" w:hAnsi="Times New Roman"/>
                <w:sz w:val="24"/>
              </w:rPr>
              <w:t>HODNOTA EXPOZÍCIE</w:t>
            </w:r>
          </w:p>
          <w:p w14:paraId="0EE80EAE" w14:textId="30965105" w:rsidR="00595FAD" w:rsidRPr="00E07C9A" w:rsidRDefault="00595FAD" w:rsidP="00FF15C6">
            <w:pPr>
              <w:keepNext/>
              <w:spacing w:before="60"/>
              <w:rPr>
                <w:rStyle w:val="InstructionsTabelleberschrift"/>
                <w:rFonts w:ascii="Times New Roman" w:hAnsi="Times New Roman"/>
                <w:sz w:val="24"/>
              </w:rPr>
            </w:pPr>
            <w:r w:rsidRPr="00E07C9A">
              <w:rPr>
                <w:rFonts w:ascii="Times New Roman" w:hAnsi="Times New Roman"/>
                <w:sz w:val="24"/>
              </w:rPr>
              <w:t>Pozri pokyny</w:t>
            </w:r>
            <w:r w:rsidR="009912F8" w:rsidRPr="00E07C9A">
              <w:rPr>
                <w:rFonts w:ascii="Times New Roman" w:hAnsi="Times New Roman"/>
                <w:sz w:val="24"/>
              </w:rPr>
              <w:t xml:space="preserve"> k </w:t>
            </w:r>
            <w:r w:rsidRPr="00E07C9A">
              <w:rPr>
                <w:rFonts w:ascii="Times New Roman" w:hAnsi="Times New Roman"/>
                <w:sz w:val="24"/>
              </w:rPr>
              <w:t>stĺpcu 0170 vo vzore C 34.02.</w:t>
            </w:r>
          </w:p>
        </w:tc>
      </w:tr>
      <w:tr w:rsidR="00595FAD" w:rsidRPr="00E07C9A" w14:paraId="5F72E3C6" w14:textId="77777777" w:rsidTr="00FF15C6">
        <w:trPr>
          <w:trHeight w:val="680"/>
        </w:trPr>
        <w:tc>
          <w:tcPr>
            <w:tcW w:w="9039" w:type="dxa"/>
            <w:gridSpan w:val="2"/>
            <w:tcBorders>
              <w:left w:val="nil"/>
              <w:right w:val="nil"/>
            </w:tcBorders>
          </w:tcPr>
          <w:p w14:paraId="32ED94D1" w14:textId="77777777" w:rsidR="00595FAD" w:rsidRPr="00E07C9A" w:rsidDel="00291448" w:rsidRDefault="00595FAD" w:rsidP="00D768D3">
            <w:pPr>
              <w:rPr>
                <w:rFonts w:ascii="Times New Roman" w:hAnsi="Times New Roman"/>
                <w:sz w:val="24"/>
              </w:rPr>
            </w:pPr>
          </w:p>
        </w:tc>
      </w:tr>
      <w:tr w:rsidR="00595FAD" w:rsidRPr="00E07C9A" w14:paraId="3D96E9FC"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991891" w14:textId="77777777" w:rsidR="00595FAD" w:rsidRPr="00E07C9A" w:rsidRDefault="00595FAD" w:rsidP="00FF15C6">
            <w:pPr>
              <w:pStyle w:val="Applicationdirecte"/>
              <w:spacing w:before="0"/>
              <w:jc w:val="left"/>
              <w:rPr>
                <w:b/>
              </w:rPr>
            </w:pPr>
            <w:r w:rsidRPr="00E07C9A">
              <w:rPr>
                <w:b/>
              </w:rPr>
              <w:t xml:space="preserve">Riadok </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505342" w14:textId="77777777" w:rsidR="00595FAD" w:rsidRPr="00E07C9A" w:rsidRDefault="00595FAD" w:rsidP="00FF15C6">
            <w:pPr>
              <w:pStyle w:val="TableMainHeading"/>
              <w:spacing w:before="60"/>
              <w:rPr>
                <w:rFonts w:ascii="Times New Roman" w:hAnsi="Times New Roman"/>
                <w:b/>
                <w:sz w:val="24"/>
                <w:szCs w:val="24"/>
              </w:rPr>
            </w:pPr>
            <w:r w:rsidRPr="00E07C9A">
              <w:rPr>
                <w:rFonts w:ascii="Times New Roman" w:hAnsi="Times New Roman"/>
                <w:b/>
                <w:sz w:val="24"/>
              </w:rPr>
              <w:t xml:space="preserve">Vysvetlenie </w:t>
            </w:r>
          </w:p>
        </w:tc>
      </w:tr>
      <w:tr w:rsidR="00595FAD" w:rsidRPr="00E07C9A" w14:paraId="4CB54F09" w14:textId="77777777" w:rsidTr="00FF15C6">
        <w:trPr>
          <w:trHeight w:val="426"/>
        </w:trPr>
        <w:tc>
          <w:tcPr>
            <w:tcW w:w="1384" w:type="dxa"/>
          </w:tcPr>
          <w:p w14:paraId="619B4EAC" w14:textId="77777777" w:rsidR="00595FAD" w:rsidRPr="00E07C9A" w:rsidRDefault="00595FAD" w:rsidP="00FF15C6">
            <w:pPr>
              <w:pStyle w:val="Applicationdirecte"/>
              <w:spacing w:before="0" w:after="0"/>
            </w:pPr>
            <w:r w:rsidRPr="00E07C9A">
              <w:t>0010</w:t>
            </w:r>
          </w:p>
        </w:tc>
        <w:tc>
          <w:tcPr>
            <w:tcW w:w="7655" w:type="dxa"/>
          </w:tcPr>
          <w:p w14:paraId="01C16DF1" w14:textId="77777777" w:rsidR="009912F8" w:rsidRPr="00E07C9A" w:rsidRDefault="00595FAD" w:rsidP="00FF15C6">
            <w:pPr>
              <w:keepNext/>
              <w:spacing w:before="60"/>
              <w:rPr>
                <w:rStyle w:val="InstructionsTabelleberschrift"/>
                <w:rFonts w:ascii="Times New Roman" w:hAnsi="Times New Roman"/>
                <w:sz w:val="24"/>
              </w:rPr>
            </w:pPr>
            <w:r w:rsidRPr="00E07C9A">
              <w:rPr>
                <w:rStyle w:val="InstructionsTabelleberschrift"/>
                <w:rFonts w:ascii="Times New Roman" w:hAnsi="Times New Roman"/>
                <w:sz w:val="24"/>
              </w:rPr>
              <w:t>SPOLU</w:t>
            </w:r>
          </w:p>
          <w:p w14:paraId="34B799AD" w14:textId="61E016A7" w:rsidR="00595FAD" w:rsidRPr="00E07C9A" w:rsidRDefault="00595FAD" w:rsidP="00FF15C6">
            <w:pPr>
              <w:keepNext/>
              <w:spacing w:before="60"/>
              <w:rPr>
                <w:rFonts w:ascii="Times New Roman" w:hAnsi="Times New Roman"/>
                <w:sz w:val="24"/>
              </w:rPr>
            </w:pPr>
            <w:r w:rsidRPr="00E07C9A">
              <w:rPr>
                <w:rFonts w:ascii="Times New Roman" w:hAnsi="Times New Roman"/>
                <w:sz w:val="24"/>
              </w:rPr>
              <w:t xml:space="preserve">Článok 283 nariadenia (EÚ) </w:t>
            </w:r>
            <w:r w:rsidR="009912F8" w:rsidRPr="00E07C9A">
              <w:rPr>
                <w:rFonts w:ascii="Times New Roman" w:hAnsi="Times New Roman"/>
                <w:sz w:val="24"/>
              </w:rPr>
              <w:t>č. 575/2013</w:t>
            </w:r>
          </w:p>
          <w:p w14:paraId="028F40CB" w14:textId="4C62DB1A" w:rsidR="00595FAD" w:rsidRPr="00E07C9A" w:rsidRDefault="00595FAD" w:rsidP="00FF15C6">
            <w:pPr>
              <w:rPr>
                <w:rFonts w:ascii="Times New Roman" w:hAnsi="Times New Roman"/>
                <w:sz w:val="24"/>
              </w:rPr>
            </w:pPr>
            <w:r w:rsidRPr="00E07C9A">
              <w:rPr>
                <w:rFonts w:ascii="Times New Roman" w:hAnsi="Times New Roman"/>
                <w:sz w:val="24"/>
              </w:rPr>
              <w:t>Inštitúcia vykazuje príslušné informácie týkajúce sa derivátov, transakcií</w:t>
            </w:r>
            <w:r w:rsidR="009912F8" w:rsidRPr="00E07C9A">
              <w:rPr>
                <w:rFonts w:ascii="Times New Roman" w:hAnsi="Times New Roman"/>
                <w:sz w:val="24"/>
              </w:rPr>
              <w:t xml:space="preserve"> s </w:t>
            </w:r>
            <w:r w:rsidRPr="00E07C9A">
              <w:rPr>
                <w:rFonts w:ascii="Times New Roman" w:hAnsi="Times New Roman"/>
                <w:sz w:val="24"/>
              </w:rPr>
              <w:t>dlhou dobou vyrovnania</w:t>
            </w:r>
            <w:r w:rsidR="009912F8" w:rsidRPr="00E07C9A">
              <w:rPr>
                <w:rFonts w:ascii="Times New Roman" w:hAnsi="Times New Roman"/>
                <w:sz w:val="24"/>
              </w:rPr>
              <w:t xml:space="preserve"> a </w:t>
            </w:r>
            <w:r w:rsidRPr="00E07C9A">
              <w:rPr>
                <w:rFonts w:ascii="Times New Roman" w:hAnsi="Times New Roman"/>
                <w:sz w:val="24"/>
              </w:rPr>
              <w:t>SFT,</w:t>
            </w:r>
            <w:r w:rsidR="009912F8" w:rsidRPr="00E07C9A">
              <w:rPr>
                <w:rFonts w:ascii="Times New Roman" w:hAnsi="Times New Roman"/>
                <w:sz w:val="24"/>
              </w:rPr>
              <w:t xml:space="preserve"> v </w:t>
            </w:r>
            <w:r w:rsidRPr="00E07C9A">
              <w:rPr>
                <w:rFonts w:ascii="Times New Roman" w:hAnsi="Times New Roman"/>
                <w:sz w:val="24"/>
              </w:rPr>
              <w:t>súvislosti</w:t>
            </w:r>
            <w:r w:rsidR="009912F8" w:rsidRPr="00E07C9A">
              <w:rPr>
                <w:rFonts w:ascii="Times New Roman" w:hAnsi="Times New Roman"/>
                <w:sz w:val="24"/>
              </w:rPr>
              <w:t xml:space="preserve"> s </w:t>
            </w:r>
            <w:r w:rsidRPr="00E07C9A">
              <w:rPr>
                <w:rFonts w:ascii="Times New Roman" w:hAnsi="Times New Roman"/>
                <w:sz w:val="24"/>
              </w:rPr>
              <w:t>ktorými sa inštitúcii povolilo určovať hodnotu expozície vypočítanú pomocou metódy interných modelov (IMM)</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283 nariadenia (EÚ) </w:t>
            </w:r>
            <w:r w:rsidR="009912F8" w:rsidRPr="00E07C9A">
              <w:rPr>
                <w:rFonts w:ascii="Times New Roman" w:hAnsi="Times New Roman"/>
                <w:sz w:val="24"/>
              </w:rPr>
              <w:t>č. 575/2013</w:t>
            </w:r>
            <w:r w:rsidRPr="00E07C9A">
              <w:rPr>
                <w:rFonts w:ascii="Times New Roman" w:hAnsi="Times New Roman"/>
                <w:sz w:val="24"/>
              </w:rPr>
              <w:t>.</w:t>
            </w:r>
          </w:p>
        </w:tc>
      </w:tr>
      <w:tr w:rsidR="00595FAD" w:rsidRPr="00E07C9A" w14:paraId="3C123FF7" w14:textId="77777777" w:rsidTr="00FF15C6">
        <w:trPr>
          <w:trHeight w:val="829"/>
        </w:trPr>
        <w:tc>
          <w:tcPr>
            <w:tcW w:w="1384" w:type="dxa"/>
          </w:tcPr>
          <w:p w14:paraId="62A5FB50" w14:textId="77777777" w:rsidR="00595FAD" w:rsidRPr="00E07C9A" w:rsidRDefault="00595FAD" w:rsidP="00FF15C6">
            <w:pPr>
              <w:pStyle w:val="Applicationdirecte"/>
              <w:spacing w:before="0" w:after="0"/>
            </w:pPr>
            <w:r w:rsidRPr="00E07C9A">
              <w:t>0020</w:t>
            </w:r>
          </w:p>
        </w:tc>
        <w:tc>
          <w:tcPr>
            <w:tcW w:w="7655" w:type="dxa"/>
          </w:tcPr>
          <w:p w14:paraId="14A72440" w14:textId="77777777" w:rsidR="00595FAD" w:rsidRPr="00E07C9A" w:rsidRDefault="00595FAD" w:rsidP="00FF15C6">
            <w:pPr>
              <w:keepNext/>
              <w:spacing w:before="60"/>
              <w:rPr>
                <w:rStyle w:val="InstructionsTabelleberschrift"/>
                <w:rFonts w:ascii="Times New Roman" w:hAnsi="Times New Roman"/>
                <w:sz w:val="24"/>
              </w:rPr>
            </w:pPr>
            <w:r w:rsidRPr="00E07C9A">
              <w:rPr>
                <w:rStyle w:val="InstructionsTabelleberschrift"/>
                <w:rFonts w:ascii="Times New Roman" w:hAnsi="Times New Roman"/>
                <w:sz w:val="24"/>
              </w:rPr>
              <w:t>Z čoho: pozície so špecifickým rizikom nesprávnej voľby (SWWR)</w:t>
            </w:r>
          </w:p>
          <w:p w14:paraId="6B266C36" w14:textId="7F5D9234" w:rsidR="00595FAD" w:rsidRPr="00E07C9A" w:rsidRDefault="00595FAD" w:rsidP="00FF15C6">
            <w:pPr>
              <w:rPr>
                <w:rFonts w:ascii="Times New Roman" w:hAnsi="Times New Roman"/>
                <w:sz w:val="24"/>
              </w:rPr>
            </w:pPr>
            <w:r w:rsidRPr="00E07C9A">
              <w:rPr>
                <w:rFonts w:ascii="Times New Roman" w:hAnsi="Times New Roman"/>
                <w:sz w:val="24"/>
              </w:rPr>
              <w:t>Pozri pokyny</w:t>
            </w:r>
            <w:r w:rsidR="009912F8" w:rsidRPr="00E07C9A">
              <w:rPr>
                <w:rFonts w:ascii="Times New Roman" w:hAnsi="Times New Roman"/>
                <w:sz w:val="24"/>
              </w:rPr>
              <w:t xml:space="preserve"> k </w:t>
            </w:r>
            <w:r w:rsidRPr="00E07C9A">
              <w:rPr>
                <w:rFonts w:ascii="Times New Roman" w:hAnsi="Times New Roman"/>
                <w:sz w:val="24"/>
              </w:rPr>
              <w:t>riadku 0120 vo vzore C 34.02.</w:t>
            </w:r>
          </w:p>
        </w:tc>
      </w:tr>
      <w:tr w:rsidR="00595FAD" w:rsidRPr="00E07C9A" w14:paraId="485DEAC4" w14:textId="77777777" w:rsidTr="00FF15C6">
        <w:trPr>
          <w:trHeight w:val="842"/>
        </w:trPr>
        <w:tc>
          <w:tcPr>
            <w:tcW w:w="1384" w:type="dxa"/>
          </w:tcPr>
          <w:p w14:paraId="232CB362" w14:textId="77777777" w:rsidR="00595FAD" w:rsidRPr="00E07C9A" w:rsidRDefault="00595FAD" w:rsidP="00FF15C6">
            <w:pPr>
              <w:pStyle w:val="Applicationdirecte"/>
              <w:spacing w:before="0" w:after="0"/>
              <w:jc w:val="left"/>
            </w:pPr>
            <w:r w:rsidRPr="00E07C9A">
              <w:t>0030</w:t>
            </w:r>
          </w:p>
        </w:tc>
        <w:tc>
          <w:tcPr>
            <w:tcW w:w="7655" w:type="dxa"/>
          </w:tcPr>
          <w:p w14:paraId="04EA897A" w14:textId="37D50C72" w:rsidR="00595FAD" w:rsidRPr="00E07C9A" w:rsidRDefault="00595FAD" w:rsidP="00FF15C6">
            <w:pPr>
              <w:keepNext/>
              <w:spacing w:before="60"/>
              <w:rPr>
                <w:rStyle w:val="InstructionsTabelleberschrift"/>
                <w:rFonts w:ascii="Times New Roman" w:hAnsi="Times New Roman"/>
                <w:sz w:val="24"/>
              </w:rPr>
            </w:pPr>
            <w:r w:rsidRPr="00E07C9A">
              <w:rPr>
                <w:rStyle w:val="InstructionsTabelleberschrift"/>
                <w:rFonts w:ascii="Times New Roman" w:hAnsi="Times New Roman"/>
                <w:sz w:val="24"/>
              </w:rPr>
              <w:t>Súbory vzájomného započítavania,</w:t>
            </w:r>
            <w:r w:rsidR="009912F8" w:rsidRPr="00E07C9A">
              <w:rPr>
                <w:rStyle w:val="InstructionsTabelleberschrift"/>
                <w:rFonts w:ascii="Times New Roman" w:hAnsi="Times New Roman"/>
                <w:sz w:val="24"/>
              </w:rPr>
              <w:t xml:space="preserve"> s </w:t>
            </w:r>
            <w:r w:rsidRPr="00E07C9A">
              <w:rPr>
                <w:rStyle w:val="InstructionsTabelleberschrift"/>
                <w:rFonts w:ascii="Times New Roman" w:hAnsi="Times New Roman"/>
                <w:sz w:val="24"/>
              </w:rPr>
              <w:t>ktorými sa zaobchádza podľa štandardizovaného prístupu ku kapitálovým požiadavkám</w:t>
            </w:r>
          </w:p>
          <w:p w14:paraId="34A8BCC0" w14:textId="0BD0C228" w:rsidR="00595FAD" w:rsidRPr="00E07C9A" w:rsidRDefault="00595FAD" w:rsidP="00FF15C6">
            <w:pPr>
              <w:rPr>
                <w:rStyle w:val="InstructionsTabelleberschrift"/>
                <w:rFonts w:ascii="Times New Roman" w:hAnsi="Times New Roman"/>
                <w:b w:val="0"/>
                <w:bCs w:val="0"/>
                <w:sz w:val="24"/>
              </w:rPr>
            </w:pPr>
            <w:r w:rsidRPr="00E07C9A">
              <w:rPr>
                <w:rFonts w:ascii="Times New Roman" w:hAnsi="Times New Roman"/>
                <w:sz w:val="24"/>
              </w:rPr>
              <w:t>Pozri pokyny</w:t>
            </w:r>
            <w:r w:rsidR="009912F8" w:rsidRPr="00E07C9A">
              <w:rPr>
                <w:rFonts w:ascii="Times New Roman" w:hAnsi="Times New Roman"/>
                <w:sz w:val="24"/>
              </w:rPr>
              <w:t xml:space="preserve"> k </w:t>
            </w:r>
            <w:r w:rsidRPr="00E07C9A">
              <w:rPr>
                <w:rFonts w:ascii="Times New Roman" w:hAnsi="Times New Roman"/>
                <w:sz w:val="24"/>
              </w:rPr>
              <w:t>stĺpcu 0180 vo vzore C 34.02.</w:t>
            </w:r>
          </w:p>
        </w:tc>
      </w:tr>
      <w:tr w:rsidR="00595FAD" w:rsidRPr="00E07C9A" w14:paraId="1C4224FE" w14:textId="77777777" w:rsidTr="00FF15C6">
        <w:trPr>
          <w:trHeight w:val="839"/>
        </w:trPr>
        <w:tc>
          <w:tcPr>
            <w:tcW w:w="1384" w:type="dxa"/>
          </w:tcPr>
          <w:p w14:paraId="560432F3" w14:textId="77777777" w:rsidR="00595FAD" w:rsidRPr="00E07C9A" w:rsidRDefault="00595FAD" w:rsidP="00FF15C6">
            <w:pPr>
              <w:pStyle w:val="Applicationdirecte"/>
              <w:spacing w:before="0" w:after="0"/>
              <w:jc w:val="left"/>
            </w:pPr>
            <w:r w:rsidRPr="00E07C9A">
              <w:t>0040</w:t>
            </w:r>
          </w:p>
        </w:tc>
        <w:tc>
          <w:tcPr>
            <w:tcW w:w="7655" w:type="dxa"/>
          </w:tcPr>
          <w:p w14:paraId="7A2374A2" w14:textId="7B28478F" w:rsidR="00595FAD" w:rsidRPr="00E07C9A" w:rsidRDefault="00595FAD" w:rsidP="00FF15C6">
            <w:pPr>
              <w:keepNext/>
              <w:spacing w:before="60"/>
              <w:rPr>
                <w:rStyle w:val="InstructionsTabelleberschrift"/>
                <w:rFonts w:ascii="Times New Roman" w:hAnsi="Times New Roman"/>
                <w:sz w:val="24"/>
              </w:rPr>
            </w:pPr>
            <w:r w:rsidRPr="00E07C9A">
              <w:rPr>
                <w:rStyle w:val="InstructionsTabelleberschrift"/>
                <w:rFonts w:ascii="Times New Roman" w:hAnsi="Times New Roman"/>
                <w:sz w:val="24"/>
              </w:rPr>
              <w:t>Súbory vzájomného započítavania,</w:t>
            </w:r>
            <w:r w:rsidR="009912F8" w:rsidRPr="00E07C9A">
              <w:rPr>
                <w:rStyle w:val="InstructionsTabelleberschrift"/>
                <w:rFonts w:ascii="Times New Roman" w:hAnsi="Times New Roman"/>
                <w:sz w:val="24"/>
              </w:rPr>
              <w:t xml:space="preserve"> s </w:t>
            </w:r>
            <w:r w:rsidRPr="00E07C9A">
              <w:rPr>
                <w:rStyle w:val="InstructionsTabelleberschrift"/>
                <w:rFonts w:ascii="Times New Roman" w:hAnsi="Times New Roman"/>
                <w:sz w:val="24"/>
              </w:rPr>
              <w:t>ktorými sa zaobchádza podľa prístupu CR IRB</w:t>
            </w:r>
          </w:p>
          <w:p w14:paraId="3D3E5B52" w14:textId="5DE71D8F" w:rsidR="00595FAD" w:rsidRPr="00E07C9A" w:rsidRDefault="00595FAD" w:rsidP="00FF15C6">
            <w:pPr>
              <w:rPr>
                <w:rStyle w:val="InstructionsTabelleberschrift"/>
                <w:rFonts w:ascii="Times New Roman" w:hAnsi="Times New Roman"/>
                <w:b w:val="0"/>
                <w:bCs w:val="0"/>
                <w:sz w:val="24"/>
              </w:rPr>
            </w:pPr>
            <w:r w:rsidRPr="00E07C9A">
              <w:rPr>
                <w:rFonts w:ascii="Times New Roman" w:hAnsi="Times New Roman"/>
                <w:sz w:val="24"/>
              </w:rPr>
              <w:t>Pozri pokyny</w:t>
            </w:r>
            <w:r w:rsidR="009912F8" w:rsidRPr="00E07C9A">
              <w:rPr>
                <w:rFonts w:ascii="Times New Roman" w:hAnsi="Times New Roman"/>
                <w:sz w:val="24"/>
              </w:rPr>
              <w:t xml:space="preserve"> k </w:t>
            </w:r>
            <w:r w:rsidRPr="00E07C9A">
              <w:rPr>
                <w:rFonts w:ascii="Times New Roman" w:hAnsi="Times New Roman"/>
                <w:sz w:val="24"/>
              </w:rPr>
              <w:t>stĺpcu 0190 vo vzore C 34.02.</w:t>
            </w:r>
          </w:p>
        </w:tc>
      </w:tr>
      <w:tr w:rsidR="00595FAD" w:rsidRPr="00E07C9A" w14:paraId="5B054DFB" w14:textId="77777777" w:rsidTr="00FF15C6">
        <w:trPr>
          <w:trHeight w:val="1971"/>
        </w:trPr>
        <w:tc>
          <w:tcPr>
            <w:tcW w:w="1384" w:type="dxa"/>
          </w:tcPr>
          <w:p w14:paraId="3091F3B3" w14:textId="77777777" w:rsidR="00595FAD" w:rsidRPr="00E07C9A" w:rsidRDefault="00595FAD" w:rsidP="00FF15C6">
            <w:pPr>
              <w:pStyle w:val="Applicationdirecte"/>
              <w:spacing w:before="0" w:after="0"/>
              <w:jc w:val="left"/>
            </w:pPr>
            <w:r w:rsidRPr="00E07C9A">
              <w:t>0050 – 0110</w:t>
            </w:r>
          </w:p>
        </w:tc>
        <w:tc>
          <w:tcPr>
            <w:tcW w:w="7655" w:type="dxa"/>
          </w:tcPr>
          <w:p w14:paraId="6A3EE22E" w14:textId="77777777" w:rsidR="00595FAD" w:rsidRPr="00E07C9A" w:rsidRDefault="00595FAD" w:rsidP="00FF15C6">
            <w:pPr>
              <w:keepNext/>
              <w:spacing w:before="60"/>
              <w:rPr>
                <w:rStyle w:val="InstructionsTabelleberschrift"/>
                <w:rFonts w:ascii="Times New Roman" w:hAnsi="Times New Roman"/>
                <w:sz w:val="24"/>
              </w:rPr>
            </w:pPr>
            <w:r w:rsidRPr="00E07C9A">
              <w:rPr>
                <w:rStyle w:val="InstructionsTabelleberschrift"/>
                <w:rFonts w:ascii="Times New Roman" w:hAnsi="Times New Roman"/>
                <w:sz w:val="24"/>
              </w:rPr>
              <w:t>OTC DERIVÁTY</w:t>
            </w:r>
          </w:p>
          <w:p w14:paraId="0977FBD8" w14:textId="2F6BC21E" w:rsidR="00595FAD" w:rsidRPr="00E07C9A" w:rsidRDefault="00595FAD" w:rsidP="00FF15C6">
            <w:pPr>
              <w:rPr>
                <w:rFonts w:ascii="Times New Roman" w:hAnsi="Times New Roman"/>
                <w:sz w:val="24"/>
              </w:rPr>
            </w:pPr>
            <w:r w:rsidRPr="00E07C9A">
              <w:rPr>
                <w:rFonts w:ascii="Times New Roman" w:hAnsi="Times New Roman"/>
                <w:sz w:val="24"/>
              </w:rPr>
              <w:t>Inštitúcia vykazuje príslušné informácie týkajúce sa súborov vzájomného započítavania, ktoré obsahujú len OTC deriváty alebo transakcie</w:t>
            </w:r>
            <w:r w:rsidR="009912F8" w:rsidRPr="00E07C9A">
              <w:rPr>
                <w:rFonts w:ascii="Times New Roman" w:hAnsi="Times New Roman"/>
                <w:sz w:val="24"/>
              </w:rPr>
              <w:t xml:space="preserve"> s </w:t>
            </w:r>
            <w:r w:rsidRPr="00E07C9A">
              <w:rPr>
                <w:rFonts w:ascii="Times New Roman" w:hAnsi="Times New Roman"/>
                <w:sz w:val="24"/>
              </w:rPr>
              <w:t>dlhou dobou vyrovnania,</w:t>
            </w:r>
            <w:r w:rsidR="009912F8" w:rsidRPr="00E07C9A">
              <w:rPr>
                <w:rFonts w:ascii="Times New Roman" w:hAnsi="Times New Roman"/>
                <w:sz w:val="24"/>
              </w:rPr>
              <w:t xml:space="preserve"> v </w:t>
            </w:r>
            <w:r w:rsidRPr="00E07C9A">
              <w:rPr>
                <w:rFonts w:ascii="Times New Roman" w:hAnsi="Times New Roman"/>
                <w:sz w:val="24"/>
              </w:rPr>
              <w:t>súvislosti</w:t>
            </w:r>
            <w:r w:rsidR="009912F8" w:rsidRPr="00E07C9A">
              <w:rPr>
                <w:rFonts w:ascii="Times New Roman" w:hAnsi="Times New Roman"/>
                <w:sz w:val="24"/>
              </w:rPr>
              <w:t xml:space="preserve"> s </w:t>
            </w:r>
            <w:r w:rsidRPr="00E07C9A">
              <w:rPr>
                <w:rFonts w:ascii="Times New Roman" w:hAnsi="Times New Roman"/>
                <w:sz w:val="24"/>
              </w:rPr>
              <w:t>ktorými sa inštitúcii povolilo určovať hodnotu expozície pomocou IMM,</w:t>
            </w:r>
            <w:r w:rsidR="009912F8" w:rsidRPr="00E07C9A">
              <w:rPr>
                <w:rFonts w:ascii="Times New Roman" w:hAnsi="Times New Roman"/>
                <w:sz w:val="24"/>
              </w:rPr>
              <w:t xml:space="preserve"> v </w:t>
            </w:r>
            <w:r w:rsidRPr="00E07C9A">
              <w:rPr>
                <w:rFonts w:ascii="Times New Roman" w:hAnsi="Times New Roman"/>
                <w:sz w:val="24"/>
              </w:rPr>
              <w:t>rozčlenení podľa rôznych tried aktív</w:t>
            </w:r>
            <w:r w:rsidR="009912F8" w:rsidRPr="00E07C9A">
              <w:rPr>
                <w:rFonts w:ascii="Times New Roman" w:hAnsi="Times New Roman"/>
                <w:sz w:val="24"/>
              </w:rPr>
              <w:t xml:space="preserve"> v </w:t>
            </w:r>
            <w:r w:rsidRPr="00E07C9A">
              <w:rPr>
                <w:rFonts w:ascii="Times New Roman" w:hAnsi="Times New Roman"/>
                <w:sz w:val="24"/>
              </w:rPr>
              <w:t>súvislosti</w:t>
            </w:r>
            <w:r w:rsidR="009912F8" w:rsidRPr="00E07C9A">
              <w:rPr>
                <w:rFonts w:ascii="Times New Roman" w:hAnsi="Times New Roman"/>
                <w:sz w:val="24"/>
              </w:rPr>
              <w:t xml:space="preserve"> s </w:t>
            </w:r>
            <w:r w:rsidRPr="00E07C9A">
              <w:rPr>
                <w:rFonts w:ascii="Times New Roman" w:hAnsi="Times New Roman"/>
                <w:sz w:val="24"/>
              </w:rPr>
              <w:t>podkladovým aktívom (úroková sadzba, devízy, úver, vlastné imanie, komodita alebo iné).</w:t>
            </w:r>
          </w:p>
        </w:tc>
      </w:tr>
      <w:tr w:rsidR="00595FAD" w:rsidRPr="00E07C9A" w14:paraId="5554F458" w14:textId="77777777" w:rsidTr="00FF15C6">
        <w:trPr>
          <w:trHeight w:val="1970"/>
        </w:trPr>
        <w:tc>
          <w:tcPr>
            <w:tcW w:w="1384" w:type="dxa"/>
          </w:tcPr>
          <w:p w14:paraId="758D7F15" w14:textId="77777777" w:rsidR="00595FAD" w:rsidRPr="00E07C9A" w:rsidRDefault="00595FAD" w:rsidP="00FF15C6">
            <w:pPr>
              <w:pStyle w:val="Applicationdirecte"/>
              <w:spacing w:before="0" w:after="0"/>
            </w:pPr>
            <w:r w:rsidRPr="00E07C9A">
              <w:t>0120 – 0180</w:t>
            </w:r>
          </w:p>
        </w:tc>
        <w:tc>
          <w:tcPr>
            <w:tcW w:w="7655" w:type="dxa"/>
          </w:tcPr>
          <w:p w14:paraId="50512DDB" w14:textId="77777777" w:rsidR="00595FAD" w:rsidRPr="00E07C9A" w:rsidRDefault="00595FAD" w:rsidP="00FF15C6">
            <w:pPr>
              <w:keepNext/>
              <w:spacing w:before="60"/>
              <w:rPr>
                <w:rStyle w:val="InstructionsTabelleberschrift"/>
                <w:rFonts w:ascii="Times New Roman" w:hAnsi="Times New Roman"/>
                <w:sz w:val="24"/>
              </w:rPr>
            </w:pPr>
            <w:r w:rsidRPr="00E07C9A">
              <w:rPr>
                <w:rStyle w:val="InstructionsTabelleberschrift"/>
                <w:rFonts w:ascii="Times New Roman" w:hAnsi="Times New Roman"/>
                <w:sz w:val="24"/>
              </w:rPr>
              <w:t>DERIVÁTY OBCHODOVANÉ NA BURZE</w:t>
            </w:r>
          </w:p>
          <w:p w14:paraId="555913AF" w14:textId="1F7B8323" w:rsidR="00595FAD" w:rsidRPr="00E07C9A" w:rsidRDefault="00595FAD" w:rsidP="00FF15C6">
            <w:pPr>
              <w:rPr>
                <w:rFonts w:ascii="Times New Roman" w:hAnsi="Times New Roman"/>
                <w:sz w:val="24"/>
              </w:rPr>
            </w:pPr>
            <w:r w:rsidRPr="00E07C9A">
              <w:rPr>
                <w:rFonts w:ascii="Times New Roman" w:hAnsi="Times New Roman"/>
                <w:sz w:val="24"/>
              </w:rPr>
              <w:t>Inštitúcia vykazuje príslušné informácie týkajúce sa súborov vzájomného započítavania, ktoré obsahujú len deriváty obchodované na burze alebo transakcie</w:t>
            </w:r>
            <w:r w:rsidR="009912F8" w:rsidRPr="00E07C9A">
              <w:rPr>
                <w:rFonts w:ascii="Times New Roman" w:hAnsi="Times New Roman"/>
                <w:sz w:val="24"/>
              </w:rPr>
              <w:t xml:space="preserve"> s </w:t>
            </w:r>
            <w:r w:rsidRPr="00E07C9A">
              <w:rPr>
                <w:rFonts w:ascii="Times New Roman" w:hAnsi="Times New Roman"/>
                <w:sz w:val="24"/>
              </w:rPr>
              <w:t>dlhou dobou vyrovnania,</w:t>
            </w:r>
            <w:r w:rsidR="009912F8" w:rsidRPr="00E07C9A">
              <w:rPr>
                <w:rFonts w:ascii="Times New Roman" w:hAnsi="Times New Roman"/>
                <w:sz w:val="24"/>
              </w:rPr>
              <w:t xml:space="preserve"> v </w:t>
            </w:r>
            <w:r w:rsidRPr="00E07C9A">
              <w:rPr>
                <w:rFonts w:ascii="Times New Roman" w:hAnsi="Times New Roman"/>
                <w:sz w:val="24"/>
              </w:rPr>
              <w:t>súvislosti</w:t>
            </w:r>
            <w:r w:rsidR="009912F8" w:rsidRPr="00E07C9A">
              <w:rPr>
                <w:rFonts w:ascii="Times New Roman" w:hAnsi="Times New Roman"/>
                <w:sz w:val="24"/>
              </w:rPr>
              <w:t xml:space="preserve"> s </w:t>
            </w:r>
            <w:r w:rsidRPr="00E07C9A">
              <w:rPr>
                <w:rFonts w:ascii="Times New Roman" w:hAnsi="Times New Roman"/>
                <w:sz w:val="24"/>
              </w:rPr>
              <w:t>ktorými sa inštitúcii povolilo určovať hodnotu expozície pomocou IMM,</w:t>
            </w:r>
            <w:r w:rsidR="009912F8" w:rsidRPr="00E07C9A">
              <w:rPr>
                <w:rFonts w:ascii="Times New Roman" w:hAnsi="Times New Roman"/>
                <w:sz w:val="24"/>
              </w:rPr>
              <w:t xml:space="preserve"> v </w:t>
            </w:r>
            <w:r w:rsidRPr="00E07C9A">
              <w:rPr>
                <w:rFonts w:ascii="Times New Roman" w:hAnsi="Times New Roman"/>
                <w:sz w:val="24"/>
              </w:rPr>
              <w:t>rozčlenení podľa rôznych tried aktív</w:t>
            </w:r>
            <w:r w:rsidR="009912F8" w:rsidRPr="00E07C9A">
              <w:rPr>
                <w:rFonts w:ascii="Times New Roman" w:hAnsi="Times New Roman"/>
                <w:sz w:val="24"/>
              </w:rPr>
              <w:t xml:space="preserve"> v </w:t>
            </w:r>
            <w:r w:rsidRPr="00E07C9A">
              <w:rPr>
                <w:rFonts w:ascii="Times New Roman" w:hAnsi="Times New Roman"/>
                <w:sz w:val="24"/>
              </w:rPr>
              <w:t>súvislosti</w:t>
            </w:r>
            <w:r w:rsidR="009912F8" w:rsidRPr="00E07C9A">
              <w:rPr>
                <w:rFonts w:ascii="Times New Roman" w:hAnsi="Times New Roman"/>
                <w:sz w:val="24"/>
              </w:rPr>
              <w:t xml:space="preserve"> s </w:t>
            </w:r>
            <w:r w:rsidRPr="00E07C9A">
              <w:rPr>
                <w:rFonts w:ascii="Times New Roman" w:hAnsi="Times New Roman"/>
                <w:sz w:val="24"/>
              </w:rPr>
              <w:t>podkladovým aktívom (úroková sadzba, devízy, úver, vlastné imanie, komodita alebo iné).</w:t>
            </w:r>
          </w:p>
        </w:tc>
      </w:tr>
      <w:tr w:rsidR="00595FAD" w:rsidRPr="00E07C9A" w14:paraId="54D14059" w14:textId="77777777" w:rsidTr="00FF15C6">
        <w:trPr>
          <w:trHeight w:val="1701"/>
        </w:trPr>
        <w:tc>
          <w:tcPr>
            <w:tcW w:w="1384" w:type="dxa"/>
          </w:tcPr>
          <w:p w14:paraId="372EB0A8" w14:textId="77777777" w:rsidR="00595FAD" w:rsidRPr="00E07C9A" w:rsidRDefault="00595FAD" w:rsidP="00FF15C6">
            <w:pPr>
              <w:pStyle w:val="Applicationdirecte"/>
              <w:spacing w:before="0" w:after="0"/>
            </w:pPr>
            <w:r w:rsidRPr="00E07C9A">
              <w:t>0190 – 0220</w:t>
            </w:r>
          </w:p>
        </w:tc>
        <w:tc>
          <w:tcPr>
            <w:tcW w:w="7655" w:type="dxa"/>
          </w:tcPr>
          <w:p w14:paraId="153BEAF6" w14:textId="77777777" w:rsidR="00595FAD" w:rsidRPr="00E07C9A" w:rsidRDefault="00595FAD" w:rsidP="00FF15C6">
            <w:pPr>
              <w:keepNext/>
              <w:spacing w:before="60"/>
              <w:rPr>
                <w:rStyle w:val="InstructionsTabelleberschrift"/>
                <w:rFonts w:ascii="Times New Roman" w:hAnsi="Times New Roman"/>
                <w:sz w:val="24"/>
              </w:rPr>
            </w:pPr>
            <w:r w:rsidRPr="00E07C9A">
              <w:rPr>
                <w:rStyle w:val="InstructionsTabelleberschrift"/>
                <w:rFonts w:ascii="Times New Roman" w:hAnsi="Times New Roman"/>
                <w:sz w:val="24"/>
              </w:rPr>
              <w:t>TRANSAKCIE FINANCOVANIA PROSTREDNÍCTVOM CENNÝCH PAPIEROV</w:t>
            </w:r>
          </w:p>
          <w:p w14:paraId="36B18F3F" w14:textId="3D8F8A45" w:rsidR="00595FAD" w:rsidRPr="00E07C9A" w:rsidRDefault="00595FAD" w:rsidP="00FF15C6">
            <w:pPr>
              <w:rPr>
                <w:rFonts w:ascii="Times New Roman" w:hAnsi="Times New Roman"/>
                <w:sz w:val="24"/>
              </w:rPr>
            </w:pPr>
            <w:r w:rsidRPr="00E07C9A">
              <w:rPr>
                <w:rFonts w:ascii="Times New Roman" w:hAnsi="Times New Roman"/>
                <w:sz w:val="24"/>
              </w:rPr>
              <w:t>Inštitúcia vykazuje príslušné informácie týkajúce sa súborov vzájomného započítavania, ktoré obsahujú len SFT,</w:t>
            </w:r>
            <w:r w:rsidR="009912F8" w:rsidRPr="00E07C9A">
              <w:rPr>
                <w:rFonts w:ascii="Times New Roman" w:hAnsi="Times New Roman"/>
                <w:sz w:val="24"/>
              </w:rPr>
              <w:t xml:space="preserve"> v </w:t>
            </w:r>
            <w:r w:rsidRPr="00E07C9A">
              <w:rPr>
                <w:rFonts w:ascii="Times New Roman" w:hAnsi="Times New Roman"/>
                <w:sz w:val="24"/>
              </w:rPr>
              <w:t>súvislosti</w:t>
            </w:r>
            <w:r w:rsidR="009912F8" w:rsidRPr="00E07C9A">
              <w:rPr>
                <w:rFonts w:ascii="Times New Roman" w:hAnsi="Times New Roman"/>
                <w:sz w:val="24"/>
              </w:rPr>
              <w:t xml:space="preserve"> s </w:t>
            </w:r>
            <w:r w:rsidRPr="00E07C9A">
              <w:rPr>
                <w:rFonts w:ascii="Times New Roman" w:hAnsi="Times New Roman"/>
                <w:sz w:val="24"/>
              </w:rPr>
              <w:t>ktorými sa inštitúcii povolilo určovať hodnotu expozície pomocou IMM,</w:t>
            </w:r>
            <w:r w:rsidR="009912F8" w:rsidRPr="00E07C9A">
              <w:rPr>
                <w:rFonts w:ascii="Times New Roman" w:hAnsi="Times New Roman"/>
                <w:sz w:val="24"/>
              </w:rPr>
              <w:t xml:space="preserve"> v </w:t>
            </w:r>
            <w:r w:rsidRPr="00E07C9A">
              <w:rPr>
                <w:rFonts w:ascii="Times New Roman" w:hAnsi="Times New Roman"/>
                <w:sz w:val="24"/>
              </w:rPr>
              <w:t>rozčlenení podľa druhu podkladového aktíva</w:t>
            </w:r>
            <w:r w:rsidR="009912F8" w:rsidRPr="00E07C9A">
              <w:rPr>
                <w:rFonts w:ascii="Times New Roman" w:hAnsi="Times New Roman"/>
                <w:sz w:val="24"/>
              </w:rPr>
              <w:t xml:space="preserve"> v </w:t>
            </w:r>
            <w:r w:rsidRPr="00E07C9A">
              <w:rPr>
                <w:rFonts w:ascii="Times New Roman" w:hAnsi="Times New Roman"/>
                <w:sz w:val="24"/>
              </w:rPr>
              <w:t>časti SFT týkajúcej sa cenných papierov (dlhopis, vlastné imanie alebo iné).</w:t>
            </w:r>
          </w:p>
        </w:tc>
      </w:tr>
      <w:tr w:rsidR="00595FAD" w:rsidRPr="00E07C9A" w14:paraId="7B3AFB76" w14:textId="77777777" w:rsidTr="00FF15C6">
        <w:trPr>
          <w:trHeight w:val="833"/>
        </w:trPr>
        <w:tc>
          <w:tcPr>
            <w:tcW w:w="1384" w:type="dxa"/>
          </w:tcPr>
          <w:p w14:paraId="7A9E75B6" w14:textId="77777777" w:rsidR="00595FAD" w:rsidRPr="00E07C9A" w:rsidRDefault="00595FAD" w:rsidP="00FF15C6">
            <w:pPr>
              <w:pStyle w:val="Applicationdirecte"/>
              <w:spacing w:before="0" w:after="0"/>
            </w:pPr>
            <w:r w:rsidRPr="00E07C9A">
              <w:t>0230</w:t>
            </w:r>
          </w:p>
        </w:tc>
        <w:tc>
          <w:tcPr>
            <w:tcW w:w="7655" w:type="dxa"/>
          </w:tcPr>
          <w:p w14:paraId="2C16D016" w14:textId="77777777" w:rsidR="00595FAD" w:rsidRPr="00E07C9A" w:rsidRDefault="00595FAD" w:rsidP="00FF15C6">
            <w:pPr>
              <w:keepNext/>
              <w:spacing w:before="60"/>
              <w:rPr>
                <w:rStyle w:val="InstructionsTabelleberschrift"/>
                <w:rFonts w:ascii="Times New Roman" w:hAnsi="Times New Roman"/>
                <w:sz w:val="24"/>
              </w:rPr>
            </w:pPr>
            <w:r w:rsidRPr="00E07C9A">
              <w:rPr>
                <w:rStyle w:val="InstructionsTabelleberschrift"/>
                <w:rFonts w:ascii="Times New Roman" w:hAnsi="Times New Roman"/>
                <w:sz w:val="24"/>
              </w:rPr>
              <w:t>SÚBORY KRÍŽOVÉHO VZÁJOMNÉHO ZAPOČÍTAVANIA PRODUKTOV</w:t>
            </w:r>
          </w:p>
          <w:p w14:paraId="0239B755" w14:textId="0B3884DC" w:rsidR="00595FAD" w:rsidRPr="00E07C9A" w:rsidRDefault="00595FAD" w:rsidP="00FF15C6">
            <w:pPr>
              <w:rPr>
                <w:rFonts w:ascii="Times New Roman" w:hAnsi="Times New Roman"/>
                <w:sz w:val="24"/>
              </w:rPr>
            </w:pPr>
            <w:r w:rsidRPr="00E07C9A">
              <w:rPr>
                <w:rFonts w:ascii="Times New Roman" w:hAnsi="Times New Roman"/>
                <w:sz w:val="24"/>
              </w:rPr>
              <w:t>Pozri pokyny</w:t>
            </w:r>
            <w:r w:rsidR="009912F8" w:rsidRPr="00E07C9A">
              <w:rPr>
                <w:rFonts w:ascii="Times New Roman" w:hAnsi="Times New Roman"/>
                <w:sz w:val="24"/>
              </w:rPr>
              <w:t xml:space="preserve"> k </w:t>
            </w:r>
            <w:r w:rsidRPr="00E07C9A">
              <w:rPr>
                <w:rFonts w:ascii="Times New Roman" w:hAnsi="Times New Roman"/>
                <w:sz w:val="24"/>
              </w:rPr>
              <w:t>riadku 0070 vo vzore C 34.02.</w:t>
            </w:r>
          </w:p>
        </w:tc>
      </w:tr>
    </w:tbl>
    <w:p w14:paraId="13E18BD2" w14:textId="77777777" w:rsidR="00595FAD" w:rsidRPr="00E07C9A" w:rsidRDefault="00595FAD" w:rsidP="00595FAD">
      <w:pPr>
        <w:tabs>
          <w:tab w:val="left" w:pos="1430"/>
        </w:tabs>
        <w:rPr>
          <w:rFonts w:ascii="Times New Roman" w:hAnsi="Times New Roman"/>
        </w:rPr>
      </w:pPr>
    </w:p>
    <w:p w14:paraId="4EBDC045" w14:textId="77777777" w:rsidR="00595FAD" w:rsidRPr="00E07C9A" w:rsidRDefault="00595FAD" w:rsidP="005C4397">
      <w:pPr>
        <w:pStyle w:val="Instructionsberschrift2"/>
        <w:numPr>
          <w:ilvl w:val="2"/>
          <w:numId w:val="39"/>
        </w:numPr>
        <w:rPr>
          <w:rFonts w:ascii="Times New Roman" w:hAnsi="Times New Roman" w:cs="Times New Roman"/>
          <w:sz w:val="24"/>
        </w:rPr>
      </w:pPr>
      <w:bookmarkStart w:id="476" w:name="_Toc19715816"/>
      <w:bookmarkStart w:id="477" w:name="_Toc115857846"/>
      <w:r w:rsidRPr="00E07C9A">
        <w:rPr>
          <w:rFonts w:ascii="Times New Roman" w:hAnsi="Times New Roman" w:cs="Times New Roman"/>
          <w:sz w:val="24"/>
        </w:rPr>
        <w:t>C 34.06 – Dvadsať najvýznamnejších protistrán</w:t>
      </w:r>
      <w:bookmarkEnd w:id="476"/>
      <w:bookmarkEnd w:id="477"/>
    </w:p>
    <w:p w14:paraId="6085EDC2" w14:textId="77777777" w:rsidR="00595FAD" w:rsidRPr="00E07C9A" w:rsidRDefault="00595FAD" w:rsidP="005C4397">
      <w:pPr>
        <w:pStyle w:val="Instructionsberschrift2"/>
        <w:numPr>
          <w:ilvl w:val="3"/>
          <w:numId w:val="39"/>
        </w:numPr>
        <w:rPr>
          <w:rFonts w:ascii="Times New Roman" w:hAnsi="Times New Roman" w:cs="Times New Roman"/>
          <w:sz w:val="24"/>
        </w:rPr>
      </w:pPr>
      <w:bookmarkStart w:id="478" w:name="_Toc19715817"/>
      <w:bookmarkStart w:id="479" w:name="_Toc115857847"/>
      <w:r w:rsidRPr="00E07C9A">
        <w:rPr>
          <w:rFonts w:ascii="Times New Roman" w:hAnsi="Times New Roman" w:cs="Times New Roman"/>
          <w:sz w:val="24"/>
        </w:rPr>
        <w:t>Všeobecné poznámky</w:t>
      </w:r>
      <w:bookmarkEnd w:id="478"/>
      <w:bookmarkEnd w:id="479"/>
    </w:p>
    <w:p w14:paraId="0CFF0B63" w14:textId="18C301AD" w:rsidR="00595FAD" w:rsidRPr="00E07C9A" w:rsidRDefault="002A18DE" w:rsidP="00487A02">
      <w:pPr>
        <w:pStyle w:val="InstructionsText2"/>
        <w:numPr>
          <w:ilvl w:val="0"/>
          <w:numId w:val="0"/>
        </w:numPr>
        <w:ind w:left="1353" w:hanging="360"/>
      </w:pPr>
      <w:fldSimple w:instr=" seq paragraphs ">
        <w:r w:rsidR="00132AEE">
          <w:rPr>
            <w:noProof/>
          </w:rPr>
          <w:t>126</w:t>
        </w:r>
      </w:fldSimple>
      <w:r w:rsidR="00C3070C" w:rsidRPr="00E07C9A">
        <w:t>. Inštitúcie vykazujú informácie</w:t>
      </w:r>
      <w:r w:rsidR="009912F8" w:rsidRPr="00E07C9A">
        <w:t xml:space="preserve"> o </w:t>
      </w:r>
      <w:r w:rsidR="00C3070C" w:rsidRPr="00E07C9A">
        <w:t>20 najvýznamnejších protistranách,</w:t>
      </w:r>
      <w:r w:rsidR="009912F8" w:rsidRPr="00E07C9A">
        <w:t xml:space="preserve"> s </w:t>
      </w:r>
      <w:r w:rsidR="00C3070C" w:rsidRPr="00E07C9A">
        <w:t>ktorými majú najväčšie expozície voči CCR. Poradie sa určuje na základe hodnôt expozícií voči CCR vykázaných</w:t>
      </w:r>
      <w:r w:rsidR="009912F8" w:rsidRPr="00E07C9A">
        <w:t xml:space="preserve"> v </w:t>
      </w:r>
      <w:r w:rsidR="00C3070C" w:rsidRPr="00E07C9A">
        <w:t>stĺpci 0120 tohto vzoru pre všetky súbory vzájomného započítavania</w:t>
      </w:r>
      <w:r w:rsidR="009912F8" w:rsidRPr="00E07C9A">
        <w:t xml:space="preserve"> s </w:t>
      </w:r>
      <w:r w:rsidR="00C3070C" w:rsidRPr="00E07C9A">
        <w:t>jednotlivými protistranami. Pri určovaní zoznamu 20 najvýznamnejších protistrán sa zohľadňujú aj expozície</w:t>
      </w:r>
      <w:r w:rsidR="009912F8" w:rsidRPr="00E07C9A">
        <w:t xml:space="preserve"> v </w:t>
      </w:r>
      <w:r w:rsidR="00C3070C" w:rsidRPr="00E07C9A">
        <w:t>rámci skupiny alebo iné expozície, ktoré vedú</w:t>
      </w:r>
      <w:r w:rsidR="009912F8" w:rsidRPr="00E07C9A">
        <w:t xml:space="preserve"> k </w:t>
      </w:r>
      <w:r w:rsidR="00C3070C" w:rsidRPr="00E07C9A">
        <w:t>vzniku kreditného rizika protistrany, ale ktorým inštitúcie</w:t>
      </w:r>
      <w:r w:rsidR="009912F8" w:rsidRPr="00E07C9A">
        <w:t xml:space="preserve"> v </w:t>
      </w:r>
      <w:r w:rsidR="00C3070C" w:rsidRPr="00E07C9A">
        <w:t>súlade</w:t>
      </w:r>
      <w:r w:rsidR="009912F8" w:rsidRPr="00E07C9A">
        <w:t xml:space="preserve"> s </w:t>
      </w:r>
      <w:r w:rsidR="00C3070C" w:rsidRPr="00E07C9A">
        <w:t>článkom 113 ods. 6</w:t>
      </w:r>
      <w:r w:rsidR="009912F8" w:rsidRPr="00E07C9A">
        <w:t xml:space="preserve"> a </w:t>
      </w:r>
      <w:r w:rsidR="00C3070C" w:rsidRPr="00E07C9A">
        <w:t xml:space="preserve">7 nariadenia (EÚ) </w:t>
      </w:r>
      <w:r w:rsidR="009912F8" w:rsidRPr="00E07C9A">
        <w:t>č. 575/2013</w:t>
      </w:r>
      <w:r w:rsidR="00C3070C" w:rsidRPr="00E07C9A">
        <w:t xml:space="preserve"> priraďujú na účel výpočtu požiadaviek na vlastné zdroje nulovú rizikovú váhu.</w:t>
      </w:r>
    </w:p>
    <w:p w14:paraId="2F649BA0" w14:textId="5FF2FA32" w:rsidR="00595FAD" w:rsidRPr="00E07C9A" w:rsidRDefault="002A18DE" w:rsidP="00487A02">
      <w:pPr>
        <w:pStyle w:val="InstructionsText2"/>
        <w:numPr>
          <w:ilvl w:val="0"/>
          <w:numId w:val="0"/>
        </w:numPr>
        <w:ind w:left="1353" w:hanging="360"/>
      </w:pPr>
      <w:fldSimple w:instr=" seq paragraphs ">
        <w:r w:rsidR="00132AEE">
          <w:rPr>
            <w:noProof/>
          </w:rPr>
          <w:t>127</w:t>
        </w:r>
      </w:fldSimple>
      <w:r w:rsidR="00C3070C" w:rsidRPr="00E07C9A">
        <w:t>. Inštitúcie, ktoré na výpočet expozícií voči CCR uplatňujú štandardizovaný prístup (SA-CCR) alebo metódu interných modelov (IMM) podľa tretej časti hlavy II kapitoly 6 oddielov 3</w:t>
      </w:r>
      <w:r w:rsidR="009912F8" w:rsidRPr="00E07C9A">
        <w:t xml:space="preserve"> a </w:t>
      </w:r>
      <w:r w:rsidR="00C3070C" w:rsidRPr="00E07C9A">
        <w:t xml:space="preserve">6 nariadenia (EÚ) </w:t>
      </w:r>
      <w:r w:rsidR="009912F8" w:rsidRPr="00E07C9A">
        <w:t>č. 575/2013</w:t>
      </w:r>
      <w:r w:rsidR="00C3070C" w:rsidRPr="00E07C9A">
        <w:t>, vykazujú tento vzor štvrťročne. Inštitúcie, ktoré na výpočet expozícií voči CCR uplatňujú zjednodušený štandardizovaný prístup alebo metódu pôvodnej expozície (OEM) podľa tretej časti hlavy II kapitoly 6 oddielov 4</w:t>
      </w:r>
      <w:r w:rsidR="009912F8" w:rsidRPr="00E07C9A">
        <w:t xml:space="preserve"> a </w:t>
      </w:r>
      <w:r w:rsidR="00C3070C" w:rsidRPr="00E07C9A">
        <w:t xml:space="preserve">5 nariadenia (EÚ) </w:t>
      </w:r>
      <w:r w:rsidR="009912F8" w:rsidRPr="00E07C9A">
        <w:t>č. 575/2013</w:t>
      </w:r>
      <w:r w:rsidR="00C3070C" w:rsidRPr="00E07C9A">
        <w:t xml:space="preserve">, vykazujú tento vzor polročne. </w:t>
      </w:r>
      <w:bookmarkStart w:id="480" w:name="_Toc19715818"/>
      <w:r w:rsidR="00C3070C" w:rsidRPr="00E07C9A">
        <w:t>Pokyny týkajúce sa konkrétnych pozícií</w:t>
      </w:r>
      <w:bookmarkEnd w:id="480"/>
    </w:p>
    <w:p w14:paraId="41B3079E" w14:textId="451490C6" w:rsidR="00595FAD" w:rsidRPr="00E07C9A" w:rsidRDefault="00595FAD" w:rsidP="005C4397">
      <w:pPr>
        <w:pStyle w:val="Instructionsberschrift2"/>
        <w:numPr>
          <w:ilvl w:val="3"/>
          <w:numId w:val="39"/>
        </w:numPr>
        <w:rPr>
          <w:rFonts w:ascii="Times New Roman" w:hAnsi="Times New Roman" w:cs="Times New Roman"/>
          <w:sz w:val="24"/>
        </w:rPr>
      </w:pPr>
      <w:bookmarkStart w:id="481" w:name="_Toc115857848"/>
      <w:r w:rsidRPr="00E07C9A">
        <w:rPr>
          <w:rFonts w:ascii="Times New Roman" w:hAnsi="Times New Roman" w:cs="Times New Roman"/>
          <w:sz w:val="24"/>
        </w:rPr>
        <w:t>Pokyny týkajúce sa konkrétnych pozícií</w:t>
      </w:r>
      <w:bookmarkEnd w:id="48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E07C9A" w14:paraId="5B2F61B7" w14:textId="77777777" w:rsidTr="00FF15C6">
        <w:trPr>
          <w:trHeight w:val="238"/>
        </w:trPr>
        <w:tc>
          <w:tcPr>
            <w:tcW w:w="9039" w:type="dxa"/>
            <w:gridSpan w:val="2"/>
            <w:tcBorders>
              <w:right w:val="single" w:sz="4" w:space="0" w:color="auto"/>
            </w:tcBorders>
            <w:shd w:val="clear" w:color="auto" w:fill="D9D9D9" w:themeFill="background1" w:themeFillShade="D9"/>
          </w:tcPr>
          <w:p w14:paraId="0C37FE9C" w14:textId="77777777" w:rsidR="00595FAD" w:rsidRPr="00E07C9A" w:rsidRDefault="00595FAD" w:rsidP="00751FBE">
            <w:pPr>
              <w:autoSpaceDE w:val="0"/>
              <w:autoSpaceDN w:val="0"/>
              <w:adjustRightInd w:val="0"/>
              <w:rPr>
                <w:rFonts w:ascii="Times New Roman" w:hAnsi="Times New Roman"/>
                <w:b/>
                <w:sz w:val="24"/>
              </w:rPr>
            </w:pPr>
            <w:r w:rsidRPr="00E07C9A">
              <w:rPr>
                <w:rFonts w:ascii="Times New Roman" w:hAnsi="Times New Roman"/>
                <w:b/>
                <w:sz w:val="24"/>
              </w:rPr>
              <w:t>Stĺpce</w:t>
            </w:r>
          </w:p>
        </w:tc>
      </w:tr>
      <w:tr w:rsidR="00595FAD" w:rsidRPr="00E07C9A" w14:paraId="247729FE" w14:textId="77777777" w:rsidTr="00FF15C6">
        <w:trPr>
          <w:trHeight w:val="680"/>
        </w:trPr>
        <w:tc>
          <w:tcPr>
            <w:tcW w:w="1384" w:type="dxa"/>
          </w:tcPr>
          <w:p w14:paraId="43C4886A" w14:textId="77777777" w:rsidR="00595FAD" w:rsidRPr="00E07C9A" w:rsidRDefault="001C2A41" w:rsidP="00FF15C6">
            <w:pPr>
              <w:pStyle w:val="Applicationdirecte"/>
              <w:spacing w:before="0" w:after="0"/>
            </w:pPr>
            <w:r w:rsidRPr="00E07C9A">
              <w:t>0011</w:t>
            </w:r>
          </w:p>
        </w:tc>
        <w:tc>
          <w:tcPr>
            <w:tcW w:w="7655" w:type="dxa"/>
            <w:vAlign w:val="center"/>
          </w:tcPr>
          <w:p w14:paraId="65B229AA" w14:textId="77777777" w:rsidR="00595FAD" w:rsidRPr="00E07C9A" w:rsidRDefault="00595FAD" w:rsidP="00FF15C6">
            <w:pPr>
              <w:keepNext/>
              <w:spacing w:before="60"/>
              <w:rPr>
                <w:rStyle w:val="InstructionsTabelleberschrift"/>
                <w:rFonts w:ascii="Times New Roman" w:hAnsi="Times New Roman"/>
                <w:sz w:val="24"/>
              </w:rPr>
            </w:pPr>
            <w:r w:rsidRPr="00E07C9A">
              <w:rPr>
                <w:rStyle w:val="InstructionsTabelleberschrift"/>
                <w:rFonts w:ascii="Times New Roman" w:hAnsi="Times New Roman"/>
                <w:sz w:val="24"/>
              </w:rPr>
              <w:t>NÁZOV</w:t>
            </w:r>
          </w:p>
          <w:p w14:paraId="7EF552D1" w14:textId="77777777" w:rsidR="00595FAD" w:rsidRPr="00E07C9A" w:rsidRDefault="00595FAD" w:rsidP="00FF15C6">
            <w:pPr>
              <w:keepNext/>
              <w:spacing w:before="60"/>
              <w:rPr>
                <w:rFonts w:ascii="Times New Roman" w:hAnsi="Times New Roman"/>
                <w:szCs w:val="22"/>
              </w:rPr>
            </w:pPr>
            <w:r w:rsidRPr="00E07C9A">
              <w:rPr>
                <w:rFonts w:ascii="Times New Roman" w:hAnsi="Times New Roman"/>
                <w:sz w:val="24"/>
              </w:rPr>
              <w:t>Názov protistrany</w:t>
            </w:r>
          </w:p>
        </w:tc>
      </w:tr>
      <w:tr w:rsidR="00595FAD" w:rsidRPr="00E07C9A" w14:paraId="48BF2FE7" w14:textId="77777777" w:rsidTr="00FF15C6">
        <w:trPr>
          <w:trHeight w:val="680"/>
        </w:trPr>
        <w:tc>
          <w:tcPr>
            <w:tcW w:w="1384" w:type="dxa"/>
          </w:tcPr>
          <w:p w14:paraId="0A92B7BD" w14:textId="77777777" w:rsidR="00595FAD" w:rsidRPr="00E07C9A" w:rsidRDefault="00595FAD" w:rsidP="00FF15C6">
            <w:pPr>
              <w:pStyle w:val="Applicationdirecte"/>
              <w:spacing w:before="0" w:after="0"/>
            </w:pPr>
            <w:r w:rsidRPr="00E07C9A">
              <w:t>0020</w:t>
            </w:r>
          </w:p>
        </w:tc>
        <w:tc>
          <w:tcPr>
            <w:tcW w:w="7655" w:type="dxa"/>
            <w:vAlign w:val="center"/>
          </w:tcPr>
          <w:p w14:paraId="399F858F" w14:textId="77777777" w:rsidR="00595FAD" w:rsidRPr="00E07C9A" w:rsidRDefault="00595FAD" w:rsidP="00FF15C6">
            <w:pPr>
              <w:keepNext/>
              <w:spacing w:before="60"/>
              <w:rPr>
                <w:rFonts w:ascii="Times New Roman" w:hAnsi="Times New Roman"/>
                <w:b/>
                <w:sz w:val="24"/>
                <w:u w:val="single"/>
              </w:rPr>
            </w:pPr>
            <w:r w:rsidRPr="00E07C9A">
              <w:rPr>
                <w:rFonts w:ascii="Times New Roman" w:hAnsi="Times New Roman"/>
                <w:b/>
                <w:sz w:val="24"/>
                <w:u w:val="single"/>
              </w:rPr>
              <w:t>KÓD</w:t>
            </w:r>
          </w:p>
          <w:p w14:paraId="37D385C2" w14:textId="559D8553" w:rsidR="00595FAD" w:rsidRPr="00E07C9A" w:rsidRDefault="00595FAD" w:rsidP="00A707F3">
            <w:pPr>
              <w:keepNext/>
              <w:spacing w:before="60"/>
              <w:rPr>
                <w:rFonts w:ascii="Times New Roman" w:hAnsi="Times New Roman"/>
                <w:sz w:val="24"/>
                <w:u w:val="single"/>
              </w:rPr>
            </w:pPr>
            <w:r w:rsidRPr="00E07C9A">
              <w:rPr>
                <w:rFonts w:ascii="Times New Roman" w:hAnsi="Times New Roman"/>
                <w:sz w:val="24"/>
              </w:rPr>
              <w:t>Kód ako súčasť identifikátora riadku musí byť jedinečný pre každý vykazovaný subjekt.</w:t>
            </w:r>
            <w:r w:rsidR="009912F8" w:rsidRPr="00E07C9A">
              <w:rPr>
                <w:rFonts w:ascii="Times New Roman" w:hAnsi="Times New Roman"/>
                <w:sz w:val="24"/>
              </w:rPr>
              <w:t xml:space="preserve"> V </w:t>
            </w:r>
            <w:r w:rsidRPr="00E07C9A">
              <w:rPr>
                <w:rFonts w:ascii="Times New Roman" w:hAnsi="Times New Roman"/>
                <w:sz w:val="24"/>
              </w:rPr>
              <w:t>prípade inštitúcií</w:t>
            </w:r>
            <w:r w:rsidR="009912F8" w:rsidRPr="00E07C9A">
              <w:rPr>
                <w:rFonts w:ascii="Times New Roman" w:hAnsi="Times New Roman"/>
                <w:sz w:val="24"/>
              </w:rPr>
              <w:t xml:space="preserve"> a </w:t>
            </w:r>
            <w:r w:rsidRPr="00E07C9A">
              <w:rPr>
                <w:rFonts w:ascii="Times New Roman" w:hAnsi="Times New Roman"/>
                <w:sz w:val="24"/>
              </w:rPr>
              <w:t>poisťovní je kódom kód LEI.</w:t>
            </w:r>
            <w:r w:rsidR="009912F8" w:rsidRPr="00E07C9A">
              <w:rPr>
                <w:rFonts w:ascii="Times New Roman" w:hAnsi="Times New Roman"/>
                <w:sz w:val="24"/>
              </w:rPr>
              <w:t xml:space="preserve"> V </w:t>
            </w:r>
            <w:r w:rsidRPr="00E07C9A">
              <w:rPr>
                <w:rFonts w:ascii="Times New Roman" w:hAnsi="Times New Roman"/>
                <w:sz w:val="24"/>
              </w:rPr>
              <w:t>prípade ostatných subjektov je kódom kód LEI alebo, ak nie je</w:t>
            </w:r>
            <w:r w:rsidR="009912F8" w:rsidRPr="00E07C9A">
              <w:rPr>
                <w:rFonts w:ascii="Times New Roman" w:hAnsi="Times New Roman"/>
                <w:sz w:val="24"/>
              </w:rPr>
              <w:t xml:space="preserve"> k </w:t>
            </w:r>
            <w:r w:rsidRPr="00E07C9A">
              <w:rPr>
                <w:rFonts w:ascii="Times New Roman" w:hAnsi="Times New Roman"/>
                <w:sz w:val="24"/>
              </w:rPr>
              <w:t>dispozícii, kód iný ako LEI. Kód je jedinečný</w:t>
            </w:r>
            <w:r w:rsidR="009912F8" w:rsidRPr="00E07C9A">
              <w:rPr>
                <w:rFonts w:ascii="Times New Roman" w:hAnsi="Times New Roman"/>
                <w:sz w:val="24"/>
              </w:rPr>
              <w:t xml:space="preserve"> a </w:t>
            </w:r>
            <w:r w:rsidRPr="00E07C9A">
              <w:rPr>
                <w:rFonts w:ascii="Times New Roman" w:hAnsi="Times New Roman"/>
                <w:sz w:val="24"/>
              </w:rPr>
              <w:t>používa sa konzistentne vo všetkých vzoroch</w:t>
            </w:r>
            <w:r w:rsidR="009912F8" w:rsidRPr="00E07C9A">
              <w:rPr>
                <w:rFonts w:ascii="Times New Roman" w:hAnsi="Times New Roman"/>
                <w:sz w:val="24"/>
              </w:rPr>
              <w:t xml:space="preserve"> a v </w:t>
            </w:r>
            <w:r w:rsidRPr="00E07C9A">
              <w:rPr>
                <w:rFonts w:ascii="Times New Roman" w:hAnsi="Times New Roman"/>
                <w:sz w:val="24"/>
              </w:rPr>
              <w:t>priebehu času. Kód má vždy hodnotu.</w:t>
            </w:r>
          </w:p>
        </w:tc>
      </w:tr>
      <w:tr w:rsidR="00595FAD" w:rsidRPr="00E07C9A" w14:paraId="45FC6CBD" w14:textId="77777777" w:rsidTr="00FF15C6">
        <w:trPr>
          <w:trHeight w:val="680"/>
        </w:trPr>
        <w:tc>
          <w:tcPr>
            <w:tcW w:w="1384" w:type="dxa"/>
          </w:tcPr>
          <w:p w14:paraId="699D953F" w14:textId="77777777" w:rsidR="00595FAD" w:rsidRPr="00E07C9A" w:rsidRDefault="00595FAD" w:rsidP="00FF15C6">
            <w:pPr>
              <w:pStyle w:val="Applicationdirecte"/>
              <w:spacing w:before="0" w:after="0"/>
            </w:pPr>
            <w:r w:rsidRPr="00E07C9A">
              <w:t>0030</w:t>
            </w:r>
          </w:p>
        </w:tc>
        <w:tc>
          <w:tcPr>
            <w:tcW w:w="7655" w:type="dxa"/>
            <w:vAlign w:val="center"/>
          </w:tcPr>
          <w:p w14:paraId="5D73740B" w14:textId="77777777" w:rsidR="00595FAD" w:rsidRPr="00E07C9A" w:rsidRDefault="00595FAD" w:rsidP="00FF15C6">
            <w:pPr>
              <w:keepNext/>
              <w:spacing w:before="60"/>
              <w:rPr>
                <w:rFonts w:ascii="Times New Roman" w:hAnsi="Times New Roman"/>
                <w:b/>
                <w:sz w:val="24"/>
                <w:u w:val="single"/>
              </w:rPr>
            </w:pPr>
            <w:r w:rsidRPr="00E07C9A">
              <w:rPr>
                <w:rFonts w:ascii="Times New Roman" w:hAnsi="Times New Roman"/>
                <w:b/>
                <w:sz w:val="24"/>
                <w:u w:val="single"/>
              </w:rPr>
              <w:t>DRUH KÓDU</w:t>
            </w:r>
          </w:p>
          <w:p w14:paraId="3137A1E3" w14:textId="136A8AB8" w:rsidR="00595FAD" w:rsidRPr="00E07C9A" w:rsidRDefault="00595FAD" w:rsidP="00FF15C6">
            <w:pPr>
              <w:rPr>
                <w:rStyle w:val="FormatvorlageInstructionsTabelleText"/>
                <w:rFonts w:ascii="Times New Roman" w:hAnsi="Times New Roman"/>
              </w:rPr>
            </w:pPr>
            <w:r w:rsidRPr="00E07C9A">
              <w:rPr>
                <w:rFonts w:ascii="Times New Roman" w:hAnsi="Times New Roman"/>
                <w:sz w:val="24"/>
              </w:rPr>
              <w:t>Inštitúcia uvádza druh kódu vykazovaného</w:t>
            </w:r>
            <w:r w:rsidR="009912F8" w:rsidRPr="00E07C9A">
              <w:rPr>
                <w:rFonts w:ascii="Times New Roman" w:hAnsi="Times New Roman"/>
                <w:sz w:val="24"/>
              </w:rPr>
              <w:t xml:space="preserve"> v </w:t>
            </w:r>
            <w:r w:rsidRPr="00E07C9A">
              <w:rPr>
                <w:rStyle w:val="FormatvorlageInstructionsTabelleText"/>
                <w:rFonts w:ascii="Times New Roman" w:hAnsi="Times New Roman"/>
                <w:sz w:val="24"/>
              </w:rPr>
              <w:t>stĺpci 0020 ako „kód LEI“ alebo „vnútroštátny kód“.</w:t>
            </w:r>
          </w:p>
          <w:p w14:paraId="3E4A5DC7" w14:textId="77777777" w:rsidR="00595FAD" w:rsidRPr="00E07C9A" w:rsidRDefault="00595FAD" w:rsidP="00FF15C6">
            <w:pPr>
              <w:rPr>
                <w:rFonts w:ascii="Times New Roman" w:hAnsi="Times New Roman"/>
                <w:bCs/>
                <w:sz w:val="24"/>
              </w:rPr>
            </w:pPr>
            <w:r w:rsidRPr="00E07C9A">
              <w:rPr>
                <w:rFonts w:ascii="Times New Roman" w:hAnsi="Times New Roman"/>
                <w:sz w:val="24"/>
              </w:rPr>
              <w:t>Druh kódu sa vykazuje vždy.</w:t>
            </w:r>
          </w:p>
        </w:tc>
      </w:tr>
      <w:tr w:rsidR="00595FAD" w:rsidRPr="00E07C9A" w14:paraId="55754413" w14:textId="77777777" w:rsidTr="00FF15C6">
        <w:trPr>
          <w:trHeight w:val="680"/>
        </w:trPr>
        <w:tc>
          <w:tcPr>
            <w:tcW w:w="1384" w:type="dxa"/>
          </w:tcPr>
          <w:p w14:paraId="7FE47981" w14:textId="77777777" w:rsidR="00595FAD" w:rsidRPr="00E07C9A" w:rsidRDefault="00595FAD" w:rsidP="00FF15C6">
            <w:pPr>
              <w:pStyle w:val="Applicationdirecte"/>
              <w:spacing w:before="0" w:after="0"/>
            </w:pPr>
            <w:r w:rsidRPr="00E07C9A">
              <w:t>0035</w:t>
            </w:r>
          </w:p>
        </w:tc>
        <w:tc>
          <w:tcPr>
            <w:tcW w:w="7655" w:type="dxa"/>
            <w:vAlign w:val="center"/>
          </w:tcPr>
          <w:p w14:paraId="7B164AD0" w14:textId="77777777" w:rsidR="00595FAD" w:rsidRPr="00E07C9A" w:rsidRDefault="00595FAD" w:rsidP="00FF15C6">
            <w:pPr>
              <w:keepNext/>
              <w:spacing w:before="60"/>
              <w:rPr>
                <w:rFonts w:ascii="Times New Roman" w:hAnsi="Times New Roman"/>
                <w:b/>
                <w:sz w:val="24"/>
                <w:u w:val="single"/>
              </w:rPr>
            </w:pPr>
            <w:r w:rsidRPr="00E07C9A">
              <w:rPr>
                <w:rFonts w:ascii="Times New Roman" w:hAnsi="Times New Roman"/>
                <w:b/>
                <w:sz w:val="24"/>
                <w:u w:val="single"/>
              </w:rPr>
              <w:t>VNÚTROŠTÁTNY KÓD</w:t>
            </w:r>
          </w:p>
          <w:p w14:paraId="2140FEA2" w14:textId="53B1B4E7" w:rsidR="00595FAD" w:rsidRPr="00E07C9A" w:rsidRDefault="00595FAD" w:rsidP="00FF15C6">
            <w:pPr>
              <w:pStyle w:val="ListParagraph"/>
              <w:ind w:left="65"/>
              <w:rPr>
                <w:rFonts w:ascii="Times New Roman" w:hAnsi="Times New Roman"/>
                <w:b/>
                <w:sz w:val="24"/>
                <w:u w:val="single"/>
              </w:rPr>
            </w:pPr>
            <w:r w:rsidRPr="00E07C9A">
              <w:rPr>
                <w:rFonts w:ascii="Times New Roman" w:hAnsi="Times New Roman"/>
                <w:sz w:val="24"/>
              </w:rPr>
              <w:t>Inštitúcia môže dodatočne vykazovať vnútroštátny kód, keď</w:t>
            </w:r>
            <w:r w:rsidR="009912F8" w:rsidRPr="00E07C9A">
              <w:rPr>
                <w:rFonts w:ascii="Times New Roman" w:hAnsi="Times New Roman"/>
                <w:sz w:val="24"/>
              </w:rPr>
              <w:t xml:space="preserve"> v </w:t>
            </w:r>
            <w:r w:rsidRPr="00E07C9A">
              <w:rPr>
                <w:rFonts w:ascii="Times New Roman" w:hAnsi="Times New Roman"/>
                <w:sz w:val="24"/>
              </w:rPr>
              <w:t>stĺpci 0020 určenom pre „kód“ vykazuje ako identifikátor kód LEI.</w:t>
            </w:r>
          </w:p>
        </w:tc>
      </w:tr>
      <w:tr w:rsidR="00595FAD" w:rsidRPr="00E07C9A" w14:paraId="1BB1CB99" w14:textId="77777777" w:rsidTr="00FF15C6">
        <w:trPr>
          <w:trHeight w:val="680"/>
        </w:trPr>
        <w:tc>
          <w:tcPr>
            <w:tcW w:w="1384" w:type="dxa"/>
          </w:tcPr>
          <w:p w14:paraId="0EC161B9" w14:textId="77777777" w:rsidR="00595FAD" w:rsidRPr="00E07C9A" w:rsidRDefault="00595FAD" w:rsidP="00FF15C6">
            <w:pPr>
              <w:pStyle w:val="Applicationdirecte"/>
              <w:spacing w:before="0" w:after="0"/>
            </w:pPr>
            <w:r w:rsidRPr="00E07C9A">
              <w:t>0040</w:t>
            </w:r>
          </w:p>
        </w:tc>
        <w:tc>
          <w:tcPr>
            <w:tcW w:w="7655" w:type="dxa"/>
            <w:vAlign w:val="center"/>
          </w:tcPr>
          <w:p w14:paraId="2BCEC15D" w14:textId="77777777" w:rsidR="00595FAD" w:rsidRPr="00E07C9A" w:rsidRDefault="00595FAD" w:rsidP="00FF15C6">
            <w:pPr>
              <w:keepNext/>
              <w:spacing w:before="60"/>
              <w:rPr>
                <w:rFonts w:ascii="Times New Roman" w:hAnsi="Times New Roman"/>
                <w:b/>
                <w:sz w:val="24"/>
                <w:u w:val="single"/>
              </w:rPr>
            </w:pPr>
            <w:r w:rsidRPr="00E07C9A">
              <w:rPr>
                <w:rFonts w:ascii="Times New Roman" w:hAnsi="Times New Roman"/>
                <w:b/>
                <w:sz w:val="24"/>
                <w:u w:val="single"/>
              </w:rPr>
              <w:t>SEKTOR PROTISTRANY</w:t>
            </w:r>
          </w:p>
          <w:p w14:paraId="35DCC761" w14:textId="79E868E2" w:rsidR="00595FAD" w:rsidRPr="00E07C9A" w:rsidRDefault="00595FAD" w:rsidP="00FF15C6">
            <w:pPr>
              <w:keepNext/>
              <w:spacing w:before="60"/>
              <w:rPr>
                <w:rFonts w:ascii="Times New Roman" w:hAnsi="Times New Roman"/>
                <w:sz w:val="24"/>
              </w:rPr>
            </w:pPr>
            <w:r w:rsidRPr="00E07C9A">
              <w:rPr>
                <w:rFonts w:ascii="Times New Roman" w:hAnsi="Times New Roman"/>
                <w:sz w:val="24"/>
              </w:rPr>
              <w:t>Pre každú protistranu sa vyberie jeden sektor na základe týchto tried hospodárskych sektorov podľa FINREP (pozri tretiu časť prílohy</w:t>
            </w:r>
            <w:r w:rsidR="009912F8" w:rsidRPr="00E07C9A">
              <w:rPr>
                <w:rFonts w:ascii="Times New Roman" w:hAnsi="Times New Roman"/>
                <w:sz w:val="24"/>
              </w:rPr>
              <w:t xml:space="preserve"> V k </w:t>
            </w:r>
            <w:r w:rsidRPr="00E07C9A">
              <w:rPr>
                <w:rFonts w:ascii="Times New Roman" w:hAnsi="Times New Roman"/>
                <w:sz w:val="24"/>
              </w:rPr>
              <w:t>tomuto vykonávaciemu nariadeniu):</w:t>
            </w:r>
          </w:p>
          <w:p w14:paraId="71D9AFB9" w14:textId="77777777" w:rsidR="00595FAD" w:rsidRPr="00E07C9A" w:rsidRDefault="00595FAD" w:rsidP="00FF15C6">
            <w:pPr>
              <w:keepNext/>
              <w:spacing w:before="60"/>
              <w:rPr>
                <w:rFonts w:ascii="Times New Roman" w:hAnsi="Times New Roman"/>
                <w:sz w:val="24"/>
              </w:rPr>
            </w:pPr>
            <w:r w:rsidRPr="00E07C9A">
              <w:rPr>
                <w:rFonts w:ascii="Times New Roman" w:hAnsi="Times New Roman"/>
                <w:sz w:val="24"/>
              </w:rPr>
              <w:t>i) centrálne banky;</w:t>
            </w:r>
          </w:p>
          <w:p w14:paraId="47374418" w14:textId="77777777" w:rsidR="00595FAD" w:rsidRPr="00E07C9A" w:rsidRDefault="00595FAD" w:rsidP="00FF15C6">
            <w:pPr>
              <w:keepNext/>
              <w:spacing w:before="60"/>
              <w:rPr>
                <w:rFonts w:ascii="Times New Roman" w:hAnsi="Times New Roman"/>
                <w:sz w:val="24"/>
              </w:rPr>
            </w:pPr>
            <w:r w:rsidRPr="00E07C9A">
              <w:rPr>
                <w:rFonts w:ascii="Times New Roman" w:hAnsi="Times New Roman"/>
                <w:sz w:val="24"/>
              </w:rPr>
              <w:t>ii)</w:t>
            </w:r>
            <w:r w:rsidRPr="00E07C9A">
              <w:rPr>
                <w:rFonts w:ascii="Times New Roman" w:hAnsi="Times New Roman"/>
              </w:rPr>
              <w:tab/>
            </w:r>
            <w:r w:rsidRPr="00E07C9A">
              <w:rPr>
                <w:rFonts w:ascii="Times New Roman" w:hAnsi="Times New Roman"/>
                <w:sz w:val="24"/>
              </w:rPr>
              <w:t>orgány verejnej správy;</w:t>
            </w:r>
          </w:p>
          <w:p w14:paraId="2E3C182C" w14:textId="77777777" w:rsidR="00595FAD" w:rsidRPr="00E07C9A" w:rsidRDefault="00595FAD" w:rsidP="00FF15C6">
            <w:pPr>
              <w:keepNext/>
              <w:spacing w:before="60"/>
              <w:rPr>
                <w:rFonts w:ascii="Times New Roman" w:hAnsi="Times New Roman"/>
                <w:sz w:val="24"/>
              </w:rPr>
            </w:pPr>
            <w:r w:rsidRPr="00E07C9A">
              <w:rPr>
                <w:rFonts w:ascii="Times New Roman" w:hAnsi="Times New Roman"/>
                <w:sz w:val="24"/>
              </w:rPr>
              <w:t>iii)</w:t>
            </w:r>
            <w:r w:rsidRPr="00E07C9A">
              <w:rPr>
                <w:rFonts w:ascii="Times New Roman" w:hAnsi="Times New Roman"/>
              </w:rPr>
              <w:tab/>
            </w:r>
            <w:r w:rsidRPr="00E07C9A">
              <w:rPr>
                <w:rFonts w:ascii="Times New Roman" w:hAnsi="Times New Roman"/>
                <w:sz w:val="24"/>
              </w:rPr>
              <w:t>úverové inštitúcie;</w:t>
            </w:r>
          </w:p>
          <w:p w14:paraId="52782673" w14:textId="2BE57B7A" w:rsidR="00595FAD" w:rsidRPr="00E07C9A" w:rsidRDefault="00595FAD" w:rsidP="00FF15C6">
            <w:pPr>
              <w:keepNext/>
              <w:spacing w:before="60"/>
              <w:rPr>
                <w:rFonts w:ascii="Times New Roman" w:hAnsi="Times New Roman"/>
                <w:sz w:val="24"/>
              </w:rPr>
            </w:pPr>
            <w:r w:rsidRPr="00E07C9A">
              <w:rPr>
                <w:rFonts w:ascii="Times New Roman" w:hAnsi="Times New Roman"/>
                <w:sz w:val="24"/>
              </w:rPr>
              <w:t>iv)</w:t>
            </w:r>
            <w:r w:rsidRPr="00E07C9A">
              <w:rPr>
                <w:rFonts w:ascii="Times New Roman" w:hAnsi="Times New Roman"/>
              </w:rPr>
              <w:tab/>
            </w:r>
            <w:r w:rsidRPr="00E07C9A">
              <w:rPr>
                <w:rFonts w:ascii="Times New Roman" w:hAnsi="Times New Roman"/>
                <w:sz w:val="24"/>
              </w:rPr>
              <w:t>investičné spoločnosti</w:t>
            </w:r>
            <w:r w:rsidR="009912F8" w:rsidRPr="00E07C9A">
              <w:rPr>
                <w:rFonts w:ascii="Times New Roman" w:hAnsi="Times New Roman"/>
                <w:sz w:val="24"/>
              </w:rPr>
              <w:t xml:space="preserve"> v </w:t>
            </w:r>
            <w:r w:rsidRPr="00E07C9A">
              <w:rPr>
                <w:rFonts w:ascii="Times New Roman" w:hAnsi="Times New Roman"/>
                <w:sz w:val="24"/>
              </w:rPr>
              <w:t>zmysle vymedzenia</w:t>
            </w:r>
            <w:r w:rsidR="009912F8" w:rsidRPr="00E07C9A">
              <w:rPr>
                <w:rFonts w:ascii="Times New Roman" w:hAnsi="Times New Roman"/>
                <w:sz w:val="24"/>
              </w:rPr>
              <w:t xml:space="preserve"> v </w:t>
            </w:r>
            <w:r w:rsidRPr="00E07C9A">
              <w:rPr>
                <w:rFonts w:ascii="Times New Roman" w:hAnsi="Times New Roman"/>
                <w:sz w:val="24"/>
              </w:rPr>
              <w:t xml:space="preserve">článku 4 ods. 1 bode 2 nariadenia (EÚ) </w:t>
            </w:r>
            <w:r w:rsidR="009912F8" w:rsidRPr="00E07C9A">
              <w:rPr>
                <w:rFonts w:ascii="Times New Roman" w:hAnsi="Times New Roman"/>
                <w:sz w:val="24"/>
              </w:rPr>
              <w:t>č. 575/2013</w:t>
            </w:r>
            <w:r w:rsidRPr="00E07C9A">
              <w:rPr>
                <w:rFonts w:ascii="Times New Roman" w:hAnsi="Times New Roman"/>
                <w:sz w:val="24"/>
              </w:rPr>
              <w:t>;</w:t>
            </w:r>
          </w:p>
          <w:p w14:paraId="6667FB24" w14:textId="77777777" w:rsidR="00595FAD" w:rsidRPr="00E07C9A" w:rsidRDefault="00595FAD" w:rsidP="00FF15C6">
            <w:pPr>
              <w:keepNext/>
              <w:spacing w:before="60"/>
              <w:rPr>
                <w:rFonts w:ascii="Times New Roman" w:hAnsi="Times New Roman"/>
                <w:sz w:val="24"/>
              </w:rPr>
            </w:pPr>
            <w:r w:rsidRPr="00E07C9A">
              <w:rPr>
                <w:rFonts w:ascii="Times New Roman" w:hAnsi="Times New Roman"/>
                <w:sz w:val="24"/>
              </w:rPr>
              <w:t>v)</w:t>
            </w:r>
            <w:r w:rsidRPr="00E07C9A">
              <w:rPr>
                <w:rFonts w:ascii="Times New Roman" w:hAnsi="Times New Roman"/>
              </w:rPr>
              <w:tab/>
            </w:r>
            <w:r w:rsidRPr="00E07C9A">
              <w:rPr>
                <w:rFonts w:ascii="Times New Roman" w:hAnsi="Times New Roman"/>
                <w:sz w:val="24"/>
              </w:rPr>
              <w:t>ostatné finančné korporácie (s výnimkou investičných spoločností);</w:t>
            </w:r>
          </w:p>
          <w:p w14:paraId="3E1A8D76" w14:textId="77777777" w:rsidR="00595FAD" w:rsidRPr="00E07C9A" w:rsidRDefault="00595FAD" w:rsidP="00FF15C6">
            <w:pPr>
              <w:keepNext/>
              <w:spacing w:before="60"/>
              <w:rPr>
                <w:rFonts w:ascii="Times New Roman" w:hAnsi="Times New Roman"/>
                <w:sz w:val="24"/>
              </w:rPr>
            </w:pPr>
            <w:r w:rsidRPr="00E07C9A">
              <w:rPr>
                <w:rFonts w:ascii="Times New Roman" w:hAnsi="Times New Roman"/>
                <w:sz w:val="24"/>
              </w:rPr>
              <w:t>vi)</w:t>
            </w:r>
            <w:r w:rsidRPr="00E07C9A">
              <w:rPr>
                <w:rFonts w:ascii="Times New Roman" w:hAnsi="Times New Roman"/>
              </w:rPr>
              <w:tab/>
            </w:r>
            <w:r w:rsidRPr="00E07C9A">
              <w:rPr>
                <w:rFonts w:ascii="Times New Roman" w:hAnsi="Times New Roman"/>
                <w:sz w:val="24"/>
              </w:rPr>
              <w:t>nefinančné korporácie.</w:t>
            </w:r>
          </w:p>
        </w:tc>
      </w:tr>
      <w:tr w:rsidR="00595FAD" w:rsidRPr="00E07C9A" w14:paraId="05E1162F" w14:textId="77777777" w:rsidTr="00FF15C6">
        <w:trPr>
          <w:trHeight w:val="680"/>
        </w:trPr>
        <w:tc>
          <w:tcPr>
            <w:tcW w:w="1384" w:type="dxa"/>
          </w:tcPr>
          <w:p w14:paraId="0EDC7D5C" w14:textId="77777777" w:rsidR="00595FAD" w:rsidRPr="00E07C9A" w:rsidRDefault="00595FAD" w:rsidP="00FF15C6">
            <w:pPr>
              <w:pStyle w:val="Applicationdirecte"/>
              <w:spacing w:before="0" w:after="0"/>
            </w:pPr>
            <w:r w:rsidRPr="00E07C9A">
              <w:t>0050</w:t>
            </w:r>
          </w:p>
        </w:tc>
        <w:tc>
          <w:tcPr>
            <w:tcW w:w="7655" w:type="dxa"/>
            <w:vAlign w:val="center"/>
          </w:tcPr>
          <w:p w14:paraId="3BC1DE8E" w14:textId="77777777" w:rsidR="00595FAD" w:rsidRPr="00E07C9A" w:rsidRDefault="00595FAD" w:rsidP="00FF15C6">
            <w:pPr>
              <w:keepNext/>
              <w:spacing w:before="60"/>
              <w:rPr>
                <w:rFonts w:ascii="Times New Roman" w:hAnsi="Times New Roman"/>
                <w:b/>
                <w:sz w:val="24"/>
                <w:u w:val="single"/>
              </w:rPr>
            </w:pPr>
            <w:r w:rsidRPr="00E07C9A">
              <w:rPr>
                <w:rFonts w:ascii="Times New Roman" w:hAnsi="Times New Roman"/>
                <w:b/>
                <w:sz w:val="24"/>
                <w:u w:val="single"/>
              </w:rPr>
              <w:t>DRUH PROTISTRANY</w:t>
            </w:r>
          </w:p>
          <w:p w14:paraId="1783C6E7" w14:textId="77777777" w:rsidR="00595FAD" w:rsidRPr="00E07C9A" w:rsidRDefault="00595FAD" w:rsidP="00FF15C6">
            <w:pPr>
              <w:keepNext/>
              <w:spacing w:before="60"/>
              <w:rPr>
                <w:rFonts w:ascii="Times New Roman" w:hAnsi="Times New Roman"/>
                <w:sz w:val="24"/>
              </w:rPr>
            </w:pPr>
            <w:r w:rsidRPr="00E07C9A">
              <w:rPr>
                <w:rFonts w:ascii="Times New Roman" w:hAnsi="Times New Roman"/>
                <w:sz w:val="24"/>
              </w:rPr>
              <w:t>Inštitúcia uvádza druh protistrany, ktorým môže byť:</w:t>
            </w:r>
          </w:p>
          <w:p w14:paraId="3572532D" w14:textId="77777777" w:rsidR="00595FAD" w:rsidRPr="00E07C9A" w:rsidRDefault="00595FAD" w:rsidP="00FF15C6">
            <w:pPr>
              <w:keepNext/>
              <w:spacing w:before="60"/>
              <w:rPr>
                <w:rFonts w:ascii="Times New Roman" w:hAnsi="Times New Roman"/>
                <w:sz w:val="24"/>
              </w:rPr>
            </w:pPr>
            <w:r w:rsidRPr="00E07C9A">
              <w:rPr>
                <w:rFonts w:ascii="Times New Roman" w:hAnsi="Times New Roman"/>
                <w:sz w:val="24"/>
              </w:rPr>
              <w:t>– QCCP: ak je protistranou kvalifikovaná centrálna protistrana;</w:t>
            </w:r>
          </w:p>
          <w:p w14:paraId="7DEDB538" w14:textId="77777777" w:rsidR="00595FAD" w:rsidRPr="00E07C9A" w:rsidRDefault="00595FAD" w:rsidP="00FF15C6">
            <w:pPr>
              <w:keepNext/>
              <w:spacing w:before="60"/>
              <w:rPr>
                <w:rFonts w:ascii="Times New Roman" w:hAnsi="Times New Roman"/>
                <w:sz w:val="24"/>
              </w:rPr>
            </w:pPr>
            <w:r w:rsidRPr="00E07C9A">
              <w:rPr>
                <w:rFonts w:ascii="Times New Roman" w:hAnsi="Times New Roman"/>
                <w:sz w:val="24"/>
              </w:rPr>
              <w:t>– NON-QCCP: ak je protistranou nekvalifikovaná centrálna protistrana;</w:t>
            </w:r>
          </w:p>
          <w:p w14:paraId="234E1750" w14:textId="77777777" w:rsidR="00595FAD" w:rsidRPr="00E07C9A" w:rsidRDefault="00595FAD" w:rsidP="00FF15C6">
            <w:pPr>
              <w:keepNext/>
              <w:spacing w:before="60"/>
              <w:rPr>
                <w:rFonts w:ascii="Times New Roman" w:hAnsi="Times New Roman"/>
                <w:sz w:val="24"/>
              </w:rPr>
            </w:pPr>
            <w:r w:rsidRPr="00E07C9A">
              <w:rPr>
                <w:rFonts w:ascii="Times New Roman" w:hAnsi="Times New Roman"/>
                <w:sz w:val="24"/>
              </w:rPr>
              <w:t xml:space="preserve">– No CCP: ak protistranou nie je centrálna protistrana. </w:t>
            </w:r>
          </w:p>
        </w:tc>
      </w:tr>
      <w:tr w:rsidR="00595FAD" w:rsidRPr="00E07C9A" w14:paraId="4C2AB6C2" w14:textId="77777777" w:rsidTr="00FF15C6">
        <w:trPr>
          <w:trHeight w:val="680"/>
        </w:trPr>
        <w:tc>
          <w:tcPr>
            <w:tcW w:w="1384" w:type="dxa"/>
          </w:tcPr>
          <w:p w14:paraId="271CAC71" w14:textId="77777777" w:rsidR="00595FAD" w:rsidRPr="00E07C9A" w:rsidRDefault="00595FAD" w:rsidP="00FF15C6">
            <w:pPr>
              <w:pStyle w:val="Applicationdirecte"/>
              <w:spacing w:before="0" w:after="0"/>
            </w:pPr>
            <w:r w:rsidRPr="00E07C9A">
              <w:t>0060</w:t>
            </w:r>
          </w:p>
        </w:tc>
        <w:tc>
          <w:tcPr>
            <w:tcW w:w="7655" w:type="dxa"/>
            <w:vAlign w:val="center"/>
          </w:tcPr>
          <w:p w14:paraId="12103AB4" w14:textId="77777777" w:rsidR="00595FAD" w:rsidRPr="00E07C9A" w:rsidRDefault="00595FAD" w:rsidP="00FF15C6">
            <w:pPr>
              <w:keepNext/>
              <w:spacing w:before="60"/>
              <w:rPr>
                <w:rFonts w:ascii="Times New Roman" w:hAnsi="Times New Roman"/>
                <w:b/>
                <w:sz w:val="24"/>
                <w:u w:val="single"/>
              </w:rPr>
            </w:pPr>
            <w:r w:rsidRPr="00E07C9A">
              <w:rPr>
                <w:rFonts w:ascii="Times New Roman" w:hAnsi="Times New Roman"/>
                <w:b/>
                <w:sz w:val="24"/>
                <w:u w:val="single"/>
              </w:rPr>
              <w:t>SÍDLO PROTISTRANY</w:t>
            </w:r>
          </w:p>
          <w:p w14:paraId="13A8C217" w14:textId="6A76D9B5" w:rsidR="00595FAD" w:rsidRPr="00E07C9A" w:rsidRDefault="00595FAD" w:rsidP="00FF15C6">
            <w:pPr>
              <w:keepNext/>
              <w:spacing w:before="60"/>
              <w:rPr>
                <w:rFonts w:ascii="Times New Roman" w:hAnsi="Times New Roman"/>
                <w:sz w:val="24"/>
              </w:rPr>
            </w:pPr>
            <w:r w:rsidRPr="00E07C9A">
              <w:rPr>
                <w:rFonts w:ascii="Times New Roman" w:hAnsi="Times New Roman"/>
                <w:sz w:val="24"/>
              </w:rPr>
              <w:t>Používa sa dvojpísmenový kód krajiny založenia protistrany podľa ISO 3166-1 [vrátane pseudokódov ISO pre medzinárodné organizácie uvedených</w:t>
            </w:r>
            <w:r w:rsidR="009912F8" w:rsidRPr="00E07C9A">
              <w:rPr>
                <w:rFonts w:ascii="Times New Roman" w:hAnsi="Times New Roman"/>
                <w:sz w:val="24"/>
              </w:rPr>
              <w:t xml:space="preserve"> v </w:t>
            </w:r>
            <w:r w:rsidRPr="00E07C9A">
              <w:rPr>
                <w:rFonts w:ascii="Times New Roman" w:hAnsi="Times New Roman"/>
                <w:sz w:val="24"/>
              </w:rPr>
              <w:t xml:space="preserve">príručke Eurostatu </w:t>
            </w:r>
            <w:r w:rsidRPr="00E07C9A">
              <w:rPr>
                <w:rFonts w:ascii="Times New Roman" w:hAnsi="Times New Roman"/>
                <w:i/>
                <w:sz w:val="24"/>
              </w:rPr>
              <w:t>Balance of Payments Vademecum</w:t>
            </w:r>
            <w:r w:rsidRPr="00E07C9A">
              <w:rPr>
                <w:rFonts w:ascii="Times New Roman" w:hAnsi="Times New Roman"/>
                <w:sz w:val="24"/>
              </w:rPr>
              <w:t xml:space="preserve"> (Príručka platobnej bilancie)</w:t>
            </w:r>
            <w:r w:rsidR="009912F8" w:rsidRPr="00E07C9A">
              <w:rPr>
                <w:rFonts w:ascii="Times New Roman" w:hAnsi="Times New Roman"/>
                <w:sz w:val="24"/>
              </w:rPr>
              <w:t xml:space="preserve"> v </w:t>
            </w:r>
            <w:r w:rsidRPr="00E07C9A">
              <w:rPr>
                <w:rFonts w:ascii="Times New Roman" w:hAnsi="Times New Roman"/>
                <w:sz w:val="24"/>
              </w:rPr>
              <w:t>znení zmien].</w:t>
            </w:r>
          </w:p>
        </w:tc>
      </w:tr>
      <w:tr w:rsidR="00595FAD" w:rsidRPr="00E07C9A" w14:paraId="3ED0ED81" w14:textId="77777777" w:rsidTr="00FF15C6">
        <w:trPr>
          <w:trHeight w:val="680"/>
        </w:trPr>
        <w:tc>
          <w:tcPr>
            <w:tcW w:w="1384" w:type="dxa"/>
          </w:tcPr>
          <w:p w14:paraId="1DB2187B" w14:textId="77777777" w:rsidR="00595FAD" w:rsidRPr="00E07C9A" w:rsidRDefault="00595FAD" w:rsidP="00FF15C6">
            <w:pPr>
              <w:pStyle w:val="Applicationdirecte"/>
              <w:spacing w:before="0" w:after="0"/>
            </w:pPr>
            <w:r w:rsidRPr="00E07C9A">
              <w:t>0070</w:t>
            </w:r>
          </w:p>
        </w:tc>
        <w:tc>
          <w:tcPr>
            <w:tcW w:w="7655" w:type="dxa"/>
            <w:vAlign w:val="center"/>
          </w:tcPr>
          <w:p w14:paraId="5461DEA7" w14:textId="77777777" w:rsidR="00595FAD" w:rsidRPr="00E07C9A" w:rsidRDefault="00595FAD" w:rsidP="00FF15C6">
            <w:pPr>
              <w:keepNext/>
              <w:spacing w:before="60"/>
              <w:rPr>
                <w:rFonts w:ascii="Times New Roman" w:hAnsi="Times New Roman"/>
                <w:b/>
                <w:sz w:val="24"/>
                <w:u w:val="single"/>
              </w:rPr>
            </w:pPr>
            <w:r w:rsidRPr="00E07C9A">
              <w:rPr>
                <w:rFonts w:ascii="Times New Roman" w:hAnsi="Times New Roman"/>
                <w:b/>
                <w:sz w:val="24"/>
                <w:u w:val="single"/>
              </w:rPr>
              <w:t>POČET TRANSAKCIÍ</w:t>
            </w:r>
          </w:p>
          <w:p w14:paraId="49A7A0CE" w14:textId="2D93CB64" w:rsidR="00595FAD" w:rsidRPr="00E07C9A" w:rsidRDefault="00595FAD" w:rsidP="00FF15C6">
            <w:pPr>
              <w:keepNext/>
              <w:spacing w:before="60"/>
              <w:rPr>
                <w:rFonts w:ascii="Times New Roman" w:hAnsi="Times New Roman"/>
                <w:b/>
                <w:sz w:val="24"/>
                <w:u w:val="single"/>
              </w:rPr>
            </w:pPr>
            <w:r w:rsidRPr="00E07C9A">
              <w:rPr>
                <w:rFonts w:ascii="Times New Roman" w:hAnsi="Times New Roman"/>
                <w:sz w:val="24"/>
              </w:rPr>
              <w:t>Pozri pokyny</w:t>
            </w:r>
            <w:r w:rsidR="009912F8" w:rsidRPr="00E07C9A">
              <w:rPr>
                <w:rFonts w:ascii="Times New Roman" w:hAnsi="Times New Roman"/>
                <w:sz w:val="24"/>
              </w:rPr>
              <w:t xml:space="preserve"> k </w:t>
            </w:r>
            <w:r w:rsidRPr="00E07C9A">
              <w:rPr>
                <w:rFonts w:ascii="Times New Roman" w:hAnsi="Times New Roman"/>
                <w:sz w:val="24"/>
              </w:rPr>
              <w:t>stĺpcu 0020 vo vzore C 34.02.</w:t>
            </w:r>
          </w:p>
        </w:tc>
      </w:tr>
      <w:tr w:rsidR="00595FAD" w:rsidRPr="00E07C9A" w14:paraId="46CF8F63" w14:textId="77777777" w:rsidTr="00FF15C6">
        <w:trPr>
          <w:trHeight w:val="426"/>
        </w:trPr>
        <w:tc>
          <w:tcPr>
            <w:tcW w:w="1384" w:type="dxa"/>
          </w:tcPr>
          <w:p w14:paraId="70345290" w14:textId="77777777" w:rsidR="00595FAD" w:rsidRPr="00E07C9A" w:rsidRDefault="00595FAD" w:rsidP="00FF15C6">
            <w:pPr>
              <w:pStyle w:val="Applicationdirecte"/>
              <w:spacing w:before="0" w:after="0"/>
            </w:pPr>
            <w:r w:rsidRPr="00E07C9A">
              <w:t>0080</w:t>
            </w:r>
          </w:p>
        </w:tc>
        <w:tc>
          <w:tcPr>
            <w:tcW w:w="7655" w:type="dxa"/>
            <w:vAlign w:val="center"/>
          </w:tcPr>
          <w:p w14:paraId="22506350" w14:textId="77777777" w:rsidR="00595FAD" w:rsidRPr="00E07C9A" w:rsidRDefault="00595FAD" w:rsidP="00FF15C6">
            <w:pPr>
              <w:keepNext/>
              <w:spacing w:before="60"/>
              <w:rPr>
                <w:rFonts w:ascii="Times New Roman" w:hAnsi="Times New Roman"/>
                <w:b/>
                <w:sz w:val="24"/>
                <w:u w:val="single"/>
              </w:rPr>
            </w:pPr>
            <w:r w:rsidRPr="00E07C9A">
              <w:rPr>
                <w:rFonts w:ascii="Times New Roman" w:hAnsi="Times New Roman"/>
                <w:b/>
                <w:sz w:val="24"/>
                <w:u w:val="single"/>
              </w:rPr>
              <w:t>POMYSELNÉ HODNOTY</w:t>
            </w:r>
          </w:p>
          <w:p w14:paraId="00FEB76D" w14:textId="70CF04F0" w:rsidR="00595FAD" w:rsidRPr="00E07C9A" w:rsidRDefault="00595FAD" w:rsidP="00FF15C6">
            <w:pPr>
              <w:keepNext/>
              <w:spacing w:before="60"/>
              <w:rPr>
                <w:rFonts w:ascii="Times New Roman" w:hAnsi="Times New Roman"/>
                <w:sz w:val="24"/>
              </w:rPr>
            </w:pPr>
            <w:r w:rsidRPr="00E07C9A">
              <w:rPr>
                <w:rFonts w:ascii="Times New Roman" w:hAnsi="Times New Roman"/>
                <w:sz w:val="24"/>
              </w:rPr>
              <w:t>Pozri pokyny</w:t>
            </w:r>
            <w:r w:rsidR="009912F8" w:rsidRPr="00E07C9A">
              <w:rPr>
                <w:rFonts w:ascii="Times New Roman" w:hAnsi="Times New Roman"/>
                <w:sz w:val="24"/>
              </w:rPr>
              <w:t xml:space="preserve"> k </w:t>
            </w:r>
            <w:r w:rsidRPr="00E07C9A">
              <w:rPr>
                <w:rFonts w:ascii="Times New Roman" w:hAnsi="Times New Roman"/>
                <w:sz w:val="24"/>
              </w:rPr>
              <w:t>stĺpcu 0030 vo vzore C 34.02.</w:t>
            </w:r>
          </w:p>
        </w:tc>
      </w:tr>
      <w:tr w:rsidR="00595FAD" w:rsidRPr="00E07C9A" w14:paraId="154E947E" w14:textId="77777777" w:rsidTr="00FF15C6">
        <w:trPr>
          <w:trHeight w:val="680"/>
        </w:trPr>
        <w:tc>
          <w:tcPr>
            <w:tcW w:w="1384" w:type="dxa"/>
          </w:tcPr>
          <w:p w14:paraId="23BCAB0D" w14:textId="77777777" w:rsidR="00595FAD" w:rsidRPr="00E07C9A" w:rsidRDefault="00595FAD" w:rsidP="00FF15C6">
            <w:pPr>
              <w:pStyle w:val="Applicationdirecte"/>
              <w:spacing w:before="0" w:after="0"/>
            </w:pPr>
            <w:r w:rsidRPr="00E07C9A">
              <w:t>0090</w:t>
            </w:r>
          </w:p>
        </w:tc>
        <w:tc>
          <w:tcPr>
            <w:tcW w:w="7655" w:type="dxa"/>
            <w:vAlign w:val="center"/>
          </w:tcPr>
          <w:p w14:paraId="17FAC7C0" w14:textId="1865542B" w:rsidR="00595FAD" w:rsidRPr="00E07C9A" w:rsidRDefault="00595FAD" w:rsidP="00FF15C6">
            <w:pPr>
              <w:keepNext/>
              <w:spacing w:before="60"/>
              <w:rPr>
                <w:rFonts w:ascii="Times New Roman" w:hAnsi="Times New Roman"/>
                <w:b/>
                <w:sz w:val="24"/>
                <w:u w:val="single"/>
              </w:rPr>
            </w:pPr>
            <w:r w:rsidRPr="00E07C9A">
              <w:rPr>
                <w:rFonts w:ascii="Times New Roman" w:hAnsi="Times New Roman"/>
                <w:b/>
                <w:sz w:val="24"/>
                <w:u w:val="single"/>
              </w:rPr>
              <w:t>SÚČASNÁ TRHOVÁ HODNOTA (CMV), kladná</w:t>
            </w:r>
          </w:p>
          <w:p w14:paraId="0ACDC2CE" w14:textId="22532C6E" w:rsidR="00595FAD" w:rsidRPr="00E07C9A" w:rsidRDefault="00595FAD" w:rsidP="00FF15C6">
            <w:pPr>
              <w:keepNext/>
              <w:spacing w:before="60"/>
              <w:rPr>
                <w:rFonts w:ascii="Times New Roman" w:hAnsi="Times New Roman"/>
                <w:sz w:val="24"/>
              </w:rPr>
            </w:pPr>
            <w:r w:rsidRPr="00E07C9A">
              <w:rPr>
                <w:rFonts w:ascii="Times New Roman" w:hAnsi="Times New Roman"/>
                <w:sz w:val="24"/>
              </w:rPr>
              <w:t>Pozri pokyny</w:t>
            </w:r>
            <w:r w:rsidR="009912F8" w:rsidRPr="00E07C9A">
              <w:rPr>
                <w:rFonts w:ascii="Times New Roman" w:hAnsi="Times New Roman"/>
                <w:sz w:val="24"/>
              </w:rPr>
              <w:t xml:space="preserve"> k </w:t>
            </w:r>
            <w:r w:rsidRPr="00E07C9A">
              <w:rPr>
                <w:rFonts w:ascii="Times New Roman" w:hAnsi="Times New Roman"/>
                <w:sz w:val="24"/>
              </w:rPr>
              <w:t>stĺpcu 0040 vo vzore C 34.02.</w:t>
            </w:r>
          </w:p>
          <w:p w14:paraId="12B71934" w14:textId="19C6108B" w:rsidR="00595FAD" w:rsidRPr="00E07C9A" w:rsidRDefault="00595FAD" w:rsidP="00FF15C6">
            <w:pPr>
              <w:keepNext/>
              <w:spacing w:before="60"/>
              <w:rPr>
                <w:rFonts w:ascii="Times New Roman" w:hAnsi="Times New Roman"/>
                <w:b/>
                <w:sz w:val="24"/>
                <w:u w:val="single"/>
              </w:rPr>
            </w:pPr>
            <w:r w:rsidRPr="00E07C9A">
              <w:rPr>
                <w:rFonts w:ascii="Times New Roman" w:hAnsi="Times New Roman"/>
                <w:sz w:val="24"/>
              </w:rPr>
              <w:t>Ak existuje viacero súborov vzájomného započítavania pre tú istú protistranu, inštitúcia vykazuje súčet súborov vzájomného započítavania</w:t>
            </w:r>
            <w:r w:rsidR="009912F8" w:rsidRPr="00E07C9A">
              <w:rPr>
                <w:rFonts w:ascii="Times New Roman" w:hAnsi="Times New Roman"/>
                <w:sz w:val="24"/>
              </w:rPr>
              <w:t xml:space="preserve"> s </w:t>
            </w:r>
            <w:r w:rsidRPr="00E07C9A">
              <w:rPr>
                <w:rFonts w:ascii="Times New Roman" w:hAnsi="Times New Roman"/>
                <w:sz w:val="24"/>
              </w:rPr>
              <w:t>kladnou CMV.</w:t>
            </w:r>
          </w:p>
        </w:tc>
      </w:tr>
      <w:tr w:rsidR="00595FAD" w:rsidRPr="00E07C9A" w14:paraId="14A7CEED" w14:textId="77777777" w:rsidTr="00FF15C6">
        <w:trPr>
          <w:trHeight w:val="680"/>
        </w:trPr>
        <w:tc>
          <w:tcPr>
            <w:tcW w:w="1384" w:type="dxa"/>
          </w:tcPr>
          <w:p w14:paraId="02A36CE2" w14:textId="77777777" w:rsidR="00595FAD" w:rsidRPr="00E07C9A" w:rsidRDefault="00595FAD" w:rsidP="00FF15C6">
            <w:pPr>
              <w:pStyle w:val="Applicationdirecte"/>
              <w:spacing w:before="0" w:after="0"/>
            </w:pPr>
            <w:r w:rsidRPr="00E07C9A">
              <w:t>0100</w:t>
            </w:r>
          </w:p>
        </w:tc>
        <w:tc>
          <w:tcPr>
            <w:tcW w:w="7655" w:type="dxa"/>
            <w:vAlign w:val="center"/>
          </w:tcPr>
          <w:p w14:paraId="5294DC0A" w14:textId="77777777" w:rsidR="00595FAD" w:rsidRPr="00E07C9A" w:rsidRDefault="00595FAD" w:rsidP="00FF15C6">
            <w:pPr>
              <w:keepNext/>
              <w:spacing w:before="60"/>
              <w:rPr>
                <w:rFonts w:ascii="Times New Roman" w:hAnsi="Times New Roman"/>
                <w:b/>
                <w:sz w:val="24"/>
                <w:u w:val="single"/>
              </w:rPr>
            </w:pPr>
            <w:r w:rsidRPr="00E07C9A">
              <w:rPr>
                <w:rFonts w:ascii="Times New Roman" w:hAnsi="Times New Roman"/>
                <w:b/>
                <w:sz w:val="24"/>
                <w:u w:val="single"/>
              </w:rPr>
              <w:t>SÚČASNÁ TRHOVÁ HODNOTA (CMV), záporná</w:t>
            </w:r>
          </w:p>
          <w:p w14:paraId="33CA3F7B" w14:textId="79025347" w:rsidR="00595FAD" w:rsidRPr="00E07C9A" w:rsidRDefault="00595FAD" w:rsidP="00FF15C6">
            <w:pPr>
              <w:keepNext/>
              <w:spacing w:before="60"/>
              <w:rPr>
                <w:rFonts w:ascii="Times New Roman" w:hAnsi="Times New Roman"/>
                <w:sz w:val="24"/>
              </w:rPr>
            </w:pPr>
            <w:r w:rsidRPr="00E07C9A">
              <w:rPr>
                <w:rFonts w:ascii="Times New Roman" w:hAnsi="Times New Roman"/>
                <w:sz w:val="24"/>
              </w:rPr>
              <w:t>Pozri pokyny</w:t>
            </w:r>
            <w:r w:rsidR="009912F8" w:rsidRPr="00E07C9A">
              <w:rPr>
                <w:rFonts w:ascii="Times New Roman" w:hAnsi="Times New Roman"/>
                <w:sz w:val="24"/>
              </w:rPr>
              <w:t xml:space="preserve"> k </w:t>
            </w:r>
            <w:r w:rsidRPr="00E07C9A">
              <w:rPr>
                <w:rFonts w:ascii="Times New Roman" w:hAnsi="Times New Roman"/>
                <w:sz w:val="24"/>
              </w:rPr>
              <w:t>stĺpcu 0040 vo vzore C 34.02.</w:t>
            </w:r>
          </w:p>
          <w:p w14:paraId="70F225FA" w14:textId="77777777" w:rsidR="00595FAD" w:rsidRPr="00E07C9A" w:rsidRDefault="00595FAD" w:rsidP="00FF15C6">
            <w:pPr>
              <w:keepNext/>
              <w:spacing w:before="60"/>
              <w:rPr>
                <w:rFonts w:ascii="Times New Roman" w:hAnsi="Times New Roman"/>
                <w:b/>
                <w:sz w:val="24"/>
                <w:u w:val="single"/>
              </w:rPr>
            </w:pPr>
            <w:r w:rsidRPr="00E07C9A">
              <w:rPr>
                <w:rFonts w:ascii="Times New Roman" w:hAnsi="Times New Roman"/>
                <w:sz w:val="24"/>
              </w:rPr>
              <w:t>Ak existuje viacero súborov vzájomného započítavania pre tú istú protistranu, inštitúcia vykazuje absolútny súčet súborov vzájomného započítavania so zápornou CMV.</w:t>
            </w:r>
          </w:p>
        </w:tc>
      </w:tr>
      <w:tr w:rsidR="00595FAD" w:rsidRPr="00E07C9A" w14:paraId="47777CC6" w14:textId="77777777" w:rsidTr="00FF15C6">
        <w:trPr>
          <w:trHeight w:val="680"/>
        </w:trPr>
        <w:tc>
          <w:tcPr>
            <w:tcW w:w="1384" w:type="dxa"/>
          </w:tcPr>
          <w:p w14:paraId="04BA0B2E" w14:textId="77777777" w:rsidR="00595FAD" w:rsidRPr="00E07C9A" w:rsidRDefault="00595FAD" w:rsidP="00FF15C6">
            <w:pPr>
              <w:pStyle w:val="Applicationdirecte"/>
              <w:spacing w:before="0" w:after="0"/>
            </w:pPr>
            <w:r w:rsidRPr="00E07C9A">
              <w:t>0110</w:t>
            </w:r>
          </w:p>
        </w:tc>
        <w:tc>
          <w:tcPr>
            <w:tcW w:w="7655" w:type="dxa"/>
            <w:vAlign w:val="center"/>
          </w:tcPr>
          <w:p w14:paraId="704B9636" w14:textId="77777777" w:rsidR="00595FAD" w:rsidRPr="00E07C9A" w:rsidRDefault="00595FAD" w:rsidP="00FF15C6">
            <w:pPr>
              <w:keepNext/>
              <w:spacing w:before="60"/>
              <w:rPr>
                <w:rFonts w:ascii="Times New Roman" w:hAnsi="Times New Roman"/>
                <w:b/>
                <w:sz w:val="24"/>
                <w:u w:val="single"/>
              </w:rPr>
            </w:pPr>
            <w:r w:rsidRPr="00E07C9A">
              <w:rPr>
                <w:rFonts w:ascii="Times New Roman" w:hAnsi="Times New Roman"/>
                <w:b/>
                <w:sz w:val="24"/>
                <w:u w:val="single"/>
              </w:rPr>
              <w:t>HODNOTA EXPOZÍCIE PO ZMIERŇOVANÍ KREDITNÉHO RIZIKA</w:t>
            </w:r>
          </w:p>
          <w:p w14:paraId="563E4A06" w14:textId="1BBF2E44" w:rsidR="009912F8" w:rsidRPr="00E07C9A" w:rsidRDefault="00595FAD" w:rsidP="00FF15C6">
            <w:pPr>
              <w:keepNext/>
              <w:spacing w:before="60"/>
              <w:rPr>
                <w:rFonts w:ascii="Times New Roman" w:hAnsi="Times New Roman"/>
                <w:sz w:val="24"/>
              </w:rPr>
            </w:pPr>
            <w:r w:rsidRPr="00E07C9A">
              <w:rPr>
                <w:rFonts w:ascii="Times New Roman" w:hAnsi="Times New Roman"/>
                <w:sz w:val="24"/>
              </w:rPr>
              <w:t>Pozri pokyny</w:t>
            </w:r>
            <w:r w:rsidR="009912F8" w:rsidRPr="00E07C9A">
              <w:rPr>
                <w:rFonts w:ascii="Times New Roman" w:hAnsi="Times New Roman"/>
                <w:sz w:val="24"/>
              </w:rPr>
              <w:t xml:space="preserve"> k </w:t>
            </w:r>
            <w:r w:rsidRPr="00E07C9A">
              <w:rPr>
                <w:rFonts w:ascii="Times New Roman" w:hAnsi="Times New Roman"/>
                <w:sz w:val="24"/>
              </w:rPr>
              <w:t>stĺpcu 0160 vo vzore C 34.02</w:t>
            </w:r>
            <w:r w:rsidR="009912F8" w:rsidRPr="00E07C9A">
              <w:rPr>
                <w:rFonts w:ascii="Times New Roman" w:hAnsi="Times New Roman"/>
                <w:sz w:val="24"/>
              </w:rPr>
              <w:t>.</w:t>
            </w:r>
          </w:p>
          <w:p w14:paraId="7309510E" w14:textId="71C96540" w:rsidR="00595FAD" w:rsidRPr="00E07C9A" w:rsidRDefault="00595FAD" w:rsidP="00FF15C6">
            <w:pPr>
              <w:keepNext/>
              <w:spacing w:before="60"/>
              <w:rPr>
                <w:rFonts w:ascii="Times New Roman" w:hAnsi="Times New Roman"/>
                <w:b/>
                <w:sz w:val="24"/>
                <w:u w:val="single"/>
              </w:rPr>
            </w:pPr>
            <w:r w:rsidRPr="00E07C9A">
              <w:rPr>
                <w:rFonts w:ascii="Times New Roman" w:hAnsi="Times New Roman"/>
                <w:sz w:val="24"/>
              </w:rPr>
              <w:t>Ak existuje viacero súborov vzájomného započítavania pre tú istú protistranu, inštitúcia vykazuje súčet hodnôt expozícií súborov vzájomného započítavania po zmierňovaní kreditného rizika.</w:t>
            </w:r>
          </w:p>
        </w:tc>
      </w:tr>
      <w:tr w:rsidR="00595FAD" w:rsidRPr="00E07C9A" w14:paraId="2465DF40" w14:textId="77777777" w:rsidTr="00FF15C6">
        <w:trPr>
          <w:trHeight w:val="680"/>
        </w:trPr>
        <w:tc>
          <w:tcPr>
            <w:tcW w:w="1384" w:type="dxa"/>
          </w:tcPr>
          <w:p w14:paraId="4DFA86FA" w14:textId="77777777" w:rsidR="00595FAD" w:rsidRPr="00E07C9A" w:rsidRDefault="00595FAD" w:rsidP="00FF15C6">
            <w:pPr>
              <w:pStyle w:val="Applicationdirecte"/>
              <w:spacing w:before="0" w:after="0"/>
            </w:pPr>
            <w:r w:rsidRPr="00E07C9A">
              <w:t>0120</w:t>
            </w:r>
          </w:p>
        </w:tc>
        <w:tc>
          <w:tcPr>
            <w:tcW w:w="7655" w:type="dxa"/>
            <w:vAlign w:val="center"/>
          </w:tcPr>
          <w:p w14:paraId="1F1916DD" w14:textId="77777777" w:rsidR="00595FAD" w:rsidRPr="00E07C9A" w:rsidRDefault="00595FAD" w:rsidP="00FF15C6">
            <w:pPr>
              <w:keepNext/>
              <w:spacing w:before="60"/>
              <w:rPr>
                <w:rFonts w:ascii="Times New Roman" w:hAnsi="Times New Roman"/>
                <w:b/>
                <w:sz w:val="24"/>
                <w:u w:val="single"/>
              </w:rPr>
            </w:pPr>
            <w:r w:rsidRPr="00E07C9A">
              <w:rPr>
                <w:rFonts w:ascii="Times New Roman" w:hAnsi="Times New Roman"/>
                <w:b/>
                <w:sz w:val="24"/>
                <w:u w:val="single"/>
              </w:rPr>
              <w:t>HODNOTA EXPOZÍCIE</w:t>
            </w:r>
          </w:p>
          <w:p w14:paraId="208EE14C" w14:textId="1A8F6E64" w:rsidR="00595FAD" w:rsidRPr="00E07C9A" w:rsidRDefault="00595FAD" w:rsidP="00FF15C6">
            <w:pPr>
              <w:keepNext/>
              <w:spacing w:before="60"/>
              <w:rPr>
                <w:rFonts w:ascii="Times New Roman" w:hAnsi="Times New Roman"/>
                <w:b/>
                <w:sz w:val="24"/>
                <w:u w:val="single"/>
              </w:rPr>
            </w:pPr>
            <w:r w:rsidRPr="00E07C9A">
              <w:rPr>
                <w:rFonts w:ascii="Times New Roman" w:hAnsi="Times New Roman"/>
                <w:sz w:val="24"/>
              </w:rPr>
              <w:t>Pozri pokyny</w:t>
            </w:r>
            <w:r w:rsidR="009912F8" w:rsidRPr="00E07C9A">
              <w:rPr>
                <w:rFonts w:ascii="Times New Roman" w:hAnsi="Times New Roman"/>
                <w:sz w:val="24"/>
              </w:rPr>
              <w:t xml:space="preserve"> k </w:t>
            </w:r>
            <w:r w:rsidRPr="00E07C9A">
              <w:rPr>
                <w:rFonts w:ascii="Times New Roman" w:hAnsi="Times New Roman"/>
                <w:sz w:val="24"/>
              </w:rPr>
              <w:t>stĺpcu 0170 vo vzore C 34.02.</w:t>
            </w:r>
          </w:p>
        </w:tc>
      </w:tr>
      <w:tr w:rsidR="00595FAD" w:rsidRPr="00E07C9A" w14:paraId="492E6875" w14:textId="77777777" w:rsidTr="00FF15C6">
        <w:trPr>
          <w:trHeight w:val="680"/>
        </w:trPr>
        <w:tc>
          <w:tcPr>
            <w:tcW w:w="1384" w:type="dxa"/>
          </w:tcPr>
          <w:p w14:paraId="73326E64" w14:textId="77777777" w:rsidR="00595FAD" w:rsidRPr="00E07C9A" w:rsidRDefault="00595FAD" w:rsidP="00FF15C6">
            <w:pPr>
              <w:pStyle w:val="Applicationdirecte"/>
              <w:spacing w:before="0" w:after="0"/>
            </w:pPr>
            <w:r w:rsidRPr="00E07C9A">
              <w:t>0130</w:t>
            </w:r>
          </w:p>
        </w:tc>
        <w:tc>
          <w:tcPr>
            <w:tcW w:w="7655" w:type="dxa"/>
            <w:vAlign w:val="center"/>
          </w:tcPr>
          <w:p w14:paraId="70C1F1DA" w14:textId="77777777" w:rsidR="00595FAD" w:rsidRPr="00E07C9A" w:rsidRDefault="00595FAD" w:rsidP="00FF15C6">
            <w:pPr>
              <w:keepNext/>
              <w:spacing w:before="60"/>
              <w:rPr>
                <w:rFonts w:ascii="Times New Roman" w:hAnsi="Times New Roman"/>
                <w:b/>
                <w:sz w:val="24"/>
                <w:u w:val="single"/>
              </w:rPr>
            </w:pPr>
            <w:r w:rsidRPr="00E07C9A">
              <w:rPr>
                <w:rFonts w:ascii="Times New Roman" w:hAnsi="Times New Roman"/>
                <w:b/>
                <w:sz w:val="24"/>
                <w:u w:val="single"/>
              </w:rPr>
              <w:t>HODNOTY RIZIKOVO VÁŽENÝCH EXPOZÍCIÍ</w:t>
            </w:r>
          </w:p>
          <w:p w14:paraId="5B683E64" w14:textId="634F2741" w:rsidR="00595FAD" w:rsidRPr="00E07C9A" w:rsidRDefault="00595FAD" w:rsidP="00FF15C6">
            <w:pPr>
              <w:keepNext/>
              <w:spacing w:before="60"/>
              <w:rPr>
                <w:rFonts w:ascii="Times New Roman" w:hAnsi="Times New Roman"/>
                <w:b/>
                <w:sz w:val="24"/>
                <w:u w:val="single"/>
              </w:rPr>
            </w:pPr>
            <w:r w:rsidRPr="00E07C9A">
              <w:rPr>
                <w:rFonts w:ascii="Times New Roman" w:hAnsi="Times New Roman"/>
                <w:sz w:val="24"/>
              </w:rPr>
              <w:t>Pozri pokyny</w:t>
            </w:r>
            <w:r w:rsidR="009912F8" w:rsidRPr="00E07C9A">
              <w:rPr>
                <w:rFonts w:ascii="Times New Roman" w:hAnsi="Times New Roman"/>
                <w:sz w:val="24"/>
              </w:rPr>
              <w:t xml:space="preserve"> k </w:t>
            </w:r>
            <w:r w:rsidRPr="00E07C9A">
              <w:rPr>
                <w:rFonts w:ascii="Times New Roman" w:hAnsi="Times New Roman"/>
                <w:sz w:val="24"/>
              </w:rPr>
              <w:t>stĺpcu 0200 vo vzore C 34.02.</w:t>
            </w:r>
          </w:p>
        </w:tc>
      </w:tr>
    </w:tbl>
    <w:p w14:paraId="146A1A16" w14:textId="77777777" w:rsidR="00595FAD" w:rsidRPr="00E07C9A" w:rsidRDefault="00595FAD" w:rsidP="00595FAD">
      <w:pPr>
        <w:pStyle w:val="Titlelevel2"/>
        <w:spacing w:before="120" w:after="120"/>
        <w:jc w:val="both"/>
        <w:rPr>
          <w:rFonts w:ascii="Times New Roman" w:hAnsi="Times New Roman" w:cs="Times New Roman"/>
          <w:color w:val="auto"/>
          <w:sz w:val="24"/>
        </w:rPr>
      </w:pPr>
    </w:p>
    <w:p w14:paraId="3A6F9401" w14:textId="77777777" w:rsidR="009912F8" w:rsidRPr="00E07C9A" w:rsidRDefault="00595FAD" w:rsidP="005C4397">
      <w:pPr>
        <w:pStyle w:val="Instructionsberschrift2"/>
        <w:numPr>
          <w:ilvl w:val="2"/>
          <w:numId w:val="39"/>
        </w:numPr>
        <w:rPr>
          <w:rFonts w:ascii="Times New Roman" w:hAnsi="Times New Roman" w:cs="Times New Roman"/>
          <w:sz w:val="24"/>
        </w:rPr>
      </w:pPr>
      <w:bookmarkStart w:id="482" w:name="_Toc19715819"/>
      <w:bookmarkStart w:id="483" w:name="_Toc115857849"/>
      <w:r w:rsidRPr="00E07C9A">
        <w:rPr>
          <w:rFonts w:ascii="Times New Roman" w:hAnsi="Times New Roman" w:cs="Times New Roman"/>
          <w:sz w:val="24"/>
        </w:rPr>
        <w:t>C 34.07 – Prístup IRB – expozície voči CCR podľa triedy expozícií</w:t>
      </w:r>
      <w:r w:rsidR="009912F8" w:rsidRPr="00E07C9A">
        <w:rPr>
          <w:rFonts w:ascii="Times New Roman" w:hAnsi="Times New Roman" w:cs="Times New Roman"/>
          <w:sz w:val="24"/>
        </w:rPr>
        <w:t xml:space="preserve"> a </w:t>
      </w:r>
      <w:r w:rsidRPr="00E07C9A">
        <w:rPr>
          <w:rFonts w:ascii="Times New Roman" w:hAnsi="Times New Roman" w:cs="Times New Roman"/>
          <w:sz w:val="24"/>
        </w:rPr>
        <w:t>stupnice PD</w:t>
      </w:r>
      <w:bookmarkEnd w:id="482"/>
      <w:bookmarkEnd w:id="483"/>
    </w:p>
    <w:p w14:paraId="146B01B2" w14:textId="74A35E8F" w:rsidR="00595FAD" w:rsidRPr="00E07C9A" w:rsidRDefault="00595FAD" w:rsidP="005C4397">
      <w:pPr>
        <w:pStyle w:val="Instructionsberschrift2"/>
        <w:numPr>
          <w:ilvl w:val="3"/>
          <w:numId w:val="39"/>
        </w:numPr>
        <w:rPr>
          <w:rFonts w:ascii="Times New Roman" w:hAnsi="Times New Roman" w:cs="Times New Roman"/>
          <w:sz w:val="24"/>
        </w:rPr>
      </w:pPr>
      <w:bookmarkStart w:id="484" w:name="_Toc19715820"/>
      <w:bookmarkStart w:id="485" w:name="_Toc115857850"/>
      <w:r w:rsidRPr="00E07C9A">
        <w:rPr>
          <w:rFonts w:ascii="Times New Roman" w:hAnsi="Times New Roman" w:cs="Times New Roman"/>
          <w:sz w:val="24"/>
        </w:rPr>
        <w:t>Všeobecné poznámky</w:t>
      </w:r>
      <w:bookmarkEnd w:id="484"/>
      <w:bookmarkEnd w:id="485"/>
    </w:p>
    <w:p w14:paraId="668BC3A7" w14:textId="3848D276" w:rsidR="009912F8" w:rsidRPr="00E07C9A" w:rsidRDefault="002A18DE" w:rsidP="00487A02">
      <w:pPr>
        <w:pStyle w:val="InstructionsText2"/>
        <w:numPr>
          <w:ilvl w:val="0"/>
          <w:numId w:val="0"/>
        </w:numPr>
        <w:ind w:left="1353" w:hanging="360"/>
      </w:pPr>
      <w:fldSimple w:instr=" seq paragraphs ">
        <w:r w:rsidR="00132AEE">
          <w:rPr>
            <w:noProof/>
          </w:rPr>
          <w:t>128</w:t>
        </w:r>
      </w:fldSimple>
      <w:r w:rsidR="00C3070C" w:rsidRPr="00E07C9A">
        <w:t>. Inštitúcie vykazujú tento vzor</w:t>
      </w:r>
      <w:r w:rsidR="009912F8" w:rsidRPr="00E07C9A">
        <w:t xml:space="preserve"> s </w:t>
      </w:r>
      <w:r w:rsidR="00C3070C" w:rsidRPr="00E07C9A">
        <w:t>použitím pokročilého alebo základného prístupu IRB na výpočet hodnôt rizikovo vážených expozícií pre všetky svoje expozície voči CCR alebo časť</w:t>
      </w:r>
      <w:r w:rsidR="009912F8" w:rsidRPr="00E07C9A">
        <w:t xml:space="preserve"> z </w:t>
      </w:r>
      <w:r w:rsidR="00C3070C" w:rsidRPr="00E07C9A">
        <w:t>nich</w:t>
      </w:r>
      <w:r w:rsidR="009912F8" w:rsidRPr="00E07C9A">
        <w:t xml:space="preserve"> v </w:t>
      </w:r>
      <w:r w:rsidR="00C3070C" w:rsidRPr="00E07C9A">
        <w:t>súlade</w:t>
      </w:r>
      <w:r w:rsidR="009912F8" w:rsidRPr="00E07C9A">
        <w:t xml:space="preserve"> s </w:t>
      </w:r>
      <w:r w:rsidR="00C3070C" w:rsidRPr="00E07C9A">
        <w:t xml:space="preserve">článkom 107 nariadenia (EÚ) </w:t>
      </w:r>
      <w:r w:rsidR="009912F8" w:rsidRPr="00E07C9A">
        <w:t>č. 575/2013</w:t>
      </w:r>
      <w:r w:rsidR="00C3070C" w:rsidRPr="00E07C9A">
        <w:t>,</w:t>
      </w:r>
      <w:r w:rsidR="009912F8" w:rsidRPr="00E07C9A">
        <w:t xml:space="preserve"> a </w:t>
      </w:r>
      <w:r w:rsidR="00C3070C" w:rsidRPr="00E07C9A">
        <w:t>to bez ohľadu na prístup CCR použitý na určenie hodnôt expozícií</w:t>
      </w:r>
      <w:r w:rsidR="009912F8" w:rsidRPr="00E07C9A">
        <w:t xml:space="preserve"> v </w:t>
      </w:r>
      <w:r w:rsidR="00C3070C" w:rsidRPr="00E07C9A">
        <w:t>súlade</w:t>
      </w:r>
      <w:r w:rsidR="009912F8" w:rsidRPr="00E07C9A">
        <w:t xml:space="preserve"> s </w:t>
      </w:r>
      <w:r w:rsidR="00C3070C" w:rsidRPr="00E07C9A">
        <w:t>treťou časťou hlavou II kapitolami 4</w:t>
      </w:r>
      <w:r w:rsidR="009912F8" w:rsidRPr="00E07C9A">
        <w:t xml:space="preserve"> a </w:t>
      </w:r>
      <w:r w:rsidR="00C3070C" w:rsidRPr="00E07C9A">
        <w:t xml:space="preserve">6 nariadenia (EÚ) </w:t>
      </w:r>
      <w:r w:rsidR="009912F8" w:rsidRPr="00E07C9A">
        <w:t>č. 575/2013.</w:t>
      </w:r>
    </w:p>
    <w:p w14:paraId="4C05CC26" w14:textId="2052B3AB" w:rsidR="009912F8" w:rsidRPr="00E07C9A" w:rsidRDefault="002A18DE" w:rsidP="00487A02">
      <w:pPr>
        <w:pStyle w:val="InstructionsText2"/>
        <w:numPr>
          <w:ilvl w:val="0"/>
          <w:numId w:val="0"/>
        </w:numPr>
        <w:ind w:left="1353" w:hanging="360"/>
      </w:pPr>
      <w:fldSimple w:instr=" seq paragraphs ">
        <w:r w:rsidR="00132AEE">
          <w:rPr>
            <w:noProof/>
          </w:rPr>
          <w:t>129</w:t>
        </w:r>
      </w:fldSimple>
      <w:r w:rsidR="00C3070C" w:rsidRPr="00E07C9A">
        <w:t>. Vzor sa vykazuje osobitne pre všetky triedy expozícií spolu, ako aj osobitne pre každú</w:t>
      </w:r>
      <w:r w:rsidR="009912F8" w:rsidRPr="00E07C9A">
        <w:t xml:space="preserve"> z </w:t>
      </w:r>
      <w:r w:rsidR="00C3070C" w:rsidRPr="00E07C9A">
        <w:t>tried expozícií uvedených</w:t>
      </w:r>
      <w:r w:rsidR="009912F8" w:rsidRPr="00E07C9A">
        <w:t xml:space="preserve"> v </w:t>
      </w:r>
      <w:r w:rsidR="00C3070C" w:rsidRPr="00E07C9A">
        <w:t xml:space="preserve">článku 147 nariadenia (EÚ) </w:t>
      </w:r>
      <w:r w:rsidR="009912F8" w:rsidRPr="00E07C9A">
        <w:t>č. 575/2013</w:t>
      </w:r>
      <w:r w:rsidR="00C3070C" w:rsidRPr="00E07C9A">
        <w:t>.</w:t>
      </w:r>
      <w:r w:rsidR="009912F8" w:rsidRPr="00E07C9A">
        <w:t xml:space="preserve"> Z </w:t>
      </w:r>
      <w:r w:rsidR="00C3070C" w:rsidRPr="00E07C9A">
        <w:t>tohto vzoru sú vylúčené expozície, ktoré sa zúčtovávajú prostredníctvom CCP</w:t>
      </w:r>
      <w:r w:rsidR="009912F8" w:rsidRPr="00E07C9A">
        <w:t>.</w:t>
      </w:r>
    </w:p>
    <w:p w14:paraId="7BDF11C6" w14:textId="27968D4E" w:rsidR="00595FAD" w:rsidRPr="00E07C9A" w:rsidRDefault="002A18DE" w:rsidP="00487A02">
      <w:pPr>
        <w:pStyle w:val="InstructionsText2"/>
        <w:numPr>
          <w:ilvl w:val="0"/>
          <w:numId w:val="0"/>
        </w:numPr>
        <w:ind w:left="1353" w:hanging="360"/>
      </w:pPr>
      <w:fldSimple w:instr=" seq paragraphs ">
        <w:r w:rsidR="00132AEE">
          <w:rPr>
            <w:noProof/>
          </w:rPr>
          <w:t>130</w:t>
        </w:r>
      </w:fldSimple>
      <w:r w:rsidR="00C3070C" w:rsidRPr="00E07C9A">
        <w:t>. Na vyjasnenie toho, či inštitúcia používa svoje vlastné odhady LGD a/alebo konverzných faktorov úverov, sa pre každú vykazovanú triedu expozícií uvádzajú tieto informácie:</w:t>
      </w:r>
    </w:p>
    <w:p w14:paraId="37B9C953" w14:textId="4A668632" w:rsidR="00595FAD" w:rsidRPr="00E07C9A" w:rsidRDefault="00595FAD" w:rsidP="00595FAD">
      <w:pPr>
        <w:autoSpaceDE w:val="0"/>
        <w:autoSpaceDN w:val="0"/>
        <w:adjustRightInd w:val="0"/>
        <w:spacing w:after="240"/>
        <w:ind w:left="709"/>
        <w:rPr>
          <w:rFonts w:ascii="Times New Roman" w:hAnsi="Times New Roman"/>
          <w:sz w:val="24"/>
        </w:rPr>
      </w:pPr>
      <w:r w:rsidRPr="00E07C9A">
        <w:rPr>
          <w:rFonts w:ascii="Times New Roman" w:hAnsi="Times New Roman"/>
          <w:sz w:val="24"/>
        </w:rPr>
        <w:t>„NIE“ =</w:t>
      </w:r>
      <w:r w:rsidR="009912F8" w:rsidRPr="00E07C9A">
        <w:rPr>
          <w:rFonts w:ascii="Times New Roman" w:hAnsi="Times New Roman"/>
          <w:sz w:val="24"/>
        </w:rPr>
        <w:t xml:space="preserve"> v </w:t>
      </w:r>
      <w:r w:rsidRPr="00E07C9A">
        <w:rPr>
          <w:rFonts w:ascii="Times New Roman" w:hAnsi="Times New Roman"/>
          <w:sz w:val="24"/>
        </w:rPr>
        <w:t>prípade používania odhadov LGD</w:t>
      </w:r>
      <w:r w:rsidR="009912F8" w:rsidRPr="00E07C9A">
        <w:rPr>
          <w:rFonts w:ascii="Times New Roman" w:hAnsi="Times New Roman"/>
          <w:sz w:val="24"/>
        </w:rPr>
        <w:t xml:space="preserve"> a </w:t>
      </w:r>
      <w:r w:rsidRPr="00E07C9A">
        <w:rPr>
          <w:rFonts w:ascii="Times New Roman" w:hAnsi="Times New Roman"/>
          <w:sz w:val="24"/>
        </w:rPr>
        <w:t>konverzných faktorov úverov od orgánov dohľadu (základný IRB)</w:t>
      </w:r>
    </w:p>
    <w:p w14:paraId="4B2B90D0" w14:textId="77777777" w:rsidR="009912F8" w:rsidRPr="00E07C9A" w:rsidRDefault="00595FAD" w:rsidP="00595FAD">
      <w:pPr>
        <w:autoSpaceDE w:val="0"/>
        <w:autoSpaceDN w:val="0"/>
        <w:adjustRightInd w:val="0"/>
        <w:spacing w:after="240"/>
        <w:ind w:left="709"/>
        <w:rPr>
          <w:rFonts w:ascii="Times New Roman" w:hAnsi="Times New Roman"/>
          <w:sz w:val="24"/>
        </w:rPr>
      </w:pPr>
      <w:r w:rsidRPr="00E07C9A">
        <w:rPr>
          <w:rFonts w:ascii="Times New Roman" w:hAnsi="Times New Roman"/>
          <w:sz w:val="24"/>
        </w:rPr>
        <w:t>„ÁNO“ =</w:t>
      </w:r>
      <w:r w:rsidR="009912F8" w:rsidRPr="00E07C9A">
        <w:rPr>
          <w:rFonts w:ascii="Times New Roman" w:hAnsi="Times New Roman"/>
          <w:sz w:val="24"/>
        </w:rPr>
        <w:t xml:space="preserve"> v </w:t>
      </w:r>
      <w:r w:rsidRPr="00E07C9A">
        <w:rPr>
          <w:rFonts w:ascii="Times New Roman" w:hAnsi="Times New Roman"/>
          <w:sz w:val="24"/>
        </w:rPr>
        <w:t>prípade používania vlastných odhadov LGD</w:t>
      </w:r>
      <w:r w:rsidR="009912F8" w:rsidRPr="00E07C9A">
        <w:rPr>
          <w:rFonts w:ascii="Times New Roman" w:hAnsi="Times New Roman"/>
          <w:sz w:val="24"/>
        </w:rPr>
        <w:t xml:space="preserve"> a </w:t>
      </w:r>
      <w:r w:rsidRPr="00E07C9A">
        <w:rPr>
          <w:rFonts w:ascii="Times New Roman" w:hAnsi="Times New Roman"/>
          <w:sz w:val="24"/>
        </w:rPr>
        <w:t>konverzných faktorov úverov (pokročilý IRB)</w:t>
      </w:r>
    </w:p>
    <w:p w14:paraId="1262DBA4" w14:textId="30D0892F" w:rsidR="00595FAD" w:rsidRPr="00E07C9A" w:rsidRDefault="00595FAD" w:rsidP="005C4397">
      <w:pPr>
        <w:pStyle w:val="Instructionsberschrift2"/>
        <w:numPr>
          <w:ilvl w:val="3"/>
          <w:numId w:val="39"/>
        </w:numPr>
        <w:rPr>
          <w:rFonts w:ascii="Times New Roman" w:hAnsi="Times New Roman" w:cs="Times New Roman"/>
          <w:sz w:val="24"/>
        </w:rPr>
      </w:pPr>
      <w:bookmarkStart w:id="486" w:name="_Toc19715821"/>
      <w:bookmarkStart w:id="487" w:name="_Toc115857851"/>
      <w:r w:rsidRPr="00E07C9A">
        <w:rPr>
          <w:rFonts w:ascii="Times New Roman" w:hAnsi="Times New Roman" w:cs="Times New Roman"/>
          <w:sz w:val="24"/>
        </w:rPr>
        <w:t>Pokyny týkajúce sa konkrétnych pozícií</w:t>
      </w:r>
      <w:bookmarkEnd w:id="486"/>
      <w:bookmarkEnd w:id="487"/>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7"/>
      </w:tblGrid>
      <w:tr w:rsidR="00595FAD" w:rsidRPr="00E07C9A" w14:paraId="541F7E57" w14:textId="77777777" w:rsidTr="00FF15C6">
        <w:trPr>
          <w:trHeight w:val="238"/>
        </w:trPr>
        <w:tc>
          <w:tcPr>
            <w:tcW w:w="9067" w:type="dxa"/>
            <w:shd w:val="clear" w:color="auto" w:fill="D9D9D9" w:themeFill="background1" w:themeFillShade="D9"/>
          </w:tcPr>
          <w:p w14:paraId="7590EEA1" w14:textId="77777777" w:rsidR="00595FAD" w:rsidRPr="00E07C9A" w:rsidRDefault="00595FAD" w:rsidP="00EE1876">
            <w:pPr>
              <w:keepNext/>
              <w:keepLines/>
              <w:autoSpaceDE w:val="0"/>
              <w:autoSpaceDN w:val="0"/>
              <w:adjustRightInd w:val="0"/>
              <w:rPr>
                <w:rFonts w:ascii="Times New Roman" w:hAnsi="Times New Roman"/>
                <w:b/>
                <w:sz w:val="24"/>
              </w:rPr>
            </w:pPr>
            <w:r w:rsidRPr="00E07C9A">
              <w:rPr>
                <w:rFonts w:ascii="Times New Roman" w:hAnsi="Times New Roman"/>
                <w:b/>
                <w:sz w:val="24"/>
              </w:rPr>
              <w:t>Stĺpce</w:t>
            </w:r>
          </w:p>
        </w:tc>
      </w:tr>
    </w:tbl>
    <w:tbl>
      <w:tblPr>
        <w:tblStyle w:val="TableGrid"/>
        <w:tblW w:w="9067" w:type="dxa"/>
        <w:tblLook w:val="04A0" w:firstRow="1" w:lastRow="0" w:firstColumn="1" w:lastColumn="0" w:noHBand="0" w:noVBand="1"/>
      </w:tblPr>
      <w:tblGrid>
        <w:gridCol w:w="1413"/>
        <w:gridCol w:w="7654"/>
      </w:tblGrid>
      <w:tr w:rsidR="00595FAD" w:rsidRPr="00E07C9A" w14:paraId="66C6C1AE" w14:textId="77777777" w:rsidTr="00FF15C6">
        <w:tc>
          <w:tcPr>
            <w:tcW w:w="1413" w:type="dxa"/>
          </w:tcPr>
          <w:p w14:paraId="573EA027" w14:textId="77777777" w:rsidR="00595FAD" w:rsidRPr="00E07C9A" w:rsidRDefault="00595FAD" w:rsidP="00FF15C6">
            <w:pPr>
              <w:spacing w:before="60" w:after="240"/>
              <w:rPr>
                <w:rFonts w:ascii="Times New Roman" w:hAnsi="Times New Roman"/>
                <w:sz w:val="24"/>
                <w:szCs w:val="22"/>
              </w:rPr>
            </w:pPr>
            <w:r w:rsidRPr="00E07C9A">
              <w:rPr>
                <w:rFonts w:ascii="Times New Roman" w:hAnsi="Times New Roman"/>
                <w:sz w:val="24"/>
              </w:rPr>
              <w:t>0010</w:t>
            </w:r>
          </w:p>
        </w:tc>
        <w:tc>
          <w:tcPr>
            <w:tcW w:w="7654" w:type="dxa"/>
          </w:tcPr>
          <w:p w14:paraId="2D27DEAE" w14:textId="77777777" w:rsidR="009912F8" w:rsidRPr="00E07C9A" w:rsidRDefault="00595FAD" w:rsidP="00FF15C6">
            <w:pPr>
              <w:spacing w:before="60"/>
              <w:rPr>
                <w:rStyle w:val="InstructionsTabelleberschrift"/>
                <w:rFonts w:ascii="Times New Roman" w:hAnsi="Times New Roman"/>
                <w:sz w:val="24"/>
              </w:rPr>
            </w:pPr>
            <w:r w:rsidRPr="00E07C9A">
              <w:rPr>
                <w:rStyle w:val="InstructionsTabelleberschrift"/>
                <w:rFonts w:ascii="Times New Roman" w:hAnsi="Times New Roman"/>
                <w:sz w:val="24"/>
              </w:rPr>
              <w:t>Hodnota expozície</w:t>
            </w:r>
          </w:p>
          <w:p w14:paraId="551376F0" w14:textId="30FB20D8" w:rsidR="00595FAD" w:rsidRPr="00E07C9A" w:rsidRDefault="00595FAD" w:rsidP="00FF15C6">
            <w:pPr>
              <w:spacing w:before="60" w:after="240"/>
              <w:rPr>
                <w:rFonts w:ascii="Times New Roman" w:hAnsi="Times New Roman"/>
                <w:sz w:val="24"/>
              </w:rPr>
            </w:pPr>
            <w:r w:rsidRPr="00E07C9A">
              <w:rPr>
                <w:rFonts w:ascii="Times New Roman" w:hAnsi="Times New Roman"/>
                <w:sz w:val="24"/>
              </w:rPr>
              <w:t>Hodnota expozície (pozri pokyny</w:t>
            </w:r>
            <w:r w:rsidR="009912F8" w:rsidRPr="00E07C9A">
              <w:rPr>
                <w:rFonts w:ascii="Times New Roman" w:hAnsi="Times New Roman"/>
                <w:sz w:val="24"/>
              </w:rPr>
              <w:t xml:space="preserve"> k </w:t>
            </w:r>
            <w:r w:rsidRPr="00E07C9A">
              <w:rPr>
                <w:rFonts w:ascii="Times New Roman" w:hAnsi="Times New Roman"/>
                <w:sz w:val="24"/>
              </w:rPr>
              <w:t>stĺpcu 0170 vo vzore C 34.02),</w:t>
            </w:r>
            <w:r w:rsidR="009912F8" w:rsidRPr="00E07C9A">
              <w:rPr>
                <w:rFonts w:ascii="Times New Roman" w:hAnsi="Times New Roman"/>
                <w:sz w:val="24"/>
              </w:rPr>
              <w:t xml:space="preserve"> v </w:t>
            </w:r>
            <w:r w:rsidRPr="00E07C9A">
              <w:rPr>
                <w:rFonts w:ascii="Times New Roman" w:hAnsi="Times New Roman"/>
                <w:sz w:val="24"/>
              </w:rPr>
              <w:t>rozčlenení podľa danej stupnice PD.</w:t>
            </w:r>
          </w:p>
        </w:tc>
      </w:tr>
      <w:tr w:rsidR="00595FAD" w:rsidRPr="00E07C9A" w14:paraId="77CC3F08" w14:textId="77777777" w:rsidTr="00FF15C6">
        <w:tc>
          <w:tcPr>
            <w:tcW w:w="1413" w:type="dxa"/>
          </w:tcPr>
          <w:p w14:paraId="72013103" w14:textId="77777777" w:rsidR="00595FAD" w:rsidRPr="00E07C9A" w:rsidRDefault="00595FAD" w:rsidP="00FF15C6">
            <w:pPr>
              <w:spacing w:before="60" w:after="240"/>
              <w:rPr>
                <w:rFonts w:ascii="Times New Roman" w:hAnsi="Times New Roman"/>
                <w:sz w:val="24"/>
                <w:szCs w:val="22"/>
              </w:rPr>
            </w:pPr>
            <w:r w:rsidRPr="00E07C9A">
              <w:rPr>
                <w:rFonts w:ascii="Times New Roman" w:hAnsi="Times New Roman"/>
                <w:sz w:val="24"/>
              </w:rPr>
              <w:t>0020</w:t>
            </w:r>
          </w:p>
        </w:tc>
        <w:tc>
          <w:tcPr>
            <w:tcW w:w="7654" w:type="dxa"/>
          </w:tcPr>
          <w:p w14:paraId="32C22325" w14:textId="77777777" w:rsidR="00595FAD" w:rsidRPr="00E07C9A" w:rsidRDefault="00595FAD" w:rsidP="00FF15C6">
            <w:pPr>
              <w:spacing w:before="60" w:after="240"/>
              <w:rPr>
                <w:rStyle w:val="InstructionsTabelleberschrift"/>
                <w:rFonts w:ascii="Times New Roman" w:hAnsi="Times New Roman"/>
                <w:sz w:val="24"/>
              </w:rPr>
            </w:pPr>
            <w:r w:rsidRPr="00E07C9A">
              <w:rPr>
                <w:rStyle w:val="InstructionsTabelleberschrift"/>
                <w:rFonts w:ascii="Times New Roman" w:hAnsi="Times New Roman"/>
                <w:sz w:val="24"/>
              </w:rPr>
              <w:t>Expozíciami vážená priemerná PD (%)</w:t>
            </w:r>
          </w:p>
          <w:p w14:paraId="5CCB2160" w14:textId="285261D1" w:rsidR="00595FAD" w:rsidRPr="00E07C9A" w:rsidRDefault="00595FAD" w:rsidP="00FF15C6">
            <w:pPr>
              <w:spacing w:before="60" w:after="240"/>
              <w:rPr>
                <w:rFonts w:ascii="Times New Roman" w:hAnsi="Times New Roman"/>
                <w:sz w:val="24"/>
              </w:rPr>
            </w:pPr>
            <w:r w:rsidRPr="00E07C9A">
              <w:rPr>
                <w:rFonts w:ascii="Times New Roman" w:hAnsi="Times New Roman"/>
                <w:sz w:val="24"/>
              </w:rPr>
              <w:t>Priemer PD jednotlivých ratingových stupňov dlžníkov vážený ich zodpovedajúcou hodnotou expozície</w:t>
            </w:r>
            <w:r w:rsidR="009912F8" w:rsidRPr="00E07C9A">
              <w:rPr>
                <w:rFonts w:ascii="Times New Roman" w:hAnsi="Times New Roman"/>
                <w:sz w:val="24"/>
              </w:rPr>
              <w:t xml:space="preserve"> v </w:t>
            </w:r>
            <w:r w:rsidRPr="00E07C9A">
              <w:rPr>
                <w:rFonts w:ascii="Times New Roman" w:hAnsi="Times New Roman"/>
                <w:sz w:val="24"/>
              </w:rPr>
              <w:t>zmysle vymedzenia pre stĺpec 0010.</w:t>
            </w:r>
          </w:p>
        </w:tc>
      </w:tr>
      <w:tr w:rsidR="00595FAD" w:rsidRPr="00E07C9A" w14:paraId="77210FDF" w14:textId="77777777" w:rsidTr="00FF15C6">
        <w:tc>
          <w:tcPr>
            <w:tcW w:w="1413" w:type="dxa"/>
          </w:tcPr>
          <w:p w14:paraId="719B09F8" w14:textId="77777777" w:rsidR="00595FAD" w:rsidRPr="00E07C9A" w:rsidRDefault="00595FAD" w:rsidP="00FF15C6">
            <w:pPr>
              <w:spacing w:before="60" w:after="240"/>
              <w:rPr>
                <w:rFonts w:ascii="Times New Roman" w:hAnsi="Times New Roman"/>
                <w:sz w:val="24"/>
                <w:szCs w:val="22"/>
              </w:rPr>
            </w:pPr>
            <w:r w:rsidRPr="00E07C9A">
              <w:rPr>
                <w:rFonts w:ascii="Times New Roman" w:hAnsi="Times New Roman"/>
                <w:sz w:val="24"/>
              </w:rPr>
              <w:t>0030</w:t>
            </w:r>
          </w:p>
        </w:tc>
        <w:tc>
          <w:tcPr>
            <w:tcW w:w="7654" w:type="dxa"/>
          </w:tcPr>
          <w:p w14:paraId="4021DE9C" w14:textId="77777777" w:rsidR="009912F8" w:rsidRPr="00E07C9A" w:rsidRDefault="00595FAD" w:rsidP="00FF15C6">
            <w:pPr>
              <w:spacing w:before="60"/>
              <w:rPr>
                <w:rStyle w:val="InstructionsTabelleberschrift"/>
                <w:rFonts w:ascii="Times New Roman" w:hAnsi="Times New Roman"/>
                <w:sz w:val="24"/>
              </w:rPr>
            </w:pPr>
            <w:r w:rsidRPr="00E07C9A">
              <w:rPr>
                <w:rStyle w:val="InstructionsTabelleberschrift"/>
                <w:rFonts w:ascii="Times New Roman" w:hAnsi="Times New Roman"/>
                <w:sz w:val="24"/>
              </w:rPr>
              <w:t>Počet dlžníkov</w:t>
            </w:r>
          </w:p>
          <w:p w14:paraId="4A437284" w14:textId="6D967560" w:rsidR="00595FAD" w:rsidRPr="00E07C9A" w:rsidRDefault="00595FAD" w:rsidP="00FF15C6">
            <w:pPr>
              <w:rPr>
                <w:rFonts w:ascii="Times New Roman" w:hAnsi="Times New Roman"/>
                <w:sz w:val="24"/>
              </w:rPr>
            </w:pPr>
            <w:r w:rsidRPr="00E07C9A">
              <w:rPr>
                <w:rFonts w:ascii="Times New Roman" w:hAnsi="Times New Roman"/>
                <w:sz w:val="24"/>
              </w:rPr>
              <w:t>Počet právnych subjektov alebo dlžníkov priradených ku každej skupine pevnej stupnice PD, ktorí boli osobitne ohodnotení, bez ohľadu na počet jednotlivých poskytnutých úverov alebo expozícií.</w:t>
            </w:r>
          </w:p>
          <w:p w14:paraId="188D1310" w14:textId="52CC21C2" w:rsidR="00595FAD" w:rsidRPr="00E07C9A" w:rsidRDefault="00595FAD" w:rsidP="00070518">
            <w:pPr>
              <w:rPr>
                <w:rFonts w:ascii="Times New Roman" w:hAnsi="Times New Roman"/>
                <w:sz w:val="24"/>
              </w:rPr>
            </w:pPr>
            <w:r w:rsidRPr="00E07C9A">
              <w:rPr>
                <w:rFonts w:ascii="Times New Roman" w:hAnsi="Times New Roman"/>
                <w:sz w:val="24"/>
              </w:rPr>
              <w:t>Ak sa jednotlivé expozície voči tomu istému dlžníkovi ohodnocujú osobitne, spočítavajú sa osobitne. Takáto situácia sa môže vyskytnúť vtedy, ak sa samostatné expozície voči tomu istému dlžníkovi zaradia do rôznych ratingových stupňov dlžníkov</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172 ods. 1 písm. e) druhou vetou nariadenia (EÚ) </w:t>
            </w:r>
            <w:r w:rsidR="009912F8" w:rsidRPr="00E07C9A">
              <w:rPr>
                <w:rFonts w:ascii="Times New Roman" w:hAnsi="Times New Roman"/>
                <w:sz w:val="24"/>
              </w:rPr>
              <w:t>č. 575/2013</w:t>
            </w:r>
            <w:r w:rsidRPr="00E07C9A">
              <w:rPr>
                <w:rFonts w:ascii="Times New Roman" w:hAnsi="Times New Roman"/>
                <w:sz w:val="24"/>
              </w:rPr>
              <w:t>.</w:t>
            </w:r>
          </w:p>
        </w:tc>
      </w:tr>
      <w:tr w:rsidR="00595FAD" w:rsidRPr="00E07C9A" w14:paraId="61DDAFB3" w14:textId="77777777" w:rsidTr="00FF15C6">
        <w:tc>
          <w:tcPr>
            <w:tcW w:w="1413" w:type="dxa"/>
          </w:tcPr>
          <w:p w14:paraId="4A6ACDA8" w14:textId="77777777" w:rsidR="00595FAD" w:rsidRPr="00E07C9A" w:rsidRDefault="00595FAD" w:rsidP="00FF15C6">
            <w:pPr>
              <w:spacing w:before="60" w:after="240"/>
              <w:rPr>
                <w:rFonts w:ascii="Times New Roman" w:hAnsi="Times New Roman"/>
                <w:sz w:val="24"/>
                <w:szCs w:val="22"/>
              </w:rPr>
            </w:pPr>
            <w:r w:rsidRPr="00E07C9A">
              <w:rPr>
                <w:rFonts w:ascii="Times New Roman" w:hAnsi="Times New Roman"/>
                <w:sz w:val="24"/>
              </w:rPr>
              <w:t>0040</w:t>
            </w:r>
          </w:p>
        </w:tc>
        <w:tc>
          <w:tcPr>
            <w:tcW w:w="7654" w:type="dxa"/>
          </w:tcPr>
          <w:p w14:paraId="7E607261" w14:textId="77777777" w:rsidR="00595FAD" w:rsidRPr="00E07C9A" w:rsidRDefault="00595FAD" w:rsidP="00FF15C6">
            <w:pPr>
              <w:spacing w:before="60" w:after="240"/>
              <w:rPr>
                <w:rStyle w:val="InstructionsTabelleberschrift"/>
                <w:rFonts w:ascii="Times New Roman" w:hAnsi="Times New Roman"/>
                <w:sz w:val="24"/>
              </w:rPr>
            </w:pPr>
            <w:r w:rsidRPr="00E07C9A">
              <w:rPr>
                <w:rStyle w:val="InstructionsTabelleberschrift"/>
                <w:rFonts w:ascii="Times New Roman" w:hAnsi="Times New Roman"/>
                <w:sz w:val="24"/>
              </w:rPr>
              <w:t>Expozíciami vážená priemerná LGD (%)</w:t>
            </w:r>
          </w:p>
          <w:p w14:paraId="5510F6F6" w14:textId="672FB9F8" w:rsidR="00595FAD" w:rsidRPr="00E07C9A" w:rsidRDefault="00595FAD" w:rsidP="00FF15C6">
            <w:pPr>
              <w:spacing w:before="60" w:after="240"/>
              <w:rPr>
                <w:rFonts w:ascii="Times New Roman" w:hAnsi="Times New Roman"/>
                <w:sz w:val="24"/>
              </w:rPr>
            </w:pPr>
            <w:r w:rsidRPr="00E07C9A">
              <w:rPr>
                <w:rFonts w:ascii="Times New Roman" w:hAnsi="Times New Roman"/>
                <w:sz w:val="24"/>
              </w:rPr>
              <w:t>Priemer LGD ratingových stupňov dlžníkov vážený ich zodpovedajúcou hodnotou expozície</w:t>
            </w:r>
            <w:r w:rsidR="009912F8" w:rsidRPr="00E07C9A">
              <w:rPr>
                <w:rFonts w:ascii="Times New Roman" w:hAnsi="Times New Roman"/>
                <w:sz w:val="24"/>
              </w:rPr>
              <w:t xml:space="preserve"> v </w:t>
            </w:r>
            <w:r w:rsidRPr="00E07C9A">
              <w:rPr>
                <w:rFonts w:ascii="Times New Roman" w:hAnsi="Times New Roman"/>
                <w:sz w:val="24"/>
              </w:rPr>
              <w:t>zmysle vymedzenia pre stĺpec 0010.</w:t>
            </w:r>
          </w:p>
          <w:p w14:paraId="06DF21CC" w14:textId="04901B20" w:rsidR="00595FAD" w:rsidRPr="00E07C9A" w:rsidRDefault="00595FAD" w:rsidP="00FF15C6">
            <w:pPr>
              <w:rPr>
                <w:rFonts w:ascii="Times New Roman" w:hAnsi="Times New Roman"/>
                <w:sz w:val="24"/>
              </w:rPr>
            </w:pPr>
            <w:r w:rsidRPr="00E07C9A">
              <w:rPr>
                <w:rFonts w:ascii="Times New Roman" w:hAnsi="Times New Roman"/>
                <w:sz w:val="24"/>
              </w:rPr>
              <w:t>Vykazovaná LGD zodpovedá konečnému odhadu LGD použitému pri výpočte hodnôt rizikovo vážených expozícií získaných po zohľadnení všetkých účinkov zmierňovania kreditného rizika</w:t>
            </w:r>
            <w:r w:rsidR="009912F8" w:rsidRPr="00E07C9A">
              <w:rPr>
                <w:rFonts w:ascii="Times New Roman" w:hAnsi="Times New Roman"/>
                <w:sz w:val="24"/>
              </w:rPr>
              <w:t xml:space="preserve"> a </w:t>
            </w:r>
            <w:r w:rsidRPr="00E07C9A">
              <w:rPr>
                <w:rFonts w:ascii="Times New Roman" w:hAnsi="Times New Roman"/>
                <w:sz w:val="24"/>
              </w:rPr>
              <w:t>prípadne podmienok poklesu, ako sa špecifikuje</w:t>
            </w:r>
            <w:r w:rsidR="009912F8" w:rsidRPr="00E07C9A">
              <w:rPr>
                <w:rFonts w:ascii="Times New Roman" w:hAnsi="Times New Roman"/>
                <w:sz w:val="24"/>
              </w:rPr>
              <w:t xml:space="preserve"> v </w:t>
            </w:r>
            <w:r w:rsidRPr="00E07C9A">
              <w:rPr>
                <w:rFonts w:ascii="Times New Roman" w:hAnsi="Times New Roman"/>
                <w:sz w:val="24"/>
              </w:rPr>
              <w:t>tretej časti hlave II kapitolách 3</w:t>
            </w:r>
            <w:r w:rsidR="009912F8" w:rsidRPr="00E07C9A">
              <w:rPr>
                <w:rFonts w:ascii="Times New Roman" w:hAnsi="Times New Roman"/>
                <w:sz w:val="24"/>
              </w:rPr>
              <w:t xml:space="preserve"> a </w:t>
            </w:r>
            <w:r w:rsidRPr="00E07C9A">
              <w:rPr>
                <w:rFonts w:ascii="Times New Roman" w:hAnsi="Times New Roman"/>
                <w:sz w:val="24"/>
              </w:rPr>
              <w:t xml:space="preserve">4 nariadenia (EÚ) </w:t>
            </w:r>
            <w:r w:rsidR="009912F8" w:rsidRPr="00E07C9A">
              <w:rPr>
                <w:rFonts w:ascii="Times New Roman" w:hAnsi="Times New Roman"/>
                <w:sz w:val="24"/>
              </w:rPr>
              <w:t>č. 575/2013</w:t>
            </w:r>
            <w:r w:rsidRPr="00E07C9A">
              <w:rPr>
                <w:rFonts w:ascii="Times New Roman" w:hAnsi="Times New Roman"/>
                <w:sz w:val="24"/>
              </w:rPr>
              <w:t>. Konkrétne pre inštitúcie, ktoré uplatňujú prístup IRB, ale nepoužívajú svoje vlastné odhady LGD, sa účinky zmierňovania rizika finančného kolaterálu zohľadňujú</w:t>
            </w:r>
            <w:r w:rsidR="009912F8" w:rsidRPr="00E07C9A">
              <w:rPr>
                <w:rFonts w:ascii="Times New Roman" w:hAnsi="Times New Roman"/>
                <w:sz w:val="24"/>
              </w:rPr>
              <w:t xml:space="preserve"> v </w:t>
            </w:r>
            <w:r w:rsidRPr="00E07C9A">
              <w:rPr>
                <w:rFonts w:ascii="Times New Roman" w:hAnsi="Times New Roman"/>
                <w:sz w:val="24"/>
              </w:rPr>
              <w:t>E*, plne upravenej hodnote expozície,</w:t>
            </w:r>
            <w:r w:rsidR="009912F8" w:rsidRPr="00E07C9A">
              <w:rPr>
                <w:rFonts w:ascii="Times New Roman" w:hAnsi="Times New Roman"/>
                <w:sz w:val="24"/>
              </w:rPr>
              <w:t xml:space="preserve"> a </w:t>
            </w:r>
            <w:r w:rsidRPr="00E07C9A">
              <w:rPr>
                <w:rFonts w:ascii="Times New Roman" w:hAnsi="Times New Roman"/>
                <w:sz w:val="24"/>
              </w:rPr>
              <w:t>potom sa zohľadnia</w:t>
            </w:r>
            <w:r w:rsidR="009912F8" w:rsidRPr="00E07C9A">
              <w:rPr>
                <w:rFonts w:ascii="Times New Roman" w:hAnsi="Times New Roman"/>
                <w:sz w:val="24"/>
              </w:rPr>
              <w:t xml:space="preserve"> v </w:t>
            </w:r>
            <w:r w:rsidRPr="00E07C9A">
              <w:rPr>
                <w:rFonts w:ascii="Times New Roman" w:hAnsi="Times New Roman"/>
                <w:sz w:val="24"/>
              </w:rPr>
              <w:t>LGD*</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228 ods. 2 nariadenia (EÚ) </w:t>
            </w:r>
            <w:r w:rsidR="009912F8" w:rsidRPr="00E07C9A">
              <w:rPr>
                <w:rFonts w:ascii="Times New Roman" w:hAnsi="Times New Roman"/>
                <w:sz w:val="24"/>
              </w:rPr>
              <w:t>č. 575/2013</w:t>
            </w:r>
            <w:r w:rsidRPr="00E07C9A">
              <w:rPr>
                <w:rFonts w:ascii="Times New Roman" w:hAnsi="Times New Roman"/>
                <w:sz w:val="24"/>
              </w:rPr>
              <w:t>. Ak sa používajú vlastné odhady LGD, zohľadňuje sa článok 175</w:t>
            </w:r>
            <w:r w:rsidR="009912F8" w:rsidRPr="00E07C9A">
              <w:rPr>
                <w:rFonts w:ascii="Times New Roman" w:hAnsi="Times New Roman"/>
                <w:sz w:val="24"/>
              </w:rPr>
              <w:t xml:space="preserve"> a </w:t>
            </w:r>
            <w:r w:rsidRPr="00E07C9A">
              <w:rPr>
                <w:rFonts w:ascii="Times New Roman" w:hAnsi="Times New Roman"/>
                <w:sz w:val="24"/>
              </w:rPr>
              <w:t>článok 181 ods. 1</w:t>
            </w:r>
            <w:r w:rsidR="009912F8" w:rsidRPr="00E07C9A">
              <w:rPr>
                <w:rFonts w:ascii="Times New Roman" w:hAnsi="Times New Roman"/>
                <w:sz w:val="24"/>
              </w:rPr>
              <w:t xml:space="preserve"> a </w:t>
            </w:r>
            <w:r w:rsidRPr="00E07C9A">
              <w:rPr>
                <w:rFonts w:ascii="Times New Roman" w:hAnsi="Times New Roman"/>
                <w:sz w:val="24"/>
              </w:rPr>
              <w:t xml:space="preserve">2 nariadenia (EÚ) </w:t>
            </w:r>
            <w:r w:rsidR="009912F8" w:rsidRPr="00E07C9A">
              <w:rPr>
                <w:rFonts w:ascii="Times New Roman" w:hAnsi="Times New Roman"/>
                <w:sz w:val="24"/>
              </w:rPr>
              <w:t>č. 575/2013</w:t>
            </w:r>
            <w:r w:rsidRPr="00E07C9A">
              <w:rPr>
                <w:rFonts w:ascii="Times New Roman" w:hAnsi="Times New Roman"/>
                <w:sz w:val="24"/>
              </w:rPr>
              <w:t>.</w:t>
            </w:r>
          </w:p>
          <w:p w14:paraId="39204E33" w14:textId="265D1880" w:rsidR="00595FAD" w:rsidRPr="00E07C9A" w:rsidRDefault="00595FAD" w:rsidP="00FF15C6">
            <w:pPr>
              <w:rPr>
                <w:rFonts w:ascii="Times New Roman" w:hAnsi="Times New Roman"/>
                <w:sz w:val="24"/>
              </w:rPr>
            </w:pPr>
            <w:r w:rsidRPr="00E07C9A">
              <w:rPr>
                <w:rFonts w:ascii="Times New Roman" w:hAnsi="Times New Roman"/>
                <w:sz w:val="24"/>
              </w:rPr>
              <w:t>V prípade expozícií, na ktoré sa vzťahuje prístup dvojnásobného zlyhania, LGD, ktorá sa má vykázať, zodpovedá LGD zvolenej</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161 ods. 4 nariadenia (EÚ) </w:t>
            </w:r>
            <w:r w:rsidR="009912F8" w:rsidRPr="00E07C9A">
              <w:rPr>
                <w:rFonts w:ascii="Times New Roman" w:hAnsi="Times New Roman"/>
                <w:sz w:val="24"/>
              </w:rPr>
              <w:t>č. 575/2013</w:t>
            </w:r>
            <w:r w:rsidRPr="00E07C9A">
              <w:rPr>
                <w:rFonts w:ascii="Times New Roman" w:hAnsi="Times New Roman"/>
                <w:sz w:val="24"/>
              </w:rPr>
              <w:t>.</w:t>
            </w:r>
          </w:p>
          <w:p w14:paraId="2764D21F" w14:textId="75868043" w:rsidR="00595FAD" w:rsidRPr="00E07C9A" w:rsidRDefault="00595FAD" w:rsidP="00070518">
            <w:pPr>
              <w:spacing w:before="60" w:after="240"/>
              <w:rPr>
                <w:rFonts w:ascii="Times New Roman" w:hAnsi="Times New Roman"/>
                <w:strike/>
                <w:sz w:val="24"/>
              </w:rPr>
            </w:pPr>
            <w:r w:rsidRPr="00E07C9A">
              <w:rPr>
                <w:rFonts w:ascii="Times New Roman" w:hAnsi="Times New Roman"/>
                <w:sz w:val="24"/>
              </w:rPr>
              <w:t>V prípade expozícií</w:t>
            </w:r>
            <w:r w:rsidR="009912F8" w:rsidRPr="00E07C9A">
              <w:rPr>
                <w:rFonts w:ascii="Times New Roman" w:hAnsi="Times New Roman"/>
                <w:sz w:val="24"/>
              </w:rPr>
              <w:t xml:space="preserve"> v </w:t>
            </w:r>
            <w:r w:rsidRPr="00E07C9A">
              <w:rPr>
                <w:rFonts w:ascii="Times New Roman" w:hAnsi="Times New Roman"/>
                <w:sz w:val="24"/>
              </w:rPr>
              <w:t>stave zlyhania podľa prístupu A-IRB sa zohľadňujú ustanovenia uvedené</w:t>
            </w:r>
            <w:r w:rsidR="009912F8" w:rsidRPr="00E07C9A">
              <w:rPr>
                <w:rFonts w:ascii="Times New Roman" w:hAnsi="Times New Roman"/>
                <w:sz w:val="24"/>
              </w:rPr>
              <w:t xml:space="preserve"> v </w:t>
            </w:r>
            <w:r w:rsidRPr="00E07C9A">
              <w:rPr>
                <w:rFonts w:ascii="Times New Roman" w:hAnsi="Times New Roman"/>
                <w:sz w:val="24"/>
              </w:rPr>
              <w:t xml:space="preserve">článku 181 ods. 1 písm. h) nariadenia (EÚ) </w:t>
            </w:r>
            <w:r w:rsidR="009912F8" w:rsidRPr="00E07C9A">
              <w:rPr>
                <w:rFonts w:ascii="Times New Roman" w:hAnsi="Times New Roman"/>
                <w:sz w:val="24"/>
              </w:rPr>
              <w:t>č. 575/2013</w:t>
            </w:r>
            <w:r w:rsidRPr="00E07C9A">
              <w:rPr>
                <w:rFonts w:ascii="Times New Roman" w:hAnsi="Times New Roman"/>
                <w:sz w:val="24"/>
              </w:rPr>
              <w:t>. Vykazovaná LDG zodpovedá odhadu LGD</w:t>
            </w:r>
            <w:r w:rsidR="009912F8" w:rsidRPr="00E07C9A">
              <w:rPr>
                <w:rFonts w:ascii="Times New Roman" w:hAnsi="Times New Roman"/>
                <w:sz w:val="24"/>
              </w:rPr>
              <w:t xml:space="preserve"> v </w:t>
            </w:r>
            <w:r w:rsidRPr="00E07C9A">
              <w:rPr>
                <w:rFonts w:ascii="Times New Roman" w:hAnsi="Times New Roman"/>
                <w:sz w:val="24"/>
              </w:rPr>
              <w:t xml:space="preserve">stave zlyhania. </w:t>
            </w:r>
          </w:p>
        </w:tc>
      </w:tr>
      <w:tr w:rsidR="00595FAD" w:rsidRPr="00E07C9A" w14:paraId="41A280AA" w14:textId="77777777" w:rsidTr="00FF15C6">
        <w:tc>
          <w:tcPr>
            <w:tcW w:w="1413" w:type="dxa"/>
          </w:tcPr>
          <w:p w14:paraId="10AA47F6" w14:textId="77777777" w:rsidR="00595FAD" w:rsidRPr="00E07C9A" w:rsidRDefault="00595FAD" w:rsidP="00FF15C6">
            <w:pPr>
              <w:spacing w:before="60" w:after="240"/>
              <w:rPr>
                <w:rFonts w:ascii="Times New Roman" w:hAnsi="Times New Roman"/>
                <w:sz w:val="24"/>
              </w:rPr>
            </w:pPr>
            <w:r w:rsidRPr="00E07C9A">
              <w:rPr>
                <w:rFonts w:ascii="Times New Roman" w:hAnsi="Times New Roman"/>
                <w:sz w:val="24"/>
              </w:rPr>
              <w:t>0050</w:t>
            </w:r>
          </w:p>
        </w:tc>
        <w:tc>
          <w:tcPr>
            <w:tcW w:w="7654" w:type="dxa"/>
          </w:tcPr>
          <w:p w14:paraId="6F976B5A" w14:textId="77777777" w:rsidR="00595FAD" w:rsidRPr="00E07C9A" w:rsidRDefault="00595FAD" w:rsidP="00FF15C6">
            <w:pPr>
              <w:spacing w:before="60"/>
              <w:rPr>
                <w:rStyle w:val="InstructionsTabelleberschrift"/>
                <w:rFonts w:ascii="Times New Roman" w:hAnsi="Times New Roman"/>
                <w:sz w:val="24"/>
              </w:rPr>
            </w:pPr>
            <w:r w:rsidRPr="00E07C9A">
              <w:rPr>
                <w:rStyle w:val="InstructionsTabelleberschrift"/>
                <w:rFonts w:ascii="Times New Roman" w:hAnsi="Times New Roman"/>
                <w:sz w:val="24"/>
              </w:rPr>
              <w:t>Expozíciami vážená priemerná splatnosť (v rokoch)</w:t>
            </w:r>
          </w:p>
          <w:p w14:paraId="1EFE445F" w14:textId="68D2A63A" w:rsidR="00595FAD" w:rsidRPr="00E07C9A" w:rsidRDefault="00595FAD" w:rsidP="00FF15C6">
            <w:pPr>
              <w:spacing w:before="60"/>
              <w:rPr>
                <w:rFonts w:ascii="Times New Roman" w:hAnsi="Times New Roman"/>
                <w:sz w:val="24"/>
              </w:rPr>
            </w:pPr>
            <w:r w:rsidRPr="00E07C9A">
              <w:rPr>
                <w:rStyle w:val="InstructionsTabelleberschrift"/>
                <w:rFonts w:ascii="Times New Roman" w:hAnsi="Times New Roman"/>
                <w:b w:val="0"/>
                <w:sz w:val="24"/>
                <w:u w:val="none"/>
              </w:rPr>
              <w:t>Priemer</w:t>
            </w:r>
            <w:r w:rsidRPr="00E07C9A">
              <w:rPr>
                <w:rFonts w:ascii="Times New Roman" w:hAnsi="Times New Roman"/>
                <w:sz w:val="24"/>
              </w:rPr>
              <w:t xml:space="preserve"> splatností dlžníkov</w:t>
            </w:r>
            <w:r w:rsidR="009912F8" w:rsidRPr="00E07C9A">
              <w:rPr>
                <w:rFonts w:ascii="Times New Roman" w:hAnsi="Times New Roman"/>
                <w:sz w:val="24"/>
              </w:rPr>
              <w:t xml:space="preserve"> v </w:t>
            </w:r>
            <w:r w:rsidRPr="00E07C9A">
              <w:rPr>
                <w:rFonts w:ascii="Times New Roman" w:hAnsi="Times New Roman"/>
                <w:sz w:val="24"/>
              </w:rPr>
              <w:t>rokoch vážený ich zodpovedajúcou hodnotou expozície</w:t>
            </w:r>
            <w:r w:rsidR="009912F8" w:rsidRPr="00E07C9A">
              <w:rPr>
                <w:rFonts w:ascii="Times New Roman" w:hAnsi="Times New Roman"/>
                <w:sz w:val="24"/>
              </w:rPr>
              <w:t xml:space="preserve"> v </w:t>
            </w:r>
            <w:r w:rsidRPr="00E07C9A">
              <w:rPr>
                <w:rFonts w:ascii="Times New Roman" w:hAnsi="Times New Roman"/>
                <w:sz w:val="24"/>
              </w:rPr>
              <w:t>zmysle vymedzenia pre stĺpec 0010.</w:t>
            </w:r>
          </w:p>
          <w:p w14:paraId="1B91C0EA" w14:textId="6F6D5B61" w:rsidR="00595FAD" w:rsidRPr="00E07C9A" w:rsidRDefault="00595FAD" w:rsidP="00837612">
            <w:pPr>
              <w:rPr>
                <w:rFonts w:ascii="Times New Roman" w:hAnsi="Times New Roman"/>
                <w:sz w:val="24"/>
              </w:rPr>
            </w:pPr>
            <w:r w:rsidRPr="00E07C9A">
              <w:rPr>
                <w:rFonts w:ascii="Times New Roman" w:hAnsi="Times New Roman"/>
                <w:sz w:val="24"/>
              </w:rPr>
              <w:t>Splatnosť sa určuje</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162 nariadenia (EÚ) </w:t>
            </w:r>
            <w:r w:rsidR="009912F8" w:rsidRPr="00E07C9A">
              <w:rPr>
                <w:rFonts w:ascii="Times New Roman" w:hAnsi="Times New Roman"/>
                <w:sz w:val="24"/>
              </w:rPr>
              <w:t>č. 575/2013</w:t>
            </w:r>
            <w:r w:rsidRPr="00E07C9A">
              <w:rPr>
                <w:rFonts w:ascii="Times New Roman" w:hAnsi="Times New Roman"/>
                <w:sz w:val="24"/>
              </w:rPr>
              <w:t xml:space="preserve">. </w:t>
            </w:r>
          </w:p>
        </w:tc>
      </w:tr>
      <w:tr w:rsidR="00595FAD" w:rsidRPr="00E07C9A" w14:paraId="16045793" w14:textId="77777777" w:rsidTr="00FF15C6">
        <w:tc>
          <w:tcPr>
            <w:tcW w:w="1413" w:type="dxa"/>
          </w:tcPr>
          <w:p w14:paraId="122EC151" w14:textId="77777777" w:rsidR="00595FAD" w:rsidRPr="00E07C9A" w:rsidRDefault="00595FAD" w:rsidP="00FF15C6">
            <w:pPr>
              <w:spacing w:before="60" w:after="240"/>
              <w:rPr>
                <w:rFonts w:ascii="Times New Roman" w:hAnsi="Times New Roman"/>
                <w:sz w:val="24"/>
              </w:rPr>
            </w:pPr>
            <w:r w:rsidRPr="00E07C9A">
              <w:rPr>
                <w:rFonts w:ascii="Times New Roman" w:hAnsi="Times New Roman"/>
                <w:sz w:val="24"/>
              </w:rPr>
              <w:t>0060</w:t>
            </w:r>
          </w:p>
        </w:tc>
        <w:tc>
          <w:tcPr>
            <w:tcW w:w="7654" w:type="dxa"/>
          </w:tcPr>
          <w:p w14:paraId="52B0F24D" w14:textId="77777777" w:rsidR="009912F8" w:rsidRPr="00E07C9A" w:rsidRDefault="00595FAD" w:rsidP="00FF15C6">
            <w:pPr>
              <w:spacing w:before="60"/>
              <w:rPr>
                <w:rFonts w:ascii="Times New Roman" w:hAnsi="Times New Roman"/>
                <w:i/>
                <w:sz w:val="24"/>
              </w:rPr>
            </w:pPr>
            <w:r w:rsidRPr="00E07C9A">
              <w:rPr>
                <w:rStyle w:val="InstructionsTabelleberschrift"/>
                <w:rFonts w:ascii="Times New Roman" w:hAnsi="Times New Roman"/>
                <w:sz w:val="24"/>
              </w:rPr>
              <w:t>Hodnoty rizikovo vážených expozícií</w:t>
            </w:r>
          </w:p>
          <w:p w14:paraId="5FBE1ED1" w14:textId="1D1A48B0" w:rsidR="009912F8" w:rsidRPr="00E07C9A" w:rsidRDefault="00595FAD" w:rsidP="00FF15C6">
            <w:pPr>
              <w:spacing w:before="60"/>
              <w:rPr>
                <w:rFonts w:ascii="Times New Roman" w:hAnsi="Times New Roman"/>
                <w:sz w:val="24"/>
              </w:rPr>
            </w:pPr>
            <w:r w:rsidRPr="00E07C9A">
              <w:rPr>
                <w:rFonts w:ascii="Times New Roman" w:hAnsi="Times New Roman"/>
                <w:sz w:val="24"/>
              </w:rPr>
              <w:t>Hodnoty rizikovo vážených expozícií</w:t>
            </w:r>
            <w:r w:rsidR="009912F8" w:rsidRPr="00E07C9A">
              <w:rPr>
                <w:rFonts w:ascii="Times New Roman" w:hAnsi="Times New Roman"/>
                <w:sz w:val="24"/>
              </w:rPr>
              <w:t xml:space="preserve"> v </w:t>
            </w:r>
            <w:r w:rsidRPr="00E07C9A">
              <w:rPr>
                <w:rFonts w:ascii="Times New Roman" w:hAnsi="Times New Roman"/>
                <w:sz w:val="24"/>
              </w:rPr>
              <w:t>zmysle vymedzenia</w:t>
            </w:r>
            <w:r w:rsidR="009912F8" w:rsidRPr="00E07C9A">
              <w:rPr>
                <w:rFonts w:ascii="Times New Roman" w:hAnsi="Times New Roman"/>
                <w:sz w:val="24"/>
              </w:rPr>
              <w:t xml:space="preserve"> v </w:t>
            </w:r>
            <w:r w:rsidRPr="00E07C9A">
              <w:rPr>
                <w:rFonts w:ascii="Times New Roman" w:hAnsi="Times New Roman"/>
                <w:sz w:val="24"/>
              </w:rPr>
              <w:t>článku 92 ods. 3</w:t>
            </w:r>
            <w:r w:rsidR="009912F8" w:rsidRPr="00E07C9A">
              <w:rPr>
                <w:rFonts w:ascii="Times New Roman" w:hAnsi="Times New Roman"/>
                <w:sz w:val="24"/>
              </w:rPr>
              <w:t xml:space="preserve"> a </w:t>
            </w:r>
            <w:r w:rsidRPr="00E07C9A">
              <w:rPr>
                <w:rFonts w:ascii="Times New Roman" w:hAnsi="Times New Roman"/>
                <w:sz w:val="24"/>
              </w:rPr>
              <w:t xml:space="preserve">4 nariadenia (EÚ) </w:t>
            </w:r>
            <w:r w:rsidR="009912F8" w:rsidRPr="00E07C9A">
              <w:rPr>
                <w:rFonts w:ascii="Times New Roman" w:hAnsi="Times New Roman"/>
                <w:sz w:val="24"/>
              </w:rPr>
              <w:t>č. 575/2013</w:t>
            </w:r>
            <w:r w:rsidRPr="00E07C9A">
              <w:rPr>
                <w:rFonts w:ascii="Times New Roman" w:hAnsi="Times New Roman"/>
                <w:sz w:val="24"/>
              </w:rPr>
              <w:t xml:space="preserve"> pre pozície, ktorých rizikové váhy sa odhadujú na základe požiadaviek stanovených</w:t>
            </w:r>
            <w:r w:rsidR="009912F8" w:rsidRPr="00E07C9A">
              <w:rPr>
                <w:rFonts w:ascii="Times New Roman" w:hAnsi="Times New Roman"/>
                <w:sz w:val="24"/>
              </w:rPr>
              <w:t xml:space="preserve"> v </w:t>
            </w:r>
            <w:r w:rsidRPr="00E07C9A">
              <w:rPr>
                <w:rFonts w:ascii="Times New Roman" w:hAnsi="Times New Roman"/>
                <w:sz w:val="24"/>
              </w:rPr>
              <w:t xml:space="preserve">tretej časti hlave II kapitole 3 nariadenia (EÚ) </w:t>
            </w:r>
            <w:r w:rsidR="009912F8" w:rsidRPr="00E07C9A">
              <w:rPr>
                <w:rFonts w:ascii="Times New Roman" w:hAnsi="Times New Roman"/>
                <w:sz w:val="24"/>
              </w:rPr>
              <w:t>č. 575/2013 a </w:t>
            </w:r>
            <w:r w:rsidRPr="00E07C9A">
              <w:rPr>
                <w:rFonts w:ascii="Times New Roman" w:hAnsi="Times New Roman"/>
                <w:sz w:val="24"/>
              </w:rPr>
              <w:t>pri ktorých sa hodnota expozície pre obchodné činnosti, na ktoré sa vzťahuje CCR, vypočítava</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treťou časťou hlavou II kapitolami 4</w:t>
            </w:r>
            <w:r w:rsidR="009912F8" w:rsidRPr="00E07C9A">
              <w:rPr>
                <w:rFonts w:ascii="Times New Roman" w:hAnsi="Times New Roman"/>
                <w:sz w:val="24"/>
              </w:rPr>
              <w:t xml:space="preserve"> a </w:t>
            </w:r>
            <w:r w:rsidRPr="00E07C9A">
              <w:rPr>
                <w:rFonts w:ascii="Times New Roman" w:hAnsi="Times New Roman"/>
                <w:sz w:val="24"/>
              </w:rPr>
              <w:t>6 uvedeného nariadenia</w:t>
            </w:r>
            <w:r w:rsidR="009912F8" w:rsidRPr="00E07C9A">
              <w:rPr>
                <w:rFonts w:ascii="Times New Roman" w:hAnsi="Times New Roman"/>
                <w:sz w:val="24"/>
              </w:rPr>
              <w:t>.</w:t>
            </w:r>
          </w:p>
          <w:p w14:paraId="34C5741D" w14:textId="4071E615" w:rsidR="00595FAD" w:rsidRPr="00E07C9A" w:rsidRDefault="00595FAD" w:rsidP="003F19BA">
            <w:pPr>
              <w:spacing w:before="60" w:after="240"/>
              <w:rPr>
                <w:rFonts w:ascii="Times New Roman" w:hAnsi="Times New Roman"/>
                <w:i/>
                <w:sz w:val="24"/>
              </w:rPr>
            </w:pPr>
            <w:r w:rsidRPr="00E07C9A">
              <w:rPr>
                <w:rFonts w:ascii="Times New Roman" w:hAnsi="Times New Roman"/>
                <w:sz w:val="24"/>
              </w:rPr>
              <w:t>Zohľadňujú sa faktory na podporu MSP</w:t>
            </w:r>
            <w:r w:rsidR="009912F8" w:rsidRPr="00E07C9A">
              <w:rPr>
                <w:rFonts w:ascii="Times New Roman" w:hAnsi="Times New Roman"/>
                <w:sz w:val="24"/>
              </w:rPr>
              <w:t xml:space="preserve"> a </w:t>
            </w:r>
            <w:r w:rsidRPr="00E07C9A">
              <w:rPr>
                <w:rFonts w:ascii="Times New Roman" w:hAnsi="Times New Roman"/>
                <w:sz w:val="24"/>
              </w:rPr>
              <w:t>infraštruktúry stanovené</w:t>
            </w:r>
            <w:r w:rsidR="009912F8" w:rsidRPr="00E07C9A">
              <w:rPr>
                <w:rFonts w:ascii="Times New Roman" w:hAnsi="Times New Roman"/>
                <w:sz w:val="24"/>
              </w:rPr>
              <w:t xml:space="preserve"> v </w:t>
            </w:r>
            <w:r w:rsidRPr="00E07C9A">
              <w:rPr>
                <w:rFonts w:ascii="Times New Roman" w:hAnsi="Times New Roman"/>
                <w:sz w:val="24"/>
              </w:rPr>
              <w:t>článkoch 501</w:t>
            </w:r>
            <w:r w:rsidR="009912F8" w:rsidRPr="00E07C9A">
              <w:rPr>
                <w:rFonts w:ascii="Times New Roman" w:hAnsi="Times New Roman"/>
                <w:sz w:val="24"/>
              </w:rPr>
              <w:t xml:space="preserve"> a </w:t>
            </w:r>
            <w:r w:rsidRPr="00E07C9A">
              <w:rPr>
                <w:rFonts w:ascii="Times New Roman" w:hAnsi="Times New Roman"/>
                <w:sz w:val="24"/>
              </w:rPr>
              <w:t xml:space="preserve">501a nariadenia (EÚ) </w:t>
            </w:r>
            <w:r w:rsidR="009912F8" w:rsidRPr="00E07C9A">
              <w:rPr>
                <w:rFonts w:ascii="Times New Roman" w:hAnsi="Times New Roman"/>
                <w:sz w:val="24"/>
              </w:rPr>
              <w:t>č. 575/2013</w:t>
            </w:r>
            <w:r w:rsidRPr="00E07C9A">
              <w:rPr>
                <w:rFonts w:ascii="Times New Roman" w:hAnsi="Times New Roman"/>
                <w:sz w:val="24"/>
              </w:rPr>
              <w:t xml:space="preserve">. </w:t>
            </w:r>
          </w:p>
        </w:tc>
      </w:tr>
      <w:tr w:rsidR="00595FAD" w:rsidRPr="00E07C9A" w14:paraId="3EACE8FA" w14:textId="77777777" w:rsidTr="00FF15C6">
        <w:tc>
          <w:tcPr>
            <w:tcW w:w="1413" w:type="dxa"/>
          </w:tcPr>
          <w:p w14:paraId="3FA0707A" w14:textId="77777777" w:rsidR="00595FAD" w:rsidRPr="00E07C9A" w:rsidRDefault="00595FAD" w:rsidP="00FF15C6">
            <w:pPr>
              <w:spacing w:before="60" w:after="240"/>
              <w:rPr>
                <w:rFonts w:ascii="Times New Roman" w:hAnsi="Times New Roman"/>
                <w:sz w:val="24"/>
              </w:rPr>
            </w:pPr>
            <w:r w:rsidRPr="00E07C9A">
              <w:rPr>
                <w:rFonts w:ascii="Times New Roman" w:hAnsi="Times New Roman"/>
                <w:sz w:val="24"/>
              </w:rPr>
              <w:t>0070</w:t>
            </w:r>
          </w:p>
        </w:tc>
        <w:tc>
          <w:tcPr>
            <w:tcW w:w="7654" w:type="dxa"/>
          </w:tcPr>
          <w:p w14:paraId="2E04853D" w14:textId="77777777" w:rsidR="009912F8" w:rsidRPr="00E07C9A" w:rsidRDefault="00595FAD" w:rsidP="00FF15C6">
            <w:pPr>
              <w:spacing w:before="60"/>
              <w:rPr>
                <w:rStyle w:val="InstructionsTabelleberschrift"/>
                <w:rFonts w:ascii="Times New Roman" w:hAnsi="Times New Roman"/>
                <w:sz w:val="24"/>
              </w:rPr>
            </w:pPr>
            <w:r w:rsidRPr="00E07C9A">
              <w:rPr>
                <w:rStyle w:val="InstructionsTabelleberschrift"/>
                <w:rFonts w:ascii="Times New Roman" w:hAnsi="Times New Roman"/>
                <w:sz w:val="24"/>
              </w:rPr>
              <w:t>Hustota hodnôt rizikovo vážených expozícií</w:t>
            </w:r>
          </w:p>
          <w:p w14:paraId="0DA2EEB9" w14:textId="694C451E" w:rsidR="00595FAD" w:rsidRPr="00E07C9A" w:rsidDel="00291448" w:rsidRDefault="00595FAD" w:rsidP="00FF15C6">
            <w:pPr>
              <w:spacing w:before="60"/>
              <w:rPr>
                <w:rFonts w:ascii="Times New Roman" w:hAnsi="Times New Roman"/>
                <w:sz w:val="24"/>
              </w:rPr>
            </w:pPr>
            <w:r w:rsidRPr="00E07C9A">
              <w:rPr>
                <w:rFonts w:ascii="Times New Roman" w:hAnsi="Times New Roman"/>
                <w:sz w:val="24"/>
              </w:rPr>
              <w:t>Pomer celkových hodnôt rizikovo vážených expozícií (vykazovaných</w:t>
            </w:r>
            <w:r w:rsidR="009912F8" w:rsidRPr="00E07C9A">
              <w:rPr>
                <w:rFonts w:ascii="Times New Roman" w:hAnsi="Times New Roman"/>
                <w:sz w:val="24"/>
              </w:rPr>
              <w:t xml:space="preserve"> v </w:t>
            </w:r>
            <w:r w:rsidRPr="00E07C9A">
              <w:rPr>
                <w:rFonts w:ascii="Times New Roman" w:hAnsi="Times New Roman"/>
                <w:sz w:val="24"/>
              </w:rPr>
              <w:t>stĺpci 0060)</w:t>
            </w:r>
            <w:r w:rsidR="009912F8" w:rsidRPr="00E07C9A">
              <w:rPr>
                <w:rFonts w:ascii="Times New Roman" w:hAnsi="Times New Roman"/>
                <w:sz w:val="24"/>
              </w:rPr>
              <w:t xml:space="preserve"> k </w:t>
            </w:r>
            <w:r w:rsidRPr="00E07C9A">
              <w:rPr>
                <w:rFonts w:ascii="Times New Roman" w:hAnsi="Times New Roman"/>
                <w:sz w:val="24"/>
              </w:rPr>
              <w:t>hodnote expozície (vykazovanej</w:t>
            </w:r>
            <w:r w:rsidR="009912F8" w:rsidRPr="00E07C9A">
              <w:rPr>
                <w:rFonts w:ascii="Times New Roman" w:hAnsi="Times New Roman"/>
                <w:sz w:val="24"/>
              </w:rPr>
              <w:t xml:space="preserve"> v </w:t>
            </w:r>
            <w:r w:rsidRPr="00E07C9A">
              <w:rPr>
                <w:rFonts w:ascii="Times New Roman" w:hAnsi="Times New Roman"/>
                <w:sz w:val="24"/>
              </w:rPr>
              <w:t>stĺpci 0010).</w:t>
            </w:r>
          </w:p>
        </w:tc>
      </w:tr>
    </w:tbl>
    <w:p w14:paraId="0A729A63" w14:textId="77777777" w:rsidR="00595FAD" w:rsidRPr="00E07C9A" w:rsidRDefault="00595FAD" w:rsidP="00595FAD">
      <w:pPr>
        <w:spacing w:before="60" w:after="240"/>
        <w:rPr>
          <w:rFonts w:ascii="Times New Roman" w:hAnsi="Times New Roman"/>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E07C9A" w14:paraId="3FEDB20D" w14:textId="77777777" w:rsidTr="00FF15C6">
        <w:trPr>
          <w:trHeight w:val="720"/>
        </w:trPr>
        <w:tc>
          <w:tcPr>
            <w:tcW w:w="9039" w:type="dxa"/>
            <w:gridSpan w:val="2"/>
            <w:shd w:val="clear" w:color="auto" w:fill="D9D9D9" w:themeFill="background1" w:themeFillShade="D9"/>
          </w:tcPr>
          <w:p w14:paraId="69997A17" w14:textId="77777777" w:rsidR="00595FAD" w:rsidRPr="00E07C9A" w:rsidRDefault="00595FAD" w:rsidP="00FF15C6">
            <w:pPr>
              <w:autoSpaceDE w:val="0"/>
              <w:autoSpaceDN w:val="0"/>
              <w:adjustRightInd w:val="0"/>
              <w:rPr>
                <w:rFonts w:ascii="Times New Roman" w:hAnsi="Times New Roman"/>
                <w:sz w:val="24"/>
              </w:rPr>
            </w:pPr>
            <w:r w:rsidRPr="00E07C9A">
              <w:rPr>
                <w:rFonts w:ascii="Times New Roman" w:hAnsi="Times New Roman"/>
                <w:b/>
                <w:sz w:val="24"/>
              </w:rPr>
              <w:t xml:space="preserve">Riadky </w:t>
            </w:r>
          </w:p>
        </w:tc>
      </w:tr>
      <w:tr w:rsidR="00595FAD" w:rsidRPr="00E07C9A" w14:paraId="57B7844D" w14:textId="77777777" w:rsidTr="00FF15C6">
        <w:trPr>
          <w:trHeight w:val="680"/>
        </w:trPr>
        <w:tc>
          <w:tcPr>
            <w:tcW w:w="1384" w:type="dxa"/>
          </w:tcPr>
          <w:p w14:paraId="1CD47391" w14:textId="77777777" w:rsidR="00595FAD" w:rsidRPr="00E07C9A" w:rsidRDefault="00595FAD" w:rsidP="00FF15C6">
            <w:pPr>
              <w:pStyle w:val="Applicationdirecte"/>
              <w:spacing w:before="60" w:after="0"/>
              <w:jc w:val="center"/>
            </w:pPr>
            <w:r w:rsidRPr="00E07C9A">
              <w:t>0010 – 0170</w:t>
            </w:r>
          </w:p>
        </w:tc>
        <w:tc>
          <w:tcPr>
            <w:tcW w:w="7655" w:type="dxa"/>
            <w:vAlign w:val="center"/>
          </w:tcPr>
          <w:p w14:paraId="1D624929" w14:textId="77777777" w:rsidR="00595FAD" w:rsidRPr="00E07C9A" w:rsidRDefault="00595FAD" w:rsidP="00FF15C6">
            <w:pPr>
              <w:spacing w:before="60"/>
              <w:rPr>
                <w:rFonts w:ascii="Times New Roman" w:hAnsi="Times New Roman"/>
                <w:b/>
                <w:bCs/>
                <w:sz w:val="24"/>
                <w:u w:val="single"/>
              </w:rPr>
            </w:pPr>
            <w:r w:rsidRPr="00E07C9A">
              <w:rPr>
                <w:rStyle w:val="InstructionsTabelleberschrift"/>
                <w:rFonts w:ascii="Times New Roman" w:hAnsi="Times New Roman"/>
                <w:sz w:val="24"/>
              </w:rPr>
              <w:t>Stupnica PD</w:t>
            </w:r>
          </w:p>
          <w:p w14:paraId="5E9D684F" w14:textId="55C69835" w:rsidR="00595FAD" w:rsidRPr="00E07C9A" w:rsidRDefault="00595FAD" w:rsidP="00FF15C6">
            <w:pPr>
              <w:spacing w:before="60"/>
              <w:rPr>
                <w:rFonts w:ascii="Times New Roman" w:hAnsi="Times New Roman"/>
                <w:sz w:val="24"/>
              </w:rPr>
            </w:pPr>
            <w:r w:rsidRPr="00E07C9A">
              <w:rPr>
                <w:rFonts w:ascii="Times New Roman" w:hAnsi="Times New Roman"/>
                <w:sz w:val="24"/>
              </w:rPr>
              <w:t>Expozície voči CCR (určované na úrovni protistrany) sa zaraďujú do príslušnej skupiny pevnej stupnice PD na základe PD odhadovanej pre každého dlžníka zaradeného do tejto triedy expozícií (bez zohľadnenia akejkoľvek substitúcie</w:t>
            </w:r>
            <w:r w:rsidR="009912F8" w:rsidRPr="00E07C9A">
              <w:rPr>
                <w:rFonts w:ascii="Times New Roman" w:hAnsi="Times New Roman"/>
                <w:sz w:val="24"/>
              </w:rPr>
              <w:t xml:space="preserve"> v </w:t>
            </w:r>
            <w:r w:rsidRPr="00E07C9A">
              <w:rPr>
                <w:rFonts w:ascii="Times New Roman" w:hAnsi="Times New Roman"/>
                <w:sz w:val="24"/>
              </w:rPr>
              <w:t>dôsledku existencie záruky alebo kreditného derivátu). Inštitúcie priraďujú expozíciu za expozíciou</w:t>
            </w:r>
            <w:r w:rsidR="009912F8" w:rsidRPr="00E07C9A">
              <w:rPr>
                <w:rFonts w:ascii="Times New Roman" w:hAnsi="Times New Roman"/>
                <w:sz w:val="24"/>
              </w:rPr>
              <w:t xml:space="preserve"> k </w:t>
            </w:r>
            <w:r w:rsidRPr="00E07C9A">
              <w:rPr>
                <w:rFonts w:ascii="Times New Roman" w:hAnsi="Times New Roman"/>
                <w:sz w:val="24"/>
              </w:rPr>
              <w:t>stupnici PD uvedenej vo vzore, pričom zároveň zohľadňujú spojité stupnice. Všetky zlyhané expozície sa zahŕňajú do skupiny predstavujúcej PD na úrovni 100</w:t>
            </w:r>
            <w:r w:rsidR="009912F8" w:rsidRPr="00E07C9A">
              <w:rPr>
                <w:rFonts w:ascii="Times New Roman" w:hAnsi="Times New Roman"/>
                <w:sz w:val="24"/>
              </w:rPr>
              <w:t> %</w:t>
            </w:r>
            <w:r w:rsidRPr="00E07C9A">
              <w:rPr>
                <w:rFonts w:ascii="Times New Roman" w:hAnsi="Times New Roman"/>
                <w:sz w:val="24"/>
              </w:rPr>
              <w:t>.</w:t>
            </w:r>
          </w:p>
        </w:tc>
      </w:tr>
    </w:tbl>
    <w:p w14:paraId="365B6380" w14:textId="77777777" w:rsidR="00595FAD" w:rsidRPr="00E07C9A" w:rsidRDefault="00595FAD" w:rsidP="005C4397">
      <w:pPr>
        <w:pStyle w:val="Instructionsberschrift2"/>
        <w:numPr>
          <w:ilvl w:val="2"/>
          <w:numId w:val="39"/>
        </w:numPr>
        <w:rPr>
          <w:rFonts w:ascii="Times New Roman" w:hAnsi="Times New Roman" w:cs="Times New Roman"/>
          <w:sz w:val="24"/>
        </w:rPr>
      </w:pPr>
      <w:bookmarkStart w:id="488" w:name="_Toc19715822"/>
      <w:bookmarkStart w:id="489" w:name="_Toc115857852"/>
      <w:r w:rsidRPr="00E07C9A">
        <w:rPr>
          <w:rFonts w:ascii="Times New Roman" w:hAnsi="Times New Roman" w:cs="Times New Roman"/>
          <w:sz w:val="24"/>
        </w:rPr>
        <w:t>C 34.08 – Zloženie kolaterálu pre expozície voči CCR</w:t>
      </w:r>
      <w:bookmarkEnd w:id="488"/>
      <w:bookmarkEnd w:id="489"/>
    </w:p>
    <w:p w14:paraId="6B05040F" w14:textId="77777777" w:rsidR="00595FAD" w:rsidRPr="00E07C9A" w:rsidRDefault="00595FAD" w:rsidP="005C4397">
      <w:pPr>
        <w:pStyle w:val="Instructionsberschrift2"/>
        <w:numPr>
          <w:ilvl w:val="3"/>
          <w:numId w:val="39"/>
        </w:numPr>
        <w:rPr>
          <w:rFonts w:ascii="Times New Roman" w:hAnsi="Times New Roman" w:cs="Times New Roman"/>
          <w:sz w:val="24"/>
        </w:rPr>
      </w:pPr>
      <w:bookmarkStart w:id="490" w:name="_Toc19715823"/>
      <w:bookmarkStart w:id="491" w:name="_Toc115857853"/>
      <w:r w:rsidRPr="00E07C9A">
        <w:rPr>
          <w:rFonts w:ascii="Times New Roman" w:hAnsi="Times New Roman" w:cs="Times New Roman"/>
          <w:sz w:val="24"/>
        </w:rPr>
        <w:t>Všeobecné poznámky</w:t>
      </w:r>
      <w:bookmarkEnd w:id="490"/>
      <w:bookmarkEnd w:id="491"/>
    </w:p>
    <w:p w14:paraId="744B0F21" w14:textId="00BFA0F6" w:rsidR="009912F8" w:rsidRPr="00E07C9A" w:rsidRDefault="002A18DE" w:rsidP="00487A02">
      <w:pPr>
        <w:pStyle w:val="InstructionsText2"/>
        <w:numPr>
          <w:ilvl w:val="0"/>
          <w:numId w:val="0"/>
        </w:numPr>
        <w:ind w:left="1353" w:hanging="360"/>
      </w:pPr>
      <w:fldSimple w:instr=" seq paragraphs ">
        <w:r w:rsidR="00132AEE">
          <w:rPr>
            <w:noProof/>
          </w:rPr>
          <w:t>131</w:t>
        </w:r>
      </w:fldSimple>
      <w:r w:rsidR="00C3070C" w:rsidRPr="00E07C9A">
        <w:t>.</w:t>
      </w:r>
      <w:r w:rsidR="009912F8" w:rsidRPr="00E07C9A">
        <w:t xml:space="preserve"> V </w:t>
      </w:r>
      <w:r w:rsidR="00C3070C" w:rsidRPr="00E07C9A">
        <w:t>tomto vzore sa vypĺňajú reálne hodnoty kolaterálu (poskytnutého alebo prijatého), ktorý je použitý</w:t>
      </w:r>
      <w:r w:rsidR="009912F8" w:rsidRPr="00E07C9A">
        <w:t xml:space="preserve"> v </w:t>
      </w:r>
      <w:r w:rsidR="00C3070C" w:rsidRPr="00E07C9A">
        <w:t>expozíciách voči CCR súvisiacich</w:t>
      </w:r>
      <w:r w:rsidR="009912F8" w:rsidRPr="00E07C9A">
        <w:t xml:space="preserve"> s </w:t>
      </w:r>
      <w:r w:rsidR="00C3070C" w:rsidRPr="00E07C9A">
        <w:t>derivátovými transakciami, transakciami</w:t>
      </w:r>
      <w:r w:rsidR="009912F8" w:rsidRPr="00E07C9A">
        <w:t xml:space="preserve"> s </w:t>
      </w:r>
      <w:r w:rsidR="00C3070C" w:rsidRPr="00E07C9A">
        <w:t>dlhou dobou vyrovnania alebo SFT, bez ohľadu na to, či sa transakcie zúčtovávajú prostredníctvom CCP alebo nie,</w:t>
      </w:r>
      <w:r w:rsidR="009912F8" w:rsidRPr="00E07C9A">
        <w:t xml:space="preserve"> a </w:t>
      </w:r>
      <w:r w:rsidR="00C3070C" w:rsidRPr="00E07C9A">
        <w:t>bez ohľadu na to, či sa kolaterál poskytuje CCP alebo nie</w:t>
      </w:r>
      <w:r w:rsidR="009912F8" w:rsidRPr="00E07C9A">
        <w:t>.</w:t>
      </w:r>
    </w:p>
    <w:p w14:paraId="6581525E" w14:textId="1BB11A4F" w:rsidR="00595FAD" w:rsidRPr="00E07C9A" w:rsidRDefault="00595FAD" w:rsidP="005C4397">
      <w:pPr>
        <w:pStyle w:val="Instructionsberschrift2"/>
        <w:numPr>
          <w:ilvl w:val="3"/>
          <w:numId w:val="39"/>
        </w:numPr>
        <w:rPr>
          <w:rFonts w:ascii="Times New Roman" w:hAnsi="Times New Roman" w:cs="Times New Roman"/>
          <w:sz w:val="24"/>
        </w:rPr>
      </w:pPr>
      <w:bookmarkStart w:id="492" w:name="_Toc19715824"/>
      <w:bookmarkStart w:id="493" w:name="_Toc115857854"/>
      <w:r w:rsidRPr="00E07C9A">
        <w:rPr>
          <w:rFonts w:ascii="Times New Roman" w:hAnsi="Times New Roman" w:cs="Times New Roman"/>
          <w:sz w:val="24"/>
        </w:rPr>
        <w:t>Pokyny týkajúce sa konkrétnych pozícií</w:t>
      </w:r>
      <w:bookmarkEnd w:id="492"/>
      <w:bookmarkEnd w:id="49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E07C9A" w14:paraId="50602FDD"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41CCF2" w14:textId="77777777" w:rsidR="00595FAD" w:rsidRPr="00E07C9A" w:rsidRDefault="00595FAD" w:rsidP="00FF15C6">
            <w:pPr>
              <w:pStyle w:val="TableMainHeading"/>
              <w:spacing w:before="60"/>
              <w:rPr>
                <w:rFonts w:ascii="Times New Roman" w:hAnsi="Times New Roman"/>
                <w:b/>
                <w:sz w:val="24"/>
                <w:szCs w:val="24"/>
              </w:rPr>
            </w:pPr>
            <w:r w:rsidRPr="00E07C9A">
              <w:rPr>
                <w:rFonts w:ascii="Times New Roman" w:hAnsi="Times New Roman"/>
                <w:b/>
                <w:sz w:val="24"/>
              </w:rPr>
              <w:t xml:space="preserve">Stĺpce </w:t>
            </w:r>
          </w:p>
        </w:tc>
      </w:tr>
      <w:tr w:rsidR="00595FAD" w:rsidRPr="00E07C9A" w14:paraId="3BD10F8F" w14:textId="77777777" w:rsidTr="00FF15C6">
        <w:trPr>
          <w:trHeight w:val="680"/>
        </w:trPr>
        <w:tc>
          <w:tcPr>
            <w:tcW w:w="1384" w:type="dxa"/>
          </w:tcPr>
          <w:p w14:paraId="151903DC" w14:textId="77777777" w:rsidR="00595FAD" w:rsidRPr="00E07C9A" w:rsidRDefault="00595FAD" w:rsidP="00FF15C6">
            <w:pPr>
              <w:pStyle w:val="Applicationdirecte"/>
              <w:spacing w:before="60" w:after="0"/>
            </w:pPr>
            <w:r w:rsidRPr="00E07C9A">
              <w:t>0010 – 0080</w:t>
            </w:r>
          </w:p>
        </w:tc>
        <w:tc>
          <w:tcPr>
            <w:tcW w:w="7655" w:type="dxa"/>
            <w:vAlign w:val="center"/>
          </w:tcPr>
          <w:p w14:paraId="6550E924" w14:textId="77777777" w:rsidR="009912F8" w:rsidRPr="00E07C9A" w:rsidRDefault="00595FAD" w:rsidP="00FF15C6">
            <w:pPr>
              <w:spacing w:before="60"/>
              <w:rPr>
                <w:rStyle w:val="InstructionsTabelleberschrift"/>
                <w:rFonts w:ascii="Times New Roman" w:hAnsi="Times New Roman"/>
                <w:sz w:val="24"/>
              </w:rPr>
            </w:pPr>
            <w:r w:rsidRPr="00E07C9A">
              <w:rPr>
                <w:rStyle w:val="InstructionsTabelleberschrift"/>
                <w:rFonts w:ascii="Times New Roman" w:hAnsi="Times New Roman"/>
                <w:sz w:val="24"/>
              </w:rPr>
              <w:t>Kolaterál použitý</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derivátových transakciách</w:t>
            </w:r>
          </w:p>
          <w:p w14:paraId="07E6C99C" w14:textId="18F8B24C" w:rsidR="00595FAD" w:rsidRPr="00E07C9A" w:rsidRDefault="00595FAD" w:rsidP="00070518">
            <w:pPr>
              <w:pStyle w:val="numberedparagraph"/>
              <w:numPr>
                <w:ilvl w:val="0"/>
                <w:numId w:val="0"/>
              </w:numPr>
              <w:spacing w:before="60" w:line="240" w:lineRule="auto"/>
              <w:rPr>
                <w:rFonts w:ascii="Times New Roman" w:hAnsi="Times New Roman" w:cs="Times New Roman"/>
                <w:sz w:val="24"/>
              </w:rPr>
            </w:pPr>
            <w:r w:rsidRPr="00E07C9A">
              <w:rPr>
                <w:rFonts w:ascii="Times New Roman" w:hAnsi="Times New Roman" w:cs="Times New Roman"/>
                <w:sz w:val="24"/>
              </w:rPr>
              <w:t>Inštitúcie vykazujú kolaterál (vrátane kolaterálu počiatočnej marže</w:t>
            </w:r>
            <w:r w:rsidR="009912F8" w:rsidRPr="00E07C9A">
              <w:rPr>
                <w:rFonts w:ascii="Times New Roman" w:hAnsi="Times New Roman" w:cs="Times New Roman"/>
                <w:sz w:val="24"/>
              </w:rPr>
              <w:t xml:space="preserve"> a </w:t>
            </w:r>
            <w:r w:rsidRPr="00E07C9A">
              <w:rPr>
                <w:rFonts w:ascii="Times New Roman" w:hAnsi="Times New Roman" w:cs="Times New Roman"/>
                <w:sz w:val="24"/>
              </w:rPr>
              <w:t>kolaterálu variačnej marže), ktorý je použitý</w:t>
            </w:r>
            <w:r w:rsidR="009912F8" w:rsidRPr="00E07C9A">
              <w:rPr>
                <w:rFonts w:ascii="Times New Roman" w:hAnsi="Times New Roman" w:cs="Times New Roman"/>
                <w:sz w:val="24"/>
              </w:rPr>
              <w:t xml:space="preserve"> v </w:t>
            </w:r>
            <w:r w:rsidRPr="00E07C9A">
              <w:rPr>
                <w:rFonts w:ascii="Times New Roman" w:hAnsi="Times New Roman" w:cs="Times New Roman"/>
                <w:sz w:val="24"/>
              </w:rPr>
              <w:t>expozíciách voči CCR súvisiacich</w:t>
            </w:r>
            <w:r w:rsidR="009912F8" w:rsidRPr="00E07C9A">
              <w:rPr>
                <w:rFonts w:ascii="Times New Roman" w:hAnsi="Times New Roman" w:cs="Times New Roman"/>
                <w:sz w:val="24"/>
              </w:rPr>
              <w:t xml:space="preserve"> s </w:t>
            </w:r>
            <w:r w:rsidRPr="00E07C9A">
              <w:rPr>
                <w:rFonts w:ascii="Times New Roman" w:hAnsi="Times New Roman" w:cs="Times New Roman"/>
                <w:sz w:val="24"/>
              </w:rPr>
              <w:t>akýmkoľvek derivátovým nástrojom uvedeným</w:t>
            </w:r>
            <w:r w:rsidR="009912F8" w:rsidRPr="00E07C9A">
              <w:rPr>
                <w:rFonts w:ascii="Times New Roman" w:hAnsi="Times New Roman" w:cs="Times New Roman"/>
                <w:sz w:val="24"/>
              </w:rPr>
              <w:t xml:space="preserve"> v </w:t>
            </w:r>
            <w:r w:rsidRPr="00E07C9A">
              <w:rPr>
                <w:rFonts w:ascii="Times New Roman" w:hAnsi="Times New Roman" w:cs="Times New Roman"/>
                <w:sz w:val="24"/>
              </w:rPr>
              <w:t>prílohe II</w:t>
            </w:r>
            <w:r w:rsidR="009912F8" w:rsidRPr="00E07C9A">
              <w:rPr>
                <w:rFonts w:ascii="Times New Roman" w:hAnsi="Times New Roman" w:cs="Times New Roman"/>
                <w:sz w:val="24"/>
              </w:rPr>
              <w:t xml:space="preserve"> k </w:t>
            </w:r>
            <w:r w:rsidRPr="00E07C9A">
              <w:rPr>
                <w:rFonts w:ascii="Times New Roman" w:hAnsi="Times New Roman" w:cs="Times New Roman"/>
                <w:sz w:val="24"/>
              </w:rPr>
              <w:t xml:space="preserve">nariadeniu (EÚ) </w:t>
            </w:r>
            <w:r w:rsidR="009912F8" w:rsidRPr="00E07C9A">
              <w:rPr>
                <w:rFonts w:ascii="Times New Roman" w:hAnsi="Times New Roman" w:cs="Times New Roman"/>
                <w:sz w:val="24"/>
              </w:rPr>
              <w:t>č. 575/2013</w:t>
            </w:r>
            <w:r w:rsidRPr="00E07C9A">
              <w:rPr>
                <w:rFonts w:ascii="Times New Roman" w:hAnsi="Times New Roman" w:cs="Times New Roman"/>
                <w:sz w:val="24"/>
              </w:rPr>
              <w:t xml:space="preserve"> alebo</w:t>
            </w:r>
            <w:r w:rsidR="009912F8" w:rsidRPr="00E07C9A">
              <w:rPr>
                <w:rFonts w:ascii="Times New Roman" w:hAnsi="Times New Roman" w:cs="Times New Roman"/>
                <w:sz w:val="24"/>
              </w:rPr>
              <w:t xml:space="preserve"> s </w:t>
            </w:r>
            <w:r w:rsidRPr="00E07C9A">
              <w:rPr>
                <w:rFonts w:ascii="Times New Roman" w:hAnsi="Times New Roman" w:cs="Times New Roman"/>
                <w:sz w:val="24"/>
              </w:rPr>
              <w:t>transakciou</w:t>
            </w:r>
            <w:r w:rsidR="009912F8" w:rsidRPr="00E07C9A">
              <w:rPr>
                <w:rFonts w:ascii="Times New Roman" w:hAnsi="Times New Roman" w:cs="Times New Roman"/>
                <w:sz w:val="24"/>
              </w:rPr>
              <w:t xml:space="preserve"> s </w:t>
            </w:r>
            <w:r w:rsidRPr="00E07C9A">
              <w:rPr>
                <w:rFonts w:ascii="Times New Roman" w:hAnsi="Times New Roman" w:cs="Times New Roman"/>
                <w:sz w:val="24"/>
              </w:rPr>
              <w:t>dlhou dobou vyrovnania</w:t>
            </w:r>
            <w:r w:rsidR="009912F8" w:rsidRPr="00E07C9A">
              <w:rPr>
                <w:rFonts w:ascii="Times New Roman" w:hAnsi="Times New Roman" w:cs="Times New Roman"/>
                <w:sz w:val="24"/>
              </w:rPr>
              <w:t xml:space="preserve"> v </w:t>
            </w:r>
            <w:r w:rsidRPr="00E07C9A">
              <w:rPr>
                <w:rFonts w:ascii="Times New Roman" w:hAnsi="Times New Roman" w:cs="Times New Roman"/>
                <w:sz w:val="24"/>
              </w:rPr>
              <w:t>zmysle vymedzenia</w:t>
            </w:r>
            <w:r w:rsidR="009912F8" w:rsidRPr="00E07C9A">
              <w:rPr>
                <w:rFonts w:ascii="Times New Roman" w:hAnsi="Times New Roman" w:cs="Times New Roman"/>
                <w:sz w:val="24"/>
              </w:rPr>
              <w:t xml:space="preserve"> v </w:t>
            </w:r>
            <w:r w:rsidRPr="00E07C9A">
              <w:rPr>
                <w:rFonts w:ascii="Times New Roman" w:hAnsi="Times New Roman" w:cs="Times New Roman"/>
                <w:sz w:val="24"/>
              </w:rPr>
              <w:t xml:space="preserve">článku 272 bode 2 uvedeného nariadenia, ktorá sa nekvalifikuje ako SFT. </w:t>
            </w:r>
          </w:p>
        </w:tc>
      </w:tr>
      <w:tr w:rsidR="00595FAD" w:rsidRPr="00E07C9A" w14:paraId="0E7C717E" w14:textId="77777777" w:rsidTr="00FF15C6">
        <w:trPr>
          <w:trHeight w:val="680"/>
        </w:trPr>
        <w:tc>
          <w:tcPr>
            <w:tcW w:w="1384" w:type="dxa"/>
          </w:tcPr>
          <w:p w14:paraId="5E4EA907" w14:textId="77777777" w:rsidR="00595FAD" w:rsidRPr="00E07C9A" w:rsidRDefault="00595FAD" w:rsidP="00FF15C6">
            <w:pPr>
              <w:pStyle w:val="Applicationdirecte"/>
              <w:spacing w:before="60" w:after="0"/>
            </w:pPr>
            <w:r w:rsidRPr="00E07C9A">
              <w:t>0090 – 0180</w:t>
            </w:r>
          </w:p>
        </w:tc>
        <w:tc>
          <w:tcPr>
            <w:tcW w:w="7655" w:type="dxa"/>
            <w:vAlign w:val="center"/>
          </w:tcPr>
          <w:p w14:paraId="472E6D6B" w14:textId="77777777" w:rsidR="009912F8" w:rsidRPr="00E07C9A" w:rsidRDefault="00595FAD" w:rsidP="00FF15C6">
            <w:pPr>
              <w:spacing w:before="60"/>
              <w:rPr>
                <w:rStyle w:val="InstructionsTabelleberschrift"/>
                <w:rFonts w:ascii="Times New Roman" w:hAnsi="Times New Roman"/>
                <w:sz w:val="24"/>
              </w:rPr>
            </w:pPr>
            <w:r w:rsidRPr="00E07C9A">
              <w:rPr>
                <w:rStyle w:val="InstructionsTabelleberschrift"/>
                <w:rFonts w:ascii="Times New Roman" w:hAnsi="Times New Roman"/>
                <w:sz w:val="24"/>
              </w:rPr>
              <w:t>Kolaterál použitý</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SFT</w:t>
            </w:r>
          </w:p>
          <w:p w14:paraId="39124F64" w14:textId="6C0CEEB4" w:rsidR="00595FAD" w:rsidRPr="00E07C9A" w:rsidRDefault="00595FAD" w:rsidP="00FF15C6">
            <w:pPr>
              <w:pStyle w:val="numberedparagraph"/>
              <w:numPr>
                <w:ilvl w:val="0"/>
                <w:numId w:val="0"/>
              </w:numPr>
              <w:spacing w:before="60" w:line="240" w:lineRule="auto"/>
              <w:rPr>
                <w:rFonts w:ascii="Times New Roman" w:hAnsi="Times New Roman" w:cs="Times New Roman"/>
                <w:sz w:val="24"/>
              </w:rPr>
            </w:pPr>
            <w:r w:rsidRPr="00E07C9A">
              <w:rPr>
                <w:rFonts w:ascii="Times New Roman" w:hAnsi="Times New Roman" w:cs="Times New Roman"/>
                <w:sz w:val="24"/>
              </w:rPr>
              <w:t>Inštitúcie vykazujú kolaterál (vrátane kolaterálu počiatočnej marže</w:t>
            </w:r>
            <w:r w:rsidR="009912F8" w:rsidRPr="00E07C9A">
              <w:rPr>
                <w:rFonts w:ascii="Times New Roman" w:hAnsi="Times New Roman" w:cs="Times New Roman"/>
                <w:sz w:val="24"/>
              </w:rPr>
              <w:t xml:space="preserve"> a </w:t>
            </w:r>
            <w:r w:rsidRPr="00E07C9A">
              <w:rPr>
                <w:rFonts w:ascii="Times New Roman" w:hAnsi="Times New Roman" w:cs="Times New Roman"/>
                <w:sz w:val="24"/>
              </w:rPr>
              <w:t>kolaterálu variačnej marže, ako aj kolaterálu, ktorý sa</w:t>
            </w:r>
            <w:r w:rsidR="009912F8" w:rsidRPr="00E07C9A">
              <w:rPr>
                <w:rFonts w:ascii="Times New Roman" w:hAnsi="Times New Roman" w:cs="Times New Roman"/>
                <w:sz w:val="24"/>
              </w:rPr>
              <w:t xml:space="preserve"> v </w:t>
            </w:r>
            <w:r w:rsidRPr="00E07C9A">
              <w:rPr>
                <w:rFonts w:ascii="Times New Roman" w:hAnsi="Times New Roman" w:cs="Times New Roman"/>
                <w:sz w:val="24"/>
              </w:rPr>
              <w:t>SFT vyskytuje ako cenný papier), ktorý je použitý</w:t>
            </w:r>
            <w:r w:rsidR="009912F8" w:rsidRPr="00E07C9A">
              <w:rPr>
                <w:rFonts w:ascii="Times New Roman" w:hAnsi="Times New Roman" w:cs="Times New Roman"/>
                <w:sz w:val="24"/>
              </w:rPr>
              <w:t xml:space="preserve"> v </w:t>
            </w:r>
            <w:r w:rsidRPr="00E07C9A">
              <w:rPr>
                <w:rFonts w:ascii="Times New Roman" w:hAnsi="Times New Roman" w:cs="Times New Roman"/>
                <w:sz w:val="24"/>
              </w:rPr>
              <w:t>expozíciách voči CCR súvisiacich</w:t>
            </w:r>
            <w:r w:rsidR="009912F8" w:rsidRPr="00E07C9A">
              <w:rPr>
                <w:rFonts w:ascii="Times New Roman" w:hAnsi="Times New Roman" w:cs="Times New Roman"/>
                <w:sz w:val="24"/>
              </w:rPr>
              <w:t xml:space="preserve"> s </w:t>
            </w:r>
            <w:r w:rsidRPr="00E07C9A">
              <w:rPr>
                <w:rFonts w:ascii="Times New Roman" w:hAnsi="Times New Roman" w:cs="Times New Roman"/>
                <w:sz w:val="24"/>
              </w:rPr>
              <w:t>akoukoľvek SFT alebo transakciou</w:t>
            </w:r>
            <w:r w:rsidR="009912F8" w:rsidRPr="00E07C9A">
              <w:rPr>
                <w:rFonts w:ascii="Times New Roman" w:hAnsi="Times New Roman" w:cs="Times New Roman"/>
                <w:sz w:val="24"/>
              </w:rPr>
              <w:t xml:space="preserve"> s </w:t>
            </w:r>
            <w:r w:rsidRPr="00E07C9A">
              <w:rPr>
                <w:rFonts w:ascii="Times New Roman" w:hAnsi="Times New Roman" w:cs="Times New Roman"/>
                <w:sz w:val="24"/>
              </w:rPr>
              <w:t xml:space="preserve">dlhou dobou vyrovnania, ktorá sa nekvalifikuje ako derivát. </w:t>
            </w:r>
          </w:p>
        </w:tc>
      </w:tr>
      <w:tr w:rsidR="00595FAD" w:rsidRPr="00E07C9A" w14:paraId="0361EF62" w14:textId="77777777" w:rsidTr="00FF15C6">
        <w:trPr>
          <w:trHeight w:val="416"/>
        </w:trPr>
        <w:tc>
          <w:tcPr>
            <w:tcW w:w="1384" w:type="dxa"/>
          </w:tcPr>
          <w:p w14:paraId="571AB129" w14:textId="77777777" w:rsidR="00595FAD" w:rsidRPr="00E07C9A" w:rsidRDefault="00595FAD" w:rsidP="00D768D3">
            <w:pPr>
              <w:pStyle w:val="Applicationdirecte"/>
              <w:spacing w:before="60" w:after="0"/>
            </w:pPr>
            <w:r w:rsidRPr="00E07C9A">
              <w:t>0010, 0020, 0050, 0060, 0090, 0100, 0140, 0150</w:t>
            </w:r>
          </w:p>
        </w:tc>
        <w:tc>
          <w:tcPr>
            <w:tcW w:w="7655" w:type="dxa"/>
            <w:vAlign w:val="center"/>
          </w:tcPr>
          <w:p w14:paraId="360B4930" w14:textId="77777777" w:rsidR="00595FAD" w:rsidRPr="00E07C9A" w:rsidRDefault="00595FAD" w:rsidP="00FF15C6">
            <w:pPr>
              <w:spacing w:before="60"/>
              <w:rPr>
                <w:rStyle w:val="InstructionsTabelleberschrift"/>
                <w:rFonts w:ascii="Times New Roman" w:hAnsi="Times New Roman"/>
                <w:sz w:val="24"/>
              </w:rPr>
            </w:pPr>
            <w:r w:rsidRPr="00E07C9A">
              <w:rPr>
                <w:rStyle w:val="InstructionsTabelleberschrift"/>
                <w:rFonts w:ascii="Times New Roman" w:hAnsi="Times New Roman"/>
                <w:sz w:val="24"/>
              </w:rPr>
              <w:t>Oddelený</w:t>
            </w:r>
          </w:p>
          <w:p w14:paraId="6A03815D" w14:textId="0ACB7BF6" w:rsidR="00595FAD" w:rsidRPr="00E07C9A" w:rsidRDefault="00595FAD" w:rsidP="00FF15C6">
            <w:pPr>
              <w:spacing w:before="60"/>
              <w:rPr>
                <w:rStyle w:val="InstructionsTabelleberschrift"/>
                <w:rFonts w:ascii="Times New Roman" w:hAnsi="Times New Roman"/>
                <w:sz w:val="24"/>
              </w:rPr>
            </w:pPr>
            <w:r w:rsidRPr="00E07C9A">
              <w:rPr>
                <w:rFonts w:ascii="Times New Roman" w:hAnsi="Times New Roman"/>
                <w:sz w:val="24"/>
              </w:rPr>
              <w:t xml:space="preserve">Článok 300 bod 1 nariadenia (EÚ) </w:t>
            </w:r>
            <w:r w:rsidR="009912F8" w:rsidRPr="00E07C9A">
              <w:rPr>
                <w:rFonts w:ascii="Times New Roman" w:hAnsi="Times New Roman"/>
                <w:sz w:val="24"/>
              </w:rPr>
              <w:t>č. 575/2013</w:t>
            </w:r>
          </w:p>
          <w:p w14:paraId="2386BF34" w14:textId="507D0F00" w:rsidR="00595FAD" w:rsidRPr="00E07C9A" w:rsidRDefault="00CF4C30" w:rsidP="00FF15C6">
            <w:pPr>
              <w:spacing w:before="60"/>
              <w:rPr>
                <w:rFonts w:ascii="Times New Roman" w:hAnsi="Times New Roman"/>
                <w:sz w:val="24"/>
              </w:rPr>
            </w:pPr>
            <w:r w:rsidRPr="00E07C9A">
              <w:rPr>
                <w:rFonts w:ascii="Times New Roman" w:hAnsi="Times New Roman"/>
                <w:sz w:val="24"/>
              </w:rPr>
              <w:t>Inštitúcie vykazujú kolaterál, ktorý je držaný spôsobom odolným voči konkurzu</w:t>
            </w:r>
            <w:r w:rsidR="009912F8" w:rsidRPr="00E07C9A">
              <w:rPr>
                <w:rFonts w:ascii="Times New Roman" w:hAnsi="Times New Roman"/>
                <w:sz w:val="24"/>
              </w:rPr>
              <w:t xml:space="preserve"> v </w:t>
            </w:r>
            <w:r w:rsidRPr="00E07C9A">
              <w:rPr>
                <w:rFonts w:ascii="Times New Roman" w:hAnsi="Times New Roman"/>
                <w:sz w:val="24"/>
              </w:rPr>
              <w:t>zmysle vymedzenia</w:t>
            </w:r>
            <w:r w:rsidR="009912F8" w:rsidRPr="00E07C9A">
              <w:rPr>
                <w:rFonts w:ascii="Times New Roman" w:hAnsi="Times New Roman"/>
                <w:sz w:val="24"/>
              </w:rPr>
              <w:t xml:space="preserve"> v </w:t>
            </w:r>
            <w:r w:rsidRPr="00E07C9A">
              <w:rPr>
                <w:rFonts w:ascii="Times New Roman" w:hAnsi="Times New Roman"/>
                <w:sz w:val="24"/>
              </w:rPr>
              <w:t xml:space="preserve">článku 300 bode 1 nariadenia (EÚ) </w:t>
            </w:r>
            <w:r w:rsidR="009912F8" w:rsidRPr="00E07C9A">
              <w:rPr>
                <w:rFonts w:ascii="Times New Roman" w:hAnsi="Times New Roman"/>
                <w:sz w:val="24"/>
              </w:rPr>
              <w:t>č. 575/2013</w:t>
            </w:r>
            <w:r w:rsidRPr="00E07C9A">
              <w:rPr>
                <w:rFonts w:ascii="Times New Roman" w:hAnsi="Times New Roman"/>
                <w:sz w:val="24"/>
              </w:rPr>
              <w:t>,</w:t>
            </w:r>
            <w:r w:rsidR="009912F8" w:rsidRPr="00E07C9A">
              <w:rPr>
                <w:rFonts w:ascii="Times New Roman" w:hAnsi="Times New Roman"/>
                <w:sz w:val="24"/>
              </w:rPr>
              <w:t xml:space="preserve"> v </w:t>
            </w:r>
            <w:r w:rsidRPr="00E07C9A">
              <w:rPr>
                <w:rFonts w:ascii="Times New Roman" w:hAnsi="Times New Roman"/>
                <w:sz w:val="24"/>
              </w:rPr>
              <w:t>ďalšom rozčlenení na kolaterál, ktorý sa vyskytuje vo forme počiatočnej alebo variačnej marže.</w:t>
            </w:r>
          </w:p>
        </w:tc>
      </w:tr>
      <w:tr w:rsidR="00595FAD" w:rsidRPr="00E07C9A" w14:paraId="4F1180AF" w14:textId="77777777" w:rsidTr="00FF15C6">
        <w:trPr>
          <w:trHeight w:val="680"/>
        </w:trPr>
        <w:tc>
          <w:tcPr>
            <w:tcW w:w="1384" w:type="dxa"/>
          </w:tcPr>
          <w:p w14:paraId="5F292CA2" w14:textId="77777777" w:rsidR="00595FAD" w:rsidRPr="00E07C9A" w:rsidRDefault="00595FAD" w:rsidP="00FF15C6">
            <w:pPr>
              <w:pStyle w:val="Applicationdirecte"/>
              <w:spacing w:before="60" w:after="0"/>
            </w:pPr>
            <w:r w:rsidRPr="00E07C9A">
              <w:t xml:space="preserve">0030, 0040, 0070, 0080, 0110, 0120, 0130, 0160, 0170, 0180 </w:t>
            </w:r>
          </w:p>
        </w:tc>
        <w:tc>
          <w:tcPr>
            <w:tcW w:w="7655" w:type="dxa"/>
          </w:tcPr>
          <w:p w14:paraId="3E212421" w14:textId="77777777" w:rsidR="009912F8" w:rsidRPr="00E07C9A" w:rsidRDefault="00595FAD" w:rsidP="00FF15C6">
            <w:pPr>
              <w:spacing w:before="60"/>
              <w:rPr>
                <w:rStyle w:val="InstructionsTabelleberschrift"/>
                <w:rFonts w:ascii="Times New Roman" w:hAnsi="Times New Roman"/>
                <w:sz w:val="24"/>
              </w:rPr>
            </w:pPr>
            <w:r w:rsidRPr="00E07C9A">
              <w:rPr>
                <w:rStyle w:val="InstructionsTabelleberschrift"/>
                <w:rFonts w:ascii="Times New Roman" w:hAnsi="Times New Roman"/>
                <w:sz w:val="24"/>
              </w:rPr>
              <w:t>Neoddelený</w:t>
            </w:r>
          </w:p>
          <w:p w14:paraId="7060A85A" w14:textId="117C4150" w:rsidR="00595FAD" w:rsidRPr="00E07C9A" w:rsidRDefault="00595FAD" w:rsidP="00FF15C6">
            <w:pPr>
              <w:spacing w:before="60"/>
              <w:rPr>
                <w:rStyle w:val="InstructionsTabelleberschrift"/>
                <w:rFonts w:ascii="Times New Roman" w:hAnsi="Times New Roman"/>
                <w:sz w:val="24"/>
              </w:rPr>
            </w:pPr>
            <w:r w:rsidRPr="00E07C9A">
              <w:rPr>
                <w:rFonts w:ascii="Times New Roman" w:hAnsi="Times New Roman"/>
                <w:sz w:val="24"/>
              </w:rPr>
              <w:t xml:space="preserve">Článok 300 bod 1 nariadenia (EÚ) </w:t>
            </w:r>
            <w:r w:rsidR="009912F8" w:rsidRPr="00E07C9A">
              <w:rPr>
                <w:rFonts w:ascii="Times New Roman" w:hAnsi="Times New Roman"/>
                <w:sz w:val="24"/>
              </w:rPr>
              <w:t>č. 575/2013</w:t>
            </w:r>
          </w:p>
          <w:p w14:paraId="47277071" w14:textId="11050CFC" w:rsidR="00595FAD" w:rsidRPr="00E07C9A" w:rsidRDefault="00CF4C30" w:rsidP="00CF4C30">
            <w:pPr>
              <w:rPr>
                <w:rFonts w:ascii="Times New Roman" w:hAnsi="Times New Roman"/>
                <w:sz w:val="24"/>
              </w:rPr>
            </w:pPr>
            <w:r w:rsidRPr="00E07C9A">
              <w:rPr>
                <w:rFonts w:ascii="Times New Roman" w:hAnsi="Times New Roman"/>
                <w:sz w:val="24"/>
              </w:rPr>
              <w:t>Inštitúcie vykazujú kolaterál, ktorý nie je držaný spôsobom odolným voči konkurzu</w:t>
            </w:r>
            <w:r w:rsidR="009912F8" w:rsidRPr="00E07C9A">
              <w:rPr>
                <w:rFonts w:ascii="Times New Roman" w:hAnsi="Times New Roman"/>
                <w:sz w:val="24"/>
              </w:rPr>
              <w:t xml:space="preserve"> v </w:t>
            </w:r>
            <w:r w:rsidRPr="00E07C9A">
              <w:rPr>
                <w:rFonts w:ascii="Times New Roman" w:hAnsi="Times New Roman"/>
                <w:sz w:val="24"/>
              </w:rPr>
              <w:t>zmysle vymedzenia</w:t>
            </w:r>
            <w:r w:rsidR="009912F8" w:rsidRPr="00E07C9A">
              <w:rPr>
                <w:rFonts w:ascii="Times New Roman" w:hAnsi="Times New Roman"/>
                <w:sz w:val="24"/>
              </w:rPr>
              <w:t xml:space="preserve"> v </w:t>
            </w:r>
            <w:r w:rsidRPr="00E07C9A">
              <w:rPr>
                <w:rFonts w:ascii="Times New Roman" w:hAnsi="Times New Roman"/>
                <w:sz w:val="24"/>
              </w:rPr>
              <w:t xml:space="preserve">článku 300 bode 1 nariadenia (EÚ) </w:t>
            </w:r>
            <w:r w:rsidR="009912F8" w:rsidRPr="00E07C9A">
              <w:rPr>
                <w:rFonts w:ascii="Times New Roman" w:hAnsi="Times New Roman"/>
                <w:sz w:val="24"/>
              </w:rPr>
              <w:t>č. 575/2013</w:t>
            </w:r>
            <w:r w:rsidRPr="00E07C9A">
              <w:rPr>
                <w:rFonts w:ascii="Times New Roman" w:hAnsi="Times New Roman"/>
                <w:sz w:val="24"/>
              </w:rPr>
              <w:t>,</w:t>
            </w:r>
            <w:r w:rsidR="009912F8" w:rsidRPr="00E07C9A">
              <w:rPr>
                <w:rFonts w:ascii="Times New Roman" w:hAnsi="Times New Roman"/>
                <w:sz w:val="24"/>
              </w:rPr>
              <w:t xml:space="preserve"> v </w:t>
            </w:r>
            <w:r w:rsidRPr="00E07C9A">
              <w:rPr>
                <w:rFonts w:ascii="Times New Roman" w:hAnsi="Times New Roman"/>
                <w:sz w:val="24"/>
              </w:rPr>
              <w:t>ďalšom rozčlenení na počiatočnú maržu, variačnú maržu</w:t>
            </w:r>
            <w:r w:rsidR="009912F8" w:rsidRPr="00E07C9A">
              <w:rPr>
                <w:rFonts w:ascii="Times New Roman" w:hAnsi="Times New Roman"/>
                <w:sz w:val="24"/>
              </w:rPr>
              <w:t xml:space="preserve"> a </w:t>
            </w:r>
            <w:r w:rsidRPr="00E07C9A">
              <w:rPr>
                <w:rFonts w:ascii="Times New Roman" w:hAnsi="Times New Roman"/>
                <w:sz w:val="24"/>
              </w:rPr>
              <w:t>cenný papier SFT.</w:t>
            </w:r>
          </w:p>
        </w:tc>
      </w:tr>
      <w:tr w:rsidR="00595FAD" w:rsidRPr="00E07C9A" w14:paraId="4C19E83E" w14:textId="77777777" w:rsidTr="00FF15C6">
        <w:trPr>
          <w:trHeight w:val="680"/>
        </w:trPr>
        <w:tc>
          <w:tcPr>
            <w:tcW w:w="1384" w:type="dxa"/>
          </w:tcPr>
          <w:p w14:paraId="6D82870C" w14:textId="77777777" w:rsidR="00595FAD" w:rsidRPr="00E07C9A" w:rsidRDefault="00595FAD" w:rsidP="00FF15C6">
            <w:pPr>
              <w:pStyle w:val="Applicationdirecte"/>
              <w:spacing w:before="60" w:after="0"/>
            </w:pPr>
            <w:r w:rsidRPr="00E07C9A">
              <w:t>0010, 0030, 0050, 0070, 0090, 0110, 0140, 0160</w:t>
            </w:r>
          </w:p>
        </w:tc>
        <w:tc>
          <w:tcPr>
            <w:tcW w:w="7655" w:type="dxa"/>
            <w:vAlign w:val="center"/>
          </w:tcPr>
          <w:p w14:paraId="4383D085" w14:textId="77777777" w:rsidR="00595FAD" w:rsidRPr="00E07C9A" w:rsidRDefault="00595FAD" w:rsidP="00FF15C6">
            <w:pPr>
              <w:spacing w:before="60"/>
              <w:rPr>
                <w:rStyle w:val="InstructionsTabelleberschrift"/>
                <w:rFonts w:ascii="Times New Roman" w:hAnsi="Times New Roman"/>
                <w:sz w:val="24"/>
              </w:rPr>
            </w:pPr>
            <w:r w:rsidRPr="00E07C9A">
              <w:rPr>
                <w:rStyle w:val="InstructionsTabelleberschrift"/>
                <w:rFonts w:ascii="Times New Roman" w:hAnsi="Times New Roman"/>
                <w:sz w:val="24"/>
              </w:rPr>
              <w:t>Počiatočná marža</w:t>
            </w:r>
          </w:p>
          <w:p w14:paraId="32E34D38" w14:textId="0369AFAB" w:rsidR="00595FAD" w:rsidRPr="00E07C9A" w:rsidRDefault="004134E6" w:rsidP="00FF15C6">
            <w:pPr>
              <w:spacing w:before="60"/>
              <w:rPr>
                <w:rFonts w:ascii="Times New Roman" w:hAnsi="Times New Roman"/>
                <w:sz w:val="24"/>
              </w:rPr>
            </w:pPr>
            <w:r w:rsidRPr="00E07C9A">
              <w:rPr>
                <w:rFonts w:ascii="Times New Roman" w:hAnsi="Times New Roman"/>
                <w:sz w:val="24"/>
              </w:rPr>
              <w:t xml:space="preserve">Článok 4 ods. 1 bod 140 nariadenia (EÚ) </w:t>
            </w:r>
            <w:r w:rsidR="009912F8" w:rsidRPr="00E07C9A">
              <w:rPr>
                <w:rFonts w:ascii="Times New Roman" w:hAnsi="Times New Roman"/>
                <w:sz w:val="24"/>
              </w:rPr>
              <w:t>č. 575/2013</w:t>
            </w:r>
          </w:p>
          <w:p w14:paraId="55161B15" w14:textId="6D4A505B" w:rsidR="00595FAD" w:rsidRPr="00E07C9A" w:rsidRDefault="00595FAD" w:rsidP="00070518">
            <w:pPr>
              <w:spacing w:before="60"/>
              <w:rPr>
                <w:rFonts w:ascii="Times New Roman" w:hAnsi="Times New Roman"/>
                <w:sz w:val="24"/>
              </w:rPr>
            </w:pPr>
            <w:r w:rsidRPr="00E07C9A">
              <w:rPr>
                <w:rFonts w:ascii="Times New Roman" w:hAnsi="Times New Roman"/>
                <w:sz w:val="24"/>
              </w:rPr>
              <w:t>Inštitúcie vykazujú reálne hodnoty kolaterálu prijatého alebo poskytnutého ako počiatočná marža [v zmysle vymedzenia</w:t>
            </w:r>
            <w:r w:rsidR="009912F8" w:rsidRPr="00E07C9A">
              <w:rPr>
                <w:rFonts w:ascii="Times New Roman" w:hAnsi="Times New Roman"/>
                <w:sz w:val="24"/>
              </w:rPr>
              <w:t xml:space="preserve"> v </w:t>
            </w:r>
            <w:r w:rsidRPr="00E07C9A">
              <w:rPr>
                <w:rFonts w:ascii="Times New Roman" w:hAnsi="Times New Roman"/>
                <w:sz w:val="24"/>
              </w:rPr>
              <w:t xml:space="preserve">článku 4 ods. 1 bode 140 nariadenia (EÚ) </w:t>
            </w:r>
            <w:r w:rsidR="009912F8" w:rsidRPr="00E07C9A">
              <w:rPr>
                <w:rFonts w:ascii="Times New Roman" w:hAnsi="Times New Roman"/>
                <w:sz w:val="24"/>
              </w:rPr>
              <w:t>č. 575/2013</w:t>
            </w:r>
            <w:r w:rsidRPr="00E07C9A">
              <w:rPr>
                <w:rFonts w:ascii="Times New Roman" w:hAnsi="Times New Roman"/>
                <w:sz w:val="24"/>
              </w:rPr>
              <w:t>].</w:t>
            </w:r>
          </w:p>
        </w:tc>
      </w:tr>
      <w:tr w:rsidR="00595FAD" w:rsidRPr="00E07C9A" w14:paraId="56998D9A" w14:textId="77777777" w:rsidTr="00FF15C6">
        <w:trPr>
          <w:trHeight w:val="680"/>
        </w:trPr>
        <w:tc>
          <w:tcPr>
            <w:tcW w:w="1384" w:type="dxa"/>
          </w:tcPr>
          <w:p w14:paraId="18EF76C8" w14:textId="77777777" w:rsidR="00595FAD" w:rsidRPr="00E07C9A" w:rsidRDefault="00595FAD" w:rsidP="00FF15C6">
            <w:pPr>
              <w:pStyle w:val="Applicationdirecte"/>
              <w:spacing w:before="60" w:after="0"/>
            </w:pPr>
            <w:r w:rsidRPr="00E07C9A">
              <w:t>0020, 0040, 0060, 0080, 0100, 0120, 0150, 0170</w:t>
            </w:r>
          </w:p>
        </w:tc>
        <w:tc>
          <w:tcPr>
            <w:tcW w:w="7655" w:type="dxa"/>
            <w:vAlign w:val="center"/>
          </w:tcPr>
          <w:p w14:paraId="35AC8B7B" w14:textId="77777777" w:rsidR="00595FAD" w:rsidRPr="00E07C9A" w:rsidRDefault="00595FAD" w:rsidP="00FF15C6">
            <w:pPr>
              <w:spacing w:before="60"/>
              <w:rPr>
                <w:rStyle w:val="InstructionsTabelleberschrift"/>
                <w:rFonts w:ascii="Times New Roman" w:hAnsi="Times New Roman"/>
                <w:sz w:val="24"/>
              </w:rPr>
            </w:pPr>
            <w:r w:rsidRPr="00E07C9A">
              <w:rPr>
                <w:rStyle w:val="InstructionsTabelleberschrift"/>
                <w:rFonts w:ascii="Times New Roman" w:hAnsi="Times New Roman"/>
                <w:sz w:val="24"/>
              </w:rPr>
              <w:t>Variačná marža</w:t>
            </w:r>
          </w:p>
          <w:p w14:paraId="376FC9B2" w14:textId="77777777" w:rsidR="00595FAD" w:rsidRPr="00E07C9A" w:rsidRDefault="00595FAD" w:rsidP="00FF15C6">
            <w:pPr>
              <w:spacing w:before="60"/>
              <w:rPr>
                <w:rFonts w:ascii="Times New Roman" w:eastAsia="Calibri" w:hAnsi="Times New Roman"/>
                <w:sz w:val="24"/>
              </w:rPr>
            </w:pPr>
            <w:r w:rsidRPr="00E07C9A">
              <w:rPr>
                <w:rFonts w:ascii="Times New Roman" w:hAnsi="Times New Roman"/>
                <w:sz w:val="24"/>
              </w:rPr>
              <w:t>Inštitúcie vykazujú reálne hodnoty kolaterálu prijatého alebo poskytnutého ako variačná marža.</w:t>
            </w:r>
          </w:p>
        </w:tc>
      </w:tr>
      <w:tr w:rsidR="00595FAD" w:rsidRPr="00E07C9A" w14:paraId="1D07A859" w14:textId="77777777" w:rsidTr="00FF15C6">
        <w:trPr>
          <w:trHeight w:val="680"/>
        </w:trPr>
        <w:tc>
          <w:tcPr>
            <w:tcW w:w="1384" w:type="dxa"/>
          </w:tcPr>
          <w:p w14:paraId="5BDA21EA" w14:textId="77777777" w:rsidR="00595FAD" w:rsidRPr="00E07C9A" w:rsidRDefault="00595FAD" w:rsidP="00FF15C6">
            <w:pPr>
              <w:pStyle w:val="Applicationdirecte"/>
              <w:spacing w:before="60" w:after="0"/>
            </w:pPr>
            <w:r w:rsidRPr="00E07C9A">
              <w:t>0130, 0180</w:t>
            </w:r>
          </w:p>
        </w:tc>
        <w:tc>
          <w:tcPr>
            <w:tcW w:w="7655" w:type="dxa"/>
            <w:vAlign w:val="center"/>
          </w:tcPr>
          <w:p w14:paraId="3183CC7F" w14:textId="77777777" w:rsidR="009912F8" w:rsidRPr="00E07C9A" w:rsidRDefault="00595FAD" w:rsidP="00FF15C6">
            <w:pPr>
              <w:spacing w:before="60"/>
              <w:rPr>
                <w:rStyle w:val="InstructionsTabelleberschrift"/>
                <w:rFonts w:ascii="Times New Roman" w:hAnsi="Times New Roman"/>
                <w:sz w:val="24"/>
              </w:rPr>
            </w:pPr>
            <w:r w:rsidRPr="00E07C9A">
              <w:rPr>
                <w:rStyle w:val="InstructionsTabelleberschrift"/>
                <w:rFonts w:ascii="Times New Roman" w:hAnsi="Times New Roman"/>
                <w:sz w:val="24"/>
              </w:rPr>
              <w:t>Cenný papier SFT</w:t>
            </w:r>
          </w:p>
          <w:p w14:paraId="5FD582CC" w14:textId="1873E779" w:rsidR="00595FAD" w:rsidRPr="00E07C9A" w:rsidRDefault="00595FAD" w:rsidP="00FF15C6">
            <w:pPr>
              <w:spacing w:before="60"/>
              <w:rPr>
                <w:rFonts w:ascii="Times New Roman" w:eastAsia="Calibri" w:hAnsi="Times New Roman"/>
                <w:i/>
                <w:sz w:val="24"/>
              </w:rPr>
            </w:pPr>
            <w:r w:rsidRPr="00E07C9A">
              <w:rPr>
                <w:rFonts w:ascii="Times New Roman" w:hAnsi="Times New Roman"/>
                <w:sz w:val="24"/>
              </w:rPr>
              <w:t>Inštitúcie vykazujú reálne hodnoty kolaterálu, ktorý sa vyskytuje ako cenný papier</w:t>
            </w:r>
            <w:r w:rsidR="009912F8" w:rsidRPr="00E07C9A">
              <w:rPr>
                <w:rFonts w:ascii="Times New Roman" w:hAnsi="Times New Roman"/>
                <w:sz w:val="24"/>
              </w:rPr>
              <w:t xml:space="preserve"> v </w:t>
            </w:r>
            <w:r w:rsidRPr="00E07C9A">
              <w:rPr>
                <w:rFonts w:ascii="Times New Roman" w:hAnsi="Times New Roman"/>
                <w:sz w:val="24"/>
              </w:rPr>
              <w:t>SFT (napr.</w:t>
            </w:r>
            <w:r w:rsidR="009912F8" w:rsidRPr="00E07C9A">
              <w:rPr>
                <w:rFonts w:ascii="Times New Roman" w:hAnsi="Times New Roman"/>
                <w:sz w:val="24"/>
              </w:rPr>
              <w:t xml:space="preserve"> v </w:t>
            </w:r>
            <w:r w:rsidRPr="00E07C9A">
              <w:rPr>
                <w:rFonts w:ascii="Times New Roman" w:hAnsi="Times New Roman"/>
                <w:sz w:val="24"/>
              </w:rPr>
              <w:t>stĺpci 0130 časť SFT týkajúcu sa cenných papierov, ktorá bola prijatá, resp.</w:t>
            </w:r>
            <w:r w:rsidR="009912F8" w:rsidRPr="00E07C9A">
              <w:rPr>
                <w:rFonts w:ascii="Times New Roman" w:hAnsi="Times New Roman"/>
                <w:sz w:val="24"/>
              </w:rPr>
              <w:t xml:space="preserve"> v </w:t>
            </w:r>
            <w:r w:rsidRPr="00E07C9A">
              <w:rPr>
                <w:rFonts w:ascii="Times New Roman" w:hAnsi="Times New Roman"/>
                <w:sz w:val="24"/>
              </w:rPr>
              <w:t>stĺpci 0180 časť SFT týkajúcu sa cenných papierov, ktorá bola poskytnutá).</w:t>
            </w:r>
          </w:p>
        </w:tc>
      </w:tr>
    </w:tbl>
    <w:p w14:paraId="49D228CF" w14:textId="77777777" w:rsidR="00595FAD" w:rsidRPr="00E07C9A" w:rsidRDefault="00595FAD" w:rsidP="00595FAD">
      <w:pPr>
        <w:pStyle w:val="Titlelevel2"/>
        <w:spacing w:before="120" w:after="120"/>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E07C9A" w14:paraId="75CC57D5" w14:textId="77777777" w:rsidTr="00FF15C6">
        <w:trPr>
          <w:trHeight w:val="238"/>
        </w:trPr>
        <w:tc>
          <w:tcPr>
            <w:tcW w:w="9039" w:type="dxa"/>
            <w:gridSpan w:val="2"/>
            <w:shd w:val="clear" w:color="auto" w:fill="D9D9D9" w:themeFill="background1" w:themeFillShade="D9"/>
          </w:tcPr>
          <w:p w14:paraId="1E747C2C" w14:textId="77777777" w:rsidR="00595FAD" w:rsidRPr="00E07C9A" w:rsidRDefault="00595FAD" w:rsidP="00FF15C6">
            <w:pPr>
              <w:autoSpaceDE w:val="0"/>
              <w:autoSpaceDN w:val="0"/>
              <w:adjustRightInd w:val="0"/>
              <w:rPr>
                <w:rFonts w:ascii="Times New Roman" w:hAnsi="Times New Roman"/>
                <w:sz w:val="24"/>
              </w:rPr>
            </w:pPr>
            <w:r w:rsidRPr="00E07C9A">
              <w:rPr>
                <w:rFonts w:ascii="Times New Roman" w:hAnsi="Times New Roman"/>
                <w:b/>
                <w:sz w:val="24"/>
              </w:rPr>
              <w:t xml:space="preserve">Riadky </w:t>
            </w:r>
          </w:p>
        </w:tc>
      </w:tr>
      <w:tr w:rsidR="00595FAD" w:rsidRPr="00E07C9A" w14:paraId="4C82CEC5"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B527AE5" w14:textId="77777777" w:rsidR="00595FAD" w:rsidRPr="00E07C9A" w:rsidRDefault="00595FAD" w:rsidP="00FF15C6">
            <w:pPr>
              <w:autoSpaceDE w:val="0"/>
              <w:autoSpaceDN w:val="0"/>
              <w:adjustRightInd w:val="0"/>
              <w:rPr>
                <w:rFonts w:ascii="Times New Roman" w:hAnsi="Times New Roman"/>
                <w:sz w:val="24"/>
              </w:rPr>
            </w:pPr>
            <w:r w:rsidRPr="00E07C9A">
              <w:rPr>
                <w:rFonts w:ascii="Times New Roman" w:hAnsi="Times New Roman"/>
                <w:sz w:val="24"/>
              </w:rPr>
              <w:t>0010 –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641680C" w14:textId="77777777" w:rsidR="00595FAD" w:rsidRPr="00E07C9A" w:rsidRDefault="00595FAD" w:rsidP="00FF15C6">
            <w:pPr>
              <w:autoSpaceDE w:val="0"/>
              <w:autoSpaceDN w:val="0"/>
              <w:adjustRightInd w:val="0"/>
              <w:rPr>
                <w:rStyle w:val="InstructionsTabelleberschrift"/>
                <w:rFonts w:ascii="Times New Roman" w:hAnsi="Times New Roman"/>
                <w:sz w:val="24"/>
              </w:rPr>
            </w:pPr>
            <w:r w:rsidRPr="00E07C9A">
              <w:rPr>
                <w:rStyle w:val="InstructionsTabelleberschrift"/>
                <w:rFonts w:ascii="Times New Roman" w:hAnsi="Times New Roman"/>
                <w:sz w:val="24"/>
              </w:rPr>
              <w:t>Druh kolaterálu</w:t>
            </w:r>
          </w:p>
          <w:p w14:paraId="764191C9" w14:textId="77777777" w:rsidR="00595FAD" w:rsidRPr="00E07C9A" w:rsidRDefault="00595FAD" w:rsidP="00CF4C30">
            <w:pPr>
              <w:autoSpaceDE w:val="0"/>
              <w:autoSpaceDN w:val="0"/>
              <w:adjustRightInd w:val="0"/>
              <w:rPr>
                <w:rFonts w:ascii="Times New Roman" w:hAnsi="Times New Roman"/>
                <w:sz w:val="24"/>
              </w:rPr>
            </w:pPr>
            <w:r w:rsidRPr="00E07C9A">
              <w:rPr>
                <w:rFonts w:ascii="Times New Roman" w:hAnsi="Times New Roman"/>
                <w:sz w:val="24"/>
              </w:rPr>
              <w:t>Rozčlenenie podľa rôznych druhov kolaterálu</w:t>
            </w:r>
          </w:p>
        </w:tc>
      </w:tr>
    </w:tbl>
    <w:p w14:paraId="5143340E" w14:textId="77777777" w:rsidR="00595FAD" w:rsidRPr="00E07C9A" w:rsidRDefault="00595FAD" w:rsidP="00595FAD">
      <w:pPr>
        <w:pStyle w:val="Titlelevel2"/>
        <w:spacing w:before="120" w:after="120"/>
        <w:rPr>
          <w:rFonts w:ascii="Times New Roman" w:hAnsi="Times New Roman" w:cs="Times New Roman"/>
          <w:color w:val="auto"/>
          <w:sz w:val="24"/>
        </w:rPr>
      </w:pPr>
    </w:p>
    <w:p w14:paraId="1A30EAC9" w14:textId="77777777" w:rsidR="00595FAD" w:rsidRPr="00E07C9A" w:rsidRDefault="00595FAD" w:rsidP="005C4397">
      <w:pPr>
        <w:pStyle w:val="Instructionsberschrift2"/>
        <w:numPr>
          <w:ilvl w:val="2"/>
          <w:numId w:val="39"/>
        </w:numPr>
        <w:rPr>
          <w:rFonts w:ascii="Times New Roman" w:hAnsi="Times New Roman" w:cs="Times New Roman"/>
          <w:sz w:val="24"/>
        </w:rPr>
      </w:pPr>
      <w:bookmarkStart w:id="494" w:name="_Toc19715825"/>
      <w:bookmarkStart w:id="495" w:name="_Toc115857855"/>
      <w:r w:rsidRPr="00E07C9A">
        <w:rPr>
          <w:rFonts w:ascii="Times New Roman" w:hAnsi="Times New Roman" w:cs="Times New Roman"/>
          <w:sz w:val="24"/>
        </w:rPr>
        <w:t>C 34.09 – Expozície kreditných derivátov</w:t>
      </w:r>
      <w:bookmarkEnd w:id="494"/>
      <w:bookmarkEnd w:id="495"/>
    </w:p>
    <w:p w14:paraId="61ABD17F" w14:textId="77777777" w:rsidR="00595FAD" w:rsidRPr="00E07C9A" w:rsidRDefault="00595FAD" w:rsidP="005C4397">
      <w:pPr>
        <w:pStyle w:val="Instructionsberschrift2"/>
        <w:numPr>
          <w:ilvl w:val="3"/>
          <w:numId w:val="39"/>
        </w:numPr>
        <w:rPr>
          <w:rFonts w:ascii="Times New Roman" w:hAnsi="Times New Roman" w:cs="Times New Roman"/>
          <w:sz w:val="24"/>
        </w:rPr>
      </w:pPr>
      <w:bookmarkStart w:id="496" w:name="_Toc19715826"/>
      <w:bookmarkStart w:id="497" w:name="_Toc115857856"/>
      <w:r w:rsidRPr="00E07C9A">
        <w:rPr>
          <w:rFonts w:ascii="Times New Roman" w:hAnsi="Times New Roman" w:cs="Times New Roman"/>
          <w:sz w:val="24"/>
        </w:rPr>
        <w:t>Pokyny týkajúce sa konkrétnych pozícií</w:t>
      </w:r>
      <w:bookmarkEnd w:id="496"/>
      <w:bookmarkEnd w:id="49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E07C9A" w14:paraId="2C609BF7"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90E2FC" w14:textId="77777777" w:rsidR="00595FAD" w:rsidRPr="00E07C9A" w:rsidRDefault="00595FAD" w:rsidP="00FF15C6">
            <w:pPr>
              <w:autoSpaceDE w:val="0"/>
              <w:autoSpaceDN w:val="0"/>
              <w:adjustRightInd w:val="0"/>
              <w:rPr>
                <w:rFonts w:ascii="Times New Roman" w:hAnsi="Times New Roman"/>
                <w:b/>
                <w:sz w:val="24"/>
              </w:rPr>
            </w:pPr>
            <w:r w:rsidRPr="00E07C9A">
              <w:rPr>
                <w:rFonts w:ascii="Times New Roman" w:hAnsi="Times New Roman"/>
                <w:b/>
                <w:sz w:val="24"/>
              </w:rPr>
              <w:t xml:space="preserve">Stĺpce </w:t>
            </w:r>
          </w:p>
        </w:tc>
      </w:tr>
      <w:tr w:rsidR="00595FAD" w:rsidRPr="00E07C9A" w14:paraId="30FEF279"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14C11F9" w14:textId="77777777" w:rsidR="00595FAD" w:rsidRPr="00E07C9A" w:rsidRDefault="00595FAD" w:rsidP="00FF15C6">
            <w:pPr>
              <w:autoSpaceDE w:val="0"/>
              <w:autoSpaceDN w:val="0"/>
              <w:adjustRightInd w:val="0"/>
              <w:rPr>
                <w:rFonts w:ascii="Times New Roman" w:hAnsi="Times New Roman"/>
                <w:sz w:val="24"/>
              </w:rPr>
            </w:pPr>
            <w:r w:rsidRPr="00E07C9A">
              <w:rPr>
                <w:rFonts w:ascii="Times New Roman" w:hAnsi="Times New Roman"/>
                <w:sz w:val="24"/>
              </w:rPr>
              <w:t>0010 – 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E5A3C9F" w14:textId="77777777" w:rsidR="00595FAD" w:rsidRPr="00E07C9A" w:rsidRDefault="00595FAD" w:rsidP="00FF15C6">
            <w:pPr>
              <w:autoSpaceDE w:val="0"/>
              <w:autoSpaceDN w:val="0"/>
              <w:adjustRightInd w:val="0"/>
              <w:rPr>
                <w:rStyle w:val="InstructionsTabelleberschrift"/>
                <w:rFonts w:ascii="Times New Roman" w:hAnsi="Times New Roman"/>
                <w:sz w:val="24"/>
              </w:rPr>
            </w:pPr>
            <w:r w:rsidRPr="00E07C9A">
              <w:rPr>
                <w:rStyle w:val="InstructionsTabelleberschrift"/>
                <w:rFonts w:ascii="Times New Roman" w:hAnsi="Times New Roman"/>
                <w:sz w:val="24"/>
              </w:rPr>
              <w:t>ZABEZPEČENIE KREDITNÝCH DERIVÁTOV</w:t>
            </w:r>
          </w:p>
          <w:p w14:paraId="56D47E52" w14:textId="77777777" w:rsidR="00595FAD" w:rsidRPr="00E07C9A" w:rsidRDefault="00595FAD" w:rsidP="00CF4C30">
            <w:pPr>
              <w:autoSpaceDE w:val="0"/>
              <w:autoSpaceDN w:val="0"/>
              <w:adjustRightInd w:val="0"/>
              <w:spacing w:before="60"/>
              <w:rPr>
                <w:rFonts w:ascii="Times New Roman" w:hAnsi="Times New Roman"/>
                <w:b/>
                <w:sz w:val="24"/>
              </w:rPr>
            </w:pPr>
            <w:r w:rsidRPr="00E07C9A">
              <w:rPr>
                <w:rFonts w:ascii="Times New Roman" w:hAnsi="Times New Roman"/>
                <w:sz w:val="24"/>
              </w:rPr>
              <w:t>Kúpené alebo predané zabezpečenie kreditných derivátov</w:t>
            </w:r>
          </w:p>
        </w:tc>
      </w:tr>
      <w:tr w:rsidR="00595FAD" w:rsidRPr="00E07C9A" w14:paraId="5B3417AE"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FA8C7E6" w14:textId="77777777" w:rsidR="00595FAD" w:rsidRPr="00E07C9A" w:rsidRDefault="00595FAD" w:rsidP="00FF15C6">
            <w:pPr>
              <w:autoSpaceDE w:val="0"/>
              <w:autoSpaceDN w:val="0"/>
              <w:adjustRightInd w:val="0"/>
              <w:rPr>
                <w:rFonts w:ascii="Times New Roman" w:hAnsi="Times New Roman"/>
                <w:sz w:val="24"/>
              </w:rPr>
            </w:pPr>
            <w:r w:rsidRPr="00E07C9A">
              <w:rPr>
                <w:rFonts w:ascii="Times New Roman" w:hAnsi="Times New Roman"/>
                <w:sz w:val="24"/>
              </w:rP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3722F6D" w14:textId="77777777" w:rsidR="009912F8" w:rsidRPr="00E07C9A" w:rsidRDefault="00595FAD" w:rsidP="00FF15C6">
            <w:pPr>
              <w:autoSpaceDE w:val="0"/>
              <w:autoSpaceDN w:val="0"/>
              <w:adjustRightInd w:val="0"/>
              <w:rPr>
                <w:rStyle w:val="InstructionsTabelleberschrift"/>
                <w:rFonts w:ascii="Times New Roman" w:hAnsi="Times New Roman"/>
                <w:sz w:val="24"/>
              </w:rPr>
            </w:pPr>
            <w:r w:rsidRPr="00E07C9A">
              <w:rPr>
                <w:rStyle w:val="InstructionsTabelleberschrift"/>
                <w:rFonts w:ascii="Times New Roman" w:hAnsi="Times New Roman"/>
                <w:sz w:val="24"/>
              </w:rPr>
              <w:t>POMYSELNÉ HODNOTY</w:t>
            </w:r>
          </w:p>
          <w:p w14:paraId="128D8BAD" w14:textId="2848FF2D" w:rsidR="00595FAD" w:rsidRPr="00E07C9A" w:rsidRDefault="00595FAD" w:rsidP="00CF4C30">
            <w:pPr>
              <w:autoSpaceDE w:val="0"/>
              <w:autoSpaceDN w:val="0"/>
              <w:adjustRightInd w:val="0"/>
              <w:spacing w:before="60"/>
              <w:rPr>
                <w:rFonts w:ascii="Times New Roman" w:hAnsi="Times New Roman"/>
                <w:i/>
                <w:sz w:val="24"/>
              </w:rPr>
            </w:pPr>
            <w:r w:rsidRPr="00E07C9A">
              <w:rPr>
                <w:rFonts w:ascii="Times New Roman" w:hAnsi="Times New Roman"/>
                <w:sz w:val="24"/>
              </w:rPr>
              <w:t>Súčet pomyselných hodnôt derivátov pred akýmkoľvek vzájomným započítavaním,</w:t>
            </w:r>
            <w:r w:rsidR="009912F8" w:rsidRPr="00E07C9A">
              <w:rPr>
                <w:rFonts w:ascii="Times New Roman" w:hAnsi="Times New Roman"/>
                <w:sz w:val="24"/>
              </w:rPr>
              <w:t xml:space="preserve"> v </w:t>
            </w:r>
            <w:r w:rsidRPr="00E07C9A">
              <w:rPr>
                <w:rFonts w:ascii="Times New Roman" w:hAnsi="Times New Roman"/>
                <w:sz w:val="24"/>
              </w:rPr>
              <w:t>rozčlenení podľa druhu produktu</w:t>
            </w:r>
          </w:p>
        </w:tc>
      </w:tr>
      <w:tr w:rsidR="00595FAD" w:rsidRPr="00E07C9A" w14:paraId="464956C4"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87D5203" w14:textId="77777777" w:rsidR="00595FAD" w:rsidRPr="00E07C9A" w:rsidRDefault="00595FAD" w:rsidP="00FF15C6">
            <w:pPr>
              <w:autoSpaceDE w:val="0"/>
              <w:autoSpaceDN w:val="0"/>
              <w:adjustRightInd w:val="0"/>
              <w:rPr>
                <w:rFonts w:ascii="Times New Roman" w:hAnsi="Times New Roman"/>
                <w:sz w:val="24"/>
              </w:rPr>
            </w:pPr>
            <w:r w:rsidRPr="00E07C9A">
              <w:rPr>
                <w:rFonts w:ascii="Times New Roman" w:hAnsi="Times New Roman"/>
                <w:sz w:val="24"/>
              </w:rPr>
              <w:t>0030, 0040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AC03B31" w14:textId="77777777" w:rsidR="00595FAD" w:rsidRPr="00E07C9A" w:rsidRDefault="00595FAD" w:rsidP="00FF15C6">
            <w:pPr>
              <w:autoSpaceDE w:val="0"/>
              <w:autoSpaceDN w:val="0"/>
              <w:adjustRightInd w:val="0"/>
              <w:spacing w:before="60"/>
              <w:rPr>
                <w:rStyle w:val="InstructionsTabelleberschrift"/>
                <w:rFonts w:ascii="Times New Roman" w:hAnsi="Times New Roman"/>
                <w:sz w:val="24"/>
              </w:rPr>
            </w:pPr>
            <w:r w:rsidRPr="00E07C9A">
              <w:rPr>
                <w:rStyle w:val="InstructionsTabelleberschrift"/>
                <w:rFonts w:ascii="Times New Roman" w:hAnsi="Times New Roman"/>
                <w:sz w:val="24"/>
              </w:rPr>
              <w:t>REÁLNE HODNOTY</w:t>
            </w:r>
          </w:p>
          <w:p w14:paraId="3BABBB9D" w14:textId="1F560D7E" w:rsidR="00595FAD" w:rsidRPr="00E07C9A" w:rsidRDefault="00595FAD" w:rsidP="00CF4C30">
            <w:pPr>
              <w:autoSpaceDE w:val="0"/>
              <w:autoSpaceDN w:val="0"/>
              <w:adjustRightInd w:val="0"/>
              <w:spacing w:before="60"/>
              <w:rPr>
                <w:rFonts w:ascii="Times New Roman" w:hAnsi="Times New Roman"/>
                <w:i/>
                <w:sz w:val="24"/>
              </w:rPr>
            </w:pPr>
            <w:r w:rsidRPr="00E07C9A">
              <w:rPr>
                <w:rFonts w:ascii="Times New Roman" w:hAnsi="Times New Roman"/>
                <w:sz w:val="24"/>
              </w:rPr>
              <w:t>Súčet reálnych hodnôt</w:t>
            </w:r>
            <w:r w:rsidR="009912F8" w:rsidRPr="00E07C9A">
              <w:rPr>
                <w:rFonts w:ascii="Times New Roman" w:hAnsi="Times New Roman"/>
                <w:sz w:val="24"/>
              </w:rPr>
              <w:t xml:space="preserve"> v </w:t>
            </w:r>
            <w:r w:rsidRPr="00E07C9A">
              <w:rPr>
                <w:rFonts w:ascii="Times New Roman" w:hAnsi="Times New Roman"/>
                <w:sz w:val="24"/>
              </w:rPr>
              <w:t>rozčlenení podľa kúpeného</w:t>
            </w:r>
            <w:r w:rsidR="009912F8" w:rsidRPr="00E07C9A">
              <w:rPr>
                <w:rFonts w:ascii="Times New Roman" w:hAnsi="Times New Roman"/>
                <w:sz w:val="24"/>
              </w:rPr>
              <w:t xml:space="preserve"> a </w:t>
            </w:r>
            <w:r w:rsidRPr="00E07C9A">
              <w:rPr>
                <w:rFonts w:ascii="Times New Roman" w:hAnsi="Times New Roman"/>
                <w:sz w:val="24"/>
              </w:rPr>
              <w:t xml:space="preserve">predaného zabezpečenia </w:t>
            </w:r>
          </w:p>
        </w:tc>
      </w:tr>
    </w:tbl>
    <w:p w14:paraId="06928A27" w14:textId="77777777" w:rsidR="00595FAD" w:rsidRPr="00E07C9A" w:rsidRDefault="00595FAD" w:rsidP="00487A02">
      <w:pPr>
        <w:pStyle w:val="InstructionsText2"/>
        <w:numPr>
          <w:ilvl w:val="0"/>
          <w:numId w:val="0"/>
        </w:numPr>
        <w:ind w:left="1353" w:hanging="360"/>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E07C9A" w14:paraId="010F9DA2" w14:textId="77777777" w:rsidTr="00FF15C6">
        <w:trPr>
          <w:trHeight w:val="238"/>
        </w:trPr>
        <w:tc>
          <w:tcPr>
            <w:tcW w:w="9039" w:type="dxa"/>
            <w:gridSpan w:val="2"/>
            <w:shd w:val="clear" w:color="auto" w:fill="D9D9D9" w:themeFill="background1" w:themeFillShade="D9"/>
          </w:tcPr>
          <w:p w14:paraId="3ECAB1B1" w14:textId="77777777" w:rsidR="00595FAD" w:rsidRPr="00E07C9A" w:rsidRDefault="00595FAD" w:rsidP="00FF15C6">
            <w:pPr>
              <w:autoSpaceDE w:val="0"/>
              <w:autoSpaceDN w:val="0"/>
              <w:adjustRightInd w:val="0"/>
              <w:rPr>
                <w:rFonts w:ascii="Times New Roman" w:hAnsi="Times New Roman"/>
                <w:sz w:val="24"/>
              </w:rPr>
            </w:pPr>
            <w:r w:rsidRPr="00E07C9A">
              <w:rPr>
                <w:rFonts w:ascii="Times New Roman" w:hAnsi="Times New Roman"/>
                <w:b/>
                <w:sz w:val="24"/>
              </w:rPr>
              <w:t xml:space="preserve">Riadky </w:t>
            </w:r>
          </w:p>
        </w:tc>
      </w:tr>
      <w:tr w:rsidR="00595FAD" w:rsidRPr="00E07C9A" w14:paraId="08F3CC13"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F1F0A85" w14:textId="77777777" w:rsidR="00595FAD" w:rsidRPr="00E07C9A" w:rsidRDefault="00595FAD" w:rsidP="00FF15C6">
            <w:pPr>
              <w:autoSpaceDE w:val="0"/>
              <w:autoSpaceDN w:val="0"/>
              <w:adjustRightInd w:val="0"/>
              <w:rPr>
                <w:rFonts w:ascii="Times New Roman" w:hAnsi="Times New Roman"/>
                <w:sz w:val="24"/>
              </w:rPr>
            </w:pPr>
            <w:r w:rsidRPr="00E07C9A">
              <w:rPr>
                <w:rFonts w:ascii="Times New Roman" w:hAnsi="Times New Roman"/>
                <w:sz w:val="24"/>
              </w:rPr>
              <w:t>0010 – 0050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4E372C5" w14:textId="77777777" w:rsidR="00595FAD" w:rsidRPr="00E07C9A" w:rsidRDefault="00595FAD" w:rsidP="00FF15C6">
            <w:pPr>
              <w:autoSpaceDE w:val="0"/>
              <w:autoSpaceDN w:val="0"/>
              <w:adjustRightInd w:val="0"/>
              <w:rPr>
                <w:rStyle w:val="InstructionsTabelleberschrift"/>
                <w:rFonts w:ascii="Times New Roman" w:hAnsi="Times New Roman"/>
                <w:sz w:val="24"/>
              </w:rPr>
            </w:pPr>
            <w:r w:rsidRPr="00E07C9A">
              <w:rPr>
                <w:rStyle w:val="InstructionsTabelleberschrift"/>
                <w:rFonts w:ascii="Times New Roman" w:hAnsi="Times New Roman"/>
                <w:sz w:val="24"/>
              </w:rPr>
              <w:t>Druh produktu</w:t>
            </w:r>
          </w:p>
          <w:p w14:paraId="54B6EECB" w14:textId="77777777" w:rsidR="00595FAD" w:rsidRPr="00E07C9A" w:rsidRDefault="00595FAD" w:rsidP="00CF4C30">
            <w:pPr>
              <w:autoSpaceDE w:val="0"/>
              <w:autoSpaceDN w:val="0"/>
              <w:adjustRightInd w:val="0"/>
              <w:rPr>
                <w:rFonts w:ascii="Times New Roman" w:hAnsi="Times New Roman"/>
                <w:sz w:val="24"/>
              </w:rPr>
            </w:pPr>
            <w:r w:rsidRPr="00E07C9A">
              <w:rPr>
                <w:rFonts w:ascii="Times New Roman" w:hAnsi="Times New Roman"/>
                <w:sz w:val="24"/>
              </w:rPr>
              <w:t>Rozčlenenie druhov produktov kreditných derivátov</w:t>
            </w:r>
          </w:p>
        </w:tc>
      </w:tr>
      <w:tr w:rsidR="00595FAD" w:rsidRPr="00E07C9A" w14:paraId="7FC2E356"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BE89EB7" w14:textId="77777777" w:rsidR="00595FAD" w:rsidRPr="00E07C9A" w:rsidRDefault="00595FAD" w:rsidP="00FF15C6">
            <w:pPr>
              <w:autoSpaceDE w:val="0"/>
              <w:autoSpaceDN w:val="0"/>
              <w:adjustRightInd w:val="0"/>
              <w:rPr>
                <w:rFonts w:ascii="Times New Roman" w:hAnsi="Times New Roman"/>
                <w:sz w:val="24"/>
              </w:rPr>
            </w:pPr>
            <w:r w:rsidRPr="00E07C9A">
              <w:rPr>
                <w:rFonts w:ascii="Times New Roman" w:hAnsi="Times New Roman"/>
                <w:sz w:val="24"/>
              </w:rPr>
              <w:t>0060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61D9397" w14:textId="77777777" w:rsidR="00595FAD" w:rsidRPr="00E07C9A" w:rsidRDefault="00595FAD" w:rsidP="00FF15C6">
            <w:pPr>
              <w:autoSpaceDE w:val="0"/>
              <w:autoSpaceDN w:val="0"/>
              <w:adjustRightInd w:val="0"/>
              <w:rPr>
                <w:rStyle w:val="InstructionsTabelleberschrift"/>
                <w:rFonts w:ascii="Times New Roman" w:hAnsi="Times New Roman"/>
                <w:sz w:val="24"/>
              </w:rPr>
            </w:pPr>
            <w:r w:rsidRPr="00E07C9A">
              <w:rPr>
                <w:rStyle w:val="InstructionsTabelleberschrift"/>
                <w:rFonts w:ascii="Times New Roman" w:hAnsi="Times New Roman"/>
                <w:sz w:val="24"/>
              </w:rPr>
              <w:t>Spolu</w:t>
            </w:r>
          </w:p>
          <w:p w14:paraId="67B40223" w14:textId="77777777" w:rsidR="00595FAD" w:rsidRPr="00E07C9A" w:rsidRDefault="00595FAD" w:rsidP="00CF4C30">
            <w:pPr>
              <w:autoSpaceDE w:val="0"/>
              <w:autoSpaceDN w:val="0"/>
              <w:adjustRightInd w:val="0"/>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Súčet všetkých druhov produktov</w:t>
            </w:r>
          </w:p>
        </w:tc>
      </w:tr>
      <w:tr w:rsidR="00595FAD" w:rsidRPr="00E07C9A" w14:paraId="63257CEF"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2984649" w14:textId="77777777" w:rsidR="00595FAD" w:rsidRPr="00E07C9A" w:rsidRDefault="00595FAD" w:rsidP="00FF15C6">
            <w:pPr>
              <w:autoSpaceDE w:val="0"/>
              <w:autoSpaceDN w:val="0"/>
              <w:adjustRightInd w:val="0"/>
              <w:rPr>
                <w:rFonts w:ascii="Times New Roman" w:hAnsi="Times New Roman"/>
                <w:sz w:val="24"/>
              </w:rPr>
            </w:pPr>
            <w:r w:rsidRPr="00E07C9A">
              <w:rPr>
                <w:rFonts w:ascii="Times New Roman" w:hAnsi="Times New Roman"/>
                <w:sz w:val="24"/>
              </w:rPr>
              <w:t>0070, 0080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6CD5C06" w14:textId="77777777" w:rsidR="00595FAD" w:rsidRPr="00E07C9A" w:rsidRDefault="00595FAD" w:rsidP="00FF15C6">
            <w:pPr>
              <w:autoSpaceDE w:val="0"/>
              <w:autoSpaceDN w:val="0"/>
              <w:adjustRightInd w:val="0"/>
              <w:rPr>
                <w:rStyle w:val="InstructionsTabelleberschrift"/>
                <w:rFonts w:ascii="Times New Roman" w:hAnsi="Times New Roman"/>
                <w:sz w:val="24"/>
              </w:rPr>
            </w:pPr>
            <w:r w:rsidRPr="00E07C9A">
              <w:rPr>
                <w:rStyle w:val="InstructionsTabelleberschrift"/>
                <w:rFonts w:ascii="Times New Roman" w:hAnsi="Times New Roman"/>
                <w:sz w:val="24"/>
              </w:rPr>
              <w:t>Reálne hodnoty</w:t>
            </w:r>
          </w:p>
          <w:p w14:paraId="1F50359D" w14:textId="7AF09DC1" w:rsidR="00595FAD" w:rsidRPr="00E07C9A" w:rsidRDefault="00595FAD" w:rsidP="00CF4C30">
            <w:pPr>
              <w:autoSpaceDE w:val="0"/>
              <w:autoSpaceDN w:val="0"/>
              <w:adjustRightInd w:val="0"/>
              <w:rPr>
                <w:rFonts w:ascii="Times New Roman" w:hAnsi="Times New Roman"/>
                <w:bCs/>
                <w:sz w:val="24"/>
              </w:rPr>
            </w:pPr>
            <w:r w:rsidRPr="00E07C9A">
              <w:rPr>
                <w:rFonts w:ascii="Times New Roman" w:hAnsi="Times New Roman"/>
                <w:sz w:val="24"/>
              </w:rPr>
              <w:t>Reálne hodnoty rozčlenené podľa druhu produktu, ako aj aktív (kladné reálne hodnoty)</w:t>
            </w:r>
            <w:r w:rsidR="009912F8" w:rsidRPr="00E07C9A">
              <w:rPr>
                <w:rFonts w:ascii="Times New Roman" w:hAnsi="Times New Roman"/>
                <w:sz w:val="24"/>
              </w:rPr>
              <w:t xml:space="preserve"> a </w:t>
            </w:r>
            <w:r w:rsidRPr="00E07C9A">
              <w:rPr>
                <w:rFonts w:ascii="Times New Roman" w:hAnsi="Times New Roman"/>
                <w:sz w:val="24"/>
              </w:rPr>
              <w:t>záväzkov (záporné reálne hodnoty)</w:t>
            </w:r>
          </w:p>
        </w:tc>
      </w:tr>
    </w:tbl>
    <w:p w14:paraId="3036BFCE" w14:textId="77777777" w:rsidR="00595FAD" w:rsidRPr="00E07C9A" w:rsidRDefault="00595FAD" w:rsidP="00595FAD">
      <w:pPr>
        <w:pStyle w:val="Titlelevel2"/>
        <w:spacing w:before="120" w:after="120"/>
        <w:rPr>
          <w:rFonts w:ascii="Times New Roman" w:hAnsi="Times New Roman" w:cs="Times New Roman"/>
          <w:b/>
          <w:color w:val="auto"/>
          <w:sz w:val="24"/>
        </w:rPr>
      </w:pPr>
    </w:p>
    <w:p w14:paraId="3F6919A7" w14:textId="77777777" w:rsidR="00595FAD" w:rsidRPr="00E07C9A" w:rsidRDefault="00595FAD" w:rsidP="005C4397">
      <w:pPr>
        <w:pStyle w:val="Instructionsberschrift2"/>
        <w:numPr>
          <w:ilvl w:val="2"/>
          <w:numId w:val="39"/>
        </w:numPr>
        <w:rPr>
          <w:rFonts w:ascii="Times New Roman" w:hAnsi="Times New Roman" w:cs="Times New Roman"/>
          <w:sz w:val="24"/>
        </w:rPr>
      </w:pPr>
      <w:bookmarkStart w:id="498" w:name="_Toc19715827"/>
      <w:bookmarkStart w:id="499" w:name="_Toc115857857"/>
      <w:r w:rsidRPr="00E07C9A">
        <w:rPr>
          <w:rFonts w:ascii="Times New Roman" w:hAnsi="Times New Roman" w:cs="Times New Roman"/>
          <w:sz w:val="24"/>
        </w:rPr>
        <w:t>C 34.10 – Expozície voči centrálnym protistranám</w:t>
      </w:r>
      <w:bookmarkEnd w:id="498"/>
      <w:bookmarkEnd w:id="499"/>
    </w:p>
    <w:p w14:paraId="3E09F103" w14:textId="77777777" w:rsidR="00595FAD" w:rsidRPr="00E07C9A" w:rsidRDefault="00595FAD" w:rsidP="005C4397">
      <w:pPr>
        <w:pStyle w:val="Instructionsberschrift2"/>
        <w:numPr>
          <w:ilvl w:val="3"/>
          <w:numId w:val="39"/>
        </w:numPr>
        <w:rPr>
          <w:rFonts w:ascii="Times New Roman" w:hAnsi="Times New Roman" w:cs="Times New Roman"/>
          <w:sz w:val="24"/>
        </w:rPr>
      </w:pPr>
      <w:bookmarkStart w:id="500" w:name="_Toc19715828"/>
      <w:bookmarkStart w:id="501" w:name="_Toc115857858"/>
      <w:r w:rsidRPr="00E07C9A">
        <w:rPr>
          <w:rFonts w:ascii="Times New Roman" w:hAnsi="Times New Roman" w:cs="Times New Roman"/>
          <w:sz w:val="24"/>
        </w:rPr>
        <w:t>Všeobecné poznámky</w:t>
      </w:r>
      <w:bookmarkEnd w:id="500"/>
      <w:bookmarkEnd w:id="501"/>
    </w:p>
    <w:p w14:paraId="193416E0" w14:textId="47C9D8A4" w:rsidR="009912F8" w:rsidRPr="00E07C9A" w:rsidRDefault="002A18DE" w:rsidP="00487A02">
      <w:pPr>
        <w:pStyle w:val="InstructionsText2"/>
        <w:numPr>
          <w:ilvl w:val="0"/>
          <w:numId w:val="0"/>
        </w:numPr>
        <w:ind w:left="1353" w:hanging="360"/>
      </w:pPr>
      <w:fldSimple w:instr=" seq paragraphs ">
        <w:r w:rsidR="00132AEE">
          <w:rPr>
            <w:noProof/>
          </w:rPr>
          <w:t>132</w:t>
        </w:r>
      </w:fldSimple>
      <w:r w:rsidR="00C3070C" w:rsidRPr="00E07C9A">
        <w:t>. Inštitúcie vykazujú informácie</w:t>
      </w:r>
      <w:r w:rsidR="009912F8" w:rsidRPr="00E07C9A">
        <w:t xml:space="preserve"> o </w:t>
      </w:r>
      <w:r w:rsidR="00C3070C" w:rsidRPr="00E07C9A">
        <w:t>expozíciách voči centrálnym protistranám, t. j. voči zmluvám</w:t>
      </w:r>
      <w:r w:rsidR="009912F8" w:rsidRPr="00E07C9A">
        <w:t xml:space="preserve"> a </w:t>
      </w:r>
      <w:r w:rsidR="00C3070C" w:rsidRPr="00E07C9A">
        <w:t>transakciám uvedeným</w:t>
      </w:r>
      <w:r w:rsidR="009912F8" w:rsidRPr="00E07C9A">
        <w:t xml:space="preserve"> v </w:t>
      </w:r>
      <w:r w:rsidR="00C3070C" w:rsidRPr="00E07C9A">
        <w:t xml:space="preserve">článku 301 ods. 1 nariadenia (EÚ) </w:t>
      </w:r>
      <w:r w:rsidR="009912F8" w:rsidRPr="00E07C9A">
        <w:t>č. 575/2013</w:t>
      </w:r>
      <w:r w:rsidR="00C3070C" w:rsidRPr="00E07C9A">
        <w:t>, pokiaľ sú nesplatené voči CCP,</w:t>
      </w:r>
      <w:r w:rsidR="009912F8" w:rsidRPr="00E07C9A">
        <w:t xml:space="preserve"> a o </w:t>
      </w:r>
      <w:r w:rsidR="00C3070C" w:rsidRPr="00E07C9A">
        <w:t>expozíciách</w:t>
      </w:r>
      <w:r w:rsidR="009912F8" w:rsidRPr="00E07C9A">
        <w:t xml:space="preserve"> z </w:t>
      </w:r>
      <w:r w:rsidR="00C3070C" w:rsidRPr="00E07C9A">
        <w:t>transakcií súvisiacich</w:t>
      </w:r>
      <w:r w:rsidR="009912F8" w:rsidRPr="00E07C9A">
        <w:t xml:space="preserve"> s </w:t>
      </w:r>
      <w:r w:rsidR="00C3070C" w:rsidRPr="00E07C9A">
        <w:t>CCP</w:t>
      </w:r>
      <w:r w:rsidR="009912F8" w:rsidRPr="00E07C9A">
        <w:t xml:space="preserve"> v </w:t>
      </w:r>
      <w:r w:rsidR="00C3070C" w:rsidRPr="00E07C9A">
        <w:t>súlade</w:t>
      </w:r>
      <w:r w:rsidR="009912F8" w:rsidRPr="00E07C9A">
        <w:t xml:space="preserve"> s </w:t>
      </w:r>
      <w:r w:rsidR="00C3070C" w:rsidRPr="00E07C9A">
        <w:t>článkom 300 bodom 2 uvedeného nariadenia, pri ktorých sa požiadavky na vlastné zdroje vypočítavajú</w:t>
      </w:r>
      <w:r w:rsidR="009912F8" w:rsidRPr="00E07C9A">
        <w:t xml:space="preserve"> v </w:t>
      </w:r>
      <w:r w:rsidR="00C3070C" w:rsidRPr="00E07C9A">
        <w:t>súlade</w:t>
      </w:r>
      <w:r w:rsidR="009912F8" w:rsidRPr="00E07C9A">
        <w:t xml:space="preserve"> s </w:t>
      </w:r>
      <w:r w:rsidR="00C3070C" w:rsidRPr="00E07C9A">
        <w:t>treťou časťou hlavou II kapitolou 6 oddielom 9 uvedeného nariadenia</w:t>
      </w:r>
      <w:r w:rsidR="009912F8" w:rsidRPr="00E07C9A">
        <w:t>.</w:t>
      </w:r>
    </w:p>
    <w:p w14:paraId="43647881" w14:textId="6BF7B6FE" w:rsidR="00595FAD" w:rsidRPr="00E07C9A" w:rsidRDefault="00595FAD" w:rsidP="005C4397">
      <w:pPr>
        <w:pStyle w:val="Instructionsberschrift2"/>
        <w:numPr>
          <w:ilvl w:val="3"/>
          <w:numId w:val="39"/>
        </w:numPr>
        <w:rPr>
          <w:rFonts w:ascii="Times New Roman" w:hAnsi="Times New Roman" w:cs="Times New Roman"/>
          <w:sz w:val="24"/>
        </w:rPr>
      </w:pPr>
      <w:bookmarkStart w:id="502" w:name="_Toc19715829"/>
      <w:bookmarkStart w:id="503" w:name="_Toc115857859"/>
      <w:r w:rsidRPr="00E07C9A">
        <w:rPr>
          <w:rFonts w:ascii="Times New Roman" w:hAnsi="Times New Roman" w:cs="Times New Roman"/>
          <w:sz w:val="24"/>
        </w:rPr>
        <w:t>Pokyny týkajúce sa konkrétnych pozícií</w:t>
      </w:r>
      <w:bookmarkEnd w:id="502"/>
      <w:bookmarkEnd w:id="50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E07C9A" w14:paraId="5BCA91B1"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6FCAFA" w14:textId="77777777" w:rsidR="00595FAD" w:rsidRPr="00E07C9A" w:rsidRDefault="00595FAD" w:rsidP="00FF15C6">
            <w:pPr>
              <w:autoSpaceDE w:val="0"/>
              <w:autoSpaceDN w:val="0"/>
              <w:adjustRightInd w:val="0"/>
              <w:rPr>
                <w:rFonts w:ascii="Times New Roman" w:hAnsi="Times New Roman"/>
                <w:b/>
                <w:sz w:val="24"/>
              </w:rPr>
            </w:pPr>
            <w:r w:rsidRPr="00E07C9A">
              <w:rPr>
                <w:rFonts w:ascii="Times New Roman" w:hAnsi="Times New Roman"/>
                <w:b/>
                <w:sz w:val="24"/>
              </w:rPr>
              <w:t xml:space="preserve">Stĺpce </w:t>
            </w:r>
          </w:p>
        </w:tc>
      </w:tr>
      <w:tr w:rsidR="00595FAD" w:rsidRPr="00E07C9A" w14:paraId="3C0B49BF" w14:textId="77777777" w:rsidTr="00FF15C6">
        <w:trPr>
          <w:trHeight w:val="680"/>
        </w:trPr>
        <w:tc>
          <w:tcPr>
            <w:tcW w:w="1384" w:type="dxa"/>
          </w:tcPr>
          <w:p w14:paraId="054407FA" w14:textId="77777777" w:rsidR="00595FAD" w:rsidRPr="00E07C9A" w:rsidRDefault="00595FAD" w:rsidP="00FF15C6">
            <w:pPr>
              <w:pStyle w:val="Applicationdirecte"/>
              <w:spacing w:before="0" w:after="0"/>
            </w:pPr>
            <w:r w:rsidRPr="00E07C9A">
              <w:t>0010</w:t>
            </w:r>
          </w:p>
        </w:tc>
        <w:tc>
          <w:tcPr>
            <w:tcW w:w="7655" w:type="dxa"/>
            <w:vAlign w:val="center"/>
          </w:tcPr>
          <w:p w14:paraId="67D884BA" w14:textId="77777777" w:rsidR="009912F8" w:rsidRPr="00E07C9A" w:rsidRDefault="00595FAD" w:rsidP="00FF15C6">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HODNOTA EXPOZÍCIE</w:t>
            </w:r>
          </w:p>
          <w:p w14:paraId="008FB3E7" w14:textId="136BF0CA" w:rsidR="00595FAD" w:rsidRPr="00E07C9A" w:rsidRDefault="00595FAD" w:rsidP="00FF15C6">
            <w:pPr>
              <w:keepNext/>
              <w:spacing w:before="60"/>
              <w:rPr>
                <w:rFonts w:ascii="Times New Roman" w:hAnsi="Times New Roman"/>
                <w:sz w:val="24"/>
              </w:rPr>
            </w:pPr>
            <w:r w:rsidRPr="00E07C9A">
              <w:rPr>
                <w:rFonts w:ascii="Times New Roman" w:hAnsi="Times New Roman"/>
                <w:sz w:val="24"/>
              </w:rPr>
              <w:t>Hodnota expozície pri transakciách</w:t>
            </w:r>
            <w:r w:rsidR="009912F8" w:rsidRPr="00E07C9A">
              <w:rPr>
                <w:rFonts w:ascii="Times New Roman" w:hAnsi="Times New Roman"/>
                <w:sz w:val="24"/>
              </w:rPr>
              <w:t xml:space="preserve"> v </w:t>
            </w:r>
            <w:r w:rsidRPr="00E07C9A">
              <w:rPr>
                <w:rFonts w:ascii="Times New Roman" w:hAnsi="Times New Roman"/>
                <w:sz w:val="24"/>
              </w:rPr>
              <w:t xml:space="preserve">rozsahu pôsobnosti tretej časti hlavy II kapitoly 6 oddielu 9 nariadenia (EÚ) </w:t>
            </w:r>
            <w:r w:rsidR="009912F8" w:rsidRPr="00E07C9A">
              <w:rPr>
                <w:rFonts w:ascii="Times New Roman" w:hAnsi="Times New Roman"/>
                <w:sz w:val="24"/>
              </w:rPr>
              <w:t>č. 575/2013</w:t>
            </w:r>
            <w:r w:rsidRPr="00E07C9A">
              <w:rPr>
                <w:rFonts w:ascii="Times New Roman" w:hAnsi="Times New Roman"/>
                <w:sz w:val="24"/>
              </w:rPr>
              <w:t xml:space="preserve"> vypočítaná</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príslušnými metódami stanovenými</w:t>
            </w:r>
            <w:r w:rsidR="009912F8" w:rsidRPr="00E07C9A">
              <w:rPr>
                <w:rFonts w:ascii="Times New Roman" w:hAnsi="Times New Roman"/>
                <w:sz w:val="24"/>
              </w:rPr>
              <w:t xml:space="preserve"> v </w:t>
            </w:r>
            <w:r w:rsidRPr="00E07C9A">
              <w:rPr>
                <w:rFonts w:ascii="Times New Roman" w:hAnsi="Times New Roman"/>
                <w:sz w:val="24"/>
              </w:rPr>
              <w:t>uvedenej kapitole,</w:t>
            </w:r>
            <w:r w:rsidR="009912F8" w:rsidRPr="00E07C9A">
              <w:rPr>
                <w:rFonts w:ascii="Times New Roman" w:hAnsi="Times New Roman"/>
                <w:sz w:val="24"/>
              </w:rPr>
              <w:t xml:space="preserve"> a </w:t>
            </w:r>
            <w:r w:rsidRPr="00E07C9A">
              <w:rPr>
                <w:rFonts w:ascii="Times New Roman" w:hAnsi="Times New Roman"/>
                <w:sz w:val="24"/>
              </w:rPr>
              <w:t>najmä</w:t>
            </w:r>
            <w:r w:rsidR="009912F8" w:rsidRPr="00E07C9A">
              <w:rPr>
                <w:rFonts w:ascii="Times New Roman" w:hAnsi="Times New Roman"/>
                <w:sz w:val="24"/>
              </w:rPr>
              <w:t xml:space="preserve"> v </w:t>
            </w:r>
            <w:r w:rsidRPr="00E07C9A">
              <w:rPr>
                <w:rFonts w:ascii="Times New Roman" w:hAnsi="Times New Roman"/>
                <w:sz w:val="24"/>
              </w:rPr>
              <w:t>oddiele 9 uvedenej kapitoly.</w:t>
            </w:r>
          </w:p>
          <w:p w14:paraId="23F54896" w14:textId="5AA8F02B" w:rsidR="00595FAD" w:rsidRPr="00E07C9A" w:rsidRDefault="00595FAD" w:rsidP="00FF15C6">
            <w:pPr>
              <w:keepNext/>
              <w:spacing w:before="60"/>
              <w:rPr>
                <w:rFonts w:ascii="Times New Roman" w:hAnsi="Times New Roman"/>
                <w:sz w:val="24"/>
              </w:rPr>
            </w:pPr>
            <w:r w:rsidRPr="00E07C9A">
              <w:rPr>
                <w:rFonts w:ascii="Times New Roman" w:hAnsi="Times New Roman"/>
                <w:sz w:val="24"/>
              </w:rPr>
              <w:t>Vykazovaná hodnota expozície je hodnota relevantná pre výpočet požiadaviek na vlastné zdroje</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treťou časťou hlavou II kapitolou 6 oddielom 9 nariadenia (EÚ) </w:t>
            </w:r>
            <w:r w:rsidR="009912F8" w:rsidRPr="00E07C9A">
              <w:rPr>
                <w:rFonts w:ascii="Times New Roman" w:hAnsi="Times New Roman"/>
                <w:sz w:val="24"/>
              </w:rPr>
              <w:t>č. 575/2013</w:t>
            </w:r>
            <w:r w:rsidRPr="00E07C9A">
              <w:rPr>
                <w:rFonts w:ascii="Times New Roman" w:hAnsi="Times New Roman"/>
                <w:sz w:val="24"/>
              </w:rPr>
              <w:t>,</w:t>
            </w:r>
            <w:r w:rsidR="009912F8" w:rsidRPr="00E07C9A">
              <w:rPr>
                <w:rFonts w:ascii="Times New Roman" w:hAnsi="Times New Roman"/>
                <w:sz w:val="24"/>
              </w:rPr>
              <w:t xml:space="preserve"> s </w:t>
            </w:r>
            <w:r w:rsidRPr="00E07C9A">
              <w:rPr>
                <w:rFonts w:ascii="Times New Roman" w:hAnsi="Times New Roman"/>
                <w:sz w:val="24"/>
              </w:rPr>
              <w:t>prihliadnutím na požiadavky</w:t>
            </w:r>
            <w:r w:rsidR="009912F8" w:rsidRPr="00E07C9A">
              <w:rPr>
                <w:rFonts w:ascii="Times New Roman" w:hAnsi="Times New Roman"/>
                <w:sz w:val="24"/>
              </w:rPr>
              <w:t xml:space="preserve"> v </w:t>
            </w:r>
            <w:r w:rsidRPr="00E07C9A">
              <w:rPr>
                <w:rFonts w:ascii="Times New Roman" w:hAnsi="Times New Roman"/>
                <w:sz w:val="24"/>
              </w:rPr>
              <w:t>článku 497 uvedeného nariadenia počas prechodného obdobia stanoveného</w:t>
            </w:r>
            <w:r w:rsidR="009912F8" w:rsidRPr="00E07C9A">
              <w:rPr>
                <w:rFonts w:ascii="Times New Roman" w:hAnsi="Times New Roman"/>
                <w:sz w:val="24"/>
              </w:rPr>
              <w:t xml:space="preserve"> v </w:t>
            </w:r>
            <w:r w:rsidRPr="00E07C9A">
              <w:rPr>
                <w:rFonts w:ascii="Times New Roman" w:hAnsi="Times New Roman"/>
                <w:sz w:val="24"/>
              </w:rPr>
              <w:t>uvedenom článku.</w:t>
            </w:r>
          </w:p>
          <w:p w14:paraId="13EE67A8" w14:textId="4ABA5A21" w:rsidR="00595FAD" w:rsidRPr="00E07C9A" w:rsidRDefault="00595FAD" w:rsidP="00070518">
            <w:pPr>
              <w:keepNext/>
              <w:spacing w:before="60"/>
              <w:rPr>
                <w:rFonts w:ascii="Times New Roman" w:hAnsi="Times New Roman"/>
                <w:sz w:val="24"/>
              </w:rPr>
            </w:pPr>
            <w:r w:rsidRPr="00E07C9A">
              <w:rPr>
                <w:rFonts w:ascii="Times New Roman" w:hAnsi="Times New Roman"/>
                <w:sz w:val="24"/>
              </w:rPr>
              <w:t>Expozícia môže byť obchodnou expozíciou</w:t>
            </w:r>
            <w:r w:rsidR="009912F8" w:rsidRPr="00E07C9A">
              <w:rPr>
                <w:rFonts w:ascii="Times New Roman" w:hAnsi="Times New Roman"/>
                <w:sz w:val="24"/>
              </w:rPr>
              <w:t xml:space="preserve"> v </w:t>
            </w:r>
            <w:r w:rsidRPr="00E07C9A">
              <w:rPr>
                <w:rFonts w:ascii="Times New Roman" w:hAnsi="Times New Roman"/>
                <w:sz w:val="24"/>
              </w:rPr>
              <w:t>zmysle vymedzenia</w:t>
            </w:r>
            <w:r w:rsidR="009912F8" w:rsidRPr="00E07C9A">
              <w:rPr>
                <w:rFonts w:ascii="Times New Roman" w:hAnsi="Times New Roman"/>
                <w:sz w:val="24"/>
              </w:rPr>
              <w:t xml:space="preserve"> v </w:t>
            </w:r>
            <w:r w:rsidRPr="00E07C9A">
              <w:rPr>
                <w:rFonts w:ascii="Times New Roman" w:hAnsi="Times New Roman"/>
                <w:sz w:val="24"/>
              </w:rPr>
              <w:t xml:space="preserve">článku 4 ods. 1 bode 91 nariadenia (EÚ) </w:t>
            </w:r>
            <w:r w:rsidR="009912F8" w:rsidRPr="00E07C9A">
              <w:rPr>
                <w:rFonts w:ascii="Times New Roman" w:hAnsi="Times New Roman"/>
                <w:sz w:val="24"/>
              </w:rPr>
              <w:t>č. 575/2013</w:t>
            </w:r>
            <w:r w:rsidRPr="00E07C9A">
              <w:rPr>
                <w:rFonts w:ascii="Times New Roman" w:hAnsi="Times New Roman"/>
                <w:sz w:val="24"/>
              </w:rPr>
              <w:t>.</w:t>
            </w:r>
          </w:p>
        </w:tc>
      </w:tr>
      <w:tr w:rsidR="00595FAD" w:rsidRPr="00E07C9A" w14:paraId="2D8DB19B" w14:textId="77777777" w:rsidTr="00FF15C6">
        <w:trPr>
          <w:trHeight w:val="680"/>
        </w:trPr>
        <w:tc>
          <w:tcPr>
            <w:tcW w:w="1384" w:type="dxa"/>
          </w:tcPr>
          <w:p w14:paraId="1818FEF1" w14:textId="77777777" w:rsidR="00595FAD" w:rsidRPr="00E07C9A" w:rsidRDefault="00595FAD" w:rsidP="00FF15C6">
            <w:pPr>
              <w:pStyle w:val="Applicationdirecte"/>
              <w:spacing w:before="0" w:after="0"/>
            </w:pPr>
            <w:r w:rsidRPr="00E07C9A">
              <w:t>0020</w:t>
            </w:r>
          </w:p>
        </w:tc>
        <w:tc>
          <w:tcPr>
            <w:tcW w:w="7655" w:type="dxa"/>
            <w:vAlign w:val="center"/>
          </w:tcPr>
          <w:p w14:paraId="11F9178E" w14:textId="77777777" w:rsidR="00595FAD" w:rsidRPr="00E07C9A" w:rsidRDefault="00595FAD" w:rsidP="00FF15C6">
            <w:pPr>
              <w:keepNext/>
              <w:tabs>
                <w:tab w:val="left" w:pos="6983"/>
              </w:tabs>
              <w:spacing w:before="60"/>
              <w:rPr>
                <w:rStyle w:val="InstructionsTabelleberschrift"/>
                <w:rFonts w:ascii="Times New Roman" w:hAnsi="Times New Roman"/>
                <w:sz w:val="24"/>
              </w:rPr>
            </w:pPr>
            <w:r w:rsidRPr="00E07C9A">
              <w:rPr>
                <w:rStyle w:val="InstructionsTabelleberschrift"/>
                <w:rFonts w:ascii="Times New Roman" w:hAnsi="Times New Roman"/>
                <w:sz w:val="24"/>
              </w:rPr>
              <w:t>HODNOTY RIZIKOVO VÁŽENÝCH EXPOZÍCIÍ</w:t>
            </w:r>
          </w:p>
          <w:p w14:paraId="1C095850" w14:textId="795D38A5" w:rsidR="00595FAD" w:rsidRPr="00E07C9A" w:rsidRDefault="00595FAD" w:rsidP="00070518">
            <w:pPr>
              <w:keepNext/>
              <w:spacing w:before="60"/>
              <w:rPr>
                <w:rFonts w:ascii="Times New Roman" w:hAnsi="Times New Roman"/>
                <w:strike/>
                <w:sz w:val="24"/>
              </w:rPr>
            </w:pPr>
            <w:r w:rsidRPr="00E07C9A">
              <w:rPr>
                <w:rFonts w:ascii="Times New Roman" w:hAnsi="Times New Roman"/>
                <w:sz w:val="24"/>
              </w:rPr>
              <w:t>Hodnoty rizikovo vážených expozícií určené</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treťou časťou hlavou II kapitolou 6 oddielom 9 nariadenia (EÚ) </w:t>
            </w:r>
            <w:r w:rsidR="009912F8" w:rsidRPr="00E07C9A">
              <w:rPr>
                <w:rFonts w:ascii="Times New Roman" w:hAnsi="Times New Roman"/>
                <w:sz w:val="24"/>
              </w:rPr>
              <w:t>č. 575/2013</w:t>
            </w:r>
            <w:r w:rsidRPr="00E07C9A">
              <w:rPr>
                <w:rFonts w:ascii="Times New Roman" w:hAnsi="Times New Roman"/>
                <w:sz w:val="24"/>
              </w:rPr>
              <w:t>,</w:t>
            </w:r>
            <w:r w:rsidR="009912F8" w:rsidRPr="00E07C9A">
              <w:rPr>
                <w:rFonts w:ascii="Times New Roman" w:hAnsi="Times New Roman"/>
                <w:sz w:val="24"/>
              </w:rPr>
              <w:t xml:space="preserve"> s </w:t>
            </w:r>
            <w:r w:rsidRPr="00E07C9A">
              <w:rPr>
                <w:rFonts w:ascii="Times New Roman" w:hAnsi="Times New Roman"/>
                <w:sz w:val="24"/>
              </w:rPr>
              <w:t>prihliadnutím na požiadavky</w:t>
            </w:r>
            <w:r w:rsidR="009912F8" w:rsidRPr="00E07C9A">
              <w:rPr>
                <w:rFonts w:ascii="Times New Roman" w:hAnsi="Times New Roman"/>
                <w:sz w:val="24"/>
              </w:rPr>
              <w:t xml:space="preserve"> v </w:t>
            </w:r>
            <w:r w:rsidRPr="00E07C9A">
              <w:rPr>
                <w:rFonts w:ascii="Times New Roman" w:hAnsi="Times New Roman"/>
                <w:sz w:val="24"/>
              </w:rPr>
              <w:t>článku 497 uvedeného nariadenia počas prechodného obdobia stanoveného</w:t>
            </w:r>
            <w:r w:rsidR="009912F8" w:rsidRPr="00E07C9A">
              <w:rPr>
                <w:rFonts w:ascii="Times New Roman" w:hAnsi="Times New Roman"/>
                <w:sz w:val="24"/>
              </w:rPr>
              <w:t xml:space="preserve"> v </w:t>
            </w:r>
            <w:r w:rsidRPr="00E07C9A">
              <w:rPr>
                <w:rFonts w:ascii="Times New Roman" w:hAnsi="Times New Roman"/>
                <w:sz w:val="24"/>
              </w:rPr>
              <w:t>uvedenom článku.</w:t>
            </w:r>
          </w:p>
        </w:tc>
      </w:tr>
    </w:tbl>
    <w:p w14:paraId="2FE35828" w14:textId="77777777" w:rsidR="00595FAD" w:rsidRPr="00E07C9A" w:rsidRDefault="00595FAD" w:rsidP="00595FAD">
      <w:pPr>
        <w:pStyle w:val="Titlelevel2"/>
        <w:spacing w:before="120" w:after="120"/>
        <w:jc w:val="both"/>
        <w:rPr>
          <w:rFonts w:ascii="Times New Roman" w:hAnsi="Times New Roman" w:cs="Times New Roman"/>
          <w:b/>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E07C9A" w14:paraId="566D3ED4" w14:textId="77777777" w:rsidTr="00FF15C6">
        <w:trPr>
          <w:trHeight w:val="238"/>
        </w:trPr>
        <w:tc>
          <w:tcPr>
            <w:tcW w:w="9039" w:type="dxa"/>
            <w:gridSpan w:val="2"/>
            <w:shd w:val="clear" w:color="auto" w:fill="D9D9D9" w:themeFill="background1" w:themeFillShade="D9"/>
          </w:tcPr>
          <w:p w14:paraId="3FB9CFFF" w14:textId="77777777" w:rsidR="00595FAD" w:rsidRPr="00E07C9A" w:rsidRDefault="00595FAD" w:rsidP="00FF15C6">
            <w:pPr>
              <w:autoSpaceDE w:val="0"/>
              <w:autoSpaceDN w:val="0"/>
              <w:adjustRightInd w:val="0"/>
              <w:rPr>
                <w:rFonts w:ascii="Times New Roman" w:hAnsi="Times New Roman"/>
                <w:sz w:val="24"/>
              </w:rPr>
            </w:pPr>
            <w:r w:rsidRPr="00E07C9A">
              <w:rPr>
                <w:rFonts w:ascii="Times New Roman" w:hAnsi="Times New Roman"/>
                <w:b/>
                <w:sz w:val="24"/>
              </w:rPr>
              <w:t xml:space="preserve">Riadky </w:t>
            </w:r>
          </w:p>
        </w:tc>
      </w:tr>
      <w:tr w:rsidR="00595FAD" w:rsidRPr="00E07C9A" w14:paraId="26FA526C" w14:textId="77777777" w:rsidTr="00FF15C6">
        <w:trPr>
          <w:trHeight w:val="680"/>
        </w:trPr>
        <w:tc>
          <w:tcPr>
            <w:tcW w:w="1384" w:type="dxa"/>
          </w:tcPr>
          <w:p w14:paraId="38103903" w14:textId="77777777" w:rsidR="00595FAD" w:rsidRPr="00E07C9A" w:rsidRDefault="00595FAD" w:rsidP="00FF15C6">
            <w:pPr>
              <w:pStyle w:val="Applicationdirecte"/>
              <w:spacing w:before="0" w:after="0"/>
            </w:pPr>
            <w:r w:rsidRPr="00E07C9A">
              <w:t>0010 – 0100</w:t>
            </w:r>
          </w:p>
        </w:tc>
        <w:tc>
          <w:tcPr>
            <w:tcW w:w="7655" w:type="dxa"/>
            <w:vAlign w:val="center"/>
          </w:tcPr>
          <w:p w14:paraId="63C2DBF3" w14:textId="77777777" w:rsidR="009912F8" w:rsidRPr="00E07C9A" w:rsidRDefault="00595FAD" w:rsidP="00FF15C6">
            <w:pPr>
              <w:spacing w:beforeLines="60" w:before="144" w:afterLines="60" w:after="144"/>
              <w:rPr>
                <w:rFonts w:ascii="Times New Roman" w:hAnsi="Times New Roman"/>
                <w:sz w:val="24"/>
              </w:rPr>
            </w:pPr>
            <w:r w:rsidRPr="00E07C9A">
              <w:rPr>
                <w:rStyle w:val="InstructionsTabelleberschrift"/>
                <w:rFonts w:ascii="Times New Roman" w:hAnsi="Times New Roman"/>
                <w:sz w:val="24"/>
              </w:rPr>
              <w:t>Kvalifikovaná centrálna protistrana (QCCP)</w:t>
            </w:r>
          </w:p>
          <w:p w14:paraId="6C197069" w14:textId="7450D99B" w:rsidR="00595FAD" w:rsidRPr="00E07C9A" w:rsidRDefault="006418A0" w:rsidP="00070518">
            <w:pPr>
              <w:spacing w:beforeLines="60" w:before="144" w:afterLines="60" w:after="144"/>
              <w:rPr>
                <w:rFonts w:ascii="Times New Roman" w:hAnsi="Times New Roman"/>
                <w:sz w:val="24"/>
              </w:rPr>
            </w:pPr>
            <w:r w:rsidRPr="00E07C9A">
              <w:rPr>
                <w:rFonts w:ascii="Times New Roman" w:hAnsi="Times New Roman"/>
                <w:sz w:val="24"/>
              </w:rPr>
              <w:t>Kvalifikovaná centrálna protistrana alebo „QCCP“</w:t>
            </w:r>
            <w:r w:rsidR="009912F8" w:rsidRPr="00E07C9A">
              <w:rPr>
                <w:rFonts w:ascii="Times New Roman" w:hAnsi="Times New Roman"/>
                <w:sz w:val="24"/>
              </w:rPr>
              <w:t xml:space="preserve"> v </w:t>
            </w:r>
            <w:r w:rsidRPr="00E07C9A">
              <w:rPr>
                <w:rFonts w:ascii="Times New Roman" w:hAnsi="Times New Roman"/>
                <w:sz w:val="24"/>
              </w:rPr>
              <w:t>zmysle vymedzenia</w:t>
            </w:r>
            <w:r w:rsidR="009912F8" w:rsidRPr="00E07C9A">
              <w:rPr>
                <w:rFonts w:ascii="Times New Roman" w:hAnsi="Times New Roman"/>
                <w:sz w:val="24"/>
              </w:rPr>
              <w:t xml:space="preserve"> v </w:t>
            </w:r>
            <w:r w:rsidRPr="00E07C9A">
              <w:rPr>
                <w:rFonts w:ascii="Times New Roman" w:hAnsi="Times New Roman"/>
                <w:sz w:val="24"/>
              </w:rPr>
              <w:t xml:space="preserve">článku 4 ods. 1 bode 88 nariadenia (EÚ) </w:t>
            </w:r>
            <w:r w:rsidR="009912F8" w:rsidRPr="00E07C9A">
              <w:rPr>
                <w:rFonts w:ascii="Times New Roman" w:hAnsi="Times New Roman"/>
                <w:sz w:val="24"/>
              </w:rPr>
              <w:t>č. 575/2013</w:t>
            </w:r>
            <w:r w:rsidRPr="00E07C9A">
              <w:rPr>
                <w:rFonts w:ascii="Times New Roman" w:hAnsi="Times New Roman"/>
                <w:sz w:val="24"/>
              </w:rPr>
              <w:t xml:space="preserve">. </w:t>
            </w:r>
          </w:p>
        </w:tc>
      </w:tr>
      <w:tr w:rsidR="00595FAD" w:rsidRPr="00E07C9A" w14:paraId="16E77A67" w14:textId="77777777" w:rsidTr="00FF15C6">
        <w:trPr>
          <w:trHeight w:val="680"/>
        </w:trPr>
        <w:tc>
          <w:tcPr>
            <w:tcW w:w="1384" w:type="dxa"/>
          </w:tcPr>
          <w:p w14:paraId="6C38D0D3" w14:textId="77777777" w:rsidR="00595FAD" w:rsidRPr="00E07C9A" w:rsidRDefault="00595FAD" w:rsidP="00FF15C6">
            <w:pPr>
              <w:pStyle w:val="Applicationdirecte"/>
              <w:spacing w:before="0" w:after="0"/>
            </w:pPr>
            <w:r w:rsidRPr="00E07C9A">
              <w:t>0070, 0080</w:t>
            </w:r>
          </w:p>
          <w:p w14:paraId="5AB01574" w14:textId="77777777" w:rsidR="00595FAD" w:rsidRPr="00E07C9A" w:rsidRDefault="00595FAD" w:rsidP="00FF15C6">
            <w:pPr>
              <w:pStyle w:val="Fait"/>
            </w:pPr>
            <w:r w:rsidRPr="00E07C9A">
              <w:t>0170, 0180</w:t>
            </w:r>
          </w:p>
        </w:tc>
        <w:tc>
          <w:tcPr>
            <w:tcW w:w="7655" w:type="dxa"/>
            <w:vAlign w:val="center"/>
          </w:tcPr>
          <w:p w14:paraId="3033E513" w14:textId="77777777" w:rsidR="00595FAD" w:rsidRPr="00E07C9A" w:rsidRDefault="00595FAD" w:rsidP="00FF15C6">
            <w:pPr>
              <w:keepNext/>
              <w:spacing w:before="60"/>
              <w:rPr>
                <w:rStyle w:val="InstructionsTabelleberschrift"/>
                <w:rFonts w:ascii="Times New Roman" w:hAnsi="Times New Roman"/>
                <w:b w:val="0"/>
                <w:sz w:val="24"/>
              </w:rPr>
            </w:pPr>
            <w:r w:rsidRPr="00E07C9A">
              <w:rPr>
                <w:rStyle w:val="InstructionsTabelleberschrift"/>
                <w:rFonts w:ascii="Times New Roman" w:hAnsi="Times New Roman"/>
                <w:sz w:val="24"/>
              </w:rPr>
              <w:t>Počiatočná marža</w:t>
            </w:r>
          </w:p>
          <w:p w14:paraId="51E7CCE3" w14:textId="77777777" w:rsidR="00595FAD" w:rsidRPr="00E07C9A" w:rsidRDefault="00595FAD" w:rsidP="00FF15C6">
            <w:pPr>
              <w:keepNext/>
              <w:spacing w:before="60"/>
              <w:rPr>
                <w:rFonts w:ascii="Times New Roman" w:hAnsi="Times New Roman"/>
                <w:sz w:val="24"/>
              </w:rPr>
            </w:pPr>
            <w:r w:rsidRPr="00E07C9A">
              <w:rPr>
                <w:rFonts w:ascii="Times New Roman" w:hAnsi="Times New Roman"/>
                <w:sz w:val="24"/>
              </w:rPr>
              <w:t>Pozri pokyny pre vzor C 34.08.</w:t>
            </w:r>
          </w:p>
          <w:p w14:paraId="44AC0924" w14:textId="52FA1413" w:rsidR="00595FAD" w:rsidRPr="00E07C9A" w:rsidRDefault="00595FAD" w:rsidP="00C76804">
            <w:pPr>
              <w:keepNext/>
              <w:spacing w:before="60"/>
              <w:rPr>
                <w:rFonts w:ascii="Times New Roman" w:hAnsi="Times New Roman"/>
                <w:i/>
                <w:sz w:val="24"/>
              </w:rPr>
            </w:pPr>
            <w:r w:rsidRPr="00E07C9A">
              <w:rPr>
                <w:rFonts w:ascii="Times New Roman" w:hAnsi="Times New Roman"/>
                <w:sz w:val="24"/>
              </w:rPr>
              <w:t>Na účely tohto vzoru počiatočná marža nezahŕňa príspevky do CCP na mutualizované mechanizmy rozdeľovania strát (t. j.</w:t>
            </w:r>
            <w:r w:rsidR="009912F8" w:rsidRPr="00E07C9A">
              <w:rPr>
                <w:rFonts w:ascii="Times New Roman" w:hAnsi="Times New Roman"/>
                <w:sz w:val="24"/>
              </w:rPr>
              <w:t xml:space="preserve"> v </w:t>
            </w:r>
            <w:r w:rsidRPr="00E07C9A">
              <w:rPr>
                <w:rFonts w:ascii="Times New Roman" w:hAnsi="Times New Roman"/>
                <w:sz w:val="24"/>
              </w:rPr>
              <w:t>prípadoch, keď CCP používa počiatočnú maržu na mutualizáciu strát medzi jej zúčtovacích členov, zaobchádza sa</w:t>
            </w:r>
            <w:r w:rsidR="009912F8" w:rsidRPr="00E07C9A">
              <w:rPr>
                <w:rFonts w:ascii="Times New Roman" w:hAnsi="Times New Roman"/>
                <w:sz w:val="24"/>
              </w:rPr>
              <w:t xml:space="preserve"> s </w:t>
            </w:r>
            <w:r w:rsidRPr="00E07C9A">
              <w:rPr>
                <w:rFonts w:ascii="Times New Roman" w:hAnsi="Times New Roman"/>
                <w:sz w:val="24"/>
              </w:rPr>
              <w:t>ňou ako</w:t>
            </w:r>
            <w:r w:rsidR="009912F8" w:rsidRPr="00E07C9A">
              <w:rPr>
                <w:rFonts w:ascii="Times New Roman" w:hAnsi="Times New Roman"/>
                <w:sz w:val="24"/>
              </w:rPr>
              <w:t xml:space="preserve"> s </w:t>
            </w:r>
            <w:r w:rsidRPr="00E07C9A">
              <w:rPr>
                <w:rFonts w:ascii="Times New Roman" w:hAnsi="Times New Roman"/>
                <w:sz w:val="24"/>
              </w:rPr>
              <w:t xml:space="preserve">expozíciou voči fondu pre prípad zlyhania). </w:t>
            </w:r>
          </w:p>
        </w:tc>
      </w:tr>
      <w:tr w:rsidR="00595FAD" w:rsidRPr="00E07C9A" w14:paraId="2A7FB6B1" w14:textId="77777777" w:rsidTr="00FF15C6">
        <w:trPr>
          <w:trHeight w:val="680"/>
        </w:trPr>
        <w:tc>
          <w:tcPr>
            <w:tcW w:w="1384" w:type="dxa"/>
          </w:tcPr>
          <w:p w14:paraId="494F9078" w14:textId="77777777" w:rsidR="00595FAD" w:rsidRPr="00E07C9A" w:rsidRDefault="00595FAD" w:rsidP="00FF15C6">
            <w:pPr>
              <w:pStyle w:val="Applicationdirecte"/>
              <w:spacing w:before="0" w:after="0"/>
            </w:pPr>
            <w:r w:rsidRPr="00E07C9A">
              <w:t>0090, 0190</w:t>
            </w:r>
          </w:p>
        </w:tc>
        <w:tc>
          <w:tcPr>
            <w:tcW w:w="7655" w:type="dxa"/>
            <w:vAlign w:val="center"/>
          </w:tcPr>
          <w:p w14:paraId="0C661746" w14:textId="77777777" w:rsidR="00595FAD" w:rsidRPr="00E07C9A" w:rsidRDefault="00595FAD" w:rsidP="00FF15C6">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Predfinancované príspevky do fondu pre prípad zlyhania</w:t>
            </w:r>
          </w:p>
          <w:p w14:paraId="43979D70" w14:textId="392A616B" w:rsidR="00595FAD" w:rsidRPr="00E07C9A" w:rsidRDefault="00C85EAB" w:rsidP="00070518">
            <w:pPr>
              <w:keepNext/>
              <w:spacing w:before="60"/>
              <w:rPr>
                <w:rFonts w:ascii="Times New Roman" w:hAnsi="Times New Roman"/>
                <w:sz w:val="24"/>
              </w:rPr>
            </w:pPr>
            <w:r w:rsidRPr="00E07C9A">
              <w:rPr>
                <w:rFonts w:ascii="Times New Roman" w:hAnsi="Times New Roman"/>
                <w:sz w:val="24"/>
              </w:rPr>
              <w:t>Články 308</w:t>
            </w:r>
            <w:r w:rsidR="009912F8" w:rsidRPr="00E07C9A">
              <w:rPr>
                <w:rFonts w:ascii="Times New Roman" w:hAnsi="Times New Roman"/>
                <w:sz w:val="24"/>
              </w:rPr>
              <w:t xml:space="preserve"> a </w:t>
            </w:r>
            <w:r w:rsidRPr="00E07C9A">
              <w:rPr>
                <w:rFonts w:ascii="Times New Roman" w:hAnsi="Times New Roman"/>
                <w:sz w:val="24"/>
              </w:rPr>
              <w:t xml:space="preserve">309 nariadenia (EÚ) </w:t>
            </w:r>
            <w:r w:rsidR="009912F8" w:rsidRPr="00E07C9A">
              <w:rPr>
                <w:rFonts w:ascii="Times New Roman" w:hAnsi="Times New Roman"/>
                <w:sz w:val="24"/>
              </w:rPr>
              <w:t>č. 575/2013</w:t>
            </w:r>
            <w:r w:rsidRPr="00E07C9A">
              <w:rPr>
                <w:rFonts w:ascii="Times New Roman" w:hAnsi="Times New Roman"/>
                <w:sz w:val="24"/>
              </w:rPr>
              <w:t>; fond pre prípad zlyhania</w:t>
            </w:r>
            <w:r w:rsidR="009912F8" w:rsidRPr="00E07C9A">
              <w:rPr>
                <w:rFonts w:ascii="Times New Roman" w:hAnsi="Times New Roman"/>
                <w:sz w:val="24"/>
              </w:rPr>
              <w:t xml:space="preserve"> v </w:t>
            </w:r>
            <w:r w:rsidRPr="00E07C9A">
              <w:rPr>
                <w:rFonts w:ascii="Times New Roman" w:hAnsi="Times New Roman"/>
                <w:sz w:val="24"/>
              </w:rPr>
              <w:t>zmysle vymedzenia</w:t>
            </w:r>
            <w:r w:rsidR="009912F8" w:rsidRPr="00E07C9A">
              <w:rPr>
                <w:rFonts w:ascii="Times New Roman" w:hAnsi="Times New Roman"/>
                <w:sz w:val="24"/>
              </w:rPr>
              <w:t xml:space="preserve"> v </w:t>
            </w:r>
            <w:r w:rsidRPr="00E07C9A">
              <w:rPr>
                <w:rFonts w:ascii="Times New Roman" w:hAnsi="Times New Roman"/>
                <w:sz w:val="24"/>
              </w:rPr>
              <w:t xml:space="preserve">článku 4 ods. 1 bode 89 nariadenia (EÚ) </w:t>
            </w:r>
            <w:r w:rsidR="009912F8" w:rsidRPr="00E07C9A">
              <w:rPr>
                <w:rFonts w:ascii="Times New Roman" w:hAnsi="Times New Roman"/>
                <w:sz w:val="24"/>
              </w:rPr>
              <w:t>č. 575/2013</w:t>
            </w:r>
            <w:r w:rsidRPr="00E07C9A">
              <w:rPr>
                <w:rFonts w:ascii="Times New Roman" w:hAnsi="Times New Roman"/>
                <w:sz w:val="24"/>
              </w:rPr>
              <w:t>; príspevok do fondu pre prípad zlyhania centrálnej protistrany, ktorý platí inštitúcia</w:t>
            </w:r>
          </w:p>
        </w:tc>
      </w:tr>
      <w:tr w:rsidR="00595FAD" w:rsidRPr="00E07C9A" w14:paraId="7983A241" w14:textId="77777777" w:rsidTr="00FF15C6">
        <w:trPr>
          <w:trHeight w:val="680"/>
        </w:trPr>
        <w:tc>
          <w:tcPr>
            <w:tcW w:w="1384" w:type="dxa"/>
          </w:tcPr>
          <w:p w14:paraId="00907873" w14:textId="77777777" w:rsidR="00595FAD" w:rsidRPr="00E07C9A" w:rsidRDefault="00595FAD" w:rsidP="00FF15C6">
            <w:pPr>
              <w:pStyle w:val="Applicationdirecte"/>
              <w:spacing w:before="0" w:after="0"/>
            </w:pPr>
            <w:r w:rsidRPr="00E07C9A">
              <w:t>0100, 0200</w:t>
            </w:r>
          </w:p>
        </w:tc>
        <w:tc>
          <w:tcPr>
            <w:tcW w:w="7655" w:type="dxa"/>
            <w:vAlign w:val="center"/>
          </w:tcPr>
          <w:p w14:paraId="41698694" w14:textId="77777777" w:rsidR="00595FAD" w:rsidRPr="00E07C9A" w:rsidRDefault="00595FAD" w:rsidP="00FF15C6">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Nefinancované príspevky do fondu pre prípad zlyhania</w:t>
            </w:r>
          </w:p>
          <w:p w14:paraId="085CBB74" w14:textId="2379C146" w:rsidR="00595FAD" w:rsidRPr="00E07C9A" w:rsidRDefault="00C85EAB" w:rsidP="00FF15C6">
            <w:pPr>
              <w:keepNext/>
              <w:spacing w:before="60"/>
              <w:rPr>
                <w:rStyle w:val="InstructionsTabelleberschrift"/>
                <w:rFonts w:ascii="Times New Roman" w:hAnsi="Times New Roman"/>
                <w:b w:val="0"/>
                <w:bCs w:val="0"/>
                <w:sz w:val="24"/>
              </w:rPr>
            </w:pPr>
            <w:r w:rsidRPr="00E07C9A">
              <w:rPr>
                <w:rFonts w:ascii="Times New Roman" w:hAnsi="Times New Roman"/>
                <w:sz w:val="24"/>
              </w:rPr>
              <w:t>Články 309</w:t>
            </w:r>
            <w:r w:rsidR="009912F8" w:rsidRPr="00E07C9A">
              <w:rPr>
                <w:rFonts w:ascii="Times New Roman" w:hAnsi="Times New Roman"/>
                <w:sz w:val="24"/>
              </w:rPr>
              <w:t xml:space="preserve"> a </w:t>
            </w:r>
            <w:r w:rsidRPr="00E07C9A">
              <w:rPr>
                <w:rFonts w:ascii="Times New Roman" w:hAnsi="Times New Roman"/>
                <w:sz w:val="24"/>
              </w:rPr>
              <w:t xml:space="preserve">310 nariadenia (EÚ) </w:t>
            </w:r>
            <w:r w:rsidR="009912F8" w:rsidRPr="00E07C9A">
              <w:rPr>
                <w:rFonts w:ascii="Times New Roman" w:hAnsi="Times New Roman"/>
                <w:sz w:val="24"/>
              </w:rPr>
              <w:t>č. 575/2013</w:t>
            </w:r>
            <w:r w:rsidRPr="00E07C9A">
              <w:rPr>
                <w:rFonts w:ascii="Times New Roman" w:hAnsi="Times New Roman"/>
                <w:sz w:val="24"/>
              </w:rPr>
              <w:t>; fond pre prípad zlyhania</w:t>
            </w:r>
            <w:r w:rsidR="009912F8" w:rsidRPr="00E07C9A">
              <w:rPr>
                <w:rFonts w:ascii="Times New Roman" w:hAnsi="Times New Roman"/>
                <w:sz w:val="24"/>
              </w:rPr>
              <w:t xml:space="preserve"> v </w:t>
            </w:r>
            <w:r w:rsidRPr="00E07C9A">
              <w:rPr>
                <w:rFonts w:ascii="Times New Roman" w:hAnsi="Times New Roman"/>
                <w:sz w:val="24"/>
              </w:rPr>
              <w:t>zmysle vymedzenia</w:t>
            </w:r>
            <w:r w:rsidR="009912F8" w:rsidRPr="00E07C9A">
              <w:rPr>
                <w:rFonts w:ascii="Times New Roman" w:hAnsi="Times New Roman"/>
                <w:sz w:val="24"/>
              </w:rPr>
              <w:t xml:space="preserve"> v </w:t>
            </w:r>
            <w:r w:rsidRPr="00E07C9A">
              <w:rPr>
                <w:rFonts w:ascii="Times New Roman" w:hAnsi="Times New Roman"/>
                <w:sz w:val="24"/>
              </w:rPr>
              <w:t xml:space="preserve">článku 4 ods. 1 bode 89 nariadenia (EÚ) </w:t>
            </w:r>
            <w:r w:rsidR="009912F8" w:rsidRPr="00E07C9A">
              <w:rPr>
                <w:rFonts w:ascii="Times New Roman" w:hAnsi="Times New Roman"/>
                <w:sz w:val="24"/>
              </w:rPr>
              <w:t>č. 575/2013</w:t>
            </w:r>
          </w:p>
          <w:p w14:paraId="68900E5B" w14:textId="732EACAF" w:rsidR="00595FAD" w:rsidRPr="00E07C9A" w:rsidRDefault="0014210E" w:rsidP="006418A0">
            <w:pPr>
              <w:keepNext/>
              <w:spacing w:before="60"/>
              <w:rPr>
                <w:rFonts w:ascii="Times New Roman" w:hAnsi="Times New Roman"/>
                <w:sz w:val="24"/>
              </w:rPr>
            </w:pPr>
            <w:r w:rsidRPr="00E07C9A">
              <w:rPr>
                <w:rFonts w:ascii="Times New Roman" w:hAnsi="Times New Roman"/>
                <w:sz w:val="24"/>
              </w:rPr>
              <w:t>Inštitúcie vykazujú príspevky, ktoré sa inštitúcia konajúca ako zúčtovací člen zmluvne zaviazala poskytnúť CCP po tom, ako CCP vyčerpala svoj fond pre prípad zlyhania, na pokrytie strát, ktoré jej vznikli</w:t>
            </w:r>
            <w:r w:rsidR="009912F8" w:rsidRPr="00E07C9A">
              <w:rPr>
                <w:rFonts w:ascii="Times New Roman" w:hAnsi="Times New Roman"/>
                <w:sz w:val="24"/>
              </w:rPr>
              <w:t xml:space="preserve"> v </w:t>
            </w:r>
            <w:r w:rsidRPr="00E07C9A">
              <w:rPr>
                <w:rFonts w:ascii="Times New Roman" w:hAnsi="Times New Roman"/>
                <w:sz w:val="24"/>
              </w:rPr>
              <w:t>dôsledku zlyhania jedného alebo viacerých jej zúčtovacích členov.</w:t>
            </w:r>
          </w:p>
        </w:tc>
      </w:tr>
      <w:tr w:rsidR="00595FAD" w:rsidRPr="00E07C9A" w14:paraId="61ACA701" w14:textId="77777777" w:rsidTr="00FF15C6">
        <w:trPr>
          <w:trHeight w:val="680"/>
        </w:trPr>
        <w:tc>
          <w:tcPr>
            <w:tcW w:w="1384" w:type="dxa"/>
          </w:tcPr>
          <w:p w14:paraId="49F498B7" w14:textId="77777777" w:rsidR="00595FAD" w:rsidRPr="00E07C9A" w:rsidRDefault="00595FAD" w:rsidP="00FF15C6">
            <w:pPr>
              <w:pStyle w:val="Applicationdirecte"/>
              <w:spacing w:before="0" w:after="0"/>
            </w:pPr>
            <w:r w:rsidRPr="00E07C9A">
              <w:t>0070, 0170</w:t>
            </w:r>
          </w:p>
        </w:tc>
        <w:tc>
          <w:tcPr>
            <w:tcW w:w="7655" w:type="dxa"/>
            <w:vAlign w:val="center"/>
          </w:tcPr>
          <w:p w14:paraId="47937D1F" w14:textId="77777777" w:rsidR="00595FAD" w:rsidRPr="00E07C9A" w:rsidRDefault="00595FAD" w:rsidP="00FF15C6">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Oddelený</w:t>
            </w:r>
          </w:p>
          <w:p w14:paraId="0033E389" w14:textId="77777777" w:rsidR="00595FAD" w:rsidRPr="00E07C9A" w:rsidRDefault="00595FAD" w:rsidP="00FF15C6">
            <w:pPr>
              <w:spacing w:before="60"/>
              <w:rPr>
                <w:rFonts w:ascii="Times New Roman" w:eastAsia="Calibri" w:hAnsi="Times New Roman"/>
                <w:sz w:val="24"/>
              </w:rPr>
            </w:pPr>
            <w:r w:rsidRPr="00E07C9A">
              <w:rPr>
                <w:rFonts w:ascii="Times New Roman" w:hAnsi="Times New Roman"/>
                <w:sz w:val="24"/>
              </w:rPr>
              <w:t>Pozri pokyny pre vzor C 34.08.</w:t>
            </w:r>
          </w:p>
        </w:tc>
      </w:tr>
      <w:tr w:rsidR="00595FAD" w:rsidRPr="00E07C9A" w14:paraId="7BFA66C9" w14:textId="77777777" w:rsidTr="00FF15C6">
        <w:trPr>
          <w:trHeight w:val="680"/>
        </w:trPr>
        <w:tc>
          <w:tcPr>
            <w:tcW w:w="1384" w:type="dxa"/>
          </w:tcPr>
          <w:p w14:paraId="378FBFF6" w14:textId="2D5370DD" w:rsidR="00595FAD" w:rsidRPr="00E07C9A" w:rsidRDefault="00595FAD" w:rsidP="00FF15C6">
            <w:pPr>
              <w:pStyle w:val="Applicationdirecte"/>
              <w:spacing w:before="0" w:after="0"/>
            </w:pPr>
            <w:r w:rsidRPr="00E07C9A">
              <w:t>0080, 0180</w:t>
            </w:r>
          </w:p>
        </w:tc>
        <w:tc>
          <w:tcPr>
            <w:tcW w:w="7655" w:type="dxa"/>
            <w:vAlign w:val="center"/>
          </w:tcPr>
          <w:p w14:paraId="20C40621" w14:textId="77777777" w:rsidR="00595FAD" w:rsidRPr="00E07C9A" w:rsidRDefault="00595FAD" w:rsidP="00FF15C6">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Neoddelený</w:t>
            </w:r>
          </w:p>
          <w:p w14:paraId="1B2BD796" w14:textId="77777777" w:rsidR="00595FAD" w:rsidRPr="00E07C9A" w:rsidRDefault="00595FAD" w:rsidP="00FF15C6">
            <w:pPr>
              <w:spacing w:before="60"/>
              <w:rPr>
                <w:rFonts w:ascii="Times New Roman" w:eastAsia="Calibri" w:hAnsi="Times New Roman"/>
                <w:sz w:val="24"/>
              </w:rPr>
            </w:pPr>
            <w:r w:rsidRPr="00E07C9A">
              <w:rPr>
                <w:rFonts w:ascii="Times New Roman" w:hAnsi="Times New Roman"/>
                <w:sz w:val="24"/>
              </w:rPr>
              <w:t>Pozri pokyny pre vzor C 34.08.</w:t>
            </w:r>
          </w:p>
        </w:tc>
      </w:tr>
    </w:tbl>
    <w:p w14:paraId="5046304B" w14:textId="77777777" w:rsidR="00595FAD" w:rsidRPr="00E07C9A" w:rsidRDefault="00595FAD" w:rsidP="005C4397">
      <w:pPr>
        <w:pStyle w:val="Instructionsberschrift2"/>
        <w:numPr>
          <w:ilvl w:val="2"/>
          <w:numId w:val="39"/>
        </w:numPr>
        <w:rPr>
          <w:rFonts w:ascii="Times New Roman" w:hAnsi="Times New Roman" w:cs="Times New Roman"/>
          <w:sz w:val="24"/>
        </w:rPr>
      </w:pPr>
      <w:bookmarkStart w:id="504" w:name="_Toc19715830"/>
      <w:bookmarkStart w:id="505" w:name="_Toc115857860"/>
      <w:r w:rsidRPr="00E07C9A">
        <w:rPr>
          <w:rFonts w:ascii="Times New Roman" w:hAnsi="Times New Roman" w:cs="Times New Roman"/>
          <w:sz w:val="24"/>
        </w:rPr>
        <w:t>C 34.11 – Výkazy peňažných tokov hodnôt rizikovo vážených expozícií (RWEA) voči CCR podľa IMM</w:t>
      </w:r>
      <w:bookmarkEnd w:id="504"/>
      <w:bookmarkEnd w:id="505"/>
    </w:p>
    <w:p w14:paraId="2FB79014" w14:textId="77777777" w:rsidR="00595FAD" w:rsidRPr="00E07C9A" w:rsidRDefault="00595FAD" w:rsidP="005C4397">
      <w:pPr>
        <w:pStyle w:val="Instructionsberschrift2"/>
        <w:numPr>
          <w:ilvl w:val="3"/>
          <w:numId w:val="39"/>
        </w:numPr>
        <w:rPr>
          <w:rFonts w:ascii="Times New Roman" w:hAnsi="Times New Roman" w:cs="Times New Roman"/>
          <w:sz w:val="24"/>
        </w:rPr>
      </w:pPr>
      <w:bookmarkStart w:id="506" w:name="_Toc19715831"/>
      <w:bookmarkStart w:id="507" w:name="_Toc115857861"/>
      <w:r w:rsidRPr="00E07C9A">
        <w:rPr>
          <w:rFonts w:ascii="Times New Roman" w:hAnsi="Times New Roman" w:cs="Times New Roman"/>
          <w:sz w:val="24"/>
        </w:rPr>
        <w:t>Všeobecné poznámky</w:t>
      </w:r>
      <w:bookmarkEnd w:id="506"/>
      <w:bookmarkEnd w:id="507"/>
    </w:p>
    <w:p w14:paraId="301F1925" w14:textId="102967CC" w:rsidR="00595FAD" w:rsidRPr="00E07C9A" w:rsidRDefault="002A18DE" w:rsidP="00487A02">
      <w:pPr>
        <w:pStyle w:val="InstructionsText2"/>
        <w:numPr>
          <w:ilvl w:val="0"/>
          <w:numId w:val="0"/>
        </w:numPr>
        <w:ind w:left="1353" w:hanging="360"/>
      </w:pPr>
      <w:fldSimple w:instr=" seq paragraphs ">
        <w:r w:rsidR="00132AEE">
          <w:rPr>
            <w:noProof/>
          </w:rPr>
          <w:t>133</w:t>
        </w:r>
      </w:fldSimple>
      <w:r w:rsidR="00C3070C" w:rsidRPr="00E07C9A">
        <w:t>. Inštitúcie, ktoré používajú IMM na výpočet hodnôt rizikovo vážených expozícií pre všetky svoje expozície voči CCR alebo pre časť</w:t>
      </w:r>
      <w:r w:rsidR="009912F8" w:rsidRPr="00E07C9A">
        <w:t xml:space="preserve"> z </w:t>
      </w:r>
      <w:r w:rsidR="00C3070C" w:rsidRPr="00E07C9A">
        <w:t>nich</w:t>
      </w:r>
      <w:r w:rsidR="009912F8" w:rsidRPr="00E07C9A">
        <w:t xml:space="preserve"> v </w:t>
      </w:r>
      <w:r w:rsidR="00C3070C" w:rsidRPr="00E07C9A">
        <w:t>súlade</w:t>
      </w:r>
      <w:r w:rsidR="009912F8" w:rsidRPr="00E07C9A">
        <w:t xml:space="preserve"> s </w:t>
      </w:r>
      <w:r w:rsidR="00C3070C" w:rsidRPr="00E07C9A">
        <w:t xml:space="preserve">treťou časťou hlavou II kapitolou 6 nariadenia (EÚ) </w:t>
      </w:r>
      <w:r w:rsidR="009912F8" w:rsidRPr="00E07C9A">
        <w:t>č. 575/2013</w:t>
      </w:r>
      <w:r w:rsidR="00C3070C" w:rsidRPr="00E07C9A">
        <w:t>, bez ohľadu na prístup pre kreditné riziko použitý na určenie zodpovedajúcich rizikových váh, vykazujú tento vzor</w:t>
      </w:r>
      <w:r w:rsidR="009912F8" w:rsidRPr="00E07C9A">
        <w:t xml:space="preserve"> s </w:t>
      </w:r>
      <w:r w:rsidR="00C3070C" w:rsidRPr="00E07C9A">
        <w:t>výkazom peňažných tokov,</w:t>
      </w:r>
      <w:r w:rsidR="009912F8" w:rsidRPr="00E07C9A">
        <w:t xml:space="preserve"> v </w:t>
      </w:r>
      <w:r w:rsidR="00C3070C" w:rsidRPr="00E07C9A">
        <w:t>ktorom sú vysvetlené zmeny hodnôt rizikovo vážených expozícií derivátov</w:t>
      </w:r>
      <w:r w:rsidR="009912F8" w:rsidRPr="00E07C9A">
        <w:t xml:space="preserve"> a </w:t>
      </w:r>
      <w:r w:rsidR="00C3070C" w:rsidRPr="00E07C9A">
        <w:t>transakcií financovania prostredníctvom cenných papierov</w:t>
      </w:r>
      <w:r w:rsidR="009912F8" w:rsidRPr="00E07C9A">
        <w:t xml:space="preserve"> v </w:t>
      </w:r>
      <w:r w:rsidR="00C3070C" w:rsidRPr="00E07C9A">
        <w:t>rámci IMM</w:t>
      </w:r>
      <w:r w:rsidR="009912F8" w:rsidRPr="00E07C9A">
        <w:t xml:space="preserve"> s </w:t>
      </w:r>
      <w:r w:rsidR="00C3070C" w:rsidRPr="00E07C9A">
        <w:t>rozlíšením podľa kľúčových faktorov</w:t>
      </w:r>
      <w:r w:rsidR="009912F8" w:rsidRPr="00E07C9A">
        <w:t xml:space="preserve"> a </w:t>
      </w:r>
      <w:r w:rsidR="00C3070C" w:rsidRPr="00E07C9A">
        <w:t>na základe racionálnych odhadov.</w:t>
      </w:r>
    </w:p>
    <w:p w14:paraId="367B1D73" w14:textId="7FEB6491" w:rsidR="009912F8" w:rsidRPr="00E07C9A" w:rsidRDefault="002A18DE" w:rsidP="00487A02">
      <w:pPr>
        <w:pStyle w:val="InstructionsText2"/>
        <w:numPr>
          <w:ilvl w:val="0"/>
          <w:numId w:val="0"/>
        </w:numPr>
        <w:ind w:left="1353" w:hanging="360"/>
      </w:pPr>
      <w:fldSimple w:instr=" seq paragraphs ">
        <w:r w:rsidR="00132AEE">
          <w:rPr>
            <w:noProof/>
          </w:rPr>
          <w:t>134</w:t>
        </w:r>
      </w:fldSimple>
      <w:r w:rsidR="00C3070C" w:rsidRPr="00E07C9A">
        <w:t>. Inštitúcie, ktoré tento vzor vykazujú štvrťročne, vypĺňajú len stĺpec 0010. Inštitúcie, ktoré tento vzor vykazujú polročne, vypĺňajú len stĺpec 0020</w:t>
      </w:r>
      <w:r w:rsidR="009912F8" w:rsidRPr="00E07C9A">
        <w:t>.</w:t>
      </w:r>
    </w:p>
    <w:p w14:paraId="1133A75D" w14:textId="72E28159" w:rsidR="00595FAD" w:rsidRPr="00E07C9A" w:rsidRDefault="002A18DE" w:rsidP="00487A02">
      <w:pPr>
        <w:pStyle w:val="InstructionsText2"/>
        <w:numPr>
          <w:ilvl w:val="0"/>
          <w:numId w:val="0"/>
        </w:numPr>
        <w:ind w:left="1353" w:hanging="360"/>
      </w:pPr>
      <w:fldSimple w:instr=" seq paragraphs ">
        <w:r w:rsidR="00132AEE">
          <w:rPr>
            <w:noProof/>
          </w:rPr>
          <w:t>135</w:t>
        </w:r>
      </w:fldSimple>
      <w:r w:rsidR="00C3070C" w:rsidRPr="00E07C9A">
        <w:t>.</w:t>
      </w:r>
      <w:r w:rsidR="009912F8" w:rsidRPr="00E07C9A">
        <w:t xml:space="preserve"> Z </w:t>
      </w:r>
      <w:r w:rsidR="00C3070C" w:rsidRPr="00E07C9A">
        <w:t xml:space="preserve">tohto vzoru sú vylúčené hodnoty rizikovo vážených expozícií pre expozície voči centrálnej protistrane [tretia časť hlava II kapitola 6 oddiel 9 nariadenia (EÚ) </w:t>
      </w:r>
      <w:r w:rsidR="009912F8" w:rsidRPr="00E07C9A">
        <w:t>č. 575/2013</w:t>
      </w:r>
      <w:r w:rsidR="00C3070C" w:rsidRPr="00E07C9A">
        <w:t>].</w:t>
      </w:r>
    </w:p>
    <w:p w14:paraId="05A865F1" w14:textId="06A50D15" w:rsidR="00595FAD" w:rsidRPr="00E07C9A" w:rsidRDefault="00595FAD" w:rsidP="005C4397">
      <w:pPr>
        <w:pStyle w:val="Instructionsberschrift2"/>
        <w:numPr>
          <w:ilvl w:val="3"/>
          <w:numId w:val="39"/>
        </w:numPr>
        <w:rPr>
          <w:rFonts w:ascii="Times New Roman" w:hAnsi="Times New Roman" w:cs="Times New Roman"/>
          <w:sz w:val="24"/>
        </w:rPr>
      </w:pPr>
      <w:bookmarkStart w:id="508" w:name="_Toc19715832"/>
      <w:bookmarkStart w:id="509" w:name="_Toc115857862"/>
      <w:r w:rsidRPr="00E07C9A">
        <w:rPr>
          <w:rFonts w:ascii="Times New Roman" w:hAnsi="Times New Roman" w:cs="Times New Roman"/>
          <w:sz w:val="24"/>
        </w:rPr>
        <w:t>Pokyny týkajúce sa konkrétnych pozícií</w:t>
      </w:r>
      <w:bookmarkEnd w:id="508"/>
      <w:bookmarkEnd w:id="509"/>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E07C9A" w14:paraId="5AA92BED" w14:textId="77777777"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5B8925" w14:textId="77777777" w:rsidR="00595FAD" w:rsidRPr="00E07C9A" w:rsidRDefault="00595FAD" w:rsidP="00FF15C6">
            <w:pPr>
              <w:rPr>
                <w:rFonts w:ascii="Times New Roman" w:hAnsi="Times New Roman"/>
                <w:b/>
                <w:sz w:val="24"/>
              </w:rPr>
            </w:pPr>
            <w:r w:rsidRPr="00E07C9A">
              <w:rPr>
                <w:rFonts w:ascii="Times New Roman" w:hAnsi="Times New Roman"/>
                <w:b/>
                <w:sz w:val="24"/>
              </w:rPr>
              <w:t>Stĺpce</w:t>
            </w:r>
          </w:p>
        </w:tc>
      </w:tr>
      <w:tr w:rsidR="00595FAD" w:rsidRPr="00E07C9A" w14:paraId="44BEB99A"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7071AFC" w14:textId="77777777" w:rsidR="00595FAD" w:rsidRPr="00E07C9A" w:rsidRDefault="00595FAD" w:rsidP="00FF15C6">
            <w:pPr>
              <w:pStyle w:val="Applicationdirecte"/>
              <w:spacing w:before="0" w:after="0"/>
            </w:pPr>
            <w:r w:rsidRPr="00E07C9A">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6A30100" w14:textId="77777777" w:rsidR="00595FAD" w:rsidRPr="00E07C9A" w:rsidRDefault="00595FAD" w:rsidP="00FF15C6">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HODNOTY RIZIKOVO VÁŽENÝCH EXPOZÍCIÍ</w:t>
            </w:r>
          </w:p>
          <w:p w14:paraId="3A850219" w14:textId="2B49748E" w:rsidR="009912F8" w:rsidRPr="00E07C9A" w:rsidRDefault="00595FAD" w:rsidP="00FF15C6">
            <w:pPr>
              <w:rPr>
                <w:rFonts w:ascii="Times New Roman" w:hAnsi="Times New Roman"/>
                <w:sz w:val="24"/>
              </w:rPr>
            </w:pPr>
            <w:r w:rsidRPr="00E07C9A">
              <w:rPr>
                <w:rFonts w:ascii="Times New Roman" w:hAnsi="Times New Roman"/>
                <w:sz w:val="24"/>
              </w:rPr>
              <w:t>Hodnoty rizikovo vážených expozícií</w:t>
            </w:r>
            <w:r w:rsidR="009912F8" w:rsidRPr="00E07C9A">
              <w:rPr>
                <w:rFonts w:ascii="Times New Roman" w:hAnsi="Times New Roman"/>
                <w:sz w:val="24"/>
              </w:rPr>
              <w:t xml:space="preserve"> v </w:t>
            </w:r>
            <w:r w:rsidRPr="00E07C9A">
              <w:rPr>
                <w:rFonts w:ascii="Times New Roman" w:hAnsi="Times New Roman"/>
                <w:sz w:val="24"/>
              </w:rPr>
              <w:t>zmysle vymedzenia</w:t>
            </w:r>
            <w:r w:rsidR="009912F8" w:rsidRPr="00E07C9A">
              <w:rPr>
                <w:rFonts w:ascii="Times New Roman" w:hAnsi="Times New Roman"/>
                <w:sz w:val="24"/>
              </w:rPr>
              <w:t xml:space="preserve"> v </w:t>
            </w:r>
            <w:r w:rsidRPr="00E07C9A">
              <w:rPr>
                <w:rFonts w:ascii="Times New Roman" w:hAnsi="Times New Roman"/>
                <w:sz w:val="24"/>
              </w:rPr>
              <w:t>článku 92 ods. 3</w:t>
            </w:r>
            <w:r w:rsidR="009912F8" w:rsidRPr="00E07C9A">
              <w:rPr>
                <w:rFonts w:ascii="Times New Roman" w:hAnsi="Times New Roman"/>
                <w:sz w:val="24"/>
              </w:rPr>
              <w:t xml:space="preserve"> a </w:t>
            </w:r>
            <w:r w:rsidRPr="00E07C9A">
              <w:rPr>
                <w:rFonts w:ascii="Times New Roman" w:hAnsi="Times New Roman"/>
                <w:sz w:val="24"/>
              </w:rPr>
              <w:t xml:space="preserve">4 nariadenia (EÚ) </w:t>
            </w:r>
            <w:r w:rsidR="009912F8" w:rsidRPr="00E07C9A">
              <w:rPr>
                <w:rFonts w:ascii="Times New Roman" w:hAnsi="Times New Roman"/>
                <w:sz w:val="24"/>
              </w:rPr>
              <w:t>č. 575/2013</w:t>
            </w:r>
            <w:r w:rsidRPr="00E07C9A">
              <w:rPr>
                <w:rFonts w:ascii="Times New Roman" w:hAnsi="Times New Roman"/>
                <w:sz w:val="24"/>
              </w:rPr>
              <w:t xml:space="preserve"> pre pozície, ktorých rizikové váhy sa odhadujú na základe požiadaviek stanovených</w:t>
            </w:r>
            <w:r w:rsidR="009912F8" w:rsidRPr="00E07C9A">
              <w:rPr>
                <w:rFonts w:ascii="Times New Roman" w:hAnsi="Times New Roman"/>
                <w:sz w:val="24"/>
              </w:rPr>
              <w:t xml:space="preserve"> v </w:t>
            </w:r>
            <w:r w:rsidRPr="00E07C9A">
              <w:rPr>
                <w:rFonts w:ascii="Times New Roman" w:hAnsi="Times New Roman"/>
                <w:sz w:val="24"/>
              </w:rPr>
              <w:t>tretej časti hlave II kapitolách 2</w:t>
            </w:r>
            <w:r w:rsidR="009912F8" w:rsidRPr="00E07C9A">
              <w:rPr>
                <w:rFonts w:ascii="Times New Roman" w:hAnsi="Times New Roman"/>
                <w:sz w:val="24"/>
              </w:rPr>
              <w:t xml:space="preserve"> a </w:t>
            </w:r>
            <w:r w:rsidRPr="00E07C9A">
              <w:rPr>
                <w:rFonts w:ascii="Times New Roman" w:hAnsi="Times New Roman"/>
                <w:sz w:val="24"/>
              </w:rPr>
              <w:t>3 uvedeného nariadenia</w:t>
            </w:r>
            <w:r w:rsidR="009912F8" w:rsidRPr="00E07C9A">
              <w:rPr>
                <w:rFonts w:ascii="Times New Roman" w:hAnsi="Times New Roman"/>
                <w:sz w:val="24"/>
              </w:rPr>
              <w:t xml:space="preserve"> a v </w:t>
            </w:r>
            <w:r w:rsidRPr="00E07C9A">
              <w:rPr>
                <w:rFonts w:ascii="Times New Roman" w:hAnsi="Times New Roman"/>
                <w:sz w:val="24"/>
              </w:rPr>
              <w:t>súvislosti</w:t>
            </w:r>
            <w:r w:rsidR="009912F8" w:rsidRPr="00E07C9A">
              <w:rPr>
                <w:rFonts w:ascii="Times New Roman" w:hAnsi="Times New Roman"/>
                <w:sz w:val="24"/>
              </w:rPr>
              <w:t xml:space="preserve"> s </w:t>
            </w:r>
            <w:r w:rsidRPr="00E07C9A">
              <w:rPr>
                <w:rFonts w:ascii="Times New Roman" w:hAnsi="Times New Roman"/>
                <w:sz w:val="24"/>
              </w:rPr>
              <w:t>ktorými sa inštitúcii povolilo vypočítavať hodnotu expozície pomocou IMM</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treťou časťou hlavou II kapitolou 6 oddielom 6 uvedeného nariadenia</w:t>
            </w:r>
            <w:r w:rsidR="009912F8" w:rsidRPr="00E07C9A">
              <w:rPr>
                <w:rFonts w:ascii="Times New Roman" w:hAnsi="Times New Roman"/>
                <w:sz w:val="24"/>
              </w:rPr>
              <w:t>.</w:t>
            </w:r>
          </w:p>
          <w:p w14:paraId="73454D98" w14:textId="47BC9AAC" w:rsidR="00595FAD" w:rsidRPr="00E07C9A" w:rsidRDefault="00595FAD" w:rsidP="003F19BA">
            <w:pPr>
              <w:spacing w:before="60"/>
              <w:rPr>
                <w:rFonts w:ascii="Times New Roman" w:hAnsi="Times New Roman"/>
                <w:i/>
                <w:sz w:val="24"/>
              </w:rPr>
            </w:pPr>
            <w:r w:rsidRPr="00E07C9A">
              <w:rPr>
                <w:rFonts w:ascii="Times New Roman" w:hAnsi="Times New Roman"/>
                <w:sz w:val="24"/>
              </w:rPr>
              <w:t>Zohľadňujú sa faktory na podporu MSP</w:t>
            </w:r>
            <w:r w:rsidR="009912F8" w:rsidRPr="00E07C9A">
              <w:rPr>
                <w:rFonts w:ascii="Times New Roman" w:hAnsi="Times New Roman"/>
                <w:sz w:val="24"/>
              </w:rPr>
              <w:t xml:space="preserve"> a </w:t>
            </w:r>
            <w:r w:rsidRPr="00E07C9A">
              <w:rPr>
                <w:rFonts w:ascii="Times New Roman" w:hAnsi="Times New Roman"/>
                <w:sz w:val="24"/>
              </w:rPr>
              <w:t>infraštruktúry stanovené</w:t>
            </w:r>
            <w:r w:rsidR="009912F8" w:rsidRPr="00E07C9A">
              <w:rPr>
                <w:rFonts w:ascii="Times New Roman" w:hAnsi="Times New Roman"/>
                <w:sz w:val="24"/>
              </w:rPr>
              <w:t xml:space="preserve"> v </w:t>
            </w:r>
            <w:r w:rsidRPr="00E07C9A">
              <w:rPr>
                <w:rFonts w:ascii="Times New Roman" w:hAnsi="Times New Roman"/>
                <w:sz w:val="24"/>
              </w:rPr>
              <w:t>článkoch 501</w:t>
            </w:r>
            <w:r w:rsidR="009912F8" w:rsidRPr="00E07C9A">
              <w:rPr>
                <w:rFonts w:ascii="Times New Roman" w:hAnsi="Times New Roman"/>
                <w:sz w:val="24"/>
              </w:rPr>
              <w:t xml:space="preserve"> a </w:t>
            </w:r>
            <w:r w:rsidRPr="00E07C9A">
              <w:rPr>
                <w:rFonts w:ascii="Times New Roman" w:hAnsi="Times New Roman"/>
                <w:sz w:val="24"/>
              </w:rPr>
              <w:t xml:space="preserve">501a nariadenia (EÚ) </w:t>
            </w:r>
            <w:r w:rsidR="009912F8" w:rsidRPr="00E07C9A">
              <w:rPr>
                <w:rFonts w:ascii="Times New Roman" w:hAnsi="Times New Roman"/>
                <w:sz w:val="24"/>
              </w:rPr>
              <w:t>č. 575/2013</w:t>
            </w:r>
            <w:r w:rsidRPr="00E07C9A">
              <w:rPr>
                <w:rFonts w:ascii="Times New Roman" w:hAnsi="Times New Roman"/>
                <w:sz w:val="24"/>
              </w:rPr>
              <w:t>.</w:t>
            </w:r>
          </w:p>
        </w:tc>
      </w:tr>
    </w:tbl>
    <w:p w14:paraId="63E32CAC" w14:textId="77777777" w:rsidR="00595FAD" w:rsidRPr="00E07C9A" w:rsidRDefault="00595FAD" w:rsidP="00595FAD">
      <w:pPr>
        <w:pStyle w:val="Titlelevel2"/>
        <w:spacing w:before="60" w:after="120"/>
        <w:jc w:val="both"/>
        <w:rPr>
          <w:rFonts w:ascii="Times New Roman" w:hAnsi="Times New Roman" w:cs="Times New Roman"/>
          <w:color w:val="auto"/>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E07C9A" w14:paraId="311EDB42" w14:textId="77777777"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35B99F" w14:textId="77777777" w:rsidR="00595FAD" w:rsidRPr="00E07C9A" w:rsidRDefault="00595FAD" w:rsidP="00FF15C6">
            <w:pPr>
              <w:rPr>
                <w:rFonts w:ascii="Times New Roman" w:hAnsi="Times New Roman"/>
                <w:b/>
                <w:sz w:val="24"/>
              </w:rPr>
            </w:pPr>
            <w:r w:rsidRPr="00E07C9A">
              <w:rPr>
                <w:rFonts w:ascii="Times New Roman" w:hAnsi="Times New Roman"/>
                <w:b/>
                <w:sz w:val="24"/>
              </w:rPr>
              <w:t>Riadky</w:t>
            </w:r>
          </w:p>
        </w:tc>
      </w:tr>
      <w:tr w:rsidR="00595FAD" w:rsidRPr="00E07C9A" w14:paraId="2E64D244"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07CE4C4B" w14:textId="77777777" w:rsidR="00595FAD" w:rsidRPr="00E07C9A" w:rsidRDefault="00595FAD" w:rsidP="00FF15C6">
            <w:pPr>
              <w:pStyle w:val="Applicationdirecte"/>
              <w:spacing w:before="0" w:after="0"/>
            </w:pPr>
            <w:r w:rsidRPr="00E07C9A">
              <w:t>0010</w:t>
            </w:r>
          </w:p>
        </w:tc>
        <w:tc>
          <w:tcPr>
            <w:tcW w:w="7655" w:type="dxa"/>
            <w:tcBorders>
              <w:top w:val="single" w:sz="4" w:space="0" w:color="auto"/>
              <w:left w:val="single" w:sz="4" w:space="0" w:color="auto"/>
              <w:bottom w:val="single" w:sz="4" w:space="0" w:color="auto"/>
              <w:right w:val="single" w:sz="4" w:space="0" w:color="auto"/>
            </w:tcBorders>
            <w:vAlign w:val="center"/>
          </w:tcPr>
          <w:p w14:paraId="1051A082" w14:textId="77777777" w:rsidR="00595FAD" w:rsidRPr="00E07C9A" w:rsidRDefault="00595FAD" w:rsidP="00FF15C6">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Hodnoty rizikovo vážených expozícií ku koncu predchádzajúceho obdobia vykazovania</w:t>
            </w:r>
          </w:p>
          <w:p w14:paraId="268744BD" w14:textId="77777777" w:rsidR="00595FAD" w:rsidRPr="00E07C9A" w:rsidRDefault="00595FAD" w:rsidP="00FF15C6">
            <w:pPr>
              <w:spacing w:before="60"/>
              <w:rPr>
                <w:rFonts w:ascii="Times New Roman" w:hAnsi="Times New Roman"/>
                <w:sz w:val="24"/>
              </w:rPr>
            </w:pPr>
            <w:r w:rsidRPr="00E07C9A">
              <w:rPr>
                <w:rFonts w:ascii="Times New Roman" w:hAnsi="Times New Roman"/>
                <w:sz w:val="24"/>
              </w:rPr>
              <w:t>Hodnoty rizikovo vážených expozícií pre expozície voči CCR podľa IMM ku koncu predchádzajúceho obdobia vykazovania.</w:t>
            </w:r>
          </w:p>
        </w:tc>
      </w:tr>
      <w:tr w:rsidR="00595FAD" w:rsidRPr="00E07C9A" w14:paraId="7BA61EF5"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CE338BE" w14:textId="77777777" w:rsidR="00595FAD" w:rsidRPr="00E07C9A" w:rsidRDefault="00595FAD" w:rsidP="00FF15C6">
            <w:pPr>
              <w:pStyle w:val="Applicationdirecte"/>
              <w:spacing w:before="0" w:after="0"/>
            </w:pPr>
            <w:r w:rsidRPr="00E07C9A">
              <w:t>0020</w:t>
            </w:r>
          </w:p>
        </w:tc>
        <w:tc>
          <w:tcPr>
            <w:tcW w:w="7655" w:type="dxa"/>
            <w:tcBorders>
              <w:top w:val="single" w:sz="4" w:space="0" w:color="auto"/>
              <w:left w:val="single" w:sz="4" w:space="0" w:color="auto"/>
              <w:bottom w:val="single" w:sz="4" w:space="0" w:color="auto"/>
              <w:right w:val="single" w:sz="4" w:space="0" w:color="auto"/>
            </w:tcBorders>
            <w:vAlign w:val="center"/>
          </w:tcPr>
          <w:p w14:paraId="6404BA25" w14:textId="77777777" w:rsidR="00595FAD" w:rsidRPr="00E07C9A" w:rsidRDefault="00595FAD" w:rsidP="00FF15C6">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Objem aktív</w:t>
            </w:r>
          </w:p>
          <w:p w14:paraId="246617A7" w14:textId="285900F1" w:rsidR="00595FAD" w:rsidRPr="00E07C9A" w:rsidRDefault="00595FAD" w:rsidP="00181AC7">
            <w:pPr>
              <w:spacing w:before="60"/>
              <w:rPr>
                <w:rFonts w:ascii="Times New Roman" w:hAnsi="Times New Roman"/>
                <w:sz w:val="24"/>
              </w:rPr>
            </w:pPr>
            <w:r w:rsidRPr="00E07C9A">
              <w:rPr>
                <w:rFonts w:ascii="Times New Roman" w:hAnsi="Times New Roman"/>
                <w:sz w:val="24"/>
              </w:rPr>
              <w:t>Zmeny hodnôt rizikovo vážených expozícií (kladné alebo záporné)</w:t>
            </w:r>
            <w:r w:rsidR="009912F8" w:rsidRPr="00E07C9A">
              <w:rPr>
                <w:rFonts w:ascii="Times New Roman" w:hAnsi="Times New Roman"/>
                <w:sz w:val="24"/>
              </w:rPr>
              <w:t xml:space="preserve"> z </w:t>
            </w:r>
            <w:r w:rsidRPr="00E07C9A">
              <w:rPr>
                <w:rFonts w:ascii="Times New Roman" w:hAnsi="Times New Roman"/>
                <w:sz w:val="24"/>
              </w:rPr>
              <w:t>dôvodu zmien rozsahu</w:t>
            </w:r>
            <w:r w:rsidR="009912F8" w:rsidRPr="00E07C9A">
              <w:rPr>
                <w:rFonts w:ascii="Times New Roman" w:hAnsi="Times New Roman"/>
                <w:sz w:val="24"/>
              </w:rPr>
              <w:t xml:space="preserve"> a </w:t>
            </w:r>
            <w:r w:rsidRPr="00E07C9A">
              <w:rPr>
                <w:rFonts w:ascii="Times New Roman" w:hAnsi="Times New Roman"/>
                <w:sz w:val="24"/>
              </w:rPr>
              <w:t>zloženia knihy vyplývajúcich</w:t>
            </w:r>
            <w:r w:rsidR="009912F8" w:rsidRPr="00E07C9A">
              <w:rPr>
                <w:rFonts w:ascii="Times New Roman" w:hAnsi="Times New Roman"/>
                <w:sz w:val="24"/>
              </w:rPr>
              <w:t xml:space="preserve"> z </w:t>
            </w:r>
            <w:r w:rsidRPr="00E07C9A">
              <w:rPr>
                <w:rFonts w:ascii="Times New Roman" w:hAnsi="Times New Roman"/>
                <w:sz w:val="24"/>
              </w:rPr>
              <w:t>obvyklých obchodných činností (vrátane vzniku nových podnikov</w:t>
            </w:r>
            <w:r w:rsidR="009912F8" w:rsidRPr="00E07C9A">
              <w:rPr>
                <w:rFonts w:ascii="Times New Roman" w:hAnsi="Times New Roman"/>
                <w:sz w:val="24"/>
              </w:rPr>
              <w:t xml:space="preserve"> a </w:t>
            </w:r>
            <w:r w:rsidRPr="00E07C9A">
              <w:rPr>
                <w:rFonts w:ascii="Times New Roman" w:hAnsi="Times New Roman"/>
                <w:sz w:val="24"/>
              </w:rPr>
              <w:t>splatných expozícií), ale bez zmien rozsahu knihy</w:t>
            </w:r>
            <w:r w:rsidR="009912F8" w:rsidRPr="00E07C9A">
              <w:rPr>
                <w:rFonts w:ascii="Times New Roman" w:hAnsi="Times New Roman"/>
                <w:sz w:val="24"/>
              </w:rPr>
              <w:t xml:space="preserve"> z </w:t>
            </w:r>
            <w:r w:rsidRPr="00E07C9A">
              <w:rPr>
                <w:rFonts w:ascii="Times New Roman" w:hAnsi="Times New Roman"/>
                <w:sz w:val="24"/>
              </w:rPr>
              <w:t>dôvodu nadobudnutia alebo odpredaja subjektov.</w:t>
            </w:r>
          </w:p>
        </w:tc>
      </w:tr>
      <w:tr w:rsidR="00595FAD" w:rsidRPr="00E07C9A" w14:paraId="67221422"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2EFE8D2C" w14:textId="77777777" w:rsidR="00595FAD" w:rsidRPr="00E07C9A" w:rsidRDefault="00595FAD" w:rsidP="00FF15C6">
            <w:pPr>
              <w:pStyle w:val="Applicationdirecte"/>
              <w:spacing w:before="0" w:after="0"/>
            </w:pPr>
            <w:r w:rsidRPr="00E07C9A">
              <w:t>0030</w:t>
            </w:r>
          </w:p>
        </w:tc>
        <w:tc>
          <w:tcPr>
            <w:tcW w:w="7655" w:type="dxa"/>
            <w:tcBorders>
              <w:top w:val="single" w:sz="4" w:space="0" w:color="auto"/>
              <w:left w:val="single" w:sz="4" w:space="0" w:color="auto"/>
              <w:bottom w:val="single" w:sz="4" w:space="0" w:color="auto"/>
              <w:right w:val="single" w:sz="4" w:space="0" w:color="auto"/>
            </w:tcBorders>
            <w:vAlign w:val="center"/>
          </w:tcPr>
          <w:p w14:paraId="664DB76C" w14:textId="77777777" w:rsidR="009912F8" w:rsidRPr="00E07C9A" w:rsidRDefault="00595FAD" w:rsidP="00FF15C6">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Kreditná kvalita protistrán</w:t>
            </w:r>
          </w:p>
          <w:p w14:paraId="5A7F77C1" w14:textId="457CF848" w:rsidR="00595FAD" w:rsidRPr="00E07C9A" w:rsidRDefault="00595FAD" w:rsidP="00FF15C6">
            <w:pPr>
              <w:spacing w:before="60"/>
              <w:rPr>
                <w:rFonts w:ascii="Times New Roman" w:hAnsi="Times New Roman"/>
                <w:sz w:val="24"/>
              </w:rPr>
            </w:pPr>
            <w:r w:rsidRPr="00E07C9A">
              <w:rPr>
                <w:rFonts w:ascii="Times New Roman" w:hAnsi="Times New Roman"/>
                <w:sz w:val="24"/>
              </w:rPr>
              <w:t>Zmeny hodnôt rizikovo vážených expozícií (kladné alebo záporné)</w:t>
            </w:r>
            <w:r w:rsidR="009912F8" w:rsidRPr="00E07C9A">
              <w:rPr>
                <w:rFonts w:ascii="Times New Roman" w:hAnsi="Times New Roman"/>
                <w:sz w:val="24"/>
              </w:rPr>
              <w:t xml:space="preserve"> z </w:t>
            </w:r>
            <w:r w:rsidRPr="00E07C9A">
              <w:rPr>
                <w:rFonts w:ascii="Times New Roman" w:hAnsi="Times New Roman"/>
                <w:sz w:val="24"/>
              </w:rPr>
              <w:t>dôvodu zmien</w:t>
            </w:r>
            <w:r w:rsidR="009912F8" w:rsidRPr="00E07C9A">
              <w:rPr>
                <w:rFonts w:ascii="Times New Roman" w:hAnsi="Times New Roman"/>
                <w:sz w:val="24"/>
              </w:rPr>
              <w:t xml:space="preserve"> v </w:t>
            </w:r>
            <w:r w:rsidRPr="00E07C9A">
              <w:rPr>
                <w:rFonts w:ascii="Times New Roman" w:hAnsi="Times New Roman"/>
                <w:sz w:val="24"/>
              </w:rPr>
              <w:t>hodnotenej kvalite protistrán inštitúcie, ktorá sa meria podľa rámca kreditného rizika, bez ohľadu na prístup, ktorý inštitúcia používa. Ak inštitúcia používa prístup IRB, tento riadok zahŕňa aj potenciálne zmeny hodnôt rizikovo vážených expozícií</w:t>
            </w:r>
            <w:r w:rsidR="009912F8" w:rsidRPr="00E07C9A">
              <w:rPr>
                <w:rFonts w:ascii="Times New Roman" w:hAnsi="Times New Roman"/>
                <w:sz w:val="24"/>
              </w:rPr>
              <w:t xml:space="preserve"> z </w:t>
            </w:r>
            <w:r w:rsidRPr="00E07C9A">
              <w:rPr>
                <w:rFonts w:ascii="Times New Roman" w:hAnsi="Times New Roman"/>
                <w:sz w:val="24"/>
              </w:rPr>
              <w:t>dôvodu modelov IRB.</w:t>
            </w:r>
          </w:p>
        </w:tc>
      </w:tr>
      <w:tr w:rsidR="00595FAD" w:rsidRPr="00E07C9A" w14:paraId="50A4EF05"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216B4135" w14:textId="77777777" w:rsidR="00595FAD" w:rsidRPr="00E07C9A" w:rsidRDefault="00595FAD" w:rsidP="00FF15C6">
            <w:pPr>
              <w:pStyle w:val="Applicationdirecte"/>
              <w:spacing w:before="0" w:after="0"/>
            </w:pPr>
            <w:r w:rsidRPr="00E07C9A">
              <w:t>0040</w:t>
            </w:r>
          </w:p>
        </w:tc>
        <w:tc>
          <w:tcPr>
            <w:tcW w:w="7655" w:type="dxa"/>
            <w:tcBorders>
              <w:top w:val="single" w:sz="4" w:space="0" w:color="auto"/>
              <w:left w:val="single" w:sz="4" w:space="0" w:color="auto"/>
              <w:bottom w:val="single" w:sz="4" w:space="0" w:color="auto"/>
              <w:right w:val="single" w:sz="4" w:space="0" w:color="auto"/>
            </w:tcBorders>
            <w:vAlign w:val="center"/>
          </w:tcPr>
          <w:p w14:paraId="2AB15477" w14:textId="77777777" w:rsidR="00595FAD" w:rsidRPr="00E07C9A" w:rsidRDefault="00595FAD" w:rsidP="00FF15C6">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Aktualizácie modelu (len IMM)</w:t>
            </w:r>
          </w:p>
          <w:p w14:paraId="70021445" w14:textId="70169758" w:rsidR="0014210E" w:rsidRPr="00E07C9A" w:rsidRDefault="00595FAD" w:rsidP="00FF15C6">
            <w:pPr>
              <w:spacing w:before="60"/>
              <w:rPr>
                <w:rFonts w:ascii="Times New Roman" w:hAnsi="Times New Roman"/>
                <w:sz w:val="24"/>
              </w:rPr>
            </w:pPr>
            <w:r w:rsidRPr="00E07C9A">
              <w:rPr>
                <w:rFonts w:ascii="Times New Roman" w:hAnsi="Times New Roman"/>
                <w:sz w:val="24"/>
              </w:rPr>
              <w:t>Zmeny hodnôt rizikovo vážených expozícií (kladné alebo záporné)</w:t>
            </w:r>
            <w:r w:rsidR="009912F8" w:rsidRPr="00E07C9A">
              <w:rPr>
                <w:rFonts w:ascii="Times New Roman" w:hAnsi="Times New Roman"/>
                <w:sz w:val="24"/>
              </w:rPr>
              <w:t xml:space="preserve"> z </w:t>
            </w:r>
            <w:r w:rsidRPr="00E07C9A">
              <w:rPr>
                <w:rFonts w:ascii="Times New Roman" w:hAnsi="Times New Roman"/>
                <w:sz w:val="24"/>
              </w:rPr>
              <w:t>dôvodu zavádzania modelu, zmien</w:t>
            </w:r>
            <w:r w:rsidR="009912F8" w:rsidRPr="00E07C9A">
              <w:rPr>
                <w:rFonts w:ascii="Times New Roman" w:hAnsi="Times New Roman"/>
                <w:sz w:val="24"/>
              </w:rPr>
              <w:t xml:space="preserve"> v </w:t>
            </w:r>
            <w:r w:rsidRPr="00E07C9A">
              <w:rPr>
                <w:rFonts w:ascii="Times New Roman" w:hAnsi="Times New Roman"/>
                <w:sz w:val="24"/>
              </w:rPr>
              <w:t>rozsahu modelu alebo akýchkoľvek zmien zameraných na riešenie nedostatkov modelu.</w:t>
            </w:r>
          </w:p>
          <w:p w14:paraId="1AD0A05E" w14:textId="2B54D90C" w:rsidR="00595FAD" w:rsidRPr="00E07C9A" w:rsidRDefault="00595FAD" w:rsidP="00FF15C6">
            <w:pPr>
              <w:spacing w:before="60"/>
              <w:rPr>
                <w:rFonts w:ascii="Times New Roman" w:hAnsi="Times New Roman"/>
                <w:sz w:val="24"/>
              </w:rPr>
            </w:pPr>
            <w:r w:rsidRPr="00E07C9A">
              <w:rPr>
                <w:rFonts w:ascii="Times New Roman" w:hAnsi="Times New Roman"/>
                <w:sz w:val="24"/>
              </w:rPr>
              <w:t>Tento riadok je určený len pre zmeny</w:t>
            </w:r>
            <w:r w:rsidR="009912F8" w:rsidRPr="00E07C9A">
              <w:rPr>
                <w:rFonts w:ascii="Times New Roman" w:hAnsi="Times New Roman"/>
                <w:sz w:val="24"/>
              </w:rPr>
              <w:t xml:space="preserve"> v </w:t>
            </w:r>
            <w:r w:rsidRPr="00E07C9A">
              <w:rPr>
                <w:rFonts w:ascii="Times New Roman" w:hAnsi="Times New Roman"/>
                <w:sz w:val="24"/>
              </w:rPr>
              <w:t>modeli IMM.</w:t>
            </w:r>
          </w:p>
        </w:tc>
      </w:tr>
      <w:tr w:rsidR="00595FAD" w:rsidRPr="00E07C9A" w14:paraId="3232FCE4"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272677C" w14:textId="77777777" w:rsidR="00595FAD" w:rsidRPr="00E07C9A" w:rsidRDefault="00595FAD" w:rsidP="00FF15C6">
            <w:pPr>
              <w:pStyle w:val="Applicationdirecte"/>
              <w:spacing w:before="0" w:after="0"/>
            </w:pPr>
            <w:r w:rsidRPr="00E07C9A">
              <w:t>0050</w:t>
            </w:r>
          </w:p>
        </w:tc>
        <w:tc>
          <w:tcPr>
            <w:tcW w:w="7655" w:type="dxa"/>
            <w:tcBorders>
              <w:top w:val="single" w:sz="4" w:space="0" w:color="auto"/>
              <w:left w:val="single" w:sz="4" w:space="0" w:color="auto"/>
              <w:bottom w:val="single" w:sz="4" w:space="0" w:color="auto"/>
              <w:right w:val="single" w:sz="4" w:space="0" w:color="auto"/>
            </w:tcBorders>
            <w:vAlign w:val="center"/>
          </w:tcPr>
          <w:p w14:paraId="59F8E3A0" w14:textId="21769FC3" w:rsidR="00595FAD" w:rsidRPr="00E07C9A" w:rsidRDefault="00595FAD" w:rsidP="00FF15C6">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Metodika</w:t>
            </w:r>
            <w:r w:rsidR="009912F8" w:rsidRPr="00E07C9A">
              <w:rPr>
                <w:rStyle w:val="InstructionsTabelleberschrift"/>
                <w:rFonts w:ascii="Times New Roman" w:hAnsi="Times New Roman"/>
                <w:sz w:val="24"/>
              </w:rPr>
              <w:t xml:space="preserve"> a </w:t>
            </w:r>
            <w:r w:rsidRPr="00E07C9A">
              <w:rPr>
                <w:rStyle w:val="InstructionsTabelleberschrift"/>
                <w:rFonts w:ascii="Times New Roman" w:hAnsi="Times New Roman"/>
                <w:sz w:val="24"/>
              </w:rPr>
              <w:t>politika (len IMM)</w:t>
            </w:r>
          </w:p>
          <w:p w14:paraId="3C415A53" w14:textId="2F924149" w:rsidR="00595FAD" w:rsidRPr="00E07C9A" w:rsidRDefault="00595FAD" w:rsidP="00FF15C6">
            <w:pPr>
              <w:spacing w:before="60"/>
              <w:rPr>
                <w:rFonts w:ascii="Times New Roman" w:hAnsi="Times New Roman"/>
                <w:sz w:val="24"/>
              </w:rPr>
            </w:pPr>
            <w:r w:rsidRPr="00E07C9A">
              <w:rPr>
                <w:rFonts w:ascii="Times New Roman" w:hAnsi="Times New Roman"/>
                <w:sz w:val="24"/>
              </w:rPr>
              <w:t>Zmeny hodnôt rizikovo vážených expozícií (kladné alebo záporné)</w:t>
            </w:r>
            <w:r w:rsidR="009912F8" w:rsidRPr="00E07C9A">
              <w:rPr>
                <w:rFonts w:ascii="Times New Roman" w:hAnsi="Times New Roman"/>
                <w:sz w:val="24"/>
              </w:rPr>
              <w:t xml:space="preserve"> z </w:t>
            </w:r>
            <w:r w:rsidRPr="00E07C9A">
              <w:rPr>
                <w:rFonts w:ascii="Times New Roman" w:hAnsi="Times New Roman"/>
                <w:sz w:val="24"/>
              </w:rPr>
              <w:t>dôvodu zmien</w:t>
            </w:r>
            <w:r w:rsidR="009912F8" w:rsidRPr="00E07C9A">
              <w:rPr>
                <w:rFonts w:ascii="Times New Roman" w:hAnsi="Times New Roman"/>
                <w:sz w:val="24"/>
              </w:rPr>
              <w:t xml:space="preserve"> v </w:t>
            </w:r>
            <w:r w:rsidRPr="00E07C9A">
              <w:rPr>
                <w:rFonts w:ascii="Times New Roman" w:hAnsi="Times New Roman"/>
                <w:sz w:val="24"/>
              </w:rPr>
              <w:t>metodike výpočtov, ktoré boli vyvolané zmenami regulačnej politiky, ako napríklad novými právnymi predpismi (len</w:t>
            </w:r>
            <w:r w:rsidR="009912F8" w:rsidRPr="00E07C9A">
              <w:rPr>
                <w:rFonts w:ascii="Times New Roman" w:hAnsi="Times New Roman"/>
                <w:sz w:val="24"/>
              </w:rPr>
              <w:t xml:space="preserve"> v </w:t>
            </w:r>
            <w:r w:rsidRPr="00E07C9A">
              <w:rPr>
                <w:rFonts w:ascii="Times New Roman" w:hAnsi="Times New Roman"/>
                <w:sz w:val="24"/>
              </w:rPr>
              <w:t>modeli IMM)</w:t>
            </w:r>
          </w:p>
        </w:tc>
      </w:tr>
      <w:tr w:rsidR="00595FAD" w:rsidRPr="00E07C9A" w14:paraId="3DA1537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91C8F64" w14:textId="77777777" w:rsidR="00595FAD" w:rsidRPr="00E07C9A" w:rsidRDefault="00595FAD" w:rsidP="00FF15C6">
            <w:pPr>
              <w:pStyle w:val="Applicationdirecte"/>
              <w:spacing w:before="0" w:after="0"/>
            </w:pPr>
            <w:r w:rsidRPr="00E07C9A">
              <w:t>0060</w:t>
            </w:r>
          </w:p>
        </w:tc>
        <w:tc>
          <w:tcPr>
            <w:tcW w:w="7655" w:type="dxa"/>
            <w:tcBorders>
              <w:top w:val="single" w:sz="4" w:space="0" w:color="auto"/>
              <w:left w:val="single" w:sz="4" w:space="0" w:color="auto"/>
              <w:bottom w:val="single" w:sz="4" w:space="0" w:color="auto"/>
              <w:right w:val="single" w:sz="4" w:space="0" w:color="auto"/>
            </w:tcBorders>
            <w:vAlign w:val="center"/>
          </w:tcPr>
          <w:p w14:paraId="07B5E3FF" w14:textId="320BCC9C" w:rsidR="00595FAD" w:rsidRPr="00E07C9A" w:rsidRDefault="00595FAD" w:rsidP="00FF15C6">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Nadobudnutia</w:t>
            </w:r>
            <w:r w:rsidR="009912F8" w:rsidRPr="00E07C9A">
              <w:rPr>
                <w:rStyle w:val="InstructionsTabelleberschrift"/>
                <w:rFonts w:ascii="Times New Roman" w:hAnsi="Times New Roman"/>
                <w:sz w:val="24"/>
              </w:rPr>
              <w:t xml:space="preserve"> a </w:t>
            </w:r>
            <w:r w:rsidRPr="00E07C9A">
              <w:rPr>
                <w:rStyle w:val="InstructionsTabelleberschrift"/>
                <w:rFonts w:ascii="Times New Roman" w:hAnsi="Times New Roman"/>
                <w:sz w:val="24"/>
              </w:rPr>
              <w:t>odpredaje</w:t>
            </w:r>
          </w:p>
          <w:p w14:paraId="67F859FE" w14:textId="0A520D75" w:rsidR="00595FAD" w:rsidRPr="00E07C9A" w:rsidRDefault="00595FAD" w:rsidP="00FF15C6">
            <w:pPr>
              <w:spacing w:before="60"/>
              <w:rPr>
                <w:rFonts w:ascii="Times New Roman" w:hAnsi="Times New Roman"/>
                <w:sz w:val="24"/>
              </w:rPr>
            </w:pPr>
            <w:r w:rsidRPr="00E07C9A">
              <w:rPr>
                <w:rFonts w:ascii="Times New Roman" w:hAnsi="Times New Roman"/>
                <w:sz w:val="24"/>
              </w:rPr>
              <w:t>Zmeny hodnôt rizikovo vážených expozícií (kladné alebo záporné)</w:t>
            </w:r>
            <w:r w:rsidR="009912F8" w:rsidRPr="00E07C9A">
              <w:rPr>
                <w:rFonts w:ascii="Times New Roman" w:hAnsi="Times New Roman"/>
                <w:sz w:val="24"/>
              </w:rPr>
              <w:t xml:space="preserve"> z </w:t>
            </w:r>
            <w:r w:rsidRPr="00E07C9A">
              <w:rPr>
                <w:rFonts w:ascii="Times New Roman" w:hAnsi="Times New Roman"/>
                <w:sz w:val="24"/>
              </w:rPr>
              <w:t>dôvodu zmien</w:t>
            </w:r>
            <w:r w:rsidR="009912F8" w:rsidRPr="00E07C9A">
              <w:rPr>
                <w:rFonts w:ascii="Times New Roman" w:hAnsi="Times New Roman"/>
                <w:sz w:val="24"/>
              </w:rPr>
              <w:t xml:space="preserve"> v </w:t>
            </w:r>
            <w:r w:rsidRPr="00E07C9A">
              <w:rPr>
                <w:rFonts w:ascii="Times New Roman" w:hAnsi="Times New Roman"/>
                <w:sz w:val="24"/>
              </w:rPr>
              <w:t>rozsahu kníh</w:t>
            </w:r>
            <w:r w:rsidR="009912F8" w:rsidRPr="00E07C9A">
              <w:rPr>
                <w:rFonts w:ascii="Times New Roman" w:hAnsi="Times New Roman"/>
                <w:sz w:val="24"/>
              </w:rPr>
              <w:t xml:space="preserve"> v </w:t>
            </w:r>
            <w:r w:rsidRPr="00E07C9A">
              <w:rPr>
                <w:rFonts w:ascii="Times New Roman" w:hAnsi="Times New Roman"/>
                <w:sz w:val="24"/>
              </w:rPr>
              <w:t>dôsledku nadobudnutí subjektov</w:t>
            </w:r>
            <w:r w:rsidR="009912F8" w:rsidRPr="00E07C9A">
              <w:rPr>
                <w:rFonts w:ascii="Times New Roman" w:hAnsi="Times New Roman"/>
                <w:sz w:val="24"/>
              </w:rPr>
              <w:t xml:space="preserve"> a </w:t>
            </w:r>
            <w:r w:rsidRPr="00E07C9A">
              <w:rPr>
                <w:rFonts w:ascii="Times New Roman" w:hAnsi="Times New Roman"/>
                <w:sz w:val="24"/>
              </w:rPr>
              <w:t>ich odpredaja.</w:t>
            </w:r>
          </w:p>
        </w:tc>
      </w:tr>
      <w:tr w:rsidR="00595FAD" w:rsidRPr="00E07C9A" w14:paraId="0665349D"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10CEA07" w14:textId="77777777" w:rsidR="00595FAD" w:rsidRPr="00E07C9A" w:rsidRDefault="00595FAD" w:rsidP="00FF15C6">
            <w:pPr>
              <w:pStyle w:val="Applicationdirecte"/>
              <w:spacing w:before="0" w:after="0"/>
            </w:pPr>
            <w:r w:rsidRPr="00E07C9A">
              <w:t>0070</w:t>
            </w:r>
          </w:p>
        </w:tc>
        <w:tc>
          <w:tcPr>
            <w:tcW w:w="7655" w:type="dxa"/>
            <w:tcBorders>
              <w:top w:val="single" w:sz="4" w:space="0" w:color="auto"/>
              <w:left w:val="single" w:sz="4" w:space="0" w:color="auto"/>
              <w:bottom w:val="single" w:sz="4" w:space="0" w:color="auto"/>
              <w:right w:val="single" w:sz="4" w:space="0" w:color="auto"/>
            </w:tcBorders>
            <w:vAlign w:val="center"/>
          </w:tcPr>
          <w:p w14:paraId="177B05E8" w14:textId="77777777" w:rsidR="00595FAD" w:rsidRPr="00E07C9A" w:rsidRDefault="00595FAD" w:rsidP="00FF15C6">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Pohyby výmenných kurzov</w:t>
            </w:r>
          </w:p>
          <w:p w14:paraId="659E5664" w14:textId="0D110C95" w:rsidR="00595FAD" w:rsidRPr="00E07C9A" w:rsidRDefault="00595FAD" w:rsidP="00FF15C6">
            <w:pPr>
              <w:spacing w:before="60"/>
              <w:rPr>
                <w:rFonts w:ascii="Times New Roman" w:hAnsi="Times New Roman"/>
                <w:sz w:val="24"/>
              </w:rPr>
            </w:pPr>
            <w:r w:rsidRPr="00E07C9A">
              <w:rPr>
                <w:rFonts w:ascii="Times New Roman" w:hAnsi="Times New Roman"/>
                <w:sz w:val="24"/>
              </w:rPr>
              <w:t>Zmeny hodnôt rizikovo vážených expozícií (kladné alebo záporné)</w:t>
            </w:r>
            <w:r w:rsidR="009912F8" w:rsidRPr="00E07C9A">
              <w:rPr>
                <w:rFonts w:ascii="Times New Roman" w:hAnsi="Times New Roman"/>
                <w:sz w:val="24"/>
              </w:rPr>
              <w:t xml:space="preserve"> z </w:t>
            </w:r>
            <w:r w:rsidRPr="00E07C9A">
              <w:rPr>
                <w:rFonts w:ascii="Times New Roman" w:hAnsi="Times New Roman"/>
                <w:sz w:val="24"/>
              </w:rPr>
              <w:t>dôvodu zmien vyplývajúcich</w:t>
            </w:r>
            <w:r w:rsidR="009912F8" w:rsidRPr="00E07C9A">
              <w:rPr>
                <w:rFonts w:ascii="Times New Roman" w:hAnsi="Times New Roman"/>
                <w:sz w:val="24"/>
              </w:rPr>
              <w:t xml:space="preserve"> z </w:t>
            </w:r>
            <w:r w:rsidRPr="00E07C9A">
              <w:rPr>
                <w:rFonts w:ascii="Times New Roman" w:hAnsi="Times New Roman"/>
                <w:sz w:val="24"/>
              </w:rPr>
              <w:t>pohybov</w:t>
            </w:r>
            <w:r w:rsidR="009912F8" w:rsidRPr="00E07C9A">
              <w:rPr>
                <w:rFonts w:ascii="Times New Roman" w:hAnsi="Times New Roman"/>
                <w:sz w:val="24"/>
              </w:rPr>
              <w:t xml:space="preserve"> v </w:t>
            </w:r>
            <w:r w:rsidRPr="00E07C9A">
              <w:rPr>
                <w:rFonts w:ascii="Times New Roman" w:hAnsi="Times New Roman"/>
                <w:sz w:val="24"/>
              </w:rPr>
              <w:t xml:space="preserve">prepočte cudzích mien. </w:t>
            </w:r>
          </w:p>
        </w:tc>
      </w:tr>
      <w:tr w:rsidR="00595FAD" w:rsidRPr="00E07C9A" w14:paraId="5CE91951"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3A02F4B" w14:textId="77777777" w:rsidR="00595FAD" w:rsidRPr="00E07C9A" w:rsidRDefault="00595FAD" w:rsidP="00FF15C6">
            <w:pPr>
              <w:pStyle w:val="Applicationdirecte"/>
              <w:spacing w:before="0" w:after="0"/>
            </w:pPr>
            <w:r w:rsidRPr="00E07C9A">
              <w:t>0080</w:t>
            </w:r>
          </w:p>
        </w:tc>
        <w:tc>
          <w:tcPr>
            <w:tcW w:w="7655" w:type="dxa"/>
            <w:tcBorders>
              <w:top w:val="single" w:sz="4" w:space="0" w:color="auto"/>
              <w:left w:val="single" w:sz="4" w:space="0" w:color="auto"/>
              <w:bottom w:val="single" w:sz="4" w:space="0" w:color="auto"/>
              <w:right w:val="single" w:sz="4" w:space="0" w:color="auto"/>
            </w:tcBorders>
            <w:vAlign w:val="center"/>
          </w:tcPr>
          <w:p w14:paraId="63433C4A" w14:textId="77777777" w:rsidR="00595FAD" w:rsidRPr="00E07C9A" w:rsidRDefault="00595FAD" w:rsidP="00FF15C6">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Iné</w:t>
            </w:r>
          </w:p>
          <w:p w14:paraId="256CE064" w14:textId="19E694C1" w:rsidR="00595FAD" w:rsidRPr="00E07C9A" w:rsidRDefault="00595FAD" w:rsidP="00C26C3A">
            <w:pPr>
              <w:spacing w:before="60"/>
              <w:rPr>
                <w:rFonts w:ascii="Times New Roman" w:hAnsi="Times New Roman"/>
                <w:sz w:val="24"/>
              </w:rPr>
            </w:pPr>
            <w:r w:rsidRPr="00E07C9A">
              <w:rPr>
                <w:rFonts w:ascii="Times New Roman" w:hAnsi="Times New Roman"/>
                <w:sz w:val="24"/>
              </w:rPr>
              <w:t>Táto kategória sa používa na zachytenie zmien hodnôt rizikovo vážených expozícií (kladných alebo záporných), ktoré nemožno priradiť</w:t>
            </w:r>
            <w:r w:rsidR="009912F8" w:rsidRPr="00E07C9A">
              <w:rPr>
                <w:rFonts w:ascii="Times New Roman" w:hAnsi="Times New Roman"/>
                <w:sz w:val="24"/>
              </w:rPr>
              <w:t xml:space="preserve"> k </w:t>
            </w:r>
            <w:r w:rsidRPr="00E07C9A">
              <w:rPr>
                <w:rFonts w:ascii="Times New Roman" w:hAnsi="Times New Roman"/>
                <w:sz w:val="24"/>
              </w:rPr>
              <w:t xml:space="preserve">uvedeným kategóriám. </w:t>
            </w:r>
          </w:p>
        </w:tc>
      </w:tr>
      <w:tr w:rsidR="00595FAD" w:rsidRPr="00E07C9A" w14:paraId="3A80EFB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57D3315" w14:textId="77777777" w:rsidR="00595FAD" w:rsidRPr="00E07C9A" w:rsidRDefault="00595FAD" w:rsidP="00FF15C6">
            <w:pPr>
              <w:pStyle w:val="Applicationdirecte"/>
              <w:spacing w:before="0" w:after="0"/>
            </w:pPr>
            <w:r w:rsidRPr="00E07C9A">
              <w:t>0090</w:t>
            </w:r>
          </w:p>
        </w:tc>
        <w:tc>
          <w:tcPr>
            <w:tcW w:w="7655" w:type="dxa"/>
            <w:tcBorders>
              <w:top w:val="single" w:sz="4" w:space="0" w:color="auto"/>
              <w:left w:val="single" w:sz="4" w:space="0" w:color="auto"/>
              <w:bottom w:val="single" w:sz="4" w:space="0" w:color="auto"/>
              <w:right w:val="single" w:sz="4" w:space="0" w:color="auto"/>
            </w:tcBorders>
            <w:vAlign w:val="center"/>
          </w:tcPr>
          <w:p w14:paraId="5F1D93BB" w14:textId="77777777" w:rsidR="00595FAD" w:rsidRPr="00E07C9A" w:rsidRDefault="00595FAD" w:rsidP="00FF15C6">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Hodnoty rizikovo vážených expozícií ku koncu bežného obdobia vykazovania</w:t>
            </w:r>
          </w:p>
          <w:p w14:paraId="0CB94461" w14:textId="77777777" w:rsidR="00595FAD" w:rsidRPr="00E07C9A" w:rsidRDefault="00595FAD" w:rsidP="00FF15C6">
            <w:pPr>
              <w:spacing w:before="60"/>
              <w:rPr>
                <w:rFonts w:ascii="Times New Roman" w:hAnsi="Times New Roman"/>
                <w:i/>
                <w:sz w:val="24"/>
              </w:rPr>
            </w:pPr>
            <w:r w:rsidRPr="00E07C9A">
              <w:rPr>
                <w:rFonts w:ascii="Times New Roman" w:hAnsi="Times New Roman"/>
                <w:sz w:val="24"/>
              </w:rPr>
              <w:t>Hodnoty rizikovo vážených expozícií pre expozície voči CCR podľa IMM ku koncu bežného obdobia vykazovania.</w:t>
            </w:r>
          </w:p>
        </w:tc>
      </w:tr>
    </w:tbl>
    <w:p w14:paraId="7F7A0FD4" w14:textId="77777777" w:rsidR="00FC6275" w:rsidRPr="00E07C9A" w:rsidRDefault="00FC6275">
      <w:pPr>
        <w:spacing w:before="0" w:after="0"/>
        <w:jc w:val="left"/>
        <w:rPr>
          <w:rStyle w:val="InstructionsTabelleText"/>
          <w:rFonts w:ascii="Times New Roman" w:hAnsi="Times New Roman"/>
          <w:b/>
          <w:sz w:val="24"/>
        </w:rPr>
      </w:pPr>
    </w:p>
    <w:p w14:paraId="08BE46FC" w14:textId="77777777" w:rsidR="00AC6255" w:rsidRPr="00E07C9A" w:rsidRDefault="00CE4C49" w:rsidP="0023700C">
      <w:pPr>
        <w:pStyle w:val="Instructionsberschrift2"/>
        <w:numPr>
          <w:ilvl w:val="0"/>
          <w:numId w:val="0"/>
        </w:numPr>
        <w:ind w:left="357" w:hanging="357"/>
        <w:rPr>
          <w:rFonts w:ascii="Times New Roman" w:hAnsi="Times New Roman" w:cs="Times New Roman"/>
          <w:sz w:val="24"/>
        </w:rPr>
      </w:pPr>
      <w:bookmarkStart w:id="510" w:name="_Toc260157222"/>
      <w:bookmarkStart w:id="511" w:name="_Toc262566416"/>
      <w:bookmarkStart w:id="512" w:name="_Toc295829987"/>
      <w:bookmarkStart w:id="513" w:name="_Toc310415049"/>
      <w:bookmarkStart w:id="514" w:name="_Toc360188384"/>
      <w:bookmarkStart w:id="515" w:name="_Toc473560935"/>
      <w:bookmarkStart w:id="516" w:name="_Toc115857863"/>
      <w:bookmarkStart w:id="517" w:name="_Toc260157223"/>
      <w:bookmarkStart w:id="518" w:name="_Toc262566417"/>
      <w:bookmarkStart w:id="519" w:name="_Toc264038462"/>
      <w:bookmarkStart w:id="520" w:name="_Toc295829988"/>
      <w:bookmarkStart w:id="521" w:name="_Toc310415050"/>
      <w:r w:rsidRPr="00E07C9A">
        <w:rPr>
          <w:rFonts w:ascii="Times New Roman" w:hAnsi="Times New Roman" w:cs="Times New Roman"/>
          <w:sz w:val="24"/>
        </w:rPr>
        <w:t>4.</w:t>
      </w:r>
      <w:r w:rsidRPr="00E07C9A">
        <w:rPr>
          <w:rFonts w:ascii="Times New Roman" w:hAnsi="Times New Roman" w:cs="Times New Roman"/>
        </w:rPr>
        <w:tab/>
      </w:r>
      <w:r w:rsidRPr="00E07C9A">
        <w:rPr>
          <w:rFonts w:ascii="Times New Roman" w:hAnsi="Times New Roman" w:cs="Times New Roman"/>
          <w:sz w:val="24"/>
        </w:rPr>
        <w:t>Vzory pre operačné riziko</w:t>
      </w:r>
      <w:bookmarkEnd w:id="510"/>
      <w:bookmarkEnd w:id="511"/>
      <w:bookmarkEnd w:id="512"/>
      <w:bookmarkEnd w:id="513"/>
      <w:bookmarkEnd w:id="514"/>
      <w:bookmarkEnd w:id="515"/>
      <w:bookmarkEnd w:id="516"/>
    </w:p>
    <w:p w14:paraId="06B5D48B" w14:textId="77777777" w:rsidR="00AC6255" w:rsidRPr="00E07C9A" w:rsidRDefault="00CE4C49" w:rsidP="0023700C">
      <w:pPr>
        <w:pStyle w:val="Instructionsberschrift2"/>
        <w:numPr>
          <w:ilvl w:val="0"/>
          <w:numId w:val="0"/>
        </w:numPr>
        <w:ind w:left="357" w:hanging="357"/>
        <w:rPr>
          <w:rFonts w:ascii="Times New Roman" w:hAnsi="Times New Roman" w:cs="Times New Roman"/>
          <w:sz w:val="24"/>
        </w:rPr>
      </w:pPr>
      <w:bookmarkStart w:id="522" w:name="_Toc360188385"/>
      <w:bookmarkStart w:id="523" w:name="_Toc473560936"/>
      <w:bookmarkStart w:id="524" w:name="_Toc115857864"/>
      <w:r w:rsidRPr="00E07C9A">
        <w:rPr>
          <w:rFonts w:ascii="Times New Roman" w:hAnsi="Times New Roman" w:cs="Times New Roman"/>
          <w:sz w:val="24"/>
        </w:rPr>
        <w:t>4.1.</w:t>
      </w:r>
      <w:r w:rsidRPr="00E07C9A">
        <w:rPr>
          <w:rFonts w:ascii="Times New Roman" w:hAnsi="Times New Roman" w:cs="Times New Roman"/>
        </w:rPr>
        <w:tab/>
      </w:r>
      <w:r w:rsidRPr="00E07C9A">
        <w:rPr>
          <w:rFonts w:ascii="Times New Roman" w:hAnsi="Times New Roman" w:cs="Times New Roman"/>
        </w:rPr>
        <w:tab/>
      </w:r>
      <w:r w:rsidRPr="00E07C9A">
        <w:rPr>
          <w:rFonts w:ascii="Times New Roman" w:hAnsi="Times New Roman" w:cs="Times New Roman"/>
          <w:sz w:val="24"/>
        </w:rPr>
        <w:t>C 16.00 – Operačné riziko</w:t>
      </w:r>
      <w:bookmarkEnd w:id="517"/>
      <w:bookmarkEnd w:id="518"/>
      <w:bookmarkEnd w:id="519"/>
      <w:bookmarkEnd w:id="520"/>
      <w:bookmarkEnd w:id="521"/>
      <w:bookmarkEnd w:id="522"/>
      <w:r w:rsidRPr="00E07C9A">
        <w:rPr>
          <w:rFonts w:ascii="Times New Roman" w:hAnsi="Times New Roman" w:cs="Times New Roman"/>
          <w:sz w:val="24"/>
        </w:rPr>
        <w:t xml:space="preserve"> (OPR)</w:t>
      </w:r>
      <w:bookmarkEnd w:id="523"/>
      <w:bookmarkEnd w:id="524"/>
    </w:p>
    <w:p w14:paraId="04222FC3" w14:textId="77777777" w:rsidR="009912F8" w:rsidRPr="00E07C9A" w:rsidRDefault="00CE4C49" w:rsidP="0023700C">
      <w:pPr>
        <w:pStyle w:val="Instructionsberschrift2"/>
        <w:numPr>
          <w:ilvl w:val="0"/>
          <w:numId w:val="0"/>
        </w:numPr>
        <w:ind w:left="357" w:hanging="357"/>
        <w:rPr>
          <w:rFonts w:ascii="Times New Roman" w:hAnsi="Times New Roman" w:cs="Times New Roman"/>
          <w:sz w:val="24"/>
          <w:u w:val="none"/>
        </w:rPr>
      </w:pPr>
      <w:bookmarkStart w:id="525" w:name="_Toc260157224"/>
      <w:bookmarkStart w:id="526" w:name="_Toc262566418"/>
      <w:bookmarkStart w:id="527" w:name="_Toc264038463"/>
      <w:bookmarkStart w:id="528" w:name="_Toc295829989"/>
      <w:bookmarkStart w:id="529" w:name="_Toc310415051"/>
      <w:bookmarkStart w:id="530" w:name="_Toc360188386"/>
      <w:bookmarkStart w:id="531" w:name="_Toc473560937"/>
      <w:bookmarkStart w:id="532" w:name="_Toc115857865"/>
      <w:r w:rsidRPr="00E07C9A">
        <w:rPr>
          <w:rFonts w:ascii="Times New Roman" w:hAnsi="Times New Roman" w:cs="Times New Roman"/>
          <w:sz w:val="24"/>
          <w:u w:val="none"/>
        </w:rPr>
        <w:t>4.1.1.</w:t>
      </w:r>
      <w:r w:rsidRPr="00E07C9A">
        <w:rPr>
          <w:rFonts w:ascii="Times New Roman" w:hAnsi="Times New Roman" w:cs="Times New Roman"/>
          <w:u w:val="none"/>
        </w:rPr>
        <w:tab/>
      </w:r>
      <w:r w:rsidRPr="00E07C9A">
        <w:rPr>
          <w:rFonts w:ascii="Times New Roman" w:hAnsi="Times New Roman" w:cs="Times New Roman"/>
          <w:sz w:val="24"/>
          <w:u w:val="none"/>
        </w:rPr>
        <w:t>Všeobecné</w:t>
      </w:r>
      <w:bookmarkEnd w:id="525"/>
      <w:r w:rsidRPr="00E07C9A">
        <w:rPr>
          <w:rFonts w:ascii="Times New Roman" w:hAnsi="Times New Roman" w:cs="Times New Roman"/>
          <w:sz w:val="24"/>
          <w:u w:val="none"/>
        </w:rPr>
        <w:t xml:space="preserve"> poznámky</w:t>
      </w:r>
      <w:bookmarkEnd w:id="526"/>
      <w:bookmarkEnd w:id="527"/>
      <w:bookmarkEnd w:id="528"/>
      <w:bookmarkEnd w:id="529"/>
      <w:bookmarkEnd w:id="530"/>
      <w:bookmarkEnd w:id="531"/>
      <w:bookmarkEnd w:id="532"/>
    </w:p>
    <w:p w14:paraId="1DB1CCA4" w14:textId="063D9B1B" w:rsidR="00AC6255" w:rsidRPr="00E07C9A" w:rsidRDefault="002A18DE" w:rsidP="00487A02">
      <w:pPr>
        <w:pStyle w:val="InstructionsText2"/>
        <w:numPr>
          <w:ilvl w:val="0"/>
          <w:numId w:val="0"/>
        </w:numPr>
        <w:ind w:left="1353" w:hanging="360"/>
      </w:pPr>
      <w:fldSimple w:instr=" seq paragraphs ">
        <w:r w:rsidR="00132AEE">
          <w:rPr>
            <w:noProof/>
          </w:rPr>
          <w:t>136</w:t>
        </w:r>
      </w:fldSimple>
      <w:r w:rsidR="00C3070C" w:rsidRPr="00E07C9A">
        <w:t>.</w:t>
      </w:r>
      <w:r w:rsidR="00C3070C" w:rsidRPr="00E07C9A">
        <w:tab/>
      </w:r>
      <w:r w:rsidR="009912F8" w:rsidRPr="00E07C9A">
        <w:t xml:space="preserve"> V </w:t>
      </w:r>
      <w:r w:rsidR="00C3070C" w:rsidRPr="00E07C9A">
        <w:t>tomto vzore sa uvádzajú informácie</w:t>
      </w:r>
      <w:r w:rsidR="009912F8" w:rsidRPr="00E07C9A">
        <w:t xml:space="preserve"> o </w:t>
      </w:r>
      <w:r w:rsidR="00C3070C" w:rsidRPr="00E07C9A">
        <w:t>výpočte požiadaviek na vlastné zdroje</w:t>
      </w:r>
      <w:r w:rsidR="009912F8" w:rsidRPr="00E07C9A">
        <w:t xml:space="preserve"> v </w:t>
      </w:r>
      <w:r w:rsidR="00C3070C" w:rsidRPr="00E07C9A">
        <w:t>súlade</w:t>
      </w:r>
      <w:r w:rsidR="009912F8" w:rsidRPr="00E07C9A">
        <w:t xml:space="preserve"> s </w:t>
      </w:r>
      <w:r w:rsidR="00C3070C" w:rsidRPr="00E07C9A">
        <w:t xml:space="preserve">článkami 312 až 324 nariadenia (EÚ) </w:t>
      </w:r>
      <w:r w:rsidR="009912F8" w:rsidRPr="00E07C9A">
        <w:t>č. 575/2013</w:t>
      </w:r>
      <w:r w:rsidR="00C3070C" w:rsidRPr="00E07C9A">
        <w:t xml:space="preserve"> pre operačné riziko</w:t>
      </w:r>
      <w:r w:rsidR="009912F8" w:rsidRPr="00E07C9A">
        <w:t xml:space="preserve"> v </w:t>
      </w:r>
      <w:r w:rsidR="00C3070C" w:rsidRPr="00E07C9A">
        <w:t>rámci prístupu základného ukazovateľa (BIA), štandardizovaného prístupu (TSA), alternatívneho štandardizovaného prístupu (ASA)</w:t>
      </w:r>
      <w:r w:rsidR="009912F8" w:rsidRPr="00E07C9A">
        <w:t xml:space="preserve"> a </w:t>
      </w:r>
      <w:r w:rsidR="00C3070C" w:rsidRPr="00E07C9A">
        <w:t>pokročilých prístupov merania (AMA). Inštitúcia nemôže</w:t>
      </w:r>
      <w:r w:rsidR="009912F8" w:rsidRPr="00E07C9A">
        <w:t xml:space="preserve"> v </w:t>
      </w:r>
      <w:r w:rsidR="00C3070C" w:rsidRPr="00E07C9A">
        <w:t>rovnakom čase na samostatnej úrovni používať TSA</w:t>
      </w:r>
      <w:r w:rsidR="009912F8" w:rsidRPr="00E07C9A">
        <w:t xml:space="preserve"> a </w:t>
      </w:r>
      <w:r w:rsidR="00C3070C" w:rsidRPr="00E07C9A">
        <w:t>ASA pre obchodné línie „retailové bankovníctvo“</w:t>
      </w:r>
      <w:r w:rsidR="009912F8" w:rsidRPr="00E07C9A">
        <w:t xml:space="preserve"> a </w:t>
      </w:r>
      <w:r w:rsidR="00C3070C" w:rsidRPr="00E07C9A">
        <w:t>„komerčné bankovníctvo“.</w:t>
      </w:r>
    </w:p>
    <w:p w14:paraId="06E9F95A" w14:textId="757CBF5C" w:rsidR="009912F8" w:rsidRPr="00E07C9A" w:rsidRDefault="002A18DE" w:rsidP="00487A02">
      <w:pPr>
        <w:pStyle w:val="InstructionsText2"/>
        <w:numPr>
          <w:ilvl w:val="0"/>
          <w:numId w:val="0"/>
        </w:numPr>
        <w:ind w:left="1353" w:hanging="360"/>
      </w:pPr>
      <w:fldSimple w:instr=" seq paragraphs ">
        <w:r w:rsidR="00132AEE">
          <w:rPr>
            <w:noProof/>
          </w:rPr>
          <w:t>137</w:t>
        </w:r>
      </w:fldSimple>
      <w:r w:rsidR="00C3070C" w:rsidRPr="00E07C9A">
        <w:t>. Inštitúcie, ktoré používajú prístupy BIA, TSA alebo ASA, vypočítavajú svoje požiadavky na vlastné zdroje na základe informácií ku koncu finančného roka. Keď nie sú dostupné údaje overené audítorom, inštitúcie môžu použiť obchodné odhady. Keď sa používajú údaje overené audítorom, inštitúcie vykazujú údaje overené audítorom, ktoré majú ostať nezmenené. Odchýlky od tejto zásady „nezmenenosti“ sú možné napríklad vtedy, keď počas daného obdobia nastanú výnimočné okolnosti, ako napríklad nedávne nadobudnutia alebo odpredaj subjektov alebo činností</w:t>
      </w:r>
      <w:r w:rsidR="009912F8" w:rsidRPr="00E07C9A">
        <w:t>.</w:t>
      </w:r>
    </w:p>
    <w:p w14:paraId="4B809D6B" w14:textId="4301B208" w:rsidR="00AC6255" w:rsidRPr="00E07C9A" w:rsidRDefault="002A18DE" w:rsidP="00487A02">
      <w:pPr>
        <w:pStyle w:val="InstructionsText2"/>
        <w:numPr>
          <w:ilvl w:val="0"/>
          <w:numId w:val="0"/>
        </w:numPr>
        <w:ind w:left="1353" w:hanging="360"/>
      </w:pPr>
      <w:fldSimple w:instr=" seq paragraphs ">
        <w:r w:rsidR="00132AEE">
          <w:rPr>
            <w:noProof/>
          </w:rPr>
          <w:t>138</w:t>
        </w:r>
      </w:fldSimple>
      <w:r w:rsidR="00C3070C" w:rsidRPr="00E07C9A">
        <w:t>.</w:t>
      </w:r>
      <w:r w:rsidR="00C3070C" w:rsidRPr="00E07C9A">
        <w:tab/>
        <w:t xml:space="preserve"> Keď inštitúcia vie príslušnému orgánu odôvodniť, že –</w:t>
      </w:r>
      <w:r w:rsidR="009912F8" w:rsidRPr="00E07C9A">
        <w:t xml:space="preserve"> z </w:t>
      </w:r>
      <w:r w:rsidR="00C3070C" w:rsidRPr="00E07C9A">
        <w:t>dôvodu výnimočných okolností, ako sú napríklad zlúčenie alebo predaj subjektov</w:t>
      </w:r>
      <w:r w:rsidR="009912F8" w:rsidRPr="00E07C9A">
        <w:t xml:space="preserve"> a </w:t>
      </w:r>
      <w:r w:rsidR="00C3070C" w:rsidRPr="00E07C9A">
        <w:t>činností – by použitie trojročného priemeru na výpočet príslušného ukazovateľa viedlo</w:t>
      </w:r>
      <w:r w:rsidR="009912F8" w:rsidRPr="00E07C9A">
        <w:t xml:space="preserve"> k </w:t>
      </w:r>
      <w:r w:rsidR="00C3070C" w:rsidRPr="00E07C9A">
        <w:t>zaujatému odhadu požiadavky na vlastné zdroje pre operačné riziko, príslušný orgán môže inštitúciám povoliť upraviť výpočet tak, aby sa takéto prípady zohľadnili. Príslušný orgán môže</w:t>
      </w:r>
      <w:r w:rsidR="009912F8" w:rsidRPr="00E07C9A">
        <w:t xml:space="preserve"> z </w:t>
      </w:r>
      <w:r w:rsidR="00C3070C" w:rsidRPr="00E07C9A">
        <w:t>vlastného podnetu od inštitúcie zároveň požadovať, aby upravila výpočet. Inštitúcia, ktorá funguje menej než tri roky, môže na výpočet príslušného ukazovateľa použiť výhľadové obchodné odhady za predpokladu, že historické údaje začne používať hneď, ako budú</w:t>
      </w:r>
      <w:r w:rsidR="009912F8" w:rsidRPr="00E07C9A">
        <w:t xml:space="preserve"> k </w:t>
      </w:r>
      <w:r w:rsidR="00C3070C" w:rsidRPr="00E07C9A">
        <w:t>dispozícii.</w:t>
      </w:r>
    </w:p>
    <w:p w14:paraId="2023E425" w14:textId="30E16284" w:rsidR="00AC6255" w:rsidRPr="00E07C9A" w:rsidRDefault="002A18DE" w:rsidP="00487A02">
      <w:pPr>
        <w:pStyle w:val="InstructionsText2"/>
        <w:numPr>
          <w:ilvl w:val="0"/>
          <w:numId w:val="0"/>
        </w:numPr>
        <w:ind w:left="1353" w:hanging="360"/>
      </w:pPr>
      <w:fldSimple w:instr=" seq paragraphs ">
        <w:r w:rsidR="00132AEE">
          <w:rPr>
            <w:noProof/>
          </w:rPr>
          <w:t>139</w:t>
        </w:r>
      </w:fldSimple>
      <w:r w:rsidR="00C3070C" w:rsidRPr="00E07C9A">
        <w:t>.</w:t>
      </w:r>
      <w:r w:rsidR="00C3070C" w:rsidRPr="00E07C9A">
        <w:tab/>
      </w:r>
      <w:r w:rsidR="009912F8" w:rsidRPr="00E07C9A">
        <w:t xml:space="preserve"> V </w:t>
      </w:r>
      <w:r w:rsidR="00C3070C" w:rsidRPr="00E07C9A">
        <w:t>tomto vzore sa</w:t>
      </w:r>
      <w:r w:rsidR="009912F8" w:rsidRPr="00E07C9A">
        <w:t xml:space="preserve"> v </w:t>
      </w:r>
      <w:r w:rsidR="00C3070C" w:rsidRPr="00E07C9A">
        <w:t>stĺpcoch uvádzajú informácie za posledné tri roky</w:t>
      </w:r>
      <w:r w:rsidR="009912F8" w:rsidRPr="00E07C9A">
        <w:t xml:space="preserve"> o </w:t>
      </w:r>
      <w:r w:rsidR="00C3070C" w:rsidRPr="00E07C9A">
        <w:t>výške relevantného ukazovateľa bankových činností, ktoré podliehajú operačnému riziku,</w:t>
      </w:r>
      <w:r w:rsidR="009912F8" w:rsidRPr="00E07C9A">
        <w:t xml:space="preserve"> a o </w:t>
      </w:r>
      <w:r w:rsidR="00C3070C" w:rsidRPr="00E07C9A">
        <w:t>výške úverov</w:t>
      </w:r>
      <w:r w:rsidR="009912F8" w:rsidRPr="00E07C9A">
        <w:t xml:space="preserve"> a </w:t>
      </w:r>
      <w:r w:rsidR="00C3070C" w:rsidRPr="00E07C9A">
        <w:t>preddavkov (preddavky sa uplatňujú len</w:t>
      </w:r>
      <w:r w:rsidR="009912F8" w:rsidRPr="00E07C9A">
        <w:t xml:space="preserve"> v </w:t>
      </w:r>
      <w:r w:rsidR="00C3070C" w:rsidRPr="00E07C9A">
        <w:t>prípade prístupu ASA). Ďalej sa vykazujú informácie</w:t>
      </w:r>
      <w:r w:rsidR="009912F8" w:rsidRPr="00E07C9A">
        <w:t xml:space="preserve"> o </w:t>
      </w:r>
      <w:r w:rsidR="00C3070C" w:rsidRPr="00E07C9A">
        <w:t>výške požiadavky na vlastné zdroje pre operačné riziko.</w:t>
      </w:r>
      <w:r w:rsidR="009912F8" w:rsidRPr="00E07C9A">
        <w:t xml:space="preserve"> V </w:t>
      </w:r>
      <w:r w:rsidR="00C3070C" w:rsidRPr="00E07C9A">
        <w:t>náležitých prípadoch sa musí podrobne uviesť, ktorá časť hodnoty prislúcha mechanizmu alokácie. Pokiaľ ide</w:t>
      </w:r>
      <w:r w:rsidR="009912F8" w:rsidRPr="00E07C9A">
        <w:t xml:space="preserve"> o </w:t>
      </w:r>
      <w:r w:rsidR="00C3070C" w:rsidRPr="00E07C9A">
        <w:t>prístup AMA, pridávajú sa doplňujúce položky na popísanie účinku očakávanej straty, diverzifikácie</w:t>
      </w:r>
      <w:r w:rsidR="009912F8" w:rsidRPr="00E07C9A">
        <w:t xml:space="preserve"> a </w:t>
      </w:r>
      <w:r w:rsidR="00C3070C" w:rsidRPr="00E07C9A">
        <w:t>postupov na zmierňovanie rizika na požiadavku na vlastné zdroje pre operačné riziko.</w:t>
      </w:r>
    </w:p>
    <w:p w14:paraId="1BF423DA" w14:textId="2FC06900" w:rsidR="00AC6255" w:rsidRPr="00E07C9A" w:rsidRDefault="002A18DE" w:rsidP="00487A02">
      <w:pPr>
        <w:pStyle w:val="InstructionsText2"/>
        <w:numPr>
          <w:ilvl w:val="0"/>
          <w:numId w:val="0"/>
        </w:numPr>
        <w:ind w:left="1353" w:hanging="360"/>
      </w:pPr>
      <w:fldSimple w:instr=" seq paragraphs ">
        <w:r w:rsidR="00132AEE">
          <w:rPr>
            <w:noProof/>
          </w:rPr>
          <w:t>140</w:t>
        </w:r>
      </w:fldSimple>
      <w:r w:rsidR="00C3070C" w:rsidRPr="00E07C9A">
        <w:t>.</w:t>
      </w:r>
      <w:r w:rsidR="00C3070C" w:rsidRPr="00E07C9A">
        <w:tab/>
      </w:r>
      <w:r w:rsidR="009912F8" w:rsidRPr="00E07C9A">
        <w:t xml:space="preserve"> V </w:t>
      </w:r>
      <w:r w:rsidR="00C3070C" w:rsidRPr="00E07C9A">
        <w:t>riadkoch sa uvádzajú informácie podľa postupov výpočtu požiadavky na vlastné zdroje pre operačné riziko so spresnením obchodných línií pre prístupy TSA</w:t>
      </w:r>
      <w:r w:rsidR="009912F8" w:rsidRPr="00E07C9A">
        <w:t xml:space="preserve"> a </w:t>
      </w:r>
      <w:r w:rsidR="00C3070C" w:rsidRPr="00E07C9A">
        <w:t>ASA.</w:t>
      </w:r>
    </w:p>
    <w:p w14:paraId="001035D2" w14:textId="3815C1C1" w:rsidR="00AC6255" w:rsidRPr="00E07C9A" w:rsidRDefault="002A18DE" w:rsidP="00487A02">
      <w:pPr>
        <w:pStyle w:val="InstructionsText2"/>
        <w:numPr>
          <w:ilvl w:val="0"/>
          <w:numId w:val="0"/>
        </w:numPr>
        <w:ind w:left="1353" w:hanging="360"/>
      </w:pPr>
      <w:fldSimple w:instr=" seq paragraphs ">
        <w:r w:rsidR="00132AEE">
          <w:rPr>
            <w:noProof/>
          </w:rPr>
          <w:t>141</w:t>
        </w:r>
      </w:fldSimple>
      <w:r w:rsidR="00C3070C" w:rsidRPr="00E07C9A">
        <w:t>.</w:t>
      </w:r>
      <w:r w:rsidR="00C3070C" w:rsidRPr="00E07C9A">
        <w:tab/>
        <w:t xml:space="preserve"> Tento vzor predkladajú všetky inštitúcie, na ktoré sa vzťahuje požiadavka na vlastné zdroje pre operačné riziko.</w:t>
      </w:r>
    </w:p>
    <w:p w14:paraId="08ED61AE" w14:textId="3E518ECC" w:rsidR="00AC6255" w:rsidRPr="00E07C9A" w:rsidRDefault="00125707" w:rsidP="0023700C">
      <w:pPr>
        <w:pStyle w:val="Instructionsberschrift2"/>
        <w:numPr>
          <w:ilvl w:val="0"/>
          <w:numId w:val="0"/>
        </w:numPr>
        <w:ind w:left="357" w:hanging="357"/>
        <w:rPr>
          <w:rFonts w:ascii="Times New Roman" w:hAnsi="Times New Roman" w:cs="Times New Roman"/>
          <w:sz w:val="24"/>
        </w:rPr>
      </w:pPr>
      <w:bookmarkStart w:id="533" w:name="_Toc260157225"/>
      <w:bookmarkStart w:id="534" w:name="_Toc262566419"/>
      <w:bookmarkStart w:id="535" w:name="_Toc264038464"/>
      <w:bookmarkStart w:id="536" w:name="_Toc295829990"/>
      <w:bookmarkStart w:id="537" w:name="_Toc310415052"/>
      <w:bookmarkStart w:id="538" w:name="_Toc360188387"/>
      <w:bookmarkStart w:id="539" w:name="_Toc473560938"/>
      <w:bookmarkStart w:id="540" w:name="_Toc115857866"/>
      <w:r w:rsidRPr="00E07C9A">
        <w:rPr>
          <w:rFonts w:ascii="Times New Roman" w:hAnsi="Times New Roman" w:cs="Times New Roman"/>
          <w:sz w:val="24"/>
          <w:u w:val="none"/>
        </w:rPr>
        <w:t>4.1.2.</w:t>
      </w:r>
      <w:r w:rsidRPr="00E07C9A">
        <w:rPr>
          <w:rFonts w:ascii="Times New Roman" w:hAnsi="Times New Roman" w:cs="Times New Roman"/>
          <w:u w:val="none"/>
        </w:rPr>
        <w:tab/>
      </w:r>
      <w:r w:rsidRPr="00E07C9A">
        <w:rPr>
          <w:rFonts w:ascii="Times New Roman" w:hAnsi="Times New Roman" w:cs="Times New Roman"/>
          <w:sz w:val="24"/>
        </w:rPr>
        <w:t>Pokyny týkajúce sa konkrétnych pozícií</w:t>
      </w:r>
      <w:bookmarkEnd w:id="533"/>
      <w:bookmarkEnd w:id="534"/>
      <w:bookmarkEnd w:id="535"/>
      <w:bookmarkEnd w:id="536"/>
      <w:bookmarkEnd w:id="537"/>
      <w:bookmarkEnd w:id="538"/>
      <w:bookmarkEnd w:id="539"/>
      <w:bookmarkEnd w:id="540"/>
    </w:p>
    <w:p w14:paraId="15C90005" w14:textId="77777777" w:rsidR="00AC6255" w:rsidRPr="00E07C9A" w:rsidRDefault="00AC6255" w:rsidP="00AC6255">
      <w:pPr>
        <w:autoSpaceDE w:val="0"/>
        <w:autoSpaceDN w:val="0"/>
        <w:adjustRightInd w:val="0"/>
        <w:spacing w:before="0" w:after="0"/>
        <w:rPr>
          <w:rFonts w:ascii="Times New Roman" w:hAnsi="Times New Roman"/>
          <w:sz w:val="24"/>
          <w:lang w:eastAsia="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E07C9A" w14:paraId="6F42FDD9" w14:textId="77777777" w:rsidTr="00672D2A">
        <w:trPr>
          <w:trHeight w:val="553"/>
        </w:trPr>
        <w:tc>
          <w:tcPr>
            <w:tcW w:w="8862" w:type="dxa"/>
            <w:gridSpan w:val="2"/>
            <w:shd w:val="clear" w:color="auto" w:fill="CCCCCC"/>
          </w:tcPr>
          <w:p w14:paraId="5B127C9A" w14:textId="77777777" w:rsidR="00AC6255" w:rsidRPr="00E07C9A" w:rsidRDefault="00AC6255" w:rsidP="000B0B09">
            <w:pPr>
              <w:autoSpaceDE w:val="0"/>
              <w:autoSpaceDN w:val="0"/>
              <w:adjustRightInd w:val="0"/>
              <w:spacing w:after="0"/>
              <w:rPr>
                <w:rFonts w:ascii="Times New Roman" w:hAnsi="Times New Roman"/>
                <w:b/>
                <w:bCs/>
                <w:sz w:val="24"/>
              </w:rPr>
            </w:pPr>
            <w:r w:rsidRPr="00E07C9A">
              <w:rPr>
                <w:rFonts w:ascii="Times New Roman" w:hAnsi="Times New Roman"/>
                <w:b/>
                <w:sz w:val="24"/>
              </w:rPr>
              <w:t>Stĺpce</w:t>
            </w:r>
          </w:p>
        </w:tc>
      </w:tr>
      <w:tr w:rsidR="00AC6255" w:rsidRPr="00E07C9A" w14:paraId="4391E025" w14:textId="77777777" w:rsidTr="00672D2A">
        <w:tc>
          <w:tcPr>
            <w:tcW w:w="985" w:type="dxa"/>
          </w:tcPr>
          <w:p w14:paraId="781156A7" w14:textId="77777777" w:rsidR="00AC6255" w:rsidRPr="00E07C9A" w:rsidRDefault="00F20C33" w:rsidP="000F70EC">
            <w:pPr>
              <w:autoSpaceDE w:val="0"/>
              <w:autoSpaceDN w:val="0"/>
              <w:adjustRightInd w:val="0"/>
              <w:spacing w:before="0" w:after="0"/>
              <w:rPr>
                <w:rFonts w:ascii="Times New Roman" w:hAnsi="Times New Roman"/>
                <w:bCs/>
                <w:sz w:val="24"/>
              </w:rPr>
            </w:pPr>
            <w:r w:rsidRPr="00E07C9A">
              <w:rPr>
                <w:rFonts w:ascii="Times New Roman" w:hAnsi="Times New Roman"/>
                <w:sz w:val="24"/>
              </w:rPr>
              <w:t>0010 –⁠ 0030</w:t>
            </w:r>
          </w:p>
        </w:tc>
        <w:tc>
          <w:tcPr>
            <w:tcW w:w="7877" w:type="dxa"/>
          </w:tcPr>
          <w:p w14:paraId="4C36495E" w14:textId="77777777" w:rsidR="00AC6255" w:rsidRPr="00E07C9A" w:rsidRDefault="00AC6255" w:rsidP="000B0B09">
            <w:pPr>
              <w:autoSpaceDE w:val="0"/>
              <w:autoSpaceDN w:val="0"/>
              <w:adjustRightInd w:val="0"/>
              <w:spacing w:before="0" w:after="0"/>
              <w:jc w:val="left"/>
              <w:rPr>
                <w:rStyle w:val="InstructionsTabelleberschrift"/>
                <w:rFonts w:ascii="Times New Roman" w:hAnsi="Times New Roman"/>
                <w:sz w:val="24"/>
              </w:rPr>
            </w:pPr>
            <w:r w:rsidRPr="00E07C9A">
              <w:rPr>
                <w:rStyle w:val="InstructionsTabelleberschrift"/>
                <w:rFonts w:ascii="Times New Roman" w:hAnsi="Times New Roman"/>
                <w:sz w:val="24"/>
              </w:rPr>
              <w:t>PRÍSLUŠNÝ UKAZOVATEĽ</w:t>
            </w:r>
          </w:p>
          <w:p w14:paraId="59A968FF" w14:textId="77777777" w:rsidR="00AC6255" w:rsidRPr="00E07C9A" w:rsidRDefault="00AC6255" w:rsidP="000B0B09">
            <w:pPr>
              <w:autoSpaceDE w:val="0"/>
              <w:autoSpaceDN w:val="0"/>
              <w:adjustRightInd w:val="0"/>
              <w:spacing w:before="0" w:after="0"/>
              <w:jc w:val="left"/>
              <w:rPr>
                <w:rFonts w:ascii="Times New Roman" w:hAnsi="Times New Roman"/>
                <w:bCs/>
                <w:sz w:val="24"/>
                <w:lang w:eastAsia="nl-BE"/>
              </w:rPr>
            </w:pPr>
          </w:p>
          <w:p w14:paraId="532DF446" w14:textId="63C1C1CD" w:rsidR="00AC6255" w:rsidRPr="00E07C9A" w:rsidRDefault="00AC6255"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Inštitúcie, ktoré používajú príslušný ukazovateľ na výpočet požiadavky na vlastné zdroje pre operačné riziko (BIA, TSA</w:t>
            </w:r>
            <w:r w:rsidR="009912F8" w:rsidRPr="00E07C9A">
              <w:rPr>
                <w:rFonts w:ascii="Times New Roman" w:hAnsi="Times New Roman"/>
                <w:sz w:val="24"/>
              </w:rPr>
              <w:t xml:space="preserve"> a </w:t>
            </w:r>
            <w:r w:rsidRPr="00E07C9A">
              <w:rPr>
                <w:rFonts w:ascii="Times New Roman" w:hAnsi="Times New Roman"/>
                <w:sz w:val="24"/>
              </w:rPr>
              <w:t>ASA), tento príslušný ukazovateľ vykazujú za príslušné roky</w:t>
            </w:r>
            <w:r w:rsidR="009912F8" w:rsidRPr="00E07C9A">
              <w:rPr>
                <w:rFonts w:ascii="Times New Roman" w:hAnsi="Times New Roman"/>
                <w:sz w:val="24"/>
              </w:rPr>
              <w:t xml:space="preserve"> v </w:t>
            </w:r>
            <w:r w:rsidRPr="00E07C9A">
              <w:rPr>
                <w:rFonts w:ascii="Times New Roman" w:hAnsi="Times New Roman"/>
                <w:sz w:val="24"/>
              </w:rPr>
              <w:t>stĺpcoch 0010 až 0030.</w:t>
            </w:r>
            <w:r w:rsidR="009912F8" w:rsidRPr="00E07C9A">
              <w:rPr>
                <w:rFonts w:ascii="Times New Roman" w:hAnsi="Times New Roman"/>
                <w:sz w:val="24"/>
              </w:rPr>
              <w:t xml:space="preserve"> V </w:t>
            </w:r>
            <w:r w:rsidRPr="00E07C9A">
              <w:rPr>
                <w:rFonts w:ascii="Times New Roman" w:hAnsi="Times New Roman"/>
                <w:sz w:val="24"/>
              </w:rPr>
              <w:t xml:space="preserve">prípade kombinovaného použitia rôznych prístupov podľa článku 314 nariadenia (EÚ) </w:t>
            </w:r>
            <w:r w:rsidR="009912F8" w:rsidRPr="00E07C9A">
              <w:rPr>
                <w:rFonts w:ascii="Times New Roman" w:hAnsi="Times New Roman"/>
                <w:sz w:val="24"/>
              </w:rPr>
              <w:t>č. 575/2013</w:t>
            </w:r>
            <w:r w:rsidRPr="00E07C9A">
              <w:rPr>
                <w:rFonts w:ascii="Times New Roman" w:hAnsi="Times New Roman"/>
                <w:sz w:val="24"/>
              </w:rPr>
              <w:t xml:space="preserve"> inštitúcie zároveň navyše na informačné účely vykazujú príslušný ukazovateľ pre tie činnosti, na ktoré sa uplatňuje AMA. To isté platí pre všetky ostatné banky AMA.</w:t>
            </w:r>
          </w:p>
          <w:p w14:paraId="25010204" w14:textId="77777777" w:rsidR="00AC6255" w:rsidRPr="00E07C9A" w:rsidRDefault="00AC6255" w:rsidP="000B0B09">
            <w:pPr>
              <w:autoSpaceDE w:val="0"/>
              <w:autoSpaceDN w:val="0"/>
              <w:adjustRightInd w:val="0"/>
              <w:spacing w:before="0" w:after="0"/>
              <w:rPr>
                <w:rFonts w:ascii="Times New Roman" w:hAnsi="Times New Roman"/>
                <w:bCs/>
                <w:strike/>
                <w:sz w:val="24"/>
                <w:lang w:eastAsia="nl-BE"/>
              </w:rPr>
            </w:pPr>
          </w:p>
          <w:p w14:paraId="4B3FD820" w14:textId="5055D4CD" w:rsidR="009912F8" w:rsidRPr="00E07C9A" w:rsidRDefault="00AC6255"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 xml:space="preserve">Ďalej sa výraz „príslušný ukazovateľ“ vzťahuje na „súčet položiek“ na konci finančného roka podľa článku 316 tabuľky 1 bodu 1 nariadenia (EÚ) </w:t>
            </w:r>
            <w:r w:rsidR="009912F8" w:rsidRPr="00E07C9A">
              <w:rPr>
                <w:rFonts w:ascii="Times New Roman" w:hAnsi="Times New Roman"/>
                <w:sz w:val="24"/>
              </w:rPr>
              <w:t>č. 575/2013.</w:t>
            </w:r>
          </w:p>
          <w:p w14:paraId="33580136" w14:textId="590FB92D" w:rsidR="00AC6255" w:rsidRPr="00E07C9A" w:rsidRDefault="00AC6255" w:rsidP="000B0B09">
            <w:pPr>
              <w:autoSpaceDE w:val="0"/>
              <w:autoSpaceDN w:val="0"/>
              <w:adjustRightInd w:val="0"/>
              <w:spacing w:before="0" w:after="0"/>
              <w:rPr>
                <w:rFonts w:ascii="Times New Roman" w:hAnsi="Times New Roman"/>
                <w:sz w:val="24"/>
                <w:lang w:eastAsia="de-DE"/>
              </w:rPr>
            </w:pPr>
          </w:p>
          <w:p w14:paraId="52333E32" w14:textId="0B3C1411" w:rsidR="00AC6255" w:rsidRPr="00E07C9A" w:rsidRDefault="001C3443"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Ak má inštitúcia</w:t>
            </w:r>
            <w:r w:rsidR="009912F8" w:rsidRPr="00E07C9A">
              <w:rPr>
                <w:rFonts w:ascii="Times New Roman" w:hAnsi="Times New Roman"/>
                <w:sz w:val="24"/>
              </w:rPr>
              <w:t xml:space="preserve"> k </w:t>
            </w:r>
            <w:r w:rsidRPr="00E07C9A">
              <w:rPr>
                <w:rFonts w:ascii="Times New Roman" w:hAnsi="Times New Roman"/>
                <w:sz w:val="24"/>
              </w:rPr>
              <w:t>dispozícii údaje</w:t>
            </w:r>
            <w:r w:rsidR="009912F8" w:rsidRPr="00E07C9A">
              <w:rPr>
                <w:rFonts w:ascii="Times New Roman" w:hAnsi="Times New Roman"/>
                <w:sz w:val="24"/>
              </w:rPr>
              <w:t xml:space="preserve"> o </w:t>
            </w:r>
            <w:r w:rsidRPr="00E07C9A">
              <w:rPr>
                <w:rFonts w:ascii="Times New Roman" w:hAnsi="Times New Roman"/>
                <w:sz w:val="24"/>
              </w:rPr>
              <w:t>„príslušnom ukazovateli“ za obdobie kratšie než tri roky, dostupné historické údaje (údaje overené audítorom) sa podľa priority zaradia do príslušných stĺpcov vo vzore. Ak sú napríklad historické údaje</w:t>
            </w:r>
            <w:r w:rsidR="009912F8" w:rsidRPr="00E07C9A">
              <w:rPr>
                <w:rFonts w:ascii="Times New Roman" w:hAnsi="Times New Roman"/>
                <w:sz w:val="24"/>
              </w:rPr>
              <w:t xml:space="preserve"> k </w:t>
            </w:r>
            <w:r w:rsidRPr="00E07C9A">
              <w:rPr>
                <w:rFonts w:ascii="Times New Roman" w:hAnsi="Times New Roman"/>
                <w:sz w:val="24"/>
              </w:rPr>
              <w:t>dispozícii len za jeden rok, tieto údaje sa vykazujú</w:t>
            </w:r>
            <w:r w:rsidR="009912F8" w:rsidRPr="00E07C9A">
              <w:rPr>
                <w:rFonts w:ascii="Times New Roman" w:hAnsi="Times New Roman"/>
                <w:sz w:val="24"/>
              </w:rPr>
              <w:t xml:space="preserve"> v </w:t>
            </w:r>
            <w:r w:rsidRPr="00E07C9A">
              <w:rPr>
                <w:rFonts w:ascii="Times New Roman" w:hAnsi="Times New Roman"/>
                <w:sz w:val="24"/>
              </w:rPr>
              <w:t>stĺpci 0030. Ak sa to zdá vhodné, do stĺpca 0020 (odhad na nasledujúci rok)</w:t>
            </w:r>
            <w:r w:rsidR="009912F8" w:rsidRPr="00E07C9A">
              <w:rPr>
                <w:rFonts w:ascii="Times New Roman" w:hAnsi="Times New Roman"/>
                <w:sz w:val="24"/>
              </w:rPr>
              <w:t xml:space="preserve"> a </w:t>
            </w:r>
            <w:r w:rsidRPr="00E07C9A">
              <w:rPr>
                <w:rFonts w:ascii="Times New Roman" w:hAnsi="Times New Roman"/>
                <w:sz w:val="24"/>
              </w:rPr>
              <w:t>do stĺpca 0010 (odhad na rok +2) sa zahrnú výhľadové odhady.</w:t>
            </w:r>
          </w:p>
          <w:p w14:paraId="12E5EC3E" w14:textId="77777777" w:rsidR="00AC6255" w:rsidRPr="00E07C9A" w:rsidRDefault="00AC6255" w:rsidP="000B0B09">
            <w:pPr>
              <w:autoSpaceDE w:val="0"/>
              <w:autoSpaceDN w:val="0"/>
              <w:adjustRightInd w:val="0"/>
              <w:spacing w:before="0" w:after="0"/>
              <w:rPr>
                <w:rFonts w:ascii="Times New Roman" w:hAnsi="Times New Roman"/>
                <w:i/>
                <w:sz w:val="24"/>
              </w:rPr>
            </w:pPr>
          </w:p>
          <w:p w14:paraId="19A4C577" w14:textId="08378F7F" w:rsidR="00AC6255" w:rsidRPr="00E07C9A" w:rsidRDefault="00AC6255"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Ak navyše nie sú</w:t>
            </w:r>
            <w:r w:rsidR="009912F8" w:rsidRPr="00E07C9A">
              <w:rPr>
                <w:rFonts w:ascii="Times New Roman" w:hAnsi="Times New Roman"/>
                <w:sz w:val="24"/>
              </w:rPr>
              <w:t xml:space="preserve"> k </w:t>
            </w:r>
            <w:r w:rsidRPr="00E07C9A">
              <w:rPr>
                <w:rFonts w:ascii="Times New Roman" w:hAnsi="Times New Roman"/>
                <w:sz w:val="24"/>
              </w:rPr>
              <w:t>dispozícii žiadne údaje</w:t>
            </w:r>
            <w:r w:rsidR="009912F8" w:rsidRPr="00E07C9A">
              <w:rPr>
                <w:rFonts w:ascii="Times New Roman" w:hAnsi="Times New Roman"/>
                <w:sz w:val="24"/>
              </w:rPr>
              <w:t xml:space="preserve"> o </w:t>
            </w:r>
            <w:r w:rsidRPr="00E07C9A">
              <w:rPr>
                <w:rFonts w:ascii="Times New Roman" w:hAnsi="Times New Roman"/>
                <w:sz w:val="24"/>
              </w:rPr>
              <w:t>„príslušnom ukazovateli“, inštitúcia môže použiť výhľadové obchodné odhady.</w:t>
            </w:r>
          </w:p>
          <w:p w14:paraId="61382FE2" w14:textId="77777777" w:rsidR="00AC6255" w:rsidRPr="00E07C9A"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E07C9A" w14:paraId="6E5A5B69" w14:textId="77777777" w:rsidTr="00672D2A">
        <w:tc>
          <w:tcPr>
            <w:tcW w:w="985" w:type="dxa"/>
          </w:tcPr>
          <w:p w14:paraId="4E50CC9F" w14:textId="77777777" w:rsidR="00AC6255" w:rsidRPr="00E07C9A" w:rsidRDefault="00F20C33" w:rsidP="000F70EC">
            <w:pPr>
              <w:autoSpaceDE w:val="0"/>
              <w:autoSpaceDN w:val="0"/>
              <w:adjustRightInd w:val="0"/>
              <w:spacing w:before="0" w:after="0"/>
              <w:rPr>
                <w:rFonts w:ascii="Times New Roman" w:hAnsi="Times New Roman"/>
                <w:bCs/>
                <w:sz w:val="24"/>
              </w:rPr>
            </w:pPr>
            <w:r w:rsidRPr="00E07C9A">
              <w:rPr>
                <w:rFonts w:ascii="Times New Roman" w:hAnsi="Times New Roman"/>
                <w:sz w:val="24"/>
              </w:rPr>
              <w:t>0040 –⁠ 0060</w:t>
            </w:r>
          </w:p>
        </w:tc>
        <w:tc>
          <w:tcPr>
            <w:tcW w:w="7877" w:type="dxa"/>
          </w:tcPr>
          <w:p w14:paraId="0CC6E028" w14:textId="77777777" w:rsidR="00AC6255" w:rsidRPr="00E07C9A" w:rsidRDefault="00AC6255" w:rsidP="000B0B09">
            <w:pPr>
              <w:autoSpaceDE w:val="0"/>
              <w:autoSpaceDN w:val="0"/>
              <w:adjustRightInd w:val="0"/>
              <w:spacing w:before="0" w:after="0"/>
              <w:jc w:val="left"/>
              <w:rPr>
                <w:rStyle w:val="InstructionsTabelleberschrift"/>
                <w:rFonts w:ascii="Times New Roman" w:hAnsi="Times New Roman"/>
                <w:sz w:val="24"/>
              </w:rPr>
            </w:pPr>
            <w:r w:rsidRPr="00E07C9A">
              <w:rPr>
                <w:rStyle w:val="InstructionsTabelleberschrift"/>
                <w:rFonts w:ascii="Times New Roman" w:hAnsi="Times New Roman"/>
                <w:sz w:val="24"/>
              </w:rPr>
              <w:t>ÚVERY A PREDDAVKY (V PRÍPADE UPLATŇOVANIA PRÍSTUPU ASA)</w:t>
            </w:r>
          </w:p>
          <w:p w14:paraId="449223B1" w14:textId="77777777" w:rsidR="00AC6255" w:rsidRPr="00E07C9A" w:rsidRDefault="00AC6255" w:rsidP="000B0B09">
            <w:pPr>
              <w:autoSpaceDE w:val="0"/>
              <w:autoSpaceDN w:val="0"/>
              <w:adjustRightInd w:val="0"/>
              <w:spacing w:before="0" w:after="0"/>
              <w:jc w:val="left"/>
              <w:rPr>
                <w:rFonts w:ascii="Times New Roman" w:hAnsi="Times New Roman"/>
                <w:bCs/>
                <w:sz w:val="24"/>
                <w:lang w:eastAsia="nl-BE"/>
              </w:rPr>
            </w:pPr>
          </w:p>
          <w:p w14:paraId="70617B98" w14:textId="7E3324B5" w:rsidR="009912F8" w:rsidRPr="00E07C9A" w:rsidRDefault="00AC6255"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Tieto stĺpce sa používajú na vykázanie hodnôt úverov</w:t>
            </w:r>
            <w:r w:rsidR="009912F8" w:rsidRPr="00E07C9A">
              <w:rPr>
                <w:rFonts w:ascii="Times New Roman" w:hAnsi="Times New Roman"/>
                <w:sz w:val="24"/>
              </w:rPr>
              <w:t xml:space="preserve"> a </w:t>
            </w:r>
            <w:r w:rsidRPr="00E07C9A">
              <w:rPr>
                <w:rFonts w:ascii="Times New Roman" w:hAnsi="Times New Roman"/>
                <w:sz w:val="24"/>
              </w:rPr>
              <w:t>preddavkov, ako sa uvádza</w:t>
            </w:r>
            <w:r w:rsidR="009912F8" w:rsidRPr="00E07C9A">
              <w:rPr>
                <w:rFonts w:ascii="Times New Roman" w:hAnsi="Times New Roman"/>
                <w:sz w:val="24"/>
              </w:rPr>
              <w:t xml:space="preserve"> v </w:t>
            </w:r>
            <w:r w:rsidRPr="00E07C9A">
              <w:rPr>
                <w:rFonts w:ascii="Times New Roman" w:hAnsi="Times New Roman"/>
                <w:sz w:val="24"/>
              </w:rPr>
              <w:t xml:space="preserve">článku 319 ods. 1 písm. b) nariadenia (EÚ) </w:t>
            </w:r>
            <w:r w:rsidR="009912F8" w:rsidRPr="00E07C9A">
              <w:rPr>
                <w:rFonts w:ascii="Times New Roman" w:hAnsi="Times New Roman"/>
                <w:sz w:val="24"/>
              </w:rPr>
              <w:t>č. 575/2013</w:t>
            </w:r>
            <w:r w:rsidRPr="00E07C9A">
              <w:rPr>
                <w:rFonts w:ascii="Times New Roman" w:hAnsi="Times New Roman"/>
                <w:sz w:val="24"/>
              </w:rPr>
              <w:t>, pre obchodné línie „komerčné bankovníctvo“</w:t>
            </w:r>
            <w:r w:rsidR="009912F8" w:rsidRPr="00E07C9A">
              <w:rPr>
                <w:rFonts w:ascii="Times New Roman" w:hAnsi="Times New Roman"/>
                <w:sz w:val="24"/>
              </w:rPr>
              <w:t xml:space="preserve"> a </w:t>
            </w:r>
            <w:r w:rsidRPr="00E07C9A">
              <w:rPr>
                <w:rFonts w:ascii="Times New Roman" w:hAnsi="Times New Roman"/>
                <w:sz w:val="24"/>
              </w:rPr>
              <w:t>„retailové bankovníctvo“. Tieto hodnoty sa používajú na výpočet alternatívneho príslušného ukazovateľa, ktorý vedie</w:t>
            </w:r>
            <w:r w:rsidR="009912F8" w:rsidRPr="00E07C9A">
              <w:rPr>
                <w:rFonts w:ascii="Times New Roman" w:hAnsi="Times New Roman"/>
                <w:sz w:val="24"/>
              </w:rPr>
              <w:t xml:space="preserve"> k </w:t>
            </w:r>
            <w:r w:rsidRPr="00E07C9A">
              <w:rPr>
                <w:rFonts w:ascii="Times New Roman" w:hAnsi="Times New Roman"/>
                <w:sz w:val="24"/>
              </w:rPr>
              <w:t xml:space="preserve">požiadavkám na vlastné zdroje zodpovedajúcim činnostiam, na ktoré sa vzťahuje alternatívny štandardizovaný prístup [článok 319 ods. 1 písm. a) nariadenia (EÚ) </w:t>
            </w:r>
            <w:r w:rsidR="009912F8" w:rsidRPr="00E07C9A">
              <w:rPr>
                <w:rFonts w:ascii="Times New Roman" w:hAnsi="Times New Roman"/>
                <w:sz w:val="24"/>
              </w:rPr>
              <w:t>č. 575/2013</w:t>
            </w:r>
            <w:r w:rsidRPr="00E07C9A">
              <w:rPr>
                <w:rFonts w:ascii="Times New Roman" w:hAnsi="Times New Roman"/>
                <w:sz w:val="24"/>
              </w:rPr>
              <w:t>]</w:t>
            </w:r>
            <w:r w:rsidR="009912F8" w:rsidRPr="00E07C9A">
              <w:rPr>
                <w:rFonts w:ascii="Times New Roman" w:hAnsi="Times New Roman"/>
                <w:sz w:val="24"/>
              </w:rPr>
              <w:t>.</w:t>
            </w:r>
          </w:p>
          <w:p w14:paraId="2637C8A4" w14:textId="6B53293A" w:rsidR="00AC6255" w:rsidRPr="00E07C9A" w:rsidRDefault="00AC6255" w:rsidP="000B0B09">
            <w:pPr>
              <w:autoSpaceDE w:val="0"/>
              <w:autoSpaceDN w:val="0"/>
              <w:adjustRightInd w:val="0"/>
              <w:spacing w:before="0" w:after="0"/>
              <w:rPr>
                <w:rFonts w:ascii="Times New Roman" w:hAnsi="Times New Roman"/>
                <w:sz w:val="24"/>
              </w:rPr>
            </w:pPr>
          </w:p>
          <w:p w14:paraId="4519157E" w14:textId="5479A1CF" w:rsidR="00AC6255" w:rsidRPr="00E07C9A" w:rsidRDefault="00AC6255" w:rsidP="000B0B09">
            <w:pPr>
              <w:autoSpaceDE w:val="0"/>
              <w:autoSpaceDN w:val="0"/>
              <w:adjustRightInd w:val="0"/>
              <w:spacing w:before="0" w:after="0"/>
              <w:rPr>
                <w:rFonts w:ascii="Times New Roman" w:hAnsi="Times New Roman"/>
                <w:bCs/>
                <w:sz w:val="24"/>
              </w:rPr>
            </w:pPr>
            <w:r w:rsidRPr="00E07C9A">
              <w:rPr>
                <w:rFonts w:ascii="Times New Roman" w:hAnsi="Times New Roman"/>
                <w:sz w:val="24"/>
              </w:rPr>
              <w:t>V prípade obchodnej línie „komerčné bankovníctvo“ sa zahrnú aj cenné papiere vedené</w:t>
            </w:r>
            <w:r w:rsidR="009912F8" w:rsidRPr="00E07C9A">
              <w:rPr>
                <w:rFonts w:ascii="Times New Roman" w:hAnsi="Times New Roman"/>
                <w:sz w:val="24"/>
              </w:rPr>
              <w:t xml:space="preserve"> v </w:t>
            </w:r>
            <w:r w:rsidRPr="00E07C9A">
              <w:rPr>
                <w:rFonts w:ascii="Times New Roman" w:hAnsi="Times New Roman"/>
                <w:sz w:val="24"/>
              </w:rPr>
              <w:t>neobchodnej knihe.</w:t>
            </w:r>
          </w:p>
        </w:tc>
      </w:tr>
      <w:tr w:rsidR="00AC6255" w:rsidRPr="00E07C9A" w14:paraId="32F72FFF" w14:textId="77777777" w:rsidTr="00672D2A">
        <w:tc>
          <w:tcPr>
            <w:tcW w:w="985" w:type="dxa"/>
          </w:tcPr>
          <w:p w14:paraId="1B71C6C7" w14:textId="77777777" w:rsidR="00AC6255" w:rsidRPr="00E07C9A" w:rsidRDefault="00F20C33" w:rsidP="000B0B09">
            <w:pPr>
              <w:autoSpaceDE w:val="0"/>
              <w:autoSpaceDN w:val="0"/>
              <w:adjustRightInd w:val="0"/>
              <w:spacing w:before="0" w:after="0"/>
              <w:rPr>
                <w:rFonts w:ascii="Times New Roman" w:hAnsi="Times New Roman"/>
                <w:bCs/>
                <w:sz w:val="24"/>
              </w:rPr>
            </w:pPr>
            <w:r w:rsidRPr="00E07C9A">
              <w:rPr>
                <w:rFonts w:ascii="Times New Roman" w:hAnsi="Times New Roman"/>
                <w:sz w:val="24"/>
              </w:rPr>
              <w:t>0070</w:t>
            </w:r>
          </w:p>
        </w:tc>
        <w:tc>
          <w:tcPr>
            <w:tcW w:w="7877" w:type="dxa"/>
          </w:tcPr>
          <w:p w14:paraId="76E38F0A" w14:textId="77777777" w:rsidR="00AC6255" w:rsidRPr="00E07C9A" w:rsidRDefault="00AC6255" w:rsidP="000B0B09">
            <w:pPr>
              <w:autoSpaceDE w:val="0"/>
              <w:autoSpaceDN w:val="0"/>
              <w:adjustRightInd w:val="0"/>
              <w:spacing w:before="0" w:after="0"/>
              <w:jc w:val="left"/>
              <w:rPr>
                <w:rStyle w:val="InstructionsTabelleberschrift"/>
                <w:rFonts w:ascii="Times New Roman" w:hAnsi="Times New Roman"/>
                <w:sz w:val="24"/>
              </w:rPr>
            </w:pPr>
            <w:r w:rsidRPr="00E07C9A">
              <w:rPr>
                <w:rStyle w:val="InstructionsTabelleberschrift"/>
                <w:rFonts w:ascii="Times New Roman" w:hAnsi="Times New Roman"/>
                <w:sz w:val="24"/>
              </w:rPr>
              <w:t>POŽIADAVKA NA VLASTNÉ ZDROJE</w:t>
            </w:r>
          </w:p>
          <w:p w14:paraId="12F36F2B" w14:textId="77777777" w:rsidR="00AC6255" w:rsidRPr="00E07C9A" w:rsidRDefault="00AC6255" w:rsidP="000B0B09">
            <w:pPr>
              <w:autoSpaceDE w:val="0"/>
              <w:autoSpaceDN w:val="0"/>
              <w:adjustRightInd w:val="0"/>
              <w:spacing w:before="0" w:after="0"/>
              <w:jc w:val="left"/>
              <w:rPr>
                <w:rFonts w:ascii="Times New Roman" w:hAnsi="Times New Roman"/>
                <w:sz w:val="24"/>
                <w:lang w:eastAsia="de-DE"/>
              </w:rPr>
            </w:pPr>
          </w:p>
          <w:p w14:paraId="1FFC73E7" w14:textId="217BCB5B" w:rsidR="00AC6255" w:rsidRPr="00E07C9A" w:rsidRDefault="00AC6255" w:rsidP="00454CFC">
            <w:pPr>
              <w:autoSpaceDE w:val="0"/>
              <w:autoSpaceDN w:val="0"/>
              <w:adjustRightInd w:val="0"/>
              <w:spacing w:before="0" w:after="0"/>
              <w:jc w:val="left"/>
              <w:rPr>
                <w:rFonts w:ascii="Times New Roman" w:hAnsi="Times New Roman"/>
                <w:bCs/>
                <w:sz w:val="24"/>
              </w:rPr>
            </w:pPr>
            <w:r w:rsidRPr="00E07C9A">
              <w:rPr>
                <w:rFonts w:ascii="Times New Roman" w:hAnsi="Times New Roman"/>
                <w:sz w:val="24"/>
              </w:rPr>
              <w:t>Požiadavka na vlastné zdroje sa vypočítava</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použitými prístupmi</w:t>
            </w:r>
            <w:r w:rsidR="009912F8" w:rsidRPr="00E07C9A">
              <w:rPr>
                <w:rFonts w:ascii="Times New Roman" w:hAnsi="Times New Roman"/>
                <w:sz w:val="24"/>
              </w:rPr>
              <w:t xml:space="preserve"> a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článkami 312 až 324 nariadenia (EÚ) </w:t>
            </w:r>
            <w:r w:rsidR="009912F8" w:rsidRPr="00E07C9A">
              <w:rPr>
                <w:rFonts w:ascii="Times New Roman" w:hAnsi="Times New Roman"/>
                <w:sz w:val="24"/>
              </w:rPr>
              <w:t>č. 575/2013</w:t>
            </w:r>
            <w:r w:rsidRPr="00E07C9A">
              <w:rPr>
                <w:rFonts w:ascii="Times New Roman" w:hAnsi="Times New Roman"/>
                <w:sz w:val="24"/>
              </w:rPr>
              <w:t>. Výsledná hodnota sa vykazuje</w:t>
            </w:r>
            <w:r w:rsidR="009912F8" w:rsidRPr="00E07C9A">
              <w:rPr>
                <w:rFonts w:ascii="Times New Roman" w:hAnsi="Times New Roman"/>
                <w:sz w:val="24"/>
              </w:rPr>
              <w:t xml:space="preserve"> v </w:t>
            </w:r>
            <w:r w:rsidRPr="00E07C9A">
              <w:rPr>
                <w:rFonts w:ascii="Times New Roman" w:hAnsi="Times New Roman"/>
                <w:sz w:val="24"/>
              </w:rPr>
              <w:t>stĺpci 0070.</w:t>
            </w:r>
          </w:p>
        </w:tc>
      </w:tr>
      <w:tr w:rsidR="00AC6255" w:rsidRPr="00E07C9A" w14:paraId="51820A09" w14:textId="77777777" w:rsidTr="00672D2A">
        <w:tc>
          <w:tcPr>
            <w:tcW w:w="985" w:type="dxa"/>
          </w:tcPr>
          <w:p w14:paraId="4FF923A0" w14:textId="77777777" w:rsidR="00AC6255" w:rsidRPr="00E07C9A" w:rsidRDefault="00F20C33" w:rsidP="000B0B09">
            <w:pPr>
              <w:autoSpaceDE w:val="0"/>
              <w:autoSpaceDN w:val="0"/>
              <w:adjustRightInd w:val="0"/>
              <w:spacing w:before="0" w:after="0"/>
              <w:rPr>
                <w:rFonts w:ascii="Times New Roman" w:hAnsi="Times New Roman"/>
                <w:bCs/>
                <w:sz w:val="24"/>
              </w:rPr>
            </w:pPr>
            <w:r w:rsidRPr="00E07C9A">
              <w:rPr>
                <w:rFonts w:ascii="Times New Roman" w:hAnsi="Times New Roman"/>
                <w:sz w:val="24"/>
              </w:rPr>
              <w:t>0071</w:t>
            </w:r>
          </w:p>
        </w:tc>
        <w:tc>
          <w:tcPr>
            <w:tcW w:w="7877" w:type="dxa"/>
          </w:tcPr>
          <w:p w14:paraId="23D890BC" w14:textId="77777777" w:rsidR="00AC6255" w:rsidRPr="00E07C9A" w:rsidRDefault="00AC6255" w:rsidP="000B0B09">
            <w:pPr>
              <w:autoSpaceDE w:val="0"/>
              <w:autoSpaceDN w:val="0"/>
              <w:adjustRightInd w:val="0"/>
              <w:spacing w:before="0" w:after="0"/>
              <w:jc w:val="left"/>
              <w:rPr>
                <w:rStyle w:val="InstructionsTabelleberschrift"/>
                <w:rFonts w:ascii="Times New Roman" w:hAnsi="Times New Roman"/>
                <w:sz w:val="24"/>
              </w:rPr>
            </w:pPr>
            <w:r w:rsidRPr="00E07C9A">
              <w:rPr>
                <w:rStyle w:val="InstructionsTabelleberschrift"/>
                <w:rFonts w:ascii="Times New Roman" w:hAnsi="Times New Roman"/>
                <w:sz w:val="24"/>
              </w:rPr>
              <w:t>CELKOVÁ HODNOTA EXPOZÍCIE VOČI OPERAČNÉMU RIZIKU</w:t>
            </w:r>
          </w:p>
          <w:p w14:paraId="3F7B115F" w14:textId="0381B82D" w:rsidR="009912F8" w:rsidRPr="00E07C9A" w:rsidRDefault="00AC6255" w:rsidP="0002267E">
            <w:pPr>
              <w:rPr>
                <w:rFonts w:ascii="Times New Roman" w:hAnsi="Times New Roman"/>
              </w:rPr>
            </w:pPr>
            <w:r w:rsidRPr="00E07C9A">
              <w:rPr>
                <w:rFonts w:ascii="Times New Roman" w:hAnsi="Times New Roman"/>
                <w:sz w:val="24"/>
              </w:rPr>
              <w:t xml:space="preserve">Článok 92 ods. 4 nariadenia (EÚ) </w:t>
            </w:r>
            <w:r w:rsidR="009912F8" w:rsidRPr="00E07C9A">
              <w:rPr>
                <w:rFonts w:ascii="Times New Roman" w:hAnsi="Times New Roman"/>
                <w:sz w:val="24"/>
              </w:rPr>
              <w:t>č. 575/2013</w:t>
            </w:r>
          </w:p>
          <w:p w14:paraId="05E8DD64" w14:textId="2E8F0337" w:rsidR="00AC6255" w:rsidRPr="00E07C9A" w:rsidRDefault="00AC6255" w:rsidP="0002267E">
            <w:pPr>
              <w:rPr>
                <w:rStyle w:val="InstructionsTabelleberschrift"/>
                <w:rFonts w:ascii="Times New Roman" w:hAnsi="Times New Roman"/>
                <w:b w:val="0"/>
                <w:sz w:val="24"/>
              </w:rPr>
            </w:pPr>
            <w:r w:rsidRPr="00E07C9A">
              <w:rPr>
                <w:rFonts w:ascii="Times New Roman" w:hAnsi="Times New Roman"/>
                <w:sz w:val="24"/>
              </w:rPr>
              <w:t>Požiadavky na vlastné zdroje</w:t>
            </w:r>
            <w:r w:rsidR="009912F8" w:rsidRPr="00E07C9A">
              <w:rPr>
                <w:rFonts w:ascii="Times New Roman" w:hAnsi="Times New Roman"/>
                <w:sz w:val="24"/>
              </w:rPr>
              <w:t xml:space="preserve"> v </w:t>
            </w:r>
            <w:r w:rsidRPr="00E07C9A">
              <w:rPr>
                <w:rFonts w:ascii="Times New Roman" w:hAnsi="Times New Roman"/>
                <w:sz w:val="24"/>
              </w:rPr>
              <w:t>stĺpci 0070 vynásobené koeficientom 12,5.</w:t>
            </w:r>
          </w:p>
        </w:tc>
      </w:tr>
      <w:tr w:rsidR="00AC6255" w:rsidRPr="00E07C9A" w14:paraId="3B5657E3" w14:textId="77777777" w:rsidTr="00672D2A">
        <w:tc>
          <w:tcPr>
            <w:tcW w:w="985" w:type="dxa"/>
          </w:tcPr>
          <w:p w14:paraId="04C7EAC4" w14:textId="77777777" w:rsidR="00AC6255" w:rsidRPr="00E07C9A" w:rsidRDefault="00F20C33" w:rsidP="000B0B09">
            <w:pPr>
              <w:autoSpaceDE w:val="0"/>
              <w:autoSpaceDN w:val="0"/>
              <w:adjustRightInd w:val="0"/>
              <w:spacing w:before="0" w:after="0"/>
              <w:rPr>
                <w:rFonts w:ascii="Times New Roman" w:hAnsi="Times New Roman"/>
                <w:bCs/>
                <w:sz w:val="24"/>
              </w:rPr>
            </w:pPr>
            <w:r w:rsidRPr="00E07C9A">
              <w:rPr>
                <w:rFonts w:ascii="Times New Roman" w:hAnsi="Times New Roman"/>
                <w:sz w:val="24"/>
              </w:rPr>
              <w:t>0080</w:t>
            </w:r>
          </w:p>
        </w:tc>
        <w:tc>
          <w:tcPr>
            <w:tcW w:w="7877" w:type="dxa"/>
          </w:tcPr>
          <w:p w14:paraId="04861F79" w14:textId="77777777" w:rsidR="00AC6255" w:rsidRPr="00E07C9A" w:rsidRDefault="00AC6255" w:rsidP="000B0B09">
            <w:pPr>
              <w:autoSpaceDE w:val="0"/>
              <w:autoSpaceDN w:val="0"/>
              <w:adjustRightInd w:val="0"/>
              <w:spacing w:before="0" w:after="0"/>
              <w:jc w:val="left"/>
              <w:rPr>
                <w:rStyle w:val="InstructionsTabelleberschrift"/>
                <w:rFonts w:ascii="Times New Roman" w:hAnsi="Times New Roman"/>
                <w:sz w:val="24"/>
              </w:rPr>
            </w:pPr>
            <w:r w:rsidRPr="00E07C9A">
              <w:rPr>
                <w:rStyle w:val="InstructionsTabelleberschrift"/>
                <w:rFonts w:ascii="Times New Roman" w:hAnsi="Times New Roman"/>
                <w:sz w:val="24"/>
              </w:rPr>
              <w:t>Z ČOHO: PRISLÚCHAJÚCE MECHANIZMU ALOKÁCIE</w:t>
            </w:r>
          </w:p>
          <w:p w14:paraId="28721643" w14:textId="77777777" w:rsidR="00AC6255" w:rsidRPr="00E07C9A" w:rsidRDefault="00AC6255" w:rsidP="000B0B09">
            <w:pPr>
              <w:autoSpaceDE w:val="0"/>
              <w:autoSpaceDN w:val="0"/>
              <w:adjustRightInd w:val="0"/>
              <w:spacing w:before="0" w:after="0"/>
              <w:jc w:val="left"/>
              <w:rPr>
                <w:rFonts w:ascii="Times New Roman" w:hAnsi="Times New Roman"/>
                <w:bCs/>
                <w:sz w:val="24"/>
                <w:lang w:eastAsia="nl-BE"/>
              </w:rPr>
            </w:pPr>
          </w:p>
          <w:p w14:paraId="40B6D6B4" w14:textId="1EF3B503" w:rsidR="009912F8" w:rsidRPr="00E07C9A" w:rsidRDefault="003E7AEC" w:rsidP="000B0B09">
            <w:pPr>
              <w:jc w:val="left"/>
              <w:rPr>
                <w:rFonts w:ascii="Times New Roman" w:hAnsi="Times New Roman"/>
                <w:sz w:val="24"/>
              </w:rPr>
            </w:pPr>
            <w:r w:rsidRPr="00E07C9A">
              <w:rPr>
                <w:rFonts w:ascii="Times New Roman" w:hAnsi="Times New Roman"/>
                <w:sz w:val="24"/>
              </w:rPr>
              <w:t xml:space="preserve">Keď bolo povolenie na používanie prístupu AMA na konsolidovanej úrovni [článok 18 ods. 1 nariadenia (EÚ) </w:t>
            </w:r>
            <w:r w:rsidR="009912F8" w:rsidRPr="00E07C9A">
              <w:rPr>
                <w:rFonts w:ascii="Times New Roman" w:hAnsi="Times New Roman"/>
                <w:sz w:val="24"/>
              </w:rPr>
              <w:t>č. 575/2013</w:t>
            </w:r>
            <w:r w:rsidRPr="00E07C9A">
              <w:rPr>
                <w:rFonts w:ascii="Times New Roman" w:hAnsi="Times New Roman"/>
                <w:sz w:val="24"/>
              </w:rPr>
              <w:t>] udelené</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článkom 312 ods. 2 uvedeného nariadenia, kapitál na operačné riziko sa alokuje medzi jednotlivé subjekty skupiny na základe metodiky, ktorú uplatňujú inštitúcie pri zohľadňovaní účinkov diverzifikácie</w:t>
            </w:r>
            <w:r w:rsidR="009912F8" w:rsidRPr="00E07C9A">
              <w:rPr>
                <w:rFonts w:ascii="Times New Roman" w:hAnsi="Times New Roman"/>
                <w:sz w:val="24"/>
              </w:rPr>
              <w:t xml:space="preserve"> v </w:t>
            </w:r>
            <w:r w:rsidRPr="00E07C9A">
              <w:rPr>
                <w:rFonts w:ascii="Times New Roman" w:hAnsi="Times New Roman"/>
                <w:sz w:val="24"/>
              </w:rPr>
              <w:t>systéme oceňovania rizík, ktorý používa materská úverová inštitúcia</w:t>
            </w:r>
            <w:r w:rsidR="009912F8" w:rsidRPr="00E07C9A">
              <w:rPr>
                <w:rFonts w:ascii="Times New Roman" w:hAnsi="Times New Roman"/>
                <w:sz w:val="24"/>
              </w:rPr>
              <w:t xml:space="preserve"> v </w:t>
            </w:r>
            <w:r w:rsidRPr="00E07C9A">
              <w:rPr>
                <w:rFonts w:ascii="Times New Roman" w:hAnsi="Times New Roman"/>
                <w:sz w:val="24"/>
              </w:rPr>
              <w:t>EÚ</w:t>
            </w:r>
            <w:r w:rsidR="009912F8" w:rsidRPr="00E07C9A">
              <w:rPr>
                <w:rFonts w:ascii="Times New Roman" w:hAnsi="Times New Roman"/>
                <w:sz w:val="24"/>
              </w:rPr>
              <w:t xml:space="preserve"> a </w:t>
            </w:r>
            <w:r w:rsidRPr="00E07C9A">
              <w:rPr>
                <w:rFonts w:ascii="Times New Roman" w:hAnsi="Times New Roman"/>
                <w:sz w:val="24"/>
              </w:rPr>
              <w:t>jej dcérske spoločnosti alebo spoločne dcérske spoločnosti materskej finančnej holdingovej spoločnosti</w:t>
            </w:r>
            <w:r w:rsidR="009912F8" w:rsidRPr="00E07C9A">
              <w:rPr>
                <w:rFonts w:ascii="Times New Roman" w:hAnsi="Times New Roman"/>
                <w:sz w:val="24"/>
              </w:rPr>
              <w:t xml:space="preserve"> v </w:t>
            </w:r>
            <w:r w:rsidRPr="00E07C9A">
              <w:rPr>
                <w:rFonts w:ascii="Times New Roman" w:hAnsi="Times New Roman"/>
                <w:sz w:val="24"/>
              </w:rPr>
              <w:t>EÚ alebo materskej zmiešanej finančnej holdingovej spoločnosti</w:t>
            </w:r>
            <w:r w:rsidR="009912F8" w:rsidRPr="00E07C9A">
              <w:rPr>
                <w:rFonts w:ascii="Times New Roman" w:hAnsi="Times New Roman"/>
                <w:sz w:val="24"/>
              </w:rPr>
              <w:t xml:space="preserve"> v </w:t>
            </w:r>
            <w:r w:rsidRPr="00E07C9A">
              <w:rPr>
                <w:rFonts w:ascii="Times New Roman" w:hAnsi="Times New Roman"/>
                <w:sz w:val="24"/>
              </w:rPr>
              <w:t>EÚ. Výsledok tejto alokácie sa vykazuje</w:t>
            </w:r>
            <w:r w:rsidR="009912F8" w:rsidRPr="00E07C9A">
              <w:rPr>
                <w:rFonts w:ascii="Times New Roman" w:hAnsi="Times New Roman"/>
                <w:sz w:val="24"/>
              </w:rPr>
              <w:t xml:space="preserve"> v </w:t>
            </w:r>
            <w:r w:rsidRPr="00E07C9A">
              <w:rPr>
                <w:rFonts w:ascii="Times New Roman" w:hAnsi="Times New Roman"/>
                <w:sz w:val="24"/>
              </w:rPr>
              <w:t>tomto stĺpci</w:t>
            </w:r>
            <w:r w:rsidR="009912F8" w:rsidRPr="00E07C9A">
              <w:rPr>
                <w:rFonts w:ascii="Times New Roman" w:hAnsi="Times New Roman"/>
                <w:sz w:val="24"/>
              </w:rPr>
              <w:t>.</w:t>
            </w:r>
          </w:p>
          <w:p w14:paraId="3B4AB033" w14:textId="66CF7B37" w:rsidR="00AC6255" w:rsidRPr="00E07C9A"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E07C9A" w14:paraId="0722D6AF" w14:textId="77777777" w:rsidTr="00672D2A">
        <w:tc>
          <w:tcPr>
            <w:tcW w:w="985" w:type="dxa"/>
          </w:tcPr>
          <w:p w14:paraId="7A76849D" w14:textId="77777777" w:rsidR="00AC6255" w:rsidRPr="00E07C9A" w:rsidRDefault="00F20C33" w:rsidP="000F70EC">
            <w:pPr>
              <w:autoSpaceDE w:val="0"/>
              <w:autoSpaceDN w:val="0"/>
              <w:adjustRightInd w:val="0"/>
              <w:spacing w:before="0" w:after="0"/>
              <w:rPr>
                <w:rFonts w:ascii="Times New Roman" w:hAnsi="Times New Roman"/>
                <w:bCs/>
                <w:sz w:val="24"/>
              </w:rPr>
            </w:pPr>
            <w:r w:rsidRPr="00E07C9A">
              <w:rPr>
                <w:rFonts w:ascii="Times New Roman" w:hAnsi="Times New Roman"/>
                <w:sz w:val="24"/>
              </w:rPr>
              <w:t>0090 –⁠ 0120</w:t>
            </w:r>
          </w:p>
        </w:tc>
        <w:tc>
          <w:tcPr>
            <w:tcW w:w="7877" w:type="dxa"/>
          </w:tcPr>
          <w:p w14:paraId="2FCA837B" w14:textId="2FCC6130" w:rsidR="00AC6255" w:rsidRPr="00E07C9A" w:rsidRDefault="00AC6255" w:rsidP="000B0B09">
            <w:pPr>
              <w:autoSpaceDE w:val="0"/>
              <w:autoSpaceDN w:val="0"/>
              <w:adjustRightInd w:val="0"/>
              <w:spacing w:before="0" w:after="0"/>
              <w:jc w:val="left"/>
              <w:rPr>
                <w:rStyle w:val="InstructionsTabelleberschrift"/>
                <w:rFonts w:ascii="Times New Roman" w:hAnsi="Times New Roman"/>
                <w:sz w:val="24"/>
              </w:rPr>
            </w:pPr>
            <w:r w:rsidRPr="00E07C9A">
              <w:rPr>
                <w:rStyle w:val="InstructionsTabelleberschrift"/>
                <w:rFonts w:ascii="Times New Roman" w:hAnsi="Times New Roman"/>
                <w:sz w:val="24"/>
              </w:rPr>
              <w:t>DOPLŇUJÚCE POLOŽKY AMA, KTORÉ SA VYKAZUJÚ</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NÁLEŽITÝCH PRÍPADOCH</w:t>
            </w:r>
          </w:p>
        </w:tc>
      </w:tr>
      <w:tr w:rsidR="00AC6255" w:rsidRPr="00E07C9A" w14:paraId="60E52A1B" w14:textId="77777777" w:rsidTr="00672D2A">
        <w:tc>
          <w:tcPr>
            <w:tcW w:w="985" w:type="dxa"/>
          </w:tcPr>
          <w:p w14:paraId="5E92B89C" w14:textId="77777777" w:rsidR="00AC6255" w:rsidRPr="00E07C9A" w:rsidRDefault="00F20C33" w:rsidP="000B0B09">
            <w:pPr>
              <w:autoSpaceDE w:val="0"/>
              <w:autoSpaceDN w:val="0"/>
              <w:adjustRightInd w:val="0"/>
              <w:spacing w:before="0" w:after="0"/>
              <w:rPr>
                <w:rFonts w:ascii="Times New Roman" w:hAnsi="Times New Roman"/>
                <w:bCs/>
                <w:sz w:val="24"/>
              </w:rPr>
            </w:pPr>
            <w:r w:rsidRPr="00E07C9A">
              <w:rPr>
                <w:rFonts w:ascii="Times New Roman" w:hAnsi="Times New Roman"/>
                <w:sz w:val="24"/>
              </w:rPr>
              <w:t>0090</w:t>
            </w:r>
          </w:p>
        </w:tc>
        <w:tc>
          <w:tcPr>
            <w:tcW w:w="7877" w:type="dxa"/>
          </w:tcPr>
          <w:p w14:paraId="3DC12BFD" w14:textId="1FC1E178" w:rsidR="00AC6255" w:rsidRPr="00E07C9A" w:rsidRDefault="00AC6255" w:rsidP="000B0B09">
            <w:pPr>
              <w:autoSpaceDE w:val="0"/>
              <w:autoSpaceDN w:val="0"/>
              <w:adjustRightInd w:val="0"/>
              <w:spacing w:before="0" w:after="0"/>
              <w:jc w:val="left"/>
              <w:rPr>
                <w:rStyle w:val="InstructionsTabelleberschrift"/>
                <w:rFonts w:ascii="Times New Roman" w:hAnsi="Times New Roman"/>
                <w:sz w:val="24"/>
              </w:rPr>
            </w:pPr>
            <w:r w:rsidRPr="00E07C9A">
              <w:rPr>
                <w:rStyle w:val="InstructionsTabelleberschrift"/>
                <w:rFonts w:ascii="Times New Roman" w:hAnsi="Times New Roman"/>
                <w:sz w:val="24"/>
              </w:rPr>
              <w:t>POŽIADAVKY NA VLASTNÉ ZDROJE PRED ZMIERNENÍM</w:t>
            </w:r>
            <w:r w:rsidR="009912F8" w:rsidRPr="00E07C9A">
              <w:rPr>
                <w:rStyle w:val="InstructionsTabelleberschrift"/>
                <w:rFonts w:ascii="Times New Roman" w:hAnsi="Times New Roman"/>
                <w:sz w:val="24"/>
              </w:rPr>
              <w:t xml:space="preserve"> Z </w:t>
            </w:r>
            <w:r w:rsidRPr="00E07C9A">
              <w:rPr>
                <w:rStyle w:val="InstructionsTabelleberschrift"/>
                <w:rFonts w:ascii="Times New Roman" w:hAnsi="Times New Roman"/>
                <w:sz w:val="24"/>
              </w:rPr>
              <w:t>DÔVODU OČAKÁVANEJ STRATY, DIVERZIFIKÁCIE A POSTUPOV NA ZMIERŇOVANIE RIZIKA</w:t>
            </w:r>
          </w:p>
          <w:p w14:paraId="36C1514B" w14:textId="77777777" w:rsidR="00AC6255" w:rsidRPr="00E07C9A" w:rsidRDefault="00AC6255" w:rsidP="000B0B09">
            <w:pPr>
              <w:autoSpaceDE w:val="0"/>
              <w:autoSpaceDN w:val="0"/>
              <w:adjustRightInd w:val="0"/>
              <w:spacing w:before="0" w:after="0"/>
              <w:jc w:val="left"/>
              <w:rPr>
                <w:rFonts w:ascii="Times New Roman" w:hAnsi="Times New Roman"/>
                <w:bCs/>
                <w:sz w:val="24"/>
                <w:lang w:eastAsia="nl-BE"/>
              </w:rPr>
            </w:pPr>
          </w:p>
          <w:p w14:paraId="31586F8E" w14:textId="6C7C2759" w:rsidR="00AC6255" w:rsidRPr="00E07C9A" w:rsidRDefault="00AC6255"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Požiadavka na vlastné zdroje vykázaná</w:t>
            </w:r>
            <w:r w:rsidR="009912F8" w:rsidRPr="00E07C9A">
              <w:rPr>
                <w:rFonts w:ascii="Times New Roman" w:hAnsi="Times New Roman"/>
                <w:sz w:val="24"/>
              </w:rPr>
              <w:t xml:space="preserve"> v </w:t>
            </w:r>
            <w:r w:rsidRPr="00E07C9A">
              <w:rPr>
                <w:rFonts w:ascii="Times New Roman" w:hAnsi="Times New Roman"/>
                <w:sz w:val="24"/>
              </w:rPr>
              <w:t>stĺpci 090 je tá istá ako</w:t>
            </w:r>
            <w:r w:rsidR="009912F8" w:rsidRPr="00E07C9A">
              <w:rPr>
                <w:rFonts w:ascii="Times New Roman" w:hAnsi="Times New Roman"/>
                <w:sz w:val="24"/>
              </w:rPr>
              <w:t xml:space="preserve"> v </w:t>
            </w:r>
            <w:r w:rsidRPr="00E07C9A">
              <w:rPr>
                <w:rFonts w:ascii="Times New Roman" w:hAnsi="Times New Roman"/>
                <w:sz w:val="24"/>
              </w:rPr>
              <w:t>stĺpci 070, vypočítava sa však pred zohľadnením zmierňujúcich účinkov</w:t>
            </w:r>
            <w:r w:rsidR="009912F8" w:rsidRPr="00E07C9A">
              <w:rPr>
                <w:rFonts w:ascii="Times New Roman" w:hAnsi="Times New Roman"/>
                <w:sz w:val="24"/>
              </w:rPr>
              <w:t xml:space="preserve"> z </w:t>
            </w:r>
            <w:r w:rsidRPr="00E07C9A">
              <w:rPr>
                <w:rFonts w:ascii="Times New Roman" w:hAnsi="Times New Roman"/>
                <w:sz w:val="24"/>
              </w:rPr>
              <w:t>dôvodu očakávanej straty, diverzifikácie</w:t>
            </w:r>
            <w:r w:rsidR="009912F8" w:rsidRPr="00E07C9A">
              <w:rPr>
                <w:rFonts w:ascii="Times New Roman" w:hAnsi="Times New Roman"/>
                <w:sz w:val="24"/>
              </w:rPr>
              <w:t xml:space="preserve"> a </w:t>
            </w:r>
            <w:r w:rsidRPr="00E07C9A">
              <w:rPr>
                <w:rFonts w:ascii="Times New Roman" w:hAnsi="Times New Roman"/>
                <w:sz w:val="24"/>
              </w:rPr>
              <w:t>postupov na zmierňovanie rizika (pozri ďalej).</w:t>
            </w:r>
          </w:p>
          <w:p w14:paraId="28BC751A" w14:textId="77777777" w:rsidR="00AC6255" w:rsidRPr="00E07C9A"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E07C9A" w14:paraId="28635187" w14:textId="77777777" w:rsidTr="00672D2A">
        <w:tc>
          <w:tcPr>
            <w:tcW w:w="985" w:type="dxa"/>
          </w:tcPr>
          <w:p w14:paraId="528D2879" w14:textId="77777777" w:rsidR="00AC6255" w:rsidRPr="00E07C9A" w:rsidRDefault="00F20C33" w:rsidP="000B0B09">
            <w:pPr>
              <w:autoSpaceDE w:val="0"/>
              <w:autoSpaceDN w:val="0"/>
              <w:adjustRightInd w:val="0"/>
              <w:spacing w:before="0" w:after="0"/>
              <w:rPr>
                <w:rFonts w:ascii="Times New Roman" w:hAnsi="Times New Roman"/>
                <w:bCs/>
                <w:sz w:val="24"/>
              </w:rPr>
            </w:pPr>
            <w:r w:rsidRPr="00E07C9A">
              <w:rPr>
                <w:rFonts w:ascii="Times New Roman" w:hAnsi="Times New Roman"/>
                <w:sz w:val="24"/>
              </w:rPr>
              <w:t>0100</w:t>
            </w:r>
          </w:p>
        </w:tc>
        <w:tc>
          <w:tcPr>
            <w:tcW w:w="7877" w:type="dxa"/>
          </w:tcPr>
          <w:p w14:paraId="0C567B8F" w14:textId="7496FF6F" w:rsidR="00AC6255" w:rsidRPr="00E07C9A" w:rsidRDefault="00AC6255" w:rsidP="000B0B09">
            <w:pPr>
              <w:autoSpaceDE w:val="0"/>
              <w:autoSpaceDN w:val="0"/>
              <w:adjustRightInd w:val="0"/>
              <w:spacing w:before="0" w:after="0"/>
              <w:jc w:val="left"/>
              <w:rPr>
                <w:rStyle w:val="InstructionsTabelleberschrift"/>
                <w:rFonts w:ascii="Times New Roman" w:hAnsi="Times New Roman"/>
                <w:sz w:val="24"/>
              </w:rPr>
            </w:pPr>
            <w:r w:rsidRPr="00E07C9A">
              <w:rPr>
                <w:rStyle w:val="InstructionsTabelleberschrift"/>
                <w:rFonts w:ascii="Times New Roman" w:hAnsi="Times New Roman"/>
                <w:sz w:val="24"/>
              </w:rPr>
              <w:t>(–) ZMIERNENIE POŽIADAVIEK NA VLASTNÉ ZDROJE</w:t>
            </w:r>
            <w:r w:rsidR="009912F8" w:rsidRPr="00E07C9A">
              <w:rPr>
                <w:rStyle w:val="InstructionsTabelleberschrift"/>
                <w:rFonts w:ascii="Times New Roman" w:hAnsi="Times New Roman"/>
                <w:sz w:val="24"/>
              </w:rPr>
              <w:t xml:space="preserve"> Z </w:t>
            </w:r>
            <w:r w:rsidRPr="00E07C9A">
              <w:rPr>
                <w:rStyle w:val="InstructionsTabelleberschrift"/>
                <w:rFonts w:ascii="Times New Roman" w:hAnsi="Times New Roman"/>
                <w:sz w:val="24"/>
              </w:rPr>
              <w:t>DÔVODU OČAKÁVANEJ STRATY ZACHYTENEJ</w:t>
            </w:r>
            <w:r w:rsidR="009912F8" w:rsidRPr="00E07C9A">
              <w:rPr>
                <w:rStyle w:val="InstructionsTabelleberschrift"/>
                <w:rFonts w:ascii="Times New Roman" w:hAnsi="Times New Roman"/>
                <w:sz w:val="24"/>
              </w:rPr>
              <w:t xml:space="preserve"> V </w:t>
            </w:r>
            <w:r w:rsidRPr="00E07C9A">
              <w:rPr>
                <w:rStyle w:val="InstructionsTabelleberschrift"/>
                <w:rFonts w:ascii="Times New Roman" w:hAnsi="Times New Roman"/>
                <w:sz w:val="24"/>
              </w:rPr>
              <w:t>OBCHODNÝCH POSTUPOCH</w:t>
            </w:r>
          </w:p>
          <w:p w14:paraId="6CCEC901" w14:textId="77777777" w:rsidR="00AC6255" w:rsidRPr="00E07C9A" w:rsidRDefault="00AC6255" w:rsidP="000B0B09">
            <w:pPr>
              <w:autoSpaceDE w:val="0"/>
              <w:autoSpaceDN w:val="0"/>
              <w:adjustRightInd w:val="0"/>
              <w:spacing w:before="0" w:after="0"/>
              <w:jc w:val="left"/>
              <w:rPr>
                <w:rFonts w:ascii="Times New Roman" w:hAnsi="Times New Roman"/>
                <w:bCs/>
                <w:sz w:val="24"/>
                <w:lang w:eastAsia="nl-BE"/>
              </w:rPr>
            </w:pPr>
          </w:p>
          <w:p w14:paraId="54022412" w14:textId="294AC30C" w:rsidR="00AC6255" w:rsidRPr="00E07C9A" w:rsidRDefault="00AC6255"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V stĺpci 100 sa vykazuje zmiernenie požiadaviek na vlastné zdroje</w:t>
            </w:r>
            <w:r w:rsidR="009912F8" w:rsidRPr="00E07C9A">
              <w:rPr>
                <w:rFonts w:ascii="Times New Roman" w:hAnsi="Times New Roman"/>
                <w:sz w:val="24"/>
              </w:rPr>
              <w:t xml:space="preserve"> z </w:t>
            </w:r>
            <w:r w:rsidRPr="00E07C9A">
              <w:rPr>
                <w:rFonts w:ascii="Times New Roman" w:hAnsi="Times New Roman"/>
                <w:sz w:val="24"/>
              </w:rPr>
              <w:t>dôvodu očakávanej straty zachytenej</w:t>
            </w:r>
            <w:r w:rsidR="009912F8" w:rsidRPr="00E07C9A">
              <w:rPr>
                <w:rFonts w:ascii="Times New Roman" w:hAnsi="Times New Roman"/>
                <w:sz w:val="24"/>
              </w:rPr>
              <w:t xml:space="preserve"> v </w:t>
            </w:r>
            <w:r w:rsidRPr="00E07C9A">
              <w:rPr>
                <w:rFonts w:ascii="Times New Roman" w:hAnsi="Times New Roman"/>
                <w:sz w:val="24"/>
              </w:rPr>
              <w:t xml:space="preserve">interných obchodných postupoch [podľa článku 322 ods. 2 písm. a) nariadenia (EÚ) </w:t>
            </w:r>
            <w:r w:rsidR="009912F8" w:rsidRPr="00E07C9A">
              <w:rPr>
                <w:rFonts w:ascii="Times New Roman" w:hAnsi="Times New Roman"/>
                <w:sz w:val="24"/>
              </w:rPr>
              <w:t>č. 575/2013</w:t>
            </w:r>
            <w:r w:rsidRPr="00E07C9A">
              <w:rPr>
                <w:rFonts w:ascii="Times New Roman" w:hAnsi="Times New Roman"/>
                <w:sz w:val="24"/>
              </w:rPr>
              <w:t>].</w:t>
            </w:r>
          </w:p>
          <w:p w14:paraId="712EB85A" w14:textId="77777777" w:rsidR="00AC6255" w:rsidRPr="00E07C9A"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E07C9A" w14:paraId="214661E2" w14:textId="77777777" w:rsidTr="00672D2A">
        <w:tc>
          <w:tcPr>
            <w:tcW w:w="985" w:type="dxa"/>
          </w:tcPr>
          <w:p w14:paraId="053B7333" w14:textId="77777777" w:rsidR="00AC6255" w:rsidRPr="00E07C9A" w:rsidRDefault="00F20C33" w:rsidP="000B0B09">
            <w:pPr>
              <w:autoSpaceDE w:val="0"/>
              <w:autoSpaceDN w:val="0"/>
              <w:adjustRightInd w:val="0"/>
              <w:spacing w:before="0" w:after="0"/>
              <w:rPr>
                <w:rFonts w:ascii="Times New Roman" w:hAnsi="Times New Roman"/>
                <w:bCs/>
                <w:sz w:val="24"/>
              </w:rPr>
            </w:pPr>
            <w:r w:rsidRPr="00E07C9A">
              <w:rPr>
                <w:rFonts w:ascii="Times New Roman" w:hAnsi="Times New Roman"/>
                <w:sz w:val="24"/>
              </w:rPr>
              <w:t>0110</w:t>
            </w:r>
          </w:p>
        </w:tc>
        <w:tc>
          <w:tcPr>
            <w:tcW w:w="7877" w:type="dxa"/>
          </w:tcPr>
          <w:p w14:paraId="54BF261F" w14:textId="1CFC493F" w:rsidR="00AC6255" w:rsidRPr="00E07C9A" w:rsidRDefault="00AC6255" w:rsidP="000B0B09">
            <w:pPr>
              <w:autoSpaceDE w:val="0"/>
              <w:autoSpaceDN w:val="0"/>
              <w:adjustRightInd w:val="0"/>
              <w:spacing w:before="0" w:after="0"/>
              <w:jc w:val="left"/>
              <w:rPr>
                <w:rStyle w:val="InstructionsTabelleberschrift"/>
                <w:rFonts w:ascii="Times New Roman" w:hAnsi="Times New Roman"/>
                <w:sz w:val="24"/>
              </w:rPr>
            </w:pPr>
            <w:r w:rsidRPr="00E07C9A">
              <w:rPr>
                <w:rStyle w:val="InstructionsTabelleberschrift"/>
                <w:rFonts w:ascii="Times New Roman" w:hAnsi="Times New Roman"/>
                <w:sz w:val="24"/>
              </w:rPr>
              <w:t>(–) ZMIERNENIE POŽIADAVIEK NA VLASTNÉ ZDROJE</w:t>
            </w:r>
            <w:r w:rsidR="009912F8" w:rsidRPr="00E07C9A">
              <w:rPr>
                <w:rStyle w:val="InstructionsTabelleberschrift"/>
                <w:rFonts w:ascii="Times New Roman" w:hAnsi="Times New Roman"/>
                <w:sz w:val="24"/>
              </w:rPr>
              <w:t xml:space="preserve"> Z </w:t>
            </w:r>
            <w:r w:rsidRPr="00E07C9A">
              <w:rPr>
                <w:rStyle w:val="InstructionsTabelleberschrift"/>
                <w:rFonts w:ascii="Times New Roman" w:hAnsi="Times New Roman"/>
                <w:sz w:val="24"/>
              </w:rPr>
              <w:t>DÔVODU DIVERZIFIKÁCIE</w:t>
            </w:r>
          </w:p>
          <w:p w14:paraId="44264EC0" w14:textId="21850B25" w:rsidR="00AC6255" w:rsidRPr="00E07C9A" w:rsidRDefault="00AC6255" w:rsidP="000B0B09">
            <w:pPr>
              <w:rPr>
                <w:rFonts w:ascii="Times New Roman" w:hAnsi="Times New Roman"/>
                <w:sz w:val="24"/>
              </w:rPr>
            </w:pPr>
            <w:r w:rsidRPr="00E07C9A">
              <w:rPr>
                <w:rFonts w:ascii="Times New Roman" w:hAnsi="Times New Roman"/>
                <w:sz w:val="24"/>
              </w:rPr>
              <w:t>Účinok diverzifikácie vykazovaný</w:t>
            </w:r>
            <w:r w:rsidR="009912F8" w:rsidRPr="00E07C9A">
              <w:rPr>
                <w:rFonts w:ascii="Times New Roman" w:hAnsi="Times New Roman"/>
                <w:sz w:val="24"/>
              </w:rPr>
              <w:t xml:space="preserve"> v </w:t>
            </w:r>
            <w:r w:rsidRPr="00E07C9A">
              <w:rPr>
                <w:rFonts w:ascii="Times New Roman" w:hAnsi="Times New Roman"/>
                <w:sz w:val="24"/>
              </w:rPr>
              <w:t>tomto stĺpci sa vypočítava ako rozdiel medzi súčtom požiadaviek na vlastné zdroje vypočítaným osobitne pre každú triedu operačného rizika (t. j. situácia „dokonalej závislosti“)</w:t>
            </w:r>
            <w:r w:rsidR="009912F8" w:rsidRPr="00E07C9A">
              <w:rPr>
                <w:rFonts w:ascii="Times New Roman" w:hAnsi="Times New Roman"/>
                <w:sz w:val="24"/>
              </w:rPr>
              <w:t xml:space="preserve"> a </w:t>
            </w:r>
            <w:r w:rsidRPr="00E07C9A">
              <w:rPr>
                <w:rFonts w:ascii="Times New Roman" w:hAnsi="Times New Roman"/>
                <w:sz w:val="24"/>
              </w:rPr>
              <w:t>diverzifikovanou požiadavkou na vlastné zdroje vypočítanou pomocou zohľadnenia korelácií</w:t>
            </w:r>
            <w:r w:rsidR="009912F8" w:rsidRPr="00E07C9A">
              <w:rPr>
                <w:rFonts w:ascii="Times New Roman" w:hAnsi="Times New Roman"/>
                <w:sz w:val="24"/>
              </w:rPr>
              <w:t xml:space="preserve"> a </w:t>
            </w:r>
            <w:r w:rsidRPr="00E07C9A">
              <w:rPr>
                <w:rFonts w:ascii="Times New Roman" w:hAnsi="Times New Roman"/>
                <w:sz w:val="24"/>
              </w:rPr>
              <w:t>závislostí (t. j. pri predpoklade nie až takej „dokonalej závislosti“ medzi triedami rizík). Situácia „dokonalej závislosti“ nastane</w:t>
            </w:r>
            <w:r w:rsidR="009912F8" w:rsidRPr="00E07C9A">
              <w:rPr>
                <w:rFonts w:ascii="Times New Roman" w:hAnsi="Times New Roman"/>
                <w:sz w:val="24"/>
              </w:rPr>
              <w:t xml:space="preserve"> v </w:t>
            </w:r>
            <w:r w:rsidRPr="00E07C9A">
              <w:rPr>
                <w:rFonts w:ascii="Times New Roman" w:hAnsi="Times New Roman"/>
                <w:sz w:val="24"/>
              </w:rPr>
              <w:t>„stave zlyhania“, t. j. keď inštitúcia nepoužíva štruktúru explicitných korelácií medzi triedami rizík, takže kapitál AMA sa počíta ako súčet jednotlivých meraní operačného rizika vybraných tried rizík.</w:t>
            </w:r>
            <w:r w:rsidR="009912F8" w:rsidRPr="00E07C9A">
              <w:rPr>
                <w:rFonts w:ascii="Times New Roman" w:hAnsi="Times New Roman"/>
                <w:sz w:val="24"/>
              </w:rPr>
              <w:t xml:space="preserve"> V </w:t>
            </w:r>
            <w:r w:rsidRPr="00E07C9A">
              <w:rPr>
                <w:rFonts w:ascii="Times New Roman" w:hAnsi="Times New Roman"/>
                <w:sz w:val="24"/>
              </w:rPr>
              <w:t>tomto prípade sa predpokladá korelácia medzi triedami rizík vo výške 100</w:t>
            </w:r>
            <w:r w:rsidR="009912F8" w:rsidRPr="00E07C9A">
              <w:rPr>
                <w:rFonts w:ascii="Times New Roman" w:hAnsi="Times New Roman"/>
              </w:rPr>
              <w:t> %</w:t>
            </w:r>
            <w:r w:rsidR="009912F8" w:rsidRPr="00E07C9A">
              <w:rPr>
                <w:rFonts w:ascii="Times New Roman" w:hAnsi="Times New Roman"/>
                <w:sz w:val="24"/>
              </w:rPr>
              <w:t xml:space="preserve"> a </w:t>
            </w:r>
            <w:r w:rsidRPr="00E07C9A">
              <w:rPr>
                <w:rFonts w:ascii="Times New Roman" w:hAnsi="Times New Roman"/>
                <w:sz w:val="24"/>
              </w:rPr>
              <w:t>hodnota</w:t>
            </w:r>
            <w:r w:rsidR="009912F8" w:rsidRPr="00E07C9A">
              <w:rPr>
                <w:rFonts w:ascii="Times New Roman" w:hAnsi="Times New Roman"/>
                <w:sz w:val="24"/>
              </w:rPr>
              <w:t xml:space="preserve"> v </w:t>
            </w:r>
            <w:r w:rsidRPr="00E07C9A">
              <w:rPr>
                <w:rFonts w:ascii="Times New Roman" w:hAnsi="Times New Roman"/>
                <w:sz w:val="24"/>
              </w:rPr>
              <w:t>stĺpci sa musí nastaviť na nulu. Naopak, keď inštitúcia vypočítava štruktúru explicitných korelácií medzi triedami rizík, zahrnie do tohto stĺpca rozdiel medzi kapitálom AMA, ako keby pochádzal zo „stavu zlyhania“,</w:t>
            </w:r>
            <w:r w:rsidR="009912F8" w:rsidRPr="00E07C9A">
              <w:rPr>
                <w:rFonts w:ascii="Times New Roman" w:hAnsi="Times New Roman"/>
                <w:sz w:val="24"/>
              </w:rPr>
              <w:t xml:space="preserve"> a </w:t>
            </w:r>
            <w:r w:rsidRPr="00E07C9A">
              <w:rPr>
                <w:rFonts w:ascii="Times New Roman" w:hAnsi="Times New Roman"/>
                <w:sz w:val="24"/>
              </w:rPr>
              <w:t>kapitálom AMA získaným po uplatnení štruktúry korelácií medzi triedami rizík. Táto hodnota vyjadruje „schopnosť diverzifikácie“ modelu AMA, čo je schopnosť modelu zachytiť nesimultánny výskyt závažných prípadov strát</w:t>
            </w:r>
            <w:r w:rsidR="009912F8" w:rsidRPr="00E07C9A">
              <w:rPr>
                <w:rFonts w:ascii="Times New Roman" w:hAnsi="Times New Roman"/>
                <w:sz w:val="24"/>
              </w:rPr>
              <w:t xml:space="preserve"> z </w:t>
            </w:r>
            <w:r w:rsidRPr="00E07C9A">
              <w:rPr>
                <w:rFonts w:ascii="Times New Roman" w:hAnsi="Times New Roman"/>
                <w:sz w:val="24"/>
              </w:rPr>
              <w:t>operačného rizika.</w:t>
            </w:r>
            <w:r w:rsidR="009912F8" w:rsidRPr="00E07C9A">
              <w:rPr>
                <w:rFonts w:ascii="Times New Roman" w:hAnsi="Times New Roman"/>
                <w:sz w:val="24"/>
              </w:rPr>
              <w:t xml:space="preserve"> V </w:t>
            </w:r>
            <w:r w:rsidRPr="00E07C9A">
              <w:rPr>
                <w:rFonts w:ascii="Times New Roman" w:hAnsi="Times New Roman"/>
                <w:sz w:val="24"/>
              </w:rPr>
              <w:t>stĺpci 110 sa vykazuje hodnota,</w:t>
            </w:r>
            <w:r w:rsidR="009912F8" w:rsidRPr="00E07C9A">
              <w:rPr>
                <w:rFonts w:ascii="Times New Roman" w:hAnsi="Times New Roman"/>
                <w:sz w:val="24"/>
              </w:rPr>
              <w:t xml:space="preserve"> o </w:t>
            </w:r>
            <w:r w:rsidRPr="00E07C9A">
              <w:rPr>
                <w:rFonts w:ascii="Times New Roman" w:hAnsi="Times New Roman"/>
                <w:sz w:val="24"/>
              </w:rPr>
              <w:t>ktorú predpokladaná štruktúra korelácií znižuje kapitál AMA</w:t>
            </w:r>
            <w:r w:rsidR="009912F8" w:rsidRPr="00E07C9A">
              <w:rPr>
                <w:rFonts w:ascii="Times New Roman" w:hAnsi="Times New Roman"/>
                <w:sz w:val="24"/>
              </w:rPr>
              <w:t xml:space="preserve"> v </w:t>
            </w:r>
            <w:r w:rsidRPr="00E07C9A">
              <w:rPr>
                <w:rFonts w:ascii="Times New Roman" w:hAnsi="Times New Roman"/>
                <w:sz w:val="24"/>
              </w:rPr>
              <w:t>pomere</w:t>
            </w:r>
            <w:r w:rsidR="009912F8" w:rsidRPr="00E07C9A">
              <w:rPr>
                <w:rFonts w:ascii="Times New Roman" w:hAnsi="Times New Roman"/>
                <w:sz w:val="24"/>
              </w:rPr>
              <w:t xml:space="preserve"> k </w:t>
            </w:r>
            <w:r w:rsidRPr="00E07C9A">
              <w:rPr>
                <w:rFonts w:ascii="Times New Roman" w:hAnsi="Times New Roman"/>
                <w:sz w:val="24"/>
              </w:rPr>
              <w:t>predpokladanej korelácii vo výške 100</w:t>
            </w:r>
            <w:r w:rsidR="009912F8" w:rsidRPr="00E07C9A">
              <w:rPr>
                <w:rFonts w:ascii="Times New Roman" w:hAnsi="Times New Roman"/>
              </w:rPr>
              <w:t> %</w:t>
            </w:r>
            <w:r w:rsidRPr="00E07C9A">
              <w:rPr>
                <w:rFonts w:ascii="Times New Roman" w:hAnsi="Times New Roman"/>
                <w:sz w:val="24"/>
              </w:rPr>
              <w:t>.</w:t>
            </w:r>
          </w:p>
          <w:p w14:paraId="0CA7ED47" w14:textId="77777777" w:rsidR="00AC6255" w:rsidRPr="00E07C9A"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E07C9A" w14:paraId="2734F154" w14:textId="77777777" w:rsidTr="00672D2A">
        <w:tc>
          <w:tcPr>
            <w:tcW w:w="985" w:type="dxa"/>
          </w:tcPr>
          <w:p w14:paraId="2425F192" w14:textId="77777777" w:rsidR="00AC6255" w:rsidRPr="00E07C9A" w:rsidRDefault="00F20C33" w:rsidP="000B0B09">
            <w:pPr>
              <w:autoSpaceDE w:val="0"/>
              <w:autoSpaceDN w:val="0"/>
              <w:adjustRightInd w:val="0"/>
              <w:spacing w:before="0" w:after="0"/>
              <w:rPr>
                <w:rFonts w:ascii="Times New Roman" w:hAnsi="Times New Roman"/>
                <w:bCs/>
                <w:sz w:val="24"/>
              </w:rPr>
            </w:pPr>
            <w:r w:rsidRPr="00E07C9A">
              <w:rPr>
                <w:rFonts w:ascii="Times New Roman" w:hAnsi="Times New Roman"/>
                <w:sz w:val="24"/>
              </w:rPr>
              <w:t>0120</w:t>
            </w:r>
          </w:p>
        </w:tc>
        <w:tc>
          <w:tcPr>
            <w:tcW w:w="7877" w:type="dxa"/>
          </w:tcPr>
          <w:p w14:paraId="5EB1390A" w14:textId="37FC3500" w:rsidR="00AC6255" w:rsidRPr="00E07C9A" w:rsidRDefault="00AC6255" w:rsidP="000B0B09">
            <w:pPr>
              <w:autoSpaceDE w:val="0"/>
              <w:autoSpaceDN w:val="0"/>
              <w:adjustRightInd w:val="0"/>
              <w:spacing w:before="0" w:after="0"/>
              <w:jc w:val="left"/>
              <w:rPr>
                <w:rFonts w:ascii="Times New Roman" w:hAnsi="Times New Roman"/>
                <w:sz w:val="24"/>
              </w:rPr>
            </w:pPr>
            <w:r w:rsidRPr="00E07C9A">
              <w:rPr>
                <w:rStyle w:val="InstructionsTabelleberschrift"/>
                <w:rFonts w:ascii="Times New Roman" w:hAnsi="Times New Roman"/>
                <w:sz w:val="24"/>
              </w:rPr>
              <w:t>(–) ZMIERNENIE POŽIADAVIEK NA VLASTNÉ ZDROJE</w:t>
            </w:r>
            <w:r w:rsidR="009912F8" w:rsidRPr="00E07C9A">
              <w:rPr>
                <w:rStyle w:val="InstructionsTabelleberschrift"/>
                <w:rFonts w:ascii="Times New Roman" w:hAnsi="Times New Roman"/>
                <w:sz w:val="24"/>
              </w:rPr>
              <w:t xml:space="preserve"> Z </w:t>
            </w:r>
            <w:r w:rsidRPr="00E07C9A">
              <w:rPr>
                <w:rStyle w:val="InstructionsTabelleberschrift"/>
                <w:rFonts w:ascii="Times New Roman" w:hAnsi="Times New Roman"/>
                <w:sz w:val="24"/>
              </w:rPr>
              <w:t>DÔVODU POSTUPOV NA ZMIERŇOVANIE RIZIKA (POISTENIE A INÉ MECHANIZMY PRENOSU RIZIKA)</w:t>
            </w:r>
          </w:p>
          <w:p w14:paraId="4FE62E04" w14:textId="77777777" w:rsidR="00AC6255" w:rsidRPr="00E07C9A" w:rsidRDefault="00AC6255" w:rsidP="000B0B09">
            <w:pPr>
              <w:autoSpaceDE w:val="0"/>
              <w:autoSpaceDN w:val="0"/>
              <w:adjustRightInd w:val="0"/>
              <w:spacing w:before="0" w:after="0"/>
              <w:jc w:val="left"/>
              <w:rPr>
                <w:rFonts w:ascii="Times New Roman" w:hAnsi="Times New Roman"/>
                <w:sz w:val="24"/>
                <w:lang w:eastAsia="de-DE"/>
              </w:rPr>
            </w:pPr>
          </w:p>
          <w:p w14:paraId="4C80332F" w14:textId="31AA3945" w:rsidR="00AC6255" w:rsidRPr="00E07C9A" w:rsidRDefault="005E7FAD" w:rsidP="000B0B09">
            <w:pPr>
              <w:autoSpaceDE w:val="0"/>
              <w:autoSpaceDN w:val="0"/>
              <w:adjustRightInd w:val="0"/>
              <w:spacing w:before="0" w:after="0"/>
              <w:jc w:val="left"/>
              <w:rPr>
                <w:rFonts w:ascii="Times New Roman" w:hAnsi="Times New Roman"/>
                <w:sz w:val="24"/>
              </w:rPr>
            </w:pPr>
            <w:r w:rsidRPr="00E07C9A">
              <w:rPr>
                <w:rFonts w:ascii="Times New Roman" w:hAnsi="Times New Roman"/>
                <w:sz w:val="24"/>
              </w:rPr>
              <w:t>V tomto stĺpci sa vykazuje vplyv poistenia</w:t>
            </w:r>
            <w:r w:rsidR="009912F8" w:rsidRPr="00E07C9A">
              <w:rPr>
                <w:rFonts w:ascii="Times New Roman" w:hAnsi="Times New Roman"/>
                <w:sz w:val="24"/>
              </w:rPr>
              <w:t xml:space="preserve"> a </w:t>
            </w:r>
            <w:r w:rsidRPr="00E07C9A">
              <w:rPr>
                <w:rFonts w:ascii="Times New Roman" w:hAnsi="Times New Roman"/>
                <w:sz w:val="24"/>
              </w:rPr>
              <w:t xml:space="preserve">iných mechanizmov prenosu rizika podľa článku 323 nariadenia (EÚ) </w:t>
            </w:r>
            <w:r w:rsidR="009912F8" w:rsidRPr="00E07C9A">
              <w:rPr>
                <w:rFonts w:ascii="Times New Roman" w:hAnsi="Times New Roman"/>
                <w:sz w:val="24"/>
              </w:rPr>
              <w:t>č. 575/2013</w:t>
            </w:r>
            <w:r w:rsidRPr="00E07C9A">
              <w:rPr>
                <w:rFonts w:ascii="Times New Roman" w:hAnsi="Times New Roman"/>
                <w:sz w:val="24"/>
              </w:rPr>
              <w:t>.</w:t>
            </w:r>
          </w:p>
          <w:p w14:paraId="6D3862D8" w14:textId="77777777" w:rsidR="00AC6255" w:rsidRPr="00E07C9A" w:rsidRDefault="00AC6255" w:rsidP="000B0B09">
            <w:pPr>
              <w:autoSpaceDE w:val="0"/>
              <w:autoSpaceDN w:val="0"/>
              <w:adjustRightInd w:val="0"/>
              <w:spacing w:before="0" w:after="0"/>
              <w:jc w:val="left"/>
              <w:rPr>
                <w:rFonts w:ascii="Times New Roman" w:hAnsi="Times New Roman"/>
                <w:bCs/>
                <w:sz w:val="24"/>
                <w:lang w:eastAsia="nl-BE"/>
              </w:rPr>
            </w:pPr>
          </w:p>
        </w:tc>
      </w:tr>
    </w:tbl>
    <w:p w14:paraId="351AFCE8" w14:textId="77777777" w:rsidR="00AC6255" w:rsidRPr="00E07C9A" w:rsidRDefault="00AC6255" w:rsidP="00AC6255">
      <w:pPr>
        <w:autoSpaceDE w:val="0"/>
        <w:autoSpaceDN w:val="0"/>
        <w:adjustRightInd w:val="0"/>
        <w:spacing w:before="0" w:after="0"/>
        <w:rPr>
          <w:rFonts w:ascii="Times New Roman" w:hAnsi="Times New Roman"/>
          <w:sz w:val="14"/>
          <w:szCs w:val="14"/>
          <w:lang w:eastAsia="de-DE"/>
        </w:rPr>
      </w:pPr>
    </w:p>
    <w:p w14:paraId="67651E81" w14:textId="77777777" w:rsidR="00AC6255" w:rsidRPr="00E07C9A" w:rsidRDefault="00AC6255" w:rsidP="00AC6255">
      <w:pPr>
        <w:autoSpaceDE w:val="0"/>
        <w:autoSpaceDN w:val="0"/>
        <w:adjustRightInd w:val="0"/>
        <w:spacing w:before="0" w:after="0"/>
        <w:rPr>
          <w:rFonts w:ascii="Times New Roman" w:hAnsi="Times New Roman"/>
          <w:sz w:val="14"/>
          <w:szCs w:val="14"/>
          <w:lang w:eastAsia="de-DE"/>
        </w:rPr>
      </w:pPr>
    </w:p>
    <w:p w14:paraId="2D502CFB" w14:textId="77777777" w:rsidR="00AC6255" w:rsidRPr="00E07C9A" w:rsidRDefault="00AC6255" w:rsidP="00AC6255">
      <w:pPr>
        <w:pStyle w:val="PlainText"/>
        <w:jc w:val="both"/>
        <w:rPr>
          <w:rFonts w:ascii="Times New Roman" w:hAnsi="Times New Roman"/>
          <w:sz w:val="14"/>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E07C9A" w14:paraId="1067B6C8" w14:textId="77777777" w:rsidTr="00672D2A">
        <w:trPr>
          <w:trHeight w:val="518"/>
        </w:trPr>
        <w:tc>
          <w:tcPr>
            <w:tcW w:w="8862" w:type="dxa"/>
            <w:gridSpan w:val="2"/>
            <w:shd w:val="clear" w:color="auto" w:fill="CCCCCC"/>
          </w:tcPr>
          <w:p w14:paraId="77DA6528" w14:textId="77777777" w:rsidR="00AC6255" w:rsidRPr="00E07C9A" w:rsidRDefault="00AC6255" w:rsidP="000B0B09">
            <w:pPr>
              <w:autoSpaceDE w:val="0"/>
              <w:autoSpaceDN w:val="0"/>
              <w:adjustRightInd w:val="0"/>
              <w:spacing w:after="0"/>
              <w:rPr>
                <w:rFonts w:ascii="Times New Roman" w:hAnsi="Times New Roman"/>
                <w:b/>
                <w:bCs/>
                <w:sz w:val="24"/>
              </w:rPr>
            </w:pPr>
            <w:r w:rsidRPr="00E07C9A">
              <w:rPr>
                <w:rFonts w:ascii="Times New Roman" w:hAnsi="Times New Roman"/>
                <w:b/>
                <w:sz w:val="24"/>
              </w:rPr>
              <w:t>Riadky</w:t>
            </w:r>
          </w:p>
        </w:tc>
      </w:tr>
      <w:tr w:rsidR="00AC6255" w:rsidRPr="00E07C9A" w14:paraId="1B7282C6" w14:textId="77777777" w:rsidTr="00672D2A">
        <w:tc>
          <w:tcPr>
            <w:tcW w:w="985" w:type="dxa"/>
          </w:tcPr>
          <w:p w14:paraId="75DBC4E2" w14:textId="77777777" w:rsidR="00AC6255" w:rsidRPr="00E07C9A" w:rsidRDefault="005E7FAD" w:rsidP="000B0B09">
            <w:pPr>
              <w:autoSpaceDE w:val="0"/>
              <w:autoSpaceDN w:val="0"/>
              <w:adjustRightInd w:val="0"/>
              <w:spacing w:before="0" w:after="0"/>
              <w:rPr>
                <w:rFonts w:ascii="Times New Roman" w:hAnsi="Times New Roman"/>
                <w:bCs/>
                <w:sz w:val="24"/>
              </w:rPr>
            </w:pPr>
            <w:r w:rsidRPr="00E07C9A">
              <w:rPr>
                <w:rFonts w:ascii="Times New Roman" w:hAnsi="Times New Roman"/>
                <w:sz w:val="24"/>
              </w:rPr>
              <w:t xml:space="preserve">0010 </w:t>
            </w:r>
          </w:p>
        </w:tc>
        <w:tc>
          <w:tcPr>
            <w:tcW w:w="7877" w:type="dxa"/>
          </w:tcPr>
          <w:p w14:paraId="0B1D1514" w14:textId="77777777" w:rsidR="00AC6255" w:rsidRPr="00E07C9A" w:rsidRDefault="00AC6255" w:rsidP="000B0B09">
            <w:pPr>
              <w:autoSpaceDE w:val="0"/>
              <w:autoSpaceDN w:val="0"/>
              <w:adjustRightInd w:val="0"/>
              <w:spacing w:before="0" w:after="0"/>
              <w:rPr>
                <w:rStyle w:val="InstructionsTabelleberschrift"/>
                <w:rFonts w:ascii="Times New Roman" w:hAnsi="Times New Roman"/>
                <w:sz w:val="24"/>
              </w:rPr>
            </w:pPr>
            <w:r w:rsidRPr="00E07C9A">
              <w:rPr>
                <w:rStyle w:val="InstructionsTabelleberschrift"/>
                <w:rFonts w:ascii="Times New Roman" w:hAnsi="Times New Roman"/>
                <w:sz w:val="24"/>
              </w:rPr>
              <w:t>BANKOVÉ ČINNOSTI, NA KTORÉ SA UPLATŇUJE PRÍSTUP ZÁKLADNÉHO UKAZOVATEĽA (BIA)</w:t>
            </w:r>
          </w:p>
          <w:p w14:paraId="75BE6738" w14:textId="77777777" w:rsidR="00AC6255" w:rsidRPr="00E07C9A" w:rsidRDefault="00AC6255" w:rsidP="000B0B09">
            <w:pPr>
              <w:pStyle w:val="PlainText"/>
              <w:jc w:val="both"/>
              <w:rPr>
                <w:rFonts w:ascii="Times New Roman" w:eastAsia="Times New Roman" w:hAnsi="Times New Roman"/>
                <w:sz w:val="24"/>
                <w:szCs w:val="24"/>
                <w:lang w:eastAsia="de-DE"/>
              </w:rPr>
            </w:pPr>
          </w:p>
          <w:p w14:paraId="248AD013" w14:textId="10FCDA8F" w:rsidR="00AC6255" w:rsidRPr="00E07C9A" w:rsidRDefault="00AC6255" w:rsidP="000B0B09">
            <w:pPr>
              <w:pStyle w:val="PlainText"/>
              <w:jc w:val="both"/>
              <w:rPr>
                <w:rFonts w:ascii="Times New Roman" w:eastAsia="Times New Roman" w:hAnsi="Times New Roman"/>
                <w:sz w:val="24"/>
                <w:szCs w:val="24"/>
              </w:rPr>
            </w:pPr>
            <w:r w:rsidRPr="00E07C9A">
              <w:rPr>
                <w:rFonts w:ascii="Times New Roman" w:hAnsi="Times New Roman"/>
                <w:sz w:val="24"/>
              </w:rPr>
              <w:t>V tomto riadku sa vykazujú hodnoty zodpovedajúce činnostiam, na ktoré sa na účel výpočtu požiadavky na vlastné zdroje pre operačné riziko uplatňuje prístup BIA [články 315</w:t>
            </w:r>
            <w:r w:rsidR="009912F8" w:rsidRPr="00E07C9A">
              <w:rPr>
                <w:rFonts w:ascii="Times New Roman" w:hAnsi="Times New Roman"/>
                <w:sz w:val="24"/>
              </w:rPr>
              <w:t xml:space="preserve"> a </w:t>
            </w:r>
            <w:r w:rsidRPr="00E07C9A">
              <w:rPr>
                <w:rFonts w:ascii="Times New Roman" w:hAnsi="Times New Roman"/>
                <w:sz w:val="24"/>
              </w:rPr>
              <w:t xml:space="preserve">316 nariadenia (EÚ) </w:t>
            </w:r>
            <w:r w:rsidR="009912F8" w:rsidRPr="00E07C9A">
              <w:rPr>
                <w:rFonts w:ascii="Times New Roman" w:hAnsi="Times New Roman"/>
                <w:sz w:val="24"/>
              </w:rPr>
              <w:t>č. 575/2013</w:t>
            </w:r>
            <w:r w:rsidRPr="00E07C9A">
              <w:rPr>
                <w:rFonts w:ascii="Times New Roman" w:hAnsi="Times New Roman"/>
                <w:sz w:val="24"/>
              </w:rPr>
              <w:t>].</w:t>
            </w:r>
          </w:p>
          <w:p w14:paraId="7C5D1EC6" w14:textId="77777777" w:rsidR="00AC6255" w:rsidRPr="00E07C9A" w:rsidRDefault="00AC6255" w:rsidP="000B0B09">
            <w:pPr>
              <w:pStyle w:val="PlainText"/>
              <w:jc w:val="both"/>
              <w:rPr>
                <w:rFonts w:ascii="Times New Roman" w:eastAsia="Times New Roman" w:hAnsi="Times New Roman"/>
                <w:bCs/>
                <w:sz w:val="24"/>
                <w:szCs w:val="24"/>
                <w:lang w:eastAsia="nl-BE"/>
              </w:rPr>
            </w:pPr>
          </w:p>
        </w:tc>
      </w:tr>
      <w:tr w:rsidR="00AC6255" w:rsidRPr="00E07C9A" w14:paraId="759793B6" w14:textId="77777777" w:rsidTr="00672D2A">
        <w:tc>
          <w:tcPr>
            <w:tcW w:w="985" w:type="dxa"/>
          </w:tcPr>
          <w:p w14:paraId="130FAEB0" w14:textId="77777777" w:rsidR="00AC6255" w:rsidRPr="00E07C9A" w:rsidRDefault="005E7FAD" w:rsidP="000B0B09">
            <w:pPr>
              <w:autoSpaceDE w:val="0"/>
              <w:autoSpaceDN w:val="0"/>
              <w:adjustRightInd w:val="0"/>
              <w:spacing w:before="0" w:after="0"/>
              <w:rPr>
                <w:rFonts w:ascii="Times New Roman" w:hAnsi="Times New Roman"/>
                <w:bCs/>
                <w:sz w:val="24"/>
              </w:rPr>
            </w:pPr>
            <w:r w:rsidRPr="00E07C9A">
              <w:rPr>
                <w:rFonts w:ascii="Times New Roman" w:hAnsi="Times New Roman"/>
                <w:sz w:val="24"/>
              </w:rPr>
              <w:t>0020</w:t>
            </w:r>
          </w:p>
        </w:tc>
        <w:tc>
          <w:tcPr>
            <w:tcW w:w="7877" w:type="dxa"/>
          </w:tcPr>
          <w:p w14:paraId="5BAD57B9" w14:textId="77777777" w:rsidR="00AC6255" w:rsidRPr="00E07C9A" w:rsidRDefault="00AC6255" w:rsidP="000B0B09">
            <w:pPr>
              <w:autoSpaceDE w:val="0"/>
              <w:autoSpaceDN w:val="0"/>
              <w:adjustRightInd w:val="0"/>
              <w:spacing w:before="0" w:after="0"/>
              <w:rPr>
                <w:rStyle w:val="InstructionsTabelleberschrift"/>
                <w:rFonts w:ascii="Times New Roman" w:hAnsi="Times New Roman"/>
                <w:sz w:val="24"/>
              </w:rPr>
            </w:pPr>
            <w:r w:rsidRPr="00E07C9A">
              <w:rPr>
                <w:rStyle w:val="InstructionsTabelleberschrift"/>
                <w:rFonts w:ascii="Times New Roman" w:hAnsi="Times New Roman"/>
                <w:sz w:val="24"/>
              </w:rPr>
              <w:t>BANKOVÉ ČINNOSTI, NA KTORÉ SA UPLATŇUJE ŠTANDARDIZOVANÝ (TSA)/ALTERNATÍVNY ŠTANDARDIZOVANÝ (ASA) PRÍSTUP</w:t>
            </w:r>
          </w:p>
          <w:p w14:paraId="240B407B" w14:textId="77777777" w:rsidR="00AC6255" w:rsidRPr="00E07C9A" w:rsidRDefault="00AC6255" w:rsidP="000B0B09">
            <w:pPr>
              <w:autoSpaceDE w:val="0"/>
              <w:autoSpaceDN w:val="0"/>
              <w:adjustRightInd w:val="0"/>
              <w:spacing w:before="0" w:after="0"/>
              <w:rPr>
                <w:rFonts w:ascii="Times New Roman" w:hAnsi="Times New Roman"/>
                <w:sz w:val="24"/>
                <w:lang w:eastAsia="de-DE"/>
              </w:rPr>
            </w:pPr>
          </w:p>
          <w:p w14:paraId="5EB57437" w14:textId="3004F83B" w:rsidR="00AC6255" w:rsidRPr="00E07C9A" w:rsidRDefault="00AC6255"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Vykazuje sa požiadavka na vlastné zdroje vypočítaná podľa prístupov TSA</w:t>
            </w:r>
            <w:r w:rsidR="009912F8" w:rsidRPr="00E07C9A">
              <w:rPr>
                <w:rFonts w:ascii="Times New Roman" w:hAnsi="Times New Roman"/>
                <w:sz w:val="24"/>
              </w:rPr>
              <w:t xml:space="preserve"> a </w:t>
            </w:r>
            <w:r w:rsidRPr="00E07C9A">
              <w:rPr>
                <w:rFonts w:ascii="Times New Roman" w:hAnsi="Times New Roman"/>
                <w:sz w:val="24"/>
              </w:rPr>
              <w:t>ASA [články 317, 318</w:t>
            </w:r>
            <w:r w:rsidR="009912F8" w:rsidRPr="00E07C9A">
              <w:rPr>
                <w:rFonts w:ascii="Times New Roman" w:hAnsi="Times New Roman"/>
                <w:sz w:val="24"/>
              </w:rPr>
              <w:t xml:space="preserve"> a </w:t>
            </w:r>
            <w:r w:rsidRPr="00E07C9A">
              <w:rPr>
                <w:rFonts w:ascii="Times New Roman" w:hAnsi="Times New Roman"/>
                <w:sz w:val="24"/>
              </w:rPr>
              <w:t xml:space="preserve">319 nariadenia (EÚ) </w:t>
            </w:r>
            <w:r w:rsidR="009912F8" w:rsidRPr="00E07C9A">
              <w:rPr>
                <w:rFonts w:ascii="Times New Roman" w:hAnsi="Times New Roman"/>
                <w:sz w:val="24"/>
              </w:rPr>
              <w:t>č. 575/2013</w:t>
            </w:r>
            <w:r w:rsidRPr="00E07C9A">
              <w:rPr>
                <w:rFonts w:ascii="Times New Roman" w:hAnsi="Times New Roman"/>
                <w:sz w:val="24"/>
              </w:rPr>
              <w:t>].</w:t>
            </w:r>
          </w:p>
          <w:p w14:paraId="72385165" w14:textId="77777777" w:rsidR="00AC6255" w:rsidRPr="00E07C9A" w:rsidRDefault="00AC6255" w:rsidP="000B0B09">
            <w:pPr>
              <w:autoSpaceDE w:val="0"/>
              <w:autoSpaceDN w:val="0"/>
              <w:adjustRightInd w:val="0"/>
              <w:spacing w:before="0" w:after="0"/>
              <w:rPr>
                <w:rFonts w:ascii="Times New Roman" w:hAnsi="Times New Roman"/>
                <w:bCs/>
                <w:sz w:val="24"/>
                <w:lang w:eastAsia="nl-BE"/>
              </w:rPr>
            </w:pPr>
          </w:p>
        </w:tc>
      </w:tr>
      <w:tr w:rsidR="00AC6255" w:rsidRPr="00E07C9A" w14:paraId="49FFDDC5" w14:textId="77777777" w:rsidTr="00672D2A">
        <w:trPr>
          <w:trHeight w:val="1705"/>
        </w:trPr>
        <w:tc>
          <w:tcPr>
            <w:tcW w:w="985" w:type="dxa"/>
          </w:tcPr>
          <w:p w14:paraId="530AAF6B" w14:textId="77777777" w:rsidR="00AC6255" w:rsidRPr="00E07C9A" w:rsidRDefault="005E7FAD" w:rsidP="000F70EC">
            <w:pPr>
              <w:autoSpaceDE w:val="0"/>
              <w:autoSpaceDN w:val="0"/>
              <w:adjustRightInd w:val="0"/>
              <w:spacing w:before="0" w:after="0"/>
              <w:rPr>
                <w:rFonts w:ascii="Times New Roman" w:hAnsi="Times New Roman"/>
                <w:bCs/>
                <w:sz w:val="24"/>
              </w:rPr>
            </w:pPr>
            <w:r w:rsidRPr="00E07C9A">
              <w:rPr>
                <w:rFonts w:ascii="Times New Roman" w:hAnsi="Times New Roman"/>
                <w:sz w:val="24"/>
              </w:rPr>
              <w:t>0030 – 0100</w:t>
            </w:r>
          </w:p>
        </w:tc>
        <w:tc>
          <w:tcPr>
            <w:tcW w:w="7877" w:type="dxa"/>
          </w:tcPr>
          <w:p w14:paraId="5BF870EA" w14:textId="77777777" w:rsidR="00AC6255" w:rsidRPr="00E07C9A" w:rsidRDefault="00AC6255" w:rsidP="000B0B09">
            <w:pPr>
              <w:rPr>
                <w:rStyle w:val="InstructionsTabelleberschrift"/>
                <w:rFonts w:ascii="Times New Roman" w:hAnsi="Times New Roman"/>
                <w:sz w:val="24"/>
              </w:rPr>
            </w:pPr>
            <w:r w:rsidRPr="00E07C9A">
              <w:rPr>
                <w:rStyle w:val="InstructionsTabelleberschrift"/>
                <w:rFonts w:ascii="Times New Roman" w:hAnsi="Times New Roman"/>
                <w:sz w:val="24"/>
              </w:rPr>
              <w:t>UPLATŇOVANIE PRÍSTUPU TSA</w:t>
            </w:r>
          </w:p>
          <w:p w14:paraId="6510A110" w14:textId="06A61D1F" w:rsidR="00AC6255" w:rsidRPr="00E07C9A" w:rsidRDefault="001C3443" w:rsidP="00FD7CAF">
            <w:pPr>
              <w:autoSpaceDE w:val="0"/>
              <w:autoSpaceDN w:val="0"/>
              <w:adjustRightInd w:val="0"/>
              <w:spacing w:before="0" w:after="0"/>
              <w:jc w:val="left"/>
              <w:rPr>
                <w:rFonts w:ascii="Times New Roman" w:hAnsi="Times New Roman"/>
                <w:bCs/>
                <w:sz w:val="24"/>
              </w:rPr>
            </w:pPr>
            <w:r w:rsidRPr="00E07C9A">
              <w:rPr>
                <w:rFonts w:ascii="Times New Roman" w:hAnsi="Times New Roman"/>
                <w:sz w:val="24"/>
              </w:rPr>
              <w:t>Keď sa používa prístup TSA, príslušný ukazovateľ pre každý príslušný rok sa rozdelí</w:t>
            </w:r>
            <w:r w:rsidR="009912F8" w:rsidRPr="00E07C9A">
              <w:rPr>
                <w:rFonts w:ascii="Times New Roman" w:hAnsi="Times New Roman"/>
                <w:sz w:val="24"/>
              </w:rPr>
              <w:t xml:space="preserve"> v </w:t>
            </w:r>
            <w:r w:rsidRPr="00E07C9A">
              <w:rPr>
                <w:rFonts w:ascii="Times New Roman" w:hAnsi="Times New Roman"/>
                <w:sz w:val="24"/>
              </w:rPr>
              <w:t>riadkoch 0030 až 0100 medzi obchodné línie uvedené</w:t>
            </w:r>
            <w:r w:rsidR="009912F8" w:rsidRPr="00E07C9A">
              <w:rPr>
                <w:rFonts w:ascii="Times New Roman" w:hAnsi="Times New Roman"/>
                <w:sz w:val="24"/>
              </w:rPr>
              <w:t xml:space="preserve"> v </w:t>
            </w:r>
            <w:r w:rsidRPr="00E07C9A">
              <w:rPr>
                <w:rFonts w:ascii="Times New Roman" w:hAnsi="Times New Roman"/>
                <w:sz w:val="24"/>
              </w:rPr>
              <w:t xml:space="preserve">tabuľke 2 článku 317 nariadenia (EÚ) </w:t>
            </w:r>
            <w:r w:rsidR="009912F8" w:rsidRPr="00E07C9A">
              <w:rPr>
                <w:rFonts w:ascii="Times New Roman" w:hAnsi="Times New Roman"/>
                <w:sz w:val="24"/>
              </w:rPr>
              <w:t>č. 575/2013</w:t>
            </w:r>
            <w:r w:rsidRPr="00E07C9A">
              <w:rPr>
                <w:rFonts w:ascii="Times New Roman" w:hAnsi="Times New Roman"/>
                <w:sz w:val="24"/>
              </w:rPr>
              <w:t>. Zaraďovanie činností do obchodných línií sa riadi zásadami opísanými</w:t>
            </w:r>
            <w:r w:rsidR="009912F8" w:rsidRPr="00E07C9A">
              <w:rPr>
                <w:rFonts w:ascii="Times New Roman" w:hAnsi="Times New Roman"/>
                <w:sz w:val="24"/>
              </w:rPr>
              <w:t xml:space="preserve"> v </w:t>
            </w:r>
            <w:r w:rsidRPr="00E07C9A">
              <w:rPr>
                <w:rFonts w:ascii="Times New Roman" w:hAnsi="Times New Roman"/>
                <w:sz w:val="24"/>
              </w:rPr>
              <w:t xml:space="preserve">článku 318 nariadenia (EÚ) </w:t>
            </w:r>
            <w:r w:rsidR="009912F8" w:rsidRPr="00E07C9A">
              <w:rPr>
                <w:rFonts w:ascii="Times New Roman" w:hAnsi="Times New Roman"/>
                <w:sz w:val="24"/>
              </w:rPr>
              <w:t>č. 575/2013</w:t>
            </w:r>
            <w:r w:rsidRPr="00E07C9A">
              <w:rPr>
                <w:rFonts w:ascii="Times New Roman" w:hAnsi="Times New Roman"/>
                <w:sz w:val="24"/>
              </w:rPr>
              <w:t>.</w:t>
            </w:r>
          </w:p>
        </w:tc>
      </w:tr>
      <w:tr w:rsidR="00AC6255" w:rsidRPr="00E07C9A" w14:paraId="3D002E26" w14:textId="77777777" w:rsidTr="00672D2A">
        <w:tc>
          <w:tcPr>
            <w:tcW w:w="985" w:type="dxa"/>
          </w:tcPr>
          <w:p w14:paraId="77EBAB2D" w14:textId="77777777" w:rsidR="00AC6255" w:rsidRPr="00E07C9A" w:rsidRDefault="005E7FAD" w:rsidP="000F70EC">
            <w:pPr>
              <w:autoSpaceDE w:val="0"/>
              <w:autoSpaceDN w:val="0"/>
              <w:adjustRightInd w:val="0"/>
              <w:spacing w:before="0" w:after="0"/>
              <w:rPr>
                <w:rFonts w:ascii="Times New Roman" w:hAnsi="Times New Roman"/>
                <w:bCs/>
                <w:sz w:val="24"/>
              </w:rPr>
            </w:pPr>
            <w:r w:rsidRPr="00E07C9A">
              <w:rPr>
                <w:rFonts w:ascii="Times New Roman" w:hAnsi="Times New Roman"/>
                <w:sz w:val="24"/>
              </w:rPr>
              <w:t>0110 –⁠ 0120</w:t>
            </w:r>
          </w:p>
        </w:tc>
        <w:tc>
          <w:tcPr>
            <w:tcW w:w="7877" w:type="dxa"/>
          </w:tcPr>
          <w:p w14:paraId="2712CAAB" w14:textId="77777777" w:rsidR="00AC6255" w:rsidRPr="00E07C9A" w:rsidRDefault="00AC6255" w:rsidP="000B0B09">
            <w:pPr>
              <w:autoSpaceDE w:val="0"/>
              <w:autoSpaceDN w:val="0"/>
              <w:adjustRightInd w:val="0"/>
              <w:spacing w:before="0" w:after="0"/>
              <w:jc w:val="left"/>
              <w:rPr>
                <w:rStyle w:val="InstructionsTabelleberschrift"/>
                <w:rFonts w:ascii="Times New Roman" w:hAnsi="Times New Roman"/>
                <w:sz w:val="24"/>
              </w:rPr>
            </w:pPr>
            <w:r w:rsidRPr="00E07C9A">
              <w:rPr>
                <w:rStyle w:val="InstructionsTabelleberschrift"/>
                <w:rFonts w:ascii="Times New Roman" w:hAnsi="Times New Roman"/>
                <w:sz w:val="24"/>
              </w:rPr>
              <w:t>UPLATŇOVANIE PRÍSTUPU ASA</w:t>
            </w:r>
          </w:p>
          <w:p w14:paraId="591D6293" w14:textId="04CBA546" w:rsidR="009912F8" w:rsidRPr="00E07C9A" w:rsidRDefault="00AC6255" w:rsidP="000B0B09">
            <w:pPr>
              <w:rPr>
                <w:rFonts w:ascii="Times New Roman" w:hAnsi="Times New Roman"/>
                <w:sz w:val="24"/>
              </w:rPr>
            </w:pPr>
            <w:r w:rsidRPr="00E07C9A">
              <w:rPr>
                <w:rFonts w:ascii="Times New Roman" w:hAnsi="Times New Roman"/>
                <w:sz w:val="24"/>
              </w:rPr>
              <w:t xml:space="preserve">Inštitúcie, ktoré používajú prístup ASA [článok 319 nariadenia (EÚ) </w:t>
            </w:r>
            <w:r w:rsidR="009912F8" w:rsidRPr="00E07C9A">
              <w:rPr>
                <w:rFonts w:ascii="Times New Roman" w:hAnsi="Times New Roman"/>
                <w:sz w:val="24"/>
              </w:rPr>
              <w:t>č. 575/2013</w:t>
            </w:r>
            <w:r w:rsidRPr="00E07C9A">
              <w:rPr>
                <w:rFonts w:ascii="Times New Roman" w:hAnsi="Times New Roman"/>
                <w:sz w:val="24"/>
              </w:rPr>
              <w:t>], vykazujú pre príslušné roky príslušný ukazovateľ osobitne pre každú obchodnú líniu</w:t>
            </w:r>
            <w:r w:rsidR="009912F8" w:rsidRPr="00E07C9A">
              <w:rPr>
                <w:rFonts w:ascii="Times New Roman" w:hAnsi="Times New Roman"/>
                <w:sz w:val="24"/>
              </w:rPr>
              <w:t xml:space="preserve"> v </w:t>
            </w:r>
            <w:r w:rsidRPr="00E07C9A">
              <w:rPr>
                <w:rFonts w:ascii="Times New Roman" w:hAnsi="Times New Roman"/>
                <w:sz w:val="24"/>
              </w:rPr>
              <w:t>riadkoch 0030 až 0050</w:t>
            </w:r>
            <w:r w:rsidR="009912F8" w:rsidRPr="00E07C9A">
              <w:rPr>
                <w:rFonts w:ascii="Times New Roman" w:hAnsi="Times New Roman"/>
                <w:sz w:val="24"/>
              </w:rPr>
              <w:t xml:space="preserve"> a </w:t>
            </w:r>
            <w:r w:rsidRPr="00E07C9A">
              <w:rPr>
                <w:rFonts w:ascii="Times New Roman" w:hAnsi="Times New Roman"/>
                <w:sz w:val="24"/>
              </w:rPr>
              <w:t>riadkoch 0080 až 0100</w:t>
            </w:r>
            <w:r w:rsidR="009912F8" w:rsidRPr="00E07C9A">
              <w:rPr>
                <w:rFonts w:ascii="Times New Roman" w:hAnsi="Times New Roman"/>
                <w:sz w:val="24"/>
              </w:rPr>
              <w:t xml:space="preserve"> a v </w:t>
            </w:r>
            <w:r w:rsidRPr="00E07C9A">
              <w:rPr>
                <w:rFonts w:ascii="Times New Roman" w:hAnsi="Times New Roman"/>
                <w:sz w:val="24"/>
              </w:rPr>
              <w:t>riadkoch 0110</w:t>
            </w:r>
            <w:r w:rsidR="009912F8" w:rsidRPr="00E07C9A">
              <w:rPr>
                <w:rFonts w:ascii="Times New Roman" w:hAnsi="Times New Roman"/>
                <w:sz w:val="24"/>
              </w:rPr>
              <w:t xml:space="preserve"> a </w:t>
            </w:r>
            <w:r w:rsidRPr="00E07C9A">
              <w:rPr>
                <w:rFonts w:ascii="Times New Roman" w:hAnsi="Times New Roman"/>
                <w:sz w:val="24"/>
              </w:rPr>
              <w:t>0120 pre obchodné línie „komerčné bankovníctvo“</w:t>
            </w:r>
            <w:r w:rsidR="009912F8" w:rsidRPr="00E07C9A">
              <w:rPr>
                <w:rFonts w:ascii="Times New Roman" w:hAnsi="Times New Roman"/>
                <w:sz w:val="24"/>
              </w:rPr>
              <w:t xml:space="preserve"> a </w:t>
            </w:r>
            <w:r w:rsidRPr="00E07C9A">
              <w:rPr>
                <w:rFonts w:ascii="Times New Roman" w:hAnsi="Times New Roman"/>
                <w:sz w:val="24"/>
              </w:rPr>
              <w:t>„retailové bankovníctvo“</w:t>
            </w:r>
            <w:r w:rsidR="009912F8" w:rsidRPr="00E07C9A">
              <w:rPr>
                <w:rFonts w:ascii="Times New Roman" w:hAnsi="Times New Roman"/>
                <w:sz w:val="24"/>
              </w:rPr>
              <w:t>.</w:t>
            </w:r>
          </w:p>
          <w:p w14:paraId="711B3D00" w14:textId="1997484B" w:rsidR="00AC6255" w:rsidRPr="00E07C9A" w:rsidRDefault="00AC6255" w:rsidP="0042594B">
            <w:pPr>
              <w:autoSpaceDE w:val="0"/>
              <w:autoSpaceDN w:val="0"/>
              <w:adjustRightInd w:val="0"/>
              <w:spacing w:before="0" w:after="0"/>
              <w:rPr>
                <w:rFonts w:ascii="Times New Roman" w:hAnsi="Times New Roman"/>
                <w:bCs/>
                <w:sz w:val="24"/>
              </w:rPr>
            </w:pPr>
            <w:r w:rsidRPr="00E07C9A">
              <w:rPr>
                <w:rStyle w:val="InstructionsTabelleText"/>
                <w:rFonts w:ascii="Times New Roman" w:hAnsi="Times New Roman"/>
                <w:sz w:val="24"/>
              </w:rPr>
              <w:t>Riadky 110</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120 predstavujú hodnotu</w:t>
            </w:r>
            <w:r w:rsidRPr="00E07C9A">
              <w:rPr>
                <w:rFonts w:ascii="Times New Roman" w:hAnsi="Times New Roman"/>
                <w:sz w:val="24"/>
              </w:rPr>
              <w:t xml:space="preserve"> príslušného ukazovateľa </w:t>
            </w:r>
            <w:r w:rsidRPr="00E07C9A">
              <w:rPr>
                <w:rStyle w:val="InstructionsTabelleText"/>
                <w:rFonts w:ascii="Times New Roman" w:hAnsi="Times New Roman"/>
                <w:sz w:val="24"/>
              </w:rPr>
              <w:t>činností, na ktoré sa uplatňuje prístup ASA, pričom sa rozlišuje medzi hodnotou zodpovedajúcou obchodnej línii „komerčné bankovníctvo“</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hodnotami zodpovedajúcimi obchodnej línii „retailové bankovníctvo“ [článok 319</w:t>
            </w:r>
            <w:r w:rsidRPr="00E07C9A">
              <w:rPr>
                <w:rFonts w:ascii="Times New Roman" w:hAnsi="Times New Roman"/>
                <w:sz w:val="24"/>
              </w:rPr>
              <w:t xml:space="preserve"> nariadenia (EÚ) </w:t>
            </w:r>
            <w:r w:rsidR="009912F8" w:rsidRPr="00E07C9A">
              <w:rPr>
                <w:rFonts w:ascii="Times New Roman" w:hAnsi="Times New Roman"/>
                <w:sz w:val="24"/>
              </w:rPr>
              <w:t>č. 575/2013</w:t>
            </w:r>
            <w:r w:rsidRPr="00E07C9A">
              <w:rPr>
                <w:rStyle w:val="InstructionsTabelleText"/>
                <w:rFonts w:ascii="Times New Roman" w:hAnsi="Times New Roman"/>
                <w:sz w:val="24"/>
              </w:rPr>
              <w:t>]. Hodnoty môžu byť uvedené</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riadkoch zodpovedajúcich „komerčnému bankovníctvu“</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„retailovému bankovníctvu“</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rámci prístupu TSA (riadky 0060</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0070), ako aj</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rámci prístupu ASA</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riadkoch 0110</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0120 (napr. ak sa na dcérsku spoločnosť uplatňuje prístup TSA, zatiaľ čo na materský subjekt sa uplatňuje prístup ASA).</w:t>
            </w:r>
          </w:p>
        </w:tc>
      </w:tr>
      <w:tr w:rsidR="00AC6255" w:rsidRPr="00E07C9A" w14:paraId="1FFF79B6" w14:textId="77777777" w:rsidTr="00672D2A">
        <w:tc>
          <w:tcPr>
            <w:tcW w:w="985" w:type="dxa"/>
          </w:tcPr>
          <w:p w14:paraId="4AF7391A" w14:textId="77777777" w:rsidR="00AC6255" w:rsidRPr="00E07C9A" w:rsidRDefault="005E7FAD" w:rsidP="000B0B09">
            <w:pPr>
              <w:autoSpaceDE w:val="0"/>
              <w:autoSpaceDN w:val="0"/>
              <w:adjustRightInd w:val="0"/>
              <w:spacing w:before="0" w:after="0"/>
              <w:rPr>
                <w:rFonts w:ascii="Times New Roman" w:hAnsi="Times New Roman"/>
                <w:bCs/>
                <w:sz w:val="24"/>
              </w:rPr>
            </w:pPr>
            <w:r w:rsidRPr="00E07C9A">
              <w:rPr>
                <w:rFonts w:ascii="Times New Roman" w:hAnsi="Times New Roman"/>
                <w:sz w:val="24"/>
              </w:rPr>
              <w:t>0130</w:t>
            </w:r>
          </w:p>
        </w:tc>
        <w:tc>
          <w:tcPr>
            <w:tcW w:w="7877" w:type="dxa"/>
          </w:tcPr>
          <w:p w14:paraId="0956775C" w14:textId="77777777" w:rsidR="00AC6255" w:rsidRPr="00E07C9A" w:rsidRDefault="00AC6255" w:rsidP="000B0B09">
            <w:pPr>
              <w:autoSpaceDE w:val="0"/>
              <w:autoSpaceDN w:val="0"/>
              <w:adjustRightInd w:val="0"/>
              <w:spacing w:before="0" w:after="0"/>
              <w:rPr>
                <w:rStyle w:val="InstructionsTabelleberschrift"/>
                <w:rFonts w:ascii="Times New Roman" w:hAnsi="Times New Roman"/>
                <w:sz w:val="24"/>
              </w:rPr>
            </w:pPr>
            <w:r w:rsidRPr="00E07C9A">
              <w:rPr>
                <w:rStyle w:val="InstructionsTabelleberschrift"/>
                <w:rFonts w:ascii="Times New Roman" w:hAnsi="Times New Roman"/>
                <w:sz w:val="24"/>
              </w:rPr>
              <w:t>BANKOVÉ ČINNOSTI, NA KTORÉ SA UPLATŇUJÚ POKROČILÉ PRÍSTUPY MERANIA (AMA)</w:t>
            </w:r>
          </w:p>
          <w:p w14:paraId="552DC0E3" w14:textId="77777777" w:rsidR="00AC6255" w:rsidRPr="00E07C9A" w:rsidRDefault="00AC6255" w:rsidP="000B0B09">
            <w:pPr>
              <w:autoSpaceDE w:val="0"/>
              <w:autoSpaceDN w:val="0"/>
              <w:adjustRightInd w:val="0"/>
              <w:spacing w:before="0" w:after="0"/>
              <w:rPr>
                <w:rFonts w:ascii="Times New Roman" w:hAnsi="Times New Roman"/>
                <w:bCs/>
                <w:sz w:val="24"/>
                <w:lang w:eastAsia="nl-BE"/>
              </w:rPr>
            </w:pPr>
          </w:p>
          <w:p w14:paraId="6FFD785E" w14:textId="048373AE" w:rsidR="009912F8" w:rsidRPr="00E07C9A" w:rsidRDefault="00AC6255"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Vykazujú sa príslušné údaje pre inštitúcie používajúce prístup AMA [článok 312 ods. 2</w:t>
            </w:r>
            <w:r w:rsidR="009912F8" w:rsidRPr="00E07C9A">
              <w:rPr>
                <w:rFonts w:ascii="Times New Roman" w:hAnsi="Times New Roman"/>
                <w:sz w:val="24"/>
              </w:rPr>
              <w:t xml:space="preserve"> a </w:t>
            </w:r>
            <w:r w:rsidRPr="00E07C9A">
              <w:rPr>
                <w:rFonts w:ascii="Times New Roman" w:hAnsi="Times New Roman"/>
                <w:sz w:val="24"/>
              </w:rPr>
              <w:t>články 321, 322</w:t>
            </w:r>
            <w:r w:rsidR="009912F8" w:rsidRPr="00E07C9A">
              <w:rPr>
                <w:rFonts w:ascii="Times New Roman" w:hAnsi="Times New Roman"/>
                <w:sz w:val="24"/>
              </w:rPr>
              <w:t xml:space="preserve"> a </w:t>
            </w:r>
            <w:r w:rsidRPr="00E07C9A">
              <w:rPr>
                <w:rFonts w:ascii="Times New Roman" w:hAnsi="Times New Roman"/>
                <w:sz w:val="24"/>
              </w:rPr>
              <w:t xml:space="preserve">323 nariadenia (EÚ) </w:t>
            </w:r>
            <w:r w:rsidR="009912F8" w:rsidRPr="00E07C9A">
              <w:rPr>
                <w:rFonts w:ascii="Times New Roman" w:hAnsi="Times New Roman"/>
                <w:sz w:val="24"/>
              </w:rPr>
              <w:t>č. 575/2013</w:t>
            </w:r>
            <w:r w:rsidRPr="00E07C9A">
              <w:rPr>
                <w:rFonts w:ascii="Times New Roman" w:hAnsi="Times New Roman"/>
                <w:sz w:val="24"/>
              </w:rPr>
              <w:t>]</w:t>
            </w:r>
            <w:r w:rsidR="009912F8" w:rsidRPr="00E07C9A">
              <w:rPr>
                <w:rFonts w:ascii="Times New Roman" w:hAnsi="Times New Roman"/>
                <w:sz w:val="24"/>
              </w:rPr>
              <w:t>.</w:t>
            </w:r>
          </w:p>
          <w:p w14:paraId="5B1A6157" w14:textId="575B98B0" w:rsidR="00AC6255" w:rsidRPr="00E07C9A" w:rsidRDefault="00AC6255" w:rsidP="000B0B09">
            <w:pPr>
              <w:autoSpaceDE w:val="0"/>
              <w:autoSpaceDN w:val="0"/>
              <w:adjustRightInd w:val="0"/>
              <w:spacing w:before="0" w:after="0"/>
              <w:rPr>
                <w:rFonts w:ascii="Times New Roman" w:hAnsi="Times New Roman"/>
                <w:sz w:val="24"/>
              </w:rPr>
            </w:pPr>
          </w:p>
          <w:p w14:paraId="1E151B6D" w14:textId="1C78993A" w:rsidR="00AC6255" w:rsidRPr="00E07C9A" w:rsidRDefault="00A369C3"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Keď sa kombinujú rôzne prístupy, ako je uvedené</w:t>
            </w:r>
            <w:r w:rsidR="009912F8" w:rsidRPr="00E07C9A">
              <w:rPr>
                <w:rFonts w:ascii="Times New Roman" w:hAnsi="Times New Roman"/>
                <w:sz w:val="24"/>
              </w:rPr>
              <w:t xml:space="preserve"> v </w:t>
            </w:r>
            <w:r w:rsidRPr="00E07C9A">
              <w:rPr>
                <w:rFonts w:ascii="Times New Roman" w:hAnsi="Times New Roman"/>
                <w:sz w:val="24"/>
              </w:rPr>
              <w:t xml:space="preserve">článku 314 nariadenia (EÚ) </w:t>
            </w:r>
            <w:r w:rsidR="009912F8" w:rsidRPr="00E07C9A">
              <w:rPr>
                <w:rFonts w:ascii="Times New Roman" w:hAnsi="Times New Roman"/>
                <w:sz w:val="24"/>
              </w:rPr>
              <w:t>č. 575/2013</w:t>
            </w:r>
            <w:r w:rsidRPr="00E07C9A">
              <w:rPr>
                <w:rFonts w:ascii="Times New Roman" w:hAnsi="Times New Roman"/>
                <w:sz w:val="24"/>
              </w:rPr>
              <w:t>, vykazujú sa informácie</w:t>
            </w:r>
            <w:r w:rsidR="009912F8" w:rsidRPr="00E07C9A">
              <w:rPr>
                <w:rFonts w:ascii="Times New Roman" w:hAnsi="Times New Roman"/>
                <w:sz w:val="24"/>
              </w:rPr>
              <w:t xml:space="preserve"> o </w:t>
            </w:r>
            <w:r w:rsidRPr="00E07C9A">
              <w:rPr>
                <w:rFonts w:ascii="Times New Roman" w:hAnsi="Times New Roman"/>
                <w:sz w:val="24"/>
              </w:rPr>
              <w:t>príslušnom ukazovateli pre činnosti, na ktoré sa uplatňuje AMA. To isté platí pre všetky ostatné banky AMA.</w:t>
            </w:r>
          </w:p>
          <w:p w14:paraId="2AC9EFC1" w14:textId="77777777" w:rsidR="00AC6255" w:rsidRPr="00E07C9A" w:rsidRDefault="00AC6255" w:rsidP="000B0B09">
            <w:pPr>
              <w:autoSpaceDE w:val="0"/>
              <w:autoSpaceDN w:val="0"/>
              <w:adjustRightInd w:val="0"/>
              <w:spacing w:before="0" w:after="0"/>
              <w:rPr>
                <w:rFonts w:ascii="Times New Roman" w:hAnsi="Times New Roman"/>
                <w:bCs/>
                <w:sz w:val="24"/>
                <w:lang w:eastAsia="nl-BE"/>
              </w:rPr>
            </w:pPr>
          </w:p>
        </w:tc>
      </w:tr>
    </w:tbl>
    <w:p w14:paraId="26ECF03E" w14:textId="77777777" w:rsidR="00AC6255" w:rsidRPr="00E07C9A" w:rsidRDefault="00AC6255" w:rsidP="00AC6255">
      <w:pPr>
        <w:pStyle w:val="PlainText"/>
        <w:jc w:val="both"/>
        <w:rPr>
          <w:rFonts w:ascii="Times New Roman" w:hAnsi="Times New Roman"/>
          <w:sz w:val="14"/>
          <w:szCs w:val="14"/>
        </w:rPr>
      </w:pPr>
    </w:p>
    <w:p w14:paraId="6AC94C0B" w14:textId="77777777" w:rsidR="00AC6255" w:rsidRPr="00E07C9A" w:rsidRDefault="00AC6255" w:rsidP="00AC6255">
      <w:pPr>
        <w:rPr>
          <w:rFonts w:ascii="Times New Roman" w:hAnsi="Times New Roman"/>
          <w:sz w:val="14"/>
          <w:szCs w:val="14"/>
        </w:rPr>
      </w:pPr>
    </w:p>
    <w:p w14:paraId="477733D0" w14:textId="38A51245" w:rsidR="00FD54FC" w:rsidRPr="00E07C9A" w:rsidRDefault="00125707" w:rsidP="0023700C">
      <w:pPr>
        <w:pStyle w:val="Instructionsberschrift2"/>
        <w:numPr>
          <w:ilvl w:val="0"/>
          <w:numId w:val="0"/>
        </w:numPr>
        <w:ind w:left="357" w:hanging="357"/>
        <w:rPr>
          <w:rFonts w:ascii="Times New Roman" w:hAnsi="Times New Roman" w:cs="Times New Roman"/>
          <w:sz w:val="24"/>
        </w:rPr>
      </w:pPr>
      <w:bookmarkStart w:id="541" w:name="_Toc473560939"/>
      <w:bookmarkStart w:id="542" w:name="_Toc473560940"/>
      <w:bookmarkStart w:id="543" w:name="_Toc473560941"/>
      <w:bookmarkStart w:id="544" w:name="_Toc473560942"/>
      <w:bookmarkStart w:id="545" w:name="_Toc473560943"/>
      <w:bookmarkStart w:id="546" w:name="_Toc473560944"/>
      <w:bookmarkStart w:id="547" w:name="_Toc473560945"/>
      <w:bookmarkStart w:id="548" w:name="_Toc473560946"/>
      <w:bookmarkStart w:id="549" w:name="_Toc473560947"/>
      <w:bookmarkStart w:id="550" w:name="_Toc473560948"/>
      <w:bookmarkStart w:id="551" w:name="_Toc473560949"/>
      <w:bookmarkStart w:id="552" w:name="_Toc473560950"/>
      <w:bookmarkStart w:id="553" w:name="_Toc473560951"/>
      <w:bookmarkStart w:id="554" w:name="_Toc473560952"/>
      <w:bookmarkStart w:id="555" w:name="_Toc473560953"/>
      <w:bookmarkStart w:id="556" w:name="_Toc473560954"/>
      <w:bookmarkStart w:id="557" w:name="_Toc473560955"/>
      <w:bookmarkStart w:id="558" w:name="_Toc473560956"/>
      <w:bookmarkStart w:id="559" w:name="_Toc473560957"/>
      <w:bookmarkStart w:id="560" w:name="_Toc473560958"/>
      <w:bookmarkStart w:id="561" w:name="_Toc473560959"/>
      <w:bookmarkStart w:id="562" w:name="_Toc473560960"/>
      <w:bookmarkStart w:id="563" w:name="_Toc473560961"/>
      <w:bookmarkStart w:id="564" w:name="_Toc473560962"/>
      <w:bookmarkStart w:id="565" w:name="_Toc473560963"/>
      <w:bookmarkStart w:id="566" w:name="_Toc473560964"/>
      <w:bookmarkStart w:id="567" w:name="_Toc473560965"/>
      <w:bookmarkStart w:id="568" w:name="_Toc473560966"/>
      <w:bookmarkStart w:id="569" w:name="_Toc473560967"/>
      <w:bookmarkStart w:id="570" w:name="_Toc473560968"/>
      <w:bookmarkStart w:id="571" w:name="_Toc473560969"/>
      <w:bookmarkStart w:id="572" w:name="_Toc473560970"/>
      <w:bookmarkStart w:id="573" w:name="_Toc473560989"/>
      <w:bookmarkStart w:id="574" w:name="_Toc473560990"/>
      <w:bookmarkStart w:id="575" w:name="_Toc473561022"/>
      <w:bookmarkStart w:id="576" w:name="_Toc473561023"/>
      <w:bookmarkStart w:id="577" w:name="_Toc115857867"/>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r w:rsidRPr="00E07C9A">
        <w:rPr>
          <w:rFonts w:ascii="Times New Roman" w:hAnsi="Times New Roman" w:cs="Times New Roman"/>
          <w:sz w:val="24"/>
          <w:u w:val="none"/>
        </w:rPr>
        <w:t>4.2.</w:t>
      </w:r>
      <w:r w:rsidRPr="00E07C9A">
        <w:rPr>
          <w:rFonts w:ascii="Times New Roman" w:hAnsi="Times New Roman" w:cs="Times New Roman"/>
          <w:u w:val="none"/>
        </w:rPr>
        <w:tab/>
      </w:r>
      <w:r w:rsidRPr="00E07C9A">
        <w:rPr>
          <w:rFonts w:ascii="Times New Roman" w:hAnsi="Times New Roman" w:cs="Times New Roman"/>
          <w:sz w:val="24"/>
        </w:rPr>
        <w:t>Operačné riziko: podrobné informácie</w:t>
      </w:r>
      <w:r w:rsidR="009912F8" w:rsidRPr="00E07C9A">
        <w:rPr>
          <w:rFonts w:ascii="Times New Roman" w:hAnsi="Times New Roman" w:cs="Times New Roman"/>
          <w:sz w:val="24"/>
        </w:rPr>
        <w:t xml:space="preserve"> o </w:t>
      </w:r>
      <w:r w:rsidRPr="00E07C9A">
        <w:rPr>
          <w:rFonts w:ascii="Times New Roman" w:hAnsi="Times New Roman" w:cs="Times New Roman"/>
          <w:sz w:val="24"/>
        </w:rPr>
        <w:t>stratách</w:t>
      </w:r>
      <w:r w:rsidR="009912F8" w:rsidRPr="00E07C9A">
        <w:rPr>
          <w:rFonts w:ascii="Times New Roman" w:hAnsi="Times New Roman" w:cs="Times New Roman"/>
          <w:sz w:val="24"/>
        </w:rPr>
        <w:t xml:space="preserve"> v </w:t>
      </w:r>
      <w:r w:rsidRPr="00E07C9A">
        <w:rPr>
          <w:rFonts w:ascii="Times New Roman" w:hAnsi="Times New Roman" w:cs="Times New Roman"/>
          <w:sz w:val="24"/>
        </w:rPr>
        <w:t>poslednom roku (OPR DETAILS)</w:t>
      </w:r>
      <w:bookmarkEnd w:id="576"/>
      <w:bookmarkEnd w:id="577"/>
    </w:p>
    <w:p w14:paraId="430B891B" w14:textId="77777777" w:rsidR="00FD54FC" w:rsidRPr="00E07C9A" w:rsidRDefault="00125707" w:rsidP="0023700C">
      <w:pPr>
        <w:pStyle w:val="Instructionsberschrift2"/>
        <w:numPr>
          <w:ilvl w:val="0"/>
          <w:numId w:val="0"/>
        </w:numPr>
        <w:ind w:left="357" w:hanging="357"/>
        <w:rPr>
          <w:rFonts w:ascii="Times New Roman" w:hAnsi="Times New Roman" w:cs="Times New Roman"/>
          <w:sz w:val="24"/>
        </w:rPr>
      </w:pPr>
      <w:bookmarkStart w:id="578" w:name="_Toc473561024"/>
      <w:bookmarkStart w:id="579" w:name="_Toc115857868"/>
      <w:r w:rsidRPr="00E07C9A">
        <w:rPr>
          <w:rFonts w:ascii="Times New Roman" w:hAnsi="Times New Roman" w:cs="Times New Roman"/>
          <w:sz w:val="24"/>
          <w:u w:val="none"/>
        </w:rPr>
        <w:t>4.2.1.</w:t>
      </w:r>
      <w:r w:rsidRPr="00E07C9A">
        <w:rPr>
          <w:rFonts w:ascii="Times New Roman" w:hAnsi="Times New Roman" w:cs="Times New Roman"/>
          <w:u w:val="none"/>
        </w:rPr>
        <w:tab/>
      </w:r>
      <w:r w:rsidRPr="00E07C9A">
        <w:rPr>
          <w:rFonts w:ascii="Times New Roman" w:hAnsi="Times New Roman" w:cs="Times New Roman"/>
          <w:sz w:val="24"/>
        </w:rPr>
        <w:t>Všeobecné poznámky</w:t>
      </w:r>
      <w:bookmarkEnd w:id="578"/>
      <w:bookmarkEnd w:id="579"/>
    </w:p>
    <w:p w14:paraId="0F8033A7" w14:textId="43B7A19D" w:rsidR="009912F8" w:rsidRPr="00E07C9A" w:rsidRDefault="002A18DE" w:rsidP="00487A02">
      <w:pPr>
        <w:pStyle w:val="InstructionsText2"/>
        <w:numPr>
          <w:ilvl w:val="0"/>
          <w:numId w:val="0"/>
        </w:numPr>
        <w:ind w:left="1353" w:hanging="360"/>
      </w:pPr>
      <w:fldSimple w:instr=" seq paragraphs ">
        <w:r w:rsidR="00132AEE">
          <w:rPr>
            <w:noProof/>
          </w:rPr>
          <w:t>142</w:t>
        </w:r>
      </w:fldSimple>
      <w:r w:rsidR="00C3070C" w:rsidRPr="00E07C9A">
        <w:t>.</w:t>
      </w:r>
      <w:r w:rsidR="00C3070C" w:rsidRPr="00E07C9A">
        <w:tab/>
        <w:t xml:space="preserve"> Vo vzore C 17.01 (OPR DETAILS 1) sa sumarizujú informácie</w:t>
      </w:r>
      <w:r w:rsidR="009912F8" w:rsidRPr="00E07C9A">
        <w:t xml:space="preserve"> o </w:t>
      </w:r>
      <w:r w:rsidR="00C3070C" w:rsidRPr="00E07C9A">
        <w:t>hrubých stratách</w:t>
      </w:r>
      <w:r w:rsidR="009912F8" w:rsidRPr="00E07C9A">
        <w:t xml:space="preserve"> a </w:t>
      </w:r>
      <w:r w:rsidR="00C3070C" w:rsidRPr="00E07C9A">
        <w:t>náhradách strát evidovaných inštitúciou</w:t>
      </w:r>
      <w:r w:rsidR="009912F8" w:rsidRPr="00E07C9A">
        <w:t xml:space="preserve"> v </w:t>
      </w:r>
      <w:r w:rsidR="00C3070C" w:rsidRPr="00E07C9A">
        <w:t>poslednom roku podľa druhov udalostí</w:t>
      </w:r>
      <w:r w:rsidR="009912F8" w:rsidRPr="00E07C9A">
        <w:t xml:space="preserve"> a </w:t>
      </w:r>
      <w:r w:rsidR="00C3070C" w:rsidRPr="00E07C9A">
        <w:t>obchodných línií. Vo vzore C 17.02 (OPR DETAILS 2) sa uvádzajú podrobné informácie</w:t>
      </w:r>
      <w:r w:rsidR="009912F8" w:rsidRPr="00E07C9A">
        <w:t xml:space="preserve"> o </w:t>
      </w:r>
      <w:r w:rsidR="00C3070C" w:rsidRPr="00E07C9A">
        <w:t>najväčších stratových udalostiach</w:t>
      </w:r>
      <w:r w:rsidR="009912F8" w:rsidRPr="00E07C9A">
        <w:t xml:space="preserve"> v </w:t>
      </w:r>
      <w:r w:rsidR="00C3070C" w:rsidRPr="00E07C9A">
        <w:t>poslednom roku</w:t>
      </w:r>
      <w:r w:rsidR="009912F8" w:rsidRPr="00E07C9A">
        <w:t>.</w:t>
      </w:r>
    </w:p>
    <w:p w14:paraId="504CA18E" w14:textId="3BF1720E" w:rsidR="00FD54FC" w:rsidRPr="00E07C9A" w:rsidRDefault="002A18DE" w:rsidP="00487A02">
      <w:pPr>
        <w:pStyle w:val="InstructionsText2"/>
        <w:numPr>
          <w:ilvl w:val="0"/>
          <w:numId w:val="0"/>
        </w:numPr>
        <w:ind w:left="1353" w:hanging="360"/>
      </w:pPr>
      <w:fldSimple w:instr=" seq paragraphs ">
        <w:r w:rsidR="00132AEE">
          <w:rPr>
            <w:noProof/>
          </w:rPr>
          <w:t>143</w:t>
        </w:r>
      </w:fldSimple>
      <w:r w:rsidR="00C3070C" w:rsidRPr="00E07C9A">
        <w:t>. Vzor C 17.01 ani vzor C 17.02 sa nevzťahujú na straty</w:t>
      </w:r>
      <w:r w:rsidR="009912F8" w:rsidRPr="00E07C9A">
        <w:t xml:space="preserve"> z </w:t>
      </w:r>
      <w:r w:rsidR="00C3070C" w:rsidRPr="00E07C9A">
        <w:t>operačného rizika, ktoré sa týkajú kreditného rizika</w:t>
      </w:r>
      <w:r w:rsidR="009912F8" w:rsidRPr="00E07C9A">
        <w:t xml:space="preserve"> a </w:t>
      </w:r>
      <w:r w:rsidR="00C3070C" w:rsidRPr="00E07C9A">
        <w:t>na ktoré sa vzťahujú požiadavky na vlastné zdroje pre kreditné riziko (hraničné udalosti kreditného operačného rizika).</w:t>
      </w:r>
    </w:p>
    <w:p w14:paraId="26DEA8B1" w14:textId="03D1699B" w:rsidR="00FD54FC" w:rsidRPr="00E07C9A" w:rsidRDefault="002A18DE" w:rsidP="00487A02">
      <w:pPr>
        <w:pStyle w:val="InstructionsText2"/>
        <w:numPr>
          <w:ilvl w:val="0"/>
          <w:numId w:val="0"/>
        </w:numPr>
        <w:ind w:left="1353" w:hanging="360"/>
      </w:pPr>
      <w:fldSimple w:instr=" seq paragraphs ">
        <w:r w:rsidR="00132AEE">
          <w:rPr>
            <w:noProof/>
          </w:rPr>
          <w:t>144</w:t>
        </w:r>
      </w:fldSimple>
      <w:r w:rsidR="00C3070C" w:rsidRPr="00E07C9A">
        <w:t>.</w:t>
      </w:r>
      <w:r w:rsidR="009912F8" w:rsidRPr="00E07C9A">
        <w:t xml:space="preserve"> V </w:t>
      </w:r>
      <w:r w:rsidR="00C3070C" w:rsidRPr="00E07C9A">
        <w:t>prípade kombinovaného použitia rôznych prístupov na výpočet požiadaviek na vlastné zdroje pre operačné riziko</w:t>
      </w:r>
      <w:r w:rsidR="009912F8" w:rsidRPr="00E07C9A">
        <w:t xml:space="preserve"> v </w:t>
      </w:r>
      <w:r w:rsidR="00C3070C" w:rsidRPr="00E07C9A">
        <w:t>súlade</w:t>
      </w:r>
      <w:r w:rsidR="009912F8" w:rsidRPr="00E07C9A">
        <w:t xml:space="preserve"> s </w:t>
      </w:r>
      <w:r w:rsidR="00C3070C" w:rsidRPr="00E07C9A">
        <w:t xml:space="preserve">článkom 314 nariadenia (EÚ) </w:t>
      </w:r>
      <w:r w:rsidR="009912F8" w:rsidRPr="00E07C9A">
        <w:t>č. 575/2013</w:t>
      </w:r>
      <w:r w:rsidR="00C3070C" w:rsidRPr="00E07C9A">
        <w:t xml:space="preserve"> sa straty</w:t>
      </w:r>
      <w:r w:rsidR="009912F8" w:rsidRPr="00E07C9A">
        <w:t xml:space="preserve"> a </w:t>
      </w:r>
      <w:r w:rsidR="00C3070C" w:rsidRPr="00E07C9A">
        <w:t>náhrady evidované inštitúciou vykazujú vo vzoroch C 17.01</w:t>
      </w:r>
      <w:r w:rsidR="009912F8" w:rsidRPr="00E07C9A">
        <w:t xml:space="preserve"> a </w:t>
      </w:r>
      <w:r w:rsidR="00C3070C" w:rsidRPr="00E07C9A">
        <w:t>C 17.02 bez ohľadu na prístup použitý na výpočet požiadaviek na vlastné zdroje.</w:t>
      </w:r>
    </w:p>
    <w:p w14:paraId="6F3C1F6A" w14:textId="3DC3B5C7" w:rsidR="009912F8" w:rsidRPr="00E07C9A" w:rsidRDefault="002A18DE" w:rsidP="00487A02">
      <w:pPr>
        <w:pStyle w:val="InstructionsText2"/>
        <w:numPr>
          <w:ilvl w:val="0"/>
          <w:numId w:val="0"/>
        </w:numPr>
        <w:ind w:left="1353" w:hanging="360"/>
      </w:pPr>
      <w:fldSimple w:instr=" seq paragraphs ">
        <w:r w:rsidR="00132AEE">
          <w:rPr>
            <w:noProof/>
          </w:rPr>
          <w:t>145</w:t>
        </w:r>
      </w:fldSimple>
      <w:r w:rsidR="00C3070C" w:rsidRPr="00E07C9A">
        <w:t>. „Hrubá strata“ je strata – ako sa uvádza</w:t>
      </w:r>
      <w:r w:rsidR="009912F8" w:rsidRPr="00E07C9A">
        <w:t xml:space="preserve"> v </w:t>
      </w:r>
      <w:r w:rsidR="00C3070C" w:rsidRPr="00E07C9A">
        <w:t xml:space="preserve">článku 322 ods. 3 písm. b) nariadenia (EÚ) </w:t>
      </w:r>
      <w:r w:rsidR="009912F8" w:rsidRPr="00E07C9A">
        <w:t>č. 575/2013</w:t>
      </w:r>
      <w:r w:rsidR="00C3070C" w:rsidRPr="00E07C9A">
        <w:t xml:space="preserve"> – vyplývajúca</w:t>
      </w:r>
      <w:r w:rsidR="009912F8" w:rsidRPr="00E07C9A">
        <w:t xml:space="preserve"> z </w:t>
      </w:r>
      <w:r w:rsidR="00C3070C" w:rsidRPr="00E07C9A">
        <w:t>udalosti operačného rizika alebo druhu stratovej udalosti pred náhradami akéhokoľvek druhu bez toho, aby boli dotknuté „udalosti rýchlo nahradenej straty“, ako sú vymedzené ďalej</w:t>
      </w:r>
      <w:r w:rsidR="009912F8" w:rsidRPr="00E07C9A">
        <w:t>.</w:t>
      </w:r>
    </w:p>
    <w:p w14:paraId="0D97147B" w14:textId="54DA893B" w:rsidR="00FD54FC" w:rsidRPr="00E07C9A" w:rsidRDefault="002A18DE" w:rsidP="00487A02">
      <w:pPr>
        <w:pStyle w:val="InstructionsText2"/>
        <w:numPr>
          <w:ilvl w:val="0"/>
          <w:numId w:val="0"/>
        </w:numPr>
        <w:ind w:left="1353" w:hanging="360"/>
      </w:pPr>
      <w:fldSimple w:instr=" seq paragraphs ">
        <w:r w:rsidR="00132AEE">
          <w:rPr>
            <w:noProof/>
          </w:rPr>
          <w:t>146</w:t>
        </w:r>
      </w:fldSimple>
      <w:r w:rsidR="00C3070C" w:rsidRPr="00E07C9A">
        <w:t>. „Náhrada“ je nezávislá udalosť súvisiaca</w:t>
      </w:r>
      <w:r w:rsidR="009912F8" w:rsidRPr="00E07C9A">
        <w:t xml:space="preserve"> s </w:t>
      </w:r>
      <w:r w:rsidR="00C3070C" w:rsidRPr="00E07C9A">
        <w:t>pôvodnou stratou</w:t>
      </w:r>
      <w:r w:rsidR="009912F8" w:rsidRPr="00E07C9A">
        <w:t xml:space="preserve"> z </w:t>
      </w:r>
      <w:r w:rsidR="00C3070C" w:rsidRPr="00E07C9A">
        <w:t>operačného rizika, ktorá je oddelená</w:t>
      </w:r>
      <w:r w:rsidR="009912F8" w:rsidRPr="00E07C9A">
        <w:t xml:space="preserve"> v </w:t>
      </w:r>
      <w:r w:rsidR="00C3070C" w:rsidRPr="00E07C9A">
        <w:t>čase, pri ktorej sa prijímajú zdroje alebo kladné peňažné toky hospodárskych úžitkov od prvej alebo tretej strany, napríklad od poisťovní alebo iných strán. Náhrady sa rozčleňujú na náhrady</w:t>
      </w:r>
      <w:r w:rsidR="009912F8" w:rsidRPr="00E07C9A">
        <w:t xml:space="preserve"> z </w:t>
      </w:r>
      <w:r w:rsidR="00C3070C" w:rsidRPr="00E07C9A">
        <w:t>poistenia</w:t>
      </w:r>
      <w:r w:rsidR="009912F8" w:rsidRPr="00E07C9A">
        <w:t xml:space="preserve"> a </w:t>
      </w:r>
      <w:r w:rsidR="00C3070C" w:rsidRPr="00E07C9A">
        <w:t>iných mechanizmov prenosu rizika</w:t>
      </w:r>
      <w:r w:rsidR="009912F8" w:rsidRPr="00E07C9A">
        <w:t xml:space="preserve"> a </w:t>
      </w:r>
      <w:r w:rsidR="00C3070C" w:rsidRPr="00E07C9A">
        <w:t>priame náhrady.</w:t>
      </w:r>
    </w:p>
    <w:p w14:paraId="77F96781" w14:textId="58CDE388" w:rsidR="00FD54FC" w:rsidRPr="00E07C9A" w:rsidRDefault="002A18DE" w:rsidP="00487A02">
      <w:pPr>
        <w:pStyle w:val="InstructionsText2"/>
        <w:numPr>
          <w:ilvl w:val="0"/>
          <w:numId w:val="0"/>
        </w:numPr>
        <w:ind w:left="1353" w:hanging="360"/>
      </w:pPr>
      <w:fldSimple w:instr=" seq paragraphs ">
        <w:r w:rsidR="00132AEE">
          <w:rPr>
            <w:noProof/>
          </w:rPr>
          <w:t>147</w:t>
        </w:r>
      </w:fldSimple>
      <w:r w:rsidR="00C3070C" w:rsidRPr="00E07C9A">
        <w:t>.</w:t>
      </w:r>
      <w:r w:rsidR="00C3070C" w:rsidRPr="00E07C9A">
        <w:tab/>
        <w:t xml:space="preserve"> „Udalosti rýchlo nahradenej straty“ sú udalosti operačného rizika, ktoré vedú</w:t>
      </w:r>
      <w:r w:rsidR="009912F8" w:rsidRPr="00E07C9A">
        <w:t xml:space="preserve"> k </w:t>
      </w:r>
      <w:r w:rsidR="00C3070C" w:rsidRPr="00E07C9A">
        <w:t>stratám, ktoré sú čiastočne alebo plne nahradené do piatich pracovných dní.</w:t>
      </w:r>
      <w:r w:rsidR="009912F8" w:rsidRPr="00E07C9A">
        <w:t xml:space="preserve"> V </w:t>
      </w:r>
      <w:r w:rsidR="00C3070C" w:rsidRPr="00E07C9A">
        <w:t>prípade udalosti rýchlo nahradenej straty sa do vymedzenia hrubej straty zahŕňa len tá časť straty, ktorá nie je plne nahradená (t. j. čistá strata čiastočného rýchleho nahradenia).</w:t>
      </w:r>
      <w:r w:rsidR="009912F8" w:rsidRPr="00E07C9A">
        <w:t xml:space="preserve"> V </w:t>
      </w:r>
      <w:r w:rsidR="00C3070C" w:rsidRPr="00E07C9A">
        <w:t>dôsledku toho sa stratové udalosti, ktoré vedú</w:t>
      </w:r>
      <w:r w:rsidR="009912F8" w:rsidRPr="00E07C9A">
        <w:t xml:space="preserve"> k </w:t>
      </w:r>
      <w:r w:rsidR="00C3070C" w:rsidRPr="00E07C9A">
        <w:t>stratám, ktoré sú plne nahradené do piatich pracovných dní, nezahŕňajú do vymedzenia hrubej straty, ani do vykazovania</w:t>
      </w:r>
      <w:r w:rsidR="009912F8" w:rsidRPr="00E07C9A">
        <w:t xml:space="preserve"> v </w:t>
      </w:r>
      <w:r w:rsidR="00C3070C" w:rsidRPr="00E07C9A">
        <w:t>rámci OPR DETAILS.</w:t>
      </w:r>
    </w:p>
    <w:p w14:paraId="14CB9103" w14:textId="7C6269F8" w:rsidR="009912F8" w:rsidRPr="00E07C9A" w:rsidRDefault="002A18DE" w:rsidP="00487A02">
      <w:pPr>
        <w:pStyle w:val="InstructionsText2"/>
        <w:numPr>
          <w:ilvl w:val="0"/>
          <w:numId w:val="0"/>
        </w:numPr>
        <w:ind w:left="1353" w:hanging="360"/>
      </w:pPr>
      <w:fldSimple w:instr=" seq paragraphs ">
        <w:r w:rsidR="00132AEE">
          <w:rPr>
            <w:noProof/>
          </w:rPr>
          <w:t>148</w:t>
        </w:r>
      </w:fldSimple>
      <w:r w:rsidR="00C3070C" w:rsidRPr="00E07C9A">
        <w:t>.</w:t>
      </w:r>
      <w:r w:rsidR="00C3070C" w:rsidRPr="00E07C9A">
        <w:tab/>
        <w:t xml:space="preserve"> „Dátum zaúčtovania“ je dátum, keď bola strata alebo rezerva prvýkrát vykázaná vo výkaze ziskov</w:t>
      </w:r>
      <w:r w:rsidR="009912F8" w:rsidRPr="00E07C9A">
        <w:t xml:space="preserve"> a </w:t>
      </w:r>
      <w:r w:rsidR="00C3070C" w:rsidRPr="00E07C9A">
        <w:t>strát oproti strate</w:t>
      </w:r>
      <w:r w:rsidR="009912F8" w:rsidRPr="00E07C9A">
        <w:t xml:space="preserve"> z </w:t>
      </w:r>
      <w:r w:rsidR="00C3070C" w:rsidRPr="00E07C9A">
        <w:t>operačného rizika. Tento dátum logicky nasleduje po „dátume výskytu udalosti“ (t. j. dátume, kedy nastala alebo sa prvýkrát začala udalosť operačného rizika)</w:t>
      </w:r>
      <w:r w:rsidR="009912F8" w:rsidRPr="00E07C9A">
        <w:t xml:space="preserve"> a </w:t>
      </w:r>
      <w:r w:rsidR="00C3070C" w:rsidRPr="00E07C9A">
        <w:t>„dátume zistenia“ (t. j. dátume, keď sa inštitúcia dozvedela</w:t>
      </w:r>
      <w:r w:rsidR="009912F8" w:rsidRPr="00E07C9A">
        <w:t xml:space="preserve"> o </w:t>
      </w:r>
      <w:r w:rsidR="00C3070C" w:rsidRPr="00E07C9A">
        <w:t>udalosti operačného rizika)</w:t>
      </w:r>
      <w:r w:rsidR="009912F8" w:rsidRPr="00E07C9A">
        <w:t>.</w:t>
      </w:r>
    </w:p>
    <w:p w14:paraId="6F9C7A18" w14:textId="1570F2B5" w:rsidR="00FD54FC" w:rsidRPr="00E07C9A" w:rsidRDefault="002A18DE" w:rsidP="00487A02">
      <w:pPr>
        <w:pStyle w:val="InstructionsText2"/>
        <w:numPr>
          <w:ilvl w:val="0"/>
          <w:numId w:val="0"/>
        </w:numPr>
        <w:ind w:left="1353" w:hanging="360"/>
      </w:pPr>
      <w:fldSimple w:instr=" seq paragraphs ">
        <w:r w:rsidR="00132AEE">
          <w:rPr>
            <w:noProof/>
          </w:rPr>
          <w:t>149</w:t>
        </w:r>
      </w:fldSimple>
      <w:r w:rsidR="00C3070C" w:rsidRPr="00E07C9A">
        <w:t>.</w:t>
      </w:r>
      <w:r w:rsidR="00C3070C" w:rsidRPr="00E07C9A">
        <w:tab/>
        <w:t xml:space="preserve"> Straty spôsobené spoločnou udalosťou operačného rizika alebo viacerými udalosťami súvisiacimi</w:t>
      </w:r>
      <w:r w:rsidR="009912F8" w:rsidRPr="00E07C9A">
        <w:t xml:space="preserve"> s </w:t>
      </w:r>
      <w:r w:rsidR="00C3070C" w:rsidRPr="00E07C9A">
        <w:t>počiatočnou udalosťou operačného rizika, ktorá zapríčinila udalosti alebo straty („základná udalosť“), sa zoskupujú. Zoskupené udalosti sa považujú za jednu udalosť</w:t>
      </w:r>
      <w:r w:rsidR="009912F8" w:rsidRPr="00E07C9A">
        <w:t xml:space="preserve"> a </w:t>
      </w:r>
      <w:r w:rsidR="00C3070C" w:rsidRPr="00E07C9A">
        <w:t>vykazujú sa ako jedna udalosť,</w:t>
      </w:r>
      <w:r w:rsidR="009912F8" w:rsidRPr="00E07C9A">
        <w:t xml:space="preserve"> a </w:t>
      </w:r>
      <w:r w:rsidR="00C3070C" w:rsidRPr="00E07C9A">
        <w:t>preto sa súvisiace výšky hrubých strát, resp. výšky stratových úprav spočítavajú.</w:t>
      </w:r>
    </w:p>
    <w:p w14:paraId="6104E60D" w14:textId="26DB81C1" w:rsidR="00FD54FC" w:rsidRPr="00E07C9A" w:rsidRDefault="002A18DE" w:rsidP="00487A02">
      <w:pPr>
        <w:pStyle w:val="InstructionsText2"/>
        <w:numPr>
          <w:ilvl w:val="0"/>
          <w:numId w:val="0"/>
        </w:numPr>
        <w:ind w:left="1353" w:hanging="360"/>
      </w:pPr>
      <w:fldSimple w:instr=" seq paragraphs ">
        <w:r w:rsidR="00132AEE">
          <w:rPr>
            <w:noProof/>
          </w:rPr>
          <w:t>150</w:t>
        </w:r>
      </w:fldSimple>
      <w:r w:rsidR="00C3070C" w:rsidRPr="00E07C9A">
        <w:t>.</w:t>
      </w:r>
      <w:r w:rsidR="00C3070C" w:rsidRPr="00E07C9A">
        <w:tab/>
        <w:t xml:space="preserve"> Čísla vykázané</w:t>
      </w:r>
      <w:r w:rsidR="009912F8" w:rsidRPr="00E07C9A">
        <w:t xml:space="preserve"> v </w:t>
      </w:r>
      <w:r w:rsidR="00C3070C" w:rsidRPr="00E07C9A">
        <w:t>júni príslušného roku sú predbežné čísla, pričom konečné čísla sa vykazujú</w:t>
      </w:r>
      <w:r w:rsidR="009912F8" w:rsidRPr="00E07C9A">
        <w:t xml:space="preserve"> v </w:t>
      </w:r>
      <w:r w:rsidR="00C3070C" w:rsidRPr="00E07C9A">
        <w:t>decembri. Preto majú čísla</w:t>
      </w:r>
      <w:r w:rsidR="009912F8" w:rsidRPr="00E07C9A">
        <w:t xml:space="preserve"> v </w:t>
      </w:r>
      <w:r w:rsidR="00C3070C" w:rsidRPr="00E07C9A">
        <w:t>júni šesťmesačné referenčné obdobie (t. j. od 1</w:t>
      </w:r>
      <w:r w:rsidR="009912F8" w:rsidRPr="00E07C9A">
        <w:t>. januára</w:t>
      </w:r>
      <w:r w:rsidR="00C3070C" w:rsidRPr="00E07C9A">
        <w:t xml:space="preserve"> do 30</w:t>
      </w:r>
      <w:r w:rsidR="009912F8" w:rsidRPr="00E07C9A">
        <w:t>. júna</w:t>
      </w:r>
      <w:r w:rsidR="00C3070C" w:rsidRPr="00E07C9A">
        <w:t xml:space="preserve"> kalendárneho roka), zatiaľ čo čísla</w:t>
      </w:r>
      <w:r w:rsidR="009912F8" w:rsidRPr="00E07C9A">
        <w:t xml:space="preserve"> v </w:t>
      </w:r>
      <w:r w:rsidR="00C3070C" w:rsidRPr="00E07C9A">
        <w:t>decembri majú dvanásťmesačné referenčné obdobie (t. j. od 1</w:t>
      </w:r>
      <w:r w:rsidR="009912F8" w:rsidRPr="00E07C9A">
        <w:t>. januára</w:t>
      </w:r>
      <w:r w:rsidR="00C3070C" w:rsidRPr="00E07C9A">
        <w:t xml:space="preserve"> do 31</w:t>
      </w:r>
      <w:r w:rsidR="009912F8" w:rsidRPr="00E07C9A">
        <w:t>. decembra</w:t>
      </w:r>
      <w:r w:rsidR="00C3070C" w:rsidRPr="00E07C9A">
        <w:t xml:space="preserve"> kalendárneho roka). Pri údajoch vykazovaných</w:t>
      </w:r>
      <w:r w:rsidR="009912F8" w:rsidRPr="00E07C9A">
        <w:t xml:space="preserve"> v </w:t>
      </w:r>
      <w:r w:rsidR="00C3070C" w:rsidRPr="00E07C9A">
        <w:t>júni aj</w:t>
      </w:r>
      <w:r w:rsidR="009912F8" w:rsidRPr="00E07C9A">
        <w:t xml:space="preserve"> v </w:t>
      </w:r>
      <w:r w:rsidR="00C3070C" w:rsidRPr="00E07C9A">
        <w:t>decembri sú „predchádzajúce referenčné obdobia vykazovania“ všetky referenčné obdobia vykazovania až do obdobia vykazovania, ktoré sa končí na konci predchádzajúceho kalendárneho roka, vrátane tohto obdobia.</w:t>
      </w:r>
    </w:p>
    <w:p w14:paraId="13FA59F7" w14:textId="77777777" w:rsidR="00FD54FC" w:rsidRPr="00E07C9A" w:rsidRDefault="00FD54FC" w:rsidP="00487A02">
      <w:pPr>
        <w:pStyle w:val="InstructionsText2"/>
        <w:numPr>
          <w:ilvl w:val="0"/>
          <w:numId w:val="0"/>
        </w:numPr>
        <w:ind w:left="1353" w:hanging="360"/>
      </w:pPr>
    </w:p>
    <w:p w14:paraId="065A1906" w14:textId="4FC51D19" w:rsidR="00FD54FC" w:rsidRPr="00E07C9A" w:rsidRDefault="00125707" w:rsidP="0023700C">
      <w:pPr>
        <w:pStyle w:val="Instructionsberschrift2"/>
        <w:numPr>
          <w:ilvl w:val="0"/>
          <w:numId w:val="0"/>
        </w:numPr>
        <w:ind w:left="357" w:hanging="357"/>
        <w:rPr>
          <w:rFonts w:ascii="Times New Roman" w:hAnsi="Times New Roman" w:cs="Times New Roman"/>
          <w:sz w:val="24"/>
        </w:rPr>
      </w:pPr>
      <w:bookmarkStart w:id="580" w:name="_Toc473561025"/>
      <w:bookmarkStart w:id="581" w:name="_Toc115857869"/>
      <w:r w:rsidRPr="00E07C9A">
        <w:rPr>
          <w:rFonts w:ascii="Times New Roman" w:hAnsi="Times New Roman" w:cs="Times New Roman"/>
          <w:sz w:val="24"/>
          <w:u w:val="none"/>
        </w:rPr>
        <w:t>4.2.2.</w:t>
      </w:r>
      <w:r w:rsidRPr="00E07C9A">
        <w:rPr>
          <w:rFonts w:ascii="Times New Roman" w:hAnsi="Times New Roman" w:cs="Times New Roman"/>
        </w:rPr>
        <w:tab/>
      </w:r>
      <w:r w:rsidRPr="00E07C9A">
        <w:rPr>
          <w:rFonts w:ascii="Times New Roman" w:hAnsi="Times New Roman" w:cs="Times New Roman"/>
          <w:sz w:val="24"/>
        </w:rPr>
        <w:t>C 17.01: Straty</w:t>
      </w:r>
      <w:r w:rsidR="009912F8" w:rsidRPr="00E07C9A">
        <w:rPr>
          <w:rFonts w:ascii="Times New Roman" w:hAnsi="Times New Roman" w:cs="Times New Roman"/>
          <w:sz w:val="24"/>
        </w:rPr>
        <w:t xml:space="preserve"> a </w:t>
      </w:r>
      <w:r w:rsidRPr="00E07C9A">
        <w:rPr>
          <w:rFonts w:ascii="Times New Roman" w:hAnsi="Times New Roman" w:cs="Times New Roman"/>
          <w:sz w:val="24"/>
        </w:rPr>
        <w:t>náhrady</w:t>
      </w:r>
      <w:r w:rsidR="009912F8" w:rsidRPr="00E07C9A">
        <w:rPr>
          <w:rFonts w:ascii="Times New Roman" w:hAnsi="Times New Roman" w:cs="Times New Roman"/>
          <w:sz w:val="24"/>
        </w:rPr>
        <w:t xml:space="preserve"> z </w:t>
      </w:r>
      <w:r w:rsidRPr="00E07C9A">
        <w:rPr>
          <w:rFonts w:ascii="Times New Roman" w:hAnsi="Times New Roman" w:cs="Times New Roman"/>
          <w:sz w:val="24"/>
        </w:rPr>
        <w:t>operačného rizika podľa obchodných línií</w:t>
      </w:r>
      <w:r w:rsidR="009912F8" w:rsidRPr="00E07C9A">
        <w:rPr>
          <w:rFonts w:ascii="Times New Roman" w:hAnsi="Times New Roman" w:cs="Times New Roman"/>
          <w:sz w:val="24"/>
        </w:rPr>
        <w:t xml:space="preserve"> a </w:t>
      </w:r>
      <w:r w:rsidRPr="00E07C9A">
        <w:rPr>
          <w:rFonts w:ascii="Times New Roman" w:hAnsi="Times New Roman" w:cs="Times New Roman"/>
          <w:sz w:val="24"/>
        </w:rPr>
        <w:t>druhov stratových udalostí</w:t>
      </w:r>
      <w:r w:rsidR="009912F8" w:rsidRPr="00E07C9A">
        <w:rPr>
          <w:rFonts w:ascii="Times New Roman" w:hAnsi="Times New Roman" w:cs="Times New Roman"/>
          <w:sz w:val="24"/>
        </w:rPr>
        <w:t xml:space="preserve"> v </w:t>
      </w:r>
      <w:r w:rsidRPr="00E07C9A">
        <w:rPr>
          <w:rFonts w:ascii="Times New Roman" w:hAnsi="Times New Roman" w:cs="Times New Roman"/>
          <w:sz w:val="24"/>
        </w:rPr>
        <w:t>poslednom roku (OPR DETAILS 1)</w:t>
      </w:r>
      <w:bookmarkEnd w:id="580"/>
      <w:bookmarkEnd w:id="581"/>
    </w:p>
    <w:p w14:paraId="497EA8D0" w14:textId="77777777" w:rsidR="00FD54FC" w:rsidRPr="00E07C9A" w:rsidRDefault="00125707" w:rsidP="0023700C">
      <w:pPr>
        <w:pStyle w:val="Instructionsberschrift2"/>
        <w:numPr>
          <w:ilvl w:val="0"/>
          <w:numId w:val="0"/>
        </w:numPr>
        <w:ind w:left="357" w:hanging="357"/>
        <w:rPr>
          <w:rFonts w:ascii="Times New Roman" w:hAnsi="Times New Roman" w:cs="Times New Roman"/>
          <w:sz w:val="24"/>
        </w:rPr>
      </w:pPr>
      <w:bookmarkStart w:id="582" w:name="_Toc473561026"/>
      <w:bookmarkStart w:id="583" w:name="_Toc115857870"/>
      <w:r w:rsidRPr="00E07C9A">
        <w:rPr>
          <w:rFonts w:ascii="Times New Roman" w:hAnsi="Times New Roman" w:cs="Times New Roman"/>
          <w:sz w:val="24"/>
          <w:u w:val="none"/>
        </w:rPr>
        <w:t>4.2.2.1.</w:t>
      </w:r>
      <w:r w:rsidRPr="00E07C9A">
        <w:rPr>
          <w:rFonts w:ascii="Times New Roman" w:hAnsi="Times New Roman" w:cs="Times New Roman"/>
          <w:u w:val="none"/>
        </w:rPr>
        <w:tab/>
      </w:r>
      <w:r w:rsidRPr="00E07C9A">
        <w:rPr>
          <w:rFonts w:ascii="Times New Roman" w:hAnsi="Times New Roman" w:cs="Times New Roman"/>
          <w:sz w:val="24"/>
        </w:rPr>
        <w:t>Všeobecné poznámky</w:t>
      </w:r>
      <w:bookmarkEnd w:id="582"/>
      <w:bookmarkEnd w:id="583"/>
    </w:p>
    <w:p w14:paraId="1B1EFECB" w14:textId="7C1D1D37" w:rsidR="00FD54FC" w:rsidRPr="00E07C9A" w:rsidRDefault="002A18DE" w:rsidP="00487A02">
      <w:pPr>
        <w:pStyle w:val="InstructionsText2"/>
        <w:numPr>
          <w:ilvl w:val="0"/>
          <w:numId w:val="0"/>
        </w:numPr>
        <w:ind w:left="1353" w:hanging="360"/>
      </w:pPr>
      <w:fldSimple w:instr=" seq paragraphs ">
        <w:r w:rsidR="00132AEE">
          <w:rPr>
            <w:noProof/>
          </w:rPr>
          <w:t>151</w:t>
        </w:r>
      </w:fldSimple>
      <w:r w:rsidR="00C3070C" w:rsidRPr="00E07C9A">
        <w:t>. Vo vzore C 17.01 sa informácie prezentujú tak, že sa straty</w:t>
      </w:r>
      <w:r w:rsidR="009912F8" w:rsidRPr="00E07C9A">
        <w:t xml:space="preserve"> a </w:t>
      </w:r>
      <w:r w:rsidR="00C3070C" w:rsidRPr="00E07C9A">
        <w:t>náhrady nad úrovňou interných prahových hodnôt rozdelia medzi obchodné línie [ako sa uvádza</w:t>
      </w:r>
      <w:r w:rsidR="009912F8" w:rsidRPr="00E07C9A">
        <w:t xml:space="preserve"> v </w:t>
      </w:r>
      <w:r w:rsidR="00C3070C" w:rsidRPr="00E07C9A">
        <w:t xml:space="preserve">tabuľke 2 článku 317 nariadenia (EÚ) </w:t>
      </w:r>
      <w:r w:rsidR="009912F8" w:rsidRPr="00E07C9A">
        <w:t>č. 575/2013</w:t>
      </w:r>
      <w:r w:rsidR="00C3070C" w:rsidRPr="00E07C9A">
        <w:t xml:space="preserve">, vrátane dodatočnej obchodnej línie „podnikové položky“ podľa článku 322 ods. 3 písm. b) nariadenia (EÚ) </w:t>
      </w:r>
      <w:r w:rsidR="009912F8" w:rsidRPr="00E07C9A">
        <w:t>č. 575/2013</w:t>
      </w:r>
      <w:r w:rsidR="00C3070C" w:rsidRPr="00E07C9A">
        <w:t>]</w:t>
      </w:r>
      <w:r w:rsidR="009912F8" w:rsidRPr="00E07C9A">
        <w:t xml:space="preserve"> a </w:t>
      </w:r>
      <w:r w:rsidR="00C3070C" w:rsidRPr="00E07C9A">
        <w:t xml:space="preserve">druhy stratových udalostí [podľa článku 324 nariadenia (EÚ) </w:t>
      </w:r>
      <w:r w:rsidR="009912F8" w:rsidRPr="00E07C9A">
        <w:t>č. 575/2013</w:t>
      </w:r>
      <w:r w:rsidR="00C3070C" w:rsidRPr="00E07C9A">
        <w:t>]. Je možné, že straty prislúchajúce jednej stratovej udalosti sa rozdelia medzi viaceré obchodné línie.</w:t>
      </w:r>
    </w:p>
    <w:p w14:paraId="0F217350" w14:textId="2BC5D919" w:rsidR="00FD54FC" w:rsidRPr="00E07C9A" w:rsidRDefault="002A18DE" w:rsidP="00487A02">
      <w:pPr>
        <w:pStyle w:val="InstructionsText2"/>
        <w:numPr>
          <w:ilvl w:val="0"/>
          <w:numId w:val="0"/>
        </w:numPr>
        <w:ind w:left="1353" w:hanging="360"/>
      </w:pPr>
      <w:fldSimple w:instr=" seq paragraphs ">
        <w:r w:rsidR="00132AEE">
          <w:rPr>
            <w:noProof/>
          </w:rPr>
          <w:t>152</w:t>
        </w:r>
      </w:fldSimple>
      <w:r w:rsidR="00C3070C" w:rsidRPr="00E07C9A">
        <w:t>. Stĺpce predstavujú rôzne druhy stratových udalostí</w:t>
      </w:r>
      <w:r w:rsidR="009912F8" w:rsidRPr="00E07C9A">
        <w:t xml:space="preserve"> a </w:t>
      </w:r>
      <w:r w:rsidR="00C3070C" w:rsidRPr="00E07C9A">
        <w:t>celkové hodnoty pre každú obchodnú líniu spoločne</w:t>
      </w:r>
      <w:r w:rsidR="009912F8" w:rsidRPr="00E07C9A">
        <w:t xml:space="preserve"> s </w:t>
      </w:r>
      <w:r w:rsidR="00C3070C" w:rsidRPr="00E07C9A">
        <w:t>doplňujúcou položkou,</w:t>
      </w:r>
      <w:r w:rsidR="009912F8" w:rsidRPr="00E07C9A">
        <w:t xml:space="preserve"> v </w:t>
      </w:r>
      <w:r w:rsidR="00C3070C" w:rsidRPr="00E07C9A">
        <w:t>ktorej sa uvádza najnižšia interná prahová hodnota uplatňovaná pri zbere údajov</w:t>
      </w:r>
      <w:r w:rsidR="009912F8" w:rsidRPr="00E07C9A">
        <w:t xml:space="preserve"> o </w:t>
      </w:r>
      <w:r w:rsidR="00C3070C" w:rsidRPr="00E07C9A">
        <w:t>stratách,</w:t>
      </w:r>
      <w:r w:rsidR="009912F8" w:rsidRPr="00E07C9A">
        <w:t xml:space="preserve"> a v </w:t>
      </w:r>
      <w:r w:rsidR="00C3070C" w:rsidRPr="00E07C9A">
        <w:t>rámci každej obchodnej línie sa uvádza najnižšia</w:t>
      </w:r>
      <w:r w:rsidR="009912F8" w:rsidRPr="00E07C9A">
        <w:t xml:space="preserve"> a </w:t>
      </w:r>
      <w:r w:rsidR="00C3070C" w:rsidRPr="00E07C9A">
        <w:t>najvyššia prahová hodnota, ak je prahových hodnôt viac.</w:t>
      </w:r>
    </w:p>
    <w:p w14:paraId="11517512" w14:textId="3B400055" w:rsidR="00FD54FC" w:rsidRPr="00E07C9A" w:rsidRDefault="002A18DE" w:rsidP="00487A02">
      <w:pPr>
        <w:pStyle w:val="InstructionsText2"/>
        <w:numPr>
          <w:ilvl w:val="0"/>
          <w:numId w:val="0"/>
        </w:numPr>
        <w:ind w:left="1353" w:hanging="360"/>
      </w:pPr>
      <w:fldSimple w:instr=" seq paragraphs ">
        <w:r w:rsidR="00132AEE">
          <w:rPr>
            <w:noProof/>
          </w:rPr>
          <w:t>153</w:t>
        </w:r>
      </w:fldSimple>
      <w:r w:rsidR="00C3070C" w:rsidRPr="00E07C9A">
        <w:t>.</w:t>
      </w:r>
      <w:r w:rsidR="00C3070C" w:rsidRPr="00E07C9A">
        <w:tab/>
        <w:t xml:space="preserve"> Riadky predstavujú obchodné línie</w:t>
      </w:r>
      <w:r w:rsidR="009912F8" w:rsidRPr="00E07C9A">
        <w:t xml:space="preserve"> a v </w:t>
      </w:r>
      <w:r w:rsidR="00C3070C" w:rsidRPr="00E07C9A">
        <w:t>rámci každej obchodnej línie informácie</w:t>
      </w:r>
      <w:r w:rsidR="009912F8" w:rsidRPr="00E07C9A">
        <w:t xml:space="preserve"> o </w:t>
      </w:r>
      <w:r w:rsidR="00C3070C" w:rsidRPr="00E07C9A">
        <w:t>počte stratových udalostí (nové stratové udalosti), výške hrubej straty (nové stratové udalosti), počte stratových udalostí podliehajúcich stratovým úpravám, stratových úpravách týkajúcich sa predchádzajúcich období vykazovania, maximálnej samostatnej strate, súčte piatich najväčších strát</w:t>
      </w:r>
      <w:r w:rsidR="009912F8" w:rsidRPr="00E07C9A">
        <w:t xml:space="preserve"> a </w:t>
      </w:r>
      <w:r w:rsidR="00C3070C" w:rsidRPr="00E07C9A">
        <w:t>celkových náhradách strát (priame náhrady strát, ako aj náhrady</w:t>
      </w:r>
      <w:r w:rsidR="009912F8" w:rsidRPr="00E07C9A">
        <w:t xml:space="preserve"> z </w:t>
      </w:r>
      <w:r w:rsidR="00C3070C" w:rsidRPr="00E07C9A">
        <w:t>poistenia</w:t>
      </w:r>
      <w:r w:rsidR="009912F8" w:rsidRPr="00E07C9A">
        <w:t xml:space="preserve"> a </w:t>
      </w:r>
      <w:r w:rsidR="00C3070C" w:rsidRPr="00E07C9A">
        <w:t>iných mechanizmov prenosu rizika).</w:t>
      </w:r>
    </w:p>
    <w:p w14:paraId="7D04DF12" w14:textId="042BCBB4" w:rsidR="00FD54FC" w:rsidRPr="00E07C9A" w:rsidRDefault="002A18DE" w:rsidP="00487A02">
      <w:pPr>
        <w:pStyle w:val="InstructionsText2"/>
        <w:numPr>
          <w:ilvl w:val="0"/>
          <w:numId w:val="0"/>
        </w:numPr>
        <w:ind w:left="1353" w:hanging="360"/>
      </w:pPr>
      <w:fldSimple w:instr=" seq paragraphs ">
        <w:r w:rsidR="00132AEE">
          <w:rPr>
            <w:noProof/>
          </w:rPr>
          <w:t>154</w:t>
        </w:r>
      </w:fldSimple>
      <w:r w:rsidR="00C3070C" w:rsidRPr="00E07C9A">
        <w:t>. Pri určitých rozpätiach založených na určených prahových hodnotách, t. j. 10 000, 20 000, 100 000</w:t>
      </w:r>
      <w:r w:rsidR="009912F8" w:rsidRPr="00E07C9A">
        <w:t xml:space="preserve"> a </w:t>
      </w:r>
      <w:r w:rsidR="00C3070C" w:rsidRPr="00E07C9A">
        <w:t>1 000 000, sa pre celkové obchodné línie vykazujú aj údaje</w:t>
      </w:r>
      <w:r w:rsidR="009912F8" w:rsidRPr="00E07C9A">
        <w:t xml:space="preserve"> o </w:t>
      </w:r>
      <w:r w:rsidR="00C3070C" w:rsidRPr="00E07C9A">
        <w:t>počte stratových udalostí</w:t>
      </w:r>
      <w:r w:rsidR="009912F8" w:rsidRPr="00E07C9A">
        <w:t xml:space="preserve"> a </w:t>
      </w:r>
      <w:r w:rsidR="00C3070C" w:rsidRPr="00E07C9A">
        <w:t>výška hrubej straty. Prahové hodnoty sú stanovené</w:t>
      </w:r>
      <w:r w:rsidR="009912F8" w:rsidRPr="00E07C9A">
        <w:t xml:space="preserve"> v </w:t>
      </w:r>
      <w:r w:rsidR="00C3070C" w:rsidRPr="00E07C9A">
        <w:t>eurách</w:t>
      </w:r>
      <w:r w:rsidR="009912F8" w:rsidRPr="00E07C9A">
        <w:t xml:space="preserve"> a </w:t>
      </w:r>
      <w:r w:rsidR="00C3070C" w:rsidRPr="00E07C9A">
        <w:t>zahŕňajú sa na účely porovnateľnosti vykázaných strát medzi inštitúciami. Uvedené prahové hodnoty sa preto nemusia týkať minimálnych prahových hodnôt straty používaných na zber interných údajov</w:t>
      </w:r>
      <w:r w:rsidR="009912F8" w:rsidRPr="00E07C9A">
        <w:t xml:space="preserve"> o </w:t>
      </w:r>
      <w:r w:rsidR="00C3070C" w:rsidRPr="00E07C9A">
        <w:t>strate, ktoré sa majú vykazovať</w:t>
      </w:r>
      <w:r w:rsidR="009912F8" w:rsidRPr="00E07C9A">
        <w:t xml:space="preserve"> v </w:t>
      </w:r>
      <w:r w:rsidR="00C3070C" w:rsidRPr="00E07C9A">
        <w:t>inej časti vzoru.</w:t>
      </w:r>
    </w:p>
    <w:p w14:paraId="3EEEA3D5" w14:textId="3049F7A0" w:rsidR="00FD54FC" w:rsidRPr="00E07C9A" w:rsidRDefault="00125707" w:rsidP="0023700C">
      <w:pPr>
        <w:pStyle w:val="Instructionsberschrift2"/>
        <w:numPr>
          <w:ilvl w:val="0"/>
          <w:numId w:val="0"/>
        </w:numPr>
        <w:ind w:left="357" w:hanging="357"/>
        <w:rPr>
          <w:rFonts w:ascii="Times New Roman" w:hAnsi="Times New Roman" w:cs="Times New Roman"/>
          <w:sz w:val="24"/>
        </w:rPr>
      </w:pPr>
      <w:bookmarkStart w:id="584" w:name="_Toc473561027"/>
      <w:bookmarkStart w:id="585" w:name="_Toc115857871"/>
      <w:r w:rsidRPr="00E07C9A">
        <w:rPr>
          <w:rFonts w:ascii="Times New Roman" w:hAnsi="Times New Roman" w:cs="Times New Roman"/>
          <w:sz w:val="24"/>
          <w:u w:val="none"/>
        </w:rPr>
        <w:t>4.2.2.2.</w:t>
      </w:r>
      <w:r w:rsidRPr="00E07C9A">
        <w:rPr>
          <w:rFonts w:ascii="Times New Roman" w:hAnsi="Times New Roman" w:cs="Times New Roman"/>
          <w:u w:val="none"/>
        </w:rPr>
        <w:tab/>
      </w:r>
      <w:r w:rsidRPr="00E07C9A">
        <w:rPr>
          <w:rFonts w:ascii="Times New Roman" w:hAnsi="Times New Roman" w:cs="Times New Roman"/>
          <w:sz w:val="24"/>
        </w:rPr>
        <w:t>Pokyny týkajúce sa konkrétnych pozícií</w:t>
      </w:r>
      <w:bookmarkEnd w:id="584"/>
      <w:bookmarkEnd w:id="58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0"/>
        <w:gridCol w:w="8082"/>
      </w:tblGrid>
      <w:tr w:rsidR="00FD54FC" w:rsidRPr="00E07C9A" w14:paraId="5673A92F" w14:textId="77777777" w:rsidTr="00672D2A">
        <w:trPr>
          <w:trHeight w:val="576"/>
        </w:trPr>
        <w:tc>
          <w:tcPr>
            <w:tcW w:w="9180" w:type="dxa"/>
            <w:gridSpan w:val="2"/>
            <w:shd w:val="clear" w:color="auto" w:fill="CCCCCC"/>
          </w:tcPr>
          <w:p w14:paraId="64100A9A" w14:textId="77777777" w:rsidR="00FD54FC" w:rsidRPr="00E07C9A" w:rsidRDefault="00FD54FC" w:rsidP="00FD54FC">
            <w:pPr>
              <w:autoSpaceDE w:val="0"/>
              <w:autoSpaceDN w:val="0"/>
              <w:adjustRightInd w:val="0"/>
              <w:spacing w:after="0"/>
              <w:rPr>
                <w:rFonts w:ascii="Times New Roman" w:hAnsi="Times New Roman"/>
                <w:b/>
                <w:bCs/>
                <w:sz w:val="24"/>
              </w:rPr>
            </w:pPr>
            <w:r w:rsidRPr="00E07C9A">
              <w:rPr>
                <w:rFonts w:ascii="Times New Roman" w:hAnsi="Times New Roman"/>
                <w:b/>
                <w:sz w:val="24"/>
              </w:rPr>
              <w:t>Stĺpce</w:t>
            </w:r>
          </w:p>
        </w:tc>
      </w:tr>
      <w:tr w:rsidR="00FD54FC" w:rsidRPr="00E07C9A" w14:paraId="66F8475E" w14:textId="77777777" w:rsidTr="00672D2A">
        <w:tc>
          <w:tcPr>
            <w:tcW w:w="985" w:type="dxa"/>
          </w:tcPr>
          <w:p w14:paraId="2E2E57DA" w14:textId="77777777" w:rsidR="00FD54FC" w:rsidRPr="00E07C9A" w:rsidRDefault="00C93FC2" w:rsidP="000F70EC">
            <w:pPr>
              <w:autoSpaceDE w:val="0"/>
              <w:autoSpaceDN w:val="0"/>
              <w:adjustRightInd w:val="0"/>
              <w:spacing w:before="0" w:after="0"/>
              <w:rPr>
                <w:rFonts w:ascii="Times New Roman" w:hAnsi="Times New Roman"/>
                <w:bCs/>
                <w:sz w:val="24"/>
              </w:rPr>
            </w:pPr>
            <w:r w:rsidRPr="00E07C9A">
              <w:rPr>
                <w:rFonts w:ascii="Times New Roman" w:hAnsi="Times New Roman"/>
                <w:sz w:val="24"/>
              </w:rPr>
              <w:t>0010 – 0070</w:t>
            </w:r>
          </w:p>
        </w:tc>
        <w:tc>
          <w:tcPr>
            <w:tcW w:w="8195" w:type="dxa"/>
          </w:tcPr>
          <w:p w14:paraId="42ED0FA0" w14:textId="77777777" w:rsidR="00FD54FC" w:rsidRPr="00E07C9A" w:rsidRDefault="00FD54FC" w:rsidP="00FD54FC">
            <w:pPr>
              <w:autoSpaceDE w:val="0"/>
              <w:autoSpaceDN w:val="0"/>
              <w:adjustRightInd w:val="0"/>
              <w:spacing w:before="0" w:after="0"/>
              <w:rPr>
                <w:rStyle w:val="InstructionsTabelleberschrift"/>
                <w:rFonts w:ascii="Times New Roman" w:hAnsi="Times New Roman"/>
                <w:sz w:val="24"/>
              </w:rPr>
            </w:pPr>
            <w:r w:rsidRPr="00E07C9A">
              <w:rPr>
                <w:rStyle w:val="InstructionsTabelleberschrift"/>
                <w:rFonts w:ascii="Times New Roman" w:hAnsi="Times New Roman"/>
                <w:sz w:val="24"/>
              </w:rPr>
              <w:t>DRUHY UDALOSTÍ</w:t>
            </w:r>
          </w:p>
          <w:p w14:paraId="31B998F7" w14:textId="236A4E15" w:rsidR="009912F8" w:rsidRPr="00E07C9A" w:rsidRDefault="00FD54FC" w:rsidP="00FD54FC">
            <w:pPr>
              <w:rPr>
                <w:rFonts w:ascii="Times New Roman" w:hAnsi="Times New Roman"/>
                <w:sz w:val="24"/>
              </w:rPr>
            </w:pPr>
            <w:r w:rsidRPr="00E07C9A">
              <w:rPr>
                <w:rFonts w:ascii="Times New Roman" w:hAnsi="Times New Roman"/>
                <w:sz w:val="24"/>
              </w:rPr>
              <w:t>Inštitúcie vykazujú straty</w:t>
            </w:r>
            <w:r w:rsidR="009912F8" w:rsidRPr="00E07C9A">
              <w:rPr>
                <w:rFonts w:ascii="Times New Roman" w:hAnsi="Times New Roman"/>
                <w:sz w:val="24"/>
              </w:rPr>
              <w:t xml:space="preserve"> v </w:t>
            </w:r>
            <w:r w:rsidRPr="00E07C9A">
              <w:rPr>
                <w:rFonts w:ascii="Times New Roman" w:hAnsi="Times New Roman"/>
                <w:sz w:val="24"/>
              </w:rPr>
              <w:t>príslušných stĺpcoch 0010 až 0070 podľa druhov stratových udalostí, ako sú uvedené</w:t>
            </w:r>
            <w:r w:rsidR="009912F8" w:rsidRPr="00E07C9A">
              <w:rPr>
                <w:rFonts w:ascii="Times New Roman" w:hAnsi="Times New Roman"/>
                <w:sz w:val="24"/>
              </w:rPr>
              <w:t xml:space="preserve"> v </w:t>
            </w:r>
            <w:r w:rsidRPr="00E07C9A">
              <w:rPr>
                <w:rFonts w:ascii="Times New Roman" w:hAnsi="Times New Roman"/>
                <w:sz w:val="24"/>
              </w:rPr>
              <w:t xml:space="preserve">článku 324 nariadenia (EÚ) </w:t>
            </w:r>
            <w:r w:rsidR="009912F8" w:rsidRPr="00E07C9A">
              <w:rPr>
                <w:rFonts w:ascii="Times New Roman" w:hAnsi="Times New Roman"/>
                <w:sz w:val="24"/>
              </w:rPr>
              <w:t>č. 575/2013.</w:t>
            </w:r>
          </w:p>
          <w:p w14:paraId="3023C2E3" w14:textId="0E527EB1" w:rsidR="00FD54FC" w:rsidRPr="00E07C9A" w:rsidRDefault="00FD54FC" w:rsidP="00871877">
            <w:pPr>
              <w:rPr>
                <w:rFonts w:ascii="Times New Roman" w:hAnsi="Times New Roman"/>
                <w:bCs/>
                <w:sz w:val="24"/>
              </w:rPr>
            </w:pPr>
            <w:r w:rsidRPr="00E07C9A">
              <w:rPr>
                <w:rFonts w:ascii="Times New Roman" w:hAnsi="Times New Roman"/>
                <w:sz w:val="24"/>
              </w:rPr>
              <w:t>Inštitúcie, ktoré vypočítavajú svoju požiadavku na vlastné zdroje</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prístupom BIA, môžu vykázať straty, pre ktoré sa neurčil druh stratovej udalosti, len</w:t>
            </w:r>
            <w:r w:rsidR="009912F8" w:rsidRPr="00E07C9A">
              <w:rPr>
                <w:rFonts w:ascii="Times New Roman" w:hAnsi="Times New Roman"/>
                <w:sz w:val="24"/>
              </w:rPr>
              <w:t xml:space="preserve"> v </w:t>
            </w:r>
            <w:r w:rsidRPr="00E07C9A">
              <w:rPr>
                <w:rFonts w:ascii="Times New Roman" w:hAnsi="Times New Roman"/>
                <w:sz w:val="24"/>
              </w:rPr>
              <w:t>stĺpci 080.</w:t>
            </w:r>
          </w:p>
        </w:tc>
      </w:tr>
      <w:tr w:rsidR="00FD54FC" w:rsidRPr="00E07C9A" w14:paraId="50B8D542" w14:textId="77777777" w:rsidTr="00672D2A">
        <w:tc>
          <w:tcPr>
            <w:tcW w:w="985" w:type="dxa"/>
          </w:tcPr>
          <w:p w14:paraId="5DD6D73C" w14:textId="77777777" w:rsidR="00FD54FC" w:rsidRPr="00E07C9A" w:rsidRDefault="00C93FC2" w:rsidP="00FD54FC">
            <w:pPr>
              <w:autoSpaceDE w:val="0"/>
              <w:autoSpaceDN w:val="0"/>
              <w:adjustRightInd w:val="0"/>
              <w:spacing w:before="0" w:after="0"/>
              <w:rPr>
                <w:rFonts w:ascii="Times New Roman" w:hAnsi="Times New Roman"/>
                <w:bCs/>
                <w:sz w:val="24"/>
              </w:rPr>
            </w:pPr>
            <w:r w:rsidRPr="00E07C9A">
              <w:rPr>
                <w:rFonts w:ascii="Times New Roman" w:hAnsi="Times New Roman"/>
                <w:sz w:val="24"/>
              </w:rPr>
              <w:t>0080</w:t>
            </w:r>
          </w:p>
        </w:tc>
        <w:tc>
          <w:tcPr>
            <w:tcW w:w="8195" w:type="dxa"/>
          </w:tcPr>
          <w:p w14:paraId="160BFCD4" w14:textId="77777777" w:rsidR="00FD54FC" w:rsidRPr="00E07C9A" w:rsidRDefault="00FD54FC" w:rsidP="00FD54FC">
            <w:pPr>
              <w:autoSpaceDE w:val="0"/>
              <w:autoSpaceDN w:val="0"/>
              <w:adjustRightInd w:val="0"/>
              <w:spacing w:before="0" w:after="0"/>
              <w:rPr>
                <w:rStyle w:val="InstructionsTabelleberschrift"/>
                <w:rFonts w:ascii="Times New Roman" w:hAnsi="Times New Roman"/>
                <w:sz w:val="24"/>
              </w:rPr>
            </w:pPr>
            <w:r w:rsidRPr="00E07C9A">
              <w:rPr>
                <w:rStyle w:val="InstructionsTabelleberschrift"/>
                <w:rFonts w:ascii="Times New Roman" w:hAnsi="Times New Roman"/>
                <w:sz w:val="24"/>
              </w:rPr>
              <w:t>DRUHY STRATOVÝCH UDALOSTÍ SPOLU</w:t>
            </w:r>
          </w:p>
          <w:p w14:paraId="64EF174C" w14:textId="406411DB" w:rsidR="008D30F0" w:rsidRPr="00E07C9A" w:rsidRDefault="00FD54FC" w:rsidP="00FD54FC">
            <w:pPr>
              <w:rPr>
                <w:rStyle w:val="InstructionsTabelleText"/>
                <w:rFonts w:ascii="Times New Roman" w:hAnsi="Times New Roman"/>
                <w:sz w:val="24"/>
              </w:rPr>
            </w:pPr>
            <w:r w:rsidRPr="00E07C9A">
              <w:rPr>
                <w:rStyle w:val="InstructionsTabelleText"/>
                <w:rFonts w:ascii="Times New Roman" w:hAnsi="Times New Roman"/>
                <w:sz w:val="24"/>
              </w:rPr>
              <w:t>Inštitúcie vykazujú</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stĺpci 0080 pre každú obchodnú líniu celkový „počet stratových udalostí (nové stratové udalosti)“, celkovú „výšku hrubej straty (nové stratové udalosti)“, celkový „počet stratových udalostí podliehajúcich stratovým úpravám“, celkové „stratové úpravy týkajúce sa predchádzajúcich období vykazovania“, „maximálnu samostatnú stratu“, „súčet piatich najväčších strát“, „celkové náhrady strát“</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„celkové náhrady</w:t>
            </w:r>
            <w:r w:rsidR="009912F8" w:rsidRPr="00E07C9A">
              <w:rPr>
                <w:rStyle w:val="InstructionsTabelleText"/>
                <w:rFonts w:ascii="Times New Roman" w:hAnsi="Times New Roman"/>
                <w:sz w:val="24"/>
              </w:rPr>
              <w:t xml:space="preserve"> z </w:t>
            </w:r>
            <w:r w:rsidRPr="00E07C9A">
              <w:rPr>
                <w:rStyle w:val="InstructionsTabelleText"/>
                <w:rFonts w:ascii="Times New Roman" w:hAnsi="Times New Roman"/>
                <w:sz w:val="24"/>
              </w:rPr>
              <w:t>poistenia</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iných mechanizmov prenosu rizika“.</w:t>
            </w:r>
          </w:p>
          <w:p w14:paraId="5B6B8ECC" w14:textId="5CE9589E" w:rsidR="009912F8" w:rsidRPr="00E07C9A" w:rsidRDefault="00FD54FC" w:rsidP="00FD54FC">
            <w:pPr>
              <w:rPr>
                <w:rStyle w:val="InstructionsTabelleText"/>
                <w:rFonts w:ascii="Times New Roman" w:hAnsi="Times New Roman"/>
                <w:sz w:val="24"/>
              </w:rPr>
            </w:pPr>
            <w:r w:rsidRPr="00E07C9A">
              <w:rPr>
                <w:rStyle w:val="InstructionsTabelleText"/>
                <w:rFonts w:ascii="Times New Roman" w:hAnsi="Times New Roman"/>
                <w:sz w:val="24"/>
              </w:rPr>
              <w:t>Za predpokladu, že inštitúcia identifikovala druhy stratových udalostí pri všetkých stratách, sa</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stĺpci 080 uvádza jednoduchý súhrn počtu stratových udalostí, celkovej výšky hrubých strát, celkovej výšky náhrad strát</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„stratových úprav týkajúcich sa predchádzajúcich období vykazovania“ vykázaných</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stĺpcoch 0010 až 0070</w:t>
            </w:r>
            <w:r w:rsidR="009912F8" w:rsidRPr="00E07C9A">
              <w:rPr>
                <w:rStyle w:val="InstructionsTabelleText"/>
                <w:rFonts w:ascii="Times New Roman" w:hAnsi="Times New Roman"/>
                <w:sz w:val="24"/>
              </w:rPr>
              <w:t>.</w:t>
            </w:r>
          </w:p>
          <w:p w14:paraId="0C979F29" w14:textId="473C5A2F" w:rsidR="009912F8" w:rsidRPr="00E07C9A" w:rsidRDefault="00FD54FC" w:rsidP="00FD54FC">
            <w:pPr>
              <w:rPr>
                <w:rStyle w:val="InstructionsTabelleText"/>
                <w:rFonts w:ascii="Times New Roman" w:hAnsi="Times New Roman"/>
                <w:sz w:val="24"/>
              </w:rPr>
            </w:pPr>
            <w:r w:rsidRPr="00E07C9A">
              <w:rPr>
                <w:rStyle w:val="InstructionsTabelleText"/>
                <w:rFonts w:ascii="Times New Roman" w:hAnsi="Times New Roman"/>
                <w:sz w:val="24"/>
              </w:rPr>
              <w:t>„Maximálna samostatná strata“ vykázaná</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stĺpci 0080 je maximálna samostatná strata</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rámci obchodnej línie</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rovná sa maximálnej výške „maximálnych samostatných strát“ vykázaných</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stĺpcoch 0010 až 0070 za predpokladu, že inštitúcia identifikovala druhy stratových udalostí pri všetkých stratách</w:t>
            </w:r>
            <w:r w:rsidR="009912F8" w:rsidRPr="00E07C9A">
              <w:rPr>
                <w:rStyle w:val="InstructionsTabelleText"/>
                <w:rFonts w:ascii="Times New Roman" w:hAnsi="Times New Roman"/>
                <w:sz w:val="24"/>
              </w:rPr>
              <w:t>.</w:t>
            </w:r>
          </w:p>
          <w:p w14:paraId="620764F4" w14:textId="13147740" w:rsidR="00FD54FC" w:rsidRPr="00E07C9A" w:rsidRDefault="00FD54FC" w:rsidP="00FD54FC">
            <w:pPr>
              <w:rPr>
                <w:rFonts w:ascii="Times New Roman" w:hAnsi="Times New Roman"/>
                <w:bCs/>
                <w:sz w:val="24"/>
              </w:rPr>
            </w:pPr>
            <w:r w:rsidRPr="00E07C9A">
              <w:rPr>
                <w:rStyle w:val="InstructionsTabelleText"/>
                <w:rFonts w:ascii="Times New Roman" w:hAnsi="Times New Roman"/>
                <w:sz w:val="24"/>
              </w:rPr>
              <w:t>Pre súčet piatich najväčších strát sa</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stĺpci 0080 vykazuje súčet piatich najväčších strát</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rámci jednej obchodnej línie.</w:t>
            </w:r>
          </w:p>
        </w:tc>
      </w:tr>
      <w:tr w:rsidR="00FD54FC" w:rsidRPr="00E07C9A" w14:paraId="4B2FA115" w14:textId="77777777" w:rsidTr="00672D2A">
        <w:tc>
          <w:tcPr>
            <w:tcW w:w="985" w:type="dxa"/>
          </w:tcPr>
          <w:p w14:paraId="5DDA1F0A" w14:textId="77777777" w:rsidR="00FD54FC" w:rsidRPr="00E07C9A" w:rsidRDefault="00C93FC2" w:rsidP="000F70EC">
            <w:pPr>
              <w:autoSpaceDE w:val="0"/>
              <w:autoSpaceDN w:val="0"/>
              <w:adjustRightInd w:val="0"/>
              <w:spacing w:before="0" w:after="0"/>
              <w:rPr>
                <w:rFonts w:ascii="Times New Roman" w:hAnsi="Times New Roman"/>
                <w:bCs/>
                <w:sz w:val="24"/>
              </w:rPr>
            </w:pPr>
            <w:r w:rsidRPr="00E07C9A">
              <w:rPr>
                <w:rFonts w:ascii="Times New Roman" w:hAnsi="Times New Roman"/>
                <w:sz w:val="24"/>
              </w:rPr>
              <w:t>0090 – 0100</w:t>
            </w:r>
          </w:p>
        </w:tc>
        <w:tc>
          <w:tcPr>
            <w:tcW w:w="8195" w:type="dxa"/>
          </w:tcPr>
          <w:p w14:paraId="13E5A936" w14:textId="77777777" w:rsidR="00FD54FC" w:rsidRPr="00E07C9A" w:rsidRDefault="00FD54FC" w:rsidP="00FD54FC">
            <w:pPr>
              <w:autoSpaceDE w:val="0"/>
              <w:autoSpaceDN w:val="0"/>
              <w:adjustRightInd w:val="0"/>
              <w:spacing w:before="0" w:after="0"/>
              <w:rPr>
                <w:rFonts w:ascii="Times New Roman" w:hAnsi="Times New Roman"/>
                <w:sz w:val="24"/>
              </w:rPr>
            </w:pPr>
            <w:r w:rsidRPr="00E07C9A">
              <w:rPr>
                <w:rStyle w:val="InstructionsTabelleberschrift"/>
                <w:rFonts w:ascii="Times New Roman" w:hAnsi="Times New Roman"/>
                <w:sz w:val="24"/>
              </w:rPr>
              <w:t>DOPLŇUJÚCA POLOŽKA: PRAHOVÁ HODNOTA POUŽITÁ PRI ZBERE ÚDAJOV</w:t>
            </w:r>
          </w:p>
          <w:p w14:paraId="3247139D" w14:textId="462CEF72" w:rsidR="009912F8" w:rsidRPr="00E07C9A" w:rsidRDefault="00FD54FC" w:rsidP="00FD54FC">
            <w:pPr>
              <w:autoSpaceDE w:val="0"/>
              <w:autoSpaceDN w:val="0"/>
              <w:adjustRightInd w:val="0"/>
              <w:spacing w:before="0" w:after="0"/>
              <w:rPr>
                <w:rStyle w:val="InstructionsTabelleText"/>
                <w:rFonts w:ascii="Times New Roman" w:hAnsi="Times New Roman"/>
                <w:sz w:val="24"/>
              </w:rPr>
            </w:pPr>
            <w:r w:rsidRPr="00E07C9A">
              <w:rPr>
                <w:rStyle w:val="InstructionsTabelleText"/>
                <w:rFonts w:ascii="Times New Roman" w:hAnsi="Times New Roman"/>
                <w:sz w:val="24"/>
              </w:rPr>
              <w:t>Inštitúcie vykazujú</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stĺpcoch 0090</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0100 minimálne prahové hodnoty pre straty, ktoré používajú na zber interných údajov</w:t>
            </w:r>
            <w:r w:rsidR="009912F8" w:rsidRPr="00E07C9A">
              <w:rPr>
                <w:rStyle w:val="InstructionsTabelleText"/>
                <w:rFonts w:ascii="Times New Roman" w:hAnsi="Times New Roman"/>
                <w:sz w:val="24"/>
              </w:rPr>
              <w:t xml:space="preserve"> o </w:t>
            </w:r>
            <w:r w:rsidRPr="00E07C9A">
              <w:rPr>
                <w:rStyle w:val="InstructionsTabelleText"/>
                <w:rFonts w:ascii="Times New Roman" w:hAnsi="Times New Roman"/>
                <w:sz w:val="24"/>
              </w:rPr>
              <w:t>stratách</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súlade</w:t>
            </w:r>
            <w:r w:rsidR="009912F8" w:rsidRPr="00E07C9A">
              <w:rPr>
                <w:rStyle w:val="InstructionsTabelleText"/>
                <w:rFonts w:ascii="Times New Roman" w:hAnsi="Times New Roman"/>
                <w:sz w:val="24"/>
              </w:rPr>
              <w:t xml:space="preserve"> s </w:t>
            </w:r>
            <w:r w:rsidRPr="00E07C9A">
              <w:rPr>
                <w:rStyle w:val="InstructionsTabelleText"/>
                <w:rFonts w:ascii="Times New Roman" w:hAnsi="Times New Roman"/>
                <w:sz w:val="24"/>
              </w:rPr>
              <w:t>článkom 322 ods. 3 písm. c) poslednou vetou</w:t>
            </w:r>
            <w:r w:rsidRPr="00E07C9A">
              <w:rPr>
                <w:rFonts w:ascii="Times New Roman" w:hAnsi="Times New Roman"/>
                <w:sz w:val="24"/>
              </w:rPr>
              <w:t xml:space="preserve"> nariadenia (EÚ) </w:t>
            </w:r>
            <w:r w:rsidR="009912F8" w:rsidRPr="00E07C9A">
              <w:rPr>
                <w:rFonts w:ascii="Times New Roman" w:hAnsi="Times New Roman"/>
                <w:sz w:val="24"/>
              </w:rPr>
              <w:t>č. 575/2013</w:t>
            </w:r>
            <w:r w:rsidR="009912F8" w:rsidRPr="00E07C9A">
              <w:rPr>
                <w:rStyle w:val="InstructionsTabelleText"/>
                <w:rFonts w:ascii="Times New Roman" w:hAnsi="Times New Roman"/>
                <w:sz w:val="24"/>
              </w:rPr>
              <w:t>.</w:t>
            </w:r>
          </w:p>
          <w:p w14:paraId="7DB3AB75" w14:textId="2E7B70FD" w:rsidR="009912F8" w:rsidRPr="00E07C9A" w:rsidRDefault="001F6487" w:rsidP="00FD54FC">
            <w:pPr>
              <w:autoSpaceDE w:val="0"/>
              <w:autoSpaceDN w:val="0"/>
              <w:adjustRightInd w:val="0"/>
              <w:spacing w:before="0" w:after="0"/>
              <w:rPr>
                <w:rStyle w:val="InstructionsTabelleText"/>
                <w:rFonts w:ascii="Times New Roman" w:hAnsi="Times New Roman"/>
                <w:sz w:val="24"/>
              </w:rPr>
            </w:pPr>
            <w:r w:rsidRPr="00E07C9A">
              <w:rPr>
                <w:rStyle w:val="InstructionsTabelleText"/>
                <w:rFonts w:ascii="Times New Roman" w:hAnsi="Times New Roman"/>
                <w:sz w:val="24"/>
              </w:rPr>
              <w:t>Ak inštitúcia používa len jednu prahovú hodnotu</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každej obchodnej línii, vypĺňa len stĺpec 0090</w:t>
            </w:r>
            <w:r w:rsidR="009912F8" w:rsidRPr="00E07C9A">
              <w:rPr>
                <w:rStyle w:val="InstructionsTabelleText"/>
                <w:rFonts w:ascii="Times New Roman" w:hAnsi="Times New Roman"/>
                <w:sz w:val="24"/>
              </w:rPr>
              <w:t>.</w:t>
            </w:r>
          </w:p>
          <w:p w14:paraId="70501482" w14:textId="315ED584" w:rsidR="00650B6C" w:rsidRPr="00E07C9A" w:rsidRDefault="001F6487" w:rsidP="0002267E">
            <w:pPr>
              <w:rPr>
                <w:rStyle w:val="InstructionsTabelleText"/>
                <w:rFonts w:ascii="Times New Roman" w:hAnsi="Times New Roman"/>
                <w:sz w:val="24"/>
              </w:rPr>
            </w:pPr>
            <w:r w:rsidRPr="00E07C9A">
              <w:rPr>
                <w:rStyle w:val="InstructionsTabelleText"/>
                <w:rFonts w:ascii="Times New Roman" w:hAnsi="Times New Roman"/>
                <w:sz w:val="24"/>
              </w:rPr>
              <w:t>Ak používa rôzne prahové hodnoty</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rámci jednej regulačnej obchodnej línie, uvedie aj najvyššiu uplatniteľnú prahovú hodnotu (stĺpec 0100).</w:t>
            </w:r>
          </w:p>
        </w:tc>
      </w:tr>
    </w:tbl>
    <w:p w14:paraId="7D438528" w14:textId="77777777" w:rsidR="00FD54FC" w:rsidRPr="00E07C9A" w:rsidRDefault="00FD54FC" w:rsidP="00FD54FC">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5"/>
        <w:gridCol w:w="7967"/>
      </w:tblGrid>
      <w:tr w:rsidR="00FD54FC" w:rsidRPr="00E07C9A" w14:paraId="3025DA90" w14:textId="77777777" w:rsidTr="00672D2A">
        <w:trPr>
          <w:trHeight w:val="504"/>
        </w:trPr>
        <w:tc>
          <w:tcPr>
            <w:tcW w:w="9180" w:type="dxa"/>
            <w:gridSpan w:val="2"/>
            <w:shd w:val="clear" w:color="auto" w:fill="CCCCCC"/>
          </w:tcPr>
          <w:p w14:paraId="22584A44" w14:textId="77777777" w:rsidR="00FD54FC" w:rsidRPr="00E07C9A" w:rsidRDefault="00FD54FC" w:rsidP="00FD54FC">
            <w:pPr>
              <w:autoSpaceDE w:val="0"/>
              <w:autoSpaceDN w:val="0"/>
              <w:adjustRightInd w:val="0"/>
              <w:spacing w:after="0"/>
              <w:rPr>
                <w:rFonts w:ascii="Times New Roman" w:hAnsi="Times New Roman"/>
                <w:b/>
                <w:bCs/>
                <w:sz w:val="24"/>
              </w:rPr>
            </w:pPr>
            <w:r w:rsidRPr="00E07C9A">
              <w:rPr>
                <w:rFonts w:ascii="Times New Roman" w:hAnsi="Times New Roman"/>
                <w:b/>
                <w:sz w:val="24"/>
              </w:rPr>
              <w:t>Riadky</w:t>
            </w:r>
          </w:p>
        </w:tc>
      </w:tr>
      <w:tr w:rsidR="00FD54FC" w:rsidRPr="00E07C9A" w14:paraId="747AECBF" w14:textId="77777777" w:rsidTr="00672D2A">
        <w:tc>
          <w:tcPr>
            <w:tcW w:w="1101" w:type="dxa"/>
          </w:tcPr>
          <w:p w14:paraId="373E8135" w14:textId="77777777" w:rsidR="00FD54FC" w:rsidRPr="00E07C9A" w:rsidRDefault="00C93FC2" w:rsidP="000F70EC">
            <w:pPr>
              <w:rPr>
                <w:rFonts w:ascii="Times New Roman" w:hAnsi="Times New Roman"/>
                <w:bCs/>
                <w:sz w:val="24"/>
              </w:rPr>
            </w:pPr>
            <w:r w:rsidRPr="00E07C9A">
              <w:rPr>
                <w:rFonts w:ascii="Times New Roman" w:hAnsi="Times New Roman"/>
                <w:sz w:val="24"/>
              </w:rPr>
              <w:t>0010 – 0880</w:t>
            </w:r>
          </w:p>
        </w:tc>
        <w:tc>
          <w:tcPr>
            <w:tcW w:w="8079" w:type="dxa"/>
          </w:tcPr>
          <w:p w14:paraId="73EF9F40" w14:textId="07407DCB" w:rsidR="00FD54FC" w:rsidRPr="00E07C9A" w:rsidRDefault="00FD54FC" w:rsidP="00FD54FC">
            <w:pPr>
              <w:rPr>
                <w:rStyle w:val="InstructionsTabelleberschrift"/>
                <w:rFonts w:ascii="Times New Roman" w:hAnsi="Times New Roman"/>
                <w:sz w:val="24"/>
              </w:rPr>
            </w:pPr>
            <w:r w:rsidRPr="00E07C9A">
              <w:rPr>
                <w:rStyle w:val="InstructionsTabelleberschrift"/>
                <w:rFonts w:ascii="Times New Roman" w:hAnsi="Times New Roman"/>
                <w:sz w:val="24"/>
              </w:rPr>
              <w:t>OBCHODNÉ LÍNIE: PODNIKOVÉ FINANCIE, OBCHODOVANIE NA FINANČNÝCH TRHOCH, RETAILOVÉ MAKLÉRSTVO, KOMERČNÉ BANKOVNÍCTVO, RETAILOVÉ BANKOVNÍCTVO, PLATOBNÝ STYK A VYROVNANIE, SLUŽBY</w:t>
            </w:r>
            <w:r w:rsidR="009912F8" w:rsidRPr="00E07C9A">
              <w:rPr>
                <w:rStyle w:val="InstructionsTabelleberschrift"/>
                <w:rFonts w:ascii="Times New Roman" w:hAnsi="Times New Roman"/>
                <w:sz w:val="24"/>
              </w:rPr>
              <w:t xml:space="preserve"> Z </w:t>
            </w:r>
            <w:r w:rsidRPr="00E07C9A">
              <w:rPr>
                <w:rStyle w:val="InstructionsTabelleberschrift"/>
                <w:rFonts w:ascii="Times New Roman" w:hAnsi="Times New Roman"/>
                <w:sz w:val="24"/>
              </w:rPr>
              <w:t>POVERENIA, SPRÁVA AKTÍV, PODNIKOVÉ POLOŽKY</w:t>
            </w:r>
          </w:p>
          <w:p w14:paraId="4ABD41A7" w14:textId="7DE8C0BF" w:rsidR="00FD54FC" w:rsidRPr="00E07C9A" w:rsidRDefault="00FD54FC" w:rsidP="00FD54FC">
            <w:pPr>
              <w:pStyle w:val="PlainText"/>
              <w:jc w:val="both"/>
              <w:rPr>
                <w:rFonts w:ascii="Times New Roman" w:hAnsi="Times New Roman"/>
                <w:sz w:val="24"/>
                <w:szCs w:val="24"/>
              </w:rPr>
            </w:pPr>
            <w:r w:rsidRPr="00E07C9A">
              <w:rPr>
                <w:rFonts w:ascii="Times New Roman" w:hAnsi="Times New Roman"/>
                <w:sz w:val="24"/>
              </w:rPr>
              <w:t>Inštitúcia pre každú obchodnú líniu uvedenú</w:t>
            </w:r>
            <w:r w:rsidR="009912F8" w:rsidRPr="00E07C9A">
              <w:rPr>
                <w:rFonts w:ascii="Times New Roman" w:hAnsi="Times New Roman"/>
                <w:sz w:val="24"/>
              </w:rPr>
              <w:t xml:space="preserve"> v </w:t>
            </w:r>
            <w:r w:rsidRPr="00E07C9A">
              <w:rPr>
                <w:rFonts w:ascii="Times New Roman" w:hAnsi="Times New Roman"/>
                <w:sz w:val="24"/>
              </w:rPr>
              <w:t xml:space="preserve">tabuľke 2 článku 317 ods. 4 nariadenia (EÚ) </w:t>
            </w:r>
            <w:r w:rsidR="009912F8" w:rsidRPr="00E07C9A">
              <w:rPr>
                <w:rFonts w:ascii="Times New Roman" w:hAnsi="Times New Roman"/>
                <w:sz w:val="24"/>
              </w:rPr>
              <w:t>č. 575/2013</w:t>
            </w:r>
            <w:r w:rsidRPr="00E07C9A">
              <w:rPr>
                <w:rFonts w:ascii="Times New Roman" w:hAnsi="Times New Roman"/>
                <w:sz w:val="24"/>
              </w:rPr>
              <w:t xml:space="preserve"> vrátane dodatočnej obchodnej línie „podnikové položky“, ako sa uvádza</w:t>
            </w:r>
            <w:r w:rsidR="009912F8" w:rsidRPr="00E07C9A">
              <w:rPr>
                <w:rFonts w:ascii="Times New Roman" w:hAnsi="Times New Roman"/>
                <w:sz w:val="24"/>
              </w:rPr>
              <w:t xml:space="preserve"> v </w:t>
            </w:r>
            <w:r w:rsidRPr="00E07C9A">
              <w:rPr>
                <w:rFonts w:ascii="Times New Roman" w:hAnsi="Times New Roman"/>
                <w:sz w:val="24"/>
              </w:rPr>
              <w:t>článku 322 ods. 3 písm. b) uvedeného nariadenia,</w:t>
            </w:r>
            <w:r w:rsidR="009912F8" w:rsidRPr="00E07C9A">
              <w:rPr>
                <w:rFonts w:ascii="Times New Roman" w:hAnsi="Times New Roman"/>
                <w:sz w:val="24"/>
              </w:rPr>
              <w:t xml:space="preserve"> a </w:t>
            </w:r>
            <w:r w:rsidRPr="00E07C9A">
              <w:rPr>
                <w:rFonts w:ascii="Times New Roman" w:hAnsi="Times New Roman"/>
                <w:sz w:val="24"/>
              </w:rPr>
              <w:t>pre každý druh stratovej udalosti vykazuje podľa interných prahových hodnôt tieto informácie: počet stratových udalostí (nové stratové udalosti), výšku hrubej straty (nové stratové udalosti), počet stratových udalostí podliehajúcich stratovým úpravám, stratové úpravy týkajúce sa predchádzajúcich období vykazovania, maximálnu samostatnú stratu, súčet piatich najväčších strát, celkové náhrady strát</w:t>
            </w:r>
            <w:r w:rsidR="009912F8" w:rsidRPr="00E07C9A">
              <w:rPr>
                <w:rFonts w:ascii="Times New Roman" w:hAnsi="Times New Roman"/>
                <w:sz w:val="24"/>
              </w:rPr>
              <w:t xml:space="preserve"> a </w:t>
            </w:r>
            <w:r w:rsidRPr="00E07C9A">
              <w:rPr>
                <w:rFonts w:ascii="Times New Roman" w:hAnsi="Times New Roman"/>
                <w:sz w:val="24"/>
              </w:rPr>
              <w:t>celkové náhrady</w:t>
            </w:r>
            <w:r w:rsidR="009912F8" w:rsidRPr="00E07C9A">
              <w:rPr>
                <w:rFonts w:ascii="Times New Roman" w:hAnsi="Times New Roman"/>
                <w:sz w:val="24"/>
              </w:rPr>
              <w:t xml:space="preserve"> z </w:t>
            </w:r>
            <w:r w:rsidRPr="00E07C9A">
              <w:rPr>
                <w:rFonts w:ascii="Times New Roman" w:hAnsi="Times New Roman"/>
                <w:sz w:val="24"/>
              </w:rPr>
              <w:t>poistenia</w:t>
            </w:r>
            <w:r w:rsidR="009912F8" w:rsidRPr="00E07C9A">
              <w:rPr>
                <w:rFonts w:ascii="Times New Roman" w:hAnsi="Times New Roman"/>
                <w:sz w:val="24"/>
              </w:rPr>
              <w:t xml:space="preserve"> a </w:t>
            </w:r>
            <w:r w:rsidRPr="00E07C9A">
              <w:rPr>
                <w:rFonts w:ascii="Times New Roman" w:hAnsi="Times New Roman"/>
                <w:sz w:val="24"/>
              </w:rPr>
              <w:t>iných mechanizmov prenosu rizika.</w:t>
            </w:r>
          </w:p>
          <w:p w14:paraId="598C709E" w14:textId="77777777" w:rsidR="00FD54FC" w:rsidRPr="00E07C9A" w:rsidRDefault="00FD54FC" w:rsidP="00FD54FC">
            <w:pPr>
              <w:rPr>
                <w:rFonts w:ascii="Times New Roman" w:hAnsi="Times New Roman"/>
                <w:sz w:val="24"/>
              </w:rPr>
            </w:pPr>
            <w:r w:rsidRPr="00E07C9A">
              <w:rPr>
                <w:rFonts w:ascii="Times New Roman" w:hAnsi="Times New Roman"/>
                <w:sz w:val="24"/>
              </w:rPr>
              <w:t>V prípade stratovej udalosti, ktorá postihuje viaceré obchodné línie, sa „výška hrubej straty“ rozdelí medzi všetky postihnuté obchodné línie.</w:t>
            </w:r>
          </w:p>
          <w:p w14:paraId="7BC94C24" w14:textId="2A316E46" w:rsidR="00FD54FC" w:rsidRPr="00E07C9A" w:rsidRDefault="00FD54FC" w:rsidP="00FD54FC">
            <w:pPr>
              <w:rPr>
                <w:rFonts w:ascii="Times New Roman" w:hAnsi="Times New Roman"/>
                <w:bCs/>
                <w:sz w:val="24"/>
              </w:rPr>
            </w:pPr>
            <w:r w:rsidRPr="00E07C9A">
              <w:rPr>
                <w:rFonts w:ascii="Times New Roman" w:hAnsi="Times New Roman"/>
                <w:sz w:val="24"/>
              </w:rPr>
              <w:t>Inštitúcie, ktoré vypočítavajú svoju požiadavku na vlastné zdroje</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prístupom BIA, môžu vykazovať straty, pre ktoré sa neurčila obchodná línia, len</w:t>
            </w:r>
            <w:r w:rsidR="009912F8" w:rsidRPr="00E07C9A">
              <w:rPr>
                <w:rFonts w:ascii="Times New Roman" w:hAnsi="Times New Roman"/>
                <w:sz w:val="24"/>
              </w:rPr>
              <w:t xml:space="preserve"> v </w:t>
            </w:r>
            <w:r w:rsidRPr="00E07C9A">
              <w:rPr>
                <w:rFonts w:ascii="Times New Roman" w:hAnsi="Times New Roman"/>
                <w:sz w:val="24"/>
              </w:rPr>
              <w:t>riadkoch 0910 – 0980.</w:t>
            </w:r>
          </w:p>
        </w:tc>
      </w:tr>
      <w:tr w:rsidR="00FD54FC" w:rsidRPr="00E07C9A" w14:paraId="5539CB2D" w14:textId="77777777" w:rsidTr="00672D2A">
        <w:tc>
          <w:tcPr>
            <w:tcW w:w="1101" w:type="dxa"/>
          </w:tcPr>
          <w:p w14:paraId="2AD95C57" w14:textId="77777777" w:rsidR="00FD54FC" w:rsidRPr="00E07C9A" w:rsidRDefault="00C93FC2" w:rsidP="00FD54FC">
            <w:pPr>
              <w:rPr>
                <w:rFonts w:ascii="Times New Roman" w:hAnsi="Times New Roman"/>
                <w:bCs/>
                <w:sz w:val="24"/>
              </w:rPr>
            </w:pPr>
            <w:r w:rsidRPr="00E07C9A">
              <w:rPr>
                <w:rFonts w:ascii="Times New Roman" w:hAnsi="Times New Roman"/>
                <w:sz w:val="24"/>
              </w:rPr>
              <w:t>0010, 0110, 0210, 0310, 0410, 0510, 0610, 0710, 0810</w:t>
            </w:r>
          </w:p>
        </w:tc>
        <w:tc>
          <w:tcPr>
            <w:tcW w:w="8079" w:type="dxa"/>
          </w:tcPr>
          <w:p w14:paraId="6FB8404E" w14:textId="77777777" w:rsidR="00FD54FC" w:rsidRPr="00E07C9A" w:rsidRDefault="00FD54FC" w:rsidP="00FD54FC">
            <w:pPr>
              <w:rPr>
                <w:rStyle w:val="InstructionsTabelleberschrift"/>
                <w:rFonts w:ascii="Times New Roman" w:hAnsi="Times New Roman"/>
                <w:sz w:val="24"/>
              </w:rPr>
            </w:pPr>
            <w:r w:rsidRPr="00E07C9A">
              <w:rPr>
                <w:rStyle w:val="InstructionsTabelleberschrift"/>
                <w:rFonts w:ascii="Times New Roman" w:hAnsi="Times New Roman"/>
                <w:sz w:val="24"/>
              </w:rPr>
              <w:t>Počet stratových udalostí (nové stratové udalosti)</w:t>
            </w:r>
          </w:p>
          <w:p w14:paraId="0A87F437" w14:textId="77777777" w:rsidR="00FD54FC" w:rsidRPr="00E07C9A" w:rsidRDefault="00FD54FC" w:rsidP="00FD54FC">
            <w:pPr>
              <w:rPr>
                <w:rFonts w:ascii="Times New Roman" w:hAnsi="Times New Roman"/>
                <w:sz w:val="24"/>
              </w:rPr>
            </w:pPr>
            <w:r w:rsidRPr="00E07C9A">
              <w:rPr>
                <w:rFonts w:ascii="Times New Roman" w:hAnsi="Times New Roman"/>
                <w:sz w:val="24"/>
              </w:rPr>
              <w:t>Počet stratových udalostí je počet stratových udalostí, pri ktorých sa počas referenčného obdobia vykazovania zaúčtovali hrubé straty.</w:t>
            </w:r>
          </w:p>
          <w:p w14:paraId="1CB08978" w14:textId="77777777" w:rsidR="00FD54FC" w:rsidRPr="00E07C9A" w:rsidRDefault="00FD54FC" w:rsidP="00FD54FC">
            <w:pPr>
              <w:rPr>
                <w:rFonts w:ascii="Times New Roman" w:hAnsi="Times New Roman"/>
                <w:sz w:val="24"/>
              </w:rPr>
            </w:pPr>
            <w:r w:rsidRPr="00E07C9A">
              <w:rPr>
                <w:rFonts w:ascii="Times New Roman" w:hAnsi="Times New Roman"/>
                <w:sz w:val="24"/>
              </w:rPr>
              <w:t>Pri počte stratových udalostí sa uvádzajú „nové udalosti“, t. j. udalosti operačného rizika:</w:t>
            </w:r>
          </w:p>
          <w:p w14:paraId="3B968FDE" w14:textId="77777777" w:rsidR="00FD54FC" w:rsidRPr="00E07C9A" w:rsidRDefault="00FD54FC" w:rsidP="00FD54FC">
            <w:pPr>
              <w:tabs>
                <w:tab w:val="left" w:pos="459"/>
              </w:tabs>
              <w:ind w:left="459" w:hanging="459"/>
              <w:rPr>
                <w:rFonts w:ascii="Times New Roman" w:hAnsi="Times New Roman"/>
                <w:sz w:val="24"/>
              </w:rPr>
            </w:pPr>
            <w:r w:rsidRPr="00E07C9A">
              <w:rPr>
                <w:rFonts w:ascii="Times New Roman" w:hAnsi="Times New Roman"/>
                <w:sz w:val="24"/>
              </w:rPr>
              <w:t>i)</w:t>
            </w:r>
            <w:r w:rsidRPr="00E07C9A">
              <w:rPr>
                <w:rFonts w:ascii="Times New Roman" w:hAnsi="Times New Roman"/>
              </w:rPr>
              <w:tab/>
            </w:r>
            <w:r w:rsidRPr="00E07C9A">
              <w:rPr>
                <w:rFonts w:ascii="Times New Roman" w:hAnsi="Times New Roman"/>
                <w:sz w:val="24"/>
              </w:rPr>
              <w:t>„zaúčtované prvýkrát“ počas referenčného obdobia vykazovania; alebo</w:t>
            </w:r>
          </w:p>
          <w:p w14:paraId="1A1A183C" w14:textId="1669DA2E" w:rsidR="00FD54FC" w:rsidRPr="00E07C9A" w:rsidRDefault="00FD54FC" w:rsidP="00FD54FC">
            <w:pPr>
              <w:tabs>
                <w:tab w:val="left" w:pos="459"/>
              </w:tabs>
              <w:ind w:left="459" w:hanging="459"/>
              <w:rPr>
                <w:rFonts w:ascii="Times New Roman" w:hAnsi="Times New Roman"/>
                <w:sz w:val="24"/>
              </w:rPr>
            </w:pPr>
            <w:r w:rsidRPr="00E07C9A">
              <w:rPr>
                <w:rFonts w:ascii="Times New Roman" w:hAnsi="Times New Roman"/>
                <w:sz w:val="24"/>
              </w:rPr>
              <w:t>ii)</w:t>
            </w:r>
            <w:r w:rsidRPr="00E07C9A">
              <w:rPr>
                <w:rFonts w:ascii="Times New Roman" w:hAnsi="Times New Roman"/>
              </w:rPr>
              <w:tab/>
            </w:r>
            <w:r w:rsidRPr="00E07C9A">
              <w:rPr>
                <w:rFonts w:ascii="Times New Roman" w:hAnsi="Times New Roman"/>
                <w:sz w:val="24"/>
              </w:rPr>
              <w:t>„zaúčtované prvýkrát“ počas predchádzajúceho referenčného obdobia vykazovania, ak stratová udalosť nebola zahrnutá</w:t>
            </w:r>
            <w:r w:rsidR="009912F8" w:rsidRPr="00E07C9A">
              <w:rPr>
                <w:rFonts w:ascii="Times New Roman" w:hAnsi="Times New Roman"/>
                <w:sz w:val="24"/>
              </w:rPr>
              <w:t xml:space="preserve"> v </w:t>
            </w:r>
            <w:r w:rsidRPr="00E07C9A">
              <w:rPr>
                <w:rFonts w:ascii="Times New Roman" w:hAnsi="Times New Roman"/>
                <w:sz w:val="24"/>
              </w:rPr>
              <w:t>žiadnej predchádzajúcej správe orgánom dohľadu, napr. preto, že bola identifikovaná ako stratová udalosť operačného rizika len</w:t>
            </w:r>
            <w:r w:rsidR="009912F8" w:rsidRPr="00E07C9A">
              <w:rPr>
                <w:rFonts w:ascii="Times New Roman" w:hAnsi="Times New Roman"/>
                <w:sz w:val="24"/>
              </w:rPr>
              <w:t xml:space="preserve"> v </w:t>
            </w:r>
            <w:r w:rsidRPr="00E07C9A">
              <w:rPr>
                <w:rFonts w:ascii="Times New Roman" w:hAnsi="Times New Roman"/>
                <w:sz w:val="24"/>
              </w:rPr>
              <w:t>súčasnom referenčnom období vykazovania alebo preto, že akumulovaná strata pripísateľná danej stratovej udalosti (t. j. pôvodná strata plus/mínus všetky stratové úpravy vykonané</w:t>
            </w:r>
            <w:r w:rsidR="009912F8" w:rsidRPr="00E07C9A">
              <w:rPr>
                <w:rFonts w:ascii="Times New Roman" w:hAnsi="Times New Roman"/>
                <w:sz w:val="24"/>
              </w:rPr>
              <w:t xml:space="preserve"> v </w:t>
            </w:r>
            <w:r w:rsidRPr="00E07C9A">
              <w:rPr>
                <w:rFonts w:ascii="Times New Roman" w:hAnsi="Times New Roman"/>
                <w:sz w:val="24"/>
              </w:rPr>
              <w:t>predchádzajúcich referenčných obdobiach vykazovania) presiahla prahovú hodnotu pre zber interných údajov iba</w:t>
            </w:r>
            <w:r w:rsidR="009912F8" w:rsidRPr="00E07C9A">
              <w:rPr>
                <w:rFonts w:ascii="Times New Roman" w:hAnsi="Times New Roman"/>
                <w:sz w:val="24"/>
              </w:rPr>
              <w:t xml:space="preserve"> v </w:t>
            </w:r>
            <w:r w:rsidRPr="00E07C9A">
              <w:rPr>
                <w:rFonts w:ascii="Times New Roman" w:hAnsi="Times New Roman"/>
                <w:sz w:val="24"/>
              </w:rPr>
              <w:t>súčasnom referenčnom období vykazovania.</w:t>
            </w:r>
          </w:p>
          <w:p w14:paraId="76206E71" w14:textId="3E210D00" w:rsidR="00FD54FC" w:rsidRPr="00E07C9A" w:rsidRDefault="00FD54FC" w:rsidP="005F1EB8">
            <w:pPr>
              <w:rPr>
                <w:rStyle w:val="InstructionsTabelleberschrift"/>
                <w:rFonts w:ascii="Times New Roman" w:hAnsi="Times New Roman"/>
                <w:sz w:val="24"/>
              </w:rPr>
            </w:pPr>
            <w:r w:rsidRPr="00E07C9A">
              <w:rPr>
                <w:rFonts w:ascii="Times New Roman" w:hAnsi="Times New Roman"/>
                <w:sz w:val="24"/>
              </w:rPr>
              <w:t>Medzi „nové stratové udalosti“ nepatria stratové udalosti „zaúčtované prvýkrát“ počas predchádzajúceho referenčného obdobia vykazovania, ktoré už boli zahrnuté</w:t>
            </w:r>
            <w:r w:rsidR="009912F8" w:rsidRPr="00E07C9A">
              <w:rPr>
                <w:rFonts w:ascii="Times New Roman" w:hAnsi="Times New Roman"/>
                <w:sz w:val="24"/>
              </w:rPr>
              <w:t xml:space="preserve"> v </w:t>
            </w:r>
            <w:r w:rsidRPr="00E07C9A">
              <w:rPr>
                <w:rFonts w:ascii="Times New Roman" w:hAnsi="Times New Roman"/>
                <w:sz w:val="24"/>
              </w:rPr>
              <w:t>predchádzajúcich správach orgánom dohľadu.</w:t>
            </w:r>
          </w:p>
        </w:tc>
      </w:tr>
      <w:tr w:rsidR="00FD54FC" w:rsidRPr="00E07C9A" w14:paraId="67B548BF" w14:textId="77777777" w:rsidTr="00672D2A">
        <w:tc>
          <w:tcPr>
            <w:tcW w:w="1101" w:type="dxa"/>
          </w:tcPr>
          <w:p w14:paraId="25346D5E" w14:textId="77777777" w:rsidR="00FD54FC" w:rsidRPr="00E07C9A" w:rsidRDefault="00C93FC2" w:rsidP="00FD54FC">
            <w:pPr>
              <w:rPr>
                <w:rFonts w:ascii="Times New Roman" w:hAnsi="Times New Roman"/>
                <w:bCs/>
                <w:sz w:val="24"/>
              </w:rPr>
            </w:pPr>
            <w:r w:rsidRPr="00E07C9A">
              <w:rPr>
                <w:rFonts w:ascii="Times New Roman" w:hAnsi="Times New Roman"/>
                <w:sz w:val="24"/>
              </w:rPr>
              <w:t>0020, 0120, 0220, 0320, 0420, 0520, 0620, 0720, 0820</w:t>
            </w:r>
          </w:p>
        </w:tc>
        <w:tc>
          <w:tcPr>
            <w:tcW w:w="8079" w:type="dxa"/>
          </w:tcPr>
          <w:p w14:paraId="675477D4" w14:textId="77777777" w:rsidR="00FD54FC" w:rsidRPr="00E07C9A" w:rsidRDefault="00FD54FC" w:rsidP="00FD54FC">
            <w:pPr>
              <w:rPr>
                <w:rStyle w:val="InstructionsTabelleberschrift"/>
                <w:rFonts w:ascii="Times New Roman" w:hAnsi="Times New Roman"/>
                <w:sz w:val="24"/>
              </w:rPr>
            </w:pPr>
            <w:r w:rsidRPr="00E07C9A">
              <w:rPr>
                <w:rStyle w:val="InstructionsTabelleberschrift"/>
                <w:rFonts w:ascii="Times New Roman" w:hAnsi="Times New Roman"/>
                <w:sz w:val="24"/>
              </w:rPr>
              <w:t>Výška hrubej straty (nové stratové udalosti)</w:t>
            </w:r>
          </w:p>
          <w:p w14:paraId="2E85E133" w14:textId="3E9F8C63" w:rsidR="00FD54FC" w:rsidRPr="00E07C9A" w:rsidRDefault="00FD54FC" w:rsidP="00FD54FC">
            <w:pPr>
              <w:rPr>
                <w:rFonts w:ascii="Times New Roman" w:hAnsi="Times New Roman"/>
                <w:sz w:val="24"/>
              </w:rPr>
            </w:pPr>
            <w:r w:rsidRPr="00E07C9A">
              <w:rPr>
                <w:rFonts w:ascii="Times New Roman" w:hAnsi="Times New Roman"/>
                <w:sz w:val="24"/>
              </w:rPr>
              <w:t>Výška hrubej straty sú výšky hrubých strát týkajúcich sa stratových udalostí operačného rizika (napr. priame poplatky, rezervy, vyrovnania). Všetky straty súvisiace</w:t>
            </w:r>
            <w:r w:rsidR="009912F8" w:rsidRPr="00E07C9A">
              <w:rPr>
                <w:rFonts w:ascii="Times New Roman" w:hAnsi="Times New Roman"/>
                <w:sz w:val="24"/>
              </w:rPr>
              <w:t xml:space="preserve"> s </w:t>
            </w:r>
            <w:r w:rsidRPr="00E07C9A">
              <w:rPr>
                <w:rFonts w:ascii="Times New Roman" w:hAnsi="Times New Roman"/>
                <w:sz w:val="24"/>
              </w:rPr>
              <w:t>jednou stratovou udalosťou zaúčtované počas referenčného obdobia vykazovania sa spočítavajú</w:t>
            </w:r>
            <w:r w:rsidR="009912F8" w:rsidRPr="00E07C9A">
              <w:rPr>
                <w:rFonts w:ascii="Times New Roman" w:hAnsi="Times New Roman"/>
                <w:sz w:val="24"/>
              </w:rPr>
              <w:t xml:space="preserve"> a </w:t>
            </w:r>
            <w:r w:rsidRPr="00E07C9A">
              <w:rPr>
                <w:rFonts w:ascii="Times New Roman" w:hAnsi="Times New Roman"/>
                <w:sz w:val="24"/>
              </w:rPr>
              <w:t>považujú sa za hrubé straty pre danú stratovú udalosť za dané referenčné obdobie vykazovania.</w:t>
            </w:r>
          </w:p>
          <w:p w14:paraId="611D2B8E" w14:textId="7EAEA1F0" w:rsidR="00FD54FC" w:rsidRPr="00E07C9A" w:rsidRDefault="00FD54FC" w:rsidP="00FD54FC">
            <w:pPr>
              <w:rPr>
                <w:rFonts w:ascii="Times New Roman" w:hAnsi="Times New Roman"/>
                <w:sz w:val="24"/>
              </w:rPr>
            </w:pPr>
            <w:r w:rsidRPr="00E07C9A">
              <w:rPr>
                <w:rFonts w:ascii="Times New Roman" w:hAnsi="Times New Roman"/>
                <w:sz w:val="24"/>
              </w:rPr>
              <w:t>Vykazovaná výška hrubej straty odkazuje na „nové stratové udalosti“, ako sa uvádza</w:t>
            </w:r>
            <w:r w:rsidR="009912F8" w:rsidRPr="00E07C9A">
              <w:rPr>
                <w:rFonts w:ascii="Times New Roman" w:hAnsi="Times New Roman"/>
                <w:sz w:val="24"/>
              </w:rPr>
              <w:t xml:space="preserve"> v </w:t>
            </w:r>
            <w:r w:rsidRPr="00E07C9A">
              <w:rPr>
                <w:rFonts w:ascii="Times New Roman" w:hAnsi="Times New Roman"/>
                <w:sz w:val="24"/>
              </w:rPr>
              <w:t>riadku nad touto tabuľkou. Pri stratových udalostiach „zaúčtovaných prvýkrát“ počas predchádzajúceho referenčného obdobia vykazovania, ktoré neboli zahrnuté</w:t>
            </w:r>
            <w:r w:rsidR="009912F8" w:rsidRPr="00E07C9A">
              <w:rPr>
                <w:rFonts w:ascii="Times New Roman" w:hAnsi="Times New Roman"/>
                <w:sz w:val="24"/>
              </w:rPr>
              <w:t xml:space="preserve"> v </w:t>
            </w:r>
            <w:r w:rsidRPr="00E07C9A">
              <w:rPr>
                <w:rFonts w:ascii="Times New Roman" w:hAnsi="Times New Roman"/>
                <w:sz w:val="24"/>
              </w:rPr>
              <w:t>žiadnej predchádzajúcej správe orgánom dohľadu, sa celková strata akumulovaná do referenčného dátumu vykazovania (t. j. pôvodná strata plus/mínus všetky stratové úpravy vykonané</w:t>
            </w:r>
            <w:r w:rsidR="009912F8" w:rsidRPr="00E07C9A">
              <w:rPr>
                <w:rFonts w:ascii="Times New Roman" w:hAnsi="Times New Roman"/>
                <w:sz w:val="24"/>
              </w:rPr>
              <w:t xml:space="preserve"> v </w:t>
            </w:r>
            <w:r w:rsidRPr="00E07C9A">
              <w:rPr>
                <w:rFonts w:ascii="Times New Roman" w:hAnsi="Times New Roman"/>
                <w:sz w:val="24"/>
              </w:rPr>
              <w:t>predchádzajúcich referenčných obdobiach vykazovania) vykazuje ako hrubá strata</w:t>
            </w:r>
            <w:r w:rsidR="009912F8" w:rsidRPr="00E07C9A">
              <w:rPr>
                <w:rFonts w:ascii="Times New Roman" w:hAnsi="Times New Roman"/>
                <w:sz w:val="24"/>
              </w:rPr>
              <w:t xml:space="preserve"> k </w:t>
            </w:r>
            <w:r w:rsidRPr="00E07C9A">
              <w:rPr>
                <w:rFonts w:ascii="Times New Roman" w:hAnsi="Times New Roman"/>
                <w:sz w:val="24"/>
              </w:rPr>
              <w:t>referenčnému dátumu vykazovania.</w:t>
            </w:r>
          </w:p>
          <w:p w14:paraId="371CD21C" w14:textId="77777777" w:rsidR="00FD54FC" w:rsidRPr="00E07C9A" w:rsidRDefault="00FD54FC" w:rsidP="00F52FC6">
            <w:pPr>
              <w:rPr>
                <w:rStyle w:val="InstructionsTabelleberschrift"/>
                <w:rFonts w:ascii="Times New Roman" w:hAnsi="Times New Roman"/>
                <w:sz w:val="24"/>
              </w:rPr>
            </w:pPr>
            <w:r w:rsidRPr="00E07C9A">
              <w:rPr>
                <w:rFonts w:ascii="Times New Roman" w:hAnsi="Times New Roman"/>
                <w:sz w:val="24"/>
              </w:rPr>
              <w:t>Hodnoty, ktoré sa majú vykázať, nezohľadňujú získané náhrady.</w:t>
            </w:r>
          </w:p>
        </w:tc>
      </w:tr>
      <w:tr w:rsidR="00FD54FC" w:rsidRPr="00E07C9A" w14:paraId="35BC8758" w14:textId="77777777" w:rsidTr="00672D2A">
        <w:tc>
          <w:tcPr>
            <w:tcW w:w="1101" w:type="dxa"/>
          </w:tcPr>
          <w:p w14:paraId="30B4B9A7" w14:textId="77777777" w:rsidR="00FD54FC" w:rsidRPr="00E07C9A" w:rsidRDefault="00C93FC2" w:rsidP="00FD54FC">
            <w:pPr>
              <w:rPr>
                <w:rFonts w:ascii="Times New Roman" w:hAnsi="Times New Roman"/>
                <w:bCs/>
                <w:sz w:val="24"/>
              </w:rPr>
            </w:pPr>
            <w:r w:rsidRPr="00E07C9A">
              <w:rPr>
                <w:rFonts w:ascii="Times New Roman" w:hAnsi="Times New Roman"/>
                <w:sz w:val="24"/>
              </w:rPr>
              <w:t>0030, 0130, 0230, 0330, 0430, 0530, 0630, 0730, 0830</w:t>
            </w:r>
          </w:p>
        </w:tc>
        <w:tc>
          <w:tcPr>
            <w:tcW w:w="8079" w:type="dxa"/>
          </w:tcPr>
          <w:p w14:paraId="20431596" w14:textId="77777777" w:rsidR="00FD54FC" w:rsidRPr="00E07C9A" w:rsidRDefault="00FD54FC" w:rsidP="00FD54FC">
            <w:pPr>
              <w:rPr>
                <w:rStyle w:val="InstructionsTabelleberschrift"/>
                <w:rFonts w:ascii="Times New Roman" w:hAnsi="Times New Roman"/>
                <w:sz w:val="24"/>
              </w:rPr>
            </w:pPr>
            <w:r w:rsidRPr="00E07C9A">
              <w:rPr>
                <w:rStyle w:val="InstructionsTabelleberschrift"/>
                <w:rFonts w:ascii="Times New Roman" w:hAnsi="Times New Roman"/>
                <w:sz w:val="24"/>
              </w:rPr>
              <w:t>Počet stratových udalostí podliehajúcich stratovým úpravám</w:t>
            </w:r>
          </w:p>
          <w:p w14:paraId="68D9A6D8" w14:textId="7714EF31" w:rsidR="009912F8" w:rsidRPr="00E07C9A" w:rsidRDefault="00FD54FC" w:rsidP="00FD54FC">
            <w:pPr>
              <w:rPr>
                <w:rFonts w:ascii="Times New Roman" w:hAnsi="Times New Roman"/>
                <w:sz w:val="24"/>
              </w:rPr>
            </w:pPr>
            <w:r w:rsidRPr="00E07C9A">
              <w:rPr>
                <w:rFonts w:ascii="Times New Roman" w:hAnsi="Times New Roman"/>
                <w:sz w:val="24"/>
              </w:rPr>
              <w:t>Počet stratových udalostí podliehajúcich stratovým úpravám je počet stratových udalostí operačného rizika „zaúčtovaných prvýkrát“</w:t>
            </w:r>
            <w:r w:rsidR="009912F8" w:rsidRPr="00E07C9A">
              <w:rPr>
                <w:rFonts w:ascii="Times New Roman" w:hAnsi="Times New Roman"/>
                <w:sz w:val="24"/>
              </w:rPr>
              <w:t xml:space="preserve"> v </w:t>
            </w:r>
            <w:r w:rsidRPr="00E07C9A">
              <w:rPr>
                <w:rFonts w:ascii="Times New Roman" w:hAnsi="Times New Roman"/>
                <w:sz w:val="24"/>
              </w:rPr>
              <w:t>predchádzajúcich referenčných obdobiach vykazovania</w:t>
            </w:r>
            <w:r w:rsidR="009912F8" w:rsidRPr="00E07C9A">
              <w:rPr>
                <w:rFonts w:ascii="Times New Roman" w:hAnsi="Times New Roman"/>
                <w:sz w:val="24"/>
              </w:rPr>
              <w:t xml:space="preserve"> a </w:t>
            </w:r>
            <w:r w:rsidRPr="00E07C9A">
              <w:rPr>
                <w:rFonts w:ascii="Times New Roman" w:hAnsi="Times New Roman"/>
                <w:sz w:val="24"/>
              </w:rPr>
              <w:t>už zahrnutých</w:t>
            </w:r>
            <w:r w:rsidR="009912F8" w:rsidRPr="00E07C9A">
              <w:rPr>
                <w:rFonts w:ascii="Times New Roman" w:hAnsi="Times New Roman"/>
                <w:sz w:val="24"/>
              </w:rPr>
              <w:t xml:space="preserve"> v </w:t>
            </w:r>
            <w:r w:rsidRPr="00E07C9A">
              <w:rPr>
                <w:rFonts w:ascii="Times New Roman" w:hAnsi="Times New Roman"/>
                <w:sz w:val="24"/>
              </w:rPr>
              <w:t>predchádzajúcich správach, pri ktorých boli</w:t>
            </w:r>
            <w:r w:rsidR="009912F8" w:rsidRPr="00E07C9A">
              <w:rPr>
                <w:rFonts w:ascii="Times New Roman" w:hAnsi="Times New Roman"/>
                <w:sz w:val="24"/>
              </w:rPr>
              <w:t xml:space="preserve"> v </w:t>
            </w:r>
            <w:r w:rsidRPr="00E07C9A">
              <w:rPr>
                <w:rFonts w:ascii="Times New Roman" w:hAnsi="Times New Roman"/>
                <w:sz w:val="24"/>
              </w:rPr>
              <w:t>súčasnom referenčnom období vykazovania vykonané stratové úpravy</w:t>
            </w:r>
            <w:r w:rsidR="009912F8" w:rsidRPr="00E07C9A">
              <w:rPr>
                <w:rFonts w:ascii="Times New Roman" w:hAnsi="Times New Roman"/>
                <w:sz w:val="24"/>
              </w:rPr>
              <w:t>.</w:t>
            </w:r>
          </w:p>
          <w:p w14:paraId="35A5D3D6" w14:textId="0374934D" w:rsidR="00FD54FC" w:rsidRPr="00E07C9A" w:rsidRDefault="001F6487" w:rsidP="005F1EB8">
            <w:pPr>
              <w:rPr>
                <w:rFonts w:ascii="Times New Roman" w:hAnsi="Times New Roman"/>
                <w:b/>
                <w:sz w:val="24"/>
              </w:rPr>
            </w:pPr>
            <w:r w:rsidRPr="00E07C9A">
              <w:rPr>
                <w:rFonts w:ascii="Times New Roman" w:hAnsi="Times New Roman"/>
                <w:sz w:val="24"/>
              </w:rPr>
              <w:t>Ak sa počas referenčného obdobia vykazovania pri stratovej udalosti vykonala viac než jedna stratová úprava, súčet týchto stratových úprav sa počíta ako jedna úprava</w:t>
            </w:r>
            <w:r w:rsidR="009912F8" w:rsidRPr="00E07C9A">
              <w:rPr>
                <w:rFonts w:ascii="Times New Roman" w:hAnsi="Times New Roman"/>
                <w:sz w:val="24"/>
              </w:rPr>
              <w:t xml:space="preserve"> v </w:t>
            </w:r>
            <w:r w:rsidRPr="00E07C9A">
              <w:rPr>
                <w:rFonts w:ascii="Times New Roman" w:hAnsi="Times New Roman"/>
                <w:sz w:val="24"/>
              </w:rPr>
              <w:t>danom období.</w:t>
            </w:r>
          </w:p>
        </w:tc>
      </w:tr>
      <w:tr w:rsidR="00FD54FC" w:rsidRPr="00E07C9A" w14:paraId="4897901E" w14:textId="77777777" w:rsidTr="00672D2A">
        <w:tc>
          <w:tcPr>
            <w:tcW w:w="1101" w:type="dxa"/>
          </w:tcPr>
          <w:p w14:paraId="1CA10334" w14:textId="77777777" w:rsidR="00FD54FC" w:rsidRPr="00E07C9A" w:rsidRDefault="00C93FC2" w:rsidP="00FD54FC">
            <w:pPr>
              <w:rPr>
                <w:rFonts w:ascii="Times New Roman" w:hAnsi="Times New Roman"/>
                <w:bCs/>
                <w:sz w:val="24"/>
              </w:rPr>
            </w:pPr>
            <w:r w:rsidRPr="00E07C9A">
              <w:rPr>
                <w:rFonts w:ascii="Times New Roman" w:hAnsi="Times New Roman"/>
                <w:sz w:val="24"/>
              </w:rPr>
              <w:t>0040, 0140, 0240, 0340, 0440, 0540, 0640, 0740, 0840</w:t>
            </w:r>
          </w:p>
        </w:tc>
        <w:tc>
          <w:tcPr>
            <w:tcW w:w="8079" w:type="dxa"/>
          </w:tcPr>
          <w:p w14:paraId="68049943" w14:textId="77777777" w:rsidR="00FD54FC" w:rsidRPr="00E07C9A" w:rsidRDefault="00FD54FC" w:rsidP="00FD54FC">
            <w:pPr>
              <w:rPr>
                <w:rStyle w:val="InstructionsTabelleberschrift"/>
                <w:rFonts w:ascii="Times New Roman" w:hAnsi="Times New Roman"/>
                <w:sz w:val="24"/>
              </w:rPr>
            </w:pPr>
            <w:r w:rsidRPr="00E07C9A">
              <w:rPr>
                <w:rStyle w:val="InstructionsTabelleberschrift"/>
                <w:rFonts w:ascii="Times New Roman" w:hAnsi="Times New Roman"/>
                <w:sz w:val="24"/>
              </w:rPr>
              <w:t>Stratové úpravy týkajúce sa predchádzajúcich období vykazovania</w:t>
            </w:r>
          </w:p>
          <w:p w14:paraId="13788219" w14:textId="77777777" w:rsidR="00FD54FC" w:rsidRPr="00E07C9A" w:rsidRDefault="00FD54FC" w:rsidP="00FD54FC">
            <w:pPr>
              <w:rPr>
                <w:rFonts w:ascii="Times New Roman" w:hAnsi="Times New Roman"/>
                <w:sz w:val="24"/>
              </w:rPr>
            </w:pPr>
            <w:r w:rsidRPr="00E07C9A">
              <w:rPr>
                <w:rFonts w:ascii="Times New Roman" w:hAnsi="Times New Roman"/>
                <w:sz w:val="24"/>
              </w:rPr>
              <w:t>Stratové úpravy týkajúce sa predchádzajúcich referenčných období vykazovania sú súčtom týchto prvkov (kladných alebo záporných):</w:t>
            </w:r>
          </w:p>
          <w:p w14:paraId="1123BBFF" w14:textId="376724F2" w:rsidR="00FD54FC" w:rsidRPr="00E07C9A" w:rsidRDefault="00FD54FC" w:rsidP="00FD54FC">
            <w:pPr>
              <w:tabs>
                <w:tab w:val="left" w:pos="459"/>
              </w:tabs>
              <w:ind w:left="459" w:hanging="459"/>
              <w:rPr>
                <w:rFonts w:ascii="Times New Roman" w:hAnsi="Times New Roman"/>
                <w:sz w:val="24"/>
              </w:rPr>
            </w:pPr>
            <w:r w:rsidRPr="00E07C9A">
              <w:rPr>
                <w:rFonts w:ascii="Times New Roman" w:hAnsi="Times New Roman"/>
                <w:sz w:val="24"/>
              </w:rPr>
              <w:t>i)</w:t>
            </w:r>
            <w:r w:rsidRPr="00E07C9A">
              <w:rPr>
                <w:rFonts w:ascii="Times New Roman" w:hAnsi="Times New Roman"/>
              </w:rPr>
              <w:tab/>
            </w:r>
            <w:r w:rsidRPr="00E07C9A">
              <w:rPr>
                <w:rFonts w:ascii="Times New Roman" w:hAnsi="Times New Roman"/>
                <w:sz w:val="24"/>
              </w:rPr>
              <w:t>súm hrubých strát týkajúcich sa kladných stratových úprav vykonaných počas referenčného obdobia vykazovania (napr. zvýšenie rezerv, udalosti súvisiacich strát, dodatočné vyrovnania) udalostí operačného rizika „zaúčtovaných prvýkrát“</w:t>
            </w:r>
            <w:r w:rsidR="009912F8" w:rsidRPr="00E07C9A">
              <w:rPr>
                <w:rFonts w:ascii="Times New Roman" w:hAnsi="Times New Roman"/>
                <w:sz w:val="24"/>
              </w:rPr>
              <w:t xml:space="preserve"> a </w:t>
            </w:r>
            <w:r w:rsidRPr="00E07C9A">
              <w:rPr>
                <w:rFonts w:ascii="Times New Roman" w:hAnsi="Times New Roman"/>
                <w:sz w:val="24"/>
              </w:rPr>
              <w:t>vykázaných</w:t>
            </w:r>
            <w:r w:rsidR="009912F8" w:rsidRPr="00E07C9A">
              <w:rPr>
                <w:rFonts w:ascii="Times New Roman" w:hAnsi="Times New Roman"/>
                <w:sz w:val="24"/>
              </w:rPr>
              <w:t xml:space="preserve"> v </w:t>
            </w:r>
            <w:r w:rsidRPr="00E07C9A">
              <w:rPr>
                <w:rFonts w:ascii="Times New Roman" w:hAnsi="Times New Roman"/>
                <w:sz w:val="24"/>
              </w:rPr>
              <w:t>predchádzajúcich referenčných obdobiach vykazovania;</w:t>
            </w:r>
          </w:p>
          <w:p w14:paraId="11AE23AE" w14:textId="48968282" w:rsidR="009912F8" w:rsidRPr="00E07C9A" w:rsidRDefault="00FD54FC" w:rsidP="00FD54FC">
            <w:pPr>
              <w:tabs>
                <w:tab w:val="left" w:pos="459"/>
              </w:tabs>
              <w:ind w:left="459" w:hanging="459"/>
              <w:rPr>
                <w:rFonts w:ascii="Times New Roman" w:hAnsi="Times New Roman"/>
                <w:sz w:val="24"/>
              </w:rPr>
            </w:pPr>
            <w:r w:rsidRPr="00E07C9A">
              <w:rPr>
                <w:rFonts w:ascii="Times New Roman" w:hAnsi="Times New Roman"/>
                <w:sz w:val="24"/>
              </w:rPr>
              <w:t>ii)</w:t>
            </w:r>
            <w:r w:rsidRPr="00E07C9A">
              <w:rPr>
                <w:rFonts w:ascii="Times New Roman" w:hAnsi="Times New Roman"/>
              </w:rPr>
              <w:tab/>
            </w:r>
            <w:r w:rsidRPr="00E07C9A">
              <w:rPr>
                <w:rFonts w:ascii="Times New Roman" w:hAnsi="Times New Roman"/>
                <w:sz w:val="24"/>
              </w:rPr>
              <w:t>súm hrubých strát týkajúcich sa záporných stratových úprav vykonaných počas referenčného obdobia vykazovania (napr.</w:t>
            </w:r>
            <w:r w:rsidR="009912F8" w:rsidRPr="00E07C9A">
              <w:rPr>
                <w:rFonts w:ascii="Times New Roman" w:hAnsi="Times New Roman"/>
                <w:sz w:val="24"/>
              </w:rPr>
              <w:t xml:space="preserve"> v </w:t>
            </w:r>
            <w:r w:rsidRPr="00E07C9A">
              <w:rPr>
                <w:rFonts w:ascii="Times New Roman" w:hAnsi="Times New Roman"/>
                <w:sz w:val="24"/>
              </w:rPr>
              <w:t>dôsledku zníženia rezerv) stratových udalostí operačného rizika „zaúčtovaných prvýkrát“</w:t>
            </w:r>
            <w:r w:rsidR="009912F8" w:rsidRPr="00E07C9A">
              <w:rPr>
                <w:rFonts w:ascii="Times New Roman" w:hAnsi="Times New Roman"/>
                <w:sz w:val="24"/>
              </w:rPr>
              <w:t xml:space="preserve"> a </w:t>
            </w:r>
            <w:r w:rsidRPr="00E07C9A">
              <w:rPr>
                <w:rFonts w:ascii="Times New Roman" w:hAnsi="Times New Roman"/>
                <w:sz w:val="24"/>
              </w:rPr>
              <w:t>vykázaných</w:t>
            </w:r>
            <w:r w:rsidR="009912F8" w:rsidRPr="00E07C9A">
              <w:rPr>
                <w:rFonts w:ascii="Times New Roman" w:hAnsi="Times New Roman"/>
                <w:sz w:val="24"/>
              </w:rPr>
              <w:t xml:space="preserve"> v </w:t>
            </w:r>
            <w:r w:rsidRPr="00E07C9A">
              <w:rPr>
                <w:rFonts w:ascii="Times New Roman" w:hAnsi="Times New Roman"/>
                <w:sz w:val="24"/>
              </w:rPr>
              <w:t>predchádzajúcich referenčných obdobiach vykazovania</w:t>
            </w:r>
            <w:r w:rsidR="009912F8" w:rsidRPr="00E07C9A">
              <w:rPr>
                <w:rFonts w:ascii="Times New Roman" w:hAnsi="Times New Roman"/>
                <w:sz w:val="24"/>
              </w:rPr>
              <w:t>.</w:t>
            </w:r>
          </w:p>
          <w:p w14:paraId="6796D1A0" w14:textId="00E2A3AF" w:rsidR="00FD54FC" w:rsidRPr="00E07C9A" w:rsidRDefault="001F6487" w:rsidP="00FD54FC">
            <w:pPr>
              <w:rPr>
                <w:rFonts w:ascii="Times New Roman" w:hAnsi="Times New Roman"/>
                <w:sz w:val="24"/>
              </w:rPr>
            </w:pPr>
            <w:r w:rsidRPr="00E07C9A">
              <w:rPr>
                <w:rFonts w:ascii="Times New Roman" w:hAnsi="Times New Roman"/>
                <w:sz w:val="24"/>
              </w:rPr>
              <w:t>Ak sa počas referenčného obdobia vykazovania pri stratovej udalosti vykonala viac než jedna stratová úprava, hodnoty všetkých týchto stratových úprav sa spočítajú, pričom sa berie do úvahy znamienko úprav (kladné, záporné). Táto suma sa považuje za stratovú úpravu pre danú stratovú udalosť za dané referenčné obdobie vykazovania.</w:t>
            </w:r>
          </w:p>
          <w:p w14:paraId="1FF4DC2A" w14:textId="5D390958" w:rsidR="00FD54FC" w:rsidRPr="00E07C9A" w:rsidRDefault="001F6487" w:rsidP="00FD54FC">
            <w:pPr>
              <w:rPr>
                <w:rFonts w:ascii="Times New Roman" w:hAnsi="Times New Roman"/>
                <w:sz w:val="24"/>
              </w:rPr>
            </w:pPr>
            <w:r w:rsidRPr="00E07C9A">
              <w:rPr>
                <w:rFonts w:ascii="Times New Roman" w:hAnsi="Times New Roman"/>
                <w:sz w:val="24"/>
              </w:rPr>
              <w:t>Ak sa</w:t>
            </w:r>
            <w:r w:rsidR="009912F8" w:rsidRPr="00E07C9A">
              <w:rPr>
                <w:rFonts w:ascii="Times New Roman" w:hAnsi="Times New Roman"/>
                <w:sz w:val="24"/>
              </w:rPr>
              <w:t xml:space="preserve"> v </w:t>
            </w:r>
            <w:r w:rsidRPr="00E07C9A">
              <w:rPr>
                <w:rFonts w:ascii="Times New Roman" w:hAnsi="Times New Roman"/>
                <w:sz w:val="24"/>
              </w:rPr>
              <w:t>dôsledku zápornej stratovej úpravy upravená výška straty pripísateľná stratovej udalosti ocitne pod prahovou hodnotou pre zber interných údajov inštitúcie, inštitúcia vykáže celkovú výšku straty pre danú stratovú udalosť akumulovanú do momentu, keď sa udalosť poslednýkrát vykázala</w:t>
            </w:r>
            <w:r w:rsidR="009912F8" w:rsidRPr="00E07C9A">
              <w:rPr>
                <w:rFonts w:ascii="Times New Roman" w:hAnsi="Times New Roman"/>
                <w:sz w:val="24"/>
              </w:rPr>
              <w:t xml:space="preserve"> v </w:t>
            </w:r>
            <w:r w:rsidRPr="00E07C9A">
              <w:rPr>
                <w:rFonts w:ascii="Times New Roman" w:hAnsi="Times New Roman"/>
                <w:sz w:val="24"/>
              </w:rPr>
              <w:t>súvislosti</w:t>
            </w:r>
            <w:r w:rsidR="009912F8" w:rsidRPr="00E07C9A">
              <w:rPr>
                <w:rFonts w:ascii="Times New Roman" w:hAnsi="Times New Roman"/>
                <w:sz w:val="24"/>
              </w:rPr>
              <w:t xml:space="preserve"> s </w:t>
            </w:r>
            <w:r w:rsidRPr="00E07C9A">
              <w:rPr>
                <w:rFonts w:ascii="Times New Roman" w:hAnsi="Times New Roman"/>
                <w:sz w:val="24"/>
              </w:rPr>
              <w:t>decembrovým referenčným dátumom (t. j. pôvodná strata plus/mínus všetky stratové úpravy vykonané</w:t>
            </w:r>
            <w:r w:rsidR="009912F8" w:rsidRPr="00E07C9A">
              <w:rPr>
                <w:rFonts w:ascii="Times New Roman" w:hAnsi="Times New Roman"/>
                <w:sz w:val="24"/>
              </w:rPr>
              <w:t xml:space="preserve"> v </w:t>
            </w:r>
            <w:r w:rsidRPr="00E07C9A">
              <w:rPr>
                <w:rFonts w:ascii="Times New Roman" w:hAnsi="Times New Roman"/>
                <w:sz w:val="24"/>
              </w:rPr>
              <w:t>predchádzajúcich referenčných obdobiach vykazovania), so záporným znamienkom,</w:t>
            </w:r>
            <w:r w:rsidR="009912F8" w:rsidRPr="00E07C9A">
              <w:rPr>
                <w:rFonts w:ascii="Times New Roman" w:hAnsi="Times New Roman"/>
                <w:sz w:val="24"/>
              </w:rPr>
              <w:t xml:space="preserve"> a </w:t>
            </w:r>
            <w:r w:rsidRPr="00E07C9A">
              <w:rPr>
                <w:rFonts w:ascii="Times New Roman" w:hAnsi="Times New Roman"/>
                <w:sz w:val="24"/>
              </w:rPr>
              <w:t>nie samotnú výšku zápornej stratovej úpravy.</w:t>
            </w:r>
          </w:p>
          <w:p w14:paraId="0FAF0676" w14:textId="77777777" w:rsidR="00FD54FC" w:rsidRPr="00E07C9A" w:rsidRDefault="00FD54FC" w:rsidP="00EB62C2">
            <w:pPr>
              <w:rPr>
                <w:rFonts w:ascii="Times New Roman" w:hAnsi="Times New Roman"/>
                <w:b/>
                <w:sz w:val="24"/>
              </w:rPr>
            </w:pPr>
            <w:r w:rsidRPr="00E07C9A">
              <w:rPr>
                <w:rFonts w:ascii="Times New Roman" w:hAnsi="Times New Roman"/>
                <w:sz w:val="24"/>
              </w:rPr>
              <w:t>Hodnoty, ktoré sa majú vykázať, nezohľadňujú získané náhrady.</w:t>
            </w:r>
          </w:p>
        </w:tc>
      </w:tr>
      <w:tr w:rsidR="00FD54FC" w:rsidRPr="00E07C9A" w14:paraId="03FCD499" w14:textId="77777777" w:rsidTr="00672D2A">
        <w:tc>
          <w:tcPr>
            <w:tcW w:w="1101" w:type="dxa"/>
          </w:tcPr>
          <w:p w14:paraId="7980B206" w14:textId="77777777" w:rsidR="00FD54FC" w:rsidRPr="00E07C9A" w:rsidRDefault="00C93FC2" w:rsidP="00FD54FC">
            <w:pPr>
              <w:rPr>
                <w:rFonts w:ascii="Times New Roman" w:hAnsi="Times New Roman"/>
                <w:bCs/>
                <w:sz w:val="24"/>
              </w:rPr>
            </w:pPr>
            <w:r w:rsidRPr="00E07C9A">
              <w:rPr>
                <w:rFonts w:ascii="Times New Roman" w:hAnsi="Times New Roman"/>
                <w:sz w:val="24"/>
              </w:rPr>
              <w:t>0050, 0150, 0250, 0350, 0450, 0550, 0650, 0750, 0850</w:t>
            </w:r>
          </w:p>
        </w:tc>
        <w:tc>
          <w:tcPr>
            <w:tcW w:w="8079" w:type="dxa"/>
          </w:tcPr>
          <w:p w14:paraId="593A9C4B" w14:textId="77777777" w:rsidR="00FD54FC" w:rsidRPr="00E07C9A" w:rsidRDefault="00FD54FC" w:rsidP="00FD54FC">
            <w:pPr>
              <w:rPr>
                <w:rStyle w:val="InstructionsTabelleberschrift"/>
                <w:rFonts w:ascii="Times New Roman" w:hAnsi="Times New Roman"/>
                <w:sz w:val="24"/>
              </w:rPr>
            </w:pPr>
            <w:r w:rsidRPr="00E07C9A">
              <w:rPr>
                <w:rStyle w:val="InstructionsTabelleberschrift"/>
                <w:rFonts w:ascii="Times New Roman" w:hAnsi="Times New Roman"/>
                <w:sz w:val="24"/>
              </w:rPr>
              <w:t>Maximálna samostatná strata</w:t>
            </w:r>
          </w:p>
          <w:p w14:paraId="388ADCDC" w14:textId="69215032" w:rsidR="00FD54FC" w:rsidRPr="00E07C9A" w:rsidRDefault="00FD54FC" w:rsidP="00FD54FC">
            <w:pPr>
              <w:rPr>
                <w:rFonts w:ascii="Times New Roman" w:hAnsi="Times New Roman"/>
                <w:sz w:val="24"/>
              </w:rPr>
            </w:pPr>
            <w:r w:rsidRPr="00E07C9A">
              <w:rPr>
                <w:rFonts w:ascii="Times New Roman" w:hAnsi="Times New Roman"/>
                <w:sz w:val="24"/>
              </w:rPr>
              <w:t>Maximálna samostatná strata je vyššia</w:t>
            </w:r>
            <w:r w:rsidR="009912F8" w:rsidRPr="00E07C9A">
              <w:rPr>
                <w:rFonts w:ascii="Times New Roman" w:hAnsi="Times New Roman"/>
                <w:sz w:val="24"/>
              </w:rPr>
              <w:t xml:space="preserve"> z </w:t>
            </w:r>
            <w:r w:rsidRPr="00E07C9A">
              <w:rPr>
                <w:rFonts w:ascii="Times New Roman" w:hAnsi="Times New Roman"/>
                <w:sz w:val="24"/>
              </w:rPr>
              <w:t>týchto hodnôt:</w:t>
            </w:r>
          </w:p>
          <w:p w14:paraId="4247C82D" w14:textId="77777777" w:rsidR="00FD54FC" w:rsidRPr="00E07C9A" w:rsidRDefault="00FD54FC" w:rsidP="00FD54FC">
            <w:pPr>
              <w:tabs>
                <w:tab w:val="left" w:pos="459"/>
              </w:tabs>
              <w:ind w:left="459" w:hanging="459"/>
              <w:rPr>
                <w:rFonts w:ascii="Times New Roman" w:hAnsi="Times New Roman"/>
                <w:sz w:val="24"/>
              </w:rPr>
            </w:pPr>
            <w:r w:rsidRPr="00E07C9A">
              <w:rPr>
                <w:rFonts w:ascii="Times New Roman" w:hAnsi="Times New Roman"/>
                <w:sz w:val="24"/>
              </w:rPr>
              <w:t>i)</w:t>
            </w:r>
            <w:r w:rsidRPr="00E07C9A">
              <w:rPr>
                <w:rFonts w:ascii="Times New Roman" w:hAnsi="Times New Roman"/>
              </w:rPr>
              <w:tab/>
            </w:r>
            <w:r w:rsidRPr="00E07C9A">
              <w:rPr>
                <w:rFonts w:ascii="Times New Roman" w:hAnsi="Times New Roman"/>
                <w:sz w:val="24"/>
              </w:rPr>
              <w:t>najvyššia suma hrubej straty súvisiacej so stratovou udalosťou vykázanou prvýkrát počas referenčného obdobia vykazovania; a</w:t>
            </w:r>
          </w:p>
          <w:p w14:paraId="56D74189" w14:textId="30A7D64E" w:rsidR="00FD54FC" w:rsidRPr="00E07C9A" w:rsidRDefault="00FD54FC" w:rsidP="00FD54FC">
            <w:pPr>
              <w:tabs>
                <w:tab w:val="left" w:pos="459"/>
              </w:tabs>
              <w:ind w:left="459" w:hanging="459"/>
              <w:rPr>
                <w:rFonts w:ascii="Times New Roman" w:hAnsi="Times New Roman"/>
                <w:sz w:val="24"/>
              </w:rPr>
            </w:pPr>
            <w:r w:rsidRPr="00E07C9A">
              <w:rPr>
                <w:rFonts w:ascii="Times New Roman" w:hAnsi="Times New Roman"/>
                <w:sz w:val="24"/>
              </w:rPr>
              <w:t>ii)</w:t>
            </w:r>
            <w:r w:rsidRPr="00E07C9A">
              <w:rPr>
                <w:rFonts w:ascii="Times New Roman" w:hAnsi="Times New Roman"/>
              </w:rPr>
              <w:tab/>
            </w:r>
            <w:r w:rsidRPr="00E07C9A">
              <w:rPr>
                <w:rFonts w:ascii="Times New Roman" w:hAnsi="Times New Roman"/>
                <w:sz w:val="24"/>
              </w:rPr>
              <w:t>najvyššia suma kladnej stratovej úpravy (ako sa uvádza</w:t>
            </w:r>
            <w:r w:rsidR="009912F8" w:rsidRPr="00E07C9A">
              <w:rPr>
                <w:rFonts w:ascii="Times New Roman" w:hAnsi="Times New Roman"/>
                <w:sz w:val="24"/>
              </w:rPr>
              <w:t xml:space="preserve"> v </w:t>
            </w:r>
            <w:r w:rsidRPr="00E07C9A">
              <w:rPr>
                <w:rFonts w:ascii="Times New Roman" w:hAnsi="Times New Roman"/>
                <w:sz w:val="24"/>
              </w:rPr>
              <w:t>riadkoch 0040, 0140, …, 0840 vyššie)</w:t>
            </w:r>
            <w:r w:rsidR="009912F8" w:rsidRPr="00E07C9A">
              <w:rPr>
                <w:rFonts w:ascii="Times New Roman" w:hAnsi="Times New Roman"/>
                <w:sz w:val="24"/>
              </w:rPr>
              <w:t xml:space="preserve"> v </w:t>
            </w:r>
            <w:r w:rsidRPr="00E07C9A">
              <w:rPr>
                <w:rFonts w:ascii="Times New Roman" w:hAnsi="Times New Roman"/>
                <w:sz w:val="24"/>
              </w:rPr>
              <w:t>súvislosti so stratovou udalosťou vykázanou prvýkrát počas predchádzajúceho referenčného obdobia vykazovania.</w:t>
            </w:r>
          </w:p>
          <w:p w14:paraId="1AFA00C9" w14:textId="77777777" w:rsidR="00FD54FC" w:rsidRPr="00E07C9A" w:rsidRDefault="00FD54FC" w:rsidP="00F52FC6">
            <w:pPr>
              <w:rPr>
                <w:rFonts w:ascii="Times New Roman" w:hAnsi="Times New Roman"/>
                <w:sz w:val="24"/>
              </w:rPr>
            </w:pPr>
            <w:r w:rsidRPr="00E07C9A">
              <w:rPr>
                <w:rFonts w:ascii="Times New Roman" w:hAnsi="Times New Roman"/>
                <w:sz w:val="24"/>
              </w:rPr>
              <w:t>Hodnoty, ktoré sa majú vykázať, nezohľadňujú získané náhrady.</w:t>
            </w:r>
          </w:p>
        </w:tc>
      </w:tr>
      <w:tr w:rsidR="00FD54FC" w:rsidRPr="00E07C9A" w14:paraId="7ED98CBE" w14:textId="77777777" w:rsidTr="00672D2A">
        <w:tc>
          <w:tcPr>
            <w:tcW w:w="1101" w:type="dxa"/>
          </w:tcPr>
          <w:p w14:paraId="1574A031" w14:textId="77777777" w:rsidR="00FD54FC" w:rsidRPr="00E07C9A" w:rsidRDefault="00C93FC2" w:rsidP="00FD54FC">
            <w:pPr>
              <w:rPr>
                <w:rFonts w:ascii="Times New Roman" w:hAnsi="Times New Roman"/>
                <w:bCs/>
                <w:sz w:val="24"/>
              </w:rPr>
            </w:pPr>
            <w:r w:rsidRPr="00E07C9A">
              <w:rPr>
                <w:rFonts w:ascii="Times New Roman" w:hAnsi="Times New Roman"/>
                <w:sz w:val="24"/>
              </w:rPr>
              <w:t>0060, 0160, 0260, 0360, 0460, 0560, 0660, 0760, 0860</w:t>
            </w:r>
          </w:p>
        </w:tc>
        <w:tc>
          <w:tcPr>
            <w:tcW w:w="8079" w:type="dxa"/>
          </w:tcPr>
          <w:p w14:paraId="36322A87" w14:textId="77777777" w:rsidR="00FD54FC" w:rsidRPr="00E07C9A" w:rsidRDefault="00FD54FC" w:rsidP="00FD54FC">
            <w:pPr>
              <w:rPr>
                <w:rStyle w:val="InstructionsTabelleberschrift"/>
                <w:rFonts w:ascii="Times New Roman" w:hAnsi="Times New Roman"/>
                <w:sz w:val="24"/>
              </w:rPr>
            </w:pPr>
            <w:r w:rsidRPr="00E07C9A">
              <w:rPr>
                <w:rStyle w:val="InstructionsTabelleberschrift"/>
                <w:rFonts w:ascii="Times New Roman" w:hAnsi="Times New Roman"/>
                <w:sz w:val="24"/>
              </w:rPr>
              <w:t>Súčet piatich najväčších strát</w:t>
            </w:r>
          </w:p>
          <w:p w14:paraId="3D9655C2" w14:textId="77777777" w:rsidR="00FD54FC" w:rsidRPr="00E07C9A" w:rsidRDefault="00FD54FC" w:rsidP="00FD54FC">
            <w:pPr>
              <w:rPr>
                <w:rFonts w:ascii="Times New Roman" w:hAnsi="Times New Roman"/>
                <w:sz w:val="24"/>
              </w:rPr>
            </w:pPr>
            <w:r w:rsidRPr="00E07C9A">
              <w:rPr>
                <w:rFonts w:ascii="Times New Roman" w:hAnsi="Times New Roman"/>
                <w:sz w:val="24"/>
              </w:rPr>
              <w:t>Súčet piatich najväčších strát je súčet piatich najväčších súm spomedzi týchto hodnôt:</w:t>
            </w:r>
          </w:p>
          <w:p w14:paraId="4B64CFB7" w14:textId="77777777" w:rsidR="00FD54FC" w:rsidRPr="00E07C9A" w:rsidRDefault="00FD54FC" w:rsidP="00FD54FC">
            <w:pPr>
              <w:tabs>
                <w:tab w:val="left" w:pos="459"/>
              </w:tabs>
              <w:ind w:left="459" w:hanging="459"/>
              <w:rPr>
                <w:rFonts w:ascii="Times New Roman" w:hAnsi="Times New Roman"/>
                <w:sz w:val="24"/>
              </w:rPr>
            </w:pPr>
            <w:r w:rsidRPr="00E07C9A">
              <w:rPr>
                <w:rFonts w:ascii="Times New Roman" w:hAnsi="Times New Roman"/>
                <w:sz w:val="24"/>
              </w:rPr>
              <w:t>i)</w:t>
            </w:r>
            <w:r w:rsidRPr="00E07C9A">
              <w:rPr>
                <w:rFonts w:ascii="Times New Roman" w:hAnsi="Times New Roman"/>
              </w:rPr>
              <w:tab/>
            </w:r>
            <w:r w:rsidRPr="00E07C9A">
              <w:rPr>
                <w:rFonts w:ascii="Times New Roman" w:hAnsi="Times New Roman"/>
                <w:sz w:val="24"/>
              </w:rPr>
              <w:t>výška hrubej straty pre stratové udalosti vykázané prvýkrát počas referenčného obdobia vykazovania; a</w:t>
            </w:r>
          </w:p>
          <w:p w14:paraId="758169F5" w14:textId="4C95BF0E" w:rsidR="00FD54FC" w:rsidRPr="00E07C9A" w:rsidRDefault="00FD54FC" w:rsidP="00FD54FC">
            <w:pPr>
              <w:tabs>
                <w:tab w:val="left" w:pos="459"/>
              </w:tabs>
              <w:ind w:left="459" w:hanging="459"/>
              <w:rPr>
                <w:rFonts w:ascii="Times New Roman" w:hAnsi="Times New Roman"/>
                <w:sz w:val="24"/>
              </w:rPr>
            </w:pPr>
            <w:r w:rsidRPr="00E07C9A">
              <w:rPr>
                <w:rFonts w:ascii="Times New Roman" w:hAnsi="Times New Roman"/>
                <w:sz w:val="24"/>
              </w:rPr>
              <w:t>ii)</w:t>
            </w:r>
            <w:r w:rsidRPr="00E07C9A">
              <w:rPr>
                <w:rFonts w:ascii="Times New Roman" w:hAnsi="Times New Roman"/>
              </w:rPr>
              <w:tab/>
            </w:r>
            <w:r w:rsidRPr="00E07C9A">
              <w:rPr>
                <w:rFonts w:ascii="Times New Roman" w:hAnsi="Times New Roman"/>
                <w:sz w:val="24"/>
              </w:rPr>
              <w:t>hodnoty kladných stratových úprav (v zmysle vymedzenia pre riadky 0040, 0140, ..., 0840 vyššie)</w:t>
            </w:r>
            <w:r w:rsidR="009912F8" w:rsidRPr="00E07C9A">
              <w:rPr>
                <w:rFonts w:ascii="Times New Roman" w:hAnsi="Times New Roman"/>
                <w:sz w:val="24"/>
              </w:rPr>
              <w:t xml:space="preserve"> v </w:t>
            </w:r>
            <w:r w:rsidRPr="00E07C9A">
              <w:rPr>
                <w:rFonts w:ascii="Times New Roman" w:hAnsi="Times New Roman"/>
                <w:sz w:val="24"/>
              </w:rPr>
              <w:t>súvislosti so stratovými udalosťami vykázanými prvýkrát počas predchádzajúceho referenčného obdobia vykazovania. Suma, ktorá sa môže považovať za jednu</w:t>
            </w:r>
            <w:r w:rsidR="009912F8" w:rsidRPr="00E07C9A">
              <w:rPr>
                <w:rFonts w:ascii="Times New Roman" w:hAnsi="Times New Roman"/>
                <w:sz w:val="24"/>
              </w:rPr>
              <w:t xml:space="preserve"> z </w:t>
            </w:r>
            <w:r w:rsidRPr="00E07C9A">
              <w:rPr>
                <w:rFonts w:ascii="Times New Roman" w:hAnsi="Times New Roman"/>
                <w:sz w:val="24"/>
              </w:rPr>
              <w:t>piatich najvyšších, je suma samotnej stratovej úpravy, nie celková strata spojená</w:t>
            </w:r>
            <w:r w:rsidR="009912F8" w:rsidRPr="00E07C9A">
              <w:rPr>
                <w:rFonts w:ascii="Times New Roman" w:hAnsi="Times New Roman"/>
                <w:sz w:val="24"/>
              </w:rPr>
              <w:t xml:space="preserve"> s </w:t>
            </w:r>
            <w:r w:rsidRPr="00E07C9A">
              <w:rPr>
                <w:rFonts w:ascii="Times New Roman" w:hAnsi="Times New Roman"/>
                <w:sz w:val="24"/>
              </w:rPr>
              <w:t>príslušnou stratovou udalosťou pred stratovou úpravou alebo po nej.</w:t>
            </w:r>
          </w:p>
          <w:p w14:paraId="00CACAFA" w14:textId="77777777" w:rsidR="00FD54FC" w:rsidRPr="00E07C9A" w:rsidRDefault="00FD54FC" w:rsidP="00F52FC6">
            <w:pPr>
              <w:rPr>
                <w:rFonts w:ascii="Times New Roman" w:hAnsi="Times New Roman"/>
                <w:sz w:val="24"/>
              </w:rPr>
            </w:pPr>
            <w:r w:rsidRPr="00E07C9A">
              <w:rPr>
                <w:rFonts w:ascii="Times New Roman" w:hAnsi="Times New Roman"/>
                <w:sz w:val="24"/>
              </w:rPr>
              <w:t>Hodnoty, ktoré sa majú vykázať, nezohľadňujú získané náhrady.</w:t>
            </w:r>
          </w:p>
        </w:tc>
      </w:tr>
      <w:tr w:rsidR="00FD54FC" w:rsidRPr="00E07C9A" w14:paraId="5406E1EB" w14:textId="77777777" w:rsidTr="00672D2A">
        <w:tc>
          <w:tcPr>
            <w:tcW w:w="1101" w:type="dxa"/>
          </w:tcPr>
          <w:p w14:paraId="7AF95081" w14:textId="77777777" w:rsidR="00FD54FC" w:rsidRPr="00E07C9A" w:rsidRDefault="00C93FC2" w:rsidP="00FD54FC">
            <w:pPr>
              <w:rPr>
                <w:rFonts w:ascii="Times New Roman" w:hAnsi="Times New Roman"/>
                <w:bCs/>
                <w:sz w:val="24"/>
              </w:rPr>
            </w:pPr>
            <w:r w:rsidRPr="00E07C9A">
              <w:rPr>
                <w:rFonts w:ascii="Times New Roman" w:hAnsi="Times New Roman"/>
                <w:sz w:val="24"/>
              </w:rPr>
              <w:t>0070, 0170, 0270, 0370, 0470, 0570, 0670, 0770, 0870</w:t>
            </w:r>
          </w:p>
        </w:tc>
        <w:tc>
          <w:tcPr>
            <w:tcW w:w="8079" w:type="dxa"/>
          </w:tcPr>
          <w:p w14:paraId="4992576E" w14:textId="77777777" w:rsidR="00FD54FC" w:rsidRPr="00E07C9A" w:rsidRDefault="00B34B0B" w:rsidP="00FD54FC">
            <w:pPr>
              <w:rPr>
                <w:rFonts w:ascii="Times New Roman" w:hAnsi="Times New Roman"/>
                <w:sz w:val="24"/>
              </w:rPr>
            </w:pPr>
            <w:r w:rsidRPr="00E07C9A">
              <w:rPr>
                <w:rStyle w:val="InstructionsTabelleberschrift"/>
                <w:rFonts w:ascii="Times New Roman" w:hAnsi="Times New Roman"/>
                <w:sz w:val="24"/>
              </w:rPr>
              <w:t>Celkové priame náhrady straty</w:t>
            </w:r>
          </w:p>
          <w:p w14:paraId="477F6E21" w14:textId="17C57C54" w:rsidR="009912F8" w:rsidRPr="00E07C9A" w:rsidRDefault="00FD54FC" w:rsidP="00FD54FC">
            <w:pPr>
              <w:rPr>
                <w:rFonts w:ascii="Times New Roman" w:hAnsi="Times New Roman"/>
                <w:sz w:val="24"/>
              </w:rPr>
            </w:pPr>
            <w:r w:rsidRPr="00E07C9A">
              <w:rPr>
                <w:rFonts w:ascii="Times New Roman" w:hAnsi="Times New Roman"/>
                <w:sz w:val="24"/>
              </w:rPr>
              <w:t xml:space="preserve">Priame náhrady straty sú všetky získané náhrady straty okrem tých, na ktoré sa vzťahuje článok 323 nariadenia (EÚ) </w:t>
            </w:r>
            <w:r w:rsidR="009912F8" w:rsidRPr="00E07C9A">
              <w:rPr>
                <w:rFonts w:ascii="Times New Roman" w:hAnsi="Times New Roman"/>
                <w:sz w:val="24"/>
              </w:rPr>
              <w:t>č. 575/2013</w:t>
            </w:r>
            <w:r w:rsidRPr="00E07C9A">
              <w:rPr>
                <w:rFonts w:ascii="Times New Roman" w:hAnsi="Times New Roman"/>
                <w:sz w:val="24"/>
              </w:rPr>
              <w:t>, ako je uvedené</w:t>
            </w:r>
            <w:r w:rsidR="009912F8" w:rsidRPr="00E07C9A">
              <w:rPr>
                <w:rFonts w:ascii="Times New Roman" w:hAnsi="Times New Roman"/>
                <w:sz w:val="24"/>
              </w:rPr>
              <w:t xml:space="preserve"> v </w:t>
            </w:r>
            <w:r w:rsidRPr="00E07C9A">
              <w:rPr>
                <w:rFonts w:ascii="Times New Roman" w:hAnsi="Times New Roman"/>
                <w:sz w:val="24"/>
              </w:rPr>
              <w:t>riadku nižšie tejto tabuľky</w:t>
            </w:r>
            <w:r w:rsidR="009912F8" w:rsidRPr="00E07C9A">
              <w:rPr>
                <w:rFonts w:ascii="Times New Roman" w:hAnsi="Times New Roman"/>
                <w:sz w:val="24"/>
              </w:rPr>
              <w:t>.</w:t>
            </w:r>
          </w:p>
          <w:p w14:paraId="05060BFF" w14:textId="2CD4CC0F" w:rsidR="00FD54FC" w:rsidRPr="00E07C9A" w:rsidRDefault="00FD54FC" w:rsidP="00FD54FC">
            <w:pPr>
              <w:rPr>
                <w:rFonts w:ascii="Times New Roman" w:hAnsi="Times New Roman"/>
                <w:b/>
                <w:sz w:val="24"/>
              </w:rPr>
            </w:pPr>
            <w:r w:rsidRPr="00E07C9A">
              <w:rPr>
                <w:rFonts w:ascii="Times New Roman" w:hAnsi="Times New Roman"/>
                <w:sz w:val="24"/>
              </w:rPr>
              <w:t>Celkové priame náhrady straty sú súčtom všetkých priamych náhrad</w:t>
            </w:r>
            <w:r w:rsidR="009912F8" w:rsidRPr="00E07C9A">
              <w:rPr>
                <w:rFonts w:ascii="Times New Roman" w:hAnsi="Times New Roman"/>
                <w:sz w:val="24"/>
              </w:rPr>
              <w:t xml:space="preserve"> a </w:t>
            </w:r>
            <w:r w:rsidRPr="00E07C9A">
              <w:rPr>
                <w:rFonts w:ascii="Times New Roman" w:hAnsi="Times New Roman"/>
                <w:sz w:val="24"/>
              </w:rPr>
              <w:t>úprav priamych náhrad zaúčtovaných počas obdobia vykazovania</w:t>
            </w:r>
            <w:r w:rsidR="009912F8" w:rsidRPr="00E07C9A">
              <w:rPr>
                <w:rFonts w:ascii="Times New Roman" w:hAnsi="Times New Roman"/>
                <w:sz w:val="24"/>
              </w:rPr>
              <w:t xml:space="preserve"> a </w:t>
            </w:r>
            <w:r w:rsidRPr="00E07C9A">
              <w:rPr>
                <w:rFonts w:ascii="Times New Roman" w:hAnsi="Times New Roman"/>
                <w:sz w:val="24"/>
              </w:rPr>
              <w:t>súvisiacich so stratovými udalosťami operačného rizika zaúčtovanými prvýkrát počas referenčného obdobia vykazovania alebo</w:t>
            </w:r>
            <w:r w:rsidR="009912F8" w:rsidRPr="00E07C9A">
              <w:rPr>
                <w:rFonts w:ascii="Times New Roman" w:hAnsi="Times New Roman"/>
                <w:sz w:val="24"/>
              </w:rPr>
              <w:t xml:space="preserve"> v </w:t>
            </w:r>
            <w:r w:rsidRPr="00E07C9A">
              <w:rPr>
                <w:rFonts w:ascii="Times New Roman" w:hAnsi="Times New Roman"/>
                <w:sz w:val="24"/>
              </w:rPr>
              <w:t>predchádzajúcich referenčných obdobiach vykazovania.</w:t>
            </w:r>
          </w:p>
        </w:tc>
      </w:tr>
      <w:tr w:rsidR="00FD54FC" w:rsidRPr="00E07C9A" w14:paraId="634FF9D5" w14:textId="77777777" w:rsidTr="00672D2A">
        <w:tc>
          <w:tcPr>
            <w:tcW w:w="1101" w:type="dxa"/>
          </w:tcPr>
          <w:p w14:paraId="2715DBA0" w14:textId="77777777" w:rsidR="00FD54FC" w:rsidRPr="00E07C9A" w:rsidRDefault="00C93FC2" w:rsidP="00FD54FC">
            <w:pPr>
              <w:rPr>
                <w:rFonts w:ascii="Times New Roman" w:hAnsi="Times New Roman"/>
                <w:bCs/>
                <w:sz w:val="24"/>
              </w:rPr>
            </w:pPr>
            <w:r w:rsidRPr="00E07C9A">
              <w:rPr>
                <w:rFonts w:ascii="Times New Roman" w:hAnsi="Times New Roman"/>
                <w:sz w:val="24"/>
              </w:rPr>
              <w:t>0080, 0180, 0280, 0380, 0480, 0580, 0680, 0780, 0880</w:t>
            </w:r>
          </w:p>
        </w:tc>
        <w:tc>
          <w:tcPr>
            <w:tcW w:w="8079" w:type="dxa"/>
          </w:tcPr>
          <w:p w14:paraId="0C974825" w14:textId="2DD4F6BF" w:rsidR="00FD54FC" w:rsidRPr="00E07C9A" w:rsidRDefault="00FD54FC" w:rsidP="00FD54FC">
            <w:pPr>
              <w:rPr>
                <w:rStyle w:val="InstructionsTabelleberschrift"/>
                <w:rFonts w:ascii="Times New Roman" w:hAnsi="Times New Roman"/>
                <w:sz w:val="24"/>
              </w:rPr>
            </w:pPr>
            <w:r w:rsidRPr="00E07C9A">
              <w:rPr>
                <w:rStyle w:val="InstructionsTabelleberschrift"/>
                <w:rFonts w:ascii="Times New Roman" w:hAnsi="Times New Roman"/>
                <w:sz w:val="24"/>
              </w:rPr>
              <w:t>Celkové náhrady</w:t>
            </w:r>
            <w:r w:rsidR="009912F8" w:rsidRPr="00E07C9A">
              <w:rPr>
                <w:rStyle w:val="InstructionsTabelleberschrift"/>
                <w:rFonts w:ascii="Times New Roman" w:hAnsi="Times New Roman"/>
                <w:sz w:val="24"/>
              </w:rPr>
              <w:t xml:space="preserve"> z </w:t>
            </w:r>
            <w:r w:rsidRPr="00E07C9A">
              <w:rPr>
                <w:rStyle w:val="InstructionsTabelleberschrift"/>
                <w:rFonts w:ascii="Times New Roman" w:hAnsi="Times New Roman"/>
                <w:sz w:val="24"/>
              </w:rPr>
              <w:t>poistenia</w:t>
            </w:r>
            <w:r w:rsidR="009912F8" w:rsidRPr="00E07C9A">
              <w:rPr>
                <w:rStyle w:val="InstructionsTabelleberschrift"/>
                <w:rFonts w:ascii="Times New Roman" w:hAnsi="Times New Roman"/>
                <w:sz w:val="24"/>
              </w:rPr>
              <w:t xml:space="preserve"> a </w:t>
            </w:r>
            <w:r w:rsidRPr="00E07C9A">
              <w:rPr>
                <w:rStyle w:val="InstructionsTabelleberschrift"/>
                <w:rFonts w:ascii="Times New Roman" w:hAnsi="Times New Roman"/>
                <w:sz w:val="24"/>
              </w:rPr>
              <w:t>iných mechanizmov prenosu rizika</w:t>
            </w:r>
          </w:p>
          <w:p w14:paraId="5E33D1BF" w14:textId="332B30E6" w:rsidR="009912F8" w:rsidRPr="00E07C9A" w:rsidRDefault="00FD54FC" w:rsidP="00FD54FC">
            <w:pPr>
              <w:rPr>
                <w:rFonts w:ascii="Times New Roman" w:hAnsi="Times New Roman"/>
                <w:sz w:val="24"/>
              </w:rPr>
            </w:pPr>
            <w:r w:rsidRPr="00E07C9A">
              <w:rPr>
                <w:rFonts w:ascii="Times New Roman" w:hAnsi="Times New Roman"/>
                <w:sz w:val="24"/>
              </w:rPr>
              <w:t>Náhrady</w:t>
            </w:r>
            <w:r w:rsidR="009912F8" w:rsidRPr="00E07C9A">
              <w:rPr>
                <w:rFonts w:ascii="Times New Roman" w:hAnsi="Times New Roman"/>
                <w:sz w:val="24"/>
              </w:rPr>
              <w:t xml:space="preserve"> z </w:t>
            </w:r>
            <w:r w:rsidRPr="00E07C9A">
              <w:rPr>
                <w:rFonts w:ascii="Times New Roman" w:hAnsi="Times New Roman"/>
                <w:sz w:val="24"/>
              </w:rPr>
              <w:t>poistenia</w:t>
            </w:r>
            <w:r w:rsidR="009912F8" w:rsidRPr="00E07C9A">
              <w:rPr>
                <w:rFonts w:ascii="Times New Roman" w:hAnsi="Times New Roman"/>
                <w:sz w:val="24"/>
              </w:rPr>
              <w:t xml:space="preserve"> a </w:t>
            </w:r>
            <w:r w:rsidRPr="00E07C9A">
              <w:rPr>
                <w:rFonts w:ascii="Times New Roman" w:hAnsi="Times New Roman"/>
                <w:sz w:val="24"/>
              </w:rPr>
              <w:t xml:space="preserve">iných mechanizmov prenosu rizika sú tie náhrady, na ktoré sa vzťahuje článok 323 nariadenia (EÚ) </w:t>
            </w:r>
            <w:r w:rsidR="009912F8" w:rsidRPr="00E07C9A">
              <w:rPr>
                <w:rFonts w:ascii="Times New Roman" w:hAnsi="Times New Roman"/>
                <w:sz w:val="24"/>
              </w:rPr>
              <w:t>č. 575/2013.</w:t>
            </w:r>
          </w:p>
          <w:p w14:paraId="6F9286F3" w14:textId="270688FC" w:rsidR="00FD54FC" w:rsidRPr="00E07C9A" w:rsidRDefault="00FD54FC" w:rsidP="00070AF9">
            <w:pPr>
              <w:rPr>
                <w:rFonts w:ascii="Times New Roman" w:hAnsi="Times New Roman"/>
                <w:sz w:val="24"/>
              </w:rPr>
            </w:pPr>
            <w:r w:rsidRPr="00E07C9A">
              <w:rPr>
                <w:rFonts w:ascii="Times New Roman" w:hAnsi="Times New Roman"/>
                <w:sz w:val="24"/>
              </w:rPr>
              <w:t>Celkové náhrady</w:t>
            </w:r>
            <w:r w:rsidR="009912F8" w:rsidRPr="00E07C9A">
              <w:rPr>
                <w:rFonts w:ascii="Times New Roman" w:hAnsi="Times New Roman"/>
                <w:sz w:val="24"/>
              </w:rPr>
              <w:t xml:space="preserve"> z </w:t>
            </w:r>
            <w:r w:rsidRPr="00E07C9A">
              <w:rPr>
                <w:rFonts w:ascii="Times New Roman" w:hAnsi="Times New Roman"/>
                <w:sz w:val="24"/>
              </w:rPr>
              <w:t>poistenia</w:t>
            </w:r>
            <w:r w:rsidR="009912F8" w:rsidRPr="00E07C9A">
              <w:rPr>
                <w:rFonts w:ascii="Times New Roman" w:hAnsi="Times New Roman"/>
                <w:sz w:val="24"/>
              </w:rPr>
              <w:t xml:space="preserve"> a </w:t>
            </w:r>
            <w:r w:rsidRPr="00E07C9A">
              <w:rPr>
                <w:rFonts w:ascii="Times New Roman" w:hAnsi="Times New Roman"/>
                <w:sz w:val="24"/>
              </w:rPr>
              <w:t>iných mechanizmov prenosu rizika sú súčtom všetkých náhrad</w:t>
            </w:r>
            <w:r w:rsidR="009912F8" w:rsidRPr="00E07C9A">
              <w:rPr>
                <w:rFonts w:ascii="Times New Roman" w:hAnsi="Times New Roman"/>
                <w:sz w:val="24"/>
              </w:rPr>
              <w:t xml:space="preserve"> z </w:t>
            </w:r>
            <w:r w:rsidRPr="00E07C9A">
              <w:rPr>
                <w:rFonts w:ascii="Times New Roman" w:hAnsi="Times New Roman"/>
                <w:sz w:val="24"/>
              </w:rPr>
              <w:t>poistenia</w:t>
            </w:r>
            <w:r w:rsidR="009912F8" w:rsidRPr="00E07C9A">
              <w:rPr>
                <w:rFonts w:ascii="Times New Roman" w:hAnsi="Times New Roman"/>
                <w:sz w:val="24"/>
              </w:rPr>
              <w:t xml:space="preserve"> a </w:t>
            </w:r>
            <w:r w:rsidRPr="00E07C9A">
              <w:rPr>
                <w:rFonts w:ascii="Times New Roman" w:hAnsi="Times New Roman"/>
                <w:sz w:val="24"/>
              </w:rPr>
              <w:t>iných mechanizmov prenosu rizika</w:t>
            </w:r>
            <w:r w:rsidR="009912F8" w:rsidRPr="00E07C9A">
              <w:rPr>
                <w:rFonts w:ascii="Times New Roman" w:hAnsi="Times New Roman"/>
                <w:sz w:val="24"/>
              </w:rPr>
              <w:t xml:space="preserve"> a </w:t>
            </w:r>
            <w:r w:rsidRPr="00E07C9A">
              <w:rPr>
                <w:rFonts w:ascii="Times New Roman" w:hAnsi="Times New Roman"/>
                <w:sz w:val="24"/>
              </w:rPr>
              <w:t>úprav takýchto náhrad zaúčtovaných počas referenčného obdobia vykazovania</w:t>
            </w:r>
            <w:r w:rsidR="009912F8" w:rsidRPr="00E07C9A">
              <w:rPr>
                <w:rFonts w:ascii="Times New Roman" w:hAnsi="Times New Roman"/>
                <w:sz w:val="24"/>
              </w:rPr>
              <w:t xml:space="preserve"> a </w:t>
            </w:r>
            <w:r w:rsidRPr="00E07C9A">
              <w:rPr>
                <w:rFonts w:ascii="Times New Roman" w:hAnsi="Times New Roman"/>
                <w:sz w:val="24"/>
              </w:rPr>
              <w:t>súvisiacich so stratovými udalosťami operačného rizika zaúčtovanými prvýkrát počas referenčného obdobia vykazovania alebo</w:t>
            </w:r>
            <w:r w:rsidR="009912F8" w:rsidRPr="00E07C9A">
              <w:rPr>
                <w:rFonts w:ascii="Times New Roman" w:hAnsi="Times New Roman"/>
                <w:sz w:val="24"/>
              </w:rPr>
              <w:t xml:space="preserve"> v </w:t>
            </w:r>
            <w:r w:rsidRPr="00E07C9A">
              <w:rPr>
                <w:rFonts w:ascii="Times New Roman" w:hAnsi="Times New Roman"/>
                <w:sz w:val="24"/>
              </w:rPr>
              <w:t>predchádzajúcich referenčných obdobiach vykazovania.</w:t>
            </w:r>
          </w:p>
        </w:tc>
      </w:tr>
      <w:tr w:rsidR="00FD54FC" w:rsidRPr="00E07C9A" w14:paraId="331252AE" w14:textId="77777777" w:rsidTr="00672D2A">
        <w:tc>
          <w:tcPr>
            <w:tcW w:w="1101" w:type="dxa"/>
          </w:tcPr>
          <w:p w14:paraId="0E304D67" w14:textId="77777777" w:rsidR="00FD54FC" w:rsidRPr="00E07C9A" w:rsidRDefault="00C93FC2" w:rsidP="000F70EC">
            <w:pPr>
              <w:rPr>
                <w:rFonts w:ascii="Times New Roman" w:hAnsi="Times New Roman"/>
                <w:bCs/>
                <w:sz w:val="24"/>
              </w:rPr>
            </w:pPr>
            <w:r w:rsidRPr="00E07C9A">
              <w:rPr>
                <w:rFonts w:ascii="Times New Roman" w:hAnsi="Times New Roman"/>
                <w:sz w:val="24"/>
              </w:rPr>
              <w:t>0910 – 0980</w:t>
            </w:r>
          </w:p>
        </w:tc>
        <w:tc>
          <w:tcPr>
            <w:tcW w:w="8079" w:type="dxa"/>
          </w:tcPr>
          <w:p w14:paraId="6E1626E8" w14:textId="77777777" w:rsidR="00FD54FC" w:rsidRPr="00E07C9A" w:rsidRDefault="00FD54FC" w:rsidP="00FD54FC">
            <w:pPr>
              <w:rPr>
                <w:rStyle w:val="InstructionsTabelleberschrift"/>
                <w:rFonts w:ascii="Times New Roman" w:hAnsi="Times New Roman"/>
                <w:sz w:val="24"/>
              </w:rPr>
            </w:pPr>
            <w:r w:rsidRPr="00E07C9A">
              <w:rPr>
                <w:rStyle w:val="InstructionsTabelleberschrift"/>
                <w:rFonts w:ascii="Times New Roman" w:hAnsi="Times New Roman"/>
                <w:sz w:val="24"/>
              </w:rPr>
              <w:t>CELKOVÉ OBCHODNÉ LÍNIE</w:t>
            </w:r>
          </w:p>
          <w:p w14:paraId="62DF7EDA" w14:textId="709A5965" w:rsidR="00FD54FC" w:rsidRPr="00E07C9A" w:rsidRDefault="00FD54FC" w:rsidP="00F114E6">
            <w:pPr>
              <w:rPr>
                <w:rFonts w:ascii="Times New Roman" w:hAnsi="Times New Roman"/>
                <w:sz w:val="24"/>
              </w:rPr>
            </w:pPr>
            <w:r w:rsidRPr="00E07C9A">
              <w:rPr>
                <w:rFonts w:ascii="Times New Roman" w:hAnsi="Times New Roman"/>
                <w:sz w:val="24"/>
              </w:rPr>
              <w:t>Pre každý druh stratovej udalosti (stĺpce 0010 až 0080) sa musia vykazovať informácie</w:t>
            </w:r>
            <w:r w:rsidR="009912F8" w:rsidRPr="00E07C9A">
              <w:rPr>
                <w:rFonts w:ascii="Times New Roman" w:hAnsi="Times New Roman"/>
                <w:sz w:val="24"/>
              </w:rPr>
              <w:t xml:space="preserve"> o </w:t>
            </w:r>
            <w:r w:rsidRPr="00E07C9A">
              <w:rPr>
                <w:rFonts w:ascii="Times New Roman" w:hAnsi="Times New Roman"/>
                <w:sz w:val="24"/>
              </w:rPr>
              <w:t>celkových obchodných líniách.</w:t>
            </w:r>
          </w:p>
        </w:tc>
      </w:tr>
      <w:tr w:rsidR="00FD54FC" w:rsidRPr="00E07C9A" w14:paraId="5E001C76" w14:textId="77777777" w:rsidTr="00672D2A">
        <w:tc>
          <w:tcPr>
            <w:tcW w:w="1101" w:type="dxa"/>
          </w:tcPr>
          <w:p w14:paraId="60FA9CC0" w14:textId="77777777" w:rsidR="00FD54FC" w:rsidRPr="00E07C9A" w:rsidRDefault="00C93FC2" w:rsidP="000F70EC">
            <w:pPr>
              <w:rPr>
                <w:rFonts w:ascii="Times New Roman" w:hAnsi="Times New Roman"/>
                <w:bCs/>
                <w:sz w:val="24"/>
              </w:rPr>
            </w:pPr>
            <w:r w:rsidRPr="00E07C9A">
              <w:rPr>
                <w:rFonts w:ascii="Times New Roman" w:hAnsi="Times New Roman"/>
                <w:sz w:val="24"/>
              </w:rPr>
              <w:t>0910 – 0914</w:t>
            </w:r>
          </w:p>
        </w:tc>
        <w:tc>
          <w:tcPr>
            <w:tcW w:w="8079" w:type="dxa"/>
          </w:tcPr>
          <w:p w14:paraId="095C4CCB" w14:textId="77777777" w:rsidR="00FD54FC" w:rsidRPr="00E07C9A" w:rsidRDefault="00FD54FC" w:rsidP="00FD54FC">
            <w:pPr>
              <w:rPr>
                <w:rStyle w:val="InstructionsTabelleberschrift"/>
                <w:rFonts w:ascii="Times New Roman" w:hAnsi="Times New Roman"/>
                <w:sz w:val="24"/>
              </w:rPr>
            </w:pPr>
            <w:r w:rsidRPr="00E07C9A">
              <w:rPr>
                <w:rStyle w:val="InstructionsTabelleberschrift"/>
                <w:rFonts w:ascii="Times New Roman" w:hAnsi="Times New Roman"/>
                <w:sz w:val="24"/>
              </w:rPr>
              <w:t>Počet stratových udalostí</w:t>
            </w:r>
          </w:p>
          <w:p w14:paraId="34FAAF76" w14:textId="2F71D35F" w:rsidR="00FD54FC" w:rsidRPr="00E07C9A" w:rsidRDefault="00FD54FC" w:rsidP="00FD54FC">
            <w:pPr>
              <w:rPr>
                <w:rFonts w:ascii="Times New Roman" w:hAnsi="Times New Roman"/>
                <w:sz w:val="24"/>
              </w:rPr>
            </w:pPr>
            <w:r w:rsidRPr="00E07C9A">
              <w:rPr>
                <w:rFonts w:ascii="Times New Roman" w:hAnsi="Times New Roman"/>
                <w:sz w:val="24"/>
              </w:rPr>
              <w:t>V riadku 0910 sa vykazuje počet stratových udalostí nad internou prahovou hodnotou podľa druhov stratových udalostí pre celkové obchodné línie. Tento údaj môže byť nižší než súhrn počtu stratových udalostí podľa obchodných línií, keďže stratové udalosti</w:t>
            </w:r>
            <w:r w:rsidR="009912F8" w:rsidRPr="00E07C9A">
              <w:rPr>
                <w:rFonts w:ascii="Times New Roman" w:hAnsi="Times New Roman"/>
                <w:sz w:val="24"/>
              </w:rPr>
              <w:t xml:space="preserve"> s </w:t>
            </w:r>
            <w:r w:rsidRPr="00E07C9A">
              <w:rPr>
                <w:rFonts w:ascii="Times New Roman" w:hAnsi="Times New Roman"/>
                <w:sz w:val="24"/>
              </w:rPr>
              <w:t>viacnásobným dosahom (dosah vo viacerých obchodných líniách) sa považujú za jednu udalosť. Môže byť vyšší, ak inštitúcia, ktorá vypočítava svoje požiadavky na vlastné zdroje podľa BIA, nedokáže</w:t>
            </w:r>
            <w:r w:rsidR="009912F8" w:rsidRPr="00E07C9A">
              <w:rPr>
                <w:rFonts w:ascii="Times New Roman" w:hAnsi="Times New Roman"/>
                <w:sz w:val="24"/>
              </w:rPr>
              <w:t xml:space="preserve"> v </w:t>
            </w:r>
            <w:r w:rsidRPr="00E07C9A">
              <w:rPr>
                <w:rFonts w:ascii="Times New Roman" w:hAnsi="Times New Roman"/>
                <w:sz w:val="24"/>
              </w:rPr>
              <w:t>každom prípade identifikovať obchodnú líniu/obchodné línie ovplyvnené stratou.</w:t>
            </w:r>
          </w:p>
          <w:p w14:paraId="1029FFB0" w14:textId="627DFBE3" w:rsidR="00FD54FC" w:rsidRPr="00E07C9A" w:rsidRDefault="00FD54FC" w:rsidP="00FD54FC">
            <w:pPr>
              <w:rPr>
                <w:rFonts w:ascii="Times New Roman" w:hAnsi="Times New Roman"/>
                <w:sz w:val="24"/>
              </w:rPr>
            </w:pPr>
            <w:r w:rsidRPr="00E07C9A">
              <w:rPr>
                <w:rFonts w:ascii="Times New Roman" w:hAnsi="Times New Roman"/>
                <w:sz w:val="24"/>
              </w:rPr>
              <w:t>V riadkoch 0911 až 0914 sa vykazuje počet stratových udalostí</w:t>
            </w:r>
            <w:r w:rsidR="009912F8" w:rsidRPr="00E07C9A">
              <w:rPr>
                <w:rFonts w:ascii="Times New Roman" w:hAnsi="Times New Roman"/>
                <w:sz w:val="24"/>
              </w:rPr>
              <w:t xml:space="preserve"> s </w:t>
            </w:r>
            <w:r w:rsidRPr="00E07C9A">
              <w:rPr>
                <w:rFonts w:ascii="Times New Roman" w:hAnsi="Times New Roman"/>
                <w:sz w:val="24"/>
              </w:rPr>
              <w:t>výškou hrubej straty</w:t>
            </w:r>
            <w:r w:rsidR="009912F8" w:rsidRPr="00E07C9A">
              <w:rPr>
                <w:rFonts w:ascii="Times New Roman" w:hAnsi="Times New Roman"/>
                <w:sz w:val="24"/>
              </w:rPr>
              <w:t xml:space="preserve"> v </w:t>
            </w:r>
            <w:r w:rsidRPr="00E07C9A">
              <w:rPr>
                <w:rFonts w:ascii="Times New Roman" w:hAnsi="Times New Roman"/>
                <w:sz w:val="24"/>
              </w:rPr>
              <w:t>rozpätiach vymedzených</w:t>
            </w:r>
            <w:r w:rsidR="009912F8" w:rsidRPr="00E07C9A">
              <w:rPr>
                <w:rFonts w:ascii="Times New Roman" w:hAnsi="Times New Roman"/>
                <w:sz w:val="24"/>
              </w:rPr>
              <w:t xml:space="preserve"> v </w:t>
            </w:r>
            <w:r w:rsidRPr="00E07C9A">
              <w:rPr>
                <w:rFonts w:ascii="Times New Roman" w:hAnsi="Times New Roman"/>
                <w:sz w:val="24"/>
              </w:rPr>
              <w:t>príslušných riadkoch vzoru.</w:t>
            </w:r>
          </w:p>
          <w:p w14:paraId="3642B0CB" w14:textId="5D4F9808" w:rsidR="00FD54FC" w:rsidRPr="00E07C9A" w:rsidRDefault="00FD54FC" w:rsidP="00FD54FC">
            <w:pPr>
              <w:rPr>
                <w:rFonts w:ascii="Times New Roman" w:hAnsi="Times New Roman"/>
                <w:sz w:val="24"/>
              </w:rPr>
            </w:pPr>
            <w:r w:rsidRPr="00E07C9A">
              <w:rPr>
                <w:rFonts w:ascii="Times New Roman" w:hAnsi="Times New Roman"/>
                <w:sz w:val="24"/>
              </w:rPr>
              <w:t>Za predpokladu, že inštitúcia zaradila všetky svoje straty do obchodnej línie uvedenej</w:t>
            </w:r>
            <w:r w:rsidR="009912F8" w:rsidRPr="00E07C9A">
              <w:rPr>
                <w:rFonts w:ascii="Times New Roman" w:hAnsi="Times New Roman"/>
                <w:sz w:val="24"/>
              </w:rPr>
              <w:t xml:space="preserve"> v </w:t>
            </w:r>
            <w:r w:rsidRPr="00E07C9A">
              <w:rPr>
                <w:rFonts w:ascii="Times New Roman" w:hAnsi="Times New Roman"/>
                <w:sz w:val="24"/>
              </w:rPr>
              <w:t xml:space="preserve">tabuľke 2 článku 317 ods. 4 nariadenia (EÚ) </w:t>
            </w:r>
            <w:r w:rsidR="009912F8" w:rsidRPr="00E07C9A">
              <w:rPr>
                <w:rFonts w:ascii="Times New Roman" w:hAnsi="Times New Roman"/>
                <w:sz w:val="24"/>
              </w:rPr>
              <w:t>č. 575/2013</w:t>
            </w:r>
            <w:r w:rsidRPr="00E07C9A">
              <w:rPr>
                <w:rFonts w:ascii="Times New Roman" w:hAnsi="Times New Roman"/>
                <w:sz w:val="24"/>
              </w:rPr>
              <w:t xml:space="preserve"> alebo do obchodnej línie „podnikové položky“, ako sa uvádza</w:t>
            </w:r>
            <w:r w:rsidR="009912F8" w:rsidRPr="00E07C9A">
              <w:rPr>
                <w:rFonts w:ascii="Times New Roman" w:hAnsi="Times New Roman"/>
                <w:sz w:val="24"/>
              </w:rPr>
              <w:t xml:space="preserve"> v </w:t>
            </w:r>
            <w:r w:rsidRPr="00E07C9A">
              <w:rPr>
                <w:rFonts w:ascii="Times New Roman" w:hAnsi="Times New Roman"/>
                <w:sz w:val="24"/>
              </w:rPr>
              <w:t>článku 322 ods. 3 písm. b) uvedeného nariadenia, resp. že identifikovala druhy stratových udalostí pre všetky straty, pre stĺpec 0080 podľa príslušného prípadu platí:</w:t>
            </w:r>
          </w:p>
          <w:p w14:paraId="37853BE1" w14:textId="18521BA7" w:rsidR="00FD54FC" w:rsidRPr="00E07C9A" w:rsidRDefault="00125707" w:rsidP="0023700C">
            <w:pPr>
              <w:ind w:left="360" w:hanging="360"/>
              <w:rPr>
                <w:rFonts w:ascii="Times New Roman" w:hAnsi="Times New Roman"/>
                <w:sz w:val="24"/>
              </w:rPr>
            </w:pPr>
            <w:r w:rsidRPr="00E07C9A">
              <w:rPr>
                <w:rFonts w:ascii="Times New Roman" w:hAnsi="Times New Roman"/>
                <w:sz w:val="24"/>
              </w:rPr>
              <w:t>–</w:t>
            </w:r>
            <w:r w:rsidRPr="00E07C9A">
              <w:rPr>
                <w:rFonts w:ascii="Times New Roman" w:hAnsi="Times New Roman"/>
              </w:rPr>
              <w:tab/>
            </w:r>
            <w:r w:rsidRPr="00E07C9A">
              <w:rPr>
                <w:rFonts w:ascii="Times New Roman" w:hAnsi="Times New Roman"/>
                <w:sz w:val="24"/>
              </w:rPr>
              <w:t>Celkový počet stratových udalostí vykázaný</w:t>
            </w:r>
            <w:r w:rsidR="009912F8" w:rsidRPr="00E07C9A">
              <w:rPr>
                <w:rFonts w:ascii="Times New Roman" w:hAnsi="Times New Roman"/>
                <w:sz w:val="24"/>
              </w:rPr>
              <w:t xml:space="preserve"> v </w:t>
            </w:r>
            <w:r w:rsidRPr="00E07C9A">
              <w:rPr>
                <w:rFonts w:ascii="Times New Roman" w:hAnsi="Times New Roman"/>
                <w:sz w:val="24"/>
              </w:rPr>
              <w:t>riadkoch 0910 až 0914 sa rovná horizontálnemu súhrnu počtu stratových udalostí</w:t>
            </w:r>
            <w:r w:rsidR="009912F8" w:rsidRPr="00E07C9A">
              <w:rPr>
                <w:rFonts w:ascii="Times New Roman" w:hAnsi="Times New Roman"/>
                <w:sz w:val="24"/>
              </w:rPr>
              <w:t xml:space="preserve"> v </w:t>
            </w:r>
            <w:r w:rsidRPr="00E07C9A">
              <w:rPr>
                <w:rFonts w:ascii="Times New Roman" w:hAnsi="Times New Roman"/>
                <w:sz w:val="24"/>
              </w:rPr>
              <w:t>zodpovedajúcom riadku, keďže</w:t>
            </w:r>
            <w:r w:rsidR="009912F8" w:rsidRPr="00E07C9A">
              <w:rPr>
                <w:rFonts w:ascii="Times New Roman" w:hAnsi="Times New Roman"/>
                <w:sz w:val="24"/>
              </w:rPr>
              <w:t xml:space="preserve"> v </w:t>
            </w:r>
            <w:r w:rsidRPr="00E07C9A">
              <w:rPr>
                <w:rFonts w:ascii="Times New Roman" w:hAnsi="Times New Roman"/>
                <w:sz w:val="24"/>
              </w:rPr>
              <w:t>týchto údajoch sa stratové udalosti</w:t>
            </w:r>
            <w:r w:rsidR="009912F8" w:rsidRPr="00E07C9A">
              <w:rPr>
                <w:rFonts w:ascii="Times New Roman" w:hAnsi="Times New Roman"/>
                <w:sz w:val="24"/>
              </w:rPr>
              <w:t xml:space="preserve"> s </w:t>
            </w:r>
            <w:r w:rsidRPr="00E07C9A">
              <w:rPr>
                <w:rFonts w:ascii="Times New Roman" w:hAnsi="Times New Roman"/>
                <w:sz w:val="24"/>
              </w:rPr>
              <w:t>vplyvom na viaceré obchodné línie už považujú za jednu stratovú udalosť.</w:t>
            </w:r>
          </w:p>
          <w:p w14:paraId="0D57024E" w14:textId="42EF60C0" w:rsidR="00FD54FC" w:rsidRPr="00E07C9A" w:rsidRDefault="00125707" w:rsidP="00F41508">
            <w:pPr>
              <w:ind w:left="360" w:hanging="360"/>
              <w:rPr>
                <w:rStyle w:val="InstructionsTabelleberschrift"/>
                <w:rFonts w:ascii="Times New Roman" w:hAnsi="Times New Roman"/>
                <w:b w:val="0"/>
                <w:bCs w:val="0"/>
                <w:sz w:val="24"/>
                <w:u w:val="none"/>
              </w:rPr>
            </w:pPr>
            <w:r w:rsidRPr="00E07C9A">
              <w:rPr>
                <w:rStyle w:val="InstructionsTabelleberschrift"/>
                <w:rFonts w:ascii="Times New Roman" w:hAnsi="Times New Roman"/>
                <w:b w:val="0"/>
                <w:sz w:val="24"/>
                <w:u w:val="none"/>
              </w:rPr>
              <w:t>–</w:t>
            </w:r>
            <w:r w:rsidRPr="00E07C9A">
              <w:rPr>
                <w:rFonts w:ascii="Times New Roman" w:hAnsi="Times New Roman"/>
              </w:rPr>
              <w:tab/>
            </w:r>
            <w:r w:rsidRPr="00E07C9A">
              <w:rPr>
                <w:rFonts w:ascii="Times New Roman" w:hAnsi="Times New Roman"/>
                <w:sz w:val="24"/>
              </w:rPr>
              <w:t>Údaj vykázaný</w:t>
            </w:r>
            <w:r w:rsidR="009912F8" w:rsidRPr="00E07C9A">
              <w:rPr>
                <w:rFonts w:ascii="Times New Roman" w:hAnsi="Times New Roman"/>
                <w:sz w:val="24"/>
              </w:rPr>
              <w:t xml:space="preserve"> v </w:t>
            </w:r>
            <w:r w:rsidRPr="00E07C9A">
              <w:rPr>
                <w:rFonts w:ascii="Times New Roman" w:hAnsi="Times New Roman"/>
                <w:sz w:val="24"/>
              </w:rPr>
              <w:t>stĺpci 0080, riadku 0910 sa nemusí nutne rovnať vertikálnemu súhrnu počtu stratových udalostí, ktoré sú zahrnuté</w:t>
            </w:r>
            <w:r w:rsidR="009912F8" w:rsidRPr="00E07C9A">
              <w:rPr>
                <w:rFonts w:ascii="Times New Roman" w:hAnsi="Times New Roman"/>
                <w:sz w:val="24"/>
              </w:rPr>
              <w:t xml:space="preserve"> v </w:t>
            </w:r>
            <w:r w:rsidRPr="00E07C9A">
              <w:rPr>
                <w:rFonts w:ascii="Times New Roman" w:hAnsi="Times New Roman"/>
                <w:sz w:val="24"/>
              </w:rPr>
              <w:t>stĺpci 0080, pretože jedna stratová udalosť môže mať súčasne vplyv na viaceré obchodné línie.</w:t>
            </w:r>
          </w:p>
        </w:tc>
      </w:tr>
      <w:tr w:rsidR="00FD54FC" w:rsidRPr="00E07C9A" w14:paraId="758B9A40" w14:textId="77777777" w:rsidTr="00672D2A">
        <w:tc>
          <w:tcPr>
            <w:tcW w:w="1101" w:type="dxa"/>
          </w:tcPr>
          <w:p w14:paraId="4550C890" w14:textId="77777777" w:rsidR="00FD54FC" w:rsidRPr="00E07C9A" w:rsidRDefault="00C93FC2" w:rsidP="000F70EC">
            <w:pPr>
              <w:rPr>
                <w:rFonts w:ascii="Times New Roman" w:hAnsi="Times New Roman"/>
                <w:bCs/>
                <w:sz w:val="24"/>
              </w:rPr>
            </w:pPr>
            <w:r w:rsidRPr="00E07C9A">
              <w:rPr>
                <w:rFonts w:ascii="Times New Roman" w:hAnsi="Times New Roman"/>
                <w:sz w:val="24"/>
              </w:rPr>
              <w:t>0920 – 0924</w:t>
            </w:r>
          </w:p>
        </w:tc>
        <w:tc>
          <w:tcPr>
            <w:tcW w:w="8079" w:type="dxa"/>
          </w:tcPr>
          <w:p w14:paraId="472B1327" w14:textId="77777777" w:rsidR="00FD54FC" w:rsidRPr="00E07C9A" w:rsidRDefault="00FD54FC" w:rsidP="00FD54FC">
            <w:pPr>
              <w:rPr>
                <w:rStyle w:val="InstructionsTabelleberschrift"/>
                <w:rFonts w:ascii="Times New Roman" w:hAnsi="Times New Roman"/>
                <w:sz w:val="24"/>
              </w:rPr>
            </w:pPr>
            <w:r w:rsidRPr="00E07C9A">
              <w:rPr>
                <w:rStyle w:val="InstructionsTabelleberschrift"/>
                <w:rFonts w:ascii="Times New Roman" w:hAnsi="Times New Roman"/>
                <w:sz w:val="24"/>
              </w:rPr>
              <w:t>Výška hrubej straty (nové stratové udalosti)</w:t>
            </w:r>
          </w:p>
          <w:p w14:paraId="4A4637A7" w14:textId="74603DF1" w:rsidR="009912F8" w:rsidRPr="00E07C9A" w:rsidRDefault="00FD54FC" w:rsidP="00FD54FC">
            <w:pPr>
              <w:rPr>
                <w:rFonts w:ascii="Times New Roman" w:hAnsi="Times New Roman"/>
                <w:sz w:val="24"/>
              </w:rPr>
            </w:pPr>
            <w:r w:rsidRPr="00E07C9A">
              <w:rPr>
                <w:rFonts w:ascii="Times New Roman" w:hAnsi="Times New Roman"/>
                <w:sz w:val="24"/>
              </w:rPr>
              <w:t>Za predpokladu, že inštitúcia zaradila všetky svoje straty buď do obchodnej línie uvedenej</w:t>
            </w:r>
            <w:r w:rsidR="009912F8" w:rsidRPr="00E07C9A">
              <w:rPr>
                <w:rFonts w:ascii="Times New Roman" w:hAnsi="Times New Roman"/>
                <w:sz w:val="24"/>
              </w:rPr>
              <w:t xml:space="preserve"> v </w:t>
            </w:r>
            <w:r w:rsidRPr="00E07C9A">
              <w:rPr>
                <w:rFonts w:ascii="Times New Roman" w:hAnsi="Times New Roman"/>
                <w:sz w:val="24"/>
              </w:rPr>
              <w:t xml:space="preserve">tabuľke 2 článku 317 ods. 4 nariadenia (EÚ) </w:t>
            </w:r>
            <w:r w:rsidR="009912F8" w:rsidRPr="00E07C9A">
              <w:rPr>
                <w:rFonts w:ascii="Times New Roman" w:hAnsi="Times New Roman"/>
                <w:sz w:val="24"/>
              </w:rPr>
              <w:t>č. 575/2013</w:t>
            </w:r>
            <w:r w:rsidRPr="00E07C9A">
              <w:rPr>
                <w:rFonts w:ascii="Times New Roman" w:hAnsi="Times New Roman"/>
                <w:sz w:val="24"/>
              </w:rPr>
              <w:t xml:space="preserve"> alebo do obchodnej línie „podnikové položky“, ako sa uvádza</w:t>
            </w:r>
            <w:r w:rsidR="009912F8" w:rsidRPr="00E07C9A">
              <w:rPr>
                <w:rFonts w:ascii="Times New Roman" w:hAnsi="Times New Roman"/>
                <w:sz w:val="24"/>
              </w:rPr>
              <w:t xml:space="preserve"> v </w:t>
            </w:r>
            <w:r w:rsidRPr="00E07C9A">
              <w:rPr>
                <w:rFonts w:ascii="Times New Roman" w:hAnsi="Times New Roman"/>
                <w:sz w:val="24"/>
              </w:rPr>
              <w:t>článku 322 ods. 3 písm. b) uvedeného nariadenia, výška hrubej straty (nové stratové udalosti) vykázaná</w:t>
            </w:r>
            <w:r w:rsidR="009912F8" w:rsidRPr="00E07C9A">
              <w:rPr>
                <w:rFonts w:ascii="Times New Roman" w:hAnsi="Times New Roman"/>
                <w:sz w:val="24"/>
              </w:rPr>
              <w:t xml:space="preserve"> v </w:t>
            </w:r>
            <w:r w:rsidRPr="00E07C9A">
              <w:rPr>
                <w:rFonts w:ascii="Times New Roman" w:hAnsi="Times New Roman"/>
                <w:sz w:val="24"/>
              </w:rPr>
              <w:t>riadku 0920 je jednoduchý súhrn súm hrubej straty nových stratových udalostí za každú obchodnú líniu</w:t>
            </w:r>
            <w:r w:rsidR="009912F8" w:rsidRPr="00E07C9A">
              <w:rPr>
                <w:rFonts w:ascii="Times New Roman" w:hAnsi="Times New Roman"/>
                <w:sz w:val="24"/>
              </w:rPr>
              <w:t>.</w:t>
            </w:r>
          </w:p>
          <w:p w14:paraId="151C30DF" w14:textId="4A084CBD" w:rsidR="00FD54FC" w:rsidRPr="00E07C9A" w:rsidRDefault="00FD54FC" w:rsidP="00FD54FC">
            <w:pPr>
              <w:rPr>
                <w:rStyle w:val="InstructionsTabelleberschrift"/>
                <w:rFonts w:ascii="Times New Roman" w:hAnsi="Times New Roman"/>
                <w:sz w:val="24"/>
              </w:rPr>
            </w:pPr>
            <w:r w:rsidRPr="00E07C9A">
              <w:rPr>
                <w:rFonts w:ascii="Times New Roman" w:hAnsi="Times New Roman"/>
                <w:sz w:val="24"/>
              </w:rPr>
              <w:t>V riadkoch 0921 až 0924 sa vykazuje výška hrubej straty pre stratové udalosti</w:t>
            </w:r>
            <w:r w:rsidR="009912F8" w:rsidRPr="00E07C9A">
              <w:rPr>
                <w:rFonts w:ascii="Times New Roman" w:hAnsi="Times New Roman"/>
                <w:sz w:val="24"/>
              </w:rPr>
              <w:t xml:space="preserve"> s </w:t>
            </w:r>
            <w:r w:rsidRPr="00E07C9A">
              <w:rPr>
                <w:rFonts w:ascii="Times New Roman" w:hAnsi="Times New Roman"/>
                <w:sz w:val="24"/>
              </w:rPr>
              <w:t>výškou hrubej straty</w:t>
            </w:r>
            <w:r w:rsidR="009912F8" w:rsidRPr="00E07C9A">
              <w:rPr>
                <w:rFonts w:ascii="Times New Roman" w:hAnsi="Times New Roman"/>
                <w:sz w:val="24"/>
              </w:rPr>
              <w:t xml:space="preserve"> v </w:t>
            </w:r>
            <w:r w:rsidRPr="00E07C9A">
              <w:rPr>
                <w:rFonts w:ascii="Times New Roman" w:hAnsi="Times New Roman"/>
                <w:sz w:val="24"/>
              </w:rPr>
              <w:t>rozpätiach vymedzených</w:t>
            </w:r>
            <w:r w:rsidR="009912F8" w:rsidRPr="00E07C9A">
              <w:rPr>
                <w:rFonts w:ascii="Times New Roman" w:hAnsi="Times New Roman"/>
                <w:sz w:val="24"/>
              </w:rPr>
              <w:t xml:space="preserve"> v </w:t>
            </w:r>
            <w:r w:rsidRPr="00E07C9A">
              <w:rPr>
                <w:rFonts w:ascii="Times New Roman" w:hAnsi="Times New Roman"/>
                <w:sz w:val="24"/>
              </w:rPr>
              <w:t>príslušných riadkoch.</w:t>
            </w:r>
          </w:p>
        </w:tc>
      </w:tr>
      <w:tr w:rsidR="00FD54FC" w:rsidRPr="00E07C9A" w14:paraId="2C2C0351" w14:textId="77777777" w:rsidTr="00672D2A">
        <w:tc>
          <w:tcPr>
            <w:tcW w:w="1101" w:type="dxa"/>
          </w:tcPr>
          <w:p w14:paraId="07A96EC8" w14:textId="77777777" w:rsidR="00FD54FC" w:rsidRPr="00E07C9A" w:rsidRDefault="00C93FC2" w:rsidP="00FD54FC">
            <w:pPr>
              <w:rPr>
                <w:rFonts w:ascii="Times New Roman" w:hAnsi="Times New Roman"/>
                <w:bCs/>
                <w:sz w:val="24"/>
              </w:rPr>
            </w:pPr>
            <w:r w:rsidRPr="00E07C9A">
              <w:rPr>
                <w:rFonts w:ascii="Times New Roman" w:hAnsi="Times New Roman"/>
                <w:sz w:val="24"/>
              </w:rPr>
              <w:t>0930, 0935, 0936</w:t>
            </w:r>
          </w:p>
        </w:tc>
        <w:tc>
          <w:tcPr>
            <w:tcW w:w="8079" w:type="dxa"/>
          </w:tcPr>
          <w:p w14:paraId="0A0BA6EE" w14:textId="77777777" w:rsidR="00FD54FC" w:rsidRPr="00E07C9A" w:rsidRDefault="00FD54FC" w:rsidP="00FD54FC">
            <w:pPr>
              <w:rPr>
                <w:rFonts w:ascii="Times New Roman" w:hAnsi="Times New Roman"/>
                <w:sz w:val="24"/>
              </w:rPr>
            </w:pPr>
            <w:r w:rsidRPr="00E07C9A">
              <w:rPr>
                <w:rStyle w:val="InstructionsTabelleberschrift"/>
                <w:rFonts w:ascii="Times New Roman" w:hAnsi="Times New Roman"/>
                <w:sz w:val="24"/>
              </w:rPr>
              <w:t>Počet stratových udalostí podliehajúcich stratovým úpravám</w:t>
            </w:r>
          </w:p>
          <w:p w14:paraId="7C0FBBBE" w14:textId="44BC6215" w:rsidR="00FD54FC" w:rsidRPr="00E07C9A" w:rsidRDefault="00FD54FC" w:rsidP="00FD54FC">
            <w:pPr>
              <w:rPr>
                <w:rFonts w:ascii="Times New Roman" w:hAnsi="Times New Roman"/>
                <w:sz w:val="24"/>
              </w:rPr>
            </w:pPr>
            <w:r w:rsidRPr="00E07C9A">
              <w:rPr>
                <w:rFonts w:ascii="Times New Roman" w:hAnsi="Times New Roman"/>
                <w:sz w:val="24"/>
              </w:rPr>
              <w:t>V riadku 0930 sa vykazuje celkový počet stratových udalostí podliehajúcich stratovým úpravám, ako sú vykázané</w:t>
            </w:r>
            <w:r w:rsidR="009912F8" w:rsidRPr="00E07C9A">
              <w:rPr>
                <w:rFonts w:ascii="Times New Roman" w:hAnsi="Times New Roman"/>
                <w:sz w:val="24"/>
              </w:rPr>
              <w:t xml:space="preserve"> v </w:t>
            </w:r>
            <w:r w:rsidRPr="00E07C9A">
              <w:rPr>
                <w:rFonts w:ascii="Times New Roman" w:hAnsi="Times New Roman"/>
                <w:sz w:val="24"/>
              </w:rPr>
              <w:t>riadkoch 0030, 0130, ..., 0830. Tento údaj môže byť nižší než súhrn počtu stratových udalostí podliehajúcich stratovým úpravám podľa obchodných línií, keďže stratové udalosti</w:t>
            </w:r>
            <w:r w:rsidR="009912F8" w:rsidRPr="00E07C9A">
              <w:rPr>
                <w:rFonts w:ascii="Times New Roman" w:hAnsi="Times New Roman"/>
                <w:sz w:val="24"/>
              </w:rPr>
              <w:t xml:space="preserve"> s </w:t>
            </w:r>
            <w:r w:rsidRPr="00E07C9A">
              <w:rPr>
                <w:rFonts w:ascii="Times New Roman" w:hAnsi="Times New Roman"/>
                <w:sz w:val="24"/>
              </w:rPr>
              <w:t>viacnásobným dosahom (vplyv na viaceré obchodné línie) sa považujú za jednu udalosť. Môže byť vyšší, ak inštitúcia, ktorá vypočítava svoje požiadavky na vlastné zdroje podľa BIA, nedokáže</w:t>
            </w:r>
            <w:r w:rsidR="009912F8" w:rsidRPr="00E07C9A">
              <w:rPr>
                <w:rFonts w:ascii="Times New Roman" w:hAnsi="Times New Roman"/>
                <w:sz w:val="24"/>
              </w:rPr>
              <w:t xml:space="preserve"> v </w:t>
            </w:r>
            <w:r w:rsidRPr="00E07C9A">
              <w:rPr>
                <w:rFonts w:ascii="Times New Roman" w:hAnsi="Times New Roman"/>
                <w:sz w:val="24"/>
              </w:rPr>
              <w:t>každom prípade identifikovať obchodnú líniu/obchodné línie ovplyvnené stratou.</w:t>
            </w:r>
          </w:p>
          <w:p w14:paraId="02A26C93" w14:textId="69171508" w:rsidR="00FD54FC" w:rsidRPr="00E07C9A" w:rsidRDefault="00FD54FC" w:rsidP="00FD54FC">
            <w:pPr>
              <w:rPr>
                <w:rStyle w:val="InstructionsTabelleberschrift"/>
                <w:rFonts w:ascii="Times New Roman" w:hAnsi="Times New Roman"/>
                <w:sz w:val="24"/>
              </w:rPr>
            </w:pPr>
            <w:r w:rsidRPr="00E07C9A">
              <w:rPr>
                <w:rFonts w:ascii="Times New Roman" w:hAnsi="Times New Roman"/>
                <w:sz w:val="24"/>
              </w:rPr>
              <w:t>Počet udalostí podliehajúcich stratovým úpravám sa rozčlení na počet stratových udalostí, pri ktorých sa počas referenčného obdobia vykazovania vykonala kladná stratová úprava,</w:t>
            </w:r>
            <w:r w:rsidR="009912F8" w:rsidRPr="00E07C9A">
              <w:rPr>
                <w:rFonts w:ascii="Times New Roman" w:hAnsi="Times New Roman"/>
                <w:sz w:val="24"/>
              </w:rPr>
              <w:t xml:space="preserve"> a </w:t>
            </w:r>
            <w:r w:rsidRPr="00E07C9A">
              <w:rPr>
                <w:rFonts w:ascii="Times New Roman" w:hAnsi="Times New Roman"/>
                <w:sz w:val="24"/>
              </w:rPr>
              <w:t>počet stratových udalostí, pri ktorých sa počas obdobia vykazovania vykonala záporná stratová úprava (všetky sa vykazujú</w:t>
            </w:r>
            <w:r w:rsidR="009912F8" w:rsidRPr="00E07C9A">
              <w:rPr>
                <w:rFonts w:ascii="Times New Roman" w:hAnsi="Times New Roman"/>
                <w:sz w:val="24"/>
              </w:rPr>
              <w:t xml:space="preserve"> s </w:t>
            </w:r>
            <w:r w:rsidRPr="00E07C9A">
              <w:rPr>
                <w:rFonts w:ascii="Times New Roman" w:hAnsi="Times New Roman"/>
                <w:sz w:val="24"/>
              </w:rPr>
              <w:t>kladným znamienkom).</w:t>
            </w:r>
          </w:p>
        </w:tc>
      </w:tr>
      <w:tr w:rsidR="00FD54FC" w:rsidRPr="00E07C9A" w14:paraId="601E5006" w14:textId="77777777" w:rsidTr="00672D2A">
        <w:tc>
          <w:tcPr>
            <w:tcW w:w="1101" w:type="dxa"/>
          </w:tcPr>
          <w:p w14:paraId="2F8811F2" w14:textId="77777777" w:rsidR="00FD54FC" w:rsidRPr="00E07C9A" w:rsidRDefault="00C93FC2" w:rsidP="00FD54FC">
            <w:pPr>
              <w:rPr>
                <w:rFonts w:ascii="Times New Roman" w:hAnsi="Times New Roman"/>
                <w:sz w:val="24"/>
              </w:rPr>
            </w:pPr>
            <w:r w:rsidRPr="00E07C9A">
              <w:rPr>
                <w:rFonts w:ascii="Times New Roman" w:hAnsi="Times New Roman"/>
                <w:sz w:val="24"/>
              </w:rPr>
              <w:t>0940, 0945, 0946</w:t>
            </w:r>
          </w:p>
        </w:tc>
        <w:tc>
          <w:tcPr>
            <w:tcW w:w="8079" w:type="dxa"/>
          </w:tcPr>
          <w:p w14:paraId="12254164" w14:textId="77777777" w:rsidR="00FD54FC" w:rsidRPr="00E07C9A" w:rsidRDefault="00FD54FC" w:rsidP="00FD54FC">
            <w:pPr>
              <w:rPr>
                <w:rFonts w:ascii="Times New Roman" w:hAnsi="Times New Roman"/>
                <w:sz w:val="24"/>
              </w:rPr>
            </w:pPr>
            <w:r w:rsidRPr="00E07C9A">
              <w:rPr>
                <w:rStyle w:val="InstructionsTabelleberschrift"/>
                <w:rFonts w:ascii="Times New Roman" w:hAnsi="Times New Roman"/>
                <w:sz w:val="24"/>
              </w:rPr>
              <w:t>Stratové úpravy týkajúce sa predchádzajúcich období vykazovania</w:t>
            </w:r>
          </w:p>
          <w:p w14:paraId="3A4A4FF4" w14:textId="365E067C" w:rsidR="00FD54FC" w:rsidRPr="00E07C9A" w:rsidRDefault="00FD54FC" w:rsidP="00FD54FC">
            <w:pPr>
              <w:rPr>
                <w:rFonts w:ascii="Times New Roman" w:hAnsi="Times New Roman"/>
                <w:sz w:val="24"/>
              </w:rPr>
            </w:pPr>
            <w:r w:rsidRPr="00E07C9A">
              <w:rPr>
                <w:rFonts w:ascii="Times New Roman" w:hAnsi="Times New Roman"/>
                <w:sz w:val="24"/>
              </w:rPr>
              <w:t>V riadku 0940 sa vykazuje celková výška stratových úprav týkajúcich sa predchádzajúcich období vykazovania za obchodné línie (ako sú vykázané</w:t>
            </w:r>
            <w:r w:rsidR="009912F8" w:rsidRPr="00E07C9A">
              <w:rPr>
                <w:rFonts w:ascii="Times New Roman" w:hAnsi="Times New Roman"/>
                <w:sz w:val="24"/>
              </w:rPr>
              <w:t xml:space="preserve"> v </w:t>
            </w:r>
            <w:r w:rsidRPr="00E07C9A">
              <w:rPr>
                <w:rFonts w:ascii="Times New Roman" w:hAnsi="Times New Roman"/>
                <w:sz w:val="24"/>
              </w:rPr>
              <w:t>riadkoch 0040, 0140, ..., 0840). Za predpokladu, že inštitúcia zaradila všetky svoje straty buď do obchodnej línie uvedenej</w:t>
            </w:r>
            <w:r w:rsidR="009912F8" w:rsidRPr="00E07C9A">
              <w:rPr>
                <w:rFonts w:ascii="Times New Roman" w:hAnsi="Times New Roman"/>
                <w:sz w:val="24"/>
              </w:rPr>
              <w:t xml:space="preserve"> v </w:t>
            </w:r>
            <w:r w:rsidRPr="00E07C9A">
              <w:rPr>
                <w:rFonts w:ascii="Times New Roman" w:hAnsi="Times New Roman"/>
                <w:sz w:val="24"/>
              </w:rPr>
              <w:t xml:space="preserve">tabuľke 2 článku 317 ods. 4 nariadenia (EÚ) </w:t>
            </w:r>
            <w:r w:rsidR="009912F8" w:rsidRPr="00E07C9A">
              <w:rPr>
                <w:rFonts w:ascii="Times New Roman" w:hAnsi="Times New Roman"/>
                <w:sz w:val="24"/>
              </w:rPr>
              <w:t>č. 575/2013</w:t>
            </w:r>
            <w:r w:rsidRPr="00E07C9A">
              <w:rPr>
                <w:rFonts w:ascii="Times New Roman" w:hAnsi="Times New Roman"/>
                <w:sz w:val="24"/>
              </w:rPr>
              <w:t xml:space="preserve"> alebo do obchodnej línie „podnikové položky“, ako sa uvádza</w:t>
            </w:r>
            <w:r w:rsidR="009912F8" w:rsidRPr="00E07C9A">
              <w:rPr>
                <w:rFonts w:ascii="Times New Roman" w:hAnsi="Times New Roman"/>
                <w:sz w:val="24"/>
              </w:rPr>
              <w:t xml:space="preserve"> v </w:t>
            </w:r>
            <w:r w:rsidRPr="00E07C9A">
              <w:rPr>
                <w:rFonts w:ascii="Times New Roman" w:hAnsi="Times New Roman"/>
                <w:sz w:val="24"/>
              </w:rPr>
              <w:t>článku 322 ods. 3 písm. b) uvedeného nariadenia, hodnota vykázaná</w:t>
            </w:r>
            <w:r w:rsidR="009912F8" w:rsidRPr="00E07C9A">
              <w:rPr>
                <w:rFonts w:ascii="Times New Roman" w:hAnsi="Times New Roman"/>
                <w:sz w:val="24"/>
              </w:rPr>
              <w:t xml:space="preserve"> v </w:t>
            </w:r>
            <w:r w:rsidRPr="00E07C9A">
              <w:rPr>
                <w:rFonts w:ascii="Times New Roman" w:hAnsi="Times New Roman"/>
                <w:sz w:val="24"/>
              </w:rPr>
              <w:t>riadku 0940 je jednoduchý súhrn stratových úprav týkajúcich sa predchádzajúcich období vykazovania vykázaných za rôzne obchodné línie.</w:t>
            </w:r>
          </w:p>
          <w:p w14:paraId="4FEA0713" w14:textId="06AD985A" w:rsidR="00FD54FC" w:rsidRPr="00E07C9A" w:rsidRDefault="00FD54FC" w:rsidP="00EB6FC2">
            <w:pPr>
              <w:rPr>
                <w:rFonts w:ascii="Times New Roman" w:hAnsi="Times New Roman"/>
                <w:sz w:val="24"/>
              </w:rPr>
            </w:pPr>
            <w:r w:rsidRPr="00E07C9A">
              <w:rPr>
                <w:rFonts w:ascii="Times New Roman" w:hAnsi="Times New Roman"/>
                <w:sz w:val="24"/>
              </w:rPr>
              <w:t>Výška stratových úprav sa rozčlení na sumu súvisiacu so stratovými udalosťami, pri ktorých sa počas referenčného obdobia vykazovania vykonala kladná stratová úprava (riadok 0945, vykazuje sa ako kladné číslo),</w:t>
            </w:r>
            <w:r w:rsidR="009912F8" w:rsidRPr="00E07C9A">
              <w:rPr>
                <w:rFonts w:ascii="Times New Roman" w:hAnsi="Times New Roman"/>
                <w:sz w:val="24"/>
              </w:rPr>
              <w:t xml:space="preserve"> a </w:t>
            </w:r>
            <w:r w:rsidRPr="00E07C9A">
              <w:rPr>
                <w:rFonts w:ascii="Times New Roman" w:hAnsi="Times New Roman"/>
                <w:sz w:val="24"/>
              </w:rPr>
              <w:t>sumu súvisiacu so stratovými udalosťami, pri ktorých sa počas obdobia vykazovania vykonala záporná stratová úprava (riadok 0946, vykazuje sa ako záporné číslo). Ak sa</w:t>
            </w:r>
            <w:r w:rsidR="009912F8" w:rsidRPr="00E07C9A">
              <w:rPr>
                <w:rFonts w:ascii="Times New Roman" w:hAnsi="Times New Roman"/>
                <w:sz w:val="24"/>
              </w:rPr>
              <w:t xml:space="preserve"> v </w:t>
            </w:r>
            <w:r w:rsidRPr="00E07C9A">
              <w:rPr>
                <w:rFonts w:ascii="Times New Roman" w:hAnsi="Times New Roman"/>
                <w:sz w:val="24"/>
              </w:rPr>
              <w:t>dôsledku zápornej stratovej úpravy upravená výška straty pripísateľná stratovej udalosti ocitne pod prahovou hodnotou pre zber interných údajov inštitúcie, inštitúcia vykazuje</w:t>
            </w:r>
            <w:r w:rsidR="009912F8" w:rsidRPr="00E07C9A">
              <w:rPr>
                <w:rFonts w:ascii="Times New Roman" w:hAnsi="Times New Roman"/>
                <w:sz w:val="24"/>
              </w:rPr>
              <w:t xml:space="preserve"> v </w:t>
            </w:r>
            <w:r w:rsidRPr="00E07C9A">
              <w:rPr>
                <w:rFonts w:ascii="Times New Roman" w:hAnsi="Times New Roman"/>
                <w:sz w:val="24"/>
              </w:rPr>
              <w:t>riadku 0946 celkovú výšku straty pre danú stratovú udalosť akumulovanú do momentu, keď sa stratová udalosť poslednýkrát vykázala</w:t>
            </w:r>
            <w:r w:rsidR="009912F8" w:rsidRPr="00E07C9A">
              <w:rPr>
                <w:rFonts w:ascii="Times New Roman" w:hAnsi="Times New Roman"/>
                <w:sz w:val="24"/>
              </w:rPr>
              <w:t xml:space="preserve"> v </w:t>
            </w:r>
            <w:r w:rsidRPr="00E07C9A">
              <w:rPr>
                <w:rFonts w:ascii="Times New Roman" w:hAnsi="Times New Roman"/>
                <w:sz w:val="24"/>
              </w:rPr>
              <w:t>súvislosti</w:t>
            </w:r>
            <w:r w:rsidR="009912F8" w:rsidRPr="00E07C9A">
              <w:rPr>
                <w:rFonts w:ascii="Times New Roman" w:hAnsi="Times New Roman"/>
                <w:sz w:val="24"/>
              </w:rPr>
              <w:t xml:space="preserve"> s </w:t>
            </w:r>
            <w:r w:rsidRPr="00E07C9A">
              <w:rPr>
                <w:rFonts w:ascii="Times New Roman" w:hAnsi="Times New Roman"/>
                <w:sz w:val="24"/>
              </w:rPr>
              <w:t>decembrovým referenčným dátumom (t. j. pôvodná strata plus/mínus všetky stratové úpravy vykonané</w:t>
            </w:r>
            <w:r w:rsidR="009912F8" w:rsidRPr="00E07C9A">
              <w:rPr>
                <w:rFonts w:ascii="Times New Roman" w:hAnsi="Times New Roman"/>
                <w:sz w:val="24"/>
              </w:rPr>
              <w:t xml:space="preserve"> v </w:t>
            </w:r>
            <w:r w:rsidRPr="00E07C9A">
              <w:rPr>
                <w:rFonts w:ascii="Times New Roman" w:hAnsi="Times New Roman"/>
                <w:sz w:val="24"/>
              </w:rPr>
              <w:t>predchádzajúcich referenčných obdobiach vykazovania), so záporným znamienkom,</w:t>
            </w:r>
            <w:r w:rsidR="009912F8" w:rsidRPr="00E07C9A">
              <w:rPr>
                <w:rFonts w:ascii="Times New Roman" w:hAnsi="Times New Roman"/>
                <w:sz w:val="24"/>
              </w:rPr>
              <w:t xml:space="preserve"> a </w:t>
            </w:r>
            <w:r w:rsidRPr="00E07C9A">
              <w:rPr>
                <w:rFonts w:ascii="Times New Roman" w:hAnsi="Times New Roman"/>
                <w:sz w:val="24"/>
              </w:rPr>
              <w:t>nie samotnú výšku zápornej stratovej úpravy.</w:t>
            </w:r>
          </w:p>
        </w:tc>
      </w:tr>
      <w:tr w:rsidR="00FD54FC" w:rsidRPr="00E07C9A" w14:paraId="27DD8D89" w14:textId="77777777" w:rsidTr="00672D2A">
        <w:tc>
          <w:tcPr>
            <w:tcW w:w="1101" w:type="dxa"/>
            <w:tcBorders>
              <w:top w:val="single" w:sz="4" w:space="0" w:color="auto"/>
              <w:left w:val="single" w:sz="4" w:space="0" w:color="auto"/>
              <w:bottom w:val="single" w:sz="4" w:space="0" w:color="auto"/>
              <w:right w:val="single" w:sz="4" w:space="0" w:color="auto"/>
            </w:tcBorders>
          </w:tcPr>
          <w:p w14:paraId="05F0D425" w14:textId="77777777" w:rsidR="00FD54FC" w:rsidRPr="00E07C9A" w:rsidRDefault="00C93FC2" w:rsidP="00FD54FC">
            <w:pPr>
              <w:rPr>
                <w:rFonts w:ascii="Times New Roman" w:hAnsi="Times New Roman"/>
                <w:sz w:val="24"/>
              </w:rPr>
            </w:pPr>
            <w:r w:rsidRPr="00E07C9A">
              <w:rPr>
                <w:rFonts w:ascii="Times New Roman" w:hAnsi="Times New Roman"/>
                <w:sz w:val="24"/>
              </w:rPr>
              <w:t>0950</w:t>
            </w:r>
          </w:p>
        </w:tc>
        <w:tc>
          <w:tcPr>
            <w:tcW w:w="8079" w:type="dxa"/>
            <w:tcBorders>
              <w:top w:val="single" w:sz="4" w:space="0" w:color="auto"/>
              <w:left w:val="single" w:sz="4" w:space="0" w:color="auto"/>
              <w:bottom w:val="single" w:sz="4" w:space="0" w:color="auto"/>
              <w:right w:val="single" w:sz="4" w:space="0" w:color="auto"/>
            </w:tcBorders>
          </w:tcPr>
          <w:p w14:paraId="03073A61" w14:textId="77777777" w:rsidR="00FD54FC" w:rsidRPr="00E07C9A" w:rsidRDefault="00FD54FC" w:rsidP="00FD54FC">
            <w:pPr>
              <w:rPr>
                <w:rStyle w:val="InstructionsTabelleberschrift"/>
                <w:rFonts w:ascii="Times New Roman" w:hAnsi="Times New Roman"/>
                <w:sz w:val="24"/>
              </w:rPr>
            </w:pPr>
            <w:r w:rsidRPr="00E07C9A">
              <w:rPr>
                <w:rStyle w:val="InstructionsTabelleberschrift"/>
                <w:rFonts w:ascii="Times New Roman" w:hAnsi="Times New Roman"/>
                <w:sz w:val="24"/>
              </w:rPr>
              <w:t>Maximálna samostatná strata</w:t>
            </w:r>
          </w:p>
          <w:p w14:paraId="475751C9" w14:textId="31CA3DAF" w:rsidR="00FD54FC" w:rsidRPr="00E07C9A" w:rsidRDefault="00FD54FC" w:rsidP="00FD54FC">
            <w:pPr>
              <w:rPr>
                <w:rFonts w:ascii="Times New Roman" w:hAnsi="Times New Roman"/>
                <w:sz w:val="24"/>
              </w:rPr>
            </w:pPr>
            <w:r w:rsidRPr="00E07C9A">
              <w:rPr>
                <w:rFonts w:ascii="Times New Roman" w:hAnsi="Times New Roman"/>
                <w:sz w:val="24"/>
              </w:rPr>
              <w:t>Za predpokladu, že inštitúcia zaradila všetky svoje straty buď do obchodnej línie uvedenej</w:t>
            </w:r>
            <w:r w:rsidR="009912F8" w:rsidRPr="00E07C9A">
              <w:rPr>
                <w:rFonts w:ascii="Times New Roman" w:hAnsi="Times New Roman"/>
                <w:sz w:val="24"/>
              </w:rPr>
              <w:t xml:space="preserve"> v </w:t>
            </w:r>
            <w:r w:rsidRPr="00E07C9A">
              <w:rPr>
                <w:rFonts w:ascii="Times New Roman" w:hAnsi="Times New Roman"/>
                <w:sz w:val="24"/>
              </w:rPr>
              <w:t xml:space="preserve">tabuľke 2 článku 317 ods. 4 nariadenia (EÚ) </w:t>
            </w:r>
            <w:r w:rsidR="009912F8" w:rsidRPr="00E07C9A">
              <w:rPr>
                <w:rFonts w:ascii="Times New Roman" w:hAnsi="Times New Roman"/>
                <w:sz w:val="24"/>
              </w:rPr>
              <w:t>č. 575/2013</w:t>
            </w:r>
            <w:r w:rsidRPr="00E07C9A">
              <w:rPr>
                <w:rFonts w:ascii="Times New Roman" w:hAnsi="Times New Roman"/>
                <w:sz w:val="24"/>
              </w:rPr>
              <w:t xml:space="preserve"> alebo do obchodnej línie „podnikové položky“, ako sa uvádza</w:t>
            </w:r>
            <w:r w:rsidR="009912F8" w:rsidRPr="00E07C9A">
              <w:rPr>
                <w:rFonts w:ascii="Times New Roman" w:hAnsi="Times New Roman"/>
                <w:sz w:val="24"/>
              </w:rPr>
              <w:t xml:space="preserve"> v </w:t>
            </w:r>
            <w:r w:rsidRPr="00E07C9A">
              <w:rPr>
                <w:rFonts w:ascii="Times New Roman" w:hAnsi="Times New Roman"/>
                <w:sz w:val="24"/>
              </w:rPr>
              <w:t>článku 322 ods. 3 písm. b) uvedeného nariadenia, maximálna samostatná strata je maximálna strata nad internou prahovou hodnotou pre každý druh stratovej udalosti spomedzi všetkých obchodných línií. Tieto hodnoty môžu byť vyššie než najvyššia samostatná strata zaznamenaná</w:t>
            </w:r>
            <w:r w:rsidR="009912F8" w:rsidRPr="00E07C9A">
              <w:rPr>
                <w:rFonts w:ascii="Times New Roman" w:hAnsi="Times New Roman"/>
                <w:sz w:val="24"/>
              </w:rPr>
              <w:t xml:space="preserve"> v </w:t>
            </w:r>
            <w:r w:rsidRPr="00E07C9A">
              <w:rPr>
                <w:rFonts w:ascii="Times New Roman" w:hAnsi="Times New Roman"/>
                <w:sz w:val="24"/>
              </w:rPr>
              <w:t>jednotlivých obchodných líniách, ak stratová udalosť postihuje rôzne obchodné línie.</w:t>
            </w:r>
          </w:p>
          <w:p w14:paraId="7BE96ED9" w14:textId="2E32E8D9" w:rsidR="00FD54FC" w:rsidRPr="00E07C9A" w:rsidRDefault="00FD54FC" w:rsidP="00FD54FC">
            <w:pPr>
              <w:rPr>
                <w:rFonts w:ascii="Times New Roman" w:hAnsi="Times New Roman"/>
                <w:sz w:val="24"/>
              </w:rPr>
            </w:pPr>
            <w:r w:rsidRPr="00E07C9A">
              <w:rPr>
                <w:rFonts w:ascii="Times New Roman" w:hAnsi="Times New Roman"/>
                <w:sz w:val="24"/>
              </w:rPr>
              <w:t>Za predpokladu, že inštitúcia zaradila všetky svoje straty buď do obchodnej línie uvedenej</w:t>
            </w:r>
            <w:r w:rsidR="009912F8" w:rsidRPr="00E07C9A">
              <w:rPr>
                <w:rFonts w:ascii="Times New Roman" w:hAnsi="Times New Roman"/>
                <w:sz w:val="24"/>
              </w:rPr>
              <w:t xml:space="preserve"> v </w:t>
            </w:r>
            <w:r w:rsidRPr="00E07C9A">
              <w:rPr>
                <w:rFonts w:ascii="Times New Roman" w:hAnsi="Times New Roman"/>
                <w:sz w:val="24"/>
              </w:rPr>
              <w:t xml:space="preserve">tabuľke 2 článku 317 ods. 4 nariadenia (EÚ) </w:t>
            </w:r>
            <w:r w:rsidR="009912F8" w:rsidRPr="00E07C9A">
              <w:rPr>
                <w:rFonts w:ascii="Times New Roman" w:hAnsi="Times New Roman"/>
                <w:sz w:val="24"/>
              </w:rPr>
              <w:t>č. 575/2013</w:t>
            </w:r>
            <w:r w:rsidRPr="00E07C9A">
              <w:rPr>
                <w:rFonts w:ascii="Times New Roman" w:hAnsi="Times New Roman"/>
                <w:sz w:val="24"/>
              </w:rPr>
              <w:t xml:space="preserve"> alebo do obchodnej línie „podnikové položky“, ako sa uvádza</w:t>
            </w:r>
            <w:r w:rsidR="009912F8" w:rsidRPr="00E07C9A">
              <w:rPr>
                <w:rFonts w:ascii="Times New Roman" w:hAnsi="Times New Roman"/>
                <w:sz w:val="24"/>
              </w:rPr>
              <w:t xml:space="preserve"> v </w:t>
            </w:r>
            <w:r w:rsidRPr="00E07C9A">
              <w:rPr>
                <w:rFonts w:ascii="Times New Roman" w:hAnsi="Times New Roman"/>
                <w:sz w:val="24"/>
              </w:rPr>
              <w:t>článku 322 ods. 3 písm. b) uvedeného nariadenia, resp. že identifikovala druhy stratových udalostí pre všetky straty, pre stĺpec 0080 platí:</w:t>
            </w:r>
          </w:p>
          <w:p w14:paraId="454E8214" w14:textId="5A2D9E66" w:rsidR="00FD54FC" w:rsidRPr="00E07C9A" w:rsidRDefault="00125707" w:rsidP="0023700C">
            <w:pPr>
              <w:ind w:left="360" w:hanging="360"/>
              <w:rPr>
                <w:rFonts w:ascii="Times New Roman" w:hAnsi="Times New Roman"/>
                <w:b/>
                <w:bCs/>
                <w:sz w:val="24"/>
                <w:u w:val="single"/>
              </w:rPr>
            </w:pPr>
            <w:r w:rsidRPr="00E07C9A">
              <w:rPr>
                <w:rFonts w:ascii="Times New Roman" w:hAnsi="Times New Roman"/>
                <w:sz w:val="24"/>
              </w:rPr>
              <w:t>–</w:t>
            </w:r>
            <w:r w:rsidRPr="00E07C9A">
              <w:rPr>
                <w:rFonts w:ascii="Times New Roman" w:hAnsi="Times New Roman"/>
              </w:rPr>
              <w:tab/>
            </w:r>
            <w:r w:rsidRPr="00E07C9A">
              <w:rPr>
                <w:rFonts w:ascii="Times New Roman" w:hAnsi="Times New Roman"/>
                <w:sz w:val="24"/>
              </w:rPr>
              <w:t>Maximálna samostatná strata sa rovná najvyššej</w:t>
            </w:r>
            <w:r w:rsidR="009912F8" w:rsidRPr="00E07C9A">
              <w:rPr>
                <w:rFonts w:ascii="Times New Roman" w:hAnsi="Times New Roman"/>
                <w:sz w:val="24"/>
              </w:rPr>
              <w:t xml:space="preserve"> z </w:t>
            </w:r>
            <w:r w:rsidRPr="00E07C9A">
              <w:rPr>
                <w:rFonts w:ascii="Times New Roman" w:hAnsi="Times New Roman"/>
                <w:sz w:val="24"/>
              </w:rPr>
              <w:t>hodnôt vykázaných</w:t>
            </w:r>
            <w:r w:rsidR="009912F8" w:rsidRPr="00E07C9A">
              <w:rPr>
                <w:rFonts w:ascii="Times New Roman" w:hAnsi="Times New Roman"/>
                <w:sz w:val="24"/>
              </w:rPr>
              <w:t xml:space="preserve"> v </w:t>
            </w:r>
            <w:r w:rsidRPr="00E07C9A">
              <w:rPr>
                <w:rFonts w:ascii="Times New Roman" w:hAnsi="Times New Roman"/>
                <w:sz w:val="24"/>
              </w:rPr>
              <w:t>stĺpcoch 0010 až 0070</w:t>
            </w:r>
            <w:r w:rsidR="009912F8" w:rsidRPr="00E07C9A">
              <w:rPr>
                <w:rFonts w:ascii="Times New Roman" w:hAnsi="Times New Roman"/>
                <w:sz w:val="24"/>
              </w:rPr>
              <w:t xml:space="preserve"> v </w:t>
            </w:r>
            <w:r w:rsidRPr="00E07C9A">
              <w:rPr>
                <w:rFonts w:ascii="Times New Roman" w:hAnsi="Times New Roman"/>
                <w:sz w:val="24"/>
              </w:rPr>
              <w:t>tomto riadku.</w:t>
            </w:r>
          </w:p>
          <w:p w14:paraId="6FE10DDB" w14:textId="3649069A" w:rsidR="00FD54FC" w:rsidRPr="00E07C9A" w:rsidRDefault="00125707" w:rsidP="0023700C">
            <w:pPr>
              <w:ind w:left="360" w:hanging="360"/>
              <w:rPr>
                <w:rStyle w:val="InstructionsTabelleberschrift"/>
                <w:rFonts w:ascii="Times New Roman" w:hAnsi="Times New Roman"/>
                <w:bCs w:val="0"/>
                <w:sz w:val="24"/>
              </w:rPr>
            </w:pPr>
            <w:r w:rsidRPr="00E07C9A">
              <w:rPr>
                <w:rStyle w:val="InstructionsTabelleberschrift"/>
                <w:rFonts w:ascii="Times New Roman" w:hAnsi="Times New Roman"/>
                <w:b w:val="0"/>
                <w:sz w:val="24"/>
                <w:u w:val="none"/>
              </w:rPr>
              <w:t>–</w:t>
            </w:r>
            <w:r w:rsidRPr="00E07C9A">
              <w:rPr>
                <w:rFonts w:ascii="Times New Roman" w:hAnsi="Times New Roman"/>
              </w:rPr>
              <w:tab/>
            </w:r>
            <w:r w:rsidRPr="00E07C9A">
              <w:rPr>
                <w:rFonts w:ascii="Times New Roman" w:hAnsi="Times New Roman"/>
                <w:sz w:val="24"/>
              </w:rPr>
              <w:t>Ak existujú stratové udalosti</w:t>
            </w:r>
            <w:r w:rsidR="009912F8" w:rsidRPr="00E07C9A">
              <w:rPr>
                <w:rFonts w:ascii="Times New Roman" w:hAnsi="Times New Roman"/>
                <w:sz w:val="24"/>
              </w:rPr>
              <w:t xml:space="preserve"> s </w:t>
            </w:r>
            <w:r w:rsidRPr="00E07C9A">
              <w:rPr>
                <w:rFonts w:ascii="Times New Roman" w:hAnsi="Times New Roman"/>
                <w:sz w:val="24"/>
              </w:rPr>
              <w:t>vplyvom na viaceré obchodné línie, hodnota vykázaná</w:t>
            </w:r>
            <w:r w:rsidR="009912F8" w:rsidRPr="00E07C9A">
              <w:rPr>
                <w:rFonts w:ascii="Times New Roman" w:hAnsi="Times New Roman"/>
                <w:sz w:val="24"/>
              </w:rPr>
              <w:t xml:space="preserve"> v </w:t>
            </w:r>
            <w:r w:rsidRPr="00E07C9A">
              <w:rPr>
                <w:rFonts w:ascii="Times New Roman" w:hAnsi="Times New Roman"/>
                <w:sz w:val="24"/>
              </w:rPr>
              <w:t>{r0950, c0080} môže byť vyššia než výška „maximálnej samostatnej straty“ za obchodnú líniu vykázaná</w:t>
            </w:r>
            <w:r w:rsidR="009912F8" w:rsidRPr="00E07C9A">
              <w:rPr>
                <w:rFonts w:ascii="Times New Roman" w:hAnsi="Times New Roman"/>
                <w:sz w:val="24"/>
              </w:rPr>
              <w:t xml:space="preserve"> v </w:t>
            </w:r>
            <w:r w:rsidRPr="00E07C9A">
              <w:rPr>
                <w:rFonts w:ascii="Times New Roman" w:hAnsi="Times New Roman"/>
                <w:sz w:val="24"/>
              </w:rPr>
              <w:t xml:space="preserve">ostatných riadkoch stĺpca 0080. </w:t>
            </w:r>
          </w:p>
        </w:tc>
      </w:tr>
      <w:tr w:rsidR="00FD54FC" w:rsidRPr="00E07C9A" w14:paraId="1E3DFEBA" w14:textId="77777777" w:rsidTr="00672D2A">
        <w:tc>
          <w:tcPr>
            <w:tcW w:w="1101" w:type="dxa"/>
            <w:tcBorders>
              <w:top w:val="single" w:sz="4" w:space="0" w:color="auto"/>
              <w:left w:val="single" w:sz="4" w:space="0" w:color="auto"/>
              <w:bottom w:val="single" w:sz="4" w:space="0" w:color="auto"/>
              <w:right w:val="single" w:sz="4" w:space="0" w:color="auto"/>
            </w:tcBorders>
          </w:tcPr>
          <w:p w14:paraId="798B87B9" w14:textId="77777777" w:rsidR="00FD54FC" w:rsidRPr="00E07C9A" w:rsidRDefault="00C93FC2" w:rsidP="00FD54FC">
            <w:pPr>
              <w:rPr>
                <w:rFonts w:ascii="Times New Roman" w:hAnsi="Times New Roman"/>
                <w:sz w:val="24"/>
              </w:rPr>
            </w:pPr>
            <w:r w:rsidRPr="00E07C9A">
              <w:rPr>
                <w:rFonts w:ascii="Times New Roman" w:hAnsi="Times New Roman"/>
                <w:sz w:val="24"/>
              </w:rPr>
              <w:t>0960</w:t>
            </w:r>
          </w:p>
        </w:tc>
        <w:tc>
          <w:tcPr>
            <w:tcW w:w="8079" w:type="dxa"/>
            <w:tcBorders>
              <w:top w:val="single" w:sz="4" w:space="0" w:color="auto"/>
              <w:left w:val="single" w:sz="4" w:space="0" w:color="auto"/>
              <w:bottom w:val="single" w:sz="4" w:space="0" w:color="auto"/>
              <w:right w:val="single" w:sz="4" w:space="0" w:color="auto"/>
            </w:tcBorders>
          </w:tcPr>
          <w:p w14:paraId="78E2C4EE" w14:textId="77777777" w:rsidR="00FD54FC" w:rsidRPr="00E07C9A" w:rsidRDefault="00FD54FC" w:rsidP="00FD54FC">
            <w:pPr>
              <w:rPr>
                <w:rStyle w:val="InstructionsTabelleberschrift"/>
                <w:rFonts w:ascii="Times New Roman" w:hAnsi="Times New Roman"/>
                <w:sz w:val="24"/>
              </w:rPr>
            </w:pPr>
            <w:r w:rsidRPr="00E07C9A">
              <w:rPr>
                <w:rStyle w:val="InstructionsTabelleberschrift"/>
                <w:rFonts w:ascii="Times New Roman" w:hAnsi="Times New Roman"/>
                <w:sz w:val="24"/>
              </w:rPr>
              <w:t>Súčet piatich najväčších strát</w:t>
            </w:r>
          </w:p>
          <w:p w14:paraId="48B95212" w14:textId="4BE82532" w:rsidR="009912F8" w:rsidRPr="00E07C9A" w:rsidRDefault="00FD54FC" w:rsidP="00FD54FC">
            <w:pPr>
              <w:rPr>
                <w:rFonts w:ascii="Times New Roman" w:hAnsi="Times New Roman"/>
                <w:sz w:val="24"/>
              </w:rPr>
            </w:pPr>
            <w:r w:rsidRPr="00E07C9A">
              <w:rPr>
                <w:rFonts w:ascii="Times New Roman" w:hAnsi="Times New Roman"/>
                <w:sz w:val="24"/>
              </w:rPr>
              <w:t>Vykazuje sa súčet piatich najväčších hrubých strát pre každý druh stratovej udalosti spomedzi všetkých obchodných línií. Tento súčet môže byť vyšší než najvyšší súčet piatich najväčších strát zaznamenaných</w:t>
            </w:r>
            <w:r w:rsidR="009912F8" w:rsidRPr="00E07C9A">
              <w:rPr>
                <w:rFonts w:ascii="Times New Roman" w:hAnsi="Times New Roman"/>
                <w:sz w:val="24"/>
              </w:rPr>
              <w:t xml:space="preserve"> v </w:t>
            </w:r>
            <w:r w:rsidRPr="00E07C9A">
              <w:rPr>
                <w:rFonts w:ascii="Times New Roman" w:hAnsi="Times New Roman"/>
                <w:sz w:val="24"/>
              </w:rPr>
              <w:t>jednotlivých obchodných líniách. Tento súčet sa musí vykázať bez ohľadu na počet strát</w:t>
            </w:r>
            <w:r w:rsidR="009912F8" w:rsidRPr="00E07C9A">
              <w:rPr>
                <w:rFonts w:ascii="Times New Roman" w:hAnsi="Times New Roman"/>
                <w:sz w:val="24"/>
              </w:rPr>
              <w:t>.</w:t>
            </w:r>
          </w:p>
          <w:p w14:paraId="462BED5E" w14:textId="3B661847" w:rsidR="00FD54FC" w:rsidRPr="00E07C9A" w:rsidRDefault="00FD54FC" w:rsidP="00AB6610">
            <w:pPr>
              <w:rPr>
                <w:rStyle w:val="InstructionsTabelleberschrift"/>
                <w:rFonts w:ascii="Times New Roman" w:hAnsi="Times New Roman"/>
                <w:sz w:val="24"/>
              </w:rPr>
            </w:pPr>
            <w:r w:rsidRPr="00E07C9A">
              <w:rPr>
                <w:rFonts w:ascii="Times New Roman" w:hAnsi="Times New Roman"/>
                <w:sz w:val="24"/>
              </w:rPr>
              <w:t>Za predpokladu, že inštitúcia zaradila všetky svoje straty buď do obchodnej línie uvedenej</w:t>
            </w:r>
            <w:r w:rsidR="009912F8" w:rsidRPr="00E07C9A">
              <w:rPr>
                <w:rFonts w:ascii="Times New Roman" w:hAnsi="Times New Roman"/>
                <w:sz w:val="24"/>
              </w:rPr>
              <w:t xml:space="preserve"> v </w:t>
            </w:r>
            <w:r w:rsidRPr="00E07C9A">
              <w:rPr>
                <w:rFonts w:ascii="Times New Roman" w:hAnsi="Times New Roman"/>
                <w:sz w:val="24"/>
              </w:rPr>
              <w:t xml:space="preserve">tabuľke 2 článku 317 ods. 4 nariadenia (EÚ) </w:t>
            </w:r>
            <w:r w:rsidR="009912F8" w:rsidRPr="00E07C9A">
              <w:rPr>
                <w:rFonts w:ascii="Times New Roman" w:hAnsi="Times New Roman"/>
                <w:sz w:val="24"/>
              </w:rPr>
              <w:t>č. 575/2013</w:t>
            </w:r>
            <w:r w:rsidRPr="00E07C9A">
              <w:rPr>
                <w:rFonts w:ascii="Times New Roman" w:hAnsi="Times New Roman"/>
                <w:sz w:val="24"/>
              </w:rPr>
              <w:t xml:space="preserve"> alebo do obchodnej línie „podnikové položky“, ako sa uvádza</w:t>
            </w:r>
            <w:r w:rsidR="009912F8" w:rsidRPr="00E07C9A">
              <w:rPr>
                <w:rFonts w:ascii="Times New Roman" w:hAnsi="Times New Roman"/>
                <w:sz w:val="24"/>
              </w:rPr>
              <w:t xml:space="preserve"> v </w:t>
            </w:r>
            <w:r w:rsidRPr="00E07C9A">
              <w:rPr>
                <w:rFonts w:ascii="Times New Roman" w:hAnsi="Times New Roman"/>
                <w:sz w:val="24"/>
              </w:rPr>
              <w:t xml:space="preserve">článku 322 ods. 3 písm. b) nariadenia (EÚ) </w:t>
            </w:r>
            <w:r w:rsidR="009912F8" w:rsidRPr="00E07C9A">
              <w:rPr>
                <w:rFonts w:ascii="Times New Roman" w:hAnsi="Times New Roman"/>
                <w:sz w:val="24"/>
              </w:rPr>
              <w:t>č. 575/2013</w:t>
            </w:r>
            <w:r w:rsidRPr="00E07C9A">
              <w:rPr>
                <w:rFonts w:ascii="Times New Roman" w:hAnsi="Times New Roman"/>
                <w:sz w:val="24"/>
              </w:rPr>
              <w:t>, resp. že identifikovala druhy stratových udalostí pre všetky straty,</w:t>
            </w:r>
            <w:r w:rsidR="009912F8" w:rsidRPr="00E07C9A">
              <w:rPr>
                <w:rFonts w:ascii="Times New Roman" w:hAnsi="Times New Roman"/>
                <w:sz w:val="24"/>
              </w:rPr>
              <w:t xml:space="preserve"> v </w:t>
            </w:r>
            <w:r w:rsidRPr="00E07C9A">
              <w:rPr>
                <w:rFonts w:ascii="Times New Roman" w:hAnsi="Times New Roman"/>
                <w:sz w:val="24"/>
              </w:rPr>
              <w:t>stĺpci 0080 je súčet piatich najvyšších strát súčtom piatich najvyšších strát</w:t>
            </w:r>
            <w:r w:rsidR="009912F8" w:rsidRPr="00E07C9A">
              <w:rPr>
                <w:rFonts w:ascii="Times New Roman" w:hAnsi="Times New Roman"/>
                <w:sz w:val="24"/>
              </w:rPr>
              <w:t xml:space="preserve"> v </w:t>
            </w:r>
            <w:r w:rsidRPr="00E07C9A">
              <w:rPr>
                <w:rFonts w:ascii="Times New Roman" w:hAnsi="Times New Roman"/>
                <w:sz w:val="24"/>
              </w:rPr>
              <w:t>celej matici, čo znamená, že sa nemusí nutne rovnať maximálnej hodnote „súčtu piatich najväčších strát“</w:t>
            </w:r>
            <w:r w:rsidR="009912F8" w:rsidRPr="00E07C9A">
              <w:rPr>
                <w:rFonts w:ascii="Times New Roman" w:hAnsi="Times New Roman"/>
                <w:sz w:val="24"/>
              </w:rPr>
              <w:t xml:space="preserve"> v </w:t>
            </w:r>
            <w:r w:rsidRPr="00E07C9A">
              <w:rPr>
                <w:rFonts w:ascii="Times New Roman" w:hAnsi="Times New Roman"/>
                <w:sz w:val="24"/>
              </w:rPr>
              <w:t>riadku 0960 ani maximálnej hodnote „súčtu piatich najväčších strát“</w:t>
            </w:r>
            <w:r w:rsidR="009912F8" w:rsidRPr="00E07C9A">
              <w:rPr>
                <w:rFonts w:ascii="Times New Roman" w:hAnsi="Times New Roman"/>
                <w:sz w:val="24"/>
              </w:rPr>
              <w:t xml:space="preserve"> v </w:t>
            </w:r>
            <w:r w:rsidRPr="00E07C9A">
              <w:rPr>
                <w:rFonts w:ascii="Times New Roman" w:hAnsi="Times New Roman"/>
                <w:sz w:val="24"/>
              </w:rPr>
              <w:t>stĺpci 0080.</w:t>
            </w:r>
          </w:p>
        </w:tc>
      </w:tr>
      <w:tr w:rsidR="00FD54FC" w:rsidRPr="00E07C9A" w14:paraId="10A42EB4" w14:textId="77777777" w:rsidTr="00672D2A">
        <w:tc>
          <w:tcPr>
            <w:tcW w:w="1101" w:type="dxa"/>
            <w:tcBorders>
              <w:top w:val="single" w:sz="4" w:space="0" w:color="auto"/>
              <w:left w:val="single" w:sz="4" w:space="0" w:color="auto"/>
              <w:bottom w:val="single" w:sz="4" w:space="0" w:color="auto"/>
              <w:right w:val="single" w:sz="4" w:space="0" w:color="auto"/>
            </w:tcBorders>
          </w:tcPr>
          <w:p w14:paraId="4B61D54D" w14:textId="77777777" w:rsidR="00FD54FC" w:rsidRPr="00E07C9A" w:rsidRDefault="00C93FC2" w:rsidP="00FD54FC">
            <w:pPr>
              <w:rPr>
                <w:rFonts w:ascii="Times New Roman" w:hAnsi="Times New Roman"/>
                <w:sz w:val="24"/>
              </w:rPr>
            </w:pPr>
            <w:r w:rsidRPr="00E07C9A">
              <w:rPr>
                <w:rFonts w:ascii="Times New Roman" w:hAnsi="Times New Roman"/>
                <w:sz w:val="24"/>
              </w:rPr>
              <w:t>0970</w:t>
            </w:r>
          </w:p>
        </w:tc>
        <w:tc>
          <w:tcPr>
            <w:tcW w:w="8079" w:type="dxa"/>
            <w:tcBorders>
              <w:top w:val="single" w:sz="4" w:space="0" w:color="auto"/>
              <w:left w:val="single" w:sz="4" w:space="0" w:color="auto"/>
              <w:bottom w:val="single" w:sz="4" w:space="0" w:color="auto"/>
              <w:right w:val="single" w:sz="4" w:space="0" w:color="auto"/>
            </w:tcBorders>
          </w:tcPr>
          <w:p w14:paraId="0340B980" w14:textId="77777777" w:rsidR="00FD54FC" w:rsidRPr="00E07C9A" w:rsidRDefault="00FD54FC" w:rsidP="00FD54FC">
            <w:pPr>
              <w:rPr>
                <w:rStyle w:val="InstructionsTabelleberschrift"/>
                <w:rFonts w:ascii="Times New Roman" w:hAnsi="Times New Roman"/>
                <w:sz w:val="24"/>
              </w:rPr>
            </w:pPr>
            <w:r w:rsidRPr="00E07C9A">
              <w:rPr>
                <w:rStyle w:val="InstructionsTabelleberschrift"/>
                <w:rFonts w:ascii="Times New Roman" w:hAnsi="Times New Roman"/>
                <w:sz w:val="24"/>
              </w:rPr>
              <w:t>Celkové priame náhrady straty</w:t>
            </w:r>
          </w:p>
          <w:p w14:paraId="651924C3" w14:textId="2481837D" w:rsidR="00FD54FC" w:rsidRPr="00E07C9A" w:rsidRDefault="00FD54FC" w:rsidP="00705025">
            <w:pPr>
              <w:rPr>
                <w:rStyle w:val="InstructionsTabelleberschrift"/>
                <w:rFonts w:ascii="Times New Roman" w:hAnsi="Times New Roman"/>
                <w:sz w:val="24"/>
              </w:rPr>
            </w:pPr>
            <w:r w:rsidRPr="00E07C9A">
              <w:rPr>
                <w:rFonts w:ascii="Times New Roman" w:hAnsi="Times New Roman"/>
                <w:sz w:val="24"/>
              </w:rPr>
              <w:t>Za predpokladu, že inštitúcia zaradila všetky svoje straty buď do obchodnej línie uvedenej</w:t>
            </w:r>
            <w:r w:rsidR="009912F8" w:rsidRPr="00E07C9A">
              <w:rPr>
                <w:rFonts w:ascii="Times New Roman" w:hAnsi="Times New Roman"/>
                <w:sz w:val="24"/>
              </w:rPr>
              <w:t xml:space="preserve"> v </w:t>
            </w:r>
            <w:r w:rsidRPr="00E07C9A">
              <w:rPr>
                <w:rFonts w:ascii="Times New Roman" w:hAnsi="Times New Roman"/>
                <w:sz w:val="24"/>
              </w:rPr>
              <w:t xml:space="preserve">tabuľke 2 článku 317 ods. 4 nariadenia (EÚ) </w:t>
            </w:r>
            <w:r w:rsidR="009912F8" w:rsidRPr="00E07C9A">
              <w:rPr>
                <w:rFonts w:ascii="Times New Roman" w:hAnsi="Times New Roman"/>
                <w:sz w:val="24"/>
              </w:rPr>
              <w:t>č. 575/2013</w:t>
            </w:r>
            <w:r w:rsidRPr="00E07C9A">
              <w:rPr>
                <w:rFonts w:ascii="Times New Roman" w:hAnsi="Times New Roman"/>
                <w:sz w:val="24"/>
              </w:rPr>
              <w:t xml:space="preserve"> alebo do obchodnej línie „podnikové položky“, ako sa uvádza</w:t>
            </w:r>
            <w:r w:rsidR="009912F8" w:rsidRPr="00E07C9A">
              <w:rPr>
                <w:rFonts w:ascii="Times New Roman" w:hAnsi="Times New Roman"/>
                <w:sz w:val="24"/>
              </w:rPr>
              <w:t xml:space="preserve"> v </w:t>
            </w:r>
            <w:r w:rsidRPr="00E07C9A">
              <w:rPr>
                <w:rFonts w:ascii="Times New Roman" w:hAnsi="Times New Roman"/>
                <w:sz w:val="24"/>
              </w:rPr>
              <w:t xml:space="preserve">článku 322 ods. 3 písm. b) nariadenia (EÚ) </w:t>
            </w:r>
            <w:r w:rsidR="009912F8" w:rsidRPr="00E07C9A">
              <w:rPr>
                <w:rFonts w:ascii="Times New Roman" w:hAnsi="Times New Roman"/>
                <w:sz w:val="24"/>
              </w:rPr>
              <w:t>č. 575/2013</w:t>
            </w:r>
            <w:r w:rsidRPr="00E07C9A">
              <w:rPr>
                <w:rFonts w:ascii="Times New Roman" w:hAnsi="Times New Roman"/>
                <w:sz w:val="24"/>
              </w:rPr>
              <w:t>, celkové priame náhrady straty sú jednoduchým súhrnom celkových priamych náhrad strát za každú obchodnú líniu.</w:t>
            </w:r>
          </w:p>
        </w:tc>
      </w:tr>
      <w:tr w:rsidR="00FD54FC" w:rsidRPr="00E07C9A" w14:paraId="786617A2" w14:textId="77777777" w:rsidTr="00672D2A">
        <w:tc>
          <w:tcPr>
            <w:tcW w:w="1101" w:type="dxa"/>
            <w:tcBorders>
              <w:top w:val="single" w:sz="4" w:space="0" w:color="auto"/>
              <w:left w:val="single" w:sz="4" w:space="0" w:color="auto"/>
              <w:bottom w:val="single" w:sz="4" w:space="0" w:color="auto"/>
              <w:right w:val="single" w:sz="4" w:space="0" w:color="auto"/>
            </w:tcBorders>
          </w:tcPr>
          <w:p w14:paraId="05A05C0D" w14:textId="77777777" w:rsidR="00FD54FC" w:rsidRPr="00E07C9A" w:rsidRDefault="00C93FC2" w:rsidP="00FD54FC">
            <w:pPr>
              <w:rPr>
                <w:rFonts w:ascii="Times New Roman" w:hAnsi="Times New Roman"/>
                <w:sz w:val="24"/>
              </w:rPr>
            </w:pPr>
            <w:r w:rsidRPr="00E07C9A">
              <w:rPr>
                <w:rFonts w:ascii="Times New Roman" w:hAnsi="Times New Roman"/>
                <w:sz w:val="24"/>
              </w:rPr>
              <w:t>0980</w:t>
            </w:r>
          </w:p>
        </w:tc>
        <w:tc>
          <w:tcPr>
            <w:tcW w:w="8079" w:type="dxa"/>
            <w:tcBorders>
              <w:top w:val="single" w:sz="4" w:space="0" w:color="auto"/>
              <w:left w:val="single" w:sz="4" w:space="0" w:color="auto"/>
              <w:bottom w:val="single" w:sz="4" w:space="0" w:color="auto"/>
              <w:right w:val="single" w:sz="4" w:space="0" w:color="auto"/>
            </w:tcBorders>
          </w:tcPr>
          <w:p w14:paraId="73F81C16" w14:textId="286BB870" w:rsidR="00FD54FC" w:rsidRPr="00E07C9A" w:rsidRDefault="00FD54FC" w:rsidP="00FD54FC">
            <w:pPr>
              <w:rPr>
                <w:rStyle w:val="InstructionsTabelleberschrift"/>
                <w:rFonts w:ascii="Times New Roman" w:hAnsi="Times New Roman"/>
                <w:sz w:val="24"/>
              </w:rPr>
            </w:pPr>
            <w:r w:rsidRPr="00E07C9A">
              <w:rPr>
                <w:rStyle w:val="InstructionsTabelleberschrift"/>
                <w:rFonts w:ascii="Times New Roman" w:hAnsi="Times New Roman"/>
                <w:sz w:val="24"/>
              </w:rPr>
              <w:t>Celkové náhrady</w:t>
            </w:r>
            <w:r w:rsidR="009912F8" w:rsidRPr="00E07C9A">
              <w:rPr>
                <w:rStyle w:val="InstructionsTabelleberschrift"/>
                <w:rFonts w:ascii="Times New Roman" w:hAnsi="Times New Roman"/>
                <w:sz w:val="24"/>
              </w:rPr>
              <w:t xml:space="preserve"> z </w:t>
            </w:r>
            <w:r w:rsidRPr="00E07C9A">
              <w:rPr>
                <w:rStyle w:val="InstructionsTabelleberschrift"/>
                <w:rFonts w:ascii="Times New Roman" w:hAnsi="Times New Roman"/>
                <w:sz w:val="24"/>
              </w:rPr>
              <w:t>poistenia</w:t>
            </w:r>
            <w:r w:rsidR="009912F8" w:rsidRPr="00E07C9A">
              <w:rPr>
                <w:rStyle w:val="InstructionsTabelleberschrift"/>
                <w:rFonts w:ascii="Times New Roman" w:hAnsi="Times New Roman"/>
                <w:sz w:val="24"/>
              </w:rPr>
              <w:t xml:space="preserve"> a </w:t>
            </w:r>
            <w:r w:rsidRPr="00E07C9A">
              <w:rPr>
                <w:rStyle w:val="InstructionsTabelleberschrift"/>
                <w:rFonts w:ascii="Times New Roman" w:hAnsi="Times New Roman"/>
                <w:sz w:val="24"/>
              </w:rPr>
              <w:t>iných mechanizmov prenosu rizika</w:t>
            </w:r>
          </w:p>
          <w:p w14:paraId="105A6F22" w14:textId="29007157" w:rsidR="00FD54FC" w:rsidRPr="00E07C9A" w:rsidRDefault="00FD54FC" w:rsidP="007062FD">
            <w:pPr>
              <w:rPr>
                <w:rFonts w:ascii="Times New Roman" w:hAnsi="Times New Roman"/>
                <w:b/>
                <w:bCs/>
                <w:sz w:val="24"/>
                <w:u w:val="single"/>
              </w:rPr>
            </w:pPr>
            <w:r w:rsidRPr="00E07C9A">
              <w:rPr>
                <w:rFonts w:ascii="Times New Roman" w:hAnsi="Times New Roman"/>
                <w:sz w:val="24"/>
              </w:rPr>
              <w:t>Za predpokladu, že inštitúcia zaradila všetky svoje straty buď do obchodnej línie uvedenej</w:t>
            </w:r>
            <w:r w:rsidR="009912F8" w:rsidRPr="00E07C9A">
              <w:rPr>
                <w:rFonts w:ascii="Times New Roman" w:hAnsi="Times New Roman"/>
                <w:sz w:val="24"/>
              </w:rPr>
              <w:t xml:space="preserve"> v </w:t>
            </w:r>
            <w:r w:rsidRPr="00E07C9A">
              <w:rPr>
                <w:rFonts w:ascii="Times New Roman" w:hAnsi="Times New Roman"/>
                <w:sz w:val="24"/>
              </w:rPr>
              <w:t xml:space="preserve">tabuľke 2 článku 317 ods. 4 nariadenia (EÚ) </w:t>
            </w:r>
            <w:r w:rsidR="009912F8" w:rsidRPr="00E07C9A">
              <w:rPr>
                <w:rFonts w:ascii="Times New Roman" w:hAnsi="Times New Roman"/>
                <w:sz w:val="24"/>
              </w:rPr>
              <w:t>č. 575/2013</w:t>
            </w:r>
            <w:r w:rsidRPr="00E07C9A">
              <w:rPr>
                <w:rFonts w:ascii="Times New Roman" w:hAnsi="Times New Roman"/>
                <w:sz w:val="24"/>
              </w:rPr>
              <w:t xml:space="preserve"> alebo do obchodnej línie „podnikové položky“, ako sa uvádza</w:t>
            </w:r>
            <w:r w:rsidR="009912F8" w:rsidRPr="00E07C9A">
              <w:rPr>
                <w:rFonts w:ascii="Times New Roman" w:hAnsi="Times New Roman"/>
                <w:sz w:val="24"/>
              </w:rPr>
              <w:t xml:space="preserve"> v </w:t>
            </w:r>
            <w:r w:rsidRPr="00E07C9A">
              <w:rPr>
                <w:rFonts w:ascii="Times New Roman" w:hAnsi="Times New Roman"/>
                <w:sz w:val="24"/>
              </w:rPr>
              <w:t>článku 322 ods. 3 písm. b) uvedeného nariadenia, celkové náhrady</w:t>
            </w:r>
            <w:r w:rsidR="009912F8" w:rsidRPr="00E07C9A">
              <w:rPr>
                <w:rFonts w:ascii="Times New Roman" w:hAnsi="Times New Roman"/>
                <w:sz w:val="24"/>
              </w:rPr>
              <w:t xml:space="preserve"> z </w:t>
            </w:r>
            <w:r w:rsidRPr="00E07C9A">
              <w:rPr>
                <w:rFonts w:ascii="Times New Roman" w:hAnsi="Times New Roman"/>
                <w:sz w:val="24"/>
              </w:rPr>
              <w:t>poistenia</w:t>
            </w:r>
            <w:r w:rsidR="009912F8" w:rsidRPr="00E07C9A">
              <w:rPr>
                <w:rFonts w:ascii="Times New Roman" w:hAnsi="Times New Roman"/>
                <w:sz w:val="24"/>
              </w:rPr>
              <w:t xml:space="preserve"> a </w:t>
            </w:r>
            <w:r w:rsidRPr="00E07C9A">
              <w:rPr>
                <w:rFonts w:ascii="Times New Roman" w:hAnsi="Times New Roman"/>
                <w:sz w:val="24"/>
              </w:rPr>
              <w:t>iných mechanizmov prenosu rizika sú jednoduchým súhrnom celkových náhrad</w:t>
            </w:r>
            <w:r w:rsidR="009912F8" w:rsidRPr="00E07C9A">
              <w:rPr>
                <w:rFonts w:ascii="Times New Roman" w:hAnsi="Times New Roman"/>
                <w:sz w:val="24"/>
              </w:rPr>
              <w:t xml:space="preserve"> z </w:t>
            </w:r>
            <w:r w:rsidRPr="00E07C9A">
              <w:rPr>
                <w:rFonts w:ascii="Times New Roman" w:hAnsi="Times New Roman"/>
                <w:sz w:val="24"/>
              </w:rPr>
              <w:t>poistenia</w:t>
            </w:r>
            <w:r w:rsidR="009912F8" w:rsidRPr="00E07C9A">
              <w:rPr>
                <w:rFonts w:ascii="Times New Roman" w:hAnsi="Times New Roman"/>
                <w:sz w:val="24"/>
              </w:rPr>
              <w:t xml:space="preserve"> a </w:t>
            </w:r>
            <w:r w:rsidRPr="00E07C9A">
              <w:rPr>
                <w:rFonts w:ascii="Times New Roman" w:hAnsi="Times New Roman"/>
                <w:sz w:val="24"/>
              </w:rPr>
              <w:t>iných mechanizmov prenosu rizika za každú obchodnú líniu.</w:t>
            </w:r>
          </w:p>
        </w:tc>
      </w:tr>
    </w:tbl>
    <w:p w14:paraId="7FA58919" w14:textId="77777777" w:rsidR="00FD54FC" w:rsidRPr="00E07C9A" w:rsidRDefault="00FD54FC" w:rsidP="00FD54FC">
      <w:pPr>
        <w:spacing w:before="0" w:after="0"/>
        <w:jc w:val="left"/>
        <w:rPr>
          <w:rStyle w:val="InstructionsTabelleText"/>
          <w:rFonts w:ascii="Times New Roman" w:hAnsi="Times New Roman"/>
          <w:sz w:val="24"/>
        </w:rPr>
      </w:pPr>
    </w:p>
    <w:p w14:paraId="0C898FFA" w14:textId="19307690" w:rsidR="00FD54FC" w:rsidRPr="00E07C9A" w:rsidRDefault="00125707" w:rsidP="0023700C">
      <w:pPr>
        <w:pStyle w:val="Instructionsberschrift2"/>
        <w:numPr>
          <w:ilvl w:val="0"/>
          <w:numId w:val="0"/>
        </w:numPr>
        <w:ind w:left="357" w:hanging="357"/>
        <w:rPr>
          <w:rFonts w:ascii="Times New Roman" w:hAnsi="Times New Roman" w:cs="Times New Roman"/>
          <w:sz w:val="24"/>
        </w:rPr>
      </w:pPr>
      <w:bookmarkStart w:id="586" w:name="_Toc473561028"/>
      <w:bookmarkStart w:id="587" w:name="_Toc115857872"/>
      <w:r w:rsidRPr="00E07C9A">
        <w:rPr>
          <w:rFonts w:ascii="Times New Roman" w:hAnsi="Times New Roman" w:cs="Times New Roman"/>
          <w:sz w:val="24"/>
          <w:u w:val="none"/>
        </w:rPr>
        <w:t>4.2.3.</w:t>
      </w:r>
      <w:r w:rsidRPr="00E07C9A">
        <w:rPr>
          <w:rFonts w:ascii="Times New Roman" w:hAnsi="Times New Roman" w:cs="Times New Roman"/>
          <w:u w:val="none"/>
        </w:rPr>
        <w:tab/>
      </w:r>
      <w:r w:rsidRPr="00E07C9A">
        <w:rPr>
          <w:rFonts w:ascii="Times New Roman" w:hAnsi="Times New Roman" w:cs="Times New Roman"/>
          <w:sz w:val="24"/>
        </w:rPr>
        <w:t>C 17.02: Operačné riziko: podrobné informácie</w:t>
      </w:r>
      <w:r w:rsidR="009912F8" w:rsidRPr="00E07C9A">
        <w:rPr>
          <w:rFonts w:ascii="Times New Roman" w:hAnsi="Times New Roman" w:cs="Times New Roman"/>
          <w:sz w:val="24"/>
        </w:rPr>
        <w:t xml:space="preserve"> o </w:t>
      </w:r>
      <w:r w:rsidRPr="00E07C9A">
        <w:rPr>
          <w:rFonts w:ascii="Times New Roman" w:hAnsi="Times New Roman" w:cs="Times New Roman"/>
          <w:sz w:val="24"/>
        </w:rPr>
        <w:t>najväčších stratových udalostiach</w:t>
      </w:r>
      <w:r w:rsidR="009912F8" w:rsidRPr="00E07C9A">
        <w:rPr>
          <w:rFonts w:ascii="Times New Roman" w:hAnsi="Times New Roman" w:cs="Times New Roman"/>
          <w:sz w:val="24"/>
        </w:rPr>
        <w:t xml:space="preserve"> v </w:t>
      </w:r>
      <w:r w:rsidRPr="00E07C9A">
        <w:rPr>
          <w:rFonts w:ascii="Times New Roman" w:hAnsi="Times New Roman" w:cs="Times New Roman"/>
          <w:sz w:val="24"/>
        </w:rPr>
        <w:t>poslednom roku (OPR DETAILS 2)</w:t>
      </w:r>
      <w:bookmarkEnd w:id="586"/>
      <w:bookmarkEnd w:id="587"/>
    </w:p>
    <w:p w14:paraId="14652218" w14:textId="77777777" w:rsidR="00FD54FC" w:rsidRPr="00E07C9A" w:rsidRDefault="00125707" w:rsidP="0023700C">
      <w:pPr>
        <w:pStyle w:val="Instructionsberschrift2"/>
        <w:numPr>
          <w:ilvl w:val="0"/>
          <w:numId w:val="0"/>
        </w:numPr>
        <w:ind w:left="357" w:hanging="357"/>
        <w:rPr>
          <w:rFonts w:ascii="Times New Roman" w:hAnsi="Times New Roman" w:cs="Times New Roman"/>
          <w:sz w:val="24"/>
        </w:rPr>
      </w:pPr>
      <w:bookmarkStart w:id="588" w:name="_Toc473561029"/>
      <w:bookmarkStart w:id="589" w:name="_Toc115857873"/>
      <w:r w:rsidRPr="00E07C9A">
        <w:rPr>
          <w:rFonts w:ascii="Times New Roman" w:hAnsi="Times New Roman" w:cs="Times New Roman"/>
          <w:sz w:val="24"/>
          <w:u w:val="none"/>
        </w:rPr>
        <w:t>4.2.3.1.</w:t>
      </w:r>
      <w:r w:rsidRPr="00E07C9A">
        <w:rPr>
          <w:rFonts w:ascii="Times New Roman" w:hAnsi="Times New Roman" w:cs="Times New Roman"/>
          <w:u w:val="none"/>
        </w:rPr>
        <w:tab/>
      </w:r>
      <w:r w:rsidRPr="00E07C9A">
        <w:rPr>
          <w:rFonts w:ascii="Times New Roman" w:hAnsi="Times New Roman" w:cs="Times New Roman"/>
          <w:sz w:val="24"/>
        </w:rPr>
        <w:t>Všeobecné poznámky</w:t>
      </w:r>
      <w:bookmarkEnd w:id="588"/>
      <w:bookmarkEnd w:id="589"/>
    </w:p>
    <w:p w14:paraId="06D9B602" w14:textId="6A2AAECC" w:rsidR="00FD54FC" w:rsidRPr="00E07C9A" w:rsidRDefault="002A18DE" w:rsidP="00487A02">
      <w:pPr>
        <w:pStyle w:val="InstructionsText2"/>
        <w:numPr>
          <w:ilvl w:val="0"/>
          <w:numId w:val="0"/>
        </w:numPr>
        <w:ind w:left="1353" w:hanging="360"/>
      </w:pPr>
      <w:fldSimple w:instr=" seq paragraphs ">
        <w:r w:rsidR="00132AEE">
          <w:rPr>
            <w:noProof/>
          </w:rPr>
          <w:t>155</w:t>
        </w:r>
      </w:fldSimple>
      <w:r w:rsidR="00C3070C" w:rsidRPr="00E07C9A">
        <w:t>. Vo vzore C 17.02 sa poskytujú informácie</w:t>
      </w:r>
      <w:r w:rsidR="009912F8" w:rsidRPr="00E07C9A">
        <w:t xml:space="preserve"> o </w:t>
      </w:r>
      <w:r w:rsidR="00C3070C" w:rsidRPr="00E07C9A">
        <w:t>jednotlivých stratových udalostiach (jeden riadok na každú stratovú udalosť).</w:t>
      </w:r>
    </w:p>
    <w:p w14:paraId="6928228C" w14:textId="1CAF0EFE" w:rsidR="00FD54FC" w:rsidRPr="00E07C9A" w:rsidRDefault="002A18DE" w:rsidP="00487A02">
      <w:pPr>
        <w:pStyle w:val="InstructionsText2"/>
        <w:numPr>
          <w:ilvl w:val="0"/>
          <w:numId w:val="0"/>
        </w:numPr>
        <w:ind w:left="1353" w:hanging="360"/>
      </w:pPr>
      <w:fldSimple w:instr=" seq paragraphs ">
        <w:r w:rsidR="00132AEE">
          <w:rPr>
            <w:noProof/>
          </w:rPr>
          <w:t>156</w:t>
        </w:r>
      </w:fldSimple>
      <w:r w:rsidR="00C3070C" w:rsidRPr="00E07C9A">
        <w:t>.</w:t>
      </w:r>
      <w:r w:rsidR="00C3070C" w:rsidRPr="00E07C9A">
        <w:tab/>
        <w:t xml:space="preserve"> Informácie vykázané</w:t>
      </w:r>
      <w:r w:rsidR="009912F8" w:rsidRPr="00E07C9A">
        <w:t xml:space="preserve"> v </w:t>
      </w:r>
      <w:r w:rsidR="00C3070C" w:rsidRPr="00E07C9A">
        <w:t>tomto vzore odkazujú na „nové stratové udalosti“, t. j. udalosti operačného rizika:</w:t>
      </w:r>
    </w:p>
    <w:p w14:paraId="43C23B10" w14:textId="77777777" w:rsidR="00FD54FC" w:rsidRPr="00E07C9A" w:rsidRDefault="00125707" w:rsidP="00487A02">
      <w:pPr>
        <w:pStyle w:val="InstructionsText2"/>
        <w:numPr>
          <w:ilvl w:val="0"/>
          <w:numId w:val="0"/>
        </w:numPr>
        <w:ind w:left="1353" w:hanging="360"/>
      </w:pPr>
      <w:r w:rsidRPr="00E07C9A">
        <w:t>a)</w:t>
      </w:r>
      <w:r w:rsidRPr="00E07C9A">
        <w:tab/>
        <w:t>„zaúčtované prvýkrát“ počas referenčného obdobia vykazovania; alebo</w:t>
      </w:r>
    </w:p>
    <w:p w14:paraId="0D60A55D" w14:textId="7D5E5DC2" w:rsidR="00FD54FC" w:rsidRPr="00E07C9A" w:rsidRDefault="00125707" w:rsidP="00487A02">
      <w:pPr>
        <w:pStyle w:val="InstructionsText2"/>
        <w:numPr>
          <w:ilvl w:val="0"/>
          <w:numId w:val="0"/>
        </w:numPr>
        <w:ind w:left="1353" w:hanging="360"/>
      </w:pPr>
      <w:r w:rsidRPr="00E07C9A">
        <w:t>b)</w:t>
      </w:r>
      <w:r w:rsidRPr="00E07C9A">
        <w:tab/>
        <w:t>„zaúčtované prvýkrát“ počas predchádzajúceho referenčného obdobia vykazovania, ak stratová udalosť nebola zahrnutá</w:t>
      </w:r>
      <w:r w:rsidR="009912F8" w:rsidRPr="00E07C9A">
        <w:t xml:space="preserve"> v </w:t>
      </w:r>
      <w:r w:rsidRPr="00E07C9A">
        <w:t>žiadnej predchádzajúcej správe orgánom dohľadu, napr. preto, že bola identifikovaná ako stratová udalosť operačného rizika len</w:t>
      </w:r>
      <w:r w:rsidR="009912F8" w:rsidRPr="00E07C9A">
        <w:t xml:space="preserve"> v </w:t>
      </w:r>
      <w:r w:rsidRPr="00E07C9A">
        <w:t>súčasnom referenčnom období vykazovania alebo preto, že akumulovaná strata pripísateľná danej stratovej udalosti (t. j. pôvodná strata plus/mínus všetky stratové úpravy vykonané</w:t>
      </w:r>
      <w:r w:rsidR="009912F8" w:rsidRPr="00E07C9A">
        <w:t xml:space="preserve"> v </w:t>
      </w:r>
      <w:r w:rsidRPr="00E07C9A">
        <w:t>predchádzajúcich referenčných obdobiach vykazovania) presiahla prahovú hodnotu pre zber interných údajov iba</w:t>
      </w:r>
      <w:r w:rsidR="009912F8" w:rsidRPr="00E07C9A">
        <w:t xml:space="preserve"> v </w:t>
      </w:r>
      <w:r w:rsidRPr="00E07C9A">
        <w:t>súčasnom referenčnom období vykazovania.</w:t>
      </w:r>
    </w:p>
    <w:p w14:paraId="4FB49E60" w14:textId="3E7373F6" w:rsidR="00F41508" w:rsidRPr="00E07C9A" w:rsidRDefault="002A18DE" w:rsidP="00487A02">
      <w:pPr>
        <w:pStyle w:val="InstructionsText2"/>
        <w:numPr>
          <w:ilvl w:val="0"/>
          <w:numId w:val="0"/>
        </w:numPr>
        <w:ind w:left="1353" w:hanging="360"/>
      </w:pPr>
      <w:fldSimple w:instr=" seq paragraphs ">
        <w:r w:rsidR="00132AEE">
          <w:rPr>
            <w:noProof/>
          </w:rPr>
          <w:t>157</w:t>
        </w:r>
      </w:fldSimple>
      <w:r w:rsidR="00C3070C" w:rsidRPr="00E07C9A">
        <w:t>. Vykazujú sa iba stratové udalosti,</w:t>
      </w:r>
      <w:r w:rsidR="009912F8" w:rsidRPr="00E07C9A">
        <w:t xml:space="preserve"> v </w:t>
      </w:r>
      <w:r w:rsidR="00C3070C" w:rsidRPr="00E07C9A">
        <w:t>prípade ktorých je výška hrubej straty 100 000 EUR alebo viac.</w:t>
      </w:r>
    </w:p>
    <w:p w14:paraId="5F2CAE8D" w14:textId="77777777" w:rsidR="00FD54FC" w:rsidRPr="00E07C9A" w:rsidRDefault="00FD54FC" w:rsidP="00487A02">
      <w:pPr>
        <w:pStyle w:val="InstructionsText2"/>
        <w:numPr>
          <w:ilvl w:val="0"/>
          <w:numId w:val="0"/>
        </w:numPr>
        <w:ind w:left="1353" w:hanging="360"/>
      </w:pPr>
      <w:r w:rsidRPr="00E07C9A">
        <w:t>Uvedená prahová hodnota sa vzťahuje na:</w:t>
      </w:r>
    </w:p>
    <w:p w14:paraId="503143B8" w14:textId="1D0A0564" w:rsidR="00FD54FC" w:rsidRPr="00E07C9A" w:rsidRDefault="00125707" w:rsidP="00487A02">
      <w:pPr>
        <w:pStyle w:val="InstructionsText2"/>
        <w:numPr>
          <w:ilvl w:val="0"/>
          <w:numId w:val="0"/>
        </w:numPr>
        <w:ind w:left="1353" w:hanging="360"/>
      </w:pPr>
      <w:r w:rsidRPr="00E07C9A">
        <w:t>a)</w:t>
      </w:r>
      <w:r w:rsidRPr="00E07C9A">
        <w:tab/>
        <w:t>najväčšiu udalosť za každý druh udalosti za predpokladu, že inštitúcia identifikovala druhy udalostí pre straty; a</w:t>
      </w:r>
    </w:p>
    <w:p w14:paraId="0CFFC449" w14:textId="79302BFE" w:rsidR="00FD54FC" w:rsidRPr="00E07C9A" w:rsidRDefault="00125707" w:rsidP="00487A02">
      <w:pPr>
        <w:pStyle w:val="InstructionsText2"/>
        <w:numPr>
          <w:ilvl w:val="0"/>
          <w:numId w:val="0"/>
        </w:numPr>
        <w:ind w:left="1353" w:hanging="360"/>
      </w:pPr>
      <w:r w:rsidRPr="00E07C9A">
        <w:t>b)</w:t>
      </w:r>
      <w:r w:rsidRPr="00E07C9A">
        <w:tab/>
        <w:t>do tohto vzoru sa zahŕňa aspoň desať najväčších zostávajúcich udalostí, či už</w:t>
      </w:r>
      <w:r w:rsidR="009912F8" w:rsidRPr="00E07C9A">
        <w:t xml:space="preserve"> s </w:t>
      </w:r>
      <w:r w:rsidRPr="00E07C9A">
        <w:t>identifikovaným druhom udalosti alebo bez neho, podľa výšky hrubej straty.</w:t>
      </w:r>
    </w:p>
    <w:p w14:paraId="4B19E136" w14:textId="77777777" w:rsidR="00FD54FC" w:rsidRPr="00E07C9A" w:rsidRDefault="00125707" w:rsidP="00487A02">
      <w:pPr>
        <w:pStyle w:val="InstructionsText2"/>
        <w:numPr>
          <w:ilvl w:val="0"/>
          <w:numId w:val="0"/>
        </w:numPr>
        <w:ind w:left="1353" w:hanging="360"/>
      </w:pPr>
      <w:r w:rsidRPr="00E07C9A">
        <w:t>c)</w:t>
      </w:r>
      <w:r w:rsidRPr="00E07C9A">
        <w:tab/>
        <w:t>Stratové udalosti sú zoradené na základe hrubej straty, ktorá im bola pripísaná.</w:t>
      </w:r>
    </w:p>
    <w:p w14:paraId="3AE1B367" w14:textId="77777777" w:rsidR="00FD54FC" w:rsidRPr="00E07C9A" w:rsidRDefault="00125707" w:rsidP="00487A02">
      <w:pPr>
        <w:pStyle w:val="InstructionsText2"/>
        <w:numPr>
          <w:ilvl w:val="0"/>
          <w:numId w:val="0"/>
        </w:numPr>
        <w:ind w:left="1353" w:hanging="360"/>
      </w:pPr>
      <w:r w:rsidRPr="00E07C9A">
        <w:t>d)</w:t>
      </w:r>
      <w:r w:rsidRPr="00E07C9A">
        <w:tab/>
        <w:t>Stratová udalosť sa zohľadňuje len raz.</w:t>
      </w:r>
    </w:p>
    <w:p w14:paraId="7FAC47A3" w14:textId="3107F2F3" w:rsidR="00FD54FC" w:rsidRPr="00E07C9A" w:rsidRDefault="00125707" w:rsidP="0023700C">
      <w:pPr>
        <w:pStyle w:val="Instructionsberschrift2"/>
        <w:numPr>
          <w:ilvl w:val="0"/>
          <w:numId w:val="0"/>
        </w:numPr>
        <w:ind w:left="357" w:hanging="357"/>
        <w:rPr>
          <w:rFonts w:ascii="Times New Roman" w:hAnsi="Times New Roman" w:cs="Times New Roman"/>
          <w:sz w:val="24"/>
        </w:rPr>
      </w:pPr>
      <w:bookmarkStart w:id="590" w:name="_Toc473561030"/>
      <w:bookmarkStart w:id="591" w:name="_Toc115857874"/>
      <w:r w:rsidRPr="00E07C9A">
        <w:rPr>
          <w:rFonts w:ascii="Times New Roman" w:hAnsi="Times New Roman" w:cs="Times New Roman"/>
          <w:sz w:val="24"/>
          <w:u w:val="none"/>
        </w:rPr>
        <w:t>4.2.3.2.</w:t>
      </w:r>
      <w:r w:rsidRPr="00E07C9A">
        <w:rPr>
          <w:rFonts w:ascii="Times New Roman" w:hAnsi="Times New Roman" w:cs="Times New Roman"/>
          <w:u w:val="none"/>
        </w:rPr>
        <w:tab/>
      </w:r>
      <w:r w:rsidRPr="00E07C9A">
        <w:rPr>
          <w:rFonts w:ascii="Times New Roman" w:hAnsi="Times New Roman" w:cs="Times New Roman"/>
          <w:sz w:val="24"/>
        </w:rPr>
        <w:t>Pokyny týkajúce sa konkrétnych pozícií</w:t>
      </w:r>
      <w:bookmarkEnd w:id="590"/>
      <w:bookmarkEnd w:id="591"/>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E07C9A" w14:paraId="6CFCB957" w14:textId="77777777" w:rsidTr="006418A0">
        <w:tc>
          <w:tcPr>
            <w:tcW w:w="9062" w:type="dxa"/>
            <w:gridSpan w:val="2"/>
            <w:shd w:val="clear" w:color="auto" w:fill="BFBFBF"/>
          </w:tcPr>
          <w:p w14:paraId="0F453486" w14:textId="77777777" w:rsidR="00FD54FC" w:rsidRPr="00E07C9A" w:rsidRDefault="00FD54FC" w:rsidP="00FD54FC">
            <w:pPr>
              <w:rPr>
                <w:rFonts w:ascii="Times New Roman" w:hAnsi="Times New Roman"/>
                <w:sz w:val="24"/>
              </w:rPr>
            </w:pPr>
            <w:r w:rsidRPr="00E07C9A">
              <w:rPr>
                <w:rFonts w:ascii="Times New Roman" w:hAnsi="Times New Roman"/>
                <w:b/>
                <w:sz w:val="24"/>
              </w:rPr>
              <w:t>Stĺpce</w:t>
            </w:r>
          </w:p>
        </w:tc>
      </w:tr>
      <w:tr w:rsidR="00FD54FC" w:rsidRPr="00E07C9A" w14:paraId="49D115B7" w14:textId="77777777" w:rsidTr="006418A0">
        <w:tc>
          <w:tcPr>
            <w:tcW w:w="951" w:type="dxa"/>
            <w:shd w:val="clear" w:color="auto" w:fill="auto"/>
          </w:tcPr>
          <w:p w14:paraId="365F3571" w14:textId="77777777" w:rsidR="00FD54FC" w:rsidRPr="00E07C9A" w:rsidRDefault="00C93FC2" w:rsidP="00FD54FC">
            <w:pPr>
              <w:rPr>
                <w:rFonts w:ascii="Times New Roman" w:hAnsi="Times New Roman"/>
                <w:sz w:val="24"/>
              </w:rPr>
            </w:pPr>
            <w:r w:rsidRPr="00E07C9A">
              <w:rPr>
                <w:rFonts w:ascii="Times New Roman" w:hAnsi="Times New Roman"/>
                <w:sz w:val="24"/>
              </w:rPr>
              <w:t>0010</w:t>
            </w:r>
          </w:p>
        </w:tc>
        <w:tc>
          <w:tcPr>
            <w:tcW w:w="8111" w:type="dxa"/>
            <w:shd w:val="clear" w:color="auto" w:fill="auto"/>
          </w:tcPr>
          <w:p w14:paraId="7D920D2F" w14:textId="77777777" w:rsidR="00FD54FC" w:rsidRPr="00E07C9A" w:rsidRDefault="00FD54FC" w:rsidP="00FD54FC">
            <w:pPr>
              <w:rPr>
                <w:rFonts w:ascii="Times New Roman" w:hAnsi="Times New Roman"/>
                <w:sz w:val="24"/>
              </w:rPr>
            </w:pPr>
            <w:r w:rsidRPr="00E07C9A">
              <w:rPr>
                <w:rStyle w:val="InstructionsTabelleberschrift"/>
                <w:rFonts w:ascii="Times New Roman" w:hAnsi="Times New Roman"/>
                <w:sz w:val="24"/>
              </w:rPr>
              <w:t>Identifikačný kód udalosti</w:t>
            </w:r>
          </w:p>
          <w:p w14:paraId="5691FB8D" w14:textId="7A510504" w:rsidR="009912F8" w:rsidRPr="00E07C9A" w:rsidRDefault="00FD54FC" w:rsidP="00FD54FC">
            <w:pPr>
              <w:rPr>
                <w:rFonts w:ascii="Times New Roman" w:hAnsi="Times New Roman"/>
                <w:sz w:val="24"/>
              </w:rPr>
            </w:pPr>
            <w:r w:rsidRPr="00E07C9A">
              <w:rPr>
                <w:rFonts w:ascii="Times New Roman" w:hAnsi="Times New Roman"/>
                <w:sz w:val="24"/>
              </w:rPr>
              <w:t>Identifikačný kód udalosti je identifikátorom riadku</w:t>
            </w:r>
            <w:r w:rsidR="009912F8" w:rsidRPr="00E07C9A">
              <w:rPr>
                <w:rFonts w:ascii="Times New Roman" w:hAnsi="Times New Roman"/>
                <w:sz w:val="24"/>
              </w:rPr>
              <w:t xml:space="preserve"> a </w:t>
            </w:r>
            <w:r w:rsidRPr="00E07C9A">
              <w:rPr>
                <w:rFonts w:ascii="Times New Roman" w:hAnsi="Times New Roman"/>
                <w:sz w:val="24"/>
              </w:rPr>
              <w:t>musí byť pre každý riadok vzoru jedinečný</w:t>
            </w:r>
            <w:r w:rsidR="009912F8" w:rsidRPr="00E07C9A">
              <w:rPr>
                <w:rFonts w:ascii="Times New Roman" w:hAnsi="Times New Roman"/>
                <w:sz w:val="24"/>
              </w:rPr>
              <w:t>.</w:t>
            </w:r>
          </w:p>
          <w:p w14:paraId="0801D83B" w14:textId="1638F93E" w:rsidR="00FD54FC" w:rsidRPr="00E07C9A" w:rsidRDefault="00FD54FC" w:rsidP="00FD54FC">
            <w:pPr>
              <w:rPr>
                <w:rFonts w:ascii="Times New Roman" w:hAnsi="Times New Roman"/>
                <w:sz w:val="24"/>
              </w:rPr>
            </w:pPr>
            <w:r w:rsidRPr="00E07C9A">
              <w:rPr>
                <w:rFonts w:ascii="Times New Roman" w:hAnsi="Times New Roman"/>
                <w:sz w:val="24"/>
              </w:rPr>
              <w:t>Keď je dostupný interný identifikačný kód, inštitúcie poskytnú interný identifikačný kód.</w:t>
            </w:r>
            <w:r w:rsidR="009912F8" w:rsidRPr="00E07C9A">
              <w:rPr>
                <w:rFonts w:ascii="Times New Roman" w:hAnsi="Times New Roman"/>
                <w:sz w:val="24"/>
              </w:rPr>
              <w:t xml:space="preserve"> V </w:t>
            </w:r>
            <w:r w:rsidRPr="00E07C9A">
              <w:rPr>
                <w:rFonts w:ascii="Times New Roman" w:hAnsi="Times New Roman"/>
                <w:sz w:val="24"/>
              </w:rPr>
              <w:t>opačnom prípade sa vykázaný identifikačný kód riadi číselným poradím 1, 2, 3 atď.</w:t>
            </w:r>
          </w:p>
        </w:tc>
      </w:tr>
      <w:tr w:rsidR="00FD54FC" w:rsidRPr="00E07C9A" w14:paraId="2576979E" w14:textId="77777777" w:rsidTr="006418A0">
        <w:tc>
          <w:tcPr>
            <w:tcW w:w="951" w:type="dxa"/>
            <w:shd w:val="clear" w:color="auto" w:fill="auto"/>
          </w:tcPr>
          <w:p w14:paraId="753AF5DA" w14:textId="77777777" w:rsidR="00FD54FC" w:rsidRPr="00E07C9A" w:rsidRDefault="00C93FC2" w:rsidP="00FD54FC">
            <w:pPr>
              <w:rPr>
                <w:rFonts w:ascii="Times New Roman" w:hAnsi="Times New Roman"/>
                <w:sz w:val="24"/>
              </w:rPr>
            </w:pPr>
            <w:r w:rsidRPr="00E07C9A">
              <w:rPr>
                <w:rFonts w:ascii="Times New Roman" w:hAnsi="Times New Roman"/>
                <w:sz w:val="24"/>
              </w:rPr>
              <w:t>0020</w:t>
            </w:r>
          </w:p>
        </w:tc>
        <w:tc>
          <w:tcPr>
            <w:tcW w:w="8111" w:type="dxa"/>
            <w:shd w:val="clear" w:color="auto" w:fill="auto"/>
          </w:tcPr>
          <w:p w14:paraId="71F6AD5E" w14:textId="77777777" w:rsidR="00FD54FC" w:rsidRPr="00E07C9A" w:rsidRDefault="00FD54FC" w:rsidP="00FD54FC">
            <w:pPr>
              <w:rPr>
                <w:rStyle w:val="InstructionsTabelleberschrift"/>
                <w:rFonts w:ascii="Times New Roman" w:hAnsi="Times New Roman"/>
                <w:sz w:val="24"/>
              </w:rPr>
            </w:pPr>
            <w:r w:rsidRPr="00E07C9A">
              <w:rPr>
                <w:rStyle w:val="InstructionsTabelleberschrift"/>
                <w:rFonts w:ascii="Times New Roman" w:hAnsi="Times New Roman"/>
                <w:sz w:val="24"/>
              </w:rPr>
              <w:t>Dátum zaúčtovania</w:t>
            </w:r>
          </w:p>
          <w:p w14:paraId="1F65F50C" w14:textId="0A4E1305" w:rsidR="00FD54FC" w:rsidRPr="00E07C9A" w:rsidRDefault="00FD54FC" w:rsidP="00C7103D">
            <w:pPr>
              <w:rPr>
                <w:rFonts w:ascii="Times New Roman" w:hAnsi="Times New Roman"/>
                <w:sz w:val="24"/>
              </w:rPr>
            </w:pPr>
            <w:r w:rsidRPr="00E07C9A">
              <w:rPr>
                <w:rFonts w:ascii="Times New Roman" w:hAnsi="Times New Roman"/>
                <w:sz w:val="24"/>
              </w:rPr>
              <w:t>Dátum zaúčtovania je dátum, keď bola strata alebo rezerva na straty</w:t>
            </w:r>
            <w:r w:rsidR="009912F8" w:rsidRPr="00E07C9A">
              <w:rPr>
                <w:rFonts w:ascii="Times New Roman" w:hAnsi="Times New Roman"/>
                <w:sz w:val="24"/>
              </w:rPr>
              <w:t xml:space="preserve"> z </w:t>
            </w:r>
            <w:r w:rsidRPr="00E07C9A">
              <w:rPr>
                <w:rFonts w:ascii="Times New Roman" w:hAnsi="Times New Roman"/>
                <w:sz w:val="24"/>
              </w:rPr>
              <w:t>operačného rizika prvýkrát vykázaná vo výkaze ziskov</w:t>
            </w:r>
            <w:r w:rsidR="009912F8" w:rsidRPr="00E07C9A">
              <w:rPr>
                <w:rFonts w:ascii="Times New Roman" w:hAnsi="Times New Roman"/>
                <w:sz w:val="24"/>
              </w:rPr>
              <w:t xml:space="preserve"> a </w:t>
            </w:r>
            <w:r w:rsidRPr="00E07C9A">
              <w:rPr>
                <w:rFonts w:ascii="Times New Roman" w:hAnsi="Times New Roman"/>
                <w:sz w:val="24"/>
              </w:rPr>
              <w:t xml:space="preserve">strát. </w:t>
            </w:r>
          </w:p>
        </w:tc>
      </w:tr>
      <w:tr w:rsidR="00FD54FC" w:rsidRPr="00E07C9A" w14:paraId="58A95795" w14:textId="77777777" w:rsidTr="006418A0">
        <w:tc>
          <w:tcPr>
            <w:tcW w:w="951" w:type="dxa"/>
            <w:shd w:val="clear" w:color="auto" w:fill="auto"/>
          </w:tcPr>
          <w:p w14:paraId="51A33C19" w14:textId="77777777" w:rsidR="00FD54FC" w:rsidRPr="00E07C9A" w:rsidRDefault="00C93FC2" w:rsidP="00FD54FC">
            <w:pPr>
              <w:rPr>
                <w:rFonts w:ascii="Times New Roman" w:hAnsi="Times New Roman"/>
                <w:sz w:val="24"/>
              </w:rPr>
            </w:pPr>
            <w:r w:rsidRPr="00E07C9A">
              <w:rPr>
                <w:rFonts w:ascii="Times New Roman" w:hAnsi="Times New Roman"/>
                <w:sz w:val="24"/>
              </w:rPr>
              <w:t>0030</w:t>
            </w:r>
          </w:p>
        </w:tc>
        <w:tc>
          <w:tcPr>
            <w:tcW w:w="8111" w:type="dxa"/>
            <w:shd w:val="clear" w:color="auto" w:fill="auto"/>
          </w:tcPr>
          <w:p w14:paraId="7E4571A8" w14:textId="77777777" w:rsidR="00FD54FC" w:rsidRPr="00E07C9A" w:rsidRDefault="00FD54FC" w:rsidP="00FD54FC">
            <w:pPr>
              <w:rPr>
                <w:rStyle w:val="InstructionsTabelleberschrift"/>
                <w:rFonts w:ascii="Times New Roman" w:hAnsi="Times New Roman"/>
                <w:sz w:val="24"/>
              </w:rPr>
            </w:pPr>
            <w:r w:rsidRPr="00E07C9A">
              <w:rPr>
                <w:rStyle w:val="InstructionsTabelleberschrift"/>
                <w:rFonts w:ascii="Times New Roman" w:hAnsi="Times New Roman"/>
                <w:sz w:val="24"/>
              </w:rPr>
              <w:t>Dátum výskytu udalosti</w:t>
            </w:r>
          </w:p>
          <w:p w14:paraId="49262D6C" w14:textId="77777777" w:rsidR="00FD54FC" w:rsidRPr="00E07C9A" w:rsidRDefault="00FD54FC" w:rsidP="00871877">
            <w:pPr>
              <w:rPr>
                <w:rFonts w:ascii="Times New Roman" w:hAnsi="Times New Roman"/>
                <w:sz w:val="24"/>
              </w:rPr>
            </w:pPr>
            <w:r w:rsidRPr="00E07C9A">
              <w:rPr>
                <w:rFonts w:ascii="Times New Roman" w:hAnsi="Times New Roman"/>
                <w:sz w:val="24"/>
              </w:rPr>
              <w:t>Dátum výskytu udalosti je dátum, kedy nastala alebo sa prvýkrát začala stratová udalosť operačného rizika.</w:t>
            </w:r>
          </w:p>
        </w:tc>
      </w:tr>
      <w:tr w:rsidR="00FD54FC" w:rsidRPr="00E07C9A" w14:paraId="1D001D6C" w14:textId="77777777" w:rsidTr="006418A0">
        <w:tc>
          <w:tcPr>
            <w:tcW w:w="951" w:type="dxa"/>
            <w:shd w:val="clear" w:color="auto" w:fill="auto"/>
          </w:tcPr>
          <w:p w14:paraId="7391D6AD" w14:textId="77777777" w:rsidR="00FD54FC" w:rsidRPr="00E07C9A" w:rsidRDefault="00C93FC2" w:rsidP="00FD54FC">
            <w:pPr>
              <w:rPr>
                <w:rFonts w:ascii="Times New Roman" w:hAnsi="Times New Roman"/>
                <w:sz w:val="24"/>
              </w:rPr>
            </w:pPr>
            <w:r w:rsidRPr="00E07C9A">
              <w:rPr>
                <w:rFonts w:ascii="Times New Roman" w:hAnsi="Times New Roman"/>
                <w:sz w:val="24"/>
              </w:rPr>
              <w:t>0040</w:t>
            </w:r>
          </w:p>
        </w:tc>
        <w:tc>
          <w:tcPr>
            <w:tcW w:w="8111" w:type="dxa"/>
            <w:shd w:val="clear" w:color="auto" w:fill="auto"/>
          </w:tcPr>
          <w:p w14:paraId="3CE5AC19" w14:textId="77777777" w:rsidR="00FD54FC" w:rsidRPr="00E07C9A" w:rsidRDefault="00FD54FC" w:rsidP="00FD54FC">
            <w:pPr>
              <w:rPr>
                <w:rStyle w:val="InstructionsTabelleberschrift"/>
                <w:rFonts w:ascii="Times New Roman" w:hAnsi="Times New Roman"/>
                <w:sz w:val="24"/>
              </w:rPr>
            </w:pPr>
            <w:r w:rsidRPr="00E07C9A">
              <w:rPr>
                <w:rStyle w:val="InstructionsTabelleberschrift"/>
                <w:rFonts w:ascii="Times New Roman" w:hAnsi="Times New Roman"/>
                <w:sz w:val="24"/>
              </w:rPr>
              <w:t>Dátum zistenia</w:t>
            </w:r>
          </w:p>
          <w:p w14:paraId="520821A8" w14:textId="49850094" w:rsidR="00FD54FC" w:rsidRPr="00E07C9A" w:rsidRDefault="00FD54FC" w:rsidP="00FD54FC">
            <w:pPr>
              <w:rPr>
                <w:rFonts w:ascii="Times New Roman" w:hAnsi="Times New Roman"/>
                <w:sz w:val="24"/>
              </w:rPr>
            </w:pPr>
            <w:r w:rsidRPr="00E07C9A">
              <w:rPr>
                <w:rFonts w:ascii="Times New Roman" w:hAnsi="Times New Roman"/>
                <w:sz w:val="24"/>
              </w:rPr>
              <w:t>Dátum zistenia je dátum, keď sa inštitúcia dozvedela</w:t>
            </w:r>
            <w:r w:rsidR="009912F8" w:rsidRPr="00E07C9A">
              <w:rPr>
                <w:rFonts w:ascii="Times New Roman" w:hAnsi="Times New Roman"/>
                <w:sz w:val="24"/>
              </w:rPr>
              <w:t xml:space="preserve"> o </w:t>
            </w:r>
            <w:r w:rsidRPr="00E07C9A">
              <w:rPr>
                <w:rFonts w:ascii="Times New Roman" w:hAnsi="Times New Roman"/>
                <w:sz w:val="24"/>
              </w:rPr>
              <w:t>stratovej udalosti operačného rizika.</w:t>
            </w:r>
          </w:p>
        </w:tc>
      </w:tr>
      <w:tr w:rsidR="00FD54FC" w:rsidRPr="00E07C9A" w14:paraId="76851195" w14:textId="77777777" w:rsidTr="006418A0">
        <w:tc>
          <w:tcPr>
            <w:tcW w:w="951" w:type="dxa"/>
            <w:shd w:val="clear" w:color="auto" w:fill="auto"/>
          </w:tcPr>
          <w:p w14:paraId="28758796" w14:textId="77777777" w:rsidR="00FD54FC" w:rsidRPr="00E07C9A" w:rsidRDefault="00C93FC2" w:rsidP="00FD54FC">
            <w:pPr>
              <w:rPr>
                <w:rFonts w:ascii="Times New Roman" w:hAnsi="Times New Roman"/>
                <w:sz w:val="24"/>
              </w:rPr>
            </w:pPr>
            <w:r w:rsidRPr="00E07C9A">
              <w:rPr>
                <w:rFonts w:ascii="Times New Roman" w:hAnsi="Times New Roman"/>
                <w:sz w:val="24"/>
              </w:rPr>
              <w:t>0050</w:t>
            </w:r>
          </w:p>
        </w:tc>
        <w:tc>
          <w:tcPr>
            <w:tcW w:w="8111" w:type="dxa"/>
            <w:shd w:val="clear" w:color="auto" w:fill="auto"/>
          </w:tcPr>
          <w:p w14:paraId="3FDF46AE" w14:textId="77777777" w:rsidR="00FD54FC" w:rsidRPr="00E07C9A" w:rsidRDefault="00F41508" w:rsidP="00FD54FC">
            <w:pPr>
              <w:rPr>
                <w:rStyle w:val="InstructionsTabelleberschrift"/>
                <w:rFonts w:ascii="Times New Roman" w:hAnsi="Times New Roman"/>
                <w:sz w:val="24"/>
              </w:rPr>
            </w:pPr>
            <w:r w:rsidRPr="00E07C9A">
              <w:rPr>
                <w:rStyle w:val="InstructionsTabelleberschrift"/>
                <w:rFonts w:ascii="Times New Roman" w:hAnsi="Times New Roman"/>
                <w:sz w:val="24"/>
              </w:rPr>
              <w:t>Druhy stratových udalostí</w:t>
            </w:r>
          </w:p>
          <w:p w14:paraId="73A75C19" w14:textId="1AF80563" w:rsidR="00FD54FC" w:rsidRPr="00E07C9A" w:rsidRDefault="00F41508" w:rsidP="00EB6FC2">
            <w:pPr>
              <w:rPr>
                <w:rFonts w:ascii="Times New Roman" w:hAnsi="Times New Roman"/>
                <w:sz w:val="24"/>
              </w:rPr>
            </w:pPr>
            <w:r w:rsidRPr="00E07C9A">
              <w:rPr>
                <w:rFonts w:ascii="Times New Roman" w:hAnsi="Times New Roman"/>
                <w:sz w:val="24"/>
              </w:rPr>
              <w:t xml:space="preserve">Druhy stratových udalostí podľa článku 324 nariadenia (EÚ) </w:t>
            </w:r>
            <w:r w:rsidR="009912F8" w:rsidRPr="00E07C9A">
              <w:rPr>
                <w:rFonts w:ascii="Times New Roman" w:hAnsi="Times New Roman"/>
                <w:sz w:val="24"/>
              </w:rPr>
              <w:t>č. 575/2013</w:t>
            </w:r>
            <w:r w:rsidRPr="00E07C9A">
              <w:rPr>
                <w:rFonts w:ascii="Times New Roman" w:hAnsi="Times New Roman"/>
                <w:sz w:val="24"/>
              </w:rPr>
              <w:t>.</w:t>
            </w:r>
          </w:p>
        </w:tc>
      </w:tr>
      <w:tr w:rsidR="00FD54FC" w:rsidRPr="00E07C9A" w14:paraId="69DCDE9E" w14:textId="77777777" w:rsidTr="006418A0">
        <w:tc>
          <w:tcPr>
            <w:tcW w:w="951" w:type="dxa"/>
            <w:shd w:val="clear" w:color="auto" w:fill="auto"/>
          </w:tcPr>
          <w:p w14:paraId="6A006D8C" w14:textId="77777777" w:rsidR="00FD54FC" w:rsidRPr="00E07C9A" w:rsidRDefault="00C93FC2" w:rsidP="00FD54FC">
            <w:pPr>
              <w:rPr>
                <w:rFonts w:ascii="Times New Roman" w:hAnsi="Times New Roman"/>
                <w:sz w:val="24"/>
              </w:rPr>
            </w:pPr>
            <w:r w:rsidRPr="00E07C9A">
              <w:rPr>
                <w:rFonts w:ascii="Times New Roman" w:hAnsi="Times New Roman"/>
                <w:sz w:val="24"/>
              </w:rPr>
              <w:t>0060</w:t>
            </w:r>
          </w:p>
        </w:tc>
        <w:tc>
          <w:tcPr>
            <w:tcW w:w="8111" w:type="dxa"/>
            <w:shd w:val="clear" w:color="auto" w:fill="auto"/>
          </w:tcPr>
          <w:p w14:paraId="2D778DC5" w14:textId="77777777" w:rsidR="00FD54FC" w:rsidRPr="00E07C9A" w:rsidRDefault="00FD54FC" w:rsidP="00FD54FC">
            <w:pPr>
              <w:rPr>
                <w:rStyle w:val="InstructionsTabelleberschrift"/>
                <w:rFonts w:ascii="Times New Roman" w:hAnsi="Times New Roman"/>
                <w:sz w:val="24"/>
              </w:rPr>
            </w:pPr>
            <w:r w:rsidRPr="00E07C9A">
              <w:rPr>
                <w:rStyle w:val="InstructionsTabelleberschrift"/>
                <w:rFonts w:ascii="Times New Roman" w:hAnsi="Times New Roman"/>
                <w:sz w:val="24"/>
              </w:rPr>
              <w:t>Hrubá strata</w:t>
            </w:r>
          </w:p>
          <w:p w14:paraId="5E868659" w14:textId="12067691" w:rsidR="00FD54FC" w:rsidRPr="00E07C9A" w:rsidRDefault="00FD54FC" w:rsidP="0023276A">
            <w:pPr>
              <w:rPr>
                <w:rFonts w:ascii="Times New Roman" w:hAnsi="Times New Roman"/>
                <w:sz w:val="24"/>
              </w:rPr>
            </w:pPr>
            <w:r w:rsidRPr="00E07C9A">
              <w:rPr>
                <w:rFonts w:ascii="Times New Roman" w:hAnsi="Times New Roman"/>
                <w:sz w:val="24"/>
              </w:rPr>
              <w:t>Hrubá strata súvisiaca so stratovou udalosťou vykázaná</w:t>
            </w:r>
            <w:r w:rsidR="009912F8" w:rsidRPr="00E07C9A">
              <w:rPr>
                <w:rFonts w:ascii="Times New Roman" w:hAnsi="Times New Roman"/>
                <w:sz w:val="24"/>
              </w:rPr>
              <w:t xml:space="preserve"> v </w:t>
            </w:r>
            <w:r w:rsidRPr="00E07C9A">
              <w:rPr>
                <w:rFonts w:ascii="Times New Roman" w:hAnsi="Times New Roman"/>
                <w:sz w:val="24"/>
              </w:rPr>
              <w:t>riadkoch 0020, 0120 atď. vzoru C 17.01.</w:t>
            </w:r>
          </w:p>
        </w:tc>
      </w:tr>
      <w:tr w:rsidR="00FD54FC" w:rsidRPr="00E07C9A" w14:paraId="0E4E70D6" w14:textId="77777777" w:rsidTr="006418A0">
        <w:tc>
          <w:tcPr>
            <w:tcW w:w="951" w:type="dxa"/>
            <w:shd w:val="clear" w:color="auto" w:fill="auto"/>
          </w:tcPr>
          <w:p w14:paraId="59554EE1" w14:textId="77777777" w:rsidR="00FD54FC" w:rsidRPr="00E07C9A" w:rsidRDefault="00C93FC2" w:rsidP="00FD54FC">
            <w:pPr>
              <w:rPr>
                <w:rFonts w:ascii="Times New Roman" w:hAnsi="Times New Roman"/>
                <w:sz w:val="24"/>
              </w:rPr>
            </w:pPr>
            <w:r w:rsidRPr="00E07C9A">
              <w:rPr>
                <w:rFonts w:ascii="Times New Roman" w:hAnsi="Times New Roman"/>
                <w:sz w:val="24"/>
              </w:rPr>
              <w:t>0070</w:t>
            </w:r>
          </w:p>
        </w:tc>
        <w:tc>
          <w:tcPr>
            <w:tcW w:w="8111" w:type="dxa"/>
            <w:shd w:val="clear" w:color="auto" w:fill="auto"/>
          </w:tcPr>
          <w:p w14:paraId="38BFF4C4" w14:textId="77777777" w:rsidR="00FD54FC" w:rsidRPr="00E07C9A" w:rsidRDefault="00FD54FC" w:rsidP="00FD54FC">
            <w:pPr>
              <w:rPr>
                <w:rStyle w:val="InstructionsTabelleberschrift"/>
                <w:rFonts w:ascii="Times New Roman" w:hAnsi="Times New Roman"/>
                <w:sz w:val="24"/>
              </w:rPr>
            </w:pPr>
            <w:r w:rsidRPr="00E07C9A">
              <w:rPr>
                <w:rStyle w:val="InstructionsTabelleberschrift"/>
                <w:rFonts w:ascii="Times New Roman" w:hAnsi="Times New Roman"/>
                <w:sz w:val="24"/>
              </w:rPr>
              <w:t>Hrubá strata po odpočítaní priamych náhrad</w:t>
            </w:r>
          </w:p>
          <w:p w14:paraId="371DD3AD" w14:textId="0852EEC4" w:rsidR="00FD54FC" w:rsidRPr="00E07C9A" w:rsidRDefault="00FD54FC" w:rsidP="0023276A">
            <w:pPr>
              <w:rPr>
                <w:rFonts w:ascii="Times New Roman" w:hAnsi="Times New Roman"/>
                <w:sz w:val="24"/>
              </w:rPr>
            </w:pPr>
            <w:r w:rsidRPr="00E07C9A">
              <w:rPr>
                <w:rFonts w:ascii="Times New Roman" w:hAnsi="Times New Roman"/>
                <w:sz w:val="24"/>
              </w:rPr>
              <w:t>Hrubá strata súvisiaca so stratovou udalosťou vykázaná</w:t>
            </w:r>
            <w:r w:rsidR="009912F8" w:rsidRPr="00E07C9A">
              <w:rPr>
                <w:rFonts w:ascii="Times New Roman" w:hAnsi="Times New Roman"/>
                <w:sz w:val="24"/>
              </w:rPr>
              <w:t xml:space="preserve"> v </w:t>
            </w:r>
            <w:r w:rsidRPr="00E07C9A">
              <w:rPr>
                <w:rFonts w:ascii="Times New Roman" w:hAnsi="Times New Roman"/>
                <w:sz w:val="24"/>
              </w:rPr>
              <w:t>riadkoch 0020, 0120 atď. vzoru C 17.01 po odpočítaní priamych náhrad súvisiacich</w:t>
            </w:r>
            <w:r w:rsidR="009912F8" w:rsidRPr="00E07C9A">
              <w:rPr>
                <w:rFonts w:ascii="Times New Roman" w:hAnsi="Times New Roman"/>
                <w:sz w:val="24"/>
              </w:rPr>
              <w:t xml:space="preserve"> s </w:t>
            </w:r>
            <w:r w:rsidRPr="00E07C9A">
              <w:rPr>
                <w:rFonts w:ascii="Times New Roman" w:hAnsi="Times New Roman"/>
                <w:sz w:val="24"/>
              </w:rPr>
              <w:t>danou stratovou udalosťou.</w:t>
            </w:r>
          </w:p>
        </w:tc>
      </w:tr>
      <w:tr w:rsidR="00FD54FC" w:rsidRPr="00E07C9A" w14:paraId="00E3E0C2" w14:textId="77777777" w:rsidTr="006418A0">
        <w:tc>
          <w:tcPr>
            <w:tcW w:w="951" w:type="dxa"/>
            <w:shd w:val="clear" w:color="auto" w:fill="auto"/>
          </w:tcPr>
          <w:p w14:paraId="724B852D" w14:textId="77777777" w:rsidR="00FD54FC" w:rsidRPr="00E07C9A" w:rsidRDefault="00C93FC2" w:rsidP="00FD54FC">
            <w:pPr>
              <w:rPr>
                <w:rFonts w:ascii="Times New Roman" w:hAnsi="Times New Roman"/>
                <w:sz w:val="24"/>
              </w:rPr>
            </w:pPr>
            <w:r w:rsidRPr="00E07C9A">
              <w:rPr>
                <w:rFonts w:ascii="Times New Roman" w:hAnsi="Times New Roman"/>
                <w:sz w:val="24"/>
              </w:rPr>
              <w:t>0080 – 0160</w:t>
            </w:r>
          </w:p>
        </w:tc>
        <w:tc>
          <w:tcPr>
            <w:tcW w:w="8111" w:type="dxa"/>
            <w:shd w:val="clear" w:color="auto" w:fill="auto"/>
          </w:tcPr>
          <w:p w14:paraId="5640FB78" w14:textId="77777777" w:rsidR="00FD54FC" w:rsidRPr="00E07C9A" w:rsidRDefault="00FD54FC" w:rsidP="00FD54FC">
            <w:pPr>
              <w:rPr>
                <w:rStyle w:val="InstructionsTabelleberschrift"/>
                <w:rFonts w:ascii="Times New Roman" w:hAnsi="Times New Roman"/>
                <w:sz w:val="24"/>
              </w:rPr>
            </w:pPr>
            <w:r w:rsidRPr="00E07C9A">
              <w:rPr>
                <w:rStyle w:val="InstructionsTabelleberschrift"/>
                <w:rFonts w:ascii="Times New Roman" w:hAnsi="Times New Roman"/>
                <w:sz w:val="24"/>
              </w:rPr>
              <w:t>Hrubá strata podľa obchodnej línie</w:t>
            </w:r>
          </w:p>
          <w:p w14:paraId="15FC08A2" w14:textId="1070D53D" w:rsidR="00FD54FC" w:rsidRPr="00E07C9A" w:rsidRDefault="00FD54FC" w:rsidP="007062FD">
            <w:pPr>
              <w:rPr>
                <w:rFonts w:ascii="Times New Roman" w:hAnsi="Times New Roman"/>
                <w:sz w:val="24"/>
              </w:rPr>
            </w:pPr>
            <w:r w:rsidRPr="00E07C9A">
              <w:rPr>
                <w:rFonts w:ascii="Times New Roman" w:hAnsi="Times New Roman"/>
                <w:sz w:val="24"/>
              </w:rPr>
              <w:t>Hrubá strata, ako sa vykazuje</w:t>
            </w:r>
            <w:r w:rsidR="009912F8" w:rsidRPr="00E07C9A">
              <w:rPr>
                <w:rFonts w:ascii="Times New Roman" w:hAnsi="Times New Roman"/>
                <w:sz w:val="24"/>
              </w:rPr>
              <w:t xml:space="preserve"> v </w:t>
            </w:r>
            <w:r w:rsidRPr="00E07C9A">
              <w:rPr>
                <w:rFonts w:ascii="Times New Roman" w:hAnsi="Times New Roman"/>
                <w:sz w:val="24"/>
              </w:rPr>
              <w:t>stĺpci 0060, sa pridelí</w:t>
            </w:r>
            <w:r w:rsidR="009912F8" w:rsidRPr="00E07C9A">
              <w:rPr>
                <w:rFonts w:ascii="Times New Roman" w:hAnsi="Times New Roman"/>
                <w:sz w:val="24"/>
              </w:rPr>
              <w:t xml:space="preserve"> k </w:t>
            </w:r>
            <w:r w:rsidRPr="00E07C9A">
              <w:rPr>
                <w:rFonts w:ascii="Times New Roman" w:hAnsi="Times New Roman"/>
                <w:sz w:val="24"/>
              </w:rPr>
              <w:t>príslušným obchodným líniám, ako sú uvedené</w:t>
            </w:r>
            <w:r w:rsidR="009912F8" w:rsidRPr="00E07C9A">
              <w:rPr>
                <w:rFonts w:ascii="Times New Roman" w:hAnsi="Times New Roman"/>
                <w:sz w:val="24"/>
              </w:rPr>
              <w:t xml:space="preserve"> v </w:t>
            </w:r>
            <w:r w:rsidRPr="00E07C9A">
              <w:rPr>
                <w:rFonts w:ascii="Times New Roman" w:hAnsi="Times New Roman"/>
                <w:sz w:val="24"/>
              </w:rPr>
              <w:t xml:space="preserve">tabuľke 2 článku 317 ods. 4 nariadenia (EÚ) </w:t>
            </w:r>
            <w:r w:rsidR="009912F8" w:rsidRPr="00E07C9A">
              <w:rPr>
                <w:rFonts w:ascii="Times New Roman" w:hAnsi="Times New Roman"/>
                <w:sz w:val="24"/>
              </w:rPr>
              <w:t>č. 575/2013 a </w:t>
            </w:r>
            <w:r w:rsidRPr="00E07C9A">
              <w:rPr>
                <w:rFonts w:ascii="Times New Roman" w:hAnsi="Times New Roman"/>
                <w:sz w:val="24"/>
              </w:rPr>
              <w:t>článku 322 ods. 3 písm. b) uvedeného nariadenia.</w:t>
            </w:r>
          </w:p>
        </w:tc>
      </w:tr>
      <w:tr w:rsidR="00FD54FC" w:rsidRPr="00E07C9A" w14:paraId="557602BD" w14:textId="77777777" w:rsidTr="006418A0">
        <w:tc>
          <w:tcPr>
            <w:tcW w:w="951" w:type="dxa"/>
            <w:shd w:val="clear" w:color="auto" w:fill="auto"/>
          </w:tcPr>
          <w:p w14:paraId="413224E7" w14:textId="77777777" w:rsidR="00FD54FC" w:rsidRPr="00E07C9A" w:rsidRDefault="00C93FC2" w:rsidP="00FD54FC">
            <w:pPr>
              <w:rPr>
                <w:rFonts w:ascii="Times New Roman" w:hAnsi="Times New Roman"/>
                <w:sz w:val="24"/>
              </w:rPr>
            </w:pPr>
            <w:r w:rsidRPr="00E07C9A">
              <w:rPr>
                <w:rFonts w:ascii="Times New Roman" w:hAnsi="Times New Roman"/>
                <w:sz w:val="24"/>
              </w:rPr>
              <w:t>0170</w:t>
            </w:r>
          </w:p>
        </w:tc>
        <w:tc>
          <w:tcPr>
            <w:tcW w:w="8111" w:type="dxa"/>
            <w:shd w:val="clear" w:color="auto" w:fill="auto"/>
          </w:tcPr>
          <w:p w14:paraId="3BBE9520" w14:textId="77777777" w:rsidR="00FD54FC" w:rsidRPr="00E07C9A" w:rsidRDefault="00FD54FC" w:rsidP="00FD54FC">
            <w:pPr>
              <w:rPr>
                <w:rStyle w:val="InstructionsTabelleberschrift"/>
                <w:rFonts w:ascii="Times New Roman" w:hAnsi="Times New Roman"/>
                <w:sz w:val="24"/>
              </w:rPr>
            </w:pPr>
            <w:r w:rsidRPr="00E07C9A">
              <w:rPr>
                <w:rStyle w:val="InstructionsTabelleberschrift"/>
                <w:rFonts w:ascii="Times New Roman" w:hAnsi="Times New Roman"/>
                <w:sz w:val="24"/>
              </w:rPr>
              <w:t>Názov právneho subjektu</w:t>
            </w:r>
          </w:p>
          <w:p w14:paraId="196BBE73" w14:textId="7F8751D4" w:rsidR="00FD54FC" w:rsidRPr="00E07C9A" w:rsidRDefault="00FD54FC" w:rsidP="00FD54FC">
            <w:pPr>
              <w:rPr>
                <w:rFonts w:ascii="Times New Roman" w:hAnsi="Times New Roman"/>
                <w:sz w:val="24"/>
              </w:rPr>
            </w:pPr>
            <w:r w:rsidRPr="00E07C9A">
              <w:rPr>
                <w:rFonts w:ascii="Times New Roman" w:hAnsi="Times New Roman"/>
                <w:sz w:val="24"/>
              </w:rPr>
              <w:t>Názov právneho subjektu, ako sa vykazuje</w:t>
            </w:r>
            <w:r w:rsidR="009912F8" w:rsidRPr="00E07C9A">
              <w:rPr>
                <w:rFonts w:ascii="Times New Roman" w:hAnsi="Times New Roman"/>
                <w:sz w:val="24"/>
              </w:rPr>
              <w:t xml:space="preserve"> v </w:t>
            </w:r>
            <w:r w:rsidRPr="00E07C9A">
              <w:rPr>
                <w:rFonts w:ascii="Times New Roman" w:hAnsi="Times New Roman"/>
                <w:sz w:val="24"/>
              </w:rPr>
              <w:t>stĺpci 0011 vzoru C 06.02,</w:t>
            </w:r>
            <w:r w:rsidR="009912F8" w:rsidRPr="00E07C9A">
              <w:rPr>
                <w:rFonts w:ascii="Times New Roman" w:hAnsi="Times New Roman"/>
                <w:sz w:val="24"/>
              </w:rPr>
              <w:t xml:space="preserve"> v </w:t>
            </w:r>
            <w:r w:rsidRPr="00E07C9A">
              <w:rPr>
                <w:rFonts w:ascii="Times New Roman" w:hAnsi="Times New Roman"/>
                <w:sz w:val="24"/>
              </w:rPr>
              <w:t>ktorom nastala strata (alebo najväčší podiel strát</w:t>
            </w:r>
            <w:r w:rsidR="009912F8" w:rsidRPr="00E07C9A">
              <w:rPr>
                <w:rFonts w:ascii="Times New Roman" w:hAnsi="Times New Roman"/>
                <w:sz w:val="24"/>
              </w:rPr>
              <w:t xml:space="preserve"> v </w:t>
            </w:r>
            <w:r w:rsidRPr="00E07C9A">
              <w:rPr>
                <w:rFonts w:ascii="Times New Roman" w:hAnsi="Times New Roman"/>
                <w:sz w:val="24"/>
              </w:rPr>
              <w:t>prípade, že bolo zasiahnutých niekoľko subjektov).</w:t>
            </w:r>
          </w:p>
        </w:tc>
      </w:tr>
      <w:tr w:rsidR="00FD54FC" w:rsidRPr="00E07C9A" w14:paraId="65061E2E" w14:textId="77777777" w:rsidTr="006418A0">
        <w:tc>
          <w:tcPr>
            <w:tcW w:w="951" w:type="dxa"/>
            <w:shd w:val="clear" w:color="auto" w:fill="auto"/>
          </w:tcPr>
          <w:p w14:paraId="2B53F902" w14:textId="5E3BBEFD" w:rsidR="00FD54FC" w:rsidRPr="00E07C9A" w:rsidRDefault="00C93FC2" w:rsidP="00FD54FC">
            <w:pPr>
              <w:rPr>
                <w:rFonts w:ascii="Times New Roman" w:hAnsi="Times New Roman"/>
                <w:sz w:val="24"/>
              </w:rPr>
            </w:pPr>
            <w:r w:rsidRPr="00E07C9A">
              <w:rPr>
                <w:rFonts w:ascii="Times New Roman" w:hAnsi="Times New Roman"/>
                <w:sz w:val="24"/>
              </w:rPr>
              <w:t>0181</w:t>
            </w:r>
          </w:p>
        </w:tc>
        <w:tc>
          <w:tcPr>
            <w:tcW w:w="8111" w:type="dxa"/>
            <w:shd w:val="clear" w:color="auto" w:fill="auto"/>
          </w:tcPr>
          <w:p w14:paraId="4F848E3A" w14:textId="77777777" w:rsidR="00FD54FC" w:rsidRPr="00E07C9A" w:rsidRDefault="00105A75" w:rsidP="00FD54FC">
            <w:pPr>
              <w:rPr>
                <w:rStyle w:val="InstructionsTabelleberschrift"/>
                <w:rFonts w:ascii="Times New Roman" w:hAnsi="Times New Roman"/>
                <w:sz w:val="24"/>
              </w:rPr>
            </w:pPr>
            <w:r w:rsidRPr="00E07C9A">
              <w:rPr>
                <w:rStyle w:val="InstructionsTabelleberschrift"/>
                <w:rFonts w:ascii="Times New Roman" w:hAnsi="Times New Roman"/>
                <w:sz w:val="24"/>
              </w:rPr>
              <w:t>Kód</w:t>
            </w:r>
          </w:p>
          <w:p w14:paraId="2B51325F" w14:textId="73948A25" w:rsidR="000D0A23" w:rsidRPr="00E07C9A" w:rsidRDefault="0062362F" w:rsidP="009B627A">
            <w:pPr>
              <w:rPr>
                <w:rFonts w:ascii="Times New Roman" w:hAnsi="Times New Roman"/>
                <w:sz w:val="24"/>
              </w:rPr>
            </w:pPr>
            <w:r w:rsidRPr="00E07C9A">
              <w:rPr>
                <w:rFonts w:ascii="Times New Roman" w:hAnsi="Times New Roman"/>
                <w:sz w:val="24"/>
              </w:rPr>
              <w:t>Kód právneho subjektu, ako sa vykazuje</w:t>
            </w:r>
            <w:r w:rsidR="009912F8" w:rsidRPr="00E07C9A">
              <w:rPr>
                <w:rFonts w:ascii="Times New Roman" w:hAnsi="Times New Roman"/>
                <w:sz w:val="24"/>
              </w:rPr>
              <w:t xml:space="preserve"> v </w:t>
            </w:r>
            <w:r w:rsidRPr="00E07C9A">
              <w:rPr>
                <w:rFonts w:ascii="Times New Roman" w:hAnsi="Times New Roman"/>
                <w:sz w:val="24"/>
              </w:rPr>
              <w:t>stĺpci 0021 vzoru C 06.02,</w:t>
            </w:r>
            <w:r w:rsidR="009912F8" w:rsidRPr="00E07C9A">
              <w:rPr>
                <w:rFonts w:ascii="Times New Roman" w:hAnsi="Times New Roman"/>
                <w:sz w:val="24"/>
              </w:rPr>
              <w:t xml:space="preserve"> v </w:t>
            </w:r>
            <w:r w:rsidRPr="00E07C9A">
              <w:rPr>
                <w:rFonts w:ascii="Times New Roman" w:hAnsi="Times New Roman"/>
                <w:sz w:val="24"/>
              </w:rPr>
              <w:t>ktorom nastala strata (alebo najväčší podiel strát</w:t>
            </w:r>
            <w:r w:rsidR="009912F8" w:rsidRPr="00E07C9A">
              <w:rPr>
                <w:rFonts w:ascii="Times New Roman" w:hAnsi="Times New Roman"/>
                <w:sz w:val="24"/>
              </w:rPr>
              <w:t xml:space="preserve"> v </w:t>
            </w:r>
            <w:r w:rsidRPr="00E07C9A">
              <w:rPr>
                <w:rFonts w:ascii="Times New Roman" w:hAnsi="Times New Roman"/>
                <w:sz w:val="24"/>
              </w:rPr>
              <w:t>prípade, že bolo zasiahnutých niekoľko subjektov).</w:t>
            </w:r>
          </w:p>
        </w:tc>
      </w:tr>
      <w:tr w:rsidR="000D0A23" w:rsidRPr="00E07C9A" w14:paraId="78136DE9" w14:textId="77777777" w:rsidTr="00127FEA">
        <w:tc>
          <w:tcPr>
            <w:tcW w:w="951" w:type="dxa"/>
            <w:shd w:val="clear" w:color="auto" w:fill="auto"/>
          </w:tcPr>
          <w:p w14:paraId="36C0C957" w14:textId="1C3F9210" w:rsidR="000D0A23" w:rsidRPr="00E07C9A" w:rsidRDefault="000D0A23" w:rsidP="00071D95">
            <w:pPr>
              <w:rPr>
                <w:rStyle w:val="InstructionsTabelleText"/>
                <w:rFonts w:ascii="Times New Roman" w:hAnsi="Times New Roman"/>
                <w:sz w:val="24"/>
              </w:rPr>
            </w:pPr>
            <w:r w:rsidRPr="00E07C9A">
              <w:rPr>
                <w:rStyle w:val="InstructionsTabelleText"/>
                <w:rFonts w:ascii="Times New Roman" w:hAnsi="Times New Roman"/>
                <w:sz w:val="24"/>
              </w:rPr>
              <w:t>0185</w:t>
            </w:r>
          </w:p>
        </w:tc>
        <w:tc>
          <w:tcPr>
            <w:tcW w:w="8111" w:type="dxa"/>
            <w:shd w:val="clear" w:color="auto" w:fill="auto"/>
          </w:tcPr>
          <w:p w14:paraId="1CF8E766" w14:textId="77777777" w:rsidR="000D0A23" w:rsidRPr="00E07C9A" w:rsidRDefault="000D0A23" w:rsidP="00127FEA">
            <w:pPr>
              <w:rPr>
                <w:rStyle w:val="InstructionsTabelleberschrift"/>
                <w:rFonts w:ascii="Times New Roman" w:hAnsi="Times New Roman"/>
                <w:sz w:val="24"/>
              </w:rPr>
            </w:pPr>
            <w:r w:rsidRPr="00E07C9A">
              <w:rPr>
                <w:rStyle w:val="InstructionsTabelleberschrift"/>
                <w:rFonts w:ascii="Times New Roman" w:hAnsi="Times New Roman"/>
                <w:sz w:val="24"/>
              </w:rPr>
              <w:t>DRUH KÓDU</w:t>
            </w:r>
          </w:p>
          <w:p w14:paraId="13D1F0E6" w14:textId="76051A27" w:rsidR="000D0A23" w:rsidRPr="00E07C9A" w:rsidRDefault="000D0A23" w:rsidP="009B627A">
            <w:pPr>
              <w:rPr>
                <w:rStyle w:val="InstructionsTabelleberschrift"/>
                <w:rFonts w:ascii="Times New Roman" w:hAnsi="Times New Roman"/>
                <w:sz w:val="24"/>
              </w:rPr>
            </w:pPr>
            <w:r w:rsidRPr="00E07C9A">
              <w:rPr>
                <w:rStyle w:val="InstructionsTabelleText"/>
                <w:rFonts w:ascii="Times New Roman" w:hAnsi="Times New Roman"/>
                <w:sz w:val="24"/>
              </w:rPr>
              <w:t>Inštitúcie uvádzajú druh kódu vykazovaného</w:t>
            </w:r>
            <w:r w:rsidR="009912F8" w:rsidRPr="00E07C9A">
              <w:rPr>
                <w:rStyle w:val="InstructionsTabelleText"/>
                <w:rFonts w:ascii="Times New Roman" w:hAnsi="Times New Roman"/>
                <w:sz w:val="24"/>
              </w:rPr>
              <w:t xml:space="preserve"> v </w:t>
            </w:r>
            <w:r w:rsidRPr="00E07C9A">
              <w:rPr>
                <w:rStyle w:val="FormatvorlageInstructionsTabelleText"/>
                <w:rFonts w:ascii="Times New Roman" w:hAnsi="Times New Roman"/>
                <w:sz w:val="24"/>
              </w:rPr>
              <w:t>stĺpci 0181 ako „kód LEI“ alebo „kód iný ako LEI“, takisto</w:t>
            </w:r>
            <w:r w:rsidR="009912F8" w:rsidRPr="00E07C9A">
              <w:rPr>
                <w:rStyle w:val="FormatvorlageInstructionsTabelleText"/>
                <w:rFonts w:ascii="Times New Roman" w:hAnsi="Times New Roman"/>
                <w:sz w:val="24"/>
              </w:rPr>
              <w:t xml:space="preserve"> v </w:t>
            </w:r>
            <w:r w:rsidRPr="00E07C9A">
              <w:rPr>
                <w:rStyle w:val="FormatvorlageInstructionsTabelleText"/>
                <w:rFonts w:ascii="Times New Roman" w:hAnsi="Times New Roman"/>
                <w:sz w:val="24"/>
              </w:rPr>
              <w:t>súlade so stĺpcom 0026 vzoru C 06.02. Druh kódu sa vykazuje vždy.</w:t>
            </w:r>
          </w:p>
        </w:tc>
      </w:tr>
      <w:tr w:rsidR="00FD54FC" w:rsidRPr="00E07C9A" w14:paraId="79A2ACFE" w14:textId="77777777" w:rsidTr="006418A0">
        <w:tc>
          <w:tcPr>
            <w:tcW w:w="951" w:type="dxa"/>
            <w:shd w:val="clear" w:color="auto" w:fill="auto"/>
          </w:tcPr>
          <w:p w14:paraId="1C6C72FE" w14:textId="77777777" w:rsidR="00FD54FC" w:rsidRPr="00E07C9A" w:rsidRDefault="00C93FC2" w:rsidP="00FD54FC">
            <w:pPr>
              <w:rPr>
                <w:rFonts w:ascii="Times New Roman" w:hAnsi="Times New Roman"/>
                <w:sz w:val="24"/>
              </w:rPr>
            </w:pPr>
            <w:r w:rsidRPr="00E07C9A">
              <w:rPr>
                <w:rFonts w:ascii="Times New Roman" w:hAnsi="Times New Roman"/>
                <w:sz w:val="24"/>
              </w:rPr>
              <w:t>0190</w:t>
            </w:r>
          </w:p>
        </w:tc>
        <w:tc>
          <w:tcPr>
            <w:tcW w:w="8111" w:type="dxa"/>
            <w:shd w:val="clear" w:color="auto" w:fill="auto"/>
          </w:tcPr>
          <w:p w14:paraId="07842AC1" w14:textId="77777777" w:rsidR="00FD54FC" w:rsidRPr="00E07C9A" w:rsidRDefault="00FD54FC" w:rsidP="00FD54FC">
            <w:pPr>
              <w:rPr>
                <w:rStyle w:val="InstructionsTabelleberschrift"/>
                <w:rFonts w:ascii="Times New Roman" w:hAnsi="Times New Roman"/>
                <w:sz w:val="24"/>
              </w:rPr>
            </w:pPr>
            <w:r w:rsidRPr="00E07C9A">
              <w:rPr>
                <w:rStyle w:val="InstructionsTabelleberschrift"/>
                <w:rFonts w:ascii="Times New Roman" w:hAnsi="Times New Roman"/>
                <w:sz w:val="24"/>
              </w:rPr>
              <w:t>Obchodný útvar</w:t>
            </w:r>
          </w:p>
          <w:p w14:paraId="7468F598" w14:textId="0AC2D5F3" w:rsidR="00FD54FC" w:rsidRPr="00E07C9A" w:rsidRDefault="00FD54FC" w:rsidP="00FD54FC">
            <w:pPr>
              <w:rPr>
                <w:rFonts w:ascii="Times New Roman" w:hAnsi="Times New Roman"/>
                <w:sz w:val="24"/>
              </w:rPr>
            </w:pPr>
            <w:r w:rsidRPr="00E07C9A">
              <w:rPr>
                <w:rFonts w:ascii="Times New Roman" w:hAnsi="Times New Roman"/>
                <w:sz w:val="24"/>
              </w:rPr>
              <w:t>Obchodný útvar alebo podnikové oddelenie inštitúcie,</w:t>
            </w:r>
            <w:r w:rsidR="009912F8" w:rsidRPr="00E07C9A">
              <w:rPr>
                <w:rFonts w:ascii="Times New Roman" w:hAnsi="Times New Roman"/>
                <w:sz w:val="24"/>
              </w:rPr>
              <w:t xml:space="preserve"> v </w:t>
            </w:r>
            <w:r w:rsidRPr="00E07C9A">
              <w:rPr>
                <w:rFonts w:ascii="Times New Roman" w:hAnsi="Times New Roman"/>
                <w:sz w:val="24"/>
              </w:rPr>
              <w:t>ktorom nastala strata (alebo najväčší podiel strát</w:t>
            </w:r>
            <w:r w:rsidR="009912F8" w:rsidRPr="00E07C9A">
              <w:rPr>
                <w:rFonts w:ascii="Times New Roman" w:hAnsi="Times New Roman"/>
                <w:sz w:val="24"/>
              </w:rPr>
              <w:t xml:space="preserve"> v </w:t>
            </w:r>
            <w:r w:rsidRPr="00E07C9A">
              <w:rPr>
                <w:rFonts w:ascii="Times New Roman" w:hAnsi="Times New Roman"/>
                <w:sz w:val="24"/>
              </w:rPr>
              <w:t>prípade, že bolo zasiahnutých niekoľko obchodných útvarov alebo podnikových oddelení).</w:t>
            </w:r>
          </w:p>
        </w:tc>
      </w:tr>
      <w:tr w:rsidR="00FD54FC" w:rsidRPr="00E07C9A" w14:paraId="47FF13C8" w14:textId="77777777" w:rsidTr="006418A0">
        <w:tc>
          <w:tcPr>
            <w:tcW w:w="951" w:type="dxa"/>
            <w:shd w:val="clear" w:color="auto" w:fill="auto"/>
          </w:tcPr>
          <w:p w14:paraId="70D39850" w14:textId="77777777" w:rsidR="00FD54FC" w:rsidRPr="00E07C9A" w:rsidRDefault="00C93FC2" w:rsidP="00FD54FC">
            <w:pPr>
              <w:rPr>
                <w:rFonts w:ascii="Times New Roman" w:hAnsi="Times New Roman"/>
                <w:sz w:val="24"/>
              </w:rPr>
            </w:pPr>
            <w:r w:rsidRPr="00E07C9A">
              <w:rPr>
                <w:rFonts w:ascii="Times New Roman" w:hAnsi="Times New Roman"/>
                <w:sz w:val="24"/>
              </w:rPr>
              <w:t>0200</w:t>
            </w:r>
          </w:p>
        </w:tc>
        <w:tc>
          <w:tcPr>
            <w:tcW w:w="8111" w:type="dxa"/>
            <w:shd w:val="clear" w:color="auto" w:fill="auto"/>
          </w:tcPr>
          <w:p w14:paraId="008721A3" w14:textId="77777777" w:rsidR="00FD54FC" w:rsidRPr="00E07C9A" w:rsidRDefault="00FD54FC" w:rsidP="00FD54FC">
            <w:pPr>
              <w:rPr>
                <w:rStyle w:val="InstructionsTabelleberschrift"/>
                <w:rFonts w:ascii="Times New Roman" w:hAnsi="Times New Roman"/>
                <w:sz w:val="24"/>
              </w:rPr>
            </w:pPr>
            <w:r w:rsidRPr="00E07C9A">
              <w:rPr>
                <w:rStyle w:val="InstructionsTabelleberschrift"/>
                <w:rFonts w:ascii="Times New Roman" w:hAnsi="Times New Roman"/>
                <w:sz w:val="24"/>
              </w:rPr>
              <w:t>Opis</w:t>
            </w:r>
          </w:p>
          <w:p w14:paraId="5B222555" w14:textId="5FA7DC78" w:rsidR="00FD54FC" w:rsidRPr="00E07C9A" w:rsidRDefault="00FD54FC" w:rsidP="00FD239F">
            <w:pPr>
              <w:rPr>
                <w:rFonts w:ascii="Times New Roman" w:hAnsi="Times New Roman"/>
                <w:sz w:val="24"/>
              </w:rPr>
            </w:pPr>
            <w:r w:rsidRPr="00E07C9A">
              <w:rPr>
                <w:rFonts w:ascii="Times New Roman" w:hAnsi="Times New Roman"/>
                <w:sz w:val="24"/>
              </w:rPr>
              <w:t>Podrobný opis stratovej udalosti,</w:t>
            </w:r>
            <w:r w:rsidR="009912F8" w:rsidRPr="00E07C9A">
              <w:rPr>
                <w:rFonts w:ascii="Times New Roman" w:hAnsi="Times New Roman"/>
                <w:sz w:val="24"/>
              </w:rPr>
              <w:t xml:space="preserve"> v </w:t>
            </w:r>
            <w:r w:rsidRPr="00E07C9A">
              <w:rPr>
                <w:rFonts w:ascii="Times New Roman" w:hAnsi="Times New Roman"/>
                <w:sz w:val="24"/>
              </w:rPr>
              <w:t>prípade potreby všeobecný alebo anonymizovaný, ktorý obsahuje aspoň informácie</w:t>
            </w:r>
            <w:r w:rsidR="009912F8" w:rsidRPr="00E07C9A">
              <w:rPr>
                <w:rFonts w:ascii="Times New Roman" w:hAnsi="Times New Roman"/>
                <w:sz w:val="24"/>
              </w:rPr>
              <w:t xml:space="preserve"> o </w:t>
            </w:r>
            <w:r w:rsidRPr="00E07C9A">
              <w:rPr>
                <w:rFonts w:ascii="Times New Roman" w:hAnsi="Times New Roman"/>
                <w:sz w:val="24"/>
              </w:rPr>
              <w:t>samotnej udalosti</w:t>
            </w:r>
            <w:r w:rsidR="009912F8" w:rsidRPr="00E07C9A">
              <w:rPr>
                <w:rFonts w:ascii="Times New Roman" w:hAnsi="Times New Roman"/>
                <w:sz w:val="24"/>
              </w:rPr>
              <w:t xml:space="preserve"> a </w:t>
            </w:r>
            <w:r w:rsidRPr="00E07C9A">
              <w:rPr>
                <w:rFonts w:ascii="Times New Roman" w:hAnsi="Times New Roman"/>
                <w:sz w:val="24"/>
              </w:rPr>
              <w:t>informácie</w:t>
            </w:r>
            <w:r w:rsidR="009912F8" w:rsidRPr="00E07C9A">
              <w:rPr>
                <w:rFonts w:ascii="Times New Roman" w:hAnsi="Times New Roman"/>
                <w:sz w:val="24"/>
              </w:rPr>
              <w:t xml:space="preserve"> o </w:t>
            </w:r>
            <w:r w:rsidRPr="00E07C9A">
              <w:rPr>
                <w:rFonts w:ascii="Times New Roman" w:hAnsi="Times New Roman"/>
                <w:sz w:val="24"/>
              </w:rPr>
              <w:t>faktoroch</w:t>
            </w:r>
            <w:r w:rsidR="009912F8" w:rsidRPr="00E07C9A">
              <w:rPr>
                <w:rFonts w:ascii="Times New Roman" w:hAnsi="Times New Roman"/>
                <w:sz w:val="24"/>
              </w:rPr>
              <w:t xml:space="preserve"> a </w:t>
            </w:r>
            <w:r w:rsidRPr="00E07C9A">
              <w:rPr>
                <w:rFonts w:ascii="Times New Roman" w:hAnsi="Times New Roman"/>
                <w:sz w:val="24"/>
              </w:rPr>
              <w:t>príčinách stratovej udalosti, ak sú známe.</w:t>
            </w:r>
          </w:p>
        </w:tc>
      </w:tr>
    </w:tbl>
    <w:p w14:paraId="1FA6C629" w14:textId="77777777" w:rsidR="00FD54FC" w:rsidRPr="00E07C9A" w:rsidRDefault="00FD54FC" w:rsidP="00AC6255">
      <w:pPr>
        <w:spacing w:after="0"/>
        <w:rPr>
          <w:rFonts w:ascii="Times New Roman" w:hAnsi="Times New Roman"/>
          <w:sz w:val="24"/>
        </w:rPr>
      </w:pPr>
    </w:p>
    <w:p w14:paraId="5C0CD8F3" w14:textId="77777777" w:rsidR="00AC6255" w:rsidRPr="00E07C9A" w:rsidRDefault="00AC6255">
      <w:pPr>
        <w:spacing w:before="0" w:after="0"/>
        <w:jc w:val="left"/>
        <w:rPr>
          <w:rStyle w:val="InstructionsTabelleText"/>
          <w:rFonts w:ascii="Times New Roman" w:hAnsi="Times New Roman"/>
          <w:sz w:val="24"/>
        </w:rPr>
      </w:pPr>
      <w:r w:rsidRPr="00E07C9A">
        <w:rPr>
          <w:rFonts w:ascii="Times New Roman" w:hAnsi="Times New Roman"/>
        </w:rPr>
        <w:br w:type="page"/>
      </w:r>
    </w:p>
    <w:p w14:paraId="73EBDC1C" w14:textId="77777777" w:rsidR="000B0B09" w:rsidRPr="00E07C9A" w:rsidRDefault="00125707" w:rsidP="0023700C">
      <w:pPr>
        <w:pStyle w:val="Instructionsberschrift2"/>
        <w:numPr>
          <w:ilvl w:val="0"/>
          <w:numId w:val="0"/>
        </w:numPr>
        <w:ind w:left="357" w:hanging="357"/>
        <w:rPr>
          <w:rFonts w:ascii="Times New Roman" w:hAnsi="Times New Roman" w:cs="Times New Roman"/>
          <w:sz w:val="24"/>
        </w:rPr>
      </w:pPr>
      <w:bookmarkStart w:id="592" w:name="_Toc295829995"/>
      <w:bookmarkStart w:id="593" w:name="_Toc262566425"/>
      <w:bookmarkStart w:id="594" w:name="_Toc308426671"/>
      <w:bookmarkStart w:id="595" w:name="_Toc310415056"/>
      <w:bookmarkStart w:id="596" w:name="_Toc360188391"/>
      <w:bookmarkStart w:id="597" w:name="_Toc473561031"/>
      <w:bookmarkStart w:id="598" w:name="_Toc115857875"/>
      <w:r w:rsidRPr="00E07C9A">
        <w:rPr>
          <w:rFonts w:ascii="Times New Roman" w:hAnsi="Times New Roman" w:cs="Times New Roman"/>
          <w:sz w:val="24"/>
          <w:u w:val="none"/>
        </w:rPr>
        <w:t>5.</w:t>
      </w:r>
      <w:r w:rsidRPr="00E07C9A">
        <w:rPr>
          <w:rFonts w:ascii="Times New Roman" w:hAnsi="Times New Roman" w:cs="Times New Roman"/>
        </w:rPr>
        <w:tab/>
      </w:r>
      <w:r w:rsidRPr="00E07C9A">
        <w:rPr>
          <w:rFonts w:ascii="Times New Roman" w:hAnsi="Times New Roman" w:cs="Times New Roman"/>
          <w:sz w:val="24"/>
        </w:rPr>
        <w:t>Vzory pre trhové riziko</w:t>
      </w:r>
      <w:bookmarkEnd w:id="592"/>
      <w:bookmarkEnd w:id="593"/>
      <w:bookmarkEnd w:id="594"/>
      <w:bookmarkEnd w:id="595"/>
      <w:bookmarkEnd w:id="596"/>
      <w:bookmarkEnd w:id="597"/>
      <w:bookmarkEnd w:id="598"/>
    </w:p>
    <w:bookmarkStart w:id="599" w:name="_Toc308426672"/>
    <w:p w14:paraId="08007DAF" w14:textId="70BD8A33" w:rsidR="009912F8" w:rsidRPr="00E07C9A" w:rsidRDefault="00771068" w:rsidP="00487A02">
      <w:pPr>
        <w:pStyle w:val="InstructionsText2"/>
        <w:numPr>
          <w:ilvl w:val="0"/>
          <w:numId w:val="0"/>
        </w:numPr>
        <w:ind w:left="1353" w:hanging="360"/>
      </w:pPr>
      <w:r w:rsidRPr="00E07C9A">
        <w:fldChar w:fldCharType="begin"/>
      </w:r>
      <w:r w:rsidRPr="00E07C9A">
        <w:instrText xml:space="preserve"> seq paragraphs </w:instrText>
      </w:r>
      <w:r w:rsidRPr="00E07C9A">
        <w:fldChar w:fldCharType="separate"/>
      </w:r>
      <w:r w:rsidR="00132AEE">
        <w:rPr>
          <w:noProof/>
        </w:rPr>
        <w:t>158</w:t>
      </w:r>
      <w:r w:rsidRPr="00E07C9A">
        <w:fldChar w:fldCharType="end"/>
      </w:r>
      <w:r w:rsidRPr="00E07C9A">
        <w:t>.</w:t>
      </w:r>
      <w:r w:rsidRPr="00E07C9A">
        <w:tab/>
        <w:t xml:space="preserve"> Tieto pokyny sa vzťahujú na vzory,</w:t>
      </w:r>
      <w:r w:rsidR="009912F8" w:rsidRPr="00E07C9A">
        <w:t xml:space="preserve"> v </w:t>
      </w:r>
      <w:r w:rsidRPr="00E07C9A">
        <w:t>ktorých sa vykazuje výpočet požiadaviek na vlastné zdroje</w:t>
      </w:r>
      <w:r w:rsidR="009912F8" w:rsidRPr="00E07C9A">
        <w:t xml:space="preserve"> v </w:t>
      </w:r>
      <w:r w:rsidRPr="00E07C9A">
        <w:t>súlade so štandardizovaným prístupom pre devízové riziko (MKR SA FX), komoditné riziko (MKR SA COM), úrokové riziko (MKR SA TDI, MKR SA SEC, MKR SA CTP)</w:t>
      </w:r>
      <w:r w:rsidR="009912F8" w:rsidRPr="00E07C9A">
        <w:t xml:space="preserve"> a </w:t>
      </w:r>
      <w:r w:rsidRPr="00E07C9A">
        <w:t>akciové riziko (MKR SA EQU). Okrem toho sa</w:t>
      </w:r>
      <w:r w:rsidR="009912F8" w:rsidRPr="00E07C9A">
        <w:t xml:space="preserve"> v </w:t>
      </w:r>
      <w:r w:rsidRPr="00E07C9A">
        <w:t>tejto časti uvádzajú aj pokyny pre vzor pre vykazovanie výpočtu požiadaviek na vlastné zdroje podľa prístupu interných modelov (MKR IM)</w:t>
      </w:r>
      <w:r w:rsidR="009912F8" w:rsidRPr="00E07C9A">
        <w:t>.</w:t>
      </w:r>
    </w:p>
    <w:p w14:paraId="0025A976" w14:textId="6A049914" w:rsidR="009912F8" w:rsidRPr="00E07C9A" w:rsidRDefault="002A18DE" w:rsidP="00487A02">
      <w:pPr>
        <w:pStyle w:val="InstructionsText2"/>
        <w:numPr>
          <w:ilvl w:val="0"/>
          <w:numId w:val="0"/>
        </w:numPr>
        <w:ind w:left="1353" w:hanging="360"/>
      </w:pPr>
      <w:fldSimple w:instr=" seq paragraphs ">
        <w:r w:rsidR="00132AEE">
          <w:rPr>
            <w:noProof/>
          </w:rPr>
          <w:t>159</w:t>
        </w:r>
      </w:fldSimple>
      <w:r w:rsidR="00C3070C" w:rsidRPr="00E07C9A">
        <w:t>.</w:t>
      </w:r>
      <w:r w:rsidR="00C3070C" w:rsidRPr="00E07C9A">
        <w:tab/>
        <w:t xml:space="preserve"> Pozičné riziko obchodovaných dlhových nástrojov alebo kapitálových cenných papierov (alebo dlhového alebo akciového derivátu) sa rozdeľuje na dve zložky, aby sa mohol vypočítať kapitál požadovaný na krytie tohto rizika. Prvá zložka je pre špecifické riziko – ide</w:t>
      </w:r>
      <w:r w:rsidR="009912F8" w:rsidRPr="00E07C9A">
        <w:t xml:space="preserve"> o </w:t>
      </w:r>
      <w:r w:rsidR="00C3070C" w:rsidRPr="00E07C9A">
        <w:t>riziko zmeny ceny príslušného nástroja</w:t>
      </w:r>
      <w:r w:rsidR="009912F8" w:rsidRPr="00E07C9A">
        <w:t xml:space="preserve"> v </w:t>
      </w:r>
      <w:r w:rsidR="00C3070C" w:rsidRPr="00E07C9A">
        <w:t>dôsledku skutočností spojených</w:t>
      </w:r>
      <w:r w:rsidR="009912F8" w:rsidRPr="00E07C9A">
        <w:t xml:space="preserve"> s </w:t>
      </w:r>
      <w:r w:rsidR="00C3070C" w:rsidRPr="00E07C9A">
        <w:t>jeho emitentom alebo</w:t>
      </w:r>
      <w:r w:rsidR="009912F8" w:rsidRPr="00E07C9A">
        <w:t xml:space="preserve"> v </w:t>
      </w:r>
      <w:r w:rsidR="00C3070C" w:rsidRPr="00E07C9A">
        <w:t>prípade derivátu</w:t>
      </w:r>
      <w:r w:rsidR="009912F8" w:rsidRPr="00E07C9A">
        <w:t xml:space="preserve"> s </w:t>
      </w:r>
      <w:r w:rsidR="00C3070C" w:rsidRPr="00E07C9A">
        <w:t>emitentom podkladového nástroja. Druhá zložka pokrýva jeho všeobecné riziko – ide</w:t>
      </w:r>
      <w:r w:rsidR="009912F8" w:rsidRPr="00E07C9A">
        <w:t xml:space="preserve"> o </w:t>
      </w:r>
      <w:r w:rsidR="00C3070C" w:rsidRPr="00E07C9A">
        <w:t>riziko zmeny ceny nástroja</w:t>
      </w:r>
      <w:r w:rsidR="009912F8" w:rsidRPr="00E07C9A">
        <w:t xml:space="preserve"> v </w:t>
      </w:r>
      <w:r w:rsidR="00C3070C" w:rsidRPr="00E07C9A">
        <w:t>dôsledku (v prípade obchodovaného dlhového nástroja alebo dlhového derivátu) zmeny úrovne úrokových sadzieb alebo (v prípade kapitálového cenného papiera alebo akciového derivátu)</w:t>
      </w:r>
      <w:r w:rsidR="009912F8" w:rsidRPr="00E07C9A">
        <w:t xml:space="preserve"> v </w:t>
      </w:r>
      <w:r w:rsidR="00C3070C" w:rsidRPr="00E07C9A">
        <w:t>dôsledku zmien na akciovom trhu zo širšieho pohľadu bez vzťahu</w:t>
      </w:r>
      <w:r w:rsidR="009912F8" w:rsidRPr="00E07C9A">
        <w:t xml:space="preserve"> k </w:t>
      </w:r>
      <w:r w:rsidR="00C3070C" w:rsidRPr="00E07C9A">
        <w:t xml:space="preserve">akýmkoľvek špecifickým atribútom jednotlivých cenných papierov. </w:t>
      </w:r>
      <w:bookmarkEnd w:id="599"/>
      <w:r w:rsidR="00C3070C" w:rsidRPr="00E07C9A">
        <w:t>Všeobecné zaobchádzanie</w:t>
      </w:r>
      <w:r w:rsidR="009912F8" w:rsidRPr="00E07C9A">
        <w:t xml:space="preserve"> s </w:t>
      </w:r>
      <w:r w:rsidR="00C3070C" w:rsidRPr="00E07C9A">
        <w:t>konkrétnymi nástrojmi</w:t>
      </w:r>
      <w:r w:rsidR="009912F8" w:rsidRPr="00E07C9A">
        <w:t xml:space="preserve"> a </w:t>
      </w:r>
      <w:r w:rsidR="00C3070C" w:rsidRPr="00E07C9A">
        <w:t>postupmi započítavania sa uvádza</w:t>
      </w:r>
      <w:r w:rsidR="009912F8" w:rsidRPr="00E07C9A">
        <w:t xml:space="preserve"> v </w:t>
      </w:r>
      <w:r w:rsidR="00C3070C" w:rsidRPr="00E07C9A">
        <w:t xml:space="preserve">článkoch 326 až 333 nariadenia (EÚ) </w:t>
      </w:r>
      <w:r w:rsidR="009912F8" w:rsidRPr="00E07C9A">
        <w:t>č. 575/2013.</w:t>
      </w:r>
    </w:p>
    <w:p w14:paraId="39C5FEA4" w14:textId="73A44631" w:rsidR="000B0B09" w:rsidRPr="00E07C9A" w:rsidRDefault="00125707" w:rsidP="0023700C">
      <w:pPr>
        <w:pStyle w:val="Instructionsberschrift2"/>
        <w:numPr>
          <w:ilvl w:val="0"/>
          <w:numId w:val="0"/>
        </w:numPr>
        <w:ind w:left="357" w:hanging="357"/>
        <w:rPr>
          <w:rFonts w:ascii="Times New Roman" w:hAnsi="Times New Roman" w:cs="Times New Roman"/>
          <w:sz w:val="24"/>
        </w:rPr>
      </w:pPr>
      <w:bookmarkStart w:id="600" w:name="_Toc239157393"/>
      <w:bookmarkStart w:id="601" w:name="_Toc262566426"/>
      <w:bookmarkStart w:id="602" w:name="_Toc295829996"/>
      <w:bookmarkStart w:id="603" w:name="_Toc308426673"/>
      <w:bookmarkStart w:id="604" w:name="_Toc310415057"/>
      <w:bookmarkStart w:id="605" w:name="_Toc360188392"/>
      <w:bookmarkStart w:id="606" w:name="_Toc473561032"/>
      <w:bookmarkStart w:id="607" w:name="_Toc115857876"/>
      <w:r w:rsidRPr="00E07C9A">
        <w:rPr>
          <w:rFonts w:ascii="Times New Roman" w:hAnsi="Times New Roman" w:cs="Times New Roman"/>
          <w:sz w:val="24"/>
          <w:u w:val="none"/>
        </w:rPr>
        <w:t>5.1.</w:t>
      </w:r>
      <w:r w:rsidRPr="00E07C9A">
        <w:rPr>
          <w:rFonts w:ascii="Times New Roman" w:hAnsi="Times New Roman" w:cs="Times New Roman"/>
          <w:u w:val="none"/>
        </w:rPr>
        <w:tab/>
      </w:r>
      <w:r w:rsidRPr="00E07C9A">
        <w:rPr>
          <w:rFonts w:ascii="Times New Roman" w:hAnsi="Times New Roman" w:cs="Times New Roman"/>
          <w:sz w:val="24"/>
        </w:rPr>
        <w:t>C 18.00 – Trhové riziko: štandardizovaný prístup pre pozičné riziká obchodovaných dlhových nástrojov</w:t>
      </w:r>
      <w:bookmarkEnd w:id="600"/>
      <w:bookmarkEnd w:id="601"/>
      <w:bookmarkEnd w:id="602"/>
      <w:bookmarkEnd w:id="603"/>
      <w:bookmarkEnd w:id="604"/>
      <w:bookmarkEnd w:id="605"/>
      <w:r w:rsidRPr="00E07C9A">
        <w:rPr>
          <w:rFonts w:ascii="Times New Roman" w:hAnsi="Times New Roman" w:cs="Times New Roman"/>
          <w:sz w:val="24"/>
        </w:rPr>
        <w:t xml:space="preserve"> (MKR SA TDI)</w:t>
      </w:r>
      <w:bookmarkEnd w:id="606"/>
      <w:bookmarkEnd w:id="607"/>
    </w:p>
    <w:p w14:paraId="7BC699A3" w14:textId="77777777" w:rsidR="000B0B09" w:rsidRPr="00E07C9A" w:rsidRDefault="00125707" w:rsidP="0023700C">
      <w:pPr>
        <w:pStyle w:val="Instructionsberschrift2"/>
        <w:numPr>
          <w:ilvl w:val="0"/>
          <w:numId w:val="0"/>
        </w:numPr>
        <w:ind w:left="357" w:hanging="357"/>
        <w:rPr>
          <w:rFonts w:ascii="Times New Roman" w:hAnsi="Times New Roman" w:cs="Times New Roman"/>
          <w:sz w:val="24"/>
        </w:rPr>
      </w:pPr>
      <w:bookmarkStart w:id="608" w:name="_Toc262566427"/>
      <w:bookmarkStart w:id="609" w:name="_Toc295829997"/>
      <w:bookmarkStart w:id="610" w:name="_Toc308426674"/>
      <w:bookmarkStart w:id="611" w:name="_Toc310415058"/>
      <w:bookmarkStart w:id="612" w:name="_Toc360188393"/>
      <w:bookmarkStart w:id="613" w:name="_Toc473561033"/>
      <w:bookmarkStart w:id="614" w:name="_Toc115857877"/>
      <w:r w:rsidRPr="00E07C9A">
        <w:rPr>
          <w:rFonts w:ascii="Times New Roman" w:hAnsi="Times New Roman" w:cs="Times New Roman"/>
          <w:sz w:val="24"/>
          <w:u w:val="none"/>
        </w:rPr>
        <w:t>5.1.1.</w:t>
      </w:r>
      <w:r w:rsidRPr="00E07C9A">
        <w:rPr>
          <w:rFonts w:ascii="Times New Roman" w:hAnsi="Times New Roman" w:cs="Times New Roman"/>
          <w:u w:val="none"/>
        </w:rPr>
        <w:tab/>
      </w:r>
      <w:r w:rsidRPr="00E07C9A">
        <w:rPr>
          <w:rFonts w:ascii="Times New Roman" w:hAnsi="Times New Roman" w:cs="Times New Roman"/>
          <w:sz w:val="24"/>
        </w:rPr>
        <w:t>Všeobecné poznámky</w:t>
      </w:r>
      <w:bookmarkEnd w:id="608"/>
      <w:bookmarkEnd w:id="609"/>
      <w:bookmarkEnd w:id="610"/>
      <w:bookmarkEnd w:id="611"/>
      <w:bookmarkEnd w:id="612"/>
      <w:bookmarkEnd w:id="613"/>
      <w:bookmarkEnd w:id="614"/>
    </w:p>
    <w:p w14:paraId="0D010E09" w14:textId="67323D83" w:rsidR="000B0B09" w:rsidRPr="00E07C9A" w:rsidRDefault="002A18DE" w:rsidP="00487A02">
      <w:pPr>
        <w:pStyle w:val="InstructionsText2"/>
        <w:numPr>
          <w:ilvl w:val="0"/>
          <w:numId w:val="0"/>
        </w:numPr>
        <w:ind w:left="1353" w:hanging="360"/>
      </w:pPr>
      <w:fldSimple w:instr=" seq paragraphs ">
        <w:r w:rsidR="00132AEE">
          <w:rPr>
            <w:noProof/>
          </w:rPr>
          <w:t>160</w:t>
        </w:r>
      </w:fldSimple>
      <w:r w:rsidR="00C3070C" w:rsidRPr="00E07C9A">
        <w:t>.</w:t>
      </w:r>
      <w:r w:rsidR="00C3070C" w:rsidRPr="00E07C9A">
        <w:tab/>
      </w:r>
      <w:r w:rsidR="009912F8" w:rsidRPr="00E07C9A">
        <w:t xml:space="preserve"> V </w:t>
      </w:r>
      <w:r w:rsidR="00C3070C" w:rsidRPr="00E07C9A">
        <w:t>tomto vzore sa uvádzajú pozície</w:t>
      </w:r>
      <w:r w:rsidR="009912F8" w:rsidRPr="00E07C9A">
        <w:t xml:space="preserve"> a </w:t>
      </w:r>
      <w:r w:rsidR="00C3070C" w:rsidRPr="00E07C9A">
        <w:t>súvisiace požiadavky na vlastné zdroje pre pozičné riziká</w:t>
      </w:r>
      <w:r w:rsidR="009912F8" w:rsidRPr="00E07C9A">
        <w:t xml:space="preserve"> z </w:t>
      </w:r>
      <w:r w:rsidR="00C3070C" w:rsidRPr="00E07C9A">
        <w:t>obchodovaných dlhových nástrojov</w:t>
      </w:r>
      <w:r w:rsidR="009912F8" w:rsidRPr="00E07C9A">
        <w:t xml:space="preserve"> v </w:t>
      </w:r>
      <w:r w:rsidR="00C3070C" w:rsidRPr="00E07C9A">
        <w:t xml:space="preserve">rámci štandardizovaného prístupu [článok 325 ods. 2 písm. a) nariadenia (EÚ) </w:t>
      </w:r>
      <w:r w:rsidR="009912F8" w:rsidRPr="00E07C9A">
        <w:t>č. 575/2013</w:t>
      </w:r>
      <w:r w:rsidR="00C3070C" w:rsidRPr="00E07C9A">
        <w:t>]. Jednotlivé riziká</w:t>
      </w:r>
      <w:r w:rsidR="009912F8" w:rsidRPr="00E07C9A">
        <w:t xml:space="preserve"> a </w:t>
      </w:r>
      <w:r w:rsidR="00C3070C" w:rsidRPr="00E07C9A">
        <w:t>metódy</w:t>
      </w:r>
      <w:r w:rsidR="009912F8" w:rsidRPr="00E07C9A">
        <w:t xml:space="preserve"> k </w:t>
      </w:r>
      <w:r w:rsidR="00C3070C" w:rsidRPr="00E07C9A">
        <w:t>dispozícii</w:t>
      </w:r>
      <w:r w:rsidR="009912F8" w:rsidRPr="00E07C9A">
        <w:t xml:space="preserve"> v </w:t>
      </w:r>
      <w:r w:rsidR="00C3070C" w:rsidRPr="00E07C9A">
        <w:t xml:space="preserve">rámci nariadenia (EÚ) </w:t>
      </w:r>
      <w:r w:rsidR="009912F8" w:rsidRPr="00E07C9A">
        <w:t>č. 575/2013</w:t>
      </w:r>
      <w:r w:rsidR="00C3070C" w:rsidRPr="00E07C9A">
        <w:t xml:space="preserve"> sa posudzujú podľa riadkov. Špecifické riziko spojené</w:t>
      </w:r>
      <w:r w:rsidR="009912F8" w:rsidRPr="00E07C9A">
        <w:t xml:space="preserve"> s </w:t>
      </w:r>
      <w:r w:rsidR="00C3070C" w:rsidRPr="00E07C9A">
        <w:t>expozíciami zahrnutými vo vzore MKR SA SEC</w:t>
      </w:r>
      <w:r w:rsidR="009912F8" w:rsidRPr="00E07C9A">
        <w:t xml:space="preserve"> a </w:t>
      </w:r>
      <w:r w:rsidR="00C3070C" w:rsidRPr="00E07C9A">
        <w:t>vo vzore MKR SA CTP sa vykazuje len vo vzore Spolu MKR SA TDI. Požiadavky na vlastné zdroje vykázané</w:t>
      </w:r>
      <w:r w:rsidR="009912F8" w:rsidRPr="00E07C9A">
        <w:t xml:space="preserve"> v </w:t>
      </w:r>
      <w:r w:rsidR="00C3070C" w:rsidRPr="00E07C9A">
        <w:t>týchto vzoroch sa prenášajú do bunky {0325;0060} (sekuritizácie), resp. do bunky {0330;0060} (CTP).</w:t>
      </w:r>
    </w:p>
    <w:p w14:paraId="6B43ACB5" w14:textId="6B41C3A0" w:rsidR="009912F8" w:rsidRPr="00E07C9A" w:rsidRDefault="002A18DE" w:rsidP="00487A02">
      <w:pPr>
        <w:pStyle w:val="InstructionsText2"/>
        <w:numPr>
          <w:ilvl w:val="0"/>
          <w:numId w:val="0"/>
        </w:numPr>
        <w:ind w:left="1353" w:hanging="360"/>
      </w:pPr>
      <w:fldSimple w:instr=" seq paragraphs ">
        <w:r w:rsidR="00132AEE">
          <w:rPr>
            <w:noProof/>
          </w:rPr>
          <w:t>161</w:t>
        </w:r>
      </w:fldSimple>
      <w:r w:rsidR="00C3070C" w:rsidRPr="00E07C9A">
        <w:t>.</w:t>
      </w:r>
      <w:r w:rsidR="00C3070C" w:rsidRPr="00E07C9A">
        <w:tab/>
        <w:t xml:space="preserve"> Vzor sa vypĺňa osobitne pre „spolu“</w:t>
      </w:r>
      <w:r w:rsidR="009912F8" w:rsidRPr="00E07C9A">
        <w:t xml:space="preserve"> a </w:t>
      </w:r>
      <w:r w:rsidR="00C3070C" w:rsidRPr="00E07C9A">
        <w:t xml:space="preserve">pre vopred stanovený zoznam týchto mien: </w:t>
      </w:r>
      <w:bookmarkStart w:id="615" w:name="OLE_LINK1"/>
      <w:r w:rsidR="00C3070C" w:rsidRPr="00E07C9A">
        <w:t>EUR, ALL, BGN, CZK, DKK, EGP, GBP, HRK, HUF, ISK, JPY, MKD, NOK, PLN, RON, RUB, RSD, SEK, CHF, TRY, UAH, USD</w:t>
      </w:r>
      <w:bookmarkEnd w:id="615"/>
      <w:r w:rsidR="009912F8" w:rsidRPr="00E07C9A">
        <w:t xml:space="preserve"> a </w:t>
      </w:r>
      <w:r w:rsidR="00C3070C" w:rsidRPr="00E07C9A">
        <w:t>jeden vzor pre všetky ostatné meny</w:t>
      </w:r>
      <w:r w:rsidR="009912F8" w:rsidRPr="00E07C9A">
        <w:t>.</w:t>
      </w:r>
    </w:p>
    <w:p w14:paraId="73E54EAD" w14:textId="42A5BCAA" w:rsidR="000B0B09" w:rsidRPr="00E07C9A" w:rsidRDefault="00125707" w:rsidP="0023700C">
      <w:pPr>
        <w:pStyle w:val="Instructionsberschrift2"/>
        <w:numPr>
          <w:ilvl w:val="0"/>
          <w:numId w:val="0"/>
        </w:numPr>
        <w:ind w:left="357" w:hanging="357"/>
        <w:rPr>
          <w:rFonts w:ascii="Times New Roman" w:hAnsi="Times New Roman" w:cs="Times New Roman"/>
          <w:sz w:val="24"/>
        </w:rPr>
      </w:pPr>
      <w:bookmarkStart w:id="616" w:name="_Toc262566428"/>
      <w:bookmarkStart w:id="617" w:name="_Toc295829998"/>
      <w:bookmarkStart w:id="618" w:name="_Toc308426675"/>
      <w:bookmarkStart w:id="619" w:name="_Toc310415059"/>
      <w:bookmarkStart w:id="620" w:name="_Toc360188394"/>
      <w:bookmarkStart w:id="621" w:name="_Toc473561034"/>
      <w:bookmarkStart w:id="622" w:name="_Toc115857878"/>
      <w:r w:rsidRPr="00E07C9A">
        <w:rPr>
          <w:rFonts w:ascii="Times New Roman" w:hAnsi="Times New Roman" w:cs="Times New Roman"/>
          <w:sz w:val="24"/>
          <w:u w:val="none"/>
        </w:rPr>
        <w:t>5.1.2.</w:t>
      </w:r>
      <w:r w:rsidRPr="00E07C9A">
        <w:rPr>
          <w:rFonts w:ascii="Times New Roman" w:hAnsi="Times New Roman" w:cs="Times New Roman"/>
          <w:u w:val="none"/>
        </w:rPr>
        <w:tab/>
      </w:r>
      <w:r w:rsidRPr="00E07C9A">
        <w:rPr>
          <w:rFonts w:ascii="Times New Roman" w:hAnsi="Times New Roman" w:cs="Times New Roman"/>
          <w:sz w:val="24"/>
        </w:rPr>
        <w:t>Pokyny týkajúce sa konkrétnych pozícií</w:t>
      </w:r>
      <w:bookmarkEnd w:id="616"/>
      <w:bookmarkEnd w:id="617"/>
      <w:bookmarkEnd w:id="618"/>
      <w:bookmarkEnd w:id="619"/>
      <w:bookmarkEnd w:id="620"/>
      <w:bookmarkEnd w:id="621"/>
      <w:bookmarkEnd w:id="6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E07C9A" w14:paraId="3B011B78" w14:textId="77777777" w:rsidTr="00672D2A">
        <w:trPr>
          <w:trHeight w:val="569"/>
        </w:trPr>
        <w:tc>
          <w:tcPr>
            <w:tcW w:w="8862" w:type="dxa"/>
            <w:gridSpan w:val="2"/>
            <w:shd w:val="clear" w:color="auto" w:fill="CCCCCC"/>
          </w:tcPr>
          <w:p w14:paraId="3F08430D" w14:textId="77777777" w:rsidR="000B0B09" w:rsidRPr="00E07C9A" w:rsidRDefault="000B0B09" w:rsidP="000B0B09">
            <w:pPr>
              <w:autoSpaceDE w:val="0"/>
              <w:autoSpaceDN w:val="0"/>
              <w:adjustRightInd w:val="0"/>
              <w:spacing w:after="0"/>
              <w:rPr>
                <w:rFonts w:ascii="Times New Roman" w:hAnsi="Times New Roman"/>
                <w:b/>
                <w:sz w:val="24"/>
              </w:rPr>
            </w:pPr>
            <w:r w:rsidRPr="00E07C9A">
              <w:rPr>
                <w:rFonts w:ascii="Times New Roman" w:hAnsi="Times New Roman"/>
                <w:b/>
                <w:sz w:val="24"/>
              </w:rPr>
              <w:t>Stĺpce</w:t>
            </w:r>
          </w:p>
        </w:tc>
      </w:tr>
      <w:tr w:rsidR="000B0B09" w:rsidRPr="00E07C9A" w14:paraId="2FB66B69" w14:textId="77777777" w:rsidTr="00672D2A">
        <w:tc>
          <w:tcPr>
            <w:tcW w:w="988" w:type="dxa"/>
          </w:tcPr>
          <w:p w14:paraId="3487AAF4" w14:textId="77777777" w:rsidR="000B0B09" w:rsidRPr="00E07C9A" w:rsidRDefault="00EE2CD5" w:rsidP="000F70EC">
            <w:pPr>
              <w:autoSpaceDE w:val="0"/>
              <w:autoSpaceDN w:val="0"/>
              <w:adjustRightInd w:val="0"/>
              <w:spacing w:before="0" w:after="0"/>
              <w:rPr>
                <w:rFonts w:ascii="Times New Roman" w:hAnsi="Times New Roman"/>
                <w:sz w:val="24"/>
              </w:rPr>
            </w:pPr>
            <w:r w:rsidRPr="00E07C9A">
              <w:rPr>
                <w:rFonts w:ascii="Times New Roman" w:hAnsi="Times New Roman"/>
                <w:sz w:val="24"/>
              </w:rPr>
              <w:t>0010 –⁠ 0020</w:t>
            </w:r>
          </w:p>
        </w:tc>
        <w:tc>
          <w:tcPr>
            <w:tcW w:w="7874" w:type="dxa"/>
          </w:tcPr>
          <w:p w14:paraId="53B61CBE" w14:textId="77777777" w:rsidR="000B0B09" w:rsidRPr="00E07C9A" w:rsidRDefault="000B0B09" w:rsidP="000B0B09">
            <w:pPr>
              <w:autoSpaceDE w:val="0"/>
              <w:autoSpaceDN w:val="0"/>
              <w:adjustRightInd w:val="0"/>
              <w:spacing w:before="0" w:after="0"/>
              <w:rPr>
                <w:rFonts w:ascii="Times New Roman" w:hAnsi="Times New Roman"/>
                <w:b/>
                <w:bCs/>
                <w:sz w:val="24"/>
                <w:u w:val="single"/>
              </w:rPr>
            </w:pPr>
            <w:r w:rsidRPr="00E07C9A">
              <w:rPr>
                <w:rFonts w:ascii="Times New Roman" w:hAnsi="Times New Roman"/>
                <w:b/>
                <w:sz w:val="24"/>
                <w:u w:val="single"/>
              </w:rPr>
              <w:t>VŠETKY POZÍCIE (DLHÉ A KRÁTKE)</w:t>
            </w:r>
          </w:p>
          <w:p w14:paraId="0C799784" w14:textId="15D060C8" w:rsidR="000B0B09" w:rsidRPr="00E07C9A" w:rsidRDefault="000B0B09" w:rsidP="00D24331">
            <w:pPr>
              <w:rPr>
                <w:rFonts w:ascii="Times New Roman" w:hAnsi="Times New Roman"/>
                <w:sz w:val="24"/>
              </w:rPr>
            </w:pPr>
            <w:r w:rsidRPr="00E07C9A">
              <w:rPr>
                <w:rFonts w:ascii="Times New Roman" w:hAnsi="Times New Roman"/>
                <w:sz w:val="24"/>
              </w:rPr>
              <w:t>Článok 102</w:t>
            </w:r>
            <w:r w:rsidR="009912F8" w:rsidRPr="00E07C9A">
              <w:rPr>
                <w:rFonts w:ascii="Times New Roman" w:hAnsi="Times New Roman"/>
                <w:sz w:val="24"/>
              </w:rPr>
              <w:t xml:space="preserve"> a </w:t>
            </w:r>
            <w:r w:rsidRPr="00E07C9A">
              <w:rPr>
                <w:rFonts w:ascii="Times New Roman" w:hAnsi="Times New Roman"/>
                <w:sz w:val="24"/>
              </w:rPr>
              <w:t xml:space="preserve">článok 105 ods. 1 nariadenia (EÚ) </w:t>
            </w:r>
            <w:r w:rsidR="009912F8" w:rsidRPr="00E07C9A">
              <w:rPr>
                <w:rFonts w:ascii="Times New Roman" w:hAnsi="Times New Roman"/>
                <w:sz w:val="24"/>
              </w:rPr>
              <w:t>č. 575/2013</w:t>
            </w:r>
            <w:r w:rsidRPr="00E07C9A">
              <w:rPr>
                <w:rFonts w:ascii="Times New Roman" w:hAnsi="Times New Roman"/>
                <w:sz w:val="24"/>
              </w:rPr>
              <w:t xml:space="preserve"> Sú to hrubé pozície bez započítania nástrojov, ale bez pozícií</w:t>
            </w:r>
            <w:r w:rsidR="009912F8" w:rsidRPr="00E07C9A">
              <w:rPr>
                <w:rFonts w:ascii="Times New Roman" w:hAnsi="Times New Roman"/>
                <w:sz w:val="24"/>
              </w:rPr>
              <w:t xml:space="preserve"> z </w:t>
            </w:r>
            <w:r w:rsidRPr="00E07C9A">
              <w:rPr>
                <w:rFonts w:ascii="Times New Roman" w:hAnsi="Times New Roman"/>
                <w:sz w:val="24"/>
              </w:rPr>
              <w:t>upísania, ktoré sú upísané alebo podupísané tretími osobami</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345 ods. 1 prvým pododsekom druhou vetou nariadenia (EÚ) </w:t>
            </w:r>
            <w:r w:rsidR="009912F8" w:rsidRPr="00E07C9A">
              <w:rPr>
                <w:rFonts w:ascii="Times New Roman" w:hAnsi="Times New Roman"/>
                <w:sz w:val="24"/>
              </w:rPr>
              <w:t>č. 575/2013</w:t>
            </w:r>
            <w:r w:rsidRPr="00E07C9A">
              <w:rPr>
                <w:rFonts w:ascii="Times New Roman" w:hAnsi="Times New Roman"/>
                <w:sz w:val="24"/>
              </w:rPr>
              <w:t>. Pokiaľ ide</w:t>
            </w:r>
            <w:r w:rsidR="009912F8" w:rsidRPr="00E07C9A">
              <w:rPr>
                <w:rFonts w:ascii="Times New Roman" w:hAnsi="Times New Roman"/>
                <w:sz w:val="24"/>
              </w:rPr>
              <w:t xml:space="preserve"> o </w:t>
            </w:r>
            <w:r w:rsidRPr="00E07C9A">
              <w:rPr>
                <w:rFonts w:ascii="Times New Roman" w:hAnsi="Times New Roman"/>
                <w:sz w:val="24"/>
              </w:rPr>
              <w:t>rozdiel medzi dlhými</w:t>
            </w:r>
            <w:r w:rsidR="009912F8" w:rsidRPr="00E07C9A">
              <w:rPr>
                <w:rFonts w:ascii="Times New Roman" w:hAnsi="Times New Roman"/>
                <w:sz w:val="24"/>
              </w:rPr>
              <w:t xml:space="preserve"> a </w:t>
            </w:r>
            <w:r w:rsidRPr="00E07C9A">
              <w:rPr>
                <w:rFonts w:ascii="Times New Roman" w:hAnsi="Times New Roman"/>
                <w:sz w:val="24"/>
              </w:rPr>
              <w:t xml:space="preserve">krátkymi pozíciami, ktorý sa uplatňuje aj na tieto hrubé pozície, pozri článok 328 ods. 2 nariadenia (EÚ) </w:t>
            </w:r>
            <w:r w:rsidR="009912F8" w:rsidRPr="00E07C9A">
              <w:rPr>
                <w:rFonts w:ascii="Times New Roman" w:hAnsi="Times New Roman"/>
                <w:sz w:val="24"/>
              </w:rPr>
              <w:t>č. 575/2013</w:t>
            </w:r>
            <w:r w:rsidRPr="00E07C9A">
              <w:rPr>
                <w:rFonts w:ascii="Times New Roman" w:hAnsi="Times New Roman"/>
                <w:sz w:val="24"/>
              </w:rPr>
              <w:t>.</w:t>
            </w:r>
          </w:p>
        </w:tc>
      </w:tr>
      <w:tr w:rsidR="000B0B09" w:rsidRPr="00E07C9A" w14:paraId="05A2AFD3" w14:textId="77777777" w:rsidTr="00672D2A">
        <w:tc>
          <w:tcPr>
            <w:tcW w:w="988" w:type="dxa"/>
          </w:tcPr>
          <w:p w14:paraId="0443676D" w14:textId="77777777" w:rsidR="000B0B09" w:rsidRPr="00E07C9A" w:rsidRDefault="00EE2CD5" w:rsidP="000F70EC">
            <w:pPr>
              <w:autoSpaceDE w:val="0"/>
              <w:autoSpaceDN w:val="0"/>
              <w:adjustRightInd w:val="0"/>
              <w:spacing w:before="0" w:after="0"/>
              <w:rPr>
                <w:rFonts w:ascii="Times New Roman" w:hAnsi="Times New Roman"/>
                <w:sz w:val="24"/>
              </w:rPr>
            </w:pPr>
            <w:r w:rsidRPr="00E07C9A">
              <w:rPr>
                <w:rFonts w:ascii="Times New Roman" w:hAnsi="Times New Roman"/>
                <w:sz w:val="24"/>
              </w:rPr>
              <w:t>0030 – 0040</w:t>
            </w:r>
          </w:p>
        </w:tc>
        <w:tc>
          <w:tcPr>
            <w:tcW w:w="7874" w:type="dxa"/>
          </w:tcPr>
          <w:p w14:paraId="28E370A1" w14:textId="77777777" w:rsidR="000B0B09" w:rsidRPr="00E07C9A" w:rsidRDefault="000B0B09" w:rsidP="000B0B09">
            <w:pPr>
              <w:autoSpaceDE w:val="0"/>
              <w:autoSpaceDN w:val="0"/>
              <w:adjustRightInd w:val="0"/>
              <w:spacing w:before="0" w:after="0"/>
              <w:rPr>
                <w:rFonts w:ascii="Times New Roman" w:hAnsi="Times New Roman"/>
                <w:b/>
                <w:bCs/>
                <w:sz w:val="24"/>
                <w:u w:val="single"/>
              </w:rPr>
            </w:pPr>
            <w:r w:rsidRPr="00E07C9A">
              <w:rPr>
                <w:rFonts w:ascii="Times New Roman" w:hAnsi="Times New Roman"/>
                <w:b/>
                <w:sz w:val="24"/>
                <w:u w:val="single"/>
              </w:rPr>
              <w:t>ČISTÉ POZÍCIE (DLHÉ A KRÁTKE)</w:t>
            </w:r>
          </w:p>
          <w:p w14:paraId="38649486" w14:textId="6C06B1D9" w:rsidR="000B0B09" w:rsidRPr="00E07C9A" w:rsidRDefault="000B0B09" w:rsidP="005B04C9">
            <w:pPr>
              <w:rPr>
                <w:rFonts w:ascii="Times New Roman" w:hAnsi="Times New Roman"/>
                <w:sz w:val="24"/>
              </w:rPr>
            </w:pPr>
            <w:r w:rsidRPr="00E07C9A">
              <w:rPr>
                <w:rFonts w:ascii="Times New Roman" w:hAnsi="Times New Roman"/>
                <w:sz w:val="24"/>
              </w:rPr>
              <w:t>Články 327 až 329</w:t>
            </w:r>
            <w:r w:rsidR="009912F8" w:rsidRPr="00E07C9A">
              <w:rPr>
                <w:rFonts w:ascii="Times New Roman" w:hAnsi="Times New Roman"/>
                <w:sz w:val="24"/>
              </w:rPr>
              <w:t xml:space="preserve"> a </w:t>
            </w:r>
            <w:r w:rsidRPr="00E07C9A">
              <w:rPr>
                <w:rFonts w:ascii="Times New Roman" w:hAnsi="Times New Roman"/>
                <w:sz w:val="24"/>
              </w:rPr>
              <w:t xml:space="preserve">článok 334 nariadenia (EÚ) </w:t>
            </w:r>
            <w:r w:rsidR="009912F8" w:rsidRPr="00E07C9A">
              <w:rPr>
                <w:rFonts w:ascii="Times New Roman" w:hAnsi="Times New Roman"/>
                <w:sz w:val="24"/>
              </w:rPr>
              <w:t>č. 575/2013</w:t>
            </w:r>
            <w:r w:rsidRPr="00E07C9A">
              <w:rPr>
                <w:rFonts w:ascii="Times New Roman" w:hAnsi="Times New Roman"/>
                <w:sz w:val="24"/>
              </w:rPr>
              <w:t>. Pokiaľ ide</w:t>
            </w:r>
            <w:r w:rsidR="009912F8" w:rsidRPr="00E07C9A">
              <w:rPr>
                <w:rFonts w:ascii="Times New Roman" w:hAnsi="Times New Roman"/>
                <w:sz w:val="24"/>
              </w:rPr>
              <w:t xml:space="preserve"> o </w:t>
            </w:r>
            <w:r w:rsidRPr="00E07C9A">
              <w:rPr>
                <w:rFonts w:ascii="Times New Roman" w:hAnsi="Times New Roman"/>
                <w:sz w:val="24"/>
              </w:rPr>
              <w:t>rozdiel medzi dlhými</w:t>
            </w:r>
            <w:r w:rsidR="009912F8" w:rsidRPr="00E07C9A">
              <w:rPr>
                <w:rFonts w:ascii="Times New Roman" w:hAnsi="Times New Roman"/>
                <w:sz w:val="24"/>
              </w:rPr>
              <w:t xml:space="preserve"> a </w:t>
            </w:r>
            <w:r w:rsidRPr="00E07C9A">
              <w:rPr>
                <w:rFonts w:ascii="Times New Roman" w:hAnsi="Times New Roman"/>
                <w:sz w:val="24"/>
              </w:rPr>
              <w:t xml:space="preserve">krátkymi pozíciami, pozri článok 328 ods. 2 nariadenia (EÚ) </w:t>
            </w:r>
            <w:r w:rsidR="009912F8" w:rsidRPr="00E07C9A">
              <w:rPr>
                <w:rFonts w:ascii="Times New Roman" w:hAnsi="Times New Roman"/>
                <w:sz w:val="24"/>
              </w:rPr>
              <w:t>č. 575/2013</w:t>
            </w:r>
            <w:r w:rsidRPr="00E07C9A">
              <w:rPr>
                <w:rFonts w:ascii="Times New Roman" w:hAnsi="Times New Roman"/>
                <w:sz w:val="24"/>
              </w:rPr>
              <w:t>.</w:t>
            </w:r>
          </w:p>
        </w:tc>
      </w:tr>
      <w:tr w:rsidR="000B0B09" w:rsidRPr="00E07C9A" w14:paraId="4C7D46FF" w14:textId="77777777" w:rsidTr="00672D2A">
        <w:tc>
          <w:tcPr>
            <w:tcW w:w="988" w:type="dxa"/>
          </w:tcPr>
          <w:p w14:paraId="4D3FEEA5" w14:textId="77777777" w:rsidR="000B0B09" w:rsidRPr="00E07C9A" w:rsidRDefault="00EE2CD5"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0050</w:t>
            </w:r>
          </w:p>
        </w:tc>
        <w:tc>
          <w:tcPr>
            <w:tcW w:w="7874" w:type="dxa"/>
          </w:tcPr>
          <w:p w14:paraId="28B3043D" w14:textId="77777777" w:rsidR="000B0B09" w:rsidRPr="00E07C9A" w:rsidRDefault="000B0B09" w:rsidP="000B0B09">
            <w:pPr>
              <w:autoSpaceDE w:val="0"/>
              <w:autoSpaceDN w:val="0"/>
              <w:adjustRightInd w:val="0"/>
              <w:spacing w:before="0" w:after="0"/>
              <w:rPr>
                <w:rFonts w:ascii="Times New Roman" w:hAnsi="Times New Roman"/>
                <w:b/>
                <w:bCs/>
                <w:sz w:val="24"/>
                <w:u w:val="single"/>
              </w:rPr>
            </w:pPr>
            <w:r w:rsidRPr="00E07C9A">
              <w:rPr>
                <w:rFonts w:ascii="Times New Roman" w:hAnsi="Times New Roman"/>
                <w:b/>
                <w:sz w:val="24"/>
                <w:u w:val="single"/>
              </w:rPr>
              <w:t>POZÍCIE, NA KTORÉ SA VZŤAHUJE KAPITÁLOVÁ POŽIADAVKA</w:t>
            </w:r>
          </w:p>
          <w:p w14:paraId="76B658E5" w14:textId="09A5DEAA" w:rsidR="000B0B09" w:rsidRPr="00E07C9A" w:rsidRDefault="000B0B09" w:rsidP="007079CE">
            <w:pPr>
              <w:rPr>
                <w:rFonts w:ascii="Times New Roman" w:hAnsi="Times New Roman"/>
                <w:b/>
                <w:bCs/>
                <w:sz w:val="24"/>
                <w:u w:val="single"/>
              </w:rPr>
            </w:pPr>
            <w:r w:rsidRPr="00E07C9A">
              <w:rPr>
                <w:rFonts w:ascii="Times New Roman" w:hAnsi="Times New Roman"/>
                <w:sz w:val="24"/>
              </w:rPr>
              <w:t>Čisté pozície, na ktoré sa podľa rôznych prístupov</w:t>
            </w:r>
            <w:r w:rsidR="009912F8" w:rsidRPr="00E07C9A">
              <w:rPr>
                <w:rFonts w:ascii="Times New Roman" w:hAnsi="Times New Roman"/>
                <w:sz w:val="24"/>
              </w:rPr>
              <w:t xml:space="preserve"> v </w:t>
            </w:r>
            <w:r w:rsidRPr="00E07C9A">
              <w:rPr>
                <w:rFonts w:ascii="Times New Roman" w:hAnsi="Times New Roman"/>
                <w:sz w:val="24"/>
              </w:rPr>
              <w:t xml:space="preserve">tretej časti hlave IV kapitole 2 nariadenia (EÚ) </w:t>
            </w:r>
            <w:r w:rsidR="009912F8" w:rsidRPr="00E07C9A">
              <w:rPr>
                <w:rFonts w:ascii="Times New Roman" w:hAnsi="Times New Roman"/>
                <w:sz w:val="24"/>
              </w:rPr>
              <w:t>č. 575/2013</w:t>
            </w:r>
            <w:r w:rsidRPr="00E07C9A">
              <w:rPr>
                <w:rFonts w:ascii="Times New Roman" w:hAnsi="Times New Roman"/>
                <w:sz w:val="24"/>
              </w:rPr>
              <w:t xml:space="preserve"> vzťahuje kapitálová požiadavka.</w:t>
            </w:r>
          </w:p>
        </w:tc>
      </w:tr>
      <w:tr w:rsidR="000B0B09" w:rsidRPr="00E07C9A" w14:paraId="017C014C" w14:textId="77777777" w:rsidTr="00672D2A">
        <w:tc>
          <w:tcPr>
            <w:tcW w:w="988" w:type="dxa"/>
          </w:tcPr>
          <w:p w14:paraId="7D197D93" w14:textId="77777777" w:rsidR="000B0B09" w:rsidRPr="00E07C9A" w:rsidRDefault="00EE2CD5"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0060</w:t>
            </w:r>
          </w:p>
        </w:tc>
        <w:tc>
          <w:tcPr>
            <w:tcW w:w="7874" w:type="dxa"/>
          </w:tcPr>
          <w:p w14:paraId="55F3618B" w14:textId="77777777" w:rsidR="000B0B09" w:rsidRPr="00E07C9A" w:rsidRDefault="000B0B09" w:rsidP="000B0B09">
            <w:pPr>
              <w:tabs>
                <w:tab w:val="left" w:pos="1665"/>
              </w:tabs>
              <w:autoSpaceDE w:val="0"/>
              <w:autoSpaceDN w:val="0"/>
              <w:adjustRightInd w:val="0"/>
              <w:spacing w:before="0" w:after="0"/>
              <w:rPr>
                <w:rFonts w:ascii="Times New Roman" w:hAnsi="Times New Roman"/>
                <w:b/>
                <w:bCs/>
                <w:sz w:val="24"/>
                <w:u w:val="single"/>
              </w:rPr>
            </w:pPr>
            <w:r w:rsidRPr="00E07C9A">
              <w:rPr>
                <w:rFonts w:ascii="Times New Roman" w:hAnsi="Times New Roman"/>
                <w:b/>
                <w:sz w:val="24"/>
                <w:u w:val="single"/>
              </w:rPr>
              <w:t>POŽIADAVKY NA VLASTNÉ ZDROJE</w:t>
            </w:r>
          </w:p>
          <w:p w14:paraId="74F1F61F" w14:textId="4B61E660" w:rsidR="000B0B09" w:rsidRPr="00E07C9A" w:rsidRDefault="000B0B09" w:rsidP="005B04C9">
            <w:pPr>
              <w:rPr>
                <w:rFonts w:ascii="Times New Roman" w:hAnsi="Times New Roman"/>
                <w:b/>
                <w:bCs/>
                <w:sz w:val="24"/>
                <w:u w:val="single"/>
              </w:rPr>
            </w:pPr>
            <w:r w:rsidRPr="00E07C9A">
              <w:rPr>
                <w:rFonts w:ascii="Times New Roman" w:hAnsi="Times New Roman"/>
                <w:sz w:val="24"/>
              </w:rPr>
              <w:t>Kapitálová požiadavka pre všetky relevantné pozície</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treťou časťou hlavou IV kapitolou 2 nariadenia (EÚ) </w:t>
            </w:r>
            <w:r w:rsidR="009912F8" w:rsidRPr="00E07C9A">
              <w:rPr>
                <w:rFonts w:ascii="Times New Roman" w:hAnsi="Times New Roman"/>
                <w:sz w:val="24"/>
              </w:rPr>
              <w:t>č. 575/2013</w:t>
            </w:r>
            <w:r w:rsidRPr="00E07C9A">
              <w:rPr>
                <w:rFonts w:ascii="Times New Roman" w:hAnsi="Times New Roman"/>
                <w:sz w:val="24"/>
              </w:rPr>
              <w:t>.</w:t>
            </w:r>
          </w:p>
        </w:tc>
      </w:tr>
      <w:tr w:rsidR="000B0B09" w:rsidRPr="00E07C9A" w14:paraId="56717AD1" w14:textId="77777777" w:rsidTr="00672D2A">
        <w:tc>
          <w:tcPr>
            <w:tcW w:w="988" w:type="dxa"/>
          </w:tcPr>
          <w:p w14:paraId="0D4A61CE" w14:textId="77777777" w:rsidR="000B0B09" w:rsidRPr="00E07C9A" w:rsidRDefault="00EE2CD5"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0070</w:t>
            </w:r>
          </w:p>
        </w:tc>
        <w:tc>
          <w:tcPr>
            <w:tcW w:w="7874" w:type="dxa"/>
          </w:tcPr>
          <w:p w14:paraId="7996E138" w14:textId="77777777" w:rsidR="000B0B09" w:rsidRPr="00E07C9A" w:rsidRDefault="000B0B09" w:rsidP="000B0B09">
            <w:pPr>
              <w:tabs>
                <w:tab w:val="left" w:pos="1665"/>
              </w:tabs>
              <w:autoSpaceDE w:val="0"/>
              <w:autoSpaceDN w:val="0"/>
              <w:adjustRightInd w:val="0"/>
              <w:spacing w:before="0" w:after="0"/>
              <w:rPr>
                <w:rFonts w:ascii="Times New Roman" w:hAnsi="Times New Roman"/>
                <w:b/>
                <w:bCs/>
                <w:sz w:val="24"/>
                <w:u w:val="single"/>
              </w:rPr>
            </w:pPr>
            <w:r w:rsidRPr="00E07C9A">
              <w:rPr>
                <w:rFonts w:ascii="Times New Roman" w:hAnsi="Times New Roman"/>
                <w:b/>
                <w:sz w:val="24"/>
                <w:u w:val="single"/>
              </w:rPr>
              <w:t>CELKOVÁ HODNOTA RIZIKOVEJ EXPOZÍCIE</w:t>
            </w:r>
          </w:p>
          <w:p w14:paraId="2C4B0E54" w14:textId="10C8B2D6" w:rsidR="000B0B09" w:rsidRPr="00E07C9A" w:rsidRDefault="000B0B09" w:rsidP="00D24331">
            <w:pPr>
              <w:rPr>
                <w:rFonts w:ascii="Times New Roman" w:hAnsi="Times New Roman"/>
                <w:b/>
                <w:bCs/>
                <w:sz w:val="24"/>
                <w:u w:val="single"/>
              </w:rPr>
            </w:pPr>
            <w:r w:rsidRPr="00E07C9A">
              <w:rPr>
                <w:rFonts w:ascii="Times New Roman" w:hAnsi="Times New Roman"/>
                <w:sz w:val="24"/>
              </w:rPr>
              <w:t xml:space="preserve">Článok 92 ods. 4 písm. b) nariadenia (EÚ) </w:t>
            </w:r>
            <w:r w:rsidR="009912F8" w:rsidRPr="00E07C9A">
              <w:rPr>
                <w:rFonts w:ascii="Times New Roman" w:hAnsi="Times New Roman"/>
                <w:sz w:val="24"/>
              </w:rPr>
              <w:t>č. 575/2013</w:t>
            </w:r>
            <w:r w:rsidRPr="00E07C9A">
              <w:rPr>
                <w:rFonts w:ascii="Times New Roman" w:hAnsi="Times New Roman"/>
                <w:sz w:val="24"/>
              </w:rPr>
              <w:t xml:space="preserve"> Výsledok vynásobenia požiadaviek na vlastné zdroje koeficientom 12,5. </w:t>
            </w:r>
          </w:p>
        </w:tc>
      </w:tr>
    </w:tbl>
    <w:p w14:paraId="5A8176A5" w14:textId="77777777" w:rsidR="000B0B09" w:rsidRPr="00E07C9A" w:rsidRDefault="000B0B09" w:rsidP="000B0B09">
      <w:pPr>
        <w:autoSpaceDE w:val="0"/>
        <w:autoSpaceDN w:val="0"/>
        <w:adjustRightInd w:val="0"/>
        <w:spacing w:before="0" w:after="0"/>
        <w:rPr>
          <w:rFonts w:ascii="Times New Roman" w:hAnsi="Times New Roman"/>
          <w:sz w:val="24"/>
          <w:lang w:eastAsia="nl-BE"/>
        </w:rPr>
      </w:pPr>
    </w:p>
    <w:p w14:paraId="33B18629" w14:textId="77777777" w:rsidR="000B0B09" w:rsidRPr="00E07C9A"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E07C9A" w14:paraId="64300D2A" w14:textId="77777777" w:rsidTr="00672D2A">
        <w:trPr>
          <w:trHeight w:val="533"/>
        </w:trPr>
        <w:tc>
          <w:tcPr>
            <w:tcW w:w="8862" w:type="dxa"/>
            <w:gridSpan w:val="2"/>
            <w:shd w:val="clear" w:color="auto" w:fill="CCCCCC"/>
          </w:tcPr>
          <w:p w14:paraId="3C74B427" w14:textId="77777777" w:rsidR="000B0B09" w:rsidRPr="00E07C9A" w:rsidRDefault="000B0B09" w:rsidP="000B0B09">
            <w:pPr>
              <w:autoSpaceDE w:val="0"/>
              <w:autoSpaceDN w:val="0"/>
              <w:adjustRightInd w:val="0"/>
              <w:spacing w:after="0"/>
              <w:rPr>
                <w:rFonts w:ascii="Times New Roman" w:hAnsi="Times New Roman"/>
                <w:b/>
                <w:sz w:val="24"/>
              </w:rPr>
            </w:pPr>
            <w:r w:rsidRPr="00E07C9A">
              <w:rPr>
                <w:rFonts w:ascii="Times New Roman" w:hAnsi="Times New Roman"/>
                <w:b/>
                <w:sz w:val="24"/>
              </w:rPr>
              <w:t>Riadky</w:t>
            </w:r>
          </w:p>
        </w:tc>
      </w:tr>
      <w:tr w:rsidR="000B0B09" w:rsidRPr="00E07C9A" w14:paraId="278DCECA" w14:textId="77777777" w:rsidTr="00672D2A">
        <w:trPr>
          <w:trHeight w:val="1168"/>
        </w:trPr>
        <w:tc>
          <w:tcPr>
            <w:tcW w:w="987" w:type="dxa"/>
          </w:tcPr>
          <w:p w14:paraId="2275EBA9" w14:textId="77777777" w:rsidR="000B0B09" w:rsidRPr="00E07C9A" w:rsidRDefault="00EE2CD5" w:rsidP="00EE2CD5">
            <w:pPr>
              <w:autoSpaceDE w:val="0"/>
              <w:autoSpaceDN w:val="0"/>
              <w:adjustRightInd w:val="0"/>
              <w:spacing w:before="0" w:after="0"/>
              <w:rPr>
                <w:rFonts w:ascii="Times New Roman" w:hAnsi="Times New Roman"/>
                <w:sz w:val="24"/>
              </w:rPr>
            </w:pPr>
            <w:r w:rsidRPr="00E07C9A">
              <w:rPr>
                <w:rFonts w:ascii="Times New Roman" w:hAnsi="Times New Roman"/>
                <w:sz w:val="24"/>
              </w:rPr>
              <w:t>0010 –⁠ 0350</w:t>
            </w:r>
          </w:p>
        </w:tc>
        <w:tc>
          <w:tcPr>
            <w:tcW w:w="7875" w:type="dxa"/>
          </w:tcPr>
          <w:p w14:paraId="20DE7F59" w14:textId="7D703021" w:rsidR="000B0B09" w:rsidRPr="00E07C9A" w:rsidRDefault="000B0B09" w:rsidP="000B0B09">
            <w:pPr>
              <w:autoSpaceDE w:val="0"/>
              <w:autoSpaceDN w:val="0"/>
              <w:adjustRightInd w:val="0"/>
              <w:spacing w:before="0" w:after="0"/>
              <w:rPr>
                <w:rFonts w:ascii="Times New Roman" w:hAnsi="Times New Roman"/>
                <w:b/>
                <w:bCs/>
                <w:sz w:val="24"/>
                <w:u w:val="single"/>
              </w:rPr>
            </w:pPr>
            <w:r w:rsidRPr="00E07C9A">
              <w:rPr>
                <w:rFonts w:ascii="Times New Roman" w:hAnsi="Times New Roman"/>
                <w:b/>
                <w:sz w:val="24"/>
                <w:u w:val="single"/>
              </w:rPr>
              <w:t>OBCHODOVANÉ DLHOVÉ NÁSTROJE</w:t>
            </w:r>
            <w:r w:rsidR="009912F8" w:rsidRPr="00E07C9A">
              <w:rPr>
                <w:rFonts w:ascii="Times New Roman" w:hAnsi="Times New Roman"/>
                <w:b/>
                <w:sz w:val="24"/>
                <w:u w:val="single"/>
              </w:rPr>
              <w:t xml:space="preserve"> V </w:t>
            </w:r>
            <w:r w:rsidRPr="00E07C9A">
              <w:rPr>
                <w:rFonts w:ascii="Times New Roman" w:hAnsi="Times New Roman"/>
                <w:b/>
                <w:sz w:val="24"/>
                <w:u w:val="single"/>
              </w:rPr>
              <w:t>OBCHODNEJ KNIHE</w:t>
            </w:r>
          </w:p>
          <w:p w14:paraId="12C841B7" w14:textId="3822CFA8" w:rsidR="000B0B09" w:rsidRPr="00E07C9A" w:rsidRDefault="000B0B09" w:rsidP="00D24331">
            <w:pPr>
              <w:rPr>
                <w:rFonts w:ascii="Times New Roman" w:hAnsi="Times New Roman"/>
                <w:sz w:val="24"/>
              </w:rPr>
            </w:pPr>
            <w:r w:rsidRPr="00E07C9A">
              <w:rPr>
                <w:rFonts w:ascii="Times New Roman" w:hAnsi="Times New Roman"/>
                <w:sz w:val="24"/>
              </w:rPr>
              <w:t>Pozície</w:t>
            </w:r>
            <w:r w:rsidR="009912F8" w:rsidRPr="00E07C9A">
              <w:rPr>
                <w:rFonts w:ascii="Times New Roman" w:hAnsi="Times New Roman"/>
                <w:sz w:val="24"/>
              </w:rPr>
              <w:t xml:space="preserve"> v </w:t>
            </w:r>
            <w:r w:rsidRPr="00E07C9A">
              <w:rPr>
                <w:rFonts w:ascii="Times New Roman" w:hAnsi="Times New Roman"/>
                <w:sz w:val="24"/>
              </w:rPr>
              <w:t>obchodovaných dlhových nástrojoch</w:t>
            </w:r>
            <w:r w:rsidR="009912F8" w:rsidRPr="00E07C9A">
              <w:rPr>
                <w:rFonts w:ascii="Times New Roman" w:hAnsi="Times New Roman"/>
                <w:sz w:val="24"/>
              </w:rPr>
              <w:t xml:space="preserve"> v </w:t>
            </w:r>
            <w:r w:rsidRPr="00E07C9A">
              <w:rPr>
                <w:rFonts w:ascii="Times New Roman" w:hAnsi="Times New Roman"/>
                <w:sz w:val="24"/>
              </w:rPr>
              <w:t>obchodnej knihe</w:t>
            </w:r>
            <w:r w:rsidR="009912F8" w:rsidRPr="00E07C9A">
              <w:rPr>
                <w:rFonts w:ascii="Times New Roman" w:hAnsi="Times New Roman"/>
                <w:sz w:val="24"/>
              </w:rPr>
              <w:t xml:space="preserve"> a </w:t>
            </w:r>
            <w:r w:rsidRPr="00E07C9A">
              <w:rPr>
                <w:rFonts w:ascii="Times New Roman" w:hAnsi="Times New Roman"/>
                <w:sz w:val="24"/>
              </w:rPr>
              <w:t>ich zodpovedajúce požiadavky na vlastné zdroje pre pozičné riziko</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92 ods. 3 písm. b) bodom i) nariadenia (EÚ) </w:t>
            </w:r>
            <w:r w:rsidR="009912F8" w:rsidRPr="00E07C9A">
              <w:rPr>
                <w:rFonts w:ascii="Times New Roman" w:hAnsi="Times New Roman"/>
                <w:sz w:val="24"/>
              </w:rPr>
              <w:t>č. 575/2013 a </w:t>
            </w:r>
            <w:r w:rsidRPr="00E07C9A">
              <w:rPr>
                <w:rFonts w:ascii="Times New Roman" w:hAnsi="Times New Roman"/>
                <w:sz w:val="24"/>
              </w:rPr>
              <w:t xml:space="preserve">treťou časťou hlavou IV kapitolou 2 nariadenia (EÚ) </w:t>
            </w:r>
            <w:r w:rsidR="009912F8" w:rsidRPr="00E07C9A">
              <w:rPr>
                <w:rFonts w:ascii="Times New Roman" w:hAnsi="Times New Roman"/>
                <w:sz w:val="24"/>
              </w:rPr>
              <w:t>č. 575/2013</w:t>
            </w:r>
            <w:r w:rsidRPr="00E07C9A">
              <w:rPr>
                <w:rFonts w:ascii="Times New Roman" w:hAnsi="Times New Roman"/>
                <w:sz w:val="24"/>
              </w:rPr>
              <w:t xml:space="preserve"> sa vykazujú</w:t>
            </w:r>
            <w:r w:rsidR="009912F8" w:rsidRPr="00E07C9A">
              <w:rPr>
                <w:rFonts w:ascii="Times New Roman" w:hAnsi="Times New Roman"/>
                <w:sz w:val="24"/>
              </w:rPr>
              <w:t xml:space="preserve"> v </w:t>
            </w:r>
            <w:r w:rsidRPr="00E07C9A">
              <w:rPr>
                <w:rFonts w:ascii="Times New Roman" w:hAnsi="Times New Roman"/>
                <w:sz w:val="24"/>
              </w:rPr>
              <w:t>závislosti od kategórie rizika, splatnosti</w:t>
            </w:r>
            <w:r w:rsidR="009912F8" w:rsidRPr="00E07C9A">
              <w:rPr>
                <w:rFonts w:ascii="Times New Roman" w:hAnsi="Times New Roman"/>
                <w:sz w:val="24"/>
              </w:rPr>
              <w:t xml:space="preserve"> a </w:t>
            </w:r>
            <w:r w:rsidRPr="00E07C9A">
              <w:rPr>
                <w:rFonts w:ascii="Times New Roman" w:hAnsi="Times New Roman"/>
                <w:sz w:val="24"/>
              </w:rPr>
              <w:t>použitého prístupu.</w:t>
            </w:r>
          </w:p>
        </w:tc>
      </w:tr>
      <w:tr w:rsidR="000B0B09" w:rsidRPr="00E07C9A" w14:paraId="2272E4A5" w14:textId="77777777" w:rsidTr="00672D2A">
        <w:tc>
          <w:tcPr>
            <w:tcW w:w="987" w:type="dxa"/>
          </w:tcPr>
          <w:p w14:paraId="0642F5E6" w14:textId="77777777" w:rsidR="000B0B09" w:rsidRPr="00E07C9A" w:rsidRDefault="00EE2CD5" w:rsidP="000F70EC">
            <w:pPr>
              <w:autoSpaceDE w:val="0"/>
              <w:autoSpaceDN w:val="0"/>
              <w:adjustRightInd w:val="0"/>
              <w:spacing w:before="0" w:after="0"/>
              <w:rPr>
                <w:rFonts w:ascii="Times New Roman" w:hAnsi="Times New Roman"/>
                <w:sz w:val="24"/>
              </w:rPr>
            </w:pPr>
            <w:r w:rsidRPr="00E07C9A">
              <w:rPr>
                <w:rFonts w:ascii="Times New Roman" w:hAnsi="Times New Roman"/>
                <w:sz w:val="24"/>
              </w:rPr>
              <w:t>0011</w:t>
            </w:r>
          </w:p>
        </w:tc>
        <w:tc>
          <w:tcPr>
            <w:tcW w:w="7875" w:type="dxa"/>
          </w:tcPr>
          <w:p w14:paraId="51E03C37" w14:textId="77777777" w:rsidR="000B0B09" w:rsidRPr="00E07C9A" w:rsidRDefault="000B0B09" w:rsidP="000B0B09">
            <w:pPr>
              <w:autoSpaceDE w:val="0"/>
              <w:autoSpaceDN w:val="0"/>
              <w:adjustRightInd w:val="0"/>
              <w:spacing w:before="0" w:after="0"/>
              <w:rPr>
                <w:rFonts w:ascii="Times New Roman" w:hAnsi="Times New Roman"/>
                <w:sz w:val="24"/>
              </w:rPr>
            </w:pPr>
            <w:r w:rsidRPr="00E07C9A">
              <w:rPr>
                <w:rFonts w:ascii="Times New Roman" w:hAnsi="Times New Roman"/>
                <w:b/>
                <w:sz w:val="24"/>
                <w:u w:val="single"/>
              </w:rPr>
              <w:t xml:space="preserve">VŠEOBECNÉ RIZIKO. </w:t>
            </w:r>
          </w:p>
        </w:tc>
      </w:tr>
      <w:tr w:rsidR="000B0B09" w:rsidRPr="00E07C9A" w14:paraId="55F30C33" w14:textId="77777777" w:rsidTr="00672D2A">
        <w:tc>
          <w:tcPr>
            <w:tcW w:w="987" w:type="dxa"/>
          </w:tcPr>
          <w:p w14:paraId="2CBA5F8A" w14:textId="77777777" w:rsidR="000B0B09" w:rsidRPr="00E07C9A" w:rsidRDefault="00EE2CD5"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0012</w:t>
            </w:r>
          </w:p>
        </w:tc>
        <w:tc>
          <w:tcPr>
            <w:tcW w:w="7875" w:type="dxa"/>
          </w:tcPr>
          <w:p w14:paraId="04F0038F" w14:textId="77777777" w:rsidR="000B0B09" w:rsidRPr="00E07C9A" w:rsidRDefault="000B0B09" w:rsidP="000B0B09">
            <w:pPr>
              <w:autoSpaceDE w:val="0"/>
              <w:autoSpaceDN w:val="0"/>
              <w:adjustRightInd w:val="0"/>
              <w:spacing w:before="0" w:after="0"/>
              <w:rPr>
                <w:rFonts w:ascii="Times New Roman" w:hAnsi="Times New Roman"/>
                <w:sz w:val="24"/>
              </w:rPr>
            </w:pPr>
            <w:r w:rsidRPr="00E07C9A">
              <w:rPr>
                <w:rFonts w:ascii="Times New Roman" w:hAnsi="Times New Roman"/>
                <w:b/>
                <w:sz w:val="24"/>
                <w:u w:val="single"/>
              </w:rPr>
              <w:t>Deriváty</w:t>
            </w:r>
          </w:p>
          <w:p w14:paraId="06C530F0" w14:textId="54AAEA71" w:rsidR="000B0B09" w:rsidRPr="00E07C9A" w:rsidRDefault="000B0B09" w:rsidP="00BD2FE7">
            <w:pPr>
              <w:rPr>
                <w:rFonts w:ascii="Times New Roman" w:hAnsi="Times New Roman"/>
                <w:b/>
                <w:bCs/>
                <w:sz w:val="24"/>
                <w:u w:val="single"/>
              </w:rPr>
            </w:pPr>
            <w:r w:rsidRPr="00E07C9A">
              <w:rPr>
                <w:rFonts w:ascii="Times New Roman" w:hAnsi="Times New Roman"/>
                <w:sz w:val="24"/>
              </w:rPr>
              <w:t>Deriváty zahrnuté vo výpočte úrokového rizika pozícií</w:t>
            </w:r>
            <w:r w:rsidR="009912F8" w:rsidRPr="00E07C9A">
              <w:rPr>
                <w:rFonts w:ascii="Times New Roman" w:hAnsi="Times New Roman"/>
                <w:sz w:val="24"/>
              </w:rPr>
              <w:t xml:space="preserve"> v </w:t>
            </w:r>
            <w:r w:rsidRPr="00E07C9A">
              <w:rPr>
                <w:rFonts w:ascii="Times New Roman" w:hAnsi="Times New Roman"/>
                <w:sz w:val="24"/>
              </w:rPr>
              <w:t xml:space="preserve">obchodnej knihe so zohľadnením článkov 328 až 331 nariadenia (EÚ) </w:t>
            </w:r>
            <w:r w:rsidR="009912F8" w:rsidRPr="00E07C9A">
              <w:rPr>
                <w:rFonts w:ascii="Times New Roman" w:hAnsi="Times New Roman"/>
                <w:sz w:val="24"/>
              </w:rPr>
              <w:t>č. 575/2013</w:t>
            </w:r>
            <w:r w:rsidRPr="00E07C9A">
              <w:rPr>
                <w:rFonts w:ascii="Times New Roman" w:hAnsi="Times New Roman"/>
                <w:sz w:val="24"/>
              </w:rPr>
              <w:t>, ak sú uplatniteľné.</w:t>
            </w:r>
          </w:p>
        </w:tc>
      </w:tr>
      <w:tr w:rsidR="000B0B09" w:rsidRPr="00E07C9A" w14:paraId="36851B46" w14:textId="77777777" w:rsidTr="00672D2A">
        <w:tc>
          <w:tcPr>
            <w:tcW w:w="987" w:type="dxa"/>
          </w:tcPr>
          <w:p w14:paraId="6827F663" w14:textId="77777777" w:rsidR="000B0B09" w:rsidRPr="00E07C9A" w:rsidRDefault="00EE2CD5"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0013</w:t>
            </w:r>
          </w:p>
        </w:tc>
        <w:tc>
          <w:tcPr>
            <w:tcW w:w="7875" w:type="dxa"/>
          </w:tcPr>
          <w:p w14:paraId="60242973" w14:textId="258D9D21" w:rsidR="000B0B09" w:rsidRPr="00E07C9A" w:rsidRDefault="000B0B09" w:rsidP="000B0B09">
            <w:pPr>
              <w:autoSpaceDE w:val="0"/>
              <w:autoSpaceDN w:val="0"/>
              <w:adjustRightInd w:val="0"/>
              <w:spacing w:before="0" w:after="0"/>
              <w:rPr>
                <w:rFonts w:ascii="Times New Roman" w:hAnsi="Times New Roman"/>
                <w:b/>
                <w:bCs/>
                <w:sz w:val="24"/>
                <w:u w:val="single"/>
              </w:rPr>
            </w:pPr>
            <w:r w:rsidRPr="00E07C9A">
              <w:rPr>
                <w:rFonts w:ascii="Times New Roman" w:hAnsi="Times New Roman"/>
                <w:b/>
                <w:sz w:val="24"/>
                <w:u w:val="single"/>
              </w:rPr>
              <w:t>Ostatné aktíva</w:t>
            </w:r>
            <w:r w:rsidR="009912F8" w:rsidRPr="00E07C9A">
              <w:rPr>
                <w:rFonts w:ascii="Times New Roman" w:hAnsi="Times New Roman"/>
                <w:b/>
                <w:sz w:val="24"/>
                <w:u w:val="single"/>
              </w:rPr>
              <w:t xml:space="preserve"> a </w:t>
            </w:r>
            <w:r w:rsidRPr="00E07C9A">
              <w:rPr>
                <w:rFonts w:ascii="Times New Roman" w:hAnsi="Times New Roman"/>
                <w:b/>
                <w:sz w:val="24"/>
                <w:u w:val="single"/>
              </w:rPr>
              <w:t>záväzky</w:t>
            </w:r>
          </w:p>
          <w:p w14:paraId="665719C9" w14:textId="12398FED" w:rsidR="000B0B09" w:rsidRPr="00E07C9A" w:rsidRDefault="000B0B09" w:rsidP="00BD2FE7">
            <w:pPr>
              <w:rPr>
                <w:rFonts w:ascii="Times New Roman" w:hAnsi="Times New Roman"/>
                <w:b/>
                <w:bCs/>
                <w:sz w:val="24"/>
                <w:u w:val="single"/>
              </w:rPr>
            </w:pPr>
            <w:r w:rsidRPr="00E07C9A">
              <w:rPr>
                <w:rFonts w:ascii="Times New Roman" w:hAnsi="Times New Roman"/>
                <w:sz w:val="24"/>
              </w:rPr>
              <w:t>Nástroje iné než deriváty zahrnuté vo výpočte úrokového rizika pozícií</w:t>
            </w:r>
            <w:r w:rsidR="009912F8" w:rsidRPr="00E07C9A">
              <w:rPr>
                <w:rFonts w:ascii="Times New Roman" w:hAnsi="Times New Roman"/>
                <w:sz w:val="24"/>
              </w:rPr>
              <w:t xml:space="preserve"> v </w:t>
            </w:r>
            <w:r w:rsidRPr="00E07C9A">
              <w:rPr>
                <w:rFonts w:ascii="Times New Roman" w:hAnsi="Times New Roman"/>
                <w:sz w:val="24"/>
              </w:rPr>
              <w:t xml:space="preserve">obchodnej knihe. </w:t>
            </w:r>
          </w:p>
        </w:tc>
      </w:tr>
      <w:tr w:rsidR="000B0B09" w:rsidRPr="00E07C9A" w14:paraId="177EBA5C" w14:textId="77777777" w:rsidTr="00672D2A">
        <w:tc>
          <w:tcPr>
            <w:tcW w:w="987" w:type="dxa"/>
          </w:tcPr>
          <w:p w14:paraId="2B740B72" w14:textId="77777777" w:rsidR="000B0B09" w:rsidRPr="00E07C9A" w:rsidRDefault="00EE2CD5"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0020 –⁠ 0200</w:t>
            </w:r>
          </w:p>
        </w:tc>
        <w:tc>
          <w:tcPr>
            <w:tcW w:w="7875" w:type="dxa"/>
          </w:tcPr>
          <w:p w14:paraId="1DE7E50A" w14:textId="77777777" w:rsidR="000B0B09" w:rsidRPr="00E07C9A" w:rsidRDefault="000B0B09" w:rsidP="000B0B09">
            <w:pPr>
              <w:autoSpaceDE w:val="0"/>
              <w:autoSpaceDN w:val="0"/>
              <w:adjustRightInd w:val="0"/>
              <w:spacing w:before="0" w:after="0"/>
              <w:rPr>
                <w:rFonts w:ascii="Times New Roman" w:hAnsi="Times New Roman"/>
                <w:b/>
                <w:bCs/>
                <w:sz w:val="24"/>
                <w:u w:val="single"/>
              </w:rPr>
            </w:pPr>
            <w:r w:rsidRPr="00E07C9A">
              <w:rPr>
                <w:rFonts w:ascii="Times New Roman" w:hAnsi="Times New Roman"/>
                <w:b/>
                <w:sz w:val="24"/>
                <w:u w:val="single"/>
              </w:rPr>
              <w:t>PRÍSTUP ZALOŽENÝ NA SPLATNOSTI</w:t>
            </w:r>
          </w:p>
          <w:p w14:paraId="644A7531" w14:textId="5C22EF37" w:rsidR="000B0B09" w:rsidRPr="00E07C9A" w:rsidRDefault="000B0B09" w:rsidP="00D24331">
            <w:pPr>
              <w:rPr>
                <w:rFonts w:ascii="Times New Roman" w:hAnsi="Times New Roman"/>
                <w:b/>
                <w:bCs/>
                <w:sz w:val="24"/>
                <w:u w:val="single"/>
              </w:rPr>
            </w:pPr>
            <w:r w:rsidRPr="00E07C9A">
              <w:rPr>
                <w:rFonts w:ascii="Times New Roman" w:hAnsi="Times New Roman"/>
                <w:sz w:val="24"/>
              </w:rPr>
              <w:t>Pozície</w:t>
            </w:r>
            <w:r w:rsidR="009912F8" w:rsidRPr="00E07C9A">
              <w:rPr>
                <w:rFonts w:ascii="Times New Roman" w:hAnsi="Times New Roman"/>
                <w:sz w:val="24"/>
              </w:rPr>
              <w:t xml:space="preserve"> v </w:t>
            </w:r>
            <w:r w:rsidRPr="00E07C9A">
              <w:rPr>
                <w:rFonts w:ascii="Times New Roman" w:hAnsi="Times New Roman"/>
                <w:sz w:val="24"/>
              </w:rPr>
              <w:t xml:space="preserve">obchodovaných dlhových nástrojoch, na ktoré sa uplatňuje prístup založený na splatnosti podľa článku 339 ods. 1 až 8 nariadenia (EÚ) </w:t>
            </w:r>
            <w:r w:rsidR="009912F8" w:rsidRPr="00E07C9A">
              <w:rPr>
                <w:rFonts w:ascii="Times New Roman" w:hAnsi="Times New Roman"/>
                <w:sz w:val="24"/>
              </w:rPr>
              <w:t>č. 575/2013</w:t>
            </w:r>
            <w:r w:rsidRPr="00E07C9A">
              <w:rPr>
                <w:rFonts w:ascii="Times New Roman" w:hAnsi="Times New Roman"/>
                <w:sz w:val="24"/>
              </w:rPr>
              <w:t>,</w:t>
            </w:r>
            <w:r w:rsidR="009912F8" w:rsidRPr="00E07C9A">
              <w:rPr>
                <w:rFonts w:ascii="Times New Roman" w:hAnsi="Times New Roman"/>
                <w:sz w:val="24"/>
              </w:rPr>
              <w:t xml:space="preserve"> a </w:t>
            </w:r>
            <w:r w:rsidRPr="00E07C9A">
              <w:rPr>
                <w:rFonts w:ascii="Times New Roman" w:hAnsi="Times New Roman"/>
                <w:sz w:val="24"/>
              </w:rPr>
              <w:t>zodpovedajúce požiadavky na vlastné zdroje vypočítané</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339 ods. 9 nariadenia (EÚ) </w:t>
            </w:r>
            <w:r w:rsidR="009912F8" w:rsidRPr="00E07C9A">
              <w:rPr>
                <w:rFonts w:ascii="Times New Roman" w:hAnsi="Times New Roman"/>
                <w:sz w:val="24"/>
              </w:rPr>
              <w:t>č. 575/2013</w:t>
            </w:r>
            <w:r w:rsidRPr="00E07C9A">
              <w:rPr>
                <w:rFonts w:ascii="Times New Roman" w:hAnsi="Times New Roman"/>
                <w:sz w:val="24"/>
              </w:rPr>
              <w:t>. Pozícia sa rozdelí podľa zón 1, 2</w:t>
            </w:r>
            <w:r w:rsidR="009912F8" w:rsidRPr="00E07C9A">
              <w:rPr>
                <w:rFonts w:ascii="Times New Roman" w:hAnsi="Times New Roman"/>
                <w:sz w:val="24"/>
              </w:rPr>
              <w:t xml:space="preserve"> a </w:t>
            </w:r>
            <w:r w:rsidRPr="00E07C9A">
              <w:rPr>
                <w:rFonts w:ascii="Times New Roman" w:hAnsi="Times New Roman"/>
                <w:sz w:val="24"/>
              </w:rPr>
              <w:t>3</w:t>
            </w:r>
            <w:r w:rsidR="009912F8" w:rsidRPr="00E07C9A">
              <w:rPr>
                <w:rFonts w:ascii="Times New Roman" w:hAnsi="Times New Roman"/>
                <w:sz w:val="24"/>
              </w:rPr>
              <w:t xml:space="preserve"> a </w:t>
            </w:r>
            <w:r w:rsidRPr="00E07C9A">
              <w:rPr>
                <w:rFonts w:ascii="Times New Roman" w:hAnsi="Times New Roman"/>
                <w:sz w:val="24"/>
              </w:rPr>
              <w:t>tieto zóny sa rozdelia podľa splatnosti nástrojov.</w:t>
            </w:r>
          </w:p>
        </w:tc>
      </w:tr>
      <w:tr w:rsidR="000B0B09" w:rsidRPr="00E07C9A" w14:paraId="79DAC997" w14:textId="77777777" w:rsidTr="00672D2A">
        <w:tc>
          <w:tcPr>
            <w:tcW w:w="987" w:type="dxa"/>
          </w:tcPr>
          <w:p w14:paraId="73C021ED" w14:textId="77777777" w:rsidR="000B0B09" w:rsidRPr="00E07C9A" w:rsidRDefault="00EE2CD5" w:rsidP="000F70EC">
            <w:pPr>
              <w:autoSpaceDE w:val="0"/>
              <w:autoSpaceDN w:val="0"/>
              <w:adjustRightInd w:val="0"/>
              <w:spacing w:before="0" w:after="0"/>
              <w:rPr>
                <w:rFonts w:ascii="Times New Roman" w:hAnsi="Times New Roman"/>
                <w:sz w:val="24"/>
              </w:rPr>
            </w:pPr>
            <w:r w:rsidRPr="00E07C9A">
              <w:rPr>
                <w:rFonts w:ascii="Times New Roman" w:hAnsi="Times New Roman"/>
                <w:sz w:val="24"/>
              </w:rPr>
              <w:t>0210 –⁠⁠ 0240</w:t>
            </w:r>
          </w:p>
        </w:tc>
        <w:tc>
          <w:tcPr>
            <w:tcW w:w="7875" w:type="dxa"/>
          </w:tcPr>
          <w:p w14:paraId="2CE27E61" w14:textId="77777777" w:rsidR="000B0B09" w:rsidRPr="00E07C9A" w:rsidRDefault="000B0B09" w:rsidP="000B0B09">
            <w:pPr>
              <w:autoSpaceDE w:val="0"/>
              <w:autoSpaceDN w:val="0"/>
              <w:adjustRightInd w:val="0"/>
              <w:spacing w:before="0" w:after="0"/>
              <w:rPr>
                <w:rFonts w:ascii="Times New Roman" w:hAnsi="Times New Roman"/>
                <w:sz w:val="24"/>
              </w:rPr>
            </w:pPr>
            <w:r w:rsidRPr="00E07C9A">
              <w:rPr>
                <w:rFonts w:ascii="Times New Roman" w:hAnsi="Times New Roman"/>
                <w:b/>
                <w:sz w:val="24"/>
                <w:u w:val="single"/>
              </w:rPr>
              <w:t>VŠEOBECNÉ RIZIKO. PRÍSTUP ZALOŽENÝ NA DURÁCII</w:t>
            </w:r>
          </w:p>
          <w:p w14:paraId="08171DB1" w14:textId="750A5997" w:rsidR="000B0B09" w:rsidRPr="00E07C9A" w:rsidRDefault="000B0B09" w:rsidP="00D24331">
            <w:pPr>
              <w:rPr>
                <w:rFonts w:ascii="Times New Roman" w:hAnsi="Times New Roman"/>
                <w:b/>
                <w:bCs/>
                <w:sz w:val="24"/>
                <w:u w:val="single"/>
              </w:rPr>
            </w:pPr>
            <w:r w:rsidRPr="00E07C9A">
              <w:rPr>
                <w:rFonts w:ascii="Times New Roman" w:hAnsi="Times New Roman"/>
                <w:sz w:val="24"/>
              </w:rPr>
              <w:t>Pozície</w:t>
            </w:r>
            <w:r w:rsidR="009912F8" w:rsidRPr="00E07C9A">
              <w:rPr>
                <w:rFonts w:ascii="Times New Roman" w:hAnsi="Times New Roman"/>
                <w:sz w:val="24"/>
              </w:rPr>
              <w:t xml:space="preserve"> v </w:t>
            </w:r>
            <w:r w:rsidRPr="00E07C9A">
              <w:rPr>
                <w:rFonts w:ascii="Times New Roman" w:hAnsi="Times New Roman"/>
                <w:sz w:val="24"/>
              </w:rPr>
              <w:t xml:space="preserve">obchodovaných dlhových nástrojoch, na ktoré sa uplatňuje prístup založený na durácii podľa článku 340 ods. 1 až 6 nariadenia (EÚ) </w:t>
            </w:r>
            <w:r w:rsidR="009912F8" w:rsidRPr="00E07C9A">
              <w:rPr>
                <w:rFonts w:ascii="Times New Roman" w:hAnsi="Times New Roman"/>
                <w:sz w:val="24"/>
              </w:rPr>
              <w:t>č. 575/2013</w:t>
            </w:r>
            <w:r w:rsidRPr="00E07C9A">
              <w:rPr>
                <w:rFonts w:ascii="Times New Roman" w:hAnsi="Times New Roman"/>
                <w:sz w:val="24"/>
              </w:rPr>
              <w:t>,</w:t>
            </w:r>
            <w:r w:rsidR="009912F8" w:rsidRPr="00E07C9A">
              <w:rPr>
                <w:rFonts w:ascii="Times New Roman" w:hAnsi="Times New Roman"/>
                <w:sz w:val="24"/>
              </w:rPr>
              <w:t xml:space="preserve"> a </w:t>
            </w:r>
            <w:r w:rsidRPr="00E07C9A">
              <w:rPr>
                <w:rFonts w:ascii="Times New Roman" w:hAnsi="Times New Roman"/>
                <w:sz w:val="24"/>
              </w:rPr>
              <w:t>zodpovedajúce požiadavky na vlastné zdroje vypočítané</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340 ods. 7 nariadenia (EÚ) </w:t>
            </w:r>
            <w:r w:rsidR="009912F8" w:rsidRPr="00E07C9A">
              <w:rPr>
                <w:rFonts w:ascii="Times New Roman" w:hAnsi="Times New Roman"/>
                <w:sz w:val="24"/>
              </w:rPr>
              <w:t>č. 575/2013</w:t>
            </w:r>
            <w:r w:rsidRPr="00E07C9A">
              <w:rPr>
                <w:rFonts w:ascii="Times New Roman" w:hAnsi="Times New Roman"/>
                <w:sz w:val="24"/>
              </w:rPr>
              <w:t>. Pozícia sa rozdelí podľa zón 1, 2</w:t>
            </w:r>
            <w:r w:rsidR="009912F8" w:rsidRPr="00E07C9A">
              <w:rPr>
                <w:rFonts w:ascii="Times New Roman" w:hAnsi="Times New Roman"/>
                <w:sz w:val="24"/>
              </w:rPr>
              <w:t xml:space="preserve"> a </w:t>
            </w:r>
            <w:r w:rsidRPr="00E07C9A">
              <w:rPr>
                <w:rFonts w:ascii="Times New Roman" w:hAnsi="Times New Roman"/>
                <w:sz w:val="24"/>
              </w:rPr>
              <w:t>3.</w:t>
            </w:r>
          </w:p>
        </w:tc>
      </w:tr>
      <w:tr w:rsidR="000B0B09" w:rsidRPr="00E07C9A" w14:paraId="7DD483EC" w14:textId="77777777" w:rsidTr="00672D2A">
        <w:tc>
          <w:tcPr>
            <w:tcW w:w="987" w:type="dxa"/>
          </w:tcPr>
          <w:p w14:paraId="5974B232" w14:textId="77777777" w:rsidR="000B0B09" w:rsidRPr="00E07C9A" w:rsidRDefault="00EE2CD5" w:rsidP="000F70EC">
            <w:pPr>
              <w:autoSpaceDE w:val="0"/>
              <w:autoSpaceDN w:val="0"/>
              <w:adjustRightInd w:val="0"/>
              <w:spacing w:before="0" w:after="0"/>
              <w:rPr>
                <w:rFonts w:ascii="Times New Roman" w:hAnsi="Times New Roman"/>
                <w:sz w:val="24"/>
              </w:rPr>
            </w:pPr>
            <w:r w:rsidRPr="00E07C9A">
              <w:rPr>
                <w:rFonts w:ascii="Times New Roman" w:hAnsi="Times New Roman"/>
                <w:sz w:val="24"/>
              </w:rPr>
              <w:t>0250</w:t>
            </w:r>
          </w:p>
        </w:tc>
        <w:tc>
          <w:tcPr>
            <w:tcW w:w="7875" w:type="dxa"/>
          </w:tcPr>
          <w:p w14:paraId="6CE50A3E" w14:textId="77777777" w:rsidR="000B0B09" w:rsidRPr="00E07C9A" w:rsidRDefault="000B0B09" w:rsidP="000B0B09">
            <w:pPr>
              <w:autoSpaceDE w:val="0"/>
              <w:autoSpaceDN w:val="0"/>
              <w:adjustRightInd w:val="0"/>
              <w:spacing w:before="0" w:after="0"/>
              <w:rPr>
                <w:rFonts w:ascii="Times New Roman" w:hAnsi="Times New Roman"/>
                <w:b/>
                <w:bCs/>
                <w:sz w:val="24"/>
                <w:u w:val="single"/>
              </w:rPr>
            </w:pPr>
            <w:r w:rsidRPr="00E07C9A">
              <w:rPr>
                <w:rFonts w:ascii="Times New Roman" w:hAnsi="Times New Roman"/>
                <w:b/>
                <w:sz w:val="24"/>
                <w:u w:val="single"/>
              </w:rPr>
              <w:t>ŠPECIFICKÉ RIZIKO</w:t>
            </w:r>
          </w:p>
          <w:p w14:paraId="7CB0B759" w14:textId="785DED4A" w:rsidR="009912F8" w:rsidRPr="00E07C9A" w:rsidRDefault="000B0B09" w:rsidP="00BD2FE7">
            <w:pPr>
              <w:rPr>
                <w:rFonts w:ascii="Times New Roman" w:hAnsi="Times New Roman"/>
                <w:sz w:val="24"/>
              </w:rPr>
            </w:pPr>
            <w:r w:rsidRPr="00E07C9A">
              <w:rPr>
                <w:rFonts w:ascii="Times New Roman" w:hAnsi="Times New Roman"/>
                <w:sz w:val="24"/>
              </w:rPr>
              <w:t>Súčet hodnôt vykázaných</w:t>
            </w:r>
            <w:r w:rsidR="009912F8" w:rsidRPr="00E07C9A">
              <w:rPr>
                <w:rFonts w:ascii="Times New Roman" w:hAnsi="Times New Roman"/>
                <w:sz w:val="24"/>
              </w:rPr>
              <w:t xml:space="preserve"> v </w:t>
            </w:r>
            <w:r w:rsidRPr="00E07C9A">
              <w:rPr>
                <w:rFonts w:ascii="Times New Roman" w:hAnsi="Times New Roman"/>
                <w:sz w:val="24"/>
              </w:rPr>
              <w:t>riadkoch 0251, 0325</w:t>
            </w:r>
            <w:r w:rsidR="009912F8" w:rsidRPr="00E07C9A">
              <w:rPr>
                <w:rFonts w:ascii="Times New Roman" w:hAnsi="Times New Roman"/>
                <w:sz w:val="24"/>
              </w:rPr>
              <w:t xml:space="preserve"> a </w:t>
            </w:r>
            <w:r w:rsidRPr="00E07C9A">
              <w:rPr>
                <w:rFonts w:ascii="Times New Roman" w:hAnsi="Times New Roman"/>
                <w:sz w:val="24"/>
              </w:rPr>
              <w:t>0330</w:t>
            </w:r>
            <w:r w:rsidR="009912F8" w:rsidRPr="00E07C9A">
              <w:rPr>
                <w:rFonts w:ascii="Times New Roman" w:hAnsi="Times New Roman"/>
                <w:sz w:val="24"/>
              </w:rPr>
              <w:t>.</w:t>
            </w:r>
          </w:p>
          <w:p w14:paraId="4E1E5CA2" w14:textId="5678A399" w:rsidR="000B0B09" w:rsidRPr="00E07C9A" w:rsidRDefault="000B0B09" w:rsidP="00D24331">
            <w:pPr>
              <w:rPr>
                <w:rFonts w:ascii="Times New Roman" w:hAnsi="Times New Roman"/>
                <w:b/>
                <w:bCs/>
                <w:sz w:val="24"/>
                <w:u w:val="single"/>
              </w:rPr>
            </w:pPr>
            <w:r w:rsidRPr="00E07C9A">
              <w:rPr>
                <w:rFonts w:ascii="Times New Roman" w:hAnsi="Times New Roman"/>
                <w:sz w:val="24"/>
              </w:rPr>
              <w:t>Pozície</w:t>
            </w:r>
            <w:r w:rsidR="009912F8" w:rsidRPr="00E07C9A">
              <w:rPr>
                <w:rFonts w:ascii="Times New Roman" w:hAnsi="Times New Roman"/>
                <w:sz w:val="24"/>
              </w:rPr>
              <w:t xml:space="preserve"> v </w:t>
            </w:r>
            <w:r w:rsidRPr="00E07C9A">
              <w:rPr>
                <w:rFonts w:ascii="Times New Roman" w:hAnsi="Times New Roman"/>
                <w:sz w:val="24"/>
              </w:rPr>
              <w:t>obchodovaných dlhových nástrojoch, na ktoré sa uplatňujú kapitálové požiadavky pre špecifické riziko,</w:t>
            </w:r>
            <w:r w:rsidR="009912F8" w:rsidRPr="00E07C9A">
              <w:rPr>
                <w:rFonts w:ascii="Times New Roman" w:hAnsi="Times New Roman"/>
                <w:sz w:val="24"/>
              </w:rPr>
              <w:t xml:space="preserve"> a </w:t>
            </w:r>
            <w:r w:rsidRPr="00E07C9A">
              <w:rPr>
                <w:rFonts w:ascii="Times New Roman" w:hAnsi="Times New Roman"/>
                <w:sz w:val="24"/>
              </w:rPr>
              <w:t>ich zodpovedajúce kapitálové požiadavky</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článkom 92 ods. 3 písm. b)</w:t>
            </w:r>
            <w:r w:rsidR="009912F8" w:rsidRPr="00E07C9A">
              <w:rPr>
                <w:rFonts w:ascii="Times New Roman" w:hAnsi="Times New Roman"/>
                <w:sz w:val="24"/>
              </w:rPr>
              <w:t xml:space="preserve"> a </w:t>
            </w:r>
            <w:r w:rsidRPr="00E07C9A">
              <w:rPr>
                <w:rFonts w:ascii="Times New Roman" w:hAnsi="Times New Roman"/>
                <w:sz w:val="24"/>
              </w:rPr>
              <w:t>článkom 335, článkom 336 ods. 1, 2</w:t>
            </w:r>
            <w:r w:rsidR="009912F8" w:rsidRPr="00E07C9A">
              <w:rPr>
                <w:rFonts w:ascii="Times New Roman" w:hAnsi="Times New Roman"/>
                <w:sz w:val="24"/>
              </w:rPr>
              <w:t xml:space="preserve"> a </w:t>
            </w:r>
            <w:r w:rsidRPr="00E07C9A">
              <w:rPr>
                <w:rFonts w:ascii="Times New Roman" w:hAnsi="Times New Roman"/>
                <w:sz w:val="24"/>
              </w:rPr>
              <w:t>3</w:t>
            </w:r>
            <w:r w:rsidR="009912F8" w:rsidRPr="00E07C9A">
              <w:rPr>
                <w:rFonts w:ascii="Times New Roman" w:hAnsi="Times New Roman"/>
                <w:sz w:val="24"/>
              </w:rPr>
              <w:t xml:space="preserve"> a </w:t>
            </w:r>
            <w:r w:rsidRPr="00E07C9A">
              <w:rPr>
                <w:rFonts w:ascii="Times New Roman" w:hAnsi="Times New Roman"/>
                <w:sz w:val="24"/>
              </w:rPr>
              <w:t>článkami 337</w:t>
            </w:r>
            <w:r w:rsidR="009912F8" w:rsidRPr="00E07C9A">
              <w:rPr>
                <w:rFonts w:ascii="Times New Roman" w:hAnsi="Times New Roman"/>
                <w:sz w:val="24"/>
              </w:rPr>
              <w:t xml:space="preserve"> a </w:t>
            </w:r>
            <w:r w:rsidRPr="00E07C9A">
              <w:rPr>
                <w:rFonts w:ascii="Times New Roman" w:hAnsi="Times New Roman"/>
                <w:sz w:val="24"/>
              </w:rPr>
              <w:t xml:space="preserve">338 nariadenia (EÚ) </w:t>
            </w:r>
            <w:r w:rsidR="009912F8" w:rsidRPr="00E07C9A">
              <w:rPr>
                <w:rFonts w:ascii="Times New Roman" w:hAnsi="Times New Roman"/>
                <w:sz w:val="24"/>
              </w:rPr>
              <w:t>č. 575/2013</w:t>
            </w:r>
            <w:r w:rsidRPr="00E07C9A">
              <w:rPr>
                <w:rFonts w:ascii="Times New Roman" w:hAnsi="Times New Roman"/>
                <w:sz w:val="24"/>
              </w:rPr>
              <w:t xml:space="preserve">. Upozorňujeme aj na poslednú vetu článku 327 ods. 1 nariadenia (EÚ) </w:t>
            </w:r>
            <w:r w:rsidR="009912F8" w:rsidRPr="00E07C9A">
              <w:rPr>
                <w:rFonts w:ascii="Times New Roman" w:hAnsi="Times New Roman"/>
                <w:sz w:val="24"/>
              </w:rPr>
              <w:t>č. 575/2013</w:t>
            </w:r>
            <w:r w:rsidRPr="00E07C9A">
              <w:rPr>
                <w:rFonts w:ascii="Times New Roman" w:hAnsi="Times New Roman"/>
                <w:sz w:val="24"/>
              </w:rPr>
              <w:t>.</w:t>
            </w:r>
          </w:p>
        </w:tc>
      </w:tr>
      <w:tr w:rsidR="000B0B09" w:rsidRPr="00E07C9A" w14:paraId="6F8691E7" w14:textId="77777777" w:rsidTr="00672D2A">
        <w:tc>
          <w:tcPr>
            <w:tcW w:w="987" w:type="dxa"/>
          </w:tcPr>
          <w:p w14:paraId="5CD5E31A" w14:textId="77777777" w:rsidR="000B0B09" w:rsidRPr="00E07C9A" w:rsidRDefault="00EE2CD5" w:rsidP="000F70EC">
            <w:pPr>
              <w:autoSpaceDE w:val="0"/>
              <w:autoSpaceDN w:val="0"/>
              <w:adjustRightInd w:val="0"/>
              <w:spacing w:before="0" w:after="0"/>
              <w:rPr>
                <w:rFonts w:ascii="Times New Roman" w:hAnsi="Times New Roman"/>
                <w:sz w:val="24"/>
              </w:rPr>
            </w:pPr>
            <w:r w:rsidRPr="00E07C9A">
              <w:rPr>
                <w:rFonts w:ascii="Times New Roman" w:hAnsi="Times New Roman"/>
                <w:sz w:val="24"/>
              </w:rPr>
              <w:t>0251 –⁠ 0321</w:t>
            </w:r>
          </w:p>
        </w:tc>
        <w:tc>
          <w:tcPr>
            <w:tcW w:w="7875" w:type="dxa"/>
          </w:tcPr>
          <w:p w14:paraId="14764BB8" w14:textId="77777777" w:rsidR="000B0B09" w:rsidRPr="00E07C9A" w:rsidRDefault="000B0B09" w:rsidP="000B0B09">
            <w:pPr>
              <w:autoSpaceDE w:val="0"/>
              <w:autoSpaceDN w:val="0"/>
              <w:adjustRightInd w:val="0"/>
              <w:spacing w:before="0" w:after="0"/>
              <w:rPr>
                <w:rFonts w:ascii="Times New Roman" w:hAnsi="Times New Roman"/>
                <w:b/>
                <w:bCs/>
                <w:sz w:val="24"/>
                <w:u w:val="single"/>
              </w:rPr>
            </w:pPr>
            <w:r w:rsidRPr="00E07C9A">
              <w:rPr>
                <w:rFonts w:ascii="Times New Roman" w:hAnsi="Times New Roman"/>
                <w:b/>
                <w:sz w:val="24"/>
                <w:u w:val="single"/>
              </w:rPr>
              <w:t>Požiadavka na vlastné zdroje pre nesekuritizačné dlhové nástroje</w:t>
            </w:r>
          </w:p>
          <w:p w14:paraId="19437B35" w14:textId="158E7F40" w:rsidR="000B0B09" w:rsidRPr="00E07C9A" w:rsidRDefault="000B0B09" w:rsidP="007B2F85">
            <w:pPr>
              <w:rPr>
                <w:rFonts w:ascii="Times New Roman" w:hAnsi="Times New Roman"/>
                <w:sz w:val="24"/>
              </w:rPr>
            </w:pPr>
            <w:r w:rsidRPr="00E07C9A">
              <w:rPr>
                <w:rFonts w:ascii="Times New Roman" w:hAnsi="Times New Roman"/>
                <w:sz w:val="24"/>
              </w:rPr>
              <w:t>Súčet hodnôt vykázaných</w:t>
            </w:r>
            <w:r w:rsidR="009912F8" w:rsidRPr="00E07C9A">
              <w:rPr>
                <w:rFonts w:ascii="Times New Roman" w:hAnsi="Times New Roman"/>
                <w:sz w:val="24"/>
              </w:rPr>
              <w:t xml:space="preserve"> v </w:t>
            </w:r>
            <w:r w:rsidRPr="00E07C9A">
              <w:rPr>
                <w:rFonts w:ascii="Times New Roman" w:hAnsi="Times New Roman"/>
                <w:sz w:val="24"/>
              </w:rPr>
              <w:t>riadkoch 260 až 321.</w:t>
            </w:r>
          </w:p>
          <w:p w14:paraId="3FF00D85" w14:textId="0DC43EC2" w:rsidR="009912F8" w:rsidRPr="00E07C9A" w:rsidRDefault="000B0B09" w:rsidP="00BD2FE7">
            <w:pPr>
              <w:rPr>
                <w:rFonts w:ascii="Times New Roman" w:hAnsi="Times New Roman"/>
                <w:sz w:val="24"/>
              </w:rPr>
            </w:pPr>
            <w:r w:rsidRPr="00E07C9A">
              <w:rPr>
                <w:rFonts w:ascii="Times New Roman" w:hAnsi="Times New Roman"/>
                <w:sz w:val="24"/>
              </w:rPr>
              <w:t xml:space="preserve">Požiadavka na vlastné zdroje pre kreditné deriváty pre n-té zlyhanie, ktoré nemajú externý rating, sa vypočítava spočítaním rizikových váh referenčných subjektov [článok 332 ods. 1 písm. e) nariadenia (EÚ) </w:t>
            </w:r>
            <w:r w:rsidR="009912F8" w:rsidRPr="00E07C9A">
              <w:rPr>
                <w:rFonts w:ascii="Times New Roman" w:hAnsi="Times New Roman"/>
                <w:sz w:val="24"/>
              </w:rPr>
              <w:t>č. 575/2013 a </w:t>
            </w:r>
            <w:r w:rsidRPr="00E07C9A">
              <w:rPr>
                <w:rFonts w:ascii="Times New Roman" w:hAnsi="Times New Roman"/>
                <w:sz w:val="24"/>
              </w:rPr>
              <w:t xml:space="preserve">článok 332 ods. 1 druhý pododsek nariadenia (EÚ) </w:t>
            </w:r>
            <w:r w:rsidR="009912F8" w:rsidRPr="00E07C9A">
              <w:rPr>
                <w:rFonts w:ascii="Times New Roman" w:hAnsi="Times New Roman"/>
                <w:sz w:val="24"/>
              </w:rPr>
              <w:t>č. 575/2013</w:t>
            </w:r>
            <w:r w:rsidRPr="00E07C9A">
              <w:rPr>
                <w:rFonts w:ascii="Times New Roman" w:hAnsi="Times New Roman"/>
                <w:sz w:val="24"/>
              </w:rPr>
              <w:t xml:space="preserve"> – „prezretie“]. Kreditné deriváty pre n-té zlyhanie, ktoré majú externý rating [článok 332 ods. 1 tretí pododsek nariadenia (EÚ) </w:t>
            </w:r>
            <w:r w:rsidR="009912F8" w:rsidRPr="00E07C9A">
              <w:rPr>
                <w:rFonts w:ascii="Times New Roman" w:hAnsi="Times New Roman"/>
                <w:sz w:val="24"/>
              </w:rPr>
              <w:t>č. 575/2013</w:t>
            </w:r>
            <w:r w:rsidRPr="00E07C9A">
              <w:rPr>
                <w:rFonts w:ascii="Times New Roman" w:hAnsi="Times New Roman"/>
                <w:sz w:val="24"/>
              </w:rPr>
              <w:t>], sa vykazujú osobitne</w:t>
            </w:r>
            <w:r w:rsidR="009912F8" w:rsidRPr="00E07C9A">
              <w:rPr>
                <w:rFonts w:ascii="Times New Roman" w:hAnsi="Times New Roman"/>
                <w:sz w:val="24"/>
              </w:rPr>
              <w:t xml:space="preserve"> v </w:t>
            </w:r>
            <w:r w:rsidRPr="00E07C9A">
              <w:rPr>
                <w:rFonts w:ascii="Times New Roman" w:hAnsi="Times New Roman"/>
                <w:sz w:val="24"/>
              </w:rPr>
              <w:t>riadku 321</w:t>
            </w:r>
            <w:r w:rsidR="009912F8" w:rsidRPr="00E07C9A">
              <w:rPr>
                <w:rFonts w:ascii="Times New Roman" w:hAnsi="Times New Roman"/>
                <w:sz w:val="24"/>
              </w:rPr>
              <w:t>.</w:t>
            </w:r>
          </w:p>
          <w:p w14:paraId="7051ED04" w14:textId="2F2552C9" w:rsidR="000B0B09" w:rsidRPr="00E07C9A" w:rsidRDefault="000B0B09" w:rsidP="00BD2FE7">
            <w:pPr>
              <w:rPr>
                <w:rFonts w:ascii="Times New Roman" w:hAnsi="Times New Roman"/>
                <w:sz w:val="24"/>
              </w:rPr>
            </w:pPr>
            <w:r w:rsidRPr="00E07C9A">
              <w:rPr>
                <w:rFonts w:ascii="Times New Roman" w:hAnsi="Times New Roman"/>
                <w:sz w:val="24"/>
              </w:rPr>
              <w:t xml:space="preserve">Vykazovanie pozícií, na ktoré sa uplatňuje článok 336 ods. 3 nariadenia (EÚ) </w:t>
            </w:r>
            <w:r w:rsidR="009912F8" w:rsidRPr="00E07C9A">
              <w:rPr>
                <w:rFonts w:ascii="Times New Roman" w:hAnsi="Times New Roman"/>
                <w:sz w:val="24"/>
              </w:rPr>
              <w:t>č. 575/2013</w:t>
            </w:r>
            <w:r w:rsidRPr="00E07C9A">
              <w:rPr>
                <w:rFonts w:ascii="Times New Roman" w:hAnsi="Times New Roman"/>
                <w:sz w:val="24"/>
              </w:rPr>
              <w:t>: Pre dlhopisy, ktoré spĺňajú podmienky na 10</w:t>
            </w:r>
            <w:r w:rsidR="009912F8" w:rsidRPr="00E07C9A">
              <w:rPr>
                <w:rFonts w:ascii="Times New Roman" w:hAnsi="Times New Roman"/>
              </w:rPr>
              <w:t> %</w:t>
            </w:r>
            <w:r w:rsidRPr="00E07C9A">
              <w:rPr>
                <w:rFonts w:ascii="Times New Roman" w:hAnsi="Times New Roman"/>
                <w:sz w:val="24"/>
              </w:rPr>
              <w:t xml:space="preserve"> rizikovú váhu</w:t>
            </w:r>
            <w:r w:rsidR="009912F8" w:rsidRPr="00E07C9A">
              <w:rPr>
                <w:rFonts w:ascii="Times New Roman" w:hAnsi="Times New Roman"/>
                <w:sz w:val="24"/>
              </w:rPr>
              <w:t xml:space="preserve"> v </w:t>
            </w:r>
            <w:r w:rsidRPr="00E07C9A">
              <w:rPr>
                <w:rFonts w:ascii="Times New Roman" w:hAnsi="Times New Roman"/>
                <w:sz w:val="24"/>
              </w:rPr>
              <w:t xml:space="preserve">bankovej knihe podľa článku 129 ods. 3 nariadenia (EÚ) </w:t>
            </w:r>
            <w:r w:rsidR="009912F8" w:rsidRPr="00E07C9A">
              <w:rPr>
                <w:rFonts w:ascii="Times New Roman" w:hAnsi="Times New Roman"/>
                <w:sz w:val="24"/>
              </w:rPr>
              <w:t>č. 575/2013</w:t>
            </w:r>
            <w:r w:rsidRPr="00E07C9A">
              <w:rPr>
                <w:rFonts w:ascii="Times New Roman" w:hAnsi="Times New Roman"/>
                <w:sz w:val="24"/>
              </w:rPr>
              <w:t xml:space="preserve"> (kryté dlhopisy), existuje špeciálne zaobchádzanie. Osobitné požiadavky na vlastné zdroje sú polovicou percentuálnej miery druhej kategórie uvedenej</w:t>
            </w:r>
            <w:r w:rsidR="009912F8" w:rsidRPr="00E07C9A">
              <w:rPr>
                <w:rFonts w:ascii="Times New Roman" w:hAnsi="Times New Roman"/>
                <w:sz w:val="24"/>
              </w:rPr>
              <w:t xml:space="preserve"> v </w:t>
            </w:r>
            <w:r w:rsidRPr="00E07C9A">
              <w:rPr>
                <w:rFonts w:ascii="Times New Roman" w:hAnsi="Times New Roman"/>
                <w:sz w:val="24"/>
              </w:rPr>
              <w:t xml:space="preserve">tabuľke 1 článku 336 nariadenia (EÚ) </w:t>
            </w:r>
            <w:r w:rsidR="009912F8" w:rsidRPr="00E07C9A">
              <w:rPr>
                <w:rFonts w:ascii="Times New Roman" w:hAnsi="Times New Roman"/>
                <w:sz w:val="24"/>
              </w:rPr>
              <w:t>č. 575/2013</w:t>
            </w:r>
            <w:r w:rsidRPr="00E07C9A">
              <w:rPr>
                <w:rFonts w:ascii="Times New Roman" w:hAnsi="Times New Roman"/>
                <w:sz w:val="24"/>
              </w:rPr>
              <w:t>. Uvedené pozície sa musia priradiť riadkom 0280 – 0300 podľa zostatkového obdobia do konečnej splatnosti.</w:t>
            </w:r>
          </w:p>
          <w:p w14:paraId="11FE9AD5" w14:textId="19D60A94" w:rsidR="000B0B09" w:rsidRPr="00E07C9A" w:rsidRDefault="00F41508" w:rsidP="0002267E">
            <w:pPr>
              <w:rPr>
                <w:rFonts w:ascii="Times New Roman" w:hAnsi="Times New Roman"/>
                <w:b/>
                <w:bCs/>
                <w:sz w:val="24"/>
                <w:u w:val="single"/>
              </w:rPr>
            </w:pPr>
            <w:r w:rsidRPr="00E07C9A">
              <w:rPr>
                <w:rFonts w:ascii="Times New Roman" w:hAnsi="Times New Roman"/>
                <w:sz w:val="24"/>
              </w:rPr>
              <w:t>Keď sa všeobecné riziko úrokových pozícií hedžuje kreditným derivátom, uplatňujú sa články 346</w:t>
            </w:r>
            <w:r w:rsidR="009912F8" w:rsidRPr="00E07C9A">
              <w:rPr>
                <w:rFonts w:ascii="Times New Roman" w:hAnsi="Times New Roman"/>
                <w:sz w:val="24"/>
              </w:rPr>
              <w:t xml:space="preserve"> a </w:t>
            </w:r>
            <w:r w:rsidRPr="00E07C9A">
              <w:rPr>
                <w:rFonts w:ascii="Times New Roman" w:hAnsi="Times New Roman"/>
                <w:sz w:val="24"/>
              </w:rPr>
              <w:t xml:space="preserve">347 nariadenia (EÚ) </w:t>
            </w:r>
            <w:r w:rsidR="009912F8" w:rsidRPr="00E07C9A">
              <w:rPr>
                <w:rFonts w:ascii="Times New Roman" w:hAnsi="Times New Roman"/>
                <w:sz w:val="24"/>
              </w:rPr>
              <w:t>č. 575/2013</w:t>
            </w:r>
            <w:r w:rsidRPr="00E07C9A">
              <w:rPr>
                <w:rFonts w:ascii="Times New Roman" w:hAnsi="Times New Roman"/>
                <w:sz w:val="24"/>
              </w:rPr>
              <w:t xml:space="preserve">. </w:t>
            </w:r>
          </w:p>
        </w:tc>
      </w:tr>
      <w:tr w:rsidR="000B0B09" w:rsidRPr="00E07C9A" w14:paraId="3F2475A8" w14:textId="77777777" w:rsidTr="00672D2A">
        <w:tc>
          <w:tcPr>
            <w:tcW w:w="987" w:type="dxa"/>
          </w:tcPr>
          <w:p w14:paraId="1898316C" w14:textId="77777777" w:rsidR="000B0B09" w:rsidRPr="00E07C9A" w:rsidDel="00F27BD6" w:rsidRDefault="00EE2CD5"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0325</w:t>
            </w:r>
          </w:p>
        </w:tc>
        <w:tc>
          <w:tcPr>
            <w:tcW w:w="7875" w:type="dxa"/>
          </w:tcPr>
          <w:p w14:paraId="21ACC24B" w14:textId="77777777" w:rsidR="000B0B09" w:rsidRPr="00E07C9A" w:rsidRDefault="000B0B09" w:rsidP="000B0B09">
            <w:pPr>
              <w:autoSpaceDE w:val="0"/>
              <w:autoSpaceDN w:val="0"/>
              <w:adjustRightInd w:val="0"/>
              <w:spacing w:before="0" w:after="0"/>
              <w:rPr>
                <w:rFonts w:ascii="Times New Roman" w:hAnsi="Times New Roman"/>
                <w:b/>
                <w:bCs/>
                <w:sz w:val="24"/>
                <w:u w:val="single"/>
              </w:rPr>
            </w:pPr>
            <w:r w:rsidRPr="00E07C9A">
              <w:rPr>
                <w:rFonts w:ascii="Times New Roman" w:hAnsi="Times New Roman"/>
                <w:b/>
                <w:sz w:val="24"/>
                <w:u w:val="single"/>
              </w:rPr>
              <w:t>Požiadavka na vlastné zdroje pre sekuritizačné nástroje</w:t>
            </w:r>
          </w:p>
          <w:p w14:paraId="7BA68AB7" w14:textId="3758E21B" w:rsidR="00722A10" w:rsidRPr="00E07C9A" w:rsidDel="00F27BD6" w:rsidRDefault="000B0B09" w:rsidP="0002267E">
            <w:pPr>
              <w:rPr>
                <w:rFonts w:ascii="Times New Roman" w:hAnsi="Times New Roman"/>
                <w:b/>
                <w:bCs/>
                <w:sz w:val="24"/>
                <w:u w:val="single"/>
              </w:rPr>
            </w:pPr>
            <w:r w:rsidRPr="00E07C9A">
              <w:rPr>
                <w:rFonts w:ascii="Times New Roman" w:hAnsi="Times New Roman"/>
                <w:sz w:val="24"/>
              </w:rPr>
              <w:t>Požiadavky na celkové vlastné zdroje vykázané</w:t>
            </w:r>
            <w:r w:rsidR="009912F8" w:rsidRPr="00E07C9A">
              <w:rPr>
                <w:rFonts w:ascii="Times New Roman" w:hAnsi="Times New Roman"/>
                <w:sz w:val="24"/>
              </w:rPr>
              <w:t xml:space="preserve"> v </w:t>
            </w:r>
            <w:r w:rsidRPr="00E07C9A">
              <w:rPr>
                <w:rFonts w:ascii="Times New Roman" w:hAnsi="Times New Roman"/>
                <w:sz w:val="24"/>
              </w:rPr>
              <w:t>stĺpci 0601 vzoru MKR SA SEC. Uvedené požiadavky na celkové vlastné zdroje sa vykazujú len na celkovej úrovni vzoru MKR SA TDI.</w:t>
            </w:r>
          </w:p>
        </w:tc>
      </w:tr>
      <w:tr w:rsidR="000B0B09" w:rsidRPr="00E07C9A" w14:paraId="55688787" w14:textId="77777777" w:rsidTr="00672D2A">
        <w:tc>
          <w:tcPr>
            <w:tcW w:w="987" w:type="dxa"/>
          </w:tcPr>
          <w:p w14:paraId="74C28C83" w14:textId="77777777" w:rsidR="000B0B09" w:rsidRPr="00E07C9A" w:rsidDel="00F27BD6" w:rsidRDefault="00EE2CD5"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0330</w:t>
            </w:r>
          </w:p>
        </w:tc>
        <w:tc>
          <w:tcPr>
            <w:tcW w:w="7875" w:type="dxa"/>
          </w:tcPr>
          <w:p w14:paraId="66957FAA" w14:textId="77777777" w:rsidR="000B0B09" w:rsidRPr="00E07C9A" w:rsidRDefault="000B0B09" w:rsidP="000B0B09">
            <w:pPr>
              <w:autoSpaceDE w:val="0"/>
              <w:autoSpaceDN w:val="0"/>
              <w:adjustRightInd w:val="0"/>
              <w:spacing w:before="0" w:after="0"/>
              <w:rPr>
                <w:rFonts w:ascii="Times New Roman" w:hAnsi="Times New Roman"/>
                <w:b/>
                <w:bCs/>
                <w:sz w:val="24"/>
                <w:u w:val="single"/>
              </w:rPr>
            </w:pPr>
            <w:r w:rsidRPr="00E07C9A">
              <w:rPr>
                <w:rFonts w:ascii="Times New Roman" w:hAnsi="Times New Roman"/>
                <w:b/>
                <w:sz w:val="24"/>
                <w:u w:val="single"/>
              </w:rPr>
              <w:t>Požiadavka na vlastné zdroje pre korelačné obchodné portfólio</w:t>
            </w:r>
          </w:p>
          <w:p w14:paraId="104F8330" w14:textId="21F62B7B" w:rsidR="00722A10" w:rsidRPr="00E07C9A" w:rsidDel="00F27BD6" w:rsidRDefault="000B0B09" w:rsidP="0002267E">
            <w:pPr>
              <w:rPr>
                <w:rFonts w:ascii="Times New Roman" w:hAnsi="Times New Roman"/>
                <w:b/>
                <w:bCs/>
                <w:sz w:val="24"/>
                <w:u w:val="single"/>
              </w:rPr>
            </w:pPr>
            <w:r w:rsidRPr="00E07C9A">
              <w:rPr>
                <w:rFonts w:ascii="Times New Roman" w:hAnsi="Times New Roman"/>
                <w:sz w:val="24"/>
              </w:rPr>
              <w:t>Požiadavky na celkové vlastné zdroje vykázané</w:t>
            </w:r>
            <w:r w:rsidR="009912F8" w:rsidRPr="00E07C9A">
              <w:rPr>
                <w:rFonts w:ascii="Times New Roman" w:hAnsi="Times New Roman"/>
                <w:sz w:val="24"/>
              </w:rPr>
              <w:t xml:space="preserve"> v </w:t>
            </w:r>
            <w:r w:rsidRPr="00E07C9A">
              <w:rPr>
                <w:rFonts w:ascii="Times New Roman" w:hAnsi="Times New Roman"/>
                <w:sz w:val="24"/>
              </w:rPr>
              <w:t>stĺpci 0450 vzoru MKR SA CTP. Uvedené požiadavky na celkové vlastné zdroje sa vykazujú len na celkovej úrovni vzoru MKR SA TDI.</w:t>
            </w:r>
          </w:p>
        </w:tc>
      </w:tr>
      <w:tr w:rsidR="000B0B09" w:rsidRPr="00E07C9A" w14:paraId="230D0723" w14:textId="77777777" w:rsidTr="00672D2A">
        <w:tc>
          <w:tcPr>
            <w:tcW w:w="987" w:type="dxa"/>
          </w:tcPr>
          <w:p w14:paraId="26241DA3" w14:textId="77777777" w:rsidR="000B0B09" w:rsidRPr="00E07C9A" w:rsidRDefault="00EE2CD5" w:rsidP="000F70EC">
            <w:pPr>
              <w:autoSpaceDE w:val="0"/>
              <w:autoSpaceDN w:val="0"/>
              <w:adjustRightInd w:val="0"/>
              <w:spacing w:before="0" w:after="0"/>
              <w:rPr>
                <w:rFonts w:ascii="Times New Roman" w:hAnsi="Times New Roman"/>
                <w:sz w:val="24"/>
              </w:rPr>
            </w:pPr>
            <w:r w:rsidRPr="00E07C9A">
              <w:rPr>
                <w:rFonts w:ascii="Times New Roman" w:hAnsi="Times New Roman"/>
                <w:sz w:val="24"/>
              </w:rPr>
              <w:t>0350 –⁠ 0390</w:t>
            </w:r>
          </w:p>
        </w:tc>
        <w:tc>
          <w:tcPr>
            <w:tcW w:w="7875" w:type="dxa"/>
          </w:tcPr>
          <w:p w14:paraId="5DB2CAB9" w14:textId="77777777" w:rsidR="009912F8" w:rsidRPr="00E07C9A" w:rsidRDefault="000B0B09" w:rsidP="000B0B09">
            <w:pPr>
              <w:autoSpaceDE w:val="0"/>
              <w:autoSpaceDN w:val="0"/>
              <w:adjustRightInd w:val="0"/>
              <w:spacing w:before="0" w:after="0"/>
              <w:rPr>
                <w:rStyle w:val="InstructionsTabelleberschrift"/>
                <w:rFonts w:ascii="Times New Roman" w:hAnsi="Times New Roman"/>
                <w:sz w:val="24"/>
              </w:rPr>
            </w:pPr>
            <w:r w:rsidRPr="00E07C9A">
              <w:rPr>
                <w:rStyle w:val="InstructionsTabelleberschrift"/>
                <w:rFonts w:ascii="Times New Roman" w:hAnsi="Times New Roman"/>
                <w:sz w:val="24"/>
              </w:rPr>
              <w:t>DODATOČNÉ POŽIADAVKY PRE OPCIE (RIZIKÁ INÉ NEŽ DELTA)</w:t>
            </w:r>
          </w:p>
          <w:p w14:paraId="3B19069A" w14:textId="6D20FEF2" w:rsidR="000B0B09" w:rsidRPr="00E07C9A" w:rsidRDefault="000B0B09" w:rsidP="00BD2FE7">
            <w:pPr>
              <w:rPr>
                <w:rFonts w:ascii="Times New Roman" w:hAnsi="Times New Roman"/>
                <w:sz w:val="24"/>
              </w:rPr>
            </w:pPr>
            <w:r w:rsidRPr="00E07C9A">
              <w:rPr>
                <w:rFonts w:ascii="Times New Roman" w:hAnsi="Times New Roman"/>
                <w:sz w:val="24"/>
              </w:rPr>
              <w:t xml:space="preserve">Článok 329 ods. 3 nariadenia (EÚ) </w:t>
            </w:r>
            <w:r w:rsidR="009912F8" w:rsidRPr="00E07C9A">
              <w:rPr>
                <w:rFonts w:ascii="Times New Roman" w:hAnsi="Times New Roman"/>
                <w:sz w:val="24"/>
              </w:rPr>
              <w:t>č. 575/2013</w:t>
            </w:r>
          </w:p>
          <w:p w14:paraId="4A1F04EE" w14:textId="155D6690" w:rsidR="000B0B09" w:rsidRPr="00E07C9A" w:rsidRDefault="000B0B09" w:rsidP="0002267E">
            <w:pPr>
              <w:rPr>
                <w:rFonts w:ascii="Times New Roman" w:hAnsi="Times New Roman"/>
                <w:bCs/>
                <w:sz w:val="24"/>
              </w:rPr>
            </w:pPr>
            <w:r w:rsidRPr="00E07C9A">
              <w:rPr>
                <w:rFonts w:ascii="Times New Roman" w:hAnsi="Times New Roman"/>
                <w:sz w:val="24"/>
              </w:rPr>
              <w:t>Dodatočné požiadavky pre opcie, ktoré súvisia</w:t>
            </w:r>
            <w:r w:rsidR="009912F8" w:rsidRPr="00E07C9A">
              <w:rPr>
                <w:rFonts w:ascii="Times New Roman" w:hAnsi="Times New Roman"/>
                <w:sz w:val="24"/>
              </w:rPr>
              <w:t xml:space="preserve"> s </w:t>
            </w:r>
            <w:r w:rsidRPr="00E07C9A">
              <w:rPr>
                <w:rFonts w:ascii="Times New Roman" w:hAnsi="Times New Roman"/>
                <w:sz w:val="24"/>
              </w:rPr>
              <w:t>rizikami inými než delta, sa vykazujú</w:t>
            </w:r>
            <w:r w:rsidR="009912F8" w:rsidRPr="00E07C9A">
              <w:rPr>
                <w:rFonts w:ascii="Times New Roman" w:hAnsi="Times New Roman"/>
                <w:sz w:val="24"/>
              </w:rPr>
              <w:t xml:space="preserve"> v </w:t>
            </w:r>
            <w:r w:rsidRPr="00E07C9A">
              <w:rPr>
                <w:rFonts w:ascii="Times New Roman" w:hAnsi="Times New Roman"/>
                <w:sz w:val="24"/>
              </w:rPr>
              <w:t>rozčlenení podľa metódy použitej na ich výpočet.</w:t>
            </w:r>
          </w:p>
        </w:tc>
      </w:tr>
    </w:tbl>
    <w:p w14:paraId="45D79A0A" w14:textId="77777777" w:rsidR="000B0B09" w:rsidRPr="00E07C9A" w:rsidRDefault="000B0B09" w:rsidP="000B0B09">
      <w:pPr>
        <w:autoSpaceDE w:val="0"/>
        <w:autoSpaceDN w:val="0"/>
        <w:adjustRightInd w:val="0"/>
        <w:spacing w:before="0" w:after="0"/>
        <w:rPr>
          <w:rFonts w:ascii="Times New Roman" w:hAnsi="Times New Roman"/>
          <w:bCs/>
          <w:sz w:val="24"/>
          <w:lang w:eastAsia="nl-BE"/>
        </w:rPr>
      </w:pPr>
    </w:p>
    <w:p w14:paraId="7B3D40AE" w14:textId="3B07E3C1" w:rsidR="000B0B09" w:rsidRPr="00E07C9A" w:rsidRDefault="00125707" w:rsidP="0023700C">
      <w:pPr>
        <w:pStyle w:val="Instructionsberschrift2"/>
        <w:numPr>
          <w:ilvl w:val="0"/>
          <w:numId w:val="0"/>
        </w:numPr>
        <w:ind w:left="357" w:hanging="357"/>
        <w:rPr>
          <w:rFonts w:ascii="Times New Roman" w:hAnsi="Times New Roman" w:cs="Times New Roman"/>
          <w:sz w:val="24"/>
        </w:rPr>
      </w:pPr>
      <w:bookmarkStart w:id="623" w:name="_Toc294172370"/>
      <w:bookmarkStart w:id="624" w:name="_Toc295829999"/>
      <w:bookmarkStart w:id="625" w:name="_Toc308426676"/>
      <w:bookmarkStart w:id="626" w:name="_Toc310415060"/>
      <w:bookmarkStart w:id="627" w:name="_Toc360188395"/>
      <w:bookmarkStart w:id="628" w:name="_Toc473561035"/>
      <w:bookmarkStart w:id="629" w:name="_Toc115857879"/>
      <w:r w:rsidRPr="00E07C9A">
        <w:rPr>
          <w:rFonts w:ascii="Times New Roman" w:hAnsi="Times New Roman" w:cs="Times New Roman"/>
          <w:sz w:val="24"/>
          <w:u w:val="none"/>
        </w:rPr>
        <w:t>5.2.</w:t>
      </w:r>
      <w:r w:rsidRPr="00E07C9A">
        <w:rPr>
          <w:rFonts w:ascii="Times New Roman" w:hAnsi="Times New Roman" w:cs="Times New Roman"/>
          <w:u w:val="none"/>
        </w:rPr>
        <w:tab/>
      </w:r>
      <w:r w:rsidRPr="00E07C9A">
        <w:rPr>
          <w:rFonts w:ascii="Times New Roman" w:hAnsi="Times New Roman" w:cs="Times New Roman"/>
          <w:sz w:val="24"/>
        </w:rPr>
        <w:t>C 19.00 – TRHOVÉ RIZIKO: ŠTANDARDIZOVANÝ PRÍSTUP PRE ŠPECIFICKÉ RIZIKO</w:t>
      </w:r>
      <w:r w:rsidR="009912F8" w:rsidRPr="00E07C9A">
        <w:rPr>
          <w:rFonts w:ascii="Times New Roman" w:hAnsi="Times New Roman" w:cs="Times New Roman"/>
          <w:sz w:val="24"/>
        </w:rPr>
        <w:t xml:space="preserve"> V </w:t>
      </w:r>
      <w:r w:rsidRPr="00E07C9A">
        <w:rPr>
          <w:rFonts w:ascii="Times New Roman" w:hAnsi="Times New Roman" w:cs="Times New Roman"/>
          <w:sz w:val="24"/>
        </w:rPr>
        <w:t>SEKURITIZÁCIÁCH (VZOR MKR SA SEC)</w:t>
      </w:r>
      <w:bookmarkEnd w:id="623"/>
      <w:bookmarkEnd w:id="624"/>
      <w:bookmarkEnd w:id="625"/>
      <w:bookmarkEnd w:id="626"/>
      <w:bookmarkEnd w:id="627"/>
      <w:bookmarkEnd w:id="628"/>
      <w:bookmarkEnd w:id="629"/>
    </w:p>
    <w:p w14:paraId="77E74540" w14:textId="77777777" w:rsidR="000B0B09" w:rsidRPr="00E07C9A" w:rsidRDefault="00125707" w:rsidP="0023700C">
      <w:pPr>
        <w:pStyle w:val="Instructionsberschrift2"/>
        <w:numPr>
          <w:ilvl w:val="0"/>
          <w:numId w:val="0"/>
        </w:numPr>
        <w:ind w:left="357" w:hanging="357"/>
        <w:rPr>
          <w:rFonts w:ascii="Times New Roman" w:hAnsi="Times New Roman" w:cs="Times New Roman"/>
          <w:sz w:val="24"/>
        </w:rPr>
      </w:pPr>
      <w:bookmarkStart w:id="630" w:name="_Toc294172371"/>
      <w:bookmarkStart w:id="631" w:name="_Toc295830000"/>
      <w:bookmarkStart w:id="632" w:name="_Toc308426677"/>
      <w:bookmarkStart w:id="633" w:name="_Toc310415061"/>
      <w:bookmarkStart w:id="634" w:name="_Toc360188396"/>
      <w:bookmarkStart w:id="635" w:name="_Toc473561036"/>
      <w:bookmarkStart w:id="636" w:name="_Toc115857880"/>
      <w:r w:rsidRPr="00E07C9A">
        <w:rPr>
          <w:rFonts w:ascii="Times New Roman" w:hAnsi="Times New Roman" w:cs="Times New Roman"/>
          <w:sz w:val="24"/>
          <w:u w:val="none"/>
        </w:rPr>
        <w:t>5.2.1.</w:t>
      </w:r>
      <w:r w:rsidRPr="00E07C9A">
        <w:rPr>
          <w:rFonts w:ascii="Times New Roman" w:hAnsi="Times New Roman" w:cs="Times New Roman"/>
          <w:u w:val="none"/>
        </w:rPr>
        <w:tab/>
      </w:r>
      <w:r w:rsidRPr="00E07C9A">
        <w:rPr>
          <w:rFonts w:ascii="Times New Roman" w:hAnsi="Times New Roman" w:cs="Times New Roman"/>
          <w:sz w:val="24"/>
        </w:rPr>
        <w:t>Všeobecné poznámky</w:t>
      </w:r>
      <w:bookmarkEnd w:id="630"/>
      <w:bookmarkEnd w:id="631"/>
      <w:bookmarkEnd w:id="632"/>
      <w:bookmarkEnd w:id="633"/>
      <w:bookmarkEnd w:id="634"/>
      <w:bookmarkEnd w:id="635"/>
      <w:bookmarkEnd w:id="636"/>
    </w:p>
    <w:bookmarkStart w:id="637" w:name="_Toc294172372"/>
    <w:bookmarkStart w:id="638" w:name="_Toc295830001"/>
    <w:bookmarkStart w:id="639" w:name="_Toc308426678"/>
    <w:bookmarkStart w:id="640" w:name="_Toc310415062"/>
    <w:bookmarkStart w:id="641" w:name="_Toc360188397"/>
    <w:bookmarkStart w:id="642" w:name="_Toc473561037"/>
    <w:p w14:paraId="71EFE206" w14:textId="359F10DE" w:rsidR="009912F8" w:rsidRPr="00E07C9A" w:rsidRDefault="00771068" w:rsidP="00487A02">
      <w:pPr>
        <w:pStyle w:val="InstructionsText2"/>
        <w:numPr>
          <w:ilvl w:val="0"/>
          <w:numId w:val="0"/>
        </w:numPr>
        <w:ind w:left="1353" w:hanging="360"/>
      </w:pPr>
      <w:r w:rsidRPr="00E07C9A">
        <w:fldChar w:fldCharType="begin"/>
      </w:r>
      <w:r w:rsidRPr="00E07C9A">
        <w:instrText xml:space="preserve"> seq paragraphs </w:instrText>
      </w:r>
      <w:r w:rsidRPr="00E07C9A">
        <w:fldChar w:fldCharType="separate"/>
      </w:r>
      <w:r w:rsidR="00132AEE">
        <w:rPr>
          <w:noProof/>
        </w:rPr>
        <w:t>162</w:t>
      </w:r>
      <w:r w:rsidRPr="00E07C9A">
        <w:fldChar w:fldCharType="end"/>
      </w:r>
      <w:r w:rsidRPr="00E07C9A">
        <w:t>.</w:t>
      </w:r>
      <w:r w:rsidRPr="00E07C9A">
        <w:tab/>
      </w:r>
      <w:r w:rsidR="009912F8" w:rsidRPr="00E07C9A">
        <w:t xml:space="preserve"> V </w:t>
      </w:r>
      <w:r w:rsidRPr="00E07C9A">
        <w:t>tomto vzore sa požadujú informácie</w:t>
      </w:r>
      <w:r w:rsidR="009912F8" w:rsidRPr="00E07C9A">
        <w:t xml:space="preserve"> o </w:t>
      </w:r>
      <w:r w:rsidRPr="00E07C9A">
        <w:t>pozíciách (všetky/čisté</w:t>
      </w:r>
      <w:r w:rsidR="009912F8" w:rsidRPr="00E07C9A">
        <w:t xml:space="preserve"> a </w:t>
      </w:r>
      <w:r w:rsidRPr="00E07C9A">
        <w:t>dlhé/krátke)</w:t>
      </w:r>
      <w:r w:rsidR="009912F8" w:rsidRPr="00E07C9A">
        <w:t xml:space="preserve"> a </w:t>
      </w:r>
      <w:r w:rsidRPr="00E07C9A">
        <w:t>súvisiacich požiadavkách na vlastné zdroje pre zložku špecifického rizika pozičného rizika</w:t>
      </w:r>
      <w:r w:rsidR="009912F8" w:rsidRPr="00E07C9A">
        <w:t xml:space="preserve"> v </w:t>
      </w:r>
      <w:r w:rsidRPr="00E07C9A">
        <w:t>sekuritizáciách/resekuritizáciách držaných</w:t>
      </w:r>
      <w:r w:rsidR="009912F8" w:rsidRPr="00E07C9A">
        <w:t xml:space="preserve"> v </w:t>
      </w:r>
      <w:r w:rsidRPr="00E07C9A">
        <w:t>obchodnej knihe (neprípustné pre korelačné obchodné portfólio)</w:t>
      </w:r>
      <w:r w:rsidR="009912F8" w:rsidRPr="00E07C9A">
        <w:t xml:space="preserve"> v </w:t>
      </w:r>
      <w:r w:rsidRPr="00E07C9A">
        <w:t>rámci štandardizovaného prístupu</w:t>
      </w:r>
      <w:r w:rsidR="009912F8" w:rsidRPr="00E07C9A">
        <w:t>.</w:t>
      </w:r>
    </w:p>
    <w:p w14:paraId="2729DF95" w14:textId="49420306" w:rsidR="00FC6275" w:rsidRPr="00E07C9A" w:rsidRDefault="002A18DE" w:rsidP="00487A02">
      <w:pPr>
        <w:pStyle w:val="InstructionsText2"/>
        <w:numPr>
          <w:ilvl w:val="0"/>
          <w:numId w:val="0"/>
        </w:numPr>
        <w:ind w:left="1353" w:hanging="360"/>
      </w:pPr>
      <w:fldSimple w:instr=" seq paragraphs ">
        <w:r w:rsidR="00132AEE">
          <w:rPr>
            <w:noProof/>
          </w:rPr>
          <w:t>163</w:t>
        </w:r>
      </w:fldSimple>
      <w:r w:rsidR="00C3070C" w:rsidRPr="00E07C9A">
        <w:t>.</w:t>
      </w:r>
      <w:r w:rsidR="00C3070C" w:rsidRPr="00E07C9A">
        <w:tab/>
        <w:t xml:space="preserve"> Vo vzore MKR SA SEC sa požiadavka na vlastné zdroje určuje len pre špecifické riziko sekuritizačných pozícií podľa článku 335 nariadenia (EÚ) </w:t>
      </w:r>
      <w:r w:rsidR="009912F8" w:rsidRPr="00E07C9A">
        <w:t>č. 575/2013 v </w:t>
      </w:r>
      <w:r w:rsidR="00C3070C" w:rsidRPr="00E07C9A">
        <w:t>spojení</w:t>
      </w:r>
      <w:r w:rsidR="009912F8" w:rsidRPr="00E07C9A">
        <w:t xml:space="preserve"> s </w:t>
      </w:r>
      <w:r w:rsidR="00C3070C" w:rsidRPr="00E07C9A">
        <w:t>článkom 337 uvedeného nariadenia. Keď sa sekuritizačné pozície obchodnej knihy hedžujú kreditnými derivátmi, uplatňujú sa články 346</w:t>
      </w:r>
      <w:r w:rsidR="009912F8" w:rsidRPr="00E07C9A">
        <w:t xml:space="preserve"> a </w:t>
      </w:r>
      <w:r w:rsidR="00C3070C" w:rsidRPr="00E07C9A">
        <w:t xml:space="preserve">347 nariadenia (EÚ) </w:t>
      </w:r>
      <w:r w:rsidR="009912F8" w:rsidRPr="00E07C9A">
        <w:t>č. 575/2013</w:t>
      </w:r>
      <w:r w:rsidR="00C3070C" w:rsidRPr="00E07C9A">
        <w:t>. Existuje len jeden vzor pre všetky pozície obchodnej knihy bez ohľadu na prístup, ktorý inštitúcie uplatňujú na určenie rizikovej váhy každej</w:t>
      </w:r>
      <w:r w:rsidR="009912F8" w:rsidRPr="00E07C9A">
        <w:t xml:space="preserve"> z </w:t>
      </w:r>
      <w:r w:rsidR="00C3070C" w:rsidRPr="00E07C9A">
        <w:t>pozícií</w:t>
      </w:r>
      <w:r w:rsidR="009912F8" w:rsidRPr="00E07C9A">
        <w:t xml:space="preserve"> v </w:t>
      </w:r>
      <w:r w:rsidR="00C3070C" w:rsidRPr="00E07C9A">
        <w:t>súlade</w:t>
      </w:r>
      <w:r w:rsidR="009912F8" w:rsidRPr="00E07C9A">
        <w:t xml:space="preserve"> s </w:t>
      </w:r>
      <w:r w:rsidR="00C3070C" w:rsidRPr="00E07C9A">
        <w:t xml:space="preserve">treťou časťou hlavou II kapitolou 5 nariadenia (EÚ) </w:t>
      </w:r>
      <w:r w:rsidR="009912F8" w:rsidRPr="00E07C9A">
        <w:t>č. 575/2013</w:t>
      </w:r>
      <w:r w:rsidR="00C3070C" w:rsidRPr="00E07C9A">
        <w:t>. Požiadavky na vlastné zdroje pre všeobecné riziko týchto pozícií sa vykazujú vo vzore MKR SA TDI alebo vo vzore MKR IM.</w:t>
      </w:r>
    </w:p>
    <w:p w14:paraId="0C732A14" w14:textId="7A9729F4" w:rsidR="00FC6275" w:rsidRPr="00E07C9A" w:rsidRDefault="002A18DE" w:rsidP="00487A02">
      <w:pPr>
        <w:pStyle w:val="InstructionsText2"/>
        <w:numPr>
          <w:ilvl w:val="0"/>
          <w:numId w:val="0"/>
        </w:numPr>
        <w:ind w:left="1353" w:hanging="360"/>
      </w:pPr>
      <w:fldSimple w:instr=" seq paragraphs ">
        <w:r w:rsidR="00132AEE">
          <w:rPr>
            <w:noProof/>
          </w:rPr>
          <w:t>164</w:t>
        </w:r>
      </w:fldSimple>
      <w:r w:rsidR="00C3070C" w:rsidRPr="00E07C9A">
        <w:t>. Pozície, ktoré dostanú rizikovú váhu 1 250</w:t>
      </w:r>
      <w:r w:rsidR="009912F8" w:rsidRPr="00E07C9A">
        <w:t> %</w:t>
      </w:r>
      <w:r w:rsidR="00C3070C" w:rsidRPr="00E07C9A">
        <w:t>, možno alternatívne odpočítať od CET1 [pozri článok 244 ods. 1 písm. b), článok 245 ods. 1 písm. b)</w:t>
      </w:r>
      <w:r w:rsidR="009912F8" w:rsidRPr="00E07C9A">
        <w:t xml:space="preserve"> a </w:t>
      </w:r>
      <w:r w:rsidR="00C3070C" w:rsidRPr="00E07C9A">
        <w:t xml:space="preserve">článok 253 nariadenia (EÚ) </w:t>
      </w:r>
      <w:r w:rsidR="009912F8" w:rsidRPr="00E07C9A">
        <w:t>č. 575/2013</w:t>
      </w:r>
      <w:r w:rsidR="00C3070C" w:rsidRPr="00E07C9A">
        <w:t>].</w:t>
      </w:r>
      <w:r w:rsidR="009912F8" w:rsidRPr="00E07C9A">
        <w:t xml:space="preserve"> V </w:t>
      </w:r>
      <w:r w:rsidR="00C3070C" w:rsidRPr="00E07C9A">
        <w:t>takomto prípade sa tieto pozície musia vykázať</w:t>
      </w:r>
      <w:r w:rsidR="009912F8" w:rsidRPr="00E07C9A">
        <w:t xml:space="preserve"> v </w:t>
      </w:r>
      <w:r w:rsidR="00C3070C" w:rsidRPr="00E07C9A">
        <w:t>riadku 0460 vzoru CA1.</w:t>
      </w:r>
    </w:p>
    <w:p w14:paraId="3921F7AA" w14:textId="56C18CF3" w:rsidR="000B0B09" w:rsidRPr="00E07C9A" w:rsidRDefault="00125707" w:rsidP="0023700C">
      <w:pPr>
        <w:pStyle w:val="Instructionsberschrift2"/>
        <w:numPr>
          <w:ilvl w:val="0"/>
          <w:numId w:val="0"/>
        </w:numPr>
        <w:ind w:left="357" w:hanging="357"/>
        <w:rPr>
          <w:rFonts w:ascii="Times New Roman" w:hAnsi="Times New Roman" w:cs="Times New Roman"/>
          <w:sz w:val="24"/>
        </w:rPr>
      </w:pPr>
      <w:bookmarkStart w:id="643" w:name="_Toc115857881"/>
      <w:r w:rsidRPr="00E07C9A">
        <w:rPr>
          <w:rFonts w:ascii="Times New Roman" w:hAnsi="Times New Roman" w:cs="Times New Roman"/>
          <w:sz w:val="24"/>
          <w:u w:val="none"/>
        </w:rPr>
        <w:t>5.2.2.</w:t>
      </w:r>
      <w:r w:rsidRPr="00E07C9A">
        <w:rPr>
          <w:rFonts w:ascii="Times New Roman" w:hAnsi="Times New Roman" w:cs="Times New Roman"/>
          <w:u w:val="none"/>
        </w:rPr>
        <w:tab/>
      </w:r>
      <w:r w:rsidRPr="00E07C9A">
        <w:rPr>
          <w:rFonts w:ascii="Times New Roman" w:hAnsi="Times New Roman" w:cs="Times New Roman"/>
          <w:sz w:val="24"/>
        </w:rPr>
        <w:t>Pokyny týkajúce sa konkrétnych pozícií</w:t>
      </w:r>
      <w:bookmarkEnd w:id="637"/>
      <w:bookmarkEnd w:id="638"/>
      <w:bookmarkEnd w:id="639"/>
      <w:bookmarkEnd w:id="640"/>
      <w:bookmarkEnd w:id="641"/>
      <w:bookmarkEnd w:id="642"/>
      <w:bookmarkEnd w:id="6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605"/>
      </w:tblGrid>
      <w:tr w:rsidR="00C55547" w:rsidRPr="00E07C9A" w14:paraId="5FAA1DCA" w14:textId="77777777" w:rsidTr="00E10B85">
        <w:trPr>
          <w:trHeight w:val="631"/>
        </w:trPr>
        <w:tc>
          <w:tcPr>
            <w:tcW w:w="9018" w:type="dxa"/>
            <w:gridSpan w:val="2"/>
            <w:shd w:val="clear" w:color="auto" w:fill="CCCCCC"/>
          </w:tcPr>
          <w:p w14:paraId="672709A6" w14:textId="77777777" w:rsidR="00C55547" w:rsidRPr="00E07C9A" w:rsidRDefault="00C55547" w:rsidP="00E10B85">
            <w:pPr>
              <w:autoSpaceDE w:val="0"/>
              <w:autoSpaceDN w:val="0"/>
              <w:adjustRightInd w:val="0"/>
              <w:spacing w:after="0"/>
              <w:rPr>
                <w:rFonts w:ascii="Times New Roman" w:hAnsi="Times New Roman"/>
                <w:b/>
                <w:sz w:val="24"/>
              </w:rPr>
            </w:pPr>
            <w:r w:rsidRPr="00E07C9A">
              <w:rPr>
                <w:rFonts w:ascii="Times New Roman" w:hAnsi="Times New Roman"/>
                <w:b/>
                <w:sz w:val="24"/>
              </w:rPr>
              <w:t>Stĺpce</w:t>
            </w:r>
          </w:p>
        </w:tc>
      </w:tr>
      <w:tr w:rsidR="00C55547" w:rsidRPr="00E07C9A" w14:paraId="25DD94D3" w14:textId="77777777" w:rsidTr="000911FE">
        <w:tc>
          <w:tcPr>
            <w:tcW w:w="1413" w:type="dxa"/>
          </w:tcPr>
          <w:p w14:paraId="1C45AB39" w14:textId="77777777" w:rsidR="00C55547" w:rsidRPr="00E07C9A" w:rsidRDefault="00EE2CD5"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0010 –⁠ 0020</w:t>
            </w:r>
          </w:p>
        </w:tc>
        <w:tc>
          <w:tcPr>
            <w:tcW w:w="7605" w:type="dxa"/>
          </w:tcPr>
          <w:p w14:paraId="37C65F35" w14:textId="77777777" w:rsidR="00C55547" w:rsidRPr="00E07C9A" w:rsidRDefault="00C55547" w:rsidP="00E10B85">
            <w:pPr>
              <w:autoSpaceDE w:val="0"/>
              <w:autoSpaceDN w:val="0"/>
              <w:adjustRightInd w:val="0"/>
              <w:spacing w:before="0" w:after="0"/>
              <w:rPr>
                <w:rFonts w:ascii="Times New Roman" w:hAnsi="Times New Roman"/>
                <w:b/>
                <w:bCs/>
                <w:sz w:val="24"/>
                <w:u w:val="single"/>
              </w:rPr>
            </w:pPr>
            <w:r w:rsidRPr="00E07C9A">
              <w:rPr>
                <w:rFonts w:ascii="Times New Roman" w:hAnsi="Times New Roman"/>
                <w:b/>
                <w:sz w:val="24"/>
                <w:u w:val="single"/>
              </w:rPr>
              <w:t>VŠETKY POZÍCIE (DLHÉ A KRÁTKE)</w:t>
            </w:r>
          </w:p>
          <w:p w14:paraId="503F4241" w14:textId="775938C0" w:rsidR="00C55547" w:rsidRPr="00E07C9A" w:rsidRDefault="00C55547" w:rsidP="007062FD">
            <w:pPr>
              <w:rPr>
                <w:rFonts w:ascii="Times New Roman" w:hAnsi="Times New Roman"/>
                <w:sz w:val="24"/>
              </w:rPr>
            </w:pPr>
            <w:r w:rsidRPr="00E07C9A">
              <w:rPr>
                <w:rStyle w:val="InstructionsTabelleText"/>
                <w:rFonts w:ascii="Times New Roman" w:hAnsi="Times New Roman"/>
                <w:sz w:val="24"/>
              </w:rPr>
              <w:t>Článok 102</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článok 105 ods. 1</w:t>
            </w:r>
            <w:r w:rsidRPr="00E07C9A">
              <w:rPr>
                <w:rFonts w:ascii="Times New Roman" w:hAnsi="Times New Roman"/>
                <w:sz w:val="24"/>
              </w:rPr>
              <w:t xml:space="preserve"> nariadenia (EÚ) </w:t>
            </w:r>
            <w:r w:rsidR="009912F8" w:rsidRPr="00E07C9A">
              <w:rPr>
                <w:rFonts w:ascii="Times New Roman" w:hAnsi="Times New Roman"/>
                <w:sz w:val="24"/>
              </w:rPr>
              <w:t>č. 575/2013</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spojení</w:t>
            </w:r>
            <w:r w:rsidR="009912F8" w:rsidRPr="00E07C9A">
              <w:rPr>
                <w:rStyle w:val="InstructionsTabelleText"/>
                <w:rFonts w:ascii="Times New Roman" w:hAnsi="Times New Roman"/>
                <w:sz w:val="24"/>
              </w:rPr>
              <w:t xml:space="preserve"> s </w:t>
            </w:r>
            <w:r w:rsidRPr="00E07C9A">
              <w:rPr>
                <w:rStyle w:val="InstructionsTabelleText"/>
                <w:rFonts w:ascii="Times New Roman" w:hAnsi="Times New Roman"/>
                <w:sz w:val="24"/>
              </w:rPr>
              <w:t>článkom 337</w:t>
            </w:r>
            <w:r w:rsidRPr="00E07C9A">
              <w:rPr>
                <w:rFonts w:ascii="Times New Roman" w:hAnsi="Times New Roman"/>
                <w:sz w:val="24"/>
              </w:rPr>
              <w:t xml:space="preserve"> uvedeného nariadenia </w:t>
            </w:r>
            <w:r w:rsidRPr="00E07C9A">
              <w:rPr>
                <w:rStyle w:val="InstructionsTabelleText"/>
                <w:rFonts w:ascii="Times New Roman" w:hAnsi="Times New Roman"/>
                <w:sz w:val="24"/>
              </w:rPr>
              <w:t>(sekuritizačné pozície). Pokiaľ ide</w:t>
            </w:r>
            <w:r w:rsidR="009912F8" w:rsidRPr="00E07C9A">
              <w:rPr>
                <w:rStyle w:val="InstructionsTabelleText"/>
                <w:rFonts w:ascii="Times New Roman" w:hAnsi="Times New Roman"/>
                <w:sz w:val="24"/>
              </w:rPr>
              <w:t xml:space="preserve"> o </w:t>
            </w:r>
            <w:r w:rsidRPr="00E07C9A">
              <w:rPr>
                <w:rStyle w:val="InstructionsTabelleText"/>
                <w:rFonts w:ascii="Times New Roman" w:hAnsi="Times New Roman"/>
                <w:sz w:val="24"/>
              </w:rPr>
              <w:t>rozdiel medzi dlhými</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krátkymi pozíciami, ktorý sa uplatňuje aj na tieto hrubé pozície, pozri článok 328 ods. 2</w:t>
            </w:r>
            <w:r w:rsidRPr="00E07C9A">
              <w:rPr>
                <w:rFonts w:ascii="Times New Roman" w:hAnsi="Times New Roman"/>
                <w:sz w:val="24"/>
              </w:rPr>
              <w:t xml:space="preserve"> nariadenia (EÚ) </w:t>
            </w:r>
            <w:r w:rsidR="009912F8" w:rsidRPr="00E07C9A">
              <w:rPr>
                <w:rFonts w:ascii="Times New Roman" w:hAnsi="Times New Roman"/>
                <w:sz w:val="24"/>
              </w:rPr>
              <w:t>č. 575/2013</w:t>
            </w:r>
            <w:r w:rsidRPr="00E07C9A">
              <w:rPr>
                <w:rStyle w:val="InstructionsTabelleText"/>
                <w:rFonts w:ascii="Times New Roman" w:hAnsi="Times New Roman"/>
                <w:sz w:val="24"/>
              </w:rPr>
              <w:t xml:space="preserve">. </w:t>
            </w:r>
          </w:p>
        </w:tc>
      </w:tr>
      <w:tr w:rsidR="00C55547" w:rsidRPr="00E07C9A" w14:paraId="22839602" w14:textId="77777777" w:rsidTr="000911FE">
        <w:tc>
          <w:tcPr>
            <w:tcW w:w="1413" w:type="dxa"/>
          </w:tcPr>
          <w:p w14:paraId="40A33AFE" w14:textId="77777777" w:rsidR="00C55547" w:rsidRPr="00E07C9A" w:rsidRDefault="00EE2CD5"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0030 – 0040</w:t>
            </w:r>
          </w:p>
        </w:tc>
        <w:tc>
          <w:tcPr>
            <w:tcW w:w="7605" w:type="dxa"/>
          </w:tcPr>
          <w:p w14:paraId="511B0208" w14:textId="77777777" w:rsidR="00C55547" w:rsidRPr="00E07C9A" w:rsidRDefault="00C55547" w:rsidP="00E10B85">
            <w:pPr>
              <w:rPr>
                <w:rStyle w:val="InstructionsTabelleberschrift"/>
                <w:rFonts w:ascii="Times New Roman" w:hAnsi="Times New Roman"/>
                <w:sz w:val="24"/>
              </w:rPr>
            </w:pPr>
            <w:r w:rsidRPr="00E07C9A">
              <w:rPr>
                <w:rStyle w:val="InstructionsTabelleberschrift"/>
                <w:rFonts w:ascii="Times New Roman" w:hAnsi="Times New Roman"/>
                <w:sz w:val="24"/>
              </w:rPr>
              <w:t>(–) POZÍCIE ODPOČÍTANÉ OD VLASTNÝCH ZDROJOV</w:t>
            </w:r>
            <w:r w:rsidRPr="00E07C9A">
              <w:rPr>
                <w:rFonts w:ascii="Times New Roman" w:hAnsi="Times New Roman"/>
                <w:b/>
                <w:sz w:val="24"/>
                <w:u w:val="single"/>
              </w:rPr>
              <w:t xml:space="preserve"> (DLHÉ A KRÁTKE)</w:t>
            </w:r>
          </w:p>
          <w:p w14:paraId="1429CBFE" w14:textId="082EE952" w:rsidR="00C55547" w:rsidRPr="00E07C9A" w:rsidRDefault="00705025" w:rsidP="00D24331">
            <w:pPr>
              <w:rPr>
                <w:rStyle w:val="InstructionsTabelleText"/>
                <w:rFonts w:ascii="Times New Roman" w:hAnsi="Times New Roman"/>
                <w:sz w:val="24"/>
              </w:rPr>
            </w:pPr>
            <w:r w:rsidRPr="00E07C9A">
              <w:rPr>
                <w:rStyle w:val="InstructionsTabelleText"/>
                <w:rFonts w:ascii="Times New Roman" w:hAnsi="Times New Roman"/>
                <w:sz w:val="24"/>
              </w:rPr>
              <w:t xml:space="preserve"> Článok 244 ods. 1 písm. b), článok 245 ods. 1 písm. b)</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 xml:space="preserve">článok 253 </w:t>
            </w:r>
            <w:r w:rsidRPr="00E07C9A">
              <w:rPr>
                <w:rFonts w:ascii="Times New Roman" w:hAnsi="Times New Roman"/>
                <w:sz w:val="24"/>
              </w:rPr>
              <w:t xml:space="preserve">nariadenia (EÚ) </w:t>
            </w:r>
            <w:r w:rsidR="009912F8" w:rsidRPr="00E07C9A">
              <w:rPr>
                <w:rFonts w:ascii="Times New Roman" w:hAnsi="Times New Roman"/>
                <w:sz w:val="24"/>
              </w:rPr>
              <w:t>č. 575/2013</w:t>
            </w:r>
          </w:p>
        </w:tc>
      </w:tr>
      <w:tr w:rsidR="00C55547" w:rsidRPr="00E07C9A" w14:paraId="16C58348" w14:textId="77777777" w:rsidTr="000911FE">
        <w:tc>
          <w:tcPr>
            <w:tcW w:w="1413" w:type="dxa"/>
          </w:tcPr>
          <w:p w14:paraId="2D1E9030" w14:textId="77777777" w:rsidR="00C55547" w:rsidRPr="00E07C9A" w:rsidRDefault="00EE2CD5"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0050 –⁠ 0060</w:t>
            </w:r>
          </w:p>
        </w:tc>
        <w:tc>
          <w:tcPr>
            <w:tcW w:w="7605" w:type="dxa"/>
          </w:tcPr>
          <w:p w14:paraId="088E4387" w14:textId="77777777" w:rsidR="00C55547" w:rsidRPr="00E07C9A" w:rsidRDefault="00C55547" w:rsidP="00E10B85">
            <w:pPr>
              <w:rPr>
                <w:rStyle w:val="InstructionsTabelleberschrift"/>
                <w:rFonts w:ascii="Times New Roman" w:hAnsi="Times New Roman"/>
                <w:sz w:val="24"/>
              </w:rPr>
            </w:pPr>
            <w:r w:rsidRPr="00E07C9A">
              <w:rPr>
                <w:rStyle w:val="InstructionsTabelleberschrift"/>
                <w:rFonts w:ascii="Times New Roman" w:hAnsi="Times New Roman"/>
                <w:sz w:val="24"/>
              </w:rPr>
              <w:t>ČISTÉ POZÍCIE</w:t>
            </w:r>
            <w:r w:rsidRPr="00E07C9A">
              <w:rPr>
                <w:rFonts w:ascii="Times New Roman" w:hAnsi="Times New Roman"/>
                <w:b/>
                <w:sz w:val="24"/>
                <w:u w:val="single"/>
              </w:rPr>
              <w:t xml:space="preserve"> (DLHÉ A KRÁTKE)</w:t>
            </w:r>
          </w:p>
          <w:p w14:paraId="54C14D76" w14:textId="7A7AE5C4" w:rsidR="00C55547" w:rsidRPr="00E07C9A" w:rsidRDefault="00C55547" w:rsidP="003073B2">
            <w:pPr>
              <w:rPr>
                <w:rStyle w:val="InstructionsTabelleText"/>
                <w:rFonts w:ascii="Times New Roman" w:hAnsi="Times New Roman"/>
                <w:sz w:val="24"/>
              </w:rPr>
            </w:pPr>
            <w:r w:rsidRPr="00E07C9A">
              <w:rPr>
                <w:rStyle w:val="InstructionsTabelleText"/>
                <w:rFonts w:ascii="Times New Roman" w:hAnsi="Times New Roman"/>
                <w:sz w:val="24"/>
              </w:rPr>
              <w:t>Články 327, 328, 329</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334</w:t>
            </w:r>
            <w:r w:rsidRPr="00E07C9A">
              <w:rPr>
                <w:rFonts w:ascii="Times New Roman" w:hAnsi="Times New Roman"/>
                <w:sz w:val="24"/>
              </w:rPr>
              <w:t xml:space="preserve"> nariadenia (EÚ) </w:t>
            </w:r>
            <w:r w:rsidR="009912F8" w:rsidRPr="00E07C9A">
              <w:rPr>
                <w:rFonts w:ascii="Times New Roman" w:hAnsi="Times New Roman"/>
                <w:sz w:val="24"/>
              </w:rPr>
              <w:t>č. 575/2013</w:t>
            </w:r>
            <w:r w:rsidRPr="00E07C9A">
              <w:rPr>
                <w:rFonts w:ascii="Times New Roman" w:hAnsi="Times New Roman"/>
                <w:sz w:val="24"/>
              </w:rPr>
              <w:t>.</w:t>
            </w:r>
            <w:r w:rsidRPr="00E07C9A">
              <w:rPr>
                <w:rStyle w:val="InstructionsTabelleText"/>
                <w:rFonts w:ascii="Times New Roman" w:hAnsi="Times New Roman"/>
                <w:sz w:val="24"/>
              </w:rPr>
              <w:t xml:space="preserve"> Pokiaľ ide</w:t>
            </w:r>
            <w:r w:rsidR="009912F8" w:rsidRPr="00E07C9A">
              <w:rPr>
                <w:rStyle w:val="InstructionsTabelleText"/>
                <w:rFonts w:ascii="Times New Roman" w:hAnsi="Times New Roman"/>
                <w:sz w:val="24"/>
              </w:rPr>
              <w:t xml:space="preserve"> o </w:t>
            </w:r>
            <w:r w:rsidRPr="00E07C9A">
              <w:rPr>
                <w:rStyle w:val="InstructionsTabelleText"/>
                <w:rFonts w:ascii="Times New Roman" w:hAnsi="Times New Roman"/>
                <w:sz w:val="24"/>
              </w:rPr>
              <w:t>rozdiel medzi dlhými</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krátkymi pozíciami, pozri článok 328 ods. 2</w:t>
            </w:r>
            <w:r w:rsidRPr="00E07C9A">
              <w:rPr>
                <w:rFonts w:ascii="Times New Roman" w:hAnsi="Times New Roman"/>
                <w:sz w:val="24"/>
              </w:rPr>
              <w:t xml:space="preserve"> nariadenia (EÚ) </w:t>
            </w:r>
            <w:r w:rsidR="009912F8" w:rsidRPr="00E07C9A">
              <w:rPr>
                <w:rFonts w:ascii="Times New Roman" w:hAnsi="Times New Roman"/>
                <w:sz w:val="24"/>
              </w:rPr>
              <w:t>č. 575/2013</w:t>
            </w:r>
            <w:r w:rsidRPr="00E07C9A">
              <w:rPr>
                <w:rStyle w:val="InstructionsTabelleText"/>
                <w:rFonts w:ascii="Times New Roman" w:hAnsi="Times New Roman"/>
                <w:sz w:val="24"/>
              </w:rPr>
              <w:t>.</w:t>
            </w:r>
          </w:p>
        </w:tc>
      </w:tr>
      <w:tr w:rsidR="00C55547" w:rsidRPr="00E07C9A" w14:paraId="0BDF729C" w14:textId="77777777" w:rsidTr="000911FE">
        <w:tc>
          <w:tcPr>
            <w:tcW w:w="1413" w:type="dxa"/>
          </w:tcPr>
          <w:p w14:paraId="324A2BB6" w14:textId="77777777" w:rsidR="00C55547" w:rsidRPr="00E07C9A" w:rsidRDefault="00EE2CD5" w:rsidP="00543964">
            <w:pPr>
              <w:autoSpaceDE w:val="0"/>
              <w:autoSpaceDN w:val="0"/>
              <w:adjustRightInd w:val="0"/>
              <w:spacing w:before="0" w:after="0"/>
              <w:rPr>
                <w:rFonts w:ascii="Times New Roman" w:hAnsi="Times New Roman"/>
                <w:sz w:val="24"/>
              </w:rPr>
            </w:pPr>
            <w:r w:rsidRPr="00E07C9A">
              <w:rPr>
                <w:rFonts w:ascii="Times New Roman" w:hAnsi="Times New Roman"/>
                <w:sz w:val="24"/>
              </w:rPr>
              <w:t>0061 –⁠ 0104</w:t>
            </w:r>
          </w:p>
        </w:tc>
        <w:tc>
          <w:tcPr>
            <w:tcW w:w="7605" w:type="dxa"/>
          </w:tcPr>
          <w:p w14:paraId="627BB4B0" w14:textId="77777777" w:rsidR="00C55547" w:rsidRPr="00E07C9A" w:rsidRDefault="00C55547" w:rsidP="00E10B85">
            <w:pPr>
              <w:autoSpaceDE w:val="0"/>
              <w:autoSpaceDN w:val="0"/>
              <w:adjustRightInd w:val="0"/>
              <w:spacing w:before="0" w:after="0"/>
              <w:rPr>
                <w:rFonts w:ascii="Times New Roman" w:hAnsi="Times New Roman"/>
                <w:b/>
                <w:bCs/>
                <w:sz w:val="24"/>
                <w:u w:val="single"/>
              </w:rPr>
            </w:pPr>
            <w:r w:rsidRPr="00E07C9A">
              <w:rPr>
                <w:rFonts w:ascii="Times New Roman" w:hAnsi="Times New Roman"/>
                <w:b/>
                <w:sz w:val="24"/>
                <w:u w:val="single"/>
              </w:rPr>
              <w:t>ROZČLENENIE ČISTÝCH POZÍCIÍ PODĽA RIZIKOVÝCH VÁH</w:t>
            </w:r>
          </w:p>
          <w:p w14:paraId="4A116621" w14:textId="00DF7D80" w:rsidR="009912F8" w:rsidRPr="00E07C9A" w:rsidRDefault="00C55547" w:rsidP="003073B2">
            <w:pPr>
              <w:rPr>
                <w:rStyle w:val="InstructionsTabelleText"/>
                <w:rFonts w:ascii="Times New Roman" w:hAnsi="Times New Roman"/>
                <w:sz w:val="24"/>
              </w:rPr>
            </w:pPr>
            <w:r w:rsidRPr="00E07C9A">
              <w:rPr>
                <w:rStyle w:val="InstructionsTabelleText"/>
                <w:rFonts w:ascii="Times New Roman" w:hAnsi="Times New Roman"/>
                <w:sz w:val="24"/>
              </w:rPr>
              <w:t>Články 259 až 262, článok 263 tabuľky 1</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2, článok 264 tabuľky 3</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4</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 xml:space="preserve">článok 266 </w:t>
            </w:r>
            <w:r w:rsidRPr="00E07C9A">
              <w:rPr>
                <w:rFonts w:ascii="Times New Roman" w:hAnsi="Times New Roman"/>
                <w:sz w:val="24"/>
              </w:rPr>
              <w:t xml:space="preserve">nariadenia (EÚ) </w:t>
            </w:r>
            <w:r w:rsidR="009912F8" w:rsidRPr="00E07C9A">
              <w:rPr>
                <w:rFonts w:ascii="Times New Roman" w:hAnsi="Times New Roman"/>
                <w:sz w:val="24"/>
              </w:rPr>
              <w:t>č. 575/2013</w:t>
            </w:r>
          </w:p>
          <w:p w14:paraId="4314B137" w14:textId="2F181604" w:rsidR="00C55547" w:rsidRPr="00E07C9A" w:rsidRDefault="00C55547" w:rsidP="003073B2">
            <w:pPr>
              <w:rPr>
                <w:rStyle w:val="InstructionsTabelleText"/>
                <w:rFonts w:ascii="Times New Roman" w:hAnsi="Times New Roman"/>
                <w:sz w:val="24"/>
              </w:rPr>
            </w:pPr>
            <w:r w:rsidRPr="00E07C9A">
              <w:rPr>
                <w:rStyle w:val="InstructionsTabelleText"/>
                <w:rFonts w:ascii="Times New Roman" w:hAnsi="Times New Roman"/>
                <w:sz w:val="24"/>
              </w:rPr>
              <w:t>Dlhé</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krátke pozície sa rozčleňujú osobitne.</w:t>
            </w:r>
          </w:p>
        </w:tc>
      </w:tr>
      <w:tr w:rsidR="00C55547" w:rsidRPr="00E07C9A" w14:paraId="2A20E80A" w14:textId="77777777" w:rsidTr="000911FE">
        <w:tc>
          <w:tcPr>
            <w:tcW w:w="1413" w:type="dxa"/>
          </w:tcPr>
          <w:p w14:paraId="163C862B" w14:textId="77777777" w:rsidR="00C55547" w:rsidRPr="00E07C9A" w:rsidRDefault="00EE2CD5" w:rsidP="00921700">
            <w:pPr>
              <w:autoSpaceDE w:val="0"/>
              <w:autoSpaceDN w:val="0"/>
              <w:adjustRightInd w:val="0"/>
              <w:spacing w:before="0" w:after="0"/>
              <w:rPr>
                <w:rFonts w:ascii="Times New Roman" w:hAnsi="Times New Roman"/>
                <w:sz w:val="24"/>
              </w:rPr>
            </w:pPr>
            <w:r w:rsidRPr="00E07C9A">
              <w:rPr>
                <w:rFonts w:ascii="Times New Roman" w:hAnsi="Times New Roman"/>
                <w:sz w:val="24"/>
              </w:rPr>
              <w:t>0402 –⁠ 0406</w:t>
            </w:r>
          </w:p>
        </w:tc>
        <w:tc>
          <w:tcPr>
            <w:tcW w:w="7605" w:type="dxa"/>
          </w:tcPr>
          <w:p w14:paraId="2AF3DBA4" w14:textId="77777777" w:rsidR="00C55547" w:rsidRPr="00E07C9A" w:rsidRDefault="00C55547" w:rsidP="00E10B85">
            <w:pPr>
              <w:autoSpaceDE w:val="0"/>
              <w:autoSpaceDN w:val="0"/>
              <w:adjustRightInd w:val="0"/>
              <w:spacing w:before="0" w:after="0"/>
              <w:rPr>
                <w:rFonts w:ascii="Times New Roman" w:hAnsi="Times New Roman"/>
                <w:b/>
                <w:bCs/>
                <w:sz w:val="24"/>
                <w:u w:val="single"/>
              </w:rPr>
            </w:pPr>
            <w:r w:rsidRPr="00E07C9A">
              <w:rPr>
                <w:rFonts w:ascii="Times New Roman" w:hAnsi="Times New Roman"/>
                <w:b/>
                <w:sz w:val="24"/>
                <w:u w:val="single"/>
              </w:rPr>
              <w:t>ROZČLENENIE ČISTÝCH POZÍCIÍ PODĽA PRÍSTUPOV</w:t>
            </w:r>
          </w:p>
          <w:p w14:paraId="683DE902" w14:textId="21EF5601" w:rsidR="00C55547" w:rsidRPr="00E07C9A" w:rsidRDefault="00C55547" w:rsidP="003073B2">
            <w:pPr>
              <w:rPr>
                <w:rFonts w:ascii="Times New Roman" w:hAnsi="Times New Roman"/>
                <w:b/>
                <w:bCs/>
                <w:sz w:val="24"/>
                <w:u w:val="single"/>
              </w:rPr>
            </w:pPr>
            <w:r w:rsidRPr="00E07C9A">
              <w:rPr>
                <w:rStyle w:val="InstructionsTabelleText"/>
                <w:rFonts w:ascii="Times New Roman" w:hAnsi="Times New Roman"/>
                <w:sz w:val="24"/>
              </w:rPr>
              <w:t>Článok 254</w:t>
            </w:r>
            <w:r w:rsidRPr="00E07C9A">
              <w:rPr>
                <w:rFonts w:ascii="Times New Roman" w:hAnsi="Times New Roman"/>
                <w:sz w:val="24"/>
              </w:rPr>
              <w:t xml:space="preserve"> nariadenia (EÚ) </w:t>
            </w:r>
            <w:r w:rsidR="009912F8" w:rsidRPr="00E07C9A">
              <w:rPr>
                <w:rFonts w:ascii="Times New Roman" w:hAnsi="Times New Roman"/>
                <w:sz w:val="24"/>
              </w:rPr>
              <w:t>č. 575/2013</w:t>
            </w:r>
            <w:r w:rsidRPr="00E07C9A">
              <w:rPr>
                <w:rStyle w:val="InstructionsTabelleText"/>
                <w:rFonts w:ascii="Times New Roman" w:hAnsi="Times New Roman"/>
                <w:sz w:val="24"/>
              </w:rPr>
              <w:t xml:space="preserve"> </w:t>
            </w:r>
          </w:p>
        </w:tc>
      </w:tr>
      <w:tr w:rsidR="00C55547" w:rsidRPr="00E07C9A" w14:paraId="6061874B" w14:textId="77777777" w:rsidTr="000911FE">
        <w:tc>
          <w:tcPr>
            <w:tcW w:w="1413" w:type="dxa"/>
          </w:tcPr>
          <w:p w14:paraId="4B729A34" w14:textId="77777777" w:rsidR="00C55547" w:rsidRPr="00E07C9A" w:rsidRDefault="00EE2CD5" w:rsidP="00921700">
            <w:pPr>
              <w:autoSpaceDE w:val="0"/>
              <w:autoSpaceDN w:val="0"/>
              <w:adjustRightInd w:val="0"/>
              <w:spacing w:before="0" w:after="0"/>
              <w:rPr>
                <w:rFonts w:ascii="Times New Roman" w:hAnsi="Times New Roman"/>
                <w:sz w:val="24"/>
              </w:rPr>
            </w:pPr>
            <w:r w:rsidRPr="00E07C9A">
              <w:rPr>
                <w:rFonts w:ascii="Times New Roman" w:hAnsi="Times New Roman"/>
                <w:sz w:val="24"/>
              </w:rPr>
              <w:t>0402</w:t>
            </w:r>
          </w:p>
        </w:tc>
        <w:tc>
          <w:tcPr>
            <w:tcW w:w="7605" w:type="dxa"/>
          </w:tcPr>
          <w:p w14:paraId="06929D2D" w14:textId="77777777" w:rsidR="00C55547" w:rsidRPr="00E07C9A" w:rsidRDefault="00C55547" w:rsidP="00E10B85">
            <w:pPr>
              <w:autoSpaceDE w:val="0"/>
              <w:autoSpaceDN w:val="0"/>
              <w:adjustRightInd w:val="0"/>
              <w:spacing w:before="0" w:after="0"/>
              <w:rPr>
                <w:rFonts w:ascii="Times New Roman" w:hAnsi="Times New Roman"/>
                <w:b/>
                <w:bCs/>
                <w:sz w:val="24"/>
                <w:u w:val="single"/>
              </w:rPr>
            </w:pPr>
            <w:r w:rsidRPr="00E07C9A">
              <w:rPr>
                <w:rFonts w:ascii="Times New Roman" w:hAnsi="Times New Roman"/>
                <w:b/>
                <w:sz w:val="24"/>
                <w:u w:val="single"/>
              </w:rPr>
              <w:t>SEC-IRBA</w:t>
            </w:r>
          </w:p>
          <w:p w14:paraId="41A48A7C" w14:textId="5D575C95" w:rsidR="00C55547" w:rsidRPr="00E07C9A" w:rsidRDefault="00C55547" w:rsidP="003073B2">
            <w:pPr>
              <w:rPr>
                <w:rFonts w:ascii="Times New Roman" w:hAnsi="Times New Roman"/>
                <w:b/>
                <w:bCs/>
                <w:sz w:val="24"/>
                <w:u w:val="single"/>
              </w:rPr>
            </w:pPr>
            <w:r w:rsidRPr="00E07C9A">
              <w:rPr>
                <w:rStyle w:val="InstructionsTabelleText"/>
                <w:rFonts w:ascii="Times New Roman" w:hAnsi="Times New Roman"/>
                <w:sz w:val="24"/>
              </w:rPr>
              <w:t>Články 259</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260</w:t>
            </w:r>
            <w:r w:rsidRPr="00E07C9A">
              <w:rPr>
                <w:rFonts w:ascii="Times New Roman" w:hAnsi="Times New Roman"/>
                <w:sz w:val="24"/>
              </w:rPr>
              <w:t xml:space="preserve"> nariadenia (EÚ) </w:t>
            </w:r>
            <w:r w:rsidR="009912F8" w:rsidRPr="00E07C9A">
              <w:rPr>
                <w:rFonts w:ascii="Times New Roman" w:hAnsi="Times New Roman"/>
                <w:sz w:val="24"/>
              </w:rPr>
              <w:t>č. 575/2013</w:t>
            </w:r>
          </w:p>
        </w:tc>
      </w:tr>
      <w:tr w:rsidR="00C55547" w:rsidRPr="00E07C9A" w14:paraId="16BB3DCB" w14:textId="77777777" w:rsidTr="000911FE">
        <w:tc>
          <w:tcPr>
            <w:tcW w:w="1413" w:type="dxa"/>
          </w:tcPr>
          <w:p w14:paraId="189036B1" w14:textId="77777777" w:rsidR="00C55547" w:rsidRPr="00E07C9A" w:rsidRDefault="00EE2CD5" w:rsidP="00921700">
            <w:pPr>
              <w:autoSpaceDE w:val="0"/>
              <w:autoSpaceDN w:val="0"/>
              <w:adjustRightInd w:val="0"/>
              <w:spacing w:before="0" w:after="0"/>
              <w:rPr>
                <w:rFonts w:ascii="Times New Roman" w:hAnsi="Times New Roman"/>
                <w:sz w:val="24"/>
              </w:rPr>
            </w:pPr>
            <w:r w:rsidRPr="00E07C9A">
              <w:rPr>
                <w:rFonts w:ascii="Times New Roman" w:hAnsi="Times New Roman"/>
                <w:sz w:val="24"/>
              </w:rPr>
              <w:t>0403</w:t>
            </w:r>
          </w:p>
        </w:tc>
        <w:tc>
          <w:tcPr>
            <w:tcW w:w="7605" w:type="dxa"/>
          </w:tcPr>
          <w:p w14:paraId="6F8EF419" w14:textId="77777777" w:rsidR="00C55547" w:rsidRPr="00E07C9A" w:rsidRDefault="00C55547" w:rsidP="00E10B85">
            <w:pPr>
              <w:autoSpaceDE w:val="0"/>
              <w:autoSpaceDN w:val="0"/>
              <w:adjustRightInd w:val="0"/>
              <w:spacing w:before="0" w:after="0"/>
              <w:rPr>
                <w:rFonts w:ascii="Times New Roman" w:hAnsi="Times New Roman"/>
                <w:b/>
                <w:bCs/>
                <w:sz w:val="24"/>
                <w:u w:val="single"/>
              </w:rPr>
            </w:pPr>
            <w:r w:rsidRPr="00E07C9A">
              <w:rPr>
                <w:rFonts w:ascii="Times New Roman" w:hAnsi="Times New Roman"/>
                <w:b/>
                <w:sz w:val="24"/>
                <w:u w:val="single"/>
              </w:rPr>
              <w:t>SEC-SA</w:t>
            </w:r>
          </w:p>
          <w:p w14:paraId="5A374E14" w14:textId="20DC1AB6" w:rsidR="00C55547" w:rsidRPr="00E07C9A" w:rsidRDefault="00C55547" w:rsidP="003073B2">
            <w:pPr>
              <w:autoSpaceDE w:val="0"/>
              <w:autoSpaceDN w:val="0"/>
              <w:adjustRightInd w:val="0"/>
              <w:jc w:val="left"/>
              <w:rPr>
                <w:rFonts w:ascii="Times New Roman" w:hAnsi="Times New Roman"/>
                <w:b/>
                <w:bCs/>
                <w:sz w:val="24"/>
                <w:u w:val="single"/>
              </w:rPr>
            </w:pPr>
            <w:r w:rsidRPr="00E07C9A">
              <w:rPr>
                <w:rStyle w:val="InstructionsTabelleText"/>
                <w:rFonts w:ascii="Times New Roman" w:hAnsi="Times New Roman"/>
                <w:sz w:val="24"/>
              </w:rPr>
              <w:t>Články 261</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262</w:t>
            </w:r>
            <w:r w:rsidRPr="00E07C9A">
              <w:rPr>
                <w:rFonts w:ascii="Times New Roman" w:hAnsi="Times New Roman"/>
                <w:sz w:val="24"/>
              </w:rPr>
              <w:t xml:space="preserve"> nariadenia (EÚ) </w:t>
            </w:r>
            <w:r w:rsidR="009912F8" w:rsidRPr="00E07C9A">
              <w:rPr>
                <w:rFonts w:ascii="Times New Roman" w:hAnsi="Times New Roman"/>
                <w:sz w:val="24"/>
              </w:rPr>
              <w:t>č. 575/2013</w:t>
            </w:r>
          </w:p>
        </w:tc>
      </w:tr>
      <w:tr w:rsidR="00C55547" w:rsidRPr="00E07C9A" w14:paraId="0B1E8511" w14:textId="77777777" w:rsidTr="000911FE">
        <w:tc>
          <w:tcPr>
            <w:tcW w:w="1413" w:type="dxa"/>
          </w:tcPr>
          <w:p w14:paraId="283E5722" w14:textId="77777777" w:rsidR="00C55547" w:rsidRPr="00E07C9A" w:rsidRDefault="00EE2CD5" w:rsidP="00921700">
            <w:pPr>
              <w:autoSpaceDE w:val="0"/>
              <w:autoSpaceDN w:val="0"/>
              <w:adjustRightInd w:val="0"/>
              <w:spacing w:before="0" w:after="0"/>
              <w:rPr>
                <w:rFonts w:ascii="Times New Roman" w:hAnsi="Times New Roman"/>
                <w:sz w:val="24"/>
              </w:rPr>
            </w:pPr>
            <w:r w:rsidRPr="00E07C9A">
              <w:rPr>
                <w:rFonts w:ascii="Times New Roman" w:hAnsi="Times New Roman"/>
                <w:sz w:val="24"/>
              </w:rPr>
              <w:t>0404</w:t>
            </w:r>
          </w:p>
        </w:tc>
        <w:tc>
          <w:tcPr>
            <w:tcW w:w="7605" w:type="dxa"/>
          </w:tcPr>
          <w:p w14:paraId="7AA18AA4" w14:textId="77777777" w:rsidR="00C55547" w:rsidRPr="00E07C9A" w:rsidRDefault="00C55547" w:rsidP="00E10B85">
            <w:pPr>
              <w:autoSpaceDE w:val="0"/>
              <w:autoSpaceDN w:val="0"/>
              <w:adjustRightInd w:val="0"/>
              <w:spacing w:before="0" w:after="0"/>
              <w:rPr>
                <w:rFonts w:ascii="Times New Roman" w:hAnsi="Times New Roman"/>
                <w:b/>
                <w:bCs/>
                <w:sz w:val="24"/>
                <w:u w:val="single"/>
              </w:rPr>
            </w:pPr>
            <w:r w:rsidRPr="00E07C9A">
              <w:rPr>
                <w:rFonts w:ascii="Times New Roman" w:hAnsi="Times New Roman"/>
                <w:b/>
                <w:sz w:val="24"/>
                <w:u w:val="single"/>
              </w:rPr>
              <w:t>SEC-ERBA</w:t>
            </w:r>
          </w:p>
          <w:p w14:paraId="2250A6DF" w14:textId="1A1FF234" w:rsidR="00C55547" w:rsidRPr="00E07C9A" w:rsidRDefault="00C55547" w:rsidP="003073B2">
            <w:pPr>
              <w:rPr>
                <w:rFonts w:ascii="Times New Roman" w:hAnsi="Times New Roman"/>
                <w:b/>
                <w:bCs/>
                <w:sz w:val="24"/>
                <w:u w:val="single"/>
              </w:rPr>
            </w:pPr>
            <w:r w:rsidRPr="00E07C9A">
              <w:rPr>
                <w:rStyle w:val="InstructionsTabelleText"/>
                <w:rFonts w:ascii="Times New Roman" w:hAnsi="Times New Roman"/>
                <w:sz w:val="24"/>
              </w:rPr>
              <w:t>Články 263</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264</w:t>
            </w:r>
            <w:r w:rsidRPr="00E07C9A">
              <w:rPr>
                <w:rFonts w:ascii="Times New Roman" w:hAnsi="Times New Roman"/>
                <w:sz w:val="24"/>
              </w:rPr>
              <w:t xml:space="preserve"> nariadenia (EÚ) </w:t>
            </w:r>
            <w:r w:rsidR="009912F8" w:rsidRPr="00E07C9A">
              <w:rPr>
                <w:rFonts w:ascii="Times New Roman" w:hAnsi="Times New Roman"/>
                <w:sz w:val="24"/>
              </w:rPr>
              <w:t>č. 575/2013</w:t>
            </w:r>
          </w:p>
        </w:tc>
      </w:tr>
      <w:tr w:rsidR="00C55547" w:rsidRPr="00E07C9A" w14:paraId="76051CC7" w14:textId="77777777" w:rsidTr="000911FE">
        <w:tc>
          <w:tcPr>
            <w:tcW w:w="1413" w:type="dxa"/>
          </w:tcPr>
          <w:p w14:paraId="2CE39EAA" w14:textId="77777777" w:rsidR="00C55547" w:rsidRPr="00E07C9A" w:rsidRDefault="00EE2CD5" w:rsidP="00921700">
            <w:pPr>
              <w:autoSpaceDE w:val="0"/>
              <w:autoSpaceDN w:val="0"/>
              <w:adjustRightInd w:val="0"/>
              <w:spacing w:before="0" w:after="0"/>
              <w:rPr>
                <w:rFonts w:ascii="Times New Roman" w:hAnsi="Times New Roman"/>
                <w:sz w:val="24"/>
              </w:rPr>
            </w:pPr>
            <w:r w:rsidRPr="00E07C9A">
              <w:rPr>
                <w:rFonts w:ascii="Times New Roman" w:hAnsi="Times New Roman"/>
                <w:sz w:val="24"/>
              </w:rPr>
              <w:t>0405</w:t>
            </w:r>
          </w:p>
        </w:tc>
        <w:tc>
          <w:tcPr>
            <w:tcW w:w="7605" w:type="dxa"/>
          </w:tcPr>
          <w:p w14:paraId="334AB028" w14:textId="77777777" w:rsidR="00C55547" w:rsidRPr="00E07C9A" w:rsidRDefault="00C55547" w:rsidP="00E10B85">
            <w:pPr>
              <w:autoSpaceDE w:val="0"/>
              <w:autoSpaceDN w:val="0"/>
              <w:adjustRightInd w:val="0"/>
              <w:spacing w:before="0" w:after="0"/>
              <w:rPr>
                <w:rFonts w:ascii="Times New Roman" w:hAnsi="Times New Roman"/>
                <w:b/>
                <w:bCs/>
                <w:sz w:val="24"/>
                <w:u w:val="single"/>
              </w:rPr>
            </w:pPr>
            <w:r w:rsidRPr="00E07C9A">
              <w:rPr>
                <w:rFonts w:ascii="Times New Roman" w:hAnsi="Times New Roman"/>
                <w:b/>
                <w:sz w:val="24"/>
                <w:u w:val="single"/>
              </w:rPr>
              <w:t>PRÍSTUP INTERNÉHO HODNOTENIA</w:t>
            </w:r>
          </w:p>
          <w:p w14:paraId="5354C48C" w14:textId="2480DE7E" w:rsidR="00C55547" w:rsidRPr="00E07C9A" w:rsidRDefault="00C55547" w:rsidP="007062FD">
            <w:pPr>
              <w:rPr>
                <w:rFonts w:ascii="Times New Roman" w:hAnsi="Times New Roman"/>
                <w:bCs/>
                <w:sz w:val="24"/>
                <w:u w:val="single"/>
              </w:rPr>
            </w:pPr>
            <w:r w:rsidRPr="00E07C9A">
              <w:rPr>
                <w:rStyle w:val="InstructionsTabelleText"/>
                <w:rFonts w:ascii="Times New Roman" w:hAnsi="Times New Roman"/>
                <w:sz w:val="24"/>
              </w:rPr>
              <w:t>Články 254</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265</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článok 266 ods. 5</w:t>
            </w:r>
            <w:r w:rsidRPr="00E07C9A">
              <w:rPr>
                <w:rFonts w:ascii="Times New Roman" w:hAnsi="Times New Roman"/>
                <w:sz w:val="24"/>
              </w:rPr>
              <w:t xml:space="preserve">nariadenia (EÚ) </w:t>
            </w:r>
            <w:r w:rsidR="009912F8" w:rsidRPr="00E07C9A">
              <w:rPr>
                <w:rFonts w:ascii="Times New Roman" w:hAnsi="Times New Roman"/>
                <w:sz w:val="24"/>
              </w:rPr>
              <w:t>č. 575/2013</w:t>
            </w:r>
          </w:p>
        </w:tc>
      </w:tr>
      <w:tr w:rsidR="0033476C" w:rsidRPr="00E07C9A" w14:paraId="00803C23" w14:textId="77777777" w:rsidTr="000911FE">
        <w:tc>
          <w:tcPr>
            <w:tcW w:w="1413" w:type="dxa"/>
          </w:tcPr>
          <w:p w14:paraId="6969B7D6" w14:textId="7D0DF91C" w:rsidR="0033476C" w:rsidRPr="00E07C9A" w:rsidRDefault="0033476C" w:rsidP="00921700">
            <w:pPr>
              <w:autoSpaceDE w:val="0"/>
              <w:autoSpaceDN w:val="0"/>
              <w:adjustRightInd w:val="0"/>
              <w:spacing w:before="0" w:after="0"/>
              <w:rPr>
                <w:rFonts w:ascii="Times New Roman" w:hAnsi="Times New Roman"/>
                <w:sz w:val="24"/>
              </w:rPr>
            </w:pPr>
            <w:r w:rsidRPr="00E07C9A">
              <w:rPr>
                <w:rFonts w:ascii="Times New Roman" w:hAnsi="Times New Roman"/>
                <w:sz w:val="24"/>
              </w:rPr>
              <w:t>0900</w:t>
            </w:r>
          </w:p>
        </w:tc>
        <w:tc>
          <w:tcPr>
            <w:tcW w:w="7605" w:type="dxa"/>
          </w:tcPr>
          <w:p w14:paraId="1E2E9907" w14:textId="3152DD84" w:rsidR="0033476C" w:rsidRPr="00E07C9A" w:rsidRDefault="0033476C" w:rsidP="0033476C">
            <w:pPr>
              <w:spacing w:before="0" w:after="0"/>
              <w:jc w:val="left"/>
              <w:rPr>
                <w:rFonts w:ascii="Times New Roman" w:hAnsi="Times New Roman"/>
                <w:b/>
                <w:sz w:val="24"/>
                <w:u w:val="single"/>
              </w:rPr>
            </w:pPr>
            <w:r w:rsidRPr="00E07C9A">
              <w:rPr>
                <w:rFonts w:ascii="Times New Roman" w:hAnsi="Times New Roman"/>
                <w:b/>
                <w:sz w:val="24"/>
                <w:u w:val="single"/>
              </w:rPr>
              <w:t>OSOBITNÉ ZAOBCHÁDZANIE PRE NADRIADENÉ TRANŽE KVALIFIKOVANÝCH SEKURITIZÁCIÍ PROBLÉMOVÝCH EXPOZÍCIÍ</w:t>
            </w:r>
          </w:p>
          <w:p w14:paraId="17BE744C" w14:textId="182BB09C" w:rsidR="0033476C" w:rsidRPr="00E07C9A" w:rsidRDefault="0033476C" w:rsidP="001235ED">
            <w:pPr>
              <w:rPr>
                <w:rFonts w:ascii="Times New Roman" w:hAnsi="Times New Roman"/>
                <w:b/>
                <w:bCs/>
                <w:sz w:val="24"/>
                <w:u w:val="single"/>
              </w:rPr>
            </w:pPr>
            <w:r w:rsidRPr="00E07C9A">
              <w:rPr>
                <w:rFonts w:ascii="Times New Roman" w:hAnsi="Times New Roman"/>
                <w:sz w:val="24"/>
              </w:rPr>
              <w:t xml:space="preserve">Článok 269a ods. 3 nariadenia (EÚ) </w:t>
            </w:r>
            <w:r w:rsidR="009912F8" w:rsidRPr="00E07C9A">
              <w:rPr>
                <w:rFonts w:ascii="Times New Roman" w:hAnsi="Times New Roman"/>
                <w:sz w:val="24"/>
              </w:rPr>
              <w:t>č. 575/2013</w:t>
            </w:r>
          </w:p>
        </w:tc>
      </w:tr>
      <w:tr w:rsidR="00C55547" w:rsidRPr="00E07C9A" w14:paraId="05BEB883" w14:textId="77777777" w:rsidTr="000911FE">
        <w:tc>
          <w:tcPr>
            <w:tcW w:w="1413" w:type="dxa"/>
          </w:tcPr>
          <w:p w14:paraId="3D2DEA0A" w14:textId="77777777" w:rsidR="00C55547" w:rsidRPr="00E07C9A" w:rsidRDefault="00EE2CD5" w:rsidP="00921700">
            <w:pPr>
              <w:autoSpaceDE w:val="0"/>
              <w:autoSpaceDN w:val="0"/>
              <w:adjustRightInd w:val="0"/>
              <w:spacing w:before="0" w:after="0"/>
              <w:rPr>
                <w:rFonts w:ascii="Times New Roman" w:hAnsi="Times New Roman"/>
                <w:sz w:val="24"/>
              </w:rPr>
            </w:pPr>
            <w:r w:rsidRPr="00E07C9A">
              <w:rPr>
                <w:rFonts w:ascii="Times New Roman" w:hAnsi="Times New Roman"/>
                <w:sz w:val="24"/>
              </w:rPr>
              <w:t>0406</w:t>
            </w:r>
          </w:p>
        </w:tc>
        <w:tc>
          <w:tcPr>
            <w:tcW w:w="7605" w:type="dxa"/>
          </w:tcPr>
          <w:p w14:paraId="25786344" w14:textId="4F7966F4" w:rsidR="00C55547" w:rsidRPr="00E07C9A" w:rsidRDefault="00C55547" w:rsidP="00E10B85">
            <w:pPr>
              <w:autoSpaceDE w:val="0"/>
              <w:autoSpaceDN w:val="0"/>
              <w:adjustRightInd w:val="0"/>
              <w:spacing w:before="0" w:after="0"/>
              <w:rPr>
                <w:rFonts w:ascii="Times New Roman" w:hAnsi="Times New Roman"/>
                <w:b/>
                <w:bCs/>
                <w:sz w:val="24"/>
                <w:u w:val="single"/>
              </w:rPr>
            </w:pPr>
            <w:r w:rsidRPr="00E07C9A">
              <w:rPr>
                <w:rFonts w:ascii="Times New Roman" w:hAnsi="Times New Roman"/>
                <w:b/>
                <w:sz w:val="24"/>
                <w:u w:val="single"/>
              </w:rPr>
              <w:t>INÉ (RW = 1 250</w:t>
            </w:r>
            <w:r w:rsidR="009912F8" w:rsidRPr="00E07C9A">
              <w:rPr>
                <w:rFonts w:ascii="Times New Roman" w:hAnsi="Times New Roman"/>
              </w:rPr>
              <w:t> %</w:t>
            </w:r>
            <w:r w:rsidRPr="00E07C9A">
              <w:rPr>
                <w:rFonts w:ascii="Times New Roman" w:hAnsi="Times New Roman"/>
                <w:b/>
                <w:sz w:val="24"/>
                <w:u w:val="single"/>
              </w:rPr>
              <w:t>)</w:t>
            </w:r>
          </w:p>
          <w:p w14:paraId="1684F52F" w14:textId="5F51613B" w:rsidR="00C55547" w:rsidRPr="00E07C9A" w:rsidRDefault="00C55547" w:rsidP="003073B2">
            <w:pPr>
              <w:rPr>
                <w:rFonts w:ascii="Times New Roman" w:hAnsi="Times New Roman"/>
                <w:b/>
                <w:bCs/>
                <w:sz w:val="24"/>
                <w:u w:val="single"/>
              </w:rPr>
            </w:pPr>
            <w:r w:rsidRPr="00E07C9A">
              <w:rPr>
                <w:rStyle w:val="InstructionsTabelleText"/>
                <w:rFonts w:ascii="Times New Roman" w:hAnsi="Times New Roman"/>
                <w:sz w:val="24"/>
              </w:rPr>
              <w:t xml:space="preserve">Článok 254 ods. 7 </w:t>
            </w:r>
            <w:r w:rsidRPr="00E07C9A">
              <w:rPr>
                <w:rFonts w:ascii="Times New Roman" w:hAnsi="Times New Roman"/>
                <w:sz w:val="24"/>
              </w:rPr>
              <w:t xml:space="preserve">nariadenia (EÚ) </w:t>
            </w:r>
            <w:r w:rsidR="009912F8" w:rsidRPr="00E07C9A">
              <w:rPr>
                <w:rFonts w:ascii="Times New Roman" w:hAnsi="Times New Roman"/>
                <w:sz w:val="24"/>
              </w:rPr>
              <w:t>č. 575/2013</w:t>
            </w:r>
          </w:p>
        </w:tc>
      </w:tr>
      <w:tr w:rsidR="00C55547" w:rsidRPr="00E07C9A" w14:paraId="11316298" w14:textId="77777777" w:rsidTr="000911FE">
        <w:tc>
          <w:tcPr>
            <w:tcW w:w="1413" w:type="dxa"/>
          </w:tcPr>
          <w:p w14:paraId="00B9220E" w14:textId="77777777" w:rsidR="00C55547" w:rsidRPr="00E07C9A" w:rsidRDefault="00EE2CD5"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0530 –⁠ 0540</w:t>
            </w:r>
          </w:p>
        </w:tc>
        <w:tc>
          <w:tcPr>
            <w:tcW w:w="7605" w:type="dxa"/>
          </w:tcPr>
          <w:p w14:paraId="595C29DB" w14:textId="550BBE58" w:rsidR="00C55547" w:rsidRPr="00E07C9A" w:rsidRDefault="00C55547" w:rsidP="00E10B85">
            <w:pPr>
              <w:autoSpaceDE w:val="0"/>
              <w:autoSpaceDN w:val="0"/>
              <w:adjustRightInd w:val="0"/>
              <w:spacing w:before="0" w:after="0"/>
              <w:rPr>
                <w:rFonts w:ascii="Times New Roman" w:hAnsi="Times New Roman"/>
                <w:b/>
                <w:bCs/>
                <w:sz w:val="24"/>
                <w:u w:val="single"/>
              </w:rPr>
            </w:pPr>
            <w:r w:rsidRPr="00E07C9A">
              <w:rPr>
                <w:rFonts w:ascii="Times New Roman" w:hAnsi="Times New Roman"/>
                <w:b/>
                <w:sz w:val="24"/>
                <w:u w:val="single"/>
              </w:rPr>
              <w:t>CELKOVÝ ÚČINOK (ÚPRAVA)</w:t>
            </w:r>
            <w:r w:rsidR="009912F8" w:rsidRPr="00E07C9A">
              <w:rPr>
                <w:rFonts w:ascii="Times New Roman" w:hAnsi="Times New Roman"/>
                <w:b/>
                <w:sz w:val="24"/>
                <w:u w:val="single"/>
              </w:rPr>
              <w:t xml:space="preserve"> V </w:t>
            </w:r>
            <w:r w:rsidRPr="00E07C9A">
              <w:rPr>
                <w:rFonts w:ascii="Times New Roman" w:hAnsi="Times New Roman"/>
                <w:b/>
                <w:sz w:val="24"/>
                <w:u w:val="single"/>
              </w:rPr>
              <w:t>DÔSLEDKU PORUŠENIA KAPITOLY 2 NARIADENIA (EÚ) 2017/2402</w:t>
            </w:r>
          </w:p>
          <w:p w14:paraId="3FBEAE4C" w14:textId="77B1E337" w:rsidR="00C55547" w:rsidRPr="00E07C9A" w:rsidRDefault="00C55547" w:rsidP="003073B2">
            <w:pPr>
              <w:rPr>
                <w:rFonts w:ascii="Times New Roman" w:hAnsi="Times New Roman"/>
                <w:b/>
                <w:bCs/>
                <w:sz w:val="24"/>
                <w:u w:val="single"/>
              </w:rPr>
            </w:pPr>
            <w:r w:rsidRPr="00E07C9A">
              <w:rPr>
                <w:rStyle w:val="InstructionsTabelleText"/>
                <w:rFonts w:ascii="Times New Roman" w:hAnsi="Times New Roman"/>
                <w:sz w:val="24"/>
              </w:rPr>
              <w:t xml:space="preserve">Článok 270a </w:t>
            </w:r>
            <w:r w:rsidRPr="00E07C9A">
              <w:rPr>
                <w:rFonts w:ascii="Times New Roman" w:hAnsi="Times New Roman"/>
                <w:sz w:val="24"/>
              </w:rPr>
              <w:t xml:space="preserve">nariadenia (EÚ) </w:t>
            </w:r>
            <w:r w:rsidR="009912F8" w:rsidRPr="00E07C9A">
              <w:rPr>
                <w:rFonts w:ascii="Times New Roman" w:hAnsi="Times New Roman"/>
                <w:sz w:val="24"/>
              </w:rPr>
              <w:t>č. 575/2013</w:t>
            </w:r>
          </w:p>
        </w:tc>
      </w:tr>
      <w:tr w:rsidR="00C55547" w:rsidRPr="00E07C9A" w14:paraId="2BA98A90" w14:textId="77777777" w:rsidTr="000911FE">
        <w:tc>
          <w:tcPr>
            <w:tcW w:w="1413" w:type="dxa"/>
          </w:tcPr>
          <w:p w14:paraId="2EA0118D" w14:textId="77777777" w:rsidR="00C55547" w:rsidRPr="00E07C9A" w:rsidRDefault="00EE2CD5"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0570</w:t>
            </w:r>
          </w:p>
        </w:tc>
        <w:tc>
          <w:tcPr>
            <w:tcW w:w="7605" w:type="dxa"/>
          </w:tcPr>
          <w:p w14:paraId="2D243E0E" w14:textId="77777777" w:rsidR="009912F8" w:rsidRPr="00E07C9A" w:rsidRDefault="00C55547" w:rsidP="00E10B85">
            <w:pPr>
              <w:autoSpaceDE w:val="0"/>
              <w:autoSpaceDN w:val="0"/>
              <w:adjustRightInd w:val="0"/>
              <w:spacing w:before="0" w:after="0"/>
              <w:rPr>
                <w:rFonts w:ascii="Times New Roman" w:hAnsi="Times New Roman"/>
                <w:b/>
                <w:sz w:val="24"/>
                <w:u w:val="single"/>
              </w:rPr>
            </w:pPr>
            <w:r w:rsidRPr="00E07C9A">
              <w:rPr>
                <w:rFonts w:ascii="Times New Roman" w:hAnsi="Times New Roman"/>
                <w:b/>
                <w:sz w:val="24"/>
                <w:u w:val="single"/>
              </w:rPr>
              <w:t>PRED UPLATNENÍM HORNÉHO OHRANIČENIA</w:t>
            </w:r>
          </w:p>
          <w:p w14:paraId="740CD739" w14:textId="445BA82B" w:rsidR="00C55547" w:rsidRPr="00E07C9A" w:rsidRDefault="00C55547" w:rsidP="007062FD">
            <w:pPr>
              <w:rPr>
                <w:rFonts w:ascii="Times New Roman" w:hAnsi="Times New Roman"/>
                <w:bCs/>
                <w:sz w:val="24"/>
              </w:rPr>
            </w:pPr>
            <w:r w:rsidRPr="00E07C9A">
              <w:rPr>
                <w:rFonts w:ascii="Times New Roman" w:hAnsi="Times New Roman"/>
                <w:sz w:val="24"/>
              </w:rPr>
              <w:t xml:space="preserve">Článok 337 nariadenia (EÚ) </w:t>
            </w:r>
            <w:r w:rsidR="009912F8" w:rsidRPr="00E07C9A">
              <w:rPr>
                <w:rFonts w:ascii="Times New Roman" w:hAnsi="Times New Roman"/>
                <w:sz w:val="24"/>
              </w:rPr>
              <w:t>č. 575/2013</w:t>
            </w:r>
            <w:r w:rsidRPr="00E07C9A">
              <w:rPr>
                <w:rFonts w:ascii="Times New Roman" w:hAnsi="Times New Roman"/>
                <w:sz w:val="24"/>
              </w:rPr>
              <w:t xml:space="preserve"> bez zohľadnenia možnosti podľa článku 335 uvedeného nariadenia, ktorá inštitúcii umožňuje uplatniť horné ohraničenie na súčin váhy</w:t>
            </w:r>
            <w:r w:rsidR="009912F8" w:rsidRPr="00E07C9A">
              <w:rPr>
                <w:rFonts w:ascii="Times New Roman" w:hAnsi="Times New Roman"/>
                <w:sz w:val="24"/>
              </w:rPr>
              <w:t xml:space="preserve"> a </w:t>
            </w:r>
            <w:r w:rsidRPr="00E07C9A">
              <w:rPr>
                <w:rFonts w:ascii="Times New Roman" w:hAnsi="Times New Roman"/>
                <w:sz w:val="24"/>
              </w:rPr>
              <w:t>čistej pozície vo výške maximálnej možnej straty súvisiacej</w:t>
            </w:r>
            <w:r w:rsidR="009912F8" w:rsidRPr="00E07C9A">
              <w:rPr>
                <w:rFonts w:ascii="Times New Roman" w:hAnsi="Times New Roman"/>
                <w:sz w:val="24"/>
              </w:rPr>
              <w:t xml:space="preserve"> s </w:t>
            </w:r>
            <w:r w:rsidRPr="00E07C9A">
              <w:rPr>
                <w:rFonts w:ascii="Times New Roman" w:hAnsi="Times New Roman"/>
                <w:sz w:val="24"/>
              </w:rPr>
              <w:t>rizikom zlyhania.</w:t>
            </w:r>
          </w:p>
        </w:tc>
      </w:tr>
      <w:tr w:rsidR="00C55547" w:rsidRPr="00E07C9A" w14:paraId="247B0FB8" w14:textId="77777777" w:rsidTr="000911FE">
        <w:tc>
          <w:tcPr>
            <w:tcW w:w="1413" w:type="dxa"/>
          </w:tcPr>
          <w:p w14:paraId="22357CAC" w14:textId="77777777" w:rsidR="00C55547" w:rsidRPr="00E07C9A" w:rsidRDefault="00EE2CD5" w:rsidP="00EE079A">
            <w:pPr>
              <w:autoSpaceDE w:val="0"/>
              <w:autoSpaceDN w:val="0"/>
              <w:adjustRightInd w:val="0"/>
              <w:spacing w:before="0" w:after="0"/>
              <w:rPr>
                <w:rFonts w:ascii="Times New Roman" w:hAnsi="Times New Roman"/>
                <w:sz w:val="24"/>
              </w:rPr>
            </w:pPr>
            <w:r w:rsidRPr="00E07C9A">
              <w:rPr>
                <w:rFonts w:ascii="Times New Roman" w:hAnsi="Times New Roman"/>
                <w:sz w:val="24"/>
              </w:rPr>
              <w:t>0601</w:t>
            </w:r>
          </w:p>
        </w:tc>
        <w:tc>
          <w:tcPr>
            <w:tcW w:w="7605" w:type="dxa"/>
          </w:tcPr>
          <w:p w14:paraId="18699FF3" w14:textId="77777777" w:rsidR="009912F8" w:rsidRPr="00E07C9A" w:rsidRDefault="00C55547" w:rsidP="00E10B85">
            <w:pPr>
              <w:autoSpaceDE w:val="0"/>
              <w:autoSpaceDN w:val="0"/>
              <w:adjustRightInd w:val="0"/>
              <w:spacing w:before="0" w:after="0"/>
              <w:rPr>
                <w:rFonts w:ascii="Times New Roman" w:hAnsi="Times New Roman"/>
                <w:b/>
                <w:sz w:val="24"/>
                <w:u w:val="single"/>
              </w:rPr>
            </w:pPr>
            <w:r w:rsidRPr="00E07C9A">
              <w:rPr>
                <w:rFonts w:ascii="Times New Roman" w:hAnsi="Times New Roman"/>
                <w:b/>
                <w:sz w:val="24"/>
                <w:u w:val="single"/>
              </w:rPr>
              <w:t>PO UPLATNENÍ HORNÉHO OHRANIČENIA/CELKOVÉ POŽIADAVKY NA VLASTNÉ ZDROJE</w:t>
            </w:r>
          </w:p>
          <w:p w14:paraId="0DE4FAED" w14:textId="7BE8B70E" w:rsidR="00C55547" w:rsidRPr="00E07C9A" w:rsidRDefault="00C55547" w:rsidP="007062FD">
            <w:pPr>
              <w:rPr>
                <w:rFonts w:ascii="Times New Roman" w:hAnsi="Times New Roman"/>
                <w:bCs/>
                <w:sz w:val="24"/>
              </w:rPr>
            </w:pPr>
            <w:r w:rsidRPr="00E07C9A">
              <w:rPr>
                <w:rFonts w:ascii="Times New Roman" w:hAnsi="Times New Roman"/>
                <w:sz w:val="24"/>
              </w:rPr>
              <w:t xml:space="preserve">Článok 337 nariadenia (EÚ) </w:t>
            </w:r>
            <w:r w:rsidR="009912F8" w:rsidRPr="00E07C9A">
              <w:rPr>
                <w:rFonts w:ascii="Times New Roman" w:hAnsi="Times New Roman"/>
                <w:sz w:val="24"/>
              </w:rPr>
              <w:t>č. 575/2013</w:t>
            </w:r>
            <w:r w:rsidRPr="00E07C9A">
              <w:rPr>
                <w:rFonts w:ascii="Times New Roman" w:hAnsi="Times New Roman"/>
                <w:sz w:val="24"/>
              </w:rPr>
              <w:t xml:space="preserve"> </w:t>
            </w:r>
            <w:r w:rsidRPr="00E07C9A">
              <w:rPr>
                <w:rStyle w:val="InstructionsTabelleText"/>
                <w:rFonts w:ascii="Times New Roman" w:hAnsi="Times New Roman"/>
                <w:sz w:val="24"/>
              </w:rPr>
              <w:t>so</w:t>
            </w:r>
            <w:r w:rsidRPr="00E07C9A">
              <w:rPr>
                <w:rFonts w:ascii="Times New Roman" w:hAnsi="Times New Roman"/>
                <w:sz w:val="24"/>
              </w:rPr>
              <w:t xml:space="preserve"> zohľadnením možnosti podľa článku 335 uvedeného nariadenia.</w:t>
            </w:r>
          </w:p>
        </w:tc>
      </w:tr>
    </w:tbl>
    <w:p w14:paraId="2016D379" w14:textId="77777777" w:rsidR="00C55547" w:rsidRPr="00E07C9A"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537"/>
      </w:tblGrid>
      <w:tr w:rsidR="00C55547" w:rsidRPr="00E07C9A" w14:paraId="02A9F41A" w14:textId="77777777" w:rsidTr="00E10B85">
        <w:trPr>
          <w:trHeight w:val="537"/>
        </w:trPr>
        <w:tc>
          <w:tcPr>
            <w:tcW w:w="8950" w:type="dxa"/>
            <w:gridSpan w:val="2"/>
            <w:shd w:val="clear" w:color="auto" w:fill="BFBFBF"/>
          </w:tcPr>
          <w:p w14:paraId="26BB8354" w14:textId="77777777" w:rsidR="00C55547" w:rsidRPr="00E07C9A" w:rsidRDefault="00C55547" w:rsidP="00E10B85">
            <w:pPr>
              <w:autoSpaceDE w:val="0"/>
              <w:autoSpaceDN w:val="0"/>
              <w:adjustRightInd w:val="0"/>
              <w:spacing w:after="0"/>
              <w:rPr>
                <w:rFonts w:ascii="Times New Roman" w:hAnsi="Times New Roman"/>
                <w:b/>
                <w:sz w:val="24"/>
              </w:rPr>
            </w:pPr>
            <w:r w:rsidRPr="00E07C9A">
              <w:rPr>
                <w:rFonts w:ascii="Times New Roman" w:hAnsi="Times New Roman"/>
                <w:b/>
                <w:sz w:val="24"/>
              </w:rPr>
              <w:t>Riadky</w:t>
            </w:r>
          </w:p>
        </w:tc>
      </w:tr>
      <w:tr w:rsidR="00C55547" w:rsidRPr="00E07C9A" w14:paraId="32F42F75" w14:textId="77777777" w:rsidTr="000911FE">
        <w:tc>
          <w:tcPr>
            <w:tcW w:w="1413" w:type="dxa"/>
          </w:tcPr>
          <w:p w14:paraId="4D0640F7" w14:textId="77777777" w:rsidR="00C55547" w:rsidRPr="00E07C9A" w:rsidRDefault="002F79EA"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0010</w:t>
            </w:r>
          </w:p>
        </w:tc>
        <w:tc>
          <w:tcPr>
            <w:tcW w:w="7537" w:type="dxa"/>
          </w:tcPr>
          <w:p w14:paraId="03F7346E" w14:textId="77777777" w:rsidR="00C55547" w:rsidRPr="00E07C9A" w:rsidRDefault="00C55547" w:rsidP="00E10B85">
            <w:pPr>
              <w:rPr>
                <w:rFonts w:ascii="Times New Roman" w:hAnsi="Times New Roman"/>
                <w:sz w:val="24"/>
              </w:rPr>
            </w:pPr>
            <w:r w:rsidRPr="00E07C9A">
              <w:rPr>
                <w:rStyle w:val="InstructionsTabelleberschrift"/>
                <w:rFonts w:ascii="Times New Roman" w:hAnsi="Times New Roman"/>
                <w:sz w:val="24"/>
              </w:rPr>
              <w:t>CELKOVÉ EXPOZÍCIE</w:t>
            </w:r>
          </w:p>
          <w:p w14:paraId="3DA30B45" w14:textId="6A7583D9" w:rsidR="00C55547" w:rsidRPr="00E07C9A" w:rsidRDefault="00C55547" w:rsidP="00C3548F">
            <w:pPr>
              <w:autoSpaceDE w:val="0"/>
              <w:autoSpaceDN w:val="0"/>
              <w:adjustRightInd w:val="0"/>
              <w:spacing w:before="0" w:after="0"/>
              <w:rPr>
                <w:rFonts w:ascii="Times New Roman" w:hAnsi="Times New Roman"/>
                <w:sz w:val="24"/>
              </w:rPr>
            </w:pPr>
            <w:r w:rsidRPr="00E07C9A">
              <w:rPr>
                <w:rStyle w:val="InstructionsTabelleText"/>
                <w:rFonts w:ascii="Times New Roman" w:hAnsi="Times New Roman"/>
                <w:sz w:val="24"/>
              </w:rPr>
              <w:t>Celková hodnota zostávajúcich sekuritizácií</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resekuritizácií (držaných</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obchodnej knihe) vykázaných inštitúciou, ktorá zohráva úlohu originátora alebo investora alebo sponzora.</w:t>
            </w:r>
          </w:p>
        </w:tc>
      </w:tr>
      <w:tr w:rsidR="00C55547" w:rsidRPr="00E07C9A" w14:paraId="21E51D59" w14:textId="77777777" w:rsidTr="000911FE">
        <w:tc>
          <w:tcPr>
            <w:tcW w:w="1413" w:type="dxa"/>
          </w:tcPr>
          <w:p w14:paraId="5CCD69BA" w14:textId="50DD5C1D" w:rsidR="00C55547" w:rsidRPr="00E07C9A" w:rsidRDefault="002F79EA" w:rsidP="002F79EA">
            <w:pPr>
              <w:autoSpaceDE w:val="0"/>
              <w:autoSpaceDN w:val="0"/>
              <w:adjustRightInd w:val="0"/>
              <w:spacing w:before="0" w:after="0"/>
              <w:rPr>
                <w:rFonts w:ascii="Times New Roman" w:hAnsi="Times New Roman"/>
                <w:sz w:val="24"/>
              </w:rPr>
            </w:pPr>
            <w:r w:rsidRPr="00E07C9A">
              <w:rPr>
                <w:rFonts w:ascii="Times New Roman" w:hAnsi="Times New Roman"/>
                <w:sz w:val="24"/>
              </w:rPr>
              <w:t>0040, 0070</w:t>
            </w:r>
            <w:r w:rsidR="009912F8" w:rsidRPr="00E07C9A">
              <w:rPr>
                <w:rFonts w:ascii="Times New Roman" w:hAnsi="Times New Roman"/>
                <w:sz w:val="24"/>
              </w:rPr>
              <w:t xml:space="preserve"> a </w:t>
            </w:r>
            <w:r w:rsidRPr="00E07C9A">
              <w:rPr>
                <w:rFonts w:ascii="Times New Roman" w:hAnsi="Times New Roman"/>
                <w:sz w:val="24"/>
              </w:rPr>
              <w:t>0100</w:t>
            </w:r>
          </w:p>
        </w:tc>
        <w:tc>
          <w:tcPr>
            <w:tcW w:w="7537" w:type="dxa"/>
          </w:tcPr>
          <w:p w14:paraId="4F5DF6AF" w14:textId="77777777" w:rsidR="00C55547" w:rsidRPr="00E07C9A" w:rsidRDefault="00C55547" w:rsidP="00E10B85">
            <w:pPr>
              <w:rPr>
                <w:rStyle w:val="InstructionsTabelleberschrift"/>
                <w:rFonts w:ascii="Times New Roman" w:hAnsi="Times New Roman"/>
                <w:sz w:val="24"/>
              </w:rPr>
            </w:pPr>
            <w:r w:rsidRPr="00E07C9A">
              <w:rPr>
                <w:rStyle w:val="InstructionsTabelleberschrift"/>
                <w:rFonts w:ascii="Times New Roman" w:hAnsi="Times New Roman"/>
                <w:sz w:val="24"/>
              </w:rPr>
              <w:t>SEKURITIZAČNÉ POZÍCIE</w:t>
            </w:r>
          </w:p>
          <w:p w14:paraId="62CD89EA" w14:textId="4E6A74A6" w:rsidR="00C55547" w:rsidRPr="00E07C9A" w:rsidRDefault="00532026" w:rsidP="00E10B85">
            <w:pPr>
              <w:autoSpaceDE w:val="0"/>
              <w:autoSpaceDN w:val="0"/>
              <w:adjustRightInd w:val="0"/>
              <w:spacing w:before="0" w:after="0"/>
              <w:rPr>
                <w:rFonts w:ascii="Times New Roman" w:hAnsi="Times New Roman"/>
                <w:bCs/>
                <w:sz w:val="24"/>
              </w:rPr>
            </w:pPr>
            <w:r w:rsidRPr="00E07C9A">
              <w:rPr>
                <w:rFonts w:ascii="Times New Roman" w:hAnsi="Times New Roman"/>
                <w:sz w:val="24"/>
              </w:rPr>
              <w:t xml:space="preserve"> Článok 4 ods. 1 bod 62 nariadenia (EÚ) </w:t>
            </w:r>
            <w:r w:rsidR="009912F8" w:rsidRPr="00E07C9A">
              <w:rPr>
                <w:rFonts w:ascii="Times New Roman" w:hAnsi="Times New Roman"/>
                <w:sz w:val="24"/>
              </w:rPr>
              <w:t>č. 575/2013</w:t>
            </w:r>
          </w:p>
          <w:p w14:paraId="0230B6E5" w14:textId="77777777" w:rsidR="00C55547" w:rsidRPr="00E07C9A" w:rsidRDefault="00C55547" w:rsidP="00E10B85">
            <w:pPr>
              <w:autoSpaceDE w:val="0"/>
              <w:autoSpaceDN w:val="0"/>
              <w:adjustRightInd w:val="0"/>
              <w:spacing w:before="0" w:after="0"/>
              <w:rPr>
                <w:rFonts w:ascii="Times New Roman" w:hAnsi="Times New Roman"/>
                <w:bCs/>
                <w:sz w:val="24"/>
                <w:lang w:eastAsia="nl-BE"/>
              </w:rPr>
            </w:pPr>
          </w:p>
        </w:tc>
      </w:tr>
      <w:tr w:rsidR="00C55547" w:rsidRPr="00E07C9A" w14:paraId="4D9AAB18" w14:textId="77777777" w:rsidTr="000911FE">
        <w:tc>
          <w:tcPr>
            <w:tcW w:w="1413" w:type="dxa"/>
          </w:tcPr>
          <w:p w14:paraId="6DA3B4FA" w14:textId="0E2347AB" w:rsidR="00C55547" w:rsidRPr="00E07C9A" w:rsidRDefault="002F79EA" w:rsidP="002F79EA">
            <w:pPr>
              <w:autoSpaceDE w:val="0"/>
              <w:autoSpaceDN w:val="0"/>
              <w:adjustRightInd w:val="0"/>
              <w:spacing w:before="0" w:after="0"/>
              <w:rPr>
                <w:rFonts w:ascii="Times New Roman" w:hAnsi="Times New Roman"/>
                <w:sz w:val="24"/>
              </w:rPr>
            </w:pPr>
            <w:r w:rsidRPr="00E07C9A">
              <w:rPr>
                <w:rFonts w:ascii="Times New Roman" w:hAnsi="Times New Roman"/>
                <w:sz w:val="24"/>
              </w:rPr>
              <w:t>0020, 0050, 0080</w:t>
            </w:r>
            <w:r w:rsidR="009912F8" w:rsidRPr="00E07C9A">
              <w:rPr>
                <w:rFonts w:ascii="Times New Roman" w:hAnsi="Times New Roman"/>
                <w:sz w:val="24"/>
              </w:rPr>
              <w:t xml:space="preserve"> a </w:t>
            </w:r>
            <w:r w:rsidRPr="00E07C9A">
              <w:rPr>
                <w:rFonts w:ascii="Times New Roman" w:hAnsi="Times New Roman"/>
                <w:sz w:val="24"/>
              </w:rPr>
              <w:t>0110</w:t>
            </w:r>
          </w:p>
        </w:tc>
        <w:tc>
          <w:tcPr>
            <w:tcW w:w="7537" w:type="dxa"/>
          </w:tcPr>
          <w:p w14:paraId="3C62BCE7" w14:textId="77777777" w:rsidR="00C55547" w:rsidRPr="00E07C9A" w:rsidRDefault="00C55547" w:rsidP="00E10B85">
            <w:pPr>
              <w:rPr>
                <w:rStyle w:val="InstructionsTabelleberschrift"/>
                <w:rFonts w:ascii="Times New Roman" w:hAnsi="Times New Roman"/>
                <w:sz w:val="24"/>
              </w:rPr>
            </w:pPr>
            <w:r w:rsidRPr="00E07C9A">
              <w:rPr>
                <w:rStyle w:val="InstructionsTabelleberschrift"/>
                <w:rFonts w:ascii="Times New Roman" w:hAnsi="Times New Roman"/>
                <w:sz w:val="24"/>
              </w:rPr>
              <w:t>RESEKURITIZAČNÉ POZÍCIE</w:t>
            </w:r>
          </w:p>
          <w:p w14:paraId="32F5BAEB" w14:textId="45A1EE5D" w:rsidR="00C55547" w:rsidRPr="00E07C9A" w:rsidRDefault="00D24331" w:rsidP="00E10B85">
            <w:pPr>
              <w:autoSpaceDE w:val="0"/>
              <w:autoSpaceDN w:val="0"/>
              <w:adjustRightInd w:val="0"/>
              <w:spacing w:before="0" w:after="0"/>
              <w:rPr>
                <w:rFonts w:ascii="Times New Roman" w:hAnsi="Times New Roman"/>
                <w:bCs/>
                <w:sz w:val="24"/>
              </w:rPr>
            </w:pPr>
            <w:r w:rsidRPr="00E07C9A">
              <w:rPr>
                <w:rFonts w:ascii="Times New Roman" w:hAnsi="Times New Roman"/>
                <w:sz w:val="24"/>
              </w:rPr>
              <w:t xml:space="preserve">Článok 4 ods. 1 bod 64 nariadenia (EÚ) </w:t>
            </w:r>
            <w:r w:rsidR="009912F8" w:rsidRPr="00E07C9A">
              <w:rPr>
                <w:rFonts w:ascii="Times New Roman" w:hAnsi="Times New Roman"/>
                <w:sz w:val="24"/>
              </w:rPr>
              <w:t>č. 575/2013</w:t>
            </w:r>
          </w:p>
          <w:p w14:paraId="18108A69" w14:textId="77777777" w:rsidR="00C55547" w:rsidRPr="00E07C9A" w:rsidRDefault="00C55547" w:rsidP="00E10B85">
            <w:pPr>
              <w:autoSpaceDE w:val="0"/>
              <w:autoSpaceDN w:val="0"/>
              <w:adjustRightInd w:val="0"/>
              <w:spacing w:before="0" w:after="0"/>
              <w:rPr>
                <w:rFonts w:ascii="Times New Roman" w:hAnsi="Times New Roman"/>
                <w:bCs/>
                <w:sz w:val="24"/>
                <w:lang w:eastAsia="nl-BE"/>
              </w:rPr>
            </w:pPr>
          </w:p>
        </w:tc>
      </w:tr>
      <w:tr w:rsidR="00C55547" w:rsidRPr="00E07C9A" w14:paraId="651A33F7" w14:textId="77777777" w:rsidTr="000911FE">
        <w:tc>
          <w:tcPr>
            <w:tcW w:w="1413" w:type="dxa"/>
          </w:tcPr>
          <w:p w14:paraId="41A2A677" w14:textId="48401114" w:rsidR="00C55547" w:rsidRPr="00E07C9A" w:rsidRDefault="002F79EA"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0041, 0071</w:t>
            </w:r>
            <w:r w:rsidR="009912F8" w:rsidRPr="00E07C9A">
              <w:rPr>
                <w:rFonts w:ascii="Times New Roman" w:hAnsi="Times New Roman"/>
                <w:sz w:val="24"/>
              </w:rPr>
              <w:t xml:space="preserve"> a </w:t>
            </w:r>
            <w:r w:rsidRPr="00E07C9A">
              <w:rPr>
                <w:rFonts w:ascii="Times New Roman" w:hAnsi="Times New Roman"/>
                <w:sz w:val="24"/>
              </w:rPr>
              <w:t>0101</w:t>
            </w:r>
          </w:p>
        </w:tc>
        <w:tc>
          <w:tcPr>
            <w:tcW w:w="7537" w:type="dxa"/>
          </w:tcPr>
          <w:p w14:paraId="17D8E88B" w14:textId="37F24690" w:rsidR="00C55547" w:rsidRPr="00E07C9A" w:rsidRDefault="00C55547" w:rsidP="00E10B85">
            <w:pPr>
              <w:rPr>
                <w:rStyle w:val="InstructionsTabelleberschrift"/>
                <w:rFonts w:ascii="Times New Roman" w:hAnsi="Times New Roman"/>
                <w:sz w:val="24"/>
              </w:rPr>
            </w:pPr>
            <w:r w:rsidRPr="00E07C9A">
              <w:rPr>
                <w:rStyle w:val="InstructionsTabelleberschrift"/>
                <w:rFonts w:ascii="Times New Roman" w:hAnsi="Times New Roman"/>
                <w:sz w:val="24"/>
              </w:rPr>
              <w:t>Z ČOHO: SPĹŇAJÚCE PODMIENKY PRE ZAOBCHÁDZANIE</w:t>
            </w:r>
            <w:r w:rsidR="009912F8" w:rsidRPr="00E07C9A">
              <w:rPr>
                <w:rStyle w:val="InstructionsTabelleberschrift"/>
                <w:rFonts w:ascii="Times New Roman" w:hAnsi="Times New Roman"/>
                <w:sz w:val="24"/>
              </w:rPr>
              <w:t xml:space="preserve"> S </w:t>
            </w:r>
            <w:r w:rsidRPr="00E07C9A">
              <w:rPr>
                <w:rStyle w:val="InstructionsTabelleberschrift"/>
                <w:rFonts w:ascii="Times New Roman" w:hAnsi="Times New Roman"/>
                <w:sz w:val="24"/>
              </w:rPr>
              <w:t>DIFERENCOVANÝM KAPITÁLOM</w:t>
            </w:r>
          </w:p>
          <w:p w14:paraId="775DD0A5" w14:textId="3A7B38AF" w:rsidR="00C55547" w:rsidRPr="00E07C9A" w:rsidRDefault="00C55547" w:rsidP="007062FD">
            <w:pPr>
              <w:rPr>
                <w:rStyle w:val="InstructionsTabelleberschrift"/>
                <w:rFonts w:ascii="Times New Roman" w:hAnsi="Times New Roman"/>
                <w:sz w:val="24"/>
              </w:rPr>
            </w:pPr>
            <w:r w:rsidRPr="00E07C9A">
              <w:rPr>
                <w:rFonts w:ascii="Times New Roman" w:hAnsi="Times New Roman"/>
                <w:sz w:val="24"/>
              </w:rPr>
              <w:t xml:space="preserve">Celková hodnota sekuritizačných pozícií, ktoré spĺňajú kritériá článku 243 nariadenia (EÚ) </w:t>
            </w:r>
            <w:r w:rsidR="009912F8" w:rsidRPr="00E07C9A">
              <w:rPr>
                <w:rFonts w:ascii="Times New Roman" w:hAnsi="Times New Roman"/>
                <w:sz w:val="24"/>
              </w:rPr>
              <w:t>č. 575/2013</w:t>
            </w:r>
            <w:r w:rsidRPr="00E07C9A">
              <w:rPr>
                <w:rFonts w:ascii="Times New Roman" w:hAnsi="Times New Roman"/>
                <w:sz w:val="24"/>
              </w:rPr>
              <w:t xml:space="preserve"> alebo článku 270 uvedeného nariadenia,</w:t>
            </w:r>
            <w:r w:rsidR="009912F8" w:rsidRPr="00E07C9A">
              <w:rPr>
                <w:rFonts w:ascii="Times New Roman" w:hAnsi="Times New Roman"/>
                <w:sz w:val="24"/>
              </w:rPr>
              <w:t xml:space="preserve"> a </w:t>
            </w:r>
            <w:r w:rsidRPr="00E07C9A">
              <w:rPr>
                <w:rFonts w:ascii="Times New Roman" w:hAnsi="Times New Roman"/>
                <w:sz w:val="24"/>
              </w:rPr>
              <w:t>ktoré teda spĺňajú podmienky pre zaobchádzanie</w:t>
            </w:r>
            <w:r w:rsidR="009912F8" w:rsidRPr="00E07C9A">
              <w:rPr>
                <w:rFonts w:ascii="Times New Roman" w:hAnsi="Times New Roman"/>
                <w:sz w:val="24"/>
              </w:rPr>
              <w:t xml:space="preserve"> s </w:t>
            </w:r>
            <w:r w:rsidRPr="00E07C9A">
              <w:rPr>
                <w:rFonts w:ascii="Times New Roman" w:hAnsi="Times New Roman"/>
                <w:sz w:val="24"/>
              </w:rPr>
              <w:t>diferencovaným kapitálom.</w:t>
            </w:r>
          </w:p>
        </w:tc>
      </w:tr>
      <w:tr w:rsidR="00C55547" w:rsidRPr="00E07C9A" w14:paraId="5FAF4052" w14:textId="77777777" w:rsidTr="000911FE">
        <w:tc>
          <w:tcPr>
            <w:tcW w:w="1413" w:type="dxa"/>
          </w:tcPr>
          <w:p w14:paraId="39486578" w14:textId="77777777" w:rsidR="00C55547" w:rsidRPr="00E07C9A" w:rsidRDefault="002F79EA"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0030 –⁠ 0050</w:t>
            </w:r>
          </w:p>
        </w:tc>
        <w:tc>
          <w:tcPr>
            <w:tcW w:w="7537" w:type="dxa"/>
          </w:tcPr>
          <w:p w14:paraId="29698529" w14:textId="77777777" w:rsidR="00C55547" w:rsidRPr="00E07C9A" w:rsidRDefault="00C55547" w:rsidP="00E10B85">
            <w:pPr>
              <w:rPr>
                <w:rStyle w:val="InstructionsTabelleberschrift"/>
                <w:rFonts w:ascii="Times New Roman" w:hAnsi="Times New Roman"/>
                <w:sz w:val="24"/>
              </w:rPr>
            </w:pPr>
            <w:r w:rsidRPr="00E07C9A">
              <w:rPr>
                <w:rStyle w:val="InstructionsTabelleberschrift"/>
                <w:rFonts w:ascii="Times New Roman" w:hAnsi="Times New Roman"/>
                <w:sz w:val="24"/>
              </w:rPr>
              <w:t>ORIGINÁTOR</w:t>
            </w:r>
          </w:p>
          <w:p w14:paraId="50264432" w14:textId="6E09EC44" w:rsidR="00C55547" w:rsidRPr="00E07C9A" w:rsidRDefault="00D24331" w:rsidP="00E10B85">
            <w:pPr>
              <w:autoSpaceDE w:val="0"/>
              <w:autoSpaceDN w:val="0"/>
              <w:adjustRightInd w:val="0"/>
              <w:spacing w:before="0" w:after="0"/>
              <w:rPr>
                <w:rFonts w:ascii="Times New Roman" w:hAnsi="Times New Roman"/>
                <w:bCs/>
                <w:sz w:val="24"/>
              </w:rPr>
            </w:pPr>
            <w:r w:rsidRPr="00E07C9A">
              <w:rPr>
                <w:rFonts w:ascii="Times New Roman" w:hAnsi="Times New Roman"/>
                <w:sz w:val="24"/>
              </w:rPr>
              <w:t xml:space="preserve">Článok 4 ods. 1 bod 13 nariadenia (EÚ) </w:t>
            </w:r>
            <w:r w:rsidR="009912F8" w:rsidRPr="00E07C9A">
              <w:rPr>
                <w:rFonts w:ascii="Times New Roman" w:hAnsi="Times New Roman"/>
                <w:sz w:val="24"/>
              </w:rPr>
              <w:t>č. 575/2013</w:t>
            </w:r>
          </w:p>
          <w:p w14:paraId="671304E2" w14:textId="77777777" w:rsidR="00C55547" w:rsidRPr="00E07C9A" w:rsidRDefault="00C55547" w:rsidP="00E10B85">
            <w:pPr>
              <w:autoSpaceDE w:val="0"/>
              <w:autoSpaceDN w:val="0"/>
              <w:adjustRightInd w:val="0"/>
              <w:spacing w:before="0" w:after="0"/>
              <w:rPr>
                <w:rFonts w:ascii="Times New Roman" w:hAnsi="Times New Roman"/>
                <w:bCs/>
                <w:sz w:val="24"/>
                <w:lang w:eastAsia="nl-BE"/>
              </w:rPr>
            </w:pPr>
          </w:p>
        </w:tc>
      </w:tr>
      <w:tr w:rsidR="00C55547" w:rsidRPr="00E07C9A" w14:paraId="1241B5AC" w14:textId="77777777" w:rsidTr="000911FE">
        <w:tc>
          <w:tcPr>
            <w:tcW w:w="1413" w:type="dxa"/>
          </w:tcPr>
          <w:p w14:paraId="61436B0B" w14:textId="77777777" w:rsidR="00C55547" w:rsidRPr="00E07C9A" w:rsidRDefault="002F79EA"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0060 –⁠ 0080</w:t>
            </w:r>
          </w:p>
        </w:tc>
        <w:tc>
          <w:tcPr>
            <w:tcW w:w="7537" w:type="dxa"/>
          </w:tcPr>
          <w:p w14:paraId="726E7C5B" w14:textId="77777777" w:rsidR="00C55547" w:rsidRPr="00E07C9A" w:rsidRDefault="00C55547" w:rsidP="00E10B85">
            <w:pPr>
              <w:rPr>
                <w:rStyle w:val="InstructionsTabelleberschrift"/>
                <w:rFonts w:ascii="Times New Roman" w:hAnsi="Times New Roman"/>
                <w:sz w:val="24"/>
              </w:rPr>
            </w:pPr>
            <w:r w:rsidRPr="00E07C9A">
              <w:rPr>
                <w:rStyle w:val="InstructionsTabelleberschrift"/>
                <w:rFonts w:ascii="Times New Roman" w:hAnsi="Times New Roman"/>
                <w:sz w:val="24"/>
              </w:rPr>
              <w:t>INVESTOR</w:t>
            </w:r>
          </w:p>
          <w:p w14:paraId="13A59676" w14:textId="6A208253" w:rsidR="00C55547" w:rsidRPr="00E07C9A" w:rsidRDefault="00C55547" w:rsidP="00E10B85">
            <w:pPr>
              <w:autoSpaceDE w:val="0"/>
              <w:autoSpaceDN w:val="0"/>
              <w:adjustRightInd w:val="0"/>
              <w:spacing w:before="0" w:after="0"/>
              <w:rPr>
                <w:rFonts w:ascii="Times New Roman" w:hAnsi="Times New Roman"/>
                <w:bCs/>
                <w:sz w:val="24"/>
              </w:rPr>
            </w:pPr>
            <w:r w:rsidRPr="00E07C9A">
              <w:rPr>
                <w:rFonts w:ascii="Times New Roman" w:hAnsi="Times New Roman"/>
                <w:sz w:val="24"/>
              </w:rPr>
              <w:t>Úverová inštitúcia, ktorá drží sekuritizačné pozície</w:t>
            </w:r>
            <w:r w:rsidR="009912F8" w:rsidRPr="00E07C9A">
              <w:rPr>
                <w:rFonts w:ascii="Times New Roman" w:hAnsi="Times New Roman"/>
                <w:sz w:val="24"/>
              </w:rPr>
              <w:t xml:space="preserve"> v </w:t>
            </w:r>
            <w:r w:rsidRPr="00E07C9A">
              <w:rPr>
                <w:rFonts w:ascii="Times New Roman" w:hAnsi="Times New Roman"/>
                <w:sz w:val="24"/>
              </w:rPr>
              <w:t>sekuritizačnej transakcii,</w:t>
            </w:r>
            <w:r w:rsidR="009912F8" w:rsidRPr="00E07C9A">
              <w:rPr>
                <w:rFonts w:ascii="Times New Roman" w:hAnsi="Times New Roman"/>
                <w:sz w:val="24"/>
              </w:rPr>
              <w:t xml:space="preserve"> v </w:t>
            </w:r>
            <w:r w:rsidRPr="00E07C9A">
              <w:rPr>
                <w:rFonts w:ascii="Times New Roman" w:hAnsi="Times New Roman"/>
                <w:sz w:val="24"/>
              </w:rPr>
              <w:t>ktorej nie je originátorom, sponzorom ani pôvodným veriteľom.</w:t>
            </w:r>
          </w:p>
          <w:p w14:paraId="5289F9D1" w14:textId="77777777" w:rsidR="00C55547" w:rsidRPr="00E07C9A" w:rsidRDefault="00C55547" w:rsidP="00E10B85">
            <w:pPr>
              <w:autoSpaceDE w:val="0"/>
              <w:autoSpaceDN w:val="0"/>
              <w:adjustRightInd w:val="0"/>
              <w:spacing w:before="0" w:after="0"/>
              <w:rPr>
                <w:rFonts w:ascii="Times New Roman" w:hAnsi="Times New Roman"/>
                <w:bCs/>
                <w:sz w:val="24"/>
                <w:lang w:eastAsia="nl-BE"/>
              </w:rPr>
            </w:pPr>
          </w:p>
        </w:tc>
      </w:tr>
      <w:tr w:rsidR="00C55547" w:rsidRPr="00E07C9A" w14:paraId="66D8A55A" w14:textId="77777777" w:rsidTr="000911FE">
        <w:tc>
          <w:tcPr>
            <w:tcW w:w="1413" w:type="dxa"/>
          </w:tcPr>
          <w:p w14:paraId="7DE34CCA" w14:textId="77777777" w:rsidR="00C55547" w:rsidRPr="00E07C9A" w:rsidRDefault="002F79EA"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0090 – 0110</w:t>
            </w:r>
          </w:p>
        </w:tc>
        <w:tc>
          <w:tcPr>
            <w:tcW w:w="7537" w:type="dxa"/>
          </w:tcPr>
          <w:p w14:paraId="1405E243" w14:textId="77777777" w:rsidR="00C55547" w:rsidRPr="00E07C9A" w:rsidRDefault="00C55547" w:rsidP="00E10B85">
            <w:pPr>
              <w:rPr>
                <w:rStyle w:val="InstructionsTabelleberschrift"/>
                <w:rFonts w:ascii="Times New Roman" w:hAnsi="Times New Roman"/>
                <w:sz w:val="24"/>
              </w:rPr>
            </w:pPr>
            <w:r w:rsidRPr="00E07C9A">
              <w:rPr>
                <w:rStyle w:val="InstructionsTabelleberschrift"/>
                <w:rFonts w:ascii="Times New Roman" w:hAnsi="Times New Roman"/>
                <w:sz w:val="24"/>
              </w:rPr>
              <w:t>SPONZOR</w:t>
            </w:r>
          </w:p>
          <w:p w14:paraId="1077318F" w14:textId="2FC55D69" w:rsidR="009912F8" w:rsidRPr="00E07C9A" w:rsidRDefault="00D24331" w:rsidP="00E10B85">
            <w:pPr>
              <w:autoSpaceDE w:val="0"/>
              <w:autoSpaceDN w:val="0"/>
              <w:adjustRightInd w:val="0"/>
              <w:spacing w:before="0" w:after="0"/>
              <w:rPr>
                <w:rStyle w:val="InstructionsTabelleText"/>
                <w:rFonts w:ascii="Times New Roman" w:hAnsi="Times New Roman"/>
                <w:sz w:val="24"/>
              </w:rPr>
            </w:pPr>
            <w:r w:rsidRPr="00E07C9A">
              <w:rPr>
                <w:rFonts w:ascii="Times New Roman" w:hAnsi="Times New Roman"/>
                <w:sz w:val="24"/>
              </w:rPr>
              <w:t xml:space="preserve">Článok 4 ods. 1 bod 14 nariadenia (EÚ) </w:t>
            </w:r>
            <w:r w:rsidR="009912F8" w:rsidRPr="00E07C9A">
              <w:rPr>
                <w:rFonts w:ascii="Times New Roman" w:hAnsi="Times New Roman"/>
                <w:sz w:val="24"/>
              </w:rPr>
              <w:t>č. 575/2013</w:t>
            </w:r>
          </w:p>
          <w:p w14:paraId="036222AB" w14:textId="2729FA61" w:rsidR="00C55547" w:rsidRPr="00E07C9A" w:rsidRDefault="00532026" w:rsidP="00E64BFE">
            <w:pPr>
              <w:autoSpaceDE w:val="0"/>
              <w:autoSpaceDN w:val="0"/>
              <w:adjustRightInd w:val="0"/>
              <w:spacing w:before="0" w:after="0"/>
              <w:rPr>
                <w:rStyle w:val="InstructionsTabelleText"/>
                <w:rFonts w:ascii="Times New Roman" w:hAnsi="Times New Roman"/>
                <w:sz w:val="24"/>
              </w:rPr>
            </w:pPr>
            <w:r w:rsidRPr="00E07C9A">
              <w:rPr>
                <w:rStyle w:val="InstructionsTabelleText"/>
                <w:rFonts w:ascii="Times New Roman" w:hAnsi="Times New Roman"/>
                <w:sz w:val="24"/>
              </w:rPr>
              <w:t>Sponzor, ktorý zároveň sekuritizuje svoje vlastné aktíva,</w:t>
            </w:r>
            <w:r w:rsidR="009912F8" w:rsidRPr="00E07C9A">
              <w:rPr>
                <w:rStyle w:val="InstructionsTabelleText"/>
                <w:rFonts w:ascii="Times New Roman" w:hAnsi="Times New Roman"/>
                <w:sz w:val="24"/>
              </w:rPr>
              <w:t xml:space="preserve"> v </w:t>
            </w:r>
            <w:r w:rsidRPr="00E07C9A">
              <w:rPr>
                <w:rStyle w:val="InstructionsTabelleText"/>
                <w:rFonts w:ascii="Times New Roman" w:hAnsi="Times New Roman"/>
                <w:sz w:val="24"/>
              </w:rPr>
              <w:t>riadkoch originátora uvedie informácie týkajúce sa svojich vlastných sekuritizovaných aktív.</w:t>
            </w:r>
          </w:p>
        </w:tc>
      </w:tr>
    </w:tbl>
    <w:p w14:paraId="204C667B" w14:textId="77777777" w:rsidR="000B0B09" w:rsidRPr="00E07C9A" w:rsidRDefault="000B0B09" w:rsidP="000B0B09">
      <w:pPr>
        <w:autoSpaceDE w:val="0"/>
        <w:autoSpaceDN w:val="0"/>
        <w:adjustRightInd w:val="0"/>
        <w:spacing w:before="0" w:after="0"/>
        <w:rPr>
          <w:rFonts w:ascii="Times New Roman" w:hAnsi="Times New Roman"/>
          <w:sz w:val="24"/>
          <w:lang w:eastAsia="nl-BE"/>
        </w:rPr>
      </w:pPr>
    </w:p>
    <w:p w14:paraId="2E044F08" w14:textId="77777777" w:rsidR="000B0B09" w:rsidRPr="00E07C9A" w:rsidRDefault="000B0B09" w:rsidP="000B0B09">
      <w:pPr>
        <w:autoSpaceDE w:val="0"/>
        <w:autoSpaceDN w:val="0"/>
        <w:adjustRightInd w:val="0"/>
        <w:spacing w:before="0" w:after="0"/>
        <w:rPr>
          <w:rFonts w:ascii="Times New Roman" w:hAnsi="Times New Roman"/>
          <w:sz w:val="24"/>
          <w:lang w:eastAsia="nl-BE"/>
        </w:rPr>
      </w:pPr>
    </w:p>
    <w:p w14:paraId="7658B148" w14:textId="77777777" w:rsidR="000B0B09" w:rsidRPr="00E07C9A" w:rsidRDefault="00125707" w:rsidP="0023700C">
      <w:pPr>
        <w:pStyle w:val="Instructionsberschrift2"/>
        <w:numPr>
          <w:ilvl w:val="0"/>
          <w:numId w:val="0"/>
        </w:numPr>
        <w:ind w:left="357" w:hanging="357"/>
        <w:rPr>
          <w:rFonts w:ascii="Times New Roman" w:hAnsi="Times New Roman" w:cs="Times New Roman"/>
          <w:sz w:val="24"/>
        </w:rPr>
      </w:pPr>
      <w:bookmarkStart w:id="644" w:name="_Toc294172373"/>
      <w:bookmarkStart w:id="645" w:name="_Toc295830002"/>
      <w:bookmarkStart w:id="646" w:name="_Toc308426679"/>
      <w:bookmarkStart w:id="647" w:name="_Toc310415063"/>
      <w:bookmarkStart w:id="648" w:name="_Toc360188398"/>
      <w:bookmarkStart w:id="649" w:name="_Toc473561038"/>
      <w:bookmarkStart w:id="650" w:name="_Toc115857882"/>
      <w:r w:rsidRPr="00E07C9A">
        <w:rPr>
          <w:rFonts w:ascii="Times New Roman" w:hAnsi="Times New Roman" w:cs="Times New Roman"/>
          <w:sz w:val="24"/>
          <w:u w:val="none"/>
        </w:rPr>
        <w:t>5.3.</w:t>
      </w:r>
      <w:r w:rsidRPr="00E07C9A">
        <w:rPr>
          <w:rFonts w:ascii="Times New Roman" w:hAnsi="Times New Roman" w:cs="Times New Roman"/>
          <w:u w:val="none"/>
        </w:rPr>
        <w:tab/>
      </w:r>
      <w:r w:rsidRPr="00E07C9A">
        <w:rPr>
          <w:rFonts w:ascii="Times New Roman" w:hAnsi="Times New Roman" w:cs="Times New Roman"/>
          <w:sz w:val="24"/>
        </w:rPr>
        <w:t>C 20.00 – TRHOVÉ RIZIKO: ŠTANDARDIZOVANÝ PRÍSTUP PRE ŠPECIFICKÉ RIZIKO PRE POZÍCIE ZARADENÉ DO KORELAČNÉHO OBCHODNÉHO PORTFÓLIA (MKR SA CTP</w:t>
      </w:r>
      <w:bookmarkEnd w:id="644"/>
      <w:bookmarkEnd w:id="645"/>
      <w:bookmarkEnd w:id="646"/>
      <w:bookmarkEnd w:id="647"/>
      <w:r w:rsidRPr="00E07C9A">
        <w:rPr>
          <w:rFonts w:ascii="Times New Roman" w:hAnsi="Times New Roman" w:cs="Times New Roman"/>
          <w:sz w:val="24"/>
        </w:rPr>
        <w:t>)</w:t>
      </w:r>
      <w:bookmarkEnd w:id="648"/>
      <w:bookmarkEnd w:id="649"/>
      <w:bookmarkEnd w:id="650"/>
    </w:p>
    <w:p w14:paraId="43960D05" w14:textId="77777777" w:rsidR="000B0B09" w:rsidRPr="00E07C9A" w:rsidRDefault="00125707" w:rsidP="0023700C">
      <w:pPr>
        <w:pStyle w:val="Instructionsberschrift2"/>
        <w:numPr>
          <w:ilvl w:val="0"/>
          <w:numId w:val="0"/>
        </w:numPr>
        <w:ind w:left="357" w:hanging="357"/>
        <w:rPr>
          <w:rFonts w:ascii="Times New Roman" w:hAnsi="Times New Roman" w:cs="Times New Roman"/>
          <w:sz w:val="24"/>
        </w:rPr>
      </w:pPr>
      <w:bookmarkStart w:id="651" w:name="_Toc294172374"/>
      <w:bookmarkStart w:id="652" w:name="_Toc295830003"/>
      <w:bookmarkStart w:id="653" w:name="_Toc308426680"/>
      <w:bookmarkStart w:id="654" w:name="_Toc310415064"/>
      <w:bookmarkStart w:id="655" w:name="_Toc360188399"/>
      <w:bookmarkStart w:id="656" w:name="_Toc473561039"/>
      <w:bookmarkStart w:id="657" w:name="_Toc115857883"/>
      <w:r w:rsidRPr="00E07C9A">
        <w:rPr>
          <w:rFonts w:ascii="Times New Roman" w:hAnsi="Times New Roman" w:cs="Times New Roman"/>
          <w:sz w:val="24"/>
          <w:u w:val="none"/>
        </w:rPr>
        <w:t>5.3.1.</w:t>
      </w:r>
      <w:r w:rsidRPr="00E07C9A">
        <w:rPr>
          <w:rFonts w:ascii="Times New Roman" w:hAnsi="Times New Roman" w:cs="Times New Roman"/>
          <w:u w:val="none"/>
        </w:rPr>
        <w:tab/>
      </w:r>
      <w:r w:rsidRPr="00E07C9A">
        <w:rPr>
          <w:rFonts w:ascii="Times New Roman" w:hAnsi="Times New Roman" w:cs="Times New Roman"/>
          <w:sz w:val="24"/>
        </w:rPr>
        <w:t>Všeobecné poznámky</w:t>
      </w:r>
      <w:bookmarkEnd w:id="651"/>
      <w:bookmarkEnd w:id="652"/>
      <w:bookmarkEnd w:id="653"/>
      <w:bookmarkEnd w:id="654"/>
      <w:bookmarkEnd w:id="655"/>
      <w:bookmarkEnd w:id="656"/>
      <w:bookmarkEnd w:id="657"/>
    </w:p>
    <w:bookmarkStart w:id="658" w:name="_Toc294172375"/>
    <w:bookmarkStart w:id="659" w:name="_Toc295830004"/>
    <w:bookmarkStart w:id="660" w:name="_Toc308426681"/>
    <w:bookmarkStart w:id="661" w:name="_Toc310415065"/>
    <w:bookmarkStart w:id="662" w:name="_Toc360188400"/>
    <w:bookmarkStart w:id="663" w:name="_Toc473561040"/>
    <w:p w14:paraId="6E7E4803" w14:textId="14950629" w:rsidR="00C55547" w:rsidRPr="00E07C9A" w:rsidRDefault="00771068" w:rsidP="00487A02">
      <w:pPr>
        <w:pStyle w:val="InstructionsText2"/>
        <w:numPr>
          <w:ilvl w:val="0"/>
          <w:numId w:val="0"/>
        </w:numPr>
        <w:ind w:left="1353" w:hanging="360"/>
      </w:pPr>
      <w:r w:rsidRPr="00E07C9A">
        <w:fldChar w:fldCharType="begin"/>
      </w:r>
      <w:r w:rsidRPr="00E07C9A">
        <w:instrText xml:space="preserve"> seq paragraphs </w:instrText>
      </w:r>
      <w:r w:rsidRPr="00E07C9A">
        <w:fldChar w:fldCharType="separate"/>
      </w:r>
      <w:r w:rsidR="00132AEE">
        <w:rPr>
          <w:noProof/>
        </w:rPr>
        <w:t>165</w:t>
      </w:r>
      <w:r w:rsidRPr="00E07C9A">
        <w:fldChar w:fldCharType="end"/>
      </w:r>
      <w:r w:rsidRPr="00E07C9A">
        <w:t>.</w:t>
      </w:r>
      <w:r w:rsidR="009912F8" w:rsidRPr="00E07C9A">
        <w:t xml:space="preserve"> V </w:t>
      </w:r>
      <w:r w:rsidRPr="00E07C9A">
        <w:t>tomto vzore sa požadujú informácie</w:t>
      </w:r>
      <w:r w:rsidR="009912F8" w:rsidRPr="00E07C9A">
        <w:t xml:space="preserve"> o </w:t>
      </w:r>
      <w:r w:rsidRPr="00E07C9A">
        <w:t>pozíciách korelačného obchodného portfólia [CTP, ktoré obsahuje sekuritizácie, kreditné deriváty pre n-té zlyhanie</w:t>
      </w:r>
      <w:r w:rsidR="009912F8" w:rsidRPr="00E07C9A">
        <w:t xml:space="preserve"> a </w:t>
      </w:r>
      <w:r w:rsidRPr="00E07C9A">
        <w:t>iné pozície korelačného obchodného portfólia zahrnuté</w:t>
      </w:r>
      <w:r w:rsidR="009912F8" w:rsidRPr="00E07C9A">
        <w:t xml:space="preserve"> v </w:t>
      </w:r>
      <w:r w:rsidRPr="00E07C9A">
        <w:t>súlade</w:t>
      </w:r>
      <w:r w:rsidR="009912F8" w:rsidRPr="00E07C9A">
        <w:t xml:space="preserve"> s </w:t>
      </w:r>
      <w:r w:rsidRPr="00E07C9A">
        <w:t xml:space="preserve">článkom 338 ods. 3 nariadenia (EÚ) </w:t>
      </w:r>
      <w:r w:rsidR="009912F8" w:rsidRPr="00E07C9A">
        <w:t>č. 575/2013</w:t>
      </w:r>
      <w:r w:rsidRPr="00E07C9A">
        <w:t>]</w:t>
      </w:r>
      <w:r w:rsidR="009912F8" w:rsidRPr="00E07C9A">
        <w:t xml:space="preserve"> a </w:t>
      </w:r>
      <w:r w:rsidRPr="00E07C9A">
        <w:t>zodpovedajúcich požiadavkách na vlastné zdroje</w:t>
      </w:r>
      <w:r w:rsidR="009912F8" w:rsidRPr="00E07C9A">
        <w:t xml:space="preserve"> v </w:t>
      </w:r>
      <w:r w:rsidRPr="00E07C9A">
        <w:t>rámci štandardizovaného prístupu.</w:t>
      </w:r>
    </w:p>
    <w:p w14:paraId="7D9D9B10" w14:textId="68EE5417" w:rsidR="00C55547" w:rsidRPr="00E07C9A" w:rsidRDefault="002A18DE" w:rsidP="00487A02">
      <w:pPr>
        <w:pStyle w:val="InstructionsText2"/>
        <w:numPr>
          <w:ilvl w:val="0"/>
          <w:numId w:val="0"/>
        </w:numPr>
        <w:ind w:left="1353" w:hanging="360"/>
      </w:pPr>
      <w:fldSimple w:instr=" seq paragraphs ">
        <w:r w:rsidR="00132AEE">
          <w:rPr>
            <w:noProof/>
          </w:rPr>
          <w:t>166</w:t>
        </w:r>
      </w:fldSimple>
      <w:r w:rsidR="00C3070C" w:rsidRPr="00E07C9A">
        <w:t>.</w:t>
      </w:r>
      <w:r w:rsidR="00C3070C" w:rsidRPr="00E07C9A">
        <w:tab/>
        <w:t xml:space="preserve"> Vo vzore MKR SA CTP sa požiadavka na vlastné zdroje určuje len pre špecifické riziko pozícií zaradených do korelačného obchodného portfólia</w:t>
      </w:r>
      <w:r w:rsidR="009912F8" w:rsidRPr="00E07C9A">
        <w:t xml:space="preserve"> v </w:t>
      </w:r>
      <w:r w:rsidR="00C3070C" w:rsidRPr="00E07C9A">
        <w:t>súlade</w:t>
      </w:r>
      <w:r w:rsidR="009912F8" w:rsidRPr="00E07C9A">
        <w:t xml:space="preserve"> s </w:t>
      </w:r>
      <w:r w:rsidR="00C3070C" w:rsidRPr="00E07C9A">
        <w:t xml:space="preserve">článkom 335 nariadenia (EÚ) </w:t>
      </w:r>
      <w:r w:rsidR="009912F8" w:rsidRPr="00E07C9A">
        <w:t>č. 575/2013 v </w:t>
      </w:r>
      <w:r w:rsidR="00C3070C" w:rsidRPr="00E07C9A">
        <w:t>spojení</w:t>
      </w:r>
      <w:r w:rsidR="009912F8" w:rsidRPr="00E07C9A">
        <w:t xml:space="preserve"> s </w:t>
      </w:r>
      <w:r w:rsidR="00C3070C" w:rsidRPr="00E07C9A">
        <w:t>článkom 338 ods. 2</w:t>
      </w:r>
      <w:r w:rsidR="009912F8" w:rsidRPr="00E07C9A">
        <w:t xml:space="preserve"> a </w:t>
      </w:r>
      <w:r w:rsidR="00C3070C" w:rsidRPr="00E07C9A">
        <w:t>3 uvedeného nariadenia. Keď sa pozície korelačného obchodného portfólia obchodnej knihy hedžujú kreditnými derivátmi, uplatňujú sa články 346</w:t>
      </w:r>
      <w:r w:rsidR="009912F8" w:rsidRPr="00E07C9A">
        <w:t xml:space="preserve"> a </w:t>
      </w:r>
      <w:r w:rsidR="00C3070C" w:rsidRPr="00E07C9A">
        <w:t xml:space="preserve">347 nariadenia (EÚ) </w:t>
      </w:r>
      <w:r w:rsidR="009912F8" w:rsidRPr="00E07C9A">
        <w:t>č. 575/2013</w:t>
      </w:r>
      <w:r w:rsidR="00C3070C" w:rsidRPr="00E07C9A">
        <w:t>. Existuje len jeden vzor pre všetky pozície korelačného obchodného portfólia obchodnej knihy bez ohľadu na prístup, ktorý inštitúcie uplatňujú na určenie rizikovej váhy každej</w:t>
      </w:r>
      <w:r w:rsidR="009912F8" w:rsidRPr="00E07C9A">
        <w:t xml:space="preserve"> z </w:t>
      </w:r>
      <w:r w:rsidR="00C3070C" w:rsidRPr="00E07C9A">
        <w:t>pozícií</w:t>
      </w:r>
      <w:r w:rsidR="009912F8" w:rsidRPr="00E07C9A">
        <w:t xml:space="preserve"> v </w:t>
      </w:r>
      <w:r w:rsidR="00C3070C" w:rsidRPr="00E07C9A">
        <w:t>súlade</w:t>
      </w:r>
      <w:r w:rsidR="009912F8" w:rsidRPr="00E07C9A">
        <w:t xml:space="preserve"> s </w:t>
      </w:r>
      <w:r w:rsidR="00C3070C" w:rsidRPr="00E07C9A">
        <w:t xml:space="preserve">treťou časťou hlavou II kapitolou 5 nariadenia (EÚ) </w:t>
      </w:r>
      <w:r w:rsidR="009912F8" w:rsidRPr="00E07C9A">
        <w:t>č. 575/2013</w:t>
      </w:r>
      <w:r w:rsidR="00C3070C" w:rsidRPr="00E07C9A">
        <w:t>. Požiadavky na vlastné zdroje pre všeobecné riziko týchto pozícií sa vykazujú vo vzore MKR SA TDI alebo vo vzore MKR IM.</w:t>
      </w:r>
    </w:p>
    <w:p w14:paraId="1EBF8423" w14:textId="625FB250" w:rsidR="009912F8" w:rsidRPr="00E07C9A" w:rsidRDefault="002A18DE" w:rsidP="00487A02">
      <w:pPr>
        <w:pStyle w:val="InstructionsText2"/>
        <w:numPr>
          <w:ilvl w:val="0"/>
          <w:numId w:val="0"/>
        </w:numPr>
        <w:ind w:left="1353" w:hanging="360"/>
      </w:pPr>
      <w:fldSimple w:instr=" seq paragraphs ">
        <w:r w:rsidR="00132AEE">
          <w:rPr>
            <w:noProof/>
          </w:rPr>
          <w:t>167</w:t>
        </w:r>
      </w:fldSimple>
      <w:r w:rsidR="00C3070C" w:rsidRPr="00E07C9A">
        <w:t>.</w:t>
      </w:r>
      <w:r w:rsidR="00C3070C" w:rsidRPr="00E07C9A">
        <w:tab/>
      </w:r>
      <w:r w:rsidR="009912F8" w:rsidRPr="00E07C9A">
        <w:t xml:space="preserve"> V </w:t>
      </w:r>
      <w:r w:rsidR="00C3070C" w:rsidRPr="00E07C9A">
        <w:t>rámci tohto vzoru sa rozdeľujú sekuritizačné pozície, kreditné deriváty pre n-té zlyhanie</w:t>
      </w:r>
      <w:r w:rsidR="009912F8" w:rsidRPr="00E07C9A">
        <w:t xml:space="preserve"> a </w:t>
      </w:r>
      <w:r w:rsidR="00C3070C" w:rsidRPr="00E07C9A">
        <w:t>iné pozície korelačného obchodného portfólia. Sekuritizačné pozície sa vykazujú vždy</w:t>
      </w:r>
      <w:r w:rsidR="009912F8" w:rsidRPr="00E07C9A">
        <w:t xml:space="preserve"> v </w:t>
      </w:r>
      <w:r w:rsidR="00C3070C" w:rsidRPr="00E07C9A">
        <w:t>riadku 0030, 0060 alebo 0090 (v závislosti od úlohy inštitúcie</w:t>
      </w:r>
      <w:r w:rsidR="009912F8" w:rsidRPr="00E07C9A">
        <w:t xml:space="preserve"> v </w:t>
      </w:r>
      <w:r w:rsidR="00C3070C" w:rsidRPr="00E07C9A">
        <w:t>sekuritizácii). Kreditné deriváty pre n-té zlyhanie sa vykazujú vždy</w:t>
      </w:r>
      <w:r w:rsidR="009912F8" w:rsidRPr="00E07C9A">
        <w:t xml:space="preserve"> v </w:t>
      </w:r>
      <w:r w:rsidR="00C3070C" w:rsidRPr="00E07C9A">
        <w:t xml:space="preserve">riadku 0110. „Iné pozície korelačného obchodného portfólia“ sú pozície, ktoré nie sú sekuritizačnými pozíciami ani kreditnými derivátmi pre n-té zlyhanie [pozri článok 338 ods. 3 nariadenia (EÚ) </w:t>
      </w:r>
      <w:r w:rsidR="009912F8" w:rsidRPr="00E07C9A">
        <w:t>č. 575/2013</w:t>
      </w:r>
      <w:r w:rsidR="00C3070C" w:rsidRPr="00E07C9A">
        <w:t>], ale sú výslovne „spojené“</w:t>
      </w:r>
      <w:r w:rsidR="009912F8" w:rsidRPr="00E07C9A">
        <w:t xml:space="preserve"> s </w:t>
      </w:r>
      <w:r w:rsidR="00C3070C" w:rsidRPr="00E07C9A">
        <w:t>jednou</w:t>
      </w:r>
      <w:r w:rsidR="009912F8" w:rsidRPr="00E07C9A">
        <w:t xml:space="preserve"> z </w:t>
      </w:r>
      <w:r w:rsidR="00C3070C" w:rsidRPr="00E07C9A">
        <w:t>týchto dvoch pozícií (na základe zámeru hedžingu)</w:t>
      </w:r>
      <w:r w:rsidR="009912F8" w:rsidRPr="00E07C9A">
        <w:t>.</w:t>
      </w:r>
    </w:p>
    <w:p w14:paraId="5B5B9C2A" w14:textId="5588A3F3" w:rsidR="00C55547" w:rsidRPr="00E07C9A" w:rsidRDefault="002A18DE" w:rsidP="00487A02">
      <w:pPr>
        <w:pStyle w:val="InstructionsText2"/>
        <w:numPr>
          <w:ilvl w:val="0"/>
          <w:numId w:val="0"/>
        </w:numPr>
        <w:ind w:left="1353" w:hanging="360"/>
      </w:pPr>
      <w:fldSimple w:instr=" seq paragraphs ">
        <w:r w:rsidR="00132AEE">
          <w:rPr>
            <w:noProof/>
          </w:rPr>
          <w:t>168</w:t>
        </w:r>
      </w:fldSimple>
      <w:r w:rsidR="00C3070C" w:rsidRPr="00E07C9A">
        <w:t>.</w:t>
      </w:r>
      <w:r w:rsidR="00C3070C" w:rsidRPr="00E07C9A">
        <w:tab/>
        <w:t xml:space="preserve"> Pozície, ktoré dostanú rizikovú váhu 1 250</w:t>
      </w:r>
      <w:r w:rsidR="009912F8" w:rsidRPr="00E07C9A">
        <w:t> %</w:t>
      </w:r>
      <w:r w:rsidR="00C3070C" w:rsidRPr="00E07C9A">
        <w:t>, možno alternatívne odpočítať od CET1 [pozri článok 244 ods. 1 písm. b), článok 245 ods. 1 písm. b)</w:t>
      </w:r>
      <w:r w:rsidR="009912F8" w:rsidRPr="00E07C9A">
        <w:t xml:space="preserve"> a </w:t>
      </w:r>
      <w:r w:rsidR="00C3070C" w:rsidRPr="00E07C9A">
        <w:t xml:space="preserve">článok 253 nariadenia (EÚ) </w:t>
      </w:r>
      <w:r w:rsidR="009912F8" w:rsidRPr="00E07C9A">
        <w:t>č. 575/2013</w:t>
      </w:r>
      <w:r w:rsidR="00C3070C" w:rsidRPr="00E07C9A">
        <w:t>].</w:t>
      </w:r>
      <w:r w:rsidR="009912F8" w:rsidRPr="00E07C9A">
        <w:t xml:space="preserve"> V </w:t>
      </w:r>
      <w:r w:rsidR="00C3070C" w:rsidRPr="00E07C9A">
        <w:t>takomto prípade sa tieto pozície musia vykázať</w:t>
      </w:r>
      <w:r w:rsidR="009912F8" w:rsidRPr="00E07C9A">
        <w:t xml:space="preserve"> v </w:t>
      </w:r>
      <w:r w:rsidR="00C3070C" w:rsidRPr="00E07C9A">
        <w:t>riadku 0460 vzoru CA1.</w:t>
      </w:r>
    </w:p>
    <w:p w14:paraId="6482CB53" w14:textId="3E0BDD09" w:rsidR="000B0B09" w:rsidRPr="00E07C9A" w:rsidRDefault="00125707" w:rsidP="0023700C">
      <w:pPr>
        <w:pStyle w:val="Instructionsberschrift2"/>
        <w:numPr>
          <w:ilvl w:val="0"/>
          <w:numId w:val="0"/>
        </w:numPr>
        <w:ind w:left="357" w:hanging="357"/>
        <w:rPr>
          <w:rFonts w:ascii="Times New Roman" w:hAnsi="Times New Roman" w:cs="Times New Roman"/>
          <w:sz w:val="24"/>
        </w:rPr>
      </w:pPr>
      <w:bookmarkStart w:id="664" w:name="_Toc115857884"/>
      <w:r w:rsidRPr="00E07C9A">
        <w:rPr>
          <w:rFonts w:ascii="Times New Roman" w:hAnsi="Times New Roman" w:cs="Times New Roman"/>
          <w:sz w:val="24"/>
          <w:u w:val="none"/>
        </w:rPr>
        <w:t>5.3.2.</w:t>
      </w:r>
      <w:r w:rsidRPr="00E07C9A">
        <w:rPr>
          <w:rFonts w:ascii="Times New Roman" w:hAnsi="Times New Roman" w:cs="Times New Roman"/>
          <w:u w:val="none"/>
        </w:rPr>
        <w:tab/>
      </w:r>
      <w:r w:rsidRPr="00E07C9A">
        <w:rPr>
          <w:rFonts w:ascii="Times New Roman" w:hAnsi="Times New Roman" w:cs="Times New Roman"/>
          <w:sz w:val="24"/>
        </w:rPr>
        <w:t>Pokyny týkajúce sa konkrétnych pozícií</w:t>
      </w:r>
      <w:bookmarkEnd w:id="658"/>
      <w:bookmarkEnd w:id="659"/>
      <w:bookmarkEnd w:id="660"/>
      <w:bookmarkEnd w:id="661"/>
      <w:bookmarkEnd w:id="662"/>
      <w:bookmarkEnd w:id="663"/>
      <w:bookmarkEnd w:id="664"/>
    </w:p>
    <w:p w14:paraId="08BF27B7" w14:textId="77777777" w:rsidR="000B0B09" w:rsidRPr="00E07C9A" w:rsidRDefault="000B0B09" w:rsidP="00E70AB0">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6"/>
        <w:gridCol w:w="7646"/>
      </w:tblGrid>
      <w:tr w:rsidR="00C55547" w:rsidRPr="00E07C9A" w14:paraId="05BDB97B" w14:textId="77777777" w:rsidTr="00E10B85">
        <w:trPr>
          <w:trHeight w:val="602"/>
        </w:trPr>
        <w:tc>
          <w:tcPr>
            <w:tcW w:w="8890" w:type="dxa"/>
            <w:gridSpan w:val="2"/>
            <w:shd w:val="clear" w:color="auto" w:fill="CCCCCC"/>
          </w:tcPr>
          <w:p w14:paraId="286354EC" w14:textId="77777777" w:rsidR="00C55547" w:rsidRPr="00E07C9A" w:rsidRDefault="00C55547" w:rsidP="00E10B85">
            <w:pPr>
              <w:autoSpaceDE w:val="0"/>
              <w:autoSpaceDN w:val="0"/>
              <w:adjustRightInd w:val="0"/>
              <w:spacing w:after="0"/>
              <w:rPr>
                <w:rFonts w:ascii="Times New Roman" w:hAnsi="Times New Roman"/>
                <w:b/>
                <w:sz w:val="24"/>
              </w:rPr>
            </w:pPr>
            <w:r w:rsidRPr="00E07C9A">
              <w:rPr>
                <w:rFonts w:ascii="Times New Roman" w:hAnsi="Times New Roman"/>
                <w:b/>
                <w:sz w:val="24"/>
              </w:rPr>
              <w:t>Stĺpce</w:t>
            </w:r>
          </w:p>
        </w:tc>
      </w:tr>
      <w:tr w:rsidR="00C55547" w:rsidRPr="00E07C9A" w14:paraId="697D3EB6" w14:textId="77777777" w:rsidTr="00E10B85">
        <w:tc>
          <w:tcPr>
            <w:tcW w:w="1016" w:type="dxa"/>
          </w:tcPr>
          <w:p w14:paraId="5A814BB2" w14:textId="77777777" w:rsidR="00C55547" w:rsidRPr="00E07C9A" w:rsidRDefault="002F79EA"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0010 –⁠ 0020</w:t>
            </w:r>
          </w:p>
        </w:tc>
        <w:tc>
          <w:tcPr>
            <w:tcW w:w="7874" w:type="dxa"/>
          </w:tcPr>
          <w:p w14:paraId="2D41C55B" w14:textId="77777777" w:rsidR="00C55547" w:rsidRPr="00E07C9A" w:rsidRDefault="00C55547" w:rsidP="00E10B85">
            <w:pPr>
              <w:rPr>
                <w:rStyle w:val="InstructionsTabelleberschrift"/>
                <w:rFonts w:ascii="Times New Roman" w:hAnsi="Times New Roman"/>
                <w:sz w:val="24"/>
              </w:rPr>
            </w:pPr>
            <w:r w:rsidRPr="00E07C9A">
              <w:rPr>
                <w:rStyle w:val="InstructionsTabelleberschrift"/>
                <w:rFonts w:ascii="Times New Roman" w:hAnsi="Times New Roman"/>
                <w:sz w:val="24"/>
              </w:rPr>
              <w:t>VŠETKY POZÍCIE (DLHÉ A KRÁTKE)</w:t>
            </w:r>
          </w:p>
          <w:p w14:paraId="4F3CF7CB" w14:textId="7001BAA8" w:rsidR="005C14B0" w:rsidRPr="00E07C9A" w:rsidRDefault="00C55547" w:rsidP="00E10B85">
            <w:pPr>
              <w:rPr>
                <w:rFonts w:ascii="Times New Roman" w:hAnsi="Times New Roman"/>
                <w:sz w:val="24"/>
              </w:rPr>
            </w:pPr>
            <w:r w:rsidRPr="00E07C9A">
              <w:rPr>
                <w:rFonts w:ascii="Times New Roman" w:hAnsi="Times New Roman"/>
                <w:sz w:val="24"/>
              </w:rPr>
              <w:t>Článok 102</w:t>
            </w:r>
            <w:r w:rsidR="009912F8" w:rsidRPr="00E07C9A">
              <w:rPr>
                <w:rFonts w:ascii="Times New Roman" w:hAnsi="Times New Roman"/>
                <w:sz w:val="24"/>
              </w:rPr>
              <w:t xml:space="preserve"> a </w:t>
            </w:r>
            <w:r w:rsidRPr="00E07C9A">
              <w:rPr>
                <w:rFonts w:ascii="Times New Roman" w:hAnsi="Times New Roman"/>
                <w:sz w:val="24"/>
              </w:rPr>
              <w:t xml:space="preserve">článok 105 ods. 1 nariadenia (EÚ) </w:t>
            </w:r>
            <w:r w:rsidR="009912F8" w:rsidRPr="00E07C9A">
              <w:rPr>
                <w:rFonts w:ascii="Times New Roman" w:hAnsi="Times New Roman"/>
                <w:sz w:val="24"/>
              </w:rPr>
              <w:t>č. 575/2013 v </w:t>
            </w:r>
            <w:r w:rsidRPr="00E07C9A">
              <w:rPr>
                <w:rFonts w:ascii="Times New Roman" w:hAnsi="Times New Roman"/>
                <w:sz w:val="24"/>
              </w:rPr>
              <w:t>spojení</w:t>
            </w:r>
            <w:r w:rsidR="009912F8" w:rsidRPr="00E07C9A">
              <w:rPr>
                <w:rFonts w:ascii="Times New Roman" w:hAnsi="Times New Roman"/>
                <w:sz w:val="24"/>
              </w:rPr>
              <w:t xml:space="preserve"> s </w:t>
            </w:r>
            <w:r w:rsidRPr="00E07C9A">
              <w:rPr>
                <w:rFonts w:ascii="Times New Roman" w:hAnsi="Times New Roman"/>
                <w:sz w:val="24"/>
              </w:rPr>
              <w:t>článkom 338 ods. 2</w:t>
            </w:r>
            <w:r w:rsidR="009912F8" w:rsidRPr="00E07C9A">
              <w:rPr>
                <w:rFonts w:ascii="Times New Roman" w:hAnsi="Times New Roman"/>
                <w:sz w:val="24"/>
              </w:rPr>
              <w:t xml:space="preserve"> a </w:t>
            </w:r>
            <w:r w:rsidRPr="00E07C9A">
              <w:rPr>
                <w:rFonts w:ascii="Times New Roman" w:hAnsi="Times New Roman"/>
                <w:sz w:val="24"/>
              </w:rPr>
              <w:t>3 uvedeného nariadenia (pozície zaradené do korelačného obchodného portfólia)</w:t>
            </w:r>
          </w:p>
          <w:p w14:paraId="70FB0860" w14:textId="1F85FB99" w:rsidR="00C55547" w:rsidRPr="00E07C9A" w:rsidRDefault="00C55547" w:rsidP="0002267E">
            <w:pPr>
              <w:rPr>
                <w:rFonts w:ascii="Times New Roman" w:hAnsi="Times New Roman"/>
                <w:sz w:val="24"/>
              </w:rPr>
            </w:pPr>
            <w:r w:rsidRPr="00E07C9A">
              <w:rPr>
                <w:rFonts w:ascii="Times New Roman" w:hAnsi="Times New Roman"/>
                <w:sz w:val="24"/>
              </w:rPr>
              <w:t>Pokiaľ ide</w:t>
            </w:r>
            <w:r w:rsidR="009912F8" w:rsidRPr="00E07C9A">
              <w:rPr>
                <w:rFonts w:ascii="Times New Roman" w:hAnsi="Times New Roman"/>
                <w:sz w:val="24"/>
              </w:rPr>
              <w:t xml:space="preserve"> o </w:t>
            </w:r>
            <w:r w:rsidRPr="00E07C9A">
              <w:rPr>
                <w:rFonts w:ascii="Times New Roman" w:hAnsi="Times New Roman"/>
                <w:sz w:val="24"/>
              </w:rPr>
              <w:t>rozdiel medzi dlhými</w:t>
            </w:r>
            <w:r w:rsidR="009912F8" w:rsidRPr="00E07C9A">
              <w:rPr>
                <w:rFonts w:ascii="Times New Roman" w:hAnsi="Times New Roman"/>
                <w:sz w:val="24"/>
              </w:rPr>
              <w:t xml:space="preserve"> a </w:t>
            </w:r>
            <w:r w:rsidRPr="00E07C9A">
              <w:rPr>
                <w:rFonts w:ascii="Times New Roman" w:hAnsi="Times New Roman"/>
                <w:sz w:val="24"/>
              </w:rPr>
              <w:t xml:space="preserve">krátkymi pozíciami, ktorý sa uplatňuje aj na tieto hrubé pozície, pozri článok 328 ods. 2 nariadenia (EÚ) </w:t>
            </w:r>
            <w:r w:rsidR="009912F8" w:rsidRPr="00E07C9A">
              <w:rPr>
                <w:rFonts w:ascii="Times New Roman" w:hAnsi="Times New Roman"/>
                <w:sz w:val="24"/>
              </w:rPr>
              <w:t>č. 575/2013</w:t>
            </w:r>
            <w:r w:rsidRPr="00E07C9A">
              <w:rPr>
                <w:rFonts w:ascii="Times New Roman" w:hAnsi="Times New Roman"/>
                <w:sz w:val="24"/>
              </w:rPr>
              <w:t>.</w:t>
            </w:r>
          </w:p>
        </w:tc>
      </w:tr>
      <w:tr w:rsidR="00C55547" w:rsidRPr="00E07C9A" w14:paraId="3641769F" w14:textId="77777777" w:rsidTr="00E10B85">
        <w:tc>
          <w:tcPr>
            <w:tcW w:w="1016" w:type="dxa"/>
          </w:tcPr>
          <w:p w14:paraId="04DBC56E" w14:textId="77777777" w:rsidR="00C55547" w:rsidRPr="00E07C9A" w:rsidRDefault="002F79EA"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0030 – 0040</w:t>
            </w:r>
          </w:p>
        </w:tc>
        <w:tc>
          <w:tcPr>
            <w:tcW w:w="7874" w:type="dxa"/>
          </w:tcPr>
          <w:p w14:paraId="7E31C35B" w14:textId="77777777" w:rsidR="00C55547" w:rsidRPr="00E07C9A" w:rsidRDefault="00C55547" w:rsidP="00E10B85">
            <w:pPr>
              <w:rPr>
                <w:rStyle w:val="InstructionsTabelleberschrift"/>
                <w:rFonts w:ascii="Times New Roman" w:hAnsi="Times New Roman"/>
                <w:sz w:val="24"/>
              </w:rPr>
            </w:pPr>
            <w:r w:rsidRPr="00E07C9A">
              <w:rPr>
                <w:rStyle w:val="InstructionsTabelleberschrift"/>
                <w:rFonts w:ascii="Times New Roman" w:hAnsi="Times New Roman"/>
                <w:sz w:val="24"/>
              </w:rPr>
              <w:t>(–) POZÍCIE ODPOČÍTANÉ OD VLASTNÝCH ZDROJOV (DLHÉ A KRÁTKE)</w:t>
            </w:r>
          </w:p>
          <w:p w14:paraId="56207551" w14:textId="345E5378" w:rsidR="00C55547" w:rsidRPr="00E07C9A" w:rsidRDefault="00C55547" w:rsidP="00E64BFE">
            <w:pPr>
              <w:rPr>
                <w:rFonts w:ascii="Times New Roman" w:hAnsi="Times New Roman"/>
                <w:sz w:val="24"/>
              </w:rPr>
            </w:pPr>
            <w:r w:rsidRPr="00E07C9A">
              <w:rPr>
                <w:rFonts w:ascii="Times New Roman" w:hAnsi="Times New Roman"/>
                <w:sz w:val="24"/>
              </w:rPr>
              <w:t xml:space="preserve">Článok 253 nariadenia (EÚ) </w:t>
            </w:r>
            <w:r w:rsidR="009912F8" w:rsidRPr="00E07C9A">
              <w:rPr>
                <w:rFonts w:ascii="Times New Roman" w:hAnsi="Times New Roman"/>
                <w:sz w:val="24"/>
              </w:rPr>
              <w:t>č. 575/2013</w:t>
            </w:r>
            <w:r w:rsidRPr="00E07C9A">
              <w:rPr>
                <w:rFonts w:ascii="Times New Roman" w:hAnsi="Times New Roman"/>
                <w:sz w:val="24"/>
              </w:rPr>
              <w:t xml:space="preserve"> </w:t>
            </w:r>
          </w:p>
        </w:tc>
      </w:tr>
      <w:tr w:rsidR="00C55547" w:rsidRPr="00E07C9A" w14:paraId="6E312180" w14:textId="77777777" w:rsidTr="00E10B85">
        <w:tc>
          <w:tcPr>
            <w:tcW w:w="1016" w:type="dxa"/>
          </w:tcPr>
          <w:p w14:paraId="08709592" w14:textId="77777777" w:rsidR="00C55547" w:rsidRPr="00E07C9A" w:rsidRDefault="002F79EA"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0050 –⁠ 0060</w:t>
            </w:r>
          </w:p>
        </w:tc>
        <w:tc>
          <w:tcPr>
            <w:tcW w:w="7874" w:type="dxa"/>
          </w:tcPr>
          <w:p w14:paraId="6226B36A" w14:textId="77777777" w:rsidR="00C55547" w:rsidRPr="00E07C9A" w:rsidRDefault="00C55547" w:rsidP="00E10B85">
            <w:pPr>
              <w:rPr>
                <w:rStyle w:val="InstructionsTabelleberschrift"/>
                <w:rFonts w:ascii="Times New Roman" w:hAnsi="Times New Roman"/>
                <w:sz w:val="24"/>
              </w:rPr>
            </w:pPr>
            <w:r w:rsidRPr="00E07C9A">
              <w:rPr>
                <w:rStyle w:val="InstructionsTabelleberschrift"/>
                <w:rFonts w:ascii="Times New Roman" w:hAnsi="Times New Roman"/>
                <w:sz w:val="24"/>
              </w:rPr>
              <w:t>ČISTÉ POZÍCIE (DLHÉ A KRÁTKE)</w:t>
            </w:r>
          </w:p>
          <w:p w14:paraId="049B8CB8" w14:textId="37AC7B57" w:rsidR="009912F8" w:rsidRPr="00E07C9A" w:rsidRDefault="00C55547" w:rsidP="00E10B85">
            <w:pPr>
              <w:rPr>
                <w:rFonts w:ascii="Times New Roman" w:hAnsi="Times New Roman"/>
                <w:sz w:val="24"/>
              </w:rPr>
            </w:pPr>
            <w:r w:rsidRPr="00E07C9A">
              <w:rPr>
                <w:rFonts w:ascii="Times New Roman" w:hAnsi="Times New Roman"/>
                <w:sz w:val="24"/>
              </w:rPr>
              <w:t>Články 327, 328, 329</w:t>
            </w:r>
            <w:r w:rsidR="009912F8" w:rsidRPr="00E07C9A">
              <w:rPr>
                <w:rFonts w:ascii="Times New Roman" w:hAnsi="Times New Roman"/>
                <w:sz w:val="24"/>
              </w:rPr>
              <w:t xml:space="preserve"> a </w:t>
            </w:r>
            <w:r w:rsidRPr="00E07C9A">
              <w:rPr>
                <w:rFonts w:ascii="Times New Roman" w:hAnsi="Times New Roman"/>
                <w:sz w:val="24"/>
              </w:rPr>
              <w:t xml:space="preserve">334 nariadenia (EÚ) </w:t>
            </w:r>
            <w:r w:rsidR="009912F8" w:rsidRPr="00E07C9A">
              <w:rPr>
                <w:rFonts w:ascii="Times New Roman" w:hAnsi="Times New Roman"/>
                <w:sz w:val="24"/>
              </w:rPr>
              <w:t>č. 575/2013</w:t>
            </w:r>
          </w:p>
          <w:p w14:paraId="6C03F093" w14:textId="1E252912" w:rsidR="00C55547" w:rsidRPr="00E07C9A" w:rsidRDefault="00C55547" w:rsidP="00E64BFE">
            <w:pPr>
              <w:rPr>
                <w:rFonts w:ascii="Times New Roman" w:hAnsi="Times New Roman"/>
                <w:sz w:val="24"/>
              </w:rPr>
            </w:pPr>
            <w:r w:rsidRPr="00E07C9A">
              <w:rPr>
                <w:rFonts w:ascii="Times New Roman" w:hAnsi="Times New Roman"/>
                <w:sz w:val="24"/>
              </w:rPr>
              <w:t>Pokiaľ ide</w:t>
            </w:r>
            <w:r w:rsidR="009912F8" w:rsidRPr="00E07C9A">
              <w:rPr>
                <w:rFonts w:ascii="Times New Roman" w:hAnsi="Times New Roman"/>
                <w:sz w:val="24"/>
              </w:rPr>
              <w:t xml:space="preserve"> o </w:t>
            </w:r>
            <w:r w:rsidRPr="00E07C9A">
              <w:rPr>
                <w:rFonts w:ascii="Times New Roman" w:hAnsi="Times New Roman"/>
                <w:sz w:val="24"/>
              </w:rPr>
              <w:t>rozdiel medzi dlhými</w:t>
            </w:r>
            <w:r w:rsidR="009912F8" w:rsidRPr="00E07C9A">
              <w:rPr>
                <w:rFonts w:ascii="Times New Roman" w:hAnsi="Times New Roman"/>
                <w:sz w:val="24"/>
              </w:rPr>
              <w:t xml:space="preserve"> a </w:t>
            </w:r>
            <w:r w:rsidRPr="00E07C9A">
              <w:rPr>
                <w:rFonts w:ascii="Times New Roman" w:hAnsi="Times New Roman"/>
                <w:sz w:val="24"/>
              </w:rPr>
              <w:t xml:space="preserve">krátkymi pozíciami, pozri článok 328 ods. 2 nariadenia (EÚ) </w:t>
            </w:r>
            <w:r w:rsidR="009912F8" w:rsidRPr="00E07C9A">
              <w:rPr>
                <w:rFonts w:ascii="Times New Roman" w:hAnsi="Times New Roman"/>
                <w:sz w:val="24"/>
              </w:rPr>
              <w:t>č. 575/2013</w:t>
            </w:r>
            <w:r w:rsidRPr="00E07C9A">
              <w:rPr>
                <w:rFonts w:ascii="Times New Roman" w:hAnsi="Times New Roman"/>
                <w:sz w:val="24"/>
              </w:rPr>
              <w:t>.</w:t>
            </w:r>
          </w:p>
        </w:tc>
      </w:tr>
      <w:tr w:rsidR="00C55547" w:rsidRPr="00E07C9A" w14:paraId="6F83AB99" w14:textId="77777777" w:rsidTr="00E10B85">
        <w:tc>
          <w:tcPr>
            <w:tcW w:w="1016" w:type="dxa"/>
          </w:tcPr>
          <w:p w14:paraId="6DDF2435" w14:textId="77777777" w:rsidR="00C55547" w:rsidRPr="00E07C9A" w:rsidRDefault="002F79EA" w:rsidP="00543964">
            <w:pPr>
              <w:autoSpaceDE w:val="0"/>
              <w:autoSpaceDN w:val="0"/>
              <w:adjustRightInd w:val="0"/>
              <w:spacing w:before="0" w:after="0"/>
              <w:rPr>
                <w:rFonts w:ascii="Times New Roman" w:hAnsi="Times New Roman"/>
                <w:sz w:val="24"/>
              </w:rPr>
            </w:pPr>
            <w:r w:rsidRPr="00E07C9A">
              <w:rPr>
                <w:rFonts w:ascii="Times New Roman" w:hAnsi="Times New Roman"/>
                <w:sz w:val="24"/>
              </w:rPr>
              <w:t>0071 –⁠ 0097</w:t>
            </w:r>
          </w:p>
        </w:tc>
        <w:tc>
          <w:tcPr>
            <w:tcW w:w="7874" w:type="dxa"/>
          </w:tcPr>
          <w:p w14:paraId="247CF712" w14:textId="77777777" w:rsidR="00C55547" w:rsidRPr="00E07C9A" w:rsidRDefault="00C55547" w:rsidP="00E10B85">
            <w:pPr>
              <w:rPr>
                <w:rStyle w:val="InstructionsTabelleberschrift"/>
                <w:rFonts w:ascii="Times New Roman" w:hAnsi="Times New Roman"/>
                <w:sz w:val="24"/>
              </w:rPr>
            </w:pPr>
            <w:r w:rsidRPr="00E07C9A">
              <w:rPr>
                <w:rStyle w:val="InstructionsTabelleberschrift"/>
                <w:rFonts w:ascii="Times New Roman" w:hAnsi="Times New Roman"/>
                <w:sz w:val="24"/>
              </w:rPr>
              <w:t>ROZČLENENIE ČISTÝCH POZÍCIÍ PODĽA RIZIKOVÝCH VÁH</w:t>
            </w:r>
          </w:p>
          <w:p w14:paraId="691F4414" w14:textId="6C1E9465" w:rsidR="00C55547" w:rsidRPr="00E07C9A" w:rsidRDefault="00133396" w:rsidP="001F2389">
            <w:pPr>
              <w:rPr>
                <w:rFonts w:ascii="Times New Roman" w:hAnsi="Times New Roman"/>
                <w:sz w:val="24"/>
              </w:rPr>
            </w:pPr>
            <w:r w:rsidRPr="00E07C9A">
              <w:rPr>
                <w:rStyle w:val="InstructionsTabelleText"/>
                <w:rFonts w:ascii="Times New Roman" w:hAnsi="Times New Roman"/>
                <w:sz w:val="24"/>
              </w:rPr>
              <w:t>Články 259 až 262, článok 263 tabuľky 1</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2, článok 264 tabuľky 3</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4</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 xml:space="preserve">článok 266 </w:t>
            </w:r>
            <w:r w:rsidRPr="00E07C9A">
              <w:rPr>
                <w:rFonts w:ascii="Times New Roman" w:hAnsi="Times New Roman"/>
                <w:sz w:val="24"/>
              </w:rPr>
              <w:t xml:space="preserve">nariadenia (EÚ) </w:t>
            </w:r>
            <w:r w:rsidR="009912F8" w:rsidRPr="00E07C9A">
              <w:rPr>
                <w:rFonts w:ascii="Times New Roman" w:hAnsi="Times New Roman"/>
                <w:sz w:val="24"/>
              </w:rPr>
              <w:t>č. 575/2013</w:t>
            </w:r>
          </w:p>
        </w:tc>
      </w:tr>
      <w:tr w:rsidR="00C55547" w:rsidRPr="00E07C9A" w14:paraId="495D2FD0" w14:textId="77777777" w:rsidTr="00E10B85">
        <w:tc>
          <w:tcPr>
            <w:tcW w:w="1016" w:type="dxa"/>
          </w:tcPr>
          <w:p w14:paraId="295B01D9" w14:textId="77777777" w:rsidR="00C55547" w:rsidRPr="00E07C9A" w:rsidRDefault="002F79EA" w:rsidP="00921700">
            <w:pPr>
              <w:rPr>
                <w:rFonts w:ascii="Times New Roman" w:hAnsi="Times New Roman"/>
                <w:sz w:val="24"/>
              </w:rPr>
            </w:pPr>
            <w:r w:rsidRPr="00E07C9A">
              <w:rPr>
                <w:rFonts w:ascii="Times New Roman" w:hAnsi="Times New Roman"/>
                <w:sz w:val="24"/>
              </w:rPr>
              <w:t>0402 –⁠ 0406</w:t>
            </w:r>
          </w:p>
        </w:tc>
        <w:tc>
          <w:tcPr>
            <w:tcW w:w="7874" w:type="dxa"/>
          </w:tcPr>
          <w:p w14:paraId="23629FA6" w14:textId="77777777" w:rsidR="00C55547" w:rsidRPr="00E07C9A" w:rsidRDefault="00543964" w:rsidP="00E10B85">
            <w:pPr>
              <w:autoSpaceDE w:val="0"/>
              <w:autoSpaceDN w:val="0"/>
              <w:adjustRightInd w:val="0"/>
              <w:spacing w:before="0" w:after="0"/>
              <w:rPr>
                <w:rFonts w:ascii="Times New Roman" w:hAnsi="Times New Roman"/>
                <w:b/>
                <w:bCs/>
                <w:sz w:val="24"/>
                <w:u w:val="single"/>
              </w:rPr>
            </w:pPr>
            <w:r w:rsidRPr="00E07C9A">
              <w:rPr>
                <w:rFonts w:ascii="Times New Roman" w:hAnsi="Times New Roman"/>
                <w:b/>
                <w:sz w:val="24"/>
                <w:u w:val="single"/>
              </w:rPr>
              <w:t>ROZČLENENIE ČISTÝCH POZÍCIÍ PODĽA PRÍSTUPOV</w:t>
            </w:r>
          </w:p>
          <w:p w14:paraId="19937787" w14:textId="046374D2" w:rsidR="00C55547" w:rsidRPr="00E07C9A" w:rsidRDefault="00C55547" w:rsidP="0002267E">
            <w:pPr>
              <w:autoSpaceDE w:val="0"/>
              <w:autoSpaceDN w:val="0"/>
              <w:adjustRightInd w:val="0"/>
              <w:spacing w:before="0" w:after="0"/>
              <w:rPr>
                <w:rStyle w:val="InstructionsTabelleberschrift"/>
                <w:rFonts w:ascii="Times New Roman" w:hAnsi="Times New Roman"/>
                <w:sz w:val="24"/>
              </w:rPr>
            </w:pPr>
            <w:r w:rsidRPr="00E07C9A">
              <w:rPr>
                <w:rStyle w:val="InstructionsTabelleText"/>
                <w:rFonts w:ascii="Times New Roman" w:hAnsi="Times New Roman"/>
                <w:sz w:val="24"/>
              </w:rPr>
              <w:t xml:space="preserve">Článok 254 </w:t>
            </w:r>
            <w:r w:rsidRPr="00E07C9A">
              <w:rPr>
                <w:rFonts w:ascii="Times New Roman" w:hAnsi="Times New Roman"/>
                <w:sz w:val="24"/>
              </w:rPr>
              <w:t xml:space="preserve">nariadenia (EÚ) </w:t>
            </w:r>
            <w:r w:rsidR="009912F8" w:rsidRPr="00E07C9A">
              <w:rPr>
                <w:rFonts w:ascii="Times New Roman" w:hAnsi="Times New Roman"/>
                <w:sz w:val="24"/>
              </w:rPr>
              <w:t>č. 575/2013</w:t>
            </w:r>
            <w:r w:rsidRPr="00E07C9A">
              <w:rPr>
                <w:rStyle w:val="InstructionsTabelleText"/>
                <w:rFonts w:ascii="Times New Roman" w:hAnsi="Times New Roman"/>
                <w:sz w:val="24"/>
              </w:rPr>
              <w:t xml:space="preserve"> </w:t>
            </w:r>
          </w:p>
        </w:tc>
      </w:tr>
      <w:tr w:rsidR="00C55547" w:rsidRPr="00E07C9A" w14:paraId="18FE6247" w14:textId="77777777" w:rsidTr="00E10B85">
        <w:tc>
          <w:tcPr>
            <w:tcW w:w="1016" w:type="dxa"/>
          </w:tcPr>
          <w:p w14:paraId="17001A21" w14:textId="77777777" w:rsidR="00C55547" w:rsidRPr="00E07C9A" w:rsidRDefault="002F79EA" w:rsidP="00921700">
            <w:pPr>
              <w:rPr>
                <w:rFonts w:ascii="Times New Roman" w:hAnsi="Times New Roman"/>
                <w:sz w:val="24"/>
              </w:rPr>
            </w:pPr>
            <w:r w:rsidRPr="00E07C9A">
              <w:rPr>
                <w:rFonts w:ascii="Times New Roman" w:hAnsi="Times New Roman"/>
                <w:sz w:val="24"/>
              </w:rPr>
              <w:t>0402</w:t>
            </w:r>
          </w:p>
        </w:tc>
        <w:tc>
          <w:tcPr>
            <w:tcW w:w="7874" w:type="dxa"/>
          </w:tcPr>
          <w:p w14:paraId="79F7161D" w14:textId="77777777" w:rsidR="00C55547" w:rsidRPr="00E07C9A" w:rsidRDefault="00C55547" w:rsidP="00E10B85">
            <w:pPr>
              <w:autoSpaceDE w:val="0"/>
              <w:autoSpaceDN w:val="0"/>
              <w:adjustRightInd w:val="0"/>
              <w:spacing w:before="0" w:after="0"/>
              <w:rPr>
                <w:rFonts w:ascii="Times New Roman" w:hAnsi="Times New Roman"/>
                <w:b/>
                <w:bCs/>
                <w:sz w:val="24"/>
                <w:u w:val="single"/>
              </w:rPr>
            </w:pPr>
            <w:r w:rsidRPr="00E07C9A">
              <w:rPr>
                <w:rFonts w:ascii="Times New Roman" w:hAnsi="Times New Roman"/>
                <w:b/>
                <w:sz w:val="24"/>
                <w:u w:val="single"/>
              </w:rPr>
              <w:t>SEC-IRBA</w:t>
            </w:r>
          </w:p>
          <w:p w14:paraId="1718443C" w14:textId="759689C0" w:rsidR="00C55547" w:rsidRPr="00E07C9A" w:rsidRDefault="00C55547" w:rsidP="0002267E">
            <w:pPr>
              <w:autoSpaceDE w:val="0"/>
              <w:autoSpaceDN w:val="0"/>
              <w:adjustRightInd w:val="0"/>
              <w:jc w:val="left"/>
              <w:rPr>
                <w:rStyle w:val="InstructionsTabelleberschrift"/>
                <w:rFonts w:ascii="Times New Roman" w:hAnsi="Times New Roman"/>
                <w:sz w:val="24"/>
              </w:rPr>
            </w:pPr>
            <w:r w:rsidRPr="00E07C9A">
              <w:rPr>
                <w:rStyle w:val="InstructionsTabelleText"/>
                <w:rFonts w:ascii="Times New Roman" w:hAnsi="Times New Roman"/>
                <w:sz w:val="24"/>
              </w:rPr>
              <w:t>Články 259</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 xml:space="preserve">260 </w:t>
            </w:r>
            <w:r w:rsidRPr="00E07C9A">
              <w:rPr>
                <w:rFonts w:ascii="Times New Roman" w:hAnsi="Times New Roman"/>
                <w:sz w:val="24"/>
              </w:rPr>
              <w:t xml:space="preserve">nariadenia (EÚ) </w:t>
            </w:r>
            <w:r w:rsidR="009912F8" w:rsidRPr="00E07C9A">
              <w:rPr>
                <w:rFonts w:ascii="Times New Roman" w:hAnsi="Times New Roman"/>
                <w:sz w:val="24"/>
              </w:rPr>
              <w:t>č. 575/2013</w:t>
            </w:r>
          </w:p>
        </w:tc>
      </w:tr>
      <w:tr w:rsidR="00C55547" w:rsidRPr="00E07C9A" w14:paraId="35656008" w14:textId="77777777" w:rsidTr="00E10B85">
        <w:tc>
          <w:tcPr>
            <w:tcW w:w="1016" w:type="dxa"/>
          </w:tcPr>
          <w:p w14:paraId="720D0546" w14:textId="77777777" w:rsidR="00C55547" w:rsidRPr="00E07C9A" w:rsidRDefault="002F79EA" w:rsidP="00921700">
            <w:pPr>
              <w:rPr>
                <w:rFonts w:ascii="Times New Roman" w:hAnsi="Times New Roman"/>
                <w:sz w:val="24"/>
              </w:rPr>
            </w:pPr>
            <w:r w:rsidRPr="00E07C9A">
              <w:rPr>
                <w:rFonts w:ascii="Times New Roman" w:hAnsi="Times New Roman"/>
                <w:sz w:val="24"/>
              </w:rPr>
              <w:t>0403</w:t>
            </w:r>
          </w:p>
        </w:tc>
        <w:tc>
          <w:tcPr>
            <w:tcW w:w="7874" w:type="dxa"/>
          </w:tcPr>
          <w:p w14:paraId="78903335" w14:textId="77777777" w:rsidR="00C55547" w:rsidRPr="00E07C9A" w:rsidRDefault="00C55547" w:rsidP="00E10B85">
            <w:pPr>
              <w:autoSpaceDE w:val="0"/>
              <w:autoSpaceDN w:val="0"/>
              <w:adjustRightInd w:val="0"/>
              <w:spacing w:before="0" w:after="0"/>
              <w:rPr>
                <w:rFonts w:ascii="Times New Roman" w:hAnsi="Times New Roman"/>
                <w:b/>
                <w:bCs/>
                <w:sz w:val="24"/>
                <w:u w:val="single"/>
              </w:rPr>
            </w:pPr>
            <w:r w:rsidRPr="00E07C9A">
              <w:rPr>
                <w:rFonts w:ascii="Times New Roman" w:hAnsi="Times New Roman"/>
                <w:b/>
                <w:sz w:val="24"/>
                <w:u w:val="single"/>
              </w:rPr>
              <w:t>SEC-SA</w:t>
            </w:r>
          </w:p>
          <w:p w14:paraId="4F095DEE" w14:textId="55DC3376" w:rsidR="00C55547" w:rsidRPr="00E07C9A" w:rsidRDefault="00C55547" w:rsidP="0002267E">
            <w:pPr>
              <w:autoSpaceDE w:val="0"/>
              <w:autoSpaceDN w:val="0"/>
              <w:adjustRightInd w:val="0"/>
              <w:jc w:val="left"/>
              <w:rPr>
                <w:rStyle w:val="InstructionsTabelleberschrift"/>
                <w:rFonts w:ascii="Times New Roman" w:hAnsi="Times New Roman"/>
                <w:sz w:val="24"/>
              </w:rPr>
            </w:pPr>
            <w:r w:rsidRPr="00E07C9A">
              <w:rPr>
                <w:rStyle w:val="InstructionsTabelleText"/>
                <w:rFonts w:ascii="Times New Roman" w:hAnsi="Times New Roman"/>
                <w:sz w:val="24"/>
              </w:rPr>
              <w:t>Články 261</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 xml:space="preserve">262 </w:t>
            </w:r>
            <w:r w:rsidRPr="00E07C9A">
              <w:rPr>
                <w:rFonts w:ascii="Times New Roman" w:hAnsi="Times New Roman"/>
                <w:sz w:val="24"/>
              </w:rPr>
              <w:t xml:space="preserve">nariadenia (EÚ) </w:t>
            </w:r>
            <w:r w:rsidR="009912F8" w:rsidRPr="00E07C9A">
              <w:rPr>
                <w:rFonts w:ascii="Times New Roman" w:hAnsi="Times New Roman"/>
                <w:sz w:val="24"/>
              </w:rPr>
              <w:t>č. 575/2013</w:t>
            </w:r>
          </w:p>
        </w:tc>
      </w:tr>
      <w:tr w:rsidR="00C55547" w:rsidRPr="00E07C9A" w14:paraId="7B54B7CF" w14:textId="77777777" w:rsidTr="00E10B85">
        <w:tc>
          <w:tcPr>
            <w:tcW w:w="1016" w:type="dxa"/>
          </w:tcPr>
          <w:p w14:paraId="0D21F451" w14:textId="77777777" w:rsidR="00C55547" w:rsidRPr="00E07C9A" w:rsidRDefault="002F79EA" w:rsidP="00921700">
            <w:pPr>
              <w:rPr>
                <w:rFonts w:ascii="Times New Roman" w:hAnsi="Times New Roman"/>
                <w:sz w:val="24"/>
              </w:rPr>
            </w:pPr>
            <w:r w:rsidRPr="00E07C9A">
              <w:rPr>
                <w:rFonts w:ascii="Times New Roman" w:hAnsi="Times New Roman"/>
                <w:sz w:val="24"/>
              </w:rPr>
              <w:t>0404</w:t>
            </w:r>
          </w:p>
        </w:tc>
        <w:tc>
          <w:tcPr>
            <w:tcW w:w="7874" w:type="dxa"/>
          </w:tcPr>
          <w:p w14:paraId="6AA67FFF" w14:textId="77777777" w:rsidR="00C55547" w:rsidRPr="00E07C9A" w:rsidRDefault="00C55547" w:rsidP="00E10B85">
            <w:pPr>
              <w:autoSpaceDE w:val="0"/>
              <w:autoSpaceDN w:val="0"/>
              <w:adjustRightInd w:val="0"/>
              <w:spacing w:before="0" w:after="0"/>
              <w:rPr>
                <w:rFonts w:ascii="Times New Roman" w:hAnsi="Times New Roman"/>
                <w:b/>
                <w:bCs/>
                <w:sz w:val="24"/>
                <w:u w:val="single"/>
              </w:rPr>
            </w:pPr>
            <w:r w:rsidRPr="00E07C9A">
              <w:rPr>
                <w:rFonts w:ascii="Times New Roman" w:hAnsi="Times New Roman"/>
                <w:b/>
                <w:sz w:val="24"/>
                <w:u w:val="single"/>
              </w:rPr>
              <w:t>SEC-ERBA</w:t>
            </w:r>
          </w:p>
          <w:p w14:paraId="108938CD" w14:textId="0789F274" w:rsidR="00C55547" w:rsidRPr="00E07C9A" w:rsidRDefault="00C55547" w:rsidP="0002267E">
            <w:pPr>
              <w:autoSpaceDE w:val="0"/>
              <w:autoSpaceDN w:val="0"/>
              <w:adjustRightInd w:val="0"/>
              <w:jc w:val="left"/>
              <w:rPr>
                <w:rStyle w:val="InstructionsTabelleberschrift"/>
                <w:rFonts w:ascii="Times New Roman" w:hAnsi="Times New Roman"/>
                <w:sz w:val="24"/>
              </w:rPr>
            </w:pPr>
            <w:r w:rsidRPr="00E07C9A">
              <w:rPr>
                <w:rStyle w:val="InstructionsTabelleText"/>
                <w:rFonts w:ascii="Times New Roman" w:hAnsi="Times New Roman"/>
                <w:sz w:val="24"/>
              </w:rPr>
              <w:t>Články 263</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 xml:space="preserve">264 </w:t>
            </w:r>
            <w:r w:rsidRPr="00E07C9A">
              <w:rPr>
                <w:rFonts w:ascii="Times New Roman" w:hAnsi="Times New Roman"/>
                <w:sz w:val="24"/>
              </w:rPr>
              <w:t xml:space="preserve">nariadenia (EÚ) </w:t>
            </w:r>
            <w:r w:rsidR="009912F8" w:rsidRPr="00E07C9A">
              <w:rPr>
                <w:rFonts w:ascii="Times New Roman" w:hAnsi="Times New Roman"/>
                <w:sz w:val="24"/>
              </w:rPr>
              <w:t>č. 575/2013</w:t>
            </w:r>
          </w:p>
        </w:tc>
      </w:tr>
      <w:tr w:rsidR="00C55547" w:rsidRPr="00E07C9A" w14:paraId="7979A32D" w14:textId="77777777" w:rsidTr="00E10B85">
        <w:tc>
          <w:tcPr>
            <w:tcW w:w="1016" w:type="dxa"/>
          </w:tcPr>
          <w:p w14:paraId="7C1C67E6" w14:textId="77777777" w:rsidR="00C55547" w:rsidRPr="00E07C9A" w:rsidRDefault="002F79EA" w:rsidP="00921700">
            <w:pPr>
              <w:rPr>
                <w:rFonts w:ascii="Times New Roman" w:hAnsi="Times New Roman"/>
                <w:sz w:val="24"/>
              </w:rPr>
            </w:pPr>
            <w:r w:rsidRPr="00E07C9A">
              <w:rPr>
                <w:rFonts w:ascii="Times New Roman" w:hAnsi="Times New Roman"/>
                <w:sz w:val="24"/>
              </w:rPr>
              <w:t>0405</w:t>
            </w:r>
          </w:p>
        </w:tc>
        <w:tc>
          <w:tcPr>
            <w:tcW w:w="7874" w:type="dxa"/>
          </w:tcPr>
          <w:p w14:paraId="68CACB61" w14:textId="77777777" w:rsidR="00C55547" w:rsidRPr="00E07C9A" w:rsidRDefault="00C55547" w:rsidP="00E10B85">
            <w:pPr>
              <w:autoSpaceDE w:val="0"/>
              <w:autoSpaceDN w:val="0"/>
              <w:adjustRightInd w:val="0"/>
              <w:spacing w:before="0" w:after="0"/>
              <w:rPr>
                <w:rFonts w:ascii="Times New Roman" w:hAnsi="Times New Roman"/>
                <w:b/>
                <w:bCs/>
                <w:sz w:val="24"/>
                <w:u w:val="single"/>
              </w:rPr>
            </w:pPr>
            <w:r w:rsidRPr="00E07C9A">
              <w:rPr>
                <w:rFonts w:ascii="Times New Roman" w:hAnsi="Times New Roman"/>
                <w:b/>
                <w:sz w:val="24"/>
                <w:u w:val="single"/>
              </w:rPr>
              <w:t>PRÍSTUP INTERNÉHO HODNOTENIA</w:t>
            </w:r>
          </w:p>
          <w:p w14:paraId="46E92693" w14:textId="3D7F5E31" w:rsidR="00C55547" w:rsidRPr="00E07C9A" w:rsidRDefault="00C55547" w:rsidP="0002267E">
            <w:pPr>
              <w:autoSpaceDE w:val="0"/>
              <w:autoSpaceDN w:val="0"/>
              <w:adjustRightInd w:val="0"/>
              <w:jc w:val="left"/>
              <w:rPr>
                <w:rStyle w:val="InstructionsTabelleberschrift"/>
                <w:rFonts w:ascii="Times New Roman" w:hAnsi="Times New Roman"/>
                <w:sz w:val="24"/>
              </w:rPr>
            </w:pPr>
            <w:r w:rsidRPr="00E07C9A">
              <w:rPr>
                <w:rStyle w:val="InstructionsTabelleText"/>
                <w:rFonts w:ascii="Times New Roman" w:hAnsi="Times New Roman"/>
                <w:sz w:val="24"/>
              </w:rPr>
              <w:t>Články 254</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265</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článok 266 ods. 5</w:t>
            </w:r>
            <w:r w:rsidRPr="00E07C9A">
              <w:rPr>
                <w:rFonts w:ascii="Times New Roman" w:hAnsi="Times New Roman"/>
                <w:sz w:val="24"/>
              </w:rPr>
              <w:t xml:space="preserve">nariadenia (EÚ) </w:t>
            </w:r>
            <w:r w:rsidR="009912F8" w:rsidRPr="00E07C9A">
              <w:rPr>
                <w:rFonts w:ascii="Times New Roman" w:hAnsi="Times New Roman"/>
                <w:sz w:val="24"/>
              </w:rPr>
              <w:t>č. 575/2013</w:t>
            </w:r>
          </w:p>
        </w:tc>
      </w:tr>
      <w:tr w:rsidR="00A97C62" w:rsidRPr="00E07C9A" w14:paraId="412C0D2A" w14:textId="77777777" w:rsidTr="00E10B85">
        <w:tc>
          <w:tcPr>
            <w:tcW w:w="1016" w:type="dxa"/>
          </w:tcPr>
          <w:p w14:paraId="184EAC6C" w14:textId="26696219" w:rsidR="00A97C62" w:rsidRPr="00E07C9A" w:rsidRDefault="00A97C62" w:rsidP="00A97C62">
            <w:pPr>
              <w:rPr>
                <w:rFonts w:ascii="Times New Roman" w:hAnsi="Times New Roman"/>
                <w:sz w:val="24"/>
              </w:rPr>
            </w:pPr>
            <w:r w:rsidRPr="00E07C9A">
              <w:rPr>
                <w:rFonts w:ascii="Times New Roman" w:hAnsi="Times New Roman"/>
                <w:sz w:val="24"/>
              </w:rPr>
              <w:t>0900</w:t>
            </w:r>
          </w:p>
        </w:tc>
        <w:tc>
          <w:tcPr>
            <w:tcW w:w="7874" w:type="dxa"/>
          </w:tcPr>
          <w:p w14:paraId="33E51780" w14:textId="77777777" w:rsidR="00A97C62" w:rsidRPr="00E07C9A" w:rsidRDefault="00A97C62" w:rsidP="00A97C62">
            <w:pPr>
              <w:spacing w:before="0" w:after="0"/>
              <w:jc w:val="left"/>
              <w:rPr>
                <w:rFonts w:ascii="Times New Roman" w:hAnsi="Times New Roman"/>
                <w:b/>
                <w:sz w:val="24"/>
                <w:u w:val="single"/>
              </w:rPr>
            </w:pPr>
            <w:r w:rsidRPr="00E07C9A">
              <w:rPr>
                <w:rFonts w:ascii="Times New Roman" w:hAnsi="Times New Roman"/>
                <w:b/>
                <w:sz w:val="24"/>
                <w:u w:val="single"/>
              </w:rPr>
              <w:t>OSOBITNÉ ZAOBCHÁDZANIE PRE NADRIADENÉ TRANŽE KVALIFIKOVANÝCH SEKURITIZÁCIÍ PROBLÉMOVÝCH EXPOZÍCIÍ</w:t>
            </w:r>
          </w:p>
          <w:p w14:paraId="1D397AE3" w14:textId="62CF0FC4" w:rsidR="00A97C62" w:rsidRPr="00E07C9A" w:rsidRDefault="00A97C62" w:rsidP="001235ED">
            <w:pPr>
              <w:autoSpaceDE w:val="0"/>
              <w:autoSpaceDN w:val="0"/>
              <w:adjustRightInd w:val="0"/>
              <w:jc w:val="left"/>
              <w:rPr>
                <w:rFonts w:ascii="Times New Roman" w:hAnsi="Times New Roman"/>
                <w:b/>
                <w:bCs/>
                <w:sz w:val="24"/>
                <w:u w:val="single"/>
              </w:rPr>
            </w:pPr>
            <w:r w:rsidRPr="00E07C9A">
              <w:rPr>
                <w:rStyle w:val="InstructionsTabelleText"/>
                <w:rFonts w:ascii="Times New Roman" w:hAnsi="Times New Roman"/>
                <w:sz w:val="24"/>
              </w:rPr>
              <w:t>Článok 269a ods. 3</w:t>
            </w:r>
            <w:r w:rsidRPr="00E07C9A">
              <w:rPr>
                <w:rFonts w:ascii="Times New Roman" w:hAnsi="Times New Roman"/>
                <w:sz w:val="24"/>
              </w:rPr>
              <w:t xml:space="preserve"> nariadenia (EÚ) </w:t>
            </w:r>
            <w:r w:rsidR="009912F8" w:rsidRPr="00E07C9A">
              <w:rPr>
                <w:rFonts w:ascii="Times New Roman" w:hAnsi="Times New Roman"/>
                <w:sz w:val="24"/>
              </w:rPr>
              <w:t>č. 575/2013</w:t>
            </w:r>
          </w:p>
        </w:tc>
      </w:tr>
      <w:tr w:rsidR="00C55547" w:rsidRPr="00E07C9A" w14:paraId="5C0D49CC" w14:textId="77777777" w:rsidTr="00E10B85">
        <w:tc>
          <w:tcPr>
            <w:tcW w:w="1016" w:type="dxa"/>
          </w:tcPr>
          <w:p w14:paraId="4A75E404" w14:textId="77777777" w:rsidR="00C55547" w:rsidRPr="00E07C9A" w:rsidRDefault="002F79EA" w:rsidP="00921700">
            <w:pPr>
              <w:rPr>
                <w:rFonts w:ascii="Times New Roman" w:hAnsi="Times New Roman"/>
                <w:sz w:val="24"/>
              </w:rPr>
            </w:pPr>
            <w:r w:rsidRPr="00E07C9A">
              <w:rPr>
                <w:rFonts w:ascii="Times New Roman" w:hAnsi="Times New Roman"/>
                <w:sz w:val="24"/>
              </w:rPr>
              <w:t>0406</w:t>
            </w:r>
          </w:p>
        </w:tc>
        <w:tc>
          <w:tcPr>
            <w:tcW w:w="7874" w:type="dxa"/>
          </w:tcPr>
          <w:p w14:paraId="27B9523C" w14:textId="60E0913A" w:rsidR="00C55547" w:rsidRPr="00E07C9A" w:rsidRDefault="00C55547" w:rsidP="00E10B85">
            <w:pPr>
              <w:autoSpaceDE w:val="0"/>
              <w:autoSpaceDN w:val="0"/>
              <w:adjustRightInd w:val="0"/>
              <w:spacing w:before="0" w:after="0"/>
              <w:rPr>
                <w:rFonts w:ascii="Times New Roman" w:hAnsi="Times New Roman"/>
                <w:b/>
                <w:bCs/>
                <w:sz w:val="24"/>
                <w:u w:val="single"/>
              </w:rPr>
            </w:pPr>
            <w:r w:rsidRPr="00E07C9A">
              <w:rPr>
                <w:rFonts w:ascii="Times New Roman" w:hAnsi="Times New Roman"/>
                <w:b/>
                <w:sz w:val="24"/>
                <w:u w:val="single"/>
              </w:rPr>
              <w:t>INÉ (RW = 1 250</w:t>
            </w:r>
            <w:r w:rsidR="009912F8" w:rsidRPr="00E07C9A">
              <w:rPr>
                <w:rFonts w:ascii="Times New Roman" w:hAnsi="Times New Roman"/>
              </w:rPr>
              <w:t> %</w:t>
            </w:r>
            <w:r w:rsidRPr="00E07C9A">
              <w:rPr>
                <w:rFonts w:ascii="Times New Roman" w:hAnsi="Times New Roman"/>
                <w:b/>
                <w:sz w:val="24"/>
                <w:u w:val="single"/>
              </w:rPr>
              <w:t>)</w:t>
            </w:r>
          </w:p>
          <w:p w14:paraId="0B94870A" w14:textId="668E7978" w:rsidR="00C55547" w:rsidRPr="00E07C9A" w:rsidRDefault="00C55547" w:rsidP="0002267E">
            <w:pPr>
              <w:autoSpaceDE w:val="0"/>
              <w:autoSpaceDN w:val="0"/>
              <w:adjustRightInd w:val="0"/>
              <w:jc w:val="left"/>
              <w:rPr>
                <w:rStyle w:val="InstructionsTabelleberschrift"/>
                <w:rFonts w:ascii="Times New Roman" w:hAnsi="Times New Roman"/>
                <w:sz w:val="24"/>
              </w:rPr>
            </w:pPr>
            <w:r w:rsidRPr="00E07C9A">
              <w:rPr>
                <w:rStyle w:val="InstructionsTabelleText"/>
                <w:rFonts w:ascii="Times New Roman" w:hAnsi="Times New Roman"/>
                <w:sz w:val="24"/>
              </w:rPr>
              <w:t xml:space="preserve">Článok 254 ods. 7 </w:t>
            </w:r>
            <w:r w:rsidRPr="00E07C9A">
              <w:rPr>
                <w:rFonts w:ascii="Times New Roman" w:hAnsi="Times New Roman"/>
                <w:sz w:val="24"/>
              </w:rPr>
              <w:t xml:space="preserve">nariadenia (EÚ) </w:t>
            </w:r>
            <w:r w:rsidR="009912F8" w:rsidRPr="00E07C9A">
              <w:rPr>
                <w:rFonts w:ascii="Times New Roman" w:hAnsi="Times New Roman"/>
                <w:sz w:val="24"/>
              </w:rPr>
              <w:t>č. 575/2013</w:t>
            </w:r>
          </w:p>
        </w:tc>
      </w:tr>
      <w:tr w:rsidR="00C55547" w:rsidRPr="00E07C9A" w14:paraId="16A48520" w14:textId="77777777" w:rsidTr="00E10B85">
        <w:tc>
          <w:tcPr>
            <w:tcW w:w="1016" w:type="dxa"/>
          </w:tcPr>
          <w:p w14:paraId="04D4F5AC" w14:textId="77777777" w:rsidR="00C55547" w:rsidRPr="00E07C9A" w:rsidRDefault="002F79EA" w:rsidP="0002267E">
            <w:pPr>
              <w:rPr>
                <w:rFonts w:ascii="Times New Roman" w:hAnsi="Times New Roman"/>
                <w:sz w:val="24"/>
              </w:rPr>
            </w:pPr>
            <w:r w:rsidRPr="00E07C9A">
              <w:rPr>
                <w:rFonts w:ascii="Times New Roman" w:hAnsi="Times New Roman"/>
                <w:sz w:val="24"/>
              </w:rPr>
              <w:t>0410 –⁠ 0420</w:t>
            </w:r>
          </w:p>
        </w:tc>
        <w:tc>
          <w:tcPr>
            <w:tcW w:w="7874" w:type="dxa"/>
          </w:tcPr>
          <w:p w14:paraId="78E183CC" w14:textId="77777777" w:rsidR="00C55547" w:rsidRPr="00E07C9A" w:rsidRDefault="00C55547" w:rsidP="00E10B85">
            <w:pPr>
              <w:rPr>
                <w:rStyle w:val="InstructionsTabelleberschrift"/>
                <w:rFonts w:ascii="Times New Roman" w:hAnsi="Times New Roman"/>
                <w:sz w:val="24"/>
              </w:rPr>
            </w:pPr>
            <w:r w:rsidRPr="00E07C9A">
              <w:rPr>
                <w:rStyle w:val="InstructionsTabelleberschrift"/>
                <w:rFonts w:ascii="Times New Roman" w:hAnsi="Times New Roman"/>
                <w:sz w:val="24"/>
              </w:rPr>
              <w:t>PRED HORNÝM OHRANIČENÍM – VÁŽENÉ ČISTÉ DLHÉ/KRÁTKE POZÍCIE</w:t>
            </w:r>
          </w:p>
          <w:p w14:paraId="7E8A31C6" w14:textId="08DB2B10" w:rsidR="00C55547" w:rsidRPr="00E07C9A" w:rsidRDefault="00C55547" w:rsidP="007062FD">
            <w:pPr>
              <w:rPr>
                <w:rFonts w:ascii="Times New Roman" w:hAnsi="Times New Roman"/>
                <w:sz w:val="24"/>
              </w:rPr>
            </w:pPr>
            <w:r w:rsidRPr="00E07C9A">
              <w:rPr>
                <w:rFonts w:ascii="Times New Roman" w:hAnsi="Times New Roman"/>
                <w:sz w:val="24"/>
              </w:rPr>
              <w:t xml:space="preserve">Článok 338 nariadenia (EÚ) </w:t>
            </w:r>
            <w:r w:rsidR="009912F8" w:rsidRPr="00E07C9A">
              <w:rPr>
                <w:rFonts w:ascii="Times New Roman" w:hAnsi="Times New Roman"/>
                <w:sz w:val="24"/>
              </w:rPr>
              <w:t>č. 575/2013</w:t>
            </w:r>
            <w:r w:rsidRPr="00E07C9A">
              <w:rPr>
                <w:rFonts w:ascii="Times New Roman" w:hAnsi="Times New Roman"/>
                <w:sz w:val="24"/>
              </w:rPr>
              <w:t xml:space="preserve"> bez zohľadnenia možnosti podľa článku 335 uvedeného nariadenia. </w:t>
            </w:r>
          </w:p>
        </w:tc>
      </w:tr>
      <w:tr w:rsidR="00C55547" w:rsidRPr="00E07C9A" w14:paraId="566ACCB3" w14:textId="77777777" w:rsidTr="00E10B85">
        <w:tc>
          <w:tcPr>
            <w:tcW w:w="1016" w:type="dxa"/>
          </w:tcPr>
          <w:p w14:paraId="4093CA68" w14:textId="77777777" w:rsidR="00C55547" w:rsidRPr="00E07C9A" w:rsidRDefault="002F79EA" w:rsidP="0002267E">
            <w:pPr>
              <w:rPr>
                <w:rFonts w:ascii="Times New Roman" w:hAnsi="Times New Roman"/>
                <w:sz w:val="24"/>
              </w:rPr>
            </w:pPr>
            <w:r w:rsidRPr="00E07C9A">
              <w:rPr>
                <w:rFonts w:ascii="Times New Roman" w:hAnsi="Times New Roman"/>
                <w:sz w:val="24"/>
              </w:rPr>
              <w:t>0430 – 0440</w:t>
            </w:r>
          </w:p>
        </w:tc>
        <w:tc>
          <w:tcPr>
            <w:tcW w:w="7874" w:type="dxa"/>
          </w:tcPr>
          <w:p w14:paraId="00C8D0F3" w14:textId="77777777" w:rsidR="00C55547" w:rsidRPr="00E07C9A" w:rsidRDefault="00C55547" w:rsidP="00E10B85">
            <w:pPr>
              <w:rPr>
                <w:rStyle w:val="InstructionsTabelleberschrift"/>
                <w:rFonts w:ascii="Times New Roman" w:hAnsi="Times New Roman"/>
                <w:sz w:val="24"/>
              </w:rPr>
            </w:pPr>
            <w:r w:rsidRPr="00E07C9A">
              <w:rPr>
                <w:rStyle w:val="InstructionsTabelleberschrift"/>
                <w:rFonts w:ascii="Times New Roman" w:hAnsi="Times New Roman"/>
                <w:sz w:val="24"/>
              </w:rPr>
              <w:t>PO HORNOM OHRANIČENÍ – VÁŽENÉ ČISTÉ DLHÉ/KRÁTKE POZÍCIE</w:t>
            </w:r>
          </w:p>
          <w:p w14:paraId="3304B399" w14:textId="06FB0215" w:rsidR="00C55547" w:rsidRPr="00E07C9A" w:rsidRDefault="00C55547" w:rsidP="007062FD">
            <w:pPr>
              <w:rPr>
                <w:rFonts w:ascii="Times New Roman" w:hAnsi="Times New Roman"/>
                <w:sz w:val="24"/>
              </w:rPr>
            </w:pPr>
            <w:r w:rsidRPr="00E07C9A">
              <w:rPr>
                <w:rFonts w:ascii="Times New Roman" w:hAnsi="Times New Roman"/>
                <w:sz w:val="24"/>
              </w:rPr>
              <w:t xml:space="preserve">Článok 338 nariadenia (EÚ) </w:t>
            </w:r>
            <w:r w:rsidR="009912F8" w:rsidRPr="00E07C9A">
              <w:rPr>
                <w:rFonts w:ascii="Times New Roman" w:hAnsi="Times New Roman"/>
                <w:sz w:val="24"/>
              </w:rPr>
              <w:t>č. 575/2013</w:t>
            </w:r>
            <w:r w:rsidRPr="00E07C9A">
              <w:rPr>
                <w:rFonts w:ascii="Times New Roman" w:hAnsi="Times New Roman"/>
                <w:sz w:val="24"/>
              </w:rPr>
              <w:t xml:space="preserve"> so zohľadnením možnosti podľa článku 335 uvedeného nariadenia. </w:t>
            </w:r>
          </w:p>
        </w:tc>
      </w:tr>
      <w:tr w:rsidR="00C55547" w:rsidRPr="00E07C9A" w14:paraId="23063B74" w14:textId="77777777" w:rsidTr="00E10B85">
        <w:tc>
          <w:tcPr>
            <w:tcW w:w="1016" w:type="dxa"/>
          </w:tcPr>
          <w:p w14:paraId="5A3BC562" w14:textId="77777777" w:rsidR="00C55547" w:rsidRPr="00E07C9A" w:rsidRDefault="002F79EA" w:rsidP="0002267E">
            <w:pPr>
              <w:rPr>
                <w:rFonts w:ascii="Times New Roman" w:hAnsi="Times New Roman"/>
                <w:sz w:val="24"/>
              </w:rPr>
            </w:pPr>
            <w:r w:rsidRPr="00E07C9A">
              <w:rPr>
                <w:rFonts w:ascii="Times New Roman" w:hAnsi="Times New Roman"/>
                <w:sz w:val="24"/>
              </w:rPr>
              <w:t>0450</w:t>
            </w:r>
          </w:p>
        </w:tc>
        <w:tc>
          <w:tcPr>
            <w:tcW w:w="7874" w:type="dxa"/>
          </w:tcPr>
          <w:p w14:paraId="4210145F" w14:textId="77777777" w:rsidR="00C55547" w:rsidRPr="00E07C9A" w:rsidRDefault="00C55547" w:rsidP="00E10B85">
            <w:pPr>
              <w:rPr>
                <w:rStyle w:val="InstructionsTabelleberschrift"/>
                <w:rFonts w:ascii="Times New Roman" w:hAnsi="Times New Roman"/>
                <w:sz w:val="24"/>
              </w:rPr>
            </w:pPr>
            <w:r w:rsidRPr="00E07C9A">
              <w:rPr>
                <w:rStyle w:val="InstructionsTabelleberschrift"/>
                <w:rFonts w:ascii="Times New Roman" w:hAnsi="Times New Roman"/>
                <w:sz w:val="24"/>
              </w:rPr>
              <w:t>POŽIADAVKY NA CELKOVÉ VLASTNÉ ZDROJE</w:t>
            </w:r>
          </w:p>
          <w:p w14:paraId="7DEA5D32" w14:textId="39DEC6F2" w:rsidR="00C55547" w:rsidRPr="00E07C9A" w:rsidRDefault="00C55547" w:rsidP="00E10B85">
            <w:pPr>
              <w:rPr>
                <w:rFonts w:ascii="Times New Roman" w:hAnsi="Times New Roman"/>
                <w:sz w:val="24"/>
              </w:rPr>
            </w:pPr>
            <w:r w:rsidRPr="00E07C9A">
              <w:rPr>
                <w:rFonts w:ascii="Times New Roman" w:hAnsi="Times New Roman"/>
                <w:sz w:val="24"/>
              </w:rPr>
              <w:t>Požiadavka na vlastné zdroje sa určuje ako väčšia</w:t>
            </w:r>
            <w:r w:rsidR="009912F8" w:rsidRPr="00E07C9A">
              <w:rPr>
                <w:rFonts w:ascii="Times New Roman" w:hAnsi="Times New Roman"/>
                <w:sz w:val="24"/>
              </w:rPr>
              <w:t xml:space="preserve"> z </w:t>
            </w:r>
            <w:r w:rsidRPr="00E07C9A">
              <w:rPr>
                <w:rFonts w:ascii="Times New Roman" w:hAnsi="Times New Roman"/>
                <w:sz w:val="24"/>
              </w:rPr>
              <w:t>týchto hodnôt: i) požiadavka na krytie špecifického rizika, ktorá by sa uplatňovala len na čisté dlhé pozície (stĺpec 0430), alebo ii) požiadavka na krytie špecifického rizika, ktorá by sa uplatňovala len na čisté krátke pozície (stĺpec 0440).</w:t>
            </w:r>
          </w:p>
        </w:tc>
      </w:tr>
    </w:tbl>
    <w:p w14:paraId="4123A762" w14:textId="77777777" w:rsidR="00C55547" w:rsidRPr="00E07C9A" w:rsidRDefault="00C55547" w:rsidP="00C55547">
      <w:pPr>
        <w:autoSpaceDE w:val="0"/>
        <w:autoSpaceDN w:val="0"/>
        <w:adjustRightInd w:val="0"/>
        <w:spacing w:before="0" w:after="0"/>
        <w:rPr>
          <w:rFonts w:ascii="Times New Roman" w:hAnsi="Times New Roman"/>
          <w:sz w:val="24"/>
          <w:lang w:eastAsia="nl-BE"/>
        </w:rPr>
      </w:pPr>
    </w:p>
    <w:p w14:paraId="0FD93711" w14:textId="77777777" w:rsidR="00C55547" w:rsidRPr="00E07C9A"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4"/>
        <w:gridCol w:w="8058"/>
      </w:tblGrid>
      <w:tr w:rsidR="00C55547" w:rsidRPr="00E07C9A" w14:paraId="0C05A0C6" w14:textId="77777777" w:rsidTr="00E10B85">
        <w:trPr>
          <w:trHeight w:val="642"/>
        </w:trPr>
        <w:tc>
          <w:tcPr>
            <w:tcW w:w="9212" w:type="dxa"/>
            <w:gridSpan w:val="2"/>
            <w:shd w:val="clear" w:color="auto" w:fill="CCCCCC"/>
          </w:tcPr>
          <w:p w14:paraId="1B224033" w14:textId="77777777" w:rsidR="00C55547" w:rsidRPr="00E07C9A" w:rsidRDefault="00C55547" w:rsidP="00E10B85">
            <w:pPr>
              <w:autoSpaceDE w:val="0"/>
              <w:autoSpaceDN w:val="0"/>
              <w:adjustRightInd w:val="0"/>
              <w:spacing w:after="0"/>
              <w:rPr>
                <w:rFonts w:ascii="Times New Roman" w:hAnsi="Times New Roman"/>
                <w:b/>
                <w:sz w:val="24"/>
              </w:rPr>
            </w:pPr>
            <w:r w:rsidRPr="00E07C9A">
              <w:rPr>
                <w:rFonts w:ascii="Times New Roman" w:hAnsi="Times New Roman"/>
                <w:b/>
                <w:sz w:val="24"/>
              </w:rPr>
              <w:t>Riadky</w:t>
            </w:r>
          </w:p>
        </w:tc>
      </w:tr>
      <w:tr w:rsidR="00C55547" w:rsidRPr="00E07C9A" w14:paraId="51303CB0" w14:textId="77777777" w:rsidTr="00E10B85">
        <w:tc>
          <w:tcPr>
            <w:tcW w:w="1008" w:type="dxa"/>
          </w:tcPr>
          <w:p w14:paraId="4EF580E7" w14:textId="77777777" w:rsidR="00C55547" w:rsidRPr="00E07C9A" w:rsidRDefault="002F79EA"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0010</w:t>
            </w:r>
          </w:p>
        </w:tc>
        <w:tc>
          <w:tcPr>
            <w:tcW w:w="8204" w:type="dxa"/>
          </w:tcPr>
          <w:p w14:paraId="3B5F07DE" w14:textId="77777777" w:rsidR="00C55547" w:rsidRPr="00E07C9A" w:rsidRDefault="00C55547" w:rsidP="00E10B85">
            <w:pPr>
              <w:rPr>
                <w:rStyle w:val="InstructionsTabelleberschrift"/>
                <w:rFonts w:ascii="Times New Roman" w:hAnsi="Times New Roman"/>
                <w:sz w:val="24"/>
              </w:rPr>
            </w:pPr>
            <w:r w:rsidRPr="00E07C9A">
              <w:rPr>
                <w:rStyle w:val="InstructionsTabelleberschrift"/>
                <w:rFonts w:ascii="Times New Roman" w:hAnsi="Times New Roman"/>
                <w:sz w:val="24"/>
              </w:rPr>
              <w:t>CELKOVÉ EXPOZÍCIE</w:t>
            </w:r>
          </w:p>
          <w:p w14:paraId="47BDA358" w14:textId="422B9A4C" w:rsidR="00C55547" w:rsidRPr="00E07C9A" w:rsidRDefault="00C55547" w:rsidP="00E10B85">
            <w:pPr>
              <w:rPr>
                <w:rFonts w:ascii="Times New Roman" w:hAnsi="Times New Roman"/>
                <w:sz w:val="24"/>
              </w:rPr>
            </w:pPr>
            <w:r w:rsidRPr="00E07C9A">
              <w:rPr>
                <w:rFonts w:ascii="Times New Roman" w:hAnsi="Times New Roman"/>
                <w:sz w:val="24"/>
              </w:rPr>
              <w:t>Celková hodnota zostávajúcich pozícií (držaných</w:t>
            </w:r>
            <w:r w:rsidR="009912F8" w:rsidRPr="00E07C9A">
              <w:rPr>
                <w:rFonts w:ascii="Times New Roman" w:hAnsi="Times New Roman"/>
                <w:sz w:val="24"/>
              </w:rPr>
              <w:t xml:space="preserve"> v </w:t>
            </w:r>
            <w:r w:rsidRPr="00E07C9A">
              <w:rPr>
                <w:rFonts w:ascii="Times New Roman" w:hAnsi="Times New Roman"/>
                <w:sz w:val="24"/>
              </w:rPr>
              <w:t>korelačnom obchodnom portfóliu) vykázaných inštitúciou, ktorá zohráva úlohu originátora, investora alebo sponzora.</w:t>
            </w:r>
          </w:p>
        </w:tc>
      </w:tr>
      <w:tr w:rsidR="00C55547" w:rsidRPr="00E07C9A" w14:paraId="4F9E3B66" w14:textId="77777777" w:rsidTr="00E10B85">
        <w:tc>
          <w:tcPr>
            <w:tcW w:w="1008" w:type="dxa"/>
          </w:tcPr>
          <w:p w14:paraId="4294FDFC" w14:textId="77777777" w:rsidR="00C55547" w:rsidRPr="00E07C9A" w:rsidRDefault="002F79EA"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0020 – 0040</w:t>
            </w:r>
          </w:p>
        </w:tc>
        <w:tc>
          <w:tcPr>
            <w:tcW w:w="8204" w:type="dxa"/>
          </w:tcPr>
          <w:p w14:paraId="68E0826A" w14:textId="77777777" w:rsidR="00C55547" w:rsidRPr="00E07C9A" w:rsidRDefault="00C55547" w:rsidP="00E10B85">
            <w:pPr>
              <w:rPr>
                <w:rStyle w:val="InstructionsTabelleberschrift"/>
                <w:rFonts w:ascii="Times New Roman" w:hAnsi="Times New Roman"/>
                <w:sz w:val="24"/>
              </w:rPr>
            </w:pPr>
            <w:r w:rsidRPr="00E07C9A">
              <w:rPr>
                <w:rStyle w:val="InstructionsTabelleberschrift"/>
                <w:rFonts w:ascii="Times New Roman" w:hAnsi="Times New Roman"/>
                <w:sz w:val="24"/>
              </w:rPr>
              <w:t>ORIGINÁTOR</w:t>
            </w:r>
          </w:p>
          <w:p w14:paraId="07F7FC7F" w14:textId="1696C1F4" w:rsidR="00C55547" w:rsidRPr="00E07C9A" w:rsidRDefault="00C55547" w:rsidP="001F2389">
            <w:pPr>
              <w:rPr>
                <w:rFonts w:ascii="Times New Roman" w:hAnsi="Times New Roman"/>
                <w:sz w:val="24"/>
              </w:rPr>
            </w:pPr>
            <w:r w:rsidRPr="00E07C9A">
              <w:rPr>
                <w:rFonts w:ascii="Times New Roman" w:hAnsi="Times New Roman"/>
                <w:sz w:val="24"/>
              </w:rPr>
              <w:t xml:space="preserve">Článok 4 ods. 1 bod 13 nariadenia (EÚ) </w:t>
            </w:r>
            <w:r w:rsidR="009912F8" w:rsidRPr="00E07C9A">
              <w:rPr>
                <w:rFonts w:ascii="Times New Roman" w:hAnsi="Times New Roman"/>
                <w:sz w:val="24"/>
              </w:rPr>
              <w:t>č. 575/2013</w:t>
            </w:r>
            <w:r w:rsidRPr="00E07C9A">
              <w:rPr>
                <w:rFonts w:ascii="Times New Roman" w:hAnsi="Times New Roman"/>
                <w:sz w:val="24"/>
              </w:rPr>
              <w:t xml:space="preserve"> </w:t>
            </w:r>
          </w:p>
        </w:tc>
      </w:tr>
      <w:tr w:rsidR="00C55547" w:rsidRPr="00E07C9A" w14:paraId="1113CFCE" w14:textId="77777777" w:rsidTr="00E10B85">
        <w:tc>
          <w:tcPr>
            <w:tcW w:w="1008" w:type="dxa"/>
          </w:tcPr>
          <w:p w14:paraId="045998CB" w14:textId="77777777" w:rsidR="00C55547" w:rsidRPr="00E07C9A" w:rsidRDefault="002F79EA"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0050 – 0070</w:t>
            </w:r>
          </w:p>
        </w:tc>
        <w:tc>
          <w:tcPr>
            <w:tcW w:w="8204" w:type="dxa"/>
          </w:tcPr>
          <w:p w14:paraId="7C4743F6" w14:textId="77777777" w:rsidR="00C55547" w:rsidRPr="00E07C9A" w:rsidRDefault="00C55547" w:rsidP="00E10B85">
            <w:pPr>
              <w:rPr>
                <w:rStyle w:val="InstructionsTabelleberschrift"/>
                <w:rFonts w:ascii="Times New Roman" w:hAnsi="Times New Roman"/>
                <w:sz w:val="24"/>
              </w:rPr>
            </w:pPr>
            <w:r w:rsidRPr="00E07C9A">
              <w:rPr>
                <w:rStyle w:val="InstructionsTabelleberschrift"/>
                <w:rFonts w:ascii="Times New Roman" w:hAnsi="Times New Roman"/>
                <w:sz w:val="24"/>
              </w:rPr>
              <w:t>INVESTOR</w:t>
            </w:r>
          </w:p>
          <w:p w14:paraId="5507389D" w14:textId="55172C88" w:rsidR="00C55547" w:rsidRPr="00E07C9A" w:rsidRDefault="00C55547">
            <w:pPr>
              <w:rPr>
                <w:rFonts w:ascii="Times New Roman" w:hAnsi="Times New Roman"/>
                <w:sz w:val="24"/>
              </w:rPr>
            </w:pPr>
            <w:r w:rsidRPr="00E07C9A">
              <w:rPr>
                <w:rFonts w:ascii="Times New Roman" w:hAnsi="Times New Roman"/>
                <w:sz w:val="24"/>
              </w:rPr>
              <w:t>Úverová inštitúcia, ktorá drží sekuritizačné pozície</w:t>
            </w:r>
            <w:r w:rsidR="009912F8" w:rsidRPr="00E07C9A">
              <w:rPr>
                <w:rFonts w:ascii="Times New Roman" w:hAnsi="Times New Roman"/>
                <w:sz w:val="24"/>
              </w:rPr>
              <w:t xml:space="preserve"> v </w:t>
            </w:r>
            <w:r w:rsidRPr="00E07C9A">
              <w:rPr>
                <w:rFonts w:ascii="Times New Roman" w:hAnsi="Times New Roman"/>
                <w:sz w:val="24"/>
              </w:rPr>
              <w:t>sekuritizačnej transakcii,</w:t>
            </w:r>
            <w:r w:rsidR="009912F8" w:rsidRPr="00E07C9A">
              <w:rPr>
                <w:rFonts w:ascii="Times New Roman" w:hAnsi="Times New Roman"/>
                <w:sz w:val="24"/>
              </w:rPr>
              <w:t xml:space="preserve"> v </w:t>
            </w:r>
            <w:r w:rsidRPr="00E07C9A">
              <w:rPr>
                <w:rFonts w:ascii="Times New Roman" w:hAnsi="Times New Roman"/>
                <w:sz w:val="24"/>
              </w:rPr>
              <w:t>ktorej nie je originátorom, sponzorom ani pôvodným veriteľom.</w:t>
            </w:r>
          </w:p>
        </w:tc>
      </w:tr>
      <w:tr w:rsidR="00C55547" w:rsidRPr="00E07C9A" w14:paraId="3AE4557E" w14:textId="77777777" w:rsidTr="00E10B85">
        <w:tc>
          <w:tcPr>
            <w:tcW w:w="1008" w:type="dxa"/>
          </w:tcPr>
          <w:p w14:paraId="4017D379" w14:textId="77777777" w:rsidR="00C55547" w:rsidRPr="00E07C9A" w:rsidRDefault="002F79EA"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0080 – 0100</w:t>
            </w:r>
          </w:p>
        </w:tc>
        <w:tc>
          <w:tcPr>
            <w:tcW w:w="8204" w:type="dxa"/>
          </w:tcPr>
          <w:p w14:paraId="6D18A74A" w14:textId="77777777" w:rsidR="00C55547" w:rsidRPr="00E07C9A" w:rsidRDefault="00C55547" w:rsidP="00E10B85">
            <w:pPr>
              <w:rPr>
                <w:rStyle w:val="InstructionsTabelleberschrift"/>
                <w:rFonts w:ascii="Times New Roman" w:hAnsi="Times New Roman"/>
                <w:sz w:val="24"/>
              </w:rPr>
            </w:pPr>
            <w:r w:rsidRPr="00E07C9A">
              <w:rPr>
                <w:rStyle w:val="InstructionsTabelleberschrift"/>
                <w:rFonts w:ascii="Times New Roman" w:hAnsi="Times New Roman"/>
                <w:sz w:val="24"/>
              </w:rPr>
              <w:t>SPONZOR</w:t>
            </w:r>
          </w:p>
          <w:p w14:paraId="5CFA25AF" w14:textId="55ACD944" w:rsidR="009912F8" w:rsidRPr="00E07C9A" w:rsidRDefault="00E64BFE" w:rsidP="001E0C80">
            <w:pPr>
              <w:rPr>
                <w:rFonts w:ascii="Times New Roman" w:hAnsi="Times New Roman"/>
                <w:sz w:val="24"/>
              </w:rPr>
            </w:pPr>
            <w:r w:rsidRPr="00E07C9A">
              <w:rPr>
                <w:rFonts w:ascii="Times New Roman" w:hAnsi="Times New Roman"/>
                <w:sz w:val="24"/>
              </w:rPr>
              <w:t xml:space="preserve"> Článok 4 ods. 1 bod 14 nariadenia (EÚ) </w:t>
            </w:r>
            <w:r w:rsidR="009912F8" w:rsidRPr="00E07C9A">
              <w:rPr>
                <w:rFonts w:ascii="Times New Roman" w:hAnsi="Times New Roman"/>
                <w:sz w:val="24"/>
              </w:rPr>
              <w:t>č. 575/2013</w:t>
            </w:r>
          </w:p>
          <w:p w14:paraId="7911CCA2" w14:textId="5E722B76" w:rsidR="00C55547" w:rsidRPr="00E07C9A" w:rsidRDefault="005F3BBE" w:rsidP="005F3BBE">
            <w:pPr>
              <w:rPr>
                <w:rFonts w:ascii="Times New Roman" w:hAnsi="Times New Roman"/>
                <w:sz w:val="24"/>
              </w:rPr>
            </w:pPr>
            <w:r w:rsidRPr="00E07C9A">
              <w:rPr>
                <w:rFonts w:ascii="Times New Roman" w:hAnsi="Times New Roman"/>
                <w:sz w:val="24"/>
              </w:rPr>
              <w:t>Sponzor, ktorý zároveň sekuritizuje svoje vlastné aktíva,</w:t>
            </w:r>
            <w:r w:rsidR="009912F8" w:rsidRPr="00E07C9A">
              <w:rPr>
                <w:rFonts w:ascii="Times New Roman" w:hAnsi="Times New Roman"/>
                <w:sz w:val="24"/>
              </w:rPr>
              <w:t xml:space="preserve"> v </w:t>
            </w:r>
            <w:r w:rsidRPr="00E07C9A">
              <w:rPr>
                <w:rFonts w:ascii="Times New Roman" w:hAnsi="Times New Roman"/>
                <w:sz w:val="24"/>
              </w:rPr>
              <w:t>riadkoch originátora uvedie informácie týkajúce sa svojich vlastných sekuritizovaných aktív.</w:t>
            </w:r>
          </w:p>
        </w:tc>
      </w:tr>
      <w:tr w:rsidR="00C55547" w:rsidRPr="00E07C9A" w14:paraId="5A0251A3" w14:textId="77777777" w:rsidTr="00E10B85">
        <w:tc>
          <w:tcPr>
            <w:tcW w:w="1008" w:type="dxa"/>
          </w:tcPr>
          <w:p w14:paraId="64B09950" w14:textId="63F8559E" w:rsidR="00C55547" w:rsidRPr="00E07C9A" w:rsidRDefault="002F79EA"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0030, 0060</w:t>
            </w:r>
            <w:r w:rsidR="009912F8" w:rsidRPr="00E07C9A">
              <w:rPr>
                <w:rFonts w:ascii="Times New Roman" w:hAnsi="Times New Roman"/>
                <w:sz w:val="24"/>
              </w:rPr>
              <w:t xml:space="preserve"> a </w:t>
            </w:r>
            <w:r w:rsidRPr="00E07C9A">
              <w:rPr>
                <w:rFonts w:ascii="Times New Roman" w:hAnsi="Times New Roman"/>
                <w:sz w:val="24"/>
              </w:rPr>
              <w:t>0090</w:t>
            </w:r>
          </w:p>
        </w:tc>
        <w:tc>
          <w:tcPr>
            <w:tcW w:w="8204" w:type="dxa"/>
          </w:tcPr>
          <w:p w14:paraId="65F68A65" w14:textId="77777777" w:rsidR="00C55547" w:rsidRPr="00E07C9A" w:rsidRDefault="00C55547" w:rsidP="00E10B85">
            <w:pPr>
              <w:rPr>
                <w:rStyle w:val="InstructionsTabelleberschrift"/>
                <w:rFonts w:ascii="Times New Roman" w:hAnsi="Times New Roman"/>
                <w:sz w:val="24"/>
              </w:rPr>
            </w:pPr>
            <w:r w:rsidRPr="00E07C9A">
              <w:rPr>
                <w:rStyle w:val="InstructionsTabelleberschrift"/>
                <w:rFonts w:ascii="Times New Roman" w:hAnsi="Times New Roman"/>
                <w:sz w:val="24"/>
              </w:rPr>
              <w:t>SEKURITIZAČNÉ POZÍCIE</w:t>
            </w:r>
          </w:p>
          <w:p w14:paraId="3E2839F4" w14:textId="269CC106" w:rsidR="00C55547" w:rsidRPr="00E07C9A" w:rsidRDefault="00C55547" w:rsidP="00E10B85">
            <w:pPr>
              <w:rPr>
                <w:rFonts w:ascii="Times New Roman" w:hAnsi="Times New Roman"/>
                <w:sz w:val="24"/>
              </w:rPr>
            </w:pPr>
            <w:r w:rsidRPr="00E07C9A">
              <w:rPr>
                <w:rFonts w:ascii="Times New Roman" w:hAnsi="Times New Roman"/>
                <w:sz w:val="24"/>
              </w:rPr>
              <w:t>Korelačné obchodné portfóliá tvoria sekuritizácie, kreditné deriváty pre n-té zlyhania</w:t>
            </w:r>
            <w:r w:rsidR="009912F8" w:rsidRPr="00E07C9A">
              <w:rPr>
                <w:rFonts w:ascii="Times New Roman" w:hAnsi="Times New Roman"/>
                <w:sz w:val="24"/>
              </w:rPr>
              <w:t xml:space="preserve"> a </w:t>
            </w:r>
            <w:r w:rsidRPr="00E07C9A">
              <w:rPr>
                <w:rFonts w:ascii="Times New Roman" w:hAnsi="Times New Roman"/>
                <w:sz w:val="24"/>
              </w:rPr>
              <w:t>možno iné hedžingové pozície, ktoré spĺňajú kritériá stanovené</w:t>
            </w:r>
            <w:r w:rsidR="009912F8" w:rsidRPr="00E07C9A">
              <w:rPr>
                <w:rFonts w:ascii="Times New Roman" w:hAnsi="Times New Roman"/>
                <w:sz w:val="24"/>
              </w:rPr>
              <w:t xml:space="preserve"> v </w:t>
            </w:r>
            <w:r w:rsidRPr="00E07C9A">
              <w:rPr>
                <w:rFonts w:ascii="Times New Roman" w:hAnsi="Times New Roman"/>
                <w:sz w:val="24"/>
              </w:rPr>
              <w:t>článku 338 ods. 2</w:t>
            </w:r>
            <w:r w:rsidR="009912F8" w:rsidRPr="00E07C9A">
              <w:rPr>
                <w:rFonts w:ascii="Times New Roman" w:hAnsi="Times New Roman"/>
                <w:sz w:val="24"/>
              </w:rPr>
              <w:t xml:space="preserve"> a </w:t>
            </w:r>
            <w:r w:rsidRPr="00E07C9A">
              <w:rPr>
                <w:rFonts w:ascii="Times New Roman" w:hAnsi="Times New Roman"/>
                <w:sz w:val="24"/>
              </w:rPr>
              <w:t xml:space="preserve">3 nariadenia (EÚ) </w:t>
            </w:r>
            <w:r w:rsidR="009912F8" w:rsidRPr="00E07C9A">
              <w:rPr>
                <w:rFonts w:ascii="Times New Roman" w:hAnsi="Times New Roman"/>
                <w:sz w:val="24"/>
              </w:rPr>
              <w:t>č. 575/2013</w:t>
            </w:r>
            <w:r w:rsidRPr="00E07C9A">
              <w:rPr>
                <w:rFonts w:ascii="Times New Roman" w:hAnsi="Times New Roman"/>
                <w:sz w:val="24"/>
              </w:rPr>
              <w:t>.</w:t>
            </w:r>
          </w:p>
          <w:p w14:paraId="284429BF" w14:textId="77777777" w:rsidR="00C55547" w:rsidRPr="00E07C9A" w:rsidRDefault="00C55547" w:rsidP="00E10B85">
            <w:pPr>
              <w:rPr>
                <w:rFonts w:ascii="Times New Roman" w:hAnsi="Times New Roman"/>
                <w:sz w:val="24"/>
              </w:rPr>
            </w:pPr>
            <w:r w:rsidRPr="00E07C9A">
              <w:rPr>
                <w:rFonts w:ascii="Times New Roman" w:hAnsi="Times New Roman"/>
                <w:sz w:val="24"/>
              </w:rPr>
              <w:t>Deriváty sekuritizačných expozícií, ktoré poskytujú pomerný podiel, ako aj pozície, ktorými sa hedžujú pozície korelačného obchodného portfólia, sa začlenia do riadku „Iné pozície korelačného obchodného portfólia“.</w:t>
            </w:r>
          </w:p>
        </w:tc>
      </w:tr>
      <w:tr w:rsidR="00C55547" w:rsidRPr="00E07C9A" w14:paraId="310FE06B" w14:textId="77777777" w:rsidTr="00E10B85">
        <w:tc>
          <w:tcPr>
            <w:tcW w:w="1008" w:type="dxa"/>
          </w:tcPr>
          <w:p w14:paraId="2602BE79" w14:textId="77777777" w:rsidR="00C55547" w:rsidRPr="00E07C9A" w:rsidRDefault="002F79EA"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0110</w:t>
            </w:r>
          </w:p>
        </w:tc>
        <w:tc>
          <w:tcPr>
            <w:tcW w:w="8204" w:type="dxa"/>
          </w:tcPr>
          <w:p w14:paraId="5251DCC8" w14:textId="77777777" w:rsidR="00C55547" w:rsidRPr="00E07C9A" w:rsidRDefault="00C55547" w:rsidP="00E10B85">
            <w:pPr>
              <w:rPr>
                <w:rStyle w:val="InstructionsTabelleberschrift"/>
                <w:rFonts w:ascii="Times New Roman" w:hAnsi="Times New Roman"/>
                <w:sz w:val="24"/>
              </w:rPr>
            </w:pPr>
            <w:r w:rsidRPr="00E07C9A">
              <w:rPr>
                <w:rStyle w:val="InstructionsTabelleberschrift"/>
                <w:rFonts w:ascii="Times New Roman" w:hAnsi="Times New Roman"/>
                <w:sz w:val="24"/>
              </w:rPr>
              <w:t>KREDITNÉ DERIVÁTY PRE N-TÉ ZLYHANIE</w:t>
            </w:r>
          </w:p>
          <w:p w14:paraId="298FC0AB" w14:textId="7FA1EE16" w:rsidR="00C55547" w:rsidRPr="00E07C9A" w:rsidRDefault="00C55547" w:rsidP="00E10B85">
            <w:pPr>
              <w:rPr>
                <w:rFonts w:ascii="Times New Roman" w:hAnsi="Times New Roman"/>
                <w:sz w:val="24"/>
              </w:rPr>
            </w:pPr>
            <w:r w:rsidRPr="00E07C9A">
              <w:rPr>
                <w:rFonts w:ascii="Times New Roman" w:hAnsi="Times New Roman"/>
                <w:sz w:val="24"/>
              </w:rPr>
              <w:t>Vykazujú sa tu kreditné deriváty pre n-té zlyhanie, ktoré sú hedžované kreditnými derivátmi pre n-té zlyhanie</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347 nariadenia (EÚ) </w:t>
            </w:r>
            <w:r w:rsidR="009912F8" w:rsidRPr="00E07C9A">
              <w:rPr>
                <w:rFonts w:ascii="Times New Roman" w:hAnsi="Times New Roman"/>
                <w:sz w:val="24"/>
              </w:rPr>
              <w:t>č. 575/2013</w:t>
            </w:r>
            <w:r w:rsidRPr="00E07C9A">
              <w:rPr>
                <w:rFonts w:ascii="Times New Roman" w:hAnsi="Times New Roman"/>
                <w:sz w:val="24"/>
              </w:rPr>
              <w:t>.</w:t>
            </w:r>
          </w:p>
          <w:p w14:paraId="0ADF3C10" w14:textId="79104364" w:rsidR="00C55547" w:rsidRPr="00E07C9A" w:rsidRDefault="00C55547" w:rsidP="00E10B85">
            <w:pPr>
              <w:rPr>
                <w:rFonts w:ascii="Times New Roman" w:hAnsi="Times New Roman"/>
                <w:sz w:val="24"/>
              </w:rPr>
            </w:pPr>
            <w:r w:rsidRPr="00E07C9A">
              <w:rPr>
                <w:rFonts w:ascii="Times New Roman" w:hAnsi="Times New Roman"/>
                <w:sz w:val="24"/>
              </w:rPr>
              <w:t>Originátor, investor</w:t>
            </w:r>
            <w:r w:rsidR="009912F8" w:rsidRPr="00E07C9A">
              <w:rPr>
                <w:rFonts w:ascii="Times New Roman" w:hAnsi="Times New Roman"/>
                <w:sz w:val="24"/>
              </w:rPr>
              <w:t xml:space="preserve"> a </w:t>
            </w:r>
            <w:r w:rsidRPr="00E07C9A">
              <w:rPr>
                <w:rFonts w:ascii="Times New Roman" w:hAnsi="Times New Roman"/>
                <w:sz w:val="24"/>
              </w:rPr>
              <w:t>sponzor pozícií sa pri kreditných derivátoch pre n-té zlyhanie nekategorizujú. Preto sa nemôže uviesť rozčlenenie sekuritizačných pozícií pre kreditné deriváty pre n-té zlyhanie.</w:t>
            </w:r>
          </w:p>
        </w:tc>
      </w:tr>
      <w:tr w:rsidR="00C55547" w:rsidRPr="00E07C9A" w14:paraId="3804EA7A" w14:textId="77777777" w:rsidTr="00E10B85">
        <w:tc>
          <w:tcPr>
            <w:tcW w:w="1008" w:type="dxa"/>
          </w:tcPr>
          <w:p w14:paraId="492141F6" w14:textId="2506DB93" w:rsidR="00C55547" w:rsidRPr="00E07C9A" w:rsidRDefault="002F79EA" w:rsidP="00E10B85">
            <w:pPr>
              <w:autoSpaceDE w:val="0"/>
              <w:autoSpaceDN w:val="0"/>
              <w:adjustRightInd w:val="0"/>
              <w:spacing w:before="0" w:after="0"/>
              <w:rPr>
                <w:rFonts w:ascii="Times New Roman" w:hAnsi="Times New Roman"/>
                <w:sz w:val="24"/>
              </w:rPr>
            </w:pPr>
            <w:r w:rsidRPr="00E07C9A">
              <w:rPr>
                <w:rFonts w:ascii="Times New Roman" w:hAnsi="Times New Roman"/>
                <w:sz w:val="24"/>
              </w:rPr>
              <w:t>0040, 0070, 0100</w:t>
            </w:r>
            <w:r w:rsidR="009912F8" w:rsidRPr="00E07C9A">
              <w:rPr>
                <w:rFonts w:ascii="Times New Roman" w:hAnsi="Times New Roman"/>
                <w:sz w:val="24"/>
              </w:rPr>
              <w:t xml:space="preserve"> a </w:t>
            </w:r>
            <w:r w:rsidRPr="00E07C9A">
              <w:rPr>
                <w:rFonts w:ascii="Times New Roman" w:hAnsi="Times New Roman"/>
                <w:sz w:val="24"/>
              </w:rPr>
              <w:t>0120</w:t>
            </w:r>
          </w:p>
        </w:tc>
        <w:tc>
          <w:tcPr>
            <w:tcW w:w="8204" w:type="dxa"/>
          </w:tcPr>
          <w:p w14:paraId="1BEC5316" w14:textId="77777777" w:rsidR="00C55547" w:rsidRPr="00E07C9A" w:rsidRDefault="00C55547" w:rsidP="00E10B85">
            <w:pPr>
              <w:rPr>
                <w:rStyle w:val="InstructionsTabelleberschrift"/>
                <w:rFonts w:ascii="Times New Roman" w:hAnsi="Times New Roman"/>
                <w:sz w:val="24"/>
              </w:rPr>
            </w:pPr>
            <w:r w:rsidRPr="00E07C9A">
              <w:rPr>
                <w:rStyle w:val="InstructionsTabelleberschrift"/>
                <w:rFonts w:ascii="Times New Roman" w:hAnsi="Times New Roman"/>
                <w:sz w:val="24"/>
              </w:rPr>
              <w:t>INÉ POZÍCIE KORELAČNÉHO OBCHODNÉHO PORTFÓLIA</w:t>
            </w:r>
          </w:p>
          <w:p w14:paraId="171DD20F" w14:textId="77777777" w:rsidR="009912F8" w:rsidRPr="00E07C9A" w:rsidRDefault="00C55547" w:rsidP="00E10B85">
            <w:pPr>
              <w:rPr>
                <w:rFonts w:ascii="Times New Roman" w:hAnsi="Times New Roman"/>
                <w:sz w:val="24"/>
              </w:rPr>
            </w:pPr>
            <w:r w:rsidRPr="00E07C9A">
              <w:rPr>
                <w:rFonts w:ascii="Times New Roman" w:hAnsi="Times New Roman"/>
                <w:sz w:val="24"/>
              </w:rPr>
              <w:t>Zahrnuté sú tieto pozície</w:t>
            </w:r>
            <w:r w:rsidR="009912F8" w:rsidRPr="00E07C9A">
              <w:rPr>
                <w:rFonts w:ascii="Times New Roman" w:hAnsi="Times New Roman"/>
                <w:sz w:val="24"/>
              </w:rPr>
              <w:t>:</w:t>
            </w:r>
          </w:p>
          <w:p w14:paraId="22F89721" w14:textId="3F6815EC" w:rsidR="00C55547" w:rsidRPr="00E07C9A" w:rsidRDefault="00C55547" w:rsidP="00E10B85">
            <w:pPr>
              <w:tabs>
                <w:tab w:val="left" w:pos="720"/>
              </w:tabs>
              <w:ind w:left="720" w:hanging="360"/>
              <w:rPr>
                <w:rFonts w:ascii="Times New Roman" w:hAnsi="Times New Roman"/>
                <w:sz w:val="24"/>
              </w:rPr>
            </w:pPr>
            <w:r w:rsidRPr="00E07C9A">
              <w:rPr>
                <w:rFonts w:ascii="Times New Roman" w:hAnsi="Times New Roman"/>
                <w:sz w:val="24"/>
              </w:rPr>
              <w:t></w:t>
            </w:r>
            <w:r w:rsidRPr="00E07C9A">
              <w:rPr>
                <w:rFonts w:ascii="Times New Roman" w:hAnsi="Times New Roman"/>
              </w:rPr>
              <w:tab/>
            </w:r>
            <w:r w:rsidRPr="00E07C9A">
              <w:rPr>
                <w:rFonts w:ascii="Times New Roman" w:hAnsi="Times New Roman"/>
                <w:sz w:val="24"/>
              </w:rPr>
              <w:t>deriváty sekuritizačných expozícií, ktoré poskytujú pomerný podiel, ako aj pozície, ktorými sa hedžujú pozície korelačného obchodného portfólia;</w:t>
            </w:r>
          </w:p>
          <w:p w14:paraId="35CA9598" w14:textId="2F4473F2" w:rsidR="00C55547" w:rsidRPr="00E07C9A" w:rsidRDefault="00C55547" w:rsidP="00E10B85">
            <w:pPr>
              <w:tabs>
                <w:tab w:val="left" w:pos="720"/>
              </w:tabs>
              <w:ind w:left="720" w:hanging="360"/>
              <w:rPr>
                <w:rFonts w:ascii="Times New Roman" w:hAnsi="Times New Roman"/>
                <w:sz w:val="24"/>
              </w:rPr>
            </w:pPr>
            <w:r w:rsidRPr="00E07C9A">
              <w:rPr>
                <w:rFonts w:ascii="Times New Roman" w:hAnsi="Times New Roman"/>
                <w:sz w:val="24"/>
              </w:rPr>
              <w:t></w:t>
            </w:r>
            <w:r w:rsidRPr="00E07C9A">
              <w:rPr>
                <w:rFonts w:ascii="Times New Roman" w:hAnsi="Times New Roman"/>
              </w:rPr>
              <w:tab/>
            </w:r>
            <w:r w:rsidRPr="00E07C9A">
              <w:rPr>
                <w:rFonts w:ascii="Times New Roman" w:hAnsi="Times New Roman"/>
                <w:sz w:val="24"/>
              </w:rPr>
              <w:t>pozície korelačného obchodného portfólia hedžované kreditnými derivátmi</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346 nariadenia (EÚ) </w:t>
            </w:r>
            <w:r w:rsidR="009912F8" w:rsidRPr="00E07C9A">
              <w:rPr>
                <w:rFonts w:ascii="Times New Roman" w:hAnsi="Times New Roman"/>
                <w:sz w:val="24"/>
              </w:rPr>
              <w:t>č. 575/2013</w:t>
            </w:r>
            <w:r w:rsidRPr="00E07C9A">
              <w:rPr>
                <w:rFonts w:ascii="Times New Roman" w:hAnsi="Times New Roman"/>
                <w:sz w:val="24"/>
              </w:rPr>
              <w:t>;</w:t>
            </w:r>
          </w:p>
          <w:p w14:paraId="37D9C26F" w14:textId="36C9E1C0" w:rsidR="00C55547" w:rsidRPr="00E07C9A" w:rsidRDefault="00C55547" w:rsidP="005F3BBE">
            <w:pPr>
              <w:tabs>
                <w:tab w:val="left" w:pos="720"/>
              </w:tabs>
              <w:ind w:left="720" w:hanging="360"/>
              <w:rPr>
                <w:rFonts w:ascii="Times New Roman" w:hAnsi="Times New Roman"/>
                <w:sz w:val="24"/>
              </w:rPr>
            </w:pPr>
            <w:r w:rsidRPr="00E07C9A">
              <w:rPr>
                <w:rFonts w:ascii="Times New Roman" w:hAnsi="Times New Roman"/>
                <w:sz w:val="24"/>
              </w:rPr>
              <w:t></w:t>
            </w:r>
            <w:r w:rsidRPr="00E07C9A">
              <w:rPr>
                <w:rFonts w:ascii="Times New Roman" w:hAnsi="Times New Roman"/>
              </w:rPr>
              <w:tab/>
            </w:r>
            <w:r w:rsidRPr="00E07C9A">
              <w:rPr>
                <w:rFonts w:ascii="Times New Roman" w:hAnsi="Times New Roman"/>
                <w:sz w:val="24"/>
              </w:rPr>
              <w:t xml:space="preserve">iné pozície, ktoré spĺňajú ustanovenia článku 338 ods. 3 nariadenia (EÚ) </w:t>
            </w:r>
            <w:r w:rsidR="009912F8" w:rsidRPr="00E07C9A">
              <w:rPr>
                <w:rFonts w:ascii="Times New Roman" w:hAnsi="Times New Roman"/>
                <w:sz w:val="24"/>
              </w:rPr>
              <w:t>č. 575/2013</w:t>
            </w:r>
            <w:r w:rsidRPr="00E07C9A">
              <w:rPr>
                <w:rFonts w:ascii="Times New Roman" w:hAnsi="Times New Roman"/>
                <w:sz w:val="24"/>
              </w:rPr>
              <w:t>.</w:t>
            </w:r>
          </w:p>
        </w:tc>
      </w:tr>
    </w:tbl>
    <w:p w14:paraId="2FA40F1B" w14:textId="77777777" w:rsidR="000B0B09" w:rsidRPr="00E07C9A" w:rsidRDefault="000B0B09" w:rsidP="000B0B09">
      <w:pPr>
        <w:autoSpaceDE w:val="0"/>
        <w:autoSpaceDN w:val="0"/>
        <w:adjustRightInd w:val="0"/>
        <w:spacing w:before="0" w:after="0"/>
        <w:rPr>
          <w:rFonts w:ascii="Times New Roman" w:hAnsi="Times New Roman"/>
          <w:sz w:val="24"/>
          <w:lang w:eastAsia="nl-BE"/>
        </w:rPr>
      </w:pPr>
    </w:p>
    <w:p w14:paraId="43E44EE8" w14:textId="69D732BA" w:rsidR="000B0B09" w:rsidRPr="00E07C9A" w:rsidRDefault="00125707" w:rsidP="0023700C">
      <w:pPr>
        <w:pStyle w:val="Instructionsberschrift2"/>
        <w:numPr>
          <w:ilvl w:val="0"/>
          <w:numId w:val="0"/>
        </w:numPr>
        <w:ind w:left="357" w:hanging="357"/>
        <w:rPr>
          <w:rFonts w:ascii="Times New Roman" w:hAnsi="Times New Roman" w:cs="Times New Roman"/>
          <w:sz w:val="24"/>
        </w:rPr>
      </w:pPr>
      <w:bookmarkStart w:id="665" w:name="_Toc262566429"/>
      <w:bookmarkStart w:id="666" w:name="_Toc295830005"/>
      <w:bookmarkStart w:id="667" w:name="_Toc308426682"/>
      <w:bookmarkStart w:id="668" w:name="_Toc310415066"/>
      <w:bookmarkStart w:id="669" w:name="_Toc360188401"/>
      <w:bookmarkStart w:id="670" w:name="_Toc473561041"/>
      <w:bookmarkStart w:id="671" w:name="_Toc115857885"/>
      <w:r w:rsidRPr="00E07C9A">
        <w:rPr>
          <w:rFonts w:ascii="Times New Roman" w:hAnsi="Times New Roman" w:cs="Times New Roman"/>
          <w:sz w:val="24"/>
          <w:u w:val="none"/>
        </w:rPr>
        <w:t>5.4.</w:t>
      </w:r>
      <w:r w:rsidRPr="00E07C9A">
        <w:rPr>
          <w:rFonts w:ascii="Times New Roman" w:hAnsi="Times New Roman" w:cs="Times New Roman"/>
          <w:u w:val="none"/>
        </w:rPr>
        <w:tab/>
      </w:r>
      <w:r w:rsidRPr="00E07C9A">
        <w:rPr>
          <w:rFonts w:ascii="Times New Roman" w:hAnsi="Times New Roman" w:cs="Times New Roman"/>
          <w:sz w:val="24"/>
        </w:rPr>
        <w:t>C 21.00 – Trhové riziko: štandardizovaný prístup pre pozičné riziko</w:t>
      </w:r>
      <w:r w:rsidR="009912F8" w:rsidRPr="00E07C9A">
        <w:rPr>
          <w:rFonts w:ascii="Times New Roman" w:hAnsi="Times New Roman" w:cs="Times New Roman"/>
          <w:sz w:val="24"/>
        </w:rPr>
        <w:t xml:space="preserve"> v </w:t>
      </w:r>
      <w:r w:rsidRPr="00E07C9A">
        <w:rPr>
          <w:rFonts w:ascii="Times New Roman" w:hAnsi="Times New Roman" w:cs="Times New Roman"/>
          <w:sz w:val="24"/>
        </w:rPr>
        <w:t>kapitálových cenných papieroch</w:t>
      </w:r>
      <w:bookmarkEnd w:id="665"/>
      <w:bookmarkEnd w:id="666"/>
      <w:bookmarkEnd w:id="667"/>
      <w:bookmarkEnd w:id="668"/>
      <w:bookmarkEnd w:id="669"/>
      <w:r w:rsidRPr="00E07C9A">
        <w:rPr>
          <w:rFonts w:ascii="Times New Roman" w:hAnsi="Times New Roman" w:cs="Times New Roman"/>
          <w:sz w:val="24"/>
        </w:rPr>
        <w:t xml:space="preserve"> (MKR SA EQU)</w:t>
      </w:r>
      <w:bookmarkEnd w:id="670"/>
      <w:bookmarkEnd w:id="671"/>
    </w:p>
    <w:p w14:paraId="28B3FACA" w14:textId="77777777" w:rsidR="000B0B09" w:rsidRPr="00E07C9A" w:rsidRDefault="00125707" w:rsidP="0023700C">
      <w:pPr>
        <w:pStyle w:val="Instructionsberschrift2"/>
        <w:numPr>
          <w:ilvl w:val="0"/>
          <w:numId w:val="0"/>
        </w:numPr>
        <w:ind w:left="357" w:hanging="357"/>
        <w:rPr>
          <w:rFonts w:ascii="Times New Roman" w:hAnsi="Times New Roman" w:cs="Times New Roman"/>
          <w:sz w:val="24"/>
        </w:rPr>
      </w:pPr>
      <w:bookmarkStart w:id="672" w:name="_Toc262566430"/>
      <w:bookmarkStart w:id="673" w:name="_Toc295830006"/>
      <w:bookmarkStart w:id="674" w:name="_Toc308426683"/>
      <w:bookmarkStart w:id="675" w:name="_Toc310415067"/>
      <w:bookmarkStart w:id="676" w:name="_Toc360188402"/>
      <w:bookmarkStart w:id="677" w:name="_Toc473561042"/>
      <w:bookmarkStart w:id="678" w:name="_Toc115857886"/>
      <w:r w:rsidRPr="00E07C9A">
        <w:rPr>
          <w:rFonts w:ascii="Times New Roman" w:hAnsi="Times New Roman" w:cs="Times New Roman"/>
          <w:sz w:val="24"/>
          <w:u w:val="none"/>
        </w:rPr>
        <w:t>5.4.1.</w:t>
      </w:r>
      <w:r w:rsidRPr="00E07C9A">
        <w:rPr>
          <w:rFonts w:ascii="Times New Roman" w:hAnsi="Times New Roman" w:cs="Times New Roman"/>
          <w:u w:val="none"/>
        </w:rPr>
        <w:tab/>
      </w:r>
      <w:r w:rsidRPr="00E07C9A">
        <w:rPr>
          <w:rFonts w:ascii="Times New Roman" w:hAnsi="Times New Roman" w:cs="Times New Roman"/>
          <w:sz w:val="24"/>
        </w:rPr>
        <w:t>Všeobecné poznámky</w:t>
      </w:r>
      <w:bookmarkEnd w:id="672"/>
      <w:bookmarkEnd w:id="673"/>
      <w:bookmarkEnd w:id="674"/>
      <w:bookmarkEnd w:id="675"/>
      <w:bookmarkEnd w:id="676"/>
      <w:bookmarkEnd w:id="677"/>
      <w:bookmarkEnd w:id="678"/>
    </w:p>
    <w:p w14:paraId="1BA8EF6D" w14:textId="77B06C7A" w:rsidR="000B0B09" w:rsidRPr="00E07C9A" w:rsidRDefault="002A18DE" w:rsidP="00487A02">
      <w:pPr>
        <w:pStyle w:val="InstructionsText2"/>
        <w:numPr>
          <w:ilvl w:val="0"/>
          <w:numId w:val="0"/>
        </w:numPr>
        <w:ind w:left="1353" w:hanging="360"/>
      </w:pPr>
      <w:fldSimple w:instr=" seq paragraphs ">
        <w:r w:rsidR="00132AEE">
          <w:rPr>
            <w:noProof/>
          </w:rPr>
          <w:t>169</w:t>
        </w:r>
      </w:fldSimple>
      <w:r w:rsidR="00C3070C" w:rsidRPr="00E07C9A">
        <w:t>.</w:t>
      </w:r>
      <w:r w:rsidR="00C3070C" w:rsidRPr="00E07C9A">
        <w:tab/>
      </w:r>
      <w:r w:rsidR="009912F8" w:rsidRPr="00E07C9A">
        <w:t xml:space="preserve"> V </w:t>
      </w:r>
      <w:r w:rsidR="00C3070C" w:rsidRPr="00E07C9A">
        <w:t>tomto vzore sa požadujú informácie</w:t>
      </w:r>
      <w:r w:rsidR="009912F8" w:rsidRPr="00E07C9A">
        <w:t xml:space="preserve"> o </w:t>
      </w:r>
      <w:r w:rsidR="00C3070C" w:rsidRPr="00E07C9A">
        <w:t>pozíciách</w:t>
      </w:r>
      <w:r w:rsidR="009912F8" w:rsidRPr="00E07C9A">
        <w:t xml:space="preserve"> a </w:t>
      </w:r>
      <w:r w:rsidR="00C3070C" w:rsidRPr="00E07C9A">
        <w:t>zodpovedajúcich požiadavkách na vlastné zdroje pre pozičné riziko kapitálových cenných papierov vedených</w:t>
      </w:r>
      <w:r w:rsidR="009912F8" w:rsidRPr="00E07C9A">
        <w:t xml:space="preserve"> v </w:t>
      </w:r>
      <w:r w:rsidR="00C3070C" w:rsidRPr="00E07C9A">
        <w:t>obchodnej knihe</w:t>
      </w:r>
      <w:r w:rsidR="009912F8" w:rsidRPr="00E07C9A">
        <w:t xml:space="preserve"> v </w:t>
      </w:r>
      <w:r w:rsidR="00C3070C" w:rsidRPr="00E07C9A">
        <w:t>rámci štandardizovaného prístupu.</w:t>
      </w:r>
    </w:p>
    <w:p w14:paraId="3AF5EC7C" w14:textId="642D3FEE" w:rsidR="00B828CC" w:rsidRPr="00E07C9A" w:rsidRDefault="002A18DE" w:rsidP="00487A02">
      <w:pPr>
        <w:pStyle w:val="InstructionsText2"/>
        <w:numPr>
          <w:ilvl w:val="0"/>
          <w:numId w:val="0"/>
        </w:numPr>
        <w:ind w:left="1353" w:hanging="360"/>
      </w:pPr>
      <w:fldSimple w:instr=" seq paragraphs ">
        <w:r w:rsidR="00132AEE">
          <w:rPr>
            <w:noProof/>
          </w:rPr>
          <w:t>170</w:t>
        </w:r>
      </w:fldSimple>
      <w:r w:rsidR="00C3070C" w:rsidRPr="00E07C9A">
        <w:t>.</w:t>
      </w:r>
      <w:r w:rsidR="00C3070C" w:rsidRPr="00E07C9A">
        <w:tab/>
        <w:t xml:space="preserve"> Tento vzor sa vypĺňa osobitne pre „spolu“</w:t>
      </w:r>
      <w:r w:rsidR="009912F8" w:rsidRPr="00E07C9A">
        <w:t xml:space="preserve"> a </w:t>
      </w:r>
      <w:r w:rsidR="00C3070C" w:rsidRPr="00E07C9A">
        <w:t>pre nemenný, vopred definovaný zoznam týchto trhov: Bulharsko, Chorvátsko, Česká republika, Dánsko, Egypt, Maďarsko, Island, Lichtenštajnsko, Nórsko, Poľsko, Rumunsko, Švédsko, Spojené kráľovstvo, Albánsko, Japonsko, bývalá Juhoslovanská republika Macedónsko, Ruská federácia, Srbsko, Švajčiarsko, Turecko, Ukrajina, USA, eurozóna</w:t>
      </w:r>
      <w:r w:rsidR="009912F8" w:rsidRPr="00E07C9A">
        <w:t xml:space="preserve"> a </w:t>
      </w:r>
      <w:r w:rsidR="00C3070C" w:rsidRPr="00E07C9A">
        <w:t>jeden vzor pre všetky ostatné trhy. Na účely tejto požiadavky vykazovania sa pod pojmom „trh“ rozumie „krajina“ [s výnimkou krajín eurozóny, pozri delegované nariadenie Komisie (EÚ) č. 525/2014</w:t>
      </w:r>
      <w:r w:rsidR="00C3070C" w:rsidRPr="00E07C9A">
        <w:rPr>
          <w:rStyle w:val="FootnoteReference"/>
          <w:rFonts w:ascii="Times New Roman" w:hAnsi="Times New Roman"/>
        </w:rPr>
        <w:footnoteReference w:id="8"/>
      </w:r>
      <w:r w:rsidR="00C3070C" w:rsidRPr="00E07C9A">
        <w:t>].</w:t>
      </w:r>
    </w:p>
    <w:p w14:paraId="077E1A41" w14:textId="0A87F237" w:rsidR="000B0B09" w:rsidRPr="00E07C9A" w:rsidRDefault="00125707" w:rsidP="0023700C">
      <w:pPr>
        <w:pStyle w:val="Instructionsberschrift2"/>
        <w:numPr>
          <w:ilvl w:val="0"/>
          <w:numId w:val="0"/>
        </w:numPr>
        <w:ind w:left="357" w:hanging="357"/>
        <w:rPr>
          <w:rFonts w:ascii="Times New Roman" w:hAnsi="Times New Roman" w:cs="Times New Roman"/>
          <w:sz w:val="24"/>
        </w:rPr>
      </w:pPr>
      <w:bookmarkStart w:id="679" w:name="_Toc262566431"/>
      <w:bookmarkStart w:id="680" w:name="_Toc295830007"/>
      <w:bookmarkStart w:id="681" w:name="_Toc308426684"/>
      <w:bookmarkStart w:id="682" w:name="_Toc310415068"/>
      <w:bookmarkStart w:id="683" w:name="_Toc360188403"/>
      <w:bookmarkStart w:id="684" w:name="_Toc473561043"/>
      <w:bookmarkStart w:id="685" w:name="_Toc115857887"/>
      <w:r w:rsidRPr="00E07C9A">
        <w:rPr>
          <w:rFonts w:ascii="Times New Roman" w:hAnsi="Times New Roman" w:cs="Times New Roman"/>
          <w:sz w:val="24"/>
          <w:u w:val="none"/>
        </w:rPr>
        <w:t>5.4.2.</w:t>
      </w:r>
      <w:r w:rsidRPr="00E07C9A">
        <w:rPr>
          <w:rFonts w:ascii="Times New Roman" w:hAnsi="Times New Roman" w:cs="Times New Roman"/>
          <w:u w:val="none"/>
        </w:rPr>
        <w:tab/>
      </w:r>
      <w:r w:rsidRPr="00E07C9A">
        <w:rPr>
          <w:rFonts w:ascii="Times New Roman" w:hAnsi="Times New Roman" w:cs="Times New Roman"/>
          <w:sz w:val="24"/>
        </w:rPr>
        <w:t>Pokyny týkajúce sa konkrétnych pozícií</w:t>
      </w:r>
      <w:bookmarkEnd w:id="679"/>
      <w:bookmarkEnd w:id="680"/>
      <w:bookmarkEnd w:id="681"/>
      <w:bookmarkEnd w:id="682"/>
      <w:bookmarkEnd w:id="683"/>
      <w:bookmarkEnd w:id="684"/>
      <w:bookmarkEnd w:id="68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E07C9A" w14:paraId="2ADAFC61" w14:textId="77777777" w:rsidTr="00672D2A">
        <w:trPr>
          <w:trHeight w:val="626"/>
        </w:trPr>
        <w:tc>
          <w:tcPr>
            <w:tcW w:w="8862" w:type="dxa"/>
            <w:gridSpan w:val="2"/>
            <w:shd w:val="clear" w:color="auto" w:fill="CCCCCC"/>
          </w:tcPr>
          <w:p w14:paraId="0BC1F4DA" w14:textId="77777777" w:rsidR="000B0B09" w:rsidRPr="00E07C9A" w:rsidRDefault="000B0B09" w:rsidP="000B0B09">
            <w:pPr>
              <w:autoSpaceDE w:val="0"/>
              <w:autoSpaceDN w:val="0"/>
              <w:adjustRightInd w:val="0"/>
              <w:spacing w:after="0"/>
              <w:rPr>
                <w:rFonts w:ascii="Times New Roman" w:hAnsi="Times New Roman"/>
                <w:b/>
                <w:sz w:val="24"/>
              </w:rPr>
            </w:pPr>
            <w:r w:rsidRPr="00E07C9A">
              <w:rPr>
                <w:rFonts w:ascii="Times New Roman" w:hAnsi="Times New Roman"/>
                <w:b/>
                <w:sz w:val="24"/>
              </w:rPr>
              <w:t>Stĺpce</w:t>
            </w:r>
          </w:p>
        </w:tc>
      </w:tr>
      <w:tr w:rsidR="000B0B09" w:rsidRPr="00E07C9A" w14:paraId="1B6DCA2D" w14:textId="77777777" w:rsidTr="00672D2A">
        <w:tc>
          <w:tcPr>
            <w:tcW w:w="988" w:type="dxa"/>
          </w:tcPr>
          <w:p w14:paraId="2E10DD05" w14:textId="77777777" w:rsidR="000B0B09" w:rsidRPr="00E07C9A" w:rsidRDefault="002F79EA" w:rsidP="00B74792">
            <w:pPr>
              <w:autoSpaceDE w:val="0"/>
              <w:autoSpaceDN w:val="0"/>
              <w:adjustRightInd w:val="0"/>
              <w:spacing w:before="0" w:after="0"/>
              <w:rPr>
                <w:rFonts w:ascii="Times New Roman" w:hAnsi="Times New Roman"/>
                <w:sz w:val="24"/>
              </w:rPr>
            </w:pPr>
            <w:r w:rsidRPr="00E07C9A">
              <w:rPr>
                <w:rFonts w:ascii="Times New Roman" w:hAnsi="Times New Roman"/>
                <w:sz w:val="24"/>
              </w:rPr>
              <w:t>0010 –⁠ 0020</w:t>
            </w:r>
          </w:p>
        </w:tc>
        <w:tc>
          <w:tcPr>
            <w:tcW w:w="7874" w:type="dxa"/>
          </w:tcPr>
          <w:p w14:paraId="57FBE31B" w14:textId="77777777" w:rsidR="000B0B09" w:rsidRPr="00E07C9A" w:rsidRDefault="000B0B09" w:rsidP="005F3BBE">
            <w:pPr>
              <w:autoSpaceDE w:val="0"/>
              <w:autoSpaceDN w:val="0"/>
              <w:adjustRightInd w:val="0"/>
              <w:rPr>
                <w:rFonts w:ascii="Times New Roman" w:hAnsi="Times New Roman"/>
                <w:b/>
                <w:bCs/>
                <w:sz w:val="24"/>
                <w:u w:val="single"/>
              </w:rPr>
            </w:pPr>
            <w:r w:rsidRPr="00E07C9A">
              <w:rPr>
                <w:rFonts w:ascii="Times New Roman" w:hAnsi="Times New Roman"/>
                <w:b/>
                <w:sz w:val="24"/>
                <w:u w:val="single"/>
              </w:rPr>
              <w:t>VŠETKY POZÍCIE (DLHÉ A KRÁTKE)</w:t>
            </w:r>
          </w:p>
          <w:p w14:paraId="0D2C2FF1" w14:textId="128400AC" w:rsidR="009912F8" w:rsidRPr="00E07C9A" w:rsidRDefault="000B0B09" w:rsidP="005F3BBE">
            <w:pPr>
              <w:autoSpaceDE w:val="0"/>
              <w:autoSpaceDN w:val="0"/>
              <w:adjustRightInd w:val="0"/>
              <w:spacing w:before="0"/>
              <w:rPr>
                <w:rFonts w:ascii="Times New Roman" w:hAnsi="Times New Roman"/>
                <w:sz w:val="24"/>
              </w:rPr>
            </w:pPr>
            <w:r w:rsidRPr="00E07C9A">
              <w:rPr>
                <w:rFonts w:ascii="Times New Roman" w:hAnsi="Times New Roman"/>
                <w:sz w:val="24"/>
              </w:rPr>
              <w:t>Článok 102</w:t>
            </w:r>
            <w:r w:rsidR="009912F8" w:rsidRPr="00E07C9A">
              <w:rPr>
                <w:rFonts w:ascii="Times New Roman" w:hAnsi="Times New Roman"/>
                <w:sz w:val="24"/>
              </w:rPr>
              <w:t xml:space="preserve"> a </w:t>
            </w:r>
            <w:r w:rsidRPr="00E07C9A">
              <w:rPr>
                <w:rFonts w:ascii="Times New Roman" w:hAnsi="Times New Roman"/>
                <w:sz w:val="24"/>
              </w:rPr>
              <w:t xml:space="preserve">článok 105 ods. 1 nariadenia (EÚ) </w:t>
            </w:r>
            <w:r w:rsidR="009912F8" w:rsidRPr="00E07C9A">
              <w:rPr>
                <w:rFonts w:ascii="Times New Roman" w:hAnsi="Times New Roman"/>
                <w:sz w:val="24"/>
              </w:rPr>
              <w:t>č. 575/2013</w:t>
            </w:r>
          </w:p>
          <w:p w14:paraId="59EE061F" w14:textId="2DCB0CC3" w:rsidR="000B0B09" w:rsidRPr="00E07C9A" w:rsidRDefault="000B0B09" w:rsidP="00E64BFE">
            <w:pPr>
              <w:autoSpaceDE w:val="0"/>
              <w:autoSpaceDN w:val="0"/>
              <w:adjustRightInd w:val="0"/>
              <w:spacing w:before="0"/>
              <w:rPr>
                <w:rFonts w:ascii="Times New Roman" w:hAnsi="Times New Roman"/>
                <w:sz w:val="24"/>
              </w:rPr>
            </w:pPr>
            <w:r w:rsidRPr="00E07C9A">
              <w:rPr>
                <w:rFonts w:ascii="Times New Roman" w:hAnsi="Times New Roman"/>
                <w:sz w:val="24"/>
              </w:rPr>
              <w:t>Sú to hrubé pozície bez započítania nástrojov, ale bez pozícií</w:t>
            </w:r>
            <w:r w:rsidR="009912F8" w:rsidRPr="00E07C9A">
              <w:rPr>
                <w:rFonts w:ascii="Times New Roman" w:hAnsi="Times New Roman"/>
                <w:sz w:val="24"/>
              </w:rPr>
              <w:t xml:space="preserve"> z </w:t>
            </w:r>
            <w:r w:rsidRPr="00E07C9A">
              <w:rPr>
                <w:rFonts w:ascii="Times New Roman" w:hAnsi="Times New Roman"/>
                <w:sz w:val="24"/>
              </w:rPr>
              <w:t xml:space="preserve">upísania, ktoré sú upísané alebo podupísané tretími osobami podľa článku 345 ods. 1 prvého pododseku druhej vety nariadenia (EÚ) </w:t>
            </w:r>
            <w:r w:rsidR="009912F8" w:rsidRPr="00E07C9A">
              <w:rPr>
                <w:rFonts w:ascii="Times New Roman" w:hAnsi="Times New Roman"/>
                <w:sz w:val="24"/>
              </w:rPr>
              <w:t>č. 575/2013</w:t>
            </w:r>
            <w:r w:rsidRPr="00E07C9A">
              <w:rPr>
                <w:rFonts w:ascii="Times New Roman" w:hAnsi="Times New Roman"/>
                <w:sz w:val="24"/>
              </w:rPr>
              <w:t xml:space="preserve">. </w:t>
            </w:r>
          </w:p>
        </w:tc>
      </w:tr>
      <w:tr w:rsidR="000B0B09" w:rsidRPr="00E07C9A" w14:paraId="518A8218" w14:textId="77777777" w:rsidTr="00672D2A">
        <w:tc>
          <w:tcPr>
            <w:tcW w:w="988" w:type="dxa"/>
          </w:tcPr>
          <w:p w14:paraId="5DF1DDF0" w14:textId="77777777" w:rsidR="000B0B09" w:rsidRPr="00E07C9A" w:rsidRDefault="002F79EA" w:rsidP="00B74792">
            <w:pPr>
              <w:autoSpaceDE w:val="0"/>
              <w:autoSpaceDN w:val="0"/>
              <w:adjustRightInd w:val="0"/>
              <w:spacing w:before="0" w:after="0"/>
              <w:rPr>
                <w:rFonts w:ascii="Times New Roman" w:hAnsi="Times New Roman"/>
                <w:sz w:val="24"/>
              </w:rPr>
            </w:pPr>
            <w:r w:rsidRPr="00E07C9A">
              <w:rPr>
                <w:rFonts w:ascii="Times New Roman" w:hAnsi="Times New Roman"/>
                <w:sz w:val="24"/>
              </w:rPr>
              <w:t xml:space="preserve">0030 – 0040 </w:t>
            </w:r>
          </w:p>
        </w:tc>
        <w:tc>
          <w:tcPr>
            <w:tcW w:w="7874" w:type="dxa"/>
          </w:tcPr>
          <w:p w14:paraId="22DC25DE" w14:textId="77777777" w:rsidR="000B0B09" w:rsidRPr="00E07C9A" w:rsidRDefault="000B0B09" w:rsidP="000B0B09">
            <w:pPr>
              <w:autoSpaceDE w:val="0"/>
              <w:autoSpaceDN w:val="0"/>
              <w:adjustRightInd w:val="0"/>
              <w:spacing w:before="0" w:after="0"/>
              <w:rPr>
                <w:rFonts w:ascii="Times New Roman" w:hAnsi="Times New Roman"/>
                <w:b/>
                <w:bCs/>
                <w:sz w:val="24"/>
                <w:u w:val="single"/>
              </w:rPr>
            </w:pPr>
            <w:r w:rsidRPr="00E07C9A">
              <w:rPr>
                <w:rFonts w:ascii="Times New Roman" w:hAnsi="Times New Roman"/>
                <w:b/>
                <w:sz w:val="24"/>
                <w:u w:val="single"/>
              </w:rPr>
              <w:t>ČISTÉ POZÍCIE (DLHÉ A KRÁTKE)</w:t>
            </w:r>
          </w:p>
          <w:p w14:paraId="72A57BC7" w14:textId="0669F1A6" w:rsidR="000B0B09" w:rsidRPr="00E07C9A" w:rsidRDefault="000B0B09" w:rsidP="005F3BBE">
            <w:pPr>
              <w:autoSpaceDE w:val="0"/>
              <w:autoSpaceDN w:val="0"/>
              <w:adjustRightInd w:val="0"/>
              <w:rPr>
                <w:rFonts w:ascii="Times New Roman" w:hAnsi="Times New Roman"/>
                <w:sz w:val="24"/>
              </w:rPr>
            </w:pPr>
            <w:r w:rsidRPr="00E07C9A">
              <w:rPr>
                <w:rFonts w:ascii="Times New Roman" w:hAnsi="Times New Roman"/>
                <w:sz w:val="24"/>
              </w:rPr>
              <w:t>Články 327, 329, 332, 341</w:t>
            </w:r>
            <w:r w:rsidR="009912F8" w:rsidRPr="00E07C9A">
              <w:rPr>
                <w:rFonts w:ascii="Times New Roman" w:hAnsi="Times New Roman"/>
                <w:sz w:val="24"/>
              </w:rPr>
              <w:t xml:space="preserve"> a </w:t>
            </w:r>
            <w:r w:rsidRPr="00E07C9A">
              <w:rPr>
                <w:rFonts w:ascii="Times New Roman" w:hAnsi="Times New Roman"/>
                <w:sz w:val="24"/>
              </w:rPr>
              <w:t xml:space="preserve">345 nariadenia (EÚ) </w:t>
            </w:r>
            <w:r w:rsidR="009912F8" w:rsidRPr="00E07C9A">
              <w:rPr>
                <w:rFonts w:ascii="Times New Roman" w:hAnsi="Times New Roman"/>
                <w:sz w:val="24"/>
              </w:rPr>
              <w:t>č. 575/2013</w:t>
            </w:r>
            <w:r w:rsidRPr="00E07C9A">
              <w:rPr>
                <w:rFonts w:ascii="Times New Roman" w:hAnsi="Times New Roman"/>
                <w:sz w:val="24"/>
              </w:rPr>
              <w:t xml:space="preserve"> </w:t>
            </w:r>
          </w:p>
        </w:tc>
      </w:tr>
      <w:tr w:rsidR="000B0B09" w:rsidRPr="00E07C9A" w14:paraId="1ED40A34" w14:textId="77777777" w:rsidTr="00672D2A">
        <w:tc>
          <w:tcPr>
            <w:tcW w:w="988" w:type="dxa"/>
          </w:tcPr>
          <w:p w14:paraId="49ADB5D9" w14:textId="77777777" w:rsidR="000B0B09" w:rsidRPr="00E07C9A" w:rsidRDefault="002F79EA"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0050</w:t>
            </w:r>
          </w:p>
        </w:tc>
        <w:tc>
          <w:tcPr>
            <w:tcW w:w="7874" w:type="dxa"/>
          </w:tcPr>
          <w:p w14:paraId="28262B96" w14:textId="77777777" w:rsidR="000B0B09" w:rsidRPr="00E07C9A" w:rsidRDefault="000B0B09" w:rsidP="000B0B09">
            <w:pPr>
              <w:tabs>
                <w:tab w:val="left" w:pos="5795"/>
              </w:tabs>
              <w:autoSpaceDE w:val="0"/>
              <w:autoSpaceDN w:val="0"/>
              <w:adjustRightInd w:val="0"/>
              <w:spacing w:before="0" w:after="0"/>
              <w:rPr>
                <w:rFonts w:ascii="Times New Roman" w:hAnsi="Times New Roman"/>
                <w:b/>
                <w:bCs/>
                <w:sz w:val="24"/>
                <w:u w:val="single"/>
              </w:rPr>
            </w:pPr>
            <w:r w:rsidRPr="00E07C9A">
              <w:rPr>
                <w:rFonts w:ascii="Times New Roman" w:hAnsi="Times New Roman"/>
                <w:b/>
                <w:sz w:val="24"/>
                <w:u w:val="single"/>
              </w:rPr>
              <w:t>POZÍCIE, NA KTORÉ SA VZŤAHUJE KAPITÁLOVÁ POŽIADAVKA</w:t>
            </w:r>
          </w:p>
          <w:p w14:paraId="5B62E698" w14:textId="3191348F" w:rsidR="000B0B09" w:rsidRPr="00E07C9A" w:rsidRDefault="000B0B09" w:rsidP="005F3BBE">
            <w:pPr>
              <w:autoSpaceDE w:val="0"/>
              <w:autoSpaceDN w:val="0"/>
              <w:adjustRightInd w:val="0"/>
              <w:spacing w:after="0"/>
              <w:rPr>
                <w:rFonts w:ascii="Times New Roman" w:hAnsi="Times New Roman"/>
                <w:sz w:val="24"/>
              </w:rPr>
            </w:pPr>
            <w:r w:rsidRPr="00E07C9A">
              <w:rPr>
                <w:rFonts w:ascii="Times New Roman" w:hAnsi="Times New Roman"/>
                <w:sz w:val="24"/>
              </w:rPr>
              <w:t>Čisté pozície, na ktoré sa podľa rôznych prístupov</w:t>
            </w:r>
            <w:r w:rsidR="009912F8" w:rsidRPr="00E07C9A">
              <w:rPr>
                <w:rFonts w:ascii="Times New Roman" w:hAnsi="Times New Roman"/>
                <w:sz w:val="24"/>
              </w:rPr>
              <w:t xml:space="preserve"> v </w:t>
            </w:r>
            <w:r w:rsidRPr="00E07C9A">
              <w:rPr>
                <w:rFonts w:ascii="Times New Roman" w:hAnsi="Times New Roman"/>
                <w:sz w:val="24"/>
              </w:rPr>
              <w:t xml:space="preserve">tretej časti hlave IV kapitole 2 nariadenia (EÚ) </w:t>
            </w:r>
            <w:r w:rsidR="009912F8" w:rsidRPr="00E07C9A">
              <w:rPr>
                <w:rFonts w:ascii="Times New Roman" w:hAnsi="Times New Roman"/>
                <w:sz w:val="24"/>
              </w:rPr>
              <w:t>č. 575/2013</w:t>
            </w:r>
            <w:r w:rsidRPr="00E07C9A">
              <w:rPr>
                <w:rFonts w:ascii="Times New Roman" w:hAnsi="Times New Roman"/>
                <w:sz w:val="24"/>
              </w:rPr>
              <w:t xml:space="preserve"> vzťahuje kapitálová požiadavka. Kapitálová požiadavka sa počíta samostatne pre každý vnútroštátny trh. Do tohto stĺpca sa podľa článku 344 ods. 4 druhej vety nariadenia (EÚ) </w:t>
            </w:r>
            <w:r w:rsidR="009912F8" w:rsidRPr="00E07C9A">
              <w:rPr>
                <w:rFonts w:ascii="Times New Roman" w:hAnsi="Times New Roman"/>
                <w:sz w:val="24"/>
              </w:rPr>
              <w:t>č. 575/2013</w:t>
            </w:r>
            <w:r w:rsidRPr="00E07C9A">
              <w:rPr>
                <w:rFonts w:ascii="Times New Roman" w:hAnsi="Times New Roman"/>
                <w:sz w:val="24"/>
              </w:rPr>
              <w:t xml:space="preserve"> nezahŕňajú pozície vo futures na akciový index.</w:t>
            </w:r>
          </w:p>
          <w:p w14:paraId="7C352B88" w14:textId="77777777" w:rsidR="000B0B09" w:rsidRPr="00E07C9A"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E07C9A" w14:paraId="57DD60D2" w14:textId="77777777" w:rsidTr="00672D2A">
        <w:tc>
          <w:tcPr>
            <w:tcW w:w="988" w:type="dxa"/>
          </w:tcPr>
          <w:p w14:paraId="479821DD" w14:textId="77777777" w:rsidR="000B0B09" w:rsidRPr="00E07C9A" w:rsidRDefault="002F79EA"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0060</w:t>
            </w:r>
          </w:p>
        </w:tc>
        <w:tc>
          <w:tcPr>
            <w:tcW w:w="7874" w:type="dxa"/>
          </w:tcPr>
          <w:p w14:paraId="3258053C" w14:textId="77777777" w:rsidR="000B0B09" w:rsidRPr="00E07C9A" w:rsidRDefault="000B0B09" w:rsidP="000B0B09">
            <w:pPr>
              <w:tabs>
                <w:tab w:val="left" w:pos="1665"/>
              </w:tabs>
              <w:autoSpaceDE w:val="0"/>
              <w:autoSpaceDN w:val="0"/>
              <w:adjustRightInd w:val="0"/>
              <w:spacing w:before="0" w:after="0"/>
              <w:rPr>
                <w:rFonts w:ascii="Times New Roman" w:hAnsi="Times New Roman"/>
                <w:b/>
                <w:bCs/>
                <w:sz w:val="24"/>
                <w:u w:val="single"/>
              </w:rPr>
            </w:pPr>
            <w:r w:rsidRPr="00E07C9A">
              <w:rPr>
                <w:rFonts w:ascii="Times New Roman" w:hAnsi="Times New Roman"/>
                <w:b/>
                <w:sz w:val="24"/>
                <w:u w:val="single"/>
              </w:rPr>
              <w:t>POŽIADAVKY NA VLASTNÉ ZDROJE</w:t>
            </w:r>
          </w:p>
          <w:p w14:paraId="75CDA27D" w14:textId="75331136" w:rsidR="000B0B09" w:rsidRPr="00E07C9A" w:rsidRDefault="000B0B09" w:rsidP="005F3BBE">
            <w:pPr>
              <w:autoSpaceDE w:val="0"/>
              <w:autoSpaceDN w:val="0"/>
              <w:adjustRightInd w:val="0"/>
              <w:spacing w:after="0"/>
              <w:rPr>
                <w:rFonts w:ascii="Times New Roman" w:hAnsi="Times New Roman"/>
                <w:sz w:val="24"/>
              </w:rPr>
            </w:pPr>
            <w:r w:rsidRPr="00E07C9A">
              <w:rPr>
                <w:rFonts w:ascii="Times New Roman" w:hAnsi="Times New Roman"/>
                <w:sz w:val="24"/>
              </w:rPr>
              <w:t>Kapitálová požiadavka pre všetky relevantné pozície</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treťou časťou hlavou IV kapitolou 2 nariadenia (EÚ) </w:t>
            </w:r>
            <w:r w:rsidR="009912F8" w:rsidRPr="00E07C9A">
              <w:rPr>
                <w:rFonts w:ascii="Times New Roman" w:hAnsi="Times New Roman"/>
                <w:sz w:val="24"/>
              </w:rPr>
              <w:t>č. 575/2013</w:t>
            </w:r>
            <w:r w:rsidRPr="00E07C9A">
              <w:rPr>
                <w:rFonts w:ascii="Times New Roman" w:hAnsi="Times New Roman"/>
                <w:sz w:val="24"/>
              </w:rPr>
              <w:t>.</w:t>
            </w:r>
          </w:p>
          <w:p w14:paraId="6CDF917D" w14:textId="77777777" w:rsidR="000B0B09" w:rsidRPr="00E07C9A"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tc>
      </w:tr>
      <w:tr w:rsidR="000B0B09" w:rsidRPr="00E07C9A" w14:paraId="62F4C373" w14:textId="77777777" w:rsidTr="00672D2A">
        <w:tc>
          <w:tcPr>
            <w:tcW w:w="988" w:type="dxa"/>
          </w:tcPr>
          <w:p w14:paraId="62D82E3B" w14:textId="77777777" w:rsidR="000B0B09" w:rsidRPr="00E07C9A" w:rsidRDefault="002F79EA"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0070</w:t>
            </w:r>
          </w:p>
        </w:tc>
        <w:tc>
          <w:tcPr>
            <w:tcW w:w="7874" w:type="dxa"/>
          </w:tcPr>
          <w:p w14:paraId="1A727463" w14:textId="77777777" w:rsidR="000B0B09" w:rsidRPr="00E07C9A" w:rsidRDefault="000B0B09" w:rsidP="000B0B09">
            <w:pPr>
              <w:tabs>
                <w:tab w:val="left" w:pos="1665"/>
              </w:tabs>
              <w:autoSpaceDE w:val="0"/>
              <w:autoSpaceDN w:val="0"/>
              <w:adjustRightInd w:val="0"/>
              <w:spacing w:before="0" w:after="0"/>
              <w:rPr>
                <w:rFonts w:ascii="Times New Roman" w:hAnsi="Times New Roman"/>
                <w:b/>
                <w:bCs/>
                <w:sz w:val="24"/>
                <w:u w:val="single"/>
              </w:rPr>
            </w:pPr>
            <w:r w:rsidRPr="00E07C9A">
              <w:rPr>
                <w:rFonts w:ascii="Times New Roman" w:hAnsi="Times New Roman"/>
                <w:b/>
                <w:sz w:val="24"/>
                <w:u w:val="single"/>
              </w:rPr>
              <w:t>CELKOVÁ HODNOTA RIZIKOVEJ EXPOZÍCIE</w:t>
            </w:r>
          </w:p>
          <w:p w14:paraId="44B1D581" w14:textId="784A1C09" w:rsidR="009912F8" w:rsidRPr="00E07C9A" w:rsidRDefault="000B0B09" w:rsidP="005F3BBE">
            <w:pPr>
              <w:tabs>
                <w:tab w:val="left" w:pos="1665"/>
              </w:tabs>
              <w:autoSpaceDE w:val="0"/>
              <w:autoSpaceDN w:val="0"/>
              <w:adjustRightInd w:val="0"/>
              <w:spacing w:after="0"/>
              <w:rPr>
                <w:rFonts w:ascii="Times New Roman" w:hAnsi="Times New Roman"/>
                <w:sz w:val="24"/>
              </w:rPr>
            </w:pPr>
            <w:r w:rsidRPr="00E07C9A">
              <w:rPr>
                <w:rFonts w:ascii="Times New Roman" w:hAnsi="Times New Roman"/>
                <w:sz w:val="24"/>
              </w:rPr>
              <w:t xml:space="preserve">Článok 92 ods. 4 písm. b) nariadenia (EÚ) </w:t>
            </w:r>
            <w:r w:rsidR="009912F8" w:rsidRPr="00E07C9A">
              <w:rPr>
                <w:rFonts w:ascii="Times New Roman" w:hAnsi="Times New Roman"/>
                <w:sz w:val="24"/>
              </w:rPr>
              <w:t>č. 575/2013</w:t>
            </w:r>
          </w:p>
          <w:p w14:paraId="5D42B3B3" w14:textId="7337F4A8" w:rsidR="000B0B09" w:rsidRPr="00E07C9A" w:rsidRDefault="000B0B09" w:rsidP="00B828CC">
            <w:pPr>
              <w:tabs>
                <w:tab w:val="left" w:pos="1665"/>
              </w:tabs>
              <w:autoSpaceDE w:val="0"/>
              <w:autoSpaceDN w:val="0"/>
              <w:adjustRightInd w:val="0"/>
              <w:rPr>
                <w:rFonts w:ascii="Times New Roman" w:hAnsi="Times New Roman"/>
                <w:b/>
                <w:bCs/>
                <w:sz w:val="24"/>
                <w:u w:val="single"/>
              </w:rPr>
            </w:pPr>
            <w:r w:rsidRPr="00E07C9A">
              <w:rPr>
                <w:rFonts w:ascii="Times New Roman" w:hAnsi="Times New Roman"/>
                <w:sz w:val="24"/>
              </w:rPr>
              <w:t xml:space="preserve">Výsledok vynásobenia požiadaviek na vlastné zdroje koeficientom 12,5. </w:t>
            </w:r>
          </w:p>
        </w:tc>
      </w:tr>
    </w:tbl>
    <w:p w14:paraId="62FB026B" w14:textId="77777777" w:rsidR="000B0B09" w:rsidRPr="00E07C9A"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8057"/>
      </w:tblGrid>
      <w:tr w:rsidR="000B0B09" w:rsidRPr="00E07C9A" w14:paraId="4775591D" w14:textId="77777777" w:rsidTr="00672D2A">
        <w:trPr>
          <w:trHeight w:val="662"/>
        </w:trPr>
        <w:tc>
          <w:tcPr>
            <w:tcW w:w="9212" w:type="dxa"/>
            <w:gridSpan w:val="2"/>
            <w:shd w:val="clear" w:color="auto" w:fill="CCCCCC"/>
          </w:tcPr>
          <w:p w14:paraId="5298B570" w14:textId="77777777" w:rsidR="000B0B09" w:rsidRPr="00E07C9A" w:rsidRDefault="000B0B09" w:rsidP="000B0B09">
            <w:pPr>
              <w:autoSpaceDE w:val="0"/>
              <w:autoSpaceDN w:val="0"/>
              <w:adjustRightInd w:val="0"/>
              <w:spacing w:after="0"/>
              <w:rPr>
                <w:rFonts w:ascii="Times New Roman" w:hAnsi="Times New Roman"/>
                <w:b/>
                <w:sz w:val="24"/>
              </w:rPr>
            </w:pPr>
            <w:r w:rsidRPr="00E07C9A">
              <w:rPr>
                <w:rFonts w:ascii="Times New Roman" w:hAnsi="Times New Roman"/>
                <w:b/>
                <w:sz w:val="24"/>
              </w:rPr>
              <w:t>Riadky</w:t>
            </w:r>
          </w:p>
        </w:tc>
      </w:tr>
      <w:tr w:rsidR="000B0B09" w:rsidRPr="00E07C9A" w14:paraId="7546B05C" w14:textId="77777777" w:rsidTr="00672D2A">
        <w:tc>
          <w:tcPr>
            <w:tcW w:w="1008" w:type="dxa"/>
          </w:tcPr>
          <w:p w14:paraId="7BE875B0" w14:textId="77777777" w:rsidR="000B0B09" w:rsidRPr="00E07C9A" w:rsidRDefault="002F79EA" w:rsidP="00B74792">
            <w:pPr>
              <w:autoSpaceDE w:val="0"/>
              <w:autoSpaceDN w:val="0"/>
              <w:adjustRightInd w:val="0"/>
              <w:spacing w:before="0" w:after="0"/>
              <w:rPr>
                <w:rFonts w:ascii="Times New Roman" w:hAnsi="Times New Roman"/>
                <w:sz w:val="24"/>
              </w:rPr>
            </w:pPr>
            <w:r w:rsidRPr="00E07C9A">
              <w:rPr>
                <w:rFonts w:ascii="Times New Roman" w:hAnsi="Times New Roman"/>
                <w:sz w:val="24"/>
              </w:rPr>
              <w:t>0010 –⁠ 0130</w:t>
            </w:r>
          </w:p>
        </w:tc>
        <w:tc>
          <w:tcPr>
            <w:tcW w:w="8204" w:type="dxa"/>
          </w:tcPr>
          <w:p w14:paraId="1FF7DE12" w14:textId="04B6DE21" w:rsidR="000B0B09" w:rsidRPr="00E07C9A" w:rsidRDefault="000B0B09" w:rsidP="000B0B09">
            <w:pPr>
              <w:autoSpaceDE w:val="0"/>
              <w:autoSpaceDN w:val="0"/>
              <w:adjustRightInd w:val="0"/>
              <w:spacing w:before="0" w:after="0"/>
              <w:rPr>
                <w:rFonts w:ascii="Times New Roman" w:hAnsi="Times New Roman"/>
                <w:b/>
                <w:bCs/>
                <w:sz w:val="24"/>
                <w:u w:val="single"/>
              </w:rPr>
            </w:pPr>
            <w:r w:rsidRPr="00E07C9A">
              <w:rPr>
                <w:rFonts w:ascii="Times New Roman" w:hAnsi="Times New Roman"/>
                <w:b/>
                <w:sz w:val="24"/>
                <w:u w:val="single"/>
              </w:rPr>
              <w:t>KAPITÁLOVÉ CENNÉ PAPIERE</w:t>
            </w:r>
            <w:r w:rsidR="009912F8" w:rsidRPr="00E07C9A">
              <w:rPr>
                <w:rFonts w:ascii="Times New Roman" w:hAnsi="Times New Roman"/>
                <w:b/>
                <w:sz w:val="24"/>
                <w:u w:val="single"/>
              </w:rPr>
              <w:t xml:space="preserve"> V </w:t>
            </w:r>
            <w:r w:rsidRPr="00E07C9A">
              <w:rPr>
                <w:rFonts w:ascii="Times New Roman" w:hAnsi="Times New Roman"/>
                <w:b/>
                <w:sz w:val="24"/>
                <w:u w:val="single"/>
              </w:rPr>
              <w:t>OBCHODNEJ KNIHE</w:t>
            </w:r>
          </w:p>
          <w:p w14:paraId="030F1935" w14:textId="1DEE5EB4" w:rsidR="000B0B09" w:rsidRPr="00E07C9A" w:rsidRDefault="000B0B09" w:rsidP="007062FD">
            <w:pPr>
              <w:tabs>
                <w:tab w:val="left" w:pos="1665"/>
              </w:tabs>
              <w:autoSpaceDE w:val="0"/>
              <w:autoSpaceDN w:val="0"/>
              <w:adjustRightInd w:val="0"/>
              <w:rPr>
                <w:rFonts w:ascii="Times New Roman" w:hAnsi="Times New Roman"/>
                <w:sz w:val="24"/>
              </w:rPr>
            </w:pPr>
            <w:r w:rsidRPr="00E07C9A">
              <w:rPr>
                <w:rFonts w:ascii="Times New Roman" w:hAnsi="Times New Roman"/>
                <w:sz w:val="24"/>
              </w:rPr>
              <w:t xml:space="preserve">Požiadavky na vlastné zdroje pre pozičné riziko podľa článku 92 ods. 3 písm. b) bodu i) nariadenia (EÚ) </w:t>
            </w:r>
            <w:r w:rsidR="009912F8" w:rsidRPr="00E07C9A">
              <w:rPr>
                <w:rFonts w:ascii="Times New Roman" w:hAnsi="Times New Roman"/>
                <w:sz w:val="24"/>
              </w:rPr>
              <w:t>č. 575/2013 a </w:t>
            </w:r>
            <w:r w:rsidRPr="00E07C9A">
              <w:rPr>
                <w:rFonts w:ascii="Times New Roman" w:hAnsi="Times New Roman"/>
                <w:sz w:val="24"/>
              </w:rPr>
              <w:t>tretej časti hlavy IV kapitoly 2 oddielu 3 uvedeného nariadenia.</w:t>
            </w:r>
          </w:p>
        </w:tc>
      </w:tr>
      <w:tr w:rsidR="000B0B09" w:rsidRPr="00E07C9A" w14:paraId="06FCC7F1" w14:textId="77777777" w:rsidTr="00672D2A">
        <w:tc>
          <w:tcPr>
            <w:tcW w:w="1008" w:type="dxa"/>
          </w:tcPr>
          <w:p w14:paraId="33E8BCC6" w14:textId="77777777" w:rsidR="000B0B09" w:rsidRPr="00E07C9A" w:rsidRDefault="002F79EA" w:rsidP="00B74792">
            <w:pPr>
              <w:autoSpaceDE w:val="0"/>
              <w:autoSpaceDN w:val="0"/>
              <w:adjustRightInd w:val="0"/>
              <w:spacing w:before="0" w:after="0"/>
              <w:rPr>
                <w:rFonts w:ascii="Times New Roman" w:hAnsi="Times New Roman"/>
                <w:sz w:val="24"/>
              </w:rPr>
            </w:pPr>
            <w:r w:rsidRPr="00E07C9A">
              <w:rPr>
                <w:rFonts w:ascii="Times New Roman" w:hAnsi="Times New Roman"/>
                <w:sz w:val="24"/>
              </w:rPr>
              <w:t>0020 – 0040</w:t>
            </w:r>
          </w:p>
        </w:tc>
        <w:tc>
          <w:tcPr>
            <w:tcW w:w="8204" w:type="dxa"/>
          </w:tcPr>
          <w:p w14:paraId="029ED25F" w14:textId="77777777" w:rsidR="000B0B09" w:rsidRPr="00E07C9A" w:rsidRDefault="000B0B09" w:rsidP="000B0B09">
            <w:pPr>
              <w:autoSpaceDE w:val="0"/>
              <w:autoSpaceDN w:val="0"/>
              <w:adjustRightInd w:val="0"/>
              <w:spacing w:before="0" w:after="0"/>
              <w:rPr>
                <w:rFonts w:ascii="Times New Roman" w:hAnsi="Times New Roman"/>
                <w:b/>
                <w:bCs/>
                <w:sz w:val="24"/>
                <w:u w:val="single"/>
              </w:rPr>
            </w:pPr>
            <w:r w:rsidRPr="00E07C9A">
              <w:rPr>
                <w:rFonts w:ascii="Times New Roman" w:hAnsi="Times New Roman"/>
                <w:b/>
                <w:sz w:val="24"/>
                <w:u w:val="single"/>
              </w:rPr>
              <w:t>VŠEOBECNÉ RIZIKO</w:t>
            </w:r>
          </w:p>
          <w:p w14:paraId="2B8DE38D" w14:textId="7B6AEC45" w:rsidR="009912F8" w:rsidRPr="00E07C9A" w:rsidRDefault="000B0B09" w:rsidP="005F3BBE">
            <w:pPr>
              <w:autoSpaceDE w:val="0"/>
              <w:autoSpaceDN w:val="0"/>
              <w:adjustRightInd w:val="0"/>
              <w:rPr>
                <w:rFonts w:ascii="Times New Roman" w:hAnsi="Times New Roman"/>
                <w:sz w:val="24"/>
              </w:rPr>
            </w:pPr>
            <w:r w:rsidRPr="00E07C9A">
              <w:rPr>
                <w:rFonts w:ascii="Times New Roman" w:hAnsi="Times New Roman"/>
                <w:sz w:val="24"/>
              </w:rPr>
              <w:t>Pozície</w:t>
            </w:r>
            <w:r w:rsidR="009912F8" w:rsidRPr="00E07C9A">
              <w:rPr>
                <w:rFonts w:ascii="Times New Roman" w:hAnsi="Times New Roman"/>
                <w:sz w:val="24"/>
              </w:rPr>
              <w:t xml:space="preserve"> v </w:t>
            </w:r>
            <w:r w:rsidRPr="00E07C9A">
              <w:rPr>
                <w:rFonts w:ascii="Times New Roman" w:hAnsi="Times New Roman"/>
                <w:sz w:val="24"/>
              </w:rPr>
              <w:t xml:space="preserve">kapitálových cenných papieroch, ktoré podliehajú všeobecnému riziku [článok 343 nariadenia (EÚ) </w:t>
            </w:r>
            <w:r w:rsidR="009912F8" w:rsidRPr="00E07C9A">
              <w:rPr>
                <w:rFonts w:ascii="Times New Roman" w:hAnsi="Times New Roman"/>
                <w:sz w:val="24"/>
              </w:rPr>
              <w:t>č. 575/2013</w:t>
            </w:r>
            <w:r w:rsidRPr="00E07C9A">
              <w:rPr>
                <w:rFonts w:ascii="Times New Roman" w:hAnsi="Times New Roman"/>
                <w:sz w:val="24"/>
              </w:rPr>
              <w:t>],</w:t>
            </w:r>
            <w:r w:rsidR="009912F8" w:rsidRPr="00E07C9A">
              <w:rPr>
                <w:rFonts w:ascii="Times New Roman" w:hAnsi="Times New Roman"/>
                <w:sz w:val="24"/>
              </w:rPr>
              <w:t xml:space="preserve"> a </w:t>
            </w:r>
            <w:r w:rsidRPr="00E07C9A">
              <w:rPr>
                <w:rFonts w:ascii="Times New Roman" w:hAnsi="Times New Roman"/>
                <w:sz w:val="24"/>
              </w:rPr>
              <w:t>ich zodpovedajúca požiadavka na vlastné zdroje</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treťou časťou hlavou IV kapitolou 2 oddielom 3 uvedeného nariadenia</w:t>
            </w:r>
            <w:r w:rsidR="009912F8" w:rsidRPr="00E07C9A">
              <w:rPr>
                <w:rFonts w:ascii="Times New Roman" w:hAnsi="Times New Roman"/>
                <w:sz w:val="24"/>
              </w:rPr>
              <w:t>.</w:t>
            </w:r>
          </w:p>
          <w:p w14:paraId="729400AD" w14:textId="02705C34" w:rsidR="001E0C80" w:rsidRPr="00E07C9A" w:rsidRDefault="000B0B09" w:rsidP="005F3BBE">
            <w:pPr>
              <w:autoSpaceDE w:val="0"/>
              <w:autoSpaceDN w:val="0"/>
              <w:adjustRightInd w:val="0"/>
              <w:spacing w:before="0"/>
              <w:rPr>
                <w:rFonts w:ascii="Times New Roman" w:hAnsi="Times New Roman"/>
                <w:sz w:val="24"/>
              </w:rPr>
            </w:pPr>
            <w:r w:rsidRPr="00E07C9A">
              <w:rPr>
                <w:rFonts w:ascii="Times New Roman" w:hAnsi="Times New Roman"/>
                <w:sz w:val="24"/>
              </w:rPr>
              <w:t>Obidve rozčlenenia (riadky 0021/0022 aj riadky 0030/0040) sú rozčlenenia týkajúce sa všetkých pozícií podliehajúcich všeobecnému riziku.</w:t>
            </w:r>
          </w:p>
          <w:p w14:paraId="4D6369A1" w14:textId="1E7390C3" w:rsidR="009912F8" w:rsidRPr="00E07C9A" w:rsidRDefault="000B0B09">
            <w:pPr>
              <w:autoSpaceDE w:val="0"/>
              <w:autoSpaceDN w:val="0"/>
              <w:adjustRightInd w:val="0"/>
              <w:spacing w:before="0" w:after="0"/>
              <w:rPr>
                <w:rFonts w:ascii="Times New Roman" w:hAnsi="Times New Roman"/>
                <w:sz w:val="24"/>
              </w:rPr>
            </w:pPr>
            <w:r w:rsidRPr="00E07C9A">
              <w:rPr>
                <w:rFonts w:ascii="Times New Roman" w:hAnsi="Times New Roman"/>
                <w:sz w:val="24"/>
              </w:rPr>
              <w:t>V riadkoch 0021</w:t>
            </w:r>
            <w:r w:rsidR="009912F8" w:rsidRPr="00E07C9A">
              <w:rPr>
                <w:rFonts w:ascii="Times New Roman" w:hAnsi="Times New Roman"/>
                <w:sz w:val="24"/>
              </w:rPr>
              <w:t xml:space="preserve"> a </w:t>
            </w:r>
            <w:r w:rsidRPr="00E07C9A">
              <w:rPr>
                <w:rFonts w:ascii="Times New Roman" w:hAnsi="Times New Roman"/>
                <w:sz w:val="24"/>
              </w:rPr>
              <w:t>0022 sa vyžadujú informácie</w:t>
            </w:r>
            <w:r w:rsidR="009912F8" w:rsidRPr="00E07C9A">
              <w:rPr>
                <w:rFonts w:ascii="Times New Roman" w:hAnsi="Times New Roman"/>
                <w:sz w:val="24"/>
              </w:rPr>
              <w:t xml:space="preserve"> o </w:t>
            </w:r>
            <w:r w:rsidRPr="00E07C9A">
              <w:rPr>
                <w:rFonts w:ascii="Times New Roman" w:hAnsi="Times New Roman"/>
                <w:sz w:val="24"/>
              </w:rPr>
              <w:t>rozčlenení podľa nástrojov</w:t>
            </w:r>
            <w:r w:rsidR="009912F8" w:rsidRPr="00E07C9A">
              <w:rPr>
                <w:rFonts w:ascii="Times New Roman" w:hAnsi="Times New Roman"/>
                <w:sz w:val="24"/>
              </w:rPr>
              <w:t>.</w:t>
            </w:r>
          </w:p>
          <w:p w14:paraId="75FD06DA" w14:textId="6010D6F0" w:rsidR="000B0B09" w:rsidRPr="00E07C9A" w:rsidRDefault="000B0B09" w:rsidP="00B828CC">
            <w:pPr>
              <w:tabs>
                <w:tab w:val="left" w:pos="1665"/>
              </w:tabs>
              <w:autoSpaceDE w:val="0"/>
              <w:autoSpaceDN w:val="0"/>
              <w:adjustRightInd w:val="0"/>
              <w:rPr>
                <w:rFonts w:ascii="Times New Roman" w:hAnsi="Times New Roman"/>
                <w:sz w:val="24"/>
              </w:rPr>
            </w:pPr>
            <w:r w:rsidRPr="00E07C9A">
              <w:rPr>
                <w:rFonts w:ascii="Times New Roman" w:hAnsi="Times New Roman"/>
                <w:sz w:val="24"/>
              </w:rPr>
              <w:t>Ako základ na výpočet požiadaviek na vlastné zdroje sa používa len rozčlenenie</w:t>
            </w:r>
            <w:r w:rsidR="009912F8" w:rsidRPr="00E07C9A">
              <w:rPr>
                <w:rFonts w:ascii="Times New Roman" w:hAnsi="Times New Roman"/>
                <w:sz w:val="24"/>
              </w:rPr>
              <w:t xml:space="preserve"> v </w:t>
            </w:r>
            <w:r w:rsidRPr="00E07C9A">
              <w:rPr>
                <w:rFonts w:ascii="Times New Roman" w:hAnsi="Times New Roman"/>
                <w:sz w:val="24"/>
              </w:rPr>
              <w:t>riadkoch 0030</w:t>
            </w:r>
            <w:r w:rsidR="009912F8" w:rsidRPr="00E07C9A">
              <w:rPr>
                <w:rFonts w:ascii="Times New Roman" w:hAnsi="Times New Roman"/>
                <w:sz w:val="24"/>
              </w:rPr>
              <w:t xml:space="preserve"> a </w:t>
            </w:r>
            <w:r w:rsidRPr="00E07C9A">
              <w:rPr>
                <w:rFonts w:ascii="Times New Roman" w:hAnsi="Times New Roman"/>
                <w:sz w:val="24"/>
              </w:rPr>
              <w:t>0040.</w:t>
            </w:r>
          </w:p>
        </w:tc>
      </w:tr>
      <w:tr w:rsidR="000B0B09" w:rsidRPr="00E07C9A" w14:paraId="7E2E7066" w14:textId="77777777" w:rsidTr="00672D2A">
        <w:tc>
          <w:tcPr>
            <w:tcW w:w="1008" w:type="dxa"/>
          </w:tcPr>
          <w:p w14:paraId="2A8F2E03" w14:textId="77777777" w:rsidR="000B0B09" w:rsidRPr="00E07C9A" w:rsidRDefault="002F79EA"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0021</w:t>
            </w:r>
          </w:p>
        </w:tc>
        <w:tc>
          <w:tcPr>
            <w:tcW w:w="8204" w:type="dxa"/>
          </w:tcPr>
          <w:p w14:paraId="51E4EB2D" w14:textId="77777777" w:rsidR="000B0B09" w:rsidRPr="00E07C9A" w:rsidRDefault="000B0B09" w:rsidP="000B0B09">
            <w:pPr>
              <w:autoSpaceDE w:val="0"/>
              <w:autoSpaceDN w:val="0"/>
              <w:adjustRightInd w:val="0"/>
              <w:spacing w:before="0" w:after="0"/>
              <w:rPr>
                <w:rFonts w:ascii="Times New Roman" w:hAnsi="Times New Roman"/>
                <w:b/>
                <w:sz w:val="24"/>
                <w:u w:val="single"/>
              </w:rPr>
            </w:pPr>
            <w:r w:rsidRPr="00E07C9A">
              <w:rPr>
                <w:rFonts w:ascii="Times New Roman" w:hAnsi="Times New Roman"/>
                <w:b/>
                <w:sz w:val="24"/>
                <w:u w:val="single"/>
              </w:rPr>
              <w:t>Deriváty</w:t>
            </w:r>
          </w:p>
          <w:p w14:paraId="561EFF21" w14:textId="569C595D" w:rsidR="000B0B09" w:rsidRPr="00E07C9A" w:rsidRDefault="000B0B09" w:rsidP="005F3BBE">
            <w:pPr>
              <w:autoSpaceDE w:val="0"/>
              <w:autoSpaceDN w:val="0"/>
              <w:adjustRightInd w:val="0"/>
              <w:rPr>
                <w:rFonts w:ascii="Times New Roman" w:hAnsi="Times New Roman"/>
                <w:b/>
                <w:bCs/>
                <w:sz w:val="24"/>
                <w:u w:val="single"/>
              </w:rPr>
            </w:pPr>
            <w:r w:rsidRPr="00E07C9A">
              <w:rPr>
                <w:rFonts w:ascii="Times New Roman" w:hAnsi="Times New Roman"/>
                <w:sz w:val="24"/>
              </w:rPr>
              <w:t>Deriváty zahrnuté vo výpočte akciového rizika pozícií</w:t>
            </w:r>
            <w:r w:rsidR="009912F8" w:rsidRPr="00E07C9A">
              <w:rPr>
                <w:rFonts w:ascii="Times New Roman" w:hAnsi="Times New Roman"/>
                <w:sz w:val="24"/>
              </w:rPr>
              <w:t xml:space="preserve"> v </w:t>
            </w:r>
            <w:r w:rsidRPr="00E07C9A">
              <w:rPr>
                <w:rFonts w:ascii="Times New Roman" w:hAnsi="Times New Roman"/>
                <w:sz w:val="24"/>
              </w:rPr>
              <w:t>obchodnej knihe so zohľadnením článkov 329</w:t>
            </w:r>
            <w:r w:rsidR="009912F8" w:rsidRPr="00E07C9A">
              <w:rPr>
                <w:rFonts w:ascii="Times New Roman" w:hAnsi="Times New Roman"/>
                <w:sz w:val="24"/>
              </w:rPr>
              <w:t xml:space="preserve"> a </w:t>
            </w:r>
            <w:r w:rsidRPr="00E07C9A">
              <w:rPr>
                <w:rFonts w:ascii="Times New Roman" w:hAnsi="Times New Roman"/>
                <w:sz w:val="24"/>
              </w:rPr>
              <w:t xml:space="preserve">332 nariadenia (EÚ) </w:t>
            </w:r>
            <w:r w:rsidR="009912F8" w:rsidRPr="00E07C9A">
              <w:rPr>
                <w:rFonts w:ascii="Times New Roman" w:hAnsi="Times New Roman"/>
                <w:sz w:val="24"/>
              </w:rPr>
              <w:t>č. 575/2013</w:t>
            </w:r>
            <w:r w:rsidRPr="00E07C9A">
              <w:rPr>
                <w:rFonts w:ascii="Times New Roman" w:hAnsi="Times New Roman"/>
                <w:sz w:val="24"/>
              </w:rPr>
              <w:t>, ak sú uplatniteľné.</w:t>
            </w:r>
          </w:p>
        </w:tc>
      </w:tr>
      <w:tr w:rsidR="000B0B09" w:rsidRPr="00E07C9A" w14:paraId="70CC2A6A" w14:textId="77777777" w:rsidTr="00672D2A">
        <w:tc>
          <w:tcPr>
            <w:tcW w:w="1008" w:type="dxa"/>
          </w:tcPr>
          <w:p w14:paraId="569AE9F8" w14:textId="77777777" w:rsidR="000B0B09" w:rsidRPr="00E07C9A" w:rsidRDefault="002F79EA"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0022</w:t>
            </w:r>
          </w:p>
        </w:tc>
        <w:tc>
          <w:tcPr>
            <w:tcW w:w="8204" w:type="dxa"/>
          </w:tcPr>
          <w:p w14:paraId="100EC51C" w14:textId="5D4786F5" w:rsidR="000B0B09" w:rsidRPr="00E07C9A" w:rsidRDefault="000B0B09" w:rsidP="000B0B09">
            <w:pPr>
              <w:autoSpaceDE w:val="0"/>
              <w:autoSpaceDN w:val="0"/>
              <w:adjustRightInd w:val="0"/>
              <w:spacing w:before="0" w:after="0"/>
              <w:rPr>
                <w:rFonts w:ascii="Times New Roman" w:hAnsi="Times New Roman"/>
                <w:b/>
                <w:sz w:val="24"/>
                <w:u w:val="single"/>
              </w:rPr>
            </w:pPr>
            <w:r w:rsidRPr="00E07C9A">
              <w:rPr>
                <w:rFonts w:ascii="Times New Roman" w:hAnsi="Times New Roman"/>
                <w:b/>
                <w:sz w:val="24"/>
                <w:u w:val="single"/>
              </w:rPr>
              <w:t>Ostatné aktíva</w:t>
            </w:r>
            <w:r w:rsidR="009912F8" w:rsidRPr="00E07C9A">
              <w:rPr>
                <w:rFonts w:ascii="Times New Roman" w:hAnsi="Times New Roman"/>
                <w:b/>
                <w:sz w:val="24"/>
                <w:u w:val="single"/>
              </w:rPr>
              <w:t xml:space="preserve"> a </w:t>
            </w:r>
            <w:r w:rsidRPr="00E07C9A">
              <w:rPr>
                <w:rFonts w:ascii="Times New Roman" w:hAnsi="Times New Roman"/>
                <w:b/>
                <w:sz w:val="24"/>
                <w:u w:val="single"/>
              </w:rPr>
              <w:t>záväzky</w:t>
            </w:r>
          </w:p>
          <w:p w14:paraId="21AC79DF" w14:textId="174867A0" w:rsidR="000B0B09" w:rsidRPr="00E07C9A" w:rsidRDefault="000B0B09" w:rsidP="005F3BBE">
            <w:pPr>
              <w:autoSpaceDE w:val="0"/>
              <w:autoSpaceDN w:val="0"/>
              <w:adjustRightInd w:val="0"/>
              <w:rPr>
                <w:rFonts w:ascii="Times New Roman" w:hAnsi="Times New Roman"/>
                <w:b/>
                <w:bCs/>
                <w:sz w:val="24"/>
                <w:u w:val="single"/>
              </w:rPr>
            </w:pPr>
            <w:r w:rsidRPr="00E07C9A">
              <w:rPr>
                <w:rFonts w:ascii="Times New Roman" w:hAnsi="Times New Roman"/>
                <w:sz w:val="24"/>
              </w:rPr>
              <w:t>Nástroje iné než deriváty zahrnuté vo výpočte akciového rizika pozícií</w:t>
            </w:r>
            <w:r w:rsidR="009912F8" w:rsidRPr="00E07C9A">
              <w:rPr>
                <w:rFonts w:ascii="Times New Roman" w:hAnsi="Times New Roman"/>
                <w:sz w:val="24"/>
              </w:rPr>
              <w:t xml:space="preserve"> v </w:t>
            </w:r>
            <w:r w:rsidRPr="00E07C9A">
              <w:rPr>
                <w:rFonts w:ascii="Times New Roman" w:hAnsi="Times New Roman"/>
                <w:sz w:val="24"/>
              </w:rPr>
              <w:t xml:space="preserve">obchodnej knihe. </w:t>
            </w:r>
          </w:p>
        </w:tc>
      </w:tr>
      <w:tr w:rsidR="000B0B09" w:rsidRPr="00E07C9A" w14:paraId="2ECBC519" w14:textId="77777777" w:rsidTr="00672D2A">
        <w:tc>
          <w:tcPr>
            <w:tcW w:w="1008" w:type="dxa"/>
          </w:tcPr>
          <w:p w14:paraId="63840C82" w14:textId="77777777" w:rsidR="000B0B09" w:rsidRPr="00E07C9A" w:rsidRDefault="002F79EA"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0030</w:t>
            </w:r>
          </w:p>
        </w:tc>
        <w:tc>
          <w:tcPr>
            <w:tcW w:w="8204" w:type="dxa"/>
          </w:tcPr>
          <w:p w14:paraId="5BE0B58F" w14:textId="77777777" w:rsidR="000B0B09" w:rsidRPr="00E07C9A" w:rsidRDefault="000B0B09" w:rsidP="000B0B09">
            <w:pPr>
              <w:autoSpaceDE w:val="0"/>
              <w:autoSpaceDN w:val="0"/>
              <w:adjustRightInd w:val="0"/>
              <w:spacing w:before="0" w:after="0"/>
              <w:rPr>
                <w:rFonts w:ascii="Times New Roman" w:hAnsi="Times New Roman"/>
                <w:b/>
                <w:bCs/>
                <w:sz w:val="24"/>
                <w:u w:val="single"/>
              </w:rPr>
            </w:pPr>
            <w:r w:rsidRPr="00E07C9A">
              <w:rPr>
                <w:rFonts w:ascii="Times New Roman" w:hAnsi="Times New Roman"/>
                <w:b/>
                <w:sz w:val="24"/>
                <w:u w:val="single"/>
              </w:rPr>
              <w:t>Značne diverzifikované futures na akciový index obchodované na burze, na ktoré sa uplatňuje osobitný prístup</w:t>
            </w:r>
          </w:p>
          <w:p w14:paraId="56A22316" w14:textId="7EF732E1" w:rsidR="005C14B0" w:rsidRPr="00E07C9A" w:rsidRDefault="000B0B09" w:rsidP="00B828CC">
            <w:pPr>
              <w:tabs>
                <w:tab w:val="left" w:pos="1665"/>
              </w:tabs>
              <w:autoSpaceDE w:val="0"/>
              <w:autoSpaceDN w:val="0"/>
              <w:adjustRightInd w:val="0"/>
              <w:rPr>
                <w:rFonts w:ascii="Times New Roman" w:hAnsi="Times New Roman"/>
                <w:sz w:val="24"/>
              </w:rPr>
            </w:pPr>
            <w:r w:rsidRPr="00E07C9A">
              <w:rPr>
                <w:rFonts w:ascii="Times New Roman" w:hAnsi="Times New Roman"/>
                <w:sz w:val="24"/>
              </w:rPr>
              <w:t>Značne diverzifikované futures na akciový index obchodované na burze, na ktoré sa uplatňuje osobitný prístup</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vykonávacím nariadením Komisie (EÚ) č. 945/2014</w:t>
            </w:r>
            <w:r w:rsidRPr="00E07C9A">
              <w:rPr>
                <w:rStyle w:val="FootnoteReference"/>
                <w:rFonts w:ascii="Times New Roman" w:hAnsi="Times New Roman"/>
              </w:rPr>
              <w:footnoteReference w:id="9"/>
            </w:r>
            <w:r w:rsidRPr="00E07C9A">
              <w:rPr>
                <w:rFonts w:ascii="Times New Roman" w:hAnsi="Times New Roman"/>
                <w:sz w:val="24"/>
              </w:rPr>
              <w:t>.</w:t>
            </w:r>
          </w:p>
          <w:p w14:paraId="2528F1AA" w14:textId="5C069D41" w:rsidR="000B0B09" w:rsidRPr="00E07C9A" w:rsidRDefault="000B0B09" w:rsidP="00B828CC">
            <w:pPr>
              <w:tabs>
                <w:tab w:val="left" w:pos="1665"/>
              </w:tabs>
              <w:autoSpaceDE w:val="0"/>
              <w:autoSpaceDN w:val="0"/>
              <w:adjustRightInd w:val="0"/>
              <w:rPr>
                <w:rFonts w:ascii="Times New Roman" w:hAnsi="Times New Roman"/>
                <w:b/>
                <w:bCs/>
                <w:sz w:val="24"/>
                <w:u w:val="single"/>
              </w:rPr>
            </w:pPr>
            <w:r w:rsidRPr="00E07C9A">
              <w:rPr>
                <w:rFonts w:ascii="Times New Roman" w:hAnsi="Times New Roman"/>
                <w:sz w:val="24"/>
              </w:rPr>
              <w:t>Uvedené pozície podliehajú len všeobecnému riziku,</w:t>
            </w:r>
            <w:r w:rsidR="009912F8" w:rsidRPr="00E07C9A">
              <w:rPr>
                <w:rFonts w:ascii="Times New Roman" w:hAnsi="Times New Roman"/>
                <w:sz w:val="24"/>
              </w:rPr>
              <w:t xml:space="preserve"> a </w:t>
            </w:r>
            <w:r w:rsidRPr="00E07C9A">
              <w:rPr>
                <w:rFonts w:ascii="Times New Roman" w:hAnsi="Times New Roman"/>
                <w:sz w:val="24"/>
              </w:rPr>
              <w:t>preto sa nesmú vykazovať</w:t>
            </w:r>
            <w:r w:rsidR="009912F8" w:rsidRPr="00E07C9A">
              <w:rPr>
                <w:rFonts w:ascii="Times New Roman" w:hAnsi="Times New Roman"/>
                <w:sz w:val="24"/>
              </w:rPr>
              <w:t xml:space="preserve"> v </w:t>
            </w:r>
            <w:r w:rsidRPr="00E07C9A">
              <w:rPr>
                <w:rFonts w:ascii="Times New Roman" w:hAnsi="Times New Roman"/>
                <w:sz w:val="24"/>
              </w:rPr>
              <w:t>riadku 0050.</w:t>
            </w:r>
          </w:p>
        </w:tc>
      </w:tr>
      <w:tr w:rsidR="000B0B09" w:rsidRPr="00E07C9A" w14:paraId="132F7A31" w14:textId="77777777" w:rsidTr="00672D2A">
        <w:tc>
          <w:tcPr>
            <w:tcW w:w="1008" w:type="dxa"/>
          </w:tcPr>
          <w:p w14:paraId="5A552EB7" w14:textId="77777777" w:rsidR="000B0B09" w:rsidRPr="00E07C9A" w:rsidRDefault="002F79EA"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0040</w:t>
            </w:r>
          </w:p>
        </w:tc>
        <w:tc>
          <w:tcPr>
            <w:tcW w:w="8204" w:type="dxa"/>
          </w:tcPr>
          <w:p w14:paraId="10EE0C22" w14:textId="77777777" w:rsidR="000B0B09" w:rsidRPr="00E07C9A" w:rsidRDefault="000B0B09" w:rsidP="000B0B09">
            <w:pPr>
              <w:autoSpaceDE w:val="0"/>
              <w:autoSpaceDN w:val="0"/>
              <w:adjustRightInd w:val="0"/>
              <w:spacing w:before="0" w:after="0"/>
              <w:rPr>
                <w:rFonts w:ascii="Times New Roman" w:hAnsi="Times New Roman"/>
                <w:b/>
                <w:bCs/>
                <w:sz w:val="24"/>
                <w:u w:val="single"/>
              </w:rPr>
            </w:pPr>
            <w:r w:rsidRPr="00E07C9A">
              <w:rPr>
                <w:rFonts w:ascii="Times New Roman" w:hAnsi="Times New Roman"/>
                <w:b/>
                <w:sz w:val="24"/>
                <w:u w:val="single"/>
              </w:rPr>
              <w:t>Kapitálové cenné papiere iné než značne diverzifikované futures na akciový index obchodované na burze</w:t>
            </w:r>
          </w:p>
          <w:p w14:paraId="17542C2D" w14:textId="457FB707" w:rsidR="000B0B09" w:rsidRPr="00E07C9A" w:rsidRDefault="000B0B09" w:rsidP="007062FD">
            <w:pPr>
              <w:autoSpaceDE w:val="0"/>
              <w:autoSpaceDN w:val="0"/>
              <w:adjustRightInd w:val="0"/>
              <w:rPr>
                <w:rFonts w:ascii="Times New Roman" w:hAnsi="Times New Roman"/>
                <w:sz w:val="24"/>
              </w:rPr>
            </w:pPr>
            <w:r w:rsidRPr="00E07C9A">
              <w:rPr>
                <w:rFonts w:ascii="Times New Roman" w:hAnsi="Times New Roman"/>
                <w:sz w:val="24"/>
              </w:rPr>
              <w:t>Iné pozície</w:t>
            </w:r>
            <w:r w:rsidR="009912F8" w:rsidRPr="00E07C9A">
              <w:rPr>
                <w:rFonts w:ascii="Times New Roman" w:hAnsi="Times New Roman"/>
                <w:sz w:val="24"/>
              </w:rPr>
              <w:t xml:space="preserve"> v </w:t>
            </w:r>
            <w:r w:rsidRPr="00E07C9A">
              <w:rPr>
                <w:rFonts w:ascii="Times New Roman" w:hAnsi="Times New Roman"/>
                <w:sz w:val="24"/>
              </w:rPr>
              <w:t>kapitálových cenných papieroch, ktoré podliehajú špecifickému riziku,</w:t>
            </w:r>
            <w:r w:rsidR="009912F8" w:rsidRPr="00E07C9A">
              <w:rPr>
                <w:rFonts w:ascii="Times New Roman" w:hAnsi="Times New Roman"/>
                <w:sz w:val="24"/>
              </w:rPr>
              <w:t xml:space="preserve"> a </w:t>
            </w:r>
            <w:r w:rsidRPr="00E07C9A">
              <w:rPr>
                <w:rFonts w:ascii="Times New Roman" w:hAnsi="Times New Roman"/>
                <w:sz w:val="24"/>
              </w:rPr>
              <w:t>zodpovedajúce požiadavky na vlastné zdroje</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343 nariadenia (EÚ) </w:t>
            </w:r>
            <w:r w:rsidR="009912F8" w:rsidRPr="00E07C9A">
              <w:rPr>
                <w:rFonts w:ascii="Times New Roman" w:hAnsi="Times New Roman"/>
                <w:sz w:val="24"/>
              </w:rPr>
              <w:t>č. 575/2013</w:t>
            </w:r>
            <w:r w:rsidRPr="00E07C9A">
              <w:rPr>
                <w:rFonts w:ascii="Times New Roman" w:hAnsi="Times New Roman"/>
                <w:sz w:val="24"/>
              </w:rPr>
              <w:t xml:space="preserve"> vrátane pozícií vo futures na akciový index,</w:t>
            </w:r>
            <w:r w:rsidR="009912F8" w:rsidRPr="00E07C9A">
              <w:rPr>
                <w:rFonts w:ascii="Times New Roman" w:hAnsi="Times New Roman"/>
                <w:sz w:val="24"/>
              </w:rPr>
              <w:t xml:space="preserve"> s </w:t>
            </w:r>
            <w:r w:rsidRPr="00E07C9A">
              <w:rPr>
                <w:rFonts w:ascii="Times New Roman" w:hAnsi="Times New Roman"/>
                <w:sz w:val="24"/>
              </w:rPr>
              <w:t>ktorými sa zaobchádza</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článkom 344 ods. 3 uvedeného nariadenia.</w:t>
            </w:r>
          </w:p>
        </w:tc>
      </w:tr>
      <w:tr w:rsidR="000B0B09" w:rsidRPr="00E07C9A" w14:paraId="10C7ACD9" w14:textId="77777777" w:rsidTr="00672D2A">
        <w:tc>
          <w:tcPr>
            <w:tcW w:w="1008" w:type="dxa"/>
          </w:tcPr>
          <w:p w14:paraId="1F6F53FD" w14:textId="77777777" w:rsidR="000B0B09" w:rsidRPr="00E07C9A" w:rsidRDefault="002F79EA" w:rsidP="00B74792">
            <w:pPr>
              <w:autoSpaceDE w:val="0"/>
              <w:autoSpaceDN w:val="0"/>
              <w:adjustRightInd w:val="0"/>
              <w:spacing w:before="0" w:after="0"/>
              <w:rPr>
                <w:rFonts w:ascii="Times New Roman" w:hAnsi="Times New Roman"/>
                <w:sz w:val="24"/>
              </w:rPr>
            </w:pPr>
            <w:r w:rsidRPr="00E07C9A">
              <w:rPr>
                <w:rFonts w:ascii="Times New Roman" w:hAnsi="Times New Roman"/>
                <w:sz w:val="24"/>
              </w:rPr>
              <w:t xml:space="preserve">0050 </w:t>
            </w:r>
          </w:p>
        </w:tc>
        <w:tc>
          <w:tcPr>
            <w:tcW w:w="8204" w:type="dxa"/>
          </w:tcPr>
          <w:p w14:paraId="0CF5CE81" w14:textId="77777777" w:rsidR="000B0B09" w:rsidRPr="00E07C9A" w:rsidRDefault="000B0B09" w:rsidP="000B0B09">
            <w:pPr>
              <w:autoSpaceDE w:val="0"/>
              <w:autoSpaceDN w:val="0"/>
              <w:adjustRightInd w:val="0"/>
              <w:spacing w:before="0" w:after="0"/>
              <w:rPr>
                <w:rFonts w:ascii="Times New Roman" w:hAnsi="Times New Roman"/>
                <w:b/>
                <w:bCs/>
                <w:sz w:val="24"/>
                <w:u w:val="single"/>
              </w:rPr>
            </w:pPr>
            <w:r w:rsidRPr="00E07C9A">
              <w:rPr>
                <w:rFonts w:ascii="Times New Roman" w:hAnsi="Times New Roman"/>
                <w:b/>
                <w:sz w:val="24"/>
                <w:u w:val="single"/>
              </w:rPr>
              <w:t>ŠPECIFICKÉ RIZIKO</w:t>
            </w:r>
          </w:p>
          <w:p w14:paraId="4CFFEA2D" w14:textId="6240AEB2" w:rsidR="000B0B09" w:rsidRPr="00E07C9A" w:rsidRDefault="000B0B09" w:rsidP="007062FD">
            <w:pPr>
              <w:autoSpaceDE w:val="0"/>
              <w:autoSpaceDN w:val="0"/>
              <w:adjustRightInd w:val="0"/>
              <w:rPr>
                <w:rFonts w:ascii="Times New Roman" w:hAnsi="Times New Roman"/>
                <w:sz w:val="24"/>
              </w:rPr>
            </w:pPr>
            <w:r w:rsidRPr="00E07C9A">
              <w:rPr>
                <w:rFonts w:ascii="Times New Roman" w:hAnsi="Times New Roman"/>
                <w:sz w:val="24"/>
              </w:rPr>
              <w:t>Pozície</w:t>
            </w:r>
            <w:r w:rsidR="009912F8" w:rsidRPr="00E07C9A">
              <w:rPr>
                <w:rFonts w:ascii="Times New Roman" w:hAnsi="Times New Roman"/>
                <w:sz w:val="24"/>
              </w:rPr>
              <w:t xml:space="preserve"> v </w:t>
            </w:r>
            <w:r w:rsidRPr="00E07C9A">
              <w:rPr>
                <w:rFonts w:ascii="Times New Roman" w:hAnsi="Times New Roman"/>
                <w:sz w:val="24"/>
              </w:rPr>
              <w:t>kapitálových cenných papieroch, ktoré podliehajú špecifickému riziku,</w:t>
            </w:r>
            <w:r w:rsidR="009912F8" w:rsidRPr="00E07C9A">
              <w:rPr>
                <w:rFonts w:ascii="Times New Roman" w:hAnsi="Times New Roman"/>
                <w:sz w:val="24"/>
              </w:rPr>
              <w:t xml:space="preserve"> a </w:t>
            </w:r>
            <w:r w:rsidRPr="00E07C9A">
              <w:rPr>
                <w:rFonts w:ascii="Times New Roman" w:hAnsi="Times New Roman"/>
                <w:sz w:val="24"/>
              </w:rPr>
              <w:t>zodpovedajúca požiadavka na vlastné zdroje</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342 nariadenia (EÚ) </w:t>
            </w:r>
            <w:r w:rsidR="009912F8" w:rsidRPr="00E07C9A">
              <w:rPr>
                <w:rFonts w:ascii="Times New Roman" w:hAnsi="Times New Roman"/>
                <w:sz w:val="24"/>
              </w:rPr>
              <w:t>č. 575/2013</w:t>
            </w:r>
            <w:r w:rsidRPr="00E07C9A">
              <w:rPr>
                <w:rFonts w:ascii="Times New Roman" w:hAnsi="Times New Roman"/>
                <w:sz w:val="24"/>
              </w:rPr>
              <w:t>, okrem pozícií vo futures na akciový index,</w:t>
            </w:r>
            <w:r w:rsidR="009912F8" w:rsidRPr="00E07C9A">
              <w:rPr>
                <w:rFonts w:ascii="Times New Roman" w:hAnsi="Times New Roman"/>
                <w:sz w:val="24"/>
              </w:rPr>
              <w:t xml:space="preserve"> s </w:t>
            </w:r>
            <w:r w:rsidRPr="00E07C9A">
              <w:rPr>
                <w:rFonts w:ascii="Times New Roman" w:hAnsi="Times New Roman"/>
                <w:sz w:val="24"/>
              </w:rPr>
              <w:t>ktorými sa zaobchádza</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344 ods. 4 druhou vetou uvedeného nariadenia. </w:t>
            </w:r>
          </w:p>
        </w:tc>
      </w:tr>
      <w:tr w:rsidR="000B0B09" w:rsidRPr="00E07C9A" w14:paraId="63780725" w14:textId="77777777" w:rsidTr="00672D2A">
        <w:tc>
          <w:tcPr>
            <w:tcW w:w="1008" w:type="dxa"/>
          </w:tcPr>
          <w:p w14:paraId="573EB4E8" w14:textId="77777777" w:rsidR="000B0B09" w:rsidRPr="00E07C9A" w:rsidRDefault="002F79EA" w:rsidP="00B74792">
            <w:pPr>
              <w:autoSpaceDE w:val="0"/>
              <w:autoSpaceDN w:val="0"/>
              <w:adjustRightInd w:val="0"/>
              <w:spacing w:before="0" w:after="0"/>
              <w:rPr>
                <w:rFonts w:ascii="Times New Roman" w:hAnsi="Times New Roman"/>
                <w:sz w:val="24"/>
              </w:rPr>
            </w:pPr>
            <w:r w:rsidRPr="00E07C9A">
              <w:rPr>
                <w:rFonts w:ascii="Times New Roman" w:hAnsi="Times New Roman"/>
                <w:sz w:val="24"/>
              </w:rPr>
              <w:t>0090 –⁠ 0130</w:t>
            </w:r>
          </w:p>
        </w:tc>
        <w:tc>
          <w:tcPr>
            <w:tcW w:w="8204" w:type="dxa"/>
          </w:tcPr>
          <w:p w14:paraId="1BAF0B57" w14:textId="77777777" w:rsidR="000B0B09" w:rsidRPr="00E07C9A" w:rsidRDefault="000B0B09" w:rsidP="000B0B09">
            <w:pPr>
              <w:autoSpaceDE w:val="0"/>
              <w:autoSpaceDN w:val="0"/>
              <w:adjustRightInd w:val="0"/>
              <w:spacing w:before="0" w:after="0"/>
              <w:rPr>
                <w:rFonts w:ascii="Times New Roman" w:hAnsi="Times New Roman"/>
                <w:b/>
                <w:bCs/>
                <w:sz w:val="24"/>
                <w:u w:val="single"/>
              </w:rPr>
            </w:pPr>
            <w:r w:rsidRPr="00E07C9A">
              <w:rPr>
                <w:rStyle w:val="InstructionsTabelleberschrift"/>
                <w:rFonts w:ascii="Times New Roman" w:hAnsi="Times New Roman"/>
                <w:sz w:val="24"/>
              </w:rPr>
              <w:t>DODATOČNÉ POŽIADAVKY PRE OPCIE (RIZIKÁ INÉ NEŽ DELTA)</w:t>
            </w:r>
          </w:p>
          <w:p w14:paraId="625CB4C0" w14:textId="113EE8C4" w:rsidR="009912F8" w:rsidRPr="00E07C9A" w:rsidRDefault="00F2521E" w:rsidP="00F2521E">
            <w:pPr>
              <w:autoSpaceDE w:val="0"/>
              <w:autoSpaceDN w:val="0"/>
              <w:adjustRightInd w:val="0"/>
              <w:rPr>
                <w:rFonts w:ascii="Times New Roman" w:hAnsi="Times New Roman"/>
                <w:sz w:val="24"/>
              </w:rPr>
            </w:pPr>
            <w:r w:rsidRPr="00E07C9A">
              <w:rPr>
                <w:rFonts w:ascii="Times New Roman" w:hAnsi="Times New Roman"/>
                <w:sz w:val="24"/>
              </w:rPr>
              <w:t>Článok 329 ods. 2</w:t>
            </w:r>
            <w:r w:rsidR="009912F8" w:rsidRPr="00E07C9A">
              <w:rPr>
                <w:rFonts w:ascii="Times New Roman" w:hAnsi="Times New Roman"/>
                <w:sz w:val="24"/>
              </w:rPr>
              <w:t xml:space="preserve"> a </w:t>
            </w:r>
            <w:r w:rsidRPr="00E07C9A">
              <w:rPr>
                <w:rFonts w:ascii="Times New Roman" w:hAnsi="Times New Roman"/>
                <w:sz w:val="24"/>
              </w:rPr>
              <w:t xml:space="preserve">3 nariadenia (EÚ) </w:t>
            </w:r>
            <w:r w:rsidR="009912F8" w:rsidRPr="00E07C9A">
              <w:rPr>
                <w:rFonts w:ascii="Times New Roman" w:hAnsi="Times New Roman"/>
                <w:sz w:val="24"/>
              </w:rPr>
              <w:t>č. 575/2013</w:t>
            </w:r>
          </w:p>
          <w:p w14:paraId="72C3FAC3" w14:textId="75589518" w:rsidR="000B0B09" w:rsidRPr="00E07C9A" w:rsidRDefault="000B0B09">
            <w:pPr>
              <w:autoSpaceDE w:val="0"/>
              <w:autoSpaceDN w:val="0"/>
              <w:adjustRightInd w:val="0"/>
              <w:spacing w:before="0" w:after="0"/>
              <w:rPr>
                <w:rFonts w:ascii="Times New Roman" w:hAnsi="Times New Roman"/>
                <w:sz w:val="24"/>
              </w:rPr>
            </w:pPr>
            <w:r w:rsidRPr="00E07C9A">
              <w:rPr>
                <w:rFonts w:ascii="Times New Roman" w:hAnsi="Times New Roman"/>
                <w:sz w:val="24"/>
              </w:rPr>
              <w:t>Dodatočné požiadavky pre opcie, ktoré súvisia</w:t>
            </w:r>
            <w:r w:rsidR="009912F8" w:rsidRPr="00E07C9A">
              <w:rPr>
                <w:rFonts w:ascii="Times New Roman" w:hAnsi="Times New Roman"/>
                <w:sz w:val="24"/>
              </w:rPr>
              <w:t xml:space="preserve"> s </w:t>
            </w:r>
            <w:r w:rsidRPr="00E07C9A">
              <w:rPr>
                <w:rFonts w:ascii="Times New Roman" w:hAnsi="Times New Roman"/>
                <w:sz w:val="24"/>
              </w:rPr>
              <w:t>rizikami inými než delta, sa vykazujú</w:t>
            </w:r>
            <w:r w:rsidR="009912F8" w:rsidRPr="00E07C9A">
              <w:rPr>
                <w:rFonts w:ascii="Times New Roman" w:hAnsi="Times New Roman"/>
                <w:sz w:val="24"/>
              </w:rPr>
              <w:t xml:space="preserve"> v </w:t>
            </w:r>
            <w:r w:rsidRPr="00E07C9A">
              <w:rPr>
                <w:rFonts w:ascii="Times New Roman" w:hAnsi="Times New Roman"/>
                <w:sz w:val="24"/>
              </w:rPr>
              <w:t>metóde použitej na ich výpočet.</w:t>
            </w:r>
          </w:p>
        </w:tc>
      </w:tr>
    </w:tbl>
    <w:p w14:paraId="0EB6FD79" w14:textId="77777777" w:rsidR="000B0B09" w:rsidRPr="00E07C9A" w:rsidRDefault="000B0B09" w:rsidP="000B0B09">
      <w:pPr>
        <w:autoSpaceDE w:val="0"/>
        <w:autoSpaceDN w:val="0"/>
        <w:adjustRightInd w:val="0"/>
        <w:spacing w:before="0" w:after="0"/>
        <w:rPr>
          <w:rFonts w:ascii="Times New Roman" w:hAnsi="Times New Roman"/>
          <w:bCs/>
          <w:sz w:val="24"/>
          <w:lang w:eastAsia="nl-BE"/>
        </w:rPr>
      </w:pPr>
    </w:p>
    <w:p w14:paraId="1D26B512" w14:textId="77777777" w:rsidR="000B0B09" w:rsidRPr="00E07C9A" w:rsidRDefault="00125707" w:rsidP="0023700C">
      <w:pPr>
        <w:pStyle w:val="Instructionsberschrift2"/>
        <w:numPr>
          <w:ilvl w:val="0"/>
          <w:numId w:val="0"/>
        </w:numPr>
        <w:ind w:left="357" w:hanging="357"/>
        <w:rPr>
          <w:rFonts w:ascii="Times New Roman" w:hAnsi="Times New Roman" w:cs="Times New Roman"/>
          <w:sz w:val="24"/>
        </w:rPr>
      </w:pPr>
      <w:bookmarkStart w:id="686" w:name="_Toc262566432"/>
      <w:bookmarkStart w:id="687" w:name="_Toc295830008"/>
      <w:bookmarkStart w:id="688" w:name="_Toc308426685"/>
      <w:bookmarkStart w:id="689" w:name="_Toc310415069"/>
      <w:bookmarkStart w:id="690" w:name="_Toc360188404"/>
      <w:bookmarkStart w:id="691" w:name="_Toc473561044"/>
      <w:bookmarkStart w:id="692" w:name="_Toc115857888"/>
      <w:r w:rsidRPr="00E07C9A">
        <w:rPr>
          <w:rFonts w:ascii="Times New Roman" w:hAnsi="Times New Roman" w:cs="Times New Roman"/>
          <w:sz w:val="24"/>
          <w:u w:val="none"/>
        </w:rPr>
        <w:t>5.5.</w:t>
      </w:r>
      <w:r w:rsidRPr="00E07C9A">
        <w:rPr>
          <w:rFonts w:ascii="Times New Roman" w:hAnsi="Times New Roman" w:cs="Times New Roman"/>
        </w:rPr>
        <w:tab/>
      </w:r>
      <w:r w:rsidRPr="00E07C9A">
        <w:rPr>
          <w:rFonts w:ascii="Times New Roman" w:hAnsi="Times New Roman" w:cs="Times New Roman"/>
          <w:sz w:val="24"/>
        </w:rPr>
        <w:t>C 22.00 – Trhové riziko: štandardizované prístupy pre devízové riziko</w:t>
      </w:r>
      <w:bookmarkEnd w:id="686"/>
      <w:bookmarkEnd w:id="687"/>
      <w:bookmarkEnd w:id="688"/>
      <w:bookmarkEnd w:id="689"/>
      <w:bookmarkEnd w:id="690"/>
      <w:r w:rsidRPr="00E07C9A">
        <w:rPr>
          <w:rFonts w:ascii="Times New Roman" w:hAnsi="Times New Roman" w:cs="Times New Roman"/>
          <w:sz w:val="24"/>
        </w:rPr>
        <w:t xml:space="preserve"> (MKR SA FX)</w:t>
      </w:r>
      <w:bookmarkEnd w:id="691"/>
      <w:bookmarkEnd w:id="692"/>
    </w:p>
    <w:p w14:paraId="70FD2A29" w14:textId="77777777" w:rsidR="000B0B09" w:rsidRPr="00E07C9A" w:rsidRDefault="00125707" w:rsidP="0023700C">
      <w:pPr>
        <w:pStyle w:val="Instructionsberschrift2"/>
        <w:numPr>
          <w:ilvl w:val="0"/>
          <w:numId w:val="0"/>
        </w:numPr>
        <w:ind w:left="357" w:hanging="357"/>
        <w:rPr>
          <w:rFonts w:ascii="Times New Roman" w:hAnsi="Times New Roman" w:cs="Times New Roman"/>
          <w:sz w:val="24"/>
        </w:rPr>
      </w:pPr>
      <w:bookmarkStart w:id="693" w:name="_Toc262566433"/>
      <w:bookmarkStart w:id="694" w:name="_Toc295830009"/>
      <w:bookmarkStart w:id="695" w:name="_Toc308426686"/>
      <w:bookmarkStart w:id="696" w:name="_Toc310415070"/>
      <w:bookmarkStart w:id="697" w:name="_Toc360188405"/>
      <w:bookmarkStart w:id="698" w:name="_Toc473561045"/>
      <w:bookmarkStart w:id="699" w:name="_Toc115857889"/>
      <w:r w:rsidRPr="00E07C9A">
        <w:rPr>
          <w:rFonts w:ascii="Times New Roman" w:hAnsi="Times New Roman" w:cs="Times New Roman"/>
          <w:sz w:val="24"/>
          <w:u w:val="none"/>
        </w:rPr>
        <w:t>5.5.1.</w:t>
      </w:r>
      <w:r w:rsidRPr="00E07C9A">
        <w:rPr>
          <w:rFonts w:ascii="Times New Roman" w:hAnsi="Times New Roman" w:cs="Times New Roman"/>
        </w:rPr>
        <w:tab/>
      </w:r>
      <w:r w:rsidRPr="00E07C9A">
        <w:rPr>
          <w:rFonts w:ascii="Times New Roman" w:hAnsi="Times New Roman" w:cs="Times New Roman"/>
          <w:sz w:val="24"/>
        </w:rPr>
        <w:t>Všeobecné poznámky</w:t>
      </w:r>
      <w:bookmarkEnd w:id="693"/>
      <w:bookmarkEnd w:id="694"/>
      <w:bookmarkEnd w:id="695"/>
      <w:bookmarkEnd w:id="696"/>
      <w:bookmarkEnd w:id="697"/>
      <w:bookmarkEnd w:id="698"/>
      <w:bookmarkEnd w:id="699"/>
    </w:p>
    <w:p w14:paraId="3B4750B2" w14:textId="4134114E" w:rsidR="00F71DF2" w:rsidRPr="00E07C9A" w:rsidRDefault="002A18DE" w:rsidP="00487A02">
      <w:pPr>
        <w:pStyle w:val="InstructionsText2"/>
        <w:numPr>
          <w:ilvl w:val="0"/>
          <w:numId w:val="0"/>
        </w:numPr>
        <w:ind w:left="1353" w:hanging="360"/>
      </w:pPr>
      <w:fldSimple w:instr=" seq paragraphs ">
        <w:r w:rsidR="00132AEE">
          <w:rPr>
            <w:noProof/>
          </w:rPr>
          <w:t>171</w:t>
        </w:r>
      </w:fldSimple>
      <w:r w:rsidR="00C3070C" w:rsidRPr="00E07C9A">
        <w:t>. Inštitúcie vykazujú informácie</w:t>
      </w:r>
      <w:r w:rsidR="009912F8" w:rsidRPr="00E07C9A">
        <w:t xml:space="preserve"> o </w:t>
      </w:r>
      <w:r w:rsidR="00C3070C" w:rsidRPr="00E07C9A">
        <w:t>pozíciách</w:t>
      </w:r>
      <w:r w:rsidR="009912F8" w:rsidRPr="00E07C9A">
        <w:t xml:space="preserve"> v </w:t>
      </w:r>
      <w:r w:rsidR="00C3070C" w:rsidRPr="00E07C9A">
        <w:t>jednotlivých menách (vrátane meny vykazovania)</w:t>
      </w:r>
      <w:r w:rsidR="009912F8" w:rsidRPr="00E07C9A">
        <w:t xml:space="preserve"> a o </w:t>
      </w:r>
      <w:r w:rsidR="00C3070C" w:rsidRPr="00E07C9A">
        <w:t>zodpovedajúcich požiadavkách na vlastné zdroje pre devízové riziko</w:t>
      </w:r>
      <w:r w:rsidR="009912F8" w:rsidRPr="00E07C9A">
        <w:t xml:space="preserve"> v </w:t>
      </w:r>
      <w:r w:rsidR="00C3070C" w:rsidRPr="00E07C9A">
        <w:t>rámci štandardizovaného prístupu. Pozícia sa počíta pre každú menu (vrátane EUR), zlato</w:t>
      </w:r>
      <w:r w:rsidR="009912F8" w:rsidRPr="00E07C9A">
        <w:t xml:space="preserve"> a </w:t>
      </w:r>
      <w:r w:rsidR="00C3070C" w:rsidRPr="00E07C9A">
        <w:t>pozície PKI.</w:t>
      </w:r>
    </w:p>
    <w:p w14:paraId="39EF826C" w14:textId="6A6C198F" w:rsidR="000B0B09" w:rsidRPr="00E07C9A" w:rsidRDefault="002A18DE" w:rsidP="00487A02">
      <w:pPr>
        <w:pStyle w:val="InstructionsText2"/>
        <w:numPr>
          <w:ilvl w:val="0"/>
          <w:numId w:val="0"/>
        </w:numPr>
        <w:ind w:left="1353" w:hanging="360"/>
      </w:pPr>
      <w:fldSimple w:instr=" seq paragraphs ">
        <w:r w:rsidR="00132AEE">
          <w:rPr>
            <w:noProof/>
          </w:rPr>
          <w:t>172</w:t>
        </w:r>
      </w:fldSimple>
      <w:r w:rsidR="00C3070C" w:rsidRPr="00E07C9A">
        <w:t>.</w:t>
      </w:r>
      <w:r w:rsidR="00C3070C" w:rsidRPr="00E07C9A">
        <w:tab/>
        <w:t xml:space="preserve"> Riadky 0100 až 0480 tohto vzoru sa vykazujú aj vtedy, keď sa od inštitúcií nevyžaduje, aby vypočítavali požiadavky na vlastné zdroje pre devízové riziko podľa článku 351 nariadenia (EÚ) </w:t>
      </w:r>
      <w:r w:rsidR="009912F8" w:rsidRPr="00E07C9A">
        <w:t>č. 575/2013</w:t>
      </w:r>
      <w:r w:rsidR="00C3070C" w:rsidRPr="00E07C9A">
        <w:t>.</w:t>
      </w:r>
      <w:r w:rsidR="009912F8" w:rsidRPr="00E07C9A">
        <w:t xml:space="preserve"> V </w:t>
      </w:r>
      <w:r w:rsidR="00C3070C" w:rsidRPr="00E07C9A">
        <w:t>týchto doplňujúcich položkách sú zahrnuté všetky pozície</w:t>
      </w:r>
      <w:r w:rsidR="009912F8" w:rsidRPr="00E07C9A">
        <w:t xml:space="preserve"> v </w:t>
      </w:r>
      <w:r w:rsidR="00C3070C" w:rsidRPr="00E07C9A">
        <w:t xml:space="preserve">mene vykazovania bez ohľadu na to, či sa berú do úvahy na účely článku 354 nariadenia (EÚ) </w:t>
      </w:r>
      <w:r w:rsidR="009912F8" w:rsidRPr="00E07C9A">
        <w:t>č. 575/2013</w:t>
      </w:r>
      <w:r w:rsidR="00C3070C" w:rsidRPr="00E07C9A">
        <w:t>. Riadky 0130 až 0480 doplňujúcich položiek vzoru sa vypĺňajú samostatne pre všetky meny členských štátov Únie, GBP, USD, CHF, JPY, RUB, TRY, AUD, CAD, RSD, ALL, UAH, MKD, EGP, ARS, BRL, MXN, HKD, ICK, TWD, NZD, NOK, SGD, KRW, CNY</w:t>
      </w:r>
      <w:r w:rsidR="009912F8" w:rsidRPr="00E07C9A">
        <w:t xml:space="preserve"> a </w:t>
      </w:r>
      <w:r w:rsidR="00C3070C" w:rsidRPr="00E07C9A">
        <w:t>všetky ostatné meny.</w:t>
      </w:r>
    </w:p>
    <w:p w14:paraId="346B4732" w14:textId="273354B2" w:rsidR="000B0B09" w:rsidRPr="00E07C9A" w:rsidRDefault="00125707" w:rsidP="0023700C">
      <w:pPr>
        <w:pStyle w:val="Instructionsberschrift2"/>
        <w:numPr>
          <w:ilvl w:val="0"/>
          <w:numId w:val="0"/>
        </w:numPr>
        <w:ind w:left="357" w:hanging="357"/>
        <w:rPr>
          <w:rFonts w:ascii="Times New Roman" w:hAnsi="Times New Roman" w:cs="Times New Roman"/>
          <w:sz w:val="24"/>
        </w:rPr>
      </w:pPr>
      <w:bookmarkStart w:id="700" w:name="_Toc262566434"/>
      <w:bookmarkStart w:id="701" w:name="_Toc295830010"/>
      <w:bookmarkStart w:id="702" w:name="_Toc308426687"/>
      <w:bookmarkStart w:id="703" w:name="_Toc310415071"/>
      <w:bookmarkStart w:id="704" w:name="_Toc360188406"/>
      <w:bookmarkStart w:id="705" w:name="_Toc473561046"/>
      <w:bookmarkStart w:id="706" w:name="_Toc115857890"/>
      <w:r w:rsidRPr="00E07C9A">
        <w:rPr>
          <w:rFonts w:ascii="Times New Roman" w:hAnsi="Times New Roman" w:cs="Times New Roman"/>
          <w:sz w:val="24"/>
          <w:u w:val="none"/>
        </w:rPr>
        <w:t>5.5.2.</w:t>
      </w:r>
      <w:r w:rsidRPr="00E07C9A">
        <w:rPr>
          <w:rFonts w:ascii="Times New Roman" w:hAnsi="Times New Roman" w:cs="Times New Roman"/>
          <w:u w:val="none"/>
        </w:rPr>
        <w:tab/>
      </w:r>
      <w:r w:rsidRPr="00E07C9A">
        <w:rPr>
          <w:rFonts w:ascii="Times New Roman" w:hAnsi="Times New Roman" w:cs="Times New Roman"/>
          <w:sz w:val="24"/>
        </w:rPr>
        <w:t>Pokyny týkajúce sa konkrétnych pozícií</w:t>
      </w:r>
      <w:bookmarkEnd w:id="700"/>
      <w:bookmarkEnd w:id="701"/>
      <w:bookmarkEnd w:id="702"/>
      <w:bookmarkEnd w:id="703"/>
      <w:bookmarkEnd w:id="704"/>
      <w:bookmarkEnd w:id="705"/>
      <w:bookmarkEnd w:id="70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E07C9A" w14:paraId="49DEFDC7" w14:textId="77777777" w:rsidTr="00672D2A">
        <w:trPr>
          <w:trHeight w:val="595"/>
        </w:trPr>
        <w:tc>
          <w:tcPr>
            <w:tcW w:w="8862" w:type="dxa"/>
            <w:gridSpan w:val="2"/>
            <w:shd w:val="clear" w:color="auto" w:fill="CCCCCC"/>
          </w:tcPr>
          <w:p w14:paraId="12971A77" w14:textId="77777777" w:rsidR="000B0B09" w:rsidRPr="00E07C9A" w:rsidRDefault="000B0B09" w:rsidP="000B0B09">
            <w:pPr>
              <w:autoSpaceDE w:val="0"/>
              <w:autoSpaceDN w:val="0"/>
              <w:adjustRightInd w:val="0"/>
              <w:spacing w:after="0"/>
              <w:rPr>
                <w:rFonts w:ascii="Times New Roman" w:hAnsi="Times New Roman"/>
                <w:b/>
                <w:sz w:val="24"/>
              </w:rPr>
            </w:pPr>
            <w:r w:rsidRPr="00E07C9A">
              <w:rPr>
                <w:rFonts w:ascii="Times New Roman" w:hAnsi="Times New Roman"/>
                <w:b/>
                <w:sz w:val="24"/>
              </w:rPr>
              <w:t>Stĺpce</w:t>
            </w:r>
          </w:p>
        </w:tc>
      </w:tr>
      <w:tr w:rsidR="000B0B09" w:rsidRPr="00E07C9A" w14:paraId="159B4B41" w14:textId="77777777" w:rsidTr="00672D2A">
        <w:tc>
          <w:tcPr>
            <w:tcW w:w="988" w:type="dxa"/>
          </w:tcPr>
          <w:p w14:paraId="0ABA9E21" w14:textId="77777777" w:rsidR="000B0B09" w:rsidRPr="00E07C9A" w:rsidRDefault="002F79EA"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0020 –⁠ 0030</w:t>
            </w:r>
          </w:p>
        </w:tc>
        <w:tc>
          <w:tcPr>
            <w:tcW w:w="7874" w:type="dxa"/>
          </w:tcPr>
          <w:p w14:paraId="3450FB81" w14:textId="77777777" w:rsidR="000B0B09" w:rsidRPr="00E07C9A" w:rsidRDefault="000B0B09" w:rsidP="000B0B09">
            <w:pPr>
              <w:autoSpaceDE w:val="0"/>
              <w:autoSpaceDN w:val="0"/>
              <w:adjustRightInd w:val="0"/>
              <w:spacing w:before="0" w:after="0"/>
              <w:rPr>
                <w:rFonts w:ascii="Times New Roman" w:hAnsi="Times New Roman"/>
                <w:b/>
                <w:bCs/>
                <w:sz w:val="24"/>
                <w:u w:val="single"/>
              </w:rPr>
            </w:pPr>
            <w:r w:rsidRPr="00E07C9A">
              <w:rPr>
                <w:rFonts w:ascii="Times New Roman" w:hAnsi="Times New Roman"/>
                <w:b/>
                <w:sz w:val="24"/>
                <w:u w:val="single"/>
              </w:rPr>
              <w:t>VŠETKY POZÍCIE (DLHÉ A KRÁTKE)</w:t>
            </w:r>
          </w:p>
          <w:p w14:paraId="21CD6173" w14:textId="77777777" w:rsidR="000B0B09" w:rsidRPr="00E07C9A" w:rsidRDefault="000B0B09" w:rsidP="00283B5F">
            <w:pPr>
              <w:autoSpaceDE w:val="0"/>
              <w:autoSpaceDN w:val="0"/>
              <w:adjustRightInd w:val="0"/>
              <w:spacing w:before="0" w:after="0"/>
              <w:rPr>
                <w:rFonts w:ascii="Times New Roman" w:hAnsi="Times New Roman"/>
                <w:sz w:val="24"/>
                <w:lang w:eastAsia="nl-BE"/>
              </w:rPr>
            </w:pPr>
          </w:p>
          <w:p w14:paraId="5F204D98" w14:textId="40778105" w:rsidR="005C14B0" w:rsidRPr="00E07C9A" w:rsidRDefault="000B0B09" w:rsidP="00F2521E">
            <w:pPr>
              <w:autoSpaceDE w:val="0"/>
              <w:autoSpaceDN w:val="0"/>
              <w:adjustRightInd w:val="0"/>
              <w:spacing w:before="0"/>
              <w:rPr>
                <w:rFonts w:ascii="Times New Roman" w:hAnsi="Times New Roman"/>
                <w:sz w:val="24"/>
              </w:rPr>
            </w:pPr>
            <w:r w:rsidRPr="00E07C9A">
              <w:rPr>
                <w:rFonts w:ascii="Times New Roman" w:hAnsi="Times New Roman"/>
                <w:sz w:val="24"/>
              </w:rPr>
              <w:t>Hrubé pozície na základe aktív, súm, ktoré majú byť prijaté,</w:t>
            </w:r>
            <w:r w:rsidR="009912F8" w:rsidRPr="00E07C9A">
              <w:rPr>
                <w:rFonts w:ascii="Times New Roman" w:hAnsi="Times New Roman"/>
                <w:sz w:val="24"/>
              </w:rPr>
              <w:t xml:space="preserve"> a </w:t>
            </w:r>
            <w:r w:rsidRPr="00E07C9A">
              <w:rPr>
                <w:rFonts w:ascii="Times New Roman" w:hAnsi="Times New Roman"/>
                <w:sz w:val="24"/>
              </w:rPr>
              <w:t>podobných položiek uvedených</w:t>
            </w:r>
            <w:r w:rsidR="009912F8" w:rsidRPr="00E07C9A">
              <w:rPr>
                <w:rFonts w:ascii="Times New Roman" w:hAnsi="Times New Roman"/>
                <w:sz w:val="24"/>
              </w:rPr>
              <w:t xml:space="preserve"> v </w:t>
            </w:r>
            <w:r w:rsidRPr="00E07C9A">
              <w:rPr>
                <w:rFonts w:ascii="Times New Roman" w:hAnsi="Times New Roman"/>
                <w:sz w:val="24"/>
              </w:rPr>
              <w:t xml:space="preserve">článku 352 ods. 1 nariadenia (EÚ) </w:t>
            </w:r>
            <w:r w:rsidR="009912F8" w:rsidRPr="00E07C9A">
              <w:rPr>
                <w:rFonts w:ascii="Times New Roman" w:hAnsi="Times New Roman"/>
                <w:sz w:val="24"/>
              </w:rPr>
              <w:t>č. 575/2013</w:t>
            </w:r>
            <w:r w:rsidRPr="00E07C9A">
              <w:rPr>
                <w:rFonts w:ascii="Times New Roman" w:hAnsi="Times New Roman"/>
                <w:sz w:val="24"/>
              </w:rPr>
              <w:t>.</w:t>
            </w:r>
          </w:p>
          <w:p w14:paraId="754DB1BB" w14:textId="0CE3456E" w:rsidR="000B0B09" w:rsidRPr="00E07C9A" w:rsidRDefault="00BB22D4" w:rsidP="00D1690D">
            <w:pPr>
              <w:autoSpaceDE w:val="0"/>
              <w:autoSpaceDN w:val="0"/>
              <w:adjustRightInd w:val="0"/>
              <w:spacing w:before="0" w:after="0"/>
              <w:rPr>
                <w:rFonts w:ascii="Times New Roman" w:hAnsi="Times New Roman"/>
                <w:sz w:val="24"/>
              </w:rPr>
            </w:pPr>
            <w:r w:rsidRPr="00E07C9A">
              <w:rPr>
                <w:rFonts w:ascii="Times New Roman" w:hAnsi="Times New Roman"/>
                <w:sz w:val="24"/>
              </w:rPr>
              <w:t>V súlade</w:t>
            </w:r>
            <w:r w:rsidR="009912F8" w:rsidRPr="00E07C9A">
              <w:rPr>
                <w:rFonts w:ascii="Times New Roman" w:hAnsi="Times New Roman"/>
                <w:sz w:val="24"/>
              </w:rPr>
              <w:t xml:space="preserve"> s </w:t>
            </w:r>
            <w:r w:rsidRPr="00E07C9A">
              <w:rPr>
                <w:rFonts w:ascii="Times New Roman" w:hAnsi="Times New Roman"/>
                <w:sz w:val="24"/>
              </w:rPr>
              <w:t xml:space="preserve">článkom 352 ods. 2 nariadenia (EÚ) </w:t>
            </w:r>
            <w:r w:rsidR="009912F8" w:rsidRPr="00E07C9A">
              <w:rPr>
                <w:rFonts w:ascii="Times New Roman" w:hAnsi="Times New Roman"/>
                <w:sz w:val="24"/>
              </w:rPr>
              <w:t>č. 575/2013 a </w:t>
            </w:r>
            <w:r w:rsidRPr="00E07C9A">
              <w:rPr>
                <w:rFonts w:ascii="Times New Roman" w:hAnsi="Times New Roman"/>
                <w:sz w:val="24"/>
              </w:rPr>
              <w:t>pod podmienkou súhlasu príslušných orgánov sa pozície zaujaté</w:t>
            </w:r>
            <w:r w:rsidR="009912F8" w:rsidRPr="00E07C9A">
              <w:rPr>
                <w:rFonts w:ascii="Times New Roman" w:hAnsi="Times New Roman"/>
                <w:sz w:val="24"/>
              </w:rPr>
              <w:t xml:space="preserve"> s </w:t>
            </w:r>
            <w:r w:rsidRPr="00E07C9A">
              <w:rPr>
                <w:rFonts w:ascii="Times New Roman" w:hAnsi="Times New Roman"/>
                <w:sz w:val="24"/>
              </w:rPr>
              <w:t>cieľom hedžovať proti nepriaznivým účinkom výmenného kurzu na ich podiely podľa článku 92 ods. 1 uvedeného nariadenia</w:t>
            </w:r>
            <w:r w:rsidR="009912F8" w:rsidRPr="00E07C9A">
              <w:rPr>
                <w:rFonts w:ascii="Times New Roman" w:hAnsi="Times New Roman"/>
                <w:sz w:val="24"/>
              </w:rPr>
              <w:t xml:space="preserve"> a </w:t>
            </w:r>
            <w:r w:rsidRPr="00E07C9A">
              <w:rPr>
                <w:rFonts w:ascii="Times New Roman" w:hAnsi="Times New Roman"/>
                <w:sz w:val="24"/>
              </w:rPr>
              <w:t>pozície súvisiace</w:t>
            </w:r>
            <w:r w:rsidR="009912F8" w:rsidRPr="00E07C9A">
              <w:rPr>
                <w:rFonts w:ascii="Times New Roman" w:hAnsi="Times New Roman"/>
                <w:sz w:val="24"/>
              </w:rPr>
              <w:t xml:space="preserve"> s </w:t>
            </w:r>
            <w:r w:rsidRPr="00E07C9A">
              <w:rPr>
                <w:rFonts w:ascii="Times New Roman" w:hAnsi="Times New Roman"/>
                <w:sz w:val="24"/>
              </w:rPr>
              <w:t>položkami, ktoré už sú odpočítané vo výpočte vlastných zdrojov, nevykazujú.</w:t>
            </w:r>
          </w:p>
          <w:p w14:paraId="40A85A41" w14:textId="77777777" w:rsidR="000B0B09" w:rsidRPr="00E07C9A" w:rsidRDefault="000B0B09" w:rsidP="000B0B09">
            <w:pPr>
              <w:autoSpaceDE w:val="0"/>
              <w:autoSpaceDN w:val="0"/>
              <w:adjustRightInd w:val="0"/>
              <w:spacing w:before="0" w:after="0"/>
              <w:rPr>
                <w:rFonts w:ascii="Times New Roman" w:hAnsi="Times New Roman"/>
                <w:sz w:val="24"/>
                <w:lang w:eastAsia="nl-BE"/>
              </w:rPr>
            </w:pPr>
          </w:p>
        </w:tc>
      </w:tr>
      <w:tr w:rsidR="000B0B09" w:rsidRPr="00E07C9A" w14:paraId="5B6C2519" w14:textId="77777777" w:rsidTr="00672D2A">
        <w:tc>
          <w:tcPr>
            <w:tcW w:w="988" w:type="dxa"/>
          </w:tcPr>
          <w:p w14:paraId="01A2B5B6" w14:textId="77777777" w:rsidR="000B0B09" w:rsidRPr="00E07C9A" w:rsidRDefault="002F79EA" w:rsidP="00B74792">
            <w:pPr>
              <w:autoSpaceDE w:val="0"/>
              <w:autoSpaceDN w:val="0"/>
              <w:adjustRightInd w:val="0"/>
              <w:spacing w:before="0" w:after="0"/>
              <w:rPr>
                <w:rFonts w:ascii="Times New Roman" w:hAnsi="Times New Roman"/>
                <w:sz w:val="24"/>
              </w:rPr>
            </w:pPr>
            <w:r w:rsidRPr="00E07C9A">
              <w:rPr>
                <w:rFonts w:ascii="Times New Roman" w:hAnsi="Times New Roman"/>
                <w:sz w:val="24"/>
              </w:rPr>
              <w:t>0040 –⁠ 0050</w:t>
            </w:r>
          </w:p>
        </w:tc>
        <w:tc>
          <w:tcPr>
            <w:tcW w:w="7874" w:type="dxa"/>
          </w:tcPr>
          <w:p w14:paraId="5A21CA54" w14:textId="77777777" w:rsidR="000B0B09" w:rsidRPr="00E07C9A" w:rsidRDefault="000B0B09" w:rsidP="000B0B09">
            <w:pPr>
              <w:autoSpaceDE w:val="0"/>
              <w:autoSpaceDN w:val="0"/>
              <w:adjustRightInd w:val="0"/>
              <w:spacing w:before="0" w:after="0"/>
              <w:rPr>
                <w:rFonts w:ascii="Times New Roman" w:hAnsi="Times New Roman"/>
                <w:b/>
                <w:bCs/>
                <w:sz w:val="24"/>
                <w:u w:val="single"/>
              </w:rPr>
            </w:pPr>
            <w:r w:rsidRPr="00E07C9A">
              <w:rPr>
                <w:rFonts w:ascii="Times New Roman" w:hAnsi="Times New Roman"/>
                <w:b/>
                <w:sz w:val="24"/>
                <w:u w:val="single"/>
              </w:rPr>
              <w:t>ČISTÉ POZÍCIE (DLHÉ A KRÁTKE)</w:t>
            </w:r>
          </w:p>
          <w:p w14:paraId="5D5BCFBB" w14:textId="77777777" w:rsidR="000B0B09" w:rsidRPr="00E07C9A" w:rsidRDefault="000B0B09" w:rsidP="000B0B09">
            <w:pPr>
              <w:autoSpaceDE w:val="0"/>
              <w:autoSpaceDN w:val="0"/>
              <w:adjustRightInd w:val="0"/>
              <w:spacing w:before="0" w:after="0"/>
              <w:rPr>
                <w:rFonts w:ascii="Times New Roman" w:hAnsi="Times New Roman"/>
                <w:sz w:val="24"/>
                <w:lang w:eastAsia="de-DE"/>
              </w:rPr>
            </w:pPr>
          </w:p>
          <w:p w14:paraId="263D2EB9" w14:textId="2B143162" w:rsidR="00283B5F" w:rsidRPr="00E07C9A" w:rsidRDefault="000B0B09" w:rsidP="00F2521E">
            <w:pPr>
              <w:autoSpaceDE w:val="0"/>
              <w:autoSpaceDN w:val="0"/>
              <w:adjustRightInd w:val="0"/>
              <w:spacing w:before="0"/>
              <w:rPr>
                <w:rFonts w:ascii="Times New Roman" w:hAnsi="Times New Roman"/>
                <w:sz w:val="24"/>
              </w:rPr>
            </w:pPr>
            <w:r w:rsidRPr="00E07C9A">
              <w:rPr>
                <w:rFonts w:ascii="Times New Roman" w:hAnsi="Times New Roman"/>
                <w:sz w:val="24"/>
              </w:rPr>
              <w:t>Článok 352 ods. 3, článok 352 ods. 4 prvé dve vety</w:t>
            </w:r>
            <w:r w:rsidR="009912F8" w:rsidRPr="00E07C9A">
              <w:rPr>
                <w:rFonts w:ascii="Times New Roman" w:hAnsi="Times New Roman"/>
                <w:sz w:val="24"/>
              </w:rPr>
              <w:t xml:space="preserve"> a </w:t>
            </w:r>
            <w:r w:rsidRPr="00E07C9A">
              <w:rPr>
                <w:rFonts w:ascii="Times New Roman" w:hAnsi="Times New Roman"/>
                <w:sz w:val="24"/>
              </w:rPr>
              <w:t xml:space="preserve">článok 353 nariadenia (EÚ) </w:t>
            </w:r>
            <w:r w:rsidR="009912F8" w:rsidRPr="00E07C9A">
              <w:rPr>
                <w:rFonts w:ascii="Times New Roman" w:hAnsi="Times New Roman"/>
                <w:sz w:val="24"/>
              </w:rPr>
              <w:t>č. 575/2013</w:t>
            </w:r>
          </w:p>
          <w:p w14:paraId="1436375E" w14:textId="4F5D39B2" w:rsidR="000B0B09" w:rsidRPr="00E07C9A" w:rsidRDefault="000B0B09"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Čisté pozície sa vypočítavajú podľa každej meny</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352 ods. 1 nariadenia (EÚ) </w:t>
            </w:r>
            <w:r w:rsidR="009912F8" w:rsidRPr="00E07C9A">
              <w:rPr>
                <w:rFonts w:ascii="Times New Roman" w:hAnsi="Times New Roman"/>
                <w:sz w:val="24"/>
              </w:rPr>
              <w:t>č. 575/2013</w:t>
            </w:r>
            <w:r w:rsidRPr="00E07C9A">
              <w:rPr>
                <w:rFonts w:ascii="Times New Roman" w:hAnsi="Times New Roman"/>
                <w:sz w:val="24"/>
              </w:rPr>
              <w:t>. Dlhé</w:t>
            </w:r>
            <w:r w:rsidR="009912F8" w:rsidRPr="00E07C9A">
              <w:rPr>
                <w:rFonts w:ascii="Times New Roman" w:hAnsi="Times New Roman"/>
                <w:sz w:val="24"/>
              </w:rPr>
              <w:t xml:space="preserve"> i </w:t>
            </w:r>
            <w:r w:rsidRPr="00E07C9A">
              <w:rPr>
                <w:rFonts w:ascii="Times New Roman" w:hAnsi="Times New Roman"/>
                <w:sz w:val="24"/>
              </w:rPr>
              <w:t>krátke pozície následne možno vykazovať</w:t>
            </w:r>
            <w:r w:rsidR="009912F8" w:rsidRPr="00E07C9A">
              <w:rPr>
                <w:rFonts w:ascii="Times New Roman" w:hAnsi="Times New Roman"/>
                <w:sz w:val="24"/>
              </w:rPr>
              <w:t xml:space="preserve"> k </w:t>
            </w:r>
            <w:r w:rsidRPr="00E07C9A">
              <w:rPr>
                <w:rFonts w:ascii="Times New Roman" w:hAnsi="Times New Roman"/>
                <w:sz w:val="24"/>
              </w:rPr>
              <w:t>tomu istému dátumu.</w:t>
            </w:r>
          </w:p>
          <w:p w14:paraId="7EF6C18C" w14:textId="77777777" w:rsidR="000B0B09" w:rsidRPr="00E07C9A" w:rsidRDefault="000B0B09" w:rsidP="000B0B09">
            <w:pPr>
              <w:autoSpaceDE w:val="0"/>
              <w:autoSpaceDN w:val="0"/>
              <w:adjustRightInd w:val="0"/>
              <w:spacing w:before="0" w:after="0"/>
              <w:rPr>
                <w:rFonts w:ascii="Times New Roman" w:hAnsi="Times New Roman"/>
                <w:sz w:val="24"/>
                <w:lang w:eastAsia="nl-BE"/>
              </w:rPr>
            </w:pPr>
          </w:p>
        </w:tc>
      </w:tr>
      <w:tr w:rsidR="000B0B09" w:rsidRPr="00E07C9A" w14:paraId="1DBF3F98" w14:textId="77777777" w:rsidTr="00672D2A">
        <w:tc>
          <w:tcPr>
            <w:tcW w:w="988" w:type="dxa"/>
          </w:tcPr>
          <w:p w14:paraId="5ED8190E" w14:textId="77777777" w:rsidR="000B0B09" w:rsidRPr="00E07C9A" w:rsidRDefault="002F79EA"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0060 –⁠ 0080</w:t>
            </w:r>
          </w:p>
        </w:tc>
        <w:tc>
          <w:tcPr>
            <w:tcW w:w="7874" w:type="dxa"/>
          </w:tcPr>
          <w:p w14:paraId="23461A49" w14:textId="77777777" w:rsidR="000B0B09" w:rsidRPr="00E07C9A" w:rsidRDefault="000B0B09" w:rsidP="000B0B09">
            <w:pPr>
              <w:autoSpaceDE w:val="0"/>
              <w:autoSpaceDN w:val="0"/>
              <w:adjustRightInd w:val="0"/>
              <w:spacing w:before="0" w:after="0"/>
              <w:rPr>
                <w:rFonts w:ascii="Times New Roman" w:hAnsi="Times New Roman"/>
                <w:b/>
                <w:bCs/>
                <w:sz w:val="24"/>
                <w:u w:val="single"/>
              </w:rPr>
            </w:pPr>
            <w:r w:rsidRPr="00E07C9A">
              <w:rPr>
                <w:rFonts w:ascii="Times New Roman" w:hAnsi="Times New Roman"/>
                <w:b/>
                <w:sz w:val="24"/>
                <w:u w:val="single"/>
              </w:rPr>
              <w:t>POZÍCIE, NA KTORÉ SA VZŤAHUJE KAPITÁLOVÁ POŽIADAVKA</w:t>
            </w:r>
          </w:p>
          <w:p w14:paraId="536B2115" w14:textId="77777777" w:rsidR="000B0B09" w:rsidRPr="00E07C9A" w:rsidRDefault="000B0B09" w:rsidP="000B0B09">
            <w:pPr>
              <w:autoSpaceDE w:val="0"/>
              <w:autoSpaceDN w:val="0"/>
              <w:adjustRightInd w:val="0"/>
              <w:spacing w:before="0" w:after="0"/>
              <w:rPr>
                <w:rFonts w:ascii="Times New Roman" w:hAnsi="Times New Roman"/>
                <w:sz w:val="24"/>
                <w:lang w:eastAsia="de-DE"/>
              </w:rPr>
            </w:pPr>
          </w:p>
          <w:p w14:paraId="2004F875" w14:textId="007E575A" w:rsidR="009912F8" w:rsidRPr="00E07C9A" w:rsidRDefault="000B0B09"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Článok 352 ods. 4 tretia veta</w:t>
            </w:r>
            <w:r w:rsidR="009912F8" w:rsidRPr="00E07C9A">
              <w:rPr>
                <w:rFonts w:ascii="Times New Roman" w:hAnsi="Times New Roman"/>
                <w:sz w:val="24"/>
              </w:rPr>
              <w:t xml:space="preserve"> a </w:t>
            </w:r>
            <w:r w:rsidRPr="00E07C9A">
              <w:rPr>
                <w:rFonts w:ascii="Times New Roman" w:hAnsi="Times New Roman"/>
                <w:sz w:val="24"/>
              </w:rPr>
              <w:t>články 353</w:t>
            </w:r>
            <w:r w:rsidR="009912F8" w:rsidRPr="00E07C9A">
              <w:rPr>
                <w:rFonts w:ascii="Times New Roman" w:hAnsi="Times New Roman"/>
                <w:sz w:val="24"/>
              </w:rPr>
              <w:t xml:space="preserve"> a </w:t>
            </w:r>
            <w:r w:rsidRPr="00E07C9A">
              <w:rPr>
                <w:rFonts w:ascii="Times New Roman" w:hAnsi="Times New Roman"/>
                <w:sz w:val="24"/>
              </w:rPr>
              <w:t xml:space="preserve">354 nariadenia (EÚ) </w:t>
            </w:r>
            <w:r w:rsidR="009912F8" w:rsidRPr="00E07C9A">
              <w:rPr>
                <w:rFonts w:ascii="Times New Roman" w:hAnsi="Times New Roman"/>
                <w:sz w:val="24"/>
              </w:rPr>
              <w:t>č. 575/2013</w:t>
            </w:r>
          </w:p>
          <w:p w14:paraId="091C4CE9" w14:textId="198F0D7B" w:rsidR="000B0B09" w:rsidRPr="00E07C9A"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E07C9A" w14:paraId="52E36B34" w14:textId="77777777" w:rsidTr="00672D2A">
        <w:tc>
          <w:tcPr>
            <w:tcW w:w="988" w:type="dxa"/>
          </w:tcPr>
          <w:p w14:paraId="4CF75F7E" w14:textId="77777777" w:rsidR="000B0B09" w:rsidRPr="00E07C9A" w:rsidRDefault="002F79EA"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0060 – 0070</w:t>
            </w:r>
          </w:p>
        </w:tc>
        <w:tc>
          <w:tcPr>
            <w:tcW w:w="7874" w:type="dxa"/>
          </w:tcPr>
          <w:p w14:paraId="4917443B" w14:textId="77777777" w:rsidR="000B0B09" w:rsidRPr="00E07C9A" w:rsidRDefault="000B0B09" w:rsidP="000B0B09">
            <w:pPr>
              <w:autoSpaceDE w:val="0"/>
              <w:autoSpaceDN w:val="0"/>
              <w:adjustRightInd w:val="0"/>
              <w:spacing w:before="0" w:after="0"/>
              <w:rPr>
                <w:rFonts w:ascii="Times New Roman" w:hAnsi="Times New Roman"/>
                <w:sz w:val="24"/>
              </w:rPr>
            </w:pPr>
            <w:r w:rsidRPr="00E07C9A">
              <w:rPr>
                <w:rFonts w:ascii="Times New Roman" w:hAnsi="Times New Roman"/>
                <w:b/>
                <w:sz w:val="24"/>
                <w:u w:val="single"/>
              </w:rPr>
              <w:t>POZÍCIE, NA KTORÉ SA VZŤAHUJE KAPITÁLOVÁ POŽIADAVKA (DLHÉ A KRÁTKE)</w:t>
            </w:r>
          </w:p>
          <w:p w14:paraId="1CA17503" w14:textId="1ECCE7A7" w:rsidR="000B0B09" w:rsidRPr="00E07C9A" w:rsidRDefault="000B0B09" w:rsidP="00F2521E">
            <w:pPr>
              <w:autoSpaceDE w:val="0"/>
              <w:autoSpaceDN w:val="0"/>
              <w:adjustRightInd w:val="0"/>
              <w:spacing w:after="0"/>
              <w:rPr>
                <w:rFonts w:ascii="Times New Roman" w:hAnsi="Times New Roman"/>
                <w:sz w:val="24"/>
              </w:rPr>
            </w:pPr>
            <w:r w:rsidRPr="00E07C9A">
              <w:rPr>
                <w:rFonts w:ascii="Times New Roman" w:hAnsi="Times New Roman"/>
                <w:sz w:val="24"/>
              </w:rPr>
              <w:t>Dlhé</w:t>
            </w:r>
            <w:r w:rsidR="009912F8" w:rsidRPr="00E07C9A">
              <w:rPr>
                <w:rFonts w:ascii="Times New Roman" w:hAnsi="Times New Roman"/>
                <w:sz w:val="24"/>
              </w:rPr>
              <w:t xml:space="preserve"> a </w:t>
            </w:r>
            <w:r w:rsidRPr="00E07C9A">
              <w:rPr>
                <w:rFonts w:ascii="Times New Roman" w:hAnsi="Times New Roman"/>
                <w:sz w:val="24"/>
              </w:rPr>
              <w:t>krátke čisté pozície pre každú menu sa počítajú odpočítaním celkovej výšky krátkych pozícií od celkovej výšky dlhých pozícií.</w:t>
            </w:r>
          </w:p>
          <w:p w14:paraId="7912A4F1" w14:textId="199AE6E6" w:rsidR="000B0B09" w:rsidRPr="00E07C9A" w:rsidRDefault="000B0B09" w:rsidP="00F2521E">
            <w:pPr>
              <w:autoSpaceDE w:val="0"/>
              <w:autoSpaceDN w:val="0"/>
              <w:adjustRightInd w:val="0"/>
              <w:spacing w:after="0"/>
              <w:rPr>
                <w:rFonts w:ascii="Times New Roman" w:hAnsi="Times New Roman"/>
                <w:sz w:val="24"/>
              </w:rPr>
            </w:pPr>
            <w:r w:rsidRPr="00E07C9A">
              <w:rPr>
                <w:rFonts w:ascii="Times New Roman" w:hAnsi="Times New Roman"/>
                <w:sz w:val="24"/>
              </w:rPr>
              <w:t>Na vypočítanie dlhej čistej pozície</w:t>
            </w:r>
            <w:r w:rsidR="009912F8" w:rsidRPr="00E07C9A">
              <w:rPr>
                <w:rFonts w:ascii="Times New Roman" w:hAnsi="Times New Roman"/>
                <w:sz w:val="24"/>
              </w:rPr>
              <w:t xml:space="preserve"> v </w:t>
            </w:r>
            <w:r w:rsidRPr="00E07C9A">
              <w:rPr>
                <w:rFonts w:ascii="Times New Roman" w:hAnsi="Times New Roman"/>
                <w:sz w:val="24"/>
              </w:rPr>
              <w:t>mene sa spočítajú dlhé čisté pozície pre každú operáciu</w:t>
            </w:r>
            <w:r w:rsidR="009912F8" w:rsidRPr="00E07C9A">
              <w:rPr>
                <w:rFonts w:ascii="Times New Roman" w:hAnsi="Times New Roman"/>
                <w:sz w:val="24"/>
              </w:rPr>
              <w:t xml:space="preserve"> v </w:t>
            </w:r>
            <w:r w:rsidRPr="00E07C9A">
              <w:rPr>
                <w:rFonts w:ascii="Times New Roman" w:hAnsi="Times New Roman"/>
                <w:sz w:val="24"/>
              </w:rPr>
              <w:t>tejto mene.</w:t>
            </w:r>
          </w:p>
          <w:p w14:paraId="5B4E9BDF" w14:textId="7B7DA009" w:rsidR="000B0B09" w:rsidRPr="00E07C9A" w:rsidRDefault="000B0B09" w:rsidP="00F2521E">
            <w:pPr>
              <w:autoSpaceDE w:val="0"/>
              <w:autoSpaceDN w:val="0"/>
              <w:adjustRightInd w:val="0"/>
              <w:spacing w:after="0"/>
              <w:rPr>
                <w:rFonts w:ascii="Times New Roman" w:hAnsi="Times New Roman"/>
                <w:sz w:val="24"/>
              </w:rPr>
            </w:pPr>
            <w:r w:rsidRPr="00E07C9A">
              <w:rPr>
                <w:rFonts w:ascii="Times New Roman" w:hAnsi="Times New Roman"/>
                <w:sz w:val="24"/>
              </w:rPr>
              <w:t>Na vypočítanie krátkej čistej pozície</w:t>
            </w:r>
            <w:r w:rsidR="009912F8" w:rsidRPr="00E07C9A">
              <w:rPr>
                <w:rFonts w:ascii="Times New Roman" w:hAnsi="Times New Roman"/>
                <w:sz w:val="24"/>
              </w:rPr>
              <w:t xml:space="preserve"> v </w:t>
            </w:r>
            <w:r w:rsidRPr="00E07C9A">
              <w:rPr>
                <w:rFonts w:ascii="Times New Roman" w:hAnsi="Times New Roman"/>
                <w:sz w:val="24"/>
              </w:rPr>
              <w:t>mene sa spočítajú krátke čisté pozície pre každú operáciu</w:t>
            </w:r>
            <w:r w:rsidR="009912F8" w:rsidRPr="00E07C9A">
              <w:rPr>
                <w:rFonts w:ascii="Times New Roman" w:hAnsi="Times New Roman"/>
                <w:sz w:val="24"/>
              </w:rPr>
              <w:t xml:space="preserve"> v </w:t>
            </w:r>
            <w:r w:rsidRPr="00E07C9A">
              <w:rPr>
                <w:rFonts w:ascii="Times New Roman" w:hAnsi="Times New Roman"/>
                <w:sz w:val="24"/>
              </w:rPr>
              <w:t>tejto mene.</w:t>
            </w:r>
          </w:p>
          <w:p w14:paraId="71BEB09F" w14:textId="6FFA1523" w:rsidR="000B0B09" w:rsidRPr="00E07C9A" w:rsidRDefault="000B0B09" w:rsidP="00F2521E">
            <w:pPr>
              <w:autoSpaceDE w:val="0"/>
              <w:autoSpaceDN w:val="0"/>
              <w:adjustRightInd w:val="0"/>
              <w:spacing w:after="0"/>
              <w:rPr>
                <w:rFonts w:ascii="Times New Roman" w:hAnsi="Times New Roman"/>
                <w:sz w:val="24"/>
              </w:rPr>
            </w:pPr>
            <w:r w:rsidRPr="00E07C9A">
              <w:rPr>
                <w:rFonts w:ascii="Times New Roman" w:hAnsi="Times New Roman"/>
                <w:sz w:val="24"/>
              </w:rPr>
              <w:t>Nespárované pozície</w:t>
            </w:r>
            <w:r w:rsidR="009912F8" w:rsidRPr="00E07C9A">
              <w:rPr>
                <w:rFonts w:ascii="Times New Roman" w:hAnsi="Times New Roman"/>
                <w:sz w:val="24"/>
              </w:rPr>
              <w:t xml:space="preserve"> v </w:t>
            </w:r>
            <w:r w:rsidRPr="00E07C9A">
              <w:rPr>
                <w:rFonts w:ascii="Times New Roman" w:hAnsi="Times New Roman"/>
                <w:sz w:val="24"/>
              </w:rPr>
              <w:t>menách iných, než je mena vykazovania, sa pripočítajú</w:t>
            </w:r>
            <w:r w:rsidR="009912F8" w:rsidRPr="00E07C9A">
              <w:rPr>
                <w:rFonts w:ascii="Times New Roman" w:hAnsi="Times New Roman"/>
                <w:sz w:val="24"/>
              </w:rPr>
              <w:t xml:space="preserve"> k </w:t>
            </w:r>
            <w:r w:rsidRPr="00E07C9A">
              <w:rPr>
                <w:rFonts w:ascii="Times New Roman" w:hAnsi="Times New Roman"/>
                <w:sz w:val="24"/>
              </w:rPr>
              <w:t>pozíciám, na ktoré sa vzťahujú kapitálové požiadavky pre iné meny (riadok 030)</w:t>
            </w:r>
            <w:r w:rsidR="009912F8" w:rsidRPr="00E07C9A">
              <w:rPr>
                <w:rFonts w:ascii="Times New Roman" w:hAnsi="Times New Roman"/>
                <w:sz w:val="24"/>
              </w:rPr>
              <w:t xml:space="preserve"> v </w:t>
            </w:r>
            <w:r w:rsidRPr="00E07C9A">
              <w:rPr>
                <w:rFonts w:ascii="Times New Roman" w:hAnsi="Times New Roman"/>
                <w:sz w:val="24"/>
              </w:rPr>
              <w:t>stĺpci 060 alebo 070</w:t>
            </w:r>
            <w:r w:rsidR="009912F8" w:rsidRPr="00E07C9A">
              <w:rPr>
                <w:rFonts w:ascii="Times New Roman" w:hAnsi="Times New Roman"/>
                <w:sz w:val="24"/>
              </w:rPr>
              <w:t xml:space="preserve"> v </w:t>
            </w:r>
            <w:r w:rsidRPr="00E07C9A">
              <w:rPr>
                <w:rFonts w:ascii="Times New Roman" w:hAnsi="Times New Roman"/>
                <w:sz w:val="24"/>
              </w:rPr>
              <w:t>závislosti od toho, či sú krátke alebo dlhé.</w:t>
            </w:r>
          </w:p>
          <w:p w14:paraId="3B8AB235" w14:textId="77777777" w:rsidR="00DE48EF" w:rsidRPr="00E07C9A" w:rsidRDefault="00DE48EF" w:rsidP="00283B5F">
            <w:pPr>
              <w:autoSpaceDE w:val="0"/>
              <w:autoSpaceDN w:val="0"/>
              <w:adjustRightInd w:val="0"/>
              <w:spacing w:before="0" w:after="0"/>
              <w:rPr>
                <w:rFonts w:ascii="Times New Roman" w:hAnsi="Times New Roman"/>
                <w:b/>
                <w:bCs/>
                <w:sz w:val="24"/>
                <w:u w:val="single"/>
                <w:lang w:eastAsia="nl-BE"/>
              </w:rPr>
            </w:pPr>
          </w:p>
        </w:tc>
      </w:tr>
      <w:tr w:rsidR="000B0B09" w:rsidRPr="00E07C9A" w14:paraId="153E3368" w14:textId="77777777" w:rsidTr="00672D2A">
        <w:tc>
          <w:tcPr>
            <w:tcW w:w="988" w:type="dxa"/>
          </w:tcPr>
          <w:p w14:paraId="79947C75" w14:textId="77777777" w:rsidR="000B0B09" w:rsidRPr="00E07C9A" w:rsidRDefault="002F79EA"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0080</w:t>
            </w:r>
          </w:p>
        </w:tc>
        <w:tc>
          <w:tcPr>
            <w:tcW w:w="7874" w:type="dxa"/>
          </w:tcPr>
          <w:p w14:paraId="50779B26" w14:textId="77777777" w:rsidR="000B0B09" w:rsidRPr="00E07C9A" w:rsidRDefault="000B0B09" w:rsidP="000B0B09">
            <w:pPr>
              <w:autoSpaceDE w:val="0"/>
              <w:autoSpaceDN w:val="0"/>
              <w:adjustRightInd w:val="0"/>
              <w:spacing w:before="0" w:after="0"/>
              <w:rPr>
                <w:rFonts w:ascii="Times New Roman" w:hAnsi="Times New Roman"/>
                <w:b/>
                <w:bCs/>
                <w:sz w:val="24"/>
                <w:u w:val="single"/>
              </w:rPr>
            </w:pPr>
            <w:r w:rsidRPr="00E07C9A">
              <w:rPr>
                <w:rFonts w:ascii="Times New Roman" w:hAnsi="Times New Roman"/>
                <w:b/>
                <w:sz w:val="24"/>
                <w:u w:val="single"/>
              </w:rPr>
              <w:t>POZÍCIE, NA KTORÉ SA VZŤAHUJE KAPITÁLOVÁ POŽIADAVKA (SPÁROVANÉ)</w:t>
            </w:r>
          </w:p>
          <w:p w14:paraId="1787EA62" w14:textId="77777777" w:rsidR="000B0B09" w:rsidRPr="00E07C9A" w:rsidRDefault="000B0B09" w:rsidP="000B0B09">
            <w:pPr>
              <w:autoSpaceDE w:val="0"/>
              <w:autoSpaceDN w:val="0"/>
              <w:adjustRightInd w:val="0"/>
              <w:spacing w:before="0" w:after="0"/>
              <w:rPr>
                <w:rFonts w:ascii="Times New Roman" w:hAnsi="Times New Roman"/>
                <w:sz w:val="24"/>
                <w:lang w:eastAsia="de-DE"/>
              </w:rPr>
            </w:pPr>
          </w:p>
          <w:p w14:paraId="54376274" w14:textId="77777777" w:rsidR="000B0B09" w:rsidRPr="00E07C9A" w:rsidRDefault="000B0B09"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Spárované pozície pre úzko korelované meny.</w:t>
            </w:r>
          </w:p>
          <w:p w14:paraId="6BC8E676" w14:textId="77777777" w:rsidR="000B0B09" w:rsidRPr="00E07C9A"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E07C9A" w14:paraId="6E3750E4" w14:textId="77777777" w:rsidTr="00672D2A">
        <w:tc>
          <w:tcPr>
            <w:tcW w:w="988" w:type="dxa"/>
          </w:tcPr>
          <w:p w14:paraId="0E46DE0C" w14:textId="77777777" w:rsidR="000B0B09" w:rsidRPr="00E07C9A" w:rsidRDefault="002F79EA"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0090</w:t>
            </w:r>
          </w:p>
        </w:tc>
        <w:tc>
          <w:tcPr>
            <w:tcW w:w="7874" w:type="dxa"/>
          </w:tcPr>
          <w:p w14:paraId="4FC12DDA" w14:textId="77777777" w:rsidR="000B0B09" w:rsidRPr="00E07C9A" w:rsidRDefault="000B0B09" w:rsidP="000B0B09">
            <w:pPr>
              <w:autoSpaceDE w:val="0"/>
              <w:autoSpaceDN w:val="0"/>
              <w:adjustRightInd w:val="0"/>
              <w:spacing w:before="0" w:after="0"/>
              <w:rPr>
                <w:rFonts w:ascii="Times New Roman" w:hAnsi="Times New Roman"/>
                <w:b/>
                <w:bCs/>
                <w:sz w:val="24"/>
                <w:u w:val="single"/>
              </w:rPr>
            </w:pPr>
            <w:r w:rsidRPr="00E07C9A">
              <w:rPr>
                <w:rFonts w:ascii="Times New Roman" w:hAnsi="Times New Roman"/>
                <w:b/>
                <w:sz w:val="24"/>
                <w:u w:val="single"/>
              </w:rPr>
              <w:t>POŽIADAVKY NA VLASTNÉ ZDROJE</w:t>
            </w:r>
          </w:p>
          <w:p w14:paraId="4108E694" w14:textId="77777777" w:rsidR="000B0B09" w:rsidRPr="00E07C9A" w:rsidRDefault="000B0B09" w:rsidP="000B0B09">
            <w:pPr>
              <w:autoSpaceDE w:val="0"/>
              <w:autoSpaceDN w:val="0"/>
              <w:adjustRightInd w:val="0"/>
              <w:spacing w:before="0" w:after="0"/>
              <w:rPr>
                <w:rFonts w:ascii="Times New Roman" w:hAnsi="Times New Roman"/>
                <w:b/>
                <w:bCs/>
                <w:sz w:val="24"/>
                <w:u w:val="single"/>
                <w:lang w:eastAsia="nl-BE"/>
              </w:rPr>
            </w:pPr>
          </w:p>
          <w:p w14:paraId="7683C52A" w14:textId="6638CA48" w:rsidR="009912F8" w:rsidRPr="00E07C9A" w:rsidRDefault="000B0B09"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Kapitálová požiadavka pre všetky relevantné pozície</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treťou časťou hlavou IV kapitolou 3 nariadenia (EÚ) </w:t>
            </w:r>
            <w:r w:rsidR="009912F8" w:rsidRPr="00E07C9A">
              <w:rPr>
                <w:rFonts w:ascii="Times New Roman" w:hAnsi="Times New Roman"/>
                <w:sz w:val="24"/>
              </w:rPr>
              <w:t>č. 575/2013.</w:t>
            </w:r>
          </w:p>
          <w:p w14:paraId="62C9AE79" w14:textId="79D8355A" w:rsidR="000B0B09" w:rsidRPr="00E07C9A"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E07C9A" w14:paraId="75A4CD35" w14:textId="77777777" w:rsidTr="00672D2A">
        <w:tc>
          <w:tcPr>
            <w:tcW w:w="988" w:type="dxa"/>
          </w:tcPr>
          <w:p w14:paraId="5B271B1C" w14:textId="77777777" w:rsidR="000B0B09" w:rsidRPr="00E07C9A" w:rsidRDefault="002F79EA"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0100</w:t>
            </w:r>
          </w:p>
        </w:tc>
        <w:tc>
          <w:tcPr>
            <w:tcW w:w="7874" w:type="dxa"/>
          </w:tcPr>
          <w:p w14:paraId="0647EAC0" w14:textId="77777777" w:rsidR="000B0B09" w:rsidRPr="00E07C9A" w:rsidRDefault="000B0B09" w:rsidP="000B0B09">
            <w:pPr>
              <w:tabs>
                <w:tab w:val="left" w:pos="1665"/>
              </w:tabs>
              <w:autoSpaceDE w:val="0"/>
              <w:autoSpaceDN w:val="0"/>
              <w:adjustRightInd w:val="0"/>
              <w:spacing w:before="0" w:after="0"/>
              <w:rPr>
                <w:rFonts w:ascii="Times New Roman" w:hAnsi="Times New Roman"/>
                <w:b/>
                <w:bCs/>
                <w:sz w:val="24"/>
                <w:u w:val="single"/>
              </w:rPr>
            </w:pPr>
            <w:r w:rsidRPr="00E07C9A">
              <w:rPr>
                <w:rFonts w:ascii="Times New Roman" w:hAnsi="Times New Roman"/>
                <w:b/>
                <w:sz w:val="24"/>
                <w:u w:val="single"/>
              </w:rPr>
              <w:t>CELKOVÁ HODNOTA RIZIKOVEJ EXPOZÍCIE</w:t>
            </w:r>
          </w:p>
          <w:p w14:paraId="1005789B" w14:textId="77777777" w:rsidR="000B0B09" w:rsidRPr="00E07C9A"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3CF09645" w14:textId="5BF45AED" w:rsidR="005C14B0" w:rsidRPr="00E07C9A" w:rsidRDefault="000B0B09" w:rsidP="00F2521E">
            <w:pPr>
              <w:tabs>
                <w:tab w:val="left" w:pos="1665"/>
              </w:tabs>
              <w:autoSpaceDE w:val="0"/>
              <w:autoSpaceDN w:val="0"/>
              <w:adjustRightInd w:val="0"/>
              <w:spacing w:before="0"/>
              <w:rPr>
                <w:rFonts w:ascii="Times New Roman" w:hAnsi="Times New Roman"/>
                <w:sz w:val="24"/>
              </w:rPr>
            </w:pPr>
            <w:r w:rsidRPr="00E07C9A">
              <w:rPr>
                <w:rFonts w:ascii="Times New Roman" w:hAnsi="Times New Roman"/>
                <w:sz w:val="24"/>
              </w:rPr>
              <w:t xml:space="preserve">Článok 92 ods. 4 písm. b) nariadenia (EÚ) </w:t>
            </w:r>
            <w:r w:rsidR="009912F8" w:rsidRPr="00E07C9A">
              <w:rPr>
                <w:rFonts w:ascii="Times New Roman" w:hAnsi="Times New Roman"/>
                <w:sz w:val="24"/>
              </w:rPr>
              <w:t>č. 575/2013</w:t>
            </w:r>
          </w:p>
          <w:p w14:paraId="1BBF93EE" w14:textId="77777777" w:rsidR="009912F8" w:rsidRPr="00E07C9A" w:rsidRDefault="000B0B09" w:rsidP="000B0B09">
            <w:pPr>
              <w:tabs>
                <w:tab w:val="left" w:pos="1665"/>
              </w:tabs>
              <w:autoSpaceDE w:val="0"/>
              <w:autoSpaceDN w:val="0"/>
              <w:adjustRightInd w:val="0"/>
              <w:spacing w:before="0" w:after="0"/>
              <w:rPr>
                <w:rFonts w:ascii="Times New Roman" w:hAnsi="Times New Roman"/>
                <w:sz w:val="24"/>
              </w:rPr>
            </w:pPr>
            <w:r w:rsidRPr="00E07C9A">
              <w:rPr>
                <w:rFonts w:ascii="Times New Roman" w:hAnsi="Times New Roman"/>
                <w:sz w:val="24"/>
              </w:rPr>
              <w:t>Výsledok vynásobenia požiadaviek na vlastné zdroje koeficientom 12,5</w:t>
            </w:r>
            <w:r w:rsidR="009912F8" w:rsidRPr="00E07C9A">
              <w:rPr>
                <w:rFonts w:ascii="Times New Roman" w:hAnsi="Times New Roman"/>
                <w:sz w:val="24"/>
              </w:rPr>
              <w:t>.</w:t>
            </w:r>
          </w:p>
          <w:p w14:paraId="43ECFCA3" w14:textId="382FC5AF" w:rsidR="00DE48EF" w:rsidRPr="00E07C9A" w:rsidRDefault="00DE48EF" w:rsidP="000B0B09">
            <w:pPr>
              <w:tabs>
                <w:tab w:val="left" w:pos="1665"/>
              </w:tabs>
              <w:autoSpaceDE w:val="0"/>
              <w:autoSpaceDN w:val="0"/>
              <w:adjustRightInd w:val="0"/>
              <w:spacing w:before="0" w:after="0"/>
              <w:rPr>
                <w:rFonts w:ascii="Times New Roman" w:hAnsi="Times New Roman"/>
                <w:b/>
                <w:bCs/>
                <w:sz w:val="24"/>
                <w:u w:val="single"/>
                <w:lang w:eastAsia="nl-BE"/>
              </w:rPr>
            </w:pPr>
          </w:p>
        </w:tc>
      </w:tr>
    </w:tbl>
    <w:p w14:paraId="4E615BD8" w14:textId="77777777" w:rsidR="000B0B09" w:rsidRPr="00E07C9A"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E07C9A" w14:paraId="0291DB10" w14:textId="77777777" w:rsidTr="00672D2A">
        <w:trPr>
          <w:trHeight w:val="497"/>
        </w:trPr>
        <w:tc>
          <w:tcPr>
            <w:tcW w:w="8862" w:type="dxa"/>
            <w:gridSpan w:val="2"/>
            <w:shd w:val="clear" w:color="auto" w:fill="CCCCCC"/>
          </w:tcPr>
          <w:p w14:paraId="080D5566" w14:textId="77777777" w:rsidR="000B0B09" w:rsidRPr="00E07C9A" w:rsidRDefault="000B0B09" w:rsidP="000B0B09">
            <w:pPr>
              <w:autoSpaceDE w:val="0"/>
              <w:autoSpaceDN w:val="0"/>
              <w:adjustRightInd w:val="0"/>
              <w:spacing w:after="0"/>
              <w:rPr>
                <w:rFonts w:ascii="Times New Roman" w:hAnsi="Times New Roman"/>
                <w:b/>
                <w:sz w:val="24"/>
              </w:rPr>
            </w:pPr>
            <w:r w:rsidRPr="00E07C9A">
              <w:rPr>
                <w:rFonts w:ascii="Times New Roman" w:hAnsi="Times New Roman"/>
                <w:b/>
                <w:sz w:val="24"/>
              </w:rPr>
              <w:t>Riadky</w:t>
            </w:r>
          </w:p>
        </w:tc>
      </w:tr>
      <w:tr w:rsidR="000B0B09" w:rsidRPr="00E07C9A" w14:paraId="7E8F93AD" w14:textId="77777777" w:rsidTr="00672D2A">
        <w:tc>
          <w:tcPr>
            <w:tcW w:w="991" w:type="dxa"/>
          </w:tcPr>
          <w:p w14:paraId="308DA059" w14:textId="77777777" w:rsidR="000B0B09" w:rsidRPr="00E07C9A" w:rsidRDefault="002F79EA"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0010</w:t>
            </w:r>
          </w:p>
        </w:tc>
        <w:tc>
          <w:tcPr>
            <w:tcW w:w="7871" w:type="dxa"/>
          </w:tcPr>
          <w:p w14:paraId="444D3E44" w14:textId="77777777" w:rsidR="000B0B09" w:rsidRPr="00E07C9A" w:rsidRDefault="000B0B09" w:rsidP="000B0B09">
            <w:pPr>
              <w:autoSpaceDE w:val="0"/>
              <w:autoSpaceDN w:val="0"/>
              <w:adjustRightInd w:val="0"/>
              <w:spacing w:before="0" w:after="0"/>
              <w:rPr>
                <w:rFonts w:ascii="Times New Roman" w:hAnsi="Times New Roman"/>
                <w:b/>
                <w:bCs/>
                <w:sz w:val="24"/>
                <w:u w:val="single"/>
              </w:rPr>
            </w:pPr>
            <w:r w:rsidRPr="00E07C9A">
              <w:rPr>
                <w:rFonts w:ascii="Times New Roman" w:hAnsi="Times New Roman"/>
                <w:b/>
                <w:sz w:val="24"/>
                <w:u w:val="single"/>
              </w:rPr>
              <w:t>CELKOVÉ POZÍCIE</w:t>
            </w:r>
          </w:p>
          <w:p w14:paraId="625A8F91" w14:textId="77777777" w:rsidR="000B0B09" w:rsidRPr="00E07C9A" w:rsidRDefault="000B0B09" w:rsidP="000B0B09">
            <w:pPr>
              <w:autoSpaceDE w:val="0"/>
              <w:autoSpaceDN w:val="0"/>
              <w:adjustRightInd w:val="0"/>
              <w:spacing w:before="0" w:after="0"/>
              <w:rPr>
                <w:rFonts w:ascii="Times New Roman" w:hAnsi="Times New Roman"/>
                <w:sz w:val="24"/>
                <w:lang w:eastAsia="nl-BE"/>
              </w:rPr>
            </w:pPr>
          </w:p>
          <w:p w14:paraId="474297D9" w14:textId="228655D5" w:rsidR="000B0B09" w:rsidRPr="00E07C9A" w:rsidRDefault="00491F4D"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Všetky pozície</w:t>
            </w:r>
            <w:r w:rsidR="009912F8" w:rsidRPr="00E07C9A">
              <w:rPr>
                <w:rFonts w:ascii="Times New Roman" w:hAnsi="Times New Roman"/>
                <w:sz w:val="24"/>
              </w:rPr>
              <w:t xml:space="preserve"> v </w:t>
            </w:r>
            <w:r w:rsidRPr="00E07C9A">
              <w:rPr>
                <w:rFonts w:ascii="Times New Roman" w:hAnsi="Times New Roman"/>
                <w:sz w:val="24"/>
              </w:rPr>
              <w:t>menách iných, než je mena vykazovania,</w:t>
            </w:r>
            <w:r w:rsidR="009912F8" w:rsidRPr="00E07C9A">
              <w:rPr>
                <w:rFonts w:ascii="Times New Roman" w:hAnsi="Times New Roman"/>
                <w:sz w:val="24"/>
              </w:rPr>
              <w:t xml:space="preserve"> a </w:t>
            </w:r>
            <w:r w:rsidRPr="00E07C9A">
              <w:rPr>
                <w:rFonts w:ascii="Times New Roman" w:hAnsi="Times New Roman"/>
                <w:sz w:val="24"/>
              </w:rPr>
              <w:t>tie pozície</w:t>
            </w:r>
            <w:r w:rsidR="009912F8" w:rsidRPr="00E07C9A">
              <w:rPr>
                <w:rFonts w:ascii="Times New Roman" w:hAnsi="Times New Roman"/>
                <w:sz w:val="24"/>
              </w:rPr>
              <w:t xml:space="preserve"> v </w:t>
            </w:r>
            <w:r w:rsidRPr="00E07C9A">
              <w:rPr>
                <w:rFonts w:ascii="Times New Roman" w:hAnsi="Times New Roman"/>
                <w:sz w:val="24"/>
              </w:rPr>
              <w:t xml:space="preserve">mene vykazovania, ktoré sa berú do úvahy na účely článku 354 nariadenia (EÚ) </w:t>
            </w:r>
            <w:r w:rsidR="009912F8" w:rsidRPr="00E07C9A">
              <w:rPr>
                <w:rFonts w:ascii="Times New Roman" w:hAnsi="Times New Roman"/>
                <w:sz w:val="24"/>
              </w:rPr>
              <w:t>č. 575/2013</w:t>
            </w:r>
            <w:r w:rsidRPr="00E07C9A">
              <w:rPr>
                <w:rFonts w:ascii="Times New Roman" w:hAnsi="Times New Roman"/>
                <w:sz w:val="24"/>
              </w:rPr>
              <w:t>, ako aj ich zodpovedajúce požiadavky na vlastné zdroje pre devízové riziko podľa článku 92 ods. 3 písm. c) bodu i), berúc do úvahy článok 352 ods. 2</w:t>
            </w:r>
            <w:r w:rsidR="009912F8" w:rsidRPr="00E07C9A">
              <w:rPr>
                <w:rFonts w:ascii="Times New Roman" w:hAnsi="Times New Roman"/>
                <w:sz w:val="24"/>
              </w:rPr>
              <w:t xml:space="preserve"> a </w:t>
            </w:r>
            <w:r w:rsidRPr="00E07C9A">
              <w:rPr>
                <w:rFonts w:ascii="Times New Roman" w:hAnsi="Times New Roman"/>
                <w:sz w:val="24"/>
              </w:rPr>
              <w:t xml:space="preserve">4 nariadenia (EÚ) </w:t>
            </w:r>
            <w:r w:rsidR="009912F8" w:rsidRPr="00E07C9A">
              <w:rPr>
                <w:rFonts w:ascii="Times New Roman" w:hAnsi="Times New Roman"/>
                <w:sz w:val="24"/>
              </w:rPr>
              <w:t>č. 575/2013</w:t>
            </w:r>
            <w:r w:rsidRPr="00E07C9A">
              <w:rPr>
                <w:rFonts w:ascii="Times New Roman" w:hAnsi="Times New Roman"/>
                <w:sz w:val="24"/>
              </w:rPr>
              <w:t xml:space="preserve"> (na prepočet do meny vykazovania)</w:t>
            </w:r>
          </w:p>
          <w:p w14:paraId="60C8486E" w14:textId="77777777" w:rsidR="000B0B09" w:rsidRPr="00E07C9A" w:rsidRDefault="000B0B09" w:rsidP="000B0B09">
            <w:pPr>
              <w:autoSpaceDE w:val="0"/>
              <w:autoSpaceDN w:val="0"/>
              <w:adjustRightInd w:val="0"/>
              <w:spacing w:before="0" w:after="0"/>
              <w:rPr>
                <w:rFonts w:ascii="Times New Roman" w:hAnsi="Times New Roman"/>
                <w:sz w:val="24"/>
                <w:lang w:eastAsia="nl-BE"/>
              </w:rPr>
            </w:pPr>
          </w:p>
        </w:tc>
      </w:tr>
      <w:tr w:rsidR="000B0B09" w:rsidRPr="00E07C9A" w14:paraId="467D9D0D" w14:textId="77777777" w:rsidTr="00672D2A">
        <w:tc>
          <w:tcPr>
            <w:tcW w:w="991" w:type="dxa"/>
          </w:tcPr>
          <w:p w14:paraId="65214D61" w14:textId="77777777" w:rsidR="000B0B09" w:rsidRPr="00E07C9A" w:rsidRDefault="002F79EA"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0020</w:t>
            </w:r>
          </w:p>
        </w:tc>
        <w:tc>
          <w:tcPr>
            <w:tcW w:w="7871" w:type="dxa"/>
          </w:tcPr>
          <w:p w14:paraId="49A2740E" w14:textId="77777777" w:rsidR="000B0B09" w:rsidRPr="00E07C9A" w:rsidRDefault="000B0B09" w:rsidP="000B0B09">
            <w:pPr>
              <w:autoSpaceDE w:val="0"/>
              <w:autoSpaceDN w:val="0"/>
              <w:adjustRightInd w:val="0"/>
              <w:spacing w:before="0" w:after="0"/>
              <w:rPr>
                <w:rFonts w:ascii="Times New Roman" w:hAnsi="Times New Roman"/>
                <w:b/>
                <w:bCs/>
                <w:sz w:val="24"/>
                <w:u w:val="single"/>
              </w:rPr>
            </w:pPr>
            <w:r w:rsidRPr="00E07C9A">
              <w:rPr>
                <w:rFonts w:ascii="Times New Roman" w:hAnsi="Times New Roman"/>
                <w:b/>
                <w:sz w:val="24"/>
                <w:u w:val="single"/>
              </w:rPr>
              <w:t>ÚZKO KORELOVANÉ MENY</w:t>
            </w:r>
          </w:p>
          <w:p w14:paraId="784B138D" w14:textId="77777777" w:rsidR="000B0B09" w:rsidRPr="00E07C9A" w:rsidRDefault="000B0B09" w:rsidP="000B0B09">
            <w:pPr>
              <w:autoSpaceDE w:val="0"/>
              <w:autoSpaceDN w:val="0"/>
              <w:adjustRightInd w:val="0"/>
              <w:spacing w:before="0" w:after="0"/>
              <w:rPr>
                <w:rFonts w:ascii="Times New Roman" w:hAnsi="Times New Roman"/>
                <w:sz w:val="24"/>
                <w:lang w:eastAsia="de-DE"/>
              </w:rPr>
            </w:pPr>
          </w:p>
          <w:p w14:paraId="7339F996" w14:textId="52018D54" w:rsidR="000B0B09" w:rsidRPr="00E07C9A" w:rsidRDefault="000B0B09"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Pozície</w:t>
            </w:r>
            <w:r w:rsidR="009912F8" w:rsidRPr="00E07C9A">
              <w:rPr>
                <w:rFonts w:ascii="Times New Roman" w:hAnsi="Times New Roman"/>
                <w:sz w:val="24"/>
              </w:rPr>
              <w:t xml:space="preserve"> a </w:t>
            </w:r>
            <w:r w:rsidRPr="00E07C9A">
              <w:rPr>
                <w:rFonts w:ascii="Times New Roman" w:hAnsi="Times New Roman"/>
                <w:sz w:val="24"/>
              </w:rPr>
              <w:t>ich zodpovedajúce požiadavky na vlastné zdroje pre úzko korelované meny uvedené</w:t>
            </w:r>
            <w:r w:rsidR="009912F8" w:rsidRPr="00E07C9A">
              <w:rPr>
                <w:rFonts w:ascii="Times New Roman" w:hAnsi="Times New Roman"/>
                <w:sz w:val="24"/>
              </w:rPr>
              <w:t xml:space="preserve"> v </w:t>
            </w:r>
            <w:r w:rsidRPr="00E07C9A">
              <w:rPr>
                <w:rFonts w:ascii="Times New Roman" w:hAnsi="Times New Roman"/>
                <w:sz w:val="24"/>
              </w:rPr>
              <w:t xml:space="preserve">článku 354 nariadenia (EÚ) </w:t>
            </w:r>
            <w:r w:rsidR="009912F8" w:rsidRPr="00E07C9A">
              <w:rPr>
                <w:rFonts w:ascii="Times New Roman" w:hAnsi="Times New Roman"/>
                <w:sz w:val="24"/>
              </w:rPr>
              <w:t>č. 575/2013</w:t>
            </w:r>
            <w:r w:rsidRPr="00E07C9A">
              <w:rPr>
                <w:rFonts w:ascii="Times New Roman" w:hAnsi="Times New Roman"/>
                <w:sz w:val="24"/>
              </w:rPr>
              <w:t>.</w:t>
            </w:r>
          </w:p>
          <w:p w14:paraId="1228E8F4" w14:textId="77777777" w:rsidR="000B0B09" w:rsidRPr="00E07C9A" w:rsidRDefault="000B0B09" w:rsidP="000B0B09">
            <w:pPr>
              <w:autoSpaceDE w:val="0"/>
              <w:autoSpaceDN w:val="0"/>
              <w:adjustRightInd w:val="0"/>
              <w:spacing w:before="0" w:after="0"/>
              <w:rPr>
                <w:rFonts w:ascii="Times New Roman" w:hAnsi="Times New Roman"/>
                <w:sz w:val="24"/>
                <w:lang w:eastAsia="nl-BE"/>
              </w:rPr>
            </w:pPr>
          </w:p>
        </w:tc>
      </w:tr>
      <w:tr w:rsidR="00491F4D" w:rsidRPr="00E07C9A" w14:paraId="6BD5BA15" w14:textId="77777777" w:rsidTr="00672D2A">
        <w:tc>
          <w:tcPr>
            <w:tcW w:w="991" w:type="dxa"/>
          </w:tcPr>
          <w:p w14:paraId="5BFECF57" w14:textId="77777777" w:rsidR="00491F4D" w:rsidRPr="00E07C9A" w:rsidRDefault="002F79EA"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0025</w:t>
            </w:r>
          </w:p>
        </w:tc>
        <w:tc>
          <w:tcPr>
            <w:tcW w:w="7871" w:type="dxa"/>
          </w:tcPr>
          <w:p w14:paraId="596531B8" w14:textId="1A6951C4" w:rsidR="00491F4D" w:rsidRPr="00E07C9A" w:rsidRDefault="00491F4D" w:rsidP="000B0B09">
            <w:pPr>
              <w:autoSpaceDE w:val="0"/>
              <w:autoSpaceDN w:val="0"/>
              <w:adjustRightInd w:val="0"/>
              <w:spacing w:before="0" w:after="0"/>
              <w:rPr>
                <w:rFonts w:ascii="Times New Roman" w:hAnsi="Times New Roman"/>
                <w:b/>
                <w:bCs/>
                <w:sz w:val="24"/>
                <w:u w:val="single"/>
              </w:rPr>
            </w:pPr>
            <w:r w:rsidRPr="00E07C9A">
              <w:rPr>
                <w:rFonts w:ascii="Times New Roman" w:hAnsi="Times New Roman"/>
                <w:b/>
                <w:sz w:val="24"/>
                <w:u w:val="single"/>
              </w:rPr>
              <w:t>Úzko korelované meny:</w:t>
            </w:r>
            <w:r w:rsidR="009912F8" w:rsidRPr="00E07C9A">
              <w:rPr>
                <w:rFonts w:ascii="Times New Roman" w:hAnsi="Times New Roman"/>
                <w:b/>
                <w:sz w:val="24"/>
                <w:u w:val="single"/>
              </w:rPr>
              <w:t xml:space="preserve"> z </w:t>
            </w:r>
            <w:r w:rsidRPr="00E07C9A">
              <w:rPr>
                <w:rFonts w:ascii="Times New Roman" w:hAnsi="Times New Roman"/>
                <w:b/>
                <w:i/>
                <w:sz w:val="24"/>
                <w:u w:val="single"/>
              </w:rPr>
              <w:t>čoho</w:t>
            </w:r>
            <w:r w:rsidRPr="00E07C9A">
              <w:rPr>
                <w:rFonts w:ascii="Times New Roman" w:hAnsi="Times New Roman"/>
                <w:b/>
                <w:sz w:val="24"/>
                <w:u w:val="single"/>
              </w:rPr>
              <w:t>: mena vykazovania</w:t>
            </w:r>
          </w:p>
          <w:p w14:paraId="1A313604" w14:textId="77777777" w:rsidR="00491F4D" w:rsidRPr="00E07C9A" w:rsidRDefault="00491F4D" w:rsidP="000B0B09">
            <w:pPr>
              <w:autoSpaceDE w:val="0"/>
              <w:autoSpaceDN w:val="0"/>
              <w:adjustRightInd w:val="0"/>
              <w:spacing w:before="0" w:after="0"/>
              <w:rPr>
                <w:rFonts w:ascii="Times New Roman" w:hAnsi="Times New Roman"/>
                <w:sz w:val="24"/>
              </w:rPr>
            </w:pPr>
          </w:p>
          <w:p w14:paraId="6CF1E695" w14:textId="73B0AC18" w:rsidR="00491F4D" w:rsidRPr="00E07C9A" w:rsidRDefault="00491F4D"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Pozície</w:t>
            </w:r>
            <w:r w:rsidR="009912F8" w:rsidRPr="00E07C9A">
              <w:rPr>
                <w:rFonts w:ascii="Times New Roman" w:hAnsi="Times New Roman"/>
                <w:sz w:val="24"/>
              </w:rPr>
              <w:t xml:space="preserve"> v </w:t>
            </w:r>
            <w:r w:rsidRPr="00E07C9A">
              <w:rPr>
                <w:rFonts w:ascii="Times New Roman" w:hAnsi="Times New Roman"/>
                <w:sz w:val="24"/>
              </w:rPr>
              <w:t>mene vykazovania, ktoré prispievajú</w:t>
            </w:r>
            <w:r w:rsidR="009912F8" w:rsidRPr="00E07C9A">
              <w:rPr>
                <w:rFonts w:ascii="Times New Roman" w:hAnsi="Times New Roman"/>
                <w:sz w:val="24"/>
              </w:rPr>
              <w:t xml:space="preserve"> k </w:t>
            </w:r>
            <w:r w:rsidRPr="00E07C9A">
              <w:rPr>
                <w:rFonts w:ascii="Times New Roman" w:hAnsi="Times New Roman"/>
                <w:sz w:val="24"/>
              </w:rPr>
              <w:t xml:space="preserve">výpočtu kapitálových požiadaviek podľa článku 354 nariadenia (EÚ) </w:t>
            </w:r>
            <w:r w:rsidR="009912F8" w:rsidRPr="00E07C9A">
              <w:rPr>
                <w:rFonts w:ascii="Times New Roman" w:hAnsi="Times New Roman"/>
                <w:sz w:val="24"/>
              </w:rPr>
              <w:t>č. 575/2013</w:t>
            </w:r>
            <w:r w:rsidRPr="00E07C9A">
              <w:rPr>
                <w:rFonts w:ascii="Times New Roman" w:hAnsi="Times New Roman"/>
                <w:sz w:val="24"/>
              </w:rPr>
              <w:t>.</w:t>
            </w:r>
          </w:p>
          <w:p w14:paraId="1727C5A3" w14:textId="77777777" w:rsidR="00491F4D" w:rsidRPr="00E07C9A" w:rsidRDefault="00491F4D" w:rsidP="000B0B09">
            <w:pPr>
              <w:autoSpaceDE w:val="0"/>
              <w:autoSpaceDN w:val="0"/>
              <w:adjustRightInd w:val="0"/>
              <w:spacing w:before="0" w:after="0"/>
              <w:rPr>
                <w:rFonts w:ascii="Times New Roman" w:hAnsi="Times New Roman"/>
                <w:b/>
                <w:bCs/>
                <w:sz w:val="24"/>
                <w:u w:val="single"/>
                <w:lang w:eastAsia="nl-BE"/>
              </w:rPr>
            </w:pPr>
          </w:p>
        </w:tc>
      </w:tr>
      <w:tr w:rsidR="000B0B09" w:rsidRPr="00E07C9A" w14:paraId="52A3FAA7" w14:textId="77777777" w:rsidTr="00672D2A">
        <w:tc>
          <w:tcPr>
            <w:tcW w:w="991" w:type="dxa"/>
          </w:tcPr>
          <w:p w14:paraId="0150967E" w14:textId="77777777" w:rsidR="000B0B09" w:rsidRPr="00E07C9A" w:rsidRDefault="002F79EA"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0030</w:t>
            </w:r>
          </w:p>
        </w:tc>
        <w:tc>
          <w:tcPr>
            <w:tcW w:w="7871" w:type="dxa"/>
          </w:tcPr>
          <w:p w14:paraId="0BAA11C1" w14:textId="3F631827" w:rsidR="000B0B09" w:rsidRPr="00E07C9A" w:rsidRDefault="000B0B09" w:rsidP="000B0B09">
            <w:pPr>
              <w:autoSpaceDE w:val="0"/>
              <w:autoSpaceDN w:val="0"/>
              <w:adjustRightInd w:val="0"/>
              <w:spacing w:before="0" w:after="0"/>
              <w:rPr>
                <w:rFonts w:ascii="Times New Roman" w:hAnsi="Times New Roman"/>
                <w:b/>
                <w:bCs/>
                <w:sz w:val="24"/>
                <w:u w:val="single"/>
              </w:rPr>
            </w:pPr>
            <w:r w:rsidRPr="00E07C9A">
              <w:rPr>
                <w:rFonts w:ascii="Times New Roman" w:hAnsi="Times New Roman"/>
                <w:b/>
                <w:sz w:val="24"/>
                <w:u w:val="single"/>
              </w:rPr>
              <w:t>VŠETKY OSTATNÉ MENY (vrátane PKI,</w:t>
            </w:r>
            <w:r w:rsidR="009912F8" w:rsidRPr="00E07C9A">
              <w:rPr>
                <w:rFonts w:ascii="Times New Roman" w:hAnsi="Times New Roman"/>
                <w:b/>
                <w:sz w:val="24"/>
                <w:u w:val="single"/>
              </w:rPr>
              <w:t xml:space="preserve"> s </w:t>
            </w:r>
            <w:r w:rsidRPr="00E07C9A">
              <w:rPr>
                <w:rFonts w:ascii="Times New Roman" w:hAnsi="Times New Roman"/>
                <w:b/>
                <w:sz w:val="24"/>
                <w:u w:val="single"/>
              </w:rPr>
              <w:t>ktorými sa zaobchádza ako</w:t>
            </w:r>
            <w:r w:rsidR="009912F8" w:rsidRPr="00E07C9A">
              <w:rPr>
                <w:rFonts w:ascii="Times New Roman" w:hAnsi="Times New Roman"/>
                <w:b/>
                <w:sz w:val="24"/>
                <w:u w:val="single"/>
              </w:rPr>
              <w:t xml:space="preserve"> s </w:t>
            </w:r>
            <w:r w:rsidRPr="00E07C9A">
              <w:rPr>
                <w:rFonts w:ascii="Times New Roman" w:hAnsi="Times New Roman"/>
                <w:b/>
                <w:sz w:val="24"/>
                <w:u w:val="single"/>
              </w:rPr>
              <w:t>rôznymi menami)</w:t>
            </w:r>
          </w:p>
          <w:p w14:paraId="1677D283" w14:textId="77777777" w:rsidR="000B0B09" w:rsidRPr="00E07C9A" w:rsidRDefault="000B0B09" w:rsidP="000B0B09">
            <w:pPr>
              <w:autoSpaceDE w:val="0"/>
              <w:autoSpaceDN w:val="0"/>
              <w:adjustRightInd w:val="0"/>
              <w:spacing w:before="0" w:after="0"/>
              <w:rPr>
                <w:rFonts w:ascii="Times New Roman" w:hAnsi="Times New Roman"/>
                <w:b/>
                <w:bCs/>
                <w:sz w:val="24"/>
                <w:u w:val="single"/>
                <w:lang w:eastAsia="nl-BE"/>
              </w:rPr>
            </w:pPr>
          </w:p>
          <w:p w14:paraId="0DD3AFD1" w14:textId="7B1F25A8" w:rsidR="000B0B09" w:rsidRPr="00E07C9A" w:rsidRDefault="000B0B09"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Pozície</w:t>
            </w:r>
            <w:r w:rsidR="009912F8" w:rsidRPr="00E07C9A">
              <w:rPr>
                <w:rFonts w:ascii="Times New Roman" w:hAnsi="Times New Roman"/>
                <w:sz w:val="24"/>
              </w:rPr>
              <w:t xml:space="preserve"> a </w:t>
            </w:r>
            <w:r w:rsidRPr="00E07C9A">
              <w:rPr>
                <w:rFonts w:ascii="Times New Roman" w:hAnsi="Times New Roman"/>
                <w:sz w:val="24"/>
              </w:rPr>
              <w:t>ich zodpovedajúce požiadavky na vlastné zdroje pre meny, na ktoré sa uplatňuje všeobecný postup uvedený</w:t>
            </w:r>
            <w:r w:rsidR="009912F8" w:rsidRPr="00E07C9A">
              <w:rPr>
                <w:rFonts w:ascii="Times New Roman" w:hAnsi="Times New Roman"/>
                <w:sz w:val="24"/>
              </w:rPr>
              <w:t xml:space="preserve"> v </w:t>
            </w:r>
            <w:r w:rsidRPr="00E07C9A">
              <w:rPr>
                <w:rFonts w:ascii="Times New Roman" w:hAnsi="Times New Roman"/>
                <w:sz w:val="24"/>
              </w:rPr>
              <w:t>článku 351</w:t>
            </w:r>
            <w:r w:rsidR="009912F8" w:rsidRPr="00E07C9A">
              <w:rPr>
                <w:rFonts w:ascii="Times New Roman" w:hAnsi="Times New Roman"/>
                <w:sz w:val="24"/>
              </w:rPr>
              <w:t xml:space="preserve"> a </w:t>
            </w:r>
            <w:r w:rsidRPr="00E07C9A">
              <w:rPr>
                <w:rFonts w:ascii="Times New Roman" w:hAnsi="Times New Roman"/>
                <w:sz w:val="24"/>
              </w:rPr>
              <w:t>článku 352 ods. 2</w:t>
            </w:r>
            <w:r w:rsidR="009912F8" w:rsidRPr="00E07C9A">
              <w:rPr>
                <w:rFonts w:ascii="Times New Roman" w:hAnsi="Times New Roman"/>
                <w:sz w:val="24"/>
              </w:rPr>
              <w:t xml:space="preserve"> a </w:t>
            </w:r>
            <w:r w:rsidRPr="00E07C9A">
              <w:rPr>
                <w:rFonts w:ascii="Times New Roman" w:hAnsi="Times New Roman"/>
                <w:sz w:val="24"/>
              </w:rPr>
              <w:t xml:space="preserve">4 nariadenia (EÚ) </w:t>
            </w:r>
            <w:r w:rsidR="009912F8" w:rsidRPr="00E07C9A">
              <w:rPr>
                <w:rFonts w:ascii="Times New Roman" w:hAnsi="Times New Roman"/>
                <w:sz w:val="24"/>
              </w:rPr>
              <w:t>č. 575/2013</w:t>
            </w:r>
            <w:r w:rsidRPr="00E07C9A">
              <w:rPr>
                <w:rFonts w:ascii="Times New Roman" w:hAnsi="Times New Roman"/>
                <w:sz w:val="24"/>
              </w:rPr>
              <w:t>.</w:t>
            </w:r>
          </w:p>
          <w:p w14:paraId="0D0C93F2" w14:textId="77777777" w:rsidR="000B0B09" w:rsidRPr="00E07C9A" w:rsidRDefault="000B0B09" w:rsidP="000B0B09">
            <w:pPr>
              <w:autoSpaceDE w:val="0"/>
              <w:autoSpaceDN w:val="0"/>
              <w:adjustRightInd w:val="0"/>
              <w:spacing w:before="0" w:after="0"/>
              <w:rPr>
                <w:rFonts w:ascii="Times New Roman" w:hAnsi="Times New Roman"/>
                <w:b/>
                <w:bCs/>
                <w:sz w:val="24"/>
                <w:u w:val="single"/>
                <w:lang w:eastAsia="nl-BE"/>
              </w:rPr>
            </w:pPr>
          </w:p>
          <w:p w14:paraId="369470C9" w14:textId="6689DF93" w:rsidR="000B0B09" w:rsidRPr="00E07C9A" w:rsidRDefault="000B0B09" w:rsidP="000B0B09">
            <w:pPr>
              <w:autoSpaceDE w:val="0"/>
              <w:autoSpaceDN w:val="0"/>
              <w:adjustRightInd w:val="0"/>
              <w:spacing w:before="0" w:after="0"/>
              <w:rPr>
                <w:rFonts w:ascii="Times New Roman" w:hAnsi="Times New Roman"/>
                <w:bCs/>
                <w:sz w:val="24"/>
                <w:u w:val="single"/>
              </w:rPr>
            </w:pPr>
            <w:r w:rsidRPr="00E07C9A">
              <w:rPr>
                <w:rFonts w:ascii="Times New Roman" w:hAnsi="Times New Roman"/>
                <w:sz w:val="24"/>
                <w:u w:val="single"/>
              </w:rPr>
              <w:t>Vykazovanie PKI,</w:t>
            </w:r>
            <w:r w:rsidR="009912F8" w:rsidRPr="00E07C9A">
              <w:rPr>
                <w:rFonts w:ascii="Times New Roman" w:hAnsi="Times New Roman"/>
                <w:sz w:val="24"/>
                <w:u w:val="single"/>
              </w:rPr>
              <w:t xml:space="preserve"> s </w:t>
            </w:r>
            <w:r w:rsidRPr="00E07C9A">
              <w:rPr>
                <w:rFonts w:ascii="Times New Roman" w:hAnsi="Times New Roman"/>
                <w:sz w:val="24"/>
                <w:u w:val="single"/>
              </w:rPr>
              <w:t>ktorými sa zaobchádza ako so samostatnými menami podľa článku 353</w:t>
            </w:r>
            <w:r w:rsidRPr="00E07C9A">
              <w:rPr>
                <w:rFonts w:ascii="Times New Roman" w:hAnsi="Times New Roman"/>
                <w:sz w:val="24"/>
              </w:rPr>
              <w:t xml:space="preserve"> nariadenia (EÚ) </w:t>
            </w:r>
            <w:r w:rsidR="009912F8" w:rsidRPr="00E07C9A">
              <w:rPr>
                <w:rFonts w:ascii="Times New Roman" w:hAnsi="Times New Roman"/>
                <w:sz w:val="24"/>
              </w:rPr>
              <w:t>č. 575/2013</w:t>
            </w:r>
            <w:r w:rsidRPr="00E07C9A">
              <w:rPr>
                <w:rFonts w:ascii="Times New Roman" w:hAnsi="Times New Roman"/>
                <w:sz w:val="24"/>
                <w:u w:val="single"/>
              </w:rPr>
              <w:t>:</w:t>
            </w:r>
          </w:p>
          <w:p w14:paraId="77B7A43F" w14:textId="4FE5E4E2" w:rsidR="000B0B09" w:rsidRPr="00E07C9A" w:rsidRDefault="000B0B09" w:rsidP="000B0B09">
            <w:pPr>
              <w:autoSpaceDE w:val="0"/>
              <w:autoSpaceDN w:val="0"/>
              <w:adjustRightInd w:val="0"/>
              <w:spacing w:before="0" w:after="0"/>
              <w:rPr>
                <w:rFonts w:ascii="Times New Roman" w:hAnsi="Times New Roman"/>
                <w:bCs/>
                <w:sz w:val="24"/>
              </w:rPr>
            </w:pPr>
            <w:r w:rsidRPr="00E07C9A">
              <w:rPr>
                <w:rFonts w:ascii="Times New Roman" w:hAnsi="Times New Roman"/>
                <w:sz w:val="24"/>
              </w:rPr>
              <w:t>Na výpočet kapitálových požiadaviek existujú dva rôzne spôsoby zaobchádzania</w:t>
            </w:r>
            <w:r w:rsidR="009912F8" w:rsidRPr="00E07C9A">
              <w:rPr>
                <w:rFonts w:ascii="Times New Roman" w:hAnsi="Times New Roman"/>
                <w:sz w:val="24"/>
              </w:rPr>
              <w:t xml:space="preserve"> s </w:t>
            </w:r>
            <w:r w:rsidRPr="00E07C9A">
              <w:rPr>
                <w:rFonts w:ascii="Times New Roman" w:hAnsi="Times New Roman"/>
                <w:sz w:val="24"/>
              </w:rPr>
              <w:t>PKI ako so samostatnými menami:</w:t>
            </w:r>
          </w:p>
          <w:p w14:paraId="5B250982" w14:textId="4A3508A3" w:rsidR="000B0B09" w:rsidRPr="00E07C9A" w:rsidRDefault="00125707" w:rsidP="0023700C">
            <w:pPr>
              <w:autoSpaceDE w:val="0"/>
              <w:autoSpaceDN w:val="0"/>
              <w:adjustRightInd w:val="0"/>
              <w:spacing w:before="0" w:after="0"/>
              <w:ind w:left="720" w:hanging="360"/>
              <w:rPr>
                <w:rFonts w:ascii="Times New Roman" w:hAnsi="Times New Roman"/>
                <w:bCs/>
                <w:sz w:val="24"/>
              </w:rPr>
            </w:pPr>
            <w:r w:rsidRPr="00E07C9A">
              <w:rPr>
                <w:rFonts w:ascii="Times New Roman" w:hAnsi="Times New Roman"/>
                <w:sz w:val="24"/>
              </w:rPr>
              <w:t>1.</w:t>
            </w:r>
            <w:r w:rsidRPr="00E07C9A">
              <w:rPr>
                <w:rFonts w:ascii="Times New Roman" w:hAnsi="Times New Roman"/>
              </w:rPr>
              <w:tab/>
            </w:r>
            <w:r w:rsidRPr="00E07C9A">
              <w:rPr>
                <w:rFonts w:ascii="Times New Roman" w:hAnsi="Times New Roman"/>
                <w:sz w:val="24"/>
              </w:rPr>
              <w:t>Modifikovaná metóda pre zlato, ak nie je známe smerovanie investícií PKI (tieto PKI sa pripočítajú</w:t>
            </w:r>
            <w:r w:rsidR="009912F8" w:rsidRPr="00E07C9A">
              <w:rPr>
                <w:rFonts w:ascii="Times New Roman" w:hAnsi="Times New Roman"/>
                <w:sz w:val="24"/>
              </w:rPr>
              <w:t xml:space="preserve"> k </w:t>
            </w:r>
            <w:r w:rsidRPr="00E07C9A">
              <w:rPr>
                <w:rFonts w:ascii="Times New Roman" w:hAnsi="Times New Roman"/>
                <w:sz w:val="24"/>
              </w:rPr>
              <w:t>celkovej čistej devízovej pozícii inštitúcie).</w:t>
            </w:r>
          </w:p>
          <w:p w14:paraId="36EAAD8C" w14:textId="61E2E6F0" w:rsidR="000B0B09" w:rsidRPr="00E07C9A" w:rsidRDefault="00125707" w:rsidP="0023700C">
            <w:pPr>
              <w:autoSpaceDE w:val="0"/>
              <w:autoSpaceDN w:val="0"/>
              <w:adjustRightInd w:val="0"/>
              <w:spacing w:before="0" w:after="0"/>
              <w:ind w:left="720" w:hanging="360"/>
              <w:rPr>
                <w:rFonts w:ascii="Times New Roman" w:hAnsi="Times New Roman"/>
                <w:bCs/>
                <w:sz w:val="24"/>
              </w:rPr>
            </w:pPr>
            <w:r w:rsidRPr="00E07C9A">
              <w:rPr>
                <w:rFonts w:ascii="Times New Roman" w:hAnsi="Times New Roman"/>
                <w:sz w:val="24"/>
              </w:rPr>
              <w:t>2.</w:t>
            </w:r>
            <w:r w:rsidRPr="00E07C9A">
              <w:rPr>
                <w:rFonts w:ascii="Times New Roman" w:hAnsi="Times New Roman"/>
              </w:rPr>
              <w:tab/>
            </w:r>
            <w:r w:rsidRPr="00E07C9A">
              <w:rPr>
                <w:rFonts w:ascii="Times New Roman" w:hAnsi="Times New Roman"/>
                <w:sz w:val="24"/>
              </w:rPr>
              <w:t>Ak je známe smerovanie investícií PKI, tieto PKI sa pripočítajú</w:t>
            </w:r>
            <w:r w:rsidR="009912F8" w:rsidRPr="00E07C9A">
              <w:rPr>
                <w:rFonts w:ascii="Times New Roman" w:hAnsi="Times New Roman"/>
                <w:sz w:val="24"/>
              </w:rPr>
              <w:t xml:space="preserve"> k </w:t>
            </w:r>
            <w:r w:rsidRPr="00E07C9A">
              <w:rPr>
                <w:rFonts w:ascii="Times New Roman" w:hAnsi="Times New Roman"/>
                <w:sz w:val="24"/>
              </w:rPr>
              <w:t>celkovej otvorenej devízovej pozícii (dlhej alebo krátkej podľa smerovania PKI).</w:t>
            </w:r>
          </w:p>
          <w:p w14:paraId="6410AE39" w14:textId="77777777" w:rsidR="000B0B09" w:rsidRPr="00E07C9A" w:rsidRDefault="000B0B09" w:rsidP="000B0B09">
            <w:pPr>
              <w:autoSpaceDE w:val="0"/>
              <w:autoSpaceDN w:val="0"/>
              <w:adjustRightInd w:val="0"/>
              <w:spacing w:before="0" w:after="0"/>
              <w:rPr>
                <w:rFonts w:ascii="Times New Roman" w:hAnsi="Times New Roman"/>
                <w:bCs/>
                <w:sz w:val="24"/>
                <w:u w:val="single"/>
              </w:rPr>
            </w:pPr>
            <w:r w:rsidRPr="00E07C9A">
              <w:rPr>
                <w:rFonts w:ascii="Times New Roman" w:hAnsi="Times New Roman"/>
                <w:sz w:val="24"/>
              </w:rPr>
              <w:t>Vykazovanie týchto PKI sa riadi výpočtom kapitálových požiadaviek.</w:t>
            </w:r>
          </w:p>
          <w:p w14:paraId="6EF89CCB" w14:textId="77777777" w:rsidR="00DE48EF" w:rsidRPr="00E07C9A"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E07C9A" w14:paraId="3074F2FD" w14:textId="77777777" w:rsidTr="00672D2A">
        <w:tc>
          <w:tcPr>
            <w:tcW w:w="991" w:type="dxa"/>
          </w:tcPr>
          <w:p w14:paraId="77D3A983" w14:textId="77777777" w:rsidR="000B0B09" w:rsidRPr="00E07C9A" w:rsidRDefault="002F79EA"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0040</w:t>
            </w:r>
          </w:p>
        </w:tc>
        <w:tc>
          <w:tcPr>
            <w:tcW w:w="7871" w:type="dxa"/>
          </w:tcPr>
          <w:p w14:paraId="0E1B066C" w14:textId="77777777" w:rsidR="000B0B09" w:rsidRPr="00E07C9A" w:rsidRDefault="000B0B09" w:rsidP="000B0B09">
            <w:pPr>
              <w:autoSpaceDE w:val="0"/>
              <w:autoSpaceDN w:val="0"/>
              <w:adjustRightInd w:val="0"/>
              <w:spacing w:before="0" w:after="0"/>
              <w:rPr>
                <w:rFonts w:ascii="Times New Roman" w:hAnsi="Times New Roman"/>
                <w:b/>
                <w:bCs/>
                <w:sz w:val="24"/>
                <w:u w:val="single"/>
              </w:rPr>
            </w:pPr>
            <w:r w:rsidRPr="00E07C9A">
              <w:rPr>
                <w:rFonts w:ascii="Times New Roman" w:hAnsi="Times New Roman"/>
                <w:b/>
                <w:sz w:val="24"/>
                <w:u w:val="single"/>
              </w:rPr>
              <w:t>ZLATO</w:t>
            </w:r>
          </w:p>
          <w:p w14:paraId="3DD20C37" w14:textId="77777777" w:rsidR="000B0B09" w:rsidRPr="00E07C9A" w:rsidRDefault="000B0B09" w:rsidP="000B0B09">
            <w:pPr>
              <w:autoSpaceDE w:val="0"/>
              <w:autoSpaceDN w:val="0"/>
              <w:adjustRightInd w:val="0"/>
              <w:spacing w:before="0" w:after="0"/>
              <w:rPr>
                <w:rFonts w:ascii="Times New Roman" w:hAnsi="Times New Roman"/>
                <w:b/>
                <w:bCs/>
                <w:sz w:val="24"/>
                <w:u w:val="single"/>
                <w:lang w:eastAsia="nl-BE"/>
              </w:rPr>
            </w:pPr>
          </w:p>
          <w:p w14:paraId="1441E628" w14:textId="54A2C6CF" w:rsidR="009912F8" w:rsidRPr="00E07C9A" w:rsidRDefault="000B0B09"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Pozície</w:t>
            </w:r>
            <w:r w:rsidR="009912F8" w:rsidRPr="00E07C9A">
              <w:rPr>
                <w:rFonts w:ascii="Times New Roman" w:hAnsi="Times New Roman"/>
                <w:sz w:val="24"/>
              </w:rPr>
              <w:t xml:space="preserve"> a </w:t>
            </w:r>
            <w:r w:rsidRPr="00E07C9A">
              <w:rPr>
                <w:rFonts w:ascii="Times New Roman" w:hAnsi="Times New Roman"/>
                <w:sz w:val="24"/>
              </w:rPr>
              <w:t>ich zodpovedajúce požiadavky na vlastné zdroje pre meny, na ktoré sa uplatňuje všeobecný postup uvedený</w:t>
            </w:r>
            <w:r w:rsidR="009912F8" w:rsidRPr="00E07C9A">
              <w:rPr>
                <w:rFonts w:ascii="Times New Roman" w:hAnsi="Times New Roman"/>
                <w:sz w:val="24"/>
              </w:rPr>
              <w:t xml:space="preserve"> v </w:t>
            </w:r>
            <w:r w:rsidRPr="00E07C9A">
              <w:rPr>
                <w:rFonts w:ascii="Times New Roman" w:hAnsi="Times New Roman"/>
                <w:sz w:val="24"/>
              </w:rPr>
              <w:t>článku 351</w:t>
            </w:r>
            <w:r w:rsidR="009912F8" w:rsidRPr="00E07C9A">
              <w:rPr>
                <w:rFonts w:ascii="Times New Roman" w:hAnsi="Times New Roman"/>
                <w:sz w:val="24"/>
              </w:rPr>
              <w:t xml:space="preserve"> a </w:t>
            </w:r>
            <w:r w:rsidRPr="00E07C9A">
              <w:rPr>
                <w:rFonts w:ascii="Times New Roman" w:hAnsi="Times New Roman"/>
                <w:sz w:val="24"/>
              </w:rPr>
              <w:t>článku 352 ods. 2</w:t>
            </w:r>
            <w:r w:rsidR="009912F8" w:rsidRPr="00E07C9A">
              <w:rPr>
                <w:rFonts w:ascii="Times New Roman" w:hAnsi="Times New Roman"/>
                <w:sz w:val="24"/>
              </w:rPr>
              <w:t xml:space="preserve"> a </w:t>
            </w:r>
            <w:r w:rsidRPr="00E07C9A">
              <w:rPr>
                <w:rFonts w:ascii="Times New Roman" w:hAnsi="Times New Roman"/>
                <w:sz w:val="24"/>
              </w:rPr>
              <w:t xml:space="preserve">4 nariadenia (EÚ) </w:t>
            </w:r>
            <w:r w:rsidR="009912F8" w:rsidRPr="00E07C9A">
              <w:rPr>
                <w:rFonts w:ascii="Times New Roman" w:hAnsi="Times New Roman"/>
                <w:sz w:val="24"/>
              </w:rPr>
              <w:t>č. 575/2013.</w:t>
            </w:r>
          </w:p>
          <w:p w14:paraId="23633856" w14:textId="1F9AE4A2" w:rsidR="000B0B09" w:rsidRPr="00E07C9A"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E07C9A" w14:paraId="76FC5B51" w14:textId="77777777" w:rsidTr="00672D2A">
        <w:tc>
          <w:tcPr>
            <w:tcW w:w="991" w:type="dxa"/>
          </w:tcPr>
          <w:p w14:paraId="119AB326" w14:textId="77777777" w:rsidR="000B0B09" w:rsidRPr="00E07C9A" w:rsidRDefault="002F79EA"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0050 – 0090</w:t>
            </w:r>
          </w:p>
        </w:tc>
        <w:tc>
          <w:tcPr>
            <w:tcW w:w="7871" w:type="dxa"/>
          </w:tcPr>
          <w:p w14:paraId="76D7671B" w14:textId="77777777" w:rsidR="000B0B09" w:rsidRPr="00E07C9A" w:rsidRDefault="000B0B09" w:rsidP="000B0B09">
            <w:pPr>
              <w:autoSpaceDE w:val="0"/>
              <w:autoSpaceDN w:val="0"/>
              <w:adjustRightInd w:val="0"/>
              <w:spacing w:before="0" w:after="0"/>
              <w:rPr>
                <w:rFonts w:ascii="Times New Roman" w:hAnsi="Times New Roman"/>
                <w:b/>
                <w:bCs/>
                <w:sz w:val="24"/>
                <w:u w:val="single"/>
              </w:rPr>
            </w:pPr>
            <w:r w:rsidRPr="00E07C9A">
              <w:rPr>
                <w:rStyle w:val="InstructionsTabelleberschrift"/>
                <w:rFonts w:ascii="Times New Roman" w:hAnsi="Times New Roman"/>
                <w:sz w:val="24"/>
              </w:rPr>
              <w:t>DODATOČNÉ POŽIADAVKY PRE OPCIE (RIZIKÁ INÉ NEŽ DELTA)</w:t>
            </w:r>
          </w:p>
          <w:p w14:paraId="4D94A050" w14:textId="5A9A61B2" w:rsidR="009912F8" w:rsidRPr="00E07C9A" w:rsidRDefault="000B0B09" w:rsidP="001A0143">
            <w:pPr>
              <w:autoSpaceDE w:val="0"/>
              <w:autoSpaceDN w:val="0"/>
              <w:adjustRightInd w:val="0"/>
              <w:spacing w:after="0"/>
              <w:rPr>
                <w:rFonts w:ascii="Times New Roman" w:hAnsi="Times New Roman"/>
                <w:sz w:val="24"/>
              </w:rPr>
            </w:pPr>
            <w:r w:rsidRPr="00E07C9A">
              <w:rPr>
                <w:rFonts w:ascii="Times New Roman" w:hAnsi="Times New Roman"/>
                <w:sz w:val="24"/>
              </w:rPr>
              <w:t>Článok 352 ods. 5</w:t>
            </w:r>
            <w:r w:rsidR="009912F8" w:rsidRPr="00E07C9A">
              <w:rPr>
                <w:rFonts w:ascii="Times New Roman" w:hAnsi="Times New Roman"/>
                <w:sz w:val="24"/>
              </w:rPr>
              <w:t xml:space="preserve"> a </w:t>
            </w:r>
            <w:r w:rsidRPr="00E07C9A">
              <w:rPr>
                <w:rFonts w:ascii="Times New Roman" w:hAnsi="Times New Roman"/>
                <w:sz w:val="24"/>
              </w:rPr>
              <w:t xml:space="preserve">6 nariadenia (EÚ) </w:t>
            </w:r>
            <w:r w:rsidR="009912F8" w:rsidRPr="00E07C9A">
              <w:rPr>
                <w:rFonts w:ascii="Times New Roman" w:hAnsi="Times New Roman"/>
                <w:sz w:val="24"/>
              </w:rPr>
              <w:t>č. 575/2013</w:t>
            </w:r>
          </w:p>
          <w:p w14:paraId="28A72F07" w14:textId="79BC72FF" w:rsidR="000B0B09" w:rsidRPr="00E07C9A" w:rsidRDefault="000B0B09" w:rsidP="000B0B09">
            <w:pPr>
              <w:autoSpaceDE w:val="0"/>
              <w:autoSpaceDN w:val="0"/>
              <w:adjustRightInd w:val="0"/>
              <w:spacing w:before="0" w:after="0"/>
              <w:rPr>
                <w:rFonts w:ascii="Times New Roman" w:hAnsi="Times New Roman"/>
                <w:sz w:val="24"/>
                <w:lang w:eastAsia="de-DE"/>
              </w:rPr>
            </w:pPr>
          </w:p>
          <w:p w14:paraId="62F71A0E" w14:textId="2F9A7862" w:rsidR="009912F8" w:rsidRPr="00E07C9A" w:rsidRDefault="000B0B09"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Dodatočné požiadavky pre opcie, ktoré súvisia</w:t>
            </w:r>
            <w:r w:rsidR="009912F8" w:rsidRPr="00E07C9A">
              <w:rPr>
                <w:rFonts w:ascii="Times New Roman" w:hAnsi="Times New Roman"/>
                <w:sz w:val="24"/>
              </w:rPr>
              <w:t xml:space="preserve"> s </w:t>
            </w:r>
            <w:r w:rsidRPr="00E07C9A">
              <w:rPr>
                <w:rFonts w:ascii="Times New Roman" w:hAnsi="Times New Roman"/>
                <w:sz w:val="24"/>
              </w:rPr>
              <w:t>rizikami inými než delta, sa vykazujú</w:t>
            </w:r>
            <w:r w:rsidR="009912F8" w:rsidRPr="00E07C9A">
              <w:rPr>
                <w:rFonts w:ascii="Times New Roman" w:hAnsi="Times New Roman"/>
                <w:sz w:val="24"/>
              </w:rPr>
              <w:t xml:space="preserve"> v </w:t>
            </w:r>
            <w:r w:rsidRPr="00E07C9A">
              <w:rPr>
                <w:rFonts w:ascii="Times New Roman" w:hAnsi="Times New Roman"/>
                <w:sz w:val="24"/>
              </w:rPr>
              <w:t>rozčlenení podľa metódy použitej na ich výpočet</w:t>
            </w:r>
            <w:r w:rsidR="009912F8" w:rsidRPr="00E07C9A">
              <w:rPr>
                <w:rFonts w:ascii="Times New Roman" w:hAnsi="Times New Roman"/>
                <w:sz w:val="24"/>
              </w:rPr>
              <w:t>.</w:t>
            </w:r>
          </w:p>
          <w:p w14:paraId="64B10AE8" w14:textId="3F275510" w:rsidR="000B0B09" w:rsidRPr="00E07C9A" w:rsidRDefault="000B0B09" w:rsidP="00DE73B4">
            <w:pPr>
              <w:autoSpaceDE w:val="0"/>
              <w:autoSpaceDN w:val="0"/>
              <w:adjustRightInd w:val="0"/>
              <w:spacing w:before="0" w:after="0"/>
              <w:rPr>
                <w:rFonts w:ascii="Times New Roman" w:hAnsi="Times New Roman"/>
                <w:b/>
                <w:bCs/>
                <w:sz w:val="24"/>
                <w:u w:val="single"/>
                <w:lang w:eastAsia="nl-BE"/>
              </w:rPr>
            </w:pPr>
          </w:p>
        </w:tc>
      </w:tr>
      <w:tr w:rsidR="000B0B09" w:rsidRPr="00E07C9A" w14:paraId="4FB6CAB6" w14:textId="77777777" w:rsidTr="00672D2A">
        <w:tc>
          <w:tcPr>
            <w:tcW w:w="991" w:type="dxa"/>
          </w:tcPr>
          <w:p w14:paraId="4A4827FD" w14:textId="77777777" w:rsidR="000B0B09" w:rsidRPr="00E07C9A" w:rsidRDefault="002F79EA"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0100 –⁠ 0120</w:t>
            </w:r>
          </w:p>
        </w:tc>
        <w:tc>
          <w:tcPr>
            <w:tcW w:w="7871" w:type="dxa"/>
          </w:tcPr>
          <w:p w14:paraId="4D32EE99" w14:textId="77777777" w:rsidR="000B0B09" w:rsidRPr="00E07C9A" w:rsidRDefault="000B0B09" w:rsidP="000B0B09">
            <w:pPr>
              <w:autoSpaceDE w:val="0"/>
              <w:autoSpaceDN w:val="0"/>
              <w:adjustRightInd w:val="0"/>
              <w:spacing w:before="0" w:after="0"/>
              <w:rPr>
                <w:rFonts w:ascii="Times New Roman" w:hAnsi="Times New Roman"/>
                <w:b/>
                <w:bCs/>
                <w:sz w:val="24"/>
                <w:u w:val="single"/>
              </w:rPr>
            </w:pPr>
            <w:r w:rsidRPr="00E07C9A">
              <w:rPr>
                <w:rFonts w:ascii="Times New Roman" w:hAnsi="Times New Roman"/>
                <w:b/>
                <w:sz w:val="24"/>
                <w:u w:val="single"/>
              </w:rPr>
              <w:t>Rozčlenenie celkových pozícií (vrátane meny vykazovania) podľa druhov expozícií</w:t>
            </w:r>
          </w:p>
          <w:p w14:paraId="35F84DAE" w14:textId="77777777" w:rsidR="000B0B09" w:rsidRPr="00E07C9A" w:rsidRDefault="000B0B09" w:rsidP="000B0B09">
            <w:pPr>
              <w:autoSpaceDE w:val="0"/>
              <w:autoSpaceDN w:val="0"/>
              <w:adjustRightInd w:val="0"/>
              <w:spacing w:before="0" w:after="0"/>
              <w:rPr>
                <w:rFonts w:ascii="Times New Roman" w:hAnsi="Times New Roman"/>
                <w:b/>
                <w:bCs/>
                <w:sz w:val="24"/>
                <w:u w:val="single"/>
                <w:lang w:eastAsia="nl-BE"/>
              </w:rPr>
            </w:pPr>
          </w:p>
          <w:p w14:paraId="11C8EDD8" w14:textId="27214442" w:rsidR="000B0B09" w:rsidRPr="00E07C9A" w:rsidRDefault="000B0B09"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Celkové pozície sa rozčlenia na deriváty, ostatné aktíva</w:t>
            </w:r>
            <w:r w:rsidR="009912F8" w:rsidRPr="00E07C9A">
              <w:rPr>
                <w:rFonts w:ascii="Times New Roman" w:hAnsi="Times New Roman"/>
                <w:sz w:val="24"/>
              </w:rPr>
              <w:t xml:space="preserve"> a </w:t>
            </w:r>
            <w:r w:rsidRPr="00E07C9A">
              <w:rPr>
                <w:rFonts w:ascii="Times New Roman" w:hAnsi="Times New Roman"/>
                <w:sz w:val="24"/>
              </w:rPr>
              <w:t>záväzky</w:t>
            </w:r>
            <w:r w:rsidR="009912F8" w:rsidRPr="00E07C9A">
              <w:rPr>
                <w:rFonts w:ascii="Times New Roman" w:hAnsi="Times New Roman"/>
                <w:sz w:val="24"/>
              </w:rPr>
              <w:t xml:space="preserve"> a </w:t>
            </w:r>
            <w:r w:rsidRPr="00E07C9A">
              <w:rPr>
                <w:rFonts w:ascii="Times New Roman" w:hAnsi="Times New Roman"/>
                <w:sz w:val="24"/>
              </w:rPr>
              <w:t>podsúvahové položky.</w:t>
            </w:r>
          </w:p>
          <w:p w14:paraId="645944F1" w14:textId="77777777" w:rsidR="00DE48EF" w:rsidRPr="00E07C9A"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E07C9A" w14:paraId="12C3A573" w14:textId="77777777" w:rsidTr="00672D2A">
        <w:tc>
          <w:tcPr>
            <w:tcW w:w="991" w:type="dxa"/>
          </w:tcPr>
          <w:p w14:paraId="328B76F1" w14:textId="77777777" w:rsidR="000B0B09" w:rsidRPr="00E07C9A" w:rsidRDefault="002F79EA"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0100</w:t>
            </w:r>
          </w:p>
        </w:tc>
        <w:tc>
          <w:tcPr>
            <w:tcW w:w="7871" w:type="dxa"/>
          </w:tcPr>
          <w:p w14:paraId="2B5ED8B0" w14:textId="6780E10C" w:rsidR="000B0B09" w:rsidRPr="00E07C9A" w:rsidRDefault="000B0B09" w:rsidP="000B0B09">
            <w:pPr>
              <w:autoSpaceDE w:val="0"/>
              <w:autoSpaceDN w:val="0"/>
              <w:adjustRightInd w:val="0"/>
              <w:spacing w:before="0" w:after="0"/>
              <w:rPr>
                <w:rFonts w:ascii="Times New Roman" w:hAnsi="Times New Roman"/>
                <w:b/>
                <w:bCs/>
                <w:sz w:val="24"/>
                <w:u w:val="single"/>
              </w:rPr>
            </w:pPr>
            <w:r w:rsidRPr="00E07C9A">
              <w:rPr>
                <w:rFonts w:ascii="Times New Roman" w:hAnsi="Times New Roman"/>
                <w:b/>
                <w:sz w:val="24"/>
                <w:u w:val="single"/>
              </w:rPr>
              <w:t>Ostatné aktíva</w:t>
            </w:r>
            <w:r w:rsidR="009912F8" w:rsidRPr="00E07C9A">
              <w:rPr>
                <w:rFonts w:ascii="Times New Roman" w:hAnsi="Times New Roman"/>
                <w:b/>
                <w:sz w:val="24"/>
                <w:u w:val="single"/>
              </w:rPr>
              <w:t xml:space="preserve"> a </w:t>
            </w:r>
            <w:r w:rsidRPr="00E07C9A">
              <w:rPr>
                <w:rFonts w:ascii="Times New Roman" w:hAnsi="Times New Roman"/>
                <w:b/>
                <w:sz w:val="24"/>
                <w:u w:val="single"/>
              </w:rPr>
              <w:t>záväzky iné než podsúvahové položky</w:t>
            </w:r>
            <w:r w:rsidR="009912F8" w:rsidRPr="00E07C9A">
              <w:rPr>
                <w:rFonts w:ascii="Times New Roman" w:hAnsi="Times New Roman"/>
                <w:b/>
                <w:sz w:val="24"/>
                <w:u w:val="single"/>
              </w:rPr>
              <w:t xml:space="preserve"> a </w:t>
            </w:r>
            <w:r w:rsidRPr="00E07C9A">
              <w:rPr>
                <w:rFonts w:ascii="Times New Roman" w:hAnsi="Times New Roman"/>
                <w:b/>
                <w:sz w:val="24"/>
                <w:u w:val="single"/>
              </w:rPr>
              <w:t>deriváty</w:t>
            </w:r>
          </w:p>
          <w:p w14:paraId="70ABA94F" w14:textId="77777777" w:rsidR="000B0B09" w:rsidRPr="00E07C9A" w:rsidRDefault="000B0B09" w:rsidP="000B0B09">
            <w:pPr>
              <w:autoSpaceDE w:val="0"/>
              <w:autoSpaceDN w:val="0"/>
              <w:adjustRightInd w:val="0"/>
              <w:spacing w:before="0" w:after="0"/>
              <w:rPr>
                <w:rFonts w:ascii="Times New Roman" w:hAnsi="Times New Roman"/>
                <w:b/>
                <w:bCs/>
                <w:sz w:val="24"/>
                <w:u w:val="single"/>
                <w:lang w:eastAsia="nl-BE"/>
              </w:rPr>
            </w:pPr>
          </w:p>
          <w:p w14:paraId="345D149E" w14:textId="7A35A1AC" w:rsidR="009912F8" w:rsidRPr="00E07C9A" w:rsidRDefault="000B0B09"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Vykazujú sa tu pozície nezahrnuté</w:t>
            </w:r>
            <w:r w:rsidR="009912F8" w:rsidRPr="00E07C9A">
              <w:rPr>
                <w:rFonts w:ascii="Times New Roman" w:hAnsi="Times New Roman"/>
                <w:sz w:val="24"/>
              </w:rPr>
              <w:t xml:space="preserve"> v </w:t>
            </w:r>
            <w:r w:rsidRPr="00E07C9A">
              <w:rPr>
                <w:rFonts w:ascii="Times New Roman" w:hAnsi="Times New Roman"/>
                <w:sz w:val="24"/>
              </w:rPr>
              <w:t>riadku 0110 alebo 0120</w:t>
            </w:r>
            <w:r w:rsidR="009912F8" w:rsidRPr="00E07C9A">
              <w:rPr>
                <w:rFonts w:ascii="Times New Roman" w:hAnsi="Times New Roman"/>
                <w:sz w:val="24"/>
              </w:rPr>
              <w:t>.</w:t>
            </w:r>
          </w:p>
          <w:p w14:paraId="68474F8C" w14:textId="3CAF83B9" w:rsidR="000B0B09" w:rsidRPr="00E07C9A" w:rsidRDefault="000B0B09" w:rsidP="000B0B09">
            <w:pPr>
              <w:autoSpaceDE w:val="0"/>
              <w:autoSpaceDN w:val="0"/>
              <w:adjustRightInd w:val="0"/>
              <w:spacing w:before="0" w:after="0"/>
              <w:rPr>
                <w:rFonts w:ascii="Times New Roman" w:hAnsi="Times New Roman"/>
                <w:b/>
                <w:bCs/>
                <w:sz w:val="24"/>
                <w:u w:val="single"/>
              </w:rPr>
            </w:pPr>
            <w:r w:rsidRPr="00E07C9A">
              <w:rPr>
                <w:rFonts w:ascii="Times New Roman" w:hAnsi="Times New Roman"/>
                <w:sz w:val="24"/>
              </w:rPr>
              <w:t xml:space="preserve"> </w:t>
            </w:r>
          </w:p>
        </w:tc>
      </w:tr>
      <w:tr w:rsidR="000B0B09" w:rsidRPr="00E07C9A" w14:paraId="68F25686" w14:textId="77777777" w:rsidTr="00672D2A">
        <w:tc>
          <w:tcPr>
            <w:tcW w:w="991" w:type="dxa"/>
          </w:tcPr>
          <w:p w14:paraId="76AEDC5B" w14:textId="77777777" w:rsidR="000B0B09" w:rsidRPr="00E07C9A" w:rsidRDefault="002F79EA"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0110</w:t>
            </w:r>
          </w:p>
        </w:tc>
        <w:tc>
          <w:tcPr>
            <w:tcW w:w="7871" w:type="dxa"/>
          </w:tcPr>
          <w:p w14:paraId="2D487603" w14:textId="77777777" w:rsidR="000B0B09" w:rsidRPr="00E07C9A" w:rsidRDefault="000B0B09" w:rsidP="000B0B09">
            <w:pPr>
              <w:autoSpaceDE w:val="0"/>
              <w:autoSpaceDN w:val="0"/>
              <w:adjustRightInd w:val="0"/>
              <w:spacing w:before="0" w:after="0"/>
              <w:rPr>
                <w:rFonts w:ascii="Times New Roman" w:hAnsi="Times New Roman"/>
                <w:b/>
                <w:bCs/>
                <w:sz w:val="24"/>
                <w:u w:val="single"/>
              </w:rPr>
            </w:pPr>
            <w:r w:rsidRPr="00E07C9A">
              <w:rPr>
                <w:rFonts w:ascii="Times New Roman" w:hAnsi="Times New Roman"/>
                <w:b/>
                <w:sz w:val="24"/>
                <w:u w:val="single"/>
              </w:rPr>
              <w:t>Podsúvahové položky</w:t>
            </w:r>
          </w:p>
          <w:p w14:paraId="4FE41ABE" w14:textId="77777777" w:rsidR="000B0B09" w:rsidRPr="00E07C9A" w:rsidRDefault="000B0B09" w:rsidP="000B0B09">
            <w:pPr>
              <w:autoSpaceDE w:val="0"/>
              <w:autoSpaceDN w:val="0"/>
              <w:adjustRightInd w:val="0"/>
              <w:spacing w:before="0" w:after="0"/>
              <w:rPr>
                <w:rFonts w:ascii="Times New Roman" w:hAnsi="Times New Roman"/>
                <w:b/>
                <w:bCs/>
                <w:sz w:val="24"/>
                <w:u w:val="single"/>
                <w:lang w:eastAsia="nl-BE"/>
              </w:rPr>
            </w:pPr>
          </w:p>
          <w:p w14:paraId="7CE2DA10" w14:textId="53AE6C77" w:rsidR="000B0B09" w:rsidRPr="00E07C9A" w:rsidRDefault="000B0B09"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 xml:space="preserve">Položky patriace do rozsahu pôsobnosti článku 352 nariadenia (EÚ) </w:t>
            </w:r>
            <w:r w:rsidR="009912F8" w:rsidRPr="00E07C9A">
              <w:rPr>
                <w:rFonts w:ascii="Times New Roman" w:hAnsi="Times New Roman"/>
                <w:sz w:val="24"/>
              </w:rPr>
              <w:t>č. 575/2013</w:t>
            </w:r>
            <w:r w:rsidRPr="00E07C9A">
              <w:rPr>
                <w:rFonts w:ascii="Times New Roman" w:hAnsi="Times New Roman"/>
                <w:sz w:val="24"/>
              </w:rPr>
              <w:t xml:space="preserve"> bez ohľadu na menu denominácie, ktoré sú zahrnuté</w:t>
            </w:r>
            <w:r w:rsidR="009912F8" w:rsidRPr="00E07C9A">
              <w:rPr>
                <w:rFonts w:ascii="Times New Roman" w:hAnsi="Times New Roman"/>
                <w:sz w:val="24"/>
              </w:rPr>
              <w:t xml:space="preserve"> v </w:t>
            </w:r>
            <w:r w:rsidRPr="00E07C9A">
              <w:rPr>
                <w:rFonts w:ascii="Times New Roman" w:hAnsi="Times New Roman"/>
                <w:sz w:val="24"/>
              </w:rPr>
              <w:t>prílohe I</w:t>
            </w:r>
            <w:r w:rsidR="009912F8" w:rsidRPr="00E07C9A">
              <w:rPr>
                <w:rFonts w:ascii="Times New Roman" w:hAnsi="Times New Roman"/>
                <w:sz w:val="24"/>
              </w:rPr>
              <w:t xml:space="preserve"> k </w:t>
            </w:r>
            <w:r w:rsidRPr="00E07C9A">
              <w:rPr>
                <w:rFonts w:ascii="Times New Roman" w:hAnsi="Times New Roman"/>
                <w:sz w:val="24"/>
              </w:rPr>
              <w:t>uvedenému nariadeniu, okrem položiek zahrnutých ako transakcie financovania prostredníctvom cenných papierov</w:t>
            </w:r>
            <w:r w:rsidR="009912F8" w:rsidRPr="00E07C9A">
              <w:rPr>
                <w:rFonts w:ascii="Times New Roman" w:hAnsi="Times New Roman"/>
                <w:sz w:val="24"/>
              </w:rPr>
              <w:t xml:space="preserve"> a </w:t>
            </w:r>
            <w:r w:rsidRPr="00E07C9A">
              <w:rPr>
                <w:rFonts w:ascii="Times New Roman" w:hAnsi="Times New Roman"/>
                <w:sz w:val="24"/>
              </w:rPr>
              <w:t>transakcie</w:t>
            </w:r>
            <w:r w:rsidR="009912F8" w:rsidRPr="00E07C9A">
              <w:rPr>
                <w:rFonts w:ascii="Times New Roman" w:hAnsi="Times New Roman"/>
                <w:sz w:val="24"/>
              </w:rPr>
              <w:t xml:space="preserve"> s </w:t>
            </w:r>
            <w:r w:rsidRPr="00E07C9A">
              <w:rPr>
                <w:rFonts w:ascii="Times New Roman" w:hAnsi="Times New Roman"/>
                <w:sz w:val="24"/>
              </w:rPr>
              <w:t>dlhou dobou vyrovnania alebo</w:t>
            </w:r>
            <w:r w:rsidR="009912F8" w:rsidRPr="00E07C9A">
              <w:rPr>
                <w:rFonts w:ascii="Times New Roman" w:hAnsi="Times New Roman"/>
                <w:sz w:val="24"/>
              </w:rPr>
              <w:t xml:space="preserve"> z </w:t>
            </w:r>
            <w:r w:rsidRPr="00E07C9A">
              <w:rPr>
                <w:rFonts w:ascii="Times New Roman" w:hAnsi="Times New Roman"/>
                <w:sz w:val="24"/>
              </w:rPr>
              <w:t>krížového vzájomného započítavania produktov.</w:t>
            </w:r>
          </w:p>
          <w:p w14:paraId="25D49F5C" w14:textId="77777777" w:rsidR="00DE48EF" w:rsidRPr="00E07C9A"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E07C9A" w14:paraId="6C61B439" w14:textId="77777777" w:rsidTr="00672D2A">
        <w:tc>
          <w:tcPr>
            <w:tcW w:w="991" w:type="dxa"/>
          </w:tcPr>
          <w:p w14:paraId="33EE452C" w14:textId="77777777" w:rsidR="000B0B09" w:rsidRPr="00E07C9A" w:rsidRDefault="002F79EA" w:rsidP="002F79EA">
            <w:pPr>
              <w:autoSpaceDE w:val="0"/>
              <w:autoSpaceDN w:val="0"/>
              <w:adjustRightInd w:val="0"/>
              <w:spacing w:before="0" w:after="0"/>
              <w:rPr>
                <w:rFonts w:ascii="Times New Roman" w:hAnsi="Times New Roman"/>
                <w:sz w:val="24"/>
              </w:rPr>
            </w:pPr>
            <w:r w:rsidRPr="00E07C9A">
              <w:rPr>
                <w:rFonts w:ascii="Times New Roman" w:hAnsi="Times New Roman"/>
                <w:sz w:val="24"/>
              </w:rPr>
              <w:t>0120</w:t>
            </w:r>
          </w:p>
        </w:tc>
        <w:tc>
          <w:tcPr>
            <w:tcW w:w="7871" w:type="dxa"/>
          </w:tcPr>
          <w:p w14:paraId="56E07170" w14:textId="77777777" w:rsidR="000B0B09" w:rsidRPr="00E07C9A" w:rsidRDefault="000B0B09" w:rsidP="000B0B09">
            <w:pPr>
              <w:autoSpaceDE w:val="0"/>
              <w:autoSpaceDN w:val="0"/>
              <w:adjustRightInd w:val="0"/>
              <w:spacing w:before="0" w:after="0"/>
              <w:rPr>
                <w:rFonts w:ascii="Times New Roman" w:hAnsi="Times New Roman"/>
                <w:b/>
                <w:bCs/>
                <w:sz w:val="24"/>
                <w:u w:val="single"/>
              </w:rPr>
            </w:pPr>
            <w:r w:rsidRPr="00E07C9A">
              <w:rPr>
                <w:rFonts w:ascii="Times New Roman" w:hAnsi="Times New Roman"/>
                <w:b/>
                <w:sz w:val="24"/>
                <w:u w:val="single"/>
              </w:rPr>
              <w:t>Deriváty</w:t>
            </w:r>
          </w:p>
          <w:p w14:paraId="7B6CC853" w14:textId="77777777" w:rsidR="000B0B09" w:rsidRPr="00E07C9A" w:rsidRDefault="000B0B09" w:rsidP="000B0B09">
            <w:pPr>
              <w:autoSpaceDE w:val="0"/>
              <w:autoSpaceDN w:val="0"/>
              <w:adjustRightInd w:val="0"/>
              <w:spacing w:before="0" w:after="0"/>
              <w:rPr>
                <w:rFonts w:ascii="Times New Roman" w:hAnsi="Times New Roman"/>
                <w:b/>
                <w:bCs/>
                <w:sz w:val="24"/>
                <w:u w:val="single"/>
                <w:lang w:eastAsia="nl-BE"/>
              </w:rPr>
            </w:pPr>
          </w:p>
          <w:p w14:paraId="174E14E9" w14:textId="0FC9EFA1" w:rsidR="000B0B09" w:rsidRPr="00E07C9A" w:rsidRDefault="000B0B09"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 xml:space="preserve">Pozície ocenené podľa článku 352 nariadenia (EÚ) </w:t>
            </w:r>
            <w:r w:rsidR="009912F8" w:rsidRPr="00E07C9A">
              <w:rPr>
                <w:rFonts w:ascii="Times New Roman" w:hAnsi="Times New Roman"/>
                <w:sz w:val="24"/>
              </w:rPr>
              <w:t>č. 575/2013</w:t>
            </w:r>
            <w:r w:rsidRPr="00E07C9A">
              <w:rPr>
                <w:rFonts w:ascii="Times New Roman" w:hAnsi="Times New Roman"/>
                <w:sz w:val="24"/>
              </w:rPr>
              <w:t>.</w:t>
            </w:r>
          </w:p>
          <w:p w14:paraId="2984F2C2" w14:textId="77777777" w:rsidR="00902EFC" w:rsidRPr="00E07C9A" w:rsidRDefault="00902EFC" w:rsidP="000B0B09">
            <w:pPr>
              <w:autoSpaceDE w:val="0"/>
              <w:autoSpaceDN w:val="0"/>
              <w:adjustRightInd w:val="0"/>
              <w:spacing w:before="0" w:after="0"/>
              <w:rPr>
                <w:rFonts w:ascii="Times New Roman" w:hAnsi="Times New Roman"/>
                <w:b/>
                <w:bCs/>
                <w:sz w:val="24"/>
                <w:u w:val="single"/>
                <w:lang w:eastAsia="nl-BE"/>
              </w:rPr>
            </w:pPr>
          </w:p>
        </w:tc>
      </w:tr>
      <w:tr w:rsidR="000B0B09" w:rsidRPr="00E07C9A" w14:paraId="0D32A9CF" w14:textId="77777777" w:rsidTr="00672D2A">
        <w:tc>
          <w:tcPr>
            <w:tcW w:w="991" w:type="dxa"/>
          </w:tcPr>
          <w:p w14:paraId="7B4BCDF0" w14:textId="77777777" w:rsidR="000B0B09" w:rsidRPr="00E07C9A" w:rsidRDefault="002F79EA" w:rsidP="002F79EA">
            <w:pPr>
              <w:autoSpaceDE w:val="0"/>
              <w:autoSpaceDN w:val="0"/>
              <w:adjustRightInd w:val="0"/>
              <w:spacing w:before="0" w:after="0"/>
              <w:rPr>
                <w:rFonts w:ascii="Times New Roman" w:hAnsi="Times New Roman"/>
                <w:sz w:val="24"/>
              </w:rPr>
            </w:pPr>
            <w:r w:rsidRPr="00E07C9A">
              <w:rPr>
                <w:rFonts w:ascii="Times New Roman" w:hAnsi="Times New Roman"/>
                <w:sz w:val="24"/>
              </w:rPr>
              <w:t>0130 –⁠ 0480</w:t>
            </w:r>
          </w:p>
        </w:tc>
        <w:tc>
          <w:tcPr>
            <w:tcW w:w="7871" w:type="dxa"/>
          </w:tcPr>
          <w:p w14:paraId="26286B4C" w14:textId="38433819" w:rsidR="000B0B09" w:rsidRPr="00E07C9A" w:rsidRDefault="000B0B09" w:rsidP="000B0B09">
            <w:pPr>
              <w:autoSpaceDE w:val="0"/>
              <w:autoSpaceDN w:val="0"/>
              <w:adjustRightInd w:val="0"/>
              <w:spacing w:before="0" w:after="0"/>
              <w:rPr>
                <w:rFonts w:ascii="Times New Roman" w:hAnsi="Times New Roman"/>
                <w:sz w:val="24"/>
              </w:rPr>
            </w:pPr>
            <w:r w:rsidRPr="00E07C9A">
              <w:rPr>
                <w:rFonts w:ascii="Times New Roman" w:hAnsi="Times New Roman"/>
                <w:b/>
                <w:sz w:val="24"/>
                <w:u w:val="single"/>
              </w:rPr>
              <w:t>DOPLŇUJÚCE POLOŽKY: MENOVÉ POZÍCIE</w:t>
            </w:r>
          </w:p>
          <w:p w14:paraId="77A906DE" w14:textId="77777777" w:rsidR="000B0B09" w:rsidRPr="00E07C9A" w:rsidRDefault="000B0B09" w:rsidP="000B0B09">
            <w:pPr>
              <w:autoSpaceDE w:val="0"/>
              <w:autoSpaceDN w:val="0"/>
              <w:adjustRightInd w:val="0"/>
              <w:spacing w:before="0" w:after="0"/>
              <w:rPr>
                <w:rFonts w:ascii="Times New Roman" w:hAnsi="Times New Roman"/>
                <w:b/>
                <w:bCs/>
                <w:sz w:val="24"/>
                <w:lang w:eastAsia="de-DE"/>
              </w:rPr>
            </w:pPr>
          </w:p>
          <w:p w14:paraId="234F1F91" w14:textId="6C560E3B" w:rsidR="009912F8" w:rsidRPr="00E07C9A" w:rsidRDefault="000B0B09" w:rsidP="00A2757B">
            <w:pPr>
              <w:autoSpaceDE w:val="0"/>
              <w:autoSpaceDN w:val="0"/>
              <w:adjustRightInd w:val="0"/>
              <w:spacing w:before="0" w:after="0"/>
              <w:rPr>
                <w:rFonts w:ascii="Times New Roman" w:hAnsi="Times New Roman"/>
                <w:sz w:val="24"/>
              </w:rPr>
            </w:pPr>
            <w:r w:rsidRPr="00E07C9A">
              <w:rPr>
                <w:rFonts w:ascii="Times New Roman" w:hAnsi="Times New Roman"/>
                <w:sz w:val="24"/>
              </w:rPr>
              <w:t>Doplňujúce položky vzoru sa vypĺňajú samostatne pre všetky meny členských štátov Únie, GBP, USD, CHF, JPY, RUB, TRY, AUD, CAD, RSD, ALL, UAH, MKD, EGP, ARS, BRL, MXN, HKD, ICK, TWD, NZD, NOK, SGD, KRW, CNY</w:t>
            </w:r>
            <w:r w:rsidR="009912F8" w:rsidRPr="00E07C9A">
              <w:rPr>
                <w:rFonts w:ascii="Times New Roman" w:hAnsi="Times New Roman"/>
                <w:sz w:val="24"/>
              </w:rPr>
              <w:t xml:space="preserve"> a </w:t>
            </w:r>
            <w:r w:rsidRPr="00E07C9A">
              <w:rPr>
                <w:rFonts w:ascii="Times New Roman" w:hAnsi="Times New Roman"/>
                <w:sz w:val="24"/>
              </w:rPr>
              <w:t>všetky ostatné meny</w:t>
            </w:r>
            <w:r w:rsidR="009912F8" w:rsidRPr="00E07C9A">
              <w:rPr>
                <w:rFonts w:ascii="Times New Roman" w:hAnsi="Times New Roman"/>
                <w:sz w:val="24"/>
              </w:rPr>
              <w:t>.</w:t>
            </w:r>
          </w:p>
          <w:p w14:paraId="2A795EB2" w14:textId="71ECC504" w:rsidR="0055144E" w:rsidRPr="00E07C9A" w:rsidRDefault="0055144E" w:rsidP="00A2757B">
            <w:pPr>
              <w:autoSpaceDE w:val="0"/>
              <w:autoSpaceDN w:val="0"/>
              <w:adjustRightInd w:val="0"/>
              <w:spacing w:before="0" w:after="0"/>
              <w:rPr>
                <w:rStyle w:val="InstructionsTabelleText"/>
                <w:rFonts w:ascii="Times New Roman" w:hAnsi="Times New Roman"/>
                <w:sz w:val="24"/>
              </w:rPr>
            </w:pPr>
          </w:p>
        </w:tc>
      </w:tr>
    </w:tbl>
    <w:p w14:paraId="6BA92730" w14:textId="77777777" w:rsidR="000B0B09" w:rsidRPr="00E07C9A" w:rsidRDefault="000B0B09" w:rsidP="000B0B09">
      <w:pPr>
        <w:rPr>
          <w:rFonts w:ascii="Times New Roman" w:hAnsi="Times New Roman"/>
          <w:sz w:val="24"/>
        </w:rPr>
      </w:pPr>
    </w:p>
    <w:p w14:paraId="53515718" w14:textId="77777777" w:rsidR="000B0B09" w:rsidRPr="00E07C9A" w:rsidRDefault="00125707" w:rsidP="0023700C">
      <w:pPr>
        <w:pStyle w:val="Instructionsberschrift2"/>
        <w:numPr>
          <w:ilvl w:val="0"/>
          <w:numId w:val="0"/>
        </w:numPr>
        <w:ind w:left="357" w:hanging="357"/>
        <w:rPr>
          <w:rFonts w:ascii="Times New Roman" w:hAnsi="Times New Roman" w:cs="Times New Roman"/>
          <w:sz w:val="24"/>
        </w:rPr>
      </w:pPr>
      <w:bookmarkStart w:id="707" w:name="_Toc262566435"/>
      <w:bookmarkStart w:id="708" w:name="_Toc295830011"/>
      <w:bookmarkStart w:id="709" w:name="_Toc308426688"/>
      <w:bookmarkStart w:id="710" w:name="_Toc310415072"/>
      <w:bookmarkStart w:id="711" w:name="_Toc360188407"/>
      <w:bookmarkStart w:id="712" w:name="_Toc473561047"/>
      <w:bookmarkStart w:id="713" w:name="_Toc115857891"/>
      <w:r w:rsidRPr="00E07C9A">
        <w:rPr>
          <w:rFonts w:ascii="Times New Roman" w:hAnsi="Times New Roman" w:cs="Times New Roman"/>
          <w:sz w:val="24"/>
          <w:u w:val="none"/>
        </w:rPr>
        <w:t>5.6.</w:t>
      </w:r>
      <w:r w:rsidRPr="00E07C9A">
        <w:rPr>
          <w:rFonts w:ascii="Times New Roman" w:hAnsi="Times New Roman" w:cs="Times New Roman"/>
          <w:u w:val="none"/>
        </w:rPr>
        <w:tab/>
      </w:r>
      <w:r w:rsidRPr="00E07C9A">
        <w:rPr>
          <w:rFonts w:ascii="Times New Roman" w:hAnsi="Times New Roman" w:cs="Times New Roman"/>
          <w:sz w:val="24"/>
        </w:rPr>
        <w:t>C 23.00 – Trhové riziko: štandardizované prístupy pre komodity</w:t>
      </w:r>
      <w:bookmarkEnd w:id="707"/>
      <w:bookmarkEnd w:id="708"/>
      <w:bookmarkEnd w:id="709"/>
      <w:bookmarkEnd w:id="710"/>
      <w:bookmarkEnd w:id="711"/>
      <w:r w:rsidRPr="00E07C9A">
        <w:rPr>
          <w:rFonts w:ascii="Times New Roman" w:hAnsi="Times New Roman" w:cs="Times New Roman"/>
          <w:sz w:val="24"/>
        </w:rPr>
        <w:t xml:space="preserve"> (MKR SA COM)</w:t>
      </w:r>
      <w:bookmarkEnd w:id="712"/>
      <w:bookmarkEnd w:id="713"/>
    </w:p>
    <w:p w14:paraId="72871AE4" w14:textId="77777777" w:rsidR="000B0B09" w:rsidRPr="00E07C9A" w:rsidRDefault="00125707" w:rsidP="0023700C">
      <w:pPr>
        <w:pStyle w:val="Instructionsberschrift2"/>
        <w:numPr>
          <w:ilvl w:val="0"/>
          <w:numId w:val="0"/>
        </w:numPr>
        <w:ind w:left="357" w:hanging="357"/>
        <w:rPr>
          <w:rFonts w:ascii="Times New Roman" w:hAnsi="Times New Roman" w:cs="Times New Roman"/>
          <w:sz w:val="24"/>
        </w:rPr>
      </w:pPr>
      <w:bookmarkStart w:id="714" w:name="_Toc262566436"/>
      <w:bookmarkStart w:id="715" w:name="_Toc295830012"/>
      <w:bookmarkStart w:id="716" w:name="_Toc308426689"/>
      <w:bookmarkStart w:id="717" w:name="_Toc310415073"/>
      <w:bookmarkStart w:id="718" w:name="_Toc360188408"/>
      <w:bookmarkStart w:id="719" w:name="_Toc473561048"/>
      <w:bookmarkStart w:id="720" w:name="_Toc115857892"/>
      <w:r w:rsidRPr="00E07C9A">
        <w:rPr>
          <w:rFonts w:ascii="Times New Roman" w:hAnsi="Times New Roman" w:cs="Times New Roman"/>
          <w:sz w:val="24"/>
          <w:u w:val="none"/>
        </w:rPr>
        <w:t>5.6.1.</w:t>
      </w:r>
      <w:r w:rsidRPr="00E07C9A">
        <w:rPr>
          <w:rFonts w:ascii="Times New Roman" w:hAnsi="Times New Roman" w:cs="Times New Roman"/>
          <w:u w:val="none"/>
        </w:rPr>
        <w:tab/>
      </w:r>
      <w:r w:rsidRPr="00E07C9A">
        <w:rPr>
          <w:rFonts w:ascii="Times New Roman" w:hAnsi="Times New Roman" w:cs="Times New Roman"/>
          <w:sz w:val="24"/>
        </w:rPr>
        <w:t>Všeobecné poznámky</w:t>
      </w:r>
      <w:bookmarkEnd w:id="714"/>
      <w:bookmarkEnd w:id="715"/>
      <w:bookmarkEnd w:id="716"/>
      <w:bookmarkEnd w:id="717"/>
      <w:bookmarkEnd w:id="718"/>
      <w:bookmarkEnd w:id="719"/>
      <w:bookmarkEnd w:id="720"/>
    </w:p>
    <w:p w14:paraId="441FA19A" w14:textId="144942DB" w:rsidR="000B0B09" w:rsidRPr="00E07C9A" w:rsidRDefault="002A18DE" w:rsidP="00487A02">
      <w:pPr>
        <w:pStyle w:val="InstructionsText2"/>
        <w:numPr>
          <w:ilvl w:val="0"/>
          <w:numId w:val="0"/>
        </w:numPr>
        <w:ind w:left="1353" w:hanging="360"/>
      </w:pPr>
      <w:fldSimple w:instr=" seq paragraphs ">
        <w:r w:rsidR="00132AEE">
          <w:rPr>
            <w:noProof/>
          </w:rPr>
          <w:t>173</w:t>
        </w:r>
      </w:fldSimple>
      <w:r w:rsidR="00C3070C" w:rsidRPr="00E07C9A">
        <w:t>.</w:t>
      </w:r>
      <w:r w:rsidR="00C3070C" w:rsidRPr="00E07C9A">
        <w:tab/>
      </w:r>
      <w:r w:rsidR="009912F8" w:rsidRPr="00E07C9A">
        <w:t xml:space="preserve"> V </w:t>
      </w:r>
      <w:r w:rsidR="00C3070C" w:rsidRPr="00E07C9A">
        <w:t>tomto vzore sa vyžadujú informácie</w:t>
      </w:r>
      <w:r w:rsidR="009912F8" w:rsidRPr="00E07C9A">
        <w:t xml:space="preserve"> o </w:t>
      </w:r>
      <w:r w:rsidR="00C3070C" w:rsidRPr="00E07C9A">
        <w:t>pozíciách</w:t>
      </w:r>
      <w:r w:rsidR="009912F8" w:rsidRPr="00E07C9A">
        <w:t xml:space="preserve"> v </w:t>
      </w:r>
      <w:r w:rsidR="00C3070C" w:rsidRPr="00E07C9A">
        <w:t>komoditách</w:t>
      </w:r>
      <w:r w:rsidR="009912F8" w:rsidRPr="00E07C9A">
        <w:t xml:space="preserve"> a </w:t>
      </w:r>
      <w:r w:rsidR="00C3070C" w:rsidRPr="00E07C9A">
        <w:t>zodpovedajúcich požiadavkách na vlastné zdroje</w:t>
      </w:r>
      <w:r w:rsidR="009912F8" w:rsidRPr="00E07C9A">
        <w:t xml:space="preserve"> v </w:t>
      </w:r>
      <w:r w:rsidR="00C3070C" w:rsidRPr="00E07C9A">
        <w:t>rámci štandardizovaného prístupu.</w:t>
      </w:r>
    </w:p>
    <w:p w14:paraId="0C8765B1" w14:textId="16F4CE7F" w:rsidR="000B0B09" w:rsidRPr="00E07C9A" w:rsidRDefault="00125707" w:rsidP="0023700C">
      <w:pPr>
        <w:pStyle w:val="Instructionsberschrift2"/>
        <w:numPr>
          <w:ilvl w:val="0"/>
          <w:numId w:val="0"/>
        </w:numPr>
        <w:ind w:left="357" w:hanging="357"/>
        <w:rPr>
          <w:rFonts w:ascii="Times New Roman" w:hAnsi="Times New Roman" w:cs="Times New Roman"/>
          <w:sz w:val="24"/>
        </w:rPr>
      </w:pPr>
      <w:bookmarkStart w:id="721" w:name="_Toc262566437"/>
      <w:bookmarkStart w:id="722" w:name="_Toc295830013"/>
      <w:bookmarkStart w:id="723" w:name="_Toc308426690"/>
      <w:bookmarkStart w:id="724" w:name="_Toc310415074"/>
      <w:bookmarkStart w:id="725" w:name="_Toc360188409"/>
      <w:bookmarkStart w:id="726" w:name="_Toc473561049"/>
      <w:bookmarkStart w:id="727" w:name="_Toc115857893"/>
      <w:r w:rsidRPr="00E07C9A">
        <w:rPr>
          <w:rFonts w:ascii="Times New Roman" w:hAnsi="Times New Roman" w:cs="Times New Roman"/>
          <w:sz w:val="24"/>
          <w:u w:val="none"/>
        </w:rPr>
        <w:t>5.6.2.</w:t>
      </w:r>
      <w:r w:rsidRPr="00E07C9A">
        <w:rPr>
          <w:rFonts w:ascii="Times New Roman" w:hAnsi="Times New Roman" w:cs="Times New Roman"/>
          <w:u w:val="none"/>
        </w:rPr>
        <w:tab/>
      </w:r>
      <w:r w:rsidRPr="00E07C9A">
        <w:rPr>
          <w:rFonts w:ascii="Times New Roman" w:hAnsi="Times New Roman" w:cs="Times New Roman"/>
          <w:sz w:val="24"/>
        </w:rPr>
        <w:t>Pokyny týkajúce sa konkrétnych pozícií</w:t>
      </w:r>
      <w:bookmarkEnd w:id="721"/>
      <w:bookmarkEnd w:id="722"/>
      <w:bookmarkEnd w:id="723"/>
      <w:bookmarkEnd w:id="724"/>
      <w:bookmarkEnd w:id="725"/>
      <w:bookmarkEnd w:id="726"/>
      <w:bookmarkEnd w:id="72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E07C9A" w14:paraId="7440A91F" w14:textId="77777777" w:rsidTr="00672D2A">
        <w:trPr>
          <w:trHeight w:val="591"/>
        </w:trPr>
        <w:tc>
          <w:tcPr>
            <w:tcW w:w="8862" w:type="dxa"/>
            <w:gridSpan w:val="2"/>
            <w:shd w:val="clear" w:color="auto" w:fill="CCCCCC"/>
          </w:tcPr>
          <w:p w14:paraId="4154FB7C" w14:textId="77777777" w:rsidR="000B0B09" w:rsidRPr="00E07C9A" w:rsidRDefault="000B0B09" w:rsidP="000B0B09">
            <w:pPr>
              <w:autoSpaceDE w:val="0"/>
              <w:autoSpaceDN w:val="0"/>
              <w:adjustRightInd w:val="0"/>
              <w:spacing w:after="0"/>
              <w:rPr>
                <w:rFonts w:ascii="Times New Roman" w:hAnsi="Times New Roman"/>
                <w:b/>
                <w:sz w:val="24"/>
              </w:rPr>
            </w:pPr>
            <w:r w:rsidRPr="00E07C9A">
              <w:rPr>
                <w:rFonts w:ascii="Times New Roman" w:hAnsi="Times New Roman"/>
                <w:b/>
                <w:sz w:val="24"/>
              </w:rPr>
              <w:t>Stĺpce</w:t>
            </w:r>
          </w:p>
        </w:tc>
      </w:tr>
      <w:tr w:rsidR="000B0B09" w:rsidRPr="00E07C9A" w14:paraId="12CECACA" w14:textId="77777777" w:rsidTr="00672D2A">
        <w:tc>
          <w:tcPr>
            <w:tcW w:w="986" w:type="dxa"/>
          </w:tcPr>
          <w:p w14:paraId="6FA50BBC" w14:textId="77777777" w:rsidR="000B0B09" w:rsidRPr="00E07C9A" w:rsidRDefault="002F79EA" w:rsidP="00B74792">
            <w:pPr>
              <w:autoSpaceDE w:val="0"/>
              <w:autoSpaceDN w:val="0"/>
              <w:adjustRightInd w:val="0"/>
              <w:spacing w:before="0" w:after="0"/>
              <w:rPr>
                <w:rFonts w:ascii="Times New Roman" w:hAnsi="Times New Roman"/>
                <w:sz w:val="24"/>
              </w:rPr>
            </w:pPr>
            <w:r w:rsidRPr="00E07C9A">
              <w:rPr>
                <w:rFonts w:ascii="Times New Roman" w:hAnsi="Times New Roman"/>
                <w:sz w:val="24"/>
              </w:rPr>
              <w:t>0010 –⁠ 0020</w:t>
            </w:r>
          </w:p>
        </w:tc>
        <w:tc>
          <w:tcPr>
            <w:tcW w:w="7876" w:type="dxa"/>
          </w:tcPr>
          <w:p w14:paraId="29C026B5" w14:textId="77777777" w:rsidR="000B0B09" w:rsidRPr="00E07C9A" w:rsidRDefault="000B0B09" w:rsidP="000B0B09">
            <w:pPr>
              <w:autoSpaceDE w:val="0"/>
              <w:autoSpaceDN w:val="0"/>
              <w:adjustRightInd w:val="0"/>
              <w:spacing w:before="0" w:after="0"/>
              <w:rPr>
                <w:rFonts w:ascii="Times New Roman" w:hAnsi="Times New Roman"/>
                <w:b/>
                <w:bCs/>
                <w:sz w:val="24"/>
                <w:u w:val="single"/>
              </w:rPr>
            </w:pPr>
            <w:r w:rsidRPr="00E07C9A">
              <w:rPr>
                <w:rFonts w:ascii="Times New Roman" w:hAnsi="Times New Roman"/>
                <w:b/>
                <w:sz w:val="24"/>
                <w:u w:val="single"/>
              </w:rPr>
              <w:t>VŠETKY POZÍCIE (DLHÉ A KRÁTKE)</w:t>
            </w:r>
          </w:p>
          <w:p w14:paraId="4B99A786" w14:textId="77777777" w:rsidR="000B0B09" w:rsidRPr="00E07C9A" w:rsidRDefault="000B0B09" w:rsidP="000B0B09">
            <w:pPr>
              <w:autoSpaceDE w:val="0"/>
              <w:autoSpaceDN w:val="0"/>
              <w:adjustRightInd w:val="0"/>
              <w:spacing w:before="0" w:after="0"/>
              <w:rPr>
                <w:rFonts w:ascii="Times New Roman" w:hAnsi="Times New Roman"/>
                <w:b/>
                <w:bCs/>
                <w:sz w:val="24"/>
                <w:u w:val="single"/>
                <w:lang w:eastAsia="nl-BE"/>
              </w:rPr>
            </w:pPr>
          </w:p>
          <w:p w14:paraId="60BC9B3E" w14:textId="6B00B5A6" w:rsidR="000B0B09" w:rsidRPr="00E07C9A" w:rsidRDefault="000B0B09"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Hrubé dlhé/krátke pozície, ktoré sa považujú za pozície</w:t>
            </w:r>
            <w:r w:rsidR="009912F8" w:rsidRPr="00E07C9A">
              <w:rPr>
                <w:rFonts w:ascii="Times New Roman" w:hAnsi="Times New Roman"/>
                <w:sz w:val="24"/>
              </w:rPr>
              <w:t xml:space="preserve"> v </w:t>
            </w:r>
            <w:r w:rsidRPr="00E07C9A">
              <w:rPr>
                <w:rFonts w:ascii="Times New Roman" w:hAnsi="Times New Roman"/>
                <w:sz w:val="24"/>
              </w:rPr>
              <w:t>rovnakej komodite</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357 ods. 4 nariadenia (EÚ) </w:t>
            </w:r>
            <w:r w:rsidR="009912F8" w:rsidRPr="00E07C9A">
              <w:rPr>
                <w:rFonts w:ascii="Times New Roman" w:hAnsi="Times New Roman"/>
                <w:sz w:val="24"/>
              </w:rPr>
              <w:t>č. 575/2013</w:t>
            </w:r>
            <w:r w:rsidRPr="00E07C9A">
              <w:rPr>
                <w:rFonts w:ascii="Times New Roman" w:hAnsi="Times New Roman"/>
                <w:sz w:val="24"/>
              </w:rPr>
              <w:t xml:space="preserve"> [pozri aj článok 359 ods. 1 nariadenia (EÚ) </w:t>
            </w:r>
            <w:r w:rsidR="009912F8" w:rsidRPr="00E07C9A">
              <w:rPr>
                <w:rFonts w:ascii="Times New Roman" w:hAnsi="Times New Roman"/>
                <w:sz w:val="24"/>
              </w:rPr>
              <w:t>č. 575/2013</w:t>
            </w:r>
            <w:r w:rsidRPr="00E07C9A">
              <w:rPr>
                <w:rFonts w:ascii="Times New Roman" w:hAnsi="Times New Roman"/>
                <w:sz w:val="24"/>
              </w:rPr>
              <w:t>].</w:t>
            </w:r>
          </w:p>
          <w:p w14:paraId="3E9C7204" w14:textId="77777777" w:rsidR="000B0B09" w:rsidRPr="00E07C9A" w:rsidRDefault="000B0B09"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 xml:space="preserve"> </w:t>
            </w:r>
          </w:p>
        </w:tc>
      </w:tr>
      <w:tr w:rsidR="000B0B09" w:rsidRPr="00E07C9A" w14:paraId="4AB4396B" w14:textId="77777777" w:rsidTr="00672D2A">
        <w:tc>
          <w:tcPr>
            <w:tcW w:w="986" w:type="dxa"/>
          </w:tcPr>
          <w:p w14:paraId="224657DD" w14:textId="77777777" w:rsidR="000B0B09" w:rsidRPr="00E07C9A" w:rsidRDefault="002F79EA" w:rsidP="00B74792">
            <w:pPr>
              <w:autoSpaceDE w:val="0"/>
              <w:autoSpaceDN w:val="0"/>
              <w:adjustRightInd w:val="0"/>
              <w:spacing w:before="0" w:after="0"/>
              <w:rPr>
                <w:rFonts w:ascii="Times New Roman" w:hAnsi="Times New Roman"/>
                <w:sz w:val="24"/>
              </w:rPr>
            </w:pPr>
            <w:r w:rsidRPr="00E07C9A">
              <w:rPr>
                <w:rFonts w:ascii="Times New Roman" w:hAnsi="Times New Roman"/>
                <w:sz w:val="24"/>
              </w:rPr>
              <w:t xml:space="preserve">0030 – 0040 </w:t>
            </w:r>
          </w:p>
        </w:tc>
        <w:tc>
          <w:tcPr>
            <w:tcW w:w="7876" w:type="dxa"/>
          </w:tcPr>
          <w:p w14:paraId="7FA580C3" w14:textId="77777777" w:rsidR="000B0B09" w:rsidRPr="00E07C9A" w:rsidRDefault="000B0B09" w:rsidP="000B0B09">
            <w:pPr>
              <w:autoSpaceDE w:val="0"/>
              <w:autoSpaceDN w:val="0"/>
              <w:adjustRightInd w:val="0"/>
              <w:spacing w:before="0" w:after="0"/>
              <w:rPr>
                <w:rFonts w:ascii="Times New Roman" w:hAnsi="Times New Roman"/>
                <w:b/>
                <w:bCs/>
                <w:sz w:val="24"/>
                <w:u w:val="single"/>
              </w:rPr>
            </w:pPr>
            <w:r w:rsidRPr="00E07C9A">
              <w:rPr>
                <w:rFonts w:ascii="Times New Roman" w:hAnsi="Times New Roman"/>
                <w:b/>
                <w:sz w:val="24"/>
                <w:u w:val="single"/>
              </w:rPr>
              <w:t>ČISTÉ POZÍCIE (DLHÉ A KRÁTKE)</w:t>
            </w:r>
          </w:p>
          <w:p w14:paraId="0B49C3FC" w14:textId="77777777" w:rsidR="000B0B09" w:rsidRPr="00E07C9A" w:rsidRDefault="000B0B09" w:rsidP="000B0B09">
            <w:pPr>
              <w:autoSpaceDE w:val="0"/>
              <w:autoSpaceDN w:val="0"/>
              <w:adjustRightInd w:val="0"/>
              <w:spacing w:before="0" w:after="0"/>
              <w:rPr>
                <w:rFonts w:ascii="Times New Roman" w:hAnsi="Times New Roman"/>
                <w:sz w:val="24"/>
                <w:lang w:eastAsia="de-DE"/>
              </w:rPr>
            </w:pPr>
          </w:p>
          <w:p w14:paraId="27F059DD" w14:textId="286C2B57" w:rsidR="000B0B09" w:rsidRPr="00E07C9A" w:rsidRDefault="000B0B09" w:rsidP="001A0143">
            <w:pPr>
              <w:autoSpaceDE w:val="0"/>
              <w:autoSpaceDN w:val="0"/>
              <w:adjustRightInd w:val="0"/>
              <w:spacing w:before="0"/>
              <w:rPr>
                <w:rFonts w:ascii="Times New Roman" w:hAnsi="Times New Roman"/>
                <w:sz w:val="24"/>
              </w:rPr>
            </w:pPr>
            <w:r w:rsidRPr="00E07C9A">
              <w:rPr>
                <w:rFonts w:ascii="Times New Roman" w:hAnsi="Times New Roman"/>
                <w:sz w:val="24"/>
              </w:rPr>
              <w:t>Podľa vymedzenia</w:t>
            </w:r>
            <w:r w:rsidR="009912F8" w:rsidRPr="00E07C9A">
              <w:rPr>
                <w:rFonts w:ascii="Times New Roman" w:hAnsi="Times New Roman"/>
                <w:sz w:val="24"/>
              </w:rPr>
              <w:t xml:space="preserve"> v </w:t>
            </w:r>
            <w:r w:rsidRPr="00E07C9A">
              <w:rPr>
                <w:rFonts w:ascii="Times New Roman" w:hAnsi="Times New Roman"/>
                <w:sz w:val="24"/>
              </w:rPr>
              <w:t xml:space="preserve">článku 357 ods. 3 nariadenia (EÚ) </w:t>
            </w:r>
            <w:r w:rsidR="009912F8" w:rsidRPr="00E07C9A">
              <w:rPr>
                <w:rFonts w:ascii="Times New Roman" w:hAnsi="Times New Roman"/>
                <w:sz w:val="24"/>
              </w:rPr>
              <w:t>č. 575/2013</w:t>
            </w:r>
            <w:r w:rsidRPr="00E07C9A">
              <w:rPr>
                <w:rFonts w:ascii="Times New Roman" w:hAnsi="Times New Roman"/>
                <w:sz w:val="24"/>
              </w:rPr>
              <w:t xml:space="preserve"> </w:t>
            </w:r>
          </w:p>
        </w:tc>
      </w:tr>
      <w:tr w:rsidR="000B0B09" w:rsidRPr="00E07C9A" w14:paraId="0A46320C" w14:textId="77777777" w:rsidTr="00672D2A">
        <w:tc>
          <w:tcPr>
            <w:tcW w:w="986" w:type="dxa"/>
          </w:tcPr>
          <w:p w14:paraId="7F0B984E" w14:textId="77777777" w:rsidR="000B0B09" w:rsidRPr="00E07C9A" w:rsidRDefault="002F79EA"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0050</w:t>
            </w:r>
          </w:p>
        </w:tc>
        <w:tc>
          <w:tcPr>
            <w:tcW w:w="7876" w:type="dxa"/>
          </w:tcPr>
          <w:p w14:paraId="7ADEF1C0" w14:textId="77777777" w:rsidR="000B0B09" w:rsidRPr="00E07C9A" w:rsidRDefault="000B0B09" w:rsidP="000B0B09">
            <w:pPr>
              <w:autoSpaceDE w:val="0"/>
              <w:autoSpaceDN w:val="0"/>
              <w:adjustRightInd w:val="0"/>
              <w:spacing w:before="0" w:after="0"/>
              <w:rPr>
                <w:rFonts w:ascii="Times New Roman" w:hAnsi="Times New Roman"/>
                <w:b/>
                <w:bCs/>
                <w:sz w:val="24"/>
                <w:u w:val="single"/>
              </w:rPr>
            </w:pPr>
            <w:r w:rsidRPr="00E07C9A">
              <w:rPr>
                <w:rFonts w:ascii="Times New Roman" w:hAnsi="Times New Roman"/>
                <w:b/>
                <w:sz w:val="24"/>
                <w:u w:val="single"/>
              </w:rPr>
              <w:t>POZÍCIE, NA KTORÉ SA VZŤAHUJE KAPITÁLOVÁ POŽIADAVKA</w:t>
            </w:r>
          </w:p>
          <w:p w14:paraId="55ED580C" w14:textId="77777777" w:rsidR="000B0B09" w:rsidRPr="00E07C9A" w:rsidRDefault="000B0B09" w:rsidP="000B0B09">
            <w:pPr>
              <w:autoSpaceDE w:val="0"/>
              <w:autoSpaceDN w:val="0"/>
              <w:adjustRightInd w:val="0"/>
              <w:spacing w:before="0" w:after="0"/>
              <w:rPr>
                <w:rFonts w:ascii="Times New Roman" w:hAnsi="Times New Roman"/>
                <w:sz w:val="24"/>
                <w:lang w:eastAsia="de-DE"/>
              </w:rPr>
            </w:pPr>
          </w:p>
          <w:p w14:paraId="0D57A399" w14:textId="783A88B7" w:rsidR="000B0B09" w:rsidRPr="00E07C9A" w:rsidRDefault="000B0B09"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Čisté pozície, na ktoré sa podľa rôznych prístupov</w:t>
            </w:r>
            <w:r w:rsidR="009912F8" w:rsidRPr="00E07C9A">
              <w:rPr>
                <w:rFonts w:ascii="Times New Roman" w:hAnsi="Times New Roman"/>
                <w:sz w:val="24"/>
              </w:rPr>
              <w:t xml:space="preserve"> v </w:t>
            </w:r>
            <w:r w:rsidRPr="00E07C9A">
              <w:rPr>
                <w:rFonts w:ascii="Times New Roman" w:hAnsi="Times New Roman"/>
                <w:sz w:val="24"/>
              </w:rPr>
              <w:t xml:space="preserve">tretej časti hlave IV kapitole 4 nariadenia (EÚ) </w:t>
            </w:r>
            <w:r w:rsidR="009912F8" w:rsidRPr="00E07C9A">
              <w:rPr>
                <w:rFonts w:ascii="Times New Roman" w:hAnsi="Times New Roman"/>
                <w:sz w:val="24"/>
              </w:rPr>
              <w:t>č. 575/2013</w:t>
            </w:r>
            <w:r w:rsidRPr="00E07C9A">
              <w:rPr>
                <w:rFonts w:ascii="Times New Roman" w:hAnsi="Times New Roman"/>
                <w:sz w:val="24"/>
              </w:rPr>
              <w:t xml:space="preserve"> vzťahuje kapitálová požiadavka.</w:t>
            </w:r>
          </w:p>
          <w:p w14:paraId="762BD2E2" w14:textId="77777777" w:rsidR="000B0B09" w:rsidRPr="00E07C9A"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E07C9A" w14:paraId="637B5E6C" w14:textId="77777777" w:rsidTr="00672D2A">
        <w:tc>
          <w:tcPr>
            <w:tcW w:w="986" w:type="dxa"/>
          </w:tcPr>
          <w:p w14:paraId="41FAB945" w14:textId="77777777" w:rsidR="000B0B09" w:rsidRPr="00E07C9A" w:rsidRDefault="002F79EA"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0060</w:t>
            </w:r>
          </w:p>
        </w:tc>
        <w:tc>
          <w:tcPr>
            <w:tcW w:w="7876" w:type="dxa"/>
          </w:tcPr>
          <w:p w14:paraId="4AA26DC6" w14:textId="77777777" w:rsidR="000B0B09" w:rsidRPr="00E07C9A" w:rsidRDefault="000B0B09" w:rsidP="000B0B09">
            <w:pPr>
              <w:autoSpaceDE w:val="0"/>
              <w:autoSpaceDN w:val="0"/>
              <w:adjustRightInd w:val="0"/>
              <w:spacing w:before="0" w:after="0"/>
              <w:rPr>
                <w:rFonts w:ascii="Times New Roman" w:hAnsi="Times New Roman"/>
                <w:b/>
                <w:bCs/>
                <w:sz w:val="24"/>
                <w:u w:val="single"/>
              </w:rPr>
            </w:pPr>
            <w:r w:rsidRPr="00E07C9A">
              <w:rPr>
                <w:rFonts w:ascii="Times New Roman" w:hAnsi="Times New Roman"/>
                <w:b/>
                <w:sz w:val="24"/>
                <w:u w:val="single"/>
              </w:rPr>
              <w:t>POŽIADAVKY NA VLASTNÉ ZDROJE</w:t>
            </w:r>
          </w:p>
          <w:p w14:paraId="545A195F" w14:textId="77777777" w:rsidR="000B0B09" w:rsidRPr="00E07C9A" w:rsidRDefault="000B0B09" w:rsidP="000B0B09">
            <w:pPr>
              <w:autoSpaceDE w:val="0"/>
              <w:autoSpaceDN w:val="0"/>
              <w:adjustRightInd w:val="0"/>
              <w:spacing w:before="0" w:after="0"/>
              <w:rPr>
                <w:rFonts w:ascii="Times New Roman" w:hAnsi="Times New Roman"/>
                <w:b/>
                <w:bCs/>
                <w:sz w:val="24"/>
                <w:u w:val="single"/>
                <w:lang w:eastAsia="nl-BE"/>
              </w:rPr>
            </w:pPr>
          </w:p>
          <w:p w14:paraId="1F8C468D" w14:textId="095B5C04" w:rsidR="000B0B09" w:rsidRPr="00E07C9A" w:rsidRDefault="000B0B09" w:rsidP="00A2757B">
            <w:pPr>
              <w:autoSpaceDE w:val="0"/>
              <w:autoSpaceDN w:val="0"/>
              <w:adjustRightInd w:val="0"/>
              <w:spacing w:before="0"/>
              <w:rPr>
                <w:rFonts w:ascii="Times New Roman" w:hAnsi="Times New Roman"/>
                <w:b/>
                <w:bCs/>
                <w:sz w:val="24"/>
                <w:u w:val="single"/>
              </w:rPr>
            </w:pPr>
            <w:r w:rsidRPr="00E07C9A">
              <w:rPr>
                <w:rFonts w:ascii="Times New Roman" w:hAnsi="Times New Roman"/>
                <w:sz w:val="24"/>
              </w:rPr>
              <w:t>Kapitálová požiadavka pre všetky relevantné pozície vypočítaná</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treťou časťou hlavou IV kapitolou 4 nariadenia (EÚ) </w:t>
            </w:r>
            <w:r w:rsidR="009912F8" w:rsidRPr="00E07C9A">
              <w:rPr>
                <w:rFonts w:ascii="Times New Roman" w:hAnsi="Times New Roman"/>
                <w:sz w:val="24"/>
              </w:rPr>
              <w:t>č. 575/2013</w:t>
            </w:r>
            <w:r w:rsidRPr="00E07C9A">
              <w:rPr>
                <w:rFonts w:ascii="Times New Roman" w:hAnsi="Times New Roman"/>
                <w:sz w:val="24"/>
              </w:rPr>
              <w:t>.</w:t>
            </w:r>
          </w:p>
        </w:tc>
      </w:tr>
      <w:tr w:rsidR="000B0B09" w:rsidRPr="00E07C9A" w14:paraId="380AB4E0" w14:textId="77777777" w:rsidTr="00672D2A">
        <w:tc>
          <w:tcPr>
            <w:tcW w:w="986" w:type="dxa"/>
          </w:tcPr>
          <w:p w14:paraId="0EE22EDA" w14:textId="77777777" w:rsidR="000B0B09" w:rsidRPr="00E07C9A" w:rsidRDefault="002F79EA"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0070</w:t>
            </w:r>
          </w:p>
        </w:tc>
        <w:tc>
          <w:tcPr>
            <w:tcW w:w="7876" w:type="dxa"/>
          </w:tcPr>
          <w:p w14:paraId="162C1DF7" w14:textId="77777777" w:rsidR="000B0B09" w:rsidRPr="00E07C9A" w:rsidRDefault="000B0B09" w:rsidP="000B0B09">
            <w:pPr>
              <w:tabs>
                <w:tab w:val="left" w:pos="1665"/>
              </w:tabs>
              <w:autoSpaceDE w:val="0"/>
              <w:autoSpaceDN w:val="0"/>
              <w:adjustRightInd w:val="0"/>
              <w:spacing w:before="0" w:after="0"/>
              <w:rPr>
                <w:rFonts w:ascii="Times New Roman" w:hAnsi="Times New Roman"/>
                <w:b/>
                <w:bCs/>
                <w:sz w:val="24"/>
                <w:u w:val="single"/>
              </w:rPr>
            </w:pPr>
            <w:r w:rsidRPr="00E07C9A">
              <w:rPr>
                <w:rFonts w:ascii="Times New Roman" w:hAnsi="Times New Roman"/>
                <w:b/>
                <w:sz w:val="24"/>
                <w:u w:val="single"/>
              </w:rPr>
              <w:t>CELKOVÁ HODNOTA RIZIKOVEJ EXPOZÍCIE</w:t>
            </w:r>
          </w:p>
          <w:p w14:paraId="35864C1F" w14:textId="77777777" w:rsidR="000B0B09" w:rsidRPr="00E07C9A"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29C1AB73" w14:textId="5A55B8B7" w:rsidR="009912F8" w:rsidRPr="00E07C9A" w:rsidRDefault="000B0B09" w:rsidP="001A0143">
            <w:pPr>
              <w:tabs>
                <w:tab w:val="left" w:pos="1665"/>
              </w:tabs>
              <w:autoSpaceDE w:val="0"/>
              <w:autoSpaceDN w:val="0"/>
              <w:adjustRightInd w:val="0"/>
              <w:spacing w:before="0"/>
              <w:rPr>
                <w:rFonts w:ascii="Times New Roman" w:hAnsi="Times New Roman"/>
                <w:sz w:val="24"/>
              </w:rPr>
            </w:pPr>
            <w:r w:rsidRPr="00E07C9A">
              <w:rPr>
                <w:rFonts w:ascii="Times New Roman" w:hAnsi="Times New Roman"/>
                <w:sz w:val="24"/>
              </w:rPr>
              <w:t xml:space="preserve">Článok 92 ods. 4 písm. b) nariadenia (EÚ) </w:t>
            </w:r>
            <w:r w:rsidR="009912F8" w:rsidRPr="00E07C9A">
              <w:rPr>
                <w:rFonts w:ascii="Times New Roman" w:hAnsi="Times New Roman"/>
                <w:sz w:val="24"/>
              </w:rPr>
              <w:t>č. 575/2013</w:t>
            </w:r>
          </w:p>
          <w:p w14:paraId="67EADC1A" w14:textId="59D70AAE" w:rsidR="000B0B09" w:rsidRPr="00E07C9A" w:rsidRDefault="000B0B09" w:rsidP="001A0143">
            <w:pPr>
              <w:tabs>
                <w:tab w:val="left" w:pos="1665"/>
              </w:tabs>
              <w:autoSpaceDE w:val="0"/>
              <w:autoSpaceDN w:val="0"/>
              <w:adjustRightInd w:val="0"/>
              <w:spacing w:before="0"/>
              <w:rPr>
                <w:rFonts w:ascii="Times New Roman" w:hAnsi="Times New Roman"/>
                <w:b/>
                <w:bCs/>
                <w:sz w:val="24"/>
                <w:u w:val="single"/>
              </w:rPr>
            </w:pPr>
            <w:r w:rsidRPr="00E07C9A">
              <w:rPr>
                <w:rFonts w:ascii="Times New Roman" w:hAnsi="Times New Roman"/>
                <w:sz w:val="24"/>
              </w:rPr>
              <w:t>Výsledok vynásobenia požiadaviek na vlastné zdroje koeficientom 12,5.</w:t>
            </w:r>
          </w:p>
        </w:tc>
      </w:tr>
    </w:tbl>
    <w:p w14:paraId="0DC9D0A4" w14:textId="77777777" w:rsidR="000B0B09" w:rsidRPr="00E07C9A"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E07C9A" w14:paraId="0386B5FC" w14:textId="77777777" w:rsidTr="00672D2A">
        <w:trPr>
          <w:trHeight w:val="483"/>
        </w:trPr>
        <w:tc>
          <w:tcPr>
            <w:tcW w:w="8862" w:type="dxa"/>
            <w:gridSpan w:val="2"/>
            <w:shd w:val="clear" w:color="auto" w:fill="CCCCCC"/>
          </w:tcPr>
          <w:p w14:paraId="1255E033" w14:textId="77777777" w:rsidR="000B0B09" w:rsidRPr="00E07C9A" w:rsidRDefault="000B0B09" w:rsidP="000B0B09">
            <w:pPr>
              <w:autoSpaceDE w:val="0"/>
              <w:autoSpaceDN w:val="0"/>
              <w:adjustRightInd w:val="0"/>
              <w:spacing w:after="0"/>
              <w:rPr>
                <w:rFonts w:ascii="Times New Roman" w:hAnsi="Times New Roman"/>
                <w:b/>
                <w:sz w:val="24"/>
              </w:rPr>
            </w:pPr>
            <w:r w:rsidRPr="00E07C9A">
              <w:rPr>
                <w:rFonts w:ascii="Times New Roman" w:hAnsi="Times New Roman"/>
                <w:b/>
                <w:sz w:val="24"/>
              </w:rPr>
              <w:t>Riadky</w:t>
            </w:r>
          </w:p>
        </w:tc>
      </w:tr>
      <w:tr w:rsidR="000B0B09" w:rsidRPr="00E07C9A" w14:paraId="3F19FB75" w14:textId="77777777" w:rsidTr="00672D2A">
        <w:tc>
          <w:tcPr>
            <w:tcW w:w="987" w:type="dxa"/>
          </w:tcPr>
          <w:p w14:paraId="62003386" w14:textId="77777777" w:rsidR="000B0B09" w:rsidRPr="00E07C9A" w:rsidRDefault="002F79EA"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0010</w:t>
            </w:r>
          </w:p>
        </w:tc>
        <w:tc>
          <w:tcPr>
            <w:tcW w:w="7875" w:type="dxa"/>
          </w:tcPr>
          <w:p w14:paraId="3CC5979D" w14:textId="3EDDF939" w:rsidR="000B0B09" w:rsidRPr="00E07C9A" w:rsidRDefault="000B0B09" w:rsidP="000B0B09">
            <w:pPr>
              <w:autoSpaceDE w:val="0"/>
              <w:autoSpaceDN w:val="0"/>
              <w:adjustRightInd w:val="0"/>
              <w:spacing w:before="0" w:after="0"/>
              <w:rPr>
                <w:rFonts w:ascii="Times New Roman" w:hAnsi="Times New Roman"/>
                <w:b/>
                <w:bCs/>
                <w:sz w:val="24"/>
                <w:u w:val="single"/>
              </w:rPr>
            </w:pPr>
            <w:r w:rsidRPr="00E07C9A">
              <w:rPr>
                <w:rFonts w:ascii="Times New Roman" w:hAnsi="Times New Roman"/>
                <w:b/>
                <w:sz w:val="24"/>
                <w:u w:val="single"/>
              </w:rPr>
              <w:t>CELKOVÉ POZÍCIE</w:t>
            </w:r>
            <w:r w:rsidR="009912F8" w:rsidRPr="00E07C9A">
              <w:rPr>
                <w:rFonts w:ascii="Times New Roman" w:hAnsi="Times New Roman"/>
                <w:b/>
                <w:sz w:val="24"/>
                <w:u w:val="single"/>
              </w:rPr>
              <w:t xml:space="preserve"> V </w:t>
            </w:r>
            <w:r w:rsidRPr="00E07C9A">
              <w:rPr>
                <w:rFonts w:ascii="Times New Roman" w:hAnsi="Times New Roman"/>
                <w:b/>
                <w:sz w:val="24"/>
                <w:u w:val="single"/>
              </w:rPr>
              <w:t>KOMODITÁCH</w:t>
            </w:r>
          </w:p>
          <w:p w14:paraId="03562626" w14:textId="77777777" w:rsidR="000B0B09" w:rsidRPr="00E07C9A" w:rsidRDefault="000B0B09" w:rsidP="000B0B09">
            <w:pPr>
              <w:autoSpaceDE w:val="0"/>
              <w:autoSpaceDN w:val="0"/>
              <w:adjustRightInd w:val="0"/>
              <w:spacing w:before="0" w:after="0"/>
              <w:rPr>
                <w:rFonts w:ascii="Times New Roman" w:hAnsi="Times New Roman"/>
                <w:sz w:val="24"/>
              </w:rPr>
            </w:pPr>
          </w:p>
          <w:p w14:paraId="1B02378E" w14:textId="4A4A5995" w:rsidR="000B0B09" w:rsidRPr="00E07C9A" w:rsidRDefault="000B0B09" w:rsidP="00070113">
            <w:pPr>
              <w:autoSpaceDE w:val="0"/>
              <w:autoSpaceDN w:val="0"/>
              <w:adjustRightInd w:val="0"/>
              <w:spacing w:before="0"/>
              <w:rPr>
                <w:rFonts w:ascii="Times New Roman" w:hAnsi="Times New Roman"/>
                <w:sz w:val="24"/>
              </w:rPr>
            </w:pPr>
            <w:r w:rsidRPr="00E07C9A">
              <w:rPr>
                <w:rFonts w:ascii="Times New Roman" w:hAnsi="Times New Roman"/>
                <w:sz w:val="24"/>
              </w:rPr>
              <w:t>Pozície</w:t>
            </w:r>
            <w:r w:rsidR="009912F8" w:rsidRPr="00E07C9A">
              <w:rPr>
                <w:rFonts w:ascii="Times New Roman" w:hAnsi="Times New Roman"/>
                <w:sz w:val="24"/>
              </w:rPr>
              <w:t xml:space="preserve"> v </w:t>
            </w:r>
            <w:r w:rsidRPr="00E07C9A">
              <w:rPr>
                <w:rFonts w:ascii="Times New Roman" w:hAnsi="Times New Roman"/>
                <w:sz w:val="24"/>
              </w:rPr>
              <w:t>komoditách</w:t>
            </w:r>
            <w:r w:rsidR="009912F8" w:rsidRPr="00E07C9A">
              <w:rPr>
                <w:rFonts w:ascii="Times New Roman" w:hAnsi="Times New Roman"/>
                <w:sz w:val="24"/>
              </w:rPr>
              <w:t xml:space="preserve"> a </w:t>
            </w:r>
            <w:r w:rsidRPr="00E07C9A">
              <w:rPr>
                <w:rFonts w:ascii="Times New Roman" w:hAnsi="Times New Roman"/>
                <w:sz w:val="24"/>
              </w:rPr>
              <w:t>ich zodpovedajúce požiadavky na vlastné zdroje pre trhové riziko vypočítané</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92 ods. 3 písm. c) bodom iii) nariadenia (EÚ) </w:t>
            </w:r>
            <w:r w:rsidR="009912F8" w:rsidRPr="00E07C9A">
              <w:rPr>
                <w:rFonts w:ascii="Times New Roman" w:hAnsi="Times New Roman"/>
                <w:sz w:val="24"/>
              </w:rPr>
              <w:t>č. 575/2013 a </w:t>
            </w:r>
            <w:r w:rsidRPr="00E07C9A">
              <w:rPr>
                <w:rFonts w:ascii="Times New Roman" w:hAnsi="Times New Roman"/>
                <w:sz w:val="24"/>
              </w:rPr>
              <w:t xml:space="preserve">treťou časťou hlavou IV kapitolou 4 nariadenia (EÚ) </w:t>
            </w:r>
            <w:r w:rsidR="009912F8" w:rsidRPr="00E07C9A">
              <w:rPr>
                <w:rFonts w:ascii="Times New Roman" w:hAnsi="Times New Roman"/>
                <w:sz w:val="24"/>
              </w:rPr>
              <w:t>č. 575/2013</w:t>
            </w:r>
            <w:r w:rsidRPr="00E07C9A">
              <w:rPr>
                <w:rFonts w:ascii="Times New Roman" w:hAnsi="Times New Roman"/>
                <w:sz w:val="24"/>
              </w:rPr>
              <w:t xml:space="preserve">. </w:t>
            </w:r>
          </w:p>
        </w:tc>
      </w:tr>
      <w:tr w:rsidR="000B0B09" w:rsidRPr="00E07C9A" w14:paraId="216F1AEE" w14:textId="77777777" w:rsidTr="00672D2A">
        <w:tc>
          <w:tcPr>
            <w:tcW w:w="987" w:type="dxa"/>
          </w:tcPr>
          <w:p w14:paraId="62D08C2C" w14:textId="77777777" w:rsidR="000B0B09" w:rsidRPr="00E07C9A" w:rsidRDefault="002F79EA" w:rsidP="00B74792">
            <w:pPr>
              <w:autoSpaceDE w:val="0"/>
              <w:autoSpaceDN w:val="0"/>
              <w:adjustRightInd w:val="0"/>
              <w:spacing w:before="0" w:after="0"/>
              <w:rPr>
                <w:rFonts w:ascii="Times New Roman" w:hAnsi="Times New Roman"/>
                <w:sz w:val="24"/>
              </w:rPr>
            </w:pPr>
            <w:r w:rsidRPr="00E07C9A">
              <w:rPr>
                <w:rFonts w:ascii="Times New Roman" w:hAnsi="Times New Roman"/>
                <w:sz w:val="24"/>
              </w:rPr>
              <w:t>0020 –⁠ 0060</w:t>
            </w:r>
          </w:p>
        </w:tc>
        <w:tc>
          <w:tcPr>
            <w:tcW w:w="7875" w:type="dxa"/>
          </w:tcPr>
          <w:p w14:paraId="759E5790" w14:textId="77777777" w:rsidR="000B0B09" w:rsidRPr="00E07C9A" w:rsidRDefault="000B0B09" w:rsidP="000B0B09">
            <w:pPr>
              <w:autoSpaceDE w:val="0"/>
              <w:autoSpaceDN w:val="0"/>
              <w:adjustRightInd w:val="0"/>
              <w:spacing w:before="0" w:after="0"/>
              <w:rPr>
                <w:rFonts w:ascii="Times New Roman" w:hAnsi="Times New Roman"/>
                <w:b/>
                <w:bCs/>
                <w:sz w:val="24"/>
                <w:u w:val="single"/>
              </w:rPr>
            </w:pPr>
            <w:r w:rsidRPr="00E07C9A">
              <w:rPr>
                <w:rFonts w:ascii="Times New Roman" w:hAnsi="Times New Roman"/>
                <w:b/>
                <w:sz w:val="24"/>
                <w:u w:val="single"/>
              </w:rPr>
              <w:t>POZÍCIE PODĽA KATEGÓRIE KOMODITY</w:t>
            </w:r>
          </w:p>
          <w:p w14:paraId="56921883" w14:textId="77777777" w:rsidR="000B0B09" w:rsidRPr="00E07C9A" w:rsidRDefault="000B0B09" w:rsidP="000B0B09">
            <w:pPr>
              <w:autoSpaceDE w:val="0"/>
              <w:autoSpaceDN w:val="0"/>
              <w:adjustRightInd w:val="0"/>
              <w:spacing w:before="0" w:after="0"/>
              <w:rPr>
                <w:rFonts w:ascii="Times New Roman" w:hAnsi="Times New Roman"/>
                <w:sz w:val="24"/>
                <w:lang w:eastAsia="de-DE"/>
              </w:rPr>
            </w:pPr>
          </w:p>
          <w:p w14:paraId="3DC33454" w14:textId="4D1B6884" w:rsidR="000B0B09" w:rsidRPr="00E07C9A" w:rsidRDefault="000B0B09"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Komodity sa na účely vykazovania zoskupia do štyroch skupín komodít uvedených</w:t>
            </w:r>
            <w:r w:rsidR="009912F8" w:rsidRPr="00E07C9A">
              <w:rPr>
                <w:rFonts w:ascii="Times New Roman" w:hAnsi="Times New Roman"/>
                <w:sz w:val="24"/>
              </w:rPr>
              <w:t xml:space="preserve"> v </w:t>
            </w:r>
            <w:r w:rsidRPr="00E07C9A">
              <w:rPr>
                <w:rFonts w:ascii="Times New Roman" w:hAnsi="Times New Roman"/>
                <w:sz w:val="24"/>
              </w:rPr>
              <w:t xml:space="preserve">tabuľke 2 článku 361 nariadenia (EÚ) </w:t>
            </w:r>
            <w:r w:rsidR="009912F8" w:rsidRPr="00E07C9A">
              <w:rPr>
                <w:rFonts w:ascii="Times New Roman" w:hAnsi="Times New Roman"/>
                <w:sz w:val="24"/>
              </w:rPr>
              <w:t>č. 575/2013</w:t>
            </w:r>
            <w:r w:rsidRPr="00E07C9A">
              <w:rPr>
                <w:rFonts w:ascii="Times New Roman" w:hAnsi="Times New Roman"/>
                <w:sz w:val="24"/>
              </w:rPr>
              <w:t>.</w:t>
            </w:r>
          </w:p>
          <w:p w14:paraId="04BB5316" w14:textId="77777777" w:rsidR="000B0B09" w:rsidRPr="00E07C9A" w:rsidRDefault="000B0B09"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 xml:space="preserve"> </w:t>
            </w:r>
          </w:p>
        </w:tc>
      </w:tr>
      <w:tr w:rsidR="000B0B09" w:rsidRPr="00E07C9A" w14:paraId="50CBB22D" w14:textId="77777777" w:rsidTr="00672D2A">
        <w:tc>
          <w:tcPr>
            <w:tcW w:w="987" w:type="dxa"/>
          </w:tcPr>
          <w:p w14:paraId="3E68EF2F" w14:textId="77777777" w:rsidR="000B0B09" w:rsidRPr="00E07C9A" w:rsidRDefault="002F79EA"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0070</w:t>
            </w:r>
          </w:p>
        </w:tc>
        <w:tc>
          <w:tcPr>
            <w:tcW w:w="7875" w:type="dxa"/>
          </w:tcPr>
          <w:p w14:paraId="5AACA5EE" w14:textId="77777777" w:rsidR="000B0B09" w:rsidRPr="00E07C9A" w:rsidRDefault="000B0B09" w:rsidP="000B0B09">
            <w:pPr>
              <w:autoSpaceDE w:val="0"/>
              <w:autoSpaceDN w:val="0"/>
              <w:adjustRightInd w:val="0"/>
              <w:spacing w:before="0" w:after="0"/>
              <w:rPr>
                <w:rFonts w:ascii="Times New Roman" w:hAnsi="Times New Roman"/>
                <w:b/>
                <w:bCs/>
                <w:sz w:val="24"/>
                <w:u w:val="single"/>
              </w:rPr>
            </w:pPr>
            <w:r w:rsidRPr="00E07C9A">
              <w:rPr>
                <w:rFonts w:ascii="Times New Roman" w:hAnsi="Times New Roman"/>
                <w:b/>
                <w:sz w:val="24"/>
                <w:u w:val="single"/>
              </w:rPr>
              <w:t>POSTUP STUPNICE SPLATNOSTI</w:t>
            </w:r>
          </w:p>
          <w:p w14:paraId="2C667CB8" w14:textId="77777777" w:rsidR="000B0B09" w:rsidRPr="00E07C9A" w:rsidRDefault="000B0B09" w:rsidP="000B0B09">
            <w:pPr>
              <w:autoSpaceDE w:val="0"/>
              <w:autoSpaceDN w:val="0"/>
              <w:adjustRightInd w:val="0"/>
              <w:spacing w:before="0" w:after="0"/>
              <w:rPr>
                <w:rFonts w:ascii="Times New Roman" w:hAnsi="Times New Roman"/>
                <w:sz w:val="24"/>
                <w:lang w:eastAsia="de-DE"/>
              </w:rPr>
            </w:pPr>
          </w:p>
          <w:p w14:paraId="72CB6FD7" w14:textId="2F771D0B" w:rsidR="000B0B09" w:rsidRPr="00E07C9A" w:rsidRDefault="000B0B09"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Pozície</w:t>
            </w:r>
            <w:r w:rsidR="009912F8" w:rsidRPr="00E07C9A">
              <w:rPr>
                <w:rFonts w:ascii="Times New Roman" w:hAnsi="Times New Roman"/>
                <w:sz w:val="24"/>
              </w:rPr>
              <w:t xml:space="preserve"> v </w:t>
            </w:r>
            <w:r w:rsidRPr="00E07C9A">
              <w:rPr>
                <w:rFonts w:ascii="Times New Roman" w:hAnsi="Times New Roman"/>
                <w:sz w:val="24"/>
              </w:rPr>
              <w:t>komoditách, na ktoré sa uplatňuje postup stupnice splatnosti uvedený</w:t>
            </w:r>
            <w:r w:rsidR="009912F8" w:rsidRPr="00E07C9A">
              <w:rPr>
                <w:rFonts w:ascii="Times New Roman" w:hAnsi="Times New Roman"/>
                <w:sz w:val="24"/>
              </w:rPr>
              <w:t xml:space="preserve"> v </w:t>
            </w:r>
            <w:r w:rsidRPr="00E07C9A">
              <w:rPr>
                <w:rFonts w:ascii="Times New Roman" w:hAnsi="Times New Roman"/>
                <w:sz w:val="24"/>
              </w:rPr>
              <w:t xml:space="preserve">článku 359 nariadenia (EÚ) </w:t>
            </w:r>
            <w:r w:rsidR="009912F8" w:rsidRPr="00E07C9A">
              <w:rPr>
                <w:rFonts w:ascii="Times New Roman" w:hAnsi="Times New Roman"/>
                <w:sz w:val="24"/>
              </w:rPr>
              <w:t>č. 575/2013</w:t>
            </w:r>
            <w:r w:rsidRPr="00E07C9A">
              <w:rPr>
                <w:rFonts w:ascii="Times New Roman" w:hAnsi="Times New Roman"/>
                <w:sz w:val="24"/>
              </w:rPr>
              <w:t>.</w:t>
            </w:r>
          </w:p>
          <w:p w14:paraId="018E7283" w14:textId="77777777" w:rsidR="000B0B09" w:rsidRPr="00E07C9A"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E07C9A" w14:paraId="1D4187B0" w14:textId="77777777" w:rsidTr="00672D2A">
        <w:tc>
          <w:tcPr>
            <w:tcW w:w="987" w:type="dxa"/>
          </w:tcPr>
          <w:p w14:paraId="317F5718" w14:textId="77777777" w:rsidR="000B0B09" w:rsidRPr="00E07C9A" w:rsidRDefault="002F79EA"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0080</w:t>
            </w:r>
          </w:p>
        </w:tc>
        <w:tc>
          <w:tcPr>
            <w:tcW w:w="7875" w:type="dxa"/>
          </w:tcPr>
          <w:p w14:paraId="7D3D047D" w14:textId="77777777" w:rsidR="000B0B09" w:rsidRPr="00E07C9A" w:rsidRDefault="000B0B09" w:rsidP="000B0B09">
            <w:pPr>
              <w:autoSpaceDE w:val="0"/>
              <w:autoSpaceDN w:val="0"/>
              <w:adjustRightInd w:val="0"/>
              <w:spacing w:before="0" w:after="0"/>
              <w:rPr>
                <w:rFonts w:ascii="Times New Roman" w:hAnsi="Times New Roman"/>
                <w:b/>
                <w:bCs/>
                <w:sz w:val="24"/>
                <w:u w:val="single"/>
              </w:rPr>
            </w:pPr>
            <w:r w:rsidRPr="00E07C9A">
              <w:rPr>
                <w:rFonts w:ascii="Times New Roman" w:hAnsi="Times New Roman"/>
                <w:b/>
                <w:sz w:val="24"/>
                <w:u w:val="single"/>
              </w:rPr>
              <w:t>ROZŠÍRENÝ POSTUP STUPNICE SPLATNOSTI</w:t>
            </w:r>
          </w:p>
          <w:p w14:paraId="28E22845" w14:textId="77777777" w:rsidR="000B0B09" w:rsidRPr="00E07C9A" w:rsidRDefault="000B0B09" w:rsidP="000B0B09">
            <w:pPr>
              <w:autoSpaceDE w:val="0"/>
              <w:autoSpaceDN w:val="0"/>
              <w:adjustRightInd w:val="0"/>
              <w:spacing w:before="0" w:after="0"/>
              <w:rPr>
                <w:rFonts w:ascii="Times New Roman" w:hAnsi="Times New Roman"/>
                <w:sz w:val="24"/>
                <w:lang w:eastAsia="de-DE"/>
              </w:rPr>
            </w:pPr>
          </w:p>
          <w:p w14:paraId="072FB876" w14:textId="6DE66F29" w:rsidR="000B0B09" w:rsidRPr="00E07C9A" w:rsidRDefault="000B0B09"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Pozície</w:t>
            </w:r>
            <w:r w:rsidR="009912F8" w:rsidRPr="00E07C9A">
              <w:rPr>
                <w:rFonts w:ascii="Times New Roman" w:hAnsi="Times New Roman"/>
                <w:sz w:val="24"/>
              </w:rPr>
              <w:t xml:space="preserve"> v </w:t>
            </w:r>
            <w:r w:rsidRPr="00E07C9A">
              <w:rPr>
                <w:rFonts w:ascii="Times New Roman" w:hAnsi="Times New Roman"/>
                <w:sz w:val="24"/>
              </w:rPr>
              <w:t>komoditách, na ktoré sa uplatňuje rozšírený postup stupnice splatnosti uvedený</w:t>
            </w:r>
            <w:r w:rsidR="009912F8" w:rsidRPr="00E07C9A">
              <w:rPr>
                <w:rFonts w:ascii="Times New Roman" w:hAnsi="Times New Roman"/>
                <w:sz w:val="24"/>
              </w:rPr>
              <w:t xml:space="preserve"> v </w:t>
            </w:r>
            <w:r w:rsidRPr="00E07C9A">
              <w:rPr>
                <w:rFonts w:ascii="Times New Roman" w:hAnsi="Times New Roman"/>
                <w:sz w:val="24"/>
              </w:rPr>
              <w:t xml:space="preserve">článku 361 nariadenia (EÚ) </w:t>
            </w:r>
            <w:r w:rsidR="009912F8" w:rsidRPr="00E07C9A">
              <w:rPr>
                <w:rFonts w:ascii="Times New Roman" w:hAnsi="Times New Roman"/>
                <w:sz w:val="24"/>
              </w:rPr>
              <w:t>č. 575/2013</w:t>
            </w:r>
            <w:r w:rsidRPr="00E07C9A">
              <w:rPr>
                <w:rFonts w:ascii="Times New Roman" w:hAnsi="Times New Roman"/>
                <w:sz w:val="24"/>
              </w:rPr>
              <w:t>.</w:t>
            </w:r>
          </w:p>
          <w:p w14:paraId="4CC42EBB" w14:textId="77777777" w:rsidR="000B0B09" w:rsidRPr="00E07C9A"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E07C9A" w14:paraId="08D8BBC0" w14:textId="77777777" w:rsidTr="00672D2A">
        <w:tc>
          <w:tcPr>
            <w:tcW w:w="987" w:type="dxa"/>
          </w:tcPr>
          <w:p w14:paraId="75FF36E9" w14:textId="77777777" w:rsidR="000B0B09" w:rsidRPr="00E07C9A" w:rsidRDefault="002F79EA"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0090</w:t>
            </w:r>
          </w:p>
        </w:tc>
        <w:tc>
          <w:tcPr>
            <w:tcW w:w="7875" w:type="dxa"/>
          </w:tcPr>
          <w:p w14:paraId="5AEA8FE4" w14:textId="77777777" w:rsidR="000B0B09" w:rsidRPr="00E07C9A" w:rsidRDefault="000B0B09" w:rsidP="000B0B09">
            <w:pPr>
              <w:autoSpaceDE w:val="0"/>
              <w:autoSpaceDN w:val="0"/>
              <w:adjustRightInd w:val="0"/>
              <w:spacing w:before="0" w:after="0"/>
              <w:rPr>
                <w:rFonts w:ascii="Times New Roman" w:hAnsi="Times New Roman"/>
                <w:b/>
                <w:bCs/>
                <w:sz w:val="24"/>
                <w:u w:val="single"/>
              </w:rPr>
            </w:pPr>
            <w:r w:rsidRPr="00E07C9A">
              <w:rPr>
                <w:rFonts w:ascii="Times New Roman" w:hAnsi="Times New Roman"/>
                <w:b/>
                <w:sz w:val="24"/>
                <w:u w:val="single"/>
              </w:rPr>
              <w:t>ZJEDNODUŠENÝ POSTUP</w:t>
            </w:r>
          </w:p>
          <w:p w14:paraId="739EF26B" w14:textId="77777777" w:rsidR="000B0B09" w:rsidRPr="00E07C9A" w:rsidRDefault="000B0B09" w:rsidP="000B0B09">
            <w:pPr>
              <w:autoSpaceDE w:val="0"/>
              <w:autoSpaceDN w:val="0"/>
              <w:adjustRightInd w:val="0"/>
              <w:spacing w:before="0" w:after="0"/>
              <w:rPr>
                <w:rFonts w:ascii="Times New Roman" w:hAnsi="Times New Roman"/>
                <w:b/>
                <w:bCs/>
                <w:sz w:val="24"/>
                <w:u w:val="single"/>
                <w:lang w:eastAsia="nl-BE"/>
              </w:rPr>
            </w:pPr>
          </w:p>
          <w:p w14:paraId="5C20BAD5" w14:textId="03FB81E7" w:rsidR="009912F8" w:rsidRPr="00E07C9A" w:rsidRDefault="000B0B09"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Pozície</w:t>
            </w:r>
            <w:r w:rsidR="009912F8" w:rsidRPr="00E07C9A">
              <w:rPr>
                <w:rFonts w:ascii="Times New Roman" w:hAnsi="Times New Roman"/>
                <w:sz w:val="24"/>
              </w:rPr>
              <w:t xml:space="preserve"> v </w:t>
            </w:r>
            <w:r w:rsidRPr="00E07C9A">
              <w:rPr>
                <w:rFonts w:ascii="Times New Roman" w:hAnsi="Times New Roman"/>
                <w:sz w:val="24"/>
              </w:rPr>
              <w:t>komoditách, na ktoré sa uplatňuje zjednodušený postup uvedený</w:t>
            </w:r>
            <w:r w:rsidR="009912F8" w:rsidRPr="00E07C9A">
              <w:rPr>
                <w:rFonts w:ascii="Times New Roman" w:hAnsi="Times New Roman"/>
                <w:sz w:val="24"/>
              </w:rPr>
              <w:t xml:space="preserve"> v </w:t>
            </w:r>
            <w:r w:rsidRPr="00E07C9A">
              <w:rPr>
                <w:rFonts w:ascii="Times New Roman" w:hAnsi="Times New Roman"/>
                <w:sz w:val="24"/>
              </w:rPr>
              <w:t xml:space="preserve">článku 360 nariadenia (EÚ) </w:t>
            </w:r>
            <w:r w:rsidR="009912F8" w:rsidRPr="00E07C9A">
              <w:rPr>
                <w:rFonts w:ascii="Times New Roman" w:hAnsi="Times New Roman"/>
                <w:sz w:val="24"/>
              </w:rPr>
              <w:t>č. 575/2013.</w:t>
            </w:r>
          </w:p>
          <w:p w14:paraId="72D24CC9" w14:textId="2D7AD3EB" w:rsidR="000B0B09" w:rsidRPr="00E07C9A"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E07C9A" w14:paraId="46AF081D" w14:textId="77777777" w:rsidTr="00672D2A">
        <w:tc>
          <w:tcPr>
            <w:tcW w:w="987" w:type="dxa"/>
          </w:tcPr>
          <w:p w14:paraId="7DA76A9F" w14:textId="77777777" w:rsidR="000B0B09" w:rsidRPr="00E07C9A" w:rsidRDefault="002F79EA"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0100 –⁠ 0140</w:t>
            </w:r>
          </w:p>
        </w:tc>
        <w:tc>
          <w:tcPr>
            <w:tcW w:w="7875" w:type="dxa"/>
          </w:tcPr>
          <w:p w14:paraId="1AB2469B" w14:textId="77777777" w:rsidR="000B0B09" w:rsidRPr="00E07C9A" w:rsidRDefault="000B0B09" w:rsidP="000B0B09">
            <w:pPr>
              <w:autoSpaceDE w:val="0"/>
              <w:autoSpaceDN w:val="0"/>
              <w:adjustRightInd w:val="0"/>
              <w:spacing w:before="0" w:after="0"/>
              <w:rPr>
                <w:rFonts w:ascii="Times New Roman" w:hAnsi="Times New Roman"/>
                <w:b/>
                <w:bCs/>
                <w:sz w:val="24"/>
                <w:u w:val="single"/>
              </w:rPr>
            </w:pPr>
            <w:r w:rsidRPr="00E07C9A">
              <w:rPr>
                <w:rStyle w:val="InstructionsTabelleberschrift"/>
                <w:rFonts w:ascii="Times New Roman" w:hAnsi="Times New Roman"/>
                <w:sz w:val="24"/>
              </w:rPr>
              <w:t>DODATOČNÉ POŽIADAVKY PRE OPCIE (RIZIKÁ INÉ NEŽ DELTA)</w:t>
            </w:r>
          </w:p>
          <w:p w14:paraId="435C3BA4" w14:textId="10B9B6D7" w:rsidR="009912F8" w:rsidRPr="00E07C9A" w:rsidRDefault="000B0B09" w:rsidP="001A0143">
            <w:pPr>
              <w:autoSpaceDE w:val="0"/>
              <w:autoSpaceDN w:val="0"/>
              <w:adjustRightInd w:val="0"/>
              <w:rPr>
                <w:rFonts w:ascii="Times New Roman" w:hAnsi="Times New Roman"/>
                <w:sz w:val="24"/>
              </w:rPr>
            </w:pPr>
            <w:r w:rsidRPr="00E07C9A">
              <w:rPr>
                <w:rFonts w:ascii="Times New Roman" w:hAnsi="Times New Roman"/>
                <w:sz w:val="24"/>
              </w:rPr>
              <w:t xml:space="preserve">Článok 358 ods. 4 nariadenia (EÚ) </w:t>
            </w:r>
            <w:r w:rsidR="009912F8" w:rsidRPr="00E07C9A">
              <w:rPr>
                <w:rFonts w:ascii="Times New Roman" w:hAnsi="Times New Roman"/>
                <w:sz w:val="24"/>
              </w:rPr>
              <w:t>č. 575/2013</w:t>
            </w:r>
          </w:p>
          <w:p w14:paraId="1D3D5AF7" w14:textId="05DB2662" w:rsidR="000B0B09" w:rsidRPr="00E07C9A" w:rsidRDefault="000B0B09"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Dodatočné požiadavky pre opcie, ktoré súvisia</w:t>
            </w:r>
            <w:r w:rsidR="009912F8" w:rsidRPr="00E07C9A">
              <w:rPr>
                <w:rFonts w:ascii="Times New Roman" w:hAnsi="Times New Roman"/>
                <w:sz w:val="24"/>
              </w:rPr>
              <w:t xml:space="preserve"> s </w:t>
            </w:r>
            <w:r w:rsidRPr="00E07C9A">
              <w:rPr>
                <w:rFonts w:ascii="Times New Roman" w:hAnsi="Times New Roman"/>
                <w:sz w:val="24"/>
              </w:rPr>
              <w:t>rizikami inými než delta, sa vykazujú</w:t>
            </w:r>
            <w:r w:rsidR="009912F8" w:rsidRPr="00E07C9A">
              <w:rPr>
                <w:rFonts w:ascii="Times New Roman" w:hAnsi="Times New Roman"/>
                <w:sz w:val="24"/>
              </w:rPr>
              <w:t xml:space="preserve"> v </w:t>
            </w:r>
            <w:r w:rsidRPr="00E07C9A">
              <w:rPr>
                <w:rFonts w:ascii="Times New Roman" w:hAnsi="Times New Roman"/>
                <w:sz w:val="24"/>
              </w:rPr>
              <w:t>metóde použitej na ich výpočet.</w:t>
            </w:r>
          </w:p>
          <w:p w14:paraId="55D77BA3" w14:textId="77777777" w:rsidR="000B0B09" w:rsidRPr="00E07C9A" w:rsidRDefault="000B0B09" w:rsidP="000B0B09">
            <w:pPr>
              <w:autoSpaceDE w:val="0"/>
              <w:autoSpaceDN w:val="0"/>
              <w:adjustRightInd w:val="0"/>
              <w:spacing w:before="0" w:after="0"/>
              <w:rPr>
                <w:rFonts w:ascii="Times New Roman" w:hAnsi="Times New Roman"/>
                <w:sz w:val="24"/>
                <w:lang w:eastAsia="de-DE"/>
              </w:rPr>
            </w:pPr>
          </w:p>
        </w:tc>
      </w:tr>
    </w:tbl>
    <w:p w14:paraId="43D70997" w14:textId="77777777" w:rsidR="000B0B09" w:rsidRPr="00E07C9A" w:rsidRDefault="000B0B09" w:rsidP="000B0B09">
      <w:pPr>
        <w:rPr>
          <w:rFonts w:ascii="Times New Roman" w:hAnsi="Times New Roman"/>
          <w:sz w:val="24"/>
        </w:rPr>
      </w:pPr>
    </w:p>
    <w:p w14:paraId="2B97C384" w14:textId="77777777" w:rsidR="000B0B09" w:rsidRPr="00E07C9A" w:rsidRDefault="00125707" w:rsidP="0023700C">
      <w:pPr>
        <w:pStyle w:val="Instructionsberschrift2"/>
        <w:numPr>
          <w:ilvl w:val="0"/>
          <w:numId w:val="0"/>
        </w:numPr>
        <w:ind w:left="357" w:hanging="357"/>
        <w:rPr>
          <w:rFonts w:ascii="Times New Roman" w:hAnsi="Times New Roman" w:cs="Times New Roman"/>
          <w:sz w:val="24"/>
        </w:rPr>
      </w:pPr>
      <w:bookmarkStart w:id="728" w:name="_Toc262566438"/>
      <w:bookmarkStart w:id="729" w:name="_Toc295830014"/>
      <w:bookmarkStart w:id="730" w:name="_Toc308426691"/>
      <w:bookmarkStart w:id="731" w:name="_Toc310415075"/>
      <w:bookmarkStart w:id="732" w:name="_Toc360188410"/>
      <w:bookmarkStart w:id="733" w:name="_Toc473561050"/>
      <w:bookmarkStart w:id="734" w:name="_Toc115857894"/>
      <w:r w:rsidRPr="00E07C9A">
        <w:rPr>
          <w:rFonts w:ascii="Times New Roman" w:hAnsi="Times New Roman" w:cs="Times New Roman"/>
          <w:sz w:val="24"/>
          <w:u w:val="none"/>
        </w:rPr>
        <w:t>5.7.</w:t>
      </w:r>
      <w:r w:rsidRPr="00E07C9A">
        <w:rPr>
          <w:rFonts w:ascii="Times New Roman" w:hAnsi="Times New Roman" w:cs="Times New Roman"/>
          <w:u w:val="none"/>
        </w:rPr>
        <w:tab/>
      </w:r>
      <w:r w:rsidRPr="00E07C9A">
        <w:rPr>
          <w:rFonts w:ascii="Times New Roman" w:hAnsi="Times New Roman" w:cs="Times New Roman"/>
          <w:sz w:val="24"/>
        </w:rPr>
        <w:t>C 24.00 – Interný model trhového rizika</w:t>
      </w:r>
      <w:bookmarkEnd w:id="728"/>
      <w:bookmarkEnd w:id="729"/>
      <w:bookmarkEnd w:id="730"/>
      <w:bookmarkEnd w:id="731"/>
      <w:bookmarkEnd w:id="732"/>
      <w:r w:rsidRPr="00E07C9A">
        <w:rPr>
          <w:rFonts w:ascii="Times New Roman" w:hAnsi="Times New Roman" w:cs="Times New Roman"/>
          <w:sz w:val="24"/>
        </w:rPr>
        <w:t xml:space="preserve"> (MKR IM)</w:t>
      </w:r>
      <w:bookmarkEnd w:id="733"/>
      <w:bookmarkEnd w:id="734"/>
    </w:p>
    <w:p w14:paraId="78347ABD" w14:textId="77777777" w:rsidR="000B0B09" w:rsidRPr="00E07C9A" w:rsidRDefault="00125707" w:rsidP="0023700C">
      <w:pPr>
        <w:pStyle w:val="Instructionsberschrift2"/>
        <w:numPr>
          <w:ilvl w:val="0"/>
          <w:numId w:val="0"/>
        </w:numPr>
        <w:ind w:left="357" w:hanging="357"/>
        <w:rPr>
          <w:rFonts w:ascii="Times New Roman" w:hAnsi="Times New Roman" w:cs="Times New Roman"/>
          <w:sz w:val="24"/>
        </w:rPr>
      </w:pPr>
      <w:bookmarkStart w:id="735" w:name="_Toc262566439"/>
      <w:bookmarkStart w:id="736" w:name="_Toc295830015"/>
      <w:bookmarkStart w:id="737" w:name="_Toc308426692"/>
      <w:bookmarkStart w:id="738" w:name="_Toc310415076"/>
      <w:bookmarkStart w:id="739" w:name="_Toc360188411"/>
      <w:bookmarkStart w:id="740" w:name="_Toc473561051"/>
      <w:bookmarkStart w:id="741" w:name="_Toc115857895"/>
      <w:r w:rsidRPr="00E07C9A">
        <w:rPr>
          <w:rFonts w:ascii="Times New Roman" w:hAnsi="Times New Roman" w:cs="Times New Roman"/>
          <w:sz w:val="24"/>
          <w:u w:val="none"/>
        </w:rPr>
        <w:t>5.7.1.</w:t>
      </w:r>
      <w:r w:rsidRPr="00E07C9A">
        <w:rPr>
          <w:rFonts w:ascii="Times New Roman" w:hAnsi="Times New Roman" w:cs="Times New Roman"/>
          <w:u w:val="none"/>
        </w:rPr>
        <w:tab/>
      </w:r>
      <w:r w:rsidRPr="00E07C9A">
        <w:rPr>
          <w:rFonts w:ascii="Times New Roman" w:hAnsi="Times New Roman" w:cs="Times New Roman"/>
          <w:sz w:val="24"/>
        </w:rPr>
        <w:t>Všeobecné poznámky</w:t>
      </w:r>
      <w:bookmarkEnd w:id="735"/>
      <w:bookmarkEnd w:id="736"/>
      <w:bookmarkEnd w:id="737"/>
      <w:bookmarkEnd w:id="738"/>
      <w:bookmarkEnd w:id="739"/>
      <w:bookmarkEnd w:id="740"/>
      <w:bookmarkEnd w:id="741"/>
    </w:p>
    <w:p w14:paraId="1055920F" w14:textId="7EF5DE08" w:rsidR="000B0B09" w:rsidRPr="00E07C9A" w:rsidRDefault="002A18DE" w:rsidP="00487A02">
      <w:pPr>
        <w:pStyle w:val="InstructionsText2"/>
        <w:numPr>
          <w:ilvl w:val="0"/>
          <w:numId w:val="0"/>
        </w:numPr>
        <w:ind w:left="1353" w:hanging="360"/>
      </w:pPr>
      <w:fldSimple w:instr=" seq paragraphs ">
        <w:r w:rsidR="00132AEE">
          <w:rPr>
            <w:noProof/>
          </w:rPr>
          <w:t>174</w:t>
        </w:r>
      </w:fldSimple>
      <w:r w:rsidR="00CE7221" w:rsidRPr="00E07C9A">
        <w:t>.</w:t>
      </w:r>
      <w:r w:rsidR="00CE7221" w:rsidRPr="00E07C9A">
        <w:tab/>
      </w:r>
      <w:r w:rsidR="009912F8" w:rsidRPr="00E07C9A">
        <w:t xml:space="preserve"> V </w:t>
      </w:r>
      <w:r w:rsidR="00CE7221" w:rsidRPr="00E07C9A">
        <w:t>tomto vzore sa vykazuje rozčlenenie na hodnoty</w:t>
      </w:r>
      <w:r w:rsidR="009912F8" w:rsidRPr="00E07C9A">
        <w:t xml:space="preserve"> v </w:t>
      </w:r>
      <w:r w:rsidR="00CE7221" w:rsidRPr="00E07C9A">
        <w:t>riziku (VaR)</w:t>
      </w:r>
      <w:r w:rsidR="009912F8" w:rsidRPr="00E07C9A">
        <w:t xml:space="preserve"> a </w:t>
      </w:r>
      <w:r w:rsidR="00CE7221" w:rsidRPr="00E07C9A">
        <w:t>stresované hodnoty</w:t>
      </w:r>
      <w:r w:rsidR="009912F8" w:rsidRPr="00E07C9A">
        <w:t xml:space="preserve"> v </w:t>
      </w:r>
      <w:r w:rsidR="00CE7221" w:rsidRPr="00E07C9A">
        <w:t>riziku (sVaR) podľa rôznych trhových rizík (dlhové, kapitálové, devízové, komoditné)</w:t>
      </w:r>
      <w:r w:rsidR="009912F8" w:rsidRPr="00E07C9A">
        <w:t xml:space="preserve"> a </w:t>
      </w:r>
      <w:r w:rsidR="00CE7221" w:rsidRPr="00E07C9A">
        <w:t>ostatné informácie relevantné na výpočet požiadaviek na vlastné zdroje.</w:t>
      </w:r>
    </w:p>
    <w:p w14:paraId="656F8772" w14:textId="5F7247B7" w:rsidR="009912F8" w:rsidRPr="00E07C9A" w:rsidRDefault="002A18DE" w:rsidP="00487A02">
      <w:pPr>
        <w:pStyle w:val="InstructionsText2"/>
        <w:numPr>
          <w:ilvl w:val="0"/>
          <w:numId w:val="0"/>
        </w:numPr>
        <w:ind w:left="1353" w:hanging="360"/>
      </w:pPr>
      <w:fldSimple w:instr=" seq paragraphs ">
        <w:r w:rsidR="00132AEE">
          <w:rPr>
            <w:noProof/>
          </w:rPr>
          <w:t>175</w:t>
        </w:r>
      </w:fldSimple>
      <w:r w:rsidR="00CE7221" w:rsidRPr="00E07C9A">
        <w:t>.</w:t>
      </w:r>
      <w:r w:rsidR="00CE7221" w:rsidRPr="00E07C9A">
        <w:tab/>
        <w:t xml:space="preserve"> Vo všeobecnosti závisí od štruktúry modelu inštitúcií, či údaje pre všeobecné</w:t>
      </w:r>
      <w:r w:rsidR="009912F8" w:rsidRPr="00E07C9A">
        <w:t xml:space="preserve"> a </w:t>
      </w:r>
      <w:r w:rsidR="00CE7221" w:rsidRPr="00E07C9A">
        <w:t>špecifické riziko možno určiť</w:t>
      </w:r>
      <w:r w:rsidR="009912F8" w:rsidRPr="00E07C9A">
        <w:t xml:space="preserve"> a </w:t>
      </w:r>
      <w:r w:rsidR="00CE7221" w:rsidRPr="00E07C9A">
        <w:t>vykázať osobitne alebo len spolu. To isté platí pre rozloženie hodnôt VaR/sVaR do kategórií rizík (úrokové riziko, akciové riziko, komoditné riziko</w:t>
      </w:r>
      <w:r w:rsidR="009912F8" w:rsidRPr="00E07C9A">
        <w:t xml:space="preserve"> a </w:t>
      </w:r>
      <w:r w:rsidR="00CE7221" w:rsidRPr="00E07C9A">
        <w:t>devízové riziko). Inštitúcia môže upustiť od vykazovania tohto rozloženia, ak preukáže, že vykazovanie týchto hodnôt by bolo neúmerne zaťažujúce</w:t>
      </w:r>
      <w:r w:rsidR="009912F8" w:rsidRPr="00E07C9A">
        <w:t>.</w:t>
      </w:r>
    </w:p>
    <w:p w14:paraId="16A354D7" w14:textId="6EAC5CC3" w:rsidR="000B0B09" w:rsidRPr="00E07C9A" w:rsidRDefault="00125707" w:rsidP="0023700C">
      <w:pPr>
        <w:pStyle w:val="Instructionsberschrift2"/>
        <w:numPr>
          <w:ilvl w:val="0"/>
          <w:numId w:val="0"/>
        </w:numPr>
        <w:ind w:left="357" w:hanging="357"/>
        <w:rPr>
          <w:rFonts w:ascii="Times New Roman" w:hAnsi="Times New Roman" w:cs="Times New Roman"/>
          <w:sz w:val="24"/>
        </w:rPr>
      </w:pPr>
      <w:bookmarkStart w:id="742" w:name="_Toc262566440"/>
      <w:bookmarkStart w:id="743" w:name="_Toc295830016"/>
      <w:bookmarkStart w:id="744" w:name="_Toc308426693"/>
      <w:bookmarkStart w:id="745" w:name="_Toc310415077"/>
      <w:bookmarkStart w:id="746" w:name="_Toc360188412"/>
      <w:bookmarkStart w:id="747" w:name="_Toc473561052"/>
      <w:bookmarkStart w:id="748" w:name="_Toc115857896"/>
      <w:r w:rsidRPr="00E07C9A">
        <w:rPr>
          <w:rFonts w:ascii="Times New Roman" w:hAnsi="Times New Roman" w:cs="Times New Roman"/>
          <w:sz w:val="24"/>
          <w:u w:val="none"/>
        </w:rPr>
        <w:t>5.7.2.</w:t>
      </w:r>
      <w:r w:rsidRPr="00E07C9A">
        <w:rPr>
          <w:rFonts w:ascii="Times New Roman" w:hAnsi="Times New Roman" w:cs="Times New Roman"/>
          <w:u w:val="none"/>
        </w:rPr>
        <w:tab/>
      </w:r>
      <w:r w:rsidRPr="00E07C9A">
        <w:rPr>
          <w:rFonts w:ascii="Times New Roman" w:hAnsi="Times New Roman" w:cs="Times New Roman"/>
          <w:sz w:val="24"/>
        </w:rPr>
        <w:t>Pokyny týkajúce sa konkrétnych pozícií</w:t>
      </w:r>
      <w:bookmarkEnd w:id="742"/>
      <w:bookmarkEnd w:id="743"/>
      <w:bookmarkEnd w:id="744"/>
      <w:bookmarkEnd w:id="745"/>
      <w:bookmarkEnd w:id="746"/>
      <w:bookmarkEnd w:id="747"/>
      <w:bookmarkEnd w:id="7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E07C9A" w14:paraId="2E01A882" w14:textId="77777777" w:rsidTr="00672D2A">
        <w:tc>
          <w:tcPr>
            <w:tcW w:w="8862" w:type="dxa"/>
            <w:gridSpan w:val="2"/>
            <w:shd w:val="clear" w:color="auto" w:fill="BFBFBF"/>
          </w:tcPr>
          <w:p w14:paraId="12FA7906" w14:textId="77777777" w:rsidR="000B0B09" w:rsidRPr="00E07C9A" w:rsidRDefault="0034786E"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Stĺpce</w:t>
            </w:r>
          </w:p>
        </w:tc>
      </w:tr>
      <w:tr w:rsidR="000B0B09" w:rsidRPr="00E07C9A" w14:paraId="27C19C3C" w14:textId="77777777" w:rsidTr="00672D2A">
        <w:tc>
          <w:tcPr>
            <w:tcW w:w="993" w:type="dxa"/>
          </w:tcPr>
          <w:p w14:paraId="10AA4817" w14:textId="77777777" w:rsidR="000B0B09" w:rsidRPr="00E07C9A" w:rsidRDefault="002F79EA"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0030 – 0040</w:t>
            </w:r>
          </w:p>
        </w:tc>
        <w:tc>
          <w:tcPr>
            <w:tcW w:w="7869" w:type="dxa"/>
          </w:tcPr>
          <w:p w14:paraId="6F9C4B0E" w14:textId="13545689" w:rsidR="000B0B09" w:rsidRPr="00E07C9A" w:rsidRDefault="0016282F" w:rsidP="000B0B09">
            <w:pPr>
              <w:autoSpaceDE w:val="0"/>
              <w:autoSpaceDN w:val="0"/>
              <w:adjustRightInd w:val="0"/>
              <w:spacing w:before="0" w:after="0"/>
              <w:rPr>
                <w:rFonts w:ascii="Times New Roman" w:hAnsi="Times New Roman"/>
                <w:b/>
                <w:bCs/>
                <w:sz w:val="24"/>
                <w:u w:val="single"/>
              </w:rPr>
            </w:pPr>
            <w:r w:rsidRPr="00E07C9A">
              <w:rPr>
                <w:rFonts w:ascii="Times New Roman" w:hAnsi="Times New Roman"/>
                <w:b/>
                <w:sz w:val="24"/>
                <w:u w:val="single"/>
              </w:rPr>
              <w:t>Hodnota</w:t>
            </w:r>
            <w:r w:rsidR="009912F8" w:rsidRPr="00E07C9A">
              <w:rPr>
                <w:rFonts w:ascii="Times New Roman" w:hAnsi="Times New Roman"/>
                <w:b/>
                <w:sz w:val="24"/>
                <w:u w:val="single"/>
              </w:rPr>
              <w:t xml:space="preserve"> v </w:t>
            </w:r>
            <w:r w:rsidRPr="00E07C9A">
              <w:rPr>
                <w:rFonts w:ascii="Times New Roman" w:hAnsi="Times New Roman"/>
                <w:b/>
                <w:sz w:val="24"/>
                <w:u w:val="single"/>
              </w:rPr>
              <w:t>riziku (VaR)</w:t>
            </w:r>
          </w:p>
          <w:p w14:paraId="59F85AD6" w14:textId="030CF01E" w:rsidR="000B0B09" w:rsidRPr="00E07C9A" w:rsidRDefault="0016282F" w:rsidP="002300C6">
            <w:pPr>
              <w:autoSpaceDE w:val="0"/>
              <w:autoSpaceDN w:val="0"/>
              <w:adjustRightInd w:val="0"/>
              <w:rPr>
                <w:rFonts w:ascii="Times New Roman" w:hAnsi="Times New Roman"/>
                <w:b/>
                <w:bCs/>
                <w:sz w:val="24"/>
                <w:u w:val="single"/>
              </w:rPr>
            </w:pPr>
            <w:r w:rsidRPr="00E07C9A">
              <w:rPr>
                <w:rFonts w:ascii="Times New Roman" w:hAnsi="Times New Roman"/>
                <w:sz w:val="24"/>
              </w:rPr>
              <w:t>VaR znamená maximálnu možnú stratu, ktorá by vyplynula zo zmeny ceny</w:t>
            </w:r>
            <w:r w:rsidR="009912F8" w:rsidRPr="00E07C9A">
              <w:rPr>
                <w:rFonts w:ascii="Times New Roman" w:hAnsi="Times New Roman"/>
                <w:sz w:val="24"/>
              </w:rPr>
              <w:t xml:space="preserve"> s </w:t>
            </w:r>
            <w:r w:rsidRPr="00E07C9A">
              <w:rPr>
                <w:rFonts w:ascii="Times New Roman" w:hAnsi="Times New Roman"/>
                <w:sz w:val="24"/>
              </w:rPr>
              <w:t>danou pravdepodobnosťou</w:t>
            </w:r>
            <w:r w:rsidR="009912F8" w:rsidRPr="00E07C9A">
              <w:rPr>
                <w:rFonts w:ascii="Times New Roman" w:hAnsi="Times New Roman"/>
                <w:sz w:val="24"/>
              </w:rPr>
              <w:t xml:space="preserve"> v </w:t>
            </w:r>
            <w:r w:rsidRPr="00E07C9A">
              <w:rPr>
                <w:rFonts w:ascii="Times New Roman" w:hAnsi="Times New Roman"/>
                <w:sz w:val="24"/>
              </w:rPr>
              <w:t>priebehu špecifického časového horizontu.</w:t>
            </w:r>
          </w:p>
        </w:tc>
      </w:tr>
      <w:tr w:rsidR="000B0B09" w:rsidRPr="00E07C9A" w14:paraId="50B81018" w14:textId="77777777" w:rsidTr="00672D2A">
        <w:tc>
          <w:tcPr>
            <w:tcW w:w="993" w:type="dxa"/>
          </w:tcPr>
          <w:p w14:paraId="49937121" w14:textId="77777777" w:rsidR="000B0B09" w:rsidRPr="00E07C9A" w:rsidRDefault="002F79EA"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0030</w:t>
            </w:r>
          </w:p>
        </w:tc>
        <w:tc>
          <w:tcPr>
            <w:tcW w:w="7869" w:type="dxa"/>
          </w:tcPr>
          <w:p w14:paraId="3867D5D5" w14:textId="77777777" w:rsidR="000B0B09" w:rsidRPr="00E07C9A" w:rsidRDefault="000B0B09" w:rsidP="000B0B09">
            <w:pPr>
              <w:autoSpaceDE w:val="0"/>
              <w:autoSpaceDN w:val="0"/>
              <w:adjustRightInd w:val="0"/>
              <w:spacing w:before="0" w:after="0"/>
              <w:rPr>
                <w:rFonts w:ascii="Times New Roman" w:hAnsi="Times New Roman"/>
                <w:b/>
                <w:bCs/>
                <w:sz w:val="24"/>
                <w:u w:val="single"/>
              </w:rPr>
            </w:pPr>
            <w:r w:rsidRPr="00E07C9A">
              <w:rPr>
                <w:rFonts w:ascii="Times New Roman" w:hAnsi="Times New Roman"/>
                <w:b/>
                <w:sz w:val="24"/>
                <w:u w:val="single"/>
              </w:rPr>
              <w:t>Multiplikačný koeficient (mc) x priemer VaR za predchádzajúcich 60 pracovných dní (VaRavg)</w:t>
            </w:r>
          </w:p>
          <w:p w14:paraId="028313DD" w14:textId="77777777" w:rsidR="000B0B09" w:rsidRPr="00E07C9A" w:rsidRDefault="000B0B09" w:rsidP="000B0B09">
            <w:pPr>
              <w:autoSpaceDE w:val="0"/>
              <w:autoSpaceDN w:val="0"/>
              <w:adjustRightInd w:val="0"/>
              <w:spacing w:before="0" w:after="0"/>
              <w:rPr>
                <w:rFonts w:ascii="Times New Roman" w:hAnsi="Times New Roman"/>
                <w:b/>
                <w:bCs/>
                <w:sz w:val="24"/>
                <w:u w:val="single"/>
                <w:lang w:eastAsia="fr-FR"/>
              </w:rPr>
            </w:pPr>
          </w:p>
          <w:p w14:paraId="08272C2A" w14:textId="2B2E5A31" w:rsidR="009912F8" w:rsidRPr="00E07C9A" w:rsidRDefault="00705025" w:rsidP="005F1095">
            <w:pPr>
              <w:autoSpaceDE w:val="0"/>
              <w:autoSpaceDN w:val="0"/>
              <w:adjustRightInd w:val="0"/>
              <w:spacing w:before="0" w:after="0"/>
              <w:rPr>
                <w:rFonts w:ascii="Times New Roman" w:hAnsi="Times New Roman"/>
                <w:sz w:val="24"/>
              </w:rPr>
            </w:pPr>
            <w:r w:rsidRPr="00E07C9A">
              <w:rPr>
                <w:rFonts w:ascii="Times New Roman" w:hAnsi="Times New Roman"/>
                <w:sz w:val="24"/>
              </w:rPr>
              <w:t xml:space="preserve"> Článok 364 ods. 1 písm. a) bod ii)</w:t>
            </w:r>
            <w:r w:rsidR="009912F8" w:rsidRPr="00E07C9A">
              <w:rPr>
                <w:rFonts w:ascii="Times New Roman" w:hAnsi="Times New Roman"/>
                <w:sz w:val="24"/>
              </w:rPr>
              <w:t xml:space="preserve"> a </w:t>
            </w:r>
            <w:r w:rsidRPr="00E07C9A">
              <w:rPr>
                <w:rFonts w:ascii="Times New Roman" w:hAnsi="Times New Roman"/>
                <w:sz w:val="24"/>
              </w:rPr>
              <w:t xml:space="preserve">článok 365 ods. 1 nariadenia (EÚ) </w:t>
            </w:r>
            <w:r w:rsidR="009912F8" w:rsidRPr="00E07C9A">
              <w:rPr>
                <w:rFonts w:ascii="Times New Roman" w:hAnsi="Times New Roman"/>
                <w:sz w:val="24"/>
              </w:rPr>
              <w:t>č. 575/2013</w:t>
            </w:r>
          </w:p>
          <w:p w14:paraId="34698FA2" w14:textId="4468EBB4" w:rsidR="000B0B09" w:rsidRPr="00E07C9A" w:rsidRDefault="000B0B09" w:rsidP="000B0B09">
            <w:pPr>
              <w:autoSpaceDE w:val="0"/>
              <w:autoSpaceDN w:val="0"/>
              <w:adjustRightInd w:val="0"/>
              <w:spacing w:before="0" w:after="0"/>
              <w:rPr>
                <w:rFonts w:ascii="Times New Roman" w:hAnsi="Times New Roman"/>
                <w:sz w:val="24"/>
                <w:lang w:eastAsia="nl-BE"/>
              </w:rPr>
            </w:pPr>
          </w:p>
        </w:tc>
      </w:tr>
      <w:tr w:rsidR="000B0B09" w:rsidRPr="00E07C9A" w14:paraId="50DDBD1E" w14:textId="77777777" w:rsidTr="00672D2A">
        <w:tc>
          <w:tcPr>
            <w:tcW w:w="993" w:type="dxa"/>
          </w:tcPr>
          <w:p w14:paraId="404E452E" w14:textId="77777777" w:rsidR="000B0B09" w:rsidRPr="00E07C9A" w:rsidRDefault="002F79EA"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0040</w:t>
            </w:r>
          </w:p>
        </w:tc>
        <w:tc>
          <w:tcPr>
            <w:tcW w:w="7869" w:type="dxa"/>
          </w:tcPr>
          <w:p w14:paraId="15C0D519" w14:textId="37581828" w:rsidR="000B0B09" w:rsidRPr="00E07C9A" w:rsidRDefault="000B0B09" w:rsidP="000B0B09">
            <w:pPr>
              <w:autoSpaceDE w:val="0"/>
              <w:autoSpaceDN w:val="0"/>
              <w:adjustRightInd w:val="0"/>
              <w:spacing w:before="0" w:after="0"/>
              <w:rPr>
                <w:rFonts w:ascii="Times New Roman" w:hAnsi="Times New Roman"/>
                <w:b/>
                <w:bCs/>
                <w:sz w:val="24"/>
                <w:u w:val="single"/>
              </w:rPr>
            </w:pPr>
            <w:r w:rsidRPr="00E07C9A">
              <w:rPr>
                <w:rFonts w:ascii="Times New Roman" w:hAnsi="Times New Roman"/>
                <w:b/>
                <w:sz w:val="24"/>
                <w:u w:val="single"/>
              </w:rPr>
              <w:t>VaR</w:t>
            </w:r>
            <w:r w:rsidR="009912F8" w:rsidRPr="00E07C9A">
              <w:rPr>
                <w:rFonts w:ascii="Times New Roman" w:hAnsi="Times New Roman"/>
                <w:b/>
                <w:sz w:val="24"/>
                <w:u w:val="single"/>
              </w:rPr>
              <w:t xml:space="preserve"> z </w:t>
            </w:r>
            <w:r w:rsidRPr="00E07C9A">
              <w:rPr>
                <w:rFonts w:ascii="Times New Roman" w:hAnsi="Times New Roman"/>
                <w:b/>
                <w:sz w:val="24"/>
                <w:u w:val="single"/>
              </w:rPr>
              <w:t>predchádzajúceho dňa (VaRt-1)</w:t>
            </w:r>
          </w:p>
          <w:p w14:paraId="21BBDC54" w14:textId="77777777" w:rsidR="000B0B09" w:rsidRPr="00E07C9A" w:rsidRDefault="000B0B09" w:rsidP="000B0B09">
            <w:pPr>
              <w:autoSpaceDE w:val="0"/>
              <w:autoSpaceDN w:val="0"/>
              <w:adjustRightInd w:val="0"/>
              <w:spacing w:before="0" w:after="0"/>
              <w:rPr>
                <w:rFonts w:ascii="Times New Roman" w:hAnsi="Times New Roman"/>
                <w:b/>
                <w:bCs/>
                <w:sz w:val="24"/>
                <w:u w:val="single"/>
                <w:lang w:eastAsia="fr-FR"/>
              </w:rPr>
            </w:pPr>
          </w:p>
          <w:p w14:paraId="696E0B0D" w14:textId="35478B62" w:rsidR="009912F8" w:rsidRPr="00E07C9A" w:rsidRDefault="00070113"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Článok 364 ods. 1 písm. a) bod i)</w:t>
            </w:r>
            <w:r w:rsidR="009912F8" w:rsidRPr="00E07C9A">
              <w:rPr>
                <w:rFonts w:ascii="Times New Roman" w:hAnsi="Times New Roman"/>
                <w:sz w:val="24"/>
              </w:rPr>
              <w:t xml:space="preserve"> a </w:t>
            </w:r>
            <w:r w:rsidRPr="00E07C9A">
              <w:rPr>
                <w:rFonts w:ascii="Times New Roman" w:hAnsi="Times New Roman"/>
                <w:sz w:val="24"/>
              </w:rPr>
              <w:t xml:space="preserve">článok 365 ods. 1 nariadenia (EÚ) </w:t>
            </w:r>
            <w:r w:rsidR="009912F8" w:rsidRPr="00E07C9A">
              <w:rPr>
                <w:rFonts w:ascii="Times New Roman" w:hAnsi="Times New Roman"/>
                <w:sz w:val="24"/>
              </w:rPr>
              <w:t>č. 575/2013</w:t>
            </w:r>
          </w:p>
          <w:p w14:paraId="065DA05D" w14:textId="61D5FD94" w:rsidR="000B0B09" w:rsidRPr="00E07C9A" w:rsidRDefault="000B0B09" w:rsidP="000B0B09">
            <w:pPr>
              <w:autoSpaceDE w:val="0"/>
              <w:autoSpaceDN w:val="0"/>
              <w:adjustRightInd w:val="0"/>
              <w:spacing w:before="0" w:after="0"/>
              <w:rPr>
                <w:rFonts w:ascii="Times New Roman" w:hAnsi="Times New Roman"/>
                <w:sz w:val="24"/>
                <w:lang w:eastAsia="nl-BE"/>
              </w:rPr>
            </w:pPr>
          </w:p>
        </w:tc>
      </w:tr>
      <w:tr w:rsidR="000B0B09" w:rsidRPr="00E07C9A" w14:paraId="1FD77FB5" w14:textId="77777777" w:rsidTr="00672D2A">
        <w:tc>
          <w:tcPr>
            <w:tcW w:w="993" w:type="dxa"/>
          </w:tcPr>
          <w:p w14:paraId="65ACFD9D" w14:textId="77777777" w:rsidR="000B0B09" w:rsidRPr="00E07C9A" w:rsidRDefault="002F79EA"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0050 –⁠ 0060</w:t>
            </w:r>
          </w:p>
        </w:tc>
        <w:tc>
          <w:tcPr>
            <w:tcW w:w="7869" w:type="dxa"/>
          </w:tcPr>
          <w:p w14:paraId="388A6872" w14:textId="77777777" w:rsidR="000B0B09" w:rsidRPr="00E07C9A" w:rsidRDefault="000B0B09" w:rsidP="000B0B09">
            <w:pPr>
              <w:autoSpaceDE w:val="0"/>
              <w:autoSpaceDN w:val="0"/>
              <w:adjustRightInd w:val="0"/>
              <w:spacing w:before="0" w:after="0"/>
              <w:rPr>
                <w:rFonts w:ascii="Times New Roman" w:hAnsi="Times New Roman"/>
                <w:b/>
                <w:bCs/>
                <w:sz w:val="24"/>
                <w:u w:val="single"/>
              </w:rPr>
            </w:pPr>
            <w:r w:rsidRPr="00E07C9A">
              <w:rPr>
                <w:rFonts w:ascii="Times New Roman" w:hAnsi="Times New Roman"/>
                <w:b/>
                <w:sz w:val="24"/>
                <w:u w:val="single"/>
              </w:rPr>
              <w:t>Stresovaná VaR</w:t>
            </w:r>
          </w:p>
          <w:p w14:paraId="30D5B348" w14:textId="77777777" w:rsidR="000B0B09" w:rsidRPr="00E07C9A" w:rsidRDefault="000B0B09" w:rsidP="000B0B09">
            <w:pPr>
              <w:autoSpaceDE w:val="0"/>
              <w:autoSpaceDN w:val="0"/>
              <w:adjustRightInd w:val="0"/>
              <w:spacing w:before="0" w:after="0"/>
              <w:rPr>
                <w:rFonts w:ascii="Times New Roman" w:hAnsi="Times New Roman"/>
                <w:b/>
                <w:bCs/>
                <w:sz w:val="24"/>
                <w:u w:val="single"/>
                <w:lang w:eastAsia="nl-BE"/>
              </w:rPr>
            </w:pPr>
          </w:p>
          <w:p w14:paraId="114BB124" w14:textId="213CF153" w:rsidR="000B0B09" w:rsidRPr="00E07C9A" w:rsidRDefault="0016282F" w:rsidP="002300C6">
            <w:pPr>
              <w:autoSpaceDE w:val="0"/>
              <w:autoSpaceDN w:val="0"/>
              <w:adjustRightInd w:val="0"/>
              <w:spacing w:before="0"/>
              <w:rPr>
                <w:rFonts w:ascii="Times New Roman" w:hAnsi="Times New Roman"/>
                <w:sz w:val="24"/>
              </w:rPr>
            </w:pPr>
            <w:r w:rsidRPr="00E07C9A">
              <w:rPr>
                <w:rFonts w:ascii="Times New Roman" w:hAnsi="Times New Roman"/>
                <w:sz w:val="24"/>
              </w:rPr>
              <w:t>Stresovaná VaR znamená maximálnu možnú stratu, ktorá by vyplynula zo zmeny ceny</w:t>
            </w:r>
            <w:r w:rsidR="009912F8" w:rsidRPr="00E07C9A">
              <w:rPr>
                <w:rFonts w:ascii="Times New Roman" w:hAnsi="Times New Roman"/>
                <w:sz w:val="24"/>
              </w:rPr>
              <w:t xml:space="preserve"> s </w:t>
            </w:r>
            <w:r w:rsidRPr="00E07C9A">
              <w:rPr>
                <w:rFonts w:ascii="Times New Roman" w:hAnsi="Times New Roman"/>
                <w:sz w:val="24"/>
              </w:rPr>
              <w:t>danou pravdepodobnosťou</w:t>
            </w:r>
            <w:r w:rsidR="009912F8" w:rsidRPr="00E07C9A">
              <w:rPr>
                <w:rFonts w:ascii="Times New Roman" w:hAnsi="Times New Roman"/>
                <w:sz w:val="24"/>
              </w:rPr>
              <w:t xml:space="preserve"> v </w:t>
            </w:r>
            <w:r w:rsidRPr="00E07C9A">
              <w:rPr>
                <w:rFonts w:ascii="Times New Roman" w:hAnsi="Times New Roman"/>
                <w:sz w:val="24"/>
              </w:rPr>
              <w:t>priebehu špecifického časového obdobia</w:t>
            </w:r>
            <w:r w:rsidR="009912F8" w:rsidRPr="00E07C9A">
              <w:rPr>
                <w:rFonts w:ascii="Times New Roman" w:hAnsi="Times New Roman"/>
                <w:sz w:val="24"/>
              </w:rPr>
              <w:t xml:space="preserve"> s </w:t>
            </w:r>
            <w:r w:rsidRPr="00E07C9A">
              <w:rPr>
                <w:rFonts w:ascii="Times New Roman" w:hAnsi="Times New Roman"/>
                <w:sz w:val="24"/>
              </w:rPr>
              <w:t>použitím vstupov kalibrovaných podľa historických údajov</w:t>
            </w:r>
            <w:r w:rsidR="009912F8" w:rsidRPr="00E07C9A">
              <w:rPr>
                <w:rFonts w:ascii="Times New Roman" w:hAnsi="Times New Roman"/>
                <w:sz w:val="24"/>
              </w:rPr>
              <w:t xml:space="preserve"> z </w:t>
            </w:r>
            <w:r w:rsidRPr="00E07C9A">
              <w:rPr>
                <w:rFonts w:ascii="Times New Roman" w:hAnsi="Times New Roman"/>
                <w:sz w:val="24"/>
              </w:rPr>
              <w:t>nepretržitého 12-mesačného obdobia finančného stresu týkajúceho sa portfólia inštitúcie.</w:t>
            </w:r>
          </w:p>
        </w:tc>
      </w:tr>
      <w:tr w:rsidR="000B0B09" w:rsidRPr="00E07C9A" w14:paraId="006F4906" w14:textId="77777777" w:rsidTr="00672D2A">
        <w:tc>
          <w:tcPr>
            <w:tcW w:w="993" w:type="dxa"/>
          </w:tcPr>
          <w:p w14:paraId="294AFD20" w14:textId="77777777" w:rsidR="000B0B09" w:rsidRPr="00E07C9A" w:rsidRDefault="002F79EA"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0050</w:t>
            </w:r>
          </w:p>
        </w:tc>
        <w:tc>
          <w:tcPr>
            <w:tcW w:w="7869" w:type="dxa"/>
          </w:tcPr>
          <w:p w14:paraId="3CDD7B35" w14:textId="77777777" w:rsidR="000B0B09" w:rsidRPr="00E07C9A" w:rsidRDefault="000B0B09" w:rsidP="000B0B09">
            <w:pPr>
              <w:autoSpaceDE w:val="0"/>
              <w:autoSpaceDN w:val="0"/>
              <w:adjustRightInd w:val="0"/>
              <w:spacing w:before="0" w:after="0"/>
              <w:rPr>
                <w:rFonts w:ascii="Times New Roman" w:hAnsi="Times New Roman"/>
                <w:b/>
                <w:bCs/>
                <w:sz w:val="24"/>
                <w:u w:val="single"/>
              </w:rPr>
            </w:pPr>
            <w:r w:rsidRPr="00E07C9A">
              <w:rPr>
                <w:rFonts w:ascii="Times New Roman" w:hAnsi="Times New Roman"/>
                <w:b/>
                <w:sz w:val="24"/>
                <w:u w:val="single"/>
              </w:rPr>
              <w:t>Multiplikačný koeficient (ms) x priemer za predchádzajúcich 60 pracovných dní (SVaRavg)</w:t>
            </w:r>
          </w:p>
          <w:p w14:paraId="17CC7E24" w14:textId="77777777" w:rsidR="000B0B09" w:rsidRPr="00E07C9A" w:rsidRDefault="000B0B09" w:rsidP="000B0B09">
            <w:pPr>
              <w:autoSpaceDE w:val="0"/>
              <w:autoSpaceDN w:val="0"/>
              <w:adjustRightInd w:val="0"/>
              <w:spacing w:before="0" w:after="0"/>
              <w:rPr>
                <w:rStyle w:val="InstructionsTabelleberschrift"/>
                <w:rFonts w:ascii="Times New Roman" w:hAnsi="Times New Roman"/>
                <w:sz w:val="24"/>
              </w:rPr>
            </w:pPr>
          </w:p>
          <w:p w14:paraId="6185E8FA" w14:textId="63B32614" w:rsidR="009912F8" w:rsidRPr="00E07C9A" w:rsidRDefault="000B0B09" w:rsidP="000B0B09">
            <w:pPr>
              <w:autoSpaceDE w:val="0"/>
              <w:autoSpaceDN w:val="0"/>
              <w:adjustRightInd w:val="0"/>
              <w:spacing w:before="0" w:after="0"/>
              <w:rPr>
                <w:rStyle w:val="InstructionsTabelleberschrift"/>
                <w:rFonts w:ascii="Times New Roman" w:hAnsi="Times New Roman"/>
                <w:sz w:val="24"/>
              </w:rPr>
            </w:pPr>
            <w:r w:rsidRPr="00E07C9A">
              <w:rPr>
                <w:rFonts w:ascii="Times New Roman" w:hAnsi="Times New Roman"/>
                <w:sz w:val="24"/>
              </w:rPr>
              <w:t>Článok 364 ods. 1 písm. b) bod ii)</w:t>
            </w:r>
            <w:r w:rsidR="009912F8" w:rsidRPr="00E07C9A">
              <w:rPr>
                <w:rFonts w:ascii="Times New Roman" w:hAnsi="Times New Roman"/>
                <w:sz w:val="24"/>
              </w:rPr>
              <w:t xml:space="preserve"> a </w:t>
            </w:r>
            <w:r w:rsidRPr="00E07C9A">
              <w:rPr>
                <w:rFonts w:ascii="Times New Roman" w:hAnsi="Times New Roman"/>
                <w:sz w:val="24"/>
              </w:rPr>
              <w:t xml:space="preserve">článok 365 ods. 1 nariadenia (EÚ) </w:t>
            </w:r>
            <w:r w:rsidR="009912F8" w:rsidRPr="00E07C9A">
              <w:rPr>
                <w:rFonts w:ascii="Times New Roman" w:hAnsi="Times New Roman"/>
                <w:sz w:val="24"/>
              </w:rPr>
              <w:t>č. 575/2013</w:t>
            </w:r>
          </w:p>
          <w:p w14:paraId="4E4677D0" w14:textId="3DAAEE54" w:rsidR="000B0B09" w:rsidRPr="00E07C9A"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E07C9A" w14:paraId="67754317" w14:textId="77777777" w:rsidTr="00672D2A">
        <w:tc>
          <w:tcPr>
            <w:tcW w:w="993" w:type="dxa"/>
          </w:tcPr>
          <w:p w14:paraId="48511238" w14:textId="77777777" w:rsidR="000B0B09" w:rsidRPr="00E07C9A" w:rsidRDefault="002F79EA"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0060</w:t>
            </w:r>
          </w:p>
        </w:tc>
        <w:tc>
          <w:tcPr>
            <w:tcW w:w="7869" w:type="dxa"/>
          </w:tcPr>
          <w:p w14:paraId="6934BA2C" w14:textId="77777777" w:rsidR="000B0B09" w:rsidRPr="00E07C9A" w:rsidRDefault="000B0B09" w:rsidP="000B0B09">
            <w:pPr>
              <w:autoSpaceDE w:val="0"/>
              <w:autoSpaceDN w:val="0"/>
              <w:adjustRightInd w:val="0"/>
              <w:spacing w:before="0" w:after="0"/>
              <w:rPr>
                <w:rFonts w:ascii="Times New Roman" w:hAnsi="Times New Roman"/>
                <w:b/>
                <w:bCs/>
                <w:sz w:val="24"/>
                <w:u w:val="single"/>
              </w:rPr>
            </w:pPr>
            <w:r w:rsidRPr="00E07C9A">
              <w:rPr>
                <w:rFonts w:ascii="Times New Roman" w:hAnsi="Times New Roman"/>
                <w:b/>
                <w:sz w:val="24"/>
                <w:u w:val="single"/>
              </w:rPr>
              <w:t>Najnovšia dostupná hodnota (SVaRt-1)</w:t>
            </w:r>
          </w:p>
          <w:p w14:paraId="26D70865" w14:textId="77777777" w:rsidR="000B0B09" w:rsidRPr="00E07C9A" w:rsidRDefault="000B0B09" w:rsidP="000B0B09">
            <w:pPr>
              <w:autoSpaceDE w:val="0"/>
              <w:autoSpaceDN w:val="0"/>
              <w:adjustRightInd w:val="0"/>
              <w:spacing w:before="0" w:after="0"/>
              <w:rPr>
                <w:rFonts w:ascii="Times New Roman" w:hAnsi="Times New Roman"/>
                <w:sz w:val="24"/>
              </w:rPr>
            </w:pPr>
          </w:p>
          <w:p w14:paraId="7B8D137E" w14:textId="30E48FC8" w:rsidR="009912F8" w:rsidRPr="00E07C9A" w:rsidRDefault="001B17E6"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Článok 364 ods. 1 písm. b) bod i)</w:t>
            </w:r>
            <w:r w:rsidR="009912F8" w:rsidRPr="00E07C9A">
              <w:rPr>
                <w:rFonts w:ascii="Times New Roman" w:hAnsi="Times New Roman"/>
                <w:sz w:val="24"/>
              </w:rPr>
              <w:t xml:space="preserve"> a </w:t>
            </w:r>
            <w:r w:rsidRPr="00E07C9A">
              <w:rPr>
                <w:rFonts w:ascii="Times New Roman" w:hAnsi="Times New Roman"/>
                <w:sz w:val="24"/>
              </w:rPr>
              <w:t xml:space="preserve">článok 365 ods. 1 nariadenia (EÚ) </w:t>
            </w:r>
            <w:r w:rsidR="009912F8" w:rsidRPr="00E07C9A">
              <w:rPr>
                <w:rFonts w:ascii="Times New Roman" w:hAnsi="Times New Roman"/>
                <w:sz w:val="24"/>
              </w:rPr>
              <w:t>č. 575/2013</w:t>
            </w:r>
          </w:p>
          <w:p w14:paraId="52AD8FDF" w14:textId="69479E34" w:rsidR="000B0B09" w:rsidRPr="00E07C9A" w:rsidRDefault="000B0B09" w:rsidP="000B0B09">
            <w:pPr>
              <w:autoSpaceDE w:val="0"/>
              <w:autoSpaceDN w:val="0"/>
              <w:adjustRightInd w:val="0"/>
              <w:spacing w:before="0" w:after="0"/>
              <w:rPr>
                <w:rFonts w:ascii="Times New Roman" w:hAnsi="Times New Roman"/>
                <w:b/>
                <w:bCs/>
                <w:sz w:val="24"/>
                <w:u w:val="single"/>
                <w:lang w:eastAsia="de-DE"/>
              </w:rPr>
            </w:pPr>
          </w:p>
        </w:tc>
      </w:tr>
      <w:tr w:rsidR="000B0B09" w:rsidRPr="00E07C9A" w14:paraId="7AFDCF05" w14:textId="77777777" w:rsidTr="00672D2A">
        <w:tc>
          <w:tcPr>
            <w:tcW w:w="993" w:type="dxa"/>
          </w:tcPr>
          <w:p w14:paraId="189BA479" w14:textId="77777777" w:rsidR="000B0B09" w:rsidRPr="00E07C9A" w:rsidRDefault="002F79EA"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0070 –⁠ 0080</w:t>
            </w:r>
          </w:p>
        </w:tc>
        <w:tc>
          <w:tcPr>
            <w:tcW w:w="7869" w:type="dxa"/>
          </w:tcPr>
          <w:p w14:paraId="260164A4" w14:textId="77777777" w:rsidR="000B0B09" w:rsidRPr="00E07C9A" w:rsidRDefault="000B0B09" w:rsidP="000B0B09">
            <w:pPr>
              <w:autoSpaceDE w:val="0"/>
              <w:autoSpaceDN w:val="0"/>
              <w:adjustRightInd w:val="0"/>
              <w:spacing w:before="0" w:after="0"/>
              <w:rPr>
                <w:rFonts w:ascii="Times New Roman" w:hAnsi="Times New Roman"/>
                <w:b/>
                <w:bCs/>
                <w:sz w:val="24"/>
                <w:u w:val="single"/>
              </w:rPr>
            </w:pPr>
            <w:r w:rsidRPr="00E07C9A">
              <w:rPr>
                <w:rFonts w:ascii="Times New Roman" w:hAnsi="Times New Roman"/>
                <w:b/>
                <w:sz w:val="24"/>
                <w:u w:val="single"/>
              </w:rPr>
              <w:t>KAPITÁLOVÁ POŽIADAVKA PRE INKREMENTÁLNE RIZIKO ZLYHANIA A RIZIKO MIGRÁCIE</w:t>
            </w:r>
          </w:p>
          <w:p w14:paraId="1E7EA146" w14:textId="23D94DBB" w:rsidR="000B0B09" w:rsidRPr="00E07C9A" w:rsidRDefault="0016282F" w:rsidP="001B17E6">
            <w:pPr>
              <w:rPr>
                <w:rFonts w:ascii="Times New Roman" w:hAnsi="Times New Roman"/>
                <w:b/>
                <w:bCs/>
                <w:sz w:val="24"/>
                <w:u w:val="single"/>
              </w:rPr>
            </w:pPr>
            <w:r w:rsidRPr="00E07C9A">
              <w:rPr>
                <w:rFonts w:ascii="Times New Roman" w:hAnsi="Times New Roman"/>
                <w:sz w:val="24"/>
              </w:rPr>
              <w:t>Kapitálová požiadavka pre inkrementálne riziko zlyhania</w:t>
            </w:r>
            <w:r w:rsidR="009912F8" w:rsidRPr="00E07C9A">
              <w:rPr>
                <w:rFonts w:ascii="Times New Roman" w:hAnsi="Times New Roman"/>
                <w:sz w:val="24"/>
              </w:rPr>
              <w:t xml:space="preserve"> a </w:t>
            </w:r>
            <w:r w:rsidRPr="00E07C9A">
              <w:rPr>
                <w:rFonts w:ascii="Times New Roman" w:hAnsi="Times New Roman"/>
                <w:sz w:val="24"/>
              </w:rPr>
              <w:t>riziko migrácie je maximálna potenciálna strata, ktorá by vyplývala zo zmeny ceny súvisiacej</w:t>
            </w:r>
            <w:r w:rsidR="009912F8" w:rsidRPr="00E07C9A">
              <w:rPr>
                <w:rFonts w:ascii="Times New Roman" w:hAnsi="Times New Roman"/>
                <w:sz w:val="24"/>
              </w:rPr>
              <w:t xml:space="preserve"> s </w:t>
            </w:r>
            <w:r w:rsidRPr="00E07C9A">
              <w:rPr>
                <w:rFonts w:ascii="Times New Roman" w:hAnsi="Times New Roman"/>
                <w:sz w:val="24"/>
              </w:rPr>
              <w:t>rizikom zlyhania</w:t>
            </w:r>
            <w:r w:rsidR="009912F8" w:rsidRPr="00E07C9A">
              <w:rPr>
                <w:rFonts w:ascii="Times New Roman" w:hAnsi="Times New Roman"/>
                <w:sz w:val="24"/>
              </w:rPr>
              <w:t xml:space="preserve"> a </w:t>
            </w:r>
            <w:r w:rsidRPr="00E07C9A">
              <w:rPr>
                <w:rFonts w:ascii="Times New Roman" w:hAnsi="Times New Roman"/>
                <w:sz w:val="24"/>
              </w:rPr>
              <w:t>migrácie vypočítaným</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článkom 364 ods. 2 písm. b)</w:t>
            </w:r>
            <w:r w:rsidR="009912F8" w:rsidRPr="00E07C9A">
              <w:rPr>
                <w:rFonts w:ascii="Times New Roman" w:hAnsi="Times New Roman"/>
                <w:sz w:val="24"/>
              </w:rPr>
              <w:t xml:space="preserve"> v </w:t>
            </w:r>
            <w:r w:rsidRPr="00E07C9A">
              <w:rPr>
                <w:rFonts w:ascii="Times New Roman" w:hAnsi="Times New Roman"/>
                <w:sz w:val="24"/>
              </w:rPr>
              <w:t>spojení</w:t>
            </w:r>
            <w:r w:rsidR="009912F8" w:rsidRPr="00E07C9A">
              <w:rPr>
                <w:rFonts w:ascii="Times New Roman" w:hAnsi="Times New Roman"/>
                <w:sz w:val="24"/>
              </w:rPr>
              <w:t xml:space="preserve"> s </w:t>
            </w:r>
            <w:r w:rsidRPr="00E07C9A">
              <w:rPr>
                <w:rFonts w:ascii="Times New Roman" w:hAnsi="Times New Roman"/>
                <w:sz w:val="24"/>
              </w:rPr>
              <w:t xml:space="preserve">treťou časťou hlavou IV kapitolou 5 oddielom 4 nariadenia (EÚ) </w:t>
            </w:r>
            <w:r w:rsidR="009912F8" w:rsidRPr="00E07C9A">
              <w:rPr>
                <w:rFonts w:ascii="Times New Roman" w:hAnsi="Times New Roman"/>
                <w:sz w:val="24"/>
              </w:rPr>
              <w:t>č. 575/2013</w:t>
            </w:r>
            <w:r w:rsidRPr="00E07C9A">
              <w:rPr>
                <w:rFonts w:ascii="Times New Roman" w:hAnsi="Times New Roman"/>
                <w:sz w:val="24"/>
              </w:rPr>
              <w:t xml:space="preserve">. </w:t>
            </w:r>
          </w:p>
        </w:tc>
      </w:tr>
      <w:tr w:rsidR="000B0B09" w:rsidRPr="00E07C9A" w14:paraId="0A8D9874" w14:textId="77777777" w:rsidTr="00672D2A">
        <w:tc>
          <w:tcPr>
            <w:tcW w:w="993" w:type="dxa"/>
          </w:tcPr>
          <w:p w14:paraId="75FBF5CA" w14:textId="77777777" w:rsidR="000B0B09" w:rsidRPr="00E07C9A" w:rsidRDefault="002F79EA"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0070</w:t>
            </w:r>
          </w:p>
        </w:tc>
        <w:tc>
          <w:tcPr>
            <w:tcW w:w="7869" w:type="dxa"/>
          </w:tcPr>
          <w:p w14:paraId="5E1133B4" w14:textId="77777777" w:rsidR="000B0B09" w:rsidRPr="00E07C9A" w:rsidRDefault="000B0B09" w:rsidP="000B0B09">
            <w:pPr>
              <w:autoSpaceDE w:val="0"/>
              <w:autoSpaceDN w:val="0"/>
              <w:adjustRightInd w:val="0"/>
              <w:spacing w:before="0" w:after="0"/>
              <w:rPr>
                <w:rFonts w:ascii="Times New Roman" w:hAnsi="Times New Roman"/>
                <w:b/>
                <w:bCs/>
                <w:sz w:val="24"/>
                <w:u w:val="single"/>
              </w:rPr>
            </w:pPr>
            <w:r w:rsidRPr="00E07C9A">
              <w:rPr>
                <w:rFonts w:ascii="Times New Roman" w:hAnsi="Times New Roman"/>
                <w:b/>
                <w:sz w:val="24"/>
                <w:u w:val="single"/>
              </w:rPr>
              <w:t>Priemerná hodnota za 12 týždňov</w:t>
            </w:r>
          </w:p>
          <w:p w14:paraId="54F95AD4" w14:textId="77777777" w:rsidR="005C14B0" w:rsidRPr="00E07C9A" w:rsidRDefault="005C14B0">
            <w:pPr>
              <w:autoSpaceDE w:val="0"/>
              <w:autoSpaceDN w:val="0"/>
              <w:adjustRightInd w:val="0"/>
              <w:spacing w:before="0" w:after="0"/>
              <w:rPr>
                <w:rFonts w:ascii="Times New Roman" w:hAnsi="Times New Roman"/>
                <w:sz w:val="24"/>
              </w:rPr>
            </w:pPr>
          </w:p>
          <w:p w14:paraId="7D1E5A11" w14:textId="0AC8B856" w:rsidR="005C14B0" w:rsidRPr="00E07C9A" w:rsidRDefault="000B0B09">
            <w:pPr>
              <w:autoSpaceDE w:val="0"/>
              <w:autoSpaceDN w:val="0"/>
              <w:adjustRightInd w:val="0"/>
              <w:spacing w:before="0" w:after="0"/>
              <w:rPr>
                <w:rFonts w:ascii="Times New Roman" w:hAnsi="Times New Roman"/>
                <w:sz w:val="24"/>
              </w:rPr>
            </w:pPr>
            <w:r w:rsidRPr="00E07C9A">
              <w:rPr>
                <w:rFonts w:ascii="Times New Roman" w:hAnsi="Times New Roman"/>
                <w:sz w:val="24"/>
              </w:rPr>
              <w:t>Článok 364 ods. 2 písm. b) bod ii)</w:t>
            </w:r>
            <w:r w:rsidR="009912F8" w:rsidRPr="00E07C9A">
              <w:rPr>
                <w:rFonts w:ascii="Times New Roman" w:hAnsi="Times New Roman"/>
                <w:sz w:val="24"/>
              </w:rPr>
              <w:t xml:space="preserve"> v </w:t>
            </w:r>
            <w:r w:rsidRPr="00E07C9A">
              <w:rPr>
                <w:rFonts w:ascii="Times New Roman" w:hAnsi="Times New Roman"/>
                <w:sz w:val="24"/>
              </w:rPr>
              <w:t>spojení</w:t>
            </w:r>
            <w:r w:rsidR="009912F8" w:rsidRPr="00E07C9A">
              <w:rPr>
                <w:rFonts w:ascii="Times New Roman" w:hAnsi="Times New Roman"/>
                <w:sz w:val="24"/>
              </w:rPr>
              <w:t xml:space="preserve"> s </w:t>
            </w:r>
            <w:r w:rsidRPr="00E07C9A">
              <w:rPr>
                <w:rFonts w:ascii="Times New Roman" w:hAnsi="Times New Roman"/>
                <w:sz w:val="24"/>
              </w:rPr>
              <w:t xml:space="preserve">treťou časťou hlavou IV kapitolou 5 oddielom 4 nariadenia (EÚ) </w:t>
            </w:r>
            <w:r w:rsidR="009912F8" w:rsidRPr="00E07C9A">
              <w:rPr>
                <w:rFonts w:ascii="Times New Roman" w:hAnsi="Times New Roman"/>
                <w:sz w:val="24"/>
              </w:rPr>
              <w:t>č. 575/2013</w:t>
            </w:r>
          </w:p>
          <w:p w14:paraId="10724354" w14:textId="77777777" w:rsidR="000B0B09" w:rsidRPr="00E07C9A" w:rsidRDefault="000B0B09">
            <w:pPr>
              <w:autoSpaceDE w:val="0"/>
              <w:autoSpaceDN w:val="0"/>
              <w:adjustRightInd w:val="0"/>
              <w:spacing w:before="0" w:after="0"/>
              <w:rPr>
                <w:rFonts w:ascii="Times New Roman" w:hAnsi="Times New Roman"/>
                <w:b/>
                <w:bCs/>
                <w:sz w:val="24"/>
                <w:u w:val="single"/>
                <w:lang w:eastAsia="nl-BE"/>
              </w:rPr>
            </w:pPr>
          </w:p>
        </w:tc>
      </w:tr>
      <w:tr w:rsidR="000B0B09" w:rsidRPr="00E07C9A" w14:paraId="067ADFA6" w14:textId="77777777" w:rsidTr="00672D2A">
        <w:tc>
          <w:tcPr>
            <w:tcW w:w="993" w:type="dxa"/>
          </w:tcPr>
          <w:p w14:paraId="751E50AF" w14:textId="77777777" w:rsidR="000B0B09" w:rsidRPr="00E07C9A" w:rsidRDefault="002F79EA"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0080</w:t>
            </w:r>
          </w:p>
        </w:tc>
        <w:tc>
          <w:tcPr>
            <w:tcW w:w="7869" w:type="dxa"/>
          </w:tcPr>
          <w:p w14:paraId="270A52C5" w14:textId="77777777" w:rsidR="000B0B09" w:rsidRPr="00E07C9A" w:rsidRDefault="000B0B09" w:rsidP="000B0B09">
            <w:pPr>
              <w:autoSpaceDE w:val="0"/>
              <w:autoSpaceDN w:val="0"/>
              <w:adjustRightInd w:val="0"/>
              <w:spacing w:before="0" w:after="0"/>
              <w:rPr>
                <w:rFonts w:ascii="Times New Roman" w:hAnsi="Times New Roman"/>
                <w:b/>
                <w:bCs/>
                <w:sz w:val="24"/>
                <w:u w:val="single"/>
              </w:rPr>
            </w:pPr>
            <w:r w:rsidRPr="00E07C9A">
              <w:rPr>
                <w:rFonts w:ascii="Times New Roman" w:hAnsi="Times New Roman"/>
                <w:b/>
                <w:sz w:val="24"/>
                <w:u w:val="single"/>
              </w:rPr>
              <w:t>Najnovšia hodnota</w:t>
            </w:r>
          </w:p>
          <w:p w14:paraId="52161985" w14:textId="77777777" w:rsidR="000B0B09" w:rsidRPr="00E07C9A" w:rsidRDefault="000B0B09" w:rsidP="000B0B09">
            <w:pPr>
              <w:autoSpaceDE w:val="0"/>
              <w:autoSpaceDN w:val="0"/>
              <w:adjustRightInd w:val="0"/>
              <w:spacing w:before="0" w:after="0"/>
              <w:rPr>
                <w:rFonts w:ascii="Times New Roman" w:hAnsi="Times New Roman"/>
                <w:b/>
                <w:bCs/>
                <w:sz w:val="24"/>
                <w:u w:val="single"/>
                <w:lang w:eastAsia="nl-BE"/>
              </w:rPr>
            </w:pPr>
          </w:p>
          <w:p w14:paraId="34DDE7DF" w14:textId="318F7ED7" w:rsidR="000B0B09" w:rsidRPr="00E07C9A" w:rsidRDefault="00705025"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Článok 364 ods. 2 písm. b) bod i)</w:t>
            </w:r>
            <w:r w:rsidR="009912F8" w:rsidRPr="00E07C9A">
              <w:rPr>
                <w:rFonts w:ascii="Times New Roman" w:hAnsi="Times New Roman"/>
                <w:sz w:val="24"/>
              </w:rPr>
              <w:t xml:space="preserve"> v </w:t>
            </w:r>
            <w:r w:rsidRPr="00E07C9A">
              <w:rPr>
                <w:rFonts w:ascii="Times New Roman" w:hAnsi="Times New Roman"/>
                <w:sz w:val="24"/>
              </w:rPr>
              <w:t>spojení</w:t>
            </w:r>
            <w:r w:rsidR="009912F8" w:rsidRPr="00E07C9A">
              <w:rPr>
                <w:rFonts w:ascii="Times New Roman" w:hAnsi="Times New Roman"/>
                <w:sz w:val="24"/>
              </w:rPr>
              <w:t xml:space="preserve"> s </w:t>
            </w:r>
            <w:r w:rsidRPr="00E07C9A">
              <w:rPr>
                <w:rFonts w:ascii="Times New Roman" w:hAnsi="Times New Roman"/>
                <w:sz w:val="24"/>
              </w:rPr>
              <w:t xml:space="preserve">treťou časťou hlavou IV kapitolou 5 oddielom 4 nariadenia (EÚ) </w:t>
            </w:r>
            <w:r w:rsidR="009912F8" w:rsidRPr="00E07C9A">
              <w:rPr>
                <w:rFonts w:ascii="Times New Roman" w:hAnsi="Times New Roman"/>
                <w:sz w:val="24"/>
              </w:rPr>
              <w:t>č. 575/2013</w:t>
            </w:r>
          </w:p>
          <w:p w14:paraId="401526B6" w14:textId="77777777" w:rsidR="000B0B09" w:rsidRPr="00E07C9A"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E07C9A" w14:paraId="1F8D773E" w14:textId="77777777" w:rsidTr="00672D2A">
        <w:tc>
          <w:tcPr>
            <w:tcW w:w="993" w:type="dxa"/>
          </w:tcPr>
          <w:p w14:paraId="32E29A61" w14:textId="77777777" w:rsidR="000B0B09" w:rsidRPr="00E07C9A" w:rsidRDefault="002F79EA"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0090 – 0110</w:t>
            </w:r>
          </w:p>
        </w:tc>
        <w:tc>
          <w:tcPr>
            <w:tcW w:w="7869" w:type="dxa"/>
          </w:tcPr>
          <w:p w14:paraId="3A49421F" w14:textId="77777777" w:rsidR="000B0B09" w:rsidRPr="00E07C9A" w:rsidRDefault="000B0B09" w:rsidP="000B0B09">
            <w:pPr>
              <w:autoSpaceDE w:val="0"/>
              <w:autoSpaceDN w:val="0"/>
              <w:adjustRightInd w:val="0"/>
              <w:spacing w:before="0" w:after="0"/>
              <w:rPr>
                <w:rFonts w:ascii="Times New Roman" w:hAnsi="Times New Roman"/>
                <w:b/>
                <w:bCs/>
                <w:sz w:val="24"/>
                <w:u w:val="single"/>
              </w:rPr>
            </w:pPr>
            <w:r w:rsidRPr="00E07C9A">
              <w:rPr>
                <w:rFonts w:ascii="Times New Roman" w:hAnsi="Times New Roman"/>
                <w:b/>
                <w:sz w:val="24"/>
                <w:u w:val="single"/>
              </w:rPr>
              <w:t>KAPITÁLOVÁ POŽIADAVKA NA KRYTIE VŠETKÝCH CENOVÝCH RIZÍK PRE KORELAČNÉ OBCHODNÉ PORTFÓLIO</w:t>
            </w:r>
          </w:p>
          <w:p w14:paraId="277A72A9" w14:textId="77777777" w:rsidR="000B0B09" w:rsidRPr="00E07C9A"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E07C9A" w14:paraId="62170B3A" w14:textId="77777777" w:rsidTr="00672D2A">
        <w:tc>
          <w:tcPr>
            <w:tcW w:w="993" w:type="dxa"/>
          </w:tcPr>
          <w:p w14:paraId="112441B2" w14:textId="77777777" w:rsidR="000B0B09" w:rsidRPr="00E07C9A" w:rsidRDefault="002F79EA"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0090</w:t>
            </w:r>
          </w:p>
        </w:tc>
        <w:tc>
          <w:tcPr>
            <w:tcW w:w="7869" w:type="dxa"/>
          </w:tcPr>
          <w:p w14:paraId="36F8F7AC" w14:textId="77777777" w:rsidR="000B0B09" w:rsidRPr="00E07C9A" w:rsidRDefault="000B0B09" w:rsidP="000B0B09">
            <w:pPr>
              <w:autoSpaceDE w:val="0"/>
              <w:autoSpaceDN w:val="0"/>
              <w:adjustRightInd w:val="0"/>
              <w:spacing w:before="0" w:after="0"/>
              <w:rPr>
                <w:rFonts w:ascii="Times New Roman" w:hAnsi="Times New Roman"/>
                <w:b/>
                <w:bCs/>
                <w:sz w:val="24"/>
                <w:u w:val="single"/>
              </w:rPr>
            </w:pPr>
            <w:r w:rsidRPr="00E07C9A">
              <w:rPr>
                <w:rFonts w:ascii="Times New Roman" w:hAnsi="Times New Roman"/>
                <w:b/>
                <w:sz w:val="24"/>
                <w:u w:val="single"/>
              </w:rPr>
              <w:t>DOLNÉ OHRANIČENIE</w:t>
            </w:r>
          </w:p>
          <w:p w14:paraId="08424932" w14:textId="06C63097" w:rsidR="000B0B09" w:rsidRPr="00E07C9A" w:rsidRDefault="000B0B09" w:rsidP="000B0B09">
            <w:pPr>
              <w:rPr>
                <w:rFonts w:ascii="Times New Roman" w:hAnsi="Times New Roman"/>
                <w:sz w:val="24"/>
              </w:rPr>
            </w:pPr>
            <w:r w:rsidRPr="00E07C9A">
              <w:rPr>
                <w:rFonts w:ascii="Times New Roman" w:hAnsi="Times New Roman"/>
                <w:sz w:val="24"/>
              </w:rPr>
              <w:t xml:space="preserve">Článok 364 ods. 3 písm. c) nariadenia (EÚ) </w:t>
            </w:r>
            <w:r w:rsidR="009912F8" w:rsidRPr="00E07C9A">
              <w:rPr>
                <w:rFonts w:ascii="Times New Roman" w:hAnsi="Times New Roman"/>
                <w:sz w:val="24"/>
              </w:rPr>
              <w:t>č. 575/2013</w:t>
            </w:r>
          </w:p>
          <w:p w14:paraId="13343C2F" w14:textId="28618354" w:rsidR="009912F8" w:rsidRPr="00E07C9A" w:rsidRDefault="000B0B09"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8</w:t>
            </w:r>
            <w:r w:rsidR="009912F8" w:rsidRPr="00E07C9A">
              <w:rPr>
                <w:rFonts w:ascii="Times New Roman" w:hAnsi="Times New Roman"/>
                <w:sz w:val="24"/>
              </w:rPr>
              <w:t> % z </w:t>
            </w:r>
            <w:r w:rsidRPr="00E07C9A">
              <w:rPr>
                <w:rFonts w:ascii="Times New Roman" w:hAnsi="Times New Roman"/>
                <w:sz w:val="24"/>
              </w:rPr>
              <w:t xml:space="preserve">kapitálovej požiadavky, ktorá by sa vypočítala podľa článku 338 ods. 1 nariadenia (EÚ) </w:t>
            </w:r>
            <w:r w:rsidR="009912F8" w:rsidRPr="00E07C9A">
              <w:rPr>
                <w:rFonts w:ascii="Times New Roman" w:hAnsi="Times New Roman"/>
                <w:sz w:val="24"/>
              </w:rPr>
              <w:t>č. 575/2013</w:t>
            </w:r>
            <w:r w:rsidRPr="00E07C9A">
              <w:rPr>
                <w:rFonts w:ascii="Times New Roman" w:hAnsi="Times New Roman"/>
                <w:sz w:val="24"/>
              </w:rPr>
              <w:t xml:space="preserve"> pre všetky pozície</w:t>
            </w:r>
            <w:r w:rsidR="009912F8" w:rsidRPr="00E07C9A">
              <w:rPr>
                <w:rFonts w:ascii="Times New Roman" w:hAnsi="Times New Roman"/>
                <w:sz w:val="24"/>
              </w:rPr>
              <w:t xml:space="preserve"> v </w:t>
            </w:r>
            <w:r w:rsidRPr="00E07C9A">
              <w:rPr>
                <w:rFonts w:ascii="Times New Roman" w:hAnsi="Times New Roman"/>
                <w:sz w:val="24"/>
              </w:rPr>
              <w:t>kapitálovej požiadavke pre „všetky cenové riziká“</w:t>
            </w:r>
            <w:r w:rsidR="009912F8" w:rsidRPr="00E07C9A">
              <w:rPr>
                <w:rFonts w:ascii="Times New Roman" w:hAnsi="Times New Roman"/>
                <w:sz w:val="24"/>
              </w:rPr>
              <w:t>.</w:t>
            </w:r>
          </w:p>
          <w:p w14:paraId="52B76E80" w14:textId="3605AFC0" w:rsidR="000B0B09" w:rsidRPr="00E07C9A"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E07C9A" w14:paraId="2A444375" w14:textId="77777777" w:rsidTr="00672D2A">
        <w:tc>
          <w:tcPr>
            <w:tcW w:w="993" w:type="dxa"/>
          </w:tcPr>
          <w:p w14:paraId="29168B09" w14:textId="77777777" w:rsidR="000B0B09" w:rsidRPr="00E07C9A" w:rsidRDefault="002F79EA"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0100 – 0110</w:t>
            </w:r>
          </w:p>
        </w:tc>
        <w:tc>
          <w:tcPr>
            <w:tcW w:w="7869" w:type="dxa"/>
          </w:tcPr>
          <w:p w14:paraId="60E09F60" w14:textId="77777777" w:rsidR="000B0B09" w:rsidRPr="00E07C9A" w:rsidRDefault="000B0B09" w:rsidP="000B0B09">
            <w:pPr>
              <w:autoSpaceDE w:val="0"/>
              <w:autoSpaceDN w:val="0"/>
              <w:adjustRightInd w:val="0"/>
              <w:spacing w:before="0" w:after="0"/>
              <w:rPr>
                <w:rFonts w:ascii="Times New Roman" w:hAnsi="Times New Roman"/>
                <w:b/>
                <w:bCs/>
                <w:sz w:val="24"/>
                <w:u w:val="single"/>
              </w:rPr>
            </w:pPr>
            <w:r w:rsidRPr="00E07C9A">
              <w:rPr>
                <w:rFonts w:ascii="Times New Roman" w:hAnsi="Times New Roman"/>
                <w:b/>
                <w:sz w:val="24"/>
                <w:u w:val="single"/>
              </w:rPr>
              <w:t>PRIEMERNÁ HODNOTA ZA 12 TÝŽDŇOV A NAJNOVŠIA HODNOTA</w:t>
            </w:r>
          </w:p>
          <w:p w14:paraId="244F0E2D" w14:textId="2722980C" w:rsidR="000B0B09" w:rsidRPr="00E07C9A" w:rsidRDefault="00587E96" w:rsidP="0016282F">
            <w:pPr>
              <w:autoSpaceDE w:val="0"/>
              <w:autoSpaceDN w:val="0"/>
              <w:adjustRightInd w:val="0"/>
              <w:spacing w:after="0"/>
              <w:rPr>
                <w:rFonts w:ascii="Times New Roman" w:hAnsi="Times New Roman"/>
                <w:bCs/>
                <w:sz w:val="24"/>
              </w:rPr>
            </w:pPr>
            <w:r w:rsidRPr="00E07C9A">
              <w:rPr>
                <w:rFonts w:ascii="Times New Roman" w:hAnsi="Times New Roman"/>
                <w:sz w:val="24"/>
              </w:rPr>
              <w:t xml:space="preserve">Článok 364 ods. 3 písm. b) nariadenia (EÚ) </w:t>
            </w:r>
            <w:r w:rsidR="009912F8" w:rsidRPr="00E07C9A">
              <w:rPr>
                <w:rFonts w:ascii="Times New Roman" w:hAnsi="Times New Roman"/>
                <w:sz w:val="24"/>
              </w:rPr>
              <w:t>č. 575/2013</w:t>
            </w:r>
          </w:p>
          <w:p w14:paraId="07DFA832" w14:textId="4544A338" w:rsidR="000B0B09" w:rsidRPr="00E07C9A" w:rsidRDefault="000B0B09" w:rsidP="000B0B09">
            <w:pPr>
              <w:autoSpaceDE w:val="0"/>
              <w:autoSpaceDN w:val="0"/>
              <w:adjustRightInd w:val="0"/>
              <w:spacing w:before="0" w:after="0"/>
              <w:rPr>
                <w:rFonts w:ascii="Times New Roman" w:hAnsi="Times New Roman"/>
                <w:bCs/>
                <w:sz w:val="24"/>
                <w:u w:val="single"/>
                <w:lang w:eastAsia="nl-BE"/>
              </w:rPr>
            </w:pPr>
          </w:p>
        </w:tc>
      </w:tr>
      <w:tr w:rsidR="000B0B09" w:rsidRPr="00E07C9A" w14:paraId="76A5FE93" w14:textId="77777777" w:rsidTr="00672D2A">
        <w:tc>
          <w:tcPr>
            <w:tcW w:w="993" w:type="dxa"/>
          </w:tcPr>
          <w:p w14:paraId="17DCA950" w14:textId="77777777" w:rsidR="000B0B09" w:rsidRPr="00E07C9A" w:rsidRDefault="002F79EA"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0110</w:t>
            </w:r>
          </w:p>
        </w:tc>
        <w:tc>
          <w:tcPr>
            <w:tcW w:w="7869" w:type="dxa"/>
          </w:tcPr>
          <w:p w14:paraId="07581252" w14:textId="77777777" w:rsidR="000B0B09" w:rsidRPr="00E07C9A" w:rsidRDefault="000B0B09" w:rsidP="0016282F">
            <w:pPr>
              <w:autoSpaceDE w:val="0"/>
              <w:autoSpaceDN w:val="0"/>
              <w:adjustRightInd w:val="0"/>
              <w:spacing w:before="0"/>
              <w:rPr>
                <w:rFonts w:ascii="Times New Roman" w:hAnsi="Times New Roman"/>
                <w:b/>
                <w:bCs/>
                <w:sz w:val="24"/>
                <w:u w:val="single"/>
              </w:rPr>
            </w:pPr>
            <w:r w:rsidRPr="00E07C9A">
              <w:rPr>
                <w:rFonts w:ascii="Times New Roman" w:hAnsi="Times New Roman"/>
                <w:b/>
                <w:sz w:val="24"/>
                <w:u w:val="single"/>
              </w:rPr>
              <w:t>NAJNOVŠIA HODNOTA</w:t>
            </w:r>
          </w:p>
          <w:p w14:paraId="58C3865D" w14:textId="43BA9242" w:rsidR="005C14B0" w:rsidRPr="00E07C9A" w:rsidRDefault="00587E96" w:rsidP="000B0B09">
            <w:pPr>
              <w:autoSpaceDE w:val="0"/>
              <w:autoSpaceDN w:val="0"/>
              <w:adjustRightInd w:val="0"/>
              <w:spacing w:before="0" w:after="0"/>
              <w:rPr>
                <w:rFonts w:ascii="Times New Roman" w:hAnsi="Times New Roman"/>
                <w:bCs/>
                <w:sz w:val="24"/>
              </w:rPr>
            </w:pPr>
            <w:r w:rsidRPr="00E07C9A">
              <w:rPr>
                <w:rFonts w:ascii="Times New Roman" w:hAnsi="Times New Roman"/>
                <w:sz w:val="24"/>
              </w:rPr>
              <w:t xml:space="preserve">Článok 364 ods. 3 písm. a) nariadenia (EÚ) </w:t>
            </w:r>
            <w:r w:rsidR="009912F8" w:rsidRPr="00E07C9A">
              <w:rPr>
                <w:rFonts w:ascii="Times New Roman" w:hAnsi="Times New Roman"/>
                <w:sz w:val="24"/>
              </w:rPr>
              <w:t>č. 575/2013</w:t>
            </w:r>
          </w:p>
          <w:p w14:paraId="60068EED" w14:textId="77777777" w:rsidR="000B0B09" w:rsidRPr="00E07C9A"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E07C9A" w14:paraId="662D7C08" w14:textId="77777777" w:rsidTr="00672D2A">
        <w:tc>
          <w:tcPr>
            <w:tcW w:w="993" w:type="dxa"/>
          </w:tcPr>
          <w:p w14:paraId="59243D7E" w14:textId="77777777" w:rsidR="000B0B09" w:rsidRPr="00E07C9A" w:rsidRDefault="002F79EA"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0120</w:t>
            </w:r>
          </w:p>
        </w:tc>
        <w:tc>
          <w:tcPr>
            <w:tcW w:w="7869" w:type="dxa"/>
          </w:tcPr>
          <w:p w14:paraId="5E5800C9" w14:textId="77777777" w:rsidR="000B0B09" w:rsidRPr="00E07C9A" w:rsidRDefault="000B0B09" w:rsidP="000B0B09">
            <w:pPr>
              <w:autoSpaceDE w:val="0"/>
              <w:autoSpaceDN w:val="0"/>
              <w:adjustRightInd w:val="0"/>
              <w:spacing w:before="0" w:after="0"/>
              <w:rPr>
                <w:rFonts w:ascii="Times New Roman" w:hAnsi="Times New Roman"/>
                <w:b/>
                <w:bCs/>
                <w:sz w:val="24"/>
                <w:u w:val="single"/>
              </w:rPr>
            </w:pPr>
            <w:r w:rsidRPr="00E07C9A">
              <w:rPr>
                <w:rFonts w:ascii="Times New Roman" w:hAnsi="Times New Roman"/>
                <w:b/>
                <w:sz w:val="24"/>
                <w:u w:val="single"/>
              </w:rPr>
              <w:t>POŽIADAVKY NA VLASTNÉ ZDROJE</w:t>
            </w:r>
          </w:p>
          <w:p w14:paraId="7122FC14" w14:textId="448ADF54" w:rsidR="000B0B09" w:rsidRPr="00E07C9A" w:rsidRDefault="00BE0363" w:rsidP="0016282F">
            <w:pPr>
              <w:autoSpaceDE w:val="0"/>
              <w:autoSpaceDN w:val="0"/>
              <w:adjustRightInd w:val="0"/>
              <w:rPr>
                <w:rFonts w:ascii="Times New Roman" w:hAnsi="Times New Roman"/>
                <w:b/>
                <w:bCs/>
                <w:sz w:val="24"/>
                <w:u w:val="single"/>
              </w:rPr>
            </w:pPr>
            <w:r w:rsidRPr="00E07C9A">
              <w:rPr>
                <w:rFonts w:ascii="Times New Roman" w:hAnsi="Times New Roman"/>
                <w:sz w:val="24"/>
              </w:rPr>
              <w:t>Požiadavky na vlastné zdroje uvedené</w:t>
            </w:r>
            <w:r w:rsidR="009912F8" w:rsidRPr="00E07C9A">
              <w:rPr>
                <w:rFonts w:ascii="Times New Roman" w:hAnsi="Times New Roman"/>
                <w:sz w:val="24"/>
              </w:rPr>
              <w:t xml:space="preserve"> v </w:t>
            </w:r>
            <w:r w:rsidRPr="00E07C9A">
              <w:rPr>
                <w:rFonts w:ascii="Times New Roman" w:hAnsi="Times New Roman"/>
                <w:sz w:val="24"/>
              </w:rPr>
              <w:t xml:space="preserve">článku 364 nariadenia (EÚ) </w:t>
            </w:r>
            <w:r w:rsidR="009912F8" w:rsidRPr="00E07C9A">
              <w:rPr>
                <w:rFonts w:ascii="Times New Roman" w:hAnsi="Times New Roman"/>
                <w:sz w:val="24"/>
              </w:rPr>
              <w:t>č. 575/2013</w:t>
            </w:r>
            <w:r w:rsidRPr="00E07C9A">
              <w:rPr>
                <w:rFonts w:ascii="Times New Roman" w:hAnsi="Times New Roman"/>
                <w:sz w:val="24"/>
              </w:rPr>
              <w:t xml:space="preserve"> pre všetky rizikové faktory so zohľadnením účinkov korelácie, ak sú uplatniteľné, inkrementálneho rizika zlyhania, rizika migrácie</w:t>
            </w:r>
            <w:r w:rsidR="009912F8" w:rsidRPr="00E07C9A">
              <w:rPr>
                <w:rFonts w:ascii="Times New Roman" w:hAnsi="Times New Roman"/>
                <w:sz w:val="24"/>
              </w:rPr>
              <w:t xml:space="preserve"> a </w:t>
            </w:r>
            <w:r w:rsidRPr="00E07C9A">
              <w:rPr>
                <w:rFonts w:ascii="Times New Roman" w:hAnsi="Times New Roman"/>
                <w:sz w:val="24"/>
              </w:rPr>
              <w:t>všetkých cien rizík pre korelačné obchodné portfólio, ale bez kapitálových požiadaviek pre sekuritizácie</w:t>
            </w:r>
            <w:r w:rsidR="009912F8" w:rsidRPr="00E07C9A">
              <w:rPr>
                <w:rFonts w:ascii="Times New Roman" w:hAnsi="Times New Roman"/>
                <w:sz w:val="24"/>
              </w:rPr>
              <w:t xml:space="preserve"> a </w:t>
            </w:r>
            <w:r w:rsidRPr="00E07C9A">
              <w:rPr>
                <w:rFonts w:ascii="Times New Roman" w:hAnsi="Times New Roman"/>
                <w:sz w:val="24"/>
              </w:rPr>
              <w:t xml:space="preserve">kreditné deriváty pre n-té zlyhanie podľa článku 364 ods. 2 nariadenia (EÚ) </w:t>
            </w:r>
            <w:r w:rsidR="009912F8" w:rsidRPr="00E07C9A">
              <w:rPr>
                <w:rFonts w:ascii="Times New Roman" w:hAnsi="Times New Roman"/>
                <w:sz w:val="24"/>
              </w:rPr>
              <w:t>č. 575/2013</w:t>
            </w:r>
            <w:r w:rsidRPr="00E07C9A">
              <w:rPr>
                <w:rFonts w:ascii="Times New Roman" w:hAnsi="Times New Roman"/>
                <w:sz w:val="24"/>
              </w:rPr>
              <w:t xml:space="preserve">. </w:t>
            </w:r>
          </w:p>
        </w:tc>
      </w:tr>
      <w:tr w:rsidR="000B0B09" w:rsidRPr="00E07C9A" w14:paraId="52312031" w14:textId="77777777" w:rsidTr="00672D2A">
        <w:tc>
          <w:tcPr>
            <w:tcW w:w="993" w:type="dxa"/>
          </w:tcPr>
          <w:p w14:paraId="79FC26FA" w14:textId="77777777" w:rsidR="000B0B09" w:rsidRPr="00E07C9A" w:rsidRDefault="002F79EA"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0130</w:t>
            </w:r>
          </w:p>
        </w:tc>
        <w:tc>
          <w:tcPr>
            <w:tcW w:w="7869" w:type="dxa"/>
          </w:tcPr>
          <w:p w14:paraId="5970507C" w14:textId="77777777" w:rsidR="000B0B09" w:rsidRPr="00E07C9A" w:rsidRDefault="000B0B09" w:rsidP="000B0B09">
            <w:pPr>
              <w:autoSpaceDE w:val="0"/>
              <w:autoSpaceDN w:val="0"/>
              <w:adjustRightInd w:val="0"/>
              <w:spacing w:before="0" w:after="0"/>
              <w:rPr>
                <w:rFonts w:ascii="Times New Roman" w:hAnsi="Times New Roman"/>
                <w:b/>
                <w:bCs/>
                <w:sz w:val="24"/>
                <w:u w:val="single"/>
              </w:rPr>
            </w:pPr>
            <w:r w:rsidRPr="00E07C9A">
              <w:rPr>
                <w:rFonts w:ascii="Times New Roman" w:hAnsi="Times New Roman"/>
                <w:b/>
                <w:sz w:val="24"/>
                <w:u w:val="single"/>
              </w:rPr>
              <w:t>CELKOVÁ HODNOTA RIZIKOVEJ EXPOZÍCIE</w:t>
            </w:r>
          </w:p>
          <w:p w14:paraId="44CC9511" w14:textId="77777777" w:rsidR="000B0B09" w:rsidRPr="00E07C9A" w:rsidRDefault="000B0B09" w:rsidP="000B0B09">
            <w:pPr>
              <w:autoSpaceDE w:val="0"/>
              <w:autoSpaceDN w:val="0"/>
              <w:adjustRightInd w:val="0"/>
              <w:spacing w:before="0" w:after="0"/>
              <w:rPr>
                <w:rFonts w:ascii="Times New Roman" w:hAnsi="Times New Roman"/>
                <w:b/>
                <w:bCs/>
                <w:sz w:val="24"/>
                <w:u w:val="single"/>
                <w:lang w:eastAsia="nl-BE"/>
              </w:rPr>
            </w:pPr>
          </w:p>
          <w:p w14:paraId="07316DFC" w14:textId="7156CABB" w:rsidR="009912F8" w:rsidRPr="00E07C9A" w:rsidRDefault="000B0B09"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 xml:space="preserve">Článok 92 ods. 4 písm. b) nariadenia (EÚ) </w:t>
            </w:r>
            <w:r w:rsidR="009912F8" w:rsidRPr="00E07C9A">
              <w:rPr>
                <w:rFonts w:ascii="Times New Roman" w:hAnsi="Times New Roman"/>
                <w:sz w:val="24"/>
              </w:rPr>
              <w:t>č. 575/2013</w:t>
            </w:r>
          </w:p>
          <w:p w14:paraId="6FD933BD" w14:textId="6E31CA79" w:rsidR="000B0B09" w:rsidRPr="00E07C9A" w:rsidRDefault="000B0B09"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Výsledok vynásobenia požiadaviek na vlastné zdroje koeficientom 12,5.</w:t>
            </w:r>
          </w:p>
          <w:p w14:paraId="7AA2CA20" w14:textId="77777777" w:rsidR="000B0B09" w:rsidRPr="00E07C9A"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E07C9A" w14:paraId="1A9058AB" w14:textId="77777777" w:rsidTr="00672D2A">
        <w:tc>
          <w:tcPr>
            <w:tcW w:w="993" w:type="dxa"/>
          </w:tcPr>
          <w:p w14:paraId="41ACC74D" w14:textId="77777777" w:rsidR="000B0B09" w:rsidRPr="00E07C9A" w:rsidRDefault="002F79EA"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0140</w:t>
            </w:r>
          </w:p>
        </w:tc>
        <w:tc>
          <w:tcPr>
            <w:tcW w:w="7869" w:type="dxa"/>
          </w:tcPr>
          <w:p w14:paraId="1C66A419" w14:textId="77777777" w:rsidR="000B0B09" w:rsidRPr="00E07C9A" w:rsidRDefault="000B0B09" w:rsidP="0016282F">
            <w:pPr>
              <w:autoSpaceDE w:val="0"/>
              <w:autoSpaceDN w:val="0"/>
              <w:adjustRightInd w:val="0"/>
              <w:spacing w:before="0"/>
              <w:rPr>
                <w:rFonts w:ascii="Times New Roman" w:hAnsi="Times New Roman"/>
                <w:b/>
                <w:bCs/>
                <w:sz w:val="24"/>
                <w:u w:val="single"/>
              </w:rPr>
            </w:pPr>
            <w:r w:rsidRPr="00E07C9A">
              <w:rPr>
                <w:rFonts w:ascii="Times New Roman" w:hAnsi="Times New Roman"/>
                <w:b/>
                <w:sz w:val="24"/>
                <w:u w:val="single"/>
              </w:rPr>
              <w:t>Počet prekročení (počas predchádzajúcich 250 pracovných dní)</w:t>
            </w:r>
          </w:p>
          <w:p w14:paraId="28B225BB" w14:textId="52F93CEE" w:rsidR="00A92CFF" w:rsidRPr="00E07C9A" w:rsidRDefault="000B0B09" w:rsidP="0016282F">
            <w:pPr>
              <w:autoSpaceDE w:val="0"/>
              <w:autoSpaceDN w:val="0"/>
              <w:adjustRightInd w:val="0"/>
              <w:spacing w:before="0"/>
              <w:rPr>
                <w:rFonts w:ascii="Times New Roman" w:hAnsi="Times New Roman"/>
                <w:sz w:val="24"/>
              </w:rPr>
            </w:pPr>
            <w:r w:rsidRPr="00E07C9A">
              <w:rPr>
                <w:rFonts w:ascii="Times New Roman" w:hAnsi="Times New Roman"/>
                <w:sz w:val="24"/>
              </w:rPr>
              <w:t>Ako sa uvádza</w:t>
            </w:r>
            <w:r w:rsidR="009912F8" w:rsidRPr="00E07C9A">
              <w:rPr>
                <w:rFonts w:ascii="Times New Roman" w:hAnsi="Times New Roman"/>
                <w:sz w:val="24"/>
              </w:rPr>
              <w:t xml:space="preserve"> v </w:t>
            </w:r>
            <w:r w:rsidRPr="00E07C9A">
              <w:rPr>
                <w:rFonts w:ascii="Times New Roman" w:hAnsi="Times New Roman"/>
                <w:sz w:val="24"/>
              </w:rPr>
              <w:t xml:space="preserve">článku 366 nariadenia (EÚ) </w:t>
            </w:r>
            <w:r w:rsidR="009912F8" w:rsidRPr="00E07C9A">
              <w:rPr>
                <w:rFonts w:ascii="Times New Roman" w:hAnsi="Times New Roman"/>
                <w:sz w:val="24"/>
              </w:rPr>
              <w:t>č. 575/2013</w:t>
            </w:r>
            <w:r w:rsidRPr="00E07C9A">
              <w:rPr>
                <w:rFonts w:ascii="Times New Roman" w:hAnsi="Times New Roman"/>
                <w:sz w:val="24"/>
              </w:rPr>
              <w:t>.</w:t>
            </w:r>
          </w:p>
          <w:p w14:paraId="555E37D2" w14:textId="1CF5ACFF" w:rsidR="000B0B09" w:rsidRPr="00E07C9A" w:rsidRDefault="00A92CFF" w:rsidP="0016282F">
            <w:pPr>
              <w:autoSpaceDE w:val="0"/>
              <w:autoSpaceDN w:val="0"/>
              <w:adjustRightInd w:val="0"/>
              <w:spacing w:before="0"/>
              <w:rPr>
                <w:rFonts w:ascii="Times New Roman" w:hAnsi="Times New Roman"/>
                <w:b/>
                <w:bCs/>
                <w:sz w:val="24"/>
                <w:u w:val="single"/>
              </w:rPr>
            </w:pPr>
            <w:r w:rsidRPr="00E07C9A">
              <w:rPr>
                <w:rFonts w:ascii="Times New Roman" w:hAnsi="Times New Roman"/>
                <w:sz w:val="24"/>
              </w:rPr>
              <w:t>Vykazuje sa počet prekročení, podľa ktorého sa určuje sčítanec. Ak je inštitúciám povolené, aby</w:t>
            </w:r>
            <w:r w:rsidR="009912F8" w:rsidRPr="00E07C9A">
              <w:rPr>
                <w:rFonts w:ascii="Times New Roman" w:hAnsi="Times New Roman"/>
                <w:sz w:val="24"/>
              </w:rPr>
              <w:t xml:space="preserve"> z </w:t>
            </w:r>
            <w:r w:rsidRPr="00E07C9A">
              <w:rPr>
                <w:rFonts w:ascii="Times New Roman" w:hAnsi="Times New Roman"/>
                <w:sz w:val="24"/>
              </w:rPr>
              <w:t>výpočtu sčítanca vylúčili</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500c nariadenia (EÚ) </w:t>
            </w:r>
            <w:r w:rsidR="009912F8" w:rsidRPr="00E07C9A">
              <w:rPr>
                <w:rFonts w:ascii="Times New Roman" w:hAnsi="Times New Roman"/>
                <w:sz w:val="24"/>
              </w:rPr>
              <w:t>č. 575/2013</w:t>
            </w:r>
            <w:r w:rsidRPr="00E07C9A">
              <w:rPr>
                <w:rFonts w:ascii="Times New Roman" w:hAnsi="Times New Roman"/>
                <w:sz w:val="24"/>
              </w:rPr>
              <w:t xml:space="preserve"> určité prekročenia, počet prekročení vykazovaných</w:t>
            </w:r>
            <w:r w:rsidR="009912F8" w:rsidRPr="00E07C9A">
              <w:rPr>
                <w:rFonts w:ascii="Times New Roman" w:hAnsi="Times New Roman"/>
                <w:sz w:val="24"/>
              </w:rPr>
              <w:t xml:space="preserve"> v </w:t>
            </w:r>
            <w:r w:rsidRPr="00E07C9A">
              <w:rPr>
                <w:rFonts w:ascii="Times New Roman" w:hAnsi="Times New Roman"/>
                <w:sz w:val="24"/>
              </w:rPr>
              <w:t>tomto stĺpci musí byť po odpočítaní uvedených vylúčených prekročení.</w:t>
            </w:r>
          </w:p>
        </w:tc>
      </w:tr>
      <w:tr w:rsidR="000B0B09" w:rsidRPr="00E07C9A" w14:paraId="6B35F841" w14:textId="77777777" w:rsidTr="00672D2A">
        <w:tc>
          <w:tcPr>
            <w:tcW w:w="993" w:type="dxa"/>
          </w:tcPr>
          <w:p w14:paraId="2EA668BF" w14:textId="77777777" w:rsidR="000B0B09" w:rsidRPr="00E07C9A" w:rsidRDefault="002F79EA"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0150 –⁠ 0160</w:t>
            </w:r>
          </w:p>
        </w:tc>
        <w:tc>
          <w:tcPr>
            <w:tcW w:w="7869" w:type="dxa"/>
          </w:tcPr>
          <w:p w14:paraId="410D2BF2" w14:textId="69F892C1" w:rsidR="000B0B09" w:rsidRPr="00E07C9A" w:rsidRDefault="000B0B09" w:rsidP="0016282F">
            <w:pPr>
              <w:autoSpaceDE w:val="0"/>
              <w:autoSpaceDN w:val="0"/>
              <w:adjustRightInd w:val="0"/>
              <w:spacing w:before="0"/>
              <w:rPr>
                <w:rFonts w:ascii="Times New Roman" w:hAnsi="Times New Roman"/>
                <w:b/>
                <w:bCs/>
                <w:sz w:val="24"/>
                <w:u w:val="single"/>
              </w:rPr>
            </w:pPr>
            <w:r w:rsidRPr="00E07C9A">
              <w:rPr>
                <w:rFonts w:ascii="Times New Roman" w:hAnsi="Times New Roman"/>
                <w:b/>
                <w:sz w:val="24"/>
                <w:u w:val="single"/>
              </w:rPr>
              <w:t>Multiplikačný koeficient VaR (mc)</w:t>
            </w:r>
            <w:r w:rsidR="009912F8" w:rsidRPr="00E07C9A">
              <w:rPr>
                <w:rFonts w:ascii="Times New Roman" w:hAnsi="Times New Roman"/>
                <w:b/>
                <w:sz w:val="24"/>
                <w:u w:val="single"/>
              </w:rPr>
              <w:t xml:space="preserve"> a </w:t>
            </w:r>
            <w:r w:rsidRPr="00E07C9A">
              <w:rPr>
                <w:rFonts w:ascii="Times New Roman" w:hAnsi="Times New Roman"/>
                <w:b/>
                <w:sz w:val="24"/>
                <w:u w:val="single"/>
              </w:rPr>
              <w:t>multiplikačný koeficient SVaR (ms)</w:t>
            </w:r>
          </w:p>
          <w:p w14:paraId="315BC479" w14:textId="7F373528" w:rsidR="005C14B0" w:rsidRPr="00E07C9A" w:rsidRDefault="000B0B09" w:rsidP="006418A0">
            <w:pPr>
              <w:autoSpaceDE w:val="0"/>
              <w:autoSpaceDN w:val="0"/>
              <w:adjustRightInd w:val="0"/>
              <w:spacing w:before="0"/>
              <w:rPr>
                <w:rFonts w:ascii="Times New Roman" w:hAnsi="Times New Roman"/>
                <w:sz w:val="24"/>
              </w:rPr>
            </w:pPr>
            <w:r w:rsidRPr="00E07C9A">
              <w:rPr>
                <w:rFonts w:ascii="Times New Roman" w:hAnsi="Times New Roman"/>
                <w:sz w:val="24"/>
              </w:rPr>
              <w:t>Ako sa uvádza</w:t>
            </w:r>
            <w:r w:rsidR="009912F8" w:rsidRPr="00E07C9A">
              <w:rPr>
                <w:rFonts w:ascii="Times New Roman" w:hAnsi="Times New Roman"/>
                <w:sz w:val="24"/>
              </w:rPr>
              <w:t xml:space="preserve"> v </w:t>
            </w:r>
            <w:r w:rsidRPr="00E07C9A">
              <w:rPr>
                <w:rFonts w:ascii="Times New Roman" w:hAnsi="Times New Roman"/>
                <w:sz w:val="24"/>
              </w:rPr>
              <w:t xml:space="preserve">článku 366 nariadenia (EÚ) </w:t>
            </w:r>
            <w:r w:rsidR="009912F8" w:rsidRPr="00E07C9A">
              <w:rPr>
                <w:rFonts w:ascii="Times New Roman" w:hAnsi="Times New Roman"/>
                <w:sz w:val="24"/>
              </w:rPr>
              <w:t>č. 575/2013</w:t>
            </w:r>
            <w:r w:rsidRPr="00E07C9A">
              <w:rPr>
                <w:rFonts w:ascii="Times New Roman" w:hAnsi="Times New Roman"/>
                <w:sz w:val="24"/>
              </w:rPr>
              <w:t>.</w:t>
            </w:r>
          </w:p>
          <w:p w14:paraId="288D1C77" w14:textId="7187C91D" w:rsidR="00011AFA" w:rsidRPr="00E07C9A" w:rsidRDefault="00011AFA">
            <w:pPr>
              <w:autoSpaceDE w:val="0"/>
              <w:autoSpaceDN w:val="0"/>
              <w:adjustRightInd w:val="0"/>
              <w:spacing w:before="0" w:after="0"/>
              <w:rPr>
                <w:rStyle w:val="InstructionsTabelleberschrift"/>
                <w:rFonts w:ascii="Times New Roman" w:hAnsi="Times New Roman"/>
              </w:rPr>
            </w:pPr>
            <w:r w:rsidRPr="00E07C9A">
              <w:rPr>
                <w:rFonts w:ascii="Times New Roman" w:hAnsi="Times New Roman"/>
                <w:sz w:val="24"/>
              </w:rPr>
              <w:t>Vykazujú sa multiplikačné koeficienty, ktoré sú reálne uplatniteľné na výpočet požiadaviek na vlastné zdroje;</w:t>
            </w:r>
            <w:r w:rsidR="009912F8" w:rsidRPr="00E07C9A">
              <w:rPr>
                <w:rFonts w:ascii="Times New Roman" w:hAnsi="Times New Roman"/>
                <w:sz w:val="24"/>
              </w:rPr>
              <w:t xml:space="preserve"> v </w:t>
            </w:r>
            <w:r w:rsidRPr="00E07C9A">
              <w:rPr>
                <w:rFonts w:ascii="Times New Roman" w:hAnsi="Times New Roman"/>
                <w:sz w:val="24"/>
              </w:rPr>
              <w:t xml:space="preserve">náležitých prípadoch po uplatnení článku 500c nariadenia (EÚ) </w:t>
            </w:r>
            <w:r w:rsidR="009912F8" w:rsidRPr="00E07C9A">
              <w:rPr>
                <w:rFonts w:ascii="Times New Roman" w:hAnsi="Times New Roman"/>
                <w:sz w:val="24"/>
              </w:rPr>
              <w:t>č. 575/2013</w:t>
            </w:r>
            <w:r w:rsidRPr="00E07C9A">
              <w:rPr>
                <w:rFonts w:ascii="Times New Roman" w:hAnsi="Times New Roman"/>
                <w:sz w:val="24"/>
              </w:rPr>
              <w:t>.</w:t>
            </w:r>
          </w:p>
          <w:p w14:paraId="4889D826" w14:textId="77777777" w:rsidR="000B0B09" w:rsidRPr="00E07C9A" w:rsidRDefault="000B0B09">
            <w:pPr>
              <w:autoSpaceDE w:val="0"/>
              <w:autoSpaceDN w:val="0"/>
              <w:adjustRightInd w:val="0"/>
              <w:spacing w:before="0" w:after="0"/>
              <w:rPr>
                <w:rFonts w:ascii="Times New Roman" w:hAnsi="Times New Roman"/>
                <w:b/>
                <w:bCs/>
                <w:sz w:val="24"/>
                <w:u w:val="single"/>
                <w:lang w:eastAsia="fr-FR"/>
              </w:rPr>
            </w:pPr>
          </w:p>
        </w:tc>
      </w:tr>
      <w:tr w:rsidR="000B0B09" w:rsidRPr="00E07C9A" w14:paraId="0F119F1A" w14:textId="77777777" w:rsidTr="00672D2A">
        <w:tc>
          <w:tcPr>
            <w:tcW w:w="993" w:type="dxa"/>
          </w:tcPr>
          <w:p w14:paraId="1081B646" w14:textId="77777777" w:rsidR="000B0B09" w:rsidRPr="00E07C9A" w:rsidRDefault="002F79EA" w:rsidP="00B74792">
            <w:pPr>
              <w:autoSpaceDE w:val="0"/>
              <w:autoSpaceDN w:val="0"/>
              <w:adjustRightInd w:val="0"/>
              <w:spacing w:before="0" w:after="0"/>
              <w:rPr>
                <w:rFonts w:ascii="Times New Roman" w:hAnsi="Times New Roman"/>
                <w:sz w:val="24"/>
              </w:rPr>
            </w:pPr>
            <w:r w:rsidRPr="00E07C9A">
              <w:rPr>
                <w:rFonts w:ascii="Times New Roman" w:hAnsi="Times New Roman"/>
                <w:sz w:val="24"/>
              </w:rPr>
              <w:t>0170 –⁠ 0180</w:t>
            </w:r>
          </w:p>
        </w:tc>
        <w:tc>
          <w:tcPr>
            <w:tcW w:w="7869" w:type="dxa"/>
          </w:tcPr>
          <w:p w14:paraId="5B3A5B31" w14:textId="77777777" w:rsidR="000B0B09" w:rsidRPr="00E07C9A" w:rsidRDefault="000B0B09" w:rsidP="000B0B09">
            <w:pPr>
              <w:autoSpaceDE w:val="0"/>
              <w:autoSpaceDN w:val="0"/>
              <w:adjustRightInd w:val="0"/>
              <w:spacing w:before="0" w:after="0"/>
              <w:rPr>
                <w:rFonts w:ascii="Times New Roman" w:hAnsi="Times New Roman"/>
                <w:b/>
                <w:bCs/>
                <w:sz w:val="24"/>
                <w:u w:val="single"/>
              </w:rPr>
            </w:pPr>
            <w:r w:rsidRPr="00E07C9A">
              <w:rPr>
                <w:rFonts w:ascii="Times New Roman" w:hAnsi="Times New Roman"/>
                <w:b/>
                <w:sz w:val="24"/>
                <w:u w:val="single"/>
              </w:rPr>
              <w:t>PREDPOKLADANÁ POŽIADAVKA NA DOLNÉ OHRANIČENIE KORELAČNÉHO OBCHODNÉHO PORTFÓLIA – VÁŽENÉ ČISTÉ DLHÉ/KRÁTKE POZÍCIE PO HORNOM OHRANIČENÍ</w:t>
            </w:r>
          </w:p>
          <w:p w14:paraId="68C956BE" w14:textId="5C209DA5" w:rsidR="00902EFC" w:rsidRPr="00E07C9A" w:rsidRDefault="000B0B09" w:rsidP="00587E96">
            <w:pPr>
              <w:autoSpaceDE w:val="0"/>
              <w:autoSpaceDN w:val="0"/>
              <w:adjustRightInd w:val="0"/>
              <w:rPr>
                <w:rStyle w:val="InstructionsTabelleberschrift"/>
                <w:rFonts w:ascii="Times New Roman" w:hAnsi="Times New Roman"/>
                <w:sz w:val="24"/>
              </w:rPr>
            </w:pPr>
            <w:r w:rsidRPr="00E07C9A">
              <w:rPr>
                <w:rFonts w:ascii="Times New Roman" w:hAnsi="Times New Roman"/>
                <w:sz w:val="24"/>
              </w:rPr>
              <w:t xml:space="preserve">Vykazovaná hodnota slúžiaca ako základ na výpočet minimálnej kapitálovej požiadavky pre všetky cenové riziká podľa článku 364 ods. 3 písm. c) nariadenia (EÚ) </w:t>
            </w:r>
            <w:r w:rsidR="009912F8" w:rsidRPr="00E07C9A">
              <w:rPr>
                <w:rFonts w:ascii="Times New Roman" w:hAnsi="Times New Roman"/>
                <w:sz w:val="24"/>
              </w:rPr>
              <w:t>č. 575/2013</w:t>
            </w:r>
            <w:r w:rsidRPr="00E07C9A">
              <w:rPr>
                <w:rFonts w:ascii="Times New Roman" w:hAnsi="Times New Roman"/>
                <w:sz w:val="24"/>
              </w:rPr>
              <w:t>, zohľadňujúc možnosť stanovenú</w:t>
            </w:r>
            <w:r w:rsidR="009912F8" w:rsidRPr="00E07C9A">
              <w:rPr>
                <w:rFonts w:ascii="Times New Roman" w:hAnsi="Times New Roman"/>
                <w:sz w:val="24"/>
              </w:rPr>
              <w:t xml:space="preserve"> v </w:t>
            </w:r>
            <w:r w:rsidRPr="00E07C9A">
              <w:rPr>
                <w:rFonts w:ascii="Times New Roman" w:hAnsi="Times New Roman"/>
                <w:sz w:val="24"/>
              </w:rPr>
              <w:t>článku 335 uvedeného nariadenia,</w:t>
            </w:r>
            <w:r w:rsidR="009912F8" w:rsidRPr="00E07C9A">
              <w:rPr>
                <w:rFonts w:ascii="Times New Roman" w:hAnsi="Times New Roman"/>
                <w:sz w:val="24"/>
              </w:rPr>
              <w:t xml:space="preserve"> v </w:t>
            </w:r>
            <w:r w:rsidRPr="00E07C9A">
              <w:rPr>
                <w:rFonts w:ascii="Times New Roman" w:hAnsi="Times New Roman"/>
                <w:sz w:val="24"/>
              </w:rPr>
              <w:t>ktorej sa stanovuje, že inštitúcia môže stanoviť horné ohraničenie súčinu váhy</w:t>
            </w:r>
            <w:r w:rsidR="009912F8" w:rsidRPr="00E07C9A">
              <w:rPr>
                <w:rFonts w:ascii="Times New Roman" w:hAnsi="Times New Roman"/>
                <w:sz w:val="24"/>
              </w:rPr>
              <w:t xml:space="preserve"> a </w:t>
            </w:r>
            <w:r w:rsidRPr="00E07C9A">
              <w:rPr>
                <w:rFonts w:ascii="Times New Roman" w:hAnsi="Times New Roman"/>
                <w:sz w:val="24"/>
              </w:rPr>
              <w:t>čistej pozície vo výške maximálnej možnej straty súvisiacej</w:t>
            </w:r>
            <w:r w:rsidR="009912F8" w:rsidRPr="00E07C9A">
              <w:rPr>
                <w:rFonts w:ascii="Times New Roman" w:hAnsi="Times New Roman"/>
                <w:sz w:val="24"/>
              </w:rPr>
              <w:t xml:space="preserve"> s </w:t>
            </w:r>
            <w:r w:rsidRPr="00E07C9A">
              <w:rPr>
                <w:rFonts w:ascii="Times New Roman" w:hAnsi="Times New Roman"/>
                <w:sz w:val="24"/>
              </w:rPr>
              <w:t xml:space="preserve">rizikom zlyhania. </w:t>
            </w:r>
          </w:p>
        </w:tc>
      </w:tr>
    </w:tbl>
    <w:p w14:paraId="32116763" w14:textId="77777777" w:rsidR="000B0B09" w:rsidRPr="00E07C9A"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B0B09" w:rsidRPr="00E07C9A" w14:paraId="0F7C3E72" w14:textId="77777777" w:rsidTr="00672D2A">
        <w:trPr>
          <w:trHeight w:val="566"/>
        </w:trPr>
        <w:tc>
          <w:tcPr>
            <w:tcW w:w="8896" w:type="dxa"/>
            <w:gridSpan w:val="2"/>
            <w:shd w:val="clear" w:color="auto" w:fill="CCCCCC"/>
          </w:tcPr>
          <w:p w14:paraId="60B80A9E" w14:textId="77777777" w:rsidR="000B0B09" w:rsidRPr="00E07C9A" w:rsidRDefault="000B0B09" w:rsidP="000B0B09">
            <w:pPr>
              <w:autoSpaceDE w:val="0"/>
              <w:autoSpaceDN w:val="0"/>
              <w:adjustRightInd w:val="0"/>
              <w:spacing w:after="0"/>
              <w:rPr>
                <w:rFonts w:ascii="Times New Roman" w:hAnsi="Times New Roman"/>
                <w:b/>
                <w:sz w:val="24"/>
              </w:rPr>
            </w:pPr>
            <w:r w:rsidRPr="00E07C9A">
              <w:rPr>
                <w:rFonts w:ascii="Times New Roman" w:hAnsi="Times New Roman"/>
                <w:b/>
                <w:sz w:val="24"/>
              </w:rPr>
              <w:t>Riadky</w:t>
            </w:r>
          </w:p>
        </w:tc>
      </w:tr>
      <w:tr w:rsidR="000B0B09" w:rsidRPr="00E07C9A" w14:paraId="4DAD8BA6" w14:textId="77777777" w:rsidTr="00672D2A">
        <w:tc>
          <w:tcPr>
            <w:tcW w:w="993" w:type="dxa"/>
          </w:tcPr>
          <w:p w14:paraId="2C74563C" w14:textId="77777777" w:rsidR="000B0B09" w:rsidRPr="00E07C9A" w:rsidRDefault="00787733"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0010</w:t>
            </w:r>
          </w:p>
        </w:tc>
        <w:tc>
          <w:tcPr>
            <w:tcW w:w="7903" w:type="dxa"/>
          </w:tcPr>
          <w:p w14:paraId="061D05D4" w14:textId="77777777" w:rsidR="000B0B09" w:rsidRPr="00E07C9A" w:rsidRDefault="000B0B09" w:rsidP="000B0B09">
            <w:pPr>
              <w:autoSpaceDE w:val="0"/>
              <w:autoSpaceDN w:val="0"/>
              <w:adjustRightInd w:val="0"/>
              <w:spacing w:before="0" w:after="0"/>
              <w:rPr>
                <w:rFonts w:ascii="Times New Roman" w:hAnsi="Times New Roman"/>
                <w:b/>
                <w:bCs/>
                <w:sz w:val="24"/>
                <w:u w:val="single"/>
              </w:rPr>
            </w:pPr>
            <w:r w:rsidRPr="00E07C9A">
              <w:rPr>
                <w:rFonts w:ascii="Times New Roman" w:hAnsi="Times New Roman"/>
                <w:b/>
                <w:sz w:val="24"/>
                <w:u w:val="single"/>
              </w:rPr>
              <w:t>CELKOVÉ POZÍCIE</w:t>
            </w:r>
          </w:p>
          <w:p w14:paraId="22755B2D" w14:textId="77777777" w:rsidR="000B0B09" w:rsidRPr="00E07C9A" w:rsidRDefault="000B0B09" w:rsidP="000B0B09">
            <w:pPr>
              <w:autoSpaceDE w:val="0"/>
              <w:autoSpaceDN w:val="0"/>
              <w:adjustRightInd w:val="0"/>
              <w:spacing w:before="0" w:after="0"/>
              <w:rPr>
                <w:rFonts w:ascii="Times New Roman" w:hAnsi="Times New Roman"/>
                <w:b/>
                <w:bCs/>
                <w:sz w:val="24"/>
                <w:u w:val="single"/>
                <w:lang w:eastAsia="nl-BE"/>
              </w:rPr>
            </w:pPr>
          </w:p>
          <w:p w14:paraId="0B3799EE" w14:textId="1CA26E32" w:rsidR="005C14B0" w:rsidRPr="00E07C9A" w:rsidRDefault="000B0B09" w:rsidP="0016282F">
            <w:pPr>
              <w:autoSpaceDE w:val="0"/>
              <w:autoSpaceDN w:val="0"/>
              <w:adjustRightInd w:val="0"/>
              <w:spacing w:before="0"/>
              <w:rPr>
                <w:rFonts w:ascii="Times New Roman" w:hAnsi="Times New Roman"/>
                <w:sz w:val="24"/>
              </w:rPr>
            </w:pPr>
            <w:r w:rsidRPr="00E07C9A">
              <w:rPr>
                <w:rFonts w:ascii="Times New Roman" w:hAnsi="Times New Roman"/>
                <w:sz w:val="24"/>
              </w:rPr>
              <w:t>Zodpovedá časti pozičného, devízového</w:t>
            </w:r>
            <w:r w:rsidR="009912F8" w:rsidRPr="00E07C9A">
              <w:rPr>
                <w:rFonts w:ascii="Times New Roman" w:hAnsi="Times New Roman"/>
                <w:sz w:val="24"/>
              </w:rPr>
              <w:t xml:space="preserve"> a </w:t>
            </w:r>
            <w:r w:rsidRPr="00E07C9A">
              <w:rPr>
                <w:rFonts w:ascii="Times New Roman" w:hAnsi="Times New Roman"/>
                <w:sz w:val="24"/>
              </w:rPr>
              <w:t>komoditného rizika uvedenej</w:t>
            </w:r>
            <w:r w:rsidR="009912F8" w:rsidRPr="00E07C9A">
              <w:rPr>
                <w:rFonts w:ascii="Times New Roman" w:hAnsi="Times New Roman"/>
                <w:sz w:val="24"/>
              </w:rPr>
              <w:t xml:space="preserve"> v </w:t>
            </w:r>
            <w:r w:rsidRPr="00E07C9A">
              <w:rPr>
                <w:rFonts w:ascii="Times New Roman" w:hAnsi="Times New Roman"/>
                <w:sz w:val="24"/>
              </w:rPr>
              <w:t xml:space="preserve">článku 363 ods. 1 nariadenia (EÚ) </w:t>
            </w:r>
            <w:r w:rsidR="009912F8" w:rsidRPr="00E07C9A">
              <w:rPr>
                <w:rFonts w:ascii="Times New Roman" w:hAnsi="Times New Roman"/>
                <w:sz w:val="24"/>
              </w:rPr>
              <w:t>č. 575/2013</w:t>
            </w:r>
            <w:r w:rsidRPr="00E07C9A">
              <w:rPr>
                <w:rFonts w:ascii="Times New Roman" w:hAnsi="Times New Roman"/>
                <w:sz w:val="24"/>
              </w:rPr>
              <w:t xml:space="preserve"> spojenej</w:t>
            </w:r>
            <w:r w:rsidR="009912F8" w:rsidRPr="00E07C9A">
              <w:rPr>
                <w:rFonts w:ascii="Times New Roman" w:hAnsi="Times New Roman"/>
                <w:sz w:val="24"/>
              </w:rPr>
              <w:t xml:space="preserve"> s </w:t>
            </w:r>
            <w:r w:rsidRPr="00E07C9A">
              <w:rPr>
                <w:rFonts w:ascii="Times New Roman" w:hAnsi="Times New Roman"/>
                <w:sz w:val="24"/>
              </w:rPr>
              <w:t>rizikovými faktormi stanovenými</w:t>
            </w:r>
            <w:r w:rsidR="009912F8" w:rsidRPr="00E07C9A">
              <w:rPr>
                <w:rFonts w:ascii="Times New Roman" w:hAnsi="Times New Roman"/>
                <w:sz w:val="24"/>
              </w:rPr>
              <w:t xml:space="preserve"> v </w:t>
            </w:r>
            <w:r w:rsidRPr="00E07C9A">
              <w:rPr>
                <w:rFonts w:ascii="Times New Roman" w:hAnsi="Times New Roman"/>
                <w:sz w:val="24"/>
              </w:rPr>
              <w:t>článku 367 ods. 2 uvedeného nariadenia.</w:t>
            </w:r>
          </w:p>
          <w:p w14:paraId="6F18E4FF" w14:textId="2221A07D" w:rsidR="005C14B0" w:rsidRPr="00E07C9A" w:rsidRDefault="000B0B09">
            <w:pPr>
              <w:autoSpaceDE w:val="0"/>
              <w:autoSpaceDN w:val="0"/>
              <w:adjustRightInd w:val="0"/>
              <w:spacing w:before="0" w:after="0"/>
              <w:rPr>
                <w:rFonts w:ascii="Times New Roman" w:hAnsi="Times New Roman"/>
                <w:sz w:val="24"/>
              </w:rPr>
            </w:pPr>
            <w:r w:rsidRPr="00E07C9A">
              <w:rPr>
                <w:rFonts w:ascii="Times New Roman" w:hAnsi="Times New Roman"/>
                <w:sz w:val="24"/>
              </w:rPr>
              <w:t>Pokiaľ ide</w:t>
            </w:r>
            <w:r w:rsidR="009912F8" w:rsidRPr="00E07C9A">
              <w:rPr>
                <w:rFonts w:ascii="Times New Roman" w:hAnsi="Times New Roman"/>
                <w:sz w:val="24"/>
              </w:rPr>
              <w:t xml:space="preserve"> o </w:t>
            </w:r>
            <w:r w:rsidRPr="00E07C9A">
              <w:rPr>
                <w:rFonts w:ascii="Times New Roman" w:hAnsi="Times New Roman"/>
                <w:sz w:val="24"/>
              </w:rPr>
              <w:t>stĺpce 0030 až 0060 (VaR</w:t>
            </w:r>
            <w:r w:rsidR="009912F8" w:rsidRPr="00E07C9A">
              <w:rPr>
                <w:rFonts w:ascii="Times New Roman" w:hAnsi="Times New Roman"/>
                <w:sz w:val="24"/>
              </w:rPr>
              <w:t xml:space="preserve"> a </w:t>
            </w:r>
            <w:r w:rsidRPr="00E07C9A">
              <w:rPr>
                <w:rFonts w:ascii="Times New Roman" w:hAnsi="Times New Roman"/>
                <w:sz w:val="24"/>
              </w:rPr>
              <w:t>sVaR), hodnoty</w:t>
            </w:r>
            <w:r w:rsidR="009912F8" w:rsidRPr="00E07C9A">
              <w:rPr>
                <w:rFonts w:ascii="Times New Roman" w:hAnsi="Times New Roman"/>
                <w:sz w:val="24"/>
              </w:rPr>
              <w:t xml:space="preserve"> v </w:t>
            </w:r>
            <w:r w:rsidRPr="00E07C9A">
              <w:rPr>
                <w:rFonts w:ascii="Times New Roman" w:hAnsi="Times New Roman"/>
                <w:sz w:val="24"/>
              </w:rPr>
              <w:t>riadku spolu sa nerovnajú rozloženiu hodnôt pre VaR/sVaR relevantných zložiek rizika.</w:t>
            </w:r>
          </w:p>
          <w:p w14:paraId="29160AEA" w14:textId="77777777" w:rsidR="000B0B09" w:rsidRPr="00E07C9A" w:rsidRDefault="000B0B09">
            <w:pPr>
              <w:autoSpaceDE w:val="0"/>
              <w:autoSpaceDN w:val="0"/>
              <w:adjustRightInd w:val="0"/>
              <w:spacing w:before="0" w:after="0"/>
              <w:rPr>
                <w:rFonts w:ascii="Times New Roman" w:hAnsi="Times New Roman"/>
                <w:sz w:val="24"/>
                <w:lang w:eastAsia="fr-FR"/>
              </w:rPr>
            </w:pPr>
          </w:p>
        </w:tc>
      </w:tr>
      <w:tr w:rsidR="000B0B09" w:rsidRPr="00E07C9A" w14:paraId="544224F4" w14:textId="77777777" w:rsidTr="00672D2A">
        <w:tc>
          <w:tcPr>
            <w:tcW w:w="993" w:type="dxa"/>
          </w:tcPr>
          <w:p w14:paraId="15D33493" w14:textId="77777777" w:rsidR="000B0B09" w:rsidRPr="00E07C9A" w:rsidRDefault="00787733"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0020</w:t>
            </w:r>
          </w:p>
        </w:tc>
        <w:tc>
          <w:tcPr>
            <w:tcW w:w="7903" w:type="dxa"/>
          </w:tcPr>
          <w:p w14:paraId="6294BA00" w14:textId="77777777" w:rsidR="000B0B09" w:rsidRPr="00E07C9A" w:rsidRDefault="000B0B09" w:rsidP="000B0B09">
            <w:pPr>
              <w:autoSpaceDE w:val="0"/>
              <w:autoSpaceDN w:val="0"/>
              <w:adjustRightInd w:val="0"/>
              <w:spacing w:before="0" w:after="0"/>
              <w:rPr>
                <w:rFonts w:ascii="Times New Roman" w:hAnsi="Times New Roman"/>
                <w:b/>
                <w:bCs/>
                <w:sz w:val="24"/>
                <w:u w:val="single"/>
              </w:rPr>
            </w:pPr>
            <w:r w:rsidRPr="00E07C9A">
              <w:rPr>
                <w:rFonts w:ascii="Times New Roman" w:hAnsi="Times New Roman"/>
                <w:b/>
                <w:sz w:val="24"/>
                <w:u w:val="single"/>
              </w:rPr>
              <w:t>OBCHODOVANÉ DLHOVÉ NÁSTROJE (TDI)</w:t>
            </w:r>
          </w:p>
          <w:p w14:paraId="7EB08097" w14:textId="6906D5AE" w:rsidR="000B0B09" w:rsidRPr="00E07C9A" w:rsidRDefault="000B0B09" w:rsidP="00587E96">
            <w:pPr>
              <w:autoSpaceDE w:val="0"/>
              <w:autoSpaceDN w:val="0"/>
              <w:adjustRightInd w:val="0"/>
              <w:rPr>
                <w:rFonts w:ascii="Times New Roman" w:hAnsi="Times New Roman"/>
                <w:sz w:val="24"/>
              </w:rPr>
            </w:pPr>
            <w:r w:rsidRPr="00E07C9A">
              <w:rPr>
                <w:rFonts w:ascii="Times New Roman" w:hAnsi="Times New Roman"/>
                <w:sz w:val="24"/>
              </w:rPr>
              <w:t>Zodpovedá časti pozičného rizika uvedenej</w:t>
            </w:r>
            <w:r w:rsidR="009912F8" w:rsidRPr="00E07C9A">
              <w:rPr>
                <w:rFonts w:ascii="Times New Roman" w:hAnsi="Times New Roman"/>
                <w:sz w:val="24"/>
              </w:rPr>
              <w:t xml:space="preserve"> v </w:t>
            </w:r>
            <w:r w:rsidRPr="00E07C9A">
              <w:rPr>
                <w:rFonts w:ascii="Times New Roman" w:hAnsi="Times New Roman"/>
                <w:sz w:val="24"/>
              </w:rPr>
              <w:t xml:space="preserve">článku 363 ods. 1 nariadenia (EÚ) </w:t>
            </w:r>
            <w:r w:rsidR="009912F8" w:rsidRPr="00E07C9A">
              <w:rPr>
                <w:rFonts w:ascii="Times New Roman" w:hAnsi="Times New Roman"/>
                <w:sz w:val="24"/>
              </w:rPr>
              <w:t>č. 575/2013</w:t>
            </w:r>
            <w:r w:rsidRPr="00E07C9A">
              <w:rPr>
                <w:rFonts w:ascii="Times New Roman" w:hAnsi="Times New Roman"/>
                <w:sz w:val="24"/>
              </w:rPr>
              <w:t xml:space="preserve"> spojenej</w:t>
            </w:r>
            <w:r w:rsidR="009912F8" w:rsidRPr="00E07C9A">
              <w:rPr>
                <w:rFonts w:ascii="Times New Roman" w:hAnsi="Times New Roman"/>
                <w:sz w:val="24"/>
              </w:rPr>
              <w:t xml:space="preserve"> s </w:t>
            </w:r>
            <w:r w:rsidRPr="00E07C9A">
              <w:rPr>
                <w:rFonts w:ascii="Times New Roman" w:hAnsi="Times New Roman"/>
                <w:sz w:val="24"/>
              </w:rPr>
              <w:t>rizikovými faktormi stanovenými</w:t>
            </w:r>
            <w:r w:rsidR="009912F8" w:rsidRPr="00E07C9A">
              <w:rPr>
                <w:rFonts w:ascii="Times New Roman" w:hAnsi="Times New Roman"/>
                <w:sz w:val="24"/>
              </w:rPr>
              <w:t xml:space="preserve"> v </w:t>
            </w:r>
            <w:r w:rsidRPr="00E07C9A">
              <w:rPr>
                <w:rFonts w:ascii="Times New Roman" w:hAnsi="Times New Roman"/>
                <w:sz w:val="24"/>
              </w:rPr>
              <w:t>článku 367 ods. 2 písm. a) uvedeného nariadenia.</w:t>
            </w:r>
          </w:p>
        </w:tc>
      </w:tr>
      <w:tr w:rsidR="000B0B09" w:rsidRPr="00E07C9A" w14:paraId="72F66455" w14:textId="77777777" w:rsidTr="00672D2A">
        <w:tc>
          <w:tcPr>
            <w:tcW w:w="993" w:type="dxa"/>
          </w:tcPr>
          <w:p w14:paraId="0890877A" w14:textId="77777777" w:rsidR="000B0B09" w:rsidRPr="00E07C9A" w:rsidRDefault="00787733"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0030</w:t>
            </w:r>
          </w:p>
        </w:tc>
        <w:tc>
          <w:tcPr>
            <w:tcW w:w="7903" w:type="dxa"/>
          </w:tcPr>
          <w:p w14:paraId="2BA9F6D7" w14:textId="77777777" w:rsidR="000B0B09" w:rsidRPr="00E07C9A" w:rsidRDefault="000B0B09" w:rsidP="000B0B09">
            <w:pPr>
              <w:autoSpaceDE w:val="0"/>
              <w:autoSpaceDN w:val="0"/>
              <w:adjustRightInd w:val="0"/>
              <w:spacing w:before="0" w:after="0"/>
              <w:rPr>
                <w:rFonts w:ascii="Times New Roman" w:hAnsi="Times New Roman"/>
                <w:b/>
                <w:bCs/>
                <w:sz w:val="24"/>
                <w:u w:val="single"/>
              </w:rPr>
            </w:pPr>
            <w:r w:rsidRPr="00E07C9A">
              <w:rPr>
                <w:rFonts w:ascii="Times New Roman" w:hAnsi="Times New Roman"/>
                <w:b/>
                <w:sz w:val="24"/>
                <w:u w:val="single"/>
              </w:rPr>
              <w:t>TDI – VŠEOBECNÉ RIZIKO</w:t>
            </w:r>
          </w:p>
          <w:p w14:paraId="326F4D54" w14:textId="2EDEF94A" w:rsidR="000B0B09" w:rsidRPr="00E07C9A" w:rsidRDefault="000B0B09" w:rsidP="0016282F">
            <w:pPr>
              <w:autoSpaceDE w:val="0"/>
              <w:autoSpaceDN w:val="0"/>
              <w:adjustRightInd w:val="0"/>
              <w:rPr>
                <w:rFonts w:ascii="Times New Roman" w:hAnsi="Times New Roman"/>
                <w:sz w:val="24"/>
              </w:rPr>
            </w:pPr>
            <w:r w:rsidRPr="00E07C9A">
              <w:rPr>
                <w:rFonts w:ascii="Times New Roman" w:hAnsi="Times New Roman"/>
                <w:sz w:val="24"/>
              </w:rPr>
              <w:t xml:space="preserve">Zložka všeobecného rizika podľa článku 362 nariadenia (EÚ) </w:t>
            </w:r>
            <w:r w:rsidR="009912F8" w:rsidRPr="00E07C9A">
              <w:rPr>
                <w:rFonts w:ascii="Times New Roman" w:hAnsi="Times New Roman"/>
                <w:sz w:val="24"/>
              </w:rPr>
              <w:t>č. 575/2013</w:t>
            </w:r>
            <w:r w:rsidRPr="00E07C9A">
              <w:rPr>
                <w:rFonts w:ascii="Times New Roman" w:hAnsi="Times New Roman"/>
                <w:sz w:val="24"/>
              </w:rPr>
              <w:t xml:space="preserve">. </w:t>
            </w:r>
          </w:p>
        </w:tc>
      </w:tr>
      <w:tr w:rsidR="000B0B09" w:rsidRPr="00E07C9A" w14:paraId="7683899C" w14:textId="77777777" w:rsidTr="00672D2A">
        <w:tc>
          <w:tcPr>
            <w:tcW w:w="993" w:type="dxa"/>
          </w:tcPr>
          <w:p w14:paraId="71740265" w14:textId="77777777" w:rsidR="000B0B09" w:rsidRPr="00E07C9A" w:rsidRDefault="00787733"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0040</w:t>
            </w:r>
          </w:p>
        </w:tc>
        <w:tc>
          <w:tcPr>
            <w:tcW w:w="7903" w:type="dxa"/>
          </w:tcPr>
          <w:p w14:paraId="0A8CBDBA" w14:textId="77777777" w:rsidR="000B0B09" w:rsidRPr="00E07C9A" w:rsidRDefault="000B0B09" w:rsidP="000B0B09">
            <w:pPr>
              <w:autoSpaceDE w:val="0"/>
              <w:autoSpaceDN w:val="0"/>
              <w:adjustRightInd w:val="0"/>
              <w:spacing w:before="0" w:after="0"/>
              <w:rPr>
                <w:rFonts w:ascii="Times New Roman" w:hAnsi="Times New Roman"/>
                <w:b/>
                <w:bCs/>
                <w:sz w:val="24"/>
                <w:u w:val="single"/>
              </w:rPr>
            </w:pPr>
            <w:r w:rsidRPr="00E07C9A">
              <w:rPr>
                <w:rFonts w:ascii="Times New Roman" w:hAnsi="Times New Roman"/>
                <w:b/>
                <w:sz w:val="24"/>
                <w:u w:val="single"/>
              </w:rPr>
              <w:t>TDI – ŠPECIFICKÉ RIZIKO</w:t>
            </w:r>
          </w:p>
          <w:p w14:paraId="545744BD" w14:textId="77777777" w:rsidR="000B0B09" w:rsidRPr="00E07C9A" w:rsidRDefault="000B0B09" w:rsidP="000B0B09">
            <w:pPr>
              <w:autoSpaceDE w:val="0"/>
              <w:autoSpaceDN w:val="0"/>
              <w:adjustRightInd w:val="0"/>
              <w:spacing w:before="0" w:after="0"/>
              <w:rPr>
                <w:rFonts w:ascii="Times New Roman" w:hAnsi="Times New Roman"/>
                <w:sz w:val="24"/>
                <w:lang w:eastAsia="de-DE"/>
              </w:rPr>
            </w:pPr>
          </w:p>
          <w:p w14:paraId="32F4DB08" w14:textId="2F701DC3" w:rsidR="000B0B09" w:rsidRPr="00E07C9A" w:rsidRDefault="000B0B09" w:rsidP="0016282F">
            <w:pPr>
              <w:autoSpaceDE w:val="0"/>
              <w:autoSpaceDN w:val="0"/>
              <w:adjustRightInd w:val="0"/>
              <w:rPr>
                <w:rFonts w:ascii="Times New Roman" w:hAnsi="Times New Roman"/>
                <w:b/>
                <w:bCs/>
                <w:sz w:val="24"/>
                <w:u w:val="single"/>
              </w:rPr>
            </w:pPr>
            <w:r w:rsidRPr="00E07C9A">
              <w:rPr>
                <w:rFonts w:ascii="Times New Roman" w:hAnsi="Times New Roman"/>
                <w:sz w:val="24"/>
              </w:rPr>
              <w:t xml:space="preserve">Zložka špecifického rizika podľa článku 362 nariadenia (EÚ) </w:t>
            </w:r>
            <w:r w:rsidR="009912F8" w:rsidRPr="00E07C9A">
              <w:rPr>
                <w:rFonts w:ascii="Times New Roman" w:hAnsi="Times New Roman"/>
                <w:sz w:val="24"/>
              </w:rPr>
              <w:t>č. 575/2013</w:t>
            </w:r>
            <w:r w:rsidRPr="00E07C9A">
              <w:rPr>
                <w:rFonts w:ascii="Times New Roman" w:hAnsi="Times New Roman"/>
                <w:sz w:val="24"/>
              </w:rPr>
              <w:t xml:space="preserve">. </w:t>
            </w:r>
          </w:p>
        </w:tc>
      </w:tr>
      <w:tr w:rsidR="000B0B09" w:rsidRPr="00E07C9A" w14:paraId="71D5C884" w14:textId="77777777" w:rsidTr="00672D2A">
        <w:tc>
          <w:tcPr>
            <w:tcW w:w="993" w:type="dxa"/>
          </w:tcPr>
          <w:p w14:paraId="2F431F5B" w14:textId="77777777" w:rsidR="000B0B09" w:rsidRPr="00E07C9A" w:rsidRDefault="00787733"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0050</w:t>
            </w:r>
          </w:p>
        </w:tc>
        <w:tc>
          <w:tcPr>
            <w:tcW w:w="7903" w:type="dxa"/>
          </w:tcPr>
          <w:p w14:paraId="3D16BF4C" w14:textId="77777777" w:rsidR="000B0B09" w:rsidRPr="00E07C9A" w:rsidRDefault="000B0B09" w:rsidP="000B0B09">
            <w:pPr>
              <w:autoSpaceDE w:val="0"/>
              <w:autoSpaceDN w:val="0"/>
              <w:adjustRightInd w:val="0"/>
              <w:spacing w:before="0" w:after="0"/>
              <w:rPr>
                <w:rFonts w:ascii="Times New Roman" w:hAnsi="Times New Roman"/>
                <w:b/>
                <w:bCs/>
                <w:sz w:val="24"/>
                <w:u w:val="single"/>
              </w:rPr>
            </w:pPr>
            <w:r w:rsidRPr="00E07C9A">
              <w:rPr>
                <w:rFonts w:ascii="Times New Roman" w:hAnsi="Times New Roman"/>
                <w:b/>
                <w:sz w:val="24"/>
                <w:u w:val="single"/>
              </w:rPr>
              <w:t>KAPITÁLOVÉ CENNÉ PAPIERE</w:t>
            </w:r>
          </w:p>
          <w:p w14:paraId="2CB5AD43" w14:textId="77777777" w:rsidR="000B0B09" w:rsidRPr="00E07C9A" w:rsidRDefault="000B0B09" w:rsidP="000B0B09">
            <w:pPr>
              <w:autoSpaceDE w:val="0"/>
              <w:autoSpaceDN w:val="0"/>
              <w:adjustRightInd w:val="0"/>
              <w:spacing w:before="0" w:after="0"/>
              <w:rPr>
                <w:rFonts w:ascii="Times New Roman" w:hAnsi="Times New Roman"/>
                <w:sz w:val="24"/>
                <w:lang w:eastAsia="de-DE"/>
              </w:rPr>
            </w:pPr>
          </w:p>
          <w:p w14:paraId="4807B270" w14:textId="604EAB16" w:rsidR="009912F8" w:rsidRPr="00E07C9A" w:rsidRDefault="000B0B09"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Zodpovedá časti pozičného rizika uvedenej</w:t>
            </w:r>
            <w:r w:rsidR="009912F8" w:rsidRPr="00E07C9A">
              <w:rPr>
                <w:rFonts w:ascii="Times New Roman" w:hAnsi="Times New Roman"/>
                <w:sz w:val="24"/>
              </w:rPr>
              <w:t xml:space="preserve"> v </w:t>
            </w:r>
            <w:r w:rsidRPr="00E07C9A">
              <w:rPr>
                <w:rFonts w:ascii="Times New Roman" w:hAnsi="Times New Roman"/>
                <w:sz w:val="24"/>
              </w:rPr>
              <w:t xml:space="preserve">článku 363 ods. 1 nariadenia (EÚ) </w:t>
            </w:r>
            <w:r w:rsidR="009912F8" w:rsidRPr="00E07C9A">
              <w:rPr>
                <w:rFonts w:ascii="Times New Roman" w:hAnsi="Times New Roman"/>
                <w:sz w:val="24"/>
              </w:rPr>
              <w:t>č. 575/2013</w:t>
            </w:r>
            <w:r w:rsidRPr="00E07C9A">
              <w:rPr>
                <w:rFonts w:ascii="Times New Roman" w:hAnsi="Times New Roman"/>
                <w:sz w:val="24"/>
              </w:rPr>
              <w:t xml:space="preserve"> spojenej</w:t>
            </w:r>
            <w:r w:rsidR="009912F8" w:rsidRPr="00E07C9A">
              <w:rPr>
                <w:rFonts w:ascii="Times New Roman" w:hAnsi="Times New Roman"/>
                <w:sz w:val="24"/>
              </w:rPr>
              <w:t xml:space="preserve"> s </w:t>
            </w:r>
            <w:r w:rsidRPr="00E07C9A">
              <w:rPr>
                <w:rFonts w:ascii="Times New Roman" w:hAnsi="Times New Roman"/>
                <w:sz w:val="24"/>
              </w:rPr>
              <w:t>faktormi akciového rizika stanovenými</w:t>
            </w:r>
            <w:r w:rsidR="009912F8" w:rsidRPr="00E07C9A">
              <w:rPr>
                <w:rFonts w:ascii="Times New Roman" w:hAnsi="Times New Roman"/>
                <w:sz w:val="24"/>
              </w:rPr>
              <w:t xml:space="preserve"> v </w:t>
            </w:r>
            <w:r w:rsidRPr="00E07C9A">
              <w:rPr>
                <w:rFonts w:ascii="Times New Roman" w:hAnsi="Times New Roman"/>
                <w:sz w:val="24"/>
              </w:rPr>
              <w:t>článku 367 ods. 2 písm. c) uvedeného nariadenia</w:t>
            </w:r>
            <w:r w:rsidR="009912F8" w:rsidRPr="00E07C9A">
              <w:rPr>
                <w:rFonts w:ascii="Times New Roman" w:hAnsi="Times New Roman"/>
                <w:sz w:val="24"/>
              </w:rPr>
              <w:t>.</w:t>
            </w:r>
          </w:p>
          <w:p w14:paraId="25BA2979" w14:textId="55F58BF9" w:rsidR="000B0B09" w:rsidRPr="00E07C9A"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E07C9A" w14:paraId="35DF2979" w14:textId="77777777" w:rsidTr="00672D2A">
        <w:tc>
          <w:tcPr>
            <w:tcW w:w="993" w:type="dxa"/>
          </w:tcPr>
          <w:p w14:paraId="317A6DAF" w14:textId="77777777" w:rsidR="000B0B09" w:rsidRPr="00E07C9A" w:rsidRDefault="00787733"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0060</w:t>
            </w:r>
          </w:p>
        </w:tc>
        <w:tc>
          <w:tcPr>
            <w:tcW w:w="7903" w:type="dxa"/>
          </w:tcPr>
          <w:p w14:paraId="40CEA49F" w14:textId="77777777" w:rsidR="000B0B09" w:rsidRPr="00E07C9A" w:rsidRDefault="000B0B09" w:rsidP="000B0B09">
            <w:pPr>
              <w:autoSpaceDE w:val="0"/>
              <w:autoSpaceDN w:val="0"/>
              <w:adjustRightInd w:val="0"/>
              <w:spacing w:before="0" w:after="0"/>
              <w:rPr>
                <w:rFonts w:ascii="Times New Roman" w:hAnsi="Times New Roman"/>
                <w:b/>
                <w:bCs/>
                <w:sz w:val="24"/>
                <w:u w:val="single"/>
              </w:rPr>
            </w:pPr>
            <w:r w:rsidRPr="00E07C9A">
              <w:rPr>
                <w:rFonts w:ascii="Times New Roman" w:hAnsi="Times New Roman"/>
                <w:b/>
                <w:sz w:val="24"/>
                <w:u w:val="single"/>
              </w:rPr>
              <w:t>KAPITÁLOVÉ CENNÉ PAPIERE – VŠEOBECNÉ RIZIKO</w:t>
            </w:r>
          </w:p>
          <w:p w14:paraId="528E3DA1" w14:textId="207F4388" w:rsidR="000B0B09" w:rsidRPr="00E07C9A" w:rsidRDefault="000B0B09" w:rsidP="00BE0363">
            <w:pPr>
              <w:autoSpaceDE w:val="0"/>
              <w:autoSpaceDN w:val="0"/>
              <w:adjustRightInd w:val="0"/>
              <w:rPr>
                <w:rFonts w:ascii="Times New Roman" w:hAnsi="Times New Roman"/>
                <w:b/>
                <w:bCs/>
                <w:sz w:val="24"/>
                <w:u w:val="single"/>
              </w:rPr>
            </w:pPr>
            <w:r w:rsidRPr="00E07C9A">
              <w:rPr>
                <w:rFonts w:ascii="Times New Roman" w:hAnsi="Times New Roman"/>
                <w:sz w:val="24"/>
              </w:rPr>
              <w:t xml:space="preserve">Zložka všeobecného rizika podľa článku 362 nariadenia (EÚ) </w:t>
            </w:r>
            <w:r w:rsidR="009912F8" w:rsidRPr="00E07C9A">
              <w:rPr>
                <w:rFonts w:ascii="Times New Roman" w:hAnsi="Times New Roman"/>
                <w:sz w:val="24"/>
              </w:rPr>
              <w:t>č. 575/2013</w:t>
            </w:r>
            <w:r w:rsidRPr="00E07C9A">
              <w:rPr>
                <w:rFonts w:ascii="Times New Roman" w:hAnsi="Times New Roman"/>
                <w:sz w:val="24"/>
              </w:rPr>
              <w:t>.</w:t>
            </w:r>
          </w:p>
        </w:tc>
      </w:tr>
      <w:tr w:rsidR="000B0B09" w:rsidRPr="00E07C9A" w14:paraId="76BBEE88" w14:textId="77777777" w:rsidTr="00672D2A">
        <w:tc>
          <w:tcPr>
            <w:tcW w:w="993" w:type="dxa"/>
          </w:tcPr>
          <w:p w14:paraId="4D46D495" w14:textId="77777777" w:rsidR="000B0B09" w:rsidRPr="00E07C9A" w:rsidRDefault="00787733"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0070</w:t>
            </w:r>
          </w:p>
        </w:tc>
        <w:tc>
          <w:tcPr>
            <w:tcW w:w="7903" w:type="dxa"/>
          </w:tcPr>
          <w:p w14:paraId="315638DD" w14:textId="77777777" w:rsidR="000B0B09" w:rsidRPr="00E07C9A" w:rsidRDefault="000B0B09" w:rsidP="000B0B09">
            <w:pPr>
              <w:autoSpaceDE w:val="0"/>
              <w:autoSpaceDN w:val="0"/>
              <w:adjustRightInd w:val="0"/>
              <w:spacing w:before="0" w:after="0"/>
              <w:rPr>
                <w:rFonts w:ascii="Times New Roman" w:hAnsi="Times New Roman"/>
                <w:b/>
                <w:bCs/>
                <w:sz w:val="24"/>
                <w:u w:val="single"/>
              </w:rPr>
            </w:pPr>
            <w:r w:rsidRPr="00E07C9A">
              <w:rPr>
                <w:rFonts w:ascii="Times New Roman" w:hAnsi="Times New Roman"/>
                <w:b/>
                <w:sz w:val="24"/>
                <w:u w:val="single"/>
              </w:rPr>
              <w:t>KAPITÁLOVÉ CENNÉ PAPIERE – ŠPECIFICKÉ RIZIKO</w:t>
            </w:r>
          </w:p>
          <w:p w14:paraId="53D03CDE" w14:textId="55904322" w:rsidR="000B0B09" w:rsidRPr="00E07C9A" w:rsidRDefault="000B0B09" w:rsidP="0016282F">
            <w:pPr>
              <w:autoSpaceDE w:val="0"/>
              <w:autoSpaceDN w:val="0"/>
              <w:adjustRightInd w:val="0"/>
              <w:rPr>
                <w:rFonts w:ascii="Times New Roman" w:hAnsi="Times New Roman"/>
                <w:b/>
                <w:bCs/>
                <w:sz w:val="24"/>
                <w:u w:val="single"/>
              </w:rPr>
            </w:pPr>
            <w:r w:rsidRPr="00E07C9A">
              <w:rPr>
                <w:rFonts w:ascii="Times New Roman" w:hAnsi="Times New Roman"/>
                <w:sz w:val="24"/>
              </w:rPr>
              <w:t xml:space="preserve">Zložka špecifického rizika podľa článku 362 nariadenia (EÚ) </w:t>
            </w:r>
            <w:r w:rsidR="009912F8" w:rsidRPr="00E07C9A">
              <w:rPr>
                <w:rFonts w:ascii="Times New Roman" w:hAnsi="Times New Roman"/>
                <w:sz w:val="24"/>
              </w:rPr>
              <w:t>č. 575/2013</w:t>
            </w:r>
            <w:r w:rsidRPr="00E07C9A">
              <w:rPr>
                <w:rFonts w:ascii="Times New Roman" w:hAnsi="Times New Roman"/>
                <w:sz w:val="24"/>
              </w:rPr>
              <w:t xml:space="preserve">. </w:t>
            </w:r>
          </w:p>
        </w:tc>
      </w:tr>
      <w:tr w:rsidR="000B0B09" w:rsidRPr="00E07C9A" w14:paraId="572477D3" w14:textId="77777777" w:rsidTr="00672D2A">
        <w:tc>
          <w:tcPr>
            <w:tcW w:w="993" w:type="dxa"/>
          </w:tcPr>
          <w:p w14:paraId="22BAC81A" w14:textId="77777777" w:rsidR="000B0B09" w:rsidRPr="00E07C9A" w:rsidRDefault="00787733"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0080</w:t>
            </w:r>
          </w:p>
        </w:tc>
        <w:tc>
          <w:tcPr>
            <w:tcW w:w="7903" w:type="dxa"/>
          </w:tcPr>
          <w:p w14:paraId="729B481D" w14:textId="77777777" w:rsidR="000B0B09" w:rsidRPr="00E07C9A" w:rsidRDefault="000B0B09" w:rsidP="000B0B09">
            <w:pPr>
              <w:autoSpaceDE w:val="0"/>
              <w:autoSpaceDN w:val="0"/>
              <w:adjustRightInd w:val="0"/>
              <w:spacing w:before="0" w:after="0"/>
              <w:rPr>
                <w:rFonts w:ascii="Times New Roman" w:hAnsi="Times New Roman"/>
                <w:b/>
                <w:bCs/>
                <w:sz w:val="24"/>
                <w:u w:val="single"/>
              </w:rPr>
            </w:pPr>
            <w:r w:rsidRPr="00E07C9A">
              <w:rPr>
                <w:rFonts w:ascii="Times New Roman" w:hAnsi="Times New Roman"/>
                <w:b/>
                <w:sz w:val="24"/>
                <w:u w:val="single"/>
              </w:rPr>
              <w:t>DEVÍZOVÉ RIZIKO</w:t>
            </w:r>
          </w:p>
          <w:p w14:paraId="4A2A62FE" w14:textId="49181943" w:rsidR="000B0B09" w:rsidRPr="00E07C9A" w:rsidRDefault="000B0B09" w:rsidP="00587E96">
            <w:pPr>
              <w:autoSpaceDE w:val="0"/>
              <w:autoSpaceDN w:val="0"/>
              <w:adjustRightInd w:val="0"/>
              <w:rPr>
                <w:rFonts w:ascii="Times New Roman" w:hAnsi="Times New Roman"/>
                <w:b/>
                <w:bCs/>
                <w:sz w:val="24"/>
                <w:u w:val="single"/>
              </w:rPr>
            </w:pPr>
            <w:r w:rsidRPr="00E07C9A">
              <w:rPr>
                <w:rFonts w:ascii="Times New Roman" w:hAnsi="Times New Roman"/>
                <w:sz w:val="24"/>
              </w:rPr>
              <w:t>Článok 363 ods. 1</w:t>
            </w:r>
            <w:r w:rsidR="009912F8" w:rsidRPr="00E07C9A">
              <w:rPr>
                <w:rFonts w:ascii="Times New Roman" w:hAnsi="Times New Roman"/>
                <w:sz w:val="24"/>
              </w:rPr>
              <w:t xml:space="preserve"> a </w:t>
            </w:r>
            <w:r w:rsidRPr="00E07C9A">
              <w:rPr>
                <w:rFonts w:ascii="Times New Roman" w:hAnsi="Times New Roman"/>
                <w:sz w:val="24"/>
              </w:rPr>
              <w:t xml:space="preserve">článok 367 ods. 2 písm. b) nariadenia (EÚ) </w:t>
            </w:r>
            <w:r w:rsidR="009912F8" w:rsidRPr="00E07C9A">
              <w:rPr>
                <w:rFonts w:ascii="Times New Roman" w:hAnsi="Times New Roman"/>
                <w:sz w:val="24"/>
              </w:rPr>
              <w:t>č. 575/2013</w:t>
            </w:r>
          </w:p>
        </w:tc>
      </w:tr>
      <w:tr w:rsidR="000B0B09" w:rsidRPr="00E07C9A" w14:paraId="0161DCDD" w14:textId="77777777" w:rsidTr="00672D2A">
        <w:tc>
          <w:tcPr>
            <w:tcW w:w="993" w:type="dxa"/>
          </w:tcPr>
          <w:p w14:paraId="2D15B36B" w14:textId="77777777" w:rsidR="000B0B09" w:rsidRPr="00E07C9A" w:rsidRDefault="00787733"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0090</w:t>
            </w:r>
          </w:p>
        </w:tc>
        <w:tc>
          <w:tcPr>
            <w:tcW w:w="7903" w:type="dxa"/>
          </w:tcPr>
          <w:p w14:paraId="3490DA93" w14:textId="77777777" w:rsidR="000B0B09" w:rsidRPr="00E07C9A" w:rsidRDefault="000B0B09" w:rsidP="000B0B09">
            <w:pPr>
              <w:autoSpaceDE w:val="0"/>
              <w:autoSpaceDN w:val="0"/>
              <w:adjustRightInd w:val="0"/>
              <w:spacing w:before="0" w:after="0"/>
              <w:rPr>
                <w:rFonts w:ascii="Times New Roman" w:hAnsi="Times New Roman"/>
                <w:b/>
                <w:bCs/>
                <w:sz w:val="24"/>
                <w:u w:val="single"/>
              </w:rPr>
            </w:pPr>
            <w:r w:rsidRPr="00E07C9A">
              <w:rPr>
                <w:rFonts w:ascii="Times New Roman" w:hAnsi="Times New Roman"/>
                <w:b/>
                <w:sz w:val="24"/>
                <w:u w:val="single"/>
              </w:rPr>
              <w:t>KOMODITNÉ RIZIKO</w:t>
            </w:r>
          </w:p>
          <w:p w14:paraId="341E16EA" w14:textId="2FBF52D0" w:rsidR="000B0B09" w:rsidRPr="00E07C9A" w:rsidRDefault="000B0B09" w:rsidP="00BE0363">
            <w:pPr>
              <w:autoSpaceDE w:val="0"/>
              <w:autoSpaceDN w:val="0"/>
              <w:adjustRightInd w:val="0"/>
              <w:rPr>
                <w:rFonts w:ascii="Times New Roman" w:hAnsi="Times New Roman"/>
                <w:b/>
                <w:bCs/>
                <w:sz w:val="24"/>
                <w:u w:val="single"/>
              </w:rPr>
            </w:pPr>
            <w:r w:rsidRPr="00E07C9A">
              <w:rPr>
                <w:rFonts w:ascii="Times New Roman" w:hAnsi="Times New Roman"/>
                <w:sz w:val="24"/>
              </w:rPr>
              <w:t>Článok 363 ods. 1</w:t>
            </w:r>
            <w:r w:rsidR="009912F8" w:rsidRPr="00E07C9A">
              <w:rPr>
                <w:rFonts w:ascii="Times New Roman" w:hAnsi="Times New Roman"/>
                <w:sz w:val="24"/>
              </w:rPr>
              <w:t xml:space="preserve"> a </w:t>
            </w:r>
            <w:r w:rsidRPr="00E07C9A">
              <w:rPr>
                <w:rFonts w:ascii="Times New Roman" w:hAnsi="Times New Roman"/>
                <w:sz w:val="24"/>
              </w:rPr>
              <w:t xml:space="preserve">článok 367 ods. 2 písm. d) nariadenia (EÚ) </w:t>
            </w:r>
            <w:r w:rsidR="009912F8" w:rsidRPr="00E07C9A">
              <w:rPr>
                <w:rFonts w:ascii="Times New Roman" w:hAnsi="Times New Roman"/>
                <w:sz w:val="24"/>
              </w:rPr>
              <w:t>č. 575/2013</w:t>
            </w:r>
            <w:r w:rsidRPr="00E07C9A">
              <w:rPr>
                <w:rFonts w:ascii="Times New Roman" w:hAnsi="Times New Roman"/>
                <w:sz w:val="24"/>
              </w:rPr>
              <w:t xml:space="preserve"> </w:t>
            </w:r>
          </w:p>
        </w:tc>
      </w:tr>
      <w:tr w:rsidR="000B0B09" w:rsidRPr="00E07C9A" w14:paraId="5676DEE7" w14:textId="77777777" w:rsidTr="00672D2A">
        <w:tc>
          <w:tcPr>
            <w:tcW w:w="993" w:type="dxa"/>
          </w:tcPr>
          <w:p w14:paraId="2262B333" w14:textId="77777777" w:rsidR="000B0B09" w:rsidRPr="00E07C9A" w:rsidRDefault="00787733" w:rsidP="000B0B09">
            <w:pPr>
              <w:autoSpaceDE w:val="0"/>
              <w:autoSpaceDN w:val="0"/>
              <w:adjustRightInd w:val="0"/>
              <w:spacing w:before="0" w:after="0"/>
              <w:rPr>
                <w:rFonts w:ascii="Times New Roman" w:hAnsi="Times New Roman"/>
                <w:sz w:val="24"/>
              </w:rPr>
            </w:pPr>
            <w:r w:rsidRPr="00E07C9A">
              <w:rPr>
                <w:rFonts w:ascii="Times New Roman" w:hAnsi="Times New Roman"/>
                <w:sz w:val="24"/>
              </w:rPr>
              <w:t>0100</w:t>
            </w:r>
          </w:p>
        </w:tc>
        <w:tc>
          <w:tcPr>
            <w:tcW w:w="7903" w:type="dxa"/>
          </w:tcPr>
          <w:p w14:paraId="3F8165C0" w14:textId="77777777" w:rsidR="000B0B09" w:rsidRPr="00E07C9A" w:rsidRDefault="000B0B09" w:rsidP="000B0B09">
            <w:pPr>
              <w:autoSpaceDE w:val="0"/>
              <w:autoSpaceDN w:val="0"/>
              <w:adjustRightInd w:val="0"/>
              <w:spacing w:before="0" w:after="0"/>
              <w:rPr>
                <w:rFonts w:ascii="Times New Roman" w:hAnsi="Times New Roman"/>
                <w:b/>
                <w:bCs/>
                <w:sz w:val="24"/>
                <w:u w:val="single"/>
              </w:rPr>
            </w:pPr>
            <w:r w:rsidRPr="00E07C9A">
              <w:rPr>
                <w:rFonts w:ascii="Times New Roman" w:hAnsi="Times New Roman"/>
                <w:b/>
                <w:sz w:val="24"/>
                <w:u w:val="single"/>
              </w:rPr>
              <w:t>CELKOVÁ HODNOTA PRE VŠEOBECNÉ RIZIKO</w:t>
            </w:r>
          </w:p>
          <w:p w14:paraId="62293AE5" w14:textId="77777777" w:rsidR="005C14B0" w:rsidRPr="00E07C9A" w:rsidRDefault="005C14B0" w:rsidP="000B0B09">
            <w:pPr>
              <w:autoSpaceDE w:val="0"/>
              <w:autoSpaceDN w:val="0"/>
              <w:adjustRightInd w:val="0"/>
              <w:spacing w:before="0" w:after="0"/>
              <w:rPr>
                <w:rFonts w:ascii="Times New Roman" w:hAnsi="Times New Roman"/>
                <w:b/>
                <w:bCs/>
                <w:sz w:val="24"/>
                <w:u w:val="single"/>
                <w:lang w:eastAsia="nl-BE"/>
              </w:rPr>
            </w:pPr>
          </w:p>
          <w:p w14:paraId="43DA678A" w14:textId="6A336662" w:rsidR="009912F8" w:rsidRPr="00E07C9A" w:rsidRDefault="000B0B09">
            <w:pPr>
              <w:autoSpaceDE w:val="0"/>
              <w:autoSpaceDN w:val="0"/>
              <w:adjustRightInd w:val="0"/>
              <w:spacing w:before="0" w:after="0"/>
              <w:rPr>
                <w:rStyle w:val="InstructionsTabelleText"/>
                <w:rFonts w:ascii="Times New Roman" w:hAnsi="Times New Roman"/>
                <w:sz w:val="24"/>
              </w:rPr>
            </w:pPr>
            <w:r w:rsidRPr="00E07C9A">
              <w:rPr>
                <w:rStyle w:val="InstructionsTabelleText"/>
                <w:rFonts w:ascii="Times New Roman" w:hAnsi="Times New Roman"/>
                <w:sz w:val="24"/>
              </w:rPr>
              <w:t>Trhové riziko spôsobené všeobecnými pohybmi obchodovaných dlhových nástrojov, kapitálových cenných papierov, devíz</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komodít na trhu. VaR pre všeobecné riziko všetkých rizikových faktorov (v náležitých prípadoch so zohľadnením účinkov korelácie)</w:t>
            </w:r>
            <w:r w:rsidR="009912F8" w:rsidRPr="00E07C9A">
              <w:rPr>
                <w:rStyle w:val="InstructionsTabelleText"/>
                <w:rFonts w:ascii="Times New Roman" w:hAnsi="Times New Roman"/>
                <w:sz w:val="24"/>
              </w:rPr>
              <w:t>.</w:t>
            </w:r>
          </w:p>
          <w:p w14:paraId="47CB1F26" w14:textId="120423B4" w:rsidR="005C14B0" w:rsidRPr="00E07C9A" w:rsidRDefault="005C14B0">
            <w:pPr>
              <w:autoSpaceDE w:val="0"/>
              <w:autoSpaceDN w:val="0"/>
              <w:adjustRightInd w:val="0"/>
              <w:spacing w:before="0" w:after="0"/>
              <w:rPr>
                <w:rFonts w:ascii="Times New Roman" w:hAnsi="Times New Roman"/>
                <w:b/>
                <w:bCs/>
                <w:sz w:val="24"/>
                <w:u w:val="single"/>
                <w:lang w:eastAsia="nl-BE"/>
              </w:rPr>
            </w:pPr>
          </w:p>
        </w:tc>
      </w:tr>
      <w:tr w:rsidR="000B0B09" w:rsidRPr="00E07C9A" w14:paraId="41EDF57A" w14:textId="77777777" w:rsidTr="00672D2A">
        <w:tc>
          <w:tcPr>
            <w:tcW w:w="993" w:type="dxa"/>
          </w:tcPr>
          <w:p w14:paraId="2952258D" w14:textId="77777777" w:rsidR="000B0B09" w:rsidRPr="00E07C9A" w:rsidRDefault="00787733" w:rsidP="000911FE">
            <w:pPr>
              <w:autoSpaceDE w:val="0"/>
              <w:autoSpaceDN w:val="0"/>
              <w:adjustRightInd w:val="0"/>
              <w:spacing w:before="0" w:after="0"/>
              <w:rPr>
                <w:rFonts w:ascii="Times New Roman" w:hAnsi="Times New Roman"/>
                <w:sz w:val="24"/>
              </w:rPr>
            </w:pPr>
            <w:r w:rsidRPr="00E07C9A">
              <w:rPr>
                <w:rFonts w:ascii="Times New Roman" w:hAnsi="Times New Roman"/>
                <w:sz w:val="24"/>
              </w:rPr>
              <w:t>0110</w:t>
            </w:r>
          </w:p>
        </w:tc>
        <w:tc>
          <w:tcPr>
            <w:tcW w:w="7903" w:type="dxa"/>
          </w:tcPr>
          <w:p w14:paraId="4F775FB3" w14:textId="77777777" w:rsidR="000B0B09" w:rsidRPr="00E07C9A" w:rsidRDefault="000B0B09" w:rsidP="000B0B09">
            <w:pPr>
              <w:autoSpaceDE w:val="0"/>
              <w:autoSpaceDN w:val="0"/>
              <w:adjustRightInd w:val="0"/>
              <w:spacing w:before="0" w:after="0"/>
              <w:rPr>
                <w:rFonts w:ascii="Times New Roman" w:hAnsi="Times New Roman"/>
                <w:b/>
                <w:bCs/>
                <w:sz w:val="24"/>
                <w:u w:val="single"/>
              </w:rPr>
            </w:pPr>
            <w:r w:rsidRPr="00E07C9A">
              <w:rPr>
                <w:rFonts w:ascii="Times New Roman" w:hAnsi="Times New Roman"/>
                <w:b/>
                <w:sz w:val="24"/>
                <w:u w:val="single"/>
              </w:rPr>
              <w:t>CELKOVÁ HODNOTA PRE ŠPECIFICKÉ RIZIKO</w:t>
            </w:r>
          </w:p>
          <w:p w14:paraId="319F28D3" w14:textId="26C160AA" w:rsidR="000B0B09" w:rsidRPr="00E07C9A" w:rsidRDefault="000B0B09" w:rsidP="0016282F">
            <w:pPr>
              <w:autoSpaceDE w:val="0"/>
              <w:autoSpaceDN w:val="0"/>
              <w:adjustRightInd w:val="0"/>
              <w:rPr>
                <w:rFonts w:ascii="Times New Roman" w:hAnsi="Times New Roman"/>
                <w:b/>
                <w:bCs/>
                <w:sz w:val="24"/>
                <w:u w:val="single"/>
              </w:rPr>
            </w:pPr>
            <w:r w:rsidRPr="00E07C9A">
              <w:rPr>
                <w:rStyle w:val="InstructionsTabelleText"/>
                <w:rFonts w:ascii="Times New Roman" w:hAnsi="Times New Roman"/>
                <w:sz w:val="24"/>
              </w:rPr>
              <w:t>Zložka špecifického rizika obchodovaných dlhových nástrojov</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kapitálových cenných papierov. VaR pre špecifické riziko kapitálových cenných papierov</w:t>
            </w:r>
            <w:r w:rsidR="009912F8" w:rsidRPr="00E07C9A">
              <w:rPr>
                <w:rStyle w:val="InstructionsTabelleText"/>
                <w:rFonts w:ascii="Times New Roman" w:hAnsi="Times New Roman"/>
                <w:sz w:val="24"/>
              </w:rPr>
              <w:t xml:space="preserve"> a </w:t>
            </w:r>
            <w:r w:rsidRPr="00E07C9A">
              <w:rPr>
                <w:rStyle w:val="InstructionsTabelleText"/>
                <w:rFonts w:ascii="Times New Roman" w:hAnsi="Times New Roman"/>
                <w:sz w:val="24"/>
              </w:rPr>
              <w:t>obchodovaných dlhových nástrojov obchodnej knihy (v náležitých prípadoch so zohľadnením účinkov korelácie).</w:t>
            </w:r>
          </w:p>
        </w:tc>
      </w:tr>
    </w:tbl>
    <w:p w14:paraId="60EF2674" w14:textId="77777777" w:rsidR="000B0B09" w:rsidRPr="00E07C9A" w:rsidRDefault="000B0B09">
      <w:pPr>
        <w:spacing w:before="0" w:after="0"/>
        <w:jc w:val="left"/>
        <w:rPr>
          <w:rStyle w:val="InstructionsTabelleText"/>
          <w:rFonts w:ascii="Times New Roman" w:hAnsi="Times New Roman"/>
          <w:sz w:val="24"/>
        </w:rPr>
      </w:pPr>
    </w:p>
    <w:p w14:paraId="51A327E0" w14:textId="77777777" w:rsidR="000B0B09" w:rsidRPr="00E07C9A" w:rsidRDefault="00125707" w:rsidP="0023700C">
      <w:pPr>
        <w:pStyle w:val="Instructionsberschrift2"/>
        <w:numPr>
          <w:ilvl w:val="0"/>
          <w:numId w:val="0"/>
        </w:numPr>
        <w:ind w:left="357" w:hanging="357"/>
        <w:rPr>
          <w:rFonts w:ascii="Times New Roman" w:hAnsi="Times New Roman" w:cs="Times New Roman"/>
          <w:sz w:val="24"/>
        </w:rPr>
      </w:pPr>
      <w:bookmarkStart w:id="749" w:name="_Toc360188413"/>
      <w:bookmarkStart w:id="750" w:name="_Toc473561053"/>
      <w:bookmarkStart w:id="751" w:name="_Toc115857897"/>
      <w:r w:rsidRPr="00E07C9A">
        <w:rPr>
          <w:rFonts w:ascii="Times New Roman" w:hAnsi="Times New Roman" w:cs="Times New Roman"/>
          <w:sz w:val="24"/>
          <w:u w:val="none"/>
        </w:rPr>
        <w:t>5.8.</w:t>
      </w:r>
      <w:r w:rsidRPr="00E07C9A">
        <w:rPr>
          <w:rFonts w:ascii="Times New Roman" w:hAnsi="Times New Roman" w:cs="Times New Roman"/>
          <w:u w:val="none"/>
        </w:rPr>
        <w:tab/>
      </w:r>
      <w:r w:rsidRPr="00E07C9A">
        <w:rPr>
          <w:rFonts w:ascii="Times New Roman" w:hAnsi="Times New Roman" w:cs="Times New Roman"/>
          <w:sz w:val="24"/>
        </w:rPr>
        <w:t>C 25.00 – RIZIKO ÚPRAVY OCENENIA POHĽADÁVOK</w:t>
      </w:r>
      <w:bookmarkEnd w:id="749"/>
      <w:r w:rsidRPr="00E07C9A">
        <w:rPr>
          <w:rFonts w:ascii="Times New Roman" w:hAnsi="Times New Roman" w:cs="Times New Roman"/>
          <w:sz w:val="24"/>
        </w:rPr>
        <w:t xml:space="preserve"> (CVA)</w:t>
      </w:r>
      <w:bookmarkEnd w:id="750"/>
      <w:bookmarkEnd w:id="751"/>
    </w:p>
    <w:p w14:paraId="7B3DA040" w14:textId="77777777" w:rsidR="000B0B09" w:rsidRPr="00E07C9A" w:rsidRDefault="00125707" w:rsidP="0023700C">
      <w:pPr>
        <w:pStyle w:val="Instructionsberschrift2"/>
        <w:numPr>
          <w:ilvl w:val="0"/>
          <w:numId w:val="0"/>
        </w:numPr>
        <w:ind w:left="357" w:hanging="357"/>
        <w:rPr>
          <w:rFonts w:ascii="Times New Roman" w:hAnsi="Times New Roman" w:cs="Times New Roman"/>
          <w:sz w:val="24"/>
        </w:rPr>
      </w:pPr>
      <w:bookmarkStart w:id="752" w:name="_Toc360188414"/>
      <w:bookmarkStart w:id="753" w:name="_Toc473561054"/>
      <w:bookmarkStart w:id="754" w:name="_Toc115857898"/>
      <w:bookmarkStart w:id="755" w:name="_Toc310008820"/>
      <w:r w:rsidRPr="00E07C9A">
        <w:rPr>
          <w:rFonts w:ascii="Times New Roman" w:hAnsi="Times New Roman" w:cs="Times New Roman"/>
          <w:sz w:val="24"/>
          <w:u w:val="none"/>
        </w:rPr>
        <w:t>5.8.1.</w:t>
      </w:r>
      <w:r w:rsidRPr="00E07C9A">
        <w:rPr>
          <w:rFonts w:ascii="Times New Roman" w:hAnsi="Times New Roman" w:cs="Times New Roman"/>
          <w:u w:val="none"/>
        </w:rPr>
        <w:tab/>
      </w:r>
      <w:r w:rsidRPr="00E07C9A">
        <w:rPr>
          <w:rFonts w:ascii="Times New Roman" w:hAnsi="Times New Roman" w:cs="Times New Roman"/>
          <w:sz w:val="24"/>
        </w:rPr>
        <w:t>Pokyny týkajúce sa konkrétnych pozícií</w:t>
      </w:r>
      <w:bookmarkEnd w:id="752"/>
      <w:bookmarkEnd w:id="753"/>
      <w:bookmarkEnd w:id="7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E07C9A" w14:paraId="6FFA8667" w14:textId="77777777" w:rsidTr="00672D2A">
        <w:tc>
          <w:tcPr>
            <w:tcW w:w="8856" w:type="dxa"/>
            <w:gridSpan w:val="2"/>
            <w:shd w:val="clear" w:color="auto" w:fill="CCCCCC"/>
          </w:tcPr>
          <w:p w14:paraId="0639BC54" w14:textId="77777777" w:rsidR="000B0B09" w:rsidRPr="00E07C9A" w:rsidRDefault="000B0B09" w:rsidP="000B0B09">
            <w:pPr>
              <w:rPr>
                <w:rFonts w:ascii="Times New Roman" w:hAnsi="Times New Roman"/>
                <w:b/>
                <w:sz w:val="24"/>
              </w:rPr>
            </w:pPr>
            <w:r w:rsidRPr="00E07C9A">
              <w:rPr>
                <w:rFonts w:ascii="Times New Roman" w:hAnsi="Times New Roman"/>
                <w:b/>
                <w:sz w:val="24"/>
              </w:rPr>
              <w:t>Stĺpce</w:t>
            </w:r>
          </w:p>
        </w:tc>
      </w:tr>
      <w:tr w:rsidR="000B0B09" w:rsidRPr="00E07C9A" w14:paraId="20EC06E9" w14:textId="77777777" w:rsidTr="00672D2A">
        <w:tc>
          <w:tcPr>
            <w:tcW w:w="852" w:type="dxa"/>
          </w:tcPr>
          <w:p w14:paraId="79031DD8" w14:textId="77777777" w:rsidR="000B0B09" w:rsidRPr="00E07C9A" w:rsidRDefault="00787733" w:rsidP="000B0B09">
            <w:pPr>
              <w:rPr>
                <w:rFonts w:ascii="Times New Roman" w:hAnsi="Times New Roman"/>
                <w:sz w:val="24"/>
              </w:rPr>
            </w:pPr>
            <w:r w:rsidRPr="00E07C9A">
              <w:rPr>
                <w:rFonts w:ascii="Times New Roman" w:hAnsi="Times New Roman"/>
                <w:sz w:val="24"/>
              </w:rPr>
              <w:t>0010</w:t>
            </w:r>
          </w:p>
        </w:tc>
        <w:tc>
          <w:tcPr>
            <w:tcW w:w="8004" w:type="dxa"/>
          </w:tcPr>
          <w:p w14:paraId="7077064C" w14:textId="77777777" w:rsidR="009912F8" w:rsidRPr="00E07C9A" w:rsidRDefault="000B0B09" w:rsidP="000B0B09">
            <w:pPr>
              <w:rPr>
                <w:rFonts w:ascii="Times New Roman" w:hAnsi="Times New Roman"/>
                <w:b/>
                <w:sz w:val="24"/>
                <w:u w:val="single"/>
              </w:rPr>
            </w:pPr>
            <w:r w:rsidRPr="00E07C9A">
              <w:rPr>
                <w:rFonts w:ascii="Times New Roman" w:hAnsi="Times New Roman"/>
                <w:b/>
                <w:sz w:val="24"/>
                <w:u w:val="single"/>
              </w:rPr>
              <w:t>Hodnota expozície</w:t>
            </w:r>
          </w:p>
          <w:p w14:paraId="259F2F34" w14:textId="6B2C9006" w:rsidR="000B0B09" w:rsidRPr="00E07C9A" w:rsidRDefault="000B0B09" w:rsidP="000B0B09">
            <w:pPr>
              <w:rPr>
                <w:rFonts w:ascii="Times New Roman" w:hAnsi="Times New Roman"/>
                <w:sz w:val="24"/>
              </w:rPr>
            </w:pPr>
            <w:r w:rsidRPr="00E07C9A">
              <w:rPr>
                <w:rFonts w:ascii="Times New Roman" w:hAnsi="Times New Roman"/>
                <w:sz w:val="24"/>
              </w:rPr>
              <w:t xml:space="preserve">Článok 271 nariadenia (EÚ) </w:t>
            </w:r>
            <w:r w:rsidR="009912F8" w:rsidRPr="00E07C9A">
              <w:rPr>
                <w:rFonts w:ascii="Times New Roman" w:hAnsi="Times New Roman"/>
                <w:sz w:val="24"/>
              </w:rPr>
              <w:t>č. 575/2013 v </w:t>
            </w:r>
            <w:r w:rsidRPr="00E07C9A">
              <w:rPr>
                <w:rFonts w:ascii="Times New Roman" w:hAnsi="Times New Roman"/>
                <w:sz w:val="24"/>
              </w:rPr>
              <w:t>spojení</w:t>
            </w:r>
            <w:r w:rsidR="009912F8" w:rsidRPr="00E07C9A">
              <w:rPr>
                <w:rFonts w:ascii="Times New Roman" w:hAnsi="Times New Roman"/>
                <w:sz w:val="24"/>
              </w:rPr>
              <w:t xml:space="preserve"> s </w:t>
            </w:r>
            <w:r w:rsidRPr="00E07C9A">
              <w:rPr>
                <w:rFonts w:ascii="Times New Roman" w:hAnsi="Times New Roman"/>
                <w:sz w:val="24"/>
              </w:rPr>
              <w:t>článkom 382 uvedeného nariadenia</w:t>
            </w:r>
          </w:p>
          <w:p w14:paraId="66E2ABF7" w14:textId="77777777" w:rsidR="000B0B09" w:rsidRPr="00E07C9A" w:rsidRDefault="000B0B09" w:rsidP="000B0B09">
            <w:pPr>
              <w:rPr>
                <w:rFonts w:ascii="Times New Roman" w:hAnsi="Times New Roman"/>
                <w:sz w:val="24"/>
              </w:rPr>
            </w:pPr>
            <w:r w:rsidRPr="00E07C9A">
              <w:rPr>
                <w:rFonts w:ascii="Times New Roman" w:hAnsi="Times New Roman"/>
                <w:sz w:val="24"/>
              </w:rPr>
              <w:t>Celkový EAD zo všetkých transakcií, na ktoré sa uplatňuje požiadavka na vlastné zdroje pre riziko úpravy ocenenia pohľadávok.</w:t>
            </w:r>
          </w:p>
        </w:tc>
      </w:tr>
      <w:tr w:rsidR="000B0B09" w:rsidRPr="00E07C9A" w14:paraId="69AC1141" w14:textId="77777777" w:rsidTr="00672D2A">
        <w:tc>
          <w:tcPr>
            <w:tcW w:w="852" w:type="dxa"/>
          </w:tcPr>
          <w:p w14:paraId="19D1ECDE" w14:textId="77777777" w:rsidR="000B0B09" w:rsidRPr="00E07C9A" w:rsidRDefault="00787733" w:rsidP="000B0B09">
            <w:pPr>
              <w:rPr>
                <w:rFonts w:ascii="Times New Roman" w:hAnsi="Times New Roman"/>
                <w:sz w:val="24"/>
              </w:rPr>
            </w:pPr>
            <w:r w:rsidRPr="00E07C9A">
              <w:rPr>
                <w:rFonts w:ascii="Times New Roman" w:hAnsi="Times New Roman"/>
                <w:sz w:val="24"/>
              </w:rPr>
              <w:t>0020</w:t>
            </w:r>
          </w:p>
        </w:tc>
        <w:tc>
          <w:tcPr>
            <w:tcW w:w="8004" w:type="dxa"/>
          </w:tcPr>
          <w:p w14:paraId="36E0FE3A" w14:textId="77777777" w:rsidR="009912F8" w:rsidRPr="00E07C9A" w:rsidRDefault="000B0B09" w:rsidP="000B0B09">
            <w:pPr>
              <w:rPr>
                <w:rFonts w:ascii="Times New Roman" w:hAnsi="Times New Roman"/>
                <w:b/>
                <w:sz w:val="24"/>
                <w:u w:val="single"/>
              </w:rPr>
            </w:pPr>
            <w:r w:rsidRPr="00E07C9A">
              <w:rPr>
                <w:rFonts w:ascii="Times New Roman" w:hAnsi="Times New Roman"/>
                <w:b/>
                <w:sz w:val="24"/>
                <w:u w:val="single"/>
              </w:rPr>
              <w:t>Z čoho: OTC deriváty</w:t>
            </w:r>
          </w:p>
          <w:p w14:paraId="2394766F" w14:textId="76F314E3" w:rsidR="000B0B09" w:rsidRPr="00E07C9A" w:rsidRDefault="000B0B09" w:rsidP="000B0B09">
            <w:pPr>
              <w:rPr>
                <w:rFonts w:ascii="Times New Roman" w:hAnsi="Times New Roman"/>
                <w:sz w:val="24"/>
              </w:rPr>
            </w:pPr>
            <w:r w:rsidRPr="00E07C9A">
              <w:rPr>
                <w:rFonts w:ascii="Times New Roman" w:hAnsi="Times New Roman"/>
                <w:sz w:val="24"/>
              </w:rPr>
              <w:t xml:space="preserve">Článok 271 nariadenia (EÚ) </w:t>
            </w:r>
            <w:r w:rsidR="009912F8" w:rsidRPr="00E07C9A">
              <w:rPr>
                <w:rFonts w:ascii="Times New Roman" w:hAnsi="Times New Roman"/>
                <w:sz w:val="24"/>
              </w:rPr>
              <w:t>č. 575/2013 v </w:t>
            </w:r>
            <w:r w:rsidRPr="00E07C9A">
              <w:rPr>
                <w:rFonts w:ascii="Times New Roman" w:hAnsi="Times New Roman"/>
                <w:sz w:val="24"/>
              </w:rPr>
              <w:t>spojení</w:t>
            </w:r>
            <w:r w:rsidR="009912F8" w:rsidRPr="00E07C9A">
              <w:rPr>
                <w:rFonts w:ascii="Times New Roman" w:hAnsi="Times New Roman"/>
                <w:sz w:val="24"/>
              </w:rPr>
              <w:t xml:space="preserve"> s </w:t>
            </w:r>
            <w:r w:rsidRPr="00E07C9A">
              <w:rPr>
                <w:rFonts w:ascii="Times New Roman" w:hAnsi="Times New Roman"/>
                <w:sz w:val="24"/>
              </w:rPr>
              <w:t>článkom 382 ods. 1 uvedeného nariadenia</w:t>
            </w:r>
          </w:p>
          <w:p w14:paraId="119058D1" w14:textId="5819BF19" w:rsidR="000B0B09" w:rsidRPr="00E07C9A" w:rsidRDefault="000B0B09" w:rsidP="000B0B09">
            <w:pPr>
              <w:rPr>
                <w:rFonts w:ascii="Times New Roman" w:hAnsi="Times New Roman"/>
                <w:sz w:val="24"/>
              </w:rPr>
            </w:pPr>
            <w:r w:rsidRPr="00E07C9A">
              <w:rPr>
                <w:rFonts w:ascii="Times New Roman" w:hAnsi="Times New Roman"/>
                <w:sz w:val="24"/>
              </w:rPr>
              <w:t>Časť celkovej expozície voči kreditnému riziku protistrany založená výlučne na OTC derivátoch. Táto informácia sa nepožaduje od inštitúcií, ktoré používajú metódu interných modelov (IMM)</w:t>
            </w:r>
            <w:r w:rsidR="009912F8" w:rsidRPr="00E07C9A">
              <w:rPr>
                <w:rFonts w:ascii="Times New Roman" w:hAnsi="Times New Roman"/>
                <w:sz w:val="24"/>
              </w:rPr>
              <w:t xml:space="preserve"> a </w:t>
            </w:r>
            <w:r w:rsidRPr="00E07C9A">
              <w:rPr>
                <w:rFonts w:ascii="Times New Roman" w:hAnsi="Times New Roman"/>
                <w:sz w:val="24"/>
              </w:rPr>
              <w:t>držia OTC deriváty</w:t>
            </w:r>
            <w:r w:rsidR="009912F8" w:rsidRPr="00E07C9A">
              <w:rPr>
                <w:rFonts w:ascii="Times New Roman" w:hAnsi="Times New Roman"/>
                <w:sz w:val="24"/>
              </w:rPr>
              <w:t xml:space="preserve"> a </w:t>
            </w:r>
            <w:r w:rsidRPr="00E07C9A">
              <w:rPr>
                <w:rFonts w:ascii="Times New Roman" w:hAnsi="Times New Roman"/>
                <w:sz w:val="24"/>
              </w:rPr>
              <w:t>SFT</w:t>
            </w:r>
            <w:r w:rsidR="009912F8" w:rsidRPr="00E07C9A">
              <w:rPr>
                <w:rFonts w:ascii="Times New Roman" w:hAnsi="Times New Roman"/>
                <w:sz w:val="24"/>
              </w:rPr>
              <w:t xml:space="preserve"> v </w:t>
            </w:r>
            <w:r w:rsidRPr="00E07C9A">
              <w:rPr>
                <w:rFonts w:ascii="Times New Roman" w:hAnsi="Times New Roman"/>
                <w:sz w:val="24"/>
              </w:rPr>
              <w:t>rovnakom súbore vzájomného započítavania.</w:t>
            </w:r>
          </w:p>
        </w:tc>
      </w:tr>
      <w:tr w:rsidR="000B0B09" w:rsidRPr="00E07C9A" w14:paraId="548A8A92" w14:textId="77777777" w:rsidTr="00672D2A">
        <w:tc>
          <w:tcPr>
            <w:tcW w:w="852" w:type="dxa"/>
          </w:tcPr>
          <w:p w14:paraId="091EE7D2" w14:textId="77777777" w:rsidR="000B0B09" w:rsidRPr="00E07C9A" w:rsidRDefault="00787733" w:rsidP="000B0B09">
            <w:pPr>
              <w:rPr>
                <w:rFonts w:ascii="Times New Roman" w:hAnsi="Times New Roman"/>
                <w:sz w:val="24"/>
              </w:rPr>
            </w:pPr>
            <w:r w:rsidRPr="00E07C9A">
              <w:rPr>
                <w:rFonts w:ascii="Times New Roman" w:hAnsi="Times New Roman"/>
                <w:sz w:val="24"/>
              </w:rPr>
              <w:t>0030</w:t>
            </w:r>
          </w:p>
        </w:tc>
        <w:tc>
          <w:tcPr>
            <w:tcW w:w="8004" w:type="dxa"/>
          </w:tcPr>
          <w:p w14:paraId="5705BF54" w14:textId="77777777" w:rsidR="009912F8" w:rsidRPr="00E07C9A" w:rsidRDefault="000B0B09" w:rsidP="000B0B09">
            <w:pPr>
              <w:rPr>
                <w:rFonts w:ascii="Times New Roman" w:hAnsi="Times New Roman"/>
                <w:b/>
                <w:sz w:val="24"/>
                <w:u w:val="single"/>
              </w:rPr>
            </w:pPr>
            <w:r w:rsidRPr="00E07C9A">
              <w:rPr>
                <w:rFonts w:ascii="Times New Roman" w:hAnsi="Times New Roman"/>
                <w:b/>
                <w:sz w:val="24"/>
                <w:u w:val="single"/>
              </w:rPr>
              <w:t>Z čoho: SFT</w:t>
            </w:r>
          </w:p>
          <w:p w14:paraId="5E65AC58" w14:textId="3A639176" w:rsidR="000B0B09" w:rsidRPr="00E07C9A" w:rsidRDefault="000B0B09" w:rsidP="000B0B09">
            <w:pPr>
              <w:rPr>
                <w:rFonts w:ascii="Times New Roman" w:hAnsi="Times New Roman"/>
                <w:sz w:val="24"/>
              </w:rPr>
            </w:pPr>
            <w:r w:rsidRPr="00E07C9A">
              <w:rPr>
                <w:rFonts w:ascii="Times New Roman" w:hAnsi="Times New Roman"/>
                <w:sz w:val="24"/>
              </w:rPr>
              <w:t xml:space="preserve">Článok 271 nariadenia (EÚ) </w:t>
            </w:r>
            <w:r w:rsidR="009912F8" w:rsidRPr="00E07C9A">
              <w:rPr>
                <w:rFonts w:ascii="Times New Roman" w:hAnsi="Times New Roman"/>
                <w:sz w:val="24"/>
              </w:rPr>
              <w:t>č. 575/2013 v </w:t>
            </w:r>
            <w:r w:rsidRPr="00E07C9A">
              <w:rPr>
                <w:rFonts w:ascii="Times New Roman" w:hAnsi="Times New Roman"/>
                <w:sz w:val="24"/>
              </w:rPr>
              <w:t>spojení</w:t>
            </w:r>
            <w:r w:rsidR="009912F8" w:rsidRPr="00E07C9A">
              <w:rPr>
                <w:rFonts w:ascii="Times New Roman" w:hAnsi="Times New Roman"/>
                <w:sz w:val="24"/>
              </w:rPr>
              <w:t xml:space="preserve"> s </w:t>
            </w:r>
            <w:r w:rsidRPr="00E07C9A">
              <w:rPr>
                <w:rFonts w:ascii="Times New Roman" w:hAnsi="Times New Roman"/>
                <w:sz w:val="24"/>
              </w:rPr>
              <w:t>článkom 382 ods. 2 uvedeného nariadenia</w:t>
            </w:r>
          </w:p>
          <w:p w14:paraId="7D919192" w14:textId="1B5345F5" w:rsidR="000B0B09" w:rsidRPr="00E07C9A" w:rsidRDefault="000B0B09">
            <w:pPr>
              <w:rPr>
                <w:rFonts w:ascii="Times New Roman" w:hAnsi="Times New Roman"/>
                <w:sz w:val="24"/>
              </w:rPr>
            </w:pPr>
            <w:r w:rsidRPr="00E07C9A">
              <w:rPr>
                <w:rFonts w:ascii="Times New Roman" w:hAnsi="Times New Roman"/>
                <w:sz w:val="24"/>
              </w:rPr>
              <w:t>Časť celkovej expozície voči kreditnému riziku protistrany založená výlučne na derivátoch SFT. Táto informácia sa nepožaduje od inštitúcií, ktoré používajú metódu interných modelov (IMM)</w:t>
            </w:r>
            <w:r w:rsidR="009912F8" w:rsidRPr="00E07C9A">
              <w:rPr>
                <w:rFonts w:ascii="Times New Roman" w:hAnsi="Times New Roman"/>
                <w:sz w:val="24"/>
              </w:rPr>
              <w:t xml:space="preserve"> a </w:t>
            </w:r>
            <w:r w:rsidRPr="00E07C9A">
              <w:rPr>
                <w:rFonts w:ascii="Times New Roman" w:hAnsi="Times New Roman"/>
                <w:sz w:val="24"/>
              </w:rPr>
              <w:t>držia OTC deriváty</w:t>
            </w:r>
            <w:r w:rsidR="009912F8" w:rsidRPr="00E07C9A">
              <w:rPr>
                <w:rFonts w:ascii="Times New Roman" w:hAnsi="Times New Roman"/>
                <w:sz w:val="24"/>
              </w:rPr>
              <w:t xml:space="preserve"> a </w:t>
            </w:r>
            <w:r w:rsidRPr="00E07C9A">
              <w:rPr>
                <w:rFonts w:ascii="Times New Roman" w:hAnsi="Times New Roman"/>
                <w:sz w:val="24"/>
              </w:rPr>
              <w:t>SFT</w:t>
            </w:r>
            <w:r w:rsidR="009912F8" w:rsidRPr="00E07C9A">
              <w:rPr>
                <w:rFonts w:ascii="Times New Roman" w:hAnsi="Times New Roman"/>
                <w:sz w:val="24"/>
              </w:rPr>
              <w:t xml:space="preserve"> v </w:t>
            </w:r>
            <w:r w:rsidRPr="00E07C9A">
              <w:rPr>
                <w:rFonts w:ascii="Times New Roman" w:hAnsi="Times New Roman"/>
                <w:sz w:val="24"/>
              </w:rPr>
              <w:t>rovnakom súbore vzájomného započítavania.</w:t>
            </w:r>
          </w:p>
        </w:tc>
      </w:tr>
      <w:tr w:rsidR="000B0B09" w:rsidRPr="00E07C9A" w14:paraId="7FEA0CB9" w14:textId="77777777" w:rsidTr="00672D2A">
        <w:tc>
          <w:tcPr>
            <w:tcW w:w="852" w:type="dxa"/>
          </w:tcPr>
          <w:p w14:paraId="61F2D8AE" w14:textId="77777777" w:rsidR="000B0B09" w:rsidRPr="00E07C9A" w:rsidRDefault="00787733" w:rsidP="000B0B09">
            <w:pPr>
              <w:rPr>
                <w:rFonts w:ascii="Times New Roman" w:hAnsi="Times New Roman"/>
                <w:sz w:val="24"/>
              </w:rPr>
            </w:pPr>
            <w:r w:rsidRPr="00E07C9A">
              <w:rPr>
                <w:rFonts w:ascii="Times New Roman" w:hAnsi="Times New Roman"/>
                <w:sz w:val="24"/>
              </w:rPr>
              <w:t>0040</w:t>
            </w:r>
          </w:p>
        </w:tc>
        <w:tc>
          <w:tcPr>
            <w:tcW w:w="8004" w:type="dxa"/>
          </w:tcPr>
          <w:p w14:paraId="3C6F7CA7" w14:textId="77777777" w:rsidR="000B0B09" w:rsidRPr="00E07C9A" w:rsidRDefault="000B0B09" w:rsidP="000B0B09">
            <w:pPr>
              <w:rPr>
                <w:rFonts w:ascii="Times New Roman" w:hAnsi="Times New Roman"/>
                <w:b/>
                <w:sz w:val="24"/>
                <w:u w:val="single"/>
              </w:rPr>
            </w:pPr>
            <w:r w:rsidRPr="00E07C9A">
              <w:rPr>
                <w:rFonts w:ascii="Times New Roman" w:hAnsi="Times New Roman"/>
                <w:b/>
                <w:sz w:val="24"/>
                <w:u w:val="single"/>
              </w:rPr>
              <w:t>MULTIPLIKAČNÝ KOEFICIENT (mc) x PRIEMER ZA PREDCHÁDZAJÚCICH 60 PRACOVNÝCH DNÍ (VaRavg)</w:t>
            </w:r>
          </w:p>
          <w:p w14:paraId="4B3C2A37" w14:textId="04A0E9D6" w:rsidR="009912F8" w:rsidRPr="00E07C9A" w:rsidRDefault="000B0B09">
            <w:pPr>
              <w:rPr>
                <w:rFonts w:ascii="Times New Roman" w:hAnsi="Times New Roman"/>
                <w:sz w:val="24"/>
              </w:rPr>
            </w:pPr>
            <w:r w:rsidRPr="00E07C9A">
              <w:rPr>
                <w:rFonts w:ascii="Times New Roman" w:hAnsi="Times New Roman"/>
                <w:sz w:val="24"/>
              </w:rPr>
              <w:t xml:space="preserve">Článok 383 nariadenia (EÚ) </w:t>
            </w:r>
            <w:r w:rsidR="009912F8" w:rsidRPr="00E07C9A">
              <w:rPr>
                <w:rFonts w:ascii="Times New Roman" w:hAnsi="Times New Roman"/>
                <w:sz w:val="24"/>
              </w:rPr>
              <w:t>č. 575/2013 v </w:t>
            </w:r>
            <w:r w:rsidRPr="00E07C9A">
              <w:rPr>
                <w:rFonts w:ascii="Times New Roman" w:hAnsi="Times New Roman"/>
                <w:sz w:val="24"/>
              </w:rPr>
              <w:t>spojení</w:t>
            </w:r>
            <w:r w:rsidR="009912F8" w:rsidRPr="00E07C9A">
              <w:rPr>
                <w:rFonts w:ascii="Times New Roman" w:hAnsi="Times New Roman"/>
                <w:sz w:val="24"/>
              </w:rPr>
              <w:t xml:space="preserve"> s </w:t>
            </w:r>
            <w:r w:rsidRPr="00E07C9A">
              <w:rPr>
                <w:rFonts w:ascii="Times New Roman" w:hAnsi="Times New Roman"/>
                <w:sz w:val="24"/>
              </w:rPr>
              <w:t>článkom 363 ods. 1 písm. d) uvedeného nariadenia</w:t>
            </w:r>
          </w:p>
          <w:p w14:paraId="5D3CC8A3" w14:textId="1289CAF7" w:rsidR="000B0B09" w:rsidRPr="00E07C9A" w:rsidRDefault="000B0B09">
            <w:pPr>
              <w:rPr>
                <w:rFonts w:ascii="Times New Roman" w:hAnsi="Times New Roman"/>
                <w:sz w:val="24"/>
              </w:rPr>
            </w:pPr>
            <w:r w:rsidRPr="00E07C9A">
              <w:rPr>
                <w:rFonts w:ascii="Times New Roman" w:hAnsi="Times New Roman"/>
                <w:sz w:val="24"/>
              </w:rPr>
              <w:t xml:space="preserve">Výpočet VaR založený na interných modeloch pre trhové riziko. </w:t>
            </w:r>
          </w:p>
        </w:tc>
      </w:tr>
      <w:tr w:rsidR="000B0B09" w:rsidRPr="00E07C9A" w14:paraId="03991509" w14:textId="77777777" w:rsidTr="00672D2A">
        <w:tc>
          <w:tcPr>
            <w:tcW w:w="852" w:type="dxa"/>
          </w:tcPr>
          <w:p w14:paraId="50F70A8B" w14:textId="77777777" w:rsidR="000B0B09" w:rsidRPr="00E07C9A" w:rsidRDefault="00787733" w:rsidP="000B0B09">
            <w:pPr>
              <w:rPr>
                <w:rFonts w:ascii="Times New Roman" w:hAnsi="Times New Roman"/>
                <w:sz w:val="24"/>
              </w:rPr>
            </w:pPr>
            <w:r w:rsidRPr="00E07C9A">
              <w:rPr>
                <w:rFonts w:ascii="Times New Roman" w:hAnsi="Times New Roman"/>
                <w:sz w:val="24"/>
              </w:rPr>
              <w:t>0050</w:t>
            </w:r>
          </w:p>
        </w:tc>
        <w:tc>
          <w:tcPr>
            <w:tcW w:w="8004" w:type="dxa"/>
          </w:tcPr>
          <w:p w14:paraId="305C61B8" w14:textId="77777777" w:rsidR="000B0B09" w:rsidRPr="00E07C9A" w:rsidRDefault="000B0B09" w:rsidP="000B0B09">
            <w:pPr>
              <w:rPr>
                <w:rFonts w:ascii="Times New Roman" w:hAnsi="Times New Roman"/>
                <w:b/>
                <w:bCs/>
                <w:sz w:val="24"/>
                <w:u w:val="single"/>
              </w:rPr>
            </w:pPr>
            <w:r w:rsidRPr="00E07C9A">
              <w:rPr>
                <w:rFonts w:ascii="Times New Roman" w:hAnsi="Times New Roman"/>
                <w:b/>
                <w:sz w:val="24"/>
                <w:u w:val="single"/>
              </w:rPr>
              <w:t>PREDCHÁDZAJÚCI DEŇ (VaRt-1)</w:t>
            </w:r>
          </w:p>
          <w:p w14:paraId="631DA6E9" w14:textId="252E8ED0" w:rsidR="000B0B09" w:rsidRPr="00E07C9A" w:rsidRDefault="000B0B09" w:rsidP="002300C6">
            <w:pPr>
              <w:rPr>
                <w:rFonts w:ascii="Times New Roman" w:hAnsi="Times New Roman"/>
                <w:sz w:val="24"/>
              </w:rPr>
            </w:pPr>
            <w:r w:rsidRPr="00E07C9A">
              <w:rPr>
                <w:rFonts w:ascii="Times New Roman" w:hAnsi="Times New Roman"/>
                <w:sz w:val="24"/>
              </w:rPr>
              <w:t>Pozri pokyny</w:t>
            </w:r>
            <w:r w:rsidR="009912F8" w:rsidRPr="00E07C9A">
              <w:rPr>
                <w:rFonts w:ascii="Times New Roman" w:hAnsi="Times New Roman"/>
                <w:sz w:val="24"/>
              </w:rPr>
              <w:t xml:space="preserve"> k </w:t>
            </w:r>
            <w:r w:rsidRPr="00E07C9A">
              <w:rPr>
                <w:rFonts w:ascii="Times New Roman" w:hAnsi="Times New Roman"/>
                <w:sz w:val="24"/>
              </w:rPr>
              <w:t>stĺpcu 0040.</w:t>
            </w:r>
          </w:p>
        </w:tc>
      </w:tr>
      <w:tr w:rsidR="000B0B09" w:rsidRPr="00E07C9A" w14:paraId="3598E47B" w14:textId="77777777" w:rsidTr="00672D2A">
        <w:tc>
          <w:tcPr>
            <w:tcW w:w="852" w:type="dxa"/>
          </w:tcPr>
          <w:p w14:paraId="22C8AC53" w14:textId="77777777" w:rsidR="000B0B09" w:rsidRPr="00E07C9A" w:rsidRDefault="00787733" w:rsidP="000B0B09">
            <w:pPr>
              <w:rPr>
                <w:rFonts w:ascii="Times New Roman" w:hAnsi="Times New Roman"/>
                <w:sz w:val="24"/>
              </w:rPr>
            </w:pPr>
            <w:r w:rsidRPr="00E07C9A">
              <w:rPr>
                <w:rFonts w:ascii="Times New Roman" w:hAnsi="Times New Roman"/>
                <w:sz w:val="24"/>
              </w:rPr>
              <w:t>0060</w:t>
            </w:r>
          </w:p>
        </w:tc>
        <w:tc>
          <w:tcPr>
            <w:tcW w:w="8004" w:type="dxa"/>
          </w:tcPr>
          <w:p w14:paraId="0787AC85" w14:textId="77777777" w:rsidR="000B0B09" w:rsidRPr="00E07C9A" w:rsidRDefault="000B0B09" w:rsidP="000B0B09">
            <w:pPr>
              <w:rPr>
                <w:rFonts w:ascii="Times New Roman" w:hAnsi="Times New Roman"/>
                <w:b/>
                <w:bCs/>
                <w:sz w:val="24"/>
                <w:u w:val="single"/>
              </w:rPr>
            </w:pPr>
            <w:r w:rsidRPr="00E07C9A">
              <w:rPr>
                <w:rFonts w:ascii="Times New Roman" w:hAnsi="Times New Roman"/>
                <w:b/>
                <w:sz w:val="24"/>
                <w:u w:val="single"/>
              </w:rPr>
              <w:t>MULTIPLIKAČNÝ KOEFICIENT (ms) x PRIEMER ZA PREDCHÁDZAJÚCICH 60 PRACOVNÝCH DNÍ (SVaRavg)</w:t>
            </w:r>
          </w:p>
          <w:p w14:paraId="7AF21EEA" w14:textId="0313A8ED" w:rsidR="000B0B09" w:rsidRPr="00E07C9A" w:rsidRDefault="000B0B09" w:rsidP="002300C6">
            <w:pPr>
              <w:rPr>
                <w:rFonts w:ascii="Times New Roman" w:hAnsi="Times New Roman"/>
                <w:sz w:val="24"/>
              </w:rPr>
            </w:pPr>
            <w:r w:rsidRPr="00E07C9A">
              <w:rPr>
                <w:rFonts w:ascii="Times New Roman" w:hAnsi="Times New Roman"/>
                <w:sz w:val="24"/>
              </w:rPr>
              <w:t>Pozri pokyny</w:t>
            </w:r>
            <w:r w:rsidR="009912F8" w:rsidRPr="00E07C9A">
              <w:rPr>
                <w:rFonts w:ascii="Times New Roman" w:hAnsi="Times New Roman"/>
                <w:sz w:val="24"/>
              </w:rPr>
              <w:t xml:space="preserve"> k </w:t>
            </w:r>
            <w:r w:rsidRPr="00E07C9A">
              <w:rPr>
                <w:rFonts w:ascii="Times New Roman" w:hAnsi="Times New Roman"/>
                <w:sz w:val="24"/>
              </w:rPr>
              <w:t>stĺpcu 0040.</w:t>
            </w:r>
          </w:p>
        </w:tc>
      </w:tr>
      <w:tr w:rsidR="000B0B09" w:rsidRPr="00E07C9A" w14:paraId="09A6D9BE" w14:textId="77777777" w:rsidTr="00672D2A">
        <w:tc>
          <w:tcPr>
            <w:tcW w:w="852" w:type="dxa"/>
          </w:tcPr>
          <w:p w14:paraId="458204B2" w14:textId="77777777" w:rsidR="000B0B09" w:rsidRPr="00E07C9A" w:rsidRDefault="00787733" w:rsidP="000B0B09">
            <w:pPr>
              <w:rPr>
                <w:rFonts w:ascii="Times New Roman" w:hAnsi="Times New Roman"/>
                <w:sz w:val="24"/>
              </w:rPr>
            </w:pPr>
            <w:r w:rsidRPr="00E07C9A">
              <w:rPr>
                <w:rFonts w:ascii="Times New Roman" w:hAnsi="Times New Roman"/>
                <w:sz w:val="24"/>
              </w:rPr>
              <w:t>0070</w:t>
            </w:r>
          </w:p>
        </w:tc>
        <w:tc>
          <w:tcPr>
            <w:tcW w:w="8004" w:type="dxa"/>
          </w:tcPr>
          <w:p w14:paraId="27FAFB7B" w14:textId="77777777" w:rsidR="000B0B09" w:rsidRPr="00E07C9A" w:rsidRDefault="000B0B09" w:rsidP="000B0B09">
            <w:pPr>
              <w:rPr>
                <w:rFonts w:ascii="Times New Roman" w:hAnsi="Times New Roman"/>
                <w:b/>
                <w:sz w:val="24"/>
                <w:u w:val="single"/>
              </w:rPr>
            </w:pPr>
            <w:r w:rsidRPr="00E07C9A">
              <w:rPr>
                <w:rFonts w:ascii="Times New Roman" w:hAnsi="Times New Roman"/>
                <w:b/>
                <w:sz w:val="24"/>
                <w:u w:val="single"/>
              </w:rPr>
              <w:t>NAJNOVŠIA DOSTUPNÁ HODNOTA (SVaRt-1)</w:t>
            </w:r>
          </w:p>
          <w:p w14:paraId="628E56DA" w14:textId="670E95AE" w:rsidR="000B0B09" w:rsidRPr="00E07C9A" w:rsidRDefault="000B0B09" w:rsidP="002300C6">
            <w:pPr>
              <w:rPr>
                <w:rFonts w:ascii="Times New Roman" w:hAnsi="Times New Roman"/>
                <w:b/>
                <w:sz w:val="24"/>
                <w:u w:val="single"/>
              </w:rPr>
            </w:pPr>
            <w:r w:rsidRPr="00E07C9A">
              <w:rPr>
                <w:rFonts w:ascii="Times New Roman" w:hAnsi="Times New Roman"/>
                <w:sz w:val="24"/>
              </w:rPr>
              <w:t>Pozri pokyny</w:t>
            </w:r>
            <w:r w:rsidR="009912F8" w:rsidRPr="00E07C9A">
              <w:rPr>
                <w:rFonts w:ascii="Times New Roman" w:hAnsi="Times New Roman"/>
                <w:sz w:val="24"/>
              </w:rPr>
              <w:t xml:space="preserve"> k </w:t>
            </w:r>
            <w:r w:rsidRPr="00E07C9A">
              <w:rPr>
                <w:rFonts w:ascii="Times New Roman" w:hAnsi="Times New Roman"/>
                <w:sz w:val="24"/>
              </w:rPr>
              <w:t>stĺpcu 0040.</w:t>
            </w:r>
          </w:p>
        </w:tc>
      </w:tr>
      <w:tr w:rsidR="000B0B09" w:rsidRPr="00E07C9A" w14:paraId="4E2050FD" w14:textId="77777777" w:rsidTr="00672D2A">
        <w:tc>
          <w:tcPr>
            <w:tcW w:w="852" w:type="dxa"/>
          </w:tcPr>
          <w:p w14:paraId="60FBFAC1" w14:textId="77777777" w:rsidR="000B0B09" w:rsidRPr="00E07C9A" w:rsidRDefault="00787733" w:rsidP="000B0B09">
            <w:pPr>
              <w:rPr>
                <w:rFonts w:ascii="Times New Roman" w:hAnsi="Times New Roman"/>
                <w:sz w:val="24"/>
              </w:rPr>
            </w:pPr>
            <w:r w:rsidRPr="00E07C9A">
              <w:rPr>
                <w:rFonts w:ascii="Times New Roman" w:hAnsi="Times New Roman"/>
                <w:sz w:val="24"/>
              </w:rPr>
              <w:t>0080</w:t>
            </w:r>
          </w:p>
        </w:tc>
        <w:tc>
          <w:tcPr>
            <w:tcW w:w="8004" w:type="dxa"/>
          </w:tcPr>
          <w:p w14:paraId="3DCFA8D0" w14:textId="77777777" w:rsidR="000B0B09" w:rsidRPr="00E07C9A" w:rsidRDefault="000B0B09" w:rsidP="000B0B09">
            <w:pPr>
              <w:rPr>
                <w:rFonts w:ascii="Times New Roman" w:hAnsi="Times New Roman"/>
                <w:b/>
                <w:sz w:val="24"/>
                <w:u w:val="single"/>
              </w:rPr>
            </w:pPr>
            <w:r w:rsidRPr="00E07C9A">
              <w:rPr>
                <w:rFonts w:ascii="Times New Roman" w:hAnsi="Times New Roman"/>
                <w:b/>
                <w:sz w:val="24"/>
                <w:u w:val="single"/>
              </w:rPr>
              <w:t>POŽIADAVKY NA VLASTNÉ ZDROJE</w:t>
            </w:r>
          </w:p>
          <w:p w14:paraId="669B5DAA" w14:textId="676DFB6F" w:rsidR="009912F8" w:rsidRPr="00E07C9A" w:rsidRDefault="001E0C80">
            <w:pPr>
              <w:rPr>
                <w:rFonts w:ascii="Times New Roman" w:hAnsi="Times New Roman"/>
                <w:sz w:val="24"/>
              </w:rPr>
            </w:pPr>
            <w:r w:rsidRPr="00E07C9A">
              <w:rPr>
                <w:rFonts w:ascii="Times New Roman" w:hAnsi="Times New Roman"/>
                <w:sz w:val="24"/>
              </w:rPr>
              <w:t xml:space="preserve"> Článok 92 ods. 3 písm. d) nariadenia (EÚ) </w:t>
            </w:r>
            <w:r w:rsidR="009912F8" w:rsidRPr="00E07C9A">
              <w:rPr>
                <w:rFonts w:ascii="Times New Roman" w:hAnsi="Times New Roman"/>
                <w:sz w:val="24"/>
              </w:rPr>
              <w:t>č. 575/2013</w:t>
            </w:r>
          </w:p>
          <w:p w14:paraId="2FF110DA" w14:textId="5E2C5A91" w:rsidR="000B0B09" w:rsidRPr="00E07C9A" w:rsidRDefault="000B0B09">
            <w:pPr>
              <w:rPr>
                <w:rFonts w:ascii="Times New Roman" w:hAnsi="Times New Roman"/>
                <w:sz w:val="24"/>
              </w:rPr>
            </w:pPr>
            <w:r w:rsidRPr="00E07C9A">
              <w:rPr>
                <w:rFonts w:ascii="Times New Roman" w:hAnsi="Times New Roman"/>
                <w:sz w:val="24"/>
              </w:rPr>
              <w:t>Požiadavky na vlastné zdroje pre riziko úpravy ocenenia pohľadávok vypočítané pomocou zvolenej metódy.</w:t>
            </w:r>
          </w:p>
        </w:tc>
      </w:tr>
      <w:tr w:rsidR="000B0B09" w:rsidRPr="00E07C9A" w14:paraId="3F492D77" w14:textId="77777777" w:rsidTr="00672D2A">
        <w:tc>
          <w:tcPr>
            <w:tcW w:w="852" w:type="dxa"/>
          </w:tcPr>
          <w:p w14:paraId="48CFD2ED" w14:textId="77777777" w:rsidR="000B0B09" w:rsidRPr="00E07C9A" w:rsidRDefault="00787733" w:rsidP="000B0B09">
            <w:pPr>
              <w:rPr>
                <w:rFonts w:ascii="Times New Roman" w:hAnsi="Times New Roman"/>
                <w:sz w:val="24"/>
              </w:rPr>
            </w:pPr>
            <w:r w:rsidRPr="00E07C9A">
              <w:rPr>
                <w:rFonts w:ascii="Times New Roman" w:hAnsi="Times New Roman"/>
                <w:sz w:val="24"/>
              </w:rPr>
              <w:t>0090</w:t>
            </w:r>
          </w:p>
        </w:tc>
        <w:tc>
          <w:tcPr>
            <w:tcW w:w="8004" w:type="dxa"/>
          </w:tcPr>
          <w:p w14:paraId="67DB9FD8" w14:textId="77777777" w:rsidR="000B0B09" w:rsidRPr="00E07C9A" w:rsidRDefault="000B0B09" w:rsidP="000B0B09">
            <w:pPr>
              <w:rPr>
                <w:rFonts w:ascii="Times New Roman" w:hAnsi="Times New Roman"/>
                <w:b/>
                <w:sz w:val="24"/>
                <w:u w:val="single"/>
              </w:rPr>
            </w:pPr>
            <w:r w:rsidRPr="00E07C9A">
              <w:rPr>
                <w:rFonts w:ascii="Times New Roman" w:hAnsi="Times New Roman"/>
                <w:b/>
                <w:sz w:val="24"/>
                <w:u w:val="single"/>
              </w:rPr>
              <w:t>CELKOVÁ HODNOTA RIZIKOVEJ EXPOZÍCIE</w:t>
            </w:r>
          </w:p>
          <w:p w14:paraId="6F9001D3" w14:textId="03474B82" w:rsidR="004F6B6B" w:rsidRPr="00E07C9A" w:rsidRDefault="001E0C80">
            <w:pPr>
              <w:rPr>
                <w:rFonts w:ascii="Times New Roman" w:hAnsi="Times New Roman"/>
                <w:sz w:val="24"/>
              </w:rPr>
            </w:pPr>
            <w:r w:rsidRPr="00E07C9A">
              <w:rPr>
                <w:rFonts w:ascii="Times New Roman" w:hAnsi="Times New Roman"/>
                <w:sz w:val="24"/>
              </w:rPr>
              <w:t xml:space="preserve"> Článok 92 ods. 4 písm. b) nariadenia (EÚ) </w:t>
            </w:r>
            <w:r w:rsidR="009912F8" w:rsidRPr="00E07C9A">
              <w:rPr>
                <w:rFonts w:ascii="Times New Roman" w:hAnsi="Times New Roman"/>
                <w:sz w:val="24"/>
              </w:rPr>
              <w:t>č. 575/2013</w:t>
            </w:r>
          </w:p>
          <w:p w14:paraId="02A2EC20" w14:textId="77777777" w:rsidR="000B0B09" w:rsidRPr="00E07C9A" w:rsidRDefault="000B0B09" w:rsidP="00787733">
            <w:pPr>
              <w:rPr>
                <w:rFonts w:ascii="Times New Roman" w:hAnsi="Times New Roman"/>
                <w:sz w:val="24"/>
              </w:rPr>
            </w:pPr>
            <w:r w:rsidRPr="00E07C9A">
              <w:rPr>
                <w:rFonts w:ascii="Times New Roman" w:hAnsi="Times New Roman"/>
                <w:sz w:val="24"/>
              </w:rPr>
              <w:t>Požiadavka na vlastné zdroje vynásobená koeficientom 12,5.</w:t>
            </w:r>
          </w:p>
        </w:tc>
      </w:tr>
      <w:tr w:rsidR="000B0B09" w:rsidRPr="00E07C9A" w14:paraId="626726A6" w14:textId="77777777" w:rsidTr="00672D2A">
        <w:tc>
          <w:tcPr>
            <w:tcW w:w="852" w:type="dxa"/>
          </w:tcPr>
          <w:p w14:paraId="7561FDA7" w14:textId="77777777" w:rsidR="000B0B09" w:rsidRPr="00E07C9A" w:rsidRDefault="000B0B09" w:rsidP="000B0B09">
            <w:pPr>
              <w:rPr>
                <w:rFonts w:ascii="Times New Roman" w:hAnsi="Times New Roman"/>
                <w:sz w:val="24"/>
              </w:rPr>
            </w:pPr>
          </w:p>
        </w:tc>
        <w:tc>
          <w:tcPr>
            <w:tcW w:w="8004" w:type="dxa"/>
          </w:tcPr>
          <w:p w14:paraId="4B4CF531" w14:textId="77777777" w:rsidR="000B0B09" w:rsidRPr="00E07C9A" w:rsidRDefault="000B0B09" w:rsidP="000B0B09">
            <w:pPr>
              <w:rPr>
                <w:rFonts w:ascii="Times New Roman" w:hAnsi="Times New Roman"/>
                <w:b/>
                <w:sz w:val="24"/>
                <w:u w:val="single"/>
              </w:rPr>
            </w:pPr>
            <w:r w:rsidRPr="00E07C9A">
              <w:rPr>
                <w:rFonts w:ascii="Times New Roman" w:hAnsi="Times New Roman"/>
                <w:b/>
                <w:sz w:val="24"/>
                <w:u w:val="single"/>
              </w:rPr>
              <w:t>Doplňujúce položky</w:t>
            </w:r>
          </w:p>
        </w:tc>
      </w:tr>
      <w:tr w:rsidR="000B0B09" w:rsidRPr="00E07C9A" w14:paraId="3348218D" w14:textId="77777777" w:rsidTr="00672D2A">
        <w:tc>
          <w:tcPr>
            <w:tcW w:w="852" w:type="dxa"/>
          </w:tcPr>
          <w:p w14:paraId="2A42A3F2" w14:textId="77777777" w:rsidR="000B0B09" w:rsidRPr="00E07C9A" w:rsidRDefault="00787733" w:rsidP="000B0B09">
            <w:pPr>
              <w:rPr>
                <w:rFonts w:ascii="Times New Roman" w:hAnsi="Times New Roman"/>
                <w:sz w:val="24"/>
              </w:rPr>
            </w:pPr>
            <w:r w:rsidRPr="00E07C9A">
              <w:rPr>
                <w:rFonts w:ascii="Times New Roman" w:hAnsi="Times New Roman"/>
                <w:sz w:val="24"/>
              </w:rPr>
              <w:t>0100</w:t>
            </w:r>
          </w:p>
        </w:tc>
        <w:tc>
          <w:tcPr>
            <w:tcW w:w="8004" w:type="dxa"/>
          </w:tcPr>
          <w:p w14:paraId="59983522" w14:textId="77777777" w:rsidR="000B0B09" w:rsidRPr="00E07C9A" w:rsidRDefault="000B0B09" w:rsidP="000B0B09">
            <w:pPr>
              <w:rPr>
                <w:rFonts w:ascii="Times New Roman" w:hAnsi="Times New Roman"/>
                <w:b/>
                <w:sz w:val="24"/>
                <w:u w:val="single"/>
              </w:rPr>
            </w:pPr>
            <w:r w:rsidRPr="00E07C9A">
              <w:rPr>
                <w:rFonts w:ascii="Times New Roman" w:hAnsi="Times New Roman"/>
                <w:b/>
                <w:sz w:val="24"/>
                <w:u w:val="single"/>
              </w:rPr>
              <w:t>Počet protistrán</w:t>
            </w:r>
          </w:p>
          <w:p w14:paraId="3F3B385C" w14:textId="690238AB" w:rsidR="000B0B09" w:rsidRPr="00E07C9A" w:rsidRDefault="000B0B09" w:rsidP="000B0B09">
            <w:pPr>
              <w:rPr>
                <w:rFonts w:ascii="Times New Roman" w:hAnsi="Times New Roman"/>
                <w:sz w:val="24"/>
              </w:rPr>
            </w:pPr>
            <w:r w:rsidRPr="00E07C9A">
              <w:rPr>
                <w:rFonts w:ascii="Times New Roman" w:hAnsi="Times New Roman"/>
                <w:sz w:val="24"/>
              </w:rPr>
              <w:t xml:space="preserve">Článok 382 nariadenia (EÚ) </w:t>
            </w:r>
            <w:r w:rsidR="009912F8" w:rsidRPr="00E07C9A">
              <w:rPr>
                <w:rFonts w:ascii="Times New Roman" w:hAnsi="Times New Roman"/>
                <w:sz w:val="24"/>
              </w:rPr>
              <w:t>č. 575/2013</w:t>
            </w:r>
          </w:p>
          <w:p w14:paraId="5DEE078C" w14:textId="77777777" w:rsidR="000B0B09" w:rsidRPr="00E07C9A" w:rsidRDefault="000B0B09" w:rsidP="000B0B09">
            <w:pPr>
              <w:rPr>
                <w:rFonts w:ascii="Times New Roman" w:hAnsi="Times New Roman"/>
                <w:sz w:val="24"/>
              </w:rPr>
            </w:pPr>
            <w:r w:rsidRPr="00E07C9A">
              <w:rPr>
                <w:rFonts w:ascii="Times New Roman" w:hAnsi="Times New Roman"/>
                <w:sz w:val="24"/>
              </w:rPr>
              <w:t>Počet protistrán zahrnutých vo výpočte vlastných zdrojov pre riziko úpravy ocenenia pohľadávok.</w:t>
            </w:r>
          </w:p>
          <w:p w14:paraId="0FA475CE" w14:textId="09AD96DC" w:rsidR="000B0B09" w:rsidRPr="00E07C9A" w:rsidRDefault="000B0B09" w:rsidP="0016282F">
            <w:pPr>
              <w:rPr>
                <w:rFonts w:ascii="Times New Roman" w:hAnsi="Times New Roman"/>
                <w:sz w:val="24"/>
              </w:rPr>
            </w:pPr>
            <w:r w:rsidRPr="00E07C9A">
              <w:rPr>
                <w:rFonts w:ascii="Times New Roman" w:hAnsi="Times New Roman"/>
                <w:sz w:val="24"/>
              </w:rPr>
              <w:t>Protistrany predstavujú podsúbor dlžníkov. Existujú len</w:t>
            </w:r>
            <w:r w:rsidR="009912F8" w:rsidRPr="00E07C9A">
              <w:rPr>
                <w:rFonts w:ascii="Times New Roman" w:hAnsi="Times New Roman"/>
                <w:sz w:val="24"/>
              </w:rPr>
              <w:t xml:space="preserve"> v </w:t>
            </w:r>
            <w:r w:rsidRPr="00E07C9A">
              <w:rPr>
                <w:rFonts w:ascii="Times New Roman" w:hAnsi="Times New Roman"/>
                <w:sz w:val="24"/>
              </w:rPr>
              <w:t>prípade derivátových transakcií alebo SFT,</w:t>
            </w:r>
            <w:r w:rsidR="009912F8" w:rsidRPr="00E07C9A">
              <w:rPr>
                <w:rFonts w:ascii="Times New Roman" w:hAnsi="Times New Roman"/>
                <w:sz w:val="24"/>
              </w:rPr>
              <w:t xml:space="preserve"> v </w:t>
            </w:r>
            <w:r w:rsidRPr="00E07C9A">
              <w:rPr>
                <w:rFonts w:ascii="Times New Roman" w:hAnsi="Times New Roman"/>
                <w:sz w:val="24"/>
              </w:rPr>
              <w:t xml:space="preserve">ktorých sú druhou zmluvnou stranou. </w:t>
            </w:r>
          </w:p>
        </w:tc>
      </w:tr>
      <w:tr w:rsidR="000B0B09" w:rsidRPr="00E07C9A" w14:paraId="7B53FAFD" w14:textId="77777777" w:rsidTr="00672D2A">
        <w:tc>
          <w:tcPr>
            <w:tcW w:w="852" w:type="dxa"/>
          </w:tcPr>
          <w:p w14:paraId="713BDD29" w14:textId="77777777" w:rsidR="000B0B09" w:rsidRPr="00E07C9A" w:rsidRDefault="00787733" w:rsidP="000B0B09">
            <w:pPr>
              <w:rPr>
                <w:rFonts w:ascii="Times New Roman" w:hAnsi="Times New Roman"/>
                <w:sz w:val="24"/>
              </w:rPr>
            </w:pPr>
            <w:r w:rsidRPr="00E07C9A">
              <w:rPr>
                <w:rFonts w:ascii="Times New Roman" w:hAnsi="Times New Roman"/>
                <w:sz w:val="24"/>
              </w:rPr>
              <w:t>0110</w:t>
            </w:r>
          </w:p>
        </w:tc>
        <w:tc>
          <w:tcPr>
            <w:tcW w:w="8004" w:type="dxa"/>
          </w:tcPr>
          <w:p w14:paraId="20A05DEA" w14:textId="77777777" w:rsidR="000B0B09" w:rsidRPr="00E07C9A" w:rsidRDefault="000B0B09" w:rsidP="000B0B09">
            <w:pPr>
              <w:rPr>
                <w:rFonts w:ascii="Times New Roman" w:hAnsi="Times New Roman"/>
                <w:b/>
                <w:sz w:val="24"/>
                <w:u w:val="single"/>
              </w:rPr>
            </w:pPr>
            <w:r w:rsidRPr="00E07C9A">
              <w:rPr>
                <w:rFonts w:ascii="Times New Roman" w:hAnsi="Times New Roman"/>
                <w:b/>
                <w:sz w:val="24"/>
                <w:u w:val="single"/>
              </w:rPr>
              <w:t>Z čoho: na určenie kreditného rozpätia sa použili proxy údaje</w:t>
            </w:r>
          </w:p>
          <w:p w14:paraId="433FA2C3" w14:textId="77777777" w:rsidR="000B0B09" w:rsidRPr="00E07C9A" w:rsidRDefault="005C14B0">
            <w:pPr>
              <w:rPr>
                <w:rFonts w:ascii="Times New Roman" w:hAnsi="Times New Roman"/>
                <w:b/>
                <w:sz w:val="24"/>
                <w:u w:val="single"/>
              </w:rPr>
            </w:pPr>
            <w:r w:rsidRPr="00E07C9A">
              <w:rPr>
                <w:rFonts w:ascii="Times New Roman" w:hAnsi="Times New Roman"/>
                <w:sz w:val="24"/>
              </w:rPr>
              <w:t>Počet protistrán, kde sa kreditné rozpätie určilo použitím proxy údajov namiesto priamo pozorovaných trhových údajov.</w:t>
            </w:r>
          </w:p>
        </w:tc>
      </w:tr>
      <w:tr w:rsidR="000B0B09" w:rsidRPr="00E07C9A" w14:paraId="3119A41F" w14:textId="77777777" w:rsidTr="00672D2A">
        <w:tc>
          <w:tcPr>
            <w:tcW w:w="852" w:type="dxa"/>
          </w:tcPr>
          <w:p w14:paraId="5FD0A82E" w14:textId="77777777" w:rsidR="000B0B09" w:rsidRPr="00E07C9A" w:rsidRDefault="00787733" w:rsidP="000B0B09">
            <w:pPr>
              <w:rPr>
                <w:rFonts w:ascii="Times New Roman" w:hAnsi="Times New Roman"/>
                <w:sz w:val="24"/>
              </w:rPr>
            </w:pPr>
            <w:r w:rsidRPr="00E07C9A">
              <w:rPr>
                <w:rFonts w:ascii="Times New Roman" w:hAnsi="Times New Roman"/>
                <w:sz w:val="24"/>
              </w:rPr>
              <w:t>0120</w:t>
            </w:r>
          </w:p>
        </w:tc>
        <w:tc>
          <w:tcPr>
            <w:tcW w:w="8004" w:type="dxa"/>
          </w:tcPr>
          <w:p w14:paraId="62D0D8AE" w14:textId="77777777" w:rsidR="000B0B09" w:rsidRPr="00E07C9A" w:rsidRDefault="000B0B09" w:rsidP="000B0B09">
            <w:pPr>
              <w:rPr>
                <w:rFonts w:ascii="Times New Roman" w:hAnsi="Times New Roman"/>
                <w:b/>
                <w:sz w:val="24"/>
                <w:u w:val="single"/>
              </w:rPr>
            </w:pPr>
            <w:r w:rsidRPr="00E07C9A">
              <w:rPr>
                <w:rFonts w:ascii="Times New Roman" w:hAnsi="Times New Roman"/>
                <w:b/>
                <w:sz w:val="24"/>
                <w:u w:val="single"/>
              </w:rPr>
              <w:t>SPÔSOBENÉ ÚPRAVY OCENENIA POHĽADÁVOK</w:t>
            </w:r>
          </w:p>
          <w:p w14:paraId="0115819A" w14:textId="5F585D94" w:rsidR="000B0B09" w:rsidRPr="00E07C9A" w:rsidRDefault="000B0B09" w:rsidP="000B0B09">
            <w:pPr>
              <w:rPr>
                <w:rFonts w:ascii="Times New Roman" w:hAnsi="Times New Roman"/>
                <w:sz w:val="24"/>
              </w:rPr>
            </w:pPr>
            <w:r w:rsidRPr="00E07C9A">
              <w:rPr>
                <w:rFonts w:ascii="Times New Roman" w:hAnsi="Times New Roman"/>
                <w:sz w:val="24"/>
              </w:rPr>
              <w:t>Účtovné opatrenia</w:t>
            </w:r>
            <w:r w:rsidR="009912F8" w:rsidRPr="00E07C9A">
              <w:rPr>
                <w:rFonts w:ascii="Times New Roman" w:hAnsi="Times New Roman"/>
                <w:sz w:val="24"/>
              </w:rPr>
              <w:t xml:space="preserve"> z </w:t>
            </w:r>
            <w:r w:rsidRPr="00E07C9A">
              <w:rPr>
                <w:rFonts w:ascii="Times New Roman" w:hAnsi="Times New Roman"/>
                <w:sz w:val="24"/>
              </w:rPr>
              <w:t>dôvodu zníženej kreditnej spoľahlivosti derivátových protistrán.</w:t>
            </w:r>
          </w:p>
        </w:tc>
      </w:tr>
      <w:tr w:rsidR="000B0B09" w:rsidRPr="00E07C9A" w14:paraId="240CBD6F" w14:textId="77777777" w:rsidTr="00672D2A">
        <w:tc>
          <w:tcPr>
            <w:tcW w:w="852" w:type="dxa"/>
          </w:tcPr>
          <w:p w14:paraId="3FBA156D" w14:textId="77777777" w:rsidR="000B0B09" w:rsidRPr="00E07C9A" w:rsidRDefault="00787733" w:rsidP="000B0B09">
            <w:pPr>
              <w:rPr>
                <w:rFonts w:ascii="Times New Roman" w:hAnsi="Times New Roman"/>
                <w:sz w:val="24"/>
              </w:rPr>
            </w:pPr>
            <w:r w:rsidRPr="00E07C9A">
              <w:rPr>
                <w:rFonts w:ascii="Times New Roman" w:hAnsi="Times New Roman"/>
                <w:sz w:val="24"/>
              </w:rPr>
              <w:t>0130</w:t>
            </w:r>
          </w:p>
        </w:tc>
        <w:tc>
          <w:tcPr>
            <w:tcW w:w="8004" w:type="dxa"/>
          </w:tcPr>
          <w:p w14:paraId="60D4C59C" w14:textId="77777777" w:rsidR="000B0B09" w:rsidRPr="00E07C9A" w:rsidRDefault="000B0B09" w:rsidP="000B0B09">
            <w:pPr>
              <w:rPr>
                <w:rFonts w:ascii="Times New Roman" w:hAnsi="Times New Roman"/>
                <w:b/>
                <w:sz w:val="24"/>
                <w:u w:val="single"/>
              </w:rPr>
            </w:pPr>
            <w:r w:rsidRPr="00E07C9A">
              <w:rPr>
                <w:rFonts w:ascii="Times New Roman" w:hAnsi="Times New Roman"/>
                <w:b/>
                <w:sz w:val="24"/>
                <w:u w:val="single"/>
              </w:rPr>
              <w:t>SWAPY NA KREDITNÉ ZLYHANIE ZMIERŇUJÚCE KREDITNÉ RIZIKO LEN JEDNEJ PROTISTRANY</w:t>
            </w:r>
          </w:p>
          <w:p w14:paraId="54482EBA" w14:textId="1092E9DD" w:rsidR="009912F8" w:rsidRPr="00E07C9A" w:rsidRDefault="00D21B29" w:rsidP="000B0B09">
            <w:pPr>
              <w:rPr>
                <w:rFonts w:ascii="Times New Roman" w:hAnsi="Times New Roman"/>
                <w:sz w:val="24"/>
              </w:rPr>
            </w:pPr>
            <w:r w:rsidRPr="00E07C9A">
              <w:rPr>
                <w:rFonts w:ascii="Times New Roman" w:hAnsi="Times New Roman"/>
                <w:sz w:val="24"/>
              </w:rPr>
              <w:t xml:space="preserve"> Článok 386 ods. 1 písm. a) nariadenia (EÚ) </w:t>
            </w:r>
            <w:r w:rsidR="009912F8" w:rsidRPr="00E07C9A">
              <w:rPr>
                <w:rFonts w:ascii="Times New Roman" w:hAnsi="Times New Roman"/>
                <w:sz w:val="24"/>
              </w:rPr>
              <w:t>č. 575/2013</w:t>
            </w:r>
          </w:p>
          <w:p w14:paraId="6FA18F8B" w14:textId="71653FA9" w:rsidR="000B0B09" w:rsidRPr="00E07C9A" w:rsidRDefault="000B0B09" w:rsidP="000B0B09">
            <w:pPr>
              <w:rPr>
                <w:rFonts w:ascii="Times New Roman" w:hAnsi="Times New Roman"/>
                <w:sz w:val="24"/>
              </w:rPr>
            </w:pPr>
            <w:r w:rsidRPr="00E07C9A">
              <w:rPr>
                <w:rFonts w:ascii="Times New Roman" w:hAnsi="Times New Roman"/>
                <w:sz w:val="24"/>
              </w:rPr>
              <w:t>Celkové pomyselné hodnoty swapov na kreditné zlyhanie zmierňujúcich kreditné riziko len jednej protistrany používaných na hedžovanie rizika úpravy ocenenia pohľadávok.</w:t>
            </w:r>
          </w:p>
        </w:tc>
      </w:tr>
      <w:tr w:rsidR="000B0B09" w:rsidRPr="00E07C9A" w14:paraId="1D0A2A47" w14:textId="77777777" w:rsidTr="00672D2A">
        <w:tc>
          <w:tcPr>
            <w:tcW w:w="852" w:type="dxa"/>
          </w:tcPr>
          <w:p w14:paraId="17CC2192" w14:textId="77777777" w:rsidR="000B0B09" w:rsidRPr="00E07C9A" w:rsidRDefault="00787733" w:rsidP="000B0B09">
            <w:pPr>
              <w:rPr>
                <w:rFonts w:ascii="Times New Roman" w:hAnsi="Times New Roman"/>
                <w:sz w:val="24"/>
              </w:rPr>
            </w:pPr>
            <w:r w:rsidRPr="00E07C9A">
              <w:rPr>
                <w:rFonts w:ascii="Times New Roman" w:hAnsi="Times New Roman"/>
                <w:sz w:val="24"/>
              </w:rPr>
              <w:t>0140</w:t>
            </w:r>
          </w:p>
        </w:tc>
        <w:tc>
          <w:tcPr>
            <w:tcW w:w="8004" w:type="dxa"/>
          </w:tcPr>
          <w:p w14:paraId="0D309424" w14:textId="77777777" w:rsidR="000B0B09" w:rsidRPr="00E07C9A" w:rsidRDefault="000B0B09" w:rsidP="000B0B09">
            <w:pPr>
              <w:rPr>
                <w:rFonts w:ascii="Times New Roman" w:hAnsi="Times New Roman"/>
                <w:b/>
                <w:sz w:val="24"/>
                <w:u w:val="single"/>
              </w:rPr>
            </w:pPr>
            <w:r w:rsidRPr="00E07C9A">
              <w:rPr>
                <w:rFonts w:ascii="Times New Roman" w:hAnsi="Times New Roman"/>
                <w:b/>
                <w:sz w:val="24"/>
                <w:u w:val="single"/>
              </w:rPr>
              <w:t>INDEXOVÉ SWAPY NA KREDITNÉ ZLYHANIE</w:t>
            </w:r>
          </w:p>
          <w:p w14:paraId="1BAFE21A" w14:textId="19F91415" w:rsidR="000B0B09" w:rsidRPr="00E07C9A" w:rsidRDefault="00D21B29" w:rsidP="000B0B09">
            <w:pPr>
              <w:rPr>
                <w:rFonts w:ascii="Times New Roman" w:hAnsi="Times New Roman"/>
                <w:sz w:val="24"/>
              </w:rPr>
            </w:pPr>
            <w:r w:rsidRPr="00E07C9A">
              <w:rPr>
                <w:rFonts w:ascii="Times New Roman" w:hAnsi="Times New Roman"/>
                <w:sz w:val="24"/>
              </w:rPr>
              <w:t xml:space="preserve"> Článok 386 ods. 1 písm. b) nariadenia (EÚ) </w:t>
            </w:r>
            <w:r w:rsidR="009912F8" w:rsidRPr="00E07C9A">
              <w:rPr>
                <w:rFonts w:ascii="Times New Roman" w:hAnsi="Times New Roman"/>
                <w:sz w:val="24"/>
              </w:rPr>
              <w:t>č. 575/2013</w:t>
            </w:r>
          </w:p>
          <w:p w14:paraId="4581BBB0" w14:textId="77777777" w:rsidR="000B0B09" w:rsidRPr="00E07C9A" w:rsidRDefault="000B0B09" w:rsidP="000B0B09">
            <w:pPr>
              <w:rPr>
                <w:rFonts w:ascii="Times New Roman" w:hAnsi="Times New Roman"/>
                <w:b/>
                <w:sz w:val="24"/>
                <w:u w:val="single"/>
              </w:rPr>
            </w:pPr>
            <w:r w:rsidRPr="00E07C9A">
              <w:rPr>
                <w:rFonts w:ascii="Times New Roman" w:hAnsi="Times New Roman"/>
                <w:sz w:val="24"/>
              </w:rPr>
              <w:t>Celkové pomyselné hodnoty indexových swapov na kreditné zlyhanie používaných na hedžovanie rizika úpravy ocenenia pohľadávok.</w:t>
            </w:r>
          </w:p>
        </w:tc>
      </w:tr>
    </w:tbl>
    <w:p w14:paraId="2A04A961" w14:textId="77777777" w:rsidR="000B0B09" w:rsidRPr="00E07C9A"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E07C9A" w14:paraId="0936C38C" w14:textId="77777777" w:rsidTr="00672D2A">
        <w:tc>
          <w:tcPr>
            <w:tcW w:w="8856" w:type="dxa"/>
            <w:gridSpan w:val="2"/>
            <w:shd w:val="clear" w:color="auto" w:fill="CCCCCC"/>
          </w:tcPr>
          <w:p w14:paraId="0FE2C1F0" w14:textId="77777777" w:rsidR="000B0B09" w:rsidRPr="00E07C9A" w:rsidRDefault="000B0B09" w:rsidP="000B0B09">
            <w:pPr>
              <w:rPr>
                <w:rFonts w:ascii="Times New Roman" w:hAnsi="Times New Roman"/>
                <w:b/>
                <w:sz w:val="24"/>
              </w:rPr>
            </w:pPr>
            <w:r w:rsidRPr="00E07C9A">
              <w:rPr>
                <w:rFonts w:ascii="Times New Roman" w:hAnsi="Times New Roman"/>
                <w:b/>
                <w:sz w:val="24"/>
              </w:rPr>
              <w:t>Riadky</w:t>
            </w:r>
          </w:p>
        </w:tc>
      </w:tr>
      <w:tr w:rsidR="000B0B09" w:rsidRPr="00E07C9A" w14:paraId="7E147130" w14:textId="77777777" w:rsidTr="00672D2A">
        <w:tc>
          <w:tcPr>
            <w:tcW w:w="852" w:type="dxa"/>
          </w:tcPr>
          <w:p w14:paraId="14F87D8C" w14:textId="77777777" w:rsidR="000B0B09" w:rsidRPr="00E07C9A" w:rsidRDefault="00787733" w:rsidP="000B0B09">
            <w:pPr>
              <w:rPr>
                <w:rFonts w:ascii="Times New Roman" w:hAnsi="Times New Roman"/>
                <w:sz w:val="24"/>
              </w:rPr>
            </w:pPr>
            <w:r w:rsidRPr="00E07C9A">
              <w:rPr>
                <w:rFonts w:ascii="Times New Roman" w:hAnsi="Times New Roman"/>
                <w:sz w:val="24"/>
              </w:rPr>
              <w:t>0010</w:t>
            </w:r>
          </w:p>
        </w:tc>
        <w:tc>
          <w:tcPr>
            <w:tcW w:w="8004" w:type="dxa"/>
          </w:tcPr>
          <w:p w14:paraId="1BF5135E" w14:textId="77777777" w:rsidR="000B0B09" w:rsidRPr="00E07C9A" w:rsidRDefault="000B0B09" w:rsidP="000B0B09">
            <w:pPr>
              <w:rPr>
                <w:rFonts w:ascii="Times New Roman" w:hAnsi="Times New Roman"/>
                <w:b/>
                <w:bCs/>
                <w:sz w:val="24"/>
                <w:u w:val="single"/>
              </w:rPr>
            </w:pPr>
            <w:r w:rsidRPr="00E07C9A">
              <w:rPr>
                <w:rFonts w:ascii="Times New Roman" w:hAnsi="Times New Roman"/>
                <w:b/>
                <w:sz w:val="24"/>
                <w:u w:val="single"/>
              </w:rPr>
              <w:t>Celkové riziko úpravy ocenenia pohľadávok</w:t>
            </w:r>
          </w:p>
          <w:p w14:paraId="23F4B6C5" w14:textId="77777777" w:rsidR="000B0B09" w:rsidRPr="00E07C9A" w:rsidRDefault="000B0B09" w:rsidP="002300C6">
            <w:pPr>
              <w:rPr>
                <w:rFonts w:ascii="Times New Roman" w:hAnsi="Times New Roman"/>
                <w:bCs/>
                <w:sz w:val="24"/>
              </w:rPr>
            </w:pPr>
            <w:r w:rsidRPr="00E07C9A">
              <w:rPr>
                <w:rFonts w:ascii="Times New Roman" w:hAnsi="Times New Roman"/>
                <w:sz w:val="24"/>
              </w:rPr>
              <w:t>Súčet riadkov 0020 – 0040.</w:t>
            </w:r>
          </w:p>
        </w:tc>
      </w:tr>
      <w:tr w:rsidR="000B0B09" w:rsidRPr="00E07C9A" w14:paraId="2463B139" w14:textId="77777777" w:rsidTr="00672D2A">
        <w:tc>
          <w:tcPr>
            <w:tcW w:w="852" w:type="dxa"/>
          </w:tcPr>
          <w:p w14:paraId="71474588" w14:textId="77777777" w:rsidR="000B0B09" w:rsidRPr="00E07C9A" w:rsidRDefault="00787733" w:rsidP="000B0B09">
            <w:pPr>
              <w:rPr>
                <w:rFonts w:ascii="Times New Roman" w:hAnsi="Times New Roman"/>
                <w:sz w:val="24"/>
              </w:rPr>
            </w:pPr>
            <w:r w:rsidRPr="00E07C9A">
              <w:rPr>
                <w:rFonts w:ascii="Times New Roman" w:hAnsi="Times New Roman"/>
                <w:sz w:val="24"/>
              </w:rPr>
              <w:t xml:space="preserve">0020 </w:t>
            </w:r>
          </w:p>
        </w:tc>
        <w:tc>
          <w:tcPr>
            <w:tcW w:w="8004" w:type="dxa"/>
          </w:tcPr>
          <w:p w14:paraId="56435F6D" w14:textId="77777777" w:rsidR="000B0B09" w:rsidRPr="00E07C9A" w:rsidRDefault="000B0B09" w:rsidP="000B0B09">
            <w:pPr>
              <w:rPr>
                <w:rFonts w:ascii="Times New Roman" w:hAnsi="Times New Roman"/>
                <w:b/>
                <w:bCs/>
                <w:sz w:val="24"/>
                <w:u w:val="single"/>
              </w:rPr>
            </w:pPr>
            <w:r w:rsidRPr="00E07C9A">
              <w:rPr>
                <w:rFonts w:ascii="Times New Roman" w:hAnsi="Times New Roman"/>
                <w:b/>
                <w:sz w:val="24"/>
                <w:u w:val="single"/>
              </w:rPr>
              <w:t>Pokročilá metóda</w:t>
            </w:r>
          </w:p>
          <w:p w14:paraId="71B0BD86" w14:textId="7E746571" w:rsidR="000B0B09" w:rsidRPr="00E07C9A" w:rsidRDefault="000B0B09" w:rsidP="000B0B09">
            <w:pPr>
              <w:rPr>
                <w:rFonts w:ascii="Times New Roman" w:hAnsi="Times New Roman"/>
                <w:bCs/>
                <w:sz w:val="24"/>
              </w:rPr>
            </w:pPr>
            <w:r w:rsidRPr="00E07C9A">
              <w:rPr>
                <w:rFonts w:ascii="Times New Roman" w:hAnsi="Times New Roman"/>
                <w:sz w:val="24"/>
              </w:rPr>
              <w:t>Pokročilá metóda pre riziko úpravy ocenenia pohľadávok stanovená</w:t>
            </w:r>
            <w:r w:rsidR="009912F8" w:rsidRPr="00E07C9A">
              <w:rPr>
                <w:rFonts w:ascii="Times New Roman" w:hAnsi="Times New Roman"/>
                <w:sz w:val="24"/>
              </w:rPr>
              <w:t xml:space="preserve"> v </w:t>
            </w:r>
            <w:r w:rsidRPr="00E07C9A">
              <w:rPr>
                <w:rFonts w:ascii="Times New Roman" w:hAnsi="Times New Roman"/>
                <w:sz w:val="24"/>
              </w:rPr>
              <w:t xml:space="preserve">článku 383 nariadenia (EÚ) </w:t>
            </w:r>
            <w:r w:rsidR="009912F8" w:rsidRPr="00E07C9A">
              <w:rPr>
                <w:rFonts w:ascii="Times New Roman" w:hAnsi="Times New Roman"/>
                <w:sz w:val="24"/>
              </w:rPr>
              <w:t>č. 575/2013</w:t>
            </w:r>
            <w:r w:rsidRPr="00E07C9A">
              <w:rPr>
                <w:rFonts w:ascii="Times New Roman" w:hAnsi="Times New Roman"/>
                <w:sz w:val="24"/>
              </w:rPr>
              <w:t xml:space="preserve">. </w:t>
            </w:r>
          </w:p>
        </w:tc>
      </w:tr>
      <w:tr w:rsidR="000B0B09" w:rsidRPr="00E07C9A" w14:paraId="7AD2B53F" w14:textId="77777777" w:rsidTr="00672D2A">
        <w:tc>
          <w:tcPr>
            <w:tcW w:w="852" w:type="dxa"/>
          </w:tcPr>
          <w:p w14:paraId="1F928EC8" w14:textId="77777777" w:rsidR="000B0B09" w:rsidRPr="00E07C9A" w:rsidRDefault="00787733" w:rsidP="000B0B09">
            <w:pPr>
              <w:rPr>
                <w:rFonts w:ascii="Times New Roman" w:hAnsi="Times New Roman"/>
                <w:sz w:val="24"/>
              </w:rPr>
            </w:pPr>
            <w:r w:rsidRPr="00E07C9A">
              <w:rPr>
                <w:rFonts w:ascii="Times New Roman" w:hAnsi="Times New Roman"/>
                <w:sz w:val="24"/>
              </w:rPr>
              <w:t>0030</w:t>
            </w:r>
          </w:p>
        </w:tc>
        <w:tc>
          <w:tcPr>
            <w:tcW w:w="8004" w:type="dxa"/>
          </w:tcPr>
          <w:p w14:paraId="547C558A" w14:textId="77777777" w:rsidR="000B0B09" w:rsidRPr="00E07C9A" w:rsidRDefault="000B0B09" w:rsidP="000B0B09">
            <w:pPr>
              <w:rPr>
                <w:rFonts w:ascii="Times New Roman" w:hAnsi="Times New Roman"/>
                <w:b/>
                <w:bCs/>
                <w:sz w:val="24"/>
                <w:u w:val="single"/>
              </w:rPr>
            </w:pPr>
            <w:r w:rsidRPr="00E07C9A">
              <w:rPr>
                <w:rFonts w:ascii="Times New Roman" w:hAnsi="Times New Roman"/>
                <w:b/>
                <w:sz w:val="24"/>
                <w:u w:val="single"/>
              </w:rPr>
              <w:t>Štandardizovaná metóda</w:t>
            </w:r>
          </w:p>
          <w:p w14:paraId="40EA6287" w14:textId="7A2266D2" w:rsidR="000B0B09" w:rsidRPr="00E07C9A" w:rsidRDefault="000B0B09" w:rsidP="000B0B09">
            <w:pPr>
              <w:rPr>
                <w:rFonts w:ascii="Times New Roman" w:hAnsi="Times New Roman"/>
                <w:bCs/>
                <w:sz w:val="24"/>
              </w:rPr>
            </w:pPr>
            <w:r w:rsidRPr="00E07C9A">
              <w:rPr>
                <w:rFonts w:ascii="Times New Roman" w:hAnsi="Times New Roman"/>
                <w:sz w:val="24"/>
              </w:rPr>
              <w:t>Štandardizovaná metóda pre riziko úpravy ocenenia pohľadávok stanovená</w:t>
            </w:r>
            <w:r w:rsidR="009912F8" w:rsidRPr="00E07C9A">
              <w:rPr>
                <w:rFonts w:ascii="Times New Roman" w:hAnsi="Times New Roman"/>
                <w:sz w:val="24"/>
              </w:rPr>
              <w:t xml:space="preserve"> v </w:t>
            </w:r>
            <w:r w:rsidRPr="00E07C9A">
              <w:rPr>
                <w:rFonts w:ascii="Times New Roman" w:hAnsi="Times New Roman"/>
                <w:sz w:val="24"/>
              </w:rPr>
              <w:t xml:space="preserve">článku 384 nariadenia (EÚ) </w:t>
            </w:r>
            <w:r w:rsidR="009912F8" w:rsidRPr="00E07C9A">
              <w:rPr>
                <w:rFonts w:ascii="Times New Roman" w:hAnsi="Times New Roman"/>
                <w:sz w:val="24"/>
              </w:rPr>
              <w:t>č. 575/2013</w:t>
            </w:r>
            <w:r w:rsidRPr="00E07C9A">
              <w:rPr>
                <w:rFonts w:ascii="Times New Roman" w:hAnsi="Times New Roman"/>
                <w:sz w:val="24"/>
              </w:rPr>
              <w:t xml:space="preserve">. </w:t>
            </w:r>
          </w:p>
        </w:tc>
      </w:tr>
      <w:tr w:rsidR="000B0B09" w:rsidRPr="00E07C9A" w14:paraId="499FFAED" w14:textId="77777777" w:rsidTr="00672D2A">
        <w:tc>
          <w:tcPr>
            <w:tcW w:w="852" w:type="dxa"/>
          </w:tcPr>
          <w:p w14:paraId="00803AC9" w14:textId="77777777" w:rsidR="000B0B09" w:rsidRPr="00E07C9A" w:rsidRDefault="00787733" w:rsidP="000B0B09">
            <w:pPr>
              <w:rPr>
                <w:rFonts w:ascii="Times New Roman" w:hAnsi="Times New Roman"/>
                <w:sz w:val="24"/>
              </w:rPr>
            </w:pPr>
            <w:r w:rsidRPr="00E07C9A">
              <w:rPr>
                <w:rFonts w:ascii="Times New Roman" w:hAnsi="Times New Roman"/>
                <w:sz w:val="24"/>
              </w:rPr>
              <w:t>0040</w:t>
            </w:r>
          </w:p>
        </w:tc>
        <w:tc>
          <w:tcPr>
            <w:tcW w:w="8004" w:type="dxa"/>
          </w:tcPr>
          <w:p w14:paraId="525BDF1A" w14:textId="77777777" w:rsidR="000B0B09" w:rsidRPr="00E07C9A" w:rsidRDefault="000B0B09" w:rsidP="000B0B09">
            <w:pPr>
              <w:rPr>
                <w:rFonts w:ascii="Times New Roman" w:hAnsi="Times New Roman"/>
                <w:b/>
                <w:bCs/>
                <w:sz w:val="24"/>
                <w:u w:val="single"/>
              </w:rPr>
            </w:pPr>
            <w:r w:rsidRPr="00E07C9A">
              <w:rPr>
                <w:rFonts w:ascii="Times New Roman" w:hAnsi="Times New Roman"/>
                <w:b/>
                <w:sz w:val="24"/>
                <w:u w:val="single"/>
              </w:rPr>
              <w:t>Na základe metódy pôvodnej expozície</w:t>
            </w:r>
          </w:p>
          <w:p w14:paraId="298AB71F" w14:textId="78DD3C24" w:rsidR="000B0B09" w:rsidRPr="00E07C9A" w:rsidRDefault="000B0B09" w:rsidP="00E871FE">
            <w:pPr>
              <w:rPr>
                <w:rFonts w:ascii="Times New Roman" w:hAnsi="Times New Roman"/>
                <w:bCs/>
                <w:sz w:val="24"/>
              </w:rPr>
            </w:pPr>
            <w:r w:rsidRPr="00E07C9A">
              <w:rPr>
                <w:rFonts w:ascii="Times New Roman" w:hAnsi="Times New Roman"/>
                <w:sz w:val="24"/>
              </w:rPr>
              <w:t xml:space="preserve">Hodnoty, na ktoré sa uplatňuje článok 385 nariadenia (EÚ) </w:t>
            </w:r>
            <w:r w:rsidR="009912F8" w:rsidRPr="00E07C9A">
              <w:rPr>
                <w:rFonts w:ascii="Times New Roman" w:hAnsi="Times New Roman"/>
                <w:sz w:val="24"/>
              </w:rPr>
              <w:t>č. 575/2013</w:t>
            </w:r>
          </w:p>
        </w:tc>
      </w:tr>
      <w:bookmarkEnd w:id="755"/>
    </w:tbl>
    <w:p w14:paraId="196A27B2" w14:textId="77777777" w:rsidR="00633DEB" w:rsidRPr="00E07C9A" w:rsidRDefault="00633DEB" w:rsidP="00C61FF5">
      <w:pPr>
        <w:rPr>
          <w:rStyle w:val="InstructionsTabelleText"/>
          <w:rFonts w:ascii="Times New Roman" w:hAnsi="Times New Roman"/>
          <w:sz w:val="24"/>
        </w:rPr>
      </w:pPr>
    </w:p>
    <w:p w14:paraId="1881AA17" w14:textId="77777777" w:rsidR="00995A7F" w:rsidRPr="00E07C9A" w:rsidRDefault="00995A7F" w:rsidP="00995A7F">
      <w:pPr>
        <w:pStyle w:val="Instructionsberschrift2"/>
        <w:numPr>
          <w:ilvl w:val="0"/>
          <w:numId w:val="0"/>
        </w:numPr>
        <w:ind w:left="357" w:hanging="357"/>
        <w:rPr>
          <w:rFonts w:ascii="Times New Roman" w:hAnsi="Times New Roman" w:cs="Times New Roman"/>
          <w:sz w:val="24"/>
        </w:rPr>
      </w:pPr>
      <w:bookmarkStart w:id="756" w:name="_Toc115857899"/>
      <w:r w:rsidRPr="00E07C9A">
        <w:rPr>
          <w:rFonts w:ascii="Times New Roman" w:hAnsi="Times New Roman" w:cs="Times New Roman"/>
          <w:sz w:val="24"/>
          <w:u w:val="none"/>
        </w:rPr>
        <w:t>6.</w:t>
      </w:r>
      <w:r w:rsidRPr="00E07C9A">
        <w:rPr>
          <w:rFonts w:ascii="Times New Roman" w:hAnsi="Times New Roman" w:cs="Times New Roman"/>
          <w:u w:val="none"/>
        </w:rPr>
        <w:tab/>
      </w:r>
      <w:r w:rsidRPr="00E07C9A">
        <w:rPr>
          <w:rFonts w:ascii="Times New Roman" w:hAnsi="Times New Roman" w:cs="Times New Roman"/>
          <w:sz w:val="24"/>
        </w:rPr>
        <w:t>Obozretné oceňovanie (PruVal)</w:t>
      </w:r>
      <w:bookmarkEnd w:id="756"/>
    </w:p>
    <w:p w14:paraId="4166E057" w14:textId="43EA7E21" w:rsidR="00995A7F" w:rsidRPr="00E07C9A" w:rsidRDefault="00995A7F" w:rsidP="00995A7F">
      <w:pPr>
        <w:pStyle w:val="Instructionsberschrift2"/>
        <w:numPr>
          <w:ilvl w:val="0"/>
          <w:numId w:val="0"/>
        </w:numPr>
        <w:ind w:left="357" w:hanging="357"/>
        <w:rPr>
          <w:rFonts w:ascii="Times New Roman" w:hAnsi="Times New Roman" w:cs="Times New Roman"/>
          <w:sz w:val="24"/>
          <w:u w:val="none"/>
        </w:rPr>
      </w:pPr>
      <w:bookmarkStart w:id="757" w:name="_Toc115857900"/>
      <w:r w:rsidRPr="00E07C9A">
        <w:rPr>
          <w:rFonts w:ascii="Times New Roman" w:hAnsi="Times New Roman" w:cs="Times New Roman"/>
          <w:sz w:val="24"/>
          <w:u w:val="none"/>
        </w:rPr>
        <w:t>6.1.</w:t>
      </w:r>
      <w:r w:rsidRPr="00E07C9A">
        <w:rPr>
          <w:rFonts w:ascii="Times New Roman" w:hAnsi="Times New Roman" w:cs="Times New Roman"/>
          <w:u w:val="none"/>
        </w:rPr>
        <w:tab/>
      </w:r>
      <w:r w:rsidRPr="00E07C9A">
        <w:rPr>
          <w:rFonts w:ascii="Times New Roman" w:hAnsi="Times New Roman" w:cs="Times New Roman"/>
          <w:sz w:val="24"/>
        </w:rPr>
        <w:t>C 32.01 – Obozretné oceňovanie: reálnou hodnotou ocenené aktíva</w:t>
      </w:r>
      <w:r w:rsidR="009912F8" w:rsidRPr="00E07C9A">
        <w:rPr>
          <w:rFonts w:ascii="Times New Roman" w:hAnsi="Times New Roman" w:cs="Times New Roman"/>
          <w:sz w:val="24"/>
        </w:rPr>
        <w:t xml:space="preserve"> a </w:t>
      </w:r>
      <w:r w:rsidRPr="00E07C9A">
        <w:rPr>
          <w:rFonts w:ascii="Times New Roman" w:hAnsi="Times New Roman" w:cs="Times New Roman"/>
          <w:sz w:val="24"/>
        </w:rPr>
        <w:t>záväzky (PruVal 1)</w:t>
      </w:r>
      <w:bookmarkEnd w:id="757"/>
    </w:p>
    <w:p w14:paraId="5D0DAC6D" w14:textId="77777777" w:rsidR="009912F8" w:rsidRPr="00E07C9A" w:rsidRDefault="00995A7F" w:rsidP="00995A7F">
      <w:pPr>
        <w:pStyle w:val="Instructionsberschrift2"/>
        <w:numPr>
          <w:ilvl w:val="0"/>
          <w:numId w:val="0"/>
        </w:numPr>
        <w:ind w:left="357" w:hanging="357"/>
        <w:rPr>
          <w:rFonts w:ascii="Times New Roman" w:hAnsi="Times New Roman" w:cs="Times New Roman"/>
          <w:sz w:val="24"/>
          <w:u w:val="none"/>
        </w:rPr>
      </w:pPr>
      <w:bookmarkStart w:id="758" w:name="_Toc115857901"/>
      <w:r w:rsidRPr="00E07C9A">
        <w:rPr>
          <w:rFonts w:ascii="Times New Roman" w:hAnsi="Times New Roman" w:cs="Times New Roman"/>
          <w:sz w:val="24"/>
          <w:u w:val="none"/>
        </w:rPr>
        <w:t>6.1.1.</w:t>
      </w:r>
      <w:r w:rsidRPr="00E07C9A">
        <w:rPr>
          <w:rFonts w:ascii="Times New Roman" w:hAnsi="Times New Roman" w:cs="Times New Roman"/>
          <w:u w:val="none"/>
        </w:rPr>
        <w:tab/>
      </w:r>
      <w:r w:rsidRPr="00E07C9A">
        <w:rPr>
          <w:rFonts w:ascii="Times New Roman" w:hAnsi="Times New Roman" w:cs="Times New Roman"/>
          <w:sz w:val="24"/>
        </w:rPr>
        <w:t>Všeobecné poznámky</w:t>
      </w:r>
      <w:bookmarkEnd w:id="758"/>
    </w:p>
    <w:p w14:paraId="3632770C" w14:textId="3D3A51D4" w:rsidR="00B828CC" w:rsidRPr="00E07C9A" w:rsidRDefault="002A18DE" w:rsidP="00487A02">
      <w:pPr>
        <w:pStyle w:val="InstructionsText2"/>
        <w:numPr>
          <w:ilvl w:val="0"/>
          <w:numId w:val="0"/>
        </w:numPr>
        <w:ind w:left="1353" w:hanging="360"/>
      </w:pPr>
      <w:fldSimple w:instr=" seq paragraphs ">
        <w:r w:rsidR="00132AEE">
          <w:rPr>
            <w:noProof/>
          </w:rPr>
          <w:t>176</w:t>
        </w:r>
      </w:fldSimple>
      <w:r w:rsidR="00CE7221" w:rsidRPr="00E07C9A">
        <w:t>. Tento vzor vypĺňajú všetky inštitúcie bez ohľadu na to, či prijali zjednodušený prístup na určovanie dodatočných úprav ocenenia (AVA). Tento vzor je vyhradený pre absolútnu hodnotu reálnou hodnotou ocenených aktív</w:t>
      </w:r>
      <w:r w:rsidR="009912F8" w:rsidRPr="00E07C9A">
        <w:t xml:space="preserve"> a </w:t>
      </w:r>
      <w:r w:rsidR="00CE7221" w:rsidRPr="00E07C9A">
        <w:t>záväzkov použitých na určenie, či sú splnené podmienky stanovené</w:t>
      </w:r>
      <w:r w:rsidR="009912F8" w:rsidRPr="00E07C9A">
        <w:t xml:space="preserve"> v </w:t>
      </w:r>
      <w:r w:rsidR="00CE7221" w:rsidRPr="00E07C9A">
        <w:t>článku 4 delegovaného nariadenia Komisie (EÚ) 2016/101</w:t>
      </w:r>
      <w:r w:rsidR="00CE7221" w:rsidRPr="00E07C9A">
        <w:rPr>
          <w:rStyle w:val="FootnoteReference"/>
          <w:rFonts w:ascii="Times New Roman" w:hAnsi="Times New Roman"/>
        </w:rPr>
        <w:footnoteReference w:id="10"/>
      </w:r>
      <w:r w:rsidR="00CE7221" w:rsidRPr="00E07C9A">
        <w:t xml:space="preserve"> na použitie zjednodušeného prístupu na určovanie dodatočných úprav ocenenia.</w:t>
      </w:r>
    </w:p>
    <w:p w14:paraId="490DD67C" w14:textId="2A8475B0" w:rsidR="00995A7F" w:rsidRPr="00E07C9A" w:rsidRDefault="002A18DE" w:rsidP="00487A02">
      <w:pPr>
        <w:pStyle w:val="InstructionsText2"/>
        <w:numPr>
          <w:ilvl w:val="0"/>
          <w:numId w:val="0"/>
        </w:numPr>
        <w:ind w:left="1353" w:hanging="360"/>
      </w:pPr>
      <w:fldSimple w:instr=" seq paragraphs ">
        <w:r w:rsidR="00132AEE">
          <w:rPr>
            <w:noProof/>
          </w:rPr>
          <w:t>177</w:t>
        </w:r>
      </w:fldSimple>
      <w:r w:rsidR="00CE7221" w:rsidRPr="00E07C9A">
        <w:t>. Pokiaľ ide</w:t>
      </w:r>
      <w:r w:rsidR="009912F8" w:rsidRPr="00E07C9A">
        <w:t xml:space="preserve"> o </w:t>
      </w:r>
      <w:r w:rsidR="00CE7221" w:rsidRPr="00E07C9A">
        <w:t>inštitúcie využívajúce zjednodušený prístup,</w:t>
      </w:r>
      <w:r w:rsidR="009912F8" w:rsidRPr="00E07C9A">
        <w:t xml:space="preserve"> v </w:t>
      </w:r>
      <w:r w:rsidR="00CE7221" w:rsidRPr="00E07C9A">
        <w:t>tomto vzore sa uvádza celková dodatočná úprava ocenenia, ktorá sa odpočítava od vlastných zdrojov podľa článkov 34</w:t>
      </w:r>
      <w:r w:rsidR="009912F8" w:rsidRPr="00E07C9A">
        <w:t xml:space="preserve"> a </w:t>
      </w:r>
      <w:r w:rsidR="00CE7221" w:rsidRPr="00E07C9A">
        <w:t xml:space="preserve">105 nariadenia (EÚ) </w:t>
      </w:r>
      <w:r w:rsidR="009912F8" w:rsidRPr="00E07C9A">
        <w:t>č. 575/2013</w:t>
      </w:r>
      <w:r w:rsidR="00CE7221" w:rsidRPr="00E07C9A">
        <w:t>, ako je stanovené</w:t>
      </w:r>
      <w:r w:rsidR="009912F8" w:rsidRPr="00E07C9A">
        <w:t xml:space="preserve"> v </w:t>
      </w:r>
      <w:r w:rsidR="00CE7221" w:rsidRPr="00E07C9A">
        <w:t>článku 5 delegovaného nariadenia (EÚ) 2016/101, čo sa zodpovedajúcim spôsobom vykazuje</w:t>
      </w:r>
      <w:r w:rsidR="009912F8" w:rsidRPr="00E07C9A">
        <w:t xml:space="preserve"> v </w:t>
      </w:r>
      <w:r w:rsidR="00CE7221" w:rsidRPr="00E07C9A">
        <w:t>riadku 0290 vzoru C 01.00.</w:t>
      </w:r>
    </w:p>
    <w:p w14:paraId="32EA25B2" w14:textId="31866819" w:rsidR="00B93FA1" w:rsidRPr="00E07C9A" w:rsidRDefault="00B93FA1" w:rsidP="00B93FA1">
      <w:pPr>
        <w:pStyle w:val="Instructionsberschrift2"/>
        <w:numPr>
          <w:ilvl w:val="0"/>
          <w:numId w:val="0"/>
        </w:numPr>
        <w:ind w:left="357" w:hanging="357"/>
        <w:rPr>
          <w:rFonts w:ascii="Times New Roman" w:hAnsi="Times New Roman" w:cs="Times New Roman"/>
          <w:sz w:val="24"/>
          <w:u w:val="none"/>
        </w:rPr>
      </w:pPr>
      <w:bookmarkStart w:id="759" w:name="_Toc115857902"/>
      <w:r w:rsidRPr="00E07C9A">
        <w:rPr>
          <w:rFonts w:ascii="Times New Roman" w:hAnsi="Times New Roman" w:cs="Times New Roman"/>
          <w:sz w:val="24"/>
          <w:u w:val="none"/>
        </w:rPr>
        <w:t>6.1.2</w:t>
      </w:r>
      <w:r w:rsidRPr="00E07C9A">
        <w:rPr>
          <w:rFonts w:ascii="Times New Roman" w:hAnsi="Times New Roman" w:cs="Times New Roman"/>
          <w:sz w:val="24"/>
        </w:rPr>
        <w:t>.</w:t>
      </w:r>
      <w:r w:rsidRPr="00E07C9A">
        <w:rPr>
          <w:rFonts w:ascii="Times New Roman" w:hAnsi="Times New Roman" w:cs="Times New Roman"/>
        </w:rPr>
        <w:tab/>
      </w:r>
      <w:r w:rsidRPr="00E07C9A">
        <w:rPr>
          <w:rFonts w:ascii="Times New Roman" w:hAnsi="Times New Roman" w:cs="Times New Roman"/>
          <w:sz w:val="24"/>
        </w:rPr>
        <w:t>Pokyny týkajúce sa konkrétnych pozícií</w:t>
      </w:r>
      <w:bookmarkEnd w:id="759"/>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E07C9A" w14:paraId="44CAAC9A" w14:textId="77777777" w:rsidTr="00672D2A">
        <w:tc>
          <w:tcPr>
            <w:tcW w:w="9291" w:type="dxa"/>
            <w:gridSpan w:val="2"/>
            <w:shd w:val="clear" w:color="auto" w:fill="CCCCCC"/>
          </w:tcPr>
          <w:p w14:paraId="5BB4DE8D" w14:textId="77777777" w:rsidR="00B93FA1" w:rsidRPr="00E07C9A" w:rsidRDefault="00B93FA1" w:rsidP="00AF3D7A">
            <w:pPr>
              <w:spacing w:beforeLines="60" w:before="144" w:afterLines="60" w:after="144"/>
              <w:rPr>
                <w:rFonts w:ascii="Times New Roman" w:hAnsi="Times New Roman"/>
                <w:b/>
                <w:sz w:val="24"/>
              </w:rPr>
            </w:pPr>
            <w:r w:rsidRPr="00E07C9A">
              <w:rPr>
                <w:rFonts w:ascii="Times New Roman" w:hAnsi="Times New Roman"/>
                <w:b/>
                <w:sz w:val="24"/>
              </w:rPr>
              <w:t>Stĺpce</w:t>
            </w:r>
          </w:p>
        </w:tc>
      </w:tr>
      <w:tr w:rsidR="00B93FA1" w:rsidRPr="00E07C9A" w14:paraId="7750CB95" w14:textId="77777777" w:rsidTr="00672D2A">
        <w:tc>
          <w:tcPr>
            <w:tcW w:w="1101" w:type="dxa"/>
          </w:tcPr>
          <w:p w14:paraId="2E4C6092" w14:textId="77777777" w:rsidR="00B93FA1" w:rsidRPr="00E07C9A" w:rsidRDefault="00B93FA1" w:rsidP="00AF3D7A">
            <w:pPr>
              <w:spacing w:beforeLines="60" w:before="144" w:afterLines="60" w:after="144"/>
              <w:rPr>
                <w:rFonts w:ascii="Times New Roman" w:hAnsi="Times New Roman"/>
                <w:sz w:val="24"/>
              </w:rPr>
            </w:pPr>
            <w:r w:rsidRPr="00E07C9A">
              <w:rPr>
                <w:rFonts w:ascii="Times New Roman" w:hAnsi="Times New Roman"/>
                <w:sz w:val="24"/>
              </w:rPr>
              <w:t>0010</w:t>
            </w:r>
          </w:p>
        </w:tc>
        <w:tc>
          <w:tcPr>
            <w:tcW w:w="8190" w:type="dxa"/>
          </w:tcPr>
          <w:p w14:paraId="43218599" w14:textId="77777777" w:rsidR="00B93FA1" w:rsidRPr="00E07C9A" w:rsidRDefault="00B93FA1" w:rsidP="00AF3D7A">
            <w:pPr>
              <w:spacing w:beforeLines="60" w:before="144" w:afterLines="60" w:after="144"/>
              <w:rPr>
                <w:rFonts w:ascii="Times New Roman" w:hAnsi="Times New Roman"/>
                <w:b/>
                <w:caps/>
                <w:sz w:val="24"/>
                <w:u w:val="single"/>
              </w:rPr>
            </w:pPr>
            <w:r w:rsidRPr="00E07C9A">
              <w:rPr>
                <w:rFonts w:ascii="Times New Roman" w:hAnsi="Times New Roman"/>
                <w:b/>
                <w:caps/>
                <w:sz w:val="24"/>
                <w:u w:val="single"/>
              </w:rPr>
              <w:t>REÁLNOU HODNOTOU OCENENÉ AKTÍVA A ZÁVÄZKY</w:t>
            </w:r>
          </w:p>
          <w:p w14:paraId="780F2023" w14:textId="06912FCB" w:rsidR="00B93FA1" w:rsidRPr="00E07C9A" w:rsidRDefault="00B93FA1" w:rsidP="0016282F">
            <w:pPr>
              <w:spacing w:beforeLines="60" w:before="144" w:afterLines="60" w:after="144"/>
              <w:rPr>
                <w:rFonts w:ascii="Times New Roman" w:hAnsi="Times New Roman"/>
                <w:sz w:val="24"/>
              </w:rPr>
            </w:pPr>
            <w:r w:rsidRPr="00E07C9A">
              <w:rPr>
                <w:rFonts w:ascii="Times New Roman" w:hAnsi="Times New Roman"/>
                <w:sz w:val="24"/>
              </w:rPr>
              <w:t>Absolútna hodnota reálnou hodnotou ocenených aktív</w:t>
            </w:r>
            <w:r w:rsidR="009912F8" w:rsidRPr="00E07C9A">
              <w:rPr>
                <w:rFonts w:ascii="Times New Roman" w:hAnsi="Times New Roman"/>
                <w:sz w:val="24"/>
              </w:rPr>
              <w:t xml:space="preserve"> a </w:t>
            </w:r>
            <w:r w:rsidRPr="00E07C9A">
              <w:rPr>
                <w:rFonts w:ascii="Times New Roman" w:hAnsi="Times New Roman"/>
                <w:sz w:val="24"/>
              </w:rPr>
              <w:t>záväzkov, ako je uvedená vo finančných výkazoch podľa uplatniteľného účtovného rámca, ako je uvedené</w:t>
            </w:r>
            <w:r w:rsidR="009912F8" w:rsidRPr="00E07C9A">
              <w:rPr>
                <w:rFonts w:ascii="Times New Roman" w:hAnsi="Times New Roman"/>
                <w:sz w:val="24"/>
              </w:rPr>
              <w:t xml:space="preserve"> v </w:t>
            </w:r>
            <w:r w:rsidRPr="00E07C9A">
              <w:rPr>
                <w:rFonts w:ascii="Times New Roman" w:hAnsi="Times New Roman"/>
                <w:sz w:val="24"/>
              </w:rPr>
              <w:t>článku 4 ods. 1 delegovaného nariadenia (EÚ) 2016/101, pred akýmkoľvek vyňatím podľa článku 4 ods. 2 delegovaného nariadenia (EÚ) 2016/101.</w:t>
            </w:r>
          </w:p>
        </w:tc>
      </w:tr>
      <w:tr w:rsidR="00B93FA1" w:rsidRPr="00E07C9A" w14:paraId="31676665" w14:textId="77777777" w:rsidTr="00672D2A">
        <w:tc>
          <w:tcPr>
            <w:tcW w:w="1101" w:type="dxa"/>
          </w:tcPr>
          <w:p w14:paraId="719F107B" w14:textId="77777777" w:rsidR="00B93FA1" w:rsidRPr="00E07C9A" w:rsidRDefault="001924F4" w:rsidP="00AF3D7A">
            <w:pPr>
              <w:spacing w:beforeLines="60" w:before="144" w:afterLines="60" w:after="144"/>
              <w:rPr>
                <w:rFonts w:ascii="Times New Roman" w:hAnsi="Times New Roman"/>
                <w:sz w:val="24"/>
              </w:rPr>
            </w:pPr>
            <w:r w:rsidRPr="00E07C9A">
              <w:rPr>
                <w:rFonts w:ascii="Times New Roman" w:hAnsi="Times New Roman"/>
                <w:sz w:val="24"/>
              </w:rPr>
              <w:t>0020</w:t>
            </w:r>
          </w:p>
        </w:tc>
        <w:tc>
          <w:tcPr>
            <w:tcW w:w="8190" w:type="dxa"/>
          </w:tcPr>
          <w:p w14:paraId="7E483A89" w14:textId="77777777" w:rsidR="00B93FA1" w:rsidRPr="00E07C9A" w:rsidRDefault="00B93FA1" w:rsidP="00AF3D7A">
            <w:pPr>
              <w:spacing w:beforeLines="60" w:before="144" w:afterLines="60" w:after="144"/>
              <w:rPr>
                <w:rFonts w:ascii="Times New Roman" w:hAnsi="Times New Roman"/>
                <w:b/>
                <w:caps/>
                <w:sz w:val="24"/>
                <w:u w:val="single"/>
              </w:rPr>
            </w:pPr>
            <w:r w:rsidRPr="00E07C9A">
              <w:rPr>
                <w:rFonts w:ascii="Times New Roman" w:hAnsi="Times New Roman"/>
                <w:b/>
                <w:caps/>
                <w:sz w:val="24"/>
                <w:u w:val="single"/>
              </w:rPr>
              <w:t>Z ČOHO: obchodná kniha</w:t>
            </w:r>
          </w:p>
          <w:p w14:paraId="33FAA3B7" w14:textId="48EDC7AC" w:rsidR="00B93FA1" w:rsidRPr="00E07C9A" w:rsidRDefault="00B93FA1" w:rsidP="00AF3D7A">
            <w:pPr>
              <w:spacing w:beforeLines="60" w:before="144" w:afterLines="60" w:after="144"/>
              <w:rPr>
                <w:rFonts w:ascii="Times New Roman" w:hAnsi="Times New Roman"/>
                <w:b/>
                <w:caps/>
                <w:sz w:val="24"/>
                <w:u w:val="single"/>
              </w:rPr>
            </w:pPr>
            <w:r w:rsidRPr="00E07C9A">
              <w:rPr>
                <w:rFonts w:ascii="Times New Roman" w:hAnsi="Times New Roman"/>
                <w:sz w:val="24"/>
              </w:rPr>
              <w:t>Absolútna hodnota reálnou hodnotou ocenených aktív</w:t>
            </w:r>
            <w:r w:rsidR="009912F8" w:rsidRPr="00E07C9A">
              <w:rPr>
                <w:rFonts w:ascii="Times New Roman" w:hAnsi="Times New Roman"/>
                <w:sz w:val="24"/>
              </w:rPr>
              <w:t xml:space="preserve"> a </w:t>
            </w:r>
            <w:r w:rsidRPr="00E07C9A">
              <w:rPr>
                <w:rFonts w:ascii="Times New Roman" w:hAnsi="Times New Roman"/>
                <w:sz w:val="24"/>
              </w:rPr>
              <w:t>záväzkov, ako je vykázaná</w:t>
            </w:r>
            <w:r w:rsidR="009912F8" w:rsidRPr="00E07C9A">
              <w:rPr>
                <w:rFonts w:ascii="Times New Roman" w:hAnsi="Times New Roman"/>
                <w:sz w:val="24"/>
              </w:rPr>
              <w:t xml:space="preserve"> v </w:t>
            </w:r>
            <w:r w:rsidRPr="00E07C9A">
              <w:rPr>
                <w:rFonts w:ascii="Times New Roman" w:hAnsi="Times New Roman"/>
                <w:sz w:val="24"/>
              </w:rPr>
              <w:t>stĺpci 010, zodpovedajúca pozíciám vedeným</w:t>
            </w:r>
            <w:r w:rsidR="009912F8" w:rsidRPr="00E07C9A">
              <w:rPr>
                <w:rFonts w:ascii="Times New Roman" w:hAnsi="Times New Roman"/>
                <w:sz w:val="24"/>
              </w:rPr>
              <w:t xml:space="preserve"> v </w:t>
            </w:r>
            <w:r w:rsidRPr="00E07C9A">
              <w:rPr>
                <w:rFonts w:ascii="Times New Roman" w:hAnsi="Times New Roman"/>
                <w:sz w:val="24"/>
              </w:rPr>
              <w:t xml:space="preserve">obchodnej knihe. </w:t>
            </w:r>
          </w:p>
        </w:tc>
      </w:tr>
      <w:tr w:rsidR="00B93FA1" w:rsidRPr="00E07C9A" w14:paraId="303C2DBB" w14:textId="77777777" w:rsidTr="00672D2A">
        <w:tc>
          <w:tcPr>
            <w:tcW w:w="1101" w:type="dxa"/>
          </w:tcPr>
          <w:p w14:paraId="66CFEC08" w14:textId="77777777" w:rsidR="00B93FA1" w:rsidRPr="00E07C9A" w:rsidRDefault="00B93FA1" w:rsidP="00AF3D7A">
            <w:pPr>
              <w:spacing w:beforeLines="60" w:before="144" w:afterLines="60" w:after="144"/>
              <w:rPr>
                <w:rFonts w:ascii="Times New Roman" w:hAnsi="Times New Roman"/>
                <w:sz w:val="24"/>
              </w:rPr>
            </w:pPr>
            <w:r w:rsidRPr="00E07C9A">
              <w:rPr>
                <w:rFonts w:ascii="Times New Roman" w:hAnsi="Times New Roman"/>
                <w:sz w:val="24"/>
              </w:rPr>
              <w:t>0030 – 0070</w:t>
            </w:r>
          </w:p>
        </w:tc>
        <w:tc>
          <w:tcPr>
            <w:tcW w:w="8190" w:type="dxa"/>
          </w:tcPr>
          <w:p w14:paraId="519EE9B7" w14:textId="77777777" w:rsidR="00B93FA1" w:rsidRPr="00E07C9A" w:rsidRDefault="00B93FA1" w:rsidP="00AF3D7A">
            <w:pPr>
              <w:spacing w:beforeLines="60" w:before="144" w:afterLines="60" w:after="144"/>
              <w:rPr>
                <w:rFonts w:ascii="Times New Roman" w:hAnsi="Times New Roman"/>
                <w:b/>
                <w:caps/>
                <w:sz w:val="24"/>
                <w:u w:val="single"/>
              </w:rPr>
            </w:pPr>
            <w:r w:rsidRPr="00E07C9A">
              <w:rPr>
                <w:rFonts w:ascii="Times New Roman" w:hAnsi="Times New Roman"/>
                <w:b/>
                <w:caps/>
                <w:sz w:val="24"/>
                <w:u w:val="single"/>
              </w:rPr>
              <w:t>REÁLNOU HODNOTOU OCENENÉ AKTÍVA A ZÁVÄZKY VYLÚČENÉ KVÔLI ČIASTOČNÉMU VPLYVU NA CET1</w:t>
            </w:r>
          </w:p>
          <w:p w14:paraId="5878E027" w14:textId="7BD99CAF" w:rsidR="00B93FA1" w:rsidRPr="00E07C9A" w:rsidRDefault="00B93FA1" w:rsidP="0016282F">
            <w:pPr>
              <w:spacing w:beforeLines="60" w:before="144" w:afterLines="60" w:after="144"/>
              <w:rPr>
                <w:rFonts w:ascii="Times New Roman" w:hAnsi="Times New Roman"/>
                <w:b/>
                <w:caps/>
                <w:sz w:val="24"/>
                <w:u w:val="single"/>
              </w:rPr>
            </w:pPr>
            <w:r w:rsidRPr="00E07C9A">
              <w:rPr>
                <w:rFonts w:ascii="Times New Roman" w:hAnsi="Times New Roman"/>
                <w:sz w:val="24"/>
              </w:rPr>
              <w:t>Absolútna hodnota reálnou hodnotou ocenených aktív</w:t>
            </w:r>
            <w:r w:rsidR="009912F8" w:rsidRPr="00E07C9A">
              <w:rPr>
                <w:rFonts w:ascii="Times New Roman" w:hAnsi="Times New Roman"/>
                <w:sz w:val="24"/>
              </w:rPr>
              <w:t xml:space="preserve"> a </w:t>
            </w:r>
            <w:r w:rsidRPr="00E07C9A">
              <w:rPr>
                <w:rFonts w:ascii="Times New Roman" w:hAnsi="Times New Roman"/>
                <w:sz w:val="24"/>
              </w:rPr>
              <w:t>záväzkov vylúčených</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článkom 4 ods. 2 delegovaného nariadenia (EÚ) 2016/101.</w:t>
            </w:r>
          </w:p>
        </w:tc>
      </w:tr>
      <w:tr w:rsidR="00B93FA1" w:rsidRPr="00E07C9A" w14:paraId="325516DC" w14:textId="77777777" w:rsidTr="00672D2A">
        <w:tc>
          <w:tcPr>
            <w:tcW w:w="1101" w:type="dxa"/>
          </w:tcPr>
          <w:p w14:paraId="0FB3388D" w14:textId="77777777" w:rsidR="00B93FA1" w:rsidRPr="00E07C9A" w:rsidRDefault="00B93FA1" w:rsidP="00AF3D7A">
            <w:pPr>
              <w:spacing w:beforeLines="60" w:before="144" w:afterLines="60" w:after="144"/>
              <w:rPr>
                <w:rFonts w:ascii="Times New Roman" w:hAnsi="Times New Roman"/>
                <w:sz w:val="24"/>
              </w:rPr>
            </w:pPr>
            <w:r w:rsidRPr="00E07C9A">
              <w:rPr>
                <w:rFonts w:ascii="Times New Roman" w:hAnsi="Times New Roman"/>
                <w:sz w:val="24"/>
              </w:rPr>
              <w:t>0030</w:t>
            </w:r>
          </w:p>
        </w:tc>
        <w:tc>
          <w:tcPr>
            <w:tcW w:w="8190" w:type="dxa"/>
          </w:tcPr>
          <w:p w14:paraId="698D35FD" w14:textId="77777777" w:rsidR="00B93FA1" w:rsidRPr="00E07C9A" w:rsidRDefault="00B93FA1" w:rsidP="00AF3D7A">
            <w:pPr>
              <w:spacing w:beforeLines="60" w:before="144" w:afterLines="60" w:after="144"/>
              <w:rPr>
                <w:rFonts w:ascii="Times New Roman" w:hAnsi="Times New Roman"/>
                <w:b/>
                <w:caps/>
                <w:sz w:val="24"/>
                <w:u w:val="single"/>
              </w:rPr>
            </w:pPr>
            <w:r w:rsidRPr="00E07C9A">
              <w:rPr>
                <w:rFonts w:ascii="Times New Roman" w:hAnsi="Times New Roman"/>
                <w:b/>
                <w:caps/>
                <w:sz w:val="24"/>
                <w:u w:val="single"/>
              </w:rPr>
              <w:t>Presne zodpovedajúce</w:t>
            </w:r>
          </w:p>
          <w:p w14:paraId="695D10A9" w14:textId="1252B2CA" w:rsidR="00B93FA1" w:rsidRPr="00E07C9A" w:rsidRDefault="00B93FA1" w:rsidP="0016282F">
            <w:pPr>
              <w:spacing w:beforeLines="60" w:before="144" w:afterLines="60" w:after="144"/>
              <w:rPr>
                <w:rFonts w:ascii="Times New Roman" w:hAnsi="Times New Roman"/>
                <w:sz w:val="24"/>
              </w:rPr>
            </w:pPr>
            <w:r w:rsidRPr="00E07C9A">
              <w:rPr>
                <w:rFonts w:ascii="Times New Roman" w:hAnsi="Times New Roman"/>
                <w:sz w:val="24"/>
              </w:rPr>
              <w:t>Presne zodpovedajúce spárované aktíva</w:t>
            </w:r>
            <w:r w:rsidR="009912F8" w:rsidRPr="00E07C9A">
              <w:rPr>
                <w:rFonts w:ascii="Times New Roman" w:hAnsi="Times New Roman"/>
                <w:sz w:val="24"/>
              </w:rPr>
              <w:t xml:space="preserve"> a </w:t>
            </w:r>
            <w:r w:rsidRPr="00E07C9A">
              <w:rPr>
                <w:rFonts w:ascii="Times New Roman" w:hAnsi="Times New Roman"/>
                <w:sz w:val="24"/>
              </w:rPr>
              <w:t>záväzky ocenené reálnou hodnotou vylúčené</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článkom 4 ods. 2 delegovaného nariadenia (EÚ) 2016/101.</w:t>
            </w:r>
          </w:p>
        </w:tc>
      </w:tr>
      <w:tr w:rsidR="00B93FA1" w:rsidRPr="00E07C9A" w14:paraId="29F9E8E1" w14:textId="77777777" w:rsidTr="00672D2A">
        <w:tc>
          <w:tcPr>
            <w:tcW w:w="1101" w:type="dxa"/>
          </w:tcPr>
          <w:p w14:paraId="055ACC3E" w14:textId="77777777" w:rsidR="00B93FA1" w:rsidRPr="00E07C9A" w:rsidRDefault="001924F4" w:rsidP="00AF3D7A">
            <w:pPr>
              <w:spacing w:beforeLines="60" w:before="144" w:afterLines="60" w:after="144"/>
              <w:rPr>
                <w:rFonts w:ascii="Times New Roman" w:hAnsi="Times New Roman"/>
                <w:sz w:val="24"/>
              </w:rPr>
            </w:pPr>
            <w:r w:rsidRPr="00E07C9A">
              <w:rPr>
                <w:rFonts w:ascii="Times New Roman" w:hAnsi="Times New Roman"/>
                <w:sz w:val="24"/>
              </w:rPr>
              <w:t>0040</w:t>
            </w:r>
          </w:p>
        </w:tc>
        <w:tc>
          <w:tcPr>
            <w:tcW w:w="8190" w:type="dxa"/>
          </w:tcPr>
          <w:p w14:paraId="075A2398" w14:textId="77777777" w:rsidR="00B93FA1" w:rsidRPr="00E07C9A" w:rsidRDefault="00B93FA1" w:rsidP="00AF3D7A">
            <w:pPr>
              <w:spacing w:beforeLines="60" w:before="144" w:afterLines="60" w:after="144"/>
              <w:rPr>
                <w:rFonts w:ascii="Times New Roman" w:hAnsi="Times New Roman"/>
                <w:b/>
                <w:caps/>
                <w:sz w:val="24"/>
                <w:u w:val="single"/>
              </w:rPr>
            </w:pPr>
            <w:r w:rsidRPr="00E07C9A">
              <w:rPr>
                <w:rFonts w:ascii="Times New Roman" w:hAnsi="Times New Roman"/>
                <w:b/>
                <w:caps/>
                <w:sz w:val="24"/>
                <w:u w:val="single"/>
              </w:rPr>
              <w:t>Účtovanie hedžingu</w:t>
            </w:r>
          </w:p>
          <w:p w14:paraId="2814331F" w14:textId="183C8BBE" w:rsidR="00B93FA1" w:rsidRPr="00E07C9A" w:rsidRDefault="00B93FA1" w:rsidP="0016282F">
            <w:pPr>
              <w:spacing w:beforeLines="60" w:before="144" w:afterLines="60" w:after="144"/>
              <w:rPr>
                <w:rFonts w:ascii="Times New Roman" w:hAnsi="Times New Roman"/>
                <w:sz w:val="24"/>
              </w:rPr>
            </w:pPr>
            <w:r w:rsidRPr="00E07C9A">
              <w:rPr>
                <w:rFonts w:ascii="Times New Roman" w:hAnsi="Times New Roman"/>
                <w:sz w:val="24"/>
              </w:rPr>
              <w:t>Pre pozície, ktoré sú na základe uplatniteľného účtovného rámca predmetom účtovania hedžingu, absolútna hodnota reálnou hodnotou ocenených aktív</w:t>
            </w:r>
            <w:r w:rsidR="009912F8" w:rsidRPr="00E07C9A">
              <w:rPr>
                <w:rFonts w:ascii="Times New Roman" w:hAnsi="Times New Roman"/>
                <w:sz w:val="24"/>
              </w:rPr>
              <w:t xml:space="preserve"> a </w:t>
            </w:r>
            <w:r w:rsidRPr="00E07C9A">
              <w:rPr>
                <w:rFonts w:ascii="Times New Roman" w:hAnsi="Times New Roman"/>
                <w:sz w:val="24"/>
              </w:rPr>
              <w:t>záväzkov vylúčených proporčne podľa vplyvu príslušných zmien oceňovania na kapitál CET1 podľa článku 4 ods. 2 delegovaného nariadenia (EÚ) 2016/101.</w:t>
            </w:r>
          </w:p>
        </w:tc>
      </w:tr>
      <w:tr w:rsidR="00B93FA1" w:rsidRPr="00E07C9A" w14:paraId="252285F7" w14:textId="77777777" w:rsidTr="00672D2A">
        <w:tc>
          <w:tcPr>
            <w:tcW w:w="1101" w:type="dxa"/>
          </w:tcPr>
          <w:p w14:paraId="7367D78D" w14:textId="77777777" w:rsidR="00B93FA1" w:rsidRPr="00E07C9A" w:rsidRDefault="001924F4" w:rsidP="00AF3D7A">
            <w:pPr>
              <w:spacing w:beforeLines="60" w:before="144" w:afterLines="60" w:after="144"/>
              <w:rPr>
                <w:rFonts w:ascii="Times New Roman" w:hAnsi="Times New Roman"/>
                <w:sz w:val="24"/>
              </w:rPr>
            </w:pPr>
            <w:r w:rsidRPr="00E07C9A">
              <w:rPr>
                <w:rFonts w:ascii="Times New Roman" w:hAnsi="Times New Roman"/>
                <w:sz w:val="24"/>
              </w:rPr>
              <w:t>0050</w:t>
            </w:r>
          </w:p>
        </w:tc>
        <w:tc>
          <w:tcPr>
            <w:tcW w:w="8190" w:type="dxa"/>
          </w:tcPr>
          <w:p w14:paraId="490D0F75" w14:textId="77777777" w:rsidR="009912F8" w:rsidRPr="00E07C9A" w:rsidRDefault="00B93FA1" w:rsidP="00AF3D7A">
            <w:pPr>
              <w:spacing w:beforeLines="60" w:before="144" w:afterLines="60" w:after="144"/>
              <w:rPr>
                <w:rFonts w:ascii="Times New Roman" w:hAnsi="Times New Roman"/>
                <w:b/>
                <w:caps/>
                <w:sz w:val="24"/>
                <w:u w:val="single"/>
              </w:rPr>
            </w:pPr>
            <w:r w:rsidRPr="00E07C9A">
              <w:rPr>
                <w:rFonts w:ascii="Times New Roman" w:hAnsi="Times New Roman"/>
                <w:b/>
                <w:caps/>
                <w:sz w:val="24"/>
                <w:u w:val="single"/>
              </w:rPr>
              <w:t>PRUDENCIÁLNE FILTRE</w:t>
            </w:r>
          </w:p>
          <w:p w14:paraId="35FF7B1B" w14:textId="481084B0" w:rsidR="00B93FA1" w:rsidRPr="00E07C9A" w:rsidRDefault="00B93FA1" w:rsidP="002300C6">
            <w:pPr>
              <w:spacing w:beforeLines="60" w:before="144" w:afterLines="60" w:after="144"/>
              <w:rPr>
                <w:rFonts w:ascii="Times New Roman" w:hAnsi="Times New Roman"/>
                <w:sz w:val="24"/>
              </w:rPr>
            </w:pPr>
            <w:r w:rsidRPr="00E07C9A">
              <w:rPr>
                <w:rFonts w:ascii="Times New Roman" w:hAnsi="Times New Roman"/>
                <w:sz w:val="24"/>
              </w:rPr>
              <w:t>Absolútna hodnota reálnou hodnotou ocenených aktív</w:t>
            </w:r>
            <w:r w:rsidR="009912F8" w:rsidRPr="00E07C9A">
              <w:rPr>
                <w:rFonts w:ascii="Times New Roman" w:hAnsi="Times New Roman"/>
                <w:sz w:val="24"/>
              </w:rPr>
              <w:t xml:space="preserve"> a </w:t>
            </w:r>
            <w:r w:rsidRPr="00E07C9A">
              <w:rPr>
                <w:rFonts w:ascii="Times New Roman" w:hAnsi="Times New Roman"/>
                <w:sz w:val="24"/>
              </w:rPr>
              <w:t>záväzkov vylúčených</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článkom 4 ods. 2 delegovaného nariadenia (EÚ) 2016/101</w:t>
            </w:r>
            <w:r w:rsidR="009912F8" w:rsidRPr="00E07C9A">
              <w:rPr>
                <w:rFonts w:ascii="Times New Roman" w:hAnsi="Times New Roman"/>
                <w:sz w:val="24"/>
              </w:rPr>
              <w:t xml:space="preserve"> v </w:t>
            </w:r>
            <w:r w:rsidRPr="00E07C9A">
              <w:rPr>
                <w:rFonts w:ascii="Times New Roman" w:hAnsi="Times New Roman"/>
                <w:sz w:val="24"/>
              </w:rPr>
              <w:t>dôsledku prechodného uplatňovania prudenciálnych filtrov uvedených</w:t>
            </w:r>
            <w:r w:rsidR="009912F8" w:rsidRPr="00E07C9A">
              <w:rPr>
                <w:rFonts w:ascii="Times New Roman" w:hAnsi="Times New Roman"/>
                <w:sz w:val="24"/>
              </w:rPr>
              <w:t xml:space="preserve"> v </w:t>
            </w:r>
            <w:r w:rsidRPr="00E07C9A">
              <w:rPr>
                <w:rFonts w:ascii="Times New Roman" w:hAnsi="Times New Roman"/>
                <w:sz w:val="24"/>
              </w:rPr>
              <w:t>článkoch 467</w:t>
            </w:r>
            <w:r w:rsidR="009912F8" w:rsidRPr="00E07C9A">
              <w:rPr>
                <w:rFonts w:ascii="Times New Roman" w:hAnsi="Times New Roman"/>
                <w:sz w:val="24"/>
              </w:rPr>
              <w:t xml:space="preserve"> a </w:t>
            </w:r>
            <w:r w:rsidRPr="00E07C9A">
              <w:rPr>
                <w:rFonts w:ascii="Times New Roman" w:hAnsi="Times New Roman"/>
                <w:sz w:val="24"/>
              </w:rPr>
              <w:t xml:space="preserve">468 nariadenia (EÚ) </w:t>
            </w:r>
            <w:r w:rsidR="009912F8" w:rsidRPr="00E07C9A">
              <w:rPr>
                <w:rFonts w:ascii="Times New Roman" w:hAnsi="Times New Roman"/>
                <w:sz w:val="24"/>
              </w:rPr>
              <w:t>č. 575/2013</w:t>
            </w:r>
            <w:r w:rsidRPr="00E07C9A">
              <w:rPr>
                <w:rFonts w:ascii="Times New Roman" w:hAnsi="Times New Roman"/>
                <w:sz w:val="24"/>
              </w:rPr>
              <w:t>.</w:t>
            </w:r>
          </w:p>
        </w:tc>
      </w:tr>
      <w:tr w:rsidR="00B93FA1" w:rsidRPr="00E07C9A" w14:paraId="64124105" w14:textId="77777777" w:rsidTr="00672D2A">
        <w:tc>
          <w:tcPr>
            <w:tcW w:w="1101" w:type="dxa"/>
          </w:tcPr>
          <w:p w14:paraId="387A0F53" w14:textId="77777777" w:rsidR="00B93FA1" w:rsidRPr="00E07C9A" w:rsidRDefault="001924F4" w:rsidP="00B93FA1">
            <w:pPr>
              <w:spacing w:beforeLines="60" w:before="144" w:afterLines="60" w:after="144"/>
              <w:rPr>
                <w:rFonts w:ascii="Times New Roman" w:hAnsi="Times New Roman"/>
                <w:sz w:val="24"/>
              </w:rPr>
            </w:pPr>
            <w:r w:rsidRPr="00E07C9A">
              <w:rPr>
                <w:rFonts w:ascii="Times New Roman" w:hAnsi="Times New Roman"/>
                <w:sz w:val="24"/>
              </w:rPr>
              <w:t>0060</w:t>
            </w:r>
          </w:p>
        </w:tc>
        <w:tc>
          <w:tcPr>
            <w:tcW w:w="8190" w:type="dxa"/>
          </w:tcPr>
          <w:p w14:paraId="3DAABEA4" w14:textId="77777777" w:rsidR="00B93FA1" w:rsidRPr="00E07C9A" w:rsidRDefault="00B93FA1" w:rsidP="00AF3D7A">
            <w:pPr>
              <w:spacing w:beforeLines="60" w:before="144" w:afterLines="60" w:after="144"/>
              <w:rPr>
                <w:rFonts w:ascii="Times New Roman" w:hAnsi="Times New Roman"/>
                <w:b/>
                <w:caps/>
                <w:sz w:val="24"/>
                <w:u w:val="single"/>
              </w:rPr>
            </w:pPr>
            <w:r w:rsidRPr="00E07C9A">
              <w:rPr>
                <w:rFonts w:ascii="Times New Roman" w:hAnsi="Times New Roman"/>
                <w:b/>
                <w:caps/>
                <w:sz w:val="24"/>
                <w:u w:val="single"/>
              </w:rPr>
              <w:t>Iné</w:t>
            </w:r>
          </w:p>
          <w:p w14:paraId="5A606B19" w14:textId="7735663C" w:rsidR="00B93FA1" w:rsidRPr="00E07C9A" w:rsidRDefault="00B93FA1" w:rsidP="00AF3D7A">
            <w:pPr>
              <w:spacing w:beforeLines="60" w:before="144" w:afterLines="60" w:after="144"/>
              <w:rPr>
                <w:rFonts w:ascii="Times New Roman" w:hAnsi="Times New Roman"/>
                <w:sz w:val="24"/>
              </w:rPr>
            </w:pPr>
            <w:r w:rsidRPr="00E07C9A">
              <w:rPr>
                <w:rFonts w:ascii="Times New Roman" w:hAnsi="Times New Roman"/>
                <w:sz w:val="24"/>
              </w:rPr>
              <w:t>Všetky ostatné pozície vylúčené</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článkom 4 ods. 2 delegovaného nariadenia (EÚ) 2016/101, pretože úpravy ich účtovnej hodnoty majú iba pomerný účinok na kapitál CET1.</w:t>
            </w:r>
          </w:p>
          <w:p w14:paraId="3FF98FE6" w14:textId="7025224D" w:rsidR="00B93FA1" w:rsidRPr="00E07C9A" w:rsidRDefault="00B93FA1" w:rsidP="0016282F">
            <w:pPr>
              <w:spacing w:beforeLines="60" w:before="144" w:afterLines="60" w:after="144"/>
              <w:rPr>
                <w:rFonts w:ascii="Times New Roman" w:hAnsi="Times New Roman"/>
                <w:sz w:val="24"/>
              </w:rPr>
            </w:pPr>
            <w:r w:rsidRPr="00E07C9A">
              <w:rPr>
                <w:rFonts w:ascii="Times New Roman" w:hAnsi="Times New Roman"/>
                <w:sz w:val="24"/>
              </w:rPr>
              <w:t>Tento riadok sa vypĺňa iba</w:t>
            </w:r>
            <w:r w:rsidR="009912F8" w:rsidRPr="00E07C9A">
              <w:rPr>
                <w:rFonts w:ascii="Times New Roman" w:hAnsi="Times New Roman"/>
                <w:sz w:val="24"/>
              </w:rPr>
              <w:t xml:space="preserve"> v </w:t>
            </w:r>
            <w:r w:rsidRPr="00E07C9A">
              <w:rPr>
                <w:rFonts w:ascii="Times New Roman" w:hAnsi="Times New Roman"/>
                <w:sz w:val="24"/>
              </w:rPr>
              <w:t>ojedinelých prípadoch, keď prvky vylúčené</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článkom 4 ods. 2 delegovaného nariadenia (EÚ) 2016/101 nemožno priradiť</w:t>
            </w:r>
            <w:r w:rsidR="009912F8" w:rsidRPr="00E07C9A">
              <w:rPr>
                <w:rFonts w:ascii="Times New Roman" w:hAnsi="Times New Roman"/>
                <w:sz w:val="24"/>
              </w:rPr>
              <w:t xml:space="preserve"> k </w:t>
            </w:r>
            <w:r w:rsidRPr="00E07C9A">
              <w:rPr>
                <w:rFonts w:ascii="Times New Roman" w:hAnsi="Times New Roman"/>
                <w:sz w:val="24"/>
              </w:rPr>
              <w:t>stĺpcom 0030, 0040 ani 0050 tohto vzoru.</w:t>
            </w:r>
          </w:p>
        </w:tc>
      </w:tr>
      <w:tr w:rsidR="00B93FA1" w:rsidRPr="00E07C9A" w14:paraId="399CEC8E" w14:textId="77777777" w:rsidTr="00672D2A">
        <w:tc>
          <w:tcPr>
            <w:tcW w:w="1101" w:type="dxa"/>
          </w:tcPr>
          <w:p w14:paraId="2B554E2F" w14:textId="77777777" w:rsidR="00B93FA1" w:rsidRPr="00E07C9A" w:rsidRDefault="001924F4" w:rsidP="00AF3D7A">
            <w:pPr>
              <w:spacing w:beforeLines="60" w:before="144" w:afterLines="60" w:after="144"/>
              <w:rPr>
                <w:rFonts w:ascii="Times New Roman" w:hAnsi="Times New Roman"/>
                <w:sz w:val="24"/>
              </w:rPr>
            </w:pPr>
            <w:r w:rsidRPr="00E07C9A">
              <w:rPr>
                <w:rFonts w:ascii="Times New Roman" w:hAnsi="Times New Roman"/>
                <w:sz w:val="24"/>
              </w:rPr>
              <w:t>0070</w:t>
            </w:r>
          </w:p>
        </w:tc>
        <w:tc>
          <w:tcPr>
            <w:tcW w:w="8190" w:type="dxa"/>
          </w:tcPr>
          <w:p w14:paraId="2917563A" w14:textId="77777777" w:rsidR="009912F8" w:rsidRPr="00E07C9A" w:rsidRDefault="00B93FA1" w:rsidP="00AF3D7A">
            <w:pPr>
              <w:spacing w:beforeLines="60" w:before="144" w:afterLines="60" w:after="144"/>
              <w:rPr>
                <w:rFonts w:ascii="Times New Roman" w:hAnsi="Times New Roman"/>
                <w:sz w:val="24"/>
              </w:rPr>
            </w:pPr>
            <w:r w:rsidRPr="00E07C9A">
              <w:rPr>
                <w:rFonts w:ascii="Times New Roman" w:hAnsi="Times New Roman"/>
                <w:b/>
                <w:caps/>
                <w:sz w:val="24"/>
                <w:u w:val="single"/>
              </w:rPr>
              <w:t>Poznámka</w:t>
            </w:r>
            <w:r w:rsidR="009912F8" w:rsidRPr="00E07C9A">
              <w:rPr>
                <w:rFonts w:ascii="Times New Roman" w:hAnsi="Times New Roman"/>
                <w:b/>
                <w:caps/>
                <w:sz w:val="24"/>
                <w:u w:val="single"/>
              </w:rPr>
              <w:t xml:space="preserve"> k </w:t>
            </w:r>
            <w:r w:rsidRPr="00E07C9A">
              <w:rPr>
                <w:rFonts w:ascii="Times New Roman" w:hAnsi="Times New Roman"/>
                <w:b/>
                <w:caps/>
                <w:sz w:val="24"/>
                <w:u w:val="single"/>
              </w:rPr>
              <w:t>položke iné</w:t>
            </w:r>
          </w:p>
          <w:p w14:paraId="16CC6073" w14:textId="1516DC8A" w:rsidR="00B93FA1" w:rsidRPr="00E07C9A" w:rsidRDefault="00C11B8D" w:rsidP="00584165">
            <w:pPr>
              <w:spacing w:beforeLines="60" w:before="144" w:afterLines="60" w:after="144"/>
              <w:rPr>
                <w:rFonts w:ascii="Times New Roman" w:hAnsi="Times New Roman"/>
                <w:b/>
                <w:caps/>
                <w:sz w:val="24"/>
                <w:u w:val="single"/>
              </w:rPr>
            </w:pPr>
            <w:r w:rsidRPr="00E07C9A">
              <w:rPr>
                <w:rFonts w:ascii="Times New Roman" w:hAnsi="Times New Roman"/>
                <w:sz w:val="24"/>
              </w:rPr>
              <w:t>Uvádzajú sa hlavné dôvody, pre ktoré boli vylúčené pozície vykázané</w:t>
            </w:r>
            <w:r w:rsidR="009912F8" w:rsidRPr="00E07C9A">
              <w:rPr>
                <w:rFonts w:ascii="Times New Roman" w:hAnsi="Times New Roman"/>
                <w:sz w:val="24"/>
              </w:rPr>
              <w:t xml:space="preserve"> v </w:t>
            </w:r>
            <w:r w:rsidRPr="00E07C9A">
              <w:rPr>
                <w:rFonts w:ascii="Times New Roman" w:hAnsi="Times New Roman"/>
                <w:sz w:val="24"/>
              </w:rPr>
              <w:t>stĺpci 0060.</w:t>
            </w:r>
          </w:p>
        </w:tc>
      </w:tr>
      <w:tr w:rsidR="00B93FA1" w:rsidRPr="00E07C9A" w14:paraId="7589C94A" w14:textId="77777777" w:rsidTr="00672D2A">
        <w:tc>
          <w:tcPr>
            <w:tcW w:w="1101" w:type="dxa"/>
          </w:tcPr>
          <w:p w14:paraId="542BC6B9" w14:textId="77777777" w:rsidR="00B93FA1" w:rsidRPr="00E07C9A" w:rsidRDefault="001924F4" w:rsidP="00AF3D7A">
            <w:pPr>
              <w:spacing w:beforeLines="60" w:before="144" w:afterLines="60" w:after="144"/>
              <w:rPr>
                <w:rFonts w:ascii="Times New Roman" w:hAnsi="Times New Roman"/>
                <w:sz w:val="24"/>
              </w:rPr>
            </w:pPr>
            <w:r w:rsidRPr="00E07C9A">
              <w:rPr>
                <w:rFonts w:ascii="Times New Roman" w:hAnsi="Times New Roman"/>
                <w:sz w:val="24"/>
              </w:rPr>
              <w:t>0080</w:t>
            </w:r>
          </w:p>
        </w:tc>
        <w:tc>
          <w:tcPr>
            <w:tcW w:w="8190" w:type="dxa"/>
          </w:tcPr>
          <w:p w14:paraId="2E737775" w14:textId="3698DF4C" w:rsidR="00B93FA1" w:rsidRPr="00E07C9A" w:rsidRDefault="00B93FA1" w:rsidP="00AF3D7A">
            <w:pPr>
              <w:spacing w:beforeLines="60" w:before="144" w:afterLines="60" w:after="144"/>
              <w:rPr>
                <w:rFonts w:ascii="Times New Roman" w:hAnsi="Times New Roman"/>
                <w:b/>
                <w:caps/>
                <w:sz w:val="24"/>
                <w:u w:val="single"/>
              </w:rPr>
            </w:pPr>
            <w:r w:rsidRPr="00E07C9A">
              <w:rPr>
                <w:rFonts w:ascii="Times New Roman" w:hAnsi="Times New Roman"/>
                <w:b/>
                <w:caps/>
                <w:sz w:val="24"/>
                <w:u w:val="single"/>
              </w:rPr>
              <w:t>REÁLNOU HODNOTOU OCENENÉ aktíva</w:t>
            </w:r>
            <w:r w:rsidR="009912F8" w:rsidRPr="00E07C9A">
              <w:rPr>
                <w:rFonts w:ascii="Times New Roman" w:hAnsi="Times New Roman"/>
                <w:b/>
                <w:caps/>
                <w:sz w:val="24"/>
                <w:u w:val="single"/>
              </w:rPr>
              <w:t xml:space="preserve"> a </w:t>
            </w:r>
            <w:r w:rsidRPr="00E07C9A">
              <w:rPr>
                <w:rFonts w:ascii="Times New Roman" w:hAnsi="Times New Roman"/>
                <w:b/>
                <w:caps/>
                <w:sz w:val="24"/>
                <w:u w:val="single"/>
              </w:rPr>
              <w:t>záväzky zahrnuté</w:t>
            </w:r>
            <w:r w:rsidR="009912F8" w:rsidRPr="00E07C9A">
              <w:rPr>
                <w:rFonts w:ascii="Times New Roman" w:hAnsi="Times New Roman"/>
                <w:b/>
                <w:caps/>
                <w:sz w:val="24"/>
                <w:u w:val="single"/>
              </w:rPr>
              <w:t xml:space="preserve"> v </w:t>
            </w:r>
            <w:r w:rsidRPr="00E07C9A">
              <w:rPr>
                <w:rFonts w:ascii="Times New Roman" w:hAnsi="Times New Roman"/>
                <w:b/>
                <w:caps/>
                <w:sz w:val="24"/>
                <w:u w:val="single"/>
              </w:rPr>
              <w:t>prahovej hodnote podľa ČLÁNKU 4 ods. 1</w:t>
            </w:r>
          </w:p>
          <w:p w14:paraId="1EBA8B96" w14:textId="281A2826" w:rsidR="00B93FA1" w:rsidRPr="00E07C9A" w:rsidRDefault="00B93FA1" w:rsidP="0016282F">
            <w:pPr>
              <w:spacing w:beforeLines="60" w:before="144" w:afterLines="60" w:after="144"/>
              <w:rPr>
                <w:rFonts w:ascii="Times New Roman" w:hAnsi="Times New Roman"/>
                <w:b/>
                <w:caps/>
                <w:sz w:val="24"/>
                <w:u w:val="single"/>
              </w:rPr>
            </w:pPr>
            <w:r w:rsidRPr="00E07C9A">
              <w:rPr>
                <w:rFonts w:ascii="Times New Roman" w:hAnsi="Times New Roman"/>
                <w:sz w:val="24"/>
              </w:rPr>
              <w:t>Absolútna hodnota reálnou hodnotou ocenených aktív</w:t>
            </w:r>
            <w:r w:rsidR="009912F8" w:rsidRPr="00E07C9A">
              <w:rPr>
                <w:rFonts w:ascii="Times New Roman" w:hAnsi="Times New Roman"/>
                <w:sz w:val="24"/>
              </w:rPr>
              <w:t xml:space="preserve"> a </w:t>
            </w:r>
            <w:r w:rsidRPr="00E07C9A">
              <w:rPr>
                <w:rFonts w:ascii="Times New Roman" w:hAnsi="Times New Roman"/>
                <w:sz w:val="24"/>
              </w:rPr>
              <w:t>záväzkov skutočne zahrnutých do výpočtu prahovej hodnoty</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článkom 4 ods. 1 delegovaného nariadenia (EÚ) 2016/101.</w:t>
            </w:r>
          </w:p>
        </w:tc>
      </w:tr>
      <w:tr w:rsidR="00B93FA1" w:rsidRPr="00E07C9A" w14:paraId="1ED04ECD" w14:textId="77777777" w:rsidTr="00672D2A">
        <w:tc>
          <w:tcPr>
            <w:tcW w:w="1101" w:type="dxa"/>
          </w:tcPr>
          <w:p w14:paraId="41FC06E1" w14:textId="77777777" w:rsidR="00B93FA1" w:rsidRPr="00E07C9A" w:rsidRDefault="001924F4" w:rsidP="00AF3D7A">
            <w:pPr>
              <w:spacing w:beforeLines="60" w:before="144" w:afterLines="60" w:after="144"/>
              <w:rPr>
                <w:rFonts w:ascii="Times New Roman" w:hAnsi="Times New Roman"/>
                <w:sz w:val="24"/>
              </w:rPr>
            </w:pPr>
            <w:r w:rsidRPr="00E07C9A">
              <w:rPr>
                <w:rFonts w:ascii="Times New Roman" w:hAnsi="Times New Roman"/>
                <w:sz w:val="24"/>
              </w:rPr>
              <w:t>0090</w:t>
            </w:r>
          </w:p>
        </w:tc>
        <w:tc>
          <w:tcPr>
            <w:tcW w:w="8190" w:type="dxa"/>
          </w:tcPr>
          <w:p w14:paraId="7CA0CE43" w14:textId="77777777" w:rsidR="00B93FA1" w:rsidRPr="00E07C9A" w:rsidRDefault="00B93FA1" w:rsidP="00AF3D7A">
            <w:pPr>
              <w:spacing w:beforeLines="60" w:before="144" w:afterLines="60" w:after="144"/>
              <w:rPr>
                <w:rFonts w:ascii="Times New Roman" w:hAnsi="Times New Roman"/>
                <w:b/>
                <w:caps/>
                <w:sz w:val="24"/>
                <w:u w:val="single"/>
              </w:rPr>
            </w:pPr>
            <w:r w:rsidRPr="00E07C9A">
              <w:rPr>
                <w:rFonts w:ascii="Times New Roman" w:hAnsi="Times New Roman"/>
                <w:b/>
                <w:caps/>
                <w:sz w:val="24"/>
                <w:u w:val="single"/>
              </w:rPr>
              <w:t>Z ČOHO: obchodná kniha</w:t>
            </w:r>
          </w:p>
          <w:p w14:paraId="4015C917" w14:textId="53312E29" w:rsidR="00B93FA1" w:rsidRPr="00E07C9A" w:rsidRDefault="00B93FA1" w:rsidP="00AF3D7A">
            <w:pPr>
              <w:spacing w:beforeLines="60" w:before="144" w:afterLines="60" w:after="144"/>
              <w:rPr>
                <w:rFonts w:ascii="Times New Roman" w:hAnsi="Times New Roman"/>
                <w:b/>
                <w:caps/>
                <w:sz w:val="24"/>
                <w:u w:val="single"/>
              </w:rPr>
            </w:pPr>
            <w:r w:rsidRPr="00E07C9A">
              <w:rPr>
                <w:rFonts w:ascii="Times New Roman" w:hAnsi="Times New Roman"/>
                <w:sz w:val="24"/>
              </w:rPr>
              <w:t>Absolútna hodnota reálnou hodnotou ocenených aktív</w:t>
            </w:r>
            <w:r w:rsidR="009912F8" w:rsidRPr="00E07C9A">
              <w:rPr>
                <w:rFonts w:ascii="Times New Roman" w:hAnsi="Times New Roman"/>
                <w:sz w:val="24"/>
              </w:rPr>
              <w:t xml:space="preserve"> a </w:t>
            </w:r>
            <w:r w:rsidRPr="00E07C9A">
              <w:rPr>
                <w:rFonts w:ascii="Times New Roman" w:hAnsi="Times New Roman"/>
                <w:sz w:val="24"/>
              </w:rPr>
              <w:t>záväzkov, ako je vykázaná</w:t>
            </w:r>
            <w:r w:rsidR="009912F8" w:rsidRPr="00E07C9A">
              <w:rPr>
                <w:rFonts w:ascii="Times New Roman" w:hAnsi="Times New Roman"/>
                <w:sz w:val="24"/>
              </w:rPr>
              <w:t xml:space="preserve"> v </w:t>
            </w:r>
            <w:r w:rsidRPr="00E07C9A">
              <w:rPr>
                <w:rFonts w:ascii="Times New Roman" w:hAnsi="Times New Roman"/>
                <w:sz w:val="24"/>
              </w:rPr>
              <w:t>stĺpci 0080, zodpovedajúca pozíciám vedeným</w:t>
            </w:r>
            <w:r w:rsidR="009912F8" w:rsidRPr="00E07C9A">
              <w:rPr>
                <w:rFonts w:ascii="Times New Roman" w:hAnsi="Times New Roman"/>
                <w:sz w:val="24"/>
              </w:rPr>
              <w:t xml:space="preserve"> v </w:t>
            </w:r>
            <w:r w:rsidRPr="00E07C9A">
              <w:rPr>
                <w:rFonts w:ascii="Times New Roman" w:hAnsi="Times New Roman"/>
                <w:sz w:val="24"/>
              </w:rPr>
              <w:t>obchodnej knihe.</w:t>
            </w:r>
          </w:p>
        </w:tc>
      </w:tr>
    </w:tbl>
    <w:p w14:paraId="386BC0FA" w14:textId="77777777" w:rsidR="00E60B53" w:rsidRPr="00E07C9A" w:rsidRDefault="00E60B53" w:rsidP="00C61FF5">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E07C9A" w14:paraId="0A59DB17" w14:textId="77777777" w:rsidTr="00672D2A">
        <w:tc>
          <w:tcPr>
            <w:tcW w:w="9291" w:type="dxa"/>
            <w:gridSpan w:val="2"/>
            <w:shd w:val="clear" w:color="auto" w:fill="CCCCCC"/>
          </w:tcPr>
          <w:p w14:paraId="18D6FAA2" w14:textId="77777777" w:rsidR="00B93FA1" w:rsidRPr="00E07C9A" w:rsidRDefault="00B93FA1" w:rsidP="00AF3D7A">
            <w:pPr>
              <w:spacing w:beforeLines="60" w:before="144" w:afterLines="60" w:after="144"/>
              <w:rPr>
                <w:rFonts w:ascii="Times New Roman" w:hAnsi="Times New Roman"/>
                <w:b/>
                <w:sz w:val="24"/>
              </w:rPr>
            </w:pPr>
            <w:r w:rsidRPr="00E07C9A">
              <w:rPr>
                <w:rFonts w:ascii="Times New Roman" w:hAnsi="Times New Roman"/>
                <w:b/>
                <w:sz w:val="24"/>
              </w:rPr>
              <w:t>Riadky</w:t>
            </w:r>
          </w:p>
        </w:tc>
      </w:tr>
      <w:tr w:rsidR="00B93FA1" w:rsidRPr="00E07C9A" w14:paraId="14859130" w14:textId="77777777" w:rsidTr="00672D2A">
        <w:tc>
          <w:tcPr>
            <w:tcW w:w="1101" w:type="dxa"/>
          </w:tcPr>
          <w:p w14:paraId="3436CAB6" w14:textId="77777777" w:rsidR="00B93FA1" w:rsidRPr="00E07C9A" w:rsidRDefault="001924F4" w:rsidP="00AF3D7A">
            <w:pPr>
              <w:spacing w:beforeLines="60" w:before="144" w:afterLines="60" w:after="144"/>
              <w:rPr>
                <w:rFonts w:ascii="Times New Roman" w:hAnsi="Times New Roman"/>
                <w:sz w:val="24"/>
              </w:rPr>
            </w:pPr>
            <w:r w:rsidRPr="00E07C9A">
              <w:rPr>
                <w:rFonts w:ascii="Times New Roman" w:hAnsi="Times New Roman"/>
                <w:sz w:val="24"/>
              </w:rPr>
              <w:t>0010 – 0210</w:t>
            </w:r>
          </w:p>
        </w:tc>
        <w:tc>
          <w:tcPr>
            <w:tcW w:w="8190" w:type="dxa"/>
          </w:tcPr>
          <w:p w14:paraId="350B7B4A" w14:textId="3495CAA2" w:rsidR="00B93FA1" w:rsidRPr="00E07C9A" w:rsidRDefault="00B93FA1" w:rsidP="00AF3D7A">
            <w:pPr>
              <w:spacing w:beforeLines="60" w:before="144" w:afterLines="60" w:after="144"/>
              <w:rPr>
                <w:rFonts w:ascii="Times New Roman" w:hAnsi="Times New Roman"/>
                <w:sz w:val="24"/>
              </w:rPr>
            </w:pPr>
            <w:r w:rsidRPr="00E07C9A">
              <w:rPr>
                <w:rFonts w:ascii="Times New Roman" w:hAnsi="Times New Roman"/>
                <w:sz w:val="24"/>
              </w:rPr>
              <w:t>Vymedzenia týchto kategórií sa zhodujú</w:t>
            </w:r>
            <w:r w:rsidR="009912F8" w:rsidRPr="00E07C9A">
              <w:rPr>
                <w:rFonts w:ascii="Times New Roman" w:hAnsi="Times New Roman"/>
                <w:sz w:val="24"/>
              </w:rPr>
              <w:t xml:space="preserve"> s </w:t>
            </w:r>
            <w:r w:rsidRPr="00E07C9A">
              <w:rPr>
                <w:rFonts w:ascii="Times New Roman" w:hAnsi="Times New Roman"/>
                <w:sz w:val="24"/>
              </w:rPr>
              <w:t>príslušnými riadkami vzorov FINREP 1.1</w:t>
            </w:r>
            <w:r w:rsidR="009912F8" w:rsidRPr="00E07C9A">
              <w:rPr>
                <w:rFonts w:ascii="Times New Roman" w:hAnsi="Times New Roman"/>
                <w:sz w:val="24"/>
              </w:rPr>
              <w:t xml:space="preserve"> a </w:t>
            </w:r>
            <w:r w:rsidRPr="00E07C9A">
              <w:rPr>
                <w:rFonts w:ascii="Times New Roman" w:hAnsi="Times New Roman"/>
                <w:sz w:val="24"/>
              </w:rPr>
              <w:t xml:space="preserve">1.2. </w:t>
            </w:r>
          </w:p>
        </w:tc>
      </w:tr>
      <w:tr w:rsidR="00B93FA1" w:rsidRPr="00E07C9A" w14:paraId="4A6BEE26" w14:textId="77777777" w:rsidTr="00672D2A">
        <w:tc>
          <w:tcPr>
            <w:tcW w:w="1101" w:type="dxa"/>
          </w:tcPr>
          <w:p w14:paraId="631FA6F7" w14:textId="77777777" w:rsidR="00B93FA1" w:rsidRPr="00E07C9A" w:rsidRDefault="001924F4" w:rsidP="00AF3D7A">
            <w:pPr>
              <w:spacing w:beforeLines="60" w:before="144" w:afterLines="60" w:after="144"/>
              <w:rPr>
                <w:rFonts w:ascii="Times New Roman" w:hAnsi="Times New Roman"/>
                <w:sz w:val="24"/>
              </w:rPr>
            </w:pPr>
            <w:r w:rsidRPr="00E07C9A">
              <w:rPr>
                <w:rFonts w:ascii="Times New Roman" w:hAnsi="Times New Roman"/>
                <w:sz w:val="24"/>
              </w:rPr>
              <w:t>0010</w:t>
            </w:r>
          </w:p>
        </w:tc>
        <w:tc>
          <w:tcPr>
            <w:tcW w:w="8190" w:type="dxa"/>
          </w:tcPr>
          <w:p w14:paraId="50554B57" w14:textId="77777777" w:rsidR="00B93FA1" w:rsidRPr="00E07C9A" w:rsidRDefault="00B93FA1" w:rsidP="00AF3D7A">
            <w:pPr>
              <w:spacing w:beforeLines="60" w:before="144" w:afterLines="60" w:after="144"/>
              <w:rPr>
                <w:rFonts w:ascii="Times New Roman" w:hAnsi="Times New Roman"/>
                <w:b/>
                <w:sz w:val="24"/>
                <w:u w:val="single"/>
              </w:rPr>
            </w:pPr>
            <w:r w:rsidRPr="00E07C9A">
              <w:rPr>
                <w:rFonts w:ascii="Times New Roman" w:hAnsi="Times New Roman"/>
                <w:b/>
                <w:sz w:val="24"/>
                <w:u w:val="single"/>
              </w:rPr>
              <w:t>1. REÁLNOU HODNOTOU OCENENÉ AKTÍVA A ZÁVÄZKY CELKOVE</w:t>
            </w:r>
          </w:p>
          <w:p w14:paraId="73381AE0" w14:textId="1132A5B1" w:rsidR="00B93FA1" w:rsidRPr="00E07C9A" w:rsidRDefault="00B93FA1" w:rsidP="00AF3D7A">
            <w:pPr>
              <w:spacing w:beforeLines="60" w:before="144" w:afterLines="60" w:after="144"/>
              <w:rPr>
                <w:rFonts w:ascii="Times New Roman" w:hAnsi="Times New Roman"/>
                <w:b/>
                <w:sz w:val="24"/>
                <w:u w:val="single"/>
              </w:rPr>
            </w:pPr>
            <w:r w:rsidRPr="00E07C9A">
              <w:rPr>
                <w:rFonts w:ascii="Times New Roman" w:hAnsi="Times New Roman"/>
                <w:sz w:val="24"/>
              </w:rPr>
              <w:t>Celková hodnota reálnou hodnotou ocenených aktív</w:t>
            </w:r>
            <w:r w:rsidR="009912F8" w:rsidRPr="00E07C9A">
              <w:rPr>
                <w:rFonts w:ascii="Times New Roman" w:hAnsi="Times New Roman"/>
                <w:sz w:val="24"/>
              </w:rPr>
              <w:t xml:space="preserve"> a </w:t>
            </w:r>
            <w:r w:rsidRPr="00E07C9A">
              <w:rPr>
                <w:rFonts w:ascii="Times New Roman" w:hAnsi="Times New Roman"/>
                <w:sz w:val="24"/>
              </w:rPr>
              <w:t>záväzkov vykázaných</w:t>
            </w:r>
            <w:r w:rsidR="009912F8" w:rsidRPr="00E07C9A">
              <w:rPr>
                <w:rFonts w:ascii="Times New Roman" w:hAnsi="Times New Roman"/>
                <w:sz w:val="24"/>
              </w:rPr>
              <w:t xml:space="preserve"> v </w:t>
            </w:r>
            <w:r w:rsidRPr="00E07C9A">
              <w:rPr>
                <w:rFonts w:ascii="Times New Roman" w:hAnsi="Times New Roman"/>
                <w:sz w:val="24"/>
              </w:rPr>
              <w:t>riadkoch 0020 až 0210.</w:t>
            </w:r>
          </w:p>
        </w:tc>
      </w:tr>
      <w:tr w:rsidR="00B93FA1" w:rsidRPr="00E07C9A" w14:paraId="1CB8D740" w14:textId="77777777" w:rsidTr="00672D2A">
        <w:tc>
          <w:tcPr>
            <w:tcW w:w="1101" w:type="dxa"/>
          </w:tcPr>
          <w:p w14:paraId="299BFB80" w14:textId="77777777" w:rsidR="00B93FA1" w:rsidRPr="00E07C9A" w:rsidRDefault="001924F4" w:rsidP="00AF3D7A">
            <w:pPr>
              <w:spacing w:beforeLines="60" w:before="144" w:afterLines="60" w:after="144"/>
              <w:rPr>
                <w:rFonts w:ascii="Times New Roman" w:hAnsi="Times New Roman"/>
                <w:sz w:val="24"/>
              </w:rPr>
            </w:pPr>
            <w:r w:rsidRPr="00E07C9A">
              <w:rPr>
                <w:rFonts w:ascii="Times New Roman" w:hAnsi="Times New Roman"/>
                <w:sz w:val="24"/>
              </w:rPr>
              <w:t>0020</w:t>
            </w:r>
          </w:p>
        </w:tc>
        <w:tc>
          <w:tcPr>
            <w:tcW w:w="8190" w:type="dxa"/>
          </w:tcPr>
          <w:p w14:paraId="600C3337" w14:textId="77777777" w:rsidR="00B93FA1" w:rsidRPr="00E07C9A" w:rsidRDefault="00B93FA1" w:rsidP="00AF3D7A">
            <w:pPr>
              <w:spacing w:beforeLines="60" w:before="144" w:afterLines="60" w:after="144"/>
              <w:rPr>
                <w:rFonts w:ascii="Times New Roman" w:hAnsi="Times New Roman"/>
                <w:b/>
                <w:sz w:val="24"/>
                <w:u w:val="single"/>
              </w:rPr>
            </w:pPr>
            <w:r w:rsidRPr="00E07C9A">
              <w:rPr>
                <w:rFonts w:ascii="Times New Roman" w:hAnsi="Times New Roman"/>
                <w:b/>
                <w:sz w:val="24"/>
                <w:u w:val="single"/>
              </w:rPr>
              <w:t>1.1. REÁLNOU HODNOTOU OCENENÉ AKTÍVA CELKOVO</w:t>
            </w:r>
          </w:p>
          <w:p w14:paraId="65180C34" w14:textId="75CF7DBA" w:rsidR="009912F8" w:rsidRPr="00E07C9A" w:rsidRDefault="00B93FA1" w:rsidP="00AF3D7A">
            <w:pPr>
              <w:spacing w:beforeLines="60" w:before="144" w:afterLines="60" w:after="144"/>
              <w:rPr>
                <w:rFonts w:ascii="Times New Roman" w:hAnsi="Times New Roman"/>
                <w:sz w:val="24"/>
              </w:rPr>
            </w:pPr>
            <w:r w:rsidRPr="00E07C9A">
              <w:rPr>
                <w:rFonts w:ascii="Times New Roman" w:hAnsi="Times New Roman"/>
                <w:sz w:val="24"/>
              </w:rPr>
              <w:t>Celková hodnota reálnou hodnotou ocenených aktív vykázaných</w:t>
            </w:r>
            <w:r w:rsidR="009912F8" w:rsidRPr="00E07C9A">
              <w:rPr>
                <w:rFonts w:ascii="Times New Roman" w:hAnsi="Times New Roman"/>
                <w:sz w:val="24"/>
              </w:rPr>
              <w:t xml:space="preserve"> v </w:t>
            </w:r>
            <w:r w:rsidRPr="00E07C9A">
              <w:rPr>
                <w:rFonts w:ascii="Times New Roman" w:hAnsi="Times New Roman"/>
                <w:sz w:val="24"/>
              </w:rPr>
              <w:t>riadkoch 0030 až 0140</w:t>
            </w:r>
            <w:r w:rsidR="009912F8" w:rsidRPr="00E07C9A">
              <w:rPr>
                <w:rFonts w:ascii="Times New Roman" w:hAnsi="Times New Roman"/>
                <w:sz w:val="24"/>
              </w:rPr>
              <w:t>.</w:t>
            </w:r>
          </w:p>
          <w:p w14:paraId="100F7B33" w14:textId="4938B431" w:rsidR="00B93FA1" w:rsidRPr="00E07C9A" w:rsidRDefault="00B93FA1" w:rsidP="00AF3D7A">
            <w:pPr>
              <w:spacing w:beforeLines="60" w:before="144" w:afterLines="60" w:after="144"/>
              <w:rPr>
                <w:rFonts w:ascii="Times New Roman" w:hAnsi="Times New Roman"/>
                <w:sz w:val="24"/>
              </w:rPr>
            </w:pPr>
            <w:r w:rsidRPr="00E07C9A">
              <w:rPr>
                <w:rFonts w:ascii="Times New Roman" w:hAnsi="Times New Roman"/>
                <w:sz w:val="24"/>
              </w:rPr>
              <w:t>Príslušné bunky riadkov 0030 až 0130 sa vykazujú</w:t>
            </w:r>
            <w:r w:rsidR="009912F8" w:rsidRPr="00E07C9A">
              <w:rPr>
                <w:rFonts w:ascii="Times New Roman" w:hAnsi="Times New Roman"/>
                <w:sz w:val="24"/>
              </w:rPr>
              <w:t xml:space="preserve"> v </w:t>
            </w:r>
            <w:r w:rsidRPr="00E07C9A">
              <w:rPr>
                <w:rFonts w:ascii="Times New Roman" w:hAnsi="Times New Roman"/>
                <w:sz w:val="24"/>
              </w:rPr>
              <w:t>súlade so vzorom FINREP F 01.01</w:t>
            </w:r>
            <w:r w:rsidR="009912F8" w:rsidRPr="00E07C9A">
              <w:rPr>
                <w:rFonts w:ascii="Times New Roman" w:hAnsi="Times New Roman"/>
                <w:sz w:val="24"/>
              </w:rPr>
              <w:t xml:space="preserve"> v </w:t>
            </w:r>
            <w:r w:rsidRPr="00E07C9A">
              <w:rPr>
                <w:rFonts w:ascii="Times New Roman" w:hAnsi="Times New Roman"/>
                <w:sz w:val="24"/>
              </w:rPr>
              <w:t>prílohe III</w:t>
            </w:r>
            <w:r w:rsidR="009912F8" w:rsidRPr="00E07C9A">
              <w:rPr>
                <w:rFonts w:ascii="Times New Roman" w:hAnsi="Times New Roman"/>
                <w:sz w:val="24"/>
              </w:rPr>
              <w:t xml:space="preserve"> a </w:t>
            </w:r>
            <w:r w:rsidRPr="00E07C9A">
              <w:rPr>
                <w:rFonts w:ascii="Times New Roman" w:hAnsi="Times New Roman"/>
                <w:sz w:val="24"/>
              </w:rPr>
              <w:t>prílohe IV</w:t>
            </w:r>
            <w:r w:rsidR="009912F8" w:rsidRPr="00E07C9A">
              <w:rPr>
                <w:rFonts w:ascii="Times New Roman" w:hAnsi="Times New Roman"/>
                <w:sz w:val="24"/>
              </w:rPr>
              <w:t xml:space="preserve"> k </w:t>
            </w:r>
            <w:r w:rsidRPr="00E07C9A">
              <w:rPr>
                <w:rFonts w:ascii="Times New Roman" w:hAnsi="Times New Roman"/>
                <w:sz w:val="24"/>
              </w:rPr>
              <w:t>tomuto vykonávaciemu nariadeniu</w:t>
            </w:r>
            <w:r w:rsidR="009912F8" w:rsidRPr="00E07C9A">
              <w:rPr>
                <w:rFonts w:ascii="Times New Roman" w:hAnsi="Times New Roman"/>
                <w:sz w:val="24"/>
              </w:rPr>
              <w:t xml:space="preserve"> v </w:t>
            </w:r>
            <w:r w:rsidRPr="00E07C9A">
              <w:rPr>
                <w:rFonts w:ascii="Times New Roman" w:hAnsi="Times New Roman"/>
                <w:sz w:val="24"/>
              </w:rPr>
              <w:t>závislosti od štandardov, ktoré sa na danú inštitúciu uplatňujú:</w:t>
            </w:r>
          </w:p>
          <w:p w14:paraId="3CF60D26" w14:textId="160B132F" w:rsidR="00B93FA1" w:rsidRPr="00E07C9A" w:rsidRDefault="00B93FA1" w:rsidP="005C4397">
            <w:pPr>
              <w:pStyle w:val="ListParagraph"/>
              <w:numPr>
                <w:ilvl w:val="0"/>
                <w:numId w:val="21"/>
              </w:numPr>
              <w:spacing w:beforeLines="60" w:before="144" w:afterLines="60" w:after="144"/>
              <w:rPr>
                <w:rFonts w:ascii="Times New Roman" w:hAnsi="Times New Roman"/>
                <w:sz w:val="24"/>
              </w:rPr>
            </w:pPr>
            <w:r w:rsidRPr="00E07C9A">
              <w:rPr>
                <w:rFonts w:ascii="Times New Roman" w:hAnsi="Times New Roman"/>
                <w:sz w:val="24"/>
              </w:rPr>
              <w:t>IFRS, ako sú schválené Úniou pri uplatňovaní nariadenia Európskeho parlamentu</w:t>
            </w:r>
            <w:r w:rsidR="009912F8" w:rsidRPr="00E07C9A">
              <w:rPr>
                <w:rFonts w:ascii="Times New Roman" w:hAnsi="Times New Roman"/>
                <w:sz w:val="24"/>
              </w:rPr>
              <w:t xml:space="preserve"> a </w:t>
            </w:r>
            <w:r w:rsidRPr="00E07C9A">
              <w:rPr>
                <w:rFonts w:ascii="Times New Roman" w:hAnsi="Times New Roman"/>
                <w:sz w:val="24"/>
              </w:rPr>
              <w:t>Rady (ES) č. 1606/2002 („IFRS EÚ“)</w:t>
            </w:r>
            <w:r w:rsidRPr="00E07C9A">
              <w:rPr>
                <w:rStyle w:val="FootnoteReference"/>
                <w:rFonts w:ascii="Times New Roman" w:hAnsi="Times New Roman"/>
                <w:sz w:val="20"/>
                <w:szCs w:val="20"/>
                <w:vertAlign w:val="superscript"/>
              </w:rPr>
              <w:footnoteReference w:id="11"/>
            </w:r>
            <w:r w:rsidRPr="00E07C9A">
              <w:rPr>
                <w:rFonts w:ascii="Times New Roman" w:hAnsi="Times New Roman"/>
                <w:sz w:val="24"/>
              </w:rPr>
              <w:t>,</w:t>
            </w:r>
          </w:p>
          <w:p w14:paraId="4663386E" w14:textId="4841362E" w:rsidR="00B93FA1" w:rsidRPr="00E07C9A" w:rsidRDefault="00B93FA1" w:rsidP="005C4397">
            <w:pPr>
              <w:pStyle w:val="ListParagraph"/>
              <w:numPr>
                <w:ilvl w:val="0"/>
                <w:numId w:val="21"/>
              </w:numPr>
              <w:spacing w:beforeLines="60" w:before="144" w:afterLines="60" w:after="144"/>
              <w:rPr>
                <w:rFonts w:ascii="Times New Roman" w:hAnsi="Times New Roman"/>
                <w:sz w:val="24"/>
              </w:rPr>
            </w:pPr>
            <w:r w:rsidRPr="00E07C9A">
              <w:rPr>
                <w:rFonts w:ascii="Times New Roman" w:hAnsi="Times New Roman"/>
                <w:sz w:val="24"/>
              </w:rPr>
              <w:t>národné účtovné štandardy zlučiteľné</w:t>
            </w:r>
            <w:r w:rsidR="009912F8" w:rsidRPr="00E07C9A">
              <w:rPr>
                <w:rFonts w:ascii="Times New Roman" w:hAnsi="Times New Roman"/>
                <w:sz w:val="24"/>
              </w:rPr>
              <w:t xml:space="preserve"> s </w:t>
            </w:r>
            <w:r w:rsidRPr="00E07C9A">
              <w:rPr>
                <w:rFonts w:ascii="Times New Roman" w:hAnsi="Times New Roman"/>
                <w:sz w:val="24"/>
              </w:rPr>
              <w:t>IFRS EÚ („národné GAAP zlučiteľné</w:t>
            </w:r>
            <w:r w:rsidR="009912F8" w:rsidRPr="00E07C9A">
              <w:rPr>
                <w:rFonts w:ascii="Times New Roman" w:hAnsi="Times New Roman"/>
                <w:sz w:val="24"/>
              </w:rPr>
              <w:t xml:space="preserve"> s </w:t>
            </w:r>
            <w:r w:rsidRPr="00E07C9A">
              <w:rPr>
                <w:rFonts w:ascii="Times New Roman" w:hAnsi="Times New Roman"/>
                <w:sz w:val="24"/>
              </w:rPr>
              <w:t>IFRS“) alebo</w:t>
            </w:r>
          </w:p>
          <w:p w14:paraId="6778B4B1" w14:textId="28D692A4" w:rsidR="00B93FA1" w:rsidRPr="00E07C9A" w:rsidRDefault="00B93FA1" w:rsidP="005C4397">
            <w:pPr>
              <w:pStyle w:val="ListParagraph"/>
              <w:numPr>
                <w:ilvl w:val="0"/>
                <w:numId w:val="21"/>
              </w:numPr>
              <w:spacing w:beforeLines="60" w:before="144" w:afterLines="60" w:after="144"/>
              <w:rPr>
                <w:rFonts w:ascii="Times New Roman" w:hAnsi="Times New Roman"/>
                <w:sz w:val="24"/>
              </w:rPr>
            </w:pPr>
            <w:r w:rsidRPr="00E07C9A">
              <w:rPr>
                <w:rFonts w:ascii="Times New Roman" w:hAnsi="Times New Roman"/>
                <w:sz w:val="24"/>
              </w:rPr>
              <w:t>národné GAAP na základe smernice Rady 86/635/EHS (FINREP „národné GAAP na základe smernice Rady 86/635/EHS“).</w:t>
            </w:r>
          </w:p>
        </w:tc>
      </w:tr>
      <w:tr w:rsidR="00B93FA1" w:rsidRPr="00E07C9A" w14:paraId="36C89F7A" w14:textId="77777777" w:rsidTr="00672D2A">
        <w:tc>
          <w:tcPr>
            <w:tcW w:w="1101" w:type="dxa"/>
          </w:tcPr>
          <w:p w14:paraId="7A2669C5" w14:textId="77777777" w:rsidR="00B93FA1" w:rsidRPr="00E07C9A" w:rsidRDefault="001924F4" w:rsidP="00AF3D7A">
            <w:pPr>
              <w:spacing w:beforeLines="60" w:before="144" w:afterLines="60" w:after="144"/>
              <w:rPr>
                <w:rFonts w:ascii="Times New Roman" w:hAnsi="Times New Roman"/>
                <w:sz w:val="24"/>
              </w:rPr>
            </w:pPr>
            <w:r w:rsidRPr="00E07C9A">
              <w:rPr>
                <w:rFonts w:ascii="Times New Roman" w:hAnsi="Times New Roman"/>
                <w:sz w:val="24"/>
              </w:rPr>
              <w:t>0030</w:t>
            </w:r>
          </w:p>
        </w:tc>
        <w:tc>
          <w:tcPr>
            <w:tcW w:w="8190" w:type="dxa"/>
          </w:tcPr>
          <w:p w14:paraId="2EB49B43" w14:textId="77777777" w:rsidR="00B93FA1" w:rsidRPr="00E07C9A" w:rsidRDefault="00B93FA1" w:rsidP="00AF3D7A">
            <w:pPr>
              <w:spacing w:beforeLines="60" w:before="144" w:afterLines="60" w:after="144"/>
              <w:rPr>
                <w:rFonts w:ascii="Times New Roman" w:hAnsi="Times New Roman"/>
                <w:b/>
                <w:sz w:val="24"/>
                <w:u w:val="single"/>
              </w:rPr>
            </w:pPr>
            <w:r w:rsidRPr="00E07C9A">
              <w:rPr>
                <w:rFonts w:ascii="Times New Roman" w:hAnsi="Times New Roman"/>
                <w:b/>
                <w:sz w:val="24"/>
                <w:u w:val="single"/>
              </w:rPr>
              <w:t>1.1.1. FINANČNÉ AKTÍVA DRŽANÉ NA OBCHODOVANIE</w:t>
            </w:r>
          </w:p>
          <w:p w14:paraId="61B51402" w14:textId="77777777" w:rsidR="00B93FA1" w:rsidRPr="00E07C9A" w:rsidRDefault="00B93FA1" w:rsidP="00AF3D7A">
            <w:pPr>
              <w:spacing w:beforeLines="60" w:before="144" w:afterLines="60" w:after="144"/>
              <w:rPr>
                <w:rFonts w:ascii="Times New Roman" w:hAnsi="Times New Roman"/>
                <w:sz w:val="24"/>
              </w:rPr>
            </w:pPr>
            <w:r w:rsidRPr="00E07C9A">
              <w:rPr>
                <w:rFonts w:ascii="Times New Roman" w:hAnsi="Times New Roman"/>
                <w:sz w:val="24"/>
              </w:rPr>
              <w:t>IFRS 9 dodatok A</w:t>
            </w:r>
          </w:p>
          <w:p w14:paraId="7ACD732E" w14:textId="0C6DF388" w:rsidR="00B93FA1" w:rsidRPr="00E07C9A" w:rsidRDefault="00B93FA1" w:rsidP="0016282F">
            <w:pPr>
              <w:spacing w:beforeLines="60" w:before="144" w:afterLines="60" w:after="144"/>
              <w:rPr>
                <w:rFonts w:ascii="Times New Roman" w:hAnsi="Times New Roman"/>
                <w:sz w:val="24"/>
              </w:rPr>
            </w:pPr>
            <w:r w:rsidRPr="00E07C9A">
              <w:rPr>
                <w:rFonts w:ascii="Times New Roman" w:hAnsi="Times New Roman"/>
                <w:sz w:val="24"/>
              </w:rPr>
              <w:t>Informácie vykazované</w:t>
            </w:r>
            <w:r w:rsidR="009912F8" w:rsidRPr="00E07C9A">
              <w:rPr>
                <w:rFonts w:ascii="Times New Roman" w:hAnsi="Times New Roman"/>
                <w:sz w:val="24"/>
              </w:rPr>
              <w:t xml:space="preserve"> v </w:t>
            </w:r>
            <w:r w:rsidRPr="00E07C9A">
              <w:rPr>
                <w:rFonts w:ascii="Times New Roman" w:hAnsi="Times New Roman"/>
                <w:sz w:val="24"/>
              </w:rPr>
              <w:t>tomto riadku zodpovedajú riadku 0050 vzoru F 01.01 prílohy III</w:t>
            </w:r>
            <w:r w:rsidR="009912F8" w:rsidRPr="00E07C9A">
              <w:rPr>
                <w:rFonts w:ascii="Times New Roman" w:hAnsi="Times New Roman"/>
                <w:sz w:val="24"/>
              </w:rPr>
              <w:t xml:space="preserve"> a </w:t>
            </w:r>
            <w:r w:rsidRPr="00E07C9A">
              <w:rPr>
                <w:rFonts w:ascii="Times New Roman" w:hAnsi="Times New Roman"/>
                <w:sz w:val="24"/>
              </w:rPr>
              <w:t>prílohy IV</w:t>
            </w:r>
            <w:r w:rsidR="009912F8" w:rsidRPr="00E07C9A">
              <w:rPr>
                <w:rFonts w:ascii="Times New Roman" w:hAnsi="Times New Roman"/>
                <w:sz w:val="24"/>
              </w:rPr>
              <w:t xml:space="preserve"> k </w:t>
            </w:r>
            <w:r w:rsidRPr="00E07C9A">
              <w:rPr>
                <w:rFonts w:ascii="Times New Roman" w:hAnsi="Times New Roman"/>
                <w:sz w:val="24"/>
              </w:rPr>
              <w:t>tomuto vykonávaciemu nariadeniu.</w:t>
            </w:r>
          </w:p>
        </w:tc>
      </w:tr>
      <w:tr w:rsidR="00B93FA1" w:rsidRPr="00E07C9A" w14:paraId="4AC06989" w14:textId="77777777" w:rsidTr="00672D2A">
        <w:tc>
          <w:tcPr>
            <w:tcW w:w="1101" w:type="dxa"/>
          </w:tcPr>
          <w:p w14:paraId="499AD739" w14:textId="77777777" w:rsidR="00B93FA1" w:rsidRPr="00E07C9A" w:rsidRDefault="001924F4" w:rsidP="00AF3D7A">
            <w:pPr>
              <w:spacing w:beforeLines="60" w:before="144" w:afterLines="60" w:after="144"/>
              <w:rPr>
                <w:rFonts w:ascii="Times New Roman" w:hAnsi="Times New Roman"/>
                <w:sz w:val="24"/>
              </w:rPr>
            </w:pPr>
            <w:r w:rsidRPr="00E07C9A">
              <w:rPr>
                <w:rFonts w:ascii="Times New Roman" w:hAnsi="Times New Roman"/>
                <w:sz w:val="24"/>
              </w:rPr>
              <w:t>0040</w:t>
            </w:r>
          </w:p>
        </w:tc>
        <w:tc>
          <w:tcPr>
            <w:tcW w:w="8190" w:type="dxa"/>
          </w:tcPr>
          <w:p w14:paraId="543F7F9F" w14:textId="77777777" w:rsidR="00B93FA1" w:rsidRPr="00E07C9A" w:rsidRDefault="00B93FA1" w:rsidP="00AF3D7A">
            <w:pPr>
              <w:spacing w:beforeLines="60" w:before="144" w:afterLines="60" w:after="144"/>
              <w:rPr>
                <w:rFonts w:ascii="Times New Roman" w:hAnsi="Times New Roman"/>
                <w:b/>
                <w:sz w:val="24"/>
                <w:u w:val="single"/>
              </w:rPr>
            </w:pPr>
            <w:r w:rsidRPr="00E07C9A">
              <w:rPr>
                <w:rFonts w:ascii="Times New Roman" w:hAnsi="Times New Roman"/>
                <w:b/>
                <w:sz w:val="24"/>
                <w:u w:val="single"/>
              </w:rPr>
              <w:t>1.1.2. OBCHODNÉ FINANČNÉ AKTÍVA</w:t>
            </w:r>
          </w:p>
          <w:p w14:paraId="4A7239C9" w14:textId="77777777" w:rsidR="009912F8" w:rsidRPr="00E07C9A" w:rsidRDefault="002F78EA" w:rsidP="00AF3D7A">
            <w:pPr>
              <w:spacing w:beforeLines="60" w:before="144" w:afterLines="60" w:after="144"/>
              <w:rPr>
                <w:rFonts w:ascii="Times New Roman" w:hAnsi="Times New Roman"/>
                <w:sz w:val="24"/>
              </w:rPr>
            </w:pPr>
            <w:r w:rsidRPr="00E07C9A">
              <w:rPr>
                <w:rFonts w:ascii="Times New Roman" w:hAnsi="Times New Roman"/>
                <w:sz w:val="24"/>
              </w:rPr>
              <w:t>Články 32</w:t>
            </w:r>
            <w:r w:rsidR="009912F8" w:rsidRPr="00E07C9A">
              <w:rPr>
                <w:rFonts w:ascii="Times New Roman" w:hAnsi="Times New Roman"/>
                <w:sz w:val="24"/>
              </w:rPr>
              <w:t xml:space="preserve"> a </w:t>
            </w:r>
            <w:r w:rsidRPr="00E07C9A">
              <w:rPr>
                <w:rFonts w:ascii="Times New Roman" w:hAnsi="Times New Roman"/>
                <w:sz w:val="24"/>
              </w:rPr>
              <w:t>33 smernice Rady 86/635/EHS; časť 1.17 prílohy</w:t>
            </w:r>
            <w:r w:rsidR="009912F8" w:rsidRPr="00E07C9A">
              <w:rPr>
                <w:rFonts w:ascii="Times New Roman" w:hAnsi="Times New Roman"/>
                <w:sz w:val="24"/>
              </w:rPr>
              <w:t xml:space="preserve"> V k </w:t>
            </w:r>
            <w:r w:rsidRPr="00E07C9A">
              <w:rPr>
                <w:rFonts w:ascii="Times New Roman" w:hAnsi="Times New Roman"/>
                <w:sz w:val="24"/>
              </w:rPr>
              <w:t>tomuto vykonávaciemu nariadeniu</w:t>
            </w:r>
          </w:p>
          <w:p w14:paraId="309477B0" w14:textId="7F53BC78" w:rsidR="00DE08E6" w:rsidRPr="00E07C9A" w:rsidRDefault="00B93FA1" w:rsidP="006B2333">
            <w:pPr>
              <w:spacing w:beforeLines="60" w:before="144" w:afterLines="60" w:after="144"/>
              <w:rPr>
                <w:rFonts w:ascii="Times New Roman" w:hAnsi="Times New Roman"/>
                <w:sz w:val="24"/>
              </w:rPr>
            </w:pPr>
            <w:r w:rsidRPr="00E07C9A">
              <w:rPr>
                <w:rFonts w:ascii="Times New Roman" w:hAnsi="Times New Roman"/>
                <w:sz w:val="24"/>
              </w:rPr>
              <w:t>Informácie vykazované</w:t>
            </w:r>
            <w:r w:rsidR="009912F8" w:rsidRPr="00E07C9A">
              <w:rPr>
                <w:rFonts w:ascii="Times New Roman" w:hAnsi="Times New Roman"/>
                <w:sz w:val="24"/>
              </w:rPr>
              <w:t xml:space="preserve"> v </w:t>
            </w:r>
            <w:r w:rsidRPr="00E07C9A">
              <w:rPr>
                <w:rFonts w:ascii="Times New Roman" w:hAnsi="Times New Roman"/>
                <w:sz w:val="24"/>
              </w:rPr>
              <w:t>tomto riadku zodpovedajú aktívam oceňovaným reálnou hodnotou, ktoré sú zahrnuté</w:t>
            </w:r>
            <w:r w:rsidR="009912F8" w:rsidRPr="00E07C9A">
              <w:rPr>
                <w:rFonts w:ascii="Times New Roman" w:hAnsi="Times New Roman"/>
                <w:sz w:val="24"/>
              </w:rPr>
              <w:t xml:space="preserve"> v </w:t>
            </w:r>
            <w:r w:rsidRPr="00E07C9A">
              <w:rPr>
                <w:rFonts w:ascii="Times New Roman" w:hAnsi="Times New Roman"/>
                <w:sz w:val="24"/>
              </w:rPr>
              <w:t>hodnote uvedenej</w:t>
            </w:r>
            <w:r w:rsidR="009912F8" w:rsidRPr="00E07C9A">
              <w:rPr>
                <w:rFonts w:ascii="Times New Roman" w:hAnsi="Times New Roman"/>
                <w:sz w:val="24"/>
              </w:rPr>
              <w:t xml:space="preserve"> v </w:t>
            </w:r>
            <w:r w:rsidRPr="00E07C9A">
              <w:rPr>
                <w:rFonts w:ascii="Times New Roman" w:hAnsi="Times New Roman"/>
                <w:sz w:val="24"/>
              </w:rPr>
              <w:t>riadku 0091 vzoru F 01.01 prílohy III</w:t>
            </w:r>
            <w:r w:rsidR="009912F8" w:rsidRPr="00E07C9A">
              <w:rPr>
                <w:rFonts w:ascii="Times New Roman" w:hAnsi="Times New Roman"/>
                <w:sz w:val="24"/>
              </w:rPr>
              <w:t xml:space="preserve"> a </w:t>
            </w:r>
            <w:r w:rsidRPr="00E07C9A">
              <w:rPr>
                <w:rFonts w:ascii="Times New Roman" w:hAnsi="Times New Roman"/>
                <w:sz w:val="24"/>
              </w:rPr>
              <w:t>prílohy IV</w:t>
            </w:r>
            <w:r w:rsidR="009912F8" w:rsidRPr="00E07C9A">
              <w:rPr>
                <w:rFonts w:ascii="Times New Roman" w:hAnsi="Times New Roman"/>
                <w:sz w:val="24"/>
              </w:rPr>
              <w:t xml:space="preserve"> k </w:t>
            </w:r>
            <w:r w:rsidRPr="00E07C9A">
              <w:rPr>
                <w:rFonts w:ascii="Times New Roman" w:hAnsi="Times New Roman"/>
                <w:sz w:val="24"/>
              </w:rPr>
              <w:t>tomuto vykonávaciemu nariadeniu.</w:t>
            </w:r>
          </w:p>
        </w:tc>
      </w:tr>
      <w:tr w:rsidR="00B93FA1" w:rsidRPr="00E07C9A" w14:paraId="61A10144" w14:textId="77777777" w:rsidTr="00672D2A">
        <w:tc>
          <w:tcPr>
            <w:tcW w:w="1101" w:type="dxa"/>
          </w:tcPr>
          <w:p w14:paraId="529D9B5D" w14:textId="77777777" w:rsidR="00B93FA1" w:rsidRPr="00E07C9A" w:rsidRDefault="001924F4" w:rsidP="00AF3D7A">
            <w:pPr>
              <w:spacing w:beforeLines="60" w:before="144" w:afterLines="60" w:after="144"/>
              <w:rPr>
                <w:rFonts w:ascii="Times New Roman" w:hAnsi="Times New Roman"/>
                <w:sz w:val="24"/>
              </w:rPr>
            </w:pPr>
            <w:r w:rsidRPr="00E07C9A">
              <w:rPr>
                <w:rFonts w:ascii="Times New Roman" w:hAnsi="Times New Roman"/>
                <w:sz w:val="24"/>
              </w:rPr>
              <w:t>0050</w:t>
            </w:r>
          </w:p>
        </w:tc>
        <w:tc>
          <w:tcPr>
            <w:tcW w:w="8190" w:type="dxa"/>
          </w:tcPr>
          <w:p w14:paraId="28552E7E" w14:textId="77777777" w:rsidR="009912F8" w:rsidRPr="00E07C9A" w:rsidRDefault="00B93FA1" w:rsidP="00AF3D7A">
            <w:pPr>
              <w:spacing w:beforeLines="60" w:before="144" w:afterLines="60" w:after="144"/>
              <w:rPr>
                <w:rFonts w:ascii="Times New Roman" w:hAnsi="Times New Roman"/>
                <w:b/>
                <w:sz w:val="24"/>
                <w:u w:val="single"/>
              </w:rPr>
            </w:pPr>
            <w:r w:rsidRPr="00E07C9A">
              <w:rPr>
                <w:rFonts w:ascii="Times New Roman" w:hAnsi="Times New Roman"/>
                <w:b/>
                <w:sz w:val="24"/>
                <w:u w:val="single"/>
              </w:rPr>
              <w:t>1.1.3. NEOBCHODNÉ FINANČNÉ AKTÍVA POVINNE OCEŇOVANÉ REÁLNOU HODNOTOU CEZ VÝSLEDOK HOSPODÁRENIA</w:t>
            </w:r>
          </w:p>
          <w:p w14:paraId="0A86AE3F" w14:textId="77777777" w:rsidR="009912F8" w:rsidRPr="00E07C9A" w:rsidRDefault="00B93FA1" w:rsidP="00AF3D7A">
            <w:pPr>
              <w:spacing w:beforeLines="60" w:before="144" w:afterLines="60" w:after="144"/>
              <w:rPr>
                <w:rFonts w:ascii="Times New Roman" w:hAnsi="Times New Roman"/>
                <w:sz w:val="24"/>
              </w:rPr>
            </w:pPr>
            <w:r w:rsidRPr="00E07C9A">
              <w:rPr>
                <w:rFonts w:ascii="Times New Roman" w:hAnsi="Times New Roman"/>
                <w:sz w:val="24"/>
              </w:rPr>
              <w:t>IFRS 7 ods. 8 písm. a) bod ii); IFRS 9 ods. 4.1.4</w:t>
            </w:r>
          </w:p>
          <w:p w14:paraId="589184D0" w14:textId="66E56CAA" w:rsidR="00B93FA1" w:rsidRPr="00E07C9A" w:rsidRDefault="00B93FA1" w:rsidP="0016282F">
            <w:pPr>
              <w:spacing w:beforeLines="60" w:before="144" w:afterLines="60" w:after="144"/>
              <w:rPr>
                <w:rFonts w:ascii="Times New Roman" w:hAnsi="Times New Roman"/>
                <w:b/>
                <w:sz w:val="24"/>
                <w:u w:val="single"/>
              </w:rPr>
            </w:pPr>
            <w:r w:rsidRPr="00E07C9A">
              <w:rPr>
                <w:rFonts w:ascii="Times New Roman" w:hAnsi="Times New Roman"/>
                <w:sz w:val="24"/>
              </w:rPr>
              <w:t>Informácie vykazované</w:t>
            </w:r>
            <w:r w:rsidR="009912F8" w:rsidRPr="00E07C9A">
              <w:rPr>
                <w:rFonts w:ascii="Times New Roman" w:hAnsi="Times New Roman"/>
                <w:sz w:val="24"/>
              </w:rPr>
              <w:t xml:space="preserve"> v </w:t>
            </w:r>
            <w:r w:rsidRPr="00E07C9A">
              <w:rPr>
                <w:rFonts w:ascii="Times New Roman" w:hAnsi="Times New Roman"/>
                <w:sz w:val="24"/>
              </w:rPr>
              <w:t>tomto riadku zodpovedajú riadku 0096 vzoru F 01.01 prílohy III</w:t>
            </w:r>
            <w:r w:rsidR="009912F8" w:rsidRPr="00E07C9A">
              <w:rPr>
                <w:rFonts w:ascii="Times New Roman" w:hAnsi="Times New Roman"/>
                <w:sz w:val="24"/>
              </w:rPr>
              <w:t xml:space="preserve"> a </w:t>
            </w:r>
            <w:r w:rsidRPr="00E07C9A">
              <w:rPr>
                <w:rFonts w:ascii="Times New Roman" w:hAnsi="Times New Roman"/>
                <w:sz w:val="24"/>
              </w:rPr>
              <w:t>prílohy IV</w:t>
            </w:r>
            <w:r w:rsidR="009912F8" w:rsidRPr="00E07C9A">
              <w:rPr>
                <w:rFonts w:ascii="Times New Roman" w:hAnsi="Times New Roman"/>
                <w:sz w:val="24"/>
              </w:rPr>
              <w:t xml:space="preserve"> k </w:t>
            </w:r>
            <w:r w:rsidRPr="00E07C9A">
              <w:rPr>
                <w:rFonts w:ascii="Times New Roman" w:hAnsi="Times New Roman"/>
                <w:sz w:val="24"/>
              </w:rPr>
              <w:t>tomuto vykonávaciemu nariadeniu.</w:t>
            </w:r>
          </w:p>
        </w:tc>
      </w:tr>
      <w:tr w:rsidR="00B93FA1" w:rsidRPr="00E07C9A" w14:paraId="300AC252" w14:textId="77777777" w:rsidTr="00672D2A">
        <w:tc>
          <w:tcPr>
            <w:tcW w:w="1101" w:type="dxa"/>
          </w:tcPr>
          <w:p w14:paraId="78BA8882" w14:textId="77777777" w:rsidR="00B93FA1" w:rsidRPr="00E07C9A" w:rsidRDefault="001924F4" w:rsidP="00AF3D7A">
            <w:pPr>
              <w:spacing w:beforeLines="60" w:before="144" w:afterLines="60" w:after="144"/>
              <w:rPr>
                <w:rFonts w:ascii="Times New Roman" w:hAnsi="Times New Roman"/>
                <w:sz w:val="24"/>
              </w:rPr>
            </w:pPr>
            <w:r w:rsidRPr="00E07C9A">
              <w:rPr>
                <w:rFonts w:ascii="Times New Roman" w:hAnsi="Times New Roman"/>
                <w:sz w:val="24"/>
              </w:rPr>
              <w:t>0060</w:t>
            </w:r>
          </w:p>
        </w:tc>
        <w:tc>
          <w:tcPr>
            <w:tcW w:w="8190" w:type="dxa"/>
          </w:tcPr>
          <w:p w14:paraId="2713D844" w14:textId="77777777" w:rsidR="00B93FA1" w:rsidRPr="00E07C9A" w:rsidRDefault="00B93FA1" w:rsidP="00AF3D7A">
            <w:pPr>
              <w:spacing w:beforeLines="60" w:before="144" w:afterLines="60" w:after="144"/>
              <w:rPr>
                <w:rFonts w:ascii="Times New Roman" w:hAnsi="Times New Roman"/>
                <w:b/>
                <w:sz w:val="24"/>
                <w:u w:val="single"/>
              </w:rPr>
            </w:pPr>
            <w:r w:rsidRPr="00E07C9A">
              <w:rPr>
                <w:rFonts w:ascii="Times New Roman" w:hAnsi="Times New Roman"/>
                <w:b/>
                <w:sz w:val="24"/>
                <w:u w:val="single"/>
              </w:rPr>
              <w:t>1.1.4. FINANČNÉ AKTÍVA URČENÉ ZA OCEŇOVANÉ REÁLNOU HODNOTOU CEZ VÝSLEDOK HOSPODÁRENIA</w:t>
            </w:r>
          </w:p>
          <w:p w14:paraId="3F5C780D" w14:textId="68322223" w:rsidR="00B93FA1" w:rsidRPr="00E07C9A" w:rsidRDefault="00B93FA1" w:rsidP="00AF3D7A">
            <w:pPr>
              <w:spacing w:beforeLines="60" w:before="144" w:afterLines="60" w:after="144"/>
              <w:rPr>
                <w:rFonts w:ascii="Times New Roman" w:hAnsi="Times New Roman"/>
                <w:sz w:val="24"/>
              </w:rPr>
            </w:pPr>
            <w:r w:rsidRPr="00E07C9A">
              <w:rPr>
                <w:rFonts w:ascii="Times New Roman" w:hAnsi="Times New Roman"/>
                <w:sz w:val="24"/>
              </w:rPr>
              <w:t>IFRS 7 ods. 8 písm. a) bod i); IFRS 9 ods. 4.1.5; článok 8 ods. 1 písm. a)</w:t>
            </w:r>
            <w:r w:rsidR="009912F8" w:rsidRPr="00E07C9A">
              <w:rPr>
                <w:rFonts w:ascii="Times New Roman" w:hAnsi="Times New Roman"/>
                <w:sz w:val="24"/>
              </w:rPr>
              <w:t xml:space="preserve"> a </w:t>
            </w:r>
            <w:r w:rsidRPr="00E07C9A">
              <w:rPr>
                <w:rFonts w:ascii="Times New Roman" w:hAnsi="Times New Roman"/>
                <w:sz w:val="24"/>
              </w:rPr>
              <w:t>článok 8 ods. 6 smernice 2013/34/EÚ</w:t>
            </w:r>
          </w:p>
          <w:p w14:paraId="59767246" w14:textId="555BCDF9" w:rsidR="00B93FA1" w:rsidRPr="00E07C9A" w:rsidRDefault="00B93FA1" w:rsidP="001771A4">
            <w:pPr>
              <w:spacing w:beforeLines="60" w:before="144" w:afterLines="60" w:after="144"/>
              <w:rPr>
                <w:rFonts w:ascii="Times New Roman" w:hAnsi="Times New Roman"/>
                <w:sz w:val="24"/>
              </w:rPr>
            </w:pPr>
            <w:r w:rsidRPr="00E07C9A">
              <w:rPr>
                <w:rFonts w:ascii="Times New Roman" w:hAnsi="Times New Roman"/>
                <w:sz w:val="24"/>
              </w:rPr>
              <w:t>Informácie vykazované</w:t>
            </w:r>
            <w:r w:rsidR="009912F8" w:rsidRPr="00E07C9A">
              <w:rPr>
                <w:rFonts w:ascii="Times New Roman" w:hAnsi="Times New Roman"/>
                <w:sz w:val="24"/>
              </w:rPr>
              <w:t xml:space="preserve"> v </w:t>
            </w:r>
            <w:r w:rsidRPr="00E07C9A">
              <w:rPr>
                <w:rFonts w:ascii="Times New Roman" w:hAnsi="Times New Roman"/>
                <w:sz w:val="24"/>
              </w:rPr>
              <w:t>tomto riadku zodpovedajú riadku 0100 vzoru F 01.01 prílohy III</w:t>
            </w:r>
            <w:r w:rsidR="009912F8" w:rsidRPr="00E07C9A">
              <w:rPr>
                <w:rFonts w:ascii="Times New Roman" w:hAnsi="Times New Roman"/>
                <w:sz w:val="24"/>
              </w:rPr>
              <w:t xml:space="preserve"> a </w:t>
            </w:r>
            <w:r w:rsidRPr="00E07C9A">
              <w:rPr>
                <w:rFonts w:ascii="Times New Roman" w:hAnsi="Times New Roman"/>
                <w:sz w:val="24"/>
              </w:rPr>
              <w:t>prílohy IV</w:t>
            </w:r>
            <w:r w:rsidR="009912F8" w:rsidRPr="00E07C9A">
              <w:rPr>
                <w:rFonts w:ascii="Times New Roman" w:hAnsi="Times New Roman"/>
                <w:sz w:val="24"/>
              </w:rPr>
              <w:t xml:space="preserve"> k </w:t>
            </w:r>
            <w:r w:rsidRPr="00E07C9A">
              <w:rPr>
                <w:rFonts w:ascii="Times New Roman" w:hAnsi="Times New Roman"/>
                <w:sz w:val="24"/>
              </w:rPr>
              <w:t>tomuto vykonávaciemu nariadeniu.</w:t>
            </w:r>
          </w:p>
        </w:tc>
      </w:tr>
      <w:tr w:rsidR="00B93FA1" w:rsidRPr="00E07C9A" w14:paraId="14BD3694" w14:textId="77777777" w:rsidTr="00672D2A">
        <w:tc>
          <w:tcPr>
            <w:tcW w:w="1101" w:type="dxa"/>
          </w:tcPr>
          <w:p w14:paraId="27CD83EE" w14:textId="77777777" w:rsidR="00B93FA1" w:rsidRPr="00E07C9A" w:rsidRDefault="001924F4" w:rsidP="00AF3D7A">
            <w:pPr>
              <w:spacing w:beforeLines="60" w:before="144" w:afterLines="60" w:after="144"/>
              <w:rPr>
                <w:rFonts w:ascii="Times New Roman" w:hAnsi="Times New Roman"/>
                <w:sz w:val="24"/>
              </w:rPr>
            </w:pPr>
            <w:r w:rsidRPr="00E07C9A">
              <w:rPr>
                <w:rFonts w:ascii="Times New Roman" w:hAnsi="Times New Roman"/>
                <w:sz w:val="24"/>
              </w:rPr>
              <w:t>0070</w:t>
            </w:r>
          </w:p>
        </w:tc>
        <w:tc>
          <w:tcPr>
            <w:tcW w:w="8190" w:type="dxa"/>
          </w:tcPr>
          <w:p w14:paraId="124B0786" w14:textId="77777777" w:rsidR="00B93FA1" w:rsidRPr="00E07C9A" w:rsidRDefault="00B93FA1" w:rsidP="00AF3D7A">
            <w:pPr>
              <w:spacing w:beforeLines="60" w:before="144" w:afterLines="60" w:after="144"/>
              <w:rPr>
                <w:rFonts w:ascii="Times New Roman" w:hAnsi="Times New Roman"/>
                <w:b/>
                <w:sz w:val="24"/>
                <w:u w:val="single"/>
              </w:rPr>
            </w:pPr>
            <w:r w:rsidRPr="00E07C9A">
              <w:rPr>
                <w:rFonts w:ascii="Times New Roman" w:hAnsi="Times New Roman"/>
                <w:b/>
                <w:sz w:val="24"/>
                <w:u w:val="single"/>
              </w:rPr>
              <w:t>1.1.5.</w:t>
            </w:r>
            <w:r w:rsidRPr="00E07C9A">
              <w:rPr>
                <w:rFonts w:ascii="Times New Roman" w:hAnsi="Times New Roman"/>
                <w:sz w:val="24"/>
              </w:rPr>
              <w:t xml:space="preserve"> </w:t>
            </w:r>
            <w:r w:rsidRPr="00E07C9A">
              <w:rPr>
                <w:rFonts w:ascii="Times New Roman" w:hAnsi="Times New Roman"/>
                <w:b/>
                <w:sz w:val="24"/>
                <w:u w:val="single"/>
              </w:rPr>
              <w:t>FINANČNÉ AKTÍVA OCEŇOVANÉ REÁLNOU HODNOTOU CEZ INÝ KOMPLEXNÝ ÚČTOVNÝ VÝSLEDOK</w:t>
            </w:r>
          </w:p>
          <w:p w14:paraId="636C4CC9" w14:textId="77777777" w:rsidR="00B93FA1" w:rsidRPr="00E07C9A" w:rsidRDefault="00B93FA1" w:rsidP="00AF3D7A">
            <w:pPr>
              <w:spacing w:beforeLines="60" w:before="144" w:afterLines="60" w:after="144"/>
              <w:rPr>
                <w:rFonts w:ascii="Times New Roman" w:hAnsi="Times New Roman"/>
                <w:sz w:val="24"/>
              </w:rPr>
            </w:pPr>
            <w:r w:rsidRPr="00E07C9A">
              <w:rPr>
                <w:rFonts w:ascii="Times New Roman" w:hAnsi="Times New Roman"/>
                <w:sz w:val="24"/>
              </w:rPr>
              <w:t>IFRS 7 ods. 8 písm. h); IFRS 9 ods. 4.1.2A</w:t>
            </w:r>
          </w:p>
          <w:p w14:paraId="4CCAA232" w14:textId="312D7BEA" w:rsidR="00B93FA1" w:rsidRPr="00E07C9A" w:rsidRDefault="00B93FA1" w:rsidP="00C11B8D">
            <w:pPr>
              <w:spacing w:beforeLines="60" w:before="144" w:afterLines="60" w:after="144"/>
              <w:rPr>
                <w:rFonts w:ascii="Times New Roman" w:hAnsi="Times New Roman"/>
                <w:sz w:val="24"/>
              </w:rPr>
            </w:pPr>
            <w:r w:rsidRPr="00E07C9A">
              <w:rPr>
                <w:rFonts w:ascii="Times New Roman" w:hAnsi="Times New Roman"/>
                <w:sz w:val="24"/>
              </w:rPr>
              <w:t>Informácie vykazované</w:t>
            </w:r>
            <w:r w:rsidR="009912F8" w:rsidRPr="00E07C9A">
              <w:rPr>
                <w:rFonts w:ascii="Times New Roman" w:hAnsi="Times New Roman"/>
                <w:sz w:val="24"/>
              </w:rPr>
              <w:t xml:space="preserve"> v </w:t>
            </w:r>
            <w:r w:rsidRPr="00E07C9A">
              <w:rPr>
                <w:rFonts w:ascii="Times New Roman" w:hAnsi="Times New Roman"/>
                <w:sz w:val="24"/>
              </w:rPr>
              <w:t>tomto riadku zodpovedajú riadku 0141 vzoru F 01.01 prílohy III</w:t>
            </w:r>
            <w:r w:rsidR="009912F8" w:rsidRPr="00E07C9A">
              <w:rPr>
                <w:rFonts w:ascii="Times New Roman" w:hAnsi="Times New Roman"/>
                <w:sz w:val="24"/>
              </w:rPr>
              <w:t xml:space="preserve"> a </w:t>
            </w:r>
            <w:r w:rsidRPr="00E07C9A">
              <w:rPr>
                <w:rFonts w:ascii="Times New Roman" w:hAnsi="Times New Roman"/>
                <w:sz w:val="24"/>
              </w:rPr>
              <w:t>prílohy IV</w:t>
            </w:r>
            <w:r w:rsidR="009912F8" w:rsidRPr="00E07C9A">
              <w:rPr>
                <w:rFonts w:ascii="Times New Roman" w:hAnsi="Times New Roman"/>
                <w:sz w:val="24"/>
              </w:rPr>
              <w:t xml:space="preserve"> k </w:t>
            </w:r>
            <w:r w:rsidRPr="00E07C9A">
              <w:rPr>
                <w:rFonts w:ascii="Times New Roman" w:hAnsi="Times New Roman"/>
                <w:sz w:val="24"/>
              </w:rPr>
              <w:t>tomuto vykonávaciemu nariadeniu.</w:t>
            </w:r>
          </w:p>
        </w:tc>
      </w:tr>
      <w:tr w:rsidR="00B93FA1" w:rsidRPr="00E07C9A" w14:paraId="1ADBDA07" w14:textId="77777777" w:rsidTr="00672D2A">
        <w:tc>
          <w:tcPr>
            <w:tcW w:w="1101" w:type="dxa"/>
          </w:tcPr>
          <w:p w14:paraId="39E37A26" w14:textId="77777777" w:rsidR="00B93FA1" w:rsidRPr="00E07C9A" w:rsidRDefault="001924F4" w:rsidP="00AF3D7A">
            <w:pPr>
              <w:spacing w:beforeLines="60" w:before="144" w:afterLines="60" w:after="144"/>
              <w:rPr>
                <w:rFonts w:ascii="Times New Roman" w:hAnsi="Times New Roman"/>
                <w:sz w:val="24"/>
              </w:rPr>
            </w:pPr>
            <w:r w:rsidRPr="00E07C9A">
              <w:rPr>
                <w:rFonts w:ascii="Times New Roman" w:hAnsi="Times New Roman"/>
                <w:sz w:val="24"/>
              </w:rPr>
              <w:t>0080</w:t>
            </w:r>
          </w:p>
        </w:tc>
        <w:tc>
          <w:tcPr>
            <w:tcW w:w="8190" w:type="dxa"/>
          </w:tcPr>
          <w:p w14:paraId="66D1C7FD" w14:textId="77777777" w:rsidR="00B93FA1" w:rsidRPr="00E07C9A" w:rsidRDefault="00B93FA1" w:rsidP="00AF3D7A">
            <w:pPr>
              <w:spacing w:beforeLines="60" w:before="144" w:afterLines="60" w:after="144"/>
              <w:rPr>
                <w:rFonts w:ascii="Times New Roman" w:hAnsi="Times New Roman"/>
                <w:b/>
                <w:sz w:val="24"/>
                <w:u w:val="single"/>
              </w:rPr>
            </w:pPr>
            <w:r w:rsidRPr="00E07C9A">
              <w:rPr>
                <w:rFonts w:ascii="Times New Roman" w:hAnsi="Times New Roman"/>
                <w:b/>
                <w:sz w:val="24"/>
                <w:u w:val="single"/>
              </w:rPr>
              <w:t>1.1.6. NEOBCHODNÉ NEDERIVÁTOVÉ FINANČNÉ AKTÍVA OCEŇOVANÉ REÁLNOU HODNOTOU CEZ VÝSLEDOK HOSPODÁRENIA</w:t>
            </w:r>
          </w:p>
          <w:p w14:paraId="18F219FE" w14:textId="0CC1F7EC" w:rsidR="00B93FA1" w:rsidRPr="00E07C9A" w:rsidRDefault="002F78EA" w:rsidP="0016282F">
            <w:pPr>
              <w:spacing w:beforeLines="60" w:before="144" w:afterLines="60" w:after="144"/>
              <w:rPr>
                <w:rFonts w:ascii="Times New Roman" w:hAnsi="Times New Roman"/>
                <w:b/>
                <w:sz w:val="24"/>
                <w:u w:val="single"/>
              </w:rPr>
            </w:pPr>
            <w:r w:rsidRPr="00E07C9A">
              <w:rPr>
                <w:rFonts w:ascii="Times New Roman" w:hAnsi="Times New Roman"/>
                <w:sz w:val="24"/>
              </w:rPr>
              <w:t>Článok 36 ods. 2 smernice Rady 86/635/EHS. Informácie vykazované</w:t>
            </w:r>
            <w:r w:rsidR="009912F8" w:rsidRPr="00E07C9A">
              <w:rPr>
                <w:rFonts w:ascii="Times New Roman" w:hAnsi="Times New Roman"/>
                <w:sz w:val="24"/>
              </w:rPr>
              <w:t xml:space="preserve"> v </w:t>
            </w:r>
            <w:r w:rsidRPr="00E07C9A">
              <w:rPr>
                <w:rFonts w:ascii="Times New Roman" w:hAnsi="Times New Roman"/>
                <w:sz w:val="24"/>
              </w:rPr>
              <w:t>tomto riadku zodpovedajú riadku 0171 vzoru F 01.01 prílohy III</w:t>
            </w:r>
            <w:r w:rsidR="009912F8" w:rsidRPr="00E07C9A">
              <w:rPr>
                <w:rFonts w:ascii="Times New Roman" w:hAnsi="Times New Roman"/>
                <w:sz w:val="24"/>
              </w:rPr>
              <w:t xml:space="preserve"> a </w:t>
            </w:r>
            <w:r w:rsidRPr="00E07C9A">
              <w:rPr>
                <w:rFonts w:ascii="Times New Roman" w:hAnsi="Times New Roman"/>
                <w:sz w:val="24"/>
              </w:rPr>
              <w:t>prílohy IV</w:t>
            </w:r>
            <w:r w:rsidR="009912F8" w:rsidRPr="00E07C9A">
              <w:rPr>
                <w:rFonts w:ascii="Times New Roman" w:hAnsi="Times New Roman"/>
                <w:sz w:val="24"/>
              </w:rPr>
              <w:t xml:space="preserve"> k </w:t>
            </w:r>
            <w:r w:rsidRPr="00E07C9A">
              <w:rPr>
                <w:rFonts w:ascii="Times New Roman" w:hAnsi="Times New Roman"/>
                <w:sz w:val="24"/>
              </w:rPr>
              <w:t>tomuto vykonávaciemu nariadeniu.</w:t>
            </w:r>
          </w:p>
        </w:tc>
      </w:tr>
      <w:tr w:rsidR="00B93FA1" w:rsidRPr="00E07C9A" w14:paraId="6BE7E418" w14:textId="77777777" w:rsidTr="00672D2A">
        <w:tc>
          <w:tcPr>
            <w:tcW w:w="1101" w:type="dxa"/>
          </w:tcPr>
          <w:p w14:paraId="7F47ED38" w14:textId="77777777" w:rsidR="00B93FA1" w:rsidRPr="00E07C9A" w:rsidRDefault="001924F4" w:rsidP="00AF3D7A">
            <w:pPr>
              <w:spacing w:beforeLines="60" w:before="144" w:afterLines="60" w:after="144"/>
              <w:rPr>
                <w:rFonts w:ascii="Times New Roman" w:hAnsi="Times New Roman"/>
                <w:sz w:val="24"/>
              </w:rPr>
            </w:pPr>
            <w:r w:rsidRPr="00E07C9A">
              <w:rPr>
                <w:rFonts w:ascii="Times New Roman" w:hAnsi="Times New Roman"/>
                <w:sz w:val="24"/>
              </w:rPr>
              <w:t>0090</w:t>
            </w:r>
          </w:p>
        </w:tc>
        <w:tc>
          <w:tcPr>
            <w:tcW w:w="8190" w:type="dxa"/>
          </w:tcPr>
          <w:p w14:paraId="056483C5" w14:textId="77777777" w:rsidR="00B93FA1" w:rsidRPr="00E07C9A" w:rsidRDefault="00B93FA1" w:rsidP="00AF3D7A">
            <w:pPr>
              <w:spacing w:beforeLines="60" w:before="144" w:afterLines="60" w:after="144"/>
              <w:rPr>
                <w:rFonts w:ascii="Times New Roman" w:hAnsi="Times New Roman"/>
                <w:b/>
                <w:sz w:val="24"/>
                <w:u w:val="single"/>
              </w:rPr>
            </w:pPr>
            <w:r w:rsidRPr="00E07C9A">
              <w:rPr>
                <w:rFonts w:ascii="Times New Roman" w:hAnsi="Times New Roman"/>
                <w:b/>
                <w:sz w:val="24"/>
                <w:u w:val="single"/>
              </w:rPr>
              <w:t>1.1.7. NEOBCHODNÉ NEDERIVÁTOVÉ FINANČNÉ AKTÍVA OCEŇOVANÉ REÁLNOU HODNOTOU VO VLASTNOM IMANÍ</w:t>
            </w:r>
          </w:p>
          <w:p w14:paraId="214BBDEF" w14:textId="77777777" w:rsidR="009912F8" w:rsidRPr="00E07C9A" w:rsidRDefault="002F78EA" w:rsidP="00AF3D7A">
            <w:pPr>
              <w:spacing w:beforeLines="60" w:before="144" w:afterLines="60" w:after="144"/>
              <w:rPr>
                <w:rFonts w:ascii="Times New Roman" w:hAnsi="Times New Roman"/>
                <w:sz w:val="24"/>
              </w:rPr>
            </w:pPr>
            <w:r w:rsidRPr="00E07C9A">
              <w:rPr>
                <w:rFonts w:ascii="Times New Roman" w:hAnsi="Times New Roman"/>
                <w:sz w:val="24"/>
              </w:rPr>
              <w:t>Článok 8 ods. 1 písm. a)</w:t>
            </w:r>
            <w:r w:rsidR="009912F8" w:rsidRPr="00E07C9A">
              <w:rPr>
                <w:rFonts w:ascii="Times New Roman" w:hAnsi="Times New Roman"/>
                <w:sz w:val="24"/>
              </w:rPr>
              <w:t xml:space="preserve"> a </w:t>
            </w:r>
            <w:r w:rsidRPr="00E07C9A">
              <w:rPr>
                <w:rFonts w:ascii="Times New Roman" w:hAnsi="Times New Roman"/>
                <w:sz w:val="24"/>
              </w:rPr>
              <w:t>článok 8 ods. 8 smernice 2013/34/EÚ</w:t>
            </w:r>
          </w:p>
          <w:p w14:paraId="6AB99076" w14:textId="67A4332A" w:rsidR="00B93FA1" w:rsidRPr="00E07C9A" w:rsidRDefault="00B93FA1" w:rsidP="0016282F">
            <w:pPr>
              <w:spacing w:beforeLines="60" w:before="144" w:afterLines="60" w:after="144"/>
              <w:rPr>
                <w:rFonts w:ascii="Times New Roman" w:hAnsi="Times New Roman"/>
                <w:b/>
                <w:sz w:val="24"/>
                <w:u w:val="single"/>
              </w:rPr>
            </w:pPr>
            <w:r w:rsidRPr="00E07C9A">
              <w:rPr>
                <w:rFonts w:ascii="Times New Roman" w:hAnsi="Times New Roman"/>
                <w:sz w:val="24"/>
              </w:rPr>
              <w:t>Informácie vykazované</w:t>
            </w:r>
            <w:r w:rsidR="009912F8" w:rsidRPr="00E07C9A">
              <w:rPr>
                <w:rFonts w:ascii="Times New Roman" w:hAnsi="Times New Roman"/>
                <w:sz w:val="24"/>
              </w:rPr>
              <w:t xml:space="preserve"> v </w:t>
            </w:r>
            <w:r w:rsidRPr="00E07C9A">
              <w:rPr>
                <w:rFonts w:ascii="Times New Roman" w:hAnsi="Times New Roman"/>
                <w:sz w:val="24"/>
              </w:rPr>
              <w:t>tomto riadku zodpovedajú riadku 0175 vzoru F 01.01 prílohy III</w:t>
            </w:r>
            <w:r w:rsidR="009912F8" w:rsidRPr="00E07C9A">
              <w:rPr>
                <w:rFonts w:ascii="Times New Roman" w:hAnsi="Times New Roman"/>
                <w:sz w:val="24"/>
              </w:rPr>
              <w:t xml:space="preserve"> a </w:t>
            </w:r>
            <w:r w:rsidRPr="00E07C9A">
              <w:rPr>
                <w:rFonts w:ascii="Times New Roman" w:hAnsi="Times New Roman"/>
                <w:sz w:val="24"/>
              </w:rPr>
              <w:t>prílohy IV</w:t>
            </w:r>
            <w:r w:rsidR="009912F8" w:rsidRPr="00E07C9A">
              <w:rPr>
                <w:rFonts w:ascii="Times New Roman" w:hAnsi="Times New Roman"/>
                <w:sz w:val="24"/>
              </w:rPr>
              <w:t xml:space="preserve"> k </w:t>
            </w:r>
            <w:r w:rsidRPr="00E07C9A">
              <w:rPr>
                <w:rFonts w:ascii="Times New Roman" w:hAnsi="Times New Roman"/>
                <w:sz w:val="24"/>
              </w:rPr>
              <w:t>tomuto vykonávaciemu nariadeniu.</w:t>
            </w:r>
          </w:p>
        </w:tc>
      </w:tr>
      <w:tr w:rsidR="00B93FA1" w:rsidRPr="00E07C9A" w14:paraId="49809A7F" w14:textId="77777777" w:rsidTr="00672D2A">
        <w:tc>
          <w:tcPr>
            <w:tcW w:w="1101" w:type="dxa"/>
          </w:tcPr>
          <w:p w14:paraId="3A2655C5" w14:textId="77777777" w:rsidR="00B93FA1" w:rsidRPr="00E07C9A" w:rsidRDefault="001924F4" w:rsidP="00AF3D7A">
            <w:pPr>
              <w:spacing w:beforeLines="60" w:before="144" w:afterLines="60" w:after="144"/>
              <w:rPr>
                <w:rFonts w:ascii="Times New Roman" w:hAnsi="Times New Roman"/>
                <w:sz w:val="24"/>
              </w:rPr>
            </w:pPr>
            <w:r w:rsidRPr="00E07C9A">
              <w:rPr>
                <w:rFonts w:ascii="Times New Roman" w:hAnsi="Times New Roman"/>
                <w:sz w:val="24"/>
              </w:rPr>
              <w:t>0100</w:t>
            </w:r>
          </w:p>
        </w:tc>
        <w:tc>
          <w:tcPr>
            <w:tcW w:w="8190" w:type="dxa"/>
          </w:tcPr>
          <w:p w14:paraId="6BB53384" w14:textId="77777777" w:rsidR="00B93FA1" w:rsidRPr="00E07C9A" w:rsidRDefault="00B93FA1" w:rsidP="00AF3D7A">
            <w:pPr>
              <w:spacing w:beforeLines="60" w:before="144" w:afterLines="60" w:after="144"/>
              <w:rPr>
                <w:rFonts w:ascii="Times New Roman" w:hAnsi="Times New Roman"/>
                <w:b/>
                <w:sz w:val="24"/>
                <w:u w:val="single"/>
              </w:rPr>
            </w:pPr>
            <w:r w:rsidRPr="00E07C9A">
              <w:rPr>
                <w:rFonts w:ascii="Times New Roman" w:hAnsi="Times New Roman"/>
                <w:b/>
                <w:sz w:val="24"/>
                <w:u w:val="single"/>
              </w:rPr>
              <w:t>1.1.8. OSTATNÉ NEOBCHODNÉ NEDERIVÁTOVÉ FINANČNÉ AKTÍVA</w:t>
            </w:r>
          </w:p>
          <w:p w14:paraId="21863DB3" w14:textId="6C2E7D3A" w:rsidR="00B93FA1" w:rsidRPr="00E07C9A" w:rsidRDefault="002F78EA" w:rsidP="00AF3D7A">
            <w:pPr>
              <w:spacing w:beforeLines="60" w:before="144" w:afterLines="60" w:after="144"/>
              <w:rPr>
                <w:rFonts w:ascii="Times New Roman" w:hAnsi="Times New Roman"/>
                <w:sz w:val="24"/>
              </w:rPr>
            </w:pPr>
            <w:r w:rsidRPr="00E07C9A">
              <w:rPr>
                <w:rFonts w:ascii="Times New Roman" w:hAnsi="Times New Roman"/>
                <w:sz w:val="24"/>
              </w:rPr>
              <w:t>Článok 37 smernice Rady 86/635/EHS; článok 12 ods. 7 smernice 2013/34/EÚ; časť 1.20 prílohy</w:t>
            </w:r>
            <w:r w:rsidR="009912F8" w:rsidRPr="00E07C9A">
              <w:rPr>
                <w:rFonts w:ascii="Times New Roman" w:hAnsi="Times New Roman"/>
                <w:sz w:val="24"/>
              </w:rPr>
              <w:t xml:space="preserve"> V k </w:t>
            </w:r>
            <w:r w:rsidRPr="00E07C9A">
              <w:rPr>
                <w:rFonts w:ascii="Times New Roman" w:hAnsi="Times New Roman"/>
                <w:sz w:val="24"/>
              </w:rPr>
              <w:t>tomuto vykonávaciemu nariadeniu</w:t>
            </w:r>
          </w:p>
          <w:p w14:paraId="35F9C17D" w14:textId="7658EAA9" w:rsidR="00DE08E6" w:rsidRPr="00E07C9A" w:rsidRDefault="00B93FA1" w:rsidP="006B2333">
            <w:pPr>
              <w:spacing w:beforeLines="60" w:before="144" w:afterLines="60" w:after="144"/>
              <w:rPr>
                <w:rFonts w:ascii="Times New Roman" w:hAnsi="Times New Roman"/>
                <w:sz w:val="24"/>
              </w:rPr>
            </w:pPr>
            <w:r w:rsidRPr="00E07C9A">
              <w:rPr>
                <w:rFonts w:ascii="Times New Roman" w:hAnsi="Times New Roman"/>
                <w:sz w:val="24"/>
              </w:rPr>
              <w:t>Informácie vykazované</w:t>
            </w:r>
            <w:r w:rsidR="009912F8" w:rsidRPr="00E07C9A">
              <w:rPr>
                <w:rFonts w:ascii="Times New Roman" w:hAnsi="Times New Roman"/>
                <w:sz w:val="24"/>
              </w:rPr>
              <w:t xml:space="preserve"> v </w:t>
            </w:r>
            <w:r w:rsidRPr="00E07C9A">
              <w:rPr>
                <w:rFonts w:ascii="Times New Roman" w:hAnsi="Times New Roman"/>
                <w:sz w:val="24"/>
              </w:rPr>
              <w:t>tomto riadku zodpovedajú aktívam oceňovaným reálnou hodnotou, ktoré sú zahrnuté</w:t>
            </w:r>
            <w:r w:rsidR="009912F8" w:rsidRPr="00E07C9A">
              <w:rPr>
                <w:rFonts w:ascii="Times New Roman" w:hAnsi="Times New Roman"/>
                <w:sz w:val="24"/>
              </w:rPr>
              <w:t xml:space="preserve"> v </w:t>
            </w:r>
            <w:r w:rsidRPr="00E07C9A">
              <w:rPr>
                <w:rFonts w:ascii="Times New Roman" w:hAnsi="Times New Roman"/>
                <w:sz w:val="24"/>
              </w:rPr>
              <w:t>hodnote uvedenej</w:t>
            </w:r>
            <w:r w:rsidR="009912F8" w:rsidRPr="00E07C9A">
              <w:rPr>
                <w:rFonts w:ascii="Times New Roman" w:hAnsi="Times New Roman"/>
                <w:sz w:val="24"/>
              </w:rPr>
              <w:t xml:space="preserve"> v </w:t>
            </w:r>
            <w:r w:rsidRPr="00E07C9A">
              <w:rPr>
                <w:rFonts w:ascii="Times New Roman" w:hAnsi="Times New Roman"/>
                <w:sz w:val="24"/>
              </w:rPr>
              <w:t>riadku 0234 vzoru F 01.01 prílohy III</w:t>
            </w:r>
            <w:r w:rsidR="009912F8" w:rsidRPr="00E07C9A">
              <w:rPr>
                <w:rFonts w:ascii="Times New Roman" w:hAnsi="Times New Roman"/>
                <w:sz w:val="24"/>
              </w:rPr>
              <w:t xml:space="preserve"> a </w:t>
            </w:r>
            <w:r w:rsidRPr="00E07C9A">
              <w:rPr>
                <w:rFonts w:ascii="Times New Roman" w:hAnsi="Times New Roman"/>
                <w:sz w:val="24"/>
              </w:rPr>
              <w:t>prílohy IV</w:t>
            </w:r>
            <w:r w:rsidR="009912F8" w:rsidRPr="00E07C9A">
              <w:rPr>
                <w:rFonts w:ascii="Times New Roman" w:hAnsi="Times New Roman"/>
                <w:sz w:val="24"/>
              </w:rPr>
              <w:t xml:space="preserve"> k </w:t>
            </w:r>
            <w:r w:rsidRPr="00E07C9A">
              <w:rPr>
                <w:rFonts w:ascii="Times New Roman" w:hAnsi="Times New Roman"/>
                <w:sz w:val="24"/>
              </w:rPr>
              <w:t>tomuto vykonávaciemu nariadeniu.</w:t>
            </w:r>
          </w:p>
        </w:tc>
      </w:tr>
      <w:tr w:rsidR="00B93FA1" w:rsidRPr="00E07C9A" w14:paraId="2D4720EA" w14:textId="77777777" w:rsidTr="00672D2A">
        <w:tc>
          <w:tcPr>
            <w:tcW w:w="1101" w:type="dxa"/>
          </w:tcPr>
          <w:p w14:paraId="65B3DBEB" w14:textId="77777777" w:rsidR="00B93FA1" w:rsidRPr="00E07C9A" w:rsidRDefault="001924F4" w:rsidP="00AF3D7A">
            <w:pPr>
              <w:spacing w:beforeLines="60" w:before="144" w:afterLines="60" w:after="144"/>
              <w:rPr>
                <w:rFonts w:ascii="Times New Roman" w:hAnsi="Times New Roman"/>
                <w:sz w:val="24"/>
              </w:rPr>
            </w:pPr>
            <w:r w:rsidRPr="00E07C9A">
              <w:rPr>
                <w:rFonts w:ascii="Times New Roman" w:hAnsi="Times New Roman"/>
                <w:sz w:val="24"/>
              </w:rPr>
              <w:t>0110</w:t>
            </w:r>
          </w:p>
        </w:tc>
        <w:tc>
          <w:tcPr>
            <w:tcW w:w="8190" w:type="dxa"/>
          </w:tcPr>
          <w:p w14:paraId="4008A1C9" w14:textId="77777777" w:rsidR="00B93FA1" w:rsidRPr="00E07C9A" w:rsidRDefault="00B93FA1" w:rsidP="00AF3D7A">
            <w:pPr>
              <w:spacing w:beforeLines="60" w:before="144" w:afterLines="60" w:after="144"/>
              <w:rPr>
                <w:rFonts w:ascii="Times New Roman" w:hAnsi="Times New Roman"/>
                <w:b/>
                <w:sz w:val="24"/>
                <w:u w:val="single"/>
              </w:rPr>
            </w:pPr>
            <w:r w:rsidRPr="00E07C9A">
              <w:rPr>
                <w:rFonts w:ascii="Times New Roman" w:hAnsi="Times New Roman"/>
                <w:b/>
                <w:sz w:val="24"/>
                <w:u w:val="single"/>
              </w:rPr>
              <w:t>1.1.9. DERIVÁTY – ÚČTOVANIE HEDŽINGU</w:t>
            </w:r>
          </w:p>
          <w:p w14:paraId="26336693" w14:textId="39DF6ED3" w:rsidR="00B93FA1" w:rsidRPr="00E07C9A" w:rsidRDefault="00B93FA1" w:rsidP="00AF3D7A">
            <w:pPr>
              <w:spacing w:beforeLines="60" w:before="144" w:afterLines="60" w:after="144"/>
              <w:rPr>
                <w:rFonts w:ascii="Times New Roman" w:hAnsi="Times New Roman"/>
                <w:sz w:val="24"/>
              </w:rPr>
            </w:pPr>
            <w:r w:rsidRPr="00E07C9A">
              <w:rPr>
                <w:rFonts w:ascii="Times New Roman" w:hAnsi="Times New Roman"/>
                <w:sz w:val="24"/>
              </w:rPr>
              <w:t>IFRS 9 ods. 6.2.1; časť 1.22 prílohy</w:t>
            </w:r>
            <w:r w:rsidR="009912F8" w:rsidRPr="00E07C9A">
              <w:rPr>
                <w:rFonts w:ascii="Times New Roman" w:hAnsi="Times New Roman"/>
                <w:sz w:val="24"/>
              </w:rPr>
              <w:t xml:space="preserve"> V k </w:t>
            </w:r>
            <w:r w:rsidRPr="00E07C9A">
              <w:rPr>
                <w:rFonts w:ascii="Times New Roman" w:hAnsi="Times New Roman"/>
                <w:sz w:val="24"/>
              </w:rPr>
              <w:t>tomuto vykonávaciemu nariadeniu;</w:t>
            </w:r>
            <w:r w:rsidR="009912F8" w:rsidRPr="00E07C9A">
              <w:rPr>
                <w:rFonts w:ascii="Times New Roman" w:hAnsi="Times New Roman"/>
                <w:sz w:val="24"/>
              </w:rPr>
              <w:t xml:space="preserve"> </w:t>
            </w:r>
            <w:r w:rsidRPr="00E07C9A">
              <w:rPr>
                <w:rFonts w:ascii="Times New Roman" w:hAnsi="Times New Roman"/>
                <w:sz w:val="24"/>
              </w:rPr>
              <w:t>článok 8 ods. 1 písm. a)</w:t>
            </w:r>
            <w:r w:rsidR="009912F8" w:rsidRPr="00E07C9A">
              <w:rPr>
                <w:rFonts w:ascii="Times New Roman" w:hAnsi="Times New Roman"/>
                <w:sz w:val="24"/>
              </w:rPr>
              <w:t xml:space="preserve"> a </w:t>
            </w:r>
            <w:r w:rsidRPr="00E07C9A">
              <w:rPr>
                <w:rFonts w:ascii="Times New Roman" w:hAnsi="Times New Roman"/>
                <w:sz w:val="24"/>
              </w:rPr>
              <w:t>článok 8 ods. 6</w:t>
            </w:r>
            <w:r w:rsidR="009912F8" w:rsidRPr="00E07C9A">
              <w:rPr>
                <w:rFonts w:ascii="Times New Roman" w:hAnsi="Times New Roman"/>
                <w:sz w:val="24"/>
              </w:rPr>
              <w:t xml:space="preserve"> a </w:t>
            </w:r>
            <w:r w:rsidRPr="00E07C9A">
              <w:rPr>
                <w:rFonts w:ascii="Times New Roman" w:hAnsi="Times New Roman"/>
                <w:sz w:val="24"/>
              </w:rPr>
              <w:t>8 smernice 2013/34/EÚ; IAS 39 ods. 9</w:t>
            </w:r>
          </w:p>
          <w:p w14:paraId="1CF2E4FB" w14:textId="7F77242A" w:rsidR="00B93FA1" w:rsidRPr="00E07C9A" w:rsidRDefault="00B93FA1" w:rsidP="001771A4">
            <w:pPr>
              <w:spacing w:beforeLines="60" w:before="144" w:afterLines="60" w:after="144"/>
              <w:rPr>
                <w:rFonts w:ascii="Times New Roman" w:hAnsi="Times New Roman"/>
                <w:sz w:val="24"/>
              </w:rPr>
            </w:pPr>
            <w:r w:rsidRPr="00E07C9A">
              <w:rPr>
                <w:rFonts w:ascii="Times New Roman" w:hAnsi="Times New Roman"/>
                <w:sz w:val="24"/>
              </w:rPr>
              <w:t>Informácie vykazované</w:t>
            </w:r>
            <w:r w:rsidR="009912F8" w:rsidRPr="00E07C9A">
              <w:rPr>
                <w:rFonts w:ascii="Times New Roman" w:hAnsi="Times New Roman"/>
                <w:sz w:val="24"/>
              </w:rPr>
              <w:t xml:space="preserve"> v </w:t>
            </w:r>
            <w:r w:rsidRPr="00E07C9A">
              <w:rPr>
                <w:rFonts w:ascii="Times New Roman" w:hAnsi="Times New Roman"/>
                <w:sz w:val="24"/>
              </w:rPr>
              <w:t>tomto riadku zodpovedajú riadku 0240 vzoru F 01.01 prílohy III</w:t>
            </w:r>
            <w:r w:rsidR="009912F8" w:rsidRPr="00E07C9A">
              <w:rPr>
                <w:rFonts w:ascii="Times New Roman" w:hAnsi="Times New Roman"/>
                <w:sz w:val="24"/>
              </w:rPr>
              <w:t xml:space="preserve"> a </w:t>
            </w:r>
            <w:r w:rsidRPr="00E07C9A">
              <w:rPr>
                <w:rFonts w:ascii="Times New Roman" w:hAnsi="Times New Roman"/>
                <w:sz w:val="24"/>
              </w:rPr>
              <w:t>prílohy IV</w:t>
            </w:r>
            <w:r w:rsidR="009912F8" w:rsidRPr="00E07C9A">
              <w:rPr>
                <w:rFonts w:ascii="Times New Roman" w:hAnsi="Times New Roman"/>
                <w:sz w:val="24"/>
              </w:rPr>
              <w:t xml:space="preserve"> k </w:t>
            </w:r>
            <w:r w:rsidRPr="00E07C9A">
              <w:rPr>
                <w:rFonts w:ascii="Times New Roman" w:hAnsi="Times New Roman"/>
                <w:sz w:val="24"/>
              </w:rPr>
              <w:t>tomuto vykonávaciemu nariadeniu.</w:t>
            </w:r>
          </w:p>
        </w:tc>
      </w:tr>
      <w:tr w:rsidR="00B93FA1" w:rsidRPr="00E07C9A" w14:paraId="2D5F2B39" w14:textId="77777777" w:rsidTr="00672D2A">
        <w:tc>
          <w:tcPr>
            <w:tcW w:w="1101" w:type="dxa"/>
          </w:tcPr>
          <w:p w14:paraId="1CC67F89" w14:textId="77777777" w:rsidR="00B93FA1" w:rsidRPr="00E07C9A" w:rsidDel="006529A1" w:rsidRDefault="001924F4" w:rsidP="00AF3D7A">
            <w:pPr>
              <w:spacing w:beforeLines="60" w:before="144" w:afterLines="60" w:after="144"/>
              <w:rPr>
                <w:rFonts w:ascii="Times New Roman" w:hAnsi="Times New Roman"/>
                <w:sz w:val="24"/>
              </w:rPr>
            </w:pPr>
            <w:r w:rsidRPr="00E07C9A">
              <w:rPr>
                <w:rFonts w:ascii="Times New Roman" w:hAnsi="Times New Roman"/>
                <w:sz w:val="24"/>
              </w:rPr>
              <w:t>0120</w:t>
            </w:r>
          </w:p>
        </w:tc>
        <w:tc>
          <w:tcPr>
            <w:tcW w:w="8190" w:type="dxa"/>
          </w:tcPr>
          <w:p w14:paraId="06176C09" w14:textId="35B1304E" w:rsidR="00B93FA1" w:rsidRPr="00E07C9A" w:rsidRDefault="00B93FA1" w:rsidP="00AF3D7A">
            <w:pPr>
              <w:spacing w:beforeLines="60" w:before="144" w:afterLines="60" w:after="144"/>
              <w:rPr>
                <w:rFonts w:ascii="Times New Roman" w:hAnsi="Times New Roman"/>
                <w:b/>
                <w:sz w:val="24"/>
                <w:u w:val="single"/>
              </w:rPr>
            </w:pPr>
            <w:r w:rsidRPr="00E07C9A">
              <w:rPr>
                <w:rFonts w:ascii="Times New Roman" w:hAnsi="Times New Roman"/>
                <w:b/>
                <w:sz w:val="24"/>
                <w:u w:val="single"/>
              </w:rPr>
              <w:t>1.1.10. ZMENY REÁLNEJ HODNOTY HEDŽOVANÝCH POLOŽIEK</w:t>
            </w:r>
            <w:r w:rsidR="009912F8" w:rsidRPr="00E07C9A">
              <w:rPr>
                <w:rFonts w:ascii="Times New Roman" w:hAnsi="Times New Roman"/>
                <w:b/>
                <w:sz w:val="24"/>
                <w:u w:val="single"/>
              </w:rPr>
              <w:t xml:space="preserve"> V </w:t>
            </w:r>
            <w:r w:rsidRPr="00E07C9A">
              <w:rPr>
                <w:rFonts w:ascii="Times New Roman" w:hAnsi="Times New Roman"/>
                <w:b/>
                <w:sz w:val="24"/>
                <w:u w:val="single"/>
              </w:rPr>
              <w:t>HEDŽINGU ÚROKOVÉHO RIZIKA PORTFÓLIA</w:t>
            </w:r>
          </w:p>
          <w:p w14:paraId="4B9850C3" w14:textId="30E90E5B" w:rsidR="00B93FA1" w:rsidRPr="00E07C9A" w:rsidRDefault="00B93FA1" w:rsidP="00587E96">
            <w:pPr>
              <w:spacing w:beforeLines="60" w:before="144" w:afterLines="60" w:after="144"/>
              <w:rPr>
                <w:rFonts w:ascii="Times New Roman" w:hAnsi="Times New Roman"/>
                <w:b/>
                <w:sz w:val="24"/>
                <w:u w:val="single"/>
              </w:rPr>
            </w:pPr>
            <w:r w:rsidRPr="00E07C9A">
              <w:rPr>
                <w:rFonts w:ascii="Times New Roman" w:hAnsi="Times New Roman"/>
                <w:sz w:val="24"/>
              </w:rPr>
              <w:t>IAS 39 ods. 89A písm. a); IFRS 9 ods. 6.5.8; článok 8 ods. 5</w:t>
            </w:r>
            <w:r w:rsidR="009912F8" w:rsidRPr="00E07C9A">
              <w:rPr>
                <w:rFonts w:ascii="Times New Roman" w:hAnsi="Times New Roman"/>
                <w:sz w:val="24"/>
              </w:rPr>
              <w:t xml:space="preserve"> a </w:t>
            </w:r>
            <w:r w:rsidRPr="00E07C9A">
              <w:rPr>
                <w:rFonts w:ascii="Times New Roman" w:hAnsi="Times New Roman"/>
                <w:sz w:val="24"/>
              </w:rPr>
              <w:t>6 smernice Európskeho parlamentu</w:t>
            </w:r>
            <w:r w:rsidR="009912F8" w:rsidRPr="00E07C9A">
              <w:rPr>
                <w:rFonts w:ascii="Times New Roman" w:hAnsi="Times New Roman"/>
                <w:sz w:val="24"/>
              </w:rPr>
              <w:t xml:space="preserve"> a </w:t>
            </w:r>
            <w:r w:rsidRPr="00E07C9A">
              <w:rPr>
                <w:rFonts w:ascii="Times New Roman" w:hAnsi="Times New Roman"/>
                <w:sz w:val="24"/>
              </w:rPr>
              <w:t>Rady 2013/34/EÚ</w:t>
            </w:r>
            <w:r w:rsidRPr="00E07C9A">
              <w:rPr>
                <w:rFonts w:ascii="Times New Roman" w:hAnsi="Times New Roman"/>
                <w:vertAlign w:val="superscript"/>
              </w:rPr>
              <w:footnoteReference w:id="12"/>
            </w:r>
            <w:r w:rsidRPr="00E07C9A">
              <w:rPr>
                <w:rFonts w:ascii="Times New Roman" w:hAnsi="Times New Roman"/>
                <w:sz w:val="24"/>
              </w:rPr>
              <w:t>. Informácie vykazované</w:t>
            </w:r>
            <w:r w:rsidR="009912F8" w:rsidRPr="00E07C9A">
              <w:rPr>
                <w:rFonts w:ascii="Times New Roman" w:hAnsi="Times New Roman"/>
                <w:sz w:val="24"/>
              </w:rPr>
              <w:t xml:space="preserve"> v </w:t>
            </w:r>
            <w:r w:rsidRPr="00E07C9A">
              <w:rPr>
                <w:rFonts w:ascii="Times New Roman" w:hAnsi="Times New Roman"/>
                <w:sz w:val="24"/>
              </w:rPr>
              <w:t>tomto riadku zodpovedajú riadku 0250 vzoru F 01.01 prílohy III</w:t>
            </w:r>
            <w:r w:rsidR="009912F8" w:rsidRPr="00E07C9A">
              <w:rPr>
                <w:rFonts w:ascii="Times New Roman" w:hAnsi="Times New Roman"/>
                <w:sz w:val="24"/>
              </w:rPr>
              <w:t xml:space="preserve"> a </w:t>
            </w:r>
            <w:r w:rsidRPr="00E07C9A">
              <w:rPr>
                <w:rFonts w:ascii="Times New Roman" w:hAnsi="Times New Roman"/>
                <w:sz w:val="24"/>
              </w:rPr>
              <w:t>prílohy IV</w:t>
            </w:r>
            <w:r w:rsidR="009912F8" w:rsidRPr="00E07C9A">
              <w:rPr>
                <w:rFonts w:ascii="Times New Roman" w:hAnsi="Times New Roman"/>
                <w:sz w:val="24"/>
              </w:rPr>
              <w:t xml:space="preserve"> k </w:t>
            </w:r>
            <w:r w:rsidRPr="00E07C9A">
              <w:rPr>
                <w:rFonts w:ascii="Times New Roman" w:hAnsi="Times New Roman"/>
                <w:sz w:val="24"/>
              </w:rPr>
              <w:t>tomuto vykonávaciemu nariadeniu.</w:t>
            </w:r>
          </w:p>
        </w:tc>
      </w:tr>
      <w:tr w:rsidR="00B93FA1" w:rsidRPr="00E07C9A" w14:paraId="39B4A36D" w14:textId="77777777" w:rsidTr="00672D2A">
        <w:tc>
          <w:tcPr>
            <w:tcW w:w="1101" w:type="dxa"/>
          </w:tcPr>
          <w:p w14:paraId="3709F024" w14:textId="77777777" w:rsidR="00B93FA1" w:rsidRPr="00E07C9A" w:rsidRDefault="001924F4" w:rsidP="00AF3D7A">
            <w:pPr>
              <w:spacing w:beforeLines="60" w:before="144" w:afterLines="60" w:after="144"/>
              <w:rPr>
                <w:rFonts w:ascii="Times New Roman" w:hAnsi="Times New Roman"/>
                <w:sz w:val="24"/>
              </w:rPr>
            </w:pPr>
            <w:r w:rsidRPr="00E07C9A">
              <w:rPr>
                <w:rFonts w:ascii="Times New Roman" w:hAnsi="Times New Roman"/>
                <w:sz w:val="24"/>
              </w:rPr>
              <w:t>0130</w:t>
            </w:r>
          </w:p>
        </w:tc>
        <w:tc>
          <w:tcPr>
            <w:tcW w:w="8190" w:type="dxa"/>
          </w:tcPr>
          <w:p w14:paraId="134E6508" w14:textId="77777777" w:rsidR="00B93FA1" w:rsidRPr="00E07C9A" w:rsidRDefault="00B93FA1" w:rsidP="00AF3D7A">
            <w:pPr>
              <w:spacing w:beforeLines="60" w:before="144" w:afterLines="60" w:after="144"/>
              <w:rPr>
                <w:rFonts w:ascii="Times New Roman" w:hAnsi="Times New Roman"/>
                <w:b/>
                <w:sz w:val="24"/>
                <w:u w:val="single"/>
              </w:rPr>
            </w:pPr>
            <w:r w:rsidRPr="00E07C9A">
              <w:rPr>
                <w:rFonts w:ascii="Times New Roman" w:hAnsi="Times New Roman"/>
                <w:b/>
                <w:sz w:val="24"/>
                <w:u w:val="single"/>
              </w:rPr>
              <w:t>1.1.11. INVESTÍCIE DO DCÉRSKYCH SPOLOČNOSTÍ, SPOLOČNÝCH PODNIKOV A PRIDRUŽENÝCH PODNIKOV</w:t>
            </w:r>
          </w:p>
          <w:p w14:paraId="4186901D" w14:textId="662E9D39" w:rsidR="00B93FA1" w:rsidRPr="00E07C9A" w:rsidRDefault="00B93FA1" w:rsidP="00AF3D7A">
            <w:pPr>
              <w:spacing w:beforeLines="60" w:before="144" w:afterLines="60" w:after="144"/>
              <w:rPr>
                <w:rFonts w:ascii="Times New Roman" w:hAnsi="Times New Roman"/>
                <w:sz w:val="24"/>
              </w:rPr>
            </w:pPr>
            <w:r w:rsidRPr="00E07C9A">
              <w:rPr>
                <w:rFonts w:ascii="Times New Roman" w:hAnsi="Times New Roman"/>
                <w:sz w:val="24"/>
              </w:rPr>
              <w:t>IAS 1 ods. 54 písm. e); časti 1.21</w:t>
            </w:r>
            <w:r w:rsidR="009912F8" w:rsidRPr="00E07C9A">
              <w:rPr>
                <w:rFonts w:ascii="Times New Roman" w:hAnsi="Times New Roman"/>
                <w:sz w:val="24"/>
              </w:rPr>
              <w:t xml:space="preserve"> a </w:t>
            </w:r>
            <w:r w:rsidRPr="00E07C9A">
              <w:rPr>
                <w:rFonts w:ascii="Times New Roman" w:hAnsi="Times New Roman"/>
                <w:sz w:val="24"/>
              </w:rPr>
              <w:t>2.4 prílohy</w:t>
            </w:r>
            <w:r w:rsidR="009912F8" w:rsidRPr="00E07C9A">
              <w:rPr>
                <w:rFonts w:ascii="Times New Roman" w:hAnsi="Times New Roman"/>
                <w:sz w:val="24"/>
              </w:rPr>
              <w:t xml:space="preserve"> V k </w:t>
            </w:r>
            <w:r w:rsidRPr="00E07C9A">
              <w:rPr>
                <w:rFonts w:ascii="Times New Roman" w:hAnsi="Times New Roman"/>
                <w:sz w:val="24"/>
              </w:rPr>
              <w:t>tomuto vykonávaciemu nariadeniu; článok 4 body 7</w:t>
            </w:r>
            <w:r w:rsidR="009912F8" w:rsidRPr="00E07C9A">
              <w:rPr>
                <w:rFonts w:ascii="Times New Roman" w:hAnsi="Times New Roman"/>
                <w:sz w:val="24"/>
              </w:rPr>
              <w:t xml:space="preserve"> a </w:t>
            </w:r>
            <w:r w:rsidRPr="00E07C9A">
              <w:rPr>
                <w:rFonts w:ascii="Times New Roman" w:hAnsi="Times New Roman"/>
                <w:sz w:val="24"/>
              </w:rPr>
              <w:t>8 smernice Rady 86/635/EHS; článok 2 ods. 2 smernice 2013/34/EÚ</w:t>
            </w:r>
          </w:p>
          <w:p w14:paraId="625388D1" w14:textId="69C7FCEC" w:rsidR="00B93FA1" w:rsidRPr="00E07C9A" w:rsidRDefault="00B93FA1" w:rsidP="00F811F8">
            <w:pPr>
              <w:spacing w:beforeLines="60" w:before="144" w:afterLines="60" w:after="144"/>
              <w:rPr>
                <w:rFonts w:ascii="Times New Roman" w:hAnsi="Times New Roman"/>
                <w:b/>
                <w:sz w:val="24"/>
                <w:u w:val="single"/>
              </w:rPr>
            </w:pPr>
            <w:r w:rsidRPr="00E07C9A">
              <w:rPr>
                <w:rFonts w:ascii="Times New Roman" w:hAnsi="Times New Roman"/>
                <w:sz w:val="24"/>
              </w:rPr>
              <w:t>Informácie vykazované</w:t>
            </w:r>
            <w:r w:rsidR="009912F8" w:rsidRPr="00E07C9A">
              <w:rPr>
                <w:rFonts w:ascii="Times New Roman" w:hAnsi="Times New Roman"/>
                <w:sz w:val="24"/>
              </w:rPr>
              <w:t xml:space="preserve"> v </w:t>
            </w:r>
            <w:r w:rsidRPr="00E07C9A">
              <w:rPr>
                <w:rFonts w:ascii="Times New Roman" w:hAnsi="Times New Roman"/>
                <w:sz w:val="24"/>
              </w:rPr>
              <w:t>tomto riadku zodpovedajú riadku 0260 vzoru F 01.01 prílohy III</w:t>
            </w:r>
            <w:r w:rsidR="009912F8" w:rsidRPr="00E07C9A">
              <w:rPr>
                <w:rFonts w:ascii="Times New Roman" w:hAnsi="Times New Roman"/>
                <w:sz w:val="24"/>
              </w:rPr>
              <w:t xml:space="preserve"> a </w:t>
            </w:r>
            <w:r w:rsidRPr="00E07C9A">
              <w:rPr>
                <w:rFonts w:ascii="Times New Roman" w:hAnsi="Times New Roman"/>
                <w:sz w:val="24"/>
              </w:rPr>
              <w:t>prílohy IV</w:t>
            </w:r>
            <w:r w:rsidR="009912F8" w:rsidRPr="00E07C9A">
              <w:rPr>
                <w:rFonts w:ascii="Times New Roman" w:hAnsi="Times New Roman"/>
                <w:sz w:val="24"/>
              </w:rPr>
              <w:t xml:space="preserve"> k </w:t>
            </w:r>
            <w:r w:rsidRPr="00E07C9A">
              <w:rPr>
                <w:rFonts w:ascii="Times New Roman" w:hAnsi="Times New Roman"/>
                <w:sz w:val="24"/>
              </w:rPr>
              <w:t>tomuto vykonávaciemu nariadeniu.</w:t>
            </w:r>
          </w:p>
        </w:tc>
      </w:tr>
      <w:tr w:rsidR="00B93FA1" w:rsidRPr="00E07C9A" w14:paraId="34C150E8" w14:textId="77777777" w:rsidTr="00672D2A">
        <w:tc>
          <w:tcPr>
            <w:tcW w:w="1101" w:type="dxa"/>
          </w:tcPr>
          <w:p w14:paraId="61EE5CD8" w14:textId="77777777" w:rsidR="00B93FA1" w:rsidRPr="00E07C9A" w:rsidRDefault="001924F4" w:rsidP="00AF3D7A">
            <w:pPr>
              <w:spacing w:beforeLines="60" w:before="144" w:afterLines="60" w:after="144"/>
              <w:rPr>
                <w:rFonts w:ascii="Times New Roman" w:hAnsi="Times New Roman"/>
                <w:sz w:val="24"/>
              </w:rPr>
            </w:pPr>
            <w:r w:rsidRPr="00E07C9A">
              <w:rPr>
                <w:rFonts w:ascii="Times New Roman" w:hAnsi="Times New Roman"/>
                <w:sz w:val="24"/>
              </w:rPr>
              <w:t>0140</w:t>
            </w:r>
          </w:p>
        </w:tc>
        <w:tc>
          <w:tcPr>
            <w:tcW w:w="8190" w:type="dxa"/>
          </w:tcPr>
          <w:p w14:paraId="106CB8EB" w14:textId="77777777" w:rsidR="00B93FA1" w:rsidRPr="00E07C9A" w:rsidRDefault="00B93FA1" w:rsidP="00AF3D7A">
            <w:pPr>
              <w:spacing w:beforeLines="60" w:before="144" w:afterLines="60" w:after="144"/>
              <w:rPr>
                <w:rFonts w:ascii="Times New Roman" w:hAnsi="Times New Roman"/>
                <w:b/>
                <w:sz w:val="24"/>
                <w:u w:val="single"/>
              </w:rPr>
            </w:pPr>
            <w:r w:rsidRPr="00E07C9A">
              <w:rPr>
                <w:rFonts w:ascii="Times New Roman" w:hAnsi="Times New Roman"/>
                <w:b/>
                <w:sz w:val="24"/>
                <w:u w:val="single"/>
              </w:rPr>
              <w:t>1.1.12. (–) HAIRCUTY PRE OBCHODNÉ AKTÍVA OCEŇOVANÉ REÁLNOU HODNOTOU</w:t>
            </w:r>
          </w:p>
          <w:p w14:paraId="35FEB8CF" w14:textId="2BF696AF" w:rsidR="00B93FA1" w:rsidRPr="00E07C9A" w:rsidRDefault="002F78EA" w:rsidP="00AF3D7A">
            <w:pPr>
              <w:spacing w:beforeLines="60" w:before="144" w:afterLines="60" w:after="144"/>
              <w:rPr>
                <w:rFonts w:ascii="Times New Roman" w:hAnsi="Times New Roman"/>
                <w:sz w:val="24"/>
              </w:rPr>
            </w:pPr>
            <w:r w:rsidRPr="00E07C9A">
              <w:rPr>
                <w:rFonts w:ascii="Times New Roman" w:hAnsi="Times New Roman"/>
                <w:sz w:val="24"/>
              </w:rPr>
              <w:t>Časť 1.29 prílohy</w:t>
            </w:r>
            <w:r w:rsidR="009912F8" w:rsidRPr="00E07C9A">
              <w:rPr>
                <w:rFonts w:ascii="Times New Roman" w:hAnsi="Times New Roman"/>
                <w:sz w:val="24"/>
              </w:rPr>
              <w:t xml:space="preserve"> V k </w:t>
            </w:r>
            <w:r w:rsidRPr="00E07C9A">
              <w:rPr>
                <w:rFonts w:ascii="Times New Roman" w:hAnsi="Times New Roman"/>
                <w:sz w:val="24"/>
              </w:rPr>
              <w:t>tomuto vykonávaciemu nariadeniu</w:t>
            </w:r>
          </w:p>
          <w:p w14:paraId="0804A1D6" w14:textId="5C5D1F00" w:rsidR="00B93FA1" w:rsidRPr="00E07C9A" w:rsidRDefault="00B93FA1" w:rsidP="001771A4">
            <w:pPr>
              <w:spacing w:beforeLines="60" w:before="144" w:afterLines="60" w:after="144"/>
              <w:rPr>
                <w:rFonts w:ascii="Times New Roman" w:hAnsi="Times New Roman"/>
                <w:b/>
                <w:sz w:val="24"/>
                <w:u w:val="single"/>
              </w:rPr>
            </w:pPr>
            <w:r w:rsidRPr="00E07C9A">
              <w:rPr>
                <w:rFonts w:ascii="Times New Roman" w:hAnsi="Times New Roman"/>
                <w:sz w:val="24"/>
              </w:rPr>
              <w:t>Informácie vykazované</w:t>
            </w:r>
            <w:r w:rsidR="009912F8" w:rsidRPr="00E07C9A">
              <w:rPr>
                <w:rFonts w:ascii="Times New Roman" w:hAnsi="Times New Roman"/>
                <w:sz w:val="24"/>
              </w:rPr>
              <w:t xml:space="preserve"> v </w:t>
            </w:r>
            <w:r w:rsidRPr="00E07C9A">
              <w:rPr>
                <w:rFonts w:ascii="Times New Roman" w:hAnsi="Times New Roman"/>
                <w:sz w:val="24"/>
              </w:rPr>
              <w:t>tomto riadku zodpovedajú riadku 0375 vzoru F 01.01 prílohy III</w:t>
            </w:r>
            <w:r w:rsidR="009912F8" w:rsidRPr="00E07C9A">
              <w:rPr>
                <w:rFonts w:ascii="Times New Roman" w:hAnsi="Times New Roman"/>
                <w:sz w:val="24"/>
              </w:rPr>
              <w:t xml:space="preserve"> a </w:t>
            </w:r>
            <w:r w:rsidRPr="00E07C9A">
              <w:rPr>
                <w:rFonts w:ascii="Times New Roman" w:hAnsi="Times New Roman"/>
                <w:sz w:val="24"/>
              </w:rPr>
              <w:t>prílohy IV</w:t>
            </w:r>
            <w:r w:rsidR="009912F8" w:rsidRPr="00E07C9A">
              <w:rPr>
                <w:rFonts w:ascii="Times New Roman" w:hAnsi="Times New Roman"/>
                <w:sz w:val="24"/>
              </w:rPr>
              <w:t xml:space="preserve"> k </w:t>
            </w:r>
            <w:r w:rsidRPr="00E07C9A">
              <w:rPr>
                <w:rFonts w:ascii="Times New Roman" w:hAnsi="Times New Roman"/>
                <w:sz w:val="24"/>
              </w:rPr>
              <w:t>tomuto vykonávaciemu nariadeniu.</w:t>
            </w:r>
          </w:p>
        </w:tc>
      </w:tr>
      <w:tr w:rsidR="00881778" w:rsidRPr="00E07C9A" w14:paraId="584A029F" w14:textId="77777777" w:rsidTr="00672D2A">
        <w:tc>
          <w:tcPr>
            <w:tcW w:w="1101" w:type="dxa"/>
          </w:tcPr>
          <w:p w14:paraId="7D8474A0" w14:textId="3E4915B8" w:rsidR="00881778" w:rsidRPr="00E07C9A" w:rsidRDefault="00881778" w:rsidP="00AF3D7A">
            <w:pPr>
              <w:spacing w:beforeLines="60" w:before="144" w:afterLines="60" w:after="144"/>
              <w:rPr>
                <w:rFonts w:ascii="Times New Roman" w:hAnsi="Times New Roman"/>
                <w:sz w:val="24"/>
              </w:rPr>
            </w:pPr>
            <w:r w:rsidRPr="00E07C9A">
              <w:rPr>
                <w:rFonts w:ascii="Times New Roman" w:hAnsi="Times New Roman"/>
                <w:sz w:val="24"/>
              </w:rPr>
              <w:t>0142</w:t>
            </w:r>
          </w:p>
        </w:tc>
        <w:tc>
          <w:tcPr>
            <w:tcW w:w="8190" w:type="dxa"/>
          </w:tcPr>
          <w:p w14:paraId="7E8CCE21" w14:textId="57F5C5BD" w:rsidR="00881778" w:rsidRPr="00E07C9A" w:rsidRDefault="00881778" w:rsidP="00AF3D7A">
            <w:pPr>
              <w:spacing w:beforeLines="60" w:before="144" w:afterLines="60" w:after="144"/>
              <w:rPr>
                <w:rFonts w:ascii="Times New Roman" w:hAnsi="Times New Roman"/>
                <w:b/>
                <w:sz w:val="24"/>
                <w:u w:val="single"/>
              </w:rPr>
            </w:pPr>
            <w:r w:rsidRPr="00E07C9A">
              <w:rPr>
                <w:rFonts w:ascii="Times New Roman" w:hAnsi="Times New Roman"/>
                <w:b/>
                <w:sz w:val="24"/>
                <w:u w:val="single"/>
              </w:rPr>
              <w:t>1.1.13. OSTATNÉ AKTÍVA</w:t>
            </w:r>
          </w:p>
          <w:p w14:paraId="5D7B2512" w14:textId="41B4403D" w:rsidR="00881778" w:rsidRPr="00E07C9A" w:rsidRDefault="00881778" w:rsidP="00AF3D7A">
            <w:pPr>
              <w:spacing w:beforeLines="60" w:before="144" w:afterLines="60" w:after="144"/>
              <w:rPr>
                <w:rFonts w:ascii="Times New Roman" w:hAnsi="Times New Roman"/>
                <w:b/>
                <w:sz w:val="24"/>
                <w:u w:val="single"/>
              </w:rPr>
            </w:pPr>
            <w:r w:rsidRPr="00E07C9A">
              <w:rPr>
                <w:rFonts w:ascii="Times New Roman" w:hAnsi="Times New Roman"/>
                <w:sz w:val="24"/>
              </w:rPr>
              <w:t>Aktíva, ako sú uvedené</w:t>
            </w:r>
            <w:r w:rsidR="009912F8" w:rsidRPr="00E07C9A">
              <w:rPr>
                <w:rFonts w:ascii="Times New Roman" w:hAnsi="Times New Roman"/>
                <w:sz w:val="24"/>
              </w:rPr>
              <w:t xml:space="preserve"> v </w:t>
            </w:r>
            <w:r w:rsidRPr="00E07C9A">
              <w:rPr>
                <w:rFonts w:ascii="Times New Roman" w:hAnsi="Times New Roman"/>
                <w:sz w:val="24"/>
              </w:rPr>
              <w:t>časti 2 ods. 5</w:t>
            </w:r>
            <w:r w:rsidR="009912F8" w:rsidRPr="00E07C9A">
              <w:rPr>
                <w:rFonts w:ascii="Times New Roman" w:hAnsi="Times New Roman"/>
                <w:sz w:val="24"/>
              </w:rPr>
              <w:t xml:space="preserve"> a </w:t>
            </w:r>
            <w:r w:rsidRPr="00E07C9A">
              <w:rPr>
                <w:rFonts w:ascii="Times New Roman" w:hAnsi="Times New Roman"/>
                <w:sz w:val="24"/>
              </w:rPr>
              <w:t>6 prílohy</w:t>
            </w:r>
            <w:r w:rsidR="009912F8" w:rsidRPr="00E07C9A">
              <w:rPr>
                <w:rFonts w:ascii="Times New Roman" w:hAnsi="Times New Roman"/>
                <w:sz w:val="24"/>
              </w:rPr>
              <w:t xml:space="preserve"> V k </w:t>
            </w:r>
            <w:r w:rsidRPr="00E07C9A">
              <w:rPr>
                <w:rFonts w:ascii="Times New Roman" w:hAnsi="Times New Roman"/>
                <w:sz w:val="24"/>
              </w:rPr>
              <w:t>tomuto vykonávaciemu nariadeniu, pokiaľ sú ocenené reálnou hodnotou.</w:t>
            </w:r>
          </w:p>
        </w:tc>
      </w:tr>
      <w:tr w:rsidR="00F47CA5" w:rsidRPr="00E07C9A" w14:paraId="662CB515" w14:textId="77777777" w:rsidTr="00672D2A">
        <w:tc>
          <w:tcPr>
            <w:tcW w:w="1101" w:type="dxa"/>
          </w:tcPr>
          <w:p w14:paraId="55B966EB" w14:textId="1EEAA2E0" w:rsidR="00F47CA5" w:rsidRPr="00E07C9A" w:rsidRDefault="00F47CA5" w:rsidP="00F47CA5">
            <w:pPr>
              <w:spacing w:beforeLines="60" w:before="144" w:afterLines="60" w:after="144"/>
              <w:rPr>
                <w:rFonts w:ascii="Times New Roman" w:hAnsi="Times New Roman"/>
                <w:sz w:val="24"/>
              </w:rPr>
            </w:pPr>
            <w:r w:rsidRPr="00E07C9A">
              <w:rPr>
                <w:rFonts w:ascii="Times New Roman" w:hAnsi="Times New Roman"/>
                <w:sz w:val="24"/>
              </w:rPr>
              <w:t>0143</w:t>
            </w:r>
          </w:p>
        </w:tc>
        <w:tc>
          <w:tcPr>
            <w:tcW w:w="8190" w:type="dxa"/>
          </w:tcPr>
          <w:p w14:paraId="11DE8E86" w14:textId="2BA28CBE" w:rsidR="00F47CA5" w:rsidRPr="00E07C9A" w:rsidRDefault="00F47CA5" w:rsidP="00F47CA5">
            <w:pPr>
              <w:spacing w:beforeLines="60" w:before="144" w:afterLines="60" w:after="144"/>
              <w:rPr>
                <w:rFonts w:ascii="Times New Roman" w:hAnsi="Times New Roman"/>
                <w:b/>
                <w:sz w:val="24"/>
                <w:u w:val="single"/>
              </w:rPr>
            </w:pPr>
            <w:r w:rsidRPr="00E07C9A">
              <w:rPr>
                <w:rFonts w:ascii="Times New Roman" w:hAnsi="Times New Roman"/>
                <w:b/>
                <w:sz w:val="24"/>
                <w:u w:val="single"/>
              </w:rPr>
              <w:t>1.1.14. DLHODOBÉ AKTÍVA A SKUPINY NA VYRADENIE KLASIFIKOVANÉ AKO DRŽANÉ NA PREDAJ</w:t>
            </w:r>
          </w:p>
          <w:p w14:paraId="44AE1A1D" w14:textId="31164306" w:rsidR="00F47CA5" w:rsidRPr="00E07C9A" w:rsidRDefault="00F47CA5" w:rsidP="00F47CA5">
            <w:pPr>
              <w:spacing w:beforeLines="60" w:before="144" w:afterLines="60" w:after="144"/>
              <w:rPr>
                <w:rFonts w:ascii="Times New Roman" w:hAnsi="Times New Roman"/>
                <w:b/>
                <w:sz w:val="24"/>
                <w:u w:val="single"/>
              </w:rPr>
            </w:pPr>
            <w:r w:rsidRPr="00E07C9A">
              <w:rPr>
                <w:rFonts w:ascii="Times New Roman" w:hAnsi="Times New Roman"/>
                <w:sz w:val="24"/>
              </w:rPr>
              <w:t>Aktíva, ako sú uvedené</w:t>
            </w:r>
            <w:r w:rsidR="009912F8" w:rsidRPr="00E07C9A">
              <w:rPr>
                <w:rFonts w:ascii="Times New Roman" w:hAnsi="Times New Roman"/>
                <w:sz w:val="24"/>
              </w:rPr>
              <w:t xml:space="preserve"> v </w:t>
            </w:r>
            <w:r w:rsidRPr="00E07C9A">
              <w:rPr>
                <w:rFonts w:ascii="Times New Roman" w:hAnsi="Times New Roman"/>
                <w:sz w:val="24"/>
              </w:rPr>
              <w:t>časti 2 ods. 7 prílohy</w:t>
            </w:r>
            <w:r w:rsidR="009912F8" w:rsidRPr="00E07C9A">
              <w:rPr>
                <w:rFonts w:ascii="Times New Roman" w:hAnsi="Times New Roman"/>
                <w:sz w:val="24"/>
              </w:rPr>
              <w:t xml:space="preserve"> V k </w:t>
            </w:r>
            <w:r w:rsidRPr="00E07C9A">
              <w:rPr>
                <w:rFonts w:ascii="Times New Roman" w:hAnsi="Times New Roman"/>
                <w:sz w:val="24"/>
              </w:rPr>
              <w:t>tomuto vykonávaciemu nariadeniu, pokiaľ sú ocenené reálnou hodnotou.</w:t>
            </w:r>
          </w:p>
        </w:tc>
      </w:tr>
      <w:tr w:rsidR="00B93FA1" w:rsidRPr="00E07C9A" w14:paraId="6872DCEC" w14:textId="77777777" w:rsidTr="00672D2A">
        <w:tc>
          <w:tcPr>
            <w:tcW w:w="1101" w:type="dxa"/>
          </w:tcPr>
          <w:p w14:paraId="774996AA" w14:textId="77777777" w:rsidR="00B93FA1" w:rsidRPr="00E07C9A" w:rsidRDefault="001924F4" w:rsidP="00AF3D7A">
            <w:pPr>
              <w:spacing w:beforeLines="60" w:before="144" w:afterLines="60" w:after="144"/>
              <w:rPr>
                <w:rFonts w:ascii="Times New Roman" w:hAnsi="Times New Roman"/>
                <w:sz w:val="24"/>
              </w:rPr>
            </w:pPr>
            <w:r w:rsidRPr="00E07C9A">
              <w:rPr>
                <w:rFonts w:ascii="Times New Roman" w:hAnsi="Times New Roman"/>
                <w:sz w:val="24"/>
              </w:rPr>
              <w:t>0150</w:t>
            </w:r>
          </w:p>
        </w:tc>
        <w:tc>
          <w:tcPr>
            <w:tcW w:w="8190" w:type="dxa"/>
          </w:tcPr>
          <w:p w14:paraId="416A937B" w14:textId="77777777" w:rsidR="009912F8" w:rsidRPr="00E07C9A" w:rsidRDefault="00B93FA1" w:rsidP="00AF3D7A">
            <w:pPr>
              <w:spacing w:beforeLines="60" w:before="144" w:afterLines="60" w:after="144"/>
              <w:rPr>
                <w:rFonts w:ascii="Times New Roman" w:hAnsi="Times New Roman"/>
                <w:b/>
                <w:sz w:val="24"/>
                <w:u w:val="single"/>
              </w:rPr>
            </w:pPr>
            <w:r w:rsidRPr="00E07C9A">
              <w:rPr>
                <w:rFonts w:ascii="Times New Roman" w:hAnsi="Times New Roman"/>
                <w:b/>
                <w:sz w:val="24"/>
                <w:u w:val="single"/>
              </w:rPr>
              <w:t>1.2. REÁLNOU HODNOTOU OCENENÉ ZÁVÄZKY CELKOVO</w:t>
            </w:r>
          </w:p>
          <w:p w14:paraId="1444AE84" w14:textId="71C22DF9" w:rsidR="00B93FA1" w:rsidRPr="00E07C9A" w:rsidRDefault="00B93FA1" w:rsidP="00AF3D7A">
            <w:pPr>
              <w:spacing w:beforeLines="60" w:before="144" w:afterLines="60" w:after="144"/>
              <w:rPr>
                <w:rFonts w:ascii="Times New Roman" w:hAnsi="Times New Roman"/>
                <w:sz w:val="24"/>
              </w:rPr>
            </w:pPr>
            <w:r w:rsidRPr="00E07C9A">
              <w:rPr>
                <w:rFonts w:ascii="Times New Roman" w:hAnsi="Times New Roman"/>
                <w:sz w:val="24"/>
              </w:rPr>
              <w:t>Celková hodnota reálnou hodnotou ocenených záväzkov vykázaných</w:t>
            </w:r>
            <w:r w:rsidR="009912F8" w:rsidRPr="00E07C9A">
              <w:rPr>
                <w:rFonts w:ascii="Times New Roman" w:hAnsi="Times New Roman"/>
                <w:sz w:val="24"/>
              </w:rPr>
              <w:t xml:space="preserve"> v </w:t>
            </w:r>
            <w:r w:rsidRPr="00E07C9A">
              <w:rPr>
                <w:rFonts w:ascii="Times New Roman" w:hAnsi="Times New Roman"/>
                <w:sz w:val="24"/>
              </w:rPr>
              <w:t>riadkoch 0160 až 0210.</w:t>
            </w:r>
          </w:p>
          <w:p w14:paraId="7FE722CD" w14:textId="1CBB77BF" w:rsidR="009912F8" w:rsidRPr="00E07C9A" w:rsidRDefault="00B93FA1" w:rsidP="00AF3D7A">
            <w:pPr>
              <w:spacing w:beforeLines="60" w:before="144" w:afterLines="60" w:after="144"/>
              <w:rPr>
                <w:rFonts w:ascii="Times New Roman" w:hAnsi="Times New Roman"/>
                <w:sz w:val="24"/>
              </w:rPr>
            </w:pPr>
            <w:r w:rsidRPr="00E07C9A">
              <w:rPr>
                <w:rFonts w:ascii="Times New Roman" w:hAnsi="Times New Roman"/>
                <w:sz w:val="24"/>
              </w:rPr>
              <w:t>Príslušné bunky riadkov 0150 až 0190 sa vykazujú</w:t>
            </w:r>
            <w:r w:rsidR="009912F8" w:rsidRPr="00E07C9A">
              <w:rPr>
                <w:rFonts w:ascii="Times New Roman" w:hAnsi="Times New Roman"/>
                <w:sz w:val="24"/>
              </w:rPr>
              <w:t xml:space="preserve"> v </w:t>
            </w:r>
            <w:r w:rsidRPr="00E07C9A">
              <w:rPr>
                <w:rFonts w:ascii="Times New Roman" w:hAnsi="Times New Roman"/>
                <w:sz w:val="24"/>
              </w:rPr>
              <w:t>súlade so vzorom FINREP F 01.02</w:t>
            </w:r>
            <w:r w:rsidR="009912F8" w:rsidRPr="00E07C9A">
              <w:rPr>
                <w:rFonts w:ascii="Times New Roman" w:hAnsi="Times New Roman"/>
                <w:sz w:val="24"/>
              </w:rPr>
              <w:t xml:space="preserve"> v </w:t>
            </w:r>
            <w:r w:rsidRPr="00E07C9A">
              <w:rPr>
                <w:rFonts w:ascii="Times New Roman" w:hAnsi="Times New Roman"/>
                <w:sz w:val="24"/>
              </w:rPr>
              <w:t>prílohe III</w:t>
            </w:r>
            <w:r w:rsidR="009912F8" w:rsidRPr="00E07C9A">
              <w:rPr>
                <w:rFonts w:ascii="Times New Roman" w:hAnsi="Times New Roman"/>
                <w:sz w:val="24"/>
              </w:rPr>
              <w:t xml:space="preserve"> a </w:t>
            </w:r>
            <w:r w:rsidRPr="00E07C9A">
              <w:rPr>
                <w:rFonts w:ascii="Times New Roman" w:hAnsi="Times New Roman"/>
                <w:sz w:val="24"/>
              </w:rPr>
              <w:t>prílohe IV</w:t>
            </w:r>
            <w:r w:rsidR="009912F8" w:rsidRPr="00E07C9A">
              <w:rPr>
                <w:rFonts w:ascii="Times New Roman" w:hAnsi="Times New Roman"/>
                <w:sz w:val="24"/>
              </w:rPr>
              <w:t xml:space="preserve"> k </w:t>
            </w:r>
            <w:r w:rsidRPr="00E07C9A">
              <w:rPr>
                <w:rFonts w:ascii="Times New Roman" w:hAnsi="Times New Roman"/>
                <w:sz w:val="24"/>
              </w:rPr>
              <w:t>tomuto vykonávaciemu nariadeniu</w:t>
            </w:r>
            <w:r w:rsidR="009912F8" w:rsidRPr="00E07C9A">
              <w:rPr>
                <w:rFonts w:ascii="Times New Roman" w:hAnsi="Times New Roman"/>
                <w:sz w:val="24"/>
              </w:rPr>
              <w:t xml:space="preserve"> v </w:t>
            </w:r>
            <w:r w:rsidRPr="00E07C9A">
              <w:rPr>
                <w:rFonts w:ascii="Times New Roman" w:hAnsi="Times New Roman"/>
                <w:sz w:val="24"/>
              </w:rPr>
              <w:t>závislosti od štandardov, ktoré sa na danú inštitúciu uplatňujú</w:t>
            </w:r>
            <w:r w:rsidR="009912F8" w:rsidRPr="00E07C9A">
              <w:rPr>
                <w:rFonts w:ascii="Times New Roman" w:hAnsi="Times New Roman"/>
                <w:sz w:val="24"/>
              </w:rPr>
              <w:t>:</w:t>
            </w:r>
          </w:p>
          <w:p w14:paraId="37890667" w14:textId="6E103C53" w:rsidR="00B93FA1" w:rsidRPr="00E07C9A" w:rsidRDefault="00B93FA1" w:rsidP="005C4397">
            <w:pPr>
              <w:pStyle w:val="ListParagraph"/>
              <w:numPr>
                <w:ilvl w:val="0"/>
                <w:numId w:val="21"/>
              </w:numPr>
              <w:spacing w:beforeLines="60" w:before="144" w:afterLines="60" w:after="144"/>
              <w:rPr>
                <w:rFonts w:ascii="Times New Roman" w:hAnsi="Times New Roman"/>
                <w:sz w:val="24"/>
              </w:rPr>
            </w:pPr>
            <w:r w:rsidRPr="00E07C9A">
              <w:rPr>
                <w:rFonts w:ascii="Times New Roman" w:hAnsi="Times New Roman"/>
                <w:sz w:val="24"/>
              </w:rPr>
              <w:t>IFRS, ako sú schválené Úniou pri uplatňovaní nariadenia (ES) č. 1606/2002 („IFRS EÚ“),</w:t>
            </w:r>
          </w:p>
          <w:p w14:paraId="40256E49" w14:textId="77777777" w:rsidR="009912F8" w:rsidRPr="00E07C9A" w:rsidRDefault="00B93FA1" w:rsidP="005C4397">
            <w:pPr>
              <w:pStyle w:val="ListParagraph"/>
              <w:numPr>
                <w:ilvl w:val="0"/>
                <w:numId w:val="21"/>
              </w:numPr>
              <w:spacing w:beforeLines="60" w:before="144" w:afterLines="60" w:after="144"/>
              <w:rPr>
                <w:rFonts w:ascii="Times New Roman" w:hAnsi="Times New Roman"/>
                <w:sz w:val="24"/>
              </w:rPr>
            </w:pPr>
            <w:r w:rsidRPr="00E07C9A">
              <w:rPr>
                <w:rFonts w:ascii="Times New Roman" w:hAnsi="Times New Roman"/>
                <w:sz w:val="24"/>
              </w:rPr>
              <w:t>národné účtovné štandardy zlučiteľné</w:t>
            </w:r>
            <w:r w:rsidR="009912F8" w:rsidRPr="00E07C9A">
              <w:rPr>
                <w:rFonts w:ascii="Times New Roman" w:hAnsi="Times New Roman"/>
                <w:sz w:val="24"/>
              </w:rPr>
              <w:t xml:space="preserve"> s </w:t>
            </w:r>
            <w:r w:rsidRPr="00E07C9A">
              <w:rPr>
                <w:rFonts w:ascii="Times New Roman" w:hAnsi="Times New Roman"/>
                <w:sz w:val="24"/>
              </w:rPr>
              <w:t>IFRS EÚ („národné GAAP zlučiteľné</w:t>
            </w:r>
            <w:r w:rsidR="009912F8" w:rsidRPr="00E07C9A">
              <w:rPr>
                <w:rFonts w:ascii="Times New Roman" w:hAnsi="Times New Roman"/>
                <w:sz w:val="24"/>
              </w:rPr>
              <w:t xml:space="preserve"> s </w:t>
            </w:r>
            <w:r w:rsidRPr="00E07C9A">
              <w:rPr>
                <w:rFonts w:ascii="Times New Roman" w:hAnsi="Times New Roman"/>
                <w:sz w:val="24"/>
              </w:rPr>
              <w:t>IFRS“)</w:t>
            </w:r>
          </w:p>
          <w:p w14:paraId="63DB204C" w14:textId="6BD75D5B" w:rsidR="00B93FA1" w:rsidRPr="00E07C9A" w:rsidRDefault="00B93FA1" w:rsidP="005C4397">
            <w:pPr>
              <w:pStyle w:val="ListParagraph"/>
              <w:numPr>
                <w:ilvl w:val="0"/>
                <w:numId w:val="21"/>
              </w:numPr>
              <w:spacing w:beforeLines="60" w:before="144" w:afterLines="60" w:after="144"/>
              <w:rPr>
                <w:rFonts w:ascii="Times New Roman" w:hAnsi="Times New Roman"/>
                <w:sz w:val="24"/>
              </w:rPr>
            </w:pPr>
            <w:r w:rsidRPr="00E07C9A">
              <w:rPr>
                <w:rFonts w:ascii="Times New Roman" w:hAnsi="Times New Roman"/>
                <w:sz w:val="24"/>
              </w:rPr>
              <w:t>alebo národné GAAP na základe smernice Rady 86/635/EHS (FINREP „národné GAAP na základe smernice Rady 86/635/EHS“).</w:t>
            </w:r>
          </w:p>
        </w:tc>
      </w:tr>
      <w:tr w:rsidR="00B93FA1" w:rsidRPr="00E07C9A" w14:paraId="26B19820" w14:textId="77777777" w:rsidTr="00672D2A">
        <w:tc>
          <w:tcPr>
            <w:tcW w:w="1101" w:type="dxa"/>
          </w:tcPr>
          <w:p w14:paraId="1992375B" w14:textId="77777777" w:rsidR="00B93FA1" w:rsidRPr="00E07C9A" w:rsidRDefault="001924F4" w:rsidP="00AF3D7A">
            <w:pPr>
              <w:spacing w:beforeLines="60" w:before="144" w:afterLines="60" w:after="144"/>
              <w:rPr>
                <w:rFonts w:ascii="Times New Roman" w:hAnsi="Times New Roman"/>
                <w:sz w:val="24"/>
              </w:rPr>
            </w:pPr>
            <w:r w:rsidRPr="00E07C9A">
              <w:rPr>
                <w:rFonts w:ascii="Times New Roman" w:hAnsi="Times New Roman"/>
                <w:sz w:val="24"/>
              </w:rPr>
              <w:t>0160</w:t>
            </w:r>
          </w:p>
        </w:tc>
        <w:tc>
          <w:tcPr>
            <w:tcW w:w="8190" w:type="dxa"/>
          </w:tcPr>
          <w:p w14:paraId="19626DEF" w14:textId="77777777" w:rsidR="00B93FA1" w:rsidRPr="00E07C9A" w:rsidRDefault="00B93FA1" w:rsidP="00AF3D7A">
            <w:pPr>
              <w:spacing w:beforeLines="60" w:before="144" w:afterLines="60" w:after="144"/>
              <w:rPr>
                <w:rFonts w:ascii="Times New Roman" w:hAnsi="Times New Roman"/>
                <w:b/>
                <w:sz w:val="24"/>
                <w:u w:val="single"/>
              </w:rPr>
            </w:pPr>
            <w:r w:rsidRPr="00E07C9A">
              <w:rPr>
                <w:rFonts w:ascii="Times New Roman" w:hAnsi="Times New Roman"/>
                <w:b/>
                <w:sz w:val="24"/>
                <w:u w:val="single"/>
              </w:rPr>
              <w:t>1.2.1. FINANČNÉ ZÁVÄZKY DRŽANÉ NA OBCHODOVANIE</w:t>
            </w:r>
          </w:p>
          <w:p w14:paraId="7020356D" w14:textId="13ED1894" w:rsidR="00B93FA1" w:rsidRPr="00E07C9A" w:rsidRDefault="00B93FA1" w:rsidP="00AF3D7A">
            <w:pPr>
              <w:spacing w:beforeLines="60" w:before="144" w:afterLines="60" w:after="144"/>
              <w:rPr>
                <w:rFonts w:ascii="Times New Roman" w:hAnsi="Times New Roman"/>
                <w:sz w:val="24"/>
              </w:rPr>
            </w:pPr>
            <w:r w:rsidRPr="00E07C9A">
              <w:rPr>
                <w:rFonts w:ascii="Times New Roman" w:hAnsi="Times New Roman"/>
                <w:sz w:val="24"/>
              </w:rPr>
              <w:t>IFRS 7 ods. 8 písm. e) bod ii); IFRS 9 odsek BA.6</w:t>
            </w:r>
          </w:p>
          <w:p w14:paraId="1EAE7B01" w14:textId="5E05BF50" w:rsidR="00B93FA1" w:rsidRPr="00E07C9A" w:rsidRDefault="00B93FA1" w:rsidP="00F811F8">
            <w:pPr>
              <w:spacing w:beforeLines="60" w:before="144" w:afterLines="60" w:after="144"/>
              <w:rPr>
                <w:rFonts w:ascii="Times New Roman" w:hAnsi="Times New Roman"/>
                <w:sz w:val="24"/>
              </w:rPr>
            </w:pPr>
            <w:r w:rsidRPr="00E07C9A">
              <w:rPr>
                <w:rFonts w:ascii="Times New Roman" w:hAnsi="Times New Roman"/>
                <w:sz w:val="24"/>
              </w:rPr>
              <w:t>Informácie vykazované</w:t>
            </w:r>
            <w:r w:rsidR="009912F8" w:rsidRPr="00E07C9A">
              <w:rPr>
                <w:rFonts w:ascii="Times New Roman" w:hAnsi="Times New Roman"/>
                <w:sz w:val="24"/>
              </w:rPr>
              <w:t xml:space="preserve"> v </w:t>
            </w:r>
            <w:r w:rsidRPr="00E07C9A">
              <w:rPr>
                <w:rFonts w:ascii="Times New Roman" w:hAnsi="Times New Roman"/>
                <w:sz w:val="24"/>
              </w:rPr>
              <w:t>tomto riadku zodpovedajú riadku 0010 vzoru F 01.02 prílohy III</w:t>
            </w:r>
            <w:r w:rsidR="009912F8" w:rsidRPr="00E07C9A">
              <w:rPr>
                <w:rFonts w:ascii="Times New Roman" w:hAnsi="Times New Roman"/>
                <w:sz w:val="24"/>
              </w:rPr>
              <w:t xml:space="preserve"> a </w:t>
            </w:r>
            <w:r w:rsidRPr="00E07C9A">
              <w:rPr>
                <w:rFonts w:ascii="Times New Roman" w:hAnsi="Times New Roman"/>
                <w:sz w:val="24"/>
              </w:rPr>
              <w:t>prílohy IV</w:t>
            </w:r>
            <w:r w:rsidR="009912F8" w:rsidRPr="00E07C9A">
              <w:rPr>
                <w:rFonts w:ascii="Times New Roman" w:hAnsi="Times New Roman"/>
                <w:sz w:val="24"/>
              </w:rPr>
              <w:t xml:space="preserve"> k </w:t>
            </w:r>
            <w:r w:rsidRPr="00E07C9A">
              <w:rPr>
                <w:rFonts w:ascii="Times New Roman" w:hAnsi="Times New Roman"/>
                <w:sz w:val="24"/>
              </w:rPr>
              <w:t>tomuto vykonávaciemu nariadeniu.</w:t>
            </w:r>
          </w:p>
        </w:tc>
      </w:tr>
      <w:tr w:rsidR="00B93FA1" w:rsidRPr="00E07C9A" w14:paraId="5AD4D8F6" w14:textId="77777777" w:rsidTr="00672D2A">
        <w:tc>
          <w:tcPr>
            <w:tcW w:w="1101" w:type="dxa"/>
          </w:tcPr>
          <w:p w14:paraId="0625D766" w14:textId="77777777" w:rsidR="00B93FA1" w:rsidRPr="00E07C9A" w:rsidRDefault="001924F4" w:rsidP="00AF3D7A">
            <w:pPr>
              <w:spacing w:beforeLines="60" w:before="144" w:afterLines="60" w:after="144"/>
              <w:rPr>
                <w:rFonts w:ascii="Times New Roman" w:hAnsi="Times New Roman"/>
                <w:sz w:val="24"/>
              </w:rPr>
            </w:pPr>
            <w:r w:rsidRPr="00E07C9A">
              <w:rPr>
                <w:rFonts w:ascii="Times New Roman" w:hAnsi="Times New Roman"/>
                <w:sz w:val="24"/>
              </w:rPr>
              <w:t>0170</w:t>
            </w:r>
          </w:p>
        </w:tc>
        <w:tc>
          <w:tcPr>
            <w:tcW w:w="8190" w:type="dxa"/>
          </w:tcPr>
          <w:p w14:paraId="74C51A60" w14:textId="77777777" w:rsidR="00B93FA1" w:rsidRPr="00E07C9A" w:rsidRDefault="00B93FA1" w:rsidP="00AF3D7A">
            <w:pPr>
              <w:spacing w:beforeLines="60" w:before="144" w:afterLines="60" w:after="144"/>
              <w:rPr>
                <w:rFonts w:ascii="Times New Roman" w:hAnsi="Times New Roman"/>
                <w:b/>
                <w:sz w:val="24"/>
                <w:u w:val="single"/>
              </w:rPr>
            </w:pPr>
            <w:r w:rsidRPr="00E07C9A">
              <w:rPr>
                <w:rFonts w:ascii="Times New Roman" w:hAnsi="Times New Roman"/>
                <w:b/>
                <w:sz w:val="24"/>
                <w:u w:val="single"/>
              </w:rPr>
              <w:t>1.2.2. OBCHODNÉ FINANČNÉ ZÁVÄZKY</w:t>
            </w:r>
          </w:p>
          <w:p w14:paraId="4891C92A" w14:textId="4D4CBE7A" w:rsidR="00B93FA1" w:rsidRPr="00E07C9A" w:rsidRDefault="002F78EA" w:rsidP="00AF3D7A">
            <w:pPr>
              <w:spacing w:beforeLines="60" w:before="144" w:afterLines="60" w:after="144"/>
              <w:rPr>
                <w:rFonts w:ascii="Times New Roman" w:hAnsi="Times New Roman"/>
                <w:sz w:val="24"/>
              </w:rPr>
            </w:pPr>
            <w:r w:rsidRPr="00E07C9A">
              <w:rPr>
                <w:rFonts w:ascii="Times New Roman" w:hAnsi="Times New Roman"/>
                <w:sz w:val="24"/>
              </w:rPr>
              <w:t>Článok 8 ods. 1 písm. a)</w:t>
            </w:r>
            <w:r w:rsidR="009912F8" w:rsidRPr="00E07C9A">
              <w:rPr>
                <w:rFonts w:ascii="Times New Roman" w:hAnsi="Times New Roman"/>
                <w:sz w:val="24"/>
              </w:rPr>
              <w:t xml:space="preserve"> a </w:t>
            </w:r>
            <w:r w:rsidRPr="00E07C9A">
              <w:rPr>
                <w:rFonts w:ascii="Times New Roman" w:hAnsi="Times New Roman"/>
                <w:sz w:val="24"/>
              </w:rPr>
              <w:t>článok 8 ods. 3</w:t>
            </w:r>
            <w:r w:rsidR="009912F8" w:rsidRPr="00E07C9A">
              <w:rPr>
                <w:rFonts w:ascii="Times New Roman" w:hAnsi="Times New Roman"/>
                <w:sz w:val="24"/>
              </w:rPr>
              <w:t xml:space="preserve"> a </w:t>
            </w:r>
            <w:r w:rsidRPr="00E07C9A">
              <w:rPr>
                <w:rFonts w:ascii="Times New Roman" w:hAnsi="Times New Roman"/>
                <w:sz w:val="24"/>
              </w:rPr>
              <w:t>6 smernice 2013/34/EÚ</w:t>
            </w:r>
          </w:p>
          <w:p w14:paraId="1BDF2681" w14:textId="2F6B84C6" w:rsidR="00B93FA1" w:rsidRPr="00E07C9A" w:rsidRDefault="00B93FA1" w:rsidP="00F811F8">
            <w:pPr>
              <w:spacing w:beforeLines="60" w:before="144" w:afterLines="60" w:after="144"/>
              <w:rPr>
                <w:rFonts w:ascii="Times New Roman" w:hAnsi="Times New Roman"/>
                <w:b/>
                <w:sz w:val="24"/>
                <w:u w:val="single"/>
              </w:rPr>
            </w:pPr>
            <w:r w:rsidRPr="00E07C9A">
              <w:rPr>
                <w:rFonts w:ascii="Times New Roman" w:hAnsi="Times New Roman"/>
                <w:sz w:val="24"/>
              </w:rPr>
              <w:t>Informácie vykazované</w:t>
            </w:r>
            <w:r w:rsidR="009912F8" w:rsidRPr="00E07C9A">
              <w:rPr>
                <w:rFonts w:ascii="Times New Roman" w:hAnsi="Times New Roman"/>
                <w:sz w:val="24"/>
              </w:rPr>
              <w:t xml:space="preserve"> v </w:t>
            </w:r>
            <w:r w:rsidRPr="00E07C9A">
              <w:rPr>
                <w:rFonts w:ascii="Times New Roman" w:hAnsi="Times New Roman"/>
                <w:sz w:val="24"/>
              </w:rPr>
              <w:t>tomto riadku zodpovedajú riadku 0061 vzoru F 01.02 prílohy III</w:t>
            </w:r>
            <w:r w:rsidR="009912F8" w:rsidRPr="00E07C9A">
              <w:rPr>
                <w:rFonts w:ascii="Times New Roman" w:hAnsi="Times New Roman"/>
                <w:sz w:val="24"/>
              </w:rPr>
              <w:t xml:space="preserve"> a </w:t>
            </w:r>
            <w:r w:rsidRPr="00E07C9A">
              <w:rPr>
                <w:rFonts w:ascii="Times New Roman" w:hAnsi="Times New Roman"/>
                <w:sz w:val="24"/>
              </w:rPr>
              <w:t>prílohy IV</w:t>
            </w:r>
            <w:r w:rsidR="009912F8" w:rsidRPr="00E07C9A">
              <w:rPr>
                <w:rFonts w:ascii="Times New Roman" w:hAnsi="Times New Roman"/>
                <w:sz w:val="24"/>
              </w:rPr>
              <w:t xml:space="preserve"> k </w:t>
            </w:r>
            <w:r w:rsidRPr="00E07C9A">
              <w:rPr>
                <w:rFonts w:ascii="Times New Roman" w:hAnsi="Times New Roman"/>
                <w:sz w:val="24"/>
              </w:rPr>
              <w:t>tomuto vykonávaciemu nariadeniu.</w:t>
            </w:r>
          </w:p>
        </w:tc>
      </w:tr>
      <w:tr w:rsidR="00B93FA1" w:rsidRPr="00E07C9A" w14:paraId="6DEE4D24" w14:textId="77777777" w:rsidTr="00672D2A">
        <w:tc>
          <w:tcPr>
            <w:tcW w:w="1101" w:type="dxa"/>
          </w:tcPr>
          <w:p w14:paraId="329434C1" w14:textId="77777777" w:rsidR="00B93FA1" w:rsidRPr="00E07C9A" w:rsidRDefault="001924F4" w:rsidP="00AF3D7A">
            <w:pPr>
              <w:spacing w:beforeLines="60" w:before="144" w:afterLines="60" w:after="144"/>
              <w:rPr>
                <w:rFonts w:ascii="Times New Roman" w:hAnsi="Times New Roman"/>
                <w:sz w:val="24"/>
              </w:rPr>
            </w:pPr>
            <w:r w:rsidRPr="00E07C9A">
              <w:rPr>
                <w:rFonts w:ascii="Times New Roman" w:hAnsi="Times New Roman"/>
                <w:sz w:val="24"/>
              </w:rPr>
              <w:t>0180</w:t>
            </w:r>
          </w:p>
        </w:tc>
        <w:tc>
          <w:tcPr>
            <w:tcW w:w="8190" w:type="dxa"/>
          </w:tcPr>
          <w:p w14:paraId="7AB88C5A" w14:textId="77777777" w:rsidR="00B93FA1" w:rsidRPr="00E07C9A" w:rsidRDefault="00B93FA1" w:rsidP="00AF3D7A">
            <w:pPr>
              <w:spacing w:beforeLines="60" w:before="144" w:afterLines="60" w:after="144"/>
              <w:rPr>
                <w:rFonts w:ascii="Times New Roman" w:hAnsi="Times New Roman"/>
                <w:b/>
                <w:sz w:val="24"/>
                <w:u w:val="single"/>
              </w:rPr>
            </w:pPr>
            <w:r w:rsidRPr="00E07C9A">
              <w:rPr>
                <w:rFonts w:ascii="Times New Roman" w:hAnsi="Times New Roman"/>
                <w:b/>
                <w:sz w:val="24"/>
                <w:u w:val="single"/>
              </w:rPr>
              <w:t>1.2.3. FINANČNÉ ZÁVÄZKY URČENÉ ZA OCEŇOVANÉ REÁLNOU HODNOTOU CEZ VÝSLEDOK HOSPODÁRENIA</w:t>
            </w:r>
          </w:p>
          <w:p w14:paraId="0A93EF46" w14:textId="77777777" w:rsidR="009912F8" w:rsidRPr="00E07C9A" w:rsidRDefault="00B93FA1" w:rsidP="00AF3D7A">
            <w:pPr>
              <w:spacing w:beforeLines="60" w:before="144" w:afterLines="60" w:after="144"/>
              <w:rPr>
                <w:rFonts w:ascii="Times New Roman" w:hAnsi="Times New Roman"/>
                <w:sz w:val="24"/>
              </w:rPr>
            </w:pPr>
            <w:r w:rsidRPr="00E07C9A">
              <w:rPr>
                <w:rFonts w:ascii="Times New Roman" w:hAnsi="Times New Roman"/>
                <w:sz w:val="24"/>
              </w:rPr>
              <w:t>IFRS 7 ods. 8 písm. e) bod i); IFRS 9 ods. 4.2.2; článok 8 ods. 1 písm. a)</w:t>
            </w:r>
            <w:r w:rsidR="009912F8" w:rsidRPr="00E07C9A">
              <w:rPr>
                <w:rFonts w:ascii="Times New Roman" w:hAnsi="Times New Roman"/>
                <w:sz w:val="24"/>
              </w:rPr>
              <w:t xml:space="preserve"> a </w:t>
            </w:r>
            <w:r w:rsidRPr="00E07C9A">
              <w:rPr>
                <w:rFonts w:ascii="Times New Roman" w:hAnsi="Times New Roman"/>
                <w:sz w:val="24"/>
              </w:rPr>
              <w:t>článok 8 ods. 6 smernice 2013/34/EÚ; IAS 39 ods. 9</w:t>
            </w:r>
          </w:p>
          <w:p w14:paraId="70B1BEB6" w14:textId="7704B4AB" w:rsidR="00B93FA1" w:rsidRPr="00E07C9A" w:rsidRDefault="00B93FA1" w:rsidP="00F811F8">
            <w:pPr>
              <w:spacing w:beforeLines="60" w:before="144" w:afterLines="60" w:after="144"/>
              <w:rPr>
                <w:rFonts w:ascii="Times New Roman" w:hAnsi="Times New Roman"/>
                <w:sz w:val="24"/>
              </w:rPr>
            </w:pPr>
            <w:r w:rsidRPr="00E07C9A">
              <w:rPr>
                <w:rFonts w:ascii="Times New Roman" w:hAnsi="Times New Roman"/>
                <w:sz w:val="24"/>
              </w:rPr>
              <w:t>Informácie vykazované</w:t>
            </w:r>
            <w:r w:rsidR="009912F8" w:rsidRPr="00E07C9A">
              <w:rPr>
                <w:rFonts w:ascii="Times New Roman" w:hAnsi="Times New Roman"/>
                <w:sz w:val="24"/>
              </w:rPr>
              <w:t xml:space="preserve"> v </w:t>
            </w:r>
            <w:r w:rsidRPr="00E07C9A">
              <w:rPr>
                <w:rFonts w:ascii="Times New Roman" w:hAnsi="Times New Roman"/>
                <w:sz w:val="24"/>
              </w:rPr>
              <w:t>tomto riadku zodpovedajú riadku 0070 vzoru F 01.02 prílohy III</w:t>
            </w:r>
            <w:r w:rsidR="009912F8" w:rsidRPr="00E07C9A">
              <w:rPr>
                <w:rFonts w:ascii="Times New Roman" w:hAnsi="Times New Roman"/>
                <w:sz w:val="24"/>
              </w:rPr>
              <w:t xml:space="preserve"> a </w:t>
            </w:r>
            <w:r w:rsidRPr="00E07C9A">
              <w:rPr>
                <w:rFonts w:ascii="Times New Roman" w:hAnsi="Times New Roman"/>
                <w:sz w:val="24"/>
              </w:rPr>
              <w:t>prílohy IV</w:t>
            </w:r>
            <w:r w:rsidR="009912F8" w:rsidRPr="00E07C9A">
              <w:rPr>
                <w:rFonts w:ascii="Times New Roman" w:hAnsi="Times New Roman"/>
                <w:sz w:val="24"/>
              </w:rPr>
              <w:t xml:space="preserve"> k </w:t>
            </w:r>
            <w:r w:rsidRPr="00E07C9A">
              <w:rPr>
                <w:rFonts w:ascii="Times New Roman" w:hAnsi="Times New Roman"/>
                <w:sz w:val="24"/>
              </w:rPr>
              <w:t>tomuto vykonávaciemu nariadeniu.</w:t>
            </w:r>
          </w:p>
        </w:tc>
      </w:tr>
      <w:tr w:rsidR="00B93FA1" w:rsidRPr="00E07C9A" w14:paraId="01B3B3D6" w14:textId="77777777" w:rsidTr="00672D2A">
        <w:tc>
          <w:tcPr>
            <w:tcW w:w="1101" w:type="dxa"/>
          </w:tcPr>
          <w:p w14:paraId="6A125630" w14:textId="77777777" w:rsidR="00B93FA1" w:rsidRPr="00E07C9A" w:rsidRDefault="001924F4" w:rsidP="00AF3D7A">
            <w:pPr>
              <w:spacing w:beforeLines="60" w:before="144" w:afterLines="60" w:after="144"/>
              <w:rPr>
                <w:rFonts w:ascii="Times New Roman" w:hAnsi="Times New Roman"/>
                <w:sz w:val="24"/>
              </w:rPr>
            </w:pPr>
            <w:r w:rsidRPr="00E07C9A">
              <w:rPr>
                <w:rFonts w:ascii="Times New Roman" w:hAnsi="Times New Roman"/>
                <w:sz w:val="24"/>
              </w:rPr>
              <w:t>0190</w:t>
            </w:r>
          </w:p>
        </w:tc>
        <w:tc>
          <w:tcPr>
            <w:tcW w:w="8190" w:type="dxa"/>
          </w:tcPr>
          <w:p w14:paraId="5C814FDE" w14:textId="77777777" w:rsidR="00B93FA1" w:rsidRPr="00E07C9A" w:rsidRDefault="00B93FA1" w:rsidP="00AF3D7A">
            <w:pPr>
              <w:spacing w:beforeLines="60" w:before="144" w:afterLines="60" w:after="144"/>
              <w:rPr>
                <w:rFonts w:ascii="Times New Roman" w:hAnsi="Times New Roman"/>
                <w:b/>
                <w:sz w:val="24"/>
                <w:u w:val="single"/>
              </w:rPr>
            </w:pPr>
            <w:r w:rsidRPr="00E07C9A">
              <w:rPr>
                <w:rFonts w:ascii="Times New Roman" w:hAnsi="Times New Roman"/>
                <w:b/>
                <w:sz w:val="24"/>
                <w:u w:val="single"/>
              </w:rPr>
              <w:t>1.2.4. DERIVÁTY – ÚČTOVANIE HEDŽINGU</w:t>
            </w:r>
          </w:p>
          <w:p w14:paraId="67E1EF15" w14:textId="2D2BB376" w:rsidR="00B93FA1" w:rsidRPr="00E07C9A" w:rsidRDefault="00B93FA1" w:rsidP="00AF3D7A">
            <w:pPr>
              <w:spacing w:beforeLines="60" w:before="144" w:afterLines="60" w:after="144"/>
              <w:rPr>
                <w:rFonts w:ascii="Times New Roman" w:hAnsi="Times New Roman"/>
                <w:sz w:val="24"/>
              </w:rPr>
            </w:pPr>
            <w:r w:rsidRPr="00E07C9A">
              <w:rPr>
                <w:rFonts w:ascii="Times New Roman" w:hAnsi="Times New Roman"/>
                <w:sz w:val="24"/>
              </w:rPr>
              <w:t>IFRS 9 ods. 6.2.1; časť 1.26 prílohy</w:t>
            </w:r>
            <w:r w:rsidR="009912F8" w:rsidRPr="00E07C9A">
              <w:rPr>
                <w:rFonts w:ascii="Times New Roman" w:hAnsi="Times New Roman"/>
                <w:sz w:val="24"/>
              </w:rPr>
              <w:t xml:space="preserve"> V k </w:t>
            </w:r>
            <w:r w:rsidRPr="00E07C9A">
              <w:rPr>
                <w:rFonts w:ascii="Times New Roman" w:hAnsi="Times New Roman"/>
                <w:sz w:val="24"/>
              </w:rPr>
              <w:t>tomuto vykonávaciemu nariadeniu; článok 8 ods. 1 písm. a), článok 8 ods. 6</w:t>
            </w:r>
            <w:r w:rsidR="009912F8" w:rsidRPr="00E07C9A">
              <w:rPr>
                <w:rFonts w:ascii="Times New Roman" w:hAnsi="Times New Roman"/>
                <w:sz w:val="24"/>
              </w:rPr>
              <w:t xml:space="preserve"> a </w:t>
            </w:r>
            <w:r w:rsidRPr="00E07C9A">
              <w:rPr>
                <w:rFonts w:ascii="Times New Roman" w:hAnsi="Times New Roman"/>
                <w:sz w:val="24"/>
              </w:rPr>
              <w:t>článok 8 ods. 8 písm. a) smernice 2013/34/EÚ</w:t>
            </w:r>
          </w:p>
          <w:p w14:paraId="619DE6FF" w14:textId="45759DF6" w:rsidR="00B93FA1" w:rsidRPr="00E07C9A" w:rsidRDefault="00B93FA1" w:rsidP="00F811F8">
            <w:pPr>
              <w:spacing w:beforeLines="60" w:before="144" w:afterLines="60" w:after="144"/>
              <w:rPr>
                <w:rFonts w:ascii="Times New Roman" w:hAnsi="Times New Roman"/>
                <w:sz w:val="24"/>
              </w:rPr>
            </w:pPr>
            <w:r w:rsidRPr="00E07C9A">
              <w:rPr>
                <w:rFonts w:ascii="Times New Roman" w:hAnsi="Times New Roman"/>
                <w:sz w:val="24"/>
              </w:rPr>
              <w:t>Informácie vykazované</w:t>
            </w:r>
            <w:r w:rsidR="009912F8" w:rsidRPr="00E07C9A">
              <w:rPr>
                <w:rFonts w:ascii="Times New Roman" w:hAnsi="Times New Roman"/>
                <w:sz w:val="24"/>
              </w:rPr>
              <w:t xml:space="preserve"> v </w:t>
            </w:r>
            <w:r w:rsidRPr="00E07C9A">
              <w:rPr>
                <w:rFonts w:ascii="Times New Roman" w:hAnsi="Times New Roman"/>
                <w:sz w:val="24"/>
              </w:rPr>
              <w:t>tomto riadku zodpovedajú riadku 0150 vzoru F 01.02 prílohy III</w:t>
            </w:r>
            <w:r w:rsidR="009912F8" w:rsidRPr="00E07C9A">
              <w:rPr>
                <w:rFonts w:ascii="Times New Roman" w:hAnsi="Times New Roman"/>
                <w:sz w:val="24"/>
              </w:rPr>
              <w:t xml:space="preserve"> a </w:t>
            </w:r>
            <w:r w:rsidRPr="00E07C9A">
              <w:rPr>
                <w:rFonts w:ascii="Times New Roman" w:hAnsi="Times New Roman"/>
                <w:sz w:val="24"/>
              </w:rPr>
              <w:t>prílohy IV</w:t>
            </w:r>
            <w:r w:rsidR="009912F8" w:rsidRPr="00E07C9A">
              <w:rPr>
                <w:rFonts w:ascii="Times New Roman" w:hAnsi="Times New Roman"/>
                <w:sz w:val="24"/>
              </w:rPr>
              <w:t xml:space="preserve"> k </w:t>
            </w:r>
            <w:r w:rsidRPr="00E07C9A">
              <w:rPr>
                <w:rFonts w:ascii="Times New Roman" w:hAnsi="Times New Roman"/>
                <w:sz w:val="24"/>
              </w:rPr>
              <w:t>tomuto vykonávaciemu nariadeniu.</w:t>
            </w:r>
          </w:p>
        </w:tc>
      </w:tr>
      <w:tr w:rsidR="00B93FA1" w:rsidRPr="00E07C9A" w14:paraId="623CBCB8" w14:textId="77777777" w:rsidTr="00672D2A">
        <w:tc>
          <w:tcPr>
            <w:tcW w:w="1101" w:type="dxa"/>
          </w:tcPr>
          <w:p w14:paraId="6606BB22" w14:textId="77777777" w:rsidR="00B93FA1" w:rsidRPr="00E07C9A" w:rsidRDefault="001924F4" w:rsidP="00AF3D7A">
            <w:pPr>
              <w:spacing w:beforeLines="60" w:before="144" w:afterLines="60" w:after="144"/>
              <w:rPr>
                <w:rFonts w:ascii="Times New Roman" w:hAnsi="Times New Roman"/>
                <w:sz w:val="24"/>
              </w:rPr>
            </w:pPr>
            <w:r w:rsidRPr="00E07C9A">
              <w:rPr>
                <w:rFonts w:ascii="Times New Roman" w:hAnsi="Times New Roman"/>
                <w:sz w:val="24"/>
              </w:rPr>
              <w:t>0200</w:t>
            </w:r>
          </w:p>
        </w:tc>
        <w:tc>
          <w:tcPr>
            <w:tcW w:w="8190" w:type="dxa"/>
          </w:tcPr>
          <w:p w14:paraId="2B45EF81" w14:textId="48AF6473" w:rsidR="00B93FA1" w:rsidRPr="00E07C9A" w:rsidRDefault="00B93FA1" w:rsidP="00AF3D7A">
            <w:pPr>
              <w:spacing w:beforeLines="60" w:before="144" w:afterLines="60" w:after="144"/>
              <w:rPr>
                <w:rFonts w:ascii="Times New Roman" w:hAnsi="Times New Roman"/>
                <w:b/>
                <w:sz w:val="24"/>
                <w:u w:val="single"/>
              </w:rPr>
            </w:pPr>
            <w:r w:rsidRPr="00E07C9A">
              <w:rPr>
                <w:rFonts w:ascii="Times New Roman" w:hAnsi="Times New Roman"/>
                <w:b/>
                <w:sz w:val="24"/>
                <w:u w:val="single"/>
              </w:rPr>
              <w:t>1.2.5. ZMENY REÁLNEJ HODNOTY HEDŽOVANÝCH POLOŽIEK</w:t>
            </w:r>
            <w:r w:rsidR="009912F8" w:rsidRPr="00E07C9A">
              <w:rPr>
                <w:rFonts w:ascii="Times New Roman" w:hAnsi="Times New Roman"/>
                <w:b/>
                <w:sz w:val="24"/>
                <w:u w:val="single"/>
              </w:rPr>
              <w:t xml:space="preserve"> V </w:t>
            </w:r>
            <w:r w:rsidRPr="00E07C9A">
              <w:rPr>
                <w:rFonts w:ascii="Times New Roman" w:hAnsi="Times New Roman"/>
                <w:b/>
                <w:sz w:val="24"/>
                <w:u w:val="single"/>
              </w:rPr>
              <w:t>HEDŽINGU ÚROKOVÉHO RIZIKA PORTFÓLIA</w:t>
            </w:r>
          </w:p>
          <w:p w14:paraId="350204C6" w14:textId="5C5C27BC" w:rsidR="00B93FA1" w:rsidRPr="00E07C9A" w:rsidRDefault="00B93FA1" w:rsidP="00AF3D7A">
            <w:pPr>
              <w:spacing w:beforeLines="60" w:before="144" w:afterLines="60" w:after="144"/>
              <w:rPr>
                <w:rFonts w:ascii="Times New Roman" w:hAnsi="Times New Roman"/>
                <w:sz w:val="24"/>
              </w:rPr>
            </w:pPr>
            <w:r w:rsidRPr="00E07C9A">
              <w:rPr>
                <w:rFonts w:ascii="Times New Roman" w:hAnsi="Times New Roman"/>
                <w:sz w:val="24"/>
              </w:rPr>
              <w:t>IAS 39 ods. 89A písm. b), IFRS 9 ods. 6.5.8; článok 8 ods. 5</w:t>
            </w:r>
            <w:r w:rsidR="009912F8" w:rsidRPr="00E07C9A">
              <w:rPr>
                <w:rFonts w:ascii="Times New Roman" w:hAnsi="Times New Roman"/>
                <w:sz w:val="24"/>
              </w:rPr>
              <w:t xml:space="preserve"> a </w:t>
            </w:r>
            <w:r w:rsidRPr="00E07C9A">
              <w:rPr>
                <w:rFonts w:ascii="Times New Roman" w:hAnsi="Times New Roman"/>
                <w:sz w:val="24"/>
              </w:rPr>
              <w:t>6 smernice 2013/34/EÚ; časť 2.8 prílohy</w:t>
            </w:r>
            <w:r w:rsidR="009912F8" w:rsidRPr="00E07C9A">
              <w:rPr>
                <w:rFonts w:ascii="Times New Roman" w:hAnsi="Times New Roman"/>
                <w:sz w:val="24"/>
              </w:rPr>
              <w:t xml:space="preserve"> V k </w:t>
            </w:r>
            <w:r w:rsidRPr="00E07C9A">
              <w:rPr>
                <w:rFonts w:ascii="Times New Roman" w:hAnsi="Times New Roman"/>
                <w:sz w:val="24"/>
              </w:rPr>
              <w:t>tomuto vykonávaciemu nariadeniu</w:t>
            </w:r>
          </w:p>
          <w:p w14:paraId="297E02C3" w14:textId="3ACE462A" w:rsidR="00B93FA1" w:rsidRPr="00E07C9A" w:rsidRDefault="00B93FA1" w:rsidP="00EC7AB4">
            <w:pPr>
              <w:spacing w:beforeLines="60" w:before="144" w:afterLines="60" w:after="144"/>
              <w:rPr>
                <w:rFonts w:ascii="Times New Roman" w:hAnsi="Times New Roman"/>
                <w:b/>
                <w:sz w:val="24"/>
                <w:u w:val="single"/>
              </w:rPr>
            </w:pPr>
            <w:r w:rsidRPr="00E07C9A">
              <w:rPr>
                <w:rFonts w:ascii="Times New Roman" w:hAnsi="Times New Roman"/>
                <w:sz w:val="24"/>
              </w:rPr>
              <w:t>Informácie vykazované</w:t>
            </w:r>
            <w:r w:rsidR="009912F8" w:rsidRPr="00E07C9A">
              <w:rPr>
                <w:rFonts w:ascii="Times New Roman" w:hAnsi="Times New Roman"/>
                <w:sz w:val="24"/>
              </w:rPr>
              <w:t xml:space="preserve"> v </w:t>
            </w:r>
            <w:r w:rsidRPr="00E07C9A">
              <w:rPr>
                <w:rFonts w:ascii="Times New Roman" w:hAnsi="Times New Roman"/>
                <w:sz w:val="24"/>
              </w:rPr>
              <w:t>tomto riadku zodpovedajú riadku 0160 vzoru F 01.02 prílohy III</w:t>
            </w:r>
            <w:r w:rsidR="009912F8" w:rsidRPr="00E07C9A">
              <w:rPr>
                <w:rFonts w:ascii="Times New Roman" w:hAnsi="Times New Roman"/>
                <w:sz w:val="24"/>
              </w:rPr>
              <w:t xml:space="preserve"> a </w:t>
            </w:r>
            <w:r w:rsidRPr="00E07C9A">
              <w:rPr>
                <w:rFonts w:ascii="Times New Roman" w:hAnsi="Times New Roman"/>
                <w:sz w:val="24"/>
              </w:rPr>
              <w:t>prílohy IV</w:t>
            </w:r>
            <w:r w:rsidR="009912F8" w:rsidRPr="00E07C9A">
              <w:rPr>
                <w:rFonts w:ascii="Times New Roman" w:hAnsi="Times New Roman"/>
                <w:sz w:val="24"/>
              </w:rPr>
              <w:t xml:space="preserve"> k </w:t>
            </w:r>
            <w:r w:rsidRPr="00E07C9A">
              <w:rPr>
                <w:rFonts w:ascii="Times New Roman" w:hAnsi="Times New Roman"/>
                <w:sz w:val="24"/>
              </w:rPr>
              <w:t>tomuto vykonávaciemu nariadeniu.</w:t>
            </w:r>
          </w:p>
        </w:tc>
      </w:tr>
      <w:tr w:rsidR="00B93FA1" w:rsidRPr="00E07C9A" w14:paraId="05238F06" w14:textId="77777777" w:rsidTr="00672D2A">
        <w:tc>
          <w:tcPr>
            <w:tcW w:w="1101" w:type="dxa"/>
          </w:tcPr>
          <w:p w14:paraId="4F20BC6E" w14:textId="77777777" w:rsidR="00B93FA1" w:rsidRPr="00E07C9A" w:rsidRDefault="001924F4" w:rsidP="00AF3D7A">
            <w:pPr>
              <w:spacing w:beforeLines="60" w:before="144" w:afterLines="60" w:after="144"/>
              <w:rPr>
                <w:rFonts w:ascii="Times New Roman" w:hAnsi="Times New Roman"/>
                <w:sz w:val="24"/>
              </w:rPr>
            </w:pPr>
            <w:r w:rsidRPr="00E07C9A">
              <w:rPr>
                <w:rFonts w:ascii="Times New Roman" w:hAnsi="Times New Roman"/>
                <w:sz w:val="24"/>
              </w:rPr>
              <w:t>0210</w:t>
            </w:r>
          </w:p>
        </w:tc>
        <w:tc>
          <w:tcPr>
            <w:tcW w:w="8190" w:type="dxa"/>
          </w:tcPr>
          <w:p w14:paraId="35E99CC8" w14:textId="77777777" w:rsidR="00B93FA1" w:rsidRPr="00E07C9A" w:rsidRDefault="00B93FA1" w:rsidP="00AF3D7A">
            <w:pPr>
              <w:spacing w:beforeLines="60" w:before="144" w:afterLines="60" w:after="144"/>
              <w:rPr>
                <w:rFonts w:ascii="Times New Roman" w:hAnsi="Times New Roman"/>
                <w:b/>
                <w:sz w:val="24"/>
                <w:u w:val="single"/>
              </w:rPr>
            </w:pPr>
            <w:r w:rsidRPr="00E07C9A">
              <w:rPr>
                <w:rFonts w:ascii="Times New Roman" w:hAnsi="Times New Roman"/>
                <w:b/>
                <w:sz w:val="24"/>
                <w:u w:val="single"/>
              </w:rPr>
              <w:t>1.2.6. HAIRCUTY PRE OBCHODNÉ ZÁVÄZKY OCEŇOVANÉ REÁLNOU HODNOTOU</w:t>
            </w:r>
          </w:p>
          <w:p w14:paraId="5E306FCF" w14:textId="0E1F3469" w:rsidR="00B93FA1" w:rsidRPr="00E07C9A" w:rsidRDefault="002F78EA" w:rsidP="00AF3D7A">
            <w:pPr>
              <w:spacing w:beforeLines="60" w:before="144" w:afterLines="60" w:after="144"/>
              <w:rPr>
                <w:rFonts w:ascii="Times New Roman" w:hAnsi="Times New Roman"/>
                <w:sz w:val="24"/>
              </w:rPr>
            </w:pPr>
            <w:r w:rsidRPr="00E07C9A">
              <w:rPr>
                <w:rFonts w:ascii="Times New Roman" w:hAnsi="Times New Roman"/>
                <w:sz w:val="24"/>
              </w:rPr>
              <w:t>Časť 1.29 prílohy</w:t>
            </w:r>
            <w:r w:rsidR="009912F8" w:rsidRPr="00E07C9A">
              <w:rPr>
                <w:rFonts w:ascii="Times New Roman" w:hAnsi="Times New Roman"/>
                <w:sz w:val="24"/>
              </w:rPr>
              <w:t xml:space="preserve"> V k </w:t>
            </w:r>
            <w:r w:rsidRPr="00E07C9A">
              <w:rPr>
                <w:rFonts w:ascii="Times New Roman" w:hAnsi="Times New Roman"/>
                <w:sz w:val="24"/>
              </w:rPr>
              <w:t>tomuto vykonávaciemu nariadeniu</w:t>
            </w:r>
          </w:p>
          <w:p w14:paraId="033E3929" w14:textId="78D54FDD" w:rsidR="00B93FA1" w:rsidRPr="00E07C9A" w:rsidRDefault="00B93FA1" w:rsidP="00EC7AB4">
            <w:pPr>
              <w:spacing w:beforeLines="60" w:before="144" w:afterLines="60" w:after="144"/>
              <w:rPr>
                <w:rFonts w:ascii="Times New Roman" w:hAnsi="Times New Roman"/>
                <w:b/>
                <w:sz w:val="24"/>
                <w:u w:val="single"/>
              </w:rPr>
            </w:pPr>
            <w:r w:rsidRPr="00E07C9A">
              <w:rPr>
                <w:rFonts w:ascii="Times New Roman" w:hAnsi="Times New Roman"/>
                <w:sz w:val="24"/>
              </w:rPr>
              <w:t>Informácie vykazované</w:t>
            </w:r>
            <w:r w:rsidR="009912F8" w:rsidRPr="00E07C9A">
              <w:rPr>
                <w:rFonts w:ascii="Times New Roman" w:hAnsi="Times New Roman"/>
                <w:sz w:val="24"/>
              </w:rPr>
              <w:t xml:space="preserve"> v </w:t>
            </w:r>
            <w:r w:rsidRPr="00E07C9A">
              <w:rPr>
                <w:rFonts w:ascii="Times New Roman" w:hAnsi="Times New Roman"/>
                <w:sz w:val="24"/>
              </w:rPr>
              <w:t>tomto riadku zodpovedajú riadku 0295 vzoru F 01.02 prílohy III</w:t>
            </w:r>
            <w:r w:rsidR="009912F8" w:rsidRPr="00E07C9A">
              <w:rPr>
                <w:rFonts w:ascii="Times New Roman" w:hAnsi="Times New Roman"/>
                <w:sz w:val="24"/>
              </w:rPr>
              <w:t xml:space="preserve"> a </w:t>
            </w:r>
            <w:r w:rsidRPr="00E07C9A">
              <w:rPr>
                <w:rFonts w:ascii="Times New Roman" w:hAnsi="Times New Roman"/>
                <w:sz w:val="24"/>
              </w:rPr>
              <w:t>prílohy IV</w:t>
            </w:r>
            <w:r w:rsidR="009912F8" w:rsidRPr="00E07C9A">
              <w:rPr>
                <w:rFonts w:ascii="Times New Roman" w:hAnsi="Times New Roman"/>
                <w:sz w:val="24"/>
              </w:rPr>
              <w:t xml:space="preserve"> k </w:t>
            </w:r>
            <w:r w:rsidRPr="00E07C9A">
              <w:rPr>
                <w:rFonts w:ascii="Times New Roman" w:hAnsi="Times New Roman"/>
                <w:sz w:val="24"/>
              </w:rPr>
              <w:t>tomuto vykonávaciemu nariadeniu.</w:t>
            </w:r>
          </w:p>
        </w:tc>
      </w:tr>
      <w:tr w:rsidR="00881778" w:rsidRPr="00E07C9A" w14:paraId="31270148" w14:textId="77777777" w:rsidTr="00672D2A">
        <w:tc>
          <w:tcPr>
            <w:tcW w:w="1101" w:type="dxa"/>
          </w:tcPr>
          <w:p w14:paraId="08A00015" w14:textId="71DED9C2" w:rsidR="00881778" w:rsidRPr="00E07C9A" w:rsidRDefault="00881778" w:rsidP="00AF3D7A">
            <w:pPr>
              <w:spacing w:beforeLines="60" w:before="144" w:afterLines="60" w:after="144"/>
              <w:rPr>
                <w:rFonts w:ascii="Times New Roman" w:hAnsi="Times New Roman"/>
                <w:sz w:val="24"/>
              </w:rPr>
            </w:pPr>
            <w:r w:rsidRPr="00E07C9A">
              <w:rPr>
                <w:rFonts w:ascii="Times New Roman" w:hAnsi="Times New Roman"/>
                <w:sz w:val="24"/>
              </w:rPr>
              <w:t>0220</w:t>
            </w:r>
          </w:p>
        </w:tc>
        <w:tc>
          <w:tcPr>
            <w:tcW w:w="8190" w:type="dxa"/>
          </w:tcPr>
          <w:p w14:paraId="6E1E1622" w14:textId="32C8F2D5" w:rsidR="00881778" w:rsidRPr="00E07C9A" w:rsidRDefault="00881778" w:rsidP="00881778">
            <w:pPr>
              <w:spacing w:beforeLines="60" w:before="144" w:afterLines="60" w:after="144"/>
              <w:rPr>
                <w:rFonts w:ascii="Times New Roman" w:hAnsi="Times New Roman"/>
                <w:b/>
                <w:sz w:val="24"/>
                <w:u w:val="single"/>
              </w:rPr>
            </w:pPr>
            <w:r w:rsidRPr="00E07C9A">
              <w:rPr>
                <w:rFonts w:ascii="Times New Roman" w:hAnsi="Times New Roman"/>
                <w:b/>
                <w:sz w:val="24"/>
                <w:u w:val="single"/>
              </w:rPr>
              <w:t>1.2.7. OSTATNÉ ZÁVÄZKY</w:t>
            </w:r>
          </w:p>
          <w:p w14:paraId="7D2FE311" w14:textId="170AE121" w:rsidR="00881778" w:rsidRPr="00E07C9A" w:rsidRDefault="00881778" w:rsidP="00881778">
            <w:pPr>
              <w:spacing w:beforeLines="60" w:before="144" w:afterLines="60" w:after="144"/>
              <w:rPr>
                <w:rFonts w:ascii="Times New Roman" w:hAnsi="Times New Roman"/>
                <w:b/>
                <w:sz w:val="24"/>
                <w:u w:val="single"/>
              </w:rPr>
            </w:pPr>
            <w:r w:rsidRPr="00E07C9A">
              <w:rPr>
                <w:rFonts w:ascii="Times New Roman" w:hAnsi="Times New Roman"/>
                <w:sz w:val="24"/>
              </w:rPr>
              <w:t>Záväzky, ako sú uvedené</w:t>
            </w:r>
            <w:r w:rsidR="009912F8" w:rsidRPr="00E07C9A">
              <w:rPr>
                <w:rFonts w:ascii="Times New Roman" w:hAnsi="Times New Roman"/>
                <w:sz w:val="24"/>
              </w:rPr>
              <w:t xml:space="preserve"> v </w:t>
            </w:r>
            <w:r w:rsidRPr="00E07C9A">
              <w:rPr>
                <w:rFonts w:ascii="Times New Roman" w:hAnsi="Times New Roman"/>
                <w:sz w:val="24"/>
              </w:rPr>
              <w:t>časti 2 ods. 13 prílohy</w:t>
            </w:r>
            <w:r w:rsidR="009912F8" w:rsidRPr="00E07C9A">
              <w:rPr>
                <w:rFonts w:ascii="Times New Roman" w:hAnsi="Times New Roman"/>
                <w:sz w:val="24"/>
              </w:rPr>
              <w:t xml:space="preserve"> V k </w:t>
            </w:r>
            <w:r w:rsidRPr="00E07C9A">
              <w:rPr>
                <w:rFonts w:ascii="Times New Roman" w:hAnsi="Times New Roman"/>
                <w:sz w:val="24"/>
              </w:rPr>
              <w:t>tomuto vykonávaciemu nariadeniu, pokiaľ sú ocenené reálnou hodnotou.</w:t>
            </w:r>
          </w:p>
        </w:tc>
      </w:tr>
      <w:tr w:rsidR="00827BBD" w:rsidRPr="00E07C9A" w14:paraId="490284A1" w14:textId="77777777" w:rsidTr="00672D2A">
        <w:tc>
          <w:tcPr>
            <w:tcW w:w="1101" w:type="dxa"/>
          </w:tcPr>
          <w:p w14:paraId="1439F1B2" w14:textId="7528B55E" w:rsidR="00827BBD" w:rsidRPr="00E07C9A" w:rsidRDefault="00827BBD" w:rsidP="00827BBD">
            <w:pPr>
              <w:spacing w:beforeLines="60" w:before="144" w:afterLines="60" w:after="144"/>
              <w:rPr>
                <w:rFonts w:ascii="Times New Roman" w:hAnsi="Times New Roman"/>
                <w:sz w:val="24"/>
              </w:rPr>
            </w:pPr>
            <w:r w:rsidRPr="00E07C9A">
              <w:rPr>
                <w:rFonts w:ascii="Times New Roman" w:hAnsi="Times New Roman"/>
                <w:sz w:val="24"/>
              </w:rPr>
              <w:t>0230</w:t>
            </w:r>
          </w:p>
        </w:tc>
        <w:tc>
          <w:tcPr>
            <w:tcW w:w="8190" w:type="dxa"/>
          </w:tcPr>
          <w:p w14:paraId="1EB09C03" w14:textId="0EAFF544" w:rsidR="00827BBD" w:rsidRPr="00E07C9A" w:rsidRDefault="00827BBD" w:rsidP="00827BBD">
            <w:pPr>
              <w:spacing w:beforeLines="60" w:before="144" w:afterLines="60" w:after="144"/>
              <w:rPr>
                <w:rFonts w:ascii="Times New Roman" w:hAnsi="Times New Roman"/>
                <w:b/>
                <w:sz w:val="24"/>
                <w:u w:val="single"/>
              </w:rPr>
            </w:pPr>
            <w:r w:rsidRPr="00E07C9A">
              <w:rPr>
                <w:rFonts w:ascii="Times New Roman" w:hAnsi="Times New Roman"/>
                <w:b/>
                <w:sz w:val="24"/>
                <w:u w:val="single"/>
              </w:rPr>
              <w:t>1.2.8. ZÁVÄZKY ZAHRNUTÉ</w:t>
            </w:r>
            <w:r w:rsidR="009912F8" w:rsidRPr="00E07C9A">
              <w:rPr>
                <w:rFonts w:ascii="Times New Roman" w:hAnsi="Times New Roman"/>
                <w:b/>
                <w:sz w:val="24"/>
                <w:u w:val="single"/>
              </w:rPr>
              <w:t xml:space="preserve"> V </w:t>
            </w:r>
            <w:r w:rsidRPr="00E07C9A">
              <w:rPr>
                <w:rFonts w:ascii="Times New Roman" w:hAnsi="Times New Roman"/>
                <w:b/>
                <w:sz w:val="24"/>
                <w:u w:val="single"/>
              </w:rPr>
              <w:t>SKUPINÁCH NA VYRADENIE KLASIFIKOVANÉ AKO DRŽANÉ NA PREDAJ</w:t>
            </w:r>
          </w:p>
          <w:p w14:paraId="0DF9F396" w14:textId="151C522D" w:rsidR="00827BBD" w:rsidRPr="00E07C9A" w:rsidRDefault="000B22F6" w:rsidP="00827BBD">
            <w:pPr>
              <w:spacing w:beforeLines="60" w:before="144" w:afterLines="60" w:after="144"/>
              <w:rPr>
                <w:rFonts w:ascii="Times New Roman" w:hAnsi="Times New Roman"/>
                <w:b/>
                <w:sz w:val="24"/>
                <w:u w:val="single"/>
              </w:rPr>
            </w:pPr>
            <w:r w:rsidRPr="00E07C9A">
              <w:rPr>
                <w:rFonts w:ascii="Times New Roman" w:hAnsi="Times New Roman"/>
                <w:sz w:val="24"/>
              </w:rPr>
              <w:t>Záväzky, ako sú uvedené</w:t>
            </w:r>
            <w:r w:rsidR="009912F8" w:rsidRPr="00E07C9A">
              <w:rPr>
                <w:rFonts w:ascii="Times New Roman" w:hAnsi="Times New Roman"/>
                <w:sz w:val="24"/>
              </w:rPr>
              <w:t xml:space="preserve"> v </w:t>
            </w:r>
            <w:r w:rsidRPr="00E07C9A">
              <w:rPr>
                <w:rFonts w:ascii="Times New Roman" w:hAnsi="Times New Roman"/>
                <w:sz w:val="24"/>
              </w:rPr>
              <w:t>časti 2 ods. 14 prílohy</w:t>
            </w:r>
            <w:r w:rsidR="009912F8" w:rsidRPr="00E07C9A">
              <w:rPr>
                <w:rFonts w:ascii="Times New Roman" w:hAnsi="Times New Roman"/>
                <w:sz w:val="24"/>
              </w:rPr>
              <w:t xml:space="preserve"> V k </w:t>
            </w:r>
            <w:r w:rsidRPr="00E07C9A">
              <w:rPr>
                <w:rFonts w:ascii="Times New Roman" w:hAnsi="Times New Roman"/>
                <w:sz w:val="24"/>
              </w:rPr>
              <w:t>tomuto vykonávaciemu nariadeniu, pokiaľ sú ocenené reálnou hodnotou.</w:t>
            </w:r>
          </w:p>
        </w:tc>
      </w:tr>
    </w:tbl>
    <w:p w14:paraId="7DC5BB3D" w14:textId="77777777" w:rsidR="00827BBD" w:rsidRPr="00E07C9A" w:rsidRDefault="00827BBD" w:rsidP="00C61FF5">
      <w:pPr>
        <w:rPr>
          <w:rStyle w:val="InstructionsTabelleText"/>
          <w:rFonts w:ascii="Times New Roman" w:hAnsi="Times New Roman"/>
          <w:sz w:val="24"/>
        </w:rPr>
      </w:pPr>
    </w:p>
    <w:p w14:paraId="6D0BE00D" w14:textId="77777777" w:rsidR="00B93FA1" w:rsidRPr="00E07C9A" w:rsidRDefault="00B93FA1" w:rsidP="00B93FA1">
      <w:pPr>
        <w:pStyle w:val="Instructionsberschrift2"/>
        <w:numPr>
          <w:ilvl w:val="0"/>
          <w:numId w:val="0"/>
        </w:numPr>
        <w:ind w:left="357" w:hanging="357"/>
        <w:rPr>
          <w:rFonts w:ascii="Times New Roman" w:hAnsi="Times New Roman" w:cs="Times New Roman"/>
          <w:sz w:val="24"/>
          <w:u w:val="none"/>
        </w:rPr>
      </w:pPr>
      <w:bookmarkStart w:id="760" w:name="_Toc115857903"/>
      <w:r w:rsidRPr="00E07C9A">
        <w:rPr>
          <w:rFonts w:ascii="Times New Roman" w:hAnsi="Times New Roman" w:cs="Times New Roman"/>
          <w:sz w:val="24"/>
          <w:u w:val="none"/>
        </w:rPr>
        <w:t>6.2.</w:t>
      </w:r>
      <w:r w:rsidRPr="00E07C9A">
        <w:rPr>
          <w:rFonts w:ascii="Times New Roman" w:hAnsi="Times New Roman" w:cs="Times New Roman"/>
        </w:rPr>
        <w:tab/>
      </w:r>
      <w:r w:rsidRPr="00E07C9A">
        <w:rPr>
          <w:rFonts w:ascii="Times New Roman" w:hAnsi="Times New Roman" w:cs="Times New Roman"/>
          <w:sz w:val="24"/>
        </w:rPr>
        <w:t>C 32.02 – Obozretné oceňovanie: základný postup (PruVal 2)</w:t>
      </w:r>
      <w:bookmarkEnd w:id="760"/>
    </w:p>
    <w:p w14:paraId="38E5BD82" w14:textId="77777777" w:rsidR="009912F8" w:rsidRPr="00E07C9A" w:rsidRDefault="00B93FA1" w:rsidP="00B93FA1">
      <w:pPr>
        <w:pStyle w:val="Instructionsberschrift2"/>
        <w:numPr>
          <w:ilvl w:val="0"/>
          <w:numId w:val="0"/>
        </w:numPr>
        <w:ind w:left="357" w:hanging="357"/>
        <w:rPr>
          <w:rFonts w:ascii="Times New Roman" w:hAnsi="Times New Roman" w:cs="Times New Roman"/>
          <w:sz w:val="24"/>
          <w:u w:val="none"/>
        </w:rPr>
      </w:pPr>
      <w:bookmarkStart w:id="761" w:name="_Toc115857904"/>
      <w:r w:rsidRPr="00E07C9A">
        <w:rPr>
          <w:rFonts w:ascii="Times New Roman" w:hAnsi="Times New Roman" w:cs="Times New Roman"/>
          <w:sz w:val="24"/>
          <w:u w:val="none"/>
        </w:rPr>
        <w:t>6.2.1.</w:t>
      </w:r>
      <w:r w:rsidRPr="00E07C9A">
        <w:rPr>
          <w:rFonts w:ascii="Times New Roman" w:hAnsi="Times New Roman" w:cs="Times New Roman"/>
        </w:rPr>
        <w:tab/>
      </w:r>
      <w:r w:rsidRPr="00E07C9A">
        <w:rPr>
          <w:rFonts w:ascii="Times New Roman" w:hAnsi="Times New Roman" w:cs="Times New Roman"/>
          <w:sz w:val="24"/>
        </w:rPr>
        <w:t>Všeobecné poznámky</w:t>
      </w:r>
      <w:bookmarkEnd w:id="761"/>
    </w:p>
    <w:p w14:paraId="26158FB2" w14:textId="3FC5FE0C" w:rsidR="00B93FA1" w:rsidRPr="00E07C9A" w:rsidRDefault="002A18DE" w:rsidP="00487A02">
      <w:pPr>
        <w:pStyle w:val="InstructionsText2"/>
        <w:numPr>
          <w:ilvl w:val="0"/>
          <w:numId w:val="0"/>
        </w:numPr>
        <w:ind w:left="1353" w:hanging="360"/>
      </w:pPr>
      <w:fldSimple w:instr=" seq paragraphs ">
        <w:r w:rsidR="00132AEE">
          <w:rPr>
            <w:noProof/>
          </w:rPr>
          <w:t>178</w:t>
        </w:r>
      </w:fldSimple>
      <w:r w:rsidR="00CE7221" w:rsidRPr="00E07C9A">
        <w:t>. Účelom tohto vzoru je poskytnúť informácie</w:t>
      </w:r>
      <w:r w:rsidR="009912F8" w:rsidRPr="00E07C9A">
        <w:t xml:space="preserve"> o </w:t>
      </w:r>
      <w:r w:rsidR="00CE7221" w:rsidRPr="00E07C9A">
        <w:t>zložení celkovej dodatočnej úpravy ocenenia, ktorá sa odpočítava od vlastných zdrojov podľa článku 34</w:t>
      </w:r>
      <w:r w:rsidR="009912F8" w:rsidRPr="00E07C9A">
        <w:t xml:space="preserve"> a </w:t>
      </w:r>
      <w:r w:rsidR="00CE7221" w:rsidRPr="00E07C9A">
        <w:t xml:space="preserve">článku 105 nariadenia (EÚ) </w:t>
      </w:r>
      <w:r w:rsidR="009912F8" w:rsidRPr="00E07C9A">
        <w:t>č. 575/2013</w:t>
      </w:r>
      <w:r w:rsidR="00CE7221" w:rsidRPr="00E07C9A">
        <w:t>, súčasne</w:t>
      </w:r>
      <w:r w:rsidR="009912F8" w:rsidRPr="00E07C9A">
        <w:t xml:space="preserve"> s </w:t>
      </w:r>
      <w:r w:rsidR="00CE7221" w:rsidRPr="00E07C9A">
        <w:t>príslušnými informáciami</w:t>
      </w:r>
      <w:r w:rsidR="009912F8" w:rsidRPr="00E07C9A">
        <w:t xml:space="preserve"> o </w:t>
      </w:r>
      <w:r w:rsidR="00CE7221" w:rsidRPr="00E07C9A">
        <w:t>účtovnom oceňovaní pozícii,</w:t>
      </w:r>
      <w:r w:rsidR="009912F8" w:rsidRPr="00E07C9A">
        <w:t xml:space="preserve"> z </w:t>
      </w:r>
      <w:r w:rsidR="00CE7221" w:rsidRPr="00E07C9A">
        <w:t>ktorých vyplýva určenie dodatočných úprav ocenenia.</w:t>
      </w:r>
    </w:p>
    <w:p w14:paraId="6511D26C" w14:textId="5DA90AD3" w:rsidR="009912F8" w:rsidRPr="00E07C9A" w:rsidRDefault="002A18DE" w:rsidP="00487A02">
      <w:pPr>
        <w:pStyle w:val="InstructionsText2"/>
        <w:numPr>
          <w:ilvl w:val="0"/>
          <w:numId w:val="0"/>
        </w:numPr>
        <w:ind w:left="1353" w:hanging="360"/>
      </w:pPr>
      <w:fldSimple w:instr=" seq paragraphs ">
        <w:r w:rsidR="00132AEE">
          <w:rPr>
            <w:noProof/>
          </w:rPr>
          <w:t>179</w:t>
        </w:r>
      </w:fldSimple>
      <w:r w:rsidR="00CE7221" w:rsidRPr="00E07C9A">
        <w:t>. Tento vzor vypĺňajú všetky inštitúcie, ktoré</w:t>
      </w:r>
      <w:r w:rsidR="009912F8" w:rsidRPr="00E07C9A">
        <w:t>:</w:t>
      </w:r>
    </w:p>
    <w:p w14:paraId="586760F7" w14:textId="5F414439" w:rsidR="00B93FA1" w:rsidRPr="00E07C9A" w:rsidRDefault="00B93FA1" w:rsidP="00487A02">
      <w:pPr>
        <w:pStyle w:val="InstructionsText2"/>
        <w:numPr>
          <w:ilvl w:val="0"/>
          <w:numId w:val="0"/>
        </w:numPr>
        <w:ind w:left="1353" w:hanging="360"/>
      </w:pPr>
      <w:r w:rsidRPr="00E07C9A">
        <w:t>a) majú povinnosť používať základný postup, pretože prekračujú prahovú hodnotu uvedenú</w:t>
      </w:r>
      <w:r w:rsidR="009912F8" w:rsidRPr="00E07C9A">
        <w:t xml:space="preserve"> v </w:t>
      </w:r>
      <w:r w:rsidRPr="00E07C9A">
        <w:t>článku 4 ods. 1 delegovaného nariadenia (EÚ) 2016/101,</w:t>
      </w:r>
      <w:r w:rsidR="009912F8" w:rsidRPr="00E07C9A">
        <w:t xml:space="preserve"> a </w:t>
      </w:r>
      <w:r w:rsidRPr="00E07C9A">
        <w:t>to na individuálnom základe alebo na konsolidovanom základe, ako je stanovené</w:t>
      </w:r>
      <w:r w:rsidR="009912F8" w:rsidRPr="00E07C9A">
        <w:t xml:space="preserve"> v </w:t>
      </w:r>
      <w:r w:rsidRPr="00E07C9A">
        <w:t>článku 4 ods. 3 uvedeného nariadenia; alebo</w:t>
      </w:r>
    </w:p>
    <w:p w14:paraId="1BD9BCC4" w14:textId="77777777" w:rsidR="009912F8" w:rsidRPr="00E07C9A" w:rsidRDefault="00973707" w:rsidP="00487A02">
      <w:pPr>
        <w:pStyle w:val="InstructionsText2"/>
        <w:numPr>
          <w:ilvl w:val="0"/>
          <w:numId w:val="0"/>
        </w:numPr>
        <w:ind w:left="1353" w:hanging="360"/>
      </w:pPr>
      <w:r w:rsidRPr="00E07C9A">
        <w:t>b) sa rozhodli uplatňovať základný postup, hoci neprekročili prahovú hodnotu</w:t>
      </w:r>
      <w:r w:rsidR="009912F8" w:rsidRPr="00E07C9A">
        <w:t>.</w:t>
      </w:r>
    </w:p>
    <w:p w14:paraId="40F83A9B" w14:textId="652B8C27" w:rsidR="00973707" w:rsidRPr="00E07C9A" w:rsidRDefault="002A18DE" w:rsidP="00487A02">
      <w:pPr>
        <w:pStyle w:val="InstructionsText2"/>
        <w:numPr>
          <w:ilvl w:val="0"/>
          <w:numId w:val="0"/>
        </w:numPr>
        <w:ind w:left="1353" w:hanging="360"/>
      </w:pPr>
      <w:fldSimple w:instr=" seq paragraphs ">
        <w:r w:rsidR="00132AEE">
          <w:rPr>
            <w:noProof/>
          </w:rPr>
          <w:t>180</w:t>
        </w:r>
      </w:fldSimple>
      <w:r w:rsidR="00CE7221" w:rsidRPr="00E07C9A">
        <w:t>. Na účely tohto vzoru pojem „neistota zlepšenia“ znamená toto: Ako je stanovené</w:t>
      </w:r>
      <w:r w:rsidR="009912F8" w:rsidRPr="00E07C9A">
        <w:t xml:space="preserve"> v </w:t>
      </w:r>
      <w:r w:rsidR="00CE7221" w:rsidRPr="00E07C9A">
        <w:t>článku 8 ods. 2 delegovaného nariadenia (EÚ) 2016/101, dodatočné úpravy ocenenia sa vypočítavajú ako rozdiel medzi reálnou hodnotou</w:t>
      </w:r>
      <w:r w:rsidR="009912F8" w:rsidRPr="00E07C9A">
        <w:t xml:space="preserve"> a </w:t>
      </w:r>
      <w:r w:rsidR="00CE7221" w:rsidRPr="00E07C9A">
        <w:t>obozretným ocenením, ktoré je určené na základe 90</w:t>
      </w:r>
      <w:r w:rsidR="009912F8" w:rsidRPr="00E07C9A">
        <w:t> %</w:t>
      </w:r>
      <w:r w:rsidR="00CE7221" w:rsidRPr="00E07C9A">
        <w:t>-nej istoty, že inštitúcie dokážu uzavrieť expozíciu</w:t>
      </w:r>
      <w:r w:rsidR="009912F8" w:rsidRPr="00E07C9A">
        <w:t xml:space="preserve"> v </w:t>
      </w:r>
      <w:r w:rsidR="00CE7221" w:rsidRPr="00E07C9A">
        <w:t>danom alebo lepšom bode</w:t>
      </w:r>
      <w:r w:rsidR="009912F8" w:rsidRPr="00E07C9A">
        <w:t xml:space="preserve"> v </w:t>
      </w:r>
      <w:r w:rsidR="00CE7221" w:rsidRPr="00E07C9A">
        <w:t>rámci pomyselného rozmedzia vierohodných hodnôt. Hodnota zlepšenia alebo „neistota zlepšenia“ je opačný bod</w:t>
      </w:r>
      <w:r w:rsidR="009912F8" w:rsidRPr="00E07C9A">
        <w:t xml:space="preserve"> v </w:t>
      </w:r>
      <w:r w:rsidR="00CE7221" w:rsidRPr="00E07C9A">
        <w:t>distribúcii vierohodných hodnôt, pri ktorom majú inštitúcie iba 10</w:t>
      </w:r>
      <w:r w:rsidR="009912F8" w:rsidRPr="00E07C9A">
        <w:t> %</w:t>
      </w:r>
      <w:r w:rsidR="00CE7221" w:rsidRPr="00E07C9A">
        <w:t>-nú istotu, že dokážu uzavrieť pozíciu</w:t>
      </w:r>
      <w:r w:rsidR="009912F8" w:rsidRPr="00E07C9A">
        <w:t xml:space="preserve"> v </w:t>
      </w:r>
      <w:r w:rsidR="00CE7221" w:rsidRPr="00E07C9A">
        <w:t>danom alebo lepšom bode. Neistota zlepšenia sa vypočíta</w:t>
      </w:r>
      <w:r w:rsidR="009912F8" w:rsidRPr="00E07C9A">
        <w:t xml:space="preserve"> a </w:t>
      </w:r>
      <w:r w:rsidR="00CE7221" w:rsidRPr="00E07C9A">
        <w:t>agreguje na rovnakom základe ako celková dodatočná úprava ocenenia, pričom sa 90</w:t>
      </w:r>
      <w:r w:rsidR="009912F8" w:rsidRPr="00E07C9A">
        <w:t> %</w:t>
      </w:r>
      <w:r w:rsidR="00CE7221" w:rsidRPr="00E07C9A">
        <w:t>-ná istota použitá pri určovaní celkovej dodatočnej úpravy ocenenia nahradí 10</w:t>
      </w:r>
      <w:r w:rsidR="009912F8" w:rsidRPr="00E07C9A">
        <w:t> %</w:t>
      </w:r>
      <w:r w:rsidR="00CE7221" w:rsidRPr="00E07C9A">
        <w:t>-nou istotou.</w:t>
      </w:r>
    </w:p>
    <w:p w14:paraId="0DED1285" w14:textId="61990E4E" w:rsidR="00B93FA1" w:rsidRPr="00E07C9A" w:rsidRDefault="00B93FA1" w:rsidP="00973707">
      <w:pPr>
        <w:pStyle w:val="Instructionsberschrift2"/>
        <w:numPr>
          <w:ilvl w:val="0"/>
          <w:numId w:val="0"/>
        </w:numPr>
        <w:ind w:left="357" w:hanging="357"/>
        <w:rPr>
          <w:rFonts w:ascii="Times New Roman" w:hAnsi="Times New Roman" w:cs="Times New Roman"/>
          <w:sz w:val="24"/>
          <w:u w:val="none"/>
        </w:rPr>
      </w:pPr>
      <w:bookmarkStart w:id="762" w:name="_Toc115857905"/>
      <w:r w:rsidRPr="00E07C9A">
        <w:rPr>
          <w:rFonts w:ascii="Times New Roman" w:hAnsi="Times New Roman" w:cs="Times New Roman"/>
          <w:sz w:val="24"/>
          <w:u w:val="none"/>
        </w:rPr>
        <w:t>6.2.2.</w:t>
      </w:r>
      <w:r w:rsidRPr="00E07C9A">
        <w:rPr>
          <w:rFonts w:ascii="Times New Roman" w:hAnsi="Times New Roman" w:cs="Times New Roman"/>
        </w:rPr>
        <w:tab/>
      </w:r>
      <w:r w:rsidRPr="00E07C9A">
        <w:rPr>
          <w:rFonts w:ascii="Times New Roman" w:hAnsi="Times New Roman" w:cs="Times New Roman"/>
          <w:sz w:val="24"/>
          <w:u w:val="none"/>
        </w:rPr>
        <w:t>Pokyny týkajúce sa konkrétnych pozícií</w:t>
      </w:r>
      <w:bookmarkEnd w:id="762"/>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6"/>
        <w:gridCol w:w="7875"/>
      </w:tblGrid>
      <w:tr w:rsidR="00973707" w:rsidRPr="00E07C9A" w14:paraId="327B2F5B" w14:textId="77777777" w:rsidTr="00672D2A">
        <w:tc>
          <w:tcPr>
            <w:tcW w:w="9291" w:type="dxa"/>
            <w:gridSpan w:val="2"/>
            <w:shd w:val="clear" w:color="auto" w:fill="CCCCCC"/>
          </w:tcPr>
          <w:p w14:paraId="5AEC335C" w14:textId="77777777" w:rsidR="00973707" w:rsidRPr="00E07C9A" w:rsidRDefault="00973707" w:rsidP="00AF3D7A">
            <w:pPr>
              <w:spacing w:beforeLines="60" w:before="144" w:afterLines="60" w:after="144"/>
              <w:rPr>
                <w:rFonts w:ascii="Times New Roman" w:hAnsi="Times New Roman"/>
                <w:b/>
                <w:sz w:val="24"/>
              </w:rPr>
            </w:pPr>
            <w:r w:rsidRPr="00E07C9A">
              <w:rPr>
                <w:rFonts w:ascii="Times New Roman" w:hAnsi="Times New Roman"/>
                <w:b/>
                <w:sz w:val="24"/>
              </w:rPr>
              <w:t>Stĺpce</w:t>
            </w:r>
          </w:p>
        </w:tc>
      </w:tr>
      <w:tr w:rsidR="00973707" w:rsidRPr="00E07C9A" w14:paraId="3682A34B" w14:textId="77777777" w:rsidTr="00672D2A">
        <w:tc>
          <w:tcPr>
            <w:tcW w:w="1101" w:type="dxa"/>
          </w:tcPr>
          <w:p w14:paraId="3AD49538" w14:textId="77777777" w:rsidR="00973707" w:rsidRPr="00E07C9A" w:rsidRDefault="009A7A38" w:rsidP="00AF3D7A">
            <w:pPr>
              <w:spacing w:beforeLines="60" w:before="144" w:afterLines="60" w:after="144"/>
              <w:rPr>
                <w:rFonts w:ascii="Times New Roman" w:hAnsi="Times New Roman"/>
                <w:sz w:val="24"/>
              </w:rPr>
            </w:pPr>
            <w:r w:rsidRPr="00E07C9A">
              <w:rPr>
                <w:rFonts w:ascii="Times New Roman" w:hAnsi="Times New Roman"/>
                <w:sz w:val="24"/>
              </w:rPr>
              <w:t>0010 – 0100</w:t>
            </w:r>
          </w:p>
        </w:tc>
        <w:tc>
          <w:tcPr>
            <w:tcW w:w="8190" w:type="dxa"/>
          </w:tcPr>
          <w:p w14:paraId="086D530C" w14:textId="77777777" w:rsidR="00973707" w:rsidRPr="00E07C9A" w:rsidRDefault="00973707" w:rsidP="00AF3D7A">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DODATOČNÁ ÚPRAVA OCENENIA NA ÚROVNI KATEGÓRIE</w:t>
            </w:r>
          </w:p>
          <w:p w14:paraId="6517B4B2" w14:textId="40D636E4" w:rsidR="00973707" w:rsidRPr="00E07C9A" w:rsidRDefault="00973707" w:rsidP="00AF3D7A">
            <w:pPr>
              <w:spacing w:beforeLines="60" w:before="144" w:afterLines="60" w:after="144"/>
              <w:rPr>
                <w:rFonts w:ascii="Times New Roman" w:hAnsi="Times New Roman"/>
                <w:sz w:val="24"/>
              </w:rPr>
            </w:pPr>
            <w:r w:rsidRPr="00E07C9A">
              <w:rPr>
                <w:rFonts w:ascii="Times New Roman" w:hAnsi="Times New Roman"/>
                <w:sz w:val="24"/>
              </w:rPr>
              <w:t>Dodatočné úpravy ocenenia na úrovni kategórie zohľadňujúce neistotu trhovej ceny, náklady na zatvorenie pozícií, riziko modelov, koncentrované pozície, budúce administratívne náklady, predčasné ukončenie</w:t>
            </w:r>
            <w:r w:rsidR="009912F8" w:rsidRPr="00E07C9A">
              <w:rPr>
                <w:rFonts w:ascii="Times New Roman" w:hAnsi="Times New Roman"/>
                <w:sz w:val="24"/>
              </w:rPr>
              <w:t xml:space="preserve"> a </w:t>
            </w:r>
            <w:r w:rsidRPr="00E07C9A">
              <w:rPr>
                <w:rFonts w:ascii="Times New Roman" w:hAnsi="Times New Roman"/>
                <w:sz w:val="24"/>
              </w:rPr>
              <w:t>operačné riziko sa vypočítavajú tak, ako sa opisuje</w:t>
            </w:r>
            <w:r w:rsidR="009912F8" w:rsidRPr="00E07C9A">
              <w:rPr>
                <w:rFonts w:ascii="Times New Roman" w:hAnsi="Times New Roman"/>
                <w:sz w:val="24"/>
              </w:rPr>
              <w:t xml:space="preserve"> v </w:t>
            </w:r>
            <w:r w:rsidRPr="00E07C9A">
              <w:rPr>
                <w:rFonts w:ascii="Times New Roman" w:hAnsi="Times New Roman"/>
                <w:sz w:val="24"/>
              </w:rPr>
              <w:t>príslušných článkoch 9, 10, 11</w:t>
            </w:r>
            <w:r w:rsidR="009912F8" w:rsidRPr="00E07C9A">
              <w:rPr>
                <w:rFonts w:ascii="Times New Roman" w:hAnsi="Times New Roman"/>
                <w:sz w:val="24"/>
              </w:rPr>
              <w:t xml:space="preserve"> a </w:t>
            </w:r>
            <w:r w:rsidRPr="00E07C9A">
              <w:rPr>
                <w:rFonts w:ascii="Times New Roman" w:hAnsi="Times New Roman"/>
                <w:sz w:val="24"/>
              </w:rPr>
              <w:t>14 až 17 delegovaného nariadenia (EÚ) 2016/101.</w:t>
            </w:r>
          </w:p>
          <w:p w14:paraId="1A7FE384" w14:textId="69F9468F" w:rsidR="009912F8" w:rsidRPr="00E07C9A" w:rsidRDefault="00973707" w:rsidP="00AF3D7A">
            <w:pPr>
              <w:spacing w:beforeLines="60" w:before="144" w:afterLines="60" w:after="144"/>
              <w:rPr>
                <w:rFonts w:ascii="Times New Roman" w:hAnsi="Times New Roman"/>
                <w:sz w:val="24"/>
              </w:rPr>
            </w:pPr>
            <w:r w:rsidRPr="00E07C9A">
              <w:rPr>
                <w:rFonts w:ascii="Times New Roman" w:hAnsi="Times New Roman"/>
                <w:sz w:val="24"/>
              </w:rPr>
              <w:t>V prípade kategórií neistoty trhovej ceny, nákladov na zatvorenie pozícií</w:t>
            </w:r>
            <w:r w:rsidR="009912F8" w:rsidRPr="00E07C9A">
              <w:rPr>
                <w:rFonts w:ascii="Times New Roman" w:hAnsi="Times New Roman"/>
                <w:sz w:val="24"/>
              </w:rPr>
              <w:t xml:space="preserve"> a </w:t>
            </w:r>
            <w:r w:rsidRPr="00E07C9A">
              <w:rPr>
                <w:rFonts w:ascii="Times New Roman" w:hAnsi="Times New Roman"/>
                <w:sz w:val="24"/>
              </w:rPr>
              <w:t>rizika modelov, na ktoré sa vzťahujú výhody diverzifikácie, ako sú stanovené</w:t>
            </w:r>
            <w:r w:rsidR="009912F8" w:rsidRPr="00E07C9A">
              <w:rPr>
                <w:rFonts w:ascii="Times New Roman" w:hAnsi="Times New Roman"/>
                <w:sz w:val="24"/>
              </w:rPr>
              <w:t xml:space="preserve"> v </w:t>
            </w:r>
            <w:r w:rsidRPr="00E07C9A">
              <w:rPr>
                <w:rFonts w:ascii="Times New Roman" w:hAnsi="Times New Roman"/>
                <w:sz w:val="24"/>
              </w:rPr>
              <w:t>článku 9 ods. 6, článku 10 ods. 7</w:t>
            </w:r>
            <w:r w:rsidR="009912F8" w:rsidRPr="00E07C9A">
              <w:rPr>
                <w:rFonts w:ascii="Times New Roman" w:hAnsi="Times New Roman"/>
                <w:sz w:val="24"/>
              </w:rPr>
              <w:t xml:space="preserve"> a </w:t>
            </w:r>
            <w:r w:rsidRPr="00E07C9A">
              <w:rPr>
                <w:rFonts w:ascii="Times New Roman" w:hAnsi="Times New Roman"/>
                <w:sz w:val="24"/>
              </w:rPr>
              <w:t>článku 11 ods. 7 delegovaného nariadenia (EÚ) 2016/101</w:t>
            </w:r>
            <w:r w:rsidR="009912F8" w:rsidRPr="00E07C9A">
              <w:rPr>
                <w:rFonts w:ascii="Times New Roman" w:hAnsi="Times New Roman"/>
                <w:sz w:val="24"/>
              </w:rPr>
              <w:t xml:space="preserve"> v </w:t>
            </w:r>
            <w:r w:rsidRPr="00E07C9A">
              <w:rPr>
                <w:rFonts w:ascii="Times New Roman" w:hAnsi="Times New Roman"/>
                <w:sz w:val="24"/>
              </w:rPr>
              <w:t>uvedenom poradí, sa dodatočné úpravy ocenenia na úrovni kategórie, ak nie je stanovené inak, vykazujú ako priamy súčet jednotlivých dodatočných úprav ocenenia pred zohľadnením výhod diverzifikácie [keďže sa výhody diverzifikácie vypočítané pomocou metódy 1 alebo metódy 2 uvedených</w:t>
            </w:r>
            <w:r w:rsidR="009912F8" w:rsidRPr="00E07C9A">
              <w:rPr>
                <w:rFonts w:ascii="Times New Roman" w:hAnsi="Times New Roman"/>
                <w:sz w:val="24"/>
              </w:rPr>
              <w:t xml:space="preserve"> v </w:t>
            </w:r>
            <w:r w:rsidRPr="00E07C9A">
              <w:rPr>
                <w:rFonts w:ascii="Times New Roman" w:hAnsi="Times New Roman"/>
                <w:sz w:val="24"/>
              </w:rPr>
              <w:t>prílohe</w:t>
            </w:r>
            <w:r w:rsidR="009912F8" w:rsidRPr="00E07C9A">
              <w:rPr>
                <w:rFonts w:ascii="Times New Roman" w:hAnsi="Times New Roman"/>
                <w:sz w:val="24"/>
              </w:rPr>
              <w:t xml:space="preserve"> k </w:t>
            </w:r>
            <w:r w:rsidRPr="00E07C9A">
              <w:rPr>
                <w:rFonts w:ascii="Times New Roman" w:hAnsi="Times New Roman"/>
                <w:sz w:val="24"/>
              </w:rPr>
              <w:t>delegovanému nariadeniu (EÚ) 2016/101 vykazujú</w:t>
            </w:r>
            <w:r w:rsidR="009912F8" w:rsidRPr="00E07C9A">
              <w:rPr>
                <w:rFonts w:ascii="Times New Roman" w:hAnsi="Times New Roman"/>
                <w:sz w:val="24"/>
              </w:rPr>
              <w:t xml:space="preserve"> v </w:t>
            </w:r>
            <w:r w:rsidRPr="00E07C9A">
              <w:rPr>
                <w:rFonts w:ascii="Times New Roman" w:hAnsi="Times New Roman"/>
                <w:sz w:val="24"/>
              </w:rPr>
              <w:t>položkách vzoru 1.1.2, 1.1.2.1</w:t>
            </w:r>
            <w:r w:rsidR="009912F8" w:rsidRPr="00E07C9A">
              <w:rPr>
                <w:rFonts w:ascii="Times New Roman" w:hAnsi="Times New Roman"/>
                <w:sz w:val="24"/>
              </w:rPr>
              <w:t xml:space="preserve"> a </w:t>
            </w:r>
            <w:r w:rsidRPr="00E07C9A">
              <w:rPr>
                <w:rFonts w:ascii="Times New Roman" w:hAnsi="Times New Roman"/>
                <w:sz w:val="24"/>
              </w:rPr>
              <w:t>1.1.2.2]</w:t>
            </w:r>
            <w:r w:rsidR="009912F8" w:rsidRPr="00E07C9A">
              <w:rPr>
                <w:rFonts w:ascii="Times New Roman" w:hAnsi="Times New Roman"/>
                <w:sz w:val="24"/>
              </w:rPr>
              <w:t>.</w:t>
            </w:r>
          </w:p>
          <w:p w14:paraId="041F0EAD" w14:textId="1602C7DA" w:rsidR="00973707" w:rsidRPr="00E07C9A" w:rsidRDefault="00973707" w:rsidP="00DC1E40">
            <w:pPr>
              <w:spacing w:beforeLines="60" w:before="144" w:afterLines="60" w:after="144"/>
              <w:rPr>
                <w:rFonts w:ascii="Times New Roman" w:hAnsi="Times New Roman"/>
                <w:sz w:val="24"/>
              </w:rPr>
            </w:pPr>
            <w:r w:rsidRPr="00E07C9A">
              <w:rPr>
                <w:rFonts w:ascii="Times New Roman" w:hAnsi="Times New Roman"/>
                <w:sz w:val="24"/>
              </w:rPr>
              <w:t>V prípade kategórií neistoty trhovej ceny, nákladov na zatvorenie pozícií</w:t>
            </w:r>
            <w:r w:rsidR="009912F8" w:rsidRPr="00E07C9A">
              <w:rPr>
                <w:rFonts w:ascii="Times New Roman" w:hAnsi="Times New Roman"/>
                <w:sz w:val="24"/>
              </w:rPr>
              <w:t xml:space="preserve"> a </w:t>
            </w:r>
            <w:r w:rsidRPr="00E07C9A">
              <w:rPr>
                <w:rFonts w:ascii="Times New Roman" w:hAnsi="Times New Roman"/>
                <w:sz w:val="24"/>
              </w:rPr>
              <w:t>rizika modelov sa sumy vypočítané na základe prístupu založeného na odbornom posudku uvedeného</w:t>
            </w:r>
            <w:r w:rsidR="009912F8" w:rsidRPr="00E07C9A">
              <w:rPr>
                <w:rFonts w:ascii="Times New Roman" w:hAnsi="Times New Roman"/>
                <w:sz w:val="24"/>
              </w:rPr>
              <w:t xml:space="preserve"> v </w:t>
            </w:r>
            <w:r w:rsidRPr="00E07C9A">
              <w:rPr>
                <w:rFonts w:ascii="Times New Roman" w:hAnsi="Times New Roman"/>
                <w:sz w:val="24"/>
              </w:rPr>
              <w:t>článku 9 ods. 5 písm. b), článku 10 ods. 6 písm. b)</w:t>
            </w:r>
            <w:r w:rsidR="009912F8" w:rsidRPr="00E07C9A">
              <w:rPr>
                <w:rFonts w:ascii="Times New Roman" w:hAnsi="Times New Roman"/>
                <w:sz w:val="24"/>
              </w:rPr>
              <w:t xml:space="preserve"> a </w:t>
            </w:r>
            <w:r w:rsidRPr="00E07C9A">
              <w:rPr>
                <w:rFonts w:ascii="Times New Roman" w:hAnsi="Times New Roman"/>
                <w:sz w:val="24"/>
              </w:rPr>
              <w:t>článku 11 ods. 4 delegovaného nariadenia (EÚ) 2016/101 vykazujú samostatne</w:t>
            </w:r>
            <w:r w:rsidR="009912F8" w:rsidRPr="00E07C9A">
              <w:rPr>
                <w:rFonts w:ascii="Times New Roman" w:hAnsi="Times New Roman"/>
                <w:sz w:val="24"/>
              </w:rPr>
              <w:t xml:space="preserve"> v </w:t>
            </w:r>
            <w:r w:rsidRPr="00E07C9A">
              <w:rPr>
                <w:rFonts w:ascii="Times New Roman" w:hAnsi="Times New Roman"/>
                <w:sz w:val="24"/>
              </w:rPr>
              <w:t>stĺpcoch 0020, 0040</w:t>
            </w:r>
            <w:r w:rsidR="009912F8" w:rsidRPr="00E07C9A">
              <w:rPr>
                <w:rFonts w:ascii="Times New Roman" w:hAnsi="Times New Roman"/>
                <w:sz w:val="24"/>
              </w:rPr>
              <w:t xml:space="preserve"> a </w:t>
            </w:r>
            <w:r w:rsidRPr="00E07C9A">
              <w:rPr>
                <w:rFonts w:ascii="Times New Roman" w:hAnsi="Times New Roman"/>
                <w:sz w:val="24"/>
              </w:rPr>
              <w:t>0060.</w:t>
            </w:r>
          </w:p>
        </w:tc>
      </w:tr>
      <w:tr w:rsidR="00973707" w:rsidRPr="00E07C9A" w14:paraId="7C37519B" w14:textId="77777777" w:rsidTr="00672D2A">
        <w:tc>
          <w:tcPr>
            <w:tcW w:w="1101" w:type="dxa"/>
          </w:tcPr>
          <w:p w14:paraId="4CBF40AC" w14:textId="77777777" w:rsidR="00973707" w:rsidRPr="00E07C9A" w:rsidRDefault="009A7A38" w:rsidP="00AF3D7A">
            <w:pPr>
              <w:spacing w:beforeLines="60" w:before="144" w:afterLines="60" w:after="144"/>
              <w:rPr>
                <w:rFonts w:ascii="Times New Roman" w:hAnsi="Times New Roman"/>
                <w:sz w:val="24"/>
              </w:rPr>
            </w:pPr>
            <w:r w:rsidRPr="00E07C9A">
              <w:rPr>
                <w:rFonts w:ascii="Times New Roman" w:hAnsi="Times New Roman"/>
                <w:sz w:val="24"/>
              </w:rPr>
              <w:t>0010</w:t>
            </w:r>
          </w:p>
        </w:tc>
        <w:tc>
          <w:tcPr>
            <w:tcW w:w="8190" w:type="dxa"/>
          </w:tcPr>
          <w:p w14:paraId="6020EAD0" w14:textId="77777777" w:rsidR="00973707" w:rsidRPr="00E07C9A" w:rsidRDefault="00973707" w:rsidP="00AF3D7A">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NEISTOTA TRHOVEJ CENY</w:t>
            </w:r>
          </w:p>
          <w:p w14:paraId="0CD5752E" w14:textId="6DDA4787" w:rsidR="009912F8" w:rsidRPr="00E07C9A" w:rsidRDefault="00973707" w:rsidP="00AF3D7A">
            <w:pPr>
              <w:spacing w:beforeLines="60" w:before="144" w:afterLines="60" w:after="144"/>
              <w:rPr>
                <w:rFonts w:ascii="Times New Roman" w:hAnsi="Times New Roman"/>
                <w:sz w:val="24"/>
              </w:rPr>
            </w:pPr>
            <w:r w:rsidRPr="00E07C9A">
              <w:rPr>
                <w:rFonts w:ascii="Times New Roman" w:hAnsi="Times New Roman"/>
                <w:sz w:val="24"/>
              </w:rPr>
              <w:t xml:space="preserve">Článok 105 ods. 10 nariadenia (EÚ) </w:t>
            </w:r>
            <w:r w:rsidR="009912F8" w:rsidRPr="00E07C9A">
              <w:rPr>
                <w:rFonts w:ascii="Times New Roman" w:hAnsi="Times New Roman"/>
                <w:sz w:val="24"/>
              </w:rPr>
              <w:t>č. 575/2013</w:t>
            </w:r>
          </w:p>
          <w:p w14:paraId="60B0DDBC" w14:textId="60A3F406" w:rsidR="00973707" w:rsidRPr="00E07C9A" w:rsidRDefault="00973707" w:rsidP="00614509">
            <w:pPr>
              <w:spacing w:beforeLines="60" w:before="144" w:afterLines="60" w:after="144"/>
              <w:rPr>
                <w:rStyle w:val="InstructionsTabelleberschrift"/>
                <w:rFonts w:ascii="Times New Roman" w:hAnsi="Times New Roman"/>
                <w:sz w:val="24"/>
              </w:rPr>
            </w:pPr>
            <w:r w:rsidRPr="00E07C9A">
              <w:rPr>
                <w:rFonts w:ascii="Times New Roman" w:hAnsi="Times New Roman"/>
                <w:sz w:val="24"/>
              </w:rPr>
              <w:t>Dodatočné úpravy ocenenia zohľadňujúce neistotu trhovej ceny vypočítané</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článkom 9 delegovaného nariadenia (EÚ) 2016/101.</w:t>
            </w:r>
          </w:p>
        </w:tc>
      </w:tr>
      <w:tr w:rsidR="00973707" w:rsidRPr="00E07C9A" w14:paraId="51380C36" w14:textId="77777777" w:rsidTr="00672D2A">
        <w:tc>
          <w:tcPr>
            <w:tcW w:w="1101" w:type="dxa"/>
          </w:tcPr>
          <w:p w14:paraId="71429F1E" w14:textId="77777777" w:rsidR="00973707" w:rsidRPr="00E07C9A" w:rsidRDefault="009A7A38" w:rsidP="00AF3D7A">
            <w:pPr>
              <w:spacing w:beforeLines="60" w:before="144" w:afterLines="60" w:after="144"/>
              <w:rPr>
                <w:rFonts w:ascii="Times New Roman" w:hAnsi="Times New Roman"/>
                <w:sz w:val="24"/>
              </w:rPr>
            </w:pPr>
            <w:r w:rsidRPr="00E07C9A">
              <w:rPr>
                <w:rFonts w:ascii="Times New Roman" w:hAnsi="Times New Roman"/>
                <w:sz w:val="24"/>
              </w:rPr>
              <w:t>0020</w:t>
            </w:r>
          </w:p>
        </w:tc>
        <w:tc>
          <w:tcPr>
            <w:tcW w:w="8190" w:type="dxa"/>
          </w:tcPr>
          <w:p w14:paraId="23DF2CD3" w14:textId="77777777" w:rsidR="00973707" w:rsidRPr="00E07C9A" w:rsidRDefault="00973707" w:rsidP="00AF3D7A">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Z ČOHO: VYPOČÍTANÉ POMOCOU PRÍSTUPU ZALOŽENÉHO NA ODBORNOM POSUDKU</w:t>
            </w:r>
          </w:p>
          <w:p w14:paraId="43C755EC" w14:textId="187FCEBA" w:rsidR="00973707" w:rsidRPr="00E07C9A" w:rsidRDefault="00973707" w:rsidP="00DC1E40">
            <w:pPr>
              <w:spacing w:beforeLines="60" w:before="144" w:afterLines="60" w:after="144"/>
              <w:rPr>
                <w:rStyle w:val="InstructionsTabelleberschrift"/>
                <w:rFonts w:ascii="Times New Roman" w:hAnsi="Times New Roman"/>
                <w:sz w:val="24"/>
              </w:rPr>
            </w:pPr>
            <w:r w:rsidRPr="00E07C9A">
              <w:rPr>
                <w:rFonts w:ascii="Times New Roman" w:hAnsi="Times New Roman"/>
                <w:sz w:val="24"/>
              </w:rPr>
              <w:t>Dodatočné úpravy ocenenia zohľadňujúce neistotu trhovej ceny vypočítané</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článkom 9 ods. 5 písm. b) delegovaného nariadenia (EÚ) 2016/101.</w:t>
            </w:r>
          </w:p>
        </w:tc>
      </w:tr>
      <w:tr w:rsidR="00973707" w:rsidRPr="00E07C9A" w14:paraId="1D578989" w14:textId="77777777" w:rsidTr="00672D2A">
        <w:tc>
          <w:tcPr>
            <w:tcW w:w="1101" w:type="dxa"/>
          </w:tcPr>
          <w:p w14:paraId="6E394669" w14:textId="77777777" w:rsidR="00973707" w:rsidRPr="00E07C9A" w:rsidRDefault="009A7A38" w:rsidP="00AF3D7A">
            <w:pPr>
              <w:spacing w:beforeLines="60" w:before="144" w:afterLines="60" w:after="144"/>
              <w:rPr>
                <w:rFonts w:ascii="Times New Roman" w:hAnsi="Times New Roman"/>
                <w:sz w:val="24"/>
              </w:rPr>
            </w:pPr>
            <w:r w:rsidRPr="00E07C9A">
              <w:rPr>
                <w:rFonts w:ascii="Times New Roman" w:hAnsi="Times New Roman"/>
                <w:sz w:val="24"/>
              </w:rPr>
              <w:t>0030</w:t>
            </w:r>
          </w:p>
        </w:tc>
        <w:tc>
          <w:tcPr>
            <w:tcW w:w="8190" w:type="dxa"/>
          </w:tcPr>
          <w:p w14:paraId="264F1F56" w14:textId="77777777" w:rsidR="00973707" w:rsidRPr="00E07C9A" w:rsidRDefault="00973707" w:rsidP="00AF3D7A">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NÁKLADY NA ZATVORENIE POZÍCIÍ</w:t>
            </w:r>
          </w:p>
          <w:p w14:paraId="51EF7EC3" w14:textId="40E61C9B" w:rsidR="009912F8" w:rsidRPr="00E07C9A" w:rsidRDefault="00973707" w:rsidP="00AF3D7A">
            <w:pPr>
              <w:spacing w:beforeLines="60" w:before="144" w:afterLines="60" w:after="144"/>
              <w:rPr>
                <w:rFonts w:ascii="Times New Roman" w:hAnsi="Times New Roman"/>
                <w:sz w:val="24"/>
              </w:rPr>
            </w:pPr>
            <w:r w:rsidRPr="00E07C9A">
              <w:rPr>
                <w:rFonts w:ascii="Times New Roman" w:hAnsi="Times New Roman"/>
                <w:sz w:val="24"/>
              </w:rPr>
              <w:t xml:space="preserve">Článok 105 ods. 10 nariadenia (EÚ) </w:t>
            </w:r>
            <w:r w:rsidR="009912F8" w:rsidRPr="00E07C9A">
              <w:rPr>
                <w:rFonts w:ascii="Times New Roman" w:hAnsi="Times New Roman"/>
                <w:sz w:val="24"/>
              </w:rPr>
              <w:t>č. 575/2013</w:t>
            </w:r>
          </w:p>
          <w:p w14:paraId="5F38B3D3" w14:textId="73FD27DF" w:rsidR="00973707" w:rsidRPr="00E07C9A" w:rsidRDefault="00973707" w:rsidP="00614509">
            <w:pPr>
              <w:spacing w:beforeLines="60" w:before="144" w:afterLines="60" w:after="144"/>
              <w:rPr>
                <w:rStyle w:val="InstructionsTabelleberschrift"/>
                <w:rFonts w:ascii="Times New Roman" w:hAnsi="Times New Roman"/>
                <w:sz w:val="24"/>
              </w:rPr>
            </w:pPr>
            <w:r w:rsidRPr="00E07C9A">
              <w:rPr>
                <w:rFonts w:ascii="Times New Roman" w:hAnsi="Times New Roman"/>
                <w:sz w:val="24"/>
              </w:rPr>
              <w:t>Dodatočné úpravy ocenenia zohľadňujúce náklady na zatvorenie pozícií vypočítané</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10 delegovaného nariadenia (EÚ) 2016/101. </w:t>
            </w:r>
          </w:p>
        </w:tc>
      </w:tr>
      <w:tr w:rsidR="00973707" w:rsidRPr="00E07C9A" w14:paraId="3FFFD203" w14:textId="77777777" w:rsidTr="00672D2A">
        <w:tc>
          <w:tcPr>
            <w:tcW w:w="1101" w:type="dxa"/>
          </w:tcPr>
          <w:p w14:paraId="4244051E" w14:textId="77777777" w:rsidR="00973707" w:rsidRPr="00E07C9A" w:rsidRDefault="009A7A38" w:rsidP="00AF3D7A">
            <w:pPr>
              <w:spacing w:beforeLines="60" w:before="144" w:afterLines="60" w:after="144"/>
              <w:rPr>
                <w:rFonts w:ascii="Times New Roman" w:hAnsi="Times New Roman"/>
                <w:sz w:val="24"/>
              </w:rPr>
            </w:pPr>
            <w:r w:rsidRPr="00E07C9A">
              <w:rPr>
                <w:rFonts w:ascii="Times New Roman" w:hAnsi="Times New Roman"/>
                <w:sz w:val="24"/>
              </w:rPr>
              <w:t>0040</w:t>
            </w:r>
          </w:p>
        </w:tc>
        <w:tc>
          <w:tcPr>
            <w:tcW w:w="8190" w:type="dxa"/>
          </w:tcPr>
          <w:p w14:paraId="46851A27" w14:textId="77777777" w:rsidR="00973707" w:rsidRPr="00E07C9A" w:rsidRDefault="00973707" w:rsidP="00AF3D7A">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Z ČOHO: VYPOČÍTANÉ POMOCOU PRÍSTUPU ZALOŽENÉHO NA ODBORNOM POSUDKU</w:t>
            </w:r>
          </w:p>
          <w:p w14:paraId="7B49243A" w14:textId="5E07BD71" w:rsidR="00973707" w:rsidRPr="00E07C9A" w:rsidRDefault="00973707" w:rsidP="00DC1E40">
            <w:pPr>
              <w:spacing w:beforeLines="60" w:before="144" w:afterLines="60" w:after="144"/>
              <w:rPr>
                <w:rStyle w:val="InstructionsTabelleberschrift"/>
                <w:rFonts w:ascii="Times New Roman" w:hAnsi="Times New Roman"/>
                <w:b w:val="0"/>
                <w:bCs w:val="0"/>
                <w:sz w:val="24"/>
                <w:u w:val="none"/>
              </w:rPr>
            </w:pPr>
            <w:r w:rsidRPr="00E07C9A">
              <w:rPr>
                <w:rFonts w:ascii="Times New Roman" w:hAnsi="Times New Roman"/>
                <w:sz w:val="24"/>
              </w:rPr>
              <w:t>Dodatočné úpravy ocenenia zohľadňujúce náklady na zatvorenie pozícií vypočítané</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článkom 10 ods. 6 písm. b) delegovaného nariadenia (EÚ) 2016/101.</w:t>
            </w:r>
          </w:p>
        </w:tc>
      </w:tr>
      <w:tr w:rsidR="00973707" w:rsidRPr="00E07C9A" w14:paraId="68224445" w14:textId="77777777" w:rsidTr="00672D2A">
        <w:tc>
          <w:tcPr>
            <w:tcW w:w="1101" w:type="dxa"/>
          </w:tcPr>
          <w:p w14:paraId="54288A31" w14:textId="77777777" w:rsidR="00973707" w:rsidRPr="00E07C9A" w:rsidRDefault="009A7A38" w:rsidP="00AF3D7A">
            <w:pPr>
              <w:spacing w:beforeLines="60" w:before="144" w:afterLines="60" w:after="144"/>
              <w:rPr>
                <w:rFonts w:ascii="Times New Roman" w:hAnsi="Times New Roman"/>
                <w:sz w:val="24"/>
              </w:rPr>
            </w:pPr>
            <w:r w:rsidRPr="00E07C9A">
              <w:rPr>
                <w:rFonts w:ascii="Times New Roman" w:hAnsi="Times New Roman"/>
                <w:sz w:val="24"/>
              </w:rPr>
              <w:t>0050</w:t>
            </w:r>
          </w:p>
        </w:tc>
        <w:tc>
          <w:tcPr>
            <w:tcW w:w="8190" w:type="dxa"/>
          </w:tcPr>
          <w:p w14:paraId="324A501F" w14:textId="77777777" w:rsidR="00973707" w:rsidRPr="00E07C9A" w:rsidRDefault="00973707" w:rsidP="00AF3D7A">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RIZIKO MODELOV</w:t>
            </w:r>
          </w:p>
          <w:p w14:paraId="67F07253" w14:textId="0BBA77C9" w:rsidR="00973707" w:rsidRPr="00E07C9A" w:rsidRDefault="00973707" w:rsidP="00AF3D7A">
            <w:pPr>
              <w:spacing w:beforeLines="60" w:before="144" w:afterLines="60" w:after="144"/>
              <w:rPr>
                <w:rFonts w:ascii="Times New Roman" w:hAnsi="Times New Roman"/>
                <w:sz w:val="24"/>
              </w:rPr>
            </w:pPr>
            <w:r w:rsidRPr="00E07C9A">
              <w:rPr>
                <w:rFonts w:ascii="Times New Roman" w:hAnsi="Times New Roman"/>
                <w:sz w:val="24"/>
              </w:rPr>
              <w:t xml:space="preserve">Článok 105 ods. 10 nariadenia (EÚ) </w:t>
            </w:r>
            <w:r w:rsidR="009912F8" w:rsidRPr="00E07C9A">
              <w:rPr>
                <w:rFonts w:ascii="Times New Roman" w:hAnsi="Times New Roman"/>
                <w:sz w:val="24"/>
              </w:rPr>
              <w:t>č. 575/2013</w:t>
            </w:r>
          </w:p>
          <w:p w14:paraId="0E5EDBC8" w14:textId="70A2EE99" w:rsidR="00973707" w:rsidRPr="00E07C9A" w:rsidRDefault="00973707" w:rsidP="00A30C4C">
            <w:pPr>
              <w:spacing w:beforeLines="60" w:before="144" w:afterLines="60" w:after="144"/>
              <w:rPr>
                <w:rStyle w:val="InstructionsTabelleberschrift"/>
                <w:rFonts w:ascii="Times New Roman" w:hAnsi="Times New Roman"/>
                <w:sz w:val="24"/>
              </w:rPr>
            </w:pPr>
            <w:r w:rsidRPr="00E07C9A">
              <w:rPr>
                <w:rFonts w:ascii="Times New Roman" w:hAnsi="Times New Roman"/>
                <w:sz w:val="24"/>
              </w:rPr>
              <w:t>Dodatočné úpravy ocenenia zohľadňujúce riziko modelov vypočítané</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11 delegovaného nariadenia (EÚ) 2016/101. </w:t>
            </w:r>
          </w:p>
        </w:tc>
      </w:tr>
      <w:tr w:rsidR="00973707" w:rsidRPr="00E07C9A" w14:paraId="37F7E679" w14:textId="77777777" w:rsidTr="00672D2A">
        <w:tc>
          <w:tcPr>
            <w:tcW w:w="1101" w:type="dxa"/>
          </w:tcPr>
          <w:p w14:paraId="05A20940" w14:textId="77777777" w:rsidR="00973707" w:rsidRPr="00E07C9A" w:rsidRDefault="009A7A38" w:rsidP="00AF3D7A">
            <w:pPr>
              <w:spacing w:beforeLines="60" w:before="144" w:afterLines="60" w:after="144"/>
              <w:rPr>
                <w:rFonts w:ascii="Times New Roman" w:hAnsi="Times New Roman"/>
                <w:sz w:val="24"/>
              </w:rPr>
            </w:pPr>
            <w:r w:rsidRPr="00E07C9A">
              <w:rPr>
                <w:rFonts w:ascii="Times New Roman" w:hAnsi="Times New Roman"/>
                <w:sz w:val="24"/>
              </w:rPr>
              <w:t>0060</w:t>
            </w:r>
          </w:p>
        </w:tc>
        <w:tc>
          <w:tcPr>
            <w:tcW w:w="8190" w:type="dxa"/>
          </w:tcPr>
          <w:p w14:paraId="34498B3B" w14:textId="77777777" w:rsidR="00973707" w:rsidRPr="00E07C9A" w:rsidRDefault="00973707" w:rsidP="00AF3D7A">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Z ČOHO: VYPOČÍTANÉ POMOCOU PRÍSTUPU ZALOŽENÉHO NA ODBORNOM POSUDKU</w:t>
            </w:r>
          </w:p>
          <w:p w14:paraId="046F2C01" w14:textId="15FDBF4E" w:rsidR="00973707" w:rsidRPr="00E07C9A" w:rsidRDefault="00973707" w:rsidP="00A30C4C">
            <w:pPr>
              <w:spacing w:beforeLines="60" w:before="144" w:afterLines="60" w:after="144"/>
              <w:rPr>
                <w:rStyle w:val="InstructionsTabelleberschrift"/>
                <w:rFonts w:ascii="Times New Roman" w:hAnsi="Times New Roman"/>
                <w:sz w:val="24"/>
              </w:rPr>
            </w:pPr>
            <w:r w:rsidRPr="00E07C9A">
              <w:rPr>
                <w:rFonts w:ascii="Times New Roman" w:hAnsi="Times New Roman"/>
                <w:sz w:val="24"/>
              </w:rPr>
              <w:t>Dodatočné úpravy ocenenia zohľadňujúce riziko modelov vypočítané</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článkom 11 ods. 4 delegovaného nariadenia (EÚ) 2016/101.</w:t>
            </w:r>
          </w:p>
        </w:tc>
      </w:tr>
      <w:tr w:rsidR="00973707" w:rsidRPr="00E07C9A" w14:paraId="66A6D647" w14:textId="77777777" w:rsidTr="00672D2A">
        <w:tc>
          <w:tcPr>
            <w:tcW w:w="1101" w:type="dxa"/>
          </w:tcPr>
          <w:p w14:paraId="3C518E11" w14:textId="77777777" w:rsidR="00973707" w:rsidRPr="00E07C9A" w:rsidRDefault="009A7A38" w:rsidP="00AF3D7A">
            <w:pPr>
              <w:spacing w:beforeLines="60" w:before="144" w:afterLines="60" w:after="144"/>
              <w:rPr>
                <w:rFonts w:ascii="Times New Roman" w:hAnsi="Times New Roman"/>
                <w:sz w:val="24"/>
              </w:rPr>
            </w:pPr>
            <w:r w:rsidRPr="00E07C9A">
              <w:rPr>
                <w:rFonts w:ascii="Times New Roman" w:hAnsi="Times New Roman"/>
                <w:sz w:val="24"/>
              </w:rPr>
              <w:t>0070</w:t>
            </w:r>
          </w:p>
        </w:tc>
        <w:tc>
          <w:tcPr>
            <w:tcW w:w="8190" w:type="dxa"/>
          </w:tcPr>
          <w:p w14:paraId="1FC40169" w14:textId="77777777" w:rsidR="00973707" w:rsidRPr="00E07C9A" w:rsidRDefault="00973707" w:rsidP="00AF3D7A">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KONCENTROVANÉ POZÍCIE</w:t>
            </w:r>
          </w:p>
          <w:p w14:paraId="3D76EDD0" w14:textId="7C44FC81" w:rsidR="00973707" w:rsidRPr="00E07C9A" w:rsidRDefault="00973707" w:rsidP="00AF3D7A">
            <w:pPr>
              <w:spacing w:beforeLines="60" w:before="144" w:afterLines="60" w:after="144"/>
              <w:rPr>
                <w:rFonts w:ascii="Times New Roman" w:hAnsi="Times New Roman"/>
                <w:sz w:val="24"/>
              </w:rPr>
            </w:pPr>
            <w:r w:rsidRPr="00E07C9A">
              <w:rPr>
                <w:rFonts w:ascii="Times New Roman" w:hAnsi="Times New Roman"/>
                <w:sz w:val="24"/>
              </w:rPr>
              <w:t xml:space="preserve">Článok 105 ods. 11 nariadenia (EÚ) </w:t>
            </w:r>
            <w:r w:rsidR="009912F8" w:rsidRPr="00E07C9A">
              <w:rPr>
                <w:rFonts w:ascii="Times New Roman" w:hAnsi="Times New Roman"/>
                <w:sz w:val="24"/>
              </w:rPr>
              <w:t>č. 575/2013</w:t>
            </w:r>
          </w:p>
          <w:p w14:paraId="168E2825" w14:textId="311C9B84" w:rsidR="00973707" w:rsidRPr="00E07C9A" w:rsidRDefault="00973707" w:rsidP="00A30C4C">
            <w:pPr>
              <w:spacing w:beforeLines="60" w:before="144" w:afterLines="60" w:after="144"/>
              <w:rPr>
                <w:rStyle w:val="InstructionsTabelleberschrift"/>
                <w:rFonts w:ascii="Times New Roman" w:hAnsi="Times New Roman"/>
                <w:sz w:val="24"/>
              </w:rPr>
            </w:pPr>
            <w:r w:rsidRPr="00E07C9A">
              <w:rPr>
                <w:rFonts w:ascii="Times New Roman" w:hAnsi="Times New Roman"/>
                <w:sz w:val="24"/>
              </w:rPr>
              <w:t>Dodatočné úpravy ocenenia zohľadňujúce koncentrované pozície vypočítané</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článkom 14 delegovaného nariadenia (EÚ) 2016/101.</w:t>
            </w:r>
          </w:p>
        </w:tc>
      </w:tr>
      <w:tr w:rsidR="00973707" w:rsidRPr="00E07C9A" w14:paraId="38744462" w14:textId="77777777" w:rsidTr="00672D2A">
        <w:tc>
          <w:tcPr>
            <w:tcW w:w="1101" w:type="dxa"/>
          </w:tcPr>
          <w:p w14:paraId="29773C88" w14:textId="77777777" w:rsidR="00973707" w:rsidRPr="00E07C9A" w:rsidRDefault="009A7A38" w:rsidP="00AF3D7A">
            <w:pPr>
              <w:spacing w:beforeLines="60" w:before="144" w:afterLines="60" w:after="144"/>
              <w:rPr>
                <w:rFonts w:ascii="Times New Roman" w:hAnsi="Times New Roman"/>
                <w:sz w:val="24"/>
              </w:rPr>
            </w:pPr>
            <w:r w:rsidRPr="00E07C9A">
              <w:rPr>
                <w:rFonts w:ascii="Times New Roman" w:hAnsi="Times New Roman"/>
                <w:sz w:val="24"/>
              </w:rPr>
              <w:t>0080</w:t>
            </w:r>
          </w:p>
        </w:tc>
        <w:tc>
          <w:tcPr>
            <w:tcW w:w="8190" w:type="dxa"/>
          </w:tcPr>
          <w:p w14:paraId="5E5A05F8" w14:textId="77777777" w:rsidR="00973707" w:rsidRPr="00E07C9A" w:rsidRDefault="00973707" w:rsidP="00AF3D7A">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BUDÚCE ADMINISTRATÍVNE NÁKLADY</w:t>
            </w:r>
          </w:p>
          <w:p w14:paraId="3EA3EFC2" w14:textId="46E43806" w:rsidR="00973707" w:rsidRPr="00E07C9A" w:rsidRDefault="00973707" w:rsidP="00AF3D7A">
            <w:pPr>
              <w:spacing w:beforeLines="60" w:before="144" w:afterLines="60" w:after="144"/>
              <w:rPr>
                <w:rFonts w:ascii="Times New Roman" w:hAnsi="Times New Roman"/>
                <w:sz w:val="24"/>
              </w:rPr>
            </w:pPr>
            <w:r w:rsidRPr="00E07C9A">
              <w:rPr>
                <w:rFonts w:ascii="Times New Roman" w:hAnsi="Times New Roman"/>
                <w:sz w:val="24"/>
              </w:rPr>
              <w:t xml:space="preserve">Článok 105 ods. 10 nariadenia (EÚ) </w:t>
            </w:r>
            <w:r w:rsidR="009912F8" w:rsidRPr="00E07C9A">
              <w:rPr>
                <w:rFonts w:ascii="Times New Roman" w:hAnsi="Times New Roman"/>
                <w:sz w:val="24"/>
              </w:rPr>
              <w:t>č. 575/2013</w:t>
            </w:r>
          </w:p>
          <w:p w14:paraId="3231B833" w14:textId="1D13387C" w:rsidR="00973707" w:rsidRPr="00E07C9A" w:rsidRDefault="00973707" w:rsidP="00A30C4C">
            <w:pPr>
              <w:spacing w:beforeLines="60" w:before="144" w:afterLines="60" w:after="144"/>
              <w:rPr>
                <w:rStyle w:val="InstructionsTabelleberschrift"/>
                <w:rFonts w:ascii="Times New Roman" w:hAnsi="Times New Roman"/>
                <w:sz w:val="24"/>
              </w:rPr>
            </w:pPr>
            <w:r w:rsidRPr="00E07C9A">
              <w:rPr>
                <w:rFonts w:ascii="Times New Roman" w:hAnsi="Times New Roman"/>
                <w:sz w:val="24"/>
              </w:rPr>
              <w:t>Dodatočné úpravy ocenenia zohľadňujúce budúce administratívne náklady vypočítané</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článkom 15 delegovaného nariadenia (EÚ) 2016/101.</w:t>
            </w:r>
          </w:p>
        </w:tc>
      </w:tr>
      <w:tr w:rsidR="00973707" w:rsidRPr="00E07C9A" w14:paraId="4282387C" w14:textId="77777777" w:rsidTr="00672D2A">
        <w:tc>
          <w:tcPr>
            <w:tcW w:w="1101" w:type="dxa"/>
          </w:tcPr>
          <w:p w14:paraId="5F7044DB" w14:textId="77777777" w:rsidR="00973707" w:rsidRPr="00E07C9A" w:rsidRDefault="009A7A38" w:rsidP="00AF3D7A">
            <w:pPr>
              <w:spacing w:beforeLines="60" w:before="144" w:afterLines="60" w:after="144"/>
              <w:rPr>
                <w:rFonts w:ascii="Times New Roman" w:hAnsi="Times New Roman"/>
                <w:sz w:val="24"/>
              </w:rPr>
            </w:pPr>
            <w:r w:rsidRPr="00E07C9A">
              <w:rPr>
                <w:rFonts w:ascii="Times New Roman" w:hAnsi="Times New Roman"/>
                <w:sz w:val="24"/>
              </w:rPr>
              <w:t>0090</w:t>
            </w:r>
          </w:p>
        </w:tc>
        <w:tc>
          <w:tcPr>
            <w:tcW w:w="8190" w:type="dxa"/>
          </w:tcPr>
          <w:p w14:paraId="710E7CEB" w14:textId="77777777" w:rsidR="00973707" w:rsidRPr="00E07C9A" w:rsidRDefault="00973707" w:rsidP="00AF3D7A">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PREDČASNÉ UKONČENIE</w:t>
            </w:r>
          </w:p>
          <w:p w14:paraId="53DB2AC5" w14:textId="6767D13F" w:rsidR="00973707" w:rsidRPr="00E07C9A" w:rsidRDefault="00973707" w:rsidP="00AF3D7A">
            <w:pPr>
              <w:spacing w:beforeLines="60" w:before="144" w:afterLines="60" w:after="144"/>
              <w:rPr>
                <w:rFonts w:ascii="Times New Roman" w:hAnsi="Times New Roman"/>
                <w:sz w:val="24"/>
              </w:rPr>
            </w:pPr>
            <w:r w:rsidRPr="00E07C9A">
              <w:rPr>
                <w:rFonts w:ascii="Times New Roman" w:hAnsi="Times New Roman"/>
                <w:sz w:val="24"/>
              </w:rPr>
              <w:t xml:space="preserve">Článok 105 ods. 10 nariadenia (EÚ) </w:t>
            </w:r>
            <w:r w:rsidR="009912F8" w:rsidRPr="00E07C9A">
              <w:rPr>
                <w:rFonts w:ascii="Times New Roman" w:hAnsi="Times New Roman"/>
                <w:sz w:val="24"/>
              </w:rPr>
              <w:t>č. 575/2013</w:t>
            </w:r>
          </w:p>
          <w:p w14:paraId="1A04BAE2" w14:textId="6AFB340B" w:rsidR="00973707" w:rsidRPr="00E07C9A" w:rsidRDefault="00973707" w:rsidP="00A30C4C">
            <w:pPr>
              <w:spacing w:beforeLines="60" w:before="144" w:afterLines="60" w:after="144"/>
              <w:rPr>
                <w:rStyle w:val="InstructionsTabelleberschrift"/>
                <w:rFonts w:ascii="Times New Roman" w:hAnsi="Times New Roman"/>
                <w:sz w:val="24"/>
              </w:rPr>
            </w:pPr>
            <w:r w:rsidRPr="00E07C9A">
              <w:rPr>
                <w:rFonts w:ascii="Times New Roman" w:hAnsi="Times New Roman"/>
                <w:sz w:val="24"/>
              </w:rPr>
              <w:t>Dodatočné úpravy ocenenia zohľadňujúce predčasné ukončenie vypočítané</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16 delegovaného nariadenia (EÚ) 2016/101. </w:t>
            </w:r>
          </w:p>
        </w:tc>
      </w:tr>
      <w:tr w:rsidR="00973707" w:rsidRPr="00E07C9A" w14:paraId="2C027FEB" w14:textId="77777777" w:rsidTr="00672D2A">
        <w:tc>
          <w:tcPr>
            <w:tcW w:w="1101" w:type="dxa"/>
          </w:tcPr>
          <w:p w14:paraId="18BDB25C" w14:textId="77777777" w:rsidR="00973707" w:rsidRPr="00E07C9A" w:rsidRDefault="009A7A38" w:rsidP="00AF3D7A">
            <w:pPr>
              <w:spacing w:beforeLines="60" w:before="144" w:afterLines="60" w:after="144"/>
              <w:rPr>
                <w:rFonts w:ascii="Times New Roman" w:hAnsi="Times New Roman"/>
                <w:sz w:val="24"/>
              </w:rPr>
            </w:pPr>
            <w:r w:rsidRPr="00E07C9A">
              <w:rPr>
                <w:rFonts w:ascii="Times New Roman" w:hAnsi="Times New Roman"/>
                <w:sz w:val="24"/>
              </w:rPr>
              <w:t>0100</w:t>
            </w:r>
          </w:p>
        </w:tc>
        <w:tc>
          <w:tcPr>
            <w:tcW w:w="8190" w:type="dxa"/>
          </w:tcPr>
          <w:p w14:paraId="40702793" w14:textId="77777777" w:rsidR="00973707" w:rsidRPr="00E07C9A" w:rsidRDefault="00973707" w:rsidP="00AF3D7A">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OPERAČNÉ RIZIKO</w:t>
            </w:r>
          </w:p>
          <w:p w14:paraId="29AAF610" w14:textId="088BCF89" w:rsidR="00973707" w:rsidRPr="00E07C9A" w:rsidRDefault="00973707" w:rsidP="00AF3D7A">
            <w:pPr>
              <w:spacing w:beforeLines="60" w:before="144" w:afterLines="60" w:after="144"/>
              <w:rPr>
                <w:rFonts w:ascii="Times New Roman" w:hAnsi="Times New Roman"/>
                <w:sz w:val="24"/>
              </w:rPr>
            </w:pPr>
            <w:r w:rsidRPr="00E07C9A">
              <w:rPr>
                <w:rFonts w:ascii="Times New Roman" w:hAnsi="Times New Roman"/>
                <w:sz w:val="24"/>
              </w:rPr>
              <w:t xml:space="preserve">Článok 105 ods. 10 nariadenia (EÚ) </w:t>
            </w:r>
            <w:r w:rsidR="009912F8" w:rsidRPr="00E07C9A">
              <w:rPr>
                <w:rFonts w:ascii="Times New Roman" w:hAnsi="Times New Roman"/>
                <w:sz w:val="24"/>
              </w:rPr>
              <w:t>č. 575/2013</w:t>
            </w:r>
          </w:p>
          <w:p w14:paraId="1EAE9E7A" w14:textId="5812ED3E" w:rsidR="00973707" w:rsidRPr="00E07C9A" w:rsidRDefault="00973707" w:rsidP="00A30C4C">
            <w:pPr>
              <w:spacing w:beforeLines="60" w:before="144" w:afterLines="60" w:after="144"/>
              <w:rPr>
                <w:rStyle w:val="InstructionsTabelleberschrift"/>
                <w:rFonts w:ascii="Times New Roman" w:hAnsi="Times New Roman"/>
                <w:sz w:val="24"/>
              </w:rPr>
            </w:pPr>
            <w:r w:rsidRPr="00E07C9A">
              <w:rPr>
                <w:rFonts w:ascii="Times New Roman" w:hAnsi="Times New Roman"/>
                <w:sz w:val="24"/>
              </w:rPr>
              <w:t>Dodatočné úpravy ocenenia zohľadňujúce operačné riziko vypočítané</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článkom 17 delegovaného nariadenia (EÚ) 2016/101.</w:t>
            </w:r>
          </w:p>
        </w:tc>
      </w:tr>
      <w:tr w:rsidR="00973707" w:rsidRPr="00E07C9A" w14:paraId="298E8999" w14:textId="77777777" w:rsidTr="00672D2A">
        <w:tc>
          <w:tcPr>
            <w:tcW w:w="1101" w:type="dxa"/>
            <w:tcBorders>
              <w:bottom w:val="single" w:sz="4" w:space="0" w:color="auto"/>
            </w:tcBorders>
          </w:tcPr>
          <w:p w14:paraId="76F22CCA" w14:textId="77777777" w:rsidR="00973707" w:rsidRPr="00E07C9A" w:rsidRDefault="009A7A38" w:rsidP="00AF3D7A">
            <w:pPr>
              <w:spacing w:beforeLines="60" w:before="144" w:afterLines="60" w:after="144"/>
              <w:rPr>
                <w:rFonts w:ascii="Times New Roman" w:hAnsi="Times New Roman"/>
                <w:sz w:val="24"/>
              </w:rPr>
            </w:pPr>
            <w:r w:rsidRPr="00E07C9A">
              <w:rPr>
                <w:rFonts w:ascii="Times New Roman" w:hAnsi="Times New Roman"/>
                <w:sz w:val="24"/>
              </w:rPr>
              <w:t>0110</w:t>
            </w:r>
          </w:p>
        </w:tc>
        <w:tc>
          <w:tcPr>
            <w:tcW w:w="8190" w:type="dxa"/>
            <w:tcBorders>
              <w:bottom w:val="single" w:sz="4" w:space="0" w:color="auto"/>
            </w:tcBorders>
          </w:tcPr>
          <w:p w14:paraId="5ECF6105" w14:textId="77777777" w:rsidR="009912F8" w:rsidRPr="00E07C9A" w:rsidRDefault="00973707" w:rsidP="00AF3D7A">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CELKOVÁ DODATOČNÁ ÚPRAVA OCENENIA</w:t>
            </w:r>
          </w:p>
          <w:p w14:paraId="5D65E08E" w14:textId="44522F3F" w:rsidR="009912F8" w:rsidRPr="00E07C9A" w:rsidRDefault="00973707" w:rsidP="00AF3D7A">
            <w:pPr>
              <w:spacing w:beforeLines="60" w:before="144" w:afterLines="60" w:after="144"/>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Riadok 0010: celková dodatočná úprava ocenenia sa odpočítava od vlastných zdrojov</w:t>
            </w:r>
            <w:r w:rsidR="009912F8" w:rsidRPr="00E07C9A">
              <w:rPr>
                <w:rStyle w:val="InstructionsTabelleberschrift"/>
                <w:rFonts w:ascii="Times New Roman" w:hAnsi="Times New Roman"/>
                <w:b w:val="0"/>
                <w:sz w:val="24"/>
                <w:u w:val="none"/>
              </w:rPr>
              <w:t xml:space="preserve"> v </w:t>
            </w:r>
            <w:r w:rsidRPr="00E07C9A">
              <w:rPr>
                <w:rStyle w:val="InstructionsTabelleberschrift"/>
                <w:rFonts w:ascii="Times New Roman" w:hAnsi="Times New Roman"/>
                <w:b w:val="0"/>
                <w:sz w:val="24"/>
                <w:u w:val="none"/>
              </w:rPr>
              <w:t>súlade</w:t>
            </w:r>
            <w:r w:rsidR="009912F8" w:rsidRPr="00E07C9A">
              <w:rPr>
                <w:rStyle w:val="InstructionsTabelleberschrift"/>
                <w:rFonts w:ascii="Times New Roman" w:hAnsi="Times New Roman"/>
                <w:b w:val="0"/>
                <w:sz w:val="24"/>
                <w:u w:val="none"/>
              </w:rPr>
              <w:t xml:space="preserve"> s </w:t>
            </w:r>
            <w:r w:rsidRPr="00E07C9A">
              <w:rPr>
                <w:rStyle w:val="InstructionsTabelleberschrift"/>
                <w:rFonts w:ascii="Times New Roman" w:hAnsi="Times New Roman"/>
                <w:b w:val="0"/>
                <w:sz w:val="24"/>
                <w:u w:val="none"/>
              </w:rPr>
              <w:t>článkami 34</w:t>
            </w:r>
            <w:r w:rsidR="009912F8" w:rsidRPr="00E07C9A">
              <w:rPr>
                <w:rStyle w:val="InstructionsTabelleberschrift"/>
                <w:rFonts w:ascii="Times New Roman" w:hAnsi="Times New Roman"/>
                <w:b w:val="0"/>
                <w:sz w:val="24"/>
                <w:u w:val="none"/>
              </w:rPr>
              <w:t xml:space="preserve"> a </w:t>
            </w:r>
            <w:r w:rsidRPr="00E07C9A">
              <w:rPr>
                <w:rStyle w:val="InstructionsTabelleberschrift"/>
                <w:rFonts w:ascii="Times New Roman" w:hAnsi="Times New Roman"/>
                <w:b w:val="0"/>
                <w:sz w:val="24"/>
                <w:u w:val="none"/>
              </w:rPr>
              <w:t>105</w:t>
            </w:r>
            <w:r w:rsidRPr="00E07C9A">
              <w:rPr>
                <w:rFonts w:ascii="Times New Roman" w:hAnsi="Times New Roman"/>
                <w:sz w:val="24"/>
              </w:rPr>
              <w:t xml:space="preserve"> nariadenia (EÚ) </w:t>
            </w:r>
            <w:r w:rsidR="009912F8" w:rsidRPr="00E07C9A">
              <w:rPr>
                <w:rFonts w:ascii="Times New Roman" w:hAnsi="Times New Roman"/>
                <w:sz w:val="24"/>
              </w:rPr>
              <w:t>č. 575/2013</w:t>
            </w:r>
            <w:r w:rsidR="009912F8" w:rsidRPr="00E07C9A">
              <w:rPr>
                <w:rStyle w:val="InstructionsTabelleberschrift"/>
                <w:rFonts w:ascii="Times New Roman" w:hAnsi="Times New Roman"/>
                <w:b w:val="0"/>
                <w:sz w:val="24"/>
                <w:u w:val="none"/>
              </w:rPr>
              <w:t xml:space="preserve"> a </w:t>
            </w:r>
            <w:r w:rsidRPr="00E07C9A">
              <w:rPr>
                <w:rStyle w:val="InstructionsTabelleberschrift"/>
                <w:rFonts w:ascii="Times New Roman" w:hAnsi="Times New Roman"/>
                <w:b w:val="0"/>
                <w:sz w:val="24"/>
                <w:u w:val="none"/>
              </w:rPr>
              <w:t>zodpovedajúcim spôsobom sa vykazuje</w:t>
            </w:r>
            <w:r w:rsidR="009912F8" w:rsidRPr="00E07C9A">
              <w:rPr>
                <w:rStyle w:val="InstructionsTabelleberschrift"/>
                <w:rFonts w:ascii="Times New Roman" w:hAnsi="Times New Roman"/>
                <w:b w:val="0"/>
                <w:sz w:val="24"/>
                <w:u w:val="none"/>
              </w:rPr>
              <w:t xml:space="preserve"> v </w:t>
            </w:r>
            <w:r w:rsidRPr="00E07C9A">
              <w:rPr>
                <w:rStyle w:val="InstructionsTabelleberschrift"/>
                <w:rFonts w:ascii="Times New Roman" w:hAnsi="Times New Roman"/>
                <w:b w:val="0"/>
                <w:sz w:val="24"/>
                <w:u w:val="none"/>
              </w:rPr>
              <w:t>riadku 0290 vzoru C 01.00. Celková dodatočná úprava ocenenia je súčtom riadkov 0030</w:t>
            </w:r>
            <w:r w:rsidR="009912F8" w:rsidRPr="00E07C9A">
              <w:rPr>
                <w:rStyle w:val="InstructionsTabelleberschrift"/>
                <w:rFonts w:ascii="Times New Roman" w:hAnsi="Times New Roman"/>
                <w:b w:val="0"/>
                <w:sz w:val="24"/>
                <w:u w:val="none"/>
              </w:rPr>
              <w:t xml:space="preserve"> a </w:t>
            </w:r>
            <w:r w:rsidRPr="00E07C9A">
              <w:rPr>
                <w:rStyle w:val="InstructionsTabelleberschrift"/>
                <w:rFonts w:ascii="Times New Roman" w:hAnsi="Times New Roman"/>
                <w:b w:val="0"/>
                <w:sz w:val="24"/>
                <w:u w:val="none"/>
              </w:rPr>
              <w:t>0180</w:t>
            </w:r>
            <w:r w:rsidR="009912F8" w:rsidRPr="00E07C9A">
              <w:rPr>
                <w:rStyle w:val="InstructionsTabelleberschrift"/>
                <w:rFonts w:ascii="Times New Roman" w:hAnsi="Times New Roman"/>
                <w:b w:val="0"/>
                <w:sz w:val="24"/>
                <w:u w:val="none"/>
              </w:rPr>
              <w:t>.</w:t>
            </w:r>
          </w:p>
          <w:p w14:paraId="351349C2" w14:textId="47F3D4A5" w:rsidR="009912F8" w:rsidRPr="00E07C9A" w:rsidRDefault="00973707" w:rsidP="00AF3D7A">
            <w:pPr>
              <w:spacing w:beforeLines="60" w:before="144" w:afterLines="60" w:after="144"/>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Riadok 0020: podiel celkovej dodatočnej úpravy ocenenia vykázanej</w:t>
            </w:r>
            <w:r w:rsidR="009912F8" w:rsidRPr="00E07C9A">
              <w:rPr>
                <w:rStyle w:val="InstructionsTabelleberschrift"/>
                <w:rFonts w:ascii="Times New Roman" w:hAnsi="Times New Roman"/>
                <w:b w:val="0"/>
                <w:sz w:val="24"/>
                <w:u w:val="none"/>
              </w:rPr>
              <w:t xml:space="preserve"> v </w:t>
            </w:r>
            <w:r w:rsidRPr="00E07C9A">
              <w:rPr>
                <w:rStyle w:val="InstructionsTabelleberschrift"/>
                <w:rFonts w:ascii="Times New Roman" w:hAnsi="Times New Roman"/>
                <w:b w:val="0"/>
                <w:sz w:val="24"/>
                <w:u w:val="none"/>
              </w:rPr>
              <w:t>riadku 0010 pochádzajúci</w:t>
            </w:r>
            <w:r w:rsidR="009912F8" w:rsidRPr="00E07C9A">
              <w:rPr>
                <w:rStyle w:val="InstructionsTabelleberschrift"/>
                <w:rFonts w:ascii="Times New Roman" w:hAnsi="Times New Roman"/>
                <w:b w:val="0"/>
                <w:sz w:val="24"/>
                <w:u w:val="none"/>
              </w:rPr>
              <w:t xml:space="preserve"> z </w:t>
            </w:r>
            <w:r w:rsidRPr="00E07C9A">
              <w:rPr>
                <w:rStyle w:val="InstructionsTabelleberschrift"/>
                <w:rFonts w:ascii="Times New Roman" w:hAnsi="Times New Roman"/>
                <w:b w:val="0"/>
                <w:sz w:val="24"/>
                <w:u w:val="none"/>
              </w:rPr>
              <w:t>pozícií</w:t>
            </w:r>
            <w:r w:rsidR="009912F8" w:rsidRPr="00E07C9A">
              <w:rPr>
                <w:rStyle w:val="InstructionsTabelleberschrift"/>
                <w:rFonts w:ascii="Times New Roman" w:hAnsi="Times New Roman"/>
                <w:b w:val="0"/>
                <w:sz w:val="24"/>
                <w:u w:val="none"/>
              </w:rPr>
              <w:t xml:space="preserve"> v </w:t>
            </w:r>
            <w:r w:rsidRPr="00E07C9A">
              <w:rPr>
                <w:rStyle w:val="InstructionsTabelleberschrift"/>
                <w:rFonts w:ascii="Times New Roman" w:hAnsi="Times New Roman"/>
                <w:b w:val="0"/>
                <w:sz w:val="24"/>
                <w:u w:val="none"/>
              </w:rPr>
              <w:t>obchodnej knihe (absolútna hodnota)</w:t>
            </w:r>
            <w:r w:rsidR="009912F8" w:rsidRPr="00E07C9A">
              <w:rPr>
                <w:rStyle w:val="InstructionsTabelleberschrift"/>
                <w:rFonts w:ascii="Times New Roman" w:hAnsi="Times New Roman"/>
                <w:b w:val="0"/>
                <w:sz w:val="24"/>
                <w:u w:val="none"/>
              </w:rPr>
              <w:t>.</w:t>
            </w:r>
          </w:p>
          <w:p w14:paraId="1234244D" w14:textId="5563C757" w:rsidR="009912F8" w:rsidRPr="00E07C9A" w:rsidRDefault="00973707" w:rsidP="00AF3D7A">
            <w:pPr>
              <w:spacing w:beforeLines="60" w:before="144" w:afterLines="60" w:after="144"/>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Riadky 0030 až 0160: súčet stĺpcov 0010, 0030, 0050</w:t>
            </w:r>
            <w:r w:rsidR="009912F8" w:rsidRPr="00E07C9A">
              <w:rPr>
                <w:rStyle w:val="InstructionsTabelleberschrift"/>
                <w:rFonts w:ascii="Times New Roman" w:hAnsi="Times New Roman"/>
                <w:b w:val="0"/>
                <w:sz w:val="24"/>
                <w:u w:val="none"/>
              </w:rPr>
              <w:t xml:space="preserve"> a </w:t>
            </w:r>
            <w:r w:rsidRPr="00E07C9A">
              <w:rPr>
                <w:rStyle w:val="InstructionsTabelleberschrift"/>
                <w:rFonts w:ascii="Times New Roman" w:hAnsi="Times New Roman"/>
                <w:b w:val="0"/>
                <w:sz w:val="24"/>
                <w:u w:val="none"/>
              </w:rPr>
              <w:t>0070 až 0100</w:t>
            </w:r>
            <w:r w:rsidR="009912F8" w:rsidRPr="00E07C9A">
              <w:rPr>
                <w:rStyle w:val="InstructionsTabelleberschrift"/>
                <w:rFonts w:ascii="Times New Roman" w:hAnsi="Times New Roman"/>
                <w:b w:val="0"/>
                <w:sz w:val="24"/>
                <w:u w:val="none"/>
              </w:rPr>
              <w:t>.</w:t>
            </w:r>
          </w:p>
          <w:p w14:paraId="10626377" w14:textId="3865132B" w:rsidR="00973707" w:rsidRPr="00E07C9A" w:rsidRDefault="00973707" w:rsidP="00AF3D7A">
            <w:pPr>
              <w:spacing w:beforeLines="60" w:before="144" w:afterLines="60" w:after="144"/>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Riadky 0180 až 0210: celková dodatočná úprava ocenenia pochádzajúca</w:t>
            </w:r>
            <w:r w:rsidR="009912F8" w:rsidRPr="00E07C9A">
              <w:rPr>
                <w:rStyle w:val="InstructionsTabelleberschrift"/>
                <w:rFonts w:ascii="Times New Roman" w:hAnsi="Times New Roman"/>
                <w:b w:val="0"/>
                <w:sz w:val="24"/>
                <w:u w:val="none"/>
              </w:rPr>
              <w:t xml:space="preserve"> z </w:t>
            </w:r>
            <w:r w:rsidRPr="00E07C9A">
              <w:rPr>
                <w:rStyle w:val="InstructionsTabelleberschrift"/>
                <w:rFonts w:ascii="Times New Roman" w:hAnsi="Times New Roman"/>
                <w:b w:val="0"/>
                <w:sz w:val="24"/>
                <w:u w:val="none"/>
              </w:rPr>
              <w:t xml:space="preserve">portfólií, na ktoré sa vzťahuje rezervný prístup. </w:t>
            </w:r>
          </w:p>
        </w:tc>
      </w:tr>
      <w:tr w:rsidR="00973707" w:rsidRPr="00E07C9A" w14:paraId="12D19B4D" w14:textId="77777777" w:rsidTr="00672D2A">
        <w:tc>
          <w:tcPr>
            <w:tcW w:w="1101" w:type="dxa"/>
            <w:tcBorders>
              <w:bottom w:val="single" w:sz="4" w:space="0" w:color="auto"/>
            </w:tcBorders>
          </w:tcPr>
          <w:p w14:paraId="5C41835A" w14:textId="77777777" w:rsidR="00973707" w:rsidRPr="00E07C9A" w:rsidRDefault="009A7A38" w:rsidP="00AF3D7A">
            <w:pPr>
              <w:spacing w:beforeLines="60" w:before="144" w:afterLines="60" w:after="144"/>
              <w:rPr>
                <w:rFonts w:ascii="Times New Roman" w:hAnsi="Times New Roman"/>
                <w:sz w:val="24"/>
              </w:rPr>
            </w:pPr>
            <w:r w:rsidRPr="00E07C9A">
              <w:rPr>
                <w:rFonts w:ascii="Times New Roman" w:hAnsi="Times New Roman"/>
                <w:sz w:val="24"/>
              </w:rPr>
              <w:t>0120</w:t>
            </w:r>
          </w:p>
        </w:tc>
        <w:tc>
          <w:tcPr>
            <w:tcW w:w="8190" w:type="dxa"/>
            <w:tcBorders>
              <w:bottom w:val="single" w:sz="4" w:space="0" w:color="auto"/>
            </w:tcBorders>
          </w:tcPr>
          <w:p w14:paraId="58590C8E" w14:textId="77777777" w:rsidR="00973707" w:rsidRPr="00E07C9A" w:rsidRDefault="00973707" w:rsidP="00AF3D7A">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NEISTOTA ZLEPŠENIA</w:t>
            </w:r>
          </w:p>
          <w:p w14:paraId="6B437CE6" w14:textId="77777777" w:rsidR="00973707" w:rsidRPr="00E07C9A" w:rsidRDefault="00973707" w:rsidP="00AF3D7A">
            <w:pPr>
              <w:spacing w:beforeLines="60" w:before="144" w:afterLines="60" w:after="144"/>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Článok 8 ods. 2</w:t>
            </w:r>
            <w:r w:rsidRPr="00E07C9A">
              <w:rPr>
                <w:rFonts w:ascii="Times New Roman" w:hAnsi="Times New Roman"/>
                <w:sz w:val="24"/>
              </w:rPr>
              <w:t xml:space="preserve"> delegovaného nariadenia (EÚ) 2016/101</w:t>
            </w:r>
          </w:p>
          <w:p w14:paraId="171B712D" w14:textId="3E18FEFE" w:rsidR="00973707" w:rsidRPr="00E07C9A" w:rsidRDefault="00973707" w:rsidP="00AF3D7A">
            <w:pPr>
              <w:spacing w:beforeLines="60" w:before="144" w:afterLines="60" w:after="144"/>
              <w:rPr>
                <w:rFonts w:ascii="Times New Roman" w:hAnsi="Times New Roman"/>
                <w:sz w:val="24"/>
              </w:rPr>
            </w:pPr>
            <w:r w:rsidRPr="00E07C9A">
              <w:rPr>
                <w:rFonts w:ascii="Times New Roman" w:hAnsi="Times New Roman"/>
                <w:sz w:val="24"/>
              </w:rPr>
              <w:t>Neistota zlepšenia sa vypočítava</w:t>
            </w:r>
            <w:r w:rsidR="009912F8" w:rsidRPr="00E07C9A">
              <w:rPr>
                <w:rFonts w:ascii="Times New Roman" w:hAnsi="Times New Roman"/>
                <w:sz w:val="24"/>
              </w:rPr>
              <w:t xml:space="preserve"> a </w:t>
            </w:r>
            <w:r w:rsidRPr="00E07C9A">
              <w:rPr>
                <w:rFonts w:ascii="Times New Roman" w:hAnsi="Times New Roman"/>
                <w:sz w:val="24"/>
              </w:rPr>
              <w:t>agreguje na rovnakom základe ako celková dodatočná úprava ocenenia vypočítaná</w:t>
            </w:r>
            <w:r w:rsidR="009912F8" w:rsidRPr="00E07C9A">
              <w:rPr>
                <w:rFonts w:ascii="Times New Roman" w:hAnsi="Times New Roman"/>
                <w:sz w:val="24"/>
              </w:rPr>
              <w:t xml:space="preserve"> v </w:t>
            </w:r>
            <w:r w:rsidRPr="00E07C9A">
              <w:rPr>
                <w:rFonts w:ascii="Times New Roman" w:hAnsi="Times New Roman"/>
                <w:sz w:val="24"/>
              </w:rPr>
              <w:t>stĺpci 0110, pričom sa 90</w:t>
            </w:r>
            <w:r w:rsidR="009912F8" w:rsidRPr="00E07C9A">
              <w:rPr>
                <w:rFonts w:ascii="Times New Roman" w:hAnsi="Times New Roman"/>
              </w:rPr>
              <w:t> %</w:t>
            </w:r>
            <w:r w:rsidRPr="00E07C9A">
              <w:rPr>
                <w:rFonts w:ascii="Times New Roman" w:hAnsi="Times New Roman"/>
                <w:sz w:val="24"/>
              </w:rPr>
              <w:t>-ná istota použitá pri určovaní celkovej dodatočnej úpravy ocenenia nahradí 10</w:t>
            </w:r>
            <w:r w:rsidR="009912F8" w:rsidRPr="00E07C9A">
              <w:rPr>
                <w:rFonts w:ascii="Times New Roman" w:hAnsi="Times New Roman"/>
                <w:sz w:val="24"/>
              </w:rPr>
              <w:t> %</w:t>
            </w:r>
            <w:r w:rsidRPr="00E07C9A">
              <w:rPr>
                <w:rFonts w:ascii="Times New Roman" w:hAnsi="Times New Roman"/>
                <w:sz w:val="24"/>
              </w:rPr>
              <w:t>-nou istotou.</w:t>
            </w:r>
          </w:p>
        </w:tc>
      </w:tr>
      <w:tr w:rsidR="00973707" w:rsidRPr="00E07C9A" w14:paraId="390AE8DA" w14:textId="77777777" w:rsidTr="00672D2A">
        <w:tc>
          <w:tcPr>
            <w:tcW w:w="1101" w:type="dxa"/>
          </w:tcPr>
          <w:p w14:paraId="0E3F852F" w14:textId="77777777" w:rsidR="00973707" w:rsidRPr="00E07C9A" w:rsidRDefault="009A7A38" w:rsidP="00AF3D7A">
            <w:pPr>
              <w:spacing w:beforeLines="60" w:before="144" w:afterLines="60" w:after="144"/>
              <w:rPr>
                <w:rFonts w:ascii="Times New Roman" w:hAnsi="Times New Roman"/>
                <w:sz w:val="24"/>
              </w:rPr>
            </w:pPr>
            <w:r w:rsidRPr="00E07C9A">
              <w:rPr>
                <w:rFonts w:ascii="Times New Roman" w:hAnsi="Times New Roman"/>
                <w:sz w:val="24"/>
              </w:rPr>
              <w:t>0130 – 0140</w:t>
            </w:r>
          </w:p>
        </w:tc>
        <w:tc>
          <w:tcPr>
            <w:tcW w:w="8190" w:type="dxa"/>
          </w:tcPr>
          <w:p w14:paraId="35E515FF" w14:textId="77777777" w:rsidR="00973707" w:rsidRPr="00E07C9A" w:rsidRDefault="00973707" w:rsidP="00AF3D7A">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REÁLNOU HODNOTOU OCENENÉ AKTÍVA A ZÁVÄZKY</w:t>
            </w:r>
          </w:p>
          <w:p w14:paraId="306D66BD" w14:textId="1CCDB58D" w:rsidR="009912F8" w:rsidRPr="00E07C9A" w:rsidRDefault="00973707" w:rsidP="00AF3D7A">
            <w:pPr>
              <w:spacing w:beforeLines="60" w:before="144" w:afterLines="60" w:after="144"/>
              <w:rPr>
                <w:rFonts w:ascii="Times New Roman" w:hAnsi="Times New Roman"/>
                <w:sz w:val="24"/>
              </w:rPr>
            </w:pPr>
            <w:r w:rsidRPr="00E07C9A">
              <w:rPr>
                <w:rFonts w:ascii="Times New Roman" w:hAnsi="Times New Roman"/>
                <w:sz w:val="24"/>
              </w:rPr>
              <w:t>Absolútna hodnota reálnou hodnotou ocenených aktív</w:t>
            </w:r>
            <w:r w:rsidR="009912F8" w:rsidRPr="00E07C9A">
              <w:rPr>
                <w:rFonts w:ascii="Times New Roman" w:hAnsi="Times New Roman"/>
                <w:sz w:val="24"/>
              </w:rPr>
              <w:t xml:space="preserve"> a </w:t>
            </w:r>
            <w:r w:rsidRPr="00E07C9A">
              <w:rPr>
                <w:rFonts w:ascii="Times New Roman" w:hAnsi="Times New Roman"/>
                <w:sz w:val="24"/>
              </w:rPr>
              <w:t>záväzkov zodpovedajúca hodnotám dodatočnej úpravy ocenenia vykázaným</w:t>
            </w:r>
            <w:r w:rsidR="009912F8" w:rsidRPr="00E07C9A">
              <w:rPr>
                <w:rFonts w:ascii="Times New Roman" w:hAnsi="Times New Roman"/>
                <w:sz w:val="24"/>
              </w:rPr>
              <w:t xml:space="preserve"> v </w:t>
            </w:r>
            <w:r w:rsidRPr="00E07C9A">
              <w:rPr>
                <w:rFonts w:ascii="Times New Roman" w:hAnsi="Times New Roman"/>
                <w:sz w:val="24"/>
              </w:rPr>
              <w:t>riadkoch 0010 až 0130</w:t>
            </w:r>
            <w:r w:rsidR="009912F8" w:rsidRPr="00E07C9A">
              <w:rPr>
                <w:rFonts w:ascii="Times New Roman" w:hAnsi="Times New Roman"/>
                <w:sz w:val="24"/>
              </w:rPr>
              <w:t xml:space="preserve"> a v </w:t>
            </w:r>
            <w:r w:rsidRPr="00E07C9A">
              <w:rPr>
                <w:rFonts w:ascii="Times New Roman" w:hAnsi="Times New Roman"/>
                <w:sz w:val="24"/>
              </w:rPr>
              <w:t>riadku 0180.</w:t>
            </w:r>
            <w:r w:rsidR="009912F8" w:rsidRPr="00E07C9A">
              <w:rPr>
                <w:rFonts w:ascii="Times New Roman" w:hAnsi="Times New Roman"/>
                <w:sz w:val="24"/>
              </w:rPr>
              <w:t xml:space="preserve"> V </w:t>
            </w:r>
            <w:r w:rsidRPr="00E07C9A">
              <w:rPr>
                <w:rFonts w:ascii="Times New Roman" w:hAnsi="Times New Roman"/>
                <w:sz w:val="24"/>
              </w:rPr>
              <w:t>prípade niektorých riadkov, predovšetkým riadkov 0090 až 0130, uvedené hodnoty možno budú musieť byť aproximované alebo zaradené na základe odborného posúdenia</w:t>
            </w:r>
            <w:r w:rsidR="009912F8" w:rsidRPr="00E07C9A">
              <w:rPr>
                <w:rFonts w:ascii="Times New Roman" w:hAnsi="Times New Roman"/>
                <w:sz w:val="24"/>
              </w:rPr>
              <w:t>.</w:t>
            </w:r>
          </w:p>
          <w:p w14:paraId="752FC774" w14:textId="59A79BEF" w:rsidR="009912F8" w:rsidRPr="00E07C9A" w:rsidRDefault="00973707" w:rsidP="0002267E">
            <w:pPr>
              <w:spacing w:beforeLines="60" w:before="144" w:afterLines="60" w:after="144"/>
              <w:jc w:val="left"/>
              <w:rPr>
                <w:rFonts w:ascii="Times New Roman" w:hAnsi="Times New Roman"/>
                <w:sz w:val="24"/>
              </w:rPr>
            </w:pPr>
            <w:r w:rsidRPr="00E07C9A">
              <w:rPr>
                <w:rFonts w:ascii="Times New Roman" w:hAnsi="Times New Roman"/>
                <w:sz w:val="24"/>
              </w:rPr>
              <w:t>Riadok 0010: celková absolútna hodnota reálnou hodnotou ocenených aktív</w:t>
            </w:r>
            <w:r w:rsidR="009912F8" w:rsidRPr="00E07C9A">
              <w:rPr>
                <w:rFonts w:ascii="Times New Roman" w:hAnsi="Times New Roman"/>
                <w:sz w:val="24"/>
              </w:rPr>
              <w:t xml:space="preserve"> a </w:t>
            </w:r>
            <w:r w:rsidRPr="00E07C9A">
              <w:rPr>
                <w:rFonts w:ascii="Times New Roman" w:hAnsi="Times New Roman"/>
                <w:sz w:val="24"/>
              </w:rPr>
              <w:t>záväzkov zahrnutých do výpočtu prahovej hodnoty podľa článku 4 ods. 1 delegovaného nariadenia (EÚ) 2016/101. Zahŕňa to absolútnu hodnotu reálnou hodnotou ocenených aktív</w:t>
            </w:r>
            <w:r w:rsidR="009912F8" w:rsidRPr="00E07C9A">
              <w:rPr>
                <w:rFonts w:ascii="Times New Roman" w:hAnsi="Times New Roman"/>
                <w:sz w:val="24"/>
              </w:rPr>
              <w:t xml:space="preserve"> a </w:t>
            </w:r>
            <w:r w:rsidRPr="00E07C9A">
              <w:rPr>
                <w:rFonts w:ascii="Times New Roman" w:hAnsi="Times New Roman"/>
                <w:sz w:val="24"/>
              </w:rPr>
              <w:t>záväzkov, ktorých dodatočné úpravy ocenenia sú ocenené nulovou hodnotou podľa článku 9 ods. 2, článku 10 ods. 2 alebo článku 10 ods. 3 delegovaného nariadenia (EÚ) 2016/101</w:t>
            </w:r>
            <w:r w:rsidR="009912F8" w:rsidRPr="00E07C9A">
              <w:rPr>
                <w:rFonts w:ascii="Times New Roman" w:hAnsi="Times New Roman"/>
                <w:sz w:val="24"/>
              </w:rPr>
              <w:t xml:space="preserve"> a </w:t>
            </w:r>
            <w:r w:rsidRPr="00E07C9A">
              <w:rPr>
                <w:rFonts w:ascii="Times New Roman" w:hAnsi="Times New Roman"/>
                <w:sz w:val="24"/>
              </w:rPr>
              <w:t>ktoré sú samostatne vykazované</w:t>
            </w:r>
            <w:r w:rsidR="009912F8" w:rsidRPr="00E07C9A">
              <w:rPr>
                <w:rFonts w:ascii="Times New Roman" w:hAnsi="Times New Roman"/>
                <w:sz w:val="24"/>
              </w:rPr>
              <w:t xml:space="preserve"> v </w:t>
            </w:r>
            <w:r w:rsidRPr="00E07C9A">
              <w:rPr>
                <w:rFonts w:ascii="Times New Roman" w:hAnsi="Times New Roman"/>
                <w:sz w:val="24"/>
              </w:rPr>
              <w:t>riadkoch 0070</w:t>
            </w:r>
            <w:r w:rsidR="009912F8" w:rsidRPr="00E07C9A">
              <w:rPr>
                <w:rFonts w:ascii="Times New Roman" w:hAnsi="Times New Roman"/>
                <w:sz w:val="24"/>
              </w:rPr>
              <w:t xml:space="preserve"> a </w:t>
            </w:r>
            <w:r w:rsidRPr="00E07C9A">
              <w:rPr>
                <w:rFonts w:ascii="Times New Roman" w:hAnsi="Times New Roman"/>
                <w:sz w:val="24"/>
              </w:rPr>
              <w:t>0080</w:t>
            </w:r>
            <w:r w:rsidR="009912F8" w:rsidRPr="00E07C9A">
              <w:rPr>
                <w:rFonts w:ascii="Times New Roman" w:hAnsi="Times New Roman"/>
                <w:sz w:val="24"/>
              </w:rPr>
              <w:t>.</w:t>
            </w:r>
          </w:p>
          <w:p w14:paraId="34CE0C61" w14:textId="00171265" w:rsidR="009912F8" w:rsidRPr="00E07C9A" w:rsidRDefault="00973707" w:rsidP="0002267E">
            <w:pPr>
              <w:spacing w:beforeLines="60" w:before="144" w:afterLines="60" w:after="144"/>
              <w:jc w:val="left"/>
              <w:rPr>
                <w:rFonts w:ascii="Times New Roman" w:hAnsi="Times New Roman"/>
                <w:sz w:val="24"/>
              </w:rPr>
            </w:pPr>
            <w:r w:rsidRPr="00E07C9A">
              <w:rPr>
                <w:rFonts w:ascii="Times New Roman" w:hAnsi="Times New Roman"/>
                <w:sz w:val="24"/>
              </w:rPr>
              <w:t>Riadok 0010 je súčtom riadku 0030</w:t>
            </w:r>
            <w:r w:rsidR="009912F8" w:rsidRPr="00E07C9A">
              <w:rPr>
                <w:rFonts w:ascii="Times New Roman" w:hAnsi="Times New Roman"/>
                <w:sz w:val="24"/>
              </w:rPr>
              <w:t xml:space="preserve"> a </w:t>
            </w:r>
            <w:r w:rsidRPr="00E07C9A">
              <w:rPr>
                <w:rFonts w:ascii="Times New Roman" w:hAnsi="Times New Roman"/>
                <w:sz w:val="24"/>
              </w:rPr>
              <w:t>riadku 0180</w:t>
            </w:r>
            <w:r w:rsidR="009912F8" w:rsidRPr="00E07C9A">
              <w:rPr>
                <w:rFonts w:ascii="Times New Roman" w:hAnsi="Times New Roman"/>
                <w:sz w:val="24"/>
              </w:rPr>
              <w:t>.</w:t>
            </w:r>
          </w:p>
          <w:p w14:paraId="0A027A5A" w14:textId="1CE5741C" w:rsidR="009912F8" w:rsidRPr="00E07C9A" w:rsidRDefault="00973707" w:rsidP="00AF3D7A">
            <w:pPr>
              <w:spacing w:beforeLines="60" w:before="144" w:afterLines="60" w:after="144"/>
              <w:rPr>
                <w:rFonts w:ascii="Times New Roman" w:hAnsi="Times New Roman"/>
                <w:sz w:val="24"/>
              </w:rPr>
            </w:pPr>
            <w:r w:rsidRPr="00E07C9A">
              <w:rPr>
                <w:rFonts w:ascii="Times New Roman" w:hAnsi="Times New Roman"/>
                <w:sz w:val="24"/>
              </w:rPr>
              <w:t>Riadok 0020: podiel celkovej absolútnej hodnoty reálnou hodnotou ocenených aktív</w:t>
            </w:r>
            <w:r w:rsidR="009912F8" w:rsidRPr="00E07C9A">
              <w:rPr>
                <w:rFonts w:ascii="Times New Roman" w:hAnsi="Times New Roman"/>
                <w:sz w:val="24"/>
              </w:rPr>
              <w:t xml:space="preserve"> a </w:t>
            </w:r>
            <w:r w:rsidRPr="00E07C9A">
              <w:rPr>
                <w:rFonts w:ascii="Times New Roman" w:hAnsi="Times New Roman"/>
                <w:sz w:val="24"/>
              </w:rPr>
              <w:t>záväzkov vykázaný</w:t>
            </w:r>
            <w:r w:rsidR="009912F8" w:rsidRPr="00E07C9A">
              <w:rPr>
                <w:rFonts w:ascii="Times New Roman" w:hAnsi="Times New Roman"/>
                <w:sz w:val="24"/>
              </w:rPr>
              <w:t xml:space="preserve"> v </w:t>
            </w:r>
            <w:r w:rsidRPr="00E07C9A">
              <w:rPr>
                <w:rFonts w:ascii="Times New Roman" w:hAnsi="Times New Roman"/>
                <w:sz w:val="24"/>
              </w:rPr>
              <w:t>riadku 0010 pochádzajúci</w:t>
            </w:r>
            <w:r w:rsidR="009912F8" w:rsidRPr="00E07C9A">
              <w:rPr>
                <w:rFonts w:ascii="Times New Roman" w:hAnsi="Times New Roman"/>
                <w:sz w:val="24"/>
              </w:rPr>
              <w:t xml:space="preserve"> z </w:t>
            </w:r>
            <w:r w:rsidRPr="00E07C9A">
              <w:rPr>
                <w:rFonts w:ascii="Times New Roman" w:hAnsi="Times New Roman"/>
                <w:sz w:val="24"/>
              </w:rPr>
              <w:t>pozícií</w:t>
            </w:r>
            <w:r w:rsidR="009912F8" w:rsidRPr="00E07C9A">
              <w:rPr>
                <w:rFonts w:ascii="Times New Roman" w:hAnsi="Times New Roman"/>
                <w:sz w:val="24"/>
              </w:rPr>
              <w:t xml:space="preserve"> v </w:t>
            </w:r>
            <w:r w:rsidRPr="00E07C9A">
              <w:rPr>
                <w:rFonts w:ascii="Times New Roman" w:hAnsi="Times New Roman"/>
                <w:sz w:val="24"/>
              </w:rPr>
              <w:t>obchodnej knihe (absolútna hodnota)</w:t>
            </w:r>
            <w:r w:rsidR="009912F8" w:rsidRPr="00E07C9A">
              <w:rPr>
                <w:rFonts w:ascii="Times New Roman" w:hAnsi="Times New Roman"/>
                <w:sz w:val="24"/>
              </w:rPr>
              <w:t>.</w:t>
            </w:r>
          </w:p>
          <w:p w14:paraId="2B07607F" w14:textId="740D86EF" w:rsidR="00973707" w:rsidRPr="00E07C9A" w:rsidRDefault="00973707" w:rsidP="00AF3D7A">
            <w:pPr>
              <w:spacing w:beforeLines="60" w:before="144" w:afterLines="60" w:after="144"/>
              <w:rPr>
                <w:rFonts w:ascii="Times New Roman" w:hAnsi="Times New Roman"/>
                <w:sz w:val="24"/>
              </w:rPr>
            </w:pPr>
            <w:r w:rsidRPr="00E07C9A">
              <w:rPr>
                <w:rFonts w:ascii="Times New Roman" w:hAnsi="Times New Roman"/>
                <w:sz w:val="24"/>
              </w:rPr>
              <w:t>Riadok 0030: absolútna hodnota reálnou hodnotou ocenených aktív</w:t>
            </w:r>
            <w:r w:rsidR="009912F8" w:rsidRPr="00E07C9A">
              <w:rPr>
                <w:rFonts w:ascii="Times New Roman" w:hAnsi="Times New Roman"/>
                <w:sz w:val="24"/>
              </w:rPr>
              <w:t xml:space="preserve"> a </w:t>
            </w:r>
            <w:r w:rsidRPr="00E07C9A">
              <w:rPr>
                <w:rFonts w:ascii="Times New Roman" w:hAnsi="Times New Roman"/>
                <w:sz w:val="24"/>
              </w:rPr>
              <w:t>záväzkov zodpovedajúcich portfóliám podľa článkov 9 až 17 delegovaného nariadenia (EÚ) 2016/101. Zahŕňa to absolútnu hodnotu reálnou hodnotou ocenených aktív</w:t>
            </w:r>
            <w:r w:rsidR="009912F8" w:rsidRPr="00E07C9A">
              <w:rPr>
                <w:rFonts w:ascii="Times New Roman" w:hAnsi="Times New Roman"/>
                <w:sz w:val="24"/>
              </w:rPr>
              <w:t xml:space="preserve"> a </w:t>
            </w:r>
            <w:r w:rsidRPr="00E07C9A">
              <w:rPr>
                <w:rFonts w:ascii="Times New Roman" w:hAnsi="Times New Roman"/>
                <w:sz w:val="24"/>
              </w:rPr>
              <w:t>záväzkov, ktorých dodatočné úpravy ocenenia sú ocenené nulovou hodnotou podľa článku 9 ods. 2, článku 10 ods. 2 alebo článku 10 ods. 3 delegovaného nariadenia (EÚ) 2016/101</w:t>
            </w:r>
            <w:r w:rsidR="009912F8" w:rsidRPr="00E07C9A">
              <w:rPr>
                <w:rFonts w:ascii="Times New Roman" w:hAnsi="Times New Roman"/>
                <w:sz w:val="24"/>
              </w:rPr>
              <w:t xml:space="preserve"> a </w:t>
            </w:r>
            <w:r w:rsidRPr="00E07C9A">
              <w:rPr>
                <w:rFonts w:ascii="Times New Roman" w:hAnsi="Times New Roman"/>
                <w:sz w:val="24"/>
              </w:rPr>
              <w:t>ktoré sú samostatne vykazované</w:t>
            </w:r>
            <w:r w:rsidR="009912F8" w:rsidRPr="00E07C9A">
              <w:rPr>
                <w:rFonts w:ascii="Times New Roman" w:hAnsi="Times New Roman"/>
                <w:sz w:val="24"/>
              </w:rPr>
              <w:t xml:space="preserve"> v </w:t>
            </w:r>
            <w:r w:rsidRPr="00E07C9A">
              <w:rPr>
                <w:rFonts w:ascii="Times New Roman" w:hAnsi="Times New Roman"/>
                <w:sz w:val="24"/>
              </w:rPr>
              <w:t>riadkoch 0070</w:t>
            </w:r>
            <w:r w:rsidR="009912F8" w:rsidRPr="00E07C9A">
              <w:rPr>
                <w:rFonts w:ascii="Times New Roman" w:hAnsi="Times New Roman"/>
                <w:sz w:val="24"/>
              </w:rPr>
              <w:t xml:space="preserve"> a </w:t>
            </w:r>
            <w:r w:rsidRPr="00E07C9A">
              <w:rPr>
                <w:rFonts w:ascii="Times New Roman" w:hAnsi="Times New Roman"/>
                <w:sz w:val="24"/>
              </w:rPr>
              <w:t>0080. Riadok 0030 je súčtom riadkov 0090 až 0130.</w:t>
            </w:r>
          </w:p>
          <w:p w14:paraId="0C1C8AC6" w14:textId="3E901559" w:rsidR="009912F8" w:rsidRPr="00E07C9A" w:rsidRDefault="00973707" w:rsidP="00AF3D7A">
            <w:pPr>
              <w:spacing w:beforeLines="60" w:before="144" w:afterLines="60" w:after="144"/>
              <w:rPr>
                <w:rFonts w:ascii="Times New Roman" w:hAnsi="Times New Roman"/>
                <w:sz w:val="24"/>
              </w:rPr>
            </w:pPr>
            <w:r w:rsidRPr="00E07C9A">
              <w:rPr>
                <w:rFonts w:ascii="Times New Roman" w:hAnsi="Times New Roman"/>
                <w:sz w:val="24"/>
              </w:rPr>
              <w:t>Riadok 0050: absolútna hodnota reálnou hodnotou ocenených aktív</w:t>
            </w:r>
            <w:r w:rsidR="009912F8" w:rsidRPr="00E07C9A">
              <w:rPr>
                <w:rFonts w:ascii="Times New Roman" w:hAnsi="Times New Roman"/>
                <w:sz w:val="24"/>
              </w:rPr>
              <w:t xml:space="preserve"> a </w:t>
            </w:r>
            <w:r w:rsidRPr="00E07C9A">
              <w:rPr>
                <w:rFonts w:ascii="Times New Roman" w:hAnsi="Times New Roman"/>
                <w:sz w:val="24"/>
              </w:rPr>
              <w:t>záväzkov zahrnutých do rozsahu výpočtu dodatočnej úpravy ocenenia zohľadňujúcej nezískané kreditné rozpätie. Na účely výpočtu tejto dodatočnej úpravy ocenenia presne zodpovedajúce spárované aktíva</w:t>
            </w:r>
            <w:r w:rsidR="009912F8" w:rsidRPr="00E07C9A">
              <w:rPr>
                <w:rFonts w:ascii="Times New Roman" w:hAnsi="Times New Roman"/>
                <w:sz w:val="24"/>
              </w:rPr>
              <w:t xml:space="preserve"> a </w:t>
            </w:r>
            <w:r w:rsidRPr="00E07C9A">
              <w:rPr>
                <w:rFonts w:ascii="Times New Roman" w:hAnsi="Times New Roman"/>
                <w:sz w:val="24"/>
              </w:rPr>
              <w:t>záväzky ocenené reálnou hodnotou vylúčené</w:t>
            </w:r>
            <w:r w:rsidR="009912F8" w:rsidRPr="00E07C9A">
              <w:rPr>
                <w:rFonts w:ascii="Times New Roman" w:hAnsi="Times New Roman"/>
                <w:sz w:val="24"/>
              </w:rPr>
              <w:t xml:space="preserve"> z </w:t>
            </w:r>
            <w:r w:rsidRPr="00E07C9A">
              <w:rPr>
                <w:rFonts w:ascii="Times New Roman" w:hAnsi="Times New Roman"/>
                <w:sz w:val="24"/>
              </w:rPr>
              <w:t>výpočtu prahovej hodnoty podľa článku 4 ods. 2 delegovaného nariadenia (EÚ) 2016/101 nemožno viac považovať za presne zodpovedajúce spárované aktíva</w:t>
            </w:r>
            <w:r w:rsidR="009912F8" w:rsidRPr="00E07C9A">
              <w:rPr>
                <w:rFonts w:ascii="Times New Roman" w:hAnsi="Times New Roman"/>
                <w:sz w:val="24"/>
              </w:rPr>
              <w:t>.</w:t>
            </w:r>
          </w:p>
          <w:p w14:paraId="4D4CEB4F" w14:textId="79564E0A" w:rsidR="009912F8" w:rsidRPr="00E07C9A" w:rsidRDefault="00973707" w:rsidP="00AF3D7A">
            <w:pPr>
              <w:spacing w:beforeLines="60" w:before="144" w:afterLines="60" w:after="144"/>
              <w:rPr>
                <w:rFonts w:ascii="Times New Roman" w:hAnsi="Times New Roman"/>
                <w:sz w:val="24"/>
              </w:rPr>
            </w:pPr>
            <w:r w:rsidRPr="00E07C9A">
              <w:rPr>
                <w:rFonts w:ascii="Times New Roman" w:hAnsi="Times New Roman"/>
                <w:sz w:val="24"/>
              </w:rPr>
              <w:t>Riadok 0060: absolútna hodnota reálnou hodnotou ocenených aktív</w:t>
            </w:r>
            <w:r w:rsidR="009912F8" w:rsidRPr="00E07C9A">
              <w:rPr>
                <w:rFonts w:ascii="Times New Roman" w:hAnsi="Times New Roman"/>
                <w:sz w:val="24"/>
              </w:rPr>
              <w:t xml:space="preserve"> a </w:t>
            </w:r>
            <w:r w:rsidRPr="00E07C9A">
              <w:rPr>
                <w:rFonts w:ascii="Times New Roman" w:hAnsi="Times New Roman"/>
                <w:sz w:val="24"/>
              </w:rPr>
              <w:t>záväzkov zahrnutých do rozsahu výpočtu dodatočnej úpravy ocenenia zohľadňujúcej investičné náklady</w:t>
            </w:r>
            <w:r w:rsidR="009912F8" w:rsidRPr="00E07C9A">
              <w:rPr>
                <w:rFonts w:ascii="Times New Roman" w:hAnsi="Times New Roman"/>
                <w:sz w:val="24"/>
              </w:rPr>
              <w:t xml:space="preserve"> a </w:t>
            </w:r>
            <w:r w:rsidRPr="00E07C9A">
              <w:rPr>
                <w:rFonts w:ascii="Times New Roman" w:hAnsi="Times New Roman"/>
                <w:sz w:val="24"/>
              </w:rPr>
              <w:t>náklady na financovanie. Na účely výpočtu tejto dodatočnej úpravy ocenenia presne zodpovedajúce spárované aktíva</w:t>
            </w:r>
            <w:r w:rsidR="009912F8" w:rsidRPr="00E07C9A">
              <w:rPr>
                <w:rFonts w:ascii="Times New Roman" w:hAnsi="Times New Roman"/>
                <w:sz w:val="24"/>
              </w:rPr>
              <w:t xml:space="preserve"> a </w:t>
            </w:r>
            <w:r w:rsidRPr="00E07C9A">
              <w:rPr>
                <w:rFonts w:ascii="Times New Roman" w:hAnsi="Times New Roman"/>
                <w:sz w:val="24"/>
              </w:rPr>
              <w:t>záväzky ocenené reálnou hodnotou vylúčené</w:t>
            </w:r>
            <w:r w:rsidR="009912F8" w:rsidRPr="00E07C9A">
              <w:rPr>
                <w:rFonts w:ascii="Times New Roman" w:hAnsi="Times New Roman"/>
                <w:sz w:val="24"/>
              </w:rPr>
              <w:t xml:space="preserve"> z </w:t>
            </w:r>
            <w:r w:rsidRPr="00E07C9A">
              <w:rPr>
                <w:rFonts w:ascii="Times New Roman" w:hAnsi="Times New Roman"/>
                <w:sz w:val="24"/>
              </w:rPr>
              <w:t>výpočtu prahovej hodnoty podľa článku 4 ods. 2 delegovaného nariadenia (EÚ) 2016/101 nemožno viac považovať za presne zodpovedajúce spárované aktíva</w:t>
            </w:r>
            <w:r w:rsidR="009912F8" w:rsidRPr="00E07C9A">
              <w:rPr>
                <w:rFonts w:ascii="Times New Roman" w:hAnsi="Times New Roman"/>
                <w:sz w:val="24"/>
              </w:rPr>
              <w:t>.</w:t>
            </w:r>
          </w:p>
          <w:p w14:paraId="6B4867E2" w14:textId="418AE82F" w:rsidR="009912F8" w:rsidRPr="00E07C9A" w:rsidRDefault="00973707" w:rsidP="00AF3D7A">
            <w:pPr>
              <w:spacing w:beforeLines="60" w:before="144" w:afterLines="60" w:after="144"/>
              <w:rPr>
                <w:rFonts w:ascii="Times New Roman" w:hAnsi="Times New Roman"/>
                <w:sz w:val="24"/>
              </w:rPr>
            </w:pPr>
            <w:r w:rsidRPr="00E07C9A">
              <w:rPr>
                <w:rFonts w:ascii="Times New Roman" w:hAnsi="Times New Roman"/>
                <w:sz w:val="24"/>
              </w:rPr>
              <w:t>Riadok 0070: absolútna hodnota reálnou hodnotou ocenených aktív</w:t>
            </w:r>
            <w:r w:rsidR="009912F8" w:rsidRPr="00E07C9A">
              <w:rPr>
                <w:rFonts w:ascii="Times New Roman" w:hAnsi="Times New Roman"/>
                <w:sz w:val="24"/>
              </w:rPr>
              <w:t xml:space="preserve"> a </w:t>
            </w:r>
            <w:r w:rsidRPr="00E07C9A">
              <w:rPr>
                <w:rFonts w:ascii="Times New Roman" w:hAnsi="Times New Roman"/>
                <w:sz w:val="24"/>
              </w:rPr>
              <w:t>záväzkov zodpovedajúcich expozíciám</w:t>
            </w:r>
            <w:r w:rsidR="009912F8" w:rsidRPr="00E07C9A">
              <w:rPr>
                <w:rFonts w:ascii="Times New Roman" w:hAnsi="Times New Roman"/>
                <w:sz w:val="24"/>
              </w:rPr>
              <w:t xml:space="preserve"> z </w:t>
            </w:r>
            <w:r w:rsidRPr="00E07C9A">
              <w:rPr>
                <w:rFonts w:ascii="Times New Roman" w:hAnsi="Times New Roman"/>
                <w:sz w:val="24"/>
              </w:rPr>
              <w:t>ocenenia oceneným nulovou hodnotou dodatočnej úpravy ocenenia podľa článku 9 ods. 2 delegovaného nariadenia (EÚ) 2016/101</w:t>
            </w:r>
            <w:r w:rsidR="009912F8" w:rsidRPr="00E07C9A">
              <w:rPr>
                <w:rFonts w:ascii="Times New Roman" w:hAnsi="Times New Roman"/>
                <w:sz w:val="24"/>
              </w:rPr>
              <w:t>.</w:t>
            </w:r>
          </w:p>
          <w:p w14:paraId="76144864" w14:textId="43981997" w:rsidR="009912F8" w:rsidRPr="00E07C9A" w:rsidRDefault="00973707" w:rsidP="00AF3D7A">
            <w:pPr>
              <w:spacing w:beforeLines="60" w:before="144" w:afterLines="60" w:after="144"/>
              <w:rPr>
                <w:rFonts w:ascii="Times New Roman" w:hAnsi="Times New Roman"/>
                <w:sz w:val="24"/>
              </w:rPr>
            </w:pPr>
            <w:r w:rsidRPr="00E07C9A">
              <w:rPr>
                <w:rFonts w:ascii="Times New Roman" w:hAnsi="Times New Roman"/>
                <w:sz w:val="24"/>
              </w:rPr>
              <w:t>Riadok 0080: absolútna hodnota reálnou hodnotou ocenených aktív</w:t>
            </w:r>
            <w:r w:rsidR="009912F8" w:rsidRPr="00E07C9A">
              <w:rPr>
                <w:rFonts w:ascii="Times New Roman" w:hAnsi="Times New Roman"/>
                <w:sz w:val="24"/>
              </w:rPr>
              <w:t xml:space="preserve"> a </w:t>
            </w:r>
            <w:r w:rsidRPr="00E07C9A">
              <w:rPr>
                <w:rFonts w:ascii="Times New Roman" w:hAnsi="Times New Roman"/>
                <w:sz w:val="24"/>
              </w:rPr>
              <w:t>záväzkov zodpovedajúcich expozíciám</w:t>
            </w:r>
            <w:r w:rsidR="009912F8" w:rsidRPr="00E07C9A">
              <w:rPr>
                <w:rFonts w:ascii="Times New Roman" w:hAnsi="Times New Roman"/>
                <w:sz w:val="24"/>
              </w:rPr>
              <w:t xml:space="preserve"> z </w:t>
            </w:r>
            <w:r w:rsidRPr="00E07C9A">
              <w:rPr>
                <w:rFonts w:ascii="Times New Roman" w:hAnsi="Times New Roman"/>
                <w:sz w:val="24"/>
              </w:rPr>
              <w:t>ocenenia oceneným nulovou hodnotou dodatočnej úpravy ocenenia podľa článku 10 ods. 2</w:t>
            </w:r>
            <w:r w:rsidR="009912F8" w:rsidRPr="00E07C9A">
              <w:rPr>
                <w:rFonts w:ascii="Times New Roman" w:hAnsi="Times New Roman"/>
                <w:sz w:val="24"/>
              </w:rPr>
              <w:t xml:space="preserve"> a </w:t>
            </w:r>
            <w:r w:rsidRPr="00E07C9A">
              <w:rPr>
                <w:rFonts w:ascii="Times New Roman" w:hAnsi="Times New Roman"/>
                <w:sz w:val="24"/>
              </w:rPr>
              <w:t>3 delegovaného nariadenia (EÚ) 2016/101</w:t>
            </w:r>
            <w:r w:rsidR="009912F8" w:rsidRPr="00E07C9A">
              <w:rPr>
                <w:rFonts w:ascii="Times New Roman" w:hAnsi="Times New Roman"/>
                <w:sz w:val="24"/>
              </w:rPr>
              <w:t>.</w:t>
            </w:r>
          </w:p>
          <w:p w14:paraId="17516933" w14:textId="699ABBC7" w:rsidR="00973707" w:rsidRPr="00E07C9A" w:rsidRDefault="00973707" w:rsidP="00AF3D7A">
            <w:pPr>
              <w:spacing w:beforeLines="60" w:before="144" w:afterLines="60" w:after="144"/>
              <w:rPr>
                <w:rFonts w:ascii="Times New Roman" w:hAnsi="Times New Roman"/>
                <w:sz w:val="24"/>
              </w:rPr>
            </w:pPr>
            <w:r w:rsidRPr="00E07C9A">
              <w:rPr>
                <w:rFonts w:ascii="Times New Roman" w:hAnsi="Times New Roman"/>
                <w:sz w:val="24"/>
              </w:rPr>
              <w:t>Riadky 0090 až 0130: absolútna hodnota reálnou hodnotou ocenených aktív</w:t>
            </w:r>
            <w:r w:rsidR="009912F8" w:rsidRPr="00E07C9A">
              <w:rPr>
                <w:rFonts w:ascii="Times New Roman" w:hAnsi="Times New Roman"/>
                <w:sz w:val="24"/>
              </w:rPr>
              <w:t xml:space="preserve"> a </w:t>
            </w:r>
            <w:r w:rsidRPr="00E07C9A">
              <w:rPr>
                <w:rFonts w:ascii="Times New Roman" w:hAnsi="Times New Roman"/>
                <w:sz w:val="24"/>
              </w:rPr>
              <w:t>záväzkov zaradených, ako je stanovené ďalej (pozri pokyny pre príslušné riadky), podľa nasledujúcich kategórií rizika: úrokového, devízového, kreditného, kapitálového, komoditného. Zahŕňa to absolútnu hodnotu reálnou hodnotou ocenených aktív</w:t>
            </w:r>
            <w:r w:rsidR="009912F8" w:rsidRPr="00E07C9A">
              <w:rPr>
                <w:rFonts w:ascii="Times New Roman" w:hAnsi="Times New Roman"/>
                <w:sz w:val="24"/>
              </w:rPr>
              <w:t xml:space="preserve"> a </w:t>
            </w:r>
            <w:r w:rsidRPr="00E07C9A">
              <w:rPr>
                <w:rFonts w:ascii="Times New Roman" w:hAnsi="Times New Roman"/>
                <w:sz w:val="24"/>
              </w:rPr>
              <w:t>záväzkov, ktorých dodatočné úpravy ocenenia sú ocenené nulovou hodnotou podľa článku 9 ods. 2, článku 10 ods. 2 alebo článku 10 ods. 3 delegovaného nariadenia (EÚ) 2016/101</w:t>
            </w:r>
            <w:r w:rsidR="009912F8" w:rsidRPr="00E07C9A">
              <w:rPr>
                <w:rFonts w:ascii="Times New Roman" w:hAnsi="Times New Roman"/>
                <w:sz w:val="24"/>
              </w:rPr>
              <w:t xml:space="preserve"> a </w:t>
            </w:r>
            <w:r w:rsidRPr="00E07C9A">
              <w:rPr>
                <w:rFonts w:ascii="Times New Roman" w:hAnsi="Times New Roman"/>
                <w:sz w:val="24"/>
              </w:rPr>
              <w:t>ktoré sú samostatne vykazované</w:t>
            </w:r>
            <w:r w:rsidR="009912F8" w:rsidRPr="00E07C9A">
              <w:rPr>
                <w:rFonts w:ascii="Times New Roman" w:hAnsi="Times New Roman"/>
                <w:sz w:val="24"/>
              </w:rPr>
              <w:t xml:space="preserve"> v </w:t>
            </w:r>
            <w:r w:rsidRPr="00E07C9A">
              <w:rPr>
                <w:rFonts w:ascii="Times New Roman" w:hAnsi="Times New Roman"/>
                <w:sz w:val="24"/>
              </w:rPr>
              <w:t>riadkoch 0070</w:t>
            </w:r>
            <w:r w:rsidR="009912F8" w:rsidRPr="00E07C9A">
              <w:rPr>
                <w:rFonts w:ascii="Times New Roman" w:hAnsi="Times New Roman"/>
                <w:sz w:val="24"/>
              </w:rPr>
              <w:t xml:space="preserve"> a </w:t>
            </w:r>
            <w:r w:rsidRPr="00E07C9A">
              <w:rPr>
                <w:rFonts w:ascii="Times New Roman" w:hAnsi="Times New Roman"/>
                <w:sz w:val="24"/>
              </w:rPr>
              <w:t>0080.</w:t>
            </w:r>
          </w:p>
          <w:p w14:paraId="293D8B04" w14:textId="7EBF69D1" w:rsidR="00973707" w:rsidRPr="00E07C9A" w:rsidRDefault="00973707" w:rsidP="00AF3D7A">
            <w:pPr>
              <w:spacing w:beforeLines="60" w:before="144" w:afterLines="60" w:after="144"/>
              <w:rPr>
                <w:rFonts w:ascii="Times New Roman" w:hAnsi="Times New Roman"/>
                <w:sz w:val="24"/>
              </w:rPr>
            </w:pPr>
            <w:r w:rsidRPr="00E07C9A">
              <w:rPr>
                <w:rFonts w:ascii="Times New Roman" w:hAnsi="Times New Roman"/>
                <w:sz w:val="24"/>
              </w:rPr>
              <w:t>Riadok 0180: absolútna hodnota reálnou hodnotou ocenených aktív</w:t>
            </w:r>
            <w:r w:rsidR="009912F8" w:rsidRPr="00E07C9A">
              <w:rPr>
                <w:rFonts w:ascii="Times New Roman" w:hAnsi="Times New Roman"/>
                <w:sz w:val="24"/>
              </w:rPr>
              <w:t xml:space="preserve"> a </w:t>
            </w:r>
            <w:r w:rsidRPr="00E07C9A">
              <w:rPr>
                <w:rFonts w:ascii="Times New Roman" w:hAnsi="Times New Roman"/>
                <w:sz w:val="24"/>
              </w:rPr>
              <w:t xml:space="preserve">záväzkov zodpovedajúcich portfóliám, na ktoré sa vzťahuje rezervný prístup. </w:t>
            </w:r>
          </w:p>
        </w:tc>
      </w:tr>
      <w:tr w:rsidR="00973707" w:rsidRPr="00E07C9A" w14:paraId="4D792A4E" w14:textId="77777777" w:rsidTr="00672D2A">
        <w:tc>
          <w:tcPr>
            <w:tcW w:w="1101" w:type="dxa"/>
          </w:tcPr>
          <w:p w14:paraId="7293C936" w14:textId="77777777" w:rsidR="00973707" w:rsidRPr="00E07C9A" w:rsidRDefault="009A7A38" w:rsidP="00AF3D7A">
            <w:pPr>
              <w:spacing w:beforeLines="60" w:before="144" w:afterLines="60" w:after="144"/>
              <w:rPr>
                <w:rFonts w:ascii="Times New Roman" w:hAnsi="Times New Roman"/>
                <w:sz w:val="24"/>
              </w:rPr>
            </w:pPr>
            <w:r w:rsidRPr="00E07C9A">
              <w:rPr>
                <w:rFonts w:ascii="Times New Roman" w:hAnsi="Times New Roman"/>
                <w:sz w:val="24"/>
              </w:rPr>
              <w:t>0130</w:t>
            </w:r>
          </w:p>
        </w:tc>
        <w:tc>
          <w:tcPr>
            <w:tcW w:w="8190" w:type="dxa"/>
          </w:tcPr>
          <w:p w14:paraId="2A9B0A8A" w14:textId="77777777" w:rsidR="00973707" w:rsidRPr="00E07C9A" w:rsidRDefault="00973707" w:rsidP="00AF3D7A">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REÁLNOU HODNOTOU OCENENÉ AKTÍVA</w:t>
            </w:r>
          </w:p>
          <w:p w14:paraId="18F01598" w14:textId="69EEB447" w:rsidR="00973707" w:rsidRPr="00E07C9A" w:rsidRDefault="00973707" w:rsidP="00AF3D7A">
            <w:pPr>
              <w:spacing w:beforeLines="60" w:before="144" w:afterLines="60" w:after="144"/>
              <w:rPr>
                <w:rStyle w:val="InstructionsTabelleberschrift"/>
                <w:rFonts w:ascii="Times New Roman" w:hAnsi="Times New Roman"/>
                <w:sz w:val="24"/>
                <w:u w:val="none"/>
              </w:rPr>
            </w:pPr>
            <w:r w:rsidRPr="00E07C9A">
              <w:rPr>
                <w:rFonts w:ascii="Times New Roman" w:hAnsi="Times New Roman"/>
                <w:sz w:val="24"/>
              </w:rPr>
              <w:t xml:space="preserve">Absolútna hodnota </w:t>
            </w:r>
            <w:r w:rsidRPr="00E07C9A">
              <w:rPr>
                <w:rStyle w:val="InstructionsTabelleberschrift"/>
                <w:rFonts w:ascii="Times New Roman" w:hAnsi="Times New Roman"/>
                <w:b w:val="0"/>
                <w:sz w:val="24"/>
                <w:u w:val="none"/>
              </w:rPr>
              <w:t>reálnou hodnotou ocenených aktív zodpovedajúcich rôznym riadkom</w:t>
            </w:r>
            <w:r w:rsidR="009912F8" w:rsidRPr="00E07C9A">
              <w:rPr>
                <w:rStyle w:val="InstructionsTabelleberschrift"/>
                <w:rFonts w:ascii="Times New Roman" w:hAnsi="Times New Roman"/>
                <w:b w:val="0"/>
                <w:sz w:val="24"/>
                <w:u w:val="none"/>
              </w:rPr>
              <w:t xml:space="preserve"> v </w:t>
            </w:r>
            <w:r w:rsidRPr="00E07C9A">
              <w:rPr>
                <w:rStyle w:val="InstructionsTabelleberschrift"/>
                <w:rFonts w:ascii="Times New Roman" w:hAnsi="Times New Roman"/>
                <w:b w:val="0"/>
                <w:sz w:val="24"/>
                <w:u w:val="none"/>
              </w:rPr>
              <w:t>zmysle vysvetlenia</w:t>
            </w:r>
            <w:r w:rsidR="009912F8" w:rsidRPr="00E07C9A">
              <w:rPr>
                <w:rStyle w:val="InstructionsTabelleberschrift"/>
                <w:rFonts w:ascii="Times New Roman" w:hAnsi="Times New Roman"/>
                <w:b w:val="0"/>
                <w:sz w:val="24"/>
                <w:u w:val="none"/>
              </w:rPr>
              <w:t xml:space="preserve"> v </w:t>
            </w:r>
            <w:r w:rsidRPr="00E07C9A">
              <w:rPr>
                <w:rStyle w:val="InstructionsTabelleberschrift"/>
                <w:rFonts w:ascii="Times New Roman" w:hAnsi="Times New Roman"/>
                <w:b w:val="0"/>
                <w:sz w:val="24"/>
                <w:u w:val="none"/>
              </w:rPr>
              <w:t>pokynoch</w:t>
            </w:r>
            <w:r w:rsidR="009912F8" w:rsidRPr="00E07C9A">
              <w:rPr>
                <w:rStyle w:val="InstructionsTabelleberschrift"/>
                <w:rFonts w:ascii="Times New Roman" w:hAnsi="Times New Roman"/>
                <w:b w:val="0"/>
                <w:sz w:val="24"/>
                <w:u w:val="none"/>
              </w:rPr>
              <w:t xml:space="preserve"> v </w:t>
            </w:r>
            <w:r w:rsidRPr="00E07C9A">
              <w:rPr>
                <w:rStyle w:val="InstructionsTabelleberschrift"/>
                <w:rFonts w:ascii="Times New Roman" w:hAnsi="Times New Roman"/>
                <w:b w:val="0"/>
                <w:sz w:val="24"/>
                <w:u w:val="none"/>
              </w:rPr>
              <w:t>stĺpcoch 0130 až 0140 vyššie.</w:t>
            </w:r>
          </w:p>
        </w:tc>
      </w:tr>
      <w:tr w:rsidR="00973707" w:rsidRPr="00E07C9A" w14:paraId="261C95F9" w14:textId="77777777" w:rsidTr="00672D2A">
        <w:tc>
          <w:tcPr>
            <w:tcW w:w="1101" w:type="dxa"/>
          </w:tcPr>
          <w:p w14:paraId="3C58D41E" w14:textId="77777777" w:rsidR="00973707" w:rsidRPr="00E07C9A" w:rsidRDefault="009A7A38" w:rsidP="00AF3D7A">
            <w:pPr>
              <w:spacing w:beforeLines="60" w:before="144" w:afterLines="60" w:after="144"/>
              <w:rPr>
                <w:rFonts w:ascii="Times New Roman" w:hAnsi="Times New Roman"/>
                <w:sz w:val="24"/>
              </w:rPr>
            </w:pPr>
            <w:r w:rsidRPr="00E07C9A">
              <w:rPr>
                <w:rFonts w:ascii="Times New Roman" w:hAnsi="Times New Roman"/>
                <w:sz w:val="24"/>
              </w:rPr>
              <w:t>0140</w:t>
            </w:r>
          </w:p>
        </w:tc>
        <w:tc>
          <w:tcPr>
            <w:tcW w:w="8190" w:type="dxa"/>
          </w:tcPr>
          <w:p w14:paraId="36CE5E50" w14:textId="77777777" w:rsidR="00973707" w:rsidRPr="00E07C9A" w:rsidRDefault="00973707" w:rsidP="00AF3D7A">
            <w:pPr>
              <w:tabs>
                <w:tab w:val="center" w:pos="3894"/>
              </w:tabs>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REÁLNOU HODNOTOU OCENENÉ ZÁVÄZKY</w:t>
            </w:r>
          </w:p>
          <w:p w14:paraId="2604ED9E" w14:textId="3BA314AE" w:rsidR="00973707" w:rsidRPr="00E07C9A" w:rsidRDefault="00973707" w:rsidP="00AF3D7A">
            <w:pPr>
              <w:spacing w:beforeLines="60" w:before="144" w:afterLines="60" w:after="144"/>
              <w:rPr>
                <w:rStyle w:val="InstructionsTabelleberschrift"/>
                <w:rFonts w:ascii="Times New Roman" w:hAnsi="Times New Roman"/>
                <w:sz w:val="24"/>
              </w:rPr>
            </w:pPr>
            <w:r w:rsidRPr="00E07C9A">
              <w:rPr>
                <w:rFonts w:ascii="Times New Roman" w:hAnsi="Times New Roman"/>
                <w:sz w:val="24"/>
              </w:rPr>
              <w:t xml:space="preserve">Absolútna hodnota </w:t>
            </w:r>
            <w:r w:rsidRPr="00E07C9A">
              <w:rPr>
                <w:rStyle w:val="InstructionsTabelleberschrift"/>
                <w:rFonts w:ascii="Times New Roman" w:hAnsi="Times New Roman"/>
                <w:b w:val="0"/>
                <w:sz w:val="24"/>
                <w:u w:val="none"/>
              </w:rPr>
              <w:t>reálnou hodnotou ocenených záväzkov zodpovedajúcich rôznym riadkom</w:t>
            </w:r>
            <w:r w:rsidR="009912F8" w:rsidRPr="00E07C9A">
              <w:rPr>
                <w:rStyle w:val="InstructionsTabelleberschrift"/>
                <w:rFonts w:ascii="Times New Roman" w:hAnsi="Times New Roman"/>
                <w:b w:val="0"/>
                <w:sz w:val="24"/>
                <w:u w:val="none"/>
              </w:rPr>
              <w:t xml:space="preserve"> v </w:t>
            </w:r>
            <w:r w:rsidRPr="00E07C9A">
              <w:rPr>
                <w:rStyle w:val="InstructionsTabelleberschrift"/>
                <w:rFonts w:ascii="Times New Roman" w:hAnsi="Times New Roman"/>
                <w:b w:val="0"/>
                <w:sz w:val="24"/>
                <w:u w:val="none"/>
              </w:rPr>
              <w:t>zmysle vysvetlenia</w:t>
            </w:r>
            <w:r w:rsidR="009912F8" w:rsidRPr="00E07C9A">
              <w:rPr>
                <w:rStyle w:val="InstructionsTabelleberschrift"/>
                <w:rFonts w:ascii="Times New Roman" w:hAnsi="Times New Roman"/>
                <w:b w:val="0"/>
                <w:sz w:val="24"/>
                <w:u w:val="none"/>
              </w:rPr>
              <w:t xml:space="preserve"> v </w:t>
            </w:r>
            <w:r w:rsidRPr="00E07C9A">
              <w:rPr>
                <w:rStyle w:val="InstructionsTabelleberschrift"/>
                <w:rFonts w:ascii="Times New Roman" w:hAnsi="Times New Roman"/>
                <w:b w:val="0"/>
                <w:sz w:val="24"/>
                <w:u w:val="none"/>
              </w:rPr>
              <w:t>pokynoch</w:t>
            </w:r>
            <w:r w:rsidR="009912F8" w:rsidRPr="00E07C9A">
              <w:rPr>
                <w:rStyle w:val="InstructionsTabelleberschrift"/>
                <w:rFonts w:ascii="Times New Roman" w:hAnsi="Times New Roman"/>
                <w:b w:val="0"/>
                <w:sz w:val="24"/>
                <w:u w:val="none"/>
              </w:rPr>
              <w:t xml:space="preserve"> v </w:t>
            </w:r>
            <w:r w:rsidRPr="00E07C9A">
              <w:rPr>
                <w:rStyle w:val="InstructionsTabelleberschrift"/>
                <w:rFonts w:ascii="Times New Roman" w:hAnsi="Times New Roman"/>
                <w:b w:val="0"/>
                <w:sz w:val="24"/>
                <w:u w:val="none"/>
              </w:rPr>
              <w:t>stĺpcoch 0130 až 0140 vyššie.</w:t>
            </w:r>
          </w:p>
        </w:tc>
      </w:tr>
      <w:tr w:rsidR="00973707" w:rsidRPr="00E07C9A" w14:paraId="143869F3" w14:textId="77777777" w:rsidTr="00672D2A">
        <w:tc>
          <w:tcPr>
            <w:tcW w:w="1101" w:type="dxa"/>
          </w:tcPr>
          <w:p w14:paraId="31B2478D" w14:textId="77777777" w:rsidR="00973707" w:rsidRPr="00E07C9A" w:rsidRDefault="009A7A38" w:rsidP="00AF3D7A">
            <w:pPr>
              <w:spacing w:beforeLines="60" w:before="144" w:afterLines="60" w:after="144"/>
              <w:rPr>
                <w:rFonts w:ascii="Times New Roman" w:hAnsi="Times New Roman"/>
                <w:sz w:val="24"/>
              </w:rPr>
            </w:pPr>
            <w:r w:rsidRPr="00E07C9A">
              <w:rPr>
                <w:rFonts w:ascii="Times New Roman" w:hAnsi="Times New Roman"/>
                <w:sz w:val="24"/>
              </w:rPr>
              <w:t>0150</w:t>
            </w:r>
          </w:p>
        </w:tc>
        <w:tc>
          <w:tcPr>
            <w:tcW w:w="8190" w:type="dxa"/>
          </w:tcPr>
          <w:p w14:paraId="1F6FBAC0" w14:textId="77777777" w:rsidR="00973707" w:rsidRPr="00E07C9A" w:rsidRDefault="00973707" w:rsidP="00AF3D7A">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PRÍJMY OD ZAČIATKU ŠTVRŤROKA DO PRÍSLUŠNÉHO DÁTUMU</w:t>
            </w:r>
          </w:p>
          <w:p w14:paraId="1C5C1904" w14:textId="38E40D38" w:rsidR="00973707" w:rsidRPr="00E07C9A" w:rsidRDefault="00973707" w:rsidP="00AF3D7A">
            <w:pPr>
              <w:spacing w:beforeLines="60" w:before="144" w:afterLines="60" w:after="144"/>
              <w:rPr>
                <w:rFonts w:ascii="Times New Roman" w:hAnsi="Times New Roman"/>
                <w:sz w:val="24"/>
              </w:rPr>
            </w:pPr>
            <w:r w:rsidRPr="00E07C9A">
              <w:rPr>
                <w:rFonts w:ascii="Times New Roman" w:hAnsi="Times New Roman"/>
                <w:sz w:val="24"/>
              </w:rPr>
              <w:t>Príjmy od začiatku štvrťroka do príslušného dátumu od posledného dátumu vykazovania priradené</w:t>
            </w:r>
            <w:r w:rsidR="009912F8" w:rsidRPr="00E07C9A">
              <w:rPr>
                <w:rFonts w:ascii="Times New Roman" w:hAnsi="Times New Roman"/>
                <w:sz w:val="24"/>
              </w:rPr>
              <w:t xml:space="preserve"> k </w:t>
            </w:r>
            <w:r w:rsidRPr="00E07C9A">
              <w:rPr>
                <w:rFonts w:ascii="Times New Roman" w:hAnsi="Times New Roman"/>
                <w:sz w:val="24"/>
              </w:rPr>
              <w:t>reálnou hodnotou oceneným aktívam</w:t>
            </w:r>
            <w:r w:rsidR="009912F8" w:rsidRPr="00E07C9A">
              <w:rPr>
                <w:rFonts w:ascii="Times New Roman" w:hAnsi="Times New Roman"/>
                <w:sz w:val="24"/>
              </w:rPr>
              <w:t xml:space="preserve"> a </w:t>
            </w:r>
            <w:r w:rsidRPr="00E07C9A">
              <w:rPr>
                <w:rFonts w:ascii="Times New Roman" w:hAnsi="Times New Roman"/>
                <w:sz w:val="24"/>
              </w:rPr>
              <w:t xml:space="preserve">záväzkom </w:t>
            </w:r>
            <w:r w:rsidRPr="00E07C9A">
              <w:rPr>
                <w:rStyle w:val="InstructionsTabelleberschrift"/>
                <w:rFonts w:ascii="Times New Roman" w:hAnsi="Times New Roman"/>
                <w:b w:val="0"/>
                <w:sz w:val="24"/>
                <w:u w:val="none"/>
              </w:rPr>
              <w:t>zodpovedajúcim rôznym riadkom</w:t>
            </w:r>
            <w:r w:rsidR="009912F8" w:rsidRPr="00E07C9A">
              <w:rPr>
                <w:rStyle w:val="InstructionsTabelleberschrift"/>
                <w:rFonts w:ascii="Times New Roman" w:hAnsi="Times New Roman"/>
                <w:b w:val="0"/>
                <w:sz w:val="24"/>
                <w:u w:val="none"/>
              </w:rPr>
              <w:t xml:space="preserve"> v </w:t>
            </w:r>
            <w:r w:rsidRPr="00E07C9A">
              <w:rPr>
                <w:rStyle w:val="InstructionsTabelleberschrift"/>
                <w:rFonts w:ascii="Times New Roman" w:hAnsi="Times New Roman"/>
                <w:b w:val="0"/>
                <w:sz w:val="24"/>
                <w:u w:val="none"/>
              </w:rPr>
              <w:t>zmysle vysvetlenia</w:t>
            </w:r>
            <w:r w:rsidR="009912F8" w:rsidRPr="00E07C9A">
              <w:rPr>
                <w:rStyle w:val="InstructionsTabelleberschrift"/>
                <w:rFonts w:ascii="Times New Roman" w:hAnsi="Times New Roman"/>
                <w:b w:val="0"/>
                <w:sz w:val="24"/>
                <w:u w:val="none"/>
              </w:rPr>
              <w:t xml:space="preserve"> v </w:t>
            </w:r>
            <w:r w:rsidRPr="00E07C9A">
              <w:rPr>
                <w:rStyle w:val="InstructionsTabelleberschrift"/>
                <w:rFonts w:ascii="Times New Roman" w:hAnsi="Times New Roman"/>
                <w:b w:val="0"/>
                <w:sz w:val="24"/>
                <w:u w:val="none"/>
              </w:rPr>
              <w:t>pokynoch</w:t>
            </w:r>
            <w:r w:rsidR="009912F8" w:rsidRPr="00E07C9A">
              <w:rPr>
                <w:rStyle w:val="InstructionsTabelleberschrift"/>
                <w:rFonts w:ascii="Times New Roman" w:hAnsi="Times New Roman"/>
                <w:b w:val="0"/>
                <w:sz w:val="24"/>
                <w:u w:val="none"/>
              </w:rPr>
              <w:t xml:space="preserve"> v </w:t>
            </w:r>
            <w:r w:rsidRPr="00E07C9A">
              <w:rPr>
                <w:rStyle w:val="InstructionsTabelleberschrift"/>
                <w:rFonts w:ascii="Times New Roman" w:hAnsi="Times New Roman"/>
                <w:b w:val="0"/>
                <w:sz w:val="24"/>
                <w:u w:val="none"/>
              </w:rPr>
              <w:t>stĺpcoch 0130 – 0140 vyššie, pričom</w:t>
            </w:r>
            <w:r w:rsidR="009912F8" w:rsidRPr="00E07C9A">
              <w:rPr>
                <w:rStyle w:val="InstructionsTabelleberschrift"/>
                <w:rFonts w:ascii="Times New Roman" w:hAnsi="Times New Roman"/>
                <w:b w:val="0"/>
                <w:sz w:val="24"/>
                <w:u w:val="none"/>
              </w:rPr>
              <w:t xml:space="preserve"> v </w:t>
            </w:r>
            <w:r w:rsidRPr="00E07C9A">
              <w:rPr>
                <w:rStyle w:val="InstructionsTabelleberschrift"/>
                <w:rFonts w:ascii="Times New Roman" w:hAnsi="Times New Roman"/>
                <w:b w:val="0"/>
                <w:sz w:val="24"/>
                <w:u w:val="none"/>
              </w:rPr>
              <w:t>príslušných prípadoch sú zaradené alebo aproximované na základe odborného posúdenia</w:t>
            </w:r>
            <w:r w:rsidRPr="00E07C9A">
              <w:rPr>
                <w:rFonts w:ascii="Times New Roman" w:hAnsi="Times New Roman"/>
                <w:sz w:val="24"/>
              </w:rPr>
              <w:t>.</w:t>
            </w:r>
          </w:p>
        </w:tc>
      </w:tr>
      <w:tr w:rsidR="00973707" w:rsidRPr="00E07C9A" w14:paraId="6F384903" w14:textId="77777777" w:rsidTr="00672D2A">
        <w:tc>
          <w:tcPr>
            <w:tcW w:w="1101" w:type="dxa"/>
          </w:tcPr>
          <w:p w14:paraId="53454B4B" w14:textId="77777777" w:rsidR="00973707" w:rsidRPr="00E07C9A" w:rsidRDefault="009A7A38" w:rsidP="00AF3D7A">
            <w:pPr>
              <w:spacing w:beforeLines="60" w:before="144" w:afterLines="60" w:after="144"/>
              <w:rPr>
                <w:rFonts w:ascii="Times New Roman" w:hAnsi="Times New Roman"/>
                <w:sz w:val="24"/>
              </w:rPr>
            </w:pPr>
            <w:r w:rsidRPr="00E07C9A">
              <w:rPr>
                <w:rFonts w:ascii="Times New Roman" w:hAnsi="Times New Roman"/>
                <w:sz w:val="24"/>
              </w:rPr>
              <w:t>0160</w:t>
            </w:r>
          </w:p>
        </w:tc>
        <w:tc>
          <w:tcPr>
            <w:tcW w:w="8190" w:type="dxa"/>
          </w:tcPr>
          <w:p w14:paraId="2466690B" w14:textId="77777777" w:rsidR="00973707" w:rsidRPr="00E07C9A" w:rsidRDefault="00973707" w:rsidP="00AF3D7A">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ROZDIEL NEZÁVISLÉHO OVEROVANIA CIEN</w:t>
            </w:r>
          </w:p>
          <w:p w14:paraId="028BE9F3" w14:textId="24F2E92C" w:rsidR="009912F8" w:rsidRPr="00E07C9A" w:rsidRDefault="00973707" w:rsidP="00AF3D7A">
            <w:pPr>
              <w:spacing w:beforeLines="60" w:before="144" w:afterLines="60" w:after="144"/>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Súčet všetkých pozícií</w:t>
            </w:r>
            <w:r w:rsidR="009912F8" w:rsidRPr="00E07C9A">
              <w:rPr>
                <w:rStyle w:val="InstructionsTabelleberschrift"/>
                <w:rFonts w:ascii="Times New Roman" w:hAnsi="Times New Roman"/>
                <w:b w:val="0"/>
                <w:sz w:val="24"/>
                <w:u w:val="none"/>
              </w:rPr>
              <w:t xml:space="preserve"> a </w:t>
            </w:r>
            <w:r w:rsidRPr="00E07C9A">
              <w:rPr>
                <w:rStyle w:val="InstructionsTabelleberschrift"/>
                <w:rFonts w:ascii="Times New Roman" w:hAnsi="Times New Roman"/>
                <w:b w:val="0"/>
                <w:sz w:val="24"/>
                <w:u w:val="none"/>
              </w:rPr>
              <w:t>rizikových faktorov neupravených súm rozdielu („rozdiel nezávislého overovania cien“) vypočítaný na konci mesiaca najbližšie</w:t>
            </w:r>
            <w:r w:rsidR="009912F8" w:rsidRPr="00E07C9A">
              <w:rPr>
                <w:rStyle w:val="InstructionsTabelleberschrift"/>
                <w:rFonts w:ascii="Times New Roman" w:hAnsi="Times New Roman"/>
                <w:b w:val="0"/>
                <w:sz w:val="24"/>
                <w:u w:val="none"/>
              </w:rPr>
              <w:t xml:space="preserve"> k </w:t>
            </w:r>
            <w:r w:rsidRPr="00E07C9A">
              <w:rPr>
                <w:rStyle w:val="InstructionsTabelleberschrift"/>
                <w:rFonts w:ascii="Times New Roman" w:hAnsi="Times New Roman"/>
                <w:b w:val="0"/>
                <w:sz w:val="24"/>
                <w:u w:val="none"/>
              </w:rPr>
              <w:t>dátumu vykazovania na základe procesu nezávislého overovania cien vykonaného</w:t>
            </w:r>
            <w:r w:rsidR="009912F8" w:rsidRPr="00E07C9A">
              <w:rPr>
                <w:rStyle w:val="InstructionsTabelleberschrift"/>
                <w:rFonts w:ascii="Times New Roman" w:hAnsi="Times New Roman"/>
                <w:b w:val="0"/>
                <w:sz w:val="24"/>
                <w:u w:val="none"/>
              </w:rPr>
              <w:t xml:space="preserve"> v </w:t>
            </w:r>
            <w:r w:rsidRPr="00E07C9A">
              <w:rPr>
                <w:rStyle w:val="InstructionsTabelleberschrift"/>
                <w:rFonts w:ascii="Times New Roman" w:hAnsi="Times New Roman"/>
                <w:b w:val="0"/>
                <w:sz w:val="24"/>
                <w:u w:val="none"/>
              </w:rPr>
              <w:t>súlade</w:t>
            </w:r>
            <w:r w:rsidR="009912F8" w:rsidRPr="00E07C9A">
              <w:rPr>
                <w:rStyle w:val="InstructionsTabelleberschrift"/>
                <w:rFonts w:ascii="Times New Roman" w:hAnsi="Times New Roman"/>
                <w:b w:val="0"/>
                <w:sz w:val="24"/>
                <w:u w:val="none"/>
              </w:rPr>
              <w:t xml:space="preserve"> s </w:t>
            </w:r>
            <w:r w:rsidRPr="00E07C9A">
              <w:rPr>
                <w:rStyle w:val="InstructionsTabelleberschrift"/>
                <w:rFonts w:ascii="Times New Roman" w:hAnsi="Times New Roman"/>
                <w:b w:val="0"/>
                <w:sz w:val="24"/>
                <w:u w:val="none"/>
              </w:rPr>
              <w:t>článkom 105 ods. 8</w:t>
            </w:r>
            <w:r w:rsidRPr="00E07C9A">
              <w:rPr>
                <w:rFonts w:ascii="Times New Roman" w:hAnsi="Times New Roman"/>
                <w:sz w:val="24"/>
              </w:rPr>
              <w:t xml:space="preserve"> nariadenia (EÚ) </w:t>
            </w:r>
            <w:r w:rsidR="009912F8" w:rsidRPr="00E07C9A">
              <w:rPr>
                <w:rFonts w:ascii="Times New Roman" w:hAnsi="Times New Roman"/>
                <w:sz w:val="24"/>
              </w:rPr>
              <w:t>č. 575/2013</w:t>
            </w:r>
            <w:r w:rsidR="009912F8" w:rsidRPr="00E07C9A">
              <w:rPr>
                <w:rStyle w:val="InstructionsTabelleberschrift"/>
                <w:rFonts w:ascii="Times New Roman" w:hAnsi="Times New Roman"/>
                <w:b w:val="0"/>
                <w:sz w:val="24"/>
                <w:u w:val="none"/>
              </w:rPr>
              <w:t xml:space="preserve"> s </w:t>
            </w:r>
            <w:r w:rsidRPr="00E07C9A">
              <w:rPr>
                <w:rStyle w:val="InstructionsTabelleberschrift"/>
                <w:rFonts w:ascii="Times New Roman" w:hAnsi="Times New Roman"/>
                <w:b w:val="0"/>
                <w:sz w:val="24"/>
                <w:u w:val="none"/>
              </w:rPr>
              <w:t>ohľadom na najlepšie dostupné nezávislé údaje pre príslušnú pozíciu alebo rizikový faktor</w:t>
            </w:r>
            <w:r w:rsidR="009912F8" w:rsidRPr="00E07C9A">
              <w:rPr>
                <w:rStyle w:val="InstructionsTabelleberschrift"/>
                <w:rFonts w:ascii="Times New Roman" w:hAnsi="Times New Roman"/>
                <w:b w:val="0"/>
                <w:sz w:val="24"/>
                <w:u w:val="none"/>
              </w:rPr>
              <w:t>.</w:t>
            </w:r>
          </w:p>
          <w:p w14:paraId="65EC88C7" w14:textId="12070C68" w:rsidR="009912F8" w:rsidRPr="00E07C9A" w:rsidRDefault="00973707" w:rsidP="00AF3D7A">
            <w:pPr>
              <w:spacing w:beforeLines="60" w:before="144" w:afterLines="60" w:after="144"/>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Neupravené sumy rozdielu označujú neupravené rozdiely medzi oceneniami vygenerovanými obchodným systémom</w:t>
            </w:r>
            <w:r w:rsidR="009912F8" w:rsidRPr="00E07C9A">
              <w:rPr>
                <w:rStyle w:val="InstructionsTabelleberschrift"/>
                <w:rFonts w:ascii="Times New Roman" w:hAnsi="Times New Roman"/>
                <w:b w:val="0"/>
                <w:sz w:val="24"/>
                <w:u w:val="none"/>
              </w:rPr>
              <w:t xml:space="preserve"> a </w:t>
            </w:r>
            <w:r w:rsidRPr="00E07C9A">
              <w:rPr>
                <w:rStyle w:val="InstructionsTabelleberschrift"/>
                <w:rFonts w:ascii="Times New Roman" w:hAnsi="Times New Roman"/>
                <w:b w:val="0"/>
                <w:sz w:val="24"/>
                <w:u w:val="none"/>
              </w:rPr>
              <w:t>oceneniami odhadnutými počas každomesačného procesu nezávislého overovania cien</w:t>
            </w:r>
            <w:r w:rsidR="009912F8" w:rsidRPr="00E07C9A">
              <w:rPr>
                <w:rStyle w:val="InstructionsTabelleberschrift"/>
                <w:rFonts w:ascii="Times New Roman" w:hAnsi="Times New Roman"/>
                <w:b w:val="0"/>
                <w:sz w:val="24"/>
                <w:u w:val="none"/>
              </w:rPr>
              <w:t>.</w:t>
            </w:r>
          </w:p>
          <w:p w14:paraId="3DFB5D55" w14:textId="77A01ABF" w:rsidR="00973707" w:rsidRPr="00E07C9A" w:rsidRDefault="004D2753" w:rsidP="004D2753">
            <w:pPr>
              <w:spacing w:beforeLines="60" w:before="144" w:afterLines="60" w:after="144"/>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Do výpočtu rozdielu nezávislého overovania cien sa nezahŕňajú žiadne upravené sumy rozdielu</w:t>
            </w:r>
            <w:r w:rsidR="009912F8" w:rsidRPr="00E07C9A">
              <w:rPr>
                <w:rStyle w:val="InstructionsTabelleberschrift"/>
                <w:rFonts w:ascii="Times New Roman" w:hAnsi="Times New Roman"/>
                <w:b w:val="0"/>
                <w:sz w:val="24"/>
                <w:u w:val="none"/>
              </w:rPr>
              <w:t xml:space="preserve"> z </w:t>
            </w:r>
            <w:r w:rsidRPr="00E07C9A">
              <w:rPr>
                <w:rStyle w:val="InstructionsTabelleberschrift"/>
                <w:rFonts w:ascii="Times New Roman" w:hAnsi="Times New Roman"/>
                <w:b w:val="0"/>
                <w:sz w:val="24"/>
                <w:u w:val="none"/>
              </w:rPr>
              <w:t>kníh</w:t>
            </w:r>
            <w:r w:rsidR="009912F8" w:rsidRPr="00E07C9A">
              <w:rPr>
                <w:rStyle w:val="InstructionsTabelleberschrift"/>
                <w:rFonts w:ascii="Times New Roman" w:hAnsi="Times New Roman"/>
                <w:b w:val="0"/>
                <w:sz w:val="24"/>
                <w:u w:val="none"/>
              </w:rPr>
              <w:t xml:space="preserve"> a </w:t>
            </w:r>
            <w:r w:rsidRPr="00E07C9A">
              <w:rPr>
                <w:rStyle w:val="InstructionsTabelleberschrift"/>
                <w:rFonts w:ascii="Times New Roman" w:hAnsi="Times New Roman"/>
                <w:b w:val="0"/>
                <w:sz w:val="24"/>
                <w:u w:val="none"/>
              </w:rPr>
              <w:t>záznamov príslušnej inštitúcie pre koncový dátum príslušného mesiaca.</w:t>
            </w:r>
          </w:p>
        </w:tc>
      </w:tr>
      <w:tr w:rsidR="00973707" w:rsidRPr="00E07C9A" w14:paraId="44C4FD00" w14:textId="77777777" w:rsidTr="00672D2A">
        <w:tc>
          <w:tcPr>
            <w:tcW w:w="1101" w:type="dxa"/>
          </w:tcPr>
          <w:p w14:paraId="5D55EEB3" w14:textId="77777777" w:rsidR="00973707" w:rsidRPr="00E07C9A" w:rsidRDefault="009A7A38" w:rsidP="009A7A38">
            <w:pPr>
              <w:spacing w:beforeLines="60" w:before="144" w:afterLines="60" w:after="144"/>
              <w:rPr>
                <w:rFonts w:ascii="Times New Roman" w:hAnsi="Times New Roman"/>
                <w:sz w:val="24"/>
              </w:rPr>
            </w:pPr>
            <w:r w:rsidRPr="00E07C9A">
              <w:rPr>
                <w:rFonts w:ascii="Times New Roman" w:hAnsi="Times New Roman"/>
                <w:sz w:val="24"/>
              </w:rPr>
              <w:t>0170 – 0250</w:t>
            </w:r>
          </w:p>
        </w:tc>
        <w:tc>
          <w:tcPr>
            <w:tcW w:w="8190" w:type="dxa"/>
          </w:tcPr>
          <w:p w14:paraId="44B3378C" w14:textId="77777777" w:rsidR="00973707" w:rsidRPr="00E07C9A" w:rsidRDefault="00973707" w:rsidP="00AF3D7A">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ÚPRAVY REÁLNEJ HODNOTY</w:t>
            </w:r>
          </w:p>
          <w:p w14:paraId="2A66CCA1" w14:textId="6FAA45B9" w:rsidR="001B1531" w:rsidRPr="00E07C9A" w:rsidRDefault="00973707" w:rsidP="001B1531">
            <w:pPr>
              <w:spacing w:beforeLines="60" w:before="144" w:afterLines="60" w:after="144"/>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Úpravy, niekedy označované aj ako „rezervy“, potenciálne uplatňované pri účtovaní na základe reálnej hodnoty príslušnej inštitúcie, ktoré sa vykonajú mimo modelu oceňovania použitého na vygenerovanie účtovnej hodnoty (okrem odkladu ziskov</w:t>
            </w:r>
            <w:r w:rsidR="009912F8" w:rsidRPr="00E07C9A">
              <w:rPr>
                <w:rStyle w:val="InstructionsTabelleberschrift"/>
                <w:rFonts w:ascii="Times New Roman" w:hAnsi="Times New Roman"/>
                <w:b w:val="0"/>
                <w:sz w:val="24"/>
                <w:u w:val="none"/>
              </w:rPr>
              <w:t xml:space="preserve"> a </w:t>
            </w:r>
            <w:r w:rsidRPr="00E07C9A">
              <w:rPr>
                <w:rStyle w:val="InstructionsTabelleberschrift"/>
                <w:rFonts w:ascii="Times New Roman" w:hAnsi="Times New Roman"/>
                <w:b w:val="0"/>
                <w:sz w:val="24"/>
                <w:u w:val="none"/>
              </w:rPr>
              <w:t>strát prvého dňa)</w:t>
            </w:r>
            <w:r w:rsidR="009912F8" w:rsidRPr="00E07C9A">
              <w:rPr>
                <w:rStyle w:val="InstructionsTabelleberschrift"/>
                <w:rFonts w:ascii="Times New Roman" w:hAnsi="Times New Roman"/>
                <w:b w:val="0"/>
                <w:sz w:val="24"/>
                <w:u w:val="none"/>
              </w:rPr>
              <w:t xml:space="preserve"> a </w:t>
            </w:r>
            <w:r w:rsidRPr="00E07C9A">
              <w:rPr>
                <w:rStyle w:val="InstructionsTabelleberschrift"/>
                <w:rFonts w:ascii="Times New Roman" w:hAnsi="Times New Roman"/>
                <w:b w:val="0"/>
                <w:sz w:val="24"/>
                <w:u w:val="none"/>
              </w:rPr>
              <w:t>ktoré možno identifikovať ako riešiace rovnaký zdroj neistoty ocenenia ako príslušná dodatočná úprava ocenenia. Môžu odrážať rizikové faktory nezachytené</w:t>
            </w:r>
            <w:r w:rsidR="009912F8" w:rsidRPr="00E07C9A">
              <w:rPr>
                <w:rStyle w:val="InstructionsTabelleberschrift"/>
                <w:rFonts w:ascii="Times New Roman" w:hAnsi="Times New Roman"/>
                <w:b w:val="0"/>
                <w:sz w:val="24"/>
                <w:u w:val="none"/>
              </w:rPr>
              <w:t xml:space="preserve"> v </w:t>
            </w:r>
            <w:r w:rsidRPr="00E07C9A">
              <w:rPr>
                <w:rStyle w:val="InstructionsTabelleberschrift"/>
                <w:rFonts w:ascii="Times New Roman" w:hAnsi="Times New Roman"/>
                <w:b w:val="0"/>
                <w:sz w:val="24"/>
                <w:u w:val="none"/>
              </w:rPr>
              <w:t>rámci techniky oceňovania, ktoré majú podobu rizikovej prirážky alebo výstupných nákladov</w:t>
            </w:r>
            <w:r w:rsidR="009912F8" w:rsidRPr="00E07C9A">
              <w:rPr>
                <w:rStyle w:val="InstructionsTabelleberschrift"/>
                <w:rFonts w:ascii="Times New Roman" w:hAnsi="Times New Roman"/>
                <w:b w:val="0"/>
                <w:sz w:val="24"/>
                <w:u w:val="none"/>
              </w:rPr>
              <w:t xml:space="preserve"> a </w:t>
            </w:r>
            <w:r w:rsidRPr="00E07C9A">
              <w:rPr>
                <w:rStyle w:val="InstructionsTabelleberschrift"/>
                <w:rFonts w:ascii="Times New Roman" w:hAnsi="Times New Roman"/>
                <w:b w:val="0"/>
                <w:sz w:val="24"/>
                <w:u w:val="none"/>
              </w:rPr>
              <w:t>spĺňajú vymedzenie reálnej hodnoty. Musia ich však zohľadňovať účastníci trhu pri stanovovaní ceny. (IFRS 13 ods. 9</w:t>
            </w:r>
            <w:r w:rsidR="009912F8" w:rsidRPr="00E07C9A">
              <w:rPr>
                <w:rStyle w:val="InstructionsTabelleberschrift"/>
                <w:rFonts w:ascii="Times New Roman" w:hAnsi="Times New Roman"/>
                <w:b w:val="0"/>
                <w:sz w:val="24"/>
                <w:u w:val="none"/>
              </w:rPr>
              <w:t xml:space="preserve"> a </w:t>
            </w:r>
            <w:r w:rsidRPr="00E07C9A">
              <w:rPr>
                <w:rStyle w:val="InstructionsTabelleberschrift"/>
                <w:rFonts w:ascii="Times New Roman" w:hAnsi="Times New Roman"/>
                <w:b w:val="0"/>
                <w:sz w:val="24"/>
                <w:u w:val="none"/>
              </w:rPr>
              <w:t>IFRS 13 ods. 88)</w:t>
            </w:r>
          </w:p>
        </w:tc>
      </w:tr>
      <w:tr w:rsidR="00973707" w:rsidRPr="00E07C9A" w14:paraId="255AFA8F" w14:textId="77777777" w:rsidTr="00672D2A">
        <w:tc>
          <w:tcPr>
            <w:tcW w:w="1101" w:type="dxa"/>
          </w:tcPr>
          <w:p w14:paraId="542AD1E6" w14:textId="77777777" w:rsidR="00973707" w:rsidRPr="00E07C9A" w:rsidRDefault="009A7A38" w:rsidP="00AF3D7A">
            <w:pPr>
              <w:spacing w:beforeLines="60" w:before="144" w:afterLines="60" w:after="144"/>
              <w:rPr>
                <w:rFonts w:ascii="Times New Roman" w:hAnsi="Times New Roman"/>
                <w:sz w:val="24"/>
              </w:rPr>
            </w:pPr>
            <w:r w:rsidRPr="00E07C9A">
              <w:rPr>
                <w:rFonts w:ascii="Times New Roman" w:hAnsi="Times New Roman"/>
                <w:sz w:val="24"/>
              </w:rPr>
              <w:t>0170</w:t>
            </w:r>
          </w:p>
        </w:tc>
        <w:tc>
          <w:tcPr>
            <w:tcW w:w="8190" w:type="dxa"/>
          </w:tcPr>
          <w:p w14:paraId="09C349C9" w14:textId="77777777" w:rsidR="00973707" w:rsidRPr="00E07C9A" w:rsidRDefault="00973707" w:rsidP="00AF3D7A">
            <w:pPr>
              <w:spacing w:beforeLines="60" w:before="144" w:afterLines="60" w:after="144"/>
              <w:rPr>
                <w:rStyle w:val="InstructionsTabelleberschrift"/>
                <w:rFonts w:ascii="Times New Roman" w:hAnsi="Times New Roman"/>
                <w:b w:val="0"/>
                <w:sz w:val="24"/>
                <w:u w:val="none"/>
              </w:rPr>
            </w:pPr>
            <w:r w:rsidRPr="00E07C9A">
              <w:rPr>
                <w:rStyle w:val="InstructionsTabelleberschrift"/>
                <w:rFonts w:ascii="Times New Roman" w:hAnsi="Times New Roman"/>
                <w:sz w:val="24"/>
              </w:rPr>
              <w:t>NEISTOTA TRHOVEJ CENY</w:t>
            </w:r>
          </w:p>
          <w:p w14:paraId="23F266B5" w14:textId="5FD11D8B" w:rsidR="00973707" w:rsidRPr="00E07C9A" w:rsidRDefault="00973707" w:rsidP="00AF3D7A">
            <w:pPr>
              <w:spacing w:beforeLines="60" w:before="144" w:afterLines="60" w:after="144"/>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Úprava uplatnená inštitúciou na reálnu hodnotu</w:t>
            </w:r>
            <w:r w:rsidR="009912F8" w:rsidRPr="00E07C9A">
              <w:rPr>
                <w:rStyle w:val="InstructionsTabelleberschrift"/>
                <w:rFonts w:ascii="Times New Roman" w:hAnsi="Times New Roman"/>
                <w:b w:val="0"/>
                <w:sz w:val="24"/>
                <w:u w:val="none"/>
              </w:rPr>
              <w:t xml:space="preserve"> s </w:t>
            </w:r>
            <w:r w:rsidRPr="00E07C9A">
              <w:rPr>
                <w:rStyle w:val="InstructionsTabelleberschrift"/>
                <w:rFonts w:ascii="Times New Roman" w:hAnsi="Times New Roman"/>
                <w:b w:val="0"/>
                <w:sz w:val="24"/>
                <w:u w:val="none"/>
              </w:rPr>
              <w:t>cieľom zohľadniť rizikovú prirážku vyplývajúcu</w:t>
            </w:r>
            <w:r w:rsidR="009912F8" w:rsidRPr="00E07C9A">
              <w:rPr>
                <w:rStyle w:val="InstructionsTabelleberschrift"/>
                <w:rFonts w:ascii="Times New Roman" w:hAnsi="Times New Roman"/>
                <w:b w:val="0"/>
                <w:sz w:val="24"/>
                <w:u w:val="none"/>
              </w:rPr>
              <w:t xml:space="preserve"> z </w:t>
            </w:r>
            <w:r w:rsidRPr="00E07C9A">
              <w:rPr>
                <w:rStyle w:val="InstructionsTabelleberschrift"/>
                <w:rFonts w:ascii="Times New Roman" w:hAnsi="Times New Roman"/>
                <w:b w:val="0"/>
                <w:sz w:val="24"/>
                <w:u w:val="none"/>
              </w:rPr>
              <w:t>existencie rozmedzia zistených cien pre ekvivalentné nástroje alebo,</w:t>
            </w:r>
            <w:r w:rsidR="009912F8" w:rsidRPr="00E07C9A">
              <w:rPr>
                <w:rStyle w:val="InstructionsTabelleberschrift"/>
                <w:rFonts w:ascii="Times New Roman" w:hAnsi="Times New Roman"/>
                <w:b w:val="0"/>
                <w:sz w:val="24"/>
                <w:u w:val="none"/>
              </w:rPr>
              <w:t xml:space="preserve"> z </w:t>
            </w:r>
            <w:r w:rsidRPr="00E07C9A">
              <w:rPr>
                <w:rStyle w:val="InstructionsTabelleberschrift"/>
                <w:rFonts w:ascii="Times New Roman" w:hAnsi="Times New Roman"/>
                <w:b w:val="0"/>
                <w:sz w:val="24"/>
                <w:u w:val="none"/>
              </w:rPr>
              <w:t>hľadiska vstupu parametru trhu do modelu oceňovania, nástroje, vstup</w:t>
            </w:r>
            <w:r w:rsidR="009912F8" w:rsidRPr="00E07C9A">
              <w:rPr>
                <w:rStyle w:val="InstructionsTabelleberschrift"/>
                <w:rFonts w:ascii="Times New Roman" w:hAnsi="Times New Roman"/>
                <w:b w:val="0"/>
                <w:sz w:val="24"/>
                <w:u w:val="none"/>
              </w:rPr>
              <w:t xml:space="preserve"> z </w:t>
            </w:r>
            <w:r w:rsidRPr="00E07C9A">
              <w:rPr>
                <w:rStyle w:val="InstructionsTabelleberschrift"/>
                <w:rFonts w:ascii="Times New Roman" w:hAnsi="Times New Roman"/>
                <w:b w:val="0"/>
                <w:sz w:val="24"/>
                <w:u w:val="none"/>
              </w:rPr>
              <w:t>ktorých bol kalibrovaný,</w:t>
            </w:r>
            <w:r w:rsidR="009912F8" w:rsidRPr="00E07C9A">
              <w:rPr>
                <w:rStyle w:val="InstructionsTabelleberschrift"/>
                <w:rFonts w:ascii="Times New Roman" w:hAnsi="Times New Roman"/>
                <w:b w:val="0"/>
                <w:sz w:val="24"/>
                <w:u w:val="none"/>
              </w:rPr>
              <w:t xml:space="preserve"> a </w:t>
            </w:r>
            <w:r w:rsidRPr="00E07C9A">
              <w:rPr>
                <w:rStyle w:val="InstructionsTabelleberschrift"/>
                <w:rFonts w:ascii="Times New Roman" w:hAnsi="Times New Roman"/>
                <w:b w:val="0"/>
                <w:sz w:val="24"/>
                <w:u w:val="none"/>
              </w:rPr>
              <w:t xml:space="preserve">ktorú preto možno označiť za riešiacu rovnaký zdroj neistoty ocenenia ako dodatočná úprava ocenenia zohľadňujúca neistotu trhovej ceny. </w:t>
            </w:r>
          </w:p>
        </w:tc>
      </w:tr>
      <w:tr w:rsidR="00973707" w:rsidRPr="00E07C9A" w14:paraId="3D614796" w14:textId="77777777" w:rsidTr="00672D2A">
        <w:tc>
          <w:tcPr>
            <w:tcW w:w="1101" w:type="dxa"/>
          </w:tcPr>
          <w:p w14:paraId="2E4AFA65" w14:textId="77777777" w:rsidR="00973707" w:rsidRPr="00E07C9A" w:rsidRDefault="009A7A38" w:rsidP="00AF3D7A">
            <w:pPr>
              <w:spacing w:beforeLines="60" w:before="144" w:afterLines="60" w:after="144"/>
              <w:rPr>
                <w:rFonts w:ascii="Times New Roman" w:hAnsi="Times New Roman"/>
                <w:sz w:val="24"/>
              </w:rPr>
            </w:pPr>
            <w:r w:rsidRPr="00E07C9A">
              <w:rPr>
                <w:rFonts w:ascii="Times New Roman" w:hAnsi="Times New Roman"/>
                <w:sz w:val="24"/>
              </w:rPr>
              <w:t>0180</w:t>
            </w:r>
          </w:p>
        </w:tc>
        <w:tc>
          <w:tcPr>
            <w:tcW w:w="8190" w:type="dxa"/>
          </w:tcPr>
          <w:p w14:paraId="0D74C23F" w14:textId="77777777" w:rsidR="00973707" w:rsidRPr="00E07C9A" w:rsidRDefault="00973707" w:rsidP="00AF3D7A">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NÁKLADY NA ZATVORENIE POZÍCIÍ</w:t>
            </w:r>
          </w:p>
          <w:p w14:paraId="534C9E49" w14:textId="3A660603" w:rsidR="00973707" w:rsidRPr="00E07C9A" w:rsidRDefault="00973707" w:rsidP="00AF3D7A">
            <w:pPr>
              <w:spacing w:beforeLines="60" w:before="144" w:afterLines="60" w:after="144"/>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Úprava uplatnená inštitúciou na reálnu hodnotu</w:t>
            </w:r>
            <w:r w:rsidR="009912F8" w:rsidRPr="00E07C9A">
              <w:rPr>
                <w:rStyle w:val="InstructionsTabelleberschrift"/>
                <w:rFonts w:ascii="Times New Roman" w:hAnsi="Times New Roman"/>
                <w:b w:val="0"/>
                <w:sz w:val="24"/>
                <w:u w:val="none"/>
              </w:rPr>
              <w:t xml:space="preserve"> s </w:t>
            </w:r>
            <w:r w:rsidRPr="00E07C9A">
              <w:rPr>
                <w:rStyle w:val="InstructionsTabelleberschrift"/>
                <w:rFonts w:ascii="Times New Roman" w:hAnsi="Times New Roman"/>
                <w:b w:val="0"/>
                <w:sz w:val="24"/>
                <w:u w:val="none"/>
              </w:rPr>
              <w:t>cieľom dosiahnuť úpravu</w:t>
            </w:r>
            <w:r w:rsidR="009912F8" w:rsidRPr="00E07C9A">
              <w:rPr>
                <w:rStyle w:val="InstructionsTabelleberschrift"/>
                <w:rFonts w:ascii="Times New Roman" w:hAnsi="Times New Roman"/>
                <w:b w:val="0"/>
                <w:sz w:val="24"/>
                <w:u w:val="none"/>
              </w:rPr>
              <w:t xml:space="preserve"> s </w:t>
            </w:r>
            <w:r w:rsidRPr="00E07C9A">
              <w:rPr>
                <w:rStyle w:val="InstructionsTabelleberschrift"/>
                <w:rFonts w:ascii="Times New Roman" w:hAnsi="Times New Roman"/>
                <w:b w:val="0"/>
                <w:sz w:val="24"/>
                <w:u w:val="none"/>
              </w:rPr>
              <w:t>ohľadom na to, že ocenenia na úrovni pozície nezohľadňujú výstupnú cenu pre pozíciu ani portfólio, predovšetkým vtedy, keď sú takéto ocenenia kalibrované na strednú trhovú cenu,</w:t>
            </w:r>
            <w:r w:rsidR="009912F8" w:rsidRPr="00E07C9A">
              <w:rPr>
                <w:rStyle w:val="InstructionsTabelleberschrift"/>
                <w:rFonts w:ascii="Times New Roman" w:hAnsi="Times New Roman"/>
                <w:b w:val="0"/>
                <w:sz w:val="24"/>
                <w:u w:val="none"/>
              </w:rPr>
              <w:t xml:space="preserve"> a </w:t>
            </w:r>
            <w:r w:rsidRPr="00E07C9A">
              <w:rPr>
                <w:rStyle w:val="InstructionsTabelleberschrift"/>
                <w:rFonts w:ascii="Times New Roman" w:hAnsi="Times New Roman"/>
                <w:b w:val="0"/>
                <w:sz w:val="24"/>
                <w:u w:val="none"/>
              </w:rPr>
              <w:t xml:space="preserve">preto ju možno označiť za riešiacu rovnaký zdroj neistoty ocenenia ako </w:t>
            </w:r>
            <w:r w:rsidRPr="00E07C9A">
              <w:rPr>
                <w:rFonts w:ascii="Times New Roman" w:hAnsi="Times New Roman"/>
                <w:sz w:val="24"/>
              </w:rPr>
              <w:t>dodatočná úprava ocenenia zohľadňujúca náklady na zatvorenie pozícií</w:t>
            </w:r>
            <w:r w:rsidRPr="00E07C9A">
              <w:rPr>
                <w:rStyle w:val="InstructionsTabelleberschrift"/>
                <w:rFonts w:ascii="Times New Roman" w:hAnsi="Times New Roman"/>
                <w:b w:val="0"/>
                <w:sz w:val="24"/>
                <w:u w:val="none"/>
              </w:rPr>
              <w:t>.</w:t>
            </w:r>
          </w:p>
        </w:tc>
      </w:tr>
      <w:tr w:rsidR="00973707" w:rsidRPr="00E07C9A" w14:paraId="37669A32" w14:textId="77777777" w:rsidTr="00672D2A">
        <w:tc>
          <w:tcPr>
            <w:tcW w:w="1101" w:type="dxa"/>
          </w:tcPr>
          <w:p w14:paraId="58042300" w14:textId="77777777" w:rsidR="00973707" w:rsidRPr="00E07C9A" w:rsidRDefault="009A7A38" w:rsidP="00AF3D7A">
            <w:pPr>
              <w:spacing w:beforeLines="60" w:before="144" w:afterLines="60" w:after="144"/>
              <w:rPr>
                <w:rFonts w:ascii="Times New Roman" w:hAnsi="Times New Roman"/>
                <w:sz w:val="24"/>
              </w:rPr>
            </w:pPr>
            <w:r w:rsidRPr="00E07C9A">
              <w:rPr>
                <w:rFonts w:ascii="Times New Roman" w:hAnsi="Times New Roman"/>
                <w:sz w:val="24"/>
              </w:rPr>
              <w:t>0190</w:t>
            </w:r>
          </w:p>
        </w:tc>
        <w:tc>
          <w:tcPr>
            <w:tcW w:w="8190" w:type="dxa"/>
          </w:tcPr>
          <w:p w14:paraId="31BFAB37" w14:textId="77777777" w:rsidR="00973707" w:rsidRPr="00E07C9A" w:rsidRDefault="00973707" w:rsidP="00AF3D7A">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RIZIKO MODELOV</w:t>
            </w:r>
          </w:p>
          <w:p w14:paraId="21182C42" w14:textId="48B742C4" w:rsidR="00973707" w:rsidRPr="00E07C9A" w:rsidRDefault="00973707" w:rsidP="00AF3D7A">
            <w:pPr>
              <w:spacing w:beforeLines="60" w:before="144" w:afterLines="60" w:after="144"/>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Úprava uplatnená inštitúciou na reálnu hodnotu</w:t>
            </w:r>
            <w:r w:rsidR="009912F8" w:rsidRPr="00E07C9A">
              <w:rPr>
                <w:rStyle w:val="InstructionsTabelleberschrift"/>
                <w:rFonts w:ascii="Times New Roman" w:hAnsi="Times New Roman"/>
                <w:b w:val="0"/>
                <w:sz w:val="24"/>
                <w:u w:val="none"/>
              </w:rPr>
              <w:t xml:space="preserve"> s </w:t>
            </w:r>
            <w:r w:rsidRPr="00E07C9A">
              <w:rPr>
                <w:rStyle w:val="InstructionsTabelleberschrift"/>
                <w:rFonts w:ascii="Times New Roman" w:hAnsi="Times New Roman"/>
                <w:b w:val="0"/>
                <w:sz w:val="24"/>
                <w:u w:val="none"/>
              </w:rPr>
              <w:t>cieľom zohľadniť trhové alebo produktové faktory, ktoré nie sú zachytené modelom používaným na výpočet denných hodnôt</w:t>
            </w:r>
            <w:r w:rsidR="009912F8" w:rsidRPr="00E07C9A">
              <w:rPr>
                <w:rStyle w:val="InstructionsTabelleberschrift"/>
                <w:rFonts w:ascii="Times New Roman" w:hAnsi="Times New Roman"/>
                <w:b w:val="0"/>
                <w:sz w:val="24"/>
                <w:u w:val="none"/>
              </w:rPr>
              <w:t xml:space="preserve"> a </w:t>
            </w:r>
            <w:r w:rsidRPr="00E07C9A">
              <w:rPr>
                <w:rStyle w:val="InstructionsTabelleberschrift"/>
                <w:rFonts w:ascii="Times New Roman" w:hAnsi="Times New Roman"/>
                <w:b w:val="0"/>
                <w:sz w:val="24"/>
                <w:u w:val="none"/>
              </w:rPr>
              <w:t>rizík pozícií („model oceňovania“), alebo zohľadniť príslušnú úroveň obozretnosti vzhľadom na neistotu vyplývajúcu</w:t>
            </w:r>
            <w:r w:rsidR="009912F8" w:rsidRPr="00E07C9A">
              <w:rPr>
                <w:rStyle w:val="InstructionsTabelleberschrift"/>
                <w:rFonts w:ascii="Times New Roman" w:hAnsi="Times New Roman"/>
                <w:b w:val="0"/>
                <w:sz w:val="24"/>
                <w:u w:val="none"/>
              </w:rPr>
              <w:t xml:space="preserve"> z </w:t>
            </w:r>
            <w:r w:rsidRPr="00E07C9A">
              <w:rPr>
                <w:rStyle w:val="InstructionsTabelleberschrift"/>
                <w:rFonts w:ascii="Times New Roman" w:hAnsi="Times New Roman"/>
                <w:b w:val="0"/>
                <w:sz w:val="24"/>
                <w:u w:val="none"/>
              </w:rPr>
              <w:t>existencie radu alternatívnych platných modelov</w:t>
            </w:r>
            <w:r w:rsidR="009912F8" w:rsidRPr="00E07C9A">
              <w:rPr>
                <w:rStyle w:val="InstructionsTabelleberschrift"/>
                <w:rFonts w:ascii="Times New Roman" w:hAnsi="Times New Roman"/>
                <w:b w:val="0"/>
                <w:sz w:val="24"/>
                <w:u w:val="none"/>
              </w:rPr>
              <w:t xml:space="preserve"> a </w:t>
            </w:r>
            <w:r w:rsidRPr="00E07C9A">
              <w:rPr>
                <w:rStyle w:val="InstructionsTabelleberschrift"/>
                <w:rFonts w:ascii="Times New Roman" w:hAnsi="Times New Roman"/>
                <w:b w:val="0"/>
                <w:sz w:val="24"/>
                <w:u w:val="none"/>
              </w:rPr>
              <w:t>kalibrácií modelov,</w:t>
            </w:r>
            <w:r w:rsidR="009912F8" w:rsidRPr="00E07C9A">
              <w:rPr>
                <w:rStyle w:val="InstructionsTabelleberschrift"/>
                <w:rFonts w:ascii="Times New Roman" w:hAnsi="Times New Roman"/>
                <w:b w:val="0"/>
                <w:sz w:val="24"/>
                <w:u w:val="none"/>
              </w:rPr>
              <w:t xml:space="preserve"> a </w:t>
            </w:r>
            <w:r w:rsidRPr="00E07C9A">
              <w:rPr>
                <w:rStyle w:val="InstructionsTabelleberschrift"/>
                <w:rFonts w:ascii="Times New Roman" w:hAnsi="Times New Roman"/>
                <w:b w:val="0"/>
                <w:sz w:val="24"/>
                <w:u w:val="none"/>
              </w:rPr>
              <w:t xml:space="preserve">ktorú preto možno označiť za riešiacu rovnaký zdroj neistoty ocenenia ako </w:t>
            </w:r>
            <w:r w:rsidRPr="00E07C9A">
              <w:rPr>
                <w:rFonts w:ascii="Times New Roman" w:hAnsi="Times New Roman"/>
                <w:sz w:val="24"/>
              </w:rPr>
              <w:t>dodatočná úprava ocenenia zohľadňujúca riziko modelov</w:t>
            </w:r>
            <w:r w:rsidRPr="00E07C9A">
              <w:rPr>
                <w:rStyle w:val="InstructionsTabelleberschrift"/>
                <w:rFonts w:ascii="Times New Roman" w:hAnsi="Times New Roman"/>
                <w:b w:val="0"/>
                <w:sz w:val="24"/>
                <w:u w:val="none"/>
              </w:rPr>
              <w:t>.</w:t>
            </w:r>
          </w:p>
        </w:tc>
      </w:tr>
      <w:tr w:rsidR="00973707" w:rsidRPr="00E07C9A" w14:paraId="7D74F37A" w14:textId="77777777" w:rsidTr="00672D2A">
        <w:tc>
          <w:tcPr>
            <w:tcW w:w="1101" w:type="dxa"/>
          </w:tcPr>
          <w:p w14:paraId="76364F2C" w14:textId="77777777" w:rsidR="00973707" w:rsidRPr="00E07C9A" w:rsidRDefault="009A7A38" w:rsidP="00AF3D7A">
            <w:pPr>
              <w:spacing w:beforeLines="60" w:before="144" w:afterLines="60" w:after="144"/>
              <w:rPr>
                <w:rFonts w:ascii="Times New Roman" w:hAnsi="Times New Roman"/>
                <w:sz w:val="24"/>
              </w:rPr>
            </w:pPr>
            <w:r w:rsidRPr="00E07C9A">
              <w:rPr>
                <w:rFonts w:ascii="Times New Roman" w:hAnsi="Times New Roman"/>
                <w:sz w:val="24"/>
              </w:rPr>
              <w:t>0200</w:t>
            </w:r>
          </w:p>
        </w:tc>
        <w:tc>
          <w:tcPr>
            <w:tcW w:w="8190" w:type="dxa"/>
          </w:tcPr>
          <w:p w14:paraId="1C88311D" w14:textId="77777777" w:rsidR="00973707" w:rsidRPr="00E07C9A" w:rsidRDefault="00973707" w:rsidP="00AF3D7A">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KONCENTROVANÉ POZÍCIE</w:t>
            </w:r>
          </w:p>
          <w:p w14:paraId="2FD0EF31" w14:textId="5DAC135C" w:rsidR="00973707" w:rsidRPr="00E07C9A" w:rsidRDefault="00973707" w:rsidP="00A30C4C">
            <w:pPr>
              <w:spacing w:beforeLines="60" w:before="144" w:afterLines="60" w:after="144"/>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Úprava uplatnená inštitúciou na reálnu hodnotu na zohľadnenie toho, že agregovaná pozícia držaná inštitúciou je väčšia ako normálny obchodovaný objem alebo väčšia ako veľkosti pozícií, na ktorých sú založené zistiteľné kotácie alebo obchody použité na kalibráciu ceny alebo vstupov používaných modelom oceňovania,</w:t>
            </w:r>
            <w:r w:rsidR="009912F8" w:rsidRPr="00E07C9A">
              <w:rPr>
                <w:rStyle w:val="InstructionsTabelleberschrift"/>
                <w:rFonts w:ascii="Times New Roman" w:hAnsi="Times New Roman"/>
                <w:b w:val="0"/>
                <w:sz w:val="24"/>
                <w:u w:val="none"/>
              </w:rPr>
              <w:t xml:space="preserve"> a </w:t>
            </w:r>
            <w:r w:rsidRPr="00E07C9A">
              <w:rPr>
                <w:rStyle w:val="InstructionsTabelleberschrift"/>
                <w:rFonts w:ascii="Times New Roman" w:hAnsi="Times New Roman"/>
                <w:b w:val="0"/>
                <w:sz w:val="24"/>
                <w:u w:val="none"/>
              </w:rPr>
              <w:t xml:space="preserve">ktorú preto možno označiť za riešiacu rovnaký zdroj neistoty ocenenia ako </w:t>
            </w:r>
            <w:r w:rsidRPr="00E07C9A">
              <w:rPr>
                <w:rFonts w:ascii="Times New Roman" w:hAnsi="Times New Roman"/>
                <w:sz w:val="24"/>
              </w:rPr>
              <w:t>dodatočná úprava ocenenia zohľadňujúca koncentrované pozície</w:t>
            </w:r>
            <w:r w:rsidRPr="00E07C9A">
              <w:rPr>
                <w:rStyle w:val="InstructionsTabelleberschrift"/>
                <w:rFonts w:ascii="Times New Roman" w:hAnsi="Times New Roman"/>
                <w:b w:val="0"/>
                <w:sz w:val="24"/>
                <w:u w:val="none"/>
              </w:rPr>
              <w:t xml:space="preserve">. </w:t>
            </w:r>
          </w:p>
        </w:tc>
      </w:tr>
      <w:tr w:rsidR="00973707" w:rsidRPr="00E07C9A" w14:paraId="68A0D6FA" w14:textId="77777777" w:rsidTr="00672D2A">
        <w:tc>
          <w:tcPr>
            <w:tcW w:w="1101" w:type="dxa"/>
          </w:tcPr>
          <w:p w14:paraId="0AAD96DF" w14:textId="77777777" w:rsidR="00973707" w:rsidRPr="00E07C9A" w:rsidRDefault="009A7A38" w:rsidP="00AF3D7A">
            <w:pPr>
              <w:spacing w:beforeLines="60" w:before="144" w:afterLines="60" w:after="144"/>
              <w:rPr>
                <w:rFonts w:ascii="Times New Roman" w:hAnsi="Times New Roman"/>
                <w:sz w:val="24"/>
              </w:rPr>
            </w:pPr>
            <w:r w:rsidRPr="00E07C9A">
              <w:rPr>
                <w:rFonts w:ascii="Times New Roman" w:hAnsi="Times New Roman"/>
                <w:sz w:val="24"/>
              </w:rPr>
              <w:t>0210</w:t>
            </w:r>
          </w:p>
        </w:tc>
        <w:tc>
          <w:tcPr>
            <w:tcW w:w="8190" w:type="dxa"/>
          </w:tcPr>
          <w:p w14:paraId="40818CC1" w14:textId="77777777" w:rsidR="00973707" w:rsidRPr="00E07C9A" w:rsidRDefault="00973707" w:rsidP="00AF3D7A">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NEZÍSKANÉ KREDITNÉ ROZPÄTIA</w:t>
            </w:r>
          </w:p>
          <w:p w14:paraId="4501943E" w14:textId="4B397AD2" w:rsidR="00973707" w:rsidRPr="00E07C9A" w:rsidRDefault="00973707" w:rsidP="00AF3D7A">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b w:val="0"/>
                <w:sz w:val="24"/>
                <w:u w:val="none"/>
              </w:rPr>
              <w:t>Úprava uplatnená inštitúciou na reálnu hodnotu na pokrytie očakávaných strát zo zlyhania protistrany</w:t>
            </w:r>
            <w:r w:rsidR="009912F8" w:rsidRPr="00E07C9A">
              <w:rPr>
                <w:rStyle w:val="InstructionsTabelleberschrift"/>
                <w:rFonts w:ascii="Times New Roman" w:hAnsi="Times New Roman"/>
                <w:b w:val="0"/>
                <w:sz w:val="24"/>
                <w:u w:val="none"/>
              </w:rPr>
              <w:t xml:space="preserve"> v </w:t>
            </w:r>
            <w:r w:rsidRPr="00E07C9A">
              <w:rPr>
                <w:rStyle w:val="InstructionsTabelleberschrift"/>
                <w:rFonts w:ascii="Times New Roman" w:hAnsi="Times New Roman"/>
                <w:b w:val="0"/>
                <w:sz w:val="24"/>
                <w:u w:val="none"/>
              </w:rPr>
              <w:t>prípade derivátových pozícií (t. j. celková úprava ocenenia pohľadávok „CVA“ na úrovni inštitúcie).</w:t>
            </w:r>
          </w:p>
        </w:tc>
      </w:tr>
      <w:tr w:rsidR="00973707" w:rsidRPr="00E07C9A" w14:paraId="398F1FE3" w14:textId="77777777" w:rsidTr="00672D2A">
        <w:tc>
          <w:tcPr>
            <w:tcW w:w="1101" w:type="dxa"/>
          </w:tcPr>
          <w:p w14:paraId="7D642775" w14:textId="77777777" w:rsidR="00973707" w:rsidRPr="00E07C9A" w:rsidRDefault="009A7A38" w:rsidP="00AF3D7A">
            <w:pPr>
              <w:spacing w:beforeLines="60" w:before="144" w:afterLines="60" w:after="144"/>
              <w:rPr>
                <w:rFonts w:ascii="Times New Roman" w:hAnsi="Times New Roman"/>
                <w:sz w:val="24"/>
              </w:rPr>
            </w:pPr>
            <w:r w:rsidRPr="00E07C9A">
              <w:rPr>
                <w:rFonts w:ascii="Times New Roman" w:hAnsi="Times New Roman"/>
                <w:sz w:val="24"/>
              </w:rPr>
              <w:t>0220</w:t>
            </w:r>
          </w:p>
        </w:tc>
        <w:tc>
          <w:tcPr>
            <w:tcW w:w="8190" w:type="dxa"/>
          </w:tcPr>
          <w:p w14:paraId="064AB043" w14:textId="77777777" w:rsidR="00973707" w:rsidRPr="00E07C9A" w:rsidRDefault="00973707" w:rsidP="00AF3D7A">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INVESTIČNÉ NÁKLADY A NÁKLADY NA FINANCOVANIE</w:t>
            </w:r>
          </w:p>
          <w:p w14:paraId="7A58BE72" w14:textId="16561776" w:rsidR="00973707" w:rsidRPr="00E07C9A" w:rsidRDefault="00973707" w:rsidP="00AF3D7A">
            <w:pPr>
              <w:spacing w:beforeLines="60" w:before="144" w:afterLines="60" w:after="144"/>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Úprava uplatnená inštitúciou na reálnu hodnotu na kompenzáciu prípadov, keď modely oceňovania nezohľadňujú</w:t>
            </w:r>
            <w:r w:rsidR="009912F8" w:rsidRPr="00E07C9A">
              <w:rPr>
                <w:rStyle w:val="InstructionsTabelleberschrift"/>
                <w:rFonts w:ascii="Times New Roman" w:hAnsi="Times New Roman"/>
                <w:b w:val="0"/>
                <w:sz w:val="24"/>
                <w:u w:val="none"/>
              </w:rPr>
              <w:t xml:space="preserve"> v </w:t>
            </w:r>
            <w:r w:rsidRPr="00E07C9A">
              <w:rPr>
                <w:rStyle w:val="InstructionsTabelleberschrift"/>
                <w:rFonts w:ascii="Times New Roman" w:hAnsi="Times New Roman"/>
                <w:b w:val="0"/>
                <w:sz w:val="24"/>
                <w:u w:val="none"/>
              </w:rPr>
              <w:t>plnej miere náklady na financovanie, ktoré by účastníci trhu zohľadnili vo výstupnej cene pre pozíciu alebo portfólio (t. j. celková úprava ocenenia financovania na úrovni inštitúcie, keď inštitúcia vypočítava takúto úpravu, prípadne rovnocennú úpravu).</w:t>
            </w:r>
          </w:p>
        </w:tc>
      </w:tr>
      <w:tr w:rsidR="00973707" w:rsidRPr="00E07C9A" w14:paraId="3ED660CC" w14:textId="77777777" w:rsidTr="00672D2A">
        <w:tc>
          <w:tcPr>
            <w:tcW w:w="1101" w:type="dxa"/>
          </w:tcPr>
          <w:p w14:paraId="42C726B3" w14:textId="77777777" w:rsidR="00973707" w:rsidRPr="00E07C9A" w:rsidRDefault="009A7A38" w:rsidP="00AF3D7A">
            <w:pPr>
              <w:spacing w:beforeLines="60" w:before="144" w:afterLines="60" w:after="144"/>
              <w:rPr>
                <w:rFonts w:ascii="Times New Roman" w:hAnsi="Times New Roman"/>
                <w:sz w:val="24"/>
              </w:rPr>
            </w:pPr>
            <w:r w:rsidRPr="00E07C9A">
              <w:rPr>
                <w:rFonts w:ascii="Times New Roman" w:hAnsi="Times New Roman"/>
                <w:sz w:val="24"/>
              </w:rPr>
              <w:t>0230</w:t>
            </w:r>
          </w:p>
        </w:tc>
        <w:tc>
          <w:tcPr>
            <w:tcW w:w="8190" w:type="dxa"/>
          </w:tcPr>
          <w:p w14:paraId="6D2475B2" w14:textId="77777777" w:rsidR="00973707" w:rsidRPr="00E07C9A" w:rsidRDefault="00973707" w:rsidP="00AF3D7A">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BUDÚCE ADMINISTRATÍVNE NÁKLADY</w:t>
            </w:r>
          </w:p>
          <w:p w14:paraId="2AC4113F" w14:textId="2C1AB260" w:rsidR="00973707" w:rsidRPr="00E07C9A" w:rsidRDefault="00973707" w:rsidP="00AF3D7A">
            <w:pPr>
              <w:spacing w:beforeLines="60" w:before="144" w:afterLines="60" w:after="144"/>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Úprava uplatnená inštitúciou na reálnu hodnotu na zohľadnenie administratívnych nákladov, ktoré vznikli pre portfólio alebo pozíciu, ale nie sú zohľadnené</w:t>
            </w:r>
            <w:r w:rsidR="009912F8" w:rsidRPr="00E07C9A">
              <w:rPr>
                <w:rStyle w:val="InstructionsTabelleberschrift"/>
                <w:rFonts w:ascii="Times New Roman" w:hAnsi="Times New Roman"/>
                <w:b w:val="0"/>
                <w:sz w:val="24"/>
                <w:u w:val="none"/>
              </w:rPr>
              <w:t xml:space="preserve"> v </w:t>
            </w:r>
            <w:r w:rsidRPr="00E07C9A">
              <w:rPr>
                <w:rStyle w:val="InstructionsTabelleberschrift"/>
                <w:rFonts w:ascii="Times New Roman" w:hAnsi="Times New Roman"/>
                <w:b w:val="0"/>
                <w:sz w:val="24"/>
                <w:u w:val="none"/>
              </w:rPr>
              <w:t>modeli oceňovania ani</w:t>
            </w:r>
            <w:r w:rsidR="009912F8" w:rsidRPr="00E07C9A">
              <w:rPr>
                <w:rStyle w:val="InstructionsTabelleberschrift"/>
                <w:rFonts w:ascii="Times New Roman" w:hAnsi="Times New Roman"/>
                <w:b w:val="0"/>
                <w:sz w:val="24"/>
                <w:u w:val="none"/>
              </w:rPr>
              <w:t xml:space="preserve"> v </w:t>
            </w:r>
            <w:r w:rsidRPr="00E07C9A">
              <w:rPr>
                <w:rStyle w:val="InstructionsTabelleberschrift"/>
                <w:rFonts w:ascii="Times New Roman" w:hAnsi="Times New Roman"/>
                <w:b w:val="0"/>
                <w:sz w:val="24"/>
                <w:u w:val="none"/>
              </w:rPr>
              <w:t>cenách použitých na kalibráciu vstupov do daného modelu,</w:t>
            </w:r>
            <w:r w:rsidR="009912F8" w:rsidRPr="00E07C9A">
              <w:rPr>
                <w:rStyle w:val="InstructionsTabelleberschrift"/>
                <w:rFonts w:ascii="Times New Roman" w:hAnsi="Times New Roman"/>
                <w:b w:val="0"/>
                <w:sz w:val="24"/>
                <w:u w:val="none"/>
              </w:rPr>
              <w:t xml:space="preserve"> a </w:t>
            </w:r>
            <w:r w:rsidRPr="00E07C9A">
              <w:rPr>
                <w:rStyle w:val="InstructionsTabelleberschrift"/>
                <w:rFonts w:ascii="Times New Roman" w:hAnsi="Times New Roman"/>
                <w:b w:val="0"/>
                <w:sz w:val="24"/>
                <w:u w:val="none"/>
              </w:rPr>
              <w:t>ktorú preto možno označiť za riešiacu rovnaký zdroj neistoty ocenenia ako dodatočná úprava ocenenia zohľadňujúca budúce administratívne náklady.</w:t>
            </w:r>
          </w:p>
        </w:tc>
      </w:tr>
      <w:tr w:rsidR="00973707" w:rsidRPr="00E07C9A" w14:paraId="0F9674A4" w14:textId="77777777" w:rsidTr="00672D2A">
        <w:tc>
          <w:tcPr>
            <w:tcW w:w="1101" w:type="dxa"/>
          </w:tcPr>
          <w:p w14:paraId="414C53D1" w14:textId="77777777" w:rsidR="00973707" w:rsidRPr="00E07C9A" w:rsidRDefault="009A7A38" w:rsidP="00AF3D7A">
            <w:pPr>
              <w:spacing w:beforeLines="60" w:before="144" w:afterLines="60" w:after="144"/>
              <w:rPr>
                <w:rFonts w:ascii="Times New Roman" w:hAnsi="Times New Roman"/>
                <w:sz w:val="24"/>
              </w:rPr>
            </w:pPr>
            <w:r w:rsidRPr="00E07C9A">
              <w:rPr>
                <w:rFonts w:ascii="Times New Roman" w:hAnsi="Times New Roman"/>
                <w:sz w:val="24"/>
              </w:rPr>
              <w:t>0240</w:t>
            </w:r>
          </w:p>
        </w:tc>
        <w:tc>
          <w:tcPr>
            <w:tcW w:w="8190" w:type="dxa"/>
          </w:tcPr>
          <w:p w14:paraId="28384D5F" w14:textId="77777777" w:rsidR="00973707" w:rsidRPr="00E07C9A" w:rsidRDefault="00973707" w:rsidP="00AF3D7A">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PREDČASNÉ UKONČENIE</w:t>
            </w:r>
          </w:p>
          <w:p w14:paraId="12FD0431" w14:textId="1F6C7929" w:rsidR="00973707" w:rsidRPr="00E07C9A" w:rsidRDefault="00973707" w:rsidP="00AF3D7A">
            <w:pPr>
              <w:spacing w:beforeLines="60" w:before="144" w:afterLines="60" w:after="144"/>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Úpravy uplatnené inštitúciou na reálnu hodnotu na zohľadnenie očakávaní predčasných zmluvných alebo mimozmluvných ukončení, ktoré nie sú zohľadnené</w:t>
            </w:r>
            <w:r w:rsidR="009912F8" w:rsidRPr="00E07C9A">
              <w:rPr>
                <w:rStyle w:val="InstructionsTabelleberschrift"/>
                <w:rFonts w:ascii="Times New Roman" w:hAnsi="Times New Roman"/>
                <w:b w:val="0"/>
                <w:sz w:val="24"/>
                <w:u w:val="none"/>
              </w:rPr>
              <w:t xml:space="preserve"> v </w:t>
            </w:r>
            <w:r w:rsidRPr="00E07C9A">
              <w:rPr>
                <w:rStyle w:val="InstructionsTabelleberschrift"/>
                <w:rFonts w:ascii="Times New Roman" w:hAnsi="Times New Roman"/>
                <w:b w:val="0"/>
                <w:sz w:val="24"/>
                <w:u w:val="none"/>
              </w:rPr>
              <w:t>modeli oceňovania,</w:t>
            </w:r>
            <w:r w:rsidR="009912F8" w:rsidRPr="00E07C9A">
              <w:rPr>
                <w:rStyle w:val="InstructionsTabelleberschrift"/>
                <w:rFonts w:ascii="Times New Roman" w:hAnsi="Times New Roman"/>
                <w:b w:val="0"/>
                <w:sz w:val="24"/>
                <w:u w:val="none"/>
              </w:rPr>
              <w:t xml:space="preserve"> a </w:t>
            </w:r>
            <w:r w:rsidRPr="00E07C9A">
              <w:rPr>
                <w:rStyle w:val="InstructionsTabelleberschrift"/>
                <w:rFonts w:ascii="Times New Roman" w:hAnsi="Times New Roman"/>
                <w:b w:val="0"/>
                <w:sz w:val="24"/>
                <w:u w:val="none"/>
              </w:rPr>
              <w:t>ktoré preto možno označiť za riešiace rovnaký zdroj neistoty ocenenia ako dodatočná úprava ocenenia zohľadňujúca predčasné ukončenie.</w:t>
            </w:r>
          </w:p>
        </w:tc>
      </w:tr>
      <w:tr w:rsidR="00973707" w:rsidRPr="00E07C9A" w14:paraId="6E905243" w14:textId="77777777" w:rsidTr="00672D2A">
        <w:tc>
          <w:tcPr>
            <w:tcW w:w="1101" w:type="dxa"/>
          </w:tcPr>
          <w:p w14:paraId="1A056AD5" w14:textId="77777777" w:rsidR="00973707" w:rsidRPr="00E07C9A" w:rsidRDefault="009A7A38" w:rsidP="00AF3D7A">
            <w:pPr>
              <w:spacing w:beforeLines="60" w:before="144" w:afterLines="60" w:after="144"/>
              <w:rPr>
                <w:rFonts w:ascii="Times New Roman" w:hAnsi="Times New Roman"/>
                <w:sz w:val="24"/>
              </w:rPr>
            </w:pPr>
            <w:r w:rsidRPr="00E07C9A">
              <w:rPr>
                <w:rFonts w:ascii="Times New Roman" w:hAnsi="Times New Roman"/>
                <w:sz w:val="24"/>
              </w:rPr>
              <w:t>0250</w:t>
            </w:r>
          </w:p>
        </w:tc>
        <w:tc>
          <w:tcPr>
            <w:tcW w:w="8190" w:type="dxa"/>
          </w:tcPr>
          <w:p w14:paraId="5CE02A25" w14:textId="77777777" w:rsidR="00973707" w:rsidRPr="00E07C9A" w:rsidRDefault="00973707" w:rsidP="00AF3D7A">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OPERAČNÉ RIZIKO</w:t>
            </w:r>
          </w:p>
          <w:p w14:paraId="1EBDB332" w14:textId="3FC3FCFB" w:rsidR="00973707" w:rsidRPr="00E07C9A" w:rsidRDefault="00973707" w:rsidP="00A30C4C">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b w:val="0"/>
                <w:sz w:val="24"/>
                <w:u w:val="none"/>
              </w:rPr>
              <w:t>Úpravy uplatnené inštitúciou na reálnu hodnotu na zohľadnenie rizikovej prirážky, ktorú by účastníci trhu účtovali</w:t>
            </w:r>
            <w:r w:rsidR="009912F8" w:rsidRPr="00E07C9A">
              <w:rPr>
                <w:rStyle w:val="InstructionsTabelleberschrift"/>
                <w:rFonts w:ascii="Times New Roman" w:hAnsi="Times New Roman"/>
                <w:b w:val="0"/>
                <w:sz w:val="24"/>
                <w:u w:val="none"/>
              </w:rPr>
              <w:t xml:space="preserve"> s </w:t>
            </w:r>
            <w:r w:rsidRPr="00E07C9A">
              <w:rPr>
                <w:rStyle w:val="InstructionsTabelleberschrift"/>
                <w:rFonts w:ascii="Times New Roman" w:hAnsi="Times New Roman"/>
                <w:b w:val="0"/>
                <w:sz w:val="24"/>
                <w:u w:val="none"/>
              </w:rPr>
              <w:t>cieľom kompenzovať operačné riziká vyplývajúce</w:t>
            </w:r>
            <w:r w:rsidR="009912F8" w:rsidRPr="00E07C9A">
              <w:rPr>
                <w:rStyle w:val="InstructionsTabelleberschrift"/>
                <w:rFonts w:ascii="Times New Roman" w:hAnsi="Times New Roman"/>
                <w:b w:val="0"/>
                <w:sz w:val="24"/>
                <w:u w:val="none"/>
              </w:rPr>
              <w:t xml:space="preserve"> z </w:t>
            </w:r>
            <w:r w:rsidRPr="00E07C9A">
              <w:rPr>
                <w:rStyle w:val="InstructionsTabelleberschrift"/>
                <w:rFonts w:ascii="Times New Roman" w:hAnsi="Times New Roman"/>
                <w:b w:val="0"/>
                <w:sz w:val="24"/>
                <w:u w:val="none"/>
              </w:rPr>
              <w:t>hedžingu, správy</w:t>
            </w:r>
            <w:r w:rsidR="009912F8" w:rsidRPr="00E07C9A">
              <w:rPr>
                <w:rStyle w:val="InstructionsTabelleberschrift"/>
                <w:rFonts w:ascii="Times New Roman" w:hAnsi="Times New Roman"/>
                <w:b w:val="0"/>
                <w:sz w:val="24"/>
                <w:u w:val="none"/>
              </w:rPr>
              <w:t xml:space="preserve"> a </w:t>
            </w:r>
            <w:r w:rsidRPr="00E07C9A">
              <w:rPr>
                <w:rStyle w:val="InstructionsTabelleberschrift"/>
                <w:rFonts w:ascii="Times New Roman" w:hAnsi="Times New Roman"/>
                <w:b w:val="0"/>
                <w:sz w:val="24"/>
                <w:u w:val="none"/>
              </w:rPr>
              <w:t>vyrovnávania zmlúv</w:t>
            </w:r>
            <w:r w:rsidR="009912F8" w:rsidRPr="00E07C9A">
              <w:rPr>
                <w:rStyle w:val="InstructionsTabelleberschrift"/>
                <w:rFonts w:ascii="Times New Roman" w:hAnsi="Times New Roman"/>
                <w:b w:val="0"/>
                <w:sz w:val="24"/>
                <w:u w:val="none"/>
              </w:rPr>
              <w:t xml:space="preserve"> v </w:t>
            </w:r>
            <w:r w:rsidRPr="00E07C9A">
              <w:rPr>
                <w:rStyle w:val="InstructionsTabelleberschrift"/>
                <w:rFonts w:ascii="Times New Roman" w:hAnsi="Times New Roman"/>
                <w:b w:val="0"/>
                <w:sz w:val="24"/>
                <w:u w:val="none"/>
              </w:rPr>
              <w:t>portfóliu,</w:t>
            </w:r>
            <w:r w:rsidR="009912F8" w:rsidRPr="00E07C9A">
              <w:rPr>
                <w:rStyle w:val="InstructionsTabelleberschrift"/>
                <w:rFonts w:ascii="Times New Roman" w:hAnsi="Times New Roman"/>
                <w:b w:val="0"/>
                <w:sz w:val="24"/>
                <w:u w:val="none"/>
              </w:rPr>
              <w:t xml:space="preserve"> a </w:t>
            </w:r>
            <w:r w:rsidRPr="00E07C9A">
              <w:rPr>
                <w:rStyle w:val="InstructionsTabelleberschrift"/>
                <w:rFonts w:ascii="Times New Roman" w:hAnsi="Times New Roman"/>
                <w:b w:val="0"/>
                <w:sz w:val="24"/>
                <w:u w:val="none"/>
              </w:rPr>
              <w:t>ktoré preto možno označiť za riešiace rovnaký zdroj neistoty ocenenia ako dodatočná úprava ocenenia zohľadňujúca operačné riziko.</w:t>
            </w:r>
          </w:p>
        </w:tc>
      </w:tr>
      <w:tr w:rsidR="00973707" w:rsidRPr="00E07C9A" w14:paraId="0C3C40CA" w14:textId="77777777" w:rsidTr="00672D2A">
        <w:tc>
          <w:tcPr>
            <w:tcW w:w="1101" w:type="dxa"/>
          </w:tcPr>
          <w:p w14:paraId="31B0D106" w14:textId="77777777" w:rsidR="00973707" w:rsidRPr="00E07C9A" w:rsidRDefault="009A7A38" w:rsidP="00AF3D7A">
            <w:pPr>
              <w:spacing w:beforeLines="60" w:before="144" w:afterLines="60" w:after="144"/>
              <w:rPr>
                <w:rFonts w:ascii="Times New Roman" w:hAnsi="Times New Roman"/>
                <w:sz w:val="24"/>
              </w:rPr>
            </w:pPr>
            <w:r w:rsidRPr="00E07C9A">
              <w:rPr>
                <w:rFonts w:ascii="Times New Roman" w:hAnsi="Times New Roman"/>
                <w:sz w:val="24"/>
              </w:rPr>
              <w:t>0260</w:t>
            </w:r>
          </w:p>
        </w:tc>
        <w:tc>
          <w:tcPr>
            <w:tcW w:w="8190" w:type="dxa"/>
          </w:tcPr>
          <w:p w14:paraId="674F903F" w14:textId="77777777" w:rsidR="00973707" w:rsidRPr="00E07C9A" w:rsidRDefault="00973707" w:rsidP="00AF3D7A">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ZISK A STRATA – DEŇ 1</w:t>
            </w:r>
          </w:p>
          <w:p w14:paraId="725D9C26" w14:textId="59B3AE96" w:rsidR="001B1531" w:rsidRPr="00E07C9A" w:rsidRDefault="00973707" w:rsidP="00AF3D7A">
            <w:pPr>
              <w:spacing w:beforeLines="60" w:before="144" w:afterLines="60" w:after="144"/>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Úpravy, pri ktorých sa zohľadňujú prípady, keď model oceňovania</w:t>
            </w:r>
            <w:r w:rsidR="009912F8" w:rsidRPr="00E07C9A">
              <w:rPr>
                <w:rStyle w:val="InstructionsTabelleberschrift"/>
                <w:rFonts w:ascii="Times New Roman" w:hAnsi="Times New Roman"/>
                <w:b w:val="0"/>
                <w:sz w:val="24"/>
                <w:u w:val="none"/>
              </w:rPr>
              <w:t xml:space="preserve"> a </w:t>
            </w:r>
            <w:r w:rsidRPr="00E07C9A">
              <w:rPr>
                <w:rStyle w:val="InstructionsTabelleberschrift"/>
                <w:rFonts w:ascii="Times New Roman" w:hAnsi="Times New Roman"/>
                <w:b w:val="0"/>
                <w:sz w:val="24"/>
                <w:u w:val="none"/>
              </w:rPr>
              <w:t>všetky ostatné relevantné úpravy reálnej hodnoty uplatniteľné na určitú pozíciu alebo portfólio nezohľadnili zaplatenú ani prijatú cenu zaúčtovanú prvý deň, t. j. odklad ziskov</w:t>
            </w:r>
            <w:r w:rsidR="009912F8" w:rsidRPr="00E07C9A">
              <w:rPr>
                <w:rStyle w:val="InstructionsTabelleberschrift"/>
                <w:rFonts w:ascii="Times New Roman" w:hAnsi="Times New Roman"/>
                <w:b w:val="0"/>
                <w:sz w:val="24"/>
                <w:u w:val="none"/>
              </w:rPr>
              <w:t xml:space="preserve"> a </w:t>
            </w:r>
            <w:r w:rsidRPr="00E07C9A">
              <w:rPr>
                <w:rStyle w:val="InstructionsTabelleberschrift"/>
                <w:rFonts w:ascii="Times New Roman" w:hAnsi="Times New Roman"/>
                <w:b w:val="0"/>
                <w:sz w:val="24"/>
                <w:u w:val="none"/>
              </w:rPr>
              <w:t>strát prvého dňa (IFRS 9 ods. B5.1.2.A).</w:t>
            </w:r>
          </w:p>
        </w:tc>
      </w:tr>
      <w:tr w:rsidR="00973707" w:rsidRPr="00E07C9A" w14:paraId="42F412A0" w14:textId="77777777" w:rsidTr="00672D2A">
        <w:tc>
          <w:tcPr>
            <w:tcW w:w="1101" w:type="dxa"/>
          </w:tcPr>
          <w:p w14:paraId="7E8E36E8" w14:textId="77777777" w:rsidR="00973707" w:rsidRPr="00E07C9A" w:rsidRDefault="009A7A38" w:rsidP="00AF3D7A">
            <w:pPr>
              <w:spacing w:beforeLines="60" w:before="144" w:afterLines="60" w:after="144"/>
              <w:rPr>
                <w:rFonts w:ascii="Times New Roman" w:hAnsi="Times New Roman"/>
                <w:sz w:val="24"/>
              </w:rPr>
            </w:pPr>
            <w:r w:rsidRPr="00E07C9A">
              <w:rPr>
                <w:rFonts w:ascii="Times New Roman" w:hAnsi="Times New Roman"/>
                <w:sz w:val="24"/>
              </w:rPr>
              <w:t>0270</w:t>
            </w:r>
          </w:p>
        </w:tc>
        <w:tc>
          <w:tcPr>
            <w:tcW w:w="8190" w:type="dxa"/>
          </w:tcPr>
          <w:p w14:paraId="30DD64F5" w14:textId="77777777" w:rsidR="00973707" w:rsidRPr="00E07C9A" w:rsidRDefault="00973707" w:rsidP="00AF3D7A">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VYSVETĽUJÚCI OPIS</w:t>
            </w:r>
          </w:p>
          <w:p w14:paraId="3876DC74" w14:textId="2099C665" w:rsidR="00973707" w:rsidRPr="00E07C9A" w:rsidRDefault="00973707" w:rsidP="0028519C">
            <w:pPr>
              <w:spacing w:beforeLines="60" w:before="144" w:afterLines="60" w:after="144"/>
              <w:rPr>
                <w:rStyle w:val="InstructionsTabelleberschrift"/>
                <w:rFonts w:ascii="Times New Roman" w:hAnsi="Times New Roman"/>
                <w:b w:val="0"/>
                <w:sz w:val="24"/>
                <w:u w:val="none"/>
              </w:rPr>
            </w:pPr>
            <w:r w:rsidRPr="00E07C9A">
              <w:rPr>
                <w:rFonts w:ascii="Times New Roman" w:hAnsi="Times New Roman"/>
                <w:sz w:val="24"/>
              </w:rPr>
              <w:t>Opis pozícií,</w:t>
            </w:r>
            <w:r w:rsidR="009912F8" w:rsidRPr="00E07C9A">
              <w:rPr>
                <w:rFonts w:ascii="Times New Roman" w:hAnsi="Times New Roman"/>
                <w:sz w:val="24"/>
              </w:rPr>
              <w:t xml:space="preserve"> s </w:t>
            </w:r>
            <w:r w:rsidRPr="00E07C9A">
              <w:rPr>
                <w:rFonts w:ascii="Times New Roman" w:hAnsi="Times New Roman"/>
                <w:sz w:val="24"/>
              </w:rPr>
              <w:t>ktorými sa zaobchádza</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článkom 7 ods. 2 písm. b) delegovaného nariadenia (EÚ) 2016/101,</w:t>
            </w:r>
            <w:r w:rsidR="009912F8" w:rsidRPr="00E07C9A">
              <w:rPr>
                <w:rFonts w:ascii="Times New Roman" w:hAnsi="Times New Roman"/>
                <w:sz w:val="24"/>
              </w:rPr>
              <w:t xml:space="preserve"> a </w:t>
            </w:r>
            <w:r w:rsidRPr="00E07C9A">
              <w:rPr>
                <w:rFonts w:ascii="Times New Roman" w:hAnsi="Times New Roman"/>
                <w:sz w:val="24"/>
              </w:rPr>
              <w:t>dôvod, prečo nebolo možné uplatniť články 9 až 17 uvedeného nariadenia.</w:t>
            </w:r>
          </w:p>
        </w:tc>
      </w:tr>
    </w:tbl>
    <w:p w14:paraId="287B5EB7" w14:textId="77777777" w:rsidR="00B93FA1" w:rsidRPr="00E07C9A" w:rsidRDefault="00B93FA1" w:rsidP="00C61FF5">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6"/>
        <w:gridCol w:w="7646"/>
      </w:tblGrid>
      <w:tr w:rsidR="00973707" w:rsidRPr="00E07C9A" w14:paraId="7019D1B6" w14:textId="77777777" w:rsidTr="00672D2A">
        <w:tc>
          <w:tcPr>
            <w:tcW w:w="9288" w:type="dxa"/>
            <w:gridSpan w:val="2"/>
            <w:shd w:val="clear" w:color="auto" w:fill="CCCCCC"/>
          </w:tcPr>
          <w:p w14:paraId="1FED5D1D" w14:textId="77777777" w:rsidR="00973707" w:rsidRPr="00E07C9A" w:rsidRDefault="00973707" w:rsidP="00AF3D7A">
            <w:pPr>
              <w:spacing w:beforeLines="60" w:before="144" w:afterLines="60" w:after="144"/>
              <w:rPr>
                <w:rFonts w:ascii="Times New Roman" w:hAnsi="Times New Roman"/>
                <w:b/>
                <w:sz w:val="24"/>
              </w:rPr>
            </w:pPr>
            <w:r w:rsidRPr="00E07C9A">
              <w:rPr>
                <w:rFonts w:ascii="Times New Roman" w:hAnsi="Times New Roman"/>
                <w:b/>
                <w:sz w:val="24"/>
              </w:rPr>
              <w:t>Riadky</w:t>
            </w:r>
          </w:p>
        </w:tc>
      </w:tr>
      <w:tr w:rsidR="00973707" w:rsidRPr="00E07C9A" w14:paraId="3DC93D0C" w14:textId="77777777" w:rsidTr="00672D2A">
        <w:tc>
          <w:tcPr>
            <w:tcW w:w="1101" w:type="dxa"/>
          </w:tcPr>
          <w:p w14:paraId="298F2B74" w14:textId="77777777" w:rsidR="00973707" w:rsidRPr="00E07C9A" w:rsidRDefault="009A7A38" w:rsidP="00AF3D7A">
            <w:pPr>
              <w:spacing w:beforeLines="60" w:before="144" w:afterLines="60" w:after="144"/>
              <w:rPr>
                <w:rFonts w:ascii="Times New Roman" w:hAnsi="Times New Roman"/>
                <w:sz w:val="24"/>
              </w:rPr>
            </w:pPr>
            <w:r w:rsidRPr="00E07C9A">
              <w:rPr>
                <w:rFonts w:ascii="Times New Roman" w:hAnsi="Times New Roman"/>
                <w:sz w:val="24"/>
              </w:rPr>
              <w:t>0010</w:t>
            </w:r>
          </w:p>
        </w:tc>
        <w:tc>
          <w:tcPr>
            <w:tcW w:w="8187" w:type="dxa"/>
          </w:tcPr>
          <w:p w14:paraId="60B52040" w14:textId="77777777" w:rsidR="009912F8" w:rsidRPr="00E07C9A" w:rsidRDefault="00973707" w:rsidP="00AF3D7A">
            <w:pPr>
              <w:spacing w:beforeLines="60" w:before="144" w:afterLines="60" w:after="144"/>
              <w:rPr>
                <w:rFonts w:ascii="Times New Roman" w:hAnsi="Times New Roman"/>
                <w:b/>
                <w:sz w:val="24"/>
                <w:u w:val="single"/>
              </w:rPr>
            </w:pPr>
            <w:r w:rsidRPr="00E07C9A">
              <w:rPr>
                <w:rFonts w:ascii="Times New Roman" w:hAnsi="Times New Roman"/>
                <w:b/>
                <w:sz w:val="24"/>
                <w:u w:val="single"/>
              </w:rPr>
              <w:t>1. ZÁKLADNÝ POSTUP CELKOVO</w:t>
            </w:r>
          </w:p>
          <w:p w14:paraId="5979B37A" w14:textId="54C9E724" w:rsidR="00973707" w:rsidRPr="00E07C9A" w:rsidRDefault="00973707" w:rsidP="00AF3D7A">
            <w:pPr>
              <w:spacing w:beforeLines="60" w:before="144" w:afterLines="60" w:after="144"/>
              <w:rPr>
                <w:rFonts w:ascii="Times New Roman" w:hAnsi="Times New Roman"/>
                <w:sz w:val="24"/>
              </w:rPr>
            </w:pPr>
            <w:r w:rsidRPr="00E07C9A">
              <w:rPr>
                <w:rFonts w:ascii="Times New Roman" w:hAnsi="Times New Roman"/>
                <w:sz w:val="24"/>
              </w:rPr>
              <w:t>Článok 7 ods. 2 delegovaného nariadenia (EÚ) 2016/101</w:t>
            </w:r>
          </w:p>
          <w:p w14:paraId="2CE73AD8" w14:textId="2DEAA546" w:rsidR="00973707" w:rsidRPr="00E07C9A" w:rsidRDefault="00973707" w:rsidP="00A30C4C">
            <w:pPr>
              <w:spacing w:beforeLines="60" w:before="144" w:afterLines="60" w:after="144"/>
              <w:rPr>
                <w:rFonts w:ascii="Times New Roman" w:hAnsi="Times New Roman"/>
                <w:sz w:val="24"/>
              </w:rPr>
            </w:pPr>
            <w:r w:rsidRPr="00E07C9A">
              <w:rPr>
                <w:rFonts w:ascii="Times New Roman" w:hAnsi="Times New Roman"/>
                <w:sz w:val="24"/>
              </w:rPr>
              <w:t>Pre každú príslušnú kategóriu dodatočných úprav ocenenia uvedenú</w:t>
            </w:r>
            <w:r w:rsidR="009912F8" w:rsidRPr="00E07C9A">
              <w:rPr>
                <w:rFonts w:ascii="Times New Roman" w:hAnsi="Times New Roman"/>
                <w:sz w:val="24"/>
              </w:rPr>
              <w:t xml:space="preserve"> v </w:t>
            </w:r>
            <w:r w:rsidRPr="00E07C9A">
              <w:rPr>
                <w:rFonts w:ascii="Times New Roman" w:hAnsi="Times New Roman"/>
                <w:sz w:val="24"/>
              </w:rPr>
              <w:t>stĺpcoch 0010 až 0110 celkové dodatočné úpravy ocenenia vypočítané podľa základného postupu tak, ako je stanovený</w:t>
            </w:r>
            <w:r w:rsidR="009912F8" w:rsidRPr="00E07C9A">
              <w:rPr>
                <w:rFonts w:ascii="Times New Roman" w:hAnsi="Times New Roman"/>
                <w:sz w:val="24"/>
              </w:rPr>
              <w:t xml:space="preserve"> v </w:t>
            </w:r>
            <w:r w:rsidRPr="00E07C9A">
              <w:rPr>
                <w:rFonts w:ascii="Times New Roman" w:hAnsi="Times New Roman"/>
                <w:sz w:val="24"/>
              </w:rPr>
              <w:t>kapitole 3 delegovaného nariadenia (EÚ) 2016/101, pre reálnou hodnotou ocenené aktíva</w:t>
            </w:r>
            <w:r w:rsidR="009912F8" w:rsidRPr="00E07C9A">
              <w:rPr>
                <w:rFonts w:ascii="Times New Roman" w:hAnsi="Times New Roman"/>
                <w:sz w:val="24"/>
              </w:rPr>
              <w:t xml:space="preserve"> a </w:t>
            </w:r>
            <w:r w:rsidRPr="00E07C9A">
              <w:rPr>
                <w:rFonts w:ascii="Times New Roman" w:hAnsi="Times New Roman"/>
                <w:sz w:val="24"/>
              </w:rPr>
              <w:t>záväzky zahrnuté do výpočtu prahovej hodnoty</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článkom 4 ods. 1 uvedeného nariadenia. Zahŕňa to výhody diverzifikácie vykázané</w:t>
            </w:r>
            <w:r w:rsidR="009912F8" w:rsidRPr="00E07C9A">
              <w:rPr>
                <w:rFonts w:ascii="Times New Roman" w:hAnsi="Times New Roman"/>
                <w:sz w:val="24"/>
              </w:rPr>
              <w:t xml:space="preserve"> v </w:t>
            </w:r>
            <w:r w:rsidRPr="00E07C9A">
              <w:rPr>
                <w:rFonts w:ascii="Times New Roman" w:hAnsi="Times New Roman"/>
                <w:sz w:val="24"/>
              </w:rPr>
              <w:t>riadku 0140</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článkom 9 ods. 6, článkom 10 ods. 7</w:t>
            </w:r>
            <w:r w:rsidR="009912F8" w:rsidRPr="00E07C9A">
              <w:rPr>
                <w:rFonts w:ascii="Times New Roman" w:hAnsi="Times New Roman"/>
                <w:sz w:val="24"/>
              </w:rPr>
              <w:t xml:space="preserve"> a </w:t>
            </w:r>
            <w:r w:rsidRPr="00E07C9A">
              <w:rPr>
                <w:rFonts w:ascii="Times New Roman" w:hAnsi="Times New Roman"/>
                <w:sz w:val="24"/>
              </w:rPr>
              <w:t xml:space="preserve">článkom 11 ods. 7 delegovaného nariadenia (EÚ) 2016/101. </w:t>
            </w:r>
          </w:p>
        </w:tc>
      </w:tr>
      <w:tr w:rsidR="00973707" w:rsidRPr="00E07C9A" w14:paraId="654581D9" w14:textId="77777777" w:rsidTr="00672D2A">
        <w:tc>
          <w:tcPr>
            <w:tcW w:w="1101" w:type="dxa"/>
          </w:tcPr>
          <w:p w14:paraId="6C37C142" w14:textId="77777777" w:rsidR="00973707" w:rsidRPr="00E07C9A" w:rsidRDefault="009A7A38" w:rsidP="00AF3D7A">
            <w:pPr>
              <w:spacing w:beforeLines="60" w:before="144" w:afterLines="60" w:after="144"/>
              <w:rPr>
                <w:rFonts w:ascii="Times New Roman" w:hAnsi="Times New Roman"/>
                <w:sz w:val="24"/>
              </w:rPr>
            </w:pPr>
            <w:r w:rsidRPr="00E07C9A">
              <w:rPr>
                <w:rFonts w:ascii="Times New Roman" w:hAnsi="Times New Roman"/>
                <w:sz w:val="24"/>
              </w:rPr>
              <w:t>0020</w:t>
            </w:r>
          </w:p>
        </w:tc>
        <w:tc>
          <w:tcPr>
            <w:tcW w:w="8187" w:type="dxa"/>
          </w:tcPr>
          <w:p w14:paraId="4FDE997D" w14:textId="77777777" w:rsidR="009912F8" w:rsidRPr="00E07C9A" w:rsidRDefault="00973707" w:rsidP="00AF3D7A">
            <w:pPr>
              <w:spacing w:beforeLines="60" w:before="144" w:afterLines="60" w:after="144"/>
              <w:rPr>
                <w:rFonts w:ascii="Times New Roman" w:hAnsi="Times New Roman"/>
                <w:b/>
                <w:sz w:val="24"/>
                <w:u w:val="single"/>
              </w:rPr>
            </w:pPr>
            <w:r w:rsidRPr="00E07C9A">
              <w:rPr>
                <w:rFonts w:ascii="Times New Roman" w:hAnsi="Times New Roman"/>
                <w:b/>
                <w:sz w:val="24"/>
                <w:u w:val="single"/>
              </w:rPr>
              <w:t>Z ČOHO: OBCHODNÁ KNIHA</w:t>
            </w:r>
          </w:p>
          <w:p w14:paraId="7882F340" w14:textId="1FA31EBA" w:rsidR="00973707" w:rsidRPr="00E07C9A" w:rsidRDefault="00973707" w:rsidP="00AF3D7A">
            <w:pPr>
              <w:spacing w:beforeLines="60" w:before="144" w:afterLines="60" w:after="144"/>
              <w:rPr>
                <w:rFonts w:ascii="Times New Roman" w:hAnsi="Times New Roman"/>
                <w:sz w:val="24"/>
              </w:rPr>
            </w:pPr>
            <w:r w:rsidRPr="00E07C9A">
              <w:rPr>
                <w:rFonts w:ascii="Times New Roman" w:hAnsi="Times New Roman"/>
                <w:sz w:val="24"/>
              </w:rPr>
              <w:t>Článok 7 ods. 2 delegovaného nariadenia (EÚ) 2016/101</w:t>
            </w:r>
          </w:p>
          <w:p w14:paraId="52BAD9E2" w14:textId="4904476A" w:rsidR="00973707" w:rsidRPr="00E07C9A" w:rsidRDefault="00973707" w:rsidP="009A7A38">
            <w:pPr>
              <w:spacing w:beforeLines="60" w:before="144" w:afterLines="60" w:after="144"/>
              <w:rPr>
                <w:rFonts w:ascii="Times New Roman" w:hAnsi="Times New Roman"/>
                <w:b/>
                <w:sz w:val="24"/>
                <w:u w:val="single"/>
              </w:rPr>
            </w:pPr>
            <w:r w:rsidRPr="00E07C9A">
              <w:rPr>
                <w:rFonts w:ascii="Times New Roman" w:hAnsi="Times New Roman"/>
                <w:sz w:val="24"/>
              </w:rPr>
              <w:t>Pre každú príslušnú kategóriu dodatočných úprav ocenenia uvedenú</w:t>
            </w:r>
            <w:r w:rsidR="009912F8" w:rsidRPr="00E07C9A">
              <w:rPr>
                <w:rFonts w:ascii="Times New Roman" w:hAnsi="Times New Roman"/>
                <w:sz w:val="24"/>
              </w:rPr>
              <w:t xml:space="preserve"> v </w:t>
            </w:r>
            <w:r w:rsidRPr="00E07C9A">
              <w:rPr>
                <w:rFonts w:ascii="Times New Roman" w:hAnsi="Times New Roman"/>
                <w:sz w:val="24"/>
              </w:rPr>
              <w:t>stĺpcoch 0010 až 0110 podiel celkových dodatočných úprav ocenenia vykázaných</w:t>
            </w:r>
            <w:r w:rsidR="009912F8" w:rsidRPr="00E07C9A">
              <w:rPr>
                <w:rFonts w:ascii="Times New Roman" w:hAnsi="Times New Roman"/>
                <w:sz w:val="24"/>
              </w:rPr>
              <w:t xml:space="preserve"> v </w:t>
            </w:r>
            <w:r w:rsidRPr="00E07C9A">
              <w:rPr>
                <w:rFonts w:ascii="Times New Roman" w:hAnsi="Times New Roman"/>
                <w:sz w:val="24"/>
              </w:rPr>
              <w:t>riadku 0010 pochádzajúci</w:t>
            </w:r>
            <w:r w:rsidR="009912F8" w:rsidRPr="00E07C9A">
              <w:rPr>
                <w:rFonts w:ascii="Times New Roman" w:hAnsi="Times New Roman"/>
                <w:sz w:val="24"/>
              </w:rPr>
              <w:t xml:space="preserve"> z </w:t>
            </w:r>
            <w:r w:rsidRPr="00E07C9A">
              <w:rPr>
                <w:rFonts w:ascii="Times New Roman" w:hAnsi="Times New Roman"/>
                <w:sz w:val="24"/>
              </w:rPr>
              <w:t>pozícií</w:t>
            </w:r>
            <w:r w:rsidR="009912F8" w:rsidRPr="00E07C9A">
              <w:rPr>
                <w:rFonts w:ascii="Times New Roman" w:hAnsi="Times New Roman"/>
                <w:sz w:val="24"/>
              </w:rPr>
              <w:t xml:space="preserve"> v </w:t>
            </w:r>
            <w:r w:rsidRPr="00E07C9A">
              <w:rPr>
                <w:rFonts w:ascii="Times New Roman" w:hAnsi="Times New Roman"/>
                <w:sz w:val="24"/>
              </w:rPr>
              <w:t>obchodnej knihe (absolútna hodnota).</w:t>
            </w:r>
          </w:p>
        </w:tc>
      </w:tr>
      <w:tr w:rsidR="00973707" w:rsidRPr="00E07C9A" w14:paraId="66C7E5E9" w14:textId="77777777" w:rsidTr="00672D2A">
        <w:tc>
          <w:tcPr>
            <w:tcW w:w="1101" w:type="dxa"/>
          </w:tcPr>
          <w:p w14:paraId="36935E5D" w14:textId="77777777" w:rsidR="00973707" w:rsidRPr="00E07C9A" w:rsidRDefault="009A7A38" w:rsidP="00AF3D7A">
            <w:pPr>
              <w:spacing w:beforeLines="60" w:before="144" w:afterLines="60" w:after="144"/>
              <w:rPr>
                <w:rFonts w:ascii="Times New Roman" w:hAnsi="Times New Roman"/>
                <w:sz w:val="24"/>
              </w:rPr>
            </w:pPr>
            <w:r w:rsidRPr="00E07C9A">
              <w:rPr>
                <w:rFonts w:ascii="Times New Roman" w:hAnsi="Times New Roman"/>
                <w:sz w:val="24"/>
              </w:rPr>
              <w:t>0030</w:t>
            </w:r>
          </w:p>
        </w:tc>
        <w:tc>
          <w:tcPr>
            <w:tcW w:w="8187" w:type="dxa"/>
          </w:tcPr>
          <w:p w14:paraId="5BEC8DF4" w14:textId="77777777" w:rsidR="009912F8" w:rsidRPr="00E07C9A" w:rsidRDefault="00973707" w:rsidP="00AF3D7A">
            <w:pPr>
              <w:spacing w:beforeLines="60" w:before="144" w:afterLines="60" w:after="144"/>
              <w:rPr>
                <w:rFonts w:ascii="Times New Roman" w:hAnsi="Times New Roman"/>
                <w:b/>
                <w:sz w:val="24"/>
                <w:u w:val="single"/>
              </w:rPr>
            </w:pPr>
            <w:r w:rsidRPr="00E07C9A">
              <w:rPr>
                <w:rFonts w:ascii="Times New Roman" w:hAnsi="Times New Roman"/>
                <w:b/>
                <w:sz w:val="24"/>
                <w:u w:val="single"/>
              </w:rPr>
              <w:t>1.1. PORTFÓLIÁ PODĽA ČLÁNKOV 9 AŽ 17</w:t>
            </w:r>
            <w:r w:rsidRPr="00E07C9A">
              <w:rPr>
                <w:rFonts w:ascii="Times New Roman" w:hAnsi="Times New Roman"/>
              </w:rPr>
              <w:t xml:space="preserve"> </w:t>
            </w:r>
            <w:r w:rsidRPr="00E07C9A">
              <w:rPr>
                <w:rFonts w:ascii="Times New Roman" w:hAnsi="Times New Roman"/>
                <w:b/>
                <w:sz w:val="24"/>
                <w:u w:val="single"/>
              </w:rPr>
              <w:t>DELEGOVANÉHO NARIADENIA KOMISIE (EÚ) 2016/101 – CELKOVÁ ÚROVEŇ KATEGÓRIE PO DIVERZIFIKÁCII</w:t>
            </w:r>
          </w:p>
          <w:p w14:paraId="3529E64C" w14:textId="29B33B09" w:rsidR="00973707" w:rsidRPr="00E07C9A" w:rsidRDefault="00973707" w:rsidP="00AF3D7A">
            <w:pPr>
              <w:spacing w:beforeLines="60" w:before="144" w:afterLines="60" w:after="144"/>
              <w:rPr>
                <w:rFonts w:ascii="Times New Roman" w:hAnsi="Times New Roman"/>
                <w:sz w:val="24"/>
              </w:rPr>
            </w:pPr>
            <w:r w:rsidRPr="00E07C9A">
              <w:rPr>
                <w:rFonts w:ascii="Times New Roman" w:hAnsi="Times New Roman"/>
                <w:sz w:val="24"/>
              </w:rPr>
              <w:t>Článok 7 ods. 2 písm. a) delegovaného nariadenia (EÚ) 2016/101</w:t>
            </w:r>
          </w:p>
          <w:p w14:paraId="6F0DE473" w14:textId="0E3B9289" w:rsidR="009912F8" w:rsidRPr="00E07C9A" w:rsidRDefault="00973707" w:rsidP="00AF3D7A">
            <w:pPr>
              <w:spacing w:beforeLines="60" w:before="144" w:afterLines="60" w:after="144"/>
              <w:rPr>
                <w:rFonts w:ascii="Times New Roman" w:hAnsi="Times New Roman"/>
                <w:sz w:val="24"/>
              </w:rPr>
            </w:pPr>
            <w:r w:rsidRPr="00E07C9A">
              <w:rPr>
                <w:rFonts w:ascii="Times New Roman" w:hAnsi="Times New Roman"/>
                <w:sz w:val="24"/>
              </w:rPr>
              <w:t>Pre každú príslušnú kategóriu dodatočných úprav ocenenia uvedenú</w:t>
            </w:r>
            <w:r w:rsidR="009912F8" w:rsidRPr="00E07C9A">
              <w:rPr>
                <w:rFonts w:ascii="Times New Roman" w:hAnsi="Times New Roman"/>
                <w:sz w:val="24"/>
              </w:rPr>
              <w:t xml:space="preserve"> v </w:t>
            </w:r>
            <w:r w:rsidRPr="00E07C9A">
              <w:rPr>
                <w:rFonts w:ascii="Times New Roman" w:hAnsi="Times New Roman"/>
                <w:sz w:val="24"/>
              </w:rPr>
              <w:t>stĺpcoch 0010 až 0110 celkové dodatočné úpravy ocenenia vypočítané</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článkami 9 až 17 delegovaného nariadenia (EÚ) 2016/101 pre reálnou hodnotou ocenené aktíva</w:t>
            </w:r>
            <w:r w:rsidR="009912F8" w:rsidRPr="00E07C9A">
              <w:rPr>
                <w:rFonts w:ascii="Times New Roman" w:hAnsi="Times New Roman"/>
                <w:sz w:val="24"/>
              </w:rPr>
              <w:t xml:space="preserve"> a </w:t>
            </w:r>
            <w:r w:rsidRPr="00E07C9A">
              <w:rPr>
                <w:rFonts w:ascii="Times New Roman" w:hAnsi="Times New Roman"/>
                <w:sz w:val="24"/>
              </w:rPr>
              <w:t>záväzky zahrnuté do výpočtu prahovej hodnoty</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článkom 4 ods. 1 uvedeného nariadenia,</w:t>
            </w:r>
            <w:r w:rsidR="009912F8" w:rsidRPr="00E07C9A">
              <w:rPr>
                <w:rFonts w:ascii="Times New Roman" w:hAnsi="Times New Roman"/>
                <w:sz w:val="24"/>
              </w:rPr>
              <w:t xml:space="preserve"> s </w:t>
            </w:r>
            <w:r w:rsidRPr="00E07C9A">
              <w:rPr>
                <w:rFonts w:ascii="Times New Roman" w:hAnsi="Times New Roman"/>
                <w:sz w:val="24"/>
              </w:rPr>
              <w:t>výnimkou reálnou hodnotou ocenených aktív</w:t>
            </w:r>
            <w:r w:rsidR="009912F8" w:rsidRPr="00E07C9A">
              <w:rPr>
                <w:rFonts w:ascii="Times New Roman" w:hAnsi="Times New Roman"/>
                <w:sz w:val="24"/>
              </w:rPr>
              <w:t xml:space="preserve"> a </w:t>
            </w:r>
            <w:r w:rsidRPr="00E07C9A">
              <w:rPr>
                <w:rFonts w:ascii="Times New Roman" w:hAnsi="Times New Roman"/>
                <w:sz w:val="24"/>
              </w:rPr>
              <w:t>záväzkov, na ktoré sa vzťahuje zaobchádzanie opísané</w:t>
            </w:r>
            <w:r w:rsidR="009912F8" w:rsidRPr="00E07C9A">
              <w:rPr>
                <w:rFonts w:ascii="Times New Roman" w:hAnsi="Times New Roman"/>
                <w:sz w:val="24"/>
              </w:rPr>
              <w:t xml:space="preserve"> v </w:t>
            </w:r>
            <w:r w:rsidRPr="00E07C9A">
              <w:rPr>
                <w:rFonts w:ascii="Times New Roman" w:hAnsi="Times New Roman"/>
                <w:sz w:val="24"/>
              </w:rPr>
              <w:t>článku 7 ods. 2 písm. b) delegovaného nariadenia (EÚ) 2016/101</w:t>
            </w:r>
            <w:r w:rsidR="009912F8" w:rsidRPr="00E07C9A">
              <w:rPr>
                <w:rFonts w:ascii="Times New Roman" w:hAnsi="Times New Roman"/>
                <w:sz w:val="24"/>
              </w:rPr>
              <w:t>.</w:t>
            </w:r>
          </w:p>
          <w:p w14:paraId="01655F59" w14:textId="0DC4D3B3" w:rsidR="009912F8" w:rsidRPr="00E07C9A" w:rsidRDefault="00973707" w:rsidP="00AF3D7A">
            <w:pPr>
              <w:spacing w:beforeLines="60" w:before="144" w:afterLines="60" w:after="144"/>
              <w:rPr>
                <w:rFonts w:ascii="Times New Roman" w:hAnsi="Times New Roman"/>
                <w:sz w:val="24"/>
              </w:rPr>
            </w:pPr>
            <w:r w:rsidRPr="00E07C9A">
              <w:rPr>
                <w:rFonts w:ascii="Times New Roman" w:hAnsi="Times New Roman"/>
                <w:sz w:val="24"/>
              </w:rPr>
              <w:t>Zahŕňa to dodatočné úpravy ocenenia vypočítané</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článkami 12</w:t>
            </w:r>
            <w:r w:rsidR="009912F8" w:rsidRPr="00E07C9A">
              <w:rPr>
                <w:rFonts w:ascii="Times New Roman" w:hAnsi="Times New Roman"/>
                <w:sz w:val="24"/>
              </w:rPr>
              <w:t xml:space="preserve"> a </w:t>
            </w:r>
            <w:r w:rsidRPr="00E07C9A">
              <w:rPr>
                <w:rFonts w:ascii="Times New Roman" w:hAnsi="Times New Roman"/>
                <w:sz w:val="24"/>
              </w:rPr>
              <w:t>13 delegovaného nariadenia (EÚ) 2016/101, ktoré sa vykazujú</w:t>
            </w:r>
            <w:r w:rsidR="009912F8" w:rsidRPr="00E07C9A">
              <w:rPr>
                <w:rFonts w:ascii="Times New Roman" w:hAnsi="Times New Roman"/>
                <w:sz w:val="24"/>
              </w:rPr>
              <w:t xml:space="preserve"> v </w:t>
            </w:r>
            <w:r w:rsidRPr="00E07C9A">
              <w:rPr>
                <w:rFonts w:ascii="Times New Roman" w:hAnsi="Times New Roman"/>
                <w:sz w:val="24"/>
              </w:rPr>
              <w:t>riadkoch 0050</w:t>
            </w:r>
            <w:r w:rsidR="009912F8" w:rsidRPr="00E07C9A">
              <w:rPr>
                <w:rFonts w:ascii="Times New Roman" w:hAnsi="Times New Roman"/>
                <w:sz w:val="24"/>
              </w:rPr>
              <w:t xml:space="preserve"> a </w:t>
            </w:r>
            <w:r w:rsidRPr="00E07C9A">
              <w:rPr>
                <w:rFonts w:ascii="Times New Roman" w:hAnsi="Times New Roman"/>
                <w:sz w:val="24"/>
              </w:rPr>
              <w:t>0060</w:t>
            </w:r>
            <w:r w:rsidR="009912F8" w:rsidRPr="00E07C9A">
              <w:rPr>
                <w:rFonts w:ascii="Times New Roman" w:hAnsi="Times New Roman"/>
                <w:sz w:val="24"/>
              </w:rPr>
              <w:t xml:space="preserve"> a </w:t>
            </w:r>
            <w:r w:rsidRPr="00E07C9A">
              <w:rPr>
                <w:rFonts w:ascii="Times New Roman" w:hAnsi="Times New Roman"/>
                <w:sz w:val="24"/>
              </w:rPr>
              <w:t>ktoré sú zahrnuté</w:t>
            </w:r>
            <w:r w:rsidR="009912F8" w:rsidRPr="00E07C9A">
              <w:rPr>
                <w:rFonts w:ascii="Times New Roman" w:hAnsi="Times New Roman"/>
                <w:sz w:val="24"/>
              </w:rPr>
              <w:t xml:space="preserve"> v </w:t>
            </w:r>
            <w:r w:rsidRPr="00E07C9A">
              <w:rPr>
                <w:rFonts w:ascii="Times New Roman" w:hAnsi="Times New Roman"/>
                <w:sz w:val="24"/>
              </w:rPr>
              <w:t>dodatočných úpravách ocenenia zohľadňujúcich neistotu trhovej ceny, dodatočných úpravách ocenenia zohľadňujúcich náklady na zatvorenie pozícií</w:t>
            </w:r>
            <w:r w:rsidR="009912F8" w:rsidRPr="00E07C9A">
              <w:rPr>
                <w:rFonts w:ascii="Times New Roman" w:hAnsi="Times New Roman"/>
                <w:sz w:val="24"/>
              </w:rPr>
              <w:t xml:space="preserve"> a </w:t>
            </w:r>
            <w:r w:rsidRPr="00E07C9A">
              <w:rPr>
                <w:rFonts w:ascii="Times New Roman" w:hAnsi="Times New Roman"/>
                <w:sz w:val="24"/>
              </w:rPr>
              <w:t>dodatočných úpravách ocenenia zohľadňujúcich riziko modelov tak, ako sú stanovené</w:t>
            </w:r>
            <w:r w:rsidR="009912F8" w:rsidRPr="00E07C9A">
              <w:rPr>
                <w:rFonts w:ascii="Times New Roman" w:hAnsi="Times New Roman"/>
                <w:sz w:val="24"/>
              </w:rPr>
              <w:t xml:space="preserve"> v </w:t>
            </w:r>
            <w:r w:rsidRPr="00E07C9A">
              <w:rPr>
                <w:rFonts w:ascii="Times New Roman" w:hAnsi="Times New Roman"/>
                <w:sz w:val="24"/>
              </w:rPr>
              <w:t>článku 12 ods. 2</w:t>
            </w:r>
            <w:r w:rsidR="009912F8" w:rsidRPr="00E07C9A">
              <w:rPr>
                <w:rFonts w:ascii="Times New Roman" w:hAnsi="Times New Roman"/>
                <w:sz w:val="24"/>
              </w:rPr>
              <w:t xml:space="preserve"> a </w:t>
            </w:r>
            <w:r w:rsidRPr="00E07C9A">
              <w:rPr>
                <w:rFonts w:ascii="Times New Roman" w:hAnsi="Times New Roman"/>
                <w:sz w:val="24"/>
              </w:rPr>
              <w:t>článku 13 ods. 2 uvedeného nariadenia</w:t>
            </w:r>
            <w:r w:rsidR="009912F8" w:rsidRPr="00E07C9A">
              <w:rPr>
                <w:rFonts w:ascii="Times New Roman" w:hAnsi="Times New Roman"/>
                <w:sz w:val="24"/>
              </w:rPr>
              <w:t>.</w:t>
            </w:r>
          </w:p>
          <w:p w14:paraId="21D16873" w14:textId="6628B792" w:rsidR="009912F8" w:rsidRPr="00E07C9A" w:rsidRDefault="00973707" w:rsidP="00AF3D7A">
            <w:pPr>
              <w:spacing w:beforeLines="60" w:before="144" w:afterLines="60" w:after="144"/>
              <w:rPr>
                <w:rFonts w:ascii="Times New Roman" w:hAnsi="Times New Roman"/>
                <w:sz w:val="24"/>
              </w:rPr>
            </w:pPr>
            <w:r w:rsidRPr="00E07C9A">
              <w:rPr>
                <w:rFonts w:ascii="Times New Roman" w:hAnsi="Times New Roman"/>
                <w:sz w:val="24"/>
              </w:rPr>
              <w:t>Zahŕňa to výhody diverzifikácie vykázané</w:t>
            </w:r>
            <w:r w:rsidR="009912F8" w:rsidRPr="00E07C9A">
              <w:rPr>
                <w:rFonts w:ascii="Times New Roman" w:hAnsi="Times New Roman"/>
                <w:sz w:val="24"/>
              </w:rPr>
              <w:t xml:space="preserve"> v </w:t>
            </w:r>
            <w:r w:rsidRPr="00E07C9A">
              <w:rPr>
                <w:rFonts w:ascii="Times New Roman" w:hAnsi="Times New Roman"/>
                <w:sz w:val="24"/>
              </w:rPr>
              <w:t>riadku 0140</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článkom 9 ods. 6, článkom 10 ods. 7</w:t>
            </w:r>
            <w:r w:rsidR="009912F8" w:rsidRPr="00E07C9A">
              <w:rPr>
                <w:rFonts w:ascii="Times New Roman" w:hAnsi="Times New Roman"/>
                <w:sz w:val="24"/>
              </w:rPr>
              <w:t xml:space="preserve"> a </w:t>
            </w:r>
            <w:r w:rsidRPr="00E07C9A">
              <w:rPr>
                <w:rFonts w:ascii="Times New Roman" w:hAnsi="Times New Roman"/>
                <w:sz w:val="24"/>
              </w:rPr>
              <w:t>článkom 11 ods. 7 delegovaného nariadenia (EÚ) 2016/101</w:t>
            </w:r>
            <w:r w:rsidR="009912F8" w:rsidRPr="00E07C9A">
              <w:rPr>
                <w:rFonts w:ascii="Times New Roman" w:hAnsi="Times New Roman"/>
                <w:sz w:val="24"/>
              </w:rPr>
              <w:t>.</w:t>
            </w:r>
          </w:p>
          <w:p w14:paraId="4B93238E" w14:textId="710CB5C6" w:rsidR="00973707" w:rsidRPr="00E07C9A" w:rsidRDefault="00973707" w:rsidP="00127986">
            <w:pPr>
              <w:spacing w:beforeLines="60" w:before="144" w:afterLines="60" w:after="144"/>
              <w:rPr>
                <w:rFonts w:ascii="Times New Roman" w:hAnsi="Times New Roman"/>
                <w:sz w:val="24"/>
              </w:rPr>
            </w:pPr>
            <w:r w:rsidRPr="00E07C9A">
              <w:rPr>
                <w:rFonts w:ascii="Times New Roman" w:hAnsi="Times New Roman"/>
                <w:sz w:val="24"/>
              </w:rPr>
              <w:t>Riadok 0030 je rozdielom medzi riadkami 0040</w:t>
            </w:r>
            <w:r w:rsidR="009912F8" w:rsidRPr="00E07C9A">
              <w:rPr>
                <w:rFonts w:ascii="Times New Roman" w:hAnsi="Times New Roman"/>
                <w:sz w:val="24"/>
              </w:rPr>
              <w:t xml:space="preserve"> a </w:t>
            </w:r>
            <w:r w:rsidRPr="00E07C9A">
              <w:rPr>
                <w:rFonts w:ascii="Times New Roman" w:hAnsi="Times New Roman"/>
                <w:sz w:val="24"/>
              </w:rPr>
              <w:t xml:space="preserve">0140. </w:t>
            </w:r>
          </w:p>
        </w:tc>
      </w:tr>
      <w:tr w:rsidR="00973707" w:rsidRPr="00E07C9A" w14:paraId="428F4C88" w14:textId="77777777" w:rsidTr="00672D2A">
        <w:tc>
          <w:tcPr>
            <w:tcW w:w="1101" w:type="dxa"/>
          </w:tcPr>
          <w:p w14:paraId="1DCC07FE" w14:textId="77777777" w:rsidR="00973707" w:rsidRPr="00E07C9A" w:rsidRDefault="009A7A38" w:rsidP="00AF3D7A">
            <w:pPr>
              <w:spacing w:beforeLines="60" w:before="144" w:afterLines="60" w:after="144"/>
              <w:rPr>
                <w:rFonts w:ascii="Times New Roman" w:hAnsi="Times New Roman"/>
                <w:sz w:val="24"/>
              </w:rPr>
            </w:pPr>
            <w:r w:rsidRPr="00E07C9A">
              <w:rPr>
                <w:rFonts w:ascii="Times New Roman" w:hAnsi="Times New Roman"/>
                <w:sz w:val="24"/>
              </w:rPr>
              <w:t>0040 – 0130</w:t>
            </w:r>
          </w:p>
        </w:tc>
        <w:tc>
          <w:tcPr>
            <w:tcW w:w="8187" w:type="dxa"/>
          </w:tcPr>
          <w:p w14:paraId="375B67C7" w14:textId="77777777" w:rsidR="00973707" w:rsidRPr="00E07C9A" w:rsidRDefault="00973707" w:rsidP="00AF3D7A">
            <w:pPr>
              <w:spacing w:beforeLines="60" w:before="144" w:afterLines="60" w:after="144"/>
              <w:rPr>
                <w:rFonts w:ascii="Times New Roman" w:hAnsi="Times New Roman"/>
                <w:b/>
                <w:sz w:val="24"/>
                <w:u w:val="single"/>
              </w:rPr>
            </w:pPr>
            <w:r w:rsidRPr="00E07C9A">
              <w:rPr>
                <w:rFonts w:ascii="Times New Roman" w:hAnsi="Times New Roman"/>
                <w:b/>
                <w:sz w:val="24"/>
                <w:u w:val="single"/>
              </w:rPr>
              <w:t>1.1.1. CELKOVÁ ÚROVEŇ KATEGÓRIE PRED DIVERZIFIKÁCIOU</w:t>
            </w:r>
          </w:p>
          <w:p w14:paraId="260BF591" w14:textId="5FEC7160" w:rsidR="009912F8" w:rsidRPr="00E07C9A" w:rsidRDefault="00973707" w:rsidP="00AF3D7A">
            <w:pPr>
              <w:spacing w:beforeLines="60" w:before="144" w:afterLines="60" w:after="144"/>
              <w:rPr>
                <w:rFonts w:ascii="Times New Roman" w:hAnsi="Times New Roman"/>
                <w:sz w:val="24"/>
              </w:rPr>
            </w:pPr>
            <w:r w:rsidRPr="00E07C9A">
              <w:rPr>
                <w:rFonts w:ascii="Times New Roman" w:hAnsi="Times New Roman"/>
                <w:sz w:val="24"/>
              </w:rPr>
              <w:t>V riadkoch 0090 až 0130 inštitúcie priraďujú svoje reálnou hodnotou ocenené aktíva</w:t>
            </w:r>
            <w:r w:rsidR="009912F8" w:rsidRPr="00E07C9A">
              <w:rPr>
                <w:rFonts w:ascii="Times New Roman" w:hAnsi="Times New Roman"/>
                <w:sz w:val="24"/>
              </w:rPr>
              <w:t xml:space="preserve"> a </w:t>
            </w:r>
            <w:r w:rsidRPr="00E07C9A">
              <w:rPr>
                <w:rFonts w:ascii="Times New Roman" w:hAnsi="Times New Roman"/>
                <w:sz w:val="24"/>
              </w:rPr>
              <w:t>záväzky zahrnuté do výpočtu prahovej hodnoty</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článkom 4 ods. 1 delegovaného nariadenia (EÚ) 2016/101 (z obchodnej knihy</w:t>
            </w:r>
            <w:r w:rsidR="009912F8" w:rsidRPr="00E07C9A">
              <w:rPr>
                <w:rFonts w:ascii="Times New Roman" w:hAnsi="Times New Roman"/>
                <w:sz w:val="24"/>
              </w:rPr>
              <w:t xml:space="preserve"> a z </w:t>
            </w:r>
            <w:r w:rsidRPr="00E07C9A">
              <w:rPr>
                <w:rFonts w:ascii="Times New Roman" w:hAnsi="Times New Roman"/>
                <w:sz w:val="24"/>
              </w:rPr>
              <w:t>neobchodnej knihy) do týchto kategórií rizika: úrokového, devízového, kreditného, kapitálového, komoditného</w:t>
            </w:r>
            <w:r w:rsidR="009912F8" w:rsidRPr="00E07C9A">
              <w:rPr>
                <w:rFonts w:ascii="Times New Roman" w:hAnsi="Times New Roman"/>
                <w:sz w:val="24"/>
              </w:rPr>
              <w:t>.</w:t>
            </w:r>
          </w:p>
          <w:p w14:paraId="14745714" w14:textId="4EEA3D16" w:rsidR="009912F8" w:rsidRPr="00E07C9A" w:rsidRDefault="00973707" w:rsidP="00AF3D7A">
            <w:pPr>
              <w:spacing w:beforeLines="60" w:before="144" w:afterLines="60" w:after="144"/>
              <w:rPr>
                <w:rFonts w:ascii="Times New Roman" w:hAnsi="Times New Roman"/>
                <w:sz w:val="24"/>
              </w:rPr>
            </w:pPr>
            <w:r w:rsidRPr="00E07C9A">
              <w:rPr>
                <w:rFonts w:ascii="Times New Roman" w:hAnsi="Times New Roman"/>
                <w:sz w:val="24"/>
              </w:rPr>
              <w:t>V tejto súvislosti sa inštitúcie spoliehajú na svoju internú štruktúru riadenia rizika</w:t>
            </w:r>
            <w:r w:rsidR="009912F8" w:rsidRPr="00E07C9A">
              <w:rPr>
                <w:rFonts w:ascii="Times New Roman" w:hAnsi="Times New Roman"/>
                <w:sz w:val="24"/>
              </w:rPr>
              <w:t xml:space="preserve"> a v </w:t>
            </w:r>
            <w:r w:rsidRPr="00E07C9A">
              <w:rPr>
                <w:rFonts w:ascii="Times New Roman" w:hAnsi="Times New Roman"/>
                <w:sz w:val="24"/>
              </w:rPr>
              <w:t>nadväznosti na zaraďovanie vypracované na základe odborného posúdenia pridelia svoje obchodné línie alebo trading desky</w:t>
            </w:r>
            <w:r w:rsidR="009912F8" w:rsidRPr="00E07C9A">
              <w:rPr>
                <w:rFonts w:ascii="Times New Roman" w:hAnsi="Times New Roman"/>
                <w:sz w:val="24"/>
              </w:rPr>
              <w:t xml:space="preserve"> k </w:t>
            </w:r>
            <w:r w:rsidRPr="00E07C9A">
              <w:rPr>
                <w:rFonts w:ascii="Times New Roman" w:hAnsi="Times New Roman"/>
                <w:sz w:val="24"/>
              </w:rPr>
              <w:t>najvhodnejšej kategórii rizika. Dodatočné úpravy ocenenia, úpravy reálnej hodnoty</w:t>
            </w:r>
            <w:r w:rsidR="009912F8" w:rsidRPr="00E07C9A">
              <w:rPr>
                <w:rFonts w:ascii="Times New Roman" w:hAnsi="Times New Roman"/>
                <w:sz w:val="24"/>
              </w:rPr>
              <w:t xml:space="preserve"> a </w:t>
            </w:r>
            <w:r w:rsidRPr="00E07C9A">
              <w:rPr>
                <w:rFonts w:ascii="Times New Roman" w:hAnsi="Times New Roman"/>
                <w:sz w:val="24"/>
              </w:rPr>
              <w:t>iné požadované informácie, ktoré zodpovedajú prideleným obchodným líniám alebo trading deskom, sa priradia</w:t>
            </w:r>
            <w:r w:rsidR="009912F8" w:rsidRPr="00E07C9A">
              <w:rPr>
                <w:rFonts w:ascii="Times New Roman" w:hAnsi="Times New Roman"/>
                <w:sz w:val="24"/>
              </w:rPr>
              <w:t xml:space="preserve"> k </w:t>
            </w:r>
            <w:r w:rsidRPr="00E07C9A">
              <w:rPr>
                <w:rFonts w:ascii="Times New Roman" w:hAnsi="Times New Roman"/>
                <w:sz w:val="24"/>
              </w:rPr>
              <w:t>rovnakej príslušnej kategórii rizika, aby sa na úrovni riadka zabezpečil pre každú kategóriu rizika konzistentný prehľad úprav vykonaných na prudenciálne</w:t>
            </w:r>
            <w:r w:rsidR="009912F8" w:rsidRPr="00E07C9A">
              <w:rPr>
                <w:rFonts w:ascii="Times New Roman" w:hAnsi="Times New Roman"/>
                <w:sz w:val="24"/>
              </w:rPr>
              <w:t xml:space="preserve"> a </w:t>
            </w:r>
            <w:r w:rsidRPr="00E07C9A">
              <w:rPr>
                <w:rFonts w:ascii="Times New Roman" w:hAnsi="Times New Roman"/>
                <w:sz w:val="24"/>
              </w:rPr>
              <w:t>účtovné účely, ako aj náznak veľkosti dotknutých pozícií (pokiaľ ide</w:t>
            </w:r>
            <w:r w:rsidR="009912F8" w:rsidRPr="00E07C9A">
              <w:rPr>
                <w:rFonts w:ascii="Times New Roman" w:hAnsi="Times New Roman"/>
                <w:sz w:val="24"/>
              </w:rPr>
              <w:t xml:space="preserve"> o </w:t>
            </w:r>
            <w:r w:rsidRPr="00E07C9A">
              <w:rPr>
                <w:rFonts w:ascii="Times New Roman" w:hAnsi="Times New Roman"/>
                <w:sz w:val="24"/>
              </w:rPr>
              <w:t>reálnou hodnotou ocenené aktíva</w:t>
            </w:r>
            <w:r w:rsidR="009912F8" w:rsidRPr="00E07C9A">
              <w:rPr>
                <w:rFonts w:ascii="Times New Roman" w:hAnsi="Times New Roman"/>
                <w:sz w:val="24"/>
              </w:rPr>
              <w:t xml:space="preserve"> a </w:t>
            </w:r>
            <w:r w:rsidRPr="00E07C9A">
              <w:rPr>
                <w:rFonts w:ascii="Times New Roman" w:hAnsi="Times New Roman"/>
                <w:sz w:val="24"/>
              </w:rPr>
              <w:t>záväzky). Keď sa dodatočné úpravy ocenenia alebo iné úpravy vypočítavajú</w:t>
            </w:r>
            <w:r w:rsidR="009912F8" w:rsidRPr="00E07C9A">
              <w:rPr>
                <w:rFonts w:ascii="Times New Roman" w:hAnsi="Times New Roman"/>
                <w:sz w:val="24"/>
              </w:rPr>
              <w:t xml:space="preserve"> s </w:t>
            </w:r>
            <w:r w:rsidRPr="00E07C9A">
              <w:rPr>
                <w:rFonts w:ascii="Times New Roman" w:hAnsi="Times New Roman"/>
                <w:sz w:val="24"/>
              </w:rPr>
              <w:t>inou úrovňou agregácie, predovšetkým na úrovni podnikov, inštitúcie vyvinú metodiku priraďovania dodatočných úprav ocenenia príslušným súborom pozícií. Výsledkom metodiky priraďovania je, že riadok 0040 bude súčtom riadkov 0050 až 0130</w:t>
            </w:r>
            <w:r w:rsidR="009912F8" w:rsidRPr="00E07C9A">
              <w:rPr>
                <w:rFonts w:ascii="Times New Roman" w:hAnsi="Times New Roman"/>
                <w:sz w:val="24"/>
              </w:rPr>
              <w:t xml:space="preserve"> v </w:t>
            </w:r>
            <w:r w:rsidRPr="00E07C9A">
              <w:rPr>
                <w:rFonts w:ascii="Times New Roman" w:hAnsi="Times New Roman"/>
                <w:sz w:val="24"/>
              </w:rPr>
              <w:t>stĺpcoch 0010 až 0100</w:t>
            </w:r>
            <w:r w:rsidR="009912F8" w:rsidRPr="00E07C9A">
              <w:rPr>
                <w:rFonts w:ascii="Times New Roman" w:hAnsi="Times New Roman"/>
                <w:sz w:val="24"/>
              </w:rPr>
              <w:t>.</w:t>
            </w:r>
          </w:p>
          <w:p w14:paraId="246E5A92" w14:textId="3FD0F827" w:rsidR="009912F8" w:rsidRPr="00E07C9A" w:rsidRDefault="00973707" w:rsidP="00AF3D7A">
            <w:pPr>
              <w:spacing w:beforeLines="60" w:before="144" w:afterLines="60" w:after="144"/>
              <w:rPr>
                <w:rFonts w:ascii="Times New Roman" w:hAnsi="Times New Roman"/>
                <w:sz w:val="24"/>
              </w:rPr>
            </w:pPr>
            <w:r w:rsidRPr="00E07C9A">
              <w:rPr>
                <w:rFonts w:ascii="Times New Roman" w:hAnsi="Times New Roman"/>
                <w:sz w:val="24"/>
              </w:rPr>
              <w:t>Bez ohľadu na uplatnený postup vykazované informácie musia byť na úrovni riadkov čo najkonzistentnejšie, keďže poskytnuté informácie sa budú porovnávať na tejto úrovni (hodnoty dodatočnej úpravy ocenenia, neistota zlepšenia, reálne ocenené sumy</w:t>
            </w:r>
            <w:r w:rsidR="009912F8" w:rsidRPr="00E07C9A">
              <w:rPr>
                <w:rFonts w:ascii="Times New Roman" w:hAnsi="Times New Roman"/>
                <w:sz w:val="24"/>
              </w:rPr>
              <w:t xml:space="preserve"> a </w:t>
            </w:r>
            <w:r w:rsidRPr="00E07C9A">
              <w:rPr>
                <w:rFonts w:ascii="Times New Roman" w:hAnsi="Times New Roman"/>
                <w:sz w:val="24"/>
              </w:rPr>
              <w:t>potenciálne reálne ocenené úpravy)</w:t>
            </w:r>
            <w:r w:rsidR="009912F8" w:rsidRPr="00E07C9A">
              <w:rPr>
                <w:rFonts w:ascii="Times New Roman" w:hAnsi="Times New Roman"/>
                <w:sz w:val="24"/>
              </w:rPr>
              <w:t>.</w:t>
            </w:r>
          </w:p>
          <w:p w14:paraId="6C67D6B1" w14:textId="6360C933" w:rsidR="00973707" w:rsidRPr="00E07C9A" w:rsidRDefault="00973707" w:rsidP="00AF3D7A">
            <w:pPr>
              <w:spacing w:beforeLines="60" w:before="144" w:afterLines="60" w:after="144"/>
              <w:rPr>
                <w:rFonts w:ascii="Times New Roman" w:hAnsi="Times New Roman"/>
                <w:sz w:val="24"/>
              </w:rPr>
            </w:pPr>
            <w:r w:rsidRPr="00E07C9A">
              <w:rPr>
                <w:rFonts w:ascii="Times New Roman" w:hAnsi="Times New Roman"/>
                <w:sz w:val="24"/>
              </w:rPr>
              <w:t>Rozčlenenie</w:t>
            </w:r>
            <w:r w:rsidR="009912F8" w:rsidRPr="00E07C9A">
              <w:rPr>
                <w:rFonts w:ascii="Times New Roman" w:hAnsi="Times New Roman"/>
                <w:sz w:val="24"/>
              </w:rPr>
              <w:t xml:space="preserve"> v </w:t>
            </w:r>
            <w:r w:rsidRPr="00E07C9A">
              <w:rPr>
                <w:rFonts w:ascii="Times New Roman" w:hAnsi="Times New Roman"/>
                <w:sz w:val="24"/>
              </w:rPr>
              <w:t>riadkoch 0090 až 0130 vylučuje dodatočné úpravy ocenenia vypočítané</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článkami 12</w:t>
            </w:r>
            <w:r w:rsidR="009912F8" w:rsidRPr="00E07C9A">
              <w:rPr>
                <w:rFonts w:ascii="Times New Roman" w:hAnsi="Times New Roman"/>
                <w:sz w:val="24"/>
              </w:rPr>
              <w:t xml:space="preserve"> a </w:t>
            </w:r>
            <w:r w:rsidRPr="00E07C9A">
              <w:rPr>
                <w:rFonts w:ascii="Times New Roman" w:hAnsi="Times New Roman"/>
                <w:sz w:val="24"/>
              </w:rPr>
              <w:t>13 delegovaného nariadenia (EÚ) 2016/101, ktoré sa vykazujú</w:t>
            </w:r>
            <w:r w:rsidR="009912F8" w:rsidRPr="00E07C9A">
              <w:rPr>
                <w:rFonts w:ascii="Times New Roman" w:hAnsi="Times New Roman"/>
                <w:sz w:val="24"/>
              </w:rPr>
              <w:t xml:space="preserve"> v </w:t>
            </w:r>
            <w:r w:rsidRPr="00E07C9A">
              <w:rPr>
                <w:rFonts w:ascii="Times New Roman" w:hAnsi="Times New Roman"/>
                <w:sz w:val="24"/>
              </w:rPr>
              <w:t>riadkoch 0050</w:t>
            </w:r>
            <w:r w:rsidR="009912F8" w:rsidRPr="00E07C9A">
              <w:rPr>
                <w:rFonts w:ascii="Times New Roman" w:hAnsi="Times New Roman"/>
                <w:sz w:val="24"/>
              </w:rPr>
              <w:t xml:space="preserve"> a </w:t>
            </w:r>
            <w:r w:rsidRPr="00E07C9A">
              <w:rPr>
                <w:rFonts w:ascii="Times New Roman" w:hAnsi="Times New Roman"/>
                <w:sz w:val="24"/>
              </w:rPr>
              <w:t>0060</w:t>
            </w:r>
            <w:r w:rsidR="009912F8" w:rsidRPr="00E07C9A">
              <w:rPr>
                <w:rFonts w:ascii="Times New Roman" w:hAnsi="Times New Roman"/>
                <w:sz w:val="24"/>
              </w:rPr>
              <w:t xml:space="preserve"> a </w:t>
            </w:r>
            <w:r w:rsidRPr="00E07C9A">
              <w:rPr>
                <w:rFonts w:ascii="Times New Roman" w:hAnsi="Times New Roman"/>
                <w:sz w:val="24"/>
              </w:rPr>
              <w:t>ktoré sú zahrnuté</w:t>
            </w:r>
            <w:r w:rsidR="009912F8" w:rsidRPr="00E07C9A">
              <w:rPr>
                <w:rFonts w:ascii="Times New Roman" w:hAnsi="Times New Roman"/>
                <w:sz w:val="24"/>
              </w:rPr>
              <w:t xml:space="preserve"> v </w:t>
            </w:r>
            <w:r w:rsidRPr="00E07C9A">
              <w:rPr>
                <w:rFonts w:ascii="Times New Roman" w:hAnsi="Times New Roman"/>
                <w:sz w:val="24"/>
              </w:rPr>
              <w:t>dodatočných úpravách ocenenia zohľadňujúcich neistotu trhovej ceny, dodatočných úpravách ocenenia zohľadňujúcich náklady na zatvorenie pozícií</w:t>
            </w:r>
            <w:r w:rsidR="009912F8" w:rsidRPr="00E07C9A">
              <w:rPr>
                <w:rFonts w:ascii="Times New Roman" w:hAnsi="Times New Roman"/>
                <w:sz w:val="24"/>
              </w:rPr>
              <w:t xml:space="preserve"> a </w:t>
            </w:r>
            <w:r w:rsidRPr="00E07C9A">
              <w:rPr>
                <w:rFonts w:ascii="Times New Roman" w:hAnsi="Times New Roman"/>
                <w:sz w:val="24"/>
              </w:rPr>
              <w:t>dodatočných úpravách ocenenia zohľadňujúcich riziko modelov tak, ako sú stanovené</w:t>
            </w:r>
            <w:r w:rsidR="009912F8" w:rsidRPr="00E07C9A">
              <w:rPr>
                <w:rFonts w:ascii="Times New Roman" w:hAnsi="Times New Roman"/>
                <w:sz w:val="24"/>
              </w:rPr>
              <w:t xml:space="preserve"> v </w:t>
            </w:r>
            <w:r w:rsidRPr="00E07C9A">
              <w:rPr>
                <w:rFonts w:ascii="Times New Roman" w:hAnsi="Times New Roman"/>
                <w:sz w:val="24"/>
              </w:rPr>
              <w:t>článku 12 ods. 2</w:t>
            </w:r>
            <w:r w:rsidR="009912F8" w:rsidRPr="00E07C9A">
              <w:rPr>
                <w:rFonts w:ascii="Times New Roman" w:hAnsi="Times New Roman"/>
                <w:sz w:val="24"/>
              </w:rPr>
              <w:t xml:space="preserve"> a </w:t>
            </w:r>
            <w:r w:rsidRPr="00E07C9A">
              <w:rPr>
                <w:rFonts w:ascii="Times New Roman" w:hAnsi="Times New Roman"/>
                <w:sz w:val="24"/>
              </w:rPr>
              <w:t>článku 13 ods. 2 uvedeného nariadenia.</w:t>
            </w:r>
          </w:p>
          <w:p w14:paraId="66A42794" w14:textId="546CB622" w:rsidR="00973707" w:rsidRPr="00E07C9A" w:rsidRDefault="00973707" w:rsidP="00A30C4C">
            <w:pPr>
              <w:spacing w:beforeLines="60" w:before="144" w:afterLines="60" w:after="144"/>
              <w:rPr>
                <w:rFonts w:ascii="Times New Roman" w:hAnsi="Times New Roman"/>
                <w:sz w:val="24"/>
              </w:rPr>
            </w:pPr>
            <w:r w:rsidRPr="00E07C9A">
              <w:rPr>
                <w:rFonts w:ascii="Times New Roman" w:hAnsi="Times New Roman"/>
                <w:sz w:val="24"/>
              </w:rPr>
              <w:t>Výhody diverzifikácie sa vykazujú</w:t>
            </w:r>
            <w:r w:rsidR="009912F8" w:rsidRPr="00E07C9A">
              <w:rPr>
                <w:rFonts w:ascii="Times New Roman" w:hAnsi="Times New Roman"/>
                <w:sz w:val="24"/>
              </w:rPr>
              <w:t xml:space="preserve"> v </w:t>
            </w:r>
            <w:r w:rsidRPr="00E07C9A">
              <w:rPr>
                <w:rFonts w:ascii="Times New Roman" w:hAnsi="Times New Roman"/>
                <w:sz w:val="24"/>
              </w:rPr>
              <w:t>riadku 0140</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článkom 9 ods. 6, článkom 10 ods. 7</w:t>
            </w:r>
            <w:r w:rsidR="009912F8" w:rsidRPr="00E07C9A">
              <w:rPr>
                <w:rFonts w:ascii="Times New Roman" w:hAnsi="Times New Roman"/>
                <w:sz w:val="24"/>
              </w:rPr>
              <w:t xml:space="preserve"> a </w:t>
            </w:r>
            <w:r w:rsidRPr="00E07C9A">
              <w:rPr>
                <w:rFonts w:ascii="Times New Roman" w:hAnsi="Times New Roman"/>
                <w:sz w:val="24"/>
              </w:rPr>
              <w:t>článkom 11 ods. 7 delegovaného nariadenia (EÚ) 2016/101,</w:t>
            </w:r>
            <w:r w:rsidR="009912F8" w:rsidRPr="00E07C9A">
              <w:rPr>
                <w:rFonts w:ascii="Times New Roman" w:hAnsi="Times New Roman"/>
                <w:sz w:val="24"/>
              </w:rPr>
              <w:t xml:space="preserve"> a </w:t>
            </w:r>
            <w:r w:rsidRPr="00E07C9A">
              <w:rPr>
                <w:rFonts w:ascii="Times New Roman" w:hAnsi="Times New Roman"/>
                <w:sz w:val="24"/>
              </w:rPr>
              <w:t>sú preto vylúčené</w:t>
            </w:r>
            <w:r w:rsidR="009912F8" w:rsidRPr="00E07C9A">
              <w:rPr>
                <w:rFonts w:ascii="Times New Roman" w:hAnsi="Times New Roman"/>
                <w:sz w:val="24"/>
              </w:rPr>
              <w:t xml:space="preserve"> z </w:t>
            </w:r>
            <w:r w:rsidRPr="00E07C9A">
              <w:rPr>
                <w:rFonts w:ascii="Times New Roman" w:hAnsi="Times New Roman"/>
                <w:sz w:val="24"/>
              </w:rPr>
              <w:t xml:space="preserve">riadkov 0040 až 0130. </w:t>
            </w:r>
          </w:p>
        </w:tc>
      </w:tr>
      <w:tr w:rsidR="00973707" w:rsidRPr="00E07C9A" w14:paraId="02434A69" w14:textId="77777777" w:rsidTr="00672D2A">
        <w:tc>
          <w:tcPr>
            <w:tcW w:w="1101" w:type="dxa"/>
          </w:tcPr>
          <w:p w14:paraId="0E77C93D" w14:textId="77777777" w:rsidR="00973707" w:rsidRPr="00E07C9A" w:rsidRDefault="009A7A38" w:rsidP="00AF3D7A">
            <w:pPr>
              <w:spacing w:beforeLines="60" w:before="144" w:afterLines="60" w:after="144"/>
              <w:rPr>
                <w:rFonts w:ascii="Times New Roman" w:hAnsi="Times New Roman"/>
                <w:sz w:val="24"/>
              </w:rPr>
            </w:pPr>
            <w:r w:rsidRPr="00E07C9A">
              <w:rPr>
                <w:rFonts w:ascii="Times New Roman" w:hAnsi="Times New Roman"/>
                <w:sz w:val="24"/>
              </w:rPr>
              <w:t>0050</w:t>
            </w:r>
          </w:p>
        </w:tc>
        <w:tc>
          <w:tcPr>
            <w:tcW w:w="8187" w:type="dxa"/>
            <w:shd w:val="clear" w:color="auto" w:fill="auto"/>
          </w:tcPr>
          <w:p w14:paraId="246FD5BF" w14:textId="77777777" w:rsidR="00973707" w:rsidRPr="00E07C9A" w:rsidRDefault="00973707" w:rsidP="00AF3D7A">
            <w:pPr>
              <w:spacing w:beforeLines="60" w:before="144" w:afterLines="60" w:after="144"/>
              <w:rPr>
                <w:rFonts w:ascii="Times New Roman" w:hAnsi="Times New Roman"/>
                <w:b/>
                <w:sz w:val="24"/>
                <w:u w:val="single"/>
              </w:rPr>
            </w:pPr>
            <w:r w:rsidRPr="00E07C9A">
              <w:rPr>
                <w:rFonts w:ascii="Times New Roman" w:hAnsi="Times New Roman"/>
                <w:b/>
                <w:sz w:val="24"/>
                <w:u w:val="single"/>
              </w:rPr>
              <w:t>Z ČOHO: DODATOČNÁ ÚPRAVA OCENENIA ZOHĽADŇUJÚCA NEZÍSKANÉ ÚVEROVÉ ROZPÄTIA</w:t>
            </w:r>
          </w:p>
          <w:p w14:paraId="7167B6C8" w14:textId="02A6BB01" w:rsidR="00973707" w:rsidRPr="00E07C9A" w:rsidRDefault="00973707" w:rsidP="00AF3D7A">
            <w:pPr>
              <w:spacing w:beforeLines="60" w:before="144" w:afterLines="60" w:after="144"/>
              <w:rPr>
                <w:rFonts w:ascii="Times New Roman" w:hAnsi="Times New Roman"/>
                <w:sz w:val="24"/>
              </w:rPr>
            </w:pPr>
            <w:r w:rsidRPr="00E07C9A">
              <w:rPr>
                <w:rFonts w:ascii="Times New Roman" w:hAnsi="Times New Roman"/>
                <w:sz w:val="24"/>
              </w:rPr>
              <w:t xml:space="preserve">Článok 105 ods. 10 nariadenia (EÚ) </w:t>
            </w:r>
            <w:r w:rsidR="009912F8" w:rsidRPr="00E07C9A">
              <w:rPr>
                <w:rFonts w:ascii="Times New Roman" w:hAnsi="Times New Roman"/>
                <w:sz w:val="24"/>
              </w:rPr>
              <w:t>č. 575/2013</w:t>
            </w:r>
            <w:r w:rsidRPr="00E07C9A">
              <w:rPr>
                <w:rFonts w:ascii="Times New Roman" w:hAnsi="Times New Roman"/>
                <w:sz w:val="24"/>
              </w:rPr>
              <w:t>, článok 12 delegovaného nariadenia (EÚ) 2016/101</w:t>
            </w:r>
          </w:p>
          <w:p w14:paraId="5681D0CA" w14:textId="71A2696F" w:rsidR="009912F8" w:rsidRPr="00E07C9A" w:rsidRDefault="00973707" w:rsidP="00AF3D7A">
            <w:pPr>
              <w:spacing w:beforeLines="60" w:before="144" w:afterLines="60" w:after="144"/>
              <w:rPr>
                <w:rFonts w:ascii="Times New Roman" w:hAnsi="Times New Roman"/>
                <w:sz w:val="24"/>
              </w:rPr>
            </w:pPr>
            <w:r w:rsidRPr="00E07C9A">
              <w:rPr>
                <w:rFonts w:ascii="Times New Roman" w:hAnsi="Times New Roman"/>
                <w:sz w:val="24"/>
              </w:rPr>
              <w:t>Celková dodatočná úprava ocenenia vypočítaná pre nezískané úverové rozpätia („dodatočná úprava ocenenia pre riziko úpravy ocenenia pohľadávok“)</w:t>
            </w:r>
            <w:r w:rsidR="009912F8" w:rsidRPr="00E07C9A">
              <w:rPr>
                <w:rFonts w:ascii="Times New Roman" w:hAnsi="Times New Roman"/>
                <w:sz w:val="24"/>
              </w:rPr>
              <w:t xml:space="preserve"> a </w:t>
            </w:r>
            <w:r w:rsidRPr="00E07C9A">
              <w:rPr>
                <w:rFonts w:ascii="Times New Roman" w:hAnsi="Times New Roman"/>
                <w:sz w:val="24"/>
              </w:rPr>
              <w:t>jej priradenie medzi dodatočné úpravy ocenenia zohľadňujúce neistotu trhovej ceny, náklady na zatvorenie pozícií alebo riziko modelov podľa článku 12 delegovaného nariadenia (EÚ) 2016/101</w:t>
            </w:r>
            <w:r w:rsidR="009912F8" w:rsidRPr="00E07C9A">
              <w:rPr>
                <w:rFonts w:ascii="Times New Roman" w:hAnsi="Times New Roman"/>
                <w:sz w:val="24"/>
              </w:rPr>
              <w:t>.</w:t>
            </w:r>
          </w:p>
          <w:p w14:paraId="555F9226" w14:textId="588609C4" w:rsidR="009912F8" w:rsidRPr="00E07C9A" w:rsidRDefault="00973707" w:rsidP="00AF3D7A">
            <w:pPr>
              <w:spacing w:beforeLines="60" w:before="144" w:afterLines="60" w:after="144"/>
              <w:rPr>
                <w:rFonts w:ascii="Times New Roman" w:hAnsi="Times New Roman"/>
                <w:sz w:val="24"/>
              </w:rPr>
            </w:pPr>
            <w:r w:rsidRPr="00E07C9A">
              <w:rPr>
                <w:rFonts w:ascii="Times New Roman" w:hAnsi="Times New Roman"/>
                <w:sz w:val="24"/>
              </w:rPr>
              <w:t>Stĺpec 0110: celková dodatočná úprava ocenenia sa uvádza iba na informáciu, pretože jej priradenie medzi dodatočné úpravy ocenenia zohľadňujúce neistotu trhovej ceny, náklady na zatvorenie pozícií alebo riziko modelov vedie</w:t>
            </w:r>
            <w:r w:rsidR="009912F8" w:rsidRPr="00E07C9A">
              <w:rPr>
                <w:rFonts w:ascii="Times New Roman" w:hAnsi="Times New Roman"/>
                <w:sz w:val="24"/>
              </w:rPr>
              <w:t xml:space="preserve"> k </w:t>
            </w:r>
            <w:r w:rsidRPr="00E07C9A">
              <w:rPr>
                <w:rFonts w:ascii="Times New Roman" w:hAnsi="Times New Roman"/>
                <w:sz w:val="24"/>
              </w:rPr>
              <w:t>jej začleneniu – po zohľadnení výhod diverzifikácie – medzi dodatočné úpravy ocenenia na úrovni príslušnej kategórie</w:t>
            </w:r>
            <w:r w:rsidR="009912F8" w:rsidRPr="00E07C9A">
              <w:rPr>
                <w:rFonts w:ascii="Times New Roman" w:hAnsi="Times New Roman"/>
                <w:sz w:val="24"/>
              </w:rPr>
              <w:t>.</w:t>
            </w:r>
          </w:p>
          <w:p w14:paraId="2D827EB2" w14:textId="0B198A77" w:rsidR="00973707" w:rsidRPr="00E07C9A" w:rsidRDefault="00973707" w:rsidP="00127986">
            <w:pPr>
              <w:spacing w:beforeLines="60" w:before="144" w:afterLines="60" w:after="144"/>
              <w:rPr>
                <w:rFonts w:ascii="Times New Roman" w:hAnsi="Times New Roman"/>
                <w:sz w:val="24"/>
              </w:rPr>
            </w:pPr>
            <w:r w:rsidRPr="00E07C9A">
              <w:rPr>
                <w:rFonts w:ascii="Times New Roman" w:hAnsi="Times New Roman"/>
                <w:sz w:val="24"/>
              </w:rPr>
              <w:t>Stĺpce 0130</w:t>
            </w:r>
            <w:r w:rsidR="009912F8" w:rsidRPr="00E07C9A">
              <w:rPr>
                <w:rFonts w:ascii="Times New Roman" w:hAnsi="Times New Roman"/>
                <w:sz w:val="24"/>
              </w:rPr>
              <w:t xml:space="preserve"> a </w:t>
            </w:r>
            <w:r w:rsidRPr="00E07C9A">
              <w:rPr>
                <w:rFonts w:ascii="Times New Roman" w:hAnsi="Times New Roman"/>
                <w:sz w:val="24"/>
              </w:rPr>
              <w:t>0140: absolútna hodnota reálnou hodnotou ocenených aktív</w:t>
            </w:r>
            <w:r w:rsidR="009912F8" w:rsidRPr="00E07C9A">
              <w:rPr>
                <w:rFonts w:ascii="Times New Roman" w:hAnsi="Times New Roman"/>
                <w:sz w:val="24"/>
              </w:rPr>
              <w:t xml:space="preserve"> a </w:t>
            </w:r>
            <w:r w:rsidRPr="00E07C9A">
              <w:rPr>
                <w:rFonts w:ascii="Times New Roman" w:hAnsi="Times New Roman"/>
                <w:sz w:val="24"/>
              </w:rPr>
              <w:t>záväzkov zahrnutá do rozsahu výpočtu dodatočných úprav ocenenia zohľadňujúcich nezískané kreditné rozpätie. Na účely výpočtu tejto dodatočnej úpravy ocenenia presne zodpovedajúce spárované aktíva</w:t>
            </w:r>
            <w:r w:rsidR="009912F8" w:rsidRPr="00E07C9A">
              <w:rPr>
                <w:rFonts w:ascii="Times New Roman" w:hAnsi="Times New Roman"/>
                <w:sz w:val="24"/>
              </w:rPr>
              <w:t xml:space="preserve"> a </w:t>
            </w:r>
            <w:r w:rsidRPr="00E07C9A">
              <w:rPr>
                <w:rFonts w:ascii="Times New Roman" w:hAnsi="Times New Roman"/>
                <w:sz w:val="24"/>
              </w:rPr>
              <w:t>záväzky ocenené reálnou hodnotou vylúčené</w:t>
            </w:r>
            <w:r w:rsidR="009912F8" w:rsidRPr="00E07C9A">
              <w:rPr>
                <w:rFonts w:ascii="Times New Roman" w:hAnsi="Times New Roman"/>
                <w:sz w:val="24"/>
              </w:rPr>
              <w:t xml:space="preserve"> z </w:t>
            </w:r>
            <w:r w:rsidRPr="00E07C9A">
              <w:rPr>
                <w:rFonts w:ascii="Times New Roman" w:hAnsi="Times New Roman"/>
                <w:sz w:val="24"/>
              </w:rPr>
              <w:t>výpočtu prahovej hodnoty podľa článku 4 ods. 2 delegovaného nariadenia (EÚ) 2016/101 nemožno viac považovať za presne zodpovedajúce spárované aktíva.</w:t>
            </w:r>
          </w:p>
        </w:tc>
      </w:tr>
      <w:tr w:rsidR="00973707" w:rsidRPr="00E07C9A" w14:paraId="74BC9F6B" w14:textId="77777777" w:rsidTr="00672D2A">
        <w:tc>
          <w:tcPr>
            <w:tcW w:w="1101" w:type="dxa"/>
          </w:tcPr>
          <w:p w14:paraId="6A8A4627" w14:textId="77777777" w:rsidR="00973707" w:rsidRPr="00E07C9A" w:rsidRDefault="009A7A38" w:rsidP="00AF3D7A">
            <w:pPr>
              <w:spacing w:beforeLines="60" w:before="144" w:afterLines="60" w:after="144"/>
              <w:rPr>
                <w:rFonts w:ascii="Times New Roman" w:hAnsi="Times New Roman"/>
                <w:sz w:val="24"/>
              </w:rPr>
            </w:pPr>
            <w:r w:rsidRPr="00E07C9A">
              <w:rPr>
                <w:rFonts w:ascii="Times New Roman" w:hAnsi="Times New Roman"/>
                <w:sz w:val="24"/>
              </w:rPr>
              <w:t>0060</w:t>
            </w:r>
          </w:p>
        </w:tc>
        <w:tc>
          <w:tcPr>
            <w:tcW w:w="8187" w:type="dxa"/>
            <w:shd w:val="clear" w:color="auto" w:fill="auto"/>
          </w:tcPr>
          <w:p w14:paraId="55353C45" w14:textId="77777777" w:rsidR="009912F8" w:rsidRPr="00E07C9A" w:rsidRDefault="00973707" w:rsidP="00AF3D7A">
            <w:pPr>
              <w:spacing w:beforeLines="60" w:before="144" w:afterLines="60" w:after="144"/>
              <w:rPr>
                <w:rFonts w:ascii="Times New Roman" w:hAnsi="Times New Roman"/>
                <w:b/>
                <w:sz w:val="24"/>
                <w:u w:val="single"/>
              </w:rPr>
            </w:pPr>
            <w:r w:rsidRPr="00E07C9A">
              <w:rPr>
                <w:rFonts w:ascii="Times New Roman" w:hAnsi="Times New Roman"/>
                <w:b/>
                <w:sz w:val="24"/>
                <w:u w:val="single"/>
              </w:rPr>
              <w:t>Z ČOHO: DODATOČNÁ ÚPRAVA OCENENIA ZOHĽADŇUJÚCA INVESTIČNÉ NÁKLADY A NÁKLADY NA FINANCOVANIE</w:t>
            </w:r>
          </w:p>
          <w:p w14:paraId="333CD372" w14:textId="063CD1DB" w:rsidR="00973707" w:rsidRPr="00E07C9A" w:rsidRDefault="00973707" w:rsidP="00AF3D7A">
            <w:pPr>
              <w:spacing w:beforeLines="60" w:before="144" w:afterLines="60" w:after="144"/>
              <w:rPr>
                <w:rFonts w:ascii="Times New Roman" w:hAnsi="Times New Roman"/>
                <w:caps/>
                <w:sz w:val="24"/>
                <w:u w:val="single"/>
              </w:rPr>
            </w:pPr>
            <w:r w:rsidRPr="00E07C9A">
              <w:rPr>
                <w:rFonts w:ascii="Times New Roman" w:hAnsi="Times New Roman"/>
                <w:sz w:val="24"/>
              </w:rPr>
              <w:t xml:space="preserve">Článok 105 ods. 10 nariadenia (EÚ) </w:t>
            </w:r>
            <w:r w:rsidR="009912F8" w:rsidRPr="00E07C9A">
              <w:rPr>
                <w:rFonts w:ascii="Times New Roman" w:hAnsi="Times New Roman"/>
                <w:sz w:val="24"/>
              </w:rPr>
              <w:t>č. 575/2013</w:t>
            </w:r>
            <w:r w:rsidRPr="00E07C9A">
              <w:rPr>
                <w:rFonts w:ascii="Times New Roman" w:hAnsi="Times New Roman"/>
                <w:sz w:val="24"/>
              </w:rPr>
              <w:t>, článok 17 delegovaného nariadenia (EÚ) 2016/101</w:t>
            </w:r>
          </w:p>
          <w:p w14:paraId="3A6DFD8A" w14:textId="24E2B37F" w:rsidR="009912F8" w:rsidRPr="00E07C9A" w:rsidRDefault="00973707" w:rsidP="00AF3D7A">
            <w:pPr>
              <w:spacing w:beforeLines="60" w:before="144" w:afterLines="60" w:after="144"/>
              <w:rPr>
                <w:rFonts w:ascii="Times New Roman" w:hAnsi="Times New Roman"/>
                <w:sz w:val="24"/>
              </w:rPr>
            </w:pPr>
            <w:r w:rsidRPr="00E07C9A">
              <w:rPr>
                <w:rFonts w:ascii="Times New Roman" w:hAnsi="Times New Roman"/>
                <w:sz w:val="24"/>
              </w:rPr>
              <w:t>Celková dodatočná úprava ocenenia vypočítaná pre investičné náklady</w:t>
            </w:r>
            <w:r w:rsidR="009912F8" w:rsidRPr="00E07C9A">
              <w:rPr>
                <w:rFonts w:ascii="Times New Roman" w:hAnsi="Times New Roman"/>
                <w:sz w:val="24"/>
              </w:rPr>
              <w:t xml:space="preserve"> a </w:t>
            </w:r>
            <w:r w:rsidRPr="00E07C9A">
              <w:rPr>
                <w:rFonts w:ascii="Times New Roman" w:hAnsi="Times New Roman"/>
                <w:sz w:val="24"/>
              </w:rPr>
              <w:t>náklady na financovanie</w:t>
            </w:r>
            <w:r w:rsidR="009912F8" w:rsidRPr="00E07C9A">
              <w:rPr>
                <w:rFonts w:ascii="Times New Roman" w:hAnsi="Times New Roman"/>
                <w:sz w:val="24"/>
              </w:rPr>
              <w:t xml:space="preserve"> a </w:t>
            </w:r>
            <w:r w:rsidRPr="00E07C9A">
              <w:rPr>
                <w:rFonts w:ascii="Times New Roman" w:hAnsi="Times New Roman"/>
                <w:sz w:val="24"/>
              </w:rPr>
              <w:t>jej priradenie medzi dodatočné úpravy ocenenia zohľadňujúce neistotu trhovej ceny, náklady na zatvorenie pozícií alebo riziko modelov podľa článku 13 delegovaného nariadenia (EÚ) 2016/101</w:t>
            </w:r>
            <w:r w:rsidR="009912F8" w:rsidRPr="00E07C9A">
              <w:rPr>
                <w:rFonts w:ascii="Times New Roman" w:hAnsi="Times New Roman"/>
                <w:sz w:val="24"/>
              </w:rPr>
              <w:t>.</w:t>
            </w:r>
          </w:p>
          <w:p w14:paraId="46E819A1" w14:textId="6BD6F0FE" w:rsidR="009912F8" w:rsidRPr="00E07C9A" w:rsidRDefault="00973707" w:rsidP="00AF3D7A">
            <w:pPr>
              <w:spacing w:beforeLines="60" w:before="144" w:afterLines="60" w:after="144"/>
              <w:rPr>
                <w:rFonts w:ascii="Times New Roman" w:hAnsi="Times New Roman"/>
                <w:sz w:val="24"/>
              </w:rPr>
            </w:pPr>
            <w:r w:rsidRPr="00E07C9A">
              <w:rPr>
                <w:rFonts w:ascii="Times New Roman" w:hAnsi="Times New Roman"/>
                <w:sz w:val="24"/>
              </w:rPr>
              <w:t>Stĺpec 0110: celková dodatočná úprava ocenenia sa uvádza iba na informáciu, pretože jej priradenie medzi dodatočné úpravy ocenenia zohľadňujúce neistotu trhovej ceny, náklady na zatvorenie pozícií alebo riziko modelov vedie</w:t>
            </w:r>
            <w:r w:rsidR="009912F8" w:rsidRPr="00E07C9A">
              <w:rPr>
                <w:rFonts w:ascii="Times New Roman" w:hAnsi="Times New Roman"/>
                <w:sz w:val="24"/>
              </w:rPr>
              <w:t xml:space="preserve"> k </w:t>
            </w:r>
            <w:r w:rsidRPr="00E07C9A">
              <w:rPr>
                <w:rFonts w:ascii="Times New Roman" w:hAnsi="Times New Roman"/>
                <w:sz w:val="24"/>
              </w:rPr>
              <w:t>jej začleneniu – po zohľadnení výhod diverzifikácie – medzi dodatočné úpravy ocenenia na úrovni príslušnej kategórie</w:t>
            </w:r>
            <w:r w:rsidR="009912F8" w:rsidRPr="00E07C9A">
              <w:rPr>
                <w:rFonts w:ascii="Times New Roman" w:hAnsi="Times New Roman"/>
                <w:sz w:val="24"/>
              </w:rPr>
              <w:t>.</w:t>
            </w:r>
          </w:p>
          <w:p w14:paraId="1BD27AC5" w14:textId="6CBCD3A5" w:rsidR="00973707" w:rsidRPr="00E07C9A" w:rsidRDefault="00973707" w:rsidP="00127986">
            <w:pPr>
              <w:spacing w:beforeLines="60" w:before="144" w:afterLines="60" w:after="144"/>
              <w:rPr>
                <w:rFonts w:ascii="Times New Roman" w:hAnsi="Times New Roman"/>
                <w:sz w:val="24"/>
              </w:rPr>
            </w:pPr>
            <w:r w:rsidRPr="00E07C9A">
              <w:rPr>
                <w:rFonts w:ascii="Times New Roman" w:hAnsi="Times New Roman"/>
                <w:sz w:val="24"/>
              </w:rPr>
              <w:t>Stĺpce 0130</w:t>
            </w:r>
            <w:r w:rsidR="009912F8" w:rsidRPr="00E07C9A">
              <w:rPr>
                <w:rFonts w:ascii="Times New Roman" w:hAnsi="Times New Roman"/>
                <w:sz w:val="24"/>
              </w:rPr>
              <w:t xml:space="preserve"> a </w:t>
            </w:r>
            <w:r w:rsidRPr="00E07C9A">
              <w:rPr>
                <w:rFonts w:ascii="Times New Roman" w:hAnsi="Times New Roman"/>
                <w:sz w:val="24"/>
              </w:rPr>
              <w:t>0140: absolútna hodnota reálnou hodnotou ocenených aktív</w:t>
            </w:r>
            <w:r w:rsidR="009912F8" w:rsidRPr="00E07C9A">
              <w:rPr>
                <w:rFonts w:ascii="Times New Roman" w:hAnsi="Times New Roman"/>
                <w:sz w:val="24"/>
              </w:rPr>
              <w:t xml:space="preserve"> a </w:t>
            </w:r>
            <w:r w:rsidRPr="00E07C9A">
              <w:rPr>
                <w:rFonts w:ascii="Times New Roman" w:hAnsi="Times New Roman"/>
                <w:sz w:val="24"/>
              </w:rPr>
              <w:t>záväzkov zahrnutých do rozsahu výpočtu dodatočnej úpravy ocenenia zohľadňujúcej investičné náklady</w:t>
            </w:r>
            <w:r w:rsidR="009912F8" w:rsidRPr="00E07C9A">
              <w:rPr>
                <w:rFonts w:ascii="Times New Roman" w:hAnsi="Times New Roman"/>
                <w:sz w:val="24"/>
              </w:rPr>
              <w:t xml:space="preserve"> a </w:t>
            </w:r>
            <w:r w:rsidRPr="00E07C9A">
              <w:rPr>
                <w:rFonts w:ascii="Times New Roman" w:hAnsi="Times New Roman"/>
                <w:sz w:val="24"/>
              </w:rPr>
              <w:t>náklady na financovanie. Na účely výpočtu tejto dodatočnej úpravy ocenenia presne zodpovedajúce spárované aktíva</w:t>
            </w:r>
            <w:r w:rsidR="009912F8" w:rsidRPr="00E07C9A">
              <w:rPr>
                <w:rFonts w:ascii="Times New Roman" w:hAnsi="Times New Roman"/>
                <w:sz w:val="24"/>
              </w:rPr>
              <w:t xml:space="preserve"> a </w:t>
            </w:r>
            <w:r w:rsidRPr="00E07C9A">
              <w:rPr>
                <w:rFonts w:ascii="Times New Roman" w:hAnsi="Times New Roman"/>
                <w:sz w:val="24"/>
              </w:rPr>
              <w:t>záväzky ocenené reálnou hodnotou vylúčené</w:t>
            </w:r>
            <w:r w:rsidR="009912F8" w:rsidRPr="00E07C9A">
              <w:rPr>
                <w:rFonts w:ascii="Times New Roman" w:hAnsi="Times New Roman"/>
                <w:sz w:val="24"/>
              </w:rPr>
              <w:t xml:space="preserve"> z </w:t>
            </w:r>
            <w:r w:rsidRPr="00E07C9A">
              <w:rPr>
                <w:rFonts w:ascii="Times New Roman" w:hAnsi="Times New Roman"/>
                <w:sz w:val="24"/>
              </w:rPr>
              <w:t>výpočtu prahovej hodnoty podľa článku 4 ods. 2 delegovaného nariadenia (EÚ) 2016/101 nemožno viac považovať za presne zodpovedajúce spárované aktíva.</w:t>
            </w:r>
          </w:p>
        </w:tc>
      </w:tr>
      <w:tr w:rsidR="00973707" w:rsidRPr="00E07C9A" w14:paraId="2084FED5" w14:textId="77777777" w:rsidTr="00672D2A">
        <w:tc>
          <w:tcPr>
            <w:tcW w:w="1101" w:type="dxa"/>
          </w:tcPr>
          <w:p w14:paraId="033CD37F" w14:textId="77777777" w:rsidR="00973707" w:rsidRPr="00E07C9A" w:rsidRDefault="009A7A38" w:rsidP="00AF3D7A">
            <w:pPr>
              <w:spacing w:beforeLines="60" w:before="144" w:afterLines="60" w:after="144"/>
              <w:rPr>
                <w:rFonts w:ascii="Times New Roman" w:hAnsi="Times New Roman"/>
                <w:sz w:val="24"/>
              </w:rPr>
            </w:pPr>
            <w:r w:rsidRPr="00E07C9A">
              <w:rPr>
                <w:rFonts w:ascii="Times New Roman" w:hAnsi="Times New Roman"/>
                <w:sz w:val="24"/>
              </w:rPr>
              <w:t>0070</w:t>
            </w:r>
          </w:p>
        </w:tc>
        <w:tc>
          <w:tcPr>
            <w:tcW w:w="8187" w:type="dxa"/>
          </w:tcPr>
          <w:p w14:paraId="4F8A59EC" w14:textId="77777777" w:rsidR="00973707" w:rsidRPr="00E07C9A" w:rsidRDefault="00973707" w:rsidP="00AF3D7A">
            <w:pPr>
              <w:spacing w:beforeLines="60" w:before="144" w:afterLines="60" w:after="144"/>
              <w:rPr>
                <w:rFonts w:ascii="Times New Roman" w:hAnsi="Times New Roman"/>
                <w:b/>
                <w:sz w:val="24"/>
                <w:u w:val="single"/>
              </w:rPr>
            </w:pPr>
            <w:r w:rsidRPr="00E07C9A">
              <w:rPr>
                <w:rFonts w:ascii="Times New Roman" w:hAnsi="Times New Roman"/>
                <w:b/>
                <w:sz w:val="24"/>
                <w:u w:val="single"/>
              </w:rPr>
              <w:t>Z ČOHO: DODATOČNÁ ÚPRAVA OCENENIA OCENENÁ NULOVOU HODNOTOU PODĽA ČLÁNKU 9 ODS. 2</w:t>
            </w:r>
            <w:r w:rsidRPr="00E07C9A">
              <w:rPr>
                <w:rFonts w:ascii="Times New Roman" w:hAnsi="Times New Roman"/>
                <w:sz w:val="24"/>
              </w:rPr>
              <w:t xml:space="preserve"> </w:t>
            </w:r>
            <w:r w:rsidRPr="00E07C9A">
              <w:rPr>
                <w:rFonts w:ascii="Times New Roman" w:hAnsi="Times New Roman"/>
                <w:b/>
                <w:caps/>
                <w:sz w:val="24"/>
              </w:rPr>
              <w:t>delegovaného nariadenia (EÚ) 2016/101</w:t>
            </w:r>
          </w:p>
          <w:p w14:paraId="09A881B7" w14:textId="43665D0D" w:rsidR="00973707" w:rsidRPr="00E07C9A" w:rsidRDefault="00973707" w:rsidP="00A30C4C">
            <w:pPr>
              <w:spacing w:beforeLines="60" w:before="144" w:afterLines="60" w:after="144"/>
              <w:rPr>
                <w:rFonts w:ascii="Times New Roman" w:hAnsi="Times New Roman"/>
                <w:sz w:val="24"/>
              </w:rPr>
            </w:pPr>
            <w:r w:rsidRPr="00E07C9A">
              <w:rPr>
                <w:rFonts w:ascii="Times New Roman" w:hAnsi="Times New Roman"/>
                <w:sz w:val="24"/>
              </w:rPr>
              <w:t>Absolútna hodnota reálnou hodnotou ocenených aktív</w:t>
            </w:r>
            <w:r w:rsidR="009912F8" w:rsidRPr="00E07C9A">
              <w:rPr>
                <w:rFonts w:ascii="Times New Roman" w:hAnsi="Times New Roman"/>
                <w:sz w:val="24"/>
              </w:rPr>
              <w:t xml:space="preserve"> a </w:t>
            </w:r>
            <w:r w:rsidRPr="00E07C9A">
              <w:rPr>
                <w:rFonts w:ascii="Times New Roman" w:hAnsi="Times New Roman"/>
                <w:sz w:val="24"/>
              </w:rPr>
              <w:t>záväzkov zodpovedajúcich expozíciám</w:t>
            </w:r>
            <w:r w:rsidR="009912F8" w:rsidRPr="00E07C9A">
              <w:rPr>
                <w:rFonts w:ascii="Times New Roman" w:hAnsi="Times New Roman"/>
                <w:sz w:val="24"/>
              </w:rPr>
              <w:t xml:space="preserve"> z </w:t>
            </w:r>
            <w:r w:rsidRPr="00E07C9A">
              <w:rPr>
                <w:rFonts w:ascii="Times New Roman" w:hAnsi="Times New Roman"/>
                <w:sz w:val="24"/>
              </w:rPr>
              <w:t xml:space="preserve">ocenenia oceneným nulovou hodnotou dodatočnej úpravy ocenenia podľa článku 9 ods. 2 delegovaného nariadenia (EÚ) 2016/101. </w:t>
            </w:r>
          </w:p>
        </w:tc>
      </w:tr>
      <w:tr w:rsidR="00973707" w:rsidRPr="00E07C9A" w14:paraId="65826DF1" w14:textId="77777777" w:rsidTr="00672D2A">
        <w:tc>
          <w:tcPr>
            <w:tcW w:w="1101" w:type="dxa"/>
          </w:tcPr>
          <w:p w14:paraId="2930F172" w14:textId="77777777" w:rsidR="00973707" w:rsidRPr="00E07C9A" w:rsidRDefault="009A7A38" w:rsidP="00AF3D7A">
            <w:pPr>
              <w:spacing w:beforeLines="60" w:before="144" w:afterLines="60" w:after="144"/>
              <w:rPr>
                <w:rFonts w:ascii="Times New Roman" w:hAnsi="Times New Roman"/>
                <w:sz w:val="24"/>
              </w:rPr>
            </w:pPr>
            <w:r w:rsidRPr="00E07C9A">
              <w:rPr>
                <w:rFonts w:ascii="Times New Roman" w:hAnsi="Times New Roman"/>
                <w:sz w:val="24"/>
              </w:rPr>
              <w:t>0080</w:t>
            </w:r>
          </w:p>
        </w:tc>
        <w:tc>
          <w:tcPr>
            <w:tcW w:w="8187" w:type="dxa"/>
          </w:tcPr>
          <w:p w14:paraId="55AB6181" w14:textId="65448282" w:rsidR="00973707" w:rsidRPr="00E07C9A" w:rsidRDefault="00973707" w:rsidP="00AF3D7A">
            <w:pPr>
              <w:spacing w:beforeLines="60" w:before="144" w:afterLines="60" w:after="144"/>
              <w:rPr>
                <w:rFonts w:ascii="Times New Roman" w:hAnsi="Times New Roman"/>
                <w:b/>
                <w:sz w:val="24"/>
                <w:u w:val="single"/>
              </w:rPr>
            </w:pPr>
            <w:r w:rsidRPr="00E07C9A">
              <w:rPr>
                <w:rFonts w:ascii="Times New Roman" w:hAnsi="Times New Roman"/>
                <w:b/>
                <w:sz w:val="24"/>
                <w:u w:val="single"/>
              </w:rPr>
              <w:t>Z ČOHO: DODATOČNÁ ÚPRAVA OCENENIA OCENENÁ NULOVOU HODNOTOU PODĽA ČLÁNKU 10 ODS. 2 A 3</w:t>
            </w:r>
            <w:r w:rsidRPr="00E07C9A">
              <w:rPr>
                <w:rFonts w:ascii="Times New Roman" w:hAnsi="Times New Roman"/>
                <w:b/>
                <w:caps/>
                <w:sz w:val="24"/>
              </w:rPr>
              <w:t xml:space="preserve"> delegovaného nariadenia (EÚ) 2016/101</w:t>
            </w:r>
          </w:p>
          <w:p w14:paraId="2AC86975" w14:textId="043F9690" w:rsidR="00973707" w:rsidRPr="00E07C9A" w:rsidRDefault="00973707" w:rsidP="00A30C4C">
            <w:pPr>
              <w:spacing w:beforeLines="60" w:before="144" w:afterLines="60" w:after="144"/>
              <w:rPr>
                <w:rFonts w:ascii="Times New Roman" w:hAnsi="Times New Roman"/>
                <w:sz w:val="24"/>
              </w:rPr>
            </w:pPr>
            <w:r w:rsidRPr="00E07C9A">
              <w:rPr>
                <w:rFonts w:ascii="Times New Roman" w:hAnsi="Times New Roman"/>
                <w:sz w:val="24"/>
              </w:rPr>
              <w:t>Absolútna hodnota reálnou hodnotou ocenených aktív</w:t>
            </w:r>
            <w:r w:rsidR="009912F8" w:rsidRPr="00E07C9A">
              <w:rPr>
                <w:rFonts w:ascii="Times New Roman" w:hAnsi="Times New Roman"/>
                <w:sz w:val="24"/>
              </w:rPr>
              <w:t xml:space="preserve"> a </w:t>
            </w:r>
            <w:r w:rsidRPr="00E07C9A">
              <w:rPr>
                <w:rFonts w:ascii="Times New Roman" w:hAnsi="Times New Roman"/>
                <w:sz w:val="24"/>
              </w:rPr>
              <w:t>záväzkov zodpovedajúcich expozíciám</w:t>
            </w:r>
            <w:r w:rsidR="009912F8" w:rsidRPr="00E07C9A">
              <w:rPr>
                <w:rFonts w:ascii="Times New Roman" w:hAnsi="Times New Roman"/>
                <w:sz w:val="24"/>
              </w:rPr>
              <w:t xml:space="preserve"> z </w:t>
            </w:r>
            <w:r w:rsidRPr="00E07C9A">
              <w:rPr>
                <w:rFonts w:ascii="Times New Roman" w:hAnsi="Times New Roman"/>
                <w:sz w:val="24"/>
              </w:rPr>
              <w:t>ocenenia oceneným nulovou hodnotou dodatočnej úpravy ocenenia podľa článku 10 ods. 2 alebo článku 10 ods. 3 delegovaného nariadenia (EÚ) 2016/101.</w:t>
            </w:r>
          </w:p>
        </w:tc>
      </w:tr>
      <w:tr w:rsidR="00973707" w:rsidRPr="00E07C9A" w14:paraId="1AF06B95" w14:textId="77777777" w:rsidTr="00672D2A">
        <w:tc>
          <w:tcPr>
            <w:tcW w:w="1101" w:type="dxa"/>
          </w:tcPr>
          <w:p w14:paraId="57C0987B" w14:textId="77777777" w:rsidR="00973707" w:rsidRPr="00E07C9A" w:rsidRDefault="009A7A38" w:rsidP="00AF3D7A">
            <w:pPr>
              <w:spacing w:beforeLines="60" w:before="144" w:afterLines="60" w:after="144"/>
              <w:rPr>
                <w:rFonts w:ascii="Times New Roman" w:hAnsi="Times New Roman"/>
                <w:sz w:val="24"/>
              </w:rPr>
            </w:pPr>
            <w:r w:rsidRPr="00E07C9A">
              <w:rPr>
                <w:rFonts w:ascii="Times New Roman" w:hAnsi="Times New Roman"/>
                <w:sz w:val="24"/>
              </w:rPr>
              <w:t>0090</w:t>
            </w:r>
          </w:p>
        </w:tc>
        <w:tc>
          <w:tcPr>
            <w:tcW w:w="8187" w:type="dxa"/>
          </w:tcPr>
          <w:p w14:paraId="12A69009" w14:textId="77777777" w:rsidR="00973707" w:rsidRPr="00E07C9A" w:rsidRDefault="00973707" w:rsidP="00AF3D7A">
            <w:pPr>
              <w:spacing w:beforeLines="60" w:before="144" w:afterLines="60" w:after="144"/>
              <w:rPr>
                <w:rFonts w:ascii="Times New Roman" w:hAnsi="Times New Roman"/>
                <w:b/>
                <w:sz w:val="24"/>
                <w:u w:val="single"/>
              </w:rPr>
            </w:pPr>
            <w:r w:rsidRPr="00E07C9A">
              <w:rPr>
                <w:rFonts w:ascii="Times New Roman" w:hAnsi="Times New Roman"/>
                <w:b/>
                <w:sz w:val="24"/>
                <w:u w:val="single"/>
              </w:rPr>
              <w:t>1.1.1.1. ÚROKOVÉ SADZBY</w:t>
            </w:r>
          </w:p>
        </w:tc>
      </w:tr>
      <w:tr w:rsidR="00AF3D7A" w:rsidRPr="00E07C9A" w14:paraId="17C74B7B" w14:textId="77777777" w:rsidTr="00672D2A">
        <w:tc>
          <w:tcPr>
            <w:tcW w:w="1101" w:type="dxa"/>
          </w:tcPr>
          <w:p w14:paraId="145C0374" w14:textId="77777777" w:rsidR="00AF3D7A" w:rsidRPr="00E07C9A" w:rsidRDefault="009A7A38" w:rsidP="00AF3D7A">
            <w:pPr>
              <w:spacing w:beforeLines="60" w:before="144" w:afterLines="60" w:after="144"/>
              <w:rPr>
                <w:rFonts w:ascii="Times New Roman" w:hAnsi="Times New Roman"/>
                <w:sz w:val="24"/>
              </w:rPr>
            </w:pPr>
            <w:r w:rsidRPr="00E07C9A">
              <w:rPr>
                <w:rFonts w:ascii="Times New Roman" w:hAnsi="Times New Roman"/>
                <w:sz w:val="24"/>
              </w:rPr>
              <w:t>0100</w:t>
            </w:r>
          </w:p>
        </w:tc>
        <w:tc>
          <w:tcPr>
            <w:tcW w:w="8187" w:type="dxa"/>
          </w:tcPr>
          <w:p w14:paraId="28FD4831" w14:textId="77777777" w:rsidR="00AF3D7A" w:rsidRPr="00E07C9A" w:rsidRDefault="00AF3D7A" w:rsidP="00AF3D7A">
            <w:pPr>
              <w:spacing w:beforeLines="60" w:before="144" w:afterLines="60" w:after="144"/>
              <w:rPr>
                <w:rFonts w:ascii="Times New Roman" w:hAnsi="Times New Roman"/>
                <w:b/>
                <w:sz w:val="24"/>
                <w:u w:val="single"/>
              </w:rPr>
            </w:pPr>
            <w:r w:rsidRPr="00E07C9A">
              <w:rPr>
                <w:rFonts w:ascii="Times New Roman" w:hAnsi="Times New Roman"/>
                <w:b/>
                <w:sz w:val="24"/>
                <w:u w:val="single"/>
              </w:rPr>
              <w:t>1.1.1.2. DEVÍZY</w:t>
            </w:r>
          </w:p>
        </w:tc>
      </w:tr>
      <w:tr w:rsidR="00AF3D7A" w:rsidRPr="00E07C9A" w14:paraId="2DEEE57B" w14:textId="77777777" w:rsidTr="00672D2A">
        <w:tc>
          <w:tcPr>
            <w:tcW w:w="1101" w:type="dxa"/>
          </w:tcPr>
          <w:p w14:paraId="53A772B1" w14:textId="77777777" w:rsidR="00AF3D7A" w:rsidRPr="00E07C9A" w:rsidRDefault="009A7A38" w:rsidP="00AF3D7A">
            <w:pPr>
              <w:spacing w:beforeLines="60" w:before="144" w:afterLines="60" w:after="144"/>
              <w:rPr>
                <w:rFonts w:ascii="Times New Roman" w:hAnsi="Times New Roman"/>
                <w:sz w:val="24"/>
              </w:rPr>
            </w:pPr>
            <w:r w:rsidRPr="00E07C9A">
              <w:rPr>
                <w:rFonts w:ascii="Times New Roman" w:hAnsi="Times New Roman"/>
                <w:sz w:val="24"/>
              </w:rPr>
              <w:t>0110</w:t>
            </w:r>
          </w:p>
        </w:tc>
        <w:tc>
          <w:tcPr>
            <w:tcW w:w="8187" w:type="dxa"/>
          </w:tcPr>
          <w:p w14:paraId="59E7D54E" w14:textId="77777777" w:rsidR="00AF3D7A" w:rsidRPr="00E07C9A" w:rsidRDefault="00AF3D7A" w:rsidP="00AF3D7A">
            <w:pPr>
              <w:spacing w:beforeLines="60" w:before="144" w:afterLines="60" w:after="144"/>
              <w:rPr>
                <w:rFonts w:ascii="Times New Roman" w:hAnsi="Times New Roman"/>
                <w:b/>
                <w:sz w:val="24"/>
                <w:u w:val="single"/>
              </w:rPr>
            </w:pPr>
            <w:r w:rsidRPr="00E07C9A">
              <w:rPr>
                <w:rFonts w:ascii="Times New Roman" w:hAnsi="Times New Roman"/>
                <w:b/>
                <w:sz w:val="24"/>
                <w:u w:val="single"/>
              </w:rPr>
              <w:t>1.1.1.3. KREDIT</w:t>
            </w:r>
          </w:p>
        </w:tc>
      </w:tr>
      <w:tr w:rsidR="00AF3D7A" w:rsidRPr="00E07C9A" w14:paraId="5B022C11" w14:textId="77777777" w:rsidTr="00672D2A">
        <w:tc>
          <w:tcPr>
            <w:tcW w:w="1101" w:type="dxa"/>
          </w:tcPr>
          <w:p w14:paraId="40E678D9" w14:textId="77777777" w:rsidR="00AF3D7A" w:rsidRPr="00E07C9A" w:rsidRDefault="009A7A38" w:rsidP="00AF3D7A">
            <w:pPr>
              <w:spacing w:beforeLines="60" w:before="144" w:afterLines="60" w:after="144"/>
              <w:rPr>
                <w:rFonts w:ascii="Times New Roman" w:hAnsi="Times New Roman"/>
                <w:sz w:val="24"/>
              </w:rPr>
            </w:pPr>
            <w:r w:rsidRPr="00E07C9A">
              <w:rPr>
                <w:rFonts w:ascii="Times New Roman" w:hAnsi="Times New Roman"/>
                <w:sz w:val="24"/>
              </w:rPr>
              <w:t>0120</w:t>
            </w:r>
          </w:p>
        </w:tc>
        <w:tc>
          <w:tcPr>
            <w:tcW w:w="8187" w:type="dxa"/>
          </w:tcPr>
          <w:p w14:paraId="64B6FC83" w14:textId="77777777" w:rsidR="00AF3D7A" w:rsidRPr="00E07C9A" w:rsidRDefault="00AF3D7A" w:rsidP="00AF3D7A">
            <w:pPr>
              <w:spacing w:beforeLines="60" w:before="144" w:afterLines="60" w:after="144"/>
              <w:rPr>
                <w:rFonts w:ascii="Times New Roman" w:hAnsi="Times New Roman"/>
                <w:b/>
                <w:sz w:val="24"/>
                <w:u w:val="single"/>
              </w:rPr>
            </w:pPr>
            <w:r w:rsidRPr="00E07C9A">
              <w:rPr>
                <w:rFonts w:ascii="Times New Roman" w:hAnsi="Times New Roman"/>
                <w:b/>
                <w:sz w:val="24"/>
                <w:u w:val="single"/>
              </w:rPr>
              <w:t>1.1.1.4. KAPITÁLOVÉ CENNÉ PAPIERE</w:t>
            </w:r>
          </w:p>
        </w:tc>
      </w:tr>
      <w:tr w:rsidR="00973707" w:rsidRPr="00E07C9A" w14:paraId="4774840D" w14:textId="77777777" w:rsidTr="00672D2A">
        <w:tc>
          <w:tcPr>
            <w:tcW w:w="1101" w:type="dxa"/>
          </w:tcPr>
          <w:p w14:paraId="7D617964" w14:textId="77777777" w:rsidR="00973707" w:rsidRPr="00E07C9A" w:rsidRDefault="009A7A38" w:rsidP="00AF3D7A">
            <w:pPr>
              <w:spacing w:beforeLines="60" w:before="144" w:afterLines="60" w:after="144"/>
              <w:rPr>
                <w:rFonts w:ascii="Times New Roman" w:hAnsi="Times New Roman"/>
                <w:sz w:val="24"/>
              </w:rPr>
            </w:pPr>
            <w:r w:rsidRPr="00E07C9A">
              <w:rPr>
                <w:rFonts w:ascii="Times New Roman" w:hAnsi="Times New Roman"/>
                <w:sz w:val="24"/>
              </w:rPr>
              <w:t>0130</w:t>
            </w:r>
          </w:p>
        </w:tc>
        <w:tc>
          <w:tcPr>
            <w:tcW w:w="8187" w:type="dxa"/>
          </w:tcPr>
          <w:p w14:paraId="1F7ADCC7" w14:textId="77777777" w:rsidR="00973707" w:rsidRPr="00E07C9A" w:rsidRDefault="00973707" w:rsidP="00AF3D7A">
            <w:pPr>
              <w:spacing w:beforeLines="60" w:before="144" w:afterLines="60" w:after="144"/>
              <w:rPr>
                <w:rFonts w:ascii="Times New Roman" w:hAnsi="Times New Roman"/>
                <w:b/>
                <w:sz w:val="24"/>
                <w:u w:val="single"/>
              </w:rPr>
            </w:pPr>
            <w:r w:rsidRPr="00E07C9A">
              <w:rPr>
                <w:rFonts w:ascii="Times New Roman" w:hAnsi="Times New Roman"/>
                <w:b/>
                <w:sz w:val="24"/>
                <w:u w:val="single"/>
              </w:rPr>
              <w:t>1.1.1.5. KOMODITY</w:t>
            </w:r>
          </w:p>
        </w:tc>
      </w:tr>
      <w:tr w:rsidR="00973707" w:rsidRPr="00E07C9A" w14:paraId="3498B991" w14:textId="77777777" w:rsidTr="00672D2A">
        <w:tc>
          <w:tcPr>
            <w:tcW w:w="1101" w:type="dxa"/>
          </w:tcPr>
          <w:p w14:paraId="5BFAC4AE" w14:textId="77777777" w:rsidR="00973707" w:rsidRPr="00E07C9A" w:rsidRDefault="009A7A38" w:rsidP="00AF3D7A">
            <w:pPr>
              <w:spacing w:beforeLines="60" w:before="144" w:afterLines="60" w:after="144"/>
              <w:rPr>
                <w:rFonts w:ascii="Times New Roman" w:hAnsi="Times New Roman"/>
                <w:sz w:val="24"/>
              </w:rPr>
            </w:pPr>
            <w:r w:rsidRPr="00E07C9A">
              <w:rPr>
                <w:rFonts w:ascii="Times New Roman" w:hAnsi="Times New Roman"/>
                <w:sz w:val="24"/>
              </w:rPr>
              <w:t>0140</w:t>
            </w:r>
          </w:p>
        </w:tc>
        <w:tc>
          <w:tcPr>
            <w:tcW w:w="8187" w:type="dxa"/>
          </w:tcPr>
          <w:p w14:paraId="3E583EDF" w14:textId="77777777" w:rsidR="00973707" w:rsidRPr="00E07C9A" w:rsidRDefault="00973707" w:rsidP="00AF3D7A">
            <w:pPr>
              <w:spacing w:beforeLines="60" w:before="144" w:afterLines="60" w:after="144"/>
              <w:rPr>
                <w:rFonts w:ascii="Times New Roman" w:hAnsi="Times New Roman"/>
                <w:b/>
                <w:caps/>
                <w:sz w:val="24"/>
                <w:u w:val="single"/>
              </w:rPr>
            </w:pPr>
            <w:r w:rsidRPr="00E07C9A">
              <w:rPr>
                <w:rFonts w:ascii="Times New Roman" w:hAnsi="Times New Roman"/>
                <w:b/>
                <w:caps/>
                <w:sz w:val="24"/>
                <w:u w:val="single"/>
              </w:rPr>
              <w:t>1.1.2. (–) Výhody diverzifikácie</w:t>
            </w:r>
          </w:p>
          <w:p w14:paraId="5A70CDEC" w14:textId="40D0712A" w:rsidR="00973707" w:rsidRPr="00E07C9A" w:rsidRDefault="00973707" w:rsidP="00AF3D7A">
            <w:pPr>
              <w:spacing w:beforeLines="60" w:before="144" w:afterLines="60" w:after="144"/>
              <w:rPr>
                <w:rFonts w:ascii="Times New Roman" w:hAnsi="Times New Roman"/>
                <w:sz w:val="24"/>
              </w:rPr>
            </w:pPr>
            <w:r w:rsidRPr="00E07C9A">
              <w:rPr>
                <w:rFonts w:ascii="Times New Roman" w:hAnsi="Times New Roman"/>
                <w:sz w:val="24"/>
              </w:rPr>
              <w:t>Celkové výhody diverzifikácie. Súčet riadkov 0150</w:t>
            </w:r>
            <w:r w:rsidR="009912F8" w:rsidRPr="00E07C9A">
              <w:rPr>
                <w:rFonts w:ascii="Times New Roman" w:hAnsi="Times New Roman"/>
                <w:sz w:val="24"/>
              </w:rPr>
              <w:t xml:space="preserve"> a </w:t>
            </w:r>
            <w:r w:rsidRPr="00E07C9A">
              <w:rPr>
                <w:rFonts w:ascii="Times New Roman" w:hAnsi="Times New Roman"/>
                <w:sz w:val="24"/>
              </w:rPr>
              <w:t>0160.</w:t>
            </w:r>
          </w:p>
        </w:tc>
      </w:tr>
      <w:tr w:rsidR="00973707" w:rsidRPr="00E07C9A" w14:paraId="3F4C8FFD" w14:textId="77777777" w:rsidTr="00672D2A">
        <w:tc>
          <w:tcPr>
            <w:tcW w:w="1101" w:type="dxa"/>
          </w:tcPr>
          <w:p w14:paraId="6213B98E" w14:textId="77777777" w:rsidR="00973707" w:rsidRPr="00E07C9A" w:rsidRDefault="009A7A38" w:rsidP="00AF3D7A">
            <w:pPr>
              <w:spacing w:beforeLines="60" w:before="144" w:afterLines="60" w:after="144"/>
              <w:rPr>
                <w:rFonts w:ascii="Times New Roman" w:hAnsi="Times New Roman"/>
                <w:sz w:val="24"/>
              </w:rPr>
            </w:pPr>
            <w:r w:rsidRPr="00E07C9A">
              <w:rPr>
                <w:rFonts w:ascii="Times New Roman" w:hAnsi="Times New Roman"/>
                <w:sz w:val="24"/>
              </w:rPr>
              <w:t>0150</w:t>
            </w:r>
          </w:p>
        </w:tc>
        <w:tc>
          <w:tcPr>
            <w:tcW w:w="8187" w:type="dxa"/>
          </w:tcPr>
          <w:p w14:paraId="29C25A2C" w14:textId="77777777" w:rsidR="00973707" w:rsidRPr="00E07C9A" w:rsidRDefault="00973707" w:rsidP="00AF3D7A">
            <w:pPr>
              <w:spacing w:beforeLines="60" w:before="144" w:afterLines="60" w:after="144"/>
              <w:rPr>
                <w:rFonts w:ascii="Times New Roman" w:hAnsi="Times New Roman"/>
                <w:b/>
                <w:caps/>
                <w:sz w:val="24"/>
                <w:u w:val="single"/>
              </w:rPr>
            </w:pPr>
            <w:r w:rsidRPr="00E07C9A">
              <w:rPr>
                <w:rFonts w:ascii="Times New Roman" w:hAnsi="Times New Roman"/>
                <w:b/>
                <w:caps/>
                <w:sz w:val="24"/>
                <w:u w:val="single"/>
              </w:rPr>
              <w:t>1.1.2.1. (–) Výhody diverzifikácie vypočítané pomocou metódy 1</w:t>
            </w:r>
          </w:p>
          <w:p w14:paraId="200A1ECE" w14:textId="4EE6AB74" w:rsidR="00973707" w:rsidRPr="00E07C9A" w:rsidRDefault="00973707" w:rsidP="00A30C4C">
            <w:pPr>
              <w:spacing w:beforeLines="60" w:before="144" w:afterLines="60" w:after="144"/>
              <w:rPr>
                <w:rFonts w:ascii="Times New Roman" w:hAnsi="Times New Roman"/>
                <w:sz w:val="24"/>
              </w:rPr>
            </w:pPr>
            <w:r w:rsidRPr="00E07C9A">
              <w:rPr>
                <w:rFonts w:ascii="Times New Roman" w:hAnsi="Times New Roman"/>
                <w:sz w:val="24"/>
              </w:rPr>
              <w:t>Pre kategórie dodatočnej úpravy ocenenia agregované podľa metódy 1</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článkom 9 ods. 6, článkom 10 ods. 7</w:t>
            </w:r>
            <w:r w:rsidR="009912F8" w:rsidRPr="00E07C9A">
              <w:rPr>
                <w:rFonts w:ascii="Times New Roman" w:hAnsi="Times New Roman"/>
                <w:sz w:val="24"/>
              </w:rPr>
              <w:t xml:space="preserve"> a </w:t>
            </w:r>
            <w:r w:rsidRPr="00E07C9A">
              <w:rPr>
                <w:rFonts w:ascii="Times New Roman" w:hAnsi="Times New Roman"/>
                <w:sz w:val="24"/>
              </w:rPr>
              <w:t>článkom 11 ods. 6 delegovaného nariadenia (EÚ) 2016/101 rozdiel medzi súčtom jednotlivých dodatočných úprav ocenenia</w:t>
            </w:r>
            <w:r w:rsidR="009912F8" w:rsidRPr="00E07C9A">
              <w:rPr>
                <w:rFonts w:ascii="Times New Roman" w:hAnsi="Times New Roman"/>
                <w:sz w:val="24"/>
              </w:rPr>
              <w:t xml:space="preserve"> a </w:t>
            </w:r>
            <w:r w:rsidRPr="00E07C9A">
              <w:rPr>
                <w:rFonts w:ascii="Times New Roman" w:hAnsi="Times New Roman"/>
                <w:sz w:val="24"/>
              </w:rPr>
              <w:t>celkovou dodatočnou úpravou ocenenia na úrovni kategórie po úprave na účely agregácie.</w:t>
            </w:r>
          </w:p>
        </w:tc>
      </w:tr>
      <w:tr w:rsidR="00973707" w:rsidRPr="00E07C9A" w14:paraId="72B7708E" w14:textId="77777777" w:rsidTr="00672D2A">
        <w:tc>
          <w:tcPr>
            <w:tcW w:w="1101" w:type="dxa"/>
          </w:tcPr>
          <w:p w14:paraId="773CBDDD" w14:textId="77777777" w:rsidR="00973707" w:rsidRPr="00E07C9A" w:rsidRDefault="009A7A38" w:rsidP="00AF3D7A">
            <w:pPr>
              <w:spacing w:beforeLines="60" w:before="144" w:afterLines="60" w:after="144"/>
              <w:rPr>
                <w:rFonts w:ascii="Times New Roman" w:hAnsi="Times New Roman"/>
                <w:sz w:val="24"/>
              </w:rPr>
            </w:pPr>
            <w:r w:rsidRPr="00E07C9A">
              <w:rPr>
                <w:rFonts w:ascii="Times New Roman" w:hAnsi="Times New Roman"/>
                <w:sz w:val="24"/>
              </w:rPr>
              <w:t>0160</w:t>
            </w:r>
          </w:p>
        </w:tc>
        <w:tc>
          <w:tcPr>
            <w:tcW w:w="8187" w:type="dxa"/>
          </w:tcPr>
          <w:p w14:paraId="704CC922" w14:textId="77777777" w:rsidR="00973707" w:rsidRPr="00E07C9A" w:rsidRDefault="00973707" w:rsidP="00AF3D7A">
            <w:pPr>
              <w:spacing w:beforeLines="60" w:before="144" w:afterLines="60" w:after="144"/>
              <w:rPr>
                <w:rFonts w:ascii="Times New Roman" w:hAnsi="Times New Roman"/>
                <w:b/>
                <w:caps/>
                <w:sz w:val="24"/>
                <w:u w:val="single"/>
              </w:rPr>
            </w:pPr>
            <w:r w:rsidRPr="00E07C9A">
              <w:rPr>
                <w:rFonts w:ascii="Times New Roman" w:hAnsi="Times New Roman"/>
                <w:b/>
                <w:caps/>
                <w:sz w:val="24"/>
                <w:u w:val="single"/>
              </w:rPr>
              <w:t>1.1.2.2. (–) Výhody diverzifikácie vypočítané pomocou metódy 2</w:t>
            </w:r>
          </w:p>
          <w:p w14:paraId="4CCD1550" w14:textId="24184F76" w:rsidR="00973707" w:rsidRPr="00E07C9A" w:rsidRDefault="00973707" w:rsidP="00A30C4C">
            <w:pPr>
              <w:spacing w:beforeLines="60" w:before="144" w:afterLines="60" w:after="144"/>
              <w:rPr>
                <w:rFonts w:ascii="Times New Roman" w:hAnsi="Times New Roman"/>
                <w:sz w:val="24"/>
              </w:rPr>
            </w:pPr>
            <w:r w:rsidRPr="00E07C9A">
              <w:rPr>
                <w:rFonts w:ascii="Times New Roman" w:hAnsi="Times New Roman"/>
                <w:sz w:val="24"/>
              </w:rPr>
              <w:t>Pre kategórie dodatočnej úpravy ocenenia agregované podľa metódy 2</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článkom 9 ods. 6, článkom 10 ods. 7</w:t>
            </w:r>
            <w:r w:rsidR="009912F8" w:rsidRPr="00E07C9A">
              <w:rPr>
                <w:rFonts w:ascii="Times New Roman" w:hAnsi="Times New Roman"/>
                <w:sz w:val="24"/>
              </w:rPr>
              <w:t xml:space="preserve"> a </w:t>
            </w:r>
            <w:r w:rsidRPr="00E07C9A">
              <w:rPr>
                <w:rFonts w:ascii="Times New Roman" w:hAnsi="Times New Roman"/>
                <w:sz w:val="24"/>
              </w:rPr>
              <w:t>článkom 11 ods. 6 delegovaného nariadenia (EÚ) 2016/101 rozdiel medzi súčtom jednotlivých dodatočných úprav ocenenia</w:t>
            </w:r>
            <w:r w:rsidR="009912F8" w:rsidRPr="00E07C9A">
              <w:rPr>
                <w:rFonts w:ascii="Times New Roman" w:hAnsi="Times New Roman"/>
                <w:sz w:val="24"/>
              </w:rPr>
              <w:t xml:space="preserve"> a </w:t>
            </w:r>
            <w:r w:rsidRPr="00E07C9A">
              <w:rPr>
                <w:rFonts w:ascii="Times New Roman" w:hAnsi="Times New Roman"/>
                <w:sz w:val="24"/>
              </w:rPr>
              <w:t>celkovou dodatočnou úpravou ocenenia na úrovni kategórie po úprave na účely agregácie.</w:t>
            </w:r>
          </w:p>
        </w:tc>
      </w:tr>
      <w:tr w:rsidR="00973707" w:rsidRPr="00E07C9A" w14:paraId="2828C821" w14:textId="77777777" w:rsidTr="00672D2A">
        <w:tc>
          <w:tcPr>
            <w:tcW w:w="1101" w:type="dxa"/>
          </w:tcPr>
          <w:p w14:paraId="0265F745" w14:textId="77777777" w:rsidR="00973707" w:rsidRPr="00E07C9A" w:rsidRDefault="009A7A38" w:rsidP="00AF3D7A">
            <w:pPr>
              <w:spacing w:beforeLines="60" w:before="144" w:afterLines="60" w:after="144"/>
              <w:rPr>
                <w:rFonts w:ascii="Times New Roman" w:hAnsi="Times New Roman"/>
                <w:sz w:val="24"/>
              </w:rPr>
            </w:pPr>
            <w:r w:rsidRPr="00E07C9A">
              <w:rPr>
                <w:rFonts w:ascii="Times New Roman" w:hAnsi="Times New Roman"/>
                <w:sz w:val="24"/>
              </w:rPr>
              <w:t>0170</w:t>
            </w:r>
          </w:p>
        </w:tc>
        <w:tc>
          <w:tcPr>
            <w:tcW w:w="8187" w:type="dxa"/>
          </w:tcPr>
          <w:p w14:paraId="1CCBB2F6" w14:textId="4493C1A3" w:rsidR="00973707" w:rsidRPr="00E07C9A" w:rsidRDefault="00973707" w:rsidP="00AF3D7A">
            <w:pPr>
              <w:spacing w:beforeLines="60" w:before="144" w:afterLines="60" w:after="144"/>
              <w:rPr>
                <w:rFonts w:ascii="Times New Roman" w:hAnsi="Times New Roman"/>
                <w:b/>
                <w:caps/>
                <w:sz w:val="24"/>
                <w:u w:val="single"/>
              </w:rPr>
            </w:pPr>
            <w:r w:rsidRPr="00E07C9A">
              <w:rPr>
                <w:rFonts w:ascii="Times New Roman" w:hAnsi="Times New Roman"/>
                <w:b/>
                <w:caps/>
                <w:sz w:val="24"/>
                <w:u w:val="single"/>
              </w:rPr>
              <w:t>1.1.2.2.* Doplňujúca položka: dodatočné úpravy ocenenia znížené</w:t>
            </w:r>
            <w:r w:rsidR="009912F8" w:rsidRPr="00E07C9A">
              <w:rPr>
                <w:rFonts w:ascii="Times New Roman" w:hAnsi="Times New Roman"/>
                <w:b/>
                <w:caps/>
                <w:sz w:val="24"/>
                <w:u w:val="single"/>
              </w:rPr>
              <w:t xml:space="preserve"> o </w:t>
            </w:r>
            <w:r w:rsidRPr="00E07C9A">
              <w:rPr>
                <w:rFonts w:ascii="Times New Roman" w:hAnsi="Times New Roman"/>
                <w:b/>
                <w:caps/>
                <w:sz w:val="24"/>
                <w:u w:val="single"/>
              </w:rPr>
              <w:t>viac ako 90</w:t>
            </w:r>
            <w:r w:rsidR="009912F8" w:rsidRPr="00E07C9A">
              <w:rPr>
                <w:rFonts w:ascii="Times New Roman" w:hAnsi="Times New Roman"/>
              </w:rPr>
              <w:t> %</w:t>
            </w:r>
            <w:r w:rsidRPr="00E07C9A">
              <w:rPr>
                <w:rFonts w:ascii="Times New Roman" w:hAnsi="Times New Roman"/>
                <w:b/>
                <w:caps/>
                <w:sz w:val="24"/>
                <w:u w:val="single"/>
              </w:rPr>
              <w:t xml:space="preserve"> diverzifikáciou podľa metódy 2</w:t>
            </w:r>
          </w:p>
          <w:p w14:paraId="4D9D573E" w14:textId="6A365AB1" w:rsidR="00973707" w:rsidRPr="00E07C9A" w:rsidRDefault="00973707" w:rsidP="00DD41BE">
            <w:pPr>
              <w:spacing w:beforeLines="60" w:before="144" w:afterLines="60" w:after="144"/>
              <w:rPr>
                <w:rFonts w:ascii="Times New Roman" w:hAnsi="Times New Roman"/>
                <w:sz w:val="24"/>
              </w:rPr>
            </w:pPr>
            <w:r w:rsidRPr="00E07C9A">
              <w:rPr>
                <w:rFonts w:ascii="Times New Roman" w:hAnsi="Times New Roman"/>
                <w:sz w:val="24"/>
              </w:rPr>
              <w:t>Podľa terminológie metódy 2 súčet hodnôt FV – PV pre všetky expozície</w:t>
            </w:r>
            <w:r w:rsidR="009912F8" w:rsidRPr="00E07C9A">
              <w:rPr>
                <w:rFonts w:ascii="Times New Roman" w:hAnsi="Times New Roman"/>
                <w:sz w:val="24"/>
              </w:rPr>
              <w:t xml:space="preserve"> z </w:t>
            </w:r>
            <w:r w:rsidRPr="00E07C9A">
              <w:rPr>
                <w:rFonts w:ascii="Times New Roman" w:hAnsi="Times New Roman"/>
                <w:sz w:val="24"/>
              </w:rPr>
              <w:t>ocenenia, pre ktoré platí, že APVA &lt; 10</w:t>
            </w:r>
            <w:r w:rsidR="009912F8" w:rsidRPr="00E07C9A">
              <w:rPr>
                <w:rFonts w:ascii="Times New Roman" w:hAnsi="Times New Roman"/>
              </w:rPr>
              <w:t> %</w:t>
            </w:r>
            <w:r w:rsidRPr="00E07C9A">
              <w:rPr>
                <w:rFonts w:ascii="Times New Roman" w:hAnsi="Times New Roman"/>
                <w:sz w:val="24"/>
              </w:rPr>
              <w:t xml:space="preserve"> (FV – PV).</w:t>
            </w:r>
          </w:p>
        </w:tc>
      </w:tr>
      <w:tr w:rsidR="00973707" w:rsidRPr="00E07C9A" w14:paraId="695C844A" w14:textId="77777777" w:rsidTr="00672D2A">
        <w:tc>
          <w:tcPr>
            <w:tcW w:w="1101" w:type="dxa"/>
          </w:tcPr>
          <w:p w14:paraId="3F927554" w14:textId="77777777" w:rsidR="00973707" w:rsidRPr="00E07C9A" w:rsidRDefault="009A7A38" w:rsidP="00AF3D7A">
            <w:pPr>
              <w:spacing w:beforeLines="60" w:before="144" w:afterLines="60" w:after="144"/>
              <w:rPr>
                <w:rFonts w:ascii="Times New Roman" w:hAnsi="Times New Roman"/>
                <w:sz w:val="24"/>
              </w:rPr>
            </w:pPr>
            <w:r w:rsidRPr="00E07C9A">
              <w:rPr>
                <w:rFonts w:ascii="Times New Roman" w:hAnsi="Times New Roman"/>
                <w:sz w:val="24"/>
              </w:rPr>
              <w:t>0180</w:t>
            </w:r>
          </w:p>
        </w:tc>
        <w:tc>
          <w:tcPr>
            <w:tcW w:w="8187" w:type="dxa"/>
          </w:tcPr>
          <w:p w14:paraId="70ABDB19" w14:textId="77777777" w:rsidR="00973707" w:rsidRPr="00E07C9A" w:rsidRDefault="00973707" w:rsidP="00AF3D7A">
            <w:pPr>
              <w:spacing w:beforeLines="60" w:before="144" w:afterLines="60" w:after="144"/>
              <w:rPr>
                <w:rFonts w:ascii="Times New Roman" w:hAnsi="Times New Roman"/>
                <w:b/>
                <w:caps/>
                <w:sz w:val="24"/>
                <w:u w:val="single"/>
              </w:rPr>
            </w:pPr>
            <w:r w:rsidRPr="00E07C9A">
              <w:rPr>
                <w:rFonts w:ascii="Times New Roman" w:hAnsi="Times New Roman"/>
                <w:b/>
                <w:caps/>
                <w:sz w:val="24"/>
                <w:u w:val="single"/>
              </w:rPr>
              <w:t>1.2. Portfóliá vypočítané podľa rezervného prístupu</w:t>
            </w:r>
          </w:p>
          <w:p w14:paraId="0C014825" w14:textId="5E900872" w:rsidR="00973707" w:rsidRPr="00E07C9A" w:rsidRDefault="00973707" w:rsidP="00AF3D7A">
            <w:pPr>
              <w:spacing w:beforeLines="60" w:before="144" w:afterLines="60" w:after="144"/>
              <w:rPr>
                <w:rFonts w:ascii="Times New Roman" w:hAnsi="Times New Roman"/>
                <w:sz w:val="24"/>
              </w:rPr>
            </w:pPr>
            <w:r w:rsidRPr="00E07C9A">
              <w:rPr>
                <w:rFonts w:ascii="Times New Roman" w:hAnsi="Times New Roman"/>
                <w:sz w:val="24"/>
              </w:rPr>
              <w:t>Článok 7 ods. 2 písm. b) delegovaného nariadenia (EÚ) 2016/101</w:t>
            </w:r>
          </w:p>
          <w:p w14:paraId="2396CCB4" w14:textId="355FFCE1" w:rsidR="009912F8" w:rsidRPr="00E07C9A" w:rsidRDefault="00973707" w:rsidP="00AF3D7A">
            <w:pPr>
              <w:spacing w:beforeLines="60" w:before="144" w:afterLines="60" w:after="144"/>
              <w:rPr>
                <w:rFonts w:ascii="Times New Roman" w:hAnsi="Times New Roman"/>
                <w:sz w:val="24"/>
              </w:rPr>
            </w:pPr>
            <w:r w:rsidRPr="00E07C9A">
              <w:rPr>
                <w:rFonts w:ascii="Times New Roman" w:hAnsi="Times New Roman"/>
                <w:sz w:val="24"/>
              </w:rPr>
              <w:t>Pre portfóliá, na ktoré sa vzťahuje rezervný prístup podľa článku 7 ods. 2 písm. b) delegovaného nariadenia (EÚ) 2016/101, sa celková dodatočná úprava ocenenia vypočítava ako súčet riadkov 0190, 0200</w:t>
            </w:r>
            <w:r w:rsidR="009912F8" w:rsidRPr="00E07C9A">
              <w:rPr>
                <w:rFonts w:ascii="Times New Roman" w:hAnsi="Times New Roman"/>
                <w:sz w:val="24"/>
              </w:rPr>
              <w:t xml:space="preserve"> a </w:t>
            </w:r>
            <w:r w:rsidRPr="00E07C9A">
              <w:rPr>
                <w:rFonts w:ascii="Times New Roman" w:hAnsi="Times New Roman"/>
                <w:sz w:val="24"/>
              </w:rPr>
              <w:t>0210</w:t>
            </w:r>
            <w:r w:rsidR="009912F8" w:rsidRPr="00E07C9A">
              <w:rPr>
                <w:rFonts w:ascii="Times New Roman" w:hAnsi="Times New Roman"/>
                <w:sz w:val="24"/>
              </w:rPr>
              <w:t>.</w:t>
            </w:r>
          </w:p>
          <w:p w14:paraId="3C92DE07" w14:textId="5EB9A827" w:rsidR="00973707" w:rsidRPr="00E07C9A" w:rsidRDefault="00973707" w:rsidP="00A30C4C">
            <w:pPr>
              <w:spacing w:beforeLines="60" w:before="144" w:afterLines="60" w:after="144"/>
              <w:rPr>
                <w:rFonts w:ascii="Times New Roman" w:hAnsi="Times New Roman"/>
                <w:sz w:val="24"/>
              </w:rPr>
            </w:pPr>
            <w:r w:rsidRPr="00E07C9A">
              <w:rPr>
                <w:rFonts w:ascii="Times New Roman" w:hAnsi="Times New Roman"/>
                <w:sz w:val="24"/>
              </w:rPr>
              <w:t>Príslušná súvaha</w:t>
            </w:r>
            <w:r w:rsidR="009912F8" w:rsidRPr="00E07C9A">
              <w:rPr>
                <w:rFonts w:ascii="Times New Roman" w:hAnsi="Times New Roman"/>
                <w:sz w:val="24"/>
              </w:rPr>
              <w:t xml:space="preserve"> a </w:t>
            </w:r>
            <w:r w:rsidRPr="00E07C9A">
              <w:rPr>
                <w:rFonts w:ascii="Times New Roman" w:hAnsi="Times New Roman"/>
                <w:sz w:val="24"/>
              </w:rPr>
              <w:t>iné kontextové informácie sa uvádzajú</w:t>
            </w:r>
            <w:r w:rsidR="009912F8" w:rsidRPr="00E07C9A">
              <w:rPr>
                <w:rFonts w:ascii="Times New Roman" w:hAnsi="Times New Roman"/>
                <w:sz w:val="24"/>
              </w:rPr>
              <w:t xml:space="preserve"> v </w:t>
            </w:r>
            <w:r w:rsidRPr="00E07C9A">
              <w:rPr>
                <w:rFonts w:ascii="Times New Roman" w:hAnsi="Times New Roman"/>
                <w:sz w:val="24"/>
              </w:rPr>
              <w:t>stĺpcoch 0130 až 0260. Opis pozícií</w:t>
            </w:r>
            <w:r w:rsidR="009912F8" w:rsidRPr="00E07C9A">
              <w:rPr>
                <w:rFonts w:ascii="Times New Roman" w:hAnsi="Times New Roman"/>
                <w:sz w:val="24"/>
              </w:rPr>
              <w:t xml:space="preserve"> a </w:t>
            </w:r>
            <w:r w:rsidRPr="00E07C9A">
              <w:rPr>
                <w:rFonts w:ascii="Times New Roman" w:hAnsi="Times New Roman"/>
                <w:sz w:val="24"/>
              </w:rPr>
              <w:t>dôvod, pre ktorý nebolo možné uplatniť články 9 až 17 delegovaného nariadenia (EÚ) 2016/101, sa uvádzajú</w:t>
            </w:r>
            <w:r w:rsidR="009912F8" w:rsidRPr="00E07C9A">
              <w:rPr>
                <w:rFonts w:ascii="Times New Roman" w:hAnsi="Times New Roman"/>
                <w:sz w:val="24"/>
              </w:rPr>
              <w:t xml:space="preserve"> v </w:t>
            </w:r>
            <w:r w:rsidRPr="00E07C9A">
              <w:rPr>
                <w:rFonts w:ascii="Times New Roman" w:hAnsi="Times New Roman"/>
                <w:sz w:val="24"/>
              </w:rPr>
              <w:t xml:space="preserve">stĺpci 0270. </w:t>
            </w:r>
          </w:p>
        </w:tc>
      </w:tr>
      <w:tr w:rsidR="00973707" w:rsidRPr="00E07C9A" w14:paraId="02C37CDC" w14:textId="77777777" w:rsidTr="00672D2A">
        <w:tc>
          <w:tcPr>
            <w:tcW w:w="1101" w:type="dxa"/>
          </w:tcPr>
          <w:p w14:paraId="1D4BEB3E" w14:textId="77777777" w:rsidR="00973707" w:rsidRPr="00E07C9A" w:rsidRDefault="009A7A38" w:rsidP="00AF3D7A">
            <w:pPr>
              <w:spacing w:beforeLines="60" w:before="144" w:afterLines="60" w:after="144"/>
              <w:rPr>
                <w:rFonts w:ascii="Times New Roman" w:hAnsi="Times New Roman"/>
                <w:sz w:val="24"/>
              </w:rPr>
            </w:pPr>
            <w:r w:rsidRPr="00E07C9A">
              <w:rPr>
                <w:rFonts w:ascii="Times New Roman" w:hAnsi="Times New Roman"/>
                <w:sz w:val="24"/>
              </w:rPr>
              <w:t>0190</w:t>
            </w:r>
          </w:p>
        </w:tc>
        <w:tc>
          <w:tcPr>
            <w:tcW w:w="8187" w:type="dxa"/>
          </w:tcPr>
          <w:p w14:paraId="048C73A2" w14:textId="7CDE33D0" w:rsidR="00973707" w:rsidRPr="00E07C9A" w:rsidRDefault="00973707" w:rsidP="00AF3D7A">
            <w:pPr>
              <w:spacing w:beforeLines="60" w:before="144" w:afterLines="60" w:after="144"/>
              <w:rPr>
                <w:rFonts w:ascii="Times New Roman" w:hAnsi="Times New Roman"/>
                <w:b/>
                <w:caps/>
                <w:sz w:val="24"/>
                <w:u w:val="single"/>
              </w:rPr>
            </w:pPr>
            <w:r w:rsidRPr="00E07C9A">
              <w:rPr>
                <w:rFonts w:ascii="Times New Roman" w:hAnsi="Times New Roman"/>
                <w:b/>
                <w:caps/>
                <w:sz w:val="24"/>
                <w:u w:val="single"/>
              </w:rPr>
              <w:t>1.2.1. Rezervný prístup: 100</w:t>
            </w:r>
            <w:r w:rsidR="009912F8" w:rsidRPr="00E07C9A">
              <w:rPr>
                <w:rFonts w:ascii="Times New Roman" w:hAnsi="Times New Roman"/>
              </w:rPr>
              <w:t> %</w:t>
            </w:r>
            <w:r w:rsidRPr="00E07C9A">
              <w:rPr>
                <w:rFonts w:ascii="Times New Roman" w:hAnsi="Times New Roman"/>
                <w:b/>
                <w:caps/>
                <w:sz w:val="24"/>
                <w:u w:val="single"/>
              </w:rPr>
              <w:t xml:space="preserve"> nerealizovaného zisku</w:t>
            </w:r>
          </w:p>
          <w:p w14:paraId="1B3CB39E" w14:textId="08E9F487" w:rsidR="00973707" w:rsidRPr="00E07C9A" w:rsidRDefault="00973707" w:rsidP="00A07646">
            <w:pPr>
              <w:spacing w:beforeLines="60" w:before="144" w:afterLines="60" w:after="144"/>
              <w:rPr>
                <w:rFonts w:ascii="Times New Roman" w:hAnsi="Times New Roman"/>
                <w:sz w:val="24"/>
              </w:rPr>
            </w:pPr>
            <w:r w:rsidRPr="00E07C9A">
              <w:rPr>
                <w:rFonts w:ascii="Times New Roman" w:hAnsi="Times New Roman"/>
                <w:sz w:val="24"/>
              </w:rPr>
              <w:t>Článok 7 ods. 2 písm. b) bod i) delegovaného nariadenia (EÚ) 2016/101</w:t>
            </w:r>
          </w:p>
        </w:tc>
      </w:tr>
      <w:tr w:rsidR="00973707" w:rsidRPr="00E07C9A" w14:paraId="30054431" w14:textId="77777777" w:rsidTr="00672D2A">
        <w:tc>
          <w:tcPr>
            <w:tcW w:w="1101" w:type="dxa"/>
          </w:tcPr>
          <w:p w14:paraId="2099A9D6" w14:textId="77777777" w:rsidR="00973707" w:rsidRPr="00E07C9A" w:rsidRDefault="009A7A38" w:rsidP="00AF3D7A">
            <w:pPr>
              <w:spacing w:beforeLines="60" w:before="144" w:afterLines="60" w:after="144"/>
              <w:rPr>
                <w:rFonts w:ascii="Times New Roman" w:hAnsi="Times New Roman"/>
                <w:sz w:val="24"/>
              </w:rPr>
            </w:pPr>
            <w:r w:rsidRPr="00E07C9A">
              <w:rPr>
                <w:rFonts w:ascii="Times New Roman" w:hAnsi="Times New Roman"/>
                <w:sz w:val="24"/>
              </w:rPr>
              <w:t>0200</w:t>
            </w:r>
          </w:p>
        </w:tc>
        <w:tc>
          <w:tcPr>
            <w:tcW w:w="8187" w:type="dxa"/>
          </w:tcPr>
          <w:p w14:paraId="42154D23" w14:textId="2D1F0AA8" w:rsidR="00973707" w:rsidRPr="00E07C9A" w:rsidRDefault="00973707" w:rsidP="00AF3D7A">
            <w:pPr>
              <w:spacing w:beforeLines="60" w:before="144" w:afterLines="60" w:after="144"/>
              <w:rPr>
                <w:rFonts w:ascii="Times New Roman" w:hAnsi="Times New Roman"/>
                <w:b/>
                <w:caps/>
                <w:sz w:val="24"/>
                <w:u w:val="single"/>
              </w:rPr>
            </w:pPr>
            <w:r w:rsidRPr="00E07C9A">
              <w:rPr>
                <w:rFonts w:ascii="Times New Roman" w:hAnsi="Times New Roman"/>
                <w:b/>
                <w:caps/>
                <w:sz w:val="24"/>
                <w:u w:val="single"/>
              </w:rPr>
              <w:t>1.2.2. Rezervný prístup: 10</w:t>
            </w:r>
            <w:r w:rsidR="009912F8" w:rsidRPr="00E07C9A">
              <w:rPr>
                <w:rFonts w:ascii="Times New Roman" w:hAnsi="Times New Roman"/>
                <w:b/>
                <w:caps/>
                <w:sz w:val="24"/>
                <w:u w:val="single"/>
              </w:rPr>
              <w:t> %</w:t>
            </w:r>
            <w:r w:rsidRPr="00E07C9A">
              <w:rPr>
                <w:rFonts w:ascii="Times New Roman" w:hAnsi="Times New Roman"/>
              </w:rPr>
              <w:t xml:space="preserve"> </w:t>
            </w:r>
            <w:r w:rsidRPr="00E07C9A">
              <w:rPr>
                <w:rFonts w:ascii="Times New Roman" w:hAnsi="Times New Roman"/>
                <w:b/>
                <w:caps/>
                <w:sz w:val="24"/>
                <w:u w:val="single"/>
              </w:rPr>
              <w:t>nominálnej hodnoty</w:t>
            </w:r>
          </w:p>
          <w:p w14:paraId="463D12C1" w14:textId="0229DD37" w:rsidR="00973707" w:rsidRPr="00E07C9A" w:rsidRDefault="00A07646" w:rsidP="00A30C4C">
            <w:pPr>
              <w:spacing w:beforeLines="60" w:before="144" w:afterLines="60" w:after="144"/>
              <w:rPr>
                <w:rFonts w:ascii="Times New Roman" w:hAnsi="Times New Roman"/>
                <w:sz w:val="24"/>
              </w:rPr>
            </w:pPr>
            <w:r w:rsidRPr="00E07C9A">
              <w:rPr>
                <w:rFonts w:ascii="Times New Roman" w:hAnsi="Times New Roman"/>
                <w:sz w:val="24"/>
              </w:rPr>
              <w:t>Článok 7 ods. 2 písm. b) bod ii) delegovaného nariadenia (EÚ) 2016/101</w:t>
            </w:r>
          </w:p>
        </w:tc>
      </w:tr>
      <w:tr w:rsidR="00973707" w:rsidRPr="00E07C9A" w14:paraId="3FB1ABF8" w14:textId="77777777" w:rsidTr="00672D2A">
        <w:tc>
          <w:tcPr>
            <w:tcW w:w="1101" w:type="dxa"/>
          </w:tcPr>
          <w:p w14:paraId="5515C99E" w14:textId="77777777" w:rsidR="00973707" w:rsidRPr="00E07C9A" w:rsidRDefault="009A7A38" w:rsidP="00AF3D7A">
            <w:pPr>
              <w:spacing w:beforeLines="60" w:before="144" w:afterLines="60" w:after="144"/>
              <w:rPr>
                <w:rFonts w:ascii="Times New Roman" w:hAnsi="Times New Roman"/>
                <w:sz w:val="24"/>
              </w:rPr>
            </w:pPr>
            <w:r w:rsidRPr="00E07C9A">
              <w:rPr>
                <w:rFonts w:ascii="Times New Roman" w:hAnsi="Times New Roman"/>
                <w:sz w:val="24"/>
              </w:rPr>
              <w:t>0210</w:t>
            </w:r>
          </w:p>
        </w:tc>
        <w:tc>
          <w:tcPr>
            <w:tcW w:w="8187" w:type="dxa"/>
          </w:tcPr>
          <w:p w14:paraId="3FE4869E" w14:textId="688C9CBC" w:rsidR="00973707" w:rsidRPr="00E07C9A" w:rsidRDefault="00973707" w:rsidP="00AF3D7A">
            <w:pPr>
              <w:spacing w:beforeLines="60" w:before="144" w:afterLines="60" w:after="144"/>
              <w:rPr>
                <w:rFonts w:ascii="Times New Roman" w:hAnsi="Times New Roman"/>
                <w:b/>
                <w:caps/>
                <w:sz w:val="24"/>
                <w:u w:val="single"/>
              </w:rPr>
            </w:pPr>
            <w:r w:rsidRPr="00E07C9A">
              <w:rPr>
                <w:rFonts w:ascii="Times New Roman" w:hAnsi="Times New Roman"/>
                <w:b/>
                <w:caps/>
                <w:sz w:val="24"/>
                <w:u w:val="single"/>
              </w:rPr>
              <w:t>1.2.3. Rezervný prístup: 25</w:t>
            </w:r>
            <w:r w:rsidR="009912F8" w:rsidRPr="00E07C9A">
              <w:rPr>
                <w:rFonts w:ascii="Times New Roman" w:hAnsi="Times New Roman"/>
                <w:b/>
                <w:caps/>
                <w:sz w:val="24"/>
                <w:u w:val="single"/>
              </w:rPr>
              <w:t> %</w:t>
            </w:r>
            <w:r w:rsidRPr="00E07C9A">
              <w:rPr>
                <w:rFonts w:ascii="Times New Roman" w:hAnsi="Times New Roman"/>
                <w:b/>
                <w:caps/>
                <w:sz w:val="24"/>
                <w:u w:val="single"/>
              </w:rPr>
              <w:t xml:space="preserve"> počiatočnej hodnoty</w:t>
            </w:r>
          </w:p>
          <w:p w14:paraId="3D0D3B88" w14:textId="4DA16E3A" w:rsidR="00973707" w:rsidRPr="00E07C9A" w:rsidRDefault="00A07646" w:rsidP="00A30C4C">
            <w:pPr>
              <w:spacing w:beforeLines="60" w:before="144" w:afterLines="60" w:after="144"/>
              <w:rPr>
                <w:rFonts w:ascii="Times New Roman" w:hAnsi="Times New Roman"/>
                <w:sz w:val="24"/>
              </w:rPr>
            </w:pPr>
            <w:r w:rsidRPr="00E07C9A">
              <w:rPr>
                <w:rFonts w:ascii="Times New Roman" w:hAnsi="Times New Roman"/>
                <w:sz w:val="24"/>
              </w:rPr>
              <w:t>Článok 7 ods. 2 písm. b) bod iii) delegovaného nariadenia (EÚ) 2016/101</w:t>
            </w:r>
          </w:p>
        </w:tc>
      </w:tr>
    </w:tbl>
    <w:p w14:paraId="1E1F2196" w14:textId="77777777" w:rsidR="00973707" w:rsidRPr="00E07C9A" w:rsidRDefault="00973707" w:rsidP="00C61FF5">
      <w:pPr>
        <w:rPr>
          <w:rStyle w:val="InstructionsTabelleText"/>
          <w:rFonts w:ascii="Times New Roman" w:hAnsi="Times New Roman"/>
          <w:sz w:val="24"/>
        </w:rPr>
      </w:pPr>
    </w:p>
    <w:p w14:paraId="2B583ED3" w14:textId="77777777" w:rsidR="00B93FA1" w:rsidRPr="00E07C9A" w:rsidRDefault="00AF3D7A" w:rsidP="00B93FA1">
      <w:pPr>
        <w:pStyle w:val="Instructionsberschrift2"/>
        <w:numPr>
          <w:ilvl w:val="0"/>
          <w:numId w:val="0"/>
        </w:numPr>
        <w:ind w:left="357" w:hanging="357"/>
        <w:rPr>
          <w:rFonts w:ascii="Times New Roman" w:hAnsi="Times New Roman" w:cs="Times New Roman"/>
          <w:sz w:val="24"/>
          <w:u w:val="none"/>
        </w:rPr>
      </w:pPr>
      <w:bookmarkStart w:id="763" w:name="_Toc115857906"/>
      <w:r w:rsidRPr="00E07C9A">
        <w:rPr>
          <w:rFonts w:ascii="Times New Roman" w:hAnsi="Times New Roman" w:cs="Times New Roman"/>
          <w:sz w:val="24"/>
          <w:u w:val="none"/>
        </w:rPr>
        <w:t xml:space="preserve">6.3. </w:t>
      </w:r>
      <w:r w:rsidRPr="00E07C9A">
        <w:rPr>
          <w:rFonts w:ascii="Times New Roman" w:hAnsi="Times New Roman" w:cs="Times New Roman"/>
          <w:sz w:val="24"/>
        </w:rPr>
        <w:t>C 32.03 – Obozretné oceňovanie: dodatočná úprava ocenenia zohľadňujúca riziko modelov (PruVal 3)</w:t>
      </w:r>
      <w:bookmarkEnd w:id="763"/>
    </w:p>
    <w:p w14:paraId="5C3B9D4C" w14:textId="77777777" w:rsidR="009912F8" w:rsidRPr="00E07C9A" w:rsidRDefault="00B93FA1" w:rsidP="00B93FA1">
      <w:pPr>
        <w:pStyle w:val="Instructionsberschrift2"/>
        <w:numPr>
          <w:ilvl w:val="0"/>
          <w:numId w:val="0"/>
        </w:numPr>
        <w:ind w:left="357" w:hanging="357"/>
        <w:rPr>
          <w:rFonts w:ascii="Times New Roman" w:hAnsi="Times New Roman" w:cs="Times New Roman"/>
          <w:sz w:val="24"/>
          <w:u w:val="none"/>
        </w:rPr>
      </w:pPr>
      <w:bookmarkStart w:id="764" w:name="_Toc115857907"/>
      <w:r w:rsidRPr="00E07C9A">
        <w:rPr>
          <w:rFonts w:ascii="Times New Roman" w:hAnsi="Times New Roman" w:cs="Times New Roman"/>
          <w:sz w:val="24"/>
          <w:u w:val="none"/>
        </w:rPr>
        <w:t>6.3.1.</w:t>
      </w:r>
      <w:r w:rsidRPr="00E07C9A">
        <w:rPr>
          <w:rFonts w:ascii="Times New Roman" w:hAnsi="Times New Roman" w:cs="Times New Roman"/>
          <w:u w:val="none"/>
        </w:rPr>
        <w:tab/>
      </w:r>
      <w:r w:rsidRPr="00E07C9A">
        <w:rPr>
          <w:rFonts w:ascii="Times New Roman" w:hAnsi="Times New Roman" w:cs="Times New Roman"/>
          <w:sz w:val="24"/>
        </w:rPr>
        <w:t>Všeobecné poznámky</w:t>
      </w:r>
      <w:bookmarkEnd w:id="764"/>
    </w:p>
    <w:p w14:paraId="03B2FE9F" w14:textId="431DF9E3" w:rsidR="00AF3D7A" w:rsidRPr="00E07C9A" w:rsidRDefault="002A18DE" w:rsidP="00487A02">
      <w:pPr>
        <w:pStyle w:val="InstructionsText2"/>
        <w:numPr>
          <w:ilvl w:val="0"/>
          <w:numId w:val="0"/>
        </w:numPr>
        <w:ind w:left="1353" w:hanging="360"/>
      </w:pPr>
      <w:fldSimple w:instr=" seq paragraphs ">
        <w:r w:rsidR="00132AEE">
          <w:rPr>
            <w:noProof/>
          </w:rPr>
          <w:t>181</w:t>
        </w:r>
      </w:fldSimple>
      <w:r w:rsidR="00CE7221" w:rsidRPr="00E07C9A">
        <w:t>. Tento vzor vypĺňajú iba inštitúcie, ktoré prekračujú prahovú hodnotu uvedenú</w:t>
      </w:r>
      <w:r w:rsidR="009912F8" w:rsidRPr="00E07C9A">
        <w:t xml:space="preserve"> v </w:t>
      </w:r>
      <w:r w:rsidR="00CE7221" w:rsidRPr="00E07C9A">
        <w:t>článku 4 ods. 1 delegovaného nariadenia (EÚ) 2016/101 na svojej úrovni. Inštitúcie, ktoré sú súčasťou skupiny, ktorá prekračuje prahovú hodnotu na konsolidovanom základe, majú povinnosť vypĺňať tento vzor iba</w:t>
      </w:r>
      <w:r w:rsidR="009912F8" w:rsidRPr="00E07C9A">
        <w:t xml:space="preserve"> v </w:t>
      </w:r>
      <w:r w:rsidR="00CE7221" w:rsidRPr="00E07C9A">
        <w:t>položkách, pri ktorých takisto prekračujú prahovú hodnotu na svojej úrovni.</w:t>
      </w:r>
    </w:p>
    <w:p w14:paraId="04DED855" w14:textId="0A3FCB36" w:rsidR="00AF3D7A" w:rsidRPr="00E07C9A" w:rsidRDefault="002A18DE" w:rsidP="00487A02">
      <w:pPr>
        <w:pStyle w:val="InstructionsText2"/>
        <w:numPr>
          <w:ilvl w:val="0"/>
          <w:numId w:val="0"/>
        </w:numPr>
        <w:ind w:left="1353" w:hanging="360"/>
      </w:pPr>
      <w:fldSimple w:instr=" seq paragraphs ">
        <w:r w:rsidR="00132AEE">
          <w:rPr>
            <w:noProof/>
          </w:rPr>
          <w:t>182</w:t>
        </w:r>
      </w:fldSimple>
      <w:r w:rsidR="00CE7221" w:rsidRPr="00E07C9A">
        <w:t>. Tento vzor slúži na vykazovanie podrobností</w:t>
      </w:r>
      <w:r w:rsidR="009912F8" w:rsidRPr="00E07C9A">
        <w:t xml:space="preserve"> o </w:t>
      </w:r>
      <w:r w:rsidR="00CE7221" w:rsidRPr="00E07C9A">
        <w:t>20 najväčších samostatných dodatočných úpravách ocenenia zohľadňujúcich riziko modelov, pokiaľ ide</w:t>
      </w:r>
      <w:r w:rsidR="009912F8" w:rsidRPr="00E07C9A">
        <w:t xml:space="preserve"> o </w:t>
      </w:r>
      <w:r w:rsidR="00CE7221" w:rsidRPr="00E07C9A">
        <w:t>hodnotu dodatočnej úpravy ocenenia, ktorá prispieva</w:t>
      </w:r>
      <w:r w:rsidR="009912F8" w:rsidRPr="00E07C9A">
        <w:t xml:space="preserve"> k </w:t>
      </w:r>
      <w:r w:rsidR="00CE7221" w:rsidRPr="00E07C9A">
        <w:t>celkovej dodatočnej úprave ocenenia zohľadňujúcej riziko modelov na úrovni kategórie vypočítanej</w:t>
      </w:r>
      <w:r w:rsidR="009912F8" w:rsidRPr="00E07C9A">
        <w:t xml:space="preserve"> v </w:t>
      </w:r>
      <w:r w:rsidR="00CE7221" w:rsidRPr="00E07C9A">
        <w:t>súlade</w:t>
      </w:r>
      <w:r w:rsidR="009912F8" w:rsidRPr="00E07C9A">
        <w:t xml:space="preserve"> s </w:t>
      </w:r>
      <w:r w:rsidR="00CE7221" w:rsidRPr="00E07C9A">
        <w:t>článkom 11 delegovaného nariadenia (EÚ) 2016/101. Tieto informácie zodpovedajú informáciám vykázaným</w:t>
      </w:r>
      <w:r w:rsidR="009912F8" w:rsidRPr="00E07C9A">
        <w:t xml:space="preserve"> v </w:t>
      </w:r>
      <w:r w:rsidR="00CE7221" w:rsidRPr="00E07C9A">
        <w:t>stĺpci 0050 vzoru C 32.02.</w:t>
      </w:r>
    </w:p>
    <w:p w14:paraId="5BA23EF3" w14:textId="20A7588D" w:rsidR="009912F8" w:rsidRPr="00E07C9A" w:rsidRDefault="002A18DE" w:rsidP="00487A02">
      <w:pPr>
        <w:pStyle w:val="InstructionsText2"/>
        <w:numPr>
          <w:ilvl w:val="0"/>
          <w:numId w:val="0"/>
        </w:numPr>
        <w:ind w:left="1353" w:hanging="360"/>
      </w:pPr>
      <w:fldSimple w:instr=" seq paragraphs ">
        <w:r w:rsidR="00132AEE">
          <w:rPr>
            <w:noProof/>
          </w:rPr>
          <w:t>183</w:t>
        </w:r>
      </w:fldSimple>
      <w:r w:rsidR="00CE7221" w:rsidRPr="00E07C9A">
        <w:t>. Dvadsať najväčších samostatných dodatočných úprav ocenenia zohľadňujúcich riziko modelov</w:t>
      </w:r>
      <w:r w:rsidR="009912F8" w:rsidRPr="00E07C9A">
        <w:t xml:space="preserve"> a </w:t>
      </w:r>
      <w:r w:rsidR="00CE7221" w:rsidRPr="00E07C9A">
        <w:t>príslušné informácie</w:t>
      </w:r>
      <w:r w:rsidR="009912F8" w:rsidRPr="00E07C9A">
        <w:t xml:space="preserve"> o </w:t>
      </w:r>
      <w:r w:rsidR="00CE7221" w:rsidRPr="00E07C9A">
        <w:t>produktoch sa vykazujú</w:t>
      </w:r>
      <w:r w:rsidR="009912F8" w:rsidRPr="00E07C9A">
        <w:t xml:space="preserve"> v </w:t>
      </w:r>
      <w:r w:rsidR="00CE7221" w:rsidRPr="00E07C9A">
        <w:t>zostupnom poradí od najväčších samostatných dodatočných úprav ocenenia zohľadňujúcich riziko modelov</w:t>
      </w:r>
      <w:r w:rsidR="009912F8" w:rsidRPr="00E07C9A">
        <w:t>.</w:t>
      </w:r>
    </w:p>
    <w:p w14:paraId="4A3D1B4B" w14:textId="53C43B02" w:rsidR="009912F8" w:rsidRPr="00E07C9A" w:rsidRDefault="002A18DE" w:rsidP="00487A02">
      <w:pPr>
        <w:pStyle w:val="InstructionsText2"/>
        <w:numPr>
          <w:ilvl w:val="0"/>
          <w:numId w:val="0"/>
        </w:numPr>
        <w:ind w:left="1353" w:hanging="360"/>
      </w:pPr>
      <w:fldSimple w:instr=" seq paragraphs ">
        <w:r w:rsidR="00132AEE">
          <w:rPr>
            <w:noProof/>
          </w:rPr>
          <w:t>184</w:t>
        </w:r>
      </w:fldSimple>
      <w:r w:rsidR="00CE7221" w:rsidRPr="00E07C9A">
        <w:t>. Produkty zodpovedajúce týmto najväčším samostatným dodatočným úpravám ocenenia zohľadňujúcim riziko modelov sa vykazujú pomocou zoznamu produktov požadovaného</w:t>
      </w:r>
      <w:r w:rsidR="009912F8" w:rsidRPr="00E07C9A">
        <w:t xml:space="preserve"> v </w:t>
      </w:r>
      <w:r w:rsidR="00CE7221" w:rsidRPr="00E07C9A">
        <w:t>článku 19 ods. 3 písm. a) delegovaného nariadenia (EÚ) 2016/101</w:t>
      </w:r>
      <w:r w:rsidR="009912F8" w:rsidRPr="00E07C9A">
        <w:t>.</w:t>
      </w:r>
    </w:p>
    <w:p w14:paraId="6C4443E0" w14:textId="0DAFDC05" w:rsidR="00AF3D7A" w:rsidRPr="00E07C9A" w:rsidRDefault="002A18DE" w:rsidP="00487A02">
      <w:pPr>
        <w:pStyle w:val="InstructionsText2"/>
        <w:numPr>
          <w:ilvl w:val="0"/>
          <w:numId w:val="0"/>
        </w:numPr>
        <w:ind w:left="1353" w:hanging="360"/>
      </w:pPr>
      <w:fldSimple w:instr=" seq paragraphs ">
        <w:r w:rsidR="00132AEE">
          <w:rPr>
            <w:noProof/>
          </w:rPr>
          <w:t>185</w:t>
        </w:r>
      </w:fldSimple>
      <w:r w:rsidR="00CE7221" w:rsidRPr="00E07C9A">
        <w:t>.</w:t>
      </w:r>
      <w:r w:rsidR="009912F8" w:rsidRPr="00E07C9A">
        <w:t xml:space="preserve"> V </w:t>
      </w:r>
      <w:r w:rsidR="00CE7221" w:rsidRPr="00E07C9A">
        <w:t>prípade, keď sú produkty dostatočne homogénne, pokiaľ ide</w:t>
      </w:r>
      <w:r w:rsidR="009912F8" w:rsidRPr="00E07C9A">
        <w:t xml:space="preserve"> o </w:t>
      </w:r>
      <w:r w:rsidR="00CE7221" w:rsidRPr="00E07C9A">
        <w:t>model oceňovania</w:t>
      </w:r>
      <w:r w:rsidR="009912F8" w:rsidRPr="00E07C9A">
        <w:t xml:space="preserve"> a </w:t>
      </w:r>
      <w:r w:rsidR="00CE7221" w:rsidRPr="00E07C9A">
        <w:t>dodatočnú úpravu ocenenia zohľadňujúcu riziko modelov, zlúčia sa</w:t>
      </w:r>
      <w:r w:rsidR="009912F8" w:rsidRPr="00E07C9A">
        <w:t xml:space="preserve"> a </w:t>
      </w:r>
      <w:r w:rsidR="00CE7221" w:rsidRPr="00E07C9A">
        <w:t>uvedú sa na jednom riadku</w:t>
      </w:r>
      <w:r w:rsidR="009912F8" w:rsidRPr="00E07C9A">
        <w:t xml:space="preserve"> z </w:t>
      </w:r>
      <w:r w:rsidR="00CE7221" w:rsidRPr="00E07C9A">
        <w:t>dôvodu maximalizácie pokrytia údajov</w:t>
      </w:r>
      <w:r w:rsidR="009912F8" w:rsidRPr="00E07C9A">
        <w:t xml:space="preserve"> v </w:t>
      </w:r>
      <w:r w:rsidR="00CE7221" w:rsidRPr="00E07C9A">
        <w:t>tomto vzore, pokiaľ ide</w:t>
      </w:r>
      <w:r w:rsidR="009912F8" w:rsidRPr="00E07C9A">
        <w:t xml:space="preserve"> o </w:t>
      </w:r>
      <w:r w:rsidR="00CE7221" w:rsidRPr="00E07C9A">
        <w:t>celkovú dodatočnú úpravu ocenenia zohľadňujúcu riziko modelov na úrovni kategórie inštitúcie.</w:t>
      </w:r>
    </w:p>
    <w:p w14:paraId="11ECCAFC" w14:textId="16488E02" w:rsidR="00B93FA1" w:rsidRPr="00E07C9A" w:rsidRDefault="00B93FA1" w:rsidP="00B93FA1">
      <w:pPr>
        <w:pStyle w:val="Instructionsberschrift2"/>
        <w:numPr>
          <w:ilvl w:val="0"/>
          <w:numId w:val="0"/>
        </w:numPr>
        <w:ind w:left="357" w:hanging="357"/>
        <w:rPr>
          <w:rFonts w:ascii="Times New Roman" w:hAnsi="Times New Roman" w:cs="Times New Roman"/>
          <w:sz w:val="24"/>
        </w:rPr>
      </w:pPr>
      <w:bookmarkStart w:id="765" w:name="_Toc115857908"/>
      <w:r w:rsidRPr="00E07C9A">
        <w:rPr>
          <w:rFonts w:ascii="Times New Roman" w:hAnsi="Times New Roman" w:cs="Times New Roman"/>
          <w:sz w:val="24"/>
          <w:u w:val="none"/>
        </w:rPr>
        <w:t>6.3.2.</w:t>
      </w:r>
      <w:r w:rsidRPr="00E07C9A">
        <w:rPr>
          <w:rFonts w:ascii="Times New Roman" w:hAnsi="Times New Roman" w:cs="Times New Roman"/>
          <w:u w:val="none"/>
        </w:rPr>
        <w:tab/>
      </w:r>
      <w:r w:rsidRPr="00E07C9A">
        <w:rPr>
          <w:rFonts w:ascii="Times New Roman" w:hAnsi="Times New Roman" w:cs="Times New Roman"/>
          <w:sz w:val="24"/>
        </w:rPr>
        <w:t>Pokyny týkajúce sa konkrétnych pozícií</w:t>
      </w:r>
      <w:bookmarkEnd w:id="765"/>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6"/>
        <w:gridCol w:w="7906"/>
      </w:tblGrid>
      <w:tr w:rsidR="00113E45" w:rsidRPr="00E07C9A" w14:paraId="14530A45" w14:textId="77777777" w:rsidTr="00672D2A">
        <w:tc>
          <w:tcPr>
            <w:tcW w:w="9322" w:type="dxa"/>
            <w:gridSpan w:val="2"/>
            <w:shd w:val="clear" w:color="auto" w:fill="CCCCCC"/>
          </w:tcPr>
          <w:p w14:paraId="4433DA85" w14:textId="77777777" w:rsidR="00113E45" w:rsidRPr="00E07C9A" w:rsidRDefault="00113E45" w:rsidP="00E60B53">
            <w:pPr>
              <w:spacing w:beforeLines="60" w:before="144" w:afterLines="60" w:after="144"/>
              <w:rPr>
                <w:rFonts w:ascii="Times New Roman" w:hAnsi="Times New Roman"/>
                <w:b/>
                <w:sz w:val="24"/>
              </w:rPr>
            </w:pPr>
            <w:r w:rsidRPr="00E07C9A">
              <w:rPr>
                <w:rFonts w:ascii="Times New Roman" w:hAnsi="Times New Roman"/>
                <w:b/>
                <w:sz w:val="24"/>
              </w:rPr>
              <w:t>Stĺpce</w:t>
            </w:r>
          </w:p>
        </w:tc>
      </w:tr>
      <w:tr w:rsidR="00113E45" w:rsidRPr="00E07C9A" w14:paraId="44CD81B0" w14:textId="77777777" w:rsidTr="00672D2A">
        <w:tc>
          <w:tcPr>
            <w:tcW w:w="1101" w:type="dxa"/>
          </w:tcPr>
          <w:p w14:paraId="50BDA666" w14:textId="77777777" w:rsidR="00113E45" w:rsidRPr="00E07C9A" w:rsidRDefault="008136B4" w:rsidP="00E60B53">
            <w:pPr>
              <w:spacing w:beforeLines="60" w:before="144" w:afterLines="60" w:after="144"/>
              <w:rPr>
                <w:rFonts w:ascii="Times New Roman" w:hAnsi="Times New Roman"/>
                <w:sz w:val="24"/>
              </w:rPr>
            </w:pPr>
            <w:r w:rsidRPr="00E07C9A">
              <w:rPr>
                <w:rFonts w:ascii="Times New Roman" w:hAnsi="Times New Roman"/>
                <w:sz w:val="24"/>
              </w:rPr>
              <w:t>0005</w:t>
            </w:r>
          </w:p>
        </w:tc>
        <w:tc>
          <w:tcPr>
            <w:tcW w:w="8221" w:type="dxa"/>
          </w:tcPr>
          <w:p w14:paraId="16A56CC7" w14:textId="77777777" w:rsidR="00113E45" w:rsidRPr="00E07C9A" w:rsidRDefault="00113E45" w:rsidP="00E60B53">
            <w:pPr>
              <w:spacing w:beforeLines="60" w:before="144" w:afterLines="60" w:after="144"/>
              <w:rPr>
                <w:rFonts w:ascii="Times New Roman" w:hAnsi="Times New Roman"/>
                <w:b/>
                <w:sz w:val="24"/>
                <w:u w:val="single"/>
              </w:rPr>
            </w:pPr>
            <w:r w:rsidRPr="00E07C9A">
              <w:rPr>
                <w:rFonts w:ascii="Times New Roman" w:hAnsi="Times New Roman"/>
                <w:b/>
                <w:sz w:val="24"/>
                <w:u w:val="single"/>
              </w:rPr>
              <w:t>PORADIE</w:t>
            </w:r>
          </w:p>
          <w:p w14:paraId="634AB9F9" w14:textId="069134B9" w:rsidR="00113E45" w:rsidRPr="00E07C9A" w:rsidRDefault="00113E45" w:rsidP="00133396">
            <w:pPr>
              <w:spacing w:beforeLines="60" w:before="144" w:afterLines="60" w:after="144"/>
              <w:rPr>
                <w:rFonts w:ascii="Times New Roman" w:hAnsi="Times New Roman"/>
                <w:b/>
                <w:sz w:val="24"/>
                <w:u w:val="single"/>
              </w:rPr>
            </w:pPr>
            <w:r w:rsidRPr="00E07C9A">
              <w:rPr>
                <w:rFonts w:ascii="Times New Roman" w:hAnsi="Times New Roman"/>
                <w:sz w:val="24"/>
              </w:rPr>
              <w:t>Poradie je identifikátorom riadku</w:t>
            </w:r>
            <w:r w:rsidR="009912F8" w:rsidRPr="00E07C9A">
              <w:rPr>
                <w:rFonts w:ascii="Times New Roman" w:hAnsi="Times New Roman"/>
                <w:sz w:val="24"/>
              </w:rPr>
              <w:t xml:space="preserve"> a </w:t>
            </w:r>
            <w:r w:rsidRPr="00E07C9A">
              <w:rPr>
                <w:rFonts w:ascii="Times New Roman" w:hAnsi="Times New Roman"/>
                <w:sz w:val="24"/>
              </w:rPr>
              <w:t>musí byť pre každý riadok vzoru jedinečné. Riadi sa číselným poradím 1, 2, 3 atď., pričom číslo 1 je priradené najvýznamnejšej samostatnej dodatočnej úprave ocenenia zohľadňujúcej riziko modelov, číslo 2 druhej najvýznamnejšej atď.</w:t>
            </w:r>
          </w:p>
        </w:tc>
      </w:tr>
      <w:tr w:rsidR="00113E45" w:rsidRPr="00E07C9A" w14:paraId="7F38D61C" w14:textId="77777777" w:rsidTr="00672D2A">
        <w:tc>
          <w:tcPr>
            <w:tcW w:w="1101" w:type="dxa"/>
          </w:tcPr>
          <w:p w14:paraId="1AF51CEC" w14:textId="77777777" w:rsidR="00113E45" w:rsidRPr="00E07C9A" w:rsidRDefault="008136B4" w:rsidP="00E60B53">
            <w:pPr>
              <w:spacing w:beforeLines="60" w:before="144" w:afterLines="60" w:after="144"/>
              <w:rPr>
                <w:rFonts w:ascii="Times New Roman" w:hAnsi="Times New Roman"/>
                <w:sz w:val="24"/>
              </w:rPr>
            </w:pPr>
            <w:r w:rsidRPr="00E07C9A">
              <w:rPr>
                <w:rFonts w:ascii="Times New Roman" w:hAnsi="Times New Roman"/>
                <w:sz w:val="24"/>
              </w:rPr>
              <w:t>0010</w:t>
            </w:r>
          </w:p>
        </w:tc>
        <w:tc>
          <w:tcPr>
            <w:tcW w:w="8221" w:type="dxa"/>
          </w:tcPr>
          <w:p w14:paraId="4863575C" w14:textId="77777777" w:rsidR="00113E45" w:rsidRPr="00E07C9A" w:rsidRDefault="00113E45" w:rsidP="00E60B53">
            <w:pPr>
              <w:spacing w:beforeLines="60" w:before="144" w:afterLines="60" w:after="144"/>
              <w:rPr>
                <w:rFonts w:ascii="Times New Roman" w:hAnsi="Times New Roman"/>
                <w:b/>
                <w:sz w:val="24"/>
                <w:u w:val="single"/>
              </w:rPr>
            </w:pPr>
            <w:r w:rsidRPr="00E07C9A">
              <w:rPr>
                <w:rFonts w:ascii="Times New Roman" w:hAnsi="Times New Roman"/>
                <w:b/>
                <w:sz w:val="24"/>
                <w:u w:val="single"/>
              </w:rPr>
              <w:t>MODEL</w:t>
            </w:r>
          </w:p>
          <w:p w14:paraId="261B4528" w14:textId="77777777" w:rsidR="00113E45" w:rsidRPr="00E07C9A" w:rsidRDefault="00113E45" w:rsidP="00E60B53">
            <w:pPr>
              <w:spacing w:beforeLines="60" w:before="144" w:afterLines="60" w:after="144"/>
              <w:rPr>
                <w:rFonts w:ascii="Times New Roman" w:hAnsi="Times New Roman"/>
                <w:b/>
                <w:sz w:val="24"/>
                <w:u w:val="single"/>
              </w:rPr>
            </w:pPr>
            <w:r w:rsidRPr="00E07C9A">
              <w:rPr>
                <w:rFonts w:ascii="Times New Roman" w:hAnsi="Times New Roman"/>
                <w:sz w:val="24"/>
              </w:rPr>
              <w:t>Interný (alfanumerický) názov modelu, ktorý inštitúcia používa na jeho identifikáciu.</w:t>
            </w:r>
          </w:p>
        </w:tc>
      </w:tr>
      <w:tr w:rsidR="00113E45" w:rsidRPr="00E07C9A" w14:paraId="5F728AD7" w14:textId="77777777" w:rsidTr="00672D2A">
        <w:tc>
          <w:tcPr>
            <w:tcW w:w="1101" w:type="dxa"/>
          </w:tcPr>
          <w:p w14:paraId="427AF46C" w14:textId="77777777" w:rsidR="00113E45" w:rsidRPr="00E07C9A" w:rsidRDefault="008136B4" w:rsidP="00E60B53">
            <w:pPr>
              <w:spacing w:beforeLines="60" w:before="144" w:afterLines="60" w:after="144"/>
              <w:rPr>
                <w:rFonts w:ascii="Times New Roman" w:hAnsi="Times New Roman"/>
                <w:sz w:val="24"/>
              </w:rPr>
            </w:pPr>
            <w:r w:rsidRPr="00E07C9A">
              <w:rPr>
                <w:rFonts w:ascii="Times New Roman" w:hAnsi="Times New Roman"/>
                <w:sz w:val="24"/>
              </w:rPr>
              <w:t>0020</w:t>
            </w:r>
          </w:p>
        </w:tc>
        <w:tc>
          <w:tcPr>
            <w:tcW w:w="8221" w:type="dxa"/>
          </w:tcPr>
          <w:p w14:paraId="01FF9DA4" w14:textId="77777777" w:rsidR="00113E45" w:rsidRPr="00E07C9A" w:rsidRDefault="00113E45" w:rsidP="00E60B53">
            <w:pPr>
              <w:spacing w:beforeLines="60" w:before="144" w:afterLines="60" w:after="144"/>
              <w:rPr>
                <w:rFonts w:ascii="Times New Roman" w:hAnsi="Times New Roman"/>
                <w:b/>
                <w:sz w:val="24"/>
                <w:u w:val="single"/>
              </w:rPr>
            </w:pPr>
            <w:r w:rsidRPr="00E07C9A">
              <w:rPr>
                <w:rFonts w:ascii="Times New Roman" w:hAnsi="Times New Roman"/>
                <w:b/>
                <w:sz w:val="24"/>
                <w:u w:val="single"/>
              </w:rPr>
              <w:t>KATEGÓRIA RIZIKA</w:t>
            </w:r>
          </w:p>
          <w:p w14:paraId="464F5E37" w14:textId="7072CF1F" w:rsidR="00113E45" w:rsidRPr="00E07C9A" w:rsidRDefault="00113E45" w:rsidP="00E60B53">
            <w:pPr>
              <w:spacing w:beforeLines="60" w:before="144" w:afterLines="60" w:after="144"/>
              <w:rPr>
                <w:rFonts w:ascii="Times New Roman" w:hAnsi="Times New Roman"/>
                <w:sz w:val="24"/>
              </w:rPr>
            </w:pPr>
            <w:r w:rsidRPr="00E07C9A">
              <w:rPr>
                <w:rFonts w:ascii="Times New Roman" w:hAnsi="Times New Roman"/>
                <w:sz w:val="24"/>
              </w:rPr>
              <w:t>Kategória rizika (úrokové, devízové, kreditné, kapitálové, komoditné), ktorá najpresnejšie vystihuje produkt alebo skupinu produktov,</w:t>
            </w:r>
            <w:r w:rsidR="009912F8" w:rsidRPr="00E07C9A">
              <w:rPr>
                <w:rFonts w:ascii="Times New Roman" w:hAnsi="Times New Roman"/>
                <w:sz w:val="24"/>
              </w:rPr>
              <w:t xml:space="preserve"> z </w:t>
            </w:r>
            <w:r w:rsidRPr="00E07C9A">
              <w:rPr>
                <w:rFonts w:ascii="Times New Roman" w:hAnsi="Times New Roman"/>
                <w:sz w:val="24"/>
              </w:rPr>
              <w:t>ktorých vyplýva úprava ocenenia zohľadňujúca riziko modelov.</w:t>
            </w:r>
          </w:p>
          <w:p w14:paraId="6DDE4251" w14:textId="77777777" w:rsidR="00113E45" w:rsidRPr="00E07C9A" w:rsidRDefault="00113E45" w:rsidP="00E60B53">
            <w:pPr>
              <w:spacing w:beforeLines="60" w:before="144" w:afterLines="60" w:after="144"/>
              <w:rPr>
                <w:rFonts w:ascii="Times New Roman" w:hAnsi="Times New Roman"/>
                <w:sz w:val="24"/>
              </w:rPr>
            </w:pPr>
            <w:r w:rsidRPr="00E07C9A">
              <w:rPr>
                <w:rFonts w:ascii="Times New Roman" w:hAnsi="Times New Roman"/>
                <w:sz w:val="24"/>
              </w:rPr>
              <w:t>Inštitúcie vykazujú tieto kódy:</w:t>
            </w:r>
          </w:p>
          <w:p w14:paraId="02A30235" w14:textId="77777777" w:rsidR="00113E45" w:rsidRPr="00E07C9A" w:rsidRDefault="00113E45" w:rsidP="00E60B53">
            <w:pPr>
              <w:spacing w:beforeLines="60" w:before="144" w:afterLines="60" w:after="144"/>
              <w:rPr>
                <w:rFonts w:ascii="Times New Roman" w:hAnsi="Times New Roman"/>
                <w:sz w:val="24"/>
              </w:rPr>
            </w:pPr>
            <w:r w:rsidRPr="00E07C9A">
              <w:rPr>
                <w:rFonts w:ascii="Times New Roman" w:hAnsi="Times New Roman"/>
                <w:sz w:val="24"/>
              </w:rPr>
              <w:t>IR – úrokové,</w:t>
            </w:r>
          </w:p>
          <w:p w14:paraId="42986A92" w14:textId="77777777" w:rsidR="00A74B40" w:rsidRPr="00E07C9A" w:rsidRDefault="00A74B40" w:rsidP="00E60B53">
            <w:pPr>
              <w:spacing w:beforeLines="60" w:before="144" w:afterLines="60" w:after="144"/>
              <w:rPr>
                <w:rFonts w:ascii="Times New Roman" w:hAnsi="Times New Roman"/>
                <w:sz w:val="24"/>
              </w:rPr>
            </w:pPr>
            <w:r w:rsidRPr="00E07C9A">
              <w:rPr>
                <w:rFonts w:ascii="Times New Roman" w:hAnsi="Times New Roman"/>
                <w:sz w:val="24"/>
              </w:rPr>
              <w:t>FX – devízové,</w:t>
            </w:r>
          </w:p>
          <w:p w14:paraId="6C3D292C" w14:textId="77777777" w:rsidR="00113E45" w:rsidRPr="00E07C9A" w:rsidRDefault="00113E45" w:rsidP="00E60B53">
            <w:pPr>
              <w:spacing w:beforeLines="60" w:before="144" w:afterLines="60" w:after="144"/>
              <w:rPr>
                <w:rFonts w:ascii="Times New Roman" w:hAnsi="Times New Roman"/>
                <w:sz w:val="24"/>
              </w:rPr>
            </w:pPr>
            <w:r w:rsidRPr="00E07C9A">
              <w:rPr>
                <w:rFonts w:ascii="Times New Roman" w:hAnsi="Times New Roman"/>
                <w:sz w:val="24"/>
              </w:rPr>
              <w:t>CR – kreditné,</w:t>
            </w:r>
          </w:p>
          <w:p w14:paraId="01616E6E" w14:textId="77777777" w:rsidR="00113E45" w:rsidRPr="00E07C9A" w:rsidRDefault="00113E45" w:rsidP="00E60B53">
            <w:pPr>
              <w:spacing w:beforeLines="60" w:before="144" w:afterLines="60" w:after="144"/>
              <w:rPr>
                <w:rFonts w:ascii="Times New Roman" w:hAnsi="Times New Roman"/>
                <w:sz w:val="24"/>
              </w:rPr>
            </w:pPr>
            <w:r w:rsidRPr="00E07C9A">
              <w:rPr>
                <w:rFonts w:ascii="Times New Roman" w:hAnsi="Times New Roman"/>
                <w:sz w:val="24"/>
              </w:rPr>
              <w:t>EQ – kapitálové,</w:t>
            </w:r>
          </w:p>
          <w:p w14:paraId="11D625BD" w14:textId="77777777" w:rsidR="00113E45" w:rsidRPr="00E07C9A" w:rsidRDefault="00113E45" w:rsidP="00A74B40">
            <w:pPr>
              <w:spacing w:beforeLines="60" w:before="144" w:afterLines="60" w:after="144"/>
              <w:rPr>
                <w:rFonts w:ascii="Times New Roman" w:hAnsi="Times New Roman"/>
                <w:sz w:val="24"/>
              </w:rPr>
            </w:pPr>
            <w:r w:rsidRPr="00E07C9A">
              <w:rPr>
                <w:rFonts w:ascii="Times New Roman" w:hAnsi="Times New Roman"/>
                <w:sz w:val="24"/>
              </w:rPr>
              <w:t>CO – komoditné.</w:t>
            </w:r>
          </w:p>
        </w:tc>
      </w:tr>
      <w:tr w:rsidR="00113E45" w:rsidRPr="00E07C9A" w14:paraId="19393564" w14:textId="77777777" w:rsidTr="00672D2A">
        <w:tc>
          <w:tcPr>
            <w:tcW w:w="1101" w:type="dxa"/>
          </w:tcPr>
          <w:p w14:paraId="484554E0" w14:textId="77777777" w:rsidR="00113E45" w:rsidRPr="00E07C9A" w:rsidRDefault="008136B4" w:rsidP="00E60B53">
            <w:pPr>
              <w:spacing w:beforeLines="60" w:before="144" w:afterLines="60" w:after="144"/>
              <w:rPr>
                <w:rFonts w:ascii="Times New Roman" w:hAnsi="Times New Roman"/>
                <w:sz w:val="24"/>
              </w:rPr>
            </w:pPr>
            <w:r w:rsidRPr="00E07C9A">
              <w:rPr>
                <w:rFonts w:ascii="Times New Roman" w:hAnsi="Times New Roman"/>
                <w:sz w:val="24"/>
              </w:rPr>
              <w:t>0030</w:t>
            </w:r>
          </w:p>
        </w:tc>
        <w:tc>
          <w:tcPr>
            <w:tcW w:w="8221" w:type="dxa"/>
          </w:tcPr>
          <w:p w14:paraId="26D5F3C9" w14:textId="77777777" w:rsidR="00113E45" w:rsidRPr="00E07C9A" w:rsidRDefault="00113E45" w:rsidP="00E60B53">
            <w:pPr>
              <w:spacing w:beforeLines="60" w:before="144" w:afterLines="60" w:after="144"/>
              <w:rPr>
                <w:rFonts w:ascii="Times New Roman" w:hAnsi="Times New Roman"/>
                <w:b/>
                <w:sz w:val="24"/>
                <w:u w:val="single"/>
              </w:rPr>
            </w:pPr>
            <w:r w:rsidRPr="00E07C9A">
              <w:rPr>
                <w:rFonts w:ascii="Times New Roman" w:hAnsi="Times New Roman"/>
                <w:b/>
                <w:sz w:val="24"/>
                <w:u w:val="single"/>
              </w:rPr>
              <w:t>PRODUKT</w:t>
            </w:r>
          </w:p>
          <w:p w14:paraId="78F63AC3" w14:textId="56C5984D" w:rsidR="00113E45" w:rsidRPr="00E07C9A" w:rsidRDefault="00113E45" w:rsidP="00813B8E">
            <w:pPr>
              <w:spacing w:beforeLines="60" w:before="144" w:afterLines="60" w:after="144"/>
              <w:rPr>
                <w:rFonts w:ascii="Times New Roman" w:hAnsi="Times New Roman"/>
                <w:sz w:val="24"/>
              </w:rPr>
            </w:pPr>
            <w:r w:rsidRPr="00E07C9A">
              <w:rPr>
                <w:rFonts w:ascii="Times New Roman" w:hAnsi="Times New Roman"/>
                <w:sz w:val="24"/>
              </w:rPr>
              <w:t>Interný (alfanumerický) názov pre produkt alebo skupinu produktov</w:t>
            </w:r>
            <w:r w:rsidR="009912F8" w:rsidRPr="00E07C9A">
              <w:rPr>
                <w:rFonts w:ascii="Times New Roman" w:hAnsi="Times New Roman"/>
                <w:sz w:val="24"/>
              </w:rPr>
              <w:t xml:space="preserve"> v </w:t>
            </w:r>
            <w:r w:rsidRPr="00E07C9A">
              <w:rPr>
                <w:rFonts w:ascii="Times New Roman" w:hAnsi="Times New Roman"/>
                <w:sz w:val="24"/>
              </w:rPr>
              <w:t>súlade so zoznamom produktov požadovaným</w:t>
            </w:r>
            <w:r w:rsidR="009912F8" w:rsidRPr="00E07C9A">
              <w:rPr>
                <w:rFonts w:ascii="Times New Roman" w:hAnsi="Times New Roman"/>
                <w:sz w:val="24"/>
              </w:rPr>
              <w:t xml:space="preserve"> v </w:t>
            </w:r>
            <w:r w:rsidRPr="00E07C9A">
              <w:rPr>
                <w:rFonts w:ascii="Times New Roman" w:hAnsi="Times New Roman"/>
                <w:sz w:val="24"/>
              </w:rPr>
              <w:t>článku 19 ods. 3 písm. a) delegovaného nariadenia (EÚ) 2016/101, ktoré sú ocenené pomocou príslušného modelu.</w:t>
            </w:r>
          </w:p>
        </w:tc>
      </w:tr>
      <w:tr w:rsidR="00113E45" w:rsidRPr="00E07C9A" w14:paraId="23772C9E" w14:textId="77777777" w:rsidTr="00672D2A">
        <w:tc>
          <w:tcPr>
            <w:tcW w:w="1101" w:type="dxa"/>
          </w:tcPr>
          <w:p w14:paraId="42C1FC31" w14:textId="77777777" w:rsidR="00113E45" w:rsidRPr="00E07C9A" w:rsidRDefault="008136B4" w:rsidP="00E60B53">
            <w:pPr>
              <w:spacing w:beforeLines="60" w:before="144" w:afterLines="60" w:after="144"/>
              <w:rPr>
                <w:rFonts w:ascii="Times New Roman" w:hAnsi="Times New Roman"/>
                <w:sz w:val="24"/>
              </w:rPr>
            </w:pPr>
            <w:r w:rsidRPr="00E07C9A">
              <w:rPr>
                <w:rFonts w:ascii="Times New Roman" w:hAnsi="Times New Roman"/>
                <w:sz w:val="24"/>
              </w:rPr>
              <w:t>0040</w:t>
            </w:r>
          </w:p>
        </w:tc>
        <w:tc>
          <w:tcPr>
            <w:tcW w:w="8221" w:type="dxa"/>
          </w:tcPr>
          <w:p w14:paraId="26F4CCDA" w14:textId="77777777" w:rsidR="00113E45" w:rsidRPr="00E07C9A" w:rsidRDefault="00113E45" w:rsidP="00E60B53">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ZISTITEĽNOSŤ</w:t>
            </w:r>
          </w:p>
          <w:p w14:paraId="18639400" w14:textId="08BBAFEC" w:rsidR="00113E45" w:rsidRPr="00E07C9A" w:rsidRDefault="00113E45" w:rsidP="00E60B53">
            <w:pPr>
              <w:pStyle w:val="CommentText"/>
              <w:rPr>
                <w:rFonts w:ascii="Times New Roman" w:hAnsi="Times New Roman"/>
                <w:sz w:val="24"/>
                <w:szCs w:val="24"/>
              </w:rPr>
            </w:pPr>
            <w:r w:rsidRPr="00E07C9A">
              <w:rPr>
                <w:rFonts w:ascii="Times New Roman" w:hAnsi="Times New Roman"/>
                <w:sz w:val="24"/>
              </w:rPr>
              <w:t>Počet pozorovaní cien pre daný produkt alebo skupinu produktov</w:t>
            </w:r>
            <w:r w:rsidR="009912F8" w:rsidRPr="00E07C9A">
              <w:rPr>
                <w:rFonts w:ascii="Times New Roman" w:hAnsi="Times New Roman"/>
                <w:sz w:val="24"/>
              </w:rPr>
              <w:t xml:space="preserve"> v </w:t>
            </w:r>
            <w:r w:rsidRPr="00E07C9A">
              <w:rPr>
                <w:rFonts w:ascii="Times New Roman" w:hAnsi="Times New Roman"/>
                <w:sz w:val="24"/>
              </w:rPr>
              <w:t>posledných dvanástich mesiacoch, ktoré spĺňajú jedno</w:t>
            </w:r>
            <w:r w:rsidR="009912F8" w:rsidRPr="00E07C9A">
              <w:rPr>
                <w:rFonts w:ascii="Times New Roman" w:hAnsi="Times New Roman"/>
                <w:sz w:val="24"/>
              </w:rPr>
              <w:t xml:space="preserve"> z </w:t>
            </w:r>
            <w:r w:rsidRPr="00E07C9A">
              <w:rPr>
                <w:rFonts w:ascii="Times New Roman" w:hAnsi="Times New Roman"/>
                <w:sz w:val="24"/>
              </w:rPr>
              <w:t>týchto kritérií:</w:t>
            </w:r>
          </w:p>
          <w:p w14:paraId="3F317E72" w14:textId="77777777" w:rsidR="00113E45" w:rsidRPr="00E07C9A" w:rsidRDefault="00113E45" w:rsidP="005C4397">
            <w:pPr>
              <w:pStyle w:val="CommentText"/>
              <w:numPr>
                <w:ilvl w:val="0"/>
                <w:numId w:val="22"/>
              </w:numPr>
              <w:rPr>
                <w:rFonts w:ascii="Times New Roman" w:hAnsi="Times New Roman"/>
                <w:sz w:val="24"/>
                <w:szCs w:val="24"/>
              </w:rPr>
            </w:pPr>
            <w:r w:rsidRPr="00E07C9A">
              <w:rPr>
                <w:rFonts w:ascii="Times New Roman" w:hAnsi="Times New Roman"/>
                <w:sz w:val="24"/>
              </w:rPr>
              <w:t>pozorovanie ceny je cena, pri ktorej inštitúcia uskutočnila transakciu;</w:t>
            </w:r>
          </w:p>
          <w:p w14:paraId="68CCA8F6" w14:textId="77777777" w:rsidR="00113E45" w:rsidRPr="00E07C9A" w:rsidRDefault="00113E45" w:rsidP="005C4397">
            <w:pPr>
              <w:pStyle w:val="CommentText"/>
              <w:numPr>
                <w:ilvl w:val="0"/>
                <w:numId w:val="22"/>
              </w:numPr>
              <w:rPr>
                <w:rFonts w:ascii="Times New Roman" w:hAnsi="Times New Roman"/>
                <w:sz w:val="24"/>
                <w:szCs w:val="24"/>
              </w:rPr>
            </w:pPr>
            <w:r w:rsidRPr="00E07C9A">
              <w:rPr>
                <w:rFonts w:ascii="Times New Roman" w:hAnsi="Times New Roman"/>
                <w:sz w:val="24"/>
              </w:rPr>
              <w:t>je to overiteľná cena za skutočnú transakciu medzi tretími stranami;</w:t>
            </w:r>
          </w:p>
          <w:p w14:paraId="0E7AE57F" w14:textId="18EB90F3" w:rsidR="00113E45" w:rsidRPr="00E07C9A" w:rsidRDefault="00113E45" w:rsidP="005C4397">
            <w:pPr>
              <w:pStyle w:val="CommentText"/>
              <w:numPr>
                <w:ilvl w:val="0"/>
                <w:numId w:val="22"/>
              </w:numPr>
              <w:rPr>
                <w:rFonts w:ascii="Times New Roman" w:hAnsi="Times New Roman"/>
                <w:sz w:val="24"/>
                <w:szCs w:val="24"/>
              </w:rPr>
            </w:pPr>
            <w:r w:rsidRPr="00E07C9A">
              <w:rPr>
                <w:rFonts w:ascii="Times New Roman" w:hAnsi="Times New Roman"/>
                <w:sz w:val="24"/>
              </w:rPr>
              <w:t>cena sa získava</w:t>
            </w:r>
            <w:r w:rsidR="009912F8" w:rsidRPr="00E07C9A">
              <w:rPr>
                <w:rFonts w:ascii="Times New Roman" w:hAnsi="Times New Roman"/>
                <w:sz w:val="24"/>
              </w:rPr>
              <w:t xml:space="preserve"> z </w:t>
            </w:r>
            <w:r w:rsidRPr="00E07C9A">
              <w:rPr>
                <w:rFonts w:ascii="Times New Roman" w:hAnsi="Times New Roman"/>
                <w:sz w:val="24"/>
              </w:rPr>
              <w:t>viazanej kotácie.</w:t>
            </w:r>
          </w:p>
          <w:p w14:paraId="1BC303D8" w14:textId="326501D6" w:rsidR="00113E45" w:rsidRPr="00E07C9A" w:rsidRDefault="00113E45" w:rsidP="008136B4">
            <w:pPr>
              <w:pStyle w:val="CommentText"/>
              <w:rPr>
                <w:rStyle w:val="InstructionsTabelleberschrift"/>
                <w:rFonts w:ascii="Times New Roman" w:hAnsi="Times New Roman"/>
                <w:b w:val="0"/>
                <w:sz w:val="24"/>
                <w:szCs w:val="24"/>
                <w:u w:val="none"/>
              </w:rPr>
            </w:pPr>
            <w:r w:rsidRPr="00E07C9A">
              <w:rPr>
                <w:rFonts w:ascii="Times New Roman" w:hAnsi="Times New Roman"/>
                <w:sz w:val="24"/>
              </w:rPr>
              <w:t>Inštitúcie vykazujú jednu</w:t>
            </w:r>
            <w:r w:rsidR="009912F8" w:rsidRPr="00E07C9A">
              <w:rPr>
                <w:rFonts w:ascii="Times New Roman" w:hAnsi="Times New Roman"/>
                <w:sz w:val="24"/>
              </w:rPr>
              <w:t xml:space="preserve"> z </w:t>
            </w:r>
            <w:r w:rsidRPr="00E07C9A">
              <w:rPr>
                <w:rFonts w:ascii="Times New Roman" w:hAnsi="Times New Roman"/>
                <w:sz w:val="24"/>
              </w:rPr>
              <w:t>týchto hodnôt: „žiadna“, „1 – 6“, „6 – 24“, „24 – 100“, „100+“.</w:t>
            </w:r>
          </w:p>
        </w:tc>
      </w:tr>
      <w:tr w:rsidR="00113E45" w:rsidRPr="00E07C9A" w14:paraId="56CD6375" w14:textId="77777777" w:rsidTr="00672D2A">
        <w:tc>
          <w:tcPr>
            <w:tcW w:w="1101" w:type="dxa"/>
          </w:tcPr>
          <w:p w14:paraId="2DF77740" w14:textId="77777777" w:rsidR="00113E45" w:rsidRPr="00E07C9A" w:rsidRDefault="008136B4" w:rsidP="00E60B53">
            <w:pPr>
              <w:spacing w:beforeLines="60" w:before="144" w:afterLines="60" w:after="144"/>
              <w:rPr>
                <w:rFonts w:ascii="Times New Roman" w:hAnsi="Times New Roman"/>
                <w:sz w:val="24"/>
              </w:rPr>
            </w:pPr>
            <w:r w:rsidRPr="00E07C9A">
              <w:rPr>
                <w:rFonts w:ascii="Times New Roman" w:hAnsi="Times New Roman"/>
                <w:sz w:val="24"/>
              </w:rPr>
              <w:t>0050</w:t>
            </w:r>
          </w:p>
        </w:tc>
        <w:tc>
          <w:tcPr>
            <w:tcW w:w="8221" w:type="dxa"/>
          </w:tcPr>
          <w:p w14:paraId="09A6A187" w14:textId="77777777" w:rsidR="00113E45" w:rsidRPr="00E07C9A" w:rsidRDefault="00113E45" w:rsidP="00E60B53">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DODATOČNÁ ÚPRAVA OCENENIA ZOHĽADŇUJÚCA RIZIKO MODELOV</w:t>
            </w:r>
          </w:p>
          <w:p w14:paraId="588F7243" w14:textId="77777777" w:rsidR="00113E45" w:rsidRPr="00E07C9A" w:rsidRDefault="00113E45" w:rsidP="00E60B53">
            <w:pPr>
              <w:spacing w:beforeLines="60" w:before="144" w:afterLines="60" w:after="144"/>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Článok 11 ods. 1</w:t>
            </w:r>
            <w:r w:rsidRPr="00E07C9A">
              <w:rPr>
                <w:rFonts w:ascii="Times New Roman" w:hAnsi="Times New Roman"/>
                <w:sz w:val="24"/>
              </w:rPr>
              <w:t xml:space="preserve"> delegovaného nariadenia (EÚ) 2016/101</w:t>
            </w:r>
          </w:p>
          <w:p w14:paraId="121F535A" w14:textId="3641C527" w:rsidR="00113E45" w:rsidRPr="00E07C9A" w:rsidRDefault="00113E45" w:rsidP="00E60B53">
            <w:pPr>
              <w:spacing w:beforeLines="60" w:before="144" w:afterLines="60" w:after="144"/>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Samostatná dodatočná úprava ocenenia zohľadňujúca riziko modelov pred zohľadnením výhody diverzifikácie, ale po započítaní portfólií</w:t>
            </w:r>
            <w:r w:rsidR="009912F8" w:rsidRPr="00E07C9A">
              <w:rPr>
                <w:rStyle w:val="InstructionsTabelleberschrift"/>
                <w:rFonts w:ascii="Times New Roman" w:hAnsi="Times New Roman"/>
                <w:b w:val="0"/>
                <w:sz w:val="24"/>
                <w:u w:val="none"/>
              </w:rPr>
              <w:t xml:space="preserve"> v </w:t>
            </w:r>
            <w:r w:rsidRPr="00E07C9A">
              <w:rPr>
                <w:rStyle w:val="InstructionsTabelleberschrift"/>
                <w:rFonts w:ascii="Times New Roman" w:hAnsi="Times New Roman"/>
                <w:b w:val="0"/>
                <w:sz w:val="24"/>
                <w:u w:val="none"/>
              </w:rPr>
              <w:t>príslušných prípadoch.</w:t>
            </w:r>
          </w:p>
        </w:tc>
      </w:tr>
      <w:tr w:rsidR="00113E45" w:rsidRPr="00E07C9A" w14:paraId="76952622" w14:textId="77777777" w:rsidTr="00672D2A">
        <w:tc>
          <w:tcPr>
            <w:tcW w:w="1101" w:type="dxa"/>
          </w:tcPr>
          <w:p w14:paraId="206D6F73" w14:textId="77777777" w:rsidR="00113E45" w:rsidRPr="00E07C9A" w:rsidRDefault="008136B4" w:rsidP="00E60B53">
            <w:pPr>
              <w:spacing w:beforeLines="60" w:before="144" w:afterLines="60" w:after="144"/>
              <w:rPr>
                <w:rFonts w:ascii="Times New Roman" w:hAnsi="Times New Roman"/>
                <w:sz w:val="24"/>
              </w:rPr>
            </w:pPr>
            <w:r w:rsidRPr="00E07C9A">
              <w:rPr>
                <w:rFonts w:ascii="Times New Roman" w:hAnsi="Times New Roman"/>
                <w:sz w:val="24"/>
              </w:rPr>
              <w:t>0060</w:t>
            </w:r>
          </w:p>
        </w:tc>
        <w:tc>
          <w:tcPr>
            <w:tcW w:w="8221" w:type="dxa"/>
          </w:tcPr>
          <w:p w14:paraId="2159507E" w14:textId="77777777" w:rsidR="00113E45" w:rsidRPr="00E07C9A" w:rsidRDefault="00113E45" w:rsidP="00E60B53">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Z ČOHO: POMOCOU PRÍSTUPU ZALOŽENÉHO NA ODBORNOM POSUDKU</w:t>
            </w:r>
          </w:p>
          <w:p w14:paraId="7A71B0B6" w14:textId="76124F4D" w:rsidR="00113E45" w:rsidRPr="00E07C9A" w:rsidRDefault="00113E45" w:rsidP="004B572C">
            <w:pPr>
              <w:spacing w:beforeLines="60" w:before="144" w:afterLines="60" w:after="144"/>
              <w:rPr>
                <w:rStyle w:val="InstructionsTabelleberschrift"/>
                <w:rFonts w:ascii="Times New Roman" w:hAnsi="Times New Roman"/>
                <w:sz w:val="24"/>
                <w:u w:val="none"/>
              </w:rPr>
            </w:pPr>
            <w:r w:rsidRPr="00E07C9A">
              <w:rPr>
                <w:rFonts w:ascii="Times New Roman" w:hAnsi="Times New Roman"/>
                <w:sz w:val="24"/>
              </w:rPr>
              <w:t>Hodnoty</w:t>
            </w:r>
            <w:r w:rsidR="009912F8" w:rsidRPr="00E07C9A">
              <w:rPr>
                <w:rFonts w:ascii="Times New Roman" w:hAnsi="Times New Roman"/>
                <w:sz w:val="24"/>
              </w:rPr>
              <w:t xml:space="preserve"> v </w:t>
            </w:r>
            <w:r w:rsidRPr="00E07C9A">
              <w:rPr>
                <w:rFonts w:ascii="Times New Roman" w:hAnsi="Times New Roman"/>
                <w:sz w:val="24"/>
              </w:rPr>
              <w:t>stĺpci 0050, ktoré boli vypočítané na základe prístupu založeného na odbornom posudku uvedeného</w:t>
            </w:r>
            <w:r w:rsidR="009912F8" w:rsidRPr="00E07C9A">
              <w:rPr>
                <w:rFonts w:ascii="Times New Roman" w:hAnsi="Times New Roman"/>
                <w:sz w:val="24"/>
              </w:rPr>
              <w:t xml:space="preserve"> v </w:t>
            </w:r>
            <w:r w:rsidRPr="00E07C9A">
              <w:rPr>
                <w:rFonts w:ascii="Times New Roman" w:hAnsi="Times New Roman"/>
                <w:sz w:val="24"/>
              </w:rPr>
              <w:t>článku 11 ods. 4 delegovaného nariadenia (EÚ) 2016/101.</w:t>
            </w:r>
          </w:p>
        </w:tc>
      </w:tr>
      <w:tr w:rsidR="00113E45" w:rsidRPr="00E07C9A" w14:paraId="761DA808" w14:textId="77777777" w:rsidTr="00672D2A">
        <w:tc>
          <w:tcPr>
            <w:tcW w:w="1101" w:type="dxa"/>
          </w:tcPr>
          <w:p w14:paraId="52E4D578" w14:textId="77777777" w:rsidR="00113E45" w:rsidRPr="00E07C9A" w:rsidRDefault="008136B4" w:rsidP="00E60B53">
            <w:pPr>
              <w:spacing w:beforeLines="60" w:before="144" w:afterLines="60" w:after="144"/>
              <w:rPr>
                <w:rFonts w:ascii="Times New Roman" w:hAnsi="Times New Roman"/>
                <w:sz w:val="24"/>
              </w:rPr>
            </w:pPr>
            <w:r w:rsidRPr="00E07C9A">
              <w:rPr>
                <w:rFonts w:ascii="Times New Roman" w:hAnsi="Times New Roman"/>
                <w:sz w:val="24"/>
              </w:rPr>
              <w:t>0070</w:t>
            </w:r>
          </w:p>
        </w:tc>
        <w:tc>
          <w:tcPr>
            <w:tcW w:w="8221" w:type="dxa"/>
          </w:tcPr>
          <w:p w14:paraId="2FDE44D2" w14:textId="77777777" w:rsidR="00113E45" w:rsidRPr="00E07C9A" w:rsidRDefault="00113E45" w:rsidP="00E60B53">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Z ČOHO: AGREGOVANÉ PODĽA METÓDY 2</w:t>
            </w:r>
          </w:p>
          <w:p w14:paraId="7D02F929" w14:textId="74F78DE4" w:rsidR="00113E45" w:rsidRPr="00E07C9A" w:rsidRDefault="00113E45" w:rsidP="00127986">
            <w:pPr>
              <w:spacing w:beforeLines="60" w:before="144" w:afterLines="60" w:after="144"/>
              <w:rPr>
                <w:rStyle w:val="InstructionsTabelleberschrift"/>
                <w:rFonts w:ascii="Times New Roman" w:hAnsi="Times New Roman"/>
                <w:sz w:val="24"/>
              </w:rPr>
            </w:pPr>
            <w:r w:rsidRPr="00E07C9A">
              <w:rPr>
                <w:rFonts w:ascii="Times New Roman" w:hAnsi="Times New Roman"/>
                <w:sz w:val="24"/>
              </w:rPr>
              <w:t>Hodnoty</w:t>
            </w:r>
            <w:r w:rsidR="009912F8" w:rsidRPr="00E07C9A">
              <w:rPr>
                <w:rFonts w:ascii="Times New Roman" w:hAnsi="Times New Roman"/>
                <w:sz w:val="24"/>
              </w:rPr>
              <w:t xml:space="preserve"> v </w:t>
            </w:r>
            <w:r w:rsidRPr="00E07C9A">
              <w:rPr>
                <w:rFonts w:ascii="Times New Roman" w:hAnsi="Times New Roman"/>
                <w:sz w:val="24"/>
              </w:rPr>
              <w:t>stĺpci 0050, ktoré boli agregované podľa metódy 2 uvedenej</w:t>
            </w:r>
            <w:r w:rsidR="009912F8" w:rsidRPr="00E07C9A">
              <w:rPr>
                <w:rFonts w:ascii="Times New Roman" w:hAnsi="Times New Roman"/>
                <w:sz w:val="24"/>
              </w:rPr>
              <w:t xml:space="preserve"> v </w:t>
            </w:r>
            <w:r w:rsidRPr="00E07C9A">
              <w:rPr>
                <w:rFonts w:ascii="Times New Roman" w:hAnsi="Times New Roman"/>
                <w:sz w:val="24"/>
              </w:rPr>
              <w:t>prílohe</w:t>
            </w:r>
            <w:r w:rsidR="009912F8" w:rsidRPr="00E07C9A">
              <w:rPr>
                <w:rFonts w:ascii="Times New Roman" w:hAnsi="Times New Roman"/>
                <w:sz w:val="24"/>
              </w:rPr>
              <w:t xml:space="preserve"> k </w:t>
            </w:r>
            <w:r w:rsidRPr="00E07C9A">
              <w:rPr>
                <w:rFonts w:ascii="Times New Roman" w:hAnsi="Times New Roman"/>
                <w:sz w:val="24"/>
              </w:rPr>
              <w:t xml:space="preserve">delegovanému nariadeniu (EÚ) 2016/101. Tieto hodnoty zodpovedajú hodnote FV – PV podľa terminológie danej prílohy. </w:t>
            </w:r>
          </w:p>
        </w:tc>
      </w:tr>
      <w:tr w:rsidR="00113E45" w:rsidRPr="00E07C9A" w14:paraId="619140B5" w14:textId="77777777" w:rsidTr="00672D2A">
        <w:tc>
          <w:tcPr>
            <w:tcW w:w="1101" w:type="dxa"/>
          </w:tcPr>
          <w:p w14:paraId="6AC42AC6" w14:textId="77777777" w:rsidR="00113E45" w:rsidRPr="00E07C9A" w:rsidRDefault="008136B4" w:rsidP="00E60B53">
            <w:pPr>
              <w:spacing w:beforeLines="60" w:before="144" w:afterLines="60" w:after="144"/>
              <w:rPr>
                <w:rFonts w:ascii="Times New Roman" w:hAnsi="Times New Roman"/>
                <w:sz w:val="24"/>
              </w:rPr>
            </w:pPr>
            <w:r w:rsidRPr="00E07C9A">
              <w:rPr>
                <w:rFonts w:ascii="Times New Roman" w:hAnsi="Times New Roman"/>
                <w:sz w:val="24"/>
              </w:rPr>
              <w:t>0080</w:t>
            </w:r>
          </w:p>
        </w:tc>
        <w:tc>
          <w:tcPr>
            <w:tcW w:w="8221" w:type="dxa"/>
          </w:tcPr>
          <w:p w14:paraId="02A9CF1E" w14:textId="77777777" w:rsidR="00113E45" w:rsidRPr="00E07C9A" w:rsidRDefault="00113E45" w:rsidP="00E60B53">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AGREGOVANÉ DODATOČNÉ ÚPRAVY OCENENIA VYPOČÍTANÉ PODĽA METÓDY 2</w:t>
            </w:r>
          </w:p>
          <w:p w14:paraId="477B55A4" w14:textId="32DFF150" w:rsidR="00113E45" w:rsidRPr="00E07C9A" w:rsidRDefault="00113E45" w:rsidP="000E40DD">
            <w:pPr>
              <w:spacing w:beforeLines="60" w:before="144" w:afterLines="60" w:after="144"/>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Príspevok samostatných dodatočných úprav ocenenia zohľadňujúcich riziko modelov, ktoré sú agregované podľa metódy 2 prílohy</w:t>
            </w:r>
            <w:r w:rsidR="009912F8" w:rsidRPr="00E07C9A">
              <w:rPr>
                <w:rStyle w:val="InstructionsTabelleberschrift"/>
                <w:rFonts w:ascii="Times New Roman" w:hAnsi="Times New Roman"/>
                <w:b w:val="0"/>
                <w:sz w:val="24"/>
                <w:u w:val="none"/>
              </w:rPr>
              <w:t xml:space="preserve"> k </w:t>
            </w:r>
            <w:r w:rsidRPr="00E07C9A">
              <w:rPr>
                <w:rStyle w:val="InstructionsTabelleberschrift"/>
                <w:rFonts w:ascii="Times New Roman" w:hAnsi="Times New Roman"/>
                <w:b w:val="0"/>
                <w:sz w:val="24"/>
                <w:u w:val="none"/>
              </w:rPr>
              <w:t>delegovanému nariadeniu (EÚ) 2016/101,</w:t>
            </w:r>
            <w:r w:rsidR="009912F8" w:rsidRPr="00E07C9A">
              <w:rPr>
                <w:rStyle w:val="InstructionsTabelleberschrift"/>
                <w:rFonts w:ascii="Times New Roman" w:hAnsi="Times New Roman"/>
                <w:b w:val="0"/>
                <w:sz w:val="24"/>
                <w:u w:val="none"/>
              </w:rPr>
              <w:t xml:space="preserve"> k </w:t>
            </w:r>
            <w:r w:rsidRPr="00E07C9A">
              <w:rPr>
                <w:rStyle w:val="InstructionsTabelleberschrift"/>
                <w:rFonts w:ascii="Times New Roman" w:hAnsi="Times New Roman"/>
                <w:b w:val="0"/>
                <w:sz w:val="24"/>
                <w:u w:val="none"/>
              </w:rPr>
              <w:t xml:space="preserve">celkovej dodatočnej úprave ocenenia zohľadňujúcej riziko modelov na úrovni kategórie tak, ako je vypočítaný podľa článku 11 ods. 7 </w:t>
            </w:r>
            <w:r w:rsidRPr="00E07C9A">
              <w:rPr>
                <w:rFonts w:ascii="Times New Roman" w:hAnsi="Times New Roman"/>
                <w:sz w:val="24"/>
              </w:rPr>
              <w:t>uvedeného nariadenia</w:t>
            </w:r>
            <w:r w:rsidRPr="00E07C9A">
              <w:rPr>
                <w:rStyle w:val="InstructionsTabelleberschrift"/>
                <w:rFonts w:ascii="Times New Roman" w:hAnsi="Times New Roman"/>
                <w:b w:val="0"/>
                <w:sz w:val="24"/>
                <w:u w:val="none"/>
              </w:rPr>
              <w:t xml:space="preserve">. </w:t>
            </w:r>
            <w:r w:rsidRPr="00E07C9A">
              <w:rPr>
                <w:rFonts w:ascii="Times New Roman" w:hAnsi="Times New Roman"/>
                <w:sz w:val="24"/>
              </w:rPr>
              <w:t>Táto hodnota zodpovedá hodnote APVA podľa terminológie danej prílohy.</w:t>
            </w:r>
          </w:p>
        </w:tc>
      </w:tr>
      <w:tr w:rsidR="00113E45" w:rsidRPr="00E07C9A" w14:paraId="00EC9AC8" w14:textId="77777777" w:rsidTr="00672D2A">
        <w:tc>
          <w:tcPr>
            <w:tcW w:w="1101" w:type="dxa"/>
          </w:tcPr>
          <w:p w14:paraId="1C6C3F37" w14:textId="77777777" w:rsidR="00113E45" w:rsidRPr="00E07C9A" w:rsidRDefault="008136B4" w:rsidP="00E60B53">
            <w:pPr>
              <w:spacing w:beforeLines="60" w:before="144" w:afterLines="60" w:after="144"/>
              <w:rPr>
                <w:rFonts w:ascii="Times New Roman" w:hAnsi="Times New Roman"/>
                <w:sz w:val="24"/>
              </w:rPr>
            </w:pPr>
            <w:r w:rsidRPr="00E07C9A">
              <w:rPr>
                <w:rFonts w:ascii="Times New Roman" w:hAnsi="Times New Roman"/>
                <w:sz w:val="24"/>
              </w:rPr>
              <w:t>0090 – 0100</w:t>
            </w:r>
          </w:p>
        </w:tc>
        <w:tc>
          <w:tcPr>
            <w:tcW w:w="8221" w:type="dxa"/>
          </w:tcPr>
          <w:p w14:paraId="7FC1E430" w14:textId="77777777" w:rsidR="00113E45" w:rsidRPr="00E07C9A" w:rsidRDefault="00113E45" w:rsidP="00E60B53">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REÁLNOU HODNOTOU OCENENÉ AKTÍVA A ZÁVÄZKY</w:t>
            </w:r>
          </w:p>
          <w:p w14:paraId="4C5C0304" w14:textId="1F80A40B" w:rsidR="00113E45" w:rsidRPr="00E07C9A" w:rsidRDefault="00113E45" w:rsidP="00E60B53">
            <w:pPr>
              <w:spacing w:beforeLines="60" w:before="144" w:afterLines="60" w:after="144"/>
              <w:rPr>
                <w:rStyle w:val="InstructionsTabelleberschrift"/>
                <w:rFonts w:ascii="Times New Roman" w:hAnsi="Times New Roman"/>
                <w:sz w:val="24"/>
              </w:rPr>
            </w:pPr>
            <w:r w:rsidRPr="00E07C9A">
              <w:rPr>
                <w:rFonts w:ascii="Times New Roman" w:hAnsi="Times New Roman"/>
                <w:sz w:val="24"/>
              </w:rPr>
              <w:t>Absolútna hodnota reálnou hodnotou ocenených aktív</w:t>
            </w:r>
            <w:r w:rsidR="009912F8" w:rsidRPr="00E07C9A">
              <w:rPr>
                <w:rFonts w:ascii="Times New Roman" w:hAnsi="Times New Roman"/>
                <w:sz w:val="24"/>
              </w:rPr>
              <w:t xml:space="preserve"> a </w:t>
            </w:r>
            <w:r w:rsidRPr="00E07C9A">
              <w:rPr>
                <w:rFonts w:ascii="Times New Roman" w:hAnsi="Times New Roman"/>
                <w:sz w:val="24"/>
              </w:rPr>
              <w:t>záväzkov ocenených pomocou modelu vykázaného</w:t>
            </w:r>
            <w:r w:rsidR="009912F8" w:rsidRPr="00E07C9A">
              <w:rPr>
                <w:rFonts w:ascii="Times New Roman" w:hAnsi="Times New Roman"/>
                <w:sz w:val="24"/>
              </w:rPr>
              <w:t xml:space="preserve"> v </w:t>
            </w:r>
            <w:r w:rsidRPr="00E07C9A">
              <w:rPr>
                <w:rFonts w:ascii="Times New Roman" w:hAnsi="Times New Roman"/>
                <w:sz w:val="24"/>
              </w:rPr>
              <w:t xml:space="preserve">stĺpci 0010, ako je uvedená vo finančných výkazoch podľa uplatniteľného rámca. </w:t>
            </w:r>
          </w:p>
        </w:tc>
      </w:tr>
      <w:tr w:rsidR="00113E45" w:rsidRPr="00E07C9A" w14:paraId="37E7B442" w14:textId="77777777" w:rsidTr="00672D2A">
        <w:tc>
          <w:tcPr>
            <w:tcW w:w="1101" w:type="dxa"/>
          </w:tcPr>
          <w:p w14:paraId="0FFA9478" w14:textId="77777777" w:rsidR="00113E45" w:rsidRPr="00E07C9A" w:rsidRDefault="008136B4" w:rsidP="00E60B53">
            <w:pPr>
              <w:spacing w:beforeLines="60" w:before="144" w:afterLines="60" w:after="144"/>
              <w:rPr>
                <w:rFonts w:ascii="Times New Roman" w:hAnsi="Times New Roman"/>
                <w:sz w:val="24"/>
              </w:rPr>
            </w:pPr>
            <w:r w:rsidRPr="00E07C9A">
              <w:rPr>
                <w:rFonts w:ascii="Times New Roman" w:hAnsi="Times New Roman"/>
                <w:sz w:val="24"/>
              </w:rPr>
              <w:t>0090</w:t>
            </w:r>
          </w:p>
        </w:tc>
        <w:tc>
          <w:tcPr>
            <w:tcW w:w="8221" w:type="dxa"/>
          </w:tcPr>
          <w:p w14:paraId="1B1E80B6" w14:textId="77777777" w:rsidR="00113E45" w:rsidRPr="00E07C9A" w:rsidRDefault="00113E45" w:rsidP="00E60B53">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REÁLNOU HODNOTOU OCENENÉ AKTÍVA</w:t>
            </w:r>
          </w:p>
          <w:p w14:paraId="7C3C7F2C" w14:textId="0C670405" w:rsidR="00113E45" w:rsidRPr="00E07C9A" w:rsidRDefault="00113E45" w:rsidP="00E60B53">
            <w:pPr>
              <w:spacing w:beforeLines="60" w:before="144" w:afterLines="60" w:after="144"/>
              <w:rPr>
                <w:rStyle w:val="InstructionsTabelleberschrift"/>
                <w:rFonts w:ascii="Times New Roman" w:hAnsi="Times New Roman"/>
                <w:b w:val="0"/>
                <w:bCs w:val="0"/>
                <w:sz w:val="24"/>
                <w:u w:val="none"/>
              </w:rPr>
            </w:pPr>
            <w:r w:rsidRPr="00E07C9A">
              <w:rPr>
                <w:rFonts w:ascii="Times New Roman" w:hAnsi="Times New Roman"/>
                <w:sz w:val="24"/>
              </w:rPr>
              <w:t>Absolútna hodnota reálnou hodnotou ocenených aktív ocenených pomocou modelu vykázaného</w:t>
            </w:r>
            <w:r w:rsidR="009912F8" w:rsidRPr="00E07C9A">
              <w:rPr>
                <w:rFonts w:ascii="Times New Roman" w:hAnsi="Times New Roman"/>
                <w:sz w:val="24"/>
              </w:rPr>
              <w:t xml:space="preserve"> v </w:t>
            </w:r>
            <w:r w:rsidRPr="00E07C9A">
              <w:rPr>
                <w:rFonts w:ascii="Times New Roman" w:hAnsi="Times New Roman"/>
                <w:sz w:val="24"/>
              </w:rPr>
              <w:t>stĺpci 0010, ako je uvedená vo finančných výkazoch podľa uplatniteľného rámca</w:t>
            </w:r>
            <w:r w:rsidRPr="00E07C9A">
              <w:rPr>
                <w:rStyle w:val="InstructionsTabelleberschrift"/>
                <w:rFonts w:ascii="Times New Roman" w:hAnsi="Times New Roman"/>
                <w:b w:val="0"/>
                <w:sz w:val="24"/>
                <w:u w:val="none"/>
              </w:rPr>
              <w:t>.</w:t>
            </w:r>
          </w:p>
        </w:tc>
      </w:tr>
      <w:tr w:rsidR="00113E45" w:rsidRPr="00E07C9A" w14:paraId="5EA9178E" w14:textId="77777777" w:rsidTr="00672D2A">
        <w:tc>
          <w:tcPr>
            <w:tcW w:w="1101" w:type="dxa"/>
          </w:tcPr>
          <w:p w14:paraId="4EFB0E2F" w14:textId="77777777" w:rsidR="00113E45" w:rsidRPr="00E07C9A" w:rsidRDefault="008136B4" w:rsidP="00E60B53">
            <w:pPr>
              <w:spacing w:beforeLines="60" w:before="144" w:afterLines="60" w:after="144"/>
              <w:rPr>
                <w:rFonts w:ascii="Times New Roman" w:hAnsi="Times New Roman"/>
                <w:sz w:val="24"/>
              </w:rPr>
            </w:pPr>
            <w:r w:rsidRPr="00E07C9A">
              <w:rPr>
                <w:rFonts w:ascii="Times New Roman" w:hAnsi="Times New Roman"/>
                <w:sz w:val="24"/>
              </w:rPr>
              <w:t>0100</w:t>
            </w:r>
          </w:p>
        </w:tc>
        <w:tc>
          <w:tcPr>
            <w:tcW w:w="8221" w:type="dxa"/>
          </w:tcPr>
          <w:p w14:paraId="105C027C" w14:textId="77777777" w:rsidR="00113E45" w:rsidRPr="00E07C9A" w:rsidRDefault="00113E45" w:rsidP="00E60B53">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REÁLNOU HODNOTOU OCENENÉ ZÁVÄZKY</w:t>
            </w:r>
          </w:p>
          <w:p w14:paraId="34D8079E" w14:textId="3330ED72" w:rsidR="00113E45" w:rsidRPr="00E07C9A" w:rsidRDefault="00113E45" w:rsidP="00E60B53">
            <w:pPr>
              <w:spacing w:beforeLines="60" w:before="144" w:afterLines="60" w:after="144"/>
              <w:rPr>
                <w:rStyle w:val="InstructionsTabelleberschrift"/>
                <w:rFonts w:ascii="Times New Roman" w:hAnsi="Times New Roman"/>
                <w:b w:val="0"/>
                <w:bCs w:val="0"/>
                <w:sz w:val="24"/>
                <w:u w:val="none"/>
              </w:rPr>
            </w:pPr>
            <w:r w:rsidRPr="00E07C9A">
              <w:rPr>
                <w:rFonts w:ascii="Times New Roman" w:hAnsi="Times New Roman"/>
                <w:sz w:val="24"/>
              </w:rPr>
              <w:t>Absolútna hodnota reálnou hodnotou ocenených záväzkov ocenených pomocou modelu vykázaného</w:t>
            </w:r>
            <w:r w:rsidR="009912F8" w:rsidRPr="00E07C9A">
              <w:rPr>
                <w:rFonts w:ascii="Times New Roman" w:hAnsi="Times New Roman"/>
                <w:sz w:val="24"/>
              </w:rPr>
              <w:t xml:space="preserve"> v </w:t>
            </w:r>
            <w:r w:rsidRPr="00E07C9A">
              <w:rPr>
                <w:rFonts w:ascii="Times New Roman" w:hAnsi="Times New Roman"/>
                <w:sz w:val="24"/>
              </w:rPr>
              <w:t xml:space="preserve">stĺpci 0010, ako je uvedená vo finančných výkazoch podľa uplatniteľného rámca. </w:t>
            </w:r>
          </w:p>
        </w:tc>
      </w:tr>
      <w:tr w:rsidR="00113E45" w:rsidRPr="00E07C9A" w14:paraId="7F4874F2" w14:textId="77777777" w:rsidTr="00672D2A">
        <w:tc>
          <w:tcPr>
            <w:tcW w:w="1101" w:type="dxa"/>
          </w:tcPr>
          <w:p w14:paraId="17F996A7" w14:textId="77777777" w:rsidR="00113E45" w:rsidRPr="00E07C9A" w:rsidRDefault="008136B4" w:rsidP="00E60B53">
            <w:pPr>
              <w:spacing w:beforeLines="60" w:before="144" w:afterLines="60" w:after="144"/>
              <w:rPr>
                <w:rFonts w:ascii="Times New Roman" w:hAnsi="Times New Roman"/>
                <w:sz w:val="24"/>
              </w:rPr>
            </w:pPr>
            <w:r w:rsidRPr="00E07C9A">
              <w:rPr>
                <w:rFonts w:ascii="Times New Roman" w:hAnsi="Times New Roman"/>
                <w:sz w:val="24"/>
              </w:rPr>
              <w:t>0110</w:t>
            </w:r>
          </w:p>
        </w:tc>
        <w:tc>
          <w:tcPr>
            <w:tcW w:w="8221" w:type="dxa"/>
          </w:tcPr>
          <w:p w14:paraId="5D154601" w14:textId="77777777" w:rsidR="00113E45" w:rsidRPr="00E07C9A" w:rsidRDefault="00113E45" w:rsidP="00E60B53">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ROZDIEL NEZÁVISLÉHO OVEROVANIA CIEN (VÝSTUPNÉ TESTOVANIE)</w:t>
            </w:r>
          </w:p>
          <w:p w14:paraId="1029C26E" w14:textId="78B2E5CF" w:rsidR="009912F8" w:rsidRPr="00E07C9A" w:rsidRDefault="00113E45" w:rsidP="00E60B53">
            <w:pPr>
              <w:spacing w:beforeLines="60" w:before="144" w:afterLines="60" w:after="144"/>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Súčet neupravených súm rozdielu („rozdiel nezávislého overovania cien“) vypočítaný na konci mesiaca najbližšie</w:t>
            </w:r>
            <w:r w:rsidR="009912F8" w:rsidRPr="00E07C9A">
              <w:rPr>
                <w:rStyle w:val="InstructionsTabelleberschrift"/>
                <w:rFonts w:ascii="Times New Roman" w:hAnsi="Times New Roman"/>
                <w:b w:val="0"/>
                <w:sz w:val="24"/>
                <w:u w:val="none"/>
              </w:rPr>
              <w:t xml:space="preserve"> k </w:t>
            </w:r>
            <w:r w:rsidRPr="00E07C9A">
              <w:rPr>
                <w:rStyle w:val="InstructionsTabelleberschrift"/>
                <w:rFonts w:ascii="Times New Roman" w:hAnsi="Times New Roman"/>
                <w:b w:val="0"/>
                <w:sz w:val="24"/>
                <w:u w:val="none"/>
              </w:rPr>
              <w:t>dátumu vykazovania na základe procesu nezávislého overovania cien vykonaného</w:t>
            </w:r>
            <w:r w:rsidR="009912F8" w:rsidRPr="00E07C9A">
              <w:rPr>
                <w:rStyle w:val="InstructionsTabelleberschrift"/>
                <w:rFonts w:ascii="Times New Roman" w:hAnsi="Times New Roman"/>
                <w:b w:val="0"/>
                <w:sz w:val="24"/>
                <w:u w:val="none"/>
              </w:rPr>
              <w:t xml:space="preserve"> v </w:t>
            </w:r>
            <w:r w:rsidRPr="00E07C9A">
              <w:rPr>
                <w:rStyle w:val="InstructionsTabelleberschrift"/>
                <w:rFonts w:ascii="Times New Roman" w:hAnsi="Times New Roman"/>
                <w:b w:val="0"/>
                <w:sz w:val="24"/>
                <w:u w:val="none"/>
              </w:rPr>
              <w:t>súlade</w:t>
            </w:r>
            <w:r w:rsidR="009912F8" w:rsidRPr="00E07C9A">
              <w:rPr>
                <w:rStyle w:val="InstructionsTabelleberschrift"/>
                <w:rFonts w:ascii="Times New Roman" w:hAnsi="Times New Roman"/>
                <w:b w:val="0"/>
                <w:sz w:val="24"/>
                <w:u w:val="none"/>
              </w:rPr>
              <w:t xml:space="preserve"> s </w:t>
            </w:r>
            <w:r w:rsidRPr="00E07C9A">
              <w:rPr>
                <w:rStyle w:val="InstructionsTabelleberschrift"/>
                <w:rFonts w:ascii="Times New Roman" w:hAnsi="Times New Roman"/>
                <w:b w:val="0"/>
                <w:sz w:val="24"/>
                <w:u w:val="none"/>
              </w:rPr>
              <w:t>článkom 105 ods. 8</w:t>
            </w:r>
            <w:r w:rsidRPr="00E07C9A">
              <w:rPr>
                <w:rFonts w:ascii="Times New Roman" w:hAnsi="Times New Roman"/>
                <w:sz w:val="24"/>
              </w:rPr>
              <w:t xml:space="preserve"> nariadenia (EÚ) </w:t>
            </w:r>
            <w:r w:rsidR="009912F8" w:rsidRPr="00E07C9A">
              <w:rPr>
                <w:rFonts w:ascii="Times New Roman" w:hAnsi="Times New Roman"/>
                <w:sz w:val="24"/>
              </w:rPr>
              <w:t>č. 575/2013 s </w:t>
            </w:r>
            <w:r w:rsidRPr="00E07C9A">
              <w:rPr>
                <w:rStyle w:val="InstructionsTabelleberschrift"/>
                <w:rFonts w:ascii="Times New Roman" w:hAnsi="Times New Roman"/>
                <w:b w:val="0"/>
                <w:sz w:val="24"/>
                <w:u w:val="none"/>
              </w:rPr>
              <w:t>ohľadom na najlepšie dostupné nezávislé údaje pre príslušný produkt alebo skupinu produktov</w:t>
            </w:r>
            <w:r w:rsidR="009912F8" w:rsidRPr="00E07C9A">
              <w:rPr>
                <w:rStyle w:val="InstructionsTabelleberschrift"/>
                <w:rFonts w:ascii="Times New Roman" w:hAnsi="Times New Roman"/>
                <w:b w:val="0"/>
                <w:sz w:val="24"/>
                <w:u w:val="none"/>
              </w:rPr>
              <w:t>.</w:t>
            </w:r>
          </w:p>
          <w:p w14:paraId="636E78B2" w14:textId="234F393B" w:rsidR="00113E45" w:rsidRPr="00E07C9A" w:rsidRDefault="00113E45" w:rsidP="00E60B53">
            <w:pPr>
              <w:spacing w:beforeLines="60" w:before="144" w:afterLines="60" w:after="144"/>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Neupravené sumy rozdielu označujú neupravené rozdiely medzi oceneniami vygenerovanými obchodným systémom</w:t>
            </w:r>
            <w:r w:rsidR="009912F8" w:rsidRPr="00E07C9A">
              <w:rPr>
                <w:rStyle w:val="InstructionsTabelleberschrift"/>
                <w:rFonts w:ascii="Times New Roman" w:hAnsi="Times New Roman"/>
                <w:b w:val="0"/>
                <w:sz w:val="24"/>
                <w:u w:val="none"/>
              </w:rPr>
              <w:t xml:space="preserve"> a </w:t>
            </w:r>
            <w:r w:rsidRPr="00E07C9A">
              <w:rPr>
                <w:rStyle w:val="InstructionsTabelleberschrift"/>
                <w:rFonts w:ascii="Times New Roman" w:hAnsi="Times New Roman"/>
                <w:b w:val="0"/>
                <w:sz w:val="24"/>
                <w:u w:val="none"/>
              </w:rPr>
              <w:t>oceneniami odhadnutými počas každomesačného procesu nezávislého overovania cien.</w:t>
            </w:r>
          </w:p>
          <w:p w14:paraId="201931D6" w14:textId="66CF6560" w:rsidR="00113E45" w:rsidRPr="00E07C9A" w:rsidRDefault="004D2753" w:rsidP="00E60B53">
            <w:pPr>
              <w:spacing w:beforeLines="60" w:before="144" w:afterLines="60" w:after="144"/>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Do výpočtu rozdielu nezávislého overovania cien sa nezahŕňajú žiadne upravené sumy rozdielu</w:t>
            </w:r>
            <w:r w:rsidR="009912F8" w:rsidRPr="00E07C9A">
              <w:rPr>
                <w:rStyle w:val="InstructionsTabelleberschrift"/>
                <w:rFonts w:ascii="Times New Roman" w:hAnsi="Times New Roman"/>
                <w:b w:val="0"/>
                <w:sz w:val="24"/>
                <w:u w:val="none"/>
              </w:rPr>
              <w:t xml:space="preserve"> z </w:t>
            </w:r>
            <w:r w:rsidRPr="00E07C9A">
              <w:rPr>
                <w:rStyle w:val="InstructionsTabelleberschrift"/>
                <w:rFonts w:ascii="Times New Roman" w:hAnsi="Times New Roman"/>
                <w:b w:val="0"/>
                <w:sz w:val="24"/>
                <w:u w:val="none"/>
              </w:rPr>
              <w:t>kníh</w:t>
            </w:r>
            <w:r w:rsidR="009912F8" w:rsidRPr="00E07C9A">
              <w:rPr>
                <w:rStyle w:val="InstructionsTabelleberschrift"/>
                <w:rFonts w:ascii="Times New Roman" w:hAnsi="Times New Roman"/>
                <w:b w:val="0"/>
                <w:sz w:val="24"/>
                <w:u w:val="none"/>
              </w:rPr>
              <w:t xml:space="preserve"> a </w:t>
            </w:r>
            <w:r w:rsidRPr="00E07C9A">
              <w:rPr>
                <w:rStyle w:val="InstructionsTabelleberschrift"/>
                <w:rFonts w:ascii="Times New Roman" w:hAnsi="Times New Roman"/>
                <w:b w:val="0"/>
                <w:sz w:val="24"/>
                <w:u w:val="none"/>
              </w:rPr>
              <w:t>záznamov príslušnej inštitúcie pre koncový dátum príslušného mesiaca.</w:t>
            </w:r>
          </w:p>
          <w:p w14:paraId="0199AB2C" w14:textId="3334E8EF" w:rsidR="00113E45" w:rsidRPr="00E07C9A" w:rsidRDefault="00113E45" w:rsidP="00E60B53">
            <w:pPr>
              <w:spacing w:beforeLines="60" w:before="144" w:afterLines="60" w:after="144"/>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Uvádzajú sa tu iba výsledky kalibrované</w:t>
            </w:r>
            <w:r w:rsidR="009912F8" w:rsidRPr="00E07C9A">
              <w:rPr>
                <w:rStyle w:val="InstructionsTabelleberschrift"/>
                <w:rFonts w:ascii="Times New Roman" w:hAnsi="Times New Roman"/>
                <w:b w:val="0"/>
                <w:sz w:val="24"/>
                <w:u w:val="none"/>
              </w:rPr>
              <w:t xml:space="preserve"> z </w:t>
            </w:r>
            <w:r w:rsidRPr="00E07C9A">
              <w:rPr>
                <w:rStyle w:val="InstructionsTabelleberschrift"/>
                <w:rFonts w:ascii="Times New Roman" w:hAnsi="Times New Roman"/>
                <w:b w:val="0"/>
                <w:sz w:val="24"/>
                <w:u w:val="none"/>
              </w:rPr>
              <w:t>cien nástrojov, ktoré by boli priradené</w:t>
            </w:r>
            <w:r w:rsidR="009912F8" w:rsidRPr="00E07C9A">
              <w:rPr>
                <w:rStyle w:val="InstructionsTabelleberschrift"/>
                <w:rFonts w:ascii="Times New Roman" w:hAnsi="Times New Roman"/>
                <w:b w:val="0"/>
                <w:sz w:val="24"/>
                <w:u w:val="none"/>
              </w:rPr>
              <w:t xml:space="preserve"> k </w:t>
            </w:r>
            <w:r w:rsidRPr="00E07C9A">
              <w:rPr>
                <w:rStyle w:val="InstructionsTabelleberschrift"/>
                <w:rFonts w:ascii="Times New Roman" w:hAnsi="Times New Roman"/>
                <w:b w:val="0"/>
                <w:sz w:val="24"/>
                <w:u w:val="none"/>
              </w:rPr>
              <w:t>rovnakému produktu (výstupné testovanie). Výsledky vstupného testovania zo vstupov</w:t>
            </w:r>
            <w:r w:rsidR="009912F8" w:rsidRPr="00E07C9A">
              <w:rPr>
                <w:rStyle w:val="InstructionsTabelleberschrift"/>
                <w:rFonts w:ascii="Times New Roman" w:hAnsi="Times New Roman"/>
                <w:b w:val="0"/>
                <w:sz w:val="24"/>
                <w:u w:val="none"/>
              </w:rPr>
              <w:t xml:space="preserve"> z </w:t>
            </w:r>
            <w:r w:rsidRPr="00E07C9A">
              <w:rPr>
                <w:rStyle w:val="InstructionsTabelleberschrift"/>
                <w:rFonts w:ascii="Times New Roman" w:hAnsi="Times New Roman"/>
                <w:b w:val="0"/>
                <w:sz w:val="24"/>
                <w:u w:val="none"/>
              </w:rPr>
              <w:t>trhových údajov, ktoré sú testované</w:t>
            </w:r>
            <w:r w:rsidR="009912F8" w:rsidRPr="00E07C9A">
              <w:rPr>
                <w:rStyle w:val="InstructionsTabelleberschrift"/>
                <w:rFonts w:ascii="Times New Roman" w:hAnsi="Times New Roman"/>
                <w:b w:val="0"/>
                <w:sz w:val="24"/>
                <w:u w:val="none"/>
              </w:rPr>
              <w:t xml:space="preserve"> v </w:t>
            </w:r>
            <w:r w:rsidRPr="00E07C9A">
              <w:rPr>
                <w:rStyle w:val="InstructionsTabelleberschrift"/>
                <w:rFonts w:ascii="Times New Roman" w:hAnsi="Times New Roman"/>
                <w:b w:val="0"/>
                <w:sz w:val="24"/>
                <w:u w:val="none"/>
              </w:rPr>
              <w:t>porovnaní</w:t>
            </w:r>
            <w:r w:rsidR="009912F8" w:rsidRPr="00E07C9A">
              <w:rPr>
                <w:rStyle w:val="InstructionsTabelleberschrift"/>
                <w:rFonts w:ascii="Times New Roman" w:hAnsi="Times New Roman"/>
                <w:b w:val="0"/>
                <w:sz w:val="24"/>
                <w:u w:val="none"/>
              </w:rPr>
              <w:t xml:space="preserve"> s </w:t>
            </w:r>
            <w:r w:rsidRPr="00E07C9A">
              <w:rPr>
                <w:rStyle w:val="InstructionsTabelleberschrift"/>
                <w:rFonts w:ascii="Times New Roman" w:hAnsi="Times New Roman"/>
                <w:b w:val="0"/>
                <w:sz w:val="24"/>
                <w:u w:val="none"/>
              </w:rPr>
              <w:t>úrovňami, ktoré boli kalibrované</w:t>
            </w:r>
            <w:r w:rsidR="009912F8" w:rsidRPr="00E07C9A">
              <w:rPr>
                <w:rStyle w:val="InstructionsTabelleberschrift"/>
                <w:rFonts w:ascii="Times New Roman" w:hAnsi="Times New Roman"/>
                <w:b w:val="0"/>
                <w:sz w:val="24"/>
                <w:u w:val="none"/>
              </w:rPr>
              <w:t xml:space="preserve"> z </w:t>
            </w:r>
            <w:r w:rsidRPr="00E07C9A">
              <w:rPr>
                <w:rStyle w:val="InstructionsTabelleberschrift"/>
                <w:rFonts w:ascii="Times New Roman" w:hAnsi="Times New Roman"/>
                <w:b w:val="0"/>
                <w:sz w:val="24"/>
                <w:u w:val="none"/>
              </w:rPr>
              <w:t>rôznych produktov, sa neuvádzajú.</w:t>
            </w:r>
          </w:p>
        </w:tc>
      </w:tr>
      <w:tr w:rsidR="00113E45" w:rsidRPr="00E07C9A" w14:paraId="3D5A2DDB" w14:textId="77777777" w:rsidTr="00672D2A">
        <w:tc>
          <w:tcPr>
            <w:tcW w:w="1101" w:type="dxa"/>
          </w:tcPr>
          <w:p w14:paraId="19BB7070" w14:textId="77777777" w:rsidR="00113E45" w:rsidRPr="00E07C9A" w:rsidRDefault="008136B4" w:rsidP="00E60B53">
            <w:pPr>
              <w:spacing w:beforeLines="60" w:before="144" w:afterLines="60" w:after="144"/>
              <w:rPr>
                <w:rFonts w:ascii="Times New Roman" w:hAnsi="Times New Roman"/>
                <w:sz w:val="24"/>
              </w:rPr>
            </w:pPr>
            <w:r w:rsidRPr="00E07C9A">
              <w:rPr>
                <w:rFonts w:ascii="Times New Roman" w:hAnsi="Times New Roman"/>
                <w:sz w:val="24"/>
              </w:rPr>
              <w:t>0120</w:t>
            </w:r>
          </w:p>
        </w:tc>
        <w:tc>
          <w:tcPr>
            <w:tcW w:w="8221" w:type="dxa"/>
          </w:tcPr>
          <w:p w14:paraId="46D535C1" w14:textId="77777777" w:rsidR="00113E45" w:rsidRPr="00E07C9A" w:rsidRDefault="00113E45" w:rsidP="00E60B53">
            <w:pPr>
              <w:spacing w:beforeLines="60" w:before="144" w:afterLines="60" w:after="144"/>
              <w:jc w:val="left"/>
              <w:rPr>
                <w:rStyle w:val="InstructionsTabelleberschrift"/>
                <w:rFonts w:ascii="Times New Roman" w:hAnsi="Times New Roman"/>
                <w:sz w:val="24"/>
              </w:rPr>
            </w:pPr>
            <w:r w:rsidRPr="00E07C9A">
              <w:rPr>
                <w:rStyle w:val="InstructionsTabelleberschrift"/>
                <w:rFonts w:ascii="Times New Roman" w:hAnsi="Times New Roman"/>
                <w:sz w:val="24"/>
              </w:rPr>
              <w:t>ROZSAH NEZÁVISLÉHO OVEROVANIA CIEN (VÝSTUPNÉ TESTOVANIE)</w:t>
            </w:r>
          </w:p>
          <w:p w14:paraId="7C7C085F" w14:textId="3A559C73" w:rsidR="00113E45" w:rsidRPr="00E07C9A" w:rsidRDefault="00113E45" w:rsidP="00E60B53">
            <w:pPr>
              <w:spacing w:beforeLines="60" w:before="144" w:afterLines="60" w:after="144"/>
              <w:jc w:val="left"/>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Percento tých pozícií priradených</w:t>
            </w:r>
            <w:r w:rsidR="009912F8" w:rsidRPr="00E07C9A">
              <w:rPr>
                <w:rStyle w:val="InstructionsTabelleberschrift"/>
                <w:rFonts w:ascii="Times New Roman" w:hAnsi="Times New Roman"/>
                <w:b w:val="0"/>
                <w:sz w:val="24"/>
                <w:u w:val="none"/>
              </w:rPr>
              <w:t xml:space="preserve"> k </w:t>
            </w:r>
            <w:r w:rsidRPr="00E07C9A">
              <w:rPr>
                <w:rStyle w:val="InstructionsTabelleberschrift"/>
                <w:rFonts w:ascii="Times New Roman" w:hAnsi="Times New Roman"/>
                <w:b w:val="0"/>
                <w:sz w:val="24"/>
                <w:u w:val="none"/>
              </w:rPr>
              <w:t>modelu váženému dodatočnou úpravou ocenenia zohľadňujúcou riziko modelov krytému výsledkami výstupného testovania nezávislého overovania cien uvedenými</w:t>
            </w:r>
            <w:r w:rsidR="009912F8" w:rsidRPr="00E07C9A">
              <w:rPr>
                <w:rStyle w:val="InstructionsTabelleberschrift"/>
                <w:rFonts w:ascii="Times New Roman" w:hAnsi="Times New Roman"/>
                <w:b w:val="0"/>
                <w:sz w:val="24"/>
                <w:u w:val="none"/>
              </w:rPr>
              <w:t xml:space="preserve"> v </w:t>
            </w:r>
            <w:r w:rsidRPr="00E07C9A">
              <w:rPr>
                <w:rStyle w:val="InstructionsTabelleberschrift"/>
                <w:rFonts w:ascii="Times New Roman" w:hAnsi="Times New Roman"/>
                <w:b w:val="0"/>
                <w:sz w:val="24"/>
                <w:u w:val="none"/>
              </w:rPr>
              <w:t>stĺpci 0110.</w:t>
            </w:r>
          </w:p>
        </w:tc>
      </w:tr>
      <w:tr w:rsidR="00113E45" w:rsidRPr="00E07C9A" w14:paraId="4204DC52" w14:textId="77777777" w:rsidTr="00672D2A">
        <w:tc>
          <w:tcPr>
            <w:tcW w:w="1101" w:type="dxa"/>
          </w:tcPr>
          <w:p w14:paraId="479E0273" w14:textId="77777777" w:rsidR="00113E45" w:rsidRPr="00E07C9A" w:rsidRDefault="008136B4" w:rsidP="00E60B53">
            <w:pPr>
              <w:spacing w:beforeLines="60" w:before="144" w:afterLines="60" w:after="144"/>
              <w:rPr>
                <w:rFonts w:ascii="Times New Roman" w:hAnsi="Times New Roman"/>
                <w:sz w:val="24"/>
              </w:rPr>
            </w:pPr>
            <w:r w:rsidRPr="00E07C9A">
              <w:rPr>
                <w:rFonts w:ascii="Times New Roman" w:hAnsi="Times New Roman"/>
                <w:sz w:val="24"/>
              </w:rPr>
              <w:t>0130 – 0140</w:t>
            </w:r>
          </w:p>
        </w:tc>
        <w:tc>
          <w:tcPr>
            <w:tcW w:w="8221" w:type="dxa"/>
          </w:tcPr>
          <w:p w14:paraId="13D0D218" w14:textId="77777777" w:rsidR="00113E45" w:rsidRPr="00E07C9A" w:rsidRDefault="00113E45" w:rsidP="00E60B53">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ÚPRAVY REÁLNEJ HODNOTY</w:t>
            </w:r>
          </w:p>
          <w:p w14:paraId="4D188DCD" w14:textId="3552DDFE" w:rsidR="00113E45" w:rsidRPr="00E07C9A" w:rsidRDefault="00113E45" w:rsidP="00127986">
            <w:pPr>
              <w:spacing w:beforeLines="60" w:before="144" w:afterLines="60" w:after="144"/>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Úpravy reálnej hodnoty uvedené</w:t>
            </w:r>
            <w:r w:rsidR="009912F8" w:rsidRPr="00E07C9A">
              <w:rPr>
                <w:rStyle w:val="InstructionsTabelleberschrift"/>
                <w:rFonts w:ascii="Times New Roman" w:hAnsi="Times New Roman"/>
                <w:b w:val="0"/>
                <w:sz w:val="24"/>
                <w:u w:val="none"/>
              </w:rPr>
              <w:t xml:space="preserve"> v </w:t>
            </w:r>
            <w:r w:rsidRPr="00E07C9A">
              <w:rPr>
                <w:rStyle w:val="InstructionsTabelleberschrift"/>
                <w:rFonts w:ascii="Times New Roman" w:hAnsi="Times New Roman"/>
                <w:b w:val="0"/>
                <w:sz w:val="24"/>
                <w:u w:val="none"/>
              </w:rPr>
              <w:t>stĺpcoch 0190</w:t>
            </w:r>
            <w:r w:rsidR="009912F8" w:rsidRPr="00E07C9A">
              <w:rPr>
                <w:rStyle w:val="InstructionsTabelleberschrift"/>
                <w:rFonts w:ascii="Times New Roman" w:hAnsi="Times New Roman"/>
                <w:b w:val="0"/>
                <w:sz w:val="24"/>
                <w:u w:val="none"/>
              </w:rPr>
              <w:t xml:space="preserve"> a </w:t>
            </w:r>
            <w:r w:rsidRPr="00E07C9A">
              <w:rPr>
                <w:rStyle w:val="InstructionsTabelleberschrift"/>
                <w:rFonts w:ascii="Times New Roman" w:hAnsi="Times New Roman"/>
                <w:b w:val="0"/>
                <w:sz w:val="24"/>
                <w:u w:val="none"/>
              </w:rPr>
              <w:t>0240 vzoru C 32.02, ktoré sa uplatnili na pozície priradené</w:t>
            </w:r>
            <w:r w:rsidR="009912F8" w:rsidRPr="00E07C9A">
              <w:rPr>
                <w:rStyle w:val="InstructionsTabelleberschrift"/>
                <w:rFonts w:ascii="Times New Roman" w:hAnsi="Times New Roman"/>
                <w:b w:val="0"/>
                <w:sz w:val="24"/>
                <w:u w:val="none"/>
              </w:rPr>
              <w:t xml:space="preserve"> k </w:t>
            </w:r>
            <w:r w:rsidRPr="00E07C9A">
              <w:rPr>
                <w:rFonts w:ascii="Times New Roman" w:hAnsi="Times New Roman"/>
                <w:sz w:val="24"/>
              </w:rPr>
              <w:t>modelu</w:t>
            </w:r>
            <w:r w:rsidR="009912F8" w:rsidRPr="00E07C9A">
              <w:rPr>
                <w:rFonts w:ascii="Times New Roman" w:hAnsi="Times New Roman"/>
                <w:sz w:val="24"/>
              </w:rPr>
              <w:t xml:space="preserve"> v </w:t>
            </w:r>
            <w:r w:rsidRPr="00E07C9A">
              <w:rPr>
                <w:rFonts w:ascii="Times New Roman" w:hAnsi="Times New Roman"/>
                <w:sz w:val="24"/>
              </w:rPr>
              <w:t>stĺpci 0010</w:t>
            </w:r>
            <w:r w:rsidRPr="00E07C9A">
              <w:rPr>
                <w:rStyle w:val="InstructionsTabelleberschrift"/>
                <w:rFonts w:ascii="Times New Roman" w:hAnsi="Times New Roman"/>
                <w:b w:val="0"/>
                <w:sz w:val="24"/>
                <w:u w:val="none"/>
              </w:rPr>
              <w:t>.</w:t>
            </w:r>
          </w:p>
        </w:tc>
      </w:tr>
      <w:tr w:rsidR="00113E45" w:rsidRPr="00E07C9A" w14:paraId="66AA73C5" w14:textId="77777777" w:rsidTr="00672D2A">
        <w:tc>
          <w:tcPr>
            <w:tcW w:w="1101" w:type="dxa"/>
          </w:tcPr>
          <w:p w14:paraId="4F851060" w14:textId="77777777" w:rsidR="00113E45" w:rsidRPr="00E07C9A" w:rsidRDefault="008136B4" w:rsidP="00E60B53">
            <w:pPr>
              <w:spacing w:beforeLines="60" w:before="144" w:afterLines="60" w:after="144"/>
              <w:rPr>
                <w:rFonts w:ascii="Times New Roman" w:hAnsi="Times New Roman"/>
                <w:sz w:val="24"/>
              </w:rPr>
            </w:pPr>
            <w:r w:rsidRPr="00E07C9A">
              <w:rPr>
                <w:rFonts w:ascii="Times New Roman" w:hAnsi="Times New Roman"/>
                <w:sz w:val="24"/>
              </w:rPr>
              <w:t>0150</w:t>
            </w:r>
          </w:p>
        </w:tc>
        <w:tc>
          <w:tcPr>
            <w:tcW w:w="8221" w:type="dxa"/>
          </w:tcPr>
          <w:p w14:paraId="3ED223DE" w14:textId="77777777" w:rsidR="00113E45" w:rsidRPr="00E07C9A" w:rsidRDefault="00113E45" w:rsidP="00E60B53">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ZISK A STRATA – DEŇ 1</w:t>
            </w:r>
          </w:p>
          <w:p w14:paraId="1EB6D231" w14:textId="3BF4AF54" w:rsidR="00113E45" w:rsidRPr="00E07C9A" w:rsidRDefault="00113E45" w:rsidP="00E60B53">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b w:val="0"/>
                <w:sz w:val="24"/>
                <w:u w:val="none"/>
              </w:rPr>
              <w:t>Úpravy podľa vymedzenia</w:t>
            </w:r>
            <w:r w:rsidR="009912F8" w:rsidRPr="00E07C9A">
              <w:rPr>
                <w:rStyle w:val="InstructionsTabelleberschrift"/>
                <w:rFonts w:ascii="Times New Roman" w:hAnsi="Times New Roman"/>
                <w:b w:val="0"/>
                <w:sz w:val="24"/>
                <w:u w:val="none"/>
              </w:rPr>
              <w:t xml:space="preserve"> v </w:t>
            </w:r>
            <w:r w:rsidRPr="00E07C9A">
              <w:rPr>
                <w:rStyle w:val="InstructionsTabelleberschrift"/>
                <w:rFonts w:ascii="Times New Roman" w:hAnsi="Times New Roman"/>
                <w:b w:val="0"/>
                <w:sz w:val="24"/>
                <w:u w:val="none"/>
              </w:rPr>
              <w:t>stĺpci 0260 vzoru C 32.02, ktoré sa uplatnili na pozície priradené</w:t>
            </w:r>
            <w:r w:rsidR="009912F8" w:rsidRPr="00E07C9A">
              <w:rPr>
                <w:rStyle w:val="InstructionsTabelleberschrift"/>
                <w:rFonts w:ascii="Times New Roman" w:hAnsi="Times New Roman"/>
                <w:b w:val="0"/>
                <w:sz w:val="24"/>
                <w:u w:val="none"/>
              </w:rPr>
              <w:t xml:space="preserve"> k </w:t>
            </w:r>
            <w:r w:rsidRPr="00E07C9A">
              <w:rPr>
                <w:rFonts w:ascii="Times New Roman" w:hAnsi="Times New Roman"/>
                <w:sz w:val="24"/>
              </w:rPr>
              <w:t>modelu</w:t>
            </w:r>
            <w:r w:rsidR="009912F8" w:rsidRPr="00E07C9A">
              <w:rPr>
                <w:rFonts w:ascii="Times New Roman" w:hAnsi="Times New Roman"/>
                <w:sz w:val="24"/>
              </w:rPr>
              <w:t xml:space="preserve"> v </w:t>
            </w:r>
            <w:r w:rsidRPr="00E07C9A">
              <w:rPr>
                <w:rFonts w:ascii="Times New Roman" w:hAnsi="Times New Roman"/>
                <w:sz w:val="24"/>
              </w:rPr>
              <w:t>stĺpci 0010</w:t>
            </w:r>
            <w:r w:rsidRPr="00E07C9A">
              <w:rPr>
                <w:rStyle w:val="InstructionsTabelleberschrift"/>
                <w:rFonts w:ascii="Times New Roman" w:hAnsi="Times New Roman"/>
                <w:b w:val="0"/>
                <w:sz w:val="24"/>
                <w:u w:val="none"/>
              </w:rPr>
              <w:t>.</w:t>
            </w:r>
          </w:p>
        </w:tc>
      </w:tr>
    </w:tbl>
    <w:p w14:paraId="342841D5" w14:textId="77777777" w:rsidR="00995A7F" w:rsidRPr="00E07C9A" w:rsidRDefault="00995A7F" w:rsidP="00C61FF5">
      <w:pPr>
        <w:rPr>
          <w:rStyle w:val="InstructionsTabelleText"/>
          <w:rFonts w:ascii="Times New Roman" w:hAnsi="Times New Roman"/>
          <w:sz w:val="24"/>
        </w:rPr>
      </w:pPr>
    </w:p>
    <w:p w14:paraId="07724620" w14:textId="77777777" w:rsidR="00B93FA1" w:rsidRPr="00E07C9A" w:rsidRDefault="00113E45" w:rsidP="00B93FA1">
      <w:pPr>
        <w:pStyle w:val="Instructionsberschrift2"/>
        <w:numPr>
          <w:ilvl w:val="0"/>
          <w:numId w:val="0"/>
        </w:numPr>
        <w:ind w:left="357" w:hanging="357"/>
        <w:rPr>
          <w:rFonts w:ascii="Times New Roman" w:hAnsi="Times New Roman" w:cs="Times New Roman"/>
          <w:sz w:val="24"/>
          <w:u w:val="none"/>
        </w:rPr>
      </w:pPr>
      <w:bookmarkStart w:id="766" w:name="_Toc115857909"/>
      <w:r w:rsidRPr="00E07C9A">
        <w:rPr>
          <w:rFonts w:ascii="Times New Roman" w:hAnsi="Times New Roman" w:cs="Times New Roman"/>
          <w:sz w:val="24"/>
          <w:u w:val="none"/>
        </w:rPr>
        <w:t xml:space="preserve">6.4. </w:t>
      </w:r>
      <w:r w:rsidRPr="00E07C9A">
        <w:rPr>
          <w:rFonts w:ascii="Times New Roman" w:hAnsi="Times New Roman" w:cs="Times New Roman"/>
          <w:sz w:val="24"/>
        </w:rPr>
        <w:t>C 32.04 – Obozretné oceňovanie: dodatočná úprava ocenenia zohľadňujúca koncentrované pozície (PruVal 4)</w:t>
      </w:r>
      <w:bookmarkEnd w:id="766"/>
    </w:p>
    <w:p w14:paraId="1D69732D" w14:textId="77777777" w:rsidR="009912F8" w:rsidRPr="00E07C9A" w:rsidRDefault="00B93FA1" w:rsidP="00B93FA1">
      <w:pPr>
        <w:pStyle w:val="Instructionsberschrift2"/>
        <w:numPr>
          <w:ilvl w:val="0"/>
          <w:numId w:val="0"/>
        </w:numPr>
        <w:ind w:left="357" w:hanging="357"/>
        <w:rPr>
          <w:rFonts w:ascii="Times New Roman" w:hAnsi="Times New Roman" w:cs="Times New Roman"/>
          <w:sz w:val="24"/>
          <w:u w:val="none"/>
        </w:rPr>
      </w:pPr>
      <w:bookmarkStart w:id="767" w:name="_Toc115857910"/>
      <w:r w:rsidRPr="00E07C9A">
        <w:rPr>
          <w:rFonts w:ascii="Times New Roman" w:hAnsi="Times New Roman" w:cs="Times New Roman"/>
          <w:sz w:val="24"/>
          <w:u w:val="none"/>
        </w:rPr>
        <w:t>6.4.1.</w:t>
      </w:r>
      <w:r w:rsidRPr="00E07C9A">
        <w:rPr>
          <w:rFonts w:ascii="Times New Roman" w:hAnsi="Times New Roman" w:cs="Times New Roman"/>
          <w:u w:val="none"/>
        </w:rPr>
        <w:tab/>
      </w:r>
      <w:r w:rsidRPr="00E07C9A">
        <w:rPr>
          <w:rFonts w:ascii="Times New Roman" w:hAnsi="Times New Roman" w:cs="Times New Roman"/>
          <w:sz w:val="24"/>
        </w:rPr>
        <w:t>Všeobecné poznámky</w:t>
      </w:r>
      <w:bookmarkEnd w:id="767"/>
    </w:p>
    <w:p w14:paraId="77C9E5D7" w14:textId="29F66A9B" w:rsidR="00113E45" w:rsidRPr="00E07C9A" w:rsidRDefault="002A18DE" w:rsidP="00487A02">
      <w:pPr>
        <w:pStyle w:val="InstructionsText2"/>
        <w:numPr>
          <w:ilvl w:val="0"/>
          <w:numId w:val="0"/>
        </w:numPr>
        <w:ind w:left="1353" w:hanging="360"/>
      </w:pPr>
      <w:fldSimple w:instr=" seq paragraphs ">
        <w:r w:rsidR="00132AEE">
          <w:rPr>
            <w:noProof/>
          </w:rPr>
          <w:t>186</w:t>
        </w:r>
      </w:fldSimple>
      <w:r w:rsidR="00CE7221" w:rsidRPr="00E07C9A">
        <w:t>. Tento vzor vypĺňajú iba inštitúcie, ktoré prekračujú prahovú hodnotu uvedenú</w:t>
      </w:r>
      <w:r w:rsidR="009912F8" w:rsidRPr="00E07C9A">
        <w:t xml:space="preserve"> v </w:t>
      </w:r>
      <w:r w:rsidR="00CE7221" w:rsidRPr="00E07C9A">
        <w:t>článku 4 ods. 1 delegovaného nariadenia (EÚ) 2016/101. Inštitúcie, ktoré sú súčasťou skupiny, ktorá prekračuje prahovú hodnotu na konsolidovanom základe, vykazujú tento vzor iba</w:t>
      </w:r>
      <w:r w:rsidR="009912F8" w:rsidRPr="00E07C9A">
        <w:t xml:space="preserve"> v </w:t>
      </w:r>
      <w:r w:rsidR="00CE7221" w:rsidRPr="00E07C9A">
        <w:t>položkách, pri ktorých takisto prekračujú prahovú hodnotu na svojej úrovni.</w:t>
      </w:r>
    </w:p>
    <w:p w14:paraId="0C19C659" w14:textId="4309EDB5" w:rsidR="009912F8" w:rsidRPr="00E07C9A" w:rsidRDefault="002A18DE" w:rsidP="00487A02">
      <w:pPr>
        <w:pStyle w:val="InstructionsText2"/>
        <w:numPr>
          <w:ilvl w:val="0"/>
          <w:numId w:val="0"/>
        </w:numPr>
        <w:ind w:left="1353" w:hanging="360"/>
      </w:pPr>
      <w:fldSimple w:instr=" seq paragraphs ">
        <w:r w:rsidR="00132AEE">
          <w:rPr>
            <w:noProof/>
          </w:rPr>
          <w:t>187</w:t>
        </w:r>
      </w:fldSimple>
      <w:r w:rsidR="00CE7221" w:rsidRPr="00E07C9A">
        <w:t>. Tento vzor slúži na vykazovanie podrobností</w:t>
      </w:r>
      <w:r w:rsidR="009912F8" w:rsidRPr="00E07C9A">
        <w:t xml:space="preserve"> o </w:t>
      </w:r>
      <w:r w:rsidR="00CE7221" w:rsidRPr="00E07C9A">
        <w:t>20 najväčších samostatných dodatočných úpravách ocenenia zohľadňujúcich koncentrované pozície, pokiaľ ide</w:t>
      </w:r>
      <w:r w:rsidR="009912F8" w:rsidRPr="00E07C9A">
        <w:t xml:space="preserve"> o </w:t>
      </w:r>
      <w:r w:rsidR="00CE7221" w:rsidRPr="00E07C9A">
        <w:t>hodnotu dodatočnej úpravy ocenenia, ktorá prispieva</w:t>
      </w:r>
      <w:r w:rsidR="009912F8" w:rsidRPr="00E07C9A">
        <w:t xml:space="preserve"> k </w:t>
      </w:r>
      <w:r w:rsidR="00CE7221" w:rsidRPr="00E07C9A">
        <w:t>celkovej dodatočnej úprave ocenenia zohľadňujúcej koncentrované pozície na úrovni kategórie vypočítanej</w:t>
      </w:r>
      <w:r w:rsidR="009912F8" w:rsidRPr="00E07C9A">
        <w:t xml:space="preserve"> v </w:t>
      </w:r>
      <w:r w:rsidR="00CE7221" w:rsidRPr="00E07C9A">
        <w:t>súlade</w:t>
      </w:r>
      <w:r w:rsidR="009912F8" w:rsidRPr="00E07C9A">
        <w:t xml:space="preserve"> s </w:t>
      </w:r>
      <w:r w:rsidR="00CE7221" w:rsidRPr="00E07C9A">
        <w:t>článkom 14 delegovaného nariadenia (EÚ) 2016/101. Tieto informácie zodpovedajú informáciám vykázaným</w:t>
      </w:r>
      <w:r w:rsidR="009912F8" w:rsidRPr="00E07C9A">
        <w:t xml:space="preserve"> v </w:t>
      </w:r>
      <w:r w:rsidR="00CE7221" w:rsidRPr="00E07C9A">
        <w:t>stĺpci 0070 vzoru C 32.02</w:t>
      </w:r>
      <w:r w:rsidR="009912F8" w:rsidRPr="00E07C9A">
        <w:t>.</w:t>
      </w:r>
    </w:p>
    <w:p w14:paraId="279F8B1F" w14:textId="2FD0B4FF" w:rsidR="00113E45" w:rsidRPr="00E07C9A" w:rsidRDefault="002A18DE" w:rsidP="00487A02">
      <w:pPr>
        <w:pStyle w:val="InstructionsText2"/>
        <w:numPr>
          <w:ilvl w:val="0"/>
          <w:numId w:val="0"/>
        </w:numPr>
        <w:ind w:left="1353" w:hanging="360"/>
      </w:pPr>
      <w:fldSimple w:instr=" seq paragraphs ">
        <w:r w:rsidR="00132AEE">
          <w:rPr>
            <w:noProof/>
          </w:rPr>
          <w:t>188</w:t>
        </w:r>
      </w:fldSimple>
      <w:r w:rsidR="00CE7221" w:rsidRPr="00E07C9A">
        <w:t>. Dvadsať najväčších dodatočných úprav ocenenia zohľadňujúcich koncentrované pozície</w:t>
      </w:r>
      <w:r w:rsidR="009912F8" w:rsidRPr="00E07C9A">
        <w:t xml:space="preserve"> a </w:t>
      </w:r>
      <w:r w:rsidR="00CE7221" w:rsidRPr="00E07C9A">
        <w:t>príslušné informácie</w:t>
      </w:r>
      <w:r w:rsidR="009912F8" w:rsidRPr="00E07C9A">
        <w:t xml:space="preserve"> o </w:t>
      </w:r>
      <w:r w:rsidR="00CE7221" w:rsidRPr="00E07C9A">
        <w:t>produktoch sa vykazujú</w:t>
      </w:r>
      <w:r w:rsidR="009912F8" w:rsidRPr="00E07C9A">
        <w:t xml:space="preserve"> v </w:t>
      </w:r>
      <w:r w:rsidR="00CE7221" w:rsidRPr="00E07C9A">
        <w:t>zostupnom poradí od najväčších samostatných dodatočných úprav ocenenia zohľadňujúcich koncentrované pozície.</w:t>
      </w:r>
    </w:p>
    <w:p w14:paraId="2EA8E0CE" w14:textId="7CFB3BEB" w:rsidR="00113E45" w:rsidRPr="00E07C9A" w:rsidRDefault="002A18DE" w:rsidP="00487A02">
      <w:pPr>
        <w:pStyle w:val="InstructionsText2"/>
        <w:numPr>
          <w:ilvl w:val="0"/>
          <w:numId w:val="0"/>
        </w:numPr>
        <w:ind w:left="1353" w:hanging="360"/>
      </w:pPr>
      <w:fldSimple w:instr=" seq paragraphs ">
        <w:r w:rsidR="00132AEE">
          <w:rPr>
            <w:noProof/>
          </w:rPr>
          <w:t>189</w:t>
        </w:r>
      </w:fldSimple>
      <w:r w:rsidR="00CE7221" w:rsidRPr="00E07C9A">
        <w:t>. Produkty zodpovedajúce týmto najväčším samostatným dodatočným úpravám ocenenia zohľadňujúcim koncentrované pozície sa vykazujú pomocou zoznamu produktov požadovaného</w:t>
      </w:r>
      <w:r w:rsidR="009912F8" w:rsidRPr="00E07C9A">
        <w:t xml:space="preserve"> v </w:t>
      </w:r>
      <w:r w:rsidR="00CE7221" w:rsidRPr="00E07C9A">
        <w:t>článku 19 ods. 3 písm. a) delegovaného nariadenia (EÚ) 2016/101.</w:t>
      </w:r>
    </w:p>
    <w:p w14:paraId="1FC50FB0" w14:textId="4633950B" w:rsidR="00113E45" w:rsidRPr="00E07C9A" w:rsidRDefault="002A18DE" w:rsidP="00487A02">
      <w:pPr>
        <w:pStyle w:val="InstructionsText2"/>
        <w:numPr>
          <w:ilvl w:val="0"/>
          <w:numId w:val="0"/>
        </w:numPr>
        <w:ind w:left="1353" w:hanging="360"/>
      </w:pPr>
      <w:fldSimple w:instr=" seq paragraphs ">
        <w:r w:rsidR="00132AEE">
          <w:rPr>
            <w:noProof/>
          </w:rPr>
          <w:t>190</w:t>
        </w:r>
      </w:fldSimple>
      <w:r w:rsidR="00CE7221" w:rsidRPr="00E07C9A">
        <w:t>. Pozície, ktoré sú homogénne, pokiaľ ide</w:t>
      </w:r>
      <w:r w:rsidR="009912F8" w:rsidRPr="00E07C9A">
        <w:t xml:space="preserve"> o </w:t>
      </w:r>
      <w:r w:rsidR="00CE7221" w:rsidRPr="00E07C9A">
        <w:t>metodiku výpočtu dodatočnej úpravy ocenenia, sa</w:t>
      </w:r>
      <w:r w:rsidR="009912F8" w:rsidRPr="00E07C9A">
        <w:t xml:space="preserve"> v </w:t>
      </w:r>
      <w:r w:rsidR="00CE7221" w:rsidRPr="00E07C9A">
        <w:t>prípadoch, keď je to možné, agregujú, aby sa maximalizovalo pokrytie údajov</w:t>
      </w:r>
      <w:r w:rsidR="009912F8" w:rsidRPr="00E07C9A">
        <w:t xml:space="preserve"> v </w:t>
      </w:r>
      <w:r w:rsidR="00CE7221" w:rsidRPr="00E07C9A">
        <w:t>tomto vzore.</w:t>
      </w:r>
    </w:p>
    <w:p w14:paraId="65F78609" w14:textId="3012DA70" w:rsidR="00B93FA1" w:rsidRPr="00E07C9A" w:rsidRDefault="00B93FA1" w:rsidP="00B93FA1">
      <w:pPr>
        <w:pStyle w:val="Instructionsberschrift2"/>
        <w:numPr>
          <w:ilvl w:val="0"/>
          <w:numId w:val="0"/>
        </w:numPr>
        <w:ind w:left="357" w:hanging="357"/>
        <w:rPr>
          <w:rFonts w:ascii="Times New Roman" w:hAnsi="Times New Roman" w:cs="Times New Roman"/>
          <w:sz w:val="24"/>
          <w:u w:val="none"/>
        </w:rPr>
      </w:pPr>
      <w:bookmarkStart w:id="768" w:name="_Toc115857911"/>
      <w:r w:rsidRPr="00E07C9A">
        <w:rPr>
          <w:rFonts w:ascii="Times New Roman" w:hAnsi="Times New Roman" w:cs="Times New Roman"/>
          <w:sz w:val="24"/>
          <w:u w:val="none"/>
        </w:rPr>
        <w:t>6.4.2.</w:t>
      </w:r>
      <w:r w:rsidRPr="00E07C9A">
        <w:rPr>
          <w:rFonts w:ascii="Times New Roman" w:hAnsi="Times New Roman" w:cs="Times New Roman"/>
          <w:u w:val="none"/>
        </w:rPr>
        <w:tab/>
      </w:r>
      <w:r w:rsidRPr="00E07C9A">
        <w:rPr>
          <w:rFonts w:ascii="Times New Roman" w:hAnsi="Times New Roman" w:cs="Times New Roman"/>
          <w:sz w:val="24"/>
        </w:rPr>
        <w:t>Pokyny týkajúce sa konkrétnych pozícií</w:t>
      </w:r>
      <w:bookmarkEnd w:id="76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13E45" w:rsidRPr="00E07C9A" w14:paraId="571F46A5" w14:textId="77777777" w:rsidTr="00672D2A">
        <w:tc>
          <w:tcPr>
            <w:tcW w:w="8856" w:type="dxa"/>
            <w:gridSpan w:val="2"/>
            <w:shd w:val="clear" w:color="auto" w:fill="CCCCCC"/>
          </w:tcPr>
          <w:p w14:paraId="63DE02D3" w14:textId="77777777" w:rsidR="00113E45" w:rsidRPr="00E07C9A" w:rsidRDefault="00113E45" w:rsidP="00E60B53">
            <w:pPr>
              <w:spacing w:beforeLines="60" w:before="144" w:afterLines="60" w:after="144"/>
              <w:rPr>
                <w:rFonts w:ascii="Times New Roman" w:hAnsi="Times New Roman"/>
                <w:b/>
                <w:sz w:val="24"/>
              </w:rPr>
            </w:pPr>
            <w:r w:rsidRPr="00E07C9A">
              <w:rPr>
                <w:rFonts w:ascii="Times New Roman" w:hAnsi="Times New Roman"/>
                <w:b/>
                <w:sz w:val="24"/>
              </w:rPr>
              <w:t>Stĺpce</w:t>
            </w:r>
          </w:p>
        </w:tc>
      </w:tr>
      <w:tr w:rsidR="00113E45" w:rsidRPr="00E07C9A" w14:paraId="23DF87D4" w14:textId="77777777" w:rsidTr="00672D2A">
        <w:tc>
          <w:tcPr>
            <w:tcW w:w="852" w:type="dxa"/>
          </w:tcPr>
          <w:p w14:paraId="65E61AA8" w14:textId="77777777" w:rsidR="00113E45" w:rsidRPr="00E07C9A" w:rsidRDefault="0022597E" w:rsidP="00E60B53">
            <w:pPr>
              <w:spacing w:beforeLines="60" w:before="144" w:afterLines="60" w:after="144"/>
              <w:rPr>
                <w:rFonts w:ascii="Times New Roman" w:hAnsi="Times New Roman"/>
                <w:sz w:val="24"/>
              </w:rPr>
            </w:pPr>
            <w:r w:rsidRPr="00E07C9A">
              <w:rPr>
                <w:rFonts w:ascii="Times New Roman" w:hAnsi="Times New Roman"/>
                <w:sz w:val="24"/>
              </w:rPr>
              <w:t>0005</w:t>
            </w:r>
          </w:p>
        </w:tc>
        <w:tc>
          <w:tcPr>
            <w:tcW w:w="8004" w:type="dxa"/>
          </w:tcPr>
          <w:p w14:paraId="47997C64" w14:textId="77777777" w:rsidR="00113E45" w:rsidRPr="00E07C9A" w:rsidRDefault="00113E45" w:rsidP="00E60B53">
            <w:pPr>
              <w:spacing w:beforeLines="60" w:before="144" w:afterLines="60" w:after="144"/>
              <w:rPr>
                <w:rFonts w:ascii="Times New Roman" w:hAnsi="Times New Roman"/>
                <w:b/>
                <w:sz w:val="24"/>
                <w:u w:val="single"/>
              </w:rPr>
            </w:pPr>
            <w:r w:rsidRPr="00E07C9A">
              <w:rPr>
                <w:rFonts w:ascii="Times New Roman" w:hAnsi="Times New Roman"/>
                <w:b/>
                <w:sz w:val="24"/>
                <w:u w:val="single"/>
              </w:rPr>
              <w:t>PORADIE</w:t>
            </w:r>
          </w:p>
          <w:p w14:paraId="6645EE9A" w14:textId="376BF025" w:rsidR="00113E45" w:rsidRPr="00E07C9A" w:rsidDel="003016B5" w:rsidRDefault="00113E45" w:rsidP="00133396">
            <w:pPr>
              <w:spacing w:beforeLines="60" w:before="144" w:afterLines="60" w:after="144"/>
              <w:rPr>
                <w:rFonts w:ascii="Times New Roman" w:hAnsi="Times New Roman"/>
                <w:b/>
                <w:sz w:val="24"/>
                <w:u w:val="single"/>
              </w:rPr>
            </w:pPr>
            <w:r w:rsidRPr="00E07C9A">
              <w:rPr>
                <w:rFonts w:ascii="Times New Roman" w:hAnsi="Times New Roman"/>
                <w:sz w:val="24"/>
              </w:rPr>
              <w:t>Poradie je identifikátorom riadku</w:t>
            </w:r>
            <w:r w:rsidR="009912F8" w:rsidRPr="00E07C9A">
              <w:rPr>
                <w:rFonts w:ascii="Times New Roman" w:hAnsi="Times New Roman"/>
                <w:sz w:val="24"/>
              </w:rPr>
              <w:t xml:space="preserve"> a </w:t>
            </w:r>
            <w:r w:rsidRPr="00E07C9A">
              <w:rPr>
                <w:rFonts w:ascii="Times New Roman" w:hAnsi="Times New Roman"/>
                <w:sz w:val="24"/>
              </w:rPr>
              <w:t>musí byť pre každý riadok vzoru jedinečné. Riadi sa číselným poradím 1, 2, 3 atď., pričom číslo 1 je priradené najvýznamnejšej dodatočnej úprave ocenenia zohľadňujúcej koncentrované pozície, číslo 2 druhej najvýznamnejšej atď.</w:t>
            </w:r>
          </w:p>
        </w:tc>
      </w:tr>
      <w:tr w:rsidR="00113E45" w:rsidRPr="00E07C9A" w14:paraId="7EE919A9" w14:textId="77777777" w:rsidTr="00672D2A">
        <w:tc>
          <w:tcPr>
            <w:tcW w:w="852" w:type="dxa"/>
          </w:tcPr>
          <w:p w14:paraId="516A897C" w14:textId="77777777" w:rsidR="00113E45" w:rsidRPr="00E07C9A" w:rsidRDefault="0022597E" w:rsidP="00E60B53">
            <w:pPr>
              <w:spacing w:beforeLines="60" w:before="144" w:afterLines="60" w:after="144"/>
              <w:rPr>
                <w:rFonts w:ascii="Times New Roman" w:hAnsi="Times New Roman"/>
                <w:sz w:val="24"/>
              </w:rPr>
            </w:pPr>
            <w:r w:rsidRPr="00E07C9A">
              <w:rPr>
                <w:rFonts w:ascii="Times New Roman" w:hAnsi="Times New Roman"/>
                <w:sz w:val="24"/>
              </w:rPr>
              <w:t>0010</w:t>
            </w:r>
          </w:p>
        </w:tc>
        <w:tc>
          <w:tcPr>
            <w:tcW w:w="8004" w:type="dxa"/>
          </w:tcPr>
          <w:p w14:paraId="7F294018" w14:textId="77777777" w:rsidR="00113E45" w:rsidRPr="00E07C9A" w:rsidRDefault="00113E45" w:rsidP="00E60B53">
            <w:pPr>
              <w:spacing w:beforeLines="60" w:before="144" w:afterLines="60" w:after="144"/>
              <w:rPr>
                <w:rFonts w:ascii="Times New Roman" w:hAnsi="Times New Roman"/>
                <w:b/>
                <w:sz w:val="24"/>
                <w:u w:val="single"/>
              </w:rPr>
            </w:pPr>
            <w:r w:rsidRPr="00E07C9A">
              <w:rPr>
                <w:rFonts w:ascii="Times New Roman" w:hAnsi="Times New Roman"/>
                <w:b/>
                <w:sz w:val="24"/>
                <w:u w:val="single"/>
              </w:rPr>
              <w:t>KATEGÓRIA RIZIKA</w:t>
            </w:r>
          </w:p>
          <w:p w14:paraId="6C8CE80E" w14:textId="77777777" w:rsidR="00113E45" w:rsidRPr="00E07C9A" w:rsidRDefault="00113E45" w:rsidP="00E60B53">
            <w:pPr>
              <w:spacing w:beforeLines="60" w:before="144" w:afterLines="60" w:after="144"/>
              <w:rPr>
                <w:rFonts w:ascii="Times New Roman" w:hAnsi="Times New Roman"/>
                <w:sz w:val="24"/>
              </w:rPr>
            </w:pPr>
            <w:r w:rsidRPr="00E07C9A">
              <w:rPr>
                <w:rFonts w:ascii="Times New Roman" w:hAnsi="Times New Roman"/>
                <w:sz w:val="24"/>
              </w:rPr>
              <w:t>Kategória rizika (úrokové, devízové, kreditné, kapitálové, komoditné), ktorá najpresnejšie vystihuje pozíciu.</w:t>
            </w:r>
          </w:p>
          <w:p w14:paraId="74AF4D5B" w14:textId="77777777" w:rsidR="00113E45" w:rsidRPr="00E07C9A" w:rsidRDefault="00113E45" w:rsidP="00E60B53">
            <w:pPr>
              <w:spacing w:beforeLines="60" w:before="144" w:afterLines="60" w:after="144"/>
              <w:rPr>
                <w:rFonts w:ascii="Times New Roman" w:hAnsi="Times New Roman"/>
                <w:sz w:val="24"/>
              </w:rPr>
            </w:pPr>
            <w:r w:rsidRPr="00E07C9A">
              <w:rPr>
                <w:rFonts w:ascii="Times New Roman" w:hAnsi="Times New Roman"/>
                <w:sz w:val="24"/>
              </w:rPr>
              <w:t>Inštitúcie vykazujú tieto kódy:</w:t>
            </w:r>
          </w:p>
          <w:p w14:paraId="04378809" w14:textId="77777777" w:rsidR="00113E45" w:rsidRPr="00E07C9A" w:rsidRDefault="00113E45" w:rsidP="00E60B53">
            <w:pPr>
              <w:spacing w:beforeLines="60" w:before="144" w:afterLines="60" w:after="144"/>
              <w:rPr>
                <w:rFonts w:ascii="Times New Roman" w:hAnsi="Times New Roman"/>
                <w:sz w:val="24"/>
              </w:rPr>
            </w:pPr>
            <w:r w:rsidRPr="00E07C9A">
              <w:rPr>
                <w:rFonts w:ascii="Times New Roman" w:hAnsi="Times New Roman"/>
                <w:sz w:val="24"/>
              </w:rPr>
              <w:t>IR – úrokové,</w:t>
            </w:r>
          </w:p>
          <w:p w14:paraId="616A6B01" w14:textId="77777777" w:rsidR="0022597E" w:rsidRPr="00E07C9A" w:rsidRDefault="0022597E" w:rsidP="00E60B53">
            <w:pPr>
              <w:spacing w:beforeLines="60" w:before="144" w:afterLines="60" w:after="144"/>
              <w:rPr>
                <w:rFonts w:ascii="Times New Roman" w:hAnsi="Times New Roman"/>
                <w:sz w:val="24"/>
              </w:rPr>
            </w:pPr>
            <w:r w:rsidRPr="00E07C9A">
              <w:rPr>
                <w:rFonts w:ascii="Times New Roman" w:hAnsi="Times New Roman"/>
                <w:sz w:val="24"/>
              </w:rPr>
              <w:t>FX – devízové,</w:t>
            </w:r>
          </w:p>
          <w:p w14:paraId="4A97E5DF" w14:textId="77777777" w:rsidR="00113E45" w:rsidRPr="00E07C9A" w:rsidRDefault="00113E45" w:rsidP="00E60B53">
            <w:pPr>
              <w:spacing w:beforeLines="60" w:before="144" w:afterLines="60" w:after="144"/>
              <w:rPr>
                <w:rFonts w:ascii="Times New Roman" w:hAnsi="Times New Roman"/>
                <w:sz w:val="24"/>
              </w:rPr>
            </w:pPr>
            <w:r w:rsidRPr="00E07C9A">
              <w:rPr>
                <w:rFonts w:ascii="Times New Roman" w:hAnsi="Times New Roman"/>
                <w:sz w:val="24"/>
              </w:rPr>
              <w:t>CR – kreditné,</w:t>
            </w:r>
          </w:p>
          <w:p w14:paraId="405A740E" w14:textId="77777777" w:rsidR="00113E45" w:rsidRPr="00E07C9A" w:rsidRDefault="00113E45" w:rsidP="00E60B53">
            <w:pPr>
              <w:spacing w:beforeLines="60" w:before="144" w:afterLines="60" w:after="144"/>
              <w:rPr>
                <w:rFonts w:ascii="Times New Roman" w:hAnsi="Times New Roman"/>
                <w:sz w:val="24"/>
              </w:rPr>
            </w:pPr>
            <w:r w:rsidRPr="00E07C9A">
              <w:rPr>
                <w:rFonts w:ascii="Times New Roman" w:hAnsi="Times New Roman"/>
                <w:sz w:val="24"/>
              </w:rPr>
              <w:t>EQ – kapitálové,</w:t>
            </w:r>
          </w:p>
          <w:p w14:paraId="692300F8" w14:textId="77777777" w:rsidR="00113E45" w:rsidRPr="00E07C9A" w:rsidRDefault="00113E45" w:rsidP="0022597E">
            <w:pPr>
              <w:spacing w:beforeLines="60" w:before="144" w:afterLines="60" w:after="144"/>
              <w:rPr>
                <w:rFonts w:ascii="Times New Roman" w:hAnsi="Times New Roman"/>
                <w:sz w:val="24"/>
              </w:rPr>
            </w:pPr>
            <w:r w:rsidRPr="00E07C9A">
              <w:rPr>
                <w:rFonts w:ascii="Times New Roman" w:hAnsi="Times New Roman"/>
                <w:sz w:val="24"/>
              </w:rPr>
              <w:t>CO – komoditné.</w:t>
            </w:r>
          </w:p>
        </w:tc>
      </w:tr>
      <w:tr w:rsidR="00113E45" w:rsidRPr="00E07C9A" w14:paraId="5CB9A6D4" w14:textId="77777777" w:rsidTr="00672D2A">
        <w:tc>
          <w:tcPr>
            <w:tcW w:w="852" w:type="dxa"/>
          </w:tcPr>
          <w:p w14:paraId="4F8A53FE" w14:textId="77777777" w:rsidR="00113E45" w:rsidRPr="00E07C9A" w:rsidRDefault="0022597E" w:rsidP="00E60B53">
            <w:pPr>
              <w:spacing w:beforeLines="60" w:before="144" w:afterLines="60" w:after="144"/>
              <w:rPr>
                <w:rFonts w:ascii="Times New Roman" w:hAnsi="Times New Roman"/>
                <w:sz w:val="24"/>
              </w:rPr>
            </w:pPr>
            <w:r w:rsidRPr="00E07C9A">
              <w:rPr>
                <w:rFonts w:ascii="Times New Roman" w:hAnsi="Times New Roman"/>
                <w:sz w:val="24"/>
              </w:rPr>
              <w:t>0020</w:t>
            </w:r>
          </w:p>
        </w:tc>
        <w:tc>
          <w:tcPr>
            <w:tcW w:w="8004" w:type="dxa"/>
          </w:tcPr>
          <w:p w14:paraId="13614091" w14:textId="77777777" w:rsidR="009912F8" w:rsidRPr="00E07C9A" w:rsidRDefault="00113E45" w:rsidP="00E60B53">
            <w:pPr>
              <w:spacing w:beforeLines="60" w:before="144" w:afterLines="60" w:after="144"/>
              <w:rPr>
                <w:rFonts w:ascii="Times New Roman" w:hAnsi="Times New Roman"/>
                <w:b/>
                <w:sz w:val="24"/>
                <w:u w:val="single"/>
              </w:rPr>
            </w:pPr>
            <w:r w:rsidRPr="00E07C9A">
              <w:rPr>
                <w:rFonts w:ascii="Times New Roman" w:hAnsi="Times New Roman"/>
                <w:b/>
                <w:sz w:val="24"/>
                <w:u w:val="single"/>
              </w:rPr>
              <w:t>PRODUKT</w:t>
            </w:r>
          </w:p>
          <w:p w14:paraId="0A3CE213" w14:textId="71743D51" w:rsidR="00113E45" w:rsidRPr="00E07C9A" w:rsidRDefault="00113E45" w:rsidP="00B14253">
            <w:pPr>
              <w:spacing w:beforeLines="60" w:before="144" w:afterLines="60" w:after="144"/>
              <w:rPr>
                <w:rFonts w:ascii="Times New Roman" w:hAnsi="Times New Roman"/>
                <w:sz w:val="24"/>
              </w:rPr>
            </w:pPr>
            <w:r w:rsidRPr="00E07C9A">
              <w:rPr>
                <w:rFonts w:ascii="Times New Roman" w:hAnsi="Times New Roman"/>
                <w:sz w:val="24"/>
              </w:rPr>
              <w:t>Interný názov pre produkt alebo skupinu produktov</w:t>
            </w:r>
            <w:r w:rsidR="009912F8" w:rsidRPr="00E07C9A">
              <w:rPr>
                <w:rFonts w:ascii="Times New Roman" w:hAnsi="Times New Roman"/>
                <w:sz w:val="24"/>
              </w:rPr>
              <w:t xml:space="preserve"> v </w:t>
            </w:r>
            <w:r w:rsidRPr="00E07C9A">
              <w:rPr>
                <w:rFonts w:ascii="Times New Roman" w:hAnsi="Times New Roman"/>
                <w:sz w:val="24"/>
              </w:rPr>
              <w:t>súlade so zoznamom produktov požadovaným</w:t>
            </w:r>
            <w:r w:rsidR="009912F8" w:rsidRPr="00E07C9A">
              <w:rPr>
                <w:rFonts w:ascii="Times New Roman" w:hAnsi="Times New Roman"/>
                <w:sz w:val="24"/>
              </w:rPr>
              <w:t xml:space="preserve"> v </w:t>
            </w:r>
            <w:r w:rsidRPr="00E07C9A">
              <w:rPr>
                <w:rFonts w:ascii="Times New Roman" w:hAnsi="Times New Roman"/>
                <w:sz w:val="24"/>
              </w:rPr>
              <w:t>článku 19 ods. 3 písm. a) delegovaného nariadenia (EÚ) 2016/101.</w:t>
            </w:r>
          </w:p>
        </w:tc>
      </w:tr>
      <w:tr w:rsidR="00113E45" w:rsidRPr="00E07C9A" w14:paraId="423B371A" w14:textId="77777777" w:rsidTr="00672D2A">
        <w:tc>
          <w:tcPr>
            <w:tcW w:w="852" w:type="dxa"/>
          </w:tcPr>
          <w:p w14:paraId="5941E822" w14:textId="77777777" w:rsidR="00113E45" w:rsidRPr="00E07C9A" w:rsidRDefault="0022597E" w:rsidP="00E60B53">
            <w:pPr>
              <w:spacing w:beforeLines="60" w:before="144" w:afterLines="60" w:after="144"/>
              <w:rPr>
                <w:rFonts w:ascii="Times New Roman" w:hAnsi="Times New Roman"/>
                <w:sz w:val="24"/>
              </w:rPr>
            </w:pPr>
            <w:r w:rsidRPr="00E07C9A">
              <w:rPr>
                <w:rFonts w:ascii="Times New Roman" w:hAnsi="Times New Roman"/>
                <w:sz w:val="24"/>
              </w:rPr>
              <w:t>0030</w:t>
            </w:r>
          </w:p>
        </w:tc>
        <w:tc>
          <w:tcPr>
            <w:tcW w:w="8004" w:type="dxa"/>
          </w:tcPr>
          <w:p w14:paraId="50734761" w14:textId="77777777" w:rsidR="00113E45" w:rsidRPr="00E07C9A" w:rsidRDefault="00113E45" w:rsidP="00E60B53">
            <w:pPr>
              <w:spacing w:beforeLines="60" w:before="144" w:afterLines="60" w:after="144"/>
              <w:rPr>
                <w:rFonts w:ascii="Times New Roman" w:hAnsi="Times New Roman"/>
                <w:b/>
                <w:sz w:val="24"/>
                <w:u w:val="single"/>
              </w:rPr>
            </w:pPr>
            <w:r w:rsidRPr="00E07C9A">
              <w:rPr>
                <w:rFonts w:ascii="Times New Roman" w:hAnsi="Times New Roman"/>
                <w:b/>
                <w:sz w:val="24"/>
                <w:u w:val="single"/>
              </w:rPr>
              <w:t>PODKLADOVÉ AKTÍVUM/NÁSTROJ</w:t>
            </w:r>
          </w:p>
          <w:p w14:paraId="718624B5" w14:textId="1C43A4FC" w:rsidR="00113E45" w:rsidRPr="00E07C9A" w:rsidRDefault="00113E45" w:rsidP="00E60B53">
            <w:pPr>
              <w:spacing w:beforeLines="60" w:before="144" w:afterLines="60" w:after="144"/>
              <w:rPr>
                <w:rFonts w:ascii="Times New Roman" w:hAnsi="Times New Roman"/>
                <w:sz w:val="24"/>
              </w:rPr>
            </w:pPr>
            <w:r w:rsidRPr="00E07C9A">
              <w:rPr>
                <w:rFonts w:ascii="Times New Roman" w:hAnsi="Times New Roman"/>
                <w:sz w:val="24"/>
              </w:rPr>
              <w:t>Interný názov podkladového aktíva alebo podkladových aktív</w:t>
            </w:r>
            <w:r w:rsidR="009912F8" w:rsidRPr="00E07C9A">
              <w:rPr>
                <w:rFonts w:ascii="Times New Roman" w:hAnsi="Times New Roman"/>
                <w:sz w:val="24"/>
              </w:rPr>
              <w:t xml:space="preserve"> v </w:t>
            </w:r>
            <w:r w:rsidRPr="00E07C9A">
              <w:rPr>
                <w:rFonts w:ascii="Times New Roman" w:hAnsi="Times New Roman"/>
                <w:sz w:val="24"/>
              </w:rPr>
              <w:t>prípade derivátov alebo nástrojov</w:t>
            </w:r>
            <w:r w:rsidR="009912F8" w:rsidRPr="00E07C9A">
              <w:rPr>
                <w:rFonts w:ascii="Times New Roman" w:hAnsi="Times New Roman"/>
                <w:sz w:val="24"/>
              </w:rPr>
              <w:t xml:space="preserve"> v </w:t>
            </w:r>
            <w:r w:rsidRPr="00E07C9A">
              <w:rPr>
                <w:rFonts w:ascii="Times New Roman" w:hAnsi="Times New Roman"/>
                <w:sz w:val="24"/>
              </w:rPr>
              <w:t>prípade nederivátových zmlúv.</w:t>
            </w:r>
          </w:p>
        </w:tc>
      </w:tr>
      <w:tr w:rsidR="00113E45" w:rsidRPr="00E07C9A" w14:paraId="0F60F26C" w14:textId="77777777" w:rsidTr="00672D2A">
        <w:tc>
          <w:tcPr>
            <w:tcW w:w="852" w:type="dxa"/>
          </w:tcPr>
          <w:p w14:paraId="74BDCA51" w14:textId="77777777" w:rsidR="00113E45" w:rsidRPr="00E07C9A" w:rsidRDefault="0022597E" w:rsidP="00E60B53">
            <w:pPr>
              <w:spacing w:beforeLines="60" w:before="144" w:afterLines="60" w:after="144"/>
              <w:rPr>
                <w:rFonts w:ascii="Times New Roman" w:hAnsi="Times New Roman"/>
                <w:sz w:val="24"/>
              </w:rPr>
            </w:pPr>
            <w:r w:rsidRPr="00E07C9A">
              <w:rPr>
                <w:rFonts w:ascii="Times New Roman" w:hAnsi="Times New Roman"/>
                <w:sz w:val="24"/>
              </w:rPr>
              <w:t>0040</w:t>
            </w:r>
          </w:p>
        </w:tc>
        <w:tc>
          <w:tcPr>
            <w:tcW w:w="8004" w:type="dxa"/>
          </w:tcPr>
          <w:p w14:paraId="30077884" w14:textId="77777777" w:rsidR="00113E45" w:rsidRPr="00E07C9A" w:rsidRDefault="00113E45" w:rsidP="00E60B53">
            <w:pPr>
              <w:spacing w:beforeLines="60" w:before="144" w:afterLines="60" w:after="144"/>
              <w:rPr>
                <w:rFonts w:ascii="Times New Roman" w:hAnsi="Times New Roman"/>
                <w:b/>
                <w:sz w:val="24"/>
                <w:u w:val="single"/>
              </w:rPr>
            </w:pPr>
            <w:r w:rsidRPr="00E07C9A">
              <w:rPr>
                <w:rFonts w:ascii="Times New Roman" w:hAnsi="Times New Roman"/>
                <w:b/>
                <w:sz w:val="24"/>
                <w:u w:val="single"/>
              </w:rPr>
              <w:t>VEĽKOSŤ KONCENTROVANEJ POZÍCIE</w:t>
            </w:r>
          </w:p>
          <w:p w14:paraId="29A739CB" w14:textId="7BFD6D2F" w:rsidR="00113E45" w:rsidRPr="00E07C9A" w:rsidRDefault="00113E45" w:rsidP="00813B8E">
            <w:pPr>
              <w:spacing w:beforeLines="60" w:before="144" w:afterLines="60" w:after="144"/>
              <w:rPr>
                <w:rStyle w:val="InstructionsTabelleberschrift"/>
                <w:rFonts w:ascii="Times New Roman" w:hAnsi="Times New Roman"/>
                <w:sz w:val="24"/>
              </w:rPr>
            </w:pPr>
            <w:r w:rsidRPr="00E07C9A">
              <w:rPr>
                <w:rFonts w:ascii="Times New Roman" w:hAnsi="Times New Roman"/>
                <w:sz w:val="24"/>
              </w:rPr>
              <w:t>Veľkosť samostatnej koncentrovanej oceňovanej pozície identifikovanej</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článkom 14 ods. 1 písm. a) delegovaného nariadenia (EÚ) 2016/101, vyjadrená</w:t>
            </w:r>
            <w:r w:rsidR="009912F8" w:rsidRPr="00E07C9A">
              <w:rPr>
                <w:rFonts w:ascii="Times New Roman" w:hAnsi="Times New Roman"/>
                <w:sz w:val="24"/>
              </w:rPr>
              <w:t xml:space="preserve"> v </w:t>
            </w:r>
            <w:r w:rsidRPr="00E07C9A">
              <w:rPr>
                <w:rFonts w:ascii="Times New Roman" w:hAnsi="Times New Roman"/>
                <w:sz w:val="24"/>
              </w:rPr>
              <w:t>jednotke opísanej</w:t>
            </w:r>
            <w:r w:rsidR="009912F8" w:rsidRPr="00E07C9A">
              <w:rPr>
                <w:rFonts w:ascii="Times New Roman" w:hAnsi="Times New Roman"/>
                <w:sz w:val="24"/>
              </w:rPr>
              <w:t xml:space="preserve"> v </w:t>
            </w:r>
            <w:r w:rsidRPr="00E07C9A">
              <w:rPr>
                <w:rFonts w:ascii="Times New Roman" w:hAnsi="Times New Roman"/>
                <w:sz w:val="24"/>
              </w:rPr>
              <w:t xml:space="preserve">stĺpci 0050. </w:t>
            </w:r>
          </w:p>
        </w:tc>
      </w:tr>
      <w:tr w:rsidR="00113E45" w:rsidRPr="00E07C9A" w14:paraId="3643F9F3" w14:textId="77777777" w:rsidTr="00672D2A">
        <w:tc>
          <w:tcPr>
            <w:tcW w:w="852" w:type="dxa"/>
          </w:tcPr>
          <w:p w14:paraId="1540CC43" w14:textId="77777777" w:rsidR="00113E45" w:rsidRPr="00E07C9A" w:rsidRDefault="0022597E" w:rsidP="00E60B53">
            <w:pPr>
              <w:spacing w:beforeLines="60" w:before="144" w:afterLines="60" w:after="144"/>
              <w:rPr>
                <w:rFonts w:ascii="Times New Roman" w:hAnsi="Times New Roman"/>
                <w:sz w:val="24"/>
              </w:rPr>
            </w:pPr>
            <w:r w:rsidRPr="00E07C9A">
              <w:rPr>
                <w:rFonts w:ascii="Times New Roman" w:hAnsi="Times New Roman"/>
                <w:sz w:val="24"/>
              </w:rPr>
              <w:t>0050</w:t>
            </w:r>
          </w:p>
        </w:tc>
        <w:tc>
          <w:tcPr>
            <w:tcW w:w="8004" w:type="dxa"/>
          </w:tcPr>
          <w:p w14:paraId="71E8F490" w14:textId="77777777" w:rsidR="00113E45" w:rsidRPr="00E07C9A" w:rsidRDefault="00113E45" w:rsidP="00E60B53">
            <w:pPr>
              <w:spacing w:beforeLines="60" w:before="144" w:afterLines="60" w:after="144"/>
              <w:rPr>
                <w:rFonts w:ascii="Times New Roman" w:hAnsi="Times New Roman"/>
                <w:b/>
                <w:sz w:val="24"/>
                <w:u w:val="single"/>
              </w:rPr>
            </w:pPr>
            <w:r w:rsidRPr="00E07C9A">
              <w:rPr>
                <w:rFonts w:ascii="Times New Roman" w:hAnsi="Times New Roman"/>
                <w:b/>
                <w:sz w:val="24"/>
                <w:u w:val="single"/>
              </w:rPr>
              <w:t>MIERA VEĽKOSTI</w:t>
            </w:r>
          </w:p>
          <w:p w14:paraId="112B1FD7" w14:textId="6BACC139" w:rsidR="009912F8" w:rsidRPr="00E07C9A" w:rsidRDefault="00113E45" w:rsidP="00E60B53">
            <w:pPr>
              <w:spacing w:beforeLines="60" w:before="144" w:afterLines="60" w:after="144"/>
              <w:rPr>
                <w:rFonts w:ascii="Times New Roman" w:hAnsi="Times New Roman"/>
                <w:sz w:val="24"/>
              </w:rPr>
            </w:pPr>
            <w:r w:rsidRPr="00E07C9A">
              <w:rPr>
                <w:rFonts w:ascii="Times New Roman" w:hAnsi="Times New Roman"/>
                <w:sz w:val="24"/>
              </w:rPr>
              <w:t>Jednotka miery veľkosti používaná interne</w:t>
            </w:r>
            <w:r w:rsidR="009912F8" w:rsidRPr="00E07C9A">
              <w:rPr>
                <w:rFonts w:ascii="Times New Roman" w:hAnsi="Times New Roman"/>
                <w:sz w:val="24"/>
              </w:rPr>
              <w:t xml:space="preserve"> v </w:t>
            </w:r>
            <w:r w:rsidRPr="00E07C9A">
              <w:rPr>
                <w:rFonts w:ascii="Times New Roman" w:hAnsi="Times New Roman"/>
                <w:sz w:val="24"/>
              </w:rPr>
              <w:t>rámci identifikácie koncentrovanej oceňovanej pozície na výpočet veľkosti koncentrovanej pozície uvádzanej</w:t>
            </w:r>
            <w:r w:rsidR="009912F8" w:rsidRPr="00E07C9A">
              <w:rPr>
                <w:rFonts w:ascii="Times New Roman" w:hAnsi="Times New Roman"/>
                <w:sz w:val="24"/>
              </w:rPr>
              <w:t xml:space="preserve"> v </w:t>
            </w:r>
            <w:r w:rsidRPr="00E07C9A">
              <w:rPr>
                <w:rFonts w:ascii="Times New Roman" w:hAnsi="Times New Roman"/>
                <w:sz w:val="24"/>
              </w:rPr>
              <w:t>stĺpci 0040</w:t>
            </w:r>
            <w:r w:rsidR="009912F8" w:rsidRPr="00E07C9A">
              <w:rPr>
                <w:rFonts w:ascii="Times New Roman" w:hAnsi="Times New Roman"/>
                <w:sz w:val="24"/>
              </w:rPr>
              <w:t>.</w:t>
            </w:r>
          </w:p>
          <w:p w14:paraId="1A78F4BF" w14:textId="37ED2F69" w:rsidR="009912F8" w:rsidRPr="00E07C9A" w:rsidRDefault="00113E45" w:rsidP="00E60B53">
            <w:pPr>
              <w:spacing w:beforeLines="60" w:before="144" w:afterLines="60" w:after="144"/>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V prípade pozícií</w:t>
            </w:r>
            <w:r w:rsidR="009912F8" w:rsidRPr="00E07C9A">
              <w:rPr>
                <w:rStyle w:val="InstructionsTabelleberschrift"/>
                <w:rFonts w:ascii="Times New Roman" w:hAnsi="Times New Roman"/>
                <w:b w:val="0"/>
                <w:sz w:val="24"/>
                <w:u w:val="none"/>
              </w:rPr>
              <w:t xml:space="preserve"> v </w:t>
            </w:r>
            <w:r w:rsidRPr="00E07C9A">
              <w:rPr>
                <w:rStyle w:val="InstructionsTabelleberschrift"/>
                <w:rFonts w:ascii="Times New Roman" w:hAnsi="Times New Roman"/>
                <w:b w:val="0"/>
                <w:sz w:val="24"/>
                <w:u w:val="none"/>
              </w:rPr>
              <w:t xml:space="preserve">dlhopisoch alebo akciách sa vykazuje jednotka používaná </w:t>
            </w:r>
            <w:r w:rsidRPr="00E07C9A">
              <w:rPr>
                <w:rFonts w:ascii="Times New Roman" w:hAnsi="Times New Roman"/>
                <w:sz w:val="24"/>
              </w:rPr>
              <w:t>pre interné riadenie rizika</w:t>
            </w:r>
            <w:r w:rsidRPr="00E07C9A">
              <w:rPr>
                <w:rStyle w:val="InstructionsTabelleberschrift"/>
                <w:rFonts w:ascii="Times New Roman" w:hAnsi="Times New Roman"/>
                <w:b w:val="0"/>
                <w:sz w:val="24"/>
                <w:u w:val="none"/>
              </w:rPr>
              <w:t>, napríklad „počet dlhopisov“, „počet akcií“ alebo „trhová hodnota“</w:t>
            </w:r>
            <w:r w:rsidR="009912F8" w:rsidRPr="00E07C9A">
              <w:rPr>
                <w:rStyle w:val="InstructionsTabelleberschrift"/>
                <w:rFonts w:ascii="Times New Roman" w:hAnsi="Times New Roman"/>
                <w:b w:val="0"/>
                <w:sz w:val="24"/>
                <w:u w:val="none"/>
              </w:rPr>
              <w:t>.</w:t>
            </w:r>
          </w:p>
          <w:p w14:paraId="66967CF0" w14:textId="47A58878" w:rsidR="00113E45" w:rsidRPr="00E07C9A" w:rsidRDefault="00113E45" w:rsidP="00E60B53">
            <w:pPr>
              <w:spacing w:beforeLines="60" w:before="144" w:afterLines="60" w:after="144"/>
              <w:rPr>
                <w:rStyle w:val="InstructionsTabelleberschrift"/>
                <w:rFonts w:ascii="Times New Roman" w:hAnsi="Times New Roman"/>
                <w:b w:val="0"/>
                <w:bCs w:val="0"/>
                <w:sz w:val="24"/>
                <w:u w:val="none"/>
              </w:rPr>
            </w:pPr>
            <w:r w:rsidRPr="00E07C9A">
              <w:rPr>
                <w:rFonts w:ascii="Times New Roman" w:hAnsi="Times New Roman"/>
                <w:sz w:val="24"/>
              </w:rPr>
              <w:t>V prípade pozície</w:t>
            </w:r>
            <w:r w:rsidR="009912F8" w:rsidRPr="00E07C9A">
              <w:rPr>
                <w:rFonts w:ascii="Times New Roman" w:hAnsi="Times New Roman"/>
                <w:sz w:val="24"/>
              </w:rPr>
              <w:t xml:space="preserve"> v </w:t>
            </w:r>
            <w:r w:rsidRPr="00E07C9A">
              <w:rPr>
                <w:rFonts w:ascii="Times New Roman" w:hAnsi="Times New Roman"/>
                <w:sz w:val="24"/>
              </w:rPr>
              <w:t xml:space="preserve">derivátoch sa vykazuje jednotka používaná pre interné riadenie rizika, napríklad „PV01; EUR na 1 bázický bod paralelného posunu výnosovej krivky“. </w:t>
            </w:r>
          </w:p>
        </w:tc>
      </w:tr>
      <w:tr w:rsidR="00113E45" w:rsidRPr="00E07C9A" w14:paraId="068E4ED9" w14:textId="77777777" w:rsidTr="00672D2A">
        <w:tc>
          <w:tcPr>
            <w:tcW w:w="852" w:type="dxa"/>
          </w:tcPr>
          <w:p w14:paraId="68D8B54B" w14:textId="77777777" w:rsidR="00113E45" w:rsidRPr="00E07C9A" w:rsidRDefault="0022597E" w:rsidP="00E60B53">
            <w:pPr>
              <w:spacing w:beforeLines="60" w:before="144" w:afterLines="60" w:after="144"/>
              <w:rPr>
                <w:rFonts w:ascii="Times New Roman" w:hAnsi="Times New Roman"/>
                <w:sz w:val="24"/>
              </w:rPr>
            </w:pPr>
            <w:r w:rsidRPr="00E07C9A">
              <w:rPr>
                <w:rFonts w:ascii="Times New Roman" w:hAnsi="Times New Roman"/>
                <w:sz w:val="24"/>
              </w:rPr>
              <w:t>0060</w:t>
            </w:r>
          </w:p>
        </w:tc>
        <w:tc>
          <w:tcPr>
            <w:tcW w:w="8004" w:type="dxa"/>
          </w:tcPr>
          <w:p w14:paraId="5CAFEC2A" w14:textId="77777777" w:rsidR="00113E45" w:rsidRPr="00E07C9A" w:rsidRDefault="00113E45" w:rsidP="00E60B53">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TRHOVÁ HODNOTA</w:t>
            </w:r>
          </w:p>
          <w:p w14:paraId="6403F301" w14:textId="77777777" w:rsidR="00113E45" w:rsidRPr="00E07C9A" w:rsidRDefault="00113E45" w:rsidP="00E60B53">
            <w:pPr>
              <w:spacing w:beforeLines="60" w:before="144" w:afterLines="60" w:after="144"/>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Trhová hodnota pozície.</w:t>
            </w:r>
          </w:p>
        </w:tc>
      </w:tr>
      <w:tr w:rsidR="00113E45" w:rsidRPr="00E07C9A" w14:paraId="3DB82BCA" w14:textId="77777777" w:rsidTr="00672D2A">
        <w:tc>
          <w:tcPr>
            <w:tcW w:w="852" w:type="dxa"/>
          </w:tcPr>
          <w:p w14:paraId="1C739A60" w14:textId="77777777" w:rsidR="00113E45" w:rsidRPr="00E07C9A" w:rsidRDefault="0022597E" w:rsidP="00E60B53">
            <w:pPr>
              <w:spacing w:beforeLines="60" w:before="144" w:afterLines="60" w:after="144"/>
              <w:rPr>
                <w:rFonts w:ascii="Times New Roman" w:hAnsi="Times New Roman"/>
                <w:sz w:val="24"/>
              </w:rPr>
            </w:pPr>
            <w:r w:rsidRPr="00E07C9A">
              <w:rPr>
                <w:rFonts w:ascii="Times New Roman" w:hAnsi="Times New Roman"/>
                <w:sz w:val="24"/>
              </w:rPr>
              <w:t>0070</w:t>
            </w:r>
          </w:p>
        </w:tc>
        <w:tc>
          <w:tcPr>
            <w:tcW w:w="8004" w:type="dxa"/>
          </w:tcPr>
          <w:p w14:paraId="19F6098D" w14:textId="77777777" w:rsidR="00113E45" w:rsidRPr="00E07C9A" w:rsidRDefault="00113E45" w:rsidP="00E60B53">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OBOZRETNÉ OBDOBIE NA ZATVORENIE POZÍCIE</w:t>
            </w:r>
          </w:p>
          <w:p w14:paraId="0ED9344D" w14:textId="793A26E1" w:rsidR="00113E45" w:rsidRPr="00E07C9A" w:rsidRDefault="00113E45" w:rsidP="00B14253">
            <w:pPr>
              <w:spacing w:beforeLines="60" w:before="144" w:afterLines="60" w:after="144"/>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Obozretné obdobie na zatvorenie pozície ako počet dní odhadnutý</w:t>
            </w:r>
            <w:r w:rsidR="009912F8" w:rsidRPr="00E07C9A">
              <w:rPr>
                <w:rStyle w:val="InstructionsTabelleberschrift"/>
                <w:rFonts w:ascii="Times New Roman" w:hAnsi="Times New Roman"/>
                <w:b w:val="0"/>
                <w:sz w:val="24"/>
                <w:u w:val="none"/>
              </w:rPr>
              <w:t xml:space="preserve"> v </w:t>
            </w:r>
            <w:r w:rsidRPr="00E07C9A">
              <w:rPr>
                <w:rStyle w:val="InstructionsTabelleberschrift"/>
                <w:rFonts w:ascii="Times New Roman" w:hAnsi="Times New Roman"/>
                <w:b w:val="0"/>
                <w:sz w:val="24"/>
                <w:u w:val="none"/>
              </w:rPr>
              <w:t>súlade</w:t>
            </w:r>
            <w:r w:rsidR="009912F8" w:rsidRPr="00E07C9A">
              <w:rPr>
                <w:rStyle w:val="InstructionsTabelleberschrift"/>
                <w:rFonts w:ascii="Times New Roman" w:hAnsi="Times New Roman"/>
                <w:b w:val="0"/>
                <w:sz w:val="24"/>
                <w:u w:val="none"/>
              </w:rPr>
              <w:t xml:space="preserve"> s </w:t>
            </w:r>
            <w:r w:rsidRPr="00E07C9A">
              <w:rPr>
                <w:rFonts w:ascii="Times New Roman" w:hAnsi="Times New Roman"/>
                <w:sz w:val="24"/>
              </w:rPr>
              <w:t>článkom 14 ods. 1 písm. b)</w:t>
            </w:r>
            <w:r w:rsidRPr="00E07C9A">
              <w:rPr>
                <w:rStyle w:val="InstructionsTabelleberschrift"/>
                <w:rFonts w:ascii="Times New Roman" w:hAnsi="Times New Roman"/>
                <w:b w:val="0"/>
                <w:sz w:val="24"/>
                <w:u w:val="none"/>
              </w:rPr>
              <w:t xml:space="preserve"> </w:t>
            </w:r>
            <w:r w:rsidRPr="00E07C9A">
              <w:rPr>
                <w:rFonts w:ascii="Times New Roman" w:hAnsi="Times New Roman"/>
                <w:sz w:val="24"/>
              </w:rPr>
              <w:t>delegovaného nariadenia (EÚ) 2016/101</w:t>
            </w:r>
            <w:r w:rsidRPr="00E07C9A">
              <w:rPr>
                <w:rStyle w:val="InstructionsTabelleberschrift"/>
                <w:rFonts w:ascii="Times New Roman" w:hAnsi="Times New Roman"/>
                <w:b w:val="0"/>
                <w:sz w:val="24"/>
                <w:u w:val="none"/>
              </w:rPr>
              <w:t>.</w:t>
            </w:r>
          </w:p>
        </w:tc>
      </w:tr>
      <w:tr w:rsidR="00113E45" w:rsidRPr="00E07C9A" w14:paraId="5BB0FB81" w14:textId="77777777" w:rsidTr="00672D2A">
        <w:tc>
          <w:tcPr>
            <w:tcW w:w="852" w:type="dxa"/>
          </w:tcPr>
          <w:p w14:paraId="5D74B89A" w14:textId="77777777" w:rsidR="00113E45" w:rsidRPr="00E07C9A" w:rsidRDefault="0022597E" w:rsidP="00E60B53">
            <w:pPr>
              <w:spacing w:beforeLines="60" w:before="144" w:afterLines="60" w:after="144"/>
              <w:rPr>
                <w:rFonts w:ascii="Times New Roman" w:hAnsi="Times New Roman"/>
                <w:sz w:val="24"/>
              </w:rPr>
            </w:pPr>
            <w:r w:rsidRPr="00E07C9A">
              <w:rPr>
                <w:rFonts w:ascii="Times New Roman" w:hAnsi="Times New Roman"/>
                <w:sz w:val="24"/>
              </w:rPr>
              <w:t>0080</w:t>
            </w:r>
          </w:p>
        </w:tc>
        <w:tc>
          <w:tcPr>
            <w:tcW w:w="8004" w:type="dxa"/>
          </w:tcPr>
          <w:p w14:paraId="61DACC14" w14:textId="77777777" w:rsidR="00113E45" w:rsidRPr="00E07C9A" w:rsidRDefault="00113E45" w:rsidP="00E60B53">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DODATOČNÁ ÚPRAVA OCENENIA ZOHĽADŇUJÚCA KONCENTROVANÉ POZÍCIE</w:t>
            </w:r>
          </w:p>
          <w:p w14:paraId="21D3F6D5" w14:textId="77777777" w:rsidR="00113E45" w:rsidRPr="00E07C9A" w:rsidRDefault="00113E45" w:rsidP="00B14253">
            <w:pPr>
              <w:spacing w:beforeLines="60" w:before="144" w:afterLines="60" w:after="144"/>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 xml:space="preserve">Hodnota dodatočnej úpravy ocenenia zohľadňujúcej koncentrované pozície vypočítaná podľa článku 14 ods. 1 </w:t>
            </w:r>
            <w:r w:rsidRPr="00E07C9A">
              <w:rPr>
                <w:rFonts w:ascii="Times New Roman" w:hAnsi="Times New Roman"/>
                <w:sz w:val="24"/>
              </w:rPr>
              <w:t>delegovaného nariadenia (EÚ) 2016/101</w:t>
            </w:r>
            <w:r w:rsidRPr="00E07C9A">
              <w:rPr>
                <w:rStyle w:val="InstructionsTabelleberschrift"/>
                <w:rFonts w:ascii="Times New Roman" w:hAnsi="Times New Roman"/>
                <w:b w:val="0"/>
                <w:sz w:val="24"/>
                <w:u w:val="none"/>
              </w:rPr>
              <w:t xml:space="preserve"> pre samostatnú dotknutú koncentrovanú oceňovanú pozíciu.</w:t>
            </w:r>
          </w:p>
        </w:tc>
      </w:tr>
      <w:tr w:rsidR="00113E45" w:rsidRPr="00E07C9A" w14:paraId="1A902B70" w14:textId="77777777" w:rsidTr="00672D2A">
        <w:tc>
          <w:tcPr>
            <w:tcW w:w="852" w:type="dxa"/>
          </w:tcPr>
          <w:p w14:paraId="2FAD718F" w14:textId="77777777" w:rsidR="00113E45" w:rsidRPr="00E07C9A" w:rsidRDefault="0022597E" w:rsidP="00E60B53">
            <w:pPr>
              <w:spacing w:beforeLines="60" w:before="144" w:afterLines="60" w:after="144"/>
              <w:rPr>
                <w:rFonts w:ascii="Times New Roman" w:hAnsi="Times New Roman"/>
                <w:sz w:val="24"/>
              </w:rPr>
            </w:pPr>
            <w:r w:rsidRPr="00E07C9A">
              <w:rPr>
                <w:rFonts w:ascii="Times New Roman" w:hAnsi="Times New Roman"/>
                <w:sz w:val="24"/>
              </w:rPr>
              <w:t>0090</w:t>
            </w:r>
          </w:p>
        </w:tc>
        <w:tc>
          <w:tcPr>
            <w:tcW w:w="8004" w:type="dxa"/>
          </w:tcPr>
          <w:p w14:paraId="2BEA51CB" w14:textId="77777777" w:rsidR="00113E45" w:rsidRPr="00E07C9A" w:rsidRDefault="00113E45" w:rsidP="00E60B53">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ÚPRAVA REÁLNEJ HODNOTY KONCENTROVANEJ POZÍCIE</w:t>
            </w:r>
          </w:p>
          <w:p w14:paraId="5750A03A" w14:textId="77777777" w:rsidR="00955AA6" w:rsidRPr="00E07C9A" w:rsidRDefault="00113E45" w:rsidP="00955AA6">
            <w:pPr>
              <w:spacing w:beforeLines="60" w:before="144" w:afterLines="60" w:after="144"/>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Hodnota akýchkoľvek úprav reálnej hodnoty vykonaná na zohľadnenie toho, že agregovaná pozícia držaná inštitúciou je väčšia ako normálny obchodovaný objem alebo väčšia ako veľkosti pozícií, na ktorých sú založené kotácie alebo obchody použité na kalibráciu ceny alebo vstupov používaných modelom oceňovania.</w:t>
            </w:r>
          </w:p>
          <w:p w14:paraId="4B1FB5D9" w14:textId="77777777" w:rsidR="00113E45" w:rsidRPr="00E07C9A" w:rsidRDefault="00955AA6" w:rsidP="00955AA6">
            <w:pPr>
              <w:spacing w:beforeLines="60" w:before="144" w:afterLines="60" w:after="144"/>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Vykázaná suma zodpovedá sume, ktorá sa uplatnila na konkrétnu dotknutú koncentrovanú oceňovanú pozíciu.</w:t>
            </w:r>
          </w:p>
        </w:tc>
      </w:tr>
      <w:tr w:rsidR="00113E45" w:rsidRPr="00E07C9A" w14:paraId="5DB7B84A" w14:textId="77777777" w:rsidTr="00672D2A">
        <w:tc>
          <w:tcPr>
            <w:tcW w:w="852" w:type="dxa"/>
          </w:tcPr>
          <w:p w14:paraId="27DF26DB" w14:textId="77777777" w:rsidR="00113E45" w:rsidRPr="00E07C9A" w:rsidRDefault="0022597E" w:rsidP="00E60B53">
            <w:pPr>
              <w:spacing w:beforeLines="60" w:before="144" w:afterLines="60" w:after="144"/>
              <w:rPr>
                <w:rFonts w:ascii="Times New Roman" w:hAnsi="Times New Roman"/>
                <w:sz w:val="24"/>
              </w:rPr>
            </w:pPr>
            <w:r w:rsidRPr="00E07C9A">
              <w:rPr>
                <w:rFonts w:ascii="Times New Roman" w:hAnsi="Times New Roman"/>
                <w:sz w:val="24"/>
              </w:rPr>
              <w:t>0100</w:t>
            </w:r>
          </w:p>
        </w:tc>
        <w:tc>
          <w:tcPr>
            <w:tcW w:w="8004" w:type="dxa"/>
          </w:tcPr>
          <w:p w14:paraId="36E257C1" w14:textId="77777777" w:rsidR="00113E45" w:rsidRPr="00E07C9A" w:rsidRDefault="00113E45" w:rsidP="00E60B53">
            <w:pPr>
              <w:spacing w:beforeLines="60" w:before="144" w:afterLines="60" w:after="144"/>
              <w:rPr>
                <w:rStyle w:val="InstructionsTabelleberschrift"/>
                <w:rFonts w:ascii="Times New Roman" w:hAnsi="Times New Roman"/>
                <w:sz w:val="24"/>
              </w:rPr>
            </w:pPr>
            <w:r w:rsidRPr="00E07C9A">
              <w:rPr>
                <w:rStyle w:val="InstructionsTabelleberschrift"/>
                <w:rFonts w:ascii="Times New Roman" w:hAnsi="Times New Roman"/>
                <w:sz w:val="24"/>
              </w:rPr>
              <w:t>ROZDIEL NEZÁVISLÉHO OVEROVANIA CIEN</w:t>
            </w:r>
          </w:p>
          <w:p w14:paraId="3F9D29BF" w14:textId="320925A7" w:rsidR="009912F8" w:rsidRPr="00E07C9A" w:rsidRDefault="00113E45" w:rsidP="00E60B53">
            <w:pPr>
              <w:spacing w:beforeLines="60" w:before="144" w:afterLines="60" w:after="144"/>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Súčet neupravených súm rozdielu („rozdiel nezávislého overovania cien“) vypočítaný na konci mesiaca najbližšie</w:t>
            </w:r>
            <w:r w:rsidR="009912F8" w:rsidRPr="00E07C9A">
              <w:rPr>
                <w:rStyle w:val="InstructionsTabelleberschrift"/>
                <w:rFonts w:ascii="Times New Roman" w:hAnsi="Times New Roman"/>
                <w:b w:val="0"/>
                <w:sz w:val="24"/>
                <w:u w:val="none"/>
              </w:rPr>
              <w:t xml:space="preserve"> k </w:t>
            </w:r>
            <w:r w:rsidRPr="00E07C9A">
              <w:rPr>
                <w:rStyle w:val="InstructionsTabelleberschrift"/>
                <w:rFonts w:ascii="Times New Roman" w:hAnsi="Times New Roman"/>
                <w:b w:val="0"/>
                <w:sz w:val="24"/>
                <w:u w:val="none"/>
              </w:rPr>
              <w:t>dátumu vykazovania na základe procesu nezávislého overovania cien vykonaného</w:t>
            </w:r>
            <w:r w:rsidR="009912F8" w:rsidRPr="00E07C9A">
              <w:rPr>
                <w:rStyle w:val="InstructionsTabelleberschrift"/>
                <w:rFonts w:ascii="Times New Roman" w:hAnsi="Times New Roman"/>
                <w:b w:val="0"/>
                <w:sz w:val="24"/>
                <w:u w:val="none"/>
              </w:rPr>
              <w:t xml:space="preserve"> v </w:t>
            </w:r>
            <w:r w:rsidRPr="00E07C9A">
              <w:rPr>
                <w:rStyle w:val="InstructionsTabelleberschrift"/>
                <w:rFonts w:ascii="Times New Roman" w:hAnsi="Times New Roman"/>
                <w:b w:val="0"/>
                <w:sz w:val="24"/>
                <w:u w:val="none"/>
              </w:rPr>
              <w:t>súlade</w:t>
            </w:r>
            <w:r w:rsidR="009912F8" w:rsidRPr="00E07C9A">
              <w:rPr>
                <w:rStyle w:val="InstructionsTabelleberschrift"/>
                <w:rFonts w:ascii="Times New Roman" w:hAnsi="Times New Roman"/>
                <w:b w:val="0"/>
                <w:sz w:val="24"/>
                <w:u w:val="none"/>
              </w:rPr>
              <w:t xml:space="preserve"> s </w:t>
            </w:r>
            <w:r w:rsidRPr="00E07C9A">
              <w:rPr>
                <w:rStyle w:val="InstructionsTabelleberschrift"/>
                <w:rFonts w:ascii="Times New Roman" w:hAnsi="Times New Roman"/>
                <w:b w:val="0"/>
                <w:sz w:val="24"/>
                <w:u w:val="none"/>
              </w:rPr>
              <w:t>článkom 105 ods. 8</w:t>
            </w:r>
            <w:r w:rsidRPr="00E07C9A">
              <w:rPr>
                <w:rFonts w:ascii="Times New Roman" w:hAnsi="Times New Roman"/>
                <w:sz w:val="24"/>
              </w:rPr>
              <w:t xml:space="preserve"> nariadenia (EÚ) </w:t>
            </w:r>
            <w:r w:rsidR="009912F8" w:rsidRPr="00E07C9A">
              <w:rPr>
                <w:rFonts w:ascii="Times New Roman" w:hAnsi="Times New Roman"/>
                <w:sz w:val="24"/>
              </w:rPr>
              <w:t>č. 575/2013 s </w:t>
            </w:r>
            <w:r w:rsidRPr="00E07C9A">
              <w:rPr>
                <w:rStyle w:val="InstructionsTabelleberschrift"/>
                <w:rFonts w:ascii="Times New Roman" w:hAnsi="Times New Roman"/>
                <w:b w:val="0"/>
                <w:sz w:val="24"/>
                <w:u w:val="none"/>
              </w:rPr>
              <w:t>ohľadom na najlepšie dostupné nezávislé údaje pre konkrétnu dotknutú koncentrovanú oceňovanú pozíciu</w:t>
            </w:r>
            <w:r w:rsidR="009912F8" w:rsidRPr="00E07C9A">
              <w:rPr>
                <w:rStyle w:val="InstructionsTabelleberschrift"/>
                <w:rFonts w:ascii="Times New Roman" w:hAnsi="Times New Roman"/>
                <w:b w:val="0"/>
                <w:sz w:val="24"/>
                <w:u w:val="none"/>
              </w:rPr>
              <w:t>.</w:t>
            </w:r>
          </w:p>
          <w:p w14:paraId="48E0730D" w14:textId="6F662051" w:rsidR="00113E45" w:rsidRPr="00E07C9A" w:rsidRDefault="00113E45" w:rsidP="00E60B53">
            <w:pPr>
              <w:spacing w:beforeLines="60" w:before="144" w:afterLines="60" w:after="144"/>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Neupravené sumy rozdielu označujú neupravené rozdiely medzi oceneniami vygenerovanými obchodným systémom</w:t>
            </w:r>
            <w:r w:rsidR="009912F8" w:rsidRPr="00E07C9A">
              <w:rPr>
                <w:rStyle w:val="InstructionsTabelleberschrift"/>
                <w:rFonts w:ascii="Times New Roman" w:hAnsi="Times New Roman"/>
                <w:b w:val="0"/>
                <w:sz w:val="24"/>
                <w:u w:val="none"/>
              </w:rPr>
              <w:t xml:space="preserve"> a </w:t>
            </w:r>
            <w:r w:rsidRPr="00E07C9A">
              <w:rPr>
                <w:rStyle w:val="InstructionsTabelleberschrift"/>
                <w:rFonts w:ascii="Times New Roman" w:hAnsi="Times New Roman"/>
                <w:b w:val="0"/>
                <w:sz w:val="24"/>
                <w:u w:val="none"/>
              </w:rPr>
              <w:t>oceneniami odhadnutými počas každomesačného procesu nezávislého overovania cien.</w:t>
            </w:r>
          </w:p>
          <w:p w14:paraId="65AA9F8C" w14:textId="6AA3F0AE" w:rsidR="00113E45" w:rsidRPr="00E07C9A" w:rsidRDefault="00D2428D" w:rsidP="00D2428D">
            <w:pPr>
              <w:spacing w:beforeLines="60" w:before="144" w:afterLines="60" w:after="144"/>
              <w:rPr>
                <w:rStyle w:val="InstructionsTabelleberschrift"/>
                <w:rFonts w:ascii="Times New Roman" w:hAnsi="Times New Roman"/>
                <w:b w:val="0"/>
                <w:sz w:val="24"/>
                <w:u w:val="none"/>
              </w:rPr>
            </w:pPr>
            <w:r w:rsidRPr="00E07C9A">
              <w:rPr>
                <w:rStyle w:val="InstructionsTabelleberschrift"/>
                <w:rFonts w:ascii="Times New Roman" w:hAnsi="Times New Roman"/>
                <w:b w:val="0"/>
                <w:sz w:val="24"/>
                <w:u w:val="none"/>
              </w:rPr>
              <w:t>Do výpočtu rozdielu nezávislého overovania cien sa nezahŕňajú žiadne upravené sumy rozdielu</w:t>
            </w:r>
            <w:r w:rsidR="009912F8" w:rsidRPr="00E07C9A">
              <w:rPr>
                <w:rStyle w:val="InstructionsTabelleberschrift"/>
                <w:rFonts w:ascii="Times New Roman" w:hAnsi="Times New Roman"/>
                <w:b w:val="0"/>
                <w:sz w:val="24"/>
                <w:u w:val="none"/>
              </w:rPr>
              <w:t xml:space="preserve"> z </w:t>
            </w:r>
            <w:r w:rsidRPr="00E07C9A">
              <w:rPr>
                <w:rStyle w:val="InstructionsTabelleberschrift"/>
                <w:rFonts w:ascii="Times New Roman" w:hAnsi="Times New Roman"/>
                <w:b w:val="0"/>
                <w:sz w:val="24"/>
                <w:u w:val="none"/>
              </w:rPr>
              <w:t>kníh</w:t>
            </w:r>
            <w:r w:rsidR="009912F8" w:rsidRPr="00E07C9A">
              <w:rPr>
                <w:rStyle w:val="InstructionsTabelleberschrift"/>
                <w:rFonts w:ascii="Times New Roman" w:hAnsi="Times New Roman"/>
                <w:b w:val="0"/>
                <w:sz w:val="24"/>
                <w:u w:val="none"/>
              </w:rPr>
              <w:t xml:space="preserve"> a </w:t>
            </w:r>
            <w:r w:rsidRPr="00E07C9A">
              <w:rPr>
                <w:rStyle w:val="InstructionsTabelleberschrift"/>
                <w:rFonts w:ascii="Times New Roman" w:hAnsi="Times New Roman"/>
                <w:b w:val="0"/>
                <w:sz w:val="24"/>
                <w:u w:val="none"/>
              </w:rPr>
              <w:t>záznamov príslušnej inštitúcie pre koncový dátum príslušného mesiaca.</w:t>
            </w:r>
          </w:p>
        </w:tc>
      </w:tr>
    </w:tbl>
    <w:p w14:paraId="6C25E771" w14:textId="77777777" w:rsidR="00995A7F" w:rsidRPr="00E07C9A" w:rsidRDefault="00995A7F" w:rsidP="00C61FF5">
      <w:pPr>
        <w:rPr>
          <w:rStyle w:val="InstructionsTabelleText"/>
          <w:rFonts w:ascii="Times New Roman" w:hAnsi="Times New Roman"/>
          <w:sz w:val="24"/>
        </w:rPr>
      </w:pPr>
    </w:p>
    <w:p w14:paraId="052CBDDC" w14:textId="77777777" w:rsidR="00FD54FC" w:rsidRPr="00E07C9A" w:rsidRDefault="00995A7F" w:rsidP="0023700C">
      <w:pPr>
        <w:pStyle w:val="Instructionsberschrift2"/>
        <w:numPr>
          <w:ilvl w:val="0"/>
          <w:numId w:val="0"/>
        </w:numPr>
        <w:ind w:left="357" w:hanging="357"/>
        <w:rPr>
          <w:rFonts w:ascii="Times New Roman" w:hAnsi="Times New Roman" w:cs="Times New Roman"/>
          <w:sz w:val="24"/>
        </w:rPr>
      </w:pPr>
      <w:bookmarkStart w:id="769" w:name="_Toc473561055"/>
      <w:bookmarkStart w:id="770" w:name="_Toc115857912"/>
      <w:r w:rsidRPr="00E07C9A">
        <w:rPr>
          <w:rFonts w:ascii="Times New Roman" w:hAnsi="Times New Roman" w:cs="Times New Roman"/>
          <w:sz w:val="24"/>
          <w:u w:val="none"/>
        </w:rPr>
        <w:t>7.</w:t>
      </w:r>
      <w:r w:rsidRPr="00E07C9A">
        <w:rPr>
          <w:rFonts w:ascii="Times New Roman" w:hAnsi="Times New Roman" w:cs="Times New Roman"/>
          <w:u w:val="none"/>
        </w:rPr>
        <w:tab/>
      </w:r>
      <w:r w:rsidRPr="00E07C9A">
        <w:rPr>
          <w:rFonts w:ascii="Times New Roman" w:hAnsi="Times New Roman" w:cs="Times New Roman"/>
          <w:sz w:val="24"/>
        </w:rPr>
        <w:t>C 33.00 – Expozície voči orgánom verejnej správy (GOV)</w:t>
      </w:r>
      <w:bookmarkEnd w:id="769"/>
      <w:bookmarkEnd w:id="770"/>
    </w:p>
    <w:p w14:paraId="59A8BBA1" w14:textId="77777777" w:rsidR="009912F8" w:rsidRPr="00E07C9A" w:rsidRDefault="00995A7F" w:rsidP="0023700C">
      <w:pPr>
        <w:pStyle w:val="Instructionsberschrift2"/>
        <w:numPr>
          <w:ilvl w:val="0"/>
          <w:numId w:val="0"/>
        </w:numPr>
        <w:ind w:left="357" w:hanging="357"/>
        <w:rPr>
          <w:rFonts w:ascii="Times New Roman" w:hAnsi="Times New Roman" w:cs="Times New Roman"/>
          <w:sz w:val="24"/>
        </w:rPr>
      </w:pPr>
      <w:bookmarkStart w:id="771" w:name="_Toc367202008"/>
      <w:bookmarkStart w:id="772" w:name="_Toc473561056"/>
      <w:bookmarkStart w:id="773" w:name="_Toc115857913"/>
      <w:r w:rsidRPr="00E07C9A">
        <w:rPr>
          <w:rFonts w:ascii="Times New Roman" w:hAnsi="Times New Roman" w:cs="Times New Roman"/>
          <w:sz w:val="24"/>
          <w:u w:val="none"/>
        </w:rPr>
        <w:t>7.1.</w:t>
      </w:r>
      <w:r w:rsidRPr="00E07C9A">
        <w:rPr>
          <w:rFonts w:ascii="Times New Roman" w:hAnsi="Times New Roman" w:cs="Times New Roman"/>
          <w:u w:val="none"/>
        </w:rPr>
        <w:tab/>
      </w:r>
      <w:r w:rsidRPr="00E07C9A">
        <w:rPr>
          <w:rFonts w:ascii="Times New Roman" w:hAnsi="Times New Roman" w:cs="Times New Roman"/>
          <w:sz w:val="24"/>
        </w:rPr>
        <w:t>Všeobecné poznámky</w:t>
      </w:r>
      <w:bookmarkEnd w:id="771"/>
      <w:bookmarkEnd w:id="772"/>
      <w:bookmarkEnd w:id="773"/>
    </w:p>
    <w:p w14:paraId="5C6E2259" w14:textId="758C9ABF" w:rsidR="00FD54FC" w:rsidRPr="00E07C9A" w:rsidRDefault="002A18DE" w:rsidP="00487A02">
      <w:pPr>
        <w:pStyle w:val="InstructionsText2"/>
        <w:numPr>
          <w:ilvl w:val="0"/>
          <w:numId w:val="0"/>
        </w:numPr>
        <w:ind w:left="1353" w:hanging="360"/>
      </w:pPr>
      <w:fldSimple w:instr=" seq paragraphs ">
        <w:r w:rsidR="00132AEE">
          <w:rPr>
            <w:noProof/>
          </w:rPr>
          <w:t>191</w:t>
        </w:r>
      </w:fldSimple>
      <w:r w:rsidR="00CE7221" w:rsidRPr="00E07C9A">
        <w:t>.</w:t>
      </w:r>
      <w:r w:rsidR="00CE7221" w:rsidRPr="00E07C9A">
        <w:tab/>
        <w:t xml:space="preserve"> Informácie na účely vzoru C 33.00 zahŕňajú všetky expozície voči „orgánom verejnej správy“, ako sa uvádza</w:t>
      </w:r>
      <w:r w:rsidR="009912F8" w:rsidRPr="00E07C9A">
        <w:t xml:space="preserve"> v </w:t>
      </w:r>
      <w:r w:rsidR="00CE7221" w:rsidRPr="00E07C9A">
        <w:t>odseku 42 písm. b) prílohy</w:t>
      </w:r>
      <w:r w:rsidR="009912F8" w:rsidRPr="00E07C9A">
        <w:t xml:space="preserve"> V k </w:t>
      </w:r>
      <w:r w:rsidR="00CE7221" w:rsidRPr="00E07C9A">
        <w:t>tomuto vykonávaciemu nariadeniu.</w:t>
      </w:r>
    </w:p>
    <w:p w14:paraId="31426EB1" w14:textId="24BF8D5E" w:rsidR="009912F8" w:rsidRPr="00E07C9A" w:rsidRDefault="002A18DE" w:rsidP="00487A02">
      <w:pPr>
        <w:pStyle w:val="InstructionsText2"/>
        <w:numPr>
          <w:ilvl w:val="0"/>
          <w:numId w:val="0"/>
        </w:numPr>
        <w:ind w:left="1353" w:hanging="360"/>
      </w:pPr>
      <w:fldSimple w:instr=" seq paragraphs ">
        <w:r w:rsidR="00132AEE">
          <w:rPr>
            <w:noProof/>
          </w:rPr>
          <w:t>192</w:t>
        </w:r>
      </w:fldSimple>
      <w:r w:rsidR="00CE7221" w:rsidRPr="00E07C9A">
        <w:t>.</w:t>
      </w:r>
      <w:r w:rsidR="00CE7221" w:rsidRPr="00E07C9A">
        <w:tab/>
        <w:t xml:space="preserve"> Ak sa na expozície voči „orgánom verejnej správy“ vzťahujú požiadavky na vlastné zdroje</w:t>
      </w:r>
      <w:r w:rsidR="009912F8" w:rsidRPr="00E07C9A">
        <w:t xml:space="preserve"> v </w:t>
      </w:r>
      <w:r w:rsidR="00CE7221" w:rsidRPr="00E07C9A">
        <w:t>súlade</w:t>
      </w:r>
      <w:r w:rsidR="009912F8" w:rsidRPr="00E07C9A">
        <w:t xml:space="preserve"> s </w:t>
      </w:r>
      <w:r w:rsidR="00CE7221" w:rsidRPr="00E07C9A">
        <w:t xml:space="preserve">treťou časťou hlavou II nariadenia (EÚ) </w:t>
      </w:r>
      <w:r w:rsidR="009912F8" w:rsidRPr="00E07C9A">
        <w:t>č. 575/2013</w:t>
      </w:r>
      <w:r w:rsidR="00CE7221" w:rsidRPr="00E07C9A">
        <w:t>, expozície voči „orgánom verejnej správy“ sú zahrnuté</w:t>
      </w:r>
      <w:r w:rsidR="009912F8" w:rsidRPr="00E07C9A">
        <w:t xml:space="preserve"> v </w:t>
      </w:r>
      <w:r w:rsidR="00CE7221" w:rsidRPr="00E07C9A">
        <w:t>rôznych triedach expozícií</w:t>
      </w:r>
      <w:r w:rsidR="009912F8" w:rsidRPr="00E07C9A">
        <w:t xml:space="preserve"> v </w:t>
      </w:r>
      <w:r w:rsidR="00CE7221" w:rsidRPr="00E07C9A">
        <w:t>súlade</w:t>
      </w:r>
      <w:r w:rsidR="009912F8" w:rsidRPr="00E07C9A">
        <w:t xml:space="preserve"> s </w:t>
      </w:r>
      <w:r w:rsidR="00CE7221" w:rsidRPr="00E07C9A">
        <w:t>článkom 112</w:t>
      </w:r>
      <w:r w:rsidR="009912F8" w:rsidRPr="00E07C9A">
        <w:t xml:space="preserve"> a </w:t>
      </w:r>
      <w:r w:rsidR="00CE7221" w:rsidRPr="00E07C9A">
        <w:t>článkom 147 uvedeného nariadenia, ako sa stanovuje</w:t>
      </w:r>
      <w:r w:rsidR="009912F8" w:rsidRPr="00E07C9A">
        <w:t xml:space="preserve"> v </w:t>
      </w:r>
      <w:r w:rsidR="00CE7221" w:rsidRPr="00E07C9A">
        <w:t>pokynoch na vypĺňanie vzoru C 07.00, C 08.01</w:t>
      </w:r>
      <w:r w:rsidR="009912F8" w:rsidRPr="00E07C9A">
        <w:t xml:space="preserve"> a </w:t>
      </w:r>
      <w:r w:rsidR="00CE7221" w:rsidRPr="00E07C9A">
        <w:t>C 08.02</w:t>
      </w:r>
      <w:r w:rsidR="009912F8" w:rsidRPr="00E07C9A">
        <w:t>.</w:t>
      </w:r>
    </w:p>
    <w:p w14:paraId="1A96F969" w14:textId="68FA85DA" w:rsidR="009912F8" w:rsidRPr="00E07C9A" w:rsidRDefault="002A18DE" w:rsidP="00487A02">
      <w:pPr>
        <w:pStyle w:val="InstructionsText2"/>
        <w:numPr>
          <w:ilvl w:val="0"/>
          <w:numId w:val="0"/>
        </w:numPr>
        <w:ind w:left="1353" w:hanging="360"/>
      </w:pPr>
      <w:fldSimple w:instr=" seq paragraphs ">
        <w:r w:rsidR="00132AEE">
          <w:rPr>
            <w:noProof/>
          </w:rPr>
          <w:t>193</w:t>
        </w:r>
      </w:fldSimple>
      <w:r w:rsidR="00CE7221" w:rsidRPr="00E07C9A">
        <w:t>.</w:t>
      </w:r>
      <w:r w:rsidR="00CE7221" w:rsidRPr="00E07C9A">
        <w:tab/>
        <w:t xml:space="preserve"> Pri zaraďovaní tried expozícií používaných na výpočet kapitálových požiadaviek na základe nariadenia (EÚ) </w:t>
      </w:r>
      <w:r w:rsidR="009912F8" w:rsidRPr="00E07C9A">
        <w:t>č. 575/2013</w:t>
      </w:r>
      <w:r w:rsidR="00CE7221" w:rsidRPr="00E07C9A">
        <w:t xml:space="preserve"> do sektora protistrany „orgány verejnej správy“ sa musí dodržiavať tabuľka 2 (štandardizovaný prístup)</w:t>
      </w:r>
      <w:r w:rsidR="009912F8" w:rsidRPr="00E07C9A">
        <w:t xml:space="preserve"> a </w:t>
      </w:r>
      <w:r w:rsidR="00CE7221" w:rsidRPr="00E07C9A">
        <w:t>tabuľka 3 (prístup IRB), zahrnuté</w:t>
      </w:r>
      <w:r w:rsidR="009912F8" w:rsidRPr="00E07C9A">
        <w:t xml:space="preserve"> v </w:t>
      </w:r>
      <w:r w:rsidR="00CE7221" w:rsidRPr="00E07C9A">
        <w:t>časti 3 prílohy</w:t>
      </w:r>
      <w:r w:rsidR="009912F8" w:rsidRPr="00E07C9A">
        <w:t xml:space="preserve"> V k </w:t>
      </w:r>
      <w:r w:rsidR="00CE7221" w:rsidRPr="00E07C9A">
        <w:t>tomuto vykonávaciemu nariadeniu</w:t>
      </w:r>
      <w:r w:rsidR="009912F8" w:rsidRPr="00E07C9A">
        <w:t>.</w:t>
      </w:r>
    </w:p>
    <w:p w14:paraId="497CC301" w14:textId="5AD6AACF" w:rsidR="009912F8" w:rsidRPr="00E07C9A" w:rsidRDefault="002A18DE" w:rsidP="00487A02">
      <w:pPr>
        <w:pStyle w:val="InstructionsText2"/>
        <w:numPr>
          <w:ilvl w:val="0"/>
          <w:numId w:val="0"/>
        </w:numPr>
        <w:ind w:left="1353" w:hanging="360"/>
      </w:pPr>
      <w:fldSimple w:instr=" seq paragraphs ">
        <w:r w:rsidR="00132AEE">
          <w:rPr>
            <w:noProof/>
          </w:rPr>
          <w:t>194</w:t>
        </w:r>
      </w:fldSimple>
      <w:r w:rsidR="00CE7221" w:rsidRPr="00E07C9A">
        <w:t>. Vykazujú sa informácie za celkové súhrnné expozície (t. j. súčet hodnôt zo všetkých krajín,</w:t>
      </w:r>
      <w:r w:rsidR="009912F8" w:rsidRPr="00E07C9A">
        <w:t xml:space="preserve"> v </w:t>
      </w:r>
      <w:r w:rsidR="00CE7221" w:rsidRPr="00E07C9A">
        <w:t>ktorých má banka expozície voči štátom)</w:t>
      </w:r>
      <w:r w:rsidR="009912F8" w:rsidRPr="00E07C9A">
        <w:t xml:space="preserve"> a </w:t>
      </w:r>
      <w:r w:rsidR="00CE7221" w:rsidRPr="00E07C9A">
        <w:t>pre každú krajinu na základe sídla protistrany</w:t>
      </w:r>
      <w:r w:rsidR="009912F8" w:rsidRPr="00E07C9A">
        <w:t xml:space="preserve"> v </w:t>
      </w:r>
      <w:r w:rsidR="00CE7221" w:rsidRPr="00E07C9A">
        <w:t>závislosti od priameho dlžníka</w:t>
      </w:r>
      <w:r w:rsidR="009912F8" w:rsidRPr="00E07C9A">
        <w:t>.</w:t>
      </w:r>
    </w:p>
    <w:p w14:paraId="285DBBB4" w14:textId="20EC50E5" w:rsidR="009912F8" w:rsidRPr="00E07C9A" w:rsidRDefault="002A18DE" w:rsidP="00487A02">
      <w:pPr>
        <w:pStyle w:val="InstructionsText2"/>
        <w:numPr>
          <w:ilvl w:val="0"/>
          <w:numId w:val="0"/>
        </w:numPr>
        <w:ind w:left="1353" w:hanging="360"/>
      </w:pPr>
      <w:fldSimple w:instr=" seq paragraphs ">
        <w:r w:rsidR="00132AEE">
          <w:rPr>
            <w:noProof/>
          </w:rPr>
          <w:t>195</w:t>
        </w:r>
      </w:fldSimple>
      <w:r w:rsidR="00CE7221" w:rsidRPr="00E07C9A">
        <w:t>.</w:t>
      </w:r>
      <w:r w:rsidR="00CE7221" w:rsidRPr="00E07C9A">
        <w:tab/>
        <w:t xml:space="preserve"> Zaradenie expozícií do tried expozícií alebo jurisdikcií sa vykoná bez toho, aby sa zohľadňovali postupy zmierňovania kreditného rizika,</w:t>
      </w:r>
      <w:r w:rsidR="009912F8" w:rsidRPr="00E07C9A">
        <w:t xml:space="preserve"> a </w:t>
      </w:r>
      <w:r w:rsidR="00CE7221" w:rsidRPr="00E07C9A">
        <w:t>najmä bez zohľadnenia substitučných účinkov. Výpočet hodnôt expozícií</w:t>
      </w:r>
      <w:r w:rsidR="009912F8" w:rsidRPr="00E07C9A">
        <w:t xml:space="preserve"> a </w:t>
      </w:r>
      <w:r w:rsidR="00CE7221" w:rsidRPr="00E07C9A">
        <w:t>hodnôt rizikovo vážených expozícií pre každú triedu expozícií</w:t>
      </w:r>
      <w:r w:rsidR="009912F8" w:rsidRPr="00E07C9A">
        <w:t xml:space="preserve"> a </w:t>
      </w:r>
      <w:r w:rsidR="00CE7221" w:rsidRPr="00E07C9A">
        <w:t>pre každú jurisdikciu však zahŕňa výskyt postupov zmierňovania kreditného rizika vrátane substitučných účinkov</w:t>
      </w:r>
      <w:r w:rsidR="009912F8" w:rsidRPr="00E07C9A">
        <w:t>.</w:t>
      </w:r>
    </w:p>
    <w:p w14:paraId="074321E3" w14:textId="773CAC7A" w:rsidR="00FD54FC" w:rsidRPr="00E07C9A" w:rsidRDefault="002A18DE" w:rsidP="00487A02">
      <w:pPr>
        <w:pStyle w:val="InstructionsText2"/>
        <w:numPr>
          <w:ilvl w:val="0"/>
          <w:numId w:val="0"/>
        </w:numPr>
        <w:ind w:left="1353" w:hanging="360"/>
      </w:pPr>
      <w:fldSimple w:instr=" seq paragraphs ">
        <w:r w:rsidR="00132AEE">
          <w:rPr>
            <w:noProof/>
          </w:rPr>
          <w:t>196</w:t>
        </w:r>
      </w:fldSimple>
      <w:r w:rsidR="00CE7221" w:rsidRPr="00E07C9A">
        <w:t>.</w:t>
      </w:r>
      <w:r w:rsidR="00CE7221" w:rsidRPr="00E07C9A">
        <w:tab/>
        <w:t xml:space="preserve"> Na vykazovanie informácií</w:t>
      </w:r>
      <w:r w:rsidR="009912F8" w:rsidRPr="00E07C9A">
        <w:t xml:space="preserve"> o </w:t>
      </w:r>
      <w:r w:rsidR="00CE7221" w:rsidRPr="00E07C9A">
        <w:t>expozíciách voči „orgánom verejnej správy“ podľa jurisdikcie sídla bezprostrednej protistrany inej než domácej jurisdikcie vykazujúcej inštitúcie sa vzťahujú prahové hodnoty stanovené</w:t>
      </w:r>
      <w:r w:rsidR="009912F8" w:rsidRPr="00E07C9A">
        <w:t xml:space="preserve"> v </w:t>
      </w:r>
      <w:r w:rsidR="00CE7221" w:rsidRPr="00E07C9A">
        <w:t>článku 6 ods. 3 tohto vykonávacieho nariadenia.</w:t>
      </w:r>
    </w:p>
    <w:p w14:paraId="3577A9ED" w14:textId="56F0FC5F" w:rsidR="00FD54FC" w:rsidRPr="00E07C9A" w:rsidRDefault="00995A7F" w:rsidP="0023700C">
      <w:pPr>
        <w:pStyle w:val="Instructionsberschrift2"/>
        <w:numPr>
          <w:ilvl w:val="0"/>
          <w:numId w:val="0"/>
        </w:numPr>
        <w:ind w:left="357" w:hanging="357"/>
        <w:rPr>
          <w:rFonts w:ascii="Times New Roman" w:hAnsi="Times New Roman" w:cs="Times New Roman"/>
          <w:sz w:val="24"/>
        </w:rPr>
      </w:pPr>
      <w:bookmarkStart w:id="774" w:name="_Toc367202009"/>
      <w:bookmarkStart w:id="775" w:name="_Toc473561057"/>
      <w:bookmarkStart w:id="776" w:name="_Toc115857914"/>
      <w:r w:rsidRPr="00E07C9A">
        <w:rPr>
          <w:rFonts w:ascii="Times New Roman" w:hAnsi="Times New Roman" w:cs="Times New Roman"/>
          <w:sz w:val="24"/>
          <w:u w:val="none"/>
        </w:rPr>
        <w:t>7.2.</w:t>
      </w:r>
      <w:r w:rsidRPr="00E07C9A">
        <w:rPr>
          <w:rFonts w:ascii="Times New Roman" w:hAnsi="Times New Roman" w:cs="Times New Roman"/>
          <w:u w:val="none"/>
        </w:rPr>
        <w:tab/>
      </w:r>
      <w:r w:rsidRPr="00E07C9A">
        <w:rPr>
          <w:rFonts w:ascii="Times New Roman" w:hAnsi="Times New Roman" w:cs="Times New Roman"/>
          <w:sz w:val="24"/>
        </w:rPr>
        <w:t>Rozsah vzoru</w:t>
      </w:r>
      <w:bookmarkEnd w:id="774"/>
      <w:r w:rsidR="009912F8" w:rsidRPr="00E07C9A">
        <w:rPr>
          <w:rFonts w:ascii="Times New Roman" w:hAnsi="Times New Roman" w:cs="Times New Roman"/>
          <w:sz w:val="24"/>
        </w:rPr>
        <w:t xml:space="preserve"> o </w:t>
      </w:r>
      <w:r w:rsidRPr="00E07C9A">
        <w:rPr>
          <w:rFonts w:ascii="Times New Roman" w:hAnsi="Times New Roman" w:cs="Times New Roman"/>
          <w:sz w:val="24"/>
        </w:rPr>
        <w:t>expozíciách voči „orgánom verejnej správy“</w:t>
      </w:r>
      <w:bookmarkEnd w:id="775"/>
      <w:bookmarkEnd w:id="776"/>
    </w:p>
    <w:p w14:paraId="4ABEC63C" w14:textId="5942C99D" w:rsidR="00FD54FC" w:rsidRPr="00E07C9A" w:rsidRDefault="002A18DE" w:rsidP="00487A02">
      <w:pPr>
        <w:pStyle w:val="InstructionsText2"/>
        <w:numPr>
          <w:ilvl w:val="0"/>
          <w:numId w:val="0"/>
        </w:numPr>
        <w:ind w:left="1353" w:hanging="360"/>
      </w:pPr>
      <w:fldSimple w:instr=" seq paragraphs ">
        <w:r w:rsidR="00132AEE">
          <w:rPr>
            <w:noProof/>
          </w:rPr>
          <w:t>197</w:t>
        </w:r>
      </w:fldSimple>
      <w:r w:rsidR="00CE7221" w:rsidRPr="00E07C9A">
        <w:t>.</w:t>
      </w:r>
      <w:r w:rsidR="00CE7221" w:rsidRPr="00E07C9A">
        <w:tab/>
        <w:t xml:space="preserve"> Rozsah vzoru GOV zahŕňa súvahové, podsúvahové</w:t>
      </w:r>
      <w:r w:rsidR="009912F8" w:rsidRPr="00E07C9A">
        <w:t xml:space="preserve"> a </w:t>
      </w:r>
      <w:r w:rsidR="00CE7221" w:rsidRPr="00E07C9A">
        <w:t>derivátové priame expozície voči „orgánom verejnej správy“</w:t>
      </w:r>
      <w:r w:rsidR="009912F8" w:rsidRPr="00E07C9A">
        <w:t xml:space="preserve"> v </w:t>
      </w:r>
      <w:r w:rsidR="00CE7221" w:rsidRPr="00E07C9A">
        <w:t>bankovej</w:t>
      </w:r>
      <w:r w:rsidR="009912F8" w:rsidRPr="00E07C9A">
        <w:t xml:space="preserve"> a </w:t>
      </w:r>
      <w:r w:rsidR="00CE7221" w:rsidRPr="00E07C9A">
        <w:t>obchodnej knihe. Okrem toho sa požaduje aj doplňujúca položka pre nepriame expozície vo forme predaných kreditných derivátov na expozície voči orgánom verejnej správy.</w:t>
      </w:r>
    </w:p>
    <w:p w14:paraId="48390921" w14:textId="39AAC657" w:rsidR="009912F8" w:rsidRPr="00E07C9A" w:rsidRDefault="002A18DE" w:rsidP="00487A02">
      <w:pPr>
        <w:pStyle w:val="InstructionsText2"/>
        <w:numPr>
          <w:ilvl w:val="0"/>
          <w:numId w:val="0"/>
        </w:numPr>
        <w:ind w:left="1353" w:hanging="360"/>
      </w:pPr>
      <w:fldSimple w:instr=" seq paragraphs ">
        <w:r w:rsidR="00132AEE">
          <w:rPr>
            <w:noProof/>
          </w:rPr>
          <w:t>198</w:t>
        </w:r>
      </w:fldSimple>
      <w:r w:rsidR="00CE7221" w:rsidRPr="00E07C9A">
        <w:t>.</w:t>
      </w:r>
      <w:r w:rsidR="00CE7221" w:rsidRPr="00E07C9A">
        <w:tab/>
        <w:t xml:space="preserve"> Expozícia je priamou expozíciou, keď je bezprostredná protistrana subjektom, ktorý je „orgánom verejnej správy“, ako sa uvádza</w:t>
      </w:r>
      <w:r w:rsidR="009912F8" w:rsidRPr="00E07C9A">
        <w:t xml:space="preserve"> v </w:t>
      </w:r>
      <w:r w:rsidR="00CE7221" w:rsidRPr="00E07C9A">
        <w:t>odseku 42 písm. b) prílohy</w:t>
      </w:r>
      <w:r w:rsidR="009912F8" w:rsidRPr="00E07C9A">
        <w:t xml:space="preserve"> V k </w:t>
      </w:r>
      <w:r w:rsidR="00CE7221" w:rsidRPr="00E07C9A">
        <w:t>tomuto vykonávaciemu nariadeniu</w:t>
      </w:r>
      <w:r w:rsidR="009912F8" w:rsidRPr="00E07C9A">
        <w:t>.</w:t>
      </w:r>
    </w:p>
    <w:p w14:paraId="70B0FE7F" w14:textId="5E306E78" w:rsidR="00FD54FC" w:rsidRPr="00E07C9A" w:rsidRDefault="002A18DE" w:rsidP="00487A02">
      <w:pPr>
        <w:pStyle w:val="InstructionsText2"/>
        <w:numPr>
          <w:ilvl w:val="0"/>
          <w:numId w:val="0"/>
        </w:numPr>
        <w:ind w:left="1353" w:hanging="360"/>
      </w:pPr>
      <w:fldSimple w:instr=" seq paragraphs ">
        <w:r w:rsidR="00132AEE">
          <w:rPr>
            <w:noProof/>
          </w:rPr>
          <w:t>199</w:t>
        </w:r>
      </w:fldSimple>
      <w:r w:rsidR="00CE7221" w:rsidRPr="00E07C9A">
        <w:t>.</w:t>
      </w:r>
      <w:r w:rsidR="00CE7221" w:rsidRPr="00E07C9A">
        <w:tab/>
        <w:t xml:space="preserve"> Vzor je rozdelený do dvoch častí. Prvá časť sa zakladá na rozčlenení expozícií podľa rizika, regulačného prístupu</w:t>
      </w:r>
      <w:r w:rsidR="009912F8" w:rsidRPr="00E07C9A">
        <w:t xml:space="preserve"> a </w:t>
      </w:r>
      <w:r w:rsidR="00CE7221" w:rsidRPr="00E07C9A">
        <w:t>tried expozícií, zatiaľ čo druhá časť sa zakladá na rozčlenení podľa zostatkovej splatnosti.</w:t>
      </w:r>
    </w:p>
    <w:p w14:paraId="51205335" w14:textId="30191B10" w:rsidR="00FD54FC" w:rsidRPr="00E07C9A" w:rsidRDefault="00995A7F" w:rsidP="0023700C">
      <w:pPr>
        <w:pStyle w:val="Instructionsberschrift2"/>
        <w:numPr>
          <w:ilvl w:val="0"/>
          <w:numId w:val="0"/>
        </w:numPr>
        <w:ind w:left="357" w:hanging="357"/>
        <w:rPr>
          <w:rFonts w:ascii="Times New Roman" w:hAnsi="Times New Roman" w:cs="Times New Roman"/>
          <w:sz w:val="24"/>
        </w:rPr>
      </w:pPr>
      <w:bookmarkStart w:id="777" w:name="_Toc473561058"/>
      <w:bookmarkStart w:id="778" w:name="_Toc115857915"/>
      <w:r w:rsidRPr="00E07C9A">
        <w:rPr>
          <w:rFonts w:ascii="Times New Roman" w:hAnsi="Times New Roman" w:cs="Times New Roman"/>
          <w:sz w:val="24"/>
          <w:u w:val="none"/>
        </w:rPr>
        <w:t>7.3.</w:t>
      </w:r>
      <w:r w:rsidRPr="00E07C9A">
        <w:rPr>
          <w:rFonts w:ascii="Times New Roman" w:hAnsi="Times New Roman" w:cs="Times New Roman"/>
          <w:u w:val="none"/>
        </w:rPr>
        <w:tab/>
      </w:r>
      <w:r w:rsidRPr="00E07C9A">
        <w:rPr>
          <w:rFonts w:ascii="Times New Roman" w:hAnsi="Times New Roman" w:cs="Times New Roman"/>
          <w:sz w:val="24"/>
        </w:rPr>
        <w:t>Pokyny týkajúce sa konkrétnych pozícií</w:t>
      </w:r>
      <w:bookmarkEnd w:id="777"/>
      <w:bookmarkEnd w:id="77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D54FC" w:rsidRPr="00E07C9A" w14:paraId="286FF3B6" w14:textId="77777777" w:rsidTr="00672D2A">
        <w:tc>
          <w:tcPr>
            <w:tcW w:w="1188" w:type="dxa"/>
            <w:shd w:val="pct25" w:color="auto" w:fill="auto"/>
          </w:tcPr>
          <w:p w14:paraId="602508DF" w14:textId="77777777" w:rsidR="00FD54FC" w:rsidRPr="00E07C9A" w:rsidRDefault="00FD54FC" w:rsidP="00FD54FC">
            <w:pPr>
              <w:spacing w:before="0" w:after="0"/>
              <w:ind w:left="33"/>
              <w:rPr>
                <w:rFonts w:ascii="Times New Roman" w:hAnsi="Times New Roman"/>
                <w:bCs/>
                <w:sz w:val="24"/>
              </w:rPr>
            </w:pPr>
            <w:r w:rsidRPr="00E07C9A">
              <w:rPr>
                <w:rFonts w:ascii="Times New Roman" w:hAnsi="Times New Roman"/>
                <w:sz w:val="24"/>
              </w:rPr>
              <w:t>Stĺpce</w:t>
            </w:r>
          </w:p>
          <w:p w14:paraId="07D22D14" w14:textId="77777777" w:rsidR="00FD54FC" w:rsidRPr="00E07C9A" w:rsidRDefault="00FD54FC" w:rsidP="00FD54FC">
            <w:pPr>
              <w:spacing w:before="0" w:after="0"/>
              <w:ind w:left="33"/>
              <w:rPr>
                <w:rFonts w:ascii="Times New Roman" w:hAnsi="Times New Roman"/>
                <w:bCs/>
                <w:sz w:val="24"/>
                <w:lang w:eastAsia="de-DE"/>
              </w:rPr>
            </w:pPr>
          </w:p>
        </w:tc>
        <w:tc>
          <w:tcPr>
            <w:tcW w:w="8640" w:type="dxa"/>
            <w:shd w:val="pct25" w:color="auto" w:fill="auto"/>
          </w:tcPr>
          <w:p w14:paraId="2518187B" w14:textId="77777777" w:rsidR="00FD54FC" w:rsidRPr="00E07C9A" w:rsidRDefault="00FD54FC" w:rsidP="00FD54FC">
            <w:pPr>
              <w:spacing w:before="0" w:after="0"/>
              <w:ind w:left="33"/>
              <w:rPr>
                <w:rFonts w:ascii="Times New Roman" w:hAnsi="Times New Roman"/>
                <w:bCs/>
                <w:sz w:val="24"/>
              </w:rPr>
            </w:pPr>
            <w:r w:rsidRPr="00E07C9A">
              <w:rPr>
                <w:rFonts w:ascii="Times New Roman" w:hAnsi="Times New Roman"/>
                <w:sz w:val="24"/>
              </w:rPr>
              <w:t>Pokyny</w:t>
            </w:r>
          </w:p>
        </w:tc>
      </w:tr>
      <w:tr w:rsidR="00FD54FC" w:rsidRPr="00E07C9A" w14:paraId="233E5B8C" w14:textId="77777777" w:rsidTr="00672D2A">
        <w:tc>
          <w:tcPr>
            <w:tcW w:w="1188" w:type="dxa"/>
            <w:tcBorders>
              <w:bottom w:val="single" w:sz="4" w:space="0" w:color="auto"/>
            </w:tcBorders>
          </w:tcPr>
          <w:p w14:paraId="69E55C77" w14:textId="77777777" w:rsidR="00FD54FC" w:rsidRPr="00E07C9A" w:rsidRDefault="00535792" w:rsidP="00B74792">
            <w:pPr>
              <w:spacing w:before="0" w:after="0"/>
              <w:ind w:left="33"/>
              <w:rPr>
                <w:rFonts w:ascii="Times New Roman" w:hAnsi="Times New Roman"/>
                <w:bCs/>
                <w:sz w:val="24"/>
              </w:rPr>
            </w:pPr>
            <w:r w:rsidRPr="00E07C9A">
              <w:rPr>
                <w:rFonts w:ascii="Times New Roman" w:hAnsi="Times New Roman"/>
                <w:sz w:val="24"/>
              </w:rPr>
              <w:t>0010 – 0260</w:t>
            </w:r>
          </w:p>
        </w:tc>
        <w:tc>
          <w:tcPr>
            <w:tcW w:w="8640" w:type="dxa"/>
            <w:tcBorders>
              <w:bottom w:val="single" w:sz="4" w:space="0" w:color="auto"/>
            </w:tcBorders>
          </w:tcPr>
          <w:p w14:paraId="1F1928C9" w14:textId="77777777" w:rsidR="00FD54FC" w:rsidRPr="00E07C9A" w:rsidRDefault="00FD54FC" w:rsidP="00FD54FC">
            <w:pPr>
              <w:spacing w:before="0" w:after="0"/>
              <w:ind w:left="33"/>
              <w:rPr>
                <w:rFonts w:ascii="Times New Roman" w:hAnsi="Times New Roman"/>
                <w:b/>
                <w:bCs/>
                <w:sz w:val="24"/>
                <w:u w:val="single"/>
              </w:rPr>
            </w:pPr>
            <w:r w:rsidRPr="00E07C9A">
              <w:rPr>
                <w:rFonts w:ascii="Times New Roman" w:hAnsi="Times New Roman"/>
                <w:b/>
                <w:sz w:val="24"/>
                <w:u w:val="single"/>
              </w:rPr>
              <w:t xml:space="preserve">PRIAME EXPOZÍCIE </w:t>
            </w:r>
          </w:p>
        </w:tc>
      </w:tr>
      <w:tr w:rsidR="00FD54FC" w:rsidRPr="00E07C9A" w14:paraId="75F19AEB" w14:textId="77777777" w:rsidTr="00672D2A">
        <w:tc>
          <w:tcPr>
            <w:tcW w:w="1188" w:type="dxa"/>
          </w:tcPr>
          <w:p w14:paraId="2A4ACA00" w14:textId="77777777" w:rsidR="00FD54FC" w:rsidRPr="00E07C9A" w:rsidRDefault="00535792" w:rsidP="00B74792">
            <w:pPr>
              <w:spacing w:before="0" w:after="0"/>
              <w:ind w:left="33"/>
              <w:rPr>
                <w:rFonts w:ascii="Times New Roman" w:hAnsi="Times New Roman"/>
                <w:bCs/>
                <w:sz w:val="24"/>
              </w:rPr>
            </w:pPr>
            <w:r w:rsidRPr="00E07C9A">
              <w:rPr>
                <w:rFonts w:ascii="Times New Roman" w:hAnsi="Times New Roman"/>
                <w:sz w:val="24"/>
              </w:rPr>
              <w:t>0010 –⁠ 0140</w:t>
            </w:r>
          </w:p>
        </w:tc>
        <w:tc>
          <w:tcPr>
            <w:tcW w:w="8640" w:type="dxa"/>
          </w:tcPr>
          <w:p w14:paraId="12342810" w14:textId="77777777" w:rsidR="00FD54FC" w:rsidRPr="00E07C9A" w:rsidRDefault="00FD54FC" w:rsidP="00FD54FC">
            <w:pPr>
              <w:spacing w:before="0" w:after="0"/>
              <w:ind w:left="33"/>
              <w:rPr>
                <w:rFonts w:ascii="Times New Roman" w:hAnsi="Times New Roman"/>
                <w:b/>
                <w:bCs/>
                <w:sz w:val="24"/>
                <w:u w:val="single"/>
              </w:rPr>
            </w:pPr>
            <w:r w:rsidRPr="00E07C9A">
              <w:rPr>
                <w:rFonts w:ascii="Times New Roman" w:hAnsi="Times New Roman"/>
                <w:b/>
                <w:sz w:val="24"/>
                <w:u w:val="single"/>
              </w:rPr>
              <w:t>SÚVAHOVÉ EXPOZÍCIE</w:t>
            </w:r>
          </w:p>
        </w:tc>
      </w:tr>
      <w:tr w:rsidR="00FD54FC" w:rsidRPr="00E07C9A" w14:paraId="680E174D" w14:textId="77777777" w:rsidTr="00672D2A">
        <w:tc>
          <w:tcPr>
            <w:tcW w:w="1188" w:type="dxa"/>
          </w:tcPr>
          <w:p w14:paraId="50D1108C" w14:textId="77777777" w:rsidR="00FD54FC" w:rsidRPr="00E07C9A" w:rsidRDefault="00535792" w:rsidP="00FD54FC">
            <w:pPr>
              <w:spacing w:before="0" w:after="0"/>
              <w:ind w:left="33"/>
              <w:rPr>
                <w:rFonts w:ascii="Times New Roman" w:hAnsi="Times New Roman"/>
                <w:bCs/>
                <w:sz w:val="24"/>
              </w:rPr>
            </w:pPr>
            <w:r w:rsidRPr="00E07C9A">
              <w:rPr>
                <w:rFonts w:ascii="Times New Roman" w:hAnsi="Times New Roman"/>
                <w:sz w:val="24"/>
              </w:rPr>
              <w:t>0010</w:t>
            </w:r>
          </w:p>
        </w:tc>
        <w:tc>
          <w:tcPr>
            <w:tcW w:w="8640" w:type="dxa"/>
          </w:tcPr>
          <w:p w14:paraId="70A9D322" w14:textId="77777777" w:rsidR="009912F8" w:rsidRPr="00E07C9A" w:rsidRDefault="00FD54FC" w:rsidP="00FD54FC">
            <w:pPr>
              <w:spacing w:before="0" w:after="0"/>
              <w:ind w:left="33"/>
              <w:rPr>
                <w:rFonts w:ascii="Times New Roman" w:hAnsi="Times New Roman"/>
                <w:b/>
                <w:sz w:val="24"/>
                <w:u w:val="single"/>
              </w:rPr>
            </w:pPr>
            <w:r w:rsidRPr="00E07C9A">
              <w:rPr>
                <w:rFonts w:ascii="Times New Roman" w:hAnsi="Times New Roman"/>
                <w:b/>
                <w:sz w:val="24"/>
                <w:u w:val="single"/>
              </w:rPr>
              <w:t>Celková hrubá účtovná hodnota nederivátových finančných aktív</w:t>
            </w:r>
          </w:p>
          <w:p w14:paraId="399170AF" w14:textId="3932E5E2" w:rsidR="00FD54FC" w:rsidRPr="00E07C9A" w:rsidRDefault="00FD54FC" w:rsidP="00FD54FC">
            <w:pPr>
              <w:spacing w:before="0" w:after="0"/>
              <w:ind w:left="33"/>
              <w:rPr>
                <w:rFonts w:ascii="Times New Roman" w:hAnsi="Times New Roman"/>
                <w:bCs/>
                <w:sz w:val="24"/>
                <w:lang w:eastAsia="de-DE"/>
              </w:rPr>
            </w:pPr>
          </w:p>
          <w:p w14:paraId="19BA0324" w14:textId="7BCB7707" w:rsidR="009912F8" w:rsidRPr="00E07C9A" w:rsidRDefault="00FD54FC" w:rsidP="00FD54FC">
            <w:pPr>
              <w:spacing w:before="0" w:after="0"/>
              <w:ind w:left="33"/>
              <w:rPr>
                <w:rFonts w:ascii="Times New Roman" w:hAnsi="Times New Roman"/>
                <w:sz w:val="24"/>
              </w:rPr>
            </w:pPr>
            <w:r w:rsidRPr="00E07C9A">
              <w:rPr>
                <w:rFonts w:ascii="Times New Roman" w:hAnsi="Times New Roman"/>
                <w:sz w:val="24"/>
              </w:rPr>
              <w:t>Súhrn hrubej účtovnej hodnoty (určený</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časťou 1 ods. 34 prílohy</w:t>
            </w:r>
            <w:r w:rsidR="009912F8" w:rsidRPr="00E07C9A">
              <w:rPr>
                <w:rFonts w:ascii="Times New Roman" w:hAnsi="Times New Roman"/>
                <w:sz w:val="24"/>
              </w:rPr>
              <w:t xml:space="preserve"> V k </w:t>
            </w:r>
            <w:r w:rsidRPr="00E07C9A">
              <w:rPr>
                <w:rFonts w:ascii="Times New Roman" w:hAnsi="Times New Roman"/>
                <w:sz w:val="24"/>
              </w:rPr>
              <w:t>tomuto vykonávaciemu nariadeniu) nederivátových finančných aktív voči orgánom verejnej správy pre všetky účtovné portfóliá podľa IFRS alebo národných GAAP na základe smernice Rady 86/635/EHS vymedzených</w:t>
            </w:r>
            <w:r w:rsidR="009912F8" w:rsidRPr="00E07C9A">
              <w:rPr>
                <w:rFonts w:ascii="Times New Roman" w:hAnsi="Times New Roman"/>
                <w:sz w:val="24"/>
              </w:rPr>
              <w:t xml:space="preserve"> v </w:t>
            </w:r>
            <w:r w:rsidRPr="00E07C9A">
              <w:rPr>
                <w:rFonts w:ascii="Times New Roman" w:hAnsi="Times New Roman"/>
                <w:sz w:val="24"/>
              </w:rPr>
              <w:t>časti 1 ods. 15 až 22 prílohy</w:t>
            </w:r>
            <w:r w:rsidR="009912F8" w:rsidRPr="00E07C9A">
              <w:rPr>
                <w:rFonts w:ascii="Times New Roman" w:hAnsi="Times New Roman"/>
                <w:sz w:val="24"/>
              </w:rPr>
              <w:t xml:space="preserve"> V k </w:t>
            </w:r>
            <w:r w:rsidRPr="00E07C9A">
              <w:rPr>
                <w:rFonts w:ascii="Times New Roman" w:hAnsi="Times New Roman"/>
                <w:sz w:val="24"/>
              </w:rPr>
              <w:t>tomuto vykonávaciemu nariadeniu</w:t>
            </w:r>
            <w:r w:rsidR="009912F8" w:rsidRPr="00E07C9A">
              <w:rPr>
                <w:rFonts w:ascii="Times New Roman" w:hAnsi="Times New Roman"/>
                <w:sz w:val="24"/>
              </w:rPr>
              <w:t xml:space="preserve"> a </w:t>
            </w:r>
            <w:r w:rsidRPr="00E07C9A">
              <w:rPr>
                <w:rFonts w:ascii="Times New Roman" w:hAnsi="Times New Roman"/>
                <w:sz w:val="24"/>
              </w:rPr>
              <w:t>uvedených</w:t>
            </w:r>
            <w:r w:rsidR="009912F8" w:rsidRPr="00E07C9A">
              <w:rPr>
                <w:rFonts w:ascii="Times New Roman" w:hAnsi="Times New Roman"/>
                <w:sz w:val="24"/>
              </w:rPr>
              <w:t xml:space="preserve"> v </w:t>
            </w:r>
            <w:r w:rsidRPr="00E07C9A">
              <w:rPr>
                <w:rFonts w:ascii="Times New Roman" w:hAnsi="Times New Roman"/>
                <w:sz w:val="24"/>
              </w:rPr>
              <w:t>stĺpcoch 0030 až 0120</w:t>
            </w:r>
            <w:r w:rsidR="009912F8" w:rsidRPr="00E07C9A">
              <w:rPr>
                <w:rFonts w:ascii="Times New Roman" w:hAnsi="Times New Roman"/>
                <w:sz w:val="24"/>
              </w:rPr>
              <w:t>.</w:t>
            </w:r>
          </w:p>
          <w:p w14:paraId="6424B7AA" w14:textId="4F200058" w:rsidR="00FD54FC" w:rsidRPr="00E07C9A" w:rsidRDefault="00FD54FC" w:rsidP="00FD54FC">
            <w:pPr>
              <w:spacing w:before="0" w:after="0"/>
              <w:ind w:left="33"/>
              <w:rPr>
                <w:rFonts w:ascii="Times New Roman" w:hAnsi="Times New Roman"/>
                <w:bCs/>
                <w:sz w:val="24"/>
                <w:lang w:eastAsia="de-DE"/>
              </w:rPr>
            </w:pPr>
          </w:p>
          <w:p w14:paraId="6FA6F2B6" w14:textId="34854024" w:rsidR="00FD54FC" w:rsidRPr="00E07C9A" w:rsidRDefault="00FD54FC" w:rsidP="00FD54FC">
            <w:pPr>
              <w:spacing w:before="0" w:after="0"/>
              <w:ind w:left="33"/>
              <w:rPr>
                <w:rFonts w:ascii="Times New Roman" w:hAnsi="Times New Roman"/>
                <w:bCs/>
                <w:sz w:val="24"/>
              </w:rPr>
            </w:pPr>
            <w:r w:rsidRPr="00E07C9A">
              <w:rPr>
                <w:rFonts w:ascii="Times New Roman" w:hAnsi="Times New Roman"/>
                <w:sz w:val="24"/>
              </w:rPr>
              <w:t>Obozretné úpravy ocenenia nesmú znížiť hrubú účtovnú hodnotu obchodných</w:t>
            </w:r>
            <w:r w:rsidR="009912F8" w:rsidRPr="00E07C9A">
              <w:rPr>
                <w:rFonts w:ascii="Times New Roman" w:hAnsi="Times New Roman"/>
                <w:sz w:val="24"/>
              </w:rPr>
              <w:t xml:space="preserve"> a </w:t>
            </w:r>
            <w:r w:rsidRPr="00E07C9A">
              <w:rPr>
                <w:rFonts w:ascii="Times New Roman" w:hAnsi="Times New Roman"/>
                <w:sz w:val="24"/>
              </w:rPr>
              <w:t>neobchodných expozícií oceňovaných reálnou hodnotou.</w:t>
            </w:r>
          </w:p>
          <w:p w14:paraId="72BA16EB" w14:textId="77777777" w:rsidR="00FD54FC" w:rsidRPr="00E07C9A" w:rsidRDefault="00FD54FC" w:rsidP="00FD54FC">
            <w:pPr>
              <w:spacing w:before="0" w:after="0"/>
              <w:rPr>
                <w:rFonts w:ascii="Times New Roman" w:hAnsi="Times New Roman"/>
                <w:bCs/>
                <w:sz w:val="24"/>
                <w:lang w:eastAsia="de-DE"/>
              </w:rPr>
            </w:pPr>
          </w:p>
        </w:tc>
      </w:tr>
      <w:tr w:rsidR="00FD54FC" w:rsidRPr="00E07C9A" w14:paraId="328B15E7" w14:textId="77777777" w:rsidTr="00672D2A">
        <w:tc>
          <w:tcPr>
            <w:tcW w:w="1188" w:type="dxa"/>
          </w:tcPr>
          <w:p w14:paraId="7FA0CE65" w14:textId="77777777" w:rsidR="00FD54FC" w:rsidRPr="00E07C9A" w:rsidRDefault="00535792" w:rsidP="00FD54FC">
            <w:pPr>
              <w:spacing w:before="0" w:after="0"/>
              <w:ind w:left="33"/>
              <w:rPr>
                <w:rFonts w:ascii="Times New Roman" w:hAnsi="Times New Roman"/>
                <w:bCs/>
                <w:sz w:val="24"/>
              </w:rPr>
            </w:pPr>
            <w:r w:rsidRPr="00E07C9A">
              <w:rPr>
                <w:rFonts w:ascii="Times New Roman" w:hAnsi="Times New Roman"/>
                <w:sz w:val="24"/>
              </w:rPr>
              <w:t>0020</w:t>
            </w:r>
          </w:p>
        </w:tc>
        <w:tc>
          <w:tcPr>
            <w:tcW w:w="8640" w:type="dxa"/>
          </w:tcPr>
          <w:p w14:paraId="571AE855" w14:textId="77777777" w:rsidR="00FD54FC" w:rsidRPr="00E07C9A" w:rsidRDefault="00FD54FC" w:rsidP="00FD54FC">
            <w:pPr>
              <w:spacing w:before="0" w:after="0"/>
              <w:ind w:left="33"/>
              <w:rPr>
                <w:rFonts w:ascii="Times New Roman" w:hAnsi="Times New Roman"/>
                <w:b/>
                <w:bCs/>
                <w:sz w:val="24"/>
                <w:u w:val="single"/>
              </w:rPr>
            </w:pPr>
            <w:r w:rsidRPr="00E07C9A">
              <w:rPr>
                <w:rFonts w:ascii="Times New Roman" w:hAnsi="Times New Roman"/>
                <w:b/>
                <w:sz w:val="24"/>
                <w:u w:val="single"/>
              </w:rPr>
              <w:t>Celková účtovná hodnota nederivátových finančných aktív (po odpočítaní krátkych pozícií)</w:t>
            </w:r>
          </w:p>
          <w:p w14:paraId="3E4FF798" w14:textId="77777777" w:rsidR="00FD54FC" w:rsidRPr="00E07C9A" w:rsidRDefault="00FD54FC" w:rsidP="00FD54FC">
            <w:pPr>
              <w:spacing w:before="0" w:after="0"/>
              <w:ind w:left="33"/>
              <w:rPr>
                <w:rFonts w:ascii="Times New Roman" w:hAnsi="Times New Roman"/>
                <w:bCs/>
                <w:sz w:val="24"/>
                <w:lang w:eastAsia="de-DE"/>
              </w:rPr>
            </w:pPr>
          </w:p>
          <w:p w14:paraId="1CDA5F95" w14:textId="02A771C3" w:rsidR="00FD54FC" w:rsidRPr="00E07C9A" w:rsidRDefault="00FD54FC" w:rsidP="00FD54FC">
            <w:pPr>
              <w:spacing w:before="0" w:after="0"/>
              <w:ind w:left="33"/>
              <w:rPr>
                <w:rFonts w:ascii="Times New Roman" w:hAnsi="Times New Roman"/>
                <w:bCs/>
                <w:sz w:val="24"/>
              </w:rPr>
            </w:pPr>
            <w:r w:rsidRPr="00E07C9A">
              <w:rPr>
                <w:rFonts w:ascii="Times New Roman" w:hAnsi="Times New Roman"/>
                <w:sz w:val="24"/>
              </w:rPr>
              <w:t>Súhrn účtovnej hodnoty (podľa časti 1 ods. 27 prílohy</w:t>
            </w:r>
            <w:r w:rsidR="009912F8" w:rsidRPr="00E07C9A">
              <w:rPr>
                <w:rFonts w:ascii="Times New Roman" w:hAnsi="Times New Roman"/>
                <w:sz w:val="24"/>
              </w:rPr>
              <w:t xml:space="preserve"> V k </w:t>
            </w:r>
            <w:r w:rsidRPr="00E07C9A">
              <w:rPr>
                <w:rFonts w:ascii="Times New Roman" w:hAnsi="Times New Roman"/>
                <w:sz w:val="24"/>
              </w:rPr>
              <w:t>tomuto vykonávaciemu nariadeniu) nederivátových finančných aktív voči orgánom verejnej správy pre všetky účtovné portfóliá podľa IFRS alebo národných GAAP na základe smernice Rady 86/635/EHS vymedzených</w:t>
            </w:r>
            <w:r w:rsidR="009912F8" w:rsidRPr="00E07C9A">
              <w:rPr>
                <w:rFonts w:ascii="Times New Roman" w:hAnsi="Times New Roman"/>
                <w:sz w:val="24"/>
              </w:rPr>
              <w:t xml:space="preserve"> v </w:t>
            </w:r>
            <w:r w:rsidRPr="00E07C9A">
              <w:rPr>
                <w:rFonts w:ascii="Times New Roman" w:hAnsi="Times New Roman"/>
                <w:sz w:val="24"/>
              </w:rPr>
              <w:t>časti 1 ods. 15 až 22 prílohy</w:t>
            </w:r>
            <w:r w:rsidR="009912F8" w:rsidRPr="00E07C9A">
              <w:rPr>
                <w:rFonts w:ascii="Times New Roman" w:hAnsi="Times New Roman"/>
                <w:sz w:val="24"/>
              </w:rPr>
              <w:t xml:space="preserve"> V k </w:t>
            </w:r>
            <w:r w:rsidRPr="00E07C9A">
              <w:rPr>
                <w:rFonts w:ascii="Times New Roman" w:hAnsi="Times New Roman"/>
                <w:sz w:val="24"/>
              </w:rPr>
              <w:t>tomuto vykonávaciemu nariadeniu</w:t>
            </w:r>
            <w:r w:rsidR="009912F8" w:rsidRPr="00E07C9A">
              <w:rPr>
                <w:rFonts w:ascii="Times New Roman" w:hAnsi="Times New Roman"/>
                <w:sz w:val="24"/>
              </w:rPr>
              <w:t xml:space="preserve"> a </w:t>
            </w:r>
            <w:r w:rsidRPr="00E07C9A">
              <w:rPr>
                <w:rFonts w:ascii="Times New Roman" w:hAnsi="Times New Roman"/>
                <w:sz w:val="24"/>
              </w:rPr>
              <w:t>uvedených</w:t>
            </w:r>
            <w:r w:rsidR="009912F8" w:rsidRPr="00E07C9A">
              <w:rPr>
                <w:rFonts w:ascii="Times New Roman" w:hAnsi="Times New Roman"/>
                <w:sz w:val="24"/>
              </w:rPr>
              <w:t xml:space="preserve"> v </w:t>
            </w:r>
            <w:r w:rsidRPr="00E07C9A">
              <w:rPr>
                <w:rFonts w:ascii="Times New Roman" w:hAnsi="Times New Roman"/>
                <w:sz w:val="24"/>
              </w:rPr>
              <w:t>stĺpcoch 0030 až 0120, po odpočítaní krátkych pozícií.</w:t>
            </w:r>
          </w:p>
          <w:p w14:paraId="0091970C" w14:textId="77777777" w:rsidR="00FD54FC" w:rsidRPr="00E07C9A" w:rsidRDefault="00FD54FC" w:rsidP="00FD54FC">
            <w:pPr>
              <w:spacing w:before="0" w:after="0"/>
              <w:ind w:left="33"/>
              <w:rPr>
                <w:rFonts w:ascii="Times New Roman" w:hAnsi="Times New Roman"/>
                <w:bCs/>
                <w:sz w:val="24"/>
                <w:lang w:eastAsia="de-DE"/>
              </w:rPr>
            </w:pPr>
          </w:p>
          <w:p w14:paraId="681A4321" w14:textId="36AA99CE" w:rsidR="009912F8" w:rsidRPr="00E07C9A" w:rsidRDefault="00FD54FC" w:rsidP="00FD54FC">
            <w:pPr>
              <w:spacing w:before="0" w:after="0"/>
              <w:ind w:left="33"/>
              <w:rPr>
                <w:rFonts w:ascii="Times New Roman" w:hAnsi="Times New Roman"/>
                <w:sz w:val="24"/>
              </w:rPr>
            </w:pPr>
            <w:r w:rsidRPr="00E07C9A">
              <w:rPr>
                <w:rFonts w:ascii="Times New Roman" w:hAnsi="Times New Roman"/>
                <w:sz w:val="24"/>
              </w:rPr>
              <w:t>Ak má inštitúcia pre rovnakú zostatkovú splatnosť</w:t>
            </w:r>
            <w:r w:rsidR="009912F8" w:rsidRPr="00E07C9A">
              <w:rPr>
                <w:rFonts w:ascii="Times New Roman" w:hAnsi="Times New Roman"/>
                <w:sz w:val="24"/>
              </w:rPr>
              <w:t xml:space="preserve"> a </w:t>
            </w:r>
            <w:r w:rsidRPr="00E07C9A">
              <w:rPr>
                <w:rFonts w:ascii="Times New Roman" w:hAnsi="Times New Roman"/>
                <w:sz w:val="24"/>
              </w:rPr>
              <w:t>pre tú istú bezprostrednú protistranu krátku pozíciu, ktorá je denominovaná</w:t>
            </w:r>
            <w:r w:rsidR="009912F8" w:rsidRPr="00E07C9A">
              <w:rPr>
                <w:rFonts w:ascii="Times New Roman" w:hAnsi="Times New Roman"/>
                <w:sz w:val="24"/>
              </w:rPr>
              <w:t xml:space="preserve"> v </w:t>
            </w:r>
            <w:r w:rsidRPr="00E07C9A">
              <w:rPr>
                <w:rFonts w:ascii="Times New Roman" w:hAnsi="Times New Roman"/>
                <w:sz w:val="24"/>
              </w:rPr>
              <w:t>rovnakej mene, účtovná hodnota krátkej pozície sa vzájomne započítava</w:t>
            </w:r>
            <w:r w:rsidR="009912F8" w:rsidRPr="00E07C9A">
              <w:rPr>
                <w:rFonts w:ascii="Times New Roman" w:hAnsi="Times New Roman"/>
                <w:sz w:val="24"/>
              </w:rPr>
              <w:t xml:space="preserve"> s </w:t>
            </w:r>
            <w:r w:rsidRPr="00E07C9A">
              <w:rPr>
                <w:rFonts w:ascii="Times New Roman" w:hAnsi="Times New Roman"/>
                <w:sz w:val="24"/>
              </w:rPr>
              <w:t>účtovnou hodnotou priamej pozície. Ak má táto čistá suma zápornú hodnotu, považuje sa za nulu. Ak má inštitúcia krátku pozíciu bez zodpovedajúcej priamej pozície, hodnota krátkej pozície sa na účely tohto stĺpca považuje za nulovú</w:t>
            </w:r>
            <w:r w:rsidR="009912F8" w:rsidRPr="00E07C9A">
              <w:rPr>
                <w:rFonts w:ascii="Times New Roman" w:hAnsi="Times New Roman"/>
                <w:sz w:val="24"/>
              </w:rPr>
              <w:t>.</w:t>
            </w:r>
          </w:p>
          <w:p w14:paraId="2DBC796D" w14:textId="10174762" w:rsidR="00FD54FC" w:rsidRPr="00E07C9A" w:rsidDel="00FB1EBF" w:rsidRDefault="00FD54FC" w:rsidP="00454026">
            <w:pPr>
              <w:spacing w:before="0" w:after="0"/>
              <w:ind w:left="33"/>
              <w:rPr>
                <w:rFonts w:ascii="Times New Roman" w:hAnsi="Times New Roman"/>
                <w:bCs/>
                <w:sz w:val="24"/>
                <w:lang w:eastAsia="de-DE"/>
              </w:rPr>
            </w:pPr>
          </w:p>
        </w:tc>
      </w:tr>
      <w:tr w:rsidR="00FD54FC" w:rsidRPr="00E07C9A" w14:paraId="117AF939" w14:textId="77777777" w:rsidTr="00672D2A">
        <w:tc>
          <w:tcPr>
            <w:tcW w:w="1188" w:type="dxa"/>
          </w:tcPr>
          <w:p w14:paraId="1CD40773" w14:textId="77777777" w:rsidR="00FD54FC" w:rsidRPr="00E07C9A" w:rsidRDefault="00535792" w:rsidP="00FD54FC">
            <w:pPr>
              <w:spacing w:before="0" w:after="0"/>
              <w:ind w:left="33"/>
              <w:rPr>
                <w:rFonts w:ascii="Times New Roman" w:hAnsi="Times New Roman"/>
                <w:bCs/>
                <w:sz w:val="24"/>
              </w:rPr>
            </w:pPr>
            <w:r w:rsidRPr="00E07C9A">
              <w:rPr>
                <w:rFonts w:ascii="Times New Roman" w:hAnsi="Times New Roman"/>
                <w:sz w:val="24"/>
              </w:rPr>
              <w:t>0030 –⁠ 0120</w:t>
            </w:r>
          </w:p>
        </w:tc>
        <w:tc>
          <w:tcPr>
            <w:tcW w:w="8640" w:type="dxa"/>
          </w:tcPr>
          <w:p w14:paraId="0D2E9A07" w14:textId="77777777" w:rsidR="00FD54FC" w:rsidRPr="00E07C9A" w:rsidRDefault="00FD54FC" w:rsidP="00FD54FC">
            <w:pPr>
              <w:spacing w:before="0" w:after="0"/>
              <w:ind w:left="33"/>
              <w:rPr>
                <w:rFonts w:ascii="Times New Roman" w:hAnsi="Times New Roman"/>
                <w:b/>
                <w:bCs/>
                <w:sz w:val="24"/>
                <w:u w:val="single"/>
              </w:rPr>
            </w:pPr>
            <w:r w:rsidRPr="00E07C9A">
              <w:rPr>
                <w:rFonts w:ascii="Times New Roman" w:hAnsi="Times New Roman"/>
                <w:b/>
                <w:sz w:val="24"/>
                <w:u w:val="single"/>
              </w:rPr>
              <w:t>NEDERIVÁTOVÉ FINANČNÉ AKTÍVA PODĽA ÚČTOVNÝCH PORTFÓLIÍ</w:t>
            </w:r>
          </w:p>
          <w:p w14:paraId="4FD7AA73" w14:textId="77777777" w:rsidR="00FD54FC" w:rsidRPr="00E07C9A" w:rsidRDefault="00FD54FC" w:rsidP="00FD54FC">
            <w:pPr>
              <w:spacing w:before="0" w:after="0"/>
              <w:ind w:left="33"/>
              <w:rPr>
                <w:rFonts w:ascii="Times New Roman" w:hAnsi="Times New Roman"/>
                <w:bCs/>
                <w:sz w:val="24"/>
                <w:lang w:eastAsia="de-DE"/>
              </w:rPr>
            </w:pPr>
          </w:p>
          <w:p w14:paraId="1FB2E88D" w14:textId="3D23CBF5" w:rsidR="00FD54FC" w:rsidRPr="00E07C9A" w:rsidRDefault="00FD54FC" w:rsidP="00FD54FC">
            <w:pPr>
              <w:spacing w:before="0" w:after="0"/>
              <w:ind w:left="33"/>
              <w:rPr>
                <w:rFonts w:ascii="Times New Roman" w:hAnsi="Times New Roman"/>
                <w:bCs/>
                <w:sz w:val="24"/>
              </w:rPr>
            </w:pPr>
            <w:r w:rsidRPr="00E07C9A">
              <w:rPr>
                <w:rFonts w:ascii="Times New Roman" w:hAnsi="Times New Roman"/>
                <w:sz w:val="24"/>
              </w:rPr>
              <w:t>Súhrnná účtovná hodnota nederivátových finančných aktív, ako sú vymedzené vo vyššie uvedenom riadku tejto tabuľky, voči orgánom verejnej správy</w:t>
            </w:r>
            <w:r w:rsidR="009912F8" w:rsidRPr="00E07C9A">
              <w:rPr>
                <w:rFonts w:ascii="Times New Roman" w:hAnsi="Times New Roman"/>
                <w:sz w:val="24"/>
              </w:rPr>
              <w:t xml:space="preserve"> v </w:t>
            </w:r>
            <w:r w:rsidRPr="00E07C9A">
              <w:rPr>
                <w:rFonts w:ascii="Times New Roman" w:hAnsi="Times New Roman"/>
                <w:sz w:val="24"/>
              </w:rPr>
              <w:t>rozčlenení podľa účtovného portfólia na základe uplatniteľného účtovného rámca.</w:t>
            </w:r>
          </w:p>
          <w:p w14:paraId="2D903CD8" w14:textId="77777777" w:rsidR="00FD54FC" w:rsidRPr="00E07C9A" w:rsidDel="00FB1EBF" w:rsidRDefault="00FD54FC" w:rsidP="00FD54FC">
            <w:pPr>
              <w:spacing w:before="0" w:after="0"/>
              <w:ind w:left="33"/>
              <w:rPr>
                <w:rFonts w:ascii="Times New Roman" w:hAnsi="Times New Roman"/>
                <w:bCs/>
                <w:sz w:val="24"/>
                <w:lang w:eastAsia="de-DE"/>
              </w:rPr>
            </w:pPr>
          </w:p>
        </w:tc>
      </w:tr>
      <w:tr w:rsidR="00FD54FC" w:rsidRPr="00E07C9A" w14:paraId="5D628D19" w14:textId="77777777" w:rsidTr="00672D2A">
        <w:tc>
          <w:tcPr>
            <w:tcW w:w="1188" w:type="dxa"/>
          </w:tcPr>
          <w:p w14:paraId="35B7AF83" w14:textId="77777777" w:rsidR="00FD54FC" w:rsidRPr="00E07C9A" w:rsidRDefault="00535792" w:rsidP="00FD54FC">
            <w:pPr>
              <w:spacing w:before="0" w:after="0"/>
              <w:ind w:left="33"/>
              <w:rPr>
                <w:rFonts w:ascii="Times New Roman" w:hAnsi="Times New Roman"/>
                <w:bCs/>
                <w:sz w:val="24"/>
              </w:rPr>
            </w:pPr>
            <w:r w:rsidRPr="00E07C9A">
              <w:rPr>
                <w:rFonts w:ascii="Times New Roman" w:hAnsi="Times New Roman"/>
                <w:sz w:val="24"/>
              </w:rPr>
              <w:t>0030</w:t>
            </w:r>
          </w:p>
        </w:tc>
        <w:tc>
          <w:tcPr>
            <w:tcW w:w="8640" w:type="dxa"/>
          </w:tcPr>
          <w:p w14:paraId="62D50A15" w14:textId="77777777" w:rsidR="00FD54FC" w:rsidRPr="00E07C9A" w:rsidRDefault="00FD54FC" w:rsidP="00FD54FC">
            <w:pPr>
              <w:spacing w:before="0" w:after="0"/>
              <w:ind w:left="33"/>
              <w:rPr>
                <w:rFonts w:ascii="Times New Roman" w:hAnsi="Times New Roman"/>
                <w:bCs/>
                <w:sz w:val="24"/>
              </w:rPr>
            </w:pPr>
            <w:r w:rsidRPr="00E07C9A">
              <w:rPr>
                <w:rFonts w:ascii="Times New Roman" w:hAnsi="Times New Roman"/>
                <w:b/>
                <w:sz w:val="24"/>
                <w:u w:val="single"/>
              </w:rPr>
              <w:t>Finančné aktíva držané na obchodovanie</w:t>
            </w:r>
          </w:p>
          <w:p w14:paraId="21F0AB23" w14:textId="77777777" w:rsidR="00FD54FC" w:rsidRPr="00E07C9A" w:rsidRDefault="00FD54FC" w:rsidP="00FD54FC">
            <w:pPr>
              <w:spacing w:before="0" w:after="0"/>
              <w:ind w:left="33"/>
              <w:rPr>
                <w:rFonts w:ascii="Times New Roman" w:hAnsi="Times New Roman"/>
                <w:bCs/>
                <w:sz w:val="24"/>
                <w:lang w:eastAsia="de-DE"/>
              </w:rPr>
            </w:pPr>
          </w:p>
          <w:p w14:paraId="28E21996" w14:textId="77777777" w:rsidR="00FD54FC" w:rsidRPr="00E07C9A" w:rsidRDefault="001C79CB" w:rsidP="00FD54FC">
            <w:pPr>
              <w:spacing w:before="0" w:after="0"/>
              <w:ind w:left="33"/>
              <w:rPr>
                <w:rFonts w:ascii="Times New Roman" w:hAnsi="Times New Roman"/>
                <w:bCs/>
                <w:sz w:val="24"/>
              </w:rPr>
            </w:pPr>
            <w:r w:rsidRPr="00E07C9A">
              <w:rPr>
                <w:rFonts w:ascii="Times New Roman" w:hAnsi="Times New Roman"/>
                <w:sz w:val="24"/>
              </w:rPr>
              <w:t>IFRS 7 ods. 8 písm. a) bod ii); IFRS 9 dodatok A</w:t>
            </w:r>
          </w:p>
          <w:p w14:paraId="04FC47FE" w14:textId="77777777" w:rsidR="00FD54FC" w:rsidRPr="00E07C9A" w:rsidDel="00FB1EBF" w:rsidRDefault="00FD54FC" w:rsidP="00FD54FC">
            <w:pPr>
              <w:spacing w:before="0" w:after="0"/>
              <w:ind w:left="33"/>
              <w:rPr>
                <w:rFonts w:ascii="Times New Roman" w:hAnsi="Times New Roman"/>
                <w:bCs/>
                <w:sz w:val="24"/>
                <w:lang w:eastAsia="de-DE"/>
              </w:rPr>
            </w:pPr>
          </w:p>
        </w:tc>
      </w:tr>
      <w:tr w:rsidR="00FD54FC" w:rsidRPr="00E07C9A" w14:paraId="1A3CCBC6" w14:textId="77777777" w:rsidTr="00672D2A">
        <w:tc>
          <w:tcPr>
            <w:tcW w:w="1188" w:type="dxa"/>
          </w:tcPr>
          <w:p w14:paraId="28CBF045" w14:textId="77777777" w:rsidR="00FD54FC" w:rsidRPr="00E07C9A" w:rsidRDefault="00535792" w:rsidP="00FD54FC">
            <w:pPr>
              <w:spacing w:before="0" w:after="0"/>
              <w:ind w:left="33"/>
              <w:rPr>
                <w:rFonts w:ascii="Times New Roman" w:hAnsi="Times New Roman"/>
                <w:bCs/>
                <w:sz w:val="24"/>
              </w:rPr>
            </w:pPr>
            <w:r w:rsidRPr="00E07C9A">
              <w:rPr>
                <w:rFonts w:ascii="Times New Roman" w:hAnsi="Times New Roman"/>
                <w:sz w:val="24"/>
              </w:rPr>
              <w:t>0040</w:t>
            </w:r>
          </w:p>
        </w:tc>
        <w:tc>
          <w:tcPr>
            <w:tcW w:w="8640" w:type="dxa"/>
          </w:tcPr>
          <w:p w14:paraId="32CD4808" w14:textId="77777777" w:rsidR="00FD54FC" w:rsidRPr="00E07C9A" w:rsidRDefault="00FD54FC" w:rsidP="00FD54FC">
            <w:pPr>
              <w:spacing w:before="0" w:after="0"/>
              <w:ind w:left="33"/>
              <w:rPr>
                <w:rFonts w:ascii="Times New Roman" w:hAnsi="Times New Roman"/>
                <w:b/>
                <w:bCs/>
                <w:sz w:val="24"/>
                <w:u w:val="single"/>
              </w:rPr>
            </w:pPr>
            <w:r w:rsidRPr="00E07C9A">
              <w:rPr>
                <w:rFonts w:ascii="Times New Roman" w:hAnsi="Times New Roman"/>
                <w:b/>
                <w:sz w:val="24"/>
                <w:u w:val="single"/>
              </w:rPr>
              <w:t>Obchodné finančné aktíva</w:t>
            </w:r>
          </w:p>
          <w:p w14:paraId="085120E5" w14:textId="77777777" w:rsidR="00FD54FC" w:rsidRPr="00E07C9A" w:rsidRDefault="00FD54FC" w:rsidP="00FD54FC">
            <w:pPr>
              <w:spacing w:before="0" w:after="0"/>
              <w:ind w:left="33"/>
              <w:rPr>
                <w:rFonts w:ascii="Times New Roman" w:hAnsi="Times New Roman"/>
                <w:bCs/>
                <w:sz w:val="24"/>
                <w:lang w:eastAsia="de-DE"/>
              </w:rPr>
            </w:pPr>
          </w:p>
          <w:p w14:paraId="2B679755" w14:textId="7D9033E5" w:rsidR="00FD54FC" w:rsidRPr="00E07C9A" w:rsidRDefault="00245E37" w:rsidP="00FD54FC">
            <w:pPr>
              <w:spacing w:before="0" w:after="0"/>
              <w:ind w:left="33"/>
              <w:rPr>
                <w:rFonts w:ascii="Times New Roman" w:hAnsi="Times New Roman"/>
                <w:bCs/>
                <w:sz w:val="24"/>
              </w:rPr>
            </w:pPr>
            <w:r w:rsidRPr="00E07C9A">
              <w:rPr>
                <w:rFonts w:ascii="Times New Roman" w:hAnsi="Times New Roman"/>
                <w:sz w:val="24"/>
              </w:rPr>
              <w:t>Články 32</w:t>
            </w:r>
            <w:r w:rsidR="009912F8" w:rsidRPr="00E07C9A">
              <w:rPr>
                <w:rFonts w:ascii="Times New Roman" w:hAnsi="Times New Roman"/>
                <w:sz w:val="24"/>
              </w:rPr>
              <w:t xml:space="preserve"> a </w:t>
            </w:r>
            <w:r w:rsidRPr="00E07C9A">
              <w:rPr>
                <w:rFonts w:ascii="Times New Roman" w:hAnsi="Times New Roman"/>
                <w:sz w:val="24"/>
              </w:rPr>
              <w:t>33 smernice Rady 86/635/EHS; časť 1 ods. 16 prílohy</w:t>
            </w:r>
            <w:r w:rsidR="009912F8" w:rsidRPr="00E07C9A">
              <w:rPr>
                <w:rFonts w:ascii="Times New Roman" w:hAnsi="Times New Roman"/>
                <w:sz w:val="24"/>
              </w:rPr>
              <w:t xml:space="preserve"> V k </w:t>
            </w:r>
            <w:r w:rsidRPr="00E07C9A">
              <w:rPr>
                <w:rFonts w:ascii="Times New Roman" w:hAnsi="Times New Roman"/>
                <w:sz w:val="24"/>
              </w:rPr>
              <w:t>tomuto vykonávaciemu nariadeniu; článok 8 ods. 1 písm. a) smernice 2013/34/EÚ</w:t>
            </w:r>
          </w:p>
          <w:p w14:paraId="40255CD0" w14:textId="77777777" w:rsidR="002F78EA" w:rsidRPr="00E07C9A" w:rsidRDefault="002F78EA" w:rsidP="00FD54FC">
            <w:pPr>
              <w:spacing w:before="0" w:after="0"/>
              <w:ind w:left="33"/>
              <w:rPr>
                <w:rFonts w:ascii="Times New Roman" w:hAnsi="Times New Roman"/>
                <w:bCs/>
                <w:sz w:val="24"/>
                <w:lang w:eastAsia="de-DE"/>
              </w:rPr>
            </w:pPr>
          </w:p>
          <w:p w14:paraId="74667598" w14:textId="77777777" w:rsidR="00FD54FC" w:rsidRPr="00E07C9A" w:rsidRDefault="00FD54FC" w:rsidP="00FD54FC">
            <w:pPr>
              <w:spacing w:before="0" w:after="0"/>
              <w:ind w:left="33"/>
              <w:rPr>
                <w:rFonts w:ascii="Times New Roman" w:hAnsi="Times New Roman"/>
                <w:bCs/>
                <w:sz w:val="24"/>
              </w:rPr>
            </w:pPr>
            <w:r w:rsidRPr="00E07C9A">
              <w:rPr>
                <w:rFonts w:ascii="Times New Roman" w:hAnsi="Times New Roman"/>
                <w:sz w:val="24"/>
              </w:rPr>
              <w:t>Vykazujú len inštitúcie, ktoré sa riadia národnými všeobecne uznávanými účtovnými zásadami (GAAP).</w:t>
            </w:r>
          </w:p>
          <w:p w14:paraId="19BA46DA" w14:textId="77777777" w:rsidR="00FD54FC" w:rsidRPr="00E07C9A" w:rsidDel="00FB1EBF" w:rsidRDefault="00FD54FC" w:rsidP="00FD54FC">
            <w:pPr>
              <w:spacing w:before="0" w:after="0"/>
              <w:ind w:left="33"/>
              <w:rPr>
                <w:rFonts w:ascii="Times New Roman" w:hAnsi="Times New Roman"/>
                <w:bCs/>
                <w:sz w:val="24"/>
                <w:lang w:eastAsia="de-DE"/>
              </w:rPr>
            </w:pPr>
          </w:p>
        </w:tc>
      </w:tr>
      <w:tr w:rsidR="00FD54FC" w:rsidRPr="00E07C9A" w14:paraId="4274A30F" w14:textId="77777777" w:rsidTr="00672D2A">
        <w:tc>
          <w:tcPr>
            <w:tcW w:w="1188" w:type="dxa"/>
          </w:tcPr>
          <w:p w14:paraId="296235B6" w14:textId="77777777" w:rsidR="00FD54FC" w:rsidRPr="00E07C9A" w:rsidRDefault="00535792" w:rsidP="00FD54FC">
            <w:pPr>
              <w:spacing w:before="0" w:after="0"/>
              <w:ind w:left="33"/>
              <w:rPr>
                <w:rFonts w:ascii="Times New Roman" w:hAnsi="Times New Roman"/>
                <w:bCs/>
                <w:sz w:val="24"/>
              </w:rPr>
            </w:pPr>
            <w:r w:rsidRPr="00E07C9A">
              <w:rPr>
                <w:rFonts w:ascii="Times New Roman" w:hAnsi="Times New Roman"/>
                <w:sz w:val="24"/>
              </w:rPr>
              <w:t>0050</w:t>
            </w:r>
          </w:p>
        </w:tc>
        <w:tc>
          <w:tcPr>
            <w:tcW w:w="8640" w:type="dxa"/>
          </w:tcPr>
          <w:p w14:paraId="37B3453C" w14:textId="77777777" w:rsidR="00FD54FC" w:rsidRPr="00E07C9A" w:rsidRDefault="00FD54FC" w:rsidP="00FD54FC">
            <w:pPr>
              <w:spacing w:before="0" w:after="0"/>
              <w:ind w:left="33"/>
              <w:rPr>
                <w:rFonts w:ascii="Times New Roman" w:hAnsi="Times New Roman"/>
                <w:b/>
                <w:bCs/>
                <w:sz w:val="24"/>
                <w:u w:val="single"/>
              </w:rPr>
            </w:pPr>
            <w:r w:rsidRPr="00E07C9A">
              <w:rPr>
                <w:rFonts w:ascii="Times New Roman" w:hAnsi="Times New Roman"/>
                <w:b/>
                <w:sz w:val="24"/>
                <w:u w:val="single"/>
              </w:rPr>
              <w:t>Neobchodné finančné aktíva povinne oceňované reálnou hodnotou cez výsledok hospodárenia</w:t>
            </w:r>
          </w:p>
          <w:p w14:paraId="7373D886" w14:textId="77777777" w:rsidR="00FD54FC" w:rsidRPr="00E07C9A" w:rsidRDefault="00FD54FC" w:rsidP="00FD54FC">
            <w:pPr>
              <w:spacing w:before="0" w:after="0"/>
              <w:ind w:left="33"/>
              <w:rPr>
                <w:rFonts w:ascii="Times New Roman" w:hAnsi="Times New Roman"/>
                <w:bCs/>
                <w:sz w:val="24"/>
                <w:lang w:eastAsia="de-DE"/>
              </w:rPr>
            </w:pPr>
          </w:p>
          <w:p w14:paraId="3E4682B1" w14:textId="77777777" w:rsidR="00FD54FC" w:rsidRPr="00E07C9A" w:rsidRDefault="00FD54FC" w:rsidP="00FD54FC">
            <w:pPr>
              <w:spacing w:before="0" w:after="0"/>
              <w:ind w:left="33"/>
              <w:rPr>
                <w:rFonts w:ascii="Times New Roman" w:hAnsi="Times New Roman"/>
                <w:bCs/>
                <w:sz w:val="24"/>
              </w:rPr>
            </w:pPr>
            <w:r w:rsidRPr="00E07C9A">
              <w:rPr>
                <w:rFonts w:ascii="Times New Roman" w:hAnsi="Times New Roman"/>
                <w:sz w:val="24"/>
              </w:rPr>
              <w:t>IFRS 7 ods. 8 písm. a) bod ii); IFRS 9 ods. 4.1.4</w:t>
            </w:r>
          </w:p>
          <w:p w14:paraId="32109D70" w14:textId="77777777" w:rsidR="00FD54FC" w:rsidRPr="00E07C9A" w:rsidRDefault="00FD54FC" w:rsidP="00FD54FC">
            <w:pPr>
              <w:spacing w:before="0" w:after="0"/>
              <w:ind w:left="33"/>
              <w:rPr>
                <w:rFonts w:ascii="Times New Roman" w:hAnsi="Times New Roman"/>
                <w:bCs/>
                <w:sz w:val="24"/>
                <w:lang w:eastAsia="de-DE"/>
              </w:rPr>
            </w:pPr>
          </w:p>
        </w:tc>
      </w:tr>
      <w:tr w:rsidR="00FD54FC" w:rsidRPr="00E07C9A" w14:paraId="518FA6FA" w14:textId="77777777" w:rsidTr="00672D2A">
        <w:tc>
          <w:tcPr>
            <w:tcW w:w="1188" w:type="dxa"/>
          </w:tcPr>
          <w:p w14:paraId="0FA05A55" w14:textId="77777777" w:rsidR="00FD54FC" w:rsidRPr="00E07C9A" w:rsidRDefault="00535792" w:rsidP="00FD54FC">
            <w:pPr>
              <w:spacing w:before="0" w:after="0"/>
              <w:ind w:left="33"/>
              <w:rPr>
                <w:rFonts w:ascii="Times New Roman" w:hAnsi="Times New Roman"/>
                <w:bCs/>
                <w:sz w:val="24"/>
              </w:rPr>
            </w:pPr>
            <w:r w:rsidRPr="00E07C9A">
              <w:rPr>
                <w:rFonts w:ascii="Times New Roman" w:hAnsi="Times New Roman"/>
                <w:sz w:val="24"/>
              </w:rPr>
              <w:t>0060</w:t>
            </w:r>
          </w:p>
        </w:tc>
        <w:tc>
          <w:tcPr>
            <w:tcW w:w="8640" w:type="dxa"/>
          </w:tcPr>
          <w:p w14:paraId="15B6273A" w14:textId="77777777" w:rsidR="00FD54FC" w:rsidRPr="00E07C9A" w:rsidRDefault="00FD54FC" w:rsidP="00FD54FC">
            <w:pPr>
              <w:spacing w:before="0" w:after="0"/>
              <w:ind w:left="33"/>
              <w:rPr>
                <w:rFonts w:ascii="Times New Roman" w:hAnsi="Times New Roman"/>
                <w:b/>
                <w:bCs/>
                <w:sz w:val="24"/>
                <w:u w:val="single"/>
              </w:rPr>
            </w:pPr>
            <w:r w:rsidRPr="00E07C9A">
              <w:rPr>
                <w:rFonts w:ascii="Times New Roman" w:hAnsi="Times New Roman"/>
                <w:b/>
                <w:sz w:val="24"/>
                <w:u w:val="single"/>
              </w:rPr>
              <w:t>Finančné aktíva určené za oceňované reálnou hodnotou cez výsledok hospodárenia</w:t>
            </w:r>
          </w:p>
          <w:p w14:paraId="080BA654" w14:textId="77777777" w:rsidR="00FD54FC" w:rsidRPr="00E07C9A" w:rsidRDefault="00FD54FC" w:rsidP="00FD54FC">
            <w:pPr>
              <w:spacing w:before="0" w:after="0"/>
              <w:ind w:left="33"/>
              <w:rPr>
                <w:rFonts w:ascii="Times New Roman" w:hAnsi="Times New Roman"/>
                <w:bCs/>
                <w:sz w:val="24"/>
                <w:lang w:eastAsia="de-DE"/>
              </w:rPr>
            </w:pPr>
          </w:p>
          <w:p w14:paraId="41F89837" w14:textId="5C79A56F" w:rsidR="00FD54FC" w:rsidRPr="00E07C9A" w:rsidRDefault="00FD54FC" w:rsidP="00FD54FC">
            <w:pPr>
              <w:spacing w:before="0" w:after="0"/>
              <w:ind w:left="33"/>
              <w:rPr>
                <w:rFonts w:ascii="Times New Roman" w:hAnsi="Times New Roman"/>
                <w:bCs/>
                <w:sz w:val="24"/>
              </w:rPr>
            </w:pPr>
            <w:r w:rsidRPr="00E07C9A">
              <w:rPr>
                <w:rFonts w:ascii="Times New Roman" w:hAnsi="Times New Roman"/>
                <w:sz w:val="24"/>
              </w:rPr>
              <w:t>IFRS 7 ods. 8 písm. a) bod i); IFRS 9 ods. 4.1.5</w:t>
            </w:r>
            <w:r w:rsidR="009912F8" w:rsidRPr="00E07C9A">
              <w:rPr>
                <w:rFonts w:ascii="Times New Roman" w:hAnsi="Times New Roman"/>
                <w:sz w:val="24"/>
              </w:rPr>
              <w:t xml:space="preserve"> a </w:t>
            </w:r>
            <w:r w:rsidRPr="00E07C9A">
              <w:rPr>
                <w:rFonts w:ascii="Times New Roman" w:hAnsi="Times New Roman"/>
                <w:sz w:val="24"/>
              </w:rPr>
              <w:t>článok 8 ods. 1 písm. a)</w:t>
            </w:r>
            <w:r w:rsidR="009912F8" w:rsidRPr="00E07C9A">
              <w:rPr>
                <w:rFonts w:ascii="Times New Roman" w:hAnsi="Times New Roman"/>
                <w:sz w:val="24"/>
              </w:rPr>
              <w:t xml:space="preserve"> a </w:t>
            </w:r>
            <w:r w:rsidRPr="00E07C9A">
              <w:rPr>
                <w:rFonts w:ascii="Times New Roman" w:hAnsi="Times New Roman"/>
                <w:sz w:val="24"/>
              </w:rPr>
              <w:t>článok 8 ods. 6 smernice 2013/34/EÚ</w:t>
            </w:r>
          </w:p>
          <w:p w14:paraId="78F45C8E" w14:textId="77777777" w:rsidR="00FD54FC" w:rsidRPr="00E07C9A" w:rsidRDefault="00FD54FC" w:rsidP="00FD54FC">
            <w:pPr>
              <w:spacing w:before="0" w:after="0"/>
              <w:ind w:left="33"/>
              <w:rPr>
                <w:rFonts w:ascii="Times New Roman" w:hAnsi="Times New Roman"/>
                <w:bCs/>
                <w:sz w:val="24"/>
                <w:lang w:eastAsia="de-DE"/>
              </w:rPr>
            </w:pPr>
          </w:p>
        </w:tc>
      </w:tr>
      <w:tr w:rsidR="00FD54FC" w:rsidRPr="00E07C9A" w14:paraId="2A49C709" w14:textId="77777777" w:rsidTr="00672D2A">
        <w:tc>
          <w:tcPr>
            <w:tcW w:w="1188" w:type="dxa"/>
          </w:tcPr>
          <w:p w14:paraId="0F05942C" w14:textId="77777777" w:rsidR="00FD54FC" w:rsidRPr="00E07C9A" w:rsidRDefault="00535792" w:rsidP="00FD54FC">
            <w:pPr>
              <w:spacing w:before="0" w:after="0"/>
              <w:ind w:left="33"/>
              <w:rPr>
                <w:rFonts w:ascii="Times New Roman" w:hAnsi="Times New Roman"/>
                <w:bCs/>
                <w:sz w:val="24"/>
              </w:rPr>
            </w:pPr>
            <w:r w:rsidRPr="00E07C9A">
              <w:rPr>
                <w:rFonts w:ascii="Times New Roman" w:hAnsi="Times New Roman"/>
                <w:sz w:val="24"/>
              </w:rPr>
              <w:t>0070</w:t>
            </w:r>
          </w:p>
        </w:tc>
        <w:tc>
          <w:tcPr>
            <w:tcW w:w="8640" w:type="dxa"/>
          </w:tcPr>
          <w:p w14:paraId="64121D2C" w14:textId="77777777" w:rsidR="00FD54FC" w:rsidRPr="00E07C9A" w:rsidRDefault="00FD54FC" w:rsidP="00FD54FC">
            <w:pPr>
              <w:spacing w:before="0" w:after="0"/>
              <w:ind w:left="33"/>
              <w:rPr>
                <w:rFonts w:ascii="Times New Roman" w:hAnsi="Times New Roman"/>
                <w:b/>
                <w:bCs/>
                <w:sz w:val="24"/>
                <w:u w:val="single"/>
              </w:rPr>
            </w:pPr>
            <w:r w:rsidRPr="00E07C9A">
              <w:rPr>
                <w:rFonts w:ascii="Times New Roman" w:hAnsi="Times New Roman"/>
                <w:b/>
                <w:sz w:val="24"/>
                <w:u w:val="single"/>
              </w:rPr>
              <w:t>Neobchodné nederivátové finančné aktíva oceňované reálnou hodnotou cez výsledok hospodárenia</w:t>
            </w:r>
          </w:p>
          <w:p w14:paraId="25F5FBE0" w14:textId="77777777" w:rsidR="00FD54FC" w:rsidRPr="00E07C9A" w:rsidRDefault="00FD54FC" w:rsidP="00FD54FC">
            <w:pPr>
              <w:spacing w:before="0" w:after="0"/>
              <w:ind w:left="33"/>
              <w:rPr>
                <w:rFonts w:ascii="Times New Roman" w:hAnsi="Times New Roman"/>
                <w:bCs/>
                <w:sz w:val="24"/>
                <w:lang w:eastAsia="de-DE"/>
              </w:rPr>
            </w:pPr>
          </w:p>
          <w:p w14:paraId="68CC8083" w14:textId="6B9ACA45" w:rsidR="00FD54FC" w:rsidRPr="00E07C9A" w:rsidRDefault="002F78EA" w:rsidP="00FD54FC">
            <w:pPr>
              <w:spacing w:before="0" w:after="0"/>
              <w:ind w:left="33"/>
              <w:rPr>
                <w:rFonts w:ascii="Times New Roman" w:hAnsi="Times New Roman"/>
                <w:bCs/>
                <w:sz w:val="24"/>
              </w:rPr>
            </w:pPr>
            <w:r w:rsidRPr="00E07C9A">
              <w:rPr>
                <w:rFonts w:ascii="Times New Roman" w:hAnsi="Times New Roman"/>
                <w:sz w:val="24"/>
              </w:rPr>
              <w:t>Článok 36 ods. 2 smernice Rady 86/635/EHS; článok 8 ods. 1 písm. a) smernice 2013/34/EÚ</w:t>
            </w:r>
          </w:p>
          <w:p w14:paraId="086B0E04" w14:textId="77777777" w:rsidR="00FD54FC" w:rsidRPr="00E07C9A" w:rsidRDefault="00FD54FC" w:rsidP="00FD54FC">
            <w:pPr>
              <w:spacing w:before="0" w:after="0"/>
              <w:ind w:left="33"/>
              <w:rPr>
                <w:rFonts w:ascii="Times New Roman" w:hAnsi="Times New Roman"/>
                <w:bCs/>
                <w:sz w:val="24"/>
                <w:lang w:eastAsia="de-DE"/>
              </w:rPr>
            </w:pPr>
          </w:p>
          <w:p w14:paraId="0E055C90" w14:textId="77777777" w:rsidR="00FD54FC" w:rsidRPr="00E07C9A" w:rsidRDefault="00FD54FC" w:rsidP="00FD54FC">
            <w:pPr>
              <w:spacing w:before="0" w:after="0"/>
              <w:ind w:left="33"/>
              <w:rPr>
                <w:rFonts w:ascii="Times New Roman" w:hAnsi="Times New Roman"/>
                <w:bCs/>
                <w:sz w:val="24"/>
              </w:rPr>
            </w:pPr>
            <w:r w:rsidRPr="00E07C9A">
              <w:rPr>
                <w:rFonts w:ascii="Times New Roman" w:hAnsi="Times New Roman"/>
                <w:sz w:val="24"/>
              </w:rPr>
              <w:t>Vykazujú len inštitúcie, ktoré sa riadia národnými všeobecne uznávanými účtovnými zásadami (GAAP).</w:t>
            </w:r>
          </w:p>
          <w:p w14:paraId="7EBCC11F" w14:textId="77777777" w:rsidR="00FD54FC" w:rsidRPr="00E07C9A" w:rsidRDefault="00FD54FC" w:rsidP="00FD54FC">
            <w:pPr>
              <w:spacing w:before="0" w:after="0"/>
              <w:ind w:left="33"/>
              <w:rPr>
                <w:rFonts w:ascii="Times New Roman" w:hAnsi="Times New Roman"/>
                <w:bCs/>
                <w:sz w:val="24"/>
                <w:lang w:eastAsia="de-DE"/>
              </w:rPr>
            </w:pPr>
          </w:p>
        </w:tc>
      </w:tr>
      <w:tr w:rsidR="00FD54FC" w:rsidRPr="00E07C9A" w14:paraId="716ADF6F" w14:textId="77777777" w:rsidTr="00672D2A">
        <w:tc>
          <w:tcPr>
            <w:tcW w:w="1188" w:type="dxa"/>
          </w:tcPr>
          <w:p w14:paraId="6B657903" w14:textId="77777777" w:rsidR="00FD54FC" w:rsidRPr="00E07C9A" w:rsidRDefault="00535792" w:rsidP="00FD54FC">
            <w:pPr>
              <w:spacing w:before="0" w:after="0"/>
              <w:ind w:left="33"/>
              <w:rPr>
                <w:rFonts w:ascii="Times New Roman" w:hAnsi="Times New Roman"/>
                <w:bCs/>
                <w:sz w:val="24"/>
              </w:rPr>
            </w:pPr>
            <w:r w:rsidRPr="00E07C9A">
              <w:rPr>
                <w:rFonts w:ascii="Times New Roman" w:hAnsi="Times New Roman"/>
                <w:sz w:val="24"/>
              </w:rPr>
              <w:t>0080</w:t>
            </w:r>
          </w:p>
        </w:tc>
        <w:tc>
          <w:tcPr>
            <w:tcW w:w="8640" w:type="dxa"/>
          </w:tcPr>
          <w:p w14:paraId="2EE052A4" w14:textId="77777777" w:rsidR="00FD54FC" w:rsidRPr="00E07C9A" w:rsidRDefault="00FD54FC" w:rsidP="00FD54FC">
            <w:pPr>
              <w:spacing w:before="0" w:after="0"/>
              <w:ind w:left="33"/>
              <w:rPr>
                <w:rFonts w:ascii="Times New Roman" w:hAnsi="Times New Roman"/>
                <w:b/>
                <w:bCs/>
                <w:sz w:val="24"/>
                <w:u w:val="single"/>
              </w:rPr>
            </w:pPr>
            <w:r w:rsidRPr="00E07C9A">
              <w:rPr>
                <w:rFonts w:ascii="Times New Roman" w:hAnsi="Times New Roman"/>
                <w:b/>
                <w:sz w:val="24"/>
                <w:u w:val="single"/>
              </w:rPr>
              <w:t>Finančné aktíva oceňované reálnou hodnotou cez iný komplexný účtovný výsledok</w:t>
            </w:r>
          </w:p>
          <w:p w14:paraId="6ECF1C71" w14:textId="77777777" w:rsidR="00FD54FC" w:rsidRPr="00E07C9A" w:rsidRDefault="00FD54FC" w:rsidP="00FD54FC">
            <w:pPr>
              <w:spacing w:before="0" w:after="0"/>
              <w:ind w:left="33"/>
              <w:rPr>
                <w:rFonts w:ascii="Times New Roman" w:hAnsi="Times New Roman"/>
                <w:bCs/>
                <w:sz w:val="24"/>
                <w:lang w:eastAsia="de-DE"/>
              </w:rPr>
            </w:pPr>
          </w:p>
          <w:p w14:paraId="1A83041A" w14:textId="77777777" w:rsidR="00FD54FC" w:rsidRPr="00E07C9A" w:rsidRDefault="00FD54FC" w:rsidP="00FD54FC">
            <w:pPr>
              <w:spacing w:before="0" w:after="0"/>
              <w:ind w:left="33"/>
              <w:rPr>
                <w:rFonts w:ascii="Times New Roman" w:hAnsi="Times New Roman"/>
                <w:bCs/>
                <w:sz w:val="24"/>
              </w:rPr>
            </w:pPr>
            <w:r w:rsidRPr="00E07C9A">
              <w:rPr>
                <w:rFonts w:ascii="Times New Roman" w:hAnsi="Times New Roman"/>
                <w:sz w:val="24"/>
              </w:rPr>
              <w:t>IFRS 7 ods. 8 písm. d); IFRS 9 ods. 4.1.2A</w:t>
            </w:r>
          </w:p>
          <w:p w14:paraId="2F412666" w14:textId="77777777" w:rsidR="00FD54FC" w:rsidRPr="00E07C9A" w:rsidRDefault="00FD54FC" w:rsidP="00FD54FC">
            <w:pPr>
              <w:spacing w:before="0" w:after="0"/>
              <w:ind w:left="33"/>
              <w:rPr>
                <w:rFonts w:ascii="Times New Roman" w:hAnsi="Times New Roman"/>
                <w:b/>
                <w:bCs/>
                <w:sz w:val="24"/>
                <w:lang w:eastAsia="de-DE"/>
              </w:rPr>
            </w:pPr>
          </w:p>
        </w:tc>
      </w:tr>
      <w:tr w:rsidR="00FD54FC" w:rsidRPr="00E07C9A" w14:paraId="46B215B4" w14:textId="77777777" w:rsidTr="00672D2A">
        <w:tc>
          <w:tcPr>
            <w:tcW w:w="1188" w:type="dxa"/>
          </w:tcPr>
          <w:p w14:paraId="2C0A90FF" w14:textId="77777777" w:rsidR="00FD54FC" w:rsidRPr="00E07C9A" w:rsidRDefault="00535792" w:rsidP="00FD54FC">
            <w:pPr>
              <w:spacing w:before="0" w:after="0"/>
              <w:ind w:left="33"/>
              <w:rPr>
                <w:rFonts w:ascii="Times New Roman" w:hAnsi="Times New Roman"/>
                <w:bCs/>
                <w:sz w:val="24"/>
              </w:rPr>
            </w:pPr>
            <w:r w:rsidRPr="00E07C9A">
              <w:rPr>
                <w:rFonts w:ascii="Times New Roman" w:hAnsi="Times New Roman"/>
                <w:sz w:val="24"/>
              </w:rPr>
              <w:t>0090</w:t>
            </w:r>
          </w:p>
        </w:tc>
        <w:tc>
          <w:tcPr>
            <w:tcW w:w="8640" w:type="dxa"/>
          </w:tcPr>
          <w:p w14:paraId="2C69613A" w14:textId="77777777" w:rsidR="00FD54FC" w:rsidRPr="00E07C9A" w:rsidRDefault="00FD54FC" w:rsidP="00FD54FC">
            <w:pPr>
              <w:spacing w:before="0" w:after="0"/>
              <w:ind w:left="33"/>
              <w:rPr>
                <w:rFonts w:ascii="Times New Roman" w:hAnsi="Times New Roman"/>
                <w:b/>
                <w:bCs/>
                <w:sz w:val="24"/>
                <w:u w:val="single"/>
              </w:rPr>
            </w:pPr>
            <w:r w:rsidRPr="00E07C9A">
              <w:rPr>
                <w:rFonts w:ascii="Times New Roman" w:hAnsi="Times New Roman"/>
                <w:b/>
                <w:sz w:val="24"/>
                <w:u w:val="single"/>
              </w:rPr>
              <w:t>Neobchodné nederivátové finančné aktíva oceňované reálnou hodnotou vo vlastnom imaní</w:t>
            </w:r>
          </w:p>
          <w:p w14:paraId="61C3B8B2" w14:textId="77777777" w:rsidR="00FD54FC" w:rsidRPr="00E07C9A" w:rsidRDefault="00FD54FC" w:rsidP="00FD54FC">
            <w:pPr>
              <w:spacing w:before="0" w:after="0"/>
              <w:ind w:left="33"/>
              <w:rPr>
                <w:rFonts w:ascii="Times New Roman" w:hAnsi="Times New Roman"/>
                <w:bCs/>
                <w:sz w:val="24"/>
                <w:lang w:eastAsia="de-DE"/>
              </w:rPr>
            </w:pPr>
          </w:p>
          <w:p w14:paraId="2C918192" w14:textId="5DBDB0D0" w:rsidR="00FD54FC" w:rsidRPr="00E07C9A" w:rsidRDefault="00EC38B2" w:rsidP="00FD54FC">
            <w:pPr>
              <w:spacing w:before="0" w:after="0"/>
              <w:ind w:left="33"/>
              <w:rPr>
                <w:rFonts w:ascii="Times New Roman" w:hAnsi="Times New Roman"/>
                <w:bCs/>
                <w:sz w:val="24"/>
              </w:rPr>
            </w:pPr>
            <w:r w:rsidRPr="00E07C9A">
              <w:rPr>
                <w:rFonts w:ascii="Times New Roman" w:hAnsi="Times New Roman"/>
                <w:sz w:val="24"/>
              </w:rPr>
              <w:t>Článok 8 ods. 1 písm. a)</w:t>
            </w:r>
            <w:r w:rsidR="009912F8" w:rsidRPr="00E07C9A">
              <w:rPr>
                <w:rFonts w:ascii="Times New Roman" w:hAnsi="Times New Roman"/>
                <w:sz w:val="24"/>
              </w:rPr>
              <w:t xml:space="preserve"> a </w:t>
            </w:r>
            <w:r w:rsidRPr="00E07C9A">
              <w:rPr>
                <w:rFonts w:ascii="Times New Roman" w:hAnsi="Times New Roman"/>
                <w:sz w:val="24"/>
              </w:rPr>
              <w:t>článok 8 ods. 8 smernice 2013/34/EÚ</w:t>
            </w:r>
          </w:p>
          <w:p w14:paraId="65249002" w14:textId="77777777" w:rsidR="00FD54FC" w:rsidRPr="00E07C9A" w:rsidRDefault="00FD54FC" w:rsidP="00FD54FC">
            <w:pPr>
              <w:spacing w:before="0" w:after="0"/>
              <w:ind w:left="33"/>
              <w:rPr>
                <w:rFonts w:ascii="Times New Roman" w:hAnsi="Times New Roman"/>
                <w:bCs/>
                <w:sz w:val="24"/>
                <w:lang w:eastAsia="de-DE"/>
              </w:rPr>
            </w:pPr>
          </w:p>
          <w:p w14:paraId="46B591FD" w14:textId="77777777" w:rsidR="00FD54FC" w:rsidRPr="00E07C9A" w:rsidRDefault="00FD54FC" w:rsidP="00FD54FC">
            <w:pPr>
              <w:spacing w:before="0" w:after="0"/>
              <w:ind w:left="33"/>
              <w:rPr>
                <w:rFonts w:ascii="Times New Roman" w:hAnsi="Times New Roman"/>
                <w:bCs/>
                <w:sz w:val="24"/>
              </w:rPr>
            </w:pPr>
            <w:r w:rsidRPr="00E07C9A">
              <w:rPr>
                <w:rFonts w:ascii="Times New Roman" w:hAnsi="Times New Roman"/>
                <w:sz w:val="24"/>
              </w:rPr>
              <w:t>Vykazujú len inštitúcie, ktoré sa riadia národnými všeobecne uznávanými účtovnými zásadami (GAAP).</w:t>
            </w:r>
          </w:p>
          <w:p w14:paraId="3EAE7B04" w14:textId="77777777" w:rsidR="00FD54FC" w:rsidRPr="00E07C9A" w:rsidRDefault="00FD54FC" w:rsidP="00FD54FC">
            <w:pPr>
              <w:spacing w:before="0" w:after="0"/>
              <w:ind w:left="33"/>
              <w:rPr>
                <w:rFonts w:ascii="Times New Roman" w:hAnsi="Times New Roman"/>
                <w:bCs/>
                <w:sz w:val="24"/>
                <w:lang w:eastAsia="de-DE"/>
              </w:rPr>
            </w:pPr>
          </w:p>
        </w:tc>
      </w:tr>
      <w:tr w:rsidR="00FD54FC" w:rsidRPr="00E07C9A" w14:paraId="1E6E4602" w14:textId="77777777" w:rsidTr="00672D2A">
        <w:tc>
          <w:tcPr>
            <w:tcW w:w="1188" w:type="dxa"/>
          </w:tcPr>
          <w:p w14:paraId="38F77EA5" w14:textId="77777777" w:rsidR="00FD54FC" w:rsidRPr="00E07C9A" w:rsidRDefault="00535792" w:rsidP="00FD54FC">
            <w:pPr>
              <w:spacing w:before="0" w:after="0"/>
              <w:ind w:left="33"/>
              <w:rPr>
                <w:rFonts w:ascii="Times New Roman" w:hAnsi="Times New Roman"/>
                <w:bCs/>
                <w:sz w:val="24"/>
              </w:rPr>
            </w:pPr>
            <w:r w:rsidRPr="00E07C9A">
              <w:rPr>
                <w:rFonts w:ascii="Times New Roman" w:hAnsi="Times New Roman"/>
                <w:sz w:val="24"/>
              </w:rPr>
              <w:t>0100</w:t>
            </w:r>
          </w:p>
        </w:tc>
        <w:tc>
          <w:tcPr>
            <w:tcW w:w="8640" w:type="dxa"/>
          </w:tcPr>
          <w:p w14:paraId="09C25B22" w14:textId="38BED7B4" w:rsidR="00FD54FC" w:rsidRPr="00E07C9A" w:rsidRDefault="00FD54FC" w:rsidP="00FD54FC">
            <w:pPr>
              <w:spacing w:before="0" w:after="0"/>
              <w:ind w:left="33"/>
              <w:rPr>
                <w:rFonts w:ascii="Times New Roman" w:hAnsi="Times New Roman"/>
                <w:b/>
                <w:bCs/>
                <w:sz w:val="24"/>
                <w:u w:val="single"/>
              </w:rPr>
            </w:pPr>
            <w:r w:rsidRPr="00E07C9A">
              <w:rPr>
                <w:rFonts w:ascii="Times New Roman" w:hAnsi="Times New Roman"/>
                <w:b/>
                <w:sz w:val="24"/>
                <w:u w:val="single"/>
              </w:rPr>
              <w:t>Finančné aktíva oceňované</w:t>
            </w:r>
            <w:r w:rsidR="009912F8" w:rsidRPr="00E07C9A">
              <w:rPr>
                <w:rFonts w:ascii="Times New Roman" w:hAnsi="Times New Roman"/>
                <w:b/>
                <w:sz w:val="24"/>
                <w:u w:val="single"/>
              </w:rPr>
              <w:t xml:space="preserve"> v </w:t>
            </w:r>
            <w:r w:rsidRPr="00E07C9A">
              <w:rPr>
                <w:rFonts w:ascii="Times New Roman" w:hAnsi="Times New Roman"/>
                <w:b/>
                <w:sz w:val="24"/>
                <w:u w:val="single"/>
              </w:rPr>
              <w:t>amortizovanej hodnote</w:t>
            </w:r>
          </w:p>
          <w:p w14:paraId="002EDD01" w14:textId="77777777" w:rsidR="00FD54FC" w:rsidRPr="00E07C9A" w:rsidRDefault="00FD54FC" w:rsidP="00FD54FC">
            <w:pPr>
              <w:spacing w:before="0" w:after="0"/>
              <w:ind w:left="33"/>
              <w:rPr>
                <w:rFonts w:ascii="Times New Roman" w:hAnsi="Times New Roman"/>
                <w:bCs/>
                <w:sz w:val="24"/>
                <w:lang w:eastAsia="de-DE"/>
              </w:rPr>
            </w:pPr>
          </w:p>
          <w:p w14:paraId="20E124F0" w14:textId="6074A88C" w:rsidR="00FD54FC" w:rsidRPr="00E07C9A" w:rsidDel="00501397" w:rsidRDefault="00FD54FC" w:rsidP="00FD54FC">
            <w:pPr>
              <w:spacing w:before="0" w:after="0"/>
              <w:ind w:left="33"/>
              <w:rPr>
                <w:rFonts w:ascii="Times New Roman" w:hAnsi="Times New Roman"/>
                <w:b/>
                <w:bCs/>
                <w:sz w:val="24"/>
                <w:u w:val="single"/>
              </w:rPr>
            </w:pPr>
            <w:r w:rsidRPr="00E07C9A">
              <w:rPr>
                <w:rFonts w:ascii="Times New Roman" w:hAnsi="Times New Roman"/>
                <w:sz w:val="24"/>
              </w:rPr>
              <w:t>IFRS 7 ods. 8 písm. f); IFRS 9 ods. 4.1.2; časť 1 ods. 15 prílohy</w:t>
            </w:r>
            <w:r w:rsidR="009912F8" w:rsidRPr="00E07C9A">
              <w:rPr>
                <w:rFonts w:ascii="Times New Roman" w:hAnsi="Times New Roman"/>
                <w:sz w:val="24"/>
              </w:rPr>
              <w:t xml:space="preserve"> V k </w:t>
            </w:r>
            <w:r w:rsidRPr="00E07C9A">
              <w:rPr>
                <w:rFonts w:ascii="Times New Roman" w:hAnsi="Times New Roman"/>
                <w:sz w:val="24"/>
              </w:rPr>
              <w:t>tomuto vykonávaciemu nariadeniu</w:t>
            </w:r>
          </w:p>
          <w:p w14:paraId="7852E028" w14:textId="77777777" w:rsidR="00FD54FC" w:rsidRPr="00E07C9A" w:rsidRDefault="00FD54FC" w:rsidP="00FD54FC">
            <w:pPr>
              <w:spacing w:before="0" w:after="0"/>
              <w:ind w:left="33"/>
              <w:rPr>
                <w:rFonts w:ascii="Times New Roman" w:hAnsi="Times New Roman"/>
                <w:bCs/>
                <w:sz w:val="24"/>
                <w:lang w:eastAsia="de-DE"/>
              </w:rPr>
            </w:pPr>
          </w:p>
        </w:tc>
      </w:tr>
      <w:tr w:rsidR="00FD54FC" w:rsidRPr="00E07C9A" w14:paraId="480E6C60" w14:textId="77777777" w:rsidTr="00672D2A">
        <w:tc>
          <w:tcPr>
            <w:tcW w:w="1188" w:type="dxa"/>
          </w:tcPr>
          <w:p w14:paraId="07808EBA" w14:textId="77777777" w:rsidR="00FD54FC" w:rsidRPr="00E07C9A" w:rsidRDefault="00535792" w:rsidP="00FD54FC">
            <w:pPr>
              <w:spacing w:before="0" w:after="0"/>
              <w:ind w:left="33"/>
              <w:rPr>
                <w:rFonts w:ascii="Times New Roman" w:hAnsi="Times New Roman"/>
                <w:bCs/>
                <w:sz w:val="24"/>
              </w:rPr>
            </w:pPr>
            <w:r w:rsidRPr="00E07C9A">
              <w:rPr>
                <w:rFonts w:ascii="Times New Roman" w:hAnsi="Times New Roman"/>
                <w:sz w:val="24"/>
              </w:rPr>
              <w:t>0110</w:t>
            </w:r>
          </w:p>
        </w:tc>
        <w:tc>
          <w:tcPr>
            <w:tcW w:w="8640" w:type="dxa"/>
          </w:tcPr>
          <w:p w14:paraId="69F01A6F" w14:textId="77777777" w:rsidR="00FD54FC" w:rsidRPr="00E07C9A" w:rsidRDefault="00FD54FC" w:rsidP="00FD54FC">
            <w:pPr>
              <w:spacing w:before="0" w:after="0"/>
              <w:ind w:left="33"/>
              <w:rPr>
                <w:rFonts w:ascii="Times New Roman" w:hAnsi="Times New Roman"/>
                <w:b/>
                <w:bCs/>
                <w:sz w:val="24"/>
                <w:u w:val="single"/>
              </w:rPr>
            </w:pPr>
            <w:r w:rsidRPr="00E07C9A">
              <w:rPr>
                <w:rFonts w:ascii="Times New Roman" w:hAnsi="Times New Roman"/>
                <w:b/>
                <w:sz w:val="24"/>
                <w:u w:val="single"/>
              </w:rPr>
              <w:t>Neobchodné nederivátové finančné aktíva oceňované nákladovou metódou</w:t>
            </w:r>
          </w:p>
          <w:p w14:paraId="3B32FC40" w14:textId="77777777" w:rsidR="00FD54FC" w:rsidRPr="00E07C9A" w:rsidRDefault="00FD54FC" w:rsidP="00FD54FC">
            <w:pPr>
              <w:spacing w:before="0" w:after="0"/>
              <w:ind w:left="33"/>
              <w:rPr>
                <w:rFonts w:ascii="Times New Roman" w:hAnsi="Times New Roman"/>
                <w:bCs/>
                <w:sz w:val="24"/>
                <w:lang w:eastAsia="de-DE"/>
              </w:rPr>
            </w:pPr>
          </w:p>
          <w:p w14:paraId="2E03FA9E" w14:textId="515FE69F" w:rsidR="00FD54FC" w:rsidRPr="00E07C9A" w:rsidRDefault="002F78EA" w:rsidP="00FD54FC">
            <w:pPr>
              <w:spacing w:before="0" w:after="0"/>
              <w:ind w:left="33"/>
              <w:rPr>
                <w:rFonts w:ascii="Times New Roman" w:hAnsi="Times New Roman"/>
                <w:bCs/>
                <w:sz w:val="24"/>
              </w:rPr>
            </w:pPr>
            <w:r w:rsidRPr="00E07C9A">
              <w:rPr>
                <w:rFonts w:ascii="Times New Roman" w:hAnsi="Times New Roman"/>
                <w:sz w:val="24"/>
              </w:rPr>
              <w:t>Článok 35 smernice Rady 86/635/EHS;</w:t>
            </w:r>
            <w:r w:rsidR="009912F8" w:rsidRPr="00E07C9A">
              <w:rPr>
                <w:rFonts w:ascii="Times New Roman" w:hAnsi="Times New Roman"/>
                <w:sz w:val="24"/>
              </w:rPr>
              <w:t xml:space="preserve"> </w:t>
            </w:r>
            <w:r w:rsidRPr="00E07C9A">
              <w:rPr>
                <w:rFonts w:ascii="Times New Roman" w:hAnsi="Times New Roman"/>
                <w:sz w:val="24"/>
              </w:rPr>
              <w:t>článok 6 ods. 1 písm. i)</w:t>
            </w:r>
            <w:r w:rsidR="009912F8" w:rsidRPr="00E07C9A">
              <w:rPr>
                <w:rFonts w:ascii="Times New Roman" w:hAnsi="Times New Roman"/>
                <w:sz w:val="24"/>
              </w:rPr>
              <w:t xml:space="preserve"> a </w:t>
            </w:r>
            <w:r w:rsidRPr="00E07C9A">
              <w:rPr>
                <w:rFonts w:ascii="Times New Roman" w:hAnsi="Times New Roman"/>
                <w:sz w:val="24"/>
              </w:rPr>
              <w:t>článok 8 ods. 2 smernice 2013/34/EÚ;</w:t>
            </w:r>
            <w:r w:rsidR="009912F8" w:rsidRPr="00E07C9A">
              <w:rPr>
                <w:rFonts w:ascii="Times New Roman" w:hAnsi="Times New Roman"/>
                <w:sz w:val="24"/>
              </w:rPr>
              <w:t xml:space="preserve"> </w:t>
            </w:r>
            <w:r w:rsidRPr="00E07C9A">
              <w:rPr>
                <w:rFonts w:ascii="Times New Roman" w:hAnsi="Times New Roman"/>
                <w:sz w:val="24"/>
              </w:rPr>
              <w:t>časť 1 ods. 16 prílohy</w:t>
            </w:r>
            <w:r w:rsidR="009912F8" w:rsidRPr="00E07C9A">
              <w:rPr>
                <w:rFonts w:ascii="Times New Roman" w:hAnsi="Times New Roman"/>
                <w:sz w:val="24"/>
              </w:rPr>
              <w:t xml:space="preserve"> V k </w:t>
            </w:r>
            <w:r w:rsidRPr="00E07C9A">
              <w:rPr>
                <w:rFonts w:ascii="Times New Roman" w:hAnsi="Times New Roman"/>
                <w:sz w:val="24"/>
              </w:rPr>
              <w:t>tomuto vykonávaciemu nariadeniu</w:t>
            </w:r>
          </w:p>
          <w:p w14:paraId="69B2514B" w14:textId="77777777" w:rsidR="00FD54FC" w:rsidRPr="00E07C9A" w:rsidRDefault="00FD54FC" w:rsidP="00FD54FC">
            <w:pPr>
              <w:spacing w:before="0" w:after="0"/>
              <w:ind w:left="33"/>
              <w:rPr>
                <w:rFonts w:ascii="Times New Roman" w:hAnsi="Times New Roman"/>
                <w:bCs/>
                <w:sz w:val="24"/>
                <w:lang w:eastAsia="de-DE"/>
              </w:rPr>
            </w:pPr>
          </w:p>
          <w:p w14:paraId="78E5988A" w14:textId="77777777" w:rsidR="00FD54FC" w:rsidRPr="00E07C9A" w:rsidRDefault="00FD54FC" w:rsidP="00FD54FC">
            <w:pPr>
              <w:spacing w:before="0" w:after="0"/>
              <w:ind w:left="33"/>
              <w:rPr>
                <w:rFonts w:ascii="Times New Roman" w:hAnsi="Times New Roman"/>
                <w:bCs/>
                <w:sz w:val="24"/>
              </w:rPr>
            </w:pPr>
            <w:r w:rsidRPr="00E07C9A">
              <w:rPr>
                <w:rFonts w:ascii="Times New Roman" w:hAnsi="Times New Roman"/>
                <w:sz w:val="24"/>
              </w:rPr>
              <w:t>Vykazujú len inštitúcie, ktoré sa riadia národnými všeobecne uznávanými účtovnými zásadami (GAAP).</w:t>
            </w:r>
          </w:p>
          <w:p w14:paraId="1B19CE5C" w14:textId="77777777" w:rsidR="00FD54FC" w:rsidRPr="00E07C9A" w:rsidRDefault="00FD54FC" w:rsidP="00FD54FC">
            <w:pPr>
              <w:spacing w:before="0" w:after="0"/>
              <w:ind w:left="33"/>
              <w:rPr>
                <w:rFonts w:ascii="Times New Roman" w:hAnsi="Times New Roman"/>
                <w:bCs/>
                <w:sz w:val="24"/>
                <w:lang w:eastAsia="de-DE"/>
              </w:rPr>
            </w:pPr>
          </w:p>
        </w:tc>
      </w:tr>
      <w:tr w:rsidR="00FD54FC" w:rsidRPr="00E07C9A" w14:paraId="24C22CFC" w14:textId="77777777" w:rsidTr="00672D2A">
        <w:tc>
          <w:tcPr>
            <w:tcW w:w="1188" w:type="dxa"/>
          </w:tcPr>
          <w:p w14:paraId="6C606741" w14:textId="77777777" w:rsidR="00FD54FC" w:rsidRPr="00E07C9A" w:rsidRDefault="00535792" w:rsidP="00FD54FC">
            <w:pPr>
              <w:spacing w:before="0" w:after="0"/>
              <w:ind w:left="33"/>
              <w:rPr>
                <w:rFonts w:ascii="Times New Roman" w:hAnsi="Times New Roman"/>
                <w:bCs/>
                <w:sz w:val="24"/>
              </w:rPr>
            </w:pPr>
            <w:r w:rsidRPr="00E07C9A">
              <w:rPr>
                <w:rFonts w:ascii="Times New Roman" w:hAnsi="Times New Roman"/>
                <w:sz w:val="24"/>
              </w:rPr>
              <w:t>0120</w:t>
            </w:r>
          </w:p>
        </w:tc>
        <w:tc>
          <w:tcPr>
            <w:tcW w:w="8640" w:type="dxa"/>
          </w:tcPr>
          <w:p w14:paraId="49661449" w14:textId="77777777" w:rsidR="00FD54FC" w:rsidRPr="00E07C9A" w:rsidRDefault="00FD54FC" w:rsidP="00FD54FC">
            <w:pPr>
              <w:spacing w:before="0" w:after="0"/>
              <w:ind w:left="33"/>
              <w:rPr>
                <w:rFonts w:ascii="Times New Roman" w:hAnsi="Times New Roman"/>
                <w:b/>
                <w:bCs/>
                <w:sz w:val="24"/>
                <w:u w:val="single"/>
              </w:rPr>
            </w:pPr>
            <w:r w:rsidRPr="00E07C9A">
              <w:rPr>
                <w:rFonts w:ascii="Times New Roman" w:hAnsi="Times New Roman"/>
                <w:b/>
                <w:sz w:val="24"/>
                <w:u w:val="single"/>
              </w:rPr>
              <w:t>Ostatné neobchodné nederivátové finančné aktíva</w:t>
            </w:r>
          </w:p>
          <w:p w14:paraId="6C250F1B" w14:textId="77777777" w:rsidR="00FD54FC" w:rsidRPr="00E07C9A" w:rsidRDefault="00FD54FC" w:rsidP="00FD54FC">
            <w:pPr>
              <w:spacing w:before="0" w:after="0"/>
              <w:ind w:left="33"/>
              <w:rPr>
                <w:rFonts w:ascii="Times New Roman" w:hAnsi="Times New Roman"/>
                <w:bCs/>
                <w:sz w:val="24"/>
                <w:lang w:eastAsia="de-DE"/>
              </w:rPr>
            </w:pPr>
          </w:p>
          <w:p w14:paraId="64C16FCC" w14:textId="6AD33DE5" w:rsidR="00FD54FC" w:rsidRPr="00E07C9A" w:rsidRDefault="002B004B" w:rsidP="00FD54FC">
            <w:pPr>
              <w:spacing w:before="0" w:after="0"/>
              <w:ind w:left="33"/>
              <w:rPr>
                <w:rFonts w:ascii="Times New Roman" w:hAnsi="Times New Roman"/>
                <w:bCs/>
                <w:sz w:val="24"/>
              </w:rPr>
            </w:pPr>
            <w:r w:rsidRPr="00E07C9A">
              <w:rPr>
                <w:rFonts w:ascii="Times New Roman" w:hAnsi="Times New Roman"/>
                <w:sz w:val="24"/>
              </w:rPr>
              <w:t>Článok 37 smernice Rady 86/635/EHS; článok 12 ods. 7 smernice 2013/34/EÚ; časť 1 ods. 16 prílohy</w:t>
            </w:r>
            <w:r w:rsidR="009912F8" w:rsidRPr="00E07C9A">
              <w:rPr>
                <w:rFonts w:ascii="Times New Roman" w:hAnsi="Times New Roman"/>
                <w:sz w:val="24"/>
              </w:rPr>
              <w:t xml:space="preserve"> V k </w:t>
            </w:r>
            <w:r w:rsidRPr="00E07C9A">
              <w:rPr>
                <w:rFonts w:ascii="Times New Roman" w:hAnsi="Times New Roman"/>
                <w:sz w:val="24"/>
              </w:rPr>
              <w:t>tomuto vykonávaciemu nariadeniu</w:t>
            </w:r>
          </w:p>
          <w:p w14:paraId="6BEAE203" w14:textId="77777777" w:rsidR="00FD54FC" w:rsidRPr="00E07C9A" w:rsidRDefault="00FD54FC" w:rsidP="00FD54FC">
            <w:pPr>
              <w:spacing w:before="0" w:after="0"/>
              <w:ind w:left="33"/>
              <w:rPr>
                <w:rFonts w:ascii="Times New Roman" w:hAnsi="Times New Roman"/>
                <w:bCs/>
                <w:sz w:val="24"/>
                <w:lang w:eastAsia="de-DE"/>
              </w:rPr>
            </w:pPr>
          </w:p>
          <w:p w14:paraId="2CED856D" w14:textId="77777777" w:rsidR="00FD54FC" w:rsidRPr="00E07C9A" w:rsidRDefault="00FD54FC" w:rsidP="00FD54FC">
            <w:pPr>
              <w:spacing w:before="0" w:after="0"/>
              <w:ind w:left="33"/>
              <w:rPr>
                <w:rFonts w:ascii="Times New Roman" w:hAnsi="Times New Roman"/>
                <w:bCs/>
                <w:sz w:val="24"/>
              </w:rPr>
            </w:pPr>
            <w:r w:rsidRPr="00E07C9A">
              <w:rPr>
                <w:rFonts w:ascii="Times New Roman" w:hAnsi="Times New Roman"/>
                <w:sz w:val="24"/>
              </w:rPr>
              <w:t>Vykazujú len inštitúcie, ktoré sa riadia národnými všeobecne uznávanými účtovnými zásadami (GAAP).</w:t>
            </w:r>
          </w:p>
          <w:p w14:paraId="2F2475A6" w14:textId="77777777" w:rsidR="00FD54FC" w:rsidRPr="00E07C9A" w:rsidRDefault="00FD54FC" w:rsidP="00FD54FC">
            <w:pPr>
              <w:spacing w:before="0" w:after="0"/>
              <w:ind w:left="33"/>
              <w:rPr>
                <w:rFonts w:ascii="Times New Roman" w:hAnsi="Times New Roman"/>
                <w:bCs/>
                <w:sz w:val="24"/>
                <w:lang w:eastAsia="de-DE"/>
              </w:rPr>
            </w:pPr>
          </w:p>
        </w:tc>
      </w:tr>
      <w:tr w:rsidR="00FD54FC" w:rsidRPr="00E07C9A" w14:paraId="33B5787C" w14:textId="77777777" w:rsidTr="00672D2A">
        <w:tc>
          <w:tcPr>
            <w:tcW w:w="1188" w:type="dxa"/>
          </w:tcPr>
          <w:p w14:paraId="4844848E" w14:textId="77777777" w:rsidR="00FD54FC" w:rsidRPr="00E07C9A" w:rsidRDefault="00535792" w:rsidP="00FD54FC">
            <w:pPr>
              <w:spacing w:before="0" w:after="0"/>
              <w:ind w:left="33"/>
              <w:rPr>
                <w:rFonts w:ascii="Times New Roman" w:hAnsi="Times New Roman"/>
                <w:bCs/>
                <w:sz w:val="24"/>
              </w:rPr>
            </w:pPr>
            <w:r w:rsidRPr="00E07C9A">
              <w:rPr>
                <w:rFonts w:ascii="Times New Roman" w:hAnsi="Times New Roman"/>
                <w:sz w:val="24"/>
              </w:rPr>
              <w:t>0130</w:t>
            </w:r>
          </w:p>
        </w:tc>
        <w:tc>
          <w:tcPr>
            <w:tcW w:w="8640" w:type="dxa"/>
          </w:tcPr>
          <w:p w14:paraId="079E2098" w14:textId="77777777" w:rsidR="00FD54FC" w:rsidRPr="00E07C9A" w:rsidRDefault="00FD54FC" w:rsidP="00FD54FC">
            <w:pPr>
              <w:spacing w:before="0" w:after="0"/>
              <w:ind w:left="33"/>
              <w:rPr>
                <w:rFonts w:ascii="Times New Roman" w:hAnsi="Times New Roman"/>
                <w:b/>
                <w:bCs/>
                <w:sz w:val="24"/>
                <w:u w:val="single"/>
              </w:rPr>
            </w:pPr>
            <w:r w:rsidRPr="00E07C9A">
              <w:rPr>
                <w:rFonts w:ascii="Times New Roman" w:hAnsi="Times New Roman"/>
                <w:b/>
                <w:sz w:val="24"/>
                <w:u w:val="single"/>
              </w:rPr>
              <w:t>Krátke pozície</w:t>
            </w:r>
          </w:p>
          <w:p w14:paraId="58551500" w14:textId="77777777" w:rsidR="00FD54FC" w:rsidRPr="00E07C9A" w:rsidRDefault="00FD54FC" w:rsidP="00FD54FC">
            <w:pPr>
              <w:spacing w:before="0" w:after="0"/>
              <w:ind w:left="33"/>
              <w:rPr>
                <w:rFonts w:ascii="Times New Roman" w:hAnsi="Times New Roman"/>
                <w:bCs/>
                <w:sz w:val="24"/>
                <w:lang w:eastAsia="de-DE"/>
              </w:rPr>
            </w:pPr>
          </w:p>
          <w:p w14:paraId="53137A2A" w14:textId="4858F1D9" w:rsidR="00FD54FC" w:rsidRPr="00E07C9A" w:rsidRDefault="00FD54FC" w:rsidP="00FD54FC">
            <w:pPr>
              <w:spacing w:before="0" w:after="0"/>
              <w:ind w:left="33"/>
              <w:rPr>
                <w:rFonts w:ascii="Times New Roman" w:hAnsi="Times New Roman"/>
                <w:bCs/>
                <w:sz w:val="24"/>
              </w:rPr>
            </w:pPr>
            <w:r w:rsidRPr="00E07C9A">
              <w:rPr>
                <w:rFonts w:ascii="Times New Roman" w:hAnsi="Times New Roman"/>
                <w:sz w:val="24"/>
              </w:rPr>
              <w:t>Účtovná hodnota krátkych pozícií, ako sa vymedzujú</w:t>
            </w:r>
            <w:r w:rsidR="009912F8" w:rsidRPr="00E07C9A">
              <w:rPr>
                <w:rFonts w:ascii="Times New Roman" w:hAnsi="Times New Roman"/>
                <w:sz w:val="24"/>
              </w:rPr>
              <w:t xml:space="preserve"> v </w:t>
            </w:r>
            <w:r w:rsidRPr="00E07C9A">
              <w:rPr>
                <w:rFonts w:ascii="Times New Roman" w:hAnsi="Times New Roman"/>
                <w:sz w:val="24"/>
              </w:rPr>
              <w:t>IFRS 9 ods. BA.7 písm. b), ak je priamou protistranou orgán verejnej správy, ako sa vymedzuje</w:t>
            </w:r>
            <w:r w:rsidR="009912F8" w:rsidRPr="00E07C9A">
              <w:rPr>
                <w:rFonts w:ascii="Times New Roman" w:hAnsi="Times New Roman"/>
                <w:sz w:val="24"/>
              </w:rPr>
              <w:t xml:space="preserve"> v </w:t>
            </w:r>
            <w:r w:rsidRPr="00E07C9A">
              <w:rPr>
                <w:rFonts w:ascii="Times New Roman" w:hAnsi="Times New Roman"/>
                <w:sz w:val="24"/>
              </w:rPr>
              <w:t>odsekoch 155 až 160 tejto prílohy.</w:t>
            </w:r>
          </w:p>
          <w:p w14:paraId="2D427CF1" w14:textId="77777777" w:rsidR="00FD54FC" w:rsidRPr="00E07C9A" w:rsidRDefault="00FD54FC" w:rsidP="00FD54FC">
            <w:pPr>
              <w:spacing w:before="0" w:after="0"/>
              <w:ind w:left="33"/>
              <w:rPr>
                <w:rFonts w:ascii="Times New Roman" w:hAnsi="Times New Roman"/>
                <w:bCs/>
                <w:sz w:val="24"/>
                <w:lang w:eastAsia="de-DE"/>
              </w:rPr>
            </w:pPr>
          </w:p>
          <w:p w14:paraId="6AC001AA" w14:textId="2675918E" w:rsidR="00FD54FC" w:rsidRPr="00E07C9A" w:rsidRDefault="00FD54FC" w:rsidP="00FD54FC">
            <w:pPr>
              <w:spacing w:before="0" w:after="0"/>
              <w:ind w:left="33"/>
              <w:rPr>
                <w:rFonts w:ascii="Times New Roman" w:hAnsi="Times New Roman"/>
                <w:bCs/>
                <w:sz w:val="24"/>
              </w:rPr>
            </w:pPr>
            <w:r w:rsidRPr="00E07C9A">
              <w:rPr>
                <w:rFonts w:ascii="Times New Roman" w:hAnsi="Times New Roman"/>
                <w:sz w:val="24"/>
              </w:rPr>
              <w:t>Krátke pozície vznikajú, keď inštitúcia predáva cenné papiere nadobudnuté</w:t>
            </w:r>
            <w:r w:rsidR="009912F8" w:rsidRPr="00E07C9A">
              <w:rPr>
                <w:rFonts w:ascii="Times New Roman" w:hAnsi="Times New Roman"/>
                <w:sz w:val="24"/>
              </w:rPr>
              <w:t xml:space="preserve"> v </w:t>
            </w:r>
            <w:r w:rsidRPr="00E07C9A">
              <w:rPr>
                <w:rFonts w:ascii="Times New Roman" w:hAnsi="Times New Roman"/>
                <w:sz w:val="24"/>
              </w:rPr>
              <w:t>rámci obrátených repo úverov alebo vypožičané</w:t>
            </w:r>
            <w:r w:rsidR="009912F8" w:rsidRPr="00E07C9A">
              <w:rPr>
                <w:rFonts w:ascii="Times New Roman" w:hAnsi="Times New Roman"/>
                <w:sz w:val="24"/>
              </w:rPr>
              <w:t xml:space="preserve"> v </w:t>
            </w:r>
            <w:r w:rsidRPr="00E07C9A">
              <w:rPr>
                <w:rFonts w:ascii="Times New Roman" w:hAnsi="Times New Roman"/>
                <w:sz w:val="24"/>
              </w:rPr>
              <w:t>rámci transakcie požičiavania cenných papierov.</w:t>
            </w:r>
          </w:p>
          <w:p w14:paraId="630CC7F9" w14:textId="77777777" w:rsidR="00FD54FC" w:rsidRPr="00E07C9A" w:rsidRDefault="00FD54FC" w:rsidP="00FD54FC">
            <w:pPr>
              <w:spacing w:before="0" w:after="0"/>
              <w:ind w:left="33"/>
              <w:rPr>
                <w:rFonts w:ascii="Times New Roman" w:hAnsi="Times New Roman"/>
                <w:bCs/>
                <w:sz w:val="24"/>
                <w:lang w:eastAsia="de-DE"/>
              </w:rPr>
            </w:pPr>
          </w:p>
          <w:p w14:paraId="7C6086E7" w14:textId="77777777" w:rsidR="00FD54FC" w:rsidRPr="00E07C9A" w:rsidRDefault="00FD54FC" w:rsidP="00FD54FC">
            <w:pPr>
              <w:spacing w:before="0" w:after="0"/>
              <w:ind w:left="33"/>
              <w:rPr>
                <w:rFonts w:ascii="Times New Roman" w:hAnsi="Times New Roman"/>
                <w:bCs/>
                <w:sz w:val="24"/>
              </w:rPr>
            </w:pPr>
            <w:r w:rsidRPr="00E07C9A">
              <w:rPr>
                <w:rFonts w:ascii="Times New Roman" w:hAnsi="Times New Roman"/>
                <w:sz w:val="24"/>
              </w:rPr>
              <w:t>Účtovnou hodnotou je reálna hodnota krátkych pozícií.</w:t>
            </w:r>
          </w:p>
          <w:p w14:paraId="1E2437E4" w14:textId="77777777" w:rsidR="00FD54FC" w:rsidRPr="00E07C9A" w:rsidRDefault="00FD54FC" w:rsidP="00FD54FC">
            <w:pPr>
              <w:spacing w:before="0" w:after="0"/>
              <w:ind w:left="33"/>
              <w:rPr>
                <w:rFonts w:ascii="Times New Roman" w:hAnsi="Times New Roman"/>
                <w:bCs/>
                <w:sz w:val="24"/>
                <w:lang w:eastAsia="de-DE"/>
              </w:rPr>
            </w:pPr>
          </w:p>
          <w:p w14:paraId="369DB9DB" w14:textId="6EF8DF2F" w:rsidR="009912F8" w:rsidRPr="00E07C9A" w:rsidRDefault="00FD54FC" w:rsidP="00127986">
            <w:pPr>
              <w:spacing w:before="0" w:after="0"/>
              <w:ind w:left="33"/>
              <w:rPr>
                <w:rFonts w:ascii="Times New Roman" w:hAnsi="Times New Roman"/>
                <w:sz w:val="24"/>
              </w:rPr>
            </w:pPr>
            <w:r w:rsidRPr="00E07C9A">
              <w:rPr>
                <w:rFonts w:ascii="Times New Roman" w:hAnsi="Times New Roman"/>
                <w:sz w:val="24"/>
              </w:rPr>
              <w:t>Krátke pozície sa vykazujú podľa skupiny zostatkovej splatností, ako sa uvádza</w:t>
            </w:r>
            <w:r w:rsidR="009912F8" w:rsidRPr="00E07C9A">
              <w:rPr>
                <w:rFonts w:ascii="Times New Roman" w:hAnsi="Times New Roman"/>
                <w:sz w:val="24"/>
              </w:rPr>
              <w:t xml:space="preserve"> v </w:t>
            </w:r>
            <w:r w:rsidRPr="00E07C9A">
              <w:rPr>
                <w:rFonts w:ascii="Times New Roman" w:hAnsi="Times New Roman"/>
                <w:sz w:val="24"/>
              </w:rPr>
              <w:t>riadkoch 0170 až 0230,</w:t>
            </w:r>
            <w:r w:rsidR="009912F8" w:rsidRPr="00E07C9A">
              <w:rPr>
                <w:rFonts w:ascii="Times New Roman" w:hAnsi="Times New Roman"/>
                <w:sz w:val="24"/>
              </w:rPr>
              <w:t xml:space="preserve"> a </w:t>
            </w:r>
            <w:r w:rsidRPr="00E07C9A">
              <w:rPr>
                <w:rFonts w:ascii="Times New Roman" w:hAnsi="Times New Roman"/>
                <w:sz w:val="24"/>
              </w:rPr>
              <w:t>podľa bezprostrednej protistrany</w:t>
            </w:r>
            <w:r w:rsidR="009912F8" w:rsidRPr="00E07C9A">
              <w:rPr>
                <w:rFonts w:ascii="Times New Roman" w:hAnsi="Times New Roman"/>
                <w:sz w:val="24"/>
              </w:rPr>
              <w:t>.</w:t>
            </w:r>
          </w:p>
          <w:p w14:paraId="6467659A" w14:textId="528E4299" w:rsidR="00454026" w:rsidRPr="00E07C9A" w:rsidRDefault="00454026" w:rsidP="00127986">
            <w:pPr>
              <w:spacing w:before="0" w:after="0"/>
              <w:ind w:left="33"/>
              <w:rPr>
                <w:rFonts w:ascii="Times New Roman" w:hAnsi="Times New Roman"/>
                <w:bCs/>
                <w:sz w:val="24"/>
                <w:lang w:eastAsia="de-DE"/>
              </w:rPr>
            </w:pPr>
          </w:p>
          <w:p w14:paraId="6DB1C359" w14:textId="2784C8B7" w:rsidR="00FD54FC" w:rsidRPr="00E07C9A" w:rsidRDefault="00454026" w:rsidP="00454026">
            <w:pPr>
              <w:spacing w:before="0" w:after="0"/>
              <w:ind w:left="33"/>
              <w:rPr>
                <w:rFonts w:ascii="Times New Roman" w:hAnsi="Times New Roman"/>
                <w:bCs/>
                <w:sz w:val="24"/>
              </w:rPr>
            </w:pPr>
            <w:r w:rsidRPr="00E07C9A">
              <w:rPr>
                <w:rFonts w:ascii="Times New Roman" w:hAnsi="Times New Roman"/>
                <w:sz w:val="24"/>
              </w:rPr>
              <w:t>Krátke pozície vykazované</w:t>
            </w:r>
            <w:r w:rsidR="009912F8" w:rsidRPr="00E07C9A">
              <w:rPr>
                <w:rFonts w:ascii="Times New Roman" w:hAnsi="Times New Roman"/>
                <w:sz w:val="24"/>
              </w:rPr>
              <w:t xml:space="preserve"> v </w:t>
            </w:r>
            <w:r w:rsidRPr="00E07C9A">
              <w:rPr>
                <w:rFonts w:ascii="Times New Roman" w:hAnsi="Times New Roman"/>
                <w:sz w:val="24"/>
              </w:rPr>
              <w:t>tomto stĺpci možno započítať voči pozíciám</w:t>
            </w:r>
            <w:r w:rsidR="009912F8" w:rsidRPr="00E07C9A">
              <w:rPr>
                <w:rFonts w:ascii="Times New Roman" w:hAnsi="Times New Roman"/>
                <w:sz w:val="24"/>
              </w:rPr>
              <w:t xml:space="preserve"> s </w:t>
            </w:r>
            <w:r w:rsidRPr="00E07C9A">
              <w:rPr>
                <w:rFonts w:ascii="Times New Roman" w:hAnsi="Times New Roman"/>
                <w:sz w:val="24"/>
              </w:rPr>
              <w:t>rovnakou zostatkovou splatnosťou</w:t>
            </w:r>
            <w:r w:rsidR="009912F8" w:rsidRPr="00E07C9A">
              <w:rPr>
                <w:rFonts w:ascii="Times New Roman" w:hAnsi="Times New Roman"/>
                <w:sz w:val="24"/>
              </w:rPr>
              <w:t xml:space="preserve"> a </w:t>
            </w:r>
            <w:r w:rsidRPr="00E07C9A">
              <w:rPr>
                <w:rFonts w:ascii="Times New Roman" w:hAnsi="Times New Roman"/>
                <w:sz w:val="24"/>
              </w:rPr>
              <w:t>bezprostrednou protistranou denominovaným</w:t>
            </w:r>
            <w:r w:rsidR="009912F8" w:rsidRPr="00E07C9A">
              <w:rPr>
                <w:rFonts w:ascii="Times New Roman" w:hAnsi="Times New Roman"/>
                <w:sz w:val="24"/>
              </w:rPr>
              <w:t xml:space="preserve"> v </w:t>
            </w:r>
            <w:r w:rsidRPr="00E07C9A">
              <w:rPr>
                <w:rFonts w:ascii="Times New Roman" w:hAnsi="Times New Roman"/>
                <w:sz w:val="24"/>
              </w:rPr>
              <w:t>rovnakej mene, ktoré sa vykazujú</w:t>
            </w:r>
            <w:r w:rsidR="009912F8" w:rsidRPr="00E07C9A">
              <w:rPr>
                <w:rFonts w:ascii="Times New Roman" w:hAnsi="Times New Roman"/>
                <w:sz w:val="24"/>
              </w:rPr>
              <w:t xml:space="preserve"> v </w:t>
            </w:r>
            <w:r w:rsidRPr="00E07C9A">
              <w:rPr>
                <w:rFonts w:ascii="Times New Roman" w:hAnsi="Times New Roman"/>
                <w:sz w:val="24"/>
              </w:rPr>
              <w:t>stĺpcoch 0030 až 0120,</w:t>
            </w:r>
            <w:r w:rsidR="009912F8" w:rsidRPr="00E07C9A">
              <w:rPr>
                <w:rFonts w:ascii="Times New Roman" w:hAnsi="Times New Roman"/>
                <w:sz w:val="24"/>
              </w:rPr>
              <w:t xml:space="preserve"> s </w:t>
            </w:r>
            <w:r w:rsidRPr="00E07C9A">
              <w:rPr>
                <w:rFonts w:ascii="Times New Roman" w:hAnsi="Times New Roman"/>
                <w:sz w:val="24"/>
              </w:rPr>
              <w:t>cieľom získať čistú pozíciu, ktorá sa vykazuje</w:t>
            </w:r>
            <w:r w:rsidR="009912F8" w:rsidRPr="00E07C9A">
              <w:rPr>
                <w:rFonts w:ascii="Times New Roman" w:hAnsi="Times New Roman"/>
                <w:sz w:val="24"/>
              </w:rPr>
              <w:t xml:space="preserve"> v </w:t>
            </w:r>
            <w:r w:rsidRPr="00E07C9A">
              <w:rPr>
                <w:rFonts w:ascii="Times New Roman" w:hAnsi="Times New Roman"/>
                <w:sz w:val="24"/>
              </w:rPr>
              <w:t>stĺpci 0020.</w:t>
            </w:r>
          </w:p>
          <w:p w14:paraId="57A01794" w14:textId="77777777" w:rsidR="00454026" w:rsidRPr="00E07C9A" w:rsidRDefault="00454026" w:rsidP="00454026">
            <w:pPr>
              <w:spacing w:before="0" w:after="0"/>
              <w:ind w:left="33"/>
              <w:rPr>
                <w:rFonts w:ascii="Times New Roman" w:hAnsi="Times New Roman"/>
                <w:bCs/>
                <w:sz w:val="24"/>
                <w:lang w:eastAsia="de-DE"/>
              </w:rPr>
            </w:pPr>
          </w:p>
        </w:tc>
      </w:tr>
      <w:tr w:rsidR="00FD54FC" w:rsidRPr="00E07C9A" w14:paraId="5529ACDF" w14:textId="77777777" w:rsidTr="00672D2A">
        <w:tc>
          <w:tcPr>
            <w:tcW w:w="1188" w:type="dxa"/>
          </w:tcPr>
          <w:p w14:paraId="53DC0037" w14:textId="77777777" w:rsidR="00FD54FC" w:rsidRPr="00E07C9A" w:rsidDel="00E97A51" w:rsidRDefault="00535792" w:rsidP="00FD54FC">
            <w:pPr>
              <w:spacing w:before="0" w:after="0"/>
              <w:ind w:left="33"/>
              <w:rPr>
                <w:rFonts w:ascii="Times New Roman" w:hAnsi="Times New Roman"/>
                <w:bCs/>
                <w:sz w:val="24"/>
              </w:rPr>
            </w:pPr>
            <w:r w:rsidRPr="00E07C9A">
              <w:rPr>
                <w:rFonts w:ascii="Times New Roman" w:hAnsi="Times New Roman"/>
                <w:sz w:val="24"/>
              </w:rPr>
              <w:t>0140</w:t>
            </w:r>
          </w:p>
        </w:tc>
        <w:tc>
          <w:tcPr>
            <w:tcW w:w="8640" w:type="dxa"/>
          </w:tcPr>
          <w:p w14:paraId="3A012FA6" w14:textId="0310B8A1" w:rsidR="00FD54FC" w:rsidRPr="00E07C9A" w:rsidRDefault="00FD54FC" w:rsidP="00FD54FC">
            <w:pPr>
              <w:spacing w:before="0" w:after="0"/>
              <w:ind w:left="33"/>
              <w:rPr>
                <w:rFonts w:ascii="Times New Roman" w:hAnsi="Times New Roman"/>
                <w:b/>
                <w:bCs/>
                <w:sz w:val="24"/>
                <w:u w:val="single"/>
              </w:rPr>
            </w:pPr>
            <w:r w:rsidRPr="00E07C9A">
              <w:rPr>
                <w:rFonts w:ascii="Times New Roman" w:hAnsi="Times New Roman"/>
                <w:b/>
                <w:sz w:val="24"/>
                <w:u w:val="single"/>
              </w:rPr>
              <w:t>Z čoho: krátke pozície</w:t>
            </w:r>
            <w:r w:rsidR="009912F8" w:rsidRPr="00E07C9A">
              <w:rPr>
                <w:rFonts w:ascii="Times New Roman" w:hAnsi="Times New Roman"/>
                <w:b/>
                <w:sz w:val="24"/>
                <w:u w:val="single"/>
              </w:rPr>
              <w:t xml:space="preserve"> z </w:t>
            </w:r>
            <w:r w:rsidRPr="00E07C9A">
              <w:rPr>
                <w:rFonts w:ascii="Times New Roman" w:hAnsi="Times New Roman"/>
                <w:b/>
                <w:sz w:val="24"/>
                <w:u w:val="single"/>
              </w:rPr>
              <w:t>obrátených repo úverov klasifikovaných ako držané na obchodovanie alebo obchodné finančné aktíva</w:t>
            </w:r>
          </w:p>
          <w:p w14:paraId="5A8DBBD5" w14:textId="77777777" w:rsidR="00FD54FC" w:rsidRPr="00E07C9A" w:rsidRDefault="00FD54FC" w:rsidP="00FD54FC">
            <w:pPr>
              <w:spacing w:before="0" w:after="0"/>
              <w:ind w:left="33"/>
              <w:rPr>
                <w:rFonts w:ascii="Times New Roman" w:hAnsi="Times New Roman"/>
                <w:bCs/>
                <w:sz w:val="24"/>
                <w:lang w:eastAsia="de-DE"/>
              </w:rPr>
            </w:pPr>
          </w:p>
          <w:p w14:paraId="0A6BD3FE" w14:textId="37475126" w:rsidR="00FD54FC" w:rsidRPr="00E07C9A" w:rsidRDefault="00FD54FC" w:rsidP="00FD54FC">
            <w:pPr>
              <w:spacing w:before="0" w:after="0"/>
              <w:ind w:left="33"/>
              <w:rPr>
                <w:rFonts w:ascii="Times New Roman" w:hAnsi="Times New Roman"/>
                <w:bCs/>
                <w:sz w:val="24"/>
              </w:rPr>
            </w:pPr>
            <w:r w:rsidRPr="00E07C9A">
              <w:rPr>
                <w:rFonts w:ascii="Times New Roman" w:hAnsi="Times New Roman"/>
                <w:sz w:val="24"/>
              </w:rPr>
              <w:t>Účtovná hodnota krátkych pozícií, ako sa vymedzujú</w:t>
            </w:r>
            <w:r w:rsidR="009912F8" w:rsidRPr="00E07C9A">
              <w:rPr>
                <w:rFonts w:ascii="Times New Roman" w:hAnsi="Times New Roman"/>
                <w:sz w:val="24"/>
              </w:rPr>
              <w:t xml:space="preserve"> v </w:t>
            </w:r>
            <w:r w:rsidRPr="00E07C9A">
              <w:rPr>
                <w:rFonts w:ascii="Times New Roman" w:hAnsi="Times New Roman"/>
                <w:sz w:val="24"/>
              </w:rPr>
              <w:t>IFRS 9 ods. BA.7 písm. b), ktoré vznikajú, keď inštitúcia predáva cenné papiere nadobudnuté</w:t>
            </w:r>
            <w:r w:rsidR="009912F8" w:rsidRPr="00E07C9A">
              <w:rPr>
                <w:rFonts w:ascii="Times New Roman" w:hAnsi="Times New Roman"/>
                <w:sz w:val="24"/>
              </w:rPr>
              <w:t xml:space="preserve"> v </w:t>
            </w:r>
            <w:r w:rsidRPr="00E07C9A">
              <w:rPr>
                <w:rFonts w:ascii="Times New Roman" w:hAnsi="Times New Roman"/>
                <w:sz w:val="24"/>
              </w:rPr>
              <w:t>rámci obrátených repo úverov, kde priamou protistranou uvedených cenných papierov je orgán verejnej správy,</w:t>
            </w:r>
            <w:r w:rsidR="009912F8" w:rsidRPr="00E07C9A">
              <w:rPr>
                <w:rFonts w:ascii="Times New Roman" w:hAnsi="Times New Roman"/>
                <w:sz w:val="24"/>
              </w:rPr>
              <w:t xml:space="preserve"> a </w:t>
            </w:r>
            <w:r w:rsidRPr="00E07C9A">
              <w:rPr>
                <w:rFonts w:ascii="Times New Roman" w:hAnsi="Times New Roman"/>
                <w:sz w:val="24"/>
              </w:rPr>
              <w:t>ktoré sú zahrnuté</w:t>
            </w:r>
            <w:r w:rsidR="009912F8" w:rsidRPr="00E07C9A">
              <w:rPr>
                <w:rFonts w:ascii="Times New Roman" w:hAnsi="Times New Roman"/>
                <w:sz w:val="24"/>
              </w:rPr>
              <w:t xml:space="preserve"> v </w:t>
            </w:r>
            <w:r w:rsidRPr="00E07C9A">
              <w:rPr>
                <w:rFonts w:ascii="Times New Roman" w:hAnsi="Times New Roman"/>
                <w:sz w:val="24"/>
              </w:rPr>
              <w:t>účtovných portfóliách držané na obchodovanie alebo obchodné finančné aktíva (stĺpce 0030 alebo 0040).</w:t>
            </w:r>
          </w:p>
          <w:p w14:paraId="65B0632E" w14:textId="77777777" w:rsidR="00FD54FC" w:rsidRPr="00E07C9A" w:rsidRDefault="00FD54FC" w:rsidP="00FD54FC">
            <w:pPr>
              <w:spacing w:before="0" w:after="0"/>
              <w:ind w:left="33"/>
              <w:rPr>
                <w:rFonts w:ascii="Times New Roman" w:hAnsi="Times New Roman"/>
                <w:b/>
                <w:bCs/>
                <w:sz w:val="24"/>
                <w:u w:val="single"/>
                <w:lang w:eastAsia="de-DE"/>
              </w:rPr>
            </w:pPr>
          </w:p>
          <w:p w14:paraId="194A5FB7" w14:textId="01BE63E8" w:rsidR="009912F8" w:rsidRPr="00E07C9A" w:rsidRDefault="00FD54FC" w:rsidP="00FD54FC">
            <w:pPr>
              <w:spacing w:before="0" w:after="0"/>
              <w:ind w:left="33"/>
              <w:rPr>
                <w:rFonts w:ascii="Times New Roman" w:hAnsi="Times New Roman"/>
                <w:sz w:val="24"/>
              </w:rPr>
            </w:pPr>
            <w:r w:rsidRPr="00E07C9A">
              <w:rPr>
                <w:rFonts w:ascii="Times New Roman" w:hAnsi="Times New Roman"/>
                <w:sz w:val="24"/>
              </w:rPr>
              <w:t>Krátke pozície, ktoré vznikajú, keď boli predané cenné papiere požičané</w:t>
            </w:r>
            <w:r w:rsidR="009912F8" w:rsidRPr="00E07C9A">
              <w:rPr>
                <w:rFonts w:ascii="Times New Roman" w:hAnsi="Times New Roman"/>
                <w:sz w:val="24"/>
              </w:rPr>
              <w:t xml:space="preserve"> v </w:t>
            </w:r>
            <w:r w:rsidRPr="00E07C9A">
              <w:rPr>
                <w:rFonts w:ascii="Times New Roman" w:hAnsi="Times New Roman"/>
                <w:sz w:val="24"/>
              </w:rPr>
              <w:t>rámci transakcie požičiavania cenných papierov, sa do tohto stĺpca nezahŕňajú</w:t>
            </w:r>
            <w:r w:rsidR="009912F8" w:rsidRPr="00E07C9A">
              <w:rPr>
                <w:rFonts w:ascii="Times New Roman" w:hAnsi="Times New Roman"/>
                <w:sz w:val="24"/>
              </w:rPr>
              <w:t>.</w:t>
            </w:r>
          </w:p>
          <w:p w14:paraId="4FA056AB" w14:textId="5BEFCAF7" w:rsidR="00FD54FC" w:rsidRPr="00E07C9A" w:rsidDel="00E97A51" w:rsidRDefault="00FD54FC" w:rsidP="00FD54FC">
            <w:pPr>
              <w:spacing w:before="0" w:after="0"/>
              <w:ind w:left="33"/>
              <w:rPr>
                <w:rFonts w:ascii="Times New Roman" w:hAnsi="Times New Roman"/>
                <w:b/>
                <w:bCs/>
                <w:sz w:val="24"/>
                <w:u w:val="single"/>
                <w:lang w:eastAsia="de-DE"/>
              </w:rPr>
            </w:pPr>
          </w:p>
        </w:tc>
      </w:tr>
      <w:tr w:rsidR="00FD54FC" w:rsidRPr="00E07C9A" w:rsidDel="004A25FD" w14:paraId="552CC869" w14:textId="77777777" w:rsidTr="00672D2A">
        <w:tc>
          <w:tcPr>
            <w:tcW w:w="1188" w:type="dxa"/>
          </w:tcPr>
          <w:p w14:paraId="3AD9BD2E" w14:textId="77777777" w:rsidR="00FD54FC" w:rsidRPr="00E07C9A" w:rsidDel="004A25FD" w:rsidRDefault="00535792" w:rsidP="00FD54FC">
            <w:pPr>
              <w:spacing w:before="0" w:after="0"/>
              <w:ind w:left="33"/>
              <w:rPr>
                <w:rFonts w:ascii="Times New Roman" w:hAnsi="Times New Roman"/>
                <w:bCs/>
                <w:sz w:val="24"/>
              </w:rPr>
            </w:pPr>
            <w:r w:rsidRPr="00E07C9A">
              <w:rPr>
                <w:rFonts w:ascii="Times New Roman" w:hAnsi="Times New Roman"/>
                <w:sz w:val="24"/>
              </w:rPr>
              <w:t>0150</w:t>
            </w:r>
          </w:p>
        </w:tc>
        <w:tc>
          <w:tcPr>
            <w:tcW w:w="8640" w:type="dxa"/>
          </w:tcPr>
          <w:p w14:paraId="4E3B6334" w14:textId="77777777" w:rsidR="00FD54FC" w:rsidRPr="00E07C9A" w:rsidRDefault="00FD54FC" w:rsidP="00FD54FC">
            <w:pPr>
              <w:spacing w:before="0" w:after="0"/>
              <w:ind w:left="33"/>
              <w:rPr>
                <w:rFonts w:ascii="Times New Roman" w:hAnsi="Times New Roman"/>
                <w:b/>
                <w:bCs/>
                <w:sz w:val="24"/>
                <w:u w:val="single"/>
              </w:rPr>
            </w:pPr>
            <w:r w:rsidRPr="00E07C9A">
              <w:rPr>
                <w:rFonts w:ascii="Times New Roman" w:hAnsi="Times New Roman"/>
                <w:b/>
                <w:sz w:val="24"/>
                <w:u w:val="single"/>
              </w:rPr>
              <w:t>Akumulovaná znížená hodnota</w:t>
            </w:r>
          </w:p>
          <w:p w14:paraId="5759A565" w14:textId="77777777" w:rsidR="00FD54FC" w:rsidRPr="00E07C9A" w:rsidRDefault="00FD54FC" w:rsidP="00FD54FC">
            <w:pPr>
              <w:spacing w:before="0" w:after="0"/>
              <w:ind w:left="33"/>
              <w:rPr>
                <w:rFonts w:ascii="Times New Roman" w:hAnsi="Times New Roman"/>
                <w:b/>
                <w:bCs/>
                <w:sz w:val="24"/>
                <w:u w:val="single"/>
                <w:lang w:eastAsia="de-DE"/>
              </w:rPr>
            </w:pPr>
          </w:p>
          <w:p w14:paraId="252AF5ED" w14:textId="2A533187" w:rsidR="00FD54FC" w:rsidRPr="00E07C9A" w:rsidRDefault="00FD54FC" w:rsidP="00FD54FC">
            <w:pPr>
              <w:spacing w:before="0" w:after="0"/>
              <w:ind w:left="33"/>
              <w:rPr>
                <w:rFonts w:ascii="Times New Roman" w:hAnsi="Times New Roman"/>
                <w:bCs/>
                <w:sz w:val="24"/>
              </w:rPr>
            </w:pPr>
            <w:r w:rsidRPr="00E07C9A">
              <w:rPr>
                <w:rFonts w:ascii="Times New Roman" w:hAnsi="Times New Roman"/>
                <w:sz w:val="24"/>
              </w:rPr>
              <w:t>Súhrnné akumulované zníženie hodnoty súvisiace</w:t>
            </w:r>
            <w:r w:rsidR="009912F8" w:rsidRPr="00E07C9A">
              <w:rPr>
                <w:rFonts w:ascii="Times New Roman" w:hAnsi="Times New Roman"/>
                <w:sz w:val="24"/>
              </w:rPr>
              <w:t xml:space="preserve"> s </w:t>
            </w:r>
            <w:r w:rsidRPr="00E07C9A">
              <w:rPr>
                <w:rFonts w:ascii="Times New Roman" w:hAnsi="Times New Roman"/>
                <w:sz w:val="24"/>
              </w:rPr>
              <w:t>nederivátovými finančnými aktívami vykazovanými</w:t>
            </w:r>
            <w:r w:rsidR="009912F8" w:rsidRPr="00E07C9A">
              <w:rPr>
                <w:rFonts w:ascii="Times New Roman" w:hAnsi="Times New Roman"/>
                <w:sz w:val="24"/>
              </w:rPr>
              <w:t xml:space="preserve"> v </w:t>
            </w:r>
            <w:r w:rsidRPr="00E07C9A">
              <w:rPr>
                <w:rFonts w:ascii="Times New Roman" w:hAnsi="Times New Roman"/>
                <w:sz w:val="24"/>
              </w:rPr>
              <w:t>stĺpcoch 0080 až 0120 (časť 2 ods. 70</w:t>
            </w:r>
            <w:r w:rsidR="009912F8" w:rsidRPr="00E07C9A">
              <w:rPr>
                <w:rFonts w:ascii="Times New Roman" w:hAnsi="Times New Roman"/>
                <w:sz w:val="24"/>
              </w:rPr>
              <w:t xml:space="preserve"> a </w:t>
            </w:r>
            <w:r w:rsidRPr="00E07C9A">
              <w:rPr>
                <w:rFonts w:ascii="Times New Roman" w:hAnsi="Times New Roman"/>
                <w:sz w:val="24"/>
              </w:rPr>
              <w:t>71 prílohy</w:t>
            </w:r>
            <w:r w:rsidR="009912F8" w:rsidRPr="00E07C9A">
              <w:rPr>
                <w:rFonts w:ascii="Times New Roman" w:hAnsi="Times New Roman"/>
                <w:sz w:val="24"/>
              </w:rPr>
              <w:t xml:space="preserve"> V k </w:t>
            </w:r>
            <w:r w:rsidRPr="00E07C9A">
              <w:rPr>
                <w:rFonts w:ascii="Times New Roman" w:hAnsi="Times New Roman"/>
                <w:sz w:val="24"/>
              </w:rPr>
              <w:t>tomuto vykonávaciemu nariadeniu).</w:t>
            </w:r>
          </w:p>
          <w:p w14:paraId="7C293D97" w14:textId="77777777" w:rsidR="00FD54FC" w:rsidRPr="00E07C9A" w:rsidDel="004A25FD" w:rsidRDefault="00FD54FC" w:rsidP="00FD54FC">
            <w:pPr>
              <w:spacing w:before="0" w:after="0"/>
              <w:ind w:left="33"/>
              <w:rPr>
                <w:rFonts w:ascii="Times New Roman" w:hAnsi="Times New Roman"/>
                <w:bCs/>
                <w:sz w:val="24"/>
                <w:lang w:eastAsia="de-DE"/>
              </w:rPr>
            </w:pPr>
          </w:p>
        </w:tc>
      </w:tr>
      <w:tr w:rsidR="00FD54FC" w:rsidRPr="00E07C9A" w14:paraId="03C7B339" w14:textId="77777777" w:rsidTr="00672D2A">
        <w:tc>
          <w:tcPr>
            <w:tcW w:w="1188" w:type="dxa"/>
          </w:tcPr>
          <w:p w14:paraId="3211360B" w14:textId="77777777" w:rsidR="00FD54FC" w:rsidRPr="00E07C9A" w:rsidRDefault="00535792" w:rsidP="00FD54FC">
            <w:pPr>
              <w:spacing w:before="0" w:after="0"/>
              <w:ind w:left="33"/>
              <w:rPr>
                <w:rFonts w:ascii="Times New Roman" w:hAnsi="Times New Roman"/>
                <w:bCs/>
                <w:sz w:val="24"/>
              </w:rPr>
            </w:pPr>
            <w:r w:rsidRPr="00E07C9A">
              <w:rPr>
                <w:rFonts w:ascii="Times New Roman" w:hAnsi="Times New Roman"/>
                <w:sz w:val="24"/>
              </w:rPr>
              <w:t>0160</w:t>
            </w:r>
          </w:p>
        </w:tc>
        <w:tc>
          <w:tcPr>
            <w:tcW w:w="8640" w:type="dxa"/>
          </w:tcPr>
          <w:p w14:paraId="59530BED" w14:textId="7E73A3AB" w:rsidR="00FD54FC" w:rsidRPr="00E07C9A" w:rsidRDefault="00FD54FC" w:rsidP="00FD54FC">
            <w:pPr>
              <w:spacing w:before="0" w:after="0"/>
              <w:ind w:left="33"/>
              <w:rPr>
                <w:rFonts w:ascii="Times New Roman" w:hAnsi="Times New Roman"/>
                <w:b/>
                <w:bCs/>
                <w:sz w:val="24"/>
                <w:u w:val="single"/>
              </w:rPr>
            </w:pPr>
            <w:r w:rsidRPr="00E07C9A">
              <w:rPr>
                <w:rFonts w:ascii="Times New Roman" w:hAnsi="Times New Roman"/>
                <w:b/>
                <w:sz w:val="24"/>
                <w:u w:val="single"/>
              </w:rPr>
              <w:t>Akumulovaná znížená hodnota –</w:t>
            </w:r>
            <w:r w:rsidR="009912F8" w:rsidRPr="00E07C9A">
              <w:rPr>
                <w:rFonts w:ascii="Times New Roman" w:hAnsi="Times New Roman"/>
                <w:b/>
                <w:sz w:val="24"/>
                <w:u w:val="single"/>
              </w:rPr>
              <w:t xml:space="preserve"> z </w:t>
            </w:r>
            <w:r w:rsidRPr="00E07C9A">
              <w:rPr>
                <w:rFonts w:ascii="Times New Roman" w:hAnsi="Times New Roman"/>
                <w:b/>
                <w:sz w:val="24"/>
                <w:u w:val="single"/>
              </w:rPr>
              <w:t>čoho:</w:t>
            </w:r>
            <w:r w:rsidR="009912F8" w:rsidRPr="00E07C9A">
              <w:rPr>
                <w:rFonts w:ascii="Times New Roman" w:hAnsi="Times New Roman"/>
                <w:b/>
                <w:sz w:val="24"/>
                <w:u w:val="single"/>
              </w:rPr>
              <w:t xml:space="preserve"> z </w:t>
            </w:r>
            <w:r w:rsidRPr="00E07C9A">
              <w:rPr>
                <w:rFonts w:ascii="Times New Roman" w:hAnsi="Times New Roman"/>
                <w:b/>
                <w:sz w:val="24"/>
                <w:u w:val="single"/>
              </w:rPr>
              <w:t>finančných aktív oceňovaných reálnou hodnotou cez iný komplexný účtovný výsledok alebo</w:t>
            </w:r>
            <w:r w:rsidR="009912F8" w:rsidRPr="00E07C9A">
              <w:rPr>
                <w:rFonts w:ascii="Times New Roman" w:hAnsi="Times New Roman"/>
                <w:b/>
                <w:sz w:val="24"/>
                <w:u w:val="single"/>
              </w:rPr>
              <w:t xml:space="preserve"> z </w:t>
            </w:r>
            <w:r w:rsidRPr="00E07C9A">
              <w:rPr>
                <w:rFonts w:ascii="Times New Roman" w:hAnsi="Times New Roman"/>
                <w:b/>
                <w:sz w:val="24"/>
                <w:u w:val="single"/>
              </w:rPr>
              <w:t>neobchodných nederivátových finančných aktív oceňovaných reálnou hodnotou vo vlastnom imaní</w:t>
            </w:r>
          </w:p>
          <w:p w14:paraId="61FD6B52" w14:textId="77777777" w:rsidR="00FD54FC" w:rsidRPr="00E07C9A" w:rsidRDefault="00FD54FC" w:rsidP="00FD54FC">
            <w:pPr>
              <w:spacing w:before="0" w:after="0"/>
              <w:ind w:left="33"/>
              <w:rPr>
                <w:rFonts w:ascii="Times New Roman" w:hAnsi="Times New Roman"/>
                <w:b/>
                <w:bCs/>
                <w:sz w:val="24"/>
                <w:u w:val="single"/>
                <w:lang w:eastAsia="de-DE"/>
              </w:rPr>
            </w:pPr>
          </w:p>
          <w:p w14:paraId="15FCB39B" w14:textId="0F9EC6D8" w:rsidR="009912F8" w:rsidRPr="00E07C9A" w:rsidRDefault="00FD54FC" w:rsidP="00FD54FC">
            <w:pPr>
              <w:spacing w:before="0" w:after="0"/>
              <w:ind w:left="33"/>
              <w:rPr>
                <w:rFonts w:ascii="Times New Roman" w:hAnsi="Times New Roman"/>
                <w:sz w:val="24"/>
              </w:rPr>
            </w:pPr>
            <w:r w:rsidRPr="00E07C9A">
              <w:rPr>
                <w:rFonts w:ascii="Times New Roman" w:hAnsi="Times New Roman"/>
                <w:sz w:val="24"/>
              </w:rPr>
              <w:t>Súhrn akumulovaného zníženia hodnoty súvisiaceho</w:t>
            </w:r>
            <w:r w:rsidR="009912F8" w:rsidRPr="00E07C9A">
              <w:rPr>
                <w:rFonts w:ascii="Times New Roman" w:hAnsi="Times New Roman"/>
                <w:sz w:val="24"/>
              </w:rPr>
              <w:t xml:space="preserve"> s </w:t>
            </w:r>
            <w:r w:rsidRPr="00E07C9A">
              <w:rPr>
                <w:rFonts w:ascii="Times New Roman" w:hAnsi="Times New Roman"/>
                <w:sz w:val="24"/>
              </w:rPr>
              <w:t>nederivátovými finančnými aktívami vykazovanými</w:t>
            </w:r>
            <w:r w:rsidR="009912F8" w:rsidRPr="00E07C9A">
              <w:rPr>
                <w:rFonts w:ascii="Times New Roman" w:hAnsi="Times New Roman"/>
                <w:sz w:val="24"/>
              </w:rPr>
              <w:t xml:space="preserve"> v </w:t>
            </w:r>
            <w:r w:rsidRPr="00E07C9A">
              <w:rPr>
                <w:rFonts w:ascii="Times New Roman" w:hAnsi="Times New Roman"/>
                <w:sz w:val="24"/>
              </w:rPr>
              <w:t>stĺpcoch 0080</w:t>
            </w:r>
            <w:r w:rsidR="009912F8" w:rsidRPr="00E07C9A">
              <w:rPr>
                <w:rFonts w:ascii="Times New Roman" w:hAnsi="Times New Roman"/>
                <w:sz w:val="24"/>
              </w:rPr>
              <w:t xml:space="preserve"> a </w:t>
            </w:r>
            <w:r w:rsidRPr="00E07C9A">
              <w:rPr>
                <w:rFonts w:ascii="Times New Roman" w:hAnsi="Times New Roman"/>
                <w:sz w:val="24"/>
              </w:rPr>
              <w:t>0090</w:t>
            </w:r>
            <w:r w:rsidR="009912F8" w:rsidRPr="00E07C9A">
              <w:rPr>
                <w:rFonts w:ascii="Times New Roman" w:hAnsi="Times New Roman"/>
                <w:sz w:val="24"/>
              </w:rPr>
              <w:t>.</w:t>
            </w:r>
          </w:p>
          <w:p w14:paraId="0F3F2052" w14:textId="5546BE3B" w:rsidR="00FD54FC" w:rsidRPr="00E07C9A" w:rsidRDefault="00FD54FC" w:rsidP="00FD54FC">
            <w:pPr>
              <w:spacing w:before="0" w:after="0"/>
              <w:ind w:left="33"/>
              <w:rPr>
                <w:rFonts w:ascii="Times New Roman" w:hAnsi="Times New Roman"/>
                <w:b/>
                <w:bCs/>
                <w:sz w:val="24"/>
                <w:u w:val="single"/>
                <w:lang w:eastAsia="de-DE"/>
              </w:rPr>
            </w:pPr>
          </w:p>
        </w:tc>
      </w:tr>
      <w:tr w:rsidR="00FD54FC" w:rsidRPr="00E07C9A" w:rsidDel="004A25FD" w14:paraId="7D2C9124" w14:textId="77777777" w:rsidTr="00672D2A">
        <w:tc>
          <w:tcPr>
            <w:tcW w:w="1188" w:type="dxa"/>
          </w:tcPr>
          <w:p w14:paraId="1F33457C" w14:textId="77777777" w:rsidR="00FD54FC" w:rsidRPr="00E07C9A" w:rsidDel="004A25FD" w:rsidRDefault="00535792" w:rsidP="00FD54FC">
            <w:pPr>
              <w:spacing w:before="0" w:after="0"/>
              <w:ind w:left="33"/>
              <w:rPr>
                <w:rFonts w:ascii="Times New Roman" w:hAnsi="Times New Roman"/>
                <w:bCs/>
                <w:sz w:val="24"/>
              </w:rPr>
            </w:pPr>
            <w:r w:rsidRPr="00E07C9A">
              <w:rPr>
                <w:rFonts w:ascii="Times New Roman" w:hAnsi="Times New Roman"/>
                <w:sz w:val="24"/>
              </w:rPr>
              <w:t>0170</w:t>
            </w:r>
          </w:p>
        </w:tc>
        <w:tc>
          <w:tcPr>
            <w:tcW w:w="8640" w:type="dxa"/>
          </w:tcPr>
          <w:p w14:paraId="62FB00FD" w14:textId="77777777" w:rsidR="009912F8" w:rsidRPr="00E07C9A" w:rsidRDefault="00FD54FC" w:rsidP="00FD54FC">
            <w:pPr>
              <w:spacing w:before="0" w:after="0"/>
              <w:ind w:left="33"/>
              <w:rPr>
                <w:rFonts w:ascii="Times New Roman" w:hAnsi="Times New Roman"/>
                <w:b/>
                <w:sz w:val="24"/>
                <w:u w:val="single"/>
              </w:rPr>
            </w:pPr>
            <w:r w:rsidRPr="00E07C9A">
              <w:rPr>
                <w:rFonts w:ascii="Times New Roman" w:hAnsi="Times New Roman"/>
                <w:b/>
                <w:sz w:val="24"/>
                <w:u w:val="single"/>
              </w:rPr>
              <w:t>Akumulované záporné zmeny reálnej hodnoty</w:t>
            </w:r>
            <w:r w:rsidR="009912F8" w:rsidRPr="00E07C9A">
              <w:rPr>
                <w:rFonts w:ascii="Times New Roman" w:hAnsi="Times New Roman"/>
                <w:b/>
                <w:sz w:val="24"/>
                <w:u w:val="single"/>
              </w:rPr>
              <w:t xml:space="preserve"> z </w:t>
            </w:r>
            <w:r w:rsidRPr="00E07C9A">
              <w:rPr>
                <w:rFonts w:ascii="Times New Roman" w:hAnsi="Times New Roman"/>
                <w:b/>
                <w:sz w:val="24"/>
                <w:u w:val="single"/>
              </w:rPr>
              <w:t>dôvodu kreditného rizika</w:t>
            </w:r>
          </w:p>
          <w:p w14:paraId="71543956" w14:textId="3E15BCDB" w:rsidR="00FD54FC" w:rsidRPr="00E07C9A" w:rsidRDefault="00FD54FC" w:rsidP="00FD54FC">
            <w:pPr>
              <w:spacing w:before="0" w:after="0"/>
              <w:ind w:left="33"/>
              <w:rPr>
                <w:rFonts w:ascii="Times New Roman" w:hAnsi="Times New Roman"/>
                <w:b/>
                <w:bCs/>
                <w:sz w:val="24"/>
                <w:u w:val="single"/>
                <w:lang w:eastAsia="de-DE"/>
              </w:rPr>
            </w:pPr>
          </w:p>
          <w:p w14:paraId="47288E54" w14:textId="623289F8" w:rsidR="00FD54FC" w:rsidRPr="00E07C9A" w:rsidRDefault="00FD54FC" w:rsidP="00E863C1">
            <w:pPr>
              <w:spacing w:before="0" w:after="0"/>
              <w:ind w:left="33"/>
              <w:rPr>
                <w:rFonts w:ascii="Times New Roman" w:hAnsi="Times New Roman"/>
                <w:bCs/>
                <w:sz w:val="24"/>
              </w:rPr>
            </w:pPr>
            <w:r w:rsidRPr="00E07C9A">
              <w:rPr>
                <w:rFonts w:ascii="Times New Roman" w:hAnsi="Times New Roman"/>
                <w:sz w:val="24"/>
              </w:rPr>
              <w:t>Súhrn akumulovaných záporných zmien reálnej hodnoty</w:t>
            </w:r>
            <w:r w:rsidR="009912F8" w:rsidRPr="00E07C9A">
              <w:rPr>
                <w:rFonts w:ascii="Times New Roman" w:hAnsi="Times New Roman"/>
                <w:sz w:val="24"/>
              </w:rPr>
              <w:t xml:space="preserve"> z </w:t>
            </w:r>
            <w:r w:rsidRPr="00E07C9A">
              <w:rPr>
                <w:rFonts w:ascii="Times New Roman" w:hAnsi="Times New Roman"/>
                <w:sz w:val="24"/>
              </w:rPr>
              <w:t>dôvodu kreditného rizika týkajúcich sa pozícií zaznamenaných</w:t>
            </w:r>
            <w:r w:rsidR="009912F8" w:rsidRPr="00E07C9A">
              <w:rPr>
                <w:rFonts w:ascii="Times New Roman" w:hAnsi="Times New Roman"/>
                <w:sz w:val="24"/>
              </w:rPr>
              <w:t xml:space="preserve"> v </w:t>
            </w:r>
            <w:r w:rsidRPr="00E07C9A">
              <w:rPr>
                <w:rFonts w:ascii="Times New Roman" w:hAnsi="Times New Roman"/>
                <w:sz w:val="24"/>
              </w:rPr>
              <w:t>stĺpcoch 0050, 0060, 0070, 0080</w:t>
            </w:r>
            <w:r w:rsidR="009912F8" w:rsidRPr="00E07C9A">
              <w:rPr>
                <w:rFonts w:ascii="Times New Roman" w:hAnsi="Times New Roman"/>
                <w:sz w:val="24"/>
              </w:rPr>
              <w:t xml:space="preserve"> a </w:t>
            </w:r>
            <w:r w:rsidRPr="00E07C9A">
              <w:rPr>
                <w:rFonts w:ascii="Times New Roman" w:hAnsi="Times New Roman"/>
                <w:sz w:val="24"/>
              </w:rPr>
              <w:t>0090 (časť 2 ods. 69 prílohy</w:t>
            </w:r>
            <w:r w:rsidR="009912F8" w:rsidRPr="00E07C9A">
              <w:rPr>
                <w:rFonts w:ascii="Times New Roman" w:hAnsi="Times New Roman"/>
                <w:sz w:val="24"/>
              </w:rPr>
              <w:t xml:space="preserve"> V k </w:t>
            </w:r>
            <w:r w:rsidRPr="00E07C9A">
              <w:rPr>
                <w:rFonts w:ascii="Times New Roman" w:hAnsi="Times New Roman"/>
                <w:sz w:val="24"/>
              </w:rPr>
              <w:t>tomuto vykonávaciemu nariadeniu).</w:t>
            </w:r>
          </w:p>
          <w:p w14:paraId="79E9108B" w14:textId="77777777" w:rsidR="00FD54FC" w:rsidRPr="00E07C9A" w:rsidDel="004A25FD" w:rsidRDefault="00FD54FC" w:rsidP="00BE47D8">
            <w:pPr>
              <w:spacing w:before="0" w:after="0"/>
              <w:ind w:left="33"/>
              <w:rPr>
                <w:rFonts w:ascii="Times New Roman" w:hAnsi="Times New Roman"/>
                <w:bCs/>
                <w:sz w:val="24"/>
                <w:lang w:eastAsia="de-DE"/>
              </w:rPr>
            </w:pPr>
          </w:p>
        </w:tc>
      </w:tr>
      <w:tr w:rsidR="00FD54FC" w:rsidRPr="00E07C9A" w14:paraId="7B450297" w14:textId="77777777" w:rsidTr="00672D2A">
        <w:tc>
          <w:tcPr>
            <w:tcW w:w="1188" w:type="dxa"/>
          </w:tcPr>
          <w:p w14:paraId="31C8FA9B" w14:textId="77777777" w:rsidR="00FD54FC" w:rsidRPr="00E07C9A" w:rsidRDefault="00535792" w:rsidP="00FD54FC">
            <w:pPr>
              <w:spacing w:before="0" w:after="0"/>
              <w:ind w:left="33"/>
              <w:rPr>
                <w:rFonts w:ascii="Times New Roman" w:hAnsi="Times New Roman"/>
                <w:bCs/>
                <w:sz w:val="24"/>
              </w:rPr>
            </w:pPr>
            <w:r w:rsidRPr="00E07C9A">
              <w:rPr>
                <w:rFonts w:ascii="Times New Roman" w:hAnsi="Times New Roman"/>
                <w:sz w:val="24"/>
              </w:rPr>
              <w:t>0180</w:t>
            </w:r>
          </w:p>
        </w:tc>
        <w:tc>
          <w:tcPr>
            <w:tcW w:w="8640" w:type="dxa"/>
          </w:tcPr>
          <w:p w14:paraId="0642CEC6" w14:textId="32B6D9AE" w:rsidR="00FD54FC" w:rsidRPr="00E07C9A" w:rsidRDefault="00FD54FC" w:rsidP="00FD54FC">
            <w:pPr>
              <w:spacing w:before="0" w:after="0"/>
              <w:ind w:left="33"/>
              <w:rPr>
                <w:rFonts w:ascii="Times New Roman" w:hAnsi="Times New Roman"/>
                <w:b/>
                <w:bCs/>
                <w:sz w:val="24"/>
                <w:u w:val="single"/>
              </w:rPr>
            </w:pPr>
            <w:r w:rsidRPr="00E07C9A">
              <w:rPr>
                <w:rFonts w:ascii="Times New Roman" w:hAnsi="Times New Roman"/>
                <w:b/>
                <w:sz w:val="24"/>
                <w:u w:val="single"/>
              </w:rPr>
              <w:t>Akumulované záporné zmeny reálnej hodnoty</w:t>
            </w:r>
            <w:r w:rsidR="009912F8" w:rsidRPr="00E07C9A">
              <w:rPr>
                <w:rFonts w:ascii="Times New Roman" w:hAnsi="Times New Roman"/>
                <w:b/>
                <w:sz w:val="24"/>
                <w:u w:val="single"/>
              </w:rPr>
              <w:t xml:space="preserve"> z </w:t>
            </w:r>
            <w:r w:rsidRPr="00E07C9A">
              <w:rPr>
                <w:rFonts w:ascii="Times New Roman" w:hAnsi="Times New Roman"/>
                <w:b/>
                <w:sz w:val="24"/>
                <w:u w:val="single"/>
              </w:rPr>
              <w:t>dôvodu kreditného rizika –</w:t>
            </w:r>
            <w:r w:rsidR="009912F8" w:rsidRPr="00E07C9A">
              <w:rPr>
                <w:rFonts w:ascii="Times New Roman" w:hAnsi="Times New Roman"/>
                <w:b/>
                <w:sz w:val="24"/>
                <w:u w:val="single"/>
              </w:rPr>
              <w:t xml:space="preserve"> z </w:t>
            </w:r>
            <w:r w:rsidRPr="00E07C9A">
              <w:rPr>
                <w:rFonts w:ascii="Times New Roman" w:hAnsi="Times New Roman"/>
                <w:b/>
                <w:sz w:val="24"/>
                <w:u w:val="single"/>
              </w:rPr>
              <w:t>čoho:</w:t>
            </w:r>
            <w:r w:rsidR="009912F8" w:rsidRPr="00E07C9A">
              <w:rPr>
                <w:rFonts w:ascii="Times New Roman" w:hAnsi="Times New Roman"/>
                <w:b/>
                <w:sz w:val="24"/>
                <w:u w:val="single"/>
              </w:rPr>
              <w:t xml:space="preserve"> z </w:t>
            </w:r>
            <w:r w:rsidRPr="00E07C9A">
              <w:rPr>
                <w:rFonts w:ascii="Times New Roman" w:hAnsi="Times New Roman"/>
                <w:b/>
                <w:sz w:val="24"/>
                <w:u w:val="single"/>
              </w:rPr>
              <w:t>neobchodných finančných aktív povinne oceňovaných reálnou hodnotou cez výsledok hospodárenia, finančných aktív určených za oceňované reálnou hodnotou cez výsledok hospodárenia alebo</w:t>
            </w:r>
            <w:r w:rsidR="009912F8" w:rsidRPr="00E07C9A">
              <w:rPr>
                <w:rFonts w:ascii="Times New Roman" w:hAnsi="Times New Roman"/>
                <w:b/>
                <w:sz w:val="24"/>
                <w:u w:val="single"/>
              </w:rPr>
              <w:t xml:space="preserve"> z </w:t>
            </w:r>
            <w:r w:rsidRPr="00E07C9A">
              <w:rPr>
                <w:rFonts w:ascii="Times New Roman" w:hAnsi="Times New Roman"/>
                <w:b/>
                <w:sz w:val="24"/>
                <w:u w:val="single"/>
              </w:rPr>
              <w:t>neobchodných finančných aktív oceňovaných reálnou hodnotou cez výsledok hospodárenia</w:t>
            </w:r>
          </w:p>
          <w:p w14:paraId="4C0339D3" w14:textId="77777777" w:rsidR="00FD54FC" w:rsidRPr="00E07C9A" w:rsidRDefault="00FD54FC" w:rsidP="00FD54FC">
            <w:pPr>
              <w:spacing w:before="0" w:after="0"/>
              <w:ind w:left="33"/>
              <w:rPr>
                <w:rFonts w:ascii="Times New Roman" w:hAnsi="Times New Roman"/>
                <w:bCs/>
                <w:sz w:val="24"/>
                <w:lang w:eastAsia="de-DE"/>
              </w:rPr>
            </w:pPr>
          </w:p>
          <w:p w14:paraId="32CE40D3" w14:textId="0D82B23E" w:rsidR="00FD54FC" w:rsidRPr="00E07C9A" w:rsidRDefault="00FD54FC" w:rsidP="00FD54FC">
            <w:pPr>
              <w:spacing w:before="0" w:after="0"/>
              <w:ind w:left="33"/>
              <w:rPr>
                <w:rFonts w:ascii="Times New Roman" w:hAnsi="Times New Roman"/>
                <w:bCs/>
                <w:sz w:val="24"/>
              </w:rPr>
            </w:pPr>
            <w:r w:rsidRPr="00E07C9A">
              <w:rPr>
                <w:rFonts w:ascii="Times New Roman" w:hAnsi="Times New Roman"/>
                <w:sz w:val="24"/>
              </w:rPr>
              <w:t>Súhrn akumulovaných záporných zmien reálnej hodnoty</w:t>
            </w:r>
            <w:r w:rsidR="009912F8" w:rsidRPr="00E07C9A">
              <w:rPr>
                <w:rFonts w:ascii="Times New Roman" w:hAnsi="Times New Roman"/>
                <w:sz w:val="24"/>
              </w:rPr>
              <w:t xml:space="preserve"> z </w:t>
            </w:r>
            <w:r w:rsidRPr="00E07C9A">
              <w:rPr>
                <w:rFonts w:ascii="Times New Roman" w:hAnsi="Times New Roman"/>
                <w:sz w:val="24"/>
              </w:rPr>
              <w:t>dôvodu kreditného rizika týkajúcich sa pozícií zaznamenaných</w:t>
            </w:r>
            <w:r w:rsidR="009912F8" w:rsidRPr="00E07C9A">
              <w:rPr>
                <w:rFonts w:ascii="Times New Roman" w:hAnsi="Times New Roman"/>
                <w:sz w:val="24"/>
              </w:rPr>
              <w:t xml:space="preserve"> v </w:t>
            </w:r>
            <w:r w:rsidRPr="00E07C9A">
              <w:rPr>
                <w:rFonts w:ascii="Times New Roman" w:hAnsi="Times New Roman"/>
                <w:sz w:val="24"/>
              </w:rPr>
              <w:t>stĺpcoch 0050, 0060</w:t>
            </w:r>
            <w:r w:rsidR="009912F8" w:rsidRPr="00E07C9A">
              <w:rPr>
                <w:rFonts w:ascii="Times New Roman" w:hAnsi="Times New Roman"/>
                <w:sz w:val="24"/>
              </w:rPr>
              <w:t xml:space="preserve"> a </w:t>
            </w:r>
            <w:r w:rsidRPr="00E07C9A">
              <w:rPr>
                <w:rFonts w:ascii="Times New Roman" w:hAnsi="Times New Roman"/>
                <w:sz w:val="24"/>
              </w:rPr>
              <w:t>0070.</w:t>
            </w:r>
          </w:p>
          <w:p w14:paraId="2D99AB15" w14:textId="77777777" w:rsidR="00FD54FC" w:rsidRPr="00E07C9A" w:rsidRDefault="00FD54FC" w:rsidP="00FD54FC">
            <w:pPr>
              <w:spacing w:before="0" w:after="0"/>
              <w:ind w:left="33"/>
              <w:rPr>
                <w:rFonts w:ascii="Times New Roman" w:hAnsi="Times New Roman"/>
                <w:bCs/>
                <w:sz w:val="24"/>
              </w:rPr>
            </w:pPr>
            <w:r w:rsidRPr="00E07C9A">
              <w:rPr>
                <w:rFonts w:ascii="Times New Roman" w:hAnsi="Times New Roman"/>
                <w:b/>
                <w:sz w:val="24"/>
                <w:u w:val="single"/>
              </w:rPr>
              <w:t xml:space="preserve"> </w:t>
            </w:r>
          </w:p>
        </w:tc>
      </w:tr>
      <w:tr w:rsidR="00FD54FC" w:rsidRPr="00E07C9A" w14:paraId="6253CB06" w14:textId="77777777" w:rsidTr="00672D2A">
        <w:tc>
          <w:tcPr>
            <w:tcW w:w="1188" w:type="dxa"/>
          </w:tcPr>
          <w:p w14:paraId="21816361" w14:textId="77777777" w:rsidR="00FD54FC" w:rsidRPr="00E07C9A" w:rsidRDefault="00535792" w:rsidP="00FD54FC">
            <w:pPr>
              <w:spacing w:before="0" w:after="0"/>
              <w:ind w:left="33"/>
              <w:rPr>
                <w:rFonts w:ascii="Times New Roman" w:hAnsi="Times New Roman"/>
                <w:bCs/>
                <w:sz w:val="24"/>
              </w:rPr>
            </w:pPr>
            <w:r w:rsidRPr="00E07C9A">
              <w:rPr>
                <w:rFonts w:ascii="Times New Roman" w:hAnsi="Times New Roman"/>
                <w:sz w:val="24"/>
              </w:rPr>
              <w:t>0190</w:t>
            </w:r>
          </w:p>
        </w:tc>
        <w:tc>
          <w:tcPr>
            <w:tcW w:w="8640" w:type="dxa"/>
          </w:tcPr>
          <w:p w14:paraId="7BCE31EA" w14:textId="3F9051B0" w:rsidR="00FD54FC" w:rsidRPr="00E07C9A" w:rsidRDefault="00FD54FC" w:rsidP="00FD54FC">
            <w:pPr>
              <w:spacing w:before="0" w:after="0"/>
              <w:ind w:left="33"/>
              <w:rPr>
                <w:rFonts w:ascii="Times New Roman" w:hAnsi="Times New Roman"/>
                <w:b/>
                <w:bCs/>
                <w:sz w:val="24"/>
                <w:u w:val="single"/>
              </w:rPr>
            </w:pPr>
            <w:r w:rsidRPr="00E07C9A">
              <w:rPr>
                <w:rFonts w:ascii="Times New Roman" w:hAnsi="Times New Roman"/>
                <w:b/>
                <w:sz w:val="24"/>
                <w:u w:val="single"/>
              </w:rPr>
              <w:t>Akumulované záporné zmeny reálnej hodnoty</w:t>
            </w:r>
            <w:r w:rsidR="009912F8" w:rsidRPr="00E07C9A">
              <w:rPr>
                <w:rFonts w:ascii="Times New Roman" w:hAnsi="Times New Roman"/>
                <w:b/>
                <w:sz w:val="24"/>
                <w:u w:val="single"/>
              </w:rPr>
              <w:t xml:space="preserve"> z </w:t>
            </w:r>
            <w:r w:rsidRPr="00E07C9A">
              <w:rPr>
                <w:rFonts w:ascii="Times New Roman" w:hAnsi="Times New Roman"/>
                <w:b/>
                <w:sz w:val="24"/>
                <w:u w:val="single"/>
              </w:rPr>
              <w:t>dôvodu kreditného rizika –</w:t>
            </w:r>
            <w:r w:rsidR="009912F8" w:rsidRPr="00E07C9A">
              <w:rPr>
                <w:rFonts w:ascii="Times New Roman" w:hAnsi="Times New Roman"/>
                <w:b/>
                <w:sz w:val="24"/>
                <w:u w:val="single"/>
              </w:rPr>
              <w:t xml:space="preserve"> z </w:t>
            </w:r>
            <w:r w:rsidRPr="00E07C9A">
              <w:rPr>
                <w:rFonts w:ascii="Times New Roman" w:hAnsi="Times New Roman"/>
                <w:b/>
                <w:sz w:val="24"/>
                <w:u w:val="single"/>
              </w:rPr>
              <w:t>čoho:</w:t>
            </w:r>
            <w:r w:rsidR="009912F8" w:rsidRPr="00E07C9A">
              <w:rPr>
                <w:rFonts w:ascii="Times New Roman" w:hAnsi="Times New Roman"/>
                <w:b/>
                <w:sz w:val="24"/>
                <w:u w:val="single"/>
              </w:rPr>
              <w:t xml:space="preserve"> z </w:t>
            </w:r>
            <w:r w:rsidRPr="00E07C9A">
              <w:rPr>
                <w:rFonts w:ascii="Times New Roman" w:hAnsi="Times New Roman"/>
                <w:b/>
                <w:sz w:val="24"/>
                <w:u w:val="single"/>
              </w:rPr>
              <w:t>finančných aktív oceňovaných reálnou hodnotou cez iný komplexný účtovný výsledok alebo</w:t>
            </w:r>
            <w:r w:rsidR="009912F8" w:rsidRPr="00E07C9A">
              <w:rPr>
                <w:rFonts w:ascii="Times New Roman" w:hAnsi="Times New Roman"/>
                <w:b/>
                <w:sz w:val="24"/>
                <w:u w:val="single"/>
              </w:rPr>
              <w:t xml:space="preserve"> z </w:t>
            </w:r>
            <w:r w:rsidRPr="00E07C9A">
              <w:rPr>
                <w:rFonts w:ascii="Times New Roman" w:hAnsi="Times New Roman"/>
                <w:b/>
                <w:sz w:val="24"/>
                <w:u w:val="single"/>
              </w:rPr>
              <w:t>neobchodných nederivátových finančných aktív oceňovaných reálnou hodnotou vo vlastnom imaní</w:t>
            </w:r>
          </w:p>
          <w:p w14:paraId="305DC842" w14:textId="77777777" w:rsidR="00FD54FC" w:rsidRPr="00E07C9A" w:rsidRDefault="00FD54FC" w:rsidP="00FD54FC">
            <w:pPr>
              <w:spacing w:before="0" w:after="0"/>
              <w:ind w:left="33"/>
              <w:rPr>
                <w:rFonts w:ascii="Times New Roman" w:hAnsi="Times New Roman"/>
                <w:bCs/>
                <w:sz w:val="24"/>
                <w:lang w:eastAsia="de-DE"/>
              </w:rPr>
            </w:pPr>
          </w:p>
          <w:p w14:paraId="18D85556" w14:textId="1E442879" w:rsidR="00FD54FC" w:rsidRPr="00E07C9A" w:rsidRDefault="00FD54FC" w:rsidP="00FD54FC">
            <w:pPr>
              <w:spacing w:before="0" w:after="0"/>
              <w:ind w:left="33"/>
              <w:rPr>
                <w:rFonts w:ascii="Times New Roman" w:hAnsi="Times New Roman"/>
                <w:bCs/>
                <w:sz w:val="24"/>
              </w:rPr>
            </w:pPr>
            <w:r w:rsidRPr="00E07C9A">
              <w:rPr>
                <w:rFonts w:ascii="Times New Roman" w:hAnsi="Times New Roman"/>
                <w:sz w:val="24"/>
              </w:rPr>
              <w:t>Súhrn akumulovaných záporných zmien reálnej hodnoty</w:t>
            </w:r>
            <w:r w:rsidR="009912F8" w:rsidRPr="00E07C9A">
              <w:rPr>
                <w:rFonts w:ascii="Times New Roman" w:hAnsi="Times New Roman"/>
                <w:sz w:val="24"/>
              </w:rPr>
              <w:t xml:space="preserve"> z </w:t>
            </w:r>
            <w:r w:rsidRPr="00E07C9A">
              <w:rPr>
                <w:rFonts w:ascii="Times New Roman" w:hAnsi="Times New Roman"/>
                <w:sz w:val="24"/>
              </w:rPr>
              <w:t>dôvodu kreditného rizika týkajúcich sa pozícií zaznamenaných</w:t>
            </w:r>
            <w:r w:rsidR="009912F8" w:rsidRPr="00E07C9A">
              <w:rPr>
                <w:rFonts w:ascii="Times New Roman" w:hAnsi="Times New Roman"/>
                <w:sz w:val="24"/>
              </w:rPr>
              <w:t xml:space="preserve"> v </w:t>
            </w:r>
            <w:r w:rsidRPr="00E07C9A">
              <w:rPr>
                <w:rFonts w:ascii="Times New Roman" w:hAnsi="Times New Roman"/>
                <w:sz w:val="24"/>
              </w:rPr>
              <w:t>stĺpcoch 0080</w:t>
            </w:r>
            <w:r w:rsidR="009912F8" w:rsidRPr="00E07C9A">
              <w:rPr>
                <w:rFonts w:ascii="Times New Roman" w:hAnsi="Times New Roman"/>
                <w:sz w:val="24"/>
              </w:rPr>
              <w:t xml:space="preserve"> a </w:t>
            </w:r>
            <w:r w:rsidRPr="00E07C9A">
              <w:rPr>
                <w:rFonts w:ascii="Times New Roman" w:hAnsi="Times New Roman"/>
                <w:sz w:val="24"/>
              </w:rPr>
              <w:t>0090.</w:t>
            </w:r>
          </w:p>
          <w:p w14:paraId="3E4E710D" w14:textId="77777777" w:rsidR="00E863C1" w:rsidRPr="00E07C9A" w:rsidRDefault="00E863C1" w:rsidP="00FD54FC">
            <w:pPr>
              <w:spacing w:before="0" w:after="0"/>
              <w:ind w:left="33"/>
              <w:rPr>
                <w:rFonts w:ascii="Times New Roman" w:hAnsi="Times New Roman"/>
                <w:bCs/>
                <w:sz w:val="24"/>
                <w:lang w:eastAsia="de-DE"/>
              </w:rPr>
            </w:pPr>
          </w:p>
        </w:tc>
      </w:tr>
      <w:tr w:rsidR="00FD54FC" w:rsidRPr="00E07C9A" w14:paraId="15862189" w14:textId="77777777" w:rsidTr="00672D2A">
        <w:tc>
          <w:tcPr>
            <w:tcW w:w="1188" w:type="dxa"/>
          </w:tcPr>
          <w:p w14:paraId="43A09413" w14:textId="77777777" w:rsidR="00FD54FC" w:rsidRPr="00E07C9A" w:rsidRDefault="00535792" w:rsidP="00FD54FC">
            <w:pPr>
              <w:spacing w:before="0" w:after="0"/>
              <w:ind w:left="33"/>
              <w:rPr>
                <w:rFonts w:ascii="Times New Roman" w:hAnsi="Times New Roman"/>
                <w:bCs/>
                <w:sz w:val="24"/>
              </w:rPr>
            </w:pPr>
            <w:r w:rsidRPr="00E07C9A">
              <w:rPr>
                <w:rFonts w:ascii="Times New Roman" w:hAnsi="Times New Roman"/>
                <w:sz w:val="24"/>
              </w:rPr>
              <w:t>0200 –⁠ 0230</w:t>
            </w:r>
          </w:p>
        </w:tc>
        <w:tc>
          <w:tcPr>
            <w:tcW w:w="8640" w:type="dxa"/>
          </w:tcPr>
          <w:p w14:paraId="025D7027" w14:textId="77777777" w:rsidR="00FD54FC" w:rsidRPr="00E07C9A" w:rsidRDefault="00FD54FC" w:rsidP="00FD54FC">
            <w:pPr>
              <w:spacing w:before="0" w:after="0"/>
              <w:ind w:left="33"/>
              <w:rPr>
                <w:rFonts w:ascii="Times New Roman" w:hAnsi="Times New Roman"/>
                <w:b/>
                <w:bCs/>
                <w:sz w:val="24"/>
                <w:u w:val="single"/>
              </w:rPr>
            </w:pPr>
            <w:r w:rsidRPr="00E07C9A">
              <w:rPr>
                <w:rFonts w:ascii="Times New Roman" w:hAnsi="Times New Roman"/>
                <w:b/>
                <w:sz w:val="24"/>
                <w:u w:val="single"/>
              </w:rPr>
              <w:t>DERIVÁTY</w:t>
            </w:r>
          </w:p>
          <w:p w14:paraId="55A43413" w14:textId="77777777" w:rsidR="00FD54FC" w:rsidRPr="00E07C9A" w:rsidRDefault="00FD54FC" w:rsidP="00FD54FC">
            <w:pPr>
              <w:spacing w:before="0" w:after="0"/>
              <w:ind w:left="33"/>
              <w:rPr>
                <w:rFonts w:ascii="Times New Roman" w:hAnsi="Times New Roman"/>
                <w:b/>
                <w:bCs/>
                <w:sz w:val="24"/>
                <w:u w:val="single"/>
                <w:lang w:eastAsia="de-DE"/>
              </w:rPr>
            </w:pPr>
          </w:p>
          <w:p w14:paraId="176EA7AE" w14:textId="04C83C29" w:rsidR="00FD54FC" w:rsidRPr="00E07C9A" w:rsidRDefault="00FD54FC" w:rsidP="00FD54FC">
            <w:pPr>
              <w:spacing w:before="0" w:after="0"/>
              <w:ind w:left="33"/>
              <w:rPr>
                <w:rFonts w:ascii="Times New Roman" w:hAnsi="Times New Roman"/>
                <w:bCs/>
                <w:sz w:val="24"/>
              </w:rPr>
            </w:pPr>
            <w:r w:rsidRPr="00E07C9A">
              <w:rPr>
                <w:rFonts w:ascii="Times New Roman" w:hAnsi="Times New Roman"/>
                <w:sz w:val="24"/>
              </w:rPr>
              <w:t>Priame derivátové pozície sa vykazujú</w:t>
            </w:r>
            <w:r w:rsidR="009912F8" w:rsidRPr="00E07C9A">
              <w:rPr>
                <w:rFonts w:ascii="Times New Roman" w:hAnsi="Times New Roman"/>
                <w:sz w:val="24"/>
              </w:rPr>
              <w:t xml:space="preserve"> v </w:t>
            </w:r>
            <w:r w:rsidRPr="00E07C9A">
              <w:rPr>
                <w:rFonts w:ascii="Times New Roman" w:hAnsi="Times New Roman"/>
                <w:sz w:val="24"/>
              </w:rPr>
              <w:t>stĺpcoch 0200 až 0230.</w:t>
            </w:r>
          </w:p>
          <w:p w14:paraId="0B238279" w14:textId="77777777" w:rsidR="00FD54FC" w:rsidRPr="00E07C9A" w:rsidRDefault="00FD54FC" w:rsidP="00FD54FC">
            <w:pPr>
              <w:spacing w:before="0" w:after="0"/>
              <w:ind w:left="33"/>
              <w:rPr>
                <w:rFonts w:ascii="Times New Roman" w:hAnsi="Times New Roman"/>
                <w:b/>
                <w:bCs/>
                <w:sz w:val="24"/>
                <w:u w:val="single"/>
                <w:lang w:eastAsia="de-DE"/>
              </w:rPr>
            </w:pPr>
          </w:p>
          <w:p w14:paraId="6C5121A3" w14:textId="3F9FF9AA" w:rsidR="00FD54FC" w:rsidRPr="00E07C9A" w:rsidRDefault="00FD54FC" w:rsidP="00FD54FC">
            <w:pPr>
              <w:spacing w:before="0" w:after="0"/>
              <w:ind w:left="33"/>
              <w:rPr>
                <w:rFonts w:ascii="Times New Roman" w:hAnsi="Times New Roman"/>
                <w:bCs/>
                <w:sz w:val="24"/>
              </w:rPr>
            </w:pPr>
            <w:r w:rsidRPr="00E07C9A">
              <w:rPr>
                <w:rFonts w:ascii="Times New Roman" w:hAnsi="Times New Roman"/>
                <w:sz w:val="24"/>
              </w:rPr>
              <w:t>Pokiaľ ide</w:t>
            </w:r>
            <w:r w:rsidR="009912F8" w:rsidRPr="00E07C9A">
              <w:rPr>
                <w:rFonts w:ascii="Times New Roman" w:hAnsi="Times New Roman"/>
                <w:sz w:val="24"/>
              </w:rPr>
              <w:t xml:space="preserve"> o </w:t>
            </w:r>
            <w:r w:rsidRPr="00E07C9A">
              <w:rPr>
                <w:rFonts w:ascii="Times New Roman" w:hAnsi="Times New Roman"/>
                <w:sz w:val="24"/>
              </w:rPr>
              <w:t>vykazovanie derivátov, na ktoré sa vzťahuje kreditné riziko protistrany, ako aj kapitálové požiadavky na krytie trhového rizika, pozri pokyny pre rozčlenenie riadkov.</w:t>
            </w:r>
          </w:p>
          <w:p w14:paraId="7F846791" w14:textId="77777777" w:rsidR="00FD54FC" w:rsidRPr="00E07C9A" w:rsidRDefault="00FD54FC" w:rsidP="00FD54FC">
            <w:pPr>
              <w:spacing w:before="0" w:after="0"/>
              <w:ind w:left="33"/>
              <w:rPr>
                <w:rFonts w:ascii="Times New Roman" w:hAnsi="Times New Roman"/>
                <w:b/>
                <w:bCs/>
                <w:sz w:val="24"/>
                <w:u w:val="single"/>
                <w:lang w:eastAsia="de-DE"/>
              </w:rPr>
            </w:pPr>
          </w:p>
        </w:tc>
      </w:tr>
      <w:tr w:rsidR="00FD54FC" w:rsidRPr="00E07C9A" w14:paraId="0AF34946" w14:textId="77777777" w:rsidTr="00672D2A">
        <w:tc>
          <w:tcPr>
            <w:tcW w:w="1188" w:type="dxa"/>
          </w:tcPr>
          <w:p w14:paraId="55C141FC" w14:textId="77777777" w:rsidR="00FD54FC" w:rsidRPr="00E07C9A" w:rsidRDefault="00535792" w:rsidP="00FD54FC">
            <w:pPr>
              <w:spacing w:before="0" w:after="0"/>
              <w:ind w:left="33"/>
              <w:rPr>
                <w:rFonts w:ascii="Times New Roman" w:hAnsi="Times New Roman"/>
                <w:bCs/>
                <w:sz w:val="24"/>
              </w:rPr>
            </w:pPr>
            <w:r w:rsidRPr="00E07C9A">
              <w:rPr>
                <w:rFonts w:ascii="Times New Roman" w:hAnsi="Times New Roman"/>
                <w:sz w:val="24"/>
              </w:rPr>
              <w:t>0200 –⁠ 0210</w:t>
            </w:r>
          </w:p>
        </w:tc>
        <w:tc>
          <w:tcPr>
            <w:tcW w:w="8640" w:type="dxa"/>
          </w:tcPr>
          <w:p w14:paraId="720D49BE" w14:textId="4FBE90C1" w:rsidR="00FD54FC" w:rsidRPr="00E07C9A" w:rsidRDefault="00FD54FC" w:rsidP="00FD54FC">
            <w:pPr>
              <w:spacing w:before="0" w:after="0"/>
              <w:ind w:left="33"/>
              <w:rPr>
                <w:rFonts w:ascii="Times New Roman" w:hAnsi="Times New Roman"/>
                <w:b/>
                <w:bCs/>
                <w:sz w:val="24"/>
                <w:u w:val="single"/>
              </w:rPr>
            </w:pPr>
            <w:r w:rsidRPr="00E07C9A">
              <w:rPr>
                <w:rFonts w:ascii="Times New Roman" w:hAnsi="Times New Roman"/>
                <w:b/>
                <w:sz w:val="24"/>
                <w:u w:val="single"/>
              </w:rPr>
              <w:t>Deriváty</w:t>
            </w:r>
            <w:r w:rsidR="009912F8" w:rsidRPr="00E07C9A">
              <w:rPr>
                <w:rFonts w:ascii="Times New Roman" w:hAnsi="Times New Roman"/>
                <w:b/>
                <w:sz w:val="24"/>
                <w:u w:val="single"/>
              </w:rPr>
              <w:t xml:space="preserve"> s </w:t>
            </w:r>
            <w:r w:rsidRPr="00E07C9A">
              <w:rPr>
                <w:rFonts w:ascii="Times New Roman" w:hAnsi="Times New Roman"/>
                <w:b/>
                <w:sz w:val="24"/>
                <w:u w:val="single"/>
              </w:rPr>
              <w:t>kladnou reálnou hodnotou</w:t>
            </w:r>
          </w:p>
          <w:p w14:paraId="02D2FF21" w14:textId="77777777" w:rsidR="00FD54FC" w:rsidRPr="00E07C9A" w:rsidRDefault="00FD54FC" w:rsidP="00FD54FC">
            <w:pPr>
              <w:spacing w:before="0" w:after="0"/>
              <w:ind w:left="33"/>
              <w:rPr>
                <w:rFonts w:ascii="Times New Roman" w:hAnsi="Times New Roman"/>
                <w:bCs/>
                <w:sz w:val="24"/>
                <w:lang w:eastAsia="de-DE"/>
              </w:rPr>
            </w:pPr>
          </w:p>
          <w:p w14:paraId="2C4EDC32" w14:textId="7A022E91" w:rsidR="009912F8" w:rsidRPr="00E07C9A" w:rsidRDefault="00FD54FC" w:rsidP="00FD54FC">
            <w:pPr>
              <w:spacing w:before="0" w:after="0"/>
              <w:ind w:left="33"/>
              <w:rPr>
                <w:rFonts w:ascii="Times New Roman" w:hAnsi="Times New Roman"/>
                <w:sz w:val="24"/>
              </w:rPr>
            </w:pPr>
            <w:r w:rsidRPr="00E07C9A">
              <w:rPr>
                <w:rFonts w:ascii="Times New Roman" w:hAnsi="Times New Roman"/>
                <w:sz w:val="24"/>
              </w:rPr>
              <w:t>Všetky derivátové nástroje</w:t>
            </w:r>
            <w:r w:rsidR="009912F8" w:rsidRPr="00E07C9A">
              <w:rPr>
                <w:rFonts w:ascii="Times New Roman" w:hAnsi="Times New Roman"/>
                <w:sz w:val="24"/>
              </w:rPr>
              <w:t xml:space="preserve"> s </w:t>
            </w:r>
            <w:r w:rsidRPr="00E07C9A">
              <w:rPr>
                <w:rFonts w:ascii="Times New Roman" w:hAnsi="Times New Roman"/>
                <w:sz w:val="24"/>
              </w:rPr>
              <w:t>orgánom verejnej správy ako protistranou</w:t>
            </w:r>
            <w:r w:rsidR="009912F8" w:rsidRPr="00E07C9A">
              <w:rPr>
                <w:rFonts w:ascii="Times New Roman" w:hAnsi="Times New Roman"/>
                <w:sz w:val="24"/>
              </w:rPr>
              <w:t xml:space="preserve"> s </w:t>
            </w:r>
            <w:r w:rsidRPr="00E07C9A">
              <w:rPr>
                <w:rFonts w:ascii="Times New Roman" w:hAnsi="Times New Roman"/>
                <w:sz w:val="24"/>
              </w:rPr>
              <w:t>kladnou reálnou hodnotou pre inštitúciu</w:t>
            </w:r>
            <w:r w:rsidR="009912F8" w:rsidRPr="00E07C9A">
              <w:rPr>
                <w:rFonts w:ascii="Times New Roman" w:hAnsi="Times New Roman"/>
                <w:sz w:val="24"/>
              </w:rPr>
              <w:t xml:space="preserve"> k </w:t>
            </w:r>
            <w:r w:rsidRPr="00E07C9A">
              <w:rPr>
                <w:rFonts w:ascii="Times New Roman" w:hAnsi="Times New Roman"/>
                <w:sz w:val="24"/>
              </w:rPr>
              <w:t>dátumu vykazovania bez ohľadu na to, či sa uvedené nástroje používajú</w:t>
            </w:r>
            <w:r w:rsidR="009912F8" w:rsidRPr="00E07C9A">
              <w:rPr>
                <w:rFonts w:ascii="Times New Roman" w:hAnsi="Times New Roman"/>
                <w:sz w:val="24"/>
              </w:rPr>
              <w:t xml:space="preserve"> v </w:t>
            </w:r>
            <w:r w:rsidRPr="00E07C9A">
              <w:rPr>
                <w:rFonts w:ascii="Times New Roman" w:hAnsi="Times New Roman"/>
                <w:sz w:val="24"/>
              </w:rPr>
              <w:t>kvalifikovanom hedžingovom vzťahu alebo sú držané na obchodovanie, alebo sú zahrnuté do obchodného portfólia podľa IFRS</w:t>
            </w:r>
            <w:r w:rsidR="009912F8" w:rsidRPr="00E07C9A">
              <w:rPr>
                <w:rFonts w:ascii="Times New Roman" w:hAnsi="Times New Roman"/>
                <w:sz w:val="24"/>
              </w:rPr>
              <w:t xml:space="preserve"> a </w:t>
            </w:r>
            <w:r w:rsidRPr="00E07C9A">
              <w:rPr>
                <w:rFonts w:ascii="Times New Roman" w:hAnsi="Times New Roman"/>
                <w:sz w:val="24"/>
              </w:rPr>
              <w:t>podľa národných GAAP na základe smernice Rady 86/635/EHS</w:t>
            </w:r>
            <w:r w:rsidR="009912F8" w:rsidRPr="00E07C9A">
              <w:rPr>
                <w:rFonts w:ascii="Times New Roman" w:hAnsi="Times New Roman"/>
                <w:sz w:val="24"/>
              </w:rPr>
              <w:t>.</w:t>
            </w:r>
          </w:p>
          <w:p w14:paraId="4DC4D0F9" w14:textId="1A82F071" w:rsidR="00FD54FC" w:rsidRPr="00E07C9A" w:rsidRDefault="00FD54FC" w:rsidP="00FD54FC">
            <w:pPr>
              <w:spacing w:before="0" w:after="0"/>
              <w:ind w:left="33"/>
              <w:rPr>
                <w:rFonts w:ascii="Times New Roman" w:hAnsi="Times New Roman"/>
                <w:bCs/>
                <w:sz w:val="24"/>
                <w:lang w:eastAsia="de-DE"/>
              </w:rPr>
            </w:pPr>
          </w:p>
          <w:p w14:paraId="1291C623" w14:textId="54C43F8F" w:rsidR="00FD54FC" w:rsidRPr="00E07C9A" w:rsidRDefault="00FD54FC" w:rsidP="00FD54FC">
            <w:pPr>
              <w:spacing w:before="0" w:after="0"/>
              <w:ind w:left="33"/>
              <w:rPr>
                <w:rFonts w:ascii="Times New Roman" w:hAnsi="Times New Roman"/>
                <w:bCs/>
                <w:sz w:val="24"/>
              </w:rPr>
            </w:pPr>
            <w:r w:rsidRPr="00E07C9A">
              <w:rPr>
                <w:rFonts w:ascii="Times New Roman" w:hAnsi="Times New Roman"/>
                <w:sz w:val="24"/>
              </w:rPr>
              <w:t>Deriváty použité</w:t>
            </w:r>
            <w:r w:rsidR="009912F8" w:rsidRPr="00E07C9A">
              <w:rPr>
                <w:rFonts w:ascii="Times New Roman" w:hAnsi="Times New Roman"/>
                <w:sz w:val="24"/>
              </w:rPr>
              <w:t xml:space="preserve"> v </w:t>
            </w:r>
            <w:r w:rsidRPr="00E07C9A">
              <w:rPr>
                <w:rFonts w:ascii="Times New Roman" w:hAnsi="Times New Roman"/>
                <w:sz w:val="24"/>
              </w:rPr>
              <w:t>ekonomickom hedžingu sa vykazujú tu, keď sú zahrnuté</w:t>
            </w:r>
            <w:r w:rsidR="009912F8" w:rsidRPr="00E07C9A">
              <w:rPr>
                <w:rFonts w:ascii="Times New Roman" w:hAnsi="Times New Roman"/>
                <w:sz w:val="24"/>
              </w:rPr>
              <w:t xml:space="preserve"> v </w:t>
            </w:r>
            <w:r w:rsidRPr="00E07C9A">
              <w:rPr>
                <w:rFonts w:ascii="Times New Roman" w:hAnsi="Times New Roman"/>
                <w:sz w:val="24"/>
              </w:rPr>
              <w:t>účtovných portfóliách obchodných aktív alebo aktív držaných na obchodovanie (časť 2 ods. 120, 124, 125</w:t>
            </w:r>
            <w:r w:rsidR="009912F8" w:rsidRPr="00E07C9A">
              <w:rPr>
                <w:rFonts w:ascii="Times New Roman" w:hAnsi="Times New Roman"/>
                <w:sz w:val="24"/>
              </w:rPr>
              <w:t xml:space="preserve"> a </w:t>
            </w:r>
            <w:r w:rsidRPr="00E07C9A">
              <w:rPr>
                <w:rFonts w:ascii="Times New Roman" w:hAnsi="Times New Roman"/>
                <w:sz w:val="24"/>
              </w:rPr>
              <w:t>ods. 137 až 140 prílohy</w:t>
            </w:r>
            <w:r w:rsidR="009912F8" w:rsidRPr="00E07C9A">
              <w:rPr>
                <w:rFonts w:ascii="Times New Roman" w:hAnsi="Times New Roman"/>
                <w:sz w:val="24"/>
              </w:rPr>
              <w:t xml:space="preserve"> V k </w:t>
            </w:r>
            <w:r w:rsidRPr="00E07C9A">
              <w:rPr>
                <w:rFonts w:ascii="Times New Roman" w:hAnsi="Times New Roman"/>
                <w:sz w:val="24"/>
              </w:rPr>
              <w:t>tomuto vykonávaciemu nariadeniu).</w:t>
            </w:r>
          </w:p>
          <w:p w14:paraId="7D6AF2D8" w14:textId="77777777" w:rsidR="00FD54FC" w:rsidRPr="00E07C9A" w:rsidRDefault="00FD54FC" w:rsidP="00FD54FC">
            <w:pPr>
              <w:spacing w:before="0" w:after="0"/>
              <w:ind w:left="33"/>
              <w:rPr>
                <w:rFonts w:ascii="Times New Roman" w:hAnsi="Times New Roman"/>
                <w:b/>
                <w:bCs/>
                <w:sz w:val="24"/>
                <w:u w:val="single"/>
                <w:lang w:eastAsia="de-DE"/>
              </w:rPr>
            </w:pPr>
          </w:p>
        </w:tc>
      </w:tr>
      <w:tr w:rsidR="00FD54FC" w:rsidRPr="00E07C9A" w14:paraId="3C1F73E7" w14:textId="77777777" w:rsidTr="00672D2A">
        <w:tc>
          <w:tcPr>
            <w:tcW w:w="1188" w:type="dxa"/>
          </w:tcPr>
          <w:p w14:paraId="324EBF33" w14:textId="77777777" w:rsidR="00FD54FC" w:rsidRPr="00E07C9A" w:rsidRDefault="00535792" w:rsidP="00FD54FC">
            <w:pPr>
              <w:spacing w:before="0" w:after="0"/>
              <w:ind w:left="33"/>
              <w:rPr>
                <w:rFonts w:ascii="Times New Roman" w:hAnsi="Times New Roman"/>
                <w:bCs/>
                <w:sz w:val="24"/>
              </w:rPr>
            </w:pPr>
            <w:r w:rsidRPr="00E07C9A">
              <w:rPr>
                <w:rFonts w:ascii="Times New Roman" w:hAnsi="Times New Roman"/>
                <w:sz w:val="24"/>
              </w:rPr>
              <w:t>0200</w:t>
            </w:r>
          </w:p>
        </w:tc>
        <w:tc>
          <w:tcPr>
            <w:tcW w:w="8640" w:type="dxa"/>
          </w:tcPr>
          <w:p w14:paraId="0BD60BF8" w14:textId="77777777" w:rsidR="009912F8" w:rsidRPr="00E07C9A" w:rsidRDefault="00FD54FC" w:rsidP="00FD54FC">
            <w:pPr>
              <w:spacing w:before="0" w:after="0"/>
              <w:ind w:left="33"/>
              <w:rPr>
                <w:rFonts w:ascii="Times New Roman" w:hAnsi="Times New Roman"/>
                <w:b/>
                <w:sz w:val="24"/>
                <w:u w:val="single"/>
              </w:rPr>
            </w:pPr>
            <w:r w:rsidRPr="00E07C9A">
              <w:rPr>
                <w:rFonts w:ascii="Times New Roman" w:hAnsi="Times New Roman"/>
                <w:b/>
                <w:sz w:val="24"/>
                <w:u w:val="single"/>
              </w:rPr>
              <w:t>Deriváty</w:t>
            </w:r>
            <w:r w:rsidR="009912F8" w:rsidRPr="00E07C9A">
              <w:rPr>
                <w:rFonts w:ascii="Times New Roman" w:hAnsi="Times New Roman"/>
                <w:b/>
                <w:sz w:val="24"/>
                <w:u w:val="single"/>
              </w:rPr>
              <w:t xml:space="preserve"> s </w:t>
            </w:r>
            <w:r w:rsidRPr="00E07C9A">
              <w:rPr>
                <w:rFonts w:ascii="Times New Roman" w:hAnsi="Times New Roman"/>
                <w:b/>
                <w:sz w:val="24"/>
                <w:u w:val="single"/>
              </w:rPr>
              <w:t>kladnou reálnou hodnotou: účtovná hodnota</w:t>
            </w:r>
          </w:p>
          <w:p w14:paraId="1C20F27A" w14:textId="5261C52C" w:rsidR="00FD54FC" w:rsidRPr="00E07C9A" w:rsidRDefault="00FD54FC" w:rsidP="00FD54FC">
            <w:pPr>
              <w:spacing w:before="0" w:after="0"/>
              <w:ind w:left="33"/>
              <w:rPr>
                <w:rFonts w:ascii="Times New Roman" w:hAnsi="Times New Roman"/>
                <w:bCs/>
                <w:sz w:val="24"/>
                <w:lang w:eastAsia="de-DE"/>
              </w:rPr>
            </w:pPr>
          </w:p>
          <w:p w14:paraId="1859DFC5" w14:textId="27EAB376" w:rsidR="009912F8" w:rsidRPr="00E07C9A" w:rsidRDefault="00FD54FC" w:rsidP="00FD54FC">
            <w:pPr>
              <w:spacing w:before="0" w:after="0"/>
              <w:ind w:left="33"/>
              <w:rPr>
                <w:rFonts w:ascii="Times New Roman" w:hAnsi="Times New Roman"/>
                <w:sz w:val="24"/>
              </w:rPr>
            </w:pPr>
            <w:r w:rsidRPr="00E07C9A">
              <w:rPr>
                <w:rFonts w:ascii="Times New Roman" w:hAnsi="Times New Roman"/>
                <w:sz w:val="24"/>
              </w:rPr>
              <w:t>Účtovná hodnota derivátov zaúčtovaných ako finančné aktíva</w:t>
            </w:r>
            <w:r w:rsidR="009912F8" w:rsidRPr="00E07C9A">
              <w:rPr>
                <w:rFonts w:ascii="Times New Roman" w:hAnsi="Times New Roman"/>
                <w:sz w:val="24"/>
              </w:rPr>
              <w:t xml:space="preserve"> k </w:t>
            </w:r>
            <w:r w:rsidRPr="00E07C9A">
              <w:rPr>
                <w:rFonts w:ascii="Times New Roman" w:hAnsi="Times New Roman"/>
                <w:sz w:val="24"/>
              </w:rPr>
              <w:t>referenčnému dátumu vykazovania</w:t>
            </w:r>
            <w:r w:rsidR="009912F8" w:rsidRPr="00E07C9A">
              <w:rPr>
                <w:rFonts w:ascii="Times New Roman" w:hAnsi="Times New Roman"/>
                <w:sz w:val="24"/>
              </w:rPr>
              <w:t>.</w:t>
            </w:r>
          </w:p>
          <w:p w14:paraId="04AF7ADD" w14:textId="68622608" w:rsidR="00FD54FC" w:rsidRPr="00E07C9A" w:rsidRDefault="00FD54FC" w:rsidP="00FD54FC">
            <w:pPr>
              <w:spacing w:before="0" w:after="0"/>
              <w:ind w:left="33"/>
              <w:rPr>
                <w:rFonts w:ascii="Times New Roman" w:hAnsi="Times New Roman"/>
                <w:bCs/>
                <w:sz w:val="24"/>
                <w:lang w:eastAsia="de-DE"/>
              </w:rPr>
            </w:pPr>
          </w:p>
          <w:p w14:paraId="16CF0684" w14:textId="2479CEA2" w:rsidR="009912F8" w:rsidRPr="00E07C9A" w:rsidRDefault="00FD54FC" w:rsidP="00FD54FC">
            <w:pPr>
              <w:spacing w:before="0" w:after="0"/>
              <w:ind w:left="33"/>
              <w:rPr>
                <w:rFonts w:ascii="Times New Roman" w:hAnsi="Times New Roman"/>
                <w:sz w:val="24"/>
              </w:rPr>
            </w:pPr>
            <w:r w:rsidRPr="00E07C9A">
              <w:rPr>
                <w:rFonts w:ascii="Times New Roman" w:hAnsi="Times New Roman"/>
                <w:sz w:val="24"/>
              </w:rPr>
              <w:t>Deriváty, ktoré sa majú vykázať</w:t>
            </w:r>
            <w:r w:rsidR="009912F8" w:rsidRPr="00E07C9A">
              <w:rPr>
                <w:rFonts w:ascii="Times New Roman" w:hAnsi="Times New Roman"/>
                <w:sz w:val="24"/>
              </w:rPr>
              <w:t xml:space="preserve"> v </w:t>
            </w:r>
            <w:r w:rsidRPr="00E07C9A">
              <w:rPr>
                <w:rFonts w:ascii="Times New Roman" w:hAnsi="Times New Roman"/>
                <w:sz w:val="24"/>
              </w:rPr>
              <w:t>týchto stĺpcoch, zahŕňajú podľa GAAP na základe smernice Rady 86/635/EHS derivátové nástroje oceňované obstarávacou cenou alebo nižšou</w:t>
            </w:r>
            <w:r w:rsidR="009912F8" w:rsidRPr="00E07C9A">
              <w:rPr>
                <w:rFonts w:ascii="Times New Roman" w:hAnsi="Times New Roman"/>
                <w:sz w:val="24"/>
              </w:rPr>
              <w:t xml:space="preserve"> z </w:t>
            </w:r>
            <w:r w:rsidRPr="00E07C9A">
              <w:rPr>
                <w:rFonts w:ascii="Times New Roman" w:hAnsi="Times New Roman"/>
                <w:sz w:val="24"/>
              </w:rPr>
              <w:t>obstarávacej alebo trhovej ceny zahrnuté</w:t>
            </w:r>
            <w:r w:rsidR="009912F8" w:rsidRPr="00E07C9A">
              <w:rPr>
                <w:rFonts w:ascii="Times New Roman" w:hAnsi="Times New Roman"/>
                <w:sz w:val="24"/>
              </w:rPr>
              <w:t xml:space="preserve"> v </w:t>
            </w:r>
            <w:r w:rsidRPr="00E07C9A">
              <w:rPr>
                <w:rFonts w:ascii="Times New Roman" w:hAnsi="Times New Roman"/>
                <w:sz w:val="24"/>
              </w:rPr>
              <w:t>obchodnom portfóliu alebo určené ako zabezpečovacie nástroje</w:t>
            </w:r>
            <w:r w:rsidR="009912F8" w:rsidRPr="00E07C9A">
              <w:rPr>
                <w:rFonts w:ascii="Times New Roman" w:hAnsi="Times New Roman"/>
                <w:sz w:val="24"/>
              </w:rPr>
              <w:t>.</w:t>
            </w:r>
          </w:p>
          <w:p w14:paraId="08E45F0F" w14:textId="4AEA3A65" w:rsidR="00FD54FC" w:rsidRPr="00E07C9A" w:rsidRDefault="00FD54FC" w:rsidP="00FD54FC">
            <w:pPr>
              <w:spacing w:before="0" w:after="0"/>
              <w:ind w:left="33"/>
              <w:rPr>
                <w:rFonts w:ascii="Times New Roman" w:hAnsi="Times New Roman"/>
                <w:b/>
                <w:bCs/>
                <w:sz w:val="24"/>
                <w:u w:val="single"/>
                <w:lang w:eastAsia="de-DE"/>
              </w:rPr>
            </w:pPr>
          </w:p>
        </w:tc>
      </w:tr>
      <w:tr w:rsidR="00FD54FC" w:rsidRPr="00E07C9A" w14:paraId="3FA6D838" w14:textId="77777777" w:rsidTr="00672D2A">
        <w:tc>
          <w:tcPr>
            <w:tcW w:w="1188" w:type="dxa"/>
          </w:tcPr>
          <w:p w14:paraId="1DAE3A44" w14:textId="77777777" w:rsidR="00FD54FC" w:rsidRPr="00E07C9A" w:rsidRDefault="00535792" w:rsidP="00FD54FC">
            <w:pPr>
              <w:spacing w:before="0" w:after="0"/>
              <w:ind w:left="33"/>
              <w:rPr>
                <w:rFonts w:ascii="Times New Roman" w:hAnsi="Times New Roman"/>
                <w:bCs/>
                <w:sz w:val="24"/>
              </w:rPr>
            </w:pPr>
            <w:r w:rsidRPr="00E07C9A">
              <w:rPr>
                <w:rFonts w:ascii="Times New Roman" w:hAnsi="Times New Roman"/>
                <w:sz w:val="24"/>
              </w:rPr>
              <w:t>0210</w:t>
            </w:r>
          </w:p>
        </w:tc>
        <w:tc>
          <w:tcPr>
            <w:tcW w:w="8640" w:type="dxa"/>
          </w:tcPr>
          <w:p w14:paraId="3FFDF1E9" w14:textId="60EB6DE0" w:rsidR="00FD54FC" w:rsidRPr="00E07C9A" w:rsidRDefault="00FD54FC" w:rsidP="00FD54FC">
            <w:pPr>
              <w:spacing w:before="0" w:after="0"/>
              <w:ind w:left="33"/>
              <w:rPr>
                <w:rFonts w:ascii="Times New Roman" w:hAnsi="Times New Roman"/>
                <w:b/>
                <w:bCs/>
                <w:sz w:val="24"/>
                <w:u w:val="single"/>
              </w:rPr>
            </w:pPr>
            <w:r w:rsidRPr="00E07C9A">
              <w:rPr>
                <w:rFonts w:ascii="Times New Roman" w:hAnsi="Times New Roman"/>
                <w:b/>
                <w:sz w:val="24"/>
                <w:u w:val="single"/>
              </w:rPr>
              <w:t>Deriváty</w:t>
            </w:r>
            <w:r w:rsidR="009912F8" w:rsidRPr="00E07C9A">
              <w:rPr>
                <w:rFonts w:ascii="Times New Roman" w:hAnsi="Times New Roman"/>
                <w:b/>
                <w:sz w:val="24"/>
                <w:u w:val="single"/>
              </w:rPr>
              <w:t xml:space="preserve"> s </w:t>
            </w:r>
            <w:r w:rsidRPr="00E07C9A">
              <w:rPr>
                <w:rFonts w:ascii="Times New Roman" w:hAnsi="Times New Roman"/>
                <w:b/>
                <w:sz w:val="24"/>
                <w:u w:val="single"/>
              </w:rPr>
              <w:t>kladnou reálnou hodnotou: pomyselná hodnota</w:t>
            </w:r>
          </w:p>
          <w:p w14:paraId="0C363BC2" w14:textId="77777777" w:rsidR="00FD54FC" w:rsidRPr="00E07C9A" w:rsidRDefault="00FD54FC" w:rsidP="00FD54FC">
            <w:pPr>
              <w:spacing w:before="0" w:after="0"/>
              <w:ind w:left="33"/>
              <w:rPr>
                <w:rFonts w:ascii="Times New Roman" w:hAnsi="Times New Roman"/>
                <w:bCs/>
                <w:sz w:val="24"/>
                <w:lang w:eastAsia="de-DE"/>
              </w:rPr>
            </w:pPr>
          </w:p>
          <w:p w14:paraId="179F393A" w14:textId="598612D8" w:rsidR="00FD54FC" w:rsidRPr="00E07C9A" w:rsidRDefault="00FD54FC" w:rsidP="00FD54FC">
            <w:pPr>
              <w:spacing w:before="0" w:after="0"/>
              <w:ind w:left="33"/>
              <w:rPr>
                <w:rFonts w:ascii="Times New Roman" w:hAnsi="Times New Roman"/>
                <w:bCs/>
                <w:sz w:val="24"/>
              </w:rPr>
            </w:pPr>
            <w:r w:rsidRPr="00E07C9A">
              <w:rPr>
                <w:rFonts w:ascii="Times New Roman" w:hAnsi="Times New Roman"/>
                <w:sz w:val="24"/>
              </w:rPr>
              <w:t>Podľa IFRS</w:t>
            </w:r>
            <w:r w:rsidR="009912F8" w:rsidRPr="00E07C9A">
              <w:rPr>
                <w:rFonts w:ascii="Times New Roman" w:hAnsi="Times New Roman"/>
                <w:sz w:val="24"/>
              </w:rPr>
              <w:t xml:space="preserve"> a </w:t>
            </w:r>
            <w:r w:rsidRPr="00E07C9A">
              <w:rPr>
                <w:rFonts w:ascii="Times New Roman" w:hAnsi="Times New Roman"/>
                <w:sz w:val="24"/>
              </w:rPr>
              <w:t>národných GAAP na základe smernice Rady 86/635/EHS pomyselná hodnota, ako je vymedzená</w:t>
            </w:r>
            <w:r w:rsidR="009912F8" w:rsidRPr="00E07C9A">
              <w:rPr>
                <w:rFonts w:ascii="Times New Roman" w:hAnsi="Times New Roman"/>
                <w:sz w:val="24"/>
              </w:rPr>
              <w:t xml:space="preserve"> v </w:t>
            </w:r>
            <w:r w:rsidRPr="00E07C9A">
              <w:rPr>
                <w:rFonts w:ascii="Times New Roman" w:hAnsi="Times New Roman"/>
                <w:sz w:val="24"/>
              </w:rPr>
              <w:t>časti 2 ods. 133 až 135 prílohy</w:t>
            </w:r>
            <w:r w:rsidR="009912F8" w:rsidRPr="00E07C9A">
              <w:rPr>
                <w:rFonts w:ascii="Times New Roman" w:hAnsi="Times New Roman"/>
                <w:sz w:val="24"/>
              </w:rPr>
              <w:t xml:space="preserve"> V k </w:t>
            </w:r>
            <w:r w:rsidRPr="00E07C9A">
              <w:rPr>
                <w:rFonts w:ascii="Times New Roman" w:hAnsi="Times New Roman"/>
                <w:sz w:val="24"/>
              </w:rPr>
              <w:t>tomuto vykonávaciemu nariadeniu, všetkých zmlúv</w:t>
            </w:r>
            <w:r w:rsidR="009912F8" w:rsidRPr="00E07C9A">
              <w:rPr>
                <w:rFonts w:ascii="Times New Roman" w:hAnsi="Times New Roman"/>
                <w:sz w:val="24"/>
              </w:rPr>
              <w:t xml:space="preserve"> o </w:t>
            </w:r>
            <w:r w:rsidRPr="00E07C9A">
              <w:rPr>
                <w:rFonts w:ascii="Times New Roman" w:hAnsi="Times New Roman"/>
                <w:sz w:val="24"/>
              </w:rPr>
              <w:t>derivátoch uzavretých</w:t>
            </w:r>
            <w:r w:rsidR="009912F8" w:rsidRPr="00E07C9A">
              <w:rPr>
                <w:rFonts w:ascii="Times New Roman" w:hAnsi="Times New Roman"/>
                <w:sz w:val="24"/>
              </w:rPr>
              <w:t xml:space="preserve"> a </w:t>
            </w:r>
            <w:r w:rsidRPr="00E07C9A">
              <w:rPr>
                <w:rFonts w:ascii="Times New Roman" w:hAnsi="Times New Roman"/>
                <w:sz w:val="24"/>
              </w:rPr>
              <w:t>ešte nevyrovnaných</w:t>
            </w:r>
            <w:r w:rsidR="009912F8" w:rsidRPr="00E07C9A">
              <w:rPr>
                <w:rFonts w:ascii="Times New Roman" w:hAnsi="Times New Roman"/>
                <w:sz w:val="24"/>
              </w:rPr>
              <w:t xml:space="preserve"> k </w:t>
            </w:r>
            <w:r w:rsidRPr="00E07C9A">
              <w:rPr>
                <w:rFonts w:ascii="Times New Roman" w:hAnsi="Times New Roman"/>
                <w:sz w:val="24"/>
              </w:rPr>
              <w:t>referenčnému dátumu vykazovania, pri ktorých je protistranou orgán verejnej správy, ako sa vymedzuje</w:t>
            </w:r>
            <w:r w:rsidR="009912F8" w:rsidRPr="00E07C9A">
              <w:rPr>
                <w:rFonts w:ascii="Times New Roman" w:hAnsi="Times New Roman"/>
                <w:sz w:val="24"/>
              </w:rPr>
              <w:t xml:space="preserve"> v </w:t>
            </w:r>
            <w:r w:rsidRPr="00E07C9A">
              <w:rPr>
                <w:rFonts w:ascii="Times New Roman" w:hAnsi="Times New Roman"/>
                <w:sz w:val="24"/>
              </w:rPr>
              <w:t>odsekoch 191 až 196 tejto prílohy,</w:t>
            </w:r>
            <w:r w:rsidR="009912F8" w:rsidRPr="00E07C9A">
              <w:rPr>
                <w:rFonts w:ascii="Times New Roman" w:hAnsi="Times New Roman"/>
                <w:sz w:val="24"/>
              </w:rPr>
              <w:t xml:space="preserve"> a </w:t>
            </w:r>
            <w:r w:rsidRPr="00E07C9A">
              <w:rPr>
                <w:rFonts w:ascii="Times New Roman" w:hAnsi="Times New Roman"/>
                <w:sz w:val="24"/>
              </w:rPr>
              <w:t>keď je reálna hodnota derivátu pre inštitúciu</w:t>
            </w:r>
            <w:r w:rsidR="009912F8" w:rsidRPr="00E07C9A">
              <w:rPr>
                <w:rFonts w:ascii="Times New Roman" w:hAnsi="Times New Roman"/>
                <w:sz w:val="24"/>
              </w:rPr>
              <w:t xml:space="preserve"> k </w:t>
            </w:r>
            <w:r w:rsidRPr="00E07C9A">
              <w:rPr>
                <w:rFonts w:ascii="Times New Roman" w:hAnsi="Times New Roman"/>
                <w:sz w:val="24"/>
              </w:rPr>
              <w:t>referenčnému dátumu kladná.</w:t>
            </w:r>
          </w:p>
          <w:p w14:paraId="52631EF1" w14:textId="77777777" w:rsidR="00FD54FC" w:rsidRPr="00E07C9A" w:rsidRDefault="00FD54FC" w:rsidP="00FD54FC">
            <w:pPr>
              <w:spacing w:before="0" w:after="0"/>
              <w:ind w:left="33"/>
              <w:rPr>
                <w:rFonts w:ascii="Times New Roman" w:hAnsi="Times New Roman"/>
                <w:b/>
                <w:bCs/>
                <w:sz w:val="24"/>
                <w:u w:val="single"/>
                <w:lang w:eastAsia="de-DE"/>
              </w:rPr>
            </w:pPr>
          </w:p>
        </w:tc>
      </w:tr>
      <w:tr w:rsidR="00FD54FC" w:rsidRPr="00E07C9A" w14:paraId="43827057" w14:textId="77777777" w:rsidTr="00672D2A">
        <w:tc>
          <w:tcPr>
            <w:tcW w:w="1188" w:type="dxa"/>
          </w:tcPr>
          <w:p w14:paraId="7EC1BFEC" w14:textId="77777777" w:rsidR="00FD54FC" w:rsidRPr="00E07C9A" w:rsidRDefault="00535792" w:rsidP="00FD54FC">
            <w:pPr>
              <w:spacing w:before="0" w:after="0"/>
              <w:ind w:left="33"/>
              <w:rPr>
                <w:rFonts w:ascii="Times New Roman" w:hAnsi="Times New Roman"/>
                <w:bCs/>
                <w:sz w:val="24"/>
              </w:rPr>
            </w:pPr>
            <w:r w:rsidRPr="00E07C9A">
              <w:rPr>
                <w:rFonts w:ascii="Times New Roman" w:hAnsi="Times New Roman"/>
                <w:sz w:val="24"/>
              </w:rPr>
              <w:t>0220 –⁠ 0230</w:t>
            </w:r>
          </w:p>
        </w:tc>
        <w:tc>
          <w:tcPr>
            <w:tcW w:w="8640" w:type="dxa"/>
          </w:tcPr>
          <w:p w14:paraId="69ECA9EE" w14:textId="77777777" w:rsidR="00FD54FC" w:rsidRPr="00E07C9A" w:rsidRDefault="00FD54FC" w:rsidP="00FD54FC">
            <w:pPr>
              <w:spacing w:before="0" w:after="0"/>
              <w:ind w:left="33"/>
              <w:rPr>
                <w:rFonts w:ascii="Times New Roman" w:hAnsi="Times New Roman"/>
                <w:b/>
                <w:bCs/>
                <w:sz w:val="24"/>
                <w:u w:val="single"/>
              </w:rPr>
            </w:pPr>
            <w:r w:rsidRPr="00E07C9A">
              <w:rPr>
                <w:rFonts w:ascii="Times New Roman" w:hAnsi="Times New Roman"/>
                <w:b/>
                <w:sz w:val="24"/>
                <w:u w:val="single"/>
              </w:rPr>
              <w:t>Deriváty so zápornou reálnou hodnotou</w:t>
            </w:r>
          </w:p>
          <w:p w14:paraId="37401090" w14:textId="77777777" w:rsidR="00FD54FC" w:rsidRPr="00E07C9A" w:rsidDel="00501397" w:rsidRDefault="00FD54FC" w:rsidP="00FD54FC">
            <w:pPr>
              <w:spacing w:before="0" w:after="0"/>
              <w:ind w:left="33"/>
              <w:rPr>
                <w:rFonts w:ascii="Times New Roman" w:hAnsi="Times New Roman"/>
                <w:bCs/>
                <w:sz w:val="24"/>
                <w:lang w:eastAsia="de-DE"/>
              </w:rPr>
            </w:pPr>
          </w:p>
          <w:p w14:paraId="042B1B5C" w14:textId="653E988A" w:rsidR="009912F8" w:rsidRPr="00E07C9A" w:rsidRDefault="00FD54FC" w:rsidP="00FD54FC">
            <w:pPr>
              <w:spacing w:before="0" w:after="0"/>
              <w:ind w:left="33"/>
              <w:rPr>
                <w:rFonts w:ascii="Times New Roman" w:hAnsi="Times New Roman"/>
                <w:sz w:val="24"/>
              </w:rPr>
            </w:pPr>
            <w:r w:rsidRPr="00E07C9A">
              <w:rPr>
                <w:rFonts w:ascii="Times New Roman" w:hAnsi="Times New Roman"/>
                <w:sz w:val="24"/>
              </w:rPr>
              <w:t>Všetky derivátové nástroje</w:t>
            </w:r>
            <w:r w:rsidR="009912F8" w:rsidRPr="00E07C9A">
              <w:rPr>
                <w:rFonts w:ascii="Times New Roman" w:hAnsi="Times New Roman"/>
                <w:sz w:val="24"/>
              </w:rPr>
              <w:t xml:space="preserve"> s </w:t>
            </w:r>
            <w:r w:rsidRPr="00E07C9A">
              <w:rPr>
                <w:rFonts w:ascii="Times New Roman" w:hAnsi="Times New Roman"/>
                <w:sz w:val="24"/>
              </w:rPr>
              <w:t>orgánom verejnej správy ako protistranou so zápornou reálnou hodnotou pre inštitúciu</w:t>
            </w:r>
            <w:r w:rsidR="009912F8" w:rsidRPr="00E07C9A">
              <w:rPr>
                <w:rFonts w:ascii="Times New Roman" w:hAnsi="Times New Roman"/>
                <w:sz w:val="24"/>
              </w:rPr>
              <w:t xml:space="preserve"> k </w:t>
            </w:r>
            <w:r w:rsidRPr="00E07C9A">
              <w:rPr>
                <w:rFonts w:ascii="Times New Roman" w:hAnsi="Times New Roman"/>
                <w:sz w:val="24"/>
              </w:rPr>
              <w:t>referenčnému dátumu vykazovania bez ohľadu na to, či sa uvedené nástroje používajú</w:t>
            </w:r>
            <w:r w:rsidR="009912F8" w:rsidRPr="00E07C9A">
              <w:rPr>
                <w:rFonts w:ascii="Times New Roman" w:hAnsi="Times New Roman"/>
                <w:sz w:val="24"/>
              </w:rPr>
              <w:t xml:space="preserve"> v </w:t>
            </w:r>
            <w:r w:rsidRPr="00E07C9A">
              <w:rPr>
                <w:rFonts w:ascii="Times New Roman" w:hAnsi="Times New Roman"/>
                <w:sz w:val="24"/>
              </w:rPr>
              <w:t>kvalifikovanom hedžingovom vzťahu alebo sú držané na obchodovanie, alebo sú zahrnuté do obchodného portfólia podľa IFRS</w:t>
            </w:r>
            <w:r w:rsidR="009912F8" w:rsidRPr="00E07C9A">
              <w:rPr>
                <w:rFonts w:ascii="Times New Roman" w:hAnsi="Times New Roman"/>
                <w:sz w:val="24"/>
              </w:rPr>
              <w:t xml:space="preserve"> a </w:t>
            </w:r>
            <w:r w:rsidRPr="00E07C9A">
              <w:rPr>
                <w:rFonts w:ascii="Times New Roman" w:hAnsi="Times New Roman"/>
                <w:sz w:val="24"/>
              </w:rPr>
              <w:t>podľa národných GAAP na základe smernice Rady 86/635/EHS</w:t>
            </w:r>
            <w:r w:rsidR="009912F8" w:rsidRPr="00E07C9A">
              <w:rPr>
                <w:rFonts w:ascii="Times New Roman" w:hAnsi="Times New Roman"/>
                <w:sz w:val="24"/>
              </w:rPr>
              <w:t>.</w:t>
            </w:r>
          </w:p>
          <w:p w14:paraId="2FD4520A" w14:textId="1F39B6EB" w:rsidR="00FD54FC" w:rsidRPr="00E07C9A" w:rsidRDefault="00FD54FC" w:rsidP="00FD54FC">
            <w:pPr>
              <w:spacing w:before="0" w:after="0"/>
              <w:ind w:left="33"/>
              <w:rPr>
                <w:rFonts w:ascii="Times New Roman" w:hAnsi="Times New Roman"/>
                <w:bCs/>
                <w:sz w:val="24"/>
                <w:lang w:eastAsia="de-DE"/>
              </w:rPr>
            </w:pPr>
          </w:p>
          <w:p w14:paraId="7F5C1C5A" w14:textId="11848E8E" w:rsidR="00FD54FC" w:rsidRPr="00E07C9A" w:rsidRDefault="00FD54FC" w:rsidP="00FD54FC">
            <w:pPr>
              <w:spacing w:before="0" w:after="0"/>
              <w:ind w:left="33"/>
              <w:rPr>
                <w:rFonts w:ascii="Times New Roman" w:hAnsi="Times New Roman"/>
                <w:bCs/>
                <w:sz w:val="24"/>
              </w:rPr>
            </w:pPr>
            <w:r w:rsidRPr="00E07C9A">
              <w:rPr>
                <w:rFonts w:ascii="Times New Roman" w:hAnsi="Times New Roman"/>
                <w:sz w:val="24"/>
              </w:rPr>
              <w:t>Deriváty použité</w:t>
            </w:r>
            <w:r w:rsidR="009912F8" w:rsidRPr="00E07C9A">
              <w:rPr>
                <w:rFonts w:ascii="Times New Roman" w:hAnsi="Times New Roman"/>
                <w:sz w:val="24"/>
              </w:rPr>
              <w:t xml:space="preserve"> v </w:t>
            </w:r>
            <w:r w:rsidRPr="00E07C9A">
              <w:rPr>
                <w:rFonts w:ascii="Times New Roman" w:hAnsi="Times New Roman"/>
                <w:sz w:val="24"/>
              </w:rPr>
              <w:t>ekonomickom hedžingu sa vykazujú tu, keď sú zahrnuté</w:t>
            </w:r>
            <w:r w:rsidR="009912F8" w:rsidRPr="00E07C9A">
              <w:rPr>
                <w:rFonts w:ascii="Times New Roman" w:hAnsi="Times New Roman"/>
                <w:sz w:val="24"/>
              </w:rPr>
              <w:t xml:space="preserve"> v </w:t>
            </w:r>
            <w:r w:rsidRPr="00E07C9A">
              <w:rPr>
                <w:rFonts w:ascii="Times New Roman" w:hAnsi="Times New Roman"/>
                <w:sz w:val="24"/>
              </w:rPr>
              <w:t>účtovných portfóliách obchodných aktív alebo aktív držaných na obchodovanie (časť 2 ods. 120, 124, 125</w:t>
            </w:r>
            <w:r w:rsidR="009912F8" w:rsidRPr="00E07C9A">
              <w:rPr>
                <w:rFonts w:ascii="Times New Roman" w:hAnsi="Times New Roman"/>
                <w:sz w:val="24"/>
              </w:rPr>
              <w:t xml:space="preserve"> a </w:t>
            </w:r>
            <w:r w:rsidRPr="00E07C9A">
              <w:rPr>
                <w:rFonts w:ascii="Times New Roman" w:hAnsi="Times New Roman"/>
                <w:sz w:val="24"/>
              </w:rPr>
              <w:t>ods. 137 až 140 prílohy</w:t>
            </w:r>
            <w:r w:rsidR="009912F8" w:rsidRPr="00E07C9A">
              <w:rPr>
                <w:rFonts w:ascii="Times New Roman" w:hAnsi="Times New Roman"/>
                <w:sz w:val="24"/>
              </w:rPr>
              <w:t xml:space="preserve"> V k </w:t>
            </w:r>
            <w:r w:rsidRPr="00E07C9A">
              <w:rPr>
                <w:rFonts w:ascii="Times New Roman" w:hAnsi="Times New Roman"/>
                <w:sz w:val="24"/>
              </w:rPr>
              <w:t>tomuto vykonávaciemu nariadeniu).</w:t>
            </w:r>
          </w:p>
          <w:p w14:paraId="0BB896EB" w14:textId="77777777" w:rsidR="00FD54FC" w:rsidRPr="00E07C9A" w:rsidRDefault="00FD54FC" w:rsidP="00FD54FC">
            <w:pPr>
              <w:spacing w:before="0" w:after="0"/>
              <w:ind w:left="33"/>
              <w:rPr>
                <w:rFonts w:ascii="Times New Roman" w:hAnsi="Times New Roman"/>
                <w:b/>
                <w:bCs/>
                <w:sz w:val="24"/>
                <w:u w:val="single"/>
                <w:lang w:eastAsia="de-DE"/>
              </w:rPr>
            </w:pPr>
          </w:p>
        </w:tc>
      </w:tr>
      <w:tr w:rsidR="00FD54FC" w:rsidRPr="00E07C9A" w14:paraId="72A6D395" w14:textId="77777777" w:rsidTr="00672D2A">
        <w:tc>
          <w:tcPr>
            <w:tcW w:w="1188" w:type="dxa"/>
          </w:tcPr>
          <w:p w14:paraId="7E1C9191" w14:textId="77777777" w:rsidR="00FD54FC" w:rsidRPr="00E07C9A" w:rsidRDefault="00535792" w:rsidP="00FD54FC">
            <w:pPr>
              <w:spacing w:before="0" w:after="0"/>
              <w:ind w:left="33"/>
              <w:rPr>
                <w:rFonts w:ascii="Times New Roman" w:hAnsi="Times New Roman"/>
                <w:bCs/>
                <w:sz w:val="24"/>
              </w:rPr>
            </w:pPr>
            <w:r w:rsidRPr="00E07C9A">
              <w:rPr>
                <w:rFonts w:ascii="Times New Roman" w:hAnsi="Times New Roman"/>
                <w:sz w:val="24"/>
              </w:rPr>
              <w:t>0220</w:t>
            </w:r>
          </w:p>
        </w:tc>
        <w:tc>
          <w:tcPr>
            <w:tcW w:w="8640" w:type="dxa"/>
          </w:tcPr>
          <w:p w14:paraId="68EE0233" w14:textId="77777777" w:rsidR="009912F8" w:rsidRPr="00E07C9A" w:rsidRDefault="00FD54FC" w:rsidP="00FD54FC">
            <w:pPr>
              <w:spacing w:before="0" w:after="0"/>
              <w:ind w:left="33"/>
              <w:rPr>
                <w:rFonts w:ascii="Times New Roman" w:hAnsi="Times New Roman"/>
                <w:b/>
                <w:sz w:val="24"/>
                <w:u w:val="single"/>
              </w:rPr>
            </w:pPr>
            <w:r w:rsidRPr="00E07C9A">
              <w:rPr>
                <w:rFonts w:ascii="Times New Roman" w:hAnsi="Times New Roman"/>
                <w:b/>
                <w:sz w:val="24"/>
                <w:u w:val="single"/>
              </w:rPr>
              <w:t>Deriváty so zápornou reálnou hodnotou: účtovná hodnota</w:t>
            </w:r>
          </w:p>
          <w:p w14:paraId="6A4D2430" w14:textId="2D95DA8C" w:rsidR="00FD54FC" w:rsidRPr="00E07C9A" w:rsidRDefault="00FD54FC" w:rsidP="00FD54FC">
            <w:pPr>
              <w:spacing w:before="0" w:after="0"/>
              <w:ind w:left="33"/>
              <w:rPr>
                <w:rFonts w:ascii="Times New Roman" w:hAnsi="Times New Roman"/>
                <w:bCs/>
                <w:sz w:val="24"/>
                <w:lang w:eastAsia="de-DE"/>
              </w:rPr>
            </w:pPr>
          </w:p>
          <w:p w14:paraId="1DFDDF40" w14:textId="41CAA60E" w:rsidR="009912F8" w:rsidRPr="00E07C9A" w:rsidRDefault="00FD54FC" w:rsidP="00FD54FC">
            <w:pPr>
              <w:spacing w:before="0" w:after="0"/>
              <w:ind w:left="33"/>
              <w:rPr>
                <w:rFonts w:ascii="Times New Roman" w:hAnsi="Times New Roman"/>
                <w:sz w:val="24"/>
              </w:rPr>
            </w:pPr>
            <w:r w:rsidRPr="00E07C9A">
              <w:rPr>
                <w:rFonts w:ascii="Times New Roman" w:hAnsi="Times New Roman"/>
                <w:sz w:val="24"/>
              </w:rPr>
              <w:t>Účtovná hodnota derivátov zaúčtovaných ako finančné záväzky</w:t>
            </w:r>
            <w:r w:rsidR="009912F8" w:rsidRPr="00E07C9A">
              <w:rPr>
                <w:rFonts w:ascii="Times New Roman" w:hAnsi="Times New Roman"/>
                <w:sz w:val="24"/>
              </w:rPr>
              <w:t xml:space="preserve"> k </w:t>
            </w:r>
            <w:r w:rsidRPr="00E07C9A">
              <w:rPr>
                <w:rFonts w:ascii="Times New Roman" w:hAnsi="Times New Roman"/>
                <w:sz w:val="24"/>
              </w:rPr>
              <w:t>referenčnému dátumu vykazovania</w:t>
            </w:r>
            <w:r w:rsidR="009912F8" w:rsidRPr="00E07C9A">
              <w:rPr>
                <w:rFonts w:ascii="Times New Roman" w:hAnsi="Times New Roman"/>
                <w:sz w:val="24"/>
              </w:rPr>
              <w:t>.</w:t>
            </w:r>
          </w:p>
          <w:p w14:paraId="34CCEE6F" w14:textId="04C53E90" w:rsidR="00FD54FC" w:rsidRPr="00E07C9A" w:rsidRDefault="00FD54FC" w:rsidP="00FD54FC">
            <w:pPr>
              <w:spacing w:before="0" w:after="0"/>
              <w:ind w:left="33"/>
              <w:rPr>
                <w:rFonts w:ascii="Times New Roman" w:hAnsi="Times New Roman"/>
                <w:bCs/>
                <w:sz w:val="24"/>
                <w:lang w:eastAsia="de-DE"/>
              </w:rPr>
            </w:pPr>
          </w:p>
          <w:p w14:paraId="1CD5A301" w14:textId="38CCE7A2" w:rsidR="009912F8" w:rsidRPr="00E07C9A" w:rsidRDefault="00FD54FC" w:rsidP="00FD54FC">
            <w:pPr>
              <w:spacing w:before="0" w:after="0"/>
              <w:ind w:left="33"/>
              <w:rPr>
                <w:rFonts w:ascii="Times New Roman" w:hAnsi="Times New Roman"/>
                <w:sz w:val="24"/>
              </w:rPr>
            </w:pPr>
            <w:r w:rsidRPr="00E07C9A">
              <w:rPr>
                <w:rFonts w:ascii="Times New Roman" w:hAnsi="Times New Roman"/>
                <w:sz w:val="24"/>
              </w:rPr>
              <w:t>Deriváty, ktoré sa majú vykázať</w:t>
            </w:r>
            <w:r w:rsidR="009912F8" w:rsidRPr="00E07C9A">
              <w:rPr>
                <w:rFonts w:ascii="Times New Roman" w:hAnsi="Times New Roman"/>
                <w:sz w:val="24"/>
              </w:rPr>
              <w:t xml:space="preserve"> v </w:t>
            </w:r>
            <w:r w:rsidRPr="00E07C9A">
              <w:rPr>
                <w:rFonts w:ascii="Times New Roman" w:hAnsi="Times New Roman"/>
                <w:sz w:val="24"/>
              </w:rPr>
              <w:t>týchto stĺpcoch, zahŕňajú podľa GAAP na základe smernice Rady 86/635/EHS derivátové nástroje oceňované obstarávacou cenou alebo nižšou</w:t>
            </w:r>
            <w:r w:rsidR="009912F8" w:rsidRPr="00E07C9A">
              <w:rPr>
                <w:rFonts w:ascii="Times New Roman" w:hAnsi="Times New Roman"/>
                <w:sz w:val="24"/>
              </w:rPr>
              <w:t xml:space="preserve"> z </w:t>
            </w:r>
            <w:r w:rsidRPr="00E07C9A">
              <w:rPr>
                <w:rFonts w:ascii="Times New Roman" w:hAnsi="Times New Roman"/>
                <w:sz w:val="24"/>
              </w:rPr>
              <w:t>obstarávacej alebo trhovej ceny zahrnuté</w:t>
            </w:r>
            <w:r w:rsidR="009912F8" w:rsidRPr="00E07C9A">
              <w:rPr>
                <w:rFonts w:ascii="Times New Roman" w:hAnsi="Times New Roman"/>
                <w:sz w:val="24"/>
              </w:rPr>
              <w:t xml:space="preserve"> v </w:t>
            </w:r>
            <w:r w:rsidRPr="00E07C9A">
              <w:rPr>
                <w:rFonts w:ascii="Times New Roman" w:hAnsi="Times New Roman"/>
                <w:sz w:val="24"/>
              </w:rPr>
              <w:t>obchodnom portfóliu alebo určené ako zabezpečovacie nástroje</w:t>
            </w:r>
            <w:r w:rsidR="009912F8" w:rsidRPr="00E07C9A">
              <w:rPr>
                <w:rFonts w:ascii="Times New Roman" w:hAnsi="Times New Roman"/>
                <w:sz w:val="24"/>
              </w:rPr>
              <w:t>.</w:t>
            </w:r>
          </w:p>
          <w:p w14:paraId="283E21E3" w14:textId="2F6A51EC" w:rsidR="00FD54FC" w:rsidRPr="00E07C9A" w:rsidRDefault="00FD54FC" w:rsidP="00FD54FC">
            <w:pPr>
              <w:spacing w:before="0" w:after="0"/>
              <w:ind w:left="33"/>
              <w:rPr>
                <w:rFonts w:ascii="Times New Roman" w:hAnsi="Times New Roman"/>
                <w:b/>
                <w:bCs/>
                <w:sz w:val="24"/>
                <w:u w:val="single"/>
                <w:lang w:eastAsia="de-DE"/>
              </w:rPr>
            </w:pPr>
          </w:p>
        </w:tc>
      </w:tr>
      <w:tr w:rsidR="00FD54FC" w:rsidRPr="00E07C9A" w14:paraId="091B5A54" w14:textId="77777777" w:rsidTr="00672D2A">
        <w:tc>
          <w:tcPr>
            <w:tcW w:w="1188" w:type="dxa"/>
          </w:tcPr>
          <w:p w14:paraId="050FFE55" w14:textId="77777777" w:rsidR="00FD54FC" w:rsidRPr="00E07C9A" w:rsidRDefault="00535792" w:rsidP="00FD54FC">
            <w:pPr>
              <w:spacing w:before="0" w:after="0"/>
              <w:ind w:left="33"/>
              <w:rPr>
                <w:rFonts w:ascii="Times New Roman" w:hAnsi="Times New Roman"/>
                <w:bCs/>
                <w:sz w:val="24"/>
              </w:rPr>
            </w:pPr>
            <w:r w:rsidRPr="00E07C9A">
              <w:rPr>
                <w:rFonts w:ascii="Times New Roman" w:hAnsi="Times New Roman"/>
                <w:sz w:val="24"/>
              </w:rPr>
              <w:t>0230</w:t>
            </w:r>
          </w:p>
        </w:tc>
        <w:tc>
          <w:tcPr>
            <w:tcW w:w="8640" w:type="dxa"/>
          </w:tcPr>
          <w:p w14:paraId="519CB874" w14:textId="77777777" w:rsidR="00FD54FC" w:rsidRPr="00E07C9A" w:rsidRDefault="00FD54FC" w:rsidP="00FD54FC">
            <w:pPr>
              <w:spacing w:before="0" w:after="0"/>
              <w:rPr>
                <w:rFonts w:ascii="Times New Roman" w:hAnsi="Times New Roman"/>
                <w:b/>
                <w:bCs/>
                <w:sz w:val="24"/>
                <w:u w:val="single"/>
              </w:rPr>
            </w:pPr>
            <w:r w:rsidRPr="00E07C9A">
              <w:rPr>
                <w:rFonts w:ascii="Times New Roman" w:hAnsi="Times New Roman"/>
                <w:b/>
                <w:sz w:val="24"/>
                <w:u w:val="single"/>
              </w:rPr>
              <w:t>Deriváty so zápornou reálnou hodnotou: pomyselná hodnota</w:t>
            </w:r>
          </w:p>
          <w:p w14:paraId="045D0F1D" w14:textId="77777777" w:rsidR="00FD54FC" w:rsidRPr="00E07C9A" w:rsidRDefault="00FD54FC" w:rsidP="00FD54FC">
            <w:pPr>
              <w:spacing w:before="0" w:after="0"/>
              <w:ind w:left="33"/>
              <w:rPr>
                <w:rFonts w:ascii="Times New Roman" w:hAnsi="Times New Roman"/>
                <w:b/>
                <w:bCs/>
                <w:sz w:val="24"/>
                <w:u w:val="single"/>
                <w:lang w:eastAsia="de-DE"/>
              </w:rPr>
            </w:pPr>
          </w:p>
          <w:p w14:paraId="01197E44" w14:textId="5A9AD161" w:rsidR="00FD54FC" w:rsidRPr="00E07C9A" w:rsidRDefault="00FD54FC" w:rsidP="00FD54FC">
            <w:pPr>
              <w:spacing w:before="0" w:after="0"/>
              <w:ind w:left="33"/>
              <w:rPr>
                <w:rFonts w:ascii="Times New Roman" w:hAnsi="Times New Roman"/>
                <w:bCs/>
                <w:sz w:val="24"/>
              </w:rPr>
            </w:pPr>
            <w:r w:rsidRPr="00E07C9A">
              <w:rPr>
                <w:rFonts w:ascii="Times New Roman" w:hAnsi="Times New Roman"/>
                <w:sz w:val="24"/>
              </w:rPr>
              <w:t>Podľa IFRS</w:t>
            </w:r>
            <w:r w:rsidR="009912F8" w:rsidRPr="00E07C9A">
              <w:rPr>
                <w:rFonts w:ascii="Times New Roman" w:hAnsi="Times New Roman"/>
                <w:sz w:val="24"/>
              </w:rPr>
              <w:t xml:space="preserve"> a </w:t>
            </w:r>
            <w:r w:rsidRPr="00E07C9A">
              <w:rPr>
                <w:rFonts w:ascii="Times New Roman" w:hAnsi="Times New Roman"/>
                <w:sz w:val="24"/>
              </w:rPr>
              <w:t>národných GAAP na základe smernice Rady 86/635/EHS pomyselná hodnota, ako je vymedzená</w:t>
            </w:r>
            <w:r w:rsidR="009912F8" w:rsidRPr="00E07C9A">
              <w:rPr>
                <w:rFonts w:ascii="Times New Roman" w:hAnsi="Times New Roman"/>
                <w:sz w:val="24"/>
              </w:rPr>
              <w:t xml:space="preserve"> v </w:t>
            </w:r>
            <w:r w:rsidRPr="00E07C9A">
              <w:rPr>
                <w:rFonts w:ascii="Times New Roman" w:hAnsi="Times New Roman"/>
                <w:sz w:val="24"/>
              </w:rPr>
              <w:t>časti 2 ods. 133 až 135 prílohy</w:t>
            </w:r>
            <w:r w:rsidR="009912F8" w:rsidRPr="00E07C9A">
              <w:rPr>
                <w:rFonts w:ascii="Times New Roman" w:hAnsi="Times New Roman"/>
                <w:sz w:val="24"/>
              </w:rPr>
              <w:t xml:space="preserve"> V k </w:t>
            </w:r>
            <w:r w:rsidRPr="00E07C9A">
              <w:rPr>
                <w:rFonts w:ascii="Times New Roman" w:hAnsi="Times New Roman"/>
                <w:sz w:val="24"/>
              </w:rPr>
              <w:t>tomuto vykonávaciemu nariadeniu, všetkých zmlúv</w:t>
            </w:r>
            <w:r w:rsidR="009912F8" w:rsidRPr="00E07C9A">
              <w:rPr>
                <w:rFonts w:ascii="Times New Roman" w:hAnsi="Times New Roman"/>
                <w:sz w:val="24"/>
              </w:rPr>
              <w:t xml:space="preserve"> o </w:t>
            </w:r>
            <w:r w:rsidRPr="00E07C9A">
              <w:rPr>
                <w:rFonts w:ascii="Times New Roman" w:hAnsi="Times New Roman"/>
                <w:sz w:val="24"/>
              </w:rPr>
              <w:t>derivátoch uzavretých</w:t>
            </w:r>
            <w:r w:rsidR="009912F8" w:rsidRPr="00E07C9A">
              <w:rPr>
                <w:rFonts w:ascii="Times New Roman" w:hAnsi="Times New Roman"/>
                <w:sz w:val="24"/>
              </w:rPr>
              <w:t xml:space="preserve"> a </w:t>
            </w:r>
            <w:r w:rsidRPr="00E07C9A">
              <w:rPr>
                <w:rFonts w:ascii="Times New Roman" w:hAnsi="Times New Roman"/>
                <w:sz w:val="24"/>
              </w:rPr>
              <w:t>ešte nevyrovnaných</w:t>
            </w:r>
            <w:r w:rsidR="009912F8" w:rsidRPr="00E07C9A">
              <w:rPr>
                <w:rFonts w:ascii="Times New Roman" w:hAnsi="Times New Roman"/>
                <w:sz w:val="24"/>
              </w:rPr>
              <w:t xml:space="preserve"> k </w:t>
            </w:r>
            <w:r w:rsidRPr="00E07C9A">
              <w:rPr>
                <w:rFonts w:ascii="Times New Roman" w:hAnsi="Times New Roman"/>
                <w:sz w:val="24"/>
              </w:rPr>
              <w:t>referenčnému dátumu, pri ktorých je protistranou orgán verejnej správy, ako sa vymedzuje</w:t>
            </w:r>
            <w:r w:rsidR="009912F8" w:rsidRPr="00E07C9A">
              <w:rPr>
                <w:rFonts w:ascii="Times New Roman" w:hAnsi="Times New Roman"/>
                <w:sz w:val="24"/>
              </w:rPr>
              <w:t xml:space="preserve"> v </w:t>
            </w:r>
            <w:r w:rsidRPr="00E07C9A">
              <w:rPr>
                <w:rFonts w:ascii="Times New Roman" w:hAnsi="Times New Roman"/>
                <w:sz w:val="24"/>
              </w:rPr>
              <w:t>odsekoch 191 až 196 tejto prílohy,</w:t>
            </w:r>
            <w:r w:rsidR="009912F8" w:rsidRPr="00E07C9A">
              <w:rPr>
                <w:rFonts w:ascii="Times New Roman" w:hAnsi="Times New Roman"/>
                <w:sz w:val="24"/>
              </w:rPr>
              <w:t xml:space="preserve"> a </w:t>
            </w:r>
            <w:r w:rsidRPr="00E07C9A">
              <w:rPr>
                <w:rFonts w:ascii="Times New Roman" w:hAnsi="Times New Roman"/>
                <w:sz w:val="24"/>
              </w:rPr>
              <w:t>keď je reálna hodnota derivátu pre inštitúciu</w:t>
            </w:r>
            <w:r w:rsidR="009912F8" w:rsidRPr="00E07C9A">
              <w:rPr>
                <w:rFonts w:ascii="Times New Roman" w:hAnsi="Times New Roman"/>
                <w:sz w:val="24"/>
              </w:rPr>
              <w:t xml:space="preserve"> k </w:t>
            </w:r>
            <w:r w:rsidRPr="00E07C9A">
              <w:rPr>
                <w:rFonts w:ascii="Times New Roman" w:hAnsi="Times New Roman"/>
                <w:sz w:val="24"/>
              </w:rPr>
              <w:t>referenčnému dátumu záporná.</w:t>
            </w:r>
          </w:p>
          <w:p w14:paraId="4A0DA90E" w14:textId="77777777" w:rsidR="00FD54FC" w:rsidRPr="00E07C9A" w:rsidRDefault="00FD54FC" w:rsidP="00FD54FC">
            <w:pPr>
              <w:spacing w:before="0" w:after="0"/>
              <w:ind w:left="33"/>
              <w:rPr>
                <w:rFonts w:ascii="Times New Roman" w:hAnsi="Times New Roman"/>
                <w:b/>
                <w:bCs/>
                <w:sz w:val="24"/>
                <w:u w:val="single"/>
                <w:lang w:eastAsia="de-DE"/>
              </w:rPr>
            </w:pPr>
          </w:p>
        </w:tc>
      </w:tr>
      <w:tr w:rsidR="00FD54FC" w:rsidRPr="00E07C9A" w14:paraId="465D6B24" w14:textId="77777777" w:rsidTr="00672D2A">
        <w:tc>
          <w:tcPr>
            <w:tcW w:w="1188" w:type="dxa"/>
          </w:tcPr>
          <w:p w14:paraId="7964F818" w14:textId="77777777" w:rsidR="00FD54FC" w:rsidRPr="00E07C9A" w:rsidRDefault="00535792" w:rsidP="00B74792">
            <w:pPr>
              <w:spacing w:before="0" w:after="0"/>
              <w:ind w:left="33"/>
              <w:rPr>
                <w:rFonts w:ascii="Times New Roman" w:hAnsi="Times New Roman"/>
                <w:bCs/>
                <w:sz w:val="24"/>
              </w:rPr>
            </w:pPr>
            <w:r w:rsidRPr="00E07C9A">
              <w:rPr>
                <w:rFonts w:ascii="Times New Roman" w:hAnsi="Times New Roman"/>
                <w:sz w:val="24"/>
              </w:rPr>
              <w:t>0240 – 0260</w:t>
            </w:r>
          </w:p>
        </w:tc>
        <w:tc>
          <w:tcPr>
            <w:tcW w:w="8640" w:type="dxa"/>
          </w:tcPr>
          <w:p w14:paraId="318E97AC" w14:textId="77777777" w:rsidR="00FD54FC" w:rsidRPr="00E07C9A" w:rsidRDefault="00FD54FC" w:rsidP="00FD54FC">
            <w:pPr>
              <w:spacing w:before="0" w:after="0"/>
              <w:ind w:left="33"/>
              <w:rPr>
                <w:rFonts w:ascii="Times New Roman" w:hAnsi="Times New Roman"/>
                <w:b/>
                <w:bCs/>
                <w:sz w:val="24"/>
                <w:u w:val="single"/>
              </w:rPr>
            </w:pPr>
            <w:r w:rsidRPr="00E07C9A">
              <w:rPr>
                <w:rFonts w:ascii="Times New Roman" w:hAnsi="Times New Roman"/>
                <w:b/>
                <w:sz w:val="24"/>
                <w:u w:val="single"/>
              </w:rPr>
              <w:t>PODSÚVAHOVÉ EXPOZÍCIE</w:t>
            </w:r>
          </w:p>
        </w:tc>
      </w:tr>
      <w:tr w:rsidR="00FD54FC" w:rsidRPr="00E07C9A" w14:paraId="5EF21141" w14:textId="77777777" w:rsidTr="00672D2A">
        <w:tc>
          <w:tcPr>
            <w:tcW w:w="1188" w:type="dxa"/>
          </w:tcPr>
          <w:p w14:paraId="08E40CC3" w14:textId="77777777" w:rsidR="00FD54FC" w:rsidRPr="00E07C9A" w:rsidRDefault="00535792" w:rsidP="00FD54FC">
            <w:pPr>
              <w:spacing w:before="0" w:after="0"/>
              <w:ind w:left="33"/>
              <w:rPr>
                <w:rFonts w:ascii="Times New Roman" w:hAnsi="Times New Roman"/>
                <w:bCs/>
                <w:sz w:val="24"/>
              </w:rPr>
            </w:pPr>
            <w:r w:rsidRPr="00E07C9A">
              <w:rPr>
                <w:rFonts w:ascii="Times New Roman" w:hAnsi="Times New Roman"/>
                <w:sz w:val="24"/>
              </w:rPr>
              <w:t>0240</w:t>
            </w:r>
          </w:p>
        </w:tc>
        <w:tc>
          <w:tcPr>
            <w:tcW w:w="8640" w:type="dxa"/>
          </w:tcPr>
          <w:p w14:paraId="2FCA4FA9" w14:textId="77777777" w:rsidR="00FD54FC" w:rsidRPr="00E07C9A" w:rsidRDefault="00FD54FC" w:rsidP="00FD54FC">
            <w:pPr>
              <w:spacing w:before="0" w:after="0"/>
              <w:ind w:left="33"/>
              <w:rPr>
                <w:rFonts w:ascii="Times New Roman" w:hAnsi="Times New Roman"/>
                <w:b/>
                <w:bCs/>
                <w:sz w:val="24"/>
                <w:u w:val="single"/>
              </w:rPr>
            </w:pPr>
            <w:r w:rsidRPr="00E07C9A">
              <w:rPr>
                <w:rFonts w:ascii="Times New Roman" w:hAnsi="Times New Roman"/>
                <w:b/>
                <w:sz w:val="24"/>
                <w:u w:val="single"/>
              </w:rPr>
              <w:t>Nominálna hodnota</w:t>
            </w:r>
          </w:p>
          <w:p w14:paraId="7F5ED06C" w14:textId="77777777" w:rsidR="00FD54FC" w:rsidRPr="00E07C9A" w:rsidRDefault="00FD54FC" w:rsidP="00FD54FC">
            <w:pPr>
              <w:spacing w:before="0" w:after="0"/>
              <w:ind w:left="33"/>
              <w:rPr>
                <w:rFonts w:ascii="Times New Roman" w:hAnsi="Times New Roman"/>
                <w:bCs/>
                <w:sz w:val="24"/>
                <w:lang w:eastAsia="de-DE"/>
              </w:rPr>
            </w:pPr>
          </w:p>
          <w:p w14:paraId="736EAAC1" w14:textId="66F3F9E1" w:rsidR="00FD54FC" w:rsidRPr="00E07C9A" w:rsidRDefault="00FD54FC" w:rsidP="00FD54FC">
            <w:pPr>
              <w:spacing w:before="0" w:after="0"/>
              <w:ind w:left="33"/>
              <w:rPr>
                <w:rFonts w:ascii="Times New Roman" w:hAnsi="Times New Roman"/>
                <w:bCs/>
                <w:sz w:val="24"/>
              </w:rPr>
            </w:pPr>
            <w:r w:rsidRPr="00E07C9A">
              <w:rPr>
                <w:rFonts w:ascii="Times New Roman" w:hAnsi="Times New Roman"/>
                <w:sz w:val="24"/>
              </w:rPr>
              <w:t>Keď je priamou protistranou podsúvahovej položky orgán verejnej správy, ako sa vymedzuje</w:t>
            </w:r>
            <w:r w:rsidR="009912F8" w:rsidRPr="00E07C9A">
              <w:rPr>
                <w:rFonts w:ascii="Times New Roman" w:hAnsi="Times New Roman"/>
                <w:sz w:val="24"/>
              </w:rPr>
              <w:t xml:space="preserve"> v </w:t>
            </w:r>
            <w:r w:rsidRPr="00E07C9A">
              <w:rPr>
                <w:rFonts w:ascii="Times New Roman" w:hAnsi="Times New Roman"/>
                <w:sz w:val="24"/>
              </w:rPr>
              <w:t>odsekoch 155 až 160 tejto prílohy, nominálna hodnota prísľubov</w:t>
            </w:r>
            <w:r w:rsidR="009912F8" w:rsidRPr="00E07C9A">
              <w:rPr>
                <w:rFonts w:ascii="Times New Roman" w:hAnsi="Times New Roman"/>
                <w:sz w:val="24"/>
              </w:rPr>
              <w:t xml:space="preserve"> a </w:t>
            </w:r>
            <w:r w:rsidRPr="00E07C9A">
              <w:rPr>
                <w:rFonts w:ascii="Times New Roman" w:hAnsi="Times New Roman"/>
                <w:sz w:val="24"/>
              </w:rPr>
              <w:t>finančných záruk, ktoré sa nepovažujú za derivát</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IFRS alebo podľa národných GAAP na základe smernice Rady 86/635/EHS (časť 2 ods. 102 až 119 prílohy</w:t>
            </w:r>
            <w:r w:rsidR="009912F8" w:rsidRPr="00E07C9A">
              <w:rPr>
                <w:rFonts w:ascii="Times New Roman" w:hAnsi="Times New Roman"/>
                <w:sz w:val="24"/>
              </w:rPr>
              <w:t xml:space="preserve"> V k </w:t>
            </w:r>
            <w:r w:rsidRPr="00E07C9A">
              <w:rPr>
                <w:rFonts w:ascii="Times New Roman" w:hAnsi="Times New Roman"/>
                <w:sz w:val="24"/>
              </w:rPr>
              <w:t>tomuto vykonávaciemu nariadeniu).</w:t>
            </w:r>
          </w:p>
          <w:p w14:paraId="7799A120" w14:textId="77777777" w:rsidR="00FD54FC" w:rsidRPr="00E07C9A" w:rsidRDefault="00FD54FC" w:rsidP="00FD54FC">
            <w:pPr>
              <w:spacing w:before="0" w:after="0"/>
              <w:ind w:left="33"/>
              <w:rPr>
                <w:rFonts w:ascii="Times New Roman" w:hAnsi="Times New Roman"/>
                <w:bCs/>
                <w:sz w:val="24"/>
                <w:lang w:eastAsia="de-DE"/>
              </w:rPr>
            </w:pPr>
          </w:p>
          <w:p w14:paraId="50F99B96" w14:textId="0E9770AD" w:rsidR="009912F8" w:rsidRPr="00E07C9A" w:rsidRDefault="00FD54FC" w:rsidP="00FD54FC">
            <w:pPr>
              <w:spacing w:before="0" w:after="0"/>
              <w:ind w:left="33"/>
              <w:rPr>
                <w:rFonts w:ascii="Times New Roman" w:hAnsi="Times New Roman"/>
                <w:sz w:val="24"/>
              </w:rPr>
            </w:pPr>
            <w:r w:rsidRPr="00E07C9A">
              <w:rPr>
                <w:rFonts w:ascii="Times New Roman" w:hAnsi="Times New Roman"/>
                <w:sz w:val="24"/>
              </w:rPr>
              <w:t>V súlade</w:t>
            </w:r>
            <w:r w:rsidR="009912F8" w:rsidRPr="00E07C9A">
              <w:rPr>
                <w:rFonts w:ascii="Times New Roman" w:hAnsi="Times New Roman"/>
                <w:sz w:val="24"/>
              </w:rPr>
              <w:t xml:space="preserve"> s </w:t>
            </w:r>
            <w:r w:rsidRPr="00E07C9A">
              <w:rPr>
                <w:rFonts w:ascii="Times New Roman" w:hAnsi="Times New Roman"/>
                <w:sz w:val="24"/>
              </w:rPr>
              <w:t>časťou 2 ods. 43</w:t>
            </w:r>
            <w:r w:rsidR="009912F8" w:rsidRPr="00E07C9A">
              <w:rPr>
                <w:rFonts w:ascii="Times New Roman" w:hAnsi="Times New Roman"/>
                <w:sz w:val="24"/>
              </w:rPr>
              <w:t xml:space="preserve"> a </w:t>
            </w:r>
            <w:r w:rsidRPr="00E07C9A">
              <w:rPr>
                <w:rFonts w:ascii="Times New Roman" w:hAnsi="Times New Roman"/>
                <w:sz w:val="24"/>
              </w:rPr>
              <w:t>44 prílohy</w:t>
            </w:r>
            <w:r w:rsidR="009912F8" w:rsidRPr="00E07C9A">
              <w:rPr>
                <w:rFonts w:ascii="Times New Roman" w:hAnsi="Times New Roman"/>
                <w:sz w:val="24"/>
              </w:rPr>
              <w:t xml:space="preserve"> V k </w:t>
            </w:r>
            <w:r w:rsidRPr="00E07C9A">
              <w:rPr>
                <w:rFonts w:ascii="Times New Roman" w:hAnsi="Times New Roman"/>
                <w:sz w:val="24"/>
              </w:rPr>
              <w:t>tomuto vykonávaciemu nariadeniu je orgán verejnej správy priamou protistranou: a)</w:t>
            </w:r>
            <w:r w:rsidR="009912F8" w:rsidRPr="00E07C9A">
              <w:rPr>
                <w:rFonts w:ascii="Times New Roman" w:hAnsi="Times New Roman"/>
                <w:sz w:val="24"/>
              </w:rPr>
              <w:t xml:space="preserve"> v </w:t>
            </w:r>
            <w:r w:rsidRPr="00E07C9A">
              <w:rPr>
                <w:rFonts w:ascii="Times New Roman" w:hAnsi="Times New Roman"/>
                <w:sz w:val="24"/>
              </w:rPr>
              <w:t>poskytnutej finančnej záruke, keď je priamou protistranou zaručeného dlhového nástroja</w:t>
            </w:r>
            <w:r w:rsidR="009912F8" w:rsidRPr="00E07C9A">
              <w:rPr>
                <w:rFonts w:ascii="Times New Roman" w:hAnsi="Times New Roman"/>
                <w:sz w:val="24"/>
              </w:rPr>
              <w:t xml:space="preserve"> a </w:t>
            </w:r>
            <w:r w:rsidRPr="00E07C9A">
              <w:rPr>
                <w:rFonts w:ascii="Times New Roman" w:hAnsi="Times New Roman"/>
                <w:sz w:val="24"/>
              </w:rPr>
              <w:t>b)</w:t>
            </w:r>
            <w:r w:rsidR="009912F8" w:rsidRPr="00E07C9A">
              <w:rPr>
                <w:rFonts w:ascii="Times New Roman" w:hAnsi="Times New Roman"/>
                <w:sz w:val="24"/>
              </w:rPr>
              <w:t xml:space="preserve"> v </w:t>
            </w:r>
            <w:r w:rsidRPr="00E07C9A">
              <w:rPr>
                <w:rFonts w:ascii="Times New Roman" w:hAnsi="Times New Roman"/>
                <w:sz w:val="24"/>
              </w:rPr>
              <w:t>úverovom prísľube</w:t>
            </w:r>
            <w:r w:rsidR="009912F8" w:rsidRPr="00E07C9A">
              <w:rPr>
                <w:rFonts w:ascii="Times New Roman" w:hAnsi="Times New Roman"/>
                <w:sz w:val="24"/>
              </w:rPr>
              <w:t xml:space="preserve"> a </w:t>
            </w:r>
            <w:r w:rsidRPr="00E07C9A">
              <w:rPr>
                <w:rFonts w:ascii="Times New Roman" w:hAnsi="Times New Roman"/>
                <w:sz w:val="24"/>
              </w:rPr>
              <w:t>inom poskytnutom prísľube, keď je protistranou, ktorej kreditné riziko na seba preberá vykazujúca inštitúcia</w:t>
            </w:r>
            <w:r w:rsidR="009912F8" w:rsidRPr="00E07C9A">
              <w:rPr>
                <w:rFonts w:ascii="Times New Roman" w:hAnsi="Times New Roman"/>
                <w:sz w:val="24"/>
              </w:rPr>
              <w:t>.</w:t>
            </w:r>
          </w:p>
          <w:p w14:paraId="06394AAA" w14:textId="4ADB0FCA" w:rsidR="00FD54FC" w:rsidRPr="00E07C9A" w:rsidRDefault="00FD54FC" w:rsidP="00FD54FC">
            <w:pPr>
              <w:spacing w:before="0" w:after="0"/>
              <w:ind w:left="33"/>
              <w:rPr>
                <w:rFonts w:ascii="Times New Roman" w:hAnsi="Times New Roman"/>
                <w:bCs/>
                <w:sz w:val="24"/>
                <w:lang w:eastAsia="de-DE"/>
              </w:rPr>
            </w:pPr>
          </w:p>
        </w:tc>
      </w:tr>
      <w:tr w:rsidR="00FD54FC" w:rsidRPr="00E07C9A" w14:paraId="2471A15C" w14:textId="77777777" w:rsidTr="00672D2A">
        <w:tc>
          <w:tcPr>
            <w:tcW w:w="1188" w:type="dxa"/>
          </w:tcPr>
          <w:p w14:paraId="078CDEFB" w14:textId="77777777" w:rsidR="00FD54FC" w:rsidRPr="00E07C9A" w:rsidRDefault="00535792" w:rsidP="00FD54FC">
            <w:pPr>
              <w:spacing w:before="0" w:after="0"/>
              <w:ind w:left="33"/>
              <w:rPr>
                <w:rFonts w:ascii="Times New Roman" w:hAnsi="Times New Roman"/>
                <w:bCs/>
                <w:sz w:val="24"/>
              </w:rPr>
            </w:pPr>
            <w:r w:rsidRPr="00E07C9A">
              <w:rPr>
                <w:rFonts w:ascii="Times New Roman" w:hAnsi="Times New Roman"/>
                <w:sz w:val="24"/>
              </w:rPr>
              <w:t>0250</w:t>
            </w:r>
          </w:p>
        </w:tc>
        <w:tc>
          <w:tcPr>
            <w:tcW w:w="8640" w:type="dxa"/>
          </w:tcPr>
          <w:p w14:paraId="4252FA08" w14:textId="77777777" w:rsidR="00FD54FC" w:rsidRPr="00E07C9A" w:rsidRDefault="00FD54FC" w:rsidP="00FD54FC">
            <w:pPr>
              <w:spacing w:before="0" w:after="0"/>
              <w:ind w:left="33"/>
              <w:rPr>
                <w:rFonts w:ascii="Times New Roman" w:hAnsi="Times New Roman"/>
                <w:b/>
                <w:bCs/>
                <w:sz w:val="24"/>
                <w:u w:val="single"/>
              </w:rPr>
            </w:pPr>
            <w:r w:rsidRPr="00E07C9A">
              <w:rPr>
                <w:rFonts w:ascii="Times New Roman" w:hAnsi="Times New Roman"/>
                <w:b/>
                <w:sz w:val="24"/>
                <w:u w:val="single"/>
              </w:rPr>
              <w:t>Rezervy</w:t>
            </w:r>
          </w:p>
          <w:p w14:paraId="044EDD40" w14:textId="77777777" w:rsidR="00FD54FC" w:rsidRPr="00E07C9A" w:rsidRDefault="00FD54FC" w:rsidP="00FD54FC">
            <w:pPr>
              <w:spacing w:before="0" w:after="0"/>
              <w:ind w:left="33"/>
              <w:rPr>
                <w:rFonts w:ascii="Times New Roman" w:hAnsi="Times New Roman"/>
                <w:bCs/>
                <w:sz w:val="24"/>
                <w:lang w:eastAsia="de-DE"/>
              </w:rPr>
            </w:pPr>
          </w:p>
          <w:p w14:paraId="608A99A5" w14:textId="2427693E" w:rsidR="00FD54FC" w:rsidRPr="00E07C9A" w:rsidRDefault="002F78EA" w:rsidP="00FD54FC">
            <w:pPr>
              <w:spacing w:before="0" w:after="0"/>
              <w:ind w:left="33"/>
              <w:rPr>
                <w:rFonts w:ascii="Times New Roman" w:hAnsi="Times New Roman"/>
                <w:bCs/>
                <w:sz w:val="24"/>
              </w:rPr>
            </w:pPr>
            <w:r w:rsidRPr="00E07C9A">
              <w:rPr>
                <w:rFonts w:ascii="Times New Roman" w:hAnsi="Times New Roman"/>
                <w:sz w:val="24"/>
              </w:rPr>
              <w:t>Článok 4 „Pasíva“, bod 6 písm. c)</w:t>
            </w:r>
            <w:r w:rsidR="009912F8" w:rsidRPr="00E07C9A">
              <w:rPr>
                <w:rFonts w:ascii="Times New Roman" w:hAnsi="Times New Roman"/>
                <w:sz w:val="24"/>
              </w:rPr>
              <w:t xml:space="preserve"> a </w:t>
            </w:r>
            <w:r w:rsidRPr="00E07C9A">
              <w:rPr>
                <w:rFonts w:ascii="Times New Roman" w:hAnsi="Times New Roman"/>
                <w:sz w:val="24"/>
              </w:rPr>
              <w:t>článok 4 „Položky mimo súvahu“, článok 27 bod 11, článok 28 bod 8</w:t>
            </w:r>
            <w:r w:rsidR="009912F8" w:rsidRPr="00E07C9A">
              <w:rPr>
                <w:rFonts w:ascii="Times New Roman" w:hAnsi="Times New Roman"/>
                <w:sz w:val="24"/>
              </w:rPr>
              <w:t xml:space="preserve"> a </w:t>
            </w:r>
            <w:r w:rsidRPr="00E07C9A">
              <w:rPr>
                <w:rFonts w:ascii="Times New Roman" w:hAnsi="Times New Roman"/>
                <w:sz w:val="24"/>
              </w:rPr>
              <w:t>článok 33 smernice Rady 86/635/EHS; IFRS 9 ods. 4.2.1 písm. c) bod ii), IFRS 9 ods. 4.2.1 písm. d) bod ii), IFRS 9 ods. 5.5.20; IAS 37; IFRS 4; časť 2.11 prílohy</w:t>
            </w:r>
            <w:r w:rsidR="009912F8" w:rsidRPr="00E07C9A">
              <w:rPr>
                <w:rFonts w:ascii="Times New Roman" w:hAnsi="Times New Roman"/>
                <w:sz w:val="24"/>
              </w:rPr>
              <w:t xml:space="preserve"> V k </w:t>
            </w:r>
            <w:r w:rsidRPr="00E07C9A">
              <w:rPr>
                <w:rFonts w:ascii="Times New Roman" w:hAnsi="Times New Roman"/>
                <w:sz w:val="24"/>
              </w:rPr>
              <w:t>tomuto vykonávaciemu nariadeniu</w:t>
            </w:r>
          </w:p>
          <w:p w14:paraId="40352E07" w14:textId="77777777" w:rsidR="00FD54FC" w:rsidRPr="00E07C9A" w:rsidRDefault="00FD54FC" w:rsidP="00FD54FC">
            <w:pPr>
              <w:spacing w:before="0" w:after="0"/>
              <w:ind w:left="33"/>
              <w:rPr>
                <w:rFonts w:ascii="Times New Roman" w:hAnsi="Times New Roman"/>
                <w:bCs/>
                <w:sz w:val="24"/>
                <w:lang w:eastAsia="de-DE"/>
              </w:rPr>
            </w:pPr>
          </w:p>
          <w:p w14:paraId="53338946" w14:textId="7C1C1A7B" w:rsidR="00FD54FC" w:rsidRPr="00E07C9A" w:rsidRDefault="00FD54FC" w:rsidP="00FD54FC">
            <w:pPr>
              <w:spacing w:before="0" w:after="0"/>
              <w:ind w:left="33"/>
              <w:rPr>
                <w:rFonts w:ascii="Times New Roman" w:hAnsi="Times New Roman"/>
                <w:bCs/>
                <w:sz w:val="24"/>
              </w:rPr>
            </w:pPr>
            <w:r w:rsidRPr="00E07C9A">
              <w:rPr>
                <w:rFonts w:ascii="Times New Roman" w:hAnsi="Times New Roman"/>
                <w:sz w:val="24"/>
              </w:rPr>
              <w:t>Ustanovenia pre všetky podsúvahové expozície bez ohľadu na to, akým spôsobom sa oceňujú, okrem tých, ktoré sa oceňujú reálnou hodnotou cez výsledok hospodárenia</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IFRS 9.</w:t>
            </w:r>
          </w:p>
          <w:p w14:paraId="7B262E40" w14:textId="77777777" w:rsidR="00FD54FC" w:rsidRPr="00E07C9A" w:rsidRDefault="00FD54FC" w:rsidP="00FD54FC">
            <w:pPr>
              <w:spacing w:before="0" w:after="0"/>
              <w:ind w:left="33"/>
              <w:rPr>
                <w:rFonts w:ascii="Times New Roman" w:hAnsi="Times New Roman"/>
                <w:bCs/>
                <w:sz w:val="24"/>
                <w:lang w:eastAsia="de-DE"/>
              </w:rPr>
            </w:pPr>
          </w:p>
          <w:p w14:paraId="02C935B4" w14:textId="09EF34C2" w:rsidR="00FD54FC" w:rsidRPr="00E07C9A" w:rsidRDefault="00FD54FC" w:rsidP="00FD54FC">
            <w:pPr>
              <w:spacing w:before="0" w:after="0"/>
              <w:ind w:left="33"/>
              <w:rPr>
                <w:rFonts w:ascii="Times New Roman" w:hAnsi="Times New Roman"/>
                <w:bCs/>
                <w:sz w:val="24"/>
              </w:rPr>
            </w:pPr>
            <w:r w:rsidRPr="00E07C9A">
              <w:rPr>
                <w:rFonts w:ascii="Times New Roman" w:hAnsi="Times New Roman"/>
                <w:sz w:val="24"/>
              </w:rPr>
              <w:t>Podľa IFRS sa znížená hodnota poskytnutého úverového prísľubu vykazuje</w:t>
            </w:r>
            <w:r w:rsidR="009912F8" w:rsidRPr="00E07C9A">
              <w:rPr>
                <w:rFonts w:ascii="Times New Roman" w:hAnsi="Times New Roman"/>
                <w:sz w:val="24"/>
              </w:rPr>
              <w:t xml:space="preserve"> v </w:t>
            </w:r>
            <w:r w:rsidRPr="00E07C9A">
              <w:rPr>
                <w:rFonts w:ascii="Times New Roman" w:hAnsi="Times New Roman"/>
                <w:sz w:val="24"/>
              </w:rPr>
              <w:t>stĺpci 150, keď inštitúcia nedokáže samostatne odlíšiť očakávané kreditné straty spojené</w:t>
            </w:r>
            <w:r w:rsidR="009912F8" w:rsidRPr="00E07C9A">
              <w:rPr>
                <w:rFonts w:ascii="Times New Roman" w:hAnsi="Times New Roman"/>
                <w:sz w:val="24"/>
              </w:rPr>
              <w:t xml:space="preserve"> s </w:t>
            </w:r>
            <w:r w:rsidRPr="00E07C9A">
              <w:rPr>
                <w:rFonts w:ascii="Times New Roman" w:hAnsi="Times New Roman"/>
                <w:sz w:val="24"/>
              </w:rPr>
              <w:t>čerpanými</w:t>
            </w:r>
            <w:r w:rsidR="009912F8" w:rsidRPr="00E07C9A">
              <w:rPr>
                <w:rFonts w:ascii="Times New Roman" w:hAnsi="Times New Roman"/>
                <w:sz w:val="24"/>
              </w:rPr>
              <w:t xml:space="preserve"> a </w:t>
            </w:r>
            <w:r w:rsidRPr="00E07C9A">
              <w:rPr>
                <w:rFonts w:ascii="Times New Roman" w:hAnsi="Times New Roman"/>
                <w:sz w:val="24"/>
              </w:rPr>
              <w:t>nečerpanými sumami dlhového nástroja.</w:t>
            </w:r>
            <w:r w:rsidR="009912F8" w:rsidRPr="00E07C9A">
              <w:rPr>
                <w:rFonts w:ascii="Times New Roman" w:hAnsi="Times New Roman"/>
                <w:sz w:val="24"/>
              </w:rPr>
              <w:t xml:space="preserve"> V </w:t>
            </w:r>
            <w:r w:rsidRPr="00E07C9A">
              <w:rPr>
                <w:rFonts w:ascii="Times New Roman" w:hAnsi="Times New Roman"/>
                <w:sz w:val="24"/>
              </w:rPr>
              <w:t>prípade, že kombinované očakávané kreditné straty pre tento finančný nástroj presiahnu hrubú účtovnú hodnotu úverovej zložky nástroja, zostatok očakávaných kreditných strát sa vykazuje ako rezerva</w:t>
            </w:r>
            <w:r w:rsidR="009912F8" w:rsidRPr="00E07C9A">
              <w:rPr>
                <w:rFonts w:ascii="Times New Roman" w:hAnsi="Times New Roman"/>
                <w:sz w:val="24"/>
              </w:rPr>
              <w:t xml:space="preserve"> v </w:t>
            </w:r>
            <w:r w:rsidRPr="00E07C9A">
              <w:rPr>
                <w:rFonts w:ascii="Times New Roman" w:hAnsi="Times New Roman"/>
                <w:sz w:val="24"/>
              </w:rPr>
              <w:t>stĺpci 0250.</w:t>
            </w:r>
          </w:p>
          <w:p w14:paraId="7C1DF5F5" w14:textId="77777777" w:rsidR="00FD54FC" w:rsidRPr="00E07C9A" w:rsidRDefault="00FD54FC" w:rsidP="00FD54FC">
            <w:pPr>
              <w:spacing w:before="0" w:after="0"/>
              <w:ind w:left="33"/>
              <w:rPr>
                <w:rFonts w:ascii="Times New Roman" w:hAnsi="Times New Roman"/>
                <w:bCs/>
                <w:sz w:val="24"/>
                <w:lang w:eastAsia="de-DE"/>
              </w:rPr>
            </w:pPr>
          </w:p>
        </w:tc>
      </w:tr>
      <w:tr w:rsidR="00FD54FC" w:rsidRPr="00E07C9A" w14:paraId="0AE6FDAB" w14:textId="77777777" w:rsidTr="00672D2A">
        <w:tc>
          <w:tcPr>
            <w:tcW w:w="1188" w:type="dxa"/>
          </w:tcPr>
          <w:p w14:paraId="3647F973" w14:textId="77777777" w:rsidR="00FD54FC" w:rsidRPr="00E07C9A" w:rsidRDefault="00535792" w:rsidP="00FD54FC">
            <w:pPr>
              <w:spacing w:before="0" w:after="0"/>
              <w:ind w:left="33"/>
              <w:rPr>
                <w:rFonts w:ascii="Times New Roman" w:hAnsi="Times New Roman"/>
                <w:bCs/>
                <w:sz w:val="24"/>
              </w:rPr>
            </w:pPr>
            <w:r w:rsidRPr="00E07C9A">
              <w:rPr>
                <w:rFonts w:ascii="Times New Roman" w:hAnsi="Times New Roman"/>
                <w:sz w:val="24"/>
              </w:rPr>
              <w:t>0260</w:t>
            </w:r>
          </w:p>
        </w:tc>
        <w:tc>
          <w:tcPr>
            <w:tcW w:w="8640" w:type="dxa"/>
          </w:tcPr>
          <w:p w14:paraId="19B624FB" w14:textId="77777777" w:rsidR="009912F8" w:rsidRPr="00E07C9A" w:rsidRDefault="00FD54FC" w:rsidP="00FD54FC">
            <w:pPr>
              <w:spacing w:before="0" w:after="0"/>
              <w:ind w:left="33"/>
              <w:rPr>
                <w:rFonts w:ascii="Times New Roman" w:hAnsi="Times New Roman"/>
                <w:b/>
                <w:sz w:val="24"/>
                <w:u w:val="single"/>
              </w:rPr>
            </w:pPr>
            <w:r w:rsidRPr="00E07C9A">
              <w:rPr>
                <w:rFonts w:ascii="Times New Roman" w:hAnsi="Times New Roman"/>
                <w:b/>
                <w:sz w:val="24"/>
                <w:u w:val="single"/>
              </w:rPr>
              <w:t>Akumulované záporné zmeny reálnej hodnoty</w:t>
            </w:r>
            <w:r w:rsidR="009912F8" w:rsidRPr="00E07C9A">
              <w:rPr>
                <w:rFonts w:ascii="Times New Roman" w:hAnsi="Times New Roman"/>
                <w:b/>
                <w:sz w:val="24"/>
                <w:u w:val="single"/>
              </w:rPr>
              <w:t xml:space="preserve"> z </w:t>
            </w:r>
            <w:r w:rsidRPr="00E07C9A">
              <w:rPr>
                <w:rFonts w:ascii="Times New Roman" w:hAnsi="Times New Roman"/>
                <w:b/>
                <w:sz w:val="24"/>
                <w:u w:val="single"/>
              </w:rPr>
              <w:t>dôvodu kreditného rizika</w:t>
            </w:r>
          </w:p>
          <w:p w14:paraId="72CA151D" w14:textId="0DD75A76" w:rsidR="00FD54FC" w:rsidRPr="00E07C9A" w:rsidRDefault="00FD54FC" w:rsidP="00FD54FC">
            <w:pPr>
              <w:spacing w:before="0" w:after="0"/>
              <w:ind w:left="33"/>
              <w:rPr>
                <w:rFonts w:ascii="Times New Roman" w:hAnsi="Times New Roman"/>
                <w:b/>
                <w:bCs/>
                <w:sz w:val="24"/>
                <w:u w:val="single"/>
                <w:lang w:eastAsia="de-DE"/>
              </w:rPr>
            </w:pPr>
          </w:p>
          <w:p w14:paraId="4D98EBE1" w14:textId="658A6CF1" w:rsidR="00FD54FC" w:rsidRPr="00E07C9A" w:rsidRDefault="00FD54FC" w:rsidP="00FD54FC">
            <w:pPr>
              <w:spacing w:before="0" w:after="0"/>
              <w:ind w:left="33"/>
              <w:rPr>
                <w:rFonts w:ascii="Times New Roman" w:hAnsi="Times New Roman"/>
                <w:bCs/>
                <w:sz w:val="24"/>
              </w:rPr>
            </w:pPr>
            <w:r w:rsidRPr="00E07C9A">
              <w:rPr>
                <w:rFonts w:ascii="Times New Roman" w:hAnsi="Times New Roman"/>
                <w:sz w:val="24"/>
              </w:rPr>
              <w:t>Akumulované záporné zmeny reálnej hodnoty</w:t>
            </w:r>
            <w:r w:rsidR="009912F8" w:rsidRPr="00E07C9A">
              <w:rPr>
                <w:rFonts w:ascii="Times New Roman" w:hAnsi="Times New Roman"/>
                <w:sz w:val="24"/>
              </w:rPr>
              <w:t xml:space="preserve"> z </w:t>
            </w:r>
            <w:r w:rsidRPr="00E07C9A">
              <w:rPr>
                <w:rFonts w:ascii="Times New Roman" w:hAnsi="Times New Roman"/>
                <w:sz w:val="24"/>
              </w:rPr>
              <w:t>dôvodu kreditného rizika (časť 2 ods. 110 prílohy</w:t>
            </w:r>
            <w:r w:rsidR="009912F8" w:rsidRPr="00E07C9A">
              <w:rPr>
                <w:rFonts w:ascii="Times New Roman" w:hAnsi="Times New Roman"/>
                <w:sz w:val="24"/>
              </w:rPr>
              <w:t xml:space="preserve"> V k </w:t>
            </w:r>
            <w:r w:rsidRPr="00E07C9A">
              <w:rPr>
                <w:rFonts w:ascii="Times New Roman" w:hAnsi="Times New Roman"/>
                <w:sz w:val="24"/>
              </w:rPr>
              <w:t>tomuto vykonávaciemu nariadeniu) pre podsúvahové položky oceňované reálnou hodnotou cez výsledok hospodárenia podľa IFRS 9.</w:t>
            </w:r>
          </w:p>
          <w:p w14:paraId="7E9DE855" w14:textId="77777777" w:rsidR="00FD54FC" w:rsidRPr="00E07C9A" w:rsidRDefault="00730040" w:rsidP="00FD54FC">
            <w:pPr>
              <w:spacing w:before="0" w:after="0"/>
              <w:ind w:left="33"/>
              <w:rPr>
                <w:rFonts w:ascii="Times New Roman" w:hAnsi="Times New Roman"/>
                <w:b/>
                <w:bCs/>
                <w:sz w:val="24"/>
                <w:u w:val="single"/>
              </w:rPr>
            </w:pPr>
            <w:r w:rsidRPr="00E07C9A">
              <w:rPr>
                <w:rFonts w:ascii="Times New Roman" w:hAnsi="Times New Roman"/>
                <w:sz w:val="24"/>
                <w:u w:val="single"/>
              </w:rPr>
              <w:t xml:space="preserve"> </w:t>
            </w:r>
          </w:p>
        </w:tc>
      </w:tr>
      <w:tr w:rsidR="00FD54FC" w:rsidRPr="00E07C9A" w14:paraId="10CF4F1A"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5A9E351A" w14:textId="77777777" w:rsidR="00FD54FC" w:rsidRPr="00E07C9A" w:rsidDel="008D1680" w:rsidRDefault="00535792" w:rsidP="00B74792">
            <w:pPr>
              <w:spacing w:before="0" w:after="0"/>
              <w:ind w:left="33"/>
              <w:rPr>
                <w:rFonts w:ascii="Times New Roman" w:hAnsi="Times New Roman"/>
                <w:bCs/>
                <w:sz w:val="24"/>
              </w:rPr>
            </w:pPr>
            <w:r w:rsidRPr="00E07C9A">
              <w:rPr>
                <w:rFonts w:ascii="Times New Roman" w:hAnsi="Times New Roman"/>
                <w:sz w:val="24"/>
              </w:rPr>
              <w:t>0270 – 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02681831" w14:textId="77777777" w:rsidR="00FD54FC" w:rsidRPr="00E07C9A" w:rsidRDefault="00FD54FC" w:rsidP="00FD54FC">
            <w:pPr>
              <w:spacing w:before="0" w:after="0"/>
              <w:ind w:left="33"/>
              <w:rPr>
                <w:rFonts w:ascii="Times New Roman" w:hAnsi="Times New Roman"/>
                <w:b/>
                <w:bCs/>
                <w:sz w:val="24"/>
                <w:u w:val="single"/>
              </w:rPr>
            </w:pPr>
            <w:r w:rsidRPr="00E07C9A">
              <w:rPr>
                <w:rFonts w:ascii="Times New Roman" w:hAnsi="Times New Roman"/>
                <w:b/>
                <w:sz w:val="24"/>
                <w:u w:val="single"/>
              </w:rPr>
              <w:t>Doplňujúca položka: predané kreditné deriváty na expozície voči orgánom verejnej správy</w:t>
            </w:r>
          </w:p>
          <w:p w14:paraId="6E74B8EF" w14:textId="77777777" w:rsidR="00FD54FC" w:rsidRPr="00E07C9A" w:rsidRDefault="00FD54FC" w:rsidP="00FD54FC">
            <w:pPr>
              <w:spacing w:before="0" w:after="0"/>
              <w:ind w:left="33"/>
              <w:rPr>
                <w:rFonts w:ascii="Times New Roman" w:hAnsi="Times New Roman"/>
                <w:b/>
                <w:bCs/>
                <w:sz w:val="24"/>
                <w:u w:val="single"/>
                <w:lang w:eastAsia="de-DE"/>
              </w:rPr>
            </w:pPr>
          </w:p>
          <w:p w14:paraId="0EE79E51" w14:textId="615F29D3" w:rsidR="00FD54FC" w:rsidRPr="00E07C9A" w:rsidRDefault="00FD54FC" w:rsidP="00FD54FC">
            <w:pPr>
              <w:spacing w:before="0" w:after="0"/>
              <w:ind w:left="33"/>
              <w:rPr>
                <w:rFonts w:ascii="Times New Roman" w:hAnsi="Times New Roman"/>
                <w:bCs/>
                <w:sz w:val="24"/>
              </w:rPr>
            </w:pPr>
            <w:r w:rsidRPr="00E07C9A">
              <w:rPr>
                <w:rFonts w:ascii="Times New Roman" w:hAnsi="Times New Roman"/>
                <w:sz w:val="24"/>
              </w:rPr>
              <w:t>Vykazujú sa kreditné deriváty, ktoré nie sú</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vymedzením finančných záruk uvedeným</w:t>
            </w:r>
            <w:r w:rsidR="009912F8" w:rsidRPr="00E07C9A">
              <w:rPr>
                <w:rFonts w:ascii="Times New Roman" w:hAnsi="Times New Roman"/>
                <w:sz w:val="24"/>
              </w:rPr>
              <w:t xml:space="preserve"> v </w:t>
            </w:r>
            <w:r w:rsidRPr="00E07C9A">
              <w:rPr>
                <w:rFonts w:ascii="Times New Roman" w:hAnsi="Times New Roman"/>
                <w:sz w:val="24"/>
              </w:rPr>
              <w:t>časti 2 ods. 58 prílohy V, ktoré vykazujúca inštitúcia uzatvorila</w:t>
            </w:r>
            <w:r w:rsidR="009912F8" w:rsidRPr="00E07C9A">
              <w:rPr>
                <w:rFonts w:ascii="Times New Roman" w:hAnsi="Times New Roman"/>
                <w:sz w:val="24"/>
              </w:rPr>
              <w:t xml:space="preserve"> s </w:t>
            </w:r>
            <w:r w:rsidRPr="00E07C9A">
              <w:rPr>
                <w:rFonts w:ascii="Times New Roman" w:hAnsi="Times New Roman"/>
                <w:sz w:val="24"/>
              </w:rPr>
              <w:t>protistranami inými než orgánmi verejnej správy</w:t>
            </w:r>
            <w:r w:rsidR="009912F8" w:rsidRPr="00E07C9A">
              <w:rPr>
                <w:rFonts w:ascii="Times New Roman" w:hAnsi="Times New Roman"/>
                <w:sz w:val="24"/>
              </w:rPr>
              <w:t xml:space="preserve"> a </w:t>
            </w:r>
            <w:r w:rsidRPr="00E07C9A">
              <w:rPr>
                <w:rFonts w:ascii="Times New Roman" w:hAnsi="Times New Roman"/>
                <w:sz w:val="24"/>
              </w:rPr>
              <w:t>ktorých referenčnou expozíciou je orgán verejnej správy.</w:t>
            </w:r>
          </w:p>
          <w:p w14:paraId="66B14CC9" w14:textId="77777777" w:rsidR="00FD54FC" w:rsidRPr="00E07C9A" w:rsidRDefault="00FD54FC" w:rsidP="00FD54FC">
            <w:pPr>
              <w:spacing w:before="0" w:after="0"/>
              <w:ind w:left="33"/>
              <w:rPr>
                <w:rFonts w:ascii="Times New Roman" w:hAnsi="Times New Roman"/>
                <w:bCs/>
                <w:sz w:val="24"/>
                <w:lang w:eastAsia="de-DE"/>
              </w:rPr>
            </w:pPr>
          </w:p>
          <w:p w14:paraId="3ADBA02C" w14:textId="62ED9B98" w:rsidR="00FD54FC" w:rsidRPr="00E07C9A" w:rsidRDefault="00FD54FC" w:rsidP="00FD54FC">
            <w:pPr>
              <w:spacing w:before="0" w:after="0"/>
              <w:ind w:left="33"/>
              <w:rPr>
                <w:rFonts w:ascii="Times New Roman" w:hAnsi="Times New Roman"/>
                <w:bCs/>
                <w:sz w:val="24"/>
              </w:rPr>
            </w:pPr>
            <w:r w:rsidRPr="00E07C9A">
              <w:rPr>
                <w:rFonts w:ascii="Times New Roman" w:hAnsi="Times New Roman"/>
                <w:sz w:val="24"/>
              </w:rPr>
              <w:t>Tieto stĺpce sa nevykazujú pre expozície rozčlenené podľa rizika, regulačného prístupu</w:t>
            </w:r>
            <w:r w:rsidR="009912F8" w:rsidRPr="00E07C9A">
              <w:rPr>
                <w:rFonts w:ascii="Times New Roman" w:hAnsi="Times New Roman"/>
                <w:sz w:val="24"/>
              </w:rPr>
              <w:t xml:space="preserve"> a </w:t>
            </w:r>
            <w:r w:rsidRPr="00E07C9A">
              <w:rPr>
                <w:rFonts w:ascii="Times New Roman" w:hAnsi="Times New Roman"/>
                <w:sz w:val="24"/>
              </w:rPr>
              <w:t>triedy expozícií (riadky 0020 až 0160).</w:t>
            </w:r>
          </w:p>
          <w:p w14:paraId="169C9A12" w14:textId="77777777" w:rsidR="00FD54FC" w:rsidRPr="00E07C9A" w:rsidRDefault="00FD54FC" w:rsidP="00FD54FC">
            <w:pPr>
              <w:spacing w:before="0" w:after="0"/>
              <w:ind w:left="33"/>
              <w:rPr>
                <w:rFonts w:ascii="Times New Roman" w:hAnsi="Times New Roman"/>
                <w:b/>
                <w:bCs/>
                <w:sz w:val="24"/>
                <w:u w:val="single"/>
                <w:lang w:eastAsia="de-DE"/>
              </w:rPr>
            </w:pPr>
          </w:p>
        </w:tc>
      </w:tr>
      <w:tr w:rsidR="00FD54FC" w:rsidRPr="00E07C9A" w14:paraId="0F9438C7"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7C1A5283" w14:textId="77777777" w:rsidR="00FD54FC" w:rsidRPr="00E07C9A" w:rsidDel="008D1680" w:rsidRDefault="00535792" w:rsidP="00FD54FC">
            <w:pPr>
              <w:spacing w:before="0" w:after="0"/>
              <w:ind w:left="33"/>
              <w:rPr>
                <w:rFonts w:ascii="Times New Roman" w:hAnsi="Times New Roman"/>
                <w:bCs/>
                <w:sz w:val="24"/>
              </w:rPr>
            </w:pPr>
            <w:r w:rsidRPr="00E07C9A">
              <w:rPr>
                <w:rFonts w:ascii="Times New Roman" w:hAnsi="Times New Roman"/>
                <w:sz w:val="24"/>
              </w:rPr>
              <w:t>0270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18DC6307" w14:textId="13F71B8B" w:rsidR="00FD54FC" w:rsidRPr="00E07C9A" w:rsidRDefault="00FD54FC" w:rsidP="00FD54FC">
            <w:pPr>
              <w:spacing w:before="0" w:after="0"/>
              <w:ind w:left="33"/>
              <w:rPr>
                <w:rFonts w:ascii="Times New Roman" w:hAnsi="Times New Roman"/>
                <w:b/>
                <w:bCs/>
                <w:sz w:val="24"/>
                <w:u w:val="single"/>
              </w:rPr>
            </w:pPr>
            <w:r w:rsidRPr="00E07C9A">
              <w:rPr>
                <w:rFonts w:ascii="Times New Roman" w:hAnsi="Times New Roman"/>
                <w:b/>
                <w:sz w:val="24"/>
                <w:u w:val="single"/>
              </w:rPr>
              <w:t>Deriváty</w:t>
            </w:r>
            <w:r w:rsidR="009912F8" w:rsidRPr="00E07C9A">
              <w:rPr>
                <w:rFonts w:ascii="Times New Roman" w:hAnsi="Times New Roman"/>
                <w:b/>
                <w:sz w:val="24"/>
                <w:u w:val="single"/>
              </w:rPr>
              <w:t xml:space="preserve"> s </w:t>
            </w:r>
            <w:r w:rsidRPr="00E07C9A">
              <w:rPr>
                <w:rFonts w:ascii="Times New Roman" w:hAnsi="Times New Roman"/>
                <w:b/>
                <w:sz w:val="24"/>
                <w:u w:val="single"/>
              </w:rPr>
              <w:t>kladnou reálnou hodnotou – účtovná hodnota</w:t>
            </w:r>
          </w:p>
          <w:p w14:paraId="59CFCBB3" w14:textId="77777777" w:rsidR="00FD54FC" w:rsidRPr="00E07C9A" w:rsidRDefault="00FD54FC" w:rsidP="00FD54FC">
            <w:pPr>
              <w:spacing w:before="0" w:after="0"/>
              <w:ind w:left="33"/>
              <w:rPr>
                <w:rFonts w:ascii="Times New Roman" w:hAnsi="Times New Roman"/>
                <w:b/>
                <w:bCs/>
                <w:sz w:val="24"/>
                <w:u w:val="single"/>
                <w:lang w:eastAsia="de-DE"/>
              </w:rPr>
            </w:pPr>
          </w:p>
          <w:p w14:paraId="13C668CC" w14:textId="0776F5F2" w:rsidR="00FD54FC" w:rsidRPr="00E07C9A" w:rsidRDefault="00FD54FC" w:rsidP="00FD54FC">
            <w:pPr>
              <w:spacing w:before="0" w:after="0"/>
              <w:ind w:left="33"/>
              <w:rPr>
                <w:rFonts w:ascii="Times New Roman" w:hAnsi="Times New Roman"/>
                <w:bCs/>
                <w:sz w:val="24"/>
              </w:rPr>
            </w:pPr>
            <w:r w:rsidRPr="00E07C9A">
              <w:rPr>
                <w:rFonts w:ascii="Times New Roman" w:hAnsi="Times New Roman"/>
                <w:sz w:val="24"/>
              </w:rPr>
              <w:t>Súhrnná účtovná hodnota predaných kreditných derivátov na expozície voči orgánom verejnej správy, ktoré majú pre inštitúciu</w:t>
            </w:r>
            <w:r w:rsidR="009912F8" w:rsidRPr="00E07C9A">
              <w:rPr>
                <w:rFonts w:ascii="Times New Roman" w:hAnsi="Times New Roman"/>
                <w:sz w:val="24"/>
              </w:rPr>
              <w:t xml:space="preserve"> k </w:t>
            </w:r>
            <w:r w:rsidRPr="00E07C9A">
              <w:rPr>
                <w:rFonts w:ascii="Times New Roman" w:hAnsi="Times New Roman"/>
                <w:sz w:val="24"/>
              </w:rPr>
              <w:t>referenčnému dátumu vykazovania kladnú reálnu hodnotu, bez zohľadnenia obozretných úprav ocenenia.</w:t>
            </w:r>
          </w:p>
          <w:p w14:paraId="3DAF1AA0" w14:textId="77777777" w:rsidR="00FD54FC" w:rsidRPr="00E07C9A" w:rsidRDefault="00FD54FC" w:rsidP="00FD54FC">
            <w:pPr>
              <w:spacing w:before="0" w:after="0"/>
              <w:ind w:left="33"/>
              <w:rPr>
                <w:rFonts w:ascii="Times New Roman" w:hAnsi="Times New Roman"/>
                <w:bCs/>
                <w:sz w:val="24"/>
                <w:lang w:eastAsia="de-DE"/>
              </w:rPr>
            </w:pPr>
          </w:p>
          <w:p w14:paraId="019D2EAA" w14:textId="4D8BE44C" w:rsidR="00FD54FC" w:rsidRPr="00E07C9A" w:rsidRDefault="00FD54FC" w:rsidP="00FD54FC">
            <w:pPr>
              <w:spacing w:before="0" w:after="0"/>
              <w:ind w:left="33"/>
              <w:rPr>
                <w:rFonts w:ascii="Times New Roman" w:hAnsi="Times New Roman"/>
                <w:bCs/>
                <w:sz w:val="24"/>
              </w:rPr>
            </w:pPr>
            <w:r w:rsidRPr="00E07C9A">
              <w:rPr>
                <w:rFonts w:ascii="Times New Roman" w:hAnsi="Times New Roman"/>
                <w:sz w:val="24"/>
              </w:rPr>
              <w:t xml:space="preserve"> Pre deriváty podľa IFRS je sumou, ktorá sa má vykázať</w:t>
            </w:r>
            <w:r w:rsidR="009912F8" w:rsidRPr="00E07C9A">
              <w:rPr>
                <w:rFonts w:ascii="Times New Roman" w:hAnsi="Times New Roman"/>
                <w:sz w:val="24"/>
              </w:rPr>
              <w:t xml:space="preserve"> v </w:t>
            </w:r>
            <w:r w:rsidRPr="00E07C9A">
              <w:rPr>
                <w:rFonts w:ascii="Times New Roman" w:hAnsi="Times New Roman"/>
                <w:sz w:val="24"/>
              </w:rPr>
              <w:t>tomto stĺpci, účtovná hodnota derivátov, ktoré sú</w:t>
            </w:r>
            <w:r w:rsidR="009912F8" w:rsidRPr="00E07C9A">
              <w:rPr>
                <w:rFonts w:ascii="Times New Roman" w:hAnsi="Times New Roman"/>
                <w:sz w:val="24"/>
              </w:rPr>
              <w:t xml:space="preserve"> k </w:t>
            </w:r>
            <w:r w:rsidRPr="00E07C9A">
              <w:rPr>
                <w:rFonts w:ascii="Times New Roman" w:hAnsi="Times New Roman"/>
                <w:sz w:val="24"/>
              </w:rPr>
              <w:t>dátumu vykazovania finančnými aktívami.</w:t>
            </w:r>
          </w:p>
          <w:p w14:paraId="0613EEA0" w14:textId="77777777" w:rsidR="00FD54FC" w:rsidRPr="00E07C9A" w:rsidRDefault="00FD54FC" w:rsidP="00FD54FC">
            <w:pPr>
              <w:spacing w:before="0" w:after="0"/>
              <w:ind w:left="33"/>
              <w:rPr>
                <w:rFonts w:ascii="Times New Roman" w:hAnsi="Times New Roman"/>
                <w:bCs/>
                <w:sz w:val="24"/>
                <w:lang w:eastAsia="de-DE"/>
              </w:rPr>
            </w:pPr>
          </w:p>
          <w:p w14:paraId="45B632D0" w14:textId="5543567F" w:rsidR="00FD54FC" w:rsidRPr="00E07C9A" w:rsidRDefault="00FD54FC" w:rsidP="00FD54FC">
            <w:pPr>
              <w:spacing w:before="0" w:after="0"/>
              <w:ind w:left="33"/>
              <w:rPr>
                <w:rFonts w:ascii="Times New Roman" w:hAnsi="Times New Roman"/>
                <w:bCs/>
                <w:sz w:val="24"/>
              </w:rPr>
            </w:pPr>
            <w:r w:rsidRPr="00E07C9A">
              <w:rPr>
                <w:rFonts w:ascii="Times New Roman" w:hAnsi="Times New Roman"/>
                <w:sz w:val="24"/>
              </w:rPr>
              <w:t>Pre deriváty podľa GAAP na základe smernice Rady 86/635/EHS je sumou, ktorá sa má vykázať</w:t>
            </w:r>
            <w:r w:rsidR="009912F8" w:rsidRPr="00E07C9A">
              <w:rPr>
                <w:rFonts w:ascii="Times New Roman" w:hAnsi="Times New Roman"/>
                <w:sz w:val="24"/>
              </w:rPr>
              <w:t xml:space="preserve"> v </w:t>
            </w:r>
            <w:r w:rsidRPr="00E07C9A">
              <w:rPr>
                <w:rFonts w:ascii="Times New Roman" w:hAnsi="Times New Roman"/>
                <w:sz w:val="24"/>
              </w:rPr>
              <w:t>tomto stĺpci, reálna hodnota derivátov</w:t>
            </w:r>
            <w:r w:rsidR="009912F8" w:rsidRPr="00E07C9A">
              <w:rPr>
                <w:rFonts w:ascii="Times New Roman" w:hAnsi="Times New Roman"/>
                <w:sz w:val="24"/>
              </w:rPr>
              <w:t xml:space="preserve"> s </w:t>
            </w:r>
            <w:r w:rsidRPr="00E07C9A">
              <w:rPr>
                <w:rFonts w:ascii="Times New Roman" w:hAnsi="Times New Roman"/>
                <w:sz w:val="24"/>
              </w:rPr>
              <w:t>kladnou reálnou hodnotou</w:t>
            </w:r>
            <w:r w:rsidR="009912F8" w:rsidRPr="00E07C9A">
              <w:rPr>
                <w:rFonts w:ascii="Times New Roman" w:hAnsi="Times New Roman"/>
                <w:sz w:val="24"/>
              </w:rPr>
              <w:t xml:space="preserve"> k </w:t>
            </w:r>
            <w:r w:rsidRPr="00E07C9A">
              <w:rPr>
                <w:rFonts w:ascii="Times New Roman" w:hAnsi="Times New Roman"/>
                <w:sz w:val="24"/>
              </w:rPr>
              <w:t>referenčnému dátumu vykazovania nezávisle od toho, ako sa zaúčtujú.</w:t>
            </w:r>
          </w:p>
          <w:p w14:paraId="79C82DDC" w14:textId="77777777" w:rsidR="00FD54FC" w:rsidRPr="00E07C9A" w:rsidRDefault="00FD54FC" w:rsidP="00FD54FC">
            <w:pPr>
              <w:spacing w:before="0" w:after="0"/>
              <w:ind w:left="33"/>
              <w:rPr>
                <w:rFonts w:ascii="Times New Roman" w:hAnsi="Times New Roman"/>
                <w:b/>
                <w:bCs/>
                <w:sz w:val="24"/>
                <w:u w:val="single"/>
                <w:lang w:eastAsia="de-DE"/>
              </w:rPr>
            </w:pPr>
          </w:p>
        </w:tc>
      </w:tr>
      <w:tr w:rsidR="00FD54FC" w:rsidRPr="00E07C9A" w14:paraId="18018AEB"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4452D47A" w14:textId="77777777" w:rsidR="00FD54FC" w:rsidRPr="00E07C9A" w:rsidDel="008D1680" w:rsidRDefault="00535792" w:rsidP="00FD54FC">
            <w:pPr>
              <w:spacing w:before="0" w:after="0"/>
              <w:ind w:left="33"/>
              <w:rPr>
                <w:rFonts w:ascii="Times New Roman" w:hAnsi="Times New Roman"/>
                <w:bCs/>
                <w:sz w:val="24"/>
              </w:rPr>
            </w:pPr>
            <w:r w:rsidRPr="00E07C9A">
              <w:rPr>
                <w:rFonts w:ascii="Times New Roman" w:hAnsi="Times New Roman"/>
                <w:sz w:val="24"/>
              </w:rPr>
              <w:t>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38AE3047" w14:textId="77777777" w:rsidR="00FD54FC" w:rsidRPr="00E07C9A" w:rsidRDefault="00FD54FC" w:rsidP="00FD54FC">
            <w:pPr>
              <w:spacing w:before="0" w:after="0"/>
              <w:ind w:left="33"/>
              <w:rPr>
                <w:rFonts w:ascii="Times New Roman" w:hAnsi="Times New Roman"/>
                <w:b/>
                <w:bCs/>
                <w:sz w:val="24"/>
                <w:u w:val="single"/>
              </w:rPr>
            </w:pPr>
            <w:r w:rsidRPr="00E07C9A">
              <w:rPr>
                <w:rFonts w:ascii="Times New Roman" w:hAnsi="Times New Roman"/>
                <w:b/>
                <w:sz w:val="24"/>
                <w:u w:val="single"/>
              </w:rPr>
              <w:t>Deriváty so zápornou reálnou hodnotou – účtovná hodnota</w:t>
            </w:r>
          </w:p>
          <w:p w14:paraId="0D7ED31C" w14:textId="77777777" w:rsidR="00FD54FC" w:rsidRPr="00E07C9A" w:rsidRDefault="00FD54FC" w:rsidP="00FD54FC">
            <w:pPr>
              <w:spacing w:before="0" w:after="0"/>
              <w:ind w:left="33"/>
              <w:rPr>
                <w:rFonts w:ascii="Times New Roman" w:hAnsi="Times New Roman"/>
                <w:b/>
                <w:bCs/>
                <w:sz w:val="24"/>
                <w:u w:val="single"/>
                <w:lang w:eastAsia="de-DE"/>
              </w:rPr>
            </w:pPr>
          </w:p>
          <w:p w14:paraId="55759F4E" w14:textId="3754B3C5" w:rsidR="00FD54FC" w:rsidRPr="00E07C9A" w:rsidRDefault="00FD54FC" w:rsidP="00FD54FC">
            <w:pPr>
              <w:spacing w:before="0" w:after="0"/>
              <w:ind w:left="33"/>
              <w:rPr>
                <w:rFonts w:ascii="Times New Roman" w:hAnsi="Times New Roman"/>
                <w:bCs/>
                <w:sz w:val="24"/>
              </w:rPr>
            </w:pPr>
            <w:r w:rsidRPr="00E07C9A">
              <w:rPr>
                <w:rFonts w:ascii="Times New Roman" w:hAnsi="Times New Roman"/>
                <w:sz w:val="24"/>
              </w:rPr>
              <w:t>Súhrnná účtovná hodnota predaných kreditných derivátov na expozície voči orgánom verejnej správy, ktoré majú pre inštitúciu</w:t>
            </w:r>
            <w:r w:rsidR="009912F8" w:rsidRPr="00E07C9A">
              <w:rPr>
                <w:rFonts w:ascii="Times New Roman" w:hAnsi="Times New Roman"/>
                <w:sz w:val="24"/>
              </w:rPr>
              <w:t xml:space="preserve"> k </w:t>
            </w:r>
            <w:r w:rsidRPr="00E07C9A">
              <w:rPr>
                <w:rFonts w:ascii="Times New Roman" w:hAnsi="Times New Roman"/>
                <w:sz w:val="24"/>
              </w:rPr>
              <w:t>referenčnému dátumu vykazovania zápornú reálnu hodnotu, bez zohľadnenia obozretných úprav ocenenia.</w:t>
            </w:r>
          </w:p>
          <w:p w14:paraId="1C6D4DC7" w14:textId="77777777" w:rsidR="00FD54FC" w:rsidRPr="00E07C9A" w:rsidRDefault="00FD54FC" w:rsidP="00FD54FC">
            <w:pPr>
              <w:spacing w:before="0" w:after="0"/>
              <w:ind w:left="33"/>
              <w:rPr>
                <w:rFonts w:ascii="Times New Roman" w:hAnsi="Times New Roman"/>
                <w:bCs/>
                <w:sz w:val="24"/>
                <w:lang w:eastAsia="de-DE"/>
              </w:rPr>
            </w:pPr>
          </w:p>
          <w:p w14:paraId="38A524F6" w14:textId="04418338" w:rsidR="009912F8" w:rsidRPr="00E07C9A" w:rsidRDefault="00FD54FC" w:rsidP="00FD54FC">
            <w:pPr>
              <w:spacing w:before="0" w:after="0"/>
              <w:ind w:left="33"/>
              <w:rPr>
                <w:rFonts w:ascii="Times New Roman" w:hAnsi="Times New Roman"/>
                <w:sz w:val="24"/>
              </w:rPr>
            </w:pPr>
            <w:r w:rsidRPr="00E07C9A">
              <w:rPr>
                <w:rFonts w:ascii="Times New Roman" w:hAnsi="Times New Roman"/>
                <w:sz w:val="24"/>
              </w:rPr>
              <w:t>Pre deriváty podľa IFRS je sumou, ktorá sa má vykázať</w:t>
            </w:r>
            <w:r w:rsidR="009912F8" w:rsidRPr="00E07C9A">
              <w:rPr>
                <w:rFonts w:ascii="Times New Roman" w:hAnsi="Times New Roman"/>
                <w:sz w:val="24"/>
              </w:rPr>
              <w:t xml:space="preserve"> v </w:t>
            </w:r>
            <w:r w:rsidRPr="00E07C9A">
              <w:rPr>
                <w:rFonts w:ascii="Times New Roman" w:hAnsi="Times New Roman"/>
                <w:sz w:val="24"/>
              </w:rPr>
              <w:t>tomto stĺpci, účtovná hodnota derivátov, ktoré sú</w:t>
            </w:r>
            <w:r w:rsidR="009912F8" w:rsidRPr="00E07C9A">
              <w:rPr>
                <w:rFonts w:ascii="Times New Roman" w:hAnsi="Times New Roman"/>
                <w:sz w:val="24"/>
              </w:rPr>
              <w:t xml:space="preserve"> k </w:t>
            </w:r>
            <w:r w:rsidRPr="00E07C9A">
              <w:rPr>
                <w:rFonts w:ascii="Times New Roman" w:hAnsi="Times New Roman"/>
                <w:sz w:val="24"/>
              </w:rPr>
              <w:t>dátumu vykazovania finančnými záväzkami</w:t>
            </w:r>
            <w:r w:rsidR="009912F8" w:rsidRPr="00E07C9A">
              <w:rPr>
                <w:rFonts w:ascii="Times New Roman" w:hAnsi="Times New Roman"/>
                <w:sz w:val="24"/>
              </w:rPr>
              <w:t>.</w:t>
            </w:r>
          </w:p>
          <w:p w14:paraId="4166AD55" w14:textId="12D2B637" w:rsidR="00FD54FC" w:rsidRPr="00E07C9A" w:rsidRDefault="00FD54FC" w:rsidP="00FD54FC">
            <w:pPr>
              <w:spacing w:before="0" w:after="0"/>
              <w:ind w:left="33"/>
              <w:rPr>
                <w:rFonts w:ascii="Times New Roman" w:hAnsi="Times New Roman"/>
                <w:bCs/>
                <w:sz w:val="24"/>
                <w:lang w:eastAsia="de-DE"/>
              </w:rPr>
            </w:pPr>
          </w:p>
          <w:p w14:paraId="1E12C75C" w14:textId="060D3877" w:rsidR="009912F8" w:rsidRPr="00E07C9A" w:rsidRDefault="00FD54FC" w:rsidP="00FD54FC">
            <w:pPr>
              <w:spacing w:before="0" w:after="0"/>
              <w:ind w:left="33"/>
              <w:rPr>
                <w:rFonts w:ascii="Times New Roman" w:hAnsi="Times New Roman"/>
                <w:sz w:val="24"/>
              </w:rPr>
            </w:pPr>
            <w:r w:rsidRPr="00E07C9A">
              <w:rPr>
                <w:rFonts w:ascii="Times New Roman" w:hAnsi="Times New Roman"/>
                <w:sz w:val="24"/>
              </w:rPr>
              <w:t>Pre deriváty podľa GAAP na základe smernice Rady 86/635/EHS je sumou, ktorá sa má vykázať</w:t>
            </w:r>
            <w:r w:rsidR="009912F8" w:rsidRPr="00E07C9A">
              <w:rPr>
                <w:rFonts w:ascii="Times New Roman" w:hAnsi="Times New Roman"/>
                <w:sz w:val="24"/>
              </w:rPr>
              <w:t xml:space="preserve"> v </w:t>
            </w:r>
            <w:r w:rsidRPr="00E07C9A">
              <w:rPr>
                <w:rFonts w:ascii="Times New Roman" w:hAnsi="Times New Roman"/>
                <w:sz w:val="24"/>
              </w:rPr>
              <w:t>tomto stĺpci, reálna hodnota derivátov so zápornou reálnou hodnotou</w:t>
            </w:r>
            <w:r w:rsidR="009912F8" w:rsidRPr="00E07C9A">
              <w:rPr>
                <w:rFonts w:ascii="Times New Roman" w:hAnsi="Times New Roman"/>
                <w:sz w:val="24"/>
              </w:rPr>
              <w:t xml:space="preserve"> k </w:t>
            </w:r>
            <w:r w:rsidRPr="00E07C9A">
              <w:rPr>
                <w:rFonts w:ascii="Times New Roman" w:hAnsi="Times New Roman"/>
                <w:sz w:val="24"/>
              </w:rPr>
              <w:t>referenčnému dátumu vykazovania nezávisle od toho, ako sa zaúčtujú</w:t>
            </w:r>
            <w:r w:rsidR="009912F8" w:rsidRPr="00E07C9A">
              <w:rPr>
                <w:rFonts w:ascii="Times New Roman" w:hAnsi="Times New Roman"/>
                <w:sz w:val="24"/>
              </w:rPr>
              <w:t>.</w:t>
            </w:r>
          </w:p>
          <w:p w14:paraId="78C42663" w14:textId="3287C80F" w:rsidR="00FD54FC" w:rsidRPr="00E07C9A" w:rsidRDefault="00FD54FC" w:rsidP="00FD54FC">
            <w:pPr>
              <w:spacing w:before="0" w:after="0"/>
              <w:ind w:left="33"/>
              <w:rPr>
                <w:rFonts w:ascii="Times New Roman" w:hAnsi="Times New Roman"/>
                <w:b/>
                <w:bCs/>
                <w:sz w:val="24"/>
                <w:u w:val="single"/>
                <w:lang w:eastAsia="de-DE"/>
              </w:rPr>
            </w:pPr>
          </w:p>
        </w:tc>
      </w:tr>
      <w:tr w:rsidR="00FD54FC" w:rsidRPr="00E07C9A" w14:paraId="0E296733"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0E3B2307" w14:textId="77777777" w:rsidR="00FD54FC" w:rsidRPr="00E07C9A" w:rsidDel="008D1680" w:rsidRDefault="00535792" w:rsidP="00FD54FC">
            <w:pPr>
              <w:spacing w:before="0" w:after="0"/>
              <w:ind w:left="33"/>
              <w:rPr>
                <w:rFonts w:ascii="Times New Roman" w:hAnsi="Times New Roman"/>
                <w:bCs/>
                <w:sz w:val="24"/>
              </w:rPr>
            </w:pPr>
            <w:r w:rsidRPr="00E07C9A">
              <w:rPr>
                <w:rFonts w:ascii="Times New Roman" w:hAnsi="Times New Roman"/>
                <w:sz w:val="24"/>
              </w:rPr>
              <w:t>0290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0DBB8C3A" w14:textId="77777777" w:rsidR="00FD54FC" w:rsidRPr="00E07C9A" w:rsidRDefault="00FD54FC" w:rsidP="00FD54FC">
            <w:pPr>
              <w:spacing w:before="0" w:after="0"/>
              <w:ind w:left="33"/>
              <w:rPr>
                <w:rFonts w:ascii="Times New Roman" w:hAnsi="Times New Roman"/>
                <w:b/>
                <w:bCs/>
                <w:sz w:val="24"/>
                <w:u w:val="single"/>
              </w:rPr>
            </w:pPr>
            <w:r w:rsidRPr="00E07C9A">
              <w:rPr>
                <w:rFonts w:ascii="Times New Roman" w:hAnsi="Times New Roman"/>
                <w:b/>
                <w:sz w:val="24"/>
                <w:u w:val="single"/>
              </w:rPr>
              <w:t>Hodnota expozície</w:t>
            </w:r>
          </w:p>
          <w:p w14:paraId="6EFF47E3" w14:textId="77777777" w:rsidR="00FD54FC" w:rsidRPr="00E07C9A" w:rsidRDefault="00FD54FC" w:rsidP="00FD54FC">
            <w:pPr>
              <w:spacing w:before="0" w:after="0"/>
              <w:ind w:left="33"/>
              <w:rPr>
                <w:rFonts w:ascii="Times New Roman" w:hAnsi="Times New Roman"/>
                <w:b/>
                <w:bCs/>
                <w:sz w:val="24"/>
                <w:u w:val="single"/>
                <w:lang w:eastAsia="de-DE"/>
              </w:rPr>
            </w:pPr>
          </w:p>
          <w:p w14:paraId="5275BFDB" w14:textId="77777777" w:rsidR="00FD54FC" w:rsidRPr="00E07C9A" w:rsidRDefault="00FD54FC" w:rsidP="00FD54FC">
            <w:pPr>
              <w:spacing w:before="0" w:after="0"/>
              <w:ind w:left="33"/>
              <w:rPr>
                <w:rFonts w:ascii="Times New Roman" w:hAnsi="Times New Roman"/>
                <w:bCs/>
                <w:sz w:val="24"/>
              </w:rPr>
            </w:pPr>
            <w:r w:rsidRPr="00E07C9A">
              <w:rPr>
                <w:rFonts w:ascii="Times New Roman" w:hAnsi="Times New Roman"/>
                <w:sz w:val="24"/>
              </w:rPr>
              <w:t>Hodnota expozície pre expozície, na ktoré sa vzťahuje rámec kreditného rizika.</w:t>
            </w:r>
          </w:p>
          <w:p w14:paraId="0A4E2016" w14:textId="77777777" w:rsidR="00FD54FC" w:rsidRPr="00E07C9A" w:rsidRDefault="00FD54FC" w:rsidP="00FD54FC">
            <w:pPr>
              <w:spacing w:before="0" w:after="0"/>
              <w:ind w:left="33"/>
              <w:rPr>
                <w:rFonts w:ascii="Times New Roman" w:hAnsi="Times New Roman"/>
                <w:bCs/>
                <w:sz w:val="24"/>
                <w:lang w:eastAsia="de-DE"/>
              </w:rPr>
            </w:pPr>
          </w:p>
          <w:p w14:paraId="72319234" w14:textId="46DA0EC9" w:rsidR="00FD54FC" w:rsidRPr="00E07C9A" w:rsidRDefault="00FD54FC" w:rsidP="00FD54FC">
            <w:pPr>
              <w:spacing w:before="0" w:after="0"/>
              <w:ind w:left="33"/>
              <w:rPr>
                <w:rFonts w:ascii="Times New Roman" w:hAnsi="Times New Roman"/>
                <w:bCs/>
                <w:sz w:val="24"/>
              </w:rPr>
            </w:pPr>
            <w:r w:rsidRPr="00E07C9A">
              <w:rPr>
                <w:rFonts w:ascii="Times New Roman" w:hAnsi="Times New Roman"/>
                <w:sz w:val="24"/>
              </w:rPr>
              <w:t>Pokiaľ ide</w:t>
            </w:r>
            <w:r w:rsidR="009912F8" w:rsidRPr="00E07C9A">
              <w:rPr>
                <w:rFonts w:ascii="Times New Roman" w:hAnsi="Times New Roman"/>
                <w:sz w:val="24"/>
              </w:rPr>
              <w:t xml:space="preserve"> o </w:t>
            </w:r>
            <w:r w:rsidRPr="00E07C9A">
              <w:rPr>
                <w:rFonts w:ascii="Times New Roman" w:hAnsi="Times New Roman"/>
                <w:sz w:val="24"/>
              </w:rPr>
              <w:t xml:space="preserve">expozície podľa štandardizovaného prístupu (SA): pozri článok 111 nariadenia (EÚ) </w:t>
            </w:r>
            <w:r w:rsidR="009912F8" w:rsidRPr="00E07C9A">
              <w:rPr>
                <w:rFonts w:ascii="Times New Roman" w:hAnsi="Times New Roman"/>
                <w:sz w:val="24"/>
              </w:rPr>
              <w:t>č. 575/2013</w:t>
            </w:r>
            <w:r w:rsidRPr="00E07C9A">
              <w:rPr>
                <w:rFonts w:ascii="Times New Roman" w:hAnsi="Times New Roman"/>
                <w:sz w:val="24"/>
              </w:rPr>
              <w:t>. Pokiaľ ide</w:t>
            </w:r>
            <w:r w:rsidR="009912F8" w:rsidRPr="00E07C9A">
              <w:rPr>
                <w:rFonts w:ascii="Times New Roman" w:hAnsi="Times New Roman"/>
                <w:sz w:val="24"/>
              </w:rPr>
              <w:t xml:space="preserve"> o </w:t>
            </w:r>
            <w:r w:rsidRPr="00E07C9A">
              <w:rPr>
                <w:rFonts w:ascii="Times New Roman" w:hAnsi="Times New Roman"/>
                <w:sz w:val="24"/>
              </w:rPr>
              <w:t>expozície podľa prístupu IRB: pozri článok 166</w:t>
            </w:r>
            <w:r w:rsidR="009912F8" w:rsidRPr="00E07C9A">
              <w:rPr>
                <w:rFonts w:ascii="Times New Roman" w:hAnsi="Times New Roman"/>
                <w:sz w:val="24"/>
              </w:rPr>
              <w:t xml:space="preserve"> a </w:t>
            </w:r>
            <w:r w:rsidRPr="00E07C9A">
              <w:rPr>
                <w:rFonts w:ascii="Times New Roman" w:hAnsi="Times New Roman"/>
                <w:sz w:val="24"/>
              </w:rPr>
              <w:t xml:space="preserve">článok 230 ods. 1 druhú vetu nariadenia (EÚ) </w:t>
            </w:r>
            <w:r w:rsidR="009912F8" w:rsidRPr="00E07C9A">
              <w:rPr>
                <w:rFonts w:ascii="Times New Roman" w:hAnsi="Times New Roman"/>
                <w:sz w:val="24"/>
              </w:rPr>
              <w:t>č. 575/2013</w:t>
            </w:r>
            <w:r w:rsidRPr="00E07C9A">
              <w:rPr>
                <w:rFonts w:ascii="Times New Roman" w:hAnsi="Times New Roman"/>
                <w:sz w:val="24"/>
              </w:rPr>
              <w:t>.</w:t>
            </w:r>
          </w:p>
          <w:p w14:paraId="72C2C727" w14:textId="77777777" w:rsidR="00FD54FC" w:rsidRPr="00E07C9A" w:rsidRDefault="00FD54FC" w:rsidP="00FD54FC">
            <w:pPr>
              <w:spacing w:before="0" w:after="0"/>
              <w:ind w:left="33"/>
              <w:rPr>
                <w:rFonts w:ascii="Times New Roman" w:hAnsi="Times New Roman"/>
                <w:bCs/>
                <w:sz w:val="24"/>
                <w:lang w:eastAsia="de-DE"/>
              </w:rPr>
            </w:pPr>
          </w:p>
          <w:p w14:paraId="355F2385" w14:textId="28271C28" w:rsidR="00FD54FC" w:rsidRPr="00E07C9A" w:rsidRDefault="00FD54FC" w:rsidP="00FD54FC">
            <w:pPr>
              <w:spacing w:before="0" w:after="0"/>
              <w:ind w:left="33"/>
              <w:rPr>
                <w:rFonts w:ascii="Times New Roman" w:hAnsi="Times New Roman"/>
                <w:bCs/>
                <w:sz w:val="24"/>
              </w:rPr>
            </w:pPr>
            <w:r w:rsidRPr="00E07C9A">
              <w:rPr>
                <w:rFonts w:ascii="Times New Roman" w:hAnsi="Times New Roman"/>
                <w:sz w:val="24"/>
              </w:rPr>
              <w:t>Pokiaľ ide</w:t>
            </w:r>
            <w:r w:rsidR="009912F8" w:rsidRPr="00E07C9A">
              <w:rPr>
                <w:rFonts w:ascii="Times New Roman" w:hAnsi="Times New Roman"/>
                <w:sz w:val="24"/>
              </w:rPr>
              <w:t xml:space="preserve"> o </w:t>
            </w:r>
            <w:r w:rsidRPr="00E07C9A">
              <w:rPr>
                <w:rFonts w:ascii="Times New Roman" w:hAnsi="Times New Roman"/>
                <w:sz w:val="24"/>
              </w:rPr>
              <w:t>vykazovanie derivátov, na ktoré sa vzťahuje kreditné riziko protistrany, ako aj kapitálové požiadavky na krytie trhového rizika, pozri pokyny pre rozčlenenie riadkov.</w:t>
            </w:r>
          </w:p>
          <w:p w14:paraId="1DE28501" w14:textId="77777777" w:rsidR="00454026" w:rsidRPr="00E07C9A" w:rsidRDefault="00454026" w:rsidP="00FD54FC">
            <w:pPr>
              <w:spacing w:before="0" w:after="0"/>
              <w:ind w:left="33"/>
              <w:rPr>
                <w:rFonts w:ascii="Times New Roman" w:hAnsi="Times New Roman"/>
                <w:bCs/>
                <w:sz w:val="24"/>
                <w:lang w:eastAsia="de-DE"/>
              </w:rPr>
            </w:pPr>
          </w:p>
          <w:p w14:paraId="57BF731E" w14:textId="07B96CE5" w:rsidR="009912F8" w:rsidRPr="00E07C9A" w:rsidRDefault="00454026" w:rsidP="00FD54FC">
            <w:pPr>
              <w:spacing w:before="0" w:after="0"/>
              <w:ind w:left="33"/>
              <w:rPr>
                <w:rFonts w:ascii="Times New Roman" w:hAnsi="Times New Roman"/>
                <w:sz w:val="24"/>
              </w:rPr>
            </w:pPr>
            <w:r w:rsidRPr="00E07C9A">
              <w:rPr>
                <w:rFonts w:ascii="Times New Roman" w:hAnsi="Times New Roman"/>
                <w:sz w:val="24"/>
              </w:rPr>
              <w:t>Expozície vykazované</w:t>
            </w:r>
            <w:r w:rsidR="009912F8" w:rsidRPr="00E07C9A">
              <w:rPr>
                <w:rFonts w:ascii="Times New Roman" w:hAnsi="Times New Roman"/>
                <w:sz w:val="24"/>
              </w:rPr>
              <w:t xml:space="preserve"> v </w:t>
            </w:r>
            <w:r w:rsidRPr="00E07C9A">
              <w:rPr>
                <w:rFonts w:ascii="Times New Roman" w:hAnsi="Times New Roman"/>
                <w:sz w:val="24"/>
              </w:rPr>
              <w:t>stĺpcoch 0270</w:t>
            </w:r>
            <w:r w:rsidR="009912F8" w:rsidRPr="00E07C9A">
              <w:rPr>
                <w:rFonts w:ascii="Times New Roman" w:hAnsi="Times New Roman"/>
                <w:sz w:val="24"/>
              </w:rPr>
              <w:t xml:space="preserve"> a </w:t>
            </w:r>
            <w:r w:rsidRPr="00E07C9A">
              <w:rPr>
                <w:rFonts w:ascii="Times New Roman" w:hAnsi="Times New Roman"/>
                <w:sz w:val="24"/>
              </w:rPr>
              <w:t>0280 sa na účely tohto stĺpca nezohľadňujú, keďže hodnota</w:t>
            </w:r>
            <w:r w:rsidR="009912F8" w:rsidRPr="00E07C9A">
              <w:rPr>
                <w:rFonts w:ascii="Times New Roman" w:hAnsi="Times New Roman"/>
                <w:sz w:val="24"/>
              </w:rPr>
              <w:t xml:space="preserve"> v </w:t>
            </w:r>
            <w:r w:rsidRPr="00E07C9A">
              <w:rPr>
                <w:rFonts w:ascii="Times New Roman" w:hAnsi="Times New Roman"/>
                <w:sz w:val="24"/>
              </w:rPr>
              <w:t>tomto stĺpci je založená výlučne na priamych expozíciách</w:t>
            </w:r>
            <w:r w:rsidR="009912F8" w:rsidRPr="00E07C9A">
              <w:rPr>
                <w:rFonts w:ascii="Times New Roman" w:hAnsi="Times New Roman"/>
                <w:sz w:val="24"/>
              </w:rPr>
              <w:t>.</w:t>
            </w:r>
          </w:p>
          <w:p w14:paraId="44D72EC0" w14:textId="5176DB14" w:rsidR="00FD54FC" w:rsidRPr="00E07C9A" w:rsidRDefault="00FD54FC" w:rsidP="00FD54FC">
            <w:pPr>
              <w:spacing w:before="0" w:after="0"/>
              <w:ind w:left="33"/>
              <w:rPr>
                <w:rFonts w:ascii="Times New Roman" w:hAnsi="Times New Roman"/>
                <w:b/>
                <w:bCs/>
                <w:sz w:val="24"/>
                <w:u w:val="single"/>
                <w:lang w:eastAsia="de-DE"/>
              </w:rPr>
            </w:pPr>
          </w:p>
        </w:tc>
      </w:tr>
      <w:tr w:rsidR="00FD54FC" w:rsidRPr="00E07C9A" w14:paraId="14526CA2"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6568D522" w14:textId="77777777" w:rsidR="00FD54FC" w:rsidRPr="00E07C9A" w:rsidRDefault="00535792" w:rsidP="00FD54FC">
            <w:pPr>
              <w:spacing w:before="0" w:after="0"/>
              <w:ind w:left="33"/>
              <w:rPr>
                <w:rFonts w:ascii="Times New Roman" w:hAnsi="Times New Roman"/>
                <w:bCs/>
                <w:sz w:val="24"/>
              </w:rPr>
            </w:pPr>
            <w:r w:rsidRPr="00E07C9A">
              <w:rPr>
                <w:rFonts w:ascii="Times New Roman" w:hAnsi="Times New Roman"/>
                <w:sz w:val="24"/>
              </w:rPr>
              <w:t>0300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798751B1" w14:textId="77777777" w:rsidR="009912F8" w:rsidRPr="00E07C9A" w:rsidRDefault="00FD54FC" w:rsidP="00FD54FC">
            <w:pPr>
              <w:spacing w:before="0" w:after="0"/>
              <w:ind w:left="33"/>
              <w:rPr>
                <w:rFonts w:ascii="Times New Roman" w:hAnsi="Times New Roman"/>
                <w:b/>
                <w:sz w:val="24"/>
                <w:u w:val="single"/>
              </w:rPr>
            </w:pPr>
            <w:r w:rsidRPr="00E07C9A">
              <w:rPr>
                <w:rFonts w:ascii="Times New Roman" w:hAnsi="Times New Roman"/>
                <w:b/>
                <w:sz w:val="24"/>
                <w:u w:val="single"/>
              </w:rPr>
              <w:t>Hodnota rizikovo váženej expozície</w:t>
            </w:r>
          </w:p>
          <w:p w14:paraId="0E5C7F34" w14:textId="7BB568ED" w:rsidR="00FD54FC" w:rsidRPr="00E07C9A" w:rsidRDefault="00FD54FC" w:rsidP="00FD54FC">
            <w:pPr>
              <w:spacing w:before="0" w:after="0"/>
              <w:ind w:left="33"/>
              <w:rPr>
                <w:rFonts w:ascii="Times New Roman" w:hAnsi="Times New Roman"/>
                <w:b/>
                <w:bCs/>
                <w:sz w:val="24"/>
                <w:u w:val="single"/>
                <w:lang w:eastAsia="de-DE"/>
              </w:rPr>
            </w:pPr>
          </w:p>
          <w:p w14:paraId="108D0701" w14:textId="77777777" w:rsidR="009912F8" w:rsidRPr="00E07C9A" w:rsidRDefault="00FD54FC" w:rsidP="00FD54FC">
            <w:pPr>
              <w:spacing w:before="0" w:after="0"/>
              <w:ind w:left="33"/>
              <w:rPr>
                <w:rFonts w:ascii="Times New Roman" w:hAnsi="Times New Roman"/>
                <w:sz w:val="24"/>
              </w:rPr>
            </w:pPr>
            <w:r w:rsidRPr="00E07C9A">
              <w:rPr>
                <w:rFonts w:ascii="Times New Roman" w:hAnsi="Times New Roman"/>
                <w:sz w:val="24"/>
              </w:rPr>
              <w:t>Hodnota rizikovo váženej expozície pre expozície, na ktoré sa vzťahuje rámec kreditného rizika</w:t>
            </w:r>
            <w:r w:rsidR="009912F8" w:rsidRPr="00E07C9A">
              <w:rPr>
                <w:rFonts w:ascii="Times New Roman" w:hAnsi="Times New Roman"/>
                <w:sz w:val="24"/>
              </w:rPr>
              <w:t>.</w:t>
            </w:r>
          </w:p>
          <w:p w14:paraId="4DFC97D0" w14:textId="66B03278" w:rsidR="00FD54FC" w:rsidRPr="00E07C9A" w:rsidRDefault="00FD54FC" w:rsidP="00FD54FC">
            <w:pPr>
              <w:spacing w:before="0" w:after="0"/>
              <w:ind w:left="33"/>
              <w:rPr>
                <w:rFonts w:ascii="Times New Roman" w:hAnsi="Times New Roman"/>
                <w:bCs/>
                <w:sz w:val="24"/>
                <w:lang w:eastAsia="de-DE"/>
              </w:rPr>
            </w:pPr>
          </w:p>
          <w:p w14:paraId="6E58F095" w14:textId="5A3F9838" w:rsidR="00FD54FC" w:rsidRPr="00E07C9A" w:rsidRDefault="00FD54FC" w:rsidP="00FD54FC">
            <w:pPr>
              <w:spacing w:before="0" w:after="0"/>
              <w:ind w:left="33"/>
              <w:rPr>
                <w:rFonts w:ascii="Times New Roman" w:hAnsi="Times New Roman"/>
                <w:bCs/>
                <w:sz w:val="24"/>
              </w:rPr>
            </w:pPr>
            <w:r w:rsidRPr="00E07C9A">
              <w:rPr>
                <w:rFonts w:ascii="Times New Roman" w:hAnsi="Times New Roman"/>
                <w:sz w:val="24"/>
              </w:rPr>
              <w:t>Pokiaľ ide</w:t>
            </w:r>
            <w:r w:rsidR="009912F8" w:rsidRPr="00E07C9A">
              <w:rPr>
                <w:rFonts w:ascii="Times New Roman" w:hAnsi="Times New Roman"/>
                <w:sz w:val="24"/>
              </w:rPr>
              <w:t xml:space="preserve"> o </w:t>
            </w:r>
            <w:r w:rsidRPr="00E07C9A">
              <w:rPr>
                <w:rFonts w:ascii="Times New Roman" w:hAnsi="Times New Roman"/>
                <w:sz w:val="24"/>
              </w:rPr>
              <w:t xml:space="preserve">expozície podľa štandardizovaného prístupu (SA): pozri článok 113 ods. 1 až 5 nariadenia (EÚ) </w:t>
            </w:r>
            <w:r w:rsidR="009912F8" w:rsidRPr="00E07C9A">
              <w:rPr>
                <w:rFonts w:ascii="Times New Roman" w:hAnsi="Times New Roman"/>
                <w:sz w:val="24"/>
              </w:rPr>
              <w:t>č. 575/2013</w:t>
            </w:r>
            <w:r w:rsidRPr="00E07C9A">
              <w:rPr>
                <w:rFonts w:ascii="Times New Roman" w:hAnsi="Times New Roman"/>
                <w:sz w:val="24"/>
              </w:rPr>
              <w:t>. Pokiaľ ide</w:t>
            </w:r>
            <w:r w:rsidR="009912F8" w:rsidRPr="00E07C9A">
              <w:rPr>
                <w:rFonts w:ascii="Times New Roman" w:hAnsi="Times New Roman"/>
                <w:sz w:val="24"/>
              </w:rPr>
              <w:t xml:space="preserve"> o </w:t>
            </w:r>
            <w:r w:rsidRPr="00E07C9A">
              <w:rPr>
                <w:rFonts w:ascii="Times New Roman" w:hAnsi="Times New Roman"/>
                <w:sz w:val="24"/>
              </w:rPr>
              <w:t>expozície podľa prístupu IRB: pozri článok 153 ods. 1</w:t>
            </w:r>
            <w:r w:rsidR="009912F8" w:rsidRPr="00E07C9A">
              <w:rPr>
                <w:rFonts w:ascii="Times New Roman" w:hAnsi="Times New Roman"/>
                <w:sz w:val="24"/>
              </w:rPr>
              <w:t xml:space="preserve"> a </w:t>
            </w:r>
            <w:r w:rsidRPr="00E07C9A">
              <w:rPr>
                <w:rFonts w:ascii="Times New Roman" w:hAnsi="Times New Roman"/>
                <w:sz w:val="24"/>
              </w:rPr>
              <w:t xml:space="preserve">3 nariadenia (EÚ) </w:t>
            </w:r>
            <w:r w:rsidR="009912F8" w:rsidRPr="00E07C9A">
              <w:rPr>
                <w:rFonts w:ascii="Times New Roman" w:hAnsi="Times New Roman"/>
                <w:sz w:val="24"/>
              </w:rPr>
              <w:t>č. 575/2013</w:t>
            </w:r>
            <w:r w:rsidRPr="00E07C9A">
              <w:rPr>
                <w:rFonts w:ascii="Times New Roman" w:hAnsi="Times New Roman"/>
                <w:sz w:val="24"/>
              </w:rPr>
              <w:t>.</w:t>
            </w:r>
          </w:p>
          <w:p w14:paraId="65128527" w14:textId="77777777" w:rsidR="00FD54FC" w:rsidRPr="00E07C9A" w:rsidRDefault="00FD54FC" w:rsidP="00FD54FC">
            <w:pPr>
              <w:spacing w:before="0" w:after="0"/>
              <w:ind w:left="33"/>
              <w:rPr>
                <w:rFonts w:ascii="Times New Roman" w:hAnsi="Times New Roman"/>
                <w:bCs/>
                <w:sz w:val="24"/>
                <w:lang w:eastAsia="de-DE"/>
              </w:rPr>
            </w:pPr>
          </w:p>
          <w:p w14:paraId="128B2148" w14:textId="53533625" w:rsidR="00FD54FC" w:rsidRPr="00E07C9A" w:rsidRDefault="00FD54FC" w:rsidP="00FD54FC">
            <w:pPr>
              <w:spacing w:before="0" w:after="0"/>
              <w:ind w:left="33"/>
              <w:rPr>
                <w:rFonts w:ascii="Times New Roman" w:hAnsi="Times New Roman"/>
                <w:bCs/>
                <w:sz w:val="24"/>
              </w:rPr>
            </w:pPr>
            <w:r w:rsidRPr="00E07C9A">
              <w:rPr>
                <w:rFonts w:ascii="Times New Roman" w:hAnsi="Times New Roman"/>
                <w:sz w:val="24"/>
              </w:rPr>
              <w:t>Pokiaľ ide</w:t>
            </w:r>
            <w:r w:rsidR="009912F8" w:rsidRPr="00E07C9A">
              <w:rPr>
                <w:rFonts w:ascii="Times New Roman" w:hAnsi="Times New Roman"/>
                <w:sz w:val="24"/>
              </w:rPr>
              <w:t xml:space="preserve"> o </w:t>
            </w:r>
            <w:r w:rsidRPr="00E07C9A">
              <w:rPr>
                <w:rFonts w:ascii="Times New Roman" w:hAnsi="Times New Roman"/>
                <w:sz w:val="24"/>
              </w:rPr>
              <w:t xml:space="preserve">vykazovanie priamych expozícií patriacich do rozsahu pôsobnosti článku 271 nariadenia (EÚ) </w:t>
            </w:r>
            <w:r w:rsidR="009912F8" w:rsidRPr="00E07C9A">
              <w:rPr>
                <w:rFonts w:ascii="Times New Roman" w:hAnsi="Times New Roman"/>
                <w:sz w:val="24"/>
              </w:rPr>
              <w:t>č. 575/2013</w:t>
            </w:r>
            <w:r w:rsidRPr="00E07C9A">
              <w:rPr>
                <w:rFonts w:ascii="Times New Roman" w:hAnsi="Times New Roman"/>
                <w:sz w:val="24"/>
              </w:rPr>
              <w:t>, na ktoré sa vzťahujú požiadavky na vlastné zdroje pre kreditné riziko protistrany</w:t>
            </w:r>
            <w:r w:rsidR="009912F8" w:rsidRPr="00E07C9A">
              <w:rPr>
                <w:rFonts w:ascii="Times New Roman" w:hAnsi="Times New Roman"/>
                <w:sz w:val="24"/>
              </w:rPr>
              <w:t xml:space="preserve"> a </w:t>
            </w:r>
            <w:r w:rsidRPr="00E07C9A">
              <w:rPr>
                <w:rFonts w:ascii="Times New Roman" w:hAnsi="Times New Roman"/>
                <w:sz w:val="24"/>
              </w:rPr>
              <w:t>trhové riziko, pozri pokyny pre rozčlenenie riadkov.</w:t>
            </w:r>
          </w:p>
          <w:p w14:paraId="7E888126" w14:textId="77777777" w:rsidR="00454026" w:rsidRPr="00E07C9A" w:rsidRDefault="00454026" w:rsidP="00FD54FC">
            <w:pPr>
              <w:spacing w:before="0" w:after="0"/>
              <w:ind w:left="33"/>
              <w:rPr>
                <w:rFonts w:ascii="Times New Roman" w:hAnsi="Times New Roman"/>
                <w:bCs/>
                <w:sz w:val="24"/>
                <w:lang w:eastAsia="de-DE"/>
              </w:rPr>
            </w:pPr>
          </w:p>
          <w:p w14:paraId="55CF7F45" w14:textId="0ECD72CD" w:rsidR="00FD54FC" w:rsidRPr="00E07C9A" w:rsidRDefault="00454026" w:rsidP="00854146">
            <w:pPr>
              <w:spacing w:before="0" w:after="0"/>
              <w:ind w:left="33"/>
              <w:rPr>
                <w:rFonts w:ascii="Times New Roman" w:hAnsi="Times New Roman"/>
                <w:b/>
                <w:bCs/>
                <w:sz w:val="24"/>
                <w:u w:val="single"/>
              </w:rPr>
            </w:pPr>
            <w:r w:rsidRPr="00E07C9A">
              <w:rPr>
                <w:rFonts w:ascii="Times New Roman" w:hAnsi="Times New Roman"/>
                <w:sz w:val="24"/>
              </w:rPr>
              <w:t>Expozície vykazované</w:t>
            </w:r>
            <w:r w:rsidR="009912F8" w:rsidRPr="00E07C9A">
              <w:rPr>
                <w:rFonts w:ascii="Times New Roman" w:hAnsi="Times New Roman"/>
                <w:sz w:val="24"/>
              </w:rPr>
              <w:t xml:space="preserve"> v </w:t>
            </w:r>
            <w:r w:rsidRPr="00E07C9A">
              <w:rPr>
                <w:rFonts w:ascii="Times New Roman" w:hAnsi="Times New Roman"/>
                <w:sz w:val="24"/>
              </w:rPr>
              <w:t>stĺpcoch 0270</w:t>
            </w:r>
            <w:r w:rsidR="009912F8" w:rsidRPr="00E07C9A">
              <w:rPr>
                <w:rFonts w:ascii="Times New Roman" w:hAnsi="Times New Roman"/>
                <w:sz w:val="24"/>
              </w:rPr>
              <w:t xml:space="preserve"> a </w:t>
            </w:r>
            <w:r w:rsidRPr="00E07C9A">
              <w:rPr>
                <w:rFonts w:ascii="Times New Roman" w:hAnsi="Times New Roman"/>
                <w:sz w:val="24"/>
              </w:rPr>
              <w:t>0280 sa na účely tohto stĺpca nezohľadňujú, keďže hodnota</w:t>
            </w:r>
            <w:r w:rsidR="009912F8" w:rsidRPr="00E07C9A">
              <w:rPr>
                <w:rFonts w:ascii="Times New Roman" w:hAnsi="Times New Roman"/>
                <w:sz w:val="24"/>
              </w:rPr>
              <w:t xml:space="preserve"> v </w:t>
            </w:r>
            <w:r w:rsidRPr="00E07C9A">
              <w:rPr>
                <w:rFonts w:ascii="Times New Roman" w:hAnsi="Times New Roman"/>
                <w:sz w:val="24"/>
              </w:rPr>
              <w:t xml:space="preserve">tomto stĺpci je založená výlučne na priamych expozíciách. </w:t>
            </w:r>
          </w:p>
        </w:tc>
      </w:tr>
    </w:tbl>
    <w:p w14:paraId="391E5247" w14:textId="77777777" w:rsidR="00FD54FC" w:rsidRPr="00E07C9A" w:rsidRDefault="00FD54FC" w:rsidP="00FD54FC">
      <w:pPr>
        <w:spacing w:before="0" w:after="0"/>
        <w:ind w:left="33"/>
        <w:rPr>
          <w:rFonts w:ascii="Times New Roman" w:hAnsi="Times New Roman"/>
          <w:bCs/>
          <w:sz w:val="24"/>
          <w:lang w:eastAsia="de-D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D54FC" w:rsidRPr="00E07C9A" w14:paraId="13A2C6E0" w14:textId="77777777" w:rsidTr="00672D2A">
        <w:tc>
          <w:tcPr>
            <w:tcW w:w="1188" w:type="dxa"/>
            <w:shd w:val="clear" w:color="auto" w:fill="CCCCCC"/>
          </w:tcPr>
          <w:p w14:paraId="5B4735F3" w14:textId="77777777" w:rsidR="00FD54FC" w:rsidRPr="00E07C9A" w:rsidRDefault="00FD54FC" w:rsidP="00FD54FC">
            <w:pPr>
              <w:spacing w:before="0" w:after="0"/>
              <w:ind w:left="33"/>
              <w:rPr>
                <w:rFonts w:ascii="Times New Roman" w:hAnsi="Times New Roman"/>
                <w:bCs/>
                <w:sz w:val="24"/>
              </w:rPr>
            </w:pPr>
            <w:r w:rsidRPr="00E07C9A">
              <w:rPr>
                <w:rFonts w:ascii="Times New Roman" w:hAnsi="Times New Roman"/>
                <w:sz w:val="24"/>
              </w:rPr>
              <w:t>Riadky</w:t>
            </w:r>
          </w:p>
        </w:tc>
        <w:tc>
          <w:tcPr>
            <w:tcW w:w="8701" w:type="dxa"/>
            <w:shd w:val="clear" w:color="auto" w:fill="CCCCCC"/>
          </w:tcPr>
          <w:p w14:paraId="55ED820B" w14:textId="77777777" w:rsidR="00FD54FC" w:rsidRPr="00E07C9A" w:rsidRDefault="00FD54FC" w:rsidP="00FD54FC">
            <w:pPr>
              <w:spacing w:before="0" w:after="0"/>
              <w:ind w:left="33"/>
              <w:rPr>
                <w:rFonts w:ascii="Times New Roman" w:hAnsi="Times New Roman"/>
                <w:bCs/>
                <w:sz w:val="24"/>
              </w:rPr>
            </w:pPr>
            <w:r w:rsidRPr="00E07C9A">
              <w:rPr>
                <w:rFonts w:ascii="Times New Roman" w:hAnsi="Times New Roman"/>
                <w:sz w:val="24"/>
              </w:rPr>
              <w:t>Pokyny</w:t>
            </w:r>
          </w:p>
        </w:tc>
      </w:tr>
      <w:tr w:rsidR="00FD54FC" w:rsidRPr="00E07C9A" w14:paraId="4ACA9010" w14:textId="77777777" w:rsidTr="00672D2A">
        <w:tc>
          <w:tcPr>
            <w:tcW w:w="9889" w:type="dxa"/>
            <w:gridSpan w:val="2"/>
          </w:tcPr>
          <w:p w14:paraId="66B441E9" w14:textId="77777777" w:rsidR="00FD54FC" w:rsidRPr="00E07C9A" w:rsidRDefault="00FD54FC" w:rsidP="00FD54FC">
            <w:pPr>
              <w:spacing w:before="0" w:after="0"/>
              <w:ind w:left="33"/>
              <w:rPr>
                <w:rFonts w:ascii="Times New Roman" w:hAnsi="Times New Roman"/>
                <w:b/>
                <w:bCs/>
                <w:sz w:val="24"/>
                <w:u w:val="single"/>
              </w:rPr>
            </w:pPr>
            <w:r w:rsidRPr="00E07C9A">
              <w:rPr>
                <w:rFonts w:ascii="Times New Roman" w:hAnsi="Times New Roman"/>
                <w:b/>
                <w:sz w:val="24"/>
                <w:u w:val="single"/>
              </w:rPr>
              <w:t>ROZČLENENIE EXPOZÍCIÍ PODĽA REGULAČNÉHO PRÍSTUPU</w:t>
            </w:r>
          </w:p>
          <w:p w14:paraId="2C516CE0" w14:textId="77777777" w:rsidR="00FD54FC" w:rsidRPr="00E07C9A" w:rsidRDefault="00FD54FC" w:rsidP="00FD54FC">
            <w:pPr>
              <w:spacing w:before="0" w:after="0"/>
              <w:ind w:left="33"/>
              <w:rPr>
                <w:rFonts w:ascii="Times New Roman" w:hAnsi="Times New Roman"/>
                <w:bCs/>
                <w:sz w:val="24"/>
                <w:lang w:eastAsia="de-DE"/>
              </w:rPr>
            </w:pPr>
          </w:p>
        </w:tc>
      </w:tr>
      <w:tr w:rsidR="00FD54FC" w:rsidRPr="00E07C9A" w14:paraId="45011CE4" w14:textId="77777777" w:rsidTr="00672D2A">
        <w:tc>
          <w:tcPr>
            <w:tcW w:w="1188" w:type="dxa"/>
            <w:shd w:val="clear" w:color="auto" w:fill="auto"/>
          </w:tcPr>
          <w:p w14:paraId="5805829D" w14:textId="77777777" w:rsidR="00FD54FC" w:rsidRPr="00E07C9A" w:rsidRDefault="00535792" w:rsidP="00FD54FC">
            <w:pPr>
              <w:spacing w:before="0" w:after="0"/>
              <w:ind w:left="33"/>
              <w:rPr>
                <w:rFonts w:ascii="Times New Roman" w:hAnsi="Times New Roman"/>
                <w:bCs/>
                <w:sz w:val="24"/>
              </w:rPr>
            </w:pPr>
            <w:r w:rsidRPr="00E07C9A">
              <w:rPr>
                <w:rFonts w:ascii="Times New Roman" w:hAnsi="Times New Roman"/>
                <w:sz w:val="24"/>
              </w:rPr>
              <w:t>0010</w:t>
            </w:r>
          </w:p>
        </w:tc>
        <w:tc>
          <w:tcPr>
            <w:tcW w:w="8701" w:type="dxa"/>
            <w:shd w:val="clear" w:color="auto" w:fill="auto"/>
          </w:tcPr>
          <w:p w14:paraId="6670A1D7" w14:textId="77777777" w:rsidR="00FD54FC" w:rsidRPr="00E07C9A" w:rsidRDefault="00FD54FC" w:rsidP="00FD54FC">
            <w:pPr>
              <w:spacing w:before="0" w:after="0"/>
              <w:ind w:left="33"/>
              <w:rPr>
                <w:rFonts w:ascii="Times New Roman" w:hAnsi="Times New Roman"/>
                <w:b/>
                <w:bCs/>
                <w:sz w:val="24"/>
                <w:u w:val="single"/>
              </w:rPr>
            </w:pPr>
            <w:r w:rsidRPr="00E07C9A">
              <w:rPr>
                <w:rFonts w:ascii="Times New Roman" w:hAnsi="Times New Roman"/>
                <w:b/>
                <w:sz w:val="24"/>
                <w:u w:val="single"/>
              </w:rPr>
              <w:t>Celkové expozície</w:t>
            </w:r>
          </w:p>
          <w:p w14:paraId="09FDA906" w14:textId="77777777" w:rsidR="00FD54FC" w:rsidRPr="00E07C9A" w:rsidRDefault="00FD54FC" w:rsidP="00FD54FC">
            <w:pPr>
              <w:spacing w:before="0" w:after="0"/>
              <w:ind w:left="33"/>
              <w:rPr>
                <w:rFonts w:ascii="Times New Roman" w:hAnsi="Times New Roman"/>
                <w:b/>
                <w:bCs/>
                <w:sz w:val="24"/>
                <w:u w:val="single"/>
                <w:lang w:eastAsia="de-DE"/>
              </w:rPr>
            </w:pPr>
          </w:p>
          <w:p w14:paraId="6349FE94" w14:textId="2AD67A1B" w:rsidR="00FD54FC" w:rsidRPr="00E07C9A" w:rsidRDefault="00FD54FC" w:rsidP="00FD54FC">
            <w:pPr>
              <w:spacing w:before="0" w:after="0"/>
              <w:ind w:left="33"/>
              <w:rPr>
                <w:rFonts w:ascii="Times New Roman" w:hAnsi="Times New Roman"/>
                <w:bCs/>
                <w:sz w:val="24"/>
              </w:rPr>
            </w:pPr>
            <w:r w:rsidRPr="00E07C9A">
              <w:rPr>
                <w:rFonts w:ascii="Times New Roman" w:hAnsi="Times New Roman"/>
                <w:sz w:val="24"/>
              </w:rPr>
              <w:t>Súhrn expozícií voči orgánom verejnej správy, ako sa vymedzuje</w:t>
            </w:r>
            <w:r w:rsidR="009912F8" w:rsidRPr="00E07C9A">
              <w:rPr>
                <w:rFonts w:ascii="Times New Roman" w:hAnsi="Times New Roman"/>
                <w:sz w:val="24"/>
              </w:rPr>
              <w:t xml:space="preserve"> v </w:t>
            </w:r>
            <w:r w:rsidRPr="00E07C9A">
              <w:rPr>
                <w:rFonts w:ascii="Times New Roman" w:hAnsi="Times New Roman"/>
                <w:sz w:val="24"/>
              </w:rPr>
              <w:t>odsekoch 191 až 196 tejto prílohy.</w:t>
            </w:r>
          </w:p>
          <w:p w14:paraId="28B864D6" w14:textId="77777777" w:rsidR="00FD54FC" w:rsidRPr="00E07C9A" w:rsidRDefault="00FD54FC" w:rsidP="00FD54FC">
            <w:pPr>
              <w:spacing w:before="0" w:after="0"/>
              <w:ind w:left="33"/>
              <w:rPr>
                <w:rFonts w:ascii="Times New Roman" w:hAnsi="Times New Roman"/>
                <w:b/>
                <w:bCs/>
                <w:sz w:val="24"/>
                <w:u w:val="single"/>
                <w:lang w:eastAsia="de-DE"/>
              </w:rPr>
            </w:pPr>
          </w:p>
        </w:tc>
      </w:tr>
      <w:tr w:rsidR="00FD54FC" w:rsidRPr="00E07C9A" w14:paraId="7742DCBC" w14:textId="77777777" w:rsidTr="00672D2A">
        <w:tc>
          <w:tcPr>
            <w:tcW w:w="1188" w:type="dxa"/>
          </w:tcPr>
          <w:p w14:paraId="56BE24AD" w14:textId="77777777" w:rsidR="00FD54FC" w:rsidRPr="00E07C9A" w:rsidRDefault="00535792" w:rsidP="00A85E91">
            <w:pPr>
              <w:spacing w:before="0" w:after="0"/>
              <w:ind w:left="33"/>
              <w:rPr>
                <w:rFonts w:ascii="Times New Roman" w:hAnsi="Times New Roman"/>
                <w:bCs/>
                <w:sz w:val="24"/>
              </w:rPr>
            </w:pPr>
            <w:r w:rsidRPr="00E07C9A">
              <w:rPr>
                <w:rFonts w:ascii="Times New Roman" w:hAnsi="Times New Roman"/>
                <w:sz w:val="24"/>
              </w:rPr>
              <w:t>0020 –⁠ 0155</w:t>
            </w:r>
          </w:p>
        </w:tc>
        <w:tc>
          <w:tcPr>
            <w:tcW w:w="8701" w:type="dxa"/>
          </w:tcPr>
          <w:p w14:paraId="5791F67C" w14:textId="77777777" w:rsidR="00FD54FC" w:rsidRPr="00E07C9A" w:rsidRDefault="00FD54FC" w:rsidP="00FD54FC">
            <w:pPr>
              <w:spacing w:before="0" w:after="0"/>
              <w:ind w:left="33"/>
              <w:rPr>
                <w:rFonts w:ascii="Times New Roman" w:hAnsi="Times New Roman"/>
                <w:bCs/>
                <w:sz w:val="24"/>
              </w:rPr>
            </w:pPr>
            <w:r w:rsidRPr="00E07C9A">
              <w:rPr>
                <w:rFonts w:ascii="Times New Roman" w:hAnsi="Times New Roman"/>
                <w:b/>
                <w:sz w:val="24"/>
                <w:u w:val="single"/>
              </w:rPr>
              <w:t>Expozície, na ktoré sa vzťahuje rámec kreditného rizika</w:t>
            </w:r>
          </w:p>
          <w:p w14:paraId="15A9D3A2" w14:textId="77777777" w:rsidR="00FD54FC" w:rsidRPr="00E07C9A" w:rsidRDefault="00FD54FC" w:rsidP="00542EAE">
            <w:pPr>
              <w:spacing w:before="0" w:after="0"/>
              <w:ind w:left="33"/>
              <w:rPr>
                <w:rFonts w:ascii="Times New Roman" w:hAnsi="Times New Roman"/>
                <w:bCs/>
                <w:sz w:val="24"/>
                <w:lang w:eastAsia="de-DE"/>
              </w:rPr>
            </w:pPr>
          </w:p>
          <w:p w14:paraId="2DB6D4FC" w14:textId="5458EBE6" w:rsidR="009912F8" w:rsidRPr="00E07C9A" w:rsidRDefault="00FD54FC" w:rsidP="009068C9">
            <w:pPr>
              <w:spacing w:before="0" w:after="0"/>
              <w:ind w:left="33"/>
              <w:rPr>
                <w:rFonts w:ascii="Times New Roman" w:hAnsi="Times New Roman"/>
                <w:sz w:val="24"/>
              </w:rPr>
            </w:pPr>
            <w:r w:rsidRPr="00E07C9A">
              <w:rPr>
                <w:rFonts w:ascii="Times New Roman" w:hAnsi="Times New Roman"/>
                <w:sz w:val="24"/>
              </w:rPr>
              <w:t>Súhrn expozícií voči orgánom verejnej správy, ktoré sú rizikovo vážené</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treťou časťou hlavou II nariadenia (EÚ) </w:t>
            </w:r>
            <w:r w:rsidR="009912F8" w:rsidRPr="00E07C9A">
              <w:rPr>
                <w:rFonts w:ascii="Times New Roman" w:hAnsi="Times New Roman"/>
                <w:sz w:val="24"/>
              </w:rPr>
              <w:t>č. 575/2013</w:t>
            </w:r>
            <w:r w:rsidRPr="00E07C9A">
              <w:rPr>
                <w:rFonts w:ascii="Times New Roman" w:hAnsi="Times New Roman"/>
                <w:sz w:val="24"/>
              </w:rPr>
              <w:t>. Expozície, na ktoré sa vzťahuje rámec kreditného rizika, zahŕňajú expozície</w:t>
            </w:r>
            <w:r w:rsidR="009912F8" w:rsidRPr="00E07C9A">
              <w:rPr>
                <w:rFonts w:ascii="Times New Roman" w:hAnsi="Times New Roman"/>
                <w:sz w:val="24"/>
              </w:rPr>
              <w:t xml:space="preserve"> z </w:t>
            </w:r>
            <w:r w:rsidRPr="00E07C9A">
              <w:rPr>
                <w:rFonts w:ascii="Times New Roman" w:hAnsi="Times New Roman"/>
                <w:sz w:val="24"/>
              </w:rPr>
              <w:t>neobchodnej knihy aj obchodnej knihy podliehajúce kapitálovej požiadavke pre kreditné riziko protistrany</w:t>
            </w:r>
            <w:r w:rsidR="009912F8" w:rsidRPr="00E07C9A">
              <w:rPr>
                <w:rFonts w:ascii="Times New Roman" w:hAnsi="Times New Roman"/>
                <w:sz w:val="24"/>
              </w:rPr>
              <w:t>.</w:t>
            </w:r>
          </w:p>
          <w:p w14:paraId="45883C44" w14:textId="0D5269F0" w:rsidR="00FD54FC" w:rsidRPr="00E07C9A" w:rsidRDefault="00FD54FC" w:rsidP="009068C9">
            <w:pPr>
              <w:spacing w:before="0" w:after="0"/>
              <w:ind w:left="33"/>
              <w:rPr>
                <w:rFonts w:ascii="Times New Roman" w:hAnsi="Times New Roman"/>
                <w:bCs/>
                <w:sz w:val="24"/>
                <w:lang w:eastAsia="de-DE"/>
              </w:rPr>
            </w:pPr>
          </w:p>
          <w:p w14:paraId="167CC649" w14:textId="3964D90A" w:rsidR="00542EAE" w:rsidRPr="00E07C9A" w:rsidRDefault="00FD54FC" w:rsidP="009068C9">
            <w:pPr>
              <w:spacing w:before="0" w:after="0"/>
              <w:ind w:left="33"/>
              <w:rPr>
                <w:rFonts w:ascii="Times New Roman" w:hAnsi="Times New Roman"/>
                <w:bCs/>
                <w:sz w:val="24"/>
              </w:rPr>
            </w:pPr>
            <w:r w:rsidRPr="00E07C9A">
              <w:rPr>
                <w:rFonts w:ascii="Times New Roman" w:hAnsi="Times New Roman"/>
                <w:sz w:val="24"/>
              </w:rPr>
              <w:t xml:space="preserve">Priame expozície patriace do rozsahu pôsobnosti článku 271 nariadenia (EÚ) </w:t>
            </w:r>
            <w:r w:rsidR="009912F8" w:rsidRPr="00E07C9A">
              <w:rPr>
                <w:rFonts w:ascii="Times New Roman" w:hAnsi="Times New Roman"/>
                <w:sz w:val="24"/>
              </w:rPr>
              <w:t>č. 575/2013</w:t>
            </w:r>
            <w:r w:rsidRPr="00E07C9A">
              <w:rPr>
                <w:rFonts w:ascii="Times New Roman" w:hAnsi="Times New Roman"/>
                <w:sz w:val="24"/>
              </w:rPr>
              <w:t>, na ktoré sa vzťahujú požiadavky na vlastné zdroje pre kreditné riziko protistrany aj trhové riziko, sa vykazujú</w:t>
            </w:r>
            <w:r w:rsidR="009912F8" w:rsidRPr="00E07C9A">
              <w:rPr>
                <w:rFonts w:ascii="Times New Roman" w:hAnsi="Times New Roman"/>
                <w:sz w:val="24"/>
              </w:rPr>
              <w:t xml:space="preserve"> v </w:t>
            </w:r>
            <w:r w:rsidRPr="00E07C9A">
              <w:rPr>
                <w:rFonts w:ascii="Times New Roman" w:hAnsi="Times New Roman"/>
                <w:sz w:val="24"/>
              </w:rPr>
              <w:t>riadkoch pre kreditné riziko (0020 až 0155) aj</w:t>
            </w:r>
            <w:r w:rsidR="009912F8" w:rsidRPr="00E07C9A">
              <w:rPr>
                <w:rFonts w:ascii="Times New Roman" w:hAnsi="Times New Roman"/>
                <w:sz w:val="24"/>
              </w:rPr>
              <w:t xml:space="preserve"> v </w:t>
            </w:r>
            <w:r w:rsidRPr="00E07C9A">
              <w:rPr>
                <w:rFonts w:ascii="Times New Roman" w:hAnsi="Times New Roman"/>
                <w:sz w:val="24"/>
              </w:rPr>
              <w:t>riadku pre trhové riziko (riadok 0160): expozície</w:t>
            </w:r>
            <w:r w:rsidR="009912F8" w:rsidRPr="00E07C9A">
              <w:rPr>
                <w:rFonts w:ascii="Times New Roman" w:hAnsi="Times New Roman"/>
                <w:sz w:val="24"/>
              </w:rPr>
              <w:t xml:space="preserve"> z </w:t>
            </w:r>
            <w:r w:rsidRPr="00E07C9A">
              <w:rPr>
                <w:rFonts w:ascii="Times New Roman" w:hAnsi="Times New Roman"/>
                <w:sz w:val="24"/>
              </w:rPr>
              <w:t>dôvodu kreditného rizika protistrany sa vykazujú</w:t>
            </w:r>
            <w:r w:rsidR="009912F8" w:rsidRPr="00E07C9A">
              <w:rPr>
                <w:rFonts w:ascii="Times New Roman" w:hAnsi="Times New Roman"/>
                <w:sz w:val="24"/>
              </w:rPr>
              <w:t xml:space="preserve"> v </w:t>
            </w:r>
            <w:r w:rsidRPr="00E07C9A">
              <w:rPr>
                <w:rFonts w:ascii="Times New Roman" w:hAnsi="Times New Roman"/>
                <w:sz w:val="24"/>
              </w:rPr>
              <w:t>riadkoch pre kreditné riziko, zatiaľ čo expozície</w:t>
            </w:r>
            <w:r w:rsidR="009912F8" w:rsidRPr="00E07C9A">
              <w:rPr>
                <w:rFonts w:ascii="Times New Roman" w:hAnsi="Times New Roman"/>
                <w:sz w:val="24"/>
              </w:rPr>
              <w:t xml:space="preserve"> z </w:t>
            </w:r>
            <w:r w:rsidRPr="00E07C9A">
              <w:rPr>
                <w:rFonts w:ascii="Times New Roman" w:hAnsi="Times New Roman"/>
                <w:sz w:val="24"/>
              </w:rPr>
              <w:t>dôvodu trhového rizika sa vykazujú</w:t>
            </w:r>
            <w:r w:rsidR="009912F8" w:rsidRPr="00E07C9A">
              <w:rPr>
                <w:rFonts w:ascii="Times New Roman" w:hAnsi="Times New Roman"/>
                <w:sz w:val="24"/>
              </w:rPr>
              <w:t xml:space="preserve"> v </w:t>
            </w:r>
            <w:r w:rsidRPr="00E07C9A">
              <w:rPr>
                <w:rFonts w:ascii="Times New Roman" w:hAnsi="Times New Roman"/>
                <w:sz w:val="24"/>
              </w:rPr>
              <w:t>riadku pre trhové riziko.</w:t>
            </w:r>
          </w:p>
          <w:p w14:paraId="4BCFA03B" w14:textId="77777777" w:rsidR="00542EAE" w:rsidRPr="00E07C9A" w:rsidRDefault="00542EAE" w:rsidP="009068C9">
            <w:pPr>
              <w:spacing w:before="0" w:after="0"/>
              <w:ind w:left="33"/>
              <w:rPr>
                <w:rFonts w:ascii="Times New Roman" w:hAnsi="Times New Roman"/>
                <w:bCs/>
                <w:sz w:val="24"/>
                <w:lang w:eastAsia="de-DE"/>
              </w:rPr>
            </w:pPr>
          </w:p>
        </w:tc>
      </w:tr>
      <w:tr w:rsidR="00FD54FC" w:rsidRPr="00E07C9A" w14:paraId="32C80715" w14:textId="77777777" w:rsidTr="00672D2A">
        <w:tc>
          <w:tcPr>
            <w:tcW w:w="1188" w:type="dxa"/>
          </w:tcPr>
          <w:p w14:paraId="5B1B0850" w14:textId="77777777" w:rsidR="00FD54FC" w:rsidRPr="00E07C9A" w:rsidRDefault="00535792" w:rsidP="00FD54FC">
            <w:pPr>
              <w:spacing w:before="0" w:after="0"/>
              <w:ind w:left="33"/>
              <w:rPr>
                <w:rFonts w:ascii="Times New Roman" w:hAnsi="Times New Roman"/>
                <w:bCs/>
                <w:sz w:val="24"/>
              </w:rPr>
            </w:pPr>
            <w:r w:rsidRPr="00E07C9A">
              <w:rPr>
                <w:rFonts w:ascii="Times New Roman" w:hAnsi="Times New Roman"/>
                <w:sz w:val="24"/>
              </w:rPr>
              <w:t>0030</w:t>
            </w:r>
          </w:p>
        </w:tc>
        <w:tc>
          <w:tcPr>
            <w:tcW w:w="8701" w:type="dxa"/>
          </w:tcPr>
          <w:p w14:paraId="371AD42F" w14:textId="77777777" w:rsidR="00FD54FC" w:rsidRPr="00E07C9A" w:rsidRDefault="00FD54FC" w:rsidP="00FD54FC">
            <w:pPr>
              <w:spacing w:before="0" w:after="0"/>
              <w:ind w:left="33"/>
              <w:rPr>
                <w:rFonts w:ascii="Times New Roman" w:hAnsi="Times New Roman"/>
                <w:b/>
                <w:bCs/>
                <w:sz w:val="24"/>
                <w:u w:val="single"/>
              </w:rPr>
            </w:pPr>
            <w:r w:rsidRPr="00E07C9A">
              <w:rPr>
                <w:rFonts w:ascii="Times New Roman" w:hAnsi="Times New Roman"/>
                <w:b/>
                <w:sz w:val="24"/>
                <w:u w:val="single"/>
              </w:rPr>
              <w:t>Štandardizovaný prístup</w:t>
            </w:r>
          </w:p>
          <w:p w14:paraId="1B4AD0DD" w14:textId="77777777" w:rsidR="00FD54FC" w:rsidRPr="00E07C9A" w:rsidRDefault="00FD54FC" w:rsidP="00FD54FC">
            <w:pPr>
              <w:spacing w:before="0" w:after="0"/>
              <w:ind w:left="33"/>
              <w:rPr>
                <w:rFonts w:ascii="Times New Roman" w:hAnsi="Times New Roman"/>
                <w:bCs/>
                <w:sz w:val="24"/>
                <w:lang w:eastAsia="de-DE"/>
              </w:rPr>
            </w:pPr>
          </w:p>
          <w:p w14:paraId="203B7432" w14:textId="7BF4695E" w:rsidR="00FD54FC" w:rsidRPr="00E07C9A" w:rsidRDefault="00FD54FC" w:rsidP="00FD54FC">
            <w:pPr>
              <w:spacing w:before="0" w:after="0"/>
              <w:ind w:left="33"/>
              <w:rPr>
                <w:rFonts w:ascii="Times New Roman" w:hAnsi="Times New Roman"/>
                <w:bCs/>
                <w:sz w:val="24"/>
              </w:rPr>
            </w:pPr>
            <w:r w:rsidRPr="00E07C9A">
              <w:rPr>
                <w:rFonts w:ascii="Times New Roman" w:hAnsi="Times New Roman"/>
                <w:sz w:val="24"/>
              </w:rPr>
              <w:t>Expozície voči orgánom verejnej správy, ktoré sú rizikovo vážené</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treťou časťou hlavou II kapitolou 2 nariadenia (EÚ) </w:t>
            </w:r>
            <w:r w:rsidR="009912F8" w:rsidRPr="00E07C9A">
              <w:rPr>
                <w:rFonts w:ascii="Times New Roman" w:hAnsi="Times New Roman"/>
                <w:sz w:val="24"/>
              </w:rPr>
              <w:t>č. 575/2013</w:t>
            </w:r>
            <w:r w:rsidRPr="00E07C9A">
              <w:rPr>
                <w:rFonts w:ascii="Times New Roman" w:hAnsi="Times New Roman"/>
                <w:sz w:val="24"/>
              </w:rPr>
              <w:t>, vrátane expozícií</w:t>
            </w:r>
            <w:r w:rsidR="009912F8" w:rsidRPr="00E07C9A">
              <w:rPr>
                <w:rFonts w:ascii="Times New Roman" w:hAnsi="Times New Roman"/>
                <w:sz w:val="24"/>
              </w:rPr>
              <w:t xml:space="preserve"> z </w:t>
            </w:r>
            <w:r w:rsidRPr="00E07C9A">
              <w:rPr>
                <w:rFonts w:ascii="Times New Roman" w:hAnsi="Times New Roman"/>
                <w:sz w:val="24"/>
              </w:rPr>
              <w:t>neobchodnej knihy,</w:t>
            </w:r>
            <w:r w:rsidR="009912F8" w:rsidRPr="00E07C9A">
              <w:rPr>
                <w:rFonts w:ascii="Times New Roman" w:hAnsi="Times New Roman"/>
                <w:sz w:val="24"/>
              </w:rPr>
              <w:t xml:space="preserve"> v </w:t>
            </w:r>
            <w:r w:rsidRPr="00E07C9A">
              <w:rPr>
                <w:rFonts w:ascii="Times New Roman" w:hAnsi="Times New Roman"/>
                <w:sz w:val="24"/>
              </w:rPr>
              <w:t>prípade ktorých rizikové váženie</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uvedenou kapitolou rieši kreditné riziko protistrany.</w:t>
            </w:r>
          </w:p>
          <w:p w14:paraId="23E567B3" w14:textId="77777777" w:rsidR="00FD54FC" w:rsidRPr="00E07C9A" w:rsidRDefault="00FD54FC" w:rsidP="00FD54FC">
            <w:pPr>
              <w:spacing w:before="0" w:after="0"/>
              <w:ind w:left="33"/>
              <w:rPr>
                <w:rFonts w:ascii="Times New Roman" w:hAnsi="Times New Roman"/>
                <w:bCs/>
                <w:sz w:val="24"/>
                <w:lang w:eastAsia="de-DE"/>
              </w:rPr>
            </w:pPr>
          </w:p>
        </w:tc>
      </w:tr>
      <w:tr w:rsidR="00FD54FC" w:rsidRPr="00E07C9A" w14:paraId="50EF9A53" w14:textId="77777777" w:rsidTr="00672D2A">
        <w:tc>
          <w:tcPr>
            <w:tcW w:w="1188" w:type="dxa"/>
          </w:tcPr>
          <w:p w14:paraId="3EC48E4A" w14:textId="77777777" w:rsidR="00FD54FC" w:rsidRPr="00E07C9A" w:rsidRDefault="00535792" w:rsidP="00FD54FC">
            <w:pPr>
              <w:spacing w:before="0" w:after="0"/>
              <w:ind w:left="33"/>
              <w:rPr>
                <w:rFonts w:ascii="Times New Roman" w:hAnsi="Times New Roman"/>
                <w:bCs/>
                <w:sz w:val="24"/>
              </w:rPr>
            </w:pPr>
            <w:r w:rsidRPr="00E07C9A">
              <w:rPr>
                <w:rFonts w:ascii="Times New Roman" w:hAnsi="Times New Roman"/>
                <w:sz w:val="24"/>
              </w:rPr>
              <w:t>0040</w:t>
            </w:r>
          </w:p>
        </w:tc>
        <w:tc>
          <w:tcPr>
            <w:tcW w:w="8701" w:type="dxa"/>
          </w:tcPr>
          <w:p w14:paraId="159388AC" w14:textId="77777777" w:rsidR="00FD54FC" w:rsidRPr="00E07C9A" w:rsidRDefault="00FD54FC" w:rsidP="00FD54FC">
            <w:pPr>
              <w:spacing w:before="0" w:after="0"/>
              <w:ind w:left="33"/>
              <w:rPr>
                <w:rFonts w:ascii="Times New Roman" w:hAnsi="Times New Roman"/>
                <w:b/>
                <w:bCs/>
                <w:sz w:val="24"/>
                <w:u w:val="single"/>
              </w:rPr>
            </w:pPr>
            <w:r w:rsidRPr="00E07C9A">
              <w:rPr>
                <w:rFonts w:ascii="Times New Roman" w:hAnsi="Times New Roman"/>
                <w:b/>
                <w:sz w:val="24"/>
                <w:u w:val="single"/>
              </w:rPr>
              <w:t>Ústredné vlády</w:t>
            </w:r>
          </w:p>
          <w:p w14:paraId="57EEF584" w14:textId="77777777" w:rsidR="00FD54FC" w:rsidRPr="00E07C9A" w:rsidRDefault="00FD54FC" w:rsidP="00FD54FC">
            <w:pPr>
              <w:spacing w:before="0" w:after="0"/>
              <w:ind w:left="33"/>
              <w:rPr>
                <w:rFonts w:ascii="Times New Roman" w:hAnsi="Times New Roman"/>
                <w:bCs/>
                <w:sz w:val="24"/>
                <w:lang w:eastAsia="de-DE"/>
              </w:rPr>
            </w:pPr>
          </w:p>
          <w:p w14:paraId="054DAA4A" w14:textId="13534C72" w:rsidR="00FD54FC" w:rsidRPr="00E07C9A" w:rsidRDefault="00FD54FC" w:rsidP="00FD54FC">
            <w:pPr>
              <w:spacing w:before="0" w:after="0"/>
              <w:ind w:left="33"/>
              <w:rPr>
                <w:rFonts w:ascii="Times New Roman" w:hAnsi="Times New Roman"/>
                <w:bCs/>
                <w:sz w:val="24"/>
              </w:rPr>
            </w:pPr>
            <w:r w:rsidRPr="00E07C9A">
              <w:rPr>
                <w:rFonts w:ascii="Times New Roman" w:hAnsi="Times New Roman"/>
                <w:sz w:val="24"/>
              </w:rPr>
              <w:t>Expozície voči orgánom verejnej správy, ktoré sú ústrednými vládami. Tieto expozície sú zaradené do triedy expozícií „ústredné vlády alebo centrálne banky“</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článkami 112</w:t>
            </w:r>
            <w:r w:rsidR="009912F8" w:rsidRPr="00E07C9A">
              <w:rPr>
                <w:rFonts w:ascii="Times New Roman" w:hAnsi="Times New Roman"/>
                <w:sz w:val="24"/>
              </w:rPr>
              <w:t xml:space="preserve"> a </w:t>
            </w:r>
            <w:r w:rsidRPr="00E07C9A">
              <w:rPr>
                <w:rFonts w:ascii="Times New Roman" w:hAnsi="Times New Roman"/>
                <w:sz w:val="24"/>
              </w:rPr>
              <w:t xml:space="preserve">114 nariadenia (EÚ) </w:t>
            </w:r>
            <w:r w:rsidR="009912F8" w:rsidRPr="00E07C9A">
              <w:rPr>
                <w:rFonts w:ascii="Times New Roman" w:hAnsi="Times New Roman"/>
                <w:sz w:val="24"/>
              </w:rPr>
              <w:t>č. 575/2013</w:t>
            </w:r>
            <w:r w:rsidRPr="00E07C9A">
              <w:rPr>
                <w:rFonts w:ascii="Times New Roman" w:hAnsi="Times New Roman"/>
                <w:sz w:val="24"/>
              </w:rPr>
              <w:t>, ako sa stanovuje</w:t>
            </w:r>
            <w:r w:rsidR="009912F8" w:rsidRPr="00E07C9A">
              <w:rPr>
                <w:rFonts w:ascii="Times New Roman" w:hAnsi="Times New Roman"/>
                <w:sz w:val="24"/>
              </w:rPr>
              <w:t xml:space="preserve"> v </w:t>
            </w:r>
            <w:r w:rsidRPr="00E07C9A">
              <w:rPr>
                <w:rFonts w:ascii="Times New Roman" w:hAnsi="Times New Roman"/>
                <w:sz w:val="24"/>
              </w:rPr>
              <w:t>pokynoch pre vzor C 07.00,</w:t>
            </w:r>
            <w:r w:rsidR="009912F8" w:rsidRPr="00E07C9A">
              <w:rPr>
                <w:rFonts w:ascii="Times New Roman" w:hAnsi="Times New Roman"/>
                <w:sz w:val="24"/>
              </w:rPr>
              <w:t xml:space="preserve"> s </w:t>
            </w:r>
            <w:r w:rsidRPr="00E07C9A">
              <w:rPr>
                <w:rFonts w:ascii="Times New Roman" w:hAnsi="Times New Roman"/>
                <w:sz w:val="24"/>
              </w:rPr>
              <w:t>výnimkou špecifikácií, pokiaľ ide</w:t>
            </w:r>
            <w:r w:rsidR="009912F8" w:rsidRPr="00E07C9A">
              <w:rPr>
                <w:rFonts w:ascii="Times New Roman" w:hAnsi="Times New Roman"/>
                <w:sz w:val="24"/>
              </w:rPr>
              <w:t xml:space="preserve"> o </w:t>
            </w:r>
            <w:r w:rsidRPr="00E07C9A">
              <w:rPr>
                <w:rFonts w:ascii="Times New Roman" w:hAnsi="Times New Roman"/>
                <w:sz w:val="24"/>
              </w:rPr>
              <w:t>preradenie expozícií voči orgánom verejnej správy do iných tried expozícií</w:t>
            </w:r>
            <w:r w:rsidR="009912F8" w:rsidRPr="00E07C9A">
              <w:rPr>
                <w:rFonts w:ascii="Times New Roman" w:hAnsi="Times New Roman"/>
                <w:sz w:val="24"/>
              </w:rPr>
              <w:t xml:space="preserve"> z </w:t>
            </w:r>
            <w:r w:rsidRPr="00E07C9A">
              <w:rPr>
                <w:rFonts w:ascii="Times New Roman" w:hAnsi="Times New Roman"/>
                <w:sz w:val="24"/>
              </w:rPr>
              <w:t>dôvodu uplatnenia postupov zmierňovania kreditného rizika so substitučnými účinkami na expozíciu, ktoré sa neuplatňujú.</w:t>
            </w:r>
          </w:p>
          <w:p w14:paraId="0F8A8A7D" w14:textId="77777777" w:rsidR="00FD54FC" w:rsidRPr="00E07C9A" w:rsidRDefault="00FD54FC" w:rsidP="00FD54FC">
            <w:pPr>
              <w:spacing w:before="0" w:after="0"/>
              <w:ind w:left="33"/>
              <w:rPr>
                <w:rFonts w:ascii="Times New Roman" w:hAnsi="Times New Roman"/>
                <w:bCs/>
                <w:sz w:val="24"/>
                <w:lang w:eastAsia="de-DE"/>
              </w:rPr>
            </w:pPr>
          </w:p>
        </w:tc>
      </w:tr>
      <w:tr w:rsidR="00FD54FC" w:rsidRPr="00E07C9A" w14:paraId="771631DF" w14:textId="77777777" w:rsidTr="00672D2A">
        <w:tc>
          <w:tcPr>
            <w:tcW w:w="1188" w:type="dxa"/>
          </w:tcPr>
          <w:p w14:paraId="130055D8" w14:textId="77777777" w:rsidR="00FD54FC" w:rsidRPr="00E07C9A" w:rsidRDefault="00535792" w:rsidP="00FD54FC">
            <w:pPr>
              <w:spacing w:before="0" w:after="0"/>
              <w:ind w:left="33"/>
              <w:rPr>
                <w:rFonts w:ascii="Times New Roman" w:hAnsi="Times New Roman"/>
                <w:bCs/>
                <w:sz w:val="24"/>
              </w:rPr>
            </w:pPr>
            <w:r w:rsidRPr="00E07C9A">
              <w:rPr>
                <w:rFonts w:ascii="Times New Roman" w:hAnsi="Times New Roman"/>
                <w:sz w:val="24"/>
              </w:rPr>
              <w:t>0050</w:t>
            </w:r>
          </w:p>
        </w:tc>
        <w:tc>
          <w:tcPr>
            <w:tcW w:w="8701" w:type="dxa"/>
          </w:tcPr>
          <w:p w14:paraId="0EEA0455" w14:textId="77777777" w:rsidR="00FD54FC" w:rsidRPr="00E07C9A" w:rsidRDefault="00FD54FC" w:rsidP="00FD54FC">
            <w:pPr>
              <w:spacing w:before="0" w:after="0"/>
              <w:ind w:left="33"/>
              <w:rPr>
                <w:rFonts w:ascii="Times New Roman" w:hAnsi="Times New Roman"/>
                <w:b/>
                <w:bCs/>
                <w:sz w:val="24"/>
                <w:u w:val="single"/>
              </w:rPr>
            </w:pPr>
            <w:r w:rsidRPr="00E07C9A">
              <w:rPr>
                <w:rFonts w:ascii="Times New Roman" w:hAnsi="Times New Roman"/>
                <w:b/>
                <w:sz w:val="24"/>
                <w:u w:val="single"/>
              </w:rPr>
              <w:t>Regionálne vlády alebo miestne orgány</w:t>
            </w:r>
          </w:p>
          <w:p w14:paraId="42B4E195" w14:textId="77777777" w:rsidR="00FD54FC" w:rsidRPr="00E07C9A" w:rsidRDefault="00FD54FC" w:rsidP="00FD54FC">
            <w:pPr>
              <w:spacing w:before="0" w:after="0"/>
              <w:ind w:left="33"/>
              <w:rPr>
                <w:rFonts w:ascii="Times New Roman" w:hAnsi="Times New Roman"/>
                <w:bCs/>
                <w:sz w:val="24"/>
                <w:lang w:eastAsia="de-DE"/>
              </w:rPr>
            </w:pPr>
          </w:p>
          <w:p w14:paraId="303EED84" w14:textId="43D3C6BA" w:rsidR="00FD54FC" w:rsidRPr="00E07C9A" w:rsidRDefault="00FD54FC" w:rsidP="00FD54FC">
            <w:pPr>
              <w:spacing w:before="0" w:after="0"/>
              <w:ind w:left="33"/>
              <w:rPr>
                <w:rFonts w:ascii="Times New Roman" w:hAnsi="Times New Roman"/>
                <w:bCs/>
                <w:sz w:val="24"/>
              </w:rPr>
            </w:pPr>
            <w:r w:rsidRPr="00E07C9A">
              <w:rPr>
                <w:rFonts w:ascii="Times New Roman" w:hAnsi="Times New Roman"/>
                <w:sz w:val="24"/>
              </w:rPr>
              <w:t>Expozície voči orgánom verejnej správy, ktoré sú regionálnymi vládami alebo miestnymi orgánmi. Tieto expozície sú zaradené do triedy expozícií „regionálne vlády alebo miestne orgány“</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článkami 112</w:t>
            </w:r>
            <w:r w:rsidR="009912F8" w:rsidRPr="00E07C9A">
              <w:rPr>
                <w:rFonts w:ascii="Times New Roman" w:hAnsi="Times New Roman"/>
                <w:sz w:val="24"/>
              </w:rPr>
              <w:t xml:space="preserve"> a </w:t>
            </w:r>
            <w:r w:rsidRPr="00E07C9A">
              <w:rPr>
                <w:rFonts w:ascii="Times New Roman" w:hAnsi="Times New Roman"/>
                <w:sz w:val="24"/>
              </w:rPr>
              <w:t xml:space="preserve">115 nariadenia (EÚ) </w:t>
            </w:r>
            <w:r w:rsidR="009912F8" w:rsidRPr="00E07C9A">
              <w:rPr>
                <w:rFonts w:ascii="Times New Roman" w:hAnsi="Times New Roman"/>
                <w:sz w:val="24"/>
              </w:rPr>
              <w:t>č. 575/2013</w:t>
            </w:r>
            <w:r w:rsidRPr="00E07C9A">
              <w:rPr>
                <w:rFonts w:ascii="Times New Roman" w:hAnsi="Times New Roman"/>
                <w:sz w:val="24"/>
              </w:rPr>
              <w:t>, ako sa stanovuje</w:t>
            </w:r>
            <w:r w:rsidR="009912F8" w:rsidRPr="00E07C9A">
              <w:rPr>
                <w:rFonts w:ascii="Times New Roman" w:hAnsi="Times New Roman"/>
                <w:sz w:val="24"/>
              </w:rPr>
              <w:t xml:space="preserve"> v </w:t>
            </w:r>
            <w:r w:rsidRPr="00E07C9A">
              <w:rPr>
                <w:rFonts w:ascii="Times New Roman" w:hAnsi="Times New Roman"/>
                <w:sz w:val="24"/>
              </w:rPr>
              <w:t>pokynoch pre vzor C 07.00,</w:t>
            </w:r>
            <w:r w:rsidR="009912F8" w:rsidRPr="00E07C9A">
              <w:rPr>
                <w:rFonts w:ascii="Times New Roman" w:hAnsi="Times New Roman"/>
                <w:sz w:val="24"/>
              </w:rPr>
              <w:t xml:space="preserve"> s </w:t>
            </w:r>
            <w:r w:rsidRPr="00E07C9A">
              <w:rPr>
                <w:rFonts w:ascii="Times New Roman" w:hAnsi="Times New Roman"/>
                <w:sz w:val="24"/>
              </w:rPr>
              <w:t>výnimkou špecifikácií, pokiaľ ide</w:t>
            </w:r>
            <w:r w:rsidR="009912F8" w:rsidRPr="00E07C9A">
              <w:rPr>
                <w:rFonts w:ascii="Times New Roman" w:hAnsi="Times New Roman"/>
                <w:sz w:val="24"/>
              </w:rPr>
              <w:t xml:space="preserve"> o </w:t>
            </w:r>
            <w:r w:rsidRPr="00E07C9A">
              <w:rPr>
                <w:rFonts w:ascii="Times New Roman" w:hAnsi="Times New Roman"/>
                <w:sz w:val="24"/>
              </w:rPr>
              <w:t>preradenie expozícií voči orgánom verejnej správy do iných tried expozícií</w:t>
            </w:r>
            <w:r w:rsidR="009912F8" w:rsidRPr="00E07C9A">
              <w:rPr>
                <w:rFonts w:ascii="Times New Roman" w:hAnsi="Times New Roman"/>
                <w:sz w:val="24"/>
              </w:rPr>
              <w:t xml:space="preserve"> z </w:t>
            </w:r>
            <w:r w:rsidRPr="00E07C9A">
              <w:rPr>
                <w:rFonts w:ascii="Times New Roman" w:hAnsi="Times New Roman"/>
                <w:sz w:val="24"/>
              </w:rPr>
              <w:t>dôvodu uplatnenia postupov zmierňovania kreditného rizika so substitučnými účinkami na expozíciu, ktoré sa neuplatňujú.</w:t>
            </w:r>
          </w:p>
          <w:p w14:paraId="792AB95E" w14:textId="77777777" w:rsidR="00FD54FC" w:rsidRPr="00E07C9A" w:rsidRDefault="00FD54FC" w:rsidP="00FD54FC">
            <w:pPr>
              <w:spacing w:before="0" w:after="0"/>
              <w:ind w:left="33"/>
              <w:rPr>
                <w:rFonts w:ascii="Times New Roman" w:hAnsi="Times New Roman"/>
                <w:bCs/>
                <w:sz w:val="24"/>
                <w:lang w:eastAsia="de-DE"/>
              </w:rPr>
            </w:pPr>
          </w:p>
        </w:tc>
      </w:tr>
      <w:tr w:rsidR="00FD54FC" w:rsidRPr="00E07C9A" w14:paraId="1F7649BE" w14:textId="77777777" w:rsidTr="00672D2A">
        <w:tc>
          <w:tcPr>
            <w:tcW w:w="1188" w:type="dxa"/>
          </w:tcPr>
          <w:p w14:paraId="2984396A" w14:textId="77777777" w:rsidR="00FD54FC" w:rsidRPr="00E07C9A" w:rsidRDefault="00535792" w:rsidP="00FD54FC">
            <w:pPr>
              <w:spacing w:before="0" w:after="0"/>
              <w:ind w:left="33"/>
              <w:rPr>
                <w:rFonts w:ascii="Times New Roman" w:hAnsi="Times New Roman"/>
                <w:bCs/>
                <w:sz w:val="24"/>
              </w:rPr>
            </w:pPr>
            <w:r w:rsidRPr="00E07C9A">
              <w:rPr>
                <w:rFonts w:ascii="Times New Roman" w:hAnsi="Times New Roman"/>
                <w:sz w:val="24"/>
              </w:rPr>
              <w:t>0060</w:t>
            </w:r>
          </w:p>
        </w:tc>
        <w:tc>
          <w:tcPr>
            <w:tcW w:w="8701" w:type="dxa"/>
          </w:tcPr>
          <w:p w14:paraId="509B65A8" w14:textId="77777777" w:rsidR="00FD54FC" w:rsidRPr="00E07C9A" w:rsidRDefault="00FD54FC" w:rsidP="00FD54FC">
            <w:pPr>
              <w:spacing w:before="0" w:after="0"/>
              <w:ind w:left="33"/>
              <w:rPr>
                <w:rFonts w:ascii="Times New Roman" w:hAnsi="Times New Roman"/>
                <w:b/>
                <w:bCs/>
                <w:sz w:val="24"/>
                <w:u w:val="single"/>
              </w:rPr>
            </w:pPr>
            <w:r w:rsidRPr="00E07C9A">
              <w:rPr>
                <w:rFonts w:ascii="Times New Roman" w:hAnsi="Times New Roman"/>
                <w:b/>
                <w:sz w:val="24"/>
                <w:u w:val="single"/>
              </w:rPr>
              <w:t>Subjekty verejného sektora</w:t>
            </w:r>
          </w:p>
          <w:p w14:paraId="7497C92D" w14:textId="77777777" w:rsidR="00FD54FC" w:rsidRPr="00E07C9A" w:rsidRDefault="00FD54FC" w:rsidP="00FD54FC">
            <w:pPr>
              <w:spacing w:before="0" w:after="0"/>
              <w:ind w:left="33"/>
              <w:rPr>
                <w:rFonts w:ascii="Times New Roman" w:hAnsi="Times New Roman"/>
                <w:bCs/>
                <w:sz w:val="24"/>
                <w:lang w:eastAsia="de-DE"/>
              </w:rPr>
            </w:pPr>
          </w:p>
          <w:p w14:paraId="7E0DB9CE" w14:textId="5A81656B" w:rsidR="00FD54FC" w:rsidRPr="00E07C9A" w:rsidRDefault="00FD54FC" w:rsidP="00FD54FC">
            <w:pPr>
              <w:spacing w:before="0" w:after="0"/>
              <w:ind w:left="33"/>
              <w:rPr>
                <w:rFonts w:ascii="Times New Roman" w:hAnsi="Times New Roman"/>
                <w:bCs/>
                <w:sz w:val="24"/>
              </w:rPr>
            </w:pPr>
            <w:r w:rsidRPr="00E07C9A">
              <w:rPr>
                <w:rFonts w:ascii="Times New Roman" w:hAnsi="Times New Roman"/>
                <w:sz w:val="24"/>
              </w:rPr>
              <w:t>Expozície voči orgánom verejnej správy, ktoré sú subjektmi verejného sektora. Tieto expozície sú zaradené do triedy expozícií „subjekty verejného sektora“</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článkami 112</w:t>
            </w:r>
            <w:r w:rsidR="009912F8" w:rsidRPr="00E07C9A">
              <w:rPr>
                <w:rFonts w:ascii="Times New Roman" w:hAnsi="Times New Roman"/>
                <w:sz w:val="24"/>
              </w:rPr>
              <w:t xml:space="preserve"> a </w:t>
            </w:r>
            <w:r w:rsidRPr="00E07C9A">
              <w:rPr>
                <w:rFonts w:ascii="Times New Roman" w:hAnsi="Times New Roman"/>
                <w:sz w:val="24"/>
              </w:rPr>
              <w:t xml:space="preserve">116 nariadenia (EÚ) </w:t>
            </w:r>
            <w:r w:rsidR="009912F8" w:rsidRPr="00E07C9A">
              <w:rPr>
                <w:rFonts w:ascii="Times New Roman" w:hAnsi="Times New Roman"/>
                <w:sz w:val="24"/>
              </w:rPr>
              <w:t>č. 575/2013</w:t>
            </w:r>
            <w:r w:rsidRPr="00E07C9A">
              <w:rPr>
                <w:rFonts w:ascii="Times New Roman" w:hAnsi="Times New Roman"/>
                <w:sz w:val="24"/>
              </w:rPr>
              <w:t>, ako sa stanovuje</w:t>
            </w:r>
            <w:r w:rsidR="009912F8" w:rsidRPr="00E07C9A">
              <w:rPr>
                <w:rFonts w:ascii="Times New Roman" w:hAnsi="Times New Roman"/>
                <w:sz w:val="24"/>
              </w:rPr>
              <w:t xml:space="preserve"> v </w:t>
            </w:r>
            <w:r w:rsidRPr="00E07C9A">
              <w:rPr>
                <w:rFonts w:ascii="Times New Roman" w:hAnsi="Times New Roman"/>
                <w:sz w:val="24"/>
              </w:rPr>
              <w:t>pokynoch pre vzor C 07.00,</w:t>
            </w:r>
            <w:r w:rsidR="009912F8" w:rsidRPr="00E07C9A">
              <w:rPr>
                <w:rFonts w:ascii="Times New Roman" w:hAnsi="Times New Roman"/>
                <w:sz w:val="24"/>
              </w:rPr>
              <w:t xml:space="preserve"> s </w:t>
            </w:r>
            <w:r w:rsidRPr="00E07C9A">
              <w:rPr>
                <w:rFonts w:ascii="Times New Roman" w:hAnsi="Times New Roman"/>
                <w:sz w:val="24"/>
              </w:rPr>
              <w:t>výnimkou špecifikácií, pokiaľ ide</w:t>
            </w:r>
            <w:r w:rsidR="009912F8" w:rsidRPr="00E07C9A">
              <w:rPr>
                <w:rFonts w:ascii="Times New Roman" w:hAnsi="Times New Roman"/>
                <w:sz w:val="24"/>
              </w:rPr>
              <w:t xml:space="preserve"> o </w:t>
            </w:r>
            <w:r w:rsidRPr="00E07C9A">
              <w:rPr>
                <w:rFonts w:ascii="Times New Roman" w:hAnsi="Times New Roman"/>
                <w:sz w:val="24"/>
              </w:rPr>
              <w:t>preradenie expozícií voči orgánom verejnej správy do iných tried expozícií</w:t>
            </w:r>
            <w:r w:rsidR="009912F8" w:rsidRPr="00E07C9A">
              <w:rPr>
                <w:rFonts w:ascii="Times New Roman" w:hAnsi="Times New Roman"/>
                <w:sz w:val="24"/>
              </w:rPr>
              <w:t xml:space="preserve"> z </w:t>
            </w:r>
            <w:r w:rsidRPr="00E07C9A">
              <w:rPr>
                <w:rFonts w:ascii="Times New Roman" w:hAnsi="Times New Roman"/>
                <w:sz w:val="24"/>
              </w:rPr>
              <w:t>dôvodu uplatnenia postupov zmierňovania kreditného rizika so substitučnými účinkami na expozíciu, ktoré sa neuplatňujú.</w:t>
            </w:r>
          </w:p>
          <w:p w14:paraId="6F9E1AC7" w14:textId="77777777" w:rsidR="00FD54FC" w:rsidRPr="00E07C9A" w:rsidRDefault="00FD54FC" w:rsidP="00FD54FC">
            <w:pPr>
              <w:spacing w:before="0" w:after="0"/>
              <w:ind w:left="33"/>
              <w:rPr>
                <w:rFonts w:ascii="Times New Roman" w:hAnsi="Times New Roman"/>
                <w:bCs/>
                <w:sz w:val="24"/>
                <w:lang w:eastAsia="de-DE"/>
              </w:rPr>
            </w:pPr>
          </w:p>
        </w:tc>
      </w:tr>
      <w:tr w:rsidR="00FD54FC" w:rsidRPr="00E07C9A" w14:paraId="1014B672" w14:textId="77777777" w:rsidTr="00672D2A">
        <w:tc>
          <w:tcPr>
            <w:tcW w:w="1188" w:type="dxa"/>
          </w:tcPr>
          <w:p w14:paraId="17F7C4D5" w14:textId="77777777" w:rsidR="00FD54FC" w:rsidRPr="00E07C9A" w:rsidRDefault="00535792" w:rsidP="00FD54FC">
            <w:pPr>
              <w:spacing w:before="0" w:after="0"/>
              <w:ind w:left="33"/>
              <w:rPr>
                <w:rFonts w:ascii="Times New Roman" w:hAnsi="Times New Roman"/>
                <w:bCs/>
                <w:sz w:val="24"/>
              </w:rPr>
            </w:pPr>
            <w:r w:rsidRPr="00E07C9A">
              <w:rPr>
                <w:rFonts w:ascii="Times New Roman" w:hAnsi="Times New Roman"/>
                <w:sz w:val="24"/>
              </w:rPr>
              <w:t>0070</w:t>
            </w:r>
          </w:p>
        </w:tc>
        <w:tc>
          <w:tcPr>
            <w:tcW w:w="8701" w:type="dxa"/>
          </w:tcPr>
          <w:p w14:paraId="1746EBCF" w14:textId="77777777" w:rsidR="00FD54FC" w:rsidRPr="00E07C9A" w:rsidRDefault="00FD54FC" w:rsidP="00FD54FC">
            <w:pPr>
              <w:spacing w:before="0" w:after="0"/>
              <w:ind w:left="33"/>
              <w:rPr>
                <w:rFonts w:ascii="Times New Roman" w:hAnsi="Times New Roman"/>
                <w:b/>
                <w:bCs/>
                <w:sz w:val="24"/>
                <w:u w:val="single"/>
              </w:rPr>
            </w:pPr>
            <w:r w:rsidRPr="00E07C9A">
              <w:rPr>
                <w:rFonts w:ascii="Times New Roman" w:hAnsi="Times New Roman"/>
                <w:b/>
                <w:sz w:val="24"/>
                <w:u w:val="single"/>
              </w:rPr>
              <w:t>Medzinárodné organizácie</w:t>
            </w:r>
          </w:p>
          <w:p w14:paraId="16D1222B" w14:textId="77777777" w:rsidR="00FD54FC" w:rsidRPr="00E07C9A" w:rsidRDefault="00FD54FC" w:rsidP="00FD54FC">
            <w:pPr>
              <w:spacing w:before="0" w:after="0"/>
              <w:ind w:left="33"/>
              <w:rPr>
                <w:rFonts w:ascii="Times New Roman" w:hAnsi="Times New Roman"/>
                <w:bCs/>
                <w:sz w:val="24"/>
                <w:lang w:eastAsia="de-DE"/>
              </w:rPr>
            </w:pPr>
          </w:p>
          <w:p w14:paraId="70188769" w14:textId="2FA38711" w:rsidR="00FD54FC" w:rsidRPr="00E07C9A" w:rsidRDefault="00530BA1" w:rsidP="00FD54FC">
            <w:pPr>
              <w:spacing w:before="0" w:after="0"/>
              <w:ind w:left="33"/>
              <w:rPr>
                <w:rFonts w:ascii="Times New Roman" w:hAnsi="Times New Roman"/>
                <w:bCs/>
                <w:sz w:val="24"/>
              </w:rPr>
            </w:pPr>
            <w:r w:rsidRPr="00E07C9A">
              <w:rPr>
                <w:rFonts w:ascii="Times New Roman" w:hAnsi="Times New Roman"/>
                <w:sz w:val="24"/>
              </w:rPr>
              <w:t>Expozície voči orgánom verejnej správy, ktoré sú medzinárodnými organizáciami. Tieto expozície sú zaradené do tried expozícií „medzinárodné organizácie“</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článkami 112</w:t>
            </w:r>
            <w:r w:rsidR="009912F8" w:rsidRPr="00E07C9A">
              <w:rPr>
                <w:rFonts w:ascii="Times New Roman" w:hAnsi="Times New Roman"/>
                <w:sz w:val="24"/>
              </w:rPr>
              <w:t xml:space="preserve"> a </w:t>
            </w:r>
            <w:r w:rsidRPr="00E07C9A">
              <w:rPr>
                <w:rFonts w:ascii="Times New Roman" w:hAnsi="Times New Roman"/>
                <w:sz w:val="24"/>
              </w:rPr>
              <w:t xml:space="preserve">118 nariadenia (EÚ) </w:t>
            </w:r>
            <w:r w:rsidR="009912F8" w:rsidRPr="00E07C9A">
              <w:rPr>
                <w:rFonts w:ascii="Times New Roman" w:hAnsi="Times New Roman"/>
                <w:sz w:val="24"/>
              </w:rPr>
              <w:t>č. 575/2013</w:t>
            </w:r>
            <w:r w:rsidRPr="00E07C9A">
              <w:rPr>
                <w:rFonts w:ascii="Times New Roman" w:hAnsi="Times New Roman"/>
                <w:sz w:val="24"/>
              </w:rPr>
              <w:t>, ako sa stanovuje</w:t>
            </w:r>
            <w:r w:rsidR="009912F8" w:rsidRPr="00E07C9A">
              <w:rPr>
                <w:rFonts w:ascii="Times New Roman" w:hAnsi="Times New Roman"/>
                <w:sz w:val="24"/>
              </w:rPr>
              <w:t xml:space="preserve"> v </w:t>
            </w:r>
            <w:r w:rsidRPr="00E07C9A">
              <w:rPr>
                <w:rFonts w:ascii="Times New Roman" w:hAnsi="Times New Roman"/>
                <w:sz w:val="24"/>
              </w:rPr>
              <w:t>pokynoch pre vzor C 07.00,</w:t>
            </w:r>
            <w:r w:rsidR="009912F8" w:rsidRPr="00E07C9A">
              <w:rPr>
                <w:rFonts w:ascii="Times New Roman" w:hAnsi="Times New Roman"/>
                <w:sz w:val="24"/>
              </w:rPr>
              <w:t xml:space="preserve"> s </w:t>
            </w:r>
            <w:r w:rsidRPr="00E07C9A">
              <w:rPr>
                <w:rFonts w:ascii="Times New Roman" w:hAnsi="Times New Roman"/>
                <w:sz w:val="24"/>
              </w:rPr>
              <w:t>výnimkou špecifikácií, pokiaľ ide</w:t>
            </w:r>
            <w:r w:rsidR="009912F8" w:rsidRPr="00E07C9A">
              <w:rPr>
                <w:rFonts w:ascii="Times New Roman" w:hAnsi="Times New Roman"/>
                <w:sz w:val="24"/>
              </w:rPr>
              <w:t xml:space="preserve"> o </w:t>
            </w:r>
            <w:r w:rsidRPr="00E07C9A">
              <w:rPr>
                <w:rFonts w:ascii="Times New Roman" w:hAnsi="Times New Roman"/>
                <w:sz w:val="24"/>
              </w:rPr>
              <w:t>preradenie expozícií voči orgánom verejnej správy do iných tried expozícií</w:t>
            </w:r>
            <w:r w:rsidR="009912F8" w:rsidRPr="00E07C9A">
              <w:rPr>
                <w:rFonts w:ascii="Times New Roman" w:hAnsi="Times New Roman"/>
                <w:sz w:val="24"/>
              </w:rPr>
              <w:t xml:space="preserve"> z </w:t>
            </w:r>
            <w:r w:rsidRPr="00E07C9A">
              <w:rPr>
                <w:rFonts w:ascii="Times New Roman" w:hAnsi="Times New Roman"/>
                <w:sz w:val="24"/>
              </w:rPr>
              <w:t>dôvodu uplatnenia postupov zmierňovania kreditného rizika so substitučnými účinkami na expozíciu, ktoré sa neuplatňujú.</w:t>
            </w:r>
          </w:p>
          <w:p w14:paraId="780FC565" w14:textId="77777777" w:rsidR="00FD54FC" w:rsidRPr="00E07C9A" w:rsidRDefault="00FD54FC" w:rsidP="00FD54FC">
            <w:pPr>
              <w:spacing w:before="0" w:after="0"/>
              <w:ind w:left="33"/>
              <w:rPr>
                <w:rFonts w:ascii="Times New Roman" w:hAnsi="Times New Roman"/>
                <w:b/>
                <w:bCs/>
                <w:sz w:val="24"/>
                <w:u w:val="single"/>
                <w:lang w:eastAsia="de-DE"/>
              </w:rPr>
            </w:pPr>
          </w:p>
        </w:tc>
      </w:tr>
      <w:tr w:rsidR="00CE47AF" w:rsidRPr="00E07C9A" w14:paraId="232371C5" w14:textId="77777777" w:rsidTr="00672D2A">
        <w:tc>
          <w:tcPr>
            <w:tcW w:w="1188" w:type="dxa"/>
          </w:tcPr>
          <w:p w14:paraId="05A7E58C" w14:textId="77777777" w:rsidR="00CE47AF" w:rsidRPr="00E07C9A" w:rsidRDefault="00535792" w:rsidP="00FD54FC">
            <w:pPr>
              <w:spacing w:before="0" w:after="0"/>
              <w:ind w:left="33"/>
              <w:rPr>
                <w:rFonts w:ascii="Times New Roman" w:hAnsi="Times New Roman"/>
                <w:bCs/>
                <w:sz w:val="24"/>
              </w:rPr>
            </w:pPr>
            <w:r w:rsidRPr="00E07C9A">
              <w:rPr>
                <w:rFonts w:ascii="Times New Roman" w:hAnsi="Times New Roman"/>
                <w:sz w:val="24"/>
              </w:rPr>
              <w:t>0075</w:t>
            </w:r>
          </w:p>
        </w:tc>
        <w:tc>
          <w:tcPr>
            <w:tcW w:w="8701" w:type="dxa"/>
          </w:tcPr>
          <w:p w14:paraId="151DCCD5" w14:textId="77777777" w:rsidR="00CE47AF" w:rsidRPr="00E07C9A" w:rsidRDefault="00CE47AF" w:rsidP="00FD54FC">
            <w:pPr>
              <w:spacing w:before="0" w:after="0"/>
              <w:ind w:left="33"/>
              <w:rPr>
                <w:rFonts w:ascii="Times New Roman" w:hAnsi="Times New Roman"/>
                <w:b/>
                <w:bCs/>
                <w:sz w:val="24"/>
                <w:u w:val="single"/>
              </w:rPr>
            </w:pPr>
            <w:r w:rsidRPr="00E07C9A">
              <w:rPr>
                <w:rFonts w:ascii="Times New Roman" w:hAnsi="Times New Roman"/>
                <w:b/>
                <w:sz w:val="24"/>
                <w:u w:val="single"/>
              </w:rPr>
              <w:t>Iné expozície voči orgánom verejnej správy, na ktoré sa uplatňuje štandardizovaný prístup</w:t>
            </w:r>
          </w:p>
          <w:p w14:paraId="3347B7DC" w14:textId="77777777" w:rsidR="00CE47AF" w:rsidRPr="00E07C9A" w:rsidRDefault="00CE47AF" w:rsidP="00CE47AF">
            <w:pPr>
              <w:spacing w:before="0" w:after="0"/>
              <w:ind w:left="33"/>
              <w:rPr>
                <w:rFonts w:ascii="Times New Roman" w:hAnsi="Times New Roman"/>
                <w:bCs/>
                <w:sz w:val="24"/>
                <w:lang w:eastAsia="de-DE"/>
              </w:rPr>
            </w:pPr>
          </w:p>
          <w:p w14:paraId="61653A67" w14:textId="1310412E" w:rsidR="00CE47AF" w:rsidRPr="00E07C9A" w:rsidRDefault="00530BA1" w:rsidP="00FD54FC">
            <w:pPr>
              <w:spacing w:before="0" w:after="0"/>
              <w:ind w:left="33"/>
              <w:rPr>
                <w:rFonts w:ascii="Times New Roman" w:hAnsi="Times New Roman"/>
                <w:bCs/>
                <w:sz w:val="24"/>
              </w:rPr>
            </w:pPr>
            <w:r w:rsidRPr="00E07C9A">
              <w:rPr>
                <w:rFonts w:ascii="Times New Roman" w:hAnsi="Times New Roman"/>
                <w:sz w:val="24"/>
              </w:rPr>
              <w:t>Iné expozície voči orgánom verejnej správy ako tie, ktoré sú uvedené</w:t>
            </w:r>
            <w:r w:rsidR="009912F8" w:rsidRPr="00E07C9A">
              <w:rPr>
                <w:rFonts w:ascii="Times New Roman" w:hAnsi="Times New Roman"/>
                <w:sz w:val="24"/>
              </w:rPr>
              <w:t xml:space="preserve"> v </w:t>
            </w:r>
            <w:r w:rsidRPr="00E07C9A">
              <w:rPr>
                <w:rFonts w:ascii="Times New Roman" w:hAnsi="Times New Roman"/>
                <w:sz w:val="24"/>
              </w:rPr>
              <w:t>riadkoch 0040 až 0070 vyššie, ktoré sú pridelené triedam expozícií podľa štandardizovaného prístupu (SA)</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112 nariadenia (EÚ) </w:t>
            </w:r>
            <w:r w:rsidR="009912F8" w:rsidRPr="00E07C9A">
              <w:rPr>
                <w:rFonts w:ascii="Times New Roman" w:hAnsi="Times New Roman"/>
                <w:sz w:val="24"/>
              </w:rPr>
              <w:t>č. 575/2013</w:t>
            </w:r>
            <w:r w:rsidRPr="00E07C9A">
              <w:rPr>
                <w:rFonts w:ascii="Times New Roman" w:hAnsi="Times New Roman"/>
                <w:sz w:val="24"/>
              </w:rPr>
              <w:t xml:space="preserve"> na účely výpočtu požiadaviek na vlastné zdroje.</w:t>
            </w:r>
          </w:p>
          <w:p w14:paraId="037E6633" w14:textId="77777777" w:rsidR="00530BA1" w:rsidRPr="00E07C9A" w:rsidRDefault="00530BA1" w:rsidP="00530BA1">
            <w:pPr>
              <w:spacing w:before="0" w:after="0"/>
              <w:ind w:left="33"/>
              <w:rPr>
                <w:rFonts w:ascii="Times New Roman" w:hAnsi="Times New Roman"/>
                <w:b/>
                <w:bCs/>
                <w:sz w:val="24"/>
                <w:u w:val="single"/>
                <w:lang w:eastAsia="de-DE"/>
              </w:rPr>
            </w:pPr>
          </w:p>
        </w:tc>
      </w:tr>
      <w:tr w:rsidR="00FD54FC" w:rsidRPr="00E07C9A" w14:paraId="2367A6AC" w14:textId="77777777" w:rsidTr="00672D2A">
        <w:tc>
          <w:tcPr>
            <w:tcW w:w="1188" w:type="dxa"/>
          </w:tcPr>
          <w:p w14:paraId="21D051BC" w14:textId="77777777" w:rsidR="00FD54FC" w:rsidRPr="00E07C9A" w:rsidRDefault="00535792" w:rsidP="00FD54FC">
            <w:pPr>
              <w:spacing w:before="0" w:after="0"/>
              <w:ind w:left="33"/>
              <w:rPr>
                <w:rFonts w:ascii="Times New Roman" w:hAnsi="Times New Roman"/>
                <w:bCs/>
                <w:sz w:val="24"/>
              </w:rPr>
            </w:pPr>
            <w:r w:rsidRPr="00E07C9A">
              <w:rPr>
                <w:rFonts w:ascii="Times New Roman" w:hAnsi="Times New Roman"/>
                <w:sz w:val="24"/>
              </w:rPr>
              <w:t>0080</w:t>
            </w:r>
          </w:p>
        </w:tc>
        <w:tc>
          <w:tcPr>
            <w:tcW w:w="8701" w:type="dxa"/>
          </w:tcPr>
          <w:p w14:paraId="4FDC517E" w14:textId="77777777" w:rsidR="00FD54FC" w:rsidRPr="00E07C9A" w:rsidRDefault="00FD54FC" w:rsidP="00FD54FC">
            <w:pPr>
              <w:spacing w:before="0" w:after="0"/>
              <w:ind w:left="33"/>
              <w:rPr>
                <w:rFonts w:ascii="Times New Roman" w:hAnsi="Times New Roman"/>
                <w:b/>
                <w:bCs/>
                <w:sz w:val="24"/>
                <w:u w:val="single"/>
              </w:rPr>
            </w:pPr>
            <w:r w:rsidRPr="00E07C9A">
              <w:rPr>
                <w:rFonts w:ascii="Times New Roman" w:hAnsi="Times New Roman"/>
                <w:b/>
                <w:sz w:val="24"/>
                <w:u w:val="single"/>
              </w:rPr>
              <w:t>Prístup IRB</w:t>
            </w:r>
          </w:p>
          <w:p w14:paraId="522F3174" w14:textId="77777777" w:rsidR="00FD54FC" w:rsidRPr="00E07C9A" w:rsidRDefault="00FD54FC" w:rsidP="00FD54FC">
            <w:pPr>
              <w:spacing w:before="0" w:after="0"/>
              <w:ind w:left="33"/>
              <w:rPr>
                <w:rFonts w:ascii="Times New Roman" w:hAnsi="Times New Roman"/>
                <w:bCs/>
                <w:sz w:val="24"/>
                <w:lang w:eastAsia="de-DE"/>
              </w:rPr>
            </w:pPr>
          </w:p>
          <w:p w14:paraId="77891172" w14:textId="536DA27C" w:rsidR="00FD54FC" w:rsidRPr="00E07C9A" w:rsidRDefault="00FD54FC" w:rsidP="00FD54FC">
            <w:pPr>
              <w:spacing w:before="0" w:after="0"/>
              <w:ind w:left="33"/>
              <w:rPr>
                <w:rFonts w:ascii="Times New Roman" w:hAnsi="Times New Roman"/>
                <w:bCs/>
                <w:sz w:val="24"/>
              </w:rPr>
            </w:pPr>
            <w:r w:rsidRPr="00E07C9A">
              <w:rPr>
                <w:rFonts w:ascii="Times New Roman" w:hAnsi="Times New Roman"/>
                <w:sz w:val="24"/>
              </w:rPr>
              <w:t>Expozície voči orgánom verejnej správy, ktoré sú rizikovo vážené</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treťou časťou hlavou II kapitolou 3 nariadenia (EÚ) </w:t>
            </w:r>
            <w:r w:rsidR="009912F8" w:rsidRPr="00E07C9A">
              <w:rPr>
                <w:rFonts w:ascii="Times New Roman" w:hAnsi="Times New Roman"/>
                <w:sz w:val="24"/>
              </w:rPr>
              <w:t>č. 575/2013</w:t>
            </w:r>
            <w:r w:rsidRPr="00E07C9A">
              <w:rPr>
                <w:rFonts w:ascii="Times New Roman" w:hAnsi="Times New Roman"/>
                <w:sz w:val="24"/>
              </w:rPr>
              <w:t>, vrátane expozícií</w:t>
            </w:r>
            <w:r w:rsidR="009912F8" w:rsidRPr="00E07C9A">
              <w:rPr>
                <w:rFonts w:ascii="Times New Roman" w:hAnsi="Times New Roman"/>
                <w:sz w:val="24"/>
              </w:rPr>
              <w:t xml:space="preserve"> z </w:t>
            </w:r>
            <w:r w:rsidRPr="00E07C9A">
              <w:rPr>
                <w:rFonts w:ascii="Times New Roman" w:hAnsi="Times New Roman"/>
                <w:sz w:val="24"/>
              </w:rPr>
              <w:t>neobchodnej knihy, pre ktoré rizikové váženie</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uvedenou kapitolou rieši kreditné riziko protistrany.</w:t>
            </w:r>
          </w:p>
          <w:p w14:paraId="606F283D" w14:textId="77777777" w:rsidR="00FD54FC" w:rsidRPr="00E07C9A" w:rsidRDefault="00FD54FC" w:rsidP="00FD54FC">
            <w:pPr>
              <w:spacing w:before="0" w:after="0"/>
              <w:ind w:left="33"/>
              <w:rPr>
                <w:rFonts w:ascii="Times New Roman" w:hAnsi="Times New Roman"/>
                <w:bCs/>
                <w:sz w:val="24"/>
                <w:lang w:eastAsia="de-DE"/>
              </w:rPr>
            </w:pPr>
          </w:p>
        </w:tc>
      </w:tr>
      <w:tr w:rsidR="00FD54FC" w:rsidRPr="00E07C9A" w14:paraId="7B294175" w14:textId="77777777" w:rsidTr="00672D2A">
        <w:tc>
          <w:tcPr>
            <w:tcW w:w="1188" w:type="dxa"/>
          </w:tcPr>
          <w:p w14:paraId="5A71C749" w14:textId="77777777" w:rsidR="00FD54FC" w:rsidRPr="00E07C9A" w:rsidRDefault="00535792" w:rsidP="00FD54FC">
            <w:pPr>
              <w:spacing w:before="0" w:after="0"/>
              <w:ind w:left="33"/>
              <w:rPr>
                <w:rFonts w:ascii="Times New Roman" w:hAnsi="Times New Roman"/>
                <w:bCs/>
                <w:sz w:val="24"/>
              </w:rPr>
            </w:pPr>
            <w:r w:rsidRPr="00E07C9A">
              <w:rPr>
                <w:rFonts w:ascii="Times New Roman" w:hAnsi="Times New Roman"/>
                <w:sz w:val="24"/>
              </w:rPr>
              <w:t>0090</w:t>
            </w:r>
          </w:p>
        </w:tc>
        <w:tc>
          <w:tcPr>
            <w:tcW w:w="8701" w:type="dxa"/>
          </w:tcPr>
          <w:p w14:paraId="59F71B34" w14:textId="77777777" w:rsidR="00FD54FC" w:rsidRPr="00E07C9A" w:rsidRDefault="00FD54FC" w:rsidP="00FD54FC">
            <w:pPr>
              <w:spacing w:before="0" w:after="0"/>
              <w:ind w:left="33"/>
              <w:rPr>
                <w:rFonts w:ascii="Times New Roman" w:hAnsi="Times New Roman"/>
                <w:b/>
                <w:bCs/>
                <w:sz w:val="24"/>
                <w:u w:val="single"/>
              </w:rPr>
            </w:pPr>
            <w:r w:rsidRPr="00E07C9A">
              <w:rPr>
                <w:rFonts w:ascii="Times New Roman" w:hAnsi="Times New Roman"/>
                <w:b/>
                <w:sz w:val="24"/>
                <w:u w:val="single"/>
              </w:rPr>
              <w:t>Ústredné vlády</w:t>
            </w:r>
          </w:p>
          <w:p w14:paraId="77DB7201" w14:textId="77777777" w:rsidR="00FD54FC" w:rsidRPr="00E07C9A" w:rsidRDefault="00FD54FC" w:rsidP="00FD54FC">
            <w:pPr>
              <w:spacing w:before="0" w:after="0"/>
              <w:ind w:left="33"/>
              <w:rPr>
                <w:rFonts w:ascii="Times New Roman" w:hAnsi="Times New Roman"/>
                <w:bCs/>
                <w:sz w:val="24"/>
                <w:lang w:eastAsia="de-DE"/>
              </w:rPr>
            </w:pPr>
          </w:p>
          <w:p w14:paraId="38B18195" w14:textId="6FF7F9FF" w:rsidR="00FD54FC" w:rsidRPr="00E07C9A" w:rsidRDefault="00FD54FC" w:rsidP="00FD54FC">
            <w:pPr>
              <w:spacing w:before="0" w:after="0"/>
              <w:ind w:left="33"/>
              <w:rPr>
                <w:rFonts w:ascii="Times New Roman" w:hAnsi="Times New Roman"/>
                <w:bCs/>
                <w:sz w:val="24"/>
              </w:rPr>
            </w:pPr>
            <w:r w:rsidRPr="00E07C9A">
              <w:rPr>
                <w:rFonts w:ascii="Times New Roman" w:hAnsi="Times New Roman"/>
                <w:sz w:val="24"/>
              </w:rPr>
              <w:t>Expozície voči orgánom verejnej správy, ktoré sú ústrednými vládami, zaradené do triedy expozícií „ústredné vlády</w:t>
            </w:r>
            <w:r w:rsidR="009912F8" w:rsidRPr="00E07C9A">
              <w:rPr>
                <w:rFonts w:ascii="Times New Roman" w:hAnsi="Times New Roman"/>
                <w:sz w:val="24"/>
              </w:rPr>
              <w:t xml:space="preserve"> a </w:t>
            </w:r>
            <w:r w:rsidRPr="00E07C9A">
              <w:rPr>
                <w:rFonts w:ascii="Times New Roman" w:hAnsi="Times New Roman"/>
                <w:sz w:val="24"/>
              </w:rPr>
              <w:t>centrálne banky“</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147 ods. 3 písm. a) nariadenia (EÚ) </w:t>
            </w:r>
            <w:r w:rsidR="009912F8" w:rsidRPr="00E07C9A">
              <w:rPr>
                <w:rFonts w:ascii="Times New Roman" w:hAnsi="Times New Roman"/>
                <w:sz w:val="24"/>
              </w:rPr>
              <w:t>č. 575/2013</w:t>
            </w:r>
            <w:r w:rsidRPr="00E07C9A">
              <w:rPr>
                <w:rFonts w:ascii="Times New Roman" w:hAnsi="Times New Roman"/>
                <w:sz w:val="24"/>
              </w:rPr>
              <w:t>, ako sa stanovuje</w:t>
            </w:r>
            <w:r w:rsidR="009912F8" w:rsidRPr="00E07C9A">
              <w:rPr>
                <w:rFonts w:ascii="Times New Roman" w:hAnsi="Times New Roman"/>
                <w:sz w:val="24"/>
              </w:rPr>
              <w:t xml:space="preserve"> v </w:t>
            </w:r>
            <w:r w:rsidRPr="00E07C9A">
              <w:rPr>
                <w:rFonts w:ascii="Times New Roman" w:hAnsi="Times New Roman"/>
                <w:sz w:val="24"/>
              </w:rPr>
              <w:t>pokynoch pre vzory C 08.01</w:t>
            </w:r>
            <w:r w:rsidR="009912F8" w:rsidRPr="00E07C9A">
              <w:rPr>
                <w:rFonts w:ascii="Times New Roman" w:hAnsi="Times New Roman"/>
                <w:sz w:val="24"/>
              </w:rPr>
              <w:t xml:space="preserve"> a </w:t>
            </w:r>
            <w:r w:rsidRPr="00E07C9A">
              <w:rPr>
                <w:rFonts w:ascii="Times New Roman" w:hAnsi="Times New Roman"/>
                <w:sz w:val="24"/>
              </w:rPr>
              <w:t>C 08.02,</w:t>
            </w:r>
            <w:r w:rsidR="009912F8" w:rsidRPr="00E07C9A">
              <w:rPr>
                <w:rFonts w:ascii="Times New Roman" w:hAnsi="Times New Roman"/>
                <w:sz w:val="24"/>
              </w:rPr>
              <w:t xml:space="preserve"> s </w:t>
            </w:r>
            <w:r w:rsidRPr="00E07C9A">
              <w:rPr>
                <w:rFonts w:ascii="Times New Roman" w:hAnsi="Times New Roman"/>
                <w:sz w:val="24"/>
              </w:rPr>
              <w:t>výnimkou špecifikácií, pokiaľ ide</w:t>
            </w:r>
            <w:r w:rsidR="009912F8" w:rsidRPr="00E07C9A">
              <w:rPr>
                <w:rFonts w:ascii="Times New Roman" w:hAnsi="Times New Roman"/>
                <w:sz w:val="24"/>
              </w:rPr>
              <w:t xml:space="preserve"> o </w:t>
            </w:r>
            <w:r w:rsidRPr="00E07C9A">
              <w:rPr>
                <w:rFonts w:ascii="Times New Roman" w:hAnsi="Times New Roman"/>
                <w:sz w:val="24"/>
              </w:rPr>
              <w:t>preradenie expozícií voči orgánom verejnej správy do iných tried expozícií</w:t>
            </w:r>
            <w:r w:rsidR="009912F8" w:rsidRPr="00E07C9A">
              <w:rPr>
                <w:rFonts w:ascii="Times New Roman" w:hAnsi="Times New Roman"/>
                <w:sz w:val="24"/>
              </w:rPr>
              <w:t xml:space="preserve"> z </w:t>
            </w:r>
            <w:r w:rsidRPr="00E07C9A">
              <w:rPr>
                <w:rFonts w:ascii="Times New Roman" w:hAnsi="Times New Roman"/>
                <w:sz w:val="24"/>
              </w:rPr>
              <w:t>dôvodu uplatnenia postupov zmierňovania kreditného rizika so substitučnými účinkami na expozíciu, ktoré sa neuplatňujú.</w:t>
            </w:r>
          </w:p>
          <w:p w14:paraId="0CC4F64B" w14:textId="77777777" w:rsidR="00FD54FC" w:rsidRPr="00E07C9A" w:rsidRDefault="00FD54FC" w:rsidP="00FD54FC">
            <w:pPr>
              <w:spacing w:before="0" w:after="0"/>
              <w:ind w:left="33"/>
              <w:rPr>
                <w:rFonts w:ascii="Times New Roman" w:hAnsi="Times New Roman"/>
                <w:bCs/>
                <w:sz w:val="24"/>
                <w:lang w:eastAsia="de-DE"/>
              </w:rPr>
            </w:pPr>
          </w:p>
        </w:tc>
      </w:tr>
      <w:tr w:rsidR="00FD54FC" w:rsidRPr="00E07C9A" w14:paraId="0583548C" w14:textId="77777777" w:rsidTr="00672D2A">
        <w:tc>
          <w:tcPr>
            <w:tcW w:w="1188" w:type="dxa"/>
          </w:tcPr>
          <w:p w14:paraId="78C117C4" w14:textId="77777777" w:rsidR="00FD54FC" w:rsidRPr="00E07C9A" w:rsidRDefault="00535792" w:rsidP="00FD54FC">
            <w:pPr>
              <w:spacing w:before="0" w:after="0"/>
              <w:ind w:left="33"/>
              <w:rPr>
                <w:rFonts w:ascii="Times New Roman" w:hAnsi="Times New Roman"/>
                <w:bCs/>
                <w:sz w:val="24"/>
              </w:rPr>
            </w:pPr>
            <w:r w:rsidRPr="00E07C9A">
              <w:rPr>
                <w:rFonts w:ascii="Times New Roman" w:hAnsi="Times New Roman"/>
                <w:sz w:val="24"/>
              </w:rPr>
              <w:t>0100</w:t>
            </w:r>
          </w:p>
        </w:tc>
        <w:tc>
          <w:tcPr>
            <w:tcW w:w="8701" w:type="dxa"/>
          </w:tcPr>
          <w:p w14:paraId="22B9BA8F" w14:textId="0FD7EA48" w:rsidR="00FD54FC" w:rsidRPr="00E07C9A" w:rsidRDefault="00FD54FC" w:rsidP="00FD54FC">
            <w:pPr>
              <w:spacing w:before="0" w:after="0"/>
              <w:ind w:left="33"/>
              <w:rPr>
                <w:rFonts w:ascii="Times New Roman" w:hAnsi="Times New Roman"/>
                <w:b/>
                <w:bCs/>
                <w:sz w:val="24"/>
                <w:u w:val="single"/>
              </w:rPr>
            </w:pPr>
            <w:r w:rsidRPr="00E07C9A">
              <w:rPr>
                <w:rFonts w:ascii="Times New Roman" w:hAnsi="Times New Roman"/>
                <w:b/>
                <w:sz w:val="24"/>
                <w:u w:val="single"/>
              </w:rPr>
              <w:t>Regionálne vlády alebo miestne orgány [ústredné vlády</w:t>
            </w:r>
            <w:r w:rsidR="009912F8" w:rsidRPr="00E07C9A">
              <w:rPr>
                <w:rFonts w:ascii="Times New Roman" w:hAnsi="Times New Roman"/>
                <w:b/>
                <w:sz w:val="24"/>
                <w:u w:val="single"/>
              </w:rPr>
              <w:t xml:space="preserve"> a </w:t>
            </w:r>
            <w:r w:rsidRPr="00E07C9A">
              <w:rPr>
                <w:rFonts w:ascii="Times New Roman" w:hAnsi="Times New Roman"/>
                <w:b/>
                <w:sz w:val="24"/>
                <w:u w:val="single"/>
              </w:rPr>
              <w:t>centrálne banky]</w:t>
            </w:r>
          </w:p>
          <w:p w14:paraId="4A36B945" w14:textId="77777777" w:rsidR="00FD54FC" w:rsidRPr="00E07C9A" w:rsidRDefault="00FD54FC" w:rsidP="00FD54FC">
            <w:pPr>
              <w:spacing w:before="0" w:after="0"/>
              <w:ind w:left="33"/>
              <w:rPr>
                <w:rFonts w:ascii="Times New Roman" w:hAnsi="Times New Roman"/>
                <w:bCs/>
                <w:sz w:val="24"/>
                <w:lang w:eastAsia="de-DE"/>
              </w:rPr>
            </w:pPr>
          </w:p>
          <w:p w14:paraId="306E642F" w14:textId="57BE0699" w:rsidR="00FD54FC" w:rsidRPr="00E07C9A" w:rsidRDefault="00FD54FC" w:rsidP="00FD54FC">
            <w:pPr>
              <w:spacing w:before="0" w:after="0"/>
              <w:ind w:left="33"/>
              <w:rPr>
                <w:rFonts w:ascii="Times New Roman" w:hAnsi="Times New Roman"/>
                <w:bCs/>
                <w:sz w:val="24"/>
              </w:rPr>
            </w:pPr>
            <w:r w:rsidRPr="00E07C9A">
              <w:rPr>
                <w:rFonts w:ascii="Times New Roman" w:hAnsi="Times New Roman"/>
                <w:sz w:val="24"/>
              </w:rPr>
              <w:t>Expozície voči orgánom verejnej správy, ktoré sú regionálnymi vládami alebo miestnymi orgánmi, zaradené do triedy expozícií „ústredné vlády</w:t>
            </w:r>
            <w:r w:rsidR="009912F8" w:rsidRPr="00E07C9A">
              <w:rPr>
                <w:rFonts w:ascii="Times New Roman" w:hAnsi="Times New Roman"/>
                <w:sz w:val="24"/>
              </w:rPr>
              <w:t xml:space="preserve"> a </w:t>
            </w:r>
            <w:r w:rsidRPr="00E07C9A">
              <w:rPr>
                <w:rFonts w:ascii="Times New Roman" w:hAnsi="Times New Roman"/>
                <w:sz w:val="24"/>
              </w:rPr>
              <w:t>centrálne banky“</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147 ods. 3 písm. a) nariadenia (EÚ) </w:t>
            </w:r>
            <w:r w:rsidR="009912F8" w:rsidRPr="00E07C9A">
              <w:rPr>
                <w:rFonts w:ascii="Times New Roman" w:hAnsi="Times New Roman"/>
                <w:sz w:val="24"/>
              </w:rPr>
              <w:t>č. 575/2013</w:t>
            </w:r>
            <w:r w:rsidRPr="00E07C9A">
              <w:rPr>
                <w:rFonts w:ascii="Times New Roman" w:hAnsi="Times New Roman"/>
                <w:sz w:val="24"/>
              </w:rPr>
              <w:t>, ako sa stanovuje</w:t>
            </w:r>
            <w:r w:rsidR="009912F8" w:rsidRPr="00E07C9A">
              <w:rPr>
                <w:rFonts w:ascii="Times New Roman" w:hAnsi="Times New Roman"/>
                <w:sz w:val="24"/>
              </w:rPr>
              <w:t xml:space="preserve"> v </w:t>
            </w:r>
            <w:r w:rsidRPr="00E07C9A">
              <w:rPr>
                <w:rFonts w:ascii="Times New Roman" w:hAnsi="Times New Roman"/>
                <w:sz w:val="24"/>
              </w:rPr>
              <w:t>pokynoch pre vzory C 08.01</w:t>
            </w:r>
            <w:r w:rsidR="009912F8" w:rsidRPr="00E07C9A">
              <w:rPr>
                <w:rFonts w:ascii="Times New Roman" w:hAnsi="Times New Roman"/>
                <w:sz w:val="24"/>
              </w:rPr>
              <w:t xml:space="preserve"> a </w:t>
            </w:r>
            <w:r w:rsidRPr="00E07C9A">
              <w:rPr>
                <w:rFonts w:ascii="Times New Roman" w:hAnsi="Times New Roman"/>
                <w:sz w:val="24"/>
              </w:rPr>
              <w:t>C 08.02,</w:t>
            </w:r>
            <w:r w:rsidR="009912F8" w:rsidRPr="00E07C9A">
              <w:rPr>
                <w:rFonts w:ascii="Times New Roman" w:hAnsi="Times New Roman"/>
                <w:sz w:val="24"/>
              </w:rPr>
              <w:t xml:space="preserve"> s </w:t>
            </w:r>
            <w:r w:rsidRPr="00E07C9A">
              <w:rPr>
                <w:rFonts w:ascii="Times New Roman" w:hAnsi="Times New Roman"/>
                <w:sz w:val="24"/>
              </w:rPr>
              <w:t>výnimkou špecifikácií, pokiaľ ide</w:t>
            </w:r>
            <w:r w:rsidR="009912F8" w:rsidRPr="00E07C9A">
              <w:rPr>
                <w:rFonts w:ascii="Times New Roman" w:hAnsi="Times New Roman"/>
                <w:sz w:val="24"/>
              </w:rPr>
              <w:t xml:space="preserve"> o </w:t>
            </w:r>
            <w:r w:rsidRPr="00E07C9A">
              <w:rPr>
                <w:rFonts w:ascii="Times New Roman" w:hAnsi="Times New Roman"/>
                <w:sz w:val="24"/>
              </w:rPr>
              <w:t>preradenie expozícií voči orgánom verejnej správy do iných tried expozícií</w:t>
            </w:r>
            <w:r w:rsidR="009912F8" w:rsidRPr="00E07C9A">
              <w:rPr>
                <w:rFonts w:ascii="Times New Roman" w:hAnsi="Times New Roman"/>
                <w:sz w:val="24"/>
              </w:rPr>
              <w:t xml:space="preserve"> z </w:t>
            </w:r>
            <w:r w:rsidRPr="00E07C9A">
              <w:rPr>
                <w:rFonts w:ascii="Times New Roman" w:hAnsi="Times New Roman"/>
                <w:sz w:val="24"/>
              </w:rPr>
              <w:t>dôvodu uplatnenia postupov zmierňovania kreditného rizika so substitučnými účinkami na expozíciu, ktoré sa neuplatňujú.</w:t>
            </w:r>
          </w:p>
          <w:p w14:paraId="160629EE" w14:textId="77777777" w:rsidR="00FD54FC" w:rsidRPr="00E07C9A" w:rsidRDefault="00FD54FC" w:rsidP="00FD54FC">
            <w:pPr>
              <w:spacing w:before="0" w:after="0"/>
              <w:ind w:left="33"/>
              <w:rPr>
                <w:rFonts w:ascii="Times New Roman" w:hAnsi="Times New Roman"/>
                <w:bCs/>
                <w:sz w:val="24"/>
                <w:lang w:eastAsia="de-DE"/>
              </w:rPr>
            </w:pPr>
          </w:p>
        </w:tc>
      </w:tr>
      <w:tr w:rsidR="00FD54FC" w:rsidRPr="00E07C9A" w14:paraId="4D0D3FBE" w14:textId="77777777" w:rsidTr="00672D2A">
        <w:tc>
          <w:tcPr>
            <w:tcW w:w="1188" w:type="dxa"/>
          </w:tcPr>
          <w:p w14:paraId="1A4F4478" w14:textId="77777777" w:rsidR="00FD54FC" w:rsidRPr="00E07C9A" w:rsidRDefault="00535792" w:rsidP="00FD54FC">
            <w:pPr>
              <w:spacing w:before="0" w:after="0"/>
              <w:ind w:left="33"/>
              <w:rPr>
                <w:rFonts w:ascii="Times New Roman" w:hAnsi="Times New Roman"/>
                <w:bCs/>
                <w:sz w:val="24"/>
              </w:rPr>
            </w:pPr>
            <w:r w:rsidRPr="00E07C9A">
              <w:rPr>
                <w:rFonts w:ascii="Times New Roman" w:hAnsi="Times New Roman"/>
                <w:sz w:val="24"/>
              </w:rPr>
              <w:t>0110</w:t>
            </w:r>
          </w:p>
        </w:tc>
        <w:tc>
          <w:tcPr>
            <w:tcW w:w="8701" w:type="dxa"/>
          </w:tcPr>
          <w:p w14:paraId="6E027F9D" w14:textId="77777777" w:rsidR="00FD54FC" w:rsidRPr="00E07C9A" w:rsidRDefault="00FD54FC" w:rsidP="00FD54FC">
            <w:pPr>
              <w:spacing w:before="0" w:after="0"/>
              <w:ind w:left="33"/>
              <w:rPr>
                <w:rFonts w:ascii="Times New Roman" w:hAnsi="Times New Roman"/>
                <w:b/>
                <w:bCs/>
                <w:sz w:val="24"/>
                <w:u w:val="single"/>
              </w:rPr>
            </w:pPr>
            <w:r w:rsidRPr="00E07C9A">
              <w:rPr>
                <w:rFonts w:ascii="Times New Roman" w:hAnsi="Times New Roman"/>
                <w:b/>
                <w:sz w:val="24"/>
                <w:u w:val="single"/>
              </w:rPr>
              <w:t>Regionálne vlády alebo miestne orgány [inštitúcie]</w:t>
            </w:r>
          </w:p>
          <w:p w14:paraId="70E6A9EF" w14:textId="77777777" w:rsidR="00FD54FC" w:rsidRPr="00E07C9A" w:rsidRDefault="00FD54FC" w:rsidP="00FD54FC">
            <w:pPr>
              <w:spacing w:before="0" w:after="0"/>
              <w:ind w:left="33"/>
              <w:rPr>
                <w:rFonts w:ascii="Times New Roman" w:hAnsi="Times New Roman"/>
                <w:bCs/>
                <w:sz w:val="24"/>
                <w:lang w:eastAsia="de-DE"/>
              </w:rPr>
            </w:pPr>
          </w:p>
          <w:p w14:paraId="5C12386C" w14:textId="6E91EA0D" w:rsidR="00FD54FC" w:rsidRPr="00E07C9A" w:rsidRDefault="00FD54FC" w:rsidP="00FD54FC">
            <w:pPr>
              <w:spacing w:before="0" w:after="0"/>
              <w:ind w:left="33"/>
              <w:rPr>
                <w:rFonts w:ascii="Times New Roman" w:hAnsi="Times New Roman"/>
                <w:bCs/>
                <w:sz w:val="24"/>
              </w:rPr>
            </w:pPr>
            <w:r w:rsidRPr="00E07C9A">
              <w:rPr>
                <w:rFonts w:ascii="Times New Roman" w:hAnsi="Times New Roman"/>
                <w:sz w:val="24"/>
              </w:rPr>
              <w:t>Expozície voči orgánom verejnej správy, ktoré sú regionálnymi vládami alebo miestnymi orgánmi, zaradené do triedy expozícií „inštitúcie“</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147 ods. 4 písm. a) nariadenia (EÚ) </w:t>
            </w:r>
            <w:r w:rsidR="009912F8" w:rsidRPr="00E07C9A">
              <w:rPr>
                <w:rFonts w:ascii="Times New Roman" w:hAnsi="Times New Roman"/>
                <w:sz w:val="24"/>
              </w:rPr>
              <w:t>č. 575/2013</w:t>
            </w:r>
            <w:r w:rsidRPr="00E07C9A">
              <w:rPr>
                <w:rFonts w:ascii="Times New Roman" w:hAnsi="Times New Roman"/>
                <w:sz w:val="24"/>
              </w:rPr>
              <w:t>, ako sa stanovuje</w:t>
            </w:r>
            <w:r w:rsidR="009912F8" w:rsidRPr="00E07C9A">
              <w:rPr>
                <w:rFonts w:ascii="Times New Roman" w:hAnsi="Times New Roman"/>
                <w:sz w:val="24"/>
              </w:rPr>
              <w:t xml:space="preserve"> v </w:t>
            </w:r>
            <w:r w:rsidRPr="00E07C9A">
              <w:rPr>
                <w:rFonts w:ascii="Times New Roman" w:hAnsi="Times New Roman"/>
                <w:sz w:val="24"/>
              </w:rPr>
              <w:t>pokynoch pre vzory C 08.01</w:t>
            </w:r>
            <w:r w:rsidR="009912F8" w:rsidRPr="00E07C9A">
              <w:rPr>
                <w:rFonts w:ascii="Times New Roman" w:hAnsi="Times New Roman"/>
                <w:sz w:val="24"/>
              </w:rPr>
              <w:t xml:space="preserve"> a </w:t>
            </w:r>
            <w:r w:rsidRPr="00E07C9A">
              <w:rPr>
                <w:rFonts w:ascii="Times New Roman" w:hAnsi="Times New Roman"/>
                <w:sz w:val="24"/>
              </w:rPr>
              <w:t>C 08.02,</w:t>
            </w:r>
            <w:r w:rsidR="009912F8" w:rsidRPr="00E07C9A">
              <w:rPr>
                <w:rFonts w:ascii="Times New Roman" w:hAnsi="Times New Roman"/>
                <w:sz w:val="24"/>
              </w:rPr>
              <w:t xml:space="preserve"> s </w:t>
            </w:r>
            <w:r w:rsidRPr="00E07C9A">
              <w:rPr>
                <w:rFonts w:ascii="Times New Roman" w:hAnsi="Times New Roman"/>
                <w:sz w:val="24"/>
              </w:rPr>
              <w:t>výnimkou špecifikácií, pokiaľ ide</w:t>
            </w:r>
            <w:r w:rsidR="009912F8" w:rsidRPr="00E07C9A">
              <w:rPr>
                <w:rFonts w:ascii="Times New Roman" w:hAnsi="Times New Roman"/>
                <w:sz w:val="24"/>
              </w:rPr>
              <w:t xml:space="preserve"> o </w:t>
            </w:r>
            <w:r w:rsidRPr="00E07C9A">
              <w:rPr>
                <w:rFonts w:ascii="Times New Roman" w:hAnsi="Times New Roman"/>
                <w:sz w:val="24"/>
              </w:rPr>
              <w:t>preradenie expozícií voči orgánom verejnej správy do iných tried expozícií</w:t>
            </w:r>
            <w:r w:rsidR="009912F8" w:rsidRPr="00E07C9A">
              <w:rPr>
                <w:rFonts w:ascii="Times New Roman" w:hAnsi="Times New Roman"/>
                <w:sz w:val="24"/>
              </w:rPr>
              <w:t xml:space="preserve"> z </w:t>
            </w:r>
            <w:r w:rsidRPr="00E07C9A">
              <w:rPr>
                <w:rFonts w:ascii="Times New Roman" w:hAnsi="Times New Roman"/>
                <w:sz w:val="24"/>
              </w:rPr>
              <w:t>dôvodu uplatnenia postupov zmierňovania kreditného rizika so substitučnými účinkami na expozíciu, ktoré sa neuplatňujú.</w:t>
            </w:r>
          </w:p>
          <w:p w14:paraId="420B7827" w14:textId="77777777" w:rsidR="00FD54FC" w:rsidRPr="00E07C9A" w:rsidRDefault="00FD54FC" w:rsidP="00FD54FC">
            <w:pPr>
              <w:spacing w:before="0" w:after="0"/>
              <w:ind w:left="33"/>
              <w:rPr>
                <w:rFonts w:ascii="Times New Roman" w:hAnsi="Times New Roman"/>
                <w:bCs/>
                <w:sz w:val="24"/>
                <w:lang w:eastAsia="de-DE"/>
              </w:rPr>
            </w:pPr>
          </w:p>
        </w:tc>
      </w:tr>
      <w:tr w:rsidR="00FD54FC" w:rsidRPr="00E07C9A" w14:paraId="2B300D48" w14:textId="77777777" w:rsidTr="00672D2A">
        <w:tc>
          <w:tcPr>
            <w:tcW w:w="1188" w:type="dxa"/>
          </w:tcPr>
          <w:p w14:paraId="1053321F" w14:textId="77777777" w:rsidR="00FD54FC" w:rsidRPr="00E07C9A" w:rsidRDefault="00535792" w:rsidP="00FD54FC">
            <w:pPr>
              <w:spacing w:before="0" w:after="0"/>
              <w:ind w:left="33"/>
              <w:rPr>
                <w:rFonts w:ascii="Times New Roman" w:hAnsi="Times New Roman"/>
                <w:bCs/>
                <w:sz w:val="24"/>
              </w:rPr>
            </w:pPr>
            <w:r w:rsidRPr="00E07C9A">
              <w:rPr>
                <w:rFonts w:ascii="Times New Roman" w:hAnsi="Times New Roman"/>
                <w:sz w:val="24"/>
              </w:rPr>
              <w:t>0120</w:t>
            </w:r>
          </w:p>
        </w:tc>
        <w:tc>
          <w:tcPr>
            <w:tcW w:w="8701" w:type="dxa"/>
          </w:tcPr>
          <w:p w14:paraId="62B6776C" w14:textId="34263802" w:rsidR="00FD54FC" w:rsidRPr="00E07C9A" w:rsidRDefault="00FD54FC" w:rsidP="00FD54FC">
            <w:pPr>
              <w:spacing w:before="0" w:after="0"/>
              <w:ind w:left="33"/>
              <w:rPr>
                <w:rFonts w:ascii="Times New Roman" w:hAnsi="Times New Roman"/>
                <w:b/>
                <w:bCs/>
                <w:sz w:val="24"/>
                <w:u w:val="single"/>
              </w:rPr>
            </w:pPr>
            <w:r w:rsidRPr="00E07C9A">
              <w:rPr>
                <w:rFonts w:ascii="Times New Roman" w:hAnsi="Times New Roman"/>
                <w:b/>
                <w:sz w:val="24"/>
                <w:u w:val="single"/>
              </w:rPr>
              <w:t>Subjekty verejného sektora [ústredné vlády</w:t>
            </w:r>
            <w:r w:rsidR="009912F8" w:rsidRPr="00E07C9A">
              <w:rPr>
                <w:rFonts w:ascii="Times New Roman" w:hAnsi="Times New Roman"/>
                <w:b/>
                <w:sz w:val="24"/>
                <w:u w:val="single"/>
              </w:rPr>
              <w:t xml:space="preserve"> a </w:t>
            </w:r>
            <w:r w:rsidRPr="00E07C9A">
              <w:rPr>
                <w:rFonts w:ascii="Times New Roman" w:hAnsi="Times New Roman"/>
                <w:b/>
                <w:sz w:val="24"/>
                <w:u w:val="single"/>
              </w:rPr>
              <w:t>centrálne banky]</w:t>
            </w:r>
          </w:p>
          <w:p w14:paraId="0D1051DD" w14:textId="77777777" w:rsidR="00FD54FC" w:rsidRPr="00E07C9A" w:rsidRDefault="00FD54FC" w:rsidP="00FD54FC">
            <w:pPr>
              <w:spacing w:before="0" w:after="0"/>
              <w:ind w:left="33"/>
              <w:rPr>
                <w:rFonts w:ascii="Times New Roman" w:hAnsi="Times New Roman"/>
                <w:bCs/>
                <w:sz w:val="24"/>
                <w:lang w:eastAsia="de-DE"/>
              </w:rPr>
            </w:pPr>
          </w:p>
          <w:p w14:paraId="462146C7" w14:textId="4675AA16" w:rsidR="00FD54FC" w:rsidRPr="00E07C9A" w:rsidRDefault="00FD54FC" w:rsidP="00FD54FC">
            <w:pPr>
              <w:spacing w:before="0" w:after="0"/>
              <w:ind w:left="33"/>
              <w:rPr>
                <w:rFonts w:ascii="Times New Roman" w:hAnsi="Times New Roman"/>
                <w:bCs/>
                <w:sz w:val="24"/>
              </w:rPr>
            </w:pPr>
            <w:r w:rsidRPr="00E07C9A">
              <w:rPr>
                <w:rFonts w:ascii="Times New Roman" w:hAnsi="Times New Roman"/>
                <w:sz w:val="24"/>
              </w:rPr>
              <w:t>Expozície voči orgánom verejnej správy, ktoré sú subjektmi verejného sektora</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4 ods. 1 bodom 8 nariadenia (EÚ) </w:t>
            </w:r>
            <w:r w:rsidR="009912F8" w:rsidRPr="00E07C9A">
              <w:rPr>
                <w:rFonts w:ascii="Times New Roman" w:hAnsi="Times New Roman"/>
                <w:sz w:val="24"/>
              </w:rPr>
              <w:t>č. 575/2013</w:t>
            </w:r>
            <w:r w:rsidRPr="00E07C9A">
              <w:rPr>
                <w:rFonts w:ascii="Times New Roman" w:hAnsi="Times New Roman"/>
                <w:sz w:val="24"/>
              </w:rPr>
              <w:t>, zaradené do triedy expozícií „ústredné vlády</w:t>
            </w:r>
            <w:r w:rsidR="009912F8" w:rsidRPr="00E07C9A">
              <w:rPr>
                <w:rFonts w:ascii="Times New Roman" w:hAnsi="Times New Roman"/>
                <w:sz w:val="24"/>
              </w:rPr>
              <w:t xml:space="preserve"> a </w:t>
            </w:r>
            <w:r w:rsidRPr="00E07C9A">
              <w:rPr>
                <w:rFonts w:ascii="Times New Roman" w:hAnsi="Times New Roman"/>
                <w:sz w:val="24"/>
              </w:rPr>
              <w:t>centrálne banky“</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článkom 147 ods. 3 písm. a) uvedeného nariadenia, ako sa stanovuje</w:t>
            </w:r>
            <w:r w:rsidR="009912F8" w:rsidRPr="00E07C9A">
              <w:rPr>
                <w:rFonts w:ascii="Times New Roman" w:hAnsi="Times New Roman"/>
                <w:sz w:val="24"/>
              </w:rPr>
              <w:t xml:space="preserve"> v </w:t>
            </w:r>
            <w:r w:rsidRPr="00E07C9A">
              <w:rPr>
                <w:rFonts w:ascii="Times New Roman" w:hAnsi="Times New Roman"/>
                <w:sz w:val="24"/>
              </w:rPr>
              <w:t>pokynoch pre vzory C 08.01</w:t>
            </w:r>
            <w:r w:rsidR="009912F8" w:rsidRPr="00E07C9A">
              <w:rPr>
                <w:rFonts w:ascii="Times New Roman" w:hAnsi="Times New Roman"/>
                <w:sz w:val="24"/>
              </w:rPr>
              <w:t xml:space="preserve"> a </w:t>
            </w:r>
            <w:r w:rsidRPr="00E07C9A">
              <w:rPr>
                <w:rFonts w:ascii="Times New Roman" w:hAnsi="Times New Roman"/>
                <w:sz w:val="24"/>
              </w:rPr>
              <w:t>C 08.02,</w:t>
            </w:r>
            <w:r w:rsidR="009912F8" w:rsidRPr="00E07C9A">
              <w:rPr>
                <w:rFonts w:ascii="Times New Roman" w:hAnsi="Times New Roman"/>
                <w:sz w:val="24"/>
              </w:rPr>
              <w:t xml:space="preserve"> s </w:t>
            </w:r>
            <w:r w:rsidRPr="00E07C9A">
              <w:rPr>
                <w:rFonts w:ascii="Times New Roman" w:hAnsi="Times New Roman"/>
                <w:sz w:val="24"/>
              </w:rPr>
              <w:t>výnimkou špecifikácií, pokiaľ ide</w:t>
            </w:r>
            <w:r w:rsidR="009912F8" w:rsidRPr="00E07C9A">
              <w:rPr>
                <w:rFonts w:ascii="Times New Roman" w:hAnsi="Times New Roman"/>
                <w:sz w:val="24"/>
              </w:rPr>
              <w:t xml:space="preserve"> o </w:t>
            </w:r>
            <w:r w:rsidRPr="00E07C9A">
              <w:rPr>
                <w:rFonts w:ascii="Times New Roman" w:hAnsi="Times New Roman"/>
                <w:sz w:val="24"/>
              </w:rPr>
              <w:t>preradenie expozícií voči orgánom verejnej správy do iných tried expozícií</w:t>
            </w:r>
            <w:r w:rsidR="009912F8" w:rsidRPr="00E07C9A">
              <w:rPr>
                <w:rFonts w:ascii="Times New Roman" w:hAnsi="Times New Roman"/>
                <w:sz w:val="24"/>
              </w:rPr>
              <w:t xml:space="preserve"> z </w:t>
            </w:r>
            <w:r w:rsidRPr="00E07C9A">
              <w:rPr>
                <w:rFonts w:ascii="Times New Roman" w:hAnsi="Times New Roman"/>
                <w:sz w:val="24"/>
              </w:rPr>
              <w:t>dôvodu uplatnenia postupov zmierňovania kreditného rizika so substitučnými účinkami na expozíciu, ktoré sa neuplatňujú.</w:t>
            </w:r>
          </w:p>
          <w:p w14:paraId="05A522AD" w14:textId="77777777" w:rsidR="00FD54FC" w:rsidRPr="00E07C9A" w:rsidRDefault="00FD54FC" w:rsidP="00FD54FC">
            <w:pPr>
              <w:spacing w:before="0" w:after="0"/>
              <w:ind w:left="33"/>
              <w:rPr>
                <w:rFonts w:ascii="Times New Roman" w:hAnsi="Times New Roman"/>
                <w:bCs/>
                <w:sz w:val="24"/>
                <w:lang w:eastAsia="de-DE"/>
              </w:rPr>
            </w:pPr>
          </w:p>
        </w:tc>
      </w:tr>
      <w:tr w:rsidR="00FD54FC" w:rsidRPr="00E07C9A" w14:paraId="3A1F71E9" w14:textId="77777777" w:rsidTr="00672D2A">
        <w:tc>
          <w:tcPr>
            <w:tcW w:w="1188" w:type="dxa"/>
          </w:tcPr>
          <w:p w14:paraId="6D7A531A" w14:textId="77777777" w:rsidR="00FD54FC" w:rsidRPr="00E07C9A" w:rsidRDefault="00535792" w:rsidP="00FD54FC">
            <w:pPr>
              <w:spacing w:before="0" w:after="0"/>
              <w:ind w:left="33"/>
              <w:rPr>
                <w:rFonts w:ascii="Times New Roman" w:hAnsi="Times New Roman"/>
                <w:bCs/>
                <w:sz w:val="24"/>
              </w:rPr>
            </w:pPr>
            <w:r w:rsidRPr="00E07C9A">
              <w:rPr>
                <w:rFonts w:ascii="Times New Roman" w:hAnsi="Times New Roman"/>
                <w:sz w:val="24"/>
              </w:rPr>
              <w:t>0130</w:t>
            </w:r>
          </w:p>
        </w:tc>
        <w:tc>
          <w:tcPr>
            <w:tcW w:w="8701" w:type="dxa"/>
          </w:tcPr>
          <w:p w14:paraId="08D30562" w14:textId="77777777" w:rsidR="00FD54FC" w:rsidRPr="00E07C9A" w:rsidRDefault="00FD54FC" w:rsidP="00FD54FC">
            <w:pPr>
              <w:spacing w:before="0" w:after="0"/>
              <w:ind w:left="33"/>
              <w:rPr>
                <w:rFonts w:ascii="Times New Roman" w:hAnsi="Times New Roman"/>
                <w:b/>
                <w:bCs/>
                <w:sz w:val="24"/>
                <w:u w:val="single"/>
              </w:rPr>
            </w:pPr>
            <w:r w:rsidRPr="00E07C9A">
              <w:rPr>
                <w:rFonts w:ascii="Times New Roman" w:hAnsi="Times New Roman"/>
                <w:b/>
                <w:sz w:val="24"/>
                <w:u w:val="single"/>
              </w:rPr>
              <w:t>Subjekty verejného sektora [inštitúcie]</w:t>
            </w:r>
          </w:p>
          <w:p w14:paraId="22823AAC" w14:textId="77777777" w:rsidR="00FD54FC" w:rsidRPr="00E07C9A" w:rsidRDefault="00FD54FC" w:rsidP="00FD54FC">
            <w:pPr>
              <w:spacing w:before="0" w:after="0"/>
              <w:ind w:left="33"/>
              <w:rPr>
                <w:rFonts w:ascii="Times New Roman" w:hAnsi="Times New Roman"/>
                <w:bCs/>
                <w:sz w:val="24"/>
                <w:lang w:eastAsia="de-DE"/>
              </w:rPr>
            </w:pPr>
          </w:p>
          <w:p w14:paraId="7911A98E" w14:textId="5B2AB689" w:rsidR="00FD54FC" w:rsidRPr="00E07C9A" w:rsidRDefault="00FD54FC" w:rsidP="00FD54FC">
            <w:pPr>
              <w:spacing w:before="0" w:after="0"/>
              <w:ind w:left="33"/>
              <w:rPr>
                <w:rFonts w:ascii="Times New Roman" w:hAnsi="Times New Roman"/>
                <w:bCs/>
                <w:sz w:val="24"/>
              </w:rPr>
            </w:pPr>
            <w:r w:rsidRPr="00E07C9A">
              <w:rPr>
                <w:rFonts w:ascii="Times New Roman" w:hAnsi="Times New Roman"/>
                <w:sz w:val="24"/>
              </w:rPr>
              <w:t>Expozície voči orgánom verejnej správy, ktoré sú subjektmi verejného sektora</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4 ods. 1 bodom 8 nariadenia (EÚ) </w:t>
            </w:r>
            <w:r w:rsidR="009912F8" w:rsidRPr="00E07C9A">
              <w:rPr>
                <w:rFonts w:ascii="Times New Roman" w:hAnsi="Times New Roman"/>
                <w:sz w:val="24"/>
              </w:rPr>
              <w:t>č. 575/2013</w:t>
            </w:r>
            <w:r w:rsidRPr="00E07C9A">
              <w:rPr>
                <w:rFonts w:ascii="Times New Roman" w:hAnsi="Times New Roman"/>
                <w:sz w:val="24"/>
              </w:rPr>
              <w:t>, zaradené do triedy expozícií „inštitúcie“</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článkom 147 ods. 4 písm. b) uvedeného nariadenia, ako sa stanovuje</w:t>
            </w:r>
            <w:r w:rsidR="009912F8" w:rsidRPr="00E07C9A">
              <w:rPr>
                <w:rFonts w:ascii="Times New Roman" w:hAnsi="Times New Roman"/>
                <w:sz w:val="24"/>
              </w:rPr>
              <w:t xml:space="preserve"> v </w:t>
            </w:r>
            <w:r w:rsidRPr="00E07C9A">
              <w:rPr>
                <w:rFonts w:ascii="Times New Roman" w:hAnsi="Times New Roman"/>
                <w:sz w:val="24"/>
              </w:rPr>
              <w:t>pokynoch pre vzory C 08.01</w:t>
            </w:r>
            <w:r w:rsidR="009912F8" w:rsidRPr="00E07C9A">
              <w:rPr>
                <w:rFonts w:ascii="Times New Roman" w:hAnsi="Times New Roman"/>
                <w:sz w:val="24"/>
              </w:rPr>
              <w:t xml:space="preserve"> a </w:t>
            </w:r>
            <w:r w:rsidRPr="00E07C9A">
              <w:rPr>
                <w:rFonts w:ascii="Times New Roman" w:hAnsi="Times New Roman"/>
                <w:sz w:val="24"/>
              </w:rPr>
              <w:t>C 08.02,</w:t>
            </w:r>
            <w:r w:rsidR="009912F8" w:rsidRPr="00E07C9A">
              <w:rPr>
                <w:rFonts w:ascii="Times New Roman" w:hAnsi="Times New Roman"/>
                <w:sz w:val="24"/>
              </w:rPr>
              <w:t xml:space="preserve"> s </w:t>
            </w:r>
            <w:r w:rsidRPr="00E07C9A">
              <w:rPr>
                <w:rFonts w:ascii="Times New Roman" w:hAnsi="Times New Roman"/>
                <w:sz w:val="24"/>
              </w:rPr>
              <w:t>výnimkou špecifikácií, pokiaľ ide</w:t>
            </w:r>
            <w:r w:rsidR="009912F8" w:rsidRPr="00E07C9A">
              <w:rPr>
                <w:rFonts w:ascii="Times New Roman" w:hAnsi="Times New Roman"/>
                <w:sz w:val="24"/>
              </w:rPr>
              <w:t xml:space="preserve"> o </w:t>
            </w:r>
            <w:r w:rsidRPr="00E07C9A">
              <w:rPr>
                <w:rFonts w:ascii="Times New Roman" w:hAnsi="Times New Roman"/>
                <w:sz w:val="24"/>
              </w:rPr>
              <w:t>preradenie expozícií voči orgánom verejnej správy do iných tried expozícií</w:t>
            </w:r>
            <w:r w:rsidR="009912F8" w:rsidRPr="00E07C9A">
              <w:rPr>
                <w:rFonts w:ascii="Times New Roman" w:hAnsi="Times New Roman"/>
                <w:sz w:val="24"/>
              </w:rPr>
              <w:t xml:space="preserve"> z </w:t>
            </w:r>
            <w:r w:rsidRPr="00E07C9A">
              <w:rPr>
                <w:rFonts w:ascii="Times New Roman" w:hAnsi="Times New Roman"/>
                <w:sz w:val="24"/>
              </w:rPr>
              <w:t>dôvodu uplatnenia postupov zmierňovania kreditného rizika so substitučnými účinkami na expozíciu, ktoré sa neuplatňujú.</w:t>
            </w:r>
          </w:p>
          <w:p w14:paraId="35A29AF5" w14:textId="77777777" w:rsidR="00FD54FC" w:rsidRPr="00E07C9A" w:rsidRDefault="00FD54FC" w:rsidP="00FD54FC">
            <w:pPr>
              <w:spacing w:before="0" w:after="0"/>
              <w:ind w:left="33"/>
              <w:rPr>
                <w:rFonts w:ascii="Times New Roman" w:hAnsi="Times New Roman"/>
                <w:bCs/>
                <w:sz w:val="24"/>
                <w:lang w:eastAsia="de-DE"/>
              </w:rPr>
            </w:pPr>
          </w:p>
        </w:tc>
      </w:tr>
      <w:tr w:rsidR="00FD54FC" w:rsidRPr="00E07C9A" w14:paraId="651CAC6E" w14:textId="77777777" w:rsidTr="00672D2A">
        <w:tc>
          <w:tcPr>
            <w:tcW w:w="1188" w:type="dxa"/>
          </w:tcPr>
          <w:p w14:paraId="6361C75E" w14:textId="77777777" w:rsidR="00FD54FC" w:rsidRPr="00E07C9A" w:rsidDel="00C211CB" w:rsidRDefault="00535792" w:rsidP="00FD54FC">
            <w:pPr>
              <w:spacing w:before="0" w:after="0"/>
              <w:ind w:left="33"/>
              <w:rPr>
                <w:rFonts w:ascii="Times New Roman" w:hAnsi="Times New Roman"/>
                <w:bCs/>
                <w:sz w:val="24"/>
              </w:rPr>
            </w:pPr>
            <w:r w:rsidRPr="00E07C9A">
              <w:rPr>
                <w:rFonts w:ascii="Times New Roman" w:hAnsi="Times New Roman"/>
                <w:sz w:val="24"/>
              </w:rPr>
              <w:t>0140</w:t>
            </w:r>
          </w:p>
        </w:tc>
        <w:tc>
          <w:tcPr>
            <w:tcW w:w="8701" w:type="dxa"/>
          </w:tcPr>
          <w:p w14:paraId="392A452E" w14:textId="3B6DFECD" w:rsidR="00FD54FC" w:rsidRPr="00E07C9A" w:rsidRDefault="00FD54FC" w:rsidP="00FD54FC">
            <w:pPr>
              <w:spacing w:before="0" w:after="0"/>
              <w:ind w:left="33"/>
              <w:rPr>
                <w:rFonts w:ascii="Times New Roman" w:hAnsi="Times New Roman"/>
                <w:b/>
                <w:bCs/>
                <w:sz w:val="24"/>
                <w:u w:val="single"/>
              </w:rPr>
            </w:pPr>
            <w:r w:rsidRPr="00E07C9A">
              <w:rPr>
                <w:rFonts w:ascii="Times New Roman" w:hAnsi="Times New Roman"/>
                <w:b/>
                <w:sz w:val="24"/>
                <w:u w:val="single"/>
              </w:rPr>
              <w:t>Medzinárodné organizácie [ústredné vlády</w:t>
            </w:r>
            <w:r w:rsidR="009912F8" w:rsidRPr="00E07C9A">
              <w:rPr>
                <w:rFonts w:ascii="Times New Roman" w:hAnsi="Times New Roman"/>
                <w:b/>
                <w:sz w:val="24"/>
                <w:u w:val="single"/>
              </w:rPr>
              <w:t xml:space="preserve"> a </w:t>
            </w:r>
            <w:r w:rsidRPr="00E07C9A">
              <w:rPr>
                <w:rFonts w:ascii="Times New Roman" w:hAnsi="Times New Roman"/>
                <w:b/>
                <w:sz w:val="24"/>
                <w:u w:val="single"/>
              </w:rPr>
              <w:t>centrálne banky]</w:t>
            </w:r>
          </w:p>
          <w:p w14:paraId="25ACBBFF" w14:textId="77777777" w:rsidR="00FD54FC" w:rsidRPr="00E07C9A" w:rsidRDefault="00FD54FC" w:rsidP="00FD54FC">
            <w:pPr>
              <w:spacing w:before="0" w:after="0"/>
              <w:ind w:left="33"/>
              <w:rPr>
                <w:rFonts w:ascii="Times New Roman" w:hAnsi="Times New Roman"/>
                <w:bCs/>
                <w:sz w:val="24"/>
                <w:lang w:eastAsia="de-DE"/>
              </w:rPr>
            </w:pPr>
          </w:p>
          <w:p w14:paraId="6EB4E7A5" w14:textId="51AE140D" w:rsidR="00FD54FC" w:rsidRPr="00E07C9A" w:rsidRDefault="00FD54FC" w:rsidP="00FD54FC">
            <w:pPr>
              <w:spacing w:before="0" w:after="0"/>
              <w:ind w:left="33"/>
              <w:rPr>
                <w:rFonts w:ascii="Times New Roman" w:hAnsi="Times New Roman"/>
                <w:bCs/>
                <w:sz w:val="24"/>
              </w:rPr>
            </w:pPr>
            <w:r w:rsidRPr="00E07C9A">
              <w:rPr>
                <w:rFonts w:ascii="Times New Roman" w:hAnsi="Times New Roman"/>
                <w:sz w:val="24"/>
              </w:rPr>
              <w:t>Expozície voči orgánom verejnej správy, ktoré sú medzinárodnými organizáciami, zaradené do triedy expozícií „ústredné vlády</w:t>
            </w:r>
            <w:r w:rsidR="009912F8" w:rsidRPr="00E07C9A">
              <w:rPr>
                <w:rFonts w:ascii="Times New Roman" w:hAnsi="Times New Roman"/>
                <w:sz w:val="24"/>
              </w:rPr>
              <w:t xml:space="preserve"> a </w:t>
            </w:r>
            <w:r w:rsidRPr="00E07C9A">
              <w:rPr>
                <w:rFonts w:ascii="Times New Roman" w:hAnsi="Times New Roman"/>
                <w:sz w:val="24"/>
              </w:rPr>
              <w:t>centrálne banky“</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147 ods. 3 písm. c) nariadenia (EÚ) </w:t>
            </w:r>
            <w:r w:rsidR="009912F8" w:rsidRPr="00E07C9A">
              <w:rPr>
                <w:rFonts w:ascii="Times New Roman" w:hAnsi="Times New Roman"/>
                <w:sz w:val="24"/>
              </w:rPr>
              <w:t>č. 575/2013</w:t>
            </w:r>
            <w:r w:rsidRPr="00E07C9A">
              <w:rPr>
                <w:rFonts w:ascii="Times New Roman" w:hAnsi="Times New Roman"/>
                <w:sz w:val="24"/>
              </w:rPr>
              <w:t>, ako sa stanovuje</w:t>
            </w:r>
            <w:r w:rsidR="009912F8" w:rsidRPr="00E07C9A">
              <w:rPr>
                <w:rFonts w:ascii="Times New Roman" w:hAnsi="Times New Roman"/>
                <w:sz w:val="24"/>
              </w:rPr>
              <w:t xml:space="preserve"> v </w:t>
            </w:r>
            <w:r w:rsidRPr="00E07C9A">
              <w:rPr>
                <w:rFonts w:ascii="Times New Roman" w:hAnsi="Times New Roman"/>
                <w:sz w:val="24"/>
              </w:rPr>
              <w:t>pokynoch pre vzory C 08.01</w:t>
            </w:r>
            <w:r w:rsidR="009912F8" w:rsidRPr="00E07C9A">
              <w:rPr>
                <w:rFonts w:ascii="Times New Roman" w:hAnsi="Times New Roman"/>
                <w:sz w:val="24"/>
              </w:rPr>
              <w:t xml:space="preserve"> a </w:t>
            </w:r>
            <w:r w:rsidRPr="00E07C9A">
              <w:rPr>
                <w:rFonts w:ascii="Times New Roman" w:hAnsi="Times New Roman"/>
                <w:sz w:val="24"/>
              </w:rPr>
              <w:t>C 08.02,</w:t>
            </w:r>
            <w:r w:rsidR="009912F8" w:rsidRPr="00E07C9A">
              <w:rPr>
                <w:rFonts w:ascii="Times New Roman" w:hAnsi="Times New Roman"/>
                <w:sz w:val="24"/>
              </w:rPr>
              <w:t xml:space="preserve"> s </w:t>
            </w:r>
            <w:r w:rsidRPr="00E07C9A">
              <w:rPr>
                <w:rFonts w:ascii="Times New Roman" w:hAnsi="Times New Roman"/>
                <w:sz w:val="24"/>
              </w:rPr>
              <w:t>výnimkou špecifikácií, pokiaľ ide</w:t>
            </w:r>
            <w:r w:rsidR="009912F8" w:rsidRPr="00E07C9A">
              <w:rPr>
                <w:rFonts w:ascii="Times New Roman" w:hAnsi="Times New Roman"/>
                <w:sz w:val="24"/>
              </w:rPr>
              <w:t xml:space="preserve"> o </w:t>
            </w:r>
            <w:r w:rsidRPr="00E07C9A">
              <w:rPr>
                <w:rFonts w:ascii="Times New Roman" w:hAnsi="Times New Roman"/>
                <w:sz w:val="24"/>
              </w:rPr>
              <w:t>preradenie expozícií voči orgánom verejnej správy do iných tried expozícií</w:t>
            </w:r>
            <w:r w:rsidR="009912F8" w:rsidRPr="00E07C9A">
              <w:rPr>
                <w:rFonts w:ascii="Times New Roman" w:hAnsi="Times New Roman"/>
                <w:sz w:val="24"/>
              </w:rPr>
              <w:t xml:space="preserve"> z </w:t>
            </w:r>
            <w:r w:rsidRPr="00E07C9A">
              <w:rPr>
                <w:rFonts w:ascii="Times New Roman" w:hAnsi="Times New Roman"/>
                <w:sz w:val="24"/>
              </w:rPr>
              <w:t>dôvodu uplatnenia postupov zmierňovania kreditného rizika so substitučnými účinkami na expozíciu, ktoré sa neuplatňujú.</w:t>
            </w:r>
          </w:p>
          <w:p w14:paraId="2D27A61F" w14:textId="77777777" w:rsidR="00FD54FC" w:rsidRPr="00E07C9A" w:rsidRDefault="00FD54FC" w:rsidP="00FD54FC">
            <w:pPr>
              <w:spacing w:before="0" w:after="0"/>
              <w:ind w:left="33"/>
              <w:rPr>
                <w:rFonts w:ascii="Times New Roman" w:hAnsi="Times New Roman"/>
                <w:b/>
                <w:bCs/>
                <w:sz w:val="24"/>
                <w:u w:val="single"/>
                <w:lang w:eastAsia="de-DE"/>
              </w:rPr>
            </w:pPr>
          </w:p>
        </w:tc>
      </w:tr>
      <w:tr w:rsidR="00530BA1" w:rsidRPr="00E07C9A" w14:paraId="1975CC51" w14:textId="77777777" w:rsidTr="00672D2A">
        <w:tc>
          <w:tcPr>
            <w:tcW w:w="1188" w:type="dxa"/>
          </w:tcPr>
          <w:p w14:paraId="180FE882" w14:textId="77777777" w:rsidR="00530BA1" w:rsidRPr="00E07C9A" w:rsidRDefault="00535792" w:rsidP="00FD54FC">
            <w:pPr>
              <w:spacing w:before="0" w:after="0"/>
              <w:ind w:left="33"/>
              <w:rPr>
                <w:rFonts w:ascii="Times New Roman" w:hAnsi="Times New Roman"/>
                <w:bCs/>
                <w:sz w:val="24"/>
              </w:rPr>
            </w:pPr>
            <w:r w:rsidRPr="00E07C9A">
              <w:rPr>
                <w:rFonts w:ascii="Times New Roman" w:hAnsi="Times New Roman"/>
                <w:sz w:val="24"/>
              </w:rPr>
              <w:t>0155</w:t>
            </w:r>
          </w:p>
        </w:tc>
        <w:tc>
          <w:tcPr>
            <w:tcW w:w="8701" w:type="dxa"/>
          </w:tcPr>
          <w:p w14:paraId="35576FF6" w14:textId="77777777" w:rsidR="00530BA1" w:rsidRPr="00E07C9A" w:rsidRDefault="00530BA1" w:rsidP="00530BA1">
            <w:pPr>
              <w:spacing w:before="0" w:after="0"/>
              <w:ind w:left="33"/>
              <w:rPr>
                <w:rFonts w:ascii="Times New Roman" w:hAnsi="Times New Roman"/>
                <w:b/>
                <w:bCs/>
                <w:sz w:val="24"/>
                <w:u w:val="single"/>
              </w:rPr>
            </w:pPr>
            <w:r w:rsidRPr="00E07C9A">
              <w:rPr>
                <w:rFonts w:ascii="Times New Roman" w:hAnsi="Times New Roman"/>
                <w:b/>
                <w:sz w:val="24"/>
                <w:u w:val="single"/>
              </w:rPr>
              <w:t>Iné expozície voči orgánom verejnej správy, na ktoré sa uplatňuje prístup IRB</w:t>
            </w:r>
          </w:p>
          <w:p w14:paraId="766EF4B3" w14:textId="77777777" w:rsidR="00530BA1" w:rsidRPr="00E07C9A" w:rsidRDefault="00530BA1" w:rsidP="00530BA1">
            <w:pPr>
              <w:spacing w:before="0" w:after="0"/>
              <w:ind w:left="33"/>
              <w:rPr>
                <w:rFonts w:ascii="Times New Roman" w:hAnsi="Times New Roman"/>
                <w:bCs/>
                <w:sz w:val="24"/>
                <w:lang w:eastAsia="de-DE"/>
              </w:rPr>
            </w:pPr>
          </w:p>
          <w:p w14:paraId="19AE6A0C" w14:textId="33BDBBAD" w:rsidR="00530BA1" w:rsidRPr="00E07C9A" w:rsidRDefault="00530BA1" w:rsidP="00530BA1">
            <w:pPr>
              <w:spacing w:before="0" w:after="0"/>
              <w:ind w:left="33"/>
              <w:rPr>
                <w:rFonts w:ascii="Times New Roman" w:hAnsi="Times New Roman"/>
                <w:bCs/>
                <w:sz w:val="24"/>
              </w:rPr>
            </w:pPr>
            <w:r w:rsidRPr="00E07C9A">
              <w:rPr>
                <w:rFonts w:ascii="Times New Roman" w:hAnsi="Times New Roman"/>
                <w:sz w:val="24"/>
              </w:rPr>
              <w:t>Iné expozície voči orgánom verejnej správy ako tie, ktoré sú uvedené</w:t>
            </w:r>
            <w:r w:rsidR="009912F8" w:rsidRPr="00E07C9A">
              <w:rPr>
                <w:rFonts w:ascii="Times New Roman" w:hAnsi="Times New Roman"/>
                <w:sz w:val="24"/>
              </w:rPr>
              <w:t xml:space="preserve"> v </w:t>
            </w:r>
            <w:r w:rsidRPr="00E07C9A">
              <w:rPr>
                <w:rFonts w:ascii="Times New Roman" w:hAnsi="Times New Roman"/>
                <w:sz w:val="24"/>
              </w:rPr>
              <w:t>riadkoch 0090 až 0140 vyššie, ktoré sú pridelené triedam expozícií podľa prístupu IRB</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147 nariadenia (EÚ) </w:t>
            </w:r>
            <w:r w:rsidR="009912F8" w:rsidRPr="00E07C9A">
              <w:rPr>
                <w:rFonts w:ascii="Times New Roman" w:hAnsi="Times New Roman"/>
                <w:sz w:val="24"/>
              </w:rPr>
              <w:t>č. 575/2013</w:t>
            </w:r>
            <w:r w:rsidRPr="00E07C9A">
              <w:rPr>
                <w:rFonts w:ascii="Times New Roman" w:hAnsi="Times New Roman"/>
                <w:sz w:val="24"/>
              </w:rPr>
              <w:t xml:space="preserve"> na účely výpočtu požiadaviek na vlastné zdroje.</w:t>
            </w:r>
          </w:p>
          <w:p w14:paraId="5326FAF1" w14:textId="77777777" w:rsidR="00530BA1" w:rsidRPr="00E07C9A" w:rsidRDefault="00530BA1" w:rsidP="00FD54FC">
            <w:pPr>
              <w:spacing w:before="0" w:after="0"/>
              <w:ind w:left="33"/>
              <w:rPr>
                <w:rFonts w:ascii="Times New Roman" w:hAnsi="Times New Roman"/>
                <w:b/>
                <w:bCs/>
                <w:sz w:val="24"/>
                <w:u w:val="single"/>
                <w:lang w:eastAsia="de-DE"/>
              </w:rPr>
            </w:pPr>
          </w:p>
        </w:tc>
      </w:tr>
      <w:tr w:rsidR="00FD54FC" w:rsidRPr="00E07C9A" w14:paraId="790010FD" w14:textId="77777777" w:rsidTr="00672D2A">
        <w:tc>
          <w:tcPr>
            <w:tcW w:w="1188" w:type="dxa"/>
          </w:tcPr>
          <w:p w14:paraId="572BEDF5" w14:textId="77777777" w:rsidR="00FD54FC" w:rsidRPr="00E07C9A" w:rsidRDefault="00535792" w:rsidP="00FD54FC">
            <w:pPr>
              <w:spacing w:before="0" w:after="0"/>
              <w:ind w:left="33"/>
              <w:rPr>
                <w:rFonts w:ascii="Times New Roman" w:hAnsi="Times New Roman"/>
                <w:bCs/>
                <w:sz w:val="24"/>
              </w:rPr>
            </w:pPr>
            <w:r w:rsidRPr="00E07C9A">
              <w:rPr>
                <w:rFonts w:ascii="Times New Roman" w:hAnsi="Times New Roman"/>
                <w:sz w:val="24"/>
              </w:rPr>
              <w:t>0160</w:t>
            </w:r>
          </w:p>
        </w:tc>
        <w:tc>
          <w:tcPr>
            <w:tcW w:w="8701" w:type="dxa"/>
          </w:tcPr>
          <w:p w14:paraId="4B54A220" w14:textId="77777777" w:rsidR="00FD54FC" w:rsidRPr="00E07C9A" w:rsidRDefault="00FD54FC" w:rsidP="00FD54FC">
            <w:pPr>
              <w:spacing w:before="0" w:after="0"/>
              <w:ind w:left="33"/>
              <w:rPr>
                <w:rFonts w:ascii="Times New Roman" w:hAnsi="Times New Roman"/>
                <w:b/>
                <w:bCs/>
                <w:sz w:val="24"/>
                <w:u w:val="single"/>
              </w:rPr>
            </w:pPr>
            <w:r w:rsidRPr="00E07C9A">
              <w:rPr>
                <w:rFonts w:ascii="Times New Roman" w:hAnsi="Times New Roman"/>
                <w:b/>
                <w:sz w:val="24"/>
                <w:u w:val="single"/>
              </w:rPr>
              <w:t>Expozície voči trhovému riziku</w:t>
            </w:r>
          </w:p>
          <w:p w14:paraId="08DC8277" w14:textId="77777777" w:rsidR="00FD54FC" w:rsidRPr="00E07C9A" w:rsidRDefault="00FD54FC" w:rsidP="00FD54FC">
            <w:pPr>
              <w:spacing w:before="0" w:after="0"/>
              <w:ind w:left="33"/>
              <w:rPr>
                <w:rFonts w:ascii="Times New Roman" w:hAnsi="Times New Roman"/>
                <w:bCs/>
                <w:sz w:val="24"/>
                <w:lang w:eastAsia="de-DE"/>
              </w:rPr>
            </w:pPr>
          </w:p>
          <w:p w14:paraId="0E85C4BC" w14:textId="7004457D" w:rsidR="00262B22" w:rsidRPr="00E07C9A" w:rsidRDefault="00DA4AAE" w:rsidP="00FD54FC">
            <w:pPr>
              <w:spacing w:before="0" w:after="0"/>
              <w:ind w:left="33"/>
              <w:rPr>
                <w:rFonts w:ascii="Times New Roman" w:hAnsi="Times New Roman"/>
                <w:bCs/>
                <w:sz w:val="24"/>
              </w:rPr>
            </w:pPr>
            <w:r w:rsidRPr="00E07C9A">
              <w:rPr>
                <w:rFonts w:ascii="Times New Roman" w:hAnsi="Times New Roman"/>
                <w:sz w:val="24"/>
              </w:rPr>
              <w:t>Tento riadok sa vzťahuje na pozície, pre ktoré sa vypočítava jedna</w:t>
            </w:r>
            <w:r w:rsidR="009912F8" w:rsidRPr="00E07C9A">
              <w:rPr>
                <w:rFonts w:ascii="Times New Roman" w:hAnsi="Times New Roman"/>
                <w:sz w:val="24"/>
              </w:rPr>
              <w:t xml:space="preserve"> z </w:t>
            </w:r>
            <w:r w:rsidRPr="00E07C9A">
              <w:rPr>
                <w:rFonts w:ascii="Times New Roman" w:hAnsi="Times New Roman"/>
                <w:sz w:val="24"/>
              </w:rPr>
              <w:t>týchto požiadaviek na vlastné zdroje uvedených</w:t>
            </w:r>
            <w:r w:rsidR="009912F8" w:rsidRPr="00E07C9A">
              <w:rPr>
                <w:rFonts w:ascii="Times New Roman" w:hAnsi="Times New Roman"/>
                <w:sz w:val="24"/>
              </w:rPr>
              <w:t xml:space="preserve"> v </w:t>
            </w:r>
            <w:r w:rsidRPr="00E07C9A">
              <w:rPr>
                <w:rFonts w:ascii="Times New Roman" w:hAnsi="Times New Roman"/>
                <w:sz w:val="24"/>
              </w:rPr>
              <w:t xml:space="preserve">tretej časti hlave IV nariadenia (EÚ) </w:t>
            </w:r>
            <w:r w:rsidR="009912F8" w:rsidRPr="00E07C9A">
              <w:rPr>
                <w:rFonts w:ascii="Times New Roman" w:hAnsi="Times New Roman"/>
                <w:sz w:val="24"/>
              </w:rPr>
              <w:t>č. 575/2013</w:t>
            </w:r>
            <w:r w:rsidRPr="00E07C9A">
              <w:rPr>
                <w:rFonts w:ascii="Times New Roman" w:hAnsi="Times New Roman"/>
                <w:sz w:val="24"/>
              </w:rPr>
              <w:t>:</w:t>
            </w:r>
          </w:p>
          <w:p w14:paraId="3CD907EF" w14:textId="3ED58A82" w:rsidR="00AB5C94" w:rsidRPr="00E07C9A" w:rsidRDefault="00262B22" w:rsidP="005C4397">
            <w:pPr>
              <w:pStyle w:val="ListParagraph"/>
              <w:numPr>
                <w:ilvl w:val="0"/>
                <w:numId w:val="22"/>
              </w:numPr>
              <w:rPr>
                <w:rFonts w:ascii="Times New Roman" w:hAnsi="Times New Roman"/>
                <w:bCs/>
                <w:sz w:val="24"/>
              </w:rPr>
            </w:pPr>
            <w:r w:rsidRPr="00E07C9A">
              <w:rPr>
                <w:rFonts w:ascii="Times New Roman" w:hAnsi="Times New Roman"/>
                <w:sz w:val="24"/>
              </w:rPr>
              <w:t>požiadavky na vlastné zdroje pre pozičné riziko</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326 nariadenia (EÚ) </w:t>
            </w:r>
            <w:r w:rsidR="009912F8" w:rsidRPr="00E07C9A">
              <w:rPr>
                <w:rFonts w:ascii="Times New Roman" w:hAnsi="Times New Roman"/>
                <w:sz w:val="24"/>
              </w:rPr>
              <w:t>č. 575/2013</w:t>
            </w:r>
            <w:r w:rsidRPr="00E07C9A">
              <w:rPr>
                <w:rFonts w:ascii="Times New Roman" w:hAnsi="Times New Roman"/>
                <w:sz w:val="24"/>
              </w:rPr>
              <w:t>,</w:t>
            </w:r>
          </w:p>
          <w:p w14:paraId="090B7997" w14:textId="36398A5D" w:rsidR="009912F8" w:rsidRPr="00E07C9A" w:rsidRDefault="00AB5C94" w:rsidP="005C4397">
            <w:pPr>
              <w:pStyle w:val="ListParagraph"/>
              <w:numPr>
                <w:ilvl w:val="0"/>
                <w:numId w:val="22"/>
              </w:numPr>
              <w:rPr>
                <w:rFonts w:ascii="Times New Roman" w:hAnsi="Times New Roman"/>
                <w:sz w:val="24"/>
              </w:rPr>
            </w:pPr>
            <w:r w:rsidRPr="00E07C9A">
              <w:rPr>
                <w:rFonts w:ascii="Times New Roman" w:hAnsi="Times New Roman"/>
                <w:sz w:val="24"/>
              </w:rPr>
              <w:t>požiadavky na vlastné zdroje pre špecifické alebo všeobecné riziko</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treťou časťou hlavou IV kapitolou 5 nariadenia (EÚ) </w:t>
            </w:r>
            <w:r w:rsidR="009912F8" w:rsidRPr="00E07C9A">
              <w:rPr>
                <w:rFonts w:ascii="Times New Roman" w:hAnsi="Times New Roman"/>
                <w:sz w:val="24"/>
              </w:rPr>
              <w:t>č. 575/2013.</w:t>
            </w:r>
          </w:p>
          <w:p w14:paraId="6F22E69C" w14:textId="7185EDA4" w:rsidR="00FD54FC" w:rsidRPr="00E07C9A" w:rsidRDefault="00FD54FC" w:rsidP="00FD54FC">
            <w:pPr>
              <w:spacing w:before="0" w:after="0"/>
              <w:ind w:left="33"/>
              <w:rPr>
                <w:rFonts w:ascii="Times New Roman" w:hAnsi="Times New Roman"/>
                <w:bCs/>
                <w:sz w:val="24"/>
              </w:rPr>
            </w:pPr>
            <w:r w:rsidRPr="00E07C9A">
              <w:rPr>
                <w:rFonts w:ascii="Times New Roman" w:hAnsi="Times New Roman"/>
                <w:sz w:val="24"/>
              </w:rPr>
              <w:t xml:space="preserve">Priame expozície patriace do rozsahu pôsobnosti článku 271 nariadenia (EÚ) </w:t>
            </w:r>
            <w:r w:rsidR="009912F8" w:rsidRPr="00E07C9A">
              <w:rPr>
                <w:rFonts w:ascii="Times New Roman" w:hAnsi="Times New Roman"/>
                <w:sz w:val="24"/>
              </w:rPr>
              <w:t>č. 575/2013</w:t>
            </w:r>
            <w:r w:rsidRPr="00E07C9A">
              <w:rPr>
                <w:rFonts w:ascii="Times New Roman" w:hAnsi="Times New Roman"/>
                <w:sz w:val="24"/>
              </w:rPr>
              <w:t>, na ktoré sa vzťahujú požiadavky na vlastné zdroje pre kreditné riziko protistrany aj trhové riziko, sa vykazujú</w:t>
            </w:r>
            <w:r w:rsidR="009912F8" w:rsidRPr="00E07C9A">
              <w:rPr>
                <w:rFonts w:ascii="Times New Roman" w:hAnsi="Times New Roman"/>
                <w:sz w:val="24"/>
              </w:rPr>
              <w:t xml:space="preserve"> v </w:t>
            </w:r>
            <w:r w:rsidRPr="00E07C9A">
              <w:rPr>
                <w:rFonts w:ascii="Times New Roman" w:hAnsi="Times New Roman"/>
                <w:sz w:val="24"/>
              </w:rPr>
              <w:t>riadkoch pre kreditné riziko (0020 až 0155) aj</w:t>
            </w:r>
            <w:r w:rsidR="009912F8" w:rsidRPr="00E07C9A">
              <w:rPr>
                <w:rFonts w:ascii="Times New Roman" w:hAnsi="Times New Roman"/>
                <w:sz w:val="24"/>
              </w:rPr>
              <w:t xml:space="preserve"> v </w:t>
            </w:r>
            <w:r w:rsidRPr="00E07C9A">
              <w:rPr>
                <w:rFonts w:ascii="Times New Roman" w:hAnsi="Times New Roman"/>
                <w:sz w:val="24"/>
              </w:rPr>
              <w:t>riadku pre trhové riziko (riadok 0160): expozícia</w:t>
            </w:r>
            <w:r w:rsidR="009912F8" w:rsidRPr="00E07C9A">
              <w:rPr>
                <w:rFonts w:ascii="Times New Roman" w:hAnsi="Times New Roman"/>
                <w:sz w:val="24"/>
              </w:rPr>
              <w:t xml:space="preserve"> z </w:t>
            </w:r>
            <w:r w:rsidRPr="00E07C9A">
              <w:rPr>
                <w:rFonts w:ascii="Times New Roman" w:hAnsi="Times New Roman"/>
                <w:sz w:val="24"/>
              </w:rPr>
              <w:t>dôvodu kreditného rizika protistrany sa vykazuje</w:t>
            </w:r>
            <w:r w:rsidR="009912F8" w:rsidRPr="00E07C9A">
              <w:rPr>
                <w:rFonts w:ascii="Times New Roman" w:hAnsi="Times New Roman"/>
                <w:sz w:val="24"/>
              </w:rPr>
              <w:t xml:space="preserve"> v </w:t>
            </w:r>
            <w:r w:rsidRPr="00E07C9A">
              <w:rPr>
                <w:rFonts w:ascii="Times New Roman" w:hAnsi="Times New Roman"/>
                <w:sz w:val="24"/>
              </w:rPr>
              <w:t>riadkoch pre kreditné riziko, zatiaľ čo expozícia</w:t>
            </w:r>
            <w:r w:rsidR="009912F8" w:rsidRPr="00E07C9A">
              <w:rPr>
                <w:rFonts w:ascii="Times New Roman" w:hAnsi="Times New Roman"/>
                <w:sz w:val="24"/>
              </w:rPr>
              <w:t xml:space="preserve"> z </w:t>
            </w:r>
            <w:r w:rsidRPr="00E07C9A">
              <w:rPr>
                <w:rFonts w:ascii="Times New Roman" w:hAnsi="Times New Roman"/>
                <w:sz w:val="24"/>
              </w:rPr>
              <w:t>dôvodu trhového rizika sa vykazuje</w:t>
            </w:r>
            <w:r w:rsidR="009912F8" w:rsidRPr="00E07C9A">
              <w:rPr>
                <w:rFonts w:ascii="Times New Roman" w:hAnsi="Times New Roman"/>
                <w:sz w:val="24"/>
              </w:rPr>
              <w:t xml:space="preserve"> v </w:t>
            </w:r>
            <w:r w:rsidRPr="00E07C9A">
              <w:rPr>
                <w:rFonts w:ascii="Times New Roman" w:hAnsi="Times New Roman"/>
                <w:sz w:val="24"/>
              </w:rPr>
              <w:t>riadku pre trhové riziko.</w:t>
            </w:r>
          </w:p>
          <w:p w14:paraId="28F5CE82" w14:textId="77777777" w:rsidR="00FD54FC" w:rsidRPr="00E07C9A" w:rsidRDefault="00FD54FC" w:rsidP="00FD54FC">
            <w:pPr>
              <w:spacing w:before="0" w:after="0"/>
              <w:ind w:left="33"/>
              <w:rPr>
                <w:rFonts w:ascii="Times New Roman" w:hAnsi="Times New Roman"/>
                <w:bCs/>
                <w:sz w:val="24"/>
                <w:lang w:eastAsia="de-DE"/>
              </w:rPr>
            </w:pPr>
          </w:p>
        </w:tc>
      </w:tr>
      <w:tr w:rsidR="00FD54FC" w:rsidRPr="00E07C9A" w14:paraId="5A10A577" w14:textId="77777777" w:rsidTr="00672D2A">
        <w:tc>
          <w:tcPr>
            <w:tcW w:w="1188" w:type="dxa"/>
          </w:tcPr>
          <w:p w14:paraId="1298A9DB" w14:textId="77777777" w:rsidR="00FD54FC" w:rsidRPr="00E07C9A" w:rsidRDefault="00535792" w:rsidP="00B74792">
            <w:pPr>
              <w:spacing w:before="0" w:after="0"/>
              <w:ind w:left="33"/>
              <w:rPr>
                <w:rFonts w:ascii="Times New Roman" w:hAnsi="Times New Roman"/>
                <w:bCs/>
                <w:sz w:val="24"/>
              </w:rPr>
            </w:pPr>
            <w:r w:rsidRPr="00E07C9A">
              <w:rPr>
                <w:rFonts w:ascii="Times New Roman" w:hAnsi="Times New Roman"/>
                <w:sz w:val="24"/>
              </w:rPr>
              <w:t>0170 –⁠ 0230</w:t>
            </w:r>
          </w:p>
        </w:tc>
        <w:tc>
          <w:tcPr>
            <w:tcW w:w="8701" w:type="dxa"/>
          </w:tcPr>
          <w:p w14:paraId="05B8F86D" w14:textId="77777777" w:rsidR="00FD54FC" w:rsidRPr="00E07C9A" w:rsidRDefault="00FD54FC" w:rsidP="00FD54FC">
            <w:pPr>
              <w:spacing w:before="0" w:after="0"/>
              <w:ind w:left="33"/>
              <w:rPr>
                <w:rFonts w:ascii="Times New Roman" w:hAnsi="Times New Roman"/>
                <w:b/>
                <w:bCs/>
                <w:sz w:val="24"/>
              </w:rPr>
            </w:pPr>
            <w:r w:rsidRPr="00E07C9A">
              <w:rPr>
                <w:rFonts w:ascii="Times New Roman" w:hAnsi="Times New Roman"/>
                <w:b/>
                <w:sz w:val="24"/>
              </w:rPr>
              <w:t>ROZČLENENIE EXPOZÍCIÍ PODĽA ZOSTATKOVEJ SPLATNOSTI</w:t>
            </w:r>
          </w:p>
          <w:p w14:paraId="241F141D" w14:textId="77777777" w:rsidR="00FD54FC" w:rsidRPr="00E07C9A" w:rsidRDefault="00FD54FC" w:rsidP="00FD54FC">
            <w:pPr>
              <w:spacing w:before="0" w:after="0"/>
              <w:ind w:left="33"/>
              <w:rPr>
                <w:rFonts w:ascii="Times New Roman" w:hAnsi="Times New Roman"/>
                <w:bCs/>
                <w:sz w:val="24"/>
                <w:lang w:eastAsia="de-DE"/>
              </w:rPr>
            </w:pPr>
          </w:p>
          <w:p w14:paraId="57535DF2" w14:textId="05C3B9A1" w:rsidR="00FD54FC" w:rsidRPr="00E07C9A" w:rsidRDefault="00FD54FC" w:rsidP="00FD54FC">
            <w:pPr>
              <w:spacing w:before="0" w:after="0"/>
              <w:ind w:left="33"/>
              <w:rPr>
                <w:rFonts w:ascii="Times New Roman" w:hAnsi="Times New Roman"/>
                <w:bCs/>
                <w:sz w:val="24"/>
              </w:rPr>
            </w:pPr>
            <w:r w:rsidRPr="00E07C9A">
              <w:rPr>
                <w:rFonts w:ascii="Times New Roman" w:hAnsi="Times New Roman"/>
                <w:sz w:val="24"/>
              </w:rPr>
              <w:t>Zostatková splatnosť sa vypočítava</w:t>
            </w:r>
            <w:r w:rsidR="009912F8" w:rsidRPr="00E07C9A">
              <w:rPr>
                <w:rFonts w:ascii="Times New Roman" w:hAnsi="Times New Roman"/>
                <w:sz w:val="24"/>
              </w:rPr>
              <w:t xml:space="preserve"> v </w:t>
            </w:r>
            <w:r w:rsidRPr="00E07C9A">
              <w:rPr>
                <w:rFonts w:ascii="Times New Roman" w:hAnsi="Times New Roman"/>
                <w:sz w:val="24"/>
              </w:rPr>
              <w:t>dňoch medzi zmluvným dátumom splatnosti</w:t>
            </w:r>
            <w:r w:rsidR="009912F8" w:rsidRPr="00E07C9A">
              <w:rPr>
                <w:rFonts w:ascii="Times New Roman" w:hAnsi="Times New Roman"/>
                <w:sz w:val="24"/>
              </w:rPr>
              <w:t xml:space="preserve"> a </w:t>
            </w:r>
            <w:r w:rsidRPr="00E07C9A">
              <w:rPr>
                <w:rFonts w:ascii="Times New Roman" w:hAnsi="Times New Roman"/>
                <w:sz w:val="24"/>
              </w:rPr>
              <w:t>referenčným dátumom vykazovania pre všetky pozície.</w:t>
            </w:r>
          </w:p>
          <w:p w14:paraId="3447FCB5" w14:textId="77777777" w:rsidR="00FD54FC" w:rsidRPr="00E07C9A" w:rsidRDefault="00FD54FC" w:rsidP="00FD54FC">
            <w:pPr>
              <w:spacing w:before="0" w:after="0"/>
              <w:ind w:left="33"/>
              <w:rPr>
                <w:rFonts w:ascii="Times New Roman" w:hAnsi="Times New Roman"/>
                <w:bCs/>
                <w:sz w:val="24"/>
                <w:lang w:eastAsia="de-DE"/>
              </w:rPr>
            </w:pPr>
          </w:p>
          <w:p w14:paraId="48B685E4" w14:textId="7A4B72BD" w:rsidR="00FD54FC" w:rsidRPr="00E07C9A" w:rsidRDefault="00FD54FC" w:rsidP="00FD54FC">
            <w:pPr>
              <w:spacing w:before="0" w:after="0"/>
              <w:ind w:left="33"/>
              <w:rPr>
                <w:rFonts w:ascii="Times New Roman" w:hAnsi="Times New Roman"/>
                <w:bCs/>
                <w:sz w:val="24"/>
              </w:rPr>
            </w:pPr>
            <w:r w:rsidRPr="00E07C9A">
              <w:rPr>
                <w:rFonts w:ascii="Times New Roman" w:hAnsi="Times New Roman"/>
                <w:sz w:val="24"/>
              </w:rPr>
              <w:t>Expozície voči orgánom verejnej správy sa rozčlenia podľa zostatkovej splatnosti</w:t>
            </w:r>
            <w:r w:rsidR="009912F8" w:rsidRPr="00E07C9A">
              <w:rPr>
                <w:rFonts w:ascii="Times New Roman" w:hAnsi="Times New Roman"/>
                <w:sz w:val="24"/>
              </w:rPr>
              <w:t xml:space="preserve"> a </w:t>
            </w:r>
            <w:r w:rsidRPr="00E07C9A">
              <w:rPr>
                <w:rFonts w:ascii="Times New Roman" w:hAnsi="Times New Roman"/>
                <w:sz w:val="24"/>
              </w:rPr>
              <w:t>priradia sa</w:t>
            </w:r>
            <w:r w:rsidR="009912F8" w:rsidRPr="00E07C9A">
              <w:rPr>
                <w:rFonts w:ascii="Times New Roman" w:hAnsi="Times New Roman"/>
                <w:sz w:val="24"/>
              </w:rPr>
              <w:t xml:space="preserve"> k </w:t>
            </w:r>
            <w:r w:rsidRPr="00E07C9A">
              <w:rPr>
                <w:rFonts w:ascii="Times New Roman" w:hAnsi="Times New Roman"/>
                <w:sz w:val="24"/>
              </w:rPr>
              <w:t>stanoveným skupinám takto:</w:t>
            </w:r>
          </w:p>
          <w:p w14:paraId="1D3B6960" w14:textId="77777777" w:rsidR="00FD54FC" w:rsidRPr="00E07C9A" w:rsidRDefault="00FD54FC" w:rsidP="00FD54FC">
            <w:pPr>
              <w:spacing w:before="0" w:after="0"/>
              <w:ind w:left="33"/>
              <w:rPr>
                <w:rFonts w:ascii="Times New Roman" w:hAnsi="Times New Roman"/>
                <w:bCs/>
                <w:sz w:val="24"/>
                <w:lang w:eastAsia="de-DE"/>
              </w:rPr>
            </w:pPr>
          </w:p>
          <w:p w14:paraId="0B4650C9" w14:textId="77777777" w:rsidR="00FD54FC" w:rsidRPr="00E07C9A" w:rsidRDefault="00125707" w:rsidP="0023700C">
            <w:pPr>
              <w:spacing w:before="0" w:after="0"/>
              <w:ind w:left="808" w:hanging="360"/>
              <w:rPr>
                <w:rFonts w:ascii="Times New Roman" w:hAnsi="Times New Roman"/>
                <w:bCs/>
                <w:sz w:val="24"/>
              </w:rPr>
            </w:pPr>
            <w:r w:rsidRPr="00E07C9A">
              <w:rPr>
                <w:rFonts w:ascii="Times New Roman" w:hAnsi="Times New Roman"/>
                <w:sz w:val="24"/>
              </w:rPr>
              <w:t></w:t>
            </w:r>
            <w:r w:rsidRPr="00E07C9A">
              <w:rPr>
                <w:rFonts w:ascii="Times New Roman" w:hAnsi="Times New Roman"/>
              </w:rPr>
              <w:tab/>
            </w:r>
            <w:r w:rsidRPr="00E07C9A">
              <w:rPr>
                <w:rFonts w:ascii="Times New Roman" w:hAnsi="Times New Roman"/>
                <w:b/>
                <w:sz w:val="24"/>
              </w:rPr>
              <w:t>[ 0 – 3M [</w:t>
            </w:r>
            <w:r w:rsidRPr="00E07C9A">
              <w:rPr>
                <w:rFonts w:ascii="Times New Roman" w:hAnsi="Times New Roman"/>
                <w:sz w:val="24"/>
              </w:rPr>
              <w:t xml:space="preserve"> : menej než 90 dní;</w:t>
            </w:r>
          </w:p>
          <w:p w14:paraId="2395D862" w14:textId="601CAEF7" w:rsidR="00FD54FC" w:rsidRPr="00E07C9A" w:rsidRDefault="00125707" w:rsidP="0023700C">
            <w:pPr>
              <w:spacing w:before="0" w:after="0"/>
              <w:ind w:left="808" w:hanging="360"/>
              <w:rPr>
                <w:rFonts w:ascii="Times New Roman" w:hAnsi="Times New Roman"/>
                <w:bCs/>
                <w:sz w:val="24"/>
              </w:rPr>
            </w:pPr>
            <w:r w:rsidRPr="00E07C9A">
              <w:rPr>
                <w:rFonts w:ascii="Times New Roman" w:hAnsi="Times New Roman"/>
                <w:sz w:val="24"/>
              </w:rPr>
              <w:t></w:t>
            </w:r>
            <w:r w:rsidRPr="00E07C9A">
              <w:rPr>
                <w:rFonts w:ascii="Times New Roman" w:hAnsi="Times New Roman"/>
              </w:rPr>
              <w:tab/>
            </w:r>
            <w:r w:rsidRPr="00E07C9A">
              <w:rPr>
                <w:rFonts w:ascii="Times New Roman" w:hAnsi="Times New Roman"/>
                <w:b/>
                <w:sz w:val="24"/>
              </w:rPr>
              <w:t>[ 3M – 1R [</w:t>
            </w:r>
            <w:r w:rsidRPr="00E07C9A">
              <w:rPr>
                <w:rFonts w:ascii="Times New Roman" w:hAnsi="Times New Roman"/>
                <w:sz w:val="24"/>
              </w:rPr>
              <w:t xml:space="preserve"> : 90 dní alebo viac</w:t>
            </w:r>
            <w:r w:rsidR="009912F8" w:rsidRPr="00E07C9A">
              <w:rPr>
                <w:rFonts w:ascii="Times New Roman" w:hAnsi="Times New Roman"/>
                <w:sz w:val="24"/>
              </w:rPr>
              <w:t xml:space="preserve"> a </w:t>
            </w:r>
            <w:r w:rsidRPr="00E07C9A">
              <w:rPr>
                <w:rFonts w:ascii="Times New Roman" w:hAnsi="Times New Roman"/>
                <w:sz w:val="24"/>
              </w:rPr>
              <w:t>menej než 365 dní;</w:t>
            </w:r>
          </w:p>
          <w:p w14:paraId="469AE544" w14:textId="5C83861C" w:rsidR="00FD54FC" w:rsidRPr="00E07C9A" w:rsidRDefault="00125707" w:rsidP="0023700C">
            <w:pPr>
              <w:spacing w:before="0" w:after="0"/>
              <w:ind w:left="808" w:hanging="360"/>
              <w:rPr>
                <w:rFonts w:ascii="Times New Roman" w:hAnsi="Times New Roman"/>
                <w:bCs/>
                <w:sz w:val="24"/>
              </w:rPr>
            </w:pPr>
            <w:r w:rsidRPr="00E07C9A">
              <w:rPr>
                <w:rFonts w:ascii="Times New Roman" w:hAnsi="Times New Roman"/>
                <w:sz w:val="24"/>
              </w:rPr>
              <w:t></w:t>
            </w:r>
            <w:r w:rsidRPr="00E07C9A">
              <w:rPr>
                <w:rFonts w:ascii="Times New Roman" w:hAnsi="Times New Roman"/>
              </w:rPr>
              <w:tab/>
            </w:r>
            <w:r w:rsidRPr="00E07C9A">
              <w:rPr>
                <w:rFonts w:ascii="Times New Roman" w:hAnsi="Times New Roman"/>
                <w:b/>
                <w:sz w:val="24"/>
              </w:rPr>
              <w:t>[ 1R – 2R [</w:t>
            </w:r>
            <w:r w:rsidRPr="00E07C9A">
              <w:rPr>
                <w:rFonts w:ascii="Times New Roman" w:hAnsi="Times New Roman"/>
                <w:sz w:val="24"/>
              </w:rPr>
              <w:t xml:space="preserve"> : 365 dní alebo viac</w:t>
            </w:r>
            <w:r w:rsidR="009912F8" w:rsidRPr="00E07C9A">
              <w:rPr>
                <w:rFonts w:ascii="Times New Roman" w:hAnsi="Times New Roman"/>
                <w:sz w:val="24"/>
              </w:rPr>
              <w:t xml:space="preserve"> a </w:t>
            </w:r>
            <w:r w:rsidRPr="00E07C9A">
              <w:rPr>
                <w:rFonts w:ascii="Times New Roman" w:hAnsi="Times New Roman"/>
                <w:sz w:val="24"/>
              </w:rPr>
              <w:t>menej než 730 dní;</w:t>
            </w:r>
          </w:p>
          <w:p w14:paraId="3F5A4E59" w14:textId="2FF3AE5B" w:rsidR="00FD54FC" w:rsidRPr="00E07C9A" w:rsidRDefault="00125707" w:rsidP="0023700C">
            <w:pPr>
              <w:spacing w:before="0" w:after="0"/>
              <w:ind w:left="808" w:hanging="360"/>
              <w:rPr>
                <w:rFonts w:ascii="Times New Roman" w:hAnsi="Times New Roman"/>
                <w:bCs/>
                <w:sz w:val="24"/>
              </w:rPr>
            </w:pPr>
            <w:r w:rsidRPr="00E07C9A">
              <w:rPr>
                <w:rFonts w:ascii="Times New Roman" w:hAnsi="Times New Roman"/>
                <w:sz w:val="24"/>
              </w:rPr>
              <w:t></w:t>
            </w:r>
            <w:r w:rsidRPr="00E07C9A">
              <w:rPr>
                <w:rFonts w:ascii="Times New Roman" w:hAnsi="Times New Roman"/>
              </w:rPr>
              <w:tab/>
            </w:r>
            <w:r w:rsidRPr="00E07C9A">
              <w:rPr>
                <w:rFonts w:ascii="Times New Roman" w:hAnsi="Times New Roman"/>
                <w:b/>
                <w:sz w:val="24"/>
              </w:rPr>
              <w:t>[ 2R – 3R [</w:t>
            </w:r>
            <w:r w:rsidRPr="00E07C9A">
              <w:rPr>
                <w:rFonts w:ascii="Times New Roman" w:hAnsi="Times New Roman"/>
                <w:sz w:val="24"/>
              </w:rPr>
              <w:t xml:space="preserve"> : 730 dní alebo viac</w:t>
            </w:r>
            <w:r w:rsidR="009912F8" w:rsidRPr="00E07C9A">
              <w:rPr>
                <w:rFonts w:ascii="Times New Roman" w:hAnsi="Times New Roman"/>
                <w:sz w:val="24"/>
              </w:rPr>
              <w:t xml:space="preserve"> a </w:t>
            </w:r>
            <w:r w:rsidRPr="00E07C9A">
              <w:rPr>
                <w:rFonts w:ascii="Times New Roman" w:hAnsi="Times New Roman"/>
                <w:sz w:val="24"/>
              </w:rPr>
              <w:t>menej než 1 095 dní;</w:t>
            </w:r>
          </w:p>
          <w:p w14:paraId="067C94B6" w14:textId="420892D7" w:rsidR="00FD54FC" w:rsidRPr="00E07C9A" w:rsidRDefault="00125707" w:rsidP="0023700C">
            <w:pPr>
              <w:spacing w:before="0" w:after="0"/>
              <w:ind w:left="808" w:hanging="360"/>
              <w:rPr>
                <w:rFonts w:ascii="Times New Roman" w:hAnsi="Times New Roman"/>
                <w:bCs/>
                <w:sz w:val="24"/>
              </w:rPr>
            </w:pPr>
            <w:r w:rsidRPr="00E07C9A">
              <w:rPr>
                <w:rFonts w:ascii="Times New Roman" w:hAnsi="Times New Roman"/>
                <w:sz w:val="24"/>
              </w:rPr>
              <w:t></w:t>
            </w:r>
            <w:r w:rsidRPr="00E07C9A">
              <w:rPr>
                <w:rFonts w:ascii="Times New Roman" w:hAnsi="Times New Roman"/>
              </w:rPr>
              <w:tab/>
            </w:r>
            <w:r w:rsidRPr="00E07C9A">
              <w:rPr>
                <w:rFonts w:ascii="Times New Roman" w:hAnsi="Times New Roman"/>
                <w:b/>
                <w:sz w:val="24"/>
              </w:rPr>
              <w:t>[ 3R – 5R [</w:t>
            </w:r>
            <w:r w:rsidRPr="00E07C9A">
              <w:rPr>
                <w:rFonts w:ascii="Times New Roman" w:hAnsi="Times New Roman"/>
                <w:sz w:val="24"/>
              </w:rPr>
              <w:t xml:space="preserve"> : 1 095 dní alebo viac</w:t>
            </w:r>
            <w:r w:rsidR="009912F8" w:rsidRPr="00E07C9A">
              <w:rPr>
                <w:rFonts w:ascii="Times New Roman" w:hAnsi="Times New Roman"/>
                <w:sz w:val="24"/>
              </w:rPr>
              <w:t xml:space="preserve"> a </w:t>
            </w:r>
            <w:r w:rsidRPr="00E07C9A">
              <w:rPr>
                <w:rFonts w:ascii="Times New Roman" w:hAnsi="Times New Roman"/>
                <w:sz w:val="24"/>
              </w:rPr>
              <w:t>menej než 1 825 dní;</w:t>
            </w:r>
          </w:p>
          <w:p w14:paraId="7461BE90" w14:textId="43AF5AB3" w:rsidR="00FD54FC" w:rsidRPr="00E07C9A" w:rsidRDefault="00125707" w:rsidP="0023700C">
            <w:pPr>
              <w:spacing w:before="0" w:after="0"/>
              <w:ind w:left="808" w:hanging="360"/>
              <w:rPr>
                <w:rFonts w:ascii="Times New Roman" w:hAnsi="Times New Roman"/>
                <w:bCs/>
                <w:sz w:val="24"/>
              </w:rPr>
            </w:pPr>
            <w:r w:rsidRPr="00E07C9A">
              <w:rPr>
                <w:rFonts w:ascii="Times New Roman" w:hAnsi="Times New Roman"/>
                <w:sz w:val="24"/>
              </w:rPr>
              <w:t></w:t>
            </w:r>
            <w:r w:rsidRPr="00E07C9A">
              <w:rPr>
                <w:rFonts w:ascii="Times New Roman" w:hAnsi="Times New Roman"/>
              </w:rPr>
              <w:tab/>
            </w:r>
            <w:r w:rsidRPr="00E07C9A">
              <w:rPr>
                <w:rFonts w:ascii="Times New Roman" w:hAnsi="Times New Roman"/>
                <w:b/>
                <w:sz w:val="24"/>
              </w:rPr>
              <w:t>[ 5R – 10R [</w:t>
            </w:r>
            <w:r w:rsidRPr="00E07C9A">
              <w:rPr>
                <w:rFonts w:ascii="Times New Roman" w:hAnsi="Times New Roman"/>
                <w:sz w:val="24"/>
              </w:rPr>
              <w:t xml:space="preserve"> : 1 825 dní alebo viac</w:t>
            </w:r>
            <w:r w:rsidR="009912F8" w:rsidRPr="00E07C9A">
              <w:rPr>
                <w:rFonts w:ascii="Times New Roman" w:hAnsi="Times New Roman"/>
                <w:sz w:val="24"/>
              </w:rPr>
              <w:t xml:space="preserve"> a </w:t>
            </w:r>
            <w:r w:rsidRPr="00E07C9A">
              <w:rPr>
                <w:rFonts w:ascii="Times New Roman" w:hAnsi="Times New Roman"/>
                <w:sz w:val="24"/>
              </w:rPr>
              <w:t>menej než 3 650 dní;</w:t>
            </w:r>
          </w:p>
          <w:p w14:paraId="64D8A035" w14:textId="77777777" w:rsidR="00FD54FC" w:rsidRPr="00E07C9A" w:rsidRDefault="00125707" w:rsidP="0023700C">
            <w:pPr>
              <w:spacing w:before="0" w:after="0"/>
              <w:ind w:left="808" w:hanging="360"/>
              <w:rPr>
                <w:rFonts w:ascii="Times New Roman" w:hAnsi="Times New Roman"/>
                <w:bCs/>
                <w:sz w:val="24"/>
              </w:rPr>
            </w:pPr>
            <w:r w:rsidRPr="00E07C9A">
              <w:rPr>
                <w:rFonts w:ascii="Times New Roman" w:hAnsi="Times New Roman"/>
                <w:sz w:val="24"/>
              </w:rPr>
              <w:t></w:t>
            </w:r>
            <w:r w:rsidRPr="00E07C9A">
              <w:rPr>
                <w:rFonts w:ascii="Times New Roman" w:hAnsi="Times New Roman"/>
              </w:rPr>
              <w:tab/>
            </w:r>
            <w:r w:rsidRPr="00E07C9A">
              <w:rPr>
                <w:rFonts w:ascii="Times New Roman" w:hAnsi="Times New Roman"/>
                <w:b/>
                <w:sz w:val="24"/>
              </w:rPr>
              <w:t>[ 10R – viac</w:t>
            </w:r>
            <w:r w:rsidRPr="00E07C9A">
              <w:rPr>
                <w:rFonts w:ascii="Times New Roman" w:hAnsi="Times New Roman"/>
                <w:sz w:val="24"/>
              </w:rPr>
              <w:t xml:space="preserve"> : 3 650 dní alebo viac.</w:t>
            </w:r>
          </w:p>
          <w:p w14:paraId="658701DF" w14:textId="77777777" w:rsidR="00E1421C" w:rsidRPr="00E07C9A" w:rsidRDefault="00E1421C" w:rsidP="0023700C">
            <w:pPr>
              <w:spacing w:before="0" w:after="0"/>
              <w:ind w:left="808" w:hanging="360"/>
              <w:rPr>
                <w:rFonts w:ascii="Times New Roman" w:hAnsi="Times New Roman"/>
                <w:bCs/>
                <w:sz w:val="24"/>
                <w:lang w:eastAsia="de-DE"/>
              </w:rPr>
            </w:pPr>
          </w:p>
          <w:p w14:paraId="075FA214" w14:textId="1E4D44A8" w:rsidR="00E1421C" w:rsidRPr="00E07C9A" w:rsidRDefault="00E1421C" w:rsidP="00E1421C">
            <w:pPr>
              <w:spacing w:before="0" w:after="0"/>
              <w:rPr>
                <w:rFonts w:ascii="Times New Roman" w:hAnsi="Times New Roman"/>
                <w:bCs/>
                <w:sz w:val="24"/>
              </w:rPr>
            </w:pPr>
            <w:r w:rsidRPr="00E07C9A">
              <w:rPr>
                <w:rFonts w:ascii="Times New Roman" w:hAnsi="Times New Roman"/>
                <w:sz w:val="24"/>
              </w:rPr>
              <w:t>Ak je zmluvný dátum splatnosti skorší ako referenčný dátum vykazovania (t. j. rozdiel medzi referenčným dátumom vykazovania</w:t>
            </w:r>
            <w:r w:rsidR="009912F8" w:rsidRPr="00E07C9A">
              <w:rPr>
                <w:rFonts w:ascii="Times New Roman" w:hAnsi="Times New Roman"/>
                <w:sz w:val="24"/>
              </w:rPr>
              <w:t xml:space="preserve"> a </w:t>
            </w:r>
            <w:r w:rsidRPr="00E07C9A">
              <w:rPr>
                <w:rFonts w:ascii="Times New Roman" w:hAnsi="Times New Roman"/>
                <w:sz w:val="24"/>
              </w:rPr>
              <w:t>dátumom splatnosti je záporná hodnota), expozícia sa zaraďuje do skupiny [0 – 3M].</w:t>
            </w:r>
          </w:p>
          <w:p w14:paraId="7AD9997A" w14:textId="77777777" w:rsidR="00E1421C" w:rsidRPr="00E07C9A" w:rsidRDefault="00E1421C" w:rsidP="00E1421C">
            <w:pPr>
              <w:spacing w:before="0" w:after="0"/>
              <w:rPr>
                <w:rFonts w:ascii="Times New Roman" w:hAnsi="Times New Roman"/>
                <w:bCs/>
                <w:sz w:val="24"/>
                <w:lang w:eastAsia="de-DE"/>
              </w:rPr>
            </w:pPr>
          </w:p>
          <w:p w14:paraId="08E1D0B7" w14:textId="36D09701" w:rsidR="00FD54FC" w:rsidRPr="00E07C9A" w:rsidRDefault="00E1421C" w:rsidP="00FD54FC">
            <w:pPr>
              <w:spacing w:before="0" w:after="0"/>
              <w:ind w:left="33"/>
              <w:rPr>
                <w:rFonts w:ascii="Times New Roman" w:hAnsi="Times New Roman"/>
                <w:bCs/>
                <w:sz w:val="24"/>
              </w:rPr>
            </w:pPr>
            <w:r w:rsidRPr="00E07C9A">
              <w:rPr>
                <w:rFonts w:ascii="Times New Roman" w:hAnsi="Times New Roman"/>
                <w:sz w:val="24"/>
              </w:rPr>
              <w:t>Expozície bez zostatkovej splatnosti sa zaraďujú do skupiny zostatkovej splatnosti na základe ich výpovednej lehoty alebo iných zmluvných údajov</w:t>
            </w:r>
            <w:r w:rsidR="009912F8" w:rsidRPr="00E07C9A">
              <w:rPr>
                <w:rFonts w:ascii="Times New Roman" w:hAnsi="Times New Roman"/>
                <w:sz w:val="24"/>
              </w:rPr>
              <w:t xml:space="preserve"> o </w:t>
            </w:r>
            <w:r w:rsidRPr="00E07C9A">
              <w:rPr>
                <w:rFonts w:ascii="Times New Roman" w:hAnsi="Times New Roman"/>
                <w:sz w:val="24"/>
              </w:rPr>
              <w:t>splatnosti.</w:t>
            </w:r>
            <w:r w:rsidR="009912F8" w:rsidRPr="00E07C9A">
              <w:rPr>
                <w:rFonts w:ascii="Times New Roman" w:hAnsi="Times New Roman"/>
                <w:sz w:val="24"/>
              </w:rPr>
              <w:t xml:space="preserve"> </w:t>
            </w:r>
            <w:r w:rsidRPr="00E07C9A">
              <w:rPr>
                <w:rFonts w:ascii="Times New Roman" w:hAnsi="Times New Roman"/>
                <w:sz w:val="24"/>
              </w:rPr>
              <w:t>Ak neexistuje vopred stanovená výpovedná lehota ani iný zmluvný údaj</w:t>
            </w:r>
            <w:r w:rsidR="009912F8" w:rsidRPr="00E07C9A">
              <w:rPr>
                <w:rFonts w:ascii="Times New Roman" w:hAnsi="Times New Roman"/>
                <w:sz w:val="24"/>
              </w:rPr>
              <w:t xml:space="preserve"> o </w:t>
            </w:r>
            <w:r w:rsidRPr="00E07C9A">
              <w:rPr>
                <w:rFonts w:ascii="Times New Roman" w:hAnsi="Times New Roman"/>
                <w:sz w:val="24"/>
              </w:rPr>
              <w:t>splatnosti, expozície sa zaraďujú do skupiny zostatkovej splatnosti [10R – viac].</w:t>
            </w:r>
          </w:p>
        </w:tc>
      </w:tr>
    </w:tbl>
    <w:p w14:paraId="4BA8ADC8" w14:textId="77777777" w:rsidR="00FD54FC" w:rsidRPr="00E07C9A" w:rsidRDefault="00FD54FC" w:rsidP="006452A4">
      <w:pPr>
        <w:spacing w:after="0"/>
        <w:rPr>
          <w:rStyle w:val="InstructionsTabelleText"/>
          <w:rFonts w:ascii="Times New Roman" w:hAnsi="Times New Roman"/>
          <w:sz w:val="24"/>
        </w:rPr>
      </w:pPr>
    </w:p>
    <w:p w14:paraId="211FAC8C" w14:textId="77777777" w:rsidR="00DD00B4" w:rsidRPr="00E07C9A" w:rsidRDefault="00DD00B4" w:rsidP="00DD00B4">
      <w:pPr>
        <w:pStyle w:val="Instructionsberschrift2"/>
        <w:numPr>
          <w:ilvl w:val="0"/>
          <w:numId w:val="0"/>
        </w:numPr>
        <w:ind w:left="357" w:hanging="357"/>
        <w:rPr>
          <w:rFonts w:ascii="Times New Roman" w:hAnsi="Times New Roman" w:cs="Times New Roman"/>
          <w:sz w:val="24"/>
          <w:u w:val="none"/>
        </w:rPr>
      </w:pPr>
      <w:bookmarkStart w:id="779" w:name="_Toc19715886"/>
      <w:bookmarkStart w:id="780" w:name="_Toc115857916"/>
      <w:bookmarkStart w:id="781" w:name="_Toc522019774"/>
      <w:r w:rsidRPr="00E07C9A">
        <w:rPr>
          <w:rFonts w:ascii="Times New Roman" w:hAnsi="Times New Roman" w:cs="Times New Roman"/>
          <w:sz w:val="24"/>
          <w:u w:val="none"/>
        </w:rPr>
        <w:t>8.</w:t>
      </w:r>
      <w:r w:rsidRPr="00E07C9A">
        <w:rPr>
          <w:rFonts w:ascii="Times New Roman" w:hAnsi="Times New Roman" w:cs="Times New Roman"/>
          <w:u w:val="none"/>
        </w:rPr>
        <w:tab/>
      </w:r>
      <w:r w:rsidRPr="00E07C9A">
        <w:rPr>
          <w:rFonts w:ascii="Times New Roman" w:hAnsi="Times New Roman" w:cs="Times New Roman"/>
          <w:sz w:val="24"/>
          <w:u w:val="none"/>
        </w:rPr>
        <w:t>Krytie strát pri problémových expozíciách (NPE LC)</w:t>
      </w:r>
      <w:bookmarkEnd w:id="779"/>
      <w:bookmarkEnd w:id="780"/>
    </w:p>
    <w:p w14:paraId="16A7F668" w14:textId="77777777" w:rsidR="009912F8" w:rsidRPr="00E07C9A" w:rsidRDefault="00DD00B4" w:rsidP="00DD00B4">
      <w:pPr>
        <w:pStyle w:val="Instructionsberschrift2"/>
        <w:numPr>
          <w:ilvl w:val="0"/>
          <w:numId w:val="0"/>
        </w:numPr>
        <w:ind w:left="357" w:hanging="357"/>
        <w:rPr>
          <w:rFonts w:ascii="Times New Roman" w:hAnsi="Times New Roman" w:cs="Times New Roman"/>
          <w:sz w:val="24"/>
          <w:u w:val="none"/>
        </w:rPr>
      </w:pPr>
      <w:bookmarkStart w:id="782" w:name="_Toc19715887"/>
      <w:bookmarkStart w:id="783" w:name="_Toc115857917"/>
      <w:r w:rsidRPr="00E07C9A">
        <w:rPr>
          <w:rFonts w:ascii="Times New Roman" w:hAnsi="Times New Roman" w:cs="Times New Roman"/>
          <w:sz w:val="24"/>
          <w:u w:val="none"/>
        </w:rPr>
        <w:t>8.1.</w:t>
      </w:r>
      <w:r w:rsidRPr="00E07C9A">
        <w:rPr>
          <w:rFonts w:ascii="Times New Roman" w:hAnsi="Times New Roman" w:cs="Times New Roman"/>
          <w:u w:val="none"/>
        </w:rPr>
        <w:tab/>
      </w:r>
      <w:r w:rsidRPr="00E07C9A">
        <w:rPr>
          <w:rFonts w:ascii="Times New Roman" w:hAnsi="Times New Roman" w:cs="Times New Roman"/>
          <w:sz w:val="24"/>
          <w:u w:val="none"/>
        </w:rPr>
        <w:t>Všeobecné poznámky</w:t>
      </w:r>
      <w:bookmarkEnd w:id="782"/>
      <w:bookmarkEnd w:id="783"/>
    </w:p>
    <w:p w14:paraId="2FE9C10F" w14:textId="4F9B7976" w:rsidR="00DD00B4" w:rsidRPr="00E07C9A" w:rsidRDefault="002A18DE" w:rsidP="00487A02">
      <w:pPr>
        <w:pStyle w:val="InstructionsText2"/>
        <w:numPr>
          <w:ilvl w:val="0"/>
          <w:numId w:val="0"/>
        </w:numPr>
        <w:ind w:left="1353" w:hanging="360"/>
      </w:pPr>
      <w:fldSimple w:instr=" seq paragraphs ">
        <w:r w:rsidR="00132AEE">
          <w:rPr>
            <w:noProof/>
          </w:rPr>
          <w:t>200</w:t>
        </w:r>
      </w:fldSimple>
      <w:r w:rsidR="00840A22" w:rsidRPr="00E07C9A">
        <w:t>. Vzory pre krytie strát pri problémových expozíciách obsahujú informácie</w:t>
      </w:r>
      <w:r w:rsidR="009912F8" w:rsidRPr="00E07C9A">
        <w:t xml:space="preserve"> o </w:t>
      </w:r>
      <w:r w:rsidR="00840A22" w:rsidRPr="00E07C9A">
        <w:t>problémových expozíciách (NPE) na účely výpočtu minimálnej požiadavky na krytie strát pri problémových expozíciách, ako sa špecifikuje</w:t>
      </w:r>
      <w:r w:rsidR="009912F8" w:rsidRPr="00E07C9A">
        <w:t xml:space="preserve"> v </w:t>
      </w:r>
      <w:r w:rsidR="00840A22" w:rsidRPr="00E07C9A">
        <w:t>článkoch 47a, 47b</w:t>
      </w:r>
      <w:r w:rsidR="009912F8" w:rsidRPr="00E07C9A">
        <w:t xml:space="preserve"> a </w:t>
      </w:r>
      <w:r w:rsidR="00840A22" w:rsidRPr="00E07C9A">
        <w:t xml:space="preserve">47c nariadenia (EÚ) </w:t>
      </w:r>
      <w:r w:rsidR="009912F8" w:rsidRPr="00E07C9A">
        <w:t>č. 575/2013</w:t>
      </w:r>
      <w:r w:rsidR="00840A22" w:rsidRPr="00E07C9A">
        <w:t>.</w:t>
      </w:r>
    </w:p>
    <w:p w14:paraId="35A02FEC" w14:textId="0FE759A3" w:rsidR="00DD00B4" w:rsidRPr="00E07C9A" w:rsidRDefault="002A18DE" w:rsidP="00487A02">
      <w:pPr>
        <w:pStyle w:val="InstructionsText2"/>
        <w:numPr>
          <w:ilvl w:val="0"/>
          <w:numId w:val="0"/>
        </w:numPr>
        <w:ind w:left="1353" w:hanging="360"/>
      </w:pPr>
      <w:fldSimple w:instr=" seq paragraphs ">
        <w:r w:rsidR="00132AEE">
          <w:rPr>
            <w:noProof/>
          </w:rPr>
          <w:t>201</w:t>
        </w:r>
      </w:fldSimple>
      <w:r w:rsidR="00CE7221" w:rsidRPr="00E07C9A">
        <w:t>. Blok vzorov pozostáva zo súboru troch vzorov:</w:t>
      </w:r>
    </w:p>
    <w:p w14:paraId="5D5B318C" w14:textId="46F8F46A" w:rsidR="00DD00B4" w:rsidRPr="00E07C9A" w:rsidRDefault="00DD00B4" w:rsidP="005C4397">
      <w:pPr>
        <w:pStyle w:val="ListParagraph"/>
        <w:numPr>
          <w:ilvl w:val="0"/>
          <w:numId w:val="28"/>
        </w:numPr>
        <w:ind w:left="1077" w:hanging="357"/>
        <w:rPr>
          <w:rFonts w:ascii="Times New Roman" w:hAnsi="Times New Roman"/>
          <w:sz w:val="24"/>
        </w:rPr>
      </w:pPr>
      <w:r w:rsidRPr="00E07C9A">
        <w:rPr>
          <w:rFonts w:ascii="Times New Roman" w:hAnsi="Times New Roman"/>
          <w:sz w:val="24"/>
        </w:rPr>
        <w:t>Výpočet odpočtov pre problémové expozície (C 35.01): ide</w:t>
      </w:r>
      <w:r w:rsidR="009912F8" w:rsidRPr="00E07C9A">
        <w:rPr>
          <w:rFonts w:ascii="Times New Roman" w:hAnsi="Times New Roman"/>
          <w:sz w:val="24"/>
        </w:rPr>
        <w:t xml:space="preserve"> o </w:t>
      </w:r>
      <w:r w:rsidRPr="00E07C9A">
        <w:rPr>
          <w:rFonts w:ascii="Times New Roman" w:hAnsi="Times New Roman"/>
          <w:sz w:val="24"/>
        </w:rPr>
        <w:t>vzor týkajúci sa prehľadu,</w:t>
      </w:r>
      <w:r w:rsidR="009912F8" w:rsidRPr="00E07C9A">
        <w:rPr>
          <w:rFonts w:ascii="Times New Roman" w:hAnsi="Times New Roman"/>
          <w:sz w:val="24"/>
        </w:rPr>
        <w:t xml:space="preserve"> v </w:t>
      </w:r>
      <w:r w:rsidRPr="00E07C9A">
        <w:rPr>
          <w:rFonts w:ascii="Times New Roman" w:hAnsi="Times New Roman"/>
          <w:sz w:val="24"/>
        </w:rPr>
        <w:t>ktorom sa uvádza uplatniteľná výška nedostatočného krytia vypočítaná ako rozdiel medzi celkovými minimálnymi požiadavkami na krytie problémových expozícií</w:t>
      </w:r>
      <w:r w:rsidR="009912F8" w:rsidRPr="00E07C9A">
        <w:rPr>
          <w:rFonts w:ascii="Times New Roman" w:hAnsi="Times New Roman"/>
          <w:sz w:val="24"/>
        </w:rPr>
        <w:t xml:space="preserve"> a </w:t>
      </w:r>
      <w:r w:rsidRPr="00E07C9A">
        <w:rPr>
          <w:rFonts w:ascii="Times New Roman" w:hAnsi="Times New Roman"/>
          <w:sz w:val="24"/>
        </w:rPr>
        <w:t>celkovými rezervami</w:t>
      </w:r>
      <w:r w:rsidR="009912F8" w:rsidRPr="00E07C9A">
        <w:rPr>
          <w:rFonts w:ascii="Times New Roman" w:hAnsi="Times New Roman"/>
          <w:sz w:val="24"/>
        </w:rPr>
        <w:t xml:space="preserve"> a </w:t>
      </w:r>
      <w:r w:rsidRPr="00E07C9A">
        <w:rPr>
          <w:rFonts w:ascii="Times New Roman" w:hAnsi="Times New Roman"/>
          <w:sz w:val="24"/>
        </w:rPr>
        <w:t>úpravami alebo odpočtami, ktoré už boli vykonané. Vzor sa vzťahuje tak na problémové expozície, pri ktorých nebolo priznané opatrenie týkajúce sa úľavy, ako aj na problémové expozície</w:t>
      </w:r>
      <w:r w:rsidR="009912F8" w:rsidRPr="00E07C9A">
        <w:rPr>
          <w:rFonts w:ascii="Times New Roman" w:hAnsi="Times New Roman"/>
          <w:sz w:val="24"/>
        </w:rPr>
        <w:t xml:space="preserve"> s </w:t>
      </w:r>
      <w:r w:rsidRPr="00E07C9A">
        <w:rPr>
          <w:rFonts w:ascii="Times New Roman" w:hAnsi="Times New Roman"/>
          <w:sz w:val="24"/>
        </w:rPr>
        <w:t>úľavou.</w:t>
      </w:r>
    </w:p>
    <w:p w14:paraId="017B9046" w14:textId="7B42DC97" w:rsidR="00E5715E" w:rsidRPr="00E07C9A" w:rsidRDefault="00E5715E" w:rsidP="005C4397">
      <w:pPr>
        <w:pStyle w:val="ListParagraph"/>
        <w:numPr>
          <w:ilvl w:val="0"/>
          <w:numId w:val="28"/>
        </w:numPr>
        <w:ind w:left="1077" w:hanging="357"/>
        <w:rPr>
          <w:rFonts w:ascii="Times New Roman" w:hAnsi="Times New Roman"/>
          <w:sz w:val="24"/>
        </w:rPr>
      </w:pPr>
      <w:r w:rsidRPr="00E07C9A">
        <w:rPr>
          <w:rFonts w:ascii="Times New Roman" w:hAnsi="Times New Roman"/>
          <w:sz w:val="24"/>
        </w:rPr>
        <w:t>Minimálne požiadavky na krytie</w:t>
      </w:r>
      <w:r w:rsidR="009912F8" w:rsidRPr="00E07C9A">
        <w:rPr>
          <w:rFonts w:ascii="Times New Roman" w:hAnsi="Times New Roman"/>
          <w:sz w:val="24"/>
        </w:rPr>
        <w:t xml:space="preserve"> a </w:t>
      </w:r>
      <w:r w:rsidRPr="00E07C9A">
        <w:rPr>
          <w:rFonts w:ascii="Times New Roman" w:hAnsi="Times New Roman"/>
          <w:sz w:val="24"/>
        </w:rPr>
        <w:t>hodnoty expozícií pri problémových expozíciách okrem expozícií</w:t>
      </w:r>
      <w:r w:rsidR="009912F8" w:rsidRPr="00E07C9A">
        <w:rPr>
          <w:rFonts w:ascii="Times New Roman" w:hAnsi="Times New Roman"/>
          <w:sz w:val="24"/>
        </w:rPr>
        <w:t xml:space="preserve"> s </w:t>
      </w:r>
      <w:r w:rsidRPr="00E07C9A">
        <w:rPr>
          <w:rFonts w:ascii="Times New Roman" w:hAnsi="Times New Roman"/>
          <w:sz w:val="24"/>
        </w:rPr>
        <w:t xml:space="preserve">úľavou, na ktoré sa vzťahuje článok 47c ods. 6 nariadenia (EÚ) </w:t>
      </w:r>
      <w:r w:rsidR="009912F8" w:rsidRPr="00E07C9A">
        <w:rPr>
          <w:rFonts w:ascii="Times New Roman" w:hAnsi="Times New Roman"/>
          <w:sz w:val="24"/>
        </w:rPr>
        <w:t>č. 575/2013</w:t>
      </w:r>
      <w:r w:rsidRPr="00E07C9A">
        <w:rPr>
          <w:rFonts w:ascii="Times New Roman" w:hAnsi="Times New Roman"/>
          <w:sz w:val="24"/>
        </w:rPr>
        <w:t xml:space="preserve"> (C 35.02): vo vzore sa vypočítavajú celkové minimálne požiadavky na krytie problémových expozícií, ktoré nie sú problémovými expozíciami</w:t>
      </w:r>
      <w:r w:rsidR="009912F8" w:rsidRPr="00E07C9A">
        <w:rPr>
          <w:rFonts w:ascii="Times New Roman" w:hAnsi="Times New Roman"/>
          <w:sz w:val="24"/>
        </w:rPr>
        <w:t xml:space="preserve"> s </w:t>
      </w:r>
      <w:r w:rsidRPr="00E07C9A">
        <w:rPr>
          <w:rFonts w:ascii="Times New Roman" w:hAnsi="Times New Roman"/>
          <w:sz w:val="24"/>
        </w:rPr>
        <w:t xml:space="preserve">úľavou, na ktoré sa vzťahuje článok 47c ods. 6 nariadenia (EÚ) </w:t>
      </w:r>
      <w:r w:rsidR="009912F8" w:rsidRPr="00E07C9A">
        <w:rPr>
          <w:rFonts w:ascii="Times New Roman" w:hAnsi="Times New Roman"/>
          <w:sz w:val="24"/>
        </w:rPr>
        <w:t>č. 575/2013</w:t>
      </w:r>
      <w:r w:rsidRPr="00E07C9A">
        <w:rPr>
          <w:rFonts w:ascii="Times New Roman" w:hAnsi="Times New Roman"/>
          <w:sz w:val="24"/>
        </w:rPr>
        <w:t>,</w:t>
      </w:r>
      <w:r w:rsidR="009912F8" w:rsidRPr="00E07C9A">
        <w:rPr>
          <w:rFonts w:ascii="Times New Roman" w:hAnsi="Times New Roman"/>
          <w:sz w:val="24"/>
        </w:rPr>
        <w:t xml:space="preserve"> s </w:t>
      </w:r>
      <w:r w:rsidRPr="00E07C9A">
        <w:rPr>
          <w:rFonts w:ascii="Times New Roman" w:hAnsi="Times New Roman"/>
          <w:sz w:val="24"/>
        </w:rPr>
        <w:t>uvedením faktorov, ktoré sa majú uplatniť na hodnoty expozícií na účely tohto výpočtu podľa toho, či je expozícia zabezpečená alebo nezabezpečená,</w:t>
      </w:r>
      <w:r w:rsidR="009912F8" w:rsidRPr="00E07C9A">
        <w:rPr>
          <w:rFonts w:ascii="Times New Roman" w:hAnsi="Times New Roman"/>
          <w:sz w:val="24"/>
        </w:rPr>
        <w:t xml:space="preserve"> a </w:t>
      </w:r>
      <w:r w:rsidRPr="00E07C9A">
        <w:rPr>
          <w:rFonts w:ascii="Times New Roman" w:hAnsi="Times New Roman"/>
          <w:sz w:val="24"/>
        </w:rPr>
        <w:t>podľa času, ktorý uplynul odvtedy, ako sa expozícia stala problémovou.</w:t>
      </w:r>
    </w:p>
    <w:p w14:paraId="4C2420D2" w14:textId="6795E463" w:rsidR="009912F8" w:rsidRPr="00E07C9A" w:rsidRDefault="00DD00B4" w:rsidP="005C4397">
      <w:pPr>
        <w:pStyle w:val="ListParagraph"/>
        <w:numPr>
          <w:ilvl w:val="0"/>
          <w:numId w:val="28"/>
        </w:numPr>
        <w:spacing w:line="276" w:lineRule="auto"/>
        <w:ind w:left="1077" w:hanging="357"/>
        <w:rPr>
          <w:rFonts w:ascii="Times New Roman" w:hAnsi="Times New Roman"/>
          <w:sz w:val="24"/>
        </w:rPr>
      </w:pPr>
      <w:r w:rsidRPr="00E07C9A">
        <w:rPr>
          <w:rFonts w:ascii="Times New Roman" w:hAnsi="Times New Roman"/>
          <w:sz w:val="24"/>
        </w:rPr>
        <w:t>Minimálne požiadavky na krytie</w:t>
      </w:r>
      <w:r w:rsidR="009912F8" w:rsidRPr="00E07C9A">
        <w:rPr>
          <w:rFonts w:ascii="Times New Roman" w:hAnsi="Times New Roman"/>
          <w:sz w:val="24"/>
        </w:rPr>
        <w:t xml:space="preserve"> a </w:t>
      </w:r>
      <w:r w:rsidRPr="00E07C9A">
        <w:rPr>
          <w:rFonts w:ascii="Times New Roman" w:hAnsi="Times New Roman"/>
          <w:sz w:val="24"/>
        </w:rPr>
        <w:t>hodnoty expozícií pri problémových expozíciách</w:t>
      </w:r>
      <w:r w:rsidR="009912F8" w:rsidRPr="00E07C9A">
        <w:rPr>
          <w:rFonts w:ascii="Times New Roman" w:hAnsi="Times New Roman"/>
          <w:sz w:val="24"/>
        </w:rPr>
        <w:t xml:space="preserve"> s </w:t>
      </w:r>
      <w:r w:rsidRPr="00E07C9A">
        <w:rPr>
          <w:rFonts w:ascii="Times New Roman" w:hAnsi="Times New Roman"/>
          <w:sz w:val="24"/>
        </w:rPr>
        <w:t xml:space="preserve">úľavou, na ktoré sa vzťahuje článok 47c ods. 6 nariadenia (EÚ) </w:t>
      </w:r>
      <w:r w:rsidR="009912F8" w:rsidRPr="00E07C9A">
        <w:rPr>
          <w:rFonts w:ascii="Times New Roman" w:hAnsi="Times New Roman"/>
          <w:sz w:val="24"/>
        </w:rPr>
        <w:t>č. 575/2013</w:t>
      </w:r>
      <w:r w:rsidRPr="00E07C9A">
        <w:rPr>
          <w:rFonts w:ascii="Times New Roman" w:hAnsi="Times New Roman"/>
          <w:sz w:val="24"/>
        </w:rPr>
        <w:t xml:space="preserve"> (C 35.03): vo vzore sa vypočítavajú celkové minimálne požiadavky na krytie problémových expozícií</w:t>
      </w:r>
      <w:r w:rsidR="009912F8" w:rsidRPr="00E07C9A">
        <w:rPr>
          <w:rFonts w:ascii="Times New Roman" w:hAnsi="Times New Roman"/>
          <w:sz w:val="24"/>
        </w:rPr>
        <w:t xml:space="preserve"> s </w:t>
      </w:r>
      <w:r w:rsidRPr="00E07C9A">
        <w:rPr>
          <w:rFonts w:ascii="Times New Roman" w:hAnsi="Times New Roman"/>
          <w:sz w:val="24"/>
        </w:rPr>
        <w:t xml:space="preserve">úľavou, na ktoré sa vzťahuje článok 47c ods. 6 nariadenia (EÚ) </w:t>
      </w:r>
      <w:r w:rsidR="009912F8" w:rsidRPr="00E07C9A">
        <w:rPr>
          <w:rFonts w:ascii="Times New Roman" w:hAnsi="Times New Roman"/>
          <w:sz w:val="24"/>
        </w:rPr>
        <w:t>č. 575/2013</w:t>
      </w:r>
      <w:r w:rsidRPr="00E07C9A">
        <w:rPr>
          <w:rFonts w:ascii="Times New Roman" w:hAnsi="Times New Roman"/>
          <w:sz w:val="24"/>
        </w:rPr>
        <w:t>,</w:t>
      </w:r>
      <w:r w:rsidR="009912F8" w:rsidRPr="00E07C9A">
        <w:rPr>
          <w:rFonts w:ascii="Times New Roman" w:hAnsi="Times New Roman"/>
          <w:sz w:val="24"/>
        </w:rPr>
        <w:t xml:space="preserve"> s </w:t>
      </w:r>
      <w:r w:rsidRPr="00E07C9A">
        <w:rPr>
          <w:rFonts w:ascii="Times New Roman" w:hAnsi="Times New Roman"/>
          <w:sz w:val="24"/>
        </w:rPr>
        <w:t>uvedením faktorov, ktoré sa majú uplatniť na hodnoty expozícií na účely tohto výpočtu podľa toho, či je expozícia zabezpečená alebo nezabezpečená,</w:t>
      </w:r>
      <w:r w:rsidR="009912F8" w:rsidRPr="00E07C9A">
        <w:rPr>
          <w:rFonts w:ascii="Times New Roman" w:hAnsi="Times New Roman"/>
          <w:sz w:val="24"/>
        </w:rPr>
        <w:t xml:space="preserve"> a </w:t>
      </w:r>
      <w:r w:rsidRPr="00E07C9A">
        <w:rPr>
          <w:rFonts w:ascii="Times New Roman" w:hAnsi="Times New Roman"/>
          <w:sz w:val="24"/>
        </w:rPr>
        <w:t>podľa času, ktorý uplynul odvtedy, ako sa expozícia stala problémovou</w:t>
      </w:r>
      <w:r w:rsidR="009912F8" w:rsidRPr="00E07C9A">
        <w:rPr>
          <w:rFonts w:ascii="Times New Roman" w:hAnsi="Times New Roman"/>
          <w:sz w:val="24"/>
        </w:rPr>
        <w:t>.</w:t>
      </w:r>
    </w:p>
    <w:p w14:paraId="08D0E4C0" w14:textId="2AA9B9E1" w:rsidR="00DD00B4" w:rsidRPr="00E07C9A" w:rsidRDefault="002A18DE" w:rsidP="00487A02">
      <w:pPr>
        <w:pStyle w:val="InstructionsText2"/>
        <w:numPr>
          <w:ilvl w:val="0"/>
          <w:numId w:val="0"/>
        </w:numPr>
        <w:ind w:left="1353" w:hanging="360"/>
      </w:pPr>
      <w:fldSimple w:instr=" seq paragraphs ">
        <w:r w:rsidR="00132AEE">
          <w:rPr>
            <w:noProof/>
          </w:rPr>
          <w:t>202</w:t>
        </w:r>
      </w:fldSimple>
      <w:r w:rsidR="00CE7221" w:rsidRPr="00E07C9A">
        <w:t>.</w:t>
      </w:r>
      <w:r w:rsidR="009912F8" w:rsidRPr="00E07C9A">
        <w:t xml:space="preserve"> </w:t>
      </w:r>
      <w:r w:rsidR="00CE7221" w:rsidRPr="00E07C9A">
        <w:t>Minimálna požiadavka na krytie strát pri problémových expozíciách sa uplatňuje na i) expozície vzniknuté 26</w:t>
      </w:r>
      <w:r w:rsidR="009912F8" w:rsidRPr="00E07C9A">
        <w:t>. apríla</w:t>
      </w:r>
      <w:r w:rsidR="00CE7221" w:rsidRPr="00E07C9A">
        <w:t xml:space="preserve"> 2019</w:t>
      </w:r>
      <w:r w:rsidR="009912F8" w:rsidRPr="00E07C9A">
        <w:t xml:space="preserve"> a </w:t>
      </w:r>
      <w:r w:rsidR="00CE7221" w:rsidRPr="00E07C9A">
        <w:t>neskôr, ktoré sa stanú problémovými,</w:t>
      </w:r>
      <w:r w:rsidR="009912F8" w:rsidRPr="00E07C9A">
        <w:t xml:space="preserve"> a </w:t>
      </w:r>
      <w:r w:rsidR="00CE7221" w:rsidRPr="00E07C9A">
        <w:t xml:space="preserve">ii) expozície vzniknuté pred 26. aprílom 2019, ak sa po tomto dátume zmenia tak, že sa zvýši ich hodnota expozície voči dlžníkovi [článok 469a nariadenia (EÚ) </w:t>
      </w:r>
      <w:r w:rsidR="009912F8" w:rsidRPr="00E07C9A">
        <w:t>č. 575/2013</w:t>
      </w:r>
      <w:r w:rsidR="00CE7221" w:rsidRPr="00E07C9A">
        <w:t>], ktoré sa stanú problémovými.</w:t>
      </w:r>
    </w:p>
    <w:p w14:paraId="50E45877" w14:textId="36EC9EA4" w:rsidR="00DD00B4" w:rsidRPr="00E07C9A" w:rsidRDefault="002A18DE" w:rsidP="00487A02">
      <w:pPr>
        <w:pStyle w:val="InstructionsText2"/>
        <w:numPr>
          <w:ilvl w:val="0"/>
          <w:numId w:val="0"/>
        </w:numPr>
        <w:ind w:left="1353" w:hanging="360"/>
      </w:pPr>
      <w:fldSimple w:instr=" seq paragraphs ">
        <w:r w:rsidR="00132AEE">
          <w:rPr>
            <w:noProof/>
          </w:rPr>
          <w:t>203</w:t>
        </w:r>
      </w:fldSimple>
      <w:r w:rsidR="00CE7221" w:rsidRPr="00E07C9A">
        <w:t>. Inštitúcie vypočítavajú odpočty pre problémové expozície</w:t>
      </w:r>
      <w:r w:rsidR="009912F8" w:rsidRPr="00E07C9A">
        <w:t xml:space="preserve"> v </w:t>
      </w:r>
      <w:r w:rsidR="00CE7221" w:rsidRPr="00E07C9A">
        <w:t>súlade</w:t>
      </w:r>
      <w:r w:rsidR="009912F8" w:rsidRPr="00E07C9A">
        <w:t xml:space="preserve"> s </w:t>
      </w:r>
      <w:r w:rsidR="00CE7221" w:rsidRPr="00E07C9A">
        <w:t>článkom 47c ods. 1 písm. a)</w:t>
      </w:r>
      <w:r w:rsidR="009912F8" w:rsidRPr="00E07C9A">
        <w:t xml:space="preserve"> a </w:t>
      </w:r>
      <w:r w:rsidR="00CE7221" w:rsidRPr="00E07C9A">
        <w:t xml:space="preserve">b) nariadenia (EÚ) </w:t>
      </w:r>
      <w:r w:rsidR="009912F8" w:rsidRPr="00E07C9A">
        <w:t>č. 575/2013</w:t>
      </w:r>
      <w:r w:rsidR="00CE7221" w:rsidRPr="00E07C9A">
        <w:t>,</w:t>
      </w:r>
      <w:r w:rsidR="009912F8" w:rsidRPr="00E07C9A">
        <w:t xml:space="preserve"> a </w:t>
      </w:r>
      <w:r w:rsidR="00CE7221" w:rsidRPr="00E07C9A">
        <w:t>to vrátane výpočtu minimálnych požiadaviek na krytie</w:t>
      </w:r>
      <w:r w:rsidR="009912F8" w:rsidRPr="00E07C9A">
        <w:t xml:space="preserve"> a </w:t>
      </w:r>
      <w:r w:rsidR="00CE7221" w:rsidRPr="00E07C9A">
        <w:t>celkových rezerv</w:t>
      </w:r>
      <w:r w:rsidR="009912F8" w:rsidRPr="00E07C9A">
        <w:t xml:space="preserve"> a </w:t>
      </w:r>
      <w:r w:rsidR="00CE7221" w:rsidRPr="00E07C9A">
        <w:t>úprav alebo odpočtov, na úrovni jednotlivých expozícií („na základe transakcie“),</w:t>
      </w:r>
      <w:r w:rsidR="009912F8" w:rsidRPr="00E07C9A">
        <w:t xml:space="preserve"> a </w:t>
      </w:r>
      <w:r w:rsidR="00CE7221" w:rsidRPr="00E07C9A">
        <w:t>nie na úrovni dlžníka alebo portfólia.</w:t>
      </w:r>
    </w:p>
    <w:p w14:paraId="6322A857" w14:textId="34271186" w:rsidR="00DD00B4" w:rsidRPr="00E07C9A" w:rsidRDefault="002A18DE" w:rsidP="00487A02">
      <w:pPr>
        <w:pStyle w:val="InstructionsText2"/>
        <w:numPr>
          <w:ilvl w:val="0"/>
          <w:numId w:val="0"/>
        </w:numPr>
        <w:ind w:left="1353" w:hanging="360"/>
      </w:pPr>
      <w:fldSimple w:instr=" seq paragraphs ">
        <w:r w:rsidR="00132AEE">
          <w:rPr>
            <w:noProof/>
          </w:rPr>
          <w:t>204</w:t>
        </w:r>
      </w:fldSimple>
      <w:r w:rsidR="00CE7221" w:rsidRPr="00E07C9A">
        <w:t>. Na účely výpočtu odpočtov pre problémové expozície inštitúcie rozlišujú medzi nezabezpečenou</w:t>
      </w:r>
      <w:r w:rsidR="009912F8" w:rsidRPr="00E07C9A">
        <w:t xml:space="preserve"> a </w:t>
      </w:r>
      <w:r w:rsidR="00CE7221" w:rsidRPr="00E07C9A">
        <w:t>zabezpečenou časťou problémovej expozície</w:t>
      </w:r>
      <w:r w:rsidR="009912F8" w:rsidRPr="00E07C9A">
        <w:t xml:space="preserve"> v </w:t>
      </w:r>
      <w:r w:rsidR="00CE7221" w:rsidRPr="00E07C9A">
        <w:t>súlade</w:t>
      </w:r>
      <w:r w:rsidR="009912F8" w:rsidRPr="00E07C9A">
        <w:t xml:space="preserve"> s </w:t>
      </w:r>
      <w:r w:rsidR="00CE7221" w:rsidRPr="00E07C9A">
        <w:t xml:space="preserve">článkom 47c ods. 1 nariadenia (EÚ) </w:t>
      </w:r>
      <w:r w:rsidR="009912F8" w:rsidRPr="00E07C9A">
        <w:t>č. 575/2013</w:t>
      </w:r>
      <w:r w:rsidR="00CE7221" w:rsidRPr="00E07C9A">
        <w:t>. Na tento účel inštitúcie vykazujú hodnoty expozícií</w:t>
      </w:r>
      <w:r w:rsidR="009912F8" w:rsidRPr="00E07C9A">
        <w:t xml:space="preserve"> a </w:t>
      </w:r>
      <w:r w:rsidR="00CE7221" w:rsidRPr="00E07C9A">
        <w:t>minimálne požiadavky na krytie osobitne pre nezabezpečenú časť problémových expozícií</w:t>
      </w:r>
      <w:r w:rsidR="009912F8" w:rsidRPr="00E07C9A">
        <w:t xml:space="preserve"> a </w:t>
      </w:r>
      <w:r w:rsidR="00CE7221" w:rsidRPr="00E07C9A">
        <w:t>pre zabezpečenú časť problémových expozícií.</w:t>
      </w:r>
    </w:p>
    <w:p w14:paraId="10FCF9B0" w14:textId="51BBB976" w:rsidR="009912F8" w:rsidRPr="00E07C9A" w:rsidRDefault="002A18DE" w:rsidP="00487A02">
      <w:pPr>
        <w:pStyle w:val="InstructionsText2"/>
        <w:numPr>
          <w:ilvl w:val="0"/>
          <w:numId w:val="0"/>
        </w:numPr>
        <w:ind w:left="1353" w:hanging="360"/>
      </w:pPr>
      <w:fldSimple w:instr=" seq paragraphs ">
        <w:r w:rsidR="00132AEE">
          <w:rPr>
            <w:noProof/>
          </w:rPr>
          <w:t>205</w:t>
        </w:r>
      </w:fldSimple>
      <w:r w:rsidR="00CE7221" w:rsidRPr="00E07C9A">
        <w:t>. Na účely priradenia príslušných uplatniteľných faktorov</w:t>
      </w:r>
      <w:r w:rsidR="009912F8" w:rsidRPr="00E07C9A">
        <w:t xml:space="preserve"> a </w:t>
      </w:r>
      <w:r w:rsidR="00CE7221" w:rsidRPr="00E07C9A">
        <w:t>na účely výpočtu minimálnych požiadaviek na krytie inštitúcie klasifikujú zabezpečenú časť problémových expozícií</w:t>
      </w:r>
      <w:r w:rsidR="009912F8" w:rsidRPr="00E07C9A">
        <w:t xml:space="preserve"> v </w:t>
      </w:r>
      <w:r w:rsidR="00CE7221" w:rsidRPr="00E07C9A">
        <w:t>závislosti od druhu kreditného zabezpečenia</w:t>
      </w:r>
      <w:r w:rsidR="009912F8" w:rsidRPr="00E07C9A">
        <w:t xml:space="preserve"> v </w:t>
      </w:r>
      <w:r w:rsidR="00CE7221" w:rsidRPr="00E07C9A">
        <w:t>súlade</w:t>
      </w:r>
      <w:r w:rsidR="009912F8" w:rsidRPr="00E07C9A">
        <w:t xml:space="preserve"> s </w:t>
      </w:r>
      <w:r w:rsidR="00CE7221" w:rsidRPr="00E07C9A">
        <w:t xml:space="preserve">článkom 47c ods. 3 nariadenia (EÚ) </w:t>
      </w:r>
      <w:r w:rsidR="009912F8" w:rsidRPr="00E07C9A">
        <w:t>č. 575/2013</w:t>
      </w:r>
      <w:r w:rsidR="00CE7221" w:rsidRPr="00E07C9A">
        <w:t xml:space="preserve"> takto: i) „zabezpečená nehnuteľným majetkom alebo úverom na nehnuteľný majetok určený na bývanie zaručeným oprávneným poskytovateľom zabezpečenia, ako sa uvádza</w:t>
      </w:r>
      <w:r w:rsidR="009912F8" w:rsidRPr="00E07C9A">
        <w:t xml:space="preserve"> v </w:t>
      </w:r>
      <w:r w:rsidR="00CE7221" w:rsidRPr="00E07C9A">
        <w:t>článku 201“; ii) „zabezpečená iným financovaným alebo nefinancovaným kreditným zabezpečením“; alebo iii) „zaručená alebo poistená oficiálnou agentúrou na podporu exportu“. Ak je problémová expozícia zabezpečená viac ako jedným druhom kreditného zabezpečenia, jej hodnota expozície sa zaraďuje podľa kvality zabezpečenia, pričom sa začína expozíciou</w:t>
      </w:r>
      <w:r w:rsidR="009912F8" w:rsidRPr="00E07C9A">
        <w:t xml:space="preserve"> s </w:t>
      </w:r>
      <w:r w:rsidR="00CE7221" w:rsidRPr="00E07C9A">
        <w:t>najvyššou kvalitou zabezpečenia</w:t>
      </w:r>
      <w:r w:rsidR="009912F8" w:rsidRPr="00E07C9A">
        <w:t>.</w:t>
      </w:r>
    </w:p>
    <w:p w14:paraId="147D0C27" w14:textId="18445852" w:rsidR="00DD00B4" w:rsidRPr="00E07C9A" w:rsidRDefault="00DD00B4" w:rsidP="00DD00B4">
      <w:pPr>
        <w:pStyle w:val="Instructionsberschrift2"/>
        <w:numPr>
          <w:ilvl w:val="0"/>
          <w:numId w:val="0"/>
        </w:numPr>
        <w:ind w:left="357" w:hanging="357"/>
        <w:rPr>
          <w:rFonts w:ascii="Times New Roman" w:hAnsi="Times New Roman" w:cs="Times New Roman"/>
          <w:sz w:val="24"/>
          <w:u w:val="none"/>
        </w:rPr>
      </w:pPr>
      <w:bookmarkStart w:id="784" w:name="_Toc19715888"/>
      <w:bookmarkStart w:id="785" w:name="_Toc115857918"/>
      <w:r w:rsidRPr="00E07C9A">
        <w:rPr>
          <w:rFonts w:ascii="Times New Roman" w:hAnsi="Times New Roman" w:cs="Times New Roman"/>
          <w:sz w:val="24"/>
          <w:u w:val="none"/>
        </w:rPr>
        <w:t xml:space="preserve">8.2. C 35.01 – </w:t>
      </w:r>
      <w:bookmarkEnd w:id="781"/>
      <w:r w:rsidRPr="00E07C9A">
        <w:rPr>
          <w:rFonts w:ascii="Times New Roman" w:hAnsi="Times New Roman" w:cs="Times New Roman"/>
          <w:sz w:val="24"/>
          <w:u w:val="none"/>
        </w:rPr>
        <w:t>VÝPOČET ODPOČTOV PRI PROBLÉMOVÝCH EXPOZÍCIÁCH (NPE LC1)</w:t>
      </w:r>
      <w:bookmarkEnd w:id="784"/>
      <w:bookmarkEnd w:id="785"/>
    </w:p>
    <w:p w14:paraId="1C47E267" w14:textId="77777777" w:rsidR="00DD00B4" w:rsidRPr="00E07C9A" w:rsidRDefault="00DD00B4" w:rsidP="005C4397">
      <w:pPr>
        <w:pStyle w:val="Instructionsberschrift2"/>
        <w:numPr>
          <w:ilvl w:val="2"/>
          <w:numId w:val="29"/>
        </w:numPr>
        <w:rPr>
          <w:rFonts w:ascii="Times New Roman" w:hAnsi="Times New Roman" w:cs="Times New Roman"/>
          <w:sz w:val="24"/>
        </w:rPr>
      </w:pPr>
      <w:bookmarkStart w:id="786" w:name="_Toc115857919"/>
      <w:r w:rsidRPr="00E07C9A">
        <w:rPr>
          <w:rFonts w:ascii="Times New Roman" w:hAnsi="Times New Roman" w:cs="Times New Roman"/>
          <w:sz w:val="24"/>
        </w:rPr>
        <w:t>Pokyny týkajúce sa konkrétnych pozícií</w:t>
      </w:r>
      <w:bookmarkEnd w:id="786"/>
    </w:p>
    <w:p w14:paraId="0CC53FAB" w14:textId="77777777" w:rsidR="00DD00B4" w:rsidRPr="00E07C9A" w:rsidRDefault="00DD00B4" w:rsidP="00DD00B4">
      <w:pPr>
        <w:pStyle w:val="body"/>
        <w:rPr>
          <w:rFonts w:ascii="Times New Roman" w:hAnsi="Times New Roman" w:cs="Times New Roman"/>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E07C9A" w14:paraId="1460EB94"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06284A15" w14:textId="77777777" w:rsidR="00DD00B4" w:rsidRPr="00E07C9A" w:rsidRDefault="00DD00B4" w:rsidP="00DD00B4">
            <w:pPr>
              <w:rPr>
                <w:rFonts w:ascii="Times New Roman" w:hAnsi="Times New Roman"/>
                <w:sz w:val="24"/>
              </w:rPr>
            </w:pPr>
            <w:bookmarkStart w:id="787" w:name="_Toc19715889"/>
            <w:r w:rsidRPr="00E07C9A">
              <w:rPr>
                <w:rFonts w:ascii="Times New Roman" w:hAnsi="Times New Roman"/>
                <w:sz w:val="24"/>
              </w:rPr>
              <w:t>Stĺpce</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52AEBBA1" w14:textId="77777777" w:rsidR="00DD00B4" w:rsidRPr="00E07C9A" w:rsidRDefault="00DD00B4" w:rsidP="00DD00B4">
            <w:pPr>
              <w:rPr>
                <w:rFonts w:ascii="Times New Roman" w:hAnsi="Times New Roman"/>
                <w:sz w:val="24"/>
              </w:rPr>
            </w:pPr>
            <w:r w:rsidRPr="00E07C9A">
              <w:rPr>
                <w:rFonts w:ascii="Times New Roman" w:hAnsi="Times New Roman"/>
                <w:sz w:val="24"/>
              </w:rPr>
              <w:t>Pokyny</w:t>
            </w:r>
          </w:p>
        </w:tc>
      </w:tr>
      <w:tr w:rsidR="00DD00B4" w:rsidRPr="00E07C9A" w14:paraId="7BF09614" w14:textId="77777777" w:rsidTr="00751FBE">
        <w:tc>
          <w:tcPr>
            <w:tcW w:w="1188" w:type="dxa"/>
            <w:tcBorders>
              <w:top w:val="single" w:sz="4" w:space="0" w:color="auto"/>
              <w:left w:val="single" w:sz="4" w:space="0" w:color="auto"/>
              <w:bottom w:val="single" w:sz="4" w:space="0" w:color="auto"/>
              <w:right w:val="single" w:sz="4" w:space="0" w:color="auto"/>
            </w:tcBorders>
            <w:hideMark/>
          </w:tcPr>
          <w:p w14:paraId="653A494E" w14:textId="77777777" w:rsidR="00DD00B4" w:rsidRPr="00E07C9A" w:rsidRDefault="00DD00B4" w:rsidP="00DD00B4">
            <w:pPr>
              <w:rPr>
                <w:rFonts w:ascii="Times New Roman" w:hAnsi="Times New Roman"/>
                <w:sz w:val="24"/>
              </w:rPr>
            </w:pPr>
            <w:r w:rsidRPr="00E07C9A">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14:paraId="081B2C8D" w14:textId="77777777" w:rsidR="00DD00B4" w:rsidRPr="00E07C9A" w:rsidRDefault="00DD00B4" w:rsidP="00DD00B4">
            <w:pPr>
              <w:rPr>
                <w:rFonts w:ascii="Times New Roman" w:hAnsi="Times New Roman"/>
                <w:b/>
                <w:sz w:val="24"/>
                <w:u w:val="single"/>
              </w:rPr>
            </w:pPr>
            <w:r w:rsidRPr="00E07C9A">
              <w:rPr>
                <w:rFonts w:ascii="Times New Roman" w:hAnsi="Times New Roman"/>
                <w:b/>
                <w:sz w:val="24"/>
                <w:u w:val="single"/>
              </w:rPr>
              <w:t>Čas, ktorý uplynul odvtedy, ako boli expozície klasifikované ako problémové</w:t>
            </w:r>
          </w:p>
          <w:p w14:paraId="5AAC3DFE" w14:textId="52FEEAF9" w:rsidR="009912F8" w:rsidRPr="00E07C9A" w:rsidRDefault="00DD00B4" w:rsidP="00DD00B4">
            <w:pPr>
              <w:rPr>
                <w:rFonts w:ascii="Times New Roman" w:hAnsi="Times New Roman"/>
                <w:sz w:val="24"/>
              </w:rPr>
            </w:pPr>
            <w:r w:rsidRPr="00E07C9A">
              <w:rPr>
                <w:rFonts w:ascii="Times New Roman" w:hAnsi="Times New Roman"/>
                <w:sz w:val="24"/>
              </w:rPr>
              <w:t>„Čas, ktorý uplynul odvtedy, ako boli expozície klasifikované ako problémové“ je čas</w:t>
            </w:r>
            <w:r w:rsidR="009912F8" w:rsidRPr="00E07C9A">
              <w:rPr>
                <w:rFonts w:ascii="Times New Roman" w:hAnsi="Times New Roman"/>
                <w:sz w:val="24"/>
              </w:rPr>
              <w:t xml:space="preserve"> v </w:t>
            </w:r>
            <w:r w:rsidRPr="00E07C9A">
              <w:rPr>
                <w:rFonts w:ascii="Times New Roman" w:hAnsi="Times New Roman"/>
                <w:sz w:val="24"/>
              </w:rPr>
              <w:t>rokoch, ktorý uplynul odvtedy, ako bola expozícia klasifikovaná ako problémová,</w:t>
            </w:r>
            <w:r w:rsidR="009912F8" w:rsidRPr="00E07C9A">
              <w:rPr>
                <w:rFonts w:ascii="Times New Roman" w:hAnsi="Times New Roman"/>
                <w:sz w:val="24"/>
              </w:rPr>
              <w:t xml:space="preserve"> k </w:t>
            </w:r>
            <w:r w:rsidRPr="00E07C9A">
              <w:rPr>
                <w:rFonts w:ascii="Times New Roman" w:hAnsi="Times New Roman"/>
                <w:sz w:val="24"/>
              </w:rPr>
              <w:t>dátumu vykazovania. Pri kúpených problémových expozíciách začína čas</w:t>
            </w:r>
            <w:r w:rsidR="009912F8" w:rsidRPr="00E07C9A">
              <w:rPr>
                <w:rFonts w:ascii="Times New Roman" w:hAnsi="Times New Roman"/>
                <w:sz w:val="24"/>
              </w:rPr>
              <w:t xml:space="preserve"> v </w:t>
            </w:r>
            <w:r w:rsidRPr="00E07C9A">
              <w:rPr>
                <w:rFonts w:ascii="Times New Roman" w:hAnsi="Times New Roman"/>
                <w:sz w:val="24"/>
              </w:rPr>
              <w:t>rokoch plynúť odo dňa, keď boli expozície pôvodne klasifikované ako problémové,</w:t>
            </w:r>
            <w:r w:rsidR="009912F8" w:rsidRPr="00E07C9A">
              <w:rPr>
                <w:rFonts w:ascii="Times New Roman" w:hAnsi="Times New Roman"/>
                <w:sz w:val="24"/>
              </w:rPr>
              <w:t xml:space="preserve"> a </w:t>
            </w:r>
            <w:r w:rsidRPr="00E07C9A">
              <w:rPr>
                <w:rFonts w:ascii="Times New Roman" w:hAnsi="Times New Roman"/>
                <w:sz w:val="24"/>
              </w:rPr>
              <w:t>nie od dátumu ich nákupu</w:t>
            </w:r>
            <w:r w:rsidR="009912F8" w:rsidRPr="00E07C9A">
              <w:rPr>
                <w:rFonts w:ascii="Times New Roman" w:hAnsi="Times New Roman"/>
                <w:sz w:val="24"/>
              </w:rPr>
              <w:t>.</w:t>
            </w:r>
          </w:p>
          <w:p w14:paraId="3CACD559" w14:textId="61F716DB" w:rsidR="00DD00B4" w:rsidRPr="00E07C9A" w:rsidRDefault="00DD00B4" w:rsidP="00DD00B4">
            <w:pPr>
              <w:rPr>
                <w:rFonts w:ascii="Times New Roman" w:hAnsi="Times New Roman"/>
                <w:sz w:val="24"/>
              </w:rPr>
            </w:pPr>
            <w:r w:rsidRPr="00E07C9A">
              <w:rPr>
                <w:rFonts w:ascii="Times New Roman" w:hAnsi="Times New Roman"/>
                <w:sz w:val="24"/>
              </w:rPr>
              <w:t>Inštitúcie vykazujú údaje</w:t>
            </w:r>
            <w:r w:rsidR="009912F8" w:rsidRPr="00E07C9A">
              <w:rPr>
                <w:rFonts w:ascii="Times New Roman" w:hAnsi="Times New Roman"/>
                <w:sz w:val="24"/>
              </w:rPr>
              <w:t xml:space="preserve"> o </w:t>
            </w:r>
            <w:r w:rsidRPr="00E07C9A">
              <w:rPr>
                <w:rFonts w:ascii="Times New Roman" w:hAnsi="Times New Roman"/>
                <w:sz w:val="24"/>
              </w:rPr>
              <w:t>expozíciách, pri ktorých referenčný dátum patrí do zodpovedajúceho časového intervalu, pričom uvádzajú obdobie</w:t>
            </w:r>
            <w:r w:rsidR="009912F8" w:rsidRPr="00E07C9A">
              <w:rPr>
                <w:rFonts w:ascii="Times New Roman" w:hAnsi="Times New Roman"/>
                <w:sz w:val="24"/>
              </w:rPr>
              <w:t xml:space="preserve"> v </w:t>
            </w:r>
            <w:r w:rsidRPr="00E07C9A">
              <w:rPr>
                <w:rFonts w:ascii="Times New Roman" w:hAnsi="Times New Roman"/>
                <w:sz w:val="24"/>
              </w:rPr>
              <w:t>rokoch, ktoré uplynulo od klasifikácie expozícií ako problémových, bez ohľadu na prípadné uplatňovanie opatrení týkajúcich sa úľavy.</w:t>
            </w:r>
          </w:p>
          <w:p w14:paraId="4D817EF7" w14:textId="64664F65" w:rsidR="00DD00B4" w:rsidRPr="00E07C9A" w:rsidRDefault="00DD00B4" w:rsidP="00DD00B4">
            <w:pPr>
              <w:rPr>
                <w:rFonts w:ascii="Times New Roman" w:hAnsi="Times New Roman"/>
                <w:sz w:val="24"/>
              </w:rPr>
            </w:pPr>
            <w:r w:rsidRPr="00E07C9A">
              <w:rPr>
                <w:rFonts w:ascii="Times New Roman" w:hAnsi="Times New Roman"/>
                <w:sz w:val="24"/>
              </w:rPr>
              <w:t>Pri časovom intervale „&gt; X rokov, &lt;= Y rokov“ inštitúcie vykazujú údaje</w:t>
            </w:r>
            <w:r w:rsidR="009912F8" w:rsidRPr="00E07C9A">
              <w:rPr>
                <w:rFonts w:ascii="Times New Roman" w:hAnsi="Times New Roman"/>
                <w:sz w:val="24"/>
              </w:rPr>
              <w:t xml:space="preserve"> o </w:t>
            </w:r>
            <w:r w:rsidRPr="00E07C9A">
              <w:rPr>
                <w:rFonts w:ascii="Times New Roman" w:hAnsi="Times New Roman"/>
                <w:sz w:val="24"/>
              </w:rPr>
              <w:t>expozíciách, pri ktorých referenčný dátum zodpovedá obdobiu medzi prvým</w:t>
            </w:r>
            <w:r w:rsidR="009912F8" w:rsidRPr="00E07C9A">
              <w:rPr>
                <w:rFonts w:ascii="Times New Roman" w:hAnsi="Times New Roman"/>
                <w:sz w:val="24"/>
              </w:rPr>
              <w:t xml:space="preserve"> a </w:t>
            </w:r>
            <w:r w:rsidRPr="00E07C9A">
              <w:rPr>
                <w:rFonts w:ascii="Times New Roman" w:hAnsi="Times New Roman"/>
                <w:sz w:val="24"/>
              </w:rPr>
              <w:t>posledným dňom Y. roka po klasifikácii týchto expozícií ako problémových.</w:t>
            </w:r>
          </w:p>
        </w:tc>
      </w:tr>
      <w:tr w:rsidR="00DD00B4" w:rsidRPr="00E07C9A" w14:paraId="404EFC41" w14:textId="77777777" w:rsidTr="00751FBE">
        <w:tc>
          <w:tcPr>
            <w:tcW w:w="1188" w:type="dxa"/>
            <w:tcBorders>
              <w:top w:val="single" w:sz="4" w:space="0" w:color="auto"/>
              <w:left w:val="single" w:sz="4" w:space="0" w:color="auto"/>
              <w:bottom w:val="single" w:sz="4" w:space="0" w:color="auto"/>
              <w:right w:val="single" w:sz="4" w:space="0" w:color="auto"/>
            </w:tcBorders>
          </w:tcPr>
          <w:p w14:paraId="57BA80FD" w14:textId="77777777" w:rsidR="00DD00B4" w:rsidRPr="00E07C9A" w:rsidRDefault="00DD00B4" w:rsidP="00DD00B4">
            <w:pPr>
              <w:rPr>
                <w:rFonts w:ascii="Times New Roman" w:hAnsi="Times New Roman"/>
                <w:sz w:val="24"/>
              </w:rPr>
            </w:pPr>
            <w:r w:rsidRPr="00E07C9A">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28F35057" w14:textId="77777777" w:rsidR="00DD00B4" w:rsidRPr="00E07C9A" w:rsidRDefault="00DD00B4" w:rsidP="00DD00B4">
            <w:pPr>
              <w:rPr>
                <w:rFonts w:ascii="Times New Roman" w:hAnsi="Times New Roman"/>
                <w:b/>
                <w:sz w:val="24"/>
                <w:u w:val="single"/>
              </w:rPr>
            </w:pPr>
            <w:r w:rsidRPr="00E07C9A">
              <w:rPr>
                <w:rFonts w:ascii="Times New Roman" w:hAnsi="Times New Roman"/>
                <w:sz w:val="24"/>
              </w:rPr>
              <w:t xml:space="preserve"> </w:t>
            </w:r>
            <w:r w:rsidRPr="00E07C9A">
              <w:rPr>
                <w:rFonts w:ascii="Times New Roman" w:hAnsi="Times New Roman"/>
                <w:b/>
                <w:sz w:val="24"/>
                <w:u w:val="single"/>
              </w:rPr>
              <w:t>Spolu</w:t>
            </w:r>
          </w:p>
          <w:p w14:paraId="195DD8B3" w14:textId="77777777" w:rsidR="00DD00B4" w:rsidRPr="00E07C9A" w:rsidRDefault="00DD00B4" w:rsidP="00DD00B4">
            <w:pPr>
              <w:rPr>
                <w:rFonts w:ascii="Times New Roman" w:hAnsi="Times New Roman"/>
                <w:sz w:val="24"/>
              </w:rPr>
            </w:pPr>
            <w:r w:rsidRPr="00E07C9A">
              <w:rPr>
                <w:rFonts w:ascii="Times New Roman" w:hAnsi="Times New Roman"/>
                <w:sz w:val="24"/>
              </w:rPr>
              <w:t>Inštitúcie vykazujú súčet všetkých stĺpcov od 0010 do 0100.</w:t>
            </w:r>
          </w:p>
        </w:tc>
      </w:tr>
    </w:tbl>
    <w:p w14:paraId="2988C57E" w14:textId="79747241" w:rsidR="00796EBB" w:rsidRPr="00E07C9A" w:rsidRDefault="00796EBB" w:rsidP="00DD00B4">
      <w:pPr>
        <w:tabs>
          <w:tab w:val="left" w:pos="1301"/>
        </w:tabs>
        <w:ind w:left="113"/>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E07C9A" w14:paraId="3AE92E36" w14:textId="77777777" w:rsidTr="00751FBE">
        <w:tc>
          <w:tcPr>
            <w:tcW w:w="1188" w:type="dxa"/>
            <w:tcBorders>
              <w:top w:val="single" w:sz="4" w:space="0" w:color="auto"/>
              <w:left w:val="single" w:sz="4" w:space="0" w:color="auto"/>
              <w:bottom w:val="single" w:sz="4" w:space="0" w:color="auto"/>
              <w:right w:val="single" w:sz="4" w:space="0" w:color="auto"/>
            </w:tcBorders>
            <w:shd w:val="clear" w:color="auto" w:fill="CCCCCC"/>
            <w:hideMark/>
          </w:tcPr>
          <w:bookmarkEnd w:id="787"/>
          <w:p w14:paraId="4AFEBFF2" w14:textId="77777777" w:rsidR="00DD00B4" w:rsidRPr="00E07C9A" w:rsidRDefault="00DD00B4" w:rsidP="00DD00B4">
            <w:pPr>
              <w:rPr>
                <w:rFonts w:ascii="Times New Roman" w:hAnsi="Times New Roman"/>
                <w:sz w:val="24"/>
              </w:rPr>
            </w:pPr>
            <w:r w:rsidRPr="00E07C9A">
              <w:rPr>
                <w:rFonts w:ascii="Times New Roman" w:hAnsi="Times New Roman"/>
                <w:sz w:val="24"/>
              </w:rPr>
              <w:t>Riadky</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2A16773D" w14:textId="77777777" w:rsidR="00DD00B4" w:rsidRPr="00E07C9A" w:rsidRDefault="00DD00B4" w:rsidP="00DD00B4">
            <w:pPr>
              <w:rPr>
                <w:rFonts w:ascii="Times New Roman" w:hAnsi="Times New Roman"/>
                <w:sz w:val="24"/>
              </w:rPr>
            </w:pPr>
            <w:r w:rsidRPr="00E07C9A">
              <w:rPr>
                <w:rFonts w:ascii="Times New Roman" w:hAnsi="Times New Roman"/>
                <w:sz w:val="24"/>
              </w:rPr>
              <w:t>Pokyny</w:t>
            </w:r>
          </w:p>
        </w:tc>
      </w:tr>
      <w:tr w:rsidR="00DD00B4" w:rsidRPr="00E07C9A" w14:paraId="4C3D8327"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1E9E994C" w14:textId="77777777" w:rsidR="00DD00B4" w:rsidRPr="00E07C9A" w:rsidRDefault="00DD00B4" w:rsidP="00DD00B4">
            <w:pPr>
              <w:rPr>
                <w:rFonts w:ascii="Times New Roman" w:hAnsi="Times New Roman"/>
                <w:sz w:val="24"/>
              </w:rPr>
            </w:pPr>
            <w:r w:rsidRPr="00E07C9A">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456BBD9E" w14:textId="77777777" w:rsidR="00DD00B4" w:rsidRPr="00E07C9A" w:rsidRDefault="00DD00B4" w:rsidP="00DD00B4">
            <w:pPr>
              <w:rPr>
                <w:rFonts w:ascii="Times New Roman" w:hAnsi="Times New Roman"/>
                <w:b/>
                <w:sz w:val="24"/>
                <w:u w:val="single"/>
              </w:rPr>
            </w:pPr>
            <w:r w:rsidRPr="00E07C9A">
              <w:rPr>
                <w:rFonts w:ascii="Times New Roman" w:hAnsi="Times New Roman"/>
                <w:b/>
                <w:sz w:val="24"/>
                <w:u w:val="single"/>
              </w:rPr>
              <w:t>Uplatniteľná výška nedostatočného krytia</w:t>
            </w:r>
          </w:p>
          <w:p w14:paraId="51563B67" w14:textId="262CC66C" w:rsidR="00DD00B4" w:rsidRPr="00E07C9A" w:rsidRDefault="002327CE" w:rsidP="00DD00B4">
            <w:pPr>
              <w:rPr>
                <w:rFonts w:ascii="Times New Roman" w:hAnsi="Times New Roman"/>
                <w:sz w:val="24"/>
              </w:rPr>
            </w:pPr>
            <w:r w:rsidRPr="00E07C9A">
              <w:rPr>
                <w:rFonts w:ascii="Times New Roman" w:hAnsi="Times New Roman"/>
                <w:sz w:val="24"/>
              </w:rPr>
              <w:t xml:space="preserve">Článok 47c ods. 1 nariadenia (EÚ) </w:t>
            </w:r>
            <w:r w:rsidR="009912F8" w:rsidRPr="00E07C9A">
              <w:rPr>
                <w:rFonts w:ascii="Times New Roman" w:hAnsi="Times New Roman"/>
                <w:sz w:val="24"/>
              </w:rPr>
              <w:t>č. 575/2013</w:t>
            </w:r>
          </w:p>
          <w:p w14:paraId="7431B28F" w14:textId="28F455AB" w:rsidR="00DD00B4" w:rsidRPr="00E07C9A" w:rsidRDefault="00DD00B4" w:rsidP="00DD00B4">
            <w:pPr>
              <w:rPr>
                <w:rFonts w:ascii="Times New Roman" w:hAnsi="Times New Roman"/>
                <w:sz w:val="24"/>
              </w:rPr>
            </w:pPr>
            <w:r w:rsidRPr="00E07C9A">
              <w:rPr>
                <w:rFonts w:ascii="Times New Roman" w:hAnsi="Times New Roman"/>
                <w:sz w:val="24"/>
              </w:rPr>
              <w:t>Na účel výpočtu uplatniteľnej výšky nedostatočného krytia inštitúcie odpočítajú celkové rezervy</w:t>
            </w:r>
            <w:r w:rsidR="009912F8" w:rsidRPr="00E07C9A">
              <w:rPr>
                <w:rFonts w:ascii="Times New Roman" w:hAnsi="Times New Roman"/>
                <w:sz w:val="24"/>
              </w:rPr>
              <w:t xml:space="preserve"> a </w:t>
            </w:r>
            <w:r w:rsidRPr="00E07C9A">
              <w:rPr>
                <w:rFonts w:ascii="Times New Roman" w:hAnsi="Times New Roman"/>
                <w:sz w:val="24"/>
              </w:rPr>
              <w:t>úpravy alebo odpočty (s horným ohraničením) (riadok 0080) od celkovej minimálnej požiadavky na krytie problémových expozícií (riadok 0020).</w:t>
            </w:r>
          </w:p>
          <w:p w14:paraId="319C177A" w14:textId="6EFB6107" w:rsidR="00DD00B4" w:rsidRPr="00E07C9A" w:rsidRDefault="00DD00B4" w:rsidP="00DD00B4">
            <w:pPr>
              <w:rPr>
                <w:rFonts w:ascii="Times New Roman" w:hAnsi="Times New Roman"/>
                <w:sz w:val="24"/>
              </w:rPr>
            </w:pPr>
            <w:r w:rsidRPr="00E07C9A">
              <w:rPr>
                <w:rFonts w:ascii="Times New Roman" w:hAnsi="Times New Roman"/>
                <w:sz w:val="24"/>
              </w:rPr>
              <w:t>Uplatniteľná výška nedostatočného krytia (t. j. schodok</w:t>
            </w:r>
            <w:r w:rsidR="009912F8" w:rsidRPr="00E07C9A">
              <w:rPr>
                <w:rFonts w:ascii="Times New Roman" w:hAnsi="Times New Roman"/>
                <w:sz w:val="24"/>
              </w:rPr>
              <w:t xml:space="preserve"> v </w:t>
            </w:r>
            <w:r w:rsidRPr="00E07C9A">
              <w:rPr>
                <w:rFonts w:ascii="Times New Roman" w:hAnsi="Times New Roman"/>
                <w:sz w:val="24"/>
              </w:rPr>
              <w:t>celkovej minimálnej požiadavke na krytie problémových expozícií) musí byť rovná nule alebo vyššia ako nula.</w:t>
            </w:r>
          </w:p>
        </w:tc>
      </w:tr>
      <w:tr w:rsidR="00DD00B4" w:rsidRPr="00E07C9A" w14:paraId="234C425F" w14:textId="77777777" w:rsidTr="00DD00B4">
        <w:tc>
          <w:tcPr>
            <w:tcW w:w="1188" w:type="dxa"/>
            <w:tcBorders>
              <w:top w:val="single" w:sz="4" w:space="0" w:color="auto"/>
              <w:left w:val="single" w:sz="4" w:space="0" w:color="auto"/>
              <w:bottom w:val="single" w:sz="4" w:space="0" w:color="auto"/>
              <w:right w:val="single" w:sz="4" w:space="0" w:color="auto"/>
            </w:tcBorders>
          </w:tcPr>
          <w:p w14:paraId="6EDD5538" w14:textId="77777777" w:rsidR="00DD00B4" w:rsidRPr="00E07C9A" w:rsidRDefault="00DD00B4" w:rsidP="00DD00B4">
            <w:pPr>
              <w:rPr>
                <w:rFonts w:ascii="Times New Roman" w:hAnsi="Times New Roman"/>
                <w:sz w:val="24"/>
              </w:rPr>
            </w:pPr>
            <w:r w:rsidRPr="00E07C9A">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3C1B2E52" w14:textId="77777777" w:rsidR="00DD00B4" w:rsidRPr="00E07C9A" w:rsidRDefault="00DD00B4" w:rsidP="00DD00B4">
            <w:pPr>
              <w:rPr>
                <w:rFonts w:ascii="Times New Roman" w:hAnsi="Times New Roman"/>
                <w:b/>
                <w:sz w:val="24"/>
                <w:u w:val="single"/>
              </w:rPr>
            </w:pPr>
            <w:r w:rsidRPr="00E07C9A">
              <w:rPr>
                <w:rFonts w:ascii="Times New Roman" w:hAnsi="Times New Roman"/>
                <w:b/>
                <w:sz w:val="24"/>
                <w:u w:val="single"/>
              </w:rPr>
              <w:t>Celková minimálna požiadavka na krytie problémových expozícií</w:t>
            </w:r>
          </w:p>
          <w:p w14:paraId="79CCC5B2" w14:textId="027E85A7" w:rsidR="00DD00B4" w:rsidRPr="00E07C9A" w:rsidRDefault="002327CE" w:rsidP="00DD00B4">
            <w:pPr>
              <w:rPr>
                <w:rFonts w:ascii="Times New Roman" w:hAnsi="Times New Roman"/>
                <w:sz w:val="24"/>
              </w:rPr>
            </w:pPr>
            <w:r w:rsidRPr="00E07C9A">
              <w:rPr>
                <w:rFonts w:ascii="Times New Roman" w:hAnsi="Times New Roman"/>
                <w:sz w:val="24"/>
              </w:rPr>
              <w:t xml:space="preserve">Článok 47c ods. 1 písm. a) nariadenia (EÚ) </w:t>
            </w:r>
            <w:r w:rsidR="009912F8" w:rsidRPr="00E07C9A">
              <w:rPr>
                <w:rFonts w:ascii="Times New Roman" w:hAnsi="Times New Roman"/>
                <w:sz w:val="24"/>
              </w:rPr>
              <w:t>č. 575/2013</w:t>
            </w:r>
          </w:p>
          <w:p w14:paraId="3FC92990" w14:textId="23D8FF9E" w:rsidR="00DD00B4" w:rsidRPr="00E07C9A" w:rsidRDefault="00DD00B4" w:rsidP="00DD00B4">
            <w:pPr>
              <w:rPr>
                <w:rFonts w:ascii="Times New Roman" w:hAnsi="Times New Roman"/>
                <w:sz w:val="24"/>
              </w:rPr>
            </w:pPr>
            <w:r w:rsidRPr="00E07C9A">
              <w:rPr>
                <w:rFonts w:ascii="Times New Roman" w:hAnsi="Times New Roman"/>
                <w:sz w:val="24"/>
              </w:rPr>
              <w:t>Na účel výpočtu celkovej minimálnej požiadavky na krytie problémových expozícií inštitúcie spočítajú minimálnu požiadavku na krytie nezabezpečenej časti problémových expozícií (riadok 0030)</w:t>
            </w:r>
            <w:r w:rsidR="009912F8" w:rsidRPr="00E07C9A">
              <w:rPr>
                <w:rFonts w:ascii="Times New Roman" w:hAnsi="Times New Roman"/>
                <w:sz w:val="24"/>
              </w:rPr>
              <w:t xml:space="preserve"> a </w:t>
            </w:r>
            <w:r w:rsidRPr="00E07C9A">
              <w:rPr>
                <w:rFonts w:ascii="Times New Roman" w:hAnsi="Times New Roman"/>
                <w:sz w:val="24"/>
              </w:rPr>
              <w:t xml:space="preserve">zabezpečenej časti problémových expozícií (riadok 0040). </w:t>
            </w:r>
          </w:p>
        </w:tc>
      </w:tr>
      <w:tr w:rsidR="00DD00B4" w:rsidRPr="00E07C9A" w14:paraId="36F1B49B" w14:textId="77777777" w:rsidTr="00DD00B4">
        <w:tc>
          <w:tcPr>
            <w:tcW w:w="1188" w:type="dxa"/>
            <w:tcBorders>
              <w:top w:val="single" w:sz="4" w:space="0" w:color="auto"/>
              <w:left w:val="single" w:sz="4" w:space="0" w:color="auto"/>
              <w:bottom w:val="single" w:sz="4" w:space="0" w:color="auto"/>
              <w:right w:val="single" w:sz="4" w:space="0" w:color="auto"/>
            </w:tcBorders>
          </w:tcPr>
          <w:p w14:paraId="3F9AEDCF" w14:textId="77777777" w:rsidR="00DD00B4" w:rsidRPr="00E07C9A" w:rsidRDefault="00DD00B4" w:rsidP="00DD00B4">
            <w:pPr>
              <w:rPr>
                <w:rFonts w:ascii="Times New Roman" w:hAnsi="Times New Roman"/>
                <w:sz w:val="24"/>
              </w:rPr>
            </w:pPr>
            <w:r w:rsidRPr="00E07C9A">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7BCCBA8E" w14:textId="77777777" w:rsidR="009912F8" w:rsidRPr="00E07C9A" w:rsidRDefault="00DD00B4" w:rsidP="00DD00B4">
            <w:pPr>
              <w:rPr>
                <w:rFonts w:ascii="Times New Roman" w:hAnsi="Times New Roman"/>
                <w:sz w:val="24"/>
              </w:rPr>
            </w:pPr>
            <w:r w:rsidRPr="00E07C9A">
              <w:rPr>
                <w:rFonts w:ascii="Times New Roman" w:hAnsi="Times New Roman"/>
                <w:b/>
                <w:sz w:val="24"/>
                <w:u w:val="single"/>
              </w:rPr>
              <w:t>Nezabezpečená časť problémových expozícií</w:t>
            </w:r>
          </w:p>
          <w:p w14:paraId="220025F2" w14:textId="27C834B0" w:rsidR="00DD00B4" w:rsidRPr="00E07C9A" w:rsidRDefault="00DD00B4" w:rsidP="00DD00B4">
            <w:pPr>
              <w:rPr>
                <w:rFonts w:ascii="Times New Roman" w:hAnsi="Times New Roman"/>
                <w:sz w:val="24"/>
              </w:rPr>
            </w:pPr>
            <w:r w:rsidRPr="00E07C9A">
              <w:rPr>
                <w:rFonts w:ascii="Times New Roman" w:hAnsi="Times New Roman"/>
                <w:sz w:val="24"/>
              </w:rPr>
              <w:t xml:space="preserve">Článok 47c ods. 1 písm. a) bod i), článok 47c ods. 2, článok 47c ods. 6 nariadenia (EÚ) </w:t>
            </w:r>
            <w:r w:rsidR="009912F8" w:rsidRPr="00E07C9A">
              <w:rPr>
                <w:rFonts w:ascii="Times New Roman" w:hAnsi="Times New Roman"/>
                <w:sz w:val="24"/>
              </w:rPr>
              <w:t>č. 575/2013</w:t>
            </w:r>
          </w:p>
          <w:p w14:paraId="129335A9" w14:textId="77777777" w:rsidR="009912F8" w:rsidRPr="00E07C9A" w:rsidRDefault="00A532F5" w:rsidP="00DD00B4">
            <w:pPr>
              <w:rPr>
                <w:rFonts w:ascii="Times New Roman" w:hAnsi="Times New Roman"/>
                <w:sz w:val="24"/>
              </w:rPr>
            </w:pPr>
            <w:r w:rsidRPr="00E07C9A">
              <w:rPr>
                <w:rFonts w:ascii="Times New Roman" w:hAnsi="Times New Roman"/>
                <w:sz w:val="24"/>
              </w:rPr>
              <w:t>Inštitúcia vykazuje celkovú minimálnu požiadavku na krytie nezabezpečenej časti problémových expozícií, t. j. súhrn výpočtov na úrovni expozície</w:t>
            </w:r>
            <w:r w:rsidR="009912F8" w:rsidRPr="00E07C9A">
              <w:rPr>
                <w:rFonts w:ascii="Times New Roman" w:hAnsi="Times New Roman"/>
                <w:sz w:val="24"/>
              </w:rPr>
              <w:t>.</w:t>
            </w:r>
          </w:p>
          <w:p w14:paraId="2A1D0912" w14:textId="7CEBA4A2" w:rsidR="00DD00B4" w:rsidRPr="00E07C9A" w:rsidRDefault="00DD00B4" w:rsidP="00DD00B4">
            <w:pPr>
              <w:rPr>
                <w:rFonts w:ascii="Times New Roman" w:hAnsi="Times New Roman"/>
                <w:sz w:val="24"/>
              </w:rPr>
            </w:pPr>
            <w:r w:rsidRPr="00E07C9A">
              <w:rPr>
                <w:rFonts w:ascii="Times New Roman" w:hAnsi="Times New Roman"/>
                <w:sz w:val="24"/>
              </w:rPr>
              <w:t>Hodnota vykazovaná</w:t>
            </w:r>
            <w:r w:rsidR="009912F8" w:rsidRPr="00E07C9A">
              <w:rPr>
                <w:rFonts w:ascii="Times New Roman" w:hAnsi="Times New Roman"/>
                <w:sz w:val="24"/>
              </w:rPr>
              <w:t xml:space="preserve"> v </w:t>
            </w:r>
            <w:r w:rsidRPr="00E07C9A">
              <w:rPr>
                <w:rFonts w:ascii="Times New Roman" w:hAnsi="Times New Roman"/>
                <w:sz w:val="24"/>
              </w:rPr>
              <w:t>každom stĺpci sa rovná súčtu hodnôt vykázaných</w:t>
            </w:r>
            <w:r w:rsidR="009912F8" w:rsidRPr="00E07C9A">
              <w:rPr>
                <w:rFonts w:ascii="Times New Roman" w:hAnsi="Times New Roman"/>
                <w:sz w:val="24"/>
              </w:rPr>
              <w:t xml:space="preserve"> v </w:t>
            </w:r>
            <w:r w:rsidRPr="00E07C9A">
              <w:rPr>
                <w:rFonts w:ascii="Times New Roman" w:hAnsi="Times New Roman"/>
                <w:sz w:val="24"/>
              </w:rPr>
              <w:t>riadku 0020 vzoru C 35.02</w:t>
            </w:r>
            <w:r w:rsidR="009912F8" w:rsidRPr="00E07C9A">
              <w:rPr>
                <w:rFonts w:ascii="Times New Roman" w:hAnsi="Times New Roman"/>
                <w:sz w:val="24"/>
              </w:rPr>
              <w:t xml:space="preserve"> a v </w:t>
            </w:r>
            <w:r w:rsidRPr="00E07C9A">
              <w:rPr>
                <w:rFonts w:ascii="Times New Roman" w:hAnsi="Times New Roman"/>
                <w:sz w:val="24"/>
              </w:rPr>
              <w:t>riadku 0020 vzoru C 35.03 (v uplatniteľných prípadoch)</w:t>
            </w:r>
            <w:r w:rsidR="009912F8" w:rsidRPr="00E07C9A">
              <w:rPr>
                <w:rFonts w:ascii="Times New Roman" w:hAnsi="Times New Roman"/>
                <w:sz w:val="24"/>
              </w:rPr>
              <w:t xml:space="preserve"> v </w:t>
            </w:r>
            <w:r w:rsidRPr="00E07C9A">
              <w:rPr>
                <w:rFonts w:ascii="Times New Roman" w:hAnsi="Times New Roman"/>
                <w:sz w:val="24"/>
              </w:rPr>
              <w:t xml:space="preserve">príslušných stĺpcoch. </w:t>
            </w:r>
          </w:p>
        </w:tc>
      </w:tr>
      <w:tr w:rsidR="00DD00B4" w:rsidRPr="00E07C9A" w14:paraId="7B206B12" w14:textId="77777777" w:rsidTr="00DD00B4">
        <w:tc>
          <w:tcPr>
            <w:tcW w:w="1188" w:type="dxa"/>
            <w:tcBorders>
              <w:top w:val="single" w:sz="4" w:space="0" w:color="auto"/>
              <w:left w:val="single" w:sz="4" w:space="0" w:color="auto"/>
              <w:bottom w:val="single" w:sz="4" w:space="0" w:color="auto"/>
              <w:right w:val="single" w:sz="4" w:space="0" w:color="auto"/>
            </w:tcBorders>
          </w:tcPr>
          <w:p w14:paraId="71AA7992" w14:textId="77777777" w:rsidR="00DD00B4" w:rsidRPr="00E07C9A" w:rsidRDefault="00DD00B4" w:rsidP="00DD00B4">
            <w:pPr>
              <w:rPr>
                <w:rFonts w:ascii="Times New Roman" w:hAnsi="Times New Roman"/>
                <w:sz w:val="24"/>
              </w:rPr>
            </w:pPr>
            <w:r w:rsidRPr="00E07C9A">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3406B905" w14:textId="77777777" w:rsidR="00DD00B4" w:rsidRPr="00E07C9A" w:rsidRDefault="00DD00B4" w:rsidP="00DD00B4">
            <w:pPr>
              <w:rPr>
                <w:rFonts w:ascii="Times New Roman" w:hAnsi="Times New Roman"/>
                <w:b/>
                <w:sz w:val="24"/>
                <w:u w:val="single"/>
              </w:rPr>
            </w:pPr>
            <w:r w:rsidRPr="00E07C9A">
              <w:rPr>
                <w:rFonts w:ascii="Times New Roman" w:hAnsi="Times New Roman"/>
                <w:b/>
                <w:sz w:val="24"/>
                <w:u w:val="single"/>
              </w:rPr>
              <w:t>Zabezpečená časť problémových expozícií</w:t>
            </w:r>
          </w:p>
          <w:p w14:paraId="00F4CCB6" w14:textId="21724D19" w:rsidR="00DD00B4" w:rsidRPr="00E07C9A" w:rsidRDefault="003B09EA" w:rsidP="00DD00B4">
            <w:pPr>
              <w:rPr>
                <w:rFonts w:ascii="Times New Roman" w:hAnsi="Times New Roman"/>
                <w:sz w:val="24"/>
              </w:rPr>
            </w:pPr>
            <w:r w:rsidRPr="00E07C9A">
              <w:rPr>
                <w:rFonts w:ascii="Times New Roman" w:hAnsi="Times New Roman"/>
                <w:sz w:val="24"/>
              </w:rPr>
              <w:t xml:space="preserve">Článok 47c ods. 1 písm. a) bod ii), článok 47c ods. 3, článok 47c ods. 4, článok 47c ods. 6 nariadenia (EÚ) </w:t>
            </w:r>
            <w:r w:rsidR="009912F8" w:rsidRPr="00E07C9A">
              <w:rPr>
                <w:rFonts w:ascii="Times New Roman" w:hAnsi="Times New Roman"/>
                <w:sz w:val="24"/>
              </w:rPr>
              <w:t>č. 575/2013</w:t>
            </w:r>
          </w:p>
          <w:p w14:paraId="4A5E1811" w14:textId="77777777" w:rsidR="00DD00B4" w:rsidRPr="00E07C9A" w:rsidRDefault="00A532F5" w:rsidP="00DD00B4">
            <w:pPr>
              <w:rPr>
                <w:rFonts w:ascii="Times New Roman" w:hAnsi="Times New Roman"/>
                <w:sz w:val="24"/>
              </w:rPr>
            </w:pPr>
            <w:r w:rsidRPr="00E07C9A">
              <w:rPr>
                <w:rFonts w:ascii="Times New Roman" w:hAnsi="Times New Roman"/>
                <w:sz w:val="24"/>
              </w:rPr>
              <w:t>Inštitúcie vykazujú celkovú minimálnu požiadavku na krytie zabezpečenej časti problémových expozícií, t. j. súhrn výpočtov na úrovni expozície.</w:t>
            </w:r>
          </w:p>
          <w:p w14:paraId="16CE15A0" w14:textId="6710B2DE" w:rsidR="00DD00B4" w:rsidRPr="00E07C9A" w:rsidRDefault="00DD00B4" w:rsidP="00DD00B4">
            <w:pPr>
              <w:rPr>
                <w:rFonts w:ascii="Times New Roman" w:hAnsi="Times New Roman"/>
                <w:b/>
                <w:sz w:val="24"/>
                <w:u w:val="single"/>
              </w:rPr>
            </w:pPr>
            <w:r w:rsidRPr="00E07C9A">
              <w:rPr>
                <w:rFonts w:ascii="Times New Roman" w:hAnsi="Times New Roman"/>
                <w:sz w:val="24"/>
              </w:rPr>
              <w:t>Hodnota vykazovaná</w:t>
            </w:r>
            <w:r w:rsidR="009912F8" w:rsidRPr="00E07C9A">
              <w:rPr>
                <w:rFonts w:ascii="Times New Roman" w:hAnsi="Times New Roman"/>
                <w:sz w:val="24"/>
              </w:rPr>
              <w:t xml:space="preserve"> v </w:t>
            </w:r>
            <w:r w:rsidRPr="00E07C9A">
              <w:rPr>
                <w:rFonts w:ascii="Times New Roman" w:hAnsi="Times New Roman"/>
                <w:sz w:val="24"/>
              </w:rPr>
              <w:t>každom stĺpci sa rovná súčtu hodnôt vykázaných</w:t>
            </w:r>
            <w:r w:rsidR="009912F8" w:rsidRPr="00E07C9A">
              <w:rPr>
                <w:rFonts w:ascii="Times New Roman" w:hAnsi="Times New Roman"/>
                <w:sz w:val="24"/>
              </w:rPr>
              <w:t xml:space="preserve"> v </w:t>
            </w:r>
            <w:r w:rsidRPr="00E07C9A">
              <w:rPr>
                <w:rFonts w:ascii="Times New Roman" w:hAnsi="Times New Roman"/>
                <w:sz w:val="24"/>
              </w:rPr>
              <w:t>riadkoch 0030 – 0050 vzoru C 35.02</w:t>
            </w:r>
            <w:r w:rsidR="009912F8" w:rsidRPr="00E07C9A">
              <w:rPr>
                <w:rFonts w:ascii="Times New Roman" w:hAnsi="Times New Roman"/>
                <w:sz w:val="24"/>
              </w:rPr>
              <w:t xml:space="preserve"> a v </w:t>
            </w:r>
            <w:r w:rsidRPr="00E07C9A">
              <w:rPr>
                <w:rFonts w:ascii="Times New Roman" w:hAnsi="Times New Roman"/>
                <w:sz w:val="24"/>
              </w:rPr>
              <w:t>riadkoch 0030 – 0040 vzoru C 35.03 (v uplatniteľných prípadoch)</w:t>
            </w:r>
            <w:r w:rsidR="009912F8" w:rsidRPr="00E07C9A">
              <w:rPr>
                <w:rFonts w:ascii="Times New Roman" w:hAnsi="Times New Roman"/>
                <w:sz w:val="24"/>
              </w:rPr>
              <w:t xml:space="preserve"> v </w:t>
            </w:r>
            <w:r w:rsidRPr="00E07C9A">
              <w:rPr>
                <w:rFonts w:ascii="Times New Roman" w:hAnsi="Times New Roman"/>
                <w:sz w:val="24"/>
              </w:rPr>
              <w:t>príslušných stĺpcoch.</w:t>
            </w:r>
          </w:p>
        </w:tc>
      </w:tr>
      <w:tr w:rsidR="00DD00B4" w:rsidRPr="00E07C9A" w14:paraId="190DC26E" w14:textId="77777777" w:rsidTr="00DD00B4">
        <w:tc>
          <w:tcPr>
            <w:tcW w:w="1188" w:type="dxa"/>
            <w:tcBorders>
              <w:top w:val="single" w:sz="4" w:space="0" w:color="auto"/>
              <w:left w:val="single" w:sz="4" w:space="0" w:color="auto"/>
              <w:bottom w:val="single" w:sz="4" w:space="0" w:color="auto"/>
              <w:right w:val="single" w:sz="4" w:space="0" w:color="auto"/>
            </w:tcBorders>
          </w:tcPr>
          <w:p w14:paraId="25B88A7A" w14:textId="77777777" w:rsidR="00DD00B4" w:rsidRPr="00E07C9A" w:rsidRDefault="00DD00B4" w:rsidP="00DD00B4">
            <w:pPr>
              <w:rPr>
                <w:rFonts w:ascii="Times New Roman" w:hAnsi="Times New Roman"/>
                <w:sz w:val="24"/>
              </w:rPr>
            </w:pPr>
            <w:r w:rsidRPr="00E07C9A">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33A52464" w14:textId="77777777" w:rsidR="00DD00B4" w:rsidRPr="00E07C9A" w:rsidRDefault="00DD00B4" w:rsidP="00DD00B4">
            <w:pPr>
              <w:rPr>
                <w:rFonts w:ascii="Times New Roman" w:hAnsi="Times New Roman"/>
                <w:b/>
                <w:sz w:val="24"/>
                <w:u w:val="single"/>
              </w:rPr>
            </w:pPr>
            <w:r w:rsidRPr="00E07C9A">
              <w:rPr>
                <w:rFonts w:ascii="Times New Roman" w:hAnsi="Times New Roman"/>
                <w:b/>
                <w:sz w:val="24"/>
                <w:u w:val="single"/>
              </w:rPr>
              <w:t>Hodnota expozície</w:t>
            </w:r>
          </w:p>
          <w:p w14:paraId="6171E166" w14:textId="7A2BF848" w:rsidR="00DD00B4" w:rsidRPr="00E07C9A" w:rsidRDefault="00DD00B4" w:rsidP="00DD00B4">
            <w:pPr>
              <w:rPr>
                <w:rFonts w:ascii="Times New Roman" w:hAnsi="Times New Roman"/>
                <w:sz w:val="24"/>
              </w:rPr>
            </w:pPr>
            <w:r w:rsidRPr="00E07C9A">
              <w:rPr>
                <w:rFonts w:ascii="Times New Roman" w:hAnsi="Times New Roman"/>
                <w:sz w:val="24"/>
              </w:rPr>
              <w:t xml:space="preserve">Článok 47a ods. 2 nariadenia (EÚ) </w:t>
            </w:r>
            <w:r w:rsidR="009912F8" w:rsidRPr="00E07C9A">
              <w:rPr>
                <w:rFonts w:ascii="Times New Roman" w:hAnsi="Times New Roman"/>
                <w:sz w:val="24"/>
              </w:rPr>
              <w:t>č. 575/2013</w:t>
            </w:r>
          </w:p>
          <w:p w14:paraId="68E0F46C" w14:textId="6158AF64" w:rsidR="00DD00B4" w:rsidRPr="00E07C9A" w:rsidRDefault="00DD00B4" w:rsidP="00DD00B4">
            <w:pPr>
              <w:rPr>
                <w:rFonts w:ascii="Times New Roman" w:hAnsi="Times New Roman"/>
                <w:sz w:val="24"/>
              </w:rPr>
            </w:pPr>
            <w:r w:rsidRPr="00E07C9A">
              <w:rPr>
                <w:rFonts w:ascii="Times New Roman" w:hAnsi="Times New Roman"/>
                <w:sz w:val="24"/>
              </w:rPr>
              <w:t>Inštitúcie vykazujú celkovú hodnotu expozície problémových expozícií vrátane nezabezpečených aj zabezpečených expozícií. Táto hodnota zodpovedá súčtu riadkov 0060</w:t>
            </w:r>
            <w:r w:rsidR="009912F8" w:rsidRPr="00E07C9A">
              <w:rPr>
                <w:rFonts w:ascii="Times New Roman" w:hAnsi="Times New Roman"/>
                <w:sz w:val="24"/>
              </w:rPr>
              <w:t xml:space="preserve"> a </w:t>
            </w:r>
            <w:r w:rsidRPr="00E07C9A">
              <w:rPr>
                <w:rFonts w:ascii="Times New Roman" w:hAnsi="Times New Roman"/>
                <w:sz w:val="24"/>
              </w:rPr>
              <w:t xml:space="preserve">0070. </w:t>
            </w:r>
          </w:p>
        </w:tc>
      </w:tr>
      <w:tr w:rsidR="00DD00B4" w:rsidRPr="00E07C9A" w14:paraId="6A11045F" w14:textId="77777777" w:rsidTr="00DD00B4">
        <w:tc>
          <w:tcPr>
            <w:tcW w:w="1188" w:type="dxa"/>
            <w:tcBorders>
              <w:top w:val="single" w:sz="4" w:space="0" w:color="auto"/>
              <w:left w:val="single" w:sz="4" w:space="0" w:color="auto"/>
              <w:bottom w:val="single" w:sz="4" w:space="0" w:color="auto"/>
              <w:right w:val="single" w:sz="4" w:space="0" w:color="auto"/>
            </w:tcBorders>
          </w:tcPr>
          <w:p w14:paraId="3FE8BEB7" w14:textId="77777777" w:rsidR="00DD00B4" w:rsidRPr="00E07C9A" w:rsidRDefault="00DD00B4" w:rsidP="00DD00B4">
            <w:pPr>
              <w:rPr>
                <w:rFonts w:ascii="Times New Roman" w:hAnsi="Times New Roman"/>
                <w:sz w:val="24"/>
              </w:rPr>
            </w:pPr>
            <w:r w:rsidRPr="00E07C9A">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2C2A8CDA" w14:textId="77777777" w:rsidR="009912F8" w:rsidRPr="00E07C9A" w:rsidRDefault="00DD00B4" w:rsidP="00DD00B4">
            <w:pPr>
              <w:rPr>
                <w:rFonts w:ascii="Times New Roman" w:hAnsi="Times New Roman"/>
                <w:sz w:val="24"/>
              </w:rPr>
            </w:pPr>
            <w:r w:rsidRPr="00E07C9A">
              <w:rPr>
                <w:rFonts w:ascii="Times New Roman" w:hAnsi="Times New Roman"/>
                <w:b/>
                <w:sz w:val="24"/>
                <w:u w:val="single"/>
              </w:rPr>
              <w:t>Nezabezpečená časť problémových expozícií</w:t>
            </w:r>
          </w:p>
          <w:p w14:paraId="3946BEC3" w14:textId="63C3677A" w:rsidR="00DD00B4" w:rsidRPr="00E07C9A" w:rsidRDefault="00623EAD" w:rsidP="00DD00B4">
            <w:pPr>
              <w:rPr>
                <w:rFonts w:ascii="Times New Roman" w:hAnsi="Times New Roman"/>
                <w:sz w:val="24"/>
              </w:rPr>
            </w:pPr>
            <w:r w:rsidRPr="00E07C9A">
              <w:rPr>
                <w:rFonts w:ascii="Times New Roman" w:hAnsi="Times New Roman"/>
                <w:sz w:val="24"/>
              </w:rPr>
              <w:t>Článok 47a ods. 2</w:t>
            </w:r>
            <w:r w:rsidR="009912F8" w:rsidRPr="00E07C9A">
              <w:rPr>
                <w:rFonts w:ascii="Times New Roman" w:hAnsi="Times New Roman"/>
                <w:sz w:val="24"/>
              </w:rPr>
              <w:t xml:space="preserve"> a </w:t>
            </w:r>
            <w:r w:rsidRPr="00E07C9A">
              <w:rPr>
                <w:rFonts w:ascii="Times New Roman" w:hAnsi="Times New Roman"/>
                <w:sz w:val="24"/>
              </w:rPr>
              <w:t xml:space="preserve">článok 47c ods. 1 nariadenia (EÚ) </w:t>
            </w:r>
            <w:r w:rsidR="009912F8" w:rsidRPr="00E07C9A">
              <w:rPr>
                <w:rFonts w:ascii="Times New Roman" w:hAnsi="Times New Roman"/>
                <w:sz w:val="24"/>
              </w:rPr>
              <w:t>č. 575/2013</w:t>
            </w:r>
          </w:p>
        </w:tc>
      </w:tr>
      <w:tr w:rsidR="00DD00B4" w:rsidRPr="00E07C9A" w14:paraId="51B379C1" w14:textId="77777777" w:rsidTr="00DD00B4">
        <w:tc>
          <w:tcPr>
            <w:tcW w:w="1188" w:type="dxa"/>
            <w:tcBorders>
              <w:top w:val="single" w:sz="4" w:space="0" w:color="auto"/>
              <w:left w:val="single" w:sz="4" w:space="0" w:color="auto"/>
              <w:bottom w:val="single" w:sz="4" w:space="0" w:color="auto"/>
              <w:right w:val="single" w:sz="4" w:space="0" w:color="auto"/>
            </w:tcBorders>
          </w:tcPr>
          <w:p w14:paraId="29E19FEF" w14:textId="77777777" w:rsidR="00DD00B4" w:rsidRPr="00E07C9A" w:rsidRDefault="00DD00B4" w:rsidP="00DD00B4">
            <w:pPr>
              <w:rPr>
                <w:rFonts w:ascii="Times New Roman" w:hAnsi="Times New Roman"/>
                <w:sz w:val="24"/>
              </w:rPr>
            </w:pPr>
            <w:r w:rsidRPr="00E07C9A">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4FC14B1F" w14:textId="77777777" w:rsidR="00DD00B4" w:rsidRPr="00E07C9A" w:rsidRDefault="00DD00B4" w:rsidP="00DD00B4">
            <w:pPr>
              <w:rPr>
                <w:rFonts w:ascii="Times New Roman" w:hAnsi="Times New Roman"/>
                <w:b/>
                <w:sz w:val="24"/>
                <w:u w:val="single"/>
              </w:rPr>
            </w:pPr>
            <w:r w:rsidRPr="00E07C9A">
              <w:rPr>
                <w:rFonts w:ascii="Times New Roman" w:hAnsi="Times New Roman"/>
                <w:b/>
                <w:sz w:val="24"/>
                <w:u w:val="single"/>
              </w:rPr>
              <w:t>Zabezpečená časť problémových expozícií</w:t>
            </w:r>
          </w:p>
          <w:p w14:paraId="456BC00D" w14:textId="07C22E98" w:rsidR="00DD00B4" w:rsidRPr="00E07C9A" w:rsidRDefault="00623EAD" w:rsidP="00DD00B4">
            <w:pPr>
              <w:rPr>
                <w:rFonts w:ascii="Times New Roman" w:hAnsi="Times New Roman"/>
                <w:b/>
                <w:sz w:val="24"/>
                <w:u w:val="single"/>
              </w:rPr>
            </w:pPr>
            <w:r w:rsidRPr="00E07C9A">
              <w:rPr>
                <w:rFonts w:ascii="Times New Roman" w:hAnsi="Times New Roman"/>
                <w:sz w:val="24"/>
              </w:rPr>
              <w:t>Článok 47a ods. 2</w:t>
            </w:r>
            <w:r w:rsidR="009912F8" w:rsidRPr="00E07C9A">
              <w:rPr>
                <w:rFonts w:ascii="Times New Roman" w:hAnsi="Times New Roman"/>
                <w:sz w:val="24"/>
              </w:rPr>
              <w:t xml:space="preserve"> a </w:t>
            </w:r>
            <w:r w:rsidRPr="00E07C9A">
              <w:rPr>
                <w:rFonts w:ascii="Times New Roman" w:hAnsi="Times New Roman"/>
                <w:sz w:val="24"/>
              </w:rPr>
              <w:t xml:space="preserve">článok 47c ods. 1 nariadenia (EÚ) </w:t>
            </w:r>
            <w:r w:rsidR="009912F8" w:rsidRPr="00E07C9A">
              <w:rPr>
                <w:rFonts w:ascii="Times New Roman" w:hAnsi="Times New Roman"/>
                <w:sz w:val="24"/>
              </w:rPr>
              <w:t>č. 575/2013</w:t>
            </w:r>
          </w:p>
        </w:tc>
      </w:tr>
      <w:tr w:rsidR="00DD00B4" w:rsidRPr="00E07C9A" w14:paraId="55F81095" w14:textId="77777777" w:rsidTr="00DD00B4">
        <w:trPr>
          <w:trHeight w:val="699"/>
        </w:trPr>
        <w:tc>
          <w:tcPr>
            <w:tcW w:w="1188" w:type="dxa"/>
            <w:tcBorders>
              <w:top w:val="single" w:sz="4" w:space="0" w:color="auto"/>
              <w:left w:val="single" w:sz="4" w:space="0" w:color="auto"/>
              <w:bottom w:val="single" w:sz="4" w:space="0" w:color="auto"/>
              <w:right w:val="single" w:sz="4" w:space="0" w:color="auto"/>
            </w:tcBorders>
          </w:tcPr>
          <w:p w14:paraId="6D52C271" w14:textId="77777777" w:rsidR="00DD00B4" w:rsidRPr="00E07C9A" w:rsidRDefault="00DD00B4" w:rsidP="00DD00B4">
            <w:pPr>
              <w:rPr>
                <w:rFonts w:ascii="Times New Roman" w:hAnsi="Times New Roman"/>
                <w:sz w:val="24"/>
              </w:rPr>
            </w:pPr>
            <w:r w:rsidRPr="00E07C9A">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1AFA6762" w14:textId="4408AB05" w:rsidR="00DD00B4" w:rsidRPr="00E07C9A" w:rsidRDefault="00DD00B4" w:rsidP="00DD00B4">
            <w:pPr>
              <w:rPr>
                <w:rFonts w:ascii="Times New Roman" w:hAnsi="Times New Roman"/>
                <w:b/>
                <w:sz w:val="24"/>
                <w:u w:val="single"/>
              </w:rPr>
            </w:pPr>
            <w:r w:rsidRPr="00E07C9A">
              <w:rPr>
                <w:rFonts w:ascii="Times New Roman" w:hAnsi="Times New Roman"/>
                <w:b/>
                <w:sz w:val="24"/>
                <w:u w:val="single"/>
              </w:rPr>
              <w:t>Celkové rezervy</w:t>
            </w:r>
            <w:r w:rsidR="009912F8" w:rsidRPr="00E07C9A">
              <w:rPr>
                <w:rFonts w:ascii="Times New Roman" w:hAnsi="Times New Roman"/>
                <w:b/>
                <w:sz w:val="24"/>
                <w:u w:val="single"/>
              </w:rPr>
              <w:t xml:space="preserve"> a </w:t>
            </w:r>
            <w:r w:rsidRPr="00E07C9A">
              <w:rPr>
                <w:rFonts w:ascii="Times New Roman" w:hAnsi="Times New Roman"/>
                <w:b/>
                <w:sz w:val="24"/>
                <w:u w:val="single"/>
              </w:rPr>
              <w:t>úpravy alebo odpočty (s horným ohraničením)</w:t>
            </w:r>
          </w:p>
          <w:p w14:paraId="135CD7AC" w14:textId="7E3FE91A" w:rsidR="00DD00B4" w:rsidRPr="00E07C9A" w:rsidRDefault="00DD00B4" w:rsidP="00DD00B4">
            <w:pPr>
              <w:rPr>
                <w:rFonts w:ascii="Times New Roman" w:hAnsi="Times New Roman"/>
                <w:sz w:val="24"/>
              </w:rPr>
            </w:pPr>
            <w:r w:rsidRPr="00E07C9A">
              <w:rPr>
                <w:rFonts w:ascii="Times New Roman" w:hAnsi="Times New Roman"/>
                <w:sz w:val="24"/>
              </w:rPr>
              <w:t>Inštitúcie vykazujú zhora ohraničený súčet položiek uvedených</w:t>
            </w:r>
            <w:r w:rsidR="009912F8" w:rsidRPr="00E07C9A">
              <w:rPr>
                <w:rFonts w:ascii="Times New Roman" w:hAnsi="Times New Roman"/>
                <w:sz w:val="24"/>
              </w:rPr>
              <w:t xml:space="preserve"> v </w:t>
            </w:r>
            <w:r w:rsidRPr="00E07C9A">
              <w:rPr>
                <w:rFonts w:ascii="Times New Roman" w:hAnsi="Times New Roman"/>
                <w:sz w:val="24"/>
              </w:rPr>
              <w:t>riadkoch 0100 – 0150</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47c ods. 1 písm. b) nariadenia (EÚ) </w:t>
            </w:r>
            <w:r w:rsidR="009912F8" w:rsidRPr="00E07C9A">
              <w:rPr>
                <w:rFonts w:ascii="Times New Roman" w:hAnsi="Times New Roman"/>
                <w:sz w:val="24"/>
              </w:rPr>
              <w:t>č. 575/2013</w:t>
            </w:r>
            <w:r w:rsidRPr="00E07C9A">
              <w:rPr>
                <w:rFonts w:ascii="Times New Roman" w:hAnsi="Times New Roman"/>
                <w:sz w:val="24"/>
              </w:rPr>
              <w:t>. Maximálnym limitom pre zhora ohraničené rezervy</w:t>
            </w:r>
            <w:r w:rsidR="009912F8" w:rsidRPr="00E07C9A">
              <w:rPr>
                <w:rFonts w:ascii="Times New Roman" w:hAnsi="Times New Roman"/>
                <w:sz w:val="24"/>
              </w:rPr>
              <w:t xml:space="preserve"> a </w:t>
            </w:r>
            <w:r w:rsidRPr="00E07C9A">
              <w:rPr>
                <w:rFonts w:ascii="Times New Roman" w:hAnsi="Times New Roman"/>
                <w:sz w:val="24"/>
              </w:rPr>
              <w:t>úpravy alebo odpočty je hodnota minimálnej požiadavky na krytie na úrovni expozície.</w:t>
            </w:r>
          </w:p>
          <w:p w14:paraId="6BCA9662" w14:textId="59C7BBD4" w:rsidR="00DD00B4" w:rsidRPr="00E07C9A" w:rsidRDefault="00DD00B4" w:rsidP="00DD00B4">
            <w:pPr>
              <w:rPr>
                <w:rFonts w:ascii="Times New Roman" w:hAnsi="Times New Roman"/>
                <w:sz w:val="24"/>
              </w:rPr>
            </w:pPr>
            <w:r w:rsidRPr="00E07C9A">
              <w:rPr>
                <w:rFonts w:ascii="Times New Roman" w:hAnsi="Times New Roman"/>
                <w:sz w:val="24"/>
              </w:rPr>
              <w:t>Zhora ohraničená hodnota sa vypočítava samostatne pre každú expozíciu,</w:t>
            </w:r>
            <w:r w:rsidR="009912F8" w:rsidRPr="00E07C9A">
              <w:rPr>
                <w:rFonts w:ascii="Times New Roman" w:hAnsi="Times New Roman"/>
                <w:sz w:val="24"/>
              </w:rPr>
              <w:t xml:space="preserve"> a </w:t>
            </w:r>
            <w:r w:rsidRPr="00E07C9A">
              <w:rPr>
                <w:rFonts w:ascii="Times New Roman" w:hAnsi="Times New Roman"/>
                <w:sz w:val="24"/>
              </w:rPr>
              <w:t>to ako nižšia hodnota spomedzi minimálnej požiadavky na krytie tejto expozície</w:t>
            </w:r>
            <w:r w:rsidR="009912F8" w:rsidRPr="00E07C9A">
              <w:rPr>
                <w:rFonts w:ascii="Times New Roman" w:hAnsi="Times New Roman"/>
                <w:sz w:val="24"/>
              </w:rPr>
              <w:t xml:space="preserve"> a </w:t>
            </w:r>
            <w:r w:rsidRPr="00E07C9A">
              <w:rPr>
                <w:rFonts w:ascii="Times New Roman" w:hAnsi="Times New Roman"/>
                <w:sz w:val="24"/>
              </w:rPr>
              <w:t>celkových rezerv</w:t>
            </w:r>
            <w:r w:rsidR="009912F8" w:rsidRPr="00E07C9A">
              <w:rPr>
                <w:rFonts w:ascii="Times New Roman" w:hAnsi="Times New Roman"/>
                <w:sz w:val="24"/>
              </w:rPr>
              <w:t xml:space="preserve"> a </w:t>
            </w:r>
            <w:r w:rsidRPr="00E07C9A">
              <w:rPr>
                <w:rFonts w:ascii="Times New Roman" w:hAnsi="Times New Roman"/>
                <w:sz w:val="24"/>
              </w:rPr>
              <w:t>úprav alebo odpočtov pre tú istú expozíciu.</w:t>
            </w:r>
          </w:p>
        </w:tc>
      </w:tr>
      <w:tr w:rsidR="00DD00B4" w:rsidRPr="00E07C9A" w14:paraId="0563CC2D" w14:textId="77777777" w:rsidTr="00DD00B4">
        <w:tc>
          <w:tcPr>
            <w:tcW w:w="1188" w:type="dxa"/>
            <w:tcBorders>
              <w:top w:val="single" w:sz="4" w:space="0" w:color="auto"/>
              <w:left w:val="single" w:sz="4" w:space="0" w:color="auto"/>
              <w:bottom w:val="single" w:sz="4" w:space="0" w:color="auto"/>
              <w:right w:val="single" w:sz="4" w:space="0" w:color="auto"/>
            </w:tcBorders>
          </w:tcPr>
          <w:p w14:paraId="28A0FC06" w14:textId="77777777" w:rsidR="00DD00B4" w:rsidRPr="00E07C9A" w:rsidRDefault="00DD00B4" w:rsidP="00DD00B4">
            <w:pPr>
              <w:rPr>
                <w:rFonts w:ascii="Times New Roman" w:hAnsi="Times New Roman"/>
                <w:sz w:val="24"/>
              </w:rPr>
            </w:pPr>
            <w:r w:rsidRPr="00E07C9A">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42F12821" w14:textId="13DA03A9" w:rsidR="00DD00B4" w:rsidRPr="00E07C9A" w:rsidRDefault="00DD00B4" w:rsidP="00DD00B4">
            <w:pPr>
              <w:jc w:val="left"/>
              <w:rPr>
                <w:rFonts w:ascii="Times New Roman" w:hAnsi="Times New Roman"/>
                <w:b/>
                <w:sz w:val="24"/>
                <w:u w:val="single"/>
              </w:rPr>
            </w:pPr>
            <w:r w:rsidRPr="00E07C9A">
              <w:rPr>
                <w:rFonts w:ascii="Times New Roman" w:hAnsi="Times New Roman"/>
                <w:b/>
                <w:sz w:val="24"/>
                <w:u w:val="single"/>
              </w:rPr>
              <w:t>Celkové rezervy</w:t>
            </w:r>
            <w:r w:rsidR="009912F8" w:rsidRPr="00E07C9A">
              <w:rPr>
                <w:rFonts w:ascii="Times New Roman" w:hAnsi="Times New Roman"/>
                <w:b/>
                <w:sz w:val="24"/>
                <w:u w:val="single"/>
              </w:rPr>
              <w:t xml:space="preserve"> a </w:t>
            </w:r>
            <w:r w:rsidRPr="00E07C9A">
              <w:rPr>
                <w:rFonts w:ascii="Times New Roman" w:hAnsi="Times New Roman"/>
                <w:b/>
                <w:sz w:val="24"/>
                <w:u w:val="single"/>
              </w:rPr>
              <w:t>úpravy alebo odpočty (bez horného ohraničenia)</w:t>
            </w:r>
          </w:p>
          <w:p w14:paraId="389D4B70" w14:textId="19C46542" w:rsidR="00DD00B4" w:rsidRPr="00E07C9A" w:rsidRDefault="00DD00B4" w:rsidP="00DD00B4">
            <w:pPr>
              <w:jc w:val="left"/>
              <w:rPr>
                <w:rFonts w:ascii="Times New Roman" w:hAnsi="Times New Roman"/>
                <w:sz w:val="24"/>
              </w:rPr>
            </w:pPr>
            <w:r w:rsidRPr="00E07C9A">
              <w:rPr>
                <w:rFonts w:ascii="Times New Roman" w:hAnsi="Times New Roman"/>
                <w:sz w:val="24"/>
              </w:rPr>
              <w:t>Inštitúcie vykazujú súčet neohraničených hodnôt položiek uvedených</w:t>
            </w:r>
            <w:r w:rsidR="009912F8" w:rsidRPr="00E07C9A">
              <w:rPr>
                <w:rFonts w:ascii="Times New Roman" w:hAnsi="Times New Roman"/>
                <w:sz w:val="24"/>
              </w:rPr>
              <w:t xml:space="preserve"> v </w:t>
            </w:r>
            <w:r w:rsidRPr="00E07C9A">
              <w:rPr>
                <w:rFonts w:ascii="Times New Roman" w:hAnsi="Times New Roman"/>
                <w:sz w:val="24"/>
              </w:rPr>
              <w:t>riadkoch 0100 – 0150</w:t>
            </w:r>
            <w:r w:rsidR="009912F8" w:rsidRPr="00E07C9A">
              <w:rPr>
                <w:rFonts w:ascii="Times New Roman" w:hAnsi="Times New Roman"/>
                <w:sz w:val="24"/>
              </w:rPr>
              <w:t xml:space="preserve"> v </w:t>
            </w:r>
            <w:r w:rsidRPr="00E07C9A">
              <w:rPr>
                <w:rFonts w:ascii="Times New Roman" w:hAnsi="Times New Roman"/>
                <w:sz w:val="24"/>
              </w:rPr>
              <w:t>súlade</w:t>
            </w:r>
            <w:r w:rsidR="009912F8" w:rsidRPr="00E07C9A">
              <w:rPr>
                <w:rFonts w:ascii="Times New Roman" w:hAnsi="Times New Roman"/>
                <w:sz w:val="24"/>
              </w:rPr>
              <w:t xml:space="preserve"> s </w:t>
            </w:r>
            <w:r w:rsidRPr="00E07C9A">
              <w:rPr>
                <w:rFonts w:ascii="Times New Roman" w:hAnsi="Times New Roman"/>
                <w:sz w:val="24"/>
              </w:rPr>
              <w:t xml:space="preserve">článkom 47c ods. 1 písm. b) nariadenia (EÚ) </w:t>
            </w:r>
            <w:r w:rsidR="009912F8" w:rsidRPr="00E07C9A">
              <w:rPr>
                <w:rFonts w:ascii="Times New Roman" w:hAnsi="Times New Roman"/>
                <w:sz w:val="24"/>
              </w:rPr>
              <w:t>č. 575/2013</w:t>
            </w:r>
            <w:r w:rsidRPr="00E07C9A">
              <w:rPr>
                <w:rFonts w:ascii="Times New Roman" w:hAnsi="Times New Roman"/>
                <w:sz w:val="24"/>
              </w:rPr>
              <w:t>. Rezervy</w:t>
            </w:r>
            <w:r w:rsidR="009912F8" w:rsidRPr="00E07C9A">
              <w:rPr>
                <w:rFonts w:ascii="Times New Roman" w:hAnsi="Times New Roman"/>
                <w:sz w:val="24"/>
              </w:rPr>
              <w:t xml:space="preserve"> a </w:t>
            </w:r>
            <w:r w:rsidRPr="00E07C9A">
              <w:rPr>
                <w:rFonts w:ascii="Times New Roman" w:hAnsi="Times New Roman"/>
                <w:sz w:val="24"/>
              </w:rPr>
              <w:t>úpravy alebo odpočty (bez horného ohraničenia) nie sú obmedzené na hodnotu minimálnej požiadavky na krytie na úrovni expozície.</w:t>
            </w:r>
            <w:r w:rsidR="009912F8" w:rsidRPr="00E07C9A">
              <w:rPr>
                <w:rFonts w:ascii="Times New Roman" w:hAnsi="Times New Roman"/>
                <w:sz w:val="24"/>
              </w:rPr>
              <w:t xml:space="preserve"> </w:t>
            </w:r>
          </w:p>
        </w:tc>
      </w:tr>
      <w:tr w:rsidR="00DD00B4" w:rsidRPr="00E07C9A" w14:paraId="71ECFAD2" w14:textId="77777777" w:rsidTr="00DD00B4">
        <w:tc>
          <w:tcPr>
            <w:tcW w:w="1188" w:type="dxa"/>
            <w:tcBorders>
              <w:top w:val="single" w:sz="4" w:space="0" w:color="auto"/>
              <w:left w:val="single" w:sz="4" w:space="0" w:color="auto"/>
              <w:bottom w:val="single" w:sz="4" w:space="0" w:color="auto"/>
              <w:right w:val="single" w:sz="4" w:space="0" w:color="auto"/>
            </w:tcBorders>
          </w:tcPr>
          <w:p w14:paraId="609C8E92" w14:textId="77777777" w:rsidR="00DD00B4" w:rsidRPr="00E07C9A" w:rsidRDefault="00DD00B4" w:rsidP="00DD00B4">
            <w:pPr>
              <w:rPr>
                <w:rFonts w:ascii="Times New Roman" w:hAnsi="Times New Roman"/>
                <w:sz w:val="24"/>
              </w:rPr>
            </w:pPr>
            <w:r w:rsidRPr="00E07C9A">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71166807" w14:textId="77777777" w:rsidR="00DD00B4" w:rsidRPr="00E07C9A" w:rsidRDefault="00DD00B4" w:rsidP="00DD00B4">
            <w:pPr>
              <w:jc w:val="left"/>
              <w:rPr>
                <w:rFonts w:ascii="Times New Roman" w:hAnsi="Times New Roman"/>
                <w:b/>
                <w:sz w:val="24"/>
                <w:u w:val="single"/>
              </w:rPr>
            </w:pPr>
            <w:r w:rsidRPr="00E07C9A">
              <w:rPr>
                <w:rFonts w:ascii="Times New Roman" w:hAnsi="Times New Roman"/>
                <w:b/>
                <w:sz w:val="24"/>
                <w:u w:val="single"/>
              </w:rPr>
              <w:t>Špecifické úpravy kreditného rizika</w:t>
            </w:r>
          </w:p>
          <w:p w14:paraId="03A1D174" w14:textId="61815BD0" w:rsidR="00DD00B4" w:rsidRPr="00E07C9A" w:rsidRDefault="00DD00B4" w:rsidP="003B09EA">
            <w:pPr>
              <w:jc w:val="left"/>
              <w:rPr>
                <w:rFonts w:ascii="Times New Roman" w:hAnsi="Times New Roman"/>
                <w:sz w:val="24"/>
              </w:rPr>
            </w:pPr>
            <w:r w:rsidRPr="00E07C9A">
              <w:rPr>
                <w:rFonts w:ascii="Times New Roman" w:hAnsi="Times New Roman"/>
                <w:sz w:val="24"/>
              </w:rPr>
              <w:t xml:space="preserve">Článok 47c ods. 1 písm. b) bod i) nariadenia (EÚ) </w:t>
            </w:r>
            <w:r w:rsidR="009912F8" w:rsidRPr="00E07C9A">
              <w:rPr>
                <w:rFonts w:ascii="Times New Roman" w:hAnsi="Times New Roman"/>
                <w:sz w:val="24"/>
              </w:rPr>
              <w:t>č. 575/2013</w:t>
            </w:r>
          </w:p>
        </w:tc>
      </w:tr>
      <w:tr w:rsidR="00DD00B4" w:rsidRPr="00E07C9A" w14:paraId="1CD65919" w14:textId="77777777" w:rsidTr="00DD00B4">
        <w:tc>
          <w:tcPr>
            <w:tcW w:w="1188" w:type="dxa"/>
            <w:tcBorders>
              <w:top w:val="single" w:sz="4" w:space="0" w:color="auto"/>
              <w:left w:val="single" w:sz="4" w:space="0" w:color="auto"/>
              <w:bottom w:val="single" w:sz="4" w:space="0" w:color="auto"/>
              <w:right w:val="single" w:sz="4" w:space="0" w:color="auto"/>
            </w:tcBorders>
          </w:tcPr>
          <w:p w14:paraId="2B5F4686" w14:textId="77777777" w:rsidR="00DD00B4" w:rsidRPr="00E07C9A" w:rsidRDefault="00DD00B4" w:rsidP="00DD00B4">
            <w:pPr>
              <w:rPr>
                <w:rFonts w:ascii="Times New Roman" w:hAnsi="Times New Roman"/>
                <w:sz w:val="24"/>
              </w:rPr>
            </w:pPr>
            <w:r w:rsidRPr="00E07C9A">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01213C74" w14:textId="77777777" w:rsidR="00DD00B4" w:rsidRPr="00E07C9A" w:rsidRDefault="00DD00B4" w:rsidP="00DD00B4">
            <w:pPr>
              <w:jc w:val="left"/>
              <w:rPr>
                <w:rFonts w:ascii="Times New Roman" w:hAnsi="Times New Roman"/>
                <w:b/>
                <w:sz w:val="24"/>
                <w:u w:val="single"/>
              </w:rPr>
            </w:pPr>
            <w:r w:rsidRPr="00E07C9A">
              <w:rPr>
                <w:rFonts w:ascii="Times New Roman" w:hAnsi="Times New Roman"/>
                <w:b/>
                <w:sz w:val="24"/>
                <w:u w:val="single"/>
              </w:rPr>
              <w:t>Dodatočné úpravy ocenenia</w:t>
            </w:r>
          </w:p>
          <w:p w14:paraId="7318E356" w14:textId="768645DD" w:rsidR="00DD00B4" w:rsidRPr="00E07C9A" w:rsidRDefault="003B09EA" w:rsidP="00DD00B4">
            <w:pPr>
              <w:jc w:val="left"/>
              <w:rPr>
                <w:rFonts w:ascii="Times New Roman" w:hAnsi="Times New Roman"/>
                <w:b/>
                <w:sz w:val="24"/>
                <w:u w:val="single"/>
              </w:rPr>
            </w:pPr>
            <w:r w:rsidRPr="00E07C9A">
              <w:rPr>
                <w:rFonts w:ascii="Times New Roman" w:hAnsi="Times New Roman"/>
                <w:sz w:val="24"/>
              </w:rPr>
              <w:t xml:space="preserve">Článok 47c ods. 1 písm. b) bod ii) nariadenia (EÚ) </w:t>
            </w:r>
            <w:r w:rsidR="009912F8" w:rsidRPr="00E07C9A">
              <w:rPr>
                <w:rFonts w:ascii="Times New Roman" w:hAnsi="Times New Roman"/>
                <w:sz w:val="24"/>
              </w:rPr>
              <w:t>č. 575/2013</w:t>
            </w:r>
          </w:p>
        </w:tc>
      </w:tr>
      <w:tr w:rsidR="00DD00B4" w:rsidRPr="00E07C9A" w14:paraId="28DD6E8F" w14:textId="77777777" w:rsidTr="00DD00B4">
        <w:tc>
          <w:tcPr>
            <w:tcW w:w="1188" w:type="dxa"/>
            <w:tcBorders>
              <w:top w:val="single" w:sz="4" w:space="0" w:color="auto"/>
              <w:left w:val="single" w:sz="4" w:space="0" w:color="auto"/>
              <w:bottom w:val="single" w:sz="4" w:space="0" w:color="auto"/>
              <w:right w:val="single" w:sz="4" w:space="0" w:color="auto"/>
            </w:tcBorders>
          </w:tcPr>
          <w:p w14:paraId="6624E707" w14:textId="77777777" w:rsidR="00DD00B4" w:rsidRPr="00E07C9A" w:rsidRDefault="00DD00B4" w:rsidP="00DD00B4">
            <w:pPr>
              <w:rPr>
                <w:rFonts w:ascii="Times New Roman" w:hAnsi="Times New Roman"/>
                <w:sz w:val="24"/>
              </w:rPr>
            </w:pPr>
            <w:r w:rsidRPr="00E07C9A">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30BFD44E" w14:textId="77777777" w:rsidR="00DD00B4" w:rsidRPr="00E07C9A" w:rsidRDefault="00DD00B4" w:rsidP="00DD00B4">
            <w:pPr>
              <w:jc w:val="left"/>
              <w:rPr>
                <w:rFonts w:ascii="Times New Roman" w:hAnsi="Times New Roman"/>
                <w:b/>
                <w:sz w:val="24"/>
                <w:u w:val="single"/>
              </w:rPr>
            </w:pPr>
            <w:r w:rsidRPr="00E07C9A">
              <w:rPr>
                <w:rFonts w:ascii="Times New Roman" w:hAnsi="Times New Roman"/>
                <w:b/>
                <w:sz w:val="24"/>
                <w:u w:val="single"/>
              </w:rPr>
              <w:t>Iné zníženia vlastných zdrojov</w:t>
            </w:r>
          </w:p>
          <w:p w14:paraId="4A40893B" w14:textId="7C953878" w:rsidR="00DD00B4" w:rsidRPr="00E07C9A" w:rsidRDefault="003B09EA" w:rsidP="00DD00B4">
            <w:pPr>
              <w:jc w:val="left"/>
              <w:rPr>
                <w:rFonts w:ascii="Times New Roman" w:hAnsi="Times New Roman"/>
                <w:b/>
                <w:sz w:val="24"/>
                <w:u w:val="single"/>
              </w:rPr>
            </w:pPr>
            <w:r w:rsidRPr="00E07C9A">
              <w:rPr>
                <w:rFonts w:ascii="Times New Roman" w:hAnsi="Times New Roman"/>
                <w:sz w:val="24"/>
              </w:rPr>
              <w:t xml:space="preserve">Článok 47c ods. 1 písm. b) bod iii) nariadenia (EÚ) </w:t>
            </w:r>
            <w:r w:rsidR="009912F8" w:rsidRPr="00E07C9A">
              <w:rPr>
                <w:rFonts w:ascii="Times New Roman" w:hAnsi="Times New Roman"/>
                <w:sz w:val="24"/>
              </w:rPr>
              <w:t>č. 575/2013</w:t>
            </w:r>
          </w:p>
        </w:tc>
      </w:tr>
      <w:tr w:rsidR="00DD00B4" w:rsidRPr="00E07C9A" w14:paraId="68C160D6" w14:textId="77777777" w:rsidTr="00DD00B4">
        <w:tc>
          <w:tcPr>
            <w:tcW w:w="1188" w:type="dxa"/>
            <w:tcBorders>
              <w:top w:val="single" w:sz="4" w:space="0" w:color="auto"/>
              <w:left w:val="single" w:sz="4" w:space="0" w:color="auto"/>
              <w:bottom w:val="single" w:sz="4" w:space="0" w:color="auto"/>
              <w:right w:val="single" w:sz="4" w:space="0" w:color="auto"/>
            </w:tcBorders>
          </w:tcPr>
          <w:p w14:paraId="51E71A6C" w14:textId="77777777" w:rsidR="00DD00B4" w:rsidRPr="00E07C9A" w:rsidRDefault="00DD00B4" w:rsidP="00DD00B4">
            <w:pPr>
              <w:rPr>
                <w:rFonts w:ascii="Times New Roman" w:hAnsi="Times New Roman"/>
                <w:sz w:val="24"/>
              </w:rPr>
            </w:pPr>
            <w:r w:rsidRPr="00E07C9A">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14:paraId="29ED7D19" w14:textId="623B86C2" w:rsidR="00DD00B4" w:rsidRPr="00E07C9A" w:rsidRDefault="00DD00B4" w:rsidP="00DD00B4">
            <w:pPr>
              <w:jc w:val="left"/>
              <w:rPr>
                <w:rFonts w:ascii="Times New Roman" w:hAnsi="Times New Roman"/>
                <w:b/>
                <w:sz w:val="24"/>
                <w:u w:val="single"/>
              </w:rPr>
            </w:pPr>
            <w:r w:rsidRPr="00E07C9A">
              <w:rPr>
                <w:rFonts w:ascii="Times New Roman" w:hAnsi="Times New Roman"/>
                <w:b/>
                <w:sz w:val="24"/>
                <w:u w:val="single"/>
              </w:rPr>
              <w:t>Schodok</w:t>
            </w:r>
            <w:r w:rsidR="009912F8" w:rsidRPr="00E07C9A">
              <w:rPr>
                <w:rFonts w:ascii="Times New Roman" w:hAnsi="Times New Roman"/>
                <w:b/>
                <w:sz w:val="24"/>
                <w:u w:val="single"/>
              </w:rPr>
              <w:t xml:space="preserve"> v </w:t>
            </w:r>
            <w:r w:rsidRPr="00E07C9A">
              <w:rPr>
                <w:rFonts w:ascii="Times New Roman" w:hAnsi="Times New Roman"/>
                <w:b/>
                <w:sz w:val="24"/>
                <w:u w:val="single"/>
              </w:rPr>
              <w:t>rámci prístupu IRB</w:t>
            </w:r>
          </w:p>
          <w:p w14:paraId="16E4F616" w14:textId="4E8954F6" w:rsidR="00DD00B4" w:rsidRPr="00E07C9A" w:rsidRDefault="003B09EA" w:rsidP="00DD00B4">
            <w:pPr>
              <w:jc w:val="left"/>
              <w:rPr>
                <w:rFonts w:ascii="Times New Roman" w:hAnsi="Times New Roman"/>
                <w:b/>
                <w:sz w:val="24"/>
                <w:u w:val="single"/>
              </w:rPr>
            </w:pPr>
            <w:r w:rsidRPr="00E07C9A">
              <w:rPr>
                <w:rFonts w:ascii="Times New Roman" w:hAnsi="Times New Roman"/>
                <w:sz w:val="24"/>
              </w:rPr>
              <w:t xml:space="preserve">Článok 47c ods. 1 písm. b) bod iv) nariadenia (EÚ) </w:t>
            </w:r>
            <w:r w:rsidR="009912F8" w:rsidRPr="00E07C9A">
              <w:rPr>
                <w:rFonts w:ascii="Times New Roman" w:hAnsi="Times New Roman"/>
                <w:sz w:val="24"/>
              </w:rPr>
              <w:t>č. 575/2013</w:t>
            </w:r>
          </w:p>
        </w:tc>
      </w:tr>
      <w:tr w:rsidR="00DD00B4" w:rsidRPr="00E07C9A" w14:paraId="4812C145" w14:textId="77777777" w:rsidTr="00DD00B4">
        <w:tc>
          <w:tcPr>
            <w:tcW w:w="1188" w:type="dxa"/>
            <w:tcBorders>
              <w:top w:val="single" w:sz="4" w:space="0" w:color="auto"/>
              <w:left w:val="single" w:sz="4" w:space="0" w:color="auto"/>
              <w:bottom w:val="single" w:sz="4" w:space="0" w:color="auto"/>
              <w:right w:val="single" w:sz="4" w:space="0" w:color="auto"/>
            </w:tcBorders>
          </w:tcPr>
          <w:p w14:paraId="5DACF072" w14:textId="77777777" w:rsidR="00DD00B4" w:rsidRPr="00E07C9A" w:rsidRDefault="00DD00B4" w:rsidP="00DD00B4">
            <w:pPr>
              <w:rPr>
                <w:rFonts w:ascii="Times New Roman" w:hAnsi="Times New Roman"/>
                <w:sz w:val="24"/>
              </w:rPr>
            </w:pPr>
            <w:r w:rsidRPr="00E07C9A">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14:paraId="4E91252C" w14:textId="4D84C4F9" w:rsidR="00DD00B4" w:rsidRPr="00E07C9A" w:rsidRDefault="00DD00B4" w:rsidP="00DD00B4">
            <w:pPr>
              <w:jc w:val="left"/>
              <w:rPr>
                <w:rFonts w:ascii="Times New Roman" w:hAnsi="Times New Roman"/>
                <w:b/>
                <w:sz w:val="24"/>
                <w:u w:val="single"/>
              </w:rPr>
            </w:pPr>
            <w:r w:rsidRPr="00E07C9A">
              <w:rPr>
                <w:rFonts w:ascii="Times New Roman" w:hAnsi="Times New Roman"/>
                <w:b/>
                <w:sz w:val="24"/>
                <w:u w:val="single"/>
              </w:rPr>
              <w:t>Rozdiel medzi kúpnou cenou</w:t>
            </w:r>
            <w:r w:rsidR="009912F8" w:rsidRPr="00E07C9A">
              <w:rPr>
                <w:rFonts w:ascii="Times New Roman" w:hAnsi="Times New Roman"/>
                <w:b/>
                <w:sz w:val="24"/>
                <w:u w:val="single"/>
              </w:rPr>
              <w:t xml:space="preserve"> a </w:t>
            </w:r>
            <w:r w:rsidRPr="00E07C9A">
              <w:rPr>
                <w:rFonts w:ascii="Times New Roman" w:hAnsi="Times New Roman"/>
                <w:b/>
                <w:sz w:val="24"/>
                <w:u w:val="single"/>
              </w:rPr>
              <w:t>sumou, ktorú dlžník dlhuje</w:t>
            </w:r>
          </w:p>
          <w:p w14:paraId="314BE812" w14:textId="17A94078" w:rsidR="00DD00B4" w:rsidRPr="00E07C9A" w:rsidRDefault="003B09EA" w:rsidP="00DD00B4">
            <w:pPr>
              <w:jc w:val="left"/>
              <w:rPr>
                <w:rFonts w:ascii="Times New Roman" w:hAnsi="Times New Roman"/>
                <w:b/>
                <w:sz w:val="24"/>
                <w:u w:val="single"/>
              </w:rPr>
            </w:pPr>
            <w:r w:rsidRPr="00E07C9A">
              <w:rPr>
                <w:rFonts w:ascii="Times New Roman" w:hAnsi="Times New Roman"/>
                <w:sz w:val="24"/>
              </w:rPr>
              <w:t xml:space="preserve">Článok 47c ods. 1 písm. b) bod v) nariadenia (EÚ) </w:t>
            </w:r>
            <w:r w:rsidR="009912F8" w:rsidRPr="00E07C9A">
              <w:rPr>
                <w:rFonts w:ascii="Times New Roman" w:hAnsi="Times New Roman"/>
                <w:sz w:val="24"/>
              </w:rPr>
              <w:t>č. 575/2013</w:t>
            </w:r>
          </w:p>
        </w:tc>
      </w:tr>
      <w:tr w:rsidR="00DD00B4" w:rsidRPr="00E07C9A" w14:paraId="459031CC" w14:textId="77777777" w:rsidTr="00DD00B4">
        <w:tc>
          <w:tcPr>
            <w:tcW w:w="1188" w:type="dxa"/>
            <w:tcBorders>
              <w:top w:val="single" w:sz="4" w:space="0" w:color="auto"/>
              <w:left w:val="single" w:sz="4" w:space="0" w:color="auto"/>
              <w:bottom w:val="single" w:sz="4" w:space="0" w:color="auto"/>
              <w:right w:val="single" w:sz="4" w:space="0" w:color="auto"/>
            </w:tcBorders>
          </w:tcPr>
          <w:p w14:paraId="128D5FE4" w14:textId="77777777" w:rsidR="00DD00B4" w:rsidRPr="00E07C9A" w:rsidRDefault="00DD00B4" w:rsidP="00DD00B4">
            <w:pPr>
              <w:rPr>
                <w:rFonts w:ascii="Times New Roman" w:hAnsi="Times New Roman"/>
                <w:sz w:val="24"/>
              </w:rPr>
            </w:pPr>
            <w:r w:rsidRPr="00E07C9A">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14:paraId="54A46FEA" w14:textId="77777777" w:rsidR="00DD00B4" w:rsidRPr="00E07C9A" w:rsidRDefault="00DD00B4" w:rsidP="00DD00B4">
            <w:pPr>
              <w:jc w:val="left"/>
              <w:rPr>
                <w:rFonts w:ascii="Times New Roman" w:hAnsi="Times New Roman"/>
                <w:b/>
                <w:sz w:val="24"/>
                <w:u w:val="single"/>
              </w:rPr>
            </w:pPr>
            <w:r w:rsidRPr="00E07C9A">
              <w:rPr>
                <w:rFonts w:ascii="Times New Roman" w:hAnsi="Times New Roman"/>
                <w:b/>
                <w:sz w:val="24"/>
                <w:u w:val="single"/>
              </w:rPr>
              <w:t>Sumy, ktoré inštitúcia odpísala odvtedy, ako bola expozícia klasifikovaná ako problémová</w:t>
            </w:r>
          </w:p>
          <w:p w14:paraId="436645CA" w14:textId="4E1E1702" w:rsidR="00DD00B4" w:rsidRPr="00E07C9A" w:rsidRDefault="003B09EA" w:rsidP="00DD00B4">
            <w:pPr>
              <w:jc w:val="left"/>
              <w:rPr>
                <w:rFonts w:ascii="Times New Roman" w:hAnsi="Times New Roman"/>
                <w:b/>
                <w:sz w:val="24"/>
                <w:u w:val="single"/>
              </w:rPr>
            </w:pPr>
            <w:r w:rsidRPr="00E07C9A">
              <w:rPr>
                <w:rFonts w:ascii="Times New Roman" w:hAnsi="Times New Roman"/>
                <w:sz w:val="24"/>
              </w:rPr>
              <w:t xml:space="preserve">Článok 47c ods. 1 písm. b) bod vi) nariadenia (EÚ) </w:t>
            </w:r>
            <w:r w:rsidR="009912F8" w:rsidRPr="00E07C9A">
              <w:rPr>
                <w:rFonts w:ascii="Times New Roman" w:hAnsi="Times New Roman"/>
                <w:sz w:val="24"/>
              </w:rPr>
              <w:t>č. 575/2013</w:t>
            </w:r>
          </w:p>
        </w:tc>
      </w:tr>
    </w:tbl>
    <w:p w14:paraId="47D329AA" w14:textId="15BBCDC5" w:rsidR="00DD00B4" w:rsidRPr="00E07C9A" w:rsidRDefault="00DD00B4" w:rsidP="005C4397">
      <w:pPr>
        <w:pStyle w:val="Instructionsberschrift2"/>
        <w:numPr>
          <w:ilvl w:val="1"/>
          <w:numId w:val="29"/>
        </w:numPr>
        <w:rPr>
          <w:rFonts w:ascii="Times New Roman" w:hAnsi="Times New Roman" w:cs="Times New Roman"/>
          <w:sz w:val="24"/>
        </w:rPr>
      </w:pPr>
      <w:bookmarkStart w:id="788" w:name="_Toc19715890"/>
      <w:bookmarkStart w:id="789" w:name="_Toc115857920"/>
      <w:r w:rsidRPr="00E07C9A">
        <w:rPr>
          <w:rFonts w:ascii="Times New Roman" w:hAnsi="Times New Roman" w:cs="Times New Roman"/>
          <w:sz w:val="24"/>
        </w:rPr>
        <w:t>C 35.02 – MINIMÁLNE POŽIADAVKY NA KRYTIE A HODNOTY EXPOZÍCIÍ PRI PROBLÉMOVÝCH EXPOZÍCIÁCH OKREM EXPOZÍCIÍ</w:t>
      </w:r>
      <w:r w:rsidR="009912F8" w:rsidRPr="00E07C9A">
        <w:rPr>
          <w:rFonts w:ascii="Times New Roman" w:hAnsi="Times New Roman" w:cs="Times New Roman"/>
          <w:sz w:val="24"/>
        </w:rPr>
        <w:t xml:space="preserve"> S </w:t>
      </w:r>
      <w:r w:rsidRPr="00E07C9A">
        <w:rPr>
          <w:rFonts w:ascii="Times New Roman" w:hAnsi="Times New Roman" w:cs="Times New Roman"/>
          <w:sz w:val="24"/>
        </w:rPr>
        <w:t>ÚĽAVOU, NA KTORÉ SA VZŤAHUJE ČLÁNOK 47C ODS. 6 NARIADENIA (EÚ) Č. 575/2013 (NPE LC2)</w:t>
      </w:r>
      <w:bookmarkStart w:id="790" w:name="_Toc19715891"/>
      <w:bookmarkEnd w:id="788"/>
      <w:bookmarkEnd w:id="789"/>
      <w:bookmarkEnd w:id="790"/>
    </w:p>
    <w:p w14:paraId="0AF22E56" w14:textId="77777777" w:rsidR="00DD00B4" w:rsidRPr="00E07C9A" w:rsidRDefault="00DD00B4" w:rsidP="005C4397">
      <w:pPr>
        <w:pStyle w:val="Instructionsberschrift2"/>
        <w:numPr>
          <w:ilvl w:val="2"/>
          <w:numId w:val="29"/>
        </w:numPr>
        <w:rPr>
          <w:rFonts w:ascii="Times New Roman" w:hAnsi="Times New Roman" w:cs="Times New Roman"/>
          <w:sz w:val="24"/>
        </w:rPr>
      </w:pPr>
      <w:bookmarkStart w:id="791" w:name="_Toc19715892"/>
      <w:bookmarkStart w:id="792" w:name="_Toc115857921"/>
      <w:r w:rsidRPr="00E07C9A">
        <w:rPr>
          <w:rFonts w:ascii="Times New Roman" w:hAnsi="Times New Roman" w:cs="Times New Roman"/>
          <w:sz w:val="24"/>
        </w:rPr>
        <w:t>Pokyny týkajúce sa konkrétnych pozícií</w:t>
      </w:r>
      <w:bookmarkEnd w:id="791"/>
      <w:bookmarkEnd w:id="792"/>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E07C9A" w14:paraId="5763F2CF"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07E848FA" w14:textId="77777777" w:rsidR="00DD00B4" w:rsidRPr="00E07C9A" w:rsidRDefault="00DD00B4" w:rsidP="00DD00B4">
            <w:pPr>
              <w:rPr>
                <w:rFonts w:ascii="Times New Roman" w:hAnsi="Times New Roman"/>
                <w:sz w:val="24"/>
              </w:rPr>
            </w:pPr>
            <w:r w:rsidRPr="00E07C9A">
              <w:rPr>
                <w:rFonts w:ascii="Times New Roman" w:hAnsi="Times New Roman"/>
                <w:sz w:val="24"/>
              </w:rPr>
              <w:t>Stĺpce</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754446FB" w14:textId="77777777" w:rsidR="00DD00B4" w:rsidRPr="00E07C9A" w:rsidRDefault="00DD00B4" w:rsidP="00DD00B4">
            <w:pPr>
              <w:rPr>
                <w:rFonts w:ascii="Times New Roman" w:hAnsi="Times New Roman"/>
                <w:sz w:val="24"/>
              </w:rPr>
            </w:pPr>
            <w:r w:rsidRPr="00E07C9A">
              <w:rPr>
                <w:rFonts w:ascii="Times New Roman" w:hAnsi="Times New Roman"/>
                <w:sz w:val="24"/>
              </w:rPr>
              <w:t>Pokyny</w:t>
            </w:r>
          </w:p>
        </w:tc>
      </w:tr>
      <w:tr w:rsidR="00DD00B4" w:rsidRPr="00E07C9A" w14:paraId="613F31A8"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3066D122" w14:textId="77777777" w:rsidR="00DD00B4" w:rsidRPr="00E07C9A" w:rsidRDefault="00DD00B4" w:rsidP="00DD00B4">
            <w:pPr>
              <w:rPr>
                <w:rFonts w:ascii="Times New Roman" w:hAnsi="Times New Roman"/>
                <w:sz w:val="24"/>
              </w:rPr>
            </w:pPr>
            <w:r w:rsidRPr="00E07C9A">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14:paraId="7371C856" w14:textId="77777777" w:rsidR="00DD00B4" w:rsidRPr="00E07C9A" w:rsidRDefault="00DD00B4" w:rsidP="00DD00B4">
            <w:pPr>
              <w:rPr>
                <w:rFonts w:ascii="Times New Roman" w:hAnsi="Times New Roman"/>
                <w:b/>
                <w:sz w:val="24"/>
                <w:u w:val="single"/>
              </w:rPr>
            </w:pPr>
            <w:r w:rsidRPr="00E07C9A">
              <w:rPr>
                <w:rFonts w:ascii="Times New Roman" w:hAnsi="Times New Roman"/>
                <w:b/>
                <w:sz w:val="24"/>
                <w:u w:val="single"/>
              </w:rPr>
              <w:t>Čas, ktorý uplynul odvtedy, ako boli expozície klasifikované ako problémové</w:t>
            </w:r>
          </w:p>
          <w:p w14:paraId="6F1F73EA" w14:textId="66800B4B" w:rsidR="00DD00B4" w:rsidRPr="00E07C9A" w:rsidRDefault="00DD00B4" w:rsidP="00DD00B4">
            <w:pPr>
              <w:rPr>
                <w:rFonts w:ascii="Times New Roman" w:hAnsi="Times New Roman"/>
                <w:sz w:val="24"/>
              </w:rPr>
            </w:pPr>
            <w:r w:rsidRPr="00E07C9A">
              <w:rPr>
                <w:rFonts w:ascii="Times New Roman" w:hAnsi="Times New Roman"/>
                <w:sz w:val="24"/>
              </w:rPr>
              <w:t>„Čas, ktorý uplynul odvtedy, ako boli expozície klasifikované ako problémové“ je čas</w:t>
            </w:r>
            <w:r w:rsidR="009912F8" w:rsidRPr="00E07C9A">
              <w:rPr>
                <w:rFonts w:ascii="Times New Roman" w:hAnsi="Times New Roman"/>
                <w:sz w:val="24"/>
              </w:rPr>
              <w:t xml:space="preserve"> v </w:t>
            </w:r>
            <w:r w:rsidRPr="00E07C9A">
              <w:rPr>
                <w:rFonts w:ascii="Times New Roman" w:hAnsi="Times New Roman"/>
                <w:sz w:val="24"/>
              </w:rPr>
              <w:t>rokoch, ktorý uplynul odvtedy, ako bola expozícia klasifikovaná ako problémová. Inštitúcie vykazujú údaje</w:t>
            </w:r>
            <w:r w:rsidR="009912F8" w:rsidRPr="00E07C9A">
              <w:rPr>
                <w:rFonts w:ascii="Times New Roman" w:hAnsi="Times New Roman"/>
                <w:sz w:val="24"/>
              </w:rPr>
              <w:t xml:space="preserve"> o </w:t>
            </w:r>
            <w:r w:rsidRPr="00E07C9A">
              <w:rPr>
                <w:rFonts w:ascii="Times New Roman" w:hAnsi="Times New Roman"/>
                <w:sz w:val="24"/>
              </w:rPr>
              <w:t>expozíciách, pri ktorých referenčný dátum patrí do zodpovedajúceho časového intervalu, pričom uvádzajú obdobie</w:t>
            </w:r>
            <w:r w:rsidR="009912F8" w:rsidRPr="00E07C9A">
              <w:rPr>
                <w:rFonts w:ascii="Times New Roman" w:hAnsi="Times New Roman"/>
                <w:sz w:val="24"/>
              </w:rPr>
              <w:t xml:space="preserve"> v </w:t>
            </w:r>
            <w:r w:rsidRPr="00E07C9A">
              <w:rPr>
                <w:rFonts w:ascii="Times New Roman" w:hAnsi="Times New Roman"/>
                <w:sz w:val="24"/>
              </w:rPr>
              <w:t>rokoch, ktoré uplynulo od klasifikácie expozícií ako problémových, bez ohľadu na prípadné uplatňovanie opatrení týkajúcich sa úľavy.</w:t>
            </w:r>
          </w:p>
          <w:p w14:paraId="24AECEC5" w14:textId="0F25BCC3" w:rsidR="00DD00B4" w:rsidRPr="00E07C9A" w:rsidRDefault="00DD00B4" w:rsidP="00DD00B4">
            <w:pPr>
              <w:rPr>
                <w:rFonts w:ascii="Times New Roman" w:hAnsi="Times New Roman"/>
                <w:sz w:val="24"/>
              </w:rPr>
            </w:pPr>
            <w:r w:rsidRPr="00E07C9A">
              <w:rPr>
                <w:rFonts w:ascii="Times New Roman" w:hAnsi="Times New Roman"/>
                <w:sz w:val="24"/>
              </w:rPr>
              <w:t>Pri časovom intervale „&gt; X rokov, &lt;= Y rokov“ inštitúcie vykazujú údaje</w:t>
            </w:r>
            <w:r w:rsidR="009912F8" w:rsidRPr="00E07C9A">
              <w:rPr>
                <w:rFonts w:ascii="Times New Roman" w:hAnsi="Times New Roman"/>
                <w:sz w:val="24"/>
              </w:rPr>
              <w:t xml:space="preserve"> o </w:t>
            </w:r>
            <w:r w:rsidRPr="00E07C9A">
              <w:rPr>
                <w:rFonts w:ascii="Times New Roman" w:hAnsi="Times New Roman"/>
                <w:sz w:val="24"/>
              </w:rPr>
              <w:t>expozíciách, pri ktorých referenčný dátum zodpovedá obdobiu medzi prvým</w:t>
            </w:r>
            <w:r w:rsidR="009912F8" w:rsidRPr="00E07C9A">
              <w:rPr>
                <w:rFonts w:ascii="Times New Roman" w:hAnsi="Times New Roman"/>
                <w:sz w:val="24"/>
              </w:rPr>
              <w:t xml:space="preserve"> a </w:t>
            </w:r>
            <w:r w:rsidRPr="00E07C9A">
              <w:rPr>
                <w:rFonts w:ascii="Times New Roman" w:hAnsi="Times New Roman"/>
                <w:sz w:val="24"/>
              </w:rPr>
              <w:t>posledným dňom Y. roka po klasifikácii týchto expozícií ako problémových.</w:t>
            </w:r>
          </w:p>
        </w:tc>
      </w:tr>
      <w:tr w:rsidR="00DD00B4" w:rsidRPr="00E07C9A" w14:paraId="4901B027" w14:textId="77777777" w:rsidTr="00DD00B4">
        <w:tc>
          <w:tcPr>
            <w:tcW w:w="1188" w:type="dxa"/>
            <w:tcBorders>
              <w:top w:val="single" w:sz="4" w:space="0" w:color="auto"/>
              <w:left w:val="single" w:sz="4" w:space="0" w:color="auto"/>
              <w:bottom w:val="single" w:sz="4" w:space="0" w:color="auto"/>
              <w:right w:val="single" w:sz="4" w:space="0" w:color="auto"/>
            </w:tcBorders>
          </w:tcPr>
          <w:p w14:paraId="5060EEEB" w14:textId="77777777" w:rsidR="00DD00B4" w:rsidRPr="00E07C9A" w:rsidRDefault="00DD00B4" w:rsidP="00DD00B4">
            <w:pPr>
              <w:rPr>
                <w:rFonts w:ascii="Times New Roman" w:hAnsi="Times New Roman"/>
                <w:sz w:val="24"/>
              </w:rPr>
            </w:pPr>
            <w:r w:rsidRPr="00E07C9A">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31BA9500" w14:textId="77777777" w:rsidR="00DD00B4" w:rsidRPr="00E07C9A" w:rsidRDefault="00DD00B4" w:rsidP="00DD00B4">
            <w:pPr>
              <w:rPr>
                <w:rFonts w:ascii="Times New Roman" w:hAnsi="Times New Roman"/>
                <w:b/>
                <w:sz w:val="24"/>
                <w:u w:val="single"/>
              </w:rPr>
            </w:pPr>
            <w:r w:rsidRPr="00E07C9A">
              <w:rPr>
                <w:rFonts w:ascii="Times New Roman" w:hAnsi="Times New Roman"/>
                <w:b/>
                <w:sz w:val="24"/>
                <w:u w:val="single"/>
              </w:rPr>
              <w:t>Spolu</w:t>
            </w:r>
          </w:p>
          <w:p w14:paraId="5DF2DC7E" w14:textId="77777777" w:rsidR="00DD00B4" w:rsidRPr="00E07C9A" w:rsidRDefault="00DD00B4" w:rsidP="00DD00B4">
            <w:pPr>
              <w:rPr>
                <w:rFonts w:ascii="Times New Roman" w:hAnsi="Times New Roman"/>
                <w:sz w:val="24"/>
                <w:u w:val="single"/>
              </w:rPr>
            </w:pPr>
            <w:r w:rsidRPr="00E07C9A">
              <w:rPr>
                <w:rFonts w:ascii="Times New Roman" w:hAnsi="Times New Roman"/>
                <w:sz w:val="24"/>
              </w:rPr>
              <w:t>Inštitúcie vykazujú súčet všetkých stĺpcov od 0010 do 0100.</w:t>
            </w:r>
          </w:p>
        </w:tc>
      </w:tr>
    </w:tbl>
    <w:p w14:paraId="60CFB4F6" w14:textId="77777777" w:rsidR="00DD00B4" w:rsidRPr="00E07C9A" w:rsidRDefault="00DD00B4" w:rsidP="00DD00B4">
      <w:pPr>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E07C9A" w14:paraId="52DE38F0"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1B5E37AE" w14:textId="77777777" w:rsidR="00DD00B4" w:rsidRPr="00E07C9A" w:rsidRDefault="00DD00B4" w:rsidP="00DD00B4">
            <w:pPr>
              <w:rPr>
                <w:rFonts w:ascii="Times New Roman" w:hAnsi="Times New Roman"/>
                <w:sz w:val="24"/>
              </w:rPr>
            </w:pPr>
            <w:r w:rsidRPr="00E07C9A">
              <w:rPr>
                <w:rFonts w:ascii="Times New Roman" w:hAnsi="Times New Roman"/>
                <w:sz w:val="24"/>
              </w:rPr>
              <w:t>Riadky</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088AE0C9" w14:textId="77777777" w:rsidR="00DD00B4" w:rsidRPr="00E07C9A" w:rsidRDefault="00DD00B4" w:rsidP="00DD00B4">
            <w:pPr>
              <w:rPr>
                <w:rFonts w:ascii="Times New Roman" w:hAnsi="Times New Roman"/>
                <w:sz w:val="24"/>
              </w:rPr>
            </w:pPr>
            <w:r w:rsidRPr="00E07C9A">
              <w:rPr>
                <w:rFonts w:ascii="Times New Roman" w:hAnsi="Times New Roman"/>
                <w:sz w:val="24"/>
              </w:rPr>
              <w:t>Pokyny</w:t>
            </w:r>
          </w:p>
        </w:tc>
      </w:tr>
      <w:tr w:rsidR="00DD00B4" w:rsidRPr="00E07C9A" w14:paraId="25D27289"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323B38B0" w14:textId="77777777" w:rsidR="00DD00B4" w:rsidRPr="00E07C9A" w:rsidRDefault="00DD00B4" w:rsidP="00DD00B4">
            <w:pPr>
              <w:rPr>
                <w:rFonts w:ascii="Times New Roman" w:hAnsi="Times New Roman"/>
                <w:sz w:val="24"/>
              </w:rPr>
            </w:pPr>
            <w:r w:rsidRPr="00E07C9A">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24FA8830" w14:textId="77777777" w:rsidR="00DD00B4" w:rsidRPr="00E07C9A" w:rsidRDefault="00DD00B4" w:rsidP="00DD00B4">
            <w:pPr>
              <w:rPr>
                <w:rFonts w:ascii="Times New Roman" w:hAnsi="Times New Roman"/>
                <w:b/>
                <w:sz w:val="24"/>
                <w:u w:val="single"/>
              </w:rPr>
            </w:pPr>
            <w:r w:rsidRPr="00E07C9A">
              <w:rPr>
                <w:rFonts w:ascii="Times New Roman" w:hAnsi="Times New Roman"/>
                <w:b/>
                <w:sz w:val="24"/>
                <w:u w:val="single"/>
              </w:rPr>
              <w:t>Celková minimálna požiadavka na krytie</w:t>
            </w:r>
          </w:p>
          <w:p w14:paraId="3A476185" w14:textId="1989F971" w:rsidR="00DD00B4" w:rsidRPr="00E07C9A" w:rsidRDefault="00FC223C" w:rsidP="00DD00B4">
            <w:pPr>
              <w:rPr>
                <w:rFonts w:ascii="Times New Roman" w:hAnsi="Times New Roman"/>
                <w:sz w:val="24"/>
              </w:rPr>
            </w:pPr>
            <w:r w:rsidRPr="00E07C9A">
              <w:rPr>
                <w:rFonts w:ascii="Times New Roman" w:hAnsi="Times New Roman"/>
                <w:sz w:val="24"/>
              </w:rPr>
              <w:t xml:space="preserve">Článok 47c ods. 1 písm. a) nariadenia (EÚ) </w:t>
            </w:r>
            <w:r w:rsidR="009912F8" w:rsidRPr="00E07C9A">
              <w:rPr>
                <w:rFonts w:ascii="Times New Roman" w:hAnsi="Times New Roman"/>
                <w:sz w:val="24"/>
              </w:rPr>
              <w:t>č. 575/2013</w:t>
            </w:r>
          </w:p>
          <w:p w14:paraId="5F74FB1D" w14:textId="1092743F" w:rsidR="00DD00B4" w:rsidRPr="00E07C9A" w:rsidRDefault="00DD00B4" w:rsidP="00DD00B4">
            <w:pPr>
              <w:rPr>
                <w:rFonts w:ascii="Times New Roman" w:hAnsi="Times New Roman"/>
                <w:sz w:val="24"/>
              </w:rPr>
            </w:pPr>
            <w:r w:rsidRPr="00E07C9A">
              <w:rPr>
                <w:rFonts w:ascii="Times New Roman" w:hAnsi="Times New Roman"/>
                <w:sz w:val="24"/>
              </w:rPr>
              <w:t>Na účel výpočtu celkovej minimálnej požiadavky na krytie problémových expozícií okrem expozícií</w:t>
            </w:r>
            <w:r w:rsidR="009912F8" w:rsidRPr="00E07C9A">
              <w:rPr>
                <w:rFonts w:ascii="Times New Roman" w:hAnsi="Times New Roman"/>
                <w:sz w:val="24"/>
              </w:rPr>
              <w:t xml:space="preserve"> s </w:t>
            </w:r>
            <w:r w:rsidRPr="00E07C9A">
              <w:rPr>
                <w:rFonts w:ascii="Times New Roman" w:hAnsi="Times New Roman"/>
                <w:sz w:val="24"/>
              </w:rPr>
              <w:t xml:space="preserve">úľavou, na ktoré sa vzťahuje článok 47c ods. 6 nariadenia (EÚ) </w:t>
            </w:r>
            <w:r w:rsidR="009912F8" w:rsidRPr="00E07C9A">
              <w:rPr>
                <w:rFonts w:ascii="Times New Roman" w:hAnsi="Times New Roman"/>
                <w:sz w:val="24"/>
              </w:rPr>
              <w:t>č. 575/2013</w:t>
            </w:r>
            <w:r w:rsidRPr="00E07C9A">
              <w:rPr>
                <w:rFonts w:ascii="Times New Roman" w:hAnsi="Times New Roman"/>
                <w:sz w:val="24"/>
              </w:rPr>
              <w:t>, inštitúcie spočítajú minimálnu požiadavku na krytie nezabezpečenej časti problémových expozícií (riadok 0020)</w:t>
            </w:r>
            <w:r w:rsidR="009912F8" w:rsidRPr="00E07C9A">
              <w:rPr>
                <w:rFonts w:ascii="Times New Roman" w:hAnsi="Times New Roman"/>
                <w:sz w:val="24"/>
              </w:rPr>
              <w:t xml:space="preserve"> a </w:t>
            </w:r>
            <w:r w:rsidRPr="00E07C9A">
              <w:rPr>
                <w:rFonts w:ascii="Times New Roman" w:hAnsi="Times New Roman"/>
                <w:sz w:val="24"/>
              </w:rPr>
              <w:t>minimálnu požiadavku na krytie zabezpečenej časti problémových expozícií (riadky 0030 – 0050).</w:t>
            </w:r>
          </w:p>
        </w:tc>
      </w:tr>
      <w:tr w:rsidR="00DD00B4" w:rsidRPr="00E07C9A" w14:paraId="335C7475" w14:textId="77777777" w:rsidTr="00DD00B4">
        <w:tc>
          <w:tcPr>
            <w:tcW w:w="1188" w:type="dxa"/>
            <w:tcBorders>
              <w:top w:val="single" w:sz="4" w:space="0" w:color="auto"/>
              <w:left w:val="single" w:sz="4" w:space="0" w:color="auto"/>
              <w:bottom w:val="single" w:sz="4" w:space="0" w:color="auto"/>
              <w:right w:val="single" w:sz="4" w:space="0" w:color="auto"/>
            </w:tcBorders>
          </w:tcPr>
          <w:p w14:paraId="1580B3EF" w14:textId="77777777" w:rsidR="00DD00B4" w:rsidRPr="00E07C9A" w:rsidRDefault="00DD00B4" w:rsidP="00DD00B4">
            <w:pPr>
              <w:rPr>
                <w:rFonts w:ascii="Times New Roman" w:hAnsi="Times New Roman"/>
                <w:sz w:val="24"/>
              </w:rPr>
            </w:pPr>
            <w:r w:rsidRPr="00E07C9A">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05839A37" w14:textId="77777777" w:rsidR="00DD00B4" w:rsidRPr="00E07C9A" w:rsidRDefault="00DD00B4" w:rsidP="00DD00B4">
            <w:pPr>
              <w:rPr>
                <w:rFonts w:ascii="Times New Roman" w:hAnsi="Times New Roman"/>
                <w:b/>
                <w:sz w:val="24"/>
                <w:u w:val="single"/>
              </w:rPr>
            </w:pPr>
            <w:r w:rsidRPr="00E07C9A">
              <w:rPr>
                <w:rFonts w:ascii="Times New Roman" w:hAnsi="Times New Roman"/>
                <w:b/>
                <w:sz w:val="24"/>
                <w:u w:val="single"/>
              </w:rPr>
              <w:t>Nezabezpečená časť problémových expozícií</w:t>
            </w:r>
          </w:p>
          <w:p w14:paraId="24BFE0E9" w14:textId="6B77D9F0" w:rsidR="00DD00B4" w:rsidRPr="00E07C9A" w:rsidRDefault="00DD00B4" w:rsidP="00DD00B4">
            <w:pPr>
              <w:rPr>
                <w:rFonts w:ascii="Times New Roman" w:hAnsi="Times New Roman"/>
                <w:sz w:val="24"/>
              </w:rPr>
            </w:pPr>
            <w:r w:rsidRPr="00E07C9A">
              <w:rPr>
                <w:rFonts w:ascii="Times New Roman" w:hAnsi="Times New Roman"/>
                <w:sz w:val="24"/>
              </w:rPr>
              <w:t xml:space="preserve">Článok 47c ods. 1 písm. a) bod i), článok 47c ods. 2 nariadenia (EÚ) </w:t>
            </w:r>
            <w:r w:rsidR="009912F8" w:rsidRPr="00E07C9A">
              <w:rPr>
                <w:rFonts w:ascii="Times New Roman" w:hAnsi="Times New Roman"/>
                <w:sz w:val="24"/>
              </w:rPr>
              <w:t>č. 575/2013</w:t>
            </w:r>
          </w:p>
          <w:p w14:paraId="70241592" w14:textId="17096E4A" w:rsidR="00DD00B4" w:rsidRPr="00E07C9A" w:rsidRDefault="00DD00B4" w:rsidP="00EA2AFF">
            <w:pPr>
              <w:rPr>
                <w:rFonts w:ascii="Times New Roman" w:hAnsi="Times New Roman"/>
                <w:sz w:val="24"/>
              </w:rPr>
            </w:pPr>
            <w:r w:rsidRPr="00E07C9A">
              <w:rPr>
                <w:rFonts w:ascii="Times New Roman" w:hAnsi="Times New Roman"/>
                <w:sz w:val="24"/>
              </w:rPr>
              <w:t>Minimálna požiadavka na krytie sa vypočíta vynásobením agregovaných hodnôt expozícií</w:t>
            </w:r>
            <w:r w:rsidR="009912F8" w:rsidRPr="00E07C9A">
              <w:rPr>
                <w:rFonts w:ascii="Times New Roman" w:hAnsi="Times New Roman"/>
                <w:sz w:val="24"/>
              </w:rPr>
              <w:t xml:space="preserve"> v </w:t>
            </w:r>
            <w:r w:rsidRPr="00E07C9A">
              <w:rPr>
                <w:rFonts w:ascii="Times New Roman" w:hAnsi="Times New Roman"/>
                <w:sz w:val="24"/>
              </w:rPr>
              <w:t>riadku 0070 zodpovedajúcim koeficientom</w:t>
            </w:r>
            <w:r w:rsidR="009912F8" w:rsidRPr="00E07C9A">
              <w:rPr>
                <w:rFonts w:ascii="Times New Roman" w:hAnsi="Times New Roman"/>
                <w:sz w:val="24"/>
              </w:rPr>
              <w:t xml:space="preserve"> v </w:t>
            </w:r>
            <w:r w:rsidRPr="00E07C9A">
              <w:rPr>
                <w:rFonts w:ascii="Times New Roman" w:hAnsi="Times New Roman"/>
                <w:sz w:val="24"/>
              </w:rPr>
              <w:t>jednotlivých stĺpcoch.</w:t>
            </w:r>
          </w:p>
        </w:tc>
      </w:tr>
      <w:tr w:rsidR="00DD00B4" w:rsidRPr="00E07C9A" w14:paraId="7777A4EA" w14:textId="77777777" w:rsidTr="00DD00B4">
        <w:tc>
          <w:tcPr>
            <w:tcW w:w="1188" w:type="dxa"/>
            <w:tcBorders>
              <w:top w:val="single" w:sz="4" w:space="0" w:color="auto"/>
              <w:left w:val="single" w:sz="4" w:space="0" w:color="auto"/>
              <w:bottom w:val="single" w:sz="4" w:space="0" w:color="auto"/>
              <w:right w:val="single" w:sz="4" w:space="0" w:color="auto"/>
            </w:tcBorders>
          </w:tcPr>
          <w:p w14:paraId="7CEC6E10" w14:textId="77777777" w:rsidR="00DD00B4" w:rsidRPr="00E07C9A" w:rsidRDefault="00DD00B4" w:rsidP="00DD00B4">
            <w:pPr>
              <w:rPr>
                <w:rFonts w:ascii="Times New Roman" w:hAnsi="Times New Roman"/>
                <w:sz w:val="24"/>
              </w:rPr>
            </w:pPr>
            <w:r w:rsidRPr="00E07C9A">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5284F7CC" w14:textId="77777777" w:rsidR="009912F8" w:rsidRPr="00E07C9A" w:rsidRDefault="00DD00B4" w:rsidP="00DD00B4">
            <w:pPr>
              <w:rPr>
                <w:rFonts w:ascii="Times New Roman" w:hAnsi="Times New Roman"/>
                <w:b/>
                <w:sz w:val="24"/>
                <w:u w:val="single"/>
              </w:rPr>
            </w:pPr>
            <w:r w:rsidRPr="00E07C9A">
              <w:rPr>
                <w:rFonts w:ascii="Times New Roman" w:hAnsi="Times New Roman"/>
                <w:b/>
                <w:sz w:val="24"/>
                <w:u w:val="single"/>
              </w:rPr>
              <w:t>Časť problémových expozícií zabezpečená nehnuteľným majetkom alebo úverom na nehnuteľný majetok určený na bývanie zaručeným oprávneným poskytovateľom zabezpečenia</w:t>
            </w:r>
          </w:p>
          <w:p w14:paraId="6D42FB8A" w14:textId="7EADE5D2" w:rsidR="00DD00B4" w:rsidRPr="00E07C9A" w:rsidRDefault="003B09EA" w:rsidP="00DD00B4">
            <w:pPr>
              <w:rPr>
                <w:rFonts w:ascii="Times New Roman" w:hAnsi="Times New Roman"/>
                <w:sz w:val="24"/>
              </w:rPr>
            </w:pPr>
            <w:r w:rsidRPr="00E07C9A">
              <w:rPr>
                <w:rFonts w:ascii="Times New Roman" w:hAnsi="Times New Roman"/>
                <w:sz w:val="24"/>
              </w:rPr>
              <w:t>Článok 47c ods. 1 písm. a) bod ii)</w:t>
            </w:r>
            <w:r w:rsidR="009912F8" w:rsidRPr="00E07C9A">
              <w:rPr>
                <w:rFonts w:ascii="Times New Roman" w:hAnsi="Times New Roman"/>
                <w:sz w:val="24"/>
              </w:rPr>
              <w:t xml:space="preserve"> a </w:t>
            </w:r>
            <w:r w:rsidRPr="00E07C9A">
              <w:rPr>
                <w:rFonts w:ascii="Times New Roman" w:hAnsi="Times New Roman"/>
                <w:sz w:val="24"/>
              </w:rPr>
              <w:t>článok 47c ods. 3 písm. a), b), c), d), f), h)</w:t>
            </w:r>
            <w:r w:rsidR="009912F8" w:rsidRPr="00E07C9A">
              <w:rPr>
                <w:rFonts w:ascii="Times New Roman" w:hAnsi="Times New Roman"/>
                <w:sz w:val="24"/>
              </w:rPr>
              <w:t xml:space="preserve"> a </w:t>
            </w:r>
            <w:r w:rsidRPr="00E07C9A">
              <w:rPr>
                <w:rFonts w:ascii="Times New Roman" w:hAnsi="Times New Roman"/>
                <w:sz w:val="24"/>
              </w:rPr>
              <w:t xml:space="preserve">i) nariadenia (EÚ) </w:t>
            </w:r>
            <w:r w:rsidR="009912F8" w:rsidRPr="00E07C9A">
              <w:rPr>
                <w:rFonts w:ascii="Times New Roman" w:hAnsi="Times New Roman"/>
                <w:sz w:val="24"/>
              </w:rPr>
              <w:t>č. 575/2013</w:t>
            </w:r>
          </w:p>
          <w:p w14:paraId="3DB8D95D" w14:textId="0E21F699" w:rsidR="00DD00B4" w:rsidRPr="00E07C9A" w:rsidRDefault="00DD00B4" w:rsidP="00EA2AFF">
            <w:pPr>
              <w:rPr>
                <w:rFonts w:ascii="Times New Roman" w:hAnsi="Times New Roman"/>
                <w:b/>
                <w:sz w:val="24"/>
                <w:u w:val="single"/>
              </w:rPr>
            </w:pPr>
            <w:r w:rsidRPr="00E07C9A">
              <w:rPr>
                <w:rFonts w:ascii="Times New Roman" w:hAnsi="Times New Roman"/>
                <w:sz w:val="24"/>
              </w:rPr>
              <w:t>Minimálna požiadavka na krytie sa vypočíta vynásobením agregovaných hodnôt expozícií</w:t>
            </w:r>
            <w:r w:rsidR="009912F8" w:rsidRPr="00E07C9A">
              <w:rPr>
                <w:rFonts w:ascii="Times New Roman" w:hAnsi="Times New Roman"/>
                <w:sz w:val="24"/>
              </w:rPr>
              <w:t xml:space="preserve"> v </w:t>
            </w:r>
            <w:r w:rsidRPr="00E07C9A">
              <w:rPr>
                <w:rFonts w:ascii="Times New Roman" w:hAnsi="Times New Roman"/>
                <w:sz w:val="24"/>
              </w:rPr>
              <w:t>riadku 0080 zodpovedajúcim koeficientom</w:t>
            </w:r>
            <w:r w:rsidR="009912F8" w:rsidRPr="00E07C9A">
              <w:rPr>
                <w:rFonts w:ascii="Times New Roman" w:hAnsi="Times New Roman"/>
                <w:sz w:val="24"/>
              </w:rPr>
              <w:t xml:space="preserve"> v </w:t>
            </w:r>
            <w:r w:rsidRPr="00E07C9A">
              <w:rPr>
                <w:rFonts w:ascii="Times New Roman" w:hAnsi="Times New Roman"/>
                <w:sz w:val="24"/>
              </w:rPr>
              <w:t>jednotlivých stĺpcoch.</w:t>
            </w:r>
          </w:p>
        </w:tc>
      </w:tr>
      <w:tr w:rsidR="00DD00B4" w:rsidRPr="00E07C9A" w14:paraId="087DE3C1" w14:textId="77777777" w:rsidTr="00DD00B4">
        <w:tc>
          <w:tcPr>
            <w:tcW w:w="1188" w:type="dxa"/>
            <w:tcBorders>
              <w:top w:val="single" w:sz="4" w:space="0" w:color="auto"/>
              <w:left w:val="single" w:sz="4" w:space="0" w:color="auto"/>
              <w:bottom w:val="single" w:sz="4" w:space="0" w:color="auto"/>
              <w:right w:val="single" w:sz="4" w:space="0" w:color="auto"/>
            </w:tcBorders>
          </w:tcPr>
          <w:p w14:paraId="43FEA6EF" w14:textId="77777777" w:rsidR="00DD00B4" w:rsidRPr="00E07C9A" w:rsidRDefault="00DD00B4" w:rsidP="00DD00B4">
            <w:pPr>
              <w:rPr>
                <w:rFonts w:ascii="Times New Roman" w:hAnsi="Times New Roman"/>
                <w:sz w:val="24"/>
              </w:rPr>
            </w:pPr>
            <w:r w:rsidRPr="00E07C9A">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1B56F778" w14:textId="77777777" w:rsidR="00DD00B4" w:rsidRPr="00E07C9A" w:rsidRDefault="00DD00B4" w:rsidP="00DD00B4">
            <w:pPr>
              <w:jc w:val="left"/>
              <w:rPr>
                <w:rFonts w:ascii="Times New Roman" w:hAnsi="Times New Roman"/>
                <w:b/>
                <w:sz w:val="24"/>
                <w:u w:val="single"/>
              </w:rPr>
            </w:pPr>
            <w:r w:rsidRPr="00E07C9A">
              <w:rPr>
                <w:rFonts w:ascii="Times New Roman" w:hAnsi="Times New Roman"/>
                <w:b/>
                <w:sz w:val="24"/>
                <w:u w:val="single"/>
              </w:rPr>
              <w:t>Časť problémových expozícií zabezpečená iným financovaným alebo nefinancovaným kreditným zabezpečením</w:t>
            </w:r>
          </w:p>
          <w:p w14:paraId="7260657F" w14:textId="468BE5B6" w:rsidR="00DD00B4" w:rsidRPr="00E07C9A" w:rsidRDefault="003B09EA" w:rsidP="00DD00B4">
            <w:pPr>
              <w:rPr>
                <w:rFonts w:ascii="Times New Roman" w:hAnsi="Times New Roman"/>
                <w:sz w:val="24"/>
              </w:rPr>
            </w:pPr>
            <w:r w:rsidRPr="00E07C9A">
              <w:rPr>
                <w:rFonts w:ascii="Times New Roman" w:hAnsi="Times New Roman"/>
                <w:sz w:val="24"/>
              </w:rPr>
              <w:t>Článok 47c ods. 1 písm. a) bod ii)</w:t>
            </w:r>
            <w:r w:rsidR="009912F8" w:rsidRPr="00E07C9A">
              <w:rPr>
                <w:rFonts w:ascii="Times New Roman" w:hAnsi="Times New Roman"/>
                <w:sz w:val="24"/>
              </w:rPr>
              <w:t xml:space="preserve"> a </w:t>
            </w:r>
            <w:r w:rsidRPr="00E07C9A">
              <w:rPr>
                <w:rFonts w:ascii="Times New Roman" w:hAnsi="Times New Roman"/>
                <w:sz w:val="24"/>
              </w:rPr>
              <w:t>článok 47c ods. 3 písm. a), b), c), e)</w:t>
            </w:r>
            <w:r w:rsidR="009912F8" w:rsidRPr="00E07C9A">
              <w:rPr>
                <w:rFonts w:ascii="Times New Roman" w:hAnsi="Times New Roman"/>
                <w:sz w:val="24"/>
              </w:rPr>
              <w:t xml:space="preserve"> a </w:t>
            </w:r>
            <w:r w:rsidRPr="00E07C9A">
              <w:rPr>
                <w:rFonts w:ascii="Times New Roman" w:hAnsi="Times New Roman"/>
                <w:sz w:val="24"/>
              </w:rPr>
              <w:t xml:space="preserve">g) nariadenia (EÚ) </w:t>
            </w:r>
            <w:r w:rsidR="009912F8" w:rsidRPr="00E07C9A">
              <w:rPr>
                <w:rFonts w:ascii="Times New Roman" w:hAnsi="Times New Roman"/>
                <w:sz w:val="24"/>
              </w:rPr>
              <w:t>č. 575/2013</w:t>
            </w:r>
          </w:p>
          <w:p w14:paraId="7722AE19" w14:textId="607B8278" w:rsidR="00DD00B4" w:rsidRPr="00E07C9A" w:rsidRDefault="00DD00B4" w:rsidP="00EA2AFF">
            <w:pPr>
              <w:rPr>
                <w:rFonts w:ascii="Times New Roman" w:hAnsi="Times New Roman"/>
                <w:b/>
                <w:sz w:val="24"/>
                <w:u w:val="single"/>
              </w:rPr>
            </w:pPr>
            <w:r w:rsidRPr="00E07C9A">
              <w:rPr>
                <w:rFonts w:ascii="Times New Roman" w:hAnsi="Times New Roman"/>
                <w:sz w:val="24"/>
              </w:rPr>
              <w:t>Minimálna požiadavka na krytie sa vypočíta vynásobením agregovaných hodnôt expozícií</w:t>
            </w:r>
            <w:r w:rsidR="009912F8" w:rsidRPr="00E07C9A">
              <w:rPr>
                <w:rFonts w:ascii="Times New Roman" w:hAnsi="Times New Roman"/>
                <w:sz w:val="24"/>
              </w:rPr>
              <w:t xml:space="preserve"> v </w:t>
            </w:r>
            <w:r w:rsidRPr="00E07C9A">
              <w:rPr>
                <w:rFonts w:ascii="Times New Roman" w:hAnsi="Times New Roman"/>
                <w:sz w:val="24"/>
              </w:rPr>
              <w:t>riadku 0090 zodpovedajúcim koeficientom</w:t>
            </w:r>
            <w:r w:rsidR="009912F8" w:rsidRPr="00E07C9A">
              <w:rPr>
                <w:rFonts w:ascii="Times New Roman" w:hAnsi="Times New Roman"/>
                <w:sz w:val="24"/>
              </w:rPr>
              <w:t xml:space="preserve"> v </w:t>
            </w:r>
            <w:r w:rsidRPr="00E07C9A">
              <w:rPr>
                <w:rFonts w:ascii="Times New Roman" w:hAnsi="Times New Roman"/>
                <w:sz w:val="24"/>
              </w:rPr>
              <w:t>jednotlivých stĺpcoch.</w:t>
            </w:r>
          </w:p>
        </w:tc>
      </w:tr>
      <w:tr w:rsidR="00DD00B4" w:rsidRPr="00E07C9A" w14:paraId="53DF54D9" w14:textId="77777777" w:rsidTr="00DD00B4">
        <w:tc>
          <w:tcPr>
            <w:tcW w:w="1188" w:type="dxa"/>
            <w:tcBorders>
              <w:top w:val="single" w:sz="4" w:space="0" w:color="auto"/>
              <w:left w:val="single" w:sz="4" w:space="0" w:color="auto"/>
              <w:bottom w:val="single" w:sz="4" w:space="0" w:color="auto"/>
              <w:right w:val="single" w:sz="4" w:space="0" w:color="auto"/>
            </w:tcBorders>
          </w:tcPr>
          <w:p w14:paraId="60972187" w14:textId="77777777" w:rsidR="00DD00B4" w:rsidRPr="00E07C9A" w:rsidRDefault="00DD00B4" w:rsidP="00DD00B4">
            <w:pPr>
              <w:rPr>
                <w:rFonts w:ascii="Times New Roman" w:hAnsi="Times New Roman"/>
                <w:sz w:val="24"/>
              </w:rPr>
            </w:pPr>
            <w:r w:rsidRPr="00E07C9A">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20EE1DA6" w14:textId="77777777" w:rsidR="00DD00B4" w:rsidRPr="00E07C9A" w:rsidRDefault="00DD00B4" w:rsidP="00DD00B4">
            <w:pPr>
              <w:jc w:val="left"/>
              <w:rPr>
                <w:rFonts w:ascii="Times New Roman" w:hAnsi="Times New Roman"/>
                <w:b/>
                <w:sz w:val="24"/>
                <w:u w:val="single"/>
              </w:rPr>
            </w:pPr>
            <w:r w:rsidRPr="00E07C9A">
              <w:rPr>
                <w:rFonts w:ascii="Times New Roman" w:hAnsi="Times New Roman"/>
                <w:b/>
                <w:sz w:val="24"/>
                <w:u w:val="single"/>
              </w:rPr>
              <w:t>Časť problémových expozícií zaručená alebo poistená oficiálnou agentúrou na podporu exportu</w:t>
            </w:r>
          </w:p>
          <w:p w14:paraId="69F42878" w14:textId="75045023" w:rsidR="00DD00B4" w:rsidRPr="00E07C9A" w:rsidRDefault="00A14679" w:rsidP="00DD00B4">
            <w:pPr>
              <w:jc w:val="left"/>
              <w:rPr>
                <w:rFonts w:ascii="Times New Roman" w:hAnsi="Times New Roman"/>
                <w:sz w:val="24"/>
              </w:rPr>
            </w:pPr>
            <w:r w:rsidRPr="00E07C9A">
              <w:rPr>
                <w:rFonts w:ascii="Times New Roman" w:hAnsi="Times New Roman"/>
                <w:sz w:val="24"/>
              </w:rPr>
              <w:t xml:space="preserve">Článok 47c ods. 4 nariadenia (EÚ) </w:t>
            </w:r>
            <w:r w:rsidR="009912F8" w:rsidRPr="00E07C9A">
              <w:rPr>
                <w:rFonts w:ascii="Times New Roman" w:hAnsi="Times New Roman"/>
                <w:sz w:val="24"/>
              </w:rPr>
              <w:t>č. 575/2013</w:t>
            </w:r>
          </w:p>
          <w:p w14:paraId="56C16227" w14:textId="122D046C" w:rsidR="00DD00B4" w:rsidRPr="00E07C9A" w:rsidRDefault="00DD00B4" w:rsidP="00EA2AFF">
            <w:pPr>
              <w:jc w:val="left"/>
              <w:rPr>
                <w:rFonts w:ascii="Times New Roman" w:hAnsi="Times New Roman"/>
                <w:b/>
                <w:sz w:val="24"/>
                <w:u w:val="single"/>
              </w:rPr>
            </w:pPr>
            <w:r w:rsidRPr="00E07C9A">
              <w:rPr>
                <w:rFonts w:ascii="Times New Roman" w:hAnsi="Times New Roman"/>
                <w:sz w:val="24"/>
              </w:rPr>
              <w:t>Minimálna požiadavka na krytie sa vypočíta vynásobením agregovaných hodnôt expozícií</w:t>
            </w:r>
            <w:r w:rsidR="009912F8" w:rsidRPr="00E07C9A">
              <w:rPr>
                <w:rFonts w:ascii="Times New Roman" w:hAnsi="Times New Roman"/>
                <w:sz w:val="24"/>
              </w:rPr>
              <w:t xml:space="preserve"> v </w:t>
            </w:r>
            <w:r w:rsidRPr="00E07C9A">
              <w:rPr>
                <w:rFonts w:ascii="Times New Roman" w:hAnsi="Times New Roman"/>
                <w:sz w:val="24"/>
              </w:rPr>
              <w:t>riadku 0100 zodpovedajúcim koeficientom</w:t>
            </w:r>
            <w:r w:rsidR="009912F8" w:rsidRPr="00E07C9A">
              <w:rPr>
                <w:rFonts w:ascii="Times New Roman" w:hAnsi="Times New Roman"/>
                <w:sz w:val="24"/>
              </w:rPr>
              <w:t xml:space="preserve"> v </w:t>
            </w:r>
            <w:r w:rsidRPr="00E07C9A">
              <w:rPr>
                <w:rFonts w:ascii="Times New Roman" w:hAnsi="Times New Roman"/>
                <w:sz w:val="24"/>
              </w:rPr>
              <w:t>jednotlivých stĺpcoch.</w:t>
            </w:r>
          </w:p>
        </w:tc>
      </w:tr>
      <w:tr w:rsidR="00DD00B4" w:rsidRPr="00E07C9A" w14:paraId="0965A1D2" w14:textId="77777777" w:rsidTr="00DD00B4">
        <w:tc>
          <w:tcPr>
            <w:tcW w:w="1188" w:type="dxa"/>
            <w:tcBorders>
              <w:top w:val="single" w:sz="4" w:space="0" w:color="auto"/>
              <w:left w:val="single" w:sz="4" w:space="0" w:color="auto"/>
              <w:bottom w:val="single" w:sz="4" w:space="0" w:color="auto"/>
              <w:right w:val="single" w:sz="4" w:space="0" w:color="auto"/>
            </w:tcBorders>
          </w:tcPr>
          <w:p w14:paraId="39C6EB23" w14:textId="77777777" w:rsidR="00DD00B4" w:rsidRPr="00E07C9A" w:rsidRDefault="00DD00B4" w:rsidP="00DD00B4">
            <w:pPr>
              <w:rPr>
                <w:rFonts w:ascii="Times New Roman" w:hAnsi="Times New Roman"/>
                <w:sz w:val="24"/>
              </w:rPr>
            </w:pPr>
            <w:r w:rsidRPr="00E07C9A">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1F37838B" w14:textId="77777777" w:rsidR="00DD00B4" w:rsidRPr="00E07C9A" w:rsidRDefault="00DD00B4" w:rsidP="00DD00B4">
            <w:pPr>
              <w:rPr>
                <w:rFonts w:ascii="Times New Roman" w:hAnsi="Times New Roman"/>
                <w:b/>
                <w:sz w:val="24"/>
                <w:u w:val="single"/>
              </w:rPr>
            </w:pPr>
            <w:r w:rsidRPr="00E07C9A">
              <w:rPr>
                <w:rFonts w:ascii="Times New Roman" w:hAnsi="Times New Roman"/>
                <w:b/>
                <w:sz w:val="24"/>
                <w:u w:val="single"/>
              </w:rPr>
              <w:t>Hodnota expozície</w:t>
            </w:r>
          </w:p>
          <w:p w14:paraId="2FBE3F91" w14:textId="64E1E5D7" w:rsidR="00DD00B4" w:rsidRPr="00E07C9A" w:rsidRDefault="00A14679" w:rsidP="00DD00B4">
            <w:pPr>
              <w:jc w:val="left"/>
              <w:rPr>
                <w:rFonts w:ascii="Times New Roman" w:hAnsi="Times New Roman"/>
                <w:sz w:val="24"/>
              </w:rPr>
            </w:pPr>
            <w:r w:rsidRPr="00E07C9A">
              <w:rPr>
                <w:rFonts w:ascii="Times New Roman" w:hAnsi="Times New Roman"/>
                <w:sz w:val="24"/>
              </w:rPr>
              <w:t xml:space="preserve">Článok 47a ods. 2 nariadenia (EÚ) </w:t>
            </w:r>
            <w:r w:rsidR="009912F8" w:rsidRPr="00E07C9A">
              <w:rPr>
                <w:rFonts w:ascii="Times New Roman" w:hAnsi="Times New Roman"/>
                <w:sz w:val="24"/>
              </w:rPr>
              <w:t>č. 575/2013</w:t>
            </w:r>
          </w:p>
          <w:p w14:paraId="30996FE0" w14:textId="36E48713" w:rsidR="00DD00B4" w:rsidRPr="00E07C9A" w:rsidRDefault="00DD00B4" w:rsidP="00DD00B4">
            <w:pPr>
              <w:jc w:val="left"/>
              <w:rPr>
                <w:rFonts w:ascii="Times New Roman" w:hAnsi="Times New Roman"/>
                <w:b/>
                <w:sz w:val="24"/>
                <w:u w:val="single"/>
              </w:rPr>
            </w:pPr>
            <w:r w:rsidRPr="00E07C9A">
              <w:rPr>
                <w:rFonts w:ascii="Times New Roman" w:hAnsi="Times New Roman"/>
                <w:sz w:val="24"/>
              </w:rPr>
              <w:t>Na účel výpočtu riadku 0060 inštitúcie spočítajú hodnoty expozícií vykázané pre nezabezpečenú časť problémových expozícií (riadok 0070), časť problémových expozícií zabezpečenú nehnuteľným majetkom alebo úverom na nehnuteľný majetok určený na bývanie zaručeným oprávneným poskytovateľom zabezpečenia (riadok 0080), časť problémových expozícií zabezpečenú iným financovaným alebo nefinancovaným kreditným zabezpečením (riadok 0090)</w:t>
            </w:r>
            <w:r w:rsidR="009912F8" w:rsidRPr="00E07C9A">
              <w:rPr>
                <w:rFonts w:ascii="Times New Roman" w:hAnsi="Times New Roman"/>
                <w:sz w:val="24"/>
              </w:rPr>
              <w:t xml:space="preserve"> a </w:t>
            </w:r>
            <w:r w:rsidRPr="00E07C9A">
              <w:rPr>
                <w:rFonts w:ascii="Times New Roman" w:hAnsi="Times New Roman"/>
                <w:sz w:val="24"/>
              </w:rPr>
              <w:t>časť problémových expozícií zaručenú alebo poistenú oficiálnou agentúrou na podporu exportu (riadok 0100).</w:t>
            </w:r>
          </w:p>
        </w:tc>
      </w:tr>
      <w:tr w:rsidR="00DD00B4" w:rsidRPr="00E07C9A" w14:paraId="593A6461" w14:textId="77777777" w:rsidTr="00DD00B4">
        <w:trPr>
          <w:trHeight w:val="800"/>
        </w:trPr>
        <w:tc>
          <w:tcPr>
            <w:tcW w:w="1188" w:type="dxa"/>
            <w:tcBorders>
              <w:top w:val="single" w:sz="4" w:space="0" w:color="auto"/>
              <w:left w:val="single" w:sz="4" w:space="0" w:color="auto"/>
              <w:bottom w:val="single" w:sz="4" w:space="0" w:color="auto"/>
              <w:right w:val="single" w:sz="4" w:space="0" w:color="auto"/>
            </w:tcBorders>
          </w:tcPr>
          <w:p w14:paraId="1AFDA6AB" w14:textId="77777777" w:rsidR="00DD00B4" w:rsidRPr="00E07C9A" w:rsidRDefault="00DD00B4" w:rsidP="00DD00B4">
            <w:pPr>
              <w:rPr>
                <w:rFonts w:ascii="Times New Roman" w:hAnsi="Times New Roman"/>
                <w:sz w:val="24"/>
              </w:rPr>
            </w:pPr>
            <w:r w:rsidRPr="00E07C9A">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0FEFBC80" w14:textId="77777777" w:rsidR="00DD00B4" w:rsidRPr="00E07C9A" w:rsidRDefault="00DD00B4" w:rsidP="00DD00B4">
            <w:pPr>
              <w:rPr>
                <w:rFonts w:ascii="Times New Roman" w:hAnsi="Times New Roman"/>
                <w:b/>
                <w:sz w:val="24"/>
                <w:u w:val="single"/>
              </w:rPr>
            </w:pPr>
            <w:r w:rsidRPr="00E07C9A">
              <w:rPr>
                <w:rFonts w:ascii="Times New Roman" w:hAnsi="Times New Roman"/>
                <w:b/>
                <w:sz w:val="24"/>
                <w:u w:val="single"/>
              </w:rPr>
              <w:t>Nezabezpečená časť problémových expozícií</w:t>
            </w:r>
          </w:p>
          <w:p w14:paraId="7B1F2DD3" w14:textId="05DC7D8A" w:rsidR="00DD00B4" w:rsidRPr="00E07C9A" w:rsidRDefault="009D30AF" w:rsidP="00DD00B4">
            <w:pPr>
              <w:jc w:val="left"/>
              <w:rPr>
                <w:rFonts w:ascii="Times New Roman" w:hAnsi="Times New Roman"/>
                <w:sz w:val="24"/>
              </w:rPr>
            </w:pPr>
            <w:r w:rsidRPr="00E07C9A">
              <w:rPr>
                <w:rFonts w:ascii="Times New Roman" w:hAnsi="Times New Roman"/>
                <w:sz w:val="24"/>
              </w:rPr>
              <w:t xml:space="preserve">Článok 47a ods. 2, článok 47c ods. 1, článok 47c ods. 2 nariadenia (EÚ) </w:t>
            </w:r>
            <w:r w:rsidR="009912F8" w:rsidRPr="00E07C9A">
              <w:rPr>
                <w:rFonts w:ascii="Times New Roman" w:hAnsi="Times New Roman"/>
                <w:sz w:val="24"/>
              </w:rPr>
              <w:t>č. 575/2013</w:t>
            </w:r>
          </w:p>
          <w:p w14:paraId="762DE1BF" w14:textId="3D362201" w:rsidR="00DD00B4" w:rsidRPr="00E07C9A" w:rsidRDefault="00EA2AFF" w:rsidP="00EA2AFF">
            <w:pPr>
              <w:jc w:val="left"/>
              <w:rPr>
                <w:rFonts w:ascii="Times New Roman" w:hAnsi="Times New Roman"/>
                <w:sz w:val="24"/>
              </w:rPr>
            </w:pPr>
            <w:r w:rsidRPr="00E07C9A">
              <w:rPr>
                <w:rFonts w:ascii="Times New Roman" w:hAnsi="Times New Roman"/>
                <w:sz w:val="24"/>
              </w:rPr>
              <w:t>Inštitúcie vykazujú celkovú hodnotu expozície nezabezpečenej časti problémových expozícií</w:t>
            </w:r>
            <w:r w:rsidR="009912F8" w:rsidRPr="00E07C9A">
              <w:rPr>
                <w:rFonts w:ascii="Times New Roman" w:hAnsi="Times New Roman"/>
                <w:sz w:val="24"/>
              </w:rPr>
              <w:t xml:space="preserve"> v </w:t>
            </w:r>
            <w:r w:rsidRPr="00E07C9A">
              <w:rPr>
                <w:rFonts w:ascii="Times New Roman" w:hAnsi="Times New Roman"/>
                <w:sz w:val="24"/>
              </w:rPr>
              <w:t>rozčlenení podľa času, ktorý uplynul odvtedy, ako boli expozície klasifikované ako problémové.</w:t>
            </w:r>
          </w:p>
        </w:tc>
      </w:tr>
      <w:tr w:rsidR="00DD00B4" w:rsidRPr="00E07C9A" w14:paraId="0A309671" w14:textId="77777777" w:rsidTr="00DD00B4">
        <w:tc>
          <w:tcPr>
            <w:tcW w:w="1188" w:type="dxa"/>
            <w:tcBorders>
              <w:top w:val="single" w:sz="4" w:space="0" w:color="auto"/>
              <w:left w:val="single" w:sz="4" w:space="0" w:color="auto"/>
              <w:bottom w:val="single" w:sz="4" w:space="0" w:color="auto"/>
              <w:right w:val="single" w:sz="4" w:space="0" w:color="auto"/>
            </w:tcBorders>
          </w:tcPr>
          <w:p w14:paraId="3029D127" w14:textId="77777777" w:rsidR="00DD00B4" w:rsidRPr="00E07C9A" w:rsidRDefault="00DD00B4" w:rsidP="00DD00B4">
            <w:pPr>
              <w:rPr>
                <w:rFonts w:ascii="Times New Roman" w:hAnsi="Times New Roman"/>
                <w:sz w:val="24"/>
              </w:rPr>
            </w:pPr>
            <w:r w:rsidRPr="00E07C9A">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4F499EEE" w14:textId="77777777" w:rsidR="00DD00B4" w:rsidRPr="00E07C9A" w:rsidRDefault="00DD00B4" w:rsidP="00DD00B4">
            <w:pPr>
              <w:rPr>
                <w:rFonts w:ascii="Times New Roman" w:hAnsi="Times New Roman"/>
                <w:b/>
                <w:sz w:val="24"/>
                <w:u w:val="single"/>
              </w:rPr>
            </w:pPr>
            <w:r w:rsidRPr="00E07C9A">
              <w:rPr>
                <w:rFonts w:ascii="Times New Roman" w:hAnsi="Times New Roman"/>
                <w:b/>
                <w:sz w:val="24"/>
                <w:u w:val="single"/>
              </w:rPr>
              <w:t>Časť problémových expozícií zabezpečená nehnuteľným majetkom alebo úverom na nehnuteľný majetok určený na bývanie zaručeným oprávneným poskytovateľom zabezpečenia</w:t>
            </w:r>
          </w:p>
          <w:p w14:paraId="56630187" w14:textId="1275D8CD" w:rsidR="00DD00B4" w:rsidRPr="00E07C9A" w:rsidRDefault="00DD00B4" w:rsidP="00DD00B4">
            <w:pPr>
              <w:rPr>
                <w:rFonts w:ascii="Times New Roman" w:hAnsi="Times New Roman"/>
                <w:sz w:val="24"/>
              </w:rPr>
            </w:pPr>
            <w:r w:rsidRPr="00E07C9A">
              <w:rPr>
                <w:rFonts w:ascii="Times New Roman" w:hAnsi="Times New Roman"/>
                <w:sz w:val="24"/>
              </w:rPr>
              <w:t>Článok 47a ods. 2, článok 47c ods. 1</w:t>
            </w:r>
            <w:r w:rsidR="009912F8" w:rsidRPr="00E07C9A">
              <w:rPr>
                <w:rFonts w:ascii="Times New Roman" w:hAnsi="Times New Roman"/>
                <w:sz w:val="24"/>
              </w:rPr>
              <w:t xml:space="preserve"> a </w:t>
            </w:r>
            <w:r w:rsidRPr="00E07C9A">
              <w:rPr>
                <w:rFonts w:ascii="Times New Roman" w:hAnsi="Times New Roman"/>
                <w:sz w:val="24"/>
              </w:rPr>
              <w:t>článok 47c ods. 3 písm. a), b), c), d), f), h)</w:t>
            </w:r>
            <w:r w:rsidR="009912F8" w:rsidRPr="00E07C9A">
              <w:rPr>
                <w:rFonts w:ascii="Times New Roman" w:hAnsi="Times New Roman"/>
                <w:sz w:val="24"/>
              </w:rPr>
              <w:t xml:space="preserve"> a </w:t>
            </w:r>
            <w:r w:rsidRPr="00E07C9A">
              <w:rPr>
                <w:rFonts w:ascii="Times New Roman" w:hAnsi="Times New Roman"/>
                <w:sz w:val="24"/>
              </w:rPr>
              <w:t xml:space="preserve">i) nariadenia (EÚ) </w:t>
            </w:r>
            <w:r w:rsidR="009912F8" w:rsidRPr="00E07C9A">
              <w:rPr>
                <w:rFonts w:ascii="Times New Roman" w:hAnsi="Times New Roman"/>
                <w:sz w:val="24"/>
              </w:rPr>
              <w:t>č. 575/2013</w:t>
            </w:r>
          </w:p>
          <w:p w14:paraId="2F3E758E" w14:textId="1378ABB6" w:rsidR="00DD00B4" w:rsidRPr="00E07C9A" w:rsidRDefault="00441F78" w:rsidP="00E67B4A">
            <w:pPr>
              <w:rPr>
                <w:rFonts w:ascii="Times New Roman" w:hAnsi="Times New Roman"/>
                <w:b/>
                <w:sz w:val="24"/>
                <w:u w:val="single"/>
              </w:rPr>
            </w:pPr>
            <w:r w:rsidRPr="00E07C9A">
              <w:rPr>
                <w:rFonts w:ascii="Times New Roman" w:hAnsi="Times New Roman"/>
                <w:sz w:val="24"/>
              </w:rPr>
              <w:t xml:space="preserve">Inštitúcie vykazujú celkovú hodnotu expozície častí problémových expozícií, ktoré sú zabezpečené nehnuteľným majetkom podľa tretej časti hlavy II nariadenia (EÚ) </w:t>
            </w:r>
            <w:r w:rsidR="009912F8" w:rsidRPr="00E07C9A">
              <w:rPr>
                <w:rFonts w:ascii="Times New Roman" w:hAnsi="Times New Roman"/>
                <w:sz w:val="24"/>
              </w:rPr>
              <w:t>č. 575/2013</w:t>
            </w:r>
            <w:r w:rsidRPr="00E07C9A">
              <w:rPr>
                <w:rFonts w:ascii="Times New Roman" w:hAnsi="Times New Roman"/>
                <w:sz w:val="24"/>
              </w:rPr>
              <w:t xml:space="preserve"> alebo ktoré sú úverom na nehnuteľný majetok určený na bývanie zaručeným oprávneným poskytovateľom zabezpečenia, ako sa uvádza</w:t>
            </w:r>
            <w:r w:rsidR="009912F8" w:rsidRPr="00E07C9A">
              <w:rPr>
                <w:rFonts w:ascii="Times New Roman" w:hAnsi="Times New Roman"/>
                <w:sz w:val="24"/>
              </w:rPr>
              <w:t xml:space="preserve"> v </w:t>
            </w:r>
            <w:r w:rsidRPr="00E07C9A">
              <w:rPr>
                <w:rFonts w:ascii="Times New Roman" w:hAnsi="Times New Roman"/>
                <w:sz w:val="24"/>
              </w:rPr>
              <w:t>článku 201 uvedeného nariadenia.</w:t>
            </w:r>
          </w:p>
        </w:tc>
      </w:tr>
      <w:tr w:rsidR="00DD00B4" w:rsidRPr="00E07C9A" w14:paraId="56D68EF5" w14:textId="77777777" w:rsidTr="00DD00B4">
        <w:tc>
          <w:tcPr>
            <w:tcW w:w="1188" w:type="dxa"/>
            <w:tcBorders>
              <w:top w:val="single" w:sz="4" w:space="0" w:color="auto"/>
              <w:left w:val="single" w:sz="4" w:space="0" w:color="auto"/>
              <w:bottom w:val="single" w:sz="4" w:space="0" w:color="auto"/>
              <w:right w:val="single" w:sz="4" w:space="0" w:color="auto"/>
            </w:tcBorders>
          </w:tcPr>
          <w:p w14:paraId="050815F7" w14:textId="77777777" w:rsidR="00DD00B4" w:rsidRPr="00E07C9A" w:rsidRDefault="00DD00B4" w:rsidP="00DD00B4">
            <w:pPr>
              <w:rPr>
                <w:rFonts w:ascii="Times New Roman" w:hAnsi="Times New Roman"/>
                <w:sz w:val="24"/>
              </w:rPr>
            </w:pPr>
            <w:r w:rsidRPr="00E07C9A">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223F5EF4" w14:textId="77777777" w:rsidR="00DD00B4" w:rsidRPr="00E07C9A" w:rsidRDefault="00DD00B4" w:rsidP="00DD00B4">
            <w:pPr>
              <w:jc w:val="left"/>
              <w:rPr>
                <w:rFonts w:ascii="Times New Roman" w:hAnsi="Times New Roman"/>
                <w:b/>
                <w:sz w:val="24"/>
                <w:u w:val="single"/>
              </w:rPr>
            </w:pPr>
            <w:r w:rsidRPr="00E07C9A">
              <w:rPr>
                <w:rFonts w:ascii="Times New Roman" w:hAnsi="Times New Roman"/>
                <w:b/>
                <w:sz w:val="24"/>
                <w:u w:val="single"/>
              </w:rPr>
              <w:t>Časť problémových expozícií zabezpečená iným financovaným alebo nefinancovaným kreditným zabezpečením</w:t>
            </w:r>
          </w:p>
          <w:p w14:paraId="46786F2F" w14:textId="5C7412B3" w:rsidR="009912F8" w:rsidRPr="00E07C9A" w:rsidRDefault="00C259E2" w:rsidP="00DD00B4">
            <w:pPr>
              <w:jc w:val="left"/>
              <w:rPr>
                <w:rFonts w:ascii="Times New Roman" w:hAnsi="Times New Roman"/>
                <w:sz w:val="24"/>
              </w:rPr>
            </w:pPr>
            <w:r w:rsidRPr="00E07C9A">
              <w:rPr>
                <w:rFonts w:ascii="Times New Roman" w:hAnsi="Times New Roman"/>
                <w:sz w:val="24"/>
              </w:rPr>
              <w:t>Článok 47a ods. 2, článok 47c ods. 1</w:t>
            </w:r>
            <w:r w:rsidR="009912F8" w:rsidRPr="00E07C9A">
              <w:rPr>
                <w:rFonts w:ascii="Times New Roman" w:hAnsi="Times New Roman"/>
                <w:sz w:val="24"/>
              </w:rPr>
              <w:t xml:space="preserve"> a </w:t>
            </w:r>
            <w:r w:rsidRPr="00E07C9A">
              <w:rPr>
                <w:rFonts w:ascii="Times New Roman" w:hAnsi="Times New Roman"/>
                <w:sz w:val="24"/>
              </w:rPr>
              <w:t>článok 47c ods. 3 písm. a), b), c), e)</w:t>
            </w:r>
            <w:r w:rsidR="009912F8" w:rsidRPr="00E07C9A">
              <w:rPr>
                <w:rFonts w:ascii="Times New Roman" w:hAnsi="Times New Roman"/>
                <w:sz w:val="24"/>
              </w:rPr>
              <w:t xml:space="preserve"> a </w:t>
            </w:r>
            <w:r w:rsidRPr="00E07C9A">
              <w:rPr>
                <w:rFonts w:ascii="Times New Roman" w:hAnsi="Times New Roman"/>
                <w:sz w:val="24"/>
              </w:rPr>
              <w:t xml:space="preserve">g) nariadenia (EÚ) </w:t>
            </w:r>
            <w:r w:rsidR="009912F8" w:rsidRPr="00E07C9A">
              <w:rPr>
                <w:rFonts w:ascii="Times New Roman" w:hAnsi="Times New Roman"/>
                <w:sz w:val="24"/>
              </w:rPr>
              <w:t>č. 575/2013</w:t>
            </w:r>
          </w:p>
          <w:p w14:paraId="1AFC29A6" w14:textId="156013BC" w:rsidR="00DD00B4" w:rsidRPr="00E07C9A" w:rsidRDefault="00441F78" w:rsidP="00E67B4A">
            <w:pPr>
              <w:jc w:val="left"/>
              <w:rPr>
                <w:rFonts w:ascii="Times New Roman" w:hAnsi="Times New Roman"/>
                <w:sz w:val="24"/>
              </w:rPr>
            </w:pPr>
            <w:r w:rsidRPr="00E07C9A">
              <w:rPr>
                <w:rFonts w:ascii="Times New Roman" w:hAnsi="Times New Roman"/>
                <w:sz w:val="24"/>
              </w:rPr>
              <w:t xml:space="preserve">Inštitúcie vykazujú celkovú hodnotu expozície častí problémových expozícií, ktoré sú zabezpečené iným financovaným alebo nefinancovaným kreditným zabezpečením podľa tretej časti hlavy II nariadenia (EÚ) </w:t>
            </w:r>
            <w:r w:rsidR="009912F8" w:rsidRPr="00E07C9A">
              <w:rPr>
                <w:rFonts w:ascii="Times New Roman" w:hAnsi="Times New Roman"/>
                <w:sz w:val="24"/>
              </w:rPr>
              <w:t>č. 575/2013</w:t>
            </w:r>
            <w:r w:rsidRPr="00E07C9A">
              <w:rPr>
                <w:rFonts w:ascii="Times New Roman" w:hAnsi="Times New Roman"/>
                <w:sz w:val="24"/>
              </w:rPr>
              <w:t>.</w:t>
            </w:r>
          </w:p>
        </w:tc>
      </w:tr>
      <w:tr w:rsidR="00DD00B4" w:rsidRPr="00E07C9A" w14:paraId="5AF1E9A3" w14:textId="77777777" w:rsidTr="00DD00B4">
        <w:tc>
          <w:tcPr>
            <w:tcW w:w="1188" w:type="dxa"/>
            <w:tcBorders>
              <w:top w:val="single" w:sz="4" w:space="0" w:color="auto"/>
              <w:left w:val="single" w:sz="4" w:space="0" w:color="auto"/>
              <w:bottom w:val="single" w:sz="4" w:space="0" w:color="auto"/>
              <w:right w:val="single" w:sz="4" w:space="0" w:color="auto"/>
            </w:tcBorders>
          </w:tcPr>
          <w:p w14:paraId="00373C0D" w14:textId="77777777" w:rsidR="00DD00B4" w:rsidRPr="00E07C9A" w:rsidRDefault="00DD00B4" w:rsidP="00DD00B4">
            <w:pPr>
              <w:rPr>
                <w:rFonts w:ascii="Times New Roman" w:hAnsi="Times New Roman"/>
                <w:sz w:val="24"/>
              </w:rPr>
            </w:pPr>
            <w:r w:rsidRPr="00E07C9A">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6207798A" w14:textId="77777777" w:rsidR="00DD00B4" w:rsidRPr="00E07C9A" w:rsidRDefault="00DD00B4" w:rsidP="00DD00B4">
            <w:pPr>
              <w:jc w:val="left"/>
              <w:rPr>
                <w:rFonts w:ascii="Times New Roman" w:hAnsi="Times New Roman"/>
                <w:b/>
                <w:sz w:val="24"/>
                <w:u w:val="single"/>
              </w:rPr>
            </w:pPr>
            <w:r w:rsidRPr="00E07C9A">
              <w:rPr>
                <w:rFonts w:ascii="Times New Roman" w:hAnsi="Times New Roman"/>
                <w:b/>
                <w:sz w:val="24"/>
                <w:u w:val="single"/>
              </w:rPr>
              <w:t>Časť problémových expozícií zaručená alebo poistená oficiálnou agentúrou na podporu exportu</w:t>
            </w:r>
          </w:p>
          <w:p w14:paraId="53CE9387" w14:textId="6D2070C6" w:rsidR="00DD00B4" w:rsidRPr="00E07C9A" w:rsidRDefault="00BD5F43" w:rsidP="00DD00B4">
            <w:pPr>
              <w:jc w:val="left"/>
              <w:rPr>
                <w:rFonts w:ascii="Times New Roman" w:hAnsi="Times New Roman"/>
                <w:sz w:val="24"/>
              </w:rPr>
            </w:pPr>
            <w:r w:rsidRPr="00E07C9A">
              <w:rPr>
                <w:rFonts w:ascii="Times New Roman" w:hAnsi="Times New Roman"/>
                <w:sz w:val="24"/>
              </w:rPr>
              <w:t>Článok 47a ods. 2</w:t>
            </w:r>
            <w:r w:rsidR="009912F8" w:rsidRPr="00E07C9A">
              <w:rPr>
                <w:rFonts w:ascii="Times New Roman" w:hAnsi="Times New Roman"/>
                <w:sz w:val="24"/>
              </w:rPr>
              <w:t xml:space="preserve"> a </w:t>
            </w:r>
            <w:r w:rsidRPr="00E07C9A">
              <w:rPr>
                <w:rFonts w:ascii="Times New Roman" w:hAnsi="Times New Roman"/>
                <w:sz w:val="24"/>
              </w:rPr>
              <w:t xml:space="preserve">článok 47c ods. 4 nariadenia (EÚ) </w:t>
            </w:r>
            <w:r w:rsidR="009912F8" w:rsidRPr="00E07C9A">
              <w:rPr>
                <w:rFonts w:ascii="Times New Roman" w:hAnsi="Times New Roman"/>
                <w:sz w:val="24"/>
              </w:rPr>
              <w:t>č. 575/2013</w:t>
            </w:r>
          </w:p>
          <w:p w14:paraId="36FE7597" w14:textId="7C26456E" w:rsidR="00DD00B4" w:rsidRPr="00E07C9A" w:rsidRDefault="00441F78" w:rsidP="00441F78">
            <w:pPr>
              <w:jc w:val="left"/>
              <w:rPr>
                <w:rFonts w:ascii="Times New Roman" w:hAnsi="Times New Roman"/>
                <w:b/>
                <w:sz w:val="24"/>
                <w:u w:val="single"/>
              </w:rPr>
            </w:pPr>
            <w:r w:rsidRPr="00E07C9A">
              <w:rPr>
                <w:rFonts w:ascii="Times New Roman" w:hAnsi="Times New Roman"/>
                <w:sz w:val="24"/>
              </w:rPr>
              <w:t>Inštitúcie vykazujú celkovú hodnotu expozície častí problémových expozícií, ktoré sú zaručené alebo poistené oficiálnou agentúrou na podporu exportu alebo ktoré sú zaručené alebo dodatočne zaručené iným oprávneným poskytovateľom zabezpečenia, ako sa uvádza</w:t>
            </w:r>
            <w:r w:rsidR="009912F8" w:rsidRPr="00E07C9A">
              <w:rPr>
                <w:rFonts w:ascii="Times New Roman" w:hAnsi="Times New Roman"/>
                <w:sz w:val="24"/>
              </w:rPr>
              <w:t xml:space="preserve"> v </w:t>
            </w:r>
            <w:r w:rsidRPr="00E07C9A">
              <w:rPr>
                <w:rFonts w:ascii="Times New Roman" w:hAnsi="Times New Roman"/>
                <w:sz w:val="24"/>
              </w:rPr>
              <w:t xml:space="preserve">článku 47c ods. 4 nariadenia (EÚ) </w:t>
            </w:r>
            <w:r w:rsidR="009912F8" w:rsidRPr="00E07C9A">
              <w:rPr>
                <w:rFonts w:ascii="Times New Roman" w:hAnsi="Times New Roman"/>
                <w:sz w:val="24"/>
              </w:rPr>
              <w:t>č. 575/2013</w:t>
            </w:r>
            <w:r w:rsidRPr="00E07C9A">
              <w:rPr>
                <w:rFonts w:ascii="Times New Roman" w:hAnsi="Times New Roman"/>
                <w:sz w:val="24"/>
              </w:rPr>
              <w:t>.</w:t>
            </w:r>
          </w:p>
        </w:tc>
      </w:tr>
    </w:tbl>
    <w:p w14:paraId="0D9CEC82" w14:textId="77777777" w:rsidR="00DD00B4" w:rsidRPr="00E07C9A" w:rsidRDefault="00DD00B4" w:rsidP="00DD00B4">
      <w:pPr>
        <w:spacing w:before="0" w:after="160" w:line="259" w:lineRule="auto"/>
        <w:jc w:val="left"/>
        <w:rPr>
          <w:rFonts w:ascii="Times New Roman" w:hAnsi="Times New Roman"/>
          <w:sz w:val="24"/>
        </w:rPr>
      </w:pPr>
    </w:p>
    <w:p w14:paraId="5829E5FB" w14:textId="755FAB32" w:rsidR="00DD00B4" w:rsidRPr="00E07C9A" w:rsidRDefault="00DD00B4" w:rsidP="005C4397">
      <w:pPr>
        <w:pStyle w:val="Instructionsberschrift2"/>
        <w:numPr>
          <w:ilvl w:val="1"/>
          <w:numId w:val="29"/>
        </w:numPr>
        <w:rPr>
          <w:rFonts w:ascii="Times New Roman" w:hAnsi="Times New Roman" w:cs="Times New Roman"/>
          <w:sz w:val="24"/>
        </w:rPr>
      </w:pPr>
      <w:bookmarkStart w:id="793" w:name="_Toc19715893"/>
      <w:bookmarkStart w:id="794" w:name="_Toc115857922"/>
      <w:r w:rsidRPr="00E07C9A">
        <w:rPr>
          <w:rFonts w:ascii="Times New Roman" w:hAnsi="Times New Roman" w:cs="Times New Roman"/>
          <w:sz w:val="24"/>
        </w:rPr>
        <w:t>C 35.03 – MINIMÁLNE POŽIADAVKY NA KRYTIE A HODNOTY EXPOZÍCIÍ PRI PROBLÉMOVÝCH EXPOZÍCIÁCH</w:t>
      </w:r>
      <w:r w:rsidR="009912F8" w:rsidRPr="00E07C9A">
        <w:rPr>
          <w:rFonts w:ascii="Times New Roman" w:hAnsi="Times New Roman" w:cs="Times New Roman"/>
          <w:sz w:val="24"/>
        </w:rPr>
        <w:t xml:space="preserve"> S </w:t>
      </w:r>
      <w:r w:rsidRPr="00E07C9A">
        <w:rPr>
          <w:rFonts w:ascii="Times New Roman" w:hAnsi="Times New Roman" w:cs="Times New Roman"/>
          <w:sz w:val="24"/>
        </w:rPr>
        <w:t>ÚĽAVOU, NA KTORÉ SA VZŤAHUJE ČLÁNOK 47C ODS. 6 NARIADENIA (EÚ) Č. 575/2013 (NPE LC3)</w:t>
      </w:r>
      <w:bookmarkStart w:id="795" w:name="_Toc19715894"/>
      <w:bookmarkEnd w:id="793"/>
      <w:bookmarkEnd w:id="794"/>
      <w:bookmarkEnd w:id="795"/>
    </w:p>
    <w:p w14:paraId="5A68B535" w14:textId="77777777" w:rsidR="00DD00B4" w:rsidRPr="00E07C9A" w:rsidRDefault="00DD00B4" w:rsidP="005C4397">
      <w:pPr>
        <w:pStyle w:val="Instructionsberschrift2"/>
        <w:numPr>
          <w:ilvl w:val="2"/>
          <w:numId w:val="29"/>
        </w:numPr>
        <w:rPr>
          <w:rFonts w:ascii="Times New Roman" w:hAnsi="Times New Roman" w:cs="Times New Roman"/>
          <w:sz w:val="24"/>
        </w:rPr>
      </w:pPr>
      <w:bookmarkStart w:id="796" w:name="_Toc19715895"/>
      <w:bookmarkStart w:id="797" w:name="_Toc115857923"/>
      <w:r w:rsidRPr="00E07C9A">
        <w:rPr>
          <w:rFonts w:ascii="Times New Roman" w:hAnsi="Times New Roman" w:cs="Times New Roman"/>
          <w:sz w:val="24"/>
        </w:rPr>
        <w:t>Pokyny týkajúce sa konkrétnych pozícií</w:t>
      </w:r>
      <w:bookmarkEnd w:id="796"/>
      <w:bookmarkEnd w:id="797"/>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E07C9A" w14:paraId="66E6577A"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7DFCA916" w14:textId="77777777" w:rsidR="00DD00B4" w:rsidRPr="00E07C9A" w:rsidRDefault="00DD00B4" w:rsidP="00DD00B4">
            <w:pPr>
              <w:rPr>
                <w:rFonts w:ascii="Times New Roman" w:hAnsi="Times New Roman"/>
                <w:sz w:val="24"/>
              </w:rPr>
            </w:pPr>
            <w:r w:rsidRPr="00E07C9A">
              <w:rPr>
                <w:rFonts w:ascii="Times New Roman" w:hAnsi="Times New Roman"/>
                <w:sz w:val="24"/>
              </w:rPr>
              <w:t>Stĺpce</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60EFB457" w14:textId="77777777" w:rsidR="00DD00B4" w:rsidRPr="00E07C9A" w:rsidRDefault="00DD00B4" w:rsidP="00DD00B4">
            <w:pPr>
              <w:rPr>
                <w:rFonts w:ascii="Times New Roman" w:hAnsi="Times New Roman"/>
                <w:sz w:val="24"/>
              </w:rPr>
            </w:pPr>
            <w:r w:rsidRPr="00E07C9A">
              <w:rPr>
                <w:rFonts w:ascii="Times New Roman" w:hAnsi="Times New Roman"/>
                <w:sz w:val="24"/>
              </w:rPr>
              <w:t>Pokyny</w:t>
            </w:r>
          </w:p>
        </w:tc>
      </w:tr>
      <w:tr w:rsidR="00DD00B4" w:rsidRPr="00E07C9A" w14:paraId="43FBBF86"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2DB6D669" w14:textId="77777777" w:rsidR="00DD00B4" w:rsidRPr="00E07C9A" w:rsidRDefault="00DD00B4" w:rsidP="00DD00B4">
            <w:pPr>
              <w:rPr>
                <w:rFonts w:ascii="Times New Roman" w:hAnsi="Times New Roman"/>
                <w:sz w:val="24"/>
              </w:rPr>
            </w:pPr>
            <w:r w:rsidRPr="00E07C9A">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14:paraId="5A4C53FB" w14:textId="77777777" w:rsidR="00DD00B4" w:rsidRPr="00E07C9A" w:rsidRDefault="00DD00B4" w:rsidP="00DD00B4">
            <w:pPr>
              <w:rPr>
                <w:rFonts w:ascii="Times New Roman" w:hAnsi="Times New Roman"/>
                <w:b/>
                <w:sz w:val="24"/>
                <w:u w:val="single"/>
              </w:rPr>
            </w:pPr>
            <w:r w:rsidRPr="00E07C9A">
              <w:rPr>
                <w:rFonts w:ascii="Times New Roman" w:hAnsi="Times New Roman"/>
                <w:b/>
                <w:sz w:val="24"/>
                <w:u w:val="single"/>
              </w:rPr>
              <w:t>Čas, ktorý uplynul odvtedy, ako boli expozície klasifikované ako problémové</w:t>
            </w:r>
          </w:p>
          <w:p w14:paraId="3D3EBC38" w14:textId="5BC6F048" w:rsidR="00DD00B4" w:rsidRPr="00E07C9A" w:rsidRDefault="00DD00B4" w:rsidP="00DD00B4">
            <w:pPr>
              <w:rPr>
                <w:rFonts w:ascii="Times New Roman" w:hAnsi="Times New Roman"/>
                <w:sz w:val="24"/>
              </w:rPr>
            </w:pPr>
            <w:r w:rsidRPr="00E07C9A">
              <w:rPr>
                <w:rFonts w:ascii="Times New Roman" w:hAnsi="Times New Roman"/>
                <w:sz w:val="24"/>
              </w:rPr>
              <w:t>„Čas, ktorý uplynul odvtedy, ako boli expozície klasifikované ako problémové“ je čas</w:t>
            </w:r>
            <w:r w:rsidR="009912F8" w:rsidRPr="00E07C9A">
              <w:rPr>
                <w:rFonts w:ascii="Times New Roman" w:hAnsi="Times New Roman"/>
                <w:sz w:val="24"/>
              </w:rPr>
              <w:t xml:space="preserve"> v </w:t>
            </w:r>
            <w:r w:rsidRPr="00E07C9A">
              <w:rPr>
                <w:rFonts w:ascii="Times New Roman" w:hAnsi="Times New Roman"/>
                <w:sz w:val="24"/>
              </w:rPr>
              <w:t>rokoch, ktorý uplynul odvtedy, ako bola expozícia klasifikovaná ako problémová. Inštitúcie vykazujú údaje</w:t>
            </w:r>
            <w:r w:rsidR="009912F8" w:rsidRPr="00E07C9A">
              <w:rPr>
                <w:rFonts w:ascii="Times New Roman" w:hAnsi="Times New Roman"/>
                <w:sz w:val="24"/>
              </w:rPr>
              <w:t xml:space="preserve"> o </w:t>
            </w:r>
            <w:r w:rsidRPr="00E07C9A">
              <w:rPr>
                <w:rFonts w:ascii="Times New Roman" w:hAnsi="Times New Roman"/>
                <w:sz w:val="24"/>
              </w:rPr>
              <w:t>expozíciách, pri ktorých referenčný dátum patrí do zodpovedajúceho časového intervalu, pričom uvádzajú obdobie</w:t>
            </w:r>
            <w:r w:rsidR="009912F8" w:rsidRPr="00E07C9A">
              <w:rPr>
                <w:rFonts w:ascii="Times New Roman" w:hAnsi="Times New Roman"/>
                <w:sz w:val="24"/>
              </w:rPr>
              <w:t xml:space="preserve"> v </w:t>
            </w:r>
            <w:r w:rsidRPr="00E07C9A">
              <w:rPr>
                <w:rFonts w:ascii="Times New Roman" w:hAnsi="Times New Roman"/>
                <w:sz w:val="24"/>
              </w:rPr>
              <w:t>rokoch, ktoré uplynulo od klasifikácie expozícií ako problémových, bez ohľadu na prípadné uplatňovanie opatrení týkajúcich sa úľavy.</w:t>
            </w:r>
          </w:p>
          <w:p w14:paraId="2AC789BC" w14:textId="1478570E" w:rsidR="00DD00B4" w:rsidRPr="00E07C9A" w:rsidRDefault="00DD00B4" w:rsidP="00DD00B4">
            <w:pPr>
              <w:rPr>
                <w:rFonts w:ascii="Times New Roman" w:hAnsi="Times New Roman"/>
                <w:sz w:val="24"/>
              </w:rPr>
            </w:pPr>
            <w:r w:rsidRPr="00E07C9A">
              <w:rPr>
                <w:rFonts w:ascii="Times New Roman" w:hAnsi="Times New Roman"/>
                <w:sz w:val="24"/>
              </w:rPr>
              <w:t>Pri časovom intervale „&gt; X rokov, &lt;= Y rokov“ inštitúcie vykazujú údaje</w:t>
            </w:r>
            <w:r w:rsidR="009912F8" w:rsidRPr="00E07C9A">
              <w:rPr>
                <w:rFonts w:ascii="Times New Roman" w:hAnsi="Times New Roman"/>
                <w:sz w:val="24"/>
              </w:rPr>
              <w:t xml:space="preserve"> o </w:t>
            </w:r>
            <w:r w:rsidRPr="00E07C9A">
              <w:rPr>
                <w:rFonts w:ascii="Times New Roman" w:hAnsi="Times New Roman"/>
                <w:sz w:val="24"/>
              </w:rPr>
              <w:t>expozíciách, pri ktorých referenčný dátum zodpovedá obdobiu medzi prvým</w:t>
            </w:r>
            <w:r w:rsidR="009912F8" w:rsidRPr="00E07C9A">
              <w:rPr>
                <w:rFonts w:ascii="Times New Roman" w:hAnsi="Times New Roman"/>
                <w:sz w:val="24"/>
              </w:rPr>
              <w:t xml:space="preserve"> a </w:t>
            </w:r>
            <w:r w:rsidRPr="00E07C9A">
              <w:rPr>
                <w:rFonts w:ascii="Times New Roman" w:hAnsi="Times New Roman"/>
                <w:sz w:val="24"/>
              </w:rPr>
              <w:t>posledným dňom Y. roka po klasifikácii týchto expozícií ako problémových.</w:t>
            </w:r>
          </w:p>
        </w:tc>
      </w:tr>
      <w:tr w:rsidR="00DD00B4" w:rsidRPr="00E07C9A" w14:paraId="2A1DD514" w14:textId="77777777" w:rsidTr="00DD00B4">
        <w:tc>
          <w:tcPr>
            <w:tcW w:w="1188" w:type="dxa"/>
            <w:tcBorders>
              <w:top w:val="single" w:sz="4" w:space="0" w:color="auto"/>
              <w:left w:val="single" w:sz="4" w:space="0" w:color="auto"/>
              <w:bottom w:val="single" w:sz="4" w:space="0" w:color="auto"/>
              <w:right w:val="single" w:sz="4" w:space="0" w:color="auto"/>
            </w:tcBorders>
          </w:tcPr>
          <w:p w14:paraId="2BEF436F" w14:textId="77777777" w:rsidR="00DD00B4" w:rsidRPr="00E07C9A" w:rsidRDefault="00DD00B4" w:rsidP="00DD00B4">
            <w:pPr>
              <w:rPr>
                <w:rFonts w:ascii="Times New Roman" w:hAnsi="Times New Roman"/>
                <w:sz w:val="24"/>
              </w:rPr>
            </w:pPr>
            <w:r w:rsidRPr="00E07C9A">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14FAC54E" w14:textId="0399E130" w:rsidR="00DD00B4" w:rsidRPr="00E07C9A" w:rsidRDefault="00DD00B4" w:rsidP="00DD00B4">
            <w:pPr>
              <w:rPr>
                <w:rFonts w:ascii="Times New Roman" w:hAnsi="Times New Roman"/>
                <w:b/>
                <w:sz w:val="24"/>
                <w:u w:val="single"/>
              </w:rPr>
            </w:pPr>
            <w:r w:rsidRPr="00E07C9A">
              <w:rPr>
                <w:rFonts w:ascii="Times New Roman" w:hAnsi="Times New Roman"/>
                <w:b/>
                <w:sz w:val="24"/>
                <w:u w:val="single"/>
              </w:rPr>
              <w:t>Spolu</w:t>
            </w:r>
          </w:p>
          <w:p w14:paraId="736FFBDA" w14:textId="77777777" w:rsidR="00DD00B4" w:rsidRPr="00E07C9A" w:rsidRDefault="00DD00B4" w:rsidP="00DD00B4">
            <w:pPr>
              <w:rPr>
                <w:rFonts w:ascii="Times New Roman" w:hAnsi="Times New Roman"/>
                <w:b/>
                <w:sz w:val="24"/>
                <w:u w:val="single"/>
              </w:rPr>
            </w:pPr>
            <w:r w:rsidRPr="00E07C9A">
              <w:rPr>
                <w:rFonts w:ascii="Times New Roman" w:hAnsi="Times New Roman"/>
                <w:sz w:val="24"/>
              </w:rPr>
              <w:t>Inštitúcie vykazujú súčet všetkých stĺpcov od 0010 do 0100.</w:t>
            </w:r>
          </w:p>
        </w:tc>
      </w:tr>
    </w:tbl>
    <w:p w14:paraId="558435E8" w14:textId="77777777" w:rsidR="00DD00B4" w:rsidRPr="00E07C9A" w:rsidRDefault="00DD00B4" w:rsidP="00DD00B4">
      <w:pPr>
        <w:jc w:val="left"/>
        <w:rPr>
          <w:rFonts w:ascii="Times New Roman" w:hAnsi="Times New Roman"/>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E07C9A" w14:paraId="3EB6EAC6"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4C14F6B9" w14:textId="77777777" w:rsidR="00DD00B4" w:rsidRPr="00E07C9A" w:rsidRDefault="00DD00B4" w:rsidP="00DD00B4">
            <w:pPr>
              <w:rPr>
                <w:rFonts w:ascii="Times New Roman" w:hAnsi="Times New Roman"/>
                <w:sz w:val="24"/>
              </w:rPr>
            </w:pPr>
            <w:r w:rsidRPr="00E07C9A">
              <w:rPr>
                <w:rFonts w:ascii="Times New Roman" w:hAnsi="Times New Roman"/>
                <w:sz w:val="24"/>
              </w:rPr>
              <w:t>Riadky</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5B49F132" w14:textId="77777777" w:rsidR="00DD00B4" w:rsidRPr="00E07C9A" w:rsidRDefault="00DD00B4" w:rsidP="00DD00B4">
            <w:pPr>
              <w:rPr>
                <w:rFonts w:ascii="Times New Roman" w:hAnsi="Times New Roman"/>
                <w:sz w:val="24"/>
              </w:rPr>
            </w:pPr>
            <w:r w:rsidRPr="00E07C9A">
              <w:rPr>
                <w:rFonts w:ascii="Times New Roman" w:hAnsi="Times New Roman"/>
                <w:sz w:val="24"/>
              </w:rPr>
              <w:t>Pokyny</w:t>
            </w:r>
          </w:p>
        </w:tc>
      </w:tr>
      <w:tr w:rsidR="00DD00B4" w:rsidRPr="00E07C9A" w14:paraId="6B4AD2B9"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0A597F15" w14:textId="77777777" w:rsidR="00DD00B4" w:rsidRPr="00E07C9A" w:rsidRDefault="00DD00B4" w:rsidP="00DD00B4">
            <w:pPr>
              <w:rPr>
                <w:rFonts w:ascii="Times New Roman" w:hAnsi="Times New Roman"/>
                <w:sz w:val="24"/>
              </w:rPr>
            </w:pPr>
            <w:r w:rsidRPr="00E07C9A">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266CF13E" w14:textId="77777777" w:rsidR="00DD00B4" w:rsidRPr="00E07C9A" w:rsidRDefault="00DD00B4" w:rsidP="00DD00B4">
            <w:pPr>
              <w:rPr>
                <w:rFonts w:ascii="Times New Roman" w:hAnsi="Times New Roman"/>
                <w:b/>
                <w:sz w:val="24"/>
                <w:u w:val="single"/>
              </w:rPr>
            </w:pPr>
            <w:r w:rsidRPr="00E07C9A">
              <w:rPr>
                <w:rFonts w:ascii="Times New Roman" w:hAnsi="Times New Roman"/>
                <w:b/>
                <w:sz w:val="24"/>
                <w:u w:val="single"/>
              </w:rPr>
              <w:t>Celková minimálna požiadavka na krytie</w:t>
            </w:r>
          </w:p>
          <w:p w14:paraId="3C6F9C3C" w14:textId="083A57F2" w:rsidR="00DD00B4" w:rsidRPr="00E07C9A" w:rsidRDefault="00DD00B4" w:rsidP="00DD00B4">
            <w:pPr>
              <w:rPr>
                <w:rFonts w:ascii="Times New Roman" w:hAnsi="Times New Roman"/>
                <w:sz w:val="24"/>
              </w:rPr>
            </w:pPr>
            <w:r w:rsidRPr="00E07C9A">
              <w:rPr>
                <w:rFonts w:ascii="Times New Roman" w:hAnsi="Times New Roman"/>
                <w:sz w:val="24"/>
              </w:rPr>
              <w:t>Článok 47c ods. 1 písm. a)</w:t>
            </w:r>
            <w:r w:rsidR="009912F8" w:rsidRPr="00E07C9A">
              <w:rPr>
                <w:rFonts w:ascii="Times New Roman" w:hAnsi="Times New Roman"/>
                <w:sz w:val="24"/>
              </w:rPr>
              <w:t xml:space="preserve"> a </w:t>
            </w:r>
            <w:r w:rsidRPr="00E07C9A">
              <w:rPr>
                <w:rFonts w:ascii="Times New Roman" w:hAnsi="Times New Roman"/>
                <w:sz w:val="24"/>
              </w:rPr>
              <w:t xml:space="preserve">článok 47c ods. 6 nariadenia (EÚ) </w:t>
            </w:r>
            <w:r w:rsidR="009912F8" w:rsidRPr="00E07C9A">
              <w:rPr>
                <w:rFonts w:ascii="Times New Roman" w:hAnsi="Times New Roman"/>
                <w:sz w:val="24"/>
              </w:rPr>
              <w:t>č. 575/2013</w:t>
            </w:r>
          </w:p>
          <w:p w14:paraId="20C972EE" w14:textId="32FA6818" w:rsidR="00DD00B4" w:rsidRPr="00E07C9A" w:rsidRDefault="00DD00B4" w:rsidP="00A648C2">
            <w:pPr>
              <w:rPr>
                <w:rFonts w:ascii="Times New Roman" w:hAnsi="Times New Roman"/>
                <w:sz w:val="24"/>
              </w:rPr>
            </w:pPr>
            <w:r w:rsidRPr="00E07C9A">
              <w:rPr>
                <w:rFonts w:ascii="Times New Roman" w:hAnsi="Times New Roman"/>
                <w:sz w:val="24"/>
              </w:rPr>
              <w:t>Na účel výpočtu celkovej minimálnej požiadavky na krytie problémových expozícií</w:t>
            </w:r>
            <w:r w:rsidR="009912F8" w:rsidRPr="00E07C9A">
              <w:rPr>
                <w:rFonts w:ascii="Times New Roman" w:hAnsi="Times New Roman"/>
                <w:sz w:val="24"/>
              </w:rPr>
              <w:t xml:space="preserve"> s </w:t>
            </w:r>
            <w:r w:rsidRPr="00E07C9A">
              <w:rPr>
                <w:rFonts w:ascii="Times New Roman" w:hAnsi="Times New Roman"/>
                <w:sz w:val="24"/>
              </w:rPr>
              <w:t xml:space="preserve">úľavou, na ktoré sa vzťahuje článok 47c ods. 6 nariadenia (EÚ) </w:t>
            </w:r>
            <w:r w:rsidR="009912F8" w:rsidRPr="00E07C9A">
              <w:rPr>
                <w:rFonts w:ascii="Times New Roman" w:hAnsi="Times New Roman"/>
                <w:sz w:val="24"/>
              </w:rPr>
              <w:t>č. 575/2013</w:t>
            </w:r>
            <w:r w:rsidRPr="00E07C9A">
              <w:rPr>
                <w:rFonts w:ascii="Times New Roman" w:hAnsi="Times New Roman"/>
                <w:sz w:val="24"/>
              </w:rPr>
              <w:t>, inštitúcie spočítajú minimálne požiadavky na krytie nezabezpečenej časti problémových expozícií</w:t>
            </w:r>
            <w:r w:rsidR="009912F8" w:rsidRPr="00E07C9A">
              <w:rPr>
                <w:rFonts w:ascii="Times New Roman" w:hAnsi="Times New Roman"/>
                <w:sz w:val="24"/>
              </w:rPr>
              <w:t xml:space="preserve"> s </w:t>
            </w:r>
            <w:r w:rsidRPr="00E07C9A">
              <w:rPr>
                <w:rFonts w:ascii="Times New Roman" w:hAnsi="Times New Roman"/>
                <w:sz w:val="24"/>
              </w:rPr>
              <w:t>úľavou (riadok 0020), časti problémových expozícií</w:t>
            </w:r>
            <w:r w:rsidR="009912F8" w:rsidRPr="00E07C9A">
              <w:rPr>
                <w:rFonts w:ascii="Times New Roman" w:hAnsi="Times New Roman"/>
                <w:sz w:val="24"/>
              </w:rPr>
              <w:t xml:space="preserve"> s </w:t>
            </w:r>
            <w:r w:rsidRPr="00E07C9A">
              <w:rPr>
                <w:rFonts w:ascii="Times New Roman" w:hAnsi="Times New Roman"/>
                <w:sz w:val="24"/>
              </w:rPr>
              <w:t>úľavou zabezpečenej nehnuteľným majetkom alebo úverom na nehnuteľný majetok určený na bývanie zaručeným oprávneným poskytovateľom zabezpečenia (riadok 0030)</w:t>
            </w:r>
            <w:r w:rsidR="009912F8" w:rsidRPr="00E07C9A">
              <w:rPr>
                <w:rFonts w:ascii="Times New Roman" w:hAnsi="Times New Roman"/>
                <w:sz w:val="24"/>
              </w:rPr>
              <w:t xml:space="preserve"> a </w:t>
            </w:r>
            <w:r w:rsidRPr="00E07C9A">
              <w:rPr>
                <w:rFonts w:ascii="Times New Roman" w:hAnsi="Times New Roman"/>
                <w:sz w:val="24"/>
              </w:rPr>
              <w:t>časti problémových expozícií</w:t>
            </w:r>
            <w:r w:rsidR="009912F8" w:rsidRPr="00E07C9A">
              <w:rPr>
                <w:rFonts w:ascii="Times New Roman" w:hAnsi="Times New Roman"/>
                <w:sz w:val="24"/>
              </w:rPr>
              <w:t xml:space="preserve"> s </w:t>
            </w:r>
            <w:r w:rsidRPr="00E07C9A">
              <w:rPr>
                <w:rFonts w:ascii="Times New Roman" w:hAnsi="Times New Roman"/>
                <w:sz w:val="24"/>
              </w:rPr>
              <w:t>úľavou zabezpečenej iným financovaným alebo nefinancovaným kreditným zabezpečením (riadok 0040).</w:t>
            </w:r>
          </w:p>
        </w:tc>
      </w:tr>
      <w:tr w:rsidR="00DD00B4" w:rsidRPr="00E07C9A" w14:paraId="31A99120" w14:textId="77777777" w:rsidTr="00DD00B4">
        <w:tc>
          <w:tcPr>
            <w:tcW w:w="1188" w:type="dxa"/>
            <w:tcBorders>
              <w:top w:val="single" w:sz="4" w:space="0" w:color="auto"/>
              <w:left w:val="single" w:sz="4" w:space="0" w:color="auto"/>
              <w:bottom w:val="single" w:sz="4" w:space="0" w:color="auto"/>
              <w:right w:val="single" w:sz="4" w:space="0" w:color="auto"/>
            </w:tcBorders>
          </w:tcPr>
          <w:p w14:paraId="3083013D" w14:textId="77777777" w:rsidR="00DD00B4" w:rsidRPr="00E07C9A" w:rsidRDefault="00DD00B4" w:rsidP="00DD00B4">
            <w:pPr>
              <w:rPr>
                <w:rFonts w:ascii="Times New Roman" w:hAnsi="Times New Roman"/>
                <w:sz w:val="24"/>
              </w:rPr>
            </w:pPr>
            <w:r w:rsidRPr="00E07C9A">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2CD348B8" w14:textId="77777777" w:rsidR="00DD00B4" w:rsidRPr="00E07C9A" w:rsidRDefault="00DD00B4" w:rsidP="00DD00B4">
            <w:pPr>
              <w:rPr>
                <w:rFonts w:ascii="Times New Roman" w:hAnsi="Times New Roman"/>
                <w:b/>
                <w:sz w:val="24"/>
                <w:u w:val="single"/>
              </w:rPr>
            </w:pPr>
            <w:r w:rsidRPr="00E07C9A">
              <w:rPr>
                <w:rFonts w:ascii="Times New Roman" w:hAnsi="Times New Roman"/>
                <w:b/>
                <w:sz w:val="24"/>
                <w:u w:val="single"/>
              </w:rPr>
              <w:t>Nezabezpečená časť problémových expozícií</w:t>
            </w:r>
          </w:p>
          <w:p w14:paraId="4099803A" w14:textId="5D20C07E" w:rsidR="00DD00B4" w:rsidRPr="00E07C9A" w:rsidRDefault="00A648C2" w:rsidP="00DD00B4">
            <w:pPr>
              <w:rPr>
                <w:rFonts w:ascii="Times New Roman" w:hAnsi="Times New Roman"/>
                <w:sz w:val="24"/>
              </w:rPr>
            </w:pPr>
            <w:r w:rsidRPr="00E07C9A">
              <w:rPr>
                <w:rFonts w:ascii="Times New Roman" w:hAnsi="Times New Roman"/>
                <w:sz w:val="24"/>
              </w:rPr>
              <w:t xml:space="preserve">Článok 47c ods. 1 písm. a) bod i), článok 47c ods. 2, článok 47c ods. 6 nariadenia (EÚ) </w:t>
            </w:r>
            <w:r w:rsidR="009912F8" w:rsidRPr="00E07C9A">
              <w:rPr>
                <w:rFonts w:ascii="Times New Roman" w:hAnsi="Times New Roman"/>
                <w:sz w:val="24"/>
              </w:rPr>
              <w:t>č. 575/2013</w:t>
            </w:r>
          </w:p>
          <w:p w14:paraId="5BD9128D" w14:textId="39DB1113" w:rsidR="00DD00B4" w:rsidRPr="00E07C9A" w:rsidRDefault="00303974" w:rsidP="00303974">
            <w:pPr>
              <w:rPr>
                <w:rFonts w:ascii="Times New Roman" w:hAnsi="Times New Roman"/>
                <w:sz w:val="24"/>
              </w:rPr>
            </w:pPr>
            <w:r w:rsidRPr="00E07C9A">
              <w:rPr>
                <w:rFonts w:ascii="Times New Roman" w:hAnsi="Times New Roman"/>
                <w:sz w:val="24"/>
              </w:rPr>
              <w:t>Inštitúcie vykazujú celkovú minimálnu požiadavku na krytie nezabezpečenej časti problémových expozícií</w:t>
            </w:r>
            <w:r w:rsidR="009912F8" w:rsidRPr="00E07C9A">
              <w:rPr>
                <w:rFonts w:ascii="Times New Roman" w:hAnsi="Times New Roman"/>
                <w:sz w:val="24"/>
              </w:rPr>
              <w:t xml:space="preserve"> s </w:t>
            </w:r>
            <w:r w:rsidRPr="00E07C9A">
              <w:rPr>
                <w:rFonts w:ascii="Times New Roman" w:hAnsi="Times New Roman"/>
                <w:sz w:val="24"/>
              </w:rPr>
              <w:t xml:space="preserve">úľavou, na ktoré sa vzťahuje článok 47c ods. 6 nariadenia (EÚ) </w:t>
            </w:r>
            <w:r w:rsidR="009912F8" w:rsidRPr="00E07C9A">
              <w:rPr>
                <w:rFonts w:ascii="Times New Roman" w:hAnsi="Times New Roman"/>
                <w:sz w:val="24"/>
              </w:rPr>
              <w:t>č. 575/2013</w:t>
            </w:r>
            <w:r w:rsidRPr="00E07C9A">
              <w:rPr>
                <w:rFonts w:ascii="Times New Roman" w:hAnsi="Times New Roman"/>
                <w:sz w:val="24"/>
              </w:rPr>
              <w:t>, t. j. súhrn výpočtov na úrovni expozície.</w:t>
            </w:r>
          </w:p>
        </w:tc>
      </w:tr>
      <w:tr w:rsidR="00DD00B4" w:rsidRPr="00E07C9A" w14:paraId="5E36D8A0" w14:textId="77777777" w:rsidTr="00DD00B4">
        <w:tc>
          <w:tcPr>
            <w:tcW w:w="1188" w:type="dxa"/>
            <w:tcBorders>
              <w:top w:val="single" w:sz="4" w:space="0" w:color="auto"/>
              <w:left w:val="single" w:sz="4" w:space="0" w:color="auto"/>
              <w:bottom w:val="single" w:sz="4" w:space="0" w:color="auto"/>
              <w:right w:val="single" w:sz="4" w:space="0" w:color="auto"/>
            </w:tcBorders>
          </w:tcPr>
          <w:p w14:paraId="513153AA" w14:textId="77777777" w:rsidR="00DD00B4" w:rsidRPr="00E07C9A" w:rsidRDefault="00DD00B4" w:rsidP="00DD00B4">
            <w:pPr>
              <w:rPr>
                <w:rFonts w:ascii="Times New Roman" w:hAnsi="Times New Roman"/>
                <w:sz w:val="24"/>
              </w:rPr>
            </w:pPr>
            <w:r w:rsidRPr="00E07C9A">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6C636ED5" w14:textId="77777777" w:rsidR="00DD00B4" w:rsidRPr="00E07C9A" w:rsidRDefault="00DD00B4" w:rsidP="00DD00B4">
            <w:pPr>
              <w:rPr>
                <w:rFonts w:ascii="Times New Roman" w:hAnsi="Times New Roman"/>
                <w:b/>
                <w:sz w:val="24"/>
                <w:u w:val="single"/>
              </w:rPr>
            </w:pPr>
            <w:r w:rsidRPr="00E07C9A">
              <w:rPr>
                <w:rFonts w:ascii="Times New Roman" w:hAnsi="Times New Roman"/>
                <w:b/>
                <w:sz w:val="24"/>
                <w:u w:val="single"/>
              </w:rPr>
              <w:t>Časť problémových expozícií zabezpečená nehnuteľným majetkom alebo úverom na nehnuteľný majetok určený na bývanie zaručeným oprávneným poskytovateľom zabezpečenia</w:t>
            </w:r>
          </w:p>
          <w:p w14:paraId="3D9FC58F" w14:textId="1CED2127" w:rsidR="00DD00B4" w:rsidRPr="00E07C9A" w:rsidRDefault="003B09EA" w:rsidP="00DD00B4">
            <w:pPr>
              <w:rPr>
                <w:rFonts w:ascii="Times New Roman" w:hAnsi="Times New Roman"/>
                <w:sz w:val="24"/>
              </w:rPr>
            </w:pPr>
            <w:r w:rsidRPr="00E07C9A">
              <w:rPr>
                <w:rFonts w:ascii="Times New Roman" w:hAnsi="Times New Roman"/>
                <w:sz w:val="24"/>
              </w:rPr>
              <w:t>Článok 47c ods. 1 písm. a) bod ii), článok 47c ods. 3 písm. a), b), c), d), f), h)</w:t>
            </w:r>
            <w:r w:rsidR="009912F8" w:rsidRPr="00E07C9A">
              <w:rPr>
                <w:rFonts w:ascii="Times New Roman" w:hAnsi="Times New Roman"/>
                <w:sz w:val="24"/>
              </w:rPr>
              <w:t xml:space="preserve"> a </w:t>
            </w:r>
            <w:r w:rsidRPr="00E07C9A">
              <w:rPr>
                <w:rFonts w:ascii="Times New Roman" w:hAnsi="Times New Roman"/>
                <w:sz w:val="24"/>
              </w:rPr>
              <w:t>i)</w:t>
            </w:r>
            <w:r w:rsidR="009912F8" w:rsidRPr="00E07C9A">
              <w:rPr>
                <w:rFonts w:ascii="Times New Roman" w:hAnsi="Times New Roman"/>
                <w:sz w:val="24"/>
              </w:rPr>
              <w:t xml:space="preserve"> a </w:t>
            </w:r>
            <w:r w:rsidRPr="00E07C9A">
              <w:rPr>
                <w:rFonts w:ascii="Times New Roman" w:hAnsi="Times New Roman"/>
                <w:sz w:val="24"/>
              </w:rPr>
              <w:t xml:space="preserve">článok 47c ods. 6 nariadenia (EÚ) </w:t>
            </w:r>
            <w:r w:rsidR="009912F8" w:rsidRPr="00E07C9A">
              <w:rPr>
                <w:rFonts w:ascii="Times New Roman" w:hAnsi="Times New Roman"/>
                <w:sz w:val="24"/>
              </w:rPr>
              <w:t>č. 575/2013</w:t>
            </w:r>
          </w:p>
          <w:p w14:paraId="356AD33F" w14:textId="1B546DFB" w:rsidR="00DD00B4" w:rsidRPr="00E07C9A" w:rsidRDefault="00303974" w:rsidP="00E67B4A">
            <w:pPr>
              <w:rPr>
                <w:rFonts w:ascii="Times New Roman" w:hAnsi="Times New Roman"/>
                <w:b/>
                <w:sz w:val="24"/>
                <w:u w:val="single"/>
              </w:rPr>
            </w:pPr>
            <w:r w:rsidRPr="00E07C9A">
              <w:rPr>
                <w:rFonts w:ascii="Times New Roman" w:hAnsi="Times New Roman"/>
                <w:sz w:val="24"/>
              </w:rPr>
              <w:t>Inštitúcie vykazujú celkovú minimálnu požiadavku na krytie častí problémových expozícií</w:t>
            </w:r>
            <w:r w:rsidR="009912F8" w:rsidRPr="00E07C9A">
              <w:rPr>
                <w:rFonts w:ascii="Times New Roman" w:hAnsi="Times New Roman"/>
                <w:sz w:val="24"/>
              </w:rPr>
              <w:t xml:space="preserve"> s </w:t>
            </w:r>
            <w:r w:rsidRPr="00E07C9A">
              <w:rPr>
                <w:rFonts w:ascii="Times New Roman" w:hAnsi="Times New Roman"/>
                <w:sz w:val="24"/>
              </w:rPr>
              <w:t xml:space="preserve">úľavou, ktoré sú zabezpečené nehnuteľným majetkom podľa tretej časti hlavy II nariadenia (EÚ) </w:t>
            </w:r>
            <w:r w:rsidR="009912F8" w:rsidRPr="00E07C9A">
              <w:rPr>
                <w:rFonts w:ascii="Times New Roman" w:hAnsi="Times New Roman"/>
                <w:sz w:val="24"/>
              </w:rPr>
              <w:t>č. 575/2013</w:t>
            </w:r>
            <w:r w:rsidRPr="00E07C9A">
              <w:rPr>
                <w:rFonts w:ascii="Times New Roman" w:hAnsi="Times New Roman"/>
                <w:sz w:val="24"/>
              </w:rPr>
              <w:t xml:space="preserve"> alebo ktoré sú úvermi na nehnuteľný majetok určený na bývanie zaručenými oprávneným poskytovateľom zabezpečenia, ako sa uvádza</w:t>
            </w:r>
            <w:r w:rsidR="009912F8" w:rsidRPr="00E07C9A">
              <w:rPr>
                <w:rFonts w:ascii="Times New Roman" w:hAnsi="Times New Roman"/>
                <w:sz w:val="24"/>
              </w:rPr>
              <w:t xml:space="preserve"> v </w:t>
            </w:r>
            <w:r w:rsidRPr="00E07C9A">
              <w:rPr>
                <w:rFonts w:ascii="Times New Roman" w:hAnsi="Times New Roman"/>
                <w:sz w:val="24"/>
              </w:rPr>
              <w:t xml:space="preserve">článku 201 uvedeného nariadenia, na ktoré sa vzťahuje článok 47c ods. 6 uvedeného nariadenia, t. j. súhrn výpočtov na úrovni expozície. </w:t>
            </w:r>
          </w:p>
        </w:tc>
      </w:tr>
      <w:tr w:rsidR="00DD00B4" w:rsidRPr="00E07C9A" w14:paraId="14E59C54" w14:textId="77777777" w:rsidTr="00DD00B4">
        <w:tc>
          <w:tcPr>
            <w:tcW w:w="1188" w:type="dxa"/>
            <w:tcBorders>
              <w:top w:val="single" w:sz="4" w:space="0" w:color="auto"/>
              <w:left w:val="single" w:sz="4" w:space="0" w:color="auto"/>
              <w:bottom w:val="single" w:sz="4" w:space="0" w:color="auto"/>
              <w:right w:val="single" w:sz="4" w:space="0" w:color="auto"/>
            </w:tcBorders>
          </w:tcPr>
          <w:p w14:paraId="79214990" w14:textId="77777777" w:rsidR="00DD00B4" w:rsidRPr="00E07C9A" w:rsidRDefault="00DD00B4" w:rsidP="00DD00B4">
            <w:pPr>
              <w:rPr>
                <w:rFonts w:ascii="Times New Roman" w:hAnsi="Times New Roman"/>
                <w:sz w:val="24"/>
              </w:rPr>
            </w:pPr>
            <w:r w:rsidRPr="00E07C9A">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0D10188B" w14:textId="77777777" w:rsidR="00DD00B4" w:rsidRPr="00E07C9A" w:rsidRDefault="00DD00B4" w:rsidP="00DD00B4">
            <w:pPr>
              <w:jc w:val="left"/>
              <w:rPr>
                <w:rFonts w:ascii="Times New Roman" w:hAnsi="Times New Roman"/>
                <w:b/>
                <w:sz w:val="24"/>
                <w:u w:val="single"/>
              </w:rPr>
            </w:pPr>
            <w:r w:rsidRPr="00E07C9A">
              <w:rPr>
                <w:rFonts w:ascii="Times New Roman" w:hAnsi="Times New Roman"/>
                <w:b/>
                <w:sz w:val="24"/>
                <w:u w:val="single"/>
              </w:rPr>
              <w:t>Časť problémových expozícií zabezpečená iným financovaným alebo nefinancovaným kreditným zabezpečením</w:t>
            </w:r>
          </w:p>
          <w:p w14:paraId="3D8A5075" w14:textId="153FF9D5" w:rsidR="00DD00B4" w:rsidRPr="00E07C9A" w:rsidRDefault="003B09EA" w:rsidP="00DD00B4">
            <w:pPr>
              <w:rPr>
                <w:rFonts w:ascii="Times New Roman" w:hAnsi="Times New Roman"/>
                <w:sz w:val="24"/>
              </w:rPr>
            </w:pPr>
            <w:r w:rsidRPr="00E07C9A">
              <w:rPr>
                <w:rFonts w:ascii="Times New Roman" w:hAnsi="Times New Roman"/>
                <w:sz w:val="24"/>
              </w:rPr>
              <w:t>Článok 47c ods. 1 písm. a) bod ii), článok 47c ods. 3 písm. a), b), c), e)</w:t>
            </w:r>
            <w:r w:rsidR="009912F8" w:rsidRPr="00E07C9A">
              <w:rPr>
                <w:rFonts w:ascii="Times New Roman" w:hAnsi="Times New Roman"/>
                <w:sz w:val="24"/>
              </w:rPr>
              <w:t xml:space="preserve"> a </w:t>
            </w:r>
            <w:r w:rsidRPr="00E07C9A">
              <w:rPr>
                <w:rFonts w:ascii="Times New Roman" w:hAnsi="Times New Roman"/>
                <w:sz w:val="24"/>
              </w:rPr>
              <w:t>g)</w:t>
            </w:r>
            <w:r w:rsidR="009912F8" w:rsidRPr="00E07C9A">
              <w:rPr>
                <w:rFonts w:ascii="Times New Roman" w:hAnsi="Times New Roman"/>
                <w:sz w:val="24"/>
              </w:rPr>
              <w:t xml:space="preserve"> a </w:t>
            </w:r>
            <w:r w:rsidRPr="00E07C9A">
              <w:rPr>
                <w:rFonts w:ascii="Times New Roman" w:hAnsi="Times New Roman"/>
                <w:sz w:val="24"/>
              </w:rPr>
              <w:t xml:space="preserve">článok 47c ods. 6 nariadenia (EÚ) </w:t>
            </w:r>
            <w:r w:rsidR="009912F8" w:rsidRPr="00E07C9A">
              <w:rPr>
                <w:rFonts w:ascii="Times New Roman" w:hAnsi="Times New Roman"/>
                <w:sz w:val="24"/>
              </w:rPr>
              <w:t>č. 575/2013</w:t>
            </w:r>
          </w:p>
          <w:p w14:paraId="7E3D68AC" w14:textId="4A70AF88" w:rsidR="00DD00B4" w:rsidRPr="00E07C9A" w:rsidRDefault="00303974" w:rsidP="00303974">
            <w:pPr>
              <w:rPr>
                <w:rFonts w:ascii="Times New Roman" w:hAnsi="Times New Roman"/>
                <w:sz w:val="24"/>
              </w:rPr>
            </w:pPr>
            <w:r w:rsidRPr="00E07C9A">
              <w:rPr>
                <w:rFonts w:ascii="Times New Roman" w:hAnsi="Times New Roman"/>
                <w:sz w:val="24"/>
              </w:rPr>
              <w:t>Inštitúcie vykazujú celkovú minimálnu požiadavku na krytie častí problémových expozícií</w:t>
            </w:r>
            <w:r w:rsidR="009912F8" w:rsidRPr="00E07C9A">
              <w:rPr>
                <w:rFonts w:ascii="Times New Roman" w:hAnsi="Times New Roman"/>
                <w:sz w:val="24"/>
              </w:rPr>
              <w:t xml:space="preserve"> s </w:t>
            </w:r>
            <w:r w:rsidRPr="00E07C9A">
              <w:rPr>
                <w:rFonts w:ascii="Times New Roman" w:hAnsi="Times New Roman"/>
                <w:sz w:val="24"/>
              </w:rPr>
              <w:t xml:space="preserve">úľavou, ktoré sú zabezpečené iným financovaným alebo nefinancovaným kreditným zabezpečením, na ktoré sa vzťahuje článok 47c ods. 6 nariadenia (EÚ) </w:t>
            </w:r>
            <w:r w:rsidR="009912F8" w:rsidRPr="00E07C9A">
              <w:rPr>
                <w:rFonts w:ascii="Times New Roman" w:hAnsi="Times New Roman"/>
                <w:sz w:val="24"/>
              </w:rPr>
              <w:t>č. 575/2013</w:t>
            </w:r>
            <w:r w:rsidRPr="00E07C9A">
              <w:rPr>
                <w:rFonts w:ascii="Times New Roman" w:hAnsi="Times New Roman"/>
                <w:sz w:val="24"/>
              </w:rPr>
              <w:t>, t. j. súhrn výpočtov na úrovni expozície.</w:t>
            </w:r>
          </w:p>
        </w:tc>
      </w:tr>
      <w:tr w:rsidR="00DD00B4" w:rsidRPr="00E07C9A" w14:paraId="759EB648" w14:textId="77777777" w:rsidTr="00DD00B4">
        <w:tc>
          <w:tcPr>
            <w:tcW w:w="1188" w:type="dxa"/>
            <w:tcBorders>
              <w:top w:val="single" w:sz="4" w:space="0" w:color="auto"/>
              <w:left w:val="single" w:sz="4" w:space="0" w:color="auto"/>
              <w:bottom w:val="single" w:sz="4" w:space="0" w:color="auto"/>
              <w:right w:val="single" w:sz="4" w:space="0" w:color="auto"/>
            </w:tcBorders>
          </w:tcPr>
          <w:p w14:paraId="47AAF026" w14:textId="77777777" w:rsidR="00DD00B4" w:rsidRPr="00E07C9A" w:rsidRDefault="00DD00B4" w:rsidP="00DD00B4">
            <w:pPr>
              <w:rPr>
                <w:rFonts w:ascii="Times New Roman" w:hAnsi="Times New Roman"/>
                <w:sz w:val="24"/>
              </w:rPr>
            </w:pPr>
            <w:r w:rsidRPr="00E07C9A">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03CBAD09" w14:textId="77777777" w:rsidR="00DD00B4" w:rsidRPr="00E07C9A" w:rsidRDefault="00DD00B4" w:rsidP="00DD00B4">
            <w:pPr>
              <w:rPr>
                <w:rFonts w:ascii="Times New Roman" w:hAnsi="Times New Roman"/>
                <w:b/>
                <w:sz w:val="24"/>
                <w:u w:val="single"/>
              </w:rPr>
            </w:pPr>
            <w:r w:rsidRPr="00E07C9A">
              <w:rPr>
                <w:rFonts w:ascii="Times New Roman" w:hAnsi="Times New Roman"/>
                <w:b/>
                <w:sz w:val="24"/>
                <w:u w:val="single"/>
              </w:rPr>
              <w:t>Hodnota expozície</w:t>
            </w:r>
          </w:p>
          <w:p w14:paraId="37B9F3D5" w14:textId="1BD8DE91" w:rsidR="00DD00B4" w:rsidRPr="00E07C9A" w:rsidRDefault="00233577" w:rsidP="00DD00B4">
            <w:pPr>
              <w:rPr>
                <w:rFonts w:ascii="Times New Roman" w:hAnsi="Times New Roman"/>
                <w:sz w:val="24"/>
              </w:rPr>
            </w:pPr>
            <w:r w:rsidRPr="00E07C9A">
              <w:rPr>
                <w:rFonts w:ascii="Times New Roman" w:hAnsi="Times New Roman"/>
                <w:sz w:val="24"/>
              </w:rPr>
              <w:t>Článok 47a ods. 2</w:t>
            </w:r>
            <w:r w:rsidR="009912F8" w:rsidRPr="00E07C9A">
              <w:rPr>
                <w:rFonts w:ascii="Times New Roman" w:hAnsi="Times New Roman"/>
                <w:sz w:val="24"/>
              </w:rPr>
              <w:t xml:space="preserve"> a </w:t>
            </w:r>
            <w:r w:rsidRPr="00E07C9A">
              <w:rPr>
                <w:rFonts w:ascii="Times New Roman" w:hAnsi="Times New Roman"/>
                <w:sz w:val="24"/>
              </w:rPr>
              <w:t xml:space="preserve">článok 47c ods. 6 nariadenia (EÚ) </w:t>
            </w:r>
            <w:r w:rsidR="009912F8" w:rsidRPr="00E07C9A">
              <w:rPr>
                <w:rFonts w:ascii="Times New Roman" w:hAnsi="Times New Roman"/>
                <w:sz w:val="24"/>
              </w:rPr>
              <w:t>č. 575/2013</w:t>
            </w:r>
          </w:p>
          <w:p w14:paraId="73CC09BE" w14:textId="756C580E" w:rsidR="00DD00B4" w:rsidRPr="00E07C9A" w:rsidRDefault="00DD00B4" w:rsidP="00DD00B4">
            <w:pPr>
              <w:rPr>
                <w:rFonts w:ascii="Times New Roman" w:hAnsi="Times New Roman"/>
                <w:b/>
                <w:sz w:val="24"/>
                <w:u w:val="single"/>
              </w:rPr>
            </w:pPr>
            <w:r w:rsidRPr="00E07C9A">
              <w:rPr>
                <w:rFonts w:ascii="Times New Roman" w:hAnsi="Times New Roman"/>
                <w:sz w:val="24"/>
              </w:rPr>
              <w:t>Na účel výpočtu hodnoty expozície inštitúcie spočítajú hodnoty expozícií pre nezabezpečenú časť problémových expozícií (riadok 0060), časť problémových expozícií zabezpečenú nehnuteľným majetkom alebo úverom na nehnuteľný majetok určený na bývanie zaručeným oprávneným poskytovateľom zabezpečenia (riadok 0070)</w:t>
            </w:r>
            <w:r w:rsidR="009912F8" w:rsidRPr="00E07C9A">
              <w:rPr>
                <w:rFonts w:ascii="Times New Roman" w:hAnsi="Times New Roman"/>
                <w:sz w:val="24"/>
              </w:rPr>
              <w:t xml:space="preserve"> a </w:t>
            </w:r>
            <w:r w:rsidRPr="00E07C9A">
              <w:rPr>
                <w:rFonts w:ascii="Times New Roman" w:hAnsi="Times New Roman"/>
                <w:sz w:val="24"/>
              </w:rPr>
              <w:t xml:space="preserve">časť problémových expozícií zabezpečenú iným financovaným alebo nefinancovaným kreditným zabezpečením (riadok 0120), podľa konkrétneho prípadu. </w:t>
            </w:r>
          </w:p>
        </w:tc>
      </w:tr>
      <w:tr w:rsidR="00DD00B4" w:rsidRPr="00E07C9A" w14:paraId="6A061C30" w14:textId="77777777" w:rsidTr="00DD00B4">
        <w:tc>
          <w:tcPr>
            <w:tcW w:w="1188" w:type="dxa"/>
            <w:tcBorders>
              <w:top w:val="single" w:sz="4" w:space="0" w:color="auto"/>
              <w:left w:val="single" w:sz="4" w:space="0" w:color="auto"/>
              <w:bottom w:val="single" w:sz="4" w:space="0" w:color="auto"/>
              <w:right w:val="single" w:sz="4" w:space="0" w:color="auto"/>
            </w:tcBorders>
          </w:tcPr>
          <w:p w14:paraId="64C3D686" w14:textId="77777777" w:rsidR="00DD00B4" w:rsidRPr="00E07C9A" w:rsidRDefault="00DD00B4" w:rsidP="00DD00B4">
            <w:pPr>
              <w:rPr>
                <w:rFonts w:ascii="Times New Roman" w:hAnsi="Times New Roman"/>
                <w:sz w:val="24"/>
              </w:rPr>
            </w:pPr>
            <w:r w:rsidRPr="00E07C9A">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4809C1F3" w14:textId="77777777" w:rsidR="00DD00B4" w:rsidRPr="00E07C9A" w:rsidRDefault="00DD00B4" w:rsidP="00DD00B4">
            <w:pPr>
              <w:rPr>
                <w:rFonts w:ascii="Times New Roman" w:hAnsi="Times New Roman"/>
                <w:b/>
                <w:sz w:val="24"/>
                <w:u w:val="single"/>
              </w:rPr>
            </w:pPr>
            <w:r w:rsidRPr="00E07C9A">
              <w:rPr>
                <w:rFonts w:ascii="Times New Roman" w:hAnsi="Times New Roman"/>
                <w:b/>
                <w:sz w:val="24"/>
                <w:u w:val="single"/>
              </w:rPr>
              <w:t>Nezabezpečená časť problémových expozícií</w:t>
            </w:r>
          </w:p>
          <w:p w14:paraId="39625700" w14:textId="305C7397" w:rsidR="00DD00B4" w:rsidRPr="00E07C9A" w:rsidRDefault="00233577" w:rsidP="00DD00B4">
            <w:pPr>
              <w:jc w:val="left"/>
              <w:rPr>
                <w:rFonts w:ascii="Times New Roman" w:hAnsi="Times New Roman"/>
                <w:sz w:val="24"/>
              </w:rPr>
            </w:pPr>
            <w:r w:rsidRPr="00E07C9A">
              <w:rPr>
                <w:rFonts w:ascii="Times New Roman" w:hAnsi="Times New Roman"/>
                <w:sz w:val="24"/>
              </w:rPr>
              <w:t xml:space="preserve">Článok 47a ods. 2, článok 47c ods. 1, článok 47c ods. 2, článok 47c ods. 6 nariadenia (EÚ) </w:t>
            </w:r>
            <w:r w:rsidR="009912F8" w:rsidRPr="00E07C9A">
              <w:rPr>
                <w:rFonts w:ascii="Times New Roman" w:hAnsi="Times New Roman"/>
                <w:sz w:val="24"/>
              </w:rPr>
              <w:t>č. 575/2013</w:t>
            </w:r>
          </w:p>
          <w:p w14:paraId="0CB07F08" w14:textId="3CEFB186" w:rsidR="00DD00B4" w:rsidRPr="00E07C9A" w:rsidRDefault="00303974" w:rsidP="00303974">
            <w:pPr>
              <w:rPr>
                <w:rFonts w:ascii="Times New Roman" w:hAnsi="Times New Roman"/>
                <w:b/>
                <w:sz w:val="24"/>
                <w:u w:val="single"/>
              </w:rPr>
            </w:pPr>
            <w:r w:rsidRPr="00E07C9A">
              <w:rPr>
                <w:rFonts w:ascii="Times New Roman" w:hAnsi="Times New Roman"/>
                <w:sz w:val="24"/>
              </w:rPr>
              <w:t>Inštitúcie vykazujú celkovú hodnotu expozície nezabezpečenej časti problémových expozícií</w:t>
            </w:r>
            <w:r w:rsidR="009912F8" w:rsidRPr="00E07C9A">
              <w:rPr>
                <w:rFonts w:ascii="Times New Roman" w:hAnsi="Times New Roman"/>
                <w:sz w:val="24"/>
              </w:rPr>
              <w:t xml:space="preserve"> s </w:t>
            </w:r>
            <w:r w:rsidRPr="00E07C9A">
              <w:rPr>
                <w:rFonts w:ascii="Times New Roman" w:hAnsi="Times New Roman"/>
                <w:sz w:val="24"/>
              </w:rPr>
              <w:t xml:space="preserve">úľavou, na ktoré sa vzťahuje článok 47c ods. 6 nariadenia (EÚ) </w:t>
            </w:r>
            <w:r w:rsidR="009912F8" w:rsidRPr="00E07C9A">
              <w:rPr>
                <w:rFonts w:ascii="Times New Roman" w:hAnsi="Times New Roman"/>
                <w:sz w:val="24"/>
              </w:rPr>
              <w:t>č. 575/2013</w:t>
            </w:r>
            <w:r w:rsidRPr="00E07C9A">
              <w:rPr>
                <w:rFonts w:ascii="Times New Roman" w:hAnsi="Times New Roman"/>
                <w:sz w:val="24"/>
              </w:rPr>
              <w:t>, ak bolo prvé opatrenie týkajúce sa úľavy priznané medzi prvým</w:t>
            </w:r>
            <w:r w:rsidR="009912F8" w:rsidRPr="00E07C9A">
              <w:rPr>
                <w:rFonts w:ascii="Times New Roman" w:hAnsi="Times New Roman"/>
                <w:sz w:val="24"/>
              </w:rPr>
              <w:t xml:space="preserve"> a </w:t>
            </w:r>
            <w:r w:rsidRPr="00E07C9A">
              <w:rPr>
                <w:rFonts w:ascii="Times New Roman" w:hAnsi="Times New Roman"/>
                <w:sz w:val="24"/>
              </w:rPr>
              <w:t>posledným dňom druhého roka po klasifikácii expozície ako problémovej (&gt; 1 rok; &lt;= 2 roky).</w:t>
            </w:r>
          </w:p>
        </w:tc>
      </w:tr>
      <w:tr w:rsidR="00DD00B4" w:rsidRPr="00E07C9A" w14:paraId="32B63640" w14:textId="77777777" w:rsidTr="00DD00B4">
        <w:tc>
          <w:tcPr>
            <w:tcW w:w="1188" w:type="dxa"/>
            <w:tcBorders>
              <w:top w:val="single" w:sz="4" w:space="0" w:color="auto"/>
              <w:left w:val="single" w:sz="4" w:space="0" w:color="auto"/>
              <w:bottom w:val="single" w:sz="4" w:space="0" w:color="auto"/>
              <w:right w:val="single" w:sz="4" w:space="0" w:color="auto"/>
            </w:tcBorders>
          </w:tcPr>
          <w:p w14:paraId="077445D1" w14:textId="77777777" w:rsidR="00DD00B4" w:rsidRPr="00E07C9A" w:rsidRDefault="00DD00B4" w:rsidP="00DD00B4">
            <w:pPr>
              <w:rPr>
                <w:rFonts w:ascii="Times New Roman" w:hAnsi="Times New Roman"/>
                <w:sz w:val="24"/>
              </w:rPr>
            </w:pPr>
            <w:r w:rsidRPr="00E07C9A">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12A71761" w14:textId="77777777" w:rsidR="00DD00B4" w:rsidRPr="00E07C9A" w:rsidRDefault="00DD00B4" w:rsidP="00DD00B4">
            <w:pPr>
              <w:rPr>
                <w:rFonts w:ascii="Times New Roman" w:hAnsi="Times New Roman"/>
                <w:b/>
                <w:sz w:val="24"/>
                <w:u w:val="single"/>
              </w:rPr>
            </w:pPr>
            <w:r w:rsidRPr="00E07C9A">
              <w:rPr>
                <w:rFonts w:ascii="Times New Roman" w:hAnsi="Times New Roman"/>
                <w:b/>
                <w:sz w:val="24"/>
                <w:u w:val="single"/>
              </w:rPr>
              <w:t>Časť problémových expozícií zabezpečená nehnuteľným majetkom alebo úverom na nehnuteľný majetok určený na bývanie zaručeným oprávneným poskytovateľom zabezpečenia</w:t>
            </w:r>
          </w:p>
          <w:p w14:paraId="2F389D69" w14:textId="36474F1E" w:rsidR="00DD00B4" w:rsidRPr="00E07C9A" w:rsidRDefault="006C0EF3" w:rsidP="00DD00B4">
            <w:pPr>
              <w:rPr>
                <w:rFonts w:ascii="Times New Roman" w:hAnsi="Times New Roman"/>
                <w:sz w:val="24"/>
              </w:rPr>
            </w:pPr>
            <w:r w:rsidRPr="00E07C9A">
              <w:rPr>
                <w:rFonts w:ascii="Times New Roman" w:hAnsi="Times New Roman"/>
                <w:sz w:val="24"/>
              </w:rPr>
              <w:t>Článok 47a ods. 2, článok 47c ods. 1, článok 47c ods. 3 písm. a), b), c), d), f), h)</w:t>
            </w:r>
            <w:r w:rsidR="009912F8" w:rsidRPr="00E07C9A">
              <w:rPr>
                <w:rFonts w:ascii="Times New Roman" w:hAnsi="Times New Roman"/>
                <w:sz w:val="24"/>
              </w:rPr>
              <w:t xml:space="preserve"> a </w:t>
            </w:r>
            <w:r w:rsidRPr="00E07C9A">
              <w:rPr>
                <w:rFonts w:ascii="Times New Roman" w:hAnsi="Times New Roman"/>
                <w:sz w:val="24"/>
              </w:rPr>
              <w:t>i)</w:t>
            </w:r>
            <w:r w:rsidR="009912F8" w:rsidRPr="00E07C9A">
              <w:rPr>
                <w:rFonts w:ascii="Times New Roman" w:hAnsi="Times New Roman"/>
                <w:sz w:val="24"/>
              </w:rPr>
              <w:t xml:space="preserve"> a </w:t>
            </w:r>
            <w:r w:rsidRPr="00E07C9A">
              <w:rPr>
                <w:rFonts w:ascii="Times New Roman" w:hAnsi="Times New Roman"/>
                <w:sz w:val="24"/>
              </w:rPr>
              <w:t xml:space="preserve">článok 47c ods. 6 nariadenia (EÚ) </w:t>
            </w:r>
            <w:r w:rsidR="009912F8" w:rsidRPr="00E07C9A">
              <w:rPr>
                <w:rFonts w:ascii="Times New Roman" w:hAnsi="Times New Roman"/>
                <w:sz w:val="24"/>
              </w:rPr>
              <w:t>č. 575/2013</w:t>
            </w:r>
          </w:p>
          <w:p w14:paraId="29FB8F53" w14:textId="3862FCFF" w:rsidR="00DD00B4" w:rsidRPr="00E07C9A" w:rsidRDefault="00303974" w:rsidP="00F75233">
            <w:pPr>
              <w:rPr>
                <w:rFonts w:ascii="Times New Roman" w:hAnsi="Times New Roman"/>
                <w:b/>
                <w:sz w:val="24"/>
                <w:u w:val="single"/>
              </w:rPr>
            </w:pPr>
            <w:r w:rsidRPr="00E07C9A">
              <w:rPr>
                <w:rFonts w:ascii="Times New Roman" w:hAnsi="Times New Roman"/>
                <w:sz w:val="24"/>
              </w:rPr>
              <w:t>Inštitúcie vykazujú celkovú hodnotu expozície tých častí problémových expozícií</w:t>
            </w:r>
            <w:r w:rsidR="009912F8" w:rsidRPr="00E07C9A">
              <w:rPr>
                <w:rFonts w:ascii="Times New Roman" w:hAnsi="Times New Roman"/>
                <w:sz w:val="24"/>
              </w:rPr>
              <w:t xml:space="preserve"> s </w:t>
            </w:r>
            <w:r w:rsidRPr="00E07C9A">
              <w:rPr>
                <w:rFonts w:ascii="Times New Roman" w:hAnsi="Times New Roman"/>
                <w:sz w:val="24"/>
              </w:rPr>
              <w:t xml:space="preserve">úľavou, na ktoré sa vzťahuje článok 47c ods. 6 nariadenia (EÚ) </w:t>
            </w:r>
            <w:r w:rsidR="009912F8" w:rsidRPr="00E07C9A">
              <w:rPr>
                <w:rFonts w:ascii="Times New Roman" w:hAnsi="Times New Roman"/>
                <w:sz w:val="24"/>
              </w:rPr>
              <w:t>č. 575/2013 a </w:t>
            </w:r>
            <w:r w:rsidRPr="00E07C9A">
              <w:rPr>
                <w:rFonts w:ascii="Times New Roman" w:hAnsi="Times New Roman"/>
                <w:sz w:val="24"/>
              </w:rPr>
              <w:t>ktoré sú zabezpečené nehnuteľným majetkom podľa tretej časti hlavy II uvedeného nariadenia alebo ktoré sú úverom na nehnuteľný majetok určený na bývanie zaručeným oprávneným poskytovateľom zabezpečenia, ako sa uvádza</w:t>
            </w:r>
            <w:r w:rsidR="009912F8" w:rsidRPr="00E07C9A">
              <w:rPr>
                <w:rFonts w:ascii="Times New Roman" w:hAnsi="Times New Roman"/>
                <w:sz w:val="24"/>
              </w:rPr>
              <w:t xml:space="preserve"> v </w:t>
            </w:r>
            <w:r w:rsidRPr="00E07C9A">
              <w:rPr>
                <w:rFonts w:ascii="Times New Roman" w:hAnsi="Times New Roman"/>
                <w:sz w:val="24"/>
              </w:rPr>
              <w:t>článku 201 uvedeného nariadenia.</w:t>
            </w:r>
          </w:p>
        </w:tc>
      </w:tr>
      <w:tr w:rsidR="00DD00B4" w:rsidRPr="00E07C9A" w14:paraId="73DA94DA" w14:textId="77777777" w:rsidTr="00DD00B4">
        <w:tc>
          <w:tcPr>
            <w:tcW w:w="1188" w:type="dxa"/>
            <w:tcBorders>
              <w:top w:val="single" w:sz="4" w:space="0" w:color="auto"/>
              <w:left w:val="single" w:sz="4" w:space="0" w:color="auto"/>
              <w:bottom w:val="single" w:sz="4" w:space="0" w:color="auto"/>
              <w:right w:val="single" w:sz="4" w:space="0" w:color="auto"/>
            </w:tcBorders>
          </w:tcPr>
          <w:p w14:paraId="134BF996" w14:textId="77777777" w:rsidR="00DD00B4" w:rsidRPr="00E07C9A" w:rsidRDefault="00DD00B4" w:rsidP="00DD00B4">
            <w:pPr>
              <w:rPr>
                <w:rFonts w:ascii="Times New Roman" w:hAnsi="Times New Roman"/>
                <w:sz w:val="24"/>
              </w:rPr>
            </w:pPr>
            <w:r w:rsidRPr="00E07C9A">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64B2BC24" w14:textId="149C362E" w:rsidR="00DD00B4" w:rsidRPr="00E07C9A" w:rsidRDefault="00DD00B4" w:rsidP="00DD00B4">
            <w:pPr>
              <w:rPr>
                <w:rFonts w:ascii="Times New Roman" w:hAnsi="Times New Roman"/>
                <w:b/>
                <w:sz w:val="24"/>
                <w:u w:val="single"/>
              </w:rPr>
            </w:pPr>
            <w:r w:rsidRPr="00E07C9A">
              <w:rPr>
                <w:rFonts w:ascii="Times New Roman" w:hAnsi="Times New Roman"/>
                <w:b/>
                <w:sz w:val="24"/>
                <w:u w:val="single"/>
              </w:rPr>
              <w:t>&gt; 2 roky</w:t>
            </w:r>
            <w:r w:rsidR="009912F8" w:rsidRPr="00E07C9A">
              <w:rPr>
                <w:rFonts w:ascii="Times New Roman" w:hAnsi="Times New Roman"/>
                <w:b/>
                <w:sz w:val="24"/>
                <w:u w:val="single"/>
              </w:rPr>
              <w:t xml:space="preserve"> a </w:t>
            </w:r>
            <w:r w:rsidRPr="00E07C9A">
              <w:rPr>
                <w:rFonts w:ascii="Times New Roman" w:hAnsi="Times New Roman"/>
                <w:b/>
                <w:sz w:val="24"/>
                <w:u w:val="single"/>
              </w:rPr>
              <w:t>&lt;= 3 roky po klasifikácii ako NPE</w:t>
            </w:r>
          </w:p>
          <w:p w14:paraId="37E8AA50" w14:textId="6D3A783A" w:rsidR="00DD00B4" w:rsidRPr="00E07C9A" w:rsidRDefault="00DD00B4" w:rsidP="00DD00B4">
            <w:pPr>
              <w:rPr>
                <w:rFonts w:ascii="Times New Roman" w:hAnsi="Times New Roman"/>
                <w:b/>
                <w:sz w:val="24"/>
                <w:u w:val="single"/>
              </w:rPr>
            </w:pPr>
            <w:r w:rsidRPr="00E07C9A">
              <w:rPr>
                <w:rFonts w:ascii="Times New Roman" w:hAnsi="Times New Roman"/>
                <w:sz w:val="24"/>
              </w:rPr>
              <w:t>Inštitúcie vykazujú hodnotu expozície problémových expozícií</w:t>
            </w:r>
            <w:r w:rsidR="009912F8" w:rsidRPr="00E07C9A">
              <w:rPr>
                <w:rFonts w:ascii="Times New Roman" w:hAnsi="Times New Roman"/>
                <w:sz w:val="24"/>
              </w:rPr>
              <w:t xml:space="preserve"> s </w:t>
            </w:r>
            <w:r w:rsidRPr="00E07C9A">
              <w:rPr>
                <w:rFonts w:ascii="Times New Roman" w:hAnsi="Times New Roman"/>
                <w:sz w:val="24"/>
              </w:rPr>
              <w:t xml:space="preserve">úľavou, na ktoré sa vzťahuje článok 47c ods. 6 nariadenia (EÚ) </w:t>
            </w:r>
            <w:r w:rsidR="009912F8" w:rsidRPr="00E07C9A">
              <w:rPr>
                <w:rFonts w:ascii="Times New Roman" w:hAnsi="Times New Roman"/>
                <w:sz w:val="24"/>
              </w:rPr>
              <w:t>č. 575/2013 a </w:t>
            </w:r>
            <w:r w:rsidRPr="00E07C9A">
              <w:rPr>
                <w:rFonts w:ascii="Times New Roman" w:hAnsi="Times New Roman"/>
                <w:sz w:val="24"/>
              </w:rPr>
              <w:t>ktoré sú zabezpečené nehnuteľným majetkom alebo úverom na nehnuteľný majetok určený na bývanie zaručeným oprávneným poskytovateľom zabezpečenia, ak bolo prvé opatrenie týkajúce sa úľavy priznané medzi prvým</w:t>
            </w:r>
            <w:r w:rsidR="009912F8" w:rsidRPr="00E07C9A">
              <w:rPr>
                <w:rFonts w:ascii="Times New Roman" w:hAnsi="Times New Roman"/>
                <w:sz w:val="24"/>
              </w:rPr>
              <w:t xml:space="preserve"> a </w:t>
            </w:r>
            <w:r w:rsidRPr="00E07C9A">
              <w:rPr>
                <w:rFonts w:ascii="Times New Roman" w:hAnsi="Times New Roman"/>
                <w:sz w:val="24"/>
              </w:rPr>
              <w:t>posledným dňom tretieho roka po klasifikácii expozície ako problémovej.</w:t>
            </w:r>
          </w:p>
        </w:tc>
      </w:tr>
      <w:tr w:rsidR="00DD00B4" w:rsidRPr="00E07C9A" w14:paraId="7BC2A65C" w14:textId="77777777" w:rsidTr="00DD00B4">
        <w:tc>
          <w:tcPr>
            <w:tcW w:w="1188" w:type="dxa"/>
            <w:tcBorders>
              <w:top w:val="single" w:sz="4" w:space="0" w:color="auto"/>
              <w:left w:val="single" w:sz="4" w:space="0" w:color="auto"/>
              <w:bottom w:val="single" w:sz="4" w:space="0" w:color="auto"/>
              <w:right w:val="single" w:sz="4" w:space="0" w:color="auto"/>
            </w:tcBorders>
          </w:tcPr>
          <w:p w14:paraId="238D6E93" w14:textId="77777777" w:rsidR="00DD00B4" w:rsidRPr="00E07C9A" w:rsidRDefault="00DD00B4" w:rsidP="00DD00B4">
            <w:pPr>
              <w:rPr>
                <w:rFonts w:ascii="Times New Roman" w:hAnsi="Times New Roman"/>
                <w:sz w:val="24"/>
              </w:rPr>
            </w:pPr>
            <w:r w:rsidRPr="00E07C9A">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03D7CF27" w14:textId="635AC5FC" w:rsidR="00DD00B4" w:rsidRPr="00E07C9A" w:rsidRDefault="00DD00B4" w:rsidP="00DD00B4">
            <w:pPr>
              <w:rPr>
                <w:rFonts w:ascii="Times New Roman" w:hAnsi="Times New Roman"/>
                <w:b/>
                <w:sz w:val="24"/>
                <w:u w:val="single"/>
              </w:rPr>
            </w:pPr>
            <w:r w:rsidRPr="00E07C9A">
              <w:rPr>
                <w:rFonts w:ascii="Times New Roman" w:hAnsi="Times New Roman"/>
                <w:b/>
                <w:sz w:val="24"/>
                <w:u w:val="single"/>
              </w:rPr>
              <w:t>&gt; 3 roky</w:t>
            </w:r>
            <w:r w:rsidR="009912F8" w:rsidRPr="00E07C9A">
              <w:rPr>
                <w:rFonts w:ascii="Times New Roman" w:hAnsi="Times New Roman"/>
                <w:b/>
                <w:sz w:val="24"/>
                <w:u w:val="single"/>
              </w:rPr>
              <w:t xml:space="preserve"> a </w:t>
            </w:r>
            <w:r w:rsidRPr="00E07C9A">
              <w:rPr>
                <w:rFonts w:ascii="Times New Roman" w:hAnsi="Times New Roman"/>
                <w:b/>
                <w:sz w:val="24"/>
                <w:u w:val="single"/>
              </w:rPr>
              <w:t>&lt;= 4 roky po klasifikácii ako NPE</w:t>
            </w:r>
          </w:p>
          <w:p w14:paraId="0932C52B" w14:textId="1AC56D65" w:rsidR="00DD00B4" w:rsidRPr="00E07C9A" w:rsidRDefault="00DD00B4" w:rsidP="00DD00B4">
            <w:pPr>
              <w:rPr>
                <w:rFonts w:ascii="Times New Roman" w:hAnsi="Times New Roman"/>
                <w:b/>
                <w:sz w:val="24"/>
                <w:u w:val="single"/>
              </w:rPr>
            </w:pPr>
            <w:r w:rsidRPr="00E07C9A">
              <w:rPr>
                <w:rFonts w:ascii="Times New Roman" w:hAnsi="Times New Roman"/>
                <w:sz w:val="24"/>
              </w:rPr>
              <w:t>Inštitúcie vykazujú hodnotu expozície problémových expozícií</w:t>
            </w:r>
            <w:r w:rsidR="009912F8" w:rsidRPr="00E07C9A">
              <w:rPr>
                <w:rFonts w:ascii="Times New Roman" w:hAnsi="Times New Roman"/>
                <w:sz w:val="24"/>
              </w:rPr>
              <w:t xml:space="preserve"> s </w:t>
            </w:r>
            <w:r w:rsidRPr="00E07C9A">
              <w:rPr>
                <w:rFonts w:ascii="Times New Roman" w:hAnsi="Times New Roman"/>
                <w:sz w:val="24"/>
              </w:rPr>
              <w:t xml:space="preserve">úľavou, na ktoré sa vzťahuje článok 47c ods. 6 nariadenia (EÚ) </w:t>
            </w:r>
            <w:r w:rsidR="009912F8" w:rsidRPr="00E07C9A">
              <w:rPr>
                <w:rFonts w:ascii="Times New Roman" w:hAnsi="Times New Roman"/>
                <w:sz w:val="24"/>
              </w:rPr>
              <w:t>č. 575/2013 a </w:t>
            </w:r>
            <w:r w:rsidRPr="00E07C9A">
              <w:rPr>
                <w:rFonts w:ascii="Times New Roman" w:hAnsi="Times New Roman"/>
                <w:sz w:val="24"/>
              </w:rPr>
              <w:t>ktoré sú zabezpečené nehnuteľným majetkom alebo úverom na nehnuteľný majetok určený na bývanie zaručeným oprávneným poskytovateľom zabezpečenia, ak bolo prvé opatrenie týkajúce sa úľavy priznané medzi prvým</w:t>
            </w:r>
            <w:r w:rsidR="009912F8" w:rsidRPr="00E07C9A">
              <w:rPr>
                <w:rFonts w:ascii="Times New Roman" w:hAnsi="Times New Roman"/>
                <w:sz w:val="24"/>
              </w:rPr>
              <w:t xml:space="preserve"> a </w:t>
            </w:r>
            <w:r w:rsidRPr="00E07C9A">
              <w:rPr>
                <w:rFonts w:ascii="Times New Roman" w:hAnsi="Times New Roman"/>
                <w:sz w:val="24"/>
              </w:rPr>
              <w:t>posledným dňom štvrtého roka po klasifikácii expozície ako problémovej.</w:t>
            </w:r>
          </w:p>
        </w:tc>
      </w:tr>
      <w:tr w:rsidR="00DD00B4" w:rsidRPr="00E07C9A" w14:paraId="39413C7E" w14:textId="77777777" w:rsidTr="00DD00B4">
        <w:tc>
          <w:tcPr>
            <w:tcW w:w="1188" w:type="dxa"/>
            <w:tcBorders>
              <w:top w:val="single" w:sz="4" w:space="0" w:color="auto"/>
              <w:left w:val="single" w:sz="4" w:space="0" w:color="auto"/>
              <w:bottom w:val="single" w:sz="4" w:space="0" w:color="auto"/>
              <w:right w:val="single" w:sz="4" w:space="0" w:color="auto"/>
            </w:tcBorders>
          </w:tcPr>
          <w:p w14:paraId="757509E9" w14:textId="77777777" w:rsidR="00DD00B4" w:rsidRPr="00E07C9A" w:rsidRDefault="00DD00B4" w:rsidP="00DD00B4">
            <w:pPr>
              <w:rPr>
                <w:rFonts w:ascii="Times New Roman" w:hAnsi="Times New Roman"/>
                <w:sz w:val="24"/>
              </w:rPr>
            </w:pPr>
            <w:r w:rsidRPr="00E07C9A">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260A1E77" w14:textId="50F21AEE" w:rsidR="00DD00B4" w:rsidRPr="00E07C9A" w:rsidRDefault="00DD00B4" w:rsidP="00DD00B4">
            <w:pPr>
              <w:rPr>
                <w:rFonts w:ascii="Times New Roman" w:hAnsi="Times New Roman"/>
                <w:b/>
                <w:sz w:val="24"/>
                <w:u w:val="single"/>
              </w:rPr>
            </w:pPr>
            <w:r w:rsidRPr="00E07C9A">
              <w:rPr>
                <w:rFonts w:ascii="Times New Roman" w:hAnsi="Times New Roman"/>
                <w:b/>
                <w:sz w:val="24"/>
                <w:u w:val="single"/>
              </w:rPr>
              <w:t>&gt; 4 roky</w:t>
            </w:r>
            <w:r w:rsidR="009912F8" w:rsidRPr="00E07C9A">
              <w:rPr>
                <w:rFonts w:ascii="Times New Roman" w:hAnsi="Times New Roman"/>
                <w:b/>
                <w:sz w:val="24"/>
                <w:u w:val="single"/>
              </w:rPr>
              <w:t xml:space="preserve"> a </w:t>
            </w:r>
            <w:r w:rsidRPr="00E07C9A">
              <w:rPr>
                <w:rFonts w:ascii="Times New Roman" w:hAnsi="Times New Roman"/>
                <w:b/>
                <w:sz w:val="24"/>
                <w:u w:val="single"/>
              </w:rPr>
              <w:t>&lt;= 5 rokov po klasifikácii ako NPE</w:t>
            </w:r>
          </w:p>
          <w:p w14:paraId="6D3F8794" w14:textId="32C27003" w:rsidR="00DD00B4" w:rsidRPr="00E07C9A" w:rsidRDefault="00DD00B4" w:rsidP="008D0D6A">
            <w:pPr>
              <w:rPr>
                <w:rFonts w:ascii="Times New Roman" w:hAnsi="Times New Roman"/>
                <w:b/>
                <w:sz w:val="24"/>
                <w:u w:val="single"/>
              </w:rPr>
            </w:pPr>
            <w:r w:rsidRPr="00E07C9A">
              <w:rPr>
                <w:rFonts w:ascii="Times New Roman" w:hAnsi="Times New Roman"/>
                <w:sz w:val="24"/>
              </w:rPr>
              <w:t>Inštitúcie vykazujú hodnotu expozície problémových expozícií</w:t>
            </w:r>
            <w:r w:rsidR="009912F8" w:rsidRPr="00E07C9A">
              <w:rPr>
                <w:rFonts w:ascii="Times New Roman" w:hAnsi="Times New Roman"/>
                <w:sz w:val="24"/>
              </w:rPr>
              <w:t xml:space="preserve"> s </w:t>
            </w:r>
            <w:r w:rsidRPr="00E07C9A">
              <w:rPr>
                <w:rFonts w:ascii="Times New Roman" w:hAnsi="Times New Roman"/>
                <w:sz w:val="24"/>
              </w:rPr>
              <w:t xml:space="preserve">úľavou, na ktoré sa vzťahuje článok 47c ods. 6 nariadenia (EÚ) </w:t>
            </w:r>
            <w:r w:rsidR="009912F8" w:rsidRPr="00E07C9A">
              <w:rPr>
                <w:rFonts w:ascii="Times New Roman" w:hAnsi="Times New Roman"/>
                <w:sz w:val="24"/>
              </w:rPr>
              <w:t>č. 575/2013 a </w:t>
            </w:r>
            <w:r w:rsidRPr="00E07C9A">
              <w:rPr>
                <w:rFonts w:ascii="Times New Roman" w:hAnsi="Times New Roman"/>
                <w:sz w:val="24"/>
              </w:rPr>
              <w:t>ktoré sú zabezpečené nehnuteľným majetkom alebo úverom na nehnuteľný majetok určený na bývanie zaručeným oprávneným poskytovateľom zabezpečenia, ak bolo prvé opatrenie týkajúce sa úľavy priznané medzi prvým</w:t>
            </w:r>
            <w:r w:rsidR="009912F8" w:rsidRPr="00E07C9A">
              <w:rPr>
                <w:rFonts w:ascii="Times New Roman" w:hAnsi="Times New Roman"/>
                <w:sz w:val="24"/>
              </w:rPr>
              <w:t xml:space="preserve"> a </w:t>
            </w:r>
            <w:r w:rsidRPr="00E07C9A">
              <w:rPr>
                <w:rFonts w:ascii="Times New Roman" w:hAnsi="Times New Roman"/>
                <w:sz w:val="24"/>
              </w:rPr>
              <w:t>posledným dňom piateho roka po klasifikácii expozície ako problémovej.</w:t>
            </w:r>
          </w:p>
        </w:tc>
      </w:tr>
      <w:tr w:rsidR="00DD00B4" w:rsidRPr="00E07C9A" w14:paraId="359FC3EA" w14:textId="77777777" w:rsidTr="00DD00B4">
        <w:tc>
          <w:tcPr>
            <w:tcW w:w="1188" w:type="dxa"/>
            <w:tcBorders>
              <w:top w:val="single" w:sz="4" w:space="0" w:color="auto"/>
              <w:left w:val="single" w:sz="4" w:space="0" w:color="auto"/>
              <w:bottom w:val="single" w:sz="4" w:space="0" w:color="auto"/>
              <w:right w:val="single" w:sz="4" w:space="0" w:color="auto"/>
            </w:tcBorders>
          </w:tcPr>
          <w:p w14:paraId="16BA6DD7" w14:textId="77777777" w:rsidR="00DD00B4" w:rsidRPr="00E07C9A" w:rsidRDefault="00DD00B4" w:rsidP="00DD00B4">
            <w:pPr>
              <w:rPr>
                <w:rFonts w:ascii="Times New Roman" w:hAnsi="Times New Roman"/>
                <w:sz w:val="24"/>
              </w:rPr>
            </w:pPr>
            <w:r w:rsidRPr="00E07C9A">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09149033" w14:textId="143031A0" w:rsidR="00DD00B4" w:rsidRPr="00E07C9A" w:rsidRDefault="00DD00B4" w:rsidP="00DD00B4">
            <w:pPr>
              <w:rPr>
                <w:rFonts w:ascii="Times New Roman" w:hAnsi="Times New Roman"/>
                <w:b/>
                <w:sz w:val="24"/>
                <w:u w:val="single"/>
              </w:rPr>
            </w:pPr>
            <w:r w:rsidRPr="00E07C9A">
              <w:rPr>
                <w:rFonts w:ascii="Times New Roman" w:hAnsi="Times New Roman"/>
                <w:b/>
                <w:sz w:val="24"/>
                <w:u w:val="single"/>
              </w:rPr>
              <w:t>&gt; 5 rokov</w:t>
            </w:r>
            <w:r w:rsidR="009912F8" w:rsidRPr="00E07C9A">
              <w:rPr>
                <w:rFonts w:ascii="Times New Roman" w:hAnsi="Times New Roman"/>
                <w:b/>
                <w:sz w:val="24"/>
                <w:u w:val="single"/>
              </w:rPr>
              <w:t xml:space="preserve"> a </w:t>
            </w:r>
            <w:r w:rsidRPr="00E07C9A">
              <w:rPr>
                <w:rFonts w:ascii="Times New Roman" w:hAnsi="Times New Roman"/>
                <w:b/>
                <w:sz w:val="24"/>
                <w:u w:val="single"/>
              </w:rPr>
              <w:t>&lt;= 6 rokov po klasifikácii ako NPE</w:t>
            </w:r>
          </w:p>
          <w:p w14:paraId="74ECA5C1" w14:textId="60C0BB75" w:rsidR="00DD00B4" w:rsidRPr="00E07C9A" w:rsidRDefault="00DD00B4" w:rsidP="008D0D6A">
            <w:pPr>
              <w:rPr>
                <w:rFonts w:ascii="Times New Roman" w:hAnsi="Times New Roman"/>
                <w:b/>
                <w:sz w:val="24"/>
                <w:u w:val="single"/>
              </w:rPr>
            </w:pPr>
            <w:r w:rsidRPr="00E07C9A">
              <w:rPr>
                <w:rFonts w:ascii="Times New Roman" w:hAnsi="Times New Roman"/>
                <w:sz w:val="24"/>
              </w:rPr>
              <w:t>Inštitúcie vykazujú hodnotu expozície problémových expozícií</w:t>
            </w:r>
            <w:r w:rsidR="009912F8" w:rsidRPr="00E07C9A">
              <w:rPr>
                <w:rFonts w:ascii="Times New Roman" w:hAnsi="Times New Roman"/>
                <w:sz w:val="24"/>
              </w:rPr>
              <w:t xml:space="preserve"> s </w:t>
            </w:r>
            <w:r w:rsidRPr="00E07C9A">
              <w:rPr>
                <w:rFonts w:ascii="Times New Roman" w:hAnsi="Times New Roman"/>
                <w:sz w:val="24"/>
              </w:rPr>
              <w:t xml:space="preserve">úľavou, na ktoré sa vzťahuje článok 47c ods. 6 nariadenia (EÚ) </w:t>
            </w:r>
            <w:r w:rsidR="009912F8" w:rsidRPr="00E07C9A">
              <w:rPr>
                <w:rFonts w:ascii="Times New Roman" w:hAnsi="Times New Roman"/>
                <w:sz w:val="24"/>
              </w:rPr>
              <w:t>č. 575/2013 a </w:t>
            </w:r>
            <w:r w:rsidRPr="00E07C9A">
              <w:rPr>
                <w:rFonts w:ascii="Times New Roman" w:hAnsi="Times New Roman"/>
                <w:sz w:val="24"/>
              </w:rPr>
              <w:t>ktoré sú zabezpečené nehnuteľným majetkom alebo úverom na nehnuteľný majetok určený na bývanie zaručeným oprávneným poskytovateľom zabezpečenia, ak bolo prvé opatrenie týkajúce sa úľavy priznané medzi prvým</w:t>
            </w:r>
            <w:r w:rsidR="009912F8" w:rsidRPr="00E07C9A">
              <w:rPr>
                <w:rFonts w:ascii="Times New Roman" w:hAnsi="Times New Roman"/>
                <w:sz w:val="24"/>
              </w:rPr>
              <w:t xml:space="preserve"> a </w:t>
            </w:r>
            <w:r w:rsidRPr="00E07C9A">
              <w:rPr>
                <w:rFonts w:ascii="Times New Roman" w:hAnsi="Times New Roman"/>
                <w:sz w:val="24"/>
              </w:rPr>
              <w:t>posledným dňom šiesteho roka po klasifikácii expozície ako problémovej.</w:t>
            </w:r>
          </w:p>
        </w:tc>
      </w:tr>
      <w:tr w:rsidR="00DD00B4" w:rsidRPr="00E07C9A" w14:paraId="0786BBB7" w14:textId="77777777" w:rsidTr="00DD00B4">
        <w:tc>
          <w:tcPr>
            <w:tcW w:w="1188" w:type="dxa"/>
            <w:tcBorders>
              <w:top w:val="single" w:sz="4" w:space="0" w:color="auto"/>
              <w:left w:val="single" w:sz="4" w:space="0" w:color="auto"/>
              <w:bottom w:val="single" w:sz="4" w:space="0" w:color="auto"/>
              <w:right w:val="single" w:sz="4" w:space="0" w:color="auto"/>
            </w:tcBorders>
          </w:tcPr>
          <w:p w14:paraId="4D2BC9F0" w14:textId="77777777" w:rsidR="00DD00B4" w:rsidRPr="00E07C9A" w:rsidRDefault="00DD00B4" w:rsidP="00DD00B4">
            <w:pPr>
              <w:rPr>
                <w:rFonts w:ascii="Times New Roman" w:hAnsi="Times New Roman"/>
                <w:sz w:val="24"/>
              </w:rPr>
            </w:pPr>
            <w:r w:rsidRPr="00E07C9A">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23EEE58A" w14:textId="77777777" w:rsidR="00DD00B4" w:rsidRPr="00E07C9A" w:rsidRDefault="00DD00B4" w:rsidP="00DD00B4">
            <w:pPr>
              <w:rPr>
                <w:rFonts w:ascii="Times New Roman" w:hAnsi="Times New Roman"/>
                <w:b/>
                <w:sz w:val="24"/>
              </w:rPr>
            </w:pPr>
            <w:r w:rsidRPr="00E07C9A">
              <w:rPr>
                <w:rFonts w:ascii="Times New Roman" w:hAnsi="Times New Roman"/>
                <w:b/>
                <w:sz w:val="24"/>
              </w:rPr>
              <w:t>Časť problémových expozícií zabezpečená iným financovaným alebo nefinancovaným kreditným zabezpečením</w:t>
            </w:r>
          </w:p>
          <w:p w14:paraId="1EE8A172" w14:textId="40B7D01F" w:rsidR="00DD00B4" w:rsidRPr="00E07C9A" w:rsidRDefault="00DD00B4" w:rsidP="00DD00B4">
            <w:pPr>
              <w:jc w:val="left"/>
              <w:rPr>
                <w:rFonts w:ascii="Times New Roman" w:hAnsi="Times New Roman"/>
                <w:sz w:val="24"/>
              </w:rPr>
            </w:pPr>
            <w:r w:rsidRPr="00E07C9A">
              <w:rPr>
                <w:rFonts w:ascii="Times New Roman" w:hAnsi="Times New Roman"/>
                <w:sz w:val="24"/>
              </w:rPr>
              <w:t>Článok 47c ods. 1, článok 47c ods. 3 písm. a), b), c), e)</w:t>
            </w:r>
            <w:r w:rsidR="009912F8" w:rsidRPr="00E07C9A">
              <w:rPr>
                <w:rFonts w:ascii="Times New Roman" w:hAnsi="Times New Roman"/>
                <w:sz w:val="24"/>
              </w:rPr>
              <w:t xml:space="preserve"> a </w:t>
            </w:r>
            <w:r w:rsidRPr="00E07C9A">
              <w:rPr>
                <w:rFonts w:ascii="Times New Roman" w:hAnsi="Times New Roman"/>
                <w:sz w:val="24"/>
              </w:rPr>
              <w:t>g)</w:t>
            </w:r>
            <w:r w:rsidR="009912F8" w:rsidRPr="00E07C9A">
              <w:rPr>
                <w:rFonts w:ascii="Times New Roman" w:hAnsi="Times New Roman"/>
                <w:sz w:val="24"/>
              </w:rPr>
              <w:t xml:space="preserve"> a </w:t>
            </w:r>
            <w:r w:rsidRPr="00E07C9A">
              <w:rPr>
                <w:rFonts w:ascii="Times New Roman" w:hAnsi="Times New Roman"/>
                <w:sz w:val="24"/>
              </w:rPr>
              <w:t xml:space="preserve">článok 47c ods. 6 nariadenia (EÚ) </w:t>
            </w:r>
            <w:r w:rsidR="009912F8" w:rsidRPr="00E07C9A">
              <w:rPr>
                <w:rFonts w:ascii="Times New Roman" w:hAnsi="Times New Roman"/>
                <w:sz w:val="24"/>
              </w:rPr>
              <w:t>č. 575/2013</w:t>
            </w:r>
          </w:p>
          <w:p w14:paraId="5D8662BC" w14:textId="688D9164" w:rsidR="00DD00B4" w:rsidRPr="00E07C9A" w:rsidRDefault="00303974" w:rsidP="003175FE">
            <w:pPr>
              <w:rPr>
                <w:rFonts w:ascii="Times New Roman" w:hAnsi="Times New Roman"/>
                <w:b/>
                <w:sz w:val="24"/>
                <w:u w:val="single"/>
              </w:rPr>
            </w:pPr>
            <w:r w:rsidRPr="00E07C9A">
              <w:rPr>
                <w:rFonts w:ascii="Times New Roman" w:hAnsi="Times New Roman"/>
                <w:sz w:val="24"/>
              </w:rPr>
              <w:t>Inštitúcie vykazujú celkovú hodnotu expozície častí problémových expozícií</w:t>
            </w:r>
            <w:r w:rsidR="009912F8" w:rsidRPr="00E07C9A">
              <w:rPr>
                <w:rFonts w:ascii="Times New Roman" w:hAnsi="Times New Roman"/>
                <w:sz w:val="24"/>
              </w:rPr>
              <w:t xml:space="preserve"> s </w:t>
            </w:r>
            <w:r w:rsidRPr="00E07C9A">
              <w:rPr>
                <w:rFonts w:ascii="Times New Roman" w:hAnsi="Times New Roman"/>
                <w:sz w:val="24"/>
              </w:rPr>
              <w:t xml:space="preserve">úľavou, na ktoré sa vzťahuje článok 47c ods. 6 nariadenia (EÚ) </w:t>
            </w:r>
            <w:r w:rsidR="009912F8" w:rsidRPr="00E07C9A">
              <w:rPr>
                <w:rFonts w:ascii="Times New Roman" w:hAnsi="Times New Roman"/>
                <w:sz w:val="24"/>
              </w:rPr>
              <w:t>č. 575/2013 a </w:t>
            </w:r>
            <w:r w:rsidRPr="00E07C9A">
              <w:rPr>
                <w:rFonts w:ascii="Times New Roman" w:hAnsi="Times New Roman"/>
                <w:sz w:val="24"/>
              </w:rPr>
              <w:t xml:space="preserve">ktoré sú zabezpečené iným financovaným alebo nefinancovaným kreditným zabezpečením podľa tretej časti hlavy II nariadenia (EÚ) </w:t>
            </w:r>
            <w:r w:rsidR="009912F8" w:rsidRPr="00E07C9A">
              <w:rPr>
                <w:rFonts w:ascii="Times New Roman" w:hAnsi="Times New Roman"/>
                <w:sz w:val="24"/>
              </w:rPr>
              <w:t>č. 575/2013</w:t>
            </w:r>
            <w:r w:rsidRPr="00E07C9A">
              <w:rPr>
                <w:rFonts w:ascii="Times New Roman" w:hAnsi="Times New Roman"/>
                <w:sz w:val="24"/>
              </w:rPr>
              <w:t>.</w:t>
            </w:r>
          </w:p>
        </w:tc>
      </w:tr>
      <w:tr w:rsidR="00DD00B4" w:rsidRPr="00E07C9A" w14:paraId="54C0B810" w14:textId="77777777" w:rsidTr="00DD00B4">
        <w:tc>
          <w:tcPr>
            <w:tcW w:w="1188" w:type="dxa"/>
            <w:tcBorders>
              <w:top w:val="single" w:sz="4" w:space="0" w:color="auto"/>
              <w:left w:val="single" w:sz="4" w:space="0" w:color="auto"/>
              <w:bottom w:val="single" w:sz="4" w:space="0" w:color="auto"/>
              <w:right w:val="single" w:sz="4" w:space="0" w:color="auto"/>
            </w:tcBorders>
          </w:tcPr>
          <w:p w14:paraId="56DC00CB" w14:textId="77777777" w:rsidR="00DD00B4" w:rsidRPr="00E07C9A" w:rsidRDefault="00DD00B4" w:rsidP="00DD00B4">
            <w:pPr>
              <w:rPr>
                <w:rFonts w:ascii="Times New Roman" w:hAnsi="Times New Roman"/>
                <w:sz w:val="24"/>
              </w:rPr>
            </w:pPr>
            <w:r w:rsidRPr="00E07C9A">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14:paraId="5117571E" w14:textId="030F2E7C" w:rsidR="00DD00B4" w:rsidRPr="00E07C9A" w:rsidRDefault="00DD00B4" w:rsidP="00DD00B4">
            <w:pPr>
              <w:rPr>
                <w:rFonts w:ascii="Times New Roman" w:hAnsi="Times New Roman"/>
                <w:b/>
                <w:sz w:val="24"/>
                <w:u w:val="single"/>
              </w:rPr>
            </w:pPr>
            <w:r w:rsidRPr="00E07C9A">
              <w:rPr>
                <w:rFonts w:ascii="Times New Roman" w:hAnsi="Times New Roman"/>
                <w:b/>
                <w:sz w:val="24"/>
                <w:u w:val="single"/>
              </w:rPr>
              <w:t>&gt; 2 roky</w:t>
            </w:r>
            <w:r w:rsidR="009912F8" w:rsidRPr="00E07C9A">
              <w:rPr>
                <w:rFonts w:ascii="Times New Roman" w:hAnsi="Times New Roman"/>
                <w:b/>
                <w:sz w:val="24"/>
                <w:u w:val="single"/>
              </w:rPr>
              <w:t xml:space="preserve"> a </w:t>
            </w:r>
            <w:r w:rsidRPr="00E07C9A">
              <w:rPr>
                <w:rFonts w:ascii="Times New Roman" w:hAnsi="Times New Roman"/>
                <w:b/>
                <w:sz w:val="24"/>
                <w:u w:val="single"/>
              </w:rPr>
              <w:t>&lt;= 3 roky po klasifikácii ako NPE</w:t>
            </w:r>
          </w:p>
          <w:p w14:paraId="0775FEE8" w14:textId="64386B7A" w:rsidR="00DD00B4" w:rsidRPr="00E07C9A" w:rsidRDefault="00DD00B4" w:rsidP="008D0D6A">
            <w:pPr>
              <w:rPr>
                <w:rFonts w:ascii="Times New Roman" w:hAnsi="Times New Roman"/>
                <w:b/>
                <w:sz w:val="24"/>
              </w:rPr>
            </w:pPr>
            <w:r w:rsidRPr="00E07C9A">
              <w:rPr>
                <w:rFonts w:ascii="Times New Roman" w:hAnsi="Times New Roman"/>
                <w:sz w:val="24"/>
              </w:rPr>
              <w:t>Inštitúcie vykazujú hodnotu expozície problémových expozícií</w:t>
            </w:r>
            <w:r w:rsidR="009912F8" w:rsidRPr="00E07C9A">
              <w:rPr>
                <w:rFonts w:ascii="Times New Roman" w:hAnsi="Times New Roman"/>
                <w:sz w:val="24"/>
              </w:rPr>
              <w:t xml:space="preserve"> s </w:t>
            </w:r>
            <w:r w:rsidRPr="00E07C9A">
              <w:rPr>
                <w:rFonts w:ascii="Times New Roman" w:hAnsi="Times New Roman"/>
                <w:sz w:val="24"/>
              </w:rPr>
              <w:t xml:space="preserve">úľavou, na ktoré sa vzťahuje článok 47c ods. 6 nariadenia (EÚ) </w:t>
            </w:r>
            <w:r w:rsidR="009912F8" w:rsidRPr="00E07C9A">
              <w:rPr>
                <w:rFonts w:ascii="Times New Roman" w:hAnsi="Times New Roman"/>
                <w:sz w:val="24"/>
              </w:rPr>
              <w:t>č. 575/2013 a </w:t>
            </w:r>
            <w:r w:rsidRPr="00E07C9A">
              <w:rPr>
                <w:rFonts w:ascii="Times New Roman" w:hAnsi="Times New Roman"/>
                <w:sz w:val="24"/>
              </w:rPr>
              <w:t>ktoré sú zabezpečené iným financovaným alebo nefinancovaným kreditným zabezpečením, ak bolo prvé opatrenie týkajúce sa úľavy priznané medzi prvým</w:t>
            </w:r>
            <w:r w:rsidR="009912F8" w:rsidRPr="00E07C9A">
              <w:rPr>
                <w:rFonts w:ascii="Times New Roman" w:hAnsi="Times New Roman"/>
                <w:sz w:val="24"/>
              </w:rPr>
              <w:t xml:space="preserve"> a </w:t>
            </w:r>
            <w:r w:rsidRPr="00E07C9A">
              <w:rPr>
                <w:rFonts w:ascii="Times New Roman" w:hAnsi="Times New Roman"/>
                <w:sz w:val="24"/>
              </w:rPr>
              <w:t>posledným dňom tretieho roka po klasifikácii expozície ako problémovej.</w:t>
            </w:r>
          </w:p>
        </w:tc>
      </w:tr>
      <w:tr w:rsidR="00DD00B4" w:rsidRPr="00E07C9A" w14:paraId="2F88666D" w14:textId="77777777" w:rsidTr="00DD00B4">
        <w:tc>
          <w:tcPr>
            <w:tcW w:w="1188" w:type="dxa"/>
            <w:tcBorders>
              <w:top w:val="single" w:sz="4" w:space="0" w:color="auto"/>
              <w:left w:val="single" w:sz="4" w:space="0" w:color="auto"/>
              <w:bottom w:val="single" w:sz="4" w:space="0" w:color="auto"/>
              <w:right w:val="single" w:sz="4" w:space="0" w:color="auto"/>
            </w:tcBorders>
          </w:tcPr>
          <w:p w14:paraId="006216FB" w14:textId="77777777" w:rsidR="00DD00B4" w:rsidRPr="00E07C9A" w:rsidRDefault="00DD00B4" w:rsidP="00DD00B4">
            <w:pPr>
              <w:rPr>
                <w:rFonts w:ascii="Times New Roman" w:hAnsi="Times New Roman"/>
                <w:sz w:val="24"/>
              </w:rPr>
            </w:pPr>
            <w:r w:rsidRPr="00E07C9A">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14:paraId="4E185481" w14:textId="78467295" w:rsidR="00DD00B4" w:rsidRPr="00E07C9A" w:rsidRDefault="00DD00B4" w:rsidP="00DD00B4">
            <w:pPr>
              <w:rPr>
                <w:rFonts w:ascii="Times New Roman" w:hAnsi="Times New Roman"/>
                <w:b/>
                <w:sz w:val="24"/>
                <w:u w:val="single"/>
              </w:rPr>
            </w:pPr>
            <w:r w:rsidRPr="00E07C9A">
              <w:rPr>
                <w:rFonts w:ascii="Times New Roman" w:hAnsi="Times New Roman"/>
                <w:b/>
                <w:sz w:val="24"/>
                <w:u w:val="single"/>
              </w:rPr>
              <w:t>&gt; 3 roky</w:t>
            </w:r>
            <w:r w:rsidR="009912F8" w:rsidRPr="00E07C9A">
              <w:rPr>
                <w:rFonts w:ascii="Times New Roman" w:hAnsi="Times New Roman"/>
                <w:b/>
                <w:sz w:val="24"/>
                <w:u w:val="single"/>
              </w:rPr>
              <w:t xml:space="preserve"> a </w:t>
            </w:r>
            <w:r w:rsidRPr="00E07C9A">
              <w:rPr>
                <w:rFonts w:ascii="Times New Roman" w:hAnsi="Times New Roman"/>
                <w:b/>
                <w:sz w:val="24"/>
                <w:u w:val="single"/>
              </w:rPr>
              <w:t>&lt;= 4 roky po klasifikácii ako NPE</w:t>
            </w:r>
          </w:p>
          <w:p w14:paraId="166EB0FC" w14:textId="414ECCD7" w:rsidR="00DD00B4" w:rsidRPr="00E07C9A" w:rsidRDefault="00DD00B4" w:rsidP="008D0D6A">
            <w:pPr>
              <w:rPr>
                <w:rFonts w:ascii="Times New Roman" w:hAnsi="Times New Roman"/>
                <w:b/>
                <w:sz w:val="24"/>
                <w:u w:val="single"/>
              </w:rPr>
            </w:pPr>
            <w:r w:rsidRPr="00E07C9A">
              <w:rPr>
                <w:rFonts w:ascii="Times New Roman" w:hAnsi="Times New Roman"/>
                <w:sz w:val="24"/>
              </w:rPr>
              <w:t>Inštitúcie vykazujú hodnotu expozície problémových expozícií</w:t>
            </w:r>
            <w:r w:rsidR="009912F8" w:rsidRPr="00E07C9A">
              <w:rPr>
                <w:rFonts w:ascii="Times New Roman" w:hAnsi="Times New Roman"/>
                <w:sz w:val="24"/>
              </w:rPr>
              <w:t xml:space="preserve"> s </w:t>
            </w:r>
            <w:r w:rsidRPr="00E07C9A">
              <w:rPr>
                <w:rFonts w:ascii="Times New Roman" w:hAnsi="Times New Roman"/>
                <w:sz w:val="24"/>
              </w:rPr>
              <w:t xml:space="preserve">úľavou, na ktoré sa vzťahuje článok 47c ods. 6 nariadenia (EÚ) </w:t>
            </w:r>
            <w:r w:rsidR="009912F8" w:rsidRPr="00E07C9A">
              <w:rPr>
                <w:rFonts w:ascii="Times New Roman" w:hAnsi="Times New Roman"/>
                <w:sz w:val="24"/>
              </w:rPr>
              <w:t>č. 575/2013 a </w:t>
            </w:r>
            <w:r w:rsidRPr="00E07C9A">
              <w:rPr>
                <w:rFonts w:ascii="Times New Roman" w:hAnsi="Times New Roman"/>
                <w:sz w:val="24"/>
              </w:rPr>
              <w:t>ktoré sú zabezpečené iným financovaným alebo nefinancovaným kreditným zabezpečením, ak bolo prvé opatrenie týkajúce sa úľavy priznané medzi prvým</w:t>
            </w:r>
            <w:r w:rsidR="009912F8" w:rsidRPr="00E07C9A">
              <w:rPr>
                <w:rFonts w:ascii="Times New Roman" w:hAnsi="Times New Roman"/>
                <w:sz w:val="24"/>
              </w:rPr>
              <w:t xml:space="preserve"> a </w:t>
            </w:r>
            <w:r w:rsidRPr="00E07C9A">
              <w:rPr>
                <w:rFonts w:ascii="Times New Roman" w:hAnsi="Times New Roman"/>
                <w:sz w:val="24"/>
              </w:rPr>
              <w:t>posledným dňom štvrtého roka po klasifikácii expozície ako problémovej.</w:t>
            </w:r>
          </w:p>
        </w:tc>
      </w:tr>
      <w:tr w:rsidR="00DD00B4" w:rsidRPr="00E07C9A" w14:paraId="0EDD19A6" w14:textId="77777777" w:rsidTr="00DD00B4">
        <w:tc>
          <w:tcPr>
            <w:tcW w:w="1188" w:type="dxa"/>
            <w:tcBorders>
              <w:top w:val="single" w:sz="4" w:space="0" w:color="auto"/>
              <w:left w:val="single" w:sz="4" w:space="0" w:color="auto"/>
              <w:bottom w:val="single" w:sz="4" w:space="0" w:color="auto"/>
              <w:right w:val="single" w:sz="4" w:space="0" w:color="auto"/>
            </w:tcBorders>
          </w:tcPr>
          <w:p w14:paraId="1ECE23E3" w14:textId="77777777" w:rsidR="00DD00B4" w:rsidRPr="00E07C9A" w:rsidRDefault="00DD00B4" w:rsidP="00DD00B4">
            <w:pPr>
              <w:rPr>
                <w:rFonts w:ascii="Times New Roman" w:hAnsi="Times New Roman"/>
                <w:sz w:val="24"/>
              </w:rPr>
            </w:pPr>
            <w:r w:rsidRPr="00E07C9A">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14:paraId="65438F75" w14:textId="1DF3E77D" w:rsidR="00DD00B4" w:rsidRPr="00E07C9A" w:rsidRDefault="00DD00B4" w:rsidP="00DD00B4">
            <w:pPr>
              <w:rPr>
                <w:rFonts w:ascii="Times New Roman" w:hAnsi="Times New Roman"/>
                <w:b/>
                <w:sz w:val="24"/>
                <w:u w:val="single"/>
              </w:rPr>
            </w:pPr>
            <w:r w:rsidRPr="00E07C9A">
              <w:rPr>
                <w:rFonts w:ascii="Times New Roman" w:hAnsi="Times New Roman"/>
                <w:b/>
                <w:sz w:val="24"/>
                <w:u w:val="single"/>
              </w:rPr>
              <w:t>&gt; 4 roky</w:t>
            </w:r>
            <w:r w:rsidR="009912F8" w:rsidRPr="00E07C9A">
              <w:rPr>
                <w:rFonts w:ascii="Times New Roman" w:hAnsi="Times New Roman"/>
                <w:b/>
                <w:sz w:val="24"/>
                <w:u w:val="single"/>
              </w:rPr>
              <w:t xml:space="preserve"> a </w:t>
            </w:r>
            <w:r w:rsidRPr="00E07C9A">
              <w:rPr>
                <w:rFonts w:ascii="Times New Roman" w:hAnsi="Times New Roman"/>
                <w:b/>
                <w:sz w:val="24"/>
                <w:u w:val="single"/>
              </w:rPr>
              <w:t>&lt;= 5 rokov po klasifikácii ako NPE</w:t>
            </w:r>
          </w:p>
          <w:p w14:paraId="6BE36D18" w14:textId="54E093F2" w:rsidR="00DD00B4" w:rsidRPr="00E07C9A" w:rsidRDefault="00DD00B4" w:rsidP="008D0D6A">
            <w:pPr>
              <w:rPr>
                <w:rFonts w:ascii="Times New Roman" w:hAnsi="Times New Roman"/>
                <w:b/>
                <w:sz w:val="24"/>
                <w:u w:val="single"/>
              </w:rPr>
            </w:pPr>
            <w:r w:rsidRPr="00E07C9A">
              <w:rPr>
                <w:rFonts w:ascii="Times New Roman" w:hAnsi="Times New Roman"/>
                <w:sz w:val="24"/>
              </w:rPr>
              <w:t>Inštitúcie vykazujú hodnotu expozície problémových expozícií</w:t>
            </w:r>
            <w:r w:rsidR="009912F8" w:rsidRPr="00E07C9A">
              <w:rPr>
                <w:rFonts w:ascii="Times New Roman" w:hAnsi="Times New Roman"/>
                <w:sz w:val="24"/>
              </w:rPr>
              <w:t xml:space="preserve"> s </w:t>
            </w:r>
            <w:r w:rsidRPr="00E07C9A">
              <w:rPr>
                <w:rFonts w:ascii="Times New Roman" w:hAnsi="Times New Roman"/>
                <w:sz w:val="24"/>
              </w:rPr>
              <w:t xml:space="preserve">úľavou, na ktoré sa vzťahuje článok 47c ods. 6 nariadenia (EÚ) </w:t>
            </w:r>
            <w:r w:rsidR="009912F8" w:rsidRPr="00E07C9A">
              <w:rPr>
                <w:rFonts w:ascii="Times New Roman" w:hAnsi="Times New Roman"/>
                <w:sz w:val="24"/>
              </w:rPr>
              <w:t>č. 575/2013 a </w:t>
            </w:r>
            <w:r w:rsidRPr="00E07C9A">
              <w:rPr>
                <w:rFonts w:ascii="Times New Roman" w:hAnsi="Times New Roman"/>
                <w:sz w:val="24"/>
              </w:rPr>
              <w:t>ktoré sú zabezpečené iným financovaným alebo nefinancovaným kreditným zabezpečením, ak bolo prvé opatrenie týkajúce sa úľavy priznané medzi prvým</w:t>
            </w:r>
            <w:r w:rsidR="009912F8" w:rsidRPr="00E07C9A">
              <w:rPr>
                <w:rFonts w:ascii="Times New Roman" w:hAnsi="Times New Roman"/>
                <w:sz w:val="24"/>
              </w:rPr>
              <w:t xml:space="preserve"> a </w:t>
            </w:r>
            <w:r w:rsidRPr="00E07C9A">
              <w:rPr>
                <w:rFonts w:ascii="Times New Roman" w:hAnsi="Times New Roman"/>
                <w:sz w:val="24"/>
              </w:rPr>
              <w:t>posledným dňom piateho roka po klasifikácii expozície ako problémovej.</w:t>
            </w:r>
          </w:p>
        </w:tc>
      </w:tr>
      <w:tr w:rsidR="00DD00B4" w:rsidRPr="00E07C9A" w14:paraId="353BC105" w14:textId="77777777" w:rsidTr="00DD00B4">
        <w:tc>
          <w:tcPr>
            <w:tcW w:w="1188" w:type="dxa"/>
            <w:tcBorders>
              <w:top w:val="single" w:sz="4" w:space="0" w:color="auto"/>
              <w:left w:val="single" w:sz="4" w:space="0" w:color="auto"/>
              <w:bottom w:val="single" w:sz="4" w:space="0" w:color="auto"/>
              <w:right w:val="single" w:sz="4" w:space="0" w:color="auto"/>
            </w:tcBorders>
          </w:tcPr>
          <w:p w14:paraId="532DA662" w14:textId="77777777" w:rsidR="00DD00B4" w:rsidRPr="00E07C9A" w:rsidRDefault="00DD00B4" w:rsidP="00DD00B4">
            <w:pPr>
              <w:rPr>
                <w:rFonts w:ascii="Times New Roman" w:hAnsi="Times New Roman"/>
                <w:sz w:val="24"/>
              </w:rPr>
            </w:pPr>
            <w:r w:rsidRPr="00E07C9A">
              <w:rPr>
                <w:rFonts w:ascii="Times New Roman" w:hAnsi="Times New Roman"/>
                <w:sz w:val="24"/>
              </w:rPr>
              <w:t>0160</w:t>
            </w:r>
          </w:p>
        </w:tc>
        <w:tc>
          <w:tcPr>
            <w:tcW w:w="8843" w:type="dxa"/>
            <w:tcBorders>
              <w:top w:val="single" w:sz="4" w:space="0" w:color="auto"/>
              <w:left w:val="single" w:sz="4" w:space="0" w:color="auto"/>
              <w:bottom w:val="single" w:sz="4" w:space="0" w:color="auto"/>
              <w:right w:val="single" w:sz="4" w:space="0" w:color="auto"/>
            </w:tcBorders>
          </w:tcPr>
          <w:p w14:paraId="1954D678" w14:textId="6F9DD9FE" w:rsidR="00DD00B4" w:rsidRPr="00E07C9A" w:rsidRDefault="00DD00B4" w:rsidP="00DD00B4">
            <w:pPr>
              <w:rPr>
                <w:rFonts w:ascii="Times New Roman" w:hAnsi="Times New Roman"/>
                <w:b/>
                <w:sz w:val="24"/>
                <w:u w:val="single"/>
              </w:rPr>
            </w:pPr>
            <w:r w:rsidRPr="00E07C9A">
              <w:rPr>
                <w:rFonts w:ascii="Times New Roman" w:hAnsi="Times New Roman"/>
                <w:b/>
                <w:sz w:val="24"/>
                <w:u w:val="single"/>
              </w:rPr>
              <w:t>&gt; 5 rokov</w:t>
            </w:r>
            <w:r w:rsidR="009912F8" w:rsidRPr="00E07C9A">
              <w:rPr>
                <w:rFonts w:ascii="Times New Roman" w:hAnsi="Times New Roman"/>
                <w:b/>
                <w:sz w:val="24"/>
                <w:u w:val="single"/>
              </w:rPr>
              <w:t xml:space="preserve"> a </w:t>
            </w:r>
            <w:r w:rsidRPr="00E07C9A">
              <w:rPr>
                <w:rFonts w:ascii="Times New Roman" w:hAnsi="Times New Roman"/>
                <w:b/>
                <w:sz w:val="24"/>
                <w:u w:val="single"/>
              </w:rPr>
              <w:t>&lt;= 6 rokov po klasifikácii ako NPE</w:t>
            </w:r>
          </w:p>
          <w:p w14:paraId="66B47D67" w14:textId="635ABB18" w:rsidR="00DD00B4" w:rsidRPr="00E07C9A" w:rsidRDefault="00DD00B4" w:rsidP="00DD00B4">
            <w:pPr>
              <w:rPr>
                <w:rFonts w:ascii="Times New Roman" w:hAnsi="Times New Roman"/>
                <w:b/>
                <w:sz w:val="24"/>
                <w:u w:val="single"/>
              </w:rPr>
            </w:pPr>
            <w:r w:rsidRPr="00E07C9A">
              <w:rPr>
                <w:rFonts w:ascii="Times New Roman" w:hAnsi="Times New Roman"/>
                <w:sz w:val="24"/>
              </w:rPr>
              <w:t>Inštitúcie vykazujú hodnotu expozície problémových expozícií</w:t>
            </w:r>
            <w:r w:rsidR="009912F8" w:rsidRPr="00E07C9A">
              <w:rPr>
                <w:rFonts w:ascii="Times New Roman" w:hAnsi="Times New Roman"/>
                <w:sz w:val="24"/>
              </w:rPr>
              <w:t xml:space="preserve"> s </w:t>
            </w:r>
            <w:r w:rsidRPr="00E07C9A">
              <w:rPr>
                <w:rFonts w:ascii="Times New Roman" w:hAnsi="Times New Roman"/>
                <w:sz w:val="24"/>
              </w:rPr>
              <w:t xml:space="preserve">úľavou, na ktoré sa vzťahuje článok 47c ods. 6 nariadenia (EÚ) </w:t>
            </w:r>
            <w:r w:rsidR="009912F8" w:rsidRPr="00E07C9A">
              <w:rPr>
                <w:rFonts w:ascii="Times New Roman" w:hAnsi="Times New Roman"/>
                <w:sz w:val="24"/>
              </w:rPr>
              <w:t>č. 575/2013 a </w:t>
            </w:r>
            <w:r w:rsidRPr="00E07C9A">
              <w:rPr>
                <w:rFonts w:ascii="Times New Roman" w:hAnsi="Times New Roman"/>
                <w:sz w:val="24"/>
              </w:rPr>
              <w:t>ktoré sú zabezpečené iným financovaným alebo nefinancovaným kreditným zabezpečením, ak bolo prvé opatrenie týkajúce sa úľavy priznané medzi prvým</w:t>
            </w:r>
            <w:r w:rsidR="009912F8" w:rsidRPr="00E07C9A">
              <w:rPr>
                <w:rFonts w:ascii="Times New Roman" w:hAnsi="Times New Roman"/>
                <w:sz w:val="24"/>
              </w:rPr>
              <w:t xml:space="preserve"> a </w:t>
            </w:r>
            <w:r w:rsidRPr="00E07C9A">
              <w:rPr>
                <w:rFonts w:ascii="Times New Roman" w:hAnsi="Times New Roman"/>
                <w:sz w:val="24"/>
              </w:rPr>
              <w:t>posledným dňom šiesteho roka po klasifikácii expozície ako problémovej.“</w:t>
            </w:r>
          </w:p>
        </w:tc>
      </w:tr>
    </w:tbl>
    <w:p w14:paraId="59BBB927" w14:textId="77777777" w:rsidR="00DD00B4" w:rsidRPr="00E07C9A" w:rsidRDefault="00DD00B4" w:rsidP="006452A4">
      <w:pPr>
        <w:spacing w:after="0"/>
        <w:rPr>
          <w:rStyle w:val="InstructionsTabelleText"/>
          <w:rFonts w:ascii="Times New Roman" w:hAnsi="Times New Roman"/>
          <w:sz w:val="24"/>
        </w:rPr>
      </w:pPr>
    </w:p>
    <w:sectPr w:rsidR="00DD00B4" w:rsidRPr="00E07C9A" w:rsidSect="00B51F42">
      <w:headerReference w:type="even" r:id="rId15"/>
      <w:headerReference w:type="default" r:id="rId16"/>
      <w:footerReference w:type="even" r:id="rId17"/>
      <w:footerReference w:type="default" r:id="rId18"/>
      <w:headerReference w:type="first" r:id="rId19"/>
      <w:endnotePr>
        <w:numFmt w:val="decimal"/>
      </w:endnotePr>
      <w:pgSz w:w="11906" w:h="16838"/>
      <w:pgMar w:top="1417"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1CD815" w16cex:dateUtc="2022-05-04T08: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1AD55E8" w16cid:durableId="25C0E147"/>
  <w16cid:commentId w16cid:paraId="606918AC" w16cid:durableId="25C0E148"/>
  <w16cid:commentId w16cid:paraId="1EAC380D" w16cid:durableId="25C0E1AD"/>
  <w16cid:commentId w16cid:paraId="539606AA" w16cid:durableId="25C0E149"/>
  <w16cid:commentId w16cid:paraId="44C6B117" w16cid:durableId="25C0F173"/>
  <w16cid:commentId w16cid:paraId="4D86E6C4" w16cid:durableId="25C0E14A"/>
  <w16cid:commentId w16cid:paraId="42BF47E0" w16cid:durableId="25C0E35B"/>
  <w16cid:commentId w16cid:paraId="251700F0" w16cid:durableId="25C0E14B"/>
  <w16cid:commentId w16cid:paraId="0799A0F3" w16cid:durableId="261CD26F"/>
  <w16cid:commentId w16cid:paraId="185F1C09" w16cid:durableId="25C0E14C"/>
  <w16cid:commentId w16cid:paraId="013AE193" w16cid:durableId="25C0F218"/>
  <w16cid:commentId w16cid:paraId="53C76B0F" w16cid:durableId="25C0E14D"/>
  <w16cid:commentId w16cid:paraId="7771A325" w16cid:durableId="25C0F4DE"/>
  <w16cid:commentId w16cid:paraId="30A54651" w16cid:durableId="25C0E14E"/>
  <w16cid:commentId w16cid:paraId="449BB62C" w16cid:durableId="25C0F508"/>
  <w16cid:commentId w16cid:paraId="4E42780A" w16cid:durableId="261CD81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A8B9B7" w14:textId="77777777" w:rsidR="005C4397" w:rsidRDefault="005C4397" w:rsidP="00D946DB">
      <w:pPr>
        <w:spacing w:before="0" w:after="0"/>
      </w:pPr>
      <w:r>
        <w:separator/>
      </w:r>
    </w:p>
  </w:endnote>
  <w:endnote w:type="continuationSeparator" w:id="0">
    <w:p w14:paraId="3B62B9F7" w14:textId="77777777" w:rsidR="005C4397" w:rsidRDefault="005C4397" w:rsidP="00D946DB">
      <w:pPr>
        <w:spacing w:before="0" w:after="0"/>
      </w:pPr>
      <w:r>
        <w:continuationSeparator/>
      </w:r>
    </w:p>
  </w:endnote>
  <w:endnote w:type="continuationNotice" w:id="1">
    <w:p w14:paraId="6B74303D" w14:textId="77777777" w:rsidR="005C4397" w:rsidRDefault="005C439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ambria Math"/>
    <w:panose1 w:val="02040503050203030202"/>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13685E" w14:textId="3B68BA4B" w:rsidR="00256298" w:rsidRPr="00ED1956" w:rsidRDefault="00256298">
    <w:pPr>
      <w:pStyle w:val="Footer"/>
      <w:jc w:val="right"/>
      <w:rPr>
        <w:rFonts w:ascii="Times New Roman" w:hAnsi="Times New Roman"/>
        <w:sz w:val="22"/>
        <w:szCs w:val="22"/>
      </w:rPr>
    </w:pPr>
    <w:r>
      <w:rPr>
        <w:rFonts w:ascii="Times New Roman" w:hAnsi="Times New Roman"/>
        <w:sz w:val="22"/>
      </w:rPr>
      <w:fldChar w:fldCharType="begin"/>
    </w:r>
    <w:r>
      <w:rPr>
        <w:rFonts w:ascii="Times New Roman" w:hAnsi="Times New Roman"/>
        <w:sz w:val="22"/>
      </w:rPr>
      <w:instrText xml:space="preserve"> PAGE   \* MERGEFORMAT </w:instrText>
    </w:r>
    <w:r>
      <w:rPr>
        <w:rFonts w:ascii="Times New Roman" w:hAnsi="Times New Roman"/>
        <w:sz w:val="22"/>
      </w:rPr>
      <w:fldChar w:fldCharType="separate"/>
    </w:r>
    <w:r w:rsidR="00132AEE">
      <w:rPr>
        <w:rFonts w:ascii="Times New Roman" w:hAnsi="Times New Roman"/>
        <w:noProof/>
        <w:sz w:val="22"/>
      </w:rPr>
      <w:t>8</w:t>
    </w:r>
    <w:r>
      <w:rPr>
        <w:rFonts w:ascii="Times New Roman" w:hAnsi="Times New Roman"/>
        <w:sz w:val="22"/>
      </w:rPr>
      <w:fldChar w:fldCharType="end"/>
    </w:r>
  </w:p>
  <w:p w14:paraId="4D97BBA9" w14:textId="77777777" w:rsidR="00256298" w:rsidRDefault="0025629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07102A" w14:textId="20A53143" w:rsidR="00256298" w:rsidRPr="00E85358" w:rsidRDefault="00256298">
    <w:pPr>
      <w:pStyle w:val="Footer"/>
      <w:jc w:val="right"/>
      <w:rPr>
        <w:sz w:val="22"/>
        <w:szCs w:val="22"/>
      </w:rPr>
    </w:pPr>
    <w:r>
      <w:rPr>
        <w:sz w:val="22"/>
      </w:rPr>
      <w:fldChar w:fldCharType="begin"/>
    </w:r>
    <w:r>
      <w:rPr>
        <w:sz w:val="22"/>
      </w:rPr>
      <w:instrText xml:space="preserve"> PAGE   \* MERGEFORMAT </w:instrText>
    </w:r>
    <w:r>
      <w:rPr>
        <w:sz w:val="22"/>
      </w:rPr>
      <w:fldChar w:fldCharType="separate"/>
    </w:r>
    <w:r w:rsidR="00132AEE">
      <w:rPr>
        <w:noProof/>
        <w:sz w:val="22"/>
      </w:rPr>
      <w:t>1</w:t>
    </w:r>
    <w:r>
      <w:rPr>
        <w:sz w:val="22"/>
      </w:rPr>
      <w:fldChar w:fldCharType="end"/>
    </w:r>
  </w:p>
  <w:p w14:paraId="0503D57B" w14:textId="77777777" w:rsidR="00256298" w:rsidRDefault="0025629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77E4A5" w14:textId="77777777" w:rsidR="00256298" w:rsidRDefault="00256298">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68B5799" w14:textId="77777777" w:rsidR="00256298" w:rsidRDefault="00256298">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65885" w14:textId="08DF47C6" w:rsidR="00256298" w:rsidRPr="00ED1956" w:rsidRDefault="00256298">
    <w:pPr>
      <w:pStyle w:val="Footer"/>
      <w:jc w:val="right"/>
      <w:rPr>
        <w:rFonts w:ascii="Times New Roman" w:hAnsi="Times New Roman"/>
        <w:sz w:val="20"/>
        <w:szCs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sidR="00132AEE">
      <w:rPr>
        <w:rFonts w:ascii="Times New Roman" w:hAnsi="Times New Roman"/>
        <w:noProof/>
        <w:sz w:val="20"/>
      </w:rPr>
      <w:t>21</w:t>
    </w:r>
    <w:r>
      <w:rPr>
        <w:rFonts w:ascii="Times New Roman" w:hAnsi="Times New Roman"/>
        <w:sz w:val="20"/>
      </w:rPr>
      <w:fldChar w:fldCharType="end"/>
    </w:r>
  </w:p>
  <w:p w14:paraId="416ED6B6" w14:textId="77777777" w:rsidR="00256298" w:rsidRPr="00A772B4" w:rsidRDefault="00256298"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BFA250" w14:textId="77777777" w:rsidR="005C4397" w:rsidRDefault="005C4397" w:rsidP="00D946DB">
      <w:pPr>
        <w:spacing w:before="0" w:after="0"/>
      </w:pPr>
      <w:r>
        <w:separator/>
      </w:r>
    </w:p>
  </w:footnote>
  <w:footnote w:type="continuationSeparator" w:id="0">
    <w:p w14:paraId="2C2C6092" w14:textId="77777777" w:rsidR="005C4397" w:rsidRDefault="005C4397" w:rsidP="00D946DB">
      <w:pPr>
        <w:spacing w:before="0" w:after="0"/>
      </w:pPr>
      <w:r>
        <w:continuationSeparator/>
      </w:r>
    </w:p>
  </w:footnote>
  <w:footnote w:type="continuationNotice" w:id="1">
    <w:p w14:paraId="2C904468" w14:textId="77777777" w:rsidR="005C4397" w:rsidRDefault="005C4397">
      <w:pPr>
        <w:spacing w:before="0" w:after="0"/>
      </w:pPr>
    </w:p>
  </w:footnote>
  <w:footnote w:id="2">
    <w:p w14:paraId="46598FF6" w14:textId="5154C0B2" w:rsidR="00256298" w:rsidRPr="000F7DD5" w:rsidRDefault="00256298" w:rsidP="003B0B15">
      <w:pPr>
        <w:pStyle w:val="NormalWeb"/>
        <w:spacing w:before="0" w:beforeAutospacing="0" w:after="0" w:afterAutospacing="0"/>
        <w:ind w:left="567" w:hanging="567"/>
        <w:jc w:val="both"/>
        <w:rPr>
          <w:sz w:val="20"/>
          <w:szCs w:val="20"/>
        </w:rPr>
      </w:pPr>
      <w:r w:rsidRPr="000F7DD5">
        <w:rPr>
          <w:rStyle w:val="FootnoteReference"/>
          <w:rFonts w:ascii="Times New Roman" w:hAnsi="Times New Roman"/>
          <w:sz w:val="20"/>
          <w:szCs w:val="20"/>
        </w:rPr>
        <w:footnoteRef/>
      </w:r>
      <w:r w:rsidRPr="000F7DD5">
        <w:tab/>
      </w:r>
      <w:r w:rsidRPr="000F7DD5">
        <w:rPr>
          <w:color w:val="444444"/>
          <w:sz w:val="20"/>
        </w:rPr>
        <w:t>Delegované nariadenie Komisie (EÚ) č. 241/2014 zo 7</w:t>
      </w:r>
      <w:r>
        <w:rPr>
          <w:color w:val="444444"/>
          <w:sz w:val="20"/>
        </w:rPr>
        <w:t>. januára</w:t>
      </w:r>
      <w:r w:rsidRPr="000F7DD5">
        <w:rPr>
          <w:color w:val="444444"/>
          <w:sz w:val="20"/>
        </w:rPr>
        <w:t xml:space="preserve"> 2014, ktorým sa dopĺňa nariadenie Európskeho parlamentu</w:t>
      </w:r>
      <w:r>
        <w:rPr>
          <w:color w:val="444444"/>
          <w:sz w:val="20"/>
        </w:rPr>
        <w:t xml:space="preserve"> a </w:t>
      </w:r>
      <w:r w:rsidRPr="000F7DD5">
        <w:rPr>
          <w:color w:val="444444"/>
          <w:sz w:val="20"/>
        </w:rPr>
        <w:t>Rady (EÚ) č. 575/2013, pokiaľ ide</w:t>
      </w:r>
      <w:r>
        <w:rPr>
          <w:color w:val="444444"/>
          <w:sz w:val="20"/>
        </w:rPr>
        <w:t xml:space="preserve"> o </w:t>
      </w:r>
      <w:r w:rsidRPr="000F7DD5">
        <w:rPr>
          <w:color w:val="444444"/>
          <w:sz w:val="20"/>
        </w:rPr>
        <w:t>regulačné technické predpisy týkajúce sa požiadaviek na vlastné zdroje inštitúcií (Ú. v. EÚ L 74, 14.3.2014, s. 8)</w:t>
      </w:r>
      <w:r w:rsidRPr="000F7DD5">
        <w:rPr>
          <w:rStyle w:val="Emphasis"/>
          <w:color w:val="444444"/>
          <w:sz w:val="20"/>
        </w:rPr>
        <w:t>.</w:t>
      </w:r>
    </w:p>
  </w:footnote>
  <w:footnote w:id="3">
    <w:p w14:paraId="005D3DD6" w14:textId="1B9F81D4" w:rsidR="00256298" w:rsidRPr="000F7DD5" w:rsidRDefault="00256298" w:rsidP="00D21B29">
      <w:pPr>
        <w:pStyle w:val="FootnoteText"/>
        <w:ind w:left="567" w:hanging="567"/>
        <w:rPr>
          <w:rFonts w:ascii="Times New Roman" w:hAnsi="Times New Roman"/>
          <w:sz w:val="20"/>
          <w:szCs w:val="20"/>
        </w:rPr>
      </w:pPr>
      <w:r w:rsidRPr="000F7DD5">
        <w:rPr>
          <w:rStyle w:val="FootnoteReference"/>
          <w:rFonts w:ascii="Times New Roman" w:hAnsi="Times New Roman"/>
          <w:sz w:val="20"/>
          <w:szCs w:val="20"/>
        </w:rPr>
        <w:footnoteRef/>
      </w:r>
      <w:r w:rsidRPr="000F7DD5">
        <w:rPr>
          <w:rFonts w:ascii="Times New Roman" w:hAnsi="Times New Roman"/>
          <w:sz w:val="20"/>
        </w:rPr>
        <w:t xml:space="preserve"> </w:t>
      </w:r>
      <w:r w:rsidRPr="000F7DD5">
        <w:tab/>
      </w:r>
      <w:r w:rsidRPr="000F7DD5">
        <w:rPr>
          <w:rFonts w:ascii="Times New Roman" w:hAnsi="Times New Roman"/>
          <w:color w:val="444444"/>
          <w:sz w:val="20"/>
        </w:rPr>
        <w:t>Siedma smernica Rady 83/349/EHS</w:t>
      </w:r>
      <w:r>
        <w:rPr>
          <w:rFonts w:ascii="Times New Roman" w:hAnsi="Times New Roman"/>
          <w:color w:val="444444"/>
          <w:sz w:val="20"/>
        </w:rPr>
        <w:t xml:space="preserve"> z </w:t>
      </w:r>
      <w:r w:rsidRPr="000F7DD5">
        <w:rPr>
          <w:rFonts w:ascii="Times New Roman" w:hAnsi="Times New Roman"/>
          <w:color w:val="444444"/>
          <w:sz w:val="20"/>
        </w:rPr>
        <w:t>13</w:t>
      </w:r>
      <w:r>
        <w:rPr>
          <w:rFonts w:ascii="Times New Roman" w:hAnsi="Times New Roman"/>
          <w:color w:val="444444"/>
          <w:sz w:val="20"/>
        </w:rPr>
        <w:t>. júna</w:t>
      </w:r>
      <w:r w:rsidRPr="000F7DD5">
        <w:rPr>
          <w:rFonts w:ascii="Times New Roman" w:hAnsi="Times New Roman"/>
          <w:color w:val="444444"/>
          <w:sz w:val="20"/>
        </w:rPr>
        <w:t xml:space="preserve"> 1983</w:t>
      </w:r>
      <w:r>
        <w:rPr>
          <w:rFonts w:ascii="Times New Roman" w:hAnsi="Times New Roman"/>
          <w:color w:val="444444"/>
          <w:sz w:val="20"/>
        </w:rPr>
        <w:t xml:space="preserve"> o </w:t>
      </w:r>
      <w:r w:rsidRPr="000F7DD5">
        <w:rPr>
          <w:rFonts w:ascii="Times New Roman" w:hAnsi="Times New Roman"/>
          <w:color w:val="444444"/>
          <w:sz w:val="20"/>
        </w:rPr>
        <w:t>konsolidovaných účtovných závierkach, vychádzajúca</w:t>
      </w:r>
      <w:r>
        <w:rPr>
          <w:rFonts w:ascii="Times New Roman" w:hAnsi="Times New Roman"/>
          <w:color w:val="444444"/>
          <w:sz w:val="20"/>
        </w:rPr>
        <w:t xml:space="preserve"> z </w:t>
      </w:r>
      <w:r w:rsidRPr="000F7DD5">
        <w:rPr>
          <w:rFonts w:ascii="Times New Roman" w:hAnsi="Times New Roman"/>
          <w:color w:val="444444"/>
          <w:sz w:val="20"/>
        </w:rPr>
        <w:t>článku 54 ods. 3 písm. g) zmluvy (Ú. v. ES L 193, 18.7.1983, s. 1).</w:t>
      </w:r>
    </w:p>
  </w:footnote>
  <w:footnote w:id="4">
    <w:p w14:paraId="1419F291" w14:textId="6ED5B663" w:rsidR="00256298" w:rsidRPr="000F7DD5" w:rsidRDefault="00256298" w:rsidP="00D21B29">
      <w:pPr>
        <w:pStyle w:val="FootnoteText"/>
        <w:ind w:left="567" w:hanging="567"/>
        <w:rPr>
          <w:rFonts w:ascii="Times New Roman" w:hAnsi="Times New Roman"/>
          <w:sz w:val="20"/>
          <w:szCs w:val="20"/>
        </w:rPr>
      </w:pPr>
      <w:r w:rsidRPr="000F7DD5">
        <w:rPr>
          <w:rStyle w:val="FootnoteReference"/>
          <w:rFonts w:ascii="Times New Roman" w:hAnsi="Times New Roman"/>
          <w:sz w:val="20"/>
          <w:szCs w:val="20"/>
        </w:rPr>
        <w:footnoteRef/>
      </w:r>
      <w:r w:rsidRPr="000F7DD5">
        <w:rPr>
          <w:rFonts w:ascii="Times New Roman" w:hAnsi="Times New Roman"/>
          <w:sz w:val="20"/>
        </w:rPr>
        <w:t xml:space="preserve"> </w:t>
      </w:r>
      <w:r w:rsidRPr="000F7DD5">
        <w:tab/>
      </w:r>
      <w:r w:rsidRPr="000F7DD5">
        <w:rPr>
          <w:rFonts w:ascii="Times New Roman" w:hAnsi="Times New Roman"/>
          <w:color w:val="444444"/>
          <w:sz w:val="20"/>
        </w:rPr>
        <w:t>Smernica Európskeho parlamentu</w:t>
      </w:r>
      <w:r>
        <w:rPr>
          <w:rFonts w:ascii="Times New Roman" w:hAnsi="Times New Roman"/>
          <w:color w:val="444444"/>
          <w:sz w:val="20"/>
        </w:rPr>
        <w:t xml:space="preserve"> a </w:t>
      </w:r>
      <w:r w:rsidRPr="000F7DD5">
        <w:rPr>
          <w:rFonts w:ascii="Times New Roman" w:hAnsi="Times New Roman"/>
          <w:color w:val="444444"/>
          <w:sz w:val="20"/>
        </w:rPr>
        <w:t>Rady 2009/65/ES</w:t>
      </w:r>
      <w:r>
        <w:rPr>
          <w:rFonts w:ascii="Times New Roman" w:hAnsi="Times New Roman"/>
          <w:color w:val="444444"/>
          <w:sz w:val="20"/>
        </w:rPr>
        <w:t xml:space="preserve"> z </w:t>
      </w:r>
      <w:r w:rsidRPr="000F7DD5">
        <w:rPr>
          <w:rFonts w:ascii="Times New Roman" w:hAnsi="Times New Roman"/>
          <w:color w:val="444444"/>
          <w:sz w:val="20"/>
        </w:rPr>
        <w:t>13</w:t>
      </w:r>
      <w:r>
        <w:rPr>
          <w:rFonts w:ascii="Times New Roman" w:hAnsi="Times New Roman"/>
          <w:color w:val="444444"/>
          <w:sz w:val="20"/>
        </w:rPr>
        <w:t>. júla</w:t>
      </w:r>
      <w:r w:rsidRPr="000F7DD5">
        <w:rPr>
          <w:rFonts w:ascii="Times New Roman" w:hAnsi="Times New Roman"/>
          <w:color w:val="444444"/>
          <w:sz w:val="20"/>
        </w:rPr>
        <w:t xml:space="preserve"> 2009</w:t>
      </w:r>
      <w:r>
        <w:rPr>
          <w:rFonts w:ascii="Times New Roman" w:hAnsi="Times New Roman"/>
          <w:color w:val="444444"/>
          <w:sz w:val="20"/>
        </w:rPr>
        <w:t xml:space="preserve"> o </w:t>
      </w:r>
      <w:r w:rsidRPr="000F7DD5">
        <w:rPr>
          <w:rFonts w:ascii="Times New Roman" w:hAnsi="Times New Roman"/>
          <w:color w:val="444444"/>
          <w:sz w:val="20"/>
        </w:rPr>
        <w:t>koordinácii zákonov, iných právnych predpisov</w:t>
      </w:r>
      <w:r>
        <w:rPr>
          <w:rFonts w:ascii="Times New Roman" w:hAnsi="Times New Roman"/>
          <w:color w:val="444444"/>
          <w:sz w:val="20"/>
        </w:rPr>
        <w:t xml:space="preserve"> a </w:t>
      </w:r>
      <w:r w:rsidRPr="000F7DD5">
        <w:rPr>
          <w:rFonts w:ascii="Times New Roman" w:hAnsi="Times New Roman"/>
          <w:color w:val="444444"/>
          <w:sz w:val="20"/>
        </w:rPr>
        <w:t>správnych opatrení týkajúcich sa podnikov kolektívneho investovania do prevoditeľných cenných papierov (PKIPCP) (Ú. v. EÚ L 302, 17.11.2009, s. 32).</w:t>
      </w:r>
    </w:p>
  </w:footnote>
  <w:footnote w:id="5">
    <w:p w14:paraId="427B6484" w14:textId="44F83B4D" w:rsidR="00256298" w:rsidRPr="000F7DD5" w:rsidRDefault="00256298" w:rsidP="003B2712">
      <w:pPr>
        <w:pStyle w:val="FootnoteText"/>
        <w:ind w:left="567" w:hanging="567"/>
        <w:rPr>
          <w:rFonts w:ascii="Times New Roman" w:hAnsi="Times New Roman"/>
          <w:sz w:val="20"/>
          <w:szCs w:val="20"/>
        </w:rPr>
      </w:pPr>
      <w:r w:rsidRPr="000F7DD5">
        <w:rPr>
          <w:rStyle w:val="FootnoteReference"/>
          <w:rFonts w:ascii="Times New Roman" w:hAnsi="Times New Roman"/>
          <w:sz w:val="20"/>
          <w:szCs w:val="20"/>
        </w:rPr>
        <w:footnoteRef/>
      </w:r>
      <w:r w:rsidRPr="000F7DD5">
        <w:tab/>
      </w:r>
      <w:r w:rsidRPr="000F7DD5">
        <w:rPr>
          <w:rFonts w:ascii="Times New Roman" w:hAnsi="Times New Roman"/>
          <w:color w:val="444444"/>
          <w:sz w:val="20"/>
        </w:rPr>
        <w:t>Delegované nariadenie Komisie (EÚ) č. 1152/2014 zo 4</w:t>
      </w:r>
      <w:r>
        <w:rPr>
          <w:rFonts w:ascii="Times New Roman" w:hAnsi="Times New Roman"/>
          <w:color w:val="444444"/>
          <w:sz w:val="20"/>
        </w:rPr>
        <w:t>. júna</w:t>
      </w:r>
      <w:r w:rsidRPr="000F7DD5">
        <w:rPr>
          <w:rFonts w:ascii="Times New Roman" w:hAnsi="Times New Roman"/>
          <w:color w:val="444444"/>
          <w:sz w:val="20"/>
        </w:rPr>
        <w:t xml:space="preserve"> 2014, ktorým sa dopĺňa smernica Európskeho parlamentu</w:t>
      </w:r>
      <w:r>
        <w:rPr>
          <w:rFonts w:ascii="Times New Roman" w:hAnsi="Times New Roman"/>
          <w:color w:val="444444"/>
          <w:sz w:val="20"/>
        </w:rPr>
        <w:t xml:space="preserve"> a </w:t>
      </w:r>
      <w:r w:rsidRPr="000F7DD5">
        <w:rPr>
          <w:rFonts w:ascii="Times New Roman" w:hAnsi="Times New Roman"/>
          <w:color w:val="444444"/>
          <w:sz w:val="20"/>
        </w:rPr>
        <w:t>Rady 2013/36/EÚ, pokiaľ ide</w:t>
      </w:r>
      <w:r>
        <w:rPr>
          <w:rFonts w:ascii="Times New Roman" w:hAnsi="Times New Roman"/>
          <w:color w:val="444444"/>
          <w:sz w:val="20"/>
        </w:rPr>
        <w:t xml:space="preserve"> o </w:t>
      </w:r>
      <w:r w:rsidRPr="000F7DD5">
        <w:rPr>
          <w:rFonts w:ascii="Times New Roman" w:hAnsi="Times New Roman"/>
          <w:color w:val="444444"/>
          <w:sz w:val="20"/>
        </w:rPr>
        <w:t>regulačné technické predpisy</w:t>
      </w:r>
      <w:r>
        <w:rPr>
          <w:rFonts w:ascii="Times New Roman" w:hAnsi="Times New Roman"/>
          <w:color w:val="444444"/>
          <w:sz w:val="20"/>
        </w:rPr>
        <w:t xml:space="preserve"> o </w:t>
      </w:r>
      <w:r w:rsidRPr="000F7DD5">
        <w:rPr>
          <w:rFonts w:ascii="Times New Roman" w:hAnsi="Times New Roman"/>
          <w:color w:val="444444"/>
          <w:sz w:val="20"/>
        </w:rPr>
        <w:t>identifikácii geografického umiestnenia príslušných expozícií voči kreditným rizikám pre výpočet miery proticyklického kapitálového vankúša špecifického pre inštitúciu (Ú. v. EÚ L 309, 30.10.2014, s. 5).</w:t>
      </w:r>
    </w:p>
  </w:footnote>
  <w:footnote w:id="6">
    <w:p w14:paraId="12CBFADF" w14:textId="70BBB211" w:rsidR="00256298" w:rsidRPr="000F7DD5" w:rsidRDefault="00256298" w:rsidP="002409C1">
      <w:pPr>
        <w:pStyle w:val="FootnoteText"/>
        <w:ind w:left="567" w:hanging="567"/>
        <w:rPr>
          <w:rFonts w:ascii="Times New Roman" w:hAnsi="Times New Roman"/>
          <w:sz w:val="20"/>
          <w:szCs w:val="20"/>
        </w:rPr>
      </w:pPr>
      <w:r w:rsidRPr="000F7DD5">
        <w:rPr>
          <w:rStyle w:val="FootnoteReference"/>
        </w:rPr>
        <w:footnoteRef/>
      </w:r>
      <w:r w:rsidRPr="000F7DD5">
        <w:t xml:space="preserve"> </w:t>
      </w:r>
      <w:r w:rsidRPr="000F7DD5">
        <w:tab/>
      </w:r>
      <w:r w:rsidRPr="000F7DD5">
        <w:rPr>
          <w:rFonts w:ascii="Times New Roman" w:hAnsi="Times New Roman"/>
          <w:color w:val="444444"/>
          <w:sz w:val="20"/>
        </w:rPr>
        <w:t>Nariadenie Európskeho parlamentu</w:t>
      </w:r>
      <w:r>
        <w:rPr>
          <w:rFonts w:ascii="Times New Roman" w:hAnsi="Times New Roman"/>
          <w:color w:val="444444"/>
          <w:sz w:val="20"/>
        </w:rPr>
        <w:t xml:space="preserve"> a </w:t>
      </w:r>
      <w:r w:rsidRPr="000F7DD5">
        <w:rPr>
          <w:rFonts w:ascii="Times New Roman" w:hAnsi="Times New Roman"/>
          <w:color w:val="444444"/>
          <w:sz w:val="20"/>
        </w:rPr>
        <w:t>Rady (EÚ) 2017/2402</w:t>
      </w:r>
      <w:r>
        <w:rPr>
          <w:rFonts w:ascii="Times New Roman" w:hAnsi="Times New Roman"/>
          <w:color w:val="444444"/>
          <w:sz w:val="20"/>
        </w:rPr>
        <w:t xml:space="preserve"> z </w:t>
      </w:r>
      <w:r w:rsidRPr="000F7DD5">
        <w:rPr>
          <w:rFonts w:ascii="Times New Roman" w:hAnsi="Times New Roman"/>
          <w:color w:val="444444"/>
          <w:sz w:val="20"/>
        </w:rPr>
        <w:t>12</w:t>
      </w:r>
      <w:r>
        <w:rPr>
          <w:rFonts w:ascii="Times New Roman" w:hAnsi="Times New Roman"/>
          <w:color w:val="444444"/>
          <w:sz w:val="20"/>
        </w:rPr>
        <w:t>. decembra</w:t>
      </w:r>
      <w:r w:rsidRPr="000F7DD5">
        <w:rPr>
          <w:rFonts w:ascii="Times New Roman" w:hAnsi="Times New Roman"/>
          <w:color w:val="444444"/>
          <w:sz w:val="20"/>
        </w:rPr>
        <w:t xml:space="preserve"> 2017, ktorým sa stanovuje všeobecný rámec pre sekuritizáciu</w:t>
      </w:r>
      <w:r>
        <w:rPr>
          <w:rFonts w:ascii="Times New Roman" w:hAnsi="Times New Roman"/>
          <w:color w:val="444444"/>
          <w:sz w:val="20"/>
        </w:rPr>
        <w:t xml:space="preserve"> a </w:t>
      </w:r>
      <w:r w:rsidRPr="000F7DD5">
        <w:rPr>
          <w:rFonts w:ascii="Times New Roman" w:hAnsi="Times New Roman"/>
          <w:color w:val="444444"/>
          <w:sz w:val="20"/>
        </w:rPr>
        <w:t>vytvára sa osobitný rámec pre jednoduchú, transparentnú</w:t>
      </w:r>
      <w:r>
        <w:rPr>
          <w:rFonts w:ascii="Times New Roman" w:hAnsi="Times New Roman"/>
          <w:color w:val="444444"/>
          <w:sz w:val="20"/>
        </w:rPr>
        <w:t xml:space="preserve"> a </w:t>
      </w:r>
      <w:r w:rsidRPr="000F7DD5">
        <w:rPr>
          <w:rFonts w:ascii="Times New Roman" w:hAnsi="Times New Roman"/>
          <w:color w:val="444444"/>
          <w:sz w:val="20"/>
        </w:rPr>
        <w:t>štandardizovanú sekuritizáciu,</w:t>
      </w:r>
      <w:r>
        <w:rPr>
          <w:rFonts w:ascii="Times New Roman" w:hAnsi="Times New Roman"/>
          <w:color w:val="444444"/>
          <w:sz w:val="20"/>
        </w:rPr>
        <w:t xml:space="preserve"> a </w:t>
      </w:r>
      <w:r w:rsidRPr="000F7DD5">
        <w:rPr>
          <w:rFonts w:ascii="Times New Roman" w:hAnsi="Times New Roman"/>
          <w:color w:val="444444"/>
          <w:sz w:val="20"/>
        </w:rPr>
        <w:t>ktorým sa menia smernice 2009/65/ES, 2009/138/ES</w:t>
      </w:r>
      <w:r>
        <w:rPr>
          <w:rFonts w:ascii="Times New Roman" w:hAnsi="Times New Roman"/>
          <w:color w:val="444444"/>
          <w:sz w:val="20"/>
        </w:rPr>
        <w:t xml:space="preserve"> a </w:t>
      </w:r>
      <w:r w:rsidRPr="000F7DD5">
        <w:rPr>
          <w:rFonts w:ascii="Times New Roman" w:hAnsi="Times New Roman"/>
          <w:color w:val="444444"/>
          <w:sz w:val="20"/>
        </w:rPr>
        <w:t>2011/61/EÚ</w:t>
      </w:r>
      <w:r>
        <w:rPr>
          <w:rFonts w:ascii="Times New Roman" w:hAnsi="Times New Roman"/>
          <w:color w:val="444444"/>
          <w:sz w:val="20"/>
        </w:rPr>
        <w:t xml:space="preserve"> a </w:t>
      </w:r>
      <w:r w:rsidRPr="000F7DD5">
        <w:rPr>
          <w:rFonts w:ascii="Times New Roman" w:hAnsi="Times New Roman"/>
          <w:color w:val="444444"/>
          <w:sz w:val="20"/>
        </w:rPr>
        <w:t>nariadenia (ES) č. 1060/2009</w:t>
      </w:r>
      <w:r>
        <w:rPr>
          <w:rFonts w:ascii="Times New Roman" w:hAnsi="Times New Roman"/>
          <w:color w:val="444444"/>
          <w:sz w:val="20"/>
        </w:rPr>
        <w:t xml:space="preserve"> a </w:t>
      </w:r>
      <w:r w:rsidRPr="000F7DD5">
        <w:rPr>
          <w:rFonts w:ascii="Times New Roman" w:hAnsi="Times New Roman"/>
          <w:color w:val="444444"/>
          <w:sz w:val="20"/>
        </w:rPr>
        <w:t>(EÚ) č. 648/2012 (Ú. v. EÚ L 347, 28.12.2017, s. 35).</w:t>
      </w:r>
    </w:p>
  </w:footnote>
  <w:footnote w:id="7">
    <w:p w14:paraId="3663FDAD" w14:textId="52E191F1" w:rsidR="00256298" w:rsidRPr="000F7DD5" w:rsidRDefault="00256298" w:rsidP="002409C1">
      <w:pPr>
        <w:pStyle w:val="FootnoteText"/>
        <w:ind w:left="567" w:hanging="567"/>
        <w:rPr>
          <w:rFonts w:ascii="Times New Roman" w:hAnsi="Times New Roman"/>
          <w:sz w:val="20"/>
          <w:szCs w:val="20"/>
        </w:rPr>
      </w:pPr>
      <w:r w:rsidRPr="000F7DD5">
        <w:rPr>
          <w:rStyle w:val="FootnoteReference"/>
          <w:rFonts w:ascii="Times New Roman" w:hAnsi="Times New Roman"/>
        </w:rPr>
        <w:footnoteRef/>
      </w:r>
      <w:r w:rsidRPr="000F7DD5">
        <w:rPr>
          <w:rFonts w:ascii="Times New Roman" w:hAnsi="Times New Roman"/>
        </w:rPr>
        <w:t xml:space="preserve"> </w:t>
      </w:r>
      <w:r w:rsidRPr="000F7DD5">
        <w:tab/>
      </w:r>
      <w:r w:rsidRPr="000F7DD5">
        <w:rPr>
          <w:rFonts w:ascii="Times New Roman" w:hAnsi="Times New Roman"/>
          <w:sz w:val="20"/>
        </w:rPr>
        <w:t>„Samostatné inštitúcie“ nie sú ani súčasťou skupiny, ani sa nekonsolidujú</w:t>
      </w:r>
      <w:r>
        <w:rPr>
          <w:rFonts w:ascii="Times New Roman" w:hAnsi="Times New Roman"/>
          <w:sz w:val="20"/>
        </w:rPr>
        <w:t xml:space="preserve"> v </w:t>
      </w:r>
      <w:r w:rsidRPr="000F7DD5">
        <w:rPr>
          <w:rFonts w:ascii="Times New Roman" w:hAnsi="Times New Roman"/>
          <w:sz w:val="20"/>
        </w:rPr>
        <w:t>tej istej krajine, kde sa na ne vzťahujú požiadavky na vlastné zdroje.</w:t>
      </w:r>
    </w:p>
  </w:footnote>
  <w:footnote w:id="8">
    <w:p w14:paraId="3507A652" w14:textId="652D30C7" w:rsidR="00256298" w:rsidRPr="000F7DD5" w:rsidRDefault="00256298">
      <w:pPr>
        <w:pStyle w:val="FootnoteText"/>
      </w:pPr>
      <w:r w:rsidRPr="000F7DD5">
        <w:rPr>
          <w:rStyle w:val="FootnoteReference"/>
        </w:rPr>
        <w:footnoteRef/>
      </w:r>
      <w:r w:rsidRPr="000F7DD5">
        <w:t xml:space="preserve"> </w:t>
      </w:r>
      <w:r w:rsidRPr="000F7DD5">
        <w:rPr>
          <w:rFonts w:ascii="Times New Roman" w:hAnsi="Times New Roman"/>
          <w:sz w:val="20"/>
        </w:rPr>
        <w:t>Delegované nariadenie Komisie (EÚ) č. 525/2014</w:t>
      </w:r>
      <w:r>
        <w:rPr>
          <w:rFonts w:ascii="Times New Roman" w:hAnsi="Times New Roman"/>
          <w:sz w:val="20"/>
        </w:rPr>
        <w:t xml:space="preserve"> z </w:t>
      </w:r>
      <w:r w:rsidRPr="000F7DD5">
        <w:rPr>
          <w:rFonts w:ascii="Times New Roman" w:hAnsi="Times New Roman"/>
          <w:sz w:val="20"/>
        </w:rPr>
        <w:t>12</w:t>
      </w:r>
      <w:r>
        <w:rPr>
          <w:rFonts w:ascii="Times New Roman" w:hAnsi="Times New Roman"/>
          <w:sz w:val="20"/>
        </w:rPr>
        <w:t>. marca</w:t>
      </w:r>
      <w:r w:rsidRPr="000F7DD5">
        <w:rPr>
          <w:rFonts w:ascii="Times New Roman" w:hAnsi="Times New Roman"/>
          <w:sz w:val="20"/>
        </w:rPr>
        <w:t xml:space="preserve"> 2014, ktorým sa dopĺňa nariadenie Európskeho parlamentu</w:t>
      </w:r>
      <w:r>
        <w:rPr>
          <w:rFonts w:ascii="Times New Roman" w:hAnsi="Times New Roman"/>
          <w:sz w:val="20"/>
        </w:rPr>
        <w:t xml:space="preserve"> a </w:t>
      </w:r>
      <w:r w:rsidRPr="000F7DD5">
        <w:rPr>
          <w:rFonts w:ascii="Times New Roman" w:hAnsi="Times New Roman"/>
          <w:sz w:val="20"/>
        </w:rPr>
        <w:t>Rady (EÚ) č. 575/2013, pokiaľ ide</w:t>
      </w:r>
      <w:r>
        <w:rPr>
          <w:rFonts w:ascii="Times New Roman" w:hAnsi="Times New Roman"/>
          <w:sz w:val="20"/>
        </w:rPr>
        <w:t xml:space="preserve"> o </w:t>
      </w:r>
      <w:r w:rsidRPr="000F7DD5">
        <w:rPr>
          <w:rFonts w:ascii="Times New Roman" w:hAnsi="Times New Roman"/>
          <w:sz w:val="20"/>
        </w:rPr>
        <w:t>regulačné technické predpisy týkajúce sa vymedzenia trhu (Ú. v. EÚ L 148, 20.5.2014, s. 15)</w:t>
      </w:r>
      <w:r w:rsidRPr="000F7DD5">
        <w:rPr>
          <w:rFonts w:ascii="Times New Roman" w:hAnsi="Times New Roman"/>
          <w:i/>
          <w:sz w:val="20"/>
        </w:rPr>
        <w:t>.</w:t>
      </w:r>
    </w:p>
  </w:footnote>
  <w:footnote w:id="9">
    <w:p w14:paraId="018474C7" w14:textId="648185D7" w:rsidR="00256298" w:rsidRPr="000F7DD5" w:rsidRDefault="00256298">
      <w:pPr>
        <w:pStyle w:val="FootnoteText"/>
      </w:pPr>
      <w:r w:rsidRPr="000F7DD5">
        <w:rPr>
          <w:rStyle w:val="FootnoteReference"/>
        </w:rPr>
        <w:footnoteRef/>
      </w:r>
      <w:r w:rsidRPr="000F7DD5">
        <w:t xml:space="preserve"> Vykonávacie nariadenie Komisie (EÚ) č. 945/2014 zo 4</w:t>
      </w:r>
      <w:r>
        <w:t>. septembra</w:t>
      </w:r>
      <w:r w:rsidRPr="000F7DD5">
        <w:t xml:space="preserve"> 2014, ktorým sa stanovujú vykonávacie technické predpisy, pokiaľ ide</w:t>
      </w:r>
      <w:r>
        <w:t xml:space="preserve"> o </w:t>
      </w:r>
      <w:r w:rsidRPr="000F7DD5">
        <w:t>relevantné primerane diverzifikované indexy podľa nariadenia Európskeho parlamentu</w:t>
      </w:r>
      <w:r>
        <w:t xml:space="preserve"> a </w:t>
      </w:r>
      <w:r w:rsidRPr="000F7DD5">
        <w:t>Rady (EÚ) č. 575/2013.</w:t>
      </w:r>
    </w:p>
  </w:footnote>
  <w:footnote w:id="10">
    <w:p w14:paraId="5180B9BA" w14:textId="2A765203" w:rsidR="00256298" w:rsidRPr="000F7DD5" w:rsidRDefault="00256298">
      <w:pPr>
        <w:pStyle w:val="FootnoteText"/>
      </w:pPr>
      <w:r w:rsidRPr="000F7DD5">
        <w:rPr>
          <w:rStyle w:val="FootnoteReference"/>
        </w:rPr>
        <w:footnoteRef/>
      </w:r>
      <w:r w:rsidRPr="000F7DD5">
        <w:t xml:space="preserve"> </w:t>
      </w:r>
      <w:r>
        <w:tab/>
      </w:r>
      <w:r w:rsidRPr="000F7DD5">
        <w:t>Delegované nariadenie Komisie (EÚ) 2016/101</w:t>
      </w:r>
      <w:r>
        <w:t xml:space="preserve"> z </w:t>
      </w:r>
      <w:r w:rsidRPr="000F7DD5">
        <w:t>26</w:t>
      </w:r>
      <w:r>
        <w:t>. októbra</w:t>
      </w:r>
      <w:r w:rsidRPr="000F7DD5">
        <w:t xml:space="preserve"> 2015, ktorým sa dopĺňa nariadenie Európskeho parlamentu</w:t>
      </w:r>
      <w:r>
        <w:t xml:space="preserve"> a </w:t>
      </w:r>
      <w:r w:rsidRPr="000F7DD5">
        <w:t>Rady (EÚ) č. 575/2013, pokiaľ ide</w:t>
      </w:r>
      <w:r>
        <w:t xml:space="preserve"> o </w:t>
      </w:r>
      <w:r w:rsidRPr="000F7DD5">
        <w:t>regulačné technické predpisy týkajúce sa obozretného oceňovania podľa článku 105 ods. 14 (Ú. v. EÚ L 21, 28.1.2016, s. 54).</w:t>
      </w:r>
    </w:p>
  </w:footnote>
  <w:footnote w:id="11">
    <w:p w14:paraId="526200B1" w14:textId="28D99883" w:rsidR="00256298" w:rsidRPr="000F7DD5" w:rsidRDefault="00256298" w:rsidP="0016282F">
      <w:pPr>
        <w:pStyle w:val="NormalWeb"/>
        <w:spacing w:before="0" w:beforeAutospacing="0" w:after="75" w:afterAutospacing="0"/>
        <w:ind w:left="567" w:hanging="567"/>
        <w:rPr>
          <w:sz w:val="20"/>
          <w:szCs w:val="20"/>
        </w:rPr>
      </w:pPr>
      <w:r w:rsidRPr="000F7DD5">
        <w:rPr>
          <w:rStyle w:val="FootnoteReference"/>
          <w:rFonts w:ascii="Times New Roman" w:hAnsi="Times New Roman"/>
          <w:sz w:val="20"/>
          <w:szCs w:val="20"/>
        </w:rPr>
        <w:footnoteRef/>
      </w:r>
      <w:r w:rsidRPr="000F7DD5">
        <w:rPr>
          <w:sz w:val="20"/>
        </w:rPr>
        <w:t xml:space="preserve"> </w:t>
      </w:r>
      <w:r w:rsidRPr="000F7DD5">
        <w:tab/>
      </w:r>
      <w:r w:rsidRPr="000F7DD5">
        <w:rPr>
          <w:sz w:val="20"/>
        </w:rPr>
        <w:t>Nariadenie Európskeho parlamentu</w:t>
      </w:r>
      <w:r>
        <w:rPr>
          <w:sz w:val="20"/>
        </w:rPr>
        <w:t xml:space="preserve"> a </w:t>
      </w:r>
      <w:r w:rsidRPr="000F7DD5">
        <w:rPr>
          <w:sz w:val="20"/>
        </w:rPr>
        <w:t>Rady (ES) č. 1606/2002</w:t>
      </w:r>
      <w:r>
        <w:rPr>
          <w:sz w:val="20"/>
        </w:rPr>
        <w:t xml:space="preserve"> z </w:t>
      </w:r>
      <w:r w:rsidRPr="000F7DD5">
        <w:rPr>
          <w:sz w:val="20"/>
        </w:rPr>
        <w:t>19</w:t>
      </w:r>
      <w:r>
        <w:rPr>
          <w:sz w:val="20"/>
        </w:rPr>
        <w:t>. júla</w:t>
      </w:r>
      <w:r w:rsidRPr="000F7DD5">
        <w:rPr>
          <w:sz w:val="20"/>
        </w:rPr>
        <w:t xml:space="preserve"> 2002</w:t>
      </w:r>
      <w:r>
        <w:rPr>
          <w:sz w:val="20"/>
        </w:rPr>
        <w:t xml:space="preserve"> o </w:t>
      </w:r>
      <w:r w:rsidRPr="000F7DD5">
        <w:rPr>
          <w:sz w:val="20"/>
        </w:rPr>
        <w:t>uplatňovaní medzinárodných účtovných noriem (</w:t>
      </w:r>
      <w:r w:rsidRPr="000F7DD5">
        <w:rPr>
          <w:rStyle w:val="Emphasis"/>
          <w:i w:val="0"/>
          <w:sz w:val="20"/>
        </w:rPr>
        <w:t>Ú. v. ES L 243, 11.9.2002, s. 1).</w:t>
      </w:r>
    </w:p>
    <w:p w14:paraId="14C16FBA" w14:textId="77777777" w:rsidR="00256298" w:rsidRPr="000F7DD5" w:rsidRDefault="00256298" w:rsidP="0016282F">
      <w:pPr>
        <w:pStyle w:val="FootnoteText"/>
        <w:ind w:left="567" w:hanging="567"/>
      </w:pPr>
    </w:p>
  </w:footnote>
  <w:footnote w:id="12">
    <w:p w14:paraId="3B6054DF" w14:textId="4E73A623" w:rsidR="00256298" w:rsidRPr="000F7DD5" w:rsidRDefault="00256298" w:rsidP="00AB7835">
      <w:pPr>
        <w:pStyle w:val="FootnoteText"/>
        <w:spacing w:before="0" w:after="0" w:line="240" w:lineRule="auto"/>
        <w:ind w:left="567" w:hanging="567"/>
        <w:rPr>
          <w:rStyle w:val="FootnoteReference"/>
          <w:rFonts w:ascii="Times New Roman" w:hAnsi="Times New Roman"/>
          <w:sz w:val="20"/>
          <w:szCs w:val="20"/>
        </w:rPr>
      </w:pPr>
      <w:r w:rsidRPr="000F7DD5">
        <w:rPr>
          <w:rStyle w:val="FootnoteReference"/>
          <w:rFonts w:ascii="Times New Roman" w:hAnsi="Times New Roman"/>
          <w:sz w:val="20"/>
          <w:szCs w:val="20"/>
          <w:vertAlign w:val="superscript"/>
        </w:rPr>
        <w:footnoteRef/>
      </w:r>
      <w:r w:rsidRPr="000F7DD5">
        <w:rPr>
          <w:rStyle w:val="FootnoteReference"/>
          <w:rFonts w:ascii="Times New Roman" w:hAnsi="Times New Roman"/>
          <w:sz w:val="20"/>
          <w:vertAlign w:val="superscript"/>
        </w:rPr>
        <w:t xml:space="preserve"> </w:t>
      </w:r>
      <w:r w:rsidRPr="000F7DD5">
        <w:tab/>
      </w:r>
      <w:r w:rsidRPr="000F7DD5">
        <w:rPr>
          <w:rStyle w:val="FootnoteReference"/>
          <w:rFonts w:ascii="Times New Roman" w:hAnsi="Times New Roman"/>
          <w:sz w:val="20"/>
        </w:rPr>
        <w:t>Smernica Európskeho parlamentu</w:t>
      </w:r>
      <w:r>
        <w:rPr>
          <w:rStyle w:val="FootnoteReference"/>
          <w:rFonts w:ascii="Times New Roman" w:hAnsi="Times New Roman"/>
          <w:sz w:val="20"/>
        </w:rPr>
        <w:t xml:space="preserve"> a </w:t>
      </w:r>
      <w:r w:rsidRPr="000F7DD5">
        <w:rPr>
          <w:rStyle w:val="FootnoteReference"/>
          <w:rFonts w:ascii="Times New Roman" w:hAnsi="Times New Roman"/>
          <w:sz w:val="20"/>
        </w:rPr>
        <w:t>Rady 2013/34/EÚ</w:t>
      </w:r>
      <w:r>
        <w:rPr>
          <w:rStyle w:val="FootnoteReference"/>
          <w:rFonts w:ascii="Times New Roman" w:hAnsi="Times New Roman"/>
          <w:sz w:val="20"/>
        </w:rPr>
        <w:t xml:space="preserve"> o </w:t>
      </w:r>
      <w:r w:rsidRPr="000F7DD5">
        <w:rPr>
          <w:rStyle w:val="FootnoteReference"/>
          <w:rFonts w:ascii="Times New Roman" w:hAnsi="Times New Roman"/>
          <w:sz w:val="20"/>
        </w:rPr>
        <w:t>ročných účtovných závierkach, konsolidovaných účtovných závierkach</w:t>
      </w:r>
      <w:r>
        <w:rPr>
          <w:rStyle w:val="FootnoteReference"/>
          <w:rFonts w:ascii="Times New Roman" w:hAnsi="Times New Roman"/>
          <w:sz w:val="20"/>
        </w:rPr>
        <w:t xml:space="preserve"> a </w:t>
      </w:r>
      <w:r w:rsidRPr="000F7DD5">
        <w:rPr>
          <w:rStyle w:val="FootnoteReference"/>
          <w:rFonts w:ascii="Times New Roman" w:hAnsi="Times New Roman"/>
          <w:sz w:val="20"/>
        </w:rPr>
        <w:t>súvisiacich správach určitých druhov podnikov, ktorou sa mení smernica Európskeho parlamentu</w:t>
      </w:r>
      <w:r>
        <w:rPr>
          <w:rStyle w:val="FootnoteReference"/>
          <w:rFonts w:ascii="Times New Roman" w:hAnsi="Times New Roman"/>
          <w:sz w:val="20"/>
        </w:rPr>
        <w:t xml:space="preserve"> a </w:t>
      </w:r>
      <w:r w:rsidRPr="000F7DD5">
        <w:rPr>
          <w:rStyle w:val="FootnoteReference"/>
          <w:rFonts w:ascii="Times New Roman" w:hAnsi="Times New Roman"/>
          <w:sz w:val="20"/>
        </w:rPr>
        <w:t>Rady 2006/43/ES</w:t>
      </w:r>
      <w:r>
        <w:rPr>
          <w:rStyle w:val="FootnoteReference"/>
          <w:rFonts w:ascii="Times New Roman" w:hAnsi="Times New Roman"/>
          <w:sz w:val="20"/>
        </w:rPr>
        <w:t xml:space="preserve"> a </w:t>
      </w:r>
      <w:r w:rsidRPr="000F7DD5">
        <w:rPr>
          <w:rStyle w:val="FootnoteReference"/>
          <w:rFonts w:ascii="Times New Roman" w:hAnsi="Times New Roman"/>
          <w:sz w:val="20"/>
        </w:rPr>
        <w:t>zrušujú smernice Rady 78/660/EHS</w:t>
      </w:r>
      <w:r>
        <w:rPr>
          <w:rStyle w:val="FootnoteReference"/>
          <w:rFonts w:ascii="Times New Roman" w:hAnsi="Times New Roman"/>
          <w:sz w:val="20"/>
        </w:rPr>
        <w:t xml:space="preserve"> a </w:t>
      </w:r>
      <w:r w:rsidRPr="000F7DD5">
        <w:rPr>
          <w:rStyle w:val="FootnoteReference"/>
          <w:rFonts w:ascii="Times New Roman" w:hAnsi="Times New Roman"/>
          <w:sz w:val="20"/>
        </w:rPr>
        <w:t>83/349/EHS (Ú. v. EÚ L 182, 29.6.2013, s. 19).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C2E71A" w14:textId="7B4511CB" w:rsidR="00256298" w:rsidRDefault="00256298">
    <w:pPr>
      <w:pStyle w:val="Header"/>
    </w:pPr>
    <w:r>
      <w:rPr>
        <w:noProof/>
        <w:lang w:val="en-US" w:eastAsia="en-US"/>
      </w:rPr>
      <mc:AlternateContent>
        <mc:Choice Requires="wps">
          <w:drawing>
            <wp:anchor distT="0" distB="0" distL="0" distR="0" simplePos="0" relativeHeight="251659264" behindDoc="0" locked="0" layoutInCell="1" allowOverlap="1" wp14:anchorId="23C8943B" wp14:editId="41043202">
              <wp:simplePos x="635" y="635"/>
              <wp:positionH relativeFrom="leftMargin">
                <wp:align>left</wp:align>
              </wp:positionH>
              <wp:positionV relativeFrom="paragraph">
                <wp:posOffset>635</wp:posOffset>
              </wp:positionV>
              <wp:extent cx="443865" cy="443865"/>
              <wp:effectExtent l="0" t="0" r="3175" b="4445"/>
              <wp:wrapSquare wrapText="bothSides"/>
              <wp:docPr id="18" name="Text Box 18"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5175392" w14:textId="4AEDF1D6" w:rsidR="00256298" w:rsidRPr="003B6094" w:rsidRDefault="00256298">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3C8943B" id="_x0000_t202" coordsize="21600,21600" o:spt="202" path="m,l,21600r21600,l21600,xe">
              <v:stroke joinstyle="miter"/>
              <v:path gradientshapeok="t" o:connecttype="rect"/>
            </v:shapetype>
            <v:shape id="Text Box 18" o:spid="_x0000_s1026" type="#_x0000_t202" alt="EBA Regular Use"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" filled="f" stroked="f">
              <v:textbox style="mso-fit-shape-to-text:t" inset="5pt,0,0,0">
                <w:txbxContent>
                  <w:p w14:paraId="65175392" w14:textId="4AEDF1D6" w:rsidR="00256298" w:rsidRPr="003B6094" w:rsidRDefault="00256298">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A98C1" w14:textId="7C971337" w:rsidR="00256298" w:rsidRDefault="00256298">
    <w:pPr>
      <w:pStyle w:val="Header"/>
    </w:pPr>
    <w:r>
      <w:rPr>
        <w:noProof/>
        <w:lang w:val="en-US" w:eastAsia="en-US"/>
      </w:rPr>
      <mc:AlternateContent>
        <mc:Choice Requires="wps">
          <w:drawing>
            <wp:anchor distT="0" distB="0" distL="0" distR="0" simplePos="0" relativeHeight="251662336"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256298" w:rsidRPr="003B6094" w:rsidRDefault="00256298">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7" type="#_x0000_t202" alt="EBA Regular Use" style="position:absolute;left:0;text-align:left;margin-left:0;margin-top:.05pt;width:34.95pt;height:34.95pt;z-index:25166233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" filled="f" stroked="f">
              <v:textbox style="mso-fit-shape-to-text:t" inset="5pt,0,0,0">
                <w:txbxContent>
                  <w:p w14:paraId="5E3DFA35" w14:textId="0AB4BE24" w:rsidR="00256298" w:rsidRPr="003B6094" w:rsidRDefault="00256298">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DBBC0" w14:textId="5C594065" w:rsidR="00256298" w:rsidRDefault="00256298">
    <w:pPr>
      <w:pStyle w:val="Header"/>
    </w:pPr>
    <w:r>
      <w:rPr>
        <w:noProof/>
        <w:lang w:val="en-US" w:eastAsia="en-US"/>
      </w:rPr>
      <mc:AlternateContent>
        <mc:Choice Requires="wps">
          <w:drawing>
            <wp:anchor distT="0" distB="0" distL="0" distR="0" simplePos="0" relativeHeight="251663360"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E739477" w14:textId="77777777" w:rsidR="00256298" w:rsidRPr="0078479D" w:rsidRDefault="00256298" w:rsidP="009912F8">
                          <w:pPr>
                            <w:rPr>
                              <w:rFonts w:ascii="Calibri" w:hAnsi="Calibri" w:cstheme="minorBidi"/>
                              <w:color w:val="000000"/>
                              <w:sz w:val="24"/>
                              <w:szCs w:val="22"/>
                              <w:lang w:val="en-US"/>
                            </w:rPr>
                          </w:pPr>
                          <w:r w:rsidRPr="0078479D">
                            <w:rPr>
                              <w:rFonts w:ascii="Calibri" w:hAnsi="Calibri" w:cstheme="minorBidi"/>
                              <w:color w:val="000000"/>
                              <w:sz w:val="24"/>
                              <w:szCs w:val="22"/>
                              <w:lang w:val="en-US"/>
                            </w:rPr>
                            <w:t>EBA – Bežné použitie</w:t>
                          </w:r>
                        </w:p>
                        <w:p w14:paraId="26EFF338" w14:textId="6769667C" w:rsidR="00256298" w:rsidRPr="003B6094" w:rsidRDefault="00256298">
                          <w:pPr>
                            <w:rPr>
                              <w:rFonts w:ascii="Calibri" w:eastAsia="Calibri" w:hAnsi="Calibri" w:cs="Calibri"/>
                              <w:color w:val="000000"/>
                              <w:sz w:val="24"/>
                            </w:rPr>
                          </w:pP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8" type="#_x0000_t202" alt="EBA Regular Use" style="position:absolute;left:0;text-align:left;margin-left:0;margin-top:.05pt;width:34.95pt;height:34.95pt;z-index:25166336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" filled="f" stroked="f">
              <v:textbox style="mso-fit-shape-to-text:t" inset="5pt,0,0,0">
                <w:txbxContent>
                  <w:p w14:paraId="6E739477" w14:textId="77777777" w:rsidR="00256298" w:rsidRPr="0078479D" w:rsidRDefault="00256298" w:rsidP="009912F8">
                    <w:pPr>
                      <w:rPr>
                        <w:rFonts w:ascii="Calibri" w:hAnsi="Calibri" w:cstheme="minorBidi"/>
                        <w:color w:val="000000"/>
                        <w:sz w:val="24"/>
                        <w:szCs w:val="22"/>
                        <w:lang w:val="en-US"/>
                      </w:rPr>
                    </w:pPr>
                    <w:r w:rsidRPr="0078479D">
                      <w:rPr>
                        <w:rFonts w:ascii="Calibri" w:hAnsi="Calibri" w:cstheme="minorBidi"/>
                        <w:color w:val="000000"/>
                        <w:sz w:val="24"/>
                        <w:szCs w:val="22"/>
                        <w:lang w:val="en-US"/>
                      </w:rPr>
                      <w:t>EBA – Bežné použitie</w:t>
                    </w:r>
                  </w:p>
                  <w:p w14:paraId="26EFF338" w14:textId="6769667C" w:rsidR="00256298" w:rsidRPr="003B6094" w:rsidRDefault="00256298">
                    <w:pPr>
                      <w:rPr>
                        <w:rFonts w:ascii="Calibri" w:eastAsia="Calibri" w:hAnsi="Calibri" w:cs="Calibri"/>
                        <w:color w:val="000000"/>
                        <w:sz w:val="24"/>
                      </w:rPr>
                    </w:pPr>
                  </w:p>
                </w:txbxContent>
              </v:textbox>
              <w10:wrap type="square" anchorx="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49755F" w14:textId="0211D059" w:rsidR="00256298" w:rsidRDefault="00256298">
    <w:pPr>
      <w:rPr>
        <w:rFonts w:ascii="Arial" w:hAnsi="Arial" w:cs="Arial"/>
      </w:rPr>
    </w:pPr>
    <w:r>
      <w:rPr>
        <w:rFonts w:ascii="Arial" w:hAnsi="Arial"/>
        <w:noProof/>
        <w:lang w:val="en-US"/>
      </w:rPr>
      <mc:AlternateContent>
        <mc:Choice Requires="wps">
          <w:drawing>
            <wp:anchor distT="0" distB="0" distL="0" distR="0" simplePos="0" relativeHeight="251661312"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256298" w:rsidRPr="003B6094" w:rsidRDefault="00256298">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9" type="#_x0000_t202" alt="EBA Regular Use" style="position:absolute;left:0;text-align:left;margin-left:0;margin-top:.05pt;width:34.95pt;height:34.95pt;z-index:25166131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" filled="f" stroked="f">
              <v:textbox style="mso-fit-shape-to-text:t" inset="5pt,0,0,0">
                <w:txbxContent>
                  <w:p w14:paraId="338E9168" w14:textId="7F6D1353" w:rsidR="00256298" w:rsidRPr="003B6094" w:rsidRDefault="00256298">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6" w15:restartNumberingAfterBreak="0">
    <w:nsid w:val="139A3A50"/>
    <w:multiLevelType w:val="hybridMultilevel"/>
    <w:tmpl w:val="A96283C2"/>
    <w:lvl w:ilvl="0" w:tplc="E3F6ED18">
      <w:start w:val="1"/>
      <w:numFmt w:val="lowerRoman"/>
      <w:lvlText w:val="%1)"/>
      <w:lvlJc w:val="righ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3E26C87"/>
    <w:multiLevelType w:val="hybridMultilevel"/>
    <w:tmpl w:val="6E064302"/>
    <w:lvl w:ilvl="0" w:tplc="9F16A330">
      <w:start w:val="2"/>
      <w:numFmt w:val="bullet"/>
      <w:lvlText w:val="–"/>
      <w:lvlJc w:val="left"/>
      <w:pPr>
        <w:ind w:left="360" w:hanging="360"/>
      </w:pPr>
      <w:rPr>
        <w:rFonts w:ascii="Calibri" w:eastAsiaTheme="minorHAnsi" w:hAnsi="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D73671"/>
    <w:multiLevelType w:val="hybridMultilevel"/>
    <w:tmpl w:val="8F3EA250"/>
    <w:lvl w:ilvl="0" w:tplc="E3F6ED18">
      <w:start w:val="1"/>
      <w:numFmt w:val="lowerRoman"/>
      <w:lvlText w:val="%1)"/>
      <w:lvlJc w:val="righ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9" w15:restartNumberingAfterBreak="0">
    <w:nsid w:val="19EB7E37"/>
    <w:multiLevelType w:val="hybridMultilevel"/>
    <w:tmpl w:val="8BCA6850"/>
    <w:lvl w:ilvl="0" w:tplc="E3F6ED18">
      <w:start w:val="1"/>
      <w:numFmt w:val="lowerRoman"/>
      <w:lvlText w:val="%1)"/>
      <w:lvlJc w:val="righ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0"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1" w15:restartNumberingAfterBreak="0">
    <w:nsid w:val="222179FB"/>
    <w:multiLevelType w:val="hybridMultilevel"/>
    <w:tmpl w:val="6B24D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EF5F8D"/>
    <w:multiLevelType w:val="hybridMultilevel"/>
    <w:tmpl w:val="C4B4A19C"/>
    <w:lvl w:ilvl="0" w:tplc="236EA62C">
      <w:start w:val="1"/>
      <w:numFmt w:val="decimal"/>
      <w:lvlText w:val="%1."/>
      <w:lvlJc w:val="left"/>
      <w:pPr>
        <w:ind w:left="1353" w:hanging="360"/>
      </w:pPr>
      <w:rPr>
        <w:rFonts w:cs="Times New Roman"/>
      </w:rPr>
    </w:lvl>
    <w:lvl w:ilvl="1" w:tplc="04090017">
      <w:start w:val="1"/>
      <w:numFmt w:val="lowerLetter"/>
      <w:lvlText w:val="%2)"/>
      <w:lvlJc w:val="left"/>
      <w:pPr>
        <w:ind w:left="1440" w:hanging="360"/>
      </w:pPr>
      <w:rPr>
        <w:rFonts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3" w15:restartNumberingAfterBreak="0">
    <w:nsid w:val="27093C75"/>
    <w:multiLevelType w:val="hybridMultilevel"/>
    <w:tmpl w:val="35824658"/>
    <w:lvl w:ilvl="0" w:tplc="E3F6ED18">
      <w:start w:val="1"/>
      <w:numFmt w:val="lowerRoman"/>
      <w:lvlText w:val="%1)"/>
      <w:lvlJc w:val="righ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4" w15:restartNumberingAfterBreak="0">
    <w:nsid w:val="2A3B6637"/>
    <w:multiLevelType w:val="hybridMultilevel"/>
    <w:tmpl w:val="22DE1C62"/>
    <w:lvl w:ilvl="0" w:tplc="E3F6ED18">
      <w:start w:val="1"/>
      <w:numFmt w:val="lowerRoman"/>
      <w:lvlText w:val="%1)"/>
      <w:lvlJc w:val="righ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5"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7" w15:restartNumberingAfterBreak="0">
    <w:nsid w:val="2B9B1C50"/>
    <w:multiLevelType w:val="hybridMultilevel"/>
    <w:tmpl w:val="BBC87B4E"/>
    <w:lvl w:ilvl="0" w:tplc="9F16A330">
      <w:start w:val="2"/>
      <w:numFmt w:val="bullet"/>
      <w:lvlText w:val="–"/>
      <w:lvlJc w:val="left"/>
      <w:pPr>
        <w:ind w:left="1080" w:hanging="360"/>
      </w:pPr>
      <w:rPr>
        <w:rFonts w:ascii="Calibri" w:eastAsiaTheme="minorHAnsi" w:hAnsi="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2F7D7F02"/>
    <w:multiLevelType w:val="multilevel"/>
    <w:tmpl w:val="0407001D"/>
    <w:numStyleLink w:val="Formatvorlage3"/>
  </w:abstractNum>
  <w:abstractNum w:abstractNumId="19"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0"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1" w15:restartNumberingAfterBreak="0">
    <w:nsid w:val="39CE50B7"/>
    <w:multiLevelType w:val="hybridMultilevel"/>
    <w:tmpl w:val="9CFE6704"/>
    <w:lvl w:ilvl="0" w:tplc="E3F6ED18">
      <w:start w:val="1"/>
      <w:numFmt w:val="lowerRoman"/>
      <w:lvlText w:val="%1)"/>
      <w:lvlJc w:val="righ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A0D45D9"/>
    <w:multiLevelType w:val="hybridMultilevel"/>
    <w:tmpl w:val="C424388C"/>
    <w:lvl w:ilvl="0" w:tplc="04090001">
      <w:start w:val="1"/>
      <w:numFmt w:val="bullet"/>
      <w:lvlText w:val=""/>
      <w:lvlJc w:val="left"/>
      <w:pPr>
        <w:ind w:left="1713" w:hanging="360"/>
      </w:pPr>
      <w:rPr>
        <w:rFonts w:ascii="Symbol" w:hAnsi="Symbol"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2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442C1CB0"/>
    <w:multiLevelType w:val="hybridMultilevel"/>
    <w:tmpl w:val="74B4AF3C"/>
    <w:lvl w:ilvl="0" w:tplc="E3F6ED18">
      <w:start w:val="1"/>
      <w:numFmt w:val="lowerRoman"/>
      <w:lvlText w:val="%1)"/>
      <w:lvlJc w:val="righ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6"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0"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1"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3"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4" w15:restartNumberingAfterBreak="0">
    <w:nsid w:val="60642C4B"/>
    <w:multiLevelType w:val="hybridMultilevel"/>
    <w:tmpl w:val="AC6ACC02"/>
    <w:lvl w:ilvl="0" w:tplc="9F16A330">
      <w:start w:val="2"/>
      <w:numFmt w:val="bullet"/>
      <w:lvlText w:val="–"/>
      <w:lvlJc w:val="left"/>
      <w:pPr>
        <w:ind w:left="360" w:hanging="360"/>
      </w:pPr>
      <w:rPr>
        <w:rFonts w:ascii="Calibri" w:eastAsiaTheme="minorHAnsi" w:hAnsi="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6" w15:restartNumberingAfterBreak="0">
    <w:nsid w:val="63BB45F0"/>
    <w:multiLevelType w:val="hybridMultilevel"/>
    <w:tmpl w:val="9B2204FC"/>
    <w:lvl w:ilvl="0" w:tplc="E3F6ED18">
      <w:start w:val="1"/>
      <w:numFmt w:val="lowerRoman"/>
      <w:lvlText w:val="%1)"/>
      <w:lvlJc w:val="righ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7"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0"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1"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2"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43"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4FC3CAD"/>
    <w:multiLevelType w:val="hybridMultilevel"/>
    <w:tmpl w:val="D4AAF828"/>
    <w:lvl w:ilvl="0" w:tplc="9F16A330">
      <w:start w:val="2"/>
      <w:numFmt w:val="bullet"/>
      <w:lvlText w:val="–"/>
      <w:lvlJc w:val="left"/>
      <w:pPr>
        <w:ind w:left="360" w:hanging="360"/>
      </w:pPr>
      <w:rPr>
        <w:rFonts w:ascii="Calibri" w:eastAsiaTheme="minorHAnsi" w:hAnsi="Calibri"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8" w15:restartNumberingAfterBreak="0">
    <w:nsid w:val="77FD6839"/>
    <w:multiLevelType w:val="hybridMultilevel"/>
    <w:tmpl w:val="334EC3CA"/>
    <w:lvl w:ilvl="0" w:tplc="9F16A330">
      <w:start w:val="2"/>
      <w:numFmt w:val="bullet"/>
      <w:lvlText w:val="–"/>
      <w:lvlJc w:val="left"/>
      <w:pPr>
        <w:ind w:left="720" w:hanging="360"/>
      </w:pPr>
      <w:rPr>
        <w:rFonts w:ascii="Calibri" w:eastAsiaTheme="minorHAns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C89649B"/>
    <w:multiLevelType w:val="hybridMultilevel"/>
    <w:tmpl w:val="B92C42AC"/>
    <w:lvl w:ilvl="0" w:tplc="E3F6ED18">
      <w:start w:val="1"/>
      <w:numFmt w:val="lowerRoman"/>
      <w:lvlText w:val="%1)"/>
      <w:lvlJc w:val="righ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num w:numId="1">
    <w:abstractNumId w:val="3"/>
  </w:num>
  <w:num w:numId="2">
    <w:abstractNumId w:val="33"/>
  </w:num>
  <w:num w:numId="3">
    <w:abstractNumId w:val="45"/>
  </w:num>
  <w:num w:numId="4">
    <w:abstractNumId w:val="28"/>
  </w:num>
  <w:num w:numId="5">
    <w:abstractNumId w:val="39"/>
  </w:num>
  <w:num w:numId="6">
    <w:abstractNumId w:val="24"/>
  </w:num>
  <w:num w:numId="7">
    <w:abstractNumId w:val="44"/>
  </w:num>
  <w:num w:numId="8">
    <w:abstractNumId w:val="10"/>
  </w:num>
  <w:num w:numId="9">
    <w:abstractNumId w:val="37"/>
  </w:num>
  <w:num w:numId="10">
    <w:abstractNumId w:val="20"/>
  </w:num>
  <w:num w:numId="11">
    <w:abstractNumId w:val="30"/>
  </w:num>
  <w:num w:numId="12">
    <w:abstractNumId w:val="15"/>
  </w:num>
  <w:num w:numId="13">
    <w:abstractNumId w:val="38"/>
  </w:num>
  <w:num w:numId="14">
    <w:abstractNumId w:val="32"/>
  </w:num>
  <w:num w:numId="15">
    <w:abstractNumId w:val="19"/>
  </w:num>
  <w:num w:numId="16">
    <w:abstractNumId w:val="29"/>
  </w:num>
  <w:num w:numId="17">
    <w:abstractNumId w:val="18"/>
  </w:num>
  <w:num w:numId="18">
    <w:abstractNumId w:val="40"/>
  </w:num>
  <w:num w:numId="19">
    <w:abstractNumId w:val="5"/>
  </w:num>
  <w:num w:numId="20">
    <w:abstractNumId w:val="7"/>
  </w:num>
  <w:num w:numId="21">
    <w:abstractNumId w:val="34"/>
  </w:num>
  <w:num w:numId="22">
    <w:abstractNumId w:val="47"/>
  </w:num>
  <w:num w:numId="23">
    <w:abstractNumId w:val="11"/>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num>
  <w:num w:numId="26">
    <w:abstractNumId w:val="48"/>
  </w:num>
  <w:num w:numId="27">
    <w:abstractNumId w:val="4"/>
  </w:num>
  <w:num w:numId="28">
    <w:abstractNumId w:val="42"/>
  </w:num>
  <w:num w:numId="29">
    <w:abstractNumId w:val="46"/>
  </w:num>
  <w:num w:numId="30">
    <w:abstractNumId w:val="26"/>
  </w:num>
  <w:num w:numId="31">
    <w:abstractNumId w:val="2"/>
  </w:num>
  <w:num w:numId="32">
    <w:abstractNumId w:val="22"/>
  </w:num>
  <w:num w:numId="33">
    <w:abstractNumId w:val="43"/>
  </w:num>
  <w:num w:numId="34">
    <w:abstractNumId w:val="1"/>
  </w:num>
  <w:num w:numId="35">
    <w:abstractNumId w:val="41"/>
  </w:num>
  <w:num w:numId="36">
    <w:abstractNumId w:val="31"/>
  </w:num>
  <w:num w:numId="37">
    <w:abstractNumId w:val="0"/>
  </w:num>
  <w:num w:numId="38">
    <w:abstractNumId w:val="16"/>
  </w:num>
  <w:num w:numId="39">
    <w:abstractNumId w:val="27"/>
  </w:num>
  <w:num w:numId="40">
    <w:abstractNumId w:val="23"/>
  </w:num>
  <w:num w:numId="41">
    <w:abstractNumId w:val="14"/>
  </w:num>
  <w:num w:numId="42">
    <w:abstractNumId w:val="49"/>
  </w:num>
  <w:num w:numId="43">
    <w:abstractNumId w:val="25"/>
  </w:num>
  <w:num w:numId="44">
    <w:abstractNumId w:val="21"/>
  </w:num>
  <w:num w:numId="45">
    <w:abstractNumId w:val="36"/>
  </w:num>
  <w:num w:numId="46">
    <w:abstractNumId w:val="9"/>
  </w:num>
  <w:num w:numId="47">
    <w:abstractNumId w:val="8"/>
  </w:num>
  <w:num w:numId="48">
    <w:abstractNumId w:val="13"/>
  </w:num>
  <w:num w:numId="49">
    <w:abstractNumId w:val="6"/>
  </w:num>
  <w:num w:numId="50">
    <w:abstractNumId w:val="12"/>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Grammatical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BE" w:vendorID="64" w:dllVersion="131078"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E14"/>
    <w:rsid w:val="00004478"/>
    <w:rsid w:val="000044B7"/>
    <w:rsid w:val="00004978"/>
    <w:rsid w:val="00004D21"/>
    <w:rsid w:val="00004FE8"/>
    <w:rsid w:val="00005078"/>
    <w:rsid w:val="00005765"/>
    <w:rsid w:val="00005FFC"/>
    <w:rsid w:val="00007605"/>
    <w:rsid w:val="00007D0D"/>
    <w:rsid w:val="00010124"/>
    <w:rsid w:val="00011AFA"/>
    <w:rsid w:val="00011BD0"/>
    <w:rsid w:val="000120EB"/>
    <w:rsid w:val="00014890"/>
    <w:rsid w:val="00014DC3"/>
    <w:rsid w:val="0001693F"/>
    <w:rsid w:val="00020200"/>
    <w:rsid w:val="00020516"/>
    <w:rsid w:val="00020857"/>
    <w:rsid w:val="00020AF9"/>
    <w:rsid w:val="000212B7"/>
    <w:rsid w:val="0002157C"/>
    <w:rsid w:val="00021A05"/>
    <w:rsid w:val="0002267E"/>
    <w:rsid w:val="00023102"/>
    <w:rsid w:val="000232E2"/>
    <w:rsid w:val="00023383"/>
    <w:rsid w:val="000242CC"/>
    <w:rsid w:val="000243CE"/>
    <w:rsid w:val="0002657F"/>
    <w:rsid w:val="00027235"/>
    <w:rsid w:val="00027D90"/>
    <w:rsid w:val="000313B7"/>
    <w:rsid w:val="00031FA5"/>
    <w:rsid w:val="000326C1"/>
    <w:rsid w:val="00033B7C"/>
    <w:rsid w:val="00033C55"/>
    <w:rsid w:val="00034431"/>
    <w:rsid w:val="000346A9"/>
    <w:rsid w:val="00034834"/>
    <w:rsid w:val="000359E1"/>
    <w:rsid w:val="00035DCC"/>
    <w:rsid w:val="000364CE"/>
    <w:rsid w:val="00037093"/>
    <w:rsid w:val="000377CC"/>
    <w:rsid w:val="00037FCC"/>
    <w:rsid w:val="00041480"/>
    <w:rsid w:val="000433C4"/>
    <w:rsid w:val="00045036"/>
    <w:rsid w:val="0004590F"/>
    <w:rsid w:val="00052CAE"/>
    <w:rsid w:val="000530BC"/>
    <w:rsid w:val="0005400A"/>
    <w:rsid w:val="000548A2"/>
    <w:rsid w:val="0005609F"/>
    <w:rsid w:val="000565B6"/>
    <w:rsid w:val="00056C0F"/>
    <w:rsid w:val="00056C8D"/>
    <w:rsid w:val="00057154"/>
    <w:rsid w:val="00057362"/>
    <w:rsid w:val="0005746D"/>
    <w:rsid w:val="00061C24"/>
    <w:rsid w:val="00061E48"/>
    <w:rsid w:val="00062A1F"/>
    <w:rsid w:val="00063085"/>
    <w:rsid w:val="00063B3F"/>
    <w:rsid w:val="00064158"/>
    <w:rsid w:val="0006666B"/>
    <w:rsid w:val="00067DC1"/>
    <w:rsid w:val="00067EEA"/>
    <w:rsid w:val="00070113"/>
    <w:rsid w:val="00070518"/>
    <w:rsid w:val="00070AF9"/>
    <w:rsid w:val="00070E18"/>
    <w:rsid w:val="00071341"/>
    <w:rsid w:val="000716F4"/>
    <w:rsid w:val="00071D95"/>
    <w:rsid w:val="000726BC"/>
    <w:rsid w:val="000737D3"/>
    <w:rsid w:val="000758FE"/>
    <w:rsid w:val="00076091"/>
    <w:rsid w:val="000763E0"/>
    <w:rsid w:val="00076880"/>
    <w:rsid w:val="00077C5F"/>
    <w:rsid w:val="00080DDC"/>
    <w:rsid w:val="0008111C"/>
    <w:rsid w:val="0008126E"/>
    <w:rsid w:val="00082265"/>
    <w:rsid w:val="000828C6"/>
    <w:rsid w:val="000843B3"/>
    <w:rsid w:val="00084A4D"/>
    <w:rsid w:val="000858A9"/>
    <w:rsid w:val="000860B6"/>
    <w:rsid w:val="00086A31"/>
    <w:rsid w:val="00086C6E"/>
    <w:rsid w:val="00087700"/>
    <w:rsid w:val="00087E1A"/>
    <w:rsid w:val="000903FA"/>
    <w:rsid w:val="000904F3"/>
    <w:rsid w:val="00090583"/>
    <w:rsid w:val="000911FE"/>
    <w:rsid w:val="0009195D"/>
    <w:rsid w:val="00091CBC"/>
    <w:rsid w:val="00092F67"/>
    <w:rsid w:val="00093686"/>
    <w:rsid w:val="00093BF7"/>
    <w:rsid w:val="00094D25"/>
    <w:rsid w:val="00095191"/>
    <w:rsid w:val="00096566"/>
    <w:rsid w:val="00096876"/>
    <w:rsid w:val="0009761E"/>
    <w:rsid w:val="00097A17"/>
    <w:rsid w:val="00097C81"/>
    <w:rsid w:val="00097E91"/>
    <w:rsid w:val="000A0FC4"/>
    <w:rsid w:val="000A1955"/>
    <w:rsid w:val="000A368E"/>
    <w:rsid w:val="000A3B1A"/>
    <w:rsid w:val="000A46E0"/>
    <w:rsid w:val="000A4B61"/>
    <w:rsid w:val="000A4C10"/>
    <w:rsid w:val="000A57BC"/>
    <w:rsid w:val="000A6BBC"/>
    <w:rsid w:val="000A7D27"/>
    <w:rsid w:val="000A7F37"/>
    <w:rsid w:val="000B0694"/>
    <w:rsid w:val="000B0B09"/>
    <w:rsid w:val="000B0E46"/>
    <w:rsid w:val="000B0EBE"/>
    <w:rsid w:val="000B13A1"/>
    <w:rsid w:val="000B22F6"/>
    <w:rsid w:val="000B267A"/>
    <w:rsid w:val="000B3C33"/>
    <w:rsid w:val="000B3E00"/>
    <w:rsid w:val="000B6A14"/>
    <w:rsid w:val="000B70E1"/>
    <w:rsid w:val="000B73C4"/>
    <w:rsid w:val="000C0127"/>
    <w:rsid w:val="000C0A34"/>
    <w:rsid w:val="000C24B5"/>
    <w:rsid w:val="000C30A6"/>
    <w:rsid w:val="000C4A6C"/>
    <w:rsid w:val="000C5A1A"/>
    <w:rsid w:val="000C5EA7"/>
    <w:rsid w:val="000C6938"/>
    <w:rsid w:val="000C7632"/>
    <w:rsid w:val="000C7EAA"/>
    <w:rsid w:val="000D04B6"/>
    <w:rsid w:val="000D0A23"/>
    <w:rsid w:val="000D194E"/>
    <w:rsid w:val="000D1FBE"/>
    <w:rsid w:val="000D220D"/>
    <w:rsid w:val="000D3222"/>
    <w:rsid w:val="000D3CBC"/>
    <w:rsid w:val="000D4352"/>
    <w:rsid w:val="000D5292"/>
    <w:rsid w:val="000D5958"/>
    <w:rsid w:val="000D6B9B"/>
    <w:rsid w:val="000E093A"/>
    <w:rsid w:val="000E1572"/>
    <w:rsid w:val="000E197A"/>
    <w:rsid w:val="000E2774"/>
    <w:rsid w:val="000E29C9"/>
    <w:rsid w:val="000E3F99"/>
    <w:rsid w:val="000E40DD"/>
    <w:rsid w:val="000E6835"/>
    <w:rsid w:val="000E7BA8"/>
    <w:rsid w:val="000E7F08"/>
    <w:rsid w:val="000F0D99"/>
    <w:rsid w:val="000F11B2"/>
    <w:rsid w:val="000F13F9"/>
    <w:rsid w:val="000F1CEA"/>
    <w:rsid w:val="000F2EC8"/>
    <w:rsid w:val="000F2F09"/>
    <w:rsid w:val="000F33AF"/>
    <w:rsid w:val="000F46D5"/>
    <w:rsid w:val="000F4702"/>
    <w:rsid w:val="000F6A80"/>
    <w:rsid w:val="000F6B25"/>
    <w:rsid w:val="000F7045"/>
    <w:rsid w:val="000F70EC"/>
    <w:rsid w:val="000F7DD5"/>
    <w:rsid w:val="0010177C"/>
    <w:rsid w:val="00102C6F"/>
    <w:rsid w:val="00104370"/>
    <w:rsid w:val="0010455D"/>
    <w:rsid w:val="00104A65"/>
    <w:rsid w:val="0010559F"/>
    <w:rsid w:val="00105A75"/>
    <w:rsid w:val="0010605A"/>
    <w:rsid w:val="00106FC5"/>
    <w:rsid w:val="001102E5"/>
    <w:rsid w:val="00110F40"/>
    <w:rsid w:val="00113E45"/>
    <w:rsid w:val="00113EA5"/>
    <w:rsid w:val="001151C1"/>
    <w:rsid w:val="0011539B"/>
    <w:rsid w:val="00115685"/>
    <w:rsid w:val="0012049B"/>
    <w:rsid w:val="00121008"/>
    <w:rsid w:val="001219C2"/>
    <w:rsid w:val="00121BFD"/>
    <w:rsid w:val="001235ED"/>
    <w:rsid w:val="00123D62"/>
    <w:rsid w:val="00124A44"/>
    <w:rsid w:val="00124B85"/>
    <w:rsid w:val="001250CC"/>
    <w:rsid w:val="00125707"/>
    <w:rsid w:val="00125D44"/>
    <w:rsid w:val="00125DEE"/>
    <w:rsid w:val="00126395"/>
    <w:rsid w:val="001273B5"/>
    <w:rsid w:val="00127986"/>
    <w:rsid w:val="00127FEA"/>
    <w:rsid w:val="00130586"/>
    <w:rsid w:val="00130EEF"/>
    <w:rsid w:val="001323BF"/>
    <w:rsid w:val="00132778"/>
    <w:rsid w:val="00132AEE"/>
    <w:rsid w:val="00133107"/>
    <w:rsid w:val="001331F5"/>
    <w:rsid w:val="00133396"/>
    <w:rsid w:val="00133AC1"/>
    <w:rsid w:val="00136316"/>
    <w:rsid w:val="00137AC5"/>
    <w:rsid w:val="001402DB"/>
    <w:rsid w:val="00140571"/>
    <w:rsid w:val="001409D9"/>
    <w:rsid w:val="00140F6E"/>
    <w:rsid w:val="00141DD1"/>
    <w:rsid w:val="0014209A"/>
    <w:rsid w:val="0014210E"/>
    <w:rsid w:val="00142917"/>
    <w:rsid w:val="001432EE"/>
    <w:rsid w:val="00144F03"/>
    <w:rsid w:val="001452FC"/>
    <w:rsid w:val="0014657C"/>
    <w:rsid w:val="00146D50"/>
    <w:rsid w:val="001474E0"/>
    <w:rsid w:val="0015008C"/>
    <w:rsid w:val="00151071"/>
    <w:rsid w:val="00151B44"/>
    <w:rsid w:val="00151D8A"/>
    <w:rsid w:val="0015288B"/>
    <w:rsid w:val="00152B33"/>
    <w:rsid w:val="00153BEC"/>
    <w:rsid w:val="00154859"/>
    <w:rsid w:val="001550FA"/>
    <w:rsid w:val="00155114"/>
    <w:rsid w:val="00156555"/>
    <w:rsid w:val="001570C4"/>
    <w:rsid w:val="00157883"/>
    <w:rsid w:val="00157B19"/>
    <w:rsid w:val="0016072E"/>
    <w:rsid w:val="0016282F"/>
    <w:rsid w:val="001628F4"/>
    <w:rsid w:val="00162CCF"/>
    <w:rsid w:val="00162E47"/>
    <w:rsid w:val="00163DBA"/>
    <w:rsid w:val="001644B8"/>
    <w:rsid w:val="00164970"/>
    <w:rsid w:val="00164B62"/>
    <w:rsid w:val="00167602"/>
    <w:rsid w:val="00167619"/>
    <w:rsid w:val="00167E59"/>
    <w:rsid w:val="001721BD"/>
    <w:rsid w:val="001734AB"/>
    <w:rsid w:val="0017440D"/>
    <w:rsid w:val="00175957"/>
    <w:rsid w:val="00176495"/>
    <w:rsid w:val="001771A4"/>
    <w:rsid w:val="00181174"/>
    <w:rsid w:val="00181888"/>
    <w:rsid w:val="00181AC7"/>
    <w:rsid w:val="001822DF"/>
    <w:rsid w:val="00183B7A"/>
    <w:rsid w:val="00184045"/>
    <w:rsid w:val="001840A5"/>
    <w:rsid w:val="001843F9"/>
    <w:rsid w:val="00184E8A"/>
    <w:rsid w:val="0018533B"/>
    <w:rsid w:val="001854F6"/>
    <w:rsid w:val="00185877"/>
    <w:rsid w:val="00185A19"/>
    <w:rsid w:val="00185FA8"/>
    <w:rsid w:val="00187348"/>
    <w:rsid w:val="00187488"/>
    <w:rsid w:val="0019088A"/>
    <w:rsid w:val="00190FA3"/>
    <w:rsid w:val="001919E9"/>
    <w:rsid w:val="001924F4"/>
    <w:rsid w:val="00192744"/>
    <w:rsid w:val="0019394E"/>
    <w:rsid w:val="001959EF"/>
    <w:rsid w:val="00195FDC"/>
    <w:rsid w:val="0019727D"/>
    <w:rsid w:val="00197C28"/>
    <w:rsid w:val="001A0143"/>
    <w:rsid w:val="001A2115"/>
    <w:rsid w:val="001A217F"/>
    <w:rsid w:val="001A370B"/>
    <w:rsid w:val="001A3980"/>
    <w:rsid w:val="001A40DB"/>
    <w:rsid w:val="001A44B3"/>
    <w:rsid w:val="001A523B"/>
    <w:rsid w:val="001A531E"/>
    <w:rsid w:val="001A627D"/>
    <w:rsid w:val="001A741B"/>
    <w:rsid w:val="001A7742"/>
    <w:rsid w:val="001B023A"/>
    <w:rsid w:val="001B140A"/>
    <w:rsid w:val="001B1531"/>
    <w:rsid w:val="001B17E6"/>
    <w:rsid w:val="001B1F77"/>
    <w:rsid w:val="001B21AE"/>
    <w:rsid w:val="001B43BD"/>
    <w:rsid w:val="001B44EE"/>
    <w:rsid w:val="001B4EA5"/>
    <w:rsid w:val="001B5499"/>
    <w:rsid w:val="001B5725"/>
    <w:rsid w:val="001B6114"/>
    <w:rsid w:val="001B6D4D"/>
    <w:rsid w:val="001B7D0F"/>
    <w:rsid w:val="001B7F1A"/>
    <w:rsid w:val="001C1392"/>
    <w:rsid w:val="001C1571"/>
    <w:rsid w:val="001C24B0"/>
    <w:rsid w:val="001C2A41"/>
    <w:rsid w:val="001C2BA5"/>
    <w:rsid w:val="001C3443"/>
    <w:rsid w:val="001C36B0"/>
    <w:rsid w:val="001C3D30"/>
    <w:rsid w:val="001C5557"/>
    <w:rsid w:val="001C5CA8"/>
    <w:rsid w:val="001C6166"/>
    <w:rsid w:val="001C6416"/>
    <w:rsid w:val="001C743D"/>
    <w:rsid w:val="001C7897"/>
    <w:rsid w:val="001C79CB"/>
    <w:rsid w:val="001C7AB7"/>
    <w:rsid w:val="001C7F2A"/>
    <w:rsid w:val="001D1D37"/>
    <w:rsid w:val="001D1F64"/>
    <w:rsid w:val="001D2FE6"/>
    <w:rsid w:val="001D3409"/>
    <w:rsid w:val="001D3CE7"/>
    <w:rsid w:val="001D4848"/>
    <w:rsid w:val="001D4B9D"/>
    <w:rsid w:val="001D5403"/>
    <w:rsid w:val="001D54D3"/>
    <w:rsid w:val="001D6D7C"/>
    <w:rsid w:val="001D7382"/>
    <w:rsid w:val="001E01BA"/>
    <w:rsid w:val="001E0C80"/>
    <w:rsid w:val="001E332C"/>
    <w:rsid w:val="001E38FD"/>
    <w:rsid w:val="001E39E5"/>
    <w:rsid w:val="001E3EF1"/>
    <w:rsid w:val="001E5A75"/>
    <w:rsid w:val="001E6127"/>
    <w:rsid w:val="001E6B9D"/>
    <w:rsid w:val="001E71B5"/>
    <w:rsid w:val="001E7AE4"/>
    <w:rsid w:val="001E7EA7"/>
    <w:rsid w:val="001F0111"/>
    <w:rsid w:val="001F0D60"/>
    <w:rsid w:val="001F1711"/>
    <w:rsid w:val="001F1B80"/>
    <w:rsid w:val="001F2389"/>
    <w:rsid w:val="001F2830"/>
    <w:rsid w:val="001F2920"/>
    <w:rsid w:val="001F3BBE"/>
    <w:rsid w:val="001F3D6A"/>
    <w:rsid w:val="001F4225"/>
    <w:rsid w:val="001F5AC3"/>
    <w:rsid w:val="001F60B8"/>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4E5"/>
    <w:rsid w:val="00215548"/>
    <w:rsid w:val="00215CD7"/>
    <w:rsid w:val="00216D67"/>
    <w:rsid w:val="0021767A"/>
    <w:rsid w:val="00220265"/>
    <w:rsid w:val="00220B85"/>
    <w:rsid w:val="00221103"/>
    <w:rsid w:val="00221C2F"/>
    <w:rsid w:val="00222596"/>
    <w:rsid w:val="002229FF"/>
    <w:rsid w:val="00222AC6"/>
    <w:rsid w:val="00222CD3"/>
    <w:rsid w:val="0022311E"/>
    <w:rsid w:val="0022315F"/>
    <w:rsid w:val="00224016"/>
    <w:rsid w:val="00224828"/>
    <w:rsid w:val="002249DB"/>
    <w:rsid w:val="00224FE5"/>
    <w:rsid w:val="0022597E"/>
    <w:rsid w:val="00225D42"/>
    <w:rsid w:val="002300C6"/>
    <w:rsid w:val="002301C6"/>
    <w:rsid w:val="00230536"/>
    <w:rsid w:val="002305D2"/>
    <w:rsid w:val="00230DA8"/>
    <w:rsid w:val="00232217"/>
    <w:rsid w:val="00232702"/>
    <w:rsid w:val="0023276A"/>
    <w:rsid w:val="002327CE"/>
    <w:rsid w:val="00232921"/>
    <w:rsid w:val="00233577"/>
    <w:rsid w:val="002339F2"/>
    <w:rsid w:val="0023488F"/>
    <w:rsid w:val="00234E7D"/>
    <w:rsid w:val="0023571F"/>
    <w:rsid w:val="002357EA"/>
    <w:rsid w:val="00235897"/>
    <w:rsid w:val="002367E6"/>
    <w:rsid w:val="00236E33"/>
    <w:rsid w:val="0023700C"/>
    <w:rsid w:val="00237276"/>
    <w:rsid w:val="0023738B"/>
    <w:rsid w:val="0023769E"/>
    <w:rsid w:val="002376B2"/>
    <w:rsid w:val="002409C1"/>
    <w:rsid w:val="00240B06"/>
    <w:rsid w:val="00241190"/>
    <w:rsid w:val="00241845"/>
    <w:rsid w:val="00242134"/>
    <w:rsid w:val="002423CA"/>
    <w:rsid w:val="0024244E"/>
    <w:rsid w:val="0024258C"/>
    <w:rsid w:val="002446F1"/>
    <w:rsid w:val="00244B6A"/>
    <w:rsid w:val="002450B6"/>
    <w:rsid w:val="002451F4"/>
    <w:rsid w:val="00245325"/>
    <w:rsid w:val="00245E37"/>
    <w:rsid w:val="00246BCA"/>
    <w:rsid w:val="00246F65"/>
    <w:rsid w:val="00247193"/>
    <w:rsid w:val="00250176"/>
    <w:rsid w:val="002506A3"/>
    <w:rsid w:val="00251CF4"/>
    <w:rsid w:val="00251F24"/>
    <w:rsid w:val="00252454"/>
    <w:rsid w:val="0025267A"/>
    <w:rsid w:val="0025290C"/>
    <w:rsid w:val="00253022"/>
    <w:rsid w:val="002530E8"/>
    <w:rsid w:val="002540B2"/>
    <w:rsid w:val="002547C1"/>
    <w:rsid w:val="00254DF6"/>
    <w:rsid w:val="00255BA9"/>
    <w:rsid w:val="0025607F"/>
    <w:rsid w:val="00256298"/>
    <w:rsid w:val="002562F9"/>
    <w:rsid w:val="00257BF5"/>
    <w:rsid w:val="00257FBC"/>
    <w:rsid w:val="00260AA2"/>
    <w:rsid w:val="002618F4"/>
    <w:rsid w:val="00261B63"/>
    <w:rsid w:val="002625C0"/>
    <w:rsid w:val="00262B22"/>
    <w:rsid w:val="00262B48"/>
    <w:rsid w:val="00262C1B"/>
    <w:rsid w:val="002630FB"/>
    <w:rsid w:val="0026352F"/>
    <w:rsid w:val="002647D2"/>
    <w:rsid w:val="0026485D"/>
    <w:rsid w:val="002648B0"/>
    <w:rsid w:val="00264C8C"/>
    <w:rsid w:val="002664C7"/>
    <w:rsid w:val="002669F8"/>
    <w:rsid w:val="002678CE"/>
    <w:rsid w:val="00267A21"/>
    <w:rsid w:val="0027034D"/>
    <w:rsid w:val="00271C8B"/>
    <w:rsid w:val="00272F65"/>
    <w:rsid w:val="00273432"/>
    <w:rsid w:val="002735FE"/>
    <w:rsid w:val="002754C0"/>
    <w:rsid w:val="00276720"/>
    <w:rsid w:val="00276B41"/>
    <w:rsid w:val="00277058"/>
    <w:rsid w:val="002771C5"/>
    <w:rsid w:val="002805FD"/>
    <w:rsid w:val="0028072E"/>
    <w:rsid w:val="00280B99"/>
    <w:rsid w:val="002816EA"/>
    <w:rsid w:val="00283B5F"/>
    <w:rsid w:val="00283C5E"/>
    <w:rsid w:val="00284A6D"/>
    <w:rsid w:val="0028519C"/>
    <w:rsid w:val="002858D1"/>
    <w:rsid w:val="00285E2F"/>
    <w:rsid w:val="0028628A"/>
    <w:rsid w:val="00290CAD"/>
    <w:rsid w:val="002917CA"/>
    <w:rsid w:val="002920FF"/>
    <w:rsid w:val="00292409"/>
    <w:rsid w:val="00292A20"/>
    <w:rsid w:val="00294B07"/>
    <w:rsid w:val="0029520F"/>
    <w:rsid w:val="00295225"/>
    <w:rsid w:val="0029630E"/>
    <w:rsid w:val="00297074"/>
    <w:rsid w:val="0029716F"/>
    <w:rsid w:val="0029726F"/>
    <w:rsid w:val="002A04D3"/>
    <w:rsid w:val="002A09D5"/>
    <w:rsid w:val="002A18DE"/>
    <w:rsid w:val="002A1B49"/>
    <w:rsid w:val="002A36BB"/>
    <w:rsid w:val="002A4B85"/>
    <w:rsid w:val="002A5969"/>
    <w:rsid w:val="002A5BC5"/>
    <w:rsid w:val="002A677E"/>
    <w:rsid w:val="002A67C8"/>
    <w:rsid w:val="002A6913"/>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D2C75"/>
    <w:rsid w:val="002D318D"/>
    <w:rsid w:val="002D31E5"/>
    <w:rsid w:val="002D3982"/>
    <w:rsid w:val="002D4561"/>
    <w:rsid w:val="002D4E10"/>
    <w:rsid w:val="002D4F6A"/>
    <w:rsid w:val="002D6B9E"/>
    <w:rsid w:val="002D7779"/>
    <w:rsid w:val="002E0148"/>
    <w:rsid w:val="002E0174"/>
    <w:rsid w:val="002E053A"/>
    <w:rsid w:val="002E0DDB"/>
    <w:rsid w:val="002E12E6"/>
    <w:rsid w:val="002E136A"/>
    <w:rsid w:val="002E2061"/>
    <w:rsid w:val="002E2164"/>
    <w:rsid w:val="002E27B0"/>
    <w:rsid w:val="002E3720"/>
    <w:rsid w:val="002E4EB7"/>
    <w:rsid w:val="002E5096"/>
    <w:rsid w:val="002E587F"/>
    <w:rsid w:val="002E58AF"/>
    <w:rsid w:val="002E7287"/>
    <w:rsid w:val="002E796C"/>
    <w:rsid w:val="002F07EA"/>
    <w:rsid w:val="002F0FB3"/>
    <w:rsid w:val="002F1163"/>
    <w:rsid w:val="002F11F3"/>
    <w:rsid w:val="002F170E"/>
    <w:rsid w:val="002F1920"/>
    <w:rsid w:val="002F19BB"/>
    <w:rsid w:val="002F1E8D"/>
    <w:rsid w:val="002F2663"/>
    <w:rsid w:val="002F29AF"/>
    <w:rsid w:val="002F39A7"/>
    <w:rsid w:val="002F4A67"/>
    <w:rsid w:val="002F4A87"/>
    <w:rsid w:val="002F5571"/>
    <w:rsid w:val="002F78EA"/>
    <w:rsid w:val="002F79EA"/>
    <w:rsid w:val="002F7E28"/>
    <w:rsid w:val="00300224"/>
    <w:rsid w:val="00302C3F"/>
    <w:rsid w:val="00303974"/>
    <w:rsid w:val="00304CA5"/>
    <w:rsid w:val="0030572F"/>
    <w:rsid w:val="00306163"/>
    <w:rsid w:val="00306AD1"/>
    <w:rsid w:val="00306F71"/>
    <w:rsid w:val="00306F8E"/>
    <w:rsid w:val="003073B2"/>
    <w:rsid w:val="0031001C"/>
    <w:rsid w:val="003105C6"/>
    <w:rsid w:val="00310F05"/>
    <w:rsid w:val="00310F96"/>
    <w:rsid w:val="00311119"/>
    <w:rsid w:val="00311B2D"/>
    <w:rsid w:val="00312BA3"/>
    <w:rsid w:val="00313274"/>
    <w:rsid w:val="003132E6"/>
    <w:rsid w:val="003137B9"/>
    <w:rsid w:val="00313D20"/>
    <w:rsid w:val="003141F6"/>
    <w:rsid w:val="003150E6"/>
    <w:rsid w:val="003172C8"/>
    <w:rsid w:val="003175FE"/>
    <w:rsid w:val="00320BB4"/>
    <w:rsid w:val="00321A3B"/>
    <w:rsid w:val="003220BD"/>
    <w:rsid w:val="003232D5"/>
    <w:rsid w:val="00325654"/>
    <w:rsid w:val="003259DA"/>
    <w:rsid w:val="0032635E"/>
    <w:rsid w:val="0032755B"/>
    <w:rsid w:val="003300FF"/>
    <w:rsid w:val="00330199"/>
    <w:rsid w:val="00331FE6"/>
    <w:rsid w:val="00333A44"/>
    <w:rsid w:val="00334093"/>
    <w:rsid w:val="0033476C"/>
    <w:rsid w:val="003374C1"/>
    <w:rsid w:val="00337849"/>
    <w:rsid w:val="00337BEA"/>
    <w:rsid w:val="00340094"/>
    <w:rsid w:val="003400BB"/>
    <w:rsid w:val="00342261"/>
    <w:rsid w:val="00342B6A"/>
    <w:rsid w:val="00342C4B"/>
    <w:rsid w:val="003438E8"/>
    <w:rsid w:val="003459F8"/>
    <w:rsid w:val="00345A82"/>
    <w:rsid w:val="00345E53"/>
    <w:rsid w:val="00346C65"/>
    <w:rsid w:val="0034786E"/>
    <w:rsid w:val="00347FF9"/>
    <w:rsid w:val="00350AC4"/>
    <w:rsid w:val="00350DDB"/>
    <w:rsid w:val="00352A45"/>
    <w:rsid w:val="00352C6E"/>
    <w:rsid w:val="00352FB3"/>
    <w:rsid w:val="00353D40"/>
    <w:rsid w:val="0035403D"/>
    <w:rsid w:val="003541BA"/>
    <w:rsid w:val="003556A3"/>
    <w:rsid w:val="00356773"/>
    <w:rsid w:val="00357CD1"/>
    <w:rsid w:val="00357F63"/>
    <w:rsid w:val="003616A1"/>
    <w:rsid w:val="00361D60"/>
    <w:rsid w:val="00363505"/>
    <w:rsid w:val="00363969"/>
    <w:rsid w:val="0036415F"/>
    <w:rsid w:val="00364EBB"/>
    <w:rsid w:val="00366794"/>
    <w:rsid w:val="00366CAF"/>
    <w:rsid w:val="00370576"/>
    <w:rsid w:val="0037077A"/>
    <w:rsid w:val="00370D79"/>
    <w:rsid w:val="00371593"/>
    <w:rsid w:val="00371653"/>
    <w:rsid w:val="00373E3E"/>
    <w:rsid w:val="00375C47"/>
    <w:rsid w:val="00380D47"/>
    <w:rsid w:val="003812AC"/>
    <w:rsid w:val="003813DF"/>
    <w:rsid w:val="0038147E"/>
    <w:rsid w:val="00381685"/>
    <w:rsid w:val="003826D9"/>
    <w:rsid w:val="00383D4B"/>
    <w:rsid w:val="00383FF2"/>
    <w:rsid w:val="00384770"/>
    <w:rsid w:val="00386492"/>
    <w:rsid w:val="00387E40"/>
    <w:rsid w:val="003908C5"/>
    <w:rsid w:val="00390DDA"/>
    <w:rsid w:val="00391406"/>
    <w:rsid w:val="003927BE"/>
    <w:rsid w:val="00392C11"/>
    <w:rsid w:val="00392FFD"/>
    <w:rsid w:val="0039346B"/>
    <w:rsid w:val="00393539"/>
    <w:rsid w:val="00393FF2"/>
    <w:rsid w:val="00394410"/>
    <w:rsid w:val="00394FF1"/>
    <w:rsid w:val="003953E6"/>
    <w:rsid w:val="00397314"/>
    <w:rsid w:val="00397A77"/>
    <w:rsid w:val="003A0532"/>
    <w:rsid w:val="003A07D6"/>
    <w:rsid w:val="003A0835"/>
    <w:rsid w:val="003A0C05"/>
    <w:rsid w:val="003A1469"/>
    <w:rsid w:val="003A1B96"/>
    <w:rsid w:val="003A200A"/>
    <w:rsid w:val="003A3877"/>
    <w:rsid w:val="003A3899"/>
    <w:rsid w:val="003A449C"/>
    <w:rsid w:val="003A497B"/>
    <w:rsid w:val="003A4C8B"/>
    <w:rsid w:val="003A5743"/>
    <w:rsid w:val="003A5D8C"/>
    <w:rsid w:val="003A7214"/>
    <w:rsid w:val="003A7336"/>
    <w:rsid w:val="003B00F4"/>
    <w:rsid w:val="003B05AE"/>
    <w:rsid w:val="003B06B9"/>
    <w:rsid w:val="003B09EA"/>
    <w:rsid w:val="003B0B15"/>
    <w:rsid w:val="003B20D7"/>
    <w:rsid w:val="003B219A"/>
    <w:rsid w:val="003B256A"/>
    <w:rsid w:val="003B25F0"/>
    <w:rsid w:val="003B2712"/>
    <w:rsid w:val="003B3112"/>
    <w:rsid w:val="003B3533"/>
    <w:rsid w:val="003B3DBB"/>
    <w:rsid w:val="003B43BA"/>
    <w:rsid w:val="003B6094"/>
    <w:rsid w:val="003B7060"/>
    <w:rsid w:val="003C050A"/>
    <w:rsid w:val="003C0FB5"/>
    <w:rsid w:val="003C1BB1"/>
    <w:rsid w:val="003C2409"/>
    <w:rsid w:val="003C2566"/>
    <w:rsid w:val="003C3168"/>
    <w:rsid w:val="003C3AAB"/>
    <w:rsid w:val="003C3B79"/>
    <w:rsid w:val="003C3FD5"/>
    <w:rsid w:val="003C4307"/>
    <w:rsid w:val="003C60B9"/>
    <w:rsid w:val="003C76A2"/>
    <w:rsid w:val="003C7853"/>
    <w:rsid w:val="003D07E3"/>
    <w:rsid w:val="003D10E9"/>
    <w:rsid w:val="003D11AD"/>
    <w:rsid w:val="003D14AE"/>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7C5"/>
    <w:rsid w:val="003E4EF2"/>
    <w:rsid w:val="003E5145"/>
    <w:rsid w:val="003E52DA"/>
    <w:rsid w:val="003E7AEC"/>
    <w:rsid w:val="003F0298"/>
    <w:rsid w:val="003F05A0"/>
    <w:rsid w:val="003F1103"/>
    <w:rsid w:val="003F15BB"/>
    <w:rsid w:val="003F17BB"/>
    <w:rsid w:val="003F19BA"/>
    <w:rsid w:val="003F3523"/>
    <w:rsid w:val="00401111"/>
    <w:rsid w:val="0040156B"/>
    <w:rsid w:val="00401E48"/>
    <w:rsid w:val="00403B9F"/>
    <w:rsid w:val="0040521E"/>
    <w:rsid w:val="00405C0A"/>
    <w:rsid w:val="00407110"/>
    <w:rsid w:val="00407505"/>
    <w:rsid w:val="00407936"/>
    <w:rsid w:val="00410796"/>
    <w:rsid w:val="004120DF"/>
    <w:rsid w:val="004127F7"/>
    <w:rsid w:val="004129D0"/>
    <w:rsid w:val="00412D44"/>
    <w:rsid w:val="004133D9"/>
    <w:rsid w:val="004134E6"/>
    <w:rsid w:val="004157CC"/>
    <w:rsid w:val="00415A1B"/>
    <w:rsid w:val="00417984"/>
    <w:rsid w:val="00422449"/>
    <w:rsid w:val="00422B88"/>
    <w:rsid w:val="00423556"/>
    <w:rsid w:val="00423D6C"/>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8E7"/>
    <w:rsid w:val="004415C8"/>
    <w:rsid w:val="00441F78"/>
    <w:rsid w:val="00443003"/>
    <w:rsid w:val="00443DD0"/>
    <w:rsid w:val="0044539D"/>
    <w:rsid w:val="00445E06"/>
    <w:rsid w:val="0044639C"/>
    <w:rsid w:val="0045099E"/>
    <w:rsid w:val="00450A2E"/>
    <w:rsid w:val="00451220"/>
    <w:rsid w:val="00451B63"/>
    <w:rsid w:val="00452FEF"/>
    <w:rsid w:val="00453999"/>
    <w:rsid w:val="00454026"/>
    <w:rsid w:val="00454082"/>
    <w:rsid w:val="00454139"/>
    <w:rsid w:val="00454CFC"/>
    <w:rsid w:val="00455364"/>
    <w:rsid w:val="00455B49"/>
    <w:rsid w:val="004600E4"/>
    <w:rsid w:val="004603C7"/>
    <w:rsid w:val="00460A9C"/>
    <w:rsid w:val="00461A5A"/>
    <w:rsid w:val="004629A2"/>
    <w:rsid w:val="00462BAB"/>
    <w:rsid w:val="00463F88"/>
    <w:rsid w:val="00464DCB"/>
    <w:rsid w:val="00464F34"/>
    <w:rsid w:val="00467F08"/>
    <w:rsid w:val="00467F65"/>
    <w:rsid w:val="00471159"/>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45E"/>
    <w:rsid w:val="00483FC9"/>
    <w:rsid w:val="00484DDA"/>
    <w:rsid w:val="004852B9"/>
    <w:rsid w:val="00486DA5"/>
    <w:rsid w:val="00487597"/>
    <w:rsid w:val="00487A02"/>
    <w:rsid w:val="004901BE"/>
    <w:rsid w:val="0049092A"/>
    <w:rsid w:val="004913CE"/>
    <w:rsid w:val="00491F4D"/>
    <w:rsid w:val="004928AC"/>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47BA"/>
    <w:rsid w:val="004A5880"/>
    <w:rsid w:val="004A6C52"/>
    <w:rsid w:val="004A6FAC"/>
    <w:rsid w:val="004A705D"/>
    <w:rsid w:val="004A7B60"/>
    <w:rsid w:val="004B031B"/>
    <w:rsid w:val="004B135C"/>
    <w:rsid w:val="004B2A17"/>
    <w:rsid w:val="004B38D3"/>
    <w:rsid w:val="004B38D7"/>
    <w:rsid w:val="004B3B58"/>
    <w:rsid w:val="004B4DF9"/>
    <w:rsid w:val="004B572C"/>
    <w:rsid w:val="004B584D"/>
    <w:rsid w:val="004B5870"/>
    <w:rsid w:val="004B67ED"/>
    <w:rsid w:val="004B6F60"/>
    <w:rsid w:val="004B7F4A"/>
    <w:rsid w:val="004C03BC"/>
    <w:rsid w:val="004C0508"/>
    <w:rsid w:val="004C15A0"/>
    <w:rsid w:val="004C1ACF"/>
    <w:rsid w:val="004C4478"/>
    <w:rsid w:val="004C6E6F"/>
    <w:rsid w:val="004C74EC"/>
    <w:rsid w:val="004D0C15"/>
    <w:rsid w:val="004D2031"/>
    <w:rsid w:val="004D2753"/>
    <w:rsid w:val="004D36B6"/>
    <w:rsid w:val="004D3C0E"/>
    <w:rsid w:val="004D4419"/>
    <w:rsid w:val="004D45AA"/>
    <w:rsid w:val="004D4BDB"/>
    <w:rsid w:val="004D5161"/>
    <w:rsid w:val="004D6755"/>
    <w:rsid w:val="004D6C74"/>
    <w:rsid w:val="004D780C"/>
    <w:rsid w:val="004E0244"/>
    <w:rsid w:val="004E04BF"/>
    <w:rsid w:val="004E081B"/>
    <w:rsid w:val="004E0A91"/>
    <w:rsid w:val="004E2725"/>
    <w:rsid w:val="004E28B1"/>
    <w:rsid w:val="004E2BE7"/>
    <w:rsid w:val="004E5B02"/>
    <w:rsid w:val="004E6AC0"/>
    <w:rsid w:val="004E6D5F"/>
    <w:rsid w:val="004E7936"/>
    <w:rsid w:val="004E7D09"/>
    <w:rsid w:val="004E7DF2"/>
    <w:rsid w:val="004F0068"/>
    <w:rsid w:val="004F0D16"/>
    <w:rsid w:val="004F0F3D"/>
    <w:rsid w:val="004F1DDB"/>
    <w:rsid w:val="004F2AB4"/>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2CC7"/>
    <w:rsid w:val="005130D9"/>
    <w:rsid w:val="005135D6"/>
    <w:rsid w:val="00513822"/>
    <w:rsid w:val="00514158"/>
    <w:rsid w:val="00514783"/>
    <w:rsid w:val="00520B00"/>
    <w:rsid w:val="00521D56"/>
    <w:rsid w:val="00522F33"/>
    <w:rsid w:val="0052367C"/>
    <w:rsid w:val="00523DD6"/>
    <w:rsid w:val="0052490C"/>
    <w:rsid w:val="0052508A"/>
    <w:rsid w:val="0053078D"/>
    <w:rsid w:val="00530BA1"/>
    <w:rsid w:val="00530FC7"/>
    <w:rsid w:val="00531FC9"/>
    <w:rsid w:val="00532026"/>
    <w:rsid w:val="0053327A"/>
    <w:rsid w:val="00533D6A"/>
    <w:rsid w:val="00533D84"/>
    <w:rsid w:val="00533E53"/>
    <w:rsid w:val="005342A5"/>
    <w:rsid w:val="00535350"/>
    <w:rsid w:val="00535792"/>
    <w:rsid w:val="00535A98"/>
    <w:rsid w:val="00536B6D"/>
    <w:rsid w:val="0053702D"/>
    <w:rsid w:val="0054122B"/>
    <w:rsid w:val="005429A0"/>
    <w:rsid w:val="00542C33"/>
    <w:rsid w:val="00542EAE"/>
    <w:rsid w:val="00543964"/>
    <w:rsid w:val="00543DBD"/>
    <w:rsid w:val="00544DA4"/>
    <w:rsid w:val="00544E37"/>
    <w:rsid w:val="00547047"/>
    <w:rsid w:val="005474CB"/>
    <w:rsid w:val="00550113"/>
    <w:rsid w:val="005511AD"/>
    <w:rsid w:val="00551271"/>
    <w:rsid w:val="0055144E"/>
    <w:rsid w:val="0055245C"/>
    <w:rsid w:val="005528C1"/>
    <w:rsid w:val="00552A83"/>
    <w:rsid w:val="00552BF3"/>
    <w:rsid w:val="00552E3E"/>
    <w:rsid w:val="00554261"/>
    <w:rsid w:val="00554886"/>
    <w:rsid w:val="00554A32"/>
    <w:rsid w:val="005563DA"/>
    <w:rsid w:val="0055657F"/>
    <w:rsid w:val="0055791B"/>
    <w:rsid w:val="00557D09"/>
    <w:rsid w:val="0056002D"/>
    <w:rsid w:val="00560A14"/>
    <w:rsid w:val="005617F7"/>
    <w:rsid w:val="00562181"/>
    <w:rsid w:val="00563313"/>
    <w:rsid w:val="005643EA"/>
    <w:rsid w:val="00564A89"/>
    <w:rsid w:val="00565031"/>
    <w:rsid w:val="005666F4"/>
    <w:rsid w:val="00566A45"/>
    <w:rsid w:val="00566DB5"/>
    <w:rsid w:val="005723E9"/>
    <w:rsid w:val="00572C82"/>
    <w:rsid w:val="0057350E"/>
    <w:rsid w:val="00573DB4"/>
    <w:rsid w:val="00576215"/>
    <w:rsid w:val="0057632A"/>
    <w:rsid w:val="00577AA3"/>
    <w:rsid w:val="005808DE"/>
    <w:rsid w:val="00581FA5"/>
    <w:rsid w:val="00582399"/>
    <w:rsid w:val="00582923"/>
    <w:rsid w:val="00583884"/>
    <w:rsid w:val="00584165"/>
    <w:rsid w:val="00585466"/>
    <w:rsid w:val="00585B5B"/>
    <w:rsid w:val="0058617B"/>
    <w:rsid w:val="00587E96"/>
    <w:rsid w:val="00590386"/>
    <w:rsid w:val="005911AC"/>
    <w:rsid w:val="0059138D"/>
    <w:rsid w:val="00593E1F"/>
    <w:rsid w:val="00595FAD"/>
    <w:rsid w:val="0059657D"/>
    <w:rsid w:val="005965CE"/>
    <w:rsid w:val="00597BBC"/>
    <w:rsid w:val="005A020C"/>
    <w:rsid w:val="005A1898"/>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390"/>
    <w:rsid w:val="005B54BB"/>
    <w:rsid w:val="005B57EC"/>
    <w:rsid w:val="005B591C"/>
    <w:rsid w:val="005B5D85"/>
    <w:rsid w:val="005B76D3"/>
    <w:rsid w:val="005C14B0"/>
    <w:rsid w:val="005C1BC9"/>
    <w:rsid w:val="005C287F"/>
    <w:rsid w:val="005C29CD"/>
    <w:rsid w:val="005C2A1D"/>
    <w:rsid w:val="005C4397"/>
    <w:rsid w:val="005C5136"/>
    <w:rsid w:val="005C517E"/>
    <w:rsid w:val="005C6CF7"/>
    <w:rsid w:val="005C6DEB"/>
    <w:rsid w:val="005C7542"/>
    <w:rsid w:val="005C7A65"/>
    <w:rsid w:val="005C7A91"/>
    <w:rsid w:val="005D0B5D"/>
    <w:rsid w:val="005D2F62"/>
    <w:rsid w:val="005D3318"/>
    <w:rsid w:val="005D35A0"/>
    <w:rsid w:val="005D3DD9"/>
    <w:rsid w:val="005D3E00"/>
    <w:rsid w:val="005D40D9"/>
    <w:rsid w:val="005D479B"/>
    <w:rsid w:val="005D5914"/>
    <w:rsid w:val="005E0301"/>
    <w:rsid w:val="005E03B8"/>
    <w:rsid w:val="005E0917"/>
    <w:rsid w:val="005E1B10"/>
    <w:rsid w:val="005E3471"/>
    <w:rsid w:val="005E4BEC"/>
    <w:rsid w:val="005E5070"/>
    <w:rsid w:val="005E59EB"/>
    <w:rsid w:val="005E61A3"/>
    <w:rsid w:val="005E7377"/>
    <w:rsid w:val="005E7DF2"/>
    <w:rsid w:val="005E7FAD"/>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764"/>
    <w:rsid w:val="00602FA5"/>
    <w:rsid w:val="0060500C"/>
    <w:rsid w:val="00605A9A"/>
    <w:rsid w:val="00605F23"/>
    <w:rsid w:val="00606735"/>
    <w:rsid w:val="0060673F"/>
    <w:rsid w:val="00606885"/>
    <w:rsid w:val="0060723F"/>
    <w:rsid w:val="00607523"/>
    <w:rsid w:val="006108B8"/>
    <w:rsid w:val="00610920"/>
    <w:rsid w:val="00610B56"/>
    <w:rsid w:val="00611073"/>
    <w:rsid w:val="0061222C"/>
    <w:rsid w:val="0061248F"/>
    <w:rsid w:val="00612780"/>
    <w:rsid w:val="006128D7"/>
    <w:rsid w:val="00613578"/>
    <w:rsid w:val="0061382B"/>
    <w:rsid w:val="00614509"/>
    <w:rsid w:val="0061482E"/>
    <w:rsid w:val="00615252"/>
    <w:rsid w:val="0061552A"/>
    <w:rsid w:val="00616264"/>
    <w:rsid w:val="00616690"/>
    <w:rsid w:val="00616E90"/>
    <w:rsid w:val="00620AB3"/>
    <w:rsid w:val="00622B37"/>
    <w:rsid w:val="00622B8C"/>
    <w:rsid w:val="00622DF8"/>
    <w:rsid w:val="0062362F"/>
    <w:rsid w:val="00623BD2"/>
    <w:rsid w:val="00623EAD"/>
    <w:rsid w:val="00624117"/>
    <w:rsid w:val="00624624"/>
    <w:rsid w:val="0062558D"/>
    <w:rsid w:val="006259C7"/>
    <w:rsid w:val="006269F7"/>
    <w:rsid w:val="00626A88"/>
    <w:rsid w:val="00627143"/>
    <w:rsid w:val="00630711"/>
    <w:rsid w:val="00631405"/>
    <w:rsid w:val="006317A9"/>
    <w:rsid w:val="0063337F"/>
    <w:rsid w:val="00633D3C"/>
    <w:rsid w:val="00633DEB"/>
    <w:rsid w:val="0063493E"/>
    <w:rsid w:val="00634EC4"/>
    <w:rsid w:val="00635440"/>
    <w:rsid w:val="006364E5"/>
    <w:rsid w:val="0063773C"/>
    <w:rsid w:val="00640475"/>
    <w:rsid w:val="006418A0"/>
    <w:rsid w:val="00643011"/>
    <w:rsid w:val="00643362"/>
    <w:rsid w:val="00643B18"/>
    <w:rsid w:val="0064497A"/>
    <w:rsid w:val="006452A4"/>
    <w:rsid w:val="00645573"/>
    <w:rsid w:val="006455B0"/>
    <w:rsid w:val="00646287"/>
    <w:rsid w:val="00646D1B"/>
    <w:rsid w:val="006477B8"/>
    <w:rsid w:val="00647F9C"/>
    <w:rsid w:val="00650529"/>
    <w:rsid w:val="00650B6C"/>
    <w:rsid w:val="00650D5A"/>
    <w:rsid w:val="00650DB8"/>
    <w:rsid w:val="00651C18"/>
    <w:rsid w:val="00652460"/>
    <w:rsid w:val="00652DF7"/>
    <w:rsid w:val="00652F11"/>
    <w:rsid w:val="00652FA2"/>
    <w:rsid w:val="00654A02"/>
    <w:rsid w:val="00655B6E"/>
    <w:rsid w:val="00656BF0"/>
    <w:rsid w:val="00661595"/>
    <w:rsid w:val="0066173C"/>
    <w:rsid w:val="0066186C"/>
    <w:rsid w:val="00662545"/>
    <w:rsid w:val="00662E37"/>
    <w:rsid w:val="00664361"/>
    <w:rsid w:val="006646B6"/>
    <w:rsid w:val="00664874"/>
    <w:rsid w:val="006657C2"/>
    <w:rsid w:val="006660B9"/>
    <w:rsid w:val="00666996"/>
    <w:rsid w:val="00670758"/>
    <w:rsid w:val="00672D2A"/>
    <w:rsid w:val="006746DB"/>
    <w:rsid w:val="00674BF5"/>
    <w:rsid w:val="00674FCA"/>
    <w:rsid w:val="006750B8"/>
    <w:rsid w:val="00676B42"/>
    <w:rsid w:val="00676B98"/>
    <w:rsid w:val="006771CE"/>
    <w:rsid w:val="006778A2"/>
    <w:rsid w:val="00677A91"/>
    <w:rsid w:val="00680478"/>
    <w:rsid w:val="00681382"/>
    <w:rsid w:val="00685182"/>
    <w:rsid w:val="006855AB"/>
    <w:rsid w:val="0068594D"/>
    <w:rsid w:val="00690B40"/>
    <w:rsid w:val="00690D01"/>
    <w:rsid w:val="006916DC"/>
    <w:rsid w:val="00691F49"/>
    <w:rsid w:val="00691F9C"/>
    <w:rsid w:val="00692A55"/>
    <w:rsid w:val="00692B10"/>
    <w:rsid w:val="0069572F"/>
    <w:rsid w:val="00695A63"/>
    <w:rsid w:val="00696434"/>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A7EC8"/>
    <w:rsid w:val="006B08A5"/>
    <w:rsid w:val="006B0EEE"/>
    <w:rsid w:val="006B19A0"/>
    <w:rsid w:val="006B1A77"/>
    <w:rsid w:val="006B2333"/>
    <w:rsid w:val="006B2A31"/>
    <w:rsid w:val="006B2C9D"/>
    <w:rsid w:val="006B36C2"/>
    <w:rsid w:val="006B3BAE"/>
    <w:rsid w:val="006B42A7"/>
    <w:rsid w:val="006B4AC8"/>
    <w:rsid w:val="006B4E35"/>
    <w:rsid w:val="006B530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5419"/>
    <w:rsid w:val="006C5A49"/>
    <w:rsid w:val="006C66DB"/>
    <w:rsid w:val="006C6D3F"/>
    <w:rsid w:val="006C6EE0"/>
    <w:rsid w:val="006C7201"/>
    <w:rsid w:val="006D2499"/>
    <w:rsid w:val="006D35FC"/>
    <w:rsid w:val="006D3B1A"/>
    <w:rsid w:val="006D49F3"/>
    <w:rsid w:val="006D665A"/>
    <w:rsid w:val="006D6AE0"/>
    <w:rsid w:val="006D7512"/>
    <w:rsid w:val="006E01DA"/>
    <w:rsid w:val="006E0809"/>
    <w:rsid w:val="006E0E76"/>
    <w:rsid w:val="006E3440"/>
    <w:rsid w:val="006E347B"/>
    <w:rsid w:val="006E52E7"/>
    <w:rsid w:val="006E5764"/>
    <w:rsid w:val="006E5D07"/>
    <w:rsid w:val="006E6778"/>
    <w:rsid w:val="006E6AEF"/>
    <w:rsid w:val="006F0968"/>
    <w:rsid w:val="006F20A4"/>
    <w:rsid w:val="006F2637"/>
    <w:rsid w:val="006F2989"/>
    <w:rsid w:val="006F3626"/>
    <w:rsid w:val="006F503D"/>
    <w:rsid w:val="006F53D7"/>
    <w:rsid w:val="00700DE8"/>
    <w:rsid w:val="00700DFD"/>
    <w:rsid w:val="007038D5"/>
    <w:rsid w:val="00703C87"/>
    <w:rsid w:val="00705025"/>
    <w:rsid w:val="007062FD"/>
    <w:rsid w:val="007063EE"/>
    <w:rsid w:val="007065FE"/>
    <w:rsid w:val="00706D25"/>
    <w:rsid w:val="0070781A"/>
    <w:rsid w:val="007079CE"/>
    <w:rsid w:val="007106FB"/>
    <w:rsid w:val="007111B3"/>
    <w:rsid w:val="00711F3A"/>
    <w:rsid w:val="007121C9"/>
    <w:rsid w:val="00712B6C"/>
    <w:rsid w:val="00712C8C"/>
    <w:rsid w:val="00712DE1"/>
    <w:rsid w:val="00712F56"/>
    <w:rsid w:val="0071377A"/>
    <w:rsid w:val="00713E91"/>
    <w:rsid w:val="007158B2"/>
    <w:rsid w:val="007172B2"/>
    <w:rsid w:val="00720ADC"/>
    <w:rsid w:val="00721A22"/>
    <w:rsid w:val="00721CEA"/>
    <w:rsid w:val="0072265E"/>
    <w:rsid w:val="00722A10"/>
    <w:rsid w:val="007233B1"/>
    <w:rsid w:val="00723A50"/>
    <w:rsid w:val="00724108"/>
    <w:rsid w:val="007241D3"/>
    <w:rsid w:val="007247ED"/>
    <w:rsid w:val="007248BD"/>
    <w:rsid w:val="007260DA"/>
    <w:rsid w:val="00727756"/>
    <w:rsid w:val="00730040"/>
    <w:rsid w:val="0073242B"/>
    <w:rsid w:val="00732D6D"/>
    <w:rsid w:val="00733B77"/>
    <w:rsid w:val="007345D3"/>
    <w:rsid w:val="0073473E"/>
    <w:rsid w:val="0073527C"/>
    <w:rsid w:val="0073581C"/>
    <w:rsid w:val="00735F76"/>
    <w:rsid w:val="00736AD5"/>
    <w:rsid w:val="00736D27"/>
    <w:rsid w:val="00736F34"/>
    <w:rsid w:val="00741BA6"/>
    <w:rsid w:val="007420C6"/>
    <w:rsid w:val="007421F4"/>
    <w:rsid w:val="007434D0"/>
    <w:rsid w:val="007445C4"/>
    <w:rsid w:val="00745142"/>
    <w:rsid w:val="00745369"/>
    <w:rsid w:val="007463E2"/>
    <w:rsid w:val="007466A4"/>
    <w:rsid w:val="00747FFA"/>
    <w:rsid w:val="007503D4"/>
    <w:rsid w:val="0075112B"/>
    <w:rsid w:val="00751FBE"/>
    <w:rsid w:val="00752B94"/>
    <w:rsid w:val="0075303E"/>
    <w:rsid w:val="0075306B"/>
    <w:rsid w:val="00754ADC"/>
    <w:rsid w:val="0075517F"/>
    <w:rsid w:val="007574C3"/>
    <w:rsid w:val="00757C76"/>
    <w:rsid w:val="007608E4"/>
    <w:rsid w:val="00760D4A"/>
    <w:rsid w:val="007615A8"/>
    <w:rsid w:val="00761856"/>
    <w:rsid w:val="00761891"/>
    <w:rsid w:val="0076257F"/>
    <w:rsid w:val="00763A4B"/>
    <w:rsid w:val="00763B4B"/>
    <w:rsid w:val="00764BC5"/>
    <w:rsid w:val="00764E61"/>
    <w:rsid w:val="00765008"/>
    <w:rsid w:val="007676ED"/>
    <w:rsid w:val="007679BF"/>
    <w:rsid w:val="00770830"/>
    <w:rsid w:val="0077085A"/>
    <w:rsid w:val="00770D40"/>
    <w:rsid w:val="00770EAF"/>
    <w:rsid w:val="00770F0C"/>
    <w:rsid w:val="00771068"/>
    <w:rsid w:val="007711E7"/>
    <w:rsid w:val="007715D6"/>
    <w:rsid w:val="00771E97"/>
    <w:rsid w:val="0077276E"/>
    <w:rsid w:val="007745EB"/>
    <w:rsid w:val="0077559A"/>
    <w:rsid w:val="0078015D"/>
    <w:rsid w:val="00781160"/>
    <w:rsid w:val="007827A3"/>
    <w:rsid w:val="00782DD2"/>
    <w:rsid w:val="00783881"/>
    <w:rsid w:val="00783DA7"/>
    <w:rsid w:val="00784477"/>
    <w:rsid w:val="00784A19"/>
    <w:rsid w:val="0078506A"/>
    <w:rsid w:val="00785E60"/>
    <w:rsid w:val="00785F3E"/>
    <w:rsid w:val="007864CA"/>
    <w:rsid w:val="00787028"/>
    <w:rsid w:val="00787733"/>
    <w:rsid w:val="00787CDE"/>
    <w:rsid w:val="00790738"/>
    <w:rsid w:val="00791DA9"/>
    <w:rsid w:val="0079311D"/>
    <w:rsid w:val="00795EC6"/>
    <w:rsid w:val="007968EE"/>
    <w:rsid w:val="007969A4"/>
    <w:rsid w:val="00796EBB"/>
    <w:rsid w:val="00797715"/>
    <w:rsid w:val="00797C89"/>
    <w:rsid w:val="007A00D6"/>
    <w:rsid w:val="007A0CE8"/>
    <w:rsid w:val="007A1067"/>
    <w:rsid w:val="007A1D61"/>
    <w:rsid w:val="007A1E2E"/>
    <w:rsid w:val="007A212A"/>
    <w:rsid w:val="007A3184"/>
    <w:rsid w:val="007A40CB"/>
    <w:rsid w:val="007A49AC"/>
    <w:rsid w:val="007A4CFD"/>
    <w:rsid w:val="007B0068"/>
    <w:rsid w:val="007B025E"/>
    <w:rsid w:val="007B0AC3"/>
    <w:rsid w:val="007B16A3"/>
    <w:rsid w:val="007B2006"/>
    <w:rsid w:val="007B2F85"/>
    <w:rsid w:val="007B4067"/>
    <w:rsid w:val="007B4F0B"/>
    <w:rsid w:val="007B4FD3"/>
    <w:rsid w:val="007B54D6"/>
    <w:rsid w:val="007B5523"/>
    <w:rsid w:val="007C099C"/>
    <w:rsid w:val="007C2334"/>
    <w:rsid w:val="007C2F65"/>
    <w:rsid w:val="007C3B71"/>
    <w:rsid w:val="007C4C33"/>
    <w:rsid w:val="007C5DF2"/>
    <w:rsid w:val="007C64F7"/>
    <w:rsid w:val="007C6E13"/>
    <w:rsid w:val="007C6E66"/>
    <w:rsid w:val="007C795D"/>
    <w:rsid w:val="007C7C9C"/>
    <w:rsid w:val="007D0ABB"/>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343"/>
    <w:rsid w:val="007F0442"/>
    <w:rsid w:val="007F1856"/>
    <w:rsid w:val="007F1970"/>
    <w:rsid w:val="007F3089"/>
    <w:rsid w:val="007F360A"/>
    <w:rsid w:val="007F5225"/>
    <w:rsid w:val="007F5488"/>
    <w:rsid w:val="007F6D99"/>
    <w:rsid w:val="007F6E9E"/>
    <w:rsid w:val="007F7831"/>
    <w:rsid w:val="007F7A60"/>
    <w:rsid w:val="008004DF"/>
    <w:rsid w:val="008015A0"/>
    <w:rsid w:val="00802421"/>
    <w:rsid w:val="008024B2"/>
    <w:rsid w:val="00802958"/>
    <w:rsid w:val="00803C30"/>
    <w:rsid w:val="00804D12"/>
    <w:rsid w:val="00804D43"/>
    <w:rsid w:val="00805255"/>
    <w:rsid w:val="00810D73"/>
    <w:rsid w:val="00810F87"/>
    <w:rsid w:val="0081176B"/>
    <w:rsid w:val="008122CC"/>
    <w:rsid w:val="00812582"/>
    <w:rsid w:val="008125D7"/>
    <w:rsid w:val="008126F5"/>
    <w:rsid w:val="008136B4"/>
    <w:rsid w:val="00813B8E"/>
    <w:rsid w:val="008145C0"/>
    <w:rsid w:val="008151A6"/>
    <w:rsid w:val="00815EE9"/>
    <w:rsid w:val="00816B32"/>
    <w:rsid w:val="00816F2D"/>
    <w:rsid w:val="0082014C"/>
    <w:rsid w:val="00820E23"/>
    <w:rsid w:val="0082105B"/>
    <w:rsid w:val="008221EB"/>
    <w:rsid w:val="008226CF"/>
    <w:rsid w:val="00822727"/>
    <w:rsid w:val="008241B9"/>
    <w:rsid w:val="008248E0"/>
    <w:rsid w:val="00826E25"/>
    <w:rsid w:val="00827BBD"/>
    <w:rsid w:val="00827C9A"/>
    <w:rsid w:val="008304E8"/>
    <w:rsid w:val="00830F86"/>
    <w:rsid w:val="0083278B"/>
    <w:rsid w:val="0083285E"/>
    <w:rsid w:val="00833EC0"/>
    <w:rsid w:val="008343BD"/>
    <w:rsid w:val="0083444D"/>
    <w:rsid w:val="00834E93"/>
    <w:rsid w:val="00836845"/>
    <w:rsid w:val="00837612"/>
    <w:rsid w:val="00840A22"/>
    <w:rsid w:val="00841322"/>
    <w:rsid w:val="00841645"/>
    <w:rsid w:val="008420D9"/>
    <w:rsid w:val="008427C5"/>
    <w:rsid w:val="00842A5C"/>
    <w:rsid w:val="00844689"/>
    <w:rsid w:val="00845545"/>
    <w:rsid w:val="00845551"/>
    <w:rsid w:val="008469DF"/>
    <w:rsid w:val="008503E1"/>
    <w:rsid w:val="00850412"/>
    <w:rsid w:val="00850C75"/>
    <w:rsid w:val="00851278"/>
    <w:rsid w:val="00852CAD"/>
    <w:rsid w:val="00854146"/>
    <w:rsid w:val="00854E5A"/>
    <w:rsid w:val="0085520E"/>
    <w:rsid w:val="00855D5F"/>
    <w:rsid w:val="00855EAC"/>
    <w:rsid w:val="008564FF"/>
    <w:rsid w:val="00856854"/>
    <w:rsid w:val="0085692D"/>
    <w:rsid w:val="00856E42"/>
    <w:rsid w:val="0086119A"/>
    <w:rsid w:val="0086634C"/>
    <w:rsid w:val="00866C27"/>
    <w:rsid w:val="00867C62"/>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0E92"/>
    <w:rsid w:val="008815DE"/>
    <w:rsid w:val="0088172D"/>
    <w:rsid w:val="00881778"/>
    <w:rsid w:val="00882103"/>
    <w:rsid w:val="008824B3"/>
    <w:rsid w:val="00883142"/>
    <w:rsid w:val="00884384"/>
    <w:rsid w:val="00884B2C"/>
    <w:rsid w:val="00884FEB"/>
    <w:rsid w:val="00885185"/>
    <w:rsid w:val="00885309"/>
    <w:rsid w:val="0088587E"/>
    <w:rsid w:val="0088630E"/>
    <w:rsid w:val="00887637"/>
    <w:rsid w:val="00887929"/>
    <w:rsid w:val="00887A83"/>
    <w:rsid w:val="0089010B"/>
    <w:rsid w:val="00893133"/>
    <w:rsid w:val="008932B5"/>
    <w:rsid w:val="00894221"/>
    <w:rsid w:val="008968A4"/>
    <w:rsid w:val="00897812"/>
    <w:rsid w:val="008A05EC"/>
    <w:rsid w:val="008A0983"/>
    <w:rsid w:val="008A1203"/>
    <w:rsid w:val="008A15A6"/>
    <w:rsid w:val="008A1A1E"/>
    <w:rsid w:val="008A1C51"/>
    <w:rsid w:val="008A301C"/>
    <w:rsid w:val="008A3152"/>
    <w:rsid w:val="008A3D96"/>
    <w:rsid w:val="008A49E8"/>
    <w:rsid w:val="008A509C"/>
    <w:rsid w:val="008A5DBC"/>
    <w:rsid w:val="008A61B3"/>
    <w:rsid w:val="008A7A5D"/>
    <w:rsid w:val="008B1A0F"/>
    <w:rsid w:val="008B2119"/>
    <w:rsid w:val="008B23C9"/>
    <w:rsid w:val="008B2F5E"/>
    <w:rsid w:val="008B37B1"/>
    <w:rsid w:val="008B3A5F"/>
    <w:rsid w:val="008B3E8F"/>
    <w:rsid w:val="008B6066"/>
    <w:rsid w:val="008B695F"/>
    <w:rsid w:val="008B6B86"/>
    <w:rsid w:val="008B7267"/>
    <w:rsid w:val="008B73EE"/>
    <w:rsid w:val="008C017D"/>
    <w:rsid w:val="008C09FE"/>
    <w:rsid w:val="008C122C"/>
    <w:rsid w:val="008C2330"/>
    <w:rsid w:val="008C26F8"/>
    <w:rsid w:val="008C2DC4"/>
    <w:rsid w:val="008C5233"/>
    <w:rsid w:val="008C5886"/>
    <w:rsid w:val="008C624D"/>
    <w:rsid w:val="008C66C7"/>
    <w:rsid w:val="008C6A9B"/>
    <w:rsid w:val="008C6E0B"/>
    <w:rsid w:val="008C732E"/>
    <w:rsid w:val="008D0D6A"/>
    <w:rsid w:val="008D1D6C"/>
    <w:rsid w:val="008D2210"/>
    <w:rsid w:val="008D230A"/>
    <w:rsid w:val="008D24A6"/>
    <w:rsid w:val="008D274F"/>
    <w:rsid w:val="008D30F0"/>
    <w:rsid w:val="008D4535"/>
    <w:rsid w:val="008D53B8"/>
    <w:rsid w:val="008D5CDE"/>
    <w:rsid w:val="008D6256"/>
    <w:rsid w:val="008D6581"/>
    <w:rsid w:val="008D696E"/>
    <w:rsid w:val="008D7D83"/>
    <w:rsid w:val="008E0688"/>
    <w:rsid w:val="008E0E86"/>
    <w:rsid w:val="008E0F08"/>
    <w:rsid w:val="008E10EF"/>
    <w:rsid w:val="008E20BD"/>
    <w:rsid w:val="008E38E8"/>
    <w:rsid w:val="008E3CA9"/>
    <w:rsid w:val="008E47D2"/>
    <w:rsid w:val="008E5ADB"/>
    <w:rsid w:val="008F0BB5"/>
    <w:rsid w:val="008F1D51"/>
    <w:rsid w:val="008F2C6B"/>
    <w:rsid w:val="008F2D4E"/>
    <w:rsid w:val="008F42E6"/>
    <w:rsid w:val="008F50DF"/>
    <w:rsid w:val="008F54B0"/>
    <w:rsid w:val="008F5BFE"/>
    <w:rsid w:val="008F6C88"/>
    <w:rsid w:val="008F7C56"/>
    <w:rsid w:val="0090036A"/>
    <w:rsid w:val="00900C1D"/>
    <w:rsid w:val="00901501"/>
    <w:rsid w:val="00902EFC"/>
    <w:rsid w:val="00905EA9"/>
    <w:rsid w:val="009068C9"/>
    <w:rsid w:val="00907115"/>
    <w:rsid w:val="00907513"/>
    <w:rsid w:val="00910210"/>
    <w:rsid w:val="009109C8"/>
    <w:rsid w:val="009118EE"/>
    <w:rsid w:val="00912DF5"/>
    <w:rsid w:val="00914623"/>
    <w:rsid w:val="00916197"/>
    <w:rsid w:val="00920491"/>
    <w:rsid w:val="00921700"/>
    <w:rsid w:val="00922B19"/>
    <w:rsid w:val="00922F04"/>
    <w:rsid w:val="009239A1"/>
    <w:rsid w:val="0092451B"/>
    <w:rsid w:val="009247A0"/>
    <w:rsid w:val="00924EEF"/>
    <w:rsid w:val="00924FE7"/>
    <w:rsid w:val="009258A2"/>
    <w:rsid w:val="009265F9"/>
    <w:rsid w:val="009270FE"/>
    <w:rsid w:val="00927A7A"/>
    <w:rsid w:val="00927A8B"/>
    <w:rsid w:val="00927B49"/>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37A7D"/>
    <w:rsid w:val="0094162B"/>
    <w:rsid w:val="00941843"/>
    <w:rsid w:val="00942368"/>
    <w:rsid w:val="009433BC"/>
    <w:rsid w:val="0094380A"/>
    <w:rsid w:val="00944530"/>
    <w:rsid w:val="00945ED3"/>
    <w:rsid w:val="00947028"/>
    <w:rsid w:val="00947A01"/>
    <w:rsid w:val="00950950"/>
    <w:rsid w:val="00950EE5"/>
    <w:rsid w:val="00951204"/>
    <w:rsid w:val="0095353C"/>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1E6"/>
    <w:rsid w:val="00972A1C"/>
    <w:rsid w:val="00973707"/>
    <w:rsid w:val="00973973"/>
    <w:rsid w:val="00973B8E"/>
    <w:rsid w:val="00974150"/>
    <w:rsid w:val="009742FC"/>
    <w:rsid w:val="00974E3F"/>
    <w:rsid w:val="00974F0C"/>
    <w:rsid w:val="00975344"/>
    <w:rsid w:val="00975CA2"/>
    <w:rsid w:val="00975F7F"/>
    <w:rsid w:val="009769DE"/>
    <w:rsid w:val="009807C6"/>
    <w:rsid w:val="00981540"/>
    <w:rsid w:val="0098182F"/>
    <w:rsid w:val="0098190E"/>
    <w:rsid w:val="0098245F"/>
    <w:rsid w:val="00984A5C"/>
    <w:rsid w:val="00985397"/>
    <w:rsid w:val="00985B99"/>
    <w:rsid w:val="00986D41"/>
    <w:rsid w:val="00986FA9"/>
    <w:rsid w:val="0098757C"/>
    <w:rsid w:val="0098778D"/>
    <w:rsid w:val="009912F8"/>
    <w:rsid w:val="00991C37"/>
    <w:rsid w:val="00991D59"/>
    <w:rsid w:val="009921F0"/>
    <w:rsid w:val="0099270E"/>
    <w:rsid w:val="00995A7F"/>
    <w:rsid w:val="00995B12"/>
    <w:rsid w:val="0099694B"/>
    <w:rsid w:val="009A0C4E"/>
    <w:rsid w:val="009A1317"/>
    <w:rsid w:val="009A1662"/>
    <w:rsid w:val="009A1A9B"/>
    <w:rsid w:val="009A2864"/>
    <w:rsid w:val="009A2E43"/>
    <w:rsid w:val="009A3874"/>
    <w:rsid w:val="009A4399"/>
    <w:rsid w:val="009A455A"/>
    <w:rsid w:val="009A47E2"/>
    <w:rsid w:val="009A4B3E"/>
    <w:rsid w:val="009A6E08"/>
    <w:rsid w:val="009A7A38"/>
    <w:rsid w:val="009B09F5"/>
    <w:rsid w:val="009B0E38"/>
    <w:rsid w:val="009B25C7"/>
    <w:rsid w:val="009B355E"/>
    <w:rsid w:val="009B4D6A"/>
    <w:rsid w:val="009B511B"/>
    <w:rsid w:val="009B526D"/>
    <w:rsid w:val="009B591B"/>
    <w:rsid w:val="009B5985"/>
    <w:rsid w:val="009B627A"/>
    <w:rsid w:val="009B688D"/>
    <w:rsid w:val="009B6CE4"/>
    <w:rsid w:val="009C001E"/>
    <w:rsid w:val="009C083D"/>
    <w:rsid w:val="009C2C58"/>
    <w:rsid w:val="009C3801"/>
    <w:rsid w:val="009C3D16"/>
    <w:rsid w:val="009C3DD6"/>
    <w:rsid w:val="009C4291"/>
    <w:rsid w:val="009C43C7"/>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A27"/>
    <w:rsid w:val="009E4FA0"/>
    <w:rsid w:val="009E563E"/>
    <w:rsid w:val="009E5CC6"/>
    <w:rsid w:val="009E5DCC"/>
    <w:rsid w:val="009E655E"/>
    <w:rsid w:val="009E718A"/>
    <w:rsid w:val="009E7D0C"/>
    <w:rsid w:val="009E7D4D"/>
    <w:rsid w:val="009E7DDE"/>
    <w:rsid w:val="009F0653"/>
    <w:rsid w:val="009F1084"/>
    <w:rsid w:val="009F1550"/>
    <w:rsid w:val="009F19E9"/>
    <w:rsid w:val="009F1F3F"/>
    <w:rsid w:val="009F2B54"/>
    <w:rsid w:val="009F362C"/>
    <w:rsid w:val="009F3AD0"/>
    <w:rsid w:val="009F3BF5"/>
    <w:rsid w:val="009F45B7"/>
    <w:rsid w:val="009F5262"/>
    <w:rsid w:val="009F78B4"/>
    <w:rsid w:val="009F7C08"/>
    <w:rsid w:val="00A01C72"/>
    <w:rsid w:val="00A0239C"/>
    <w:rsid w:val="00A02850"/>
    <w:rsid w:val="00A03C89"/>
    <w:rsid w:val="00A03DC9"/>
    <w:rsid w:val="00A045D1"/>
    <w:rsid w:val="00A0483F"/>
    <w:rsid w:val="00A04CFA"/>
    <w:rsid w:val="00A07646"/>
    <w:rsid w:val="00A10C90"/>
    <w:rsid w:val="00A11C6E"/>
    <w:rsid w:val="00A12B66"/>
    <w:rsid w:val="00A136CD"/>
    <w:rsid w:val="00A14679"/>
    <w:rsid w:val="00A159E2"/>
    <w:rsid w:val="00A16FFF"/>
    <w:rsid w:val="00A201CF"/>
    <w:rsid w:val="00A20B73"/>
    <w:rsid w:val="00A2220F"/>
    <w:rsid w:val="00A232F8"/>
    <w:rsid w:val="00A24751"/>
    <w:rsid w:val="00A248E2"/>
    <w:rsid w:val="00A26662"/>
    <w:rsid w:val="00A2674E"/>
    <w:rsid w:val="00A2757B"/>
    <w:rsid w:val="00A27BBC"/>
    <w:rsid w:val="00A30C4C"/>
    <w:rsid w:val="00A31125"/>
    <w:rsid w:val="00A320B1"/>
    <w:rsid w:val="00A3246D"/>
    <w:rsid w:val="00A325F5"/>
    <w:rsid w:val="00A33695"/>
    <w:rsid w:val="00A33C55"/>
    <w:rsid w:val="00A34026"/>
    <w:rsid w:val="00A369B8"/>
    <w:rsid w:val="00A369C3"/>
    <w:rsid w:val="00A37988"/>
    <w:rsid w:val="00A37A04"/>
    <w:rsid w:val="00A402A8"/>
    <w:rsid w:val="00A41661"/>
    <w:rsid w:val="00A4281F"/>
    <w:rsid w:val="00A4309F"/>
    <w:rsid w:val="00A4319E"/>
    <w:rsid w:val="00A44410"/>
    <w:rsid w:val="00A50EB7"/>
    <w:rsid w:val="00A51AA9"/>
    <w:rsid w:val="00A5221E"/>
    <w:rsid w:val="00A53185"/>
    <w:rsid w:val="00A532F5"/>
    <w:rsid w:val="00A53C11"/>
    <w:rsid w:val="00A5427A"/>
    <w:rsid w:val="00A5527A"/>
    <w:rsid w:val="00A56F0F"/>
    <w:rsid w:val="00A60195"/>
    <w:rsid w:val="00A6394C"/>
    <w:rsid w:val="00A64421"/>
    <w:rsid w:val="00A648C2"/>
    <w:rsid w:val="00A6683C"/>
    <w:rsid w:val="00A66EC6"/>
    <w:rsid w:val="00A6706B"/>
    <w:rsid w:val="00A672A8"/>
    <w:rsid w:val="00A675D9"/>
    <w:rsid w:val="00A700A3"/>
    <w:rsid w:val="00A70159"/>
    <w:rsid w:val="00A70245"/>
    <w:rsid w:val="00A707F3"/>
    <w:rsid w:val="00A72DF3"/>
    <w:rsid w:val="00A73282"/>
    <w:rsid w:val="00A7376F"/>
    <w:rsid w:val="00A74B40"/>
    <w:rsid w:val="00A74D8D"/>
    <w:rsid w:val="00A75338"/>
    <w:rsid w:val="00A76381"/>
    <w:rsid w:val="00A772B4"/>
    <w:rsid w:val="00A774C1"/>
    <w:rsid w:val="00A779E9"/>
    <w:rsid w:val="00A801A9"/>
    <w:rsid w:val="00A80A02"/>
    <w:rsid w:val="00A80C2E"/>
    <w:rsid w:val="00A8286E"/>
    <w:rsid w:val="00A82F95"/>
    <w:rsid w:val="00A8318E"/>
    <w:rsid w:val="00A840BE"/>
    <w:rsid w:val="00A840D5"/>
    <w:rsid w:val="00A85CE0"/>
    <w:rsid w:val="00A85E91"/>
    <w:rsid w:val="00A86139"/>
    <w:rsid w:val="00A86EB4"/>
    <w:rsid w:val="00A90BDF"/>
    <w:rsid w:val="00A92CFF"/>
    <w:rsid w:val="00A92F0D"/>
    <w:rsid w:val="00A94F5F"/>
    <w:rsid w:val="00A94FBC"/>
    <w:rsid w:val="00A95150"/>
    <w:rsid w:val="00A9559C"/>
    <w:rsid w:val="00A95FD0"/>
    <w:rsid w:val="00A97C62"/>
    <w:rsid w:val="00A97DCA"/>
    <w:rsid w:val="00AA02BE"/>
    <w:rsid w:val="00AA1B66"/>
    <w:rsid w:val="00AA3189"/>
    <w:rsid w:val="00AA629F"/>
    <w:rsid w:val="00AA6A66"/>
    <w:rsid w:val="00AA72D7"/>
    <w:rsid w:val="00AA7658"/>
    <w:rsid w:val="00AB01A1"/>
    <w:rsid w:val="00AB0412"/>
    <w:rsid w:val="00AB0885"/>
    <w:rsid w:val="00AB1C4B"/>
    <w:rsid w:val="00AB2389"/>
    <w:rsid w:val="00AB2C97"/>
    <w:rsid w:val="00AB2F46"/>
    <w:rsid w:val="00AB393F"/>
    <w:rsid w:val="00AB3FE1"/>
    <w:rsid w:val="00AB4E51"/>
    <w:rsid w:val="00AB5C94"/>
    <w:rsid w:val="00AB63E5"/>
    <w:rsid w:val="00AB6610"/>
    <w:rsid w:val="00AB67AA"/>
    <w:rsid w:val="00AB7835"/>
    <w:rsid w:val="00AB7B8D"/>
    <w:rsid w:val="00AB7EF6"/>
    <w:rsid w:val="00AC06B8"/>
    <w:rsid w:val="00AC0C9F"/>
    <w:rsid w:val="00AC0F2C"/>
    <w:rsid w:val="00AC14E2"/>
    <w:rsid w:val="00AC1F38"/>
    <w:rsid w:val="00AC3054"/>
    <w:rsid w:val="00AC4299"/>
    <w:rsid w:val="00AC4E3A"/>
    <w:rsid w:val="00AC5975"/>
    <w:rsid w:val="00AC5D72"/>
    <w:rsid w:val="00AC5F45"/>
    <w:rsid w:val="00AC6255"/>
    <w:rsid w:val="00AC654C"/>
    <w:rsid w:val="00AC6570"/>
    <w:rsid w:val="00AC6619"/>
    <w:rsid w:val="00AC7107"/>
    <w:rsid w:val="00AD061B"/>
    <w:rsid w:val="00AD0C6F"/>
    <w:rsid w:val="00AD1A08"/>
    <w:rsid w:val="00AD4571"/>
    <w:rsid w:val="00AD70F1"/>
    <w:rsid w:val="00AD7567"/>
    <w:rsid w:val="00AE0C1B"/>
    <w:rsid w:val="00AE1CD7"/>
    <w:rsid w:val="00AE3D79"/>
    <w:rsid w:val="00AE7CD3"/>
    <w:rsid w:val="00AF003B"/>
    <w:rsid w:val="00AF07E2"/>
    <w:rsid w:val="00AF1037"/>
    <w:rsid w:val="00AF1E50"/>
    <w:rsid w:val="00AF1F57"/>
    <w:rsid w:val="00AF2910"/>
    <w:rsid w:val="00AF3C10"/>
    <w:rsid w:val="00AF3C69"/>
    <w:rsid w:val="00AF3D7A"/>
    <w:rsid w:val="00AF4ED2"/>
    <w:rsid w:val="00AF61D0"/>
    <w:rsid w:val="00AF6219"/>
    <w:rsid w:val="00AF62BC"/>
    <w:rsid w:val="00AF672F"/>
    <w:rsid w:val="00AF6F2C"/>
    <w:rsid w:val="00AF7FA5"/>
    <w:rsid w:val="00B006E9"/>
    <w:rsid w:val="00B01163"/>
    <w:rsid w:val="00B024AD"/>
    <w:rsid w:val="00B024D7"/>
    <w:rsid w:val="00B03CD3"/>
    <w:rsid w:val="00B048F1"/>
    <w:rsid w:val="00B049B4"/>
    <w:rsid w:val="00B04D23"/>
    <w:rsid w:val="00B057CA"/>
    <w:rsid w:val="00B11505"/>
    <w:rsid w:val="00B11D0D"/>
    <w:rsid w:val="00B12E10"/>
    <w:rsid w:val="00B12EA6"/>
    <w:rsid w:val="00B13F06"/>
    <w:rsid w:val="00B14047"/>
    <w:rsid w:val="00B14253"/>
    <w:rsid w:val="00B145A2"/>
    <w:rsid w:val="00B15280"/>
    <w:rsid w:val="00B15761"/>
    <w:rsid w:val="00B15DB6"/>
    <w:rsid w:val="00B15F2D"/>
    <w:rsid w:val="00B17100"/>
    <w:rsid w:val="00B171C0"/>
    <w:rsid w:val="00B17999"/>
    <w:rsid w:val="00B20317"/>
    <w:rsid w:val="00B20E5D"/>
    <w:rsid w:val="00B212C5"/>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02B"/>
    <w:rsid w:val="00B36BA6"/>
    <w:rsid w:val="00B36EAA"/>
    <w:rsid w:val="00B4177D"/>
    <w:rsid w:val="00B431BD"/>
    <w:rsid w:val="00B439B1"/>
    <w:rsid w:val="00B43C2A"/>
    <w:rsid w:val="00B43F29"/>
    <w:rsid w:val="00B4423C"/>
    <w:rsid w:val="00B442BD"/>
    <w:rsid w:val="00B44FD0"/>
    <w:rsid w:val="00B4512A"/>
    <w:rsid w:val="00B45BCF"/>
    <w:rsid w:val="00B47F0C"/>
    <w:rsid w:val="00B50194"/>
    <w:rsid w:val="00B50D11"/>
    <w:rsid w:val="00B51CC6"/>
    <w:rsid w:val="00B51F42"/>
    <w:rsid w:val="00B522A4"/>
    <w:rsid w:val="00B52872"/>
    <w:rsid w:val="00B53030"/>
    <w:rsid w:val="00B53847"/>
    <w:rsid w:val="00B53939"/>
    <w:rsid w:val="00B542AB"/>
    <w:rsid w:val="00B62635"/>
    <w:rsid w:val="00B64EB6"/>
    <w:rsid w:val="00B65598"/>
    <w:rsid w:val="00B704AB"/>
    <w:rsid w:val="00B71CD5"/>
    <w:rsid w:val="00B71DAC"/>
    <w:rsid w:val="00B72E87"/>
    <w:rsid w:val="00B730C7"/>
    <w:rsid w:val="00B734C4"/>
    <w:rsid w:val="00B7350E"/>
    <w:rsid w:val="00B74792"/>
    <w:rsid w:val="00B74827"/>
    <w:rsid w:val="00B7583B"/>
    <w:rsid w:val="00B759BA"/>
    <w:rsid w:val="00B811B0"/>
    <w:rsid w:val="00B814CA"/>
    <w:rsid w:val="00B816A3"/>
    <w:rsid w:val="00B822A4"/>
    <w:rsid w:val="00B828CC"/>
    <w:rsid w:val="00B83834"/>
    <w:rsid w:val="00B83DDE"/>
    <w:rsid w:val="00B846EC"/>
    <w:rsid w:val="00B8560C"/>
    <w:rsid w:val="00B856D5"/>
    <w:rsid w:val="00B8575F"/>
    <w:rsid w:val="00B85B8C"/>
    <w:rsid w:val="00B85F75"/>
    <w:rsid w:val="00B86114"/>
    <w:rsid w:val="00B86CA9"/>
    <w:rsid w:val="00B91440"/>
    <w:rsid w:val="00B918B1"/>
    <w:rsid w:val="00B92AAD"/>
    <w:rsid w:val="00B93FA1"/>
    <w:rsid w:val="00B94F66"/>
    <w:rsid w:val="00B96FBD"/>
    <w:rsid w:val="00B976B5"/>
    <w:rsid w:val="00B976CF"/>
    <w:rsid w:val="00B97F1B"/>
    <w:rsid w:val="00BA05FE"/>
    <w:rsid w:val="00BA1BF6"/>
    <w:rsid w:val="00BA1C6C"/>
    <w:rsid w:val="00BA2863"/>
    <w:rsid w:val="00BA325A"/>
    <w:rsid w:val="00BA4A8E"/>
    <w:rsid w:val="00BA5699"/>
    <w:rsid w:val="00BA58FE"/>
    <w:rsid w:val="00BA5C1F"/>
    <w:rsid w:val="00BA6384"/>
    <w:rsid w:val="00BA6E03"/>
    <w:rsid w:val="00BA7CE0"/>
    <w:rsid w:val="00BB169C"/>
    <w:rsid w:val="00BB1DFE"/>
    <w:rsid w:val="00BB22D4"/>
    <w:rsid w:val="00BB3CBE"/>
    <w:rsid w:val="00BB50BB"/>
    <w:rsid w:val="00BB5B5D"/>
    <w:rsid w:val="00BB6397"/>
    <w:rsid w:val="00BB6B9C"/>
    <w:rsid w:val="00BB73C8"/>
    <w:rsid w:val="00BB7E19"/>
    <w:rsid w:val="00BC068F"/>
    <w:rsid w:val="00BC0A7F"/>
    <w:rsid w:val="00BC1220"/>
    <w:rsid w:val="00BC2C58"/>
    <w:rsid w:val="00BC3A29"/>
    <w:rsid w:val="00BC3F13"/>
    <w:rsid w:val="00BC40B5"/>
    <w:rsid w:val="00BC43FD"/>
    <w:rsid w:val="00BC47BF"/>
    <w:rsid w:val="00BC4F1C"/>
    <w:rsid w:val="00BC51F5"/>
    <w:rsid w:val="00BC61CD"/>
    <w:rsid w:val="00BC61F2"/>
    <w:rsid w:val="00BC67C0"/>
    <w:rsid w:val="00BC6F32"/>
    <w:rsid w:val="00BC6F41"/>
    <w:rsid w:val="00BC793E"/>
    <w:rsid w:val="00BC7E64"/>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277"/>
    <w:rsid w:val="00BE1311"/>
    <w:rsid w:val="00BE19C2"/>
    <w:rsid w:val="00BE358B"/>
    <w:rsid w:val="00BE4109"/>
    <w:rsid w:val="00BE447B"/>
    <w:rsid w:val="00BE4782"/>
    <w:rsid w:val="00BE47D8"/>
    <w:rsid w:val="00BE4FD9"/>
    <w:rsid w:val="00BE5D73"/>
    <w:rsid w:val="00BE6DFE"/>
    <w:rsid w:val="00BE79AB"/>
    <w:rsid w:val="00BF0637"/>
    <w:rsid w:val="00BF124A"/>
    <w:rsid w:val="00BF37A9"/>
    <w:rsid w:val="00BF3C23"/>
    <w:rsid w:val="00BF4770"/>
    <w:rsid w:val="00BF540A"/>
    <w:rsid w:val="00BF67D7"/>
    <w:rsid w:val="00BF6EC1"/>
    <w:rsid w:val="00BF7257"/>
    <w:rsid w:val="00BF7347"/>
    <w:rsid w:val="00C017D1"/>
    <w:rsid w:val="00C029BC"/>
    <w:rsid w:val="00C04D37"/>
    <w:rsid w:val="00C05941"/>
    <w:rsid w:val="00C0657C"/>
    <w:rsid w:val="00C074C4"/>
    <w:rsid w:val="00C10CD4"/>
    <w:rsid w:val="00C11B8D"/>
    <w:rsid w:val="00C12AE0"/>
    <w:rsid w:val="00C12FEB"/>
    <w:rsid w:val="00C1357C"/>
    <w:rsid w:val="00C140C6"/>
    <w:rsid w:val="00C144EF"/>
    <w:rsid w:val="00C1534E"/>
    <w:rsid w:val="00C211DC"/>
    <w:rsid w:val="00C2135F"/>
    <w:rsid w:val="00C233C6"/>
    <w:rsid w:val="00C23D4E"/>
    <w:rsid w:val="00C24ED2"/>
    <w:rsid w:val="00C24F3F"/>
    <w:rsid w:val="00C25670"/>
    <w:rsid w:val="00C259E2"/>
    <w:rsid w:val="00C2636B"/>
    <w:rsid w:val="00C26C3A"/>
    <w:rsid w:val="00C277FB"/>
    <w:rsid w:val="00C27CEA"/>
    <w:rsid w:val="00C30639"/>
    <w:rsid w:val="00C306B3"/>
    <w:rsid w:val="00C306F6"/>
    <w:rsid w:val="00C3070C"/>
    <w:rsid w:val="00C3194E"/>
    <w:rsid w:val="00C31BBB"/>
    <w:rsid w:val="00C3220C"/>
    <w:rsid w:val="00C345ED"/>
    <w:rsid w:val="00C34837"/>
    <w:rsid w:val="00C348B3"/>
    <w:rsid w:val="00C34F38"/>
    <w:rsid w:val="00C3548F"/>
    <w:rsid w:val="00C356C8"/>
    <w:rsid w:val="00C367B4"/>
    <w:rsid w:val="00C36B2D"/>
    <w:rsid w:val="00C37615"/>
    <w:rsid w:val="00C37B29"/>
    <w:rsid w:val="00C40D60"/>
    <w:rsid w:val="00C43A7D"/>
    <w:rsid w:val="00C4425F"/>
    <w:rsid w:val="00C44421"/>
    <w:rsid w:val="00C44A04"/>
    <w:rsid w:val="00C44C83"/>
    <w:rsid w:val="00C4623C"/>
    <w:rsid w:val="00C46DB1"/>
    <w:rsid w:val="00C4706F"/>
    <w:rsid w:val="00C47BD3"/>
    <w:rsid w:val="00C47E57"/>
    <w:rsid w:val="00C504D3"/>
    <w:rsid w:val="00C536B3"/>
    <w:rsid w:val="00C53B22"/>
    <w:rsid w:val="00C53C4E"/>
    <w:rsid w:val="00C542A9"/>
    <w:rsid w:val="00C54763"/>
    <w:rsid w:val="00C55547"/>
    <w:rsid w:val="00C55649"/>
    <w:rsid w:val="00C563A1"/>
    <w:rsid w:val="00C576F8"/>
    <w:rsid w:val="00C57F07"/>
    <w:rsid w:val="00C604F5"/>
    <w:rsid w:val="00C61583"/>
    <w:rsid w:val="00C61FF5"/>
    <w:rsid w:val="00C62CD3"/>
    <w:rsid w:val="00C635CF"/>
    <w:rsid w:val="00C635FD"/>
    <w:rsid w:val="00C64027"/>
    <w:rsid w:val="00C66473"/>
    <w:rsid w:val="00C67004"/>
    <w:rsid w:val="00C679E4"/>
    <w:rsid w:val="00C7073E"/>
    <w:rsid w:val="00C707EE"/>
    <w:rsid w:val="00C7103D"/>
    <w:rsid w:val="00C717C8"/>
    <w:rsid w:val="00C7187C"/>
    <w:rsid w:val="00C71AF2"/>
    <w:rsid w:val="00C71B86"/>
    <w:rsid w:val="00C71D62"/>
    <w:rsid w:val="00C723EA"/>
    <w:rsid w:val="00C731CE"/>
    <w:rsid w:val="00C76804"/>
    <w:rsid w:val="00C76E4A"/>
    <w:rsid w:val="00C80731"/>
    <w:rsid w:val="00C80811"/>
    <w:rsid w:val="00C81C8B"/>
    <w:rsid w:val="00C82F83"/>
    <w:rsid w:val="00C839AF"/>
    <w:rsid w:val="00C84BAF"/>
    <w:rsid w:val="00C84C64"/>
    <w:rsid w:val="00C8571F"/>
    <w:rsid w:val="00C85EAB"/>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3146"/>
    <w:rsid w:val="00CB3376"/>
    <w:rsid w:val="00CB3C8D"/>
    <w:rsid w:val="00CB484B"/>
    <w:rsid w:val="00CB4E0C"/>
    <w:rsid w:val="00CB5059"/>
    <w:rsid w:val="00CB6C8D"/>
    <w:rsid w:val="00CB7F46"/>
    <w:rsid w:val="00CC112B"/>
    <w:rsid w:val="00CC2508"/>
    <w:rsid w:val="00CC26A6"/>
    <w:rsid w:val="00CC2B5B"/>
    <w:rsid w:val="00CC2F2F"/>
    <w:rsid w:val="00CC47A1"/>
    <w:rsid w:val="00CC4F4F"/>
    <w:rsid w:val="00CC4F94"/>
    <w:rsid w:val="00CC6811"/>
    <w:rsid w:val="00CC6A7B"/>
    <w:rsid w:val="00CC7195"/>
    <w:rsid w:val="00CC73DA"/>
    <w:rsid w:val="00CD1420"/>
    <w:rsid w:val="00CD1B30"/>
    <w:rsid w:val="00CD35F2"/>
    <w:rsid w:val="00CD385E"/>
    <w:rsid w:val="00CD3F0E"/>
    <w:rsid w:val="00CD4356"/>
    <w:rsid w:val="00CD6CEB"/>
    <w:rsid w:val="00CD7623"/>
    <w:rsid w:val="00CD7D5B"/>
    <w:rsid w:val="00CD7ED8"/>
    <w:rsid w:val="00CE1093"/>
    <w:rsid w:val="00CE2A31"/>
    <w:rsid w:val="00CE2B78"/>
    <w:rsid w:val="00CE31F7"/>
    <w:rsid w:val="00CE47AF"/>
    <w:rsid w:val="00CE4BEB"/>
    <w:rsid w:val="00CE4C49"/>
    <w:rsid w:val="00CE51FF"/>
    <w:rsid w:val="00CE5491"/>
    <w:rsid w:val="00CE5754"/>
    <w:rsid w:val="00CE5ACF"/>
    <w:rsid w:val="00CE7221"/>
    <w:rsid w:val="00CE797B"/>
    <w:rsid w:val="00CE7F91"/>
    <w:rsid w:val="00CF0568"/>
    <w:rsid w:val="00CF1093"/>
    <w:rsid w:val="00CF206F"/>
    <w:rsid w:val="00CF2D64"/>
    <w:rsid w:val="00CF4C30"/>
    <w:rsid w:val="00CF5466"/>
    <w:rsid w:val="00CF5957"/>
    <w:rsid w:val="00CF6B09"/>
    <w:rsid w:val="00CF6D85"/>
    <w:rsid w:val="00CF6F63"/>
    <w:rsid w:val="00D021AF"/>
    <w:rsid w:val="00D024BD"/>
    <w:rsid w:val="00D02770"/>
    <w:rsid w:val="00D02E89"/>
    <w:rsid w:val="00D054C0"/>
    <w:rsid w:val="00D057A6"/>
    <w:rsid w:val="00D05A94"/>
    <w:rsid w:val="00D06F70"/>
    <w:rsid w:val="00D10700"/>
    <w:rsid w:val="00D11D41"/>
    <w:rsid w:val="00D11E4C"/>
    <w:rsid w:val="00D1223C"/>
    <w:rsid w:val="00D14A32"/>
    <w:rsid w:val="00D14EE0"/>
    <w:rsid w:val="00D15808"/>
    <w:rsid w:val="00D16380"/>
    <w:rsid w:val="00D1690D"/>
    <w:rsid w:val="00D16FBF"/>
    <w:rsid w:val="00D1786A"/>
    <w:rsid w:val="00D2018B"/>
    <w:rsid w:val="00D20799"/>
    <w:rsid w:val="00D209AF"/>
    <w:rsid w:val="00D20C67"/>
    <w:rsid w:val="00D212FE"/>
    <w:rsid w:val="00D21548"/>
    <w:rsid w:val="00D21B29"/>
    <w:rsid w:val="00D2428D"/>
    <w:rsid w:val="00D24331"/>
    <w:rsid w:val="00D2506C"/>
    <w:rsid w:val="00D27F99"/>
    <w:rsid w:val="00D300D9"/>
    <w:rsid w:val="00D30A68"/>
    <w:rsid w:val="00D30BE6"/>
    <w:rsid w:val="00D30C04"/>
    <w:rsid w:val="00D314D5"/>
    <w:rsid w:val="00D318BC"/>
    <w:rsid w:val="00D31C7A"/>
    <w:rsid w:val="00D32447"/>
    <w:rsid w:val="00D33AA1"/>
    <w:rsid w:val="00D34F75"/>
    <w:rsid w:val="00D35BD5"/>
    <w:rsid w:val="00D35C30"/>
    <w:rsid w:val="00D36501"/>
    <w:rsid w:val="00D3686E"/>
    <w:rsid w:val="00D412C0"/>
    <w:rsid w:val="00D4194D"/>
    <w:rsid w:val="00D424CA"/>
    <w:rsid w:val="00D42942"/>
    <w:rsid w:val="00D42EDE"/>
    <w:rsid w:val="00D4457C"/>
    <w:rsid w:val="00D44F8B"/>
    <w:rsid w:val="00D459F5"/>
    <w:rsid w:val="00D45B15"/>
    <w:rsid w:val="00D47551"/>
    <w:rsid w:val="00D47CD7"/>
    <w:rsid w:val="00D51A17"/>
    <w:rsid w:val="00D52387"/>
    <w:rsid w:val="00D5285D"/>
    <w:rsid w:val="00D52A03"/>
    <w:rsid w:val="00D52FC3"/>
    <w:rsid w:val="00D52FEA"/>
    <w:rsid w:val="00D533DD"/>
    <w:rsid w:val="00D53774"/>
    <w:rsid w:val="00D5433B"/>
    <w:rsid w:val="00D548CD"/>
    <w:rsid w:val="00D54C42"/>
    <w:rsid w:val="00D550E7"/>
    <w:rsid w:val="00D55777"/>
    <w:rsid w:val="00D5668A"/>
    <w:rsid w:val="00D5689B"/>
    <w:rsid w:val="00D56AF5"/>
    <w:rsid w:val="00D57780"/>
    <w:rsid w:val="00D60795"/>
    <w:rsid w:val="00D60F96"/>
    <w:rsid w:val="00D61651"/>
    <w:rsid w:val="00D618CD"/>
    <w:rsid w:val="00D634CB"/>
    <w:rsid w:val="00D645B2"/>
    <w:rsid w:val="00D6494A"/>
    <w:rsid w:val="00D64ADE"/>
    <w:rsid w:val="00D64B66"/>
    <w:rsid w:val="00D6607A"/>
    <w:rsid w:val="00D66CAA"/>
    <w:rsid w:val="00D66F87"/>
    <w:rsid w:val="00D67483"/>
    <w:rsid w:val="00D70AD1"/>
    <w:rsid w:val="00D70F07"/>
    <w:rsid w:val="00D7242F"/>
    <w:rsid w:val="00D731E3"/>
    <w:rsid w:val="00D742A8"/>
    <w:rsid w:val="00D74308"/>
    <w:rsid w:val="00D75438"/>
    <w:rsid w:val="00D768D3"/>
    <w:rsid w:val="00D77799"/>
    <w:rsid w:val="00D8096D"/>
    <w:rsid w:val="00D81422"/>
    <w:rsid w:val="00D81C35"/>
    <w:rsid w:val="00D8254C"/>
    <w:rsid w:val="00D826AC"/>
    <w:rsid w:val="00D82913"/>
    <w:rsid w:val="00D82B60"/>
    <w:rsid w:val="00D8369E"/>
    <w:rsid w:val="00D8416E"/>
    <w:rsid w:val="00D84EB7"/>
    <w:rsid w:val="00D8545A"/>
    <w:rsid w:val="00D85AC7"/>
    <w:rsid w:val="00D8617F"/>
    <w:rsid w:val="00D87007"/>
    <w:rsid w:val="00D87BAB"/>
    <w:rsid w:val="00D90713"/>
    <w:rsid w:val="00D90BFF"/>
    <w:rsid w:val="00D92396"/>
    <w:rsid w:val="00D946DB"/>
    <w:rsid w:val="00D95045"/>
    <w:rsid w:val="00D95228"/>
    <w:rsid w:val="00D956C2"/>
    <w:rsid w:val="00D967FA"/>
    <w:rsid w:val="00D96E61"/>
    <w:rsid w:val="00DA040A"/>
    <w:rsid w:val="00DA0B84"/>
    <w:rsid w:val="00DA0BDB"/>
    <w:rsid w:val="00DA0DB4"/>
    <w:rsid w:val="00DA1253"/>
    <w:rsid w:val="00DA1525"/>
    <w:rsid w:val="00DA3B36"/>
    <w:rsid w:val="00DA3E72"/>
    <w:rsid w:val="00DA3FEB"/>
    <w:rsid w:val="00DA4727"/>
    <w:rsid w:val="00DA4A2F"/>
    <w:rsid w:val="00DA4AAA"/>
    <w:rsid w:val="00DA4AAE"/>
    <w:rsid w:val="00DA4D9D"/>
    <w:rsid w:val="00DA6CB8"/>
    <w:rsid w:val="00DA77E1"/>
    <w:rsid w:val="00DA7C34"/>
    <w:rsid w:val="00DA7F01"/>
    <w:rsid w:val="00DB0274"/>
    <w:rsid w:val="00DB0F07"/>
    <w:rsid w:val="00DB2DD0"/>
    <w:rsid w:val="00DB3B68"/>
    <w:rsid w:val="00DB3EEA"/>
    <w:rsid w:val="00DB40CA"/>
    <w:rsid w:val="00DB4C59"/>
    <w:rsid w:val="00DB5503"/>
    <w:rsid w:val="00DB61BB"/>
    <w:rsid w:val="00DC03E0"/>
    <w:rsid w:val="00DC0817"/>
    <w:rsid w:val="00DC09EA"/>
    <w:rsid w:val="00DC0A81"/>
    <w:rsid w:val="00DC1E40"/>
    <w:rsid w:val="00DC1FD1"/>
    <w:rsid w:val="00DC2D05"/>
    <w:rsid w:val="00DC3A83"/>
    <w:rsid w:val="00DC3B38"/>
    <w:rsid w:val="00DC40DA"/>
    <w:rsid w:val="00DC4CE4"/>
    <w:rsid w:val="00DD00B4"/>
    <w:rsid w:val="00DD07FF"/>
    <w:rsid w:val="00DD092D"/>
    <w:rsid w:val="00DD156E"/>
    <w:rsid w:val="00DD1906"/>
    <w:rsid w:val="00DD2C1E"/>
    <w:rsid w:val="00DD41BE"/>
    <w:rsid w:val="00DD4CFC"/>
    <w:rsid w:val="00DD5F87"/>
    <w:rsid w:val="00DD60DF"/>
    <w:rsid w:val="00DD6D54"/>
    <w:rsid w:val="00DD6F35"/>
    <w:rsid w:val="00DD72AA"/>
    <w:rsid w:val="00DD791B"/>
    <w:rsid w:val="00DE0157"/>
    <w:rsid w:val="00DE08E6"/>
    <w:rsid w:val="00DE0962"/>
    <w:rsid w:val="00DE21B5"/>
    <w:rsid w:val="00DE223B"/>
    <w:rsid w:val="00DE230A"/>
    <w:rsid w:val="00DE26F2"/>
    <w:rsid w:val="00DE3389"/>
    <w:rsid w:val="00DE4001"/>
    <w:rsid w:val="00DE489B"/>
    <w:rsid w:val="00DE48EF"/>
    <w:rsid w:val="00DE4EF2"/>
    <w:rsid w:val="00DE583B"/>
    <w:rsid w:val="00DE5A31"/>
    <w:rsid w:val="00DE63C7"/>
    <w:rsid w:val="00DE73B4"/>
    <w:rsid w:val="00DE7B41"/>
    <w:rsid w:val="00DE7C81"/>
    <w:rsid w:val="00DF0BF5"/>
    <w:rsid w:val="00DF0EF2"/>
    <w:rsid w:val="00DF30EB"/>
    <w:rsid w:val="00DF4FF2"/>
    <w:rsid w:val="00DF65DF"/>
    <w:rsid w:val="00DF70AE"/>
    <w:rsid w:val="00DF7382"/>
    <w:rsid w:val="00E0175F"/>
    <w:rsid w:val="00E01F9D"/>
    <w:rsid w:val="00E026FB"/>
    <w:rsid w:val="00E02F76"/>
    <w:rsid w:val="00E03E51"/>
    <w:rsid w:val="00E03E93"/>
    <w:rsid w:val="00E050F3"/>
    <w:rsid w:val="00E052A9"/>
    <w:rsid w:val="00E0639C"/>
    <w:rsid w:val="00E06628"/>
    <w:rsid w:val="00E06E19"/>
    <w:rsid w:val="00E07C8E"/>
    <w:rsid w:val="00E07C9A"/>
    <w:rsid w:val="00E10726"/>
    <w:rsid w:val="00E10B85"/>
    <w:rsid w:val="00E11F7B"/>
    <w:rsid w:val="00E120F4"/>
    <w:rsid w:val="00E1421C"/>
    <w:rsid w:val="00E143FD"/>
    <w:rsid w:val="00E14C4D"/>
    <w:rsid w:val="00E16498"/>
    <w:rsid w:val="00E1685B"/>
    <w:rsid w:val="00E1696D"/>
    <w:rsid w:val="00E1750A"/>
    <w:rsid w:val="00E20FAC"/>
    <w:rsid w:val="00E2178E"/>
    <w:rsid w:val="00E2447E"/>
    <w:rsid w:val="00E249EF"/>
    <w:rsid w:val="00E25862"/>
    <w:rsid w:val="00E26CB6"/>
    <w:rsid w:val="00E27969"/>
    <w:rsid w:val="00E3279F"/>
    <w:rsid w:val="00E32BAE"/>
    <w:rsid w:val="00E32DA2"/>
    <w:rsid w:val="00E33BF7"/>
    <w:rsid w:val="00E340D7"/>
    <w:rsid w:val="00E34533"/>
    <w:rsid w:val="00E41A58"/>
    <w:rsid w:val="00E41E4F"/>
    <w:rsid w:val="00E42A4D"/>
    <w:rsid w:val="00E43CD2"/>
    <w:rsid w:val="00E440D2"/>
    <w:rsid w:val="00E45F52"/>
    <w:rsid w:val="00E46936"/>
    <w:rsid w:val="00E46AC0"/>
    <w:rsid w:val="00E473B0"/>
    <w:rsid w:val="00E47B54"/>
    <w:rsid w:val="00E47CCD"/>
    <w:rsid w:val="00E50750"/>
    <w:rsid w:val="00E509EA"/>
    <w:rsid w:val="00E50E79"/>
    <w:rsid w:val="00E50FA0"/>
    <w:rsid w:val="00E515D5"/>
    <w:rsid w:val="00E52782"/>
    <w:rsid w:val="00E53E55"/>
    <w:rsid w:val="00E543B2"/>
    <w:rsid w:val="00E54B05"/>
    <w:rsid w:val="00E5715E"/>
    <w:rsid w:val="00E60B53"/>
    <w:rsid w:val="00E60C82"/>
    <w:rsid w:val="00E61840"/>
    <w:rsid w:val="00E6373B"/>
    <w:rsid w:val="00E63DC8"/>
    <w:rsid w:val="00E64990"/>
    <w:rsid w:val="00E64BFE"/>
    <w:rsid w:val="00E66040"/>
    <w:rsid w:val="00E6616A"/>
    <w:rsid w:val="00E67B4A"/>
    <w:rsid w:val="00E67F16"/>
    <w:rsid w:val="00E70AB0"/>
    <w:rsid w:val="00E71171"/>
    <w:rsid w:val="00E7205D"/>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7C"/>
    <w:rsid w:val="00E921F1"/>
    <w:rsid w:val="00E92C04"/>
    <w:rsid w:val="00E92EE4"/>
    <w:rsid w:val="00E93AB5"/>
    <w:rsid w:val="00E96511"/>
    <w:rsid w:val="00E96A85"/>
    <w:rsid w:val="00E9758A"/>
    <w:rsid w:val="00E979E9"/>
    <w:rsid w:val="00E97CD2"/>
    <w:rsid w:val="00EA050A"/>
    <w:rsid w:val="00EA0754"/>
    <w:rsid w:val="00EA0BAB"/>
    <w:rsid w:val="00EA0F2F"/>
    <w:rsid w:val="00EA11F0"/>
    <w:rsid w:val="00EA1F5A"/>
    <w:rsid w:val="00EA2AFF"/>
    <w:rsid w:val="00EA3FEF"/>
    <w:rsid w:val="00EA4108"/>
    <w:rsid w:val="00EA419C"/>
    <w:rsid w:val="00EA45F4"/>
    <w:rsid w:val="00EA4F4F"/>
    <w:rsid w:val="00EA56D1"/>
    <w:rsid w:val="00EA6388"/>
    <w:rsid w:val="00EB154B"/>
    <w:rsid w:val="00EB1DBE"/>
    <w:rsid w:val="00EB1EEE"/>
    <w:rsid w:val="00EB5013"/>
    <w:rsid w:val="00EB53AD"/>
    <w:rsid w:val="00EB5804"/>
    <w:rsid w:val="00EB5C9A"/>
    <w:rsid w:val="00EB6224"/>
    <w:rsid w:val="00EB62C2"/>
    <w:rsid w:val="00EB6DEA"/>
    <w:rsid w:val="00EB6E04"/>
    <w:rsid w:val="00EB6FC2"/>
    <w:rsid w:val="00EC0AAB"/>
    <w:rsid w:val="00EC0B74"/>
    <w:rsid w:val="00EC153B"/>
    <w:rsid w:val="00EC19AE"/>
    <w:rsid w:val="00EC1EA0"/>
    <w:rsid w:val="00EC2E9B"/>
    <w:rsid w:val="00EC38B2"/>
    <w:rsid w:val="00EC4E70"/>
    <w:rsid w:val="00EC5046"/>
    <w:rsid w:val="00EC53E0"/>
    <w:rsid w:val="00EC57C6"/>
    <w:rsid w:val="00EC5FA2"/>
    <w:rsid w:val="00EC7AB4"/>
    <w:rsid w:val="00ED048B"/>
    <w:rsid w:val="00ED1379"/>
    <w:rsid w:val="00ED1956"/>
    <w:rsid w:val="00ED1D99"/>
    <w:rsid w:val="00ED20CB"/>
    <w:rsid w:val="00ED4629"/>
    <w:rsid w:val="00ED52BC"/>
    <w:rsid w:val="00ED55F7"/>
    <w:rsid w:val="00ED66A4"/>
    <w:rsid w:val="00ED6D84"/>
    <w:rsid w:val="00ED78AD"/>
    <w:rsid w:val="00ED7C8E"/>
    <w:rsid w:val="00ED7F35"/>
    <w:rsid w:val="00EE079A"/>
    <w:rsid w:val="00EE0B9D"/>
    <w:rsid w:val="00EE1876"/>
    <w:rsid w:val="00EE2205"/>
    <w:rsid w:val="00EE2BDA"/>
    <w:rsid w:val="00EE2BEA"/>
    <w:rsid w:val="00EE2CD5"/>
    <w:rsid w:val="00EE34F2"/>
    <w:rsid w:val="00EE5691"/>
    <w:rsid w:val="00EE63B4"/>
    <w:rsid w:val="00EE690D"/>
    <w:rsid w:val="00EE6F6C"/>
    <w:rsid w:val="00EF03E6"/>
    <w:rsid w:val="00EF0C0C"/>
    <w:rsid w:val="00EF0DA4"/>
    <w:rsid w:val="00EF36D2"/>
    <w:rsid w:val="00EF3F40"/>
    <w:rsid w:val="00EF6FD5"/>
    <w:rsid w:val="00F004BA"/>
    <w:rsid w:val="00F006CF"/>
    <w:rsid w:val="00F00A38"/>
    <w:rsid w:val="00F015E6"/>
    <w:rsid w:val="00F02E37"/>
    <w:rsid w:val="00F0322C"/>
    <w:rsid w:val="00F04C31"/>
    <w:rsid w:val="00F052D1"/>
    <w:rsid w:val="00F1041F"/>
    <w:rsid w:val="00F1062E"/>
    <w:rsid w:val="00F11185"/>
    <w:rsid w:val="00F114E6"/>
    <w:rsid w:val="00F117D1"/>
    <w:rsid w:val="00F12EA3"/>
    <w:rsid w:val="00F1455C"/>
    <w:rsid w:val="00F14A2E"/>
    <w:rsid w:val="00F14A91"/>
    <w:rsid w:val="00F14B07"/>
    <w:rsid w:val="00F163FF"/>
    <w:rsid w:val="00F176BA"/>
    <w:rsid w:val="00F177C6"/>
    <w:rsid w:val="00F17B2E"/>
    <w:rsid w:val="00F20C33"/>
    <w:rsid w:val="00F215C7"/>
    <w:rsid w:val="00F217D5"/>
    <w:rsid w:val="00F219A4"/>
    <w:rsid w:val="00F2228C"/>
    <w:rsid w:val="00F22648"/>
    <w:rsid w:val="00F23247"/>
    <w:rsid w:val="00F249CD"/>
    <w:rsid w:val="00F2521E"/>
    <w:rsid w:val="00F26B14"/>
    <w:rsid w:val="00F26CE4"/>
    <w:rsid w:val="00F271B3"/>
    <w:rsid w:val="00F30076"/>
    <w:rsid w:val="00F315FD"/>
    <w:rsid w:val="00F325B9"/>
    <w:rsid w:val="00F32D09"/>
    <w:rsid w:val="00F33ABB"/>
    <w:rsid w:val="00F34382"/>
    <w:rsid w:val="00F348D2"/>
    <w:rsid w:val="00F356CE"/>
    <w:rsid w:val="00F358AF"/>
    <w:rsid w:val="00F36287"/>
    <w:rsid w:val="00F372AF"/>
    <w:rsid w:val="00F37BEE"/>
    <w:rsid w:val="00F41508"/>
    <w:rsid w:val="00F423F0"/>
    <w:rsid w:val="00F42FE9"/>
    <w:rsid w:val="00F4393C"/>
    <w:rsid w:val="00F45359"/>
    <w:rsid w:val="00F45413"/>
    <w:rsid w:val="00F46113"/>
    <w:rsid w:val="00F463F5"/>
    <w:rsid w:val="00F47628"/>
    <w:rsid w:val="00F47A9F"/>
    <w:rsid w:val="00F47CA5"/>
    <w:rsid w:val="00F50709"/>
    <w:rsid w:val="00F5132F"/>
    <w:rsid w:val="00F519A4"/>
    <w:rsid w:val="00F52DF6"/>
    <w:rsid w:val="00F52FC6"/>
    <w:rsid w:val="00F530D8"/>
    <w:rsid w:val="00F535E7"/>
    <w:rsid w:val="00F5381F"/>
    <w:rsid w:val="00F5524C"/>
    <w:rsid w:val="00F56546"/>
    <w:rsid w:val="00F56641"/>
    <w:rsid w:val="00F56956"/>
    <w:rsid w:val="00F57838"/>
    <w:rsid w:val="00F57A08"/>
    <w:rsid w:val="00F57ED1"/>
    <w:rsid w:val="00F60315"/>
    <w:rsid w:val="00F60F37"/>
    <w:rsid w:val="00F61095"/>
    <w:rsid w:val="00F61AC4"/>
    <w:rsid w:val="00F620A2"/>
    <w:rsid w:val="00F63080"/>
    <w:rsid w:val="00F63AB7"/>
    <w:rsid w:val="00F63BA7"/>
    <w:rsid w:val="00F65282"/>
    <w:rsid w:val="00F66294"/>
    <w:rsid w:val="00F66371"/>
    <w:rsid w:val="00F66830"/>
    <w:rsid w:val="00F66DFB"/>
    <w:rsid w:val="00F67634"/>
    <w:rsid w:val="00F71DF2"/>
    <w:rsid w:val="00F75233"/>
    <w:rsid w:val="00F75FD2"/>
    <w:rsid w:val="00F777C7"/>
    <w:rsid w:val="00F800B6"/>
    <w:rsid w:val="00F8071F"/>
    <w:rsid w:val="00F811C6"/>
    <w:rsid w:val="00F811F8"/>
    <w:rsid w:val="00F834C3"/>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7D6"/>
    <w:rsid w:val="00FA6E69"/>
    <w:rsid w:val="00FA77E4"/>
    <w:rsid w:val="00FB1578"/>
    <w:rsid w:val="00FB199D"/>
    <w:rsid w:val="00FB1C26"/>
    <w:rsid w:val="00FB1D44"/>
    <w:rsid w:val="00FB2410"/>
    <w:rsid w:val="00FB25EE"/>
    <w:rsid w:val="00FB2CD7"/>
    <w:rsid w:val="00FB2E7B"/>
    <w:rsid w:val="00FB4960"/>
    <w:rsid w:val="00FB5258"/>
    <w:rsid w:val="00FB5985"/>
    <w:rsid w:val="00FC019F"/>
    <w:rsid w:val="00FC04E6"/>
    <w:rsid w:val="00FC0624"/>
    <w:rsid w:val="00FC0B81"/>
    <w:rsid w:val="00FC1030"/>
    <w:rsid w:val="00FC1715"/>
    <w:rsid w:val="00FC20DD"/>
    <w:rsid w:val="00FC223C"/>
    <w:rsid w:val="00FC371D"/>
    <w:rsid w:val="00FC41EC"/>
    <w:rsid w:val="00FC4A4B"/>
    <w:rsid w:val="00FC4D06"/>
    <w:rsid w:val="00FC5515"/>
    <w:rsid w:val="00FC6275"/>
    <w:rsid w:val="00FC6D7A"/>
    <w:rsid w:val="00FC70BF"/>
    <w:rsid w:val="00FD0193"/>
    <w:rsid w:val="00FD0FAA"/>
    <w:rsid w:val="00FD16F5"/>
    <w:rsid w:val="00FD239F"/>
    <w:rsid w:val="00FD2AE8"/>
    <w:rsid w:val="00FD380B"/>
    <w:rsid w:val="00FD3883"/>
    <w:rsid w:val="00FD38B8"/>
    <w:rsid w:val="00FD457C"/>
    <w:rsid w:val="00FD54FC"/>
    <w:rsid w:val="00FD5ABD"/>
    <w:rsid w:val="00FD6675"/>
    <w:rsid w:val="00FD6CCB"/>
    <w:rsid w:val="00FD6D27"/>
    <w:rsid w:val="00FD7524"/>
    <w:rsid w:val="00FD7960"/>
    <w:rsid w:val="00FD7CAF"/>
    <w:rsid w:val="00FD7E66"/>
    <w:rsid w:val="00FD7FB3"/>
    <w:rsid w:val="00FE052A"/>
    <w:rsid w:val="00FE219F"/>
    <w:rsid w:val="00FE21F5"/>
    <w:rsid w:val="00FE28F4"/>
    <w:rsid w:val="00FE30C1"/>
    <w:rsid w:val="00FE3BD8"/>
    <w:rsid w:val="00FE43D5"/>
    <w:rsid w:val="00FE4AE0"/>
    <w:rsid w:val="00FE4D22"/>
    <w:rsid w:val="00FE6995"/>
    <w:rsid w:val="00FE69AC"/>
    <w:rsid w:val="00FE6CFB"/>
    <w:rsid w:val="00FF0040"/>
    <w:rsid w:val="00FF1422"/>
    <w:rsid w:val="00FF15C6"/>
    <w:rsid w:val="00FF1617"/>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6CBD667A"/>
  <w15:docId w15:val="{073E4941-0BE8-4D45-A51B-46FC68FAA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sk-SK"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sk-SK"/>
    </w:rPr>
  </w:style>
  <w:style w:type="character" w:customStyle="1" w:styleId="Heading2Char">
    <w:name w:val="Heading 2 Char"/>
    <w:link w:val="Heading2"/>
    <w:uiPriority w:val="99"/>
    <w:locked/>
    <w:rsid w:val="00EC5046"/>
    <w:rPr>
      <w:rFonts w:ascii="Verdana" w:hAnsi="Verdana" w:cs="Times New Roman"/>
      <w:b/>
      <w:sz w:val="24"/>
      <w:szCs w:val="24"/>
      <w:u w:val="single"/>
      <w:lang w:val="sk-SK"/>
    </w:rPr>
  </w:style>
  <w:style w:type="character" w:customStyle="1" w:styleId="Heading3Char">
    <w:name w:val="Heading 3 Char"/>
    <w:aliases w:val="Title 2 Char"/>
    <w:uiPriority w:val="99"/>
    <w:locked/>
    <w:rsid w:val="00884FEB"/>
    <w:rPr>
      <w:rFonts w:cs="Times New Roman"/>
      <w:sz w:val="24"/>
      <w:szCs w:val="24"/>
      <w:lang w:val="sk-SK"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sk-SK"/>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sk-SK"/>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sk-SK"/>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212C5"/>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sk-SK"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212C5"/>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sk-SK"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sk-SK"/>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sk-SK"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sk-SK"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sk-SK"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35"/>
      </w:numPr>
    </w:pPr>
  </w:style>
  <w:style w:type="paragraph" w:customStyle="1" w:styleId="Numberedtitlelevel2">
    <w:name w:val="Numbered title level 2"/>
    <w:basedOn w:val="Titlelevel2"/>
    <w:next w:val="body"/>
    <w:qFormat/>
    <w:rsid w:val="00595FAD"/>
    <w:pPr>
      <w:numPr>
        <w:ilvl w:val="1"/>
        <w:numId w:val="35"/>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33"/>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34"/>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31"/>
      </w:numPr>
    </w:pPr>
    <w:rPr>
      <w:szCs w:val="22"/>
    </w:rPr>
  </w:style>
  <w:style w:type="paragraph" w:customStyle="1" w:styleId="bullet2">
    <w:name w:val="bullet 2"/>
    <w:basedOn w:val="body"/>
    <w:qFormat/>
    <w:rsid w:val="00595FAD"/>
    <w:pPr>
      <w:numPr>
        <w:numId w:val="30"/>
      </w:numPr>
    </w:pPr>
    <w:rPr>
      <w:szCs w:val="22"/>
    </w:rPr>
  </w:style>
  <w:style w:type="paragraph" w:customStyle="1" w:styleId="Numberedtitlelevel3">
    <w:name w:val="Numbered title level 3"/>
    <w:basedOn w:val="Titlelevel3"/>
    <w:next w:val="body"/>
    <w:qFormat/>
    <w:rsid w:val="00595FAD"/>
    <w:pPr>
      <w:numPr>
        <w:ilvl w:val="2"/>
        <w:numId w:val="35"/>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32"/>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sk-SK"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3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36"/>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38"/>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iso.org/iso-4217-currency-codes.html" TargetMode="External"/><Relationship Id="rId18" Type="http://schemas.openxmlformats.org/officeDocument/2006/relationships/footer" Target="footer4.xm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footer" Target="footer3.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2.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iso.org/iso-4217-currency-cod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C44090-5EE1-469D-99DA-3F9019922F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2669</TotalTime>
  <Pages>283</Pages>
  <Words>87124</Words>
  <Characters>529131</Characters>
  <Application>Microsoft Office Word</Application>
  <DocSecurity>0</DocSecurity>
  <Lines>13228</Lines>
  <Paragraphs>7703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608552</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revision>5</cp:revision>
  <dcterms:created xsi:type="dcterms:W3CDTF">2022-10-05T15:21:00Z</dcterms:created>
  <dcterms:modified xsi:type="dcterms:W3CDTF">2022-11-10T15:43:00Z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11,12,13,14,15,16</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5c7eb9de-735b-4a68-8fe4-c9c62709b012_Enabled">
    <vt:lpwstr>true</vt:lpwstr>
  </property>
  <property fmtid="{D5CDD505-2E9C-101B-9397-08002B2CF9AE}" pid="6" name="MSIP_Label_5c7eb9de-735b-4a68-8fe4-c9c62709b012_SetDate">
    <vt:lpwstr>2022-02-23T15:37:29Z</vt:lpwstr>
  </property>
  <property fmtid="{D5CDD505-2E9C-101B-9397-08002B2CF9AE}" pid="7" name="MSIP_Label_5c7eb9de-735b-4a68-8fe4-c9c62709b012_Method">
    <vt:lpwstr>Standard</vt:lpwstr>
  </property>
  <property fmtid="{D5CDD505-2E9C-101B-9397-08002B2CF9AE}" pid="8" name="MSIP_Label_5c7eb9de-735b-4a68-8fe4-c9c62709b012_Name">
    <vt:lpwstr>EBA Regular Use</vt:lpwstr>
  </property>
  <property fmtid="{D5CDD505-2E9C-101B-9397-08002B2CF9AE}" pid="9" name="MSIP_Label_5c7eb9de-735b-4a68-8fe4-c9c62709b012_SiteId">
    <vt:lpwstr>3bacb4ff-f1a2-4c92-b96c-e99fec826b68</vt:lpwstr>
  </property>
  <property fmtid="{D5CDD505-2E9C-101B-9397-08002B2CF9AE}" pid="10" name="MSIP_Label_5c7eb9de-735b-4a68-8fe4-c9c62709b012_ActionId">
    <vt:lpwstr>c0e9743e-53b1-40b4-9ccb-01bae716cb10</vt:lpwstr>
  </property>
  <property fmtid="{D5CDD505-2E9C-101B-9397-08002B2CF9AE}" pid="11" name="MSIP_Label_5c7eb9de-735b-4a68-8fe4-c9c62709b012_ContentBits">
    <vt:lpwstr>1</vt:lpwstr>
  </property>
</Properties>
</file>