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sz w:val="24"/>
          <w:szCs w:val="24"/>
          <w:rFonts w:ascii="Times New Roman" w:hAnsi="Times New Roman"/>
        </w:rPr>
      </w:pPr>
      <w:bookmarkStart w:id="0" w:name="_Toc322687879"/>
      <w:bookmarkStart w:id="1" w:name="_Toc315961853"/>
      <w:r>
        <w:rPr>
          <w:sz w:val="24"/>
          <w:szCs w:val="24"/>
          <w:rFonts w:ascii="Times New Roman" w:hAnsi="Times New Roman"/>
        </w:rPr>
        <w:t xml:space="preserve">XIV PRIEDAS</w:t>
      </w:r>
    </w:p>
    <w:p w:rsidR="008D22AD" w:rsidRPr="00AC35AF" w:rsidRDefault="008D22AD" w:rsidP="008D22AD">
      <w:pPr>
        <w:spacing w:before="120" w:after="120"/>
        <w:jc w:val="center"/>
        <w:rPr>
          <w:b/>
          <w:sz w:val="24"/>
          <w:szCs w:val="24"/>
          <w:rFonts w:ascii="Times New Roman" w:hAnsi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Bendras duomenų vienetų modelis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Visi šio reglamento prieduose nustatyti duomenų straipsniai yra pakeičiami bendru duomenų vienetų modeliu, kuris yra įstaigų ir kompetentingų institucijų vienodų IT sistemų pagrindas.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Bendras duomenų vienetų modelis atitinka šiuos kriterijus: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jame visi šio reglamento prieduose nustatyti duomenų straipsniai yra pateikiami struktūriškai;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jame yra identifikuojami visi šio reglamento prieduose nustatyti veiklos aspektai;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jame yra pateikiamas duomenų žodynas, kuriame identifikuojamos lentelių žymos, ordinačių žymos, ašių žymos, sričių žymos, aspektų žymos ir narių žymos;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jame yra pateikiami matai, kuriais apibrėžiamas duomenų vienetų pobūdis arba kiekis;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jame yra pateikiamos duomenų vienetų apibrėžtys, kurios išreikštos kaip ypatybių, pagal kurias vienareikšmiškai identifikuojama finansinė sąvoka, rinkinys;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f)</w:t>
      </w:r>
      <w:r>
        <w:tab/>
      </w:r>
      <w:r>
        <w:rPr>
          <w:sz w:val="24"/>
          <w:szCs w:val="24"/>
          <w:rFonts w:ascii="Times New Roman" w:hAnsi="Times New Roman"/>
        </w:rPr>
        <w:t xml:space="preserve">jame yra pateikiamos visos atitinkamos techninės specifikacijos, būtinos informacijos teikimo IT sprendimams, pagal kuriuos gaunami vienodi priežiūros duomenys, sukurti.</w:t>
      </w:r>
      <w:r>
        <w:rPr>
          <w:sz w:val="24"/>
          <w:szCs w:val="24"/>
          <w:rFonts w:ascii="Times New Roman" w:hAnsi="Times New Roman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lt-LT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lt-L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lt-LT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lt-L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lt-LT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lt-LT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lt-LT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lt-LT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lt-LT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lt-LT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lt-LT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