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108408" w14:textId="53C2C0A3" w:rsidR="001B7C2B" w:rsidRPr="00E37FBE" w:rsidRDefault="001B7C2B" w:rsidP="001B7C2B">
      <w:pPr>
        <w:jc w:val="center"/>
        <w:rPr>
          <w:rFonts w:ascii="Times New Roman" w:hAnsi="Times New Roman"/>
          <w:b/>
          <w:sz w:val="24"/>
        </w:rPr>
      </w:pPr>
      <w:bookmarkStart w:id="0" w:name="_GoBack"/>
      <w:bookmarkEnd w:id="0"/>
      <w:proofErr w:type="gramStart"/>
      <w:r>
        <w:rPr>
          <w:rFonts w:ascii="Times New Roman" w:hAnsi="Times New Roman"/>
          <w:b/>
          <w:sz w:val="24"/>
        </w:rPr>
        <w:t>HU</w:t>
      </w:r>
      <w:proofErr w:type="gramEnd"/>
      <w:r>
        <w:rPr>
          <w:rFonts w:ascii="Times New Roman" w:hAnsi="Times New Roman"/>
          <w:b/>
          <w:sz w:val="24"/>
        </w:rPr>
        <w:br/>
        <w:t>VI. MELLÉKLET</w:t>
      </w:r>
    </w:p>
    <w:p w14:paraId="72104D4D" w14:textId="77777777" w:rsidR="006339CC" w:rsidRPr="00E37FBE" w:rsidRDefault="006339CC" w:rsidP="001B7C2B">
      <w:pPr>
        <w:jc w:val="center"/>
        <w:rPr>
          <w:rFonts w:ascii="Times New Roman" w:hAnsi="Times New Roman"/>
          <w:b/>
          <w:sz w:val="24"/>
        </w:rPr>
      </w:pPr>
    </w:p>
    <w:p w14:paraId="01904AEC" w14:textId="353A69A5" w:rsidR="007F5684" w:rsidRPr="00E37FBE" w:rsidRDefault="008E1DE8" w:rsidP="001B7C2B">
      <w:pPr>
        <w:jc w:val="center"/>
        <w:rPr>
          <w:b/>
          <w:szCs w:val="20"/>
          <w:u w:val="single"/>
        </w:rPr>
      </w:pPr>
      <w:r>
        <w:rPr>
          <w:b/>
          <w:u w:val="single"/>
        </w:rPr>
        <w:t>„XIX. MELLÉKLET</w:t>
      </w:r>
    </w:p>
    <w:p w14:paraId="1796FE74" w14:textId="29CC78AB" w:rsidR="007F5684" w:rsidRPr="00E37FBE" w:rsidRDefault="007F5684" w:rsidP="00F30436">
      <w:pPr>
        <w:jc w:val="center"/>
        <w:rPr>
          <w:b/>
          <w:szCs w:val="20"/>
        </w:rPr>
      </w:pPr>
      <w:r>
        <w:rPr>
          <w:b/>
        </w:rPr>
        <w:t xml:space="preserve">ÚTMUTATÓ </w:t>
      </w:r>
      <w:proofErr w:type="gramStart"/>
      <w:r>
        <w:rPr>
          <w:b/>
        </w:rPr>
        <w:t>A</w:t>
      </w:r>
      <w:proofErr w:type="gramEnd"/>
      <w:r>
        <w:rPr>
          <w:b/>
        </w:rPr>
        <w:t> XVIII. MELLÉKLET TOVÁBBI MONITOROZÁSI ESZKÖZÖKRE VONATKOZÓ TÁBLÁJÁNAK KITÖLTÉSÉHEZ</w:t>
      </w:r>
    </w:p>
    <w:p w14:paraId="16AC5CE5" w14:textId="77777777" w:rsidR="00D02FE4" w:rsidRPr="00E37FBE" w:rsidRDefault="00181260" w:rsidP="00432D9F">
      <w:pPr>
        <w:pStyle w:val="Instructionsberschrift2"/>
        <w:numPr>
          <w:ilvl w:val="0"/>
          <w:numId w:val="2"/>
        </w:numPr>
        <w:rPr>
          <w:rFonts w:ascii="Times New Roman" w:hAnsi="Times New Roman" w:cs="Times New Roman"/>
          <w:szCs w:val="20"/>
        </w:rPr>
      </w:pPr>
      <w:r>
        <w:rPr>
          <w:rFonts w:ascii="Times New Roman" w:hAnsi="Times New Roman"/>
        </w:rPr>
        <w:t xml:space="preserve">További </w:t>
      </w:r>
      <w:proofErr w:type="spellStart"/>
      <w:r>
        <w:rPr>
          <w:rFonts w:ascii="Times New Roman" w:hAnsi="Times New Roman"/>
        </w:rPr>
        <w:t>monitorozási</w:t>
      </w:r>
      <w:proofErr w:type="spellEnd"/>
      <w:r>
        <w:rPr>
          <w:rFonts w:ascii="Times New Roman" w:hAnsi="Times New Roman"/>
        </w:rPr>
        <w:t xml:space="preserve"> eszközök</w:t>
      </w:r>
    </w:p>
    <w:p w14:paraId="6D74775F" w14:textId="243E01B4" w:rsidR="00D02FE4" w:rsidRPr="00E37FBE" w:rsidRDefault="00D02FE4" w:rsidP="00432D9F">
      <w:pPr>
        <w:pStyle w:val="Instructionsberschrift2"/>
        <w:numPr>
          <w:ilvl w:val="1"/>
          <w:numId w:val="2"/>
        </w:numPr>
        <w:rPr>
          <w:rFonts w:ascii="Times New Roman" w:hAnsi="Times New Roman" w:cs="Times New Roman"/>
          <w:szCs w:val="20"/>
        </w:rPr>
      </w:pPr>
      <w:bookmarkStart w:id="1" w:name="_Toc308175819"/>
      <w:bookmarkStart w:id="2" w:name="_Toc310414966"/>
      <w:r>
        <w:rPr>
          <w:rFonts w:ascii="Times New Roman" w:hAnsi="Times New Roman"/>
        </w:rPr>
        <w:t xml:space="preserve">Általános </w:t>
      </w:r>
      <w:proofErr w:type="gramStart"/>
      <w:r>
        <w:rPr>
          <w:rFonts w:ascii="Times New Roman" w:hAnsi="Times New Roman"/>
        </w:rPr>
        <w:t>információk</w:t>
      </w:r>
      <w:proofErr w:type="gramEnd"/>
      <w:r>
        <w:rPr>
          <w:rFonts w:ascii="Times New Roman" w:hAnsi="Times New Roman"/>
        </w:rPr>
        <w:t xml:space="preserve"> </w:t>
      </w:r>
      <w:bookmarkEnd w:id="1"/>
      <w:bookmarkEnd w:id="2"/>
    </w:p>
    <w:p w14:paraId="28146638" w14:textId="572CEF49" w:rsidR="00A344AA" w:rsidRPr="00E37FBE" w:rsidRDefault="00F9747D" w:rsidP="00CC3091">
      <w:pPr>
        <w:pStyle w:val="InstructionsText2"/>
        <w:numPr>
          <w:ilvl w:val="0"/>
          <w:numId w:val="4"/>
        </w:numPr>
        <w:rPr>
          <w:u w:val="none"/>
        </w:rPr>
      </w:pPr>
      <w:r>
        <w:rPr>
          <w:u w:val="none"/>
        </w:rPr>
        <w:t xml:space="preserve">[üres] </w:t>
      </w:r>
    </w:p>
    <w:p w14:paraId="39998106" w14:textId="1169C0B2" w:rsidR="00A344AA" w:rsidRPr="00E37FBE" w:rsidRDefault="00A344AA" w:rsidP="00CC3091">
      <w:pPr>
        <w:pStyle w:val="InstructionsText2"/>
        <w:numPr>
          <w:ilvl w:val="0"/>
          <w:numId w:val="4"/>
        </w:numPr>
        <w:rPr>
          <w:u w:val="none"/>
        </w:rPr>
      </w:pPr>
      <w:r>
        <w:rPr>
          <w:u w:val="none"/>
        </w:rPr>
        <w:t xml:space="preserve">A teljes </w:t>
      </w:r>
      <w:proofErr w:type="gramStart"/>
      <w:r>
        <w:rPr>
          <w:u w:val="none"/>
        </w:rPr>
        <w:t>finanszírozás</w:t>
      </w:r>
      <w:proofErr w:type="gramEnd"/>
      <w:r>
        <w:rPr>
          <w:u w:val="none"/>
        </w:rPr>
        <w:t xml:space="preserve"> a származtatott eszközöktől és rövid pozícióktól eltérő összes pénzügyi kötelezettséget jelenti.</w:t>
      </w:r>
    </w:p>
    <w:p w14:paraId="50F797C6" w14:textId="18A1D5E6" w:rsidR="00A344AA" w:rsidRPr="00E37FBE" w:rsidRDefault="00A344AA" w:rsidP="00927DCB">
      <w:pPr>
        <w:pStyle w:val="InstructionsText2"/>
        <w:numPr>
          <w:ilvl w:val="0"/>
          <w:numId w:val="4"/>
        </w:numPr>
        <w:rPr>
          <w:u w:val="none"/>
        </w:rPr>
      </w:pPr>
      <w:r>
        <w:rPr>
          <w:u w:val="none"/>
        </w:rPr>
        <w:t xml:space="preserve">A lejárat nélküli különféle típusú </w:t>
      </w:r>
      <w:proofErr w:type="gramStart"/>
      <w:r>
        <w:rPr>
          <w:u w:val="none"/>
        </w:rPr>
        <w:t>finanszírozást</w:t>
      </w:r>
      <w:proofErr w:type="gramEnd"/>
      <w:r>
        <w:rPr>
          <w:u w:val="none"/>
        </w:rPr>
        <w:t xml:space="preserve">, beleértve a látra szóló betéteket, egynapos lejáratúnak kell tekinteni. </w:t>
      </w:r>
    </w:p>
    <w:p w14:paraId="4586638B" w14:textId="7C96029D" w:rsidR="00A344AA" w:rsidRPr="00E37FBE" w:rsidRDefault="00A344AA" w:rsidP="00927DCB">
      <w:pPr>
        <w:pStyle w:val="InstructionsText2"/>
        <w:numPr>
          <w:ilvl w:val="0"/>
          <w:numId w:val="4"/>
        </w:numPr>
        <w:rPr>
          <w:u w:val="none"/>
        </w:rPr>
      </w:pPr>
      <w:r>
        <w:rPr>
          <w:u w:val="none"/>
        </w:rPr>
        <w:t xml:space="preserve">Az eredeti futamidő a kezdeményezés (keletkezés) időpontja és a </w:t>
      </w:r>
      <w:proofErr w:type="gramStart"/>
      <w:r>
        <w:rPr>
          <w:u w:val="none"/>
        </w:rPr>
        <w:t>finanszírozás</w:t>
      </w:r>
      <w:proofErr w:type="gramEnd"/>
      <w:r>
        <w:rPr>
          <w:u w:val="none"/>
        </w:rPr>
        <w:t xml:space="preserve"> lejáratának időpontja között eltelt idő. A </w:t>
      </w:r>
      <w:proofErr w:type="gramStart"/>
      <w:r>
        <w:rPr>
          <w:u w:val="none"/>
        </w:rPr>
        <w:t>finanszírozás</w:t>
      </w:r>
      <w:proofErr w:type="gramEnd"/>
      <w:r>
        <w:rPr>
          <w:u w:val="none"/>
        </w:rPr>
        <w:t xml:space="preserve"> lejáratának időpontját a XXIII. melléklet 12. pontjának megfelelően kell meghatározni. Ez azt jelenti, hogy </w:t>
      </w:r>
      <w:proofErr w:type="spellStart"/>
      <w:r>
        <w:rPr>
          <w:u w:val="none"/>
        </w:rPr>
        <w:t>opcionalitás</w:t>
      </w:r>
      <w:proofErr w:type="spellEnd"/>
      <w:r>
        <w:rPr>
          <w:u w:val="none"/>
        </w:rPr>
        <w:t xml:space="preserve"> esetén, például a XXIII. melléklet 12. pontjánál, a </w:t>
      </w:r>
      <w:proofErr w:type="gramStart"/>
      <w:r>
        <w:rPr>
          <w:u w:val="none"/>
        </w:rPr>
        <w:t>finanszírozás</w:t>
      </w:r>
      <w:proofErr w:type="gramEnd"/>
      <w:r>
        <w:rPr>
          <w:u w:val="none"/>
        </w:rPr>
        <w:t xml:space="preserve"> eredeti lejárata rövidebb lehet, mint a kezdeményezése (keletkezése) óta eltelt idő. </w:t>
      </w:r>
    </w:p>
    <w:p w14:paraId="4FA59274" w14:textId="21EF3C98" w:rsidR="00A344AA" w:rsidRPr="00E37FBE" w:rsidRDefault="00A344AA" w:rsidP="00927DCB">
      <w:pPr>
        <w:pStyle w:val="InstructionsText2"/>
        <w:numPr>
          <w:ilvl w:val="0"/>
          <w:numId w:val="4"/>
        </w:numPr>
        <w:rPr>
          <w:u w:val="none"/>
        </w:rPr>
      </w:pPr>
      <w:r>
        <w:rPr>
          <w:u w:val="none"/>
        </w:rPr>
        <w:t xml:space="preserve">A hátralévő futamidő az adatszolgáltatási időszak vége és a forrás lejáratának időpontja között eltelt idő. A </w:t>
      </w:r>
      <w:proofErr w:type="gramStart"/>
      <w:r>
        <w:rPr>
          <w:u w:val="none"/>
        </w:rPr>
        <w:t>finanszírozás</w:t>
      </w:r>
      <w:proofErr w:type="gramEnd"/>
      <w:r>
        <w:rPr>
          <w:u w:val="none"/>
        </w:rPr>
        <w:t xml:space="preserve"> lejáratának időpontját a XXIII. melléklet 12. pontjának megfelelően kell meghatározni.</w:t>
      </w:r>
    </w:p>
    <w:p w14:paraId="1DF04682" w14:textId="743926F7" w:rsidR="007462FE" w:rsidRPr="00E37FBE" w:rsidRDefault="007462FE" w:rsidP="00927DCB">
      <w:pPr>
        <w:pStyle w:val="InstructionsText2"/>
        <w:numPr>
          <w:ilvl w:val="0"/>
          <w:numId w:val="4"/>
        </w:numPr>
        <w:rPr>
          <w:u w:val="none"/>
        </w:rPr>
      </w:pPr>
      <w:r>
        <w:rPr>
          <w:u w:val="none"/>
        </w:rPr>
        <w:t xml:space="preserve">A súlyozott átlagos eredeti vagy hátralévő futamidő kiszámítása céljából az egynapos lejáratú betéteket vagy a lejárat nélküli különféle típusú </w:t>
      </w:r>
      <w:proofErr w:type="gramStart"/>
      <w:r>
        <w:rPr>
          <w:u w:val="none"/>
        </w:rPr>
        <w:t>finanszírozást</w:t>
      </w:r>
      <w:proofErr w:type="gramEnd"/>
      <w:r>
        <w:rPr>
          <w:u w:val="none"/>
        </w:rPr>
        <w:t xml:space="preserve"> egynapos lejáratúnak kell tekinteni.</w:t>
      </w:r>
    </w:p>
    <w:p w14:paraId="25CD9EF4" w14:textId="173EC59C" w:rsidR="007462FE" w:rsidRPr="00E37FBE" w:rsidRDefault="007462FE" w:rsidP="00927DCB">
      <w:pPr>
        <w:pStyle w:val="InstructionsText2"/>
        <w:numPr>
          <w:ilvl w:val="0"/>
          <w:numId w:val="4"/>
        </w:numPr>
        <w:rPr>
          <w:u w:val="none"/>
        </w:rPr>
      </w:pPr>
      <w:r>
        <w:rPr>
          <w:u w:val="none"/>
        </w:rPr>
        <w:t xml:space="preserve">Az olyan </w:t>
      </w:r>
      <w:proofErr w:type="gramStart"/>
      <w:r>
        <w:rPr>
          <w:u w:val="none"/>
        </w:rPr>
        <w:t>finanszírozás</w:t>
      </w:r>
      <w:proofErr w:type="gramEnd"/>
      <w:r>
        <w:rPr>
          <w:u w:val="none"/>
        </w:rPr>
        <w:t xml:space="preserve"> súlyozott átlagos eredeti és hátralévő </w:t>
      </w:r>
      <w:proofErr w:type="spellStart"/>
      <w:r>
        <w:rPr>
          <w:u w:val="none"/>
        </w:rPr>
        <w:t>futamidejének</w:t>
      </w:r>
      <w:proofErr w:type="spellEnd"/>
      <w:r>
        <w:rPr>
          <w:u w:val="none"/>
        </w:rPr>
        <w:t xml:space="preserve"> kiszámítása céljából, amely esetében az intézmény partnerére felmondási idő, illetőleg felmondásra vagy lejárat előtti felvételre vonatkozó záradék érvényes, az első lehetséges időpontban történő felvételt kell feltételezni.</w:t>
      </w:r>
    </w:p>
    <w:p w14:paraId="2B81E2EC" w14:textId="4651096B" w:rsidR="00A344AA" w:rsidRPr="00E37FBE" w:rsidRDefault="00A344AA" w:rsidP="00927DCB">
      <w:pPr>
        <w:pStyle w:val="InstructionsText2"/>
        <w:numPr>
          <w:ilvl w:val="0"/>
          <w:numId w:val="4"/>
        </w:numPr>
        <w:rPr>
          <w:u w:val="none"/>
        </w:rPr>
      </w:pPr>
      <w:r>
        <w:rPr>
          <w:u w:val="none"/>
        </w:rPr>
        <w:t xml:space="preserve">A lejárat nélküli kötelezettségek esetében – kivéve a XXIII. melléklet 12. pontjában említett </w:t>
      </w:r>
      <w:proofErr w:type="spellStart"/>
      <w:r>
        <w:rPr>
          <w:u w:val="none"/>
        </w:rPr>
        <w:t>opcionalitás</w:t>
      </w:r>
      <w:proofErr w:type="spellEnd"/>
      <w:r>
        <w:rPr>
          <w:u w:val="none"/>
        </w:rPr>
        <w:t xml:space="preserve"> hatálya alá tartozókat – rögzített húszéves eredeti és hátralévő futamidőt kell feltételezni.</w:t>
      </w:r>
    </w:p>
    <w:p w14:paraId="30EB5133" w14:textId="4F98CC63" w:rsidR="00A344AA" w:rsidRPr="00E37FBE" w:rsidRDefault="00A344AA" w:rsidP="00927DCB">
      <w:pPr>
        <w:pStyle w:val="InstructionsText2"/>
        <w:numPr>
          <w:ilvl w:val="0"/>
          <w:numId w:val="4"/>
        </w:numPr>
        <w:rPr>
          <w:u w:val="none"/>
        </w:rPr>
      </w:pPr>
      <w:r>
        <w:rPr>
          <w:u w:val="none"/>
        </w:rPr>
        <w:t xml:space="preserve">A C 67.00. táblában említett százalékos küszöbérték jelentős </w:t>
      </w:r>
      <w:proofErr w:type="spellStart"/>
      <w:r>
        <w:rPr>
          <w:u w:val="none"/>
        </w:rPr>
        <w:t>pénznemenkénti</w:t>
      </w:r>
      <w:proofErr w:type="spellEnd"/>
      <w:r>
        <w:rPr>
          <w:u w:val="none"/>
        </w:rPr>
        <w:t xml:space="preserve"> kiszámításához az intézményeknek valamennyi pénznemben az összes kötelezettség 1 %-</w:t>
      </w:r>
      <w:proofErr w:type="spellStart"/>
      <w:r>
        <w:rPr>
          <w:u w:val="none"/>
        </w:rPr>
        <w:t>ának</w:t>
      </w:r>
      <w:proofErr w:type="spellEnd"/>
      <w:r>
        <w:rPr>
          <w:u w:val="none"/>
        </w:rPr>
        <w:t xml:space="preserve"> megfelelő küszöbértéket kell használniuk.</w:t>
      </w:r>
    </w:p>
    <w:p w14:paraId="0E1E0ED8" w14:textId="77777777" w:rsidR="00A344AA" w:rsidRPr="00E37FBE" w:rsidRDefault="00A344AA" w:rsidP="00A344AA">
      <w:pPr>
        <w:pStyle w:val="Instructionsberschrift2"/>
        <w:numPr>
          <w:ilvl w:val="1"/>
          <w:numId w:val="2"/>
        </w:numPr>
        <w:spacing w:before="0"/>
        <w:rPr>
          <w:rFonts w:ascii="Times New Roman" w:hAnsi="Times New Roman" w:cs="Times New Roman"/>
          <w:szCs w:val="20"/>
        </w:rPr>
      </w:pPr>
      <w:r>
        <w:rPr>
          <w:rFonts w:ascii="Times New Roman" w:hAnsi="Times New Roman"/>
        </w:rPr>
        <w:t xml:space="preserve">A </w:t>
      </w:r>
      <w:proofErr w:type="gramStart"/>
      <w:r>
        <w:rPr>
          <w:rFonts w:ascii="Times New Roman" w:hAnsi="Times New Roman"/>
        </w:rPr>
        <w:t>finanszírozás</w:t>
      </w:r>
      <w:proofErr w:type="gramEnd"/>
      <w:r>
        <w:rPr>
          <w:rFonts w:ascii="Times New Roman" w:hAnsi="Times New Roman"/>
        </w:rPr>
        <w:t xml:space="preserve"> koncentrációja partnerenként (C 67.00)</w:t>
      </w:r>
    </w:p>
    <w:p w14:paraId="322C1A75" w14:textId="2DE3271D" w:rsidR="00A344AA" w:rsidRPr="00E37FBE" w:rsidRDefault="00490B62" w:rsidP="00CC3091">
      <w:pPr>
        <w:pStyle w:val="InstructionsText2"/>
        <w:numPr>
          <w:ilvl w:val="0"/>
          <w:numId w:val="6"/>
        </w:numPr>
        <w:rPr>
          <w:u w:val="none"/>
        </w:rPr>
      </w:pPr>
      <w:r>
        <w:rPr>
          <w:u w:val="none"/>
        </w:rPr>
        <w:t xml:space="preserve">Az adatszolgáltató intézmények </w:t>
      </w:r>
      <w:proofErr w:type="spellStart"/>
      <w:r>
        <w:rPr>
          <w:u w:val="none"/>
        </w:rPr>
        <w:t>partnerenkénti</w:t>
      </w:r>
      <w:proofErr w:type="spellEnd"/>
      <w:r>
        <w:rPr>
          <w:u w:val="none"/>
        </w:rPr>
        <w:t xml:space="preserve"> </w:t>
      </w:r>
      <w:proofErr w:type="gramStart"/>
      <w:r>
        <w:rPr>
          <w:u w:val="none"/>
        </w:rPr>
        <w:t>finanszírozási</w:t>
      </w:r>
      <w:proofErr w:type="gramEnd"/>
      <w:r>
        <w:rPr>
          <w:u w:val="none"/>
        </w:rPr>
        <w:t xml:space="preserve"> koncentrációjára vonatkozó adatokat az intézményeknek a C 67.00-es táblában kell megadniuk az e szakaszban található útmutatónak megfelelően.</w:t>
      </w:r>
    </w:p>
    <w:p w14:paraId="52091F90" w14:textId="0B7A17FD" w:rsidR="00A344AA" w:rsidRPr="00E37FBE" w:rsidRDefault="00A344AA" w:rsidP="00CC3091">
      <w:pPr>
        <w:pStyle w:val="InstructionsText2"/>
        <w:numPr>
          <w:ilvl w:val="0"/>
          <w:numId w:val="6"/>
        </w:numPr>
        <w:rPr>
          <w:u w:val="none"/>
        </w:rPr>
      </w:pPr>
      <w:r>
        <w:rPr>
          <w:u w:val="none"/>
        </w:rPr>
        <w:t xml:space="preserve">Az intézményeknek a tábla 1. szakaszának 020–110-es sorában kell feltüntetniük azon tíz legnagyobb partnerüket vagy az 575/2013/EU rendelet 4. cikke (1) bekezdésének 39. pontjában meghatározott, kapcsolatban álló ügyfelek olyan csoportját, amely esetében az egyes partnerektől vagy a kapcsolatban álló ügyfelek csoportjától származó források értéke </w:t>
      </w:r>
      <w:r>
        <w:rPr>
          <w:u w:val="none"/>
        </w:rPr>
        <w:lastRenderedPageBreak/>
        <w:t>meghaladja az összes kötelezettség 1 %-</w:t>
      </w:r>
      <w:proofErr w:type="spellStart"/>
      <w:r>
        <w:rPr>
          <w:u w:val="none"/>
        </w:rPr>
        <w:t>ának</w:t>
      </w:r>
      <w:proofErr w:type="spellEnd"/>
      <w:r>
        <w:rPr>
          <w:u w:val="none"/>
        </w:rPr>
        <w:t xml:space="preserve"> megfelelő küszöbértéket. Az 1.01. tételben kell feltüntetni azt a partnert vagy kapcsolatban álló ügyfelek csoportját, amelytől az adatszolgáltatás időpontjában az 1 %-os küszöbértéket meghaladó legnagyobb összegű forrás származik, az 1.02. tételben az 1 %-os küszöbértéket meghaladó második legnagyobb összegű forrást biztosító partnert, és így tovább.</w:t>
      </w:r>
    </w:p>
    <w:p w14:paraId="430CAED4" w14:textId="505B6732" w:rsidR="00A344AA" w:rsidRPr="00E37FBE" w:rsidRDefault="00A344AA" w:rsidP="00CC3091">
      <w:pPr>
        <w:pStyle w:val="InstructionsText2"/>
        <w:numPr>
          <w:ilvl w:val="0"/>
          <w:numId w:val="6"/>
        </w:numPr>
        <w:rPr>
          <w:u w:val="none"/>
        </w:rPr>
      </w:pPr>
      <w:r>
        <w:rPr>
          <w:u w:val="none"/>
        </w:rPr>
        <w:t xml:space="preserve">Amennyiben a partner kapcsolatban álló ügyfelek több csoportjához tartozik, csak egyszer kell feltüntetni abban a csoportban, amelynél a források összege a legnagyobb. </w:t>
      </w:r>
    </w:p>
    <w:p w14:paraId="589BDAD9" w14:textId="65F70951" w:rsidR="00A344AA" w:rsidRPr="00E37FBE" w:rsidRDefault="00A344AA" w:rsidP="00381AA0">
      <w:pPr>
        <w:pStyle w:val="InstructionsText2"/>
        <w:numPr>
          <w:ilvl w:val="0"/>
          <w:numId w:val="6"/>
        </w:numPr>
        <w:rPr>
          <w:u w:val="none"/>
        </w:rPr>
      </w:pPr>
      <w:r>
        <w:rPr>
          <w:u w:val="none"/>
        </w:rPr>
        <w:t>Az intézményeknek az összes többi fennmaradó forrás teljes összegét a 2. szakaszban kell megadniuk.</w:t>
      </w:r>
    </w:p>
    <w:p w14:paraId="6E279CE2" w14:textId="1CC30DEB" w:rsidR="00A344AA" w:rsidRPr="00E37FBE" w:rsidRDefault="00A344AA" w:rsidP="00927DCB">
      <w:pPr>
        <w:pStyle w:val="InstructionsText2"/>
        <w:numPr>
          <w:ilvl w:val="0"/>
          <w:numId w:val="6"/>
        </w:numPr>
        <w:rPr>
          <w:u w:val="none"/>
        </w:rPr>
      </w:pPr>
      <w:proofErr w:type="gramStart"/>
      <w:r>
        <w:rPr>
          <w:u w:val="none"/>
        </w:rPr>
        <w:t>Az 1. szakasz (A tíz legnagyobb partner) és a 2. szakasz (Minden egyéb finanszírozás) összege megegyezik az adott intézmény által a FINREP pénzügyi adatszolgáltatási keret szerinti mérlegben szerepeltetett összes forrás összegével (FINREP – a származtatott ügyletek és rövid pozíciók kizárása céljából kiigazított pénzügyi kötelezettségek az 1.1. szakasz 2. pontjával összhangban) azon adatszolgáltatási időszakokra vonatkozóan, amelyekre mindkét jelentés rendelkezésre áll (pl. 1. negyedéves FINREP és C 67.00 március/első negyedév).</w:t>
      </w:r>
      <w:proofErr w:type="gramEnd"/>
    </w:p>
    <w:p w14:paraId="00BA7315" w14:textId="5EBAC99F" w:rsidR="00A344AA" w:rsidRPr="00E37FBE" w:rsidRDefault="00A344AA" w:rsidP="00927DCB">
      <w:pPr>
        <w:pStyle w:val="InstructionsText2"/>
        <w:numPr>
          <w:ilvl w:val="0"/>
          <w:numId w:val="6"/>
        </w:numPr>
        <w:rPr>
          <w:u w:val="none"/>
        </w:rPr>
      </w:pPr>
      <w:r>
        <w:rPr>
          <w:u w:val="none"/>
        </w:rPr>
        <w:t>Az intézményeknek minden egyes partner esetében ki kell tölteniük a 0010–0080-as oszlopok mindegyikét.</w:t>
      </w:r>
    </w:p>
    <w:p w14:paraId="3425ECF0" w14:textId="65ED6564" w:rsidR="00A344AA" w:rsidRPr="00E37FBE" w:rsidRDefault="00A344AA" w:rsidP="00927DCB">
      <w:pPr>
        <w:pStyle w:val="InstructionsText2"/>
        <w:numPr>
          <w:ilvl w:val="0"/>
          <w:numId w:val="6"/>
        </w:numPr>
        <w:rPr>
          <w:u w:val="none"/>
        </w:rPr>
      </w:pPr>
      <w:r>
        <w:rPr>
          <w:u w:val="none"/>
        </w:rPr>
        <w:t>Ha a forráshoz több terméktípusban jutnak hozzá, akkor azt a terméktípust kell feltüntetni, amelyben az intézmény a legnagyobb arányban jutott forráshoz. Az értékpapírok tényleges tulajdonosainak azonosítása a legnagyobb gondosság (</w:t>
      </w:r>
      <w:proofErr w:type="spellStart"/>
      <w:r>
        <w:rPr>
          <w:u w:val="none"/>
        </w:rPr>
        <w:t>best</w:t>
      </w:r>
      <w:proofErr w:type="spellEnd"/>
      <w:r>
        <w:rPr>
          <w:u w:val="none"/>
        </w:rPr>
        <w:t xml:space="preserve"> </w:t>
      </w:r>
      <w:proofErr w:type="spellStart"/>
      <w:r>
        <w:rPr>
          <w:u w:val="none"/>
        </w:rPr>
        <w:t>effort</w:t>
      </w:r>
      <w:proofErr w:type="spellEnd"/>
      <w:r>
        <w:rPr>
          <w:u w:val="none"/>
        </w:rPr>
        <w:t xml:space="preserve">) elve alapján történhet. Ha egy intézmény – letétkezelői szerepéből eredően – </w:t>
      </w:r>
      <w:proofErr w:type="gramStart"/>
      <w:r>
        <w:rPr>
          <w:u w:val="none"/>
        </w:rPr>
        <w:t>információval</w:t>
      </w:r>
      <w:proofErr w:type="gramEnd"/>
      <w:r>
        <w:rPr>
          <w:u w:val="none"/>
        </w:rPr>
        <w:t xml:space="preserve"> rendelkezik az értékpapírok tulajdonosáról, akkor a partnerkoncentrációval kapcsolatos adatszolgáltatás céljából az adott összeget figyelembe kell vennie. Ha nem áll rendelkezésre </w:t>
      </w:r>
      <w:proofErr w:type="gramStart"/>
      <w:r>
        <w:rPr>
          <w:u w:val="none"/>
        </w:rPr>
        <w:t>információ</w:t>
      </w:r>
      <w:proofErr w:type="gramEnd"/>
      <w:r>
        <w:rPr>
          <w:u w:val="none"/>
        </w:rPr>
        <w:t xml:space="preserve"> az értékpapírok tulajdonosáról, akkor a megfelelő összeget nem kell feltüntetni.</w:t>
      </w:r>
    </w:p>
    <w:p w14:paraId="2DFF75CD" w14:textId="77777777" w:rsidR="00A344AA" w:rsidRPr="00E37FBE" w:rsidRDefault="00A344AA" w:rsidP="00927DCB">
      <w:pPr>
        <w:pStyle w:val="InstructionsText2"/>
        <w:numPr>
          <w:ilvl w:val="0"/>
          <w:numId w:val="6"/>
        </w:numPr>
        <w:rPr>
          <w:u w:val="none"/>
        </w:rPr>
      </w:pPr>
      <w:r>
        <w:rPr>
          <w:u w:val="none"/>
        </w:rPr>
        <w:t>A tábla egyes oszlopaira vonatkozó útmutató:</w:t>
      </w:r>
    </w:p>
    <w:tbl>
      <w:tblPr>
        <w:tblW w:w="5000" w:type="pct"/>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3544"/>
        <w:gridCol w:w="3542"/>
      </w:tblGrid>
      <w:tr w:rsidR="00A344AA" w:rsidRPr="00E37FBE" w14:paraId="74B455E0" w14:textId="77777777" w:rsidTr="003F0706">
        <w:trPr>
          <w:trHeight w:val="548"/>
        </w:trPr>
        <w:tc>
          <w:tcPr>
            <w:tcW w:w="729" w:type="pct"/>
            <w:shd w:val="clear" w:color="auto" w:fill="D9D9D9"/>
            <w:noWrap/>
            <w:vAlign w:val="center"/>
          </w:tcPr>
          <w:p w14:paraId="3C56FF4E" w14:textId="77777777" w:rsidR="00A344AA" w:rsidRPr="00E37FBE" w:rsidRDefault="00A344AA" w:rsidP="000B288B">
            <w:pPr>
              <w:spacing w:before="0" w:after="0"/>
              <w:jc w:val="left"/>
              <w:rPr>
                <w:color w:val="000000"/>
              </w:rPr>
            </w:pPr>
            <w:r>
              <w:rPr>
                <w:rStyle w:val="InstructionsTabelleText"/>
                <w:rFonts w:ascii="Times New Roman" w:hAnsi="Times New Roman"/>
                <w:color w:val="000000"/>
              </w:rPr>
              <w:t>Oszlop</w:t>
            </w:r>
          </w:p>
        </w:tc>
        <w:tc>
          <w:tcPr>
            <w:tcW w:w="4271" w:type="pct"/>
            <w:gridSpan w:val="2"/>
            <w:shd w:val="clear" w:color="auto" w:fill="D9D9D9"/>
            <w:vAlign w:val="center"/>
          </w:tcPr>
          <w:p w14:paraId="708D3843" w14:textId="77777777" w:rsidR="00A344AA" w:rsidRPr="00E37FBE" w:rsidRDefault="00A344AA" w:rsidP="000B288B">
            <w:pPr>
              <w:spacing w:before="0" w:after="0"/>
              <w:jc w:val="left"/>
            </w:pPr>
            <w:r>
              <w:rPr>
                <w:rStyle w:val="InstructionsTabelleText"/>
                <w:rFonts w:ascii="Times New Roman" w:hAnsi="Times New Roman"/>
              </w:rPr>
              <w:t>Jogszabályi hivatkozások és útmutató</w:t>
            </w:r>
          </w:p>
        </w:tc>
      </w:tr>
      <w:tr w:rsidR="00A344AA" w:rsidRPr="00E37FBE" w14:paraId="03B6122B" w14:textId="77777777" w:rsidTr="003F0706">
        <w:trPr>
          <w:trHeight w:val="765"/>
        </w:trPr>
        <w:tc>
          <w:tcPr>
            <w:tcW w:w="729" w:type="pct"/>
            <w:shd w:val="clear" w:color="auto" w:fill="auto"/>
            <w:noWrap/>
          </w:tcPr>
          <w:p w14:paraId="454F7606" w14:textId="1AFD63D2" w:rsidR="00A344AA" w:rsidRPr="00E37FBE" w:rsidRDefault="00A344AA">
            <w:pPr>
              <w:spacing w:before="0" w:after="0"/>
              <w:jc w:val="left"/>
              <w:rPr>
                <w:rFonts w:ascii="Times New Roman" w:hAnsi="Times New Roman"/>
                <w:color w:val="000000"/>
                <w:szCs w:val="20"/>
              </w:rPr>
            </w:pPr>
            <w:r>
              <w:rPr>
                <w:rFonts w:ascii="Times New Roman" w:hAnsi="Times New Roman"/>
                <w:color w:val="000000"/>
              </w:rPr>
              <w:t>0010</w:t>
            </w:r>
          </w:p>
        </w:tc>
        <w:tc>
          <w:tcPr>
            <w:tcW w:w="4271" w:type="pct"/>
            <w:gridSpan w:val="2"/>
            <w:shd w:val="clear" w:color="auto" w:fill="auto"/>
          </w:tcPr>
          <w:p w14:paraId="146FA391" w14:textId="59410601" w:rsidR="00A344AA" w:rsidRPr="00E37FBE" w:rsidRDefault="00AA710D" w:rsidP="003A2647">
            <w:pPr>
              <w:spacing w:before="0" w:after="0"/>
              <w:rPr>
                <w:rFonts w:ascii="Times New Roman" w:hAnsi="Times New Roman"/>
                <w:b/>
                <w:szCs w:val="20"/>
                <w:u w:val="single"/>
              </w:rPr>
            </w:pPr>
            <w:r>
              <w:rPr>
                <w:rFonts w:ascii="Times New Roman" w:hAnsi="Times New Roman"/>
                <w:b/>
                <w:u w:val="single"/>
              </w:rPr>
              <w:t>P</w:t>
            </w:r>
            <w:r w:rsidR="00A344AA">
              <w:rPr>
                <w:rFonts w:ascii="Times New Roman" w:hAnsi="Times New Roman"/>
                <w:b/>
                <w:u w:val="single"/>
              </w:rPr>
              <w:t>artner neve</w:t>
            </w:r>
          </w:p>
          <w:p w14:paraId="19E2ADEC" w14:textId="77777777" w:rsidR="00A344AA" w:rsidRPr="00E37FBE" w:rsidRDefault="00A344AA" w:rsidP="003A2647">
            <w:pPr>
              <w:spacing w:before="0" w:after="0"/>
              <w:rPr>
                <w:rFonts w:ascii="Times New Roman" w:hAnsi="Times New Roman"/>
                <w:b/>
                <w:szCs w:val="20"/>
                <w:u w:val="single"/>
                <w:lang w:eastAsia="en-GB"/>
              </w:rPr>
            </w:pPr>
          </w:p>
          <w:p w14:paraId="2836EBB6" w14:textId="24533A37" w:rsidR="00A344AA" w:rsidRPr="00E37FBE" w:rsidRDefault="00A344AA" w:rsidP="00763448">
            <w:pPr>
              <w:spacing w:before="0" w:after="0"/>
              <w:rPr>
                <w:rFonts w:ascii="Times New Roman" w:hAnsi="Times New Roman"/>
                <w:szCs w:val="20"/>
              </w:rPr>
            </w:pPr>
            <w:r>
              <w:rPr>
                <w:rFonts w:ascii="Times New Roman" w:hAnsi="Times New Roman"/>
              </w:rPr>
              <w:t>Minden olyan partner nevét, amelytől az összes kötelezettség 1 %-át meghaladó forrás származik, a 0010-es oszlopban kell feltüntetni, a kapott források mértéke szerinti csökkenő sorrendben.</w:t>
            </w:r>
          </w:p>
          <w:p w14:paraId="5DFD68B3" w14:textId="77777777" w:rsidR="00A344AA" w:rsidRPr="00E37FBE" w:rsidRDefault="00A344AA" w:rsidP="00490B62">
            <w:pPr>
              <w:spacing w:before="0" w:after="0"/>
              <w:rPr>
                <w:rFonts w:ascii="Times New Roman" w:hAnsi="Times New Roman"/>
                <w:szCs w:val="20"/>
                <w:lang w:eastAsia="en-GB"/>
              </w:rPr>
            </w:pPr>
          </w:p>
          <w:p w14:paraId="5DA69516" w14:textId="6C8B79FB" w:rsidR="00A344AA" w:rsidRPr="00E37FBE" w:rsidRDefault="00C663BC" w:rsidP="00490B62">
            <w:pPr>
              <w:spacing w:before="0" w:after="0"/>
              <w:rPr>
                <w:rFonts w:ascii="Times New Roman" w:hAnsi="Times New Roman"/>
                <w:szCs w:val="20"/>
              </w:rPr>
            </w:pPr>
            <w:r>
              <w:rPr>
                <w:rFonts w:ascii="Times New Roman" w:hAnsi="Times New Roman"/>
              </w:rPr>
              <w:t xml:space="preserve">A partner nevét attól függetlenül szerepeltetni kell, hogy jogi személy vagy természetes személy. Ha a partner jogi személy, a partner neveként annak a jogi személynek a teljes nevét kell feltüntetni, amelytől a forrás származik, a nemzeti társasági jognak megfelelő társasági forma megjelölésével együtt. </w:t>
            </w:r>
          </w:p>
          <w:p w14:paraId="3DD390D0" w14:textId="388FAF35" w:rsidR="00E8757D" w:rsidRPr="00E37FBE" w:rsidRDefault="00E8757D" w:rsidP="00490B62">
            <w:pPr>
              <w:spacing w:before="0" w:after="0"/>
              <w:rPr>
                <w:rFonts w:ascii="Times New Roman" w:hAnsi="Times New Roman"/>
                <w:szCs w:val="20"/>
                <w:lang w:eastAsia="en-GB"/>
              </w:rPr>
            </w:pPr>
          </w:p>
          <w:p w14:paraId="7B415BEB" w14:textId="4090A499" w:rsidR="00E8757D" w:rsidRPr="00E37FBE" w:rsidRDefault="00E8757D" w:rsidP="00490B62">
            <w:pPr>
              <w:spacing w:before="0" w:after="0"/>
              <w:rPr>
                <w:rFonts w:ascii="Times New Roman" w:hAnsi="Times New Roman"/>
                <w:szCs w:val="20"/>
              </w:rPr>
            </w:pPr>
            <w:r>
              <w:rPr>
                <w:rFonts w:ascii="Times New Roman" w:hAnsi="Times New Roman"/>
              </w:rPr>
              <w:t xml:space="preserve">Abban az esetben, ha az egymással kapcsolatban álló ügyfelek csoportjának nincs anyavállalata, a feltüntetendő partner az az egyedi jogalany, amelyet az intézmény az egymással kapcsolatban álló ügyfelek csoportján belül a legjelentősebbnek tart. Bármely egyéb esetben a név az egyedi partner neve.   </w:t>
            </w:r>
          </w:p>
          <w:p w14:paraId="5AB242B5" w14:textId="77777777" w:rsidR="00A344AA" w:rsidRPr="00E37FBE" w:rsidRDefault="00A344AA" w:rsidP="003A2647">
            <w:pPr>
              <w:spacing w:before="0" w:after="0"/>
              <w:rPr>
                <w:rFonts w:ascii="Times New Roman" w:hAnsi="Times New Roman"/>
                <w:szCs w:val="20"/>
                <w:lang w:eastAsia="en-GB"/>
              </w:rPr>
            </w:pPr>
          </w:p>
        </w:tc>
      </w:tr>
      <w:tr w:rsidR="00CC3091" w:rsidRPr="00E37FBE" w14:paraId="383DA9E1" w14:textId="77777777" w:rsidTr="003F0706">
        <w:trPr>
          <w:trHeight w:val="765"/>
        </w:trPr>
        <w:tc>
          <w:tcPr>
            <w:tcW w:w="729" w:type="pct"/>
            <w:shd w:val="clear" w:color="auto" w:fill="auto"/>
            <w:noWrap/>
          </w:tcPr>
          <w:p w14:paraId="0369CC55" w14:textId="72873E1C" w:rsidR="00CC3091" w:rsidRPr="00E37FBE" w:rsidRDefault="00CC3091">
            <w:pPr>
              <w:spacing w:before="0" w:after="0"/>
              <w:jc w:val="left"/>
              <w:rPr>
                <w:rFonts w:ascii="Times New Roman" w:hAnsi="Times New Roman"/>
                <w:color w:val="000000"/>
                <w:szCs w:val="20"/>
              </w:rPr>
            </w:pPr>
            <w:r>
              <w:rPr>
                <w:rFonts w:ascii="Times New Roman" w:hAnsi="Times New Roman"/>
                <w:color w:val="000000"/>
              </w:rPr>
              <w:t>0015</w:t>
            </w:r>
          </w:p>
        </w:tc>
        <w:tc>
          <w:tcPr>
            <w:tcW w:w="4271" w:type="pct"/>
            <w:gridSpan w:val="2"/>
            <w:shd w:val="clear" w:color="auto" w:fill="auto"/>
          </w:tcPr>
          <w:p w14:paraId="12EA79C0" w14:textId="1CB26A4E" w:rsidR="00CC3091" w:rsidRPr="00E37FBE" w:rsidRDefault="00CC3091" w:rsidP="00CC3091">
            <w:pPr>
              <w:pStyle w:val="InstructionsText"/>
              <w:rPr>
                <w:rStyle w:val="InstructionsTabelleberschrift"/>
                <w:rFonts w:ascii="Times New Roman" w:hAnsi="Times New Roman"/>
                <w:szCs w:val="20"/>
              </w:rPr>
            </w:pPr>
            <w:r>
              <w:rPr>
                <w:rStyle w:val="InstructionsTabelleberschrift"/>
                <w:rFonts w:ascii="Times New Roman" w:hAnsi="Times New Roman"/>
              </w:rPr>
              <w:t>Kód</w:t>
            </w:r>
          </w:p>
          <w:p w14:paraId="484D7006" w14:textId="77777777" w:rsidR="00CC3091" w:rsidRPr="00E37FBE" w:rsidRDefault="00CC3091" w:rsidP="00CC3091">
            <w:pPr>
              <w:pStyle w:val="InstructionsText"/>
              <w:rPr>
                <w:rStyle w:val="InstructionsTabelleberschrift"/>
                <w:rFonts w:ascii="Times New Roman" w:hAnsi="Times New Roman"/>
                <w:szCs w:val="20"/>
              </w:rPr>
            </w:pPr>
          </w:p>
          <w:p w14:paraId="384FB2AC" w14:textId="180414B4" w:rsidR="00CC3091" w:rsidRPr="00E37FBE" w:rsidRDefault="00CC3091"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Ez a kód egy sorazonosító, amely minden egyes partnert egyedileg azonosít. Intézmények és biztosítók esetében a kód a jogalany-azonosító (LEI) kód. Más szervezetek esetében a kód a LEI-kód, vagy ha nem áll rendelkezésre, valamely nemzeti kód. A kódnak egyedinek kell lennie, és azt következetesen kell használni a táblákban és az egymást követő adatszolgáltatási időszakokban. A kódnak mindig valamely értéket kell tartalmaznia.</w:t>
            </w:r>
          </w:p>
          <w:p w14:paraId="0CD09054" w14:textId="77777777" w:rsidR="00CC3091" w:rsidRPr="00E37FBE" w:rsidRDefault="00CC3091" w:rsidP="008A2179">
            <w:pPr>
              <w:pStyle w:val="InstructionsText"/>
              <w:rPr>
                <w:b/>
                <w:szCs w:val="20"/>
                <w:lang w:eastAsia="en-GB"/>
              </w:rPr>
            </w:pPr>
          </w:p>
        </w:tc>
      </w:tr>
      <w:tr w:rsidR="00652C73" w:rsidRPr="00E37FBE" w14:paraId="5D4BEF90" w14:textId="77777777" w:rsidTr="003F0706">
        <w:trPr>
          <w:trHeight w:val="765"/>
        </w:trPr>
        <w:tc>
          <w:tcPr>
            <w:tcW w:w="729" w:type="pct"/>
            <w:shd w:val="clear" w:color="auto" w:fill="auto"/>
            <w:noWrap/>
          </w:tcPr>
          <w:p w14:paraId="54B95D38" w14:textId="1EE66AD6" w:rsidR="00652C73" w:rsidRPr="00E37FBE" w:rsidRDefault="00652C73">
            <w:pPr>
              <w:spacing w:before="0" w:after="0"/>
              <w:jc w:val="left"/>
              <w:rPr>
                <w:rFonts w:ascii="Times New Roman" w:hAnsi="Times New Roman"/>
                <w:color w:val="000000"/>
                <w:szCs w:val="20"/>
              </w:rPr>
            </w:pPr>
            <w:r>
              <w:rPr>
                <w:rFonts w:ascii="Times New Roman" w:hAnsi="Times New Roman"/>
                <w:color w:val="000000"/>
              </w:rPr>
              <w:lastRenderedPageBreak/>
              <w:t>0016</w:t>
            </w:r>
          </w:p>
        </w:tc>
        <w:tc>
          <w:tcPr>
            <w:tcW w:w="4271" w:type="pct"/>
            <w:gridSpan w:val="2"/>
            <w:shd w:val="clear" w:color="auto" w:fill="auto"/>
          </w:tcPr>
          <w:p w14:paraId="23D103A1" w14:textId="5556A6CB" w:rsidR="00652C73" w:rsidRPr="00E37FBE" w:rsidRDefault="00652C73" w:rsidP="00652C73">
            <w:pPr>
              <w:pStyle w:val="InstructionsText"/>
              <w:rPr>
                <w:rStyle w:val="InstructionsTabelleberschrift"/>
                <w:rFonts w:ascii="Times New Roman" w:hAnsi="Times New Roman"/>
                <w:szCs w:val="20"/>
              </w:rPr>
            </w:pPr>
            <w:r>
              <w:rPr>
                <w:rStyle w:val="InstructionsTabelleberschrift"/>
                <w:rFonts w:ascii="Times New Roman" w:hAnsi="Times New Roman"/>
              </w:rPr>
              <w:t>Kód típusa</w:t>
            </w:r>
          </w:p>
          <w:p w14:paraId="24850EC8" w14:textId="77777777" w:rsidR="00652C73" w:rsidRPr="00E37FBE" w:rsidRDefault="00652C73" w:rsidP="00652C73">
            <w:pPr>
              <w:pStyle w:val="InstructionsText"/>
              <w:rPr>
                <w:rStyle w:val="InstructionsTabelleberschrift"/>
                <w:rFonts w:ascii="Times New Roman" w:hAnsi="Times New Roman"/>
                <w:szCs w:val="20"/>
              </w:rPr>
            </w:pPr>
          </w:p>
          <w:p w14:paraId="0DA412A4" w14:textId="7B7B1168" w:rsidR="00AF49BE" w:rsidRPr="00E37FBE" w:rsidRDefault="00652C73" w:rsidP="00AF49BE">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Az intézményeknek a 0015-ös oszlopban feltüntetett kódtípust „LEI-kód”-ként vagy „Nem-LEI-kód”-ként kell megadniuk.</w:t>
            </w:r>
          </w:p>
          <w:p w14:paraId="47AC406F" w14:textId="20E7AC43" w:rsidR="00652C73" w:rsidRPr="00E37FBE" w:rsidRDefault="00AF49BE" w:rsidP="00AF49BE">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A kód típusát mindig fel kell tüntetni.</w:t>
            </w:r>
          </w:p>
          <w:p w14:paraId="663A1531" w14:textId="52CE1945" w:rsidR="00652C73" w:rsidRPr="00E37FBE" w:rsidRDefault="00652C73" w:rsidP="00CC3091">
            <w:pPr>
              <w:pStyle w:val="InstructionsText"/>
              <w:rPr>
                <w:rStyle w:val="InstructionsTabelleberschrift"/>
                <w:rFonts w:ascii="Times New Roman" w:hAnsi="Times New Roman"/>
                <w:szCs w:val="20"/>
              </w:rPr>
            </w:pPr>
          </w:p>
        </w:tc>
      </w:tr>
      <w:tr w:rsidR="00652C73" w:rsidRPr="00E37FBE" w14:paraId="3A285D76" w14:textId="77777777" w:rsidTr="003F0706">
        <w:trPr>
          <w:trHeight w:val="765"/>
        </w:trPr>
        <w:tc>
          <w:tcPr>
            <w:tcW w:w="729" w:type="pct"/>
            <w:shd w:val="clear" w:color="auto" w:fill="auto"/>
            <w:noWrap/>
          </w:tcPr>
          <w:p w14:paraId="073F98AC" w14:textId="0D1B2370" w:rsidR="00652C73" w:rsidRPr="00E37FBE" w:rsidRDefault="00652C73">
            <w:pPr>
              <w:spacing w:before="0" w:after="0"/>
              <w:jc w:val="left"/>
              <w:rPr>
                <w:rFonts w:ascii="Times New Roman" w:hAnsi="Times New Roman"/>
                <w:color w:val="000000"/>
                <w:szCs w:val="20"/>
              </w:rPr>
            </w:pPr>
            <w:r>
              <w:rPr>
                <w:rFonts w:ascii="Times New Roman" w:hAnsi="Times New Roman"/>
                <w:color w:val="000000"/>
              </w:rPr>
              <w:t>0017</w:t>
            </w:r>
          </w:p>
        </w:tc>
        <w:tc>
          <w:tcPr>
            <w:tcW w:w="4271" w:type="pct"/>
            <w:gridSpan w:val="2"/>
            <w:shd w:val="clear" w:color="auto" w:fill="auto"/>
          </w:tcPr>
          <w:p w14:paraId="24714CD1" w14:textId="28F9B92F" w:rsidR="00652C73" w:rsidRPr="00E37FBE" w:rsidRDefault="00652C73" w:rsidP="00652C73">
            <w:pPr>
              <w:pStyle w:val="InstructionsText"/>
              <w:rPr>
                <w:rStyle w:val="InstructionsTabelleberschrift"/>
                <w:rFonts w:ascii="Times New Roman" w:hAnsi="Times New Roman"/>
                <w:szCs w:val="20"/>
              </w:rPr>
            </w:pPr>
            <w:r>
              <w:rPr>
                <w:rStyle w:val="InstructionsTabelleberschrift"/>
                <w:rFonts w:ascii="Times New Roman" w:hAnsi="Times New Roman"/>
              </w:rPr>
              <w:t>Nemzeti kód</w:t>
            </w:r>
          </w:p>
          <w:p w14:paraId="299CAD77" w14:textId="77777777" w:rsidR="00652C73" w:rsidRPr="00E37FBE" w:rsidRDefault="00652C73" w:rsidP="00652C73">
            <w:pPr>
              <w:pStyle w:val="InstructionsText"/>
              <w:rPr>
                <w:rStyle w:val="InstructionsTabelleberschrift"/>
                <w:rFonts w:ascii="Times New Roman" w:hAnsi="Times New Roman"/>
                <w:szCs w:val="20"/>
              </w:rPr>
            </w:pPr>
          </w:p>
          <w:p w14:paraId="3D894992" w14:textId="77777777" w:rsidR="00652C73" w:rsidRPr="00E37FBE" w:rsidRDefault="00652C73"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Az intézmények kiegészítésként akkor is megadhatják a nemzeti kódot, amikor a „Kód” oszlopban a LEI-kódot tüntetik fel azonosítóként.</w:t>
            </w:r>
          </w:p>
          <w:p w14:paraId="2DD0B123" w14:textId="59AC2EB9" w:rsidR="00652C73" w:rsidRPr="00E37FBE" w:rsidRDefault="00652C73" w:rsidP="00CC3091">
            <w:pPr>
              <w:pStyle w:val="InstructionsText"/>
              <w:rPr>
                <w:rStyle w:val="InstructionsTabelleberschrift"/>
                <w:rFonts w:ascii="Times New Roman" w:hAnsi="Times New Roman"/>
                <w:szCs w:val="20"/>
              </w:rPr>
            </w:pPr>
          </w:p>
        </w:tc>
      </w:tr>
      <w:tr w:rsidR="00A344AA" w:rsidRPr="00E37FBE" w14:paraId="51607CEC" w14:textId="77777777" w:rsidTr="003D0976">
        <w:trPr>
          <w:trHeight w:val="510"/>
        </w:trPr>
        <w:tc>
          <w:tcPr>
            <w:tcW w:w="729" w:type="pct"/>
            <w:tcBorders>
              <w:bottom w:val="single" w:sz="4" w:space="0" w:color="auto"/>
            </w:tcBorders>
            <w:shd w:val="clear" w:color="auto" w:fill="auto"/>
            <w:noWrap/>
          </w:tcPr>
          <w:p w14:paraId="19A860BE" w14:textId="4EB79D38"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t>0030</w:t>
            </w:r>
          </w:p>
        </w:tc>
        <w:tc>
          <w:tcPr>
            <w:tcW w:w="4271" w:type="pct"/>
            <w:gridSpan w:val="2"/>
            <w:tcBorders>
              <w:bottom w:val="single" w:sz="4" w:space="0" w:color="auto"/>
            </w:tcBorders>
            <w:shd w:val="clear" w:color="auto" w:fill="auto"/>
          </w:tcPr>
          <w:p w14:paraId="6B942154" w14:textId="77777777"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Partner szektora</w:t>
            </w:r>
          </w:p>
          <w:p w14:paraId="2CCF7839" w14:textId="77777777" w:rsidR="00A344AA" w:rsidRPr="00E37FBE" w:rsidRDefault="00A344AA" w:rsidP="003A2647">
            <w:pPr>
              <w:spacing w:before="0" w:after="0"/>
              <w:rPr>
                <w:rFonts w:ascii="Times New Roman" w:hAnsi="Times New Roman"/>
                <w:b/>
                <w:szCs w:val="20"/>
                <w:u w:val="single"/>
                <w:lang w:eastAsia="en-GB"/>
              </w:rPr>
            </w:pPr>
          </w:p>
          <w:p w14:paraId="2E43DAFB" w14:textId="2CD514E0" w:rsidR="00A344AA" w:rsidRPr="00E37FBE" w:rsidRDefault="00A344AA"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Minden egyes partnerhez szektort kell rendelni a FINREP következő gazdasági ágazati osztályai alapján (e végrehajtási rendelet V. mellékletének 1. része):</w:t>
            </w:r>
          </w:p>
          <w:p w14:paraId="7C349277" w14:textId="77777777" w:rsidR="00A344AA" w:rsidRPr="00E37FBE" w:rsidRDefault="00A344AA" w:rsidP="00CC3091">
            <w:pPr>
              <w:pStyle w:val="InstructionsText"/>
              <w:rPr>
                <w:rStyle w:val="FormatvorlageInstructionsTabelleText"/>
                <w:rFonts w:ascii="Times New Roman" w:hAnsi="Times New Roman"/>
                <w:szCs w:val="20"/>
              </w:rPr>
            </w:pPr>
          </w:p>
          <w:p w14:paraId="07E3E3C8" w14:textId="068EC55B" w:rsidR="00A344AA" w:rsidRPr="00E37FBE" w:rsidRDefault="00A344AA"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 xml:space="preserve">i. központi bankok; ii. államháztartások; iii. hitelintézetek; iv. egyéb pénzügyi vállalatok; v. nem pénzügyi vállalatok; vi. háztartások. </w:t>
            </w:r>
          </w:p>
          <w:p w14:paraId="4CA62F92" w14:textId="77777777" w:rsidR="00A344AA" w:rsidRPr="00E37FBE" w:rsidRDefault="00A344AA" w:rsidP="00CC3091">
            <w:pPr>
              <w:pStyle w:val="InstructionsText"/>
              <w:rPr>
                <w:rStyle w:val="FormatvorlageInstructionsTabelleText"/>
                <w:rFonts w:ascii="Times New Roman" w:hAnsi="Times New Roman"/>
                <w:szCs w:val="20"/>
                <w:lang w:eastAsia="en-US"/>
              </w:rPr>
            </w:pPr>
          </w:p>
          <w:p w14:paraId="1E7BCB8F" w14:textId="77777777" w:rsidR="00A344AA" w:rsidRPr="00E37FBE" w:rsidRDefault="00A344AA"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Egymással kapcsolatban álló ügyfelek csoportja esetében nem kell ágazatot feltüntetni.</w:t>
            </w:r>
          </w:p>
          <w:p w14:paraId="0E3CE66C" w14:textId="77777777" w:rsidR="00A344AA" w:rsidRPr="00E37FBE" w:rsidRDefault="00A344AA" w:rsidP="00927DCB">
            <w:pPr>
              <w:pStyle w:val="InstructionsText2"/>
              <w:numPr>
                <w:ilvl w:val="0"/>
                <w:numId w:val="0"/>
              </w:numPr>
              <w:spacing w:after="0"/>
              <w:ind w:left="714"/>
            </w:pPr>
          </w:p>
        </w:tc>
      </w:tr>
      <w:tr w:rsidR="00A344AA" w:rsidRPr="00E37FBE" w14:paraId="159CB0CE" w14:textId="77777777" w:rsidTr="003D0976">
        <w:trPr>
          <w:trHeight w:val="510"/>
        </w:trPr>
        <w:tc>
          <w:tcPr>
            <w:tcW w:w="729" w:type="pct"/>
            <w:tcBorders>
              <w:bottom w:val="nil"/>
            </w:tcBorders>
            <w:shd w:val="clear" w:color="auto" w:fill="auto"/>
            <w:noWrap/>
          </w:tcPr>
          <w:p w14:paraId="7DA552B5" w14:textId="50E8979D"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t>0040</w:t>
            </w:r>
          </w:p>
        </w:tc>
        <w:tc>
          <w:tcPr>
            <w:tcW w:w="4271" w:type="pct"/>
            <w:gridSpan w:val="2"/>
            <w:tcBorders>
              <w:bottom w:val="nil"/>
            </w:tcBorders>
            <w:shd w:val="clear" w:color="auto" w:fill="auto"/>
          </w:tcPr>
          <w:p w14:paraId="4A62D5F3" w14:textId="77777777"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 xml:space="preserve">Partner székhelye </w:t>
            </w:r>
          </w:p>
          <w:p w14:paraId="4CB6B035" w14:textId="77777777" w:rsidR="00A344AA" w:rsidRPr="00E37FBE" w:rsidRDefault="00A344AA" w:rsidP="00CC3091">
            <w:pPr>
              <w:pStyle w:val="InstructionsText"/>
              <w:rPr>
                <w:rStyle w:val="FormatvorlageInstructionsTabelleText"/>
                <w:rFonts w:ascii="Times New Roman" w:hAnsi="Times New Roman"/>
                <w:b/>
                <w:szCs w:val="20"/>
              </w:rPr>
            </w:pPr>
          </w:p>
          <w:p w14:paraId="1792AE6F" w14:textId="2E35E73C" w:rsidR="00A344AA" w:rsidRPr="00E37FBE" w:rsidRDefault="00A344AA"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A partner bejegyzése szerinti ország ISO 3166-1 alpha-2 kódját kell használni, ideértve a nemzetközi szervezetek esetében</w:t>
            </w:r>
            <w:r>
              <w:t xml:space="preserve"> </w:t>
            </w:r>
            <w:r>
              <w:rPr>
                <w:u w:val="none"/>
              </w:rPr>
              <w:t xml:space="preserve">az Eurostat fizetésimérleg-kézikönyvének legújabb kiadásában található </w:t>
            </w:r>
            <w:proofErr w:type="spellStart"/>
            <w:r>
              <w:rPr>
                <w:u w:val="none"/>
              </w:rPr>
              <w:t>pszeudo</w:t>
            </w:r>
            <w:proofErr w:type="spellEnd"/>
            <w:r>
              <w:rPr>
                <w:u w:val="none"/>
              </w:rPr>
              <w:t>-ISO kódokat.</w:t>
            </w:r>
            <w:r>
              <w:rPr>
                <w:rStyle w:val="FormatvorlageInstructionsTabelleText"/>
                <w:rFonts w:ascii="Times New Roman" w:hAnsi="Times New Roman"/>
              </w:rPr>
              <w:t xml:space="preserve"> </w:t>
            </w:r>
          </w:p>
          <w:p w14:paraId="713A8F3E" w14:textId="77777777" w:rsidR="00A344AA" w:rsidRPr="00E37FBE" w:rsidRDefault="00A344AA" w:rsidP="00CC3091">
            <w:pPr>
              <w:pStyle w:val="InstructionsText"/>
              <w:rPr>
                <w:rStyle w:val="FormatvorlageInstructionsTabelleText"/>
                <w:rFonts w:ascii="Times New Roman" w:hAnsi="Times New Roman"/>
                <w:szCs w:val="20"/>
              </w:rPr>
            </w:pPr>
          </w:p>
          <w:p w14:paraId="6E964331" w14:textId="180A6696" w:rsidR="00A344AA" w:rsidRPr="00E37FBE" w:rsidRDefault="00A344AA" w:rsidP="003A2647">
            <w:pPr>
              <w:spacing w:before="0" w:after="0"/>
              <w:rPr>
                <w:rFonts w:ascii="Times New Roman" w:hAnsi="Times New Roman"/>
                <w:b/>
                <w:szCs w:val="20"/>
                <w:u w:val="single"/>
              </w:rPr>
            </w:pPr>
            <w:r>
              <w:rPr>
                <w:rStyle w:val="FormatvorlageInstructionsTabelleText"/>
                <w:rFonts w:ascii="Times New Roman" w:hAnsi="Times New Roman"/>
              </w:rPr>
              <w:t>Kapcsolatban álló ügyfelek csoportjai esetében nem kell országot megadni.</w:t>
            </w:r>
          </w:p>
        </w:tc>
      </w:tr>
      <w:tr w:rsidR="00A344AA" w:rsidRPr="00E37FBE" w14:paraId="6AA91692" w14:textId="77777777" w:rsidTr="005B086D">
        <w:trPr>
          <w:trHeight w:val="242"/>
        </w:trPr>
        <w:tc>
          <w:tcPr>
            <w:tcW w:w="729" w:type="pct"/>
            <w:tcBorders>
              <w:top w:val="nil"/>
              <w:bottom w:val="single" w:sz="4" w:space="0" w:color="auto"/>
            </w:tcBorders>
            <w:shd w:val="clear" w:color="auto" w:fill="auto"/>
            <w:noWrap/>
          </w:tcPr>
          <w:p w14:paraId="37378802" w14:textId="77777777" w:rsidR="00A344AA" w:rsidRPr="00E37FBE" w:rsidRDefault="00A344AA" w:rsidP="000B288B">
            <w:pPr>
              <w:spacing w:before="0" w:after="0"/>
              <w:jc w:val="left"/>
              <w:rPr>
                <w:rFonts w:ascii="Times New Roman" w:hAnsi="Times New Roman"/>
                <w:color w:val="000000"/>
                <w:szCs w:val="20"/>
                <w:lang w:eastAsia="en-GB"/>
              </w:rPr>
            </w:pPr>
          </w:p>
        </w:tc>
        <w:tc>
          <w:tcPr>
            <w:tcW w:w="2136" w:type="pct"/>
            <w:tcBorders>
              <w:top w:val="nil"/>
              <w:bottom w:val="single" w:sz="4" w:space="0" w:color="auto"/>
              <w:right w:val="nil"/>
            </w:tcBorders>
            <w:shd w:val="clear" w:color="auto" w:fill="auto"/>
          </w:tcPr>
          <w:p w14:paraId="68697EE7" w14:textId="77777777" w:rsidR="00A344AA" w:rsidRPr="00E37FBE" w:rsidRDefault="00A344AA" w:rsidP="003A2647">
            <w:pPr>
              <w:spacing w:before="0" w:after="0"/>
              <w:rPr>
                <w:rFonts w:ascii="Times New Roman" w:hAnsi="Times New Roman"/>
                <w:b/>
                <w:szCs w:val="20"/>
                <w:u w:val="single"/>
                <w:lang w:eastAsia="en-GB"/>
              </w:rPr>
            </w:pPr>
          </w:p>
        </w:tc>
        <w:tc>
          <w:tcPr>
            <w:tcW w:w="2135" w:type="pct"/>
            <w:tcBorders>
              <w:top w:val="nil"/>
              <w:left w:val="nil"/>
              <w:bottom w:val="single" w:sz="4" w:space="0" w:color="auto"/>
            </w:tcBorders>
            <w:shd w:val="clear" w:color="auto" w:fill="auto"/>
          </w:tcPr>
          <w:p w14:paraId="32365D61" w14:textId="77777777" w:rsidR="00A344AA" w:rsidRPr="00E37FBE" w:rsidRDefault="00A344AA" w:rsidP="003A2647">
            <w:pPr>
              <w:spacing w:before="0" w:after="0"/>
              <w:rPr>
                <w:rFonts w:ascii="Times New Roman" w:hAnsi="Times New Roman"/>
                <w:b/>
                <w:szCs w:val="20"/>
                <w:u w:val="single"/>
                <w:lang w:eastAsia="en-GB"/>
              </w:rPr>
            </w:pPr>
          </w:p>
        </w:tc>
      </w:tr>
      <w:tr w:rsidR="00A344AA" w:rsidRPr="00E37FBE" w14:paraId="693D372B" w14:textId="77777777" w:rsidTr="003D0976">
        <w:trPr>
          <w:trHeight w:val="765"/>
        </w:trPr>
        <w:tc>
          <w:tcPr>
            <w:tcW w:w="729" w:type="pct"/>
            <w:tcBorders>
              <w:top w:val="single" w:sz="4" w:space="0" w:color="auto"/>
              <w:bottom w:val="single" w:sz="4" w:space="0" w:color="auto"/>
            </w:tcBorders>
            <w:shd w:val="clear" w:color="auto" w:fill="auto"/>
            <w:noWrap/>
          </w:tcPr>
          <w:p w14:paraId="73D3D20D" w14:textId="5BE76D8B"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t>0050</w:t>
            </w:r>
          </w:p>
        </w:tc>
        <w:tc>
          <w:tcPr>
            <w:tcW w:w="4271" w:type="pct"/>
            <w:gridSpan w:val="2"/>
            <w:tcBorders>
              <w:top w:val="single" w:sz="4" w:space="0" w:color="auto"/>
              <w:bottom w:val="single" w:sz="4" w:space="0" w:color="auto"/>
            </w:tcBorders>
            <w:shd w:val="clear" w:color="auto" w:fill="auto"/>
          </w:tcPr>
          <w:p w14:paraId="202E35F5" w14:textId="77777777"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Terméktípus</w:t>
            </w:r>
          </w:p>
          <w:p w14:paraId="27D8CDCC" w14:textId="77777777" w:rsidR="00A344AA" w:rsidRPr="00E37FBE" w:rsidRDefault="00A344AA" w:rsidP="003A2647">
            <w:pPr>
              <w:spacing w:before="0" w:after="0"/>
              <w:rPr>
                <w:rFonts w:ascii="Times New Roman" w:hAnsi="Times New Roman"/>
                <w:b/>
                <w:szCs w:val="20"/>
                <w:u w:val="single"/>
                <w:lang w:eastAsia="en-GB"/>
              </w:rPr>
            </w:pPr>
          </w:p>
          <w:p w14:paraId="435BE420" w14:textId="48F7C1CB" w:rsidR="00A344AA" w:rsidRPr="00E37FBE" w:rsidRDefault="00A344AA" w:rsidP="00763448">
            <w:pPr>
              <w:spacing w:before="0" w:after="0"/>
              <w:rPr>
                <w:rFonts w:ascii="Times New Roman" w:hAnsi="Times New Roman"/>
                <w:szCs w:val="20"/>
              </w:rPr>
            </w:pPr>
            <w:r>
              <w:rPr>
                <w:rFonts w:ascii="Times New Roman" w:hAnsi="Times New Roman"/>
              </w:rPr>
              <w:t xml:space="preserve">A 0010-es oszlopban feltüntetett partnerekhez az alábbi félkövérrel kiemelt kódok alkalmazásával hozzá kell rendelni egy terméktípust annak a kibocsátott terméknek megfelelően, amelyben az </w:t>
            </w:r>
            <w:proofErr w:type="gramStart"/>
            <w:r>
              <w:rPr>
                <w:rFonts w:ascii="Times New Roman" w:hAnsi="Times New Roman"/>
              </w:rPr>
              <w:t>intézmény forráshoz</w:t>
            </w:r>
            <w:proofErr w:type="gramEnd"/>
            <w:r>
              <w:rPr>
                <w:rFonts w:ascii="Times New Roman" w:hAnsi="Times New Roman"/>
              </w:rPr>
              <w:t xml:space="preserve"> jutott (vegyes terméktípusok esetén azt a terméktípust, amelyben a forrás legnagyobb részéhez jutott):</w:t>
            </w:r>
          </w:p>
          <w:p w14:paraId="374B715F" w14:textId="77777777" w:rsidR="00A344AA" w:rsidRPr="00E37FBE" w:rsidRDefault="00A344AA" w:rsidP="003A2647">
            <w:pPr>
              <w:spacing w:before="0" w:after="0"/>
              <w:ind w:left="108"/>
              <w:rPr>
                <w:rFonts w:ascii="Times New Roman" w:hAnsi="Times New Roman"/>
                <w:color w:val="000000"/>
                <w:szCs w:val="20"/>
                <w:lang w:eastAsia="en-GB"/>
              </w:rPr>
            </w:pPr>
          </w:p>
          <w:p w14:paraId="644929DE" w14:textId="77777777" w:rsidR="00A344AA" w:rsidRPr="00E37FBE" w:rsidRDefault="00A344AA" w:rsidP="003A2647">
            <w:pPr>
              <w:spacing w:before="0" w:after="0"/>
              <w:ind w:left="108"/>
              <w:rPr>
                <w:rFonts w:ascii="Times New Roman" w:hAnsi="Times New Roman"/>
                <w:color w:val="000000"/>
                <w:szCs w:val="20"/>
              </w:rPr>
            </w:pPr>
            <w:r>
              <w:rPr>
                <w:rFonts w:ascii="Times New Roman" w:hAnsi="Times New Roman"/>
                <w:b/>
                <w:color w:val="000000"/>
              </w:rPr>
              <w:t>UWF</w:t>
            </w:r>
            <w:r>
              <w:rPr>
                <w:rFonts w:ascii="Times New Roman" w:hAnsi="Times New Roman"/>
                <w:color w:val="000000"/>
              </w:rPr>
              <w:t xml:space="preserve"> (pénzügyi ügyféltől származó, fedezetlen nem lakossági </w:t>
            </w:r>
            <w:proofErr w:type="gramStart"/>
            <w:r>
              <w:rPr>
                <w:rFonts w:ascii="Times New Roman" w:hAnsi="Times New Roman"/>
                <w:color w:val="000000"/>
              </w:rPr>
              <w:t>finanszírozás</w:t>
            </w:r>
            <w:proofErr w:type="gramEnd"/>
            <w:r>
              <w:rPr>
                <w:rFonts w:ascii="Times New Roman" w:hAnsi="Times New Roman"/>
                <w:color w:val="000000"/>
              </w:rPr>
              <w:t>, többek között bankközi pénz)</w:t>
            </w:r>
          </w:p>
          <w:p w14:paraId="65D81A1D" w14:textId="77777777" w:rsidR="00A344AA" w:rsidRPr="00E37FBE" w:rsidRDefault="00A344AA" w:rsidP="003A2647">
            <w:pPr>
              <w:spacing w:before="0" w:after="0"/>
              <w:ind w:left="108"/>
              <w:rPr>
                <w:rFonts w:ascii="Times New Roman" w:hAnsi="Times New Roman"/>
                <w:color w:val="000000"/>
                <w:szCs w:val="20"/>
                <w:lang w:eastAsia="en-GB"/>
              </w:rPr>
            </w:pPr>
          </w:p>
          <w:p w14:paraId="2E6EBD07" w14:textId="77777777" w:rsidR="00A344AA" w:rsidRPr="00E37FBE" w:rsidRDefault="00A344AA" w:rsidP="003A2647">
            <w:pPr>
              <w:spacing w:before="0" w:after="0"/>
              <w:ind w:left="108"/>
              <w:rPr>
                <w:rFonts w:ascii="Times New Roman" w:hAnsi="Times New Roman"/>
                <w:color w:val="000000"/>
                <w:szCs w:val="20"/>
              </w:rPr>
            </w:pPr>
            <w:r>
              <w:rPr>
                <w:rFonts w:ascii="Times New Roman" w:hAnsi="Times New Roman"/>
                <w:b/>
                <w:color w:val="000000"/>
              </w:rPr>
              <w:t>UWNF</w:t>
            </w:r>
            <w:r>
              <w:rPr>
                <w:rFonts w:ascii="Times New Roman" w:hAnsi="Times New Roman"/>
                <w:color w:val="000000"/>
              </w:rPr>
              <w:t xml:space="preserve"> (nem pénzügyi ügyféltől származó, fedezetlen nem lakossági </w:t>
            </w:r>
            <w:proofErr w:type="gramStart"/>
            <w:r>
              <w:rPr>
                <w:rFonts w:ascii="Times New Roman" w:hAnsi="Times New Roman"/>
                <w:color w:val="000000"/>
              </w:rPr>
              <w:t>finanszírozás</w:t>
            </w:r>
            <w:proofErr w:type="gramEnd"/>
            <w:r>
              <w:rPr>
                <w:rFonts w:ascii="Times New Roman" w:hAnsi="Times New Roman"/>
                <w:color w:val="000000"/>
              </w:rPr>
              <w:t>)</w:t>
            </w:r>
          </w:p>
          <w:p w14:paraId="69567DFF" w14:textId="77777777" w:rsidR="00A344AA" w:rsidRPr="00E37FBE" w:rsidRDefault="00A344AA" w:rsidP="003A2647">
            <w:pPr>
              <w:spacing w:before="0" w:after="0"/>
              <w:ind w:left="108"/>
              <w:rPr>
                <w:rFonts w:ascii="Times New Roman" w:hAnsi="Times New Roman"/>
                <w:color w:val="000000"/>
                <w:szCs w:val="20"/>
                <w:lang w:eastAsia="en-GB"/>
              </w:rPr>
            </w:pPr>
          </w:p>
          <w:p w14:paraId="362C9247" w14:textId="62825CD2" w:rsidR="00A344AA" w:rsidRPr="00E37FBE" w:rsidRDefault="00792E65" w:rsidP="003A2647">
            <w:pPr>
              <w:spacing w:before="0" w:after="0"/>
              <w:ind w:left="108"/>
              <w:rPr>
                <w:rFonts w:ascii="Times New Roman" w:hAnsi="Times New Roman"/>
                <w:color w:val="000000"/>
                <w:szCs w:val="20"/>
              </w:rPr>
            </w:pPr>
            <w:r>
              <w:rPr>
                <w:rFonts w:ascii="Times New Roman" w:hAnsi="Times New Roman"/>
                <w:b/>
                <w:color w:val="000000"/>
              </w:rPr>
              <w:t>SFT</w:t>
            </w:r>
            <w:r>
              <w:rPr>
                <w:rFonts w:ascii="Times New Roman" w:hAnsi="Times New Roman"/>
                <w:color w:val="000000"/>
              </w:rPr>
              <w:t xml:space="preserve"> (az 575/2013/EU rendelet 4. cikke (1) bekezdésének 82. pontjában meghatározott </w:t>
            </w:r>
            <w:proofErr w:type="spellStart"/>
            <w:r>
              <w:rPr>
                <w:rFonts w:ascii="Times New Roman" w:hAnsi="Times New Roman"/>
                <w:color w:val="000000"/>
              </w:rPr>
              <w:t>repomegállapodásból</w:t>
            </w:r>
            <w:proofErr w:type="spellEnd"/>
            <w:r>
              <w:rPr>
                <w:rFonts w:ascii="Times New Roman" w:hAnsi="Times New Roman"/>
                <w:color w:val="000000"/>
              </w:rPr>
              <w:t xml:space="preserve"> származó forrás)</w:t>
            </w:r>
          </w:p>
          <w:p w14:paraId="66F4842F" w14:textId="77777777" w:rsidR="00A344AA" w:rsidRPr="00E37FBE" w:rsidRDefault="00A344AA" w:rsidP="003A2647">
            <w:pPr>
              <w:spacing w:before="0" w:after="0"/>
              <w:ind w:left="108"/>
              <w:rPr>
                <w:rFonts w:ascii="Times New Roman" w:hAnsi="Times New Roman"/>
                <w:color w:val="000000"/>
                <w:szCs w:val="20"/>
                <w:lang w:eastAsia="en-GB"/>
              </w:rPr>
            </w:pPr>
          </w:p>
          <w:p w14:paraId="4D7FE979" w14:textId="33AD0392" w:rsidR="00A344AA" w:rsidRPr="00E37FBE" w:rsidRDefault="00A344AA" w:rsidP="003A2647">
            <w:pPr>
              <w:spacing w:before="0" w:after="0"/>
              <w:ind w:left="108"/>
              <w:rPr>
                <w:rFonts w:ascii="Times New Roman" w:hAnsi="Times New Roman"/>
                <w:color w:val="000000"/>
                <w:szCs w:val="20"/>
              </w:rPr>
            </w:pPr>
            <w:r>
              <w:rPr>
                <w:rFonts w:ascii="Times New Roman" w:hAnsi="Times New Roman"/>
                <w:b/>
                <w:color w:val="000000"/>
              </w:rPr>
              <w:t>CB</w:t>
            </w:r>
            <w:r>
              <w:rPr>
                <w:rFonts w:ascii="Times New Roman" w:hAnsi="Times New Roman"/>
                <w:color w:val="000000"/>
              </w:rPr>
              <w:t xml:space="preserve"> (az 575/2013/EU rendelet 129. cikkének (4) vagy (5) bekezdésében vagy a 2009/65/EK irányelv 52. cikkének (4) bekezdésében meghatározott fedezettkötvény-kibocsátásból származó forrás)</w:t>
            </w:r>
          </w:p>
          <w:p w14:paraId="3F2C9E19" w14:textId="77777777" w:rsidR="00A344AA" w:rsidRPr="00E37FBE" w:rsidRDefault="00A344AA" w:rsidP="003A2647">
            <w:pPr>
              <w:spacing w:before="0" w:after="0"/>
              <w:ind w:left="108"/>
              <w:rPr>
                <w:rFonts w:ascii="Times New Roman" w:hAnsi="Times New Roman"/>
                <w:color w:val="000000"/>
                <w:szCs w:val="20"/>
                <w:lang w:eastAsia="en-GB"/>
              </w:rPr>
            </w:pPr>
          </w:p>
          <w:p w14:paraId="2DBA0870" w14:textId="3C775A9F" w:rsidR="00A344AA" w:rsidRPr="00E37FBE" w:rsidRDefault="00A344AA" w:rsidP="003A2647">
            <w:pPr>
              <w:spacing w:before="0" w:after="0"/>
              <w:ind w:left="108"/>
              <w:rPr>
                <w:rFonts w:ascii="Times New Roman" w:hAnsi="Times New Roman"/>
                <w:color w:val="000000"/>
                <w:szCs w:val="20"/>
              </w:rPr>
            </w:pPr>
            <w:r>
              <w:rPr>
                <w:rFonts w:ascii="Times New Roman" w:hAnsi="Times New Roman"/>
                <w:b/>
                <w:color w:val="000000"/>
              </w:rPr>
              <w:t>ABS</w:t>
            </w:r>
            <w:r>
              <w:rPr>
                <w:rFonts w:ascii="Times New Roman" w:hAnsi="Times New Roman"/>
                <w:color w:val="000000"/>
              </w:rPr>
              <w:t xml:space="preserve"> (eszközfedezetű értékpapír, ezen belül eszközfedezetű kereskedelmi értékpapír kibocsátásából származó forrás)</w:t>
            </w:r>
          </w:p>
          <w:p w14:paraId="49DC5CAE" w14:textId="46B6D398" w:rsidR="00E272B2" w:rsidRPr="00E37FBE" w:rsidRDefault="00E272B2" w:rsidP="003A2647">
            <w:pPr>
              <w:spacing w:before="0" w:after="0"/>
              <w:ind w:left="108"/>
              <w:rPr>
                <w:rFonts w:ascii="Times New Roman" w:hAnsi="Times New Roman"/>
                <w:color w:val="000000"/>
                <w:szCs w:val="20"/>
                <w:lang w:eastAsia="en-GB"/>
              </w:rPr>
            </w:pPr>
          </w:p>
          <w:p w14:paraId="6EE0437C" w14:textId="5F02752C" w:rsidR="00E272B2" w:rsidRPr="00E37FBE" w:rsidRDefault="00E272B2" w:rsidP="003A2647">
            <w:pPr>
              <w:spacing w:before="0" w:after="0"/>
              <w:ind w:left="108"/>
              <w:rPr>
                <w:rFonts w:ascii="Times New Roman" w:hAnsi="Times New Roman"/>
                <w:color w:val="000000"/>
                <w:szCs w:val="20"/>
              </w:rPr>
            </w:pPr>
            <w:r>
              <w:rPr>
                <w:rFonts w:ascii="Times New Roman" w:hAnsi="Times New Roman"/>
                <w:b/>
                <w:color w:val="000000"/>
              </w:rPr>
              <w:t>CBM</w:t>
            </w:r>
            <w:r>
              <w:rPr>
                <w:rFonts w:ascii="Times New Roman" w:hAnsi="Times New Roman"/>
                <w:color w:val="000000"/>
              </w:rPr>
              <w:t xml:space="preserve"> (</w:t>
            </w:r>
            <w:proofErr w:type="gramStart"/>
            <w:r>
              <w:rPr>
                <w:rFonts w:ascii="Times New Roman" w:hAnsi="Times New Roman"/>
                <w:color w:val="000000"/>
              </w:rPr>
              <w:t>monetáris</w:t>
            </w:r>
            <w:proofErr w:type="gramEnd"/>
            <w:r>
              <w:rPr>
                <w:rFonts w:ascii="Times New Roman" w:hAnsi="Times New Roman"/>
                <w:color w:val="000000"/>
              </w:rPr>
              <w:t xml:space="preserve"> politikai műveletekhez kapcsolódó központi banki finanszírozás)</w:t>
            </w:r>
          </w:p>
          <w:p w14:paraId="54E284FB" w14:textId="77777777" w:rsidR="00A344AA" w:rsidRPr="00E37FBE" w:rsidRDefault="00A344AA" w:rsidP="003A2647">
            <w:pPr>
              <w:spacing w:before="0" w:after="0"/>
              <w:ind w:left="108"/>
              <w:rPr>
                <w:rFonts w:ascii="Times New Roman" w:hAnsi="Times New Roman"/>
                <w:color w:val="000000"/>
                <w:szCs w:val="20"/>
                <w:lang w:eastAsia="en-GB"/>
              </w:rPr>
            </w:pPr>
          </w:p>
          <w:p w14:paraId="195FF68E" w14:textId="3A3310CC" w:rsidR="00F7385A" w:rsidRPr="00E37FBE" w:rsidRDefault="00F7385A" w:rsidP="003A2647">
            <w:pPr>
              <w:spacing w:before="0" w:after="0"/>
              <w:ind w:left="108"/>
              <w:rPr>
                <w:rFonts w:ascii="Times New Roman" w:hAnsi="Times New Roman"/>
                <w:b/>
                <w:color w:val="000000"/>
                <w:szCs w:val="20"/>
              </w:rPr>
            </w:pPr>
            <w:r>
              <w:rPr>
                <w:rFonts w:ascii="Times New Roman" w:hAnsi="Times New Roman"/>
                <w:b/>
                <w:color w:val="000000"/>
              </w:rPr>
              <w:t>IGUWF</w:t>
            </w:r>
            <w:r>
              <w:rPr>
                <w:rFonts w:ascii="Times New Roman" w:hAnsi="Times New Roman"/>
                <w:color w:val="000000"/>
              </w:rPr>
              <w:t xml:space="preserve"> (csoporton belüli partnerektől származó fedezetlen nem lakossági </w:t>
            </w:r>
            <w:proofErr w:type="gramStart"/>
            <w:r>
              <w:rPr>
                <w:rFonts w:ascii="Times New Roman" w:hAnsi="Times New Roman"/>
                <w:color w:val="000000"/>
              </w:rPr>
              <w:t>finanszírozás</w:t>
            </w:r>
            <w:proofErr w:type="gramEnd"/>
            <w:r>
              <w:rPr>
                <w:rFonts w:ascii="Times New Roman" w:hAnsi="Times New Roman"/>
                <w:color w:val="000000"/>
              </w:rPr>
              <w:t>)</w:t>
            </w:r>
          </w:p>
          <w:p w14:paraId="5C6BB4C4" w14:textId="4AEDC99B" w:rsidR="00F7385A" w:rsidRPr="00E37FBE" w:rsidRDefault="00F7385A" w:rsidP="003A2647">
            <w:pPr>
              <w:spacing w:before="0" w:after="0"/>
              <w:ind w:left="108"/>
              <w:rPr>
                <w:rFonts w:ascii="Times New Roman" w:hAnsi="Times New Roman"/>
                <w:b/>
                <w:color w:val="000000"/>
                <w:szCs w:val="20"/>
                <w:lang w:eastAsia="en-GB"/>
              </w:rPr>
            </w:pPr>
          </w:p>
          <w:p w14:paraId="1F5C23B7" w14:textId="1E252C58" w:rsidR="00F7385A" w:rsidRPr="00E37FBE" w:rsidRDefault="00F7385A" w:rsidP="003A2647">
            <w:pPr>
              <w:spacing w:before="0" w:after="0"/>
              <w:ind w:left="108"/>
              <w:rPr>
                <w:rFonts w:ascii="Times New Roman" w:hAnsi="Times New Roman"/>
                <w:b/>
                <w:color w:val="000000"/>
                <w:szCs w:val="20"/>
              </w:rPr>
            </w:pPr>
            <w:r>
              <w:rPr>
                <w:rFonts w:ascii="Times New Roman" w:hAnsi="Times New Roman"/>
                <w:b/>
                <w:color w:val="000000"/>
              </w:rPr>
              <w:t>IGSWF</w:t>
            </w:r>
            <w:r>
              <w:rPr>
                <w:rFonts w:ascii="Times New Roman" w:hAnsi="Times New Roman"/>
                <w:color w:val="000000"/>
              </w:rPr>
              <w:t xml:space="preserve"> (csoporton belüli partnerektől származó fedezett nem lakossági </w:t>
            </w:r>
            <w:proofErr w:type="gramStart"/>
            <w:r>
              <w:rPr>
                <w:rFonts w:ascii="Times New Roman" w:hAnsi="Times New Roman"/>
                <w:color w:val="000000"/>
              </w:rPr>
              <w:t>finanszírozás</w:t>
            </w:r>
            <w:proofErr w:type="gramEnd"/>
            <w:r>
              <w:rPr>
                <w:rFonts w:ascii="Times New Roman" w:hAnsi="Times New Roman"/>
                <w:color w:val="000000"/>
              </w:rPr>
              <w:t>)</w:t>
            </w:r>
          </w:p>
          <w:p w14:paraId="5F469B51" w14:textId="77777777" w:rsidR="00F7385A" w:rsidRPr="00E37FBE" w:rsidRDefault="00F7385A" w:rsidP="003A2647">
            <w:pPr>
              <w:spacing w:before="0" w:after="0"/>
              <w:ind w:left="108"/>
              <w:rPr>
                <w:rFonts w:ascii="Times New Roman" w:hAnsi="Times New Roman"/>
                <w:b/>
                <w:color w:val="000000"/>
                <w:szCs w:val="20"/>
                <w:lang w:eastAsia="en-GB"/>
              </w:rPr>
            </w:pPr>
          </w:p>
          <w:p w14:paraId="59575FF6" w14:textId="77777777" w:rsidR="00A344AA" w:rsidRPr="00E37FBE" w:rsidRDefault="00A344AA" w:rsidP="003A2647">
            <w:pPr>
              <w:spacing w:before="0" w:after="0"/>
              <w:ind w:left="108"/>
              <w:rPr>
                <w:rFonts w:ascii="Times New Roman" w:hAnsi="Times New Roman"/>
                <w:color w:val="000000"/>
                <w:szCs w:val="20"/>
                <w:lang w:eastAsia="en-GB"/>
              </w:rPr>
            </w:pPr>
          </w:p>
          <w:p w14:paraId="0809393C" w14:textId="77777777" w:rsidR="00A344AA" w:rsidRPr="00E37FBE" w:rsidRDefault="00A344AA" w:rsidP="003A2647">
            <w:pPr>
              <w:spacing w:before="0" w:after="0"/>
              <w:ind w:left="108"/>
              <w:rPr>
                <w:rFonts w:ascii="Times New Roman" w:hAnsi="Times New Roman"/>
                <w:color w:val="000000"/>
                <w:szCs w:val="20"/>
              </w:rPr>
            </w:pPr>
            <w:r>
              <w:rPr>
                <w:rFonts w:ascii="Times New Roman" w:hAnsi="Times New Roman"/>
                <w:b/>
                <w:color w:val="000000"/>
              </w:rPr>
              <w:t>OSWF</w:t>
            </w:r>
            <w:r>
              <w:rPr>
                <w:rFonts w:ascii="Times New Roman" w:hAnsi="Times New Roman"/>
                <w:color w:val="000000"/>
              </w:rPr>
              <w:t xml:space="preserve"> (egyéb fedezett nem lakossági </w:t>
            </w:r>
            <w:proofErr w:type="gramStart"/>
            <w:r>
              <w:rPr>
                <w:rFonts w:ascii="Times New Roman" w:hAnsi="Times New Roman"/>
                <w:color w:val="000000"/>
              </w:rPr>
              <w:t>finanszírozás</w:t>
            </w:r>
            <w:proofErr w:type="gramEnd"/>
            <w:r>
              <w:rPr>
                <w:rFonts w:ascii="Times New Roman" w:hAnsi="Times New Roman"/>
                <w:color w:val="000000"/>
              </w:rPr>
              <w:t>)</w:t>
            </w:r>
          </w:p>
          <w:p w14:paraId="64E5769B" w14:textId="77777777" w:rsidR="00A344AA" w:rsidRPr="00E37FBE" w:rsidRDefault="00A344AA" w:rsidP="003A2647">
            <w:pPr>
              <w:spacing w:before="0" w:after="0"/>
              <w:ind w:left="108"/>
              <w:rPr>
                <w:rFonts w:ascii="Times New Roman" w:hAnsi="Times New Roman"/>
                <w:color w:val="000000"/>
                <w:szCs w:val="20"/>
                <w:lang w:eastAsia="en-GB"/>
              </w:rPr>
            </w:pPr>
          </w:p>
          <w:p w14:paraId="520400E8" w14:textId="5F92E2CE" w:rsidR="00A344AA" w:rsidRPr="00E37FBE" w:rsidRDefault="00A344AA" w:rsidP="003A2647">
            <w:pPr>
              <w:spacing w:before="0" w:after="0"/>
              <w:ind w:left="108"/>
              <w:rPr>
                <w:rFonts w:ascii="Times New Roman" w:hAnsi="Times New Roman"/>
                <w:color w:val="000000"/>
                <w:szCs w:val="20"/>
              </w:rPr>
            </w:pPr>
            <w:r>
              <w:rPr>
                <w:rFonts w:ascii="Times New Roman" w:hAnsi="Times New Roman"/>
                <w:b/>
                <w:color w:val="000000"/>
              </w:rPr>
              <w:t>OFP</w:t>
            </w:r>
            <w:r>
              <w:rPr>
                <w:rFonts w:ascii="Times New Roman" w:hAnsi="Times New Roman"/>
                <w:color w:val="000000"/>
              </w:rPr>
              <w:t xml:space="preserve"> (egyéb </w:t>
            </w:r>
            <w:proofErr w:type="gramStart"/>
            <w:r>
              <w:rPr>
                <w:rFonts w:ascii="Times New Roman" w:hAnsi="Times New Roman"/>
                <w:color w:val="000000"/>
              </w:rPr>
              <w:t>finanszírozási</w:t>
            </w:r>
            <w:proofErr w:type="gramEnd"/>
            <w:r>
              <w:rPr>
                <w:rFonts w:ascii="Times New Roman" w:hAnsi="Times New Roman"/>
                <w:color w:val="000000"/>
              </w:rPr>
              <w:t xml:space="preserve"> termékek, például lakossági finanszírozás)</w:t>
            </w:r>
          </w:p>
          <w:p w14:paraId="7EA3B3FF" w14:textId="77777777" w:rsidR="00A344AA" w:rsidRPr="00E37FBE" w:rsidRDefault="00A344AA" w:rsidP="008E720B">
            <w:pPr>
              <w:spacing w:before="0" w:after="0"/>
              <w:rPr>
                <w:rFonts w:ascii="Times New Roman" w:hAnsi="Times New Roman"/>
                <w:b/>
                <w:szCs w:val="20"/>
                <w:u w:val="single"/>
                <w:lang w:eastAsia="en-GB"/>
              </w:rPr>
            </w:pPr>
          </w:p>
        </w:tc>
      </w:tr>
      <w:tr w:rsidR="00A344AA" w:rsidRPr="00E37FBE" w14:paraId="5F88F47E" w14:textId="77777777" w:rsidTr="003D0976">
        <w:trPr>
          <w:trHeight w:val="510"/>
        </w:trPr>
        <w:tc>
          <w:tcPr>
            <w:tcW w:w="729" w:type="pct"/>
            <w:shd w:val="clear" w:color="auto" w:fill="auto"/>
            <w:noWrap/>
          </w:tcPr>
          <w:p w14:paraId="6C7A5E49" w14:textId="77705D92"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lastRenderedPageBreak/>
              <w:t>0060</w:t>
            </w:r>
          </w:p>
        </w:tc>
        <w:tc>
          <w:tcPr>
            <w:tcW w:w="4271" w:type="pct"/>
            <w:gridSpan w:val="2"/>
            <w:tcBorders>
              <w:top w:val="single" w:sz="4" w:space="0" w:color="auto"/>
            </w:tcBorders>
            <w:shd w:val="clear" w:color="auto" w:fill="auto"/>
          </w:tcPr>
          <w:p w14:paraId="2D80056A" w14:textId="77777777"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Kapott összeg</w:t>
            </w:r>
          </w:p>
          <w:p w14:paraId="235C86C1" w14:textId="77777777" w:rsidR="00A344AA" w:rsidRPr="00E37FBE" w:rsidRDefault="00A344AA" w:rsidP="003A2647">
            <w:pPr>
              <w:spacing w:before="0" w:after="0"/>
              <w:rPr>
                <w:rFonts w:ascii="Times New Roman" w:hAnsi="Times New Roman"/>
                <w:b/>
                <w:szCs w:val="20"/>
                <w:u w:val="single"/>
                <w:lang w:eastAsia="en-GB"/>
              </w:rPr>
            </w:pPr>
          </w:p>
          <w:p w14:paraId="2FAA6C63" w14:textId="26C0DDDB" w:rsidR="00A344AA" w:rsidRPr="00E37FBE" w:rsidRDefault="00A344AA" w:rsidP="00763448">
            <w:pPr>
              <w:spacing w:before="0" w:after="0"/>
              <w:rPr>
                <w:rFonts w:ascii="Times New Roman" w:hAnsi="Times New Roman"/>
                <w:szCs w:val="20"/>
              </w:rPr>
            </w:pPr>
            <w:r>
              <w:rPr>
                <w:rFonts w:ascii="Times New Roman" w:hAnsi="Times New Roman"/>
              </w:rPr>
              <w:t xml:space="preserve">A 0010-es oszlopban feltüntetett partnerektől származó források teljes összegét a 0060-as oszlopban kell megadni a könyv szerinti értékek feltüntetésével. </w:t>
            </w:r>
          </w:p>
          <w:p w14:paraId="380CD660" w14:textId="77777777" w:rsidR="00A344AA" w:rsidRPr="00E37FBE" w:rsidRDefault="00A344AA" w:rsidP="00831507">
            <w:pPr>
              <w:spacing w:before="0" w:after="0"/>
              <w:jc w:val="center"/>
              <w:rPr>
                <w:rFonts w:ascii="Times New Roman" w:hAnsi="Times New Roman"/>
                <w:b/>
                <w:szCs w:val="20"/>
                <w:u w:val="single"/>
                <w:lang w:eastAsia="en-GB"/>
              </w:rPr>
            </w:pPr>
          </w:p>
        </w:tc>
      </w:tr>
      <w:tr w:rsidR="00A344AA" w:rsidRPr="00E37FBE" w14:paraId="12BAF631" w14:textId="77777777" w:rsidTr="005B086D">
        <w:trPr>
          <w:trHeight w:val="2537"/>
        </w:trPr>
        <w:tc>
          <w:tcPr>
            <w:tcW w:w="729" w:type="pct"/>
            <w:shd w:val="clear" w:color="auto" w:fill="auto"/>
            <w:noWrap/>
          </w:tcPr>
          <w:p w14:paraId="24187AE3" w14:textId="56CE1847"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t>0070</w:t>
            </w:r>
          </w:p>
        </w:tc>
        <w:tc>
          <w:tcPr>
            <w:tcW w:w="4271" w:type="pct"/>
            <w:gridSpan w:val="2"/>
            <w:shd w:val="clear" w:color="auto" w:fill="auto"/>
          </w:tcPr>
          <w:p w14:paraId="5A2F2CA2" w14:textId="7DA0BFAE"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Súlyozott átlagos eredeti futamidő</w:t>
            </w:r>
          </w:p>
          <w:p w14:paraId="5ED01858" w14:textId="77777777" w:rsidR="00A344AA" w:rsidRPr="00E37FBE" w:rsidRDefault="00A344AA" w:rsidP="003A2647">
            <w:pPr>
              <w:spacing w:before="0" w:after="0"/>
              <w:rPr>
                <w:rFonts w:ascii="Times New Roman" w:hAnsi="Times New Roman"/>
                <w:b/>
                <w:szCs w:val="20"/>
                <w:u w:val="single"/>
                <w:lang w:eastAsia="en-GB"/>
              </w:rPr>
            </w:pPr>
          </w:p>
          <w:p w14:paraId="7042CB79" w14:textId="55006F03" w:rsidR="00A344AA" w:rsidRPr="00E37FBE" w:rsidRDefault="00A344AA" w:rsidP="003A2647">
            <w:pPr>
              <w:spacing w:before="0" w:after="0"/>
              <w:rPr>
                <w:rFonts w:ascii="Times New Roman" w:hAnsi="Times New Roman"/>
                <w:szCs w:val="20"/>
              </w:rPr>
            </w:pPr>
            <w:r>
              <w:rPr>
                <w:rFonts w:ascii="Times New Roman" w:hAnsi="Times New Roman"/>
              </w:rPr>
              <w:t xml:space="preserve">A 0060-as oszlopban feltüntetett, a 0010-es oszlopban szereplő partnertől származó forrás összegéhez a 0070-es oszlopban meg kell adni a forrás súlyozott átlagos eredeti </w:t>
            </w:r>
            <w:proofErr w:type="spellStart"/>
            <w:r>
              <w:rPr>
                <w:rFonts w:ascii="Times New Roman" w:hAnsi="Times New Roman"/>
              </w:rPr>
              <w:t>futamidejét</w:t>
            </w:r>
            <w:proofErr w:type="spellEnd"/>
            <w:r>
              <w:rPr>
                <w:rFonts w:ascii="Times New Roman" w:hAnsi="Times New Roman"/>
              </w:rPr>
              <w:t xml:space="preserve"> (napokban).</w:t>
            </w:r>
          </w:p>
          <w:p w14:paraId="4D84C330" w14:textId="77777777" w:rsidR="00A344AA" w:rsidRPr="00E37FBE" w:rsidRDefault="00A344AA" w:rsidP="003A2647">
            <w:pPr>
              <w:spacing w:before="0" w:after="0"/>
              <w:rPr>
                <w:rFonts w:ascii="Times New Roman" w:hAnsi="Times New Roman"/>
                <w:szCs w:val="20"/>
                <w:lang w:eastAsia="en-GB"/>
              </w:rPr>
            </w:pPr>
          </w:p>
          <w:p w14:paraId="61704F47" w14:textId="77777777" w:rsidR="005B086D" w:rsidRPr="00E37FBE" w:rsidRDefault="008563C0" w:rsidP="005B086D">
            <w:pPr>
              <w:spacing w:before="0" w:after="0"/>
              <w:rPr>
                <w:rFonts w:ascii="Times New Roman" w:hAnsi="Times New Roman"/>
                <w:szCs w:val="20"/>
              </w:rPr>
            </w:pPr>
            <w:r>
              <w:rPr>
                <w:rFonts w:ascii="Times New Roman" w:hAnsi="Times New Roman"/>
              </w:rPr>
              <w:t>A súlyozott átlagos eredeti futamidő az adott partnertől származó források napokban kifejezett átlagos eredeti futamideje. Az átlag a források nagyságával súlyozott, és az adott partnertől származó forrás különböző összegeinek és teljes összegének aránya alapján kell kiszámítani.</w:t>
            </w:r>
          </w:p>
          <w:p w14:paraId="1DDE8E57" w14:textId="77777777" w:rsidR="00381AA0" w:rsidRPr="00E37FBE" w:rsidRDefault="00381AA0" w:rsidP="005B086D">
            <w:pPr>
              <w:spacing w:before="0" w:after="0"/>
              <w:rPr>
                <w:rFonts w:ascii="Times New Roman" w:hAnsi="Times New Roman"/>
                <w:szCs w:val="20"/>
                <w:lang w:eastAsia="en-GB"/>
              </w:rPr>
            </w:pPr>
          </w:p>
          <w:p w14:paraId="33D52360" w14:textId="6179C5E4" w:rsidR="00381AA0" w:rsidRPr="00E37FBE" w:rsidRDefault="00381AA0" w:rsidP="009C2EFD">
            <w:pPr>
              <w:spacing w:before="0" w:after="0"/>
              <w:rPr>
                <w:rFonts w:ascii="Times New Roman" w:hAnsi="Times New Roman"/>
                <w:szCs w:val="20"/>
              </w:rPr>
            </w:pPr>
            <w:r>
              <w:rPr>
                <w:rFonts w:ascii="Times New Roman" w:hAnsi="Times New Roman"/>
              </w:rPr>
              <w:t>A lejárat nélküli kötelezettségek esetében az intézményeknek rögzített 20 éves lejáratot, a látra szóló betétek esetében pedig 1 napos lejáratot kell figyelembe venniük.</w:t>
            </w:r>
          </w:p>
        </w:tc>
      </w:tr>
      <w:tr w:rsidR="00A344AA" w:rsidRPr="00E37FBE" w14:paraId="3227884A" w14:textId="77777777" w:rsidTr="005B086D">
        <w:trPr>
          <w:trHeight w:val="460"/>
        </w:trPr>
        <w:tc>
          <w:tcPr>
            <w:tcW w:w="729" w:type="pct"/>
            <w:tcBorders>
              <w:bottom w:val="single" w:sz="4" w:space="0" w:color="auto"/>
            </w:tcBorders>
            <w:shd w:val="clear" w:color="auto" w:fill="auto"/>
            <w:noWrap/>
          </w:tcPr>
          <w:p w14:paraId="298360E3" w14:textId="16A27D44"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t>0080</w:t>
            </w:r>
          </w:p>
        </w:tc>
        <w:tc>
          <w:tcPr>
            <w:tcW w:w="4271" w:type="pct"/>
            <w:gridSpan w:val="2"/>
            <w:tcBorders>
              <w:bottom w:val="single" w:sz="4" w:space="0" w:color="auto"/>
            </w:tcBorders>
            <w:shd w:val="clear" w:color="auto" w:fill="auto"/>
          </w:tcPr>
          <w:p w14:paraId="3028A8F3" w14:textId="77777777"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Súlyozott átlagos hátralévő futamidő</w:t>
            </w:r>
          </w:p>
          <w:p w14:paraId="22E64CDE" w14:textId="77777777" w:rsidR="00A344AA" w:rsidRPr="00E37FBE" w:rsidRDefault="00A344AA" w:rsidP="003A2647">
            <w:pPr>
              <w:spacing w:before="0" w:after="0"/>
              <w:rPr>
                <w:rFonts w:ascii="Times New Roman" w:hAnsi="Times New Roman"/>
                <w:b/>
                <w:szCs w:val="20"/>
                <w:u w:val="single"/>
                <w:lang w:eastAsia="en-GB"/>
              </w:rPr>
            </w:pPr>
          </w:p>
          <w:p w14:paraId="781FAB46" w14:textId="0F662298" w:rsidR="00A344AA" w:rsidRPr="00E37FBE" w:rsidRDefault="00A344AA" w:rsidP="003A2647">
            <w:pPr>
              <w:spacing w:before="0" w:after="0"/>
              <w:rPr>
                <w:rFonts w:ascii="Times New Roman" w:hAnsi="Times New Roman"/>
                <w:szCs w:val="20"/>
              </w:rPr>
            </w:pPr>
            <w:r>
              <w:rPr>
                <w:rFonts w:ascii="Times New Roman" w:hAnsi="Times New Roman"/>
              </w:rPr>
              <w:t xml:space="preserve">A 0060-as oszlopban feltüntetett, a 0010-es oszlopban szereplő partnertől származó forrás összegéhez a 0080-as oszlopban meg kell adni a forrás súlyozott átlagos hátralévő </w:t>
            </w:r>
            <w:proofErr w:type="spellStart"/>
            <w:r>
              <w:rPr>
                <w:rFonts w:ascii="Times New Roman" w:hAnsi="Times New Roman"/>
              </w:rPr>
              <w:t>futamidejét</w:t>
            </w:r>
            <w:proofErr w:type="spellEnd"/>
            <w:r>
              <w:rPr>
                <w:rFonts w:ascii="Times New Roman" w:hAnsi="Times New Roman"/>
              </w:rPr>
              <w:t xml:space="preserve"> (napokban).</w:t>
            </w:r>
          </w:p>
          <w:p w14:paraId="71FA9955" w14:textId="77777777" w:rsidR="00A344AA" w:rsidRPr="00E37FBE" w:rsidRDefault="00A344AA" w:rsidP="003A2647">
            <w:pPr>
              <w:spacing w:before="0" w:after="0"/>
              <w:rPr>
                <w:rFonts w:ascii="Times New Roman" w:hAnsi="Times New Roman"/>
                <w:szCs w:val="20"/>
                <w:lang w:eastAsia="en-GB"/>
              </w:rPr>
            </w:pPr>
          </w:p>
          <w:p w14:paraId="5C2654B2" w14:textId="77777777" w:rsidR="00A344AA" w:rsidRPr="00E37FBE" w:rsidRDefault="009C059B" w:rsidP="003A2647">
            <w:pPr>
              <w:spacing w:before="0" w:after="0"/>
              <w:rPr>
                <w:rFonts w:ascii="Times New Roman" w:hAnsi="Times New Roman"/>
                <w:szCs w:val="20"/>
              </w:rPr>
            </w:pPr>
            <w:r>
              <w:rPr>
                <w:rFonts w:ascii="Times New Roman" w:hAnsi="Times New Roman"/>
              </w:rPr>
              <w:t>A súlyozott átlagos hátralévő futamidő az adott partnertől származó források napokban kifejezett átlagos hátralévő futamideje. Az átlag a források nagyságával súlyozott, és az adott partnertől származó forrás különböző összegeinek és teljes összegének aránya alapján kell kiszámítani.</w:t>
            </w:r>
          </w:p>
          <w:p w14:paraId="0A2CCAEF" w14:textId="77777777" w:rsidR="00381AA0" w:rsidRPr="00E37FBE" w:rsidRDefault="00381AA0" w:rsidP="003A2647">
            <w:pPr>
              <w:spacing w:before="0" w:after="0"/>
              <w:rPr>
                <w:rFonts w:ascii="Times New Roman" w:hAnsi="Times New Roman"/>
                <w:szCs w:val="20"/>
                <w:lang w:eastAsia="en-GB"/>
              </w:rPr>
            </w:pPr>
          </w:p>
          <w:p w14:paraId="4CB0B549" w14:textId="17A9B058" w:rsidR="00381AA0" w:rsidRPr="00E37FBE" w:rsidRDefault="00381AA0" w:rsidP="009C2EFD">
            <w:pPr>
              <w:spacing w:before="0" w:after="0"/>
              <w:rPr>
                <w:rFonts w:ascii="Times New Roman" w:hAnsi="Times New Roman"/>
                <w:szCs w:val="20"/>
              </w:rPr>
            </w:pPr>
            <w:r>
              <w:rPr>
                <w:rFonts w:ascii="Times New Roman" w:hAnsi="Times New Roman"/>
              </w:rPr>
              <w:t>A lejárat nélküli kötelezettségek esetében az intézményeknek rögzített 20 éves lejáratot, a látra szóló betétek esetében pedig 1 napos lejáratot kell figyelembe venniük.</w:t>
            </w:r>
          </w:p>
        </w:tc>
      </w:tr>
    </w:tbl>
    <w:p w14:paraId="0520EE98" w14:textId="77777777" w:rsidR="00A344AA" w:rsidRPr="00E37FBE" w:rsidRDefault="00A344AA" w:rsidP="00A344AA">
      <w:pPr>
        <w:pStyle w:val="Instructionsberschrift2"/>
        <w:numPr>
          <w:ilvl w:val="1"/>
          <w:numId w:val="2"/>
        </w:numPr>
        <w:spacing w:before="0"/>
        <w:rPr>
          <w:rFonts w:ascii="Times New Roman" w:hAnsi="Times New Roman" w:cs="Times New Roman"/>
          <w:szCs w:val="20"/>
        </w:rPr>
      </w:pPr>
      <w:r>
        <w:rPr>
          <w:rFonts w:ascii="Times New Roman" w:hAnsi="Times New Roman"/>
        </w:rPr>
        <w:t xml:space="preserve">A </w:t>
      </w:r>
      <w:proofErr w:type="gramStart"/>
      <w:r>
        <w:rPr>
          <w:rFonts w:ascii="Times New Roman" w:hAnsi="Times New Roman"/>
        </w:rPr>
        <w:t>finanszírozás</w:t>
      </w:r>
      <w:proofErr w:type="gramEnd"/>
      <w:r>
        <w:rPr>
          <w:rFonts w:ascii="Times New Roman" w:hAnsi="Times New Roman"/>
        </w:rPr>
        <w:t xml:space="preserve"> koncentrációja terméktípusonként (C 68.00)</w:t>
      </w:r>
    </w:p>
    <w:p w14:paraId="5B6DFC15" w14:textId="3E2FC327" w:rsidR="00A344AA" w:rsidRPr="00E37FBE" w:rsidRDefault="00A344AA" w:rsidP="00CC3091">
      <w:pPr>
        <w:pStyle w:val="InstructionsText2"/>
        <w:numPr>
          <w:ilvl w:val="0"/>
          <w:numId w:val="13"/>
        </w:numPr>
        <w:rPr>
          <w:u w:val="none"/>
        </w:rPr>
      </w:pPr>
      <w:r>
        <w:rPr>
          <w:u w:val="none"/>
        </w:rPr>
        <w:t xml:space="preserve">Ebben a táblában kell megadni az adatot szolgáltató intézmény forrásainak </w:t>
      </w:r>
      <w:proofErr w:type="spellStart"/>
      <w:r>
        <w:rPr>
          <w:u w:val="none"/>
        </w:rPr>
        <w:t>terméktípusonkénti</w:t>
      </w:r>
      <w:proofErr w:type="spellEnd"/>
      <w:r>
        <w:rPr>
          <w:u w:val="none"/>
        </w:rPr>
        <w:t xml:space="preserve"> </w:t>
      </w:r>
      <w:proofErr w:type="gramStart"/>
      <w:r>
        <w:rPr>
          <w:u w:val="none"/>
        </w:rPr>
        <w:t>koncentrációjával</w:t>
      </w:r>
      <w:proofErr w:type="gramEnd"/>
      <w:r>
        <w:rPr>
          <w:u w:val="none"/>
        </w:rPr>
        <w:t xml:space="preserve"> kapcsolatos adatokat a sorokra vonatkozó alábbi útmutatóban meghatározott finanszírozási típusok szerinti bontásban: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7086"/>
      </w:tblGrid>
      <w:tr w:rsidR="003439C5" w:rsidRPr="00E37FBE" w14:paraId="4806820B" w14:textId="77777777" w:rsidTr="00D75947">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60B78C9D" w14:textId="2D8C2365" w:rsidR="003439C5" w:rsidRPr="00E37FBE" w:rsidRDefault="003439C5" w:rsidP="00D75947">
            <w:pPr>
              <w:spacing w:before="0" w:after="0"/>
              <w:jc w:val="left"/>
              <w:rPr>
                <w:rStyle w:val="InstructionsTabelleText"/>
                <w:rFonts w:ascii="Times New Roman" w:hAnsi="Times New Roman"/>
                <w:szCs w:val="20"/>
              </w:rPr>
            </w:pPr>
            <w:r>
              <w:rPr>
                <w:rStyle w:val="InstructionsTabelleText"/>
                <w:rFonts w:ascii="Times New Roman" w:hAnsi="Times New Roman"/>
              </w:rPr>
              <w:t>Sor</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7C9A56F2" w14:textId="77777777" w:rsidR="003439C5" w:rsidRPr="00E37FBE" w:rsidRDefault="003439C5" w:rsidP="00D75947">
            <w:pPr>
              <w:spacing w:before="0" w:after="0"/>
              <w:jc w:val="left"/>
              <w:rPr>
                <w:rStyle w:val="InstructionsTabelleText"/>
                <w:rFonts w:ascii="Times New Roman" w:hAnsi="Times New Roman"/>
                <w:szCs w:val="20"/>
              </w:rPr>
            </w:pPr>
            <w:r>
              <w:rPr>
                <w:rStyle w:val="InstructionsTabelleText"/>
                <w:rFonts w:ascii="Times New Roman" w:hAnsi="Times New Roman"/>
              </w:rPr>
              <w:t>Jogszabályi hivatkozások és útmutató</w:t>
            </w:r>
          </w:p>
        </w:tc>
      </w:tr>
      <w:tr w:rsidR="003439C5" w:rsidRPr="00E37FBE" w14:paraId="72F8A6C8"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3CB7AAB3" w14:textId="74EF2990" w:rsidR="003439C5" w:rsidRPr="00E37FBE" w:rsidRDefault="003439C5" w:rsidP="00D75947">
            <w:pPr>
              <w:spacing w:before="0" w:after="0"/>
              <w:jc w:val="left"/>
              <w:rPr>
                <w:rFonts w:ascii="Times New Roman" w:hAnsi="Times New Roman"/>
                <w:color w:val="000000"/>
                <w:szCs w:val="20"/>
              </w:rPr>
            </w:pPr>
            <w:r>
              <w:rPr>
                <w:rFonts w:ascii="Times New Roman" w:hAnsi="Times New Roman"/>
                <w:color w:val="000000"/>
              </w:rPr>
              <w:t>0010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6D1C7289" w14:textId="3BF13311" w:rsidR="003439C5" w:rsidRPr="00E37FBE" w:rsidRDefault="003439C5" w:rsidP="00D75947">
            <w:pPr>
              <w:spacing w:before="0" w:after="0"/>
              <w:rPr>
                <w:rFonts w:ascii="Times New Roman" w:hAnsi="Times New Roman"/>
                <w:b/>
                <w:szCs w:val="20"/>
                <w:u w:val="single"/>
              </w:rPr>
            </w:pPr>
            <w:r>
              <w:rPr>
                <w:rFonts w:ascii="Times New Roman" w:hAnsi="Times New Roman"/>
                <w:b/>
                <w:u w:val="single"/>
              </w:rPr>
              <w:t>1.</w:t>
            </w:r>
            <w:r>
              <w:rPr>
                <w:rFonts w:ascii="Times New Roman" w:hAnsi="Times New Roman"/>
                <w:b/>
                <w:u w:val="single"/>
              </w:rPr>
              <w:tab/>
              <w:t xml:space="preserve">Lakossági </w:t>
            </w:r>
            <w:proofErr w:type="gramStart"/>
            <w:r>
              <w:rPr>
                <w:rFonts w:ascii="Times New Roman" w:hAnsi="Times New Roman"/>
                <w:b/>
                <w:u w:val="single"/>
              </w:rPr>
              <w:t>finanszírozás</w:t>
            </w:r>
            <w:proofErr w:type="gramEnd"/>
          </w:p>
          <w:p w14:paraId="7762E5FB" w14:textId="77777777" w:rsidR="003439C5" w:rsidRPr="00E37FBE" w:rsidRDefault="003439C5" w:rsidP="00D75947">
            <w:pPr>
              <w:spacing w:before="0" w:after="0"/>
              <w:rPr>
                <w:rFonts w:ascii="Times New Roman" w:hAnsi="Times New Roman"/>
                <w:b/>
                <w:szCs w:val="20"/>
                <w:u w:val="single"/>
                <w:lang w:eastAsia="en-GB"/>
              </w:rPr>
            </w:pPr>
          </w:p>
          <w:p w14:paraId="281DC3E6" w14:textId="495E77FF" w:rsidR="003439C5" w:rsidRPr="00E37FBE" w:rsidRDefault="00E87A50" w:rsidP="00D75947">
            <w:pPr>
              <w:spacing w:before="0" w:after="0"/>
              <w:rPr>
                <w:szCs w:val="20"/>
              </w:rPr>
            </w:pPr>
            <w:r>
              <w:rPr>
                <w:rFonts w:ascii="Times New Roman" w:hAnsi="Times New Roman"/>
              </w:rPr>
              <w:t>Az 575/2013/EU rendelet 411. cikkének 2. pontjában meghatározott lakossági betétek és az (EU) 2015/61 felhatalmazáson alapuló bizottsági rendelet 28. cikkének (6) bekezdésében említett lakossági kötvények.</w:t>
            </w:r>
          </w:p>
          <w:p w14:paraId="18F10FD2" w14:textId="77777777" w:rsidR="003439C5" w:rsidRPr="00E37FBE" w:rsidRDefault="003439C5" w:rsidP="00D75947">
            <w:pPr>
              <w:spacing w:before="0" w:after="0"/>
              <w:rPr>
                <w:rFonts w:ascii="Times New Roman" w:hAnsi="Times New Roman"/>
                <w:b/>
                <w:szCs w:val="20"/>
                <w:u w:val="single"/>
                <w:lang w:eastAsia="en-GB"/>
              </w:rPr>
            </w:pPr>
          </w:p>
        </w:tc>
      </w:tr>
      <w:tr w:rsidR="003439C5" w:rsidRPr="00E37FBE" w14:paraId="1A68CA37"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8232909" w14:textId="4372E3C7" w:rsidR="003439C5" w:rsidRPr="00E37FBE" w:rsidRDefault="003439C5" w:rsidP="00D75947">
            <w:pPr>
              <w:spacing w:before="0" w:after="0"/>
              <w:jc w:val="left"/>
              <w:rPr>
                <w:rFonts w:ascii="Times New Roman" w:hAnsi="Times New Roman"/>
                <w:color w:val="000000"/>
                <w:szCs w:val="20"/>
              </w:rPr>
            </w:pPr>
            <w:r>
              <w:rPr>
                <w:rFonts w:ascii="Times New Roman" w:hAnsi="Times New Roman"/>
                <w:color w:val="000000"/>
              </w:rPr>
              <w:t>0020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236458" w14:textId="74C17FCD"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1.1.</w:t>
            </w:r>
            <w:r>
              <w:rPr>
                <w:rFonts w:ascii="Times New Roman" w:hAnsi="Times New Roman"/>
                <w:b/>
                <w:u w:val="single"/>
              </w:rPr>
              <w:tab/>
              <w:t>ebből: látra szóló betét</w:t>
            </w:r>
          </w:p>
          <w:p w14:paraId="3D85DAFF" w14:textId="77777777" w:rsidR="003439C5" w:rsidRPr="00E37FBE" w:rsidRDefault="003439C5" w:rsidP="00D75947">
            <w:pPr>
              <w:spacing w:before="0" w:after="0"/>
              <w:rPr>
                <w:rFonts w:ascii="Times New Roman" w:hAnsi="Times New Roman"/>
                <w:b/>
                <w:szCs w:val="20"/>
                <w:u w:val="single"/>
                <w:lang w:eastAsia="en-GB"/>
              </w:rPr>
            </w:pPr>
          </w:p>
          <w:p w14:paraId="6F473929" w14:textId="3F7D9220" w:rsidR="003439C5" w:rsidRPr="00E37FBE" w:rsidRDefault="003439C5" w:rsidP="00E87A50">
            <w:pPr>
              <w:spacing w:before="0" w:after="0"/>
              <w:rPr>
                <w:rFonts w:ascii="Times New Roman" w:hAnsi="Times New Roman"/>
                <w:b/>
                <w:szCs w:val="20"/>
                <w:u w:val="single"/>
              </w:rPr>
            </w:pPr>
            <w:r>
              <w:rPr>
                <w:rFonts w:ascii="Times New Roman" w:hAnsi="Times New Roman"/>
              </w:rPr>
              <w:t xml:space="preserve">A 0010-es sorban feltüntetett lakossági </w:t>
            </w:r>
            <w:proofErr w:type="gramStart"/>
            <w:r>
              <w:rPr>
                <w:rFonts w:ascii="Times New Roman" w:hAnsi="Times New Roman"/>
              </w:rPr>
              <w:t>finanszírozásból</w:t>
            </w:r>
            <w:proofErr w:type="gramEnd"/>
            <w:r>
              <w:rPr>
                <w:rFonts w:ascii="Times New Roman" w:hAnsi="Times New Roman"/>
              </w:rPr>
              <w:t xml:space="preserve"> a látra szóló betétek.</w:t>
            </w:r>
          </w:p>
        </w:tc>
      </w:tr>
      <w:tr w:rsidR="003439C5" w:rsidRPr="00E37FBE" w14:paraId="79D365ED"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1225E3F" w14:textId="7E175E40" w:rsidR="003439C5" w:rsidRPr="00E37FBE" w:rsidRDefault="003439C5" w:rsidP="00D75947">
            <w:pPr>
              <w:spacing w:before="0" w:after="0"/>
              <w:jc w:val="left"/>
              <w:rPr>
                <w:rFonts w:ascii="Times New Roman" w:hAnsi="Times New Roman"/>
                <w:color w:val="000000"/>
                <w:szCs w:val="20"/>
              </w:rPr>
            </w:pPr>
            <w:r>
              <w:rPr>
                <w:rFonts w:ascii="Times New Roman" w:hAnsi="Times New Roman"/>
                <w:color w:val="000000"/>
              </w:rPr>
              <w:t>0031</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9FFD85" w14:textId="2A296146"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1.2.</w:t>
            </w:r>
            <w:r>
              <w:rPr>
                <w:rFonts w:ascii="Times New Roman" w:hAnsi="Times New Roman"/>
                <w:b/>
                <w:u w:val="single"/>
              </w:rPr>
              <w:tab/>
              <w:t>ebből: a következő 30 napon belül fel nem vehető lekötött betét</w:t>
            </w:r>
          </w:p>
          <w:p w14:paraId="664C04FE" w14:textId="77777777" w:rsidR="003439C5" w:rsidRPr="00E37FBE" w:rsidRDefault="003439C5" w:rsidP="00D75947">
            <w:pPr>
              <w:spacing w:before="0" w:after="0"/>
              <w:rPr>
                <w:rFonts w:ascii="Times New Roman" w:hAnsi="Times New Roman"/>
                <w:b/>
                <w:szCs w:val="20"/>
                <w:u w:val="single"/>
                <w:lang w:eastAsia="en-GB"/>
              </w:rPr>
            </w:pPr>
          </w:p>
          <w:p w14:paraId="3F7154EA" w14:textId="0EDEDAA3" w:rsidR="003439C5" w:rsidRPr="00E37FBE" w:rsidRDefault="003439C5" w:rsidP="00F40FD4">
            <w:pPr>
              <w:spacing w:before="0" w:after="0"/>
              <w:rPr>
                <w:rFonts w:ascii="Times New Roman" w:hAnsi="Times New Roman"/>
                <w:b/>
                <w:szCs w:val="20"/>
                <w:u w:val="single"/>
              </w:rPr>
            </w:pPr>
            <w:r>
              <w:rPr>
                <w:rFonts w:ascii="Times New Roman" w:hAnsi="Times New Roman"/>
              </w:rPr>
              <w:t xml:space="preserve">A 0010-es sorban feltüntetett lakossági </w:t>
            </w:r>
            <w:proofErr w:type="gramStart"/>
            <w:r>
              <w:rPr>
                <w:rFonts w:ascii="Times New Roman" w:hAnsi="Times New Roman"/>
              </w:rPr>
              <w:t>finanszírozásból</w:t>
            </w:r>
            <w:proofErr w:type="gramEnd"/>
            <w:r>
              <w:rPr>
                <w:rFonts w:ascii="Times New Roman" w:hAnsi="Times New Roman"/>
              </w:rPr>
              <w:t xml:space="preserve"> azon lekötött betétek, amelyek a következő 30 napon belül nem vehetők fel.</w:t>
            </w:r>
          </w:p>
        </w:tc>
      </w:tr>
      <w:tr w:rsidR="003439C5" w:rsidRPr="00E37FBE" w14:paraId="69E1811C" w14:textId="77777777" w:rsidTr="00D75947">
        <w:trPr>
          <w:trHeight w:val="1020"/>
        </w:trPr>
        <w:tc>
          <w:tcPr>
            <w:tcW w:w="729" w:type="pct"/>
            <w:shd w:val="clear" w:color="auto" w:fill="auto"/>
            <w:noWrap/>
          </w:tcPr>
          <w:p w14:paraId="3DFA3BE5" w14:textId="66C47E24" w:rsidR="003439C5" w:rsidRPr="00E37FBE" w:rsidRDefault="003439C5" w:rsidP="00D75947">
            <w:pPr>
              <w:spacing w:before="0" w:after="0"/>
              <w:jc w:val="left"/>
              <w:rPr>
                <w:rFonts w:ascii="Times New Roman" w:hAnsi="Times New Roman"/>
                <w:color w:val="000000"/>
                <w:szCs w:val="20"/>
              </w:rPr>
            </w:pPr>
            <w:r>
              <w:rPr>
                <w:rFonts w:ascii="Times New Roman" w:hAnsi="Times New Roman"/>
                <w:color w:val="000000"/>
              </w:rPr>
              <w:lastRenderedPageBreak/>
              <w:t>0041</w:t>
            </w:r>
          </w:p>
        </w:tc>
        <w:tc>
          <w:tcPr>
            <w:tcW w:w="4271" w:type="pct"/>
            <w:shd w:val="clear" w:color="auto" w:fill="auto"/>
          </w:tcPr>
          <w:p w14:paraId="155ED8D2" w14:textId="349C1C2A"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1.3.</w:t>
            </w:r>
            <w:r>
              <w:rPr>
                <w:rFonts w:ascii="Times New Roman" w:hAnsi="Times New Roman"/>
                <w:b/>
                <w:u w:val="single"/>
              </w:rPr>
              <w:tab/>
              <w:t>ebből: a következő 30 napon belül felvehető lekötött betét</w:t>
            </w:r>
          </w:p>
          <w:p w14:paraId="16BCACF7" w14:textId="77777777" w:rsidR="003439C5" w:rsidRPr="00E37FBE" w:rsidRDefault="003439C5" w:rsidP="003439C5">
            <w:pPr>
              <w:spacing w:before="0" w:after="0"/>
              <w:rPr>
                <w:rFonts w:ascii="Times New Roman" w:hAnsi="Times New Roman"/>
                <w:b/>
                <w:szCs w:val="20"/>
                <w:u w:val="single"/>
                <w:lang w:eastAsia="en-GB"/>
              </w:rPr>
            </w:pPr>
          </w:p>
          <w:p w14:paraId="291A1D44" w14:textId="1026C40C" w:rsidR="003439C5" w:rsidRPr="00E37FBE" w:rsidRDefault="00F40FD4" w:rsidP="00F40FD4">
            <w:pPr>
              <w:spacing w:before="0" w:after="0"/>
              <w:rPr>
                <w:rFonts w:ascii="Times New Roman" w:hAnsi="Times New Roman"/>
                <w:szCs w:val="20"/>
              </w:rPr>
            </w:pPr>
            <w:r>
              <w:rPr>
                <w:rFonts w:ascii="Times New Roman" w:hAnsi="Times New Roman"/>
              </w:rPr>
              <w:t xml:space="preserve">A 0010-es sorban feltüntetett lakossági </w:t>
            </w:r>
            <w:proofErr w:type="gramStart"/>
            <w:r>
              <w:rPr>
                <w:rFonts w:ascii="Times New Roman" w:hAnsi="Times New Roman"/>
              </w:rPr>
              <w:t>finanszírozásból</w:t>
            </w:r>
            <w:proofErr w:type="gramEnd"/>
            <w:r>
              <w:rPr>
                <w:rFonts w:ascii="Times New Roman" w:hAnsi="Times New Roman"/>
              </w:rPr>
              <w:t xml:space="preserve"> azon lekötött betétek, amelyek a következő 30 napon belül felvehetők.</w:t>
            </w:r>
          </w:p>
        </w:tc>
      </w:tr>
      <w:tr w:rsidR="003439C5" w:rsidRPr="00E37FBE" w14:paraId="10740494" w14:textId="77777777" w:rsidTr="00D75947">
        <w:trPr>
          <w:trHeight w:val="1020"/>
        </w:trPr>
        <w:tc>
          <w:tcPr>
            <w:tcW w:w="729" w:type="pct"/>
            <w:shd w:val="clear" w:color="auto" w:fill="auto"/>
            <w:noWrap/>
          </w:tcPr>
          <w:p w14:paraId="0B22ECFC" w14:textId="2FEC79EB" w:rsidR="003439C5" w:rsidRPr="00E37FBE" w:rsidRDefault="003439C5" w:rsidP="00DD136C">
            <w:pPr>
              <w:spacing w:before="0" w:after="0"/>
              <w:jc w:val="left"/>
              <w:rPr>
                <w:rFonts w:ascii="Times New Roman" w:hAnsi="Times New Roman"/>
                <w:color w:val="000000"/>
                <w:szCs w:val="20"/>
              </w:rPr>
            </w:pPr>
            <w:r>
              <w:rPr>
                <w:rFonts w:ascii="Times New Roman" w:hAnsi="Times New Roman"/>
                <w:color w:val="000000"/>
              </w:rPr>
              <w:t>0070</w:t>
            </w:r>
          </w:p>
        </w:tc>
        <w:tc>
          <w:tcPr>
            <w:tcW w:w="4271" w:type="pct"/>
            <w:shd w:val="clear" w:color="auto" w:fill="auto"/>
          </w:tcPr>
          <w:p w14:paraId="7A9B7AD4" w14:textId="22B42302"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1.4.</w:t>
            </w:r>
            <w:r>
              <w:rPr>
                <w:rFonts w:ascii="Times New Roman" w:hAnsi="Times New Roman"/>
                <w:b/>
                <w:u w:val="single"/>
              </w:rPr>
              <w:tab/>
              <w:t>Megtakarítási számla</w:t>
            </w:r>
          </w:p>
          <w:p w14:paraId="1715A370" w14:textId="77777777" w:rsidR="003439C5" w:rsidRPr="00E37FBE" w:rsidRDefault="003439C5" w:rsidP="00D75947">
            <w:pPr>
              <w:spacing w:before="0" w:after="0"/>
              <w:rPr>
                <w:rFonts w:ascii="Times New Roman" w:hAnsi="Times New Roman"/>
                <w:b/>
                <w:szCs w:val="20"/>
                <w:u w:val="single"/>
                <w:lang w:eastAsia="en-GB"/>
              </w:rPr>
            </w:pPr>
          </w:p>
          <w:p w14:paraId="1F5A77EE" w14:textId="0967C6DB" w:rsidR="00F40FD4" w:rsidRPr="00E37FBE" w:rsidRDefault="00F40FD4" w:rsidP="00E87A50">
            <w:pPr>
              <w:spacing w:before="0" w:after="0"/>
              <w:rPr>
                <w:rFonts w:ascii="Times New Roman" w:hAnsi="Times New Roman"/>
                <w:szCs w:val="20"/>
              </w:rPr>
            </w:pPr>
            <w:r>
              <w:rPr>
                <w:rFonts w:ascii="Times New Roman" w:hAnsi="Times New Roman"/>
              </w:rPr>
              <w:t xml:space="preserve">A 0010-es sorban feltüntetett lakossági </w:t>
            </w:r>
            <w:proofErr w:type="gramStart"/>
            <w:r>
              <w:rPr>
                <w:rFonts w:ascii="Times New Roman" w:hAnsi="Times New Roman"/>
              </w:rPr>
              <w:t>finanszírozásból</w:t>
            </w:r>
            <w:proofErr w:type="gramEnd"/>
            <w:r>
              <w:rPr>
                <w:rFonts w:ascii="Times New Roman" w:hAnsi="Times New Roman"/>
              </w:rPr>
              <w:t xml:space="preserve"> azon megtakarítási számlák, amelyekre a következők valamelyike jellemző:</w:t>
            </w:r>
          </w:p>
          <w:p w14:paraId="7001BAD2" w14:textId="2A97E8F3" w:rsidR="003439C5" w:rsidRPr="00E37FBE" w:rsidRDefault="00F40FD4" w:rsidP="00E87A50">
            <w:pPr>
              <w:spacing w:before="0" w:after="0"/>
              <w:rPr>
                <w:rFonts w:ascii="Times New Roman" w:hAnsi="Times New Roman"/>
                <w:szCs w:val="20"/>
              </w:rPr>
            </w:pPr>
            <w:r>
              <w:rPr>
                <w:rFonts w:ascii="Times New Roman" w:hAnsi="Times New Roman"/>
              </w:rPr>
              <w:t>– a felvételre vonatkozó 30 napnál hosszabb felmondási idővel</w:t>
            </w:r>
          </w:p>
          <w:p w14:paraId="471376E8" w14:textId="6B5CE87D" w:rsidR="00F40FD4" w:rsidRPr="00E37FBE" w:rsidRDefault="00F40FD4" w:rsidP="00E87A50">
            <w:pPr>
              <w:spacing w:before="0" w:after="0"/>
              <w:rPr>
                <w:rFonts w:ascii="Times New Roman" w:hAnsi="Times New Roman"/>
                <w:szCs w:val="20"/>
              </w:rPr>
            </w:pPr>
            <w:r>
              <w:rPr>
                <w:rFonts w:ascii="Times New Roman" w:hAnsi="Times New Roman"/>
              </w:rPr>
              <w:t xml:space="preserve">– a felvételre vonatkozó 30 napnál hosszabb felmondási idő nélkül </w:t>
            </w:r>
          </w:p>
          <w:p w14:paraId="73B00647" w14:textId="77777777" w:rsidR="00B96DDB" w:rsidRPr="00E37FBE" w:rsidRDefault="00B96DDB" w:rsidP="00E87A50">
            <w:pPr>
              <w:spacing w:before="0" w:after="0"/>
              <w:rPr>
                <w:rFonts w:ascii="Times New Roman" w:hAnsi="Times New Roman"/>
                <w:szCs w:val="20"/>
                <w:lang w:eastAsia="en-GB"/>
              </w:rPr>
            </w:pPr>
          </w:p>
          <w:p w14:paraId="393C0E32" w14:textId="77777777" w:rsidR="00B96DDB" w:rsidRPr="00E37FBE" w:rsidRDefault="00B96DDB" w:rsidP="00B96DDB">
            <w:pPr>
              <w:spacing w:before="0" w:after="0"/>
              <w:rPr>
                <w:szCs w:val="20"/>
              </w:rPr>
            </w:pPr>
            <w:r>
              <w:rPr>
                <w:rFonts w:ascii="Times New Roman" w:hAnsi="Times New Roman"/>
              </w:rPr>
              <w:t>Ezt a sort nem kell kitölteni.</w:t>
            </w:r>
          </w:p>
          <w:p w14:paraId="0D6901BA" w14:textId="77777777" w:rsidR="003439C5" w:rsidRPr="00E37FBE" w:rsidRDefault="003439C5" w:rsidP="00D75947">
            <w:pPr>
              <w:spacing w:before="0" w:after="0"/>
              <w:rPr>
                <w:rFonts w:ascii="Times New Roman" w:hAnsi="Times New Roman"/>
                <w:b/>
                <w:szCs w:val="20"/>
                <w:u w:val="single"/>
                <w:lang w:eastAsia="en-GB"/>
              </w:rPr>
            </w:pPr>
          </w:p>
        </w:tc>
      </w:tr>
      <w:tr w:rsidR="003439C5" w:rsidRPr="00E37FBE" w14:paraId="36C0FB22" w14:textId="77777777" w:rsidTr="00D75947">
        <w:trPr>
          <w:trHeight w:val="1020"/>
        </w:trPr>
        <w:tc>
          <w:tcPr>
            <w:tcW w:w="729" w:type="pct"/>
            <w:shd w:val="clear" w:color="auto" w:fill="auto"/>
            <w:noWrap/>
          </w:tcPr>
          <w:p w14:paraId="167C152B" w14:textId="69E87A8C" w:rsidR="003439C5" w:rsidRPr="00E37FBE" w:rsidRDefault="003439C5" w:rsidP="00DD136C">
            <w:pPr>
              <w:spacing w:before="0" w:after="0"/>
              <w:jc w:val="left"/>
              <w:rPr>
                <w:rFonts w:ascii="Times New Roman" w:hAnsi="Times New Roman"/>
                <w:color w:val="000000"/>
                <w:szCs w:val="20"/>
              </w:rPr>
            </w:pPr>
            <w:r>
              <w:rPr>
                <w:rFonts w:ascii="Times New Roman" w:hAnsi="Times New Roman"/>
                <w:color w:val="000000"/>
              </w:rPr>
              <w:t>0080</w:t>
            </w:r>
          </w:p>
        </w:tc>
        <w:tc>
          <w:tcPr>
            <w:tcW w:w="4271" w:type="pct"/>
            <w:shd w:val="clear" w:color="auto" w:fill="auto"/>
          </w:tcPr>
          <w:p w14:paraId="208924A1" w14:textId="4E469B33"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 xml:space="preserve">1.4.1. </w:t>
            </w:r>
            <w:r>
              <w:rPr>
                <w:rFonts w:ascii="Times New Roman" w:hAnsi="Times New Roman"/>
                <w:b/>
                <w:u w:val="single"/>
              </w:rPr>
              <w:tab/>
              <w:t>a felvételre vonatkozó 30 napnál hosszabb felmondási idővel</w:t>
            </w:r>
          </w:p>
          <w:p w14:paraId="2CB5668A" w14:textId="5D7B919C" w:rsidR="00F40FD4" w:rsidRPr="00E37FBE" w:rsidRDefault="00F40FD4" w:rsidP="00F40FD4">
            <w:pPr>
              <w:spacing w:before="0" w:after="0"/>
              <w:rPr>
                <w:rFonts w:ascii="Times New Roman" w:hAnsi="Times New Roman"/>
                <w:szCs w:val="20"/>
              </w:rPr>
            </w:pPr>
            <w:r>
              <w:rPr>
                <w:rFonts w:ascii="Times New Roman" w:hAnsi="Times New Roman"/>
              </w:rPr>
              <w:t xml:space="preserve">A 0010-es sorban feltüntetett lakossági </w:t>
            </w:r>
            <w:proofErr w:type="gramStart"/>
            <w:r>
              <w:rPr>
                <w:rFonts w:ascii="Times New Roman" w:hAnsi="Times New Roman"/>
              </w:rPr>
              <w:t>finanszírozásból</w:t>
            </w:r>
            <w:proofErr w:type="gramEnd"/>
            <w:r>
              <w:rPr>
                <w:rFonts w:ascii="Times New Roman" w:hAnsi="Times New Roman"/>
              </w:rPr>
              <w:t xml:space="preserve"> azon megtakarítási számlák, amelyek felvételre vonatkozó felmondási ideje 30 napnál hosszabb.</w:t>
            </w:r>
          </w:p>
          <w:p w14:paraId="3144C832" w14:textId="3416971B" w:rsidR="003439C5" w:rsidRPr="00E37FBE" w:rsidRDefault="003439C5" w:rsidP="00E87A50">
            <w:pPr>
              <w:spacing w:before="0" w:after="0"/>
              <w:rPr>
                <w:rFonts w:ascii="Times New Roman" w:hAnsi="Times New Roman"/>
                <w:b/>
                <w:szCs w:val="20"/>
                <w:u w:val="single"/>
                <w:lang w:eastAsia="en-GB"/>
              </w:rPr>
            </w:pPr>
          </w:p>
        </w:tc>
      </w:tr>
      <w:tr w:rsidR="003439C5" w:rsidRPr="00E37FBE" w14:paraId="29C0B503" w14:textId="77777777" w:rsidTr="00D75947">
        <w:trPr>
          <w:trHeight w:val="1020"/>
        </w:trPr>
        <w:tc>
          <w:tcPr>
            <w:tcW w:w="729" w:type="pct"/>
            <w:shd w:val="clear" w:color="auto" w:fill="auto"/>
            <w:noWrap/>
          </w:tcPr>
          <w:p w14:paraId="6665A670" w14:textId="25FC6790" w:rsidR="003439C5" w:rsidRPr="00E37FBE" w:rsidRDefault="003439C5" w:rsidP="00DD136C">
            <w:pPr>
              <w:spacing w:before="0" w:after="0"/>
              <w:jc w:val="left"/>
              <w:rPr>
                <w:rFonts w:ascii="Times New Roman" w:hAnsi="Times New Roman"/>
                <w:color w:val="000000"/>
                <w:szCs w:val="20"/>
              </w:rPr>
            </w:pPr>
            <w:r>
              <w:rPr>
                <w:rFonts w:ascii="Times New Roman" w:hAnsi="Times New Roman"/>
                <w:color w:val="000000"/>
              </w:rPr>
              <w:t>0090</w:t>
            </w:r>
          </w:p>
        </w:tc>
        <w:tc>
          <w:tcPr>
            <w:tcW w:w="4271" w:type="pct"/>
            <w:shd w:val="clear" w:color="auto" w:fill="auto"/>
          </w:tcPr>
          <w:p w14:paraId="41FDDED5" w14:textId="0D19B3DF"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 xml:space="preserve">1.4.2. </w:t>
            </w:r>
            <w:r>
              <w:rPr>
                <w:rFonts w:ascii="Times New Roman" w:hAnsi="Times New Roman"/>
                <w:b/>
                <w:u w:val="single"/>
              </w:rPr>
              <w:tab/>
              <w:t>a felvételre vonatkozó 30 napnál hosszabb felmondási idő nélkül</w:t>
            </w:r>
          </w:p>
          <w:p w14:paraId="435A673F" w14:textId="77777777" w:rsidR="003439C5" w:rsidRPr="00E37FBE" w:rsidRDefault="003439C5" w:rsidP="003439C5">
            <w:pPr>
              <w:spacing w:before="0" w:after="0"/>
              <w:rPr>
                <w:rFonts w:ascii="Times New Roman" w:hAnsi="Times New Roman"/>
                <w:b/>
                <w:szCs w:val="20"/>
                <w:u w:val="single"/>
                <w:lang w:eastAsia="en-GB"/>
              </w:rPr>
            </w:pPr>
          </w:p>
          <w:p w14:paraId="1B1078F3" w14:textId="5329E65F" w:rsidR="003439C5" w:rsidRPr="00E37FBE" w:rsidRDefault="00F40FD4" w:rsidP="00E87A50">
            <w:pPr>
              <w:spacing w:before="0" w:after="0"/>
              <w:rPr>
                <w:rFonts w:ascii="Times New Roman" w:hAnsi="Times New Roman"/>
                <w:szCs w:val="20"/>
              </w:rPr>
            </w:pPr>
            <w:r>
              <w:rPr>
                <w:rFonts w:ascii="Times New Roman" w:hAnsi="Times New Roman"/>
              </w:rPr>
              <w:t xml:space="preserve">A 0010-es sorban feltüntetett lakossági </w:t>
            </w:r>
            <w:proofErr w:type="gramStart"/>
            <w:r>
              <w:rPr>
                <w:rFonts w:ascii="Times New Roman" w:hAnsi="Times New Roman"/>
              </w:rPr>
              <w:t>finanszírozásból</w:t>
            </w:r>
            <w:proofErr w:type="gramEnd"/>
            <w:r>
              <w:rPr>
                <w:rFonts w:ascii="Times New Roman" w:hAnsi="Times New Roman"/>
              </w:rPr>
              <w:t xml:space="preserve"> a felvételre vonatkozó 30 napnál hosszabb felmondási idő nélküli megtakarítási számlák.</w:t>
            </w:r>
          </w:p>
          <w:p w14:paraId="64AF0787" w14:textId="77777777" w:rsidR="003439C5" w:rsidRPr="00E37FBE" w:rsidRDefault="003439C5" w:rsidP="003439C5">
            <w:pPr>
              <w:spacing w:before="0" w:after="0"/>
              <w:rPr>
                <w:rFonts w:ascii="Times New Roman" w:hAnsi="Times New Roman"/>
                <w:b/>
                <w:szCs w:val="20"/>
                <w:u w:val="single"/>
                <w:lang w:eastAsia="en-GB"/>
              </w:rPr>
            </w:pPr>
          </w:p>
        </w:tc>
      </w:tr>
      <w:tr w:rsidR="003439C5" w:rsidRPr="00E37FBE" w14:paraId="3EAE3ABC" w14:textId="77777777" w:rsidTr="00D75947">
        <w:trPr>
          <w:trHeight w:val="1020"/>
        </w:trPr>
        <w:tc>
          <w:tcPr>
            <w:tcW w:w="729" w:type="pct"/>
            <w:shd w:val="clear" w:color="auto" w:fill="auto"/>
            <w:noWrap/>
          </w:tcPr>
          <w:p w14:paraId="45013687" w14:textId="492AA72C"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0100</w:t>
            </w:r>
          </w:p>
        </w:tc>
        <w:tc>
          <w:tcPr>
            <w:tcW w:w="4271" w:type="pct"/>
            <w:shd w:val="clear" w:color="auto" w:fill="auto"/>
          </w:tcPr>
          <w:p w14:paraId="25CD6A22" w14:textId="3A5B71CD" w:rsidR="00F900C8" w:rsidRPr="00E37FBE" w:rsidRDefault="00E87A50" w:rsidP="00F900C8">
            <w:pPr>
              <w:pStyle w:val="ListParagraph"/>
              <w:numPr>
                <w:ilvl w:val="0"/>
                <w:numId w:val="13"/>
              </w:numPr>
              <w:spacing w:before="0" w:after="0"/>
              <w:rPr>
                <w:rFonts w:ascii="Times New Roman" w:hAnsi="Times New Roman"/>
                <w:b/>
                <w:szCs w:val="20"/>
                <w:u w:val="single"/>
              </w:rPr>
            </w:pPr>
            <w:r>
              <w:rPr>
                <w:rFonts w:ascii="Times New Roman" w:hAnsi="Times New Roman"/>
                <w:b/>
                <w:u w:val="single"/>
              </w:rPr>
              <w:t xml:space="preserve">Nem lakossági </w:t>
            </w:r>
            <w:proofErr w:type="gramStart"/>
            <w:r>
              <w:rPr>
                <w:rFonts w:ascii="Times New Roman" w:hAnsi="Times New Roman"/>
                <w:b/>
                <w:u w:val="single"/>
              </w:rPr>
              <w:t>finanszírozás</w:t>
            </w:r>
            <w:proofErr w:type="gramEnd"/>
            <w:r>
              <w:rPr>
                <w:rFonts w:ascii="Times New Roman" w:hAnsi="Times New Roman"/>
                <w:b/>
                <w:u w:val="single"/>
              </w:rPr>
              <w:t xml:space="preserve"> </w:t>
            </w:r>
          </w:p>
          <w:p w14:paraId="2A1113B0" w14:textId="0EC58D5D" w:rsidR="006624FA" w:rsidRPr="00E37FBE" w:rsidRDefault="006624FA" w:rsidP="006624FA">
            <w:pPr>
              <w:spacing w:before="0" w:after="0"/>
              <w:rPr>
                <w:rFonts w:ascii="Times New Roman" w:hAnsi="Times New Roman"/>
                <w:szCs w:val="20"/>
              </w:rPr>
            </w:pPr>
            <w:r>
              <w:rPr>
                <w:rFonts w:ascii="Times New Roman" w:hAnsi="Times New Roman"/>
              </w:rPr>
              <w:t xml:space="preserve">Valamennyi partner, kivéve az 575/2013/EU rendelet 411. cikkének 2. pontjában meghatározott lakossági betétekkel rendelkező partnereket.  </w:t>
            </w:r>
          </w:p>
          <w:p w14:paraId="70E19694" w14:textId="77777777" w:rsidR="00D75947" w:rsidRPr="00E37FBE" w:rsidRDefault="00D75947" w:rsidP="006624FA">
            <w:pPr>
              <w:spacing w:before="0" w:after="0"/>
              <w:rPr>
                <w:rFonts w:ascii="Times New Roman" w:hAnsi="Times New Roman"/>
                <w:szCs w:val="20"/>
                <w:lang w:eastAsia="en-GB"/>
              </w:rPr>
            </w:pPr>
          </w:p>
          <w:p w14:paraId="195A99EA" w14:textId="4C20BC3D" w:rsidR="00D75947" w:rsidRPr="00E37FBE" w:rsidRDefault="00D75947" w:rsidP="006624FA">
            <w:pPr>
              <w:spacing w:before="0" w:after="0"/>
              <w:rPr>
                <w:szCs w:val="20"/>
              </w:rPr>
            </w:pPr>
            <w:r>
              <w:rPr>
                <w:rFonts w:ascii="Times New Roman" w:hAnsi="Times New Roman"/>
              </w:rPr>
              <w:t>Ezt a sort nem kell kitölteni.</w:t>
            </w:r>
          </w:p>
          <w:p w14:paraId="5A95C4DD" w14:textId="50C842AE" w:rsidR="003439C5" w:rsidRPr="00E37FBE" w:rsidRDefault="003439C5" w:rsidP="003439C5">
            <w:pPr>
              <w:spacing w:before="0" w:after="0"/>
              <w:rPr>
                <w:rFonts w:ascii="Times New Roman" w:hAnsi="Times New Roman"/>
                <w:b/>
                <w:szCs w:val="20"/>
                <w:u w:val="single"/>
                <w:lang w:eastAsia="en-GB"/>
              </w:rPr>
            </w:pPr>
          </w:p>
        </w:tc>
      </w:tr>
      <w:tr w:rsidR="003439C5" w:rsidRPr="00E37FBE" w14:paraId="0F613C49" w14:textId="77777777" w:rsidTr="00D75947">
        <w:trPr>
          <w:trHeight w:val="1020"/>
        </w:trPr>
        <w:tc>
          <w:tcPr>
            <w:tcW w:w="729" w:type="pct"/>
            <w:shd w:val="clear" w:color="auto" w:fill="auto"/>
            <w:noWrap/>
          </w:tcPr>
          <w:p w14:paraId="4517EFDE" w14:textId="2E66E8FE"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0110</w:t>
            </w:r>
          </w:p>
        </w:tc>
        <w:tc>
          <w:tcPr>
            <w:tcW w:w="4271" w:type="pct"/>
            <w:shd w:val="clear" w:color="auto" w:fill="auto"/>
          </w:tcPr>
          <w:p w14:paraId="123E76B1" w14:textId="5627B13B"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2.1.</w:t>
            </w:r>
            <w:r>
              <w:rPr>
                <w:rFonts w:ascii="Times New Roman" w:hAnsi="Times New Roman"/>
                <w:b/>
                <w:u w:val="single"/>
              </w:rPr>
              <w:tab/>
              <w:t xml:space="preserve">Fedezetlen nem lakossági </w:t>
            </w:r>
            <w:proofErr w:type="gramStart"/>
            <w:r>
              <w:rPr>
                <w:rFonts w:ascii="Times New Roman" w:hAnsi="Times New Roman"/>
                <w:b/>
                <w:u w:val="single"/>
              </w:rPr>
              <w:t>finanszírozás</w:t>
            </w:r>
            <w:proofErr w:type="gramEnd"/>
          </w:p>
          <w:p w14:paraId="08EF0039" w14:textId="77777777" w:rsidR="00E87A50" w:rsidRPr="00E37FBE" w:rsidRDefault="00E87A50" w:rsidP="00D75947">
            <w:pPr>
              <w:spacing w:before="0" w:after="0"/>
              <w:rPr>
                <w:rFonts w:ascii="Times New Roman" w:hAnsi="Times New Roman"/>
                <w:b/>
                <w:szCs w:val="20"/>
                <w:u w:val="single"/>
                <w:lang w:eastAsia="en-GB"/>
              </w:rPr>
            </w:pPr>
          </w:p>
          <w:p w14:paraId="765487C0" w14:textId="3279BC8A" w:rsidR="00AD3ACF" w:rsidRPr="00E37FBE" w:rsidRDefault="00AD3ACF" w:rsidP="00AD3ACF">
            <w:pPr>
              <w:spacing w:before="0" w:after="0"/>
              <w:rPr>
                <w:szCs w:val="20"/>
              </w:rPr>
            </w:pPr>
            <w:r>
              <w:rPr>
                <w:rFonts w:ascii="Times New Roman" w:hAnsi="Times New Roman"/>
              </w:rPr>
              <w:t>Valamennyi partner, amely esetében a forrás fedezetlen, kivéve az 575/2013/EU rendelet 411. cikkének 2. pontjában meghatározott lakossági betétekkel rendelkezőket.</w:t>
            </w:r>
          </w:p>
          <w:p w14:paraId="4259F037" w14:textId="77777777" w:rsidR="003439C5" w:rsidRPr="00E37FBE" w:rsidRDefault="003439C5" w:rsidP="003439C5">
            <w:pPr>
              <w:spacing w:before="0" w:after="0"/>
              <w:rPr>
                <w:rFonts w:ascii="Times New Roman" w:hAnsi="Times New Roman"/>
                <w:b/>
                <w:szCs w:val="20"/>
                <w:u w:val="single"/>
                <w:lang w:eastAsia="en-GB"/>
              </w:rPr>
            </w:pPr>
          </w:p>
        </w:tc>
      </w:tr>
      <w:tr w:rsidR="003439C5" w:rsidRPr="00E37FBE" w14:paraId="53E051F8" w14:textId="77777777" w:rsidTr="00D75947">
        <w:trPr>
          <w:trHeight w:val="1020"/>
        </w:trPr>
        <w:tc>
          <w:tcPr>
            <w:tcW w:w="729" w:type="pct"/>
            <w:shd w:val="clear" w:color="auto" w:fill="auto"/>
            <w:noWrap/>
          </w:tcPr>
          <w:p w14:paraId="6B94D89A" w14:textId="260867F6"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0120</w:t>
            </w:r>
          </w:p>
        </w:tc>
        <w:tc>
          <w:tcPr>
            <w:tcW w:w="4271" w:type="pct"/>
            <w:shd w:val="clear" w:color="auto" w:fill="auto"/>
          </w:tcPr>
          <w:p w14:paraId="6C6FDC97" w14:textId="596DF847"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2.1.1.</w:t>
            </w:r>
            <w:r>
              <w:rPr>
                <w:rFonts w:ascii="Times New Roman" w:hAnsi="Times New Roman"/>
                <w:b/>
                <w:u w:val="single"/>
              </w:rPr>
              <w:tab/>
              <w:t>ebből: pénzügyi ügyfelektől származó kölcsönök és betétek</w:t>
            </w:r>
          </w:p>
          <w:p w14:paraId="3BB695C9" w14:textId="77777777" w:rsidR="003439C5" w:rsidRPr="00E37FBE" w:rsidRDefault="003439C5" w:rsidP="00D75947">
            <w:pPr>
              <w:spacing w:before="0" w:after="0"/>
              <w:rPr>
                <w:rFonts w:ascii="Times New Roman" w:hAnsi="Times New Roman"/>
                <w:b/>
                <w:szCs w:val="20"/>
                <w:u w:val="single"/>
                <w:lang w:eastAsia="en-GB"/>
              </w:rPr>
            </w:pPr>
          </w:p>
          <w:p w14:paraId="0788F5FB" w14:textId="69FDCBBC" w:rsidR="00AD3ACF" w:rsidRPr="00E37FBE" w:rsidRDefault="00AD3ACF" w:rsidP="00AD3ACF">
            <w:pPr>
              <w:spacing w:before="0" w:after="0"/>
              <w:rPr>
                <w:rFonts w:ascii="Times New Roman" w:hAnsi="Times New Roman"/>
                <w:szCs w:val="20"/>
              </w:rPr>
            </w:pPr>
            <w:r>
              <w:rPr>
                <w:rFonts w:ascii="Times New Roman" w:hAnsi="Times New Roman"/>
              </w:rPr>
              <w:t xml:space="preserve">A 0110-es sorban feltüntetett </w:t>
            </w:r>
            <w:proofErr w:type="gramStart"/>
            <w:r>
              <w:rPr>
                <w:rFonts w:ascii="Times New Roman" w:hAnsi="Times New Roman"/>
              </w:rPr>
              <w:t>finanszírozásból</w:t>
            </w:r>
            <w:proofErr w:type="gramEnd"/>
            <w:r>
              <w:rPr>
                <w:rFonts w:ascii="Times New Roman" w:hAnsi="Times New Roman"/>
              </w:rPr>
              <w:t xml:space="preserve"> a pénzügyi ügyfelektől származó kölcsönök és betétek.</w:t>
            </w:r>
          </w:p>
          <w:p w14:paraId="1EBF28E1" w14:textId="77777777" w:rsidR="00D75947" w:rsidRPr="00E37FBE" w:rsidRDefault="00D75947" w:rsidP="00AD3ACF">
            <w:pPr>
              <w:spacing w:before="0" w:after="0"/>
              <w:rPr>
                <w:rFonts w:ascii="Times New Roman" w:hAnsi="Times New Roman"/>
                <w:szCs w:val="20"/>
                <w:lang w:eastAsia="en-GB"/>
              </w:rPr>
            </w:pPr>
          </w:p>
          <w:p w14:paraId="268FF204" w14:textId="60AA5C50" w:rsidR="00D75947" w:rsidRPr="00E37FBE" w:rsidRDefault="00D75947" w:rsidP="00AD3ACF">
            <w:pPr>
              <w:spacing w:before="0" w:after="0"/>
              <w:rPr>
                <w:rFonts w:ascii="Times New Roman" w:hAnsi="Times New Roman"/>
                <w:szCs w:val="20"/>
              </w:rPr>
            </w:pPr>
            <w:r>
              <w:rPr>
                <w:rFonts w:ascii="Times New Roman" w:hAnsi="Times New Roman"/>
              </w:rPr>
              <w:t xml:space="preserve">A központi bankoktól származó </w:t>
            </w:r>
            <w:proofErr w:type="gramStart"/>
            <w:r>
              <w:rPr>
                <w:rFonts w:ascii="Times New Roman" w:hAnsi="Times New Roman"/>
              </w:rPr>
              <w:t>finanszírozást</w:t>
            </w:r>
            <w:proofErr w:type="gramEnd"/>
            <w:r>
              <w:rPr>
                <w:rFonts w:ascii="Times New Roman" w:hAnsi="Times New Roman"/>
              </w:rPr>
              <w:t xml:space="preserve"> nem kell feltüntetni ebben a sorban. </w:t>
            </w:r>
          </w:p>
          <w:p w14:paraId="4846816F" w14:textId="4CB99B55" w:rsidR="003439C5" w:rsidRPr="00E37FBE" w:rsidRDefault="003439C5" w:rsidP="003439C5">
            <w:pPr>
              <w:spacing w:before="0" w:after="0"/>
              <w:rPr>
                <w:rFonts w:ascii="Times New Roman" w:hAnsi="Times New Roman"/>
                <w:b/>
                <w:szCs w:val="20"/>
                <w:u w:val="single"/>
                <w:lang w:eastAsia="en-GB"/>
              </w:rPr>
            </w:pPr>
          </w:p>
        </w:tc>
      </w:tr>
      <w:tr w:rsidR="003439C5" w:rsidRPr="00E37FBE" w14:paraId="63BC41F1" w14:textId="77777777" w:rsidTr="00D75947">
        <w:trPr>
          <w:trHeight w:val="1020"/>
        </w:trPr>
        <w:tc>
          <w:tcPr>
            <w:tcW w:w="729" w:type="pct"/>
            <w:shd w:val="clear" w:color="auto" w:fill="auto"/>
            <w:noWrap/>
          </w:tcPr>
          <w:p w14:paraId="7837B5F4" w14:textId="14167C7E" w:rsidR="003439C5" w:rsidRPr="00E37FBE" w:rsidRDefault="00C90DF5" w:rsidP="00DD136C">
            <w:pPr>
              <w:spacing w:before="0" w:after="0"/>
              <w:jc w:val="left"/>
              <w:rPr>
                <w:rFonts w:ascii="Times New Roman" w:hAnsi="Times New Roman"/>
                <w:color w:val="000000"/>
                <w:szCs w:val="20"/>
              </w:rPr>
            </w:pPr>
            <w:r>
              <w:rPr>
                <w:rFonts w:ascii="Times New Roman" w:hAnsi="Times New Roman"/>
                <w:color w:val="000000"/>
              </w:rPr>
              <w:t>0130</w:t>
            </w:r>
          </w:p>
        </w:tc>
        <w:tc>
          <w:tcPr>
            <w:tcW w:w="4271" w:type="pct"/>
            <w:shd w:val="clear" w:color="auto" w:fill="auto"/>
          </w:tcPr>
          <w:p w14:paraId="06A755FB" w14:textId="502C771C"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2.1.2.</w:t>
            </w:r>
            <w:r>
              <w:rPr>
                <w:rFonts w:ascii="Times New Roman" w:hAnsi="Times New Roman"/>
                <w:b/>
                <w:u w:val="single"/>
              </w:rPr>
              <w:tab/>
              <w:t>ebből: nem pénzügyi ügyfelektől származó kölcsönök és betétek</w:t>
            </w:r>
          </w:p>
          <w:p w14:paraId="02E65316" w14:textId="77777777" w:rsidR="003439C5" w:rsidRPr="00E37FBE" w:rsidRDefault="003439C5" w:rsidP="00D75947">
            <w:pPr>
              <w:spacing w:before="0" w:after="0"/>
              <w:rPr>
                <w:rFonts w:ascii="Times New Roman" w:hAnsi="Times New Roman"/>
                <w:b/>
                <w:szCs w:val="20"/>
                <w:u w:val="single"/>
                <w:lang w:eastAsia="en-GB"/>
              </w:rPr>
            </w:pPr>
          </w:p>
          <w:p w14:paraId="6E637B97" w14:textId="5E5B493F" w:rsidR="00AD3ACF" w:rsidRPr="00E37FBE" w:rsidRDefault="00AD3ACF" w:rsidP="00AD3ACF">
            <w:pPr>
              <w:spacing w:before="0" w:after="0"/>
              <w:rPr>
                <w:rFonts w:ascii="Times New Roman" w:hAnsi="Times New Roman"/>
                <w:szCs w:val="20"/>
              </w:rPr>
            </w:pPr>
            <w:r>
              <w:rPr>
                <w:rFonts w:ascii="Times New Roman" w:hAnsi="Times New Roman"/>
              </w:rPr>
              <w:t xml:space="preserve">A 0110-es sorban feltüntetett </w:t>
            </w:r>
            <w:proofErr w:type="gramStart"/>
            <w:r>
              <w:rPr>
                <w:rFonts w:ascii="Times New Roman" w:hAnsi="Times New Roman"/>
              </w:rPr>
              <w:t>finanszírozásból</w:t>
            </w:r>
            <w:proofErr w:type="gramEnd"/>
            <w:r>
              <w:rPr>
                <w:rFonts w:ascii="Times New Roman" w:hAnsi="Times New Roman"/>
              </w:rPr>
              <w:t xml:space="preserve"> a nem pénzügyi ügyfelektől származó kölcsönök és betétek.</w:t>
            </w:r>
          </w:p>
          <w:p w14:paraId="4A6E9ABD" w14:textId="77777777" w:rsidR="00D75947" w:rsidRPr="00E37FBE" w:rsidRDefault="00D75947" w:rsidP="00AD3ACF">
            <w:pPr>
              <w:spacing w:before="0" w:after="0"/>
              <w:rPr>
                <w:rFonts w:ascii="Times New Roman" w:hAnsi="Times New Roman"/>
                <w:szCs w:val="20"/>
                <w:lang w:eastAsia="en-GB"/>
              </w:rPr>
            </w:pPr>
          </w:p>
          <w:p w14:paraId="1033118A" w14:textId="655EE402" w:rsidR="00D75947" w:rsidRPr="00E37FBE" w:rsidRDefault="00D75947" w:rsidP="00AD3ACF">
            <w:pPr>
              <w:spacing w:before="0" w:after="0"/>
              <w:rPr>
                <w:rFonts w:ascii="Times New Roman" w:hAnsi="Times New Roman"/>
                <w:szCs w:val="20"/>
              </w:rPr>
            </w:pPr>
            <w:r>
              <w:rPr>
                <w:rFonts w:ascii="Times New Roman" w:hAnsi="Times New Roman"/>
              </w:rPr>
              <w:t xml:space="preserve">A központi bankoktól származó </w:t>
            </w:r>
            <w:proofErr w:type="gramStart"/>
            <w:r>
              <w:rPr>
                <w:rFonts w:ascii="Times New Roman" w:hAnsi="Times New Roman"/>
              </w:rPr>
              <w:t>finanszírozást</w:t>
            </w:r>
            <w:proofErr w:type="gramEnd"/>
            <w:r>
              <w:rPr>
                <w:rFonts w:ascii="Times New Roman" w:hAnsi="Times New Roman"/>
              </w:rPr>
              <w:t xml:space="preserve"> nem kell feltüntetni ebben a sorban.</w:t>
            </w:r>
          </w:p>
          <w:p w14:paraId="0C4C3C91" w14:textId="4533C6EE" w:rsidR="003439C5" w:rsidRPr="00E37FBE" w:rsidRDefault="003439C5" w:rsidP="003439C5">
            <w:pPr>
              <w:spacing w:before="0" w:after="0"/>
              <w:rPr>
                <w:rFonts w:ascii="Times New Roman" w:hAnsi="Times New Roman"/>
                <w:b/>
                <w:szCs w:val="20"/>
                <w:u w:val="single"/>
                <w:lang w:eastAsia="en-GB"/>
              </w:rPr>
            </w:pPr>
          </w:p>
        </w:tc>
      </w:tr>
      <w:tr w:rsidR="003439C5" w:rsidRPr="00E37FBE" w14:paraId="445F9D74" w14:textId="77777777" w:rsidTr="00D75947">
        <w:trPr>
          <w:trHeight w:val="1020"/>
        </w:trPr>
        <w:tc>
          <w:tcPr>
            <w:tcW w:w="729" w:type="pct"/>
            <w:shd w:val="clear" w:color="auto" w:fill="auto"/>
            <w:noWrap/>
          </w:tcPr>
          <w:p w14:paraId="6F6E6B72" w14:textId="4656ED36"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0140</w:t>
            </w:r>
          </w:p>
        </w:tc>
        <w:tc>
          <w:tcPr>
            <w:tcW w:w="4271" w:type="pct"/>
            <w:shd w:val="clear" w:color="auto" w:fill="auto"/>
          </w:tcPr>
          <w:p w14:paraId="08468F41" w14:textId="34A0F0BB"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2.1.3.</w:t>
            </w:r>
            <w:r>
              <w:rPr>
                <w:rFonts w:ascii="Times New Roman" w:hAnsi="Times New Roman"/>
                <w:b/>
                <w:u w:val="single"/>
              </w:rPr>
              <w:tab/>
              <w:t>ebből: csoporton belüli jogalanyoktól származó kölcsönök és betétek</w:t>
            </w:r>
          </w:p>
          <w:p w14:paraId="19D87853" w14:textId="77777777" w:rsidR="00AD3ACF" w:rsidRPr="00E37FBE" w:rsidRDefault="00AD3ACF" w:rsidP="00AD3ACF">
            <w:pPr>
              <w:spacing w:before="0" w:after="0"/>
              <w:rPr>
                <w:rFonts w:ascii="Times New Roman" w:hAnsi="Times New Roman"/>
                <w:szCs w:val="20"/>
                <w:lang w:eastAsia="en-GB"/>
              </w:rPr>
            </w:pPr>
          </w:p>
          <w:p w14:paraId="1FDA6EC6" w14:textId="7B0E2912" w:rsidR="00AD3ACF" w:rsidRPr="00E37FBE" w:rsidRDefault="00AD3ACF" w:rsidP="008E720B">
            <w:pPr>
              <w:spacing w:before="0" w:after="0"/>
              <w:rPr>
                <w:rFonts w:ascii="Times New Roman" w:hAnsi="Times New Roman"/>
                <w:szCs w:val="20"/>
              </w:rPr>
            </w:pPr>
            <w:r>
              <w:rPr>
                <w:rFonts w:ascii="Times New Roman" w:hAnsi="Times New Roman"/>
              </w:rPr>
              <w:t xml:space="preserve">A 0110-es sorban feltüntetett </w:t>
            </w:r>
            <w:proofErr w:type="gramStart"/>
            <w:r>
              <w:rPr>
                <w:rFonts w:ascii="Times New Roman" w:hAnsi="Times New Roman"/>
              </w:rPr>
              <w:t>finanszírozásból</w:t>
            </w:r>
            <w:proofErr w:type="gramEnd"/>
            <w:r>
              <w:rPr>
                <w:rFonts w:ascii="Times New Roman" w:hAnsi="Times New Roman"/>
              </w:rPr>
              <w:t xml:space="preserve"> a csoporton belüli olyan jogalanyoktól származó kölcsönök és betétek, amelyek esetében a partner az intézmény anyavállalata vagy leányvállalata, vagy ugyanazon anyavállalatnak egy másik leányvállalata vagy a hitelintézettel a 2013/34/EU irányelv 22. cikkének (7) bekezdése értelmében vett kapcsolatban áll.</w:t>
            </w:r>
          </w:p>
          <w:p w14:paraId="2FC0AC9F" w14:textId="77777777" w:rsidR="00274EE9" w:rsidRPr="00E37FBE" w:rsidRDefault="00274EE9" w:rsidP="00AD3ACF">
            <w:pPr>
              <w:spacing w:before="0" w:after="0"/>
              <w:rPr>
                <w:rFonts w:ascii="Times New Roman" w:hAnsi="Times New Roman"/>
                <w:szCs w:val="20"/>
                <w:lang w:eastAsia="en-GB"/>
              </w:rPr>
            </w:pPr>
          </w:p>
          <w:p w14:paraId="7A1CF7E9" w14:textId="13D494D6" w:rsidR="003439C5" w:rsidRPr="00E37FBE" w:rsidRDefault="00274EE9" w:rsidP="00274EE9">
            <w:pPr>
              <w:spacing w:before="0" w:after="0"/>
              <w:rPr>
                <w:rFonts w:ascii="Times New Roman" w:hAnsi="Times New Roman"/>
                <w:b/>
                <w:szCs w:val="20"/>
                <w:u w:val="single"/>
              </w:rPr>
            </w:pPr>
            <w:r>
              <w:rPr>
                <w:rFonts w:ascii="Times New Roman" w:hAnsi="Times New Roman"/>
              </w:rPr>
              <w:t xml:space="preserve">A csoporton belüli jogalanyoktól származó nem lakossági </w:t>
            </w:r>
            <w:proofErr w:type="gramStart"/>
            <w:r>
              <w:rPr>
                <w:rFonts w:ascii="Times New Roman" w:hAnsi="Times New Roman"/>
              </w:rPr>
              <w:t>finanszírozást</w:t>
            </w:r>
            <w:proofErr w:type="gramEnd"/>
            <w:r>
              <w:rPr>
                <w:rFonts w:ascii="Times New Roman" w:hAnsi="Times New Roman"/>
              </w:rPr>
              <w:t xml:space="preserve"> csak egyedi vagy </w:t>
            </w:r>
            <w:proofErr w:type="spellStart"/>
            <w:r>
              <w:rPr>
                <w:rFonts w:ascii="Times New Roman" w:hAnsi="Times New Roman"/>
              </w:rPr>
              <w:t>szubkonszolidált</w:t>
            </w:r>
            <w:proofErr w:type="spellEnd"/>
            <w:r>
              <w:rPr>
                <w:rFonts w:ascii="Times New Roman" w:hAnsi="Times New Roman"/>
              </w:rPr>
              <w:t xml:space="preserve"> alapon kell jelenteni.</w:t>
            </w:r>
          </w:p>
        </w:tc>
      </w:tr>
      <w:tr w:rsidR="003439C5" w:rsidRPr="00E37FBE" w14:paraId="658E2622" w14:textId="77777777" w:rsidTr="00D75947">
        <w:trPr>
          <w:trHeight w:val="1020"/>
        </w:trPr>
        <w:tc>
          <w:tcPr>
            <w:tcW w:w="729" w:type="pct"/>
            <w:shd w:val="clear" w:color="auto" w:fill="auto"/>
            <w:noWrap/>
          </w:tcPr>
          <w:p w14:paraId="1089A569" w14:textId="0B1D3526"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lastRenderedPageBreak/>
              <w:t>0150</w:t>
            </w:r>
          </w:p>
        </w:tc>
        <w:tc>
          <w:tcPr>
            <w:tcW w:w="4271" w:type="pct"/>
            <w:shd w:val="clear" w:color="auto" w:fill="auto"/>
          </w:tcPr>
          <w:p w14:paraId="46EF8EC5" w14:textId="56C23DBB"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2.2.</w:t>
            </w:r>
            <w:r>
              <w:rPr>
                <w:rFonts w:ascii="Times New Roman" w:hAnsi="Times New Roman"/>
                <w:b/>
                <w:u w:val="single"/>
              </w:rPr>
              <w:tab/>
              <w:t xml:space="preserve">Fedezett nem lakossági </w:t>
            </w:r>
            <w:proofErr w:type="gramStart"/>
            <w:r>
              <w:rPr>
                <w:rFonts w:ascii="Times New Roman" w:hAnsi="Times New Roman"/>
                <w:b/>
                <w:u w:val="single"/>
              </w:rPr>
              <w:t>finanszírozás</w:t>
            </w:r>
            <w:proofErr w:type="gramEnd"/>
            <w:r>
              <w:rPr>
                <w:rFonts w:ascii="Times New Roman" w:hAnsi="Times New Roman"/>
                <w:b/>
                <w:u w:val="single"/>
              </w:rPr>
              <w:t xml:space="preserve"> </w:t>
            </w:r>
          </w:p>
          <w:p w14:paraId="4AE66107" w14:textId="77777777" w:rsidR="00274EE9" w:rsidRPr="00E37FBE" w:rsidRDefault="00274EE9" w:rsidP="00274EE9">
            <w:pPr>
              <w:spacing w:before="0" w:after="0"/>
              <w:rPr>
                <w:rFonts w:ascii="Times New Roman" w:hAnsi="Times New Roman"/>
                <w:szCs w:val="20"/>
                <w:lang w:eastAsia="en-GB"/>
              </w:rPr>
            </w:pPr>
          </w:p>
          <w:p w14:paraId="235C9947" w14:textId="0342D746" w:rsidR="00274EE9" w:rsidRPr="00E37FBE" w:rsidRDefault="00274EE9" w:rsidP="00274EE9">
            <w:pPr>
              <w:spacing w:before="0" w:after="0"/>
              <w:rPr>
                <w:szCs w:val="20"/>
              </w:rPr>
            </w:pPr>
            <w:r>
              <w:rPr>
                <w:rFonts w:ascii="Times New Roman" w:hAnsi="Times New Roman"/>
              </w:rPr>
              <w:t>Valamennyi partner, amely esetében a forrás fedezett, kivéve az 575/2013/EU rendelet 411. cikkének 2. pontjában meghatározott lakossági betétekkel rendelkezőket.</w:t>
            </w:r>
          </w:p>
          <w:p w14:paraId="0B9B72C2" w14:textId="273E7D60" w:rsidR="003439C5" w:rsidRPr="00E37FBE" w:rsidRDefault="003439C5" w:rsidP="003439C5">
            <w:pPr>
              <w:spacing w:before="0" w:after="0"/>
              <w:rPr>
                <w:rFonts w:ascii="Times New Roman" w:hAnsi="Times New Roman"/>
                <w:b/>
                <w:szCs w:val="20"/>
                <w:u w:val="single"/>
                <w:lang w:eastAsia="en-GB"/>
              </w:rPr>
            </w:pPr>
          </w:p>
        </w:tc>
      </w:tr>
      <w:tr w:rsidR="003439C5" w:rsidRPr="00E37FBE" w14:paraId="2EB68234" w14:textId="77777777" w:rsidTr="00D75947">
        <w:trPr>
          <w:trHeight w:val="1020"/>
        </w:trPr>
        <w:tc>
          <w:tcPr>
            <w:tcW w:w="729" w:type="pct"/>
            <w:shd w:val="clear" w:color="auto" w:fill="auto"/>
            <w:noWrap/>
          </w:tcPr>
          <w:p w14:paraId="62D3C328" w14:textId="25E885A9"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0160</w:t>
            </w:r>
          </w:p>
        </w:tc>
        <w:tc>
          <w:tcPr>
            <w:tcW w:w="4271" w:type="pct"/>
            <w:shd w:val="clear" w:color="auto" w:fill="auto"/>
          </w:tcPr>
          <w:p w14:paraId="26450696" w14:textId="61B5533B"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2.2.1.</w:t>
            </w:r>
            <w:r>
              <w:rPr>
                <w:rFonts w:ascii="Times New Roman" w:hAnsi="Times New Roman"/>
                <w:b/>
                <w:u w:val="single"/>
              </w:rPr>
              <w:tab/>
              <w:t>ebből: értékpapír-finanszírozási ügylet</w:t>
            </w:r>
          </w:p>
          <w:p w14:paraId="07691F9D" w14:textId="77777777" w:rsidR="00274EE9" w:rsidRPr="00E37FBE" w:rsidRDefault="00274EE9" w:rsidP="00274EE9">
            <w:pPr>
              <w:spacing w:before="0" w:after="0"/>
              <w:rPr>
                <w:rFonts w:ascii="Times New Roman" w:hAnsi="Times New Roman"/>
                <w:szCs w:val="20"/>
                <w:lang w:eastAsia="en-GB"/>
              </w:rPr>
            </w:pPr>
          </w:p>
          <w:p w14:paraId="56E76DB8" w14:textId="0042FE93" w:rsidR="00274EE9" w:rsidRPr="00E37FBE" w:rsidRDefault="00274EE9" w:rsidP="00274EE9">
            <w:pPr>
              <w:spacing w:before="0" w:after="0"/>
              <w:rPr>
                <w:szCs w:val="20"/>
              </w:rPr>
            </w:pPr>
            <w:r>
              <w:rPr>
                <w:rFonts w:ascii="Times New Roman" w:hAnsi="Times New Roman"/>
              </w:rPr>
              <w:t xml:space="preserve">A 0150-es sorban feltüntetett </w:t>
            </w:r>
            <w:proofErr w:type="gramStart"/>
            <w:r>
              <w:rPr>
                <w:rFonts w:ascii="Times New Roman" w:hAnsi="Times New Roman"/>
              </w:rPr>
              <w:t>finanszírozásból</w:t>
            </w:r>
            <w:proofErr w:type="gramEnd"/>
            <w:r>
              <w:rPr>
                <w:rFonts w:ascii="Times New Roman" w:hAnsi="Times New Roman"/>
              </w:rPr>
              <w:t xml:space="preserve"> az a forrás, amely az 575/2013/EU rendelet 4. cikke (1) bekezdésének 82. pontjában meghatározott </w:t>
            </w:r>
            <w:proofErr w:type="spellStart"/>
            <w:r>
              <w:rPr>
                <w:rFonts w:ascii="Times New Roman" w:hAnsi="Times New Roman"/>
              </w:rPr>
              <w:t>repomegállapodásokból</w:t>
            </w:r>
            <w:proofErr w:type="spellEnd"/>
            <w:r>
              <w:rPr>
                <w:rFonts w:ascii="Times New Roman" w:hAnsi="Times New Roman"/>
              </w:rPr>
              <w:t xml:space="preserve"> származik.</w:t>
            </w:r>
          </w:p>
          <w:p w14:paraId="70F2D3DC" w14:textId="6524FC14" w:rsidR="003439C5" w:rsidRPr="00E37FBE" w:rsidRDefault="003439C5" w:rsidP="003439C5">
            <w:pPr>
              <w:spacing w:before="0" w:after="0"/>
              <w:rPr>
                <w:rFonts w:ascii="Times New Roman" w:hAnsi="Times New Roman"/>
                <w:b/>
                <w:szCs w:val="20"/>
                <w:u w:val="single"/>
                <w:lang w:eastAsia="en-GB"/>
              </w:rPr>
            </w:pPr>
          </w:p>
        </w:tc>
      </w:tr>
      <w:tr w:rsidR="003439C5" w:rsidRPr="00E37FBE" w14:paraId="1B268195" w14:textId="77777777" w:rsidTr="00D75947">
        <w:trPr>
          <w:trHeight w:val="1020"/>
        </w:trPr>
        <w:tc>
          <w:tcPr>
            <w:tcW w:w="729" w:type="pct"/>
            <w:shd w:val="clear" w:color="auto" w:fill="auto"/>
            <w:noWrap/>
          </w:tcPr>
          <w:p w14:paraId="636EECA5" w14:textId="6E8B1E7F"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0170</w:t>
            </w:r>
          </w:p>
        </w:tc>
        <w:tc>
          <w:tcPr>
            <w:tcW w:w="4271" w:type="pct"/>
            <w:shd w:val="clear" w:color="auto" w:fill="auto"/>
          </w:tcPr>
          <w:p w14:paraId="3FE9A1CB" w14:textId="355DF6A4"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2.2.2.</w:t>
            </w:r>
            <w:r>
              <w:rPr>
                <w:rFonts w:ascii="Times New Roman" w:hAnsi="Times New Roman"/>
                <w:b/>
                <w:u w:val="single"/>
              </w:rPr>
              <w:tab/>
              <w:t>ebből: fedezett kötvény kibocsátása</w:t>
            </w:r>
          </w:p>
          <w:p w14:paraId="00F0B9AC" w14:textId="77777777" w:rsidR="003439C5" w:rsidRPr="00E37FBE" w:rsidRDefault="003439C5" w:rsidP="00D75947">
            <w:pPr>
              <w:spacing w:before="0" w:after="0"/>
              <w:rPr>
                <w:rFonts w:ascii="Times New Roman" w:hAnsi="Times New Roman"/>
                <w:b/>
                <w:szCs w:val="20"/>
                <w:u w:val="single"/>
                <w:lang w:eastAsia="en-GB"/>
              </w:rPr>
            </w:pPr>
          </w:p>
          <w:p w14:paraId="31797266" w14:textId="36494370" w:rsidR="003439C5" w:rsidRPr="00E37FBE" w:rsidRDefault="00274EE9">
            <w:pPr>
              <w:spacing w:before="0" w:after="0"/>
              <w:rPr>
                <w:rFonts w:ascii="Times New Roman" w:hAnsi="Times New Roman"/>
                <w:b/>
                <w:szCs w:val="20"/>
                <w:u w:val="single"/>
              </w:rPr>
            </w:pPr>
            <w:r>
              <w:rPr>
                <w:rFonts w:ascii="Times New Roman" w:hAnsi="Times New Roman"/>
              </w:rPr>
              <w:t xml:space="preserve">A 0150-es sorban feltüntetett </w:t>
            </w:r>
            <w:proofErr w:type="gramStart"/>
            <w:r>
              <w:rPr>
                <w:rFonts w:ascii="Times New Roman" w:hAnsi="Times New Roman"/>
              </w:rPr>
              <w:t>finanszírozásból</w:t>
            </w:r>
            <w:proofErr w:type="gramEnd"/>
            <w:r>
              <w:rPr>
                <w:rFonts w:ascii="Times New Roman" w:hAnsi="Times New Roman"/>
              </w:rPr>
              <w:t xml:space="preserve"> az a forrás, amely az 575/2013/EU rendelet 129. cikkének (4) vagy (5) bekezdésében meghatározott vagy a 2009/65/EK irányelv 52. cikkének (4) bekezdésében említett fedezettkötvény-kibocsátásból származik.</w:t>
            </w:r>
          </w:p>
        </w:tc>
      </w:tr>
      <w:tr w:rsidR="003439C5" w:rsidRPr="00E37FBE" w14:paraId="03D91A24" w14:textId="77777777" w:rsidTr="00D75947">
        <w:trPr>
          <w:trHeight w:val="1020"/>
        </w:trPr>
        <w:tc>
          <w:tcPr>
            <w:tcW w:w="729" w:type="pct"/>
            <w:shd w:val="clear" w:color="auto" w:fill="auto"/>
            <w:noWrap/>
          </w:tcPr>
          <w:p w14:paraId="66BC9574" w14:textId="42D0EA61"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0180</w:t>
            </w:r>
          </w:p>
        </w:tc>
        <w:tc>
          <w:tcPr>
            <w:tcW w:w="4271" w:type="pct"/>
            <w:shd w:val="clear" w:color="auto" w:fill="auto"/>
          </w:tcPr>
          <w:p w14:paraId="6F3DFEBC" w14:textId="161D0230"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2.2.3.</w:t>
            </w:r>
            <w:r>
              <w:rPr>
                <w:rFonts w:ascii="Times New Roman" w:hAnsi="Times New Roman"/>
                <w:b/>
                <w:u w:val="single"/>
              </w:rPr>
              <w:tab/>
              <w:t>ebből: eszközfedezetű értékpapír kibocsátása</w:t>
            </w:r>
          </w:p>
          <w:p w14:paraId="38626DC8" w14:textId="77777777" w:rsidR="003439C5" w:rsidRPr="00E37FBE" w:rsidRDefault="003439C5" w:rsidP="00D75947">
            <w:pPr>
              <w:spacing w:before="0" w:after="0"/>
              <w:rPr>
                <w:rFonts w:ascii="Times New Roman" w:hAnsi="Times New Roman"/>
                <w:b/>
                <w:szCs w:val="20"/>
                <w:u w:val="single"/>
                <w:lang w:eastAsia="en-GB"/>
              </w:rPr>
            </w:pPr>
          </w:p>
          <w:p w14:paraId="6BBE6FEF" w14:textId="75DEF1CA" w:rsidR="003439C5" w:rsidRPr="00E37FBE" w:rsidRDefault="00274EE9" w:rsidP="00A84FD7">
            <w:pPr>
              <w:spacing w:before="0" w:after="0"/>
              <w:rPr>
                <w:rFonts w:ascii="Times New Roman" w:hAnsi="Times New Roman"/>
                <w:b/>
                <w:szCs w:val="20"/>
                <w:u w:val="single"/>
              </w:rPr>
            </w:pPr>
            <w:r>
              <w:rPr>
                <w:rFonts w:ascii="Times New Roman" w:hAnsi="Times New Roman"/>
              </w:rPr>
              <w:t xml:space="preserve">A 0150-es sorban feltüntetett </w:t>
            </w:r>
            <w:proofErr w:type="gramStart"/>
            <w:r>
              <w:rPr>
                <w:rFonts w:ascii="Times New Roman" w:hAnsi="Times New Roman"/>
              </w:rPr>
              <w:t>finanszírozásból</w:t>
            </w:r>
            <w:proofErr w:type="gramEnd"/>
            <w:r>
              <w:rPr>
                <w:rFonts w:ascii="Times New Roman" w:hAnsi="Times New Roman"/>
              </w:rPr>
              <w:t xml:space="preserve"> az a forrás, amely eszközfedezetű kereskedelmi értékpapír kibocsátásából származik, beleértve az eszközfedezetű kereskedelmi értékpapírokat.</w:t>
            </w:r>
          </w:p>
        </w:tc>
      </w:tr>
      <w:tr w:rsidR="003439C5" w:rsidRPr="00E37FBE" w14:paraId="597FCB34" w14:textId="77777777" w:rsidTr="00D75947">
        <w:trPr>
          <w:trHeight w:val="1020"/>
        </w:trPr>
        <w:tc>
          <w:tcPr>
            <w:tcW w:w="729" w:type="pct"/>
            <w:shd w:val="clear" w:color="auto" w:fill="auto"/>
            <w:noWrap/>
          </w:tcPr>
          <w:p w14:paraId="4E4276DD" w14:textId="58DC3FC3"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0190</w:t>
            </w:r>
          </w:p>
        </w:tc>
        <w:tc>
          <w:tcPr>
            <w:tcW w:w="4271" w:type="pct"/>
            <w:shd w:val="clear" w:color="auto" w:fill="auto"/>
          </w:tcPr>
          <w:p w14:paraId="4610D9F3" w14:textId="19EBD19F"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2.2.4.</w:t>
            </w:r>
            <w:r>
              <w:rPr>
                <w:rFonts w:ascii="Times New Roman" w:hAnsi="Times New Roman"/>
                <w:b/>
                <w:u w:val="single"/>
              </w:rPr>
              <w:tab/>
              <w:t xml:space="preserve">ebből: csoporton belüli jogalanyoktól származó, származtatott eszközöktől és rövid </w:t>
            </w:r>
            <w:proofErr w:type="gramStart"/>
            <w:r>
              <w:rPr>
                <w:rFonts w:ascii="Times New Roman" w:hAnsi="Times New Roman"/>
                <w:b/>
                <w:u w:val="single"/>
              </w:rPr>
              <w:t>pozícióktól</w:t>
            </w:r>
            <w:proofErr w:type="gramEnd"/>
            <w:r>
              <w:rPr>
                <w:rFonts w:ascii="Times New Roman" w:hAnsi="Times New Roman"/>
                <w:b/>
                <w:u w:val="single"/>
              </w:rPr>
              <w:t xml:space="preserve"> eltérő pénzügyi kötelezettségek</w:t>
            </w:r>
          </w:p>
          <w:p w14:paraId="39B4FABF" w14:textId="77777777" w:rsidR="003439C5" w:rsidRPr="00E37FBE" w:rsidRDefault="003439C5" w:rsidP="00D75947">
            <w:pPr>
              <w:spacing w:before="0" w:after="0"/>
              <w:rPr>
                <w:rFonts w:ascii="Times New Roman" w:hAnsi="Times New Roman"/>
                <w:b/>
                <w:szCs w:val="20"/>
                <w:u w:val="single"/>
                <w:lang w:eastAsia="en-GB"/>
              </w:rPr>
            </w:pPr>
          </w:p>
          <w:p w14:paraId="10DC82D6" w14:textId="221F85BE" w:rsidR="003439C5" w:rsidRPr="00E37FBE" w:rsidRDefault="00274EE9" w:rsidP="003439C5">
            <w:pPr>
              <w:spacing w:before="0" w:after="0"/>
              <w:rPr>
                <w:rFonts w:ascii="Times New Roman" w:hAnsi="Times New Roman"/>
                <w:szCs w:val="20"/>
              </w:rPr>
            </w:pPr>
            <w:r>
              <w:rPr>
                <w:rFonts w:ascii="Times New Roman" w:hAnsi="Times New Roman"/>
              </w:rPr>
              <w:t xml:space="preserve">A 0150-es sorban feltüntetett </w:t>
            </w:r>
            <w:proofErr w:type="gramStart"/>
            <w:r>
              <w:rPr>
                <w:rFonts w:ascii="Times New Roman" w:hAnsi="Times New Roman"/>
              </w:rPr>
              <w:t>finanszírozásból</w:t>
            </w:r>
            <w:proofErr w:type="gramEnd"/>
            <w:r>
              <w:rPr>
                <w:rFonts w:ascii="Times New Roman" w:hAnsi="Times New Roman"/>
              </w:rPr>
              <w:t xml:space="preserve"> az a forrás, amely a csoporton belüli olyan jogalanyoktól származik, amelyek esetében a partner az intézmény anyavállalata vagy leányvállalata, vagy ugyanazon anyavállalatnak egy másik leányvállalata vagy a hitelintézettel a 2013/34/EU irányelv 22. cikkének (7) bekezdése értelmében vett kapcsolatban áll. </w:t>
            </w:r>
          </w:p>
          <w:p w14:paraId="7693FB65" w14:textId="77777777" w:rsidR="00274EE9" w:rsidRPr="00E37FBE" w:rsidRDefault="00274EE9" w:rsidP="003439C5">
            <w:pPr>
              <w:spacing w:before="0" w:after="0"/>
              <w:rPr>
                <w:rFonts w:ascii="Times New Roman" w:hAnsi="Times New Roman"/>
                <w:szCs w:val="20"/>
                <w:lang w:eastAsia="en-GB"/>
              </w:rPr>
            </w:pPr>
          </w:p>
          <w:p w14:paraId="2A9F2247" w14:textId="77777777" w:rsidR="00274EE9" w:rsidRPr="00E37FBE" w:rsidRDefault="00274EE9" w:rsidP="003439C5">
            <w:pPr>
              <w:spacing w:before="0" w:after="0"/>
              <w:rPr>
                <w:rFonts w:ascii="Times New Roman" w:hAnsi="Times New Roman"/>
                <w:szCs w:val="20"/>
              </w:rPr>
            </w:pPr>
            <w:r>
              <w:rPr>
                <w:rFonts w:ascii="Times New Roman" w:hAnsi="Times New Roman"/>
              </w:rPr>
              <w:t xml:space="preserve">A csoporton belüli jogalanyoktól származó nem lakossági </w:t>
            </w:r>
            <w:proofErr w:type="gramStart"/>
            <w:r>
              <w:rPr>
                <w:rFonts w:ascii="Times New Roman" w:hAnsi="Times New Roman"/>
              </w:rPr>
              <w:t>finanszírozást</w:t>
            </w:r>
            <w:proofErr w:type="gramEnd"/>
            <w:r>
              <w:rPr>
                <w:rFonts w:ascii="Times New Roman" w:hAnsi="Times New Roman"/>
              </w:rPr>
              <w:t xml:space="preserve"> csak egyedi vagy </w:t>
            </w:r>
            <w:proofErr w:type="spellStart"/>
            <w:r>
              <w:rPr>
                <w:rFonts w:ascii="Times New Roman" w:hAnsi="Times New Roman"/>
              </w:rPr>
              <w:t>szubkonszolidált</w:t>
            </w:r>
            <w:proofErr w:type="spellEnd"/>
            <w:r>
              <w:rPr>
                <w:rFonts w:ascii="Times New Roman" w:hAnsi="Times New Roman"/>
              </w:rPr>
              <w:t xml:space="preserve"> alapon kell jelenteni.</w:t>
            </w:r>
          </w:p>
          <w:p w14:paraId="66D6CCE8" w14:textId="326011FF" w:rsidR="00274EE9" w:rsidRPr="00E37FBE" w:rsidRDefault="00274EE9" w:rsidP="003439C5">
            <w:pPr>
              <w:spacing w:before="0" w:after="0"/>
              <w:rPr>
                <w:rFonts w:ascii="Times New Roman" w:hAnsi="Times New Roman"/>
                <w:b/>
                <w:szCs w:val="20"/>
                <w:u w:val="single"/>
                <w:lang w:eastAsia="en-GB"/>
              </w:rPr>
            </w:pPr>
          </w:p>
        </w:tc>
      </w:tr>
    </w:tbl>
    <w:p w14:paraId="7D6D2F2B" w14:textId="77777777" w:rsidR="003439C5" w:rsidRPr="00E37FBE" w:rsidRDefault="003439C5" w:rsidP="00927DCB">
      <w:pPr>
        <w:pStyle w:val="InstructionsText2"/>
        <w:numPr>
          <w:ilvl w:val="0"/>
          <w:numId w:val="0"/>
        </w:numPr>
        <w:ind w:left="714"/>
      </w:pPr>
    </w:p>
    <w:p w14:paraId="4C97EC73" w14:textId="0F43F4E9" w:rsidR="00A344AA" w:rsidRPr="00E37FBE" w:rsidRDefault="00A344AA" w:rsidP="00927DCB">
      <w:pPr>
        <w:pStyle w:val="InstructionsText2"/>
        <w:numPr>
          <w:ilvl w:val="0"/>
          <w:numId w:val="13"/>
        </w:numPr>
        <w:rPr>
          <w:u w:val="none"/>
        </w:rPr>
      </w:pPr>
      <w:r>
        <w:rPr>
          <w:u w:val="none"/>
        </w:rPr>
        <w:t>Az intézményeknek minden egyes terméktípusra vonatkozóan ki kell tölteniük a 0010–0050-es oszlopok mindegyikét.</w:t>
      </w:r>
    </w:p>
    <w:p w14:paraId="2935E76B" w14:textId="7C96738C" w:rsidR="00792E65" w:rsidRPr="00E37FBE" w:rsidRDefault="00792E65" w:rsidP="00927DCB">
      <w:pPr>
        <w:pStyle w:val="InstructionsText2"/>
        <w:numPr>
          <w:ilvl w:val="0"/>
          <w:numId w:val="13"/>
        </w:numPr>
        <w:rPr>
          <w:u w:val="none"/>
        </w:rPr>
      </w:pPr>
      <w:r>
        <w:rPr>
          <w:u w:val="none"/>
        </w:rPr>
        <w:t xml:space="preserve">Az 1. sorban („Lakossági </w:t>
      </w:r>
      <w:proofErr w:type="gramStart"/>
      <w:r>
        <w:rPr>
          <w:u w:val="none"/>
        </w:rPr>
        <w:t>finanszírozás</w:t>
      </w:r>
      <w:proofErr w:type="gramEnd"/>
      <w:r>
        <w:rPr>
          <w:u w:val="none"/>
        </w:rPr>
        <w:t xml:space="preserve">”), a 2.1. sorban („Fedezetlen nem lakossági finanszírozás”) és a 2.2. sorban („Fedezett nem lakossági finanszírozás”) megadott adatok terméktípusok szélesebb körét tartalmazhatják, mint az „ebből” tételek.  </w:t>
      </w:r>
    </w:p>
    <w:p w14:paraId="5C94FB4A" w14:textId="649B48DC" w:rsidR="008E720B" w:rsidRPr="00E37FBE" w:rsidRDefault="008E720B" w:rsidP="008E720B">
      <w:pPr>
        <w:pStyle w:val="InstructionsText2"/>
        <w:numPr>
          <w:ilvl w:val="0"/>
          <w:numId w:val="13"/>
        </w:numPr>
        <w:rPr>
          <w:u w:val="none"/>
        </w:rPr>
      </w:pPr>
      <w:r>
        <w:rPr>
          <w:u w:val="none"/>
        </w:rPr>
        <w:t>A részvények nem tüntethetők fel ebben a táblában.</w:t>
      </w:r>
    </w:p>
    <w:p w14:paraId="2FED639D" w14:textId="77777777" w:rsidR="00A344AA" w:rsidRPr="00E37FBE" w:rsidRDefault="00A344AA" w:rsidP="00927DCB">
      <w:pPr>
        <w:pStyle w:val="InstructionsText2"/>
        <w:numPr>
          <w:ilvl w:val="0"/>
          <w:numId w:val="13"/>
        </w:numPr>
        <w:rPr>
          <w:u w:val="none"/>
        </w:rPr>
      </w:pPr>
      <w:r>
        <w:rPr>
          <w:u w:val="none"/>
        </w:rPr>
        <w:t>A tábla egyes oszlopaira vonatkozó útmutató: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7086"/>
      </w:tblGrid>
      <w:tr w:rsidR="00A344AA" w:rsidRPr="00E37FBE" w14:paraId="735A9F04" w14:textId="77777777" w:rsidTr="00775F73">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41134272" w14:textId="77777777" w:rsidR="00A344AA" w:rsidRPr="00E37FBE" w:rsidRDefault="00A344AA" w:rsidP="00ED2EE2">
            <w:pPr>
              <w:spacing w:before="0" w:after="0"/>
              <w:jc w:val="left"/>
              <w:rPr>
                <w:rStyle w:val="InstructionsTabelleText"/>
                <w:rFonts w:ascii="Times New Roman" w:hAnsi="Times New Roman"/>
                <w:szCs w:val="20"/>
              </w:rPr>
            </w:pPr>
            <w:r>
              <w:rPr>
                <w:rStyle w:val="InstructionsTabelleText"/>
                <w:rFonts w:ascii="Times New Roman" w:hAnsi="Times New Roman"/>
              </w:rPr>
              <w:t>Oszlop</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1AE8E309" w14:textId="77777777" w:rsidR="00A344AA" w:rsidRPr="00E37FBE" w:rsidRDefault="00A344AA" w:rsidP="00ED2EE2">
            <w:pPr>
              <w:spacing w:before="0" w:after="0"/>
              <w:jc w:val="left"/>
              <w:rPr>
                <w:rStyle w:val="InstructionsTabelleText"/>
                <w:rFonts w:ascii="Times New Roman" w:hAnsi="Times New Roman"/>
                <w:szCs w:val="20"/>
              </w:rPr>
            </w:pPr>
            <w:r>
              <w:rPr>
                <w:rStyle w:val="InstructionsTabelleText"/>
                <w:rFonts w:ascii="Times New Roman" w:hAnsi="Times New Roman"/>
              </w:rPr>
              <w:t>Jogszabályi hivatkozások és útmutató</w:t>
            </w:r>
          </w:p>
        </w:tc>
      </w:tr>
      <w:tr w:rsidR="00A344AA" w:rsidRPr="00E37FBE" w14:paraId="0B67BCAB"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769358FB" w14:textId="7C6D4669" w:rsidR="00A344AA" w:rsidRPr="00E37FBE" w:rsidRDefault="00C90DF5">
            <w:pPr>
              <w:spacing w:before="0" w:after="0"/>
              <w:jc w:val="left"/>
              <w:rPr>
                <w:rFonts w:ascii="Times New Roman" w:hAnsi="Times New Roman"/>
                <w:color w:val="000000"/>
                <w:szCs w:val="20"/>
              </w:rPr>
            </w:pPr>
            <w:r>
              <w:rPr>
                <w:rFonts w:ascii="Times New Roman" w:hAnsi="Times New Roman"/>
                <w:color w:val="000000"/>
              </w:rPr>
              <w:t>0010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0DC9910B" w14:textId="05DD65EB" w:rsidR="00A344AA" w:rsidRPr="00E37FBE" w:rsidRDefault="00A344AA" w:rsidP="00476C32">
            <w:pPr>
              <w:spacing w:before="0" w:after="0"/>
              <w:rPr>
                <w:rFonts w:ascii="Times New Roman" w:hAnsi="Times New Roman"/>
                <w:b/>
                <w:szCs w:val="20"/>
                <w:u w:val="single"/>
              </w:rPr>
            </w:pPr>
            <w:r>
              <w:rPr>
                <w:rFonts w:ascii="Times New Roman" w:hAnsi="Times New Roman"/>
                <w:b/>
                <w:u w:val="single"/>
              </w:rPr>
              <w:t>Kapott könyv szerinti érték</w:t>
            </w:r>
          </w:p>
          <w:p w14:paraId="08CE1037" w14:textId="77777777" w:rsidR="00A344AA" w:rsidRPr="00E37FBE" w:rsidRDefault="00A344AA" w:rsidP="00476C32">
            <w:pPr>
              <w:spacing w:before="0" w:after="0"/>
              <w:rPr>
                <w:rFonts w:ascii="Times New Roman" w:hAnsi="Times New Roman"/>
                <w:b/>
                <w:szCs w:val="20"/>
                <w:u w:val="single"/>
                <w:lang w:eastAsia="en-GB"/>
              </w:rPr>
            </w:pPr>
          </w:p>
          <w:p w14:paraId="3436EC68" w14:textId="32DBCBF4" w:rsidR="00A344AA" w:rsidRPr="00E37FBE" w:rsidRDefault="00A344AA" w:rsidP="00476C32">
            <w:pPr>
              <w:spacing w:before="0" w:after="0"/>
              <w:rPr>
                <w:szCs w:val="20"/>
              </w:rPr>
            </w:pPr>
            <w:r>
              <w:rPr>
                <w:rFonts w:ascii="Times New Roman" w:hAnsi="Times New Roman"/>
              </w:rPr>
              <w:t xml:space="preserve">A „Termék neve” oszlopban felsorolt egyes terméktípusokból származó források könyv szerinti összegét a tábla 0010-es oszlopában kell megadni. </w:t>
            </w:r>
            <w:r>
              <w:t xml:space="preserve"> </w:t>
            </w:r>
          </w:p>
          <w:p w14:paraId="6450D0D1" w14:textId="583458BA" w:rsidR="00FC506E" w:rsidRPr="00E37FBE" w:rsidRDefault="00FC506E" w:rsidP="00476C32">
            <w:pPr>
              <w:spacing w:before="0" w:after="0"/>
              <w:rPr>
                <w:rFonts w:ascii="Times New Roman" w:hAnsi="Times New Roman"/>
                <w:b/>
                <w:szCs w:val="20"/>
                <w:u w:val="single"/>
                <w:lang w:eastAsia="en-GB"/>
              </w:rPr>
            </w:pPr>
          </w:p>
        </w:tc>
      </w:tr>
      <w:tr w:rsidR="00A344AA" w:rsidRPr="00E37FBE" w14:paraId="48340044"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25BD9E53" w14:textId="1008E594" w:rsidR="00A344AA" w:rsidRPr="00E37FBE" w:rsidRDefault="00C90DF5">
            <w:pPr>
              <w:spacing w:before="0" w:after="0"/>
              <w:jc w:val="left"/>
              <w:rPr>
                <w:rFonts w:ascii="Times New Roman" w:hAnsi="Times New Roman"/>
                <w:color w:val="000000"/>
                <w:szCs w:val="20"/>
              </w:rPr>
            </w:pPr>
            <w:r>
              <w:rPr>
                <w:rFonts w:ascii="Times New Roman" w:hAnsi="Times New Roman"/>
                <w:color w:val="000000"/>
              </w:rPr>
              <w:t>0020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66FA473" w14:textId="49F557A5" w:rsidR="00A344AA" w:rsidRPr="00E37FBE" w:rsidRDefault="00A344AA" w:rsidP="00476C32">
            <w:pPr>
              <w:spacing w:before="0" w:after="0"/>
              <w:rPr>
                <w:rFonts w:ascii="Times New Roman" w:hAnsi="Times New Roman"/>
                <w:b/>
                <w:szCs w:val="20"/>
                <w:u w:val="single"/>
              </w:rPr>
            </w:pPr>
            <w:r>
              <w:rPr>
                <w:rFonts w:ascii="Times New Roman" w:hAnsi="Times New Roman"/>
                <w:b/>
                <w:u w:val="single"/>
              </w:rPr>
              <w:t>A 2014/49/EU irányelv szerinti betétbiztosítási rendszer vagy harmadik ország azzal egyenértékű betétbiztosítási rendszere által biztosított összeg</w:t>
            </w:r>
          </w:p>
          <w:p w14:paraId="3404C8DD" w14:textId="77777777" w:rsidR="00A344AA" w:rsidRPr="00E37FBE" w:rsidRDefault="00A344AA" w:rsidP="00763448">
            <w:pPr>
              <w:spacing w:before="0" w:after="0"/>
              <w:rPr>
                <w:rFonts w:ascii="Times New Roman" w:hAnsi="Times New Roman"/>
                <w:b/>
                <w:szCs w:val="20"/>
                <w:u w:val="single"/>
                <w:lang w:eastAsia="en-GB"/>
              </w:rPr>
            </w:pPr>
          </w:p>
          <w:p w14:paraId="369A8E24" w14:textId="352C207D" w:rsidR="00A344AA" w:rsidRPr="00E37FBE" w:rsidRDefault="00A344AA" w:rsidP="00490B62">
            <w:pPr>
              <w:spacing w:before="0" w:after="0"/>
              <w:rPr>
                <w:rFonts w:ascii="Times New Roman" w:hAnsi="Times New Roman"/>
                <w:szCs w:val="20"/>
              </w:rPr>
            </w:pPr>
            <w:r>
              <w:rPr>
                <w:rFonts w:ascii="Times New Roman" w:hAnsi="Times New Roman"/>
              </w:rPr>
              <w:t xml:space="preserve">A „Termék neve” oszlopban felsorolt egyes terméktípusokból származó, a 0010-es oszlopban feltüntetett források teljes összegéből a 2014/49/EU irányelv szerinti </w:t>
            </w:r>
            <w:r>
              <w:rPr>
                <w:rFonts w:ascii="Times New Roman" w:hAnsi="Times New Roman"/>
              </w:rPr>
              <w:lastRenderedPageBreak/>
              <w:t xml:space="preserve">betétbiztosítási rendszer vagy harmadik ország azzal egyenértékű betétbiztosítási rendszere által biztosított összeg. </w:t>
            </w:r>
          </w:p>
          <w:p w14:paraId="624BDC55" w14:textId="77777777" w:rsidR="00A344AA" w:rsidRPr="00E37FBE" w:rsidRDefault="00A344AA" w:rsidP="00490B62">
            <w:pPr>
              <w:spacing w:before="0" w:after="0"/>
              <w:rPr>
                <w:rFonts w:ascii="Times New Roman" w:hAnsi="Times New Roman"/>
                <w:szCs w:val="20"/>
                <w:lang w:eastAsia="en-GB"/>
              </w:rPr>
            </w:pPr>
          </w:p>
          <w:p w14:paraId="1350A03E" w14:textId="7A0A8921" w:rsidR="00A344AA" w:rsidRPr="00E37FBE" w:rsidRDefault="00A344AA" w:rsidP="00FA63BD">
            <w:pPr>
              <w:spacing w:before="0" w:after="0"/>
              <w:rPr>
                <w:rFonts w:ascii="Times New Roman" w:hAnsi="Times New Roman"/>
                <w:szCs w:val="20"/>
              </w:rPr>
            </w:pPr>
            <w:r>
              <w:rPr>
                <w:rFonts w:ascii="Times New Roman" w:hAnsi="Times New Roman"/>
              </w:rPr>
              <w:t>Megjegyzés: a „Termék neve” oszlopban felsorolt egyes termékkategóriákból származó források 0020-as és 0030-as oszlopban megadott összegeinek meg kell egyezniük a 0010-es oszlopban szereplő teljes kapott összeggel.</w:t>
            </w:r>
          </w:p>
          <w:p w14:paraId="17202B90" w14:textId="77777777" w:rsidR="00A344AA" w:rsidRPr="00E37FBE" w:rsidRDefault="00A344AA" w:rsidP="00476C32">
            <w:pPr>
              <w:spacing w:before="0" w:after="0"/>
              <w:rPr>
                <w:rFonts w:ascii="Times New Roman" w:hAnsi="Times New Roman"/>
                <w:b/>
                <w:szCs w:val="20"/>
                <w:u w:val="single"/>
                <w:lang w:eastAsia="en-GB"/>
              </w:rPr>
            </w:pPr>
          </w:p>
        </w:tc>
      </w:tr>
      <w:tr w:rsidR="00A344AA" w:rsidRPr="00E37FBE" w14:paraId="2F048CBA"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0DFAF916" w14:textId="52775B77" w:rsidR="00A344AA" w:rsidRPr="00E37FBE" w:rsidRDefault="00A344AA">
            <w:pPr>
              <w:spacing w:before="0" w:after="0"/>
              <w:jc w:val="left"/>
              <w:rPr>
                <w:rFonts w:ascii="Times New Roman" w:hAnsi="Times New Roman"/>
                <w:color w:val="000000"/>
                <w:szCs w:val="20"/>
              </w:rPr>
            </w:pPr>
            <w:r>
              <w:rPr>
                <w:rFonts w:ascii="Times New Roman" w:hAnsi="Times New Roman"/>
                <w:color w:val="000000"/>
              </w:rPr>
              <w:lastRenderedPageBreak/>
              <w:t>0030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032864C" w14:textId="6430446F" w:rsidR="00A344AA" w:rsidRPr="00E37FBE" w:rsidRDefault="00A344AA" w:rsidP="00476C32">
            <w:pPr>
              <w:spacing w:before="0" w:after="0"/>
              <w:rPr>
                <w:rFonts w:ascii="Times New Roman" w:hAnsi="Times New Roman"/>
                <w:b/>
                <w:szCs w:val="20"/>
                <w:u w:val="single"/>
              </w:rPr>
            </w:pPr>
            <w:r>
              <w:rPr>
                <w:rFonts w:ascii="Times New Roman" w:hAnsi="Times New Roman"/>
                <w:b/>
                <w:u w:val="single"/>
              </w:rPr>
              <w:t>A 2014/49/EU irányelv szerinti betétbiztosítási rendszer vagy harmadik ország azzal egyenértékű betétbiztosítási rendszere által nem biztosított összeg</w:t>
            </w:r>
          </w:p>
          <w:p w14:paraId="5D57127C" w14:textId="77777777" w:rsidR="00A344AA" w:rsidRPr="00E37FBE" w:rsidRDefault="00A344AA" w:rsidP="00476C32">
            <w:pPr>
              <w:spacing w:before="0" w:after="0"/>
              <w:rPr>
                <w:rFonts w:ascii="Times New Roman" w:hAnsi="Times New Roman"/>
                <w:b/>
                <w:szCs w:val="20"/>
                <w:u w:val="single"/>
                <w:lang w:eastAsia="en-GB"/>
              </w:rPr>
            </w:pPr>
          </w:p>
          <w:p w14:paraId="706D0911" w14:textId="78E734DF" w:rsidR="00A344AA" w:rsidRPr="00E37FBE" w:rsidRDefault="00A344AA" w:rsidP="00763448">
            <w:pPr>
              <w:spacing w:before="0" w:after="0"/>
              <w:rPr>
                <w:rFonts w:ascii="Times New Roman" w:hAnsi="Times New Roman"/>
                <w:szCs w:val="20"/>
              </w:rPr>
            </w:pPr>
            <w:r>
              <w:rPr>
                <w:rFonts w:ascii="Times New Roman" w:hAnsi="Times New Roman"/>
              </w:rPr>
              <w:t xml:space="preserve">A „Termék neve” oszlopban felsorolt egyes terméktípusokból származó, a 0010-es oszlopban feltüntetett források teljes összegéből a 2014/49/EU irányelv szerinti betétbiztosítási rendszer vagy harmadik ország azzal egyenértékű betétbiztosítási rendszere által </w:t>
            </w:r>
            <w:r>
              <w:rPr>
                <w:rFonts w:ascii="Times New Roman" w:hAnsi="Times New Roman"/>
                <w:u w:val="single"/>
              </w:rPr>
              <w:t>nem</w:t>
            </w:r>
            <w:r>
              <w:rPr>
                <w:rFonts w:ascii="Times New Roman" w:hAnsi="Times New Roman"/>
              </w:rPr>
              <w:t xml:space="preserve"> biztosított összeg. </w:t>
            </w:r>
          </w:p>
          <w:p w14:paraId="2201D234" w14:textId="77777777" w:rsidR="00A344AA" w:rsidRPr="00E37FBE" w:rsidRDefault="00A344AA" w:rsidP="00490B62">
            <w:pPr>
              <w:spacing w:before="0" w:after="0"/>
              <w:rPr>
                <w:rFonts w:ascii="Times New Roman" w:hAnsi="Times New Roman"/>
                <w:szCs w:val="20"/>
                <w:lang w:eastAsia="en-GB"/>
              </w:rPr>
            </w:pPr>
          </w:p>
          <w:p w14:paraId="3AE9E67D" w14:textId="58E44A91" w:rsidR="00A344AA" w:rsidRPr="00E37FBE" w:rsidRDefault="00A344AA" w:rsidP="00490B62">
            <w:pPr>
              <w:spacing w:before="0" w:after="0"/>
              <w:rPr>
                <w:rFonts w:ascii="Times New Roman" w:hAnsi="Times New Roman"/>
                <w:szCs w:val="20"/>
              </w:rPr>
            </w:pPr>
            <w:r>
              <w:rPr>
                <w:rFonts w:ascii="Times New Roman" w:hAnsi="Times New Roman"/>
              </w:rPr>
              <w:t>Megjegyzés: a „Termék neve” oszlopban felsorolt egyes terméktípusokból származó források 0020-as és 0030-as oszlopban megadott összegeinek meg kell egyezniük a 0010-es oszlopban szereplő teljes kapott összeggel.</w:t>
            </w:r>
          </w:p>
          <w:p w14:paraId="3A3C1BD5" w14:textId="77777777" w:rsidR="00A344AA" w:rsidRPr="00E37FBE" w:rsidRDefault="00A344AA" w:rsidP="00476C32">
            <w:pPr>
              <w:spacing w:before="0" w:after="0"/>
              <w:rPr>
                <w:rFonts w:ascii="Times New Roman" w:hAnsi="Times New Roman"/>
                <w:b/>
                <w:szCs w:val="20"/>
                <w:u w:val="single"/>
                <w:lang w:eastAsia="en-GB"/>
              </w:rPr>
            </w:pPr>
          </w:p>
        </w:tc>
      </w:tr>
      <w:tr w:rsidR="00A344AA" w:rsidRPr="00E37FBE" w14:paraId="451E213E" w14:textId="77777777" w:rsidTr="005B086D">
        <w:trPr>
          <w:trHeight w:val="459"/>
        </w:trPr>
        <w:tc>
          <w:tcPr>
            <w:tcW w:w="729" w:type="pct"/>
            <w:shd w:val="clear" w:color="auto" w:fill="auto"/>
            <w:noWrap/>
          </w:tcPr>
          <w:p w14:paraId="5C9786F2" w14:textId="69D66EDF" w:rsidR="00A344AA" w:rsidRPr="00E37FBE" w:rsidRDefault="00C90DF5" w:rsidP="00ED2EE2">
            <w:pPr>
              <w:spacing w:before="0" w:after="0"/>
              <w:jc w:val="left"/>
              <w:rPr>
                <w:rFonts w:ascii="Times New Roman" w:hAnsi="Times New Roman"/>
                <w:color w:val="000000"/>
                <w:szCs w:val="20"/>
              </w:rPr>
            </w:pPr>
            <w:r>
              <w:rPr>
                <w:rFonts w:ascii="Times New Roman" w:hAnsi="Times New Roman"/>
                <w:color w:val="000000"/>
              </w:rPr>
              <w:t>0040</w:t>
            </w:r>
          </w:p>
        </w:tc>
        <w:tc>
          <w:tcPr>
            <w:tcW w:w="4271" w:type="pct"/>
            <w:shd w:val="clear" w:color="auto" w:fill="auto"/>
          </w:tcPr>
          <w:p w14:paraId="3C20E7C7" w14:textId="1D00688B" w:rsidR="00A344AA" w:rsidRPr="00E37FBE" w:rsidRDefault="00A344AA" w:rsidP="00476C32">
            <w:pPr>
              <w:spacing w:before="0" w:after="0"/>
              <w:rPr>
                <w:rFonts w:ascii="Times New Roman" w:hAnsi="Times New Roman"/>
                <w:b/>
                <w:szCs w:val="20"/>
                <w:u w:val="single"/>
              </w:rPr>
            </w:pPr>
            <w:r>
              <w:rPr>
                <w:rFonts w:ascii="Times New Roman" w:hAnsi="Times New Roman"/>
                <w:b/>
                <w:u w:val="single"/>
              </w:rPr>
              <w:t>Súlyozott átlagos eredeti futamidő</w:t>
            </w:r>
          </w:p>
          <w:p w14:paraId="55688C6B" w14:textId="77777777" w:rsidR="00A344AA" w:rsidRPr="00E37FBE" w:rsidRDefault="00A344AA" w:rsidP="00476C32">
            <w:pPr>
              <w:spacing w:before="0" w:after="0"/>
              <w:rPr>
                <w:rFonts w:ascii="Times New Roman" w:hAnsi="Times New Roman"/>
                <w:b/>
                <w:szCs w:val="20"/>
                <w:u w:val="single"/>
                <w:lang w:eastAsia="en-GB"/>
              </w:rPr>
            </w:pPr>
          </w:p>
          <w:p w14:paraId="26DFB785" w14:textId="490D8ABF" w:rsidR="00A344AA" w:rsidRPr="00E37FBE" w:rsidRDefault="00A344AA" w:rsidP="00763448">
            <w:pPr>
              <w:spacing w:before="0" w:after="0"/>
              <w:rPr>
                <w:rFonts w:ascii="Times New Roman" w:hAnsi="Times New Roman"/>
                <w:szCs w:val="20"/>
              </w:rPr>
            </w:pPr>
            <w:r>
              <w:rPr>
                <w:rFonts w:ascii="Times New Roman" w:hAnsi="Times New Roman"/>
              </w:rPr>
              <w:t xml:space="preserve">A „Termék neve” oszlopban felsorolt terméktípusokból származó, a 0010-es oszlopban feltüntetett forrás összegéhez a 0040-es oszlopban meg kell adni a forrás súlyozott átlagos eredeti </w:t>
            </w:r>
            <w:proofErr w:type="spellStart"/>
            <w:r>
              <w:rPr>
                <w:rFonts w:ascii="Times New Roman" w:hAnsi="Times New Roman"/>
              </w:rPr>
              <w:t>futamidejét</w:t>
            </w:r>
            <w:proofErr w:type="spellEnd"/>
            <w:r>
              <w:rPr>
                <w:rFonts w:ascii="Times New Roman" w:hAnsi="Times New Roman"/>
              </w:rPr>
              <w:t xml:space="preserve"> (napokban).</w:t>
            </w:r>
          </w:p>
          <w:p w14:paraId="6F902A34" w14:textId="77777777" w:rsidR="00A344AA" w:rsidRPr="00E37FBE" w:rsidRDefault="00A344AA" w:rsidP="00490B62">
            <w:pPr>
              <w:spacing w:before="0" w:after="0"/>
              <w:rPr>
                <w:rFonts w:ascii="Times New Roman" w:hAnsi="Times New Roman"/>
                <w:szCs w:val="20"/>
                <w:lang w:eastAsia="en-GB"/>
              </w:rPr>
            </w:pPr>
          </w:p>
          <w:p w14:paraId="4993C5F5" w14:textId="1018E08A" w:rsidR="00A344AA" w:rsidRPr="00E37FBE" w:rsidRDefault="00B06740" w:rsidP="00476C32">
            <w:pPr>
              <w:spacing w:before="0" w:after="0"/>
              <w:rPr>
                <w:rFonts w:ascii="Times New Roman" w:hAnsi="Times New Roman"/>
                <w:szCs w:val="20"/>
              </w:rPr>
            </w:pPr>
            <w:r>
              <w:rPr>
                <w:rFonts w:ascii="Times New Roman" w:hAnsi="Times New Roman"/>
              </w:rPr>
              <w:t xml:space="preserve">A súlyozott átlagos eredeti futamidő az adott terméktípus kibocsátásából származó források napokban kifejezett átlagos eredeti futamideje. Az átlag a források nagyságával súlyozott, és a kapott forrás különböző összegeinek az adott terméktípus valamennyi kibocsátásából származó teljes </w:t>
            </w:r>
            <w:proofErr w:type="gramStart"/>
            <w:r>
              <w:rPr>
                <w:rFonts w:ascii="Times New Roman" w:hAnsi="Times New Roman"/>
              </w:rPr>
              <w:t>finanszírozáshoz</w:t>
            </w:r>
            <w:proofErr w:type="gramEnd"/>
            <w:r>
              <w:rPr>
                <w:rFonts w:ascii="Times New Roman" w:hAnsi="Times New Roman"/>
              </w:rPr>
              <w:t xml:space="preserve"> viszonyított aránya alapján kell kiszámítani.</w:t>
            </w:r>
          </w:p>
        </w:tc>
      </w:tr>
      <w:tr w:rsidR="00A344AA" w:rsidRPr="00E37FBE" w14:paraId="42EE78BF" w14:textId="77777777" w:rsidTr="00ED2EE2">
        <w:trPr>
          <w:trHeight w:val="1020"/>
        </w:trPr>
        <w:tc>
          <w:tcPr>
            <w:tcW w:w="729" w:type="pct"/>
            <w:shd w:val="clear" w:color="auto" w:fill="auto"/>
            <w:noWrap/>
          </w:tcPr>
          <w:p w14:paraId="2FEE2E2D" w14:textId="0191775C" w:rsidR="00A344AA" w:rsidRPr="00E37FBE" w:rsidRDefault="00A344AA" w:rsidP="00ED2EE2">
            <w:pPr>
              <w:spacing w:before="0" w:after="0"/>
              <w:jc w:val="left"/>
              <w:rPr>
                <w:rFonts w:ascii="Times New Roman" w:hAnsi="Times New Roman"/>
                <w:color w:val="000000"/>
                <w:szCs w:val="20"/>
              </w:rPr>
            </w:pPr>
            <w:r>
              <w:rPr>
                <w:rFonts w:ascii="Times New Roman" w:hAnsi="Times New Roman"/>
                <w:color w:val="000000"/>
              </w:rPr>
              <w:t>0050</w:t>
            </w:r>
          </w:p>
        </w:tc>
        <w:tc>
          <w:tcPr>
            <w:tcW w:w="4271" w:type="pct"/>
            <w:shd w:val="clear" w:color="auto" w:fill="auto"/>
          </w:tcPr>
          <w:p w14:paraId="5F6E4857" w14:textId="77777777" w:rsidR="00A344AA" w:rsidRPr="00E37FBE" w:rsidRDefault="00A344AA" w:rsidP="00476C32">
            <w:pPr>
              <w:spacing w:before="0" w:after="0"/>
              <w:rPr>
                <w:rFonts w:ascii="Times New Roman" w:hAnsi="Times New Roman"/>
                <w:b/>
                <w:szCs w:val="20"/>
                <w:u w:val="single"/>
              </w:rPr>
            </w:pPr>
            <w:r>
              <w:rPr>
                <w:rFonts w:ascii="Times New Roman" w:hAnsi="Times New Roman"/>
                <w:b/>
                <w:u w:val="single"/>
              </w:rPr>
              <w:t>Súlyozott átlagos hátralévő futamidő</w:t>
            </w:r>
          </w:p>
          <w:p w14:paraId="24DA2333" w14:textId="77777777" w:rsidR="00A344AA" w:rsidRPr="00E37FBE" w:rsidRDefault="00A344AA" w:rsidP="00476C32">
            <w:pPr>
              <w:spacing w:before="0" w:after="0"/>
              <w:rPr>
                <w:rFonts w:ascii="Times New Roman" w:hAnsi="Times New Roman"/>
                <w:b/>
                <w:szCs w:val="20"/>
                <w:u w:val="single"/>
                <w:lang w:eastAsia="en-GB"/>
              </w:rPr>
            </w:pPr>
          </w:p>
          <w:p w14:paraId="5F851D17" w14:textId="279094B5" w:rsidR="00A344AA" w:rsidRPr="00E37FBE" w:rsidRDefault="00A344AA" w:rsidP="00763448">
            <w:pPr>
              <w:spacing w:before="0" w:after="0"/>
              <w:rPr>
                <w:rFonts w:ascii="Times New Roman" w:hAnsi="Times New Roman"/>
                <w:szCs w:val="20"/>
              </w:rPr>
            </w:pPr>
            <w:r>
              <w:rPr>
                <w:rFonts w:ascii="Times New Roman" w:hAnsi="Times New Roman"/>
              </w:rPr>
              <w:t xml:space="preserve">A „Termék neve” oszlopban felsorolt terméktípusokból származó, a 0010-es oszlopban feltüntetett forrás összegéhez a 0050-es oszlopban meg kell adni a forrás súlyozott átlagos hátralévő </w:t>
            </w:r>
            <w:proofErr w:type="spellStart"/>
            <w:r>
              <w:rPr>
                <w:rFonts w:ascii="Times New Roman" w:hAnsi="Times New Roman"/>
              </w:rPr>
              <w:t>futamidejét</w:t>
            </w:r>
            <w:proofErr w:type="spellEnd"/>
            <w:r>
              <w:rPr>
                <w:rFonts w:ascii="Times New Roman" w:hAnsi="Times New Roman"/>
              </w:rPr>
              <w:t xml:space="preserve"> (napokban).</w:t>
            </w:r>
          </w:p>
          <w:p w14:paraId="10B9D2BA" w14:textId="77777777" w:rsidR="00A344AA" w:rsidRPr="00E37FBE" w:rsidRDefault="00A344AA" w:rsidP="00490B62">
            <w:pPr>
              <w:spacing w:before="0" w:after="0"/>
              <w:rPr>
                <w:rFonts w:ascii="Times New Roman" w:hAnsi="Times New Roman"/>
                <w:szCs w:val="20"/>
                <w:lang w:eastAsia="en-GB"/>
              </w:rPr>
            </w:pPr>
          </w:p>
          <w:p w14:paraId="7D5D34BD" w14:textId="7C13E3AC" w:rsidR="00A344AA" w:rsidRPr="00E37FBE" w:rsidRDefault="00B06740" w:rsidP="00476C32">
            <w:pPr>
              <w:spacing w:before="0" w:after="0"/>
              <w:rPr>
                <w:rFonts w:ascii="Times New Roman" w:hAnsi="Times New Roman"/>
                <w:szCs w:val="20"/>
              </w:rPr>
            </w:pPr>
            <w:r>
              <w:rPr>
                <w:rFonts w:ascii="Times New Roman" w:hAnsi="Times New Roman"/>
              </w:rPr>
              <w:t xml:space="preserve">A súlyozott átlagos hátralévő futamidő az adott terméktípus kibocsátásából származó források napokban kifejezett átlagos hátralévő futamideje. Az átlag a források nagyságával súlyozott, és a kapott forrás különböző összegeinek az adott terméktípus valamennyi kibocsátásából származó teljes </w:t>
            </w:r>
            <w:proofErr w:type="gramStart"/>
            <w:r>
              <w:rPr>
                <w:rFonts w:ascii="Times New Roman" w:hAnsi="Times New Roman"/>
              </w:rPr>
              <w:t>finanszírozáshoz</w:t>
            </w:r>
            <w:proofErr w:type="gramEnd"/>
            <w:r>
              <w:rPr>
                <w:rFonts w:ascii="Times New Roman" w:hAnsi="Times New Roman"/>
              </w:rPr>
              <w:t xml:space="preserve"> viszonyított aránya alapján kell kiszámítani.</w:t>
            </w:r>
          </w:p>
          <w:p w14:paraId="7FC1A546" w14:textId="77777777" w:rsidR="00A344AA" w:rsidRPr="00E37FBE" w:rsidRDefault="00A344AA" w:rsidP="00476C32">
            <w:pPr>
              <w:spacing w:before="0" w:after="0"/>
              <w:rPr>
                <w:rFonts w:ascii="Times New Roman" w:hAnsi="Times New Roman"/>
                <w:b/>
                <w:szCs w:val="20"/>
                <w:u w:val="single"/>
                <w:lang w:eastAsia="en-GB"/>
              </w:rPr>
            </w:pPr>
          </w:p>
        </w:tc>
      </w:tr>
    </w:tbl>
    <w:p w14:paraId="46B6DB4F" w14:textId="77777777" w:rsidR="00A344AA" w:rsidRPr="00E37FBE" w:rsidRDefault="00A344AA"/>
    <w:p w14:paraId="079161C6" w14:textId="77777777" w:rsidR="00D02FE4" w:rsidRPr="00E37FBE" w:rsidRDefault="00181260" w:rsidP="00DD5897">
      <w:pPr>
        <w:pStyle w:val="Instructionsberschrift2"/>
        <w:numPr>
          <w:ilvl w:val="1"/>
          <w:numId w:val="2"/>
        </w:numPr>
        <w:spacing w:before="0"/>
        <w:rPr>
          <w:rFonts w:ascii="Times New Roman" w:hAnsi="Times New Roman" w:cs="Times New Roman"/>
          <w:szCs w:val="20"/>
        </w:rPr>
      </w:pPr>
      <w:r>
        <w:rPr>
          <w:rFonts w:ascii="Times New Roman" w:hAnsi="Times New Roman"/>
        </w:rPr>
        <w:t xml:space="preserve">Árazás különböző </w:t>
      </w:r>
      <w:proofErr w:type="gramStart"/>
      <w:r>
        <w:rPr>
          <w:rFonts w:ascii="Times New Roman" w:hAnsi="Times New Roman"/>
        </w:rPr>
        <w:t>finanszírozási</w:t>
      </w:r>
      <w:proofErr w:type="gramEnd"/>
      <w:r>
        <w:rPr>
          <w:rFonts w:ascii="Times New Roman" w:hAnsi="Times New Roman"/>
        </w:rPr>
        <w:t xml:space="preserve"> futamidők esetén (C 69.00)</w:t>
      </w:r>
    </w:p>
    <w:p w14:paraId="691ACAEA" w14:textId="381B9664" w:rsidR="002C154A" w:rsidRPr="00E37FBE" w:rsidRDefault="00DD76F0" w:rsidP="00927DCB">
      <w:pPr>
        <w:pStyle w:val="InstructionsText2"/>
        <w:numPr>
          <w:ilvl w:val="0"/>
          <w:numId w:val="7"/>
        </w:numPr>
        <w:rPr>
          <w:u w:val="none"/>
        </w:rPr>
      </w:pPr>
      <w:r>
        <w:rPr>
          <w:u w:val="none"/>
        </w:rPr>
        <w:t xml:space="preserve">Az intézményeknek a C 69.00-es táblában kell megadniuk az ügyleti volument és az intézmények által az adatszolgáltatási időszakban kapott és az adatszolgáltatási időszakban még fennálló </w:t>
      </w:r>
      <w:proofErr w:type="gramStart"/>
      <w:r>
        <w:rPr>
          <w:u w:val="none"/>
        </w:rPr>
        <w:t>finanszírozásért</w:t>
      </w:r>
      <w:proofErr w:type="gramEnd"/>
      <w:r>
        <w:rPr>
          <w:u w:val="none"/>
        </w:rPr>
        <w:t xml:space="preserve"> fizetett árakat az alábbi eredeti futamidők szerint:</w:t>
      </w:r>
    </w:p>
    <w:p w14:paraId="43E76F50" w14:textId="4AC64B2B" w:rsidR="0019013A" w:rsidRPr="00E37FBE" w:rsidRDefault="00C13077" w:rsidP="00927DCB">
      <w:pPr>
        <w:pStyle w:val="InstructionsText2"/>
        <w:numPr>
          <w:ilvl w:val="1"/>
          <w:numId w:val="13"/>
        </w:numPr>
        <w:ind w:left="993" w:hanging="284"/>
        <w:rPr>
          <w:u w:val="none"/>
        </w:rPr>
      </w:pPr>
      <w:r>
        <w:rPr>
          <w:u w:val="none"/>
        </w:rPr>
        <w:tab/>
        <w:t>egynapos (0010-es és 0020-as oszlop);</w:t>
      </w:r>
    </w:p>
    <w:p w14:paraId="20A63704" w14:textId="215042ED" w:rsidR="0019013A" w:rsidRPr="00E37FBE" w:rsidRDefault="00325582" w:rsidP="00927DCB">
      <w:pPr>
        <w:pStyle w:val="InstructionsText2"/>
        <w:numPr>
          <w:ilvl w:val="0"/>
          <w:numId w:val="0"/>
        </w:numPr>
        <w:ind w:left="714"/>
        <w:rPr>
          <w:u w:val="none"/>
        </w:rPr>
      </w:pPr>
      <w:r>
        <w:rPr>
          <w:u w:val="none"/>
        </w:rPr>
        <w:t>b)</w:t>
      </w:r>
      <w:r>
        <w:rPr>
          <w:u w:val="none"/>
        </w:rPr>
        <w:tab/>
        <w:t>egynaposnál hosszabb, de legfeljebb 1 hét (0030-as és 0040-es oszlop)</w:t>
      </w:r>
    </w:p>
    <w:p w14:paraId="23995DF6" w14:textId="5ED92FC7" w:rsidR="0019013A" w:rsidRPr="00E37FBE" w:rsidRDefault="00325582" w:rsidP="00927DCB">
      <w:pPr>
        <w:pStyle w:val="InstructionsText2"/>
        <w:numPr>
          <w:ilvl w:val="0"/>
          <w:numId w:val="0"/>
        </w:numPr>
        <w:ind w:left="714"/>
        <w:rPr>
          <w:u w:val="none"/>
        </w:rPr>
      </w:pPr>
      <w:r>
        <w:rPr>
          <w:u w:val="none"/>
        </w:rPr>
        <w:t>c)</w:t>
      </w:r>
      <w:r>
        <w:rPr>
          <w:u w:val="none"/>
        </w:rPr>
        <w:tab/>
        <w:t>1 hétnél hosszabb, de legfeljebb 1 hónap (0050-es és 0060-as oszlop);</w:t>
      </w:r>
    </w:p>
    <w:p w14:paraId="4DB6611C" w14:textId="459C7F5D" w:rsidR="0019013A" w:rsidRPr="00E37FBE" w:rsidRDefault="00325582" w:rsidP="00927DCB">
      <w:pPr>
        <w:pStyle w:val="InstructionsText2"/>
        <w:numPr>
          <w:ilvl w:val="0"/>
          <w:numId w:val="0"/>
        </w:numPr>
        <w:ind w:left="714"/>
        <w:rPr>
          <w:u w:val="none"/>
        </w:rPr>
      </w:pPr>
      <w:r>
        <w:rPr>
          <w:u w:val="none"/>
        </w:rPr>
        <w:t>d)</w:t>
      </w:r>
      <w:r>
        <w:rPr>
          <w:u w:val="none"/>
        </w:rPr>
        <w:tab/>
        <w:t>1 hónapnál hosszabb, de legfeljebb 3 hónap (0070-es és 0080-as oszlop);</w:t>
      </w:r>
    </w:p>
    <w:p w14:paraId="68B85898" w14:textId="7209A964" w:rsidR="0019013A" w:rsidRPr="00E37FBE" w:rsidRDefault="00325582" w:rsidP="00927DCB">
      <w:pPr>
        <w:pStyle w:val="InstructionsText2"/>
        <w:numPr>
          <w:ilvl w:val="0"/>
          <w:numId w:val="0"/>
        </w:numPr>
        <w:ind w:left="714"/>
        <w:rPr>
          <w:u w:val="none"/>
        </w:rPr>
      </w:pPr>
      <w:proofErr w:type="gramStart"/>
      <w:r>
        <w:rPr>
          <w:u w:val="none"/>
        </w:rPr>
        <w:t>e</w:t>
      </w:r>
      <w:proofErr w:type="gramEnd"/>
      <w:r>
        <w:rPr>
          <w:u w:val="none"/>
        </w:rPr>
        <w:t>)</w:t>
      </w:r>
      <w:r>
        <w:rPr>
          <w:u w:val="none"/>
        </w:rPr>
        <w:tab/>
        <w:t>3 hónapnál hosszabb, de legfeljebb 6 hónap (0090-es és 0100-as oszlop);</w:t>
      </w:r>
    </w:p>
    <w:p w14:paraId="032BAEDE" w14:textId="28ACEB9C" w:rsidR="00172727" w:rsidRPr="00E37FBE" w:rsidRDefault="00325582" w:rsidP="00927DCB">
      <w:pPr>
        <w:pStyle w:val="InstructionsText2"/>
        <w:numPr>
          <w:ilvl w:val="0"/>
          <w:numId w:val="0"/>
        </w:numPr>
        <w:ind w:left="714"/>
        <w:rPr>
          <w:u w:val="none"/>
        </w:rPr>
      </w:pPr>
      <w:proofErr w:type="gramStart"/>
      <w:r>
        <w:rPr>
          <w:u w:val="none"/>
        </w:rPr>
        <w:lastRenderedPageBreak/>
        <w:t>f</w:t>
      </w:r>
      <w:proofErr w:type="gramEnd"/>
      <w:r>
        <w:rPr>
          <w:u w:val="none"/>
        </w:rPr>
        <w:t>)</w:t>
      </w:r>
      <w:r>
        <w:rPr>
          <w:u w:val="none"/>
        </w:rPr>
        <w:tab/>
        <w:t>6 hónapnál hosszabb, de legfeljebb 1 év (0110-es és 0120-as oszlop);</w:t>
      </w:r>
    </w:p>
    <w:p w14:paraId="3DE0207D" w14:textId="4293226F" w:rsidR="0019013A" w:rsidRPr="00E37FBE" w:rsidRDefault="00325582" w:rsidP="00927DCB">
      <w:pPr>
        <w:pStyle w:val="InstructionsText2"/>
        <w:numPr>
          <w:ilvl w:val="0"/>
          <w:numId w:val="0"/>
        </w:numPr>
        <w:ind w:left="714"/>
        <w:rPr>
          <w:u w:val="none"/>
        </w:rPr>
      </w:pPr>
      <w:proofErr w:type="gramStart"/>
      <w:r>
        <w:rPr>
          <w:u w:val="none"/>
        </w:rPr>
        <w:t>g</w:t>
      </w:r>
      <w:proofErr w:type="gramEnd"/>
      <w:r>
        <w:rPr>
          <w:u w:val="none"/>
        </w:rPr>
        <w:t>)</w:t>
      </w:r>
      <w:r>
        <w:rPr>
          <w:u w:val="none"/>
        </w:rPr>
        <w:tab/>
        <w:t>1 évnél hosszabb, de legfeljebb 2 év (0130-as és 0140-es oszlop);</w:t>
      </w:r>
    </w:p>
    <w:p w14:paraId="5A4B2AD6" w14:textId="735BD35C" w:rsidR="0019013A" w:rsidRPr="00E37FBE" w:rsidRDefault="00325582" w:rsidP="00927DCB">
      <w:pPr>
        <w:pStyle w:val="InstructionsText2"/>
        <w:numPr>
          <w:ilvl w:val="0"/>
          <w:numId w:val="0"/>
        </w:numPr>
        <w:ind w:left="714"/>
        <w:rPr>
          <w:u w:val="none"/>
        </w:rPr>
      </w:pPr>
      <w:proofErr w:type="gramStart"/>
      <w:r>
        <w:rPr>
          <w:u w:val="none"/>
        </w:rPr>
        <w:t>h</w:t>
      </w:r>
      <w:proofErr w:type="gramEnd"/>
      <w:r>
        <w:rPr>
          <w:u w:val="none"/>
        </w:rPr>
        <w:t>)</w:t>
      </w:r>
      <w:r>
        <w:rPr>
          <w:u w:val="none"/>
        </w:rPr>
        <w:tab/>
        <w:t>2 évnél hosszabb, de legfeljebb 5 év (0150-es és 0160-as oszlop);</w:t>
      </w:r>
    </w:p>
    <w:p w14:paraId="10B732E8" w14:textId="28F9DAA4" w:rsidR="0019013A" w:rsidRPr="00E37FBE" w:rsidRDefault="00325582" w:rsidP="00927DCB">
      <w:pPr>
        <w:pStyle w:val="InstructionsText2"/>
        <w:numPr>
          <w:ilvl w:val="0"/>
          <w:numId w:val="0"/>
        </w:numPr>
        <w:ind w:left="714"/>
        <w:rPr>
          <w:u w:val="none"/>
        </w:rPr>
      </w:pPr>
      <w:proofErr w:type="spellStart"/>
      <w:r>
        <w:rPr>
          <w:u w:val="none"/>
        </w:rPr>
        <w:t>i)</w:t>
      </w:r>
      <w:proofErr w:type="spellEnd"/>
      <w:r>
        <w:rPr>
          <w:u w:val="none"/>
        </w:rPr>
        <w:tab/>
        <w:t>5 évnél hosszabb, de legfeljebb 10 év (0170-es és 0180-as oszlop).</w:t>
      </w:r>
    </w:p>
    <w:p w14:paraId="6F09AB94" w14:textId="32C85D80" w:rsidR="003B2555" w:rsidRPr="00E37FBE" w:rsidRDefault="003B2555" w:rsidP="00927DCB">
      <w:pPr>
        <w:pStyle w:val="InstructionsText2"/>
        <w:numPr>
          <w:ilvl w:val="0"/>
          <w:numId w:val="0"/>
        </w:numPr>
        <w:ind w:left="714"/>
        <w:rPr>
          <w:u w:val="none"/>
        </w:rPr>
      </w:pPr>
      <w:r>
        <w:rPr>
          <w:u w:val="none"/>
        </w:rPr>
        <w:t>Devizaátértékelések esetén nincs eredeti pénznemben kapott új forrás, és az adatszolgáltató intézmény nem fizet az elhelyezett induló betét eredeti árán felül. Így ebben a táblában devizaátértékelésből eredő pozitív növekmény nincs feltüntetve.</w:t>
      </w:r>
    </w:p>
    <w:p w14:paraId="4BB7D4B6" w14:textId="0E2FDCDB" w:rsidR="00A156BF" w:rsidRPr="00E37FBE" w:rsidRDefault="00A156BF" w:rsidP="00927DCB">
      <w:pPr>
        <w:pStyle w:val="InstructionsText2"/>
        <w:numPr>
          <w:ilvl w:val="0"/>
          <w:numId w:val="0"/>
        </w:numPr>
        <w:ind w:left="714"/>
        <w:rPr>
          <w:u w:val="none"/>
        </w:rPr>
      </w:pPr>
      <w:r>
        <w:rPr>
          <w:u w:val="none"/>
        </w:rPr>
        <w:t xml:space="preserve">A 10 évnél hosszabb eredeti futamidejű </w:t>
      </w:r>
      <w:proofErr w:type="gramStart"/>
      <w:r>
        <w:rPr>
          <w:u w:val="none"/>
        </w:rPr>
        <w:t>finanszírozási</w:t>
      </w:r>
      <w:proofErr w:type="gramEnd"/>
      <w:r>
        <w:rPr>
          <w:u w:val="none"/>
        </w:rPr>
        <w:t xml:space="preserve"> forrásokat nem kell feltüntetni.</w:t>
      </w:r>
    </w:p>
    <w:p w14:paraId="5F28959E" w14:textId="0A765413" w:rsidR="0019013A" w:rsidRPr="00E37FBE" w:rsidRDefault="0019013A" w:rsidP="00927DCB">
      <w:pPr>
        <w:pStyle w:val="InstructionsText2"/>
        <w:numPr>
          <w:ilvl w:val="0"/>
          <w:numId w:val="20"/>
        </w:numPr>
        <w:rPr>
          <w:u w:val="none"/>
        </w:rPr>
      </w:pPr>
      <w:r>
        <w:rPr>
          <w:u w:val="none"/>
        </w:rPr>
        <w:t>A kapott forrás lejáratának megállapításakor az intézményeknek figyelmen kívül kell hagyniuk az üzletkötési nap és az elszámolási nap közötti időszakot, pl. egy két hét múlva teljesített három hónapos kötelezettséget három hónapos lejárattal (0070-es és 0080-as oszlop) kell szerepeltetni.</w:t>
      </w:r>
    </w:p>
    <w:p w14:paraId="3300B61A" w14:textId="6083998F" w:rsidR="00A211F3" w:rsidRPr="00E37FBE" w:rsidRDefault="002C154A" w:rsidP="009077D3">
      <w:pPr>
        <w:pStyle w:val="InstructionsText2"/>
        <w:numPr>
          <w:ilvl w:val="0"/>
          <w:numId w:val="20"/>
        </w:numPr>
        <w:rPr>
          <w:u w:val="none"/>
        </w:rPr>
      </w:pPr>
      <w:r>
        <w:rPr>
          <w:u w:val="none"/>
        </w:rPr>
        <w:t>Az egyes lejárati sávok bal oldali oszlopában az alábbiak szerinti felárat kell megadni:</w:t>
      </w:r>
    </w:p>
    <w:p w14:paraId="3D56C5E8" w14:textId="20EB86DD" w:rsidR="0050708F" w:rsidRPr="00E37FBE" w:rsidRDefault="0050708F" w:rsidP="00AE6A00">
      <w:pPr>
        <w:pStyle w:val="InstructionsText2"/>
        <w:numPr>
          <w:ilvl w:val="0"/>
          <w:numId w:val="20"/>
        </w:numPr>
        <w:rPr>
          <w:u w:val="none"/>
        </w:rPr>
      </w:pPr>
      <w:r>
        <w:rPr>
          <w:u w:val="none"/>
        </w:rPr>
        <w:t xml:space="preserve">az intézmény által a legfeljebb egyéves futamidejű kötelezettségek után fizetendő felár, ha azokat legkésőbb az ügylet napjának végén a megfelelő pénznem egynapos referenciaindexére cserélték volna; </w:t>
      </w:r>
    </w:p>
    <w:p w14:paraId="44F3338B" w14:textId="6511E8C7" w:rsidR="0050708F" w:rsidRPr="00E37FBE" w:rsidRDefault="0050708F" w:rsidP="00AE6A00">
      <w:pPr>
        <w:pStyle w:val="InstructionsText2"/>
        <w:numPr>
          <w:ilvl w:val="0"/>
          <w:numId w:val="20"/>
        </w:numPr>
        <w:rPr>
          <w:u w:val="none"/>
        </w:rPr>
      </w:pPr>
      <w:r>
        <w:rPr>
          <w:u w:val="none"/>
        </w:rPr>
        <w:t>a vállalkozás által az egy évet meghaladó eredeti futamidejű kötelezettségek után kibocsátáskor fizetendő felár, ha azokat legkésőbb az ügylet napjának végén a megfelelő pénznem háromhavi referenciaindexére (például háromhavi EURIBOR (EUR) cserélnék.</w:t>
      </w:r>
    </w:p>
    <w:p w14:paraId="0C9A9801" w14:textId="00966EBC" w:rsidR="006661EC" w:rsidRPr="00E37FBE" w:rsidRDefault="006661EC" w:rsidP="00AE6A00">
      <w:pPr>
        <w:pStyle w:val="InstructionsText2"/>
        <w:numPr>
          <w:ilvl w:val="0"/>
          <w:numId w:val="20"/>
        </w:numPr>
        <w:rPr>
          <w:u w:val="none"/>
        </w:rPr>
      </w:pPr>
      <w:r>
        <w:rPr>
          <w:u w:val="none"/>
        </w:rPr>
        <w:t xml:space="preserve">Kizárólag az a) és b) pont szerinti felár kiszámítása céljából az intézmények az eredeti futamidőt meghatározhatják korábbi tapasztalatok alapján, adott esetben </w:t>
      </w:r>
      <w:proofErr w:type="spellStart"/>
      <w:r>
        <w:rPr>
          <w:u w:val="none"/>
        </w:rPr>
        <w:t>opcionalitás</w:t>
      </w:r>
      <w:proofErr w:type="spellEnd"/>
      <w:r>
        <w:rPr>
          <w:u w:val="none"/>
        </w:rPr>
        <w:t xml:space="preserve"> figyelembevételével vagy </w:t>
      </w:r>
      <w:proofErr w:type="gramStart"/>
      <w:r>
        <w:rPr>
          <w:u w:val="none"/>
        </w:rPr>
        <w:t>anélkül</w:t>
      </w:r>
      <w:proofErr w:type="gramEnd"/>
      <w:r>
        <w:rPr>
          <w:u w:val="none"/>
        </w:rPr>
        <w:t>.</w:t>
      </w:r>
    </w:p>
    <w:p w14:paraId="5EBCC42F" w14:textId="5EFA09B4" w:rsidR="00A211F3" w:rsidRPr="00E37FBE" w:rsidRDefault="0019013A" w:rsidP="006000AE">
      <w:pPr>
        <w:pStyle w:val="InstructionsText2"/>
        <w:numPr>
          <w:ilvl w:val="0"/>
          <w:numId w:val="20"/>
        </w:numPr>
        <w:rPr>
          <w:u w:val="none"/>
        </w:rPr>
      </w:pPr>
      <w:r>
        <w:rPr>
          <w:u w:val="none"/>
        </w:rPr>
        <w:t xml:space="preserve">A felárat bázispontban kell megadni, negatív előjellel abban az esetben, ha az új </w:t>
      </w:r>
      <w:proofErr w:type="gramStart"/>
      <w:r>
        <w:rPr>
          <w:u w:val="none"/>
        </w:rPr>
        <w:t>finanszírozás</w:t>
      </w:r>
      <w:proofErr w:type="gramEnd"/>
      <w:r>
        <w:rPr>
          <w:u w:val="none"/>
        </w:rPr>
        <w:t xml:space="preserve"> olcsóbb, mint a releváns referenciaindexszel számított. A felárakat súlyozott átlag alapján kell kiszámítani. </w:t>
      </w:r>
    </w:p>
    <w:p w14:paraId="0ABF1B64" w14:textId="48812B4E" w:rsidR="0050708F" w:rsidRPr="00E37FBE" w:rsidRDefault="0050708F" w:rsidP="00927DCB">
      <w:pPr>
        <w:pStyle w:val="InstructionsText2"/>
        <w:numPr>
          <w:ilvl w:val="0"/>
          <w:numId w:val="20"/>
        </w:numPr>
        <w:rPr>
          <w:u w:val="none"/>
        </w:rPr>
      </w:pPr>
      <w:r>
        <w:rPr>
          <w:u w:val="none"/>
        </w:rPr>
        <w:t xml:space="preserve">A több kibocsátásra/betétre/kölcsönre vonatkozó, fizetendő átlagos felár meghatározásához az intézményeknek a teljes költséget a kibocsátás pénznemében kell kiszámítaniuk, amelynek </w:t>
      </w:r>
      <w:proofErr w:type="gramStart"/>
      <w:r>
        <w:rPr>
          <w:u w:val="none"/>
        </w:rPr>
        <w:t>során figyelmen</w:t>
      </w:r>
      <w:proofErr w:type="gramEnd"/>
      <w:r>
        <w:rPr>
          <w:u w:val="none"/>
        </w:rPr>
        <w:t xml:space="preserve"> kívül kell hagyniuk valamennyi határidős devizacsere-ügyletet, viszont figyelembe kell venniük a fizetett, illetve kapott felárakat, engedményeket és díjakat, azt alapul véve, hogy az elméleti vagy tényleges kamatcsereügyletek </w:t>
      </w:r>
      <w:proofErr w:type="spellStart"/>
      <w:r>
        <w:rPr>
          <w:u w:val="none"/>
        </w:rPr>
        <w:t>futamidejének</w:t>
      </w:r>
      <w:proofErr w:type="spellEnd"/>
      <w:r>
        <w:rPr>
          <w:u w:val="none"/>
        </w:rPr>
        <w:t xml:space="preserve"> meg kell egyeznie a kötelezettség </w:t>
      </w:r>
      <w:proofErr w:type="spellStart"/>
      <w:r>
        <w:rPr>
          <w:u w:val="none"/>
        </w:rPr>
        <w:t>futamidejével</w:t>
      </w:r>
      <w:proofErr w:type="spellEnd"/>
      <w:r>
        <w:rPr>
          <w:u w:val="none"/>
        </w:rPr>
        <w:t>. A felár a kötelezettség kamatlábának a határidős csereügylet kamatlábával csökkentett értéke.</w:t>
      </w:r>
    </w:p>
    <w:p w14:paraId="608A7669" w14:textId="7761DC23" w:rsidR="00DD5897" w:rsidRPr="00E37FBE" w:rsidRDefault="0019013A" w:rsidP="00927DCB">
      <w:pPr>
        <w:pStyle w:val="InstructionsText2"/>
        <w:numPr>
          <w:ilvl w:val="0"/>
          <w:numId w:val="20"/>
        </w:numPr>
        <w:rPr>
          <w:u w:val="none"/>
        </w:rPr>
      </w:pPr>
      <w:r>
        <w:rPr>
          <w:u w:val="none"/>
        </w:rPr>
        <w:t xml:space="preserve">A „Tétel” oszlopban felsorolt </w:t>
      </w:r>
      <w:proofErr w:type="gramStart"/>
      <w:r>
        <w:rPr>
          <w:u w:val="none"/>
        </w:rPr>
        <w:t>finanszírozási</w:t>
      </w:r>
      <w:proofErr w:type="gramEnd"/>
      <w:r>
        <w:rPr>
          <w:u w:val="none"/>
        </w:rPr>
        <w:t xml:space="preserve"> kategóriákban kapott források összegét a megfelelő lejárati sáv „Volumen” oszlopában kell megadni. </w:t>
      </w:r>
    </w:p>
    <w:p w14:paraId="3AED84FE" w14:textId="5EE87A4E" w:rsidR="004B3AC2" w:rsidRPr="00E37FBE" w:rsidRDefault="004B3AC2" w:rsidP="00927DCB">
      <w:pPr>
        <w:pStyle w:val="InstructionsText2"/>
        <w:numPr>
          <w:ilvl w:val="0"/>
          <w:numId w:val="20"/>
        </w:numPr>
        <w:rPr>
          <w:u w:val="none"/>
        </w:rPr>
      </w:pPr>
      <w:r>
        <w:rPr>
          <w:u w:val="none"/>
        </w:rPr>
        <w:t xml:space="preserve">A „Volumen” oszlopban az intézménynek a kapott új </w:t>
      </w:r>
      <w:proofErr w:type="gramStart"/>
      <w:r>
        <w:rPr>
          <w:u w:val="none"/>
        </w:rPr>
        <w:t>finanszírozás</w:t>
      </w:r>
      <w:proofErr w:type="gramEnd"/>
      <w:r>
        <w:rPr>
          <w:u w:val="none"/>
        </w:rPr>
        <w:t xml:space="preserve"> könyv szerinti értékét kell megadnia az eredeti futamidő szerint alkalmazandó lejárati sávban.</w:t>
      </w:r>
    </w:p>
    <w:p w14:paraId="4513DEDD" w14:textId="0E5B70C9" w:rsidR="004B3AC2" w:rsidRPr="00E37FBE" w:rsidRDefault="00144FB8" w:rsidP="00927DCB">
      <w:pPr>
        <w:pStyle w:val="InstructionsText2"/>
        <w:numPr>
          <w:ilvl w:val="0"/>
          <w:numId w:val="20"/>
        </w:numPr>
        <w:rPr>
          <w:u w:val="none"/>
        </w:rPr>
      </w:pPr>
      <w:r>
        <w:rPr>
          <w:u w:val="none"/>
        </w:rPr>
        <w:t xml:space="preserve">Mint minden tétel, így a mérlegen kívüli kötelezettségvállalások esetében is az intézménynek csak a mérlegben megjelenített kapcsolódó összegeket kell megadnia. Az intézménynek biztosított mérlegen kívüli kötelezettségvállalást csak lehívás után kell megadni a C 69.00-es táblában. Lehívás esetén a jelentendő volumen és felár a lehívott összeg és az alkalmazandó felár az adatszolgáltatási időszak végén. Amennyiben a lehívás nem újítható meg az intézmény mérlegelési jogkörén belül, a lehívás tényleges lejáratát kell megadni. Amennyiben az intézmény már az előző adatszolgáltatási időszak végén lehívta a keretet, és amennyiben ezt követően megemeli a keret igénybevételét, csak a további lehívott összegeket kell jelenteni. </w:t>
      </w:r>
    </w:p>
    <w:p w14:paraId="26598EEA" w14:textId="2CB5C3FB" w:rsidR="00473407" w:rsidRPr="00E37FBE" w:rsidRDefault="00473407" w:rsidP="00927DCB">
      <w:pPr>
        <w:pStyle w:val="InstructionsText2"/>
        <w:numPr>
          <w:ilvl w:val="0"/>
          <w:numId w:val="20"/>
        </w:numPr>
        <w:rPr>
          <w:u w:val="none"/>
        </w:rPr>
      </w:pPr>
      <w:r>
        <w:rPr>
          <w:u w:val="none"/>
        </w:rPr>
        <w:lastRenderedPageBreak/>
        <w:t>A lakossági ügyfelek által elhelyezett betétek az 575/2013/EU rendelet 411. cikkének 2. pontjában meghatározott betéteket tartalmazzák.</w:t>
      </w:r>
    </w:p>
    <w:p w14:paraId="54CC7D8D" w14:textId="0023FC80" w:rsidR="00B96CA8" w:rsidRPr="00E37FBE" w:rsidRDefault="00287BD7" w:rsidP="00927DCB">
      <w:pPr>
        <w:pStyle w:val="InstructionsText2"/>
        <w:numPr>
          <w:ilvl w:val="0"/>
          <w:numId w:val="20"/>
        </w:numPr>
        <w:rPr>
          <w:u w:val="none"/>
        </w:rPr>
      </w:pPr>
      <w:r>
        <w:rPr>
          <w:u w:val="none"/>
        </w:rPr>
        <w:t xml:space="preserve">Az adatszolgáltatási időszakban megújított és az adatszolgáltatási időszak végén még fennálló </w:t>
      </w:r>
      <w:proofErr w:type="gramStart"/>
      <w:r>
        <w:rPr>
          <w:u w:val="none"/>
        </w:rPr>
        <w:t>finanszírozás</w:t>
      </w:r>
      <w:proofErr w:type="gramEnd"/>
      <w:r>
        <w:rPr>
          <w:u w:val="none"/>
        </w:rPr>
        <w:t xml:space="preserve"> esetében az ebben az időpontban (vagyis az adatszolgáltatási időszak végén) alkalmazandó felárak átlagát kell feltüntetni. A C 69.00-es tábla céljából a megújított és az adatszolgáltatási időszak végén még fennálló </w:t>
      </w:r>
      <w:proofErr w:type="gramStart"/>
      <w:r>
        <w:rPr>
          <w:u w:val="none"/>
        </w:rPr>
        <w:t>finanszírozást</w:t>
      </w:r>
      <w:proofErr w:type="gramEnd"/>
      <w:r>
        <w:rPr>
          <w:u w:val="none"/>
        </w:rPr>
        <w:t xml:space="preserve"> új finanszírozásnak kell tekinteni.</w:t>
      </w:r>
    </w:p>
    <w:p w14:paraId="43F95C32" w14:textId="71E535F8" w:rsidR="00BB3757" w:rsidRPr="00E37FBE" w:rsidRDefault="00CD20D9" w:rsidP="00927DCB">
      <w:pPr>
        <w:pStyle w:val="InstructionsText2"/>
        <w:numPr>
          <w:ilvl w:val="0"/>
          <w:numId w:val="20"/>
        </w:numPr>
        <w:rPr>
          <w:u w:val="none"/>
        </w:rPr>
      </w:pPr>
      <w:r>
        <w:rPr>
          <w:u w:val="none"/>
        </w:rPr>
        <w:t xml:space="preserve">Az 1.4. szakasz további részétől eltérve a látra szóló betétek volumenét és felárát csak akkor kell megadni, ha a betétesnek a megelőző adatszolgáltatási időszakban nem volt látra szóló </w:t>
      </w:r>
      <w:proofErr w:type="spellStart"/>
      <w:r>
        <w:rPr>
          <w:u w:val="none"/>
        </w:rPr>
        <w:t>betéte</w:t>
      </w:r>
      <w:proofErr w:type="spellEnd"/>
      <w:r>
        <w:rPr>
          <w:u w:val="none"/>
        </w:rPr>
        <w:t xml:space="preserve">, vagy ha az előző vonatkozási időponthoz képest a betét összege növekedett, amely esetben a növekményt kell új </w:t>
      </w:r>
      <w:proofErr w:type="gramStart"/>
      <w:r>
        <w:rPr>
          <w:u w:val="none"/>
        </w:rPr>
        <w:t>finanszírozás</w:t>
      </w:r>
      <w:proofErr w:type="gramEnd"/>
      <w:r>
        <w:rPr>
          <w:u w:val="none"/>
        </w:rPr>
        <w:t xml:space="preserve">ként kezelni. A felár az időszak végén érvényes felár. </w:t>
      </w:r>
    </w:p>
    <w:p w14:paraId="10927EEB" w14:textId="01546635" w:rsidR="00270986" w:rsidRPr="00E37FBE" w:rsidRDefault="00270986" w:rsidP="00927DCB">
      <w:pPr>
        <w:pStyle w:val="InstructionsText2"/>
        <w:numPr>
          <w:ilvl w:val="0"/>
          <w:numId w:val="20"/>
        </w:numPr>
        <w:rPr>
          <w:u w:val="none"/>
        </w:rPr>
      </w:pPr>
      <w:r>
        <w:rPr>
          <w:u w:val="none"/>
        </w:rPr>
        <w:t>Ha nincs szerepeltethető adat, a felárra vonatkozó cellákat üresen kell hagyni.</w:t>
      </w:r>
    </w:p>
    <w:p w14:paraId="5031E50C" w14:textId="2A8C8C44" w:rsidR="00A156BF" w:rsidRPr="00E37FBE" w:rsidRDefault="00A156BF" w:rsidP="00A156BF">
      <w:pPr>
        <w:pStyle w:val="InstructionsText2"/>
        <w:numPr>
          <w:ilvl w:val="0"/>
          <w:numId w:val="20"/>
        </w:numPr>
        <w:rPr>
          <w:u w:val="none"/>
        </w:rPr>
      </w:pPr>
      <w:r>
        <w:rPr>
          <w:u w:val="none"/>
        </w:rPr>
        <w:t xml:space="preserve">A részvények nem tüntethetők fel ebben a táblában. </w:t>
      </w:r>
    </w:p>
    <w:p w14:paraId="5F1BCA9F" w14:textId="77777777" w:rsidR="002C154A" w:rsidRPr="00E37FBE" w:rsidRDefault="002C154A" w:rsidP="00927DCB">
      <w:pPr>
        <w:pStyle w:val="InstructionsText2"/>
        <w:numPr>
          <w:ilvl w:val="0"/>
          <w:numId w:val="20"/>
        </w:numPr>
        <w:rPr>
          <w:u w:val="none"/>
        </w:rPr>
      </w:pPr>
      <w:r>
        <w:rPr>
          <w:u w:val="none"/>
        </w:rPr>
        <w:t>A tábla egyes soraira vonatkozó útmutató:</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7705"/>
      </w:tblGrid>
      <w:tr w:rsidR="00E332B3" w:rsidRPr="00E37FBE" w14:paraId="3147FD97" w14:textId="77777777" w:rsidTr="00A37629">
        <w:trPr>
          <w:trHeight w:val="567"/>
        </w:trPr>
        <w:tc>
          <w:tcPr>
            <w:tcW w:w="817" w:type="dxa"/>
            <w:shd w:val="clear" w:color="auto" w:fill="E0E0E0"/>
            <w:noWrap/>
            <w:vAlign w:val="center"/>
          </w:tcPr>
          <w:p w14:paraId="48391A04" w14:textId="77777777" w:rsidR="002C154A" w:rsidRPr="00E37FBE" w:rsidRDefault="002C154A" w:rsidP="00ED41A4">
            <w:pPr>
              <w:spacing w:before="0" w:after="0"/>
              <w:jc w:val="left"/>
              <w:rPr>
                <w:rFonts w:ascii="Times New Roman" w:hAnsi="Times New Roman"/>
                <w:szCs w:val="20"/>
              </w:rPr>
            </w:pPr>
            <w:r>
              <w:rPr>
                <w:rStyle w:val="InstructionsTabelleText"/>
                <w:rFonts w:ascii="Times New Roman" w:hAnsi="Times New Roman"/>
              </w:rPr>
              <w:t>Sor</w:t>
            </w:r>
          </w:p>
        </w:tc>
        <w:tc>
          <w:tcPr>
            <w:tcW w:w="7705" w:type="dxa"/>
            <w:shd w:val="clear" w:color="auto" w:fill="E0E0E0"/>
            <w:noWrap/>
            <w:vAlign w:val="center"/>
          </w:tcPr>
          <w:p w14:paraId="51A7E6A4" w14:textId="77777777" w:rsidR="002C154A" w:rsidRPr="00E37FBE" w:rsidRDefault="002C154A" w:rsidP="00ED41A4">
            <w:pPr>
              <w:spacing w:before="0" w:after="0"/>
              <w:jc w:val="left"/>
              <w:rPr>
                <w:rFonts w:ascii="Times New Roman" w:hAnsi="Times New Roman"/>
                <w:szCs w:val="20"/>
              </w:rPr>
            </w:pPr>
            <w:r>
              <w:rPr>
                <w:rStyle w:val="InstructionsTabelleText"/>
                <w:rFonts w:ascii="Times New Roman" w:hAnsi="Times New Roman"/>
              </w:rPr>
              <w:t>Jogszabályi hivatkozások és útmutató</w:t>
            </w:r>
          </w:p>
        </w:tc>
      </w:tr>
      <w:tr w:rsidR="00E332B3" w:rsidRPr="00E37FBE" w14:paraId="5B055368" w14:textId="77777777" w:rsidTr="00A37629">
        <w:trPr>
          <w:trHeight w:val="255"/>
        </w:trPr>
        <w:tc>
          <w:tcPr>
            <w:tcW w:w="817" w:type="dxa"/>
            <w:shd w:val="clear" w:color="auto" w:fill="auto"/>
            <w:noWrap/>
          </w:tcPr>
          <w:p w14:paraId="31D865CB" w14:textId="4D326AD6" w:rsidR="002C154A" w:rsidRPr="00E37FBE" w:rsidRDefault="00C90DF5" w:rsidP="00ED41A4">
            <w:pPr>
              <w:spacing w:before="0" w:after="0"/>
              <w:jc w:val="left"/>
              <w:rPr>
                <w:rFonts w:ascii="Times New Roman" w:hAnsi="Times New Roman"/>
                <w:szCs w:val="20"/>
              </w:rPr>
            </w:pPr>
            <w:r>
              <w:rPr>
                <w:rFonts w:ascii="Times New Roman" w:hAnsi="Times New Roman"/>
              </w:rPr>
              <w:t>0010</w:t>
            </w:r>
          </w:p>
        </w:tc>
        <w:tc>
          <w:tcPr>
            <w:tcW w:w="7705" w:type="dxa"/>
            <w:shd w:val="clear" w:color="auto" w:fill="auto"/>
            <w:noWrap/>
          </w:tcPr>
          <w:p w14:paraId="55C5F1B7" w14:textId="77777777" w:rsidR="002C154A" w:rsidRPr="00E37FBE" w:rsidRDefault="002C154A" w:rsidP="008E1558">
            <w:pPr>
              <w:rPr>
                <w:rFonts w:ascii="Times New Roman" w:hAnsi="Times New Roman"/>
                <w:b/>
                <w:szCs w:val="20"/>
                <w:u w:val="single"/>
              </w:rPr>
            </w:pPr>
            <w:r>
              <w:rPr>
                <w:rFonts w:ascii="Times New Roman" w:hAnsi="Times New Roman"/>
                <w:b/>
                <w:u w:val="single"/>
              </w:rPr>
              <w:t xml:space="preserve">1. Teljes </w:t>
            </w:r>
            <w:proofErr w:type="gramStart"/>
            <w:r>
              <w:rPr>
                <w:rFonts w:ascii="Times New Roman" w:hAnsi="Times New Roman"/>
                <w:b/>
                <w:u w:val="single"/>
              </w:rPr>
              <w:t>finanszírozás</w:t>
            </w:r>
            <w:proofErr w:type="gramEnd"/>
          </w:p>
          <w:p w14:paraId="25D6D292" w14:textId="1DE19D27" w:rsidR="002C154A" w:rsidRPr="00E37FBE" w:rsidRDefault="00E42487" w:rsidP="008E1558">
            <w:pPr>
              <w:rPr>
                <w:rFonts w:ascii="Times New Roman" w:hAnsi="Times New Roman"/>
                <w:szCs w:val="20"/>
              </w:rPr>
            </w:pPr>
            <w:r>
              <w:rPr>
                <w:rFonts w:ascii="Times New Roman" w:hAnsi="Times New Roman"/>
              </w:rPr>
              <w:t>Az összes kapott forrás teljes volumenét és súlyozott átlagos felárát a következőknek megfelelően kell megadni az alábbi futamidőkre vonatkozóan:</w:t>
            </w:r>
          </w:p>
          <w:p w14:paraId="3D5903C1" w14:textId="71E515AA" w:rsidR="007778A0" w:rsidRPr="00E37FBE" w:rsidRDefault="00CD20D9" w:rsidP="002D7C20">
            <w:pPr>
              <w:pStyle w:val="InstructionsText2"/>
              <w:numPr>
                <w:ilvl w:val="1"/>
                <w:numId w:val="47"/>
              </w:numPr>
              <w:rPr>
                <w:u w:val="none"/>
              </w:rPr>
            </w:pPr>
            <w:r>
              <w:rPr>
                <w:u w:val="none"/>
              </w:rPr>
              <w:t>egynapos (0010-es és 0020-as oszlop);</w:t>
            </w:r>
          </w:p>
          <w:p w14:paraId="1AF1DF5A" w14:textId="197B262D" w:rsidR="007778A0" w:rsidRPr="00E37FBE" w:rsidRDefault="00CD20D9" w:rsidP="002D7C20">
            <w:pPr>
              <w:pStyle w:val="InstructionsText2"/>
              <w:numPr>
                <w:ilvl w:val="1"/>
                <w:numId w:val="47"/>
              </w:numPr>
              <w:rPr>
                <w:u w:val="none"/>
              </w:rPr>
            </w:pPr>
            <w:r>
              <w:rPr>
                <w:u w:val="none"/>
              </w:rPr>
              <w:t>egynaposnál hosszabb, de legfeljebb 1 hét (0030-as és 0040-es oszlop)</w:t>
            </w:r>
          </w:p>
          <w:p w14:paraId="4C124A2C" w14:textId="40AAE739" w:rsidR="007778A0" w:rsidRPr="00E37FBE" w:rsidRDefault="00CD20D9" w:rsidP="002D7C20">
            <w:pPr>
              <w:pStyle w:val="InstructionsText2"/>
              <w:numPr>
                <w:ilvl w:val="1"/>
                <w:numId w:val="47"/>
              </w:numPr>
              <w:rPr>
                <w:u w:val="none"/>
              </w:rPr>
            </w:pPr>
            <w:r>
              <w:rPr>
                <w:u w:val="none"/>
              </w:rPr>
              <w:t>1 hétnél hosszabb, de legfeljebb 1 hónap (0050-es és 0060-as oszlop);</w:t>
            </w:r>
          </w:p>
          <w:p w14:paraId="74B468F3" w14:textId="3C21BB5E" w:rsidR="007778A0" w:rsidRPr="00E37FBE" w:rsidRDefault="00CD20D9" w:rsidP="002D7C20">
            <w:pPr>
              <w:pStyle w:val="InstructionsText2"/>
              <w:numPr>
                <w:ilvl w:val="1"/>
                <w:numId w:val="47"/>
              </w:numPr>
              <w:rPr>
                <w:u w:val="none"/>
              </w:rPr>
            </w:pPr>
            <w:r>
              <w:rPr>
                <w:u w:val="none"/>
              </w:rPr>
              <w:t>1 hónapnál hosszabb, de legfeljebb 3 hónap (0070-es és 0080-as oszlop);</w:t>
            </w:r>
          </w:p>
          <w:p w14:paraId="482B32DB" w14:textId="0BE23448" w:rsidR="007778A0" w:rsidRPr="00E37FBE" w:rsidRDefault="00CD20D9" w:rsidP="002D7C20">
            <w:pPr>
              <w:pStyle w:val="InstructionsText2"/>
              <w:numPr>
                <w:ilvl w:val="1"/>
                <w:numId w:val="47"/>
              </w:numPr>
              <w:rPr>
                <w:u w:val="none"/>
              </w:rPr>
            </w:pPr>
            <w:r>
              <w:rPr>
                <w:u w:val="none"/>
              </w:rPr>
              <w:t>3 hónapnál hosszabb, de legfeljebb 6 hónap (0090-es és 0100-as oszlop);</w:t>
            </w:r>
          </w:p>
          <w:p w14:paraId="3C4AC9B6" w14:textId="7E09F360" w:rsidR="007778A0" w:rsidRPr="00E37FBE" w:rsidRDefault="00CD20D9" w:rsidP="002D7C20">
            <w:pPr>
              <w:pStyle w:val="InstructionsText2"/>
              <w:numPr>
                <w:ilvl w:val="1"/>
                <w:numId w:val="47"/>
              </w:numPr>
              <w:rPr>
                <w:u w:val="none"/>
              </w:rPr>
            </w:pPr>
            <w:r>
              <w:rPr>
                <w:u w:val="none"/>
              </w:rPr>
              <w:t>6 hónapnál hosszabb, de legfeljebb 1 év (0110-es és 0120-as oszlop);</w:t>
            </w:r>
          </w:p>
          <w:p w14:paraId="1C290FE7" w14:textId="4E5B0810" w:rsidR="007778A0" w:rsidRPr="00E37FBE" w:rsidRDefault="00CD20D9" w:rsidP="002D7C20">
            <w:pPr>
              <w:pStyle w:val="InstructionsText2"/>
              <w:numPr>
                <w:ilvl w:val="1"/>
                <w:numId w:val="47"/>
              </w:numPr>
              <w:rPr>
                <w:u w:val="none"/>
              </w:rPr>
            </w:pPr>
            <w:r>
              <w:rPr>
                <w:u w:val="none"/>
              </w:rPr>
              <w:t>1 évnél hosszabb, de legfeljebb 2 év (0130-as és 0140-es oszlop);</w:t>
            </w:r>
          </w:p>
          <w:p w14:paraId="6E53E104" w14:textId="03252B84" w:rsidR="007778A0" w:rsidRPr="00E37FBE" w:rsidRDefault="00CD20D9" w:rsidP="002D7C20">
            <w:pPr>
              <w:pStyle w:val="InstructionsText2"/>
              <w:numPr>
                <w:ilvl w:val="1"/>
                <w:numId w:val="47"/>
              </w:numPr>
              <w:rPr>
                <w:u w:val="none"/>
              </w:rPr>
            </w:pPr>
            <w:r>
              <w:rPr>
                <w:u w:val="none"/>
              </w:rPr>
              <w:t>2 évnél hosszabb, de legfeljebb 5 év (0150-es és 0160-as oszlop);</w:t>
            </w:r>
          </w:p>
          <w:p w14:paraId="22EC36F6" w14:textId="5EE6B232" w:rsidR="00CE333E" w:rsidRPr="00E37FBE" w:rsidRDefault="00CD20D9" w:rsidP="002D7C20">
            <w:pPr>
              <w:pStyle w:val="InstructionsText2"/>
              <w:numPr>
                <w:ilvl w:val="1"/>
                <w:numId w:val="47"/>
              </w:numPr>
            </w:pPr>
            <w:r>
              <w:rPr>
                <w:u w:val="none"/>
              </w:rPr>
              <w:t>5 évnél hosszabb, de legfeljebb 10 év (0170-es és 0180-as oszlop).</w:t>
            </w:r>
          </w:p>
        </w:tc>
      </w:tr>
      <w:tr w:rsidR="00E332B3" w:rsidRPr="00E37FBE" w14:paraId="2F05E0FC" w14:textId="77777777" w:rsidTr="00A37629">
        <w:trPr>
          <w:trHeight w:val="255"/>
        </w:trPr>
        <w:tc>
          <w:tcPr>
            <w:tcW w:w="817" w:type="dxa"/>
            <w:shd w:val="clear" w:color="auto" w:fill="auto"/>
            <w:noWrap/>
          </w:tcPr>
          <w:p w14:paraId="765DA707" w14:textId="3CB74DD0" w:rsidR="002C154A" w:rsidRPr="00E37FBE" w:rsidRDefault="00AF1439">
            <w:pPr>
              <w:spacing w:before="0" w:after="0"/>
              <w:jc w:val="left"/>
              <w:rPr>
                <w:rFonts w:ascii="Times New Roman" w:hAnsi="Times New Roman"/>
                <w:szCs w:val="20"/>
              </w:rPr>
            </w:pPr>
            <w:r>
              <w:rPr>
                <w:rFonts w:ascii="Times New Roman" w:hAnsi="Times New Roman"/>
              </w:rPr>
              <w:t>0020</w:t>
            </w:r>
          </w:p>
        </w:tc>
        <w:tc>
          <w:tcPr>
            <w:tcW w:w="7705" w:type="dxa"/>
            <w:shd w:val="clear" w:color="auto" w:fill="auto"/>
            <w:noWrap/>
          </w:tcPr>
          <w:p w14:paraId="01DDA71E" w14:textId="357AA4E4" w:rsidR="002C154A" w:rsidRPr="00E37FBE" w:rsidRDefault="002C154A" w:rsidP="008E1558">
            <w:pPr>
              <w:rPr>
                <w:rFonts w:ascii="Times New Roman" w:hAnsi="Times New Roman"/>
                <w:b/>
                <w:szCs w:val="20"/>
                <w:u w:val="single"/>
              </w:rPr>
            </w:pPr>
            <w:r>
              <w:rPr>
                <w:rFonts w:ascii="Times New Roman" w:hAnsi="Times New Roman"/>
                <w:b/>
                <w:u w:val="single"/>
              </w:rPr>
              <w:t xml:space="preserve">1.1. Lakossági </w:t>
            </w:r>
            <w:proofErr w:type="gramStart"/>
            <w:r>
              <w:rPr>
                <w:rFonts w:ascii="Times New Roman" w:hAnsi="Times New Roman"/>
                <w:b/>
                <w:u w:val="single"/>
              </w:rPr>
              <w:t>finanszírozás</w:t>
            </w:r>
            <w:proofErr w:type="gramEnd"/>
          </w:p>
          <w:p w14:paraId="2F60C8D8" w14:textId="1F37D31E" w:rsidR="002C154A" w:rsidRPr="00E37FBE" w:rsidRDefault="00CE333E" w:rsidP="005E4F4B">
            <w:pPr>
              <w:rPr>
                <w:rFonts w:ascii="Times New Roman" w:hAnsi="Times New Roman"/>
                <w:szCs w:val="20"/>
              </w:rPr>
            </w:pPr>
            <w:r>
              <w:rPr>
                <w:rFonts w:ascii="Times New Roman" w:hAnsi="Times New Roman"/>
              </w:rPr>
              <w:t xml:space="preserve">Az 1. tételben feltüntetett összes </w:t>
            </w:r>
            <w:proofErr w:type="gramStart"/>
            <w:r>
              <w:rPr>
                <w:rFonts w:ascii="Times New Roman" w:hAnsi="Times New Roman"/>
              </w:rPr>
              <w:t>finanszírozási</w:t>
            </w:r>
            <w:proofErr w:type="gramEnd"/>
            <w:r>
              <w:rPr>
                <w:rFonts w:ascii="Times New Roman" w:hAnsi="Times New Roman"/>
              </w:rPr>
              <w:t xml:space="preserve"> forrásból a gyűjtött lakossági finanszírozás teljes volumene és súlyozott átlagos felára.</w:t>
            </w:r>
          </w:p>
        </w:tc>
      </w:tr>
      <w:tr w:rsidR="00AF1439" w:rsidRPr="00E37FBE" w14:paraId="2AEBF8C4" w14:textId="77777777" w:rsidTr="00A37629">
        <w:trPr>
          <w:trHeight w:val="255"/>
        </w:trPr>
        <w:tc>
          <w:tcPr>
            <w:tcW w:w="817" w:type="dxa"/>
            <w:shd w:val="clear" w:color="auto" w:fill="auto"/>
            <w:noWrap/>
          </w:tcPr>
          <w:p w14:paraId="0F94FE37" w14:textId="2769A710" w:rsidR="00AF1439" w:rsidRPr="00E37FBE" w:rsidRDefault="00AF1439" w:rsidP="00ED41A4">
            <w:pPr>
              <w:spacing w:before="0" w:after="0"/>
              <w:jc w:val="left"/>
              <w:rPr>
                <w:rFonts w:ascii="Times New Roman" w:hAnsi="Times New Roman"/>
                <w:szCs w:val="20"/>
              </w:rPr>
            </w:pPr>
            <w:r>
              <w:rPr>
                <w:rFonts w:ascii="Times New Roman" w:hAnsi="Times New Roman"/>
              </w:rPr>
              <w:t>0030</w:t>
            </w:r>
          </w:p>
        </w:tc>
        <w:tc>
          <w:tcPr>
            <w:tcW w:w="7705" w:type="dxa"/>
            <w:shd w:val="clear" w:color="auto" w:fill="auto"/>
            <w:noWrap/>
          </w:tcPr>
          <w:p w14:paraId="61E92F36" w14:textId="3D1490F3" w:rsidR="00AF1439" w:rsidRPr="00E37FBE" w:rsidRDefault="00AF1439" w:rsidP="008E1558">
            <w:pPr>
              <w:rPr>
                <w:rFonts w:ascii="Times New Roman" w:hAnsi="Times New Roman"/>
                <w:b/>
                <w:szCs w:val="20"/>
                <w:u w:val="single"/>
              </w:rPr>
            </w:pPr>
            <w:r>
              <w:rPr>
                <w:rFonts w:ascii="Times New Roman" w:hAnsi="Times New Roman"/>
                <w:b/>
                <w:u w:val="single"/>
              </w:rPr>
              <w:t xml:space="preserve">1.2. Fedezetlen nem lakossági </w:t>
            </w:r>
            <w:proofErr w:type="gramStart"/>
            <w:r>
              <w:rPr>
                <w:rFonts w:ascii="Times New Roman" w:hAnsi="Times New Roman"/>
                <w:b/>
                <w:u w:val="single"/>
              </w:rPr>
              <w:t>finanszírozás</w:t>
            </w:r>
            <w:proofErr w:type="gramEnd"/>
          </w:p>
          <w:p w14:paraId="49C52367" w14:textId="3BAAFA1E" w:rsidR="00AF1439" w:rsidRPr="00E37FBE" w:rsidRDefault="00AF1439" w:rsidP="001C1BA1">
            <w:pPr>
              <w:rPr>
                <w:rFonts w:ascii="Times New Roman" w:hAnsi="Times New Roman"/>
                <w:szCs w:val="20"/>
              </w:rPr>
            </w:pPr>
            <w:r>
              <w:rPr>
                <w:rFonts w:ascii="Times New Roman" w:hAnsi="Times New Roman"/>
              </w:rPr>
              <w:t xml:space="preserve">Az 1. tételben feltüntetett összes </w:t>
            </w:r>
            <w:proofErr w:type="gramStart"/>
            <w:r>
              <w:rPr>
                <w:rFonts w:ascii="Times New Roman" w:hAnsi="Times New Roman"/>
              </w:rPr>
              <w:t>finanszírozási</w:t>
            </w:r>
            <w:proofErr w:type="gramEnd"/>
            <w:r>
              <w:rPr>
                <w:rFonts w:ascii="Times New Roman" w:hAnsi="Times New Roman"/>
              </w:rPr>
              <w:t xml:space="preserve"> forrásból a kapott fedezetlen nem lakossági finanszírozás teljes volumene és súlyozott átlagos felára.</w:t>
            </w:r>
          </w:p>
        </w:tc>
      </w:tr>
      <w:tr w:rsidR="00F7385A" w:rsidRPr="00E37FBE" w14:paraId="75B65C2C" w14:textId="77777777" w:rsidTr="004963F1">
        <w:trPr>
          <w:trHeight w:val="255"/>
        </w:trPr>
        <w:tc>
          <w:tcPr>
            <w:tcW w:w="817" w:type="dxa"/>
            <w:shd w:val="clear" w:color="auto" w:fill="auto"/>
            <w:noWrap/>
          </w:tcPr>
          <w:p w14:paraId="0B985CB4" w14:textId="5FF70F65" w:rsidR="00F7385A" w:rsidRPr="00E37FBE" w:rsidRDefault="00F7385A" w:rsidP="00576AAA">
            <w:pPr>
              <w:spacing w:before="0" w:after="0"/>
              <w:jc w:val="left"/>
              <w:rPr>
                <w:rFonts w:ascii="Times New Roman" w:hAnsi="Times New Roman"/>
                <w:szCs w:val="20"/>
              </w:rPr>
            </w:pPr>
            <w:r>
              <w:rPr>
                <w:rFonts w:ascii="Times New Roman" w:hAnsi="Times New Roman"/>
              </w:rPr>
              <w:t>0035</w:t>
            </w:r>
          </w:p>
        </w:tc>
        <w:tc>
          <w:tcPr>
            <w:tcW w:w="7705" w:type="dxa"/>
            <w:shd w:val="clear" w:color="auto" w:fill="auto"/>
            <w:noWrap/>
          </w:tcPr>
          <w:p w14:paraId="6F29157E" w14:textId="24168A0F" w:rsidR="00F7385A" w:rsidRPr="00E37FBE" w:rsidRDefault="00F7385A" w:rsidP="004963F1">
            <w:pPr>
              <w:rPr>
                <w:rFonts w:ascii="Times New Roman" w:hAnsi="Times New Roman"/>
                <w:b/>
                <w:szCs w:val="20"/>
                <w:u w:val="single"/>
              </w:rPr>
            </w:pPr>
            <w:r>
              <w:rPr>
                <w:rFonts w:ascii="Times New Roman" w:hAnsi="Times New Roman"/>
                <w:b/>
                <w:u w:val="single"/>
              </w:rPr>
              <w:t xml:space="preserve">1.2.1. ebből: </w:t>
            </w:r>
            <w:proofErr w:type="spellStart"/>
            <w:r>
              <w:rPr>
                <w:rFonts w:ascii="Times New Roman" w:hAnsi="Times New Roman"/>
                <w:b/>
                <w:u w:val="single"/>
              </w:rPr>
              <w:t>előresorolt</w:t>
            </w:r>
            <w:proofErr w:type="spellEnd"/>
            <w:r>
              <w:rPr>
                <w:rFonts w:ascii="Times New Roman" w:hAnsi="Times New Roman"/>
                <w:b/>
                <w:u w:val="single"/>
              </w:rPr>
              <w:t xml:space="preserve"> fedezetlen értékpapírok</w:t>
            </w:r>
          </w:p>
          <w:p w14:paraId="162A7425" w14:textId="179FF3F4" w:rsidR="00F7385A" w:rsidRPr="00E37FBE" w:rsidRDefault="00F7385A" w:rsidP="004963F1">
            <w:pPr>
              <w:rPr>
                <w:rFonts w:ascii="Times New Roman" w:hAnsi="Times New Roman"/>
                <w:b/>
                <w:szCs w:val="20"/>
                <w:u w:val="single"/>
              </w:rPr>
            </w:pPr>
            <w:r>
              <w:rPr>
                <w:rFonts w:ascii="Times New Roman" w:hAnsi="Times New Roman"/>
              </w:rPr>
              <w:t xml:space="preserve">Az 1.2. tételben feltüntetett fedezetlen nem lakossági </w:t>
            </w:r>
            <w:proofErr w:type="gramStart"/>
            <w:r>
              <w:rPr>
                <w:rFonts w:ascii="Times New Roman" w:hAnsi="Times New Roman"/>
              </w:rPr>
              <w:t>finanszírozásból</w:t>
            </w:r>
            <w:proofErr w:type="gramEnd"/>
            <w:r>
              <w:rPr>
                <w:rFonts w:ascii="Times New Roman" w:hAnsi="Times New Roman"/>
              </w:rPr>
              <w:t xml:space="preserve"> az </w:t>
            </w:r>
            <w:proofErr w:type="spellStart"/>
            <w:r>
              <w:rPr>
                <w:rFonts w:ascii="Times New Roman" w:hAnsi="Times New Roman"/>
              </w:rPr>
              <w:t>előresorolt</w:t>
            </w:r>
            <w:proofErr w:type="spellEnd"/>
            <w:r>
              <w:rPr>
                <w:rFonts w:ascii="Times New Roman" w:hAnsi="Times New Roman"/>
              </w:rPr>
              <w:t xml:space="preserve"> fedezetlen értékpapírok teljes volumene és súlyozott átlagos felára.</w:t>
            </w:r>
          </w:p>
        </w:tc>
      </w:tr>
      <w:tr w:rsidR="00DD5897" w:rsidRPr="00E37FBE" w14:paraId="6186F1AE" w14:textId="77777777" w:rsidTr="00A37629">
        <w:trPr>
          <w:trHeight w:val="255"/>
        </w:trPr>
        <w:tc>
          <w:tcPr>
            <w:tcW w:w="817" w:type="dxa"/>
            <w:shd w:val="clear" w:color="auto" w:fill="auto"/>
            <w:noWrap/>
          </w:tcPr>
          <w:p w14:paraId="39B34295" w14:textId="0225D43C" w:rsidR="00DD5897" w:rsidRPr="00E37FBE" w:rsidRDefault="00391D31" w:rsidP="00576AAA">
            <w:pPr>
              <w:spacing w:before="0" w:after="0"/>
              <w:jc w:val="left"/>
              <w:rPr>
                <w:rFonts w:ascii="Times New Roman" w:hAnsi="Times New Roman"/>
                <w:szCs w:val="20"/>
              </w:rPr>
            </w:pPr>
            <w:r>
              <w:rPr>
                <w:rFonts w:ascii="Times New Roman" w:hAnsi="Times New Roman"/>
              </w:rPr>
              <w:lastRenderedPageBreak/>
              <w:t>0045</w:t>
            </w:r>
          </w:p>
        </w:tc>
        <w:tc>
          <w:tcPr>
            <w:tcW w:w="7705" w:type="dxa"/>
            <w:shd w:val="clear" w:color="auto" w:fill="auto"/>
            <w:noWrap/>
          </w:tcPr>
          <w:p w14:paraId="2D0E1DA1" w14:textId="004BBDAB" w:rsidR="00DD5897" w:rsidRPr="00E37FBE" w:rsidRDefault="00DD5897" w:rsidP="00193B6D">
            <w:pPr>
              <w:rPr>
                <w:rFonts w:ascii="Times New Roman" w:hAnsi="Times New Roman"/>
                <w:b/>
                <w:szCs w:val="20"/>
                <w:u w:val="single"/>
              </w:rPr>
            </w:pPr>
            <w:r>
              <w:rPr>
                <w:rFonts w:ascii="Times New Roman" w:hAnsi="Times New Roman"/>
                <w:b/>
                <w:u w:val="single"/>
              </w:rPr>
              <w:t xml:space="preserve">1.3. Fedezett </w:t>
            </w:r>
            <w:proofErr w:type="gramStart"/>
            <w:r>
              <w:rPr>
                <w:rFonts w:ascii="Times New Roman" w:hAnsi="Times New Roman"/>
                <w:b/>
                <w:u w:val="single"/>
              </w:rPr>
              <w:t>finanszírozás</w:t>
            </w:r>
            <w:proofErr w:type="gramEnd"/>
            <w:r>
              <w:rPr>
                <w:rFonts w:ascii="Times New Roman" w:hAnsi="Times New Roman"/>
                <w:b/>
                <w:u w:val="single"/>
              </w:rPr>
              <w:t xml:space="preserve"> (nem központi banki)</w:t>
            </w:r>
          </w:p>
          <w:p w14:paraId="1193789E" w14:textId="74B8019E" w:rsidR="00DD5897" w:rsidRPr="00E37FBE" w:rsidRDefault="00CE333E" w:rsidP="008914E0">
            <w:pPr>
              <w:rPr>
                <w:rFonts w:ascii="Times New Roman" w:hAnsi="Times New Roman"/>
                <w:b/>
                <w:szCs w:val="20"/>
                <w:u w:val="single"/>
              </w:rPr>
            </w:pPr>
            <w:r>
              <w:rPr>
                <w:rFonts w:ascii="Times New Roman" w:hAnsi="Times New Roman"/>
              </w:rPr>
              <w:t xml:space="preserve">Az 1. tételben feltüntetett összes </w:t>
            </w:r>
            <w:proofErr w:type="gramStart"/>
            <w:r>
              <w:rPr>
                <w:rFonts w:ascii="Times New Roman" w:hAnsi="Times New Roman"/>
              </w:rPr>
              <w:t>finanszírozási</w:t>
            </w:r>
            <w:proofErr w:type="gramEnd"/>
            <w:r>
              <w:rPr>
                <w:rFonts w:ascii="Times New Roman" w:hAnsi="Times New Roman"/>
              </w:rPr>
              <w:t xml:space="preserve"> forrásból nem központi bank partnertől kapott fedezett finanszírozás teljes volumene és súlyozott átlagos felára. </w:t>
            </w:r>
          </w:p>
        </w:tc>
      </w:tr>
      <w:tr w:rsidR="00A37629" w:rsidRPr="00E37FBE" w14:paraId="28F41CB6" w14:textId="77777777" w:rsidTr="00A37629">
        <w:trPr>
          <w:trHeight w:val="255"/>
        </w:trPr>
        <w:tc>
          <w:tcPr>
            <w:tcW w:w="817" w:type="dxa"/>
            <w:shd w:val="clear" w:color="auto" w:fill="auto"/>
            <w:noWrap/>
          </w:tcPr>
          <w:p w14:paraId="27FBC55D" w14:textId="5222F996" w:rsidR="00A37629" w:rsidRPr="00E37FBE" w:rsidRDefault="00A37629" w:rsidP="00A37629">
            <w:pPr>
              <w:spacing w:before="0" w:after="0"/>
              <w:jc w:val="left"/>
              <w:rPr>
                <w:rFonts w:ascii="Times New Roman" w:hAnsi="Times New Roman"/>
                <w:szCs w:val="20"/>
              </w:rPr>
            </w:pPr>
            <w:r>
              <w:rPr>
                <w:rFonts w:ascii="Times New Roman" w:hAnsi="Times New Roman"/>
              </w:rPr>
              <w:t>0065</w:t>
            </w:r>
          </w:p>
        </w:tc>
        <w:tc>
          <w:tcPr>
            <w:tcW w:w="7705" w:type="dxa"/>
            <w:shd w:val="clear" w:color="auto" w:fill="auto"/>
            <w:noWrap/>
          </w:tcPr>
          <w:p w14:paraId="00CF474C" w14:textId="22CDCE6E" w:rsidR="00A37629" w:rsidRPr="00E37FBE" w:rsidRDefault="00A37629" w:rsidP="00A37629">
            <w:pPr>
              <w:rPr>
                <w:rFonts w:ascii="Times New Roman" w:hAnsi="Times New Roman"/>
                <w:b/>
                <w:szCs w:val="20"/>
                <w:u w:val="single"/>
              </w:rPr>
            </w:pPr>
            <w:r>
              <w:rPr>
                <w:rFonts w:ascii="Times New Roman" w:hAnsi="Times New Roman"/>
                <w:b/>
                <w:u w:val="single"/>
              </w:rPr>
              <w:t>1.3.1. ebből: fedezett kötvények</w:t>
            </w:r>
          </w:p>
          <w:p w14:paraId="2AEEDF2A" w14:textId="4C750AC2" w:rsidR="00A37629" w:rsidRPr="00E37FBE" w:rsidRDefault="00A37629" w:rsidP="00F7385A">
            <w:pPr>
              <w:rPr>
                <w:rFonts w:ascii="Times New Roman" w:hAnsi="Times New Roman"/>
                <w:b/>
                <w:szCs w:val="20"/>
                <w:u w:val="single"/>
              </w:rPr>
            </w:pPr>
            <w:r>
              <w:rPr>
                <w:rFonts w:ascii="Times New Roman" w:hAnsi="Times New Roman"/>
              </w:rPr>
              <w:t xml:space="preserve">Az 1.3 tételben feltüntetett fedezett </w:t>
            </w:r>
            <w:proofErr w:type="gramStart"/>
            <w:r>
              <w:rPr>
                <w:rFonts w:ascii="Times New Roman" w:hAnsi="Times New Roman"/>
              </w:rPr>
              <w:t>finanszírozási</w:t>
            </w:r>
            <w:proofErr w:type="gramEnd"/>
            <w:r>
              <w:rPr>
                <w:rFonts w:ascii="Times New Roman" w:hAnsi="Times New Roman"/>
              </w:rPr>
              <w:t xml:space="preserve"> forrásból az intézmény saját eszközeit terhelő fedezettkötvény-kibocsátás teljes volumene és súlyozott átlagos felára.</w:t>
            </w:r>
          </w:p>
        </w:tc>
      </w:tr>
      <w:tr w:rsidR="00A37629" w:rsidRPr="00E37FBE" w14:paraId="7E2EC114" w14:textId="77777777" w:rsidTr="00A37629">
        <w:trPr>
          <w:trHeight w:val="255"/>
        </w:trPr>
        <w:tc>
          <w:tcPr>
            <w:tcW w:w="817" w:type="dxa"/>
            <w:shd w:val="clear" w:color="auto" w:fill="auto"/>
            <w:noWrap/>
          </w:tcPr>
          <w:p w14:paraId="37FE37EA" w14:textId="412A822D" w:rsidR="00A37629" w:rsidRPr="00E37FBE" w:rsidRDefault="00A37629" w:rsidP="00A37629">
            <w:pPr>
              <w:spacing w:before="0" w:after="0"/>
              <w:jc w:val="left"/>
              <w:rPr>
                <w:rFonts w:ascii="Times New Roman" w:hAnsi="Times New Roman"/>
                <w:szCs w:val="20"/>
              </w:rPr>
            </w:pPr>
            <w:r>
              <w:rPr>
                <w:rFonts w:ascii="Times New Roman" w:hAnsi="Times New Roman"/>
              </w:rPr>
              <w:t>0075</w:t>
            </w:r>
          </w:p>
        </w:tc>
        <w:tc>
          <w:tcPr>
            <w:tcW w:w="7705" w:type="dxa"/>
            <w:shd w:val="clear" w:color="auto" w:fill="auto"/>
            <w:noWrap/>
          </w:tcPr>
          <w:p w14:paraId="2EB3DA46" w14:textId="16D0E00D" w:rsidR="00A37629" w:rsidRPr="00E37FBE" w:rsidRDefault="00A37629" w:rsidP="00A37629">
            <w:pPr>
              <w:rPr>
                <w:rFonts w:ascii="Times New Roman" w:hAnsi="Times New Roman"/>
                <w:b/>
                <w:szCs w:val="20"/>
                <w:u w:val="single"/>
              </w:rPr>
            </w:pPr>
            <w:r>
              <w:rPr>
                <w:rFonts w:ascii="Times New Roman" w:hAnsi="Times New Roman"/>
                <w:b/>
                <w:u w:val="single"/>
              </w:rPr>
              <w:t>1.3.2. ebből: eszközfedezetű értékpapírok, többek között eszközfedezetű kereskedelmi értékpapírok</w:t>
            </w:r>
          </w:p>
          <w:p w14:paraId="44C96B86" w14:textId="6630152F" w:rsidR="00A37629" w:rsidRPr="00E37FBE" w:rsidRDefault="00A37629" w:rsidP="00F7385A">
            <w:pPr>
              <w:rPr>
                <w:rFonts w:ascii="Times New Roman" w:hAnsi="Times New Roman"/>
                <w:b/>
                <w:szCs w:val="20"/>
                <w:u w:val="single"/>
              </w:rPr>
            </w:pPr>
            <w:r>
              <w:rPr>
                <w:rFonts w:ascii="Times New Roman" w:hAnsi="Times New Roman"/>
              </w:rPr>
              <w:t xml:space="preserve">Az 1.3. tételben feltüntetett fedezett </w:t>
            </w:r>
            <w:proofErr w:type="gramStart"/>
            <w:r>
              <w:rPr>
                <w:rFonts w:ascii="Times New Roman" w:hAnsi="Times New Roman"/>
              </w:rPr>
              <w:t>finanszírozási</w:t>
            </w:r>
            <w:proofErr w:type="gramEnd"/>
            <w:r>
              <w:rPr>
                <w:rFonts w:ascii="Times New Roman" w:hAnsi="Times New Roman"/>
              </w:rPr>
              <w:t xml:space="preserve"> forrásból a kibocsátott eszközfedezetű értékpapírok, többek között az eszközfedezetű kereskedelmi értékpapírok teljes volumene és súlyozott átlagos felára.</w:t>
            </w:r>
          </w:p>
        </w:tc>
      </w:tr>
      <w:tr w:rsidR="00A37629" w:rsidRPr="00E37FBE" w14:paraId="5B114A6D" w14:textId="77777777" w:rsidTr="00A37629">
        <w:trPr>
          <w:trHeight w:val="255"/>
        </w:trPr>
        <w:tc>
          <w:tcPr>
            <w:tcW w:w="817" w:type="dxa"/>
            <w:shd w:val="clear" w:color="auto" w:fill="auto"/>
            <w:noWrap/>
          </w:tcPr>
          <w:p w14:paraId="39524A45" w14:textId="1D264C45" w:rsidR="00A37629" w:rsidRPr="00E37FBE" w:rsidRDefault="00A37629" w:rsidP="00A37629">
            <w:pPr>
              <w:spacing w:before="0" w:after="0"/>
              <w:jc w:val="left"/>
              <w:rPr>
                <w:rFonts w:ascii="Times New Roman" w:hAnsi="Times New Roman"/>
                <w:szCs w:val="20"/>
              </w:rPr>
            </w:pPr>
            <w:r>
              <w:rPr>
                <w:rFonts w:ascii="Times New Roman" w:hAnsi="Times New Roman"/>
              </w:rPr>
              <w:t>0080</w:t>
            </w:r>
          </w:p>
        </w:tc>
        <w:tc>
          <w:tcPr>
            <w:tcW w:w="7705" w:type="dxa"/>
            <w:shd w:val="clear" w:color="auto" w:fill="auto"/>
            <w:noWrap/>
          </w:tcPr>
          <w:p w14:paraId="09FACF40" w14:textId="5DA98A55" w:rsidR="00A37629" w:rsidRPr="00E37FBE" w:rsidRDefault="00A37629" w:rsidP="00A37629">
            <w:pPr>
              <w:rPr>
                <w:rFonts w:ascii="Times New Roman" w:hAnsi="Times New Roman"/>
                <w:b/>
                <w:szCs w:val="20"/>
                <w:u w:val="single"/>
              </w:rPr>
            </w:pPr>
            <w:r>
              <w:rPr>
                <w:rFonts w:ascii="Times New Roman" w:hAnsi="Times New Roman"/>
                <w:b/>
                <w:u w:val="single"/>
              </w:rPr>
              <w:t xml:space="preserve">1.4. Egyéb </w:t>
            </w:r>
            <w:proofErr w:type="gramStart"/>
            <w:r>
              <w:rPr>
                <w:rFonts w:ascii="Times New Roman" w:hAnsi="Times New Roman"/>
                <w:b/>
                <w:u w:val="single"/>
              </w:rPr>
              <w:t>finanszírozás</w:t>
            </w:r>
            <w:proofErr w:type="gramEnd"/>
          </w:p>
          <w:p w14:paraId="24F80CD7" w14:textId="6D9CDB26" w:rsidR="00A37629" w:rsidRPr="00E37FBE" w:rsidRDefault="00A37629" w:rsidP="00A37629">
            <w:pPr>
              <w:rPr>
                <w:rFonts w:ascii="Times New Roman" w:hAnsi="Times New Roman"/>
                <w:b/>
                <w:szCs w:val="20"/>
                <w:u w:val="single"/>
              </w:rPr>
            </w:pPr>
            <w:r>
              <w:rPr>
                <w:rFonts w:ascii="Times New Roman" w:hAnsi="Times New Roman"/>
              </w:rPr>
              <w:t xml:space="preserve">Az 1. tételben feltüntetett összes </w:t>
            </w:r>
            <w:proofErr w:type="gramStart"/>
            <w:r>
              <w:rPr>
                <w:rFonts w:ascii="Times New Roman" w:hAnsi="Times New Roman"/>
              </w:rPr>
              <w:t>finanszírozási</w:t>
            </w:r>
            <w:proofErr w:type="gramEnd"/>
            <w:r>
              <w:rPr>
                <w:rFonts w:ascii="Times New Roman" w:hAnsi="Times New Roman"/>
              </w:rPr>
              <w:t xml:space="preserve"> forrásból az 1.1–1.3. tételben nem szereplő finanszírozás teljes volumene és súlyozott átlagos felára, beleértve a központi bankoktól származó fedezett finanszírozást is.</w:t>
            </w:r>
          </w:p>
        </w:tc>
      </w:tr>
    </w:tbl>
    <w:p w14:paraId="5029EEE5" w14:textId="77777777" w:rsidR="00953ED6" w:rsidRPr="00E37FBE" w:rsidRDefault="00953ED6" w:rsidP="00CC3091">
      <w:pPr>
        <w:pStyle w:val="InstructionsText"/>
        <w:rPr>
          <w:rStyle w:val="InstructionsTabelleText"/>
          <w:rFonts w:ascii="Times New Roman" w:hAnsi="Times New Roman"/>
          <w:u w:val="none"/>
        </w:rPr>
      </w:pPr>
    </w:p>
    <w:p w14:paraId="63E17173" w14:textId="77777777" w:rsidR="00181260" w:rsidRPr="00E37FBE" w:rsidRDefault="006000DF" w:rsidP="00DD5897">
      <w:pPr>
        <w:pStyle w:val="Instructionsberschrift2"/>
        <w:numPr>
          <w:ilvl w:val="1"/>
          <w:numId w:val="2"/>
        </w:numPr>
        <w:spacing w:before="0"/>
        <w:rPr>
          <w:rFonts w:ascii="Times New Roman" w:hAnsi="Times New Roman" w:cs="Times New Roman"/>
          <w:szCs w:val="20"/>
        </w:rPr>
      </w:pPr>
      <w:r>
        <w:rPr>
          <w:rFonts w:ascii="Times New Roman" w:hAnsi="Times New Roman"/>
        </w:rPr>
        <w:t xml:space="preserve">Megújított </w:t>
      </w:r>
      <w:proofErr w:type="gramStart"/>
      <w:r>
        <w:rPr>
          <w:rFonts w:ascii="Times New Roman" w:hAnsi="Times New Roman"/>
        </w:rPr>
        <w:t>finanszírozás</w:t>
      </w:r>
      <w:proofErr w:type="gramEnd"/>
      <w:r>
        <w:rPr>
          <w:rFonts w:ascii="Times New Roman" w:hAnsi="Times New Roman"/>
        </w:rPr>
        <w:t xml:space="preserve"> (C 70.00)</w:t>
      </w:r>
    </w:p>
    <w:p w14:paraId="5ACA258A" w14:textId="2E5A9D32" w:rsidR="00DD5897" w:rsidRPr="00E37FBE" w:rsidRDefault="00DD5897" w:rsidP="00CC3091">
      <w:pPr>
        <w:pStyle w:val="InstructionsText2"/>
        <w:numPr>
          <w:ilvl w:val="0"/>
          <w:numId w:val="8"/>
        </w:numPr>
        <w:rPr>
          <w:u w:val="none"/>
        </w:rPr>
      </w:pPr>
      <w:bookmarkStart w:id="3" w:name="_Toc308175821"/>
      <w:bookmarkStart w:id="4" w:name="_Toc310414968"/>
      <w:r>
        <w:rPr>
          <w:u w:val="none"/>
        </w:rPr>
        <w:t xml:space="preserve">Ebben a táblában az adatszolgáltatási időpontot megelőző hónapra vonatkozó napi </w:t>
      </w:r>
      <w:proofErr w:type="gramStart"/>
      <w:r>
        <w:rPr>
          <w:u w:val="none"/>
        </w:rPr>
        <w:t>információkat</w:t>
      </w:r>
      <w:proofErr w:type="gramEnd"/>
      <w:r>
        <w:rPr>
          <w:u w:val="none"/>
        </w:rPr>
        <w:t xml:space="preserve"> kell megadni a lejáró források és a kapott új források volumenéről, vagyis a finanszírozás megújításáról.</w:t>
      </w:r>
    </w:p>
    <w:p w14:paraId="180EF408" w14:textId="4710199E" w:rsidR="00DB3C37" w:rsidRPr="00E37FBE" w:rsidRDefault="00DB3C37" w:rsidP="00927DCB">
      <w:pPr>
        <w:pStyle w:val="InstructionsText2"/>
        <w:numPr>
          <w:ilvl w:val="0"/>
          <w:numId w:val="8"/>
        </w:numPr>
        <w:rPr>
          <w:u w:val="none"/>
        </w:rPr>
      </w:pPr>
      <w:r>
        <w:rPr>
          <w:u w:val="none"/>
        </w:rPr>
        <w:t xml:space="preserve">Az intézményeknek az összes alábbi lejárati sávban meg kell adniuk a lejáró </w:t>
      </w:r>
      <w:proofErr w:type="gramStart"/>
      <w:r>
        <w:rPr>
          <w:u w:val="none"/>
        </w:rPr>
        <w:t>finanszírozást</w:t>
      </w:r>
      <w:proofErr w:type="gramEnd"/>
      <w:r>
        <w:rPr>
          <w:u w:val="none"/>
        </w:rPr>
        <w:t xml:space="preserve"> naptári napokban, az eredeti futamidő szerint:</w:t>
      </w:r>
    </w:p>
    <w:p w14:paraId="10B482AB" w14:textId="35902522" w:rsidR="00DB3C37" w:rsidRPr="00E37FBE" w:rsidRDefault="00237D15" w:rsidP="002D7C20">
      <w:pPr>
        <w:pStyle w:val="InstructionsText2"/>
        <w:numPr>
          <w:ilvl w:val="1"/>
          <w:numId w:val="48"/>
        </w:numPr>
        <w:ind w:left="1276"/>
        <w:rPr>
          <w:u w:val="none"/>
        </w:rPr>
      </w:pPr>
      <w:r>
        <w:rPr>
          <w:u w:val="none"/>
        </w:rPr>
        <w:t>egynapos (0010–0040-es oszlop);</w:t>
      </w:r>
    </w:p>
    <w:p w14:paraId="78059097" w14:textId="75ED6B94" w:rsidR="00DB3C37" w:rsidRPr="00E37FBE" w:rsidRDefault="00237D15" w:rsidP="002D7C20">
      <w:pPr>
        <w:pStyle w:val="InstructionsText2"/>
        <w:numPr>
          <w:ilvl w:val="1"/>
          <w:numId w:val="48"/>
        </w:numPr>
        <w:ind w:left="1276"/>
        <w:rPr>
          <w:u w:val="none"/>
        </w:rPr>
      </w:pPr>
      <w:r>
        <w:rPr>
          <w:u w:val="none"/>
        </w:rPr>
        <w:t>1 nap és 7 nap között (0050–0080-as oszlop);</w:t>
      </w:r>
    </w:p>
    <w:p w14:paraId="0888F316" w14:textId="304511FD" w:rsidR="00DB3C37" w:rsidRPr="00E37FBE" w:rsidRDefault="00237D15" w:rsidP="002D7C20">
      <w:pPr>
        <w:pStyle w:val="InstructionsText2"/>
        <w:numPr>
          <w:ilvl w:val="1"/>
          <w:numId w:val="48"/>
        </w:numPr>
        <w:ind w:left="1276"/>
        <w:rPr>
          <w:u w:val="none"/>
        </w:rPr>
      </w:pPr>
      <w:r>
        <w:rPr>
          <w:u w:val="none"/>
        </w:rPr>
        <w:t>7 nap és 14 nap között (0090–0120-as oszlop);</w:t>
      </w:r>
    </w:p>
    <w:p w14:paraId="08E23AA2" w14:textId="64CFEF40" w:rsidR="00DB3C37" w:rsidRPr="00E37FBE" w:rsidRDefault="00237D15" w:rsidP="002D7C20">
      <w:pPr>
        <w:pStyle w:val="InstructionsText2"/>
        <w:numPr>
          <w:ilvl w:val="1"/>
          <w:numId w:val="48"/>
        </w:numPr>
        <w:ind w:left="1276"/>
        <w:rPr>
          <w:u w:val="none"/>
        </w:rPr>
      </w:pPr>
      <w:r>
        <w:rPr>
          <w:u w:val="none"/>
        </w:rPr>
        <w:t>14 nap és 1 hónap között (0130–0160-as oszlop);</w:t>
      </w:r>
    </w:p>
    <w:p w14:paraId="69F00FB2" w14:textId="181A4A03" w:rsidR="00DB3C37" w:rsidRPr="00E37FBE" w:rsidRDefault="00237D15" w:rsidP="002D7C20">
      <w:pPr>
        <w:pStyle w:val="InstructionsText2"/>
        <w:numPr>
          <w:ilvl w:val="1"/>
          <w:numId w:val="48"/>
        </w:numPr>
        <w:ind w:left="1276"/>
        <w:rPr>
          <w:u w:val="none"/>
        </w:rPr>
      </w:pPr>
      <w:r>
        <w:rPr>
          <w:u w:val="none"/>
        </w:rPr>
        <w:t>1 hónap és 3 hónap között (0170–0200-as oszlop);</w:t>
      </w:r>
    </w:p>
    <w:p w14:paraId="39971E5E" w14:textId="43960DD0" w:rsidR="00DB3C37" w:rsidRPr="00E37FBE" w:rsidRDefault="00237D15" w:rsidP="002D7C20">
      <w:pPr>
        <w:pStyle w:val="InstructionsText2"/>
        <w:numPr>
          <w:ilvl w:val="1"/>
          <w:numId w:val="48"/>
        </w:numPr>
        <w:ind w:left="1276"/>
        <w:rPr>
          <w:u w:val="none"/>
        </w:rPr>
      </w:pPr>
      <w:r>
        <w:rPr>
          <w:u w:val="none"/>
        </w:rPr>
        <w:t>3 hónap és 6 hónap között (0210–0240-as oszlop);</w:t>
      </w:r>
    </w:p>
    <w:p w14:paraId="7574DBE7" w14:textId="6E9CAB4B" w:rsidR="009A329A" w:rsidRPr="00E37FBE" w:rsidRDefault="00144FB8" w:rsidP="002D7C20">
      <w:pPr>
        <w:pStyle w:val="InstructionsText2"/>
        <w:numPr>
          <w:ilvl w:val="1"/>
          <w:numId w:val="48"/>
        </w:numPr>
        <w:ind w:left="1276"/>
        <w:rPr>
          <w:u w:val="none"/>
        </w:rPr>
      </w:pPr>
      <w:r>
        <w:rPr>
          <w:u w:val="none"/>
        </w:rPr>
        <w:t>6 hónapon túl lejáró (0250–0280-as oszlop).</w:t>
      </w:r>
    </w:p>
    <w:p w14:paraId="1F25325E" w14:textId="62618E1F" w:rsidR="00DB3C37" w:rsidRPr="00E37FBE" w:rsidRDefault="00DB3C37" w:rsidP="00927DCB">
      <w:pPr>
        <w:pStyle w:val="InstructionsText2"/>
        <w:numPr>
          <w:ilvl w:val="0"/>
          <w:numId w:val="8"/>
        </w:numPr>
        <w:rPr>
          <w:u w:val="none"/>
        </w:rPr>
      </w:pPr>
      <w:r>
        <w:rPr>
          <w:u w:val="none"/>
        </w:rPr>
        <w:t xml:space="preserve">A fenti 2. pontban megadott egyes lejárati sávokban a lejáró összeget a bal oldali oszlopban, a megújított </w:t>
      </w:r>
      <w:proofErr w:type="gramStart"/>
      <w:r>
        <w:rPr>
          <w:u w:val="none"/>
        </w:rPr>
        <w:t>finanszírozás</w:t>
      </w:r>
      <w:proofErr w:type="gramEnd"/>
      <w:r>
        <w:rPr>
          <w:u w:val="none"/>
        </w:rPr>
        <w:t xml:space="preserve"> összegét a „Megújított” oszlopban, a kapott új finanszírozást az „Új finanszírozás” oszlopban, továbbá az egyrészt az új finanszírozás összege, másrészt a megújított finanszírozás lejáró finanszírozással csökkentett összege közötti nettó különbözetet pedig a jobb oldali oszlopban kell megadni.</w:t>
      </w:r>
      <w:r>
        <w:rPr>
          <w:rFonts w:ascii="Verdana" w:hAnsi="Verdana"/>
          <w:u w:val="none"/>
        </w:rPr>
        <w:t xml:space="preserve"> </w:t>
      </w:r>
    </w:p>
    <w:p w14:paraId="710A06F4" w14:textId="240473AE" w:rsidR="00DB3C37" w:rsidRPr="00E37FBE" w:rsidRDefault="00DB3C37" w:rsidP="00927DCB">
      <w:pPr>
        <w:pStyle w:val="InstructionsText2"/>
        <w:numPr>
          <w:ilvl w:val="0"/>
          <w:numId w:val="8"/>
        </w:numPr>
        <w:rPr>
          <w:u w:val="none"/>
        </w:rPr>
      </w:pPr>
      <w:r>
        <w:rPr>
          <w:u w:val="none"/>
        </w:rPr>
        <w:t>Az összes „Nettó” oszlop összegeként (0040-es + 0080-as + 0120-as + 0160-as + 0200-as + 0240-es + 0280-as oszlop) kiszámított teljes nettó pénzáramlást a 290-es oszlopban kell megadni.</w:t>
      </w:r>
    </w:p>
    <w:p w14:paraId="28B9B16F" w14:textId="7EEE4811" w:rsidR="00BD24C1" w:rsidRPr="00E37FBE" w:rsidRDefault="00DB3C37" w:rsidP="00927DCB">
      <w:pPr>
        <w:pStyle w:val="InstructionsText2"/>
        <w:numPr>
          <w:ilvl w:val="0"/>
          <w:numId w:val="8"/>
        </w:numPr>
        <w:rPr>
          <w:u w:val="none"/>
        </w:rPr>
      </w:pPr>
      <w:r>
        <w:rPr>
          <w:u w:val="none"/>
        </w:rPr>
        <w:t xml:space="preserve">A 0300-as oszlopban a lejáró </w:t>
      </w:r>
      <w:proofErr w:type="gramStart"/>
      <w:r>
        <w:rPr>
          <w:u w:val="none"/>
        </w:rPr>
        <w:t>finanszírozás</w:t>
      </w:r>
      <w:proofErr w:type="gramEnd"/>
      <w:r>
        <w:rPr>
          <w:u w:val="none"/>
        </w:rPr>
        <w:t xml:space="preserve"> átlagos </w:t>
      </w:r>
      <w:proofErr w:type="spellStart"/>
      <w:r>
        <w:rPr>
          <w:u w:val="none"/>
        </w:rPr>
        <w:t>futamidejét</w:t>
      </w:r>
      <w:proofErr w:type="spellEnd"/>
      <w:r>
        <w:rPr>
          <w:u w:val="none"/>
        </w:rPr>
        <w:t xml:space="preserve"> kell feltüntetni napokban.</w:t>
      </w:r>
    </w:p>
    <w:p w14:paraId="76D8AD49" w14:textId="73AC67C3" w:rsidR="003E371A" w:rsidRPr="00E37FBE" w:rsidRDefault="003E371A" w:rsidP="00927DCB">
      <w:pPr>
        <w:pStyle w:val="InstructionsText2"/>
        <w:numPr>
          <w:ilvl w:val="0"/>
          <w:numId w:val="8"/>
        </w:numPr>
        <w:rPr>
          <w:u w:val="none"/>
        </w:rPr>
      </w:pPr>
      <w:r>
        <w:rPr>
          <w:u w:val="none"/>
        </w:rPr>
        <w:t xml:space="preserve">A 0310-es oszlopban a megújított </w:t>
      </w:r>
      <w:proofErr w:type="gramStart"/>
      <w:r>
        <w:rPr>
          <w:u w:val="none"/>
        </w:rPr>
        <w:t>finanszírozás</w:t>
      </w:r>
      <w:proofErr w:type="gramEnd"/>
      <w:r>
        <w:rPr>
          <w:u w:val="none"/>
        </w:rPr>
        <w:t xml:space="preserve"> átlagos </w:t>
      </w:r>
      <w:proofErr w:type="spellStart"/>
      <w:r>
        <w:rPr>
          <w:u w:val="none"/>
        </w:rPr>
        <w:t>futamidejét</w:t>
      </w:r>
      <w:proofErr w:type="spellEnd"/>
      <w:r>
        <w:rPr>
          <w:u w:val="none"/>
        </w:rPr>
        <w:t xml:space="preserve"> kell feltüntetni napokban.</w:t>
      </w:r>
    </w:p>
    <w:p w14:paraId="717CD209" w14:textId="41C8DEE3" w:rsidR="00BD24C1" w:rsidRPr="00E37FBE" w:rsidRDefault="00DB3C37" w:rsidP="00927DCB">
      <w:pPr>
        <w:pStyle w:val="InstructionsText2"/>
        <w:numPr>
          <w:ilvl w:val="0"/>
          <w:numId w:val="8"/>
        </w:numPr>
        <w:rPr>
          <w:u w:val="none"/>
        </w:rPr>
      </w:pPr>
      <w:r>
        <w:rPr>
          <w:u w:val="none"/>
        </w:rPr>
        <w:lastRenderedPageBreak/>
        <w:t xml:space="preserve"> A 0320-as oszlopban az új </w:t>
      </w:r>
      <w:proofErr w:type="gramStart"/>
      <w:r>
        <w:rPr>
          <w:u w:val="none"/>
        </w:rPr>
        <w:t>finanszírozás</w:t>
      </w:r>
      <w:proofErr w:type="gramEnd"/>
      <w:r>
        <w:rPr>
          <w:u w:val="none"/>
        </w:rPr>
        <w:t xml:space="preserve"> átlagos </w:t>
      </w:r>
      <w:proofErr w:type="spellStart"/>
      <w:r>
        <w:rPr>
          <w:u w:val="none"/>
        </w:rPr>
        <w:t>futamidejét</w:t>
      </w:r>
      <w:proofErr w:type="spellEnd"/>
      <w:r>
        <w:rPr>
          <w:u w:val="none"/>
        </w:rPr>
        <w:t xml:space="preserve"> kell feltüntetni napokban.</w:t>
      </w:r>
    </w:p>
    <w:p w14:paraId="5C92A186" w14:textId="6F4BC0FE" w:rsidR="00A7751A" w:rsidRPr="00E37FBE" w:rsidRDefault="00A7751A" w:rsidP="00927DCB">
      <w:pPr>
        <w:pStyle w:val="InstructionsText2"/>
        <w:numPr>
          <w:ilvl w:val="0"/>
          <w:numId w:val="8"/>
        </w:numPr>
        <w:rPr>
          <w:u w:val="none"/>
        </w:rPr>
      </w:pPr>
      <w:r>
        <w:rPr>
          <w:u w:val="none"/>
        </w:rPr>
        <w:t>A „Lejáró” összeg az összes olyan kötelezettséget tartalmazza, amelyet a forrás nyújtója az adatszolgáltatási időszak megfelelő napján szerződés alapján visszavonhat, vagy amely az említett napon esedékes. Ezt mindig pozitív előjellel kell feltüntetni.</w:t>
      </w:r>
    </w:p>
    <w:p w14:paraId="004B6E12" w14:textId="539634DF" w:rsidR="00A7751A" w:rsidRPr="00E37FBE" w:rsidRDefault="00A7751A" w:rsidP="00927DCB">
      <w:pPr>
        <w:pStyle w:val="InstructionsText2"/>
        <w:numPr>
          <w:ilvl w:val="0"/>
          <w:numId w:val="8"/>
        </w:numPr>
        <w:rPr>
          <w:u w:val="none"/>
        </w:rPr>
      </w:pPr>
      <w:r>
        <w:rPr>
          <w:u w:val="none"/>
        </w:rPr>
        <w:t xml:space="preserve">A „Megújított” összeg a 2. és a 3. pont szerinti olyan lejáró összeget tartalmazza, amely az adatszolgáltatási időszak megfelelő napján az intézménynél marad. Ezt mindig pozitív előjellel kell feltüntetni. Amennyiben a </w:t>
      </w:r>
      <w:proofErr w:type="gramStart"/>
      <w:r>
        <w:rPr>
          <w:u w:val="none"/>
        </w:rPr>
        <w:t>finanszírozás</w:t>
      </w:r>
      <w:proofErr w:type="gramEnd"/>
      <w:r>
        <w:rPr>
          <w:u w:val="none"/>
        </w:rPr>
        <w:t xml:space="preserve"> futamideje a megújítás miatt változott, a megújítás összegét az új lejáratnak megfelelő lejárati sávban kell megadni.</w:t>
      </w:r>
    </w:p>
    <w:p w14:paraId="68CA5A97" w14:textId="694BA31F" w:rsidR="00A7751A" w:rsidRPr="00E37FBE" w:rsidRDefault="00A7751A" w:rsidP="00927DCB">
      <w:pPr>
        <w:pStyle w:val="InstructionsText2"/>
        <w:numPr>
          <w:ilvl w:val="0"/>
          <w:numId w:val="8"/>
        </w:numPr>
        <w:rPr>
          <w:u w:val="none"/>
        </w:rPr>
      </w:pPr>
      <w:r>
        <w:rPr>
          <w:u w:val="none"/>
        </w:rPr>
        <w:t xml:space="preserve">Az „Új </w:t>
      </w:r>
      <w:proofErr w:type="gramStart"/>
      <w:r>
        <w:rPr>
          <w:u w:val="none"/>
        </w:rPr>
        <w:t>finanszírozás</w:t>
      </w:r>
      <w:proofErr w:type="gramEnd"/>
      <w:r>
        <w:rPr>
          <w:u w:val="none"/>
        </w:rPr>
        <w:t>” összeg a tényleges forrásbeáramlás az adatszolgáltatási időszak megfelelő napján. Ezt mindig pozitív előjellel kell feltüntetni.</w:t>
      </w:r>
    </w:p>
    <w:p w14:paraId="36023996" w14:textId="52F7601E" w:rsidR="00A7751A" w:rsidRPr="00E37FBE" w:rsidRDefault="00A7751A" w:rsidP="00927DCB">
      <w:pPr>
        <w:pStyle w:val="InstructionsText2"/>
        <w:numPr>
          <w:ilvl w:val="0"/>
          <w:numId w:val="8"/>
        </w:numPr>
        <w:rPr>
          <w:u w:val="none"/>
        </w:rPr>
      </w:pPr>
      <w:r>
        <w:rPr>
          <w:u w:val="none"/>
        </w:rPr>
        <w:t xml:space="preserve">A „Nettó” összeg a forrásokban bekövetkezett változás az eredeti futamidő egy meghatározott idősávjában az adatszolgáltatási időszak megfelelő napján; ezt az összeget úgy kell kiszámítani, hogy a „Nettó” oszlopban összegezni kell az új </w:t>
      </w:r>
      <w:proofErr w:type="gramStart"/>
      <w:r>
        <w:rPr>
          <w:u w:val="none"/>
        </w:rPr>
        <w:t>finanszírozást</w:t>
      </w:r>
      <w:proofErr w:type="gramEnd"/>
      <w:r>
        <w:rPr>
          <w:u w:val="none"/>
        </w:rPr>
        <w:t xml:space="preserve"> a lejáró finanszírozás összegével csökkentett megújított finanszírozással.  </w:t>
      </w:r>
    </w:p>
    <w:bookmarkEnd w:id="3"/>
    <w:bookmarkEnd w:id="4"/>
    <w:p w14:paraId="0E67F27B" w14:textId="64F4C758" w:rsidR="00ED41A4" w:rsidRPr="00E37FBE" w:rsidRDefault="00ED41A4" w:rsidP="00CC3091">
      <w:pPr>
        <w:pStyle w:val="InstructionsText2"/>
        <w:numPr>
          <w:ilvl w:val="0"/>
          <w:numId w:val="8"/>
        </w:numPr>
        <w:rPr>
          <w:u w:val="none"/>
        </w:rPr>
      </w:pPr>
      <w:r>
        <w:rPr>
          <w:u w:val="none"/>
        </w:rPr>
        <w:t>A tábla egyes oszlopaira vonatkozó útmutató: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7086"/>
      </w:tblGrid>
      <w:tr w:rsidR="00ED41A4" w:rsidRPr="00E37FBE" w14:paraId="24A3446B" w14:textId="77777777" w:rsidTr="005F4FE0">
        <w:trPr>
          <w:trHeight w:val="548"/>
        </w:trPr>
        <w:tc>
          <w:tcPr>
            <w:tcW w:w="729" w:type="pct"/>
            <w:shd w:val="clear" w:color="auto" w:fill="D9D9D9"/>
            <w:noWrap/>
            <w:vAlign w:val="center"/>
          </w:tcPr>
          <w:p w14:paraId="44CE1AFF" w14:textId="77777777" w:rsidR="00ED41A4" w:rsidRPr="00E37FBE" w:rsidRDefault="00ED41A4" w:rsidP="005F4FE0">
            <w:pPr>
              <w:spacing w:before="0" w:after="0"/>
              <w:jc w:val="left"/>
              <w:rPr>
                <w:rFonts w:ascii="Times New Roman" w:hAnsi="Times New Roman"/>
                <w:color w:val="000000"/>
                <w:szCs w:val="20"/>
              </w:rPr>
            </w:pPr>
            <w:r>
              <w:rPr>
                <w:rStyle w:val="InstructionsTabelleText"/>
                <w:rFonts w:ascii="Times New Roman" w:hAnsi="Times New Roman"/>
                <w:color w:val="000000"/>
              </w:rPr>
              <w:t>Oszlop</w:t>
            </w:r>
          </w:p>
        </w:tc>
        <w:tc>
          <w:tcPr>
            <w:tcW w:w="4271" w:type="pct"/>
            <w:shd w:val="clear" w:color="auto" w:fill="D9D9D9"/>
            <w:vAlign w:val="center"/>
          </w:tcPr>
          <w:p w14:paraId="31EE78F6" w14:textId="77777777" w:rsidR="00ED41A4" w:rsidRPr="00E37FBE" w:rsidRDefault="00ED41A4" w:rsidP="005F4FE0">
            <w:pPr>
              <w:spacing w:before="0" w:after="0"/>
              <w:jc w:val="left"/>
              <w:rPr>
                <w:rFonts w:ascii="Times New Roman" w:hAnsi="Times New Roman"/>
                <w:szCs w:val="20"/>
              </w:rPr>
            </w:pPr>
            <w:r>
              <w:rPr>
                <w:rStyle w:val="InstructionsTabelleText"/>
                <w:rFonts w:ascii="Times New Roman" w:hAnsi="Times New Roman"/>
              </w:rPr>
              <w:t>Jogszabályi hivatkozások és útmutató</w:t>
            </w:r>
          </w:p>
        </w:tc>
      </w:tr>
      <w:tr w:rsidR="00ED41A4" w:rsidRPr="00E37FBE" w14:paraId="1F75C2D4" w14:textId="77777777" w:rsidTr="00ED41A4">
        <w:trPr>
          <w:trHeight w:val="765"/>
        </w:trPr>
        <w:tc>
          <w:tcPr>
            <w:tcW w:w="729" w:type="pct"/>
            <w:shd w:val="clear" w:color="auto" w:fill="auto"/>
            <w:noWrap/>
          </w:tcPr>
          <w:p w14:paraId="2684888D" w14:textId="6887441F" w:rsidR="00ED41A4" w:rsidRPr="00E37FBE" w:rsidRDefault="00BD24C1" w:rsidP="00BD24C1">
            <w:pPr>
              <w:spacing w:before="0" w:after="0"/>
              <w:jc w:val="left"/>
              <w:rPr>
                <w:rFonts w:ascii="Times New Roman" w:hAnsi="Times New Roman"/>
                <w:color w:val="000000"/>
                <w:szCs w:val="20"/>
              </w:rPr>
            </w:pPr>
            <w:r>
              <w:rPr>
                <w:rFonts w:ascii="Times New Roman" w:hAnsi="Times New Roman"/>
                <w:color w:val="000000"/>
              </w:rPr>
              <w:t>0010–0040</w:t>
            </w:r>
          </w:p>
        </w:tc>
        <w:tc>
          <w:tcPr>
            <w:tcW w:w="4271" w:type="pct"/>
            <w:shd w:val="clear" w:color="auto" w:fill="auto"/>
          </w:tcPr>
          <w:p w14:paraId="45774E3B" w14:textId="77777777" w:rsidR="00ED41A4" w:rsidRPr="00E37FBE" w:rsidRDefault="00BD24C1" w:rsidP="00193B6D">
            <w:pPr>
              <w:rPr>
                <w:rFonts w:ascii="Times New Roman" w:hAnsi="Times New Roman"/>
                <w:b/>
                <w:szCs w:val="20"/>
                <w:u w:val="single"/>
              </w:rPr>
            </w:pPr>
            <w:r>
              <w:rPr>
                <w:rFonts w:ascii="Times New Roman" w:hAnsi="Times New Roman"/>
                <w:b/>
                <w:u w:val="single"/>
              </w:rPr>
              <w:t>Egynapos</w:t>
            </w:r>
          </w:p>
          <w:p w14:paraId="0D011271" w14:textId="46252F0C" w:rsidR="00B83BF9" w:rsidRPr="00E37FBE" w:rsidRDefault="00ED41A4" w:rsidP="00193B6D">
            <w:pPr>
              <w:rPr>
                <w:rFonts w:ascii="Times New Roman" w:hAnsi="Times New Roman"/>
                <w:szCs w:val="20"/>
              </w:rPr>
            </w:pPr>
            <w:r>
              <w:rPr>
                <w:rFonts w:ascii="Times New Roman" w:hAnsi="Times New Roman"/>
              </w:rPr>
              <w:t xml:space="preserve">Az adatszolgáltatási időszak megfelelő napján lejáró, egynapos eredeti futamidejű </w:t>
            </w:r>
            <w:proofErr w:type="gramStart"/>
            <w:r>
              <w:rPr>
                <w:rFonts w:ascii="Times New Roman" w:hAnsi="Times New Roman"/>
              </w:rPr>
              <w:t>finanszírozás</w:t>
            </w:r>
            <w:proofErr w:type="gramEnd"/>
            <w:r>
              <w:rPr>
                <w:rFonts w:ascii="Times New Roman" w:hAnsi="Times New Roman"/>
              </w:rPr>
              <w:t xml:space="preserve"> teljes összegét a 0010-es oszlop 1.1–1.31-es tételében kell megadni. A 31-nél kevesebb napból álló hónapok, valamint a hétvégék esetében a nem releváns sorokat üresen kell hagyni.</w:t>
            </w:r>
          </w:p>
          <w:p w14:paraId="7D2D26D4" w14:textId="79E1BEFF" w:rsidR="003E371A" w:rsidRPr="00E37FBE" w:rsidRDefault="003E371A" w:rsidP="00193B6D">
            <w:pPr>
              <w:rPr>
                <w:rFonts w:ascii="Times New Roman" w:hAnsi="Times New Roman"/>
                <w:szCs w:val="20"/>
              </w:rPr>
            </w:pPr>
            <w:r>
              <w:rPr>
                <w:rFonts w:ascii="Times New Roman" w:hAnsi="Times New Roman"/>
              </w:rPr>
              <w:t xml:space="preserve">Az adatszolgáltatási időszak megfelelő napján megújított, egynapos eredeti futamidejű </w:t>
            </w:r>
            <w:proofErr w:type="gramStart"/>
            <w:r>
              <w:rPr>
                <w:rFonts w:ascii="Times New Roman" w:hAnsi="Times New Roman"/>
              </w:rPr>
              <w:t>finanszírozás</w:t>
            </w:r>
            <w:proofErr w:type="gramEnd"/>
            <w:r>
              <w:rPr>
                <w:rFonts w:ascii="Times New Roman" w:hAnsi="Times New Roman"/>
              </w:rPr>
              <w:t xml:space="preserve"> teljes összegét a 0020-as oszlop 1.1–1.31-es tételében kell megadni.</w:t>
            </w:r>
          </w:p>
          <w:p w14:paraId="4837928B" w14:textId="6B449134" w:rsidR="00ED41A4" w:rsidRPr="00E37FBE" w:rsidRDefault="00ED41A4" w:rsidP="00193B6D">
            <w:pPr>
              <w:rPr>
                <w:rFonts w:ascii="Times New Roman" w:hAnsi="Times New Roman"/>
                <w:szCs w:val="20"/>
              </w:rPr>
            </w:pPr>
            <w:r>
              <w:rPr>
                <w:rFonts w:ascii="Times New Roman" w:hAnsi="Times New Roman"/>
              </w:rPr>
              <w:t xml:space="preserve">Az adatszolgáltatási időszak megfelelő napján kapott, egynapos eredeti futamidejű új </w:t>
            </w:r>
            <w:proofErr w:type="gramStart"/>
            <w:r>
              <w:rPr>
                <w:rFonts w:ascii="Times New Roman" w:hAnsi="Times New Roman"/>
              </w:rPr>
              <w:t>finanszírozás</w:t>
            </w:r>
            <w:proofErr w:type="gramEnd"/>
            <w:r>
              <w:rPr>
                <w:rFonts w:ascii="Times New Roman" w:hAnsi="Times New Roman"/>
              </w:rPr>
              <w:t xml:space="preserve"> teljes összegét a 0030-as oszlop 1.1–1.31-es tételében kell megadni.</w:t>
            </w:r>
          </w:p>
          <w:p w14:paraId="16FDBE2F" w14:textId="01510436" w:rsidR="00ED41A4" w:rsidRPr="00E37FBE" w:rsidRDefault="00ED41A4" w:rsidP="00193B6D">
            <w:pPr>
              <w:rPr>
                <w:rFonts w:ascii="Times New Roman" w:hAnsi="Times New Roman"/>
                <w:szCs w:val="20"/>
              </w:rPr>
            </w:pPr>
            <w:r>
              <w:rPr>
                <w:rFonts w:ascii="Times New Roman" w:hAnsi="Times New Roman"/>
              </w:rPr>
              <w:t xml:space="preserve">Az egyrészről a lejáró napi </w:t>
            </w:r>
            <w:proofErr w:type="gramStart"/>
            <w:r>
              <w:rPr>
                <w:rFonts w:ascii="Times New Roman" w:hAnsi="Times New Roman"/>
              </w:rPr>
              <w:t>finanszírozás</w:t>
            </w:r>
            <w:proofErr w:type="gramEnd"/>
            <w:r>
              <w:rPr>
                <w:rFonts w:ascii="Times New Roman" w:hAnsi="Times New Roman"/>
              </w:rPr>
              <w:t xml:space="preserve"> összege, másrészről a megújított finanszírozás kapott új napi finanszírozással növelt összege közötti nettó különbözetet a 0040-es oszlop 1.1–1.31. tételében kell feltüntetni.</w:t>
            </w:r>
          </w:p>
        </w:tc>
      </w:tr>
      <w:tr w:rsidR="00ED41A4" w:rsidRPr="00E37FBE" w14:paraId="66A496F1" w14:textId="77777777" w:rsidTr="00ED41A4">
        <w:trPr>
          <w:trHeight w:val="765"/>
        </w:trPr>
        <w:tc>
          <w:tcPr>
            <w:tcW w:w="729" w:type="pct"/>
            <w:shd w:val="clear" w:color="auto" w:fill="auto"/>
            <w:noWrap/>
          </w:tcPr>
          <w:p w14:paraId="03C009DF" w14:textId="4976C613" w:rsidR="00ED41A4" w:rsidRPr="00E37FBE" w:rsidRDefault="00BD24C1" w:rsidP="00BD24C1">
            <w:pPr>
              <w:spacing w:before="0" w:after="0"/>
              <w:jc w:val="left"/>
              <w:rPr>
                <w:rFonts w:ascii="Times New Roman" w:hAnsi="Times New Roman"/>
                <w:color w:val="000000"/>
                <w:szCs w:val="20"/>
              </w:rPr>
            </w:pPr>
            <w:r>
              <w:rPr>
                <w:rFonts w:ascii="Times New Roman" w:hAnsi="Times New Roman"/>
                <w:color w:val="000000"/>
              </w:rPr>
              <w:t>0050–0080</w:t>
            </w:r>
          </w:p>
        </w:tc>
        <w:tc>
          <w:tcPr>
            <w:tcW w:w="4271" w:type="pct"/>
            <w:shd w:val="clear" w:color="auto" w:fill="auto"/>
          </w:tcPr>
          <w:p w14:paraId="79477518" w14:textId="77777777" w:rsidR="00ED41A4" w:rsidRPr="00E37FBE" w:rsidRDefault="00ED41A4" w:rsidP="00193B6D">
            <w:pPr>
              <w:rPr>
                <w:rFonts w:ascii="Times New Roman" w:hAnsi="Times New Roman"/>
                <w:b/>
                <w:szCs w:val="20"/>
                <w:u w:val="single"/>
              </w:rPr>
            </w:pPr>
            <w:proofErr w:type="gramStart"/>
            <w:r>
              <w:rPr>
                <w:rFonts w:ascii="Times New Roman" w:hAnsi="Times New Roman"/>
                <w:b/>
                <w:u w:val="single"/>
              </w:rPr>
              <w:t>&gt;</w:t>
            </w:r>
            <w:proofErr w:type="gramEnd"/>
            <w:r>
              <w:rPr>
                <w:rFonts w:ascii="Times New Roman" w:hAnsi="Times New Roman"/>
                <w:b/>
                <w:u w:val="single"/>
              </w:rPr>
              <w:t xml:space="preserve"> 1 nap ≤ 7 nap</w:t>
            </w:r>
          </w:p>
          <w:p w14:paraId="456405B1" w14:textId="7B9BDFAD" w:rsidR="00ED41A4" w:rsidRPr="00E37FBE" w:rsidRDefault="00ED41A4" w:rsidP="00193B6D">
            <w:pPr>
              <w:rPr>
                <w:rFonts w:ascii="Times New Roman" w:hAnsi="Times New Roman"/>
                <w:szCs w:val="20"/>
              </w:rPr>
            </w:pPr>
            <w:r>
              <w:rPr>
                <w:rFonts w:ascii="Times New Roman" w:hAnsi="Times New Roman"/>
              </w:rPr>
              <w:t xml:space="preserve">Az egy nap és egy hét közötti eredeti futamidejű, az adatszolgáltatási időszak megfelelő napján lejáró </w:t>
            </w:r>
            <w:proofErr w:type="gramStart"/>
            <w:r>
              <w:rPr>
                <w:rFonts w:ascii="Times New Roman" w:hAnsi="Times New Roman"/>
              </w:rPr>
              <w:t>finanszírozás</w:t>
            </w:r>
            <w:proofErr w:type="gramEnd"/>
            <w:r>
              <w:rPr>
                <w:rFonts w:ascii="Times New Roman" w:hAnsi="Times New Roman"/>
              </w:rPr>
              <w:t xml:space="preserve"> teljes összegét az 0050-es oszlop 1.1–1.31-es tételében kell megadni. A 31-nél kevesebb napból álló hónapok, valamint a hétvégék esetében a nem releváns sorokat üresen kell hagyni.</w:t>
            </w:r>
          </w:p>
          <w:p w14:paraId="293B2767" w14:textId="378670DE" w:rsidR="003E371A" w:rsidRPr="00E37FBE" w:rsidRDefault="003E371A" w:rsidP="00193B6D">
            <w:pPr>
              <w:rPr>
                <w:rFonts w:ascii="Times New Roman" w:hAnsi="Times New Roman"/>
                <w:szCs w:val="20"/>
              </w:rPr>
            </w:pPr>
            <w:r>
              <w:rPr>
                <w:rFonts w:ascii="Times New Roman" w:hAnsi="Times New Roman"/>
              </w:rPr>
              <w:t xml:space="preserve">Az egy nap és egy hét közötti eredeti futamidejű, az adatszolgáltatási időszak megfelelő napján megújított </w:t>
            </w:r>
            <w:proofErr w:type="gramStart"/>
            <w:r>
              <w:rPr>
                <w:rFonts w:ascii="Times New Roman" w:hAnsi="Times New Roman"/>
              </w:rPr>
              <w:t>finanszírozás</w:t>
            </w:r>
            <w:proofErr w:type="gramEnd"/>
            <w:r>
              <w:rPr>
                <w:rFonts w:ascii="Times New Roman" w:hAnsi="Times New Roman"/>
              </w:rPr>
              <w:t xml:space="preserve"> teljes összegét a 0060-as oszlop 1.1–1.31-es tételében kell megadni.</w:t>
            </w:r>
          </w:p>
          <w:p w14:paraId="5D635490" w14:textId="2D826550" w:rsidR="00ED41A4" w:rsidRPr="00E37FBE" w:rsidRDefault="00ED41A4" w:rsidP="00193B6D">
            <w:pPr>
              <w:rPr>
                <w:rFonts w:ascii="Times New Roman" w:hAnsi="Times New Roman"/>
                <w:szCs w:val="20"/>
              </w:rPr>
            </w:pPr>
            <w:r>
              <w:rPr>
                <w:rFonts w:ascii="Times New Roman" w:hAnsi="Times New Roman"/>
              </w:rPr>
              <w:t xml:space="preserve">Az egy nap és egy hét közötti eredeti futamidejű, az adatszolgáltatási időszak megfelelő napján kapott új </w:t>
            </w:r>
            <w:proofErr w:type="gramStart"/>
            <w:r>
              <w:rPr>
                <w:rFonts w:ascii="Times New Roman" w:hAnsi="Times New Roman"/>
              </w:rPr>
              <w:t>finanszírozás</w:t>
            </w:r>
            <w:proofErr w:type="gramEnd"/>
            <w:r>
              <w:rPr>
                <w:rFonts w:ascii="Times New Roman" w:hAnsi="Times New Roman"/>
              </w:rPr>
              <w:t xml:space="preserve"> teljes összegét a 0070-es oszlop 1.1–1.31-es tételében kell megadni.</w:t>
            </w:r>
          </w:p>
          <w:p w14:paraId="46AFF05A" w14:textId="7B5C9634" w:rsidR="00ED41A4" w:rsidRPr="00E37FBE" w:rsidRDefault="00ED41A4" w:rsidP="00193B6D">
            <w:pPr>
              <w:rPr>
                <w:rFonts w:ascii="Times New Roman" w:hAnsi="Times New Roman"/>
                <w:b/>
                <w:szCs w:val="20"/>
                <w:u w:val="single"/>
              </w:rPr>
            </w:pPr>
            <w:r>
              <w:rPr>
                <w:rFonts w:ascii="Times New Roman" w:hAnsi="Times New Roman"/>
              </w:rPr>
              <w:t xml:space="preserve">Az egyrészről a lejáró </w:t>
            </w:r>
            <w:proofErr w:type="gramStart"/>
            <w:r>
              <w:rPr>
                <w:rFonts w:ascii="Times New Roman" w:hAnsi="Times New Roman"/>
              </w:rPr>
              <w:t>finanszírozás</w:t>
            </w:r>
            <w:proofErr w:type="gramEnd"/>
            <w:r>
              <w:rPr>
                <w:rFonts w:ascii="Times New Roman" w:hAnsi="Times New Roman"/>
              </w:rPr>
              <w:t xml:space="preserve"> összege, másrészről a megújított finanszírozás kapott új finanszírozással növelt összege közötti nettó különbözetet a 0080-as oszlop 1.1–1.31-es tételében kell feltüntetni.</w:t>
            </w:r>
          </w:p>
        </w:tc>
      </w:tr>
      <w:tr w:rsidR="00ED41A4" w:rsidRPr="00E37FBE" w14:paraId="7A4EE419" w14:textId="77777777" w:rsidTr="00ED41A4">
        <w:trPr>
          <w:trHeight w:val="765"/>
        </w:trPr>
        <w:tc>
          <w:tcPr>
            <w:tcW w:w="729" w:type="pct"/>
            <w:shd w:val="clear" w:color="auto" w:fill="auto"/>
            <w:noWrap/>
          </w:tcPr>
          <w:p w14:paraId="533F8B1E" w14:textId="1FBD812A"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t>0090–0120</w:t>
            </w:r>
          </w:p>
        </w:tc>
        <w:tc>
          <w:tcPr>
            <w:tcW w:w="4271" w:type="pct"/>
            <w:shd w:val="clear" w:color="auto" w:fill="auto"/>
          </w:tcPr>
          <w:p w14:paraId="47C8E97F" w14:textId="77777777" w:rsidR="00ED41A4" w:rsidRPr="00E37FBE" w:rsidRDefault="00ED41A4" w:rsidP="00193B6D">
            <w:pPr>
              <w:rPr>
                <w:rFonts w:ascii="Times New Roman" w:hAnsi="Times New Roman"/>
                <w:b/>
                <w:szCs w:val="20"/>
                <w:u w:val="single"/>
              </w:rPr>
            </w:pPr>
            <w:proofErr w:type="gramStart"/>
            <w:r>
              <w:rPr>
                <w:rFonts w:ascii="Times New Roman" w:hAnsi="Times New Roman"/>
                <w:b/>
                <w:u w:val="single"/>
              </w:rPr>
              <w:t>&gt;</w:t>
            </w:r>
            <w:proofErr w:type="gramEnd"/>
            <w:r>
              <w:rPr>
                <w:rFonts w:ascii="Times New Roman" w:hAnsi="Times New Roman"/>
                <w:b/>
                <w:u w:val="single"/>
              </w:rPr>
              <w:t xml:space="preserve"> 7 nap ≤ 14 nap</w:t>
            </w:r>
          </w:p>
          <w:p w14:paraId="01B280B0" w14:textId="5023F473" w:rsidR="007C6B89" w:rsidRPr="00E37FBE" w:rsidRDefault="007C6B89" w:rsidP="00193B6D">
            <w:pPr>
              <w:rPr>
                <w:rFonts w:ascii="Times New Roman" w:hAnsi="Times New Roman"/>
                <w:szCs w:val="20"/>
              </w:rPr>
            </w:pPr>
            <w:r>
              <w:rPr>
                <w:rFonts w:ascii="Times New Roman" w:hAnsi="Times New Roman"/>
              </w:rPr>
              <w:t xml:space="preserve">Az egy hét és két hét közötti eredeti futamidejű, az adatszolgáltatási időszak megfelelő napján lejáró </w:t>
            </w:r>
            <w:proofErr w:type="gramStart"/>
            <w:r>
              <w:rPr>
                <w:rFonts w:ascii="Times New Roman" w:hAnsi="Times New Roman"/>
              </w:rPr>
              <w:t>finanszírozás</w:t>
            </w:r>
            <w:proofErr w:type="gramEnd"/>
            <w:r>
              <w:rPr>
                <w:rFonts w:ascii="Times New Roman" w:hAnsi="Times New Roman"/>
              </w:rPr>
              <w:t xml:space="preserve"> teljes összegét a 0090-es oszlop 1.1–1.31-es tételében kell </w:t>
            </w:r>
            <w:r>
              <w:rPr>
                <w:rFonts w:ascii="Times New Roman" w:hAnsi="Times New Roman"/>
              </w:rPr>
              <w:lastRenderedPageBreak/>
              <w:t>megadni. A 31-nél kevesebb napból álló hónapok, valamint a hétvégék esetében a nem releváns sorokat üresen kell hagyni.</w:t>
            </w:r>
          </w:p>
          <w:p w14:paraId="37FF815B" w14:textId="5B38CB82" w:rsidR="003E371A" w:rsidRPr="00E37FBE" w:rsidRDefault="003E371A" w:rsidP="00193B6D">
            <w:pPr>
              <w:rPr>
                <w:rFonts w:ascii="Times New Roman" w:hAnsi="Times New Roman"/>
                <w:szCs w:val="20"/>
              </w:rPr>
            </w:pPr>
            <w:r>
              <w:rPr>
                <w:rFonts w:ascii="Times New Roman" w:hAnsi="Times New Roman"/>
              </w:rPr>
              <w:t xml:space="preserve">Az egy hét és két hét közötti eredeti futamidejű, az adatszolgáltatási időszak megfelelő napján megújított </w:t>
            </w:r>
            <w:proofErr w:type="gramStart"/>
            <w:r>
              <w:rPr>
                <w:rFonts w:ascii="Times New Roman" w:hAnsi="Times New Roman"/>
              </w:rPr>
              <w:t>finanszírozás</w:t>
            </w:r>
            <w:proofErr w:type="gramEnd"/>
            <w:r>
              <w:rPr>
                <w:rFonts w:ascii="Times New Roman" w:hAnsi="Times New Roman"/>
              </w:rPr>
              <w:t xml:space="preserve"> teljes összegét a 0100-as oszlop 1.1–1.31-es tételében kell megadni.</w:t>
            </w:r>
          </w:p>
          <w:p w14:paraId="60125A59" w14:textId="19085EB9" w:rsidR="007C6B89" w:rsidRPr="00E37FBE" w:rsidRDefault="007C6B89" w:rsidP="00193B6D">
            <w:pPr>
              <w:rPr>
                <w:rFonts w:ascii="Times New Roman" w:hAnsi="Times New Roman"/>
                <w:szCs w:val="20"/>
              </w:rPr>
            </w:pPr>
            <w:r>
              <w:rPr>
                <w:rFonts w:ascii="Times New Roman" w:hAnsi="Times New Roman"/>
              </w:rPr>
              <w:t xml:space="preserve">Az egy hét és két hét közötti eredeti futamidejű, az adatszolgáltatási időszak megfelelő napján kapott új </w:t>
            </w:r>
            <w:proofErr w:type="gramStart"/>
            <w:r>
              <w:rPr>
                <w:rFonts w:ascii="Times New Roman" w:hAnsi="Times New Roman"/>
              </w:rPr>
              <w:t>finanszírozás</w:t>
            </w:r>
            <w:proofErr w:type="gramEnd"/>
            <w:r>
              <w:rPr>
                <w:rFonts w:ascii="Times New Roman" w:hAnsi="Times New Roman"/>
              </w:rPr>
              <w:t xml:space="preserve"> teljes összegét a 0110-es oszlop 1.1–1.31-es tételében kell megadni.</w:t>
            </w:r>
          </w:p>
          <w:p w14:paraId="3B20F474" w14:textId="19889FBD" w:rsidR="00ED41A4" w:rsidRPr="00E37FBE" w:rsidRDefault="007C6B89" w:rsidP="00193B6D">
            <w:pPr>
              <w:rPr>
                <w:rFonts w:ascii="Times New Roman" w:hAnsi="Times New Roman"/>
                <w:b/>
                <w:szCs w:val="20"/>
                <w:u w:val="single"/>
              </w:rPr>
            </w:pPr>
            <w:r>
              <w:rPr>
                <w:rFonts w:ascii="Times New Roman" w:hAnsi="Times New Roman"/>
              </w:rPr>
              <w:t xml:space="preserve">Az egyrészről a lejáró </w:t>
            </w:r>
            <w:proofErr w:type="gramStart"/>
            <w:r>
              <w:rPr>
                <w:rFonts w:ascii="Times New Roman" w:hAnsi="Times New Roman"/>
              </w:rPr>
              <w:t>finanszírozás</w:t>
            </w:r>
            <w:proofErr w:type="gramEnd"/>
            <w:r>
              <w:rPr>
                <w:rFonts w:ascii="Times New Roman" w:hAnsi="Times New Roman"/>
              </w:rPr>
              <w:t xml:space="preserve"> összege, másrészről a megújított finanszírozás kapott új finanszírozással növelt összege közötti nettó különbözetet a 0120-as oszlop 1.1–1.31-es tételében kell feltüntetni.</w:t>
            </w:r>
          </w:p>
        </w:tc>
      </w:tr>
      <w:tr w:rsidR="00ED41A4" w:rsidRPr="00E37FBE" w14:paraId="4111D590" w14:textId="77777777" w:rsidTr="00ED41A4">
        <w:trPr>
          <w:trHeight w:val="765"/>
        </w:trPr>
        <w:tc>
          <w:tcPr>
            <w:tcW w:w="729" w:type="pct"/>
            <w:shd w:val="clear" w:color="auto" w:fill="auto"/>
            <w:noWrap/>
          </w:tcPr>
          <w:p w14:paraId="3F918ABE" w14:textId="486D4A1E"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lastRenderedPageBreak/>
              <w:t>0130–0160</w:t>
            </w:r>
          </w:p>
        </w:tc>
        <w:tc>
          <w:tcPr>
            <w:tcW w:w="4271" w:type="pct"/>
            <w:shd w:val="clear" w:color="auto" w:fill="auto"/>
          </w:tcPr>
          <w:p w14:paraId="4D847802" w14:textId="77777777" w:rsidR="00ED41A4" w:rsidRPr="00E37FBE" w:rsidRDefault="00ED41A4" w:rsidP="00193B6D">
            <w:pPr>
              <w:rPr>
                <w:rFonts w:ascii="Times New Roman" w:hAnsi="Times New Roman"/>
                <w:b/>
                <w:szCs w:val="20"/>
                <w:u w:val="single"/>
              </w:rPr>
            </w:pPr>
            <w:proofErr w:type="gramStart"/>
            <w:r>
              <w:rPr>
                <w:rFonts w:ascii="Times New Roman" w:hAnsi="Times New Roman"/>
                <w:b/>
                <w:u w:val="single"/>
              </w:rPr>
              <w:t>&gt;</w:t>
            </w:r>
            <w:proofErr w:type="gramEnd"/>
            <w:r>
              <w:rPr>
                <w:rFonts w:ascii="Times New Roman" w:hAnsi="Times New Roman"/>
                <w:b/>
                <w:u w:val="single"/>
              </w:rPr>
              <w:t xml:space="preserve"> 14 nap ≤ 1 hónap</w:t>
            </w:r>
          </w:p>
          <w:p w14:paraId="6DFCCE86" w14:textId="3B483DEE" w:rsidR="007C6B89" w:rsidRPr="00E37FBE" w:rsidRDefault="007C6B89" w:rsidP="00193B6D">
            <w:pPr>
              <w:rPr>
                <w:rFonts w:ascii="Times New Roman" w:hAnsi="Times New Roman"/>
                <w:szCs w:val="20"/>
              </w:rPr>
            </w:pPr>
            <w:r>
              <w:rPr>
                <w:rFonts w:ascii="Times New Roman" w:hAnsi="Times New Roman"/>
              </w:rPr>
              <w:t xml:space="preserve">A két hét és egy hónap közötti eredeti futamidejű, az adatszolgáltatási időszak megfelelő napján lejáró </w:t>
            </w:r>
            <w:proofErr w:type="gramStart"/>
            <w:r>
              <w:rPr>
                <w:rFonts w:ascii="Times New Roman" w:hAnsi="Times New Roman"/>
              </w:rPr>
              <w:t>finanszírozás</w:t>
            </w:r>
            <w:proofErr w:type="gramEnd"/>
            <w:r>
              <w:rPr>
                <w:rFonts w:ascii="Times New Roman" w:hAnsi="Times New Roman"/>
              </w:rPr>
              <w:t xml:space="preserve"> teljes összegét a 0130-as oszlop 1.1–1.31-es tételében kell megadni. A 31-nél kevesebb napból álló hónapok, valamint a hétvégék esetében a nem releváns sorokat üresen kell hagyni.</w:t>
            </w:r>
          </w:p>
          <w:p w14:paraId="168BD6CE" w14:textId="7007C9B1" w:rsidR="003E371A" w:rsidRPr="00E37FBE" w:rsidRDefault="003E371A" w:rsidP="00193B6D">
            <w:pPr>
              <w:rPr>
                <w:rFonts w:ascii="Times New Roman" w:hAnsi="Times New Roman"/>
                <w:szCs w:val="20"/>
              </w:rPr>
            </w:pPr>
            <w:r>
              <w:rPr>
                <w:rFonts w:ascii="Times New Roman" w:hAnsi="Times New Roman"/>
              </w:rPr>
              <w:t xml:space="preserve">A két hét és egy hónap közötti eredeti futamidejű, az adatszolgáltatási időszak megfelelő napján megújított </w:t>
            </w:r>
            <w:proofErr w:type="gramStart"/>
            <w:r>
              <w:rPr>
                <w:rFonts w:ascii="Times New Roman" w:hAnsi="Times New Roman"/>
              </w:rPr>
              <w:t>finanszírozás</w:t>
            </w:r>
            <w:proofErr w:type="gramEnd"/>
            <w:r>
              <w:rPr>
                <w:rFonts w:ascii="Times New Roman" w:hAnsi="Times New Roman"/>
              </w:rPr>
              <w:t xml:space="preserve"> teljes összegét a 0140-es oszlop 1.1–1.31-es tételében kell megadni.</w:t>
            </w:r>
          </w:p>
          <w:p w14:paraId="0DBC5483" w14:textId="6B45A083" w:rsidR="007C6B89" w:rsidRPr="00E37FBE" w:rsidRDefault="007C6B89" w:rsidP="00193B6D">
            <w:pPr>
              <w:rPr>
                <w:rFonts w:ascii="Times New Roman" w:hAnsi="Times New Roman"/>
                <w:szCs w:val="20"/>
              </w:rPr>
            </w:pPr>
            <w:r>
              <w:rPr>
                <w:rFonts w:ascii="Times New Roman" w:hAnsi="Times New Roman"/>
              </w:rPr>
              <w:t xml:space="preserve">A két hét és egy hónap közötti eredeti futamidejű, az adatszolgáltatási időszak megfelelő napján kapott új </w:t>
            </w:r>
            <w:proofErr w:type="gramStart"/>
            <w:r>
              <w:rPr>
                <w:rFonts w:ascii="Times New Roman" w:hAnsi="Times New Roman"/>
              </w:rPr>
              <w:t>finanszírozás</w:t>
            </w:r>
            <w:proofErr w:type="gramEnd"/>
            <w:r>
              <w:rPr>
                <w:rFonts w:ascii="Times New Roman" w:hAnsi="Times New Roman"/>
              </w:rPr>
              <w:t xml:space="preserve"> teljes összegét a 0150-es oszlop 1.1–1.31-es tételében kell megadni.</w:t>
            </w:r>
          </w:p>
          <w:p w14:paraId="0D02D77F" w14:textId="442746A6" w:rsidR="00ED41A4" w:rsidRPr="00E37FBE" w:rsidRDefault="007C6B89" w:rsidP="00193B6D">
            <w:pPr>
              <w:rPr>
                <w:rFonts w:ascii="Times New Roman" w:hAnsi="Times New Roman"/>
                <w:b/>
                <w:szCs w:val="20"/>
                <w:u w:val="single"/>
              </w:rPr>
            </w:pPr>
            <w:r>
              <w:rPr>
                <w:rFonts w:ascii="Times New Roman" w:hAnsi="Times New Roman"/>
              </w:rPr>
              <w:t xml:space="preserve">Az egyrészről a lejáró </w:t>
            </w:r>
            <w:proofErr w:type="gramStart"/>
            <w:r>
              <w:rPr>
                <w:rFonts w:ascii="Times New Roman" w:hAnsi="Times New Roman"/>
              </w:rPr>
              <w:t>finanszírozás</w:t>
            </w:r>
            <w:proofErr w:type="gramEnd"/>
            <w:r>
              <w:rPr>
                <w:rFonts w:ascii="Times New Roman" w:hAnsi="Times New Roman"/>
              </w:rPr>
              <w:t xml:space="preserve"> összege, másrészről a megújított finanszírozás kapott új finanszírozással növelt összege közötti nettó különbözetet a 0160-as oszlop 1.1–1.31-es tételében kell feltüntetni.</w:t>
            </w:r>
          </w:p>
        </w:tc>
      </w:tr>
      <w:tr w:rsidR="00ED41A4" w:rsidRPr="00E37FBE" w14:paraId="0A45C671" w14:textId="77777777" w:rsidTr="00ED41A4">
        <w:trPr>
          <w:trHeight w:val="765"/>
        </w:trPr>
        <w:tc>
          <w:tcPr>
            <w:tcW w:w="729" w:type="pct"/>
            <w:shd w:val="clear" w:color="auto" w:fill="auto"/>
            <w:noWrap/>
          </w:tcPr>
          <w:p w14:paraId="643AD884" w14:textId="68945A73"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t>0170–0200</w:t>
            </w:r>
          </w:p>
        </w:tc>
        <w:tc>
          <w:tcPr>
            <w:tcW w:w="4271" w:type="pct"/>
            <w:shd w:val="clear" w:color="auto" w:fill="auto"/>
          </w:tcPr>
          <w:p w14:paraId="40912CAD" w14:textId="77777777" w:rsidR="00ED41A4" w:rsidRPr="00E37FBE" w:rsidRDefault="00ED41A4" w:rsidP="00193B6D">
            <w:pPr>
              <w:rPr>
                <w:rFonts w:ascii="Times New Roman" w:hAnsi="Times New Roman"/>
                <w:b/>
                <w:szCs w:val="20"/>
                <w:u w:val="single"/>
              </w:rPr>
            </w:pPr>
            <w:proofErr w:type="gramStart"/>
            <w:r>
              <w:rPr>
                <w:rFonts w:ascii="Times New Roman" w:hAnsi="Times New Roman"/>
                <w:b/>
                <w:u w:val="single"/>
              </w:rPr>
              <w:t>&gt;</w:t>
            </w:r>
            <w:proofErr w:type="gramEnd"/>
            <w:r>
              <w:rPr>
                <w:rFonts w:ascii="Times New Roman" w:hAnsi="Times New Roman"/>
                <w:b/>
                <w:u w:val="single"/>
              </w:rPr>
              <w:t xml:space="preserve"> 1 hónap ≤ 3 hónap</w:t>
            </w:r>
          </w:p>
          <w:p w14:paraId="1C6BB1D5" w14:textId="757F683B" w:rsidR="007C6B89" w:rsidRPr="00E37FBE" w:rsidRDefault="007C6B89" w:rsidP="00193B6D">
            <w:pPr>
              <w:rPr>
                <w:rFonts w:ascii="Times New Roman" w:hAnsi="Times New Roman"/>
                <w:szCs w:val="20"/>
              </w:rPr>
            </w:pPr>
            <w:r>
              <w:rPr>
                <w:rFonts w:ascii="Times New Roman" w:hAnsi="Times New Roman"/>
              </w:rPr>
              <w:t xml:space="preserve">Az egy hónap és három hónap közötti eredeti futamidejű, az adatszolgáltatási időszak megfelelő napján lejáró </w:t>
            </w:r>
            <w:proofErr w:type="gramStart"/>
            <w:r>
              <w:rPr>
                <w:rFonts w:ascii="Times New Roman" w:hAnsi="Times New Roman"/>
              </w:rPr>
              <w:t>finanszírozás</w:t>
            </w:r>
            <w:proofErr w:type="gramEnd"/>
            <w:r>
              <w:rPr>
                <w:rFonts w:ascii="Times New Roman" w:hAnsi="Times New Roman"/>
              </w:rPr>
              <w:t xml:space="preserve"> teljes összegét a 0170-es oszlop 1.1–1.31-es tételében kell megadni. A 31-nél kevesebb napból álló hónapok, valamint a hétvégék esetében a nem releváns sorokat üresen kell hagyni.</w:t>
            </w:r>
          </w:p>
          <w:p w14:paraId="6A91E8B5" w14:textId="5A7B6811" w:rsidR="003E371A" w:rsidRPr="00E37FBE" w:rsidRDefault="003E371A" w:rsidP="00193B6D">
            <w:pPr>
              <w:rPr>
                <w:rFonts w:ascii="Times New Roman" w:hAnsi="Times New Roman"/>
                <w:szCs w:val="20"/>
              </w:rPr>
            </w:pPr>
            <w:r>
              <w:rPr>
                <w:rFonts w:ascii="Times New Roman" w:hAnsi="Times New Roman"/>
              </w:rPr>
              <w:t xml:space="preserve">Az egy hónap és három hónap közötti eredeti futamidejű, az adatszolgáltatási időszak megfelelő napján megújított </w:t>
            </w:r>
            <w:proofErr w:type="gramStart"/>
            <w:r>
              <w:rPr>
                <w:rFonts w:ascii="Times New Roman" w:hAnsi="Times New Roman"/>
              </w:rPr>
              <w:t>finanszírozás</w:t>
            </w:r>
            <w:proofErr w:type="gramEnd"/>
            <w:r>
              <w:rPr>
                <w:rFonts w:ascii="Times New Roman" w:hAnsi="Times New Roman"/>
              </w:rPr>
              <w:t xml:space="preserve"> teljes összegét a 0180-as oszlop 1.1–1.31-es tételében kell megadni.</w:t>
            </w:r>
          </w:p>
          <w:p w14:paraId="7A9947A9" w14:textId="1B33C53B" w:rsidR="007C6B89" w:rsidRPr="00E37FBE" w:rsidRDefault="007C6B89" w:rsidP="00193B6D">
            <w:pPr>
              <w:rPr>
                <w:rFonts w:ascii="Times New Roman" w:hAnsi="Times New Roman"/>
                <w:szCs w:val="20"/>
              </w:rPr>
            </w:pPr>
            <w:r>
              <w:rPr>
                <w:rFonts w:ascii="Times New Roman" w:hAnsi="Times New Roman"/>
              </w:rPr>
              <w:t xml:space="preserve">Az egy hónap és három hónap közötti eredeti futamidejű, az adatszolgáltatási időszak megfelelő napján kapott új </w:t>
            </w:r>
            <w:proofErr w:type="gramStart"/>
            <w:r>
              <w:rPr>
                <w:rFonts w:ascii="Times New Roman" w:hAnsi="Times New Roman"/>
              </w:rPr>
              <w:t>finanszírozás</w:t>
            </w:r>
            <w:proofErr w:type="gramEnd"/>
            <w:r>
              <w:rPr>
                <w:rFonts w:ascii="Times New Roman" w:hAnsi="Times New Roman"/>
              </w:rPr>
              <w:t xml:space="preserve"> teljes összegét a 0190-es oszlop 1.1–1.31-es tételében kell megadni.</w:t>
            </w:r>
          </w:p>
          <w:p w14:paraId="655F0B6A" w14:textId="572310E6" w:rsidR="00ED41A4" w:rsidRPr="00E37FBE" w:rsidRDefault="007C6B89" w:rsidP="00193B6D">
            <w:pPr>
              <w:rPr>
                <w:rFonts w:ascii="Times New Roman" w:hAnsi="Times New Roman"/>
                <w:b/>
                <w:szCs w:val="20"/>
                <w:u w:val="single"/>
              </w:rPr>
            </w:pPr>
            <w:r>
              <w:rPr>
                <w:rFonts w:ascii="Times New Roman" w:hAnsi="Times New Roman"/>
              </w:rPr>
              <w:t xml:space="preserve">Az egyrészről a lejáró </w:t>
            </w:r>
            <w:proofErr w:type="gramStart"/>
            <w:r>
              <w:rPr>
                <w:rFonts w:ascii="Times New Roman" w:hAnsi="Times New Roman"/>
              </w:rPr>
              <w:t>finanszírozás</w:t>
            </w:r>
            <w:proofErr w:type="gramEnd"/>
            <w:r>
              <w:rPr>
                <w:rFonts w:ascii="Times New Roman" w:hAnsi="Times New Roman"/>
              </w:rPr>
              <w:t xml:space="preserve"> összege, másrészről a megújított finanszírozás kapott új finanszírozással növelt összege közötti nettó különbözetet a 0200-as oszlop 1.1–1.31-es tételében kell feltüntetni.</w:t>
            </w:r>
          </w:p>
        </w:tc>
      </w:tr>
      <w:tr w:rsidR="00ED41A4" w:rsidRPr="00E37FBE" w14:paraId="0C7B73A0" w14:textId="77777777" w:rsidTr="00ED41A4">
        <w:trPr>
          <w:trHeight w:val="765"/>
        </w:trPr>
        <w:tc>
          <w:tcPr>
            <w:tcW w:w="729" w:type="pct"/>
            <w:shd w:val="clear" w:color="auto" w:fill="auto"/>
            <w:noWrap/>
          </w:tcPr>
          <w:p w14:paraId="31DA83DD" w14:textId="68560FBD"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t>0210–0240</w:t>
            </w:r>
          </w:p>
        </w:tc>
        <w:tc>
          <w:tcPr>
            <w:tcW w:w="4271" w:type="pct"/>
            <w:shd w:val="clear" w:color="auto" w:fill="auto"/>
          </w:tcPr>
          <w:p w14:paraId="27019293" w14:textId="77777777" w:rsidR="005A40BE" w:rsidRPr="00E37FBE" w:rsidRDefault="005A40BE" w:rsidP="00193B6D">
            <w:pPr>
              <w:rPr>
                <w:rFonts w:ascii="Times New Roman" w:hAnsi="Times New Roman"/>
                <w:b/>
                <w:szCs w:val="20"/>
                <w:u w:val="single"/>
              </w:rPr>
            </w:pPr>
            <w:proofErr w:type="gramStart"/>
            <w:r>
              <w:rPr>
                <w:rFonts w:ascii="Times New Roman" w:hAnsi="Times New Roman"/>
                <w:b/>
                <w:u w:val="single"/>
              </w:rPr>
              <w:t>&gt;</w:t>
            </w:r>
            <w:proofErr w:type="gramEnd"/>
            <w:r>
              <w:rPr>
                <w:rFonts w:ascii="Times New Roman" w:hAnsi="Times New Roman"/>
                <w:b/>
                <w:u w:val="single"/>
              </w:rPr>
              <w:t xml:space="preserve"> 3 hónap ≤ 6 hónap</w:t>
            </w:r>
          </w:p>
          <w:p w14:paraId="0260CA5A" w14:textId="01087905" w:rsidR="006044FF" w:rsidRPr="00E37FBE" w:rsidRDefault="005A40BE" w:rsidP="00193B6D">
            <w:pPr>
              <w:rPr>
                <w:rFonts w:ascii="Times New Roman" w:hAnsi="Times New Roman"/>
                <w:szCs w:val="20"/>
              </w:rPr>
            </w:pPr>
            <w:r>
              <w:rPr>
                <w:rFonts w:ascii="Times New Roman" w:hAnsi="Times New Roman"/>
              </w:rPr>
              <w:t xml:space="preserve">A három hónap és hat hónap közötti eredeti futamidejű, az adatszolgáltatási időszak megfelelő napján lejáró </w:t>
            </w:r>
            <w:proofErr w:type="gramStart"/>
            <w:r>
              <w:rPr>
                <w:rFonts w:ascii="Times New Roman" w:hAnsi="Times New Roman"/>
              </w:rPr>
              <w:t>finanszírozás</w:t>
            </w:r>
            <w:proofErr w:type="gramEnd"/>
            <w:r>
              <w:rPr>
                <w:rFonts w:ascii="Times New Roman" w:hAnsi="Times New Roman"/>
              </w:rPr>
              <w:t xml:space="preserve"> teljes összegét a 0210-es oszlop 1.1–1.31-es tételében kell megadni. A 31-nél kevesebb napból álló hónapok, valamint a hétvégék esetében a nem releváns sorokat üresen kell hagyni.</w:t>
            </w:r>
          </w:p>
          <w:p w14:paraId="563F93F8" w14:textId="263DC9E2" w:rsidR="003E371A" w:rsidRPr="00E37FBE" w:rsidRDefault="003E371A" w:rsidP="00193B6D">
            <w:pPr>
              <w:rPr>
                <w:rFonts w:ascii="Times New Roman" w:hAnsi="Times New Roman"/>
                <w:szCs w:val="20"/>
              </w:rPr>
            </w:pPr>
            <w:r>
              <w:rPr>
                <w:rFonts w:ascii="Times New Roman" w:hAnsi="Times New Roman"/>
              </w:rPr>
              <w:t xml:space="preserve">A három hónap és hat hónap közötti eredeti futamidejű, az adatszolgáltatási időszak megfelelő napján megújított </w:t>
            </w:r>
            <w:proofErr w:type="gramStart"/>
            <w:r>
              <w:rPr>
                <w:rFonts w:ascii="Times New Roman" w:hAnsi="Times New Roman"/>
              </w:rPr>
              <w:t>finanszírozás</w:t>
            </w:r>
            <w:proofErr w:type="gramEnd"/>
            <w:r>
              <w:rPr>
                <w:rFonts w:ascii="Times New Roman" w:hAnsi="Times New Roman"/>
              </w:rPr>
              <w:t xml:space="preserve"> teljes összegét a 0220-as oszlop 1.1–1.31-es tételében kell megadni.</w:t>
            </w:r>
          </w:p>
          <w:p w14:paraId="601C708E" w14:textId="48140626" w:rsidR="005A40BE" w:rsidRPr="00E37FBE" w:rsidRDefault="005A40BE" w:rsidP="00193B6D">
            <w:pPr>
              <w:rPr>
                <w:rFonts w:ascii="Times New Roman" w:hAnsi="Times New Roman"/>
                <w:szCs w:val="20"/>
              </w:rPr>
            </w:pPr>
            <w:r>
              <w:rPr>
                <w:rFonts w:ascii="Times New Roman" w:hAnsi="Times New Roman"/>
              </w:rPr>
              <w:lastRenderedPageBreak/>
              <w:t xml:space="preserve">A három hónap és hat hónap közötti eredeti futamidejű, az adatszolgáltatási időszak megfelelő napján kapott új </w:t>
            </w:r>
            <w:proofErr w:type="gramStart"/>
            <w:r>
              <w:rPr>
                <w:rFonts w:ascii="Times New Roman" w:hAnsi="Times New Roman"/>
              </w:rPr>
              <w:t>finanszírozás</w:t>
            </w:r>
            <w:proofErr w:type="gramEnd"/>
            <w:r>
              <w:rPr>
                <w:rFonts w:ascii="Times New Roman" w:hAnsi="Times New Roman"/>
              </w:rPr>
              <w:t xml:space="preserve"> teljes összegét a 0230-as oszlop 1.1–1.31-es tételében kell megadni.</w:t>
            </w:r>
          </w:p>
          <w:p w14:paraId="3E16D1CD" w14:textId="0E6E50F6" w:rsidR="00ED41A4" w:rsidRPr="00E37FBE" w:rsidRDefault="005A40BE" w:rsidP="00193B6D">
            <w:pPr>
              <w:rPr>
                <w:rFonts w:ascii="Times New Roman" w:hAnsi="Times New Roman"/>
                <w:b/>
                <w:szCs w:val="20"/>
                <w:u w:val="single"/>
              </w:rPr>
            </w:pPr>
            <w:r>
              <w:rPr>
                <w:rFonts w:ascii="Times New Roman" w:hAnsi="Times New Roman"/>
              </w:rPr>
              <w:t xml:space="preserve">Az egyrészről a lejáró </w:t>
            </w:r>
            <w:proofErr w:type="gramStart"/>
            <w:r>
              <w:rPr>
                <w:rFonts w:ascii="Times New Roman" w:hAnsi="Times New Roman"/>
              </w:rPr>
              <w:t>finanszírozás</w:t>
            </w:r>
            <w:proofErr w:type="gramEnd"/>
            <w:r>
              <w:rPr>
                <w:rFonts w:ascii="Times New Roman" w:hAnsi="Times New Roman"/>
              </w:rPr>
              <w:t xml:space="preserve"> összege, másrészről a megújított finanszírozás kapott új finanszírozással növelt összege közötti nettó különbözetet a 0240-es oszlop 1.1–1.31-es tételében kell feltüntetni.</w:t>
            </w:r>
          </w:p>
        </w:tc>
      </w:tr>
      <w:tr w:rsidR="00ED41A4" w:rsidRPr="00E37FBE" w14:paraId="3D6EC655" w14:textId="77777777" w:rsidTr="00ED41A4">
        <w:trPr>
          <w:trHeight w:val="765"/>
        </w:trPr>
        <w:tc>
          <w:tcPr>
            <w:tcW w:w="729" w:type="pct"/>
            <w:shd w:val="clear" w:color="auto" w:fill="auto"/>
            <w:noWrap/>
          </w:tcPr>
          <w:p w14:paraId="770F85E8" w14:textId="68C86721"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lastRenderedPageBreak/>
              <w:t>0250–0280</w:t>
            </w:r>
          </w:p>
        </w:tc>
        <w:tc>
          <w:tcPr>
            <w:tcW w:w="4271" w:type="pct"/>
            <w:shd w:val="clear" w:color="auto" w:fill="auto"/>
          </w:tcPr>
          <w:p w14:paraId="29910BBF" w14:textId="77777777" w:rsidR="00ED41A4" w:rsidRPr="00E37FBE" w:rsidRDefault="005A40BE" w:rsidP="00193B6D">
            <w:pPr>
              <w:rPr>
                <w:rFonts w:ascii="Times New Roman" w:hAnsi="Times New Roman"/>
                <w:b/>
                <w:szCs w:val="20"/>
                <w:u w:val="single"/>
              </w:rPr>
            </w:pPr>
            <w:proofErr w:type="gramStart"/>
            <w:r>
              <w:rPr>
                <w:rFonts w:ascii="Times New Roman" w:hAnsi="Times New Roman"/>
                <w:b/>
                <w:u w:val="single"/>
              </w:rPr>
              <w:t>&gt;</w:t>
            </w:r>
            <w:proofErr w:type="gramEnd"/>
            <w:r>
              <w:rPr>
                <w:rFonts w:ascii="Times New Roman" w:hAnsi="Times New Roman"/>
                <w:b/>
                <w:u w:val="single"/>
              </w:rPr>
              <w:t xml:space="preserve"> 6 hónap</w:t>
            </w:r>
          </w:p>
          <w:p w14:paraId="3C7C589B" w14:textId="433DBEBB" w:rsidR="007C6B89" w:rsidRPr="00E37FBE" w:rsidRDefault="007C6B89" w:rsidP="00193B6D">
            <w:pPr>
              <w:rPr>
                <w:rFonts w:ascii="Times New Roman" w:hAnsi="Times New Roman"/>
                <w:szCs w:val="20"/>
              </w:rPr>
            </w:pPr>
            <w:r>
              <w:rPr>
                <w:rFonts w:ascii="Times New Roman" w:hAnsi="Times New Roman"/>
              </w:rPr>
              <w:t xml:space="preserve">A hat hónapot meghaladó eredeti futamidejű, az adatszolgáltatási időszak megfelelő napján lejáró </w:t>
            </w:r>
            <w:proofErr w:type="gramStart"/>
            <w:r>
              <w:rPr>
                <w:rFonts w:ascii="Times New Roman" w:hAnsi="Times New Roman"/>
              </w:rPr>
              <w:t>finanszírozás</w:t>
            </w:r>
            <w:proofErr w:type="gramEnd"/>
            <w:r>
              <w:rPr>
                <w:rFonts w:ascii="Times New Roman" w:hAnsi="Times New Roman"/>
              </w:rPr>
              <w:t xml:space="preserve"> teljes összegét a 0250-es oszlop 1.1–1.31-es tételében kell megadni. A 31-nél kevesebb napból álló hónapok, valamint a hétvégék esetében a nem releváns sorokat üresen kell hagyni.</w:t>
            </w:r>
          </w:p>
          <w:p w14:paraId="09601152" w14:textId="25476A9D" w:rsidR="003E371A" w:rsidRPr="00E37FBE" w:rsidRDefault="003E371A" w:rsidP="00193B6D">
            <w:pPr>
              <w:rPr>
                <w:rFonts w:ascii="Times New Roman" w:hAnsi="Times New Roman"/>
                <w:szCs w:val="20"/>
              </w:rPr>
            </w:pPr>
            <w:r>
              <w:rPr>
                <w:rFonts w:ascii="Times New Roman" w:hAnsi="Times New Roman"/>
              </w:rPr>
              <w:t xml:space="preserve">A hat hónapot meghaladó eredeti futamidejű, az adatszolgáltatási időszak megfelelő napján megújított </w:t>
            </w:r>
            <w:proofErr w:type="gramStart"/>
            <w:r>
              <w:rPr>
                <w:rFonts w:ascii="Times New Roman" w:hAnsi="Times New Roman"/>
              </w:rPr>
              <w:t>finanszírozás</w:t>
            </w:r>
            <w:proofErr w:type="gramEnd"/>
            <w:r>
              <w:rPr>
                <w:rFonts w:ascii="Times New Roman" w:hAnsi="Times New Roman"/>
              </w:rPr>
              <w:t xml:space="preserve"> teljes összegét a 0260-as oszlop 1.1–1.31-es tételében kell megadni.</w:t>
            </w:r>
          </w:p>
          <w:p w14:paraId="4585368E" w14:textId="58DDCB2B" w:rsidR="007C6B89" w:rsidRPr="00E37FBE" w:rsidRDefault="007C6B89" w:rsidP="00193B6D">
            <w:pPr>
              <w:rPr>
                <w:rFonts w:ascii="Times New Roman" w:hAnsi="Times New Roman"/>
                <w:szCs w:val="20"/>
              </w:rPr>
            </w:pPr>
            <w:r>
              <w:rPr>
                <w:rFonts w:ascii="Times New Roman" w:hAnsi="Times New Roman"/>
              </w:rPr>
              <w:t xml:space="preserve">A hat hónapot meghaladó eredeti futamidejű, az adatszolgáltatási időszak megfelelő napján kapott új </w:t>
            </w:r>
            <w:proofErr w:type="gramStart"/>
            <w:r>
              <w:rPr>
                <w:rFonts w:ascii="Times New Roman" w:hAnsi="Times New Roman"/>
              </w:rPr>
              <w:t>finanszírozás</w:t>
            </w:r>
            <w:proofErr w:type="gramEnd"/>
            <w:r>
              <w:rPr>
                <w:rFonts w:ascii="Times New Roman" w:hAnsi="Times New Roman"/>
              </w:rPr>
              <w:t xml:space="preserve"> teljes összegét a 0270-es oszlop 1.1–1.31-es tételében kell megadni.</w:t>
            </w:r>
          </w:p>
          <w:p w14:paraId="228AAF2B" w14:textId="3C1E7152" w:rsidR="00ED41A4" w:rsidRPr="00E37FBE" w:rsidRDefault="007C6B89" w:rsidP="00193B6D">
            <w:pPr>
              <w:rPr>
                <w:rFonts w:ascii="Times New Roman" w:hAnsi="Times New Roman"/>
                <w:b/>
                <w:szCs w:val="20"/>
                <w:u w:val="single"/>
              </w:rPr>
            </w:pPr>
            <w:r>
              <w:rPr>
                <w:rFonts w:ascii="Times New Roman" w:hAnsi="Times New Roman"/>
              </w:rPr>
              <w:t xml:space="preserve">Az egyrészről a lejáró </w:t>
            </w:r>
            <w:proofErr w:type="gramStart"/>
            <w:r>
              <w:rPr>
                <w:rFonts w:ascii="Times New Roman" w:hAnsi="Times New Roman"/>
              </w:rPr>
              <w:t>finanszírozás</w:t>
            </w:r>
            <w:proofErr w:type="gramEnd"/>
            <w:r>
              <w:rPr>
                <w:rFonts w:ascii="Times New Roman" w:hAnsi="Times New Roman"/>
              </w:rPr>
              <w:t xml:space="preserve"> összege, másrészről a megújított finanszírozás kapott új finanszírozással növelt összege közötti nettó különbözetet a 0280-as oszlop 1.1–1.31-es tételében kell feltüntetni.</w:t>
            </w:r>
          </w:p>
        </w:tc>
      </w:tr>
      <w:tr w:rsidR="00ED41A4" w:rsidRPr="00E37FBE" w14:paraId="26CA8238" w14:textId="77777777" w:rsidTr="00ED41A4">
        <w:trPr>
          <w:trHeight w:val="765"/>
        </w:trPr>
        <w:tc>
          <w:tcPr>
            <w:tcW w:w="729" w:type="pct"/>
            <w:shd w:val="clear" w:color="auto" w:fill="auto"/>
            <w:noWrap/>
          </w:tcPr>
          <w:p w14:paraId="5DBB902E" w14:textId="2A70BAFE"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t>0290</w:t>
            </w:r>
          </w:p>
        </w:tc>
        <w:tc>
          <w:tcPr>
            <w:tcW w:w="4271" w:type="pct"/>
            <w:shd w:val="clear" w:color="auto" w:fill="auto"/>
          </w:tcPr>
          <w:p w14:paraId="7F9724BA" w14:textId="77777777" w:rsidR="00ED41A4" w:rsidRPr="00E37FBE" w:rsidRDefault="00ED41A4" w:rsidP="00193B6D">
            <w:pPr>
              <w:rPr>
                <w:rFonts w:ascii="Times New Roman" w:hAnsi="Times New Roman"/>
                <w:b/>
                <w:szCs w:val="20"/>
                <w:u w:val="single"/>
              </w:rPr>
            </w:pPr>
            <w:r>
              <w:rPr>
                <w:rFonts w:ascii="Times New Roman" w:hAnsi="Times New Roman"/>
                <w:b/>
                <w:u w:val="single"/>
              </w:rPr>
              <w:t>Teljes nettó pénzáramlás</w:t>
            </w:r>
          </w:p>
          <w:p w14:paraId="6468E29D" w14:textId="4F8BA686" w:rsidR="007C6B89" w:rsidRPr="00E37FBE" w:rsidRDefault="007C6B89" w:rsidP="001861B7">
            <w:pPr>
              <w:rPr>
                <w:rFonts w:ascii="Times New Roman" w:hAnsi="Times New Roman"/>
                <w:b/>
                <w:szCs w:val="20"/>
                <w:u w:val="single"/>
              </w:rPr>
            </w:pPr>
            <w:r>
              <w:rPr>
                <w:rFonts w:ascii="Times New Roman" w:hAnsi="Times New Roman"/>
              </w:rPr>
              <w:t>A 0040-es, 0080-as, 0120-as, 0160-as, 0200-as, 0240-es, 0280-as „Nettó” oszlopok összegeként kiszámított teljes nettó pénzáramlást a 0290-es oszlopban kell megadni.</w:t>
            </w:r>
          </w:p>
        </w:tc>
      </w:tr>
      <w:tr w:rsidR="00ED41A4" w:rsidRPr="00E37FBE" w14:paraId="18A531BD" w14:textId="77777777" w:rsidTr="00ED41A4">
        <w:trPr>
          <w:trHeight w:val="765"/>
        </w:trPr>
        <w:tc>
          <w:tcPr>
            <w:tcW w:w="729" w:type="pct"/>
            <w:shd w:val="clear" w:color="auto" w:fill="auto"/>
            <w:noWrap/>
          </w:tcPr>
          <w:p w14:paraId="41F26860" w14:textId="63406B78" w:rsidR="00ED41A4" w:rsidRPr="00E37FBE" w:rsidRDefault="00C90DF5" w:rsidP="002C0AF3">
            <w:pPr>
              <w:spacing w:before="0" w:after="0"/>
              <w:jc w:val="left"/>
              <w:rPr>
                <w:rFonts w:ascii="Times New Roman" w:hAnsi="Times New Roman"/>
                <w:color w:val="000000"/>
                <w:szCs w:val="20"/>
              </w:rPr>
            </w:pPr>
            <w:r>
              <w:rPr>
                <w:rFonts w:ascii="Times New Roman" w:hAnsi="Times New Roman"/>
                <w:color w:val="000000"/>
              </w:rPr>
              <w:t>0300–0320</w:t>
            </w:r>
          </w:p>
        </w:tc>
        <w:tc>
          <w:tcPr>
            <w:tcW w:w="4271" w:type="pct"/>
            <w:shd w:val="clear" w:color="auto" w:fill="auto"/>
          </w:tcPr>
          <w:p w14:paraId="0B9AF00A" w14:textId="77777777" w:rsidR="00ED41A4" w:rsidRPr="00E37FBE" w:rsidRDefault="00ED41A4" w:rsidP="00193B6D">
            <w:pPr>
              <w:rPr>
                <w:rFonts w:ascii="Times New Roman" w:hAnsi="Times New Roman"/>
                <w:b/>
                <w:szCs w:val="20"/>
                <w:u w:val="single"/>
              </w:rPr>
            </w:pPr>
            <w:r>
              <w:rPr>
                <w:rFonts w:ascii="Times New Roman" w:hAnsi="Times New Roman"/>
                <w:b/>
                <w:u w:val="single"/>
              </w:rPr>
              <w:t>Átlagos futamidő (nap)</w:t>
            </w:r>
          </w:p>
          <w:p w14:paraId="51F755D8" w14:textId="5AE9998A" w:rsidR="007C6B89" w:rsidRPr="00E37FBE" w:rsidRDefault="007C6B89" w:rsidP="00193B6D">
            <w:pPr>
              <w:rPr>
                <w:rFonts w:ascii="Times New Roman" w:hAnsi="Times New Roman"/>
                <w:b/>
                <w:szCs w:val="20"/>
                <w:u w:val="single"/>
              </w:rPr>
            </w:pPr>
            <w:r>
              <w:rPr>
                <w:rFonts w:ascii="Times New Roman" w:hAnsi="Times New Roman"/>
              </w:rPr>
              <w:t xml:space="preserve">A 0300-as oszlopban az összes lejáró </w:t>
            </w:r>
            <w:proofErr w:type="gramStart"/>
            <w:r>
              <w:rPr>
                <w:rFonts w:ascii="Times New Roman" w:hAnsi="Times New Roman"/>
              </w:rPr>
              <w:t>finanszírozás</w:t>
            </w:r>
            <w:proofErr w:type="gramEnd"/>
            <w:r>
              <w:rPr>
                <w:rFonts w:ascii="Times New Roman" w:hAnsi="Times New Roman"/>
              </w:rPr>
              <w:t xml:space="preserve"> súlyozott átlagos </w:t>
            </w:r>
            <w:proofErr w:type="spellStart"/>
            <w:r>
              <w:rPr>
                <w:rFonts w:ascii="Times New Roman" w:hAnsi="Times New Roman"/>
              </w:rPr>
              <w:t>futamidejét</w:t>
            </w:r>
            <w:proofErr w:type="spellEnd"/>
            <w:r>
              <w:rPr>
                <w:rFonts w:ascii="Times New Roman" w:hAnsi="Times New Roman"/>
              </w:rPr>
              <w:t xml:space="preserve"> kell feltüntetni napokban. A 0310-es oszlopban az összes megújított </w:t>
            </w:r>
            <w:proofErr w:type="gramStart"/>
            <w:r>
              <w:rPr>
                <w:rFonts w:ascii="Times New Roman" w:hAnsi="Times New Roman"/>
              </w:rPr>
              <w:t>finanszírozás</w:t>
            </w:r>
            <w:proofErr w:type="gramEnd"/>
            <w:r>
              <w:rPr>
                <w:rFonts w:ascii="Times New Roman" w:hAnsi="Times New Roman"/>
              </w:rPr>
              <w:t xml:space="preserve"> súlyozott átlagos </w:t>
            </w:r>
            <w:proofErr w:type="spellStart"/>
            <w:r>
              <w:rPr>
                <w:rFonts w:ascii="Times New Roman" w:hAnsi="Times New Roman"/>
              </w:rPr>
              <w:t>futamidejét</w:t>
            </w:r>
            <w:proofErr w:type="spellEnd"/>
            <w:r>
              <w:rPr>
                <w:rFonts w:ascii="Times New Roman" w:hAnsi="Times New Roman"/>
              </w:rPr>
              <w:t xml:space="preserve">, a 0320-as oszlopban pedig az összes új finanszírozás súlyozott átlagos </w:t>
            </w:r>
            <w:proofErr w:type="spellStart"/>
            <w:r>
              <w:rPr>
                <w:rFonts w:ascii="Times New Roman" w:hAnsi="Times New Roman"/>
              </w:rPr>
              <w:t>futamidejét</w:t>
            </w:r>
            <w:proofErr w:type="spellEnd"/>
            <w:r>
              <w:rPr>
                <w:rFonts w:ascii="Times New Roman" w:hAnsi="Times New Roman"/>
              </w:rPr>
              <w:t xml:space="preserve"> kell feltüntetni napokban.</w:t>
            </w:r>
          </w:p>
        </w:tc>
      </w:tr>
    </w:tbl>
    <w:p w14:paraId="1471D337" w14:textId="02B89222" w:rsidR="00ED41A4" w:rsidRPr="005B086D" w:rsidRDefault="008E1DE8" w:rsidP="004E79EF">
      <w:pPr>
        <w:pStyle w:val="InstructionsText2"/>
        <w:numPr>
          <w:ilvl w:val="0"/>
          <w:numId w:val="0"/>
        </w:numPr>
        <w:ind w:left="720"/>
        <w:rPr>
          <w:u w:val="none"/>
        </w:rPr>
      </w:pPr>
      <w:r>
        <w:rPr>
          <w:u w:val="none"/>
        </w:rPr>
        <w:t>”</w:t>
      </w:r>
    </w:p>
    <w:sectPr w:rsidR="00ED41A4" w:rsidRPr="005B086D" w:rsidSect="00EA0D1D">
      <w:headerReference w:type="even" r:id="rId8"/>
      <w:footerReference w:type="default" r:id="rId9"/>
      <w:headerReference w:type="first" r:id="rId10"/>
      <w:footerReference w:type="first" r:id="rId11"/>
      <w:pgSz w:w="11906" w:h="16838"/>
      <w:pgMar w:top="1440" w:right="1800" w:bottom="1440" w:left="1800" w:header="1304" w:footer="708" w:gutter="0"/>
      <w:pgNumType w:start="1"/>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F282B55" w16cid:durableId="25C085F0"/>
  <w16cid:commentId w16cid:paraId="6136B79A" w16cid:durableId="25C08678"/>
  <w16cid:commentId w16cid:paraId="1AB2FA5B" w16cid:durableId="25C085F1"/>
  <w16cid:commentId w16cid:paraId="77A05480" w16cid:durableId="25C0869D"/>
  <w16cid:commentId w16cid:paraId="4B41F3FD" w16cid:durableId="25C085F2"/>
  <w16cid:commentId w16cid:paraId="57795F4D" w16cid:durableId="25C085F3"/>
  <w16cid:commentId w16cid:paraId="50279795" w16cid:durableId="25C08EEF"/>
  <w16cid:commentId w16cid:paraId="76729874" w16cid:durableId="25CB4C11"/>
  <w16cid:commentId w16cid:paraId="40403998" w16cid:durableId="25C085F4"/>
  <w16cid:commentId w16cid:paraId="173EA259" w16cid:durableId="25C085F5"/>
  <w16cid:commentId w16cid:paraId="293BB635" w16cid:durableId="25C0AC0A"/>
  <w16cid:commentId w16cid:paraId="4D7E370F" w16cid:durableId="25C085F6"/>
  <w16cid:commentId w16cid:paraId="4A850CFE" w16cid:durableId="25C0AC89"/>
  <w16cid:commentId w16cid:paraId="78E7A3B7" w16cid:durableId="25C085F7"/>
  <w16cid:commentId w16cid:paraId="2A0696F3" w16cid:durableId="25C09BF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F55675" w14:textId="77777777" w:rsidR="00901C2A" w:rsidRDefault="00901C2A">
      <w:r>
        <w:separator/>
      </w:r>
    </w:p>
  </w:endnote>
  <w:endnote w:type="continuationSeparator" w:id="0">
    <w:p w14:paraId="7BCD9F1B" w14:textId="77777777" w:rsidR="00901C2A" w:rsidRDefault="00901C2A">
      <w:r>
        <w:continuationSeparator/>
      </w:r>
    </w:p>
  </w:endnote>
  <w:endnote w:type="continuationNotice" w:id="1">
    <w:p w14:paraId="1D9EC376" w14:textId="77777777" w:rsidR="00901C2A" w:rsidRDefault="00901C2A">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7624507"/>
      <w:docPartObj>
        <w:docPartGallery w:val="Page Numbers (Bottom of Page)"/>
        <w:docPartUnique/>
      </w:docPartObj>
    </w:sdtPr>
    <w:sdtEndPr>
      <w:rPr>
        <w:noProof/>
      </w:rPr>
    </w:sdtEndPr>
    <w:sdtContent>
      <w:p w14:paraId="211434C3" w14:textId="54BCCAE7" w:rsidR="004963F1" w:rsidRDefault="004963F1">
        <w:pPr>
          <w:pStyle w:val="Footer"/>
          <w:jc w:val="center"/>
        </w:pPr>
        <w:r>
          <w:fldChar w:fldCharType="begin"/>
        </w:r>
        <w:r>
          <w:instrText xml:space="preserve"> PAGE   \* MERGEFORMAT </w:instrText>
        </w:r>
        <w:r>
          <w:fldChar w:fldCharType="separate"/>
        </w:r>
        <w:r w:rsidR="002D7C20">
          <w:rPr>
            <w:noProof/>
          </w:rPr>
          <w:t>13</w:t>
        </w:r>
        <w:r>
          <w:fldChar w:fldCharType="end"/>
        </w:r>
      </w:p>
    </w:sdtContent>
  </w:sdt>
  <w:p w14:paraId="4D75317D" w14:textId="77777777" w:rsidR="004963F1" w:rsidRDefault="004963F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1974065"/>
      <w:docPartObj>
        <w:docPartGallery w:val="Page Numbers (Bottom of Page)"/>
        <w:docPartUnique/>
      </w:docPartObj>
    </w:sdtPr>
    <w:sdtEndPr>
      <w:rPr>
        <w:noProof/>
      </w:rPr>
    </w:sdtEndPr>
    <w:sdtContent>
      <w:p w14:paraId="0BAAC0BA" w14:textId="214AF419" w:rsidR="004963F1" w:rsidRDefault="004963F1">
        <w:pPr>
          <w:pStyle w:val="Footer"/>
          <w:jc w:val="center"/>
        </w:pPr>
        <w:r>
          <w:fldChar w:fldCharType="begin"/>
        </w:r>
        <w:r>
          <w:instrText xml:space="preserve"> PAGE   \* MERGEFORMAT </w:instrText>
        </w:r>
        <w:r>
          <w:fldChar w:fldCharType="separate"/>
        </w:r>
        <w:r w:rsidR="002D7C20">
          <w:rPr>
            <w:noProof/>
          </w:rPr>
          <w:t>1</w:t>
        </w:r>
        <w:r>
          <w:fldChar w:fldCharType="end"/>
        </w:r>
      </w:p>
    </w:sdtContent>
  </w:sdt>
  <w:p w14:paraId="40D79854" w14:textId="77777777" w:rsidR="004963F1" w:rsidRDefault="004963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C11A2C" w14:textId="77777777" w:rsidR="00901C2A" w:rsidRDefault="00901C2A">
      <w:r>
        <w:separator/>
      </w:r>
    </w:p>
  </w:footnote>
  <w:footnote w:type="continuationSeparator" w:id="0">
    <w:p w14:paraId="48958A0A" w14:textId="77777777" w:rsidR="00901C2A" w:rsidRDefault="00901C2A">
      <w:r>
        <w:continuationSeparator/>
      </w:r>
    </w:p>
  </w:footnote>
  <w:footnote w:type="continuationNotice" w:id="1">
    <w:p w14:paraId="6C3DF276" w14:textId="77777777" w:rsidR="00901C2A" w:rsidRDefault="00901C2A">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B9CCF2" w14:textId="4A3CD16F" w:rsidR="00AC71EB" w:rsidRDefault="00AC71E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5B6303" w14:textId="51D76668" w:rsidR="00AC71EB" w:rsidRDefault="00AC71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5A041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2E82F6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C885B2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E84EA7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BB8C2C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FC4DE2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480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B96C52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630B30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1AE66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3208F"/>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1" w15:restartNumberingAfterBreak="0">
    <w:nsid w:val="043D5720"/>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2" w15:restartNumberingAfterBreak="0">
    <w:nsid w:val="058D2501"/>
    <w:multiLevelType w:val="multilevel"/>
    <w:tmpl w:val="ABB242F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3" w15:restartNumberingAfterBreak="0">
    <w:nsid w:val="07784899"/>
    <w:multiLevelType w:val="multilevel"/>
    <w:tmpl w:val="D41A7818"/>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4" w15:restartNumberingAfterBreak="0">
    <w:nsid w:val="0BE619A9"/>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5" w15:restartNumberingAfterBreak="0">
    <w:nsid w:val="11A94165"/>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6" w15:restartNumberingAfterBreak="0">
    <w:nsid w:val="179E3A92"/>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7" w15:restartNumberingAfterBreak="0">
    <w:nsid w:val="1B084130"/>
    <w:multiLevelType w:val="multilevel"/>
    <w:tmpl w:val="6B088EB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8"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19" w15:restartNumberingAfterBreak="0">
    <w:nsid w:val="23674DE4"/>
    <w:multiLevelType w:val="multilevel"/>
    <w:tmpl w:val="3E1C1DAC"/>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0" w15:restartNumberingAfterBreak="0">
    <w:nsid w:val="24A74FA7"/>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1" w15:restartNumberingAfterBreak="0">
    <w:nsid w:val="26387793"/>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2" w15:restartNumberingAfterBreak="0">
    <w:nsid w:val="2C29681E"/>
    <w:multiLevelType w:val="multilevel"/>
    <w:tmpl w:val="5E98767C"/>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3" w15:restartNumberingAfterBreak="0">
    <w:nsid w:val="2F3E25B0"/>
    <w:multiLevelType w:val="hybridMultilevel"/>
    <w:tmpl w:val="13BC82D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33057CB8"/>
    <w:multiLevelType w:val="hybridMultilevel"/>
    <w:tmpl w:val="1BD64C78"/>
    <w:lvl w:ilvl="0" w:tplc="236EA62C">
      <w:start w:val="1"/>
      <w:numFmt w:val="decimal"/>
      <w:pStyle w:val="InstructionsText2"/>
      <w:lvlText w:val="%1."/>
      <w:lvlJc w:val="left"/>
      <w:pPr>
        <w:ind w:left="720" w:hanging="360"/>
      </w:pPr>
    </w:lvl>
    <w:lvl w:ilvl="1" w:tplc="DABE385E">
      <w:start w:val="1"/>
      <w:numFmt w:val="lowerRoman"/>
      <w:lvlText w:val="(%2)"/>
      <w:lvlJc w:val="left"/>
      <w:pPr>
        <w:tabs>
          <w:tab w:val="num" w:pos="1800"/>
        </w:tabs>
        <w:ind w:left="1800" w:hanging="720"/>
      </w:pPr>
      <w:rPr>
        <w:rFonts w:hint="default"/>
      </w:rPr>
    </w:lvl>
    <w:lvl w:ilvl="2" w:tplc="58287F7C">
      <w:start w:val="1"/>
      <w:numFmt w:val="lowerLetter"/>
      <w:lvlText w:val="(%3)"/>
      <w:lvlJc w:val="left"/>
      <w:pPr>
        <w:tabs>
          <w:tab w:val="num" w:pos="2340"/>
        </w:tabs>
        <w:ind w:left="2340" w:hanging="360"/>
      </w:pPr>
      <w:rPr>
        <w:rFonts w:hint="default"/>
      </w:r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5" w15:restartNumberingAfterBreak="0">
    <w:nsid w:val="35B81F9C"/>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6" w15:restartNumberingAfterBreak="0">
    <w:nsid w:val="45452DE3"/>
    <w:multiLevelType w:val="multilevel"/>
    <w:tmpl w:val="6D2CB84C"/>
    <w:lvl w:ilvl="0">
      <w:start w:val="1"/>
      <w:numFmt w:val="bullet"/>
      <w:lvlText w:val=""/>
      <w:lvlJc w:val="left"/>
      <w:pPr>
        <w:ind w:left="714" w:hanging="357"/>
      </w:pPr>
      <w:rPr>
        <w:rFonts w:ascii="Symbol" w:hAnsi="Symbol"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7" w15:restartNumberingAfterBreak="0">
    <w:nsid w:val="466303E8"/>
    <w:multiLevelType w:val="multilevel"/>
    <w:tmpl w:val="1EC852F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8" w15:restartNumberingAfterBreak="0">
    <w:nsid w:val="4EE02518"/>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9" w15:restartNumberingAfterBreak="0">
    <w:nsid w:val="528A4FD9"/>
    <w:multiLevelType w:val="multilevel"/>
    <w:tmpl w:val="CF661F5E"/>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0" w15:restartNumberingAfterBreak="0">
    <w:nsid w:val="55AB371B"/>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1" w15:restartNumberingAfterBreak="0">
    <w:nsid w:val="62D85371"/>
    <w:multiLevelType w:val="hybridMultilevel"/>
    <w:tmpl w:val="B0E0EE44"/>
    <w:lvl w:ilvl="0" w:tplc="CD3AC596">
      <w:start w:val="1"/>
      <w:numFmt w:val="lowerLetter"/>
      <w:lvlText w:val="(%1)"/>
      <w:lvlJc w:val="left"/>
      <w:pPr>
        <w:ind w:left="1074" w:hanging="360"/>
      </w:pPr>
      <w:rPr>
        <w:rFonts w:hint="default"/>
      </w:rPr>
    </w:lvl>
    <w:lvl w:ilvl="1" w:tplc="08090019">
      <w:start w:val="1"/>
      <w:numFmt w:val="lowerLetter"/>
      <w:lvlText w:val="%2."/>
      <w:lvlJc w:val="left"/>
      <w:pPr>
        <w:ind w:left="1794" w:hanging="360"/>
      </w:pPr>
    </w:lvl>
    <w:lvl w:ilvl="2" w:tplc="0809001B">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32"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3"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4" w15:restartNumberingAfterBreak="0">
    <w:nsid w:val="67917771"/>
    <w:multiLevelType w:val="multilevel"/>
    <w:tmpl w:val="C082CA12"/>
    <w:lvl w:ilvl="0">
      <w:start w:val="2"/>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5" w15:restartNumberingAfterBreak="0">
    <w:nsid w:val="67E51AD2"/>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6" w15:restartNumberingAfterBreak="0">
    <w:nsid w:val="68E61726"/>
    <w:multiLevelType w:val="multilevel"/>
    <w:tmpl w:val="5D4CC182"/>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17"/>
        </w:tabs>
        <w:ind w:left="717" w:hanging="360"/>
      </w:pPr>
      <w:rPr>
        <w:rFonts w:ascii="Times New Roman" w:eastAsia="Times New Roman" w:hAnsi="Times New Roman" w:cs="Times New Roman"/>
      </w:rPr>
    </w:lvl>
    <w:lvl w:ilvl="2">
      <w:start w:val="1"/>
      <w:numFmt w:val="lowerRoman"/>
      <w:lvlText w:val="(%3)"/>
      <w:lvlJc w:val="left"/>
      <w:pPr>
        <w:tabs>
          <w:tab w:val="num" w:pos="1434"/>
        </w:tabs>
        <w:ind w:left="1434" w:hanging="720"/>
      </w:pPr>
      <w:rPr>
        <w:rFonts w:ascii="Times New Roman" w:eastAsia="Times New Roman" w:hAnsi="Times New Roman" w:cs="Times New Roman"/>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37" w15:restartNumberingAfterBreak="0">
    <w:nsid w:val="69C97FF4"/>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8" w15:restartNumberingAfterBreak="0">
    <w:nsid w:val="73CB7C62"/>
    <w:multiLevelType w:val="multilevel"/>
    <w:tmpl w:val="1C28AC2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9" w15:restartNumberingAfterBreak="0">
    <w:nsid w:val="76DC309E"/>
    <w:multiLevelType w:val="multilevel"/>
    <w:tmpl w:val="9542A638"/>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40" w15:restartNumberingAfterBreak="0">
    <w:nsid w:val="7970223E"/>
    <w:multiLevelType w:val="multilevel"/>
    <w:tmpl w:val="A9826576"/>
    <w:lvl w:ilvl="0">
      <w:start w:val="1"/>
      <w:numFmt w:val="decimal"/>
      <w:lvlText w:val="%1."/>
      <w:lvlJc w:val="left"/>
      <w:pPr>
        <w:ind w:left="714" w:hanging="357"/>
      </w:pPr>
      <w:rPr>
        <w:rFonts w:hint="default"/>
      </w:rPr>
    </w:lvl>
    <w:lvl w:ilvl="1">
      <w:start w:val="2"/>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41" w15:restartNumberingAfterBreak="0">
    <w:nsid w:val="7F8E441D"/>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num w:numId="1">
    <w:abstractNumId w:val="33"/>
  </w:num>
  <w:num w:numId="2">
    <w:abstractNumId w:val="32"/>
  </w:num>
  <w:num w:numId="3">
    <w:abstractNumId w:val="24"/>
  </w:num>
  <w:num w:numId="4">
    <w:abstractNumId w:val="41"/>
  </w:num>
  <w:num w:numId="5">
    <w:abstractNumId w:val="39"/>
  </w:num>
  <w:num w:numId="6">
    <w:abstractNumId w:val="28"/>
  </w:num>
  <w:num w:numId="7">
    <w:abstractNumId w:val="14"/>
  </w:num>
  <w:num w:numId="8">
    <w:abstractNumId w:val="25"/>
  </w:num>
  <w:num w:numId="9">
    <w:abstractNumId w:val="21"/>
  </w:num>
  <w:num w:numId="10">
    <w:abstractNumId w:val="37"/>
  </w:num>
  <w:num w:numId="11">
    <w:abstractNumId w:val="29"/>
  </w:num>
  <w:num w:numId="12">
    <w:abstractNumId w:val="19"/>
  </w:num>
  <w:num w:numId="13">
    <w:abstractNumId w:val="22"/>
  </w:num>
  <w:num w:numId="14">
    <w:abstractNumId w:val="36"/>
  </w:num>
  <w:num w:numId="15">
    <w:abstractNumId w:val="12"/>
  </w:num>
  <w:num w:numId="16">
    <w:abstractNumId w:val="18"/>
  </w:num>
  <w:num w:numId="17">
    <w:abstractNumId w:val="31"/>
  </w:num>
  <w:num w:numId="18">
    <w:abstractNumId w:val="38"/>
  </w:num>
  <w:num w:numId="19">
    <w:abstractNumId w:val="40"/>
  </w:num>
  <w:num w:numId="20">
    <w:abstractNumId w:val="34"/>
  </w:num>
  <w:num w:numId="21">
    <w:abstractNumId w:val="35"/>
  </w:num>
  <w:num w:numId="22">
    <w:abstractNumId w:val="15"/>
  </w:num>
  <w:num w:numId="23">
    <w:abstractNumId w:val="23"/>
  </w:num>
  <w:num w:numId="24">
    <w:abstractNumId w:val="26"/>
  </w:num>
  <w:num w:numId="25">
    <w:abstractNumId w:val="24"/>
  </w:num>
  <w:num w:numId="26">
    <w:abstractNumId w:val="24"/>
  </w:num>
  <w:num w:numId="27">
    <w:abstractNumId w:val="24"/>
  </w:num>
  <w:num w:numId="28">
    <w:abstractNumId w:val="20"/>
  </w:num>
  <w:num w:numId="29">
    <w:abstractNumId w:val="30"/>
  </w:num>
  <w:num w:numId="30">
    <w:abstractNumId w:val="24"/>
  </w:num>
  <w:num w:numId="31">
    <w:abstractNumId w:val="11"/>
  </w:num>
  <w:num w:numId="32">
    <w:abstractNumId w:val="10"/>
  </w:num>
  <w:num w:numId="33">
    <w:abstractNumId w:val="17"/>
  </w:num>
  <w:num w:numId="34">
    <w:abstractNumId w:val="16"/>
  </w:num>
  <w:num w:numId="3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num>
  <w:num w:numId="37">
    <w:abstractNumId w:val="7"/>
  </w:num>
  <w:num w:numId="38">
    <w:abstractNumId w:val="6"/>
  </w:num>
  <w:num w:numId="39">
    <w:abstractNumId w:val="5"/>
  </w:num>
  <w:num w:numId="40">
    <w:abstractNumId w:val="4"/>
  </w:num>
  <w:num w:numId="41">
    <w:abstractNumId w:val="8"/>
  </w:num>
  <w:num w:numId="42">
    <w:abstractNumId w:val="3"/>
  </w:num>
  <w:num w:numId="43">
    <w:abstractNumId w:val="2"/>
  </w:num>
  <w:num w:numId="44">
    <w:abstractNumId w:val="1"/>
  </w:num>
  <w:num w:numId="45">
    <w:abstractNumId w:val="0"/>
  </w:num>
  <w:num w:numId="46">
    <w:abstractNumId w:val="24"/>
  </w:num>
  <w:num w:numId="47">
    <w:abstractNumId w:val="13"/>
  </w:num>
  <w:num w:numId="48">
    <w:abstractNumId w:val="2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8F90A0E3"/>
  </w:docVars>
  <w:rsids>
    <w:rsidRoot w:val="00D02FE4"/>
    <w:rsid w:val="00002404"/>
    <w:rsid w:val="00003323"/>
    <w:rsid w:val="00007D41"/>
    <w:rsid w:val="000109BC"/>
    <w:rsid w:val="0001172F"/>
    <w:rsid w:val="00016B30"/>
    <w:rsid w:val="00017710"/>
    <w:rsid w:val="000257D9"/>
    <w:rsid w:val="000275A3"/>
    <w:rsid w:val="00027E58"/>
    <w:rsid w:val="00032055"/>
    <w:rsid w:val="00032AC7"/>
    <w:rsid w:val="0003410D"/>
    <w:rsid w:val="000343B1"/>
    <w:rsid w:val="00036812"/>
    <w:rsid w:val="0004271F"/>
    <w:rsid w:val="00042E1E"/>
    <w:rsid w:val="000473FA"/>
    <w:rsid w:val="00047A6F"/>
    <w:rsid w:val="000502BD"/>
    <w:rsid w:val="0005060D"/>
    <w:rsid w:val="000517E1"/>
    <w:rsid w:val="0005230B"/>
    <w:rsid w:val="00055633"/>
    <w:rsid w:val="00055E1B"/>
    <w:rsid w:val="00060360"/>
    <w:rsid w:val="00060467"/>
    <w:rsid w:val="000617CC"/>
    <w:rsid w:val="00061951"/>
    <w:rsid w:val="000643F7"/>
    <w:rsid w:val="000761EA"/>
    <w:rsid w:val="00084050"/>
    <w:rsid w:val="0008780B"/>
    <w:rsid w:val="00093DE8"/>
    <w:rsid w:val="00094436"/>
    <w:rsid w:val="00095FE4"/>
    <w:rsid w:val="000A22EF"/>
    <w:rsid w:val="000A4E1D"/>
    <w:rsid w:val="000A676C"/>
    <w:rsid w:val="000A76B5"/>
    <w:rsid w:val="000B288B"/>
    <w:rsid w:val="000B2BA0"/>
    <w:rsid w:val="000B2DF2"/>
    <w:rsid w:val="000B45B9"/>
    <w:rsid w:val="000B4EA8"/>
    <w:rsid w:val="000B5A28"/>
    <w:rsid w:val="000B7D7C"/>
    <w:rsid w:val="000B7DC9"/>
    <w:rsid w:val="000C2E6E"/>
    <w:rsid w:val="000C3837"/>
    <w:rsid w:val="000C45A2"/>
    <w:rsid w:val="000D04E1"/>
    <w:rsid w:val="000D18F9"/>
    <w:rsid w:val="000D413D"/>
    <w:rsid w:val="000E01EA"/>
    <w:rsid w:val="000E16DD"/>
    <w:rsid w:val="000E2CA5"/>
    <w:rsid w:val="000E43D6"/>
    <w:rsid w:val="000E5F08"/>
    <w:rsid w:val="000F0DF9"/>
    <w:rsid w:val="000F32F6"/>
    <w:rsid w:val="00100F57"/>
    <w:rsid w:val="001020E8"/>
    <w:rsid w:val="00104F31"/>
    <w:rsid w:val="0011112D"/>
    <w:rsid w:val="001113B1"/>
    <w:rsid w:val="00111AD8"/>
    <w:rsid w:val="001126F1"/>
    <w:rsid w:val="001128AA"/>
    <w:rsid w:val="00112DBB"/>
    <w:rsid w:val="00121D11"/>
    <w:rsid w:val="00124814"/>
    <w:rsid w:val="0012571F"/>
    <w:rsid w:val="00126802"/>
    <w:rsid w:val="0013252E"/>
    <w:rsid w:val="0013515D"/>
    <w:rsid w:val="00143B75"/>
    <w:rsid w:val="00144FB8"/>
    <w:rsid w:val="001456E6"/>
    <w:rsid w:val="00147C46"/>
    <w:rsid w:val="001507A4"/>
    <w:rsid w:val="0015358C"/>
    <w:rsid w:val="00155567"/>
    <w:rsid w:val="0016014D"/>
    <w:rsid w:val="00162424"/>
    <w:rsid w:val="00167536"/>
    <w:rsid w:val="0017142A"/>
    <w:rsid w:val="00172727"/>
    <w:rsid w:val="001741B0"/>
    <w:rsid w:val="00174208"/>
    <w:rsid w:val="00174660"/>
    <w:rsid w:val="001754E1"/>
    <w:rsid w:val="00181260"/>
    <w:rsid w:val="00181A4F"/>
    <w:rsid w:val="001861B7"/>
    <w:rsid w:val="0019013A"/>
    <w:rsid w:val="001922E6"/>
    <w:rsid w:val="00193B6D"/>
    <w:rsid w:val="001A331C"/>
    <w:rsid w:val="001B36EE"/>
    <w:rsid w:val="001B5CC0"/>
    <w:rsid w:val="001B6D1B"/>
    <w:rsid w:val="001B7C2B"/>
    <w:rsid w:val="001C1BA1"/>
    <w:rsid w:val="001C4004"/>
    <w:rsid w:val="001D08C2"/>
    <w:rsid w:val="001D2E2C"/>
    <w:rsid w:val="001D37A9"/>
    <w:rsid w:val="001E385E"/>
    <w:rsid w:val="001F2B49"/>
    <w:rsid w:val="001F5BAD"/>
    <w:rsid w:val="001F6807"/>
    <w:rsid w:val="001F6D35"/>
    <w:rsid w:val="001F787F"/>
    <w:rsid w:val="001F7D9E"/>
    <w:rsid w:val="00203985"/>
    <w:rsid w:val="00206923"/>
    <w:rsid w:val="002113FD"/>
    <w:rsid w:val="00211C11"/>
    <w:rsid w:val="002126FB"/>
    <w:rsid w:val="00217076"/>
    <w:rsid w:val="002237BD"/>
    <w:rsid w:val="00223C2C"/>
    <w:rsid w:val="00223CEB"/>
    <w:rsid w:val="00224CAE"/>
    <w:rsid w:val="0023001A"/>
    <w:rsid w:val="002352E7"/>
    <w:rsid w:val="00235A84"/>
    <w:rsid w:val="00237D15"/>
    <w:rsid w:val="002403E3"/>
    <w:rsid w:val="00242FE4"/>
    <w:rsid w:val="00245F6F"/>
    <w:rsid w:val="00253D66"/>
    <w:rsid w:val="0026098F"/>
    <w:rsid w:val="00261CDD"/>
    <w:rsid w:val="00262B14"/>
    <w:rsid w:val="0026454F"/>
    <w:rsid w:val="00270986"/>
    <w:rsid w:val="002717D7"/>
    <w:rsid w:val="00271F35"/>
    <w:rsid w:val="00274077"/>
    <w:rsid w:val="00274EE9"/>
    <w:rsid w:val="00275B8D"/>
    <w:rsid w:val="0027642B"/>
    <w:rsid w:val="0027646A"/>
    <w:rsid w:val="002812E3"/>
    <w:rsid w:val="00287BD7"/>
    <w:rsid w:val="0029485D"/>
    <w:rsid w:val="00294CE9"/>
    <w:rsid w:val="00296254"/>
    <w:rsid w:val="002A1620"/>
    <w:rsid w:val="002A24DB"/>
    <w:rsid w:val="002A575B"/>
    <w:rsid w:val="002A71AB"/>
    <w:rsid w:val="002A7582"/>
    <w:rsid w:val="002B09BC"/>
    <w:rsid w:val="002B49E8"/>
    <w:rsid w:val="002B660B"/>
    <w:rsid w:val="002C0AF3"/>
    <w:rsid w:val="002C0F1A"/>
    <w:rsid w:val="002C154A"/>
    <w:rsid w:val="002C34E6"/>
    <w:rsid w:val="002C5557"/>
    <w:rsid w:val="002D6BD8"/>
    <w:rsid w:val="002D7C20"/>
    <w:rsid w:val="002E06C8"/>
    <w:rsid w:val="002E0FBD"/>
    <w:rsid w:val="002E2F93"/>
    <w:rsid w:val="002F687B"/>
    <w:rsid w:val="00301708"/>
    <w:rsid w:val="00304092"/>
    <w:rsid w:val="003040AA"/>
    <w:rsid w:val="00307FD5"/>
    <w:rsid w:val="00313B00"/>
    <w:rsid w:val="00314E4D"/>
    <w:rsid w:val="00315C5E"/>
    <w:rsid w:val="00317DC4"/>
    <w:rsid w:val="00324A53"/>
    <w:rsid w:val="00325582"/>
    <w:rsid w:val="00327A13"/>
    <w:rsid w:val="00331993"/>
    <w:rsid w:val="0033279C"/>
    <w:rsid w:val="00335372"/>
    <w:rsid w:val="003354A5"/>
    <w:rsid w:val="00340393"/>
    <w:rsid w:val="003412B3"/>
    <w:rsid w:val="00341376"/>
    <w:rsid w:val="003439C5"/>
    <w:rsid w:val="00344C22"/>
    <w:rsid w:val="00350137"/>
    <w:rsid w:val="0035239A"/>
    <w:rsid w:val="00366EC4"/>
    <w:rsid w:val="003719B4"/>
    <w:rsid w:val="00380C76"/>
    <w:rsid w:val="00381264"/>
    <w:rsid w:val="00381AA0"/>
    <w:rsid w:val="00385DC8"/>
    <w:rsid w:val="0038768C"/>
    <w:rsid w:val="00391740"/>
    <w:rsid w:val="00391D31"/>
    <w:rsid w:val="00392C32"/>
    <w:rsid w:val="00397ABE"/>
    <w:rsid w:val="003A0314"/>
    <w:rsid w:val="003A05A8"/>
    <w:rsid w:val="003A0D73"/>
    <w:rsid w:val="003A1E85"/>
    <w:rsid w:val="003A2647"/>
    <w:rsid w:val="003A3AA0"/>
    <w:rsid w:val="003A4AA3"/>
    <w:rsid w:val="003A7E7D"/>
    <w:rsid w:val="003B2555"/>
    <w:rsid w:val="003B4362"/>
    <w:rsid w:val="003B54AC"/>
    <w:rsid w:val="003B5902"/>
    <w:rsid w:val="003B5E4E"/>
    <w:rsid w:val="003B5F96"/>
    <w:rsid w:val="003B7F4E"/>
    <w:rsid w:val="003C1F55"/>
    <w:rsid w:val="003C64F7"/>
    <w:rsid w:val="003C6A18"/>
    <w:rsid w:val="003D0976"/>
    <w:rsid w:val="003D2C8A"/>
    <w:rsid w:val="003D2F58"/>
    <w:rsid w:val="003D41F7"/>
    <w:rsid w:val="003D627C"/>
    <w:rsid w:val="003D6D3D"/>
    <w:rsid w:val="003E009D"/>
    <w:rsid w:val="003E371A"/>
    <w:rsid w:val="003E50B7"/>
    <w:rsid w:val="003F0706"/>
    <w:rsid w:val="003F09BA"/>
    <w:rsid w:val="003F1434"/>
    <w:rsid w:val="003F1446"/>
    <w:rsid w:val="003F37A5"/>
    <w:rsid w:val="003F3ABA"/>
    <w:rsid w:val="003F5D4F"/>
    <w:rsid w:val="00402D60"/>
    <w:rsid w:val="004072AF"/>
    <w:rsid w:val="004127AC"/>
    <w:rsid w:val="00416255"/>
    <w:rsid w:val="004173CF"/>
    <w:rsid w:val="00422131"/>
    <w:rsid w:val="00425AFD"/>
    <w:rsid w:val="0043033C"/>
    <w:rsid w:val="00432D9F"/>
    <w:rsid w:val="004359C5"/>
    <w:rsid w:val="00436A29"/>
    <w:rsid w:val="004379DA"/>
    <w:rsid w:val="00440C0A"/>
    <w:rsid w:val="00441A60"/>
    <w:rsid w:val="00445D5F"/>
    <w:rsid w:val="00455812"/>
    <w:rsid w:val="00455BBB"/>
    <w:rsid w:val="00455CE5"/>
    <w:rsid w:val="0046083F"/>
    <w:rsid w:val="004624E7"/>
    <w:rsid w:val="00462B4D"/>
    <w:rsid w:val="0046736B"/>
    <w:rsid w:val="00470033"/>
    <w:rsid w:val="00472557"/>
    <w:rsid w:val="00473407"/>
    <w:rsid w:val="004748D6"/>
    <w:rsid w:val="00476314"/>
    <w:rsid w:val="00476C32"/>
    <w:rsid w:val="00477625"/>
    <w:rsid w:val="00481BB2"/>
    <w:rsid w:val="00486752"/>
    <w:rsid w:val="00487DD3"/>
    <w:rsid w:val="00490B62"/>
    <w:rsid w:val="00493BAC"/>
    <w:rsid w:val="00495614"/>
    <w:rsid w:val="004963F1"/>
    <w:rsid w:val="00497AF4"/>
    <w:rsid w:val="004A3BCA"/>
    <w:rsid w:val="004A3C6D"/>
    <w:rsid w:val="004A584F"/>
    <w:rsid w:val="004A5A92"/>
    <w:rsid w:val="004A6491"/>
    <w:rsid w:val="004B0626"/>
    <w:rsid w:val="004B0B5A"/>
    <w:rsid w:val="004B0C66"/>
    <w:rsid w:val="004B11F8"/>
    <w:rsid w:val="004B1998"/>
    <w:rsid w:val="004B3AC2"/>
    <w:rsid w:val="004B4004"/>
    <w:rsid w:val="004B4083"/>
    <w:rsid w:val="004B5FB9"/>
    <w:rsid w:val="004B7BE6"/>
    <w:rsid w:val="004C07D7"/>
    <w:rsid w:val="004C2178"/>
    <w:rsid w:val="004C3B19"/>
    <w:rsid w:val="004C3E5C"/>
    <w:rsid w:val="004C6B4F"/>
    <w:rsid w:val="004C7F74"/>
    <w:rsid w:val="004D0CA9"/>
    <w:rsid w:val="004D32CD"/>
    <w:rsid w:val="004D4244"/>
    <w:rsid w:val="004D51D0"/>
    <w:rsid w:val="004E185F"/>
    <w:rsid w:val="004E23F1"/>
    <w:rsid w:val="004E36B0"/>
    <w:rsid w:val="004E79EF"/>
    <w:rsid w:val="004F085D"/>
    <w:rsid w:val="004F50F4"/>
    <w:rsid w:val="004F6C3F"/>
    <w:rsid w:val="00500809"/>
    <w:rsid w:val="0050144D"/>
    <w:rsid w:val="00502876"/>
    <w:rsid w:val="005048E9"/>
    <w:rsid w:val="0050708F"/>
    <w:rsid w:val="00510426"/>
    <w:rsid w:val="00510487"/>
    <w:rsid w:val="00516E8A"/>
    <w:rsid w:val="00516EE0"/>
    <w:rsid w:val="0052095B"/>
    <w:rsid w:val="0052128F"/>
    <w:rsid w:val="005222CE"/>
    <w:rsid w:val="005237F1"/>
    <w:rsid w:val="005277AA"/>
    <w:rsid w:val="00530802"/>
    <w:rsid w:val="00534094"/>
    <w:rsid w:val="00540C96"/>
    <w:rsid w:val="00544A62"/>
    <w:rsid w:val="005537CE"/>
    <w:rsid w:val="00556DCD"/>
    <w:rsid w:val="00557135"/>
    <w:rsid w:val="00561DD9"/>
    <w:rsid w:val="00564FAC"/>
    <w:rsid w:val="00565D1E"/>
    <w:rsid w:val="00566674"/>
    <w:rsid w:val="00571F2D"/>
    <w:rsid w:val="00572C94"/>
    <w:rsid w:val="00574D81"/>
    <w:rsid w:val="00576AAA"/>
    <w:rsid w:val="0057741E"/>
    <w:rsid w:val="005815BE"/>
    <w:rsid w:val="005816E8"/>
    <w:rsid w:val="00584AF0"/>
    <w:rsid w:val="00584B70"/>
    <w:rsid w:val="00584FCE"/>
    <w:rsid w:val="00585C03"/>
    <w:rsid w:val="005870D3"/>
    <w:rsid w:val="005873D9"/>
    <w:rsid w:val="00590EE7"/>
    <w:rsid w:val="005923E9"/>
    <w:rsid w:val="005A1A44"/>
    <w:rsid w:val="005A40BE"/>
    <w:rsid w:val="005A6A8A"/>
    <w:rsid w:val="005B086D"/>
    <w:rsid w:val="005B0C3C"/>
    <w:rsid w:val="005B3F16"/>
    <w:rsid w:val="005B47BD"/>
    <w:rsid w:val="005B58D2"/>
    <w:rsid w:val="005B6F53"/>
    <w:rsid w:val="005C0634"/>
    <w:rsid w:val="005C26CD"/>
    <w:rsid w:val="005C49A7"/>
    <w:rsid w:val="005D249C"/>
    <w:rsid w:val="005D3964"/>
    <w:rsid w:val="005D5337"/>
    <w:rsid w:val="005D5C0B"/>
    <w:rsid w:val="005E07FE"/>
    <w:rsid w:val="005E3727"/>
    <w:rsid w:val="005E4F4B"/>
    <w:rsid w:val="005E6140"/>
    <w:rsid w:val="005E6B42"/>
    <w:rsid w:val="005E719C"/>
    <w:rsid w:val="005E7F28"/>
    <w:rsid w:val="005F15EF"/>
    <w:rsid w:val="005F3E51"/>
    <w:rsid w:val="005F4FE0"/>
    <w:rsid w:val="006000AE"/>
    <w:rsid w:val="006000DF"/>
    <w:rsid w:val="00600B36"/>
    <w:rsid w:val="006044FF"/>
    <w:rsid w:val="00606AA5"/>
    <w:rsid w:val="00607141"/>
    <w:rsid w:val="00610C25"/>
    <w:rsid w:val="00611852"/>
    <w:rsid w:val="0061365F"/>
    <w:rsid w:val="00613F86"/>
    <w:rsid w:val="00613FC0"/>
    <w:rsid w:val="00615E05"/>
    <w:rsid w:val="00616BFA"/>
    <w:rsid w:val="00616D31"/>
    <w:rsid w:val="0062073A"/>
    <w:rsid w:val="006242C9"/>
    <w:rsid w:val="00633228"/>
    <w:rsid w:val="006339CC"/>
    <w:rsid w:val="00633C7F"/>
    <w:rsid w:val="00635DC7"/>
    <w:rsid w:val="00636713"/>
    <w:rsid w:val="00640F5C"/>
    <w:rsid w:val="0064308D"/>
    <w:rsid w:val="006508B3"/>
    <w:rsid w:val="00652C73"/>
    <w:rsid w:val="00652D30"/>
    <w:rsid w:val="00657CA9"/>
    <w:rsid w:val="006624FA"/>
    <w:rsid w:val="00665B17"/>
    <w:rsid w:val="006661EC"/>
    <w:rsid w:val="00667FEE"/>
    <w:rsid w:val="0067111B"/>
    <w:rsid w:val="00671D57"/>
    <w:rsid w:val="00672AAC"/>
    <w:rsid w:val="006761DC"/>
    <w:rsid w:val="00680C97"/>
    <w:rsid w:val="00681960"/>
    <w:rsid w:val="00683C2D"/>
    <w:rsid w:val="00684947"/>
    <w:rsid w:val="00684EB5"/>
    <w:rsid w:val="00685C79"/>
    <w:rsid w:val="00687C6A"/>
    <w:rsid w:val="006935AA"/>
    <w:rsid w:val="006942B2"/>
    <w:rsid w:val="00696661"/>
    <w:rsid w:val="006A0084"/>
    <w:rsid w:val="006A0264"/>
    <w:rsid w:val="006A5806"/>
    <w:rsid w:val="006A7234"/>
    <w:rsid w:val="006B2EB0"/>
    <w:rsid w:val="006B3AAE"/>
    <w:rsid w:val="006B55D9"/>
    <w:rsid w:val="006C1A6F"/>
    <w:rsid w:val="006C4D88"/>
    <w:rsid w:val="006C6F24"/>
    <w:rsid w:val="006D1965"/>
    <w:rsid w:val="006D7758"/>
    <w:rsid w:val="006D7E61"/>
    <w:rsid w:val="006E1314"/>
    <w:rsid w:val="006E4C0A"/>
    <w:rsid w:val="006E50C4"/>
    <w:rsid w:val="006E6767"/>
    <w:rsid w:val="006F59C7"/>
    <w:rsid w:val="006F5ADF"/>
    <w:rsid w:val="006F651B"/>
    <w:rsid w:val="007031DF"/>
    <w:rsid w:val="00705BE3"/>
    <w:rsid w:val="007074DB"/>
    <w:rsid w:val="007103AD"/>
    <w:rsid w:val="00711871"/>
    <w:rsid w:val="00712B67"/>
    <w:rsid w:val="00714B02"/>
    <w:rsid w:val="007201EC"/>
    <w:rsid w:val="00723CCD"/>
    <w:rsid w:val="00727410"/>
    <w:rsid w:val="00734B04"/>
    <w:rsid w:val="007352EA"/>
    <w:rsid w:val="007359FE"/>
    <w:rsid w:val="00735EFC"/>
    <w:rsid w:val="007363DF"/>
    <w:rsid w:val="00737FA8"/>
    <w:rsid w:val="007462FE"/>
    <w:rsid w:val="00751C9B"/>
    <w:rsid w:val="0075288E"/>
    <w:rsid w:val="0075488E"/>
    <w:rsid w:val="00754ADB"/>
    <w:rsid w:val="007566B5"/>
    <w:rsid w:val="00756AD5"/>
    <w:rsid w:val="00763448"/>
    <w:rsid w:val="007672C3"/>
    <w:rsid w:val="0077329F"/>
    <w:rsid w:val="00775422"/>
    <w:rsid w:val="00775828"/>
    <w:rsid w:val="00775F73"/>
    <w:rsid w:val="007764E5"/>
    <w:rsid w:val="007778A0"/>
    <w:rsid w:val="0077793E"/>
    <w:rsid w:val="00780636"/>
    <w:rsid w:val="007809C6"/>
    <w:rsid w:val="007823C2"/>
    <w:rsid w:val="00783120"/>
    <w:rsid w:val="00783AE6"/>
    <w:rsid w:val="00784AE2"/>
    <w:rsid w:val="00784C4E"/>
    <w:rsid w:val="00786634"/>
    <w:rsid w:val="00792387"/>
    <w:rsid w:val="00792E65"/>
    <w:rsid w:val="00795808"/>
    <w:rsid w:val="00795B89"/>
    <w:rsid w:val="007A3F5F"/>
    <w:rsid w:val="007A5E1D"/>
    <w:rsid w:val="007A6BC6"/>
    <w:rsid w:val="007B18A5"/>
    <w:rsid w:val="007B1E78"/>
    <w:rsid w:val="007B1FAA"/>
    <w:rsid w:val="007B5DF6"/>
    <w:rsid w:val="007B6E8C"/>
    <w:rsid w:val="007C1380"/>
    <w:rsid w:val="007C2CF7"/>
    <w:rsid w:val="007C6B89"/>
    <w:rsid w:val="007D3E81"/>
    <w:rsid w:val="007D7732"/>
    <w:rsid w:val="007E0FDF"/>
    <w:rsid w:val="007E1D00"/>
    <w:rsid w:val="007E35CC"/>
    <w:rsid w:val="007E4564"/>
    <w:rsid w:val="007E45CF"/>
    <w:rsid w:val="007E5FBD"/>
    <w:rsid w:val="007E60E5"/>
    <w:rsid w:val="007F1A5A"/>
    <w:rsid w:val="007F2A5B"/>
    <w:rsid w:val="007F5684"/>
    <w:rsid w:val="0080226A"/>
    <w:rsid w:val="0081105A"/>
    <w:rsid w:val="00811DBC"/>
    <w:rsid w:val="00811F18"/>
    <w:rsid w:val="00822C02"/>
    <w:rsid w:val="00822CBC"/>
    <w:rsid w:val="0082643B"/>
    <w:rsid w:val="00830614"/>
    <w:rsid w:val="00830C80"/>
    <w:rsid w:val="00831507"/>
    <w:rsid w:val="0083376D"/>
    <w:rsid w:val="00834FEF"/>
    <w:rsid w:val="0084065D"/>
    <w:rsid w:val="008450BB"/>
    <w:rsid w:val="00845767"/>
    <w:rsid w:val="00847047"/>
    <w:rsid w:val="00847872"/>
    <w:rsid w:val="008509FB"/>
    <w:rsid w:val="00850B28"/>
    <w:rsid w:val="008533BA"/>
    <w:rsid w:val="00853590"/>
    <w:rsid w:val="0085361D"/>
    <w:rsid w:val="008563C0"/>
    <w:rsid w:val="00856DF7"/>
    <w:rsid w:val="008572F0"/>
    <w:rsid w:val="00860F92"/>
    <w:rsid w:val="00861C38"/>
    <w:rsid w:val="00861F0B"/>
    <w:rsid w:val="00874AD1"/>
    <w:rsid w:val="0087541C"/>
    <w:rsid w:val="008805C2"/>
    <w:rsid w:val="00882C3B"/>
    <w:rsid w:val="008866F8"/>
    <w:rsid w:val="008914E0"/>
    <w:rsid w:val="00895D8D"/>
    <w:rsid w:val="008A2179"/>
    <w:rsid w:val="008A3AEA"/>
    <w:rsid w:val="008A5A8E"/>
    <w:rsid w:val="008A6BEE"/>
    <w:rsid w:val="008A6DB0"/>
    <w:rsid w:val="008A7BBD"/>
    <w:rsid w:val="008B0FFF"/>
    <w:rsid w:val="008B5E16"/>
    <w:rsid w:val="008B6F84"/>
    <w:rsid w:val="008C0684"/>
    <w:rsid w:val="008C1765"/>
    <w:rsid w:val="008C2A4F"/>
    <w:rsid w:val="008C5FE9"/>
    <w:rsid w:val="008C6044"/>
    <w:rsid w:val="008C6E36"/>
    <w:rsid w:val="008C7508"/>
    <w:rsid w:val="008D06D7"/>
    <w:rsid w:val="008E0EF1"/>
    <w:rsid w:val="008E1558"/>
    <w:rsid w:val="008E1DE8"/>
    <w:rsid w:val="008E246F"/>
    <w:rsid w:val="008E6F7E"/>
    <w:rsid w:val="008E720B"/>
    <w:rsid w:val="008F1100"/>
    <w:rsid w:val="008F713F"/>
    <w:rsid w:val="008F741B"/>
    <w:rsid w:val="00901C2A"/>
    <w:rsid w:val="009032C6"/>
    <w:rsid w:val="009033C4"/>
    <w:rsid w:val="00903920"/>
    <w:rsid w:val="00905BEA"/>
    <w:rsid w:val="009077D3"/>
    <w:rsid w:val="00915FB9"/>
    <w:rsid w:val="00917EBF"/>
    <w:rsid w:val="00923DAF"/>
    <w:rsid w:val="00924773"/>
    <w:rsid w:val="00927DCB"/>
    <w:rsid w:val="0093588E"/>
    <w:rsid w:val="009406E9"/>
    <w:rsid w:val="00941293"/>
    <w:rsid w:val="00942656"/>
    <w:rsid w:val="009439F8"/>
    <w:rsid w:val="0094416B"/>
    <w:rsid w:val="0095349A"/>
    <w:rsid w:val="00953ED6"/>
    <w:rsid w:val="00967FEB"/>
    <w:rsid w:val="009716FC"/>
    <w:rsid w:val="00973AB9"/>
    <w:rsid w:val="00980392"/>
    <w:rsid w:val="00984332"/>
    <w:rsid w:val="00984E98"/>
    <w:rsid w:val="009858E2"/>
    <w:rsid w:val="00993639"/>
    <w:rsid w:val="00993FD7"/>
    <w:rsid w:val="00996171"/>
    <w:rsid w:val="00997FF8"/>
    <w:rsid w:val="009A007E"/>
    <w:rsid w:val="009A1AF1"/>
    <w:rsid w:val="009A1C01"/>
    <w:rsid w:val="009A329A"/>
    <w:rsid w:val="009A3908"/>
    <w:rsid w:val="009A3C44"/>
    <w:rsid w:val="009A6003"/>
    <w:rsid w:val="009A7D3C"/>
    <w:rsid w:val="009B3023"/>
    <w:rsid w:val="009B6ECF"/>
    <w:rsid w:val="009C0493"/>
    <w:rsid w:val="009C059B"/>
    <w:rsid w:val="009C1A02"/>
    <w:rsid w:val="009C2EFD"/>
    <w:rsid w:val="009C7466"/>
    <w:rsid w:val="009D10DD"/>
    <w:rsid w:val="009D253B"/>
    <w:rsid w:val="009D3AC9"/>
    <w:rsid w:val="009D4C95"/>
    <w:rsid w:val="009E271C"/>
    <w:rsid w:val="009E3431"/>
    <w:rsid w:val="009E68DD"/>
    <w:rsid w:val="009E6B2D"/>
    <w:rsid w:val="009F10A9"/>
    <w:rsid w:val="00A007A8"/>
    <w:rsid w:val="00A03A3D"/>
    <w:rsid w:val="00A047C0"/>
    <w:rsid w:val="00A05C63"/>
    <w:rsid w:val="00A101DF"/>
    <w:rsid w:val="00A11BBD"/>
    <w:rsid w:val="00A12862"/>
    <w:rsid w:val="00A14235"/>
    <w:rsid w:val="00A156BF"/>
    <w:rsid w:val="00A16318"/>
    <w:rsid w:val="00A170B7"/>
    <w:rsid w:val="00A17921"/>
    <w:rsid w:val="00A20F92"/>
    <w:rsid w:val="00A211F3"/>
    <w:rsid w:val="00A22B53"/>
    <w:rsid w:val="00A344AA"/>
    <w:rsid w:val="00A34A28"/>
    <w:rsid w:val="00A366AF"/>
    <w:rsid w:val="00A37110"/>
    <w:rsid w:val="00A37629"/>
    <w:rsid w:val="00A4093C"/>
    <w:rsid w:val="00A41693"/>
    <w:rsid w:val="00A422D1"/>
    <w:rsid w:val="00A439AE"/>
    <w:rsid w:val="00A45DCF"/>
    <w:rsid w:val="00A4773A"/>
    <w:rsid w:val="00A50B28"/>
    <w:rsid w:val="00A51CE6"/>
    <w:rsid w:val="00A52505"/>
    <w:rsid w:val="00A56552"/>
    <w:rsid w:val="00A6082D"/>
    <w:rsid w:val="00A70F42"/>
    <w:rsid w:val="00A73C82"/>
    <w:rsid w:val="00A7682F"/>
    <w:rsid w:val="00A7751A"/>
    <w:rsid w:val="00A84FD7"/>
    <w:rsid w:val="00A85919"/>
    <w:rsid w:val="00A86077"/>
    <w:rsid w:val="00A862BD"/>
    <w:rsid w:val="00A86C96"/>
    <w:rsid w:val="00A92645"/>
    <w:rsid w:val="00A93596"/>
    <w:rsid w:val="00A94567"/>
    <w:rsid w:val="00A97E02"/>
    <w:rsid w:val="00AA1DF6"/>
    <w:rsid w:val="00AA444D"/>
    <w:rsid w:val="00AA710D"/>
    <w:rsid w:val="00AB115A"/>
    <w:rsid w:val="00AB3F48"/>
    <w:rsid w:val="00AB511C"/>
    <w:rsid w:val="00AB5368"/>
    <w:rsid w:val="00AB571E"/>
    <w:rsid w:val="00AB5B18"/>
    <w:rsid w:val="00AC0317"/>
    <w:rsid w:val="00AC22EE"/>
    <w:rsid w:val="00AC39DB"/>
    <w:rsid w:val="00AC3BFE"/>
    <w:rsid w:val="00AC4973"/>
    <w:rsid w:val="00AC59C8"/>
    <w:rsid w:val="00AC71EB"/>
    <w:rsid w:val="00AD2381"/>
    <w:rsid w:val="00AD3ACF"/>
    <w:rsid w:val="00AE0498"/>
    <w:rsid w:val="00AE1776"/>
    <w:rsid w:val="00AE4DC6"/>
    <w:rsid w:val="00AE57CE"/>
    <w:rsid w:val="00AE6A00"/>
    <w:rsid w:val="00AE7A7C"/>
    <w:rsid w:val="00AF1439"/>
    <w:rsid w:val="00AF270F"/>
    <w:rsid w:val="00AF49BE"/>
    <w:rsid w:val="00B004BB"/>
    <w:rsid w:val="00B00D6E"/>
    <w:rsid w:val="00B01BCD"/>
    <w:rsid w:val="00B0397B"/>
    <w:rsid w:val="00B05DAC"/>
    <w:rsid w:val="00B06740"/>
    <w:rsid w:val="00B115F0"/>
    <w:rsid w:val="00B15576"/>
    <w:rsid w:val="00B25A1B"/>
    <w:rsid w:val="00B25A8F"/>
    <w:rsid w:val="00B261DB"/>
    <w:rsid w:val="00B27433"/>
    <w:rsid w:val="00B35074"/>
    <w:rsid w:val="00B36E31"/>
    <w:rsid w:val="00B37656"/>
    <w:rsid w:val="00B4190D"/>
    <w:rsid w:val="00B42977"/>
    <w:rsid w:val="00B438C1"/>
    <w:rsid w:val="00B44BEB"/>
    <w:rsid w:val="00B46A1C"/>
    <w:rsid w:val="00B47B29"/>
    <w:rsid w:val="00B5260F"/>
    <w:rsid w:val="00B53634"/>
    <w:rsid w:val="00B53EFA"/>
    <w:rsid w:val="00B61B93"/>
    <w:rsid w:val="00B664FB"/>
    <w:rsid w:val="00B7256A"/>
    <w:rsid w:val="00B75B03"/>
    <w:rsid w:val="00B77BC1"/>
    <w:rsid w:val="00B80BC8"/>
    <w:rsid w:val="00B83A09"/>
    <w:rsid w:val="00B83BF9"/>
    <w:rsid w:val="00B8464D"/>
    <w:rsid w:val="00B86EF3"/>
    <w:rsid w:val="00B8775C"/>
    <w:rsid w:val="00B90134"/>
    <w:rsid w:val="00B91AC8"/>
    <w:rsid w:val="00B96CA8"/>
    <w:rsid w:val="00B96DDB"/>
    <w:rsid w:val="00BA7966"/>
    <w:rsid w:val="00BB076A"/>
    <w:rsid w:val="00BB3757"/>
    <w:rsid w:val="00BB59F4"/>
    <w:rsid w:val="00BC7B32"/>
    <w:rsid w:val="00BD24C1"/>
    <w:rsid w:val="00BD5CAC"/>
    <w:rsid w:val="00BF17A2"/>
    <w:rsid w:val="00BF1FBB"/>
    <w:rsid w:val="00BF2952"/>
    <w:rsid w:val="00BF3AAF"/>
    <w:rsid w:val="00BF7037"/>
    <w:rsid w:val="00C0050B"/>
    <w:rsid w:val="00C079B7"/>
    <w:rsid w:val="00C116F4"/>
    <w:rsid w:val="00C13077"/>
    <w:rsid w:val="00C14248"/>
    <w:rsid w:val="00C20ADC"/>
    <w:rsid w:val="00C21AFF"/>
    <w:rsid w:val="00C30367"/>
    <w:rsid w:val="00C31512"/>
    <w:rsid w:val="00C32630"/>
    <w:rsid w:val="00C334A1"/>
    <w:rsid w:val="00C40DC8"/>
    <w:rsid w:val="00C41BF6"/>
    <w:rsid w:val="00C420BC"/>
    <w:rsid w:val="00C439B6"/>
    <w:rsid w:val="00C43AE5"/>
    <w:rsid w:val="00C4472D"/>
    <w:rsid w:val="00C549F7"/>
    <w:rsid w:val="00C56B32"/>
    <w:rsid w:val="00C633BF"/>
    <w:rsid w:val="00C649CE"/>
    <w:rsid w:val="00C64C94"/>
    <w:rsid w:val="00C65E28"/>
    <w:rsid w:val="00C663BC"/>
    <w:rsid w:val="00C667B4"/>
    <w:rsid w:val="00C70407"/>
    <w:rsid w:val="00C70A5E"/>
    <w:rsid w:val="00C75284"/>
    <w:rsid w:val="00C7615B"/>
    <w:rsid w:val="00C81E99"/>
    <w:rsid w:val="00C84012"/>
    <w:rsid w:val="00C854E6"/>
    <w:rsid w:val="00C85FA6"/>
    <w:rsid w:val="00C90DF5"/>
    <w:rsid w:val="00C93CDB"/>
    <w:rsid w:val="00CA22C7"/>
    <w:rsid w:val="00CA44A9"/>
    <w:rsid w:val="00CB458B"/>
    <w:rsid w:val="00CB4B2D"/>
    <w:rsid w:val="00CB5391"/>
    <w:rsid w:val="00CC075F"/>
    <w:rsid w:val="00CC3091"/>
    <w:rsid w:val="00CC4622"/>
    <w:rsid w:val="00CC4773"/>
    <w:rsid w:val="00CC5F0C"/>
    <w:rsid w:val="00CC72E1"/>
    <w:rsid w:val="00CD0CF5"/>
    <w:rsid w:val="00CD20D9"/>
    <w:rsid w:val="00CD37EB"/>
    <w:rsid w:val="00CD413A"/>
    <w:rsid w:val="00CD5D3A"/>
    <w:rsid w:val="00CD6485"/>
    <w:rsid w:val="00CD7B74"/>
    <w:rsid w:val="00CD7EDA"/>
    <w:rsid w:val="00CE0E41"/>
    <w:rsid w:val="00CE333E"/>
    <w:rsid w:val="00CE34DF"/>
    <w:rsid w:val="00CE3BDB"/>
    <w:rsid w:val="00CE420B"/>
    <w:rsid w:val="00CE49E3"/>
    <w:rsid w:val="00CF0055"/>
    <w:rsid w:val="00CF04F0"/>
    <w:rsid w:val="00CF3ECE"/>
    <w:rsid w:val="00CF4286"/>
    <w:rsid w:val="00CF44ED"/>
    <w:rsid w:val="00D01436"/>
    <w:rsid w:val="00D018AE"/>
    <w:rsid w:val="00D02D53"/>
    <w:rsid w:val="00D02FE4"/>
    <w:rsid w:val="00D07684"/>
    <w:rsid w:val="00D079A1"/>
    <w:rsid w:val="00D1173F"/>
    <w:rsid w:val="00D12E38"/>
    <w:rsid w:val="00D15A94"/>
    <w:rsid w:val="00D248F3"/>
    <w:rsid w:val="00D30BA0"/>
    <w:rsid w:val="00D30E7B"/>
    <w:rsid w:val="00D34AC4"/>
    <w:rsid w:val="00D37B67"/>
    <w:rsid w:val="00D41A18"/>
    <w:rsid w:val="00D465FB"/>
    <w:rsid w:val="00D468AB"/>
    <w:rsid w:val="00D479FD"/>
    <w:rsid w:val="00D60611"/>
    <w:rsid w:val="00D60F58"/>
    <w:rsid w:val="00D71AC6"/>
    <w:rsid w:val="00D7280B"/>
    <w:rsid w:val="00D75947"/>
    <w:rsid w:val="00D77F26"/>
    <w:rsid w:val="00DA1AB6"/>
    <w:rsid w:val="00DA2E00"/>
    <w:rsid w:val="00DA44F7"/>
    <w:rsid w:val="00DA7531"/>
    <w:rsid w:val="00DA76E3"/>
    <w:rsid w:val="00DB0D87"/>
    <w:rsid w:val="00DB37D2"/>
    <w:rsid w:val="00DB3C37"/>
    <w:rsid w:val="00DB41D2"/>
    <w:rsid w:val="00DC0505"/>
    <w:rsid w:val="00DC14B6"/>
    <w:rsid w:val="00DC3860"/>
    <w:rsid w:val="00DC4E51"/>
    <w:rsid w:val="00DC68D4"/>
    <w:rsid w:val="00DC7D6C"/>
    <w:rsid w:val="00DD0ADF"/>
    <w:rsid w:val="00DD136C"/>
    <w:rsid w:val="00DD1BB6"/>
    <w:rsid w:val="00DD34EA"/>
    <w:rsid w:val="00DD5897"/>
    <w:rsid w:val="00DD76F0"/>
    <w:rsid w:val="00DD7A78"/>
    <w:rsid w:val="00DE09C3"/>
    <w:rsid w:val="00DE0BC0"/>
    <w:rsid w:val="00DE1247"/>
    <w:rsid w:val="00DE2988"/>
    <w:rsid w:val="00DE7034"/>
    <w:rsid w:val="00DF1814"/>
    <w:rsid w:val="00DF4384"/>
    <w:rsid w:val="00DF637D"/>
    <w:rsid w:val="00E0539D"/>
    <w:rsid w:val="00E067B1"/>
    <w:rsid w:val="00E06CC2"/>
    <w:rsid w:val="00E122AF"/>
    <w:rsid w:val="00E13119"/>
    <w:rsid w:val="00E147D3"/>
    <w:rsid w:val="00E14DE5"/>
    <w:rsid w:val="00E179DF"/>
    <w:rsid w:val="00E17B5E"/>
    <w:rsid w:val="00E20AF6"/>
    <w:rsid w:val="00E23238"/>
    <w:rsid w:val="00E251C6"/>
    <w:rsid w:val="00E263EA"/>
    <w:rsid w:val="00E272B2"/>
    <w:rsid w:val="00E332B3"/>
    <w:rsid w:val="00E37FBE"/>
    <w:rsid w:val="00E40009"/>
    <w:rsid w:val="00E42487"/>
    <w:rsid w:val="00E438CE"/>
    <w:rsid w:val="00E45292"/>
    <w:rsid w:val="00E47DCC"/>
    <w:rsid w:val="00E53421"/>
    <w:rsid w:val="00E5380D"/>
    <w:rsid w:val="00E542C4"/>
    <w:rsid w:val="00E600BD"/>
    <w:rsid w:val="00E60FCF"/>
    <w:rsid w:val="00E61B2A"/>
    <w:rsid w:val="00E6690A"/>
    <w:rsid w:val="00E7382F"/>
    <w:rsid w:val="00E82B0B"/>
    <w:rsid w:val="00E83154"/>
    <w:rsid w:val="00E851E7"/>
    <w:rsid w:val="00E872E3"/>
    <w:rsid w:val="00E8757D"/>
    <w:rsid w:val="00E87718"/>
    <w:rsid w:val="00E87A50"/>
    <w:rsid w:val="00E930DD"/>
    <w:rsid w:val="00E95ABE"/>
    <w:rsid w:val="00EA0D1D"/>
    <w:rsid w:val="00EA16D9"/>
    <w:rsid w:val="00EA295B"/>
    <w:rsid w:val="00EB2AD3"/>
    <w:rsid w:val="00EB3391"/>
    <w:rsid w:val="00EB6257"/>
    <w:rsid w:val="00EB74E5"/>
    <w:rsid w:val="00EC49B0"/>
    <w:rsid w:val="00EC7812"/>
    <w:rsid w:val="00ED04E4"/>
    <w:rsid w:val="00ED28A5"/>
    <w:rsid w:val="00ED2EE2"/>
    <w:rsid w:val="00ED3FFF"/>
    <w:rsid w:val="00ED41A4"/>
    <w:rsid w:val="00ED6567"/>
    <w:rsid w:val="00EE1E64"/>
    <w:rsid w:val="00EF01F9"/>
    <w:rsid w:val="00EF0ADB"/>
    <w:rsid w:val="00EF3B32"/>
    <w:rsid w:val="00EF5386"/>
    <w:rsid w:val="00EF78E3"/>
    <w:rsid w:val="00F006B1"/>
    <w:rsid w:val="00F04F6C"/>
    <w:rsid w:val="00F1425C"/>
    <w:rsid w:val="00F16DD6"/>
    <w:rsid w:val="00F23C23"/>
    <w:rsid w:val="00F24D3D"/>
    <w:rsid w:val="00F26C5B"/>
    <w:rsid w:val="00F30436"/>
    <w:rsid w:val="00F341DC"/>
    <w:rsid w:val="00F35864"/>
    <w:rsid w:val="00F37CCE"/>
    <w:rsid w:val="00F40DDD"/>
    <w:rsid w:val="00F40FD4"/>
    <w:rsid w:val="00F4679A"/>
    <w:rsid w:val="00F60EBD"/>
    <w:rsid w:val="00F63871"/>
    <w:rsid w:val="00F641F7"/>
    <w:rsid w:val="00F66827"/>
    <w:rsid w:val="00F723C5"/>
    <w:rsid w:val="00F726D6"/>
    <w:rsid w:val="00F7385A"/>
    <w:rsid w:val="00F73C93"/>
    <w:rsid w:val="00F8179F"/>
    <w:rsid w:val="00F82329"/>
    <w:rsid w:val="00F900C8"/>
    <w:rsid w:val="00F90BC3"/>
    <w:rsid w:val="00F90EC0"/>
    <w:rsid w:val="00F930B6"/>
    <w:rsid w:val="00F9633E"/>
    <w:rsid w:val="00F9747D"/>
    <w:rsid w:val="00F976A1"/>
    <w:rsid w:val="00FA3DF6"/>
    <w:rsid w:val="00FA4B50"/>
    <w:rsid w:val="00FA63BD"/>
    <w:rsid w:val="00FB19FD"/>
    <w:rsid w:val="00FB23B6"/>
    <w:rsid w:val="00FB62A2"/>
    <w:rsid w:val="00FB6A85"/>
    <w:rsid w:val="00FB793B"/>
    <w:rsid w:val="00FB7D8F"/>
    <w:rsid w:val="00FB7E07"/>
    <w:rsid w:val="00FC0D7C"/>
    <w:rsid w:val="00FC39B7"/>
    <w:rsid w:val="00FC506E"/>
    <w:rsid w:val="00FC5A4F"/>
    <w:rsid w:val="00FD0B99"/>
    <w:rsid w:val="00FD1CD2"/>
    <w:rsid w:val="00FD240F"/>
    <w:rsid w:val="00FD37BD"/>
    <w:rsid w:val="00FD4FDD"/>
    <w:rsid w:val="00FE09A8"/>
    <w:rsid w:val="00FE0A24"/>
    <w:rsid w:val="00FE1C81"/>
    <w:rsid w:val="00FE3C4C"/>
    <w:rsid w:val="00FE6E65"/>
    <w:rsid w:val="00FF20D9"/>
    <w:rsid w:val="00FF25FE"/>
    <w:rsid w:val="00FF4C8C"/>
    <w:rsid w:val="00FF6A83"/>
    <w:rsid w:val="00FF6E40"/>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D7F6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u-HU" w:eastAsia="fr-FR"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2FE4"/>
    <w:pPr>
      <w:spacing w:before="120" w:after="120"/>
      <w:jc w:val="both"/>
    </w:pPr>
    <w:rPr>
      <w:rFonts w:ascii="Verdana" w:hAnsi="Verdana"/>
      <w:szCs w:val="24"/>
      <w:lang w:eastAsia="en-US"/>
    </w:rPr>
  </w:style>
  <w:style w:type="paragraph" w:styleId="Heading1">
    <w:name w:val="heading 1"/>
    <w:basedOn w:val="Normal"/>
    <w:link w:val="Heading1Char"/>
    <w:uiPriority w:val="9"/>
    <w:qFormat/>
    <w:rsid w:val="00556DCD"/>
    <w:pPr>
      <w:spacing w:before="100" w:beforeAutospacing="1" w:after="100" w:afterAutospacing="1"/>
      <w:jc w:val="left"/>
      <w:outlineLvl w:val="0"/>
    </w:pPr>
    <w:rPr>
      <w:rFonts w:ascii="Times New Roman" w:hAnsi="Times New Roman"/>
      <w:b/>
      <w:bCs/>
      <w:color w:val="3E2E98"/>
      <w:kern w:val="36"/>
      <w:sz w:val="30"/>
      <w:szCs w:val="30"/>
      <w:lang w:eastAsia="en-GB"/>
    </w:rPr>
  </w:style>
  <w:style w:type="paragraph" w:styleId="Heading2">
    <w:name w:val="heading 2"/>
    <w:basedOn w:val="Normal"/>
    <w:next w:val="Normal"/>
    <w:link w:val="Heading2Char"/>
    <w:autoRedefine/>
    <w:uiPriority w:val="9"/>
    <w:qFormat/>
    <w:rsid w:val="00D02FE4"/>
    <w:pPr>
      <w:keepNext/>
      <w:spacing w:before="240"/>
      <w:outlineLvl w:val="1"/>
    </w:pPr>
    <w:rPr>
      <w:b/>
      <w:sz w:val="24"/>
    </w:rPr>
  </w:style>
  <w:style w:type="paragraph" w:styleId="Heading3">
    <w:name w:val="heading 3"/>
    <w:basedOn w:val="Normal"/>
    <w:link w:val="Heading3Char"/>
    <w:uiPriority w:val="9"/>
    <w:qFormat/>
    <w:rsid w:val="00556DCD"/>
    <w:pPr>
      <w:spacing w:before="100" w:beforeAutospacing="1" w:after="100" w:afterAutospacing="1"/>
      <w:jc w:val="left"/>
      <w:outlineLvl w:val="2"/>
    </w:pPr>
    <w:rPr>
      <w:rFonts w:ascii="Times New Roman" w:hAnsi="Times New Roman"/>
      <w:b/>
      <w:bCs/>
      <w:color w:val="777777"/>
      <w:sz w:val="26"/>
      <w:szCs w:val="26"/>
      <w:lang w:eastAsia="en-GB"/>
    </w:rPr>
  </w:style>
  <w:style w:type="paragraph" w:styleId="Heading4">
    <w:name w:val="heading 4"/>
    <w:basedOn w:val="Normal"/>
    <w:link w:val="Heading4Char"/>
    <w:uiPriority w:val="9"/>
    <w:qFormat/>
    <w:rsid w:val="00556DCD"/>
    <w:pPr>
      <w:spacing w:before="100" w:beforeAutospacing="1" w:after="100" w:afterAutospacing="1"/>
      <w:jc w:val="left"/>
      <w:outlineLvl w:val="3"/>
    </w:pPr>
    <w:rPr>
      <w:rFonts w:ascii="Times New Roman" w:hAnsi="Times New Roman"/>
      <w:b/>
      <w:bCs/>
      <w:color w:val="444444"/>
      <w:sz w:val="24"/>
      <w:lang w:eastAsia="en-GB"/>
    </w:rPr>
  </w:style>
  <w:style w:type="paragraph" w:styleId="Heading6">
    <w:name w:val="heading 6"/>
    <w:basedOn w:val="Normal"/>
    <w:next w:val="Normal"/>
    <w:link w:val="Heading6Char"/>
    <w:semiHidden/>
    <w:unhideWhenUsed/>
    <w:qFormat/>
    <w:rsid w:val="00CC3091"/>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D02FE4"/>
    <w:rPr>
      <w:rFonts w:ascii="Verdana" w:hAnsi="Verdana"/>
      <w:b/>
      <w:sz w:val="24"/>
      <w:szCs w:val="24"/>
      <w:lang w:val="hu-HU" w:eastAsia="en-US" w:bidi="ar-SA"/>
    </w:rPr>
  </w:style>
  <w:style w:type="paragraph" w:styleId="FootnoteText">
    <w:name w:val="footnote text"/>
    <w:aliases w:val="Fußnote, Char"/>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
    <w:link w:val="FootnoteText"/>
    <w:rsid w:val="00D02FE4"/>
    <w:rPr>
      <w:rFonts w:ascii="Verdana" w:hAnsi="Verdana"/>
      <w:sz w:val="16"/>
      <w:szCs w:val="16"/>
      <w:lang w:val="hu-HU" w:eastAsia="en-US" w:bidi="ar-SA"/>
    </w:rPr>
  </w:style>
  <w:style w:type="character" w:styleId="FootnoteReference">
    <w:name w:val="footnote reference"/>
    <w:rsid w:val="00D02FE4"/>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CC3091"/>
    <w:pPr>
      <w:spacing w:before="0" w:after="0"/>
      <w:ind w:left="33"/>
    </w:pPr>
    <w:rPr>
      <w:rFonts w:ascii="Times New Roman" w:hAnsi="Times New Roman"/>
      <w:szCs w:val="17"/>
      <w:u w:val="single"/>
      <w:lang w:eastAsia="de-DE"/>
    </w:rPr>
  </w:style>
  <w:style w:type="character" w:customStyle="1" w:styleId="InstructionsTextChar">
    <w:name w:val="Instructions Text Char"/>
    <w:link w:val="InstructionsText"/>
    <w:locked/>
    <w:rsid w:val="00CC3091"/>
    <w:rPr>
      <w:szCs w:val="17"/>
      <w:u w:val="single"/>
      <w:lang w:val="hu-HU" w:eastAsia="de-DE"/>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paragraph" w:customStyle="1" w:styleId="InstructionsText2">
    <w:name w:val="Instructions Text 2"/>
    <w:basedOn w:val="InstructionsText"/>
    <w:qFormat/>
    <w:rsid w:val="00D02FE4"/>
    <w:pPr>
      <w:numPr>
        <w:numId w:val="3"/>
      </w:numPr>
      <w:spacing w:after="24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hu-HU" w:eastAsia="en-US" w:bidi="ar-SA"/>
    </w:rPr>
  </w:style>
  <w:style w:type="character" w:customStyle="1" w:styleId="FunoteChar">
    <w:name w:val="Fußnote Char"/>
    <w:aliases w:val=" Char Char Char"/>
    <w:semiHidden/>
    <w:rsid w:val="009D253B"/>
    <w:rPr>
      <w:rFonts w:ascii="Arial" w:hAnsi="Arial"/>
      <w:sz w:val="18"/>
      <w:lang w:val="hu-HU" w:eastAsia="en-US" w:bidi="ar-SA"/>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9D253B"/>
    <w:rPr>
      <w:rFonts w:ascii="Arial" w:eastAsia="MS Mincho" w:hAnsi="Arial"/>
      <w:sz w:val="22"/>
      <w:lang w:val="hu-HU" w:eastAsia="ja-JP" w:bidi="ar-SA"/>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link w:val="BalloonTextChar"/>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hu-HU" w:eastAsia="en-US"/>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hu-HU" w:eastAsia="en-US"/>
    </w:rPr>
  </w:style>
  <w:style w:type="paragraph" w:styleId="PlainText">
    <w:name w:val="Plain Text"/>
    <w:basedOn w:val="Normal"/>
    <w:link w:val="PlainTextChar"/>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lang w:eastAsia="de-AT"/>
    </w:rPr>
  </w:style>
  <w:style w:type="character" w:styleId="Hyperlink">
    <w:name w:val="Hyperlink"/>
    <w:basedOn w:val="DefaultParagraphFont"/>
    <w:uiPriority w:val="99"/>
    <w:unhideWhenUsed/>
    <w:rsid w:val="0035239A"/>
    <w:rPr>
      <w:color w:val="0000FF"/>
      <w:u w:val="single"/>
    </w:rPr>
  </w:style>
  <w:style w:type="table" w:styleId="TableGrid">
    <w:name w:val="Table Grid"/>
    <w:basedOn w:val="TableNormal"/>
    <w:rsid w:val="000C4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56DCD"/>
    <w:rPr>
      <w:b/>
      <w:bCs/>
      <w:color w:val="3E2E98"/>
      <w:kern w:val="36"/>
      <w:sz w:val="30"/>
      <w:szCs w:val="30"/>
    </w:rPr>
  </w:style>
  <w:style w:type="character" w:customStyle="1" w:styleId="Heading3Char">
    <w:name w:val="Heading 3 Char"/>
    <w:basedOn w:val="DefaultParagraphFont"/>
    <w:link w:val="Heading3"/>
    <w:uiPriority w:val="9"/>
    <w:rsid w:val="00556DCD"/>
    <w:rPr>
      <w:b/>
      <w:bCs/>
      <w:color w:val="777777"/>
      <w:sz w:val="26"/>
      <w:szCs w:val="26"/>
    </w:rPr>
  </w:style>
  <w:style w:type="character" w:customStyle="1" w:styleId="Heading4Char">
    <w:name w:val="Heading 4 Char"/>
    <w:basedOn w:val="DefaultParagraphFont"/>
    <w:link w:val="Heading4"/>
    <w:uiPriority w:val="9"/>
    <w:rsid w:val="00556DCD"/>
    <w:rPr>
      <w:b/>
      <w:bCs/>
      <w:color w:val="444444"/>
      <w:sz w:val="24"/>
      <w:szCs w:val="24"/>
    </w:rPr>
  </w:style>
  <w:style w:type="paragraph" w:customStyle="1" w:styleId="Numberedheadinglevel1">
    <w:name w:val="Numbered heading level 1"/>
    <w:basedOn w:val="Normal"/>
    <w:next w:val="Normal"/>
    <w:qFormat/>
    <w:rsid w:val="004E36B0"/>
    <w:pPr>
      <w:numPr>
        <w:numId w:val="16"/>
      </w:numPr>
      <w:tabs>
        <w:tab w:val="left" w:pos="0"/>
      </w:tabs>
      <w:spacing w:before="360" w:after="360"/>
      <w:ind w:left="714" w:hanging="357"/>
    </w:pPr>
    <w:rPr>
      <w:rFonts w:ascii="Arial" w:hAnsi="Arial"/>
      <w:color w:val="4F81BD" w:themeColor="accent1"/>
      <w:sz w:val="28"/>
      <w:szCs w:val="28"/>
    </w:rPr>
  </w:style>
  <w:style w:type="paragraph" w:customStyle="1" w:styleId="Numberedheadinglevel2">
    <w:name w:val="Numbered heading level 2"/>
    <w:basedOn w:val="Normal"/>
    <w:next w:val="Normal"/>
    <w:link w:val="Numberedheadinglevel2Char"/>
    <w:qFormat/>
    <w:rsid w:val="00A56552"/>
    <w:pPr>
      <w:numPr>
        <w:ilvl w:val="1"/>
        <w:numId w:val="16"/>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A56552"/>
    <w:pPr>
      <w:numPr>
        <w:ilvl w:val="2"/>
        <w:numId w:val="16"/>
      </w:numPr>
      <w:tabs>
        <w:tab w:val="left" w:pos="567"/>
      </w:tabs>
      <w:spacing w:before="240"/>
    </w:pPr>
    <w:rPr>
      <w:rFonts w:ascii="Arial" w:hAnsi="Arial"/>
      <w:color w:val="4F81BD" w:themeColor="accent1"/>
      <w:szCs w:val="20"/>
    </w:rPr>
  </w:style>
  <w:style w:type="character" w:styleId="FollowedHyperlink">
    <w:name w:val="FollowedHyperlink"/>
    <w:basedOn w:val="DefaultParagraphFont"/>
    <w:uiPriority w:val="99"/>
    <w:rsid w:val="00FB7E07"/>
    <w:rPr>
      <w:color w:val="800080" w:themeColor="followedHyperlink"/>
      <w:u w:val="single"/>
    </w:rPr>
  </w:style>
  <w:style w:type="paragraph" w:styleId="ListParagraph">
    <w:name w:val="List Paragraph"/>
    <w:basedOn w:val="Normal"/>
    <w:uiPriority w:val="34"/>
    <w:qFormat/>
    <w:rsid w:val="0094416B"/>
    <w:pPr>
      <w:ind w:left="720"/>
      <w:contextualSpacing/>
    </w:pPr>
  </w:style>
  <w:style w:type="paragraph" w:customStyle="1" w:styleId="DocTitle">
    <w:name w:val="Doc Title"/>
    <w:basedOn w:val="Normal"/>
    <w:qFormat/>
    <w:rsid w:val="00DC14B6"/>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DC14B6"/>
    <w:pPr>
      <w:keepNext w:val="0"/>
      <w:spacing w:before="120" w:after="0"/>
      <w:contextualSpacing/>
      <w:jc w:val="left"/>
    </w:pPr>
    <w:rPr>
      <w:rFonts w:ascii="Arial" w:hAnsi="Arial"/>
      <w:b w:val="0"/>
      <w:color w:val="4F81BD" w:themeColor="accent1"/>
      <w:szCs w:val="20"/>
    </w:rPr>
  </w:style>
  <w:style w:type="paragraph" w:styleId="Header">
    <w:name w:val="header"/>
    <w:basedOn w:val="Normal"/>
    <w:link w:val="HeaderChar"/>
    <w:uiPriority w:val="99"/>
    <w:rsid w:val="00DC14B6"/>
    <w:pPr>
      <w:tabs>
        <w:tab w:val="center" w:pos="4513"/>
        <w:tab w:val="right" w:pos="9026"/>
      </w:tabs>
      <w:spacing w:before="0" w:after="0"/>
    </w:pPr>
  </w:style>
  <w:style w:type="character" w:customStyle="1" w:styleId="HeaderChar">
    <w:name w:val="Header Char"/>
    <w:basedOn w:val="DefaultParagraphFont"/>
    <w:link w:val="Header"/>
    <w:uiPriority w:val="99"/>
    <w:rsid w:val="00DC14B6"/>
    <w:rPr>
      <w:rFonts w:ascii="Verdana" w:hAnsi="Verdana"/>
      <w:szCs w:val="24"/>
      <w:lang w:val="hu-HU" w:eastAsia="en-US"/>
    </w:rPr>
  </w:style>
  <w:style w:type="paragraph" w:styleId="Revision">
    <w:name w:val="Revision"/>
    <w:hidden/>
    <w:uiPriority w:val="99"/>
    <w:semiHidden/>
    <w:rsid w:val="007462FE"/>
    <w:rPr>
      <w:rFonts w:ascii="Verdana" w:hAnsi="Verdana"/>
      <w:szCs w:val="24"/>
      <w:lang w:eastAsia="en-US"/>
    </w:rPr>
  </w:style>
  <w:style w:type="character" w:customStyle="1" w:styleId="FooterChar">
    <w:name w:val="Footer Char"/>
    <w:basedOn w:val="DefaultParagraphFont"/>
    <w:link w:val="Footer"/>
    <w:uiPriority w:val="99"/>
    <w:rsid w:val="00F04F6C"/>
    <w:rPr>
      <w:sz w:val="24"/>
      <w:szCs w:val="24"/>
      <w:lang w:val="hu-HU" w:eastAsia="de-AT"/>
    </w:rPr>
  </w:style>
  <w:style w:type="character" w:customStyle="1" w:styleId="BalloonTextChar">
    <w:name w:val="Balloon Text Char"/>
    <w:link w:val="BalloonText"/>
    <w:semiHidden/>
    <w:rsid w:val="00167536"/>
    <w:rPr>
      <w:rFonts w:ascii="Tahoma" w:hAnsi="Tahoma" w:cs="Tahoma"/>
      <w:sz w:val="16"/>
      <w:szCs w:val="16"/>
      <w:lang w:val="hu-HU" w:eastAsia="en-US"/>
    </w:rPr>
  </w:style>
  <w:style w:type="character" w:customStyle="1" w:styleId="PlainTextChar">
    <w:name w:val="Plain Text Char"/>
    <w:link w:val="PlainText"/>
    <w:semiHidden/>
    <w:rsid w:val="00167536"/>
    <w:rPr>
      <w:rFonts w:ascii="Consolas" w:hAnsi="Consolas"/>
      <w:sz w:val="21"/>
      <w:szCs w:val="21"/>
      <w:lang w:val="hu-HU" w:eastAsia="en-US"/>
    </w:rPr>
  </w:style>
  <w:style w:type="character" w:customStyle="1" w:styleId="Marker">
    <w:name w:val="Marker"/>
    <w:rsid w:val="00167536"/>
    <w:rPr>
      <w:color w:val="0000FF"/>
      <w:shd w:val="clear" w:color="auto" w:fill="auto"/>
    </w:rPr>
  </w:style>
  <w:style w:type="paragraph" w:customStyle="1" w:styleId="Pagedecouverture">
    <w:name w:val="Page de couverture"/>
    <w:basedOn w:val="Normal"/>
    <w:next w:val="Normal"/>
    <w:rsid w:val="00167536"/>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167536"/>
    <w:pPr>
      <w:tabs>
        <w:tab w:val="center" w:pos="4535"/>
        <w:tab w:val="right" w:pos="9071"/>
        <w:tab w:val="right" w:pos="9921"/>
      </w:tabs>
      <w:spacing w:before="360" w:after="0"/>
      <w:ind w:left="-850" w:right="-850" w:hanging="567"/>
      <w:jc w:val="left"/>
    </w:pPr>
    <w:rPr>
      <w:rFonts w:ascii="Times New Roman" w:hAnsi="Times New Roman"/>
      <w:color w:val="4F81BD"/>
      <w:sz w:val="24"/>
    </w:rPr>
  </w:style>
  <w:style w:type="character" w:customStyle="1" w:styleId="Numberedheadinglevel2Char">
    <w:name w:val="Numbered heading level 2 Char"/>
    <w:link w:val="Numberedheadinglevel2"/>
    <w:rsid w:val="00167536"/>
    <w:rPr>
      <w:rFonts w:ascii="Arial" w:hAnsi="Arial"/>
      <w:color w:val="4F81BD" w:themeColor="accent1"/>
      <w:sz w:val="24"/>
      <w:szCs w:val="24"/>
      <w:lang w:val="hu-HU" w:eastAsia="en-US"/>
    </w:rPr>
  </w:style>
  <w:style w:type="character" w:customStyle="1" w:styleId="FooterCoverPageChar">
    <w:name w:val="Footer Cover Page Char"/>
    <w:link w:val="FooterCoverPage"/>
    <w:rsid w:val="00167536"/>
    <w:rPr>
      <w:color w:val="4F81BD"/>
      <w:sz w:val="24"/>
      <w:szCs w:val="24"/>
      <w:lang w:val="hu-HU" w:eastAsia="en-US"/>
    </w:rPr>
  </w:style>
  <w:style w:type="paragraph" w:customStyle="1" w:styleId="HeaderCoverPage">
    <w:name w:val="Header Cover Page"/>
    <w:basedOn w:val="Normal"/>
    <w:link w:val="HeaderCoverPageChar"/>
    <w:rsid w:val="00167536"/>
    <w:pPr>
      <w:tabs>
        <w:tab w:val="center" w:pos="4535"/>
        <w:tab w:val="right" w:pos="9071"/>
      </w:tabs>
      <w:spacing w:before="0"/>
      <w:ind w:hanging="567"/>
    </w:pPr>
    <w:rPr>
      <w:rFonts w:ascii="Times New Roman" w:hAnsi="Times New Roman"/>
      <w:color w:val="4F81BD"/>
      <w:sz w:val="24"/>
    </w:rPr>
  </w:style>
  <w:style w:type="character" w:customStyle="1" w:styleId="HeaderCoverPageChar">
    <w:name w:val="Header Cover Page Char"/>
    <w:link w:val="HeaderCoverPage"/>
    <w:rsid w:val="00167536"/>
    <w:rPr>
      <w:color w:val="4F81BD"/>
      <w:sz w:val="24"/>
      <w:szCs w:val="24"/>
      <w:lang w:val="hu-HU" w:eastAsia="en-US"/>
    </w:rPr>
  </w:style>
  <w:style w:type="character" w:customStyle="1" w:styleId="Heading6Char">
    <w:name w:val="Heading 6 Char"/>
    <w:basedOn w:val="DefaultParagraphFont"/>
    <w:link w:val="Heading6"/>
    <w:semiHidden/>
    <w:rsid w:val="00CC3091"/>
    <w:rPr>
      <w:rFonts w:asciiTheme="majorHAnsi" w:eastAsiaTheme="majorEastAsia" w:hAnsiTheme="majorHAnsi" w:cstheme="majorBidi"/>
      <w:color w:val="243F60" w:themeColor="accent1" w:themeShade="7F"/>
      <w:szCs w:val="24"/>
      <w:lang w:val="hu-H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8250482">
      <w:bodyDiv w:val="1"/>
      <w:marLeft w:val="0"/>
      <w:marRight w:val="0"/>
      <w:marTop w:val="0"/>
      <w:marBottom w:val="0"/>
      <w:divBdr>
        <w:top w:val="none" w:sz="0" w:space="0" w:color="auto"/>
        <w:left w:val="none" w:sz="0" w:space="0" w:color="auto"/>
        <w:bottom w:val="none" w:sz="0" w:space="0" w:color="auto"/>
        <w:right w:val="none" w:sz="0" w:space="0" w:color="auto"/>
      </w:divBdr>
      <w:divsChild>
        <w:div w:id="1974216560">
          <w:marLeft w:val="0"/>
          <w:marRight w:val="0"/>
          <w:marTop w:val="0"/>
          <w:marBottom w:val="0"/>
          <w:divBdr>
            <w:top w:val="none" w:sz="0" w:space="0" w:color="auto"/>
            <w:left w:val="none" w:sz="0" w:space="0" w:color="auto"/>
            <w:bottom w:val="none" w:sz="0" w:space="0" w:color="auto"/>
            <w:right w:val="none" w:sz="0" w:space="0" w:color="auto"/>
          </w:divBdr>
          <w:divsChild>
            <w:div w:id="758604029">
              <w:marLeft w:val="0"/>
              <w:marRight w:val="0"/>
              <w:marTop w:val="0"/>
              <w:marBottom w:val="0"/>
              <w:divBdr>
                <w:top w:val="none" w:sz="0" w:space="0" w:color="auto"/>
                <w:left w:val="none" w:sz="0" w:space="0" w:color="auto"/>
                <w:bottom w:val="none" w:sz="0" w:space="0" w:color="auto"/>
                <w:right w:val="none" w:sz="0" w:space="0" w:color="auto"/>
              </w:divBdr>
              <w:divsChild>
                <w:div w:id="2129467565">
                  <w:marLeft w:val="0"/>
                  <w:marRight w:val="0"/>
                  <w:marTop w:val="0"/>
                  <w:marBottom w:val="0"/>
                  <w:divBdr>
                    <w:top w:val="none" w:sz="0" w:space="0" w:color="auto"/>
                    <w:left w:val="none" w:sz="0" w:space="0" w:color="auto"/>
                    <w:bottom w:val="none" w:sz="0" w:space="0" w:color="auto"/>
                    <w:right w:val="none" w:sz="0" w:space="0" w:color="auto"/>
                  </w:divBdr>
                  <w:divsChild>
                    <w:div w:id="919944066">
                      <w:marLeft w:val="1"/>
                      <w:marRight w:val="1"/>
                      <w:marTop w:val="0"/>
                      <w:marBottom w:val="0"/>
                      <w:divBdr>
                        <w:top w:val="none" w:sz="0" w:space="0" w:color="auto"/>
                        <w:left w:val="none" w:sz="0" w:space="0" w:color="auto"/>
                        <w:bottom w:val="none" w:sz="0" w:space="0" w:color="auto"/>
                        <w:right w:val="none" w:sz="0" w:space="0" w:color="auto"/>
                      </w:divBdr>
                      <w:divsChild>
                        <w:div w:id="1175456607">
                          <w:marLeft w:val="0"/>
                          <w:marRight w:val="0"/>
                          <w:marTop w:val="0"/>
                          <w:marBottom w:val="0"/>
                          <w:divBdr>
                            <w:top w:val="none" w:sz="0" w:space="0" w:color="auto"/>
                            <w:left w:val="none" w:sz="0" w:space="0" w:color="auto"/>
                            <w:bottom w:val="none" w:sz="0" w:space="0" w:color="auto"/>
                            <w:right w:val="none" w:sz="0" w:space="0" w:color="auto"/>
                          </w:divBdr>
                          <w:divsChild>
                            <w:div w:id="1427724986">
                              <w:marLeft w:val="0"/>
                              <w:marRight w:val="0"/>
                              <w:marTop w:val="0"/>
                              <w:marBottom w:val="360"/>
                              <w:divBdr>
                                <w:top w:val="none" w:sz="0" w:space="0" w:color="auto"/>
                                <w:left w:val="none" w:sz="0" w:space="0" w:color="auto"/>
                                <w:bottom w:val="none" w:sz="0" w:space="0" w:color="auto"/>
                                <w:right w:val="none" w:sz="0" w:space="0" w:color="auto"/>
                              </w:divBdr>
                              <w:divsChild>
                                <w:div w:id="1621379700">
                                  <w:marLeft w:val="0"/>
                                  <w:marRight w:val="0"/>
                                  <w:marTop w:val="0"/>
                                  <w:marBottom w:val="0"/>
                                  <w:divBdr>
                                    <w:top w:val="none" w:sz="0" w:space="0" w:color="auto"/>
                                    <w:left w:val="none" w:sz="0" w:space="0" w:color="auto"/>
                                    <w:bottom w:val="none" w:sz="0" w:space="0" w:color="auto"/>
                                    <w:right w:val="none" w:sz="0" w:space="0" w:color="auto"/>
                                  </w:divBdr>
                                  <w:divsChild>
                                    <w:div w:id="1816800789">
                                      <w:marLeft w:val="0"/>
                                      <w:marRight w:val="0"/>
                                      <w:marTop w:val="0"/>
                                      <w:marBottom w:val="0"/>
                                      <w:divBdr>
                                        <w:top w:val="none" w:sz="0" w:space="0" w:color="auto"/>
                                        <w:left w:val="none" w:sz="0" w:space="0" w:color="auto"/>
                                        <w:bottom w:val="none" w:sz="0" w:space="0" w:color="auto"/>
                                        <w:right w:val="none" w:sz="0" w:space="0" w:color="auto"/>
                                      </w:divBdr>
                                      <w:divsChild>
                                        <w:div w:id="635599496">
                                          <w:marLeft w:val="0"/>
                                          <w:marRight w:val="0"/>
                                          <w:marTop w:val="0"/>
                                          <w:marBottom w:val="0"/>
                                          <w:divBdr>
                                            <w:top w:val="none" w:sz="0" w:space="0" w:color="auto"/>
                                            <w:left w:val="none" w:sz="0" w:space="0" w:color="auto"/>
                                            <w:bottom w:val="none" w:sz="0" w:space="0" w:color="auto"/>
                                            <w:right w:val="none" w:sz="0" w:space="0" w:color="auto"/>
                                          </w:divBdr>
                                          <w:divsChild>
                                            <w:div w:id="633565853">
                                              <w:marLeft w:val="0"/>
                                              <w:marRight w:val="0"/>
                                              <w:marTop w:val="0"/>
                                              <w:marBottom w:val="0"/>
                                              <w:divBdr>
                                                <w:top w:val="none" w:sz="0" w:space="0" w:color="auto"/>
                                                <w:left w:val="none" w:sz="0" w:space="0" w:color="auto"/>
                                                <w:bottom w:val="none" w:sz="0" w:space="0" w:color="auto"/>
                                                <w:right w:val="none" w:sz="0" w:space="0" w:color="auto"/>
                                              </w:divBdr>
                                              <w:divsChild>
                                                <w:div w:id="42171311">
                                                  <w:marLeft w:val="0"/>
                                                  <w:marRight w:val="0"/>
                                                  <w:marTop w:val="0"/>
                                                  <w:marBottom w:val="0"/>
                                                  <w:divBdr>
                                                    <w:top w:val="none" w:sz="0" w:space="0" w:color="auto"/>
                                                    <w:left w:val="none" w:sz="0" w:space="0" w:color="auto"/>
                                                    <w:bottom w:val="none" w:sz="0" w:space="0" w:color="auto"/>
                                                    <w:right w:val="none" w:sz="0" w:space="0" w:color="auto"/>
                                                  </w:divBdr>
                                                  <w:divsChild>
                                                    <w:div w:id="714935153">
                                                      <w:marLeft w:val="0"/>
                                                      <w:marRight w:val="0"/>
                                                      <w:marTop w:val="0"/>
                                                      <w:marBottom w:val="0"/>
                                                      <w:divBdr>
                                                        <w:top w:val="none" w:sz="0" w:space="0" w:color="auto"/>
                                                        <w:left w:val="none" w:sz="0" w:space="0" w:color="auto"/>
                                                        <w:bottom w:val="none" w:sz="0" w:space="0" w:color="auto"/>
                                                        <w:right w:val="none" w:sz="0" w:space="0" w:color="auto"/>
                                                      </w:divBdr>
                                                      <w:divsChild>
                                                        <w:div w:id="3286844">
                                                          <w:marLeft w:val="0"/>
                                                          <w:marRight w:val="0"/>
                                                          <w:marTop w:val="0"/>
                                                          <w:marBottom w:val="0"/>
                                                          <w:divBdr>
                                                            <w:top w:val="none" w:sz="0" w:space="0" w:color="auto"/>
                                                            <w:left w:val="none" w:sz="0" w:space="0" w:color="auto"/>
                                                            <w:bottom w:val="none" w:sz="0" w:space="0" w:color="auto"/>
                                                            <w:right w:val="none" w:sz="0" w:space="0" w:color="auto"/>
                                                          </w:divBdr>
                                                          <w:divsChild>
                                                            <w:div w:id="197447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5058328">
      <w:bodyDiv w:val="1"/>
      <w:marLeft w:val="0"/>
      <w:marRight w:val="0"/>
      <w:marTop w:val="0"/>
      <w:marBottom w:val="0"/>
      <w:divBdr>
        <w:top w:val="none" w:sz="0" w:space="0" w:color="auto"/>
        <w:left w:val="none" w:sz="0" w:space="0" w:color="auto"/>
        <w:bottom w:val="none" w:sz="0" w:space="0" w:color="auto"/>
        <w:right w:val="none" w:sz="0" w:space="0" w:color="auto"/>
      </w:divBdr>
    </w:div>
    <w:div w:id="1584290442">
      <w:bodyDiv w:val="1"/>
      <w:marLeft w:val="0"/>
      <w:marRight w:val="0"/>
      <w:marTop w:val="0"/>
      <w:marBottom w:val="0"/>
      <w:divBdr>
        <w:top w:val="none" w:sz="0" w:space="0" w:color="auto"/>
        <w:left w:val="none" w:sz="0" w:space="0" w:color="auto"/>
        <w:bottom w:val="none" w:sz="0" w:space="0" w:color="auto"/>
        <w:right w:val="none" w:sz="0" w:space="0" w:color="auto"/>
      </w:divBdr>
    </w:div>
    <w:div w:id="1812088056">
      <w:bodyDiv w:val="1"/>
      <w:marLeft w:val="0"/>
      <w:marRight w:val="0"/>
      <w:marTop w:val="0"/>
      <w:marBottom w:val="0"/>
      <w:divBdr>
        <w:top w:val="none" w:sz="0" w:space="0" w:color="auto"/>
        <w:left w:val="none" w:sz="0" w:space="0" w:color="auto"/>
        <w:bottom w:val="none" w:sz="0" w:space="0" w:color="auto"/>
        <w:right w:val="none" w:sz="0" w:space="0" w:color="auto"/>
      </w:divBdr>
    </w:div>
    <w:div w:id="2089114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BF56076-3F3B-4991-8141-B3EFA25CE8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4559</Words>
  <Characters>30595</Characters>
  <Application>Microsoft Office Word</Application>
  <DocSecurity>0</DocSecurity>
  <Lines>665</Lines>
  <Paragraphs>338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34816</CharactersWithSpaces>
  <SharedDoc>false</SharedDoc>
  <HLinks>
    <vt:vector size="6" baseType="variant">
      <vt:variant>
        <vt:i4>6422655</vt:i4>
      </vt:variant>
      <vt:variant>
        <vt:i4>0</vt:i4>
      </vt:variant>
      <vt:variant>
        <vt:i4>0</vt:i4>
      </vt:variant>
      <vt:variant>
        <vt:i4>5</vt:i4>
      </vt:variant>
      <vt:variant>
        <vt:lpwstr>http://eur-lex.europa.eu/LexUriServ/LexUriServ.do?uri=COM:2011:0656:FIN:EN:PDF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2022-07-08T07:29:00Z</dcterms:created>
  <dcterms:modified xsi:type="dcterms:W3CDTF">2022-10-07T11:13:00Z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1,3</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e66ba66e-8b7b-475b-ae81-4aab15d5f212_Enabled">
    <vt:lpwstr>true</vt:lpwstr>
  </property>
  <property fmtid="{D5CDD505-2E9C-101B-9397-08002B2CF9AE}" pid="6" name="MSIP_Label_e66ba66e-8b7b-475b-ae81-4aab15d5f212_SetDate">
    <vt:lpwstr>2022-03-03T13:14:31Z</vt:lpwstr>
  </property>
  <property fmtid="{D5CDD505-2E9C-101B-9397-08002B2CF9AE}" pid="7" name="MSIP_Label_e66ba66e-8b7b-475b-ae81-4aab15d5f212_Method">
    <vt:lpwstr>Privileged</vt:lpwstr>
  </property>
  <property fmtid="{D5CDD505-2E9C-101B-9397-08002B2CF9AE}" pid="8" name="MSIP_Label_e66ba66e-8b7b-475b-ae81-4aab15d5f212_Name">
    <vt:lpwstr>No Label</vt:lpwstr>
  </property>
  <property fmtid="{D5CDD505-2E9C-101B-9397-08002B2CF9AE}" pid="9" name="MSIP_Label_e66ba66e-8b7b-475b-ae81-4aab15d5f212_SiteId">
    <vt:lpwstr>3bacb4ff-f1a2-4c92-b96c-e99fec826b68</vt:lpwstr>
  </property>
  <property fmtid="{D5CDD505-2E9C-101B-9397-08002B2CF9AE}" pid="10" name="MSIP_Label_e66ba66e-8b7b-475b-ae81-4aab15d5f212_ActionId">
    <vt:lpwstr>b0528036-be46-433f-85dd-64ecd5a252fe</vt:lpwstr>
  </property>
  <property fmtid="{D5CDD505-2E9C-101B-9397-08002B2CF9AE}" pid="11" name="MSIP_Label_e66ba66e-8b7b-475b-ae81-4aab15d5f212_ContentBits">
    <vt:lpwstr>0</vt:lpwstr>
  </property>
</Properties>
</file>