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DA</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BILAG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"BILAG II</w:t>
      </w:r>
    </w:p>
    <w:p w14:paraId="327777EC" w14:textId="77777777" w:rsidR="002648B0" w:rsidRPr="002A677E" w:rsidRDefault="00D11E4C" w:rsidP="00C87CEE">
      <w:pPr>
        <w:jc w:val="center"/>
        <w:rPr>
          <w:rFonts w:ascii="Times New Roman" w:hAnsi="Times New Roman"/>
          <w:b/>
          <w:sz w:val="24"/>
        </w:rPr>
      </w:pPr>
      <w:r>
        <w:rPr>
          <w:rFonts w:ascii="Times New Roman" w:hAnsi="Times New Roman"/>
          <w:b/>
          <w:sz w:val="24"/>
        </w:rPr>
        <w:t>INSTRUKSER TIL INDBERETNING AF KAPITALGRUNDLAG OG KAPITALGRUNDLAGSKRAV</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t>Indholdsfortegnelse</w:t>
      </w:r>
    </w:p>
    <w:bookmarkStart w:id="2" w:name="_GoBack"/>
    <w:bookmarkEnd w:id="2"/>
    <w:p w14:paraId="3A22ACDB" w14:textId="58FF18B1" w:rsidR="00E61D91"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59287" w:history="1">
        <w:r w:rsidR="00E61D91" w:rsidRPr="009C47EE">
          <w:rPr>
            <w:rStyle w:val="Hyperlink"/>
            <w:rFonts w:ascii="Times New Roman" w:hAnsi="Times New Roman"/>
          </w:rPr>
          <w:t>DEL I: GENERELLE INSTRUKSER</w:t>
        </w:r>
        <w:r w:rsidR="00E61D91">
          <w:rPr>
            <w:webHidden/>
          </w:rPr>
          <w:tab/>
        </w:r>
        <w:r w:rsidR="00E61D91">
          <w:rPr>
            <w:webHidden/>
          </w:rPr>
          <w:fldChar w:fldCharType="begin"/>
        </w:r>
        <w:r w:rsidR="00E61D91">
          <w:rPr>
            <w:webHidden/>
          </w:rPr>
          <w:instrText xml:space="preserve"> PAGEREF _Toc119059287 \h </w:instrText>
        </w:r>
        <w:r w:rsidR="00E61D91">
          <w:rPr>
            <w:webHidden/>
          </w:rPr>
        </w:r>
        <w:r w:rsidR="00E61D91">
          <w:rPr>
            <w:webHidden/>
          </w:rPr>
          <w:fldChar w:fldCharType="separate"/>
        </w:r>
        <w:r w:rsidR="00E61D91">
          <w:rPr>
            <w:webHidden/>
          </w:rPr>
          <w:t>7</w:t>
        </w:r>
        <w:r w:rsidR="00E61D91">
          <w:rPr>
            <w:webHidden/>
          </w:rPr>
          <w:fldChar w:fldCharType="end"/>
        </w:r>
      </w:hyperlink>
    </w:p>
    <w:p w14:paraId="5F4E1C62" w14:textId="341B54C3" w:rsidR="00E61D91" w:rsidRDefault="00E61D91">
      <w:pPr>
        <w:pStyle w:val="TOC2"/>
        <w:rPr>
          <w:rFonts w:asciiTheme="minorHAnsi" w:eastAsiaTheme="minorEastAsia" w:hAnsiTheme="minorHAnsi" w:cstheme="minorBidi"/>
          <w:b w:val="0"/>
          <w:smallCaps w:val="0"/>
          <w:sz w:val="22"/>
          <w:lang w:val="en-US"/>
        </w:rPr>
      </w:pPr>
      <w:hyperlink w:anchor="_Toc119059288" w:history="1">
        <w:r w:rsidRPr="009C47EE">
          <w:rPr>
            <w:rStyle w:val="Hyperlink"/>
            <w:rFonts w:ascii="Times New Roman" w:hAnsi="Times New Roman"/>
          </w:rPr>
          <w:t>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OPBYGNING OG KONVENTIONER</w:t>
        </w:r>
        <w:r>
          <w:rPr>
            <w:webHidden/>
          </w:rPr>
          <w:tab/>
        </w:r>
        <w:r>
          <w:rPr>
            <w:webHidden/>
          </w:rPr>
          <w:fldChar w:fldCharType="begin"/>
        </w:r>
        <w:r>
          <w:rPr>
            <w:webHidden/>
          </w:rPr>
          <w:instrText xml:space="preserve"> PAGEREF _Toc119059288 \h </w:instrText>
        </w:r>
        <w:r>
          <w:rPr>
            <w:webHidden/>
          </w:rPr>
        </w:r>
        <w:r>
          <w:rPr>
            <w:webHidden/>
          </w:rPr>
          <w:fldChar w:fldCharType="separate"/>
        </w:r>
        <w:r>
          <w:rPr>
            <w:webHidden/>
          </w:rPr>
          <w:t>7</w:t>
        </w:r>
        <w:r>
          <w:rPr>
            <w:webHidden/>
          </w:rPr>
          <w:fldChar w:fldCharType="end"/>
        </w:r>
      </w:hyperlink>
    </w:p>
    <w:p w14:paraId="52A3B8BD" w14:textId="6A5B4512" w:rsidR="00E61D91" w:rsidRDefault="00E61D91">
      <w:pPr>
        <w:pStyle w:val="TOC2"/>
        <w:rPr>
          <w:rFonts w:asciiTheme="minorHAnsi" w:eastAsiaTheme="minorEastAsia" w:hAnsiTheme="minorHAnsi" w:cstheme="minorBidi"/>
          <w:b w:val="0"/>
          <w:smallCaps w:val="0"/>
          <w:sz w:val="22"/>
          <w:lang w:val="en-US"/>
        </w:rPr>
      </w:pPr>
      <w:hyperlink w:anchor="_Toc119059289" w:history="1">
        <w:r w:rsidRPr="009C47EE">
          <w:rPr>
            <w:rStyle w:val="Hyperlink"/>
            <w:rFonts w:ascii="Times New Roman" w:hAnsi="Times New Roman"/>
          </w:rPr>
          <w:t>1.1.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OPBYGNING</w:t>
        </w:r>
        <w:r>
          <w:rPr>
            <w:webHidden/>
          </w:rPr>
          <w:tab/>
        </w:r>
        <w:r>
          <w:rPr>
            <w:webHidden/>
          </w:rPr>
          <w:fldChar w:fldCharType="begin"/>
        </w:r>
        <w:r>
          <w:rPr>
            <w:webHidden/>
          </w:rPr>
          <w:instrText xml:space="preserve"> PAGEREF _Toc119059289 \h </w:instrText>
        </w:r>
        <w:r>
          <w:rPr>
            <w:webHidden/>
          </w:rPr>
        </w:r>
        <w:r>
          <w:rPr>
            <w:webHidden/>
          </w:rPr>
          <w:fldChar w:fldCharType="separate"/>
        </w:r>
        <w:r>
          <w:rPr>
            <w:webHidden/>
          </w:rPr>
          <w:t>7</w:t>
        </w:r>
        <w:r>
          <w:rPr>
            <w:webHidden/>
          </w:rPr>
          <w:fldChar w:fldCharType="end"/>
        </w:r>
      </w:hyperlink>
    </w:p>
    <w:p w14:paraId="6DF2FC08" w14:textId="33F0964D" w:rsidR="00E61D91" w:rsidRDefault="00E61D91">
      <w:pPr>
        <w:pStyle w:val="TOC2"/>
        <w:rPr>
          <w:rFonts w:asciiTheme="minorHAnsi" w:eastAsiaTheme="minorEastAsia" w:hAnsiTheme="minorHAnsi" w:cstheme="minorBidi"/>
          <w:b w:val="0"/>
          <w:smallCaps w:val="0"/>
          <w:sz w:val="22"/>
          <w:lang w:val="en-US"/>
        </w:rPr>
      </w:pPr>
      <w:hyperlink w:anchor="_Toc119059290" w:history="1">
        <w:r w:rsidRPr="009C47EE">
          <w:rPr>
            <w:rStyle w:val="Hyperlink"/>
            <w:rFonts w:ascii="Times New Roman" w:hAnsi="Times New Roman"/>
          </w:rPr>
          <w:t>1.2.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Konvention for nummerering</w:t>
        </w:r>
        <w:r>
          <w:rPr>
            <w:webHidden/>
          </w:rPr>
          <w:tab/>
        </w:r>
        <w:r>
          <w:rPr>
            <w:webHidden/>
          </w:rPr>
          <w:fldChar w:fldCharType="begin"/>
        </w:r>
        <w:r>
          <w:rPr>
            <w:webHidden/>
          </w:rPr>
          <w:instrText xml:space="preserve"> PAGEREF _Toc119059290 \h </w:instrText>
        </w:r>
        <w:r>
          <w:rPr>
            <w:webHidden/>
          </w:rPr>
        </w:r>
        <w:r>
          <w:rPr>
            <w:webHidden/>
          </w:rPr>
          <w:fldChar w:fldCharType="separate"/>
        </w:r>
        <w:r>
          <w:rPr>
            <w:webHidden/>
          </w:rPr>
          <w:t>7</w:t>
        </w:r>
        <w:r>
          <w:rPr>
            <w:webHidden/>
          </w:rPr>
          <w:fldChar w:fldCharType="end"/>
        </w:r>
      </w:hyperlink>
    </w:p>
    <w:p w14:paraId="1DBBA2CA" w14:textId="095391DB" w:rsidR="00E61D91" w:rsidRDefault="00E61D91">
      <w:pPr>
        <w:pStyle w:val="TOC2"/>
        <w:rPr>
          <w:rFonts w:asciiTheme="minorHAnsi" w:eastAsiaTheme="minorEastAsia" w:hAnsiTheme="minorHAnsi" w:cstheme="minorBidi"/>
          <w:b w:val="0"/>
          <w:smallCaps w:val="0"/>
          <w:sz w:val="22"/>
          <w:lang w:val="en-US"/>
        </w:rPr>
      </w:pPr>
      <w:hyperlink w:anchor="_Toc119059291" w:history="1">
        <w:r w:rsidRPr="009C47EE">
          <w:rPr>
            <w:rStyle w:val="Hyperlink"/>
            <w:rFonts w:ascii="Times New Roman" w:hAnsi="Times New Roman"/>
          </w:rPr>
          <w:t>1.3.</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Konvention for tegn</w:t>
        </w:r>
        <w:r>
          <w:rPr>
            <w:webHidden/>
          </w:rPr>
          <w:tab/>
        </w:r>
        <w:r>
          <w:rPr>
            <w:webHidden/>
          </w:rPr>
          <w:fldChar w:fldCharType="begin"/>
        </w:r>
        <w:r>
          <w:rPr>
            <w:webHidden/>
          </w:rPr>
          <w:instrText xml:space="preserve"> PAGEREF _Toc119059291 \h </w:instrText>
        </w:r>
        <w:r>
          <w:rPr>
            <w:webHidden/>
          </w:rPr>
        </w:r>
        <w:r>
          <w:rPr>
            <w:webHidden/>
          </w:rPr>
          <w:fldChar w:fldCharType="separate"/>
        </w:r>
        <w:r>
          <w:rPr>
            <w:webHidden/>
          </w:rPr>
          <w:t>7</w:t>
        </w:r>
        <w:r>
          <w:rPr>
            <w:webHidden/>
          </w:rPr>
          <w:fldChar w:fldCharType="end"/>
        </w:r>
      </w:hyperlink>
    </w:p>
    <w:p w14:paraId="4260D7CE" w14:textId="7A1644AD" w:rsidR="00E61D91" w:rsidRDefault="00E61D91">
      <w:pPr>
        <w:pStyle w:val="TOC2"/>
        <w:rPr>
          <w:rFonts w:asciiTheme="minorHAnsi" w:eastAsiaTheme="minorEastAsia" w:hAnsiTheme="minorHAnsi" w:cstheme="minorBidi"/>
          <w:b w:val="0"/>
          <w:smallCaps w:val="0"/>
          <w:sz w:val="22"/>
          <w:lang w:val="en-US"/>
        </w:rPr>
      </w:pPr>
      <w:hyperlink w:anchor="_Toc119059292" w:history="1">
        <w:r w:rsidRPr="009C47EE">
          <w:rPr>
            <w:rStyle w:val="Hyperlink"/>
            <w:rFonts w:ascii="Times New Roman" w:hAnsi="Times New Roman"/>
          </w:rPr>
          <w:t>DEL II: INSTRUKSER VEDRØRENDE SKEMAER</w:t>
        </w:r>
        <w:r>
          <w:rPr>
            <w:webHidden/>
          </w:rPr>
          <w:tab/>
        </w:r>
        <w:r>
          <w:rPr>
            <w:webHidden/>
          </w:rPr>
          <w:fldChar w:fldCharType="begin"/>
        </w:r>
        <w:r>
          <w:rPr>
            <w:webHidden/>
          </w:rPr>
          <w:instrText xml:space="preserve"> PAGEREF _Toc119059292 \h </w:instrText>
        </w:r>
        <w:r>
          <w:rPr>
            <w:webHidden/>
          </w:rPr>
        </w:r>
        <w:r>
          <w:rPr>
            <w:webHidden/>
          </w:rPr>
          <w:fldChar w:fldCharType="separate"/>
        </w:r>
        <w:r>
          <w:rPr>
            <w:webHidden/>
          </w:rPr>
          <w:t>9</w:t>
        </w:r>
        <w:r>
          <w:rPr>
            <w:webHidden/>
          </w:rPr>
          <w:fldChar w:fldCharType="end"/>
        </w:r>
      </w:hyperlink>
    </w:p>
    <w:p w14:paraId="1843CB10" w14:textId="52B386F0" w:rsidR="00E61D91" w:rsidRDefault="00E61D91">
      <w:pPr>
        <w:pStyle w:val="TOC2"/>
        <w:rPr>
          <w:rFonts w:asciiTheme="minorHAnsi" w:eastAsiaTheme="minorEastAsia" w:hAnsiTheme="minorHAnsi" w:cstheme="minorBidi"/>
          <w:b w:val="0"/>
          <w:smallCaps w:val="0"/>
          <w:sz w:val="22"/>
          <w:lang w:val="en-US"/>
        </w:rPr>
      </w:pPr>
      <w:hyperlink w:anchor="_Toc119059293" w:history="1">
        <w:r w:rsidRPr="009C47EE">
          <w:rPr>
            <w:rStyle w:val="Hyperlink"/>
            <w:rFonts w:ascii="Times New Roman" w:hAnsi="Times New Roman"/>
          </w:rPr>
          <w:t>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Oversigt over kapitalgrundlag ("CA")</w:t>
        </w:r>
        <w:r>
          <w:rPr>
            <w:webHidden/>
          </w:rPr>
          <w:tab/>
        </w:r>
        <w:r>
          <w:rPr>
            <w:webHidden/>
          </w:rPr>
          <w:fldChar w:fldCharType="begin"/>
        </w:r>
        <w:r>
          <w:rPr>
            <w:webHidden/>
          </w:rPr>
          <w:instrText xml:space="preserve"> PAGEREF _Toc119059293 \h </w:instrText>
        </w:r>
        <w:r>
          <w:rPr>
            <w:webHidden/>
          </w:rPr>
        </w:r>
        <w:r>
          <w:rPr>
            <w:webHidden/>
          </w:rPr>
          <w:fldChar w:fldCharType="separate"/>
        </w:r>
        <w:r>
          <w:rPr>
            <w:webHidden/>
          </w:rPr>
          <w:t>9</w:t>
        </w:r>
        <w:r>
          <w:rPr>
            <w:webHidden/>
          </w:rPr>
          <w:fldChar w:fldCharType="end"/>
        </w:r>
      </w:hyperlink>
    </w:p>
    <w:p w14:paraId="7BD1D463" w14:textId="6469A80A" w:rsidR="00E61D91" w:rsidRDefault="00E61D91">
      <w:pPr>
        <w:pStyle w:val="TOC2"/>
        <w:rPr>
          <w:rFonts w:asciiTheme="minorHAnsi" w:eastAsiaTheme="minorEastAsia" w:hAnsiTheme="minorHAnsi" w:cstheme="minorBidi"/>
          <w:b w:val="0"/>
          <w:smallCaps w:val="0"/>
          <w:sz w:val="22"/>
          <w:lang w:val="en-US"/>
        </w:rPr>
      </w:pPr>
      <w:hyperlink w:anchor="_Toc119059294" w:history="1">
        <w:r w:rsidRPr="009C47EE">
          <w:rPr>
            <w:rStyle w:val="Hyperlink"/>
            <w:rFonts w:ascii="Times New Roman" w:hAnsi="Times New Roman"/>
          </w:rPr>
          <w:t>1.1.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_Toc119059294 \h </w:instrText>
        </w:r>
        <w:r>
          <w:rPr>
            <w:webHidden/>
          </w:rPr>
        </w:r>
        <w:r>
          <w:rPr>
            <w:webHidden/>
          </w:rPr>
          <w:fldChar w:fldCharType="separate"/>
        </w:r>
        <w:r>
          <w:rPr>
            <w:webHidden/>
          </w:rPr>
          <w:t>9</w:t>
        </w:r>
        <w:r>
          <w:rPr>
            <w:webHidden/>
          </w:rPr>
          <w:fldChar w:fldCharType="end"/>
        </w:r>
      </w:hyperlink>
    </w:p>
    <w:p w14:paraId="3BCDE748" w14:textId="44B4CE8E" w:rsidR="00E61D91" w:rsidRDefault="00E61D91">
      <w:pPr>
        <w:pStyle w:val="TOC2"/>
        <w:rPr>
          <w:rFonts w:asciiTheme="minorHAnsi" w:eastAsiaTheme="minorEastAsia" w:hAnsiTheme="minorHAnsi" w:cstheme="minorBidi"/>
          <w:b w:val="0"/>
          <w:smallCaps w:val="0"/>
          <w:sz w:val="22"/>
          <w:lang w:val="en-US"/>
        </w:rPr>
      </w:pPr>
      <w:hyperlink w:anchor="_Toc119059295" w:history="1">
        <w:r w:rsidRPr="009C47EE">
          <w:rPr>
            <w:rStyle w:val="Hyperlink"/>
            <w:rFonts w:ascii="Times New Roman" w:hAnsi="Times New Roman"/>
          </w:rPr>
          <w:t>1.2.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01.00 – KAPITALGRUNDLAG (CA1)</w:t>
        </w:r>
        <w:r>
          <w:rPr>
            <w:webHidden/>
          </w:rPr>
          <w:tab/>
        </w:r>
        <w:r>
          <w:rPr>
            <w:webHidden/>
          </w:rPr>
          <w:fldChar w:fldCharType="begin"/>
        </w:r>
        <w:r>
          <w:rPr>
            <w:webHidden/>
          </w:rPr>
          <w:instrText xml:space="preserve"> PAGEREF _Toc119059295 \h </w:instrText>
        </w:r>
        <w:r>
          <w:rPr>
            <w:webHidden/>
          </w:rPr>
        </w:r>
        <w:r>
          <w:rPr>
            <w:webHidden/>
          </w:rPr>
          <w:fldChar w:fldCharType="separate"/>
        </w:r>
        <w:r>
          <w:rPr>
            <w:webHidden/>
          </w:rPr>
          <w:t>10</w:t>
        </w:r>
        <w:r>
          <w:rPr>
            <w:webHidden/>
          </w:rPr>
          <w:fldChar w:fldCharType="end"/>
        </w:r>
      </w:hyperlink>
    </w:p>
    <w:p w14:paraId="652E7ECF" w14:textId="3AC2BB05" w:rsidR="00E61D91" w:rsidRDefault="00E61D91">
      <w:pPr>
        <w:pStyle w:val="TOC2"/>
        <w:rPr>
          <w:rFonts w:asciiTheme="minorHAnsi" w:eastAsiaTheme="minorEastAsia" w:hAnsiTheme="minorHAnsi" w:cstheme="minorBidi"/>
          <w:b w:val="0"/>
          <w:smallCaps w:val="0"/>
          <w:sz w:val="22"/>
          <w:lang w:val="en-US"/>
        </w:rPr>
      </w:pPr>
      <w:hyperlink w:anchor="_Toc119059296" w:history="1">
        <w:r w:rsidRPr="009C47EE">
          <w:rPr>
            <w:rStyle w:val="Hyperlink"/>
            <w:rFonts w:ascii="Times New Roman" w:hAnsi="Times New Roman"/>
          </w:rPr>
          <w:t>1.2.1.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_Toc119059296 \h </w:instrText>
        </w:r>
        <w:r>
          <w:rPr>
            <w:webHidden/>
          </w:rPr>
        </w:r>
        <w:r>
          <w:rPr>
            <w:webHidden/>
          </w:rPr>
          <w:fldChar w:fldCharType="separate"/>
        </w:r>
        <w:r>
          <w:rPr>
            <w:webHidden/>
          </w:rPr>
          <w:t>10</w:t>
        </w:r>
        <w:r>
          <w:rPr>
            <w:webHidden/>
          </w:rPr>
          <w:fldChar w:fldCharType="end"/>
        </w:r>
      </w:hyperlink>
    </w:p>
    <w:p w14:paraId="43C3BA3E" w14:textId="0C1FC561" w:rsidR="00E61D91" w:rsidRDefault="00E61D91">
      <w:pPr>
        <w:pStyle w:val="TOC2"/>
        <w:rPr>
          <w:rFonts w:asciiTheme="minorHAnsi" w:eastAsiaTheme="minorEastAsia" w:hAnsiTheme="minorHAnsi" w:cstheme="minorBidi"/>
          <w:b w:val="0"/>
          <w:smallCaps w:val="0"/>
          <w:sz w:val="22"/>
          <w:lang w:val="en-US"/>
        </w:rPr>
      </w:pPr>
      <w:hyperlink w:anchor="_Toc119059297" w:history="1">
        <w:r w:rsidRPr="009C47EE">
          <w:rPr>
            <w:rStyle w:val="Hyperlink"/>
            <w:rFonts w:ascii="Times New Roman" w:hAnsi="Times New Roman"/>
          </w:rPr>
          <w:t>1.3.</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02.00 – KAPITALGRUNDLAGSKRAV (CA2)</w:t>
        </w:r>
        <w:r>
          <w:rPr>
            <w:webHidden/>
          </w:rPr>
          <w:tab/>
        </w:r>
        <w:r>
          <w:rPr>
            <w:webHidden/>
          </w:rPr>
          <w:fldChar w:fldCharType="begin"/>
        </w:r>
        <w:r>
          <w:rPr>
            <w:webHidden/>
          </w:rPr>
          <w:instrText xml:space="preserve"> PAGEREF _Toc119059297 \h </w:instrText>
        </w:r>
        <w:r>
          <w:rPr>
            <w:webHidden/>
          </w:rPr>
        </w:r>
        <w:r>
          <w:rPr>
            <w:webHidden/>
          </w:rPr>
          <w:fldChar w:fldCharType="separate"/>
        </w:r>
        <w:r>
          <w:rPr>
            <w:webHidden/>
          </w:rPr>
          <w:t>29</w:t>
        </w:r>
        <w:r>
          <w:rPr>
            <w:webHidden/>
          </w:rPr>
          <w:fldChar w:fldCharType="end"/>
        </w:r>
      </w:hyperlink>
    </w:p>
    <w:p w14:paraId="46CCBDB5" w14:textId="6545B4BD" w:rsidR="00E61D91" w:rsidRDefault="00E61D91">
      <w:pPr>
        <w:pStyle w:val="TOC2"/>
        <w:rPr>
          <w:rFonts w:asciiTheme="minorHAnsi" w:eastAsiaTheme="minorEastAsia" w:hAnsiTheme="minorHAnsi" w:cstheme="minorBidi"/>
          <w:b w:val="0"/>
          <w:smallCaps w:val="0"/>
          <w:sz w:val="22"/>
          <w:lang w:val="en-US"/>
        </w:rPr>
      </w:pPr>
      <w:hyperlink w:anchor="_Toc119059298" w:history="1">
        <w:r w:rsidRPr="009C47EE">
          <w:rPr>
            <w:rStyle w:val="Hyperlink"/>
            <w:rFonts w:ascii="Times New Roman" w:hAnsi="Times New Roman"/>
          </w:rPr>
          <w:t>1.3.1.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_Toc119059298 \h </w:instrText>
        </w:r>
        <w:r>
          <w:rPr>
            <w:webHidden/>
          </w:rPr>
        </w:r>
        <w:r>
          <w:rPr>
            <w:webHidden/>
          </w:rPr>
          <w:fldChar w:fldCharType="separate"/>
        </w:r>
        <w:r>
          <w:rPr>
            <w:webHidden/>
          </w:rPr>
          <w:t>29</w:t>
        </w:r>
        <w:r>
          <w:rPr>
            <w:webHidden/>
          </w:rPr>
          <w:fldChar w:fldCharType="end"/>
        </w:r>
      </w:hyperlink>
    </w:p>
    <w:p w14:paraId="379692C9" w14:textId="678172B0" w:rsidR="00E61D91" w:rsidRDefault="00E61D91">
      <w:pPr>
        <w:pStyle w:val="TOC2"/>
        <w:rPr>
          <w:rFonts w:asciiTheme="minorHAnsi" w:eastAsiaTheme="minorEastAsia" w:hAnsiTheme="minorHAnsi" w:cstheme="minorBidi"/>
          <w:b w:val="0"/>
          <w:smallCaps w:val="0"/>
          <w:sz w:val="22"/>
          <w:lang w:val="en-US"/>
        </w:rPr>
      </w:pPr>
      <w:hyperlink w:anchor="_Toc119059299" w:history="1">
        <w:r w:rsidRPr="009C47EE">
          <w:rPr>
            <w:rStyle w:val="Hyperlink"/>
            <w:rFonts w:ascii="Times New Roman" w:hAnsi="Times New Roman"/>
          </w:rPr>
          <w:t>1.4</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03.00 – KAPITALPROCENTER OG KAPITALNIVEAUER (CA3)</w:t>
        </w:r>
        <w:r>
          <w:rPr>
            <w:webHidden/>
          </w:rPr>
          <w:tab/>
        </w:r>
        <w:r>
          <w:rPr>
            <w:webHidden/>
          </w:rPr>
          <w:fldChar w:fldCharType="begin"/>
        </w:r>
        <w:r>
          <w:rPr>
            <w:webHidden/>
          </w:rPr>
          <w:instrText xml:space="preserve"> PAGEREF _Toc119059299 \h </w:instrText>
        </w:r>
        <w:r>
          <w:rPr>
            <w:webHidden/>
          </w:rPr>
        </w:r>
        <w:r>
          <w:rPr>
            <w:webHidden/>
          </w:rPr>
          <w:fldChar w:fldCharType="separate"/>
        </w:r>
        <w:r>
          <w:rPr>
            <w:webHidden/>
          </w:rPr>
          <w:t>36</w:t>
        </w:r>
        <w:r>
          <w:rPr>
            <w:webHidden/>
          </w:rPr>
          <w:fldChar w:fldCharType="end"/>
        </w:r>
      </w:hyperlink>
    </w:p>
    <w:p w14:paraId="2689EE2E" w14:textId="7A54B939" w:rsidR="00E61D91" w:rsidRDefault="00E61D91">
      <w:pPr>
        <w:pStyle w:val="TOC2"/>
        <w:rPr>
          <w:rFonts w:asciiTheme="minorHAnsi" w:eastAsiaTheme="minorEastAsia" w:hAnsiTheme="minorHAnsi" w:cstheme="minorBidi"/>
          <w:b w:val="0"/>
          <w:smallCaps w:val="0"/>
          <w:sz w:val="22"/>
          <w:lang w:val="en-US"/>
        </w:rPr>
      </w:pPr>
      <w:hyperlink w:anchor="_Toc119059300" w:history="1">
        <w:r w:rsidRPr="009C47EE">
          <w:rPr>
            <w:rStyle w:val="Hyperlink"/>
            <w:rFonts w:ascii="Times New Roman" w:hAnsi="Times New Roman"/>
          </w:rPr>
          <w:t>1.4.1.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_Toc119059300 \h </w:instrText>
        </w:r>
        <w:r>
          <w:rPr>
            <w:webHidden/>
          </w:rPr>
        </w:r>
        <w:r>
          <w:rPr>
            <w:webHidden/>
          </w:rPr>
          <w:fldChar w:fldCharType="separate"/>
        </w:r>
        <w:r>
          <w:rPr>
            <w:webHidden/>
          </w:rPr>
          <w:t>36</w:t>
        </w:r>
        <w:r>
          <w:rPr>
            <w:webHidden/>
          </w:rPr>
          <w:fldChar w:fldCharType="end"/>
        </w:r>
      </w:hyperlink>
    </w:p>
    <w:p w14:paraId="1483274A" w14:textId="7AF5114C" w:rsidR="00E61D91" w:rsidRDefault="00E61D91">
      <w:pPr>
        <w:pStyle w:val="TOC2"/>
        <w:rPr>
          <w:rFonts w:asciiTheme="minorHAnsi" w:eastAsiaTheme="minorEastAsia" w:hAnsiTheme="minorHAnsi" w:cstheme="minorBidi"/>
          <w:b w:val="0"/>
          <w:smallCaps w:val="0"/>
          <w:sz w:val="22"/>
          <w:lang w:val="en-US"/>
        </w:rPr>
      </w:pPr>
      <w:hyperlink w:anchor="_Toc119059301" w:history="1">
        <w:r w:rsidRPr="009C47EE">
          <w:rPr>
            <w:rStyle w:val="Hyperlink"/>
            <w:rFonts w:ascii="Times New Roman" w:hAnsi="Times New Roman"/>
          </w:rPr>
          <w:t>1.5.</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04.00 — MEMORANDUMPOSTER (CA4)</w:t>
        </w:r>
        <w:r>
          <w:rPr>
            <w:webHidden/>
          </w:rPr>
          <w:tab/>
        </w:r>
        <w:r>
          <w:rPr>
            <w:webHidden/>
          </w:rPr>
          <w:fldChar w:fldCharType="begin"/>
        </w:r>
        <w:r>
          <w:rPr>
            <w:webHidden/>
          </w:rPr>
          <w:instrText xml:space="preserve"> PAGEREF _Toc119059301 \h </w:instrText>
        </w:r>
        <w:r>
          <w:rPr>
            <w:webHidden/>
          </w:rPr>
        </w:r>
        <w:r>
          <w:rPr>
            <w:webHidden/>
          </w:rPr>
          <w:fldChar w:fldCharType="separate"/>
        </w:r>
        <w:r>
          <w:rPr>
            <w:webHidden/>
          </w:rPr>
          <w:t>40</w:t>
        </w:r>
        <w:r>
          <w:rPr>
            <w:webHidden/>
          </w:rPr>
          <w:fldChar w:fldCharType="end"/>
        </w:r>
      </w:hyperlink>
    </w:p>
    <w:p w14:paraId="06870DCA" w14:textId="5A12C646" w:rsidR="00E61D91" w:rsidRDefault="00E61D91">
      <w:pPr>
        <w:pStyle w:val="TOC2"/>
        <w:rPr>
          <w:rFonts w:asciiTheme="minorHAnsi" w:eastAsiaTheme="minorEastAsia" w:hAnsiTheme="minorHAnsi" w:cstheme="minorBidi"/>
          <w:b w:val="0"/>
          <w:smallCaps w:val="0"/>
          <w:sz w:val="22"/>
          <w:lang w:val="en-US"/>
        </w:rPr>
      </w:pPr>
      <w:hyperlink w:anchor="_Toc119059302" w:history="1">
        <w:r w:rsidRPr="009C47EE">
          <w:rPr>
            <w:rStyle w:val="Hyperlink"/>
            <w:rFonts w:ascii="Times New Roman" w:hAnsi="Times New Roman"/>
          </w:rPr>
          <w:t>1.5.1.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_Toc119059302 \h </w:instrText>
        </w:r>
        <w:r>
          <w:rPr>
            <w:webHidden/>
          </w:rPr>
        </w:r>
        <w:r>
          <w:rPr>
            <w:webHidden/>
          </w:rPr>
          <w:fldChar w:fldCharType="separate"/>
        </w:r>
        <w:r>
          <w:rPr>
            <w:webHidden/>
          </w:rPr>
          <w:t>40</w:t>
        </w:r>
        <w:r>
          <w:rPr>
            <w:webHidden/>
          </w:rPr>
          <w:fldChar w:fldCharType="end"/>
        </w:r>
      </w:hyperlink>
    </w:p>
    <w:p w14:paraId="0628B1F0" w14:textId="722F0A33" w:rsidR="00E61D91" w:rsidRDefault="00E61D91">
      <w:pPr>
        <w:pStyle w:val="TOC2"/>
        <w:rPr>
          <w:rFonts w:asciiTheme="minorHAnsi" w:eastAsiaTheme="minorEastAsia" w:hAnsiTheme="minorHAnsi" w:cstheme="minorBidi"/>
          <w:b w:val="0"/>
          <w:smallCaps w:val="0"/>
          <w:sz w:val="22"/>
          <w:lang w:val="en-US"/>
        </w:rPr>
      </w:pPr>
      <w:hyperlink w:anchor="_Toc119059303" w:history="1">
        <w:r w:rsidRPr="009C47EE">
          <w:rPr>
            <w:rStyle w:val="Hyperlink"/>
            <w:rFonts w:ascii="Times New Roman" w:hAnsi="Times New Roman"/>
          </w:rPr>
          <w:t>1.6</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OVERGANGSBESTEMMELSER og INSTRUMENTER OMFATTER AF OVERGANGSBESTEMMELSER: INSTRUMENTER, DER IKKE UDGØR STATSSTØTTE (CA5)</w:t>
        </w:r>
        <w:r>
          <w:rPr>
            <w:webHidden/>
          </w:rPr>
          <w:tab/>
        </w:r>
        <w:r>
          <w:rPr>
            <w:webHidden/>
          </w:rPr>
          <w:fldChar w:fldCharType="begin"/>
        </w:r>
        <w:r>
          <w:rPr>
            <w:webHidden/>
          </w:rPr>
          <w:instrText xml:space="preserve"> PAGEREF _Toc119059303 \h </w:instrText>
        </w:r>
        <w:r>
          <w:rPr>
            <w:webHidden/>
          </w:rPr>
        </w:r>
        <w:r>
          <w:rPr>
            <w:webHidden/>
          </w:rPr>
          <w:fldChar w:fldCharType="separate"/>
        </w:r>
        <w:r>
          <w:rPr>
            <w:webHidden/>
          </w:rPr>
          <w:t>58</w:t>
        </w:r>
        <w:r>
          <w:rPr>
            <w:webHidden/>
          </w:rPr>
          <w:fldChar w:fldCharType="end"/>
        </w:r>
      </w:hyperlink>
    </w:p>
    <w:p w14:paraId="623EF676" w14:textId="086BA83C" w:rsidR="00E61D91" w:rsidRDefault="00E61D91">
      <w:pPr>
        <w:pStyle w:val="TOC2"/>
        <w:rPr>
          <w:rFonts w:asciiTheme="minorHAnsi" w:eastAsiaTheme="minorEastAsia" w:hAnsiTheme="minorHAnsi" w:cstheme="minorBidi"/>
          <w:b w:val="0"/>
          <w:smallCaps w:val="0"/>
          <w:sz w:val="22"/>
          <w:lang w:val="en-US"/>
        </w:rPr>
      </w:pPr>
      <w:hyperlink w:anchor="_Toc119059304" w:history="1">
        <w:r w:rsidRPr="009C47EE">
          <w:rPr>
            <w:rStyle w:val="Hyperlink"/>
            <w:rFonts w:ascii="Times New Roman" w:hAnsi="Times New Roman"/>
          </w:rPr>
          <w:t>1.6.1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_Toc119059304 \h </w:instrText>
        </w:r>
        <w:r>
          <w:rPr>
            <w:webHidden/>
          </w:rPr>
        </w:r>
        <w:r>
          <w:rPr>
            <w:webHidden/>
          </w:rPr>
          <w:fldChar w:fldCharType="separate"/>
        </w:r>
        <w:r>
          <w:rPr>
            <w:webHidden/>
          </w:rPr>
          <w:t>58</w:t>
        </w:r>
        <w:r>
          <w:rPr>
            <w:webHidden/>
          </w:rPr>
          <w:fldChar w:fldCharType="end"/>
        </w:r>
      </w:hyperlink>
    </w:p>
    <w:p w14:paraId="24820880" w14:textId="0BCFFCA6" w:rsidR="00E61D91" w:rsidRDefault="00E61D91">
      <w:pPr>
        <w:pStyle w:val="TOC2"/>
        <w:rPr>
          <w:rFonts w:asciiTheme="minorHAnsi" w:eastAsiaTheme="minorEastAsia" w:hAnsiTheme="minorHAnsi" w:cstheme="minorBidi"/>
          <w:b w:val="0"/>
          <w:smallCaps w:val="0"/>
          <w:sz w:val="22"/>
          <w:lang w:val="en-US"/>
        </w:rPr>
      </w:pPr>
      <w:hyperlink w:anchor="_Toc119059305" w:history="1">
        <w:r w:rsidRPr="009C47EE">
          <w:rPr>
            <w:rStyle w:val="Hyperlink"/>
            <w:rFonts w:ascii="Times New Roman" w:hAnsi="Times New Roman"/>
          </w:rPr>
          <w:t>1.6.2.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05.01 – OVERGANGSBESTEMMELSER (CA5.1)</w:t>
        </w:r>
        <w:r>
          <w:rPr>
            <w:webHidden/>
          </w:rPr>
          <w:tab/>
        </w:r>
        <w:r>
          <w:rPr>
            <w:webHidden/>
          </w:rPr>
          <w:fldChar w:fldCharType="begin"/>
        </w:r>
        <w:r>
          <w:rPr>
            <w:webHidden/>
          </w:rPr>
          <w:instrText xml:space="preserve"> PAGEREF _Toc119059305 \h </w:instrText>
        </w:r>
        <w:r>
          <w:rPr>
            <w:webHidden/>
          </w:rPr>
        </w:r>
        <w:r>
          <w:rPr>
            <w:webHidden/>
          </w:rPr>
          <w:fldChar w:fldCharType="separate"/>
        </w:r>
        <w:r>
          <w:rPr>
            <w:webHidden/>
          </w:rPr>
          <w:t>59</w:t>
        </w:r>
        <w:r>
          <w:rPr>
            <w:webHidden/>
          </w:rPr>
          <w:fldChar w:fldCharType="end"/>
        </w:r>
      </w:hyperlink>
    </w:p>
    <w:p w14:paraId="2B8CE51A" w14:textId="6071F24E" w:rsidR="00E61D91" w:rsidRDefault="00E61D91">
      <w:pPr>
        <w:pStyle w:val="TOC2"/>
        <w:rPr>
          <w:rFonts w:asciiTheme="minorHAnsi" w:eastAsiaTheme="minorEastAsia" w:hAnsiTheme="minorHAnsi" w:cstheme="minorBidi"/>
          <w:b w:val="0"/>
          <w:smallCaps w:val="0"/>
          <w:sz w:val="22"/>
          <w:lang w:val="en-US"/>
        </w:rPr>
      </w:pPr>
      <w:hyperlink w:anchor="_Toc119059306" w:history="1">
        <w:r w:rsidRPr="009C47EE">
          <w:rPr>
            <w:rStyle w:val="Hyperlink"/>
            <w:rFonts w:ascii="Times New Roman" w:hAnsi="Times New Roman"/>
          </w:rPr>
          <w:t>1.6.2.1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_Toc119059306 \h </w:instrText>
        </w:r>
        <w:r>
          <w:rPr>
            <w:webHidden/>
          </w:rPr>
        </w:r>
        <w:r>
          <w:rPr>
            <w:webHidden/>
          </w:rPr>
          <w:fldChar w:fldCharType="separate"/>
        </w:r>
        <w:r>
          <w:rPr>
            <w:webHidden/>
          </w:rPr>
          <w:t>60</w:t>
        </w:r>
        <w:r>
          <w:rPr>
            <w:webHidden/>
          </w:rPr>
          <w:fldChar w:fldCharType="end"/>
        </w:r>
      </w:hyperlink>
    </w:p>
    <w:p w14:paraId="573DDEAD" w14:textId="0B7A1A32" w:rsidR="00E61D91" w:rsidRDefault="00E61D91">
      <w:pPr>
        <w:pStyle w:val="TOC2"/>
        <w:rPr>
          <w:rFonts w:asciiTheme="minorHAnsi" w:eastAsiaTheme="minorEastAsia" w:hAnsiTheme="minorHAnsi" w:cstheme="minorBidi"/>
          <w:b w:val="0"/>
          <w:smallCaps w:val="0"/>
          <w:sz w:val="22"/>
          <w:lang w:val="en-US"/>
        </w:rPr>
      </w:pPr>
      <w:hyperlink w:anchor="_Toc119059307" w:history="1">
        <w:r w:rsidRPr="009C47EE">
          <w:rPr>
            <w:rStyle w:val="Hyperlink"/>
            <w:rFonts w:ascii="Times New Roman" w:hAnsi="Times New Roman"/>
          </w:rPr>
          <w:t>1.6.3</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05.02 – INSTRUMENTER, DER ER OMFATTET AF OVERGANGSBESTEMMELSER: INSTRUMENTER, DER IKKE UDGØR STATSSTØTTE (CA5.2)</w:t>
        </w:r>
        <w:r>
          <w:rPr>
            <w:webHidden/>
          </w:rPr>
          <w:tab/>
        </w:r>
        <w:r>
          <w:rPr>
            <w:webHidden/>
          </w:rPr>
          <w:fldChar w:fldCharType="begin"/>
        </w:r>
        <w:r>
          <w:rPr>
            <w:webHidden/>
          </w:rPr>
          <w:instrText xml:space="preserve"> PAGEREF _Toc119059307 \h </w:instrText>
        </w:r>
        <w:r>
          <w:rPr>
            <w:webHidden/>
          </w:rPr>
        </w:r>
        <w:r>
          <w:rPr>
            <w:webHidden/>
          </w:rPr>
          <w:fldChar w:fldCharType="separate"/>
        </w:r>
        <w:r>
          <w:rPr>
            <w:webHidden/>
          </w:rPr>
          <w:t>64</w:t>
        </w:r>
        <w:r>
          <w:rPr>
            <w:webHidden/>
          </w:rPr>
          <w:fldChar w:fldCharType="end"/>
        </w:r>
      </w:hyperlink>
    </w:p>
    <w:p w14:paraId="7B947094" w14:textId="68485250" w:rsidR="00E61D91" w:rsidRDefault="00E61D91">
      <w:pPr>
        <w:pStyle w:val="TOC2"/>
        <w:rPr>
          <w:rFonts w:asciiTheme="minorHAnsi" w:eastAsiaTheme="minorEastAsia" w:hAnsiTheme="minorHAnsi" w:cstheme="minorBidi"/>
          <w:b w:val="0"/>
          <w:smallCaps w:val="0"/>
          <w:sz w:val="22"/>
          <w:lang w:val="en-US"/>
        </w:rPr>
      </w:pPr>
      <w:hyperlink w:anchor="_Toc119059308" w:history="1">
        <w:r w:rsidRPr="009C47EE">
          <w:rPr>
            <w:rStyle w:val="Hyperlink"/>
            <w:rFonts w:ascii="Times New Roman" w:hAnsi="Times New Roman"/>
          </w:rPr>
          <w:t>1.6.3.1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_Toc119059308 \h </w:instrText>
        </w:r>
        <w:r>
          <w:rPr>
            <w:webHidden/>
          </w:rPr>
        </w:r>
        <w:r>
          <w:rPr>
            <w:webHidden/>
          </w:rPr>
          <w:fldChar w:fldCharType="separate"/>
        </w:r>
        <w:r>
          <w:rPr>
            <w:webHidden/>
          </w:rPr>
          <w:t>65</w:t>
        </w:r>
        <w:r>
          <w:rPr>
            <w:webHidden/>
          </w:rPr>
          <w:fldChar w:fldCharType="end"/>
        </w:r>
      </w:hyperlink>
    </w:p>
    <w:p w14:paraId="08AFE6E3" w14:textId="623B06F6" w:rsidR="00E61D91" w:rsidRDefault="00E61D91">
      <w:pPr>
        <w:pStyle w:val="TOC2"/>
        <w:rPr>
          <w:rFonts w:asciiTheme="minorHAnsi" w:eastAsiaTheme="minorEastAsia" w:hAnsiTheme="minorHAnsi" w:cstheme="minorBidi"/>
          <w:b w:val="0"/>
          <w:smallCaps w:val="0"/>
          <w:sz w:val="22"/>
          <w:lang w:val="en-US"/>
        </w:rPr>
      </w:pPr>
      <w:hyperlink w:anchor="_Toc119059309" w:history="1">
        <w:r w:rsidRPr="009C47EE">
          <w:rPr>
            <w:rStyle w:val="Hyperlink"/>
            <w:rFonts w:ascii="Times New Roman" w:hAnsi="Times New Roman"/>
          </w:rPr>
          <w:t>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KONCERNSOLVENS: OPLYSNINGER OM TILKNYTTEDE SELSKABER (GS)</w:t>
        </w:r>
        <w:r>
          <w:rPr>
            <w:webHidden/>
          </w:rPr>
          <w:tab/>
        </w:r>
        <w:r>
          <w:rPr>
            <w:webHidden/>
          </w:rPr>
          <w:fldChar w:fldCharType="begin"/>
        </w:r>
        <w:r>
          <w:rPr>
            <w:webHidden/>
          </w:rPr>
          <w:instrText xml:space="preserve"> PAGEREF _Toc119059309 \h </w:instrText>
        </w:r>
        <w:r>
          <w:rPr>
            <w:webHidden/>
          </w:rPr>
        </w:r>
        <w:r>
          <w:rPr>
            <w:webHidden/>
          </w:rPr>
          <w:fldChar w:fldCharType="separate"/>
        </w:r>
        <w:r>
          <w:rPr>
            <w:webHidden/>
          </w:rPr>
          <w:t>68</w:t>
        </w:r>
        <w:r>
          <w:rPr>
            <w:webHidden/>
          </w:rPr>
          <w:fldChar w:fldCharType="end"/>
        </w:r>
      </w:hyperlink>
    </w:p>
    <w:p w14:paraId="5F395586" w14:textId="4F785207" w:rsidR="00E61D91" w:rsidRDefault="00E61D91">
      <w:pPr>
        <w:pStyle w:val="TOC2"/>
        <w:rPr>
          <w:rFonts w:asciiTheme="minorHAnsi" w:eastAsiaTheme="minorEastAsia" w:hAnsiTheme="minorHAnsi" w:cstheme="minorBidi"/>
          <w:b w:val="0"/>
          <w:smallCaps w:val="0"/>
          <w:sz w:val="22"/>
          <w:lang w:val="en-US"/>
        </w:rPr>
      </w:pPr>
      <w:hyperlink w:anchor="_Toc119059310" w:history="1">
        <w:r w:rsidRPr="009C47EE">
          <w:rPr>
            <w:rStyle w:val="Hyperlink"/>
            <w:rFonts w:ascii="Times New Roman" w:hAnsi="Times New Roman"/>
          </w:rPr>
          <w:t>2.1.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_Toc119059310 \h </w:instrText>
        </w:r>
        <w:r>
          <w:rPr>
            <w:webHidden/>
          </w:rPr>
        </w:r>
        <w:r>
          <w:rPr>
            <w:webHidden/>
          </w:rPr>
          <w:fldChar w:fldCharType="separate"/>
        </w:r>
        <w:r>
          <w:rPr>
            <w:webHidden/>
          </w:rPr>
          <w:t>68</w:t>
        </w:r>
        <w:r>
          <w:rPr>
            <w:webHidden/>
          </w:rPr>
          <w:fldChar w:fldCharType="end"/>
        </w:r>
      </w:hyperlink>
    </w:p>
    <w:p w14:paraId="3592E553" w14:textId="20C85286" w:rsidR="00E61D91" w:rsidRDefault="00E61D91">
      <w:pPr>
        <w:pStyle w:val="TOC2"/>
        <w:rPr>
          <w:rFonts w:asciiTheme="minorHAnsi" w:eastAsiaTheme="minorEastAsia" w:hAnsiTheme="minorHAnsi" w:cstheme="minorBidi"/>
          <w:b w:val="0"/>
          <w:smallCaps w:val="0"/>
          <w:sz w:val="22"/>
          <w:lang w:val="en-US"/>
        </w:rPr>
      </w:pPr>
      <w:hyperlink w:anchor="_Toc119059311" w:history="1">
        <w:r w:rsidRPr="009C47EE">
          <w:rPr>
            <w:rStyle w:val="Hyperlink"/>
            <w:rFonts w:ascii="Times New Roman" w:hAnsi="Times New Roman"/>
          </w:rPr>
          <w:t>2.2.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Detaljerede oplysninger om koncernsolvens</w:t>
        </w:r>
        <w:r>
          <w:rPr>
            <w:webHidden/>
          </w:rPr>
          <w:tab/>
        </w:r>
        <w:r>
          <w:rPr>
            <w:webHidden/>
          </w:rPr>
          <w:fldChar w:fldCharType="begin"/>
        </w:r>
        <w:r>
          <w:rPr>
            <w:webHidden/>
          </w:rPr>
          <w:instrText xml:space="preserve"> PAGEREF _Toc119059311 \h </w:instrText>
        </w:r>
        <w:r>
          <w:rPr>
            <w:webHidden/>
          </w:rPr>
        </w:r>
        <w:r>
          <w:rPr>
            <w:webHidden/>
          </w:rPr>
          <w:fldChar w:fldCharType="separate"/>
        </w:r>
        <w:r>
          <w:rPr>
            <w:webHidden/>
          </w:rPr>
          <w:t>68</w:t>
        </w:r>
        <w:r>
          <w:rPr>
            <w:webHidden/>
          </w:rPr>
          <w:fldChar w:fldCharType="end"/>
        </w:r>
      </w:hyperlink>
    </w:p>
    <w:p w14:paraId="5F746D5A" w14:textId="1E73DB3E" w:rsidR="00E61D91" w:rsidRDefault="00E61D91">
      <w:pPr>
        <w:pStyle w:val="TOC2"/>
        <w:rPr>
          <w:rFonts w:asciiTheme="minorHAnsi" w:eastAsiaTheme="minorEastAsia" w:hAnsiTheme="minorHAnsi" w:cstheme="minorBidi"/>
          <w:b w:val="0"/>
          <w:smallCaps w:val="0"/>
          <w:sz w:val="22"/>
          <w:lang w:val="en-US"/>
        </w:rPr>
      </w:pPr>
      <w:hyperlink w:anchor="_Toc119059312" w:history="1">
        <w:r w:rsidRPr="009C47EE">
          <w:rPr>
            <w:rStyle w:val="Hyperlink"/>
            <w:rFonts w:ascii="Times New Roman" w:hAnsi="Times New Roman"/>
          </w:rPr>
          <w:t>2.3.</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Oplysninger om de individuelle enheders bidrag til koncernsolvensen</w:t>
        </w:r>
        <w:r>
          <w:rPr>
            <w:webHidden/>
          </w:rPr>
          <w:tab/>
        </w:r>
        <w:r>
          <w:rPr>
            <w:webHidden/>
          </w:rPr>
          <w:fldChar w:fldCharType="begin"/>
        </w:r>
        <w:r>
          <w:rPr>
            <w:webHidden/>
          </w:rPr>
          <w:instrText xml:space="preserve"> PAGEREF _Toc119059312 \h </w:instrText>
        </w:r>
        <w:r>
          <w:rPr>
            <w:webHidden/>
          </w:rPr>
        </w:r>
        <w:r>
          <w:rPr>
            <w:webHidden/>
          </w:rPr>
          <w:fldChar w:fldCharType="separate"/>
        </w:r>
        <w:r>
          <w:rPr>
            <w:webHidden/>
          </w:rPr>
          <w:t>69</w:t>
        </w:r>
        <w:r>
          <w:rPr>
            <w:webHidden/>
          </w:rPr>
          <w:fldChar w:fldCharType="end"/>
        </w:r>
      </w:hyperlink>
    </w:p>
    <w:p w14:paraId="10940B7C" w14:textId="208970EC" w:rsidR="00E61D91" w:rsidRDefault="00E61D91">
      <w:pPr>
        <w:pStyle w:val="TOC2"/>
        <w:rPr>
          <w:rFonts w:asciiTheme="minorHAnsi" w:eastAsiaTheme="minorEastAsia" w:hAnsiTheme="minorHAnsi" w:cstheme="minorBidi"/>
          <w:b w:val="0"/>
          <w:smallCaps w:val="0"/>
          <w:sz w:val="22"/>
          <w:lang w:val="en-US"/>
        </w:rPr>
      </w:pPr>
      <w:hyperlink w:anchor="_Toc119059313" w:history="1">
        <w:r w:rsidRPr="009C47EE">
          <w:rPr>
            <w:rStyle w:val="Hyperlink"/>
            <w:rFonts w:ascii="Times New Roman" w:hAnsi="Times New Roman"/>
          </w:rPr>
          <w:t>2.4.</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06.01 – KONCERNSOLVENS: OPLYSNINGER OM TILKNYTTEDE SELSKABER — I ALT (GS I ALT)</w:t>
        </w:r>
        <w:r>
          <w:rPr>
            <w:webHidden/>
          </w:rPr>
          <w:tab/>
        </w:r>
        <w:r>
          <w:rPr>
            <w:webHidden/>
          </w:rPr>
          <w:fldChar w:fldCharType="begin"/>
        </w:r>
        <w:r>
          <w:rPr>
            <w:webHidden/>
          </w:rPr>
          <w:instrText xml:space="preserve"> PAGEREF _Toc119059313 \h </w:instrText>
        </w:r>
        <w:r>
          <w:rPr>
            <w:webHidden/>
          </w:rPr>
        </w:r>
        <w:r>
          <w:rPr>
            <w:webHidden/>
          </w:rPr>
          <w:fldChar w:fldCharType="separate"/>
        </w:r>
        <w:r>
          <w:rPr>
            <w:webHidden/>
          </w:rPr>
          <w:t>70</w:t>
        </w:r>
        <w:r>
          <w:rPr>
            <w:webHidden/>
          </w:rPr>
          <w:fldChar w:fldCharType="end"/>
        </w:r>
      </w:hyperlink>
    </w:p>
    <w:p w14:paraId="1A895C35" w14:textId="55359A65" w:rsidR="00E61D91" w:rsidRDefault="00E61D91">
      <w:pPr>
        <w:pStyle w:val="TOC2"/>
        <w:rPr>
          <w:rFonts w:asciiTheme="minorHAnsi" w:eastAsiaTheme="minorEastAsia" w:hAnsiTheme="minorHAnsi" w:cstheme="minorBidi"/>
          <w:b w:val="0"/>
          <w:smallCaps w:val="0"/>
          <w:sz w:val="22"/>
          <w:lang w:val="en-US"/>
        </w:rPr>
      </w:pPr>
      <w:hyperlink w:anchor="_Toc119059314" w:history="1">
        <w:r w:rsidRPr="009C47EE">
          <w:rPr>
            <w:rStyle w:val="Hyperlink"/>
            <w:rFonts w:ascii="Times New Roman" w:hAnsi="Times New Roman"/>
          </w:rPr>
          <w:t>2.5.</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06.02 – KONCERNSOLVENS: OPLYSNINGER OM TILKNYTTEDE SELSKABER (GS)</w:t>
        </w:r>
        <w:r>
          <w:rPr>
            <w:webHidden/>
          </w:rPr>
          <w:tab/>
        </w:r>
        <w:r>
          <w:rPr>
            <w:webHidden/>
          </w:rPr>
          <w:fldChar w:fldCharType="begin"/>
        </w:r>
        <w:r>
          <w:rPr>
            <w:webHidden/>
          </w:rPr>
          <w:instrText xml:space="preserve"> PAGEREF _Toc119059314 \h </w:instrText>
        </w:r>
        <w:r>
          <w:rPr>
            <w:webHidden/>
          </w:rPr>
        </w:r>
        <w:r>
          <w:rPr>
            <w:webHidden/>
          </w:rPr>
          <w:fldChar w:fldCharType="separate"/>
        </w:r>
        <w:r>
          <w:rPr>
            <w:webHidden/>
          </w:rPr>
          <w:t>70</w:t>
        </w:r>
        <w:r>
          <w:rPr>
            <w:webHidden/>
          </w:rPr>
          <w:fldChar w:fldCharType="end"/>
        </w:r>
      </w:hyperlink>
    </w:p>
    <w:p w14:paraId="22A30DA9" w14:textId="64F32F2D" w:rsidR="00E61D91" w:rsidRDefault="00E61D91">
      <w:pPr>
        <w:pStyle w:val="TOC2"/>
        <w:rPr>
          <w:rFonts w:asciiTheme="minorHAnsi" w:eastAsiaTheme="minorEastAsia" w:hAnsiTheme="minorHAnsi" w:cstheme="minorBidi"/>
          <w:b w:val="0"/>
          <w:smallCaps w:val="0"/>
          <w:sz w:val="22"/>
          <w:lang w:val="en-US"/>
        </w:rPr>
      </w:pPr>
      <w:hyperlink w:anchor="_Toc119059315" w:history="1">
        <w:r w:rsidRPr="009C47EE">
          <w:rPr>
            <w:rStyle w:val="Hyperlink"/>
            <w:rFonts w:ascii="Times New Roman" w:hAnsi="Times New Roman"/>
          </w:rPr>
          <w:t>3.</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Skemaer for kreditrisiko</w:t>
        </w:r>
        <w:r>
          <w:rPr>
            <w:webHidden/>
          </w:rPr>
          <w:tab/>
        </w:r>
        <w:r>
          <w:rPr>
            <w:webHidden/>
          </w:rPr>
          <w:fldChar w:fldCharType="begin"/>
        </w:r>
        <w:r>
          <w:rPr>
            <w:webHidden/>
          </w:rPr>
          <w:instrText xml:space="preserve"> PAGEREF _Toc119059315 \h </w:instrText>
        </w:r>
        <w:r>
          <w:rPr>
            <w:webHidden/>
          </w:rPr>
        </w:r>
        <w:r>
          <w:rPr>
            <w:webHidden/>
          </w:rPr>
          <w:fldChar w:fldCharType="separate"/>
        </w:r>
        <w:r>
          <w:rPr>
            <w:webHidden/>
          </w:rPr>
          <w:t>79</w:t>
        </w:r>
        <w:r>
          <w:rPr>
            <w:webHidden/>
          </w:rPr>
          <w:fldChar w:fldCharType="end"/>
        </w:r>
      </w:hyperlink>
    </w:p>
    <w:p w14:paraId="644FCCE8" w14:textId="049F7157" w:rsidR="00E61D91" w:rsidRDefault="00E61D91">
      <w:pPr>
        <w:pStyle w:val="TOC2"/>
        <w:rPr>
          <w:rFonts w:asciiTheme="minorHAnsi" w:eastAsiaTheme="minorEastAsia" w:hAnsiTheme="minorHAnsi" w:cstheme="minorBidi"/>
          <w:b w:val="0"/>
          <w:smallCaps w:val="0"/>
          <w:sz w:val="22"/>
          <w:lang w:val="en-US"/>
        </w:rPr>
      </w:pPr>
      <w:hyperlink w:anchor="_Toc119059316" w:history="1">
        <w:r w:rsidRPr="009C47EE">
          <w:rPr>
            <w:rStyle w:val="Hyperlink"/>
            <w:rFonts w:ascii="Times New Roman" w:hAnsi="Times New Roman"/>
          </w:rPr>
          <w:t>3.1.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_Toc119059316 \h </w:instrText>
        </w:r>
        <w:r>
          <w:rPr>
            <w:webHidden/>
          </w:rPr>
        </w:r>
        <w:r>
          <w:rPr>
            <w:webHidden/>
          </w:rPr>
          <w:fldChar w:fldCharType="separate"/>
        </w:r>
        <w:r>
          <w:rPr>
            <w:webHidden/>
          </w:rPr>
          <w:t>79</w:t>
        </w:r>
        <w:r>
          <w:rPr>
            <w:webHidden/>
          </w:rPr>
          <w:fldChar w:fldCharType="end"/>
        </w:r>
      </w:hyperlink>
    </w:p>
    <w:p w14:paraId="6474C92E" w14:textId="7BAEA4A4" w:rsidR="00E61D91" w:rsidRDefault="00E61D91">
      <w:pPr>
        <w:pStyle w:val="TOC2"/>
        <w:rPr>
          <w:rFonts w:asciiTheme="minorHAnsi" w:eastAsiaTheme="minorEastAsia" w:hAnsiTheme="minorHAnsi" w:cstheme="minorBidi"/>
          <w:b w:val="0"/>
          <w:smallCaps w:val="0"/>
          <w:sz w:val="22"/>
          <w:lang w:val="en-US"/>
        </w:rPr>
      </w:pPr>
      <w:hyperlink w:anchor="_Toc119059317" w:history="1">
        <w:r w:rsidRPr="009C47EE">
          <w:rPr>
            <w:rStyle w:val="Hyperlink"/>
            <w:rFonts w:ascii="Times New Roman" w:hAnsi="Times New Roman"/>
          </w:rPr>
          <w:t>3.1.1.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Indberetning af kreditrisikoreduktionsteknikker med substitutionsvirkning</w:t>
        </w:r>
        <w:r>
          <w:rPr>
            <w:webHidden/>
          </w:rPr>
          <w:tab/>
        </w:r>
        <w:r>
          <w:rPr>
            <w:webHidden/>
          </w:rPr>
          <w:fldChar w:fldCharType="begin"/>
        </w:r>
        <w:r>
          <w:rPr>
            <w:webHidden/>
          </w:rPr>
          <w:instrText xml:space="preserve"> PAGEREF _Toc119059317 \h </w:instrText>
        </w:r>
        <w:r>
          <w:rPr>
            <w:webHidden/>
          </w:rPr>
        </w:r>
        <w:r>
          <w:rPr>
            <w:webHidden/>
          </w:rPr>
          <w:fldChar w:fldCharType="separate"/>
        </w:r>
        <w:r>
          <w:rPr>
            <w:webHidden/>
          </w:rPr>
          <w:t>79</w:t>
        </w:r>
        <w:r>
          <w:rPr>
            <w:webHidden/>
          </w:rPr>
          <w:fldChar w:fldCharType="end"/>
        </w:r>
      </w:hyperlink>
    </w:p>
    <w:p w14:paraId="6F56CEF0" w14:textId="5CF185F0" w:rsidR="00E61D91" w:rsidRDefault="00E61D91">
      <w:pPr>
        <w:pStyle w:val="TOC2"/>
        <w:rPr>
          <w:rFonts w:asciiTheme="minorHAnsi" w:eastAsiaTheme="minorEastAsia" w:hAnsiTheme="minorHAnsi" w:cstheme="minorBidi"/>
          <w:b w:val="0"/>
          <w:smallCaps w:val="0"/>
          <w:sz w:val="22"/>
          <w:lang w:val="en-US"/>
        </w:rPr>
      </w:pPr>
      <w:hyperlink w:anchor="_Toc119059318" w:history="1">
        <w:r w:rsidRPr="009C47EE">
          <w:rPr>
            <w:rStyle w:val="Hyperlink"/>
            <w:rFonts w:ascii="Times New Roman" w:hAnsi="Times New Roman"/>
          </w:rPr>
          <w:t>3.1.2.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Indberetning af modpartsrisiko</w:t>
        </w:r>
        <w:r>
          <w:rPr>
            <w:webHidden/>
          </w:rPr>
          <w:tab/>
        </w:r>
        <w:r>
          <w:rPr>
            <w:webHidden/>
          </w:rPr>
          <w:fldChar w:fldCharType="begin"/>
        </w:r>
        <w:r>
          <w:rPr>
            <w:webHidden/>
          </w:rPr>
          <w:instrText xml:space="preserve"> PAGEREF _Toc119059318 \h </w:instrText>
        </w:r>
        <w:r>
          <w:rPr>
            <w:webHidden/>
          </w:rPr>
        </w:r>
        <w:r>
          <w:rPr>
            <w:webHidden/>
          </w:rPr>
          <w:fldChar w:fldCharType="separate"/>
        </w:r>
        <w:r>
          <w:rPr>
            <w:webHidden/>
          </w:rPr>
          <w:t>79</w:t>
        </w:r>
        <w:r>
          <w:rPr>
            <w:webHidden/>
          </w:rPr>
          <w:fldChar w:fldCharType="end"/>
        </w:r>
      </w:hyperlink>
    </w:p>
    <w:p w14:paraId="704DB63C" w14:textId="79BBEC24" w:rsidR="00E61D91" w:rsidRDefault="00E61D91">
      <w:pPr>
        <w:pStyle w:val="TOC2"/>
        <w:rPr>
          <w:rFonts w:asciiTheme="minorHAnsi" w:eastAsiaTheme="minorEastAsia" w:hAnsiTheme="minorHAnsi" w:cstheme="minorBidi"/>
          <w:b w:val="0"/>
          <w:smallCaps w:val="0"/>
          <w:sz w:val="22"/>
          <w:lang w:val="en-US"/>
        </w:rPr>
      </w:pPr>
      <w:hyperlink w:anchor="_Toc119059319" w:history="1">
        <w:r w:rsidRPr="009C47EE">
          <w:rPr>
            <w:rStyle w:val="Hyperlink"/>
            <w:rFonts w:ascii="Times New Roman" w:hAnsi="Times New Roman"/>
          </w:rPr>
          <w:t>3.2.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07.00 — Kreditrisiko, modpartsrisiko og leveringsrisiko (free deliveries): Kapitalkrav opgjort efter standardmetoden (CR SA)</w:t>
        </w:r>
        <w:r>
          <w:rPr>
            <w:webHidden/>
          </w:rPr>
          <w:tab/>
        </w:r>
        <w:r>
          <w:rPr>
            <w:webHidden/>
          </w:rPr>
          <w:fldChar w:fldCharType="begin"/>
        </w:r>
        <w:r>
          <w:rPr>
            <w:webHidden/>
          </w:rPr>
          <w:instrText xml:space="preserve"> PAGEREF _Toc119059319 \h </w:instrText>
        </w:r>
        <w:r>
          <w:rPr>
            <w:webHidden/>
          </w:rPr>
        </w:r>
        <w:r>
          <w:rPr>
            <w:webHidden/>
          </w:rPr>
          <w:fldChar w:fldCharType="separate"/>
        </w:r>
        <w:r>
          <w:rPr>
            <w:webHidden/>
          </w:rPr>
          <w:t>79</w:t>
        </w:r>
        <w:r>
          <w:rPr>
            <w:webHidden/>
          </w:rPr>
          <w:fldChar w:fldCharType="end"/>
        </w:r>
      </w:hyperlink>
    </w:p>
    <w:p w14:paraId="70550F1C" w14:textId="72CF0A7C" w:rsidR="00E61D91" w:rsidRDefault="00E61D91">
      <w:pPr>
        <w:pStyle w:val="TOC2"/>
        <w:rPr>
          <w:rFonts w:asciiTheme="minorHAnsi" w:eastAsiaTheme="minorEastAsia" w:hAnsiTheme="minorHAnsi" w:cstheme="minorBidi"/>
          <w:b w:val="0"/>
          <w:smallCaps w:val="0"/>
          <w:sz w:val="22"/>
          <w:lang w:val="en-US"/>
        </w:rPr>
      </w:pPr>
      <w:hyperlink w:anchor="_Toc119059320" w:history="1">
        <w:r w:rsidRPr="009C47EE">
          <w:rPr>
            <w:rStyle w:val="Hyperlink"/>
            <w:rFonts w:ascii="Times New Roman" w:hAnsi="Times New Roman"/>
          </w:rPr>
          <w:t>3.2.1.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_Toc119059320 \h </w:instrText>
        </w:r>
        <w:r>
          <w:rPr>
            <w:webHidden/>
          </w:rPr>
        </w:r>
        <w:r>
          <w:rPr>
            <w:webHidden/>
          </w:rPr>
          <w:fldChar w:fldCharType="separate"/>
        </w:r>
        <w:r>
          <w:rPr>
            <w:webHidden/>
          </w:rPr>
          <w:t>79</w:t>
        </w:r>
        <w:r>
          <w:rPr>
            <w:webHidden/>
          </w:rPr>
          <w:fldChar w:fldCharType="end"/>
        </w:r>
      </w:hyperlink>
    </w:p>
    <w:p w14:paraId="0A3193FF" w14:textId="4D72603E" w:rsidR="00E61D91" w:rsidRDefault="00E61D91">
      <w:pPr>
        <w:pStyle w:val="TOC2"/>
        <w:rPr>
          <w:rFonts w:asciiTheme="minorHAnsi" w:eastAsiaTheme="minorEastAsia" w:hAnsiTheme="minorHAnsi" w:cstheme="minorBidi"/>
          <w:b w:val="0"/>
          <w:smallCaps w:val="0"/>
          <w:sz w:val="22"/>
          <w:lang w:val="en-US"/>
        </w:rPr>
      </w:pPr>
      <w:hyperlink w:anchor="_Toc119059321" w:history="1">
        <w:r w:rsidRPr="009C47EE">
          <w:rPr>
            <w:rStyle w:val="Hyperlink"/>
            <w:rFonts w:ascii="Times New Roman" w:hAnsi="Times New Roman"/>
          </w:rPr>
          <w:t>3.2.2.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Anvendelsesområdet for CR SA-skemaet</w:t>
        </w:r>
        <w:r>
          <w:rPr>
            <w:webHidden/>
          </w:rPr>
          <w:tab/>
        </w:r>
        <w:r>
          <w:rPr>
            <w:webHidden/>
          </w:rPr>
          <w:fldChar w:fldCharType="begin"/>
        </w:r>
        <w:r>
          <w:rPr>
            <w:webHidden/>
          </w:rPr>
          <w:instrText xml:space="preserve"> PAGEREF _Toc119059321 \h </w:instrText>
        </w:r>
        <w:r>
          <w:rPr>
            <w:webHidden/>
          </w:rPr>
        </w:r>
        <w:r>
          <w:rPr>
            <w:webHidden/>
          </w:rPr>
          <w:fldChar w:fldCharType="separate"/>
        </w:r>
        <w:r>
          <w:rPr>
            <w:webHidden/>
          </w:rPr>
          <w:t>80</w:t>
        </w:r>
        <w:r>
          <w:rPr>
            <w:webHidden/>
          </w:rPr>
          <w:fldChar w:fldCharType="end"/>
        </w:r>
      </w:hyperlink>
    </w:p>
    <w:p w14:paraId="2B0743A1" w14:textId="4BD4B350" w:rsidR="00E61D91" w:rsidRDefault="00E61D91">
      <w:pPr>
        <w:pStyle w:val="TOC2"/>
        <w:rPr>
          <w:rFonts w:asciiTheme="minorHAnsi" w:eastAsiaTheme="minorEastAsia" w:hAnsiTheme="minorHAnsi" w:cstheme="minorBidi"/>
          <w:b w:val="0"/>
          <w:smallCaps w:val="0"/>
          <w:sz w:val="22"/>
          <w:lang w:val="en-US"/>
        </w:rPr>
      </w:pPr>
      <w:hyperlink w:anchor="_Toc119059322" w:history="1">
        <w:r w:rsidRPr="009C47EE">
          <w:rPr>
            <w:rStyle w:val="Hyperlink"/>
            <w:rFonts w:ascii="Times New Roman" w:hAnsi="Times New Roman"/>
          </w:rPr>
          <w:t>3.2.3.</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 xml:space="preserve"> Fordeling af eksponeringer i eksponeringsklasser efter standardmetoden</w:t>
        </w:r>
        <w:r>
          <w:rPr>
            <w:webHidden/>
          </w:rPr>
          <w:tab/>
        </w:r>
        <w:r>
          <w:rPr>
            <w:webHidden/>
          </w:rPr>
          <w:fldChar w:fldCharType="begin"/>
        </w:r>
        <w:r>
          <w:rPr>
            <w:webHidden/>
          </w:rPr>
          <w:instrText xml:space="preserve"> PAGEREF _Toc119059322 \h </w:instrText>
        </w:r>
        <w:r>
          <w:rPr>
            <w:webHidden/>
          </w:rPr>
        </w:r>
        <w:r>
          <w:rPr>
            <w:webHidden/>
          </w:rPr>
          <w:fldChar w:fldCharType="separate"/>
        </w:r>
        <w:r>
          <w:rPr>
            <w:webHidden/>
          </w:rPr>
          <w:t>81</w:t>
        </w:r>
        <w:r>
          <w:rPr>
            <w:webHidden/>
          </w:rPr>
          <w:fldChar w:fldCharType="end"/>
        </w:r>
      </w:hyperlink>
    </w:p>
    <w:p w14:paraId="50BA2E7C" w14:textId="53E3AAD7" w:rsidR="00E61D91" w:rsidRDefault="00E61D91">
      <w:pPr>
        <w:pStyle w:val="TOC2"/>
        <w:rPr>
          <w:rFonts w:asciiTheme="minorHAnsi" w:eastAsiaTheme="minorEastAsia" w:hAnsiTheme="minorHAnsi" w:cstheme="minorBidi"/>
          <w:b w:val="0"/>
          <w:smallCaps w:val="0"/>
          <w:sz w:val="22"/>
          <w:lang w:val="en-US"/>
        </w:rPr>
      </w:pPr>
      <w:hyperlink w:anchor="_Toc119059323" w:history="1">
        <w:r w:rsidRPr="009C47EE">
          <w:rPr>
            <w:rStyle w:val="Hyperlink"/>
            <w:rFonts w:ascii="Times New Roman" w:hAnsi="Times New Roman"/>
          </w:rPr>
          <w:t>3.2.4.</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Præcisering af anvendelsesområdet for specifikke eksponeringsklasser omhandlet i artikel 112 i forordning (EU) nr. 575/2013</w:t>
        </w:r>
        <w:r>
          <w:rPr>
            <w:webHidden/>
          </w:rPr>
          <w:tab/>
        </w:r>
        <w:r>
          <w:rPr>
            <w:webHidden/>
          </w:rPr>
          <w:fldChar w:fldCharType="begin"/>
        </w:r>
        <w:r>
          <w:rPr>
            <w:webHidden/>
          </w:rPr>
          <w:instrText xml:space="preserve"> PAGEREF _Toc119059323 \h </w:instrText>
        </w:r>
        <w:r>
          <w:rPr>
            <w:webHidden/>
          </w:rPr>
        </w:r>
        <w:r>
          <w:rPr>
            <w:webHidden/>
          </w:rPr>
          <w:fldChar w:fldCharType="separate"/>
        </w:r>
        <w:r>
          <w:rPr>
            <w:webHidden/>
          </w:rPr>
          <w:t>87</w:t>
        </w:r>
        <w:r>
          <w:rPr>
            <w:webHidden/>
          </w:rPr>
          <w:fldChar w:fldCharType="end"/>
        </w:r>
      </w:hyperlink>
    </w:p>
    <w:p w14:paraId="11963154" w14:textId="440DA6AE" w:rsidR="00E61D91" w:rsidRDefault="00E61D91">
      <w:pPr>
        <w:pStyle w:val="TOC2"/>
        <w:rPr>
          <w:rFonts w:asciiTheme="minorHAnsi" w:eastAsiaTheme="minorEastAsia" w:hAnsiTheme="minorHAnsi" w:cstheme="minorBidi"/>
          <w:b w:val="0"/>
          <w:smallCaps w:val="0"/>
          <w:sz w:val="22"/>
          <w:lang w:val="en-US"/>
        </w:rPr>
      </w:pPr>
      <w:hyperlink w:anchor="_Toc119059324" w:history="1">
        <w:r w:rsidRPr="009C47EE">
          <w:rPr>
            <w:rStyle w:val="Hyperlink"/>
            <w:rFonts w:ascii="Times New Roman" w:hAnsi="Times New Roman"/>
          </w:rPr>
          <w:t>3.2.4.1.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Eksponeringsklassen "Institutter"</w:t>
        </w:r>
        <w:r>
          <w:rPr>
            <w:webHidden/>
          </w:rPr>
          <w:tab/>
        </w:r>
        <w:r>
          <w:rPr>
            <w:webHidden/>
          </w:rPr>
          <w:fldChar w:fldCharType="begin"/>
        </w:r>
        <w:r>
          <w:rPr>
            <w:webHidden/>
          </w:rPr>
          <w:instrText xml:space="preserve"> PAGEREF _Toc119059324 \h </w:instrText>
        </w:r>
        <w:r>
          <w:rPr>
            <w:webHidden/>
          </w:rPr>
        </w:r>
        <w:r>
          <w:rPr>
            <w:webHidden/>
          </w:rPr>
          <w:fldChar w:fldCharType="separate"/>
        </w:r>
        <w:r>
          <w:rPr>
            <w:webHidden/>
          </w:rPr>
          <w:t>87</w:t>
        </w:r>
        <w:r>
          <w:rPr>
            <w:webHidden/>
          </w:rPr>
          <w:fldChar w:fldCharType="end"/>
        </w:r>
      </w:hyperlink>
    </w:p>
    <w:p w14:paraId="49EF14AB" w14:textId="59DD6651" w:rsidR="00E61D91" w:rsidRDefault="00E61D91">
      <w:pPr>
        <w:pStyle w:val="TOC2"/>
        <w:rPr>
          <w:rFonts w:asciiTheme="minorHAnsi" w:eastAsiaTheme="minorEastAsia" w:hAnsiTheme="minorHAnsi" w:cstheme="minorBidi"/>
          <w:b w:val="0"/>
          <w:smallCaps w:val="0"/>
          <w:sz w:val="22"/>
          <w:lang w:val="en-US"/>
        </w:rPr>
      </w:pPr>
      <w:hyperlink w:anchor="_Toc119059325" w:history="1">
        <w:r w:rsidRPr="009C47EE">
          <w:rPr>
            <w:rStyle w:val="Hyperlink"/>
            <w:rFonts w:ascii="Times New Roman" w:hAnsi="Times New Roman"/>
          </w:rPr>
          <w:t>3.2.4.2.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Eksponeringsklassen "Særligt dækkede obligationer og særligt dækkede realkreditobligationer"</w:t>
        </w:r>
        <w:r>
          <w:rPr>
            <w:webHidden/>
          </w:rPr>
          <w:tab/>
        </w:r>
        <w:r>
          <w:rPr>
            <w:webHidden/>
          </w:rPr>
          <w:fldChar w:fldCharType="begin"/>
        </w:r>
        <w:r>
          <w:rPr>
            <w:webHidden/>
          </w:rPr>
          <w:instrText xml:space="preserve"> PAGEREF _Toc119059325 \h </w:instrText>
        </w:r>
        <w:r>
          <w:rPr>
            <w:webHidden/>
          </w:rPr>
        </w:r>
        <w:r>
          <w:rPr>
            <w:webHidden/>
          </w:rPr>
          <w:fldChar w:fldCharType="separate"/>
        </w:r>
        <w:r>
          <w:rPr>
            <w:webHidden/>
          </w:rPr>
          <w:t>87</w:t>
        </w:r>
        <w:r>
          <w:rPr>
            <w:webHidden/>
          </w:rPr>
          <w:fldChar w:fldCharType="end"/>
        </w:r>
      </w:hyperlink>
    </w:p>
    <w:p w14:paraId="73F8C3F4" w14:textId="46C92724" w:rsidR="00E61D91" w:rsidRDefault="00E61D91">
      <w:pPr>
        <w:pStyle w:val="TOC2"/>
        <w:rPr>
          <w:rFonts w:asciiTheme="minorHAnsi" w:eastAsiaTheme="minorEastAsia" w:hAnsiTheme="minorHAnsi" w:cstheme="minorBidi"/>
          <w:b w:val="0"/>
          <w:smallCaps w:val="0"/>
          <w:sz w:val="22"/>
          <w:lang w:val="en-US"/>
        </w:rPr>
      </w:pPr>
      <w:hyperlink w:anchor="_Toc119059326" w:history="1">
        <w:r w:rsidRPr="009C47EE">
          <w:rPr>
            <w:rStyle w:val="Hyperlink"/>
            <w:rFonts w:ascii="Times New Roman" w:hAnsi="Times New Roman"/>
          </w:rPr>
          <w:t>3.2.4.3.</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Eksponeringsklassen "CIU'er"</w:t>
        </w:r>
        <w:r>
          <w:rPr>
            <w:webHidden/>
          </w:rPr>
          <w:tab/>
        </w:r>
        <w:r>
          <w:rPr>
            <w:webHidden/>
          </w:rPr>
          <w:fldChar w:fldCharType="begin"/>
        </w:r>
        <w:r>
          <w:rPr>
            <w:webHidden/>
          </w:rPr>
          <w:instrText xml:space="preserve"> PAGEREF _Toc119059326 \h </w:instrText>
        </w:r>
        <w:r>
          <w:rPr>
            <w:webHidden/>
          </w:rPr>
        </w:r>
        <w:r>
          <w:rPr>
            <w:webHidden/>
          </w:rPr>
          <w:fldChar w:fldCharType="separate"/>
        </w:r>
        <w:r>
          <w:rPr>
            <w:webHidden/>
          </w:rPr>
          <w:t>88</w:t>
        </w:r>
        <w:r>
          <w:rPr>
            <w:webHidden/>
          </w:rPr>
          <w:fldChar w:fldCharType="end"/>
        </w:r>
      </w:hyperlink>
    </w:p>
    <w:p w14:paraId="29824DB2" w14:textId="0E231FB6" w:rsidR="00E61D91" w:rsidRDefault="00E61D91">
      <w:pPr>
        <w:pStyle w:val="TOC2"/>
        <w:rPr>
          <w:rFonts w:asciiTheme="minorHAnsi" w:eastAsiaTheme="minorEastAsia" w:hAnsiTheme="minorHAnsi" w:cstheme="minorBidi"/>
          <w:b w:val="0"/>
          <w:smallCaps w:val="0"/>
          <w:sz w:val="22"/>
          <w:lang w:val="en-US"/>
        </w:rPr>
      </w:pPr>
      <w:hyperlink w:anchor="_Toc119059327" w:history="1">
        <w:r w:rsidRPr="009C47EE">
          <w:rPr>
            <w:rStyle w:val="Hyperlink"/>
            <w:rFonts w:ascii="Times New Roman" w:hAnsi="Times New Roman"/>
          </w:rPr>
          <w:t>3.2.5.</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_Toc119059327 \h </w:instrText>
        </w:r>
        <w:r>
          <w:rPr>
            <w:webHidden/>
          </w:rPr>
        </w:r>
        <w:r>
          <w:rPr>
            <w:webHidden/>
          </w:rPr>
          <w:fldChar w:fldCharType="separate"/>
        </w:r>
        <w:r>
          <w:rPr>
            <w:webHidden/>
          </w:rPr>
          <w:t>88</w:t>
        </w:r>
        <w:r>
          <w:rPr>
            <w:webHidden/>
          </w:rPr>
          <w:fldChar w:fldCharType="end"/>
        </w:r>
      </w:hyperlink>
    </w:p>
    <w:p w14:paraId="06EB686E" w14:textId="5FF6960B" w:rsidR="00E61D91" w:rsidRDefault="00E61D91">
      <w:pPr>
        <w:pStyle w:val="TOC2"/>
        <w:rPr>
          <w:rFonts w:asciiTheme="minorHAnsi" w:eastAsiaTheme="minorEastAsia" w:hAnsiTheme="minorHAnsi" w:cstheme="minorBidi"/>
          <w:b w:val="0"/>
          <w:smallCaps w:val="0"/>
          <w:sz w:val="22"/>
          <w:lang w:val="en-US"/>
        </w:rPr>
      </w:pPr>
      <w:hyperlink w:anchor="_Toc119059328" w:history="1">
        <w:r w:rsidRPr="009C47EE">
          <w:rPr>
            <w:rStyle w:val="Hyperlink"/>
            <w:rFonts w:ascii="Times New Roman" w:hAnsi="Times New Roman"/>
          </w:rPr>
          <w:t>3.3.</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Kreditrisiko, modpartsrisiko og leveringsrisiko (free deliveries): Kapitalgrundlagskrav opgjort efter IRB-metoden (CR IRB)</w:t>
        </w:r>
        <w:r>
          <w:rPr>
            <w:webHidden/>
          </w:rPr>
          <w:tab/>
        </w:r>
        <w:r>
          <w:rPr>
            <w:webHidden/>
          </w:rPr>
          <w:fldChar w:fldCharType="begin"/>
        </w:r>
        <w:r>
          <w:rPr>
            <w:webHidden/>
          </w:rPr>
          <w:instrText xml:space="preserve"> PAGEREF _Toc119059328 \h </w:instrText>
        </w:r>
        <w:r>
          <w:rPr>
            <w:webHidden/>
          </w:rPr>
        </w:r>
        <w:r>
          <w:rPr>
            <w:webHidden/>
          </w:rPr>
          <w:fldChar w:fldCharType="separate"/>
        </w:r>
        <w:r>
          <w:rPr>
            <w:webHidden/>
          </w:rPr>
          <w:t>97</w:t>
        </w:r>
        <w:r>
          <w:rPr>
            <w:webHidden/>
          </w:rPr>
          <w:fldChar w:fldCharType="end"/>
        </w:r>
      </w:hyperlink>
    </w:p>
    <w:p w14:paraId="1011F15F" w14:textId="3BB8C1D0" w:rsidR="00E61D91" w:rsidRDefault="00E61D91">
      <w:pPr>
        <w:pStyle w:val="TOC2"/>
        <w:rPr>
          <w:rFonts w:asciiTheme="minorHAnsi" w:eastAsiaTheme="minorEastAsia" w:hAnsiTheme="minorHAnsi" w:cstheme="minorBidi"/>
          <w:b w:val="0"/>
          <w:smallCaps w:val="0"/>
          <w:sz w:val="22"/>
          <w:lang w:val="en-US"/>
        </w:rPr>
      </w:pPr>
      <w:hyperlink w:anchor="_Toc119059329" w:history="1">
        <w:r w:rsidRPr="009C47EE">
          <w:rPr>
            <w:rStyle w:val="Hyperlink"/>
            <w:rFonts w:ascii="Times New Roman" w:hAnsi="Times New Roman"/>
          </w:rPr>
          <w:t>3.3.1.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Anvendelsesområdet for CR IRB-skemaet</w:t>
        </w:r>
        <w:r>
          <w:rPr>
            <w:webHidden/>
          </w:rPr>
          <w:tab/>
        </w:r>
        <w:r>
          <w:rPr>
            <w:webHidden/>
          </w:rPr>
          <w:fldChar w:fldCharType="begin"/>
        </w:r>
        <w:r>
          <w:rPr>
            <w:webHidden/>
          </w:rPr>
          <w:instrText xml:space="preserve"> PAGEREF _Toc119059329 \h </w:instrText>
        </w:r>
        <w:r>
          <w:rPr>
            <w:webHidden/>
          </w:rPr>
        </w:r>
        <w:r>
          <w:rPr>
            <w:webHidden/>
          </w:rPr>
          <w:fldChar w:fldCharType="separate"/>
        </w:r>
        <w:r>
          <w:rPr>
            <w:webHidden/>
          </w:rPr>
          <w:t>97</w:t>
        </w:r>
        <w:r>
          <w:rPr>
            <w:webHidden/>
          </w:rPr>
          <w:fldChar w:fldCharType="end"/>
        </w:r>
      </w:hyperlink>
    </w:p>
    <w:p w14:paraId="1B657FD6" w14:textId="52AC06A5" w:rsidR="00E61D91" w:rsidRDefault="00E61D91">
      <w:pPr>
        <w:pStyle w:val="TOC2"/>
        <w:rPr>
          <w:rFonts w:asciiTheme="minorHAnsi" w:eastAsiaTheme="minorEastAsia" w:hAnsiTheme="minorHAnsi" w:cstheme="minorBidi"/>
          <w:b w:val="0"/>
          <w:smallCaps w:val="0"/>
          <w:sz w:val="22"/>
          <w:lang w:val="en-US"/>
        </w:rPr>
      </w:pPr>
      <w:hyperlink w:anchor="_Toc119059330" w:history="1">
        <w:r w:rsidRPr="009C47EE">
          <w:rPr>
            <w:rStyle w:val="Hyperlink"/>
            <w:rFonts w:ascii="Times New Roman" w:hAnsi="Times New Roman"/>
          </w:rPr>
          <w:t>3.3.2.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Opdeling af CR IRB-skemaet</w:t>
        </w:r>
        <w:r>
          <w:rPr>
            <w:webHidden/>
          </w:rPr>
          <w:tab/>
        </w:r>
        <w:r>
          <w:rPr>
            <w:webHidden/>
          </w:rPr>
          <w:fldChar w:fldCharType="begin"/>
        </w:r>
        <w:r>
          <w:rPr>
            <w:webHidden/>
          </w:rPr>
          <w:instrText xml:space="preserve"> PAGEREF _Toc119059330 \h </w:instrText>
        </w:r>
        <w:r>
          <w:rPr>
            <w:webHidden/>
          </w:rPr>
        </w:r>
        <w:r>
          <w:rPr>
            <w:webHidden/>
          </w:rPr>
          <w:fldChar w:fldCharType="separate"/>
        </w:r>
        <w:r>
          <w:rPr>
            <w:webHidden/>
          </w:rPr>
          <w:t>98</w:t>
        </w:r>
        <w:r>
          <w:rPr>
            <w:webHidden/>
          </w:rPr>
          <w:fldChar w:fldCharType="end"/>
        </w:r>
      </w:hyperlink>
    </w:p>
    <w:p w14:paraId="1FE602AB" w14:textId="20147475" w:rsidR="00E61D91" w:rsidRDefault="00E61D91">
      <w:pPr>
        <w:pStyle w:val="TOC2"/>
        <w:rPr>
          <w:rFonts w:asciiTheme="minorHAnsi" w:eastAsiaTheme="minorEastAsia" w:hAnsiTheme="minorHAnsi" w:cstheme="minorBidi"/>
          <w:b w:val="0"/>
          <w:smallCaps w:val="0"/>
          <w:sz w:val="22"/>
          <w:lang w:val="en-US"/>
        </w:rPr>
      </w:pPr>
      <w:hyperlink w:anchor="_Toc119059331" w:history="1">
        <w:r w:rsidRPr="009C47EE">
          <w:rPr>
            <w:rStyle w:val="Hyperlink"/>
            <w:rFonts w:ascii="Times New Roman" w:hAnsi="Times New Roman"/>
          </w:rPr>
          <w:t>3.3.3.</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08.01 — Kreditrisiko, modpartsrisiko og leveringsrisiko (free deliveries): Kapitalkrav opgjort efter IRB-metoden (CR IRB 1)</w:t>
        </w:r>
        <w:r>
          <w:rPr>
            <w:webHidden/>
          </w:rPr>
          <w:tab/>
        </w:r>
        <w:r>
          <w:rPr>
            <w:webHidden/>
          </w:rPr>
          <w:fldChar w:fldCharType="begin"/>
        </w:r>
        <w:r>
          <w:rPr>
            <w:webHidden/>
          </w:rPr>
          <w:instrText xml:space="preserve"> PAGEREF _Toc119059331 \h </w:instrText>
        </w:r>
        <w:r>
          <w:rPr>
            <w:webHidden/>
          </w:rPr>
        </w:r>
        <w:r>
          <w:rPr>
            <w:webHidden/>
          </w:rPr>
          <w:fldChar w:fldCharType="separate"/>
        </w:r>
        <w:r>
          <w:rPr>
            <w:webHidden/>
          </w:rPr>
          <w:t>99</w:t>
        </w:r>
        <w:r>
          <w:rPr>
            <w:webHidden/>
          </w:rPr>
          <w:fldChar w:fldCharType="end"/>
        </w:r>
      </w:hyperlink>
    </w:p>
    <w:p w14:paraId="5601305D" w14:textId="6FB2ECE9" w:rsidR="00E61D91" w:rsidRDefault="00E61D91">
      <w:pPr>
        <w:pStyle w:val="TOC2"/>
        <w:rPr>
          <w:rFonts w:asciiTheme="minorHAnsi" w:eastAsiaTheme="minorEastAsia" w:hAnsiTheme="minorHAnsi" w:cstheme="minorBidi"/>
          <w:b w:val="0"/>
          <w:smallCaps w:val="0"/>
          <w:sz w:val="22"/>
          <w:lang w:val="en-US"/>
        </w:rPr>
      </w:pPr>
      <w:hyperlink w:anchor="_Toc119059332" w:history="1">
        <w:r w:rsidRPr="009C47EE">
          <w:rPr>
            <w:rStyle w:val="Hyperlink"/>
            <w:rFonts w:ascii="Times New Roman" w:hAnsi="Times New Roman"/>
          </w:rPr>
          <w:t>3.3.3.1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_Toc119059332 \h </w:instrText>
        </w:r>
        <w:r>
          <w:rPr>
            <w:webHidden/>
          </w:rPr>
        </w:r>
        <w:r>
          <w:rPr>
            <w:webHidden/>
          </w:rPr>
          <w:fldChar w:fldCharType="separate"/>
        </w:r>
        <w:r>
          <w:rPr>
            <w:webHidden/>
          </w:rPr>
          <w:t>99</w:t>
        </w:r>
        <w:r>
          <w:rPr>
            <w:webHidden/>
          </w:rPr>
          <w:fldChar w:fldCharType="end"/>
        </w:r>
      </w:hyperlink>
    </w:p>
    <w:p w14:paraId="06A93C40" w14:textId="6C282E67" w:rsidR="00E61D91" w:rsidRDefault="00E61D91">
      <w:pPr>
        <w:pStyle w:val="TOC2"/>
        <w:rPr>
          <w:rFonts w:asciiTheme="minorHAnsi" w:eastAsiaTheme="minorEastAsia" w:hAnsiTheme="minorHAnsi" w:cstheme="minorBidi"/>
          <w:b w:val="0"/>
          <w:smallCaps w:val="0"/>
          <w:sz w:val="22"/>
          <w:lang w:val="en-US"/>
        </w:rPr>
      </w:pPr>
      <w:hyperlink w:anchor="_Toc119059333" w:history="1">
        <w:r w:rsidRPr="009C47EE">
          <w:rPr>
            <w:rStyle w:val="Hyperlink"/>
            <w:rFonts w:ascii="Times New Roman" w:hAnsi="Times New Roman"/>
          </w:rPr>
          <w:t>3.3.4.</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08.02 — Kreditrisiko, modpartsrisiko og leveringsrisiko (free deliveries): Kapitalkrav opgjort efter IRB-metoden: opdeling efter låntagerklasser eller -puljer (CR IRB 2-skemaet)</w:t>
        </w:r>
        <w:r>
          <w:rPr>
            <w:webHidden/>
          </w:rPr>
          <w:tab/>
        </w:r>
        <w:r>
          <w:rPr>
            <w:webHidden/>
          </w:rPr>
          <w:fldChar w:fldCharType="begin"/>
        </w:r>
        <w:r>
          <w:rPr>
            <w:webHidden/>
          </w:rPr>
          <w:instrText xml:space="preserve"> PAGEREF _Toc119059333 \h </w:instrText>
        </w:r>
        <w:r>
          <w:rPr>
            <w:webHidden/>
          </w:rPr>
        </w:r>
        <w:r>
          <w:rPr>
            <w:webHidden/>
          </w:rPr>
          <w:fldChar w:fldCharType="separate"/>
        </w:r>
        <w:r>
          <w:rPr>
            <w:webHidden/>
          </w:rPr>
          <w:t>110</w:t>
        </w:r>
        <w:r>
          <w:rPr>
            <w:webHidden/>
          </w:rPr>
          <w:fldChar w:fldCharType="end"/>
        </w:r>
      </w:hyperlink>
    </w:p>
    <w:p w14:paraId="25791C46" w14:textId="7CCFA774" w:rsidR="00E61D91" w:rsidRDefault="00E61D91">
      <w:pPr>
        <w:pStyle w:val="TOC2"/>
        <w:rPr>
          <w:rFonts w:asciiTheme="minorHAnsi" w:eastAsiaTheme="minorEastAsia" w:hAnsiTheme="minorHAnsi" w:cstheme="minorBidi"/>
          <w:b w:val="0"/>
          <w:smallCaps w:val="0"/>
          <w:sz w:val="22"/>
          <w:lang w:val="en-US"/>
        </w:rPr>
      </w:pPr>
      <w:hyperlink w:anchor="_Toc119059334" w:history="1">
        <w:r w:rsidRPr="009C47EE">
          <w:rPr>
            <w:rStyle w:val="Hyperlink"/>
            <w:rFonts w:ascii="Times New Roman" w:hAnsi="Times New Roman"/>
          </w:rPr>
          <w:t>3.3.1.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08.03 – Kreditrisiko og leveringsrisici (free deliveries): Kapitalkrav opgjort efter IRB-metoden (opdeling efter PD-intervaller (CR IRB 3))</w:t>
        </w:r>
        <w:r>
          <w:rPr>
            <w:webHidden/>
          </w:rPr>
          <w:tab/>
        </w:r>
        <w:r>
          <w:rPr>
            <w:webHidden/>
          </w:rPr>
          <w:fldChar w:fldCharType="begin"/>
        </w:r>
        <w:r>
          <w:rPr>
            <w:webHidden/>
          </w:rPr>
          <w:instrText xml:space="preserve"> PAGEREF _Toc119059334 \h </w:instrText>
        </w:r>
        <w:r>
          <w:rPr>
            <w:webHidden/>
          </w:rPr>
        </w:r>
        <w:r>
          <w:rPr>
            <w:webHidden/>
          </w:rPr>
          <w:fldChar w:fldCharType="separate"/>
        </w:r>
        <w:r>
          <w:rPr>
            <w:webHidden/>
          </w:rPr>
          <w:t>110</w:t>
        </w:r>
        <w:r>
          <w:rPr>
            <w:webHidden/>
          </w:rPr>
          <w:fldChar w:fldCharType="end"/>
        </w:r>
      </w:hyperlink>
    </w:p>
    <w:p w14:paraId="323E65AC" w14:textId="62A3BA65" w:rsidR="00E61D91" w:rsidRDefault="00E61D91">
      <w:pPr>
        <w:pStyle w:val="TOC2"/>
        <w:rPr>
          <w:rFonts w:asciiTheme="minorHAnsi" w:eastAsiaTheme="minorEastAsia" w:hAnsiTheme="minorHAnsi" w:cstheme="minorBidi"/>
          <w:b w:val="0"/>
          <w:smallCaps w:val="0"/>
          <w:sz w:val="22"/>
          <w:lang w:val="en-US"/>
        </w:rPr>
      </w:pPr>
      <w:hyperlink w:anchor="_Toc119059335" w:history="1">
        <w:r w:rsidRPr="009C47EE">
          <w:rPr>
            <w:rStyle w:val="Hyperlink"/>
            <w:rFonts w:ascii="Times New Roman" w:hAnsi="Times New Roman"/>
          </w:rPr>
          <w:t>3.3.1.1.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_Toc119059335 \h </w:instrText>
        </w:r>
        <w:r>
          <w:rPr>
            <w:webHidden/>
          </w:rPr>
        </w:r>
        <w:r>
          <w:rPr>
            <w:webHidden/>
          </w:rPr>
          <w:fldChar w:fldCharType="separate"/>
        </w:r>
        <w:r>
          <w:rPr>
            <w:webHidden/>
          </w:rPr>
          <w:t>110</w:t>
        </w:r>
        <w:r>
          <w:rPr>
            <w:webHidden/>
          </w:rPr>
          <w:fldChar w:fldCharType="end"/>
        </w:r>
      </w:hyperlink>
    </w:p>
    <w:p w14:paraId="1ECF52D3" w14:textId="14642F49" w:rsidR="00E61D91" w:rsidRDefault="00E61D91">
      <w:pPr>
        <w:pStyle w:val="TOC2"/>
        <w:rPr>
          <w:rFonts w:asciiTheme="minorHAnsi" w:eastAsiaTheme="minorEastAsia" w:hAnsiTheme="minorHAnsi" w:cstheme="minorBidi"/>
          <w:b w:val="0"/>
          <w:smallCaps w:val="0"/>
          <w:sz w:val="22"/>
          <w:lang w:val="en-US"/>
        </w:rPr>
      </w:pPr>
      <w:hyperlink w:anchor="_Toc119059336" w:history="1">
        <w:r w:rsidRPr="009C47EE">
          <w:rPr>
            <w:rStyle w:val="Hyperlink"/>
            <w:rFonts w:ascii="Times New Roman" w:hAnsi="Times New Roman"/>
          </w:rPr>
          <w:t>3.3.1.2.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_Toc119059336 \h </w:instrText>
        </w:r>
        <w:r>
          <w:rPr>
            <w:webHidden/>
          </w:rPr>
        </w:r>
        <w:r>
          <w:rPr>
            <w:webHidden/>
          </w:rPr>
          <w:fldChar w:fldCharType="separate"/>
        </w:r>
        <w:r>
          <w:rPr>
            <w:webHidden/>
          </w:rPr>
          <w:t>110</w:t>
        </w:r>
        <w:r>
          <w:rPr>
            <w:webHidden/>
          </w:rPr>
          <w:fldChar w:fldCharType="end"/>
        </w:r>
      </w:hyperlink>
    </w:p>
    <w:p w14:paraId="12A92C3E" w14:textId="0FDF8679" w:rsidR="00E61D91" w:rsidRDefault="00E61D91">
      <w:pPr>
        <w:pStyle w:val="TOC2"/>
        <w:rPr>
          <w:rFonts w:asciiTheme="minorHAnsi" w:eastAsiaTheme="minorEastAsia" w:hAnsiTheme="minorHAnsi" w:cstheme="minorBidi"/>
          <w:b w:val="0"/>
          <w:smallCaps w:val="0"/>
          <w:sz w:val="22"/>
          <w:lang w:val="en-US"/>
        </w:rPr>
      </w:pPr>
      <w:hyperlink w:anchor="_Toc119059337" w:history="1">
        <w:r w:rsidRPr="009C47EE">
          <w:rPr>
            <w:rStyle w:val="Hyperlink"/>
            <w:rFonts w:ascii="Times New Roman" w:hAnsi="Times New Roman"/>
          </w:rPr>
          <w:t>3.3.2.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08.04 – Kreditrisiko og leveringsrisici (free deliveries): Kapitalkrav opgjort efter IRB-metoden (RWEA-flowtabeller (CR IRB 4))</w:t>
        </w:r>
        <w:r>
          <w:rPr>
            <w:webHidden/>
          </w:rPr>
          <w:tab/>
        </w:r>
        <w:r>
          <w:rPr>
            <w:webHidden/>
          </w:rPr>
          <w:fldChar w:fldCharType="begin"/>
        </w:r>
        <w:r>
          <w:rPr>
            <w:webHidden/>
          </w:rPr>
          <w:instrText xml:space="preserve"> PAGEREF _Toc119059337 \h </w:instrText>
        </w:r>
        <w:r>
          <w:rPr>
            <w:webHidden/>
          </w:rPr>
        </w:r>
        <w:r>
          <w:rPr>
            <w:webHidden/>
          </w:rPr>
          <w:fldChar w:fldCharType="separate"/>
        </w:r>
        <w:r>
          <w:rPr>
            <w:webHidden/>
          </w:rPr>
          <w:t>113</w:t>
        </w:r>
        <w:r>
          <w:rPr>
            <w:webHidden/>
          </w:rPr>
          <w:fldChar w:fldCharType="end"/>
        </w:r>
      </w:hyperlink>
    </w:p>
    <w:p w14:paraId="7F12F3DA" w14:textId="58D87673" w:rsidR="00E61D91" w:rsidRDefault="00E61D91">
      <w:pPr>
        <w:pStyle w:val="TOC2"/>
        <w:rPr>
          <w:rFonts w:asciiTheme="minorHAnsi" w:eastAsiaTheme="minorEastAsia" w:hAnsiTheme="minorHAnsi" w:cstheme="minorBidi"/>
          <w:b w:val="0"/>
          <w:smallCaps w:val="0"/>
          <w:sz w:val="22"/>
          <w:lang w:val="en-US"/>
        </w:rPr>
      </w:pPr>
      <w:hyperlink w:anchor="_Toc119059338" w:history="1">
        <w:r w:rsidRPr="009C47EE">
          <w:rPr>
            <w:rStyle w:val="Hyperlink"/>
            <w:rFonts w:ascii="Times New Roman" w:hAnsi="Times New Roman"/>
          </w:rPr>
          <w:t>3.3.2.1.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_Toc119059338 \h </w:instrText>
        </w:r>
        <w:r>
          <w:rPr>
            <w:webHidden/>
          </w:rPr>
        </w:r>
        <w:r>
          <w:rPr>
            <w:webHidden/>
          </w:rPr>
          <w:fldChar w:fldCharType="separate"/>
        </w:r>
        <w:r>
          <w:rPr>
            <w:webHidden/>
          </w:rPr>
          <w:t>113</w:t>
        </w:r>
        <w:r>
          <w:rPr>
            <w:webHidden/>
          </w:rPr>
          <w:fldChar w:fldCharType="end"/>
        </w:r>
      </w:hyperlink>
    </w:p>
    <w:p w14:paraId="1521EE48" w14:textId="269AAD67" w:rsidR="00E61D91" w:rsidRDefault="00E61D91">
      <w:pPr>
        <w:pStyle w:val="TOC2"/>
        <w:rPr>
          <w:rFonts w:asciiTheme="minorHAnsi" w:eastAsiaTheme="minorEastAsia" w:hAnsiTheme="minorHAnsi" w:cstheme="minorBidi"/>
          <w:b w:val="0"/>
          <w:smallCaps w:val="0"/>
          <w:sz w:val="22"/>
          <w:lang w:val="en-US"/>
        </w:rPr>
      </w:pPr>
      <w:hyperlink w:anchor="_Toc119059339" w:history="1">
        <w:r w:rsidRPr="009C47EE">
          <w:rPr>
            <w:rStyle w:val="Hyperlink"/>
            <w:rFonts w:ascii="Times New Roman" w:hAnsi="Times New Roman"/>
          </w:rPr>
          <w:t>3.3.2.2.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_Toc119059339 \h </w:instrText>
        </w:r>
        <w:r>
          <w:rPr>
            <w:webHidden/>
          </w:rPr>
        </w:r>
        <w:r>
          <w:rPr>
            <w:webHidden/>
          </w:rPr>
          <w:fldChar w:fldCharType="separate"/>
        </w:r>
        <w:r>
          <w:rPr>
            <w:webHidden/>
          </w:rPr>
          <w:t>113</w:t>
        </w:r>
        <w:r>
          <w:rPr>
            <w:webHidden/>
          </w:rPr>
          <w:fldChar w:fldCharType="end"/>
        </w:r>
      </w:hyperlink>
    </w:p>
    <w:p w14:paraId="51BEEBD7" w14:textId="7D609704" w:rsidR="00E61D91" w:rsidRDefault="00E61D91">
      <w:pPr>
        <w:pStyle w:val="TOC2"/>
        <w:rPr>
          <w:rFonts w:asciiTheme="minorHAnsi" w:eastAsiaTheme="minorEastAsia" w:hAnsiTheme="minorHAnsi" w:cstheme="minorBidi"/>
          <w:b w:val="0"/>
          <w:smallCaps w:val="0"/>
          <w:sz w:val="22"/>
          <w:lang w:val="en-US"/>
        </w:rPr>
      </w:pPr>
      <w:hyperlink w:anchor="_Toc119059340" w:history="1">
        <w:r w:rsidRPr="009C47EE">
          <w:rPr>
            <w:rStyle w:val="Hyperlink"/>
            <w:rFonts w:ascii="Times New Roman" w:hAnsi="Times New Roman"/>
          </w:rPr>
          <w:t>3.3.3.</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08.05 – Kreditrisiko og leveringsrisici (free deliveries): Kapitalkrav opgjort efter IRB-metoden (backtesting af PD (CR IRB 5))</w:t>
        </w:r>
        <w:r>
          <w:rPr>
            <w:webHidden/>
          </w:rPr>
          <w:tab/>
        </w:r>
        <w:r>
          <w:rPr>
            <w:webHidden/>
          </w:rPr>
          <w:fldChar w:fldCharType="begin"/>
        </w:r>
        <w:r>
          <w:rPr>
            <w:webHidden/>
          </w:rPr>
          <w:instrText xml:space="preserve"> PAGEREF _Toc119059340 \h </w:instrText>
        </w:r>
        <w:r>
          <w:rPr>
            <w:webHidden/>
          </w:rPr>
        </w:r>
        <w:r>
          <w:rPr>
            <w:webHidden/>
          </w:rPr>
          <w:fldChar w:fldCharType="separate"/>
        </w:r>
        <w:r>
          <w:rPr>
            <w:webHidden/>
          </w:rPr>
          <w:t>115</w:t>
        </w:r>
        <w:r>
          <w:rPr>
            <w:webHidden/>
          </w:rPr>
          <w:fldChar w:fldCharType="end"/>
        </w:r>
      </w:hyperlink>
    </w:p>
    <w:p w14:paraId="246A6CFA" w14:textId="7A59AF08" w:rsidR="00E61D91" w:rsidRDefault="00E61D91">
      <w:pPr>
        <w:pStyle w:val="TOC2"/>
        <w:rPr>
          <w:rFonts w:asciiTheme="minorHAnsi" w:eastAsiaTheme="minorEastAsia" w:hAnsiTheme="minorHAnsi" w:cstheme="minorBidi"/>
          <w:b w:val="0"/>
          <w:smallCaps w:val="0"/>
          <w:sz w:val="22"/>
          <w:lang w:val="en-US"/>
        </w:rPr>
      </w:pPr>
      <w:hyperlink w:anchor="_Toc119059341" w:history="1">
        <w:r w:rsidRPr="009C47EE">
          <w:rPr>
            <w:rStyle w:val="Hyperlink"/>
            <w:rFonts w:ascii="Times New Roman" w:hAnsi="Times New Roman"/>
          </w:rPr>
          <w:t>3.3.3.1.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_Toc119059341 \h </w:instrText>
        </w:r>
        <w:r>
          <w:rPr>
            <w:webHidden/>
          </w:rPr>
        </w:r>
        <w:r>
          <w:rPr>
            <w:webHidden/>
          </w:rPr>
          <w:fldChar w:fldCharType="separate"/>
        </w:r>
        <w:r>
          <w:rPr>
            <w:webHidden/>
          </w:rPr>
          <w:t>115</w:t>
        </w:r>
        <w:r>
          <w:rPr>
            <w:webHidden/>
          </w:rPr>
          <w:fldChar w:fldCharType="end"/>
        </w:r>
      </w:hyperlink>
    </w:p>
    <w:p w14:paraId="21E36C71" w14:textId="6C617BEE" w:rsidR="00E61D91" w:rsidRDefault="00E61D91">
      <w:pPr>
        <w:pStyle w:val="TOC2"/>
        <w:rPr>
          <w:rFonts w:asciiTheme="minorHAnsi" w:eastAsiaTheme="minorEastAsia" w:hAnsiTheme="minorHAnsi" w:cstheme="minorBidi"/>
          <w:b w:val="0"/>
          <w:smallCaps w:val="0"/>
          <w:sz w:val="22"/>
          <w:lang w:val="en-US"/>
        </w:rPr>
      </w:pPr>
      <w:hyperlink w:anchor="_Toc119059342" w:history="1">
        <w:r w:rsidRPr="009C47EE">
          <w:rPr>
            <w:rStyle w:val="Hyperlink"/>
            <w:rFonts w:ascii="Times New Roman" w:hAnsi="Times New Roman"/>
          </w:rPr>
          <w:t>3.3.3.2.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_Toc119059342 \h </w:instrText>
        </w:r>
        <w:r>
          <w:rPr>
            <w:webHidden/>
          </w:rPr>
        </w:r>
        <w:r>
          <w:rPr>
            <w:webHidden/>
          </w:rPr>
          <w:fldChar w:fldCharType="separate"/>
        </w:r>
        <w:r>
          <w:rPr>
            <w:webHidden/>
          </w:rPr>
          <w:t>115</w:t>
        </w:r>
        <w:r>
          <w:rPr>
            <w:webHidden/>
          </w:rPr>
          <w:fldChar w:fldCharType="end"/>
        </w:r>
      </w:hyperlink>
    </w:p>
    <w:p w14:paraId="2CC3F8AE" w14:textId="1ECF1EFC" w:rsidR="00E61D91" w:rsidRDefault="00E61D91">
      <w:pPr>
        <w:pStyle w:val="TOC2"/>
        <w:rPr>
          <w:rFonts w:asciiTheme="minorHAnsi" w:eastAsiaTheme="minorEastAsia" w:hAnsiTheme="minorHAnsi" w:cstheme="minorBidi"/>
          <w:b w:val="0"/>
          <w:smallCaps w:val="0"/>
          <w:sz w:val="22"/>
          <w:lang w:val="en-US"/>
        </w:rPr>
      </w:pPr>
      <w:hyperlink w:anchor="_Toc119059343" w:history="1">
        <w:r w:rsidRPr="009C47EE">
          <w:rPr>
            <w:rStyle w:val="Hyperlink"/>
            <w:rFonts w:ascii="Times New Roman" w:hAnsi="Times New Roman"/>
          </w:rPr>
          <w:t>3.3.4.</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08.05.1 – Kreditrisiko og leveringsrisici (free deliveries): Kapitalkrav opgjort efter IRB-metoden: backtesting af PD i overensstemmelse med artikel 180, stk. 1, litra f), i forordning (EU) nr. 575/2013 (CR IRB 5B)</w:t>
        </w:r>
        <w:r>
          <w:rPr>
            <w:webHidden/>
          </w:rPr>
          <w:tab/>
        </w:r>
        <w:r>
          <w:rPr>
            <w:webHidden/>
          </w:rPr>
          <w:fldChar w:fldCharType="begin"/>
        </w:r>
        <w:r>
          <w:rPr>
            <w:webHidden/>
          </w:rPr>
          <w:instrText xml:space="preserve"> PAGEREF _Toc119059343 \h </w:instrText>
        </w:r>
        <w:r>
          <w:rPr>
            <w:webHidden/>
          </w:rPr>
        </w:r>
        <w:r>
          <w:rPr>
            <w:webHidden/>
          </w:rPr>
          <w:fldChar w:fldCharType="separate"/>
        </w:r>
        <w:r>
          <w:rPr>
            <w:webHidden/>
          </w:rPr>
          <w:t>117</w:t>
        </w:r>
        <w:r>
          <w:rPr>
            <w:webHidden/>
          </w:rPr>
          <w:fldChar w:fldCharType="end"/>
        </w:r>
      </w:hyperlink>
    </w:p>
    <w:p w14:paraId="7527E594" w14:textId="68C3E0FB" w:rsidR="00E61D91" w:rsidRDefault="00E61D91">
      <w:pPr>
        <w:pStyle w:val="TOC2"/>
        <w:rPr>
          <w:rFonts w:asciiTheme="minorHAnsi" w:eastAsiaTheme="minorEastAsia" w:hAnsiTheme="minorHAnsi" w:cstheme="minorBidi"/>
          <w:b w:val="0"/>
          <w:smallCaps w:val="0"/>
          <w:sz w:val="22"/>
          <w:lang w:val="en-US"/>
        </w:rPr>
      </w:pPr>
      <w:hyperlink w:anchor="_Toc119059344" w:history="1">
        <w:r w:rsidRPr="009C47EE">
          <w:rPr>
            <w:rStyle w:val="Hyperlink"/>
            <w:rFonts w:ascii="Times New Roman" w:hAnsi="Times New Roman"/>
          </w:rPr>
          <w:t>3.3.4.1.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_Toc119059344 \h </w:instrText>
        </w:r>
        <w:r>
          <w:rPr>
            <w:webHidden/>
          </w:rPr>
        </w:r>
        <w:r>
          <w:rPr>
            <w:webHidden/>
          </w:rPr>
          <w:fldChar w:fldCharType="separate"/>
        </w:r>
        <w:r>
          <w:rPr>
            <w:webHidden/>
          </w:rPr>
          <w:t>117</w:t>
        </w:r>
        <w:r>
          <w:rPr>
            <w:webHidden/>
          </w:rPr>
          <w:fldChar w:fldCharType="end"/>
        </w:r>
      </w:hyperlink>
    </w:p>
    <w:p w14:paraId="169F4BB7" w14:textId="5DCC6E3E" w:rsidR="00E61D91" w:rsidRDefault="00E61D91">
      <w:pPr>
        <w:pStyle w:val="TOC2"/>
        <w:rPr>
          <w:rFonts w:asciiTheme="minorHAnsi" w:eastAsiaTheme="minorEastAsia" w:hAnsiTheme="minorHAnsi" w:cstheme="minorBidi"/>
          <w:b w:val="0"/>
          <w:smallCaps w:val="0"/>
          <w:sz w:val="22"/>
          <w:lang w:val="en-US"/>
        </w:rPr>
      </w:pPr>
      <w:hyperlink w:anchor="_Toc119059345" w:history="1">
        <w:r w:rsidRPr="009C47EE">
          <w:rPr>
            <w:rStyle w:val="Hyperlink"/>
            <w:rFonts w:ascii="Times New Roman" w:hAnsi="Times New Roman"/>
          </w:rPr>
          <w:t>3.3.5.</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08.06 – Kreditrisiko og leveringsrisici (free deliveries): Kapitalkrav opgjort efter IRB-metoden (kategoriseringsmetoden for specialiseret långivning (CR IRB 6))</w:t>
        </w:r>
        <w:r>
          <w:rPr>
            <w:webHidden/>
          </w:rPr>
          <w:tab/>
        </w:r>
        <w:r>
          <w:rPr>
            <w:webHidden/>
          </w:rPr>
          <w:fldChar w:fldCharType="begin"/>
        </w:r>
        <w:r>
          <w:rPr>
            <w:webHidden/>
          </w:rPr>
          <w:instrText xml:space="preserve"> PAGEREF _Toc119059345 \h </w:instrText>
        </w:r>
        <w:r>
          <w:rPr>
            <w:webHidden/>
          </w:rPr>
        </w:r>
        <w:r>
          <w:rPr>
            <w:webHidden/>
          </w:rPr>
          <w:fldChar w:fldCharType="separate"/>
        </w:r>
        <w:r>
          <w:rPr>
            <w:webHidden/>
          </w:rPr>
          <w:t>117</w:t>
        </w:r>
        <w:r>
          <w:rPr>
            <w:webHidden/>
          </w:rPr>
          <w:fldChar w:fldCharType="end"/>
        </w:r>
      </w:hyperlink>
    </w:p>
    <w:p w14:paraId="78286326" w14:textId="365307C7" w:rsidR="00E61D91" w:rsidRDefault="00E61D91">
      <w:pPr>
        <w:pStyle w:val="TOC2"/>
        <w:rPr>
          <w:rFonts w:asciiTheme="minorHAnsi" w:eastAsiaTheme="minorEastAsia" w:hAnsiTheme="minorHAnsi" w:cstheme="minorBidi"/>
          <w:b w:val="0"/>
          <w:smallCaps w:val="0"/>
          <w:sz w:val="22"/>
          <w:lang w:val="en-US"/>
        </w:rPr>
      </w:pPr>
      <w:hyperlink w:anchor="_Toc119059346" w:history="1">
        <w:r w:rsidRPr="009C47EE">
          <w:rPr>
            <w:rStyle w:val="Hyperlink"/>
            <w:rFonts w:ascii="Times New Roman" w:hAnsi="Times New Roman"/>
          </w:rPr>
          <w:t>3.3.5.1.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_Toc119059346 \h </w:instrText>
        </w:r>
        <w:r>
          <w:rPr>
            <w:webHidden/>
          </w:rPr>
        </w:r>
        <w:r>
          <w:rPr>
            <w:webHidden/>
          </w:rPr>
          <w:fldChar w:fldCharType="separate"/>
        </w:r>
        <w:r>
          <w:rPr>
            <w:webHidden/>
          </w:rPr>
          <w:t>117</w:t>
        </w:r>
        <w:r>
          <w:rPr>
            <w:webHidden/>
          </w:rPr>
          <w:fldChar w:fldCharType="end"/>
        </w:r>
      </w:hyperlink>
    </w:p>
    <w:p w14:paraId="4070A76F" w14:textId="292BC938" w:rsidR="00E61D91" w:rsidRDefault="00E61D91">
      <w:pPr>
        <w:pStyle w:val="TOC2"/>
        <w:rPr>
          <w:rFonts w:asciiTheme="minorHAnsi" w:eastAsiaTheme="minorEastAsia" w:hAnsiTheme="minorHAnsi" w:cstheme="minorBidi"/>
          <w:b w:val="0"/>
          <w:smallCaps w:val="0"/>
          <w:sz w:val="22"/>
          <w:lang w:val="en-US"/>
        </w:rPr>
      </w:pPr>
      <w:hyperlink w:anchor="_Toc119059347" w:history="1">
        <w:r w:rsidRPr="009C47EE">
          <w:rPr>
            <w:rStyle w:val="Hyperlink"/>
            <w:rFonts w:ascii="Times New Roman" w:hAnsi="Times New Roman"/>
          </w:rPr>
          <w:t>3.3.5.2.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_Toc119059347 \h </w:instrText>
        </w:r>
        <w:r>
          <w:rPr>
            <w:webHidden/>
          </w:rPr>
        </w:r>
        <w:r>
          <w:rPr>
            <w:webHidden/>
          </w:rPr>
          <w:fldChar w:fldCharType="separate"/>
        </w:r>
        <w:r>
          <w:rPr>
            <w:webHidden/>
          </w:rPr>
          <w:t>118</w:t>
        </w:r>
        <w:r>
          <w:rPr>
            <w:webHidden/>
          </w:rPr>
          <w:fldChar w:fldCharType="end"/>
        </w:r>
      </w:hyperlink>
    </w:p>
    <w:p w14:paraId="3CD42644" w14:textId="36BCEBEF" w:rsidR="00E61D91" w:rsidRDefault="00E61D91">
      <w:pPr>
        <w:pStyle w:val="TOC2"/>
        <w:rPr>
          <w:rFonts w:asciiTheme="minorHAnsi" w:eastAsiaTheme="minorEastAsia" w:hAnsiTheme="minorHAnsi" w:cstheme="minorBidi"/>
          <w:b w:val="0"/>
          <w:smallCaps w:val="0"/>
          <w:sz w:val="22"/>
          <w:lang w:val="en-US"/>
        </w:rPr>
      </w:pPr>
      <w:hyperlink w:anchor="_Toc119059348" w:history="1">
        <w:r w:rsidRPr="009C47EE">
          <w:rPr>
            <w:rStyle w:val="Hyperlink"/>
            <w:rFonts w:ascii="Times New Roman" w:hAnsi="Times New Roman"/>
          </w:rPr>
          <w:t>3.3.6.</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08.07 – Kreditrisiko og leveringsrisici (free deliveries): Kapitalkrav opgjort efter IRB-metoden (anvendelsesområdet for IRB- og SA-metoden (CR IRB 7))</w:t>
        </w:r>
        <w:r>
          <w:rPr>
            <w:webHidden/>
          </w:rPr>
          <w:tab/>
        </w:r>
        <w:r>
          <w:rPr>
            <w:webHidden/>
          </w:rPr>
          <w:fldChar w:fldCharType="begin"/>
        </w:r>
        <w:r>
          <w:rPr>
            <w:webHidden/>
          </w:rPr>
          <w:instrText xml:space="preserve"> PAGEREF _Toc119059348 \h </w:instrText>
        </w:r>
        <w:r>
          <w:rPr>
            <w:webHidden/>
          </w:rPr>
        </w:r>
        <w:r>
          <w:rPr>
            <w:webHidden/>
          </w:rPr>
          <w:fldChar w:fldCharType="separate"/>
        </w:r>
        <w:r>
          <w:rPr>
            <w:webHidden/>
          </w:rPr>
          <w:t>119</w:t>
        </w:r>
        <w:r>
          <w:rPr>
            <w:webHidden/>
          </w:rPr>
          <w:fldChar w:fldCharType="end"/>
        </w:r>
      </w:hyperlink>
    </w:p>
    <w:p w14:paraId="31CCC97C" w14:textId="69CC062A" w:rsidR="00E61D91" w:rsidRDefault="00E61D91">
      <w:pPr>
        <w:pStyle w:val="TOC2"/>
        <w:rPr>
          <w:rFonts w:asciiTheme="minorHAnsi" w:eastAsiaTheme="minorEastAsia" w:hAnsiTheme="minorHAnsi" w:cstheme="minorBidi"/>
          <w:b w:val="0"/>
          <w:smallCaps w:val="0"/>
          <w:sz w:val="22"/>
          <w:lang w:val="en-US"/>
        </w:rPr>
      </w:pPr>
      <w:hyperlink w:anchor="_Toc119059349" w:history="1">
        <w:r w:rsidRPr="009C47EE">
          <w:rPr>
            <w:rStyle w:val="Hyperlink"/>
            <w:rFonts w:ascii="Times New Roman" w:hAnsi="Times New Roman"/>
          </w:rPr>
          <w:t>3.3.6.1.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_Toc119059349 \h </w:instrText>
        </w:r>
        <w:r>
          <w:rPr>
            <w:webHidden/>
          </w:rPr>
        </w:r>
        <w:r>
          <w:rPr>
            <w:webHidden/>
          </w:rPr>
          <w:fldChar w:fldCharType="separate"/>
        </w:r>
        <w:r>
          <w:rPr>
            <w:webHidden/>
          </w:rPr>
          <w:t>119</w:t>
        </w:r>
        <w:r>
          <w:rPr>
            <w:webHidden/>
          </w:rPr>
          <w:fldChar w:fldCharType="end"/>
        </w:r>
      </w:hyperlink>
    </w:p>
    <w:p w14:paraId="185A582A" w14:textId="221C5B04" w:rsidR="00E61D91" w:rsidRDefault="00E61D91">
      <w:pPr>
        <w:pStyle w:val="TOC2"/>
        <w:rPr>
          <w:rFonts w:asciiTheme="minorHAnsi" w:eastAsiaTheme="minorEastAsia" w:hAnsiTheme="minorHAnsi" w:cstheme="minorBidi"/>
          <w:b w:val="0"/>
          <w:smallCaps w:val="0"/>
          <w:sz w:val="22"/>
          <w:lang w:val="en-US"/>
        </w:rPr>
      </w:pPr>
      <w:hyperlink w:anchor="_Toc119059350" w:history="1">
        <w:r w:rsidRPr="009C47EE">
          <w:rPr>
            <w:rStyle w:val="Hyperlink"/>
            <w:rFonts w:ascii="Times New Roman" w:hAnsi="Times New Roman"/>
          </w:rPr>
          <w:t>3.3.6.2.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_Toc119059350 \h </w:instrText>
        </w:r>
        <w:r>
          <w:rPr>
            <w:webHidden/>
          </w:rPr>
        </w:r>
        <w:r>
          <w:rPr>
            <w:webHidden/>
          </w:rPr>
          <w:fldChar w:fldCharType="separate"/>
        </w:r>
        <w:r>
          <w:rPr>
            <w:webHidden/>
          </w:rPr>
          <w:t>119</w:t>
        </w:r>
        <w:r>
          <w:rPr>
            <w:webHidden/>
          </w:rPr>
          <w:fldChar w:fldCharType="end"/>
        </w:r>
      </w:hyperlink>
    </w:p>
    <w:p w14:paraId="5CF50CFC" w14:textId="0745640B" w:rsidR="00E61D91" w:rsidRDefault="00E61D91">
      <w:pPr>
        <w:pStyle w:val="TOC2"/>
        <w:rPr>
          <w:rFonts w:asciiTheme="minorHAnsi" w:eastAsiaTheme="minorEastAsia" w:hAnsiTheme="minorHAnsi" w:cstheme="minorBidi"/>
          <w:b w:val="0"/>
          <w:smallCaps w:val="0"/>
          <w:sz w:val="22"/>
          <w:lang w:val="en-US"/>
        </w:rPr>
      </w:pPr>
      <w:hyperlink w:anchor="_Toc119059351" w:history="1">
        <w:r w:rsidRPr="009C47EE">
          <w:rPr>
            <w:rStyle w:val="Hyperlink"/>
            <w:rFonts w:ascii="Times New Roman" w:hAnsi="Times New Roman"/>
          </w:rPr>
          <w:t>3.4.</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Kreditrisiko, modpartsrisiko og leveringsrisiko (free deliveries): Oplysninger med geografisk opdeling (CR GB)</w:t>
        </w:r>
        <w:r>
          <w:rPr>
            <w:webHidden/>
          </w:rPr>
          <w:tab/>
        </w:r>
        <w:r>
          <w:rPr>
            <w:webHidden/>
          </w:rPr>
          <w:fldChar w:fldCharType="begin"/>
        </w:r>
        <w:r>
          <w:rPr>
            <w:webHidden/>
          </w:rPr>
          <w:instrText xml:space="preserve"> PAGEREF _Toc119059351 \h </w:instrText>
        </w:r>
        <w:r>
          <w:rPr>
            <w:webHidden/>
          </w:rPr>
        </w:r>
        <w:r>
          <w:rPr>
            <w:webHidden/>
          </w:rPr>
          <w:fldChar w:fldCharType="separate"/>
        </w:r>
        <w:r>
          <w:rPr>
            <w:webHidden/>
          </w:rPr>
          <w:t>120</w:t>
        </w:r>
        <w:r>
          <w:rPr>
            <w:webHidden/>
          </w:rPr>
          <w:fldChar w:fldCharType="end"/>
        </w:r>
      </w:hyperlink>
    </w:p>
    <w:p w14:paraId="4000158F" w14:textId="65856BE3" w:rsidR="00E61D91" w:rsidRDefault="00E61D91">
      <w:pPr>
        <w:pStyle w:val="TOC2"/>
        <w:rPr>
          <w:rFonts w:asciiTheme="minorHAnsi" w:eastAsiaTheme="minorEastAsia" w:hAnsiTheme="minorHAnsi" w:cstheme="minorBidi"/>
          <w:b w:val="0"/>
          <w:smallCaps w:val="0"/>
          <w:sz w:val="22"/>
          <w:lang w:val="en-US"/>
        </w:rPr>
      </w:pPr>
      <w:hyperlink w:anchor="_Toc119059352" w:history="1">
        <w:r w:rsidRPr="009C47EE">
          <w:rPr>
            <w:rStyle w:val="Hyperlink"/>
            <w:rFonts w:ascii="Times New Roman" w:hAnsi="Times New Roman"/>
          </w:rPr>
          <w:t>3.4.1.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09.01 – Geografisk opdeling af eksponeringer efter låntagerens hjemsted: Eksponeringer opgjort efter standardmetoden (CR GB 1)</w:t>
        </w:r>
        <w:r>
          <w:rPr>
            <w:webHidden/>
          </w:rPr>
          <w:tab/>
        </w:r>
        <w:r>
          <w:rPr>
            <w:webHidden/>
          </w:rPr>
          <w:fldChar w:fldCharType="begin"/>
        </w:r>
        <w:r>
          <w:rPr>
            <w:webHidden/>
          </w:rPr>
          <w:instrText xml:space="preserve"> PAGEREF _Toc119059352 \h </w:instrText>
        </w:r>
        <w:r>
          <w:rPr>
            <w:webHidden/>
          </w:rPr>
        </w:r>
        <w:r>
          <w:rPr>
            <w:webHidden/>
          </w:rPr>
          <w:fldChar w:fldCharType="separate"/>
        </w:r>
        <w:r>
          <w:rPr>
            <w:webHidden/>
          </w:rPr>
          <w:t>121</w:t>
        </w:r>
        <w:r>
          <w:rPr>
            <w:webHidden/>
          </w:rPr>
          <w:fldChar w:fldCharType="end"/>
        </w:r>
      </w:hyperlink>
    </w:p>
    <w:p w14:paraId="5E47EC02" w14:textId="30B69F5E" w:rsidR="00E61D91" w:rsidRDefault="00E61D91">
      <w:pPr>
        <w:pStyle w:val="TOC2"/>
        <w:rPr>
          <w:rFonts w:asciiTheme="minorHAnsi" w:eastAsiaTheme="minorEastAsia" w:hAnsiTheme="minorHAnsi" w:cstheme="minorBidi"/>
          <w:b w:val="0"/>
          <w:smallCaps w:val="0"/>
          <w:sz w:val="22"/>
          <w:lang w:val="en-US"/>
        </w:rPr>
      </w:pPr>
      <w:hyperlink w:anchor="_Toc119059353" w:history="1">
        <w:r w:rsidRPr="009C47EE">
          <w:rPr>
            <w:rStyle w:val="Hyperlink"/>
            <w:rFonts w:ascii="Times New Roman" w:hAnsi="Times New Roman"/>
          </w:rPr>
          <w:t>3.4.1.1.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_Toc119059353 \h </w:instrText>
        </w:r>
        <w:r>
          <w:rPr>
            <w:webHidden/>
          </w:rPr>
        </w:r>
        <w:r>
          <w:rPr>
            <w:webHidden/>
          </w:rPr>
          <w:fldChar w:fldCharType="separate"/>
        </w:r>
        <w:r>
          <w:rPr>
            <w:webHidden/>
          </w:rPr>
          <w:t>121</w:t>
        </w:r>
        <w:r>
          <w:rPr>
            <w:webHidden/>
          </w:rPr>
          <w:fldChar w:fldCharType="end"/>
        </w:r>
      </w:hyperlink>
    </w:p>
    <w:p w14:paraId="0835F97F" w14:textId="4E1B6660" w:rsidR="00E61D91" w:rsidRDefault="00E61D91">
      <w:pPr>
        <w:pStyle w:val="TOC2"/>
        <w:rPr>
          <w:rFonts w:asciiTheme="minorHAnsi" w:eastAsiaTheme="minorEastAsia" w:hAnsiTheme="minorHAnsi" w:cstheme="minorBidi"/>
          <w:b w:val="0"/>
          <w:smallCaps w:val="0"/>
          <w:sz w:val="22"/>
          <w:lang w:val="en-US"/>
        </w:rPr>
      </w:pPr>
      <w:hyperlink w:anchor="_Toc119059354" w:history="1">
        <w:r w:rsidRPr="009C47EE">
          <w:rPr>
            <w:rStyle w:val="Hyperlink"/>
            <w:rFonts w:ascii="Times New Roman" w:hAnsi="Times New Roman"/>
          </w:rPr>
          <w:t>3.4.2.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09.02 – Geografisk opdeling af eksponeringer efter låntagerens hjemsted: Eksponeringer opgjort efter IRB-metoden (CR GB 2)</w:t>
        </w:r>
        <w:r>
          <w:rPr>
            <w:webHidden/>
          </w:rPr>
          <w:tab/>
        </w:r>
        <w:r>
          <w:rPr>
            <w:webHidden/>
          </w:rPr>
          <w:fldChar w:fldCharType="begin"/>
        </w:r>
        <w:r>
          <w:rPr>
            <w:webHidden/>
          </w:rPr>
          <w:instrText xml:space="preserve"> PAGEREF _Toc119059354 \h </w:instrText>
        </w:r>
        <w:r>
          <w:rPr>
            <w:webHidden/>
          </w:rPr>
        </w:r>
        <w:r>
          <w:rPr>
            <w:webHidden/>
          </w:rPr>
          <w:fldChar w:fldCharType="separate"/>
        </w:r>
        <w:r>
          <w:rPr>
            <w:webHidden/>
          </w:rPr>
          <w:t>124</w:t>
        </w:r>
        <w:r>
          <w:rPr>
            <w:webHidden/>
          </w:rPr>
          <w:fldChar w:fldCharType="end"/>
        </w:r>
      </w:hyperlink>
    </w:p>
    <w:p w14:paraId="19B13EC7" w14:textId="53DC54CD" w:rsidR="00E61D91" w:rsidRDefault="00E61D91">
      <w:pPr>
        <w:pStyle w:val="TOC2"/>
        <w:rPr>
          <w:rFonts w:asciiTheme="minorHAnsi" w:eastAsiaTheme="minorEastAsia" w:hAnsiTheme="minorHAnsi" w:cstheme="minorBidi"/>
          <w:b w:val="0"/>
          <w:smallCaps w:val="0"/>
          <w:sz w:val="22"/>
          <w:lang w:val="en-US"/>
        </w:rPr>
      </w:pPr>
      <w:hyperlink w:anchor="_Toc119059355" w:history="1">
        <w:r w:rsidRPr="009C47EE">
          <w:rPr>
            <w:rStyle w:val="Hyperlink"/>
            <w:rFonts w:ascii="Times New Roman" w:hAnsi="Times New Roman"/>
          </w:rPr>
          <w:t>3.4.2.1.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_Toc119059355 \h </w:instrText>
        </w:r>
        <w:r>
          <w:rPr>
            <w:webHidden/>
          </w:rPr>
        </w:r>
        <w:r>
          <w:rPr>
            <w:webHidden/>
          </w:rPr>
          <w:fldChar w:fldCharType="separate"/>
        </w:r>
        <w:r>
          <w:rPr>
            <w:webHidden/>
          </w:rPr>
          <w:t>124</w:t>
        </w:r>
        <w:r>
          <w:rPr>
            <w:webHidden/>
          </w:rPr>
          <w:fldChar w:fldCharType="end"/>
        </w:r>
      </w:hyperlink>
    </w:p>
    <w:p w14:paraId="3FC21044" w14:textId="2589A1D2" w:rsidR="00E61D91" w:rsidRDefault="00E61D91">
      <w:pPr>
        <w:pStyle w:val="TOC2"/>
        <w:rPr>
          <w:rFonts w:asciiTheme="minorHAnsi" w:eastAsiaTheme="minorEastAsia" w:hAnsiTheme="minorHAnsi" w:cstheme="minorBidi"/>
          <w:b w:val="0"/>
          <w:smallCaps w:val="0"/>
          <w:sz w:val="22"/>
          <w:lang w:val="en-US"/>
        </w:rPr>
      </w:pPr>
      <w:hyperlink w:anchor="_Toc119059356" w:history="1">
        <w:r w:rsidRPr="009C47EE">
          <w:rPr>
            <w:rStyle w:val="Hyperlink"/>
            <w:rFonts w:ascii="Times New Roman" w:hAnsi="Times New Roman"/>
          </w:rPr>
          <w:t>3.4.3.</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09.04 — Opdeling af krediteksponeringer, som er relevante for beregningen af den kontracykliske buffer, efter land og institutspecifik kontracyklisk buffersats (CCB)</w:t>
        </w:r>
        <w:r>
          <w:rPr>
            <w:webHidden/>
          </w:rPr>
          <w:tab/>
        </w:r>
        <w:r>
          <w:rPr>
            <w:webHidden/>
          </w:rPr>
          <w:fldChar w:fldCharType="begin"/>
        </w:r>
        <w:r>
          <w:rPr>
            <w:webHidden/>
          </w:rPr>
          <w:instrText xml:space="preserve"> PAGEREF _Toc119059356 \h </w:instrText>
        </w:r>
        <w:r>
          <w:rPr>
            <w:webHidden/>
          </w:rPr>
        </w:r>
        <w:r>
          <w:rPr>
            <w:webHidden/>
          </w:rPr>
          <w:fldChar w:fldCharType="separate"/>
        </w:r>
        <w:r>
          <w:rPr>
            <w:webHidden/>
          </w:rPr>
          <w:t>127</w:t>
        </w:r>
        <w:r>
          <w:rPr>
            <w:webHidden/>
          </w:rPr>
          <w:fldChar w:fldCharType="end"/>
        </w:r>
      </w:hyperlink>
    </w:p>
    <w:p w14:paraId="12F6CE7B" w14:textId="0B4848F4" w:rsidR="00E61D91" w:rsidRDefault="00E61D91">
      <w:pPr>
        <w:pStyle w:val="TOC2"/>
        <w:rPr>
          <w:rFonts w:asciiTheme="minorHAnsi" w:eastAsiaTheme="minorEastAsia" w:hAnsiTheme="minorHAnsi" w:cstheme="minorBidi"/>
          <w:b w:val="0"/>
          <w:smallCaps w:val="0"/>
          <w:sz w:val="22"/>
          <w:lang w:val="en-US"/>
        </w:rPr>
      </w:pPr>
      <w:hyperlink w:anchor="_Toc119059357" w:history="1">
        <w:r w:rsidRPr="009C47EE">
          <w:rPr>
            <w:rStyle w:val="Hyperlink"/>
            <w:rFonts w:ascii="Times New Roman" w:hAnsi="Times New Roman"/>
          </w:rPr>
          <w:t>3.4.3.1.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_Toc119059357 \h </w:instrText>
        </w:r>
        <w:r>
          <w:rPr>
            <w:webHidden/>
          </w:rPr>
        </w:r>
        <w:r>
          <w:rPr>
            <w:webHidden/>
          </w:rPr>
          <w:fldChar w:fldCharType="separate"/>
        </w:r>
        <w:r>
          <w:rPr>
            <w:webHidden/>
          </w:rPr>
          <w:t>127</w:t>
        </w:r>
        <w:r>
          <w:rPr>
            <w:webHidden/>
          </w:rPr>
          <w:fldChar w:fldCharType="end"/>
        </w:r>
      </w:hyperlink>
    </w:p>
    <w:p w14:paraId="215C0CFE" w14:textId="01B39E5A" w:rsidR="00E61D91" w:rsidRDefault="00E61D91">
      <w:pPr>
        <w:pStyle w:val="TOC2"/>
        <w:rPr>
          <w:rFonts w:asciiTheme="minorHAnsi" w:eastAsiaTheme="minorEastAsia" w:hAnsiTheme="minorHAnsi" w:cstheme="minorBidi"/>
          <w:b w:val="0"/>
          <w:smallCaps w:val="0"/>
          <w:sz w:val="22"/>
          <w:lang w:val="en-US"/>
        </w:rPr>
      </w:pPr>
      <w:hyperlink w:anchor="_Toc119059358" w:history="1">
        <w:r w:rsidRPr="009C47EE">
          <w:rPr>
            <w:rStyle w:val="Hyperlink"/>
            <w:rFonts w:ascii="Times New Roman" w:hAnsi="Times New Roman"/>
          </w:rPr>
          <w:t>3.4.3.2.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_Toc119059358 \h </w:instrText>
        </w:r>
        <w:r>
          <w:rPr>
            <w:webHidden/>
          </w:rPr>
        </w:r>
        <w:r>
          <w:rPr>
            <w:webHidden/>
          </w:rPr>
          <w:fldChar w:fldCharType="separate"/>
        </w:r>
        <w:r>
          <w:rPr>
            <w:webHidden/>
          </w:rPr>
          <w:t>128</w:t>
        </w:r>
        <w:r>
          <w:rPr>
            <w:webHidden/>
          </w:rPr>
          <w:fldChar w:fldCharType="end"/>
        </w:r>
      </w:hyperlink>
    </w:p>
    <w:p w14:paraId="636B2A9D" w14:textId="5941EACF" w:rsidR="00E61D91" w:rsidRDefault="00E61D91">
      <w:pPr>
        <w:pStyle w:val="TOC2"/>
        <w:rPr>
          <w:rFonts w:asciiTheme="minorHAnsi" w:eastAsiaTheme="minorEastAsia" w:hAnsiTheme="minorHAnsi" w:cstheme="minorBidi"/>
          <w:b w:val="0"/>
          <w:smallCaps w:val="0"/>
          <w:sz w:val="22"/>
          <w:lang w:val="en-US"/>
        </w:rPr>
      </w:pPr>
      <w:hyperlink w:anchor="_Toc119059359" w:history="1">
        <w:r w:rsidRPr="009C47EE">
          <w:rPr>
            <w:rStyle w:val="Hyperlink"/>
            <w:rFonts w:ascii="Times New Roman" w:hAnsi="Times New Roman"/>
          </w:rPr>
          <w:t>3.5.</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10.01 og C 10.02 – Aktieeksponeringer opgjort efter IRB-metoden (CR EQU IRB 1 og CR EQU IRB 2)</w:t>
        </w:r>
        <w:r>
          <w:rPr>
            <w:webHidden/>
          </w:rPr>
          <w:tab/>
        </w:r>
        <w:r>
          <w:rPr>
            <w:webHidden/>
          </w:rPr>
          <w:fldChar w:fldCharType="begin"/>
        </w:r>
        <w:r>
          <w:rPr>
            <w:webHidden/>
          </w:rPr>
          <w:instrText xml:space="preserve"> PAGEREF _Toc119059359 \h </w:instrText>
        </w:r>
        <w:r>
          <w:rPr>
            <w:webHidden/>
          </w:rPr>
        </w:r>
        <w:r>
          <w:rPr>
            <w:webHidden/>
          </w:rPr>
          <w:fldChar w:fldCharType="separate"/>
        </w:r>
        <w:r>
          <w:rPr>
            <w:webHidden/>
          </w:rPr>
          <w:t>132</w:t>
        </w:r>
        <w:r>
          <w:rPr>
            <w:webHidden/>
          </w:rPr>
          <w:fldChar w:fldCharType="end"/>
        </w:r>
      </w:hyperlink>
    </w:p>
    <w:p w14:paraId="214EA7AC" w14:textId="594F3281" w:rsidR="00E61D91" w:rsidRDefault="00E61D91">
      <w:pPr>
        <w:pStyle w:val="TOC2"/>
        <w:rPr>
          <w:rFonts w:asciiTheme="minorHAnsi" w:eastAsiaTheme="minorEastAsia" w:hAnsiTheme="minorHAnsi" w:cstheme="minorBidi"/>
          <w:b w:val="0"/>
          <w:smallCaps w:val="0"/>
          <w:sz w:val="22"/>
          <w:lang w:val="en-US"/>
        </w:rPr>
      </w:pPr>
      <w:hyperlink w:anchor="_Toc119059360" w:history="1">
        <w:r w:rsidRPr="009C47EE">
          <w:rPr>
            <w:rStyle w:val="Hyperlink"/>
            <w:rFonts w:ascii="Times New Roman" w:hAnsi="Times New Roman"/>
          </w:rPr>
          <w:t>3.5.1.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_Toc119059360 \h </w:instrText>
        </w:r>
        <w:r>
          <w:rPr>
            <w:webHidden/>
          </w:rPr>
        </w:r>
        <w:r>
          <w:rPr>
            <w:webHidden/>
          </w:rPr>
          <w:fldChar w:fldCharType="separate"/>
        </w:r>
        <w:r>
          <w:rPr>
            <w:webHidden/>
          </w:rPr>
          <w:t>132</w:t>
        </w:r>
        <w:r>
          <w:rPr>
            <w:webHidden/>
          </w:rPr>
          <w:fldChar w:fldCharType="end"/>
        </w:r>
      </w:hyperlink>
    </w:p>
    <w:p w14:paraId="618334C5" w14:textId="3881871E" w:rsidR="00E61D91" w:rsidRDefault="00E61D91">
      <w:pPr>
        <w:pStyle w:val="TOC2"/>
        <w:rPr>
          <w:rFonts w:asciiTheme="minorHAnsi" w:eastAsiaTheme="minorEastAsia" w:hAnsiTheme="minorHAnsi" w:cstheme="minorBidi"/>
          <w:b w:val="0"/>
          <w:smallCaps w:val="0"/>
          <w:sz w:val="22"/>
          <w:lang w:val="en-US"/>
        </w:rPr>
      </w:pPr>
      <w:hyperlink w:anchor="_Toc119059361" w:history="1">
        <w:r w:rsidRPr="009C47EE">
          <w:rPr>
            <w:rStyle w:val="Hyperlink"/>
            <w:rFonts w:ascii="Times New Roman" w:hAnsi="Times New Roman"/>
          </w:rPr>
          <w:t>3.5.2.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 (gælder for både CR EQU IRB 1 og CR EQU IRB 2)</w:t>
        </w:r>
        <w:r>
          <w:rPr>
            <w:webHidden/>
          </w:rPr>
          <w:tab/>
        </w:r>
        <w:r>
          <w:rPr>
            <w:webHidden/>
          </w:rPr>
          <w:fldChar w:fldCharType="begin"/>
        </w:r>
        <w:r>
          <w:rPr>
            <w:webHidden/>
          </w:rPr>
          <w:instrText xml:space="preserve"> PAGEREF _Toc119059361 \h </w:instrText>
        </w:r>
        <w:r>
          <w:rPr>
            <w:webHidden/>
          </w:rPr>
        </w:r>
        <w:r>
          <w:rPr>
            <w:webHidden/>
          </w:rPr>
          <w:fldChar w:fldCharType="separate"/>
        </w:r>
        <w:r>
          <w:rPr>
            <w:webHidden/>
          </w:rPr>
          <w:t>134</w:t>
        </w:r>
        <w:r>
          <w:rPr>
            <w:webHidden/>
          </w:rPr>
          <w:fldChar w:fldCharType="end"/>
        </w:r>
      </w:hyperlink>
    </w:p>
    <w:p w14:paraId="018C47C1" w14:textId="095C8970" w:rsidR="00E61D91" w:rsidRDefault="00E61D91">
      <w:pPr>
        <w:pStyle w:val="TOC2"/>
        <w:rPr>
          <w:rFonts w:asciiTheme="minorHAnsi" w:eastAsiaTheme="minorEastAsia" w:hAnsiTheme="minorHAnsi" w:cstheme="minorBidi"/>
          <w:b w:val="0"/>
          <w:smallCaps w:val="0"/>
          <w:sz w:val="22"/>
          <w:lang w:val="en-US"/>
        </w:rPr>
      </w:pPr>
      <w:hyperlink w:anchor="_Toc119059362" w:history="1">
        <w:r w:rsidRPr="009C47EE">
          <w:rPr>
            <w:rStyle w:val="Hyperlink"/>
            <w:rFonts w:ascii="Times New Roman" w:hAnsi="Times New Roman"/>
          </w:rPr>
          <w:t>3.6.</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11.00 – Afviklingsrisiko/leveringsrisiko (CR SETT)</w:t>
        </w:r>
        <w:r>
          <w:rPr>
            <w:webHidden/>
          </w:rPr>
          <w:tab/>
        </w:r>
        <w:r>
          <w:rPr>
            <w:webHidden/>
          </w:rPr>
          <w:fldChar w:fldCharType="begin"/>
        </w:r>
        <w:r>
          <w:rPr>
            <w:webHidden/>
          </w:rPr>
          <w:instrText xml:space="preserve"> PAGEREF _Toc119059362 \h </w:instrText>
        </w:r>
        <w:r>
          <w:rPr>
            <w:webHidden/>
          </w:rPr>
        </w:r>
        <w:r>
          <w:rPr>
            <w:webHidden/>
          </w:rPr>
          <w:fldChar w:fldCharType="separate"/>
        </w:r>
        <w:r>
          <w:rPr>
            <w:webHidden/>
          </w:rPr>
          <w:t>137</w:t>
        </w:r>
        <w:r>
          <w:rPr>
            <w:webHidden/>
          </w:rPr>
          <w:fldChar w:fldCharType="end"/>
        </w:r>
      </w:hyperlink>
    </w:p>
    <w:p w14:paraId="7DA976F3" w14:textId="137AA5CD" w:rsidR="00E61D91" w:rsidRDefault="00E61D91">
      <w:pPr>
        <w:pStyle w:val="TOC2"/>
        <w:rPr>
          <w:rFonts w:asciiTheme="minorHAnsi" w:eastAsiaTheme="minorEastAsia" w:hAnsiTheme="minorHAnsi" w:cstheme="minorBidi"/>
          <w:b w:val="0"/>
          <w:smallCaps w:val="0"/>
          <w:sz w:val="22"/>
          <w:lang w:val="en-US"/>
        </w:rPr>
      </w:pPr>
      <w:hyperlink w:anchor="_Toc119059363" w:history="1">
        <w:r w:rsidRPr="009C47EE">
          <w:rPr>
            <w:rStyle w:val="Hyperlink"/>
            <w:rFonts w:ascii="Times New Roman" w:hAnsi="Times New Roman"/>
          </w:rPr>
          <w:t>3.6.1.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_Toc119059363 \h </w:instrText>
        </w:r>
        <w:r>
          <w:rPr>
            <w:webHidden/>
          </w:rPr>
        </w:r>
        <w:r>
          <w:rPr>
            <w:webHidden/>
          </w:rPr>
          <w:fldChar w:fldCharType="separate"/>
        </w:r>
        <w:r>
          <w:rPr>
            <w:webHidden/>
          </w:rPr>
          <w:t>137</w:t>
        </w:r>
        <w:r>
          <w:rPr>
            <w:webHidden/>
          </w:rPr>
          <w:fldChar w:fldCharType="end"/>
        </w:r>
      </w:hyperlink>
    </w:p>
    <w:p w14:paraId="69453F30" w14:textId="6E92024C" w:rsidR="00E61D91" w:rsidRDefault="00E61D91">
      <w:pPr>
        <w:pStyle w:val="TOC2"/>
        <w:rPr>
          <w:rFonts w:asciiTheme="minorHAnsi" w:eastAsiaTheme="minorEastAsia" w:hAnsiTheme="minorHAnsi" w:cstheme="minorBidi"/>
          <w:b w:val="0"/>
          <w:smallCaps w:val="0"/>
          <w:sz w:val="22"/>
          <w:lang w:val="en-US"/>
        </w:rPr>
      </w:pPr>
      <w:hyperlink w:anchor="_Toc119059364" w:history="1">
        <w:r w:rsidRPr="009C47EE">
          <w:rPr>
            <w:rStyle w:val="Hyperlink"/>
            <w:rFonts w:ascii="Times New Roman" w:hAnsi="Times New Roman"/>
          </w:rPr>
          <w:t>3.6.2.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_Toc119059364 \h </w:instrText>
        </w:r>
        <w:r>
          <w:rPr>
            <w:webHidden/>
          </w:rPr>
        </w:r>
        <w:r>
          <w:rPr>
            <w:webHidden/>
          </w:rPr>
          <w:fldChar w:fldCharType="separate"/>
        </w:r>
        <w:r>
          <w:rPr>
            <w:webHidden/>
          </w:rPr>
          <w:t>138</w:t>
        </w:r>
        <w:r>
          <w:rPr>
            <w:webHidden/>
          </w:rPr>
          <w:fldChar w:fldCharType="end"/>
        </w:r>
      </w:hyperlink>
    </w:p>
    <w:p w14:paraId="20960402" w14:textId="14753413" w:rsidR="00E61D91" w:rsidRDefault="00E61D91">
      <w:pPr>
        <w:pStyle w:val="TOC2"/>
        <w:rPr>
          <w:rFonts w:asciiTheme="minorHAnsi" w:eastAsiaTheme="minorEastAsia" w:hAnsiTheme="minorHAnsi" w:cstheme="minorBidi"/>
          <w:b w:val="0"/>
          <w:smallCaps w:val="0"/>
          <w:sz w:val="22"/>
          <w:lang w:val="en-US"/>
        </w:rPr>
      </w:pPr>
      <w:hyperlink w:anchor="_Toc119059365" w:history="1">
        <w:r w:rsidRPr="009C47EE">
          <w:rPr>
            <w:rStyle w:val="Hyperlink"/>
            <w:rFonts w:ascii="Times New Roman" w:hAnsi="Times New Roman"/>
          </w:rPr>
          <w:t>3.7.</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13.01 – Kreditrisiko – Securitiseringer (CR SEC):</w:t>
        </w:r>
        <w:r>
          <w:rPr>
            <w:webHidden/>
          </w:rPr>
          <w:tab/>
        </w:r>
        <w:r>
          <w:rPr>
            <w:webHidden/>
          </w:rPr>
          <w:fldChar w:fldCharType="begin"/>
        </w:r>
        <w:r>
          <w:rPr>
            <w:webHidden/>
          </w:rPr>
          <w:instrText xml:space="preserve"> PAGEREF _Toc119059365 \h </w:instrText>
        </w:r>
        <w:r>
          <w:rPr>
            <w:webHidden/>
          </w:rPr>
        </w:r>
        <w:r>
          <w:rPr>
            <w:webHidden/>
          </w:rPr>
          <w:fldChar w:fldCharType="separate"/>
        </w:r>
        <w:r>
          <w:rPr>
            <w:webHidden/>
          </w:rPr>
          <w:t>141</w:t>
        </w:r>
        <w:r>
          <w:rPr>
            <w:webHidden/>
          </w:rPr>
          <w:fldChar w:fldCharType="end"/>
        </w:r>
      </w:hyperlink>
    </w:p>
    <w:p w14:paraId="362485F6" w14:textId="53A1A7E7" w:rsidR="00E61D91" w:rsidRDefault="00E61D91">
      <w:pPr>
        <w:pStyle w:val="TOC2"/>
        <w:rPr>
          <w:rFonts w:asciiTheme="minorHAnsi" w:eastAsiaTheme="minorEastAsia" w:hAnsiTheme="minorHAnsi" w:cstheme="minorBidi"/>
          <w:b w:val="0"/>
          <w:smallCaps w:val="0"/>
          <w:sz w:val="22"/>
          <w:lang w:val="en-US"/>
        </w:rPr>
      </w:pPr>
      <w:hyperlink w:anchor="_Toc119059366" w:history="1">
        <w:r w:rsidRPr="009C47EE">
          <w:rPr>
            <w:rStyle w:val="Hyperlink"/>
            <w:rFonts w:ascii="Times New Roman" w:hAnsi="Times New Roman"/>
          </w:rPr>
          <w:t>3.7.1.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_Toc119059366 \h </w:instrText>
        </w:r>
        <w:r>
          <w:rPr>
            <w:webHidden/>
          </w:rPr>
        </w:r>
        <w:r>
          <w:rPr>
            <w:webHidden/>
          </w:rPr>
          <w:fldChar w:fldCharType="separate"/>
        </w:r>
        <w:r>
          <w:rPr>
            <w:webHidden/>
          </w:rPr>
          <w:t>141</w:t>
        </w:r>
        <w:r>
          <w:rPr>
            <w:webHidden/>
          </w:rPr>
          <w:fldChar w:fldCharType="end"/>
        </w:r>
      </w:hyperlink>
    </w:p>
    <w:p w14:paraId="323401EA" w14:textId="4A11BA47" w:rsidR="00E61D91" w:rsidRDefault="00E61D91">
      <w:pPr>
        <w:pStyle w:val="TOC2"/>
        <w:rPr>
          <w:rFonts w:asciiTheme="minorHAnsi" w:eastAsiaTheme="minorEastAsia" w:hAnsiTheme="minorHAnsi" w:cstheme="minorBidi"/>
          <w:b w:val="0"/>
          <w:smallCaps w:val="0"/>
          <w:sz w:val="22"/>
          <w:lang w:val="en-US"/>
        </w:rPr>
      </w:pPr>
      <w:hyperlink w:anchor="_Toc119059367" w:history="1">
        <w:r w:rsidRPr="009C47EE">
          <w:rPr>
            <w:rStyle w:val="Hyperlink"/>
            <w:rFonts w:ascii="Times New Roman" w:hAnsi="Times New Roman"/>
          </w:rPr>
          <w:t>3.7.2.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_Toc119059367 \h </w:instrText>
        </w:r>
        <w:r>
          <w:rPr>
            <w:webHidden/>
          </w:rPr>
        </w:r>
        <w:r>
          <w:rPr>
            <w:webHidden/>
          </w:rPr>
          <w:fldChar w:fldCharType="separate"/>
        </w:r>
        <w:r>
          <w:rPr>
            <w:webHidden/>
          </w:rPr>
          <w:t>141</w:t>
        </w:r>
        <w:r>
          <w:rPr>
            <w:webHidden/>
          </w:rPr>
          <w:fldChar w:fldCharType="end"/>
        </w:r>
      </w:hyperlink>
    </w:p>
    <w:p w14:paraId="103A35CB" w14:textId="0D3C6227" w:rsidR="00E61D91" w:rsidRDefault="00E61D91">
      <w:pPr>
        <w:pStyle w:val="TOC2"/>
        <w:rPr>
          <w:rFonts w:asciiTheme="minorHAnsi" w:eastAsiaTheme="minorEastAsia" w:hAnsiTheme="minorHAnsi" w:cstheme="minorBidi"/>
          <w:b w:val="0"/>
          <w:smallCaps w:val="0"/>
          <w:sz w:val="22"/>
          <w:lang w:val="en-US"/>
        </w:rPr>
      </w:pPr>
      <w:hyperlink w:anchor="_Toc119059368" w:history="1">
        <w:r w:rsidRPr="009C47EE">
          <w:rPr>
            <w:rStyle w:val="Hyperlink"/>
            <w:rFonts w:ascii="Times New Roman" w:hAnsi="Times New Roman"/>
          </w:rPr>
          <w:t>3.8.</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Detaljerede oplysninger om securitiseringer (SEC DETAILS)</w:t>
        </w:r>
        <w:r>
          <w:rPr>
            <w:webHidden/>
          </w:rPr>
          <w:tab/>
        </w:r>
        <w:r>
          <w:rPr>
            <w:webHidden/>
          </w:rPr>
          <w:fldChar w:fldCharType="begin"/>
        </w:r>
        <w:r>
          <w:rPr>
            <w:webHidden/>
          </w:rPr>
          <w:instrText xml:space="preserve"> PAGEREF _Toc119059368 \h </w:instrText>
        </w:r>
        <w:r>
          <w:rPr>
            <w:webHidden/>
          </w:rPr>
        </w:r>
        <w:r>
          <w:rPr>
            <w:webHidden/>
          </w:rPr>
          <w:fldChar w:fldCharType="separate"/>
        </w:r>
        <w:r>
          <w:rPr>
            <w:webHidden/>
          </w:rPr>
          <w:t>154</w:t>
        </w:r>
        <w:r>
          <w:rPr>
            <w:webHidden/>
          </w:rPr>
          <w:fldChar w:fldCharType="end"/>
        </w:r>
      </w:hyperlink>
    </w:p>
    <w:p w14:paraId="242E60AC" w14:textId="5A1DF3C2" w:rsidR="00E61D91" w:rsidRDefault="00E61D91">
      <w:pPr>
        <w:pStyle w:val="TOC2"/>
        <w:rPr>
          <w:rFonts w:asciiTheme="minorHAnsi" w:eastAsiaTheme="minorEastAsia" w:hAnsiTheme="minorHAnsi" w:cstheme="minorBidi"/>
          <w:b w:val="0"/>
          <w:smallCaps w:val="0"/>
          <w:sz w:val="22"/>
          <w:lang w:val="en-US"/>
        </w:rPr>
      </w:pPr>
      <w:hyperlink w:anchor="_Toc119059369" w:history="1">
        <w:r w:rsidRPr="009C47EE">
          <w:rPr>
            <w:rStyle w:val="Hyperlink"/>
            <w:rFonts w:ascii="Times New Roman" w:hAnsi="Times New Roman"/>
          </w:rPr>
          <w:t>3.8.1.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Anvendelsesområdet for SEC DETAILS-skemaet</w:t>
        </w:r>
        <w:r>
          <w:rPr>
            <w:webHidden/>
          </w:rPr>
          <w:tab/>
        </w:r>
        <w:r>
          <w:rPr>
            <w:webHidden/>
          </w:rPr>
          <w:fldChar w:fldCharType="begin"/>
        </w:r>
        <w:r>
          <w:rPr>
            <w:webHidden/>
          </w:rPr>
          <w:instrText xml:space="preserve"> PAGEREF _Toc119059369 \h </w:instrText>
        </w:r>
        <w:r>
          <w:rPr>
            <w:webHidden/>
          </w:rPr>
        </w:r>
        <w:r>
          <w:rPr>
            <w:webHidden/>
          </w:rPr>
          <w:fldChar w:fldCharType="separate"/>
        </w:r>
        <w:r>
          <w:rPr>
            <w:webHidden/>
          </w:rPr>
          <w:t>154</w:t>
        </w:r>
        <w:r>
          <w:rPr>
            <w:webHidden/>
          </w:rPr>
          <w:fldChar w:fldCharType="end"/>
        </w:r>
      </w:hyperlink>
    </w:p>
    <w:p w14:paraId="223F7B9B" w14:textId="0F62659F" w:rsidR="00E61D91" w:rsidRDefault="00E61D91">
      <w:pPr>
        <w:pStyle w:val="TOC2"/>
        <w:rPr>
          <w:rFonts w:asciiTheme="minorHAnsi" w:eastAsiaTheme="minorEastAsia" w:hAnsiTheme="minorHAnsi" w:cstheme="minorBidi"/>
          <w:b w:val="0"/>
          <w:smallCaps w:val="0"/>
          <w:sz w:val="22"/>
          <w:lang w:val="en-US"/>
        </w:rPr>
      </w:pPr>
      <w:hyperlink w:anchor="_Toc119059370" w:history="1">
        <w:r w:rsidRPr="009C47EE">
          <w:rPr>
            <w:rStyle w:val="Hyperlink"/>
            <w:rFonts w:ascii="Times New Roman" w:hAnsi="Times New Roman"/>
          </w:rPr>
          <w:t>3.8.2. Opdeling af SEC DETAILS-skemaet</w:t>
        </w:r>
        <w:r>
          <w:rPr>
            <w:webHidden/>
          </w:rPr>
          <w:tab/>
        </w:r>
        <w:r>
          <w:rPr>
            <w:webHidden/>
          </w:rPr>
          <w:fldChar w:fldCharType="begin"/>
        </w:r>
        <w:r>
          <w:rPr>
            <w:webHidden/>
          </w:rPr>
          <w:instrText xml:space="preserve"> PAGEREF _Toc119059370 \h </w:instrText>
        </w:r>
        <w:r>
          <w:rPr>
            <w:webHidden/>
          </w:rPr>
        </w:r>
        <w:r>
          <w:rPr>
            <w:webHidden/>
          </w:rPr>
          <w:fldChar w:fldCharType="separate"/>
        </w:r>
        <w:r>
          <w:rPr>
            <w:webHidden/>
          </w:rPr>
          <w:t>155</w:t>
        </w:r>
        <w:r>
          <w:rPr>
            <w:webHidden/>
          </w:rPr>
          <w:fldChar w:fldCharType="end"/>
        </w:r>
      </w:hyperlink>
    </w:p>
    <w:p w14:paraId="7875A9F8" w14:textId="055ED537" w:rsidR="00E61D91" w:rsidRDefault="00E61D91">
      <w:pPr>
        <w:pStyle w:val="TOC2"/>
        <w:rPr>
          <w:rFonts w:asciiTheme="minorHAnsi" w:eastAsiaTheme="minorEastAsia" w:hAnsiTheme="minorHAnsi" w:cstheme="minorBidi"/>
          <w:b w:val="0"/>
          <w:smallCaps w:val="0"/>
          <w:sz w:val="22"/>
          <w:lang w:val="en-US"/>
        </w:rPr>
      </w:pPr>
      <w:hyperlink w:anchor="_Toc119059371" w:history="1">
        <w:r w:rsidRPr="009C47EE">
          <w:rPr>
            <w:rStyle w:val="Hyperlink"/>
            <w:rFonts w:ascii="Times New Roman" w:hAnsi="Times New Roman"/>
          </w:rPr>
          <w:t>3.8.3. C 14.00 – Detaljerede oplysninger om securitiseringer (SEC DETAILS)</w:t>
        </w:r>
        <w:r>
          <w:rPr>
            <w:webHidden/>
          </w:rPr>
          <w:tab/>
        </w:r>
        <w:r>
          <w:rPr>
            <w:webHidden/>
          </w:rPr>
          <w:fldChar w:fldCharType="begin"/>
        </w:r>
        <w:r>
          <w:rPr>
            <w:webHidden/>
          </w:rPr>
          <w:instrText xml:space="preserve"> PAGEREF _Toc119059371 \h </w:instrText>
        </w:r>
        <w:r>
          <w:rPr>
            <w:webHidden/>
          </w:rPr>
        </w:r>
        <w:r>
          <w:rPr>
            <w:webHidden/>
          </w:rPr>
          <w:fldChar w:fldCharType="separate"/>
        </w:r>
        <w:r>
          <w:rPr>
            <w:webHidden/>
          </w:rPr>
          <w:t>155</w:t>
        </w:r>
        <w:r>
          <w:rPr>
            <w:webHidden/>
          </w:rPr>
          <w:fldChar w:fldCharType="end"/>
        </w:r>
      </w:hyperlink>
    </w:p>
    <w:p w14:paraId="550685EE" w14:textId="42E735D4" w:rsidR="00E61D91" w:rsidRDefault="00E61D91">
      <w:pPr>
        <w:pStyle w:val="TOC2"/>
        <w:rPr>
          <w:rFonts w:asciiTheme="minorHAnsi" w:eastAsiaTheme="minorEastAsia" w:hAnsiTheme="minorHAnsi" w:cstheme="minorBidi"/>
          <w:b w:val="0"/>
          <w:smallCaps w:val="0"/>
          <w:sz w:val="22"/>
          <w:lang w:val="en-US"/>
        </w:rPr>
      </w:pPr>
      <w:hyperlink w:anchor="_Toc119059372" w:history="1">
        <w:r w:rsidRPr="009C47EE">
          <w:rPr>
            <w:rStyle w:val="Hyperlink"/>
            <w:rFonts w:ascii="Times New Roman" w:hAnsi="Times New Roman"/>
          </w:rPr>
          <w:t>3.8.4.</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14.01 – Detaljerede oplysninger om securitiseringer (SEC DETAILS 2)</w:t>
        </w:r>
        <w:r>
          <w:rPr>
            <w:webHidden/>
          </w:rPr>
          <w:tab/>
        </w:r>
        <w:r>
          <w:rPr>
            <w:webHidden/>
          </w:rPr>
          <w:fldChar w:fldCharType="begin"/>
        </w:r>
        <w:r>
          <w:rPr>
            <w:webHidden/>
          </w:rPr>
          <w:instrText xml:space="preserve"> PAGEREF _Toc119059372 \h </w:instrText>
        </w:r>
        <w:r>
          <w:rPr>
            <w:webHidden/>
          </w:rPr>
        </w:r>
        <w:r>
          <w:rPr>
            <w:webHidden/>
          </w:rPr>
          <w:fldChar w:fldCharType="separate"/>
        </w:r>
        <w:r>
          <w:rPr>
            <w:webHidden/>
          </w:rPr>
          <w:t>171</w:t>
        </w:r>
        <w:r>
          <w:rPr>
            <w:webHidden/>
          </w:rPr>
          <w:fldChar w:fldCharType="end"/>
        </w:r>
      </w:hyperlink>
    </w:p>
    <w:p w14:paraId="764CD898" w14:textId="46A3462A" w:rsidR="00E61D91" w:rsidRDefault="00E61D91">
      <w:pPr>
        <w:pStyle w:val="TOC2"/>
        <w:rPr>
          <w:rFonts w:asciiTheme="minorHAnsi" w:eastAsiaTheme="minorEastAsia" w:hAnsiTheme="minorHAnsi" w:cstheme="minorBidi"/>
          <w:b w:val="0"/>
          <w:smallCaps w:val="0"/>
          <w:sz w:val="22"/>
          <w:lang w:val="en-US"/>
        </w:rPr>
      </w:pPr>
      <w:hyperlink w:anchor="_Toc119059373" w:history="1">
        <w:r w:rsidRPr="009C47EE">
          <w:rPr>
            <w:rStyle w:val="Hyperlink"/>
            <w:rFonts w:ascii="Times New Roman" w:hAnsi="Times New Roman"/>
          </w:rPr>
          <w:t>3.9.</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Modpartsrisiko</w:t>
        </w:r>
        <w:r>
          <w:rPr>
            <w:webHidden/>
          </w:rPr>
          <w:tab/>
        </w:r>
        <w:r>
          <w:rPr>
            <w:webHidden/>
          </w:rPr>
          <w:fldChar w:fldCharType="begin"/>
        </w:r>
        <w:r>
          <w:rPr>
            <w:webHidden/>
          </w:rPr>
          <w:instrText xml:space="preserve"> PAGEREF _Toc119059373 \h </w:instrText>
        </w:r>
        <w:r>
          <w:rPr>
            <w:webHidden/>
          </w:rPr>
        </w:r>
        <w:r>
          <w:rPr>
            <w:webHidden/>
          </w:rPr>
          <w:fldChar w:fldCharType="separate"/>
        </w:r>
        <w:r>
          <w:rPr>
            <w:webHidden/>
          </w:rPr>
          <w:t>175</w:t>
        </w:r>
        <w:r>
          <w:rPr>
            <w:webHidden/>
          </w:rPr>
          <w:fldChar w:fldCharType="end"/>
        </w:r>
      </w:hyperlink>
    </w:p>
    <w:p w14:paraId="7D1E36F3" w14:textId="0F24A073" w:rsidR="00E61D91" w:rsidRDefault="00E61D91">
      <w:pPr>
        <w:pStyle w:val="TOC2"/>
        <w:rPr>
          <w:rFonts w:asciiTheme="minorHAnsi" w:eastAsiaTheme="minorEastAsia" w:hAnsiTheme="minorHAnsi" w:cstheme="minorBidi"/>
          <w:b w:val="0"/>
          <w:smallCaps w:val="0"/>
          <w:sz w:val="22"/>
          <w:lang w:val="en-US"/>
        </w:rPr>
      </w:pPr>
      <w:hyperlink w:anchor="_Toc119059374" w:history="1">
        <w:r w:rsidRPr="009C47EE">
          <w:rPr>
            <w:rStyle w:val="Hyperlink"/>
            <w:rFonts w:ascii="Times New Roman" w:hAnsi="Times New Roman"/>
          </w:rPr>
          <w:t>3.9.1.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Anvendelsesområdet for skemaerne for modpartsrisiko</w:t>
        </w:r>
        <w:r>
          <w:rPr>
            <w:webHidden/>
          </w:rPr>
          <w:tab/>
        </w:r>
        <w:r>
          <w:rPr>
            <w:webHidden/>
          </w:rPr>
          <w:fldChar w:fldCharType="begin"/>
        </w:r>
        <w:r>
          <w:rPr>
            <w:webHidden/>
          </w:rPr>
          <w:instrText xml:space="preserve"> PAGEREF _Toc119059374 \h </w:instrText>
        </w:r>
        <w:r>
          <w:rPr>
            <w:webHidden/>
          </w:rPr>
        </w:r>
        <w:r>
          <w:rPr>
            <w:webHidden/>
          </w:rPr>
          <w:fldChar w:fldCharType="separate"/>
        </w:r>
        <w:r>
          <w:rPr>
            <w:webHidden/>
          </w:rPr>
          <w:t>175</w:t>
        </w:r>
        <w:r>
          <w:rPr>
            <w:webHidden/>
          </w:rPr>
          <w:fldChar w:fldCharType="end"/>
        </w:r>
      </w:hyperlink>
    </w:p>
    <w:p w14:paraId="0B2F12AC" w14:textId="0EDE3F05" w:rsidR="00E61D91" w:rsidRDefault="00E61D91">
      <w:pPr>
        <w:pStyle w:val="TOC2"/>
        <w:rPr>
          <w:rFonts w:asciiTheme="minorHAnsi" w:eastAsiaTheme="minorEastAsia" w:hAnsiTheme="minorHAnsi" w:cstheme="minorBidi"/>
          <w:b w:val="0"/>
          <w:smallCaps w:val="0"/>
          <w:sz w:val="22"/>
          <w:lang w:val="en-US"/>
        </w:rPr>
      </w:pPr>
      <w:hyperlink w:anchor="_Toc119059375" w:history="1">
        <w:r w:rsidRPr="009C47EE">
          <w:rPr>
            <w:rStyle w:val="Hyperlink"/>
            <w:rFonts w:ascii="Times New Roman" w:hAnsi="Times New Roman"/>
          </w:rPr>
          <w:t>3.9.2.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34.01 — Omfanget af derivataktiviteter</w:t>
        </w:r>
        <w:r>
          <w:rPr>
            <w:webHidden/>
          </w:rPr>
          <w:tab/>
        </w:r>
        <w:r>
          <w:rPr>
            <w:webHidden/>
          </w:rPr>
          <w:fldChar w:fldCharType="begin"/>
        </w:r>
        <w:r>
          <w:rPr>
            <w:webHidden/>
          </w:rPr>
          <w:instrText xml:space="preserve"> PAGEREF _Toc119059375 \h </w:instrText>
        </w:r>
        <w:r>
          <w:rPr>
            <w:webHidden/>
          </w:rPr>
        </w:r>
        <w:r>
          <w:rPr>
            <w:webHidden/>
          </w:rPr>
          <w:fldChar w:fldCharType="separate"/>
        </w:r>
        <w:r>
          <w:rPr>
            <w:webHidden/>
          </w:rPr>
          <w:t>175</w:t>
        </w:r>
        <w:r>
          <w:rPr>
            <w:webHidden/>
          </w:rPr>
          <w:fldChar w:fldCharType="end"/>
        </w:r>
      </w:hyperlink>
    </w:p>
    <w:p w14:paraId="27EC16D8" w14:textId="6C33996E" w:rsidR="00E61D91" w:rsidRDefault="00E61D91">
      <w:pPr>
        <w:pStyle w:val="TOC2"/>
        <w:rPr>
          <w:rFonts w:asciiTheme="minorHAnsi" w:eastAsiaTheme="minorEastAsia" w:hAnsiTheme="minorHAnsi" w:cstheme="minorBidi"/>
          <w:b w:val="0"/>
          <w:smallCaps w:val="0"/>
          <w:sz w:val="22"/>
          <w:lang w:val="en-US"/>
        </w:rPr>
      </w:pPr>
      <w:hyperlink w:anchor="_Toc119059376" w:history="1">
        <w:r w:rsidRPr="009C47EE">
          <w:rPr>
            <w:rStyle w:val="Hyperlink"/>
            <w:rFonts w:ascii="Times New Roman" w:hAnsi="Times New Roman"/>
          </w:rPr>
          <w:t>3.9.2.1.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_Toc119059376 \h </w:instrText>
        </w:r>
        <w:r>
          <w:rPr>
            <w:webHidden/>
          </w:rPr>
        </w:r>
        <w:r>
          <w:rPr>
            <w:webHidden/>
          </w:rPr>
          <w:fldChar w:fldCharType="separate"/>
        </w:r>
        <w:r>
          <w:rPr>
            <w:webHidden/>
          </w:rPr>
          <w:t>175</w:t>
        </w:r>
        <w:r>
          <w:rPr>
            <w:webHidden/>
          </w:rPr>
          <w:fldChar w:fldCharType="end"/>
        </w:r>
      </w:hyperlink>
    </w:p>
    <w:p w14:paraId="27352573" w14:textId="14827355" w:rsidR="00E61D91" w:rsidRDefault="00E61D91">
      <w:pPr>
        <w:pStyle w:val="TOC2"/>
        <w:rPr>
          <w:rFonts w:asciiTheme="minorHAnsi" w:eastAsiaTheme="minorEastAsia" w:hAnsiTheme="minorHAnsi" w:cstheme="minorBidi"/>
          <w:b w:val="0"/>
          <w:smallCaps w:val="0"/>
          <w:sz w:val="22"/>
          <w:lang w:val="en-US"/>
        </w:rPr>
      </w:pPr>
      <w:hyperlink w:anchor="_Toc119059377" w:history="1">
        <w:r w:rsidRPr="009C47EE">
          <w:rPr>
            <w:rStyle w:val="Hyperlink"/>
            <w:rFonts w:ascii="Times New Roman" w:hAnsi="Times New Roman"/>
          </w:rPr>
          <w:t>3.9.2.2.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_Toc119059377 \h </w:instrText>
        </w:r>
        <w:r>
          <w:rPr>
            <w:webHidden/>
          </w:rPr>
        </w:r>
        <w:r>
          <w:rPr>
            <w:webHidden/>
          </w:rPr>
          <w:fldChar w:fldCharType="separate"/>
        </w:r>
        <w:r>
          <w:rPr>
            <w:webHidden/>
          </w:rPr>
          <w:t>175</w:t>
        </w:r>
        <w:r>
          <w:rPr>
            <w:webHidden/>
          </w:rPr>
          <w:fldChar w:fldCharType="end"/>
        </w:r>
      </w:hyperlink>
    </w:p>
    <w:p w14:paraId="3CEA8378" w14:textId="3A9E1271" w:rsidR="00E61D91" w:rsidRDefault="00E61D91">
      <w:pPr>
        <w:pStyle w:val="TOC2"/>
        <w:rPr>
          <w:rFonts w:asciiTheme="minorHAnsi" w:eastAsiaTheme="minorEastAsia" w:hAnsiTheme="minorHAnsi" w:cstheme="minorBidi"/>
          <w:b w:val="0"/>
          <w:smallCaps w:val="0"/>
          <w:sz w:val="22"/>
          <w:lang w:val="en-US"/>
        </w:rPr>
      </w:pPr>
      <w:hyperlink w:anchor="_Toc119059378" w:history="1">
        <w:r w:rsidRPr="009C47EE">
          <w:rPr>
            <w:rStyle w:val="Hyperlink"/>
            <w:rFonts w:ascii="Times New Roman" w:hAnsi="Times New Roman"/>
          </w:rPr>
          <w:t>3.9.3.</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34.02 - Modpartsrisikoeksponeringer opgjort efter metode</w:t>
        </w:r>
        <w:r>
          <w:rPr>
            <w:webHidden/>
          </w:rPr>
          <w:tab/>
        </w:r>
        <w:r>
          <w:rPr>
            <w:webHidden/>
          </w:rPr>
          <w:fldChar w:fldCharType="begin"/>
        </w:r>
        <w:r>
          <w:rPr>
            <w:webHidden/>
          </w:rPr>
          <w:instrText xml:space="preserve"> PAGEREF _Toc119059378 \h </w:instrText>
        </w:r>
        <w:r>
          <w:rPr>
            <w:webHidden/>
          </w:rPr>
        </w:r>
        <w:r>
          <w:rPr>
            <w:webHidden/>
          </w:rPr>
          <w:fldChar w:fldCharType="separate"/>
        </w:r>
        <w:r>
          <w:rPr>
            <w:webHidden/>
          </w:rPr>
          <w:t>177</w:t>
        </w:r>
        <w:r>
          <w:rPr>
            <w:webHidden/>
          </w:rPr>
          <w:fldChar w:fldCharType="end"/>
        </w:r>
      </w:hyperlink>
    </w:p>
    <w:p w14:paraId="0BC27281" w14:textId="78FF3D30" w:rsidR="00E61D91" w:rsidRDefault="00E61D91">
      <w:pPr>
        <w:pStyle w:val="TOC2"/>
        <w:rPr>
          <w:rFonts w:asciiTheme="minorHAnsi" w:eastAsiaTheme="minorEastAsia" w:hAnsiTheme="minorHAnsi" w:cstheme="minorBidi"/>
          <w:b w:val="0"/>
          <w:smallCaps w:val="0"/>
          <w:sz w:val="22"/>
          <w:lang w:val="en-US"/>
        </w:rPr>
      </w:pPr>
      <w:hyperlink w:anchor="_Toc119059379" w:history="1">
        <w:r w:rsidRPr="009C47EE">
          <w:rPr>
            <w:rStyle w:val="Hyperlink"/>
            <w:rFonts w:ascii="Times New Roman" w:hAnsi="Times New Roman"/>
          </w:rPr>
          <w:t>3.9.3.1.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_Toc119059379 \h </w:instrText>
        </w:r>
        <w:r>
          <w:rPr>
            <w:webHidden/>
          </w:rPr>
        </w:r>
        <w:r>
          <w:rPr>
            <w:webHidden/>
          </w:rPr>
          <w:fldChar w:fldCharType="separate"/>
        </w:r>
        <w:r>
          <w:rPr>
            <w:webHidden/>
          </w:rPr>
          <w:t>177</w:t>
        </w:r>
        <w:r>
          <w:rPr>
            <w:webHidden/>
          </w:rPr>
          <w:fldChar w:fldCharType="end"/>
        </w:r>
      </w:hyperlink>
    </w:p>
    <w:p w14:paraId="3DAF8585" w14:textId="288676D9" w:rsidR="00E61D91" w:rsidRDefault="00E61D91">
      <w:pPr>
        <w:pStyle w:val="TOC2"/>
        <w:rPr>
          <w:rFonts w:asciiTheme="minorHAnsi" w:eastAsiaTheme="minorEastAsia" w:hAnsiTheme="minorHAnsi" w:cstheme="minorBidi"/>
          <w:b w:val="0"/>
          <w:smallCaps w:val="0"/>
          <w:sz w:val="22"/>
          <w:lang w:val="en-US"/>
        </w:rPr>
      </w:pPr>
      <w:hyperlink w:anchor="_Toc119059380" w:history="1">
        <w:r w:rsidRPr="009C47EE">
          <w:rPr>
            <w:rStyle w:val="Hyperlink"/>
            <w:rFonts w:ascii="Times New Roman" w:hAnsi="Times New Roman"/>
          </w:rPr>
          <w:t>3.9.3.2.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_Toc119059380 \h </w:instrText>
        </w:r>
        <w:r>
          <w:rPr>
            <w:webHidden/>
          </w:rPr>
        </w:r>
        <w:r>
          <w:rPr>
            <w:webHidden/>
          </w:rPr>
          <w:fldChar w:fldCharType="separate"/>
        </w:r>
        <w:r>
          <w:rPr>
            <w:webHidden/>
          </w:rPr>
          <w:t>177</w:t>
        </w:r>
        <w:r>
          <w:rPr>
            <w:webHidden/>
          </w:rPr>
          <w:fldChar w:fldCharType="end"/>
        </w:r>
      </w:hyperlink>
    </w:p>
    <w:p w14:paraId="11A2242C" w14:textId="333C2827" w:rsidR="00E61D91" w:rsidRDefault="00E61D91">
      <w:pPr>
        <w:pStyle w:val="TOC2"/>
        <w:rPr>
          <w:rFonts w:asciiTheme="minorHAnsi" w:eastAsiaTheme="minorEastAsia" w:hAnsiTheme="minorHAnsi" w:cstheme="minorBidi"/>
          <w:b w:val="0"/>
          <w:smallCaps w:val="0"/>
          <w:sz w:val="22"/>
          <w:lang w:val="en-US"/>
        </w:rPr>
      </w:pPr>
      <w:hyperlink w:anchor="_Toc119059381" w:history="1">
        <w:r w:rsidRPr="009C47EE">
          <w:rPr>
            <w:rStyle w:val="Hyperlink"/>
            <w:rFonts w:ascii="Times New Roman" w:hAnsi="Times New Roman"/>
          </w:rPr>
          <w:t>3.9.4.</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34.03 — Modpartsrisikoeksponeringer, der behandles med standardmetoder: SA-CCR og forenklet SA-CCR</w:t>
        </w:r>
        <w:r>
          <w:rPr>
            <w:webHidden/>
          </w:rPr>
          <w:tab/>
        </w:r>
        <w:r>
          <w:rPr>
            <w:webHidden/>
          </w:rPr>
          <w:fldChar w:fldCharType="begin"/>
        </w:r>
        <w:r>
          <w:rPr>
            <w:webHidden/>
          </w:rPr>
          <w:instrText xml:space="preserve"> PAGEREF _Toc119059381 \h </w:instrText>
        </w:r>
        <w:r>
          <w:rPr>
            <w:webHidden/>
          </w:rPr>
        </w:r>
        <w:r>
          <w:rPr>
            <w:webHidden/>
          </w:rPr>
          <w:fldChar w:fldCharType="separate"/>
        </w:r>
        <w:r>
          <w:rPr>
            <w:webHidden/>
          </w:rPr>
          <w:t>185</w:t>
        </w:r>
        <w:r>
          <w:rPr>
            <w:webHidden/>
          </w:rPr>
          <w:fldChar w:fldCharType="end"/>
        </w:r>
      </w:hyperlink>
    </w:p>
    <w:p w14:paraId="14527232" w14:textId="430E5332" w:rsidR="00E61D91" w:rsidRDefault="00E61D91">
      <w:pPr>
        <w:pStyle w:val="TOC2"/>
        <w:rPr>
          <w:rFonts w:asciiTheme="minorHAnsi" w:eastAsiaTheme="minorEastAsia" w:hAnsiTheme="minorHAnsi" w:cstheme="minorBidi"/>
          <w:b w:val="0"/>
          <w:smallCaps w:val="0"/>
          <w:sz w:val="22"/>
          <w:lang w:val="en-US"/>
        </w:rPr>
      </w:pPr>
      <w:hyperlink w:anchor="_Toc119059382" w:history="1">
        <w:r w:rsidRPr="009C47EE">
          <w:rPr>
            <w:rStyle w:val="Hyperlink"/>
            <w:rFonts w:ascii="Times New Roman" w:hAnsi="Times New Roman"/>
          </w:rPr>
          <w:t>3.9.4.1.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_Toc119059382 \h </w:instrText>
        </w:r>
        <w:r>
          <w:rPr>
            <w:webHidden/>
          </w:rPr>
        </w:r>
        <w:r>
          <w:rPr>
            <w:webHidden/>
          </w:rPr>
          <w:fldChar w:fldCharType="separate"/>
        </w:r>
        <w:r>
          <w:rPr>
            <w:webHidden/>
          </w:rPr>
          <w:t>185</w:t>
        </w:r>
        <w:r>
          <w:rPr>
            <w:webHidden/>
          </w:rPr>
          <w:fldChar w:fldCharType="end"/>
        </w:r>
      </w:hyperlink>
    </w:p>
    <w:p w14:paraId="39F3A335" w14:textId="5228AA90" w:rsidR="00E61D91" w:rsidRDefault="00E61D91">
      <w:pPr>
        <w:pStyle w:val="TOC2"/>
        <w:rPr>
          <w:rFonts w:asciiTheme="minorHAnsi" w:eastAsiaTheme="minorEastAsia" w:hAnsiTheme="minorHAnsi" w:cstheme="minorBidi"/>
          <w:b w:val="0"/>
          <w:smallCaps w:val="0"/>
          <w:sz w:val="22"/>
          <w:lang w:val="en-US"/>
        </w:rPr>
      </w:pPr>
      <w:hyperlink w:anchor="_Toc119059383" w:history="1">
        <w:r w:rsidRPr="009C47EE">
          <w:rPr>
            <w:rStyle w:val="Hyperlink"/>
            <w:rFonts w:ascii="Times New Roman" w:hAnsi="Times New Roman"/>
          </w:rPr>
          <w:t>3.9.4.2.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_Toc119059383 \h </w:instrText>
        </w:r>
        <w:r>
          <w:rPr>
            <w:webHidden/>
          </w:rPr>
        </w:r>
        <w:r>
          <w:rPr>
            <w:webHidden/>
          </w:rPr>
          <w:fldChar w:fldCharType="separate"/>
        </w:r>
        <w:r>
          <w:rPr>
            <w:webHidden/>
          </w:rPr>
          <w:t>185</w:t>
        </w:r>
        <w:r>
          <w:rPr>
            <w:webHidden/>
          </w:rPr>
          <w:fldChar w:fldCharType="end"/>
        </w:r>
      </w:hyperlink>
    </w:p>
    <w:p w14:paraId="52C90730" w14:textId="2E2CD620" w:rsidR="00E61D91" w:rsidRDefault="00E61D91">
      <w:pPr>
        <w:pStyle w:val="TOC2"/>
        <w:rPr>
          <w:rFonts w:asciiTheme="minorHAnsi" w:eastAsiaTheme="minorEastAsia" w:hAnsiTheme="minorHAnsi" w:cstheme="minorBidi"/>
          <w:b w:val="0"/>
          <w:smallCaps w:val="0"/>
          <w:sz w:val="22"/>
          <w:lang w:val="en-US"/>
        </w:rPr>
      </w:pPr>
      <w:hyperlink w:anchor="_Toc119059384" w:history="1">
        <w:r w:rsidRPr="009C47EE">
          <w:rPr>
            <w:rStyle w:val="Hyperlink"/>
            <w:rFonts w:ascii="Times New Roman" w:hAnsi="Times New Roman"/>
          </w:rPr>
          <w:t>3.9.5.</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34.04 — Modpartsrisikoeksponeringer, der behandles med den oprindelige eksponeringsmetode (OEM)</w:t>
        </w:r>
        <w:r>
          <w:rPr>
            <w:webHidden/>
          </w:rPr>
          <w:tab/>
        </w:r>
        <w:r>
          <w:rPr>
            <w:webHidden/>
          </w:rPr>
          <w:fldChar w:fldCharType="begin"/>
        </w:r>
        <w:r>
          <w:rPr>
            <w:webHidden/>
          </w:rPr>
          <w:instrText xml:space="preserve"> PAGEREF _Toc119059384 \h </w:instrText>
        </w:r>
        <w:r>
          <w:rPr>
            <w:webHidden/>
          </w:rPr>
        </w:r>
        <w:r>
          <w:rPr>
            <w:webHidden/>
          </w:rPr>
          <w:fldChar w:fldCharType="separate"/>
        </w:r>
        <w:r>
          <w:rPr>
            <w:webHidden/>
          </w:rPr>
          <w:t>187</w:t>
        </w:r>
        <w:r>
          <w:rPr>
            <w:webHidden/>
          </w:rPr>
          <w:fldChar w:fldCharType="end"/>
        </w:r>
      </w:hyperlink>
    </w:p>
    <w:p w14:paraId="05259B9A" w14:textId="4A1D111C" w:rsidR="00E61D91" w:rsidRDefault="00E61D91">
      <w:pPr>
        <w:pStyle w:val="TOC2"/>
        <w:rPr>
          <w:rFonts w:asciiTheme="minorHAnsi" w:eastAsiaTheme="minorEastAsia" w:hAnsiTheme="minorHAnsi" w:cstheme="minorBidi"/>
          <w:b w:val="0"/>
          <w:smallCaps w:val="0"/>
          <w:sz w:val="22"/>
          <w:lang w:val="en-US"/>
        </w:rPr>
      </w:pPr>
      <w:hyperlink w:anchor="_Toc119059385" w:history="1">
        <w:r w:rsidRPr="009C47EE">
          <w:rPr>
            <w:rStyle w:val="Hyperlink"/>
            <w:rFonts w:ascii="Times New Roman" w:hAnsi="Times New Roman"/>
          </w:rPr>
          <w:t>3.9.5.1.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_Toc119059385 \h </w:instrText>
        </w:r>
        <w:r>
          <w:rPr>
            <w:webHidden/>
          </w:rPr>
        </w:r>
        <w:r>
          <w:rPr>
            <w:webHidden/>
          </w:rPr>
          <w:fldChar w:fldCharType="separate"/>
        </w:r>
        <w:r>
          <w:rPr>
            <w:webHidden/>
          </w:rPr>
          <w:t>187</w:t>
        </w:r>
        <w:r>
          <w:rPr>
            <w:webHidden/>
          </w:rPr>
          <w:fldChar w:fldCharType="end"/>
        </w:r>
      </w:hyperlink>
    </w:p>
    <w:p w14:paraId="0ECF0A49" w14:textId="79093B06" w:rsidR="00E61D91" w:rsidRDefault="00E61D91">
      <w:pPr>
        <w:pStyle w:val="TOC2"/>
        <w:rPr>
          <w:rFonts w:asciiTheme="minorHAnsi" w:eastAsiaTheme="minorEastAsia" w:hAnsiTheme="minorHAnsi" w:cstheme="minorBidi"/>
          <w:b w:val="0"/>
          <w:smallCaps w:val="0"/>
          <w:sz w:val="22"/>
          <w:lang w:val="en-US"/>
        </w:rPr>
      </w:pPr>
      <w:hyperlink w:anchor="_Toc119059386" w:history="1">
        <w:r w:rsidRPr="009C47EE">
          <w:rPr>
            <w:rStyle w:val="Hyperlink"/>
            <w:rFonts w:ascii="Times New Roman" w:hAnsi="Times New Roman"/>
          </w:rPr>
          <w:t>3.9.6.</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34.05 — Modpartsrisikoeksponeringer, der behandles med metoden med interne modeller (IMM)</w:t>
        </w:r>
        <w:r>
          <w:rPr>
            <w:webHidden/>
          </w:rPr>
          <w:tab/>
        </w:r>
        <w:r>
          <w:rPr>
            <w:webHidden/>
          </w:rPr>
          <w:fldChar w:fldCharType="begin"/>
        </w:r>
        <w:r>
          <w:rPr>
            <w:webHidden/>
          </w:rPr>
          <w:instrText xml:space="preserve"> PAGEREF _Toc119059386 \h </w:instrText>
        </w:r>
        <w:r>
          <w:rPr>
            <w:webHidden/>
          </w:rPr>
        </w:r>
        <w:r>
          <w:rPr>
            <w:webHidden/>
          </w:rPr>
          <w:fldChar w:fldCharType="separate"/>
        </w:r>
        <w:r>
          <w:rPr>
            <w:webHidden/>
          </w:rPr>
          <w:t>188</w:t>
        </w:r>
        <w:r>
          <w:rPr>
            <w:webHidden/>
          </w:rPr>
          <w:fldChar w:fldCharType="end"/>
        </w:r>
      </w:hyperlink>
    </w:p>
    <w:p w14:paraId="37CA53DC" w14:textId="7623BDDF" w:rsidR="00E61D91" w:rsidRDefault="00E61D91">
      <w:pPr>
        <w:pStyle w:val="TOC2"/>
        <w:rPr>
          <w:rFonts w:asciiTheme="minorHAnsi" w:eastAsiaTheme="minorEastAsia" w:hAnsiTheme="minorHAnsi" w:cstheme="minorBidi"/>
          <w:b w:val="0"/>
          <w:smallCaps w:val="0"/>
          <w:sz w:val="22"/>
          <w:lang w:val="en-US"/>
        </w:rPr>
      </w:pPr>
      <w:hyperlink w:anchor="_Toc119059387" w:history="1">
        <w:r w:rsidRPr="009C47EE">
          <w:rPr>
            <w:rStyle w:val="Hyperlink"/>
            <w:rFonts w:ascii="Times New Roman" w:hAnsi="Times New Roman"/>
          </w:rPr>
          <w:t>3.9.6.1.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_Toc119059387 \h </w:instrText>
        </w:r>
        <w:r>
          <w:rPr>
            <w:webHidden/>
          </w:rPr>
        </w:r>
        <w:r>
          <w:rPr>
            <w:webHidden/>
          </w:rPr>
          <w:fldChar w:fldCharType="separate"/>
        </w:r>
        <w:r>
          <w:rPr>
            <w:webHidden/>
          </w:rPr>
          <w:t>188</w:t>
        </w:r>
        <w:r>
          <w:rPr>
            <w:webHidden/>
          </w:rPr>
          <w:fldChar w:fldCharType="end"/>
        </w:r>
      </w:hyperlink>
    </w:p>
    <w:p w14:paraId="67FFE162" w14:textId="6FDA46FB" w:rsidR="00E61D91" w:rsidRDefault="00E61D91">
      <w:pPr>
        <w:pStyle w:val="TOC2"/>
        <w:rPr>
          <w:rFonts w:asciiTheme="minorHAnsi" w:eastAsiaTheme="minorEastAsia" w:hAnsiTheme="minorHAnsi" w:cstheme="minorBidi"/>
          <w:b w:val="0"/>
          <w:smallCaps w:val="0"/>
          <w:sz w:val="22"/>
          <w:lang w:val="en-US"/>
        </w:rPr>
      </w:pPr>
      <w:hyperlink w:anchor="_Toc119059388" w:history="1">
        <w:r w:rsidRPr="009C47EE">
          <w:rPr>
            <w:rStyle w:val="Hyperlink"/>
            <w:rFonts w:ascii="Times New Roman" w:hAnsi="Times New Roman"/>
          </w:rPr>
          <w:t>3.9.7.</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34.06 — De 20 største modparter</w:t>
        </w:r>
        <w:r>
          <w:rPr>
            <w:webHidden/>
          </w:rPr>
          <w:tab/>
        </w:r>
        <w:r>
          <w:rPr>
            <w:webHidden/>
          </w:rPr>
          <w:fldChar w:fldCharType="begin"/>
        </w:r>
        <w:r>
          <w:rPr>
            <w:webHidden/>
          </w:rPr>
          <w:instrText xml:space="preserve"> PAGEREF _Toc119059388 \h </w:instrText>
        </w:r>
        <w:r>
          <w:rPr>
            <w:webHidden/>
          </w:rPr>
        </w:r>
        <w:r>
          <w:rPr>
            <w:webHidden/>
          </w:rPr>
          <w:fldChar w:fldCharType="separate"/>
        </w:r>
        <w:r>
          <w:rPr>
            <w:webHidden/>
          </w:rPr>
          <w:t>190</w:t>
        </w:r>
        <w:r>
          <w:rPr>
            <w:webHidden/>
          </w:rPr>
          <w:fldChar w:fldCharType="end"/>
        </w:r>
      </w:hyperlink>
    </w:p>
    <w:p w14:paraId="5E764ADC" w14:textId="0FF54071" w:rsidR="00E61D91" w:rsidRDefault="00E61D91">
      <w:pPr>
        <w:pStyle w:val="TOC2"/>
        <w:rPr>
          <w:rFonts w:asciiTheme="minorHAnsi" w:eastAsiaTheme="minorEastAsia" w:hAnsiTheme="minorHAnsi" w:cstheme="minorBidi"/>
          <w:b w:val="0"/>
          <w:smallCaps w:val="0"/>
          <w:sz w:val="22"/>
          <w:lang w:val="en-US"/>
        </w:rPr>
      </w:pPr>
      <w:hyperlink w:anchor="_Toc119059389" w:history="1">
        <w:r w:rsidRPr="009C47EE">
          <w:rPr>
            <w:rStyle w:val="Hyperlink"/>
            <w:rFonts w:ascii="Times New Roman" w:hAnsi="Times New Roman"/>
          </w:rPr>
          <w:t>3.9.7.1.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_Toc119059389 \h </w:instrText>
        </w:r>
        <w:r>
          <w:rPr>
            <w:webHidden/>
          </w:rPr>
        </w:r>
        <w:r>
          <w:rPr>
            <w:webHidden/>
          </w:rPr>
          <w:fldChar w:fldCharType="separate"/>
        </w:r>
        <w:r>
          <w:rPr>
            <w:webHidden/>
          </w:rPr>
          <w:t>190</w:t>
        </w:r>
        <w:r>
          <w:rPr>
            <w:webHidden/>
          </w:rPr>
          <w:fldChar w:fldCharType="end"/>
        </w:r>
      </w:hyperlink>
    </w:p>
    <w:p w14:paraId="7B22C717" w14:textId="7141C78B" w:rsidR="00E61D91" w:rsidRDefault="00E61D91">
      <w:pPr>
        <w:pStyle w:val="TOC2"/>
        <w:rPr>
          <w:rFonts w:asciiTheme="minorHAnsi" w:eastAsiaTheme="minorEastAsia" w:hAnsiTheme="minorHAnsi" w:cstheme="minorBidi"/>
          <w:b w:val="0"/>
          <w:smallCaps w:val="0"/>
          <w:sz w:val="22"/>
          <w:lang w:val="en-US"/>
        </w:rPr>
      </w:pPr>
      <w:hyperlink w:anchor="_Toc119059390" w:history="1">
        <w:r w:rsidRPr="009C47EE">
          <w:rPr>
            <w:rStyle w:val="Hyperlink"/>
            <w:rFonts w:ascii="Times New Roman" w:hAnsi="Times New Roman"/>
          </w:rPr>
          <w:t>3.9.7.2.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_Toc119059390 \h </w:instrText>
        </w:r>
        <w:r>
          <w:rPr>
            <w:webHidden/>
          </w:rPr>
        </w:r>
        <w:r>
          <w:rPr>
            <w:webHidden/>
          </w:rPr>
          <w:fldChar w:fldCharType="separate"/>
        </w:r>
        <w:r>
          <w:rPr>
            <w:webHidden/>
          </w:rPr>
          <w:t>190</w:t>
        </w:r>
        <w:r>
          <w:rPr>
            <w:webHidden/>
          </w:rPr>
          <w:fldChar w:fldCharType="end"/>
        </w:r>
      </w:hyperlink>
    </w:p>
    <w:p w14:paraId="003CB026" w14:textId="786B063A" w:rsidR="00E61D91" w:rsidRDefault="00E61D91">
      <w:pPr>
        <w:pStyle w:val="TOC2"/>
        <w:rPr>
          <w:rFonts w:asciiTheme="minorHAnsi" w:eastAsiaTheme="minorEastAsia" w:hAnsiTheme="minorHAnsi" w:cstheme="minorBidi"/>
          <w:b w:val="0"/>
          <w:smallCaps w:val="0"/>
          <w:sz w:val="22"/>
          <w:lang w:val="en-US"/>
        </w:rPr>
      </w:pPr>
      <w:hyperlink w:anchor="_Toc119059391" w:history="1">
        <w:r w:rsidRPr="009C47EE">
          <w:rPr>
            <w:rStyle w:val="Hyperlink"/>
            <w:rFonts w:ascii="Times New Roman" w:hAnsi="Times New Roman"/>
          </w:rPr>
          <w:t>3.9.8.</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34.07 — IRB-metoden — modpartsrisikoeksponeringer efter eksponeringsklasse og PD-skala</w:t>
        </w:r>
        <w:r>
          <w:rPr>
            <w:webHidden/>
          </w:rPr>
          <w:tab/>
        </w:r>
        <w:r>
          <w:rPr>
            <w:webHidden/>
          </w:rPr>
          <w:fldChar w:fldCharType="begin"/>
        </w:r>
        <w:r>
          <w:rPr>
            <w:webHidden/>
          </w:rPr>
          <w:instrText xml:space="preserve"> PAGEREF _Toc119059391 \h </w:instrText>
        </w:r>
        <w:r>
          <w:rPr>
            <w:webHidden/>
          </w:rPr>
        </w:r>
        <w:r>
          <w:rPr>
            <w:webHidden/>
          </w:rPr>
          <w:fldChar w:fldCharType="separate"/>
        </w:r>
        <w:r>
          <w:rPr>
            <w:webHidden/>
          </w:rPr>
          <w:t>192</w:t>
        </w:r>
        <w:r>
          <w:rPr>
            <w:webHidden/>
          </w:rPr>
          <w:fldChar w:fldCharType="end"/>
        </w:r>
      </w:hyperlink>
    </w:p>
    <w:p w14:paraId="333E5FC6" w14:textId="0D849A29" w:rsidR="00E61D91" w:rsidRDefault="00E61D91">
      <w:pPr>
        <w:pStyle w:val="TOC2"/>
        <w:rPr>
          <w:rFonts w:asciiTheme="minorHAnsi" w:eastAsiaTheme="minorEastAsia" w:hAnsiTheme="minorHAnsi" w:cstheme="minorBidi"/>
          <w:b w:val="0"/>
          <w:smallCaps w:val="0"/>
          <w:sz w:val="22"/>
          <w:lang w:val="en-US"/>
        </w:rPr>
      </w:pPr>
      <w:hyperlink w:anchor="_Toc119059392" w:history="1">
        <w:r w:rsidRPr="009C47EE">
          <w:rPr>
            <w:rStyle w:val="Hyperlink"/>
            <w:rFonts w:ascii="Times New Roman" w:hAnsi="Times New Roman"/>
          </w:rPr>
          <w:t>3.9.8.1.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_Toc119059392 \h </w:instrText>
        </w:r>
        <w:r>
          <w:rPr>
            <w:webHidden/>
          </w:rPr>
        </w:r>
        <w:r>
          <w:rPr>
            <w:webHidden/>
          </w:rPr>
          <w:fldChar w:fldCharType="separate"/>
        </w:r>
        <w:r>
          <w:rPr>
            <w:webHidden/>
          </w:rPr>
          <w:t>192</w:t>
        </w:r>
        <w:r>
          <w:rPr>
            <w:webHidden/>
          </w:rPr>
          <w:fldChar w:fldCharType="end"/>
        </w:r>
      </w:hyperlink>
    </w:p>
    <w:p w14:paraId="7AECEAB8" w14:textId="0A53C03F" w:rsidR="00E61D91" w:rsidRDefault="00E61D91">
      <w:pPr>
        <w:pStyle w:val="TOC2"/>
        <w:rPr>
          <w:rFonts w:asciiTheme="minorHAnsi" w:eastAsiaTheme="minorEastAsia" w:hAnsiTheme="minorHAnsi" w:cstheme="minorBidi"/>
          <w:b w:val="0"/>
          <w:smallCaps w:val="0"/>
          <w:sz w:val="22"/>
          <w:lang w:val="en-US"/>
        </w:rPr>
      </w:pPr>
      <w:hyperlink w:anchor="_Toc119059393" w:history="1">
        <w:r w:rsidRPr="009C47EE">
          <w:rPr>
            <w:rStyle w:val="Hyperlink"/>
            <w:rFonts w:ascii="Times New Roman" w:hAnsi="Times New Roman"/>
          </w:rPr>
          <w:t>3.9.8.2.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_Toc119059393 \h </w:instrText>
        </w:r>
        <w:r>
          <w:rPr>
            <w:webHidden/>
          </w:rPr>
        </w:r>
        <w:r>
          <w:rPr>
            <w:webHidden/>
          </w:rPr>
          <w:fldChar w:fldCharType="separate"/>
        </w:r>
        <w:r>
          <w:rPr>
            <w:webHidden/>
          </w:rPr>
          <w:t>192</w:t>
        </w:r>
        <w:r>
          <w:rPr>
            <w:webHidden/>
          </w:rPr>
          <w:fldChar w:fldCharType="end"/>
        </w:r>
      </w:hyperlink>
    </w:p>
    <w:p w14:paraId="6DF5A17B" w14:textId="770DD4DD" w:rsidR="00E61D91" w:rsidRDefault="00E61D91">
      <w:pPr>
        <w:pStyle w:val="TOC2"/>
        <w:rPr>
          <w:rFonts w:asciiTheme="minorHAnsi" w:eastAsiaTheme="minorEastAsia" w:hAnsiTheme="minorHAnsi" w:cstheme="minorBidi"/>
          <w:b w:val="0"/>
          <w:smallCaps w:val="0"/>
          <w:sz w:val="22"/>
          <w:lang w:val="en-US"/>
        </w:rPr>
      </w:pPr>
      <w:hyperlink w:anchor="_Toc119059394" w:history="1">
        <w:r w:rsidRPr="009C47EE">
          <w:rPr>
            <w:rStyle w:val="Hyperlink"/>
            <w:rFonts w:ascii="Times New Roman" w:hAnsi="Times New Roman"/>
          </w:rPr>
          <w:t>3.9.9.</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34.08 — Sammensætningen af sikkerhedsstillelse for modpartsrisikoeksponeringer</w:t>
        </w:r>
        <w:r>
          <w:rPr>
            <w:webHidden/>
          </w:rPr>
          <w:tab/>
        </w:r>
        <w:r>
          <w:rPr>
            <w:webHidden/>
          </w:rPr>
          <w:fldChar w:fldCharType="begin"/>
        </w:r>
        <w:r>
          <w:rPr>
            <w:webHidden/>
          </w:rPr>
          <w:instrText xml:space="preserve"> PAGEREF _Toc119059394 \h </w:instrText>
        </w:r>
        <w:r>
          <w:rPr>
            <w:webHidden/>
          </w:rPr>
        </w:r>
        <w:r>
          <w:rPr>
            <w:webHidden/>
          </w:rPr>
          <w:fldChar w:fldCharType="separate"/>
        </w:r>
        <w:r>
          <w:rPr>
            <w:webHidden/>
          </w:rPr>
          <w:t>194</w:t>
        </w:r>
        <w:r>
          <w:rPr>
            <w:webHidden/>
          </w:rPr>
          <w:fldChar w:fldCharType="end"/>
        </w:r>
      </w:hyperlink>
    </w:p>
    <w:p w14:paraId="0340E9A4" w14:textId="6E60C83F" w:rsidR="00E61D91" w:rsidRDefault="00E61D91">
      <w:pPr>
        <w:pStyle w:val="TOC2"/>
        <w:rPr>
          <w:rFonts w:asciiTheme="minorHAnsi" w:eastAsiaTheme="minorEastAsia" w:hAnsiTheme="minorHAnsi" w:cstheme="minorBidi"/>
          <w:b w:val="0"/>
          <w:smallCaps w:val="0"/>
          <w:sz w:val="22"/>
          <w:lang w:val="en-US"/>
        </w:rPr>
      </w:pPr>
      <w:hyperlink w:anchor="_Toc119059395" w:history="1">
        <w:r w:rsidRPr="009C47EE">
          <w:rPr>
            <w:rStyle w:val="Hyperlink"/>
            <w:rFonts w:ascii="Times New Roman" w:hAnsi="Times New Roman"/>
          </w:rPr>
          <w:t>3.9.9.1.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_Toc119059395 \h </w:instrText>
        </w:r>
        <w:r>
          <w:rPr>
            <w:webHidden/>
          </w:rPr>
        </w:r>
        <w:r>
          <w:rPr>
            <w:webHidden/>
          </w:rPr>
          <w:fldChar w:fldCharType="separate"/>
        </w:r>
        <w:r>
          <w:rPr>
            <w:webHidden/>
          </w:rPr>
          <w:t>194</w:t>
        </w:r>
        <w:r>
          <w:rPr>
            <w:webHidden/>
          </w:rPr>
          <w:fldChar w:fldCharType="end"/>
        </w:r>
      </w:hyperlink>
    </w:p>
    <w:p w14:paraId="6C4FF917" w14:textId="665D4EF8" w:rsidR="00E61D91" w:rsidRDefault="00E61D91">
      <w:pPr>
        <w:pStyle w:val="TOC2"/>
        <w:rPr>
          <w:rFonts w:asciiTheme="minorHAnsi" w:eastAsiaTheme="minorEastAsia" w:hAnsiTheme="minorHAnsi" w:cstheme="minorBidi"/>
          <w:b w:val="0"/>
          <w:smallCaps w:val="0"/>
          <w:sz w:val="22"/>
          <w:lang w:val="en-US"/>
        </w:rPr>
      </w:pPr>
      <w:hyperlink w:anchor="_Toc119059396" w:history="1">
        <w:r w:rsidRPr="009C47EE">
          <w:rPr>
            <w:rStyle w:val="Hyperlink"/>
            <w:rFonts w:ascii="Times New Roman" w:hAnsi="Times New Roman"/>
          </w:rPr>
          <w:t>3.9.9.2.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_Toc119059396 \h </w:instrText>
        </w:r>
        <w:r>
          <w:rPr>
            <w:webHidden/>
          </w:rPr>
        </w:r>
        <w:r>
          <w:rPr>
            <w:webHidden/>
          </w:rPr>
          <w:fldChar w:fldCharType="separate"/>
        </w:r>
        <w:r>
          <w:rPr>
            <w:webHidden/>
          </w:rPr>
          <w:t>194</w:t>
        </w:r>
        <w:r>
          <w:rPr>
            <w:webHidden/>
          </w:rPr>
          <w:fldChar w:fldCharType="end"/>
        </w:r>
      </w:hyperlink>
    </w:p>
    <w:p w14:paraId="5313D042" w14:textId="0607B3F4" w:rsidR="00E61D91" w:rsidRDefault="00E61D91">
      <w:pPr>
        <w:pStyle w:val="TOC2"/>
        <w:rPr>
          <w:rFonts w:asciiTheme="minorHAnsi" w:eastAsiaTheme="minorEastAsia" w:hAnsiTheme="minorHAnsi" w:cstheme="minorBidi"/>
          <w:b w:val="0"/>
          <w:smallCaps w:val="0"/>
          <w:sz w:val="22"/>
          <w:lang w:val="en-US"/>
        </w:rPr>
      </w:pPr>
      <w:hyperlink w:anchor="_Toc119059397" w:history="1">
        <w:r w:rsidRPr="009C47EE">
          <w:rPr>
            <w:rStyle w:val="Hyperlink"/>
            <w:rFonts w:ascii="Times New Roman" w:hAnsi="Times New Roman"/>
          </w:rPr>
          <w:t>3.9.10.</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34.09 – Eksponering for kreditderivater</w:t>
        </w:r>
        <w:r>
          <w:rPr>
            <w:webHidden/>
          </w:rPr>
          <w:tab/>
        </w:r>
        <w:r>
          <w:rPr>
            <w:webHidden/>
          </w:rPr>
          <w:fldChar w:fldCharType="begin"/>
        </w:r>
        <w:r>
          <w:rPr>
            <w:webHidden/>
          </w:rPr>
          <w:instrText xml:space="preserve"> PAGEREF _Toc119059397 \h </w:instrText>
        </w:r>
        <w:r>
          <w:rPr>
            <w:webHidden/>
          </w:rPr>
        </w:r>
        <w:r>
          <w:rPr>
            <w:webHidden/>
          </w:rPr>
          <w:fldChar w:fldCharType="separate"/>
        </w:r>
        <w:r>
          <w:rPr>
            <w:webHidden/>
          </w:rPr>
          <w:t>196</w:t>
        </w:r>
        <w:r>
          <w:rPr>
            <w:webHidden/>
          </w:rPr>
          <w:fldChar w:fldCharType="end"/>
        </w:r>
      </w:hyperlink>
    </w:p>
    <w:p w14:paraId="3A2949EC" w14:textId="38BCACA9" w:rsidR="00E61D91" w:rsidRDefault="00E61D91">
      <w:pPr>
        <w:pStyle w:val="TOC2"/>
        <w:rPr>
          <w:rFonts w:asciiTheme="minorHAnsi" w:eastAsiaTheme="minorEastAsia" w:hAnsiTheme="minorHAnsi" w:cstheme="minorBidi"/>
          <w:b w:val="0"/>
          <w:smallCaps w:val="0"/>
          <w:sz w:val="22"/>
          <w:lang w:val="en-US"/>
        </w:rPr>
      </w:pPr>
      <w:hyperlink w:anchor="_Toc119059398" w:history="1">
        <w:r w:rsidRPr="009C47EE">
          <w:rPr>
            <w:rStyle w:val="Hyperlink"/>
            <w:rFonts w:ascii="Times New Roman" w:hAnsi="Times New Roman"/>
          </w:rPr>
          <w:t>3.9.10.1.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_Toc119059398 \h </w:instrText>
        </w:r>
        <w:r>
          <w:rPr>
            <w:webHidden/>
          </w:rPr>
        </w:r>
        <w:r>
          <w:rPr>
            <w:webHidden/>
          </w:rPr>
          <w:fldChar w:fldCharType="separate"/>
        </w:r>
        <w:r>
          <w:rPr>
            <w:webHidden/>
          </w:rPr>
          <w:t>196</w:t>
        </w:r>
        <w:r>
          <w:rPr>
            <w:webHidden/>
          </w:rPr>
          <w:fldChar w:fldCharType="end"/>
        </w:r>
      </w:hyperlink>
    </w:p>
    <w:p w14:paraId="5D05A352" w14:textId="084C05E2" w:rsidR="00E61D91" w:rsidRDefault="00E61D91">
      <w:pPr>
        <w:pStyle w:val="TOC2"/>
        <w:rPr>
          <w:rFonts w:asciiTheme="minorHAnsi" w:eastAsiaTheme="minorEastAsia" w:hAnsiTheme="minorHAnsi" w:cstheme="minorBidi"/>
          <w:b w:val="0"/>
          <w:smallCaps w:val="0"/>
          <w:sz w:val="22"/>
          <w:lang w:val="en-US"/>
        </w:rPr>
      </w:pPr>
      <w:hyperlink w:anchor="_Toc119059399" w:history="1">
        <w:r w:rsidRPr="009C47EE">
          <w:rPr>
            <w:rStyle w:val="Hyperlink"/>
            <w:rFonts w:ascii="Times New Roman" w:hAnsi="Times New Roman"/>
          </w:rPr>
          <w:t>3.9.11.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34.10 — Eksponeringer mod CCP'er</w:t>
        </w:r>
        <w:r>
          <w:rPr>
            <w:webHidden/>
          </w:rPr>
          <w:tab/>
        </w:r>
        <w:r>
          <w:rPr>
            <w:webHidden/>
          </w:rPr>
          <w:fldChar w:fldCharType="begin"/>
        </w:r>
        <w:r>
          <w:rPr>
            <w:webHidden/>
          </w:rPr>
          <w:instrText xml:space="preserve"> PAGEREF _Toc119059399 \h </w:instrText>
        </w:r>
        <w:r>
          <w:rPr>
            <w:webHidden/>
          </w:rPr>
        </w:r>
        <w:r>
          <w:rPr>
            <w:webHidden/>
          </w:rPr>
          <w:fldChar w:fldCharType="separate"/>
        </w:r>
        <w:r>
          <w:rPr>
            <w:webHidden/>
          </w:rPr>
          <w:t>196</w:t>
        </w:r>
        <w:r>
          <w:rPr>
            <w:webHidden/>
          </w:rPr>
          <w:fldChar w:fldCharType="end"/>
        </w:r>
      </w:hyperlink>
    </w:p>
    <w:p w14:paraId="3C5770A8" w14:textId="123FEFD4" w:rsidR="00E61D91" w:rsidRDefault="00E61D91">
      <w:pPr>
        <w:pStyle w:val="TOC2"/>
        <w:rPr>
          <w:rFonts w:asciiTheme="minorHAnsi" w:eastAsiaTheme="minorEastAsia" w:hAnsiTheme="minorHAnsi" w:cstheme="minorBidi"/>
          <w:b w:val="0"/>
          <w:smallCaps w:val="0"/>
          <w:sz w:val="22"/>
          <w:lang w:val="en-US"/>
        </w:rPr>
      </w:pPr>
      <w:hyperlink w:anchor="_Toc119059400" w:history="1">
        <w:r w:rsidRPr="009C47EE">
          <w:rPr>
            <w:rStyle w:val="Hyperlink"/>
            <w:rFonts w:ascii="Times New Roman" w:hAnsi="Times New Roman"/>
          </w:rPr>
          <w:t>3.9.11.1.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_Toc119059400 \h </w:instrText>
        </w:r>
        <w:r>
          <w:rPr>
            <w:webHidden/>
          </w:rPr>
        </w:r>
        <w:r>
          <w:rPr>
            <w:webHidden/>
          </w:rPr>
          <w:fldChar w:fldCharType="separate"/>
        </w:r>
        <w:r>
          <w:rPr>
            <w:webHidden/>
          </w:rPr>
          <w:t>196</w:t>
        </w:r>
        <w:r>
          <w:rPr>
            <w:webHidden/>
          </w:rPr>
          <w:fldChar w:fldCharType="end"/>
        </w:r>
      </w:hyperlink>
    </w:p>
    <w:p w14:paraId="0189BE24" w14:textId="76B10D06" w:rsidR="00E61D91" w:rsidRDefault="00E61D91">
      <w:pPr>
        <w:pStyle w:val="TOC2"/>
        <w:rPr>
          <w:rFonts w:asciiTheme="minorHAnsi" w:eastAsiaTheme="minorEastAsia" w:hAnsiTheme="minorHAnsi" w:cstheme="minorBidi"/>
          <w:b w:val="0"/>
          <w:smallCaps w:val="0"/>
          <w:sz w:val="22"/>
          <w:lang w:val="en-US"/>
        </w:rPr>
      </w:pPr>
      <w:hyperlink w:anchor="_Toc119059401" w:history="1">
        <w:r w:rsidRPr="009C47EE">
          <w:rPr>
            <w:rStyle w:val="Hyperlink"/>
            <w:rFonts w:ascii="Times New Roman" w:hAnsi="Times New Roman"/>
          </w:rPr>
          <w:t>3.9.11.2.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_Toc119059401 \h </w:instrText>
        </w:r>
        <w:r>
          <w:rPr>
            <w:webHidden/>
          </w:rPr>
        </w:r>
        <w:r>
          <w:rPr>
            <w:webHidden/>
          </w:rPr>
          <w:fldChar w:fldCharType="separate"/>
        </w:r>
        <w:r>
          <w:rPr>
            <w:webHidden/>
          </w:rPr>
          <w:t>197</w:t>
        </w:r>
        <w:r>
          <w:rPr>
            <w:webHidden/>
          </w:rPr>
          <w:fldChar w:fldCharType="end"/>
        </w:r>
      </w:hyperlink>
    </w:p>
    <w:p w14:paraId="1C502E24" w14:textId="70EC29FF" w:rsidR="00E61D91" w:rsidRDefault="00E61D91">
      <w:pPr>
        <w:pStyle w:val="TOC2"/>
        <w:rPr>
          <w:rFonts w:asciiTheme="minorHAnsi" w:eastAsiaTheme="minorEastAsia" w:hAnsiTheme="minorHAnsi" w:cstheme="minorBidi"/>
          <w:b w:val="0"/>
          <w:smallCaps w:val="0"/>
          <w:sz w:val="22"/>
          <w:lang w:val="en-US"/>
        </w:rPr>
      </w:pPr>
      <w:hyperlink w:anchor="_Toc119059402" w:history="1">
        <w:r w:rsidRPr="009C47EE">
          <w:rPr>
            <w:rStyle w:val="Hyperlink"/>
            <w:rFonts w:ascii="Times New Roman" w:hAnsi="Times New Roman"/>
          </w:rPr>
          <w:t>3.9.12.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34.11 — "flowtabeller" over risikovægtede eksponeringer (RWEA) for modpartsrisikoeksponeringer i henhold til metoden med interne modeller</w:t>
        </w:r>
        <w:r>
          <w:rPr>
            <w:webHidden/>
          </w:rPr>
          <w:tab/>
        </w:r>
        <w:r>
          <w:rPr>
            <w:webHidden/>
          </w:rPr>
          <w:fldChar w:fldCharType="begin"/>
        </w:r>
        <w:r>
          <w:rPr>
            <w:webHidden/>
          </w:rPr>
          <w:instrText xml:space="preserve"> PAGEREF _Toc119059402 \h </w:instrText>
        </w:r>
        <w:r>
          <w:rPr>
            <w:webHidden/>
          </w:rPr>
        </w:r>
        <w:r>
          <w:rPr>
            <w:webHidden/>
          </w:rPr>
          <w:fldChar w:fldCharType="separate"/>
        </w:r>
        <w:r>
          <w:rPr>
            <w:webHidden/>
          </w:rPr>
          <w:t>198</w:t>
        </w:r>
        <w:r>
          <w:rPr>
            <w:webHidden/>
          </w:rPr>
          <w:fldChar w:fldCharType="end"/>
        </w:r>
      </w:hyperlink>
    </w:p>
    <w:p w14:paraId="4B06E45C" w14:textId="04D46BB2" w:rsidR="00E61D91" w:rsidRDefault="00E61D91">
      <w:pPr>
        <w:pStyle w:val="TOC2"/>
        <w:rPr>
          <w:rFonts w:asciiTheme="minorHAnsi" w:eastAsiaTheme="minorEastAsia" w:hAnsiTheme="minorHAnsi" w:cstheme="minorBidi"/>
          <w:b w:val="0"/>
          <w:smallCaps w:val="0"/>
          <w:sz w:val="22"/>
          <w:lang w:val="en-US"/>
        </w:rPr>
      </w:pPr>
      <w:hyperlink w:anchor="_Toc119059403" w:history="1">
        <w:r w:rsidRPr="009C47EE">
          <w:rPr>
            <w:rStyle w:val="Hyperlink"/>
            <w:rFonts w:ascii="Times New Roman" w:hAnsi="Times New Roman"/>
          </w:rPr>
          <w:t>3.9.12.1.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_Toc119059403 \h </w:instrText>
        </w:r>
        <w:r>
          <w:rPr>
            <w:webHidden/>
          </w:rPr>
        </w:r>
        <w:r>
          <w:rPr>
            <w:webHidden/>
          </w:rPr>
          <w:fldChar w:fldCharType="separate"/>
        </w:r>
        <w:r>
          <w:rPr>
            <w:webHidden/>
          </w:rPr>
          <w:t>198</w:t>
        </w:r>
        <w:r>
          <w:rPr>
            <w:webHidden/>
          </w:rPr>
          <w:fldChar w:fldCharType="end"/>
        </w:r>
      </w:hyperlink>
    </w:p>
    <w:p w14:paraId="62737520" w14:textId="4920297B" w:rsidR="00E61D91" w:rsidRDefault="00E61D91">
      <w:pPr>
        <w:pStyle w:val="TOC2"/>
        <w:rPr>
          <w:rFonts w:asciiTheme="minorHAnsi" w:eastAsiaTheme="minorEastAsia" w:hAnsiTheme="minorHAnsi" w:cstheme="minorBidi"/>
          <w:b w:val="0"/>
          <w:smallCaps w:val="0"/>
          <w:sz w:val="22"/>
          <w:lang w:val="en-US"/>
        </w:rPr>
      </w:pPr>
      <w:hyperlink w:anchor="_Toc119059404" w:history="1">
        <w:r w:rsidRPr="009C47EE">
          <w:rPr>
            <w:rStyle w:val="Hyperlink"/>
            <w:rFonts w:ascii="Times New Roman" w:hAnsi="Times New Roman"/>
          </w:rPr>
          <w:t>3.9.12.2.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_Toc119059404 \h </w:instrText>
        </w:r>
        <w:r>
          <w:rPr>
            <w:webHidden/>
          </w:rPr>
        </w:r>
        <w:r>
          <w:rPr>
            <w:webHidden/>
          </w:rPr>
          <w:fldChar w:fldCharType="separate"/>
        </w:r>
        <w:r>
          <w:rPr>
            <w:webHidden/>
          </w:rPr>
          <w:t>198</w:t>
        </w:r>
        <w:r>
          <w:rPr>
            <w:webHidden/>
          </w:rPr>
          <w:fldChar w:fldCharType="end"/>
        </w:r>
      </w:hyperlink>
    </w:p>
    <w:p w14:paraId="02612ABD" w14:textId="25BFA4DA" w:rsidR="00E61D91" w:rsidRDefault="00E61D91">
      <w:pPr>
        <w:pStyle w:val="TOC2"/>
        <w:rPr>
          <w:rFonts w:asciiTheme="minorHAnsi" w:eastAsiaTheme="minorEastAsia" w:hAnsiTheme="minorHAnsi" w:cstheme="minorBidi"/>
          <w:b w:val="0"/>
          <w:smallCaps w:val="0"/>
          <w:sz w:val="22"/>
          <w:lang w:val="en-US"/>
        </w:rPr>
      </w:pPr>
      <w:hyperlink w:anchor="_Toc119059405" w:history="1">
        <w:r w:rsidRPr="009C47EE">
          <w:rPr>
            <w:rStyle w:val="Hyperlink"/>
            <w:rFonts w:ascii="Times New Roman" w:hAnsi="Times New Roman"/>
          </w:rPr>
          <w:t>4.</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Skemaer for operationel risiko</w:t>
        </w:r>
        <w:r>
          <w:rPr>
            <w:webHidden/>
          </w:rPr>
          <w:tab/>
        </w:r>
        <w:r>
          <w:rPr>
            <w:webHidden/>
          </w:rPr>
          <w:fldChar w:fldCharType="begin"/>
        </w:r>
        <w:r>
          <w:rPr>
            <w:webHidden/>
          </w:rPr>
          <w:instrText xml:space="preserve"> PAGEREF _Toc119059405 \h </w:instrText>
        </w:r>
        <w:r>
          <w:rPr>
            <w:webHidden/>
          </w:rPr>
        </w:r>
        <w:r>
          <w:rPr>
            <w:webHidden/>
          </w:rPr>
          <w:fldChar w:fldCharType="separate"/>
        </w:r>
        <w:r>
          <w:rPr>
            <w:webHidden/>
          </w:rPr>
          <w:t>200</w:t>
        </w:r>
        <w:r>
          <w:rPr>
            <w:webHidden/>
          </w:rPr>
          <w:fldChar w:fldCharType="end"/>
        </w:r>
      </w:hyperlink>
    </w:p>
    <w:p w14:paraId="64B14D87" w14:textId="400CF3DD" w:rsidR="00E61D91" w:rsidRDefault="00E61D91">
      <w:pPr>
        <w:pStyle w:val="TOC2"/>
        <w:rPr>
          <w:rFonts w:asciiTheme="minorHAnsi" w:eastAsiaTheme="minorEastAsia" w:hAnsiTheme="minorHAnsi" w:cstheme="minorBidi"/>
          <w:b w:val="0"/>
          <w:smallCaps w:val="0"/>
          <w:sz w:val="22"/>
          <w:lang w:val="en-US"/>
        </w:rPr>
      </w:pPr>
      <w:hyperlink w:anchor="_Toc119059406" w:history="1">
        <w:r w:rsidRPr="009C47EE">
          <w:rPr>
            <w:rStyle w:val="Hyperlink"/>
            <w:rFonts w:ascii="Times New Roman" w:hAnsi="Times New Roman"/>
          </w:rPr>
          <w:t>4.1</w:t>
        </w:r>
        <w:r>
          <w:rPr>
            <w:rFonts w:asciiTheme="minorHAnsi" w:eastAsiaTheme="minorEastAsia" w:hAnsiTheme="minorHAnsi" w:cstheme="minorBidi"/>
            <w:b w:val="0"/>
            <w:smallCaps w:val="0"/>
            <w:sz w:val="22"/>
            <w:lang w:val="en-US"/>
          </w:rPr>
          <w:tab/>
        </w:r>
        <w:r w:rsidRPr="009C47EE">
          <w:rPr>
            <w:rStyle w:val="Hyperlink"/>
          </w:rPr>
          <w:t xml:space="preserve"> </w:t>
        </w:r>
        <w:r w:rsidRPr="009C47EE">
          <w:rPr>
            <w:rStyle w:val="Hyperlink"/>
            <w:rFonts w:ascii="Times New Roman" w:hAnsi="Times New Roman"/>
          </w:rPr>
          <w:t>C 16.00 – Operationel risiko (OPR)</w:t>
        </w:r>
        <w:r>
          <w:rPr>
            <w:webHidden/>
          </w:rPr>
          <w:tab/>
        </w:r>
        <w:r>
          <w:rPr>
            <w:webHidden/>
          </w:rPr>
          <w:fldChar w:fldCharType="begin"/>
        </w:r>
        <w:r>
          <w:rPr>
            <w:webHidden/>
          </w:rPr>
          <w:instrText xml:space="preserve"> PAGEREF _Toc119059406 \h </w:instrText>
        </w:r>
        <w:r>
          <w:rPr>
            <w:webHidden/>
          </w:rPr>
        </w:r>
        <w:r>
          <w:rPr>
            <w:webHidden/>
          </w:rPr>
          <w:fldChar w:fldCharType="separate"/>
        </w:r>
        <w:r>
          <w:rPr>
            <w:webHidden/>
          </w:rPr>
          <w:t>200</w:t>
        </w:r>
        <w:r>
          <w:rPr>
            <w:webHidden/>
          </w:rPr>
          <w:fldChar w:fldCharType="end"/>
        </w:r>
      </w:hyperlink>
    </w:p>
    <w:p w14:paraId="00F82F15" w14:textId="30FA456A" w:rsidR="00E61D91" w:rsidRDefault="00E61D91">
      <w:pPr>
        <w:pStyle w:val="TOC2"/>
        <w:rPr>
          <w:rFonts w:asciiTheme="minorHAnsi" w:eastAsiaTheme="minorEastAsia" w:hAnsiTheme="minorHAnsi" w:cstheme="minorBidi"/>
          <w:b w:val="0"/>
          <w:smallCaps w:val="0"/>
          <w:sz w:val="22"/>
          <w:lang w:val="en-US"/>
        </w:rPr>
      </w:pPr>
      <w:hyperlink w:anchor="_Toc119059407" w:history="1">
        <w:r w:rsidRPr="009C47EE">
          <w:rPr>
            <w:rStyle w:val="Hyperlink"/>
            <w:rFonts w:ascii="Times New Roman" w:hAnsi="Times New Roman"/>
          </w:rPr>
          <w:t>4.1.1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_Toc119059407 \h </w:instrText>
        </w:r>
        <w:r>
          <w:rPr>
            <w:webHidden/>
          </w:rPr>
        </w:r>
        <w:r>
          <w:rPr>
            <w:webHidden/>
          </w:rPr>
          <w:fldChar w:fldCharType="separate"/>
        </w:r>
        <w:r>
          <w:rPr>
            <w:webHidden/>
          </w:rPr>
          <w:t>200</w:t>
        </w:r>
        <w:r>
          <w:rPr>
            <w:webHidden/>
          </w:rPr>
          <w:fldChar w:fldCharType="end"/>
        </w:r>
      </w:hyperlink>
    </w:p>
    <w:p w14:paraId="4C32E67C" w14:textId="6B036EB4" w:rsidR="00E61D91" w:rsidRDefault="00E61D91">
      <w:pPr>
        <w:pStyle w:val="TOC2"/>
        <w:rPr>
          <w:rFonts w:asciiTheme="minorHAnsi" w:eastAsiaTheme="minorEastAsia" w:hAnsiTheme="minorHAnsi" w:cstheme="minorBidi"/>
          <w:b w:val="0"/>
          <w:smallCaps w:val="0"/>
          <w:sz w:val="22"/>
          <w:lang w:val="en-US"/>
        </w:rPr>
      </w:pPr>
      <w:hyperlink w:anchor="_Toc119059408" w:history="1">
        <w:r w:rsidRPr="009C47EE">
          <w:rPr>
            <w:rStyle w:val="Hyperlink"/>
            <w:rFonts w:ascii="Times New Roman" w:hAnsi="Times New Roman"/>
          </w:rPr>
          <w:t>4.1.2.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_Toc119059408 \h </w:instrText>
        </w:r>
        <w:r>
          <w:rPr>
            <w:webHidden/>
          </w:rPr>
        </w:r>
        <w:r>
          <w:rPr>
            <w:webHidden/>
          </w:rPr>
          <w:fldChar w:fldCharType="separate"/>
        </w:r>
        <w:r>
          <w:rPr>
            <w:webHidden/>
          </w:rPr>
          <w:t>201</w:t>
        </w:r>
        <w:r>
          <w:rPr>
            <w:webHidden/>
          </w:rPr>
          <w:fldChar w:fldCharType="end"/>
        </w:r>
      </w:hyperlink>
    </w:p>
    <w:p w14:paraId="57C1032E" w14:textId="1CD9D211" w:rsidR="00E61D91" w:rsidRDefault="00E61D91">
      <w:pPr>
        <w:pStyle w:val="TOC2"/>
        <w:rPr>
          <w:rFonts w:asciiTheme="minorHAnsi" w:eastAsiaTheme="minorEastAsia" w:hAnsiTheme="minorHAnsi" w:cstheme="minorBidi"/>
          <w:b w:val="0"/>
          <w:smallCaps w:val="0"/>
          <w:sz w:val="22"/>
          <w:lang w:val="en-US"/>
        </w:rPr>
      </w:pPr>
      <w:hyperlink w:anchor="_Toc119059409" w:history="1">
        <w:r w:rsidRPr="009C47EE">
          <w:rPr>
            <w:rStyle w:val="Hyperlink"/>
            <w:rFonts w:ascii="Times New Roman" w:hAnsi="Times New Roman"/>
          </w:rPr>
          <w:t>4.2.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Operationel risiko: Detaljerede oplysninger om tab i det foregående år (OPR DETAILS)</w:t>
        </w:r>
        <w:r>
          <w:rPr>
            <w:webHidden/>
          </w:rPr>
          <w:tab/>
        </w:r>
        <w:r>
          <w:rPr>
            <w:webHidden/>
          </w:rPr>
          <w:fldChar w:fldCharType="begin"/>
        </w:r>
        <w:r>
          <w:rPr>
            <w:webHidden/>
          </w:rPr>
          <w:instrText xml:space="preserve"> PAGEREF _Toc119059409 \h </w:instrText>
        </w:r>
        <w:r>
          <w:rPr>
            <w:webHidden/>
          </w:rPr>
        </w:r>
        <w:r>
          <w:rPr>
            <w:webHidden/>
          </w:rPr>
          <w:fldChar w:fldCharType="separate"/>
        </w:r>
        <w:r>
          <w:rPr>
            <w:webHidden/>
          </w:rPr>
          <w:t>204</w:t>
        </w:r>
        <w:r>
          <w:rPr>
            <w:webHidden/>
          </w:rPr>
          <w:fldChar w:fldCharType="end"/>
        </w:r>
      </w:hyperlink>
    </w:p>
    <w:p w14:paraId="22A3E2BD" w14:textId="4C10BD56" w:rsidR="00E61D91" w:rsidRDefault="00E61D91">
      <w:pPr>
        <w:pStyle w:val="TOC2"/>
        <w:rPr>
          <w:rFonts w:asciiTheme="minorHAnsi" w:eastAsiaTheme="minorEastAsia" w:hAnsiTheme="minorHAnsi" w:cstheme="minorBidi"/>
          <w:b w:val="0"/>
          <w:smallCaps w:val="0"/>
          <w:sz w:val="22"/>
          <w:lang w:val="en-US"/>
        </w:rPr>
      </w:pPr>
      <w:hyperlink w:anchor="_Toc119059410" w:history="1">
        <w:r w:rsidRPr="009C47EE">
          <w:rPr>
            <w:rStyle w:val="Hyperlink"/>
            <w:rFonts w:ascii="Times New Roman" w:hAnsi="Times New Roman"/>
          </w:rPr>
          <w:t>4.2.1.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_Toc119059410 \h </w:instrText>
        </w:r>
        <w:r>
          <w:rPr>
            <w:webHidden/>
          </w:rPr>
        </w:r>
        <w:r>
          <w:rPr>
            <w:webHidden/>
          </w:rPr>
          <w:fldChar w:fldCharType="separate"/>
        </w:r>
        <w:r>
          <w:rPr>
            <w:webHidden/>
          </w:rPr>
          <w:t>204</w:t>
        </w:r>
        <w:r>
          <w:rPr>
            <w:webHidden/>
          </w:rPr>
          <w:fldChar w:fldCharType="end"/>
        </w:r>
      </w:hyperlink>
    </w:p>
    <w:p w14:paraId="043E3D23" w14:textId="3AC0F8AF" w:rsidR="00E61D91" w:rsidRDefault="00E61D91">
      <w:pPr>
        <w:pStyle w:val="TOC2"/>
        <w:rPr>
          <w:rFonts w:asciiTheme="minorHAnsi" w:eastAsiaTheme="minorEastAsia" w:hAnsiTheme="minorHAnsi" w:cstheme="minorBidi"/>
          <w:b w:val="0"/>
          <w:smallCaps w:val="0"/>
          <w:sz w:val="22"/>
          <w:lang w:val="en-US"/>
        </w:rPr>
      </w:pPr>
      <w:hyperlink w:anchor="_Toc119059411" w:history="1">
        <w:r w:rsidRPr="009C47EE">
          <w:rPr>
            <w:rStyle w:val="Hyperlink"/>
            <w:rFonts w:ascii="Times New Roman" w:hAnsi="Times New Roman"/>
          </w:rPr>
          <w:t>4.2.2.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17.01: Operationel risiko: tab og godtgørelser efter forretningsområder og typer af tabshændelser i det foregående år (OPR DETAILS 1)</w:t>
        </w:r>
        <w:r>
          <w:rPr>
            <w:webHidden/>
          </w:rPr>
          <w:tab/>
        </w:r>
        <w:r>
          <w:rPr>
            <w:webHidden/>
          </w:rPr>
          <w:fldChar w:fldCharType="begin"/>
        </w:r>
        <w:r>
          <w:rPr>
            <w:webHidden/>
          </w:rPr>
          <w:instrText xml:space="preserve"> PAGEREF _Toc119059411 \h </w:instrText>
        </w:r>
        <w:r>
          <w:rPr>
            <w:webHidden/>
          </w:rPr>
        </w:r>
        <w:r>
          <w:rPr>
            <w:webHidden/>
          </w:rPr>
          <w:fldChar w:fldCharType="separate"/>
        </w:r>
        <w:r>
          <w:rPr>
            <w:webHidden/>
          </w:rPr>
          <w:t>205</w:t>
        </w:r>
        <w:r>
          <w:rPr>
            <w:webHidden/>
          </w:rPr>
          <w:fldChar w:fldCharType="end"/>
        </w:r>
      </w:hyperlink>
    </w:p>
    <w:p w14:paraId="62BC1E56" w14:textId="1449BB3F" w:rsidR="00E61D91" w:rsidRDefault="00E61D91">
      <w:pPr>
        <w:pStyle w:val="TOC2"/>
        <w:rPr>
          <w:rFonts w:asciiTheme="minorHAnsi" w:eastAsiaTheme="minorEastAsia" w:hAnsiTheme="minorHAnsi" w:cstheme="minorBidi"/>
          <w:b w:val="0"/>
          <w:smallCaps w:val="0"/>
          <w:sz w:val="22"/>
          <w:lang w:val="en-US"/>
        </w:rPr>
      </w:pPr>
      <w:hyperlink w:anchor="_Toc119059412" w:history="1">
        <w:r w:rsidRPr="009C47EE">
          <w:rPr>
            <w:rStyle w:val="Hyperlink"/>
            <w:rFonts w:ascii="Times New Roman" w:hAnsi="Times New Roman"/>
          </w:rPr>
          <w:t>4.2.2.1.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_Toc119059412 \h </w:instrText>
        </w:r>
        <w:r>
          <w:rPr>
            <w:webHidden/>
          </w:rPr>
        </w:r>
        <w:r>
          <w:rPr>
            <w:webHidden/>
          </w:rPr>
          <w:fldChar w:fldCharType="separate"/>
        </w:r>
        <w:r>
          <w:rPr>
            <w:webHidden/>
          </w:rPr>
          <w:t>205</w:t>
        </w:r>
        <w:r>
          <w:rPr>
            <w:webHidden/>
          </w:rPr>
          <w:fldChar w:fldCharType="end"/>
        </w:r>
      </w:hyperlink>
    </w:p>
    <w:p w14:paraId="65E4B30A" w14:textId="517CC964" w:rsidR="00E61D91" w:rsidRDefault="00E61D91">
      <w:pPr>
        <w:pStyle w:val="TOC2"/>
        <w:rPr>
          <w:rFonts w:asciiTheme="minorHAnsi" w:eastAsiaTheme="minorEastAsia" w:hAnsiTheme="minorHAnsi" w:cstheme="minorBidi"/>
          <w:b w:val="0"/>
          <w:smallCaps w:val="0"/>
          <w:sz w:val="22"/>
          <w:lang w:val="en-US"/>
        </w:rPr>
      </w:pPr>
      <w:hyperlink w:anchor="_Toc119059413" w:history="1">
        <w:r w:rsidRPr="009C47EE">
          <w:rPr>
            <w:rStyle w:val="Hyperlink"/>
            <w:rFonts w:ascii="Times New Roman" w:hAnsi="Times New Roman"/>
          </w:rPr>
          <w:t>4.2.2.2.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_Toc119059413 \h </w:instrText>
        </w:r>
        <w:r>
          <w:rPr>
            <w:webHidden/>
          </w:rPr>
        </w:r>
        <w:r>
          <w:rPr>
            <w:webHidden/>
          </w:rPr>
          <w:fldChar w:fldCharType="separate"/>
        </w:r>
        <w:r>
          <w:rPr>
            <w:webHidden/>
          </w:rPr>
          <w:t>206</w:t>
        </w:r>
        <w:r>
          <w:rPr>
            <w:webHidden/>
          </w:rPr>
          <w:fldChar w:fldCharType="end"/>
        </w:r>
      </w:hyperlink>
    </w:p>
    <w:p w14:paraId="11B572C2" w14:textId="3E60ADF4" w:rsidR="00E61D91" w:rsidRDefault="00E61D91">
      <w:pPr>
        <w:pStyle w:val="TOC2"/>
        <w:rPr>
          <w:rFonts w:asciiTheme="minorHAnsi" w:eastAsiaTheme="minorEastAsia" w:hAnsiTheme="minorHAnsi" w:cstheme="minorBidi"/>
          <w:b w:val="0"/>
          <w:smallCaps w:val="0"/>
          <w:sz w:val="22"/>
          <w:lang w:val="en-US"/>
        </w:rPr>
      </w:pPr>
      <w:hyperlink w:anchor="_Toc119059414" w:history="1">
        <w:r w:rsidRPr="009C47EE">
          <w:rPr>
            <w:rStyle w:val="Hyperlink"/>
            <w:rFonts w:ascii="Times New Roman" w:hAnsi="Times New Roman"/>
          </w:rPr>
          <w:t>4.2.3.</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17.02: Operationel risiko: Detaljerede oplysninger om de største tabshændelser i det foregående år (OPR DETAILS 2)</w:t>
        </w:r>
        <w:r>
          <w:rPr>
            <w:webHidden/>
          </w:rPr>
          <w:tab/>
        </w:r>
        <w:r>
          <w:rPr>
            <w:webHidden/>
          </w:rPr>
          <w:fldChar w:fldCharType="begin"/>
        </w:r>
        <w:r>
          <w:rPr>
            <w:webHidden/>
          </w:rPr>
          <w:instrText xml:space="preserve"> PAGEREF _Toc119059414 \h </w:instrText>
        </w:r>
        <w:r>
          <w:rPr>
            <w:webHidden/>
          </w:rPr>
        </w:r>
        <w:r>
          <w:rPr>
            <w:webHidden/>
          </w:rPr>
          <w:fldChar w:fldCharType="separate"/>
        </w:r>
        <w:r>
          <w:rPr>
            <w:webHidden/>
          </w:rPr>
          <w:t>212</w:t>
        </w:r>
        <w:r>
          <w:rPr>
            <w:webHidden/>
          </w:rPr>
          <w:fldChar w:fldCharType="end"/>
        </w:r>
      </w:hyperlink>
    </w:p>
    <w:p w14:paraId="79003412" w14:textId="6F379D53" w:rsidR="00E61D91" w:rsidRDefault="00E61D91">
      <w:pPr>
        <w:pStyle w:val="TOC2"/>
        <w:rPr>
          <w:rFonts w:asciiTheme="minorHAnsi" w:eastAsiaTheme="minorEastAsia" w:hAnsiTheme="minorHAnsi" w:cstheme="minorBidi"/>
          <w:b w:val="0"/>
          <w:smallCaps w:val="0"/>
          <w:sz w:val="22"/>
          <w:lang w:val="en-US"/>
        </w:rPr>
      </w:pPr>
      <w:hyperlink w:anchor="_Toc119059415" w:history="1">
        <w:r w:rsidRPr="009C47EE">
          <w:rPr>
            <w:rStyle w:val="Hyperlink"/>
            <w:rFonts w:ascii="Times New Roman" w:hAnsi="Times New Roman"/>
          </w:rPr>
          <w:t>4.2.3.1.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_Toc119059415 \h </w:instrText>
        </w:r>
        <w:r>
          <w:rPr>
            <w:webHidden/>
          </w:rPr>
        </w:r>
        <w:r>
          <w:rPr>
            <w:webHidden/>
          </w:rPr>
          <w:fldChar w:fldCharType="separate"/>
        </w:r>
        <w:r>
          <w:rPr>
            <w:webHidden/>
          </w:rPr>
          <w:t>212</w:t>
        </w:r>
        <w:r>
          <w:rPr>
            <w:webHidden/>
          </w:rPr>
          <w:fldChar w:fldCharType="end"/>
        </w:r>
      </w:hyperlink>
    </w:p>
    <w:p w14:paraId="17DA8E34" w14:textId="59C40DE3" w:rsidR="00E61D91" w:rsidRDefault="00E61D91">
      <w:pPr>
        <w:pStyle w:val="TOC2"/>
        <w:rPr>
          <w:rFonts w:asciiTheme="minorHAnsi" w:eastAsiaTheme="minorEastAsia" w:hAnsiTheme="minorHAnsi" w:cstheme="minorBidi"/>
          <w:b w:val="0"/>
          <w:smallCaps w:val="0"/>
          <w:sz w:val="22"/>
          <w:lang w:val="en-US"/>
        </w:rPr>
      </w:pPr>
      <w:hyperlink w:anchor="_Toc119059416" w:history="1">
        <w:r w:rsidRPr="009C47EE">
          <w:rPr>
            <w:rStyle w:val="Hyperlink"/>
            <w:rFonts w:ascii="Times New Roman" w:hAnsi="Times New Roman"/>
          </w:rPr>
          <w:t>4.2.3.2.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_Toc119059416 \h </w:instrText>
        </w:r>
        <w:r>
          <w:rPr>
            <w:webHidden/>
          </w:rPr>
        </w:r>
        <w:r>
          <w:rPr>
            <w:webHidden/>
          </w:rPr>
          <w:fldChar w:fldCharType="separate"/>
        </w:r>
        <w:r>
          <w:rPr>
            <w:webHidden/>
          </w:rPr>
          <w:t>213</w:t>
        </w:r>
        <w:r>
          <w:rPr>
            <w:webHidden/>
          </w:rPr>
          <w:fldChar w:fldCharType="end"/>
        </w:r>
      </w:hyperlink>
    </w:p>
    <w:p w14:paraId="368E1784" w14:textId="3A1368BA" w:rsidR="00E61D91" w:rsidRDefault="00E61D91">
      <w:pPr>
        <w:pStyle w:val="TOC2"/>
        <w:rPr>
          <w:rFonts w:asciiTheme="minorHAnsi" w:eastAsiaTheme="minorEastAsia" w:hAnsiTheme="minorHAnsi" w:cstheme="minorBidi"/>
          <w:b w:val="0"/>
          <w:smallCaps w:val="0"/>
          <w:sz w:val="22"/>
          <w:lang w:val="en-US"/>
        </w:rPr>
      </w:pPr>
      <w:hyperlink w:anchor="_Toc119059417" w:history="1">
        <w:r w:rsidRPr="009C47EE">
          <w:rPr>
            <w:rStyle w:val="Hyperlink"/>
            <w:rFonts w:ascii="Times New Roman" w:hAnsi="Times New Roman"/>
          </w:rPr>
          <w:t>5.</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Skemaer for markedsrisiko</w:t>
        </w:r>
        <w:r>
          <w:rPr>
            <w:webHidden/>
          </w:rPr>
          <w:tab/>
        </w:r>
        <w:r>
          <w:rPr>
            <w:webHidden/>
          </w:rPr>
          <w:fldChar w:fldCharType="begin"/>
        </w:r>
        <w:r>
          <w:rPr>
            <w:webHidden/>
          </w:rPr>
          <w:instrText xml:space="preserve"> PAGEREF _Toc119059417 \h </w:instrText>
        </w:r>
        <w:r>
          <w:rPr>
            <w:webHidden/>
          </w:rPr>
        </w:r>
        <w:r>
          <w:rPr>
            <w:webHidden/>
          </w:rPr>
          <w:fldChar w:fldCharType="separate"/>
        </w:r>
        <w:r>
          <w:rPr>
            <w:webHidden/>
          </w:rPr>
          <w:t>215</w:t>
        </w:r>
        <w:r>
          <w:rPr>
            <w:webHidden/>
          </w:rPr>
          <w:fldChar w:fldCharType="end"/>
        </w:r>
      </w:hyperlink>
    </w:p>
    <w:p w14:paraId="0428E664" w14:textId="12635514" w:rsidR="00E61D91" w:rsidRDefault="00E61D91">
      <w:pPr>
        <w:pStyle w:val="TOC2"/>
        <w:rPr>
          <w:rFonts w:asciiTheme="minorHAnsi" w:eastAsiaTheme="minorEastAsia" w:hAnsiTheme="minorHAnsi" w:cstheme="minorBidi"/>
          <w:b w:val="0"/>
          <w:smallCaps w:val="0"/>
          <w:sz w:val="22"/>
          <w:lang w:val="en-US"/>
        </w:rPr>
      </w:pPr>
      <w:hyperlink w:anchor="_Toc119059418" w:history="1">
        <w:r w:rsidRPr="009C47EE">
          <w:rPr>
            <w:rStyle w:val="Hyperlink"/>
            <w:rFonts w:ascii="Times New Roman" w:hAnsi="Times New Roman"/>
          </w:rPr>
          <w:t>5.1.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18.00 – Markedsrisiko: Positionsrisici i handlede gældsinstrumenter opgjort efter standardmetoden (MKR SA TDI)</w:t>
        </w:r>
        <w:r>
          <w:rPr>
            <w:webHidden/>
          </w:rPr>
          <w:tab/>
        </w:r>
        <w:r>
          <w:rPr>
            <w:webHidden/>
          </w:rPr>
          <w:fldChar w:fldCharType="begin"/>
        </w:r>
        <w:r>
          <w:rPr>
            <w:webHidden/>
          </w:rPr>
          <w:instrText xml:space="preserve"> PAGEREF _Toc119059418 \h </w:instrText>
        </w:r>
        <w:r>
          <w:rPr>
            <w:webHidden/>
          </w:rPr>
        </w:r>
        <w:r>
          <w:rPr>
            <w:webHidden/>
          </w:rPr>
          <w:fldChar w:fldCharType="separate"/>
        </w:r>
        <w:r>
          <w:rPr>
            <w:webHidden/>
          </w:rPr>
          <w:t>215</w:t>
        </w:r>
        <w:r>
          <w:rPr>
            <w:webHidden/>
          </w:rPr>
          <w:fldChar w:fldCharType="end"/>
        </w:r>
      </w:hyperlink>
    </w:p>
    <w:p w14:paraId="301B5016" w14:textId="32CF4A68" w:rsidR="00E61D91" w:rsidRDefault="00E61D91">
      <w:pPr>
        <w:pStyle w:val="TOC2"/>
        <w:rPr>
          <w:rFonts w:asciiTheme="minorHAnsi" w:eastAsiaTheme="minorEastAsia" w:hAnsiTheme="minorHAnsi" w:cstheme="minorBidi"/>
          <w:b w:val="0"/>
          <w:smallCaps w:val="0"/>
          <w:sz w:val="22"/>
          <w:lang w:val="en-US"/>
        </w:rPr>
      </w:pPr>
      <w:hyperlink w:anchor="_Toc119059419" w:history="1">
        <w:r w:rsidRPr="009C47EE">
          <w:rPr>
            <w:rStyle w:val="Hyperlink"/>
            <w:rFonts w:ascii="Times New Roman" w:hAnsi="Times New Roman"/>
          </w:rPr>
          <w:t>5.1.1.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_Toc119059419 \h </w:instrText>
        </w:r>
        <w:r>
          <w:rPr>
            <w:webHidden/>
          </w:rPr>
        </w:r>
        <w:r>
          <w:rPr>
            <w:webHidden/>
          </w:rPr>
          <w:fldChar w:fldCharType="separate"/>
        </w:r>
        <w:r>
          <w:rPr>
            <w:webHidden/>
          </w:rPr>
          <w:t>215</w:t>
        </w:r>
        <w:r>
          <w:rPr>
            <w:webHidden/>
          </w:rPr>
          <w:fldChar w:fldCharType="end"/>
        </w:r>
      </w:hyperlink>
    </w:p>
    <w:p w14:paraId="22DC39F4" w14:textId="3A0D2F8E" w:rsidR="00E61D91" w:rsidRDefault="00E61D91">
      <w:pPr>
        <w:pStyle w:val="TOC2"/>
        <w:rPr>
          <w:rFonts w:asciiTheme="minorHAnsi" w:eastAsiaTheme="minorEastAsia" w:hAnsiTheme="minorHAnsi" w:cstheme="minorBidi"/>
          <w:b w:val="0"/>
          <w:smallCaps w:val="0"/>
          <w:sz w:val="22"/>
          <w:lang w:val="en-US"/>
        </w:rPr>
      </w:pPr>
      <w:hyperlink w:anchor="_Toc119059420" w:history="1">
        <w:r w:rsidRPr="009C47EE">
          <w:rPr>
            <w:rStyle w:val="Hyperlink"/>
            <w:rFonts w:ascii="Times New Roman" w:hAnsi="Times New Roman"/>
          </w:rPr>
          <w:t>5.1.2.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_Toc119059420 \h </w:instrText>
        </w:r>
        <w:r>
          <w:rPr>
            <w:webHidden/>
          </w:rPr>
        </w:r>
        <w:r>
          <w:rPr>
            <w:webHidden/>
          </w:rPr>
          <w:fldChar w:fldCharType="separate"/>
        </w:r>
        <w:r>
          <w:rPr>
            <w:webHidden/>
          </w:rPr>
          <w:t>215</w:t>
        </w:r>
        <w:r>
          <w:rPr>
            <w:webHidden/>
          </w:rPr>
          <w:fldChar w:fldCharType="end"/>
        </w:r>
      </w:hyperlink>
    </w:p>
    <w:p w14:paraId="75A816EF" w14:textId="22C13383" w:rsidR="00E61D91" w:rsidRDefault="00E61D91">
      <w:pPr>
        <w:pStyle w:val="TOC2"/>
        <w:rPr>
          <w:rFonts w:asciiTheme="minorHAnsi" w:eastAsiaTheme="minorEastAsia" w:hAnsiTheme="minorHAnsi" w:cstheme="minorBidi"/>
          <w:b w:val="0"/>
          <w:smallCaps w:val="0"/>
          <w:sz w:val="22"/>
          <w:lang w:val="en-US"/>
        </w:rPr>
      </w:pPr>
      <w:hyperlink w:anchor="_Toc119059421" w:history="1">
        <w:r w:rsidRPr="009C47EE">
          <w:rPr>
            <w:rStyle w:val="Hyperlink"/>
            <w:rFonts w:ascii="Times New Roman" w:hAnsi="Times New Roman"/>
          </w:rPr>
          <w:t>5.2.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19.00 — MARKEDSRISIKO: SPECIFIK RISIKO I SECURITISERINGER OPGJORT EFTER STANDARDMETODEN (MKR SA SEC)</w:t>
        </w:r>
        <w:r>
          <w:rPr>
            <w:webHidden/>
          </w:rPr>
          <w:tab/>
        </w:r>
        <w:r>
          <w:rPr>
            <w:webHidden/>
          </w:rPr>
          <w:fldChar w:fldCharType="begin"/>
        </w:r>
        <w:r>
          <w:rPr>
            <w:webHidden/>
          </w:rPr>
          <w:instrText xml:space="preserve"> PAGEREF _Toc119059421 \h </w:instrText>
        </w:r>
        <w:r>
          <w:rPr>
            <w:webHidden/>
          </w:rPr>
        </w:r>
        <w:r>
          <w:rPr>
            <w:webHidden/>
          </w:rPr>
          <w:fldChar w:fldCharType="separate"/>
        </w:r>
        <w:r>
          <w:rPr>
            <w:webHidden/>
          </w:rPr>
          <w:t>218</w:t>
        </w:r>
        <w:r>
          <w:rPr>
            <w:webHidden/>
          </w:rPr>
          <w:fldChar w:fldCharType="end"/>
        </w:r>
      </w:hyperlink>
    </w:p>
    <w:p w14:paraId="4C84D219" w14:textId="13C04A37" w:rsidR="00E61D91" w:rsidRDefault="00E61D91">
      <w:pPr>
        <w:pStyle w:val="TOC2"/>
        <w:rPr>
          <w:rFonts w:asciiTheme="minorHAnsi" w:eastAsiaTheme="minorEastAsia" w:hAnsiTheme="minorHAnsi" w:cstheme="minorBidi"/>
          <w:b w:val="0"/>
          <w:smallCaps w:val="0"/>
          <w:sz w:val="22"/>
          <w:lang w:val="en-US"/>
        </w:rPr>
      </w:pPr>
      <w:hyperlink w:anchor="_Toc119059422" w:history="1">
        <w:r w:rsidRPr="009C47EE">
          <w:rPr>
            <w:rStyle w:val="Hyperlink"/>
            <w:rFonts w:ascii="Times New Roman" w:hAnsi="Times New Roman"/>
          </w:rPr>
          <w:t>5.2.1.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_Toc119059422 \h </w:instrText>
        </w:r>
        <w:r>
          <w:rPr>
            <w:webHidden/>
          </w:rPr>
        </w:r>
        <w:r>
          <w:rPr>
            <w:webHidden/>
          </w:rPr>
          <w:fldChar w:fldCharType="separate"/>
        </w:r>
        <w:r>
          <w:rPr>
            <w:webHidden/>
          </w:rPr>
          <w:t>218</w:t>
        </w:r>
        <w:r>
          <w:rPr>
            <w:webHidden/>
          </w:rPr>
          <w:fldChar w:fldCharType="end"/>
        </w:r>
      </w:hyperlink>
    </w:p>
    <w:p w14:paraId="1E7CEBEA" w14:textId="573E717A" w:rsidR="00E61D91" w:rsidRDefault="00E61D91">
      <w:pPr>
        <w:pStyle w:val="TOC2"/>
        <w:rPr>
          <w:rFonts w:asciiTheme="minorHAnsi" w:eastAsiaTheme="minorEastAsia" w:hAnsiTheme="minorHAnsi" w:cstheme="minorBidi"/>
          <w:b w:val="0"/>
          <w:smallCaps w:val="0"/>
          <w:sz w:val="22"/>
          <w:lang w:val="en-US"/>
        </w:rPr>
      </w:pPr>
      <w:hyperlink w:anchor="_Toc119059423" w:history="1">
        <w:r w:rsidRPr="009C47EE">
          <w:rPr>
            <w:rStyle w:val="Hyperlink"/>
            <w:rFonts w:ascii="Times New Roman" w:hAnsi="Times New Roman"/>
          </w:rPr>
          <w:t>5.2.2.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_Toc119059423 \h </w:instrText>
        </w:r>
        <w:r>
          <w:rPr>
            <w:webHidden/>
          </w:rPr>
        </w:r>
        <w:r>
          <w:rPr>
            <w:webHidden/>
          </w:rPr>
          <w:fldChar w:fldCharType="separate"/>
        </w:r>
        <w:r>
          <w:rPr>
            <w:webHidden/>
          </w:rPr>
          <w:t>218</w:t>
        </w:r>
        <w:r>
          <w:rPr>
            <w:webHidden/>
          </w:rPr>
          <w:fldChar w:fldCharType="end"/>
        </w:r>
      </w:hyperlink>
    </w:p>
    <w:p w14:paraId="397339E3" w14:textId="4B1C3B46" w:rsidR="00E61D91" w:rsidRDefault="00E61D91">
      <w:pPr>
        <w:pStyle w:val="TOC2"/>
        <w:rPr>
          <w:rFonts w:asciiTheme="minorHAnsi" w:eastAsiaTheme="minorEastAsia" w:hAnsiTheme="minorHAnsi" w:cstheme="minorBidi"/>
          <w:b w:val="0"/>
          <w:smallCaps w:val="0"/>
          <w:sz w:val="22"/>
          <w:lang w:val="en-US"/>
        </w:rPr>
      </w:pPr>
      <w:hyperlink w:anchor="_Toc119059424" w:history="1">
        <w:r w:rsidRPr="009C47EE">
          <w:rPr>
            <w:rStyle w:val="Hyperlink"/>
            <w:rFonts w:ascii="Times New Roman" w:hAnsi="Times New Roman"/>
          </w:rPr>
          <w:t>5.3.</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20.00 — MARKEDSRISIKO: SPECIFIK RISIKO FOR POSITIONER TILDELT KORRELATIONSHANDELSPORTEFØLJEN OPGJORT EFTER STANDARDMETODEN (MKR SA CTP)</w:t>
        </w:r>
        <w:r>
          <w:rPr>
            <w:webHidden/>
          </w:rPr>
          <w:tab/>
        </w:r>
        <w:r>
          <w:rPr>
            <w:webHidden/>
          </w:rPr>
          <w:fldChar w:fldCharType="begin"/>
        </w:r>
        <w:r>
          <w:rPr>
            <w:webHidden/>
          </w:rPr>
          <w:instrText xml:space="preserve"> PAGEREF _Toc119059424 \h </w:instrText>
        </w:r>
        <w:r>
          <w:rPr>
            <w:webHidden/>
          </w:rPr>
        </w:r>
        <w:r>
          <w:rPr>
            <w:webHidden/>
          </w:rPr>
          <w:fldChar w:fldCharType="separate"/>
        </w:r>
        <w:r>
          <w:rPr>
            <w:webHidden/>
          </w:rPr>
          <w:t>220</w:t>
        </w:r>
        <w:r>
          <w:rPr>
            <w:webHidden/>
          </w:rPr>
          <w:fldChar w:fldCharType="end"/>
        </w:r>
      </w:hyperlink>
    </w:p>
    <w:p w14:paraId="1480970E" w14:textId="7581DF15" w:rsidR="00E61D91" w:rsidRDefault="00E61D91">
      <w:pPr>
        <w:pStyle w:val="TOC2"/>
        <w:rPr>
          <w:rFonts w:asciiTheme="minorHAnsi" w:eastAsiaTheme="minorEastAsia" w:hAnsiTheme="minorHAnsi" w:cstheme="minorBidi"/>
          <w:b w:val="0"/>
          <w:smallCaps w:val="0"/>
          <w:sz w:val="22"/>
          <w:lang w:val="en-US"/>
        </w:rPr>
      </w:pPr>
      <w:hyperlink w:anchor="_Toc119059425" w:history="1">
        <w:r w:rsidRPr="009C47EE">
          <w:rPr>
            <w:rStyle w:val="Hyperlink"/>
            <w:rFonts w:ascii="Times New Roman" w:hAnsi="Times New Roman"/>
          </w:rPr>
          <w:t>5.3.1.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_Toc119059425 \h </w:instrText>
        </w:r>
        <w:r>
          <w:rPr>
            <w:webHidden/>
          </w:rPr>
        </w:r>
        <w:r>
          <w:rPr>
            <w:webHidden/>
          </w:rPr>
          <w:fldChar w:fldCharType="separate"/>
        </w:r>
        <w:r>
          <w:rPr>
            <w:webHidden/>
          </w:rPr>
          <w:t>220</w:t>
        </w:r>
        <w:r>
          <w:rPr>
            <w:webHidden/>
          </w:rPr>
          <w:fldChar w:fldCharType="end"/>
        </w:r>
      </w:hyperlink>
    </w:p>
    <w:p w14:paraId="242FA28B" w14:textId="571D292D" w:rsidR="00E61D91" w:rsidRDefault="00E61D91">
      <w:pPr>
        <w:pStyle w:val="TOC2"/>
        <w:rPr>
          <w:rFonts w:asciiTheme="minorHAnsi" w:eastAsiaTheme="minorEastAsia" w:hAnsiTheme="minorHAnsi" w:cstheme="minorBidi"/>
          <w:b w:val="0"/>
          <w:smallCaps w:val="0"/>
          <w:sz w:val="22"/>
          <w:lang w:val="en-US"/>
        </w:rPr>
      </w:pPr>
      <w:hyperlink w:anchor="_Toc119059426" w:history="1">
        <w:r w:rsidRPr="009C47EE">
          <w:rPr>
            <w:rStyle w:val="Hyperlink"/>
            <w:rFonts w:ascii="Times New Roman" w:hAnsi="Times New Roman"/>
          </w:rPr>
          <w:t>5.3.2.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_Toc119059426 \h </w:instrText>
        </w:r>
        <w:r>
          <w:rPr>
            <w:webHidden/>
          </w:rPr>
        </w:r>
        <w:r>
          <w:rPr>
            <w:webHidden/>
          </w:rPr>
          <w:fldChar w:fldCharType="separate"/>
        </w:r>
        <w:r>
          <w:rPr>
            <w:webHidden/>
          </w:rPr>
          <w:t>221</w:t>
        </w:r>
        <w:r>
          <w:rPr>
            <w:webHidden/>
          </w:rPr>
          <w:fldChar w:fldCharType="end"/>
        </w:r>
      </w:hyperlink>
    </w:p>
    <w:p w14:paraId="527B79A6" w14:textId="7222488A" w:rsidR="00E61D91" w:rsidRDefault="00E61D91">
      <w:pPr>
        <w:pStyle w:val="TOC2"/>
        <w:rPr>
          <w:rFonts w:asciiTheme="minorHAnsi" w:eastAsiaTheme="minorEastAsia" w:hAnsiTheme="minorHAnsi" w:cstheme="minorBidi"/>
          <w:b w:val="0"/>
          <w:smallCaps w:val="0"/>
          <w:sz w:val="22"/>
          <w:lang w:val="en-US"/>
        </w:rPr>
      </w:pPr>
      <w:hyperlink w:anchor="_Toc119059427" w:history="1">
        <w:r w:rsidRPr="009C47EE">
          <w:rPr>
            <w:rStyle w:val="Hyperlink"/>
            <w:rFonts w:ascii="Times New Roman" w:hAnsi="Times New Roman"/>
          </w:rPr>
          <w:t>5.4.</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21.00 – Markedsrisiko: Positionsrisiko i aktier opgjort efter standardmetoden (MKR SA EQU)</w:t>
        </w:r>
        <w:r>
          <w:rPr>
            <w:webHidden/>
          </w:rPr>
          <w:tab/>
        </w:r>
        <w:r>
          <w:rPr>
            <w:webHidden/>
          </w:rPr>
          <w:fldChar w:fldCharType="begin"/>
        </w:r>
        <w:r>
          <w:rPr>
            <w:webHidden/>
          </w:rPr>
          <w:instrText xml:space="preserve"> PAGEREF _Toc119059427 \h </w:instrText>
        </w:r>
        <w:r>
          <w:rPr>
            <w:webHidden/>
          </w:rPr>
        </w:r>
        <w:r>
          <w:rPr>
            <w:webHidden/>
          </w:rPr>
          <w:fldChar w:fldCharType="separate"/>
        </w:r>
        <w:r>
          <w:rPr>
            <w:webHidden/>
          </w:rPr>
          <w:t>224</w:t>
        </w:r>
        <w:r>
          <w:rPr>
            <w:webHidden/>
          </w:rPr>
          <w:fldChar w:fldCharType="end"/>
        </w:r>
      </w:hyperlink>
    </w:p>
    <w:p w14:paraId="65F6B643" w14:textId="15EEBAFA" w:rsidR="00E61D91" w:rsidRDefault="00E61D91">
      <w:pPr>
        <w:pStyle w:val="TOC2"/>
        <w:rPr>
          <w:rFonts w:asciiTheme="minorHAnsi" w:eastAsiaTheme="minorEastAsia" w:hAnsiTheme="minorHAnsi" w:cstheme="minorBidi"/>
          <w:b w:val="0"/>
          <w:smallCaps w:val="0"/>
          <w:sz w:val="22"/>
          <w:lang w:val="en-US"/>
        </w:rPr>
      </w:pPr>
      <w:hyperlink w:anchor="_Toc119059428" w:history="1">
        <w:r w:rsidRPr="009C47EE">
          <w:rPr>
            <w:rStyle w:val="Hyperlink"/>
            <w:rFonts w:ascii="Times New Roman" w:hAnsi="Times New Roman"/>
          </w:rPr>
          <w:t>5.4.1.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_Toc119059428 \h </w:instrText>
        </w:r>
        <w:r>
          <w:rPr>
            <w:webHidden/>
          </w:rPr>
        </w:r>
        <w:r>
          <w:rPr>
            <w:webHidden/>
          </w:rPr>
          <w:fldChar w:fldCharType="separate"/>
        </w:r>
        <w:r>
          <w:rPr>
            <w:webHidden/>
          </w:rPr>
          <w:t>224</w:t>
        </w:r>
        <w:r>
          <w:rPr>
            <w:webHidden/>
          </w:rPr>
          <w:fldChar w:fldCharType="end"/>
        </w:r>
      </w:hyperlink>
    </w:p>
    <w:p w14:paraId="44BB03D4" w14:textId="1FF87E3E" w:rsidR="00E61D91" w:rsidRDefault="00E61D91">
      <w:pPr>
        <w:pStyle w:val="TOC2"/>
        <w:rPr>
          <w:rFonts w:asciiTheme="minorHAnsi" w:eastAsiaTheme="minorEastAsia" w:hAnsiTheme="minorHAnsi" w:cstheme="minorBidi"/>
          <w:b w:val="0"/>
          <w:smallCaps w:val="0"/>
          <w:sz w:val="22"/>
          <w:lang w:val="en-US"/>
        </w:rPr>
      </w:pPr>
      <w:hyperlink w:anchor="_Toc119059429" w:history="1">
        <w:r w:rsidRPr="009C47EE">
          <w:rPr>
            <w:rStyle w:val="Hyperlink"/>
            <w:rFonts w:ascii="Times New Roman" w:hAnsi="Times New Roman"/>
          </w:rPr>
          <w:t>5.4.2.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_Toc119059429 \h </w:instrText>
        </w:r>
        <w:r>
          <w:rPr>
            <w:webHidden/>
          </w:rPr>
        </w:r>
        <w:r>
          <w:rPr>
            <w:webHidden/>
          </w:rPr>
          <w:fldChar w:fldCharType="separate"/>
        </w:r>
        <w:r>
          <w:rPr>
            <w:webHidden/>
          </w:rPr>
          <w:t>224</w:t>
        </w:r>
        <w:r>
          <w:rPr>
            <w:webHidden/>
          </w:rPr>
          <w:fldChar w:fldCharType="end"/>
        </w:r>
      </w:hyperlink>
    </w:p>
    <w:p w14:paraId="558EAD89" w14:textId="18C02E0F" w:rsidR="00E61D91" w:rsidRDefault="00E61D91">
      <w:pPr>
        <w:pStyle w:val="TOC2"/>
        <w:rPr>
          <w:rFonts w:asciiTheme="minorHAnsi" w:eastAsiaTheme="minorEastAsia" w:hAnsiTheme="minorHAnsi" w:cstheme="minorBidi"/>
          <w:b w:val="0"/>
          <w:smallCaps w:val="0"/>
          <w:sz w:val="22"/>
          <w:lang w:val="en-US"/>
        </w:rPr>
      </w:pPr>
      <w:hyperlink w:anchor="_Toc119059430" w:history="1">
        <w:r w:rsidRPr="009C47EE">
          <w:rPr>
            <w:rStyle w:val="Hyperlink"/>
            <w:rFonts w:ascii="Times New Roman" w:hAnsi="Times New Roman"/>
          </w:rPr>
          <w:t>5.5.</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22.00 – Markedsrisiko: Valutarisiko opgjort efter standardmetoden (MKR SA FX)</w:t>
        </w:r>
        <w:r>
          <w:rPr>
            <w:webHidden/>
          </w:rPr>
          <w:tab/>
        </w:r>
        <w:r>
          <w:rPr>
            <w:webHidden/>
          </w:rPr>
          <w:fldChar w:fldCharType="begin"/>
        </w:r>
        <w:r>
          <w:rPr>
            <w:webHidden/>
          </w:rPr>
          <w:instrText xml:space="preserve"> PAGEREF _Toc119059430 \h </w:instrText>
        </w:r>
        <w:r>
          <w:rPr>
            <w:webHidden/>
          </w:rPr>
        </w:r>
        <w:r>
          <w:rPr>
            <w:webHidden/>
          </w:rPr>
          <w:fldChar w:fldCharType="separate"/>
        </w:r>
        <w:r>
          <w:rPr>
            <w:webHidden/>
          </w:rPr>
          <w:t>226</w:t>
        </w:r>
        <w:r>
          <w:rPr>
            <w:webHidden/>
          </w:rPr>
          <w:fldChar w:fldCharType="end"/>
        </w:r>
      </w:hyperlink>
    </w:p>
    <w:p w14:paraId="5DA45296" w14:textId="2E5D7F7D" w:rsidR="00E61D91" w:rsidRDefault="00E61D91">
      <w:pPr>
        <w:pStyle w:val="TOC2"/>
        <w:rPr>
          <w:rFonts w:asciiTheme="minorHAnsi" w:eastAsiaTheme="minorEastAsia" w:hAnsiTheme="minorHAnsi" w:cstheme="minorBidi"/>
          <w:b w:val="0"/>
          <w:smallCaps w:val="0"/>
          <w:sz w:val="22"/>
          <w:lang w:val="en-US"/>
        </w:rPr>
      </w:pPr>
      <w:hyperlink w:anchor="_Toc119059431" w:history="1">
        <w:r w:rsidRPr="009C47EE">
          <w:rPr>
            <w:rStyle w:val="Hyperlink"/>
            <w:rFonts w:ascii="Times New Roman" w:hAnsi="Times New Roman"/>
          </w:rPr>
          <w:t>5.5.1.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_Toc119059431 \h </w:instrText>
        </w:r>
        <w:r>
          <w:rPr>
            <w:webHidden/>
          </w:rPr>
        </w:r>
        <w:r>
          <w:rPr>
            <w:webHidden/>
          </w:rPr>
          <w:fldChar w:fldCharType="separate"/>
        </w:r>
        <w:r>
          <w:rPr>
            <w:webHidden/>
          </w:rPr>
          <w:t>226</w:t>
        </w:r>
        <w:r>
          <w:rPr>
            <w:webHidden/>
          </w:rPr>
          <w:fldChar w:fldCharType="end"/>
        </w:r>
      </w:hyperlink>
    </w:p>
    <w:p w14:paraId="04011AF7" w14:textId="2FBBBB84" w:rsidR="00E61D91" w:rsidRDefault="00E61D91">
      <w:pPr>
        <w:pStyle w:val="TOC2"/>
        <w:rPr>
          <w:rFonts w:asciiTheme="minorHAnsi" w:eastAsiaTheme="minorEastAsia" w:hAnsiTheme="minorHAnsi" w:cstheme="minorBidi"/>
          <w:b w:val="0"/>
          <w:smallCaps w:val="0"/>
          <w:sz w:val="22"/>
          <w:lang w:val="en-US"/>
        </w:rPr>
      </w:pPr>
      <w:hyperlink w:anchor="_Toc119059432" w:history="1">
        <w:r w:rsidRPr="009C47EE">
          <w:rPr>
            <w:rStyle w:val="Hyperlink"/>
            <w:rFonts w:ascii="Times New Roman" w:hAnsi="Times New Roman"/>
          </w:rPr>
          <w:t>5.5.2.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_Toc119059432 \h </w:instrText>
        </w:r>
        <w:r>
          <w:rPr>
            <w:webHidden/>
          </w:rPr>
        </w:r>
        <w:r>
          <w:rPr>
            <w:webHidden/>
          </w:rPr>
          <w:fldChar w:fldCharType="separate"/>
        </w:r>
        <w:r>
          <w:rPr>
            <w:webHidden/>
          </w:rPr>
          <w:t>226</w:t>
        </w:r>
        <w:r>
          <w:rPr>
            <w:webHidden/>
          </w:rPr>
          <w:fldChar w:fldCharType="end"/>
        </w:r>
      </w:hyperlink>
    </w:p>
    <w:p w14:paraId="39741A5F" w14:textId="57117141" w:rsidR="00E61D91" w:rsidRDefault="00E61D91">
      <w:pPr>
        <w:pStyle w:val="TOC2"/>
        <w:rPr>
          <w:rFonts w:asciiTheme="minorHAnsi" w:eastAsiaTheme="minorEastAsia" w:hAnsiTheme="minorHAnsi" w:cstheme="minorBidi"/>
          <w:b w:val="0"/>
          <w:smallCaps w:val="0"/>
          <w:sz w:val="22"/>
          <w:lang w:val="en-US"/>
        </w:rPr>
      </w:pPr>
      <w:hyperlink w:anchor="_Toc119059433" w:history="1">
        <w:r w:rsidRPr="009C47EE">
          <w:rPr>
            <w:rStyle w:val="Hyperlink"/>
            <w:rFonts w:ascii="Times New Roman" w:hAnsi="Times New Roman"/>
          </w:rPr>
          <w:t>5.6.</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23.00 – Markedsrisiko: Råvarer opgjort efter standardmetoden (MKR SA COM)</w:t>
        </w:r>
        <w:r>
          <w:rPr>
            <w:webHidden/>
          </w:rPr>
          <w:tab/>
        </w:r>
        <w:r>
          <w:rPr>
            <w:webHidden/>
          </w:rPr>
          <w:fldChar w:fldCharType="begin"/>
        </w:r>
        <w:r>
          <w:rPr>
            <w:webHidden/>
          </w:rPr>
          <w:instrText xml:space="preserve"> PAGEREF _Toc119059433 \h </w:instrText>
        </w:r>
        <w:r>
          <w:rPr>
            <w:webHidden/>
          </w:rPr>
        </w:r>
        <w:r>
          <w:rPr>
            <w:webHidden/>
          </w:rPr>
          <w:fldChar w:fldCharType="separate"/>
        </w:r>
        <w:r>
          <w:rPr>
            <w:webHidden/>
          </w:rPr>
          <w:t>229</w:t>
        </w:r>
        <w:r>
          <w:rPr>
            <w:webHidden/>
          </w:rPr>
          <w:fldChar w:fldCharType="end"/>
        </w:r>
      </w:hyperlink>
    </w:p>
    <w:p w14:paraId="36248188" w14:textId="0594BF47" w:rsidR="00E61D91" w:rsidRDefault="00E61D91">
      <w:pPr>
        <w:pStyle w:val="TOC2"/>
        <w:rPr>
          <w:rFonts w:asciiTheme="minorHAnsi" w:eastAsiaTheme="minorEastAsia" w:hAnsiTheme="minorHAnsi" w:cstheme="minorBidi"/>
          <w:b w:val="0"/>
          <w:smallCaps w:val="0"/>
          <w:sz w:val="22"/>
          <w:lang w:val="en-US"/>
        </w:rPr>
      </w:pPr>
      <w:hyperlink w:anchor="_Toc119059434" w:history="1">
        <w:r w:rsidRPr="009C47EE">
          <w:rPr>
            <w:rStyle w:val="Hyperlink"/>
            <w:rFonts w:ascii="Times New Roman" w:hAnsi="Times New Roman"/>
          </w:rPr>
          <w:t>5.6.1.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_Toc119059434 \h </w:instrText>
        </w:r>
        <w:r>
          <w:rPr>
            <w:webHidden/>
          </w:rPr>
        </w:r>
        <w:r>
          <w:rPr>
            <w:webHidden/>
          </w:rPr>
          <w:fldChar w:fldCharType="separate"/>
        </w:r>
        <w:r>
          <w:rPr>
            <w:webHidden/>
          </w:rPr>
          <w:t>229</w:t>
        </w:r>
        <w:r>
          <w:rPr>
            <w:webHidden/>
          </w:rPr>
          <w:fldChar w:fldCharType="end"/>
        </w:r>
      </w:hyperlink>
    </w:p>
    <w:p w14:paraId="318A2223" w14:textId="6A87708F" w:rsidR="00E61D91" w:rsidRDefault="00E61D91">
      <w:pPr>
        <w:pStyle w:val="TOC2"/>
        <w:rPr>
          <w:rFonts w:asciiTheme="minorHAnsi" w:eastAsiaTheme="minorEastAsia" w:hAnsiTheme="minorHAnsi" w:cstheme="minorBidi"/>
          <w:b w:val="0"/>
          <w:smallCaps w:val="0"/>
          <w:sz w:val="22"/>
          <w:lang w:val="en-US"/>
        </w:rPr>
      </w:pPr>
      <w:hyperlink w:anchor="_Toc119059435" w:history="1">
        <w:r w:rsidRPr="009C47EE">
          <w:rPr>
            <w:rStyle w:val="Hyperlink"/>
            <w:rFonts w:ascii="Times New Roman" w:hAnsi="Times New Roman"/>
          </w:rPr>
          <w:t>5.6.2.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_Toc119059435 \h </w:instrText>
        </w:r>
        <w:r>
          <w:rPr>
            <w:webHidden/>
          </w:rPr>
        </w:r>
        <w:r>
          <w:rPr>
            <w:webHidden/>
          </w:rPr>
          <w:fldChar w:fldCharType="separate"/>
        </w:r>
        <w:r>
          <w:rPr>
            <w:webHidden/>
          </w:rPr>
          <w:t>229</w:t>
        </w:r>
        <w:r>
          <w:rPr>
            <w:webHidden/>
          </w:rPr>
          <w:fldChar w:fldCharType="end"/>
        </w:r>
      </w:hyperlink>
    </w:p>
    <w:p w14:paraId="1B4C697D" w14:textId="20ADDEAC" w:rsidR="00E61D91" w:rsidRDefault="00E61D91">
      <w:pPr>
        <w:pStyle w:val="TOC2"/>
        <w:rPr>
          <w:rFonts w:asciiTheme="minorHAnsi" w:eastAsiaTheme="minorEastAsia" w:hAnsiTheme="minorHAnsi" w:cstheme="minorBidi"/>
          <w:b w:val="0"/>
          <w:smallCaps w:val="0"/>
          <w:sz w:val="22"/>
          <w:lang w:val="en-US"/>
        </w:rPr>
      </w:pPr>
      <w:hyperlink w:anchor="_Toc119059436" w:history="1">
        <w:r w:rsidRPr="009C47EE">
          <w:rPr>
            <w:rStyle w:val="Hyperlink"/>
            <w:rFonts w:ascii="Times New Roman" w:hAnsi="Times New Roman"/>
          </w:rPr>
          <w:t>5.7.</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24.00 - Markedsrisiko opgjort efter den interne model (MKR IM)</w:t>
        </w:r>
        <w:r>
          <w:rPr>
            <w:webHidden/>
          </w:rPr>
          <w:tab/>
        </w:r>
        <w:r>
          <w:rPr>
            <w:webHidden/>
          </w:rPr>
          <w:fldChar w:fldCharType="begin"/>
        </w:r>
        <w:r>
          <w:rPr>
            <w:webHidden/>
          </w:rPr>
          <w:instrText xml:space="preserve"> PAGEREF _Toc119059436 \h </w:instrText>
        </w:r>
        <w:r>
          <w:rPr>
            <w:webHidden/>
          </w:rPr>
        </w:r>
        <w:r>
          <w:rPr>
            <w:webHidden/>
          </w:rPr>
          <w:fldChar w:fldCharType="separate"/>
        </w:r>
        <w:r>
          <w:rPr>
            <w:webHidden/>
          </w:rPr>
          <w:t>231</w:t>
        </w:r>
        <w:r>
          <w:rPr>
            <w:webHidden/>
          </w:rPr>
          <w:fldChar w:fldCharType="end"/>
        </w:r>
      </w:hyperlink>
    </w:p>
    <w:p w14:paraId="5D77B2E8" w14:textId="0198193A" w:rsidR="00E61D91" w:rsidRDefault="00E61D91">
      <w:pPr>
        <w:pStyle w:val="TOC2"/>
        <w:rPr>
          <w:rFonts w:asciiTheme="minorHAnsi" w:eastAsiaTheme="minorEastAsia" w:hAnsiTheme="minorHAnsi" w:cstheme="minorBidi"/>
          <w:b w:val="0"/>
          <w:smallCaps w:val="0"/>
          <w:sz w:val="22"/>
          <w:lang w:val="en-US"/>
        </w:rPr>
      </w:pPr>
      <w:hyperlink w:anchor="_Toc119059437" w:history="1">
        <w:r w:rsidRPr="009C47EE">
          <w:rPr>
            <w:rStyle w:val="Hyperlink"/>
            <w:rFonts w:ascii="Times New Roman" w:hAnsi="Times New Roman"/>
          </w:rPr>
          <w:t>5.7.1.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_Toc119059437 \h </w:instrText>
        </w:r>
        <w:r>
          <w:rPr>
            <w:webHidden/>
          </w:rPr>
        </w:r>
        <w:r>
          <w:rPr>
            <w:webHidden/>
          </w:rPr>
          <w:fldChar w:fldCharType="separate"/>
        </w:r>
        <w:r>
          <w:rPr>
            <w:webHidden/>
          </w:rPr>
          <w:t>231</w:t>
        </w:r>
        <w:r>
          <w:rPr>
            <w:webHidden/>
          </w:rPr>
          <w:fldChar w:fldCharType="end"/>
        </w:r>
      </w:hyperlink>
    </w:p>
    <w:p w14:paraId="54174798" w14:textId="7B55178E" w:rsidR="00E61D91" w:rsidRDefault="00E61D91">
      <w:pPr>
        <w:pStyle w:val="TOC2"/>
        <w:rPr>
          <w:rFonts w:asciiTheme="minorHAnsi" w:eastAsiaTheme="minorEastAsia" w:hAnsiTheme="minorHAnsi" w:cstheme="minorBidi"/>
          <w:b w:val="0"/>
          <w:smallCaps w:val="0"/>
          <w:sz w:val="22"/>
          <w:lang w:val="en-US"/>
        </w:rPr>
      </w:pPr>
      <w:hyperlink w:anchor="_Toc119059438" w:history="1">
        <w:r w:rsidRPr="009C47EE">
          <w:rPr>
            <w:rStyle w:val="Hyperlink"/>
            <w:rFonts w:ascii="Times New Roman" w:hAnsi="Times New Roman"/>
          </w:rPr>
          <w:t>5.7.2.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_Toc119059438 \h </w:instrText>
        </w:r>
        <w:r>
          <w:rPr>
            <w:webHidden/>
          </w:rPr>
        </w:r>
        <w:r>
          <w:rPr>
            <w:webHidden/>
          </w:rPr>
          <w:fldChar w:fldCharType="separate"/>
        </w:r>
        <w:r>
          <w:rPr>
            <w:webHidden/>
          </w:rPr>
          <w:t>231</w:t>
        </w:r>
        <w:r>
          <w:rPr>
            <w:webHidden/>
          </w:rPr>
          <w:fldChar w:fldCharType="end"/>
        </w:r>
      </w:hyperlink>
    </w:p>
    <w:p w14:paraId="1C227FD7" w14:textId="400854ED" w:rsidR="00E61D91" w:rsidRDefault="00E61D91">
      <w:pPr>
        <w:pStyle w:val="TOC2"/>
        <w:rPr>
          <w:rFonts w:asciiTheme="minorHAnsi" w:eastAsiaTheme="minorEastAsia" w:hAnsiTheme="minorHAnsi" w:cstheme="minorBidi"/>
          <w:b w:val="0"/>
          <w:smallCaps w:val="0"/>
          <w:sz w:val="22"/>
          <w:lang w:val="en-US"/>
        </w:rPr>
      </w:pPr>
      <w:hyperlink w:anchor="_Toc119059439" w:history="1">
        <w:r w:rsidRPr="009C47EE">
          <w:rPr>
            <w:rStyle w:val="Hyperlink"/>
            <w:rFonts w:ascii="Times New Roman" w:hAnsi="Times New Roman"/>
          </w:rPr>
          <w:t>5.8.</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25.00 - KREDITVÆRDIJUSTERINGSRISIKO (CVA)</w:t>
        </w:r>
        <w:r>
          <w:rPr>
            <w:webHidden/>
          </w:rPr>
          <w:tab/>
        </w:r>
        <w:r>
          <w:rPr>
            <w:webHidden/>
          </w:rPr>
          <w:fldChar w:fldCharType="begin"/>
        </w:r>
        <w:r>
          <w:rPr>
            <w:webHidden/>
          </w:rPr>
          <w:instrText xml:space="preserve"> PAGEREF _Toc119059439 \h </w:instrText>
        </w:r>
        <w:r>
          <w:rPr>
            <w:webHidden/>
          </w:rPr>
        </w:r>
        <w:r>
          <w:rPr>
            <w:webHidden/>
          </w:rPr>
          <w:fldChar w:fldCharType="separate"/>
        </w:r>
        <w:r>
          <w:rPr>
            <w:webHidden/>
          </w:rPr>
          <w:t>234</w:t>
        </w:r>
        <w:r>
          <w:rPr>
            <w:webHidden/>
          </w:rPr>
          <w:fldChar w:fldCharType="end"/>
        </w:r>
      </w:hyperlink>
    </w:p>
    <w:p w14:paraId="728F2AFA" w14:textId="40A797B2" w:rsidR="00E61D91" w:rsidRDefault="00E61D91">
      <w:pPr>
        <w:pStyle w:val="TOC2"/>
        <w:rPr>
          <w:rFonts w:asciiTheme="minorHAnsi" w:eastAsiaTheme="minorEastAsia" w:hAnsiTheme="minorHAnsi" w:cstheme="minorBidi"/>
          <w:b w:val="0"/>
          <w:smallCaps w:val="0"/>
          <w:sz w:val="22"/>
          <w:lang w:val="en-US"/>
        </w:rPr>
      </w:pPr>
      <w:hyperlink w:anchor="_Toc119059440" w:history="1">
        <w:r w:rsidRPr="009C47EE">
          <w:rPr>
            <w:rStyle w:val="Hyperlink"/>
            <w:rFonts w:ascii="Times New Roman" w:hAnsi="Times New Roman"/>
          </w:rPr>
          <w:t>5.8.1.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_Toc119059440 \h </w:instrText>
        </w:r>
        <w:r>
          <w:rPr>
            <w:webHidden/>
          </w:rPr>
        </w:r>
        <w:r>
          <w:rPr>
            <w:webHidden/>
          </w:rPr>
          <w:fldChar w:fldCharType="separate"/>
        </w:r>
        <w:r>
          <w:rPr>
            <w:webHidden/>
          </w:rPr>
          <w:t>234</w:t>
        </w:r>
        <w:r>
          <w:rPr>
            <w:webHidden/>
          </w:rPr>
          <w:fldChar w:fldCharType="end"/>
        </w:r>
      </w:hyperlink>
    </w:p>
    <w:p w14:paraId="7970AAC8" w14:textId="2806C505" w:rsidR="00E61D91" w:rsidRDefault="00E61D91">
      <w:pPr>
        <w:pStyle w:val="TOC2"/>
        <w:rPr>
          <w:rFonts w:asciiTheme="minorHAnsi" w:eastAsiaTheme="minorEastAsia" w:hAnsiTheme="minorHAnsi" w:cstheme="minorBidi"/>
          <w:b w:val="0"/>
          <w:smallCaps w:val="0"/>
          <w:sz w:val="22"/>
          <w:lang w:val="en-US"/>
        </w:rPr>
      </w:pPr>
      <w:hyperlink w:anchor="_Toc119059441" w:history="1">
        <w:r w:rsidRPr="009C47EE">
          <w:rPr>
            <w:rStyle w:val="Hyperlink"/>
            <w:rFonts w:ascii="Times New Roman" w:hAnsi="Times New Roman"/>
          </w:rPr>
          <w:t>6.</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Forsigtig værdiansættelse (PruVal)</w:t>
        </w:r>
        <w:r>
          <w:rPr>
            <w:webHidden/>
          </w:rPr>
          <w:tab/>
        </w:r>
        <w:r>
          <w:rPr>
            <w:webHidden/>
          </w:rPr>
          <w:fldChar w:fldCharType="begin"/>
        </w:r>
        <w:r>
          <w:rPr>
            <w:webHidden/>
          </w:rPr>
          <w:instrText xml:space="preserve"> PAGEREF _Toc119059441 \h </w:instrText>
        </w:r>
        <w:r>
          <w:rPr>
            <w:webHidden/>
          </w:rPr>
        </w:r>
        <w:r>
          <w:rPr>
            <w:webHidden/>
          </w:rPr>
          <w:fldChar w:fldCharType="separate"/>
        </w:r>
        <w:r>
          <w:rPr>
            <w:webHidden/>
          </w:rPr>
          <w:t>237</w:t>
        </w:r>
        <w:r>
          <w:rPr>
            <w:webHidden/>
          </w:rPr>
          <w:fldChar w:fldCharType="end"/>
        </w:r>
      </w:hyperlink>
    </w:p>
    <w:p w14:paraId="7254C57F" w14:textId="67FF5FA0" w:rsidR="00E61D91" w:rsidRDefault="00E61D91">
      <w:pPr>
        <w:pStyle w:val="TOC2"/>
        <w:rPr>
          <w:rFonts w:asciiTheme="minorHAnsi" w:eastAsiaTheme="minorEastAsia" w:hAnsiTheme="minorHAnsi" w:cstheme="minorBidi"/>
          <w:b w:val="0"/>
          <w:smallCaps w:val="0"/>
          <w:sz w:val="22"/>
          <w:lang w:val="en-US"/>
        </w:rPr>
      </w:pPr>
      <w:hyperlink w:anchor="_Toc119059442" w:history="1">
        <w:r w:rsidRPr="009C47EE">
          <w:rPr>
            <w:rStyle w:val="Hyperlink"/>
            <w:rFonts w:ascii="Times New Roman" w:hAnsi="Times New Roman"/>
          </w:rPr>
          <w:t>6.1.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32.01 — Forsigtig værdiansættelse: Aktiver og passiver til dagsværdi (PruVal 1)</w:t>
        </w:r>
        <w:r>
          <w:rPr>
            <w:webHidden/>
          </w:rPr>
          <w:tab/>
        </w:r>
        <w:r>
          <w:rPr>
            <w:webHidden/>
          </w:rPr>
          <w:fldChar w:fldCharType="begin"/>
        </w:r>
        <w:r>
          <w:rPr>
            <w:webHidden/>
          </w:rPr>
          <w:instrText xml:space="preserve"> PAGEREF _Toc119059442 \h </w:instrText>
        </w:r>
        <w:r>
          <w:rPr>
            <w:webHidden/>
          </w:rPr>
        </w:r>
        <w:r>
          <w:rPr>
            <w:webHidden/>
          </w:rPr>
          <w:fldChar w:fldCharType="separate"/>
        </w:r>
        <w:r>
          <w:rPr>
            <w:webHidden/>
          </w:rPr>
          <w:t>237</w:t>
        </w:r>
        <w:r>
          <w:rPr>
            <w:webHidden/>
          </w:rPr>
          <w:fldChar w:fldCharType="end"/>
        </w:r>
      </w:hyperlink>
    </w:p>
    <w:p w14:paraId="3929894E" w14:textId="54F693EB" w:rsidR="00E61D91" w:rsidRDefault="00E61D91">
      <w:pPr>
        <w:pStyle w:val="TOC2"/>
        <w:rPr>
          <w:rFonts w:asciiTheme="minorHAnsi" w:eastAsiaTheme="minorEastAsia" w:hAnsiTheme="minorHAnsi" w:cstheme="minorBidi"/>
          <w:b w:val="0"/>
          <w:smallCaps w:val="0"/>
          <w:sz w:val="22"/>
          <w:lang w:val="en-US"/>
        </w:rPr>
      </w:pPr>
      <w:hyperlink w:anchor="_Toc119059443" w:history="1">
        <w:r w:rsidRPr="009C47EE">
          <w:rPr>
            <w:rStyle w:val="Hyperlink"/>
            <w:rFonts w:ascii="Times New Roman" w:hAnsi="Times New Roman"/>
          </w:rPr>
          <w:t>6.1.1.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_Toc119059443 \h </w:instrText>
        </w:r>
        <w:r>
          <w:rPr>
            <w:webHidden/>
          </w:rPr>
        </w:r>
        <w:r>
          <w:rPr>
            <w:webHidden/>
          </w:rPr>
          <w:fldChar w:fldCharType="separate"/>
        </w:r>
        <w:r>
          <w:rPr>
            <w:webHidden/>
          </w:rPr>
          <w:t>237</w:t>
        </w:r>
        <w:r>
          <w:rPr>
            <w:webHidden/>
          </w:rPr>
          <w:fldChar w:fldCharType="end"/>
        </w:r>
      </w:hyperlink>
    </w:p>
    <w:p w14:paraId="09854C08" w14:textId="1F1C526A" w:rsidR="00E61D91" w:rsidRDefault="00E61D91">
      <w:pPr>
        <w:pStyle w:val="TOC2"/>
        <w:rPr>
          <w:rFonts w:asciiTheme="minorHAnsi" w:eastAsiaTheme="minorEastAsia" w:hAnsiTheme="minorHAnsi" w:cstheme="minorBidi"/>
          <w:b w:val="0"/>
          <w:smallCaps w:val="0"/>
          <w:sz w:val="22"/>
          <w:lang w:val="en-US"/>
        </w:rPr>
      </w:pPr>
      <w:hyperlink w:anchor="_Toc119059444" w:history="1">
        <w:r w:rsidRPr="009C47EE">
          <w:rPr>
            <w:rStyle w:val="Hyperlink"/>
            <w:rFonts w:ascii="Times New Roman" w:hAnsi="Times New Roman"/>
          </w:rPr>
          <w:t>6.1.2.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_Toc119059444 \h </w:instrText>
        </w:r>
        <w:r>
          <w:rPr>
            <w:webHidden/>
          </w:rPr>
        </w:r>
        <w:r>
          <w:rPr>
            <w:webHidden/>
          </w:rPr>
          <w:fldChar w:fldCharType="separate"/>
        </w:r>
        <w:r>
          <w:rPr>
            <w:webHidden/>
          </w:rPr>
          <w:t>237</w:t>
        </w:r>
        <w:r>
          <w:rPr>
            <w:webHidden/>
          </w:rPr>
          <w:fldChar w:fldCharType="end"/>
        </w:r>
      </w:hyperlink>
    </w:p>
    <w:p w14:paraId="59C28873" w14:textId="2B1DBF7B" w:rsidR="00E61D91" w:rsidRDefault="00E61D91">
      <w:pPr>
        <w:pStyle w:val="TOC2"/>
        <w:rPr>
          <w:rFonts w:asciiTheme="minorHAnsi" w:eastAsiaTheme="minorEastAsia" w:hAnsiTheme="minorHAnsi" w:cstheme="minorBidi"/>
          <w:b w:val="0"/>
          <w:smallCaps w:val="0"/>
          <w:sz w:val="22"/>
          <w:lang w:val="en-US"/>
        </w:rPr>
      </w:pPr>
      <w:hyperlink w:anchor="_Toc119059445" w:history="1">
        <w:r w:rsidRPr="009C47EE">
          <w:rPr>
            <w:rStyle w:val="Hyperlink"/>
            <w:rFonts w:ascii="Times New Roman" w:hAnsi="Times New Roman"/>
          </w:rPr>
          <w:t>6.2.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32.02 — Forsigtig værdiansættelse: Kernemetode (PruVal 2)</w:t>
        </w:r>
        <w:r>
          <w:rPr>
            <w:webHidden/>
          </w:rPr>
          <w:tab/>
        </w:r>
        <w:r>
          <w:rPr>
            <w:webHidden/>
          </w:rPr>
          <w:fldChar w:fldCharType="begin"/>
        </w:r>
        <w:r>
          <w:rPr>
            <w:webHidden/>
          </w:rPr>
          <w:instrText xml:space="preserve"> PAGEREF _Toc119059445 \h </w:instrText>
        </w:r>
        <w:r>
          <w:rPr>
            <w:webHidden/>
          </w:rPr>
        </w:r>
        <w:r>
          <w:rPr>
            <w:webHidden/>
          </w:rPr>
          <w:fldChar w:fldCharType="separate"/>
        </w:r>
        <w:r>
          <w:rPr>
            <w:webHidden/>
          </w:rPr>
          <w:t>243</w:t>
        </w:r>
        <w:r>
          <w:rPr>
            <w:webHidden/>
          </w:rPr>
          <w:fldChar w:fldCharType="end"/>
        </w:r>
      </w:hyperlink>
    </w:p>
    <w:p w14:paraId="16F990CD" w14:textId="72FB4855" w:rsidR="00E61D91" w:rsidRDefault="00E61D91">
      <w:pPr>
        <w:pStyle w:val="TOC2"/>
        <w:rPr>
          <w:rFonts w:asciiTheme="minorHAnsi" w:eastAsiaTheme="minorEastAsia" w:hAnsiTheme="minorHAnsi" w:cstheme="minorBidi"/>
          <w:b w:val="0"/>
          <w:smallCaps w:val="0"/>
          <w:sz w:val="22"/>
          <w:lang w:val="en-US"/>
        </w:rPr>
      </w:pPr>
      <w:hyperlink w:anchor="_Toc119059446" w:history="1">
        <w:r w:rsidRPr="009C47EE">
          <w:rPr>
            <w:rStyle w:val="Hyperlink"/>
            <w:rFonts w:ascii="Times New Roman" w:hAnsi="Times New Roman"/>
          </w:rPr>
          <w:t>6.2.1.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_Toc119059446 \h </w:instrText>
        </w:r>
        <w:r>
          <w:rPr>
            <w:webHidden/>
          </w:rPr>
        </w:r>
        <w:r>
          <w:rPr>
            <w:webHidden/>
          </w:rPr>
          <w:fldChar w:fldCharType="separate"/>
        </w:r>
        <w:r>
          <w:rPr>
            <w:webHidden/>
          </w:rPr>
          <w:t>243</w:t>
        </w:r>
        <w:r>
          <w:rPr>
            <w:webHidden/>
          </w:rPr>
          <w:fldChar w:fldCharType="end"/>
        </w:r>
      </w:hyperlink>
    </w:p>
    <w:p w14:paraId="7F34C6F6" w14:textId="629CA564" w:rsidR="00E61D91" w:rsidRDefault="00E61D91">
      <w:pPr>
        <w:pStyle w:val="TOC2"/>
        <w:rPr>
          <w:rFonts w:asciiTheme="minorHAnsi" w:eastAsiaTheme="minorEastAsia" w:hAnsiTheme="minorHAnsi" w:cstheme="minorBidi"/>
          <w:b w:val="0"/>
          <w:smallCaps w:val="0"/>
          <w:sz w:val="22"/>
          <w:lang w:val="en-US"/>
        </w:rPr>
      </w:pPr>
      <w:hyperlink w:anchor="_Toc119059447" w:history="1">
        <w:r w:rsidRPr="009C47EE">
          <w:rPr>
            <w:rStyle w:val="Hyperlink"/>
            <w:rFonts w:ascii="Times New Roman" w:hAnsi="Times New Roman"/>
          </w:rPr>
          <w:t>6.2.2.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_Toc119059447 \h </w:instrText>
        </w:r>
        <w:r>
          <w:rPr>
            <w:webHidden/>
          </w:rPr>
        </w:r>
        <w:r>
          <w:rPr>
            <w:webHidden/>
          </w:rPr>
          <w:fldChar w:fldCharType="separate"/>
        </w:r>
        <w:r>
          <w:rPr>
            <w:webHidden/>
          </w:rPr>
          <w:t>243</w:t>
        </w:r>
        <w:r>
          <w:rPr>
            <w:webHidden/>
          </w:rPr>
          <w:fldChar w:fldCharType="end"/>
        </w:r>
      </w:hyperlink>
    </w:p>
    <w:p w14:paraId="26C1B7F1" w14:textId="67EFE984" w:rsidR="00E61D91" w:rsidRDefault="00E61D91">
      <w:pPr>
        <w:pStyle w:val="TOC2"/>
        <w:rPr>
          <w:rFonts w:asciiTheme="minorHAnsi" w:eastAsiaTheme="minorEastAsia" w:hAnsiTheme="minorHAnsi" w:cstheme="minorBidi"/>
          <w:b w:val="0"/>
          <w:smallCaps w:val="0"/>
          <w:sz w:val="22"/>
          <w:lang w:val="en-US"/>
        </w:rPr>
      </w:pPr>
      <w:hyperlink w:anchor="_Toc119059448" w:history="1">
        <w:r w:rsidRPr="009C47EE">
          <w:rPr>
            <w:rStyle w:val="Hyperlink"/>
            <w:rFonts w:ascii="Times New Roman" w:hAnsi="Times New Roman"/>
          </w:rPr>
          <w:t>6.3. C 32.03 — Forsigtig værdiansættelse: AVA for modelrisiko (PruVal 3)</w:t>
        </w:r>
        <w:r>
          <w:rPr>
            <w:webHidden/>
          </w:rPr>
          <w:tab/>
        </w:r>
        <w:r>
          <w:rPr>
            <w:webHidden/>
          </w:rPr>
          <w:fldChar w:fldCharType="begin"/>
        </w:r>
        <w:r>
          <w:rPr>
            <w:webHidden/>
          </w:rPr>
          <w:instrText xml:space="preserve"> PAGEREF _Toc119059448 \h </w:instrText>
        </w:r>
        <w:r>
          <w:rPr>
            <w:webHidden/>
          </w:rPr>
        </w:r>
        <w:r>
          <w:rPr>
            <w:webHidden/>
          </w:rPr>
          <w:fldChar w:fldCharType="separate"/>
        </w:r>
        <w:r>
          <w:rPr>
            <w:webHidden/>
          </w:rPr>
          <w:t>253</w:t>
        </w:r>
        <w:r>
          <w:rPr>
            <w:webHidden/>
          </w:rPr>
          <w:fldChar w:fldCharType="end"/>
        </w:r>
      </w:hyperlink>
    </w:p>
    <w:p w14:paraId="70BA53AB" w14:textId="5E9BD064" w:rsidR="00E61D91" w:rsidRDefault="00E61D91">
      <w:pPr>
        <w:pStyle w:val="TOC2"/>
        <w:rPr>
          <w:rFonts w:asciiTheme="minorHAnsi" w:eastAsiaTheme="minorEastAsia" w:hAnsiTheme="minorHAnsi" w:cstheme="minorBidi"/>
          <w:b w:val="0"/>
          <w:smallCaps w:val="0"/>
          <w:sz w:val="22"/>
          <w:lang w:val="en-US"/>
        </w:rPr>
      </w:pPr>
      <w:hyperlink w:anchor="_Toc119059449" w:history="1">
        <w:r w:rsidRPr="009C47EE">
          <w:rPr>
            <w:rStyle w:val="Hyperlink"/>
            <w:rFonts w:ascii="Times New Roman" w:hAnsi="Times New Roman"/>
          </w:rPr>
          <w:t>6.3.1.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_Toc119059449 \h </w:instrText>
        </w:r>
        <w:r>
          <w:rPr>
            <w:webHidden/>
          </w:rPr>
        </w:r>
        <w:r>
          <w:rPr>
            <w:webHidden/>
          </w:rPr>
          <w:fldChar w:fldCharType="separate"/>
        </w:r>
        <w:r>
          <w:rPr>
            <w:webHidden/>
          </w:rPr>
          <w:t>253</w:t>
        </w:r>
        <w:r>
          <w:rPr>
            <w:webHidden/>
          </w:rPr>
          <w:fldChar w:fldCharType="end"/>
        </w:r>
      </w:hyperlink>
    </w:p>
    <w:p w14:paraId="3728AD06" w14:textId="000632E8" w:rsidR="00E61D91" w:rsidRDefault="00E61D91">
      <w:pPr>
        <w:pStyle w:val="TOC2"/>
        <w:rPr>
          <w:rFonts w:asciiTheme="minorHAnsi" w:eastAsiaTheme="minorEastAsia" w:hAnsiTheme="minorHAnsi" w:cstheme="minorBidi"/>
          <w:b w:val="0"/>
          <w:smallCaps w:val="0"/>
          <w:sz w:val="22"/>
          <w:lang w:val="en-US"/>
        </w:rPr>
      </w:pPr>
      <w:hyperlink w:anchor="_Toc119059450" w:history="1">
        <w:r w:rsidRPr="009C47EE">
          <w:rPr>
            <w:rStyle w:val="Hyperlink"/>
            <w:rFonts w:ascii="Times New Roman" w:hAnsi="Times New Roman"/>
          </w:rPr>
          <w:t>6.3.2.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_Toc119059450 \h </w:instrText>
        </w:r>
        <w:r>
          <w:rPr>
            <w:webHidden/>
          </w:rPr>
        </w:r>
        <w:r>
          <w:rPr>
            <w:webHidden/>
          </w:rPr>
          <w:fldChar w:fldCharType="separate"/>
        </w:r>
        <w:r>
          <w:rPr>
            <w:webHidden/>
          </w:rPr>
          <w:t>253</w:t>
        </w:r>
        <w:r>
          <w:rPr>
            <w:webHidden/>
          </w:rPr>
          <w:fldChar w:fldCharType="end"/>
        </w:r>
      </w:hyperlink>
    </w:p>
    <w:p w14:paraId="2E829A38" w14:textId="3453BC59" w:rsidR="00E61D91" w:rsidRDefault="00E61D91">
      <w:pPr>
        <w:pStyle w:val="TOC2"/>
        <w:rPr>
          <w:rFonts w:asciiTheme="minorHAnsi" w:eastAsiaTheme="minorEastAsia" w:hAnsiTheme="minorHAnsi" w:cstheme="minorBidi"/>
          <w:b w:val="0"/>
          <w:smallCaps w:val="0"/>
          <w:sz w:val="22"/>
          <w:lang w:val="en-US"/>
        </w:rPr>
      </w:pPr>
      <w:hyperlink w:anchor="_Toc119059451" w:history="1">
        <w:r w:rsidRPr="009C47EE">
          <w:rPr>
            <w:rStyle w:val="Hyperlink"/>
            <w:rFonts w:ascii="Times New Roman" w:hAnsi="Times New Roman"/>
          </w:rPr>
          <w:t>6.4 C 32.04 — Forsigtig værdiansættelse: AVA for koncentrerede positioner (PruVal 4)</w:t>
        </w:r>
        <w:r>
          <w:rPr>
            <w:webHidden/>
          </w:rPr>
          <w:tab/>
        </w:r>
        <w:r>
          <w:rPr>
            <w:webHidden/>
          </w:rPr>
          <w:fldChar w:fldCharType="begin"/>
        </w:r>
        <w:r>
          <w:rPr>
            <w:webHidden/>
          </w:rPr>
          <w:instrText xml:space="preserve"> PAGEREF _Toc119059451 \h </w:instrText>
        </w:r>
        <w:r>
          <w:rPr>
            <w:webHidden/>
          </w:rPr>
        </w:r>
        <w:r>
          <w:rPr>
            <w:webHidden/>
          </w:rPr>
          <w:fldChar w:fldCharType="separate"/>
        </w:r>
        <w:r>
          <w:rPr>
            <w:webHidden/>
          </w:rPr>
          <w:t>256</w:t>
        </w:r>
        <w:r>
          <w:rPr>
            <w:webHidden/>
          </w:rPr>
          <w:fldChar w:fldCharType="end"/>
        </w:r>
      </w:hyperlink>
    </w:p>
    <w:p w14:paraId="6363246B" w14:textId="66E05DBF" w:rsidR="00E61D91" w:rsidRDefault="00E61D91">
      <w:pPr>
        <w:pStyle w:val="TOC2"/>
        <w:rPr>
          <w:rFonts w:asciiTheme="minorHAnsi" w:eastAsiaTheme="minorEastAsia" w:hAnsiTheme="minorHAnsi" w:cstheme="minorBidi"/>
          <w:b w:val="0"/>
          <w:smallCaps w:val="0"/>
          <w:sz w:val="22"/>
          <w:lang w:val="en-US"/>
        </w:rPr>
      </w:pPr>
      <w:hyperlink w:anchor="_Toc119059452" w:history="1">
        <w:r w:rsidRPr="009C47EE">
          <w:rPr>
            <w:rStyle w:val="Hyperlink"/>
            <w:rFonts w:ascii="Times New Roman" w:hAnsi="Times New Roman"/>
          </w:rPr>
          <w:t>6.4.1.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_Toc119059452 \h </w:instrText>
        </w:r>
        <w:r>
          <w:rPr>
            <w:webHidden/>
          </w:rPr>
        </w:r>
        <w:r>
          <w:rPr>
            <w:webHidden/>
          </w:rPr>
          <w:fldChar w:fldCharType="separate"/>
        </w:r>
        <w:r>
          <w:rPr>
            <w:webHidden/>
          </w:rPr>
          <w:t>256</w:t>
        </w:r>
        <w:r>
          <w:rPr>
            <w:webHidden/>
          </w:rPr>
          <w:fldChar w:fldCharType="end"/>
        </w:r>
      </w:hyperlink>
    </w:p>
    <w:p w14:paraId="6D79010C" w14:textId="3035E824" w:rsidR="00E61D91" w:rsidRDefault="00E61D91">
      <w:pPr>
        <w:pStyle w:val="TOC2"/>
        <w:rPr>
          <w:rFonts w:asciiTheme="minorHAnsi" w:eastAsiaTheme="minorEastAsia" w:hAnsiTheme="minorHAnsi" w:cstheme="minorBidi"/>
          <w:b w:val="0"/>
          <w:smallCaps w:val="0"/>
          <w:sz w:val="22"/>
          <w:lang w:val="en-US"/>
        </w:rPr>
      </w:pPr>
      <w:hyperlink w:anchor="_Toc119059453" w:history="1">
        <w:r w:rsidRPr="009C47EE">
          <w:rPr>
            <w:rStyle w:val="Hyperlink"/>
            <w:rFonts w:ascii="Times New Roman" w:hAnsi="Times New Roman"/>
          </w:rPr>
          <w:t>6.4.2.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_Toc119059453 \h </w:instrText>
        </w:r>
        <w:r>
          <w:rPr>
            <w:webHidden/>
          </w:rPr>
        </w:r>
        <w:r>
          <w:rPr>
            <w:webHidden/>
          </w:rPr>
          <w:fldChar w:fldCharType="separate"/>
        </w:r>
        <w:r>
          <w:rPr>
            <w:webHidden/>
          </w:rPr>
          <w:t>256</w:t>
        </w:r>
        <w:r>
          <w:rPr>
            <w:webHidden/>
          </w:rPr>
          <w:fldChar w:fldCharType="end"/>
        </w:r>
      </w:hyperlink>
    </w:p>
    <w:p w14:paraId="562A23F1" w14:textId="7AB3E028" w:rsidR="00E61D91" w:rsidRDefault="00E61D91">
      <w:pPr>
        <w:pStyle w:val="TOC2"/>
        <w:rPr>
          <w:rFonts w:asciiTheme="minorHAnsi" w:eastAsiaTheme="minorEastAsia" w:hAnsiTheme="minorHAnsi" w:cstheme="minorBidi"/>
          <w:b w:val="0"/>
          <w:smallCaps w:val="0"/>
          <w:sz w:val="22"/>
          <w:lang w:val="en-US"/>
        </w:rPr>
      </w:pPr>
      <w:hyperlink w:anchor="_Toc119059454" w:history="1">
        <w:r w:rsidRPr="009C47EE">
          <w:rPr>
            <w:rStyle w:val="Hyperlink"/>
            <w:rFonts w:ascii="Times New Roman" w:hAnsi="Times New Roman"/>
          </w:rPr>
          <w:t>7.</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33.00 — Eksponeringer mod offentlig forvaltning og service (GOV)</w:t>
        </w:r>
        <w:r>
          <w:rPr>
            <w:webHidden/>
          </w:rPr>
          <w:tab/>
        </w:r>
        <w:r>
          <w:rPr>
            <w:webHidden/>
          </w:rPr>
          <w:fldChar w:fldCharType="begin"/>
        </w:r>
        <w:r>
          <w:rPr>
            <w:webHidden/>
          </w:rPr>
          <w:instrText xml:space="preserve"> PAGEREF _Toc119059454 \h </w:instrText>
        </w:r>
        <w:r>
          <w:rPr>
            <w:webHidden/>
          </w:rPr>
        </w:r>
        <w:r>
          <w:rPr>
            <w:webHidden/>
          </w:rPr>
          <w:fldChar w:fldCharType="separate"/>
        </w:r>
        <w:r>
          <w:rPr>
            <w:webHidden/>
          </w:rPr>
          <w:t>258</w:t>
        </w:r>
        <w:r>
          <w:rPr>
            <w:webHidden/>
          </w:rPr>
          <w:fldChar w:fldCharType="end"/>
        </w:r>
      </w:hyperlink>
    </w:p>
    <w:p w14:paraId="29B1B4AF" w14:textId="7C053A0D" w:rsidR="00E61D91" w:rsidRDefault="00E61D91">
      <w:pPr>
        <w:pStyle w:val="TOC2"/>
        <w:rPr>
          <w:rFonts w:asciiTheme="minorHAnsi" w:eastAsiaTheme="minorEastAsia" w:hAnsiTheme="minorHAnsi" w:cstheme="minorBidi"/>
          <w:b w:val="0"/>
          <w:smallCaps w:val="0"/>
          <w:sz w:val="22"/>
          <w:lang w:val="en-US"/>
        </w:rPr>
      </w:pPr>
      <w:hyperlink w:anchor="_Toc119059455" w:history="1">
        <w:r w:rsidRPr="009C47EE">
          <w:rPr>
            <w:rStyle w:val="Hyperlink"/>
            <w:rFonts w:ascii="Times New Roman" w:hAnsi="Times New Roman"/>
          </w:rPr>
          <w:t>7.1.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_Toc119059455 \h </w:instrText>
        </w:r>
        <w:r>
          <w:rPr>
            <w:webHidden/>
          </w:rPr>
        </w:r>
        <w:r>
          <w:rPr>
            <w:webHidden/>
          </w:rPr>
          <w:fldChar w:fldCharType="separate"/>
        </w:r>
        <w:r>
          <w:rPr>
            <w:webHidden/>
          </w:rPr>
          <w:t>258</w:t>
        </w:r>
        <w:r>
          <w:rPr>
            <w:webHidden/>
          </w:rPr>
          <w:fldChar w:fldCharType="end"/>
        </w:r>
      </w:hyperlink>
    </w:p>
    <w:p w14:paraId="216D7924" w14:textId="22F54574" w:rsidR="00E61D91" w:rsidRDefault="00E61D91">
      <w:pPr>
        <w:pStyle w:val="TOC2"/>
        <w:rPr>
          <w:rFonts w:asciiTheme="minorHAnsi" w:eastAsiaTheme="minorEastAsia" w:hAnsiTheme="minorHAnsi" w:cstheme="minorBidi"/>
          <w:b w:val="0"/>
          <w:smallCaps w:val="0"/>
          <w:sz w:val="22"/>
          <w:lang w:val="en-US"/>
        </w:rPr>
      </w:pPr>
      <w:hyperlink w:anchor="_Toc119059456" w:history="1">
        <w:r w:rsidRPr="009C47EE">
          <w:rPr>
            <w:rStyle w:val="Hyperlink"/>
            <w:rFonts w:ascii="Times New Roman" w:hAnsi="Times New Roman"/>
          </w:rPr>
          <w:t>7.2.</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Omfanget af skemaet om eksponeringer mod "Offentlig forvaltning og service"</w:t>
        </w:r>
        <w:r>
          <w:rPr>
            <w:webHidden/>
          </w:rPr>
          <w:tab/>
        </w:r>
        <w:r>
          <w:rPr>
            <w:webHidden/>
          </w:rPr>
          <w:fldChar w:fldCharType="begin"/>
        </w:r>
        <w:r>
          <w:rPr>
            <w:webHidden/>
          </w:rPr>
          <w:instrText xml:space="preserve"> PAGEREF _Toc119059456 \h </w:instrText>
        </w:r>
        <w:r>
          <w:rPr>
            <w:webHidden/>
          </w:rPr>
        </w:r>
        <w:r>
          <w:rPr>
            <w:webHidden/>
          </w:rPr>
          <w:fldChar w:fldCharType="separate"/>
        </w:r>
        <w:r>
          <w:rPr>
            <w:webHidden/>
          </w:rPr>
          <w:t>259</w:t>
        </w:r>
        <w:r>
          <w:rPr>
            <w:webHidden/>
          </w:rPr>
          <w:fldChar w:fldCharType="end"/>
        </w:r>
      </w:hyperlink>
    </w:p>
    <w:p w14:paraId="7FCD0C34" w14:textId="1A9B959B" w:rsidR="00E61D91" w:rsidRDefault="00E61D91">
      <w:pPr>
        <w:pStyle w:val="TOC2"/>
        <w:rPr>
          <w:rFonts w:asciiTheme="minorHAnsi" w:eastAsiaTheme="minorEastAsia" w:hAnsiTheme="minorHAnsi" w:cstheme="minorBidi"/>
          <w:b w:val="0"/>
          <w:smallCaps w:val="0"/>
          <w:sz w:val="22"/>
          <w:lang w:val="en-US"/>
        </w:rPr>
      </w:pPr>
      <w:hyperlink w:anchor="_Toc119059457" w:history="1">
        <w:r w:rsidRPr="009C47EE">
          <w:rPr>
            <w:rStyle w:val="Hyperlink"/>
            <w:rFonts w:ascii="Times New Roman" w:hAnsi="Times New Roman"/>
          </w:rPr>
          <w:t>7.3.</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_Toc119059457 \h </w:instrText>
        </w:r>
        <w:r>
          <w:rPr>
            <w:webHidden/>
          </w:rPr>
        </w:r>
        <w:r>
          <w:rPr>
            <w:webHidden/>
          </w:rPr>
          <w:fldChar w:fldCharType="separate"/>
        </w:r>
        <w:r>
          <w:rPr>
            <w:webHidden/>
          </w:rPr>
          <w:t>259</w:t>
        </w:r>
        <w:r>
          <w:rPr>
            <w:webHidden/>
          </w:rPr>
          <w:fldChar w:fldCharType="end"/>
        </w:r>
      </w:hyperlink>
    </w:p>
    <w:p w14:paraId="785A1495" w14:textId="20E6A27F" w:rsidR="00E61D91" w:rsidRDefault="00E61D91">
      <w:pPr>
        <w:pStyle w:val="TOC2"/>
        <w:rPr>
          <w:rFonts w:asciiTheme="minorHAnsi" w:eastAsiaTheme="minorEastAsia" w:hAnsiTheme="minorHAnsi" w:cstheme="minorBidi"/>
          <w:b w:val="0"/>
          <w:smallCaps w:val="0"/>
          <w:sz w:val="22"/>
          <w:lang w:val="en-US"/>
        </w:rPr>
      </w:pPr>
      <w:hyperlink w:anchor="_Toc119059458" w:history="1">
        <w:r w:rsidRPr="009C47EE">
          <w:rPr>
            <w:rStyle w:val="Hyperlink"/>
            <w:rFonts w:ascii="Times New Roman" w:hAnsi="Times New Roman"/>
          </w:rPr>
          <w:t>8.</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Dækning af tab på misligholdte eksponeringer (NPE LC)</w:t>
        </w:r>
        <w:r>
          <w:rPr>
            <w:webHidden/>
          </w:rPr>
          <w:tab/>
        </w:r>
        <w:r>
          <w:rPr>
            <w:webHidden/>
          </w:rPr>
          <w:fldChar w:fldCharType="begin"/>
        </w:r>
        <w:r>
          <w:rPr>
            <w:webHidden/>
          </w:rPr>
          <w:instrText xml:space="preserve"> PAGEREF _Toc119059458 \h </w:instrText>
        </w:r>
        <w:r>
          <w:rPr>
            <w:webHidden/>
          </w:rPr>
        </w:r>
        <w:r>
          <w:rPr>
            <w:webHidden/>
          </w:rPr>
          <w:fldChar w:fldCharType="separate"/>
        </w:r>
        <w:r>
          <w:rPr>
            <w:webHidden/>
          </w:rPr>
          <w:t>270</w:t>
        </w:r>
        <w:r>
          <w:rPr>
            <w:webHidden/>
          </w:rPr>
          <w:fldChar w:fldCharType="end"/>
        </w:r>
      </w:hyperlink>
    </w:p>
    <w:p w14:paraId="32D49556" w14:textId="290E8372" w:rsidR="00E61D91" w:rsidRDefault="00E61D91">
      <w:pPr>
        <w:pStyle w:val="TOC2"/>
        <w:rPr>
          <w:rFonts w:asciiTheme="minorHAnsi" w:eastAsiaTheme="minorEastAsia" w:hAnsiTheme="minorHAnsi" w:cstheme="minorBidi"/>
          <w:b w:val="0"/>
          <w:smallCaps w:val="0"/>
          <w:sz w:val="22"/>
          <w:lang w:val="en-US"/>
        </w:rPr>
      </w:pPr>
      <w:hyperlink w:anchor="_Toc119059459" w:history="1">
        <w:r w:rsidRPr="009C47EE">
          <w:rPr>
            <w:rStyle w:val="Hyperlink"/>
            <w:rFonts w:ascii="Times New Roman" w:hAnsi="Times New Roman"/>
          </w:rPr>
          <w:t>8.1.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Generelle bemærkninger</w:t>
        </w:r>
        <w:r>
          <w:rPr>
            <w:webHidden/>
          </w:rPr>
          <w:tab/>
        </w:r>
        <w:r>
          <w:rPr>
            <w:webHidden/>
          </w:rPr>
          <w:fldChar w:fldCharType="begin"/>
        </w:r>
        <w:r>
          <w:rPr>
            <w:webHidden/>
          </w:rPr>
          <w:instrText xml:space="preserve"> PAGEREF _Toc119059459 \h </w:instrText>
        </w:r>
        <w:r>
          <w:rPr>
            <w:webHidden/>
          </w:rPr>
        </w:r>
        <w:r>
          <w:rPr>
            <w:webHidden/>
          </w:rPr>
          <w:fldChar w:fldCharType="separate"/>
        </w:r>
        <w:r>
          <w:rPr>
            <w:webHidden/>
          </w:rPr>
          <w:t>270</w:t>
        </w:r>
        <w:r>
          <w:rPr>
            <w:webHidden/>
          </w:rPr>
          <w:fldChar w:fldCharType="end"/>
        </w:r>
      </w:hyperlink>
    </w:p>
    <w:p w14:paraId="2071CBCD" w14:textId="603F7977" w:rsidR="00E61D91" w:rsidRDefault="00E61D91">
      <w:pPr>
        <w:pStyle w:val="TOC2"/>
        <w:rPr>
          <w:rFonts w:asciiTheme="minorHAnsi" w:eastAsiaTheme="minorEastAsia" w:hAnsiTheme="minorHAnsi" w:cstheme="minorBidi"/>
          <w:b w:val="0"/>
          <w:smallCaps w:val="0"/>
          <w:sz w:val="22"/>
          <w:lang w:val="en-US"/>
        </w:rPr>
      </w:pPr>
      <w:hyperlink w:anchor="_Toc119059460" w:history="1">
        <w:r w:rsidRPr="009C47EE">
          <w:rPr>
            <w:rStyle w:val="Hyperlink"/>
            <w:rFonts w:ascii="Times New Roman" w:hAnsi="Times New Roman"/>
          </w:rPr>
          <w:t>8.2. C 35.01 — BEREGNING AF FRADRAG FOR MISLIGHOLDTE EKSPONERINGER (NPE LC1)</w:t>
        </w:r>
        <w:r>
          <w:rPr>
            <w:webHidden/>
          </w:rPr>
          <w:tab/>
        </w:r>
        <w:r>
          <w:rPr>
            <w:webHidden/>
          </w:rPr>
          <w:fldChar w:fldCharType="begin"/>
        </w:r>
        <w:r>
          <w:rPr>
            <w:webHidden/>
          </w:rPr>
          <w:instrText xml:space="preserve"> PAGEREF _Toc119059460 \h </w:instrText>
        </w:r>
        <w:r>
          <w:rPr>
            <w:webHidden/>
          </w:rPr>
        </w:r>
        <w:r>
          <w:rPr>
            <w:webHidden/>
          </w:rPr>
          <w:fldChar w:fldCharType="separate"/>
        </w:r>
        <w:r>
          <w:rPr>
            <w:webHidden/>
          </w:rPr>
          <w:t>272</w:t>
        </w:r>
        <w:r>
          <w:rPr>
            <w:webHidden/>
          </w:rPr>
          <w:fldChar w:fldCharType="end"/>
        </w:r>
      </w:hyperlink>
    </w:p>
    <w:p w14:paraId="48A43CDB" w14:textId="51219942" w:rsidR="00E61D91" w:rsidRDefault="00E61D91">
      <w:pPr>
        <w:pStyle w:val="TOC2"/>
        <w:rPr>
          <w:rFonts w:asciiTheme="minorHAnsi" w:eastAsiaTheme="minorEastAsia" w:hAnsiTheme="minorHAnsi" w:cstheme="minorBidi"/>
          <w:b w:val="0"/>
          <w:smallCaps w:val="0"/>
          <w:sz w:val="22"/>
          <w:lang w:val="en-US"/>
        </w:rPr>
      </w:pPr>
      <w:hyperlink w:anchor="_Toc119059461" w:history="1">
        <w:r w:rsidRPr="009C47EE">
          <w:rPr>
            <w:rStyle w:val="Hyperlink"/>
            <w:rFonts w:ascii="Times New Roman" w:hAnsi="Times New Roman"/>
          </w:rPr>
          <w:t>8.2.1.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_Toc119059461 \h </w:instrText>
        </w:r>
        <w:r>
          <w:rPr>
            <w:webHidden/>
          </w:rPr>
        </w:r>
        <w:r>
          <w:rPr>
            <w:webHidden/>
          </w:rPr>
          <w:fldChar w:fldCharType="separate"/>
        </w:r>
        <w:r>
          <w:rPr>
            <w:webHidden/>
          </w:rPr>
          <w:t>272</w:t>
        </w:r>
        <w:r>
          <w:rPr>
            <w:webHidden/>
          </w:rPr>
          <w:fldChar w:fldCharType="end"/>
        </w:r>
      </w:hyperlink>
    </w:p>
    <w:p w14:paraId="5FBF7F0A" w14:textId="3395986C" w:rsidR="00E61D91" w:rsidRDefault="00E61D91">
      <w:pPr>
        <w:pStyle w:val="TOC2"/>
        <w:rPr>
          <w:rFonts w:asciiTheme="minorHAnsi" w:eastAsiaTheme="minorEastAsia" w:hAnsiTheme="minorHAnsi" w:cstheme="minorBidi"/>
          <w:b w:val="0"/>
          <w:smallCaps w:val="0"/>
          <w:sz w:val="22"/>
          <w:lang w:val="en-US"/>
        </w:rPr>
      </w:pPr>
      <w:hyperlink w:anchor="_Toc119059462" w:history="1">
        <w:r w:rsidRPr="009C47EE">
          <w:rPr>
            <w:rStyle w:val="Hyperlink"/>
            <w:rFonts w:ascii="Times New Roman" w:hAnsi="Times New Roman"/>
          </w:rPr>
          <w:t>8.3.</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35.02 — MINIMUMSDÆKNINGSKRAV TIL OG EKSPONERINGSVÆRDI AF MISLIGHOLDTE EKSPONERINGER UDEN KREDITLEMPELSE, SOM ER OMFATTET AF ARTIKEL 47C, STK. 6, I FORORDNING (EU) NR. 575/2013 (NPE LC2)</w:t>
        </w:r>
        <w:r>
          <w:rPr>
            <w:webHidden/>
          </w:rPr>
          <w:tab/>
        </w:r>
        <w:r>
          <w:rPr>
            <w:webHidden/>
          </w:rPr>
          <w:fldChar w:fldCharType="begin"/>
        </w:r>
        <w:r>
          <w:rPr>
            <w:webHidden/>
          </w:rPr>
          <w:instrText xml:space="preserve"> PAGEREF _Toc119059462 \h </w:instrText>
        </w:r>
        <w:r>
          <w:rPr>
            <w:webHidden/>
          </w:rPr>
        </w:r>
        <w:r>
          <w:rPr>
            <w:webHidden/>
          </w:rPr>
          <w:fldChar w:fldCharType="separate"/>
        </w:r>
        <w:r>
          <w:rPr>
            <w:webHidden/>
          </w:rPr>
          <w:t>274</w:t>
        </w:r>
        <w:r>
          <w:rPr>
            <w:webHidden/>
          </w:rPr>
          <w:fldChar w:fldCharType="end"/>
        </w:r>
      </w:hyperlink>
    </w:p>
    <w:p w14:paraId="50798889" w14:textId="43A837DD" w:rsidR="00E61D91" w:rsidRDefault="00E61D91">
      <w:pPr>
        <w:pStyle w:val="TOC2"/>
        <w:rPr>
          <w:rFonts w:asciiTheme="minorHAnsi" w:eastAsiaTheme="minorEastAsia" w:hAnsiTheme="minorHAnsi" w:cstheme="minorBidi"/>
          <w:b w:val="0"/>
          <w:smallCaps w:val="0"/>
          <w:sz w:val="22"/>
          <w:lang w:val="en-US"/>
        </w:rPr>
      </w:pPr>
      <w:hyperlink w:anchor="_Toc119059463" w:history="1">
        <w:r w:rsidRPr="009C47EE">
          <w:rPr>
            <w:rStyle w:val="Hyperlink"/>
            <w:rFonts w:ascii="Times New Roman" w:hAnsi="Times New Roman"/>
          </w:rPr>
          <w:t>8.3.1.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_Toc119059463 \h </w:instrText>
        </w:r>
        <w:r>
          <w:rPr>
            <w:webHidden/>
          </w:rPr>
        </w:r>
        <w:r>
          <w:rPr>
            <w:webHidden/>
          </w:rPr>
          <w:fldChar w:fldCharType="separate"/>
        </w:r>
        <w:r>
          <w:rPr>
            <w:webHidden/>
          </w:rPr>
          <w:t>274</w:t>
        </w:r>
        <w:r>
          <w:rPr>
            <w:webHidden/>
          </w:rPr>
          <w:fldChar w:fldCharType="end"/>
        </w:r>
      </w:hyperlink>
    </w:p>
    <w:p w14:paraId="6177CACE" w14:textId="367A7BB6" w:rsidR="00E61D91" w:rsidRDefault="00E61D91">
      <w:pPr>
        <w:pStyle w:val="TOC2"/>
        <w:rPr>
          <w:rFonts w:asciiTheme="minorHAnsi" w:eastAsiaTheme="minorEastAsia" w:hAnsiTheme="minorHAnsi" w:cstheme="minorBidi"/>
          <w:b w:val="0"/>
          <w:smallCaps w:val="0"/>
          <w:sz w:val="22"/>
          <w:lang w:val="en-US"/>
        </w:rPr>
      </w:pPr>
      <w:hyperlink w:anchor="_Toc119059464" w:history="1">
        <w:r w:rsidRPr="009C47EE">
          <w:rPr>
            <w:rStyle w:val="Hyperlink"/>
            <w:rFonts w:ascii="Times New Roman" w:hAnsi="Times New Roman"/>
          </w:rPr>
          <w:t>8.4.</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C 35.03 — MINIMUMSDÆKNINGSKRAV TIL OG EKSPONERINGSVÆRDI AF MISLIGHOLDTE EKSPONERINGER MED KREDITLEMPELSE, SOM ER OMFATTET AF ARTIKEL 47C, STK. 6, I FORORDNING (EU) NR. 575/2013 (NPE LC3)</w:t>
        </w:r>
        <w:r>
          <w:rPr>
            <w:webHidden/>
          </w:rPr>
          <w:tab/>
        </w:r>
        <w:r>
          <w:rPr>
            <w:webHidden/>
          </w:rPr>
          <w:fldChar w:fldCharType="begin"/>
        </w:r>
        <w:r>
          <w:rPr>
            <w:webHidden/>
          </w:rPr>
          <w:instrText xml:space="preserve"> PAGEREF _Toc119059464 \h </w:instrText>
        </w:r>
        <w:r>
          <w:rPr>
            <w:webHidden/>
          </w:rPr>
        </w:r>
        <w:r>
          <w:rPr>
            <w:webHidden/>
          </w:rPr>
          <w:fldChar w:fldCharType="separate"/>
        </w:r>
        <w:r>
          <w:rPr>
            <w:webHidden/>
          </w:rPr>
          <w:t>277</w:t>
        </w:r>
        <w:r>
          <w:rPr>
            <w:webHidden/>
          </w:rPr>
          <w:fldChar w:fldCharType="end"/>
        </w:r>
      </w:hyperlink>
    </w:p>
    <w:p w14:paraId="4BAC3546" w14:textId="44041C06" w:rsidR="00E61D91" w:rsidRDefault="00E61D91">
      <w:pPr>
        <w:pStyle w:val="TOC2"/>
        <w:rPr>
          <w:rFonts w:asciiTheme="minorHAnsi" w:eastAsiaTheme="minorEastAsia" w:hAnsiTheme="minorHAnsi" w:cstheme="minorBidi"/>
          <w:b w:val="0"/>
          <w:smallCaps w:val="0"/>
          <w:sz w:val="22"/>
          <w:lang w:val="en-US"/>
        </w:rPr>
      </w:pPr>
      <w:hyperlink w:anchor="_Toc119059465" w:history="1">
        <w:r w:rsidRPr="009C47EE">
          <w:rPr>
            <w:rStyle w:val="Hyperlink"/>
            <w:rFonts w:ascii="Times New Roman" w:hAnsi="Times New Roman"/>
          </w:rPr>
          <w:t>8.4.1.</w:t>
        </w:r>
        <w:r>
          <w:rPr>
            <w:rFonts w:asciiTheme="minorHAnsi" w:eastAsiaTheme="minorEastAsia" w:hAnsiTheme="minorHAnsi" w:cstheme="minorBidi"/>
            <w:b w:val="0"/>
            <w:smallCaps w:val="0"/>
            <w:sz w:val="22"/>
            <w:lang w:val="en-US"/>
          </w:rPr>
          <w:tab/>
        </w:r>
        <w:r w:rsidRPr="009C47EE">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_Toc119059465 \h </w:instrText>
        </w:r>
        <w:r>
          <w:rPr>
            <w:webHidden/>
          </w:rPr>
        </w:r>
        <w:r>
          <w:rPr>
            <w:webHidden/>
          </w:rPr>
          <w:fldChar w:fldCharType="separate"/>
        </w:r>
        <w:r>
          <w:rPr>
            <w:webHidden/>
          </w:rPr>
          <w:t>277</w:t>
        </w:r>
        <w:r>
          <w:rPr>
            <w:webHidden/>
          </w:rPr>
          <w:fldChar w:fldCharType="end"/>
        </w:r>
      </w:hyperlink>
    </w:p>
    <w:p w14:paraId="4325A1DC" w14:textId="2157A35B"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rPr>
      </w:pPr>
      <w:bookmarkStart w:id="3" w:name="_Toc264038394"/>
      <w:bookmarkStart w:id="4" w:name="_Toc360188317"/>
      <w:bookmarkStart w:id="5" w:name="_Toc473560865"/>
      <w:bookmarkStart w:id="6" w:name="_Toc119059287"/>
      <w:r>
        <w:rPr>
          <w:rFonts w:ascii="Times New Roman" w:hAnsi="Times New Roman"/>
        </w:rPr>
        <w:t>DEL I:</w:t>
      </w:r>
      <w:bookmarkEnd w:id="3"/>
      <w:r>
        <w:rPr>
          <w:rFonts w:ascii="Times New Roman" w:hAnsi="Times New Roman"/>
        </w:rPr>
        <w:t xml:space="preserve"> GENERELLE INSTRUKSER</w:t>
      </w:r>
      <w:bookmarkEnd w:id="4"/>
      <w:bookmarkEnd w:id="5"/>
      <w:bookmarkEnd w:id="6"/>
    </w:p>
    <w:p w14:paraId="2B1DE452" w14:textId="1F956A89"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473560866"/>
      <w:bookmarkStart w:id="9" w:name="_Toc119059288"/>
      <w:r>
        <w:rPr>
          <w:rFonts w:ascii="Times New Roman" w:hAnsi="Times New Roman"/>
          <w:sz w:val="24"/>
          <w:u w:val="none"/>
        </w:rPr>
        <w:t>1.</w:t>
      </w:r>
      <w:r>
        <w:tab/>
      </w:r>
      <w:r>
        <w:rPr>
          <w:rFonts w:ascii="Times New Roman" w:hAnsi="Times New Roman"/>
          <w:sz w:val="24"/>
          <w:u w:val="none"/>
        </w:rPr>
        <w:t>OPBYGNING OG KONVENTIONER</w:t>
      </w:r>
      <w:bookmarkEnd w:id="7"/>
      <w:bookmarkEnd w:id="8"/>
      <w:bookmarkEnd w:id="9"/>
    </w:p>
    <w:p w14:paraId="34CCE4AC" w14:textId="04EB4EEC" w:rsidR="002648B0" w:rsidRPr="002A677E" w:rsidRDefault="00125707" w:rsidP="00304CA5">
      <w:pPr>
        <w:pStyle w:val="Instructionsberschrift2"/>
        <w:numPr>
          <w:ilvl w:val="0"/>
          <w:numId w:val="0"/>
        </w:numPr>
        <w:ind w:left="357" w:hanging="357"/>
        <w:rPr>
          <w:rFonts w:ascii="Times New Roman" w:hAnsi="Times New Roman" w:cs="Times New Roman"/>
          <w:sz w:val="24"/>
          <w:u w:val="none"/>
        </w:rPr>
      </w:pPr>
      <w:bookmarkStart w:id="10" w:name="_Toc360188319"/>
      <w:bookmarkStart w:id="11" w:name="_Toc473560867"/>
      <w:bookmarkStart w:id="12" w:name="_Toc264038399"/>
      <w:bookmarkStart w:id="13" w:name="_Toc294018834"/>
      <w:bookmarkStart w:id="14" w:name="_Toc119059289"/>
      <w:r>
        <w:rPr>
          <w:rFonts w:ascii="Times New Roman" w:hAnsi="Times New Roman"/>
          <w:sz w:val="24"/>
          <w:u w:val="none"/>
        </w:rPr>
        <w:t>1.1.</w:t>
      </w:r>
      <w:r>
        <w:tab/>
      </w:r>
      <w:r>
        <w:rPr>
          <w:rFonts w:ascii="Times New Roman" w:hAnsi="Times New Roman"/>
          <w:sz w:val="24"/>
          <w:u w:val="none"/>
        </w:rPr>
        <w:t>OPBYGNING</w:t>
      </w:r>
      <w:bookmarkEnd w:id="10"/>
      <w:bookmarkEnd w:id="11"/>
      <w:bookmarkEnd w:id="14"/>
    </w:p>
    <w:p w14:paraId="336D6DE1" w14:textId="0C8E43B0" w:rsidR="002648B0" w:rsidRPr="002A677E" w:rsidRDefault="008F3052" w:rsidP="00487A02">
      <w:pPr>
        <w:pStyle w:val="InstructionsText2"/>
        <w:numPr>
          <w:ilvl w:val="0"/>
          <w:numId w:val="0"/>
        </w:numPr>
        <w:ind w:left="1353" w:hanging="360"/>
      </w:pPr>
      <w:fldSimple w:instr=" seq paragraphs ">
        <w:r>
          <w:t>1</w:t>
        </w:r>
      </w:fldSimple>
      <w:r>
        <w:t>.</w:t>
      </w:r>
      <w:r>
        <w:tab/>
        <w:t>Den overordnede ramme dækker seks emner:</w:t>
      </w:r>
    </w:p>
    <w:p w14:paraId="081D30F3" w14:textId="77777777" w:rsidR="002648B0" w:rsidRPr="002A677E" w:rsidRDefault="00125707" w:rsidP="00487A02">
      <w:pPr>
        <w:pStyle w:val="InstructionsText2"/>
        <w:numPr>
          <w:ilvl w:val="0"/>
          <w:numId w:val="0"/>
        </w:numPr>
        <w:ind w:left="1353" w:hanging="360"/>
      </w:pPr>
      <w:r>
        <w:t>a)</w:t>
      </w:r>
      <w:r>
        <w:tab/>
        <w:t>kapitalgrundlag, oversigt over lovpligtig kapital, samlet risikoeksponering, forsigtig værdiansættelse, dækning af tab for misligholdte eksponeringer</w:t>
      </w:r>
    </w:p>
    <w:p w14:paraId="62EB9671" w14:textId="77777777" w:rsidR="00436204" w:rsidRPr="002A677E" w:rsidRDefault="00125707" w:rsidP="00487A02">
      <w:pPr>
        <w:pStyle w:val="InstructionsText2"/>
        <w:numPr>
          <w:ilvl w:val="0"/>
          <w:numId w:val="0"/>
        </w:numPr>
        <w:ind w:left="1353" w:hanging="360"/>
      </w:pPr>
      <w:r>
        <w:t>b)</w:t>
      </w:r>
      <w:r>
        <w:tab/>
        <w:t>koncernsolvens, en oversigt over opfyldelsen af solvenskravene for alle individuelle enheder, der er omfattet af den indberettende enheds konsolidering</w:t>
      </w:r>
    </w:p>
    <w:p w14:paraId="02F767CA" w14:textId="77777777" w:rsidR="002648B0" w:rsidRPr="002A677E" w:rsidRDefault="00125707" w:rsidP="00487A02">
      <w:pPr>
        <w:pStyle w:val="InstructionsText2"/>
        <w:numPr>
          <w:ilvl w:val="0"/>
          <w:numId w:val="0"/>
        </w:numPr>
        <w:ind w:left="1353" w:hanging="360"/>
      </w:pPr>
      <w:r>
        <w:t>c)</w:t>
      </w:r>
      <w:r>
        <w:tab/>
        <w:t>kreditrisiko (herunder modparts-, udvandings- og afviklingsrisici)</w:t>
      </w:r>
    </w:p>
    <w:p w14:paraId="685551B9" w14:textId="77777777" w:rsidR="002648B0" w:rsidRPr="002A677E" w:rsidRDefault="00125707" w:rsidP="00487A02">
      <w:pPr>
        <w:pStyle w:val="InstructionsText2"/>
        <w:numPr>
          <w:ilvl w:val="0"/>
          <w:numId w:val="0"/>
        </w:numPr>
        <w:ind w:left="1353" w:hanging="360"/>
      </w:pPr>
      <w:r>
        <w:t>d)</w:t>
      </w:r>
      <w:r>
        <w:tab/>
        <w:t>markedsrisiko (herunder positionsrisiko i handelsbeholdningen, valutarisiko, råvarerisiko og kreditværdijusteringsrisiko)</w:t>
      </w:r>
    </w:p>
    <w:p w14:paraId="2C2D1FE5" w14:textId="77777777" w:rsidR="00C44C83" w:rsidRPr="002A677E" w:rsidRDefault="00125707" w:rsidP="00487A02">
      <w:pPr>
        <w:pStyle w:val="InstructionsText2"/>
        <w:numPr>
          <w:ilvl w:val="0"/>
          <w:numId w:val="0"/>
        </w:numPr>
        <w:ind w:left="1353" w:hanging="360"/>
      </w:pPr>
      <w:r>
        <w:t>e)</w:t>
      </w:r>
      <w:r>
        <w:tab/>
        <w:t>operationel risiko</w:t>
      </w:r>
    </w:p>
    <w:p w14:paraId="5A2D5E12" w14:textId="66F1B60C" w:rsidR="002648B0" w:rsidRPr="002A677E" w:rsidRDefault="00C44C83" w:rsidP="00487A02">
      <w:pPr>
        <w:pStyle w:val="InstructionsText2"/>
        <w:numPr>
          <w:ilvl w:val="0"/>
          <w:numId w:val="0"/>
        </w:numPr>
        <w:ind w:left="1353" w:hanging="360"/>
      </w:pPr>
      <w:r>
        <w:t>f) eksponeringer mod offentlig forvaltning og service.</w:t>
      </w:r>
    </w:p>
    <w:p w14:paraId="197EB621" w14:textId="0E6A18E0" w:rsidR="002648B0" w:rsidRPr="002A677E" w:rsidRDefault="008F3052" w:rsidP="00487A02">
      <w:pPr>
        <w:pStyle w:val="InstructionsText2"/>
        <w:numPr>
          <w:ilvl w:val="0"/>
          <w:numId w:val="0"/>
        </w:numPr>
        <w:ind w:left="1353" w:hanging="360"/>
      </w:pPr>
      <w:fldSimple w:instr=" seq paragraphs ">
        <w:r>
          <w:t>2</w:t>
        </w:r>
      </w:fldSimple>
      <w:r>
        <w:t>.</w:t>
      </w:r>
      <w:r>
        <w:tab/>
        <w:t>For hvert skema gives der henvisninger til retsakter. Yderligere detaljerede oplysninger om de mere generelle aspekter af indberetningen via hver blok af skemaer, instrukser vedrørende specifikke positioner samt valideringsregler findes i denne del af denne gennemførelsesforordning.</w:t>
      </w:r>
    </w:p>
    <w:p w14:paraId="2D1DBE72" w14:textId="4875670A" w:rsidR="005643EA" w:rsidRPr="002A677E" w:rsidRDefault="008F3052" w:rsidP="00487A02">
      <w:pPr>
        <w:pStyle w:val="InstructionsText2"/>
        <w:numPr>
          <w:ilvl w:val="0"/>
          <w:numId w:val="0"/>
        </w:numPr>
        <w:ind w:left="1353" w:hanging="360"/>
      </w:pPr>
      <w:fldSimple w:instr=" seq paragraphs ">
        <w:r>
          <w:t>3</w:t>
        </w:r>
      </w:fldSimple>
      <w:r>
        <w:t>.</w:t>
      </w:r>
      <w:r>
        <w:tab/>
        <w:t>Institutterne skal kun indgive de skemaer, der er relevante for den anvendte metode til bestemmelse af kapitalgrundlagskravene.</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5" w:name="_Toc360188320"/>
      <w:bookmarkStart w:id="16" w:name="_Toc473560868"/>
      <w:bookmarkStart w:id="17" w:name="_Toc119059290"/>
      <w:r>
        <w:rPr>
          <w:rFonts w:ascii="Times New Roman" w:hAnsi="Times New Roman"/>
          <w:sz w:val="24"/>
          <w:u w:val="none"/>
        </w:rPr>
        <w:t>1.2.</w:t>
      </w:r>
      <w:r>
        <w:tab/>
      </w:r>
      <w:r>
        <w:rPr>
          <w:rFonts w:ascii="Times New Roman" w:hAnsi="Times New Roman"/>
          <w:sz w:val="24"/>
          <w:u w:val="none"/>
        </w:rPr>
        <w:t>Konvention for nummerering</w:t>
      </w:r>
      <w:bookmarkEnd w:id="15"/>
      <w:bookmarkEnd w:id="16"/>
      <w:bookmarkEnd w:id="17"/>
    </w:p>
    <w:p w14:paraId="07DD29A3" w14:textId="77777777" w:rsidR="002648B0" w:rsidRPr="002A677E" w:rsidRDefault="008F3052" w:rsidP="00487A02">
      <w:pPr>
        <w:pStyle w:val="InstructionsText2"/>
        <w:numPr>
          <w:ilvl w:val="0"/>
          <w:numId w:val="0"/>
        </w:numPr>
        <w:ind w:left="1353" w:hanging="360"/>
      </w:pPr>
      <w:fldSimple w:instr=" seq paragraphs ">
        <w:r>
          <w:t>4</w:t>
        </w:r>
      </w:fldSimple>
      <w:r>
        <w:t>.</w:t>
      </w:r>
      <w:r>
        <w:tab/>
        <w:t>Dokumentet følger de konventioner for tekst, der er beskrevet i punkt 5 til 8, når der henvises til kolonner, rækker og celler i skemaerne. Disse numeriske koder anvendes i vid udstrækning i valideringsreglerne.</w:t>
      </w:r>
    </w:p>
    <w:p w14:paraId="4A930757" w14:textId="77777777" w:rsidR="005643EA" w:rsidRPr="002A677E" w:rsidRDefault="008F3052" w:rsidP="00487A02">
      <w:pPr>
        <w:pStyle w:val="InstructionsText2"/>
        <w:numPr>
          <w:ilvl w:val="0"/>
          <w:numId w:val="0"/>
        </w:numPr>
        <w:ind w:left="1353" w:hanging="360"/>
      </w:pPr>
      <w:fldSimple w:instr=" seq paragraphs ">
        <w:r>
          <w:t>5</w:t>
        </w:r>
      </w:fldSimple>
      <w:r>
        <w:t>.</w:t>
      </w:r>
      <w:r>
        <w:tab/>
        <w:t>Følgende generelle notation anvendes i instrukserne: {Skema, Række, Kolonne}.</w:t>
      </w:r>
    </w:p>
    <w:p w14:paraId="058D6622" w14:textId="77777777" w:rsidR="002648B0" w:rsidRPr="002A677E" w:rsidRDefault="008F3052" w:rsidP="00487A02">
      <w:pPr>
        <w:pStyle w:val="InstructionsText2"/>
        <w:numPr>
          <w:ilvl w:val="0"/>
          <w:numId w:val="0"/>
        </w:numPr>
        <w:ind w:left="1353" w:hanging="360"/>
      </w:pPr>
      <w:fldSimple w:instr=" seq paragraphs ">
        <w:r>
          <w:t>6</w:t>
        </w:r>
      </w:fldSimple>
      <w:r>
        <w:t>.</w:t>
      </w:r>
      <w:r>
        <w:tab/>
        <w:t>Ved valideringer i et skema, hvor kun datapunkter fra skemaet anvendes, henviser notationer ikke til et skema: {Række, Kolonne}.</w:t>
      </w:r>
    </w:p>
    <w:p w14:paraId="1C93CB72" w14:textId="77777777" w:rsidR="005643EA" w:rsidRPr="002A677E" w:rsidRDefault="008F3052" w:rsidP="00487A02">
      <w:pPr>
        <w:pStyle w:val="InstructionsText2"/>
        <w:numPr>
          <w:ilvl w:val="0"/>
          <w:numId w:val="0"/>
        </w:numPr>
        <w:ind w:left="1353" w:hanging="360"/>
      </w:pPr>
      <w:fldSimple w:instr=" seq paragraphs ">
        <w:r>
          <w:t>7</w:t>
        </w:r>
      </w:fldSimple>
      <w:r>
        <w:t>.</w:t>
      </w:r>
      <w:r>
        <w:tab/>
        <w:t>I forbindelse med skemaer med kun én kolonne henvises der kun til rækker: {Skema, Række}</w:t>
      </w:r>
    </w:p>
    <w:p w14:paraId="6CF08484" w14:textId="77777777" w:rsidR="002648B0" w:rsidRPr="002A677E" w:rsidRDefault="008F3052" w:rsidP="00487A02">
      <w:pPr>
        <w:pStyle w:val="InstructionsText2"/>
        <w:numPr>
          <w:ilvl w:val="0"/>
          <w:numId w:val="0"/>
        </w:numPr>
        <w:ind w:left="1353" w:hanging="360"/>
      </w:pPr>
      <w:fldSimple w:instr=" seq paragraphs ">
        <w:r>
          <w:t>8</w:t>
        </w:r>
      </w:fldSimple>
      <w:r>
        <w:t>.</w:t>
      </w:r>
      <w:r>
        <w:tab/>
        <w:t>En asterisk viser, at validering udføres for de angivne rækker eller kolonner.</w:t>
      </w:r>
    </w:p>
    <w:p w14:paraId="6218AD51" w14:textId="7C8DFB3D"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1"/>
      <w:bookmarkStart w:id="19" w:name="_Toc473560869"/>
      <w:bookmarkStart w:id="20" w:name="_Toc119059291"/>
      <w:r>
        <w:rPr>
          <w:rFonts w:ascii="Times New Roman" w:hAnsi="Times New Roman"/>
          <w:sz w:val="24"/>
          <w:u w:val="none"/>
        </w:rPr>
        <w:t>1.3.</w:t>
      </w:r>
      <w:r>
        <w:tab/>
      </w:r>
      <w:r>
        <w:rPr>
          <w:rFonts w:ascii="Times New Roman" w:hAnsi="Times New Roman"/>
          <w:sz w:val="24"/>
          <w:u w:val="none"/>
        </w:rPr>
        <w:t>Konvention for tegn</w:t>
      </w:r>
      <w:bookmarkEnd w:id="12"/>
      <w:bookmarkEnd w:id="13"/>
      <w:bookmarkEnd w:id="18"/>
      <w:bookmarkEnd w:id="19"/>
      <w:bookmarkEnd w:id="20"/>
    </w:p>
    <w:p w14:paraId="67BDF5E2" w14:textId="77777777" w:rsidR="002648B0" w:rsidRPr="002A677E" w:rsidRDefault="008F3052" w:rsidP="00487A02">
      <w:pPr>
        <w:pStyle w:val="InstructionsText2"/>
        <w:numPr>
          <w:ilvl w:val="0"/>
          <w:numId w:val="0"/>
        </w:numPr>
        <w:ind w:left="1353" w:hanging="360"/>
      </w:pPr>
      <w:r>
        <w:fldChar w:fldCharType="begin"/>
      </w:r>
      <w:r>
        <w:instrText xml:space="preserve"> seq paragraphs</w:instrText>
      </w:r>
      <w:r>
        <w:fldChar w:fldCharType="separate"/>
      </w:r>
      <w:r>
        <w:t>9</w:t>
      </w:r>
      <w:r>
        <w:fldChar w:fldCharType="end"/>
      </w:r>
      <w:r>
        <w:t>.</w:t>
      </w:r>
      <w:r>
        <w:tab/>
        <w:t xml:space="preserve">Beløb, der forøger kapitalgrundlaget eller kapitalkravene, indberettes som et positivt tal. Modsat indberettes beløb, der reducerer det samlede kapitalgrundlag </w:t>
      </w:r>
      <w:r>
        <w:lastRenderedPageBreak/>
        <w:t>eller kapitalkravet, som et negativt tal. Hvis der er indsat et negativt fortegn (-) ved teksten ud for en post, indberettes et positivt tal ikke for den pågældende post.</w:t>
      </w:r>
    </w:p>
    <w:p w14:paraId="69E08A1F" w14:textId="19E7351D" w:rsidR="00304CA5" w:rsidRPr="002A677E" w:rsidRDefault="008F3052" w:rsidP="00487A02">
      <w:pPr>
        <w:pStyle w:val="InstructionsText2"/>
        <w:numPr>
          <w:ilvl w:val="0"/>
          <w:numId w:val="0"/>
        </w:numPr>
        <w:ind w:left="1353" w:hanging="360"/>
      </w:pPr>
      <w:fldSimple w:instr=" seq paragraphs ">
        <w:r>
          <w:t>10</w:t>
        </w:r>
      </w:fldSimple>
      <w:r>
        <w:t>. . [tom]</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rPr>
      </w:pPr>
      <w:bookmarkStart w:id="22" w:name="_Toc360188322"/>
      <w:bookmarkStart w:id="23" w:name="_Toc473560870"/>
      <w:bookmarkStart w:id="24" w:name="_Toc119059292"/>
      <w:r>
        <w:rPr>
          <w:rFonts w:ascii="Times New Roman" w:hAnsi="Times New Roman"/>
        </w:rPr>
        <w:t>DEL II: INSTRUKSER VEDRØRENDE SKEMAER</w:t>
      </w:r>
      <w:bookmarkEnd w:id="22"/>
      <w:bookmarkEnd w:id="23"/>
      <w:bookmarkEnd w:id="24"/>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360188323"/>
      <w:bookmarkStart w:id="26" w:name="_Toc473560871"/>
      <w:bookmarkStart w:id="27" w:name="_Toc119059293"/>
      <w:r>
        <w:rPr>
          <w:rFonts w:ascii="Times New Roman" w:hAnsi="Times New Roman"/>
          <w:sz w:val="24"/>
          <w:u w:val="none"/>
        </w:rPr>
        <w:t>1.</w:t>
      </w:r>
      <w:r>
        <w:tab/>
      </w:r>
      <w:r>
        <w:rPr>
          <w:rFonts w:ascii="Times New Roman" w:hAnsi="Times New Roman"/>
          <w:sz w:val="24"/>
          <w:u w:val="none"/>
        </w:rPr>
        <w:t>Oversigt over kapitalgrundlag ("CA")</w:t>
      </w:r>
      <w:bookmarkEnd w:id="25"/>
      <w:bookmarkEnd w:id="26"/>
      <w:bookmarkEnd w:id="27"/>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119059294"/>
      <w:r>
        <w:rPr>
          <w:rFonts w:ascii="Times New Roman" w:hAnsi="Times New Roman"/>
          <w:sz w:val="24"/>
          <w:u w:val="none"/>
        </w:rPr>
        <w:t>1.1.</w:t>
      </w:r>
      <w:r>
        <w:tab/>
      </w:r>
      <w:r>
        <w:rPr>
          <w:rFonts w:ascii="Times New Roman" w:hAnsi="Times New Roman"/>
          <w:sz w:val="24"/>
          <w:u w:val="none"/>
        </w:rPr>
        <w:t>Generelle bemærkninger</w:t>
      </w:r>
      <w:bookmarkEnd w:id="28"/>
      <w:bookmarkEnd w:id="29"/>
      <w:bookmarkEnd w:id="30"/>
      <w:bookmarkEnd w:id="31"/>
    </w:p>
    <w:p w14:paraId="21F1BE9F" w14:textId="2141ADB0" w:rsidR="002648B0" w:rsidRPr="002A677E" w:rsidRDefault="008F3052" w:rsidP="00487A02">
      <w:pPr>
        <w:pStyle w:val="InstructionsText2"/>
        <w:numPr>
          <w:ilvl w:val="0"/>
          <w:numId w:val="0"/>
        </w:numPr>
        <w:ind w:left="1353" w:hanging="360"/>
      </w:pPr>
      <w:fldSimple w:instr=" seq paragraphs ">
        <w:r>
          <w:t>11</w:t>
        </w:r>
      </w:fldSimple>
      <w:r>
        <w:t>.</w:t>
      </w:r>
      <w:r>
        <w:tab/>
        <w:t xml:space="preserve">CA-skemaerne indeholder oplysninger om søjle 1-tællere (kapitalgrundlag, kernekapital, egentlig kernekapital), nævner (kapitalgrundlagskrav) og anvendelsen af overgangsbestemmelserne i forordning (EU) nr. 575/2013 og direktiv 2013/36/EU og omfatter fem skemaer: </w:t>
      </w:r>
    </w:p>
    <w:p w14:paraId="522AAFB4" w14:textId="1294A203" w:rsidR="005643EA" w:rsidRPr="002A677E" w:rsidRDefault="00125707" w:rsidP="00487A02">
      <w:pPr>
        <w:pStyle w:val="InstructionsText2"/>
        <w:numPr>
          <w:ilvl w:val="0"/>
          <w:numId w:val="0"/>
        </w:numPr>
        <w:ind w:left="1353" w:hanging="360"/>
      </w:pPr>
      <w:r>
        <w:t>a)</w:t>
      </w:r>
      <w:r>
        <w:tab/>
        <w:t>Skema CA1 indeholder beløbet for institutternes kapitalgrundlag opdelt i de poster, der er nødvendige for at nå frem til det pågældende beløb. Det beregnede kapitalgrundlag omfatter den aggregerede virkning af anvendelsen af overgangsbestemmelserne i forordning (EU) nr. 575/2013 og direktiv 2013/36/EU pr. kapitaltype.</w:t>
      </w:r>
    </w:p>
    <w:p w14:paraId="4AA37357" w14:textId="7D1B9A3F" w:rsidR="005643EA" w:rsidRPr="002A677E" w:rsidRDefault="00125707" w:rsidP="00487A02">
      <w:pPr>
        <w:pStyle w:val="InstructionsText2"/>
        <w:numPr>
          <w:ilvl w:val="0"/>
          <w:numId w:val="0"/>
        </w:numPr>
        <w:ind w:left="1353" w:hanging="360"/>
      </w:pPr>
      <w:r>
        <w:t>b)</w:t>
      </w:r>
      <w:r>
        <w:tab/>
        <w:t>Skema CA2 opsummerer den samlede risikoeksponering som defineret i artikel 92, stk. 3, i forordning (EU) nr. 575/2013.</w:t>
      </w:r>
    </w:p>
    <w:p w14:paraId="7B8CC078" w14:textId="2F6AE38A" w:rsidR="005643EA" w:rsidRPr="002A677E" w:rsidRDefault="00125707" w:rsidP="00487A02">
      <w:pPr>
        <w:pStyle w:val="InstructionsText2"/>
        <w:numPr>
          <w:ilvl w:val="0"/>
          <w:numId w:val="0"/>
        </w:numPr>
        <w:ind w:left="1353" w:hanging="360"/>
      </w:pPr>
      <w:r>
        <w:t>c)</w:t>
      </w:r>
      <w:r>
        <w:tab/>
        <w:t>Skema CA3 indeholder de procentdele, som forordning (EU) nr. 575/2013 angiver et minimumsniveau for, søjle 2-procentdele og andre relaterede data.</w:t>
      </w:r>
    </w:p>
    <w:p w14:paraId="61C0C310" w14:textId="4CDAA0D3" w:rsidR="005643EA" w:rsidRPr="002A677E" w:rsidRDefault="00125707" w:rsidP="00487A02">
      <w:pPr>
        <w:pStyle w:val="InstructionsText2"/>
        <w:numPr>
          <w:ilvl w:val="0"/>
          <w:numId w:val="0"/>
        </w:numPr>
        <w:ind w:left="1353" w:hanging="360"/>
      </w:pPr>
      <w:r>
        <w:t>d)</w:t>
      </w:r>
      <w:r>
        <w:tab/>
        <w:t xml:space="preserve">Skema CA4 indeholder memorandumposter, der bl.a. bruges til at beregne poster i CA1, og oplysninger vedrørende kapitalbuffere, jf. direktiv 2013/36/EU. </w:t>
      </w:r>
    </w:p>
    <w:p w14:paraId="3B08263D" w14:textId="6CFC2E59" w:rsidR="005643EA" w:rsidRPr="002A677E" w:rsidRDefault="00125707" w:rsidP="00487A02">
      <w:pPr>
        <w:pStyle w:val="InstructionsText2"/>
        <w:numPr>
          <w:ilvl w:val="0"/>
          <w:numId w:val="0"/>
        </w:numPr>
        <w:ind w:left="1353" w:hanging="360"/>
      </w:pPr>
      <w:r>
        <w:t>e)</w:t>
      </w:r>
      <w:r>
        <w:tab/>
        <w:t>Skema CA5 indeholder de data, der skal bruges til at beregne virkningen af anvendelsen af overgangsbestemmelserne i forordning (EU) nr. 575/2013 for kapitalgrundlaget. CA5 udgår, når disse overgangsbestemmelser udløber.</w:t>
      </w:r>
    </w:p>
    <w:p w14:paraId="42AFBB71" w14:textId="6D58C1EE" w:rsidR="00783881" w:rsidRPr="002A677E" w:rsidRDefault="008F3052" w:rsidP="00487A02">
      <w:pPr>
        <w:pStyle w:val="InstructionsText2"/>
        <w:numPr>
          <w:ilvl w:val="0"/>
          <w:numId w:val="0"/>
        </w:numPr>
        <w:ind w:left="1353" w:hanging="360"/>
      </w:pPr>
      <w:fldSimple w:instr=" seq paragraphs ">
        <w:r>
          <w:t>12</w:t>
        </w:r>
      </w:fldSimple>
      <w:r>
        <w:t>.</w:t>
      </w:r>
      <w:r>
        <w:tab/>
        <w:t>Skemaerne skal anvendes af alle indberettende enheder, uanset hvilke regnskabsstandarder de følger, selv om nogle poster i tælleren er specifikke for enheder, der anvender IAS/IFRS-valideringsregler. Generelt er oplysningerne i nævneren kædet sammen med de endelige resultater, der indberettes i de tilsvarende skemaer til beregning af den samlede risikoeksponering.</w:t>
      </w:r>
    </w:p>
    <w:p w14:paraId="6AB6AA40" w14:textId="77777777" w:rsidR="005643EA" w:rsidRPr="002A677E" w:rsidRDefault="008F3052" w:rsidP="00487A02">
      <w:pPr>
        <w:pStyle w:val="InstructionsText2"/>
        <w:numPr>
          <w:ilvl w:val="0"/>
          <w:numId w:val="0"/>
        </w:numPr>
        <w:ind w:left="1353" w:hanging="360"/>
      </w:pPr>
      <w:fldSimple w:instr=" seq paragraphs ">
        <w:r>
          <w:t>13</w:t>
        </w:r>
      </w:fldSimple>
      <w:r>
        <w:t>.</w:t>
      </w:r>
      <w:r>
        <w:tab/>
        <w:t xml:space="preserve">Det samlede kapitalgrundlag består af forskellige typer kapital: kernekapital (tier 1 capital — T1), som er summen af et instituts egentlige kernekapital (common equity tier 1 capital — CET1) og hybrid kernekapital (additional tier 1 capital — AT1) samt supplerende kapital (tier 2 capital — T2). </w:t>
      </w:r>
    </w:p>
    <w:p w14:paraId="7CAE4F09" w14:textId="0114B3D0" w:rsidR="00783881" w:rsidRPr="002A677E" w:rsidRDefault="008F3052" w:rsidP="00487A02">
      <w:pPr>
        <w:pStyle w:val="InstructionsText2"/>
        <w:numPr>
          <w:ilvl w:val="0"/>
          <w:numId w:val="0"/>
        </w:numPr>
        <w:ind w:left="1353" w:hanging="360"/>
      </w:pPr>
      <w:fldSimple w:instr=" seq paragraphs ">
        <w:r>
          <w:t>14</w:t>
        </w:r>
      </w:fldSimple>
      <w:r>
        <w:t>.</w:t>
      </w:r>
      <w:r>
        <w:tab/>
        <w:t>Anvendelsen af overgangsbestemmelserne i forordning (EU) nr. 575/2013 og direktiv 2013/36/EU behandles på følgende måde i CA-skemaer:</w:t>
      </w:r>
    </w:p>
    <w:p w14:paraId="461AFACA" w14:textId="77777777" w:rsidR="00783881" w:rsidRPr="002A677E" w:rsidRDefault="00125707" w:rsidP="00487A02">
      <w:pPr>
        <w:pStyle w:val="InstructionsText2"/>
        <w:numPr>
          <w:ilvl w:val="0"/>
          <w:numId w:val="0"/>
        </w:numPr>
        <w:ind w:left="1353" w:hanging="360"/>
      </w:pPr>
      <w:r>
        <w:t>a)</w:t>
      </w:r>
      <w:r>
        <w:tab/>
        <w:t>Posterne i CA1 anføres generelt før indregning af overgangsjusteringer. Det betyder, at tal i CA1-poster beregnes i henhold til de endelige bestemmelser (dvs. som om der ikke var fastlagt overgangsbestemmelser), dog med undtagelse af poster, der opsummerer virkningen af disse overgangsbestemmelser. For hver kapitaltype (dvs. CET1, AT1 og T2) er der tre forskellige poster, hvori alle justeringer i medfør af disse overgangsbestemmelser er anført.</w:t>
      </w:r>
    </w:p>
    <w:p w14:paraId="1413EE3A" w14:textId="55A41872" w:rsidR="00113EA5" w:rsidRPr="002A677E" w:rsidRDefault="00125707" w:rsidP="00487A02">
      <w:pPr>
        <w:pStyle w:val="InstructionsText2"/>
        <w:numPr>
          <w:ilvl w:val="0"/>
          <w:numId w:val="0"/>
        </w:numPr>
        <w:ind w:left="1353" w:hanging="360"/>
      </w:pPr>
      <w:r>
        <w:lastRenderedPageBreak/>
        <w:t>b)</w:t>
      </w:r>
      <w:r>
        <w:tab/>
        <w:t>Overgangsbestemmelser kan også påvirke underskydende hybrid kernekapital og supplerende kapital (dvs. overskuddet af fradrag i hybrid kernekapital og supplerende kapital, der er omhandlet i henholdsvis artikel 36, stk. 1, litra j), og artikel 56, litra e), i forordning (EU) nr. 575/2013, og de poster, der indeholder disse underskud, kan derfor indirekte afspejle virkningen af disse overgangsbestemmelser.</w:t>
      </w:r>
    </w:p>
    <w:p w14:paraId="5BA6EE8D" w14:textId="1242D8DB" w:rsidR="005643EA" w:rsidRPr="002A677E" w:rsidRDefault="00125707" w:rsidP="00487A02">
      <w:pPr>
        <w:pStyle w:val="InstructionsText2"/>
        <w:numPr>
          <w:ilvl w:val="0"/>
          <w:numId w:val="0"/>
        </w:numPr>
        <w:ind w:left="1353" w:hanging="360"/>
      </w:pPr>
      <w:r>
        <w:t>c)</w:t>
      </w:r>
      <w:r>
        <w:tab/>
        <w:t xml:space="preserve">CA5-skemaet bruges kun til indberetning af virkningen som følge af anvendelsen af overgangsbestemmelserne i forordning (EU) nr. 575/2013. </w:t>
      </w:r>
    </w:p>
    <w:p w14:paraId="2E1A7C01" w14:textId="655B1F5A" w:rsidR="00783881" w:rsidRPr="002A677E" w:rsidRDefault="008F3052" w:rsidP="00487A02">
      <w:pPr>
        <w:pStyle w:val="InstructionsText2"/>
        <w:numPr>
          <w:ilvl w:val="0"/>
          <w:numId w:val="0"/>
        </w:numPr>
        <w:ind w:left="1353" w:hanging="360"/>
      </w:pPr>
      <w:fldSimple w:instr=" seq paragraphs ">
        <w:r>
          <w:t>15</w:t>
        </w:r>
      </w:fldSimple>
      <w:r>
        <w:t>.</w:t>
      </w:r>
      <w:r>
        <w:tab/>
        <w:t xml:space="preserve">Behandlingen af søjle II-kravene kan variere i EU (artikel 104a, stk. 1, i direktiv 2013/36/EU skal gennemføres i national lovgivning). Kun virkningen af søjle II-kravene på soliditetsgraden eller målprocenten skal angives ved indberetningen af solvens i henhold til forordning (EU) nr. 575/2013. </w:t>
      </w:r>
    </w:p>
    <w:p w14:paraId="4913F19A" w14:textId="77777777" w:rsidR="005643EA" w:rsidRPr="002A677E" w:rsidRDefault="00125707" w:rsidP="00487A02">
      <w:pPr>
        <w:pStyle w:val="InstructionsText2"/>
        <w:numPr>
          <w:ilvl w:val="0"/>
          <w:numId w:val="0"/>
        </w:numPr>
        <w:ind w:left="1353" w:hanging="360"/>
      </w:pPr>
      <w:r>
        <w:t>a)</w:t>
      </w:r>
      <w:r>
        <w:tab/>
        <w:t>Skema CA1, CA2 og CA5 indeholder kun data om søjle I-forhold.</w:t>
      </w:r>
    </w:p>
    <w:p w14:paraId="1D28867A" w14:textId="77777777" w:rsidR="005643EA" w:rsidRPr="002A677E" w:rsidRDefault="00125707" w:rsidP="00487A02">
      <w:pPr>
        <w:pStyle w:val="InstructionsText2"/>
        <w:numPr>
          <w:ilvl w:val="0"/>
          <w:numId w:val="0"/>
        </w:numPr>
        <w:ind w:left="1353" w:hanging="360"/>
      </w:pPr>
      <w:r>
        <w:t>b)</w:t>
      </w:r>
      <w:r>
        <w:tab/>
        <w:t>CA3-skemaet omhandler virkningen af yderligere søjle II-krav på soliditetsgraden på et samlet grundlag. Det fokuserer primært på selve målprocenterne. Det hænger ikke yderligere sammen med skema CA1, CA2 eller CA5.</w:t>
      </w:r>
    </w:p>
    <w:p w14:paraId="36BBAE84" w14:textId="73CEAC43" w:rsidR="005643EA" w:rsidRPr="002A677E" w:rsidRDefault="00125707" w:rsidP="00487A02">
      <w:pPr>
        <w:pStyle w:val="InstructionsText2"/>
        <w:numPr>
          <w:ilvl w:val="0"/>
          <w:numId w:val="0"/>
        </w:numPr>
        <w:ind w:left="1353" w:hanging="360"/>
      </w:pPr>
      <w:r>
        <w:t>c)</w:t>
      </w:r>
      <w:r>
        <w:tab/>
        <w:t>CA4-skemaet indeholder en celle, der omhandler krav om yderligere kapitalgrundlag vedrørende søjle II. Denne celle er ikke kædet sammen med kapitalprocenterne i CA3-skemaet via valideringsreglerne og afspejler artikel 104a, stk. 1, i direktiv 2013/36/EU, der udtrykkeligt nævner krav om yderligere kapitalgrundlag som et område for søjle II-afgørelser.</w:t>
      </w:r>
    </w:p>
    <w:p w14:paraId="5922E0A2" w14:textId="715899AC"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308175820"/>
      <w:bookmarkStart w:id="34" w:name="_Toc360188325"/>
      <w:bookmarkStart w:id="35" w:name="_Toc119059295"/>
      <w:r>
        <w:rPr>
          <w:rFonts w:ascii="Times New Roman" w:hAnsi="Times New Roman"/>
          <w:sz w:val="24"/>
          <w:u w:val="none"/>
        </w:rPr>
        <w:t>1.2.</w:t>
      </w:r>
      <w:r>
        <w:tab/>
      </w:r>
      <w:r>
        <w:rPr>
          <w:rFonts w:ascii="Times New Roman" w:hAnsi="Times New Roman"/>
          <w:sz w:val="24"/>
        </w:rPr>
        <w:t>C 01.00 – KAPITALGRUNDLAG (CA1)</w:t>
      </w:r>
      <w:bookmarkEnd w:id="32"/>
      <w:bookmarkEnd w:id="35"/>
      <w:r>
        <w:rPr>
          <w:rFonts w:ascii="Times New Roman" w:hAnsi="Times New Roman"/>
          <w:sz w:val="24"/>
        </w:rPr>
        <w:t xml:space="preserve"> </w:t>
      </w:r>
      <w:bookmarkEnd w:id="33"/>
      <w:bookmarkEnd w:id="34"/>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6" w:name="_Toc308175821"/>
      <w:bookmarkStart w:id="37" w:name="_Toc310414968"/>
      <w:bookmarkStart w:id="38" w:name="_Toc360188326"/>
      <w:bookmarkStart w:id="39" w:name="_Toc473560874"/>
      <w:bookmarkStart w:id="40" w:name="_Toc119059296"/>
      <w:r>
        <w:rPr>
          <w:rFonts w:ascii="Times New Roman" w:hAnsi="Times New Roman"/>
          <w:sz w:val="24"/>
          <w:u w:val="none"/>
        </w:rPr>
        <w:t>1.2.1.</w:t>
      </w:r>
      <w:r>
        <w:tab/>
      </w:r>
      <w:r>
        <w:rPr>
          <w:rFonts w:ascii="Times New Roman" w:hAnsi="Times New Roman"/>
          <w:sz w:val="24"/>
        </w:rPr>
        <w:t>Instrukser vedrørende specifikke positioner</w:t>
      </w:r>
      <w:bookmarkEnd w:id="36"/>
      <w:bookmarkEnd w:id="37"/>
      <w:bookmarkEnd w:id="38"/>
      <w:bookmarkEnd w:id="39"/>
      <w:bookmarkEnd w:id="40"/>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Række</w:t>
            </w:r>
          </w:p>
        </w:tc>
        <w:tc>
          <w:tcPr>
            <w:tcW w:w="7620" w:type="dxa"/>
            <w:shd w:val="clear" w:color="auto" w:fill="D9D9D9"/>
          </w:tcPr>
          <w:p w14:paraId="5F9C6DF8"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2648B0" w:rsidRPr="002A677E" w14:paraId="4DF964B1" w14:textId="77777777" w:rsidTr="00D731E3">
        <w:tc>
          <w:tcPr>
            <w:tcW w:w="1129" w:type="dxa"/>
          </w:tcPr>
          <w:p w14:paraId="4B969D4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6C1D3AFB" w14:textId="77777777" w:rsidR="00D7242F" w:rsidRPr="002A677E"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Kapitalgrundlag</w:t>
            </w:r>
          </w:p>
          <w:p w14:paraId="386CAF3D" w14:textId="1638814A" w:rsidR="005643EA" w:rsidRPr="002A677E" w:rsidRDefault="002648B0" w:rsidP="00487A02">
            <w:pPr>
              <w:pStyle w:val="InstructionsText"/>
              <w:rPr>
                <w:rStyle w:val="FormatvorlageInstructionsTabelleText"/>
                <w:rFonts w:ascii="Times New Roman" w:hAnsi="Times New Roman"/>
                <w:sz w:val="24"/>
              </w:rPr>
            </w:pPr>
            <w:r>
              <w:t>Artikel 4, stk. 1, nr. 118), og artikel 72 i forordning (EU) nr. 575/2013</w:t>
            </w:r>
          </w:p>
          <w:p w14:paraId="3C8B7AF9" w14:textId="77777777" w:rsidR="005643EA" w:rsidRPr="002A677E"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Et instituts kapitalgrundlag består af summen af dets kernekapital og supplerende kapital.</w:t>
            </w:r>
          </w:p>
        </w:tc>
      </w:tr>
      <w:tr w:rsidR="00666996" w:rsidRPr="002A677E" w14:paraId="52FC579E" w14:textId="77777777" w:rsidTr="00D731E3">
        <w:tc>
          <w:tcPr>
            <w:tcW w:w="1129" w:type="dxa"/>
          </w:tcPr>
          <w:p w14:paraId="7398CA04" w14:textId="77777777" w:rsidR="00666996"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78AF4F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Kernekapital</w:t>
            </w:r>
          </w:p>
          <w:p w14:paraId="38E5595D" w14:textId="56DE5531" w:rsidR="005643EA" w:rsidRPr="002A677E" w:rsidRDefault="00666996" w:rsidP="00487A02">
            <w:pPr>
              <w:pStyle w:val="InstructionsText"/>
              <w:rPr>
                <w:rStyle w:val="FormatvorlageInstructionsTabelleText"/>
                <w:rFonts w:ascii="Times New Roman" w:hAnsi="Times New Roman"/>
                <w:sz w:val="24"/>
              </w:rPr>
            </w:pPr>
            <w:r>
              <w:t>Artikel 25 i forordning (EU) nr. 575/2013</w:t>
            </w:r>
          </w:p>
          <w:p w14:paraId="51A21B40" w14:textId="77777777" w:rsidR="005643EA" w:rsidRPr="002A677E"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Kernekapitalen er summen af egentlig kernekapital og hybrid kernekapital. </w:t>
            </w:r>
          </w:p>
        </w:tc>
      </w:tr>
      <w:tr w:rsidR="002648B0" w:rsidRPr="002A677E" w14:paraId="35B60C57" w14:textId="77777777" w:rsidTr="00D731E3">
        <w:tc>
          <w:tcPr>
            <w:tcW w:w="1129" w:type="dxa"/>
          </w:tcPr>
          <w:p w14:paraId="35BA1B6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FBABB9A"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Egentlig kernekapital</w:t>
            </w:r>
          </w:p>
          <w:p w14:paraId="79BBD3B7" w14:textId="35270E58" w:rsidR="005643EA" w:rsidRPr="002A677E" w:rsidRDefault="002648B0" w:rsidP="00487A02">
            <w:pPr>
              <w:pStyle w:val="InstructionsText"/>
              <w:rPr>
                <w:rStyle w:val="FormatvorlageInstructionsTabelleText"/>
                <w:rFonts w:ascii="Times New Roman" w:hAnsi="Times New Roman"/>
                <w:sz w:val="24"/>
              </w:rPr>
            </w:pPr>
            <w:r>
              <w:t>Artikel 50 i forordning (EU) nr. 575/2013</w:t>
            </w:r>
          </w:p>
        </w:tc>
      </w:tr>
      <w:tr w:rsidR="002648B0" w:rsidRPr="002A677E" w14:paraId="6AFFA79C" w14:textId="77777777" w:rsidTr="00D731E3">
        <w:tc>
          <w:tcPr>
            <w:tcW w:w="1129" w:type="dxa"/>
          </w:tcPr>
          <w:p w14:paraId="24043EFF"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1F18ADC" w14:textId="3590E38A" w:rsidR="005643EA" w:rsidRPr="001235ED"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Kapitalinstrumenter og overkurs ved emission, der er kvalificeret som egentlig kernekapital</w:t>
            </w:r>
          </w:p>
          <w:p w14:paraId="3A690C0A" w14:textId="2985F612" w:rsidR="005643EA" w:rsidRPr="002A677E" w:rsidRDefault="002648B0" w:rsidP="00467F65">
            <w:pPr>
              <w:pStyle w:val="InstructionsText"/>
              <w:rPr>
                <w:rStyle w:val="FormatvorlageInstructionsTabelleText"/>
                <w:rFonts w:ascii="Times New Roman" w:hAnsi="Times New Roman"/>
                <w:sz w:val="24"/>
              </w:rPr>
            </w:pPr>
            <w:r>
              <w:t>Artikel 26, stk. 1, litra a) og b), artikel 27-30, artikel 36, stk. 1, litra f), og artikel 42 i forordning (EU) nr. 575/2013</w:t>
            </w:r>
          </w:p>
        </w:tc>
      </w:tr>
      <w:tr w:rsidR="002648B0" w:rsidRPr="002A677E" w14:paraId="381D8AD5" w14:textId="77777777" w:rsidTr="00D731E3">
        <w:tc>
          <w:tcPr>
            <w:tcW w:w="1129" w:type="dxa"/>
          </w:tcPr>
          <w:p w14:paraId="6CCDEC8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Pr>
          <w:p w14:paraId="32F8D82E"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Fuldt indbetalte kapitalinstrumenter</w:t>
            </w:r>
          </w:p>
          <w:p w14:paraId="0F8A3967" w14:textId="2ABBA929" w:rsidR="005643EA" w:rsidRPr="002A677E" w:rsidRDefault="002648B0" w:rsidP="00487A02">
            <w:pPr>
              <w:pStyle w:val="InstructionsText"/>
              <w:rPr>
                <w:rStyle w:val="FormatvorlageInstructionsTabelleText"/>
                <w:rFonts w:ascii="Times New Roman" w:hAnsi="Times New Roman"/>
                <w:sz w:val="24"/>
              </w:rPr>
            </w:pPr>
            <w:r>
              <w:t>Artikel 26, stk. 1, litra a), og artikel 27-31 i forordning (EU) nr. 575/2013</w:t>
            </w:r>
          </w:p>
          <w:p w14:paraId="44C8CBFB" w14:textId="7324F1DD" w:rsidR="00FE3BD8" w:rsidRPr="002A677E" w:rsidRDefault="00543DBD" w:rsidP="00487A02">
            <w:pPr>
              <w:pStyle w:val="InstructionsText"/>
              <w:rPr>
                <w:rStyle w:val="FormatvorlageInstructionsTabelleText"/>
                <w:rFonts w:ascii="Times New Roman" w:hAnsi="Times New Roman"/>
                <w:sz w:val="24"/>
              </w:rPr>
            </w:pPr>
            <w:r>
              <w:t>Indberetningen skal indbefatte gensidige selskabers, andelsselskabers og lignende institutters kapitalinstrumenter (artikel 27 og 29 i forordning (EU) nr. 575/2013).</w:t>
            </w:r>
          </w:p>
          <w:p w14:paraId="6646326D" w14:textId="77777777" w:rsidR="00FE3BD8"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Overkurs ved emission i forbindelse med instrumenterne indberettes ikke.</w:t>
            </w:r>
          </w:p>
          <w:p w14:paraId="2E095C10" w14:textId="133DCB79" w:rsidR="005643EA" w:rsidRPr="002A677E" w:rsidRDefault="00543DBD" w:rsidP="00B704AB">
            <w:pPr>
              <w:pStyle w:val="InstructionsText"/>
              <w:rPr>
                <w:rStyle w:val="FormatvorlageInstructionsTabelleText"/>
                <w:rFonts w:ascii="Times New Roman" w:hAnsi="Times New Roman"/>
                <w:sz w:val="24"/>
              </w:rPr>
            </w:pPr>
            <w:r>
              <w:t>Kapitalinstrumenter, som offentlige myndigheder har tegnet i nødsituationer, indberettes, hvis samtlige betingelser i artikel 31 i forordning (EU) nr. 575/2013 er opfyldt.</w:t>
            </w:r>
          </w:p>
        </w:tc>
      </w:tr>
      <w:tr w:rsidR="00216D67" w:rsidRPr="002A677E" w14:paraId="4E73C954" w14:textId="77777777" w:rsidTr="00D731E3">
        <w:tc>
          <w:tcPr>
            <w:tcW w:w="1129" w:type="dxa"/>
          </w:tcPr>
          <w:p w14:paraId="6063EFFC" w14:textId="77777777" w:rsidR="00216D67"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74FA71E2" w14:textId="77777777" w:rsidR="00216D67" w:rsidRPr="002A677E"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Heraf: kapitalinstrumenter, som offentlige myndigheder har tegnet i nødsituationer</w:t>
            </w:r>
          </w:p>
          <w:p w14:paraId="46EFD50D" w14:textId="0FF2F7E3" w:rsidR="00216D67" w:rsidRPr="002A677E" w:rsidRDefault="00216D67" w:rsidP="00487A02">
            <w:pPr>
              <w:pStyle w:val="InstructionsText"/>
              <w:rPr>
                <w:rStyle w:val="InstructionsTabelleberschrift"/>
                <w:rFonts w:ascii="Times New Roman" w:hAnsi="Times New Roman"/>
                <w:b w:val="0"/>
                <w:sz w:val="24"/>
                <w:u w:val="none"/>
              </w:rPr>
            </w:pPr>
            <w:r>
              <w:t>Artikel 31 i forordning (EU) nr. 575/2013</w:t>
            </w:r>
          </w:p>
          <w:p w14:paraId="79CD2790" w14:textId="44B3A242" w:rsidR="00216D67" w:rsidRPr="002A677E" w:rsidRDefault="00216D67" w:rsidP="00487A02">
            <w:pPr>
              <w:pStyle w:val="InstructionsText"/>
              <w:rPr>
                <w:rStyle w:val="InstructionsTabelleberschrift"/>
                <w:rFonts w:ascii="Times New Roman" w:hAnsi="Times New Roman"/>
                <w:sz w:val="24"/>
              </w:rPr>
            </w:pPr>
            <w:r>
              <w:t>Kapitalinstrumenter, som offentlige myndigheder har tegnet i nødsituationer, medregnes i den egentlige kernekapital, hvis samtlige betingelser i artikel 31 i forordning (EU) nr. 575/2013 er opfyldt.</w:t>
            </w:r>
          </w:p>
        </w:tc>
      </w:tr>
      <w:tr w:rsidR="002648B0" w:rsidRPr="002A677E" w14:paraId="1CBAD62F" w14:textId="77777777" w:rsidTr="00D731E3">
        <w:tc>
          <w:tcPr>
            <w:tcW w:w="1129" w:type="dxa"/>
          </w:tcPr>
          <w:p w14:paraId="4AFF8BD5"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48A44EE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Memorandumpost: ikkekvalificerede kapitalinstrumenter</w:t>
            </w:r>
          </w:p>
          <w:p w14:paraId="6274F785" w14:textId="08EBA2E3" w:rsidR="005643EA" w:rsidRPr="002A677E" w:rsidRDefault="002648B0" w:rsidP="00487A02">
            <w:pPr>
              <w:pStyle w:val="InstructionsText"/>
              <w:rPr>
                <w:rStyle w:val="FormatvorlageInstructionsTabelleText"/>
                <w:rFonts w:ascii="Times New Roman" w:hAnsi="Times New Roman"/>
                <w:sz w:val="24"/>
              </w:rPr>
            </w:pPr>
            <w:r>
              <w:t>Artikel 28, stk. 1, litra b), l) og m) i forordning (EU) nr. 575/2013</w:t>
            </w:r>
          </w:p>
          <w:p w14:paraId="3C489B3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Disse bestemmelser afspejler forskellige situationer vedrørende kapitalen, som er reversible, hvilket betyder, at det indberettede beløb kan være kvalificeret i efterfølgende perioder.</w:t>
            </w:r>
          </w:p>
          <w:p w14:paraId="48771DB0" w14:textId="23DA4DE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det indberettede beløb medregnes ikke overkurs ved emission i forbindelse med instrumenterne.</w:t>
            </w:r>
          </w:p>
        </w:tc>
      </w:tr>
      <w:tr w:rsidR="002648B0" w:rsidRPr="002A677E" w14:paraId="03B33CB1" w14:textId="77777777" w:rsidTr="00D731E3">
        <w:tc>
          <w:tcPr>
            <w:tcW w:w="1129" w:type="dxa"/>
          </w:tcPr>
          <w:p w14:paraId="46B79C78"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0CFA87C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Overkurs ved emission</w:t>
            </w:r>
          </w:p>
          <w:p w14:paraId="0238A602" w14:textId="0DD89F14" w:rsidR="005643EA" w:rsidRPr="002A677E" w:rsidRDefault="002648B0" w:rsidP="00487A02">
            <w:pPr>
              <w:pStyle w:val="InstructionsText"/>
              <w:rPr>
                <w:rStyle w:val="FormatvorlageInstructionsTabelleText"/>
                <w:rFonts w:ascii="Times New Roman" w:hAnsi="Times New Roman"/>
                <w:sz w:val="24"/>
              </w:rPr>
            </w:pPr>
            <w:r>
              <w:t>Artikel 4, stk. 1, nr. 124),og artikel 26, stk. 1, litra b), i forordning (EU) nr. 575/2013.</w:t>
            </w:r>
          </w:p>
          <w:p w14:paraId="524548BB"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Overkurs ved emission har samme betydning som i den gældende regnskabsstandard. </w:t>
            </w:r>
          </w:p>
          <w:p w14:paraId="47041C01"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beløb, der indberettes i denne post, skal være den andel, der vedrører de "fuldt betalte kapitalinstrumenter". </w:t>
            </w:r>
          </w:p>
        </w:tc>
      </w:tr>
      <w:tr w:rsidR="002648B0" w:rsidRPr="002A677E" w14:paraId="657BC06E" w14:textId="77777777" w:rsidTr="00D731E3">
        <w:tc>
          <w:tcPr>
            <w:tcW w:w="1129" w:type="dxa"/>
          </w:tcPr>
          <w:p w14:paraId="0E2BFC1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873A5A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Egne egentlige kernekapitalinstrumenter</w:t>
            </w:r>
          </w:p>
          <w:p w14:paraId="17A6A53A" w14:textId="52D49DA1" w:rsidR="005643EA" w:rsidRPr="002A677E" w:rsidRDefault="002648B0" w:rsidP="00487A02">
            <w:pPr>
              <w:pStyle w:val="InstructionsText"/>
              <w:rPr>
                <w:rStyle w:val="FormatvorlageInstructionsTabelleText"/>
                <w:rFonts w:ascii="Times New Roman" w:hAnsi="Times New Roman"/>
                <w:sz w:val="24"/>
              </w:rPr>
            </w:pPr>
            <w:r>
              <w:t>Artikel 36, stk. 1, litra f), og artikel 42 i forordning (EU) nr. 575/2013</w:t>
            </w:r>
          </w:p>
          <w:p w14:paraId="6F1D6654" w14:textId="3C7F141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egentlige kernekapital, som det indberettende institut eller den indberettende koncern besidder på indberetningsdatoen, og de beløb for egentlige kernekapitalinstrumenter, der skal fratrækkes i henhold til artikel 28, stk. 2, i Kommissionens delegerede forordning (EU) nr. 241/2014</w:t>
            </w:r>
            <w:r>
              <w:rPr>
                <w:rStyle w:val="FootnoteReference"/>
                <w:rFonts w:ascii="Times New Roman" w:hAnsi="Times New Roman"/>
                <w:bCs/>
                <w:sz w:val="24"/>
                <w:szCs w:val="24"/>
                <w:vertAlign w:val="superscript"/>
              </w:rPr>
              <w:footnoteReference w:id="2"/>
            </w:r>
            <w:r>
              <w:rPr>
                <w:rStyle w:val="FormatvorlageInstructionsTabelleText"/>
                <w:rFonts w:ascii="Times New Roman" w:hAnsi="Times New Roman"/>
                <w:sz w:val="24"/>
              </w:rPr>
              <w:t xml:space="preserve">. </w:t>
            </w:r>
            <w:r>
              <w:t>Med forbehold af undtagelser omhandlet i artikel 42 i forordning (EU) nr. 575/2013.</w:t>
            </w:r>
          </w:p>
          <w:p w14:paraId="55EB9090"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Besiddelser af aktier, der er anført som "Ikkekvalificerede kapitalinstrumenter", indberettes ikke i denne række.</w:t>
            </w:r>
          </w:p>
          <w:p w14:paraId="4915BB7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Det indberettede beløb skal indbefatte overkurs ved emission i forbindelse med egne aktier.</w:t>
            </w:r>
          </w:p>
          <w:p w14:paraId="61C5347E"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 1.1.1.1.4 til 1.1.1.1.4.3 omfatter ikke faktiske forpligtelser eller eventualforpligtelser til at købe egne egentlige kernekapitalinstrumenter. Faktiske forpligtelser eller eventualforpligtelser til at købe egne egentlige kernekapitalinstrumenter indberettes særskilt i post 1.1.1.1.5.</w:t>
            </w:r>
          </w:p>
        </w:tc>
      </w:tr>
      <w:tr w:rsidR="002648B0" w:rsidRPr="002A677E" w14:paraId="24A9D21A" w14:textId="77777777" w:rsidTr="00D731E3">
        <w:tc>
          <w:tcPr>
            <w:tcW w:w="1129" w:type="dxa"/>
          </w:tcPr>
          <w:p w14:paraId="57922310"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1C57F442"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Direkte besiddelser af egentlige kernekapitalinstrumenter</w:t>
            </w:r>
          </w:p>
          <w:p w14:paraId="75423A7A" w14:textId="41B0080C" w:rsidR="005643EA" w:rsidRPr="002A677E" w:rsidRDefault="002648B0" w:rsidP="00487A02">
            <w:pPr>
              <w:pStyle w:val="InstructionsText"/>
              <w:rPr>
                <w:rStyle w:val="FormatvorlageInstructionsTabelleText"/>
                <w:rFonts w:ascii="Times New Roman" w:hAnsi="Times New Roman"/>
                <w:sz w:val="24"/>
              </w:rPr>
            </w:pPr>
            <w:r>
              <w:t>Artikel 36, stk. 1, litra f), og artikel 42 i forordning (EU) nr. 575/2013</w:t>
            </w:r>
          </w:p>
          <w:p w14:paraId="08CA447F" w14:textId="75A0EF2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Egentlige kernekapitalinstrumenter, der er medtaget i 1.1.1.1, og som institutter i den konsoliderede koncern besidder, og de beløb for egentlige kernekapitalinstrumenter, der skal fratrækkes i henhold til artikel 28, stk. 2, i delegeret forordning (EU) nr. 241/2014. </w:t>
            </w:r>
          </w:p>
          <w:p w14:paraId="52B27E73" w14:textId="3A649023" w:rsidR="005643EA" w:rsidRPr="002A677E" w:rsidRDefault="002648B0" w:rsidP="00467F65">
            <w:pPr>
              <w:pStyle w:val="InstructionsText"/>
              <w:rPr>
                <w:rStyle w:val="FormatvorlageInstructionsTabelleText"/>
                <w:rFonts w:ascii="Times New Roman" w:hAnsi="Times New Roman"/>
                <w:sz w:val="24"/>
              </w:rPr>
            </w:pPr>
            <w:r>
              <w:t>Det indberettede beløb skal indbefatte besiddelser i handelsbeholdningen beregnet på grundlag af lange nettopositioner i overensstemmelse med artikel 42, litra a), i forordning (EU) nr. 575/2013.</w:t>
            </w:r>
          </w:p>
        </w:tc>
      </w:tr>
      <w:tr w:rsidR="002648B0" w:rsidRPr="002A677E" w14:paraId="2F5254D4" w14:textId="77777777" w:rsidTr="00D731E3">
        <w:tc>
          <w:tcPr>
            <w:tcW w:w="1129" w:type="dxa"/>
          </w:tcPr>
          <w:p w14:paraId="21EDFE7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424919D1"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Indirekte besiddelser af egentlige kernekapitalinstrumenter</w:t>
            </w:r>
          </w:p>
          <w:p w14:paraId="09702BF0" w14:textId="3EFA5BE4" w:rsidR="005643EA" w:rsidRPr="002A677E" w:rsidRDefault="00805255" w:rsidP="00467F65">
            <w:pPr>
              <w:pStyle w:val="InstructionsText"/>
              <w:rPr>
                <w:rStyle w:val="FormatvorlageInstructionsTabelleText"/>
                <w:rFonts w:ascii="Times New Roman" w:hAnsi="Times New Roman"/>
                <w:sz w:val="24"/>
              </w:rPr>
            </w:pPr>
            <w:r>
              <w:t>Artikel 4, stk. 1, nr. 114), artikel 36, stk. 1, litra f), og artikel 42 i forordning (EU) nr. 575/2013</w:t>
            </w:r>
          </w:p>
        </w:tc>
      </w:tr>
      <w:tr w:rsidR="002648B0" w:rsidRPr="002A677E" w14:paraId="34033278" w14:textId="77777777" w:rsidTr="00D731E3">
        <w:tc>
          <w:tcPr>
            <w:tcW w:w="1129" w:type="dxa"/>
          </w:tcPr>
          <w:p w14:paraId="048D1D2A" w14:textId="77777777" w:rsidR="005643EA"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34A4870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Syntetiske besiddelser af egentlige kernekapitalinstrumenter</w:t>
            </w:r>
          </w:p>
          <w:p w14:paraId="26DE2A22" w14:textId="2872D286" w:rsidR="005643EA" w:rsidRPr="002A677E" w:rsidRDefault="00805255" w:rsidP="00467F65">
            <w:pPr>
              <w:pStyle w:val="InstructionsText"/>
              <w:rPr>
                <w:rStyle w:val="InstructionsTabelleberschrift"/>
                <w:rFonts w:ascii="Times New Roman" w:hAnsi="Times New Roman"/>
                <w:b w:val="0"/>
                <w:sz w:val="24"/>
                <w:u w:val="none"/>
              </w:rPr>
            </w:pPr>
            <w:r>
              <w:t>Artikel 4, stk. 1, nr. 126), artikel 36, stk. 1, litra f), og artikel 42 i forordning (EU) nr. 575/2013</w:t>
            </w:r>
          </w:p>
        </w:tc>
      </w:tr>
      <w:tr w:rsidR="002648B0" w:rsidRPr="002A677E" w14:paraId="2452134E" w14:textId="77777777" w:rsidTr="00D731E3">
        <w:tc>
          <w:tcPr>
            <w:tcW w:w="1129" w:type="dxa"/>
          </w:tcPr>
          <w:p w14:paraId="79B3F07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071C30D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Faktiske forpligtelser eller eventualforpligtelser til at købe egne egentlige kernekapitalinstrumenter</w:t>
            </w:r>
          </w:p>
          <w:p w14:paraId="5F8B540B" w14:textId="580330E0" w:rsidR="005643EA" w:rsidRPr="002A677E" w:rsidRDefault="002648B0" w:rsidP="00487A02">
            <w:pPr>
              <w:pStyle w:val="InstructionsText"/>
              <w:rPr>
                <w:rStyle w:val="FormatvorlageInstructionsTabelleText"/>
                <w:rFonts w:ascii="Times New Roman" w:hAnsi="Times New Roman"/>
                <w:sz w:val="24"/>
              </w:rPr>
            </w:pPr>
            <w:r>
              <w:t>Artikel 36, stk. 1, litra f), og artikel 42 i forordning (EU) nr. 575/2013</w:t>
            </w:r>
          </w:p>
          <w:p w14:paraId="7F2407F4" w14:textId="2DA6F370" w:rsidR="005643EA" w:rsidRPr="002A677E" w:rsidRDefault="002648B0" w:rsidP="00467F65">
            <w:pPr>
              <w:pStyle w:val="InstructionsText"/>
              <w:rPr>
                <w:rStyle w:val="InstructionsTabelleberschrift"/>
                <w:rFonts w:ascii="Times New Roman" w:hAnsi="Times New Roman"/>
                <w:b w:val="0"/>
                <w:bCs w:val="0"/>
                <w:sz w:val="24"/>
                <w:u w:val="none"/>
              </w:rPr>
            </w:pPr>
            <w:r>
              <w:t>I henhold til artikel 36, stk. 1, litra f), i forordning (EU) nr. 575/2013 skal et instituts egne egentlige kernekapitalinstrumenter, som det er forpligtet til at købe i henhold til en faktisk forpligtelse eller eventualforpligtelse, trækkes fra.</w:t>
            </w:r>
          </w:p>
        </w:tc>
      </w:tr>
      <w:tr w:rsidR="002648B0" w:rsidRPr="002A677E" w14:paraId="57B96802" w14:textId="77777777" w:rsidTr="00D731E3">
        <w:tc>
          <w:tcPr>
            <w:tcW w:w="1129" w:type="dxa"/>
          </w:tcPr>
          <w:p w14:paraId="7BBB4DF5"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BAA99CD"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Overført resultat</w:t>
            </w:r>
          </w:p>
          <w:p w14:paraId="3ADB3998" w14:textId="0D76E52F" w:rsidR="005643EA" w:rsidRPr="002A677E" w:rsidRDefault="002648B0" w:rsidP="00487A02">
            <w:pPr>
              <w:pStyle w:val="InstructionsText"/>
              <w:rPr>
                <w:rStyle w:val="FormatvorlageInstructionsTabelleText"/>
                <w:rFonts w:ascii="Times New Roman" w:hAnsi="Times New Roman"/>
                <w:sz w:val="24"/>
              </w:rPr>
            </w:pPr>
            <w:r>
              <w:t>Artikel 26, stk. 1, litra c), og artikel 26, stk. 2, i forordning (EU) nr. 575/2013</w:t>
            </w:r>
          </w:p>
          <w:p w14:paraId="073D5A2F"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Overført resultat omfatter overført resultat for det foregående år samt kvalificerede foreløbige overskud og overskud ved årets udgang.</w:t>
            </w:r>
          </w:p>
        </w:tc>
      </w:tr>
      <w:tr w:rsidR="002648B0" w:rsidRPr="002A677E" w14:paraId="40435219" w14:textId="77777777" w:rsidTr="00D731E3">
        <w:tc>
          <w:tcPr>
            <w:tcW w:w="1129" w:type="dxa"/>
          </w:tcPr>
          <w:p w14:paraId="7ED7F1A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D5DDD0C"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Overført resultat for foregående år</w:t>
            </w:r>
          </w:p>
          <w:p w14:paraId="54F5DF50" w14:textId="139C4985" w:rsidR="005643EA" w:rsidRPr="002A677E" w:rsidRDefault="002648B0" w:rsidP="00487A02">
            <w:pPr>
              <w:pStyle w:val="InstructionsText"/>
              <w:rPr>
                <w:rStyle w:val="FormatvorlageInstructionsTabelleText"/>
                <w:rFonts w:ascii="Times New Roman" w:hAnsi="Times New Roman"/>
                <w:sz w:val="24"/>
              </w:rPr>
            </w:pPr>
            <w:r>
              <w:t>Artikel 4, stk. 1, nr. 123), og artikel 26, stk. 1, litra c), i forordning (EU) nr. 575/2013</w:t>
            </w:r>
          </w:p>
          <w:p w14:paraId="7784E49D" w14:textId="25A4171E" w:rsidR="005643EA" w:rsidRPr="002A677E" w:rsidRDefault="002648B0" w:rsidP="00487A02">
            <w:pPr>
              <w:pStyle w:val="InstructionsText"/>
              <w:rPr>
                <w:rStyle w:val="FormatvorlageInstructionsTabelleText"/>
                <w:rFonts w:ascii="Times New Roman" w:hAnsi="Times New Roman"/>
                <w:sz w:val="24"/>
              </w:rPr>
            </w:pPr>
            <w:r>
              <w:t>I artikel 4, stk. 1, nr. 123), i forordning (EU) nr. 575/2013 defineres overført resultat som fremført driftsresultat opgjort som det endelige overskud eller tab i henhold til de gældende regnskabsregler.</w:t>
            </w:r>
          </w:p>
        </w:tc>
      </w:tr>
      <w:tr w:rsidR="002648B0" w:rsidRPr="002A677E" w14:paraId="4FBC3144" w14:textId="77777777" w:rsidTr="00D731E3">
        <w:tc>
          <w:tcPr>
            <w:tcW w:w="1129" w:type="dxa"/>
          </w:tcPr>
          <w:p w14:paraId="71B154A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B0AA1FB"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Kvalificeret driftsresultat</w:t>
            </w:r>
          </w:p>
          <w:p w14:paraId="21F4DCF2" w14:textId="30E40D7B" w:rsidR="005643EA" w:rsidRPr="002A677E" w:rsidRDefault="002648B0" w:rsidP="00487A02">
            <w:pPr>
              <w:pStyle w:val="InstructionsText"/>
              <w:rPr>
                <w:rStyle w:val="FormatvorlageInstructionsTabelleText"/>
                <w:rFonts w:ascii="Times New Roman" w:hAnsi="Times New Roman"/>
                <w:sz w:val="24"/>
              </w:rPr>
            </w:pPr>
            <w:r>
              <w:t>Artikel 4, stk. 1, nr. 121), artikel 26, stk. 2, og artikel 36, stk. 1, litra a), i forordning (EU) nr. 575/2013</w:t>
            </w:r>
          </w:p>
          <w:p w14:paraId="49CD03AF" w14:textId="6A57AFFF" w:rsidR="005643EA" w:rsidRPr="002A677E" w:rsidRDefault="002648B0" w:rsidP="00487A02">
            <w:pPr>
              <w:pStyle w:val="InstructionsText"/>
              <w:rPr>
                <w:rStyle w:val="FormatvorlageInstructionsTabelleText"/>
                <w:rFonts w:ascii="Times New Roman" w:hAnsi="Times New Roman"/>
                <w:sz w:val="24"/>
              </w:rPr>
            </w:pPr>
            <w:r>
              <w:t>I henhold til artikel 26, stk. 2, i forordning (EU) nr. 575/2013 kan foreløbige overskud og overskud ved årets udgang medregnes med den kompetente myndigheds forudgående tilladelse, hvis visse betingelser opfyldes.</w:t>
            </w:r>
            <w:r>
              <w:rPr>
                <w:rStyle w:val="FormatvorlageInstructionsTabelleText"/>
                <w:rFonts w:ascii="Times New Roman" w:hAnsi="Times New Roman"/>
                <w:sz w:val="24"/>
              </w:rPr>
              <w:t xml:space="preserve"> </w:t>
            </w:r>
          </w:p>
          <w:p w14:paraId="59132D42" w14:textId="37E5F529" w:rsidR="005643EA" w:rsidRPr="002A677E" w:rsidRDefault="002648B0" w:rsidP="00467F65">
            <w:pPr>
              <w:pStyle w:val="InstructionsText"/>
              <w:rPr>
                <w:rStyle w:val="FormatvorlageInstructionsTabelleText"/>
                <w:rFonts w:ascii="Times New Roman" w:hAnsi="Times New Roman"/>
                <w:sz w:val="24"/>
              </w:rPr>
            </w:pPr>
            <w:r>
              <w:t>Omvendt skal tab trækkes fra den egentlige kernekapital i henhold til artikel 36, stk. 1, litra a), i forordning (EU) nr. 575/2013.</w:t>
            </w:r>
          </w:p>
        </w:tc>
      </w:tr>
      <w:tr w:rsidR="002648B0" w:rsidRPr="002A677E" w14:paraId="3AC14AD7" w14:textId="77777777" w:rsidTr="00D731E3">
        <w:tc>
          <w:tcPr>
            <w:tcW w:w="1129" w:type="dxa"/>
          </w:tcPr>
          <w:p w14:paraId="01BAD3F3"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7761C75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Driftsresultat, der kan henføres til ejerne af moderselskabet</w:t>
            </w:r>
          </w:p>
          <w:p w14:paraId="7D2A8D42" w14:textId="0BFAF8B2" w:rsidR="005643EA" w:rsidRPr="002A677E" w:rsidRDefault="002648B0" w:rsidP="00487A02">
            <w:pPr>
              <w:pStyle w:val="InstructionsText"/>
              <w:rPr>
                <w:rStyle w:val="FormatvorlageInstructionsTabelleText"/>
                <w:rFonts w:ascii="Times New Roman" w:hAnsi="Times New Roman"/>
                <w:sz w:val="24"/>
              </w:rPr>
            </w:pPr>
            <w:r>
              <w:t>Artikel 26, stk. 2, og artikel 36, stk. 1, litra a), i forordning (EU) nr. 575/2013</w:t>
            </w:r>
          </w:p>
          <w:p w14:paraId="647A169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det overskud eller tab, der er indberettet i resultatopgørelsen.</w:t>
            </w:r>
          </w:p>
        </w:tc>
      </w:tr>
      <w:tr w:rsidR="002648B0" w:rsidRPr="002A677E" w14:paraId="49949D25" w14:textId="77777777" w:rsidTr="00D731E3">
        <w:tc>
          <w:tcPr>
            <w:tcW w:w="1129" w:type="dxa"/>
          </w:tcPr>
          <w:p w14:paraId="2460E57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450958C"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Ikkekvalificerede foreløbige overskud og overskud ved årets udgang</w:t>
            </w:r>
          </w:p>
          <w:p w14:paraId="1285EAFD" w14:textId="08E5136F" w:rsidR="005643EA" w:rsidRPr="002A677E" w:rsidRDefault="002648B0" w:rsidP="00487A02">
            <w:pPr>
              <w:pStyle w:val="InstructionsText"/>
              <w:rPr>
                <w:rStyle w:val="FormatvorlageInstructionsTabelleText"/>
                <w:rFonts w:ascii="Times New Roman" w:hAnsi="Times New Roman"/>
                <w:sz w:val="24"/>
              </w:rPr>
            </w:pPr>
            <w:r>
              <w:t>Artikel 26, stk. 2, i forordning (EU) nr. 575/2013</w:t>
            </w:r>
          </w:p>
          <w:p w14:paraId="36949832"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Denne række udfyldes ikke, hvis instituttet har indberettet tab for referenceperioden, eftersom tab skal fratrækkes den egentlige kernekapital.</w:t>
            </w:r>
          </w:p>
          <w:p w14:paraId="7D9F770C" w14:textId="4FC80CBF" w:rsidR="005643EA" w:rsidRPr="002A677E" w:rsidRDefault="002648B0" w:rsidP="00487A02">
            <w:pPr>
              <w:pStyle w:val="InstructionsText"/>
              <w:rPr>
                <w:rStyle w:val="FormatvorlageInstructionsTabelleText"/>
                <w:rFonts w:ascii="Times New Roman" w:hAnsi="Times New Roman"/>
                <w:sz w:val="24"/>
              </w:rPr>
            </w:pPr>
            <w:r>
              <w:t>Hvis instituttet indberetter overskud, skal det indberettes, hvilken del der ikke er kvalificeret i henhold til artikel 26, stk. 2, i forordning (EU) nr. 575/2013 (dvs. ikke-reviderede overskud og forventede omkostninger eller udbytter).</w:t>
            </w:r>
          </w:p>
          <w:p w14:paraId="69A7131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forbindelse med overskud skal det beløb, der fratrækkes, mindst være de foreløbige udbytter.</w:t>
            </w:r>
          </w:p>
        </w:tc>
      </w:tr>
      <w:tr w:rsidR="002648B0" w:rsidRPr="002A677E" w14:paraId="33F9A001" w14:textId="77777777" w:rsidTr="00D731E3">
        <w:tc>
          <w:tcPr>
            <w:tcW w:w="1129" w:type="dxa"/>
          </w:tcPr>
          <w:p w14:paraId="655D5FF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A378A87"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Akkumuleret anden totalindkomst</w:t>
            </w:r>
          </w:p>
          <w:p w14:paraId="4FCA4A4A" w14:textId="231792D9" w:rsidR="005643EA" w:rsidRPr="002A677E" w:rsidRDefault="002648B0" w:rsidP="00487A02">
            <w:pPr>
              <w:pStyle w:val="InstructionsText"/>
              <w:rPr>
                <w:rStyle w:val="FormatvorlageInstructionsTabelleText"/>
                <w:rFonts w:ascii="Times New Roman" w:hAnsi="Times New Roman"/>
                <w:sz w:val="24"/>
              </w:rPr>
            </w:pPr>
            <w:r>
              <w:t>Artikel 4, stk. 1, nr. 100), og artikel 26, stk. 1, litra d), i forordning (EU) nr. 575/2013</w:t>
            </w:r>
          </w:p>
          <w:p w14:paraId="1E90CC48" w14:textId="546AA2B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indberettede beløb skal være fratrukket enhver form for skat, der kan forudses på beregningstidspunktet, og før anvendelse af filtre. Det indberettede beløb fastsættes i henhold til artikel 13, stk. 4, i Kommissionens delegerede forordning (EU) nr. 241/2014. </w:t>
            </w:r>
          </w:p>
        </w:tc>
      </w:tr>
      <w:tr w:rsidR="002648B0" w:rsidRPr="002A677E" w14:paraId="53147632" w14:textId="77777777" w:rsidTr="00D731E3">
        <w:tc>
          <w:tcPr>
            <w:tcW w:w="1129" w:type="dxa"/>
          </w:tcPr>
          <w:p w14:paraId="0A7C0289"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5279EFC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Andre reserver</w:t>
            </w:r>
          </w:p>
          <w:p w14:paraId="2AF06D00" w14:textId="40C434D9" w:rsidR="005643EA" w:rsidRPr="002A677E" w:rsidRDefault="002648B0" w:rsidP="00487A02">
            <w:pPr>
              <w:pStyle w:val="InstructionsText"/>
              <w:rPr>
                <w:rStyle w:val="FormatvorlageInstructionsTabelleText"/>
                <w:rFonts w:ascii="Times New Roman" w:hAnsi="Times New Roman"/>
                <w:sz w:val="24"/>
              </w:rPr>
            </w:pPr>
            <w:r>
              <w:t>Artikel 4, stk. 1, nr. 117), og artikel 26, stk. 1, litra e), i forordning (EU) nr. 575/2013</w:t>
            </w:r>
          </w:p>
          <w:p w14:paraId="64926C51" w14:textId="5A69441B" w:rsidR="005643EA" w:rsidRPr="002A677E" w:rsidRDefault="002648B0" w:rsidP="00487A02">
            <w:pPr>
              <w:pStyle w:val="InstructionsText"/>
              <w:rPr>
                <w:rStyle w:val="FormatvorlageInstructionsTabelleText"/>
                <w:rFonts w:ascii="Times New Roman" w:hAnsi="Times New Roman"/>
                <w:sz w:val="24"/>
              </w:rPr>
            </w:pPr>
            <w:r>
              <w:t>Andre reserver defineres i forordning (EU) nr. 575/2013 som "reserver, jf. de gældende regnskabsregler, som skal oplyses i henhold til den gældende regnskabsstandard med fradrag af de beløb, der allerede indgår i akkumuleret anden totalindkomst eller overført resultat".</w:t>
            </w:r>
          </w:p>
          <w:p w14:paraId="60525F0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fratrukket enhver form for skat, der kan forudses på beregningstidspunktet.</w:t>
            </w:r>
          </w:p>
        </w:tc>
      </w:tr>
      <w:tr w:rsidR="002648B0" w:rsidRPr="002A677E" w14:paraId="6D374D3A" w14:textId="77777777" w:rsidTr="00D731E3">
        <w:tc>
          <w:tcPr>
            <w:tcW w:w="1129" w:type="dxa"/>
          </w:tcPr>
          <w:p w14:paraId="5307302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55CF601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Midler til dækning af generelle kreditinstitutrisici</w:t>
            </w:r>
          </w:p>
          <w:p w14:paraId="0FA76D31" w14:textId="78EBD8A9" w:rsidR="005643EA" w:rsidRPr="002A677E" w:rsidRDefault="002648B0" w:rsidP="00487A02">
            <w:pPr>
              <w:pStyle w:val="InstructionsText"/>
              <w:rPr>
                <w:rStyle w:val="FormatvorlageInstructionsTabelleText"/>
                <w:rFonts w:ascii="Times New Roman" w:hAnsi="Times New Roman"/>
                <w:sz w:val="24"/>
              </w:rPr>
            </w:pPr>
            <w:r>
              <w:lastRenderedPageBreak/>
              <w:t>Artikel 4, stk. 1, nr. 112), og artikel 26, stk. 1, litra f), i forordning (EU) nr. 575/2013</w:t>
            </w:r>
          </w:p>
          <w:p w14:paraId="2514A1CE" w14:textId="52657B86" w:rsidR="005643EA" w:rsidRPr="002A677E" w:rsidRDefault="002648B0" w:rsidP="00487A02">
            <w:pPr>
              <w:pStyle w:val="InstructionsText"/>
              <w:rPr>
                <w:rStyle w:val="FormatvorlageInstructionsTabelleText"/>
                <w:rFonts w:ascii="Times New Roman" w:hAnsi="Times New Roman"/>
                <w:sz w:val="24"/>
              </w:rPr>
            </w:pPr>
            <w:r>
              <w:t>Midler til dækning af generelle kreditinstitutrisici defineres i artikel 38 i Rådets direktiv 86/635/EØF som "de beløb, kreditinstituttet beslutter at hensætte til dækning af sådanne risici, såfremt dette af forsigtighedshensyn er nødvendigt i forbindelse med de særlige risici ved bankmæssige forretninger".</w:t>
            </w:r>
          </w:p>
          <w:p w14:paraId="23902DB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fratrukket enhver form for skat, der kan forudses på beregningstidspunktet.</w:t>
            </w:r>
          </w:p>
        </w:tc>
      </w:tr>
      <w:tr w:rsidR="002648B0" w:rsidRPr="002A677E" w14:paraId="0A60FFDD" w14:textId="77777777" w:rsidTr="00D731E3">
        <w:tc>
          <w:tcPr>
            <w:tcW w:w="1129" w:type="dxa"/>
          </w:tcPr>
          <w:p w14:paraId="7D9A924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0" w:type="dxa"/>
          </w:tcPr>
          <w:p w14:paraId="2DEB3A90"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Overgangsjusteringer som følge af kapitalinstrumenter, der udgør egentlig kernekapital i henhold til overgangsbestemmelser</w:t>
            </w:r>
          </w:p>
          <w:p w14:paraId="34326EC5" w14:textId="7EA9CC71" w:rsidR="005643EA" w:rsidRPr="002A677E" w:rsidRDefault="002648B0" w:rsidP="00487A02">
            <w:pPr>
              <w:pStyle w:val="InstructionsText"/>
              <w:rPr>
                <w:rStyle w:val="FormatvorlageInstructionsTabelleText"/>
                <w:rFonts w:ascii="Times New Roman" w:hAnsi="Times New Roman"/>
                <w:sz w:val="24"/>
              </w:rPr>
            </w:pPr>
            <w:r>
              <w:t>Artikel 483, stk. 1, 2 og 3, og artikel 484-487, i forordning (EU) nr. 575/2013</w:t>
            </w:r>
          </w:p>
          <w:p w14:paraId="0DD047D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Værdi af kapitalinstrumenter, der udgør egentlig kernekapital i henhold til overgangsbestemmelser. Det beløb, der indberettes, hentes direkte fra CA5.</w:t>
            </w:r>
          </w:p>
        </w:tc>
      </w:tr>
      <w:tr w:rsidR="002648B0" w:rsidRPr="002A677E" w14:paraId="03EC0373" w14:textId="77777777" w:rsidTr="00D731E3">
        <w:tc>
          <w:tcPr>
            <w:tcW w:w="1129" w:type="dxa"/>
          </w:tcPr>
          <w:p w14:paraId="4644855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4DBB71E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Minoritetsinteresser, der indgår i den egentlige kernekapital</w:t>
            </w:r>
          </w:p>
          <w:p w14:paraId="2B0E9AD1" w14:textId="0AE3BECA" w:rsidR="005643EA" w:rsidRPr="002A677E" w:rsidRDefault="002648B0" w:rsidP="00487A02">
            <w:pPr>
              <w:pStyle w:val="InstructionsText"/>
              <w:rPr>
                <w:rStyle w:val="FormatvorlageInstructionsTabelleText"/>
                <w:rFonts w:ascii="Times New Roman" w:hAnsi="Times New Roman"/>
                <w:sz w:val="24"/>
              </w:rPr>
            </w:pPr>
            <w:r>
              <w:t>Artikel 4, stk. 1, nr. 120), og artikel 84 i forordning (EU) nr. 575/2013</w:t>
            </w:r>
          </w:p>
          <w:p w14:paraId="6A56183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Summen af beløbene for alle minoritetsinteresser, der indgår i den konsoliderede egentlige kernekapital.</w:t>
            </w:r>
          </w:p>
        </w:tc>
      </w:tr>
      <w:tr w:rsidR="002648B0" w:rsidRPr="002A677E" w14:paraId="194284D4" w14:textId="77777777" w:rsidTr="00D731E3">
        <w:tc>
          <w:tcPr>
            <w:tcW w:w="1129" w:type="dxa"/>
          </w:tcPr>
          <w:p w14:paraId="104D03D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7599C16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Overgangsjusteringer som følge af supplerende minoritetsinteresser</w:t>
            </w:r>
          </w:p>
          <w:p w14:paraId="269E3669" w14:textId="21574CC8" w:rsidR="005643EA" w:rsidRPr="002A677E" w:rsidRDefault="002648B0" w:rsidP="00487A02">
            <w:pPr>
              <w:pStyle w:val="InstructionsText"/>
              <w:rPr>
                <w:rStyle w:val="FormatvorlageInstructionsTabelleText"/>
                <w:rFonts w:ascii="Times New Roman" w:hAnsi="Times New Roman"/>
                <w:sz w:val="24"/>
              </w:rPr>
            </w:pPr>
            <w:r>
              <w:t>Artikel 479 og 480 i forordning (EU) nr. 575/2013</w:t>
            </w:r>
          </w:p>
          <w:p w14:paraId="1E9A1C7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af minoritetsinteresser som følge af overgangsbestemmelser. Denne post hentes direkte fra CA5.</w:t>
            </w:r>
          </w:p>
        </w:tc>
      </w:tr>
      <w:tr w:rsidR="002648B0" w:rsidRPr="002A677E" w14:paraId="742514AD" w14:textId="77777777" w:rsidTr="00D731E3">
        <w:tc>
          <w:tcPr>
            <w:tcW w:w="1129" w:type="dxa"/>
          </w:tcPr>
          <w:p w14:paraId="27EE8811"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04E6BFDB"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Justeringer af egentlig kernekapital som følge af filtre</w:t>
            </w:r>
          </w:p>
          <w:p w14:paraId="235AF992" w14:textId="5D67AF0B" w:rsidR="005643EA" w:rsidRPr="002A677E" w:rsidRDefault="002648B0" w:rsidP="00487A02">
            <w:pPr>
              <w:pStyle w:val="InstructionsText"/>
              <w:rPr>
                <w:rStyle w:val="FormatvorlageInstructionsTabelleText"/>
                <w:rFonts w:ascii="Times New Roman" w:hAnsi="Times New Roman"/>
                <w:sz w:val="24"/>
              </w:rPr>
            </w:pPr>
            <w:r>
              <w:t xml:space="preserve">Artikel 32-35 i forordning (EU) nr. 575/2013 </w:t>
            </w:r>
          </w:p>
        </w:tc>
      </w:tr>
      <w:tr w:rsidR="002648B0" w:rsidRPr="002A677E" w14:paraId="6677C476" w14:textId="77777777" w:rsidTr="00D731E3">
        <w:tc>
          <w:tcPr>
            <w:tcW w:w="1129" w:type="dxa"/>
          </w:tcPr>
          <w:p w14:paraId="4D972B5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3B671B4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Stigninger i egenkapital som følge af securitiserede aktiver</w:t>
            </w:r>
          </w:p>
          <w:p w14:paraId="7D8F1942" w14:textId="0E8AEB75" w:rsidR="005643EA" w:rsidRPr="002A677E" w:rsidRDefault="002648B0" w:rsidP="00487A02">
            <w:pPr>
              <w:pStyle w:val="InstructionsText"/>
              <w:rPr>
                <w:rStyle w:val="FormatvorlageInstructionsTabelleText"/>
                <w:rFonts w:ascii="Times New Roman" w:hAnsi="Times New Roman"/>
                <w:sz w:val="24"/>
              </w:rPr>
            </w:pPr>
            <w:r>
              <w:t>Artikel 32, stk. 1, i forordning (EU) nr. 575/2013</w:t>
            </w:r>
          </w:p>
          <w:p w14:paraId="75C8F35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skal indberettes, er den stigning i instituttets egenkapital, der genereres af securitiserede aktiver, jf. den gældende regnskabsstandard.</w:t>
            </w:r>
          </w:p>
          <w:p w14:paraId="392BF58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Denne post omfatter f.eks. fremtidig margenindkomst, som indbringer instituttet en gevinst ved salg, eller den nettogevinst, der opnås ved kapitalisering af fremtidig indkomst fra securitiserede aktiver, som medfører en kreditforbedring af securitiseringspositionerne, hvis der er tale om eksponeringsleverende institutter.</w:t>
            </w:r>
          </w:p>
        </w:tc>
      </w:tr>
      <w:tr w:rsidR="002648B0" w:rsidRPr="002A677E" w14:paraId="2082B334" w14:textId="77777777" w:rsidTr="00D731E3">
        <w:tc>
          <w:tcPr>
            <w:tcW w:w="1129" w:type="dxa"/>
          </w:tcPr>
          <w:p w14:paraId="1BB8E37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1EFA5A91"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Cash flow hedge-reserve</w:t>
            </w:r>
          </w:p>
          <w:p w14:paraId="05713177" w14:textId="5E1AF45E" w:rsidR="005643EA" w:rsidRPr="002A677E" w:rsidRDefault="002648B0" w:rsidP="00487A02">
            <w:pPr>
              <w:pStyle w:val="InstructionsText"/>
              <w:rPr>
                <w:rStyle w:val="FormatvorlageInstructionsTabelleText"/>
                <w:rFonts w:ascii="Times New Roman" w:hAnsi="Times New Roman"/>
                <w:sz w:val="24"/>
              </w:rPr>
            </w:pPr>
            <w:r>
              <w:t>Artikel 33, stk. 1, litra a), i forordning (EU) nr. 575/2013</w:t>
            </w:r>
          </w:p>
          <w:p w14:paraId="62834BF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kan være positivt eller negativt. Det skal være positivt, hvis cash flow hedges resulterer i et tab (dvs. hvis de reducerer den regnskabsmæssige egenkapital) og omvendt. Fortegnet skal derfor være modsat det fortegn, der anvendes i regnskabsopgørelser.</w:t>
            </w:r>
          </w:p>
          <w:p w14:paraId="6206233D"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Beløbet skal være fratrukket enhver form for skat, der forventes på beregningstidspunktet.</w:t>
            </w:r>
          </w:p>
        </w:tc>
      </w:tr>
      <w:tr w:rsidR="002648B0" w:rsidRPr="002A677E" w14:paraId="0AB7916A" w14:textId="77777777" w:rsidTr="00D731E3">
        <w:tc>
          <w:tcPr>
            <w:tcW w:w="1129" w:type="dxa"/>
          </w:tcPr>
          <w:p w14:paraId="512195C6"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0280</w:t>
            </w:r>
          </w:p>
        </w:tc>
        <w:tc>
          <w:tcPr>
            <w:tcW w:w="7620" w:type="dxa"/>
          </w:tcPr>
          <w:p w14:paraId="107BBC80"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Kumulative gevinster og tab som følge af ændringer i instituttets egen kreditrisiko i forbindelse med forpligtelser værdiansat til dagsværdi</w:t>
            </w:r>
          </w:p>
          <w:p w14:paraId="75FB3FBB" w14:textId="4B1DA1B3" w:rsidR="005643EA" w:rsidRPr="002A677E" w:rsidRDefault="002648B0" w:rsidP="00487A02">
            <w:pPr>
              <w:pStyle w:val="InstructionsText"/>
              <w:rPr>
                <w:rStyle w:val="FormatvorlageInstructionsTabelleText"/>
                <w:rFonts w:ascii="Times New Roman" w:hAnsi="Times New Roman"/>
                <w:sz w:val="24"/>
              </w:rPr>
            </w:pPr>
            <w:r>
              <w:t>Artikel 33, stk. 1, litra b), i forordning (EU) nr. 575/2013</w:t>
            </w:r>
          </w:p>
          <w:p w14:paraId="42C8E2D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kan være positivt eller negativt. Det skal være positivt, hvis der opstår et tab som følge af ændringer i egen kreditrisiko (dvs. hvis det reducerer den regnskabsmæssige egenkapital) og omvendt. Fortegnet skal derfor være modsat det fortegn, der anvendes i regnskabsopgørelser.</w:t>
            </w:r>
          </w:p>
          <w:p w14:paraId="2FB3405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Ikke-revideret fortjeneste medtages ikke i denne post.</w:t>
            </w:r>
          </w:p>
        </w:tc>
      </w:tr>
      <w:tr w:rsidR="00666996" w:rsidRPr="002A677E" w14:paraId="09DA3158" w14:textId="77777777" w:rsidTr="00D731E3">
        <w:tc>
          <w:tcPr>
            <w:tcW w:w="1129" w:type="dxa"/>
          </w:tcPr>
          <w:p w14:paraId="3F523A24"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508D5E7A"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Gevinster og tab værdiansat til dagsværdi, der skyldes instituttets egen kreditrisiko i forbindelse med afledte finansielle forpligtelser</w:t>
            </w:r>
          </w:p>
          <w:p w14:paraId="5A6E61A2" w14:textId="4AD12AEA" w:rsidR="005643EA" w:rsidRPr="002A677E" w:rsidRDefault="00855D5F" w:rsidP="00487A02">
            <w:pPr>
              <w:pStyle w:val="InstructionsText"/>
              <w:rPr>
                <w:rStyle w:val="FormatvorlageInstructionsTabelleText"/>
                <w:rFonts w:ascii="Times New Roman" w:hAnsi="Times New Roman"/>
                <w:sz w:val="24"/>
              </w:rPr>
            </w:pPr>
            <w:r>
              <w:t>Artikel 33, stk. 1, litra c), og artikel 33, stk. 2, i forordning (EU) nr. 575/2013</w:t>
            </w:r>
          </w:p>
          <w:p w14:paraId="57A47298"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kan være positivt eller negativt. Det skal være positivt, hvis der opstår et tab som følge af ændringer i egen kreditrisiko, og omvendt. Fortegnet skal derfor være modsat det fortegn, der anvendes i regnskabsopgørelser.</w:t>
            </w:r>
          </w:p>
          <w:p w14:paraId="5ACD1CE4" w14:textId="77777777" w:rsidR="005643EA" w:rsidRPr="002A677E"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Ikke-revideret fortjeneste medtages ikke i denne post.</w:t>
            </w:r>
          </w:p>
        </w:tc>
      </w:tr>
      <w:tr w:rsidR="00666996" w:rsidRPr="002A677E" w14:paraId="42EAF179" w14:textId="77777777" w:rsidTr="00D731E3">
        <w:tc>
          <w:tcPr>
            <w:tcW w:w="1129" w:type="dxa"/>
          </w:tcPr>
          <w:p w14:paraId="12A3C0A2"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2F21BB27"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Værdijusteringer som følge af kravene om forsigtighedsbaseret værdiansættelse</w:t>
            </w:r>
          </w:p>
          <w:p w14:paraId="3C1598C4" w14:textId="2A57D643" w:rsidR="005643EA" w:rsidRPr="002A677E" w:rsidRDefault="00666996" w:rsidP="00487A02">
            <w:pPr>
              <w:pStyle w:val="InstructionsText"/>
              <w:rPr>
                <w:rStyle w:val="FormatvorlageInstructionsTabelleText"/>
                <w:rFonts w:ascii="Times New Roman" w:hAnsi="Times New Roman"/>
                <w:sz w:val="24"/>
              </w:rPr>
            </w:pPr>
            <w:r>
              <w:t>Artikel 34 og 105 i forordning (EU) nr. 575/2013</w:t>
            </w:r>
          </w:p>
          <w:p w14:paraId="239269A0" w14:textId="16F2D5C3" w:rsidR="005643EA" w:rsidRPr="002A677E" w:rsidRDefault="00666996" w:rsidP="00487A02">
            <w:pPr>
              <w:pStyle w:val="InstructionsText"/>
              <w:rPr>
                <w:rStyle w:val="FormatvorlageInstructionsTabelleText"/>
                <w:rFonts w:ascii="Times New Roman" w:hAnsi="Times New Roman"/>
                <w:sz w:val="24"/>
              </w:rPr>
            </w:pPr>
            <w:r>
              <w:t>Justeringer i dagsværdien af eksponeringer i eller uden for handelsbeholdningen som følge af de strengere standarder for forsigtighedsbaseret værdiansættelse, der er fastsat i artikel 105 i forordning (EU) nr. 575/2013.</w:t>
            </w:r>
          </w:p>
        </w:tc>
      </w:tr>
      <w:tr w:rsidR="00666996" w:rsidRPr="002A677E" w14:paraId="77E0D073" w14:textId="77777777" w:rsidTr="00D731E3">
        <w:tc>
          <w:tcPr>
            <w:tcW w:w="1129" w:type="dxa"/>
          </w:tcPr>
          <w:p w14:paraId="4A3E7A56"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59E804BD"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Goodwill</w:t>
            </w:r>
          </w:p>
          <w:p w14:paraId="350ABC26" w14:textId="55683982" w:rsidR="005643EA" w:rsidRPr="002A677E" w:rsidRDefault="00666996" w:rsidP="001D3CE7">
            <w:pPr>
              <w:pStyle w:val="InstructionsText"/>
              <w:rPr>
                <w:rStyle w:val="FormatvorlageInstructionsTabelleText"/>
                <w:rFonts w:ascii="Times New Roman" w:hAnsi="Times New Roman"/>
                <w:sz w:val="24"/>
              </w:rPr>
            </w:pPr>
            <w:r>
              <w:t>Artikel 4, stk. 1, nr. 113), artikel 36, stk. 1, litra b), og artikel 37 i forordning (EU) nr. 575/2013</w:t>
            </w:r>
          </w:p>
        </w:tc>
      </w:tr>
      <w:tr w:rsidR="00666996" w:rsidRPr="002A677E" w14:paraId="7A30C744" w14:textId="77777777" w:rsidTr="00D731E3">
        <w:tc>
          <w:tcPr>
            <w:tcW w:w="1129" w:type="dxa"/>
          </w:tcPr>
          <w:p w14:paraId="06A9B308"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3745F912"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Goodwill, der medregnes som immaterielle aktiver</w:t>
            </w:r>
          </w:p>
          <w:p w14:paraId="1271061A" w14:textId="347B961B" w:rsidR="005643EA" w:rsidRPr="002A677E" w:rsidRDefault="00666996" w:rsidP="00487A02">
            <w:pPr>
              <w:pStyle w:val="InstructionsText"/>
              <w:rPr>
                <w:rStyle w:val="FormatvorlageInstructionsTabelleText"/>
                <w:rFonts w:ascii="Times New Roman" w:hAnsi="Times New Roman"/>
                <w:sz w:val="24"/>
              </w:rPr>
            </w:pPr>
            <w:r>
              <w:t>Artikel 4, stk. 1, nr. 113), og artikel 36, stk. 1, litra b), i forordning (EU) nr. 575/2013</w:t>
            </w:r>
          </w:p>
          <w:p w14:paraId="1503CFC4"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Goodwill har samme betydning som i den gældende regnskabsstandard.</w:t>
            </w:r>
          </w:p>
          <w:p w14:paraId="4E464E25"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det samme som det beløb, der er opført på balancen.</w:t>
            </w:r>
          </w:p>
        </w:tc>
      </w:tr>
      <w:tr w:rsidR="00666996" w:rsidRPr="002A677E" w14:paraId="4B8A9B4D" w14:textId="77777777" w:rsidTr="00D731E3">
        <w:tc>
          <w:tcPr>
            <w:tcW w:w="1129" w:type="dxa"/>
          </w:tcPr>
          <w:p w14:paraId="3C597623"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4F15EF0F" w14:textId="77777777" w:rsidR="005643EA" w:rsidRPr="002A677E"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Goodwill, der indgår i værdiansættelsen af instituttets væsentlige investeringer</w:t>
            </w:r>
          </w:p>
          <w:p w14:paraId="17810431" w14:textId="043A6839" w:rsidR="005643EA" w:rsidRPr="002A677E" w:rsidRDefault="00666996" w:rsidP="00487A02">
            <w:pPr>
              <w:pStyle w:val="InstructionsText"/>
              <w:rPr>
                <w:rStyle w:val="FormatvorlageInstructionsTabelleText"/>
                <w:rFonts w:ascii="Times New Roman" w:hAnsi="Times New Roman"/>
                <w:sz w:val="24"/>
              </w:rPr>
            </w:pPr>
            <w:r>
              <w:t>Artikel 37, litra b), og artikel 43 i forordning (EU) nr. 575/2013</w:t>
            </w:r>
          </w:p>
        </w:tc>
      </w:tr>
      <w:tr w:rsidR="00666996" w:rsidRPr="002A677E" w14:paraId="50B3ACBE" w14:textId="77777777" w:rsidTr="00D731E3">
        <w:tc>
          <w:tcPr>
            <w:tcW w:w="1129" w:type="dxa"/>
          </w:tcPr>
          <w:p w14:paraId="1F74A819"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596199BA" w14:textId="77777777" w:rsidR="005643EA" w:rsidRPr="002A677E"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Udskudte skatteforpligtelser med tilknytning til goodwill</w:t>
            </w:r>
          </w:p>
          <w:p w14:paraId="10535BD3" w14:textId="4FBD0116" w:rsidR="005643EA" w:rsidRPr="002A677E" w:rsidRDefault="00666996" w:rsidP="00487A02">
            <w:pPr>
              <w:pStyle w:val="InstructionsText"/>
              <w:rPr>
                <w:rStyle w:val="FormatvorlageInstructionsTabelleText"/>
                <w:rFonts w:ascii="Times New Roman" w:hAnsi="Times New Roman"/>
                <w:sz w:val="24"/>
              </w:rPr>
            </w:pPr>
            <w:r>
              <w:t>Artikel 37, litra a), i forordning (EU) nr. 575/2013</w:t>
            </w:r>
          </w:p>
          <w:p w14:paraId="68F66CAA"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Beløbet for udskudte skatteforpligtelser, som ville blive afviklet, hvis goodwill blev forringet eller ophørte med at blive indregnet i henhold til den gældende regnskabsstandard.</w:t>
            </w:r>
          </w:p>
        </w:tc>
      </w:tr>
      <w:tr w:rsidR="00D731E3" w:rsidRPr="002A677E" w14:paraId="6770CC20" w14:textId="77777777" w:rsidTr="00D731E3">
        <w:tc>
          <w:tcPr>
            <w:tcW w:w="1129" w:type="dxa"/>
          </w:tcPr>
          <w:p w14:paraId="17F6DFF3" w14:textId="77777777" w:rsidR="00D731E3"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0335</w:t>
            </w:r>
          </w:p>
        </w:tc>
        <w:tc>
          <w:tcPr>
            <w:tcW w:w="7620" w:type="dxa"/>
          </w:tcPr>
          <w:p w14:paraId="74FA2878"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Regnskabsmæssig revaluering af datterselskabers goodwill som følge af konsolideringen af datterselskaber, der henføres til tredjeparter</w:t>
            </w:r>
          </w:p>
          <w:p w14:paraId="3BEF7077" w14:textId="20DF938B" w:rsidR="00D731E3" w:rsidRPr="002A677E" w:rsidRDefault="00D731E3" w:rsidP="00487A02">
            <w:pPr>
              <w:pStyle w:val="InstructionsText"/>
              <w:rPr>
                <w:rStyle w:val="FormatvorlageInstructionsTabelleText"/>
                <w:rFonts w:ascii="Times New Roman" w:hAnsi="Times New Roman"/>
                <w:sz w:val="24"/>
              </w:rPr>
            </w:pPr>
            <w:r>
              <w:t>Artikel 37, litra c), i forordning (EU) nr. 575/2013</w:t>
            </w:r>
          </w:p>
          <w:p w14:paraId="6BBA5C38" w14:textId="5DBB4A24" w:rsidR="00D731E3" w:rsidRPr="002A677E" w:rsidRDefault="00D731E3"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Værdien af den regnskabsmæssige revaluering af datterselskabernes goodwill som følge af konsolideringen af datterselskaber, der henføres til andre personer end de virksomheder, som indgår i konsolideringen efter bestemmelserne i første del, afsnit II, kapitel 2.</w:t>
            </w:r>
          </w:p>
        </w:tc>
      </w:tr>
      <w:tr w:rsidR="00D731E3" w:rsidRPr="002A677E" w14:paraId="72173EEA" w14:textId="77777777" w:rsidTr="00D731E3">
        <w:tc>
          <w:tcPr>
            <w:tcW w:w="1129" w:type="dxa"/>
          </w:tcPr>
          <w:p w14:paraId="6D53C429"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1993F3F"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Andre immaterielle aktiver</w:t>
            </w:r>
          </w:p>
          <w:p w14:paraId="2F1C3286" w14:textId="7E2AC4BA" w:rsidR="00D731E3" w:rsidRPr="002A677E" w:rsidRDefault="00D731E3" w:rsidP="00487A02">
            <w:pPr>
              <w:pStyle w:val="InstructionsText"/>
              <w:rPr>
                <w:rStyle w:val="FormatvorlageInstructionsTabelleText"/>
                <w:rFonts w:ascii="Times New Roman" w:hAnsi="Times New Roman"/>
                <w:sz w:val="24"/>
              </w:rPr>
            </w:pPr>
            <w:r>
              <w:t>Artikel 4, stk. 1, nr. 115), artikel 36, stk. 1, litra b), og artikel 37, litra a) og c), i forordning (EU) nr. 575/2013</w:t>
            </w:r>
          </w:p>
          <w:p w14:paraId="67CB01F7" w14:textId="77777777"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Andre immaterielle aktiver er immaterielle aktiver som i de gældende regnskabsregler minus goodwill, også i henhold til de gældende regnskabsregler.</w:t>
            </w:r>
          </w:p>
        </w:tc>
      </w:tr>
      <w:tr w:rsidR="00D731E3" w:rsidRPr="002A677E" w14:paraId="777467A3" w14:textId="77777777" w:rsidTr="00D731E3">
        <w:tc>
          <w:tcPr>
            <w:tcW w:w="1129" w:type="dxa"/>
          </w:tcPr>
          <w:p w14:paraId="00D57D37"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1931512B"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Andre immaterielle aktiver før fradrag af udskudte skatteforpligtelser</w:t>
            </w:r>
          </w:p>
          <w:p w14:paraId="14039C37" w14:textId="67AD6CF4" w:rsidR="00D731E3" w:rsidRPr="002A677E" w:rsidRDefault="00D731E3" w:rsidP="00487A02">
            <w:pPr>
              <w:pStyle w:val="InstructionsText"/>
              <w:rPr>
                <w:rStyle w:val="FormatvorlageInstructionsTabelleText"/>
                <w:rFonts w:ascii="Times New Roman" w:hAnsi="Times New Roman"/>
                <w:sz w:val="24"/>
              </w:rPr>
            </w:pPr>
            <w:r>
              <w:t>Artikel 4, stk. 1, nr. 115), og artikel 36, stk. 1, litra b), i forordning (EU) nr. 575/2013</w:t>
            </w:r>
          </w:p>
          <w:p w14:paraId="698CB4CB" w14:textId="6DAD1E2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Andre immaterielle aktiver er immaterielle aktiver som i de gældende regnskabsregler minus goodwill, også i henhold til de gældende regnskabsregler.</w:t>
            </w:r>
          </w:p>
          <w:p w14:paraId="5600CAE4" w14:textId="0339A835" w:rsidR="00D731E3" w:rsidRPr="002A677E" w:rsidRDefault="00D731E3" w:rsidP="001764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det samme som værdien af immaterielle aktiver, der er opført på balancen i overensstemmelse med den gældende regnskabsstandard, eksklusive goodwill og værdien af forsigtigt værdiansatte softwareaktiver, som ikke fratrækkes egentlige kernekapitalposter i overensstemmelse med artikel 36, stk. 1, litra b), i forordning (EU) nr. 575/2013.</w:t>
            </w:r>
          </w:p>
        </w:tc>
      </w:tr>
      <w:tr w:rsidR="0082014C" w:rsidRPr="002A677E" w14:paraId="3F1BF3D9" w14:textId="77777777" w:rsidTr="00D731E3">
        <w:tc>
          <w:tcPr>
            <w:tcW w:w="1129" w:type="dxa"/>
          </w:tcPr>
          <w:p w14:paraId="4AE8ED50" w14:textId="5EC0B2A8" w:rsidR="0082014C" w:rsidRPr="001235ED"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337191E1" w14:textId="48ADA03C" w:rsidR="0082014C" w:rsidRPr="002A677E" w:rsidRDefault="0082014C" w:rsidP="0082014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Heraf softwareaktiver, der medregnes som andre immaterielle aktiver før fradrag af udskudte skatteforpligtelser</w:t>
            </w:r>
          </w:p>
          <w:p w14:paraId="26F640AD" w14:textId="731995EF" w:rsidR="0082014C" w:rsidRPr="002A677E" w:rsidRDefault="0082014C" w:rsidP="0082014C">
            <w:pPr>
              <w:pStyle w:val="InstructionsText"/>
              <w:rPr>
                <w:rStyle w:val="FormatvorlageInstructionsTabelleText"/>
                <w:rFonts w:ascii="Times New Roman" w:hAnsi="Times New Roman"/>
                <w:sz w:val="24"/>
              </w:rPr>
            </w:pPr>
            <w:r>
              <w:t>Artikel 4, stk. 1, nr. 115), og artikel 36, stk. 1, litra b), i forordning (EU) nr. 575/2013</w:t>
            </w:r>
          </w:p>
          <w:p w14:paraId="5D7E8804" w14:textId="2526880D" w:rsidR="0082014C" w:rsidRPr="002A677E" w:rsidRDefault="0082014C" w:rsidP="0082014C">
            <w:pPr>
              <w:pStyle w:val="InstructionsText"/>
              <w:rPr>
                <w:rStyle w:val="FormatvorlageInstructionsTabelleText"/>
                <w:rFonts w:ascii="Times New Roman" w:hAnsi="Times New Roman"/>
                <w:sz w:val="24"/>
              </w:rPr>
            </w:pPr>
            <w:r>
              <w:t>Værdien af softwareaktiver, der medregnes som immaterielle aktiver, og som fratrækkes egentlige kernekapitalposter i overensstemmelse med artikel 36, stk. 1, litra b), i forordning (EU) nr. 575/2013 og artikel 13a i delegeret forordning (EU) nr. 241/2014. Den indberettede værdi skal ikke tage hensyn til virkningerne af anvendelsen af den behandling, der er fastsat i artikel 37, litra a), i forordning (EU) nr. 575/2013, med henvisning til de udskudte skatteforpligtelser, der er knyttet til disse softwareaktiver.</w:t>
            </w:r>
          </w:p>
          <w:p w14:paraId="64E4F871" w14:textId="703E537B" w:rsidR="0082014C" w:rsidRPr="002A677E" w:rsidRDefault="0082014C" w:rsidP="004E6AC0">
            <w:pPr>
              <w:pStyle w:val="InstructionsText"/>
              <w:rPr>
                <w:rStyle w:val="InstructionsTabelleberschrift"/>
                <w:rFonts w:ascii="Times New Roman" w:hAnsi="Times New Roman"/>
                <w:sz w:val="24"/>
              </w:rPr>
            </w:pPr>
            <w:r>
              <w:t xml:space="preserve">Hvis et institut beslutter fuldt ud at fratrække sine softwareaktiver i overensstemmelse med artikel 3 i forordning (EU) nr. 575/2013 i stedet for at anvende behandlingen i artikel 13a i delegeret forordning (EU) nr. 241/2014, skal den værdi, der indberettes i denne række, svare til værdien af softwareaktiver, der </w:t>
            </w:r>
            <w:r>
              <w:lastRenderedPageBreak/>
              <w:t>medregnes som immaterielle aktiver i overensstemmelse med den gældende regnskabsstandard.</w:t>
            </w:r>
          </w:p>
        </w:tc>
      </w:tr>
      <w:tr w:rsidR="00D731E3" w:rsidRPr="002A677E" w14:paraId="533C4B4D" w14:textId="77777777" w:rsidTr="00D731E3">
        <w:tc>
          <w:tcPr>
            <w:tcW w:w="1129" w:type="dxa"/>
          </w:tcPr>
          <w:p w14:paraId="47B8DE1D"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14:paraId="1A2DC8CB"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Udskudte skatteforpligtelser med tilknytning til andre immaterielle aktiver</w:t>
            </w:r>
          </w:p>
          <w:p w14:paraId="697CC772" w14:textId="650B3161" w:rsidR="00D731E3" w:rsidRPr="002A677E" w:rsidRDefault="00D731E3" w:rsidP="00487A02">
            <w:pPr>
              <w:pStyle w:val="InstructionsText"/>
              <w:rPr>
                <w:rStyle w:val="FormatvorlageInstructionsTabelleText"/>
                <w:rFonts w:ascii="Times New Roman" w:hAnsi="Times New Roman"/>
                <w:sz w:val="24"/>
              </w:rPr>
            </w:pPr>
            <w:r>
              <w:t>Artikel 37, litra a), i forordning (EU) nr. 575/2013</w:t>
            </w:r>
          </w:p>
          <w:p w14:paraId="72FC46FD" w14:textId="24E8BC54" w:rsidR="00D731E3" w:rsidRPr="002A677E" w:rsidRDefault="00D731E3" w:rsidP="00D215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Beløbet for udskudte skatteforpligtelser, som ville blive afviklet, hvis de immaterielle aktiver, bortset fra goodwill og forsigtigt værdiansatte softwareaktiver, der er undtaget fra fradrag i egentlige kernekapitalposter i overensstemmelse med artikel 13a i delegeret forordning (EU) nr. 241/2014, blev værdiforringet eller ophørte med at blive indregnet i henhold til den relevante regnskabsstandard.</w:t>
            </w:r>
          </w:p>
        </w:tc>
      </w:tr>
      <w:tr w:rsidR="00A95150" w:rsidRPr="002A677E" w14:paraId="16944B76" w14:textId="77777777" w:rsidTr="00D731E3">
        <w:tc>
          <w:tcPr>
            <w:tcW w:w="1129" w:type="dxa"/>
          </w:tcPr>
          <w:p w14:paraId="018231F1" w14:textId="0083AFB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827EDD5" w14:textId="33A0E446" w:rsidR="00A95150" w:rsidRPr="002A677E" w:rsidRDefault="00A95150" w:rsidP="00A95150">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tab/>
            </w:r>
            <w:r>
              <w:rPr>
                <w:rStyle w:val="InstructionsTabelleberschrift"/>
                <w:rFonts w:ascii="Times New Roman" w:hAnsi="Times New Roman"/>
                <w:sz w:val="24"/>
              </w:rPr>
              <w:t>Udskudte skatteforpligtelser tilknyttet softwareaktiver, der medregnes som immaterielle aktiver</w:t>
            </w:r>
          </w:p>
          <w:p w14:paraId="7EDBB408" w14:textId="311AADDB" w:rsidR="00A95150" w:rsidRPr="002A677E" w:rsidRDefault="00A95150" w:rsidP="00A95150">
            <w:pPr>
              <w:pStyle w:val="InstructionsText"/>
              <w:rPr>
                <w:rStyle w:val="FormatvorlageInstructionsTabelleText"/>
                <w:rFonts w:ascii="Times New Roman" w:hAnsi="Times New Roman"/>
                <w:sz w:val="24"/>
              </w:rPr>
            </w:pPr>
            <w:r>
              <w:t>Artikel 37, litra a), i forordning (EU) nr. 575/2013</w:t>
            </w:r>
          </w:p>
          <w:p w14:paraId="7AC299D4" w14:textId="0E299A5B" w:rsidR="00A95150" w:rsidRPr="002A677E" w:rsidRDefault="00A95150" w:rsidP="00A95150">
            <w:pPr>
              <w:pStyle w:val="InstructionsText"/>
              <w:rPr>
                <w:rStyle w:val="InstructionsTabelleberschrift"/>
                <w:rFonts w:ascii="Times New Roman" w:hAnsi="Times New Roman"/>
                <w:sz w:val="24"/>
              </w:rPr>
            </w:pPr>
            <w:r>
              <w:t>Andelen af udskudte skatteforpligtelser, der er tilknyttet værdien af softwareaktiver, der medregnes som immaterielle aktiver, og som fratrækkes egentlige kernekapitalposter i overensstemmelse med artikel 36, stk. 1, litra b), i forordning (EU) nr. 575/2013 og artikel 13a i delegeret forordning (EU) nr. 241/2014 eller artikel 3 i forordning (EU) nr. 575/2013.</w:t>
            </w:r>
          </w:p>
        </w:tc>
      </w:tr>
      <w:tr w:rsidR="0022315F" w:rsidRPr="002A677E" w14:paraId="215622DA" w14:textId="77777777" w:rsidTr="00D731E3">
        <w:tc>
          <w:tcPr>
            <w:tcW w:w="1129" w:type="dxa"/>
          </w:tcPr>
          <w:p w14:paraId="4B21985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62DD6957"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Regnskabsmæssig revaluering af datterselskabers andre immaterielle aktiver som følge af konsolideringen af datterselskaber, der henføres til tredjeparter</w:t>
            </w:r>
          </w:p>
          <w:p w14:paraId="631F097E" w14:textId="0AD80A11" w:rsidR="0022315F" w:rsidRPr="002A677E" w:rsidRDefault="0022315F" w:rsidP="00487A02">
            <w:pPr>
              <w:pStyle w:val="InstructionsText"/>
              <w:rPr>
                <w:rStyle w:val="FormatvorlageInstructionsTabelleText"/>
                <w:rFonts w:ascii="Times New Roman" w:hAnsi="Times New Roman"/>
                <w:sz w:val="24"/>
              </w:rPr>
            </w:pPr>
            <w:r>
              <w:t>Artikel 37, litra c), i forordning (EU) nr. 575/2013</w:t>
            </w:r>
          </w:p>
          <w:p w14:paraId="38BC0D47" w14:textId="3C449A2F" w:rsidR="0022315F" w:rsidRPr="002A677E" w:rsidRDefault="0022315F"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Værdien af den regnskabsmæssige revaluering af datterselskabernes immaterielle aktiver, bortset fra goodwill, som følge af konsolideringen af datterselskaber, der henføres til andre personer end de virksomheder, som indgår i konsolideringen efter bestemmelserne i første del, afsnit II, kapitel 2.</w:t>
            </w:r>
          </w:p>
        </w:tc>
      </w:tr>
      <w:tr w:rsidR="0022315F" w:rsidRPr="002A677E" w14:paraId="07140902" w14:textId="77777777" w:rsidTr="00D731E3">
        <w:tc>
          <w:tcPr>
            <w:tcW w:w="1129" w:type="dxa"/>
          </w:tcPr>
          <w:p w14:paraId="0083D8A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D1BD8E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Udskudte skatteaktiver, som afhænger af fremtidig rentabilitet og ikke skyldes midlertidige forskelle fratrukket instituttets tilhørende udskudte skatteforpligtelser</w:t>
            </w:r>
          </w:p>
          <w:p w14:paraId="105E273D" w14:textId="12452432" w:rsidR="0022315F" w:rsidRPr="002A677E" w:rsidRDefault="0022315F" w:rsidP="00487A02">
            <w:pPr>
              <w:pStyle w:val="InstructionsText"/>
              <w:rPr>
                <w:rStyle w:val="FormatvorlageInstructionsTabelleText"/>
                <w:rFonts w:ascii="Times New Roman" w:hAnsi="Times New Roman"/>
                <w:sz w:val="24"/>
              </w:rPr>
            </w:pPr>
            <w:r>
              <w:t>Artikel 36, stk. 1, litra c), og artikel 38 i forordning (EU) nr. 575/2013</w:t>
            </w:r>
          </w:p>
        </w:tc>
      </w:tr>
      <w:tr w:rsidR="0022315F" w:rsidRPr="002A677E" w14:paraId="549330D3" w14:textId="77777777" w:rsidTr="00D731E3">
        <w:tc>
          <w:tcPr>
            <w:tcW w:w="1129" w:type="dxa"/>
          </w:tcPr>
          <w:p w14:paraId="26AA4DE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6E7B1E8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Underskud af kreditrisikojusteringer som følge af forventede tab opgjort efter IRB-metoden</w:t>
            </w:r>
          </w:p>
          <w:p w14:paraId="04504206" w14:textId="238C20AE" w:rsidR="0022315F" w:rsidRPr="002A677E" w:rsidRDefault="0022315F" w:rsidP="00487A02">
            <w:pPr>
              <w:pStyle w:val="InstructionsText"/>
              <w:rPr>
                <w:rStyle w:val="FormatvorlageInstructionsTabelleText"/>
                <w:rFonts w:ascii="Times New Roman" w:hAnsi="Times New Roman"/>
                <w:sz w:val="24"/>
              </w:rPr>
            </w:pPr>
            <w:r>
              <w:t>Artikel 36, stk. 1, litra d), og artikel 40, 158 og159 i forordning (EU) nr. 575/2013</w:t>
            </w:r>
          </w:p>
          <w:p w14:paraId="16018D37" w14:textId="79797AC0" w:rsidR="0022315F" w:rsidRPr="002A677E" w:rsidRDefault="0022315F" w:rsidP="00487A02">
            <w:pPr>
              <w:pStyle w:val="InstructionsText"/>
              <w:rPr>
                <w:rStyle w:val="FormatvorlageInstructionsTabelleText"/>
                <w:rFonts w:ascii="Times New Roman" w:hAnsi="Times New Roman"/>
                <w:sz w:val="24"/>
              </w:rPr>
            </w:pPr>
            <w:r>
              <w:t>Det indberettede beløb reduceres ikke med en forøgelse af omfanget af udskudte skatteaktiver, der afhænger af fremtidig rentabilitet, eller anden yderligere skatteeffekt, som kunne opstå, hvis hensættelserne steg til samme niveau som de forventede tab (artikel 40 i forordning (EU) nr. 575/2013).</w:t>
            </w:r>
          </w:p>
        </w:tc>
      </w:tr>
      <w:tr w:rsidR="0022315F" w:rsidRPr="002A677E" w14:paraId="17168DA9" w14:textId="77777777" w:rsidTr="00D731E3">
        <w:tc>
          <w:tcPr>
            <w:tcW w:w="1129" w:type="dxa"/>
          </w:tcPr>
          <w:p w14:paraId="2DC4F12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77656C7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Aktiver i ydelsesbaseret pensionskasse</w:t>
            </w:r>
          </w:p>
          <w:p w14:paraId="08FE1920" w14:textId="2C4B336B" w:rsidR="0022315F" w:rsidRPr="002A677E" w:rsidRDefault="0022315F" w:rsidP="001D3CE7">
            <w:pPr>
              <w:pStyle w:val="InstructionsText"/>
              <w:rPr>
                <w:rStyle w:val="FormatvorlageInstructionsTabelleText"/>
                <w:rFonts w:ascii="Times New Roman" w:hAnsi="Times New Roman"/>
                <w:sz w:val="24"/>
              </w:rPr>
            </w:pPr>
            <w:r>
              <w:t>Artikel 4, stk. 1, nr. 109), artikel 36, stk. 1, litra e), og artikel 41 i forordning (EU) nr. 575/2013</w:t>
            </w:r>
          </w:p>
        </w:tc>
      </w:tr>
      <w:tr w:rsidR="0022315F" w:rsidRPr="002A677E" w14:paraId="15E61181" w14:textId="77777777" w:rsidTr="00D731E3">
        <w:tc>
          <w:tcPr>
            <w:tcW w:w="1129" w:type="dxa"/>
          </w:tcPr>
          <w:p w14:paraId="5745463D"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0400</w:t>
            </w:r>
          </w:p>
        </w:tc>
        <w:tc>
          <w:tcPr>
            <w:tcW w:w="7620" w:type="dxa"/>
          </w:tcPr>
          <w:p w14:paraId="17A474B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Aktiver i ydelsesbaseret pensionskasse </w:t>
            </w:r>
          </w:p>
          <w:p w14:paraId="1B1D7EAC" w14:textId="2398F213" w:rsidR="0022315F" w:rsidRPr="002A677E" w:rsidRDefault="0022315F" w:rsidP="00487A02">
            <w:pPr>
              <w:pStyle w:val="InstructionsText"/>
              <w:rPr>
                <w:rStyle w:val="FormatvorlageInstructionsTabelleText"/>
                <w:rFonts w:ascii="Times New Roman" w:hAnsi="Times New Roman"/>
                <w:sz w:val="24"/>
              </w:rPr>
            </w:pPr>
            <w:r>
              <w:t>Artikel 4, stk. 1, nr. 109), og artikel 36, stk. 1, litra e), i forordning (EU) nr. 575/2013</w:t>
            </w:r>
          </w:p>
          <w:p w14:paraId="5591543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Aktiver i ydelsesbaseret pensionskasse defineres som "aktiver i en ydelsesbaseret pensionskasse eller -ordning opgjort efter fradrag af samme pensionskasses eller -ordnings forpligtelser".</w:t>
            </w:r>
          </w:p>
          <w:p w14:paraId="4357AF1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det samme som det, der er opført på balancen (hvis det er opført særskilt).</w:t>
            </w:r>
          </w:p>
        </w:tc>
      </w:tr>
      <w:tr w:rsidR="0022315F" w:rsidRPr="002A677E" w14:paraId="3D1FB7D3" w14:textId="77777777" w:rsidTr="00D731E3">
        <w:tc>
          <w:tcPr>
            <w:tcW w:w="1129" w:type="dxa"/>
          </w:tcPr>
          <w:p w14:paraId="363A422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7408A62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Udskudte skatteforpligtelser med tilknytning til aktiver i ydelsesbaserede pensionskasser</w:t>
            </w:r>
          </w:p>
          <w:p w14:paraId="0ADB647D" w14:textId="5D7614E5" w:rsidR="0022315F" w:rsidRPr="002A677E" w:rsidRDefault="0022315F" w:rsidP="00487A02">
            <w:pPr>
              <w:pStyle w:val="InstructionsText"/>
              <w:rPr>
                <w:rStyle w:val="FormatvorlageInstructionsTabelleText"/>
                <w:rFonts w:ascii="Times New Roman" w:hAnsi="Times New Roman"/>
                <w:sz w:val="24"/>
              </w:rPr>
            </w:pPr>
            <w:r>
              <w:t>Artikel 4, stk. 1, nr. 108) og 109), og artikel 41, stk. 1, litra a), i forordning (EU) nr. 575/2013</w:t>
            </w:r>
          </w:p>
          <w:p w14:paraId="1DAAD0F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Beløbet for udskudte skatteforpligtelser, som ville blive afviklet, hvis aktiverne i ydelsesbaserede pensionskasser blev forringet eller ophørte med at blive indregnet i henhold til de gældende regnskabsregler.</w:t>
            </w:r>
          </w:p>
        </w:tc>
      </w:tr>
      <w:tr w:rsidR="0022315F" w:rsidRPr="002A677E" w14:paraId="6719402F" w14:textId="77777777" w:rsidTr="00D731E3">
        <w:tc>
          <w:tcPr>
            <w:tcW w:w="1129" w:type="dxa"/>
          </w:tcPr>
          <w:p w14:paraId="04DBEB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03E84828"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Aktiver i ydelsesbaserede pensionskasser, som instituttet har uindskrænket ret til at anvende</w:t>
            </w:r>
          </w:p>
          <w:p w14:paraId="0124E866" w14:textId="10C4A8A3" w:rsidR="0022315F" w:rsidRPr="002A677E" w:rsidRDefault="0022315F" w:rsidP="00487A02">
            <w:pPr>
              <w:pStyle w:val="InstructionsText"/>
              <w:rPr>
                <w:rStyle w:val="FormatvorlageInstructionsTabelleText"/>
                <w:rFonts w:ascii="Times New Roman" w:hAnsi="Times New Roman"/>
                <w:sz w:val="24"/>
              </w:rPr>
            </w:pPr>
            <w:r>
              <w:t>Artikel 4, stk. 1, nr. 109), og artikel 41, stk. 1, litra b), i forordning (EU) nr. 575/2013</w:t>
            </w:r>
          </w:p>
          <w:p w14:paraId="7FF4379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Denne post udfyldes kun, hvis den kompetente myndighed på forhånd har godkendt en reduktion af det beløb for aktiver i ydelsesbaserede pensionskasser, der skal fratrækkes.</w:t>
            </w:r>
          </w:p>
          <w:p w14:paraId="57049D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Aktiverne i denne række tillægges en risikovægt i henhold til kreditrisikokravene.</w:t>
            </w:r>
          </w:p>
        </w:tc>
      </w:tr>
      <w:tr w:rsidR="0022315F" w:rsidRPr="002A677E" w14:paraId="5A8DAB05" w14:textId="77777777" w:rsidTr="00D731E3">
        <w:tc>
          <w:tcPr>
            <w:tcW w:w="1129" w:type="dxa"/>
          </w:tcPr>
          <w:p w14:paraId="4EC02B2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3D438BF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Krydsejerskab af egentlig kernekapital</w:t>
            </w:r>
          </w:p>
          <w:p w14:paraId="635C9F86" w14:textId="7F4F6EA4" w:rsidR="0022315F" w:rsidRPr="002A677E" w:rsidRDefault="0022315F" w:rsidP="00487A02">
            <w:pPr>
              <w:pStyle w:val="InstructionsText"/>
              <w:rPr>
                <w:rStyle w:val="FormatvorlageInstructionsTabelleText"/>
                <w:rFonts w:ascii="Times New Roman" w:hAnsi="Times New Roman"/>
                <w:sz w:val="24"/>
              </w:rPr>
            </w:pPr>
            <w:r>
              <w:t>Artikel 4, stk. 1, nr. 122), artikel 36, stk. 1, litra g), og artikel 44 i forordning (EU) nr. 575/2013</w:t>
            </w:r>
          </w:p>
          <w:p w14:paraId="7360C4FF" w14:textId="63863243" w:rsidR="0022315F" w:rsidRPr="002A677E" w:rsidRDefault="0022315F" w:rsidP="00487A02">
            <w:pPr>
              <w:pStyle w:val="InstructionsText"/>
              <w:rPr>
                <w:rStyle w:val="FormatvorlageInstructionsTabelleText"/>
                <w:rFonts w:ascii="Times New Roman" w:hAnsi="Times New Roman"/>
                <w:sz w:val="24"/>
              </w:rPr>
            </w:pPr>
            <w:r>
              <w:t>Besiddelser af egentlige kernekapitalinstrumenter i enheder i den finansielle sektor (som defineret i artikel 4, stk. 1, nr. 27), i forordning (EU) nr. 575/2013), når disse enheder har en besiddelse i krydsejerskab, som efter de kompetente myndigheders opfattelse er blevet indgået for kunstigt at øge instituttets kapitalgrundlag.</w:t>
            </w:r>
          </w:p>
          <w:p w14:paraId="62726B5D"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beregnes på grundlag af lange bruttopositioner og skal omfatte kernekapitalposter i forsikringsselskaber.</w:t>
            </w:r>
          </w:p>
        </w:tc>
      </w:tr>
      <w:tr w:rsidR="0022315F" w:rsidRPr="002A677E" w14:paraId="03DEEE24" w14:textId="77777777" w:rsidTr="00D731E3">
        <w:tc>
          <w:tcPr>
            <w:tcW w:w="1129" w:type="dxa"/>
          </w:tcPr>
          <w:p w14:paraId="07E6CFA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3CB94F0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Overskud af fradrag i hybride kernekapitalposter i forhold til den hybride kernekapital </w:t>
            </w:r>
          </w:p>
          <w:p w14:paraId="2C188D37" w14:textId="4AD1B2FF" w:rsidR="0022315F" w:rsidRPr="002A677E" w:rsidRDefault="0022315F" w:rsidP="00487A02">
            <w:pPr>
              <w:pStyle w:val="InstructionsText"/>
              <w:rPr>
                <w:rStyle w:val="FormatvorlageInstructionsTabelleText"/>
                <w:rFonts w:ascii="Times New Roman" w:hAnsi="Times New Roman"/>
                <w:sz w:val="24"/>
              </w:rPr>
            </w:pPr>
            <w:r>
              <w:t>Artikel 36, stk. 1, litra j), i forordning (EU) nr. 575/2013</w:t>
            </w:r>
          </w:p>
          <w:p w14:paraId="44EE45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hentes direkte fra CA1-posten "Overskud af fradrag i hybride kernekapitalposter i forhold til den hybride kernekapital". Beløbet skal trækkes fra den egentlige kernekapital.</w:t>
            </w:r>
          </w:p>
        </w:tc>
      </w:tr>
      <w:tr w:rsidR="0022315F" w:rsidRPr="002A677E" w14:paraId="59E5FC5E" w14:textId="77777777" w:rsidTr="00D731E3">
        <w:tc>
          <w:tcPr>
            <w:tcW w:w="1129" w:type="dxa"/>
          </w:tcPr>
          <w:p w14:paraId="1A6284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508E0012" w14:textId="78C8694C"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Kvalificerede andele uden for den finansielle sektor, som alternativt kan tildeles en risikovægt på 1 250 %</w:t>
            </w:r>
          </w:p>
          <w:p w14:paraId="72A58A94" w14:textId="33AED88F" w:rsidR="0022315F" w:rsidRPr="002A677E" w:rsidRDefault="0022315F" w:rsidP="00487A02">
            <w:pPr>
              <w:pStyle w:val="InstructionsText"/>
              <w:rPr>
                <w:rStyle w:val="FormatvorlageInstructionsTabelleText"/>
                <w:rFonts w:ascii="Times New Roman" w:hAnsi="Times New Roman"/>
                <w:sz w:val="24"/>
              </w:rPr>
            </w:pPr>
            <w:r>
              <w:lastRenderedPageBreak/>
              <w:t>Artikel 4, stk. 1, nr. 36), artikel 36, stk. 1, litra k), nr. i), og artikel 89-91 i forordning (EU) nr. 575/2013</w:t>
            </w:r>
          </w:p>
          <w:p w14:paraId="53C23A03" w14:textId="145AA9AB" w:rsidR="0022315F" w:rsidRPr="002A677E" w:rsidRDefault="0022315F" w:rsidP="00487A02">
            <w:pPr>
              <w:pStyle w:val="InstructionsText"/>
              <w:rPr>
                <w:rStyle w:val="FormatvorlageInstructionsTabelleText"/>
                <w:rFonts w:ascii="Times New Roman" w:hAnsi="Times New Roman"/>
                <w:sz w:val="24"/>
              </w:rPr>
            </w:pPr>
            <w:r>
              <w:t>Kvalificerede andele defineres som "direkte eller indirekte besiddelse af mindst 10 % af kapitalen eller stemmerettighederne i en virksomhed eller en besiddelse, som giver mulighed for at udøve betydelig indflydelse på driften af den pågældende virksomhed".</w:t>
            </w:r>
          </w:p>
          <w:p w14:paraId="5D3874CE" w14:textId="4D029F8C" w:rsidR="0022315F" w:rsidRPr="002A677E" w:rsidRDefault="0022315F" w:rsidP="00487A02">
            <w:pPr>
              <w:pStyle w:val="InstructionsText"/>
              <w:rPr>
                <w:rStyle w:val="FormatvorlageInstructionsTabelleText"/>
                <w:rFonts w:ascii="Times New Roman" w:hAnsi="Times New Roman"/>
                <w:sz w:val="24"/>
              </w:rPr>
            </w:pPr>
            <w:r>
              <w:t>I henhold til artikel 36, stk. 1, litra k), nr. i), i forordning (EU) nr. 575/2013 kan kvalificerede andele alternativt fratrækkes den egentlige kernekapital (ved hjælp af denne post) eller tildeles en risikovægt på 1 250 %.</w:t>
            </w:r>
          </w:p>
        </w:tc>
      </w:tr>
      <w:tr w:rsidR="0022315F" w:rsidRPr="002A677E" w14:paraId="70C6DA96" w14:textId="77777777" w:rsidTr="00D731E3">
        <w:tc>
          <w:tcPr>
            <w:tcW w:w="1129" w:type="dxa"/>
          </w:tcPr>
          <w:p w14:paraId="670F93D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620" w:type="dxa"/>
          </w:tcPr>
          <w:p w14:paraId="5BA68174" w14:textId="28E29C6E"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Securitiseringspositioner, som alternativt kan tildeles en risikovægt på 1 250 %</w:t>
            </w:r>
          </w:p>
          <w:p w14:paraId="1DC138C0" w14:textId="68AE4A66" w:rsidR="0022315F" w:rsidRPr="002A677E" w:rsidRDefault="0022315F" w:rsidP="00487A02">
            <w:pPr>
              <w:pStyle w:val="InstructionsText"/>
              <w:rPr>
                <w:rStyle w:val="FormatvorlageInstructionsTabelleText"/>
                <w:rFonts w:ascii="Times New Roman" w:hAnsi="Times New Roman"/>
                <w:sz w:val="24"/>
              </w:rPr>
            </w:pPr>
            <w:r>
              <w:t>Artikel 244, stk. 1, litra b), artikel 245, stk. 1, litra b), og artikel 253, stk. 1, i forordning (EU) nr. 575/2013</w:t>
            </w:r>
            <w:r>
              <w:rPr>
                <w:rStyle w:val="FormatvorlageInstructionsTabelleText"/>
                <w:rFonts w:ascii="Times New Roman" w:hAnsi="Times New Roman"/>
                <w:sz w:val="24"/>
              </w:rPr>
              <w:t xml:space="preserve"> </w:t>
            </w:r>
          </w:p>
          <w:p w14:paraId="18AAF006" w14:textId="1897E687" w:rsidR="0022315F" w:rsidRPr="002A677E" w:rsidRDefault="0022315F" w:rsidP="001D3CE7">
            <w:pPr>
              <w:pStyle w:val="InstructionsText"/>
              <w:rPr>
                <w:rStyle w:val="FormatvorlageInstructionsTabelleText"/>
                <w:rFonts w:ascii="Times New Roman" w:hAnsi="Times New Roman"/>
                <w:sz w:val="24"/>
              </w:rPr>
            </w:pPr>
            <w:r>
              <w:t>Securitiseringspositioner, som tildeles en risikovægt på 1 250 %, kan alternativt fratrækkes den egentlige kernekapital (artikel 36, stk. 1, litra k), nr. ii), i forordning (EU) nr. 575/2013), indberettes i denne post.</w:t>
            </w:r>
          </w:p>
        </w:tc>
      </w:tr>
      <w:tr w:rsidR="0022315F" w:rsidRPr="002A677E" w14:paraId="63F31664" w14:textId="77777777" w:rsidTr="00D731E3">
        <w:tc>
          <w:tcPr>
            <w:tcW w:w="1129" w:type="dxa"/>
          </w:tcPr>
          <w:p w14:paraId="17BCA67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B4B6512" w14:textId="16739639"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Leveringsrisiko (free deliveries), som alternativt kan tildeles en risikovægt på 1 250 %</w:t>
            </w:r>
          </w:p>
          <w:p w14:paraId="567139B5" w14:textId="7173A246" w:rsidR="0022315F" w:rsidRPr="002A677E" w:rsidRDefault="0022315F" w:rsidP="00487A02">
            <w:pPr>
              <w:pStyle w:val="InstructionsText"/>
              <w:rPr>
                <w:rStyle w:val="FormatvorlageInstructionsTabelleText"/>
                <w:rFonts w:ascii="Times New Roman" w:hAnsi="Times New Roman"/>
                <w:sz w:val="24"/>
              </w:rPr>
            </w:pPr>
            <w:r>
              <w:t>Artikel 36, stk. 1, litra k), nr. iii), og artikel 379, stk. 3, i forordning (EU) nr. 575/2013</w:t>
            </w:r>
          </w:p>
          <w:p w14:paraId="50BFAA3F" w14:textId="6B56BFA1" w:rsidR="0022315F" w:rsidRPr="002A677E" w:rsidRDefault="0022315F" w:rsidP="001D3CE7">
            <w:pPr>
              <w:pStyle w:val="InstructionsText"/>
              <w:rPr>
                <w:rStyle w:val="FormatvorlageInstructionsTabelleText"/>
                <w:rFonts w:ascii="Times New Roman" w:hAnsi="Times New Roman"/>
                <w:sz w:val="24"/>
              </w:rPr>
            </w:pPr>
            <w:r>
              <w:t>Leveringsrisiko (free deliveries) tildeles en risikovægt på 1 250 % fra fem arbejdsdage efter den anden aftalte betaling/dellevering indtil transaktionens endelige afslutning i overensstemmelse med kapitalgrundlagskravene i relation til afviklingsrisiko.</w:t>
            </w:r>
            <w:r>
              <w:rPr>
                <w:rStyle w:val="FormatvorlageInstructionsTabelleText"/>
                <w:rFonts w:ascii="Times New Roman" w:hAnsi="Times New Roman"/>
                <w:sz w:val="24"/>
              </w:rPr>
              <w:t xml:space="preserve"> </w:t>
            </w:r>
            <w:r>
              <w:t>De kan alternativt fratrækkes den egentlige kernekapital (artikel 36, stk. 1, litra k), nr. iii), i forordning (EU) nr. 575/2013).</w:t>
            </w:r>
            <w:r>
              <w:rPr>
                <w:rStyle w:val="FormatvorlageInstructionsTabelleText"/>
                <w:rFonts w:ascii="Times New Roman" w:hAnsi="Times New Roman"/>
                <w:sz w:val="24"/>
              </w:rPr>
              <w:t xml:space="preserve"> I sidstnævnte tilfælde indberettes de i denne post.</w:t>
            </w:r>
          </w:p>
        </w:tc>
      </w:tr>
      <w:tr w:rsidR="0022315F" w:rsidRPr="002A677E" w14:paraId="1B3ABFC9" w14:textId="77777777" w:rsidTr="00D731E3">
        <w:tc>
          <w:tcPr>
            <w:tcW w:w="1129" w:type="dxa"/>
          </w:tcPr>
          <w:p w14:paraId="7FAEDC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725038CE" w14:textId="6BE1AD68"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Positioner i en kurv, for hvilke et institut ikke kan fastsætte risikovægten efter IRB-metoden, og som alternativt kan tildeles en risikovægt på 1 250 %</w:t>
            </w:r>
          </w:p>
          <w:p w14:paraId="0AA0358B" w14:textId="6A9010B8" w:rsidR="0022315F" w:rsidRPr="002A677E" w:rsidRDefault="0022315F" w:rsidP="00487A02">
            <w:pPr>
              <w:pStyle w:val="InstructionsText"/>
              <w:rPr>
                <w:rStyle w:val="InstructionsTabelleberschrift"/>
                <w:rFonts w:ascii="Times New Roman" w:hAnsi="Times New Roman"/>
                <w:b w:val="0"/>
                <w:sz w:val="24"/>
                <w:u w:val="none"/>
              </w:rPr>
            </w:pPr>
            <w:r>
              <w:t>Artikel 36, stk. 1, litra k), nr. iv), og artikel 153, stk. 8, i forordning (EU) nr. 575/2013</w:t>
            </w:r>
          </w:p>
          <w:p w14:paraId="3F32CEF7" w14:textId="37AF5E7E" w:rsidR="0022315F" w:rsidRPr="002A677E" w:rsidRDefault="0022315F" w:rsidP="00487A02">
            <w:pPr>
              <w:pStyle w:val="InstructionsText"/>
              <w:rPr>
                <w:rStyle w:val="InstructionsTabelleberschrift"/>
                <w:rFonts w:ascii="Times New Roman" w:hAnsi="Times New Roman"/>
                <w:b w:val="0"/>
                <w:sz w:val="24"/>
                <w:u w:val="none"/>
              </w:rPr>
            </w:pPr>
            <w:r>
              <w:rPr>
                <w:rStyle w:val="FormatvorlageInstructionsTabelleText"/>
              </w:rPr>
              <w:t xml:space="preserve">I henhold til artikel 36, stk. 1, litra k), nr. iv), i forordning (EU) nr. 575/2013 kan </w:t>
            </w:r>
            <w:r>
              <w:rPr>
                <w:rStyle w:val="InstructionsTabelleberschrift"/>
                <w:b w:val="0"/>
                <w:u w:val="none"/>
              </w:rPr>
              <w:t>positioner i en kurv, for hvilke et institut ikke kan fastsætte risikovægten efter IRB-metoden,</w:t>
            </w:r>
            <w:r>
              <w:rPr>
                <w:rStyle w:val="FormatvorlageInstructionsTabelleText"/>
              </w:rPr>
              <w:t xml:space="preserve"> alternativt fratrækkes den egentlige kernekapital (ved hjælp af denne post) eller tildeles en risikovægt på 1 250 %.</w:t>
            </w:r>
          </w:p>
        </w:tc>
      </w:tr>
      <w:tr w:rsidR="0022315F" w:rsidRPr="002A677E" w14:paraId="66EC04EB" w14:textId="77777777" w:rsidTr="00D731E3">
        <w:tc>
          <w:tcPr>
            <w:tcW w:w="1129" w:type="dxa"/>
          </w:tcPr>
          <w:p w14:paraId="37DC44A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841C0B0" w14:textId="7A0262CB"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Aktieeksponeringer efter en metode med interne modeller, som alternativt kan tildeles en risikovægt på 1 250 %</w:t>
            </w:r>
          </w:p>
          <w:p w14:paraId="2D89DE81" w14:textId="1A39C62D" w:rsidR="0022315F" w:rsidRPr="002A677E" w:rsidRDefault="00634EC4" w:rsidP="00487A02">
            <w:pPr>
              <w:pStyle w:val="InstructionsText"/>
              <w:rPr>
                <w:rStyle w:val="InstructionsTabelleberschrift"/>
                <w:rFonts w:ascii="Times New Roman" w:hAnsi="Times New Roman"/>
                <w:b w:val="0"/>
                <w:sz w:val="24"/>
                <w:u w:val="none"/>
              </w:rPr>
            </w:pPr>
            <w:r>
              <w:t>Artikel 36, stk. 1, litra k), nr. v), og artikel 155, stk. 4, i forordning (EU) nr. 575/2013</w:t>
            </w:r>
          </w:p>
          <w:p w14:paraId="1D29C80B" w14:textId="489507BF" w:rsidR="0022315F" w:rsidRPr="002A677E" w:rsidRDefault="0022315F" w:rsidP="00CE575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I henhold til artikel 36, stk. 1, litra k), nr. v), i forordning (EU) nr. 575/2013 </w:t>
            </w:r>
            <w:r>
              <w:t xml:space="preserve"> </w:t>
            </w:r>
            <w:r>
              <w:rPr>
                <w:rStyle w:val="InstructionsTabelleberschrift"/>
                <w:b w:val="0"/>
                <w:u w:val="none"/>
              </w:rPr>
              <w:t>kan aktieeksponeringer efter en metode med interne modeller</w:t>
            </w:r>
            <w:r>
              <w:rPr>
                <w:rStyle w:val="FormatvorlageInstructionsTabelleText"/>
                <w:rFonts w:ascii="Times New Roman" w:hAnsi="Times New Roman"/>
                <w:sz w:val="24"/>
              </w:rPr>
              <w:t xml:space="preserve"> alternativt fratrækkes den egentlige kernekapital (ved hjælp af denne post) eller tildeles en risikovægt på 1 250 %.</w:t>
            </w:r>
          </w:p>
        </w:tc>
      </w:tr>
      <w:tr w:rsidR="0022315F" w:rsidRPr="002A677E" w14:paraId="47A9042B" w14:textId="77777777" w:rsidTr="00D731E3">
        <w:tc>
          <w:tcPr>
            <w:tcW w:w="1129" w:type="dxa"/>
          </w:tcPr>
          <w:p w14:paraId="07858AA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0480</w:t>
            </w:r>
          </w:p>
        </w:tc>
        <w:tc>
          <w:tcPr>
            <w:tcW w:w="7620" w:type="dxa"/>
          </w:tcPr>
          <w:p w14:paraId="292610D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Egentlige kernekapitalinstrumenter i enheder i den finansielle sektor, hvori instituttet ikke har væsentlige investeringer</w:t>
            </w:r>
          </w:p>
          <w:p w14:paraId="3461344B" w14:textId="39A95ADA" w:rsidR="0022315F" w:rsidRPr="002A677E" w:rsidRDefault="0022315F" w:rsidP="00487A02">
            <w:pPr>
              <w:pStyle w:val="InstructionsText"/>
              <w:rPr>
                <w:rStyle w:val="FormatvorlageInstructionsTabelleText"/>
                <w:rFonts w:ascii="Times New Roman" w:hAnsi="Times New Roman"/>
                <w:sz w:val="24"/>
              </w:rPr>
            </w:pPr>
            <w:r>
              <w:t>Artikel 4, stk. 1, nr. 27), artikel 36, stk. 1, litra h), artikel 43-46, artikel 49, stk. 2 og 3, og artikel 79 i forordning (EU) nr. 575/2013</w:t>
            </w:r>
          </w:p>
          <w:p w14:paraId="101FE476" w14:textId="13669F45" w:rsidR="0022315F" w:rsidRPr="002A677E" w:rsidRDefault="0022315F" w:rsidP="00487A02">
            <w:pPr>
              <w:pStyle w:val="InstructionsText"/>
              <w:rPr>
                <w:rStyle w:val="FormatvorlageInstructionsTabelleText"/>
                <w:rFonts w:ascii="Times New Roman" w:hAnsi="Times New Roman"/>
                <w:sz w:val="24"/>
              </w:rPr>
            </w:pPr>
            <w:r>
              <w:t>Instituttets besiddelser af instrumenter i enheder i den finansielle sektor (som defineret i artikel 4, stk. 1, nr. 27), i forordning (EU) nr. 575/2013), hvori instituttet ikke har væsentlige investeringer, der skal fratrækkes den egentlige kernekapital.</w:t>
            </w:r>
          </w:p>
          <w:p w14:paraId="328C33B9" w14:textId="5057E202"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alternativer til fradrag, når konsolidering finder anvendelse (artikel 49, stk. 2 og 3).</w:t>
            </w:r>
          </w:p>
        </w:tc>
      </w:tr>
      <w:tr w:rsidR="0022315F" w:rsidRPr="002A677E" w14:paraId="0F8D9170" w14:textId="77777777" w:rsidTr="00D731E3">
        <w:tc>
          <w:tcPr>
            <w:tcW w:w="1129" w:type="dxa"/>
          </w:tcPr>
          <w:p w14:paraId="3A11B5C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5478143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Fradragsberettigede udskudte skatteaktiver, som afhænger af fremtidig rentabilitet og skyldes midlertidige forskelle</w:t>
            </w:r>
          </w:p>
          <w:p w14:paraId="1DACA2A1" w14:textId="12366B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36, stk. 1, litra c) </w:t>
            </w:r>
            <w:r>
              <w:t>artikel 38 og artikel 48, stk. 1, litra a), i forordning (EU) nr. 575/2013</w:t>
            </w:r>
          </w:p>
          <w:p w14:paraId="02E7BEC1" w14:textId="25811B5E" w:rsidR="0022315F" w:rsidRPr="002A677E" w:rsidRDefault="0022315F" w:rsidP="00634EC4">
            <w:pPr>
              <w:pStyle w:val="InstructionsText"/>
              <w:rPr>
                <w:rStyle w:val="FormatvorlageInstructionsTabelleText"/>
                <w:rFonts w:ascii="Times New Roman" w:hAnsi="Times New Roman"/>
                <w:sz w:val="24"/>
              </w:rPr>
            </w:pPr>
            <w:r>
              <w:t>Andel af udskudte skatteaktiver, som afhænger af fremtidig rentabilitet og skyldes midlertidige forskelle (fratrukket instituttets tilhørende udskudte skatteforpligtelser, der skyldes midlertidige forskelle, jf. artikel 38, stk. 5, litra b), i forordning (EU) nr. 575/2013), som skal fratrækkes, baseret på tærsklen på 10 % i artikel 48, stk. 1, litra a), i nævnte forordning.</w:t>
            </w:r>
          </w:p>
        </w:tc>
      </w:tr>
      <w:tr w:rsidR="0022315F" w:rsidRPr="002A677E" w14:paraId="40BA40BA" w14:textId="77777777" w:rsidTr="00D731E3">
        <w:tc>
          <w:tcPr>
            <w:tcW w:w="1129" w:type="dxa"/>
          </w:tcPr>
          <w:p w14:paraId="4511265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DF7DD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Egentlige kernekapitalinstrumenter i enheder i den finansielle sektor, hvori instituttet har væsentlige investeringer</w:t>
            </w:r>
          </w:p>
          <w:p w14:paraId="6906A14D" w14:textId="3DA806C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Artikel 4, stk. 1, nr. 27), artikel 36, stk. 1, litra i), artikel 43, 45 og 47, artikel 48, stk. 2, litra b), artikel 49, stk. 1, 2 og 3, og artikel 79 i forordning (EU) nr. 575/2013</w:t>
            </w:r>
          </w:p>
          <w:p w14:paraId="3E66EE26" w14:textId="5E246CE9" w:rsidR="0022315F" w:rsidRPr="002A677E" w:rsidRDefault="0022315F" w:rsidP="00487A02">
            <w:pPr>
              <w:pStyle w:val="InstructionsText"/>
              <w:rPr>
                <w:rStyle w:val="FormatvorlageInstructionsTabelleText"/>
                <w:rFonts w:ascii="Times New Roman" w:hAnsi="Times New Roman"/>
                <w:sz w:val="24"/>
              </w:rPr>
            </w:pPr>
            <w:r>
              <w:t>Instituttets besiddelser af egentlige kernekapitalinstrumenter i enheder i den finansielle sektor (som defineret i artikel 4, stk. 1, nr. 27), i forordning (EU) nr. 575/2013), hvori instituttet har væsentlige investeringer, der skal fratrækkes, baseret på tærsklen på 10 % i artikel 48, stk. 1, litra b), i nævnte forordning.</w:t>
            </w:r>
          </w:p>
          <w:p w14:paraId="0DCB0638" w14:textId="61038C17" w:rsidR="0022315F" w:rsidRPr="002A677E" w:rsidRDefault="0022315F" w:rsidP="00634EC4">
            <w:pPr>
              <w:pStyle w:val="InstructionsText"/>
              <w:rPr>
                <w:rStyle w:val="FormatvorlageInstructionsTabelleText"/>
                <w:rFonts w:ascii="Times New Roman" w:hAnsi="Times New Roman"/>
                <w:sz w:val="24"/>
              </w:rPr>
            </w:pPr>
            <w:r>
              <w:t>Se alternativer til fradrag, når konsolidering finder anvendelse (artikel 49, stk. 1, 2 og 3, i forordning (EU) nr. 575/2013).</w:t>
            </w:r>
          </w:p>
        </w:tc>
      </w:tr>
      <w:tr w:rsidR="0022315F" w:rsidRPr="002A677E" w14:paraId="20A70AC8" w14:textId="77777777" w:rsidTr="00D731E3">
        <w:tc>
          <w:tcPr>
            <w:tcW w:w="1129" w:type="dxa"/>
          </w:tcPr>
          <w:p w14:paraId="4451E3C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149B4832" w14:textId="5BD12EA8"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Beløb, der overstiger tærsklen på 17,65 %</w:t>
            </w:r>
          </w:p>
          <w:p w14:paraId="242D5AEA" w14:textId="60223D2C" w:rsidR="0022315F" w:rsidRPr="002A677E" w:rsidRDefault="0022315F" w:rsidP="00487A02">
            <w:pPr>
              <w:pStyle w:val="InstructionsText"/>
              <w:rPr>
                <w:rStyle w:val="FormatvorlageInstructionsTabelleText"/>
                <w:rFonts w:ascii="Times New Roman" w:hAnsi="Times New Roman"/>
                <w:sz w:val="24"/>
              </w:rPr>
            </w:pPr>
            <w:r>
              <w:t>Artikel 48, stk. 2, i forordning (EU) nr. 575/2013</w:t>
            </w:r>
          </w:p>
          <w:p w14:paraId="7B05980C" w14:textId="02F7BB87" w:rsidR="0022315F" w:rsidRPr="002A677E" w:rsidRDefault="0022315F" w:rsidP="00566DB5">
            <w:pPr>
              <w:pStyle w:val="InstructionsText"/>
              <w:rPr>
                <w:rStyle w:val="FormatvorlageInstructionsTabelleText"/>
                <w:rFonts w:ascii="Times New Roman" w:hAnsi="Times New Roman"/>
                <w:sz w:val="24"/>
              </w:rPr>
            </w:pPr>
            <w:r>
              <w:t>Andel af udskudte skatteaktiver, som afhænger af fremtidig rentabilitet og skyldes midlertidige forskelle, og instituttets direkte, indirekte og syntetiske besiddelser af egentlige kernekapitalinstrumenter i enheder i den finansielle sektor (som defineret i artikel 4, stk. 1, nr. 27), i forordning (EU) nr. 575/2013), hvori instituttet har væsentlige investeringer, der skal fratrækkes, baseret på tærsklen på 17,65 % i artikel 48, stk. 2, i nævnte forordning.</w:t>
            </w:r>
          </w:p>
        </w:tc>
      </w:tr>
      <w:tr w:rsidR="0022315F" w:rsidRPr="002A677E" w14:paraId="65FBA706" w14:textId="77777777" w:rsidTr="00D731E3">
        <w:tc>
          <w:tcPr>
            <w:tcW w:w="1129" w:type="dxa"/>
          </w:tcPr>
          <w:p w14:paraId="43556F6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3F9F869A" w14:textId="74E1CB02"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Beløb, der overstiger tærsklen på 17,65 % vedrørende egentlige kernekapitalinstrumenter i enheder i den finansielle sektor, hvori instituttet har væsentlige investeringer</w:t>
            </w:r>
          </w:p>
        </w:tc>
      </w:tr>
      <w:tr w:rsidR="0022315F" w:rsidRPr="002A677E" w14:paraId="272E4CF2" w14:textId="77777777" w:rsidTr="00D731E3">
        <w:tc>
          <w:tcPr>
            <w:tcW w:w="1129" w:type="dxa"/>
          </w:tcPr>
          <w:p w14:paraId="02436C4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0512</w:t>
            </w:r>
          </w:p>
        </w:tc>
        <w:tc>
          <w:tcPr>
            <w:tcW w:w="7620" w:type="dxa"/>
          </w:tcPr>
          <w:p w14:paraId="6F9E4E4A" w14:textId="153608F0"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Beløb, der overstiger tærsklen på 17,65 % vedrørende udskudte skatteaktiver hidrørende fra midlertidige forskelle</w:t>
            </w:r>
          </w:p>
        </w:tc>
      </w:tr>
      <w:tr w:rsidR="0022315F" w:rsidRPr="002A677E" w14:paraId="6526CCCF" w14:textId="77777777" w:rsidTr="00D731E3">
        <w:tc>
          <w:tcPr>
            <w:tcW w:w="1129" w:type="dxa"/>
          </w:tcPr>
          <w:p w14:paraId="364AA53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68B1563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Utilstrækkelig dækning af misligholdte eksponeringer</w:t>
            </w:r>
          </w:p>
          <w:p w14:paraId="76458C5D" w14:textId="5437E541" w:rsidR="0022315F" w:rsidRPr="002A677E" w:rsidRDefault="0044539D" w:rsidP="00634E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w:t>
            </w:r>
            <w:r>
              <w:t>Artikel 36, stk. 1, litra m), og artikel 47c i forordning (EU) nr. 575/2013</w:t>
            </w:r>
          </w:p>
        </w:tc>
      </w:tr>
      <w:tr w:rsidR="0022315F" w:rsidRPr="002A677E" w14:paraId="56B584B6" w14:textId="77777777" w:rsidTr="00D731E3">
        <w:tc>
          <w:tcPr>
            <w:tcW w:w="1129" w:type="dxa"/>
          </w:tcPr>
          <w:p w14:paraId="1C8C195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45B3CC0F"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Underskud ved minimumsværditilsagn</w:t>
            </w:r>
          </w:p>
          <w:p w14:paraId="1DA8258E" w14:textId="261D7C57" w:rsidR="0022315F" w:rsidRPr="002A677E" w:rsidRDefault="00634EC4" w:rsidP="00487A02">
            <w:pPr>
              <w:pStyle w:val="InstructionsText"/>
              <w:rPr>
                <w:rStyle w:val="InstructionsTabelleberschrift"/>
                <w:rFonts w:ascii="Times New Roman" w:hAnsi="Times New Roman"/>
                <w:sz w:val="24"/>
              </w:rPr>
            </w:pPr>
            <w:r>
              <w:t>Artikel 36, stk. 1, litra n), og artikel 132c, stk. 2, i forordning (EU) nr. 575/2013</w:t>
            </w:r>
          </w:p>
        </w:tc>
      </w:tr>
      <w:tr w:rsidR="0022315F" w:rsidRPr="002A677E" w14:paraId="6CF8BC09" w14:textId="77777777" w:rsidTr="00D731E3">
        <w:tc>
          <w:tcPr>
            <w:tcW w:w="1129" w:type="dxa"/>
          </w:tcPr>
          <w:p w14:paraId="0CB128F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037C4B7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Andre former for skat, der kan forudses</w:t>
            </w:r>
          </w:p>
          <w:p w14:paraId="5267EA9F" w14:textId="6D1DAA5C" w:rsidR="0022315F" w:rsidRPr="002A677E" w:rsidRDefault="00634EC4" w:rsidP="00487A02">
            <w:pPr>
              <w:pStyle w:val="InstructionsText"/>
              <w:rPr>
                <w:rStyle w:val="FormatvorlageInstructionsTabelleText"/>
                <w:rFonts w:ascii="Times New Roman" w:hAnsi="Times New Roman"/>
                <w:b/>
                <w:sz w:val="24"/>
              </w:rPr>
            </w:pPr>
            <w:r>
              <w:t>Artikel 36, stk. 1, litra l), i forordning (EU) nr. 575/2013</w:t>
            </w:r>
          </w:p>
          <w:p w14:paraId="77A0C028" w14:textId="77777777"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Enhver form for skat på egentlige kernekapitalposter, som kan forudses på beregningstidspunktet, undtagen skat, som allerede er blevet taget i betragtning i de andre rækker, der afspejler kernekapitalposter, ved at reducere værdien af den pågældende kernekapitalpost.</w:t>
            </w:r>
          </w:p>
        </w:tc>
      </w:tr>
      <w:tr w:rsidR="0022315F" w:rsidRPr="002A677E" w14:paraId="270A6EFF" w14:textId="77777777" w:rsidTr="00D731E3">
        <w:tc>
          <w:tcPr>
            <w:tcW w:w="1129" w:type="dxa"/>
          </w:tcPr>
          <w:p w14:paraId="1D5288B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0253165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Andre overgangsjusteringer af den egentlige kernekapital</w:t>
            </w:r>
          </w:p>
          <w:p w14:paraId="488DD7BC" w14:textId="1CB62E2C" w:rsidR="0022315F" w:rsidRPr="002A677E" w:rsidRDefault="0022315F" w:rsidP="00487A02">
            <w:pPr>
              <w:pStyle w:val="InstructionsText"/>
              <w:rPr>
                <w:rStyle w:val="FormatvorlageInstructionsTabelleText"/>
                <w:rFonts w:ascii="Times New Roman" w:hAnsi="Times New Roman"/>
                <w:sz w:val="24"/>
              </w:rPr>
            </w:pPr>
            <w:r>
              <w:t>Artikel 469-478 og artikel 481 i forordning (EU) nr. 575/2013</w:t>
            </w:r>
          </w:p>
          <w:p w14:paraId="049A1B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af fradrag som følge af overgangsbestemmelser. Det beløb, der indberettes, hentes direkte fra CA5.</w:t>
            </w:r>
          </w:p>
        </w:tc>
      </w:tr>
      <w:tr w:rsidR="0022315F" w:rsidRPr="002A677E" w14:paraId="7B4D2E5B" w14:textId="77777777" w:rsidTr="00D731E3">
        <w:tc>
          <w:tcPr>
            <w:tcW w:w="1129" w:type="dxa"/>
          </w:tcPr>
          <w:p w14:paraId="5650F59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7AEB8516" w14:textId="1416086E"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Yderligere fradrag af egentlig kernekapital, jf. artikel 3 i forordning (EU) nr. 575/2013</w:t>
            </w:r>
          </w:p>
          <w:p w14:paraId="2FCD75D4" w14:textId="2C4E3183" w:rsidR="0022315F" w:rsidRPr="002A677E" w:rsidRDefault="0022315F" w:rsidP="00487A02">
            <w:pPr>
              <w:pStyle w:val="InstructionsText"/>
              <w:rPr>
                <w:rStyle w:val="InstructionsTabelleberschrift"/>
                <w:rFonts w:ascii="Times New Roman" w:hAnsi="Times New Roman"/>
                <w:b w:val="0"/>
                <w:sz w:val="24"/>
                <w:u w:val="none"/>
              </w:rPr>
            </w:pPr>
            <w:r>
              <w:t>Artikel 3 i forordning (EU) nr. 575/2013</w:t>
            </w:r>
          </w:p>
          <w:p w14:paraId="385DA344" w14:textId="4ECE485A" w:rsidR="00A95150" w:rsidRPr="002A677E" w:rsidRDefault="00A95150" w:rsidP="00A95150">
            <w:pPr>
              <w:pStyle w:val="InstructionsText"/>
              <w:rPr>
                <w:rStyle w:val="InstructionsTabelleberschrift"/>
                <w:rFonts w:ascii="Times New Roman" w:hAnsi="Times New Roman"/>
                <w:b w:val="0"/>
                <w:sz w:val="24"/>
                <w:u w:val="none"/>
              </w:rPr>
            </w:pPr>
            <w:r>
              <w:t>Hvis et institut beslutter fuldt ud at fratrække sine softwareaktiver i overensstemmelse med artikel 3 i forordning (EU) nr. 575/2013 i stedet for at anvende behandlingen i artikel 13a i delegeret forordning (EU) nr. 241/2014, skal den supplerende fratrukne værdi ikke indberettes i denne række, men i række 0352.</w:t>
            </w:r>
          </w:p>
        </w:tc>
      </w:tr>
      <w:tr w:rsidR="0022315F" w:rsidRPr="002A677E" w14:paraId="37D36F0C" w14:textId="77777777" w:rsidTr="00D731E3">
        <w:tc>
          <w:tcPr>
            <w:tcW w:w="1129" w:type="dxa"/>
          </w:tcPr>
          <w:p w14:paraId="5AF8644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062BBE2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Egentlig kernekapital — andre elementer eller fradrag</w:t>
            </w:r>
          </w:p>
          <w:p w14:paraId="572AA726"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Denne række er indsat for at sikre en vis fleksibilitet i forbindelse med indberetningen. Den skal kun undtagelsesvis udfyldes, hvis der ikke er truffet en endelig afgørelse om indberetningen af specifikke kapitalposter/-fradrag i det nuværende CA1-skema. Det betyder, at rækken kun skal udfyldes, hvis et element eller et fradrag i den egentlige kernekapital ikke kan tildeles en af rækkerne 020 til 524. </w:t>
            </w:r>
          </w:p>
          <w:p w14:paraId="1A5B3380" w14:textId="5EC77995" w:rsidR="0022315F" w:rsidRPr="002A677E" w:rsidRDefault="0022315F" w:rsidP="00487A02">
            <w:pPr>
              <w:pStyle w:val="InstructionsText"/>
              <w:rPr>
                <w:rStyle w:val="InstructionsTabelleberschrift"/>
                <w:rFonts w:ascii="Times New Roman" w:hAnsi="Times New Roman"/>
                <w:b w:val="0"/>
                <w:sz w:val="24"/>
                <w:u w:val="none"/>
              </w:rPr>
            </w:pPr>
            <w:r>
              <w:t>Denne række må ikke bruges til at medtage kapitalposter/-fradrag, som ikke er omfattet af forordning (EU) nr. 575/2013, i beregningen af soliditetsgraden (f.eks. nationale kapitalposter/-fradrag, som er uden for forordning (EU) nr. 575/2013's rammer).</w:t>
            </w:r>
          </w:p>
        </w:tc>
      </w:tr>
      <w:tr w:rsidR="0022315F" w:rsidRPr="002A677E" w14:paraId="684DBDB0" w14:textId="77777777" w:rsidTr="00D731E3">
        <w:tc>
          <w:tcPr>
            <w:tcW w:w="1129" w:type="dxa"/>
          </w:tcPr>
          <w:p w14:paraId="4557E6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58200C4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HYBRID KERNEKAPITAL</w:t>
            </w:r>
          </w:p>
          <w:p w14:paraId="6084F8E8" w14:textId="0400DB23" w:rsidR="0022315F" w:rsidRPr="002A677E" w:rsidRDefault="0022315F" w:rsidP="00487A02">
            <w:pPr>
              <w:pStyle w:val="InstructionsText"/>
              <w:rPr>
                <w:rStyle w:val="FormatvorlageInstructionsTabelleText"/>
                <w:rFonts w:ascii="Times New Roman" w:hAnsi="Times New Roman"/>
                <w:sz w:val="24"/>
              </w:rPr>
            </w:pPr>
            <w:r>
              <w:t>Artikel 61 i forordning (EU) nr. 575/2013</w:t>
            </w:r>
          </w:p>
        </w:tc>
      </w:tr>
      <w:tr w:rsidR="0022315F" w:rsidRPr="002A677E" w14:paraId="64E16F46" w14:textId="77777777" w:rsidTr="00D731E3">
        <w:tc>
          <w:tcPr>
            <w:tcW w:w="1129" w:type="dxa"/>
          </w:tcPr>
          <w:p w14:paraId="0972E7E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1836352C" w14:textId="7043C770"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Kapitalinstrumenter og overkurs ved emission, der er kvalificeret som hybrid kernekapital</w:t>
            </w:r>
          </w:p>
          <w:p w14:paraId="72A2A6AF" w14:textId="14112B36" w:rsidR="0022315F" w:rsidRPr="002A677E" w:rsidRDefault="0022315F" w:rsidP="00634EC4">
            <w:pPr>
              <w:pStyle w:val="InstructionsText"/>
              <w:rPr>
                <w:rStyle w:val="FormatvorlageInstructionsTabelleText"/>
                <w:rFonts w:ascii="Times New Roman" w:hAnsi="Times New Roman"/>
                <w:sz w:val="24"/>
              </w:rPr>
            </w:pPr>
            <w:r>
              <w:lastRenderedPageBreak/>
              <w:t>Artikel 51, litra a), artikel 52, 53 og 54, artikel 56, litra a), og artikel 57 i forordning (EU) nr. 575/2013</w:t>
            </w:r>
          </w:p>
        </w:tc>
      </w:tr>
      <w:tr w:rsidR="0022315F" w:rsidRPr="002A677E" w14:paraId="377F55D4" w14:textId="77777777" w:rsidTr="00D731E3">
        <w:tc>
          <w:tcPr>
            <w:tcW w:w="1129" w:type="dxa"/>
          </w:tcPr>
          <w:p w14:paraId="3776B94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0551</w:t>
            </w:r>
          </w:p>
        </w:tc>
        <w:tc>
          <w:tcPr>
            <w:tcW w:w="7620" w:type="dxa"/>
          </w:tcPr>
          <w:p w14:paraId="60ADD0D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Fuldt indbetalte, direkte udstedte kapitalinstrumenter</w:t>
            </w:r>
          </w:p>
          <w:p w14:paraId="0732E830" w14:textId="4193A044" w:rsidR="0022315F" w:rsidRPr="002A677E" w:rsidRDefault="0022315F" w:rsidP="00487A02">
            <w:pPr>
              <w:pStyle w:val="InstructionsText"/>
              <w:rPr>
                <w:rStyle w:val="FormatvorlageInstructionsTabelleText"/>
                <w:rFonts w:ascii="Times New Roman" w:hAnsi="Times New Roman"/>
                <w:sz w:val="24"/>
              </w:rPr>
            </w:pPr>
            <w:r>
              <w:t>Artikel 51, litra a), og artikel 52, 53 og 54 i forordning (EU) nr. 575/2013</w:t>
            </w:r>
          </w:p>
          <w:p w14:paraId="47021F8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det indberettede beløb medregnes ikke overkurs ved emission i forbindelse med instrumenterne.</w:t>
            </w:r>
          </w:p>
        </w:tc>
      </w:tr>
      <w:tr w:rsidR="0022315F" w:rsidRPr="002A677E" w14:paraId="4C04295E" w14:textId="77777777" w:rsidTr="00D731E3">
        <w:tc>
          <w:tcPr>
            <w:tcW w:w="1129" w:type="dxa"/>
          </w:tcPr>
          <w:p w14:paraId="2B0C882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1AD0D7E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Memorandumpost: ikkekvalificerede kapitalinstrumenter</w:t>
            </w:r>
          </w:p>
          <w:p w14:paraId="58F688AF" w14:textId="160C8523" w:rsidR="0022315F" w:rsidRPr="002A677E" w:rsidRDefault="0022315F" w:rsidP="00487A02">
            <w:pPr>
              <w:pStyle w:val="InstructionsText"/>
              <w:rPr>
                <w:rStyle w:val="FormatvorlageInstructionsTabelleText"/>
                <w:rFonts w:ascii="Times New Roman" w:hAnsi="Times New Roman"/>
                <w:sz w:val="24"/>
              </w:rPr>
            </w:pPr>
            <w:r>
              <w:t>Artikel 52, stk. 1, litra c), e) og f), i forordning (EU) nr. 575/2013</w:t>
            </w:r>
          </w:p>
          <w:p w14:paraId="04E6996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Disse bestemmelser afspejler forskellige situationer vedrørende kapitalen, som er reversible, hvilket betyder, at det indberettede beløb kan være kvalificeret i efterfølgende perioder.</w:t>
            </w:r>
          </w:p>
          <w:p w14:paraId="1D972F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det indberettede beløb medregnes ikke overkurs ved emission i forbindelse med instrumenterne.</w:t>
            </w:r>
          </w:p>
        </w:tc>
      </w:tr>
      <w:tr w:rsidR="0022315F" w:rsidRPr="002A677E" w14:paraId="4A20E138" w14:textId="77777777" w:rsidTr="00D731E3">
        <w:tc>
          <w:tcPr>
            <w:tcW w:w="1129" w:type="dxa"/>
          </w:tcPr>
          <w:p w14:paraId="56B3C5C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9B739D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Overkurs ved emission</w:t>
            </w:r>
          </w:p>
          <w:p w14:paraId="153298B7" w14:textId="005A6227" w:rsidR="0022315F" w:rsidRPr="002A677E" w:rsidRDefault="0022315F" w:rsidP="00487A02">
            <w:pPr>
              <w:pStyle w:val="InstructionsText"/>
              <w:rPr>
                <w:rStyle w:val="FormatvorlageInstructionsTabelleText"/>
                <w:rFonts w:ascii="Times New Roman" w:hAnsi="Times New Roman"/>
                <w:sz w:val="24"/>
              </w:rPr>
            </w:pPr>
            <w:r>
              <w:t>Artikel 51, litra b), i forordning (EU) nr. 575/2013</w:t>
            </w:r>
          </w:p>
          <w:p w14:paraId="5119736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Overkurs ved emission har samme betydning som i den gældende regnskabsstandard.</w:t>
            </w:r>
          </w:p>
          <w:p w14:paraId="586C3457"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indberettes i denne post, skal være den andel, der vedrører de "fuldt indbetalte og direkte udstedte kapitalinstrumenter".</w:t>
            </w:r>
          </w:p>
        </w:tc>
      </w:tr>
      <w:tr w:rsidR="0022315F" w:rsidRPr="002A677E" w14:paraId="16672D93" w14:textId="77777777" w:rsidTr="00D731E3">
        <w:tc>
          <w:tcPr>
            <w:tcW w:w="1129" w:type="dxa"/>
          </w:tcPr>
          <w:p w14:paraId="6A6D059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737C99C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Egne hybride kernekapitalinstrumenter</w:t>
            </w:r>
          </w:p>
          <w:p w14:paraId="0E23F695" w14:textId="23525B77" w:rsidR="0022315F" w:rsidRPr="002A677E" w:rsidRDefault="00634EC4" w:rsidP="00487A02">
            <w:pPr>
              <w:pStyle w:val="InstructionsText"/>
              <w:rPr>
                <w:rStyle w:val="FormatvorlageInstructionsTabelleText"/>
                <w:rFonts w:ascii="Times New Roman" w:hAnsi="Times New Roman"/>
                <w:sz w:val="24"/>
              </w:rPr>
            </w:pPr>
            <w:r>
              <w:t>Artikel 52, stk. 1, litra b), artikel 56, litra a), og artikel 57 i forordning (EU) nr. 575/2013</w:t>
            </w:r>
          </w:p>
          <w:p w14:paraId="14B767B5" w14:textId="0E61ADE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Egne hybride kernekapitalinstrumenter, som det indberettende institut eller den indberettende koncern besidder på indberetningsdatoen, og de beløb for hybride kernekapitalinstrumenter, der skal fratrækkes i henhold til artikel 28, stk. 2, i delegeret forordning (EU) nr. 241/2014. </w:t>
            </w:r>
            <w:r>
              <w:t>Med forbehold af undtagelser omhandlet i artikel 57 i forordning (EU) nr. 575/2013.</w:t>
            </w:r>
          </w:p>
          <w:p w14:paraId="5B12395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Besiddelser af aktier, der er anført som "Ikkekvalificerede kapitalinstrumenter", indberettes ikke i denne række.</w:t>
            </w:r>
          </w:p>
          <w:p w14:paraId="652F578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indbefatte overkurs ved emission i forbindelse med egne aktier.</w:t>
            </w:r>
          </w:p>
          <w:p w14:paraId="643D154E" w14:textId="08B5A54C" w:rsidR="0022315F" w:rsidRPr="002A677E" w:rsidRDefault="0022315F" w:rsidP="007F6E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 1.1.2.1.4 til 1.1.2.1.4.3 omfatter ikke faktiske forpligtelser eller eventualforpligtelser til at købe egne hybride kernekapitalinstrumenter. Faktiske forpligtelser eller eventualforpligtelser til at købe egne hybride kernekapitalinstrumenter indberettes særskilt i post 1.1.2.1.5.</w:t>
            </w:r>
          </w:p>
        </w:tc>
      </w:tr>
      <w:tr w:rsidR="0022315F" w:rsidRPr="002A677E" w14:paraId="30F256BF" w14:textId="77777777" w:rsidTr="00D731E3">
        <w:tc>
          <w:tcPr>
            <w:tcW w:w="1129" w:type="dxa"/>
          </w:tcPr>
          <w:p w14:paraId="0F4C2AE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7815E8B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Direkte besiddelser af hybride kernekapitalinstrumenter</w:t>
            </w:r>
          </w:p>
          <w:p w14:paraId="7B8D41F7" w14:textId="7010199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Artikel 4, stk. 1, nr. 144), artikel 52, stk. 1, litra b), artikel 56, litra a), og artikel 57 i forordning (EU) nr. 575/2013</w:t>
            </w:r>
          </w:p>
          <w:p w14:paraId="7528953E" w14:textId="66DFA7D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Hybride kernekapitalinstrumenter, der er medtaget i 1.1.2.1.1, og som institutter i den konsoliderede koncern besidder, og de beløb for hybride kernekapitalinstrumenter, der skal fratrækkes i henhold til artikel 28, stk. 2, i delegeret forordning (EU) nr. 241/2014. </w:t>
            </w:r>
          </w:p>
        </w:tc>
      </w:tr>
      <w:tr w:rsidR="0022315F" w:rsidRPr="002A677E" w14:paraId="2736D86F" w14:textId="77777777" w:rsidTr="00D731E3">
        <w:tc>
          <w:tcPr>
            <w:tcW w:w="1129" w:type="dxa"/>
          </w:tcPr>
          <w:p w14:paraId="5BF6B48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0620</w:t>
            </w:r>
          </w:p>
        </w:tc>
        <w:tc>
          <w:tcPr>
            <w:tcW w:w="7620" w:type="dxa"/>
          </w:tcPr>
          <w:p w14:paraId="2278826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Indirekte besiddelser af hybride kernekapitalinstrumenter</w:t>
            </w:r>
          </w:p>
          <w:p w14:paraId="042F575A" w14:textId="293D792C" w:rsidR="0022315F" w:rsidRPr="002A677E" w:rsidRDefault="0022315F" w:rsidP="00634EC4">
            <w:pPr>
              <w:pStyle w:val="InstructionsText"/>
              <w:rPr>
                <w:rStyle w:val="FormatvorlageInstructionsTabelleText"/>
                <w:rFonts w:ascii="Times New Roman" w:hAnsi="Times New Roman"/>
                <w:sz w:val="24"/>
              </w:rPr>
            </w:pPr>
            <w:r>
              <w:t>Artikel 52, stk. 1, litra b), nr. ii), artikel 56, litra a), og artikel 57 i forordning (EU) nr. 575/2013</w:t>
            </w:r>
          </w:p>
        </w:tc>
      </w:tr>
      <w:tr w:rsidR="0022315F" w:rsidRPr="002A677E" w14:paraId="608989AC" w14:textId="77777777" w:rsidTr="00D731E3">
        <w:tc>
          <w:tcPr>
            <w:tcW w:w="1129" w:type="dxa"/>
          </w:tcPr>
          <w:p w14:paraId="7E19F1C3"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445CC511" w14:textId="77777777" w:rsidR="0022315F" w:rsidRPr="002A677E"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Syntetiske besiddelser af hybride kernekapitalinstrumenter</w:t>
            </w:r>
          </w:p>
          <w:p w14:paraId="36010780" w14:textId="287F585E" w:rsidR="0022315F" w:rsidRPr="002A677E" w:rsidRDefault="0022315F" w:rsidP="00BA5699">
            <w:pPr>
              <w:pStyle w:val="InstructionsText"/>
              <w:rPr>
                <w:rStyle w:val="InstructionsTabelleberschrift"/>
                <w:rFonts w:ascii="Times New Roman" w:hAnsi="Times New Roman"/>
                <w:b w:val="0"/>
                <w:bCs w:val="0"/>
                <w:sz w:val="24"/>
                <w:u w:val="none"/>
              </w:rPr>
            </w:pPr>
            <w:r>
              <w:t xml:space="preserve"> Artikel 4, stk. 1, nr. 126), artikel 52, stk. 1, litra b), artikel 56, litra a), og artikel 57 i forordning (EU) nr. 575/2013</w:t>
            </w:r>
          </w:p>
        </w:tc>
      </w:tr>
      <w:tr w:rsidR="0022315F" w:rsidRPr="002A677E" w14:paraId="0587899F" w14:textId="77777777" w:rsidTr="00D731E3">
        <w:tc>
          <w:tcPr>
            <w:tcW w:w="1129" w:type="dxa"/>
          </w:tcPr>
          <w:p w14:paraId="177372F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E1B4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Faktiske forpligtelser eller eventualforpligtelser til at købe egne hybride kernekapitalinstrumenter</w:t>
            </w:r>
          </w:p>
          <w:p w14:paraId="0F39AA25" w14:textId="067A5C21" w:rsidR="0022315F" w:rsidRPr="002A677E" w:rsidRDefault="00BA5699" w:rsidP="00487A02">
            <w:pPr>
              <w:pStyle w:val="InstructionsText"/>
              <w:rPr>
                <w:rStyle w:val="FormatvorlageInstructionsTabelleText"/>
                <w:rFonts w:ascii="Times New Roman" w:hAnsi="Times New Roman"/>
                <w:sz w:val="24"/>
              </w:rPr>
            </w:pPr>
            <w:r>
              <w:t>Artikel 56, litra a), og artikel 57 i forordning (EU) nr. 575/2013</w:t>
            </w:r>
          </w:p>
          <w:p w14:paraId="32411320" w14:textId="0C270C03" w:rsidR="0022315F" w:rsidRPr="002A677E" w:rsidRDefault="0022315F" w:rsidP="00487A02">
            <w:pPr>
              <w:pStyle w:val="InstructionsText"/>
              <w:rPr>
                <w:rStyle w:val="InstructionsTabelleberschrift"/>
                <w:rFonts w:ascii="Times New Roman" w:hAnsi="Times New Roman"/>
                <w:sz w:val="24"/>
              </w:rPr>
            </w:pPr>
            <w:r>
              <w:t>I henhold til artikel 56, litra a), i forordning (EU) nr. 575/2013 skal et instituts egne hybride kernekapitalinstrumenter, som det kan være forpligtet til at købe i medfør af eksisterende kontraktlige forpligtelser, trækkes fra.</w:t>
            </w:r>
          </w:p>
        </w:tc>
      </w:tr>
      <w:tr w:rsidR="0022315F" w:rsidRPr="002A677E" w14:paraId="77B4803A" w14:textId="77777777" w:rsidTr="00D731E3">
        <w:tc>
          <w:tcPr>
            <w:tcW w:w="1129" w:type="dxa"/>
          </w:tcPr>
          <w:p w14:paraId="3BB747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014AF97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Overgangsjusteringer som følge af kapitalinstrumenter, der udgør hybrid kernekapital i henhold til overgangsbestemmelser</w:t>
            </w:r>
          </w:p>
          <w:p w14:paraId="34510A38" w14:textId="31E0390B" w:rsidR="0022315F" w:rsidRPr="002A677E" w:rsidRDefault="0022315F" w:rsidP="00487A02">
            <w:pPr>
              <w:pStyle w:val="InstructionsText"/>
              <w:rPr>
                <w:rStyle w:val="FormatvorlageInstructionsTabelleText"/>
                <w:rFonts w:ascii="Times New Roman" w:hAnsi="Times New Roman"/>
                <w:sz w:val="24"/>
              </w:rPr>
            </w:pPr>
            <w:r>
              <w:t>Artikel 483, stk. 4 og 5, og artikel 484-487, artikel 489 og 491 i forordning (EU) nr. 575/2013</w:t>
            </w:r>
          </w:p>
          <w:p w14:paraId="2401E4D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Værdi af kapitalinstrumenter, der udgør hybrid kernekapital i henhold til overgangsbestemmelser. Det beløb, der indberettes, hentes direkte fra CA5.</w:t>
            </w:r>
          </w:p>
        </w:tc>
      </w:tr>
      <w:tr w:rsidR="0022315F" w:rsidRPr="002A677E" w14:paraId="05746E43" w14:textId="77777777" w:rsidTr="00D731E3">
        <w:tc>
          <w:tcPr>
            <w:tcW w:w="1129" w:type="dxa"/>
          </w:tcPr>
          <w:p w14:paraId="62A8262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7CC3F6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Instrumenter udstedt af datterselskaber, der indgår i den hybride kernekapital</w:t>
            </w:r>
          </w:p>
          <w:p w14:paraId="21A9CDE1" w14:textId="01F928C7" w:rsidR="0022315F" w:rsidRPr="002A677E" w:rsidRDefault="0022315F" w:rsidP="00487A02">
            <w:pPr>
              <w:pStyle w:val="InstructionsText"/>
              <w:rPr>
                <w:rStyle w:val="FormatvorlageInstructionsTabelleText"/>
                <w:rFonts w:ascii="Times New Roman" w:hAnsi="Times New Roman"/>
                <w:sz w:val="24"/>
              </w:rPr>
            </w:pPr>
            <w:r>
              <w:t>Artikel 83, 85 og 86 i forordning (EU) nr. 575/2013</w:t>
            </w:r>
          </w:p>
          <w:p w14:paraId="0A4BFAB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Summen af alle datterselskabers kvalificerende kernekapital, der indgår i den konsoliderede hybride kernekapital.</w:t>
            </w:r>
          </w:p>
          <w:p w14:paraId="1FDD3CDB" w14:textId="4E9DFC3C" w:rsidR="0022315F" w:rsidRPr="002A677E" w:rsidRDefault="0022315F" w:rsidP="00487A02">
            <w:pPr>
              <w:pStyle w:val="InstructionsText"/>
              <w:rPr>
                <w:rStyle w:val="FormatvorlageInstructionsTabelleText"/>
                <w:rFonts w:ascii="Times New Roman" w:hAnsi="Times New Roman"/>
                <w:sz w:val="24"/>
              </w:rPr>
            </w:pPr>
            <w:r>
              <w:t>Kvalificerende hybrid kernekapital udstedt af en enhed med særligt formål (SPE) (artikel 83 i forordning (EU) nr. 575/2013) medregnes.</w:t>
            </w:r>
          </w:p>
        </w:tc>
      </w:tr>
      <w:tr w:rsidR="0022315F" w:rsidRPr="002A677E" w14:paraId="7E7583D8" w14:textId="77777777" w:rsidTr="00D731E3">
        <w:tc>
          <w:tcPr>
            <w:tcW w:w="1129" w:type="dxa"/>
          </w:tcPr>
          <w:p w14:paraId="5EB6A58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FF8234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Overgangsjusteringer som følge af yderligere indregning af kapitalinstrumenter udstedt af datterselskaber i den hybride kernekapital</w:t>
            </w:r>
          </w:p>
          <w:p w14:paraId="0D6F07DC" w14:textId="1DE26E81" w:rsidR="0022315F" w:rsidRPr="002A677E" w:rsidRDefault="0022315F" w:rsidP="00487A02">
            <w:pPr>
              <w:pStyle w:val="InstructionsText"/>
              <w:rPr>
                <w:rStyle w:val="FormatvorlageInstructionsTabelleText"/>
                <w:rFonts w:ascii="Times New Roman" w:hAnsi="Times New Roman"/>
                <w:sz w:val="24"/>
              </w:rPr>
            </w:pPr>
            <w:r>
              <w:t>Artikel 480 i forordning (EU) nr. 575/2013</w:t>
            </w:r>
          </w:p>
          <w:p w14:paraId="778D2FF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af den kvalificerende kernekapital indregnet i den konsoliderede hybride kernekapital som følge af overgangsbestemmelser. Denne post hentes direkte fra CA5.</w:t>
            </w:r>
          </w:p>
        </w:tc>
      </w:tr>
      <w:tr w:rsidR="0022315F" w:rsidRPr="002A677E" w14:paraId="19AFFA2C" w14:textId="77777777" w:rsidTr="00D731E3">
        <w:tc>
          <w:tcPr>
            <w:tcW w:w="1129" w:type="dxa"/>
          </w:tcPr>
          <w:p w14:paraId="7D4FFE5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0DE0A3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Krydsejerskab af hybrid kernekapital</w:t>
            </w:r>
          </w:p>
          <w:p w14:paraId="613B482E" w14:textId="6E927E0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Artikel 4, stk. 1, nr. 122), artikel 56, litra b), og artikel 58 i forordning (EU) nr. 575/2013</w:t>
            </w:r>
          </w:p>
          <w:p w14:paraId="3A4D093E" w14:textId="4237CAFA" w:rsidR="0022315F" w:rsidRPr="002A677E" w:rsidRDefault="0022315F" w:rsidP="00487A02">
            <w:pPr>
              <w:pStyle w:val="InstructionsText"/>
              <w:rPr>
                <w:rStyle w:val="FormatvorlageInstructionsTabelleText"/>
                <w:rFonts w:ascii="Times New Roman" w:hAnsi="Times New Roman"/>
                <w:sz w:val="24"/>
              </w:rPr>
            </w:pPr>
            <w:r>
              <w:lastRenderedPageBreak/>
              <w:t>Besiddelser af hybride kernekapitalinstrumenter i enheder i den finansielle sektor (som defineret i artikel 4, stk. 1, nr. 27), i forordning (EU) nr. 575/2013), når disse enheder har en besiddelse i krydsejerskab, som efter de kompetente myndigheders opfattelse er blevet indgået for kunstigt at øge instituttets kapitalgrundlag.</w:t>
            </w:r>
          </w:p>
          <w:p w14:paraId="3868707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beregnes på grundlag af lange bruttopositioner og omfatte hybride kernekapitalposter i forsikringsselskaber.</w:t>
            </w:r>
          </w:p>
        </w:tc>
      </w:tr>
      <w:tr w:rsidR="0022315F" w:rsidRPr="002A677E" w14:paraId="09AAF0BF" w14:textId="77777777" w:rsidTr="00D731E3">
        <w:tc>
          <w:tcPr>
            <w:tcW w:w="1129" w:type="dxa"/>
          </w:tcPr>
          <w:p w14:paraId="0F1D3B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0700</w:t>
            </w:r>
          </w:p>
        </w:tc>
        <w:tc>
          <w:tcPr>
            <w:tcW w:w="7620" w:type="dxa"/>
          </w:tcPr>
          <w:p w14:paraId="6F80B5A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Hybride kernekapitalinstrumenter i enheder i den finansielle sektor, hvori instituttet ikke har væsentlige investeringer</w:t>
            </w:r>
          </w:p>
          <w:p w14:paraId="37C6AAAE" w14:textId="5468B906" w:rsidR="0022315F" w:rsidRPr="002A677E" w:rsidRDefault="00BA5699" w:rsidP="00487A02">
            <w:pPr>
              <w:pStyle w:val="InstructionsText"/>
              <w:rPr>
                <w:rStyle w:val="FormatvorlageInstructionsTabelleText"/>
                <w:rFonts w:ascii="Times New Roman" w:hAnsi="Times New Roman"/>
                <w:sz w:val="24"/>
              </w:rPr>
            </w:pPr>
            <w:r>
              <w:t>Artikel 4, stk. 1, nr. 27), artikel 56, litra c), artikel 59, 60 og 79 i forordning (EU) nr. 575/2013</w:t>
            </w:r>
          </w:p>
          <w:p w14:paraId="5B8EA05D" w14:textId="7172A877" w:rsidR="0022315F" w:rsidRPr="002A677E" w:rsidRDefault="0022315F" w:rsidP="00487A02">
            <w:pPr>
              <w:pStyle w:val="InstructionsText"/>
              <w:rPr>
                <w:rStyle w:val="FormatvorlageInstructionsTabelleText"/>
                <w:rFonts w:ascii="Times New Roman" w:hAnsi="Times New Roman"/>
                <w:sz w:val="24"/>
              </w:rPr>
            </w:pPr>
            <w:r>
              <w:t>Instituttets besiddelser af instrumenter i enheder i den finansielle sektor (som defineret i artikel 4, stk. 1, nr. 27), i forordning (EU) nr. 575/2013), hvori instituttet ikke har væsentlige investeringer, der skal fratrækkes den hybride kernekapital.</w:t>
            </w:r>
          </w:p>
        </w:tc>
      </w:tr>
      <w:tr w:rsidR="0022315F" w:rsidRPr="002A677E" w14:paraId="1CDD721D" w14:textId="77777777" w:rsidTr="00D731E3">
        <w:tc>
          <w:tcPr>
            <w:tcW w:w="1129" w:type="dxa"/>
          </w:tcPr>
          <w:p w14:paraId="7DE284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7602671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Hybride kernekapitalinstrumenter i enheder i den finansielle sektor, hvori instituttet har væsentlige investeringer</w:t>
            </w:r>
          </w:p>
          <w:p w14:paraId="553A8EFD" w14:textId="3A44ADE8" w:rsidR="0022315F" w:rsidRPr="002A677E" w:rsidRDefault="00BA5699" w:rsidP="00487A02">
            <w:pPr>
              <w:pStyle w:val="InstructionsText"/>
              <w:rPr>
                <w:rStyle w:val="FormatvorlageInstructionsTabelleText"/>
                <w:rFonts w:ascii="Times New Roman" w:hAnsi="Times New Roman"/>
                <w:sz w:val="24"/>
              </w:rPr>
            </w:pPr>
            <w:r>
              <w:t>Artikel 4, stk. 1, nr. 27), artikel 56, litra d), artikel 59 79 i forordning (EU) nr. 575/2013</w:t>
            </w:r>
          </w:p>
          <w:p w14:paraId="428C5674" w14:textId="56B5E0A7" w:rsidR="0022315F" w:rsidRPr="002A677E" w:rsidRDefault="0022315F" w:rsidP="00487A02">
            <w:pPr>
              <w:pStyle w:val="InstructionsText"/>
              <w:rPr>
                <w:rStyle w:val="FormatvorlageInstructionsTabelleText"/>
                <w:rFonts w:ascii="Times New Roman" w:hAnsi="Times New Roman"/>
                <w:sz w:val="24"/>
              </w:rPr>
            </w:pPr>
            <w:r>
              <w:t>Instituttets besiddelser af hybride kapitalinstrumenter i enheder i den finansielle sektor (som defineret i artikel 4, stk. 1, nr. 27), i forordning (EU) nr. 575/2013), hvori instituttet har væsentlige investeringer, der skal fratrækkes.</w:t>
            </w:r>
          </w:p>
        </w:tc>
      </w:tr>
      <w:tr w:rsidR="0022315F" w:rsidRPr="002A677E" w14:paraId="2DA2C533" w14:textId="77777777" w:rsidTr="00D731E3">
        <w:tc>
          <w:tcPr>
            <w:tcW w:w="1129" w:type="dxa"/>
          </w:tcPr>
          <w:p w14:paraId="766F916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312B336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Overskud af fradrag i supplerende kapitalposter i forhold til den supplerende kapital </w:t>
            </w:r>
          </w:p>
          <w:p w14:paraId="6160D036" w14:textId="1B6E6B51" w:rsidR="0022315F" w:rsidRPr="002A677E" w:rsidRDefault="00BA5699" w:rsidP="00487A02">
            <w:pPr>
              <w:pStyle w:val="InstructionsText"/>
              <w:rPr>
                <w:rStyle w:val="FormatvorlageInstructionsTabelleText"/>
                <w:rFonts w:ascii="Times New Roman" w:hAnsi="Times New Roman"/>
                <w:sz w:val="24"/>
              </w:rPr>
            </w:pPr>
            <w:r>
              <w:t>Artikel 56, litra e), i forordning (EU) nr. 575/2013</w:t>
            </w:r>
          </w:p>
          <w:p w14:paraId="5A208BD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skal indberettes, hentes direkte fra CA1-posten "Overskud af fradrag i supplerende kapitalposter i forhold til den supplerende kapital (fratrækkes den hybride kernekapital)".</w:t>
            </w:r>
          </w:p>
        </w:tc>
      </w:tr>
      <w:tr w:rsidR="0022315F" w:rsidRPr="002A677E" w14:paraId="3441D1E2" w14:textId="77777777" w:rsidTr="00D731E3">
        <w:tc>
          <w:tcPr>
            <w:tcW w:w="1129" w:type="dxa"/>
          </w:tcPr>
          <w:p w14:paraId="5874118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77D1B711"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Andre overgangsjusteringer af den hybride kernekapital</w:t>
            </w:r>
          </w:p>
          <w:p w14:paraId="43690282" w14:textId="7617C8B5" w:rsidR="0022315F" w:rsidRPr="002A677E" w:rsidRDefault="0022315F" w:rsidP="00487A02">
            <w:pPr>
              <w:pStyle w:val="InstructionsText"/>
              <w:rPr>
                <w:rStyle w:val="FormatvorlageInstructionsTabelleText"/>
                <w:rFonts w:ascii="Times New Roman" w:hAnsi="Times New Roman"/>
                <w:sz w:val="24"/>
              </w:rPr>
            </w:pPr>
            <w:r>
              <w:t>Artikel 472, 473a, 474, 475, 478 og 481 i forordning (EU) nr. 575/2013</w:t>
            </w:r>
          </w:p>
          <w:p w14:paraId="2E920E7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som følge af overgangsbestemmelser. Det beløb, der indberettes, hentes direkte fra CA5.</w:t>
            </w:r>
          </w:p>
        </w:tc>
      </w:tr>
      <w:tr w:rsidR="0022315F" w:rsidRPr="002A677E" w14:paraId="15DAAB4F" w14:textId="77777777" w:rsidTr="00D731E3">
        <w:tc>
          <w:tcPr>
            <w:tcW w:w="1129" w:type="dxa"/>
          </w:tcPr>
          <w:p w14:paraId="5C1D9F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776D4D4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Overskud af fradrag i hybride kernekapitalposter i forhold til den hybride kernekapital (fratrækkes den egentlige kernekapital)</w:t>
            </w:r>
          </w:p>
          <w:p w14:paraId="373BB7A0" w14:textId="69CCC065" w:rsidR="0022315F" w:rsidRPr="002A677E" w:rsidRDefault="0022315F" w:rsidP="00487A02">
            <w:pPr>
              <w:pStyle w:val="InstructionsText"/>
              <w:rPr>
                <w:rStyle w:val="FormatvorlageInstructionsTabelleText"/>
                <w:rFonts w:ascii="Times New Roman" w:hAnsi="Times New Roman"/>
                <w:sz w:val="24"/>
              </w:rPr>
            </w:pPr>
            <w:r>
              <w:t>Artikel 36, stk. 1, litra j), i forordning (EU) nr. 575/2013</w:t>
            </w:r>
          </w:p>
          <w:p w14:paraId="09004C9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Hybrid kernekapital kan ikke være negativ, men fradrag i hybrid kernekapital kan overstige den hybride kernekapital plus den tilknyttede del af overkursen ved emission. Når det sker, skal den hybride kernekapital være lig med nul, og fradragene i hybride kernekapitalposter, der overstiger den hybride kernekapital, skal fratrækkes den egentlige kernekapital.</w:t>
            </w:r>
          </w:p>
          <w:p w14:paraId="6B862F8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Med denne post sikres det, at summen af post 1.1.2.1 til 1.1.2.12 aldrig er lavere end nul. Hvis der indberettes et positivt tal i denne post, skal post 1.1.1.16 være det modsatte af det pågældende tal.</w:t>
            </w:r>
          </w:p>
        </w:tc>
      </w:tr>
      <w:tr w:rsidR="0022315F" w:rsidRPr="002A677E" w14:paraId="480AC517" w14:textId="77777777" w:rsidTr="00D731E3">
        <w:tc>
          <w:tcPr>
            <w:tcW w:w="1129" w:type="dxa"/>
          </w:tcPr>
          <w:p w14:paraId="00EAB8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0744</w:t>
            </w:r>
          </w:p>
        </w:tc>
        <w:tc>
          <w:tcPr>
            <w:tcW w:w="7620" w:type="dxa"/>
          </w:tcPr>
          <w:p w14:paraId="47A21B6A" w14:textId="40EBB9F1"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Yderligere fradrag af hybrid kernekapital, jf. artikel 3 i forordning (EU) nr. 575/2013</w:t>
            </w:r>
          </w:p>
          <w:p w14:paraId="3102808F" w14:textId="2E4930F6" w:rsidR="0022315F" w:rsidRPr="002A677E" w:rsidRDefault="0022315F" w:rsidP="00487A02">
            <w:pPr>
              <w:pStyle w:val="InstructionsText"/>
              <w:rPr>
                <w:rStyle w:val="InstructionsTabelleberschrift"/>
                <w:rFonts w:ascii="Times New Roman" w:hAnsi="Times New Roman"/>
                <w:b w:val="0"/>
                <w:sz w:val="24"/>
                <w:u w:val="none"/>
              </w:rPr>
            </w:pPr>
            <w:r>
              <w:t>Artikel 3 i forordning (EU) nr. 575/2013</w:t>
            </w:r>
          </w:p>
        </w:tc>
      </w:tr>
      <w:tr w:rsidR="0022315F" w:rsidRPr="002A677E" w14:paraId="60F9DA61" w14:textId="77777777" w:rsidTr="00D731E3">
        <w:tc>
          <w:tcPr>
            <w:tcW w:w="1129" w:type="dxa"/>
          </w:tcPr>
          <w:p w14:paraId="6037E6B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5B9AA869"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Hybrid kernekapital — andre elementer eller fradrag</w:t>
            </w:r>
          </w:p>
          <w:p w14:paraId="573BAB3F"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Denne række er indsat for at sikre en vis fleksibilitet i forbindelse med indberetningen. Den skal kun undtagelsesvis udfyldes, hvis der ikke er truffet en endelig afgørelse om indberetningen af specifikke kapitalposter/-fradrag i det nuværende CA1-skema. Det betyder, at rækken kun skal udfyldes, hvis et element eller et fradrag i den hybride kernekapital ikke kan tildeles en af rækkerne 530 til 744. </w:t>
            </w:r>
          </w:p>
          <w:p w14:paraId="27256754" w14:textId="6DD8A654" w:rsidR="0022315F" w:rsidRPr="002A677E" w:rsidRDefault="0022315F" w:rsidP="00566DB5">
            <w:pPr>
              <w:pStyle w:val="InstructionsText"/>
              <w:rPr>
                <w:rStyle w:val="InstructionsTabelleberschrift"/>
                <w:rFonts w:ascii="Times New Roman" w:hAnsi="Times New Roman"/>
                <w:b w:val="0"/>
                <w:sz w:val="24"/>
                <w:u w:val="none"/>
              </w:rPr>
            </w:pPr>
            <w:r>
              <w:t>Denne række må ikke bruges til at medtage kapitalposter/-fradrag, som ikke er omfattet af forordning (EU) nr. 575/2013, i beregningen af soliditetsgraden (f.eks. nationale kapitalposter/-fradrag, som er uden for nævnte forordnings rammer).</w:t>
            </w:r>
          </w:p>
        </w:tc>
      </w:tr>
      <w:tr w:rsidR="0022315F" w:rsidRPr="002A677E" w14:paraId="1E471132" w14:textId="77777777" w:rsidTr="00D731E3">
        <w:tc>
          <w:tcPr>
            <w:tcW w:w="1129" w:type="dxa"/>
          </w:tcPr>
          <w:p w14:paraId="6C3BA56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474595B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SUPPLERENDE KAPITAL</w:t>
            </w:r>
          </w:p>
          <w:p w14:paraId="538E89BE" w14:textId="77E455EB" w:rsidR="0022315F" w:rsidRPr="002A677E" w:rsidRDefault="0022315F" w:rsidP="00487A02">
            <w:pPr>
              <w:pStyle w:val="InstructionsText"/>
              <w:rPr>
                <w:rStyle w:val="FormatvorlageInstructionsTabelleText"/>
                <w:rFonts w:ascii="Times New Roman" w:hAnsi="Times New Roman"/>
                <w:sz w:val="24"/>
              </w:rPr>
            </w:pPr>
            <w:r>
              <w:t>Artikel 71 i forordning (EU) nr. 575/2013</w:t>
            </w:r>
          </w:p>
        </w:tc>
      </w:tr>
      <w:tr w:rsidR="0022315F" w:rsidRPr="002A677E" w14:paraId="472DD548" w14:textId="77777777" w:rsidTr="00D731E3">
        <w:tc>
          <w:tcPr>
            <w:tcW w:w="1129" w:type="dxa"/>
          </w:tcPr>
          <w:p w14:paraId="276B767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60ACA21F" w14:textId="76CE27E2"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Kapitalinstrumenter og overkurs ved emission, der er kvalificeret som supplerende kernekapital</w:t>
            </w:r>
          </w:p>
          <w:p w14:paraId="59D478DE" w14:textId="61E70A28" w:rsidR="0022315F" w:rsidRPr="002A677E" w:rsidRDefault="0022315F" w:rsidP="00BA5699">
            <w:pPr>
              <w:pStyle w:val="InstructionsText"/>
              <w:rPr>
                <w:rStyle w:val="FormatvorlageInstructionsTabelleText"/>
                <w:rFonts w:ascii="Times New Roman" w:hAnsi="Times New Roman"/>
                <w:sz w:val="24"/>
              </w:rPr>
            </w:pPr>
            <w:r>
              <w:t>Artikel 62, litra a), artikel 63-65, artikel 66, litra a), og artikel 67 i forordning (EU) nr. 575/2013</w:t>
            </w:r>
          </w:p>
        </w:tc>
      </w:tr>
      <w:tr w:rsidR="0022315F" w:rsidRPr="002A677E" w14:paraId="48D0F570" w14:textId="77777777" w:rsidTr="00D731E3">
        <w:tc>
          <w:tcPr>
            <w:tcW w:w="1129" w:type="dxa"/>
          </w:tcPr>
          <w:p w14:paraId="445C15E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BC21F1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Fuldt indbetalte, direkte udstedte kapitalinstrumenter</w:t>
            </w:r>
          </w:p>
          <w:p w14:paraId="012F3762" w14:textId="00213B21" w:rsidR="0022315F" w:rsidRPr="002A677E" w:rsidRDefault="00BA5699" w:rsidP="00487A02">
            <w:pPr>
              <w:pStyle w:val="InstructionsText"/>
              <w:rPr>
                <w:rStyle w:val="FormatvorlageInstructionsTabelleText"/>
                <w:rFonts w:ascii="Times New Roman" w:hAnsi="Times New Roman"/>
                <w:sz w:val="24"/>
              </w:rPr>
            </w:pPr>
            <w:r>
              <w:t>Artikel 62, litra a), og artikel 63 og 65 i forordning (EU) nr. 575/2013</w:t>
            </w:r>
          </w:p>
          <w:p w14:paraId="0B6C5A69"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det indberettede beløb medregnes ikke overkurs ved emission i forbindelse med instrumenterne. </w:t>
            </w:r>
          </w:p>
          <w:p w14:paraId="56D51D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Kapitalinstrumenterne kan bestå af egenkapital eller passiver, herunder efterstillede lån, der opfylder anerkendelseskriterierne.</w:t>
            </w:r>
          </w:p>
        </w:tc>
      </w:tr>
      <w:tr w:rsidR="0022315F" w:rsidRPr="002A677E" w14:paraId="4F09D0C4" w14:textId="77777777" w:rsidTr="00D731E3">
        <w:tc>
          <w:tcPr>
            <w:tcW w:w="1129" w:type="dxa"/>
          </w:tcPr>
          <w:p w14:paraId="1364942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1494FE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Memorandumpost: Ikkekvalificerede kapitalinstrumenter</w:t>
            </w:r>
          </w:p>
          <w:p w14:paraId="32E9D149" w14:textId="795C516C" w:rsidR="0022315F" w:rsidRPr="002A677E" w:rsidRDefault="0022315F" w:rsidP="00487A02">
            <w:pPr>
              <w:pStyle w:val="InstructionsText"/>
              <w:rPr>
                <w:rStyle w:val="FormatvorlageInstructionsTabelleText"/>
                <w:rFonts w:ascii="Times New Roman" w:hAnsi="Times New Roman"/>
                <w:sz w:val="24"/>
              </w:rPr>
            </w:pPr>
            <w:r>
              <w:t>Artikel 63, litra c), e) og f), og artikel 64 i forordning (EU) nr. 575/2013</w:t>
            </w:r>
          </w:p>
          <w:p w14:paraId="4F0EABA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Disse bestemmelser afspejler forskellige situationer vedrørende kapitalen, som er reversible, hvilket betyder, at det indberettede beløb kan være kvalificeret i efterfølgende perioder.</w:t>
            </w:r>
          </w:p>
          <w:p w14:paraId="00DCAA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det indberettede beløb medregnes ikke overkurs ved emission i forbindelse med instrumenterne.</w:t>
            </w:r>
          </w:p>
          <w:p w14:paraId="2C7CE92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Kapitalinstrumenterne kan bestå af egenkapital eller passiver, herunder efterstillede lån.</w:t>
            </w:r>
          </w:p>
        </w:tc>
      </w:tr>
      <w:tr w:rsidR="0022315F" w:rsidRPr="002A677E" w14:paraId="79D16C54" w14:textId="77777777" w:rsidTr="00D731E3">
        <w:tc>
          <w:tcPr>
            <w:tcW w:w="1129" w:type="dxa"/>
          </w:tcPr>
          <w:p w14:paraId="469AD2B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C93BBF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Overkurs ved emission</w:t>
            </w:r>
          </w:p>
          <w:p w14:paraId="0A9E864A" w14:textId="7663E6B3" w:rsidR="0022315F" w:rsidRPr="002A677E" w:rsidRDefault="00BA5699" w:rsidP="00487A02">
            <w:pPr>
              <w:pStyle w:val="InstructionsText"/>
              <w:rPr>
                <w:rStyle w:val="FormatvorlageInstructionsTabelleText"/>
                <w:rFonts w:ascii="Times New Roman" w:hAnsi="Times New Roman"/>
                <w:sz w:val="24"/>
              </w:rPr>
            </w:pPr>
            <w:r>
              <w:t>Artikel 62, litra b), og artikel 65 i forordning (EU) nr. 575/2013</w:t>
            </w:r>
          </w:p>
          <w:p w14:paraId="7E92880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Overkurs ved emission har samme betydning som i den gældende regnskabsstandard. </w:t>
            </w:r>
          </w:p>
          <w:p w14:paraId="5678F81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indberettes i denne post, skal være den andel, der vedrører de "fuldt indbetalte og direkte udstedte kapitalinstrumenter".</w:t>
            </w:r>
          </w:p>
        </w:tc>
      </w:tr>
      <w:tr w:rsidR="0022315F" w:rsidRPr="002A677E" w14:paraId="616E4FDE" w14:textId="77777777" w:rsidTr="00D731E3">
        <w:tc>
          <w:tcPr>
            <w:tcW w:w="1129" w:type="dxa"/>
          </w:tcPr>
          <w:p w14:paraId="7235CFA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0800</w:t>
            </w:r>
          </w:p>
        </w:tc>
        <w:tc>
          <w:tcPr>
            <w:tcW w:w="7620" w:type="dxa"/>
          </w:tcPr>
          <w:p w14:paraId="156BD3F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Egne supplerende kapitalinstrumenter</w:t>
            </w:r>
          </w:p>
          <w:p w14:paraId="64AFA1A4" w14:textId="52EB8C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Artikel 63, litra b), nr. i), artikel 66, litra a), og artikel 67 i forordning (EU) nr. 575/2013</w:t>
            </w:r>
          </w:p>
          <w:p w14:paraId="40D8F488" w14:textId="318B757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Egne supplerende kernekapitalinstrumenter, som det indberettende institut eller den indberettende koncern besidder på indberetningsdatoen, og de beløb for supplerende kernekapitalinstrumenter, der skal fratrækkes i henhold til artikel 28, stk. 2, i delegeret forordning (EU) nr. 241/2014. </w:t>
            </w:r>
            <w:r>
              <w:t>Med forbehold af undtagelser omhandlet i artikel 67 i forordning (EU) nr. 575/2013.</w:t>
            </w:r>
          </w:p>
          <w:p w14:paraId="5E29EB1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Besiddelser af aktier, der er anført som "Ikkekvalificerede kapitalinstrumenter", indberettes ikke i denne række.</w:t>
            </w:r>
          </w:p>
          <w:p w14:paraId="092C71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indbefatte overkurs ved emission i forbindelse med egne aktier.</w:t>
            </w:r>
          </w:p>
          <w:p w14:paraId="08FCB31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 1.2.1.4-1.2.1.4.3 omfatter ikke faktiske forpligtelser eller eventualforpligtelser til at købe egne hybride kernekapitalinstrumenter. Faktiske forpligtelser eller eventualforpligtelser til at købe egne supplerende kapitalinstrumenter indberettes særskilt i post 1.2.1.5.</w:t>
            </w:r>
          </w:p>
        </w:tc>
      </w:tr>
      <w:tr w:rsidR="0022315F" w:rsidRPr="002A677E" w14:paraId="41FA271A" w14:textId="77777777" w:rsidTr="00D731E3">
        <w:tc>
          <w:tcPr>
            <w:tcW w:w="1129" w:type="dxa"/>
          </w:tcPr>
          <w:p w14:paraId="5FFAD6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14:paraId="3501318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Direkte besiddelser af supplerende kapitalinstrumenter</w:t>
            </w:r>
          </w:p>
          <w:p w14:paraId="09D69DCE" w14:textId="781E6736" w:rsidR="0022315F" w:rsidRPr="002A677E" w:rsidRDefault="00BA5699" w:rsidP="00487A02">
            <w:pPr>
              <w:pStyle w:val="InstructionsText"/>
              <w:rPr>
                <w:rStyle w:val="FormatvorlageInstructionsTabelleText"/>
                <w:rFonts w:ascii="Times New Roman" w:hAnsi="Times New Roman"/>
                <w:sz w:val="24"/>
              </w:rPr>
            </w:pPr>
            <w:r>
              <w:t>Artikel 63, litra b), artikel 66, litra a), og artikel 67 i forordning (EU) nr. 575/2013</w:t>
            </w:r>
          </w:p>
          <w:p w14:paraId="0970A86E" w14:textId="6201D02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Supplerende kernekapitalinstrumenter, der er medtaget i 1.2.1.1, og som institutter i den konsoliderede koncern besidder, og de beløb for supplerende kernekapitalinstrumenter, der skal fratrækkes i henhold til artikel 28, stk. 2, i delegeret forordning (EU) nr. 241/2014. </w:t>
            </w:r>
          </w:p>
        </w:tc>
      </w:tr>
      <w:tr w:rsidR="0022315F" w:rsidRPr="002A677E" w14:paraId="2AF23AB3" w14:textId="77777777" w:rsidTr="00D731E3">
        <w:tc>
          <w:tcPr>
            <w:tcW w:w="1129" w:type="dxa"/>
          </w:tcPr>
          <w:p w14:paraId="34BAF1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02D197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Indirekte besiddelser af supplerende kapitalinstrumenter</w:t>
            </w:r>
          </w:p>
          <w:p w14:paraId="3DB38496" w14:textId="6F765809"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Artikel 4, stk. 1, nr. 114), artikel 63, litra b), artikel 66, litra a), og artikel 67 i forordning (EU) nr. 575/2013</w:t>
            </w:r>
          </w:p>
        </w:tc>
      </w:tr>
      <w:tr w:rsidR="0022315F" w:rsidRPr="002A677E" w14:paraId="1686A030" w14:textId="77777777" w:rsidTr="00D731E3">
        <w:tc>
          <w:tcPr>
            <w:tcW w:w="1129" w:type="dxa"/>
          </w:tcPr>
          <w:p w14:paraId="29C2A5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2B4448C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Syntetiske besiddelser af supplerende kapitalinstrumenter</w:t>
            </w:r>
          </w:p>
          <w:p w14:paraId="75AA04CA" w14:textId="6F6E2EFB" w:rsidR="0022315F" w:rsidRPr="002A677E" w:rsidRDefault="0022315F" w:rsidP="00BA5699">
            <w:pPr>
              <w:pStyle w:val="InstructionsText"/>
              <w:rPr>
                <w:rStyle w:val="InstructionsTabelleberschrift"/>
                <w:rFonts w:ascii="Times New Roman" w:hAnsi="Times New Roman"/>
                <w:b w:val="0"/>
                <w:sz w:val="24"/>
                <w:u w:val="none"/>
              </w:rPr>
            </w:pPr>
            <w:r>
              <w:t>Artikel 4, stk. 1, nr. 126), artikel 63, litra b), artikel 66, litra a), og artikel 67 i forordning (EU) nr. 575/2013</w:t>
            </w:r>
          </w:p>
        </w:tc>
      </w:tr>
      <w:tr w:rsidR="0022315F" w:rsidRPr="002A677E" w14:paraId="02E95398" w14:textId="77777777" w:rsidTr="00D731E3">
        <w:tc>
          <w:tcPr>
            <w:tcW w:w="1129" w:type="dxa"/>
          </w:tcPr>
          <w:p w14:paraId="45BC0D0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5A4BC8B6" w14:textId="77777777" w:rsidR="0022315F" w:rsidRPr="002A677E"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Faktiske forpligtelser eller eventualforpligtelser til at købe egne supplerende kapitalinstrumenter</w:t>
            </w:r>
          </w:p>
          <w:p w14:paraId="285FD6CB" w14:textId="4D0FBD07" w:rsidR="0022315F" w:rsidRPr="002A677E" w:rsidRDefault="00BA5699" w:rsidP="00487A02">
            <w:pPr>
              <w:pStyle w:val="InstructionsText"/>
              <w:rPr>
                <w:rStyle w:val="FormatvorlageInstructionsTabelleText"/>
                <w:rFonts w:ascii="Times New Roman" w:hAnsi="Times New Roman"/>
                <w:sz w:val="24"/>
              </w:rPr>
            </w:pPr>
            <w:r>
              <w:t>Artikel 66, litra a), og artikel 67 i forordning (EU) nr. 575/2013</w:t>
            </w:r>
          </w:p>
          <w:p w14:paraId="7FBFFA11" w14:textId="4CD853AB" w:rsidR="0022315F" w:rsidRPr="002A677E" w:rsidRDefault="0022315F" w:rsidP="00487A02">
            <w:pPr>
              <w:pStyle w:val="InstructionsText"/>
              <w:rPr>
                <w:rStyle w:val="InstructionsTabelleberschrift"/>
                <w:rFonts w:ascii="Times New Roman" w:hAnsi="Times New Roman"/>
                <w:b w:val="0"/>
                <w:bCs w:val="0"/>
                <w:sz w:val="24"/>
                <w:u w:val="none"/>
              </w:rPr>
            </w:pPr>
            <w:r>
              <w:t>I henhold til artikel 66, litra a), i forordning (EU) nr. 575/2013 skal et instituts egne supplerende kernekapitalinstrumenter, som det kan være forpligtet til at købe i medfør af eksisterende kontraktlige forpligtelser, trækkes fra.</w:t>
            </w:r>
          </w:p>
        </w:tc>
      </w:tr>
      <w:tr w:rsidR="0022315F" w:rsidRPr="002A677E" w14:paraId="4331C215" w14:textId="77777777" w:rsidTr="00D731E3">
        <w:tc>
          <w:tcPr>
            <w:tcW w:w="1129" w:type="dxa"/>
          </w:tcPr>
          <w:p w14:paraId="4C38939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0880</w:t>
            </w:r>
          </w:p>
        </w:tc>
        <w:tc>
          <w:tcPr>
            <w:tcW w:w="7620" w:type="dxa"/>
          </w:tcPr>
          <w:p w14:paraId="318393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Overgangsjusteringer som følge af kapitalinstrumenter, der udgør supplerende kernekapital i henhold til overgangsbestemmelser </w:t>
            </w:r>
          </w:p>
          <w:p w14:paraId="1FC43F31" w14:textId="19801581" w:rsidR="0022315F" w:rsidRPr="002A677E" w:rsidRDefault="0022315F" w:rsidP="00487A02">
            <w:pPr>
              <w:pStyle w:val="InstructionsText"/>
              <w:rPr>
                <w:rStyle w:val="FormatvorlageInstructionsTabelleText"/>
                <w:rFonts w:ascii="Times New Roman" w:hAnsi="Times New Roman"/>
                <w:sz w:val="24"/>
              </w:rPr>
            </w:pPr>
            <w:r>
              <w:t>Artikel 483, stk. 6 og 7, og artikel 484, 486, 488, 490 og 491 i forordning (EU) nr. 575/2013</w:t>
            </w:r>
          </w:p>
          <w:p w14:paraId="46B9064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Værdi af kapitalinstrumenter, der udgør supplerende kapital i henhold til overgangsbestemmelser. Det beløb, der indberettes, hentes direkte fra CA5.</w:t>
            </w:r>
          </w:p>
        </w:tc>
      </w:tr>
      <w:tr w:rsidR="0022315F" w:rsidRPr="002A677E" w14:paraId="0EBBC9A0" w14:textId="77777777" w:rsidTr="00D731E3">
        <w:tc>
          <w:tcPr>
            <w:tcW w:w="1129" w:type="dxa"/>
          </w:tcPr>
          <w:p w14:paraId="66EF6AA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09DA9B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Instrumenter udstedt af datterselskaber, der indgår i den supplerende kapital</w:t>
            </w:r>
          </w:p>
          <w:p w14:paraId="229A9DBE" w14:textId="61C5A9C9" w:rsidR="0022315F" w:rsidRPr="002A677E" w:rsidRDefault="0022315F" w:rsidP="00487A02">
            <w:pPr>
              <w:pStyle w:val="InstructionsText"/>
              <w:rPr>
                <w:rStyle w:val="FormatvorlageInstructionsTabelleText"/>
                <w:rFonts w:ascii="Times New Roman" w:hAnsi="Times New Roman"/>
                <w:sz w:val="24"/>
              </w:rPr>
            </w:pPr>
            <w:r>
              <w:t>Artikel 83, 87 og 88 i forordning (EU) nr. 575/2013</w:t>
            </w:r>
          </w:p>
          <w:p w14:paraId="20A252C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Summen af alle datterselskabers kvalificerende kapitalgrundlag, der indgår i den konsoliderede supplerende kapital.</w:t>
            </w:r>
          </w:p>
          <w:p w14:paraId="0E4F2E9C" w14:textId="770F7F80" w:rsidR="0022315F" w:rsidRPr="002A677E" w:rsidRDefault="0022315F" w:rsidP="00487A02">
            <w:pPr>
              <w:pStyle w:val="InstructionsText"/>
              <w:rPr>
                <w:rStyle w:val="FormatvorlageInstructionsTabelleText"/>
                <w:rFonts w:ascii="Times New Roman" w:hAnsi="Times New Roman"/>
                <w:sz w:val="24"/>
              </w:rPr>
            </w:pPr>
            <w:r>
              <w:t>Kvalificerende supplerende kernekapital udstedt af en enhed med særligt formål (SPE) (artikel 83 i forordning (EU) nr. 575/2013) medregnes.</w:t>
            </w:r>
          </w:p>
        </w:tc>
      </w:tr>
      <w:tr w:rsidR="0022315F" w:rsidRPr="002A677E" w14:paraId="7AB22DD6" w14:textId="77777777" w:rsidTr="00D731E3">
        <w:tc>
          <w:tcPr>
            <w:tcW w:w="1129" w:type="dxa"/>
          </w:tcPr>
          <w:p w14:paraId="5532C66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17F16D7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Overgangsjusteringer som følge af yderligere indregning af kapitalinstrumenter udstedt af datterselskaber i den supplerende kapital</w:t>
            </w:r>
          </w:p>
          <w:p w14:paraId="2401ACED" w14:textId="289B3887" w:rsidR="0022315F" w:rsidRPr="002A677E" w:rsidRDefault="0022315F" w:rsidP="00487A02">
            <w:pPr>
              <w:pStyle w:val="InstructionsText"/>
              <w:rPr>
                <w:rStyle w:val="FormatvorlageInstructionsTabelleText"/>
                <w:rFonts w:ascii="Times New Roman" w:hAnsi="Times New Roman"/>
                <w:sz w:val="24"/>
              </w:rPr>
            </w:pPr>
            <w:r>
              <w:t>Artikel 480 i forordning (EU) nr. 575/2013</w:t>
            </w:r>
          </w:p>
          <w:p w14:paraId="6F53BE2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af det kvalificerende kapitalgrundlag indregnet i den konsoliderede supplerende kapital som følge af overgangsbestemmelser. Denne post hentes direkte fra CA5.</w:t>
            </w:r>
          </w:p>
        </w:tc>
      </w:tr>
      <w:tr w:rsidR="0022315F" w:rsidRPr="002A677E" w14:paraId="50A0FEF3" w14:textId="77777777" w:rsidTr="00D731E3">
        <w:tc>
          <w:tcPr>
            <w:tcW w:w="1129" w:type="dxa"/>
          </w:tcPr>
          <w:p w14:paraId="209564F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1E4EA20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Overskud af hensættelser i forhold til kvalificerede forventede tab i henhold til IRB-metoden</w:t>
            </w:r>
          </w:p>
          <w:p w14:paraId="49A9F780" w14:textId="29A481A4" w:rsidR="0022315F" w:rsidRPr="002A677E" w:rsidRDefault="0022315F" w:rsidP="00487A02">
            <w:pPr>
              <w:pStyle w:val="InstructionsText"/>
              <w:rPr>
                <w:rStyle w:val="FormatvorlageInstructionsTabelleText"/>
                <w:rFonts w:ascii="Times New Roman" w:hAnsi="Times New Roman"/>
                <w:sz w:val="24"/>
              </w:rPr>
            </w:pPr>
            <w:r>
              <w:t>Artikel 62, litra d), i forordning (EU) nr. 575/2013</w:t>
            </w:r>
          </w:p>
          <w:p w14:paraId="1888BC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For institutter, der beregner risikovægtede eksponeringer ved hjælp af IRB-metoden, indeholder denne post de positive beløb, der fås ved at sammenligne hensættelserne og de forventede tab, der er kvalificeret som supplerende kapital.</w:t>
            </w:r>
          </w:p>
        </w:tc>
      </w:tr>
      <w:tr w:rsidR="0022315F" w:rsidRPr="002A677E" w14:paraId="62291C79" w14:textId="77777777" w:rsidTr="00D731E3">
        <w:tc>
          <w:tcPr>
            <w:tcW w:w="1129" w:type="dxa"/>
          </w:tcPr>
          <w:p w14:paraId="4B619DE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7AF3506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Generelle kreditrisikojusteringer i henhold til standardmetoden</w:t>
            </w:r>
          </w:p>
          <w:p w14:paraId="63615790" w14:textId="1D06D8BD" w:rsidR="0022315F" w:rsidRPr="002A677E" w:rsidRDefault="002A67C8" w:rsidP="00487A02">
            <w:pPr>
              <w:pStyle w:val="InstructionsText"/>
              <w:rPr>
                <w:rStyle w:val="FormatvorlageInstructionsTabelleText"/>
                <w:rFonts w:ascii="Times New Roman" w:hAnsi="Times New Roman"/>
                <w:sz w:val="24"/>
              </w:rPr>
            </w:pPr>
            <w:r>
              <w:t>Artikel 62, litra c), i forordning (EU) nr. 575/2013</w:t>
            </w:r>
          </w:p>
          <w:p w14:paraId="286913C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For institutter, der beregner risikovægtede eksponeringer ved hjælp af standardmetoden, indeholder denne post de generelle kreditrisikojusteringer, der er kvalificeret som supplerende kapital.</w:t>
            </w:r>
          </w:p>
        </w:tc>
      </w:tr>
      <w:tr w:rsidR="0022315F" w:rsidRPr="002A677E" w14:paraId="0992E1B0" w14:textId="77777777" w:rsidTr="00D731E3">
        <w:tc>
          <w:tcPr>
            <w:tcW w:w="1129" w:type="dxa"/>
          </w:tcPr>
          <w:p w14:paraId="5E3643F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62DA5E2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Krydsejerskab af supplerende kapital</w:t>
            </w:r>
          </w:p>
          <w:p w14:paraId="6E5AEEEF" w14:textId="29F3C8F4" w:rsidR="0022315F" w:rsidRPr="002A677E" w:rsidRDefault="0022315F" w:rsidP="00487A02">
            <w:pPr>
              <w:pStyle w:val="InstructionsText"/>
              <w:rPr>
                <w:rStyle w:val="FormatvorlageInstructionsTabelleText"/>
                <w:rFonts w:ascii="Times New Roman" w:hAnsi="Times New Roman"/>
                <w:sz w:val="24"/>
              </w:rPr>
            </w:pPr>
            <w:r>
              <w:t>Artikel 4, stk. 1, nr. 122), artikel 66, litra b), og artikel 68 i forordning (EU) nr. 575/2013</w:t>
            </w:r>
          </w:p>
          <w:p w14:paraId="318D2ED3" w14:textId="1A785796" w:rsidR="0022315F" w:rsidRPr="002A677E" w:rsidRDefault="0022315F" w:rsidP="00487A02">
            <w:pPr>
              <w:pStyle w:val="InstructionsText"/>
              <w:rPr>
                <w:rStyle w:val="FormatvorlageInstructionsTabelleText"/>
                <w:rFonts w:ascii="Times New Roman" w:hAnsi="Times New Roman"/>
                <w:sz w:val="24"/>
              </w:rPr>
            </w:pPr>
            <w:r>
              <w:t>Besiddelser af supplerende kernekapitalinstrumenter i enheder i den finansielle sektor (som defineret i artikel 4, stk. 1, nr. 27), i forordning (EU) nr. 575/2013), når disse enheder har en besiddelse i krydsejerskab, som efter de kompetente myndigheders opfattelse er blevet indgået for kunstigt at øge instituttets kapitalgrundlag.</w:t>
            </w:r>
          </w:p>
          <w:p w14:paraId="104A32FE"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Det indberettede beløb skal beregnes på grundlag af lange bruttopositioner og omfatte supplerende kapitalposter og resterende supplerende kapitalposter i forsikringsselskaber.</w:t>
            </w:r>
          </w:p>
        </w:tc>
      </w:tr>
      <w:tr w:rsidR="0022315F" w:rsidRPr="002A677E" w14:paraId="712AFBD1" w14:textId="77777777" w:rsidTr="00D731E3">
        <w:tc>
          <w:tcPr>
            <w:tcW w:w="1129" w:type="dxa"/>
          </w:tcPr>
          <w:p w14:paraId="62E8E53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0940</w:t>
            </w:r>
          </w:p>
        </w:tc>
        <w:tc>
          <w:tcPr>
            <w:tcW w:w="7620" w:type="dxa"/>
          </w:tcPr>
          <w:p w14:paraId="1BAF60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Supplerende kapitalinstrumenter i enheder i den finansielle sektor, hvori instituttet ikke har væsentlige investeringer</w:t>
            </w:r>
          </w:p>
          <w:p w14:paraId="320B6FB5" w14:textId="2385F565" w:rsidR="0022315F" w:rsidRPr="002A677E" w:rsidRDefault="002A67C8" w:rsidP="00487A02">
            <w:pPr>
              <w:pStyle w:val="InstructionsText"/>
              <w:rPr>
                <w:rStyle w:val="FormatvorlageInstructionsTabelleText"/>
                <w:rFonts w:ascii="Times New Roman" w:hAnsi="Times New Roman"/>
                <w:sz w:val="24"/>
              </w:rPr>
            </w:pPr>
            <w:r>
              <w:t>Artikel 4, stk. 1, nr. 27), artikel 66, litra c), artikel 68-70 og artikel 79 i forordning (EU) nr. 575/2013</w:t>
            </w:r>
          </w:p>
          <w:p w14:paraId="7BC93609" w14:textId="3D949345" w:rsidR="0022315F" w:rsidRPr="002A677E" w:rsidRDefault="0022315F" w:rsidP="00487A02">
            <w:pPr>
              <w:pStyle w:val="InstructionsText"/>
              <w:rPr>
                <w:rStyle w:val="FormatvorlageInstructionsTabelleText"/>
                <w:rFonts w:ascii="Times New Roman" w:hAnsi="Times New Roman"/>
                <w:sz w:val="24"/>
              </w:rPr>
            </w:pPr>
            <w:r>
              <w:t>Instituttets besiddelser af instrumenter i enheder i den finansielle sektor (som defineret i artikel 4, stk. 1, nr. 27), i forordning (EU) nr. 575/2013), hvori instituttet ikke har væsentlige investeringer, der skal fratrækkes den supplerende kernekapital.</w:t>
            </w:r>
          </w:p>
        </w:tc>
      </w:tr>
      <w:tr w:rsidR="0022315F" w:rsidRPr="002A677E" w14:paraId="0E363C3F" w14:textId="77777777" w:rsidTr="00D731E3">
        <w:tc>
          <w:tcPr>
            <w:tcW w:w="1129" w:type="dxa"/>
          </w:tcPr>
          <w:p w14:paraId="190B673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65830D7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Supplerende kapitalinstrumenter i enheder i den finansielle sektor, hvori instituttet har væsentlige investeringer</w:t>
            </w:r>
          </w:p>
          <w:p w14:paraId="6FA90E7C" w14:textId="40B7853E" w:rsidR="0022315F" w:rsidRPr="002A677E" w:rsidRDefault="002A67C8" w:rsidP="00487A02">
            <w:pPr>
              <w:pStyle w:val="InstructionsText"/>
              <w:rPr>
                <w:rStyle w:val="FormatvorlageInstructionsTabelleText"/>
                <w:rFonts w:ascii="Times New Roman" w:hAnsi="Times New Roman"/>
                <w:sz w:val="24"/>
              </w:rPr>
            </w:pPr>
            <w:r>
              <w:t>Artikel 4, stk. 1, nr. 27), artikel 66, litra d), artikel 68, artikel 69 og artikel 79 i forordning (EU) nr. 575/2013</w:t>
            </w:r>
          </w:p>
          <w:p w14:paraId="439D8CFA" w14:textId="07E28C98" w:rsidR="0022315F" w:rsidRPr="002A677E" w:rsidRDefault="0022315F" w:rsidP="00487A02">
            <w:pPr>
              <w:pStyle w:val="InstructionsText"/>
              <w:rPr>
                <w:rStyle w:val="FormatvorlageInstructionsTabelleText"/>
                <w:rFonts w:ascii="Times New Roman" w:hAnsi="Times New Roman"/>
                <w:sz w:val="24"/>
              </w:rPr>
            </w:pPr>
            <w:r>
              <w:t>Instituttets besiddelser af supplerende kapitalinstrumenter i enheder i den finansielle sektor (som defineret i artikel 4, stk. 1, nr. 27), i forordning (EU) nr. 575/2013), hvori instituttet har væsentlige investeringer, der skal fratrækkes.</w:t>
            </w:r>
          </w:p>
        </w:tc>
      </w:tr>
      <w:tr w:rsidR="0022315F" w:rsidRPr="002A677E" w14:paraId="2AD5C06C" w14:textId="77777777" w:rsidTr="00D731E3">
        <w:tc>
          <w:tcPr>
            <w:tcW w:w="1129" w:type="dxa"/>
          </w:tcPr>
          <w:p w14:paraId="51B2062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35A36BD3"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Fradrag i nedskrivningsrelevante passiver, som overstiger nedskrivningsrelevante passiver</w:t>
            </w:r>
          </w:p>
          <w:p w14:paraId="596C4D13" w14:textId="309FACCC" w:rsidR="0022315F" w:rsidRPr="002A677E" w:rsidRDefault="0022315F" w:rsidP="00487A02">
            <w:pPr>
              <w:pStyle w:val="InstructionsText"/>
              <w:rPr>
                <w:rStyle w:val="InstructionsTabelleberschrift"/>
                <w:rFonts w:ascii="Times New Roman" w:hAnsi="Times New Roman"/>
                <w:sz w:val="24"/>
              </w:rPr>
            </w:pPr>
            <w:r>
              <w:t>Artikel 66, litra e), i forordning (EU) nr. 575/2013</w:t>
            </w:r>
          </w:p>
        </w:tc>
      </w:tr>
      <w:tr w:rsidR="0022315F" w:rsidRPr="002A677E" w14:paraId="76AF9E14" w14:textId="77777777" w:rsidTr="00D731E3">
        <w:tc>
          <w:tcPr>
            <w:tcW w:w="1129" w:type="dxa"/>
          </w:tcPr>
          <w:p w14:paraId="6543C60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740FD4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Andre overgangsjusteringer af den supplerende kapital</w:t>
            </w:r>
          </w:p>
          <w:p w14:paraId="1E667E47" w14:textId="78B4CFAB" w:rsidR="0022315F" w:rsidRPr="002A677E" w:rsidRDefault="0022315F" w:rsidP="00487A02">
            <w:pPr>
              <w:pStyle w:val="InstructionsText"/>
              <w:rPr>
                <w:rStyle w:val="FormatvorlageInstructionsTabelleText"/>
                <w:rFonts w:ascii="Times New Roman" w:hAnsi="Times New Roman"/>
                <w:sz w:val="24"/>
              </w:rPr>
            </w:pPr>
            <w:r>
              <w:t>Artikel 472, 473a, 476, 477, 478 og 481 i forordning (EU) nr. 575/2013</w:t>
            </w:r>
          </w:p>
          <w:p w14:paraId="5D0728A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som følge af overgangsbestemmelser. Det beløb, der indberettes, hentes direkte fra CA5.</w:t>
            </w:r>
          </w:p>
        </w:tc>
      </w:tr>
      <w:tr w:rsidR="0022315F" w:rsidRPr="002A677E" w14:paraId="74FD62BE" w14:textId="77777777" w:rsidTr="00D731E3">
        <w:tc>
          <w:tcPr>
            <w:tcW w:w="1129" w:type="dxa"/>
          </w:tcPr>
          <w:p w14:paraId="4A5058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075D54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Overskud af fradrag i supplerende kapitalposter i forhold til den supplerende kapital (fratrækkes den hybride kernekapital)</w:t>
            </w:r>
          </w:p>
          <w:p w14:paraId="228CB6FD" w14:textId="3D8B7D0C" w:rsidR="0022315F" w:rsidRPr="002A677E" w:rsidRDefault="0022315F" w:rsidP="00487A02">
            <w:pPr>
              <w:pStyle w:val="InstructionsText"/>
              <w:rPr>
                <w:rStyle w:val="FormatvorlageInstructionsTabelleText"/>
                <w:rFonts w:ascii="Times New Roman" w:hAnsi="Times New Roman"/>
                <w:sz w:val="24"/>
              </w:rPr>
            </w:pPr>
            <w:r>
              <w:t>Artikel 56, litra e), i forordning (EU) nr. 575/2013</w:t>
            </w:r>
          </w:p>
          <w:p w14:paraId="0B54DD8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Supplerende kapital kan ikke være negativ, men fradrag i supplerende kapital kan overstige den supplerende kapital plus den tilknyttede del af overkursen ved emission. Når det sker, skal den supplerende kapital være lig med nul, og overskuddet af fradrag i supplerende kapitalposter, skal fratrækkes den hybride kernekapital.</w:t>
            </w:r>
          </w:p>
          <w:p w14:paraId="51C45BA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Med denne post sikres det, at summen af post 1.2.1 til 1.2.13 aldrig er lavere end nul. Hvis der indberettes et positivt tal i denne post, skal post 1.1.2.8 være det modsatte af det pågældende tal.</w:t>
            </w:r>
          </w:p>
        </w:tc>
      </w:tr>
      <w:tr w:rsidR="0022315F" w:rsidRPr="002A677E" w14:paraId="1ABF0B59" w14:textId="77777777" w:rsidTr="00D731E3">
        <w:tc>
          <w:tcPr>
            <w:tcW w:w="1129" w:type="dxa"/>
          </w:tcPr>
          <w:p w14:paraId="37C218FF" w14:textId="77777777" w:rsidR="0022315F" w:rsidRPr="001235ED"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2C45BFC9" w14:textId="5E337B8A"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Yderligere fradrag af supplerende kernekapital, jf. artikel 3 i forordning (EU) nr. 575/2013</w:t>
            </w:r>
          </w:p>
          <w:p w14:paraId="0ADB50FF" w14:textId="781745F4" w:rsidR="0022315F" w:rsidRPr="002A677E" w:rsidRDefault="0022315F" w:rsidP="00487A02">
            <w:pPr>
              <w:pStyle w:val="InstructionsText"/>
              <w:rPr>
                <w:rStyle w:val="InstructionsTabelleberschrift"/>
                <w:rFonts w:ascii="Times New Roman" w:hAnsi="Times New Roman"/>
                <w:b w:val="0"/>
                <w:sz w:val="24"/>
                <w:u w:val="none"/>
              </w:rPr>
            </w:pPr>
            <w:r>
              <w:t>Artikel 3 i forordning (EU) nr. 575/2013</w:t>
            </w:r>
          </w:p>
        </w:tc>
      </w:tr>
      <w:tr w:rsidR="0022315F" w:rsidRPr="002A677E" w14:paraId="486CEA55" w14:textId="77777777" w:rsidTr="00D731E3">
        <w:tc>
          <w:tcPr>
            <w:tcW w:w="1129" w:type="dxa"/>
          </w:tcPr>
          <w:p w14:paraId="2E231E7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14547980"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Supplerende kapital — andre elementer eller fradrag </w:t>
            </w:r>
          </w:p>
          <w:p w14:paraId="07C5D4CE"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Denne række sikrer en vis fleksibilitet i forbindelse med indberetningen. Den skal kun undtagelsesvis udfyldes, hvis der ikke er truffet en endelig afgørelse om indberetningen af specifikke kapitalposter/-fradrag i det nuværende CA1-skema. Det betyder, at rækken kun skal udfyldes, hvis et element eller et fradrag i den supplerende kapital ikke kan tildeles en af rækkerne 750 til 974. </w:t>
            </w:r>
          </w:p>
          <w:p w14:paraId="4B81AA3E" w14:textId="78141BD8" w:rsidR="0022315F" w:rsidRPr="002A677E" w:rsidRDefault="0022315F" w:rsidP="00566DB5">
            <w:pPr>
              <w:pStyle w:val="InstructionsText"/>
              <w:rPr>
                <w:rStyle w:val="InstructionsTabelleberschrift"/>
                <w:rFonts w:ascii="Times New Roman" w:hAnsi="Times New Roman"/>
                <w:b w:val="0"/>
                <w:sz w:val="24"/>
                <w:u w:val="none"/>
              </w:rPr>
            </w:pPr>
            <w:r>
              <w:t>Denne række må ikke bruges til at medtage kapitalposter/-fradrag, som ikke er omfattet af forordning (EU) nr. 575/2013, i beregningen af soliditetsgraden (f.eks. nationale kapitalposter/-fradrag, som er uden for nævnte forordnings rammer).</w:t>
            </w:r>
          </w:p>
        </w:tc>
      </w:tr>
    </w:tbl>
    <w:p w14:paraId="1566A89B" w14:textId="77777777" w:rsidR="005643EA" w:rsidRPr="002A677E" w:rsidRDefault="005643EA" w:rsidP="00487A02">
      <w:pPr>
        <w:pStyle w:val="InstructionsText"/>
      </w:pPr>
    </w:p>
    <w:p w14:paraId="1E5F011A" w14:textId="47F64112"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308175823"/>
      <w:bookmarkStart w:id="43" w:name="_Toc360188327"/>
      <w:bookmarkStart w:id="44" w:name="_Toc119059297"/>
      <w:r>
        <w:rPr>
          <w:rFonts w:ascii="Times New Roman" w:hAnsi="Times New Roman"/>
          <w:sz w:val="24"/>
          <w:u w:val="none"/>
        </w:rPr>
        <w:t>1.3.</w:t>
      </w:r>
      <w:r>
        <w:tab/>
      </w:r>
      <w:r>
        <w:rPr>
          <w:rFonts w:ascii="Times New Roman" w:hAnsi="Times New Roman"/>
          <w:sz w:val="24"/>
        </w:rPr>
        <w:t>C 02.00 – KAPITALGRUNDLAGSKRAV (CA2)</w:t>
      </w:r>
      <w:bookmarkEnd w:id="41"/>
      <w:bookmarkEnd w:id="44"/>
      <w:r>
        <w:rPr>
          <w:rFonts w:ascii="Times New Roman" w:hAnsi="Times New Roman"/>
          <w:sz w:val="24"/>
        </w:rPr>
        <w:t xml:space="preserve"> </w:t>
      </w:r>
      <w:bookmarkEnd w:id="42"/>
      <w:bookmarkEnd w:id="43"/>
    </w:p>
    <w:p w14:paraId="3DB9FE2A"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5" w:name="_Toc308175824"/>
      <w:bookmarkStart w:id="46" w:name="_Toc310414970"/>
      <w:bookmarkStart w:id="47" w:name="_Toc360188328"/>
      <w:bookmarkStart w:id="48" w:name="_Toc473560876"/>
      <w:bookmarkStart w:id="49" w:name="_Toc119059298"/>
      <w:r>
        <w:rPr>
          <w:rFonts w:ascii="Times New Roman" w:hAnsi="Times New Roman"/>
          <w:sz w:val="24"/>
          <w:u w:val="none"/>
        </w:rPr>
        <w:t>1.3.1.</w:t>
      </w:r>
      <w:r>
        <w:tab/>
      </w:r>
      <w:r>
        <w:rPr>
          <w:rFonts w:ascii="Times New Roman" w:hAnsi="Times New Roman"/>
          <w:sz w:val="24"/>
        </w:rPr>
        <w:t>Instrukser vedrørende specifikke positioner</w:t>
      </w:r>
      <w:bookmarkEnd w:id="45"/>
      <w:bookmarkEnd w:id="46"/>
      <w:bookmarkEnd w:id="47"/>
      <w:bookmarkEnd w:id="48"/>
      <w:bookmarkEnd w:id="49"/>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t>Række</w:t>
            </w:r>
          </w:p>
        </w:tc>
        <w:tc>
          <w:tcPr>
            <w:tcW w:w="7274" w:type="dxa"/>
            <w:shd w:val="clear" w:color="auto" w:fill="D9D9D9"/>
          </w:tcPr>
          <w:p w14:paraId="7F3DDF83" w14:textId="77777777" w:rsidR="005643EA" w:rsidRPr="002A677E" w:rsidRDefault="002648B0" w:rsidP="00487A02">
            <w:pPr>
              <w:pStyle w:val="InstructionsText"/>
            </w:pPr>
            <w:r>
              <w:t>Henvisninger til retsakter og instrukser</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t>0010</w:t>
            </w:r>
          </w:p>
        </w:tc>
        <w:tc>
          <w:tcPr>
            <w:tcW w:w="7274" w:type="dxa"/>
          </w:tcPr>
          <w:p w14:paraId="01553D28"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SAMLET RISIKOEKSPONERING</w:t>
            </w:r>
          </w:p>
          <w:p w14:paraId="3E17E533" w14:textId="60733EC2" w:rsidR="002648B0" w:rsidRPr="002A677E" w:rsidRDefault="002648B0" w:rsidP="00487A02">
            <w:pPr>
              <w:pStyle w:val="InstructionsText"/>
            </w:pPr>
            <w:r>
              <w:t>Artikel 92, stk. 3, og artikel 95, 96 og 98, i forordning (EU) nr. 575/2013</w:t>
            </w:r>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t>0020</w:t>
            </w:r>
          </w:p>
        </w:tc>
        <w:tc>
          <w:tcPr>
            <w:tcW w:w="7274" w:type="dxa"/>
          </w:tcPr>
          <w:p w14:paraId="0CA67A6F" w14:textId="403B749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Heraf: Investeringsselskaber omfattet af artikel 95, stk. 2, og artikel 98 i forordning (EU) nr. 575/2013</w:t>
            </w:r>
          </w:p>
          <w:p w14:paraId="69B39CC9" w14:textId="43F39B38" w:rsidR="005643EA" w:rsidRPr="002A677E" w:rsidRDefault="002648B0" w:rsidP="00487A02">
            <w:pPr>
              <w:pStyle w:val="InstructionsText"/>
            </w:pPr>
            <w:r>
              <w:t>For investeringsselskaber, der er omfattet af artikel 95, stk. 2, og artikel 98 i forordning (EU) nr. 575/2013.</w:t>
            </w:r>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t>0030</w:t>
            </w:r>
          </w:p>
        </w:tc>
        <w:tc>
          <w:tcPr>
            <w:tcW w:w="7274" w:type="dxa"/>
          </w:tcPr>
          <w:p w14:paraId="46EC9CCC" w14:textId="7396843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Heraf: Investeringsselskaber omfattet af artikel 96, stk. 2, og artikel 97 i forordning (EU) nr. 575/2013</w:t>
            </w:r>
          </w:p>
          <w:p w14:paraId="7E481CD1" w14:textId="705A2543" w:rsidR="005643EA" w:rsidRPr="002A677E" w:rsidRDefault="002648B0" w:rsidP="00487A02">
            <w:pPr>
              <w:pStyle w:val="InstructionsText"/>
            </w:pPr>
            <w:r>
              <w:t>For investeringsselskaber, der er omfattet af artikel 96, stk. 2, og artikel 97 i forordning (EU) nr. 575/2013.</w:t>
            </w:r>
          </w:p>
        </w:tc>
      </w:tr>
      <w:tr w:rsidR="002648B0" w:rsidRPr="002A677E" w14:paraId="171DE218" w14:textId="77777777" w:rsidTr="00672D2A">
        <w:tc>
          <w:tcPr>
            <w:tcW w:w="1591" w:type="dxa"/>
          </w:tcPr>
          <w:p w14:paraId="534BA4A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RISIKOVÆGTEDE EKSPONERINGER FOR KREDITRISIKO, MODPARTSRISIKO, UDVANDINGSRISIKO OG LEVERINGSRISIKO (FREE DELIVERIES)</w:t>
            </w:r>
          </w:p>
          <w:p w14:paraId="17CFB9F6" w14:textId="65ACA7E6" w:rsidR="005643EA" w:rsidRPr="002A677E" w:rsidRDefault="002648B0" w:rsidP="00487A02">
            <w:pPr>
              <w:pStyle w:val="InstructionsText"/>
              <w:rPr>
                <w:rStyle w:val="FormatvorlageInstructionsTabelleText"/>
                <w:rFonts w:ascii="Times New Roman" w:hAnsi="Times New Roman"/>
                <w:sz w:val="24"/>
              </w:rPr>
            </w:pPr>
            <w:r>
              <w:t>Artikel 92, stk. 3, litra a) og f), i forordning (EU) nr. 575/2013</w:t>
            </w:r>
          </w:p>
        </w:tc>
      </w:tr>
      <w:tr w:rsidR="002648B0" w:rsidRPr="002A677E" w14:paraId="241FA5E5" w14:textId="77777777" w:rsidTr="00672D2A">
        <w:tc>
          <w:tcPr>
            <w:tcW w:w="1591" w:type="dxa"/>
          </w:tcPr>
          <w:p w14:paraId="7077706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Standardmetode (SA)</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CR SA- og SEC SA-skemaer på niveauet for samlede eksponeringer.</w:t>
            </w:r>
          </w:p>
        </w:tc>
      </w:tr>
      <w:tr w:rsidR="00802958" w:rsidRPr="002A677E" w14:paraId="786560DC" w14:textId="77777777" w:rsidTr="00672D2A">
        <w:tc>
          <w:tcPr>
            <w:tcW w:w="1591" w:type="dxa"/>
          </w:tcPr>
          <w:p w14:paraId="6D2C197B" w14:textId="77777777" w:rsidR="00802958"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4FDA74F9" w14:textId="5172718A"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Heraf: Yderligere strengere tilsynskrav på grundlag af artikel 124 i forordning (EU) nr. 575/2013</w:t>
            </w:r>
          </w:p>
          <w:p w14:paraId="0AC666E0" w14:textId="6BFE981B" w:rsidR="00802958" w:rsidRPr="002A677E" w:rsidRDefault="004852B9" w:rsidP="002A67C8">
            <w:pPr>
              <w:pStyle w:val="InstructionsText"/>
              <w:rPr>
                <w:rStyle w:val="InstructionsTabelleberschrift"/>
                <w:rFonts w:ascii="Times New Roman" w:hAnsi="Times New Roman"/>
                <w:sz w:val="24"/>
              </w:rPr>
            </w:pPr>
            <w:r>
              <w:t>Institutterne skal indberette de yderligere risikoeksponeringer, der er nødvendige for at opfylde de strengere tilsynskrav som meddelt institutterne efter høring af EBA, jf. artikel 124, stk. 2 og 5, i forordning (EU) nr. 575/2013.</w:t>
            </w:r>
          </w:p>
        </w:tc>
      </w:tr>
      <w:tr w:rsidR="002648B0" w:rsidRPr="002A677E" w14:paraId="2D666492" w14:textId="77777777" w:rsidTr="00672D2A">
        <w:tc>
          <w:tcPr>
            <w:tcW w:w="1591" w:type="dxa"/>
          </w:tcPr>
          <w:p w14:paraId="6441CEAE"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4BA2E5AB" w14:textId="77777777" w:rsidR="00C44421" w:rsidRPr="00B44FD0"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Eksponeringsklasser i henhold til standardmetoden, eksklusive securitiseringspositioner</w:t>
            </w:r>
          </w:p>
          <w:p w14:paraId="43519FA5" w14:textId="211E4669" w:rsidR="002648B0"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CR SA-skema på niveauet for samlede eksponeringer. </w:t>
            </w:r>
            <w:r>
              <w:t xml:space="preserve">Eksponeringsklasserne i henhold til standardmetoden er de klasser, der er nævnt i artikel </w:t>
            </w:r>
            <w:r>
              <w:lastRenderedPageBreak/>
              <w:t>112 i forordning (EU) nr. 575/2013, med undtagelse af securitiseringspositioner.</w:t>
            </w:r>
          </w:p>
        </w:tc>
      </w:tr>
      <w:tr w:rsidR="002648B0" w:rsidRPr="002A677E" w14:paraId="1E666BE0" w14:textId="77777777" w:rsidTr="00672D2A">
        <w:tc>
          <w:tcPr>
            <w:tcW w:w="1591" w:type="dxa"/>
          </w:tcPr>
          <w:p w14:paraId="4C2CF088"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274" w:type="dxa"/>
          </w:tcPr>
          <w:p w14:paraId="731473C9"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Centralregeringer eller centralbanker</w:t>
            </w:r>
          </w:p>
          <w:p w14:paraId="72AAD2D0" w14:textId="77777777" w:rsidR="00496C53" w:rsidRPr="002A677E"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Se CR SA-skemaet.</w:t>
            </w:r>
          </w:p>
        </w:tc>
      </w:tr>
      <w:tr w:rsidR="002648B0" w:rsidRPr="002A677E" w14:paraId="3E399336" w14:textId="77777777" w:rsidTr="00672D2A">
        <w:tc>
          <w:tcPr>
            <w:tcW w:w="1591" w:type="dxa"/>
          </w:tcPr>
          <w:p w14:paraId="5A45430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Regionale eller lokale myndigheder</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2A677E" w14:paraId="6825644C" w14:textId="77777777" w:rsidTr="00672D2A">
        <w:tc>
          <w:tcPr>
            <w:tcW w:w="1591" w:type="dxa"/>
          </w:tcPr>
          <w:p w14:paraId="41D1432D"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Offentlige enheder</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2A677E" w14:paraId="0C8A7396" w14:textId="77777777" w:rsidTr="00672D2A">
        <w:tc>
          <w:tcPr>
            <w:tcW w:w="1591" w:type="dxa"/>
          </w:tcPr>
          <w:p w14:paraId="7D85AC6B"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Multilaterale udviklingsbanker</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CR SA-skemaet. </w:t>
            </w:r>
          </w:p>
        </w:tc>
      </w:tr>
      <w:tr w:rsidR="002648B0" w:rsidRPr="00517EE9" w14:paraId="211F4AF9" w14:textId="77777777" w:rsidTr="00672D2A">
        <w:tc>
          <w:tcPr>
            <w:tcW w:w="1591" w:type="dxa"/>
          </w:tcPr>
          <w:p w14:paraId="3681033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0E64C732"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Internationale organisationer</w:t>
            </w:r>
          </w:p>
          <w:p w14:paraId="4B3A92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517EE9" w14:paraId="07BF2525" w14:textId="77777777" w:rsidTr="00672D2A">
        <w:tc>
          <w:tcPr>
            <w:tcW w:w="1591" w:type="dxa"/>
          </w:tcPr>
          <w:p w14:paraId="488BED47"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Institutter</w:t>
            </w:r>
          </w:p>
          <w:p w14:paraId="03B311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2A677E" w14:paraId="73DEFD8C" w14:textId="77777777" w:rsidTr="00672D2A">
        <w:tc>
          <w:tcPr>
            <w:tcW w:w="1591" w:type="dxa"/>
          </w:tcPr>
          <w:p w14:paraId="4B00A1F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Selskaber</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2A677E" w14:paraId="3E980E73" w14:textId="77777777" w:rsidTr="00672D2A">
        <w:tc>
          <w:tcPr>
            <w:tcW w:w="1591" w:type="dxa"/>
          </w:tcPr>
          <w:p w14:paraId="4CB1DFDE"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Detail</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2A677E" w14:paraId="318FBF2E" w14:textId="77777777" w:rsidTr="00672D2A">
        <w:tc>
          <w:tcPr>
            <w:tcW w:w="1591" w:type="dxa"/>
          </w:tcPr>
          <w:p w14:paraId="6A6F234C"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44AA0C6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Sikret ved pant i fast ejendom</w:t>
            </w:r>
          </w:p>
          <w:p w14:paraId="4AAB881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2A677E" w14:paraId="74BB68C5" w14:textId="77777777" w:rsidTr="00672D2A">
        <w:tc>
          <w:tcPr>
            <w:tcW w:w="1591" w:type="dxa"/>
          </w:tcPr>
          <w:p w14:paraId="72A61ABB"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Eksponeringer ved misligholdelse</w:t>
            </w:r>
          </w:p>
          <w:p w14:paraId="1735599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2A677E" w14:paraId="6985A5C4" w14:textId="77777777" w:rsidTr="00672D2A">
        <w:tc>
          <w:tcPr>
            <w:tcW w:w="1591" w:type="dxa"/>
          </w:tcPr>
          <w:p w14:paraId="54AF491F"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Poster forbundet med særlig stor risiko</w:t>
            </w:r>
          </w:p>
          <w:p w14:paraId="69D34832"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2A677E" w14:paraId="221A387D" w14:textId="77777777" w:rsidTr="00672D2A">
        <w:tc>
          <w:tcPr>
            <w:tcW w:w="1591" w:type="dxa"/>
          </w:tcPr>
          <w:p w14:paraId="473536D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Særligt dækkede obligationer og særligt dækkede realkreditobligationer</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2A677E" w14:paraId="053E872A" w14:textId="77777777" w:rsidTr="00672D2A">
        <w:tc>
          <w:tcPr>
            <w:tcW w:w="1591" w:type="dxa"/>
          </w:tcPr>
          <w:p w14:paraId="62F5EAC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Fordringer på institutter og selskaber med kortsigtet kreditvurdering</w:t>
            </w:r>
          </w:p>
          <w:p w14:paraId="24C06DB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2A677E"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Kollektive investeringsinstitutter (CIU'er)</w:t>
            </w:r>
          </w:p>
          <w:p w14:paraId="0B2E6E67"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2A677E" w14:paraId="2CBE2222" w14:textId="77777777" w:rsidTr="00672D2A">
        <w:tc>
          <w:tcPr>
            <w:tcW w:w="1591" w:type="dxa"/>
          </w:tcPr>
          <w:p w14:paraId="42295A59"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Egenkapital</w:t>
            </w:r>
          </w:p>
          <w:p w14:paraId="7416E0E2" w14:textId="77777777" w:rsidR="002648B0" w:rsidRPr="001235E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2A677E" w14:paraId="3A868BEA" w14:textId="77777777" w:rsidTr="00672D2A">
        <w:tc>
          <w:tcPr>
            <w:tcW w:w="1591" w:type="dxa"/>
          </w:tcPr>
          <w:p w14:paraId="153038B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Andre poster</w:t>
            </w:r>
          </w:p>
          <w:p w14:paraId="6F0C00C6" w14:textId="77777777" w:rsidR="005643EA" w:rsidRPr="002A677E"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lastRenderedPageBreak/>
              <w:t>Se CR SA-skemaet.</w:t>
            </w:r>
          </w:p>
        </w:tc>
      </w:tr>
      <w:tr w:rsidR="00A95150" w:rsidRPr="002A677E" w14:paraId="2288F2D2" w14:textId="77777777" w:rsidTr="00672D2A">
        <w:tc>
          <w:tcPr>
            <w:tcW w:w="1591" w:type="dxa"/>
          </w:tcPr>
          <w:p w14:paraId="25EFDC23" w14:textId="14EDE54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0212</w:t>
            </w:r>
          </w:p>
        </w:tc>
        <w:tc>
          <w:tcPr>
            <w:tcW w:w="7274" w:type="dxa"/>
          </w:tcPr>
          <w:p w14:paraId="05810047" w14:textId="299FE81D" w:rsidR="00A95150" w:rsidRPr="002A677E" w:rsidRDefault="00A95150" w:rsidP="00A95150">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tab/>
            </w:r>
            <w:r>
              <w:rPr>
                <w:rStyle w:val="InstructionsTabelleberschrift"/>
                <w:rFonts w:ascii="Times New Roman" w:hAnsi="Times New Roman"/>
                <w:sz w:val="24"/>
              </w:rPr>
              <w:t>Heraf: Softwareaktiver, der medregnes som immaterielle aktiver</w:t>
            </w:r>
          </w:p>
          <w:p w14:paraId="7DDD0154" w14:textId="267417B5" w:rsidR="00A95150" w:rsidRPr="002A677E" w:rsidRDefault="00A95150" w:rsidP="00566DB5">
            <w:pPr>
              <w:pStyle w:val="InstructionsText"/>
              <w:rPr>
                <w:rStyle w:val="InstructionsTabelleberschrift"/>
                <w:rFonts w:ascii="Times New Roman" w:hAnsi="Times New Roman"/>
                <w:sz w:val="24"/>
              </w:rPr>
            </w:pPr>
            <w:r>
              <w:t>Det risikovægtede eksponeringsbeløb vedrørende den del af softwareaktiverne, der medregnes som immaterielle aktiver, og som ikke fratrækkes de egentlige kernekapitalposter i overensstemmelse med artikel 36, stk. 1, litra b), i forordning (EU) nr. 575/2013, men risikovægtes i overensstemmelse med artikel 113, stk. 5, i nævnte forordning.</w:t>
            </w:r>
          </w:p>
        </w:tc>
      </w:tr>
      <w:tr w:rsidR="002648B0" w:rsidRPr="002A677E" w14:paraId="0D66DAF8" w14:textId="77777777" w:rsidTr="00672D2A">
        <w:tc>
          <w:tcPr>
            <w:tcW w:w="1591" w:type="dxa"/>
          </w:tcPr>
          <w:p w14:paraId="56B25DB5"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Metoden med interne ratings (IRB-metoden) </w:t>
            </w:r>
          </w:p>
        </w:tc>
      </w:tr>
      <w:tr w:rsidR="00802958" w:rsidRPr="002A677E" w14:paraId="1FDB156B" w14:textId="77777777" w:rsidTr="00672D2A">
        <w:tc>
          <w:tcPr>
            <w:tcW w:w="1591" w:type="dxa"/>
          </w:tcPr>
          <w:p w14:paraId="3DEB13F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7E6ABE14" w14:textId="78AE4628"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Heraf: Yderligere strengere tilsynskrav på grundlag af artikel 164 i forordning (EU) nr. 575/2013</w:t>
            </w:r>
          </w:p>
          <w:p w14:paraId="600AF80E" w14:textId="02CB175C" w:rsidR="00802958" w:rsidRPr="002A677E" w:rsidRDefault="004852B9" w:rsidP="002A67C8">
            <w:pPr>
              <w:pStyle w:val="InstructionsText"/>
              <w:rPr>
                <w:rStyle w:val="InstructionsTabelleberschrift"/>
                <w:rFonts w:ascii="Times New Roman" w:hAnsi="Times New Roman"/>
                <w:sz w:val="24"/>
              </w:rPr>
            </w:pPr>
            <w:r>
              <w:t>Institutterne skal indberette de yderligere risikoeksponeringer, der er nødvendige for at opfylde de strengere tilsynskrav som meddelt institutterne efter at være blevet meddelt EBA, jf. artikel 164, stk. 5 og 7, i forordning (EU) nr. 575/2013.</w:t>
            </w:r>
          </w:p>
        </w:tc>
      </w:tr>
      <w:tr w:rsidR="00802958" w:rsidRPr="002A677E" w14:paraId="6FA35CD8" w14:textId="77777777" w:rsidTr="00672D2A">
        <w:tc>
          <w:tcPr>
            <w:tcW w:w="1591" w:type="dxa"/>
          </w:tcPr>
          <w:p w14:paraId="32D165A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263602A7" w14:textId="444BCD1C"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Heraf: Yderligere strengere tilsynskrav på grundlag af artikel 124 i forordning (EU) nr. 575/2013</w:t>
            </w:r>
          </w:p>
          <w:p w14:paraId="0110769F" w14:textId="4531F562" w:rsidR="00802958" w:rsidRPr="002A677E" w:rsidRDefault="004852B9" w:rsidP="002A67C8">
            <w:pPr>
              <w:pStyle w:val="InstructionsText"/>
              <w:rPr>
                <w:rStyle w:val="InstructionsTabelleberschrift"/>
                <w:rFonts w:ascii="Times New Roman" w:hAnsi="Times New Roman"/>
                <w:sz w:val="24"/>
              </w:rPr>
            </w:pPr>
            <w:r>
              <w:t>Institutterne skal indberette de yderligere risikoeksponeringer, der er nødvendige for at opfylde de strengere tilsynskrav som fastsat af de kompetente myndigheder efter høring af EBA, jf. artikel 124, stk. 2 og 5, i forordning (EU) nr. 575/2013, og som vedrører grænser for markedsværdien af sikkerhedsstillelsen, jf. artikel 125, stk. 2, litra d), og artikel 126, stk. 2, litra d), i nævnte forordning.</w:t>
            </w:r>
          </w:p>
        </w:tc>
      </w:tr>
      <w:tr w:rsidR="00802958" w:rsidRPr="002A677E" w14:paraId="7092FA55" w14:textId="77777777" w:rsidTr="00672D2A">
        <w:tc>
          <w:tcPr>
            <w:tcW w:w="1591" w:type="dxa"/>
          </w:tcPr>
          <w:p w14:paraId="692DB55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1991CA8E"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IRB-metoder, når hverken egne estimater over tab givet misligholdelse (LGD) eller konverteringsfaktorer anvendes</w:t>
            </w:r>
          </w:p>
          <w:p w14:paraId="0914732B" w14:textId="77777777"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CR IRB-skema på niveauet for samlede eksponeringer (når egne estimater over tab givet misligholdelse eller konverteringsfaktorer ikke anvendes)</w:t>
            </w:r>
          </w:p>
        </w:tc>
      </w:tr>
      <w:tr w:rsidR="00802958" w:rsidRPr="002A677E" w14:paraId="7844F637" w14:textId="77777777" w:rsidTr="00672D2A">
        <w:tc>
          <w:tcPr>
            <w:tcW w:w="1591" w:type="dxa"/>
          </w:tcPr>
          <w:p w14:paraId="519A74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Centralregeringer og centralbanker</w:t>
            </w:r>
          </w:p>
          <w:p w14:paraId="08BDE69E"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2A677E" w14:paraId="6249E5E2" w14:textId="77777777" w:rsidTr="00672D2A">
        <w:tc>
          <w:tcPr>
            <w:tcW w:w="1591" w:type="dxa"/>
          </w:tcPr>
          <w:p w14:paraId="08A68C6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Institutter</w:t>
            </w:r>
          </w:p>
          <w:p w14:paraId="2FFB99D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2A677E" w14:paraId="47A3A63A" w14:textId="77777777" w:rsidTr="00672D2A">
        <w:tc>
          <w:tcPr>
            <w:tcW w:w="1591" w:type="dxa"/>
          </w:tcPr>
          <w:p w14:paraId="4804F6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Erhvervseksponeringer — SMV'er</w:t>
            </w:r>
          </w:p>
          <w:p w14:paraId="0FE7B8A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2A677E" w14:paraId="2F4BDAFA" w14:textId="77777777" w:rsidTr="00672D2A">
        <w:tc>
          <w:tcPr>
            <w:tcW w:w="1591" w:type="dxa"/>
          </w:tcPr>
          <w:p w14:paraId="6C2CCF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Selskaber — Specialiseret långivning</w:t>
            </w:r>
          </w:p>
          <w:p w14:paraId="4A2602F2"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Se CR IRB-skemaet. </w:t>
            </w:r>
          </w:p>
        </w:tc>
      </w:tr>
      <w:tr w:rsidR="00802958" w:rsidRPr="002A677E" w14:paraId="4EB24721" w14:textId="77777777" w:rsidTr="00672D2A">
        <w:tc>
          <w:tcPr>
            <w:tcW w:w="1591" w:type="dxa"/>
          </w:tcPr>
          <w:p w14:paraId="0C1C733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Selskaber — Andre</w:t>
            </w:r>
          </w:p>
          <w:p w14:paraId="711BB31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2A677E" w14:paraId="2A148698" w14:textId="77777777" w:rsidTr="00672D2A">
        <w:tc>
          <w:tcPr>
            <w:tcW w:w="1591" w:type="dxa"/>
          </w:tcPr>
          <w:p w14:paraId="285FABC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794EF07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IRB-metoder, når egne estimater over tab givet misligholdelse (LGD) og/eller konverteringsfaktorer anvendes</w:t>
            </w:r>
          </w:p>
          <w:p w14:paraId="646C4EB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CR IRB-skema på niveauet for samlede eksponeringer (når egne estimater over tab givet misligholdelse og/eller konverteringsfaktorer anvendes)</w:t>
            </w:r>
          </w:p>
        </w:tc>
      </w:tr>
      <w:tr w:rsidR="00802958" w:rsidRPr="002A677E" w14:paraId="271BD282" w14:textId="77777777" w:rsidTr="00672D2A">
        <w:tc>
          <w:tcPr>
            <w:tcW w:w="1591" w:type="dxa"/>
          </w:tcPr>
          <w:p w14:paraId="707C2CF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Centralregeringer og centralbanker</w:t>
            </w:r>
          </w:p>
          <w:p w14:paraId="35D77E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2A677E" w14:paraId="3E923588" w14:textId="77777777" w:rsidTr="00672D2A">
        <w:tc>
          <w:tcPr>
            <w:tcW w:w="1591" w:type="dxa"/>
          </w:tcPr>
          <w:p w14:paraId="716783F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Institutter</w:t>
            </w:r>
          </w:p>
          <w:p w14:paraId="73BD41C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Se CR IRB-skemaet. </w:t>
            </w:r>
          </w:p>
        </w:tc>
      </w:tr>
      <w:tr w:rsidR="00802958" w:rsidRPr="002A677E" w14:paraId="4574930B" w14:textId="77777777" w:rsidTr="00672D2A">
        <w:tc>
          <w:tcPr>
            <w:tcW w:w="1591" w:type="dxa"/>
          </w:tcPr>
          <w:p w14:paraId="0A1C772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Erhvervseksponeringer — SMV'er</w:t>
            </w:r>
          </w:p>
          <w:p w14:paraId="71397CC5"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2A677E" w14:paraId="3ADC2008" w14:textId="77777777" w:rsidTr="00672D2A">
        <w:tc>
          <w:tcPr>
            <w:tcW w:w="1591" w:type="dxa"/>
          </w:tcPr>
          <w:p w14:paraId="2439ED9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Selskaber — Specialiseret långivning</w:t>
            </w:r>
          </w:p>
          <w:p w14:paraId="3322030F"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2A677E" w14:paraId="456EF20A" w14:textId="77777777" w:rsidTr="00672D2A">
        <w:tc>
          <w:tcPr>
            <w:tcW w:w="1591" w:type="dxa"/>
          </w:tcPr>
          <w:p w14:paraId="29C5949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Selskaber — Andre</w:t>
            </w:r>
          </w:p>
          <w:p w14:paraId="7B82010B"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2A677E" w14:paraId="5AD7693D" w14:textId="77777777" w:rsidTr="00672D2A">
        <w:tc>
          <w:tcPr>
            <w:tcW w:w="1591" w:type="dxa"/>
          </w:tcPr>
          <w:p w14:paraId="4C484AF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Detail — Sikret ved pant i fast ejendom SMV'er</w:t>
            </w:r>
          </w:p>
          <w:p w14:paraId="5C2A38F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2A677E" w14:paraId="584F99B7" w14:textId="77777777" w:rsidTr="00672D2A">
        <w:tc>
          <w:tcPr>
            <w:tcW w:w="1591" w:type="dxa"/>
          </w:tcPr>
          <w:p w14:paraId="14ED346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14:paraId="6AFF6A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Detail — Sikret ved pant i fast ejendom ikke-SMV'er</w:t>
            </w:r>
          </w:p>
          <w:p w14:paraId="63ABFE8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2A677E" w14:paraId="4C06A566" w14:textId="77777777" w:rsidTr="00672D2A">
        <w:tc>
          <w:tcPr>
            <w:tcW w:w="1591" w:type="dxa"/>
          </w:tcPr>
          <w:p w14:paraId="00C8EF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378C683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Detail — Kvalificeret revolverende</w:t>
            </w:r>
          </w:p>
          <w:p w14:paraId="2085E74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2A677E" w14:paraId="5A733136" w14:textId="77777777" w:rsidTr="00672D2A">
        <w:tc>
          <w:tcPr>
            <w:tcW w:w="1591" w:type="dxa"/>
          </w:tcPr>
          <w:p w14:paraId="360417A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Detail — Andre SMV'er</w:t>
            </w:r>
          </w:p>
          <w:p w14:paraId="1C53EB3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2A677E" w14:paraId="52F94058" w14:textId="77777777" w:rsidTr="00672D2A">
        <w:tc>
          <w:tcPr>
            <w:tcW w:w="1591" w:type="dxa"/>
          </w:tcPr>
          <w:p w14:paraId="1033C01C"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14:paraId="2C5D9D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Detail — Andre ikke-SMV'er</w:t>
            </w:r>
          </w:p>
          <w:p w14:paraId="1E69915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2A677E" w14:paraId="10CDC451" w14:textId="77777777" w:rsidTr="00672D2A">
        <w:tc>
          <w:tcPr>
            <w:tcW w:w="1591" w:type="dxa"/>
          </w:tcPr>
          <w:p w14:paraId="3F26615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Egenkapital i henhold til IRB-metoden</w:t>
            </w:r>
          </w:p>
          <w:p w14:paraId="0E313513"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EQU IRB-skemaet.</w:t>
            </w:r>
          </w:p>
        </w:tc>
      </w:tr>
      <w:tr w:rsidR="00802958" w:rsidRPr="002A677E" w14:paraId="78953650" w14:textId="77777777" w:rsidTr="00672D2A">
        <w:tc>
          <w:tcPr>
            <w:tcW w:w="1591" w:type="dxa"/>
          </w:tcPr>
          <w:p w14:paraId="40F103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Andre aktiver, der ikke er gældsforpligtelser</w:t>
            </w:r>
          </w:p>
          <w:p w14:paraId="36871DF6" w14:textId="4D93D31A" w:rsidR="00802958" w:rsidRPr="001235ED" w:rsidRDefault="00802958" w:rsidP="006A6822">
            <w:pPr>
              <w:rPr>
                <w:rStyle w:val="FormatvorlageInstructionsTabelleText"/>
                <w:rFonts w:ascii="Times New Roman" w:hAnsi="Times New Roman"/>
                <w:sz w:val="24"/>
              </w:rPr>
            </w:pPr>
            <w:r>
              <w:rPr>
                <w:rFonts w:ascii="Times New Roman" w:hAnsi="Times New Roman"/>
                <w:sz w:val="24"/>
              </w:rPr>
              <w:t>Det beløb, der skal indberettes, er den risikovægtede eksponering beregnet i henhold til artikel 156 i forordning (EU) nr. 575/2013.</w:t>
            </w:r>
            <w:r>
              <w:rPr>
                <w:rStyle w:val="FormatvorlageInstructionsTabelleText"/>
                <w:rFonts w:ascii="Times New Roman" w:hAnsi="Times New Roman"/>
                <w:sz w:val="24"/>
              </w:rPr>
              <w:t xml:space="preserve"> </w:t>
            </w:r>
          </w:p>
        </w:tc>
      </w:tr>
      <w:tr w:rsidR="00B03CD3" w:rsidRPr="002A677E" w14:paraId="1F098548" w14:textId="77777777" w:rsidTr="00672D2A">
        <w:tc>
          <w:tcPr>
            <w:tcW w:w="1591" w:type="dxa"/>
          </w:tcPr>
          <w:p w14:paraId="36C495C8" w14:textId="35E1B3F2" w:rsidR="00B03CD3" w:rsidRPr="001235ED" w:rsidRDefault="00B03CD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032E1BBE" w14:textId="521F78C0" w:rsidR="00B03CD3" w:rsidRPr="002A677E" w:rsidRDefault="00B03CD3" w:rsidP="00B03CD3">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tab/>
            </w:r>
            <w:r>
              <w:rPr>
                <w:rStyle w:val="InstructionsTabelleberschrift"/>
                <w:rFonts w:ascii="Times New Roman" w:hAnsi="Times New Roman"/>
                <w:sz w:val="24"/>
              </w:rPr>
              <w:t>Heraf softwareaktiver, der medregnes som immaterielle aktiver</w:t>
            </w:r>
          </w:p>
          <w:p w14:paraId="2EB2DE5E" w14:textId="4EBE54AB" w:rsidR="00B03CD3" w:rsidRPr="002A677E" w:rsidRDefault="00B03CD3" w:rsidP="00566DB5">
            <w:pPr>
              <w:pStyle w:val="InstructionsText"/>
              <w:rPr>
                <w:rStyle w:val="InstructionsTabelleberschrift"/>
                <w:rFonts w:ascii="Times New Roman" w:hAnsi="Times New Roman"/>
                <w:sz w:val="24"/>
              </w:rPr>
            </w:pPr>
            <w:r>
              <w:t>Det risikovægtede eksponeringsbeløb vedrørende den del af softwareaktiverne, der medregnes som immaterielle aktiver, og som ikke fratrækkes de egentlige kernekapitalposter i overensstemmelse med artikel 36, stk. 1, litra b), i forordning (EU) nr. 575/2013, men risikovægtes i overensstemmelse med artikel 156 i nævnte forordning.</w:t>
            </w:r>
          </w:p>
        </w:tc>
      </w:tr>
      <w:tr w:rsidR="00802958" w:rsidRPr="002A677E" w14:paraId="29C0D40B" w14:textId="77777777" w:rsidTr="00672D2A">
        <w:tc>
          <w:tcPr>
            <w:tcW w:w="1591" w:type="dxa"/>
          </w:tcPr>
          <w:p w14:paraId="0F51940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47A77E12"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Risikoeksponeringsværdi for bidrag til en CCP's misligholdelsesfond</w:t>
            </w:r>
          </w:p>
          <w:p w14:paraId="7F9C499C" w14:textId="52B3FC8E" w:rsidR="00802958" w:rsidRPr="001235ED"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Artikel 307, 308 og artikel 309 i forordning (EU) nr. 575/2013</w:t>
            </w:r>
          </w:p>
        </w:tc>
      </w:tr>
      <w:tr w:rsidR="00802958" w:rsidRPr="002A677E" w14:paraId="591130F4" w14:textId="77777777" w:rsidTr="00672D2A">
        <w:tc>
          <w:tcPr>
            <w:tcW w:w="1591" w:type="dxa"/>
          </w:tcPr>
          <w:p w14:paraId="659372E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0470</w:t>
            </w:r>
          </w:p>
        </w:tc>
        <w:tc>
          <w:tcPr>
            <w:tcW w:w="7274" w:type="dxa"/>
          </w:tcPr>
          <w:p w14:paraId="64ABD7A4" w14:textId="028D2BF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tab/>
            </w:r>
            <w:r>
              <w:rPr>
                <w:rStyle w:val="InstructionsTabelleberschrift"/>
                <w:rFonts w:ascii="Times New Roman" w:hAnsi="Times New Roman"/>
                <w:sz w:val="24"/>
              </w:rPr>
              <w:t>Securitiseringspositioner</w:t>
            </w:r>
          </w:p>
          <w:p w14:paraId="2F7C929C" w14:textId="77777777"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CR SEC-skemaet</w:t>
            </w:r>
          </w:p>
        </w:tc>
      </w:tr>
      <w:tr w:rsidR="00802958" w:rsidRPr="002A677E" w14:paraId="21E25F57" w14:textId="77777777" w:rsidTr="00672D2A">
        <w:tc>
          <w:tcPr>
            <w:tcW w:w="1591" w:type="dxa"/>
          </w:tcPr>
          <w:p w14:paraId="038FE90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42EB1944" w14:textId="77777777" w:rsidR="00802958" w:rsidRPr="002A677E"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SAMLET RISIKOEKSPONERING FOR AFVIKLING/LEVERING</w:t>
            </w:r>
          </w:p>
          <w:p w14:paraId="5035253C" w14:textId="76C30B25" w:rsidR="00802958" w:rsidRPr="001235ED" w:rsidRDefault="00802958" w:rsidP="002A67C8">
            <w:pPr>
              <w:rPr>
                <w:rStyle w:val="FormatvorlageInstructionsTabelleText"/>
                <w:rFonts w:ascii="Times New Roman" w:hAnsi="Times New Roman"/>
                <w:sz w:val="24"/>
              </w:rPr>
            </w:pPr>
            <w:r>
              <w:rPr>
                <w:rStyle w:val="FormatvorlageInstructionsTabelleText"/>
                <w:rFonts w:ascii="Times New Roman" w:hAnsi="Times New Roman"/>
                <w:sz w:val="24"/>
              </w:rPr>
              <w:t>Artikel 92, stk. 3, litra c), nr. ii), og artikel 92, stk. 4, litra b), i forordning (EU) nr. 575/2013</w:t>
            </w:r>
          </w:p>
        </w:tc>
      </w:tr>
      <w:tr w:rsidR="00802958" w:rsidRPr="002A677E" w14:paraId="5B8A1994" w14:textId="77777777" w:rsidTr="00672D2A">
        <w:tc>
          <w:tcPr>
            <w:tcW w:w="1591" w:type="dxa"/>
          </w:tcPr>
          <w:p w14:paraId="04705F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Afviklingsrisiko/leveringsrisiko uden for handelsbeholdningen</w:t>
            </w:r>
          </w:p>
          <w:p w14:paraId="3203EC3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SETT-skemaet.</w:t>
            </w:r>
          </w:p>
        </w:tc>
      </w:tr>
      <w:tr w:rsidR="00802958" w:rsidRPr="002A677E" w14:paraId="7E42F7AD" w14:textId="77777777" w:rsidTr="00672D2A">
        <w:tc>
          <w:tcPr>
            <w:tcW w:w="1591" w:type="dxa"/>
          </w:tcPr>
          <w:p w14:paraId="5C0418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Afviklingsrisiko/leveringsrisiko i handelsbeholdningen</w:t>
            </w:r>
          </w:p>
          <w:p w14:paraId="39F81B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SETT-skemaet.</w:t>
            </w:r>
          </w:p>
        </w:tc>
      </w:tr>
      <w:tr w:rsidR="00802958" w:rsidRPr="002A677E" w14:paraId="64924B29" w14:textId="77777777" w:rsidTr="00672D2A">
        <w:tc>
          <w:tcPr>
            <w:tcW w:w="1591" w:type="dxa"/>
          </w:tcPr>
          <w:p w14:paraId="6A24985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18F427A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SAMLET RISIKOEKSPONERING FOR POSITIONS-, VALUTA- OG RÅVARERISICI </w:t>
            </w:r>
          </w:p>
          <w:p w14:paraId="69A11AE9" w14:textId="338F8147" w:rsidR="00802958" w:rsidRPr="002A677E" w:rsidRDefault="00802958" w:rsidP="00EA6388">
            <w:pPr>
              <w:pStyle w:val="InstructionsText"/>
              <w:rPr>
                <w:rStyle w:val="FormatvorlageInstructionsTabelleText"/>
                <w:rFonts w:ascii="Times New Roman" w:hAnsi="Times New Roman"/>
                <w:bCs w:val="0"/>
                <w:sz w:val="24"/>
              </w:rPr>
            </w:pPr>
            <w:r>
              <w:t>Artikel 92, stk. 3, litra b), nr. i), litra c), nr. i) og litra c), nr. iii), og artikel 92, stk. 4, litra b), i forordning (EU) nr. 575/2013</w:t>
            </w:r>
          </w:p>
        </w:tc>
      </w:tr>
      <w:tr w:rsidR="00802958" w:rsidRPr="002A677E" w14:paraId="4E13A3FC" w14:textId="77777777" w:rsidTr="00672D2A">
        <w:tc>
          <w:tcPr>
            <w:tcW w:w="1591" w:type="dxa"/>
          </w:tcPr>
          <w:p w14:paraId="5B5A610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35490A0F"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Risikoeksponering for positions-, valuta- og råvarerisici opgjort efter standardmetoden (SA)</w:t>
            </w:r>
          </w:p>
        </w:tc>
      </w:tr>
      <w:tr w:rsidR="00802958" w:rsidRPr="002A677E" w14:paraId="3FA5586E" w14:textId="77777777" w:rsidTr="00672D2A">
        <w:tc>
          <w:tcPr>
            <w:tcW w:w="1591" w:type="dxa"/>
          </w:tcPr>
          <w:p w14:paraId="6286DFC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6B4397FA" w14:textId="67B5CCBE" w:rsidR="00802958" w:rsidRPr="008F3052"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Handlede gældsinstrumenter</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MKR SA TDI-skema på niveauet for samlet valuta.</w:t>
            </w:r>
          </w:p>
        </w:tc>
      </w:tr>
      <w:tr w:rsidR="00802958" w:rsidRPr="002A677E" w14:paraId="2EF9AA36" w14:textId="77777777" w:rsidTr="00672D2A">
        <w:tc>
          <w:tcPr>
            <w:tcW w:w="1591" w:type="dxa"/>
          </w:tcPr>
          <w:p w14:paraId="453E487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Egenkapital</w:t>
            </w:r>
          </w:p>
          <w:p w14:paraId="2A9B9D98"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MKR SA EQU-skema på niveauet for samlede nationale markeder. </w:t>
            </w:r>
          </w:p>
        </w:tc>
      </w:tr>
      <w:tr w:rsidR="00802958" w:rsidRPr="002A677E" w14:paraId="14C6BEE1" w14:textId="77777777" w:rsidTr="00672D2A">
        <w:tc>
          <w:tcPr>
            <w:tcW w:w="1591" w:type="dxa"/>
          </w:tcPr>
          <w:p w14:paraId="3B039E5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Særlig metode til positionsrisiko i CIU'er</w:t>
            </w:r>
          </w:p>
          <w:p w14:paraId="5217648D" w14:textId="29134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Artikel 348, stk. 1, artikel 350, stk. 3, litra c), og artikel 364, stk. 2, litra a), i forordning (EU) nr. 575/2013</w:t>
            </w:r>
          </w:p>
          <w:p w14:paraId="667963BD" w14:textId="676E7B9D"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Den samlede risikoeksponering for positioner i CIU'er, hvor kapitalkrav beregnes i overensstemmelse med artikel 348, stk. 1, i forordning (EU) nr. 575/2013 enten omgående eller som følge af det loft, der er fastsat i artikel 350, stk. 3, litra c), i nævne forordning. Forordning (EU) nr. 575/2013 tildeler ikke udtrykkeligt disse positioner til hverken renterisiko eller aktierisiko.</w:t>
            </w:r>
          </w:p>
          <w:p w14:paraId="59F446CA" w14:textId="1D1B168C" w:rsidR="00802958" w:rsidRPr="002A677E" w:rsidRDefault="00FF2818" w:rsidP="00802958">
            <w:pPr>
              <w:rPr>
                <w:rStyle w:val="FormatvorlageInstructionsTabelleText"/>
                <w:rFonts w:ascii="Times New Roman" w:hAnsi="Times New Roman"/>
                <w:sz w:val="24"/>
              </w:rPr>
            </w:pPr>
            <w:r>
              <w:rPr>
                <w:rFonts w:ascii="Times New Roman" w:hAnsi="Times New Roman"/>
                <w:sz w:val="24"/>
              </w:rPr>
              <w:t>Hvis den særlige metode i artikel 348, stk. 1, første punktum, i forordning (EU) nr. 575/2013 anvendes, udgør det beløb, der skal indberettes, 32 % af nettopositionen i den pågældende CIU-eksponering, ganget med 12,5.</w:t>
            </w:r>
            <w:r>
              <w:rPr>
                <w:rStyle w:val="FormatvorlageInstructionsTabelleText"/>
                <w:rFonts w:ascii="Times New Roman" w:hAnsi="Times New Roman"/>
                <w:sz w:val="24"/>
              </w:rPr>
              <w:t xml:space="preserve"> </w:t>
            </w:r>
          </w:p>
          <w:p w14:paraId="0B4C9A43" w14:textId="1CAB9D90" w:rsidR="00802958" w:rsidRPr="002A677E" w:rsidRDefault="00FF2818" w:rsidP="006A6822">
            <w:pPr>
              <w:rPr>
                <w:rStyle w:val="InstructionsTabelleberschrift"/>
                <w:rFonts w:ascii="Times New Roman" w:hAnsi="Times New Roman"/>
                <w:sz w:val="24"/>
              </w:rPr>
            </w:pPr>
            <w:r>
              <w:rPr>
                <w:rFonts w:ascii="Times New Roman" w:hAnsi="Times New Roman"/>
                <w:sz w:val="24"/>
              </w:rPr>
              <w:t>Hvis den særlige metode i artikel 348, stk. 1, andet punktum, i forordning (EU) nr. 575/2013 anvendes, er det beløb, der skal indberettes, 32 % af nettopositionen i den pågældende CIU-eksponering eller forskellen mellem 40 % af denne nettoposition og de kapitalgrundlagskrav, der følger af valutarisikoen i forbindelse med den pågældende CIU-eksponering, hver ganget med 12,5, afhængigt af hvilket beløb, der er lavest.</w:t>
            </w:r>
          </w:p>
        </w:tc>
      </w:tr>
      <w:tr w:rsidR="00802958" w:rsidRPr="002A677E" w14:paraId="3630087F" w14:textId="77777777" w:rsidTr="00672D2A">
        <w:tc>
          <w:tcPr>
            <w:tcW w:w="1591" w:type="dxa"/>
          </w:tcPr>
          <w:p w14:paraId="27957C9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Memorandumpost: CIU'er, der kun investerer i handlede gældsinstrumenter</w:t>
            </w:r>
          </w:p>
          <w:p w14:paraId="4397EB70"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lastRenderedPageBreak/>
              <w:t>Den samlede risikoeksponering for positioner i CIU'er, hvor CIU'en kun investerer i instrumenter, der er omfattet af renterisiko.</w:t>
            </w:r>
          </w:p>
        </w:tc>
      </w:tr>
      <w:tr w:rsidR="00802958" w:rsidRPr="002A677E" w14:paraId="32F6DBF9" w14:textId="77777777" w:rsidTr="00672D2A">
        <w:tc>
          <w:tcPr>
            <w:tcW w:w="1591" w:type="dxa"/>
          </w:tcPr>
          <w:p w14:paraId="6BC2BDA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CIU'er, der kun investerer i aktieinstrumenter eller blandede instrumenter</w:t>
            </w:r>
          </w:p>
          <w:p w14:paraId="2F4CDE3F"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Den samlede risikoeksponering for positioner i CIU'er, hvor CIU'en kun investerer i enten instrumenter omfattet af aktierisiko eller i blandede instrumenter, eller hvor CIU'ens bestanddele er ukendte.</w:t>
            </w:r>
          </w:p>
        </w:tc>
      </w:tr>
      <w:tr w:rsidR="00802958" w:rsidRPr="002A677E" w14:paraId="4F00A356" w14:textId="77777777" w:rsidTr="00672D2A">
        <w:tc>
          <w:tcPr>
            <w:tcW w:w="1591" w:type="dxa"/>
          </w:tcPr>
          <w:p w14:paraId="4361A51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14064D3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Valuta</w:t>
            </w:r>
          </w:p>
          <w:p w14:paraId="50CC771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MKR SA FX-skemaet.</w:t>
            </w:r>
          </w:p>
        </w:tc>
      </w:tr>
      <w:tr w:rsidR="00802958" w:rsidRPr="002A677E" w14:paraId="309A7367" w14:textId="77777777" w:rsidTr="00672D2A">
        <w:tc>
          <w:tcPr>
            <w:tcW w:w="1591" w:type="dxa"/>
          </w:tcPr>
          <w:p w14:paraId="6687041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Råvarer</w:t>
            </w:r>
          </w:p>
          <w:p w14:paraId="2B8536F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MKR SA COM-skemaet.</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244D466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Risikoeksponering for positionsrisiko, valutarisiko og råvarerisiko opgjort efter interne modeller (IM)</w:t>
            </w:r>
          </w:p>
          <w:p w14:paraId="43938F5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MKR IM-skemaet.</w:t>
            </w:r>
          </w:p>
        </w:tc>
      </w:tr>
      <w:tr w:rsidR="00802958" w:rsidRPr="002A677E" w14:paraId="5D1B4B25" w14:textId="77777777" w:rsidTr="00672D2A">
        <w:tc>
          <w:tcPr>
            <w:tcW w:w="1591" w:type="dxa"/>
          </w:tcPr>
          <w:p w14:paraId="0AD1165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1253E8AC"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SAMLET RISIKOEKSPONERING FOR OPERATIONELLE RISICI (OpR)</w:t>
            </w:r>
          </w:p>
          <w:p w14:paraId="3811BDC4" w14:textId="235F5DEE" w:rsidR="00802958" w:rsidRPr="002A677E" w:rsidRDefault="00802958" w:rsidP="00487A02">
            <w:pPr>
              <w:pStyle w:val="InstructionsText"/>
              <w:rPr>
                <w:rStyle w:val="FormatvorlageInstructionsTabelleText"/>
                <w:rFonts w:ascii="Times New Roman" w:hAnsi="Times New Roman"/>
                <w:bCs w:val="0"/>
                <w:sz w:val="24"/>
              </w:rPr>
            </w:pPr>
            <w:r>
              <w:t>Artikel 92, stk. 3, litra e), og artikel 92, stk. 4, litra b), i forordning (EU) nr. 575/2013</w:t>
            </w:r>
          </w:p>
          <w:p w14:paraId="1BA9D349" w14:textId="07B92744" w:rsidR="00802958" w:rsidRPr="001235ED" w:rsidRDefault="00802958" w:rsidP="006A6822">
            <w:pPr>
              <w:rPr>
                <w:rStyle w:val="FormatvorlageInstructionsTabelleText"/>
                <w:rFonts w:ascii="Times New Roman" w:hAnsi="Times New Roman"/>
                <w:sz w:val="24"/>
              </w:rPr>
            </w:pPr>
            <w:r>
              <w:rPr>
                <w:rFonts w:ascii="Times New Roman" w:hAnsi="Times New Roman"/>
                <w:sz w:val="24"/>
              </w:rPr>
              <w:t>For investeringsselskaber, der er omfattet af artikel 95, stk. 2, artikel 96, stk. 2, og artikel 98 i forordning (EU) nr. 575/2013, skal denne post være nul.</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OpR opgjort efter basisindikatormetoden (BIA)</w:t>
            </w:r>
          </w:p>
          <w:p w14:paraId="45128B10"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OPR-skemaet.</w:t>
            </w:r>
          </w:p>
        </w:tc>
      </w:tr>
      <w:tr w:rsidR="00802958" w:rsidRPr="002A677E" w14:paraId="5E898F30" w14:textId="77777777" w:rsidTr="00672D2A">
        <w:tc>
          <w:tcPr>
            <w:tcW w:w="1591" w:type="dxa"/>
          </w:tcPr>
          <w:p w14:paraId="521896C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OpR opgjort efter standardmetoden (TSA)/den alternative standardmetode (ASA)</w:t>
            </w:r>
          </w:p>
          <w:p w14:paraId="5C95166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OPR-skemaet.</w:t>
            </w:r>
          </w:p>
        </w:tc>
      </w:tr>
      <w:tr w:rsidR="00802958" w:rsidRPr="002A677E" w14:paraId="1E7AABD2" w14:textId="77777777" w:rsidTr="00672D2A">
        <w:tc>
          <w:tcPr>
            <w:tcW w:w="1591" w:type="dxa"/>
          </w:tcPr>
          <w:p w14:paraId="5E47047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OpR opgjort efter avancerede målemetoder (AMA)</w:t>
            </w:r>
          </w:p>
          <w:p w14:paraId="2019F28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OPR-skemaet.</w:t>
            </w:r>
          </w:p>
        </w:tc>
      </w:tr>
      <w:tr w:rsidR="00802958" w:rsidRPr="002A677E" w14:paraId="37DB7247" w14:textId="77777777" w:rsidTr="00672D2A">
        <w:tc>
          <w:tcPr>
            <w:tcW w:w="1591" w:type="dxa"/>
          </w:tcPr>
          <w:p w14:paraId="631E4B4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C3B31F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YDERLIGERE RISIKOEKSPONERING SOM FØLGE AF FASTE OMKOSTNINGER</w:t>
            </w:r>
          </w:p>
          <w:p w14:paraId="25F8DA00" w14:textId="64BA5E94" w:rsidR="00802958" w:rsidRPr="001235ED" w:rsidRDefault="00802958" w:rsidP="00802958">
            <w:pPr>
              <w:rPr>
                <w:rStyle w:val="FormatvorlageInstructionsTabelleText"/>
                <w:rFonts w:ascii="Times New Roman" w:hAnsi="Times New Roman"/>
                <w:sz w:val="24"/>
              </w:rPr>
            </w:pPr>
            <w:r>
              <w:rPr>
                <w:rFonts w:ascii="Times New Roman" w:hAnsi="Times New Roman"/>
                <w:sz w:val="24"/>
              </w:rPr>
              <w:t>Artikel 95, stk. 2), artikel 96, stk. 2, artikel 97 og artikel 98, stk. 1, litra a), i forordning (EU) nr. 575/2013</w:t>
            </w:r>
          </w:p>
          <w:p w14:paraId="56D002D9" w14:textId="54290943"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Kun for investeringsselskaber, der er omfattet af artikel 95, stk. 2, artikel 96, stk. 2, og artikel 98 i forordning (EU) nr. 575/2013.</w:t>
            </w:r>
            <w:r>
              <w:rPr>
                <w:rStyle w:val="FormatvorlageInstructionsTabelleText"/>
                <w:rFonts w:ascii="Times New Roman" w:hAnsi="Times New Roman"/>
                <w:sz w:val="24"/>
              </w:rPr>
              <w:t xml:space="preserve"> </w:t>
            </w:r>
            <w:r>
              <w:rPr>
                <w:rFonts w:ascii="Times New Roman" w:hAnsi="Times New Roman"/>
                <w:sz w:val="24"/>
              </w:rPr>
              <w:t>Jf. også artikel 97 i forordning (EU) nr. 575/2013.</w:t>
            </w:r>
            <w:r>
              <w:rPr>
                <w:rStyle w:val="FormatvorlageInstructionsTabelleText"/>
                <w:rFonts w:ascii="Times New Roman" w:hAnsi="Times New Roman"/>
                <w:sz w:val="24"/>
              </w:rPr>
              <w:t xml:space="preserve"> </w:t>
            </w:r>
          </w:p>
          <w:p w14:paraId="050A184D" w14:textId="00AD1F65"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Investeringsselskaber, der er omfattet af artikel 96 i forordning (EU) nr. 575/2013, skal indberette det beløb, der er nævnt i artikel 97, ganget med 12,5.</w:t>
            </w:r>
          </w:p>
          <w:p w14:paraId="6F52F0CD" w14:textId="370D2F92"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Investeringsselskaber, der er omfattet af artikel 95 i forordning (EU) nr. 575/2013, skal indberette følgende</w:t>
            </w:r>
          </w:p>
          <w:p w14:paraId="5BECD677" w14:textId="26E1CC49" w:rsidR="00802958" w:rsidRPr="001235ED"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lastRenderedPageBreak/>
              <w:t>-</w:t>
            </w:r>
            <w:r>
              <w:tab/>
            </w:r>
            <w:r>
              <w:rPr>
                <w:rStyle w:val="FormatvorlageInstructionsTabelleText"/>
                <w:rFonts w:ascii="Times New Roman" w:hAnsi="Times New Roman"/>
                <w:sz w:val="24"/>
              </w:rPr>
              <w:t xml:space="preserve">Hvis det </w:t>
            </w:r>
            <w:r>
              <w:t>beløb,</w:t>
            </w:r>
            <w:r>
              <w:rPr>
                <w:rStyle w:val="FormatvorlageInstructionsTabelleText"/>
                <w:rFonts w:ascii="Times New Roman" w:hAnsi="Times New Roman"/>
                <w:sz w:val="24"/>
              </w:rPr>
              <w:t xml:space="preserve"> der er nævnt i artikel 95, stk. 2, litra a), i forordning (EU) nr. 575/2013, er større end det beløb, der er nævnt i artikel 95, stk. 2, litra b), i nævnte forordning, skal det indberettede beløb være nul.</w:t>
            </w:r>
          </w:p>
          <w:p w14:paraId="27EC85F3" w14:textId="6A43C811" w:rsidR="00802958" w:rsidRPr="002A677E" w:rsidRDefault="00802958" w:rsidP="00566DB5">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t>Hvis det beløb, der er nævnt i artikel 95, stk. 2, litra b), i forordning (EU) nr. 575/2013, er større end det beløb, der er nævnt i artikel 95, stk. 2, litra a), i nævnte forordning, skal det indberettede beløb være det resultat, der fås ved at trække sidstnævnte beløb fra det førstnævnte.</w:t>
            </w:r>
            <w:r>
              <w:rPr>
                <w:rStyle w:val="FormatvorlageInstructionsTabelleText"/>
                <w:rFonts w:ascii="Times New Roman" w:hAnsi="Times New Roman"/>
                <w:sz w:val="24"/>
              </w:rPr>
              <w:t xml:space="preserve"> </w:t>
            </w:r>
          </w:p>
        </w:tc>
      </w:tr>
      <w:tr w:rsidR="00802958" w:rsidRPr="002A677E" w14:paraId="4BCB8248" w14:textId="77777777" w:rsidTr="00672D2A">
        <w:tc>
          <w:tcPr>
            <w:tcW w:w="1591" w:type="dxa"/>
          </w:tcPr>
          <w:p w14:paraId="78BBCD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0640</w:t>
            </w:r>
          </w:p>
        </w:tc>
        <w:tc>
          <w:tcPr>
            <w:tcW w:w="7274" w:type="dxa"/>
          </w:tcPr>
          <w:p w14:paraId="57CF704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SAMLET RISIKOEKSPONERING FOR KREDITVÆRDIJUSTERING</w:t>
            </w:r>
          </w:p>
          <w:p w14:paraId="4C12E6E6" w14:textId="677DFCBE" w:rsidR="00E3279F" w:rsidRPr="002A677E" w:rsidRDefault="00802958" w:rsidP="00487A02">
            <w:pPr>
              <w:pStyle w:val="InstructionsText"/>
              <w:rPr>
                <w:rStyle w:val="InstructionsTabelleberschrift"/>
                <w:rFonts w:ascii="Times New Roman" w:hAnsi="Times New Roman"/>
                <w:b w:val="0"/>
                <w:sz w:val="24"/>
                <w:u w:val="none"/>
              </w:rPr>
            </w:pPr>
            <w:r>
              <w:t>Artikel 92, stk. 3, litra d), i forordning (EU) nr. 575/2013</w:t>
            </w:r>
          </w:p>
          <w:p w14:paraId="0C30EB9C"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Se CVA-skemaet.</w:t>
            </w:r>
            <w:r>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Avanceret metode</w:t>
            </w:r>
          </w:p>
          <w:p w14:paraId="0DA5744E" w14:textId="2C18BF89" w:rsidR="001E3EF1" w:rsidRPr="001235ED" w:rsidRDefault="00802958" w:rsidP="00802958">
            <w:pPr>
              <w:rPr>
                <w:rStyle w:val="FormatvorlageInstructionsTabelleText"/>
                <w:rFonts w:ascii="Times New Roman" w:hAnsi="Times New Roman"/>
                <w:sz w:val="24"/>
              </w:rPr>
            </w:pPr>
            <w:r>
              <w:rPr>
                <w:rFonts w:ascii="Times New Roman" w:hAnsi="Times New Roman"/>
                <w:sz w:val="24"/>
              </w:rPr>
              <w:t>Kapitalgrundlagskravene i relation til kreditværdijusteringsrisiko i henhold til artikel 383 i forordning (EU) nr. 575/2013.</w:t>
            </w:r>
          </w:p>
          <w:p w14:paraId="1F6B8B43"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CVA-skemaet.</w:t>
            </w:r>
          </w:p>
        </w:tc>
      </w:tr>
      <w:tr w:rsidR="00802958" w:rsidRPr="002A677E" w14:paraId="0BC322DF" w14:textId="77777777" w:rsidTr="00672D2A">
        <w:tc>
          <w:tcPr>
            <w:tcW w:w="1591" w:type="dxa"/>
          </w:tcPr>
          <w:p w14:paraId="195DC629"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Standardmetoden</w:t>
            </w:r>
          </w:p>
          <w:p w14:paraId="1DAC725B" w14:textId="4C78C6C8" w:rsidR="001E3EF1" w:rsidRPr="001235ED" w:rsidRDefault="00802958" w:rsidP="00802958">
            <w:pPr>
              <w:rPr>
                <w:rStyle w:val="FormatvorlageInstructionsTabelleText"/>
                <w:rFonts w:ascii="Times New Roman" w:hAnsi="Times New Roman"/>
                <w:sz w:val="24"/>
              </w:rPr>
            </w:pPr>
            <w:r>
              <w:rPr>
                <w:rFonts w:ascii="Times New Roman" w:hAnsi="Times New Roman"/>
                <w:sz w:val="24"/>
              </w:rPr>
              <w:t>Kapitalgrundlagskravene i relation til kreditværdijusteringsrisiko i henhold til artikel 384 i forordning (EU) nr. 575/2013.</w:t>
            </w:r>
            <w:r>
              <w:rPr>
                <w:rStyle w:val="FormatvorlageInstructionsTabelleText"/>
                <w:rFonts w:ascii="Times New Roman" w:hAnsi="Times New Roman"/>
                <w:sz w:val="24"/>
              </w:rPr>
              <w:t xml:space="preserve"> </w:t>
            </w:r>
          </w:p>
          <w:p w14:paraId="7BABE027"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CVA-skemaet.</w:t>
            </w:r>
          </w:p>
        </w:tc>
      </w:tr>
      <w:tr w:rsidR="00802958" w:rsidRPr="002A677E" w14:paraId="636CC6AD" w14:textId="77777777" w:rsidTr="00672D2A">
        <w:tc>
          <w:tcPr>
            <w:tcW w:w="1591" w:type="dxa"/>
          </w:tcPr>
          <w:p w14:paraId="581D6B4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14:paraId="7BAA3BD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Baseret på OEM</w:t>
            </w:r>
          </w:p>
          <w:p w14:paraId="4CC6A343" w14:textId="506EC298" w:rsidR="001E3EF1" w:rsidRPr="002A677E" w:rsidRDefault="00802958" w:rsidP="00487A02">
            <w:pPr>
              <w:pStyle w:val="InstructionsText"/>
              <w:rPr>
                <w:rStyle w:val="FormatvorlageInstructionsTabelleText"/>
                <w:rFonts w:ascii="Times New Roman" w:hAnsi="Times New Roman"/>
                <w:sz w:val="24"/>
              </w:rPr>
            </w:pPr>
            <w:r>
              <w:t>Kapitalgrundlagskravene i relation til kreditværdijusteringsrisiko i henhold til artikel 385 i forordning (EU) nr. 575/2013.</w:t>
            </w:r>
            <w:r>
              <w:rPr>
                <w:rStyle w:val="FormatvorlageInstructionsTabelleText"/>
                <w:rFonts w:ascii="Times New Roman" w:hAnsi="Times New Roman"/>
                <w:sz w:val="24"/>
              </w:rPr>
              <w:t xml:space="preserve">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Se CVA-skemaet.</w:t>
            </w:r>
          </w:p>
        </w:tc>
      </w:tr>
      <w:tr w:rsidR="00802958" w:rsidRPr="002A677E" w14:paraId="453A4987" w14:textId="77777777" w:rsidTr="00672D2A">
        <w:tc>
          <w:tcPr>
            <w:tcW w:w="1591" w:type="dxa"/>
          </w:tcPr>
          <w:p w14:paraId="5F0EB715" w14:textId="77777777" w:rsidR="00802958" w:rsidRPr="001235ED"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14:paraId="52929178" w14:textId="77777777" w:rsidR="00802958" w:rsidRPr="002A677E"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SAMLET RISIKOEKSPONERING I FORBINDELSE MED STORE EKSPONERINGER I HANDELSBEHOLDNINGEN</w:t>
            </w:r>
          </w:p>
          <w:p w14:paraId="5BE39790" w14:textId="29C2BFF6" w:rsidR="00802958" w:rsidRPr="002A677E" w:rsidRDefault="00802958" w:rsidP="00487A02">
            <w:pPr>
              <w:pStyle w:val="InstructionsText"/>
              <w:rPr>
                <w:rStyle w:val="FormatvorlageInstructionsTabelleText"/>
                <w:rFonts w:ascii="Times New Roman" w:hAnsi="Times New Roman"/>
                <w:bCs w:val="0"/>
                <w:sz w:val="24"/>
              </w:rPr>
            </w:pPr>
            <w:r>
              <w:t>Artikel 92, stk. 3, litra b), nr. ii), og artikel 395-401 i forordning (EU) nr. 575/2013</w:t>
            </w:r>
          </w:p>
        </w:tc>
      </w:tr>
      <w:tr w:rsidR="00802958" w:rsidRPr="002A677E" w14:paraId="46CB2AF1" w14:textId="77777777" w:rsidTr="00672D2A">
        <w:tc>
          <w:tcPr>
            <w:tcW w:w="1591" w:type="dxa"/>
          </w:tcPr>
          <w:p w14:paraId="68238E3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3712D8F3"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ANDRE RISIKOEKSPONERINGER</w:t>
            </w:r>
          </w:p>
          <w:p w14:paraId="6919B260" w14:textId="14B8FA61" w:rsidR="00802958" w:rsidRPr="002A677E" w:rsidRDefault="00802958" w:rsidP="00487A02">
            <w:pPr>
              <w:pStyle w:val="InstructionsText"/>
              <w:rPr>
                <w:rStyle w:val="InstructionsTabelleberschrift"/>
                <w:rFonts w:ascii="Times New Roman" w:hAnsi="Times New Roman"/>
                <w:b w:val="0"/>
                <w:bCs w:val="0"/>
                <w:sz w:val="24"/>
                <w:u w:val="none"/>
              </w:rPr>
            </w:pPr>
            <w:r>
              <w:t>Artikel 3, 458 og 459 i forordning (EU) nr. 575/2013 og risikoeksponeringer, der ikke kan tildeles en af posterne fra 1.1 til 1.7.</w:t>
            </w:r>
            <w:r>
              <w:rPr>
                <w:rStyle w:val="InstructionsTabelleberschrift"/>
                <w:rFonts w:ascii="Times New Roman" w:hAnsi="Times New Roman"/>
                <w:b w:val="0"/>
                <w:sz w:val="24"/>
                <w:u w:val="none"/>
              </w:rPr>
              <w:t xml:space="preserve">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Institutterne skal indberette de beløb, der er nødvendige, for at overholde følgende:</w:t>
            </w:r>
          </w:p>
          <w:p w14:paraId="4B8BA0A4" w14:textId="6CA412AB" w:rsidR="00802958" w:rsidRPr="002A677E" w:rsidRDefault="00802958" w:rsidP="00487A02">
            <w:pPr>
              <w:pStyle w:val="InstructionsText"/>
              <w:rPr>
                <w:rStyle w:val="InstructionsTabelleberschrift"/>
                <w:rFonts w:ascii="Times New Roman" w:hAnsi="Times New Roman"/>
                <w:b w:val="0"/>
                <w:bCs w:val="0"/>
                <w:sz w:val="24"/>
                <w:u w:val="none"/>
              </w:rPr>
            </w:pPr>
            <w:r>
              <w:t>Strengere tilsynskrav, der pålægges af Kommissionen i henhold til artikel 458 og 459 i forordning (EU) nr. 575/2013.</w:t>
            </w:r>
            <w:r>
              <w:rPr>
                <w:rStyle w:val="InstructionsTabelleberschrift"/>
                <w:rFonts w:ascii="Times New Roman" w:hAnsi="Times New Roman"/>
                <w:b w:val="0"/>
                <w:sz w:val="24"/>
                <w:u w:val="none"/>
              </w:rPr>
              <w:t xml:space="preserve"> </w:t>
            </w:r>
          </w:p>
          <w:p w14:paraId="469E9DD4" w14:textId="6D6D1EA2" w:rsidR="00802958" w:rsidRPr="002A677E" w:rsidRDefault="00802958" w:rsidP="00487A02">
            <w:pPr>
              <w:pStyle w:val="InstructionsText"/>
              <w:rPr>
                <w:rStyle w:val="InstructionsTabelleberschrift"/>
                <w:rFonts w:ascii="Times New Roman" w:hAnsi="Times New Roman"/>
                <w:b w:val="0"/>
                <w:bCs w:val="0"/>
                <w:sz w:val="24"/>
                <w:u w:val="none"/>
              </w:rPr>
            </w:pPr>
            <w:r>
              <w:t>Yderligere risikoeksponering, der følger af artikel 3 i forordning (EU) nr. 575/2013.</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Denne post er ikke kædet sammen med et detaljeret skema. </w:t>
            </w:r>
          </w:p>
        </w:tc>
      </w:tr>
      <w:tr w:rsidR="00802958" w:rsidRPr="002A677E" w14:paraId="6B92E943" w14:textId="77777777" w:rsidTr="00672D2A">
        <w:tc>
          <w:tcPr>
            <w:tcW w:w="1591" w:type="dxa"/>
          </w:tcPr>
          <w:p w14:paraId="7B3B331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29240DDD" w14:textId="0E3D1814"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Heraf: Yderligere strengere tilsynskrav på grundlag af artikel 458 i forordning (EU) nr. 575/2013</w:t>
            </w:r>
          </w:p>
          <w:p w14:paraId="6734B1B9" w14:textId="58D1680B" w:rsidR="00802958" w:rsidRPr="002A677E" w:rsidRDefault="00802958" w:rsidP="00487A02">
            <w:pPr>
              <w:pStyle w:val="InstructionsText"/>
              <w:rPr>
                <w:rStyle w:val="InstructionsTabelleberschrift"/>
                <w:rFonts w:ascii="Times New Roman" w:hAnsi="Times New Roman"/>
                <w:b w:val="0"/>
                <w:sz w:val="24"/>
                <w:u w:val="none"/>
              </w:rPr>
            </w:pPr>
            <w:r>
              <w:lastRenderedPageBreak/>
              <w:t>Artikel 458 i forordning (EU) nr. 575/2013</w:t>
            </w:r>
          </w:p>
        </w:tc>
      </w:tr>
      <w:tr w:rsidR="00802958" w:rsidRPr="002A677E" w14:paraId="5072D0A4" w14:textId="77777777" w:rsidTr="00672D2A">
        <w:tc>
          <w:tcPr>
            <w:tcW w:w="1591" w:type="dxa"/>
          </w:tcPr>
          <w:p w14:paraId="7E0B8E1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0720</w:t>
            </w:r>
          </w:p>
        </w:tc>
        <w:tc>
          <w:tcPr>
            <w:tcW w:w="7274" w:type="dxa"/>
          </w:tcPr>
          <w:p w14:paraId="1C5832E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Heraf: krav vedrørende store eksponeringer</w:t>
            </w:r>
          </w:p>
          <w:p w14:paraId="7EA664B8" w14:textId="74915159" w:rsidR="00802958" w:rsidRPr="002A677E" w:rsidRDefault="00802958" w:rsidP="00487A02">
            <w:pPr>
              <w:pStyle w:val="InstructionsText"/>
              <w:rPr>
                <w:rStyle w:val="InstructionsTabelleberschrift"/>
                <w:rFonts w:ascii="Times New Roman" w:hAnsi="Times New Roman"/>
                <w:sz w:val="24"/>
              </w:rPr>
            </w:pPr>
            <w:r>
              <w:t>Artikel 458 i forordning (EU) nr. 575/2013</w:t>
            </w:r>
          </w:p>
        </w:tc>
      </w:tr>
      <w:tr w:rsidR="00802958" w:rsidRPr="002A677E" w14:paraId="52BD382A" w14:textId="77777777" w:rsidTr="00672D2A">
        <w:tc>
          <w:tcPr>
            <w:tcW w:w="1591" w:type="dxa"/>
          </w:tcPr>
          <w:p w14:paraId="5FBB0FB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265623F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Heraf: som følge af modificerede risikovægte til håndtering af aktivbobler inden for beboelses- og erhvervsejendomssektoren</w:t>
            </w:r>
          </w:p>
          <w:p w14:paraId="51AF7235" w14:textId="05EABDFE" w:rsidR="00802958" w:rsidRPr="002A677E" w:rsidRDefault="00802958" w:rsidP="00487A02">
            <w:pPr>
              <w:pStyle w:val="InstructionsText"/>
              <w:rPr>
                <w:rStyle w:val="InstructionsTabelleberschrift"/>
                <w:rFonts w:ascii="Times New Roman" w:hAnsi="Times New Roman"/>
                <w:sz w:val="24"/>
              </w:rPr>
            </w:pPr>
            <w:r>
              <w:t>Artikel 458 i forordning (EU) nr. 575/2013</w:t>
            </w:r>
          </w:p>
        </w:tc>
      </w:tr>
      <w:tr w:rsidR="00802958" w:rsidRPr="002A677E" w14:paraId="4BEBCD6C" w14:textId="77777777" w:rsidTr="00672D2A">
        <w:tc>
          <w:tcPr>
            <w:tcW w:w="1591" w:type="dxa"/>
          </w:tcPr>
          <w:p w14:paraId="4020861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3AC4EA3C"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Heraf: som følge af eksponeringer inden for den finansielle sektor</w:t>
            </w:r>
          </w:p>
          <w:p w14:paraId="2F5ADD62" w14:textId="19877A17" w:rsidR="00802958" w:rsidRPr="002A677E" w:rsidRDefault="00802958" w:rsidP="00487A02">
            <w:pPr>
              <w:pStyle w:val="InstructionsText"/>
              <w:rPr>
                <w:rStyle w:val="InstructionsTabelleberschrift"/>
                <w:rFonts w:ascii="Times New Roman" w:hAnsi="Times New Roman"/>
                <w:sz w:val="24"/>
              </w:rPr>
            </w:pPr>
            <w:r>
              <w:t>Artikel 458 i forordning (EU) nr. 575/2013</w:t>
            </w:r>
          </w:p>
        </w:tc>
      </w:tr>
      <w:tr w:rsidR="00802958" w:rsidRPr="002A677E" w14:paraId="600E363A" w14:textId="77777777" w:rsidTr="00672D2A">
        <w:tc>
          <w:tcPr>
            <w:tcW w:w="1591" w:type="dxa"/>
          </w:tcPr>
          <w:p w14:paraId="3034736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73B7DEC" w14:textId="7D637C6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Heraf: Yderligere strengere tilsynskrav på grundlag af artikel 459 i forordning (EU) nr. 575/2013</w:t>
            </w:r>
          </w:p>
          <w:p w14:paraId="705AA238" w14:textId="6CA85029" w:rsidR="00802958" w:rsidRPr="002A677E" w:rsidRDefault="00802958" w:rsidP="00487A02">
            <w:pPr>
              <w:pStyle w:val="InstructionsText"/>
              <w:rPr>
                <w:rStyle w:val="InstructionsTabelleberschrift"/>
                <w:rFonts w:ascii="Times New Roman" w:hAnsi="Times New Roman"/>
                <w:sz w:val="24"/>
              </w:rPr>
            </w:pPr>
            <w:r>
              <w:t>Artikel 459 i forordning (EU) nr. 575/2013</w:t>
            </w:r>
          </w:p>
        </w:tc>
      </w:tr>
      <w:tr w:rsidR="00802958" w:rsidRPr="002A677E" w14:paraId="6B4BA9FF" w14:textId="77777777" w:rsidTr="00672D2A">
        <w:tc>
          <w:tcPr>
            <w:tcW w:w="1591" w:type="dxa"/>
            <w:shd w:val="clear" w:color="auto" w:fill="auto"/>
          </w:tcPr>
          <w:p w14:paraId="1C4340E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5B1D1AEE" w14:textId="10181F85"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Heraf: Yderligere risikoeksponering, der følger af artikel 3 i forordning (EU) nr. 575/2013</w:t>
            </w:r>
          </w:p>
          <w:p w14:paraId="069F0DD5" w14:textId="087DF714" w:rsidR="00802958" w:rsidRPr="002A677E" w:rsidRDefault="00802958" w:rsidP="00487A02">
            <w:pPr>
              <w:pStyle w:val="InstructionsText"/>
              <w:rPr>
                <w:rStyle w:val="FormatvorlageInstructionsTabelleText"/>
                <w:rFonts w:ascii="Times New Roman" w:hAnsi="Times New Roman"/>
                <w:sz w:val="24"/>
              </w:rPr>
            </w:pPr>
            <w:r>
              <w:t>Artikel 3 i forordning (EU) nr. 575/2013</w:t>
            </w:r>
          </w:p>
          <w:p w14:paraId="1EE2510A" w14:textId="0E120819" w:rsidR="00802958"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 yderligere risikoeksponering skal indberettes. </w:t>
            </w:r>
            <w:r>
              <w:t>Den skal kun omfatte den yderligere eksponering (hvis en eksponering på 100 f.eks. har en risikovægt på 20 %, og instituttet anvender en risikovægt på 50 % i medfør af artikel 3 i forordning (EU) nr. 575/2013, indberettes værdien 30).</w:t>
            </w:r>
            <w:r>
              <w:rPr>
                <w:rStyle w:val="InstructionsTabelleberschrift"/>
                <w:rFonts w:ascii="Times New Roman" w:hAnsi="Times New Roman"/>
                <w:b w:val="0"/>
                <w:sz w:val="24"/>
                <w:u w:val="none"/>
              </w:rPr>
              <w:t xml:space="preserve">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308175826"/>
      <w:bookmarkStart w:id="52" w:name="_Toc360188329"/>
      <w:bookmarkStart w:id="53" w:name="_Toc119059299"/>
      <w:r>
        <w:rPr>
          <w:rFonts w:ascii="Times New Roman" w:hAnsi="Times New Roman"/>
          <w:sz w:val="24"/>
          <w:u w:val="none"/>
        </w:rPr>
        <w:t>1.4</w:t>
      </w:r>
      <w:r>
        <w:tab/>
      </w:r>
      <w:r>
        <w:rPr>
          <w:rFonts w:ascii="Times New Roman" w:hAnsi="Times New Roman"/>
          <w:sz w:val="24"/>
          <w:u w:val="none"/>
        </w:rPr>
        <w:t>C 03.00 – KAPITALPROCENTER OG KAPITALNIVEAUER (CA3)</w:t>
      </w:r>
      <w:bookmarkEnd w:id="50"/>
      <w:bookmarkEnd w:id="53"/>
      <w:r>
        <w:rPr>
          <w:rFonts w:ascii="Times New Roman" w:hAnsi="Times New Roman"/>
          <w:sz w:val="24"/>
          <w:u w:val="none"/>
        </w:rPr>
        <w:t xml:space="preserve"> </w:t>
      </w:r>
      <w:bookmarkEnd w:id="51"/>
      <w:bookmarkEnd w:id="52"/>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4" w:name="_Toc308175827"/>
      <w:bookmarkStart w:id="55" w:name="_Toc310414972"/>
      <w:bookmarkStart w:id="56" w:name="_Toc360188330"/>
      <w:bookmarkStart w:id="57" w:name="_Toc473560878"/>
      <w:bookmarkStart w:id="58" w:name="_Toc119059300"/>
      <w:r>
        <w:rPr>
          <w:rFonts w:ascii="Times New Roman" w:hAnsi="Times New Roman"/>
          <w:sz w:val="24"/>
          <w:u w:val="none"/>
        </w:rPr>
        <w:t>1.4.1.</w:t>
      </w:r>
      <w:r>
        <w:tab/>
      </w:r>
      <w:r>
        <w:rPr>
          <w:rFonts w:ascii="Times New Roman" w:hAnsi="Times New Roman"/>
          <w:sz w:val="24"/>
        </w:rPr>
        <w:t>Instrukser vedrørende specifikke positioner</w:t>
      </w:r>
      <w:bookmarkEnd w:id="54"/>
      <w:bookmarkEnd w:id="55"/>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t>Rækker</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t>0010</w:t>
            </w:r>
          </w:p>
        </w:tc>
        <w:tc>
          <w:tcPr>
            <w:tcW w:w="7620" w:type="dxa"/>
          </w:tcPr>
          <w:p w14:paraId="1AD00DFB" w14:textId="77777777"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Egentlig kernekapitalprocent</w:t>
            </w:r>
          </w:p>
          <w:p w14:paraId="3AB50D42" w14:textId="7C933A43" w:rsidR="005643EA" w:rsidRPr="002A677E" w:rsidRDefault="002648B0" w:rsidP="00487A02">
            <w:pPr>
              <w:pStyle w:val="InstructionsText"/>
            </w:pPr>
            <w:r>
              <w:t>Artikel 92, stk. 2, litra a), i forordning (EU) nr. 575/2013</w:t>
            </w:r>
          </w:p>
          <w:p w14:paraId="4ECA63DC" w14:textId="77777777" w:rsidR="005643EA" w:rsidRPr="002A677E" w:rsidRDefault="002648B0" w:rsidP="00487A02">
            <w:pPr>
              <w:pStyle w:val="InstructionsText"/>
            </w:pPr>
            <w:r>
              <w:t>Den egentlige kernekapitalprocent er instituttets egentlige kernekapital udtrykt som en procentdel af den samlede risikoeksponering.</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t>0020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Overskud (+)/Underskud (-) af egentlig kernekapital</w:t>
            </w:r>
          </w:p>
          <w:p w14:paraId="37188E0C" w14:textId="2B40969C" w:rsidR="005643EA" w:rsidRPr="002A677E" w:rsidRDefault="002648B0" w:rsidP="008B3A5F">
            <w:pPr>
              <w:pStyle w:val="InstructionsText"/>
            </w:pPr>
            <w:r>
              <w:t>I denne post vises (i absolutte tal) beløbet for overskuddet eller underskuddet af egentlig kernekapital i forhold til kravet i artikel 92, stk. 1, litra a), i forordning (EU) nr. 575/2013 (4,5 %), dvs. uden hensyntagen til kapitalbuffere og overgangsbestemmelser vedrørende kapitalprocenten.</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t>0030</w:t>
            </w:r>
          </w:p>
        </w:tc>
        <w:tc>
          <w:tcPr>
            <w:tcW w:w="7620" w:type="dxa"/>
          </w:tcPr>
          <w:p w14:paraId="0184D636" w14:textId="77777777" w:rsidR="005643EA" w:rsidRPr="002A677E"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Kernekapitalprocent</w:t>
            </w:r>
          </w:p>
          <w:p w14:paraId="601A9262" w14:textId="2A814BF8" w:rsidR="005643EA" w:rsidRPr="002A677E" w:rsidRDefault="002648B0" w:rsidP="00487A02">
            <w:pPr>
              <w:pStyle w:val="InstructionsText"/>
            </w:pPr>
            <w:r>
              <w:t>Artikel 92, stk. 2, litra b), i forordning (EU) nr. 575/2013</w:t>
            </w:r>
          </w:p>
          <w:p w14:paraId="766E9F5A" w14:textId="77777777" w:rsidR="005643EA" w:rsidRPr="002A677E" w:rsidRDefault="002648B0" w:rsidP="00487A02">
            <w:pPr>
              <w:pStyle w:val="InstructionsText"/>
            </w:pPr>
            <w:r>
              <w:t>Kernekapitalprocenten er instituttets kernekapital udtrykt som en procentdel af den samlede risikoeksponering.</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t>0040</w:t>
            </w:r>
          </w:p>
        </w:tc>
        <w:tc>
          <w:tcPr>
            <w:tcW w:w="7620" w:type="dxa"/>
          </w:tcPr>
          <w:p w14:paraId="502A3E0F" w14:textId="77777777" w:rsidR="005643EA" w:rsidRPr="002A677E"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Overskud (+)/Underskud (-) af kernekapital</w:t>
            </w:r>
          </w:p>
          <w:p w14:paraId="7F9BAB6C" w14:textId="62F8DD46" w:rsidR="005643EA" w:rsidRPr="002A677E" w:rsidRDefault="002648B0" w:rsidP="008B3A5F">
            <w:pPr>
              <w:pStyle w:val="InstructionsText"/>
            </w:pPr>
            <w:r>
              <w:lastRenderedPageBreak/>
              <w:t>I denne post vises (i absolutte tal) beløbet for overskuddet eller underskuddet af supplerende kernekapital i forhold til kravet i artikel 92, stk. 1, litra b), i forordning (EU) nr. 575/2013 (6 %), dvs. uden hensyntagen til kapitalbuffere og overgangsbestemmelser vedrørende kapitalprocenten.</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lastRenderedPageBreak/>
              <w:t>0050</w:t>
            </w:r>
          </w:p>
        </w:tc>
        <w:tc>
          <w:tcPr>
            <w:tcW w:w="7620" w:type="dxa"/>
          </w:tcPr>
          <w:p w14:paraId="40F1E8E5" w14:textId="77777777" w:rsidR="005643EA" w:rsidRPr="002A677E"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Kapitalprocent i alt</w:t>
            </w:r>
          </w:p>
          <w:p w14:paraId="1B806A0B" w14:textId="10B1CB02" w:rsidR="005643EA" w:rsidRPr="002A677E" w:rsidRDefault="002648B0" w:rsidP="00487A02">
            <w:pPr>
              <w:pStyle w:val="InstructionsText"/>
            </w:pPr>
            <w:r>
              <w:t>Artikel 92, stk. 2, litra c), i forordning (EU) nr. 575/2013</w:t>
            </w:r>
          </w:p>
          <w:p w14:paraId="2870DB19" w14:textId="77777777" w:rsidR="005643EA" w:rsidRPr="002A677E" w:rsidRDefault="002648B0" w:rsidP="00487A02">
            <w:pPr>
              <w:pStyle w:val="InstructionsText"/>
            </w:pPr>
            <w:r>
              <w:t>Den samlede kapitalprocent er instituttets kapitalgrundlag udtrykt som en procentdel af den samlede risikoeksponering.</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t>0060</w:t>
            </w:r>
          </w:p>
        </w:tc>
        <w:tc>
          <w:tcPr>
            <w:tcW w:w="7620" w:type="dxa"/>
          </w:tcPr>
          <w:p w14:paraId="4C157BF3" w14:textId="77777777" w:rsidR="005643EA" w:rsidRPr="002A677E"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Overskud (+)/Underskud (-) af kapitalgrundlag</w:t>
            </w:r>
          </w:p>
          <w:p w14:paraId="6F40F6A3" w14:textId="5CD02696" w:rsidR="005643EA" w:rsidRPr="002A677E" w:rsidRDefault="002648B0" w:rsidP="008B3A5F">
            <w:pPr>
              <w:pStyle w:val="InstructionsText"/>
            </w:pPr>
            <w:r>
              <w:t>I denne post vises (i absolutte tal) beløbet for overskuddet eller underskuddet af kapitalgrundlag i forhold til kravet i artikel 92, stk. 1, litra c), i forordning (EU) nr. 575/2013 (8 %), dvs. uden hensyntagen til kapitalbuffere og overgangsbestemmelser vedrørende kapitalprocenten.</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t>0130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Samlet SREP-kapitalkrav (TSCR), i %</w:t>
            </w:r>
          </w:p>
          <w:p w14:paraId="7EB9D06C" w14:textId="77777777" w:rsidR="009C083D" w:rsidRPr="002A677E" w:rsidRDefault="009C083D" w:rsidP="00487A02">
            <w:pPr>
              <w:pStyle w:val="InstructionsText"/>
            </w:pPr>
            <w:r>
              <w:t>Summen af i) og ii) som følger:</w:t>
            </w:r>
          </w:p>
          <w:p w14:paraId="397DA896" w14:textId="75016728" w:rsidR="009C083D" w:rsidRPr="002A677E" w:rsidRDefault="009C083D" w:rsidP="00487A02">
            <w:pPr>
              <w:pStyle w:val="InstructionsText"/>
              <w:numPr>
                <w:ilvl w:val="0"/>
                <w:numId w:val="20"/>
              </w:numPr>
            </w:pPr>
            <w:r>
              <w:t xml:space="preserve">den samlede kapitalprocent (8 %), jf. artikel 92, stk. 1, litra c), i forordning (EU) nr. 575/2013 </w:t>
            </w:r>
          </w:p>
          <w:p w14:paraId="24B944F5" w14:textId="2230B73B" w:rsidR="009C083D" w:rsidRPr="002A677E" w:rsidRDefault="009C083D" w:rsidP="00487A02">
            <w:pPr>
              <w:pStyle w:val="InstructionsText"/>
              <w:numPr>
                <w:ilvl w:val="0"/>
                <w:numId w:val="20"/>
              </w:numPr>
            </w:pPr>
            <w:r>
              <w:t>krav om yderligere kapitalgrundlag (søjle 2-krav — P2R) som omhandlet i artikel 104, stk. 1, litra a), i direktiv 2013/36/EU, der angives som en procent. De fastsættes i overensstemmelse med kriterierne i EBA's retningslinjer om fælles procedurer og metoder for tilsynskontrol- og vurderingsprocessen og tilsynsmæssig stresstestning (</w:t>
            </w:r>
            <w:r>
              <w:rPr>
                <w:i/>
              </w:rPr>
              <w:t>EBA Guidelines on common procedures and methodologies for the supervisory review and evaluation process and supervisory stress testing</w:t>
            </w:r>
            <w:r>
              <w:t xml:space="preserve"> — EBA SREP GL).</w:t>
            </w:r>
          </w:p>
          <w:p w14:paraId="729722E6" w14:textId="77777777" w:rsidR="009C083D" w:rsidRPr="002A677E" w:rsidRDefault="009C083D" w:rsidP="00487A02">
            <w:pPr>
              <w:pStyle w:val="InstructionsText"/>
            </w:pPr>
            <w:r>
              <w:t>Denne post afspejler det samlede SREP-kapitalkrav (TSCR), i procent, som den kompetente myndighed har meddelt instituttet. TSCR er defineret i afsnit 7.4 og 7.5 i EBA SREP GL.</w:t>
            </w:r>
          </w:p>
          <w:p w14:paraId="2B22BEBA" w14:textId="77777777" w:rsidR="00C9673B" w:rsidRPr="002A677E" w:rsidRDefault="00FF2818" w:rsidP="00487A02">
            <w:pPr>
              <w:pStyle w:val="InstructionsText"/>
              <w:rPr>
                <w:rStyle w:val="InstructionsTabelleberschrift"/>
                <w:rFonts w:ascii="Times New Roman" w:hAnsi="Times New Roman"/>
                <w:b w:val="0"/>
                <w:bCs w:val="0"/>
                <w:sz w:val="24"/>
                <w:u w:val="none"/>
              </w:rPr>
            </w:pPr>
            <w:r>
              <w:t xml:space="preserve">Hvis den kompetente myndighed ikke har oplyst om nogen krav om yderligere kapitalgrundlag, er det kun nr. i), der skal indberettes.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t>0140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i form af egentlig kernekapital </w:t>
            </w:r>
          </w:p>
          <w:p w14:paraId="131D3C90" w14:textId="77777777" w:rsidR="009C083D" w:rsidRPr="002A677E" w:rsidRDefault="009C083D" w:rsidP="00487A02">
            <w:pPr>
              <w:pStyle w:val="InstructionsText"/>
            </w:pPr>
            <w:r>
              <w:t>Summen af i) og ii) som følger:</w:t>
            </w:r>
          </w:p>
          <w:p w14:paraId="63A912BD" w14:textId="57216674" w:rsidR="009C083D" w:rsidRPr="002A677E" w:rsidRDefault="009C083D" w:rsidP="00487A02">
            <w:pPr>
              <w:pStyle w:val="InstructionsText"/>
              <w:numPr>
                <w:ilvl w:val="0"/>
                <w:numId w:val="21"/>
              </w:numPr>
            </w:pPr>
            <w:r>
              <w:t>den egentlige kernekapitalprocent (4,5 %), jf. artikel 92, stk. 1, litra a), i forordning (EU) nr. 575/2013</w:t>
            </w:r>
          </w:p>
          <w:p w14:paraId="6840BFDD" w14:textId="77777777" w:rsidR="0002157C" w:rsidRPr="002A677E" w:rsidRDefault="009C083D" w:rsidP="00487A02">
            <w:pPr>
              <w:pStyle w:val="InstructionsText"/>
              <w:numPr>
                <w:ilvl w:val="0"/>
                <w:numId w:val="21"/>
              </w:numPr>
              <w:rPr>
                <w:b/>
                <w:bCs/>
                <w:u w:val="single"/>
              </w:rPr>
            </w:pPr>
            <w:r>
              <w:t>den del af søjle 2-andelen, omhandlet i række 0130, nr. ii), som den kompetente myndighed kræver besiddes i form af egentlig kernekapital.</w:t>
            </w:r>
          </w:p>
          <w:p w14:paraId="170D6E02" w14:textId="77777777" w:rsidR="009C083D" w:rsidRPr="002A677E" w:rsidRDefault="00FF2818" w:rsidP="00487A02">
            <w:pPr>
              <w:pStyle w:val="InstructionsText"/>
              <w:rPr>
                <w:rStyle w:val="InstructionsTabelleberschrift"/>
                <w:rFonts w:ascii="Times New Roman" w:hAnsi="Times New Roman"/>
                <w:sz w:val="24"/>
              </w:rPr>
            </w:pPr>
            <w:r>
              <w:t>Hvis den kompetente myndighed ikke har oplyst om nogen krav om yderligere kapitalgrundlag, der skal holdes i form af egentlig kernekapital, er det kun nr. i), der skal indberettes.</w:t>
            </w:r>
            <w:r>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t>0150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i form af kernekapital</w:t>
            </w:r>
          </w:p>
          <w:p w14:paraId="4C3C74C1" w14:textId="77777777" w:rsidR="009C083D" w:rsidRPr="002A677E" w:rsidRDefault="009C083D" w:rsidP="00487A02">
            <w:pPr>
              <w:pStyle w:val="InstructionsText"/>
            </w:pPr>
            <w:r>
              <w:t>Summen af i) og ii) som følger:</w:t>
            </w:r>
          </w:p>
          <w:p w14:paraId="4657F7D0" w14:textId="313BDB93" w:rsidR="009C083D" w:rsidRPr="002A677E" w:rsidRDefault="009C083D" w:rsidP="00487A02">
            <w:pPr>
              <w:pStyle w:val="InstructionsText"/>
              <w:numPr>
                <w:ilvl w:val="0"/>
                <w:numId w:val="22"/>
              </w:numPr>
            </w:pPr>
            <w:r>
              <w:lastRenderedPageBreak/>
              <w:t>kernekapitalprocenten (6 %), jf. artikel 92, stk. 1, litra b), i forordning (EU) nr. 575/2013</w:t>
            </w:r>
          </w:p>
          <w:p w14:paraId="37CACF63" w14:textId="77777777" w:rsidR="009C083D" w:rsidRPr="002A677E" w:rsidRDefault="009C083D" w:rsidP="00487A02">
            <w:pPr>
              <w:pStyle w:val="InstructionsText"/>
              <w:numPr>
                <w:ilvl w:val="0"/>
                <w:numId w:val="22"/>
              </w:numPr>
              <w:rPr>
                <w:bCs/>
                <w:u w:val="single"/>
              </w:rPr>
            </w:pPr>
            <w:r>
              <w:t>den del af søjle 2-andelen, omhandlet i række 0130, nr. ii), som den kompetente myndighed kræver besiddes i form af kernekapital.</w:t>
            </w:r>
          </w:p>
          <w:p w14:paraId="7A82E739" w14:textId="77777777" w:rsidR="00DA6CB8" w:rsidRPr="002A677E" w:rsidRDefault="00FF2818" w:rsidP="00487A02">
            <w:pPr>
              <w:pStyle w:val="InstructionsText"/>
              <w:rPr>
                <w:rStyle w:val="InstructionsTabelleberschrift"/>
                <w:rFonts w:ascii="Times New Roman" w:hAnsi="Times New Roman"/>
                <w:b w:val="0"/>
                <w:sz w:val="24"/>
              </w:rPr>
            </w:pPr>
            <w:r>
              <w:t>Hvis den kompetente myndighed ikke har oplyst om nogen krav om yderligere kapitalgrundlag, der skal holdes i form af kernekapital, er det kun nr. i), der skal indberettes.</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lastRenderedPageBreak/>
              <w:t>0160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Sammenlagt kapitalkrav (OCR), i %</w:t>
            </w:r>
          </w:p>
          <w:p w14:paraId="5488678A" w14:textId="77777777" w:rsidR="009C083D" w:rsidRPr="002A677E" w:rsidRDefault="009C083D" w:rsidP="00487A02">
            <w:pPr>
              <w:pStyle w:val="InstructionsText"/>
            </w:pPr>
            <w:r>
              <w:t>Summen af i) og ii) som følger:</w:t>
            </w:r>
          </w:p>
          <w:p w14:paraId="0FF8F167" w14:textId="77777777" w:rsidR="009C083D" w:rsidRPr="002A677E" w:rsidRDefault="009C083D" w:rsidP="00487A02">
            <w:pPr>
              <w:pStyle w:val="InstructionsText"/>
              <w:numPr>
                <w:ilvl w:val="0"/>
                <w:numId w:val="23"/>
              </w:numPr>
            </w:pPr>
            <w:r>
              <w:t>TSCR-andelen i række 0130</w:t>
            </w:r>
          </w:p>
          <w:p w14:paraId="5C51AED8" w14:textId="4B427B55" w:rsidR="009C083D" w:rsidRPr="002A677E" w:rsidRDefault="009C083D" w:rsidP="00487A02">
            <w:pPr>
              <w:pStyle w:val="InstructionsText"/>
              <w:numPr>
                <w:ilvl w:val="0"/>
                <w:numId w:val="23"/>
              </w:numPr>
            </w:pPr>
            <w:r>
              <w:t>hvis det er påkrævet iht. lovgivningen, det kombinerede bufferkrav, jf. artikel 128, nr. 6), i direktiv 2013/36/EU.</w:t>
            </w:r>
          </w:p>
          <w:p w14:paraId="44AD77AD" w14:textId="77777777" w:rsidR="005B54BB" w:rsidRPr="002A677E" w:rsidRDefault="009C083D" w:rsidP="00487A02">
            <w:pPr>
              <w:pStyle w:val="InstructionsText"/>
            </w:pPr>
            <w:r>
              <w:t>Denne post afspejler det sammenlagte kapitalkrav (OCR), i procent, som defineret i afsnit 7.5 i EBA SREP GL.</w:t>
            </w:r>
          </w:p>
          <w:p w14:paraId="4DD4EE34" w14:textId="77777777" w:rsidR="00645573" w:rsidRPr="002A677E" w:rsidRDefault="00FF2818" w:rsidP="00487A02">
            <w:pPr>
              <w:pStyle w:val="InstructionsText"/>
              <w:rPr>
                <w:rStyle w:val="InstructionsTabelleberschrift"/>
                <w:rFonts w:ascii="Times New Roman" w:hAnsi="Times New Roman"/>
                <w:sz w:val="24"/>
              </w:rPr>
            </w:pPr>
            <w:r>
              <w:t>Hvis intet bufferkrav finder anvendelse, indberettes kun nr. i).</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t>0170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i form af egentlig kernekapital </w:t>
            </w:r>
          </w:p>
          <w:p w14:paraId="3190A351" w14:textId="77777777" w:rsidR="009C083D" w:rsidRPr="002A677E" w:rsidRDefault="009C083D" w:rsidP="00487A02">
            <w:pPr>
              <w:pStyle w:val="InstructionsText"/>
            </w:pPr>
            <w:r>
              <w:t>Summen af i) og ii) som følger:</w:t>
            </w:r>
          </w:p>
          <w:p w14:paraId="14D63B29" w14:textId="77777777" w:rsidR="009C083D" w:rsidRPr="002A677E" w:rsidRDefault="009C083D" w:rsidP="00487A02">
            <w:pPr>
              <w:pStyle w:val="InstructionsText"/>
              <w:numPr>
                <w:ilvl w:val="0"/>
                <w:numId w:val="24"/>
              </w:numPr>
            </w:pPr>
            <w:r>
              <w:t>TSCR-andelen i form af egentlig kernekapital, jf. række 0140</w:t>
            </w:r>
          </w:p>
          <w:p w14:paraId="79A85A79" w14:textId="7B99ABDA" w:rsidR="009C083D" w:rsidRPr="002A677E" w:rsidRDefault="009C083D" w:rsidP="00487A02">
            <w:pPr>
              <w:pStyle w:val="InstructionsText"/>
              <w:numPr>
                <w:ilvl w:val="0"/>
                <w:numId w:val="24"/>
              </w:numPr>
              <w:rPr>
                <w:bCs/>
                <w:u w:val="single"/>
              </w:rPr>
            </w:pPr>
            <w:r>
              <w:t>hvis det er påkrævet iht. lovgivningen, det kombinerede bufferkrav, jf. artikel 128, nr. 6), i direktiv 2013/36/EU.</w:t>
            </w:r>
          </w:p>
          <w:p w14:paraId="4AA3D835" w14:textId="77777777" w:rsidR="00BA325A" w:rsidRPr="002A677E" w:rsidRDefault="00FF2818" w:rsidP="00487A02">
            <w:pPr>
              <w:pStyle w:val="InstructionsText"/>
              <w:rPr>
                <w:rStyle w:val="InstructionsTabelleberschrift"/>
                <w:rFonts w:ascii="Times New Roman" w:hAnsi="Times New Roman"/>
                <w:b w:val="0"/>
                <w:sz w:val="24"/>
              </w:rPr>
            </w:pPr>
            <w:r>
              <w:t>Hvis intet bufferkrav finder anvendelse, indberettes kun nr. i).</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t>0180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i form af kernekapital</w:t>
            </w:r>
          </w:p>
          <w:p w14:paraId="554AC14C" w14:textId="77777777" w:rsidR="009C083D" w:rsidRPr="002A677E" w:rsidRDefault="009C083D" w:rsidP="00487A02">
            <w:pPr>
              <w:pStyle w:val="InstructionsText"/>
            </w:pPr>
            <w:r>
              <w:t>Summen af i) og ii) som følger:</w:t>
            </w:r>
          </w:p>
          <w:p w14:paraId="2FE66F48" w14:textId="77777777" w:rsidR="009C083D" w:rsidRPr="002A677E" w:rsidRDefault="009C083D" w:rsidP="00487A02">
            <w:pPr>
              <w:pStyle w:val="InstructionsText"/>
              <w:numPr>
                <w:ilvl w:val="0"/>
                <w:numId w:val="25"/>
              </w:numPr>
            </w:pPr>
            <w:r>
              <w:t>TSCR-andelen i form af kernekernekapital, jf. række 0150</w:t>
            </w:r>
          </w:p>
          <w:p w14:paraId="3647DB7F" w14:textId="55013E6D" w:rsidR="009C083D" w:rsidRPr="002A677E" w:rsidRDefault="009C083D" w:rsidP="00487A02">
            <w:pPr>
              <w:pStyle w:val="InstructionsText"/>
              <w:numPr>
                <w:ilvl w:val="0"/>
                <w:numId w:val="25"/>
              </w:numPr>
              <w:rPr>
                <w:bCs/>
                <w:u w:val="single"/>
              </w:rPr>
            </w:pPr>
            <w:r>
              <w:t>hvis det er påkrævet iht. lovgivningen, det kombinerede bufferkrav, jf. artikel 128, nr. 6), i direktiv 2013/36/EU.</w:t>
            </w:r>
          </w:p>
          <w:p w14:paraId="7DBC75C5" w14:textId="77777777" w:rsidR="00BA325A" w:rsidRPr="002A677E" w:rsidRDefault="00FF2818" w:rsidP="00487A02">
            <w:pPr>
              <w:pStyle w:val="InstructionsText"/>
              <w:rPr>
                <w:rStyle w:val="InstructionsTabelleberschrift"/>
                <w:rFonts w:ascii="Times New Roman" w:hAnsi="Times New Roman"/>
                <w:b w:val="0"/>
                <w:sz w:val="24"/>
              </w:rPr>
            </w:pPr>
            <w:r>
              <w:t>Hvis intet bufferkrav finder anvendelse, indberettes kun nr. i).</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t>0190</w:t>
            </w:r>
          </w:p>
        </w:tc>
        <w:tc>
          <w:tcPr>
            <w:tcW w:w="7620" w:type="dxa"/>
          </w:tcPr>
          <w:p w14:paraId="2C468D3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Sammenlagt kapitalkrav (OCR) og søjle 2-retningslinjer (P2G), i %</w:t>
            </w:r>
          </w:p>
          <w:p w14:paraId="29A3CC59" w14:textId="77777777" w:rsidR="009C083D" w:rsidRPr="002A677E" w:rsidRDefault="009C083D" w:rsidP="00487A02">
            <w:pPr>
              <w:pStyle w:val="InstructionsText"/>
            </w:pPr>
            <w:r>
              <w:t>Summen af i) og ii) som følger:</w:t>
            </w:r>
          </w:p>
          <w:p w14:paraId="0BE33E9D" w14:textId="77777777" w:rsidR="009C083D" w:rsidRPr="002A677E" w:rsidRDefault="009C083D" w:rsidP="00487A02">
            <w:pPr>
              <w:pStyle w:val="InstructionsText"/>
              <w:numPr>
                <w:ilvl w:val="0"/>
                <w:numId w:val="26"/>
              </w:numPr>
            </w:pPr>
            <w:r>
              <w:t>OCR-andelen i række 160</w:t>
            </w:r>
          </w:p>
          <w:p w14:paraId="27E5BD11" w14:textId="36A4C203" w:rsidR="009C083D" w:rsidRPr="002A677E" w:rsidRDefault="009C083D" w:rsidP="00487A02">
            <w:pPr>
              <w:pStyle w:val="InstructionsText"/>
              <w:numPr>
                <w:ilvl w:val="0"/>
                <w:numId w:val="26"/>
              </w:numPr>
              <w:rPr>
                <w:bCs/>
                <w:u w:val="single"/>
              </w:rPr>
            </w:pPr>
            <w:r>
              <w:t>hvor det er relevant, den vejledning om yderligere kapitalgrundlag, som den kompetente myndighed har givet meddelelse om (søjle 2-retningslinier — P2G) som omhandlet i artikel 104b, stk. 3, i direktiv 2013/36/EU, og som angives som en procent. Det defineres i henhold til afsnit 7.7.1 i EBA SREP GL. P2G medtages kun, hvis den kompetente myndighed har meddelt det til instituttet.</w:t>
            </w:r>
          </w:p>
          <w:p w14:paraId="3392F936" w14:textId="28062295" w:rsidR="0047693D" w:rsidRPr="002A677E" w:rsidRDefault="00FF2818" w:rsidP="00487A02">
            <w:pPr>
              <w:pStyle w:val="InstructionsText"/>
              <w:rPr>
                <w:rStyle w:val="InstructionsTabelleberschrift"/>
                <w:rFonts w:ascii="Times New Roman" w:hAnsi="Times New Roman"/>
                <w:b w:val="0"/>
                <w:sz w:val="24"/>
              </w:rPr>
            </w:pPr>
            <w:r>
              <w:t xml:space="preserve">Hvis den kompetente myndighed ikke har oplyst om nogen P2G, er det kun nr. i), der skal indberettes. </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lastRenderedPageBreak/>
              <w:t>0200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og P2G: i form af egentlig kernekapital </w:t>
            </w:r>
          </w:p>
          <w:p w14:paraId="20195C97" w14:textId="77777777" w:rsidR="009C083D" w:rsidRPr="002A677E" w:rsidRDefault="009C083D" w:rsidP="00487A02">
            <w:pPr>
              <w:pStyle w:val="InstructionsText"/>
            </w:pPr>
            <w:r>
              <w:t>Summen af i) og ii) som følger:</w:t>
            </w:r>
          </w:p>
          <w:p w14:paraId="0801BDF0" w14:textId="77777777" w:rsidR="009C083D" w:rsidRPr="002A677E" w:rsidRDefault="009C083D" w:rsidP="00487A02">
            <w:pPr>
              <w:pStyle w:val="InstructionsText"/>
              <w:numPr>
                <w:ilvl w:val="0"/>
                <w:numId w:val="27"/>
              </w:numPr>
            </w:pPr>
            <w:r>
              <w:t>OCR-andelen i form af egentlig kernekapital, jf. række 0170</w:t>
            </w:r>
          </w:p>
          <w:p w14:paraId="45E052B0" w14:textId="77777777" w:rsidR="009C083D" w:rsidRPr="002A677E" w:rsidRDefault="009C083D" w:rsidP="00487A02">
            <w:pPr>
              <w:pStyle w:val="InstructionsText"/>
              <w:numPr>
                <w:ilvl w:val="0"/>
                <w:numId w:val="27"/>
              </w:numPr>
              <w:rPr>
                <w:bCs/>
                <w:u w:val="single"/>
              </w:rPr>
            </w:pPr>
            <w:r>
              <w:t>hvis relevant, den del af P2G, omhandlet i række 0190, nr. ii), som den kompetente myndighed kræver besiddes i form af egentlig kernekapital. P2G medtages kun, hvis den kompetente myndighed har meddelt det til instituttet.</w:t>
            </w:r>
          </w:p>
          <w:p w14:paraId="49D1141C" w14:textId="77777777" w:rsidR="0047693D" w:rsidRPr="002A677E" w:rsidRDefault="00FF2818" w:rsidP="00487A02">
            <w:pPr>
              <w:pStyle w:val="InstructionsText"/>
              <w:rPr>
                <w:rStyle w:val="InstructionsTabelleberschrift"/>
                <w:rFonts w:ascii="Times New Roman" w:hAnsi="Times New Roman"/>
                <w:b w:val="0"/>
                <w:sz w:val="24"/>
              </w:rPr>
            </w:pPr>
            <w:r>
              <w:t>Hvis den kompetente myndighed ikke har oplyst om nogen P2G, er det kun nr. i), der skal indberettes.</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t>0210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og P2G: i form af kernekapital </w:t>
            </w:r>
          </w:p>
          <w:p w14:paraId="25D7BB7A" w14:textId="77777777" w:rsidR="009C083D" w:rsidRPr="002A677E" w:rsidRDefault="009C083D" w:rsidP="00487A02">
            <w:pPr>
              <w:pStyle w:val="InstructionsText"/>
            </w:pPr>
            <w:r>
              <w:t>Summen af i) og ii) som følger:</w:t>
            </w:r>
          </w:p>
          <w:p w14:paraId="603FFBBA" w14:textId="77777777" w:rsidR="009C083D" w:rsidRPr="002A677E" w:rsidRDefault="009C083D" w:rsidP="00487A02">
            <w:pPr>
              <w:pStyle w:val="InstructionsText"/>
              <w:numPr>
                <w:ilvl w:val="0"/>
                <w:numId w:val="28"/>
              </w:numPr>
            </w:pPr>
            <w:r>
              <w:t>OCR-andelen i form af kernekernekapital, jf. række 0180</w:t>
            </w:r>
          </w:p>
          <w:p w14:paraId="11A9088F" w14:textId="77777777" w:rsidR="009C083D" w:rsidRPr="002A677E" w:rsidRDefault="009C083D" w:rsidP="00487A02">
            <w:pPr>
              <w:pStyle w:val="InstructionsText"/>
              <w:numPr>
                <w:ilvl w:val="0"/>
                <w:numId w:val="28"/>
              </w:numPr>
            </w:pPr>
            <w:r>
              <w:t>hvis relevant, den del af P2G, omhandlet i række 0190, nr. ii), som den kompetente myndighed kræver besiddes i form af egentlig kernekapital. P2G medtages kun, hvis den kompetente myndighed har meddelt det til instituttet.</w:t>
            </w:r>
          </w:p>
          <w:p w14:paraId="1CB9FE57" w14:textId="77777777" w:rsidR="0047693D" w:rsidRPr="002A677E" w:rsidRDefault="00FF2818" w:rsidP="00487A02">
            <w:pPr>
              <w:pStyle w:val="InstructionsText"/>
              <w:rPr>
                <w:rStyle w:val="InstructionsTabelleberschrift"/>
                <w:rFonts w:ascii="Times New Roman" w:hAnsi="Times New Roman"/>
                <w:b w:val="0"/>
                <w:bCs w:val="0"/>
                <w:sz w:val="24"/>
                <w:u w:val="none"/>
              </w:rPr>
            </w:pPr>
            <w:r>
              <w:t>Hvis den kompetente myndighed ikke har oplyst om nogen P2G, er det kun nr. i), der skal indberettes.</w:t>
            </w:r>
            <w:r>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t>0220</w:t>
            </w:r>
          </w:p>
        </w:tc>
        <w:tc>
          <w:tcPr>
            <w:tcW w:w="7620" w:type="dxa"/>
          </w:tcPr>
          <w:p w14:paraId="35E534B8" w14:textId="7A116375" w:rsidR="00477C45" w:rsidRPr="002A677E"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Overskud (+)/Underskud (-) af den egentlige kernekapital under hensyntagen til kravene i artikel 92 i forordning (EU) nr. 575/2013 og 104a i direktiv 2013/36/EU</w:t>
            </w:r>
          </w:p>
          <w:p w14:paraId="35245913" w14:textId="7266E7AA" w:rsidR="00477C45" w:rsidRPr="002A677E" w:rsidRDefault="00477C45" w:rsidP="00487A02">
            <w:pPr>
              <w:pStyle w:val="InstructionsText"/>
            </w:pPr>
            <w:r>
              <w:t>I denne post vises (i absolutte tal) beløbet for overskuddet eller underskuddet af egentlig kernekapital i forbindelse med kravene i artikel 92, stk. 1, litra a), i forordning (EU) nr. 575/2013 (4,5 %) og artikel 104a i direktiv 2013/36/EU — eksklusive yderligere kapitalgrundlag, der kræves for at imødegå risikoen for overdreven gearing i henhold til nævnte artikels stk. 3 — i det omfang kravet i nævnte direktivs artikel 104a skal opfyldes med egentlig kernekapital. Hvis et institut skal anvende sin egentlige kernekapital til at opfylde kravene i artikel 92, stk. 1, litra b) og/eller c), i forordning (EU) nr. 575/2013 og/eller artikel 104a i direktiv 2013/36/EU ud over det omfang, at sidstnævnte skal opfyldes med egentlig kernekapital, skal det indberettede overskud eller underskud tage hensyn hertil.</w:t>
            </w:r>
          </w:p>
          <w:p w14:paraId="4E7A0CC3" w14:textId="77777777" w:rsidR="00477C45" w:rsidRPr="002A677E" w:rsidRDefault="00477C45" w:rsidP="00487A02">
            <w:pPr>
              <w:pStyle w:val="InstructionsText"/>
              <w:rPr>
                <w:rStyle w:val="InstructionsTabelleberschrift"/>
                <w:rFonts w:ascii="Times New Roman" w:hAnsi="Times New Roman"/>
                <w:sz w:val="24"/>
              </w:rPr>
            </w:pPr>
            <w:r>
              <w:t>Dette beløb afspejler den egentlige kernekapital, der er til rådighed til opfyldelse af det kombinerede bufferkrav og andre krav.</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t>0300</w:t>
            </w:r>
          </w:p>
        </w:tc>
        <w:tc>
          <w:tcPr>
            <w:tcW w:w="7620" w:type="dxa"/>
          </w:tcPr>
          <w:p w14:paraId="5B2ECFE5" w14:textId="77777777" w:rsidR="00845551" w:rsidRPr="002A677E" w:rsidRDefault="00845551" w:rsidP="00845551">
            <w:pPr>
              <w:pStyle w:val="InstructionsText"/>
            </w:pPr>
            <w:r>
              <w:rPr>
                <w:b/>
              </w:rPr>
              <w:t>Egentlig kernekapitalprocent uden anvendelse af overgangsbestemmelserne vedrørende IFRS 9</w:t>
            </w:r>
          </w:p>
          <w:p w14:paraId="2DEA708A" w14:textId="1CC23DDA" w:rsidR="00845551" w:rsidRPr="002A677E" w:rsidRDefault="00845551" w:rsidP="00566DB5">
            <w:pPr>
              <w:pStyle w:val="InstructionsText"/>
              <w:rPr>
                <w:rStyle w:val="InstructionsTabelleberschrift"/>
                <w:rFonts w:ascii="Times New Roman" w:hAnsi="Times New Roman"/>
                <w:sz w:val="24"/>
              </w:rPr>
            </w:pPr>
            <w:r>
              <w:t xml:space="preserve">Artikel 92, stk. 2, litra a), i forordning (EU) nr. 575/2013 og artikel 473a, stk. 8, i nævnte forordning </w:t>
            </w:r>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t>0310</w:t>
            </w:r>
          </w:p>
        </w:tc>
        <w:tc>
          <w:tcPr>
            <w:tcW w:w="7620" w:type="dxa"/>
          </w:tcPr>
          <w:p w14:paraId="6470B3D6" w14:textId="77777777" w:rsidR="00845551" w:rsidRPr="002A677E" w:rsidRDefault="00845551" w:rsidP="00845551">
            <w:pPr>
              <w:pStyle w:val="InstructionsText"/>
            </w:pPr>
            <w:r>
              <w:rPr>
                <w:b/>
              </w:rPr>
              <w:t>Kernekapitalprocent uden anvendelse af overgangsbestemmelserne vedrørende IFRS 9</w:t>
            </w:r>
          </w:p>
          <w:p w14:paraId="52B0175F" w14:textId="0D5F16EC" w:rsidR="00845551" w:rsidRPr="002A677E" w:rsidRDefault="00845551" w:rsidP="00566DB5">
            <w:pPr>
              <w:pStyle w:val="InstructionsText"/>
              <w:rPr>
                <w:rStyle w:val="InstructionsTabelleberschrift"/>
                <w:rFonts w:ascii="Times New Roman" w:hAnsi="Times New Roman"/>
                <w:sz w:val="24"/>
              </w:rPr>
            </w:pPr>
            <w:r>
              <w:t>Artikel 92, stk. 2, litra b), i forordning (EU) nr. 575/2013 og artikel 473a, stk. 8, i nævnte forordning</w:t>
            </w:r>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lastRenderedPageBreak/>
              <w:t>0320</w:t>
            </w:r>
          </w:p>
        </w:tc>
        <w:tc>
          <w:tcPr>
            <w:tcW w:w="7620" w:type="dxa"/>
          </w:tcPr>
          <w:p w14:paraId="294E3412" w14:textId="77777777" w:rsidR="00845551" w:rsidRPr="002A677E" w:rsidRDefault="00845551" w:rsidP="00845551">
            <w:pPr>
              <w:pStyle w:val="InstructionsText"/>
            </w:pPr>
            <w:r>
              <w:rPr>
                <w:b/>
              </w:rPr>
              <w:t>Den samlede kernekapitalprocent uden anvendelse af overgangsbestemmelserne vedrørende IFRS</w:t>
            </w:r>
            <w:r>
              <w:t xml:space="preserve"> </w:t>
            </w:r>
            <w:r>
              <w:rPr>
                <w:b/>
              </w:rPr>
              <w:t>9</w:t>
            </w:r>
          </w:p>
          <w:p w14:paraId="38305F85" w14:textId="696A66BE" w:rsidR="00845551" w:rsidRPr="002A677E" w:rsidRDefault="00845551" w:rsidP="00566DB5">
            <w:pPr>
              <w:pStyle w:val="InstructionsText"/>
              <w:rPr>
                <w:rStyle w:val="InstructionsTabelleberschrift"/>
                <w:rFonts w:ascii="Times New Roman" w:hAnsi="Times New Roman"/>
                <w:sz w:val="24"/>
              </w:rPr>
            </w:pPr>
            <w:r>
              <w:t>Artikel 92, stk. 2, litra c), i forordning (EU) nr. 575/2013 og artikel 473a, stk. 8, i nævnte forordning</w:t>
            </w:r>
          </w:p>
        </w:tc>
      </w:tr>
    </w:tbl>
    <w:p w14:paraId="085054A3" w14:textId="77777777" w:rsidR="005643EA" w:rsidRPr="002A677E" w:rsidRDefault="005643EA" w:rsidP="00487A02">
      <w:pPr>
        <w:pStyle w:val="InstructionsText"/>
      </w:pPr>
    </w:p>
    <w:p w14:paraId="0CCBB7E0" w14:textId="6F80A67F"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308175830"/>
      <w:bookmarkStart w:id="61" w:name="_Toc360188331"/>
      <w:bookmarkStart w:id="62" w:name="_Toc119059301"/>
      <w:r>
        <w:rPr>
          <w:rFonts w:ascii="Times New Roman" w:hAnsi="Times New Roman"/>
          <w:sz w:val="24"/>
          <w:u w:val="none"/>
        </w:rPr>
        <w:t>1.5.</w:t>
      </w:r>
      <w:r>
        <w:tab/>
      </w:r>
      <w:r>
        <w:rPr>
          <w:rFonts w:ascii="Times New Roman" w:hAnsi="Times New Roman"/>
          <w:sz w:val="24"/>
        </w:rPr>
        <w:t>C 04.00 — MEMORANDUMPOSTER (CA4)</w:t>
      </w:r>
      <w:bookmarkEnd w:id="59"/>
      <w:bookmarkEnd w:id="62"/>
      <w:r>
        <w:rPr>
          <w:rFonts w:ascii="Times New Roman" w:hAnsi="Times New Roman"/>
          <w:sz w:val="24"/>
        </w:rPr>
        <w:t xml:space="preserve"> </w:t>
      </w:r>
      <w:bookmarkEnd w:id="60"/>
      <w:bookmarkEnd w:id="61"/>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63" w:name="_Toc308175831"/>
      <w:bookmarkStart w:id="64" w:name="_Toc310414974"/>
      <w:bookmarkStart w:id="65" w:name="_Toc360188332"/>
      <w:bookmarkStart w:id="66" w:name="_Toc473560880"/>
      <w:bookmarkStart w:id="67" w:name="_Toc119059302"/>
      <w:r>
        <w:rPr>
          <w:rFonts w:ascii="Times New Roman" w:hAnsi="Times New Roman"/>
          <w:sz w:val="24"/>
          <w:u w:val="none"/>
        </w:rPr>
        <w:t>1.5.1.</w:t>
      </w:r>
      <w:r>
        <w:tab/>
      </w:r>
      <w:r>
        <w:rPr>
          <w:rFonts w:ascii="Times New Roman" w:hAnsi="Times New Roman"/>
          <w:sz w:val="24"/>
        </w:rPr>
        <w:t>Instrukser vedrørende specifikke positioner</w:t>
      </w:r>
      <w:bookmarkEnd w:id="63"/>
      <w:bookmarkEnd w:id="64"/>
      <w:bookmarkEnd w:id="65"/>
      <w:bookmarkEnd w:id="66"/>
      <w:bookmarkEnd w:id="67"/>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t>Rækker</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t>0010</w:t>
            </w:r>
          </w:p>
        </w:tc>
        <w:tc>
          <w:tcPr>
            <w:tcW w:w="7049" w:type="dxa"/>
          </w:tcPr>
          <w:p w14:paraId="15876547"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Samlede udskudte skatteaktiver</w:t>
            </w:r>
          </w:p>
          <w:p w14:paraId="064512C3" w14:textId="77777777" w:rsidR="005643EA" w:rsidRPr="002A677E" w:rsidRDefault="002648B0" w:rsidP="00487A02">
            <w:pPr>
              <w:pStyle w:val="InstructionsText"/>
            </w:pPr>
            <w:r>
              <w:t>Det indberettede beløb skal være det samme som det, der er opført på den seneste kontrollerede/reviderede balance.</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t>0020</w:t>
            </w:r>
          </w:p>
        </w:tc>
        <w:tc>
          <w:tcPr>
            <w:tcW w:w="7049" w:type="dxa"/>
          </w:tcPr>
          <w:p w14:paraId="3E972956" w14:textId="77777777" w:rsidR="005643EA" w:rsidRPr="002A677E"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Udskudte skatteaktiver, som ikke afhænger af fremtidig rentabilitet</w:t>
            </w:r>
          </w:p>
          <w:p w14:paraId="481999B0" w14:textId="679F3E5B" w:rsidR="005643EA" w:rsidRPr="002A677E" w:rsidRDefault="002648B0" w:rsidP="00487A02">
            <w:pPr>
              <w:pStyle w:val="InstructionsText"/>
            </w:pPr>
            <w:r>
              <w:t>Artikel 39, stk. 2, i forordning (EU) nr. 575/2013</w:t>
            </w:r>
          </w:p>
          <w:p w14:paraId="1929DFCA" w14:textId="77777777" w:rsidR="005643EA" w:rsidRPr="002A677E" w:rsidRDefault="002648B0" w:rsidP="00487A02">
            <w:pPr>
              <w:pStyle w:val="InstructionsText"/>
            </w:pPr>
            <w:r>
              <w:t>Udskudte skatteaktiver, som er opstået før den 23. november 2016, og som ikke afhænger af fremtidig rentabilitet og derfor er genstand for risikovægtning.</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t>0030</w:t>
            </w:r>
          </w:p>
        </w:tc>
        <w:tc>
          <w:tcPr>
            <w:tcW w:w="7049" w:type="dxa"/>
          </w:tcPr>
          <w:p w14:paraId="2C39DB84" w14:textId="77777777" w:rsidR="005643EA" w:rsidRPr="002A677E"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Udskudte skatteaktiver, som afhænger af fremtidig rentabilitet og ikke skyldes midlertidige forskelle</w:t>
            </w:r>
          </w:p>
          <w:p w14:paraId="42A728ED" w14:textId="133D3776" w:rsidR="005643EA" w:rsidRPr="002A677E" w:rsidRDefault="002648B0" w:rsidP="00487A02">
            <w:pPr>
              <w:pStyle w:val="InstructionsText"/>
            </w:pPr>
            <w:r>
              <w:t>Artikel 36, stk. 1, litra c), og artikel 38 i forordning (EU) nr. 575/2013</w:t>
            </w:r>
          </w:p>
          <w:p w14:paraId="21D9DB00" w14:textId="77777777" w:rsidR="005643EA" w:rsidRPr="002A677E" w:rsidRDefault="002648B0" w:rsidP="00487A02">
            <w:pPr>
              <w:pStyle w:val="InstructionsText"/>
            </w:pPr>
            <w:r>
              <w:t>Udskudte skatteaktiver, som afhænger af fremtidig rentabilitet, men ikke skyldes midlertidige forskelle, og dermed ikke er genstand for nogen tærskel (dvs. fratrækkes den egentlige kernekapital).</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t>0040</w:t>
            </w:r>
          </w:p>
        </w:tc>
        <w:tc>
          <w:tcPr>
            <w:tcW w:w="7049" w:type="dxa"/>
          </w:tcPr>
          <w:p w14:paraId="1E5C7BB0" w14:textId="77777777" w:rsidR="005643EA" w:rsidRPr="002A677E"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Udskudte skatteaktiver, som afhænger af fremtidig rentabilitet og skyldes midlertidige forskelle</w:t>
            </w:r>
          </w:p>
          <w:p w14:paraId="5D01C3C3" w14:textId="62CB8DD1" w:rsidR="005643EA" w:rsidRPr="002A677E" w:rsidRDefault="002648B0" w:rsidP="00487A02">
            <w:pPr>
              <w:pStyle w:val="InstructionsText"/>
            </w:pPr>
            <w:r>
              <w:t>Artikel 36, stk. 1, litra c), artikel 38 og artikel 48, stk. 1, litra a), i forordning (EU) nr. 575/2013</w:t>
            </w:r>
          </w:p>
          <w:p w14:paraId="27BFEBDB" w14:textId="16F9AD1A" w:rsidR="005643EA" w:rsidRPr="002A677E" w:rsidRDefault="002648B0" w:rsidP="00487A02">
            <w:pPr>
              <w:pStyle w:val="InstructionsText"/>
            </w:pPr>
            <w:r>
              <w:t>Udskudte skatteaktiver, som afhænger af fremtidig rentabilitet og skyldes midlertidige forskelle, hvorfor deres fradrag i den egentlige kernekapital er underlagt tærsklerne på 10 % og 17,65 % i artikel 48 i forordning (EU) nr. 575/2013.</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t>0050</w:t>
            </w:r>
          </w:p>
        </w:tc>
        <w:tc>
          <w:tcPr>
            <w:tcW w:w="7049" w:type="dxa"/>
          </w:tcPr>
          <w:p w14:paraId="2D8BD1E1" w14:textId="77777777" w:rsidR="005643EA" w:rsidRPr="002A677E" w:rsidRDefault="002648B0" w:rsidP="00487A02">
            <w:pPr>
              <w:pStyle w:val="InstructionsText"/>
            </w:pPr>
            <w:r>
              <w:rPr>
                <w:rStyle w:val="InstructionsTabelleberschrift"/>
                <w:rFonts w:ascii="Times New Roman" w:hAnsi="Times New Roman"/>
                <w:sz w:val="24"/>
              </w:rPr>
              <w:t>2 Samlede udskudte skatteforpligtelser</w:t>
            </w:r>
          </w:p>
          <w:p w14:paraId="67FF7D87" w14:textId="77777777" w:rsidR="005643EA" w:rsidRPr="002A677E" w:rsidRDefault="002648B0" w:rsidP="00487A02">
            <w:pPr>
              <w:pStyle w:val="InstructionsText"/>
            </w:pPr>
            <w:r>
              <w:t>Det indberettede beløb skal være det samme som det, der er opført på den seneste kontrollerede/reviderede balance.</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t>0060</w:t>
            </w:r>
          </w:p>
        </w:tc>
        <w:tc>
          <w:tcPr>
            <w:tcW w:w="7049" w:type="dxa"/>
          </w:tcPr>
          <w:p w14:paraId="0EDDF1A8" w14:textId="77777777" w:rsidR="005643EA" w:rsidRPr="002A677E"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Udskudte skatteforpligtelser, der ikke kan fratrækkes udskudte skatteaktiver, der afhænger af fremtidig rentabilitet</w:t>
            </w:r>
          </w:p>
          <w:p w14:paraId="738C6A5B" w14:textId="4E264CBF" w:rsidR="005643EA" w:rsidRPr="002A677E" w:rsidRDefault="002648B0" w:rsidP="00487A02">
            <w:pPr>
              <w:pStyle w:val="InstructionsText"/>
            </w:pPr>
            <w:r>
              <w:t>Artikel 38, 3 og 4, i forordning (EU) nr. 575/2013</w:t>
            </w:r>
          </w:p>
          <w:p w14:paraId="6CD92B54" w14:textId="2566E539" w:rsidR="005643EA" w:rsidRPr="002A677E" w:rsidRDefault="002648B0" w:rsidP="00F42FE9">
            <w:pPr>
              <w:pStyle w:val="InstructionsText"/>
            </w:pPr>
            <w:r>
              <w:lastRenderedPageBreak/>
              <w:t>Udskudte skatteforpligtelser, for hvilke betingelserne i artikel 38, stk. 3 og 4, i forordning (EU) nr. 575/2013 ikke er opfyldt. Denne post skal derfor indeholde de udskudte skatteforpligtelser, der reducerer værdien af goodwill, andre immaterielle aktiver eller aktiver i ydelsesbaserede pensionskasser, som skal fratrækkes, der indberettes i henholdsvis CA1-post 1.1.1.10.3, 1.1.1.11.2 og 1.1.1.14.2.</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lastRenderedPageBreak/>
              <w:t>0070</w:t>
            </w:r>
          </w:p>
        </w:tc>
        <w:tc>
          <w:tcPr>
            <w:tcW w:w="7049" w:type="dxa"/>
          </w:tcPr>
          <w:p w14:paraId="00E88E35" w14:textId="77777777" w:rsidR="005643EA" w:rsidRPr="002A677E"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Udskudte skatteforpligtelser, der kan fratrækkes udskudte skatteaktiver, der afhænger af fremtidig rentabilitet</w:t>
            </w:r>
          </w:p>
          <w:p w14:paraId="74A43E2C" w14:textId="1354F76B" w:rsidR="005643EA" w:rsidRPr="002A677E" w:rsidRDefault="002648B0" w:rsidP="00487A02">
            <w:pPr>
              <w:pStyle w:val="InstructionsText"/>
            </w:pPr>
            <w:r>
              <w:t>Artikel 38 i forordning (EU) nr. 575/2013</w:t>
            </w:r>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t>0080</w:t>
            </w:r>
          </w:p>
        </w:tc>
        <w:tc>
          <w:tcPr>
            <w:tcW w:w="7049" w:type="dxa"/>
          </w:tcPr>
          <w:p w14:paraId="30D68EAA" w14:textId="77777777" w:rsidR="005643EA" w:rsidRPr="002A677E"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Fradragsberettigede udskudte skatteforpligtelser tilknyttet udskudte skatteaktiver, som afhænger af fremtidig rentabilitet og ikke skyldes midlertidige forskelle</w:t>
            </w:r>
          </w:p>
          <w:p w14:paraId="322BE481" w14:textId="56FC411A" w:rsidR="005643EA" w:rsidRPr="002A677E" w:rsidRDefault="002648B0" w:rsidP="00487A02">
            <w:pPr>
              <w:pStyle w:val="InstructionsText"/>
            </w:pPr>
            <w:r>
              <w:t>Artikel 38, stk. 3, 4 og 5, i forordning (EU) nr. 575/2013</w:t>
            </w:r>
          </w:p>
          <w:p w14:paraId="58E9ED0C" w14:textId="63A518DD" w:rsidR="005643EA" w:rsidRPr="002A677E" w:rsidRDefault="002648B0" w:rsidP="00F42FE9">
            <w:pPr>
              <w:pStyle w:val="InstructionsText"/>
            </w:pPr>
            <w:r>
              <w:t xml:space="preserve">Udskudte skatteforpligtelser, der kan reducere værdien af udskudte skatteaktiver, som afhænger af fremtidig rentabilitet </w:t>
            </w:r>
            <w:r>
              <w:rPr>
                <w:rStyle w:val="FormatvorlageInstructionsTabelleText"/>
                <w:rFonts w:ascii="Times New Roman" w:hAnsi="Times New Roman"/>
                <w:sz w:val="24"/>
              </w:rPr>
              <w:t xml:space="preserve">i henhold til </w:t>
            </w:r>
            <w:r>
              <w:t>artikel 38, stk. 3 og 4, i forordning (EU) nr. 575/2013, og ikke er tildelt udskudte skatteaktiver, som afhænger af fremtidig rentabilitet og skyldes midlertidige forskelle, jf. artikel 38, stk. 5, i forordning (EU) nr. 575/2013.</w:t>
            </w:r>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t>0090</w:t>
            </w:r>
          </w:p>
        </w:tc>
        <w:tc>
          <w:tcPr>
            <w:tcW w:w="7049" w:type="dxa"/>
          </w:tcPr>
          <w:p w14:paraId="56115E84" w14:textId="77777777" w:rsidR="005643EA" w:rsidRPr="002A677E"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Fradragsberettigede udskudte skatteforpligtelser tilknyttet udskudte skatteaktiver, som afhænger af fremtidig rentabilitet og skyldes midlertidige forskelle</w:t>
            </w:r>
          </w:p>
          <w:p w14:paraId="7363CE15" w14:textId="52BCF912" w:rsidR="005643EA" w:rsidRPr="002A677E" w:rsidRDefault="002648B0" w:rsidP="00487A02">
            <w:pPr>
              <w:pStyle w:val="InstructionsText"/>
            </w:pPr>
            <w:r>
              <w:t>Artikel 38, stk. 3, 4 og 5, i forordning (EU) nr. 575/2013</w:t>
            </w:r>
          </w:p>
          <w:p w14:paraId="56E5FD8E" w14:textId="7212393D" w:rsidR="005643EA" w:rsidRPr="002A677E" w:rsidRDefault="002648B0" w:rsidP="00F42FE9">
            <w:pPr>
              <w:pStyle w:val="InstructionsText"/>
            </w:pPr>
            <w:r>
              <w:t xml:space="preserve">Udskudte skatteforpligtelser, der kan reducere værdien af udskudte skatteaktiver, som afhænger af fremtidig rentabilitet </w:t>
            </w:r>
            <w:r>
              <w:rPr>
                <w:rStyle w:val="FormatvorlageInstructionsTabelleText"/>
                <w:rFonts w:ascii="Times New Roman" w:hAnsi="Times New Roman"/>
                <w:sz w:val="24"/>
              </w:rPr>
              <w:t xml:space="preserve">i henhold til </w:t>
            </w:r>
            <w:r>
              <w:t>artikel 38, stk. 3 og 4, i forordning (EU) nr. 575/2013, og er tildelt udskudte skatteaktiver, som afhænger af fremtidig rentabilitet og skyldes midlertidige forskelle, jf. artikel 38, stk. 5, i forordning (EU) nr. 575/2013.</w:t>
            </w:r>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t>0093</w:t>
            </w:r>
          </w:p>
        </w:tc>
        <w:tc>
          <w:tcPr>
            <w:tcW w:w="7049" w:type="dxa"/>
          </w:tcPr>
          <w:p w14:paraId="6A609734" w14:textId="77777777" w:rsidR="00550113" w:rsidRPr="002A677E"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For meget betalt skat og tilbageførsel af skattemæssige underskud</w:t>
            </w:r>
          </w:p>
          <w:p w14:paraId="1695947D" w14:textId="402ABB2B" w:rsidR="00550113" w:rsidRPr="002A677E" w:rsidRDefault="00201704" w:rsidP="00487A02">
            <w:pPr>
              <w:pStyle w:val="InstructionsText"/>
            </w:pPr>
            <w:r>
              <w:t>Artikel 39, stk. 1, i forordning (EU) nr. 575/2013</w:t>
            </w:r>
          </w:p>
          <w:p w14:paraId="036E36C9" w14:textId="425B2A93" w:rsidR="00550113" w:rsidRPr="002A677E" w:rsidRDefault="00550113" w:rsidP="00487A02">
            <w:pPr>
              <w:pStyle w:val="InstructionsText"/>
              <w:rPr>
                <w:rStyle w:val="InstructionsTabelleberschrift"/>
                <w:rFonts w:ascii="Times New Roman" w:hAnsi="Times New Roman"/>
                <w:b w:val="0"/>
                <w:bCs w:val="0"/>
                <w:sz w:val="24"/>
                <w:u w:val="none"/>
              </w:rPr>
            </w:pPr>
            <w:r>
              <w:t>Værdien af for meget betalt skat, tilbageførsel af skattemæssige underskud, der ikke fratrækkes kapitalgrundlaget i overensstemmelse med artikel 39, stk. 1, i forordning (EU) nr. 575/2013; den indberettede værdi skal være værdien før risikovægtning.</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t>0096</w:t>
            </w:r>
          </w:p>
        </w:tc>
        <w:tc>
          <w:tcPr>
            <w:tcW w:w="7049" w:type="dxa"/>
          </w:tcPr>
          <w:p w14:paraId="3FAEDC94" w14:textId="59977BC0" w:rsidR="00DF65DF" w:rsidRPr="002A677E"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Udskudte skatteaktiver tildelt en risikovægt på 250 %</w:t>
            </w:r>
          </w:p>
          <w:p w14:paraId="3250EE36" w14:textId="3E7D2DF5" w:rsidR="00DF65DF" w:rsidRPr="002A677E" w:rsidRDefault="00201704" w:rsidP="00487A02">
            <w:pPr>
              <w:pStyle w:val="InstructionsText"/>
            </w:pPr>
            <w:r>
              <w:t>Artikel 48, stk. 4, i forordning (EU) nr. 575/2013</w:t>
            </w:r>
          </w:p>
          <w:p w14:paraId="65CF5C4A" w14:textId="2373590B" w:rsidR="00DF65DF" w:rsidRPr="002A677E" w:rsidRDefault="00DF65DF" w:rsidP="00566DB5">
            <w:pPr>
              <w:pStyle w:val="InstructionsText"/>
              <w:rPr>
                <w:rStyle w:val="InstructionsTabelleberschrift"/>
                <w:rFonts w:ascii="Times New Roman" w:hAnsi="Times New Roman"/>
                <w:b w:val="0"/>
                <w:bCs w:val="0"/>
                <w:sz w:val="24"/>
                <w:u w:val="none"/>
              </w:rPr>
            </w:pPr>
            <w:r>
              <w:t xml:space="preserve">Værdien af udskudte skatteaktiver, der afhænger af fremtidig rentabilitet og skyldes midlertidige forskelle, og som ikke fratrækkes i henhold til artikel 48, stk. 1, i forordning (EU) nr. 575/2013, men som tildeles en risikovægt på 250 % i henhold til artikel 48, stk. 4, i nævnte forordning, idet der tages hensyn til virkningen af artikel 470, artikel 478, stk. </w:t>
            </w:r>
            <w:r>
              <w:lastRenderedPageBreak/>
              <w:t>2, og artikel 473a, stk. 7, litra a), i samme forordning. Den indberettede værdi skal være værdien af udskudte skatteaktiver før risikovægtning.</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lastRenderedPageBreak/>
              <w:t>0097</w:t>
            </w:r>
          </w:p>
        </w:tc>
        <w:tc>
          <w:tcPr>
            <w:tcW w:w="7049" w:type="dxa"/>
          </w:tcPr>
          <w:p w14:paraId="3211FAAD" w14:textId="1B2BC687" w:rsidR="00DF65DF" w:rsidRPr="002A677E"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Udskudte skatteaktiver tildelt en risikovægt på 0 %</w:t>
            </w:r>
          </w:p>
          <w:p w14:paraId="76CA7E3C" w14:textId="13DAD1AF" w:rsidR="00DF65DF" w:rsidRPr="002A677E" w:rsidRDefault="00DF65DF" w:rsidP="00487A02">
            <w:pPr>
              <w:pStyle w:val="InstructionsText"/>
            </w:pPr>
            <w:r>
              <w:t>Artikel 469, stk. 1, litra d), artikel 470, artikel 472, stk. 5, og artikel 478 i forordning (EU) nr. 575/2013</w:t>
            </w:r>
          </w:p>
          <w:p w14:paraId="5159B743" w14:textId="796BE01D" w:rsidR="00DF65DF" w:rsidRPr="002A677E" w:rsidRDefault="00DF65DF" w:rsidP="00985B99">
            <w:pPr>
              <w:pStyle w:val="InstructionsText"/>
              <w:rPr>
                <w:rStyle w:val="InstructionsTabelleberschrift"/>
                <w:rFonts w:ascii="Times New Roman" w:hAnsi="Times New Roman"/>
                <w:b w:val="0"/>
                <w:bCs w:val="0"/>
                <w:sz w:val="24"/>
                <w:u w:val="none"/>
              </w:rPr>
            </w:pPr>
            <w:r>
              <w:t>Værdien af udskudte skatteaktiver, der afhænger af fremtidig rentabilitet og skyldes midlertidige forskelle, og som ikke fratrækkes i henhold til artikel 469, stk. 1, litra d), og artikel 470 i forordning (EU) nr. 575/2013, artikel 478, stk. 2, og artikel 473a, stk. 7, litra a), i nævnte forordning, men som tildeles en risikovægt på 0 % i henhold til artikel 472, stk. 5, i nævnte forordning. Den indberettede værdi skal være værdien af udskudte skatteaktiver før risikovægtning.</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t>0901</w:t>
            </w:r>
          </w:p>
        </w:tc>
        <w:tc>
          <w:tcPr>
            <w:tcW w:w="7049" w:type="dxa"/>
          </w:tcPr>
          <w:p w14:paraId="57A73705" w14:textId="63376B0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Softwareaktiver, der medtages som immaterielle aktiver, der er fritaget for fradrag i den egentlige kernekapital</w:t>
            </w:r>
          </w:p>
          <w:p w14:paraId="44F69E3F" w14:textId="12F20E44" w:rsidR="00674BF5" w:rsidRPr="002A677E" w:rsidRDefault="00674BF5" w:rsidP="00487A02">
            <w:pPr>
              <w:pStyle w:val="InstructionsText"/>
            </w:pPr>
            <w:r>
              <w:t>Artikel 36, stk. 1, litra b), i forordning (EU) nr. 575/2013</w:t>
            </w:r>
          </w:p>
          <w:p w14:paraId="4421B226" w14:textId="61118313" w:rsidR="00674BF5" w:rsidRPr="002A677E" w:rsidRDefault="00674BF5" w:rsidP="00487A02">
            <w:pPr>
              <w:pStyle w:val="InstructionsText"/>
              <w:rPr>
                <w:rStyle w:val="InstructionsTabelleberschrift"/>
                <w:rFonts w:ascii="Times New Roman" w:hAnsi="Times New Roman"/>
                <w:sz w:val="24"/>
              </w:rPr>
            </w:pPr>
            <w:r>
              <w:t>Institutterne skal indberette værdien af de forsigtigt værdiansatte softwareaktiver, der er fritaget for fradraget i egentlige kernekapitalposter, jf. artikel 13a i delegeret forordning (EU) nr. 241/2014.</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t>0905</w:t>
            </w:r>
          </w:p>
        </w:tc>
        <w:tc>
          <w:tcPr>
            <w:tcW w:w="7049" w:type="dxa"/>
          </w:tcPr>
          <w:p w14:paraId="1CDEF3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Hybride kernekapitalinstrumenter og overkurs ved emission i forbindelse hermed, der er klassificeret som egenkapital i henhold til gældende regnskabsstandarder</w:t>
            </w:r>
          </w:p>
          <w:p w14:paraId="30206890" w14:textId="77777777" w:rsidR="00674BF5" w:rsidRPr="002A677E" w:rsidRDefault="00674BF5" w:rsidP="00487A02">
            <w:pPr>
              <w:pStyle w:val="InstructionsText"/>
              <w:rPr>
                <w:rStyle w:val="InstructionsTabelleberschrift"/>
                <w:rFonts w:ascii="Times New Roman" w:hAnsi="Times New Roman"/>
                <w:sz w:val="24"/>
              </w:rPr>
            </w:pPr>
            <w:r>
              <w:t>Værdien af hybride instrumenter, herunder overkurs ved emission i forbindelse hermed, som er klassificeret som egenkapital i henhold til den gældende regnskabsstandard</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t>0906</w:t>
            </w:r>
          </w:p>
        </w:tc>
        <w:tc>
          <w:tcPr>
            <w:tcW w:w="7049" w:type="dxa"/>
          </w:tcPr>
          <w:p w14:paraId="0F66E835"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Hybride kernekapitalinstrumenter og overkurs ved emission i forbindelse hermed, der er klassificeret som forpligtelser i henhold til gældende regnskabsstandarder</w:t>
            </w:r>
          </w:p>
          <w:p w14:paraId="79E6E78E" w14:textId="77777777" w:rsidR="00674BF5" w:rsidRPr="002A677E" w:rsidRDefault="00674BF5" w:rsidP="00487A02">
            <w:pPr>
              <w:pStyle w:val="InstructionsText"/>
              <w:rPr>
                <w:rStyle w:val="InstructionsTabelleberschrift"/>
                <w:rFonts w:ascii="Times New Roman" w:hAnsi="Times New Roman"/>
                <w:sz w:val="24"/>
              </w:rPr>
            </w:pPr>
            <w:r>
              <w:t>Værdien af hybride instrumenter, herunder overkurs ved emission i forbindelse hermed, som er klassificeret som forpligtelser i henhold til den gældende regnskabsstandard</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t>0100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Overskud (+) eller underskud (-) af kreditrisikojusteringer, yderligere værdijusteringer og andre reduktioner af kapitalgrundlaget som følge af forventede tab til ikkemisligholdte eksponeringer opgjort efter IRB-metoden</w:t>
            </w:r>
          </w:p>
          <w:p w14:paraId="30E72DCC" w14:textId="0C5B1A18" w:rsidR="00674BF5" w:rsidRPr="002A677E" w:rsidRDefault="00674BF5" w:rsidP="00487A02">
            <w:pPr>
              <w:pStyle w:val="InstructionsText"/>
            </w:pPr>
            <w:r>
              <w:t>Artikel 36, stk. 1, litra d), artikel 62, litra d), artikel 158 og artikel 159 i forordning (EU) nr. 575/2013</w:t>
            </w:r>
          </w:p>
          <w:p w14:paraId="2FD4B9C9" w14:textId="77777777" w:rsidR="00674BF5" w:rsidRPr="002A677E" w:rsidRDefault="00674BF5" w:rsidP="00487A02">
            <w:pPr>
              <w:pStyle w:val="InstructionsText"/>
            </w:pPr>
            <w:r>
              <w:t>Denne post indberettes kun af institutter, der anvender IRB-metoden.</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t>0110</w:t>
            </w:r>
          </w:p>
        </w:tc>
        <w:tc>
          <w:tcPr>
            <w:tcW w:w="7049" w:type="dxa"/>
          </w:tcPr>
          <w:p w14:paraId="4C113E22" w14:textId="77777777" w:rsidR="00674BF5" w:rsidRPr="002A677E"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Samlede kreditrisikojusteringer, yderligere værdijusteringer og andre reduktioner af kapitalgrundlaget, der kan medtages i beregningen af det forventede tab</w:t>
            </w:r>
          </w:p>
          <w:p w14:paraId="4C89842E" w14:textId="1E04C145" w:rsidR="00674BF5" w:rsidRPr="002A677E" w:rsidRDefault="00674BF5" w:rsidP="00487A02">
            <w:pPr>
              <w:pStyle w:val="InstructionsText"/>
            </w:pPr>
            <w:r>
              <w:t>Artikel 159 i forordning (EU) nr. 575/2013</w:t>
            </w:r>
          </w:p>
          <w:p w14:paraId="52A0ACC8" w14:textId="77777777" w:rsidR="00674BF5" w:rsidRPr="002A677E" w:rsidRDefault="00674BF5" w:rsidP="00487A02">
            <w:pPr>
              <w:pStyle w:val="InstructionsText"/>
            </w:pPr>
            <w:r>
              <w:t>Denne post indberettes kun af institutter, der anvender IRB-metoden.</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lastRenderedPageBreak/>
              <w:t>0120</w:t>
            </w:r>
          </w:p>
        </w:tc>
        <w:tc>
          <w:tcPr>
            <w:tcW w:w="7049" w:type="dxa"/>
          </w:tcPr>
          <w:p w14:paraId="4711C0BE" w14:textId="77777777" w:rsidR="00674BF5" w:rsidRPr="002A677E"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Generelle kreditrisikojusteringer</w:t>
            </w:r>
          </w:p>
          <w:p w14:paraId="0F1C0767" w14:textId="37773089" w:rsidR="00674BF5" w:rsidRPr="002A677E" w:rsidRDefault="00674BF5" w:rsidP="00487A02">
            <w:pPr>
              <w:pStyle w:val="InstructionsText"/>
            </w:pPr>
            <w:r>
              <w:t>Artikel 159 i forordning (EU) nr. 575/2013</w:t>
            </w:r>
          </w:p>
          <w:p w14:paraId="4154ADBE" w14:textId="77777777" w:rsidR="00674BF5" w:rsidRPr="002A677E" w:rsidRDefault="00674BF5" w:rsidP="00487A02">
            <w:pPr>
              <w:pStyle w:val="InstructionsText"/>
            </w:pPr>
            <w:r>
              <w:t>Denne post indberettes kun af institutter, der anvender IRB-metoden.</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t>0130</w:t>
            </w:r>
          </w:p>
        </w:tc>
        <w:tc>
          <w:tcPr>
            <w:tcW w:w="7049" w:type="dxa"/>
          </w:tcPr>
          <w:p w14:paraId="4DD5E8AB" w14:textId="77777777" w:rsidR="00674BF5" w:rsidRPr="002A677E"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Specifikke kreditrisikojusteringer</w:t>
            </w:r>
          </w:p>
          <w:p w14:paraId="224BBAEC" w14:textId="728DC1A5" w:rsidR="00674BF5" w:rsidRPr="002A677E" w:rsidRDefault="00674BF5" w:rsidP="00487A02">
            <w:pPr>
              <w:pStyle w:val="InstructionsText"/>
            </w:pPr>
            <w:r>
              <w:t>Artikel 159 i forordning (EU) nr. 575/2013</w:t>
            </w:r>
          </w:p>
          <w:p w14:paraId="4E4EA60F" w14:textId="77777777" w:rsidR="00674BF5" w:rsidRPr="002A677E" w:rsidRDefault="00674BF5" w:rsidP="00487A02">
            <w:pPr>
              <w:pStyle w:val="InstructionsText"/>
            </w:pPr>
            <w:r>
              <w:t>Denne post indberettes kun af institutter, der anvender IRB-metoden.</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t>0131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Yderligere værdijusteringer og andre reduktioner af kapitalgrundlaget</w:t>
            </w:r>
          </w:p>
          <w:p w14:paraId="3FD23FCE" w14:textId="434ADAE4" w:rsidR="00674BF5" w:rsidRPr="002A677E" w:rsidRDefault="00674BF5" w:rsidP="00487A02">
            <w:pPr>
              <w:pStyle w:val="InstructionsText"/>
              <w:rPr>
                <w:rStyle w:val="InstructionsTabelleberschrift"/>
                <w:rFonts w:ascii="Times New Roman" w:hAnsi="Times New Roman"/>
                <w:b w:val="0"/>
                <w:sz w:val="24"/>
                <w:u w:val="none"/>
              </w:rPr>
            </w:pPr>
            <w:r>
              <w:t>Artikel 34, 110 og 159 i forordning (EU) nr. 575/2013</w:t>
            </w:r>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Denne post indberettes kun af institutter, der anvender IRB-metoden.</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t>0140</w:t>
            </w:r>
          </w:p>
        </w:tc>
        <w:tc>
          <w:tcPr>
            <w:tcW w:w="7049" w:type="dxa"/>
          </w:tcPr>
          <w:p w14:paraId="6CC7F592" w14:textId="77777777" w:rsidR="00674BF5" w:rsidRPr="002A677E"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Samlede kvalificerede forventede tab </w:t>
            </w:r>
          </w:p>
          <w:p w14:paraId="4E24DA26" w14:textId="6A6436F3" w:rsidR="00674BF5" w:rsidRPr="002A677E" w:rsidRDefault="00674BF5" w:rsidP="00487A02">
            <w:pPr>
              <w:pStyle w:val="InstructionsText"/>
            </w:pPr>
            <w:r>
              <w:t>Artikel 158, stk. 5, 6 og 10, og artikel 159, i forordning (EU) nr. 575/2013</w:t>
            </w:r>
          </w:p>
          <w:p w14:paraId="76D1C43C" w14:textId="77777777" w:rsidR="00674BF5" w:rsidRPr="002A677E" w:rsidRDefault="00674BF5" w:rsidP="00487A02">
            <w:pPr>
              <w:pStyle w:val="InstructionsText"/>
            </w:pPr>
            <w:r>
              <w:t>Denne post indberettes kun af institutter, der anvender IRB-metoden. Kun det forventede tab tilhørende ikkemisligholdte eksponeringer indberettes.</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t>0145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Overskud (+) eller underskud (-) af specifikke kreditrisikojusteringer som følge af forventede tab til misligholdte eksponeringer opgjort efter IRB-metoden</w:t>
            </w:r>
          </w:p>
          <w:p w14:paraId="27D461A9" w14:textId="6B30E426" w:rsidR="00674BF5" w:rsidRPr="002A677E" w:rsidRDefault="00674BF5" w:rsidP="00487A02">
            <w:pPr>
              <w:pStyle w:val="InstructionsText"/>
            </w:pPr>
            <w:r>
              <w:t>Artikel 36, stk. 1, litra d), artikel 62, litra d), artikel 158 og artikel 159 i forordning (EU) nr. 575/2013</w:t>
            </w:r>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Denne post indberettes kun af institutter, der anvender IRB-metoden.</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t>0150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Specifikke kreditrisikojusteringer og positioner, der behandles på samme måde</w:t>
            </w:r>
          </w:p>
          <w:p w14:paraId="43A68A00" w14:textId="4DAD7839" w:rsidR="00674BF5" w:rsidRPr="002A677E" w:rsidRDefault="00674BF5" w:rsidP="00487A02">
            <w:pPr>
              <w:pStyle w:val="InstructionsText"/>
            </w:pPr>
            <w:r>
              <w:t>Artikel 159 i forordning (EU) nr. 575/2013</w:t>
            </w:r>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Denne post indberettes kun af institutter, der anvender IRB-metoden.</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t>0155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Samlede kvalificerede forventede tab</w:t>
            </w:r>
          </w:p>
          <w:p w14:paraId="13C1AF08" w14:textId="7E12E6AE" w:rsidR="00674BF5" w:rsidRPr="002A677E" w:rsidRDefault="00674BF5" w:rsidP="00487A02">
            <w:pPr>
              <w:pStyle w:val="InstructionsText"/>
              <w:rPr>
                <w:rStyle w:val="InstructionsTabelleberschrift"/>
                <w:rFonts w:ascii="Times New Roman" w:hAnsi="Times New Roman"/>
                <w:sz w:val="24"/>
              </w:rPr>
            </w:pPr>
            <w:r>
              <w:t>Artikel 158, stk. 5, 6 og 10, og artikel 159, i forordning (EU) nr. 575/2013</w:t>
            </w:r>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Denne post indberettes kun af institutter, der anvender IRB-metoden. Kun det forventede tab tilhørende misligholdte eksponeringer indberettes.</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t>0160</w:t>
            </w:r>
          </w:p>
        </w:tc>
        <w:tc>
          <w:tcPr>
            <w:tcW w:w="7049" w:type="dxa"/>
          </w:tcPr>
          <w:p w14:paraId="2429D2FF" w14:textId="77777777" w:rsidR="00674BF5" w:rsidRPr="002A677E"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Risikovægtede eksponeringer til beregning af loftet for overskuddet af hensættelser, der er kvalificeret som supplerende kapital</w:t>
            </w:r>
          </w:p>
          <w:p w14:paraId="73903EE6" w14:textId="6755FB1C" w:rsidR="00674BF5" w:rsidRPr="002A677E" w:rsidRDefault="00674BF5" w:rsidP="00487A02">
            <w:pPr>
              <w:pStyle w:val="InstructionsText"/>
            </w:pPr>
            <w:r>
              <w:t>Artikel 62, litra d), i forordning (EU) nr. 575/2013</w:t>
            </w:r>
          </w:p>
          <w:p w14:paraId="7FC9FB95" w14:textId="6063557E" w:rsidR="00674BF5" w:rsidRPr="002A677E" w:rsidRDefault="00674BF5" w:rsidP="00487A02">
            <w:pPr>
              <w:pStyle w:val="InstructionsText"/>
            </w:pPr>
            <w:r>
              <w:t xml:space="preserve">For institutter, der anvender IRB-metoden, er der fastsat et loft på 0,6 % af de risikovægtede eksponeringer beregnet i henhold til IRB-metoden for overskuddet af hensættelser, der er kvalificeret til indregning i den </w:t>
            </w:r>
            <w:r>
              <w:lastRenderedPageBreak/>
              <w:t xml:space="preserve">supplerende kapital, </w:t>
            </w:r>
            <w:r>
              <w:rPr>
                <w:rStyle w:val="FormatvorlageInstructionsTabelleText"/>
                <w:rFonts w:ascii="Times New Roman" w:hAnsi="Times New Roman"/>
                <w:sz w:val="24"/>
              </w:rPr>
              <w:t>jf.</w:t>
            </w:r>
            <w:r>
              <w:t xml:space="preserve"> artikel 62, litra d), i forordning (EU) nr. 575/2013.</w:t>
            </w:r>
          </w:p>
          <w:p w14:paraId="02C5710E" w14:textId="5DD39A5D" w:rsidR="00674BF5" w:rsidRPr="002A677E" w:rsidRDefault="00674BF5" w:rsidP="00487A02">
            <w:pPr>
              <w:pStyle w:val="InstructionsText"/>
            </w:pPr>
            <w:r>
              <w:t>Det beløb, der skal indberettes i denne post, er den risikovægtede eksponering (dvs. ikke ganget med 0,6 %), som er grundlaget for beregningen af loftet.</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lastRenderedPageBreak/>
              <w:t>0170</w:t>
            </w:r>
          </w:p>
        </w:tc>
        <w:tc>
          <w:tcPr>
            <w:tcW w:w="7049" w:type="dxa"/>
          </w:tcPr>
          <w:p w14:paraId="373C43C1" w14:textId="77777777" w:rsidR="00674BF5" w:rsidRPr="002A677E"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Samlede bruttohensættelser, der er kvalificeret til indregning i den supplerende kapital</w:t>
            </w:r>
          </w:p>
          <w:p w14:paraId="1E001C6E" w14:textId="31F46F2D" w:rsidR="00674BF5" w:rsidRPr="002A677E" w:rsidRDefault="00674BF5" w:rsidP="00487A02">
            <w:pPr>
              <w:pStyle w:val="InstructionsText"/>
            </w:pPr>
            <w:r>
              <w:t>Artikel 62, litra c), i forordning (EU) nr. 575/2013</w:t>
            </w:r>
          </w:p>
          <w:p w14:paraId="054F6F39" w14:textId="77777777" w:rsidR="00674BF5" w:rsidRPr="002A677E" w:rsidRDefault="00674BF5" w:rsidP="00487A02">
            <w:pPr>
              <w:pStyle w:val="InstructionsText"/>
            </w:pPr>
            <w:r>
              <w:t>Denne post indeholder de generelle kreditrisikojusteringer, der er kvalificeret til indregning i den supplerende kapital, inden loftet.</w:t>
            </w:r>
          </w:p>
          <w:p w14:paraId="536A8737" w14:textId="77777777" w:rsidR="00674BF5" w:rsidRPr="002A677E" w:rsidRDefault="00674BF5" w:rsidP="00487A02">
            <w:pPr>
              <w:pStyle w:val="InstructionsText"/>
            </w:pPr>
            <w:r>
              <w:t>Det indberettede beløb skal være før indregning af skatteeffekten.</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t>0180</w:t>
            </w:r>
          </w:p>
        </w:tc>
        <w:tc>
          <w:tcPr>
            <w:tcW w:w="7049" w:type="dxa"/>
          </w:tcPr>
          <w:p w14:paraId="5FC61E8C" w14:textId="77777777" w:rsidR="00674BF5" w:rsidRPr="002A677E"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Risikovægtede eksponeringer til beregning af loftet for hensættelser, der er kvalificeret som supplerende kapital</w:t>
            </w:r>
          </w:p>
          <w:p w14:paraId="4E8EDB11" w14:textId="0959D742" w:rsidR="00674BF5" w:rsidRPr="002A677E" w:rsidRDefault="00674BF5" w:rsidP="00487A02">
            <w:pPr>
              <w:pStyle w:val="InstructionsText"/>
            </w:pPr>
            <w:r>
              <w:t>Artikel 62, litra c), i forordning (EU) nr. 575/2013</w:t>
            </w:r>
          </w:p>
          <w:p w14:paraId="5976FED4" w14:textId="5B9E55FC" w:rsidR="00674BF5" w:rsidRPr="002A677E" w:rsidRDefault="00674BF5" w:rsidP="00487A02">
            <w:pPr>
              <w:pStyle w:val="InstructionsText"/>
            </w:pPr>
            <w:r>
              <w:t>I henhold til artikel 62, litra c), i forordning (EU) nr. 575/2013 er der fastsat et loft for kreditrisikojusteringer, der er kvalificeret til indregning i den supplerende kapital, på 1,25 % af de risikovægtede eksponeringer.</w:t>
            </w:r>
          </w:p>
          <w:p w14:paraId="451AFB2F" w14:textId="6455831B" w:rsidR="00674BF5" w:rsidRPr="002A677E" w:rsidRDefault="00674BF5" w:rsidP="00487A02">
            <w:pPr>
              <w:pStyle w:val="InstructionsText"/>
            </w:pPr>
            <w:r>
              <w:t>Det beløb, der skal indberettes i denne post, er den risikovægtede eksponering (dvs. ikke ganget med 1,25 %), som er grundlaget for beregningen af loftet.</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t>0190</w:t>
            </w:r>
          </w:p>
        </w:tc>
        <w:tc>
          <w:tcPr>
            <w:tcW w:w="7049" w:type="dxa"/>
          </w:tcPr>
          <w:p w14:paraId="6DD5284D" w14:textId="77777777" w:rsidR="00674BF5" w:rsidRPr="002A677E"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Tærskel for ikkefradragsberettigede besiddelser af instrumenter i enheder i den finansielle sektor, hvori instituttet ikke har væsentlige investeringer</w:t>
            </w:r>
          </w:p>
          <w:p w14:paraId="2577F674" w14:textId="51F693D9" w:rsidR="00674BF5" w:rsidRPr="002A677E" w:rsidRDefault="00674BF5" w:rsidP="00487A02">
            <w:pPr>
              <w:pStyle w:val="InstructionsText"/>
            </w:pPr>
            <w:r>
              <w:t>Artikel 46, stk. 1, litra a), i forordning (EU) nr. 575/2013</w:t>
            </w:r>
          </w:p>
          <w:p w14:paraId="063689F3" w14:textId="3A81A5C8" w:rsidR="00674BF5" w:rsidRPr="002A677E" w:rsidRDefault="00674BF5" w:rsidP="00487A02">
            <w:pPr>
              <w:pStyle w:val="InstructionsText"/>
            </w:pPr>
            <w:r>
              <w:t>Denne post indeholder den tærskel, op til hvilken besiddelser i en enhed i den finansielle sektor, hvori instituttet ikke har væsentlige investeringer, ikke fratrækkes. Beløbet beregnes ved at lægge alle de poster, som er grundlaget for tærsklen, sammen, og summen ganges derefter med 10 %.</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t>0200</w:t>
            </w:r>
          </w:p>
        </w:tc>
        <w:tc>
          <w:tcPr>
            <w:tcW w:w="7049" w:type="dxa"/>
          </w:tcPr>
          <w:p w14:paraId="09A04A30" w14:textId="1AC1BD34" w:rsidR="00674BF5" w:rsidRPr="002A677E"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Tærskel på 10 % for egentlig kernekapital </w:t>
            </w:r>
          </w:p>
          <w:p w14:paraId="654AD885" w14:textId="7B92D0FB" w:rsidR="00674BF5" w:rsidRPr="002A677E" w:rsidRDefault="00674BF5" w:rsidP="00487A02">
            <w:pPr>
              <w:pStyle w:val="InstructionsText"/>
            </w:pPr>
            <w:r>
              <w:t>Artikel 48, stk. 1, litra a) og b), i forordning (EU) nr. 575/2013</w:t>
            </w:r>
          </w:p>
          <w:p w14:paraId="0361524B" w14:textId="15843BAD" w:rsidR="00674BF5" w:rsidRPr="002A677E" w:rsidRDefault="00674BF5" w:rsidP="00487A02">
            <w:pPr>
              <w:pStyle w:val="InstructionsText"/>
            </w:pPr>
            <w:r>
              <w:t>Denne post indeholder tærsklen på 10 % for besiddelser af instrumenter i enheder i den finansielle sektor, hvori instituttet har væsentlige investeringer, og for udskudte skatteaktiver, som afhænger af fremtidig rentabilitet og skyldes midlertidige forskelle.</w:t>
            </w:r>
          </w:p>
          <w:p w14:paraId="479EB0E8" w14:textId="0CF20FC7" w:rsidR="00674BF5" w:rsidRPr="002A677E" w:rsidRDefault="00674BF5" w:rsidP="00487A02">
            <w:pPr>
              <w:pStyle w:val="InstructionsText"/>
            </w:pPr>
            <w:r>
              <w:t>Beløbet beregnes ved at lægge alle de poster, som er grundlaget for tærsklen, sammen, og summen ganges derefter med 10 %.</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t>0210</w:t>
            </w:r>
          </w:p>
        </w:tc>
        <w:tc>
          <w:tcPr>
            <w:tcW w:w="7049" w:type="dxa"/>
          </w:tcPr>
          <w:p w14:paraId="20955EA7" w14:textId="3F93857D" w:rsidR="00674BF5" w:rsidRPr="002A677E"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Tærskel på 17,65 % for egentlig kernekapital </w:t>
            </w:r>
          </w:p>
          <w:p w14:paraId="1D5CF966" w14:textId="41AEB2C7" w:rsidR="00674BF5" w:rsidRPr="002A677E" w:rsidRDefault="00674BF5" w:rsidP="00487A02">
            <w:pPr>
              <w:pStyle w:val="InstructionsText"/>
            </w:pPr>
            <w:r>
              <w:t>Artikel 48, stk. 1, i forordning (EU) nr. 575/2013</w:t>
            </w:r>
          </w:p>
          <w:p w14:paraId="12D87189" w14:textId="3D53F40C" w:rsidR="00674BF5" w:rsidRPr="002A677E" w:rsidRDefault="00674BF5" w:rsidP="00487A02">
            <w:pPr>
              <w:pStyle w:val="InstructionsText"/>
            </w:pPr>
            <w:r>
              <w:t xml:space="preserve">Denne post indeholder tærsklen på 17,65 % for besiddelser af instrumenter i enheder i den finansielle sektor, hvori instituttet har væsentlige investeringer, og for udskudte skatteaktiver, som afhænger af fremtidig </w:t>
            </w:r>
            <w:r>
              <w:lastRenderedPageBreak/>
              <w:t>rentabilitet og skyldes midlertidige forskelle, som skal anvendes efter tærsklen på 10 %.</w:t>
            </w:r>
          </w:p>
          <w:p w14:paraId="14884015" w14:textId="35F6C84F" w:rsidR="00674BF5" w:rsidRPr="002A677E" w:rsidRDefault="00674BF5" w:rsidP="00487A02">
            <w:pPr>
              <w:pStyle w:val="InstructionsText"/>
            </w:pPr>
            <w:r>
              <w:t>Tærsklen beregnes således, at beløbet for de to poster, der indregnes, ikke overstiger 15 % af den endelige egentlige kernekapital, dvs. den egentlige kernekapital beregnet efter alle fradrag, men uden justeringer som følge af overgangsbestemmelser.</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lastRenderedPageBreak/>
              <w:t>0225</w:t>
            </w:r>
          </w:p>
        </w:tc>
        <w:tc>
          <w:tcPr>
            <w:tcW w:w="7049" w:type="dxa"/>
          </w:tcPr>
          <w:p w14:paraId="4DB6B6BB"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Justeret kapitalgrundlag, for så vidt angår kvalificerede andele uden for den finansielle sektor</w:t>
            </w:r>
          </w:p>
          <w:p w14:paraId="758CEFE8" w14:textId="4A6835A1" w:rsidR="00674BF5" w:rsidRPr="002A677E" w:rsidRDefault="00674BF5" w:rsidP="00F42FE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w:t>
            </w:r>
            <w:r>
              <w:t>Artikel 4, stk. 1, nr. 71), litra a), i forordning (EU) nr. 575/2013</w:t>
            </w:r>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t>0230</w:t>
            </w:r>
          </w:p>
        </w:tc>
        <w:tc>
          <w:tcPr>
            <w:tcW w:w="7049" w:type="dxa"/>
          </w:tcPr>
          <w:p w14:paraId="583FCAD3" w14:textId="77777777" w:rsidR="00674BF5" w:rsidRPr="002A677E"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Besiddelser af egentlig kernekapital i enheder i den finansielle sektor, hvori instituttet ikke har væsentlige investeringer, fratrukket korte positioner</w:t>
            </w:r>
          </w:p>
          <w:p w14:paraId="2254EDFA" w14:textId="6ED60496" w:rsidR="00674BF5" w:rsidRPr="002A677E" w:rsidRDefault="00674BF5" w:rsidP="00487A02">
            <w:pPr>
              <w:pStyle w:val="InstructionsText"/>
            </w:pPr>
            <w:r>
              <w:t>Artikel 44, 45, 46 og 49 i forordning (EU) nr. 575/2013</w:t>
            </w:r>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t>0240</w:t>
            </w:r>
          </w:p>
        </w:tc>
        <w:tc>
          <w:tcPr>
            <w:tcW w:w="7049" w:type="dxa"/>
          </w:tcPr>
          <w:p w14:paraId="23E364C8" w14:textId="77777777" w:rsidR="00674BF5" w:rsidRPr="002A677E"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Direkte besiddelser af egentlig kernekapital i enheder i den finansielle sektor, hvori instituttet ikke har væsentlige investeringer</w:t>
            </w:r>
          </w:p>
          <w:p w14:paraId="659E1D80" w14:textId="237AE88D" w:rsidR="00674BF5" w:rsidRPr="002A677E" w:rsidRDefault="00674BF5" w:rsidP="00487A02">
            <w:pPr>
              <w:pStyle w:val="InstructionsText"/>
            </w:pPr>
            <w:r>
              <w:t>Artikel 44, 45, 46 og 49 i forordning (EU) nr. 575/2013</w:t>
            </w:r>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t>0250</w:t>
            </w:r>
          </w:p>
        </w:tc>
        <w:tc>
          <w:tcPr>
            <w:tcW w:w="7049" w:type="dxa"/>
          </w:tcPr>
          <w:p w14:paraId="033E9BD4" w14:textId="77777777" w:rsidR="00674BF5" w:rsidRPr="002A677E"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Direkte bruttobesiddelser af egentlig kernekapital i enheder i den finansielle sektor, hvori instituttet ikke har væsentlige investeringer</w:t>
            </w:r>
          </w:p>
          <w:p w14:paraId="13ECC0FA" w14:textId="3D383F04" w:rsidR="00674BF5" w:rsidRPr="002A677E" w:rsidRDefault="00674BF5" w:rsidP="00487A02">
            <w:pPr>
              <w:pStyle w:val="InstructionsText"/>
            </w:pPr>
            <w:r>
              <w:t>Artikel 44, 46 og artikel 49 i forordning (EU) nr. 575/2013</w:t>
            </w:r>
          </w:p>
          <w:p w14:paraId="7CB3E9B2" w14:textId="77777777" w:rsidR="00674BF5" w:rsidRPr="002A677E" w:rsidRDefault="00674BF5" w:rsidP="00487A02">
            <w:pPr>
              <w:pStyle w:val="InstructionsText"/>
            </w:pPr>
            <w:r>
              <w:t>Direkte besiddelser af egentlig kernekapital i enheder i den finansielle sektor, hvori instituttet ikke har væsentlige investeringer, undtagen:</w:t>
            </w:r>
          </w:p>
          <w:p w14:paraId="1D194F52" w14:textId="77777777" w:rsidR="00674BF5" w:rsidRPr="002A677E" w:rsidRDefault="00674BF5" w:rsidP="00487A02">
            <w:pPr>
              <w:pStyle w:val="InstructionsText"/>
            </w:pPr>
            <w:r>
              <w:t>a)</w:t>
            </w:r>
            <w:r>
              <w:tab/>
              <w:t xml:space="preserve">emissionspositioner, der besiddes i højst fem arbejdsdage </w:t>
            </w:r>
          </w:p>
          <w:p w14:paraId="6F04C7CA" w14:textId="77777777" w:rsidR="00674BF5" w:rsidRPr="002A677E" w:rsidRDefault="00674BF5" w:rsidP="00487A02">
            <w:pPr>
              <w:pStyle w:val="InstructionsText"/>
            </w:pPr>
            <w:r>
              <w:t>b)</w:t>
            </w:r>
            <w:r>
              <w:tab/>
              <w:t xml:space="preserve">beløb vedrørende investeringer, for hvilke alternativet i artikel 49 anvendes, og </w:t>
            </w:r>
          </w:p>
          <w:p w14:paraId="257189C5" w14:textId="2F9D0145" w:rsidR="00674BF5" w:rsidRPr="002A677E" w:rsidRDefault="00674BF5" w:rsidP="00F42FE9">
            <w:pPr>
              <w:pStyle w:val="InstructionsText"/>
            </w:pPr>
            <w:r>
              <w:t>c)</w:t>
            </w:r>
            <w:r>
              <w:tab/>
              <w:t>besiddelser, der behandles som besiddelser i krydsejerskab i henhold til artikel 36, stk. 1, litra g), i forordning (EU) nr. 575/2013</w:t>
            </w:r>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t>0260</w:t>
            </w:r>
          </w:p>
        </w:tc>
        <w:tc>
          <w:tcPr>
            <w:tcW w:w="7049" w:type="dxa"/>
          </w:tcPr>
          <w:p w14:paraId="51DBBC14" w14:textId="77777777" w:rsidR="00674BF5" w:rsidRPr="002A677E"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Tilladt udligning af korte positioner i forhold til de direkte bruttobesiddelser anført ovenfor</w:t>
            </w:r>
          </w:p>
          <w:p w14:paraId="75CB2494" w14:textId="7EF123DE" w:rsidR="00674BF5" w:rsidRPr="002A677E" w:rsidRDefault="00674BF5" w:rsidP="00487A02">
            <w:pPr>
              <w:pStyle w:val="InstructionsText"/>
            </w:pPr>
            <w:r>
              <w:t>Artikel 45 i forordning (EU) nr. 575/2013</w:t>
            </w:r>
          </w:p>
          <w:p w14:paraId="0D472F64" w14:textId="4B6C8B20" w:rsidR="00674BF5" w:rsidRPr="002A677E" w:rsidRDefault="00674BF5" w:rsidP="00487A02">
            <w:pPr>
              <w:pStyle w:val="InstructionsText"/>
            </w:pPr>
            <w:r>
              <w:t>Artikel 45,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t>0270</w:t>
            </w:r>
          </w:p>
        </w:tc>
        <w:tc>
          <w:tcPr>
            <w:tcW w:w="7049" w:type="dxa"/>
          </w:tcPr>
          <w:p w14:paraId="7FDBFD32" w14:textId="77777777" w:rsidR="00674BF5" w:rsidRPr="002A677E"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Indirekte besiddelser af egentlig kernekapital i enheder i den finansielle sektor, hvori instituttet ikke har væsentlige investeringer</w:t>
            </w:r>
          </w:p>
          <w:p w14:paraId="358D5E9A" w14:textId="1938647C" w:rsidR="00674BF5" w:rsidRPr="002A677E" w:rsidRDefault="00674BF5" w:rsidP="00487A02">
            <w:pPr>
              <w:pStyle w:val="InstructionsText"/>
            </w:pPr>
            <w:r>
              <w:t>Artikel 4, stk. 1, nr. 114), og artikel 44 og 45 i forordning (EU) nr. 575/2013</w:t>
            </w:r>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lastRenderedPageBreak/>
              <w:t>0280</w:t>
            </w:r>
          </w:p>
        </w:tc>
        <w:tc>
          <w:tcPr>
            <w:tcW w:w="7049" w:type="dxa"/>
          </w:tcPr>
          <w:p w14:paraId="4FD7DC7E" w14:textId="77777777" w:rsidR="00674BF5" w:rsidRPr="002A677E"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Indirekte bruttobesiddelser af egentlig kernekapital i enheder i den finansielle sektor, hvori instituttet ikke har væsentlige investeringer</w:t>
            </w:r>
          </w:p>
          <w:p w14:paraId="2732B6AD" w14:textId="2373A48B" w:rsidR="00674BF5" w:rsidRPr="002A677E" w:rsidRDefault="00674BF5" w:rsidP="00487A02">
            <w:pPr>
              <w:pStyle w:val="InstructionsText"/>
            </w:pPr>
            <w:r>
              <w:t>Artikel 4, stk. 1, nr. 114), og artikel 44 og 45 i forordning (EU) nr. 575/2013</w:t>
            </w:r>
          </w:p>
          <w:p w14:paraId="5F96C9B6" w14:textId="77777777" w:rsidR="00674BF5" w:rsidRPr="002A677E" w:rsidRDefault="00674BF5" w:rsidP="00487A02">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14:paraId="36C5342B" w14:textId="0A0C91EA" w:rsidR="00674BF5" w:rsidRPr="002A677E" w:rsidRDefault="00674BF5" w:rsidP="00F42FE9">
            <w:pPr>
              <w:pStyle w:val="InstructionsText"/>
            </w:pPr>
            <w:r>
              <w:t>Besiddelser, der behandles som besiddelser i krydsejerskab i henhold til artikel 36, stk. 1, litra g), i forordning (EU) nr. 575/2013, medregnes ikke.</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t>0290</w:t>
            </w:r>
          </w:p>
        </w:tc>
        <w:tc>
          <w:tcPr>
            <w:tcW w:w="7049" w:type="dxa"/>
          </w:tcPr>
          <w:p w14:paraId="7C58F58B" w14:textId="77777777" w:rsidR="00674BF5" w:rsidRPr="002A677E"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Tilladt udligning af korte positioner i forhold til de indirekte bruttobesiddelser anført ovenfor</w:t>
            </w:r>
          </w:p>
          <w:p w14:paraId="7BD0D59F" w14:textId="267C2484" w:rsidR="00674BF5" w:rsidRPr="002A677E" w:rsidRDefault="00674BF5" w:rsidP="00487A02">
            <w:pPr>
              <w:pStyle w:val="InstructionsText"/>
            </w:pPr>
            <w:r>
              <w:t>Artikel 4, stk. 1, nr. 114), og artikel 45 i forordning (EU) nr. 575/2013</w:t>
            </w:r>
          </w:p>
          <w:p w14:paraId="15A025FB" w14:textId="782977EE" w:rsidR="00674BF5" w:rsidRPr="002A677E" w:rsidRDefault="00674BF5" w:rsidP="00487A02">
            <w:pPr>
              <w:pStyle w:val="InstructionsText"/>
            </w:pPr>
            <w:r>
              <w:t>Artikel 45,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t>0291</w:t>
            </w:r>
          </w:p>
        </w:tc>
        <w:tc>
          <w:tcPr>
            <w:tcW w:w="7049" w:type="dxa"/>
            <w:vAlign w:val="center"/>
          </w:tcPr>
          <w:p w14:paraId="01EBFDC4"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Syntetiske besiddelser af egentlig kernekapital i enheder i den finansielle sektor, hvori instituttet ikke har væsentlige investeringer</w:t>
            </w:r>
          </w:p>
          <w:p w14:paraId="5572FBC1" w14:textId="0391A264" w:rsidR="00674BF5" w:rsidRPr="002A677E" w:rsidRDefault="00674BF5" w:rsidP="00487A02">
            <w:pPr>
              <w:pStyle w:val="InstructionsText"/>
              <w:rPr>
                <w:rStyle w:val="InstructionsTabelleberschrift"/>
                <w:rFonts w:ascii="Times New Roman" w:hAnsi="Times New Roman"/>
                <w:b w:val="0"/>
                <w:sz w:val="24"/>
                <w:u w:val="none"/>
              </w:rPr>
            </w:pPr>
            <w:r>
              <w:t>Artikel 4, stk. 1, nr. 126), og artikel 44 og 45, i forordning (EU) nr. 575/2013</w:t>
            </w:r>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t>0292</w:t>
            </w:r>
          </w:p>
        </w:tc>
        <w:tc>
          <w:tcPr>
            <w:tcW w:w="7049" w:type="dxa"/>
            <w:vAlign w:val="center"/>
          </w:tcPr>
          <w:p w14:paraId="7534DE7F"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Syntetiske bruttobesiddelser af egentlig kernekapital i enheder i den finansielle sektor, hvori instituttet ikke har væsentlige investeringer</w:t>
            </w:r>
          </w:p>
          <w:p w14:paraId="08489D8F" w14:textId="050F7FEB" w:rsidR="00674BF5" w:rsidRPr="002A677E" w:rsidRDefault="00674BF5" w:rsidP="00487A02">
            <w:pPr>
              <w:pStyle w:val="InstructionsText"/>
              <w:rPr>
                <w:rStyle w:val="InstructionsTabelleberschrift"/>
                <w:rFonts w:ascii="Times New Roman" w:hAnsi="Times New Roman"/>
                <w:b w:val="0"/>
                <w:sz w:val="24"/>
                <w:u w:val="none"/>
              </w:rPr>
            </w:pPr>
            <w:r>
              <w:t>Artikel 4, stk. 1, nr. 126), og artikel 44 og 45, i forordning (EU) nr. 575/2013</w:t>
            </w:r>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t>0293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Tilladt udligning af korte positioner i forhold til de syntetiske bruttobesiddelser anført ovenfor</w:t>
            </w:r>
          </w:p>
          <w:p w14:paraId="76BF8245" w14:textId="3EAB0694" w:rsidR="00674BF5" w:rsidRPr="002A677E" w:rsidRDefault="00674BF5" w:rsidP="00487A02">
            <w:pPr>
              <w:pStyle w:val="InstructionsText"/>
              <w:rPr>
                <w:rStyle w:val="InstructionsTabelleberschrift"/>
                <w:rFonts w:ascii="Times New Roman" w:hAnsi="Times New Roman"/>
                <w:b w:val="0"/>
                <w:sz w:val="24"/>
                <w:u w:val="none"/>
              </w:rPr>
            </w:pPr>
            <w:r>
              <w:t>Artikel 4, stk. 1, nr. 126), og artikel 45 i forordning (EU) nr. 575/2013</w:t>
            </w:r>
          </w:p>
          <w:p w14:paraId="2BF58BE0" w14:textId="547D15C2" w:rsidR="002D31E5" w:rsidRPr="002A677E" w:rsidRDefault="002D31E5" w:rsidP="00712F56">
            <w:pPr>
              <w:pStyle w:val="InstructionsText"/>
              <w:rPr>
                <w:rStyle w:val="InstructionsTabelleberschrift"/>
                <w:rFonts w:ascii="Times New Roman" w:hAnsi="Times New Roman"/>
                <w:b w:val="0"/>
                <w:sz w:val="24"/>
                <w:u w:val="none"/>
              </w:rPr>
            </w:pPr>
            <w:r>
              <w:t>Artikel 45,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t>0300</w:t>
            </w:r>
          </w:p>
        </w:tc>
        <w:tc>
          <w:tcPr>
            <w:tcW w:w="7049" w:type="dxa"/>
          </w:tcPr>
          <w:p w14:paraId="0425D53E"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Besiddelser af hybrid kernekapital i enheder i den finansielle sektor, hvori instituttet ikke har væsentlige investeringer, fratrukket korte positioner</w:t>
            </w:r>
          </w:p>
          <w:p w14:paraId="3A7268AA" w14:textId="49E10BA0" w:rsidR="00674BF5" w:rsidRPr="002A677E" w:rsidRDefault="00674BF5" w:rsidP="00487A02">
            <w:pPr>
              <w:pStyle w:val="InstructionsText"/>
            </w:pPr>
            <w:r>
              <w:t>Artikel 58, 59 og artikel 60 i forordning (EU) nr. 575/2013</w:t>
            </w:r>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lastRenderedPageBreak/>
              <w:t>0310</w:t>
            </w:r>
          </w:p>
        </w:tc>
        <w:tc>
          <w:tcPr>
            <w:tcW w:w="7049" w:type="dxa"/>
          </w:tcPr>
          <w:p w14:paraId="4B1580C2" w14:textId="77777777" w:rsidR="00674BF5" w:rsidRPr="002A677E"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Direkte besiddelser af hybrid kernekapital i enheder i den finansielle sektor, hvori instituttet ikke har væsentlige investeringer</w:t>
            </w:r>
          </w:p>
          <w:p w14:paraId="12F9644D" w14:textId="5987CE2B" w:rsidR="00674BF5" w:rsidRPr="002A677E" w:rsidRDefault="00674BF5" w:rsidP="00487A02">
            <w:pPr>
              <w:pStyle w:val="InstructionsText"/>
            </w:pPr>
            <w:r>
              <w:t>Artikel 58, 59 og artikel 60, stk. 2, i forordning (EU) nr. 575/2013</w:t>
            </w:r>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t>0320</w:t>
            </w:r>
          </w:p>
        </w:tc>
        <w:tc>
          <w:tcPr>
            <w:tcW w:w="7049" w:type="dxa"/>
          </w:tcPr>
          <w:p w14:paraId="43891B7C" w14:textId="77777777" w:rsidR="00674BF5" w:rsidRPr="002A677E"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Direkte bruttobesiddelser af hybrid kernekapital i enheder i den finansielle sektor, hvori instituttet ikke har væsentlige investeringer</w:t>
            </w:r>
          </w:p>
          <w:p w14:paraId="7DF04F57" w14:textId="49FD27AE" w:rsidR="00674BF5" w:rsidRPr="002A677E" w:rsidRDefault="00674BF5" w:rsidP="00487A02">
            <w:pPr>
              <w:pStyle w:val="InstructionsText"/>
            </w:pPr>
            <w:r>
              <w:t>Artikel 58 og artikel 60, stk. 2, i forordning (EU) nr. 575/2013</w:t>
            </w:r>
          </w:p>
          <w:p w14:paraId="0720C102" w14:textId="77777777" w:rsidR="00674BF5" w:rsidRPr="002A677E" w:rsidRDefault="00674BF5" w:rsidP="00487A02">
            <w:pPr>
              <w:pStyle w:val="InstructionsText"/>
            </w:pPr>
            <w:r>
              <w:t>Direkte besiddelser af hybrid kernekapital i enheder i den finansielle sektor, hvori instituttet ikke har væsentlige investeringer, undtagen:</w:t>
            </w:r>
          </w:p>
          <w:p w14:paraId="0E991BB5" w14:textId="77777777" w:rsidR="00674BF5" w:rsidRPr="002A677E" w:rsidRDefault="00674BF5" w:rsidP="00487A02">
            <w:pPr>
              <w:pStyle w:val="InstructionsText"/>
            </w:pPr>
            <w:r>
              <w:t>a)</w:t>
            </w:r>
            <w:r>
              <w:tab/>
              <w:t xml:space="preserve">emissionspositioner, der besiddes i højst fem arbejdsdage og </w:t>
            </w:r>
          </w:p>
          <w:p w14:paraId="22C8A827" w14:textId="6B1A0CC2" w:rsidR="00674BF5" w:rsidRPr="002A677E" w:rsidRDefault="00674BF5" w:rsidP="00F42FE9">
            <w:pPr>
              <w:pStyle w:val="InstructionsText"/>
            </w:pPr>
            <w:r>
              <w:t>b)</w:t>
            </w:r>
            <w:r>
              <w:tab/>
              <w:t>besiddelser, der behandles som besiddelser i krydsejerskab i henhold til artikel 56, litra b), i forordning (EU) nr. 575/2013</w:t>
            </w:r>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t>0330</w:t>
            </w:r>
          </w:p>
        </w:tc>
        <w:tc>
          <w:tcPr>
            <w:tcW w:w="7049" w:type="dxa"/>
          </w:tcPr>
          <w:p w14:paraId="42043EC5" w14:textId="77777777" w:rsidR="00674BF5" w:rsidRPr="002A677E"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Tilladt udligning af korte positioner i forhold til de direkte bruttobesiddelser anført ovenfor</w:t>
            </w:r>
          </w:p>
          <w:p w14:paraId="37E8F418" w14:textId="62C37997" w:rsidR="00674BF5" w:rsidRPr="002A677E" w:rsidRDefault="00674BF5" w:rsidP="00487A02">
            <w:pPr>
              <w:pStyle w:val="InstructionsText"/>
            </w:pPr>
            <w:r>
              <w:t>Artikel 59 i forordning (EU) nr. 575/2013</w:t>
            </w:r>
          </w:p>
          <w:p w14:paraId="7EE8FF1A" w14:textId="3362B565" w:rsidR="00674BF5" w:rsidRPr="002A677E" w:rsidRDefault="00674BF5" w:rsidP="00487A02">
            <w:pPr>
              <w:pStyle w:val="InstructionsText"/>
            </w:pPr>
            <w:r>
              <w:t>Artikel 59,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2A677E" w14:paraId="2A2D5DE1" w14:textId="77777777" w:rsidTr="00674BF5">
        <w:tc>
          <w:tcPr>
            <w:tcW w:w="1474" w:type="dxa"/>
          </w:tcPr>
          <w:p w14:paraId="5C185E72" w14:textId="77777777" w:rsidR="00674BF5" w:rsidRPr="002A677E" w:rsidRDefault="00754ADC" w:rsidP="00487A02">
            <w:pPr>
              <w:pStyle w:val="InstructionsText"/>
            </w:pPr>
            <w:r>
              <w:t>0340</w:t>
            </w:r>
          </w:p>
        </w:tc>
        <w:tc>
          <w:tcPr>
            <w:tcW w:w="7049" w:type="dxa"/>
          </w:tcPr>
          <w:p w14:paraId="2DEC34CD" w14:textId="77777777" w:rsidR="00674BF5" w:rsidRPr="002A677E"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Indirekte besiddelser af hybrid kernekapital i enheder i den finansielle sektor, hvori instituttet ikke har væsentlige investeringer</w:t>
            </w:r>
          </w:p>
          <w:p w14:paraId="59B259D6" w14:textId="42283C0C" w:rsidR="00674BF5" w:rsidRPr="002A677E" w:rsidRDefault="00674BF5" w:rsidP="00487A02">
            <w:pPr>
              <w:pStyle w:val="InstructionsText"/>
            </w:pPr>
            <w:r>
              <w:t>Artikel 4, stk. 1, nr. 114), og artikel 58 og 59 i forordning (EU) nr. 575/2013</w:t>
            </w:r>
          </w:p>
        </w:tc>
      </w:tr>
      <w:tr w:rsidR="00674BF5" w:rsidRPr="002A677E" w14:paraId="54D1E330" w14:textId="77777777" w:rsidTr="00674BF5">
        <w:tc>
          <w:tcPr>
            <w:tcW w:w="1474" w:type="dxa"/>
          </w:tcPr>
          <w:p w14:paraId="2977533C" w14:textId="77777777" w:rsidR="00674BF5" w:rsidRPr="002A677E" w:rsidRDefault="00754ADC" w:rsidP="00487A02">
            <w:pPr>
              <w:pStyle w:val="InstructionsText"/>
            </w:pPr>
            <w:r>
              <w:t>0350</w:t>
            </w:r>
          </w:p>
        </w:tc>
        <w:tc>
          <w:tcPr>
            <w:tcW w:w="7049" w:type="dxa"/>
          </w:tcPr>
          <w:p w14:paraId="61C0FE1C" w14:textId="77777777" w:rsidR="00674BF5" w:rsidRPr="002A677E"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Indirekte bruttobesiddelser af hybrid kernekapital i enheder i den finansielle sektor, hvori instituttet ikke har væsentlige investeringer</w:t>
            </w:r>
          </w:p>
          <w:p w14:paraId="43E165CB" w14:textId="1C9481DC" w:rsidR="00674BF5" w:rsidRPr="002A677E" w:rsidRDefault="00674BF5" w:rsidP="00487A02">
            <w:pPr>
              <w:pStyle w:val="InstructionsText"/>
            </w:pPr>
            <w:r>
              <w:t>Artikel 4, stk. 1, nr. 114), og artikel 58 og 59 i forordning (EU) nr. 575/2013</w:t>
            </w:r>
          </w:p>
          <w:p w14:paraId="390AEC9F" w14:textId="77777777" w:rsidR="00674BF5" w:rsidRPr="002A677E" w:rsidRDefault="00674BF5" w:rsidP="00487A02">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14:paraId="73245B5D" w14:textId="0A18806B" w:rsidR="00674BF5" w:rsidRPr="002A677E" w:rsidRDefault="00674BF5" w:rsidP="00F42FE9">
            <w:pPr>
              <w:pStyle w:val="InstructionsText"/>
            </w:pPr>
            <w:r>
              <w:t>Besiddelser, der behandles som besiddelser i krydsejerskab i henhold til artikel 56, litra b), i forordning (EU) nr. 575/2013, medregnes ikke.</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t>0360</w:t>
            </w:r>
          </w:p>
        </w:tc>
        <w:tc>
          <w:tcPr>
            <w:tcW w:w="7049" w:type="dxa"/>
          </w:tcPr>
          <w:p w14:paraId="57AE1515" w14:textId="77777777" w:rsidR="00674BF5" w:rsidRPr="002A677E"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Tilladt udligning af korte positioner i forhold til de indirekte bruttobesiddelser anført ovenfor</w:t>
            </w:r>
          </w:p>
          <w:p w14:paraId="4C6BA351" w14:textId="7D768606" w:rsidR="00674BF5" w:rsidRPr="002A677E" w:rsidRDefault="00674BF5" w:rsidP="00487A02">
            <w:pPr>
              <w:pStyle w:val="InstructionsText"/>
            </w:pPr>
            <w:r>
              <w:t>Artikel 4, stk. 1, nr. 114), og artikel 59 i forordning (EU) nr. 575/2013</w:t>
            </w:r>
          </w:p>
          <w:p w14:paraId="5865285A" w14:textId="78A0EF8A" w:rsidR="00674BF5" w:rsidRPr="002A677E" w:rsidRDefault="00674BF5" w:rsidP="00487A02">
            <w:pPr>
              <w:pStyle w:val="InstructionsText"/>
            </w:pPr>
            <w:r>
              <w:t xml:space="preserve">Artikel 59, litra a), i forordning (EU) nr. 575/2013 tillader udligning af korte positioner i den samme underliggende eksponering, hvis den korte positions forfaldstidspunkt er enten sammenfaldende med eller senere </w:t>
            </w:r>
            <w:r>
              <w:lastRenderedPageBreak/>
              <w:t>end forfaldstidspunktet for den lange position, eller den korte positions restløbetid er mindst et år.</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lastRenderedPageBreak/>
              <w:t>0361</w:t>
            </w:r>
          </w:p>
        </w:tc>
        <w:tc>
          <w:tcPr>
            <w:tcW w:w="7049" w:type="dxa"/>
            <w:vAlign w:val="center"/>
          </w:tcPr>
          <w:p w14:paraId="58A290B0" w14:textId="77777777" w:rsidR="00674BF5" w:rsidRPr="002A677E"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Syntetiske besiddelser af hybrid kernekapital i enheder i den finansielle sektor, hvori instituttet ikke har væsentlige investeringer</w:t>
            </w:r>
          </w:p>
          <w:p w14:paraId="6F95928A" w14:textId="0846A52C" w:rsidR="00674BF5" w:rsidRPr="002A677E" w:rsidRDefault="00674BF5" w:rsidP="00487A02">
            <w:pPr>
              <w:pStyle w:val="InstructionsText"/>
              <w:rPr>
                <w:rStyle w:val="InstructionsTabelleberschrift"/>
                <w:rFonts w:ascii="Times New Roman" w:hAnsi="Times New Roman"/>
                <w:b w:val="0"/>
                <w:bCs w:val="0"/>
                <w:sz w:val="24"/>
                <w:u w:val="none"/>
              </w:rPr>
            </w:pPr>
            <w:r>
              <w:t>Artikel 4, stk. 1, nr. 126), og artikel 58 og 59 i forordning (EU) nr. 575/2013</w:t>
            </w:r>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t>0362</w:t>
            </w:r>
          </w:p>
        </w:tc>
        <w:tc>
          <w:tcPr>
            <w:tcW w:w="7049" w:type="dxa"/>
            <w:vAlign w:val="center"/>
          </w:tcPr>
          <w:p w14:paraId="3CA4EC15" w14:textId="77777777" w:rsidR="00674BF5" w:rsidRPr="002A677E"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Syntetiske bruttobesiddelser af hybrid kernekapital i enheder i den finansielle sektor, hvori instituttet ikke har væsentlige investeringer</w:t>
            </w:r>
          </w:p>
          <w:p w14:paraId="1E01B361" w14:textId="193B5111" w:rsidR="00674BF5" w:rsidRPr="002A677E" w:rsidRDefault="00674BF5" w:rsidP="00487A02">
            <w:pPr>
              <w:pStyle w:val="InstructionsText"/>
              <w:rPr>
                <w:rStyle w:val="InstructionsTabelleberschrift"/>
                <w:rFonts w:ascii="Times New Roman" w:hAnsi="Times New Roman"/>
                <w:b w:val="0"/>
                <w:bCs w:val="0"/>
                <w:sz w:val="24"/>
                <w:u w:val="none"/>
              </w:rPr>
            </w:pPr>
            <w:r>
              <w:t>Artikel 4, stk. 1, nr. 126), og artikel 58 og 59 i forordning (EU) nr. 575/2013</w:t>
            </w:r>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t>0363</w:t>
            </w:r>
          </w:p>
        </w:tc>
        <w:tc>
          <w:tcPr>
            <w:tcW w:w="7049" w:type="dxa"/>
            <w:vAlign w:val="center"/>
          </w:tcPr>
          <w:p w14:paraId="0661CF0D" w14:textId="77777777" w:rsidR="00674BF5" w:rsidRPr="002A677E"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Tilladt udligning af korte positioner i forhold til de syntetiske bruttobesiddelser anført ovenfor</w:t>
            </w:r>
          </w:p>
          <w:p w14:paraId="7150C7D0" w14:textId="13A1C8FA" w:rsidR="00674BF5" w:rsidRPr="002A677E" w:rsidRDefault="00674BF5" w:rsidP="00487A02">
            <w:pPr>
              <w:pStyle w:val="InstructionsText"/>
            </w:pPr>
            <w:r>
              <w:t>Artikel 4, stk. 1, nr. 126), og artikel 59 i forordning (EU) nr. 575/2013</w:t>
            </w:r>
          </w:p>
          <w:p w14:paraId="430E6934" w14:textId="55A09D14" w:rsidR="002D31E5" w:rsidRPr="002A677E" w:rsidRDefault="002D31E5" w:rsidP="000D04B6">
            <w:pPr>
              <w:pStyle w:val="InstructionsText"/>
              <w:rPr>
                <w:rStyle w:val="InstructionsTabelleberschrift"/>
                <w:rFonts w:ascii="Times New Roman" w:hAnsi="Times New Roman"/>
                <w:b w:val="0"/>
                <w:bCs w:val="0"/>
                <w:sz w:val="24"/>
                <w:u w:val="none"/>
              </w:rPr>
            </w:pPr>
            <w:r>
              <w:t>Artikel 59,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t>0370</w:t>
            </w:r>
          </w:p>
        </w:tc>
        <w:tc>
          <w:tcPr>
            <w:tcW w:w="7049" w:type="dxa"/>
          </w:tcPr>
          <w:p w14:paraId="0D62CC83" w14:textId="77777777" w:rsidR="00674BF5" w:rsidRPr="002A677E"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Besiddelser af supplerende kapital i enheder i den finansielle sektor, hvori instituttet ikke har væsentlige investeringer, fratrukket korte positioner</w:t>
            </w:r>
          </w:p>
          <w:p w14:paraId="224C7B55" w14:textId="04A9F028" w:rsidR="00674BF5" w:rsidRPr="002A677E" w:rsidRDefault="00674BF5" w:rsidP="00487A02">
            <w:pPr>
              <w:pStyle w:val="InstructionsText"/>
            </w:pPr>
            <w:r>
              <w:t>Artikel 68, 69 og artikel 70 i forordning (EU) nr. 575/2013</w:t>
            </w:r>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t>0380</w:t>
            </w:r>
          </w:p>
        </w:tc>
        <w:tc>
          <w:tcPr>
            <w:tcW w:w="7049" w:type="dxa"/>
          </w:tcPr>
          <w:p w14:paraId="7ADAA4DC" w14:textId="77777777" w:rsidR="00674BF5" w:rsidRPr="002A677E"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Direkte besiddelser af supplerende kapital i enheder i den finansielle sektor, hvori instituttet ikke har væsentlige investeringer</w:t>
            </w:r>
          </w:p>
          <w:p w14:paraId="30F375DF" w14:textId="066ED473" w:rsidR="00674BF5" w:rsidRPr="002A677E" w:rsidRDefault="00674BF5" w:rsidP="00487A02">
            <w:pPr>
              <w:pStyle w:val="InstructionsText"/>
            </w:pPr>
            <w:r>
              <w:t>Artikel 68 og 69 og artikel 70, stk. 2, i forordning (EU) nr. 575/2013</w:t>
            </w:r>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t>0390</w:t>
            </w:r>
          </w:p>
        </w:tc>
        <w:tc>
          <w:tcPr>
            <w:tcW w:w="7049" w:type="dxa"/>
          </w:tcPr>
          <w:p w14:paraId="17CBBFCA" w14:textId="77777777" w:rsidR="00674BF5" w:rsidRPr="002A677E"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Direkte bruttobesiddelser af supplerende kapital i enheder i den finansielle sektor, hvori instituttet ikke har væsentlige investeringer</w:t>
            </w:r>
          </w:p>
          <w:p w14:paraId="7E8958A2" w14:textId="64D8EFCE" w:rsidR="00674BF5" w:rsidRPr="002A677E" w:rsidRDefault="00674BF5" w:rsidP="00487A02">
            <w:pPr>
              <w:pStyle w:val="InstructionsText"/>
            </w:pPr>
            <w:r>
              <w:t>Artikel 68 og artikel 70, stk. 2, i forordning (EU) nr. 575/2013</w:t>
            </w:r>
          </w:p>
          <w:p w14:paraId="761A3E27" w14:textId="77777777" w:rsidR="00674BF5" w:rsidRPr="002A677E" w:rsidRDefault="00674BF5" w:rsidP="00487A02">
            <w:pPr>
              <w:pStyle w:val="InstructionsText"/>
            </w:pPr>
            <w:r>
              <w:t>Direkte besiddelser af supplerende kapital i enheder i den finansielle sektor, hvori instituttet ikke har væsentlige investeringer, undtagen:</w:t>
            </w:r>
          </w:p>
          <w:p w14:paraId="67CF4F62" w14:textId="77777777" w:rsidR="00674BF5" w:rsidRPr="002A677E" w:rsidRDefault="00674BF5" w:rsidP="00487A02">
            <w:pPr>
              <w:pStyle w:val="InstructionsText"/>
            </w:pPr>
            <w:r>
              <w:t>a)</w:t>
            </w:r>
            <w:r>
              <w:tab/>
              <w:t xml:space="preserve">emissionspositioner, der besiddes i højst fem arbejdsdage og </w:t>
            </w:r>
          </w:p>
          <w:p w14:paraId="17254E20" w14:textId="47008087" w:rsidR="00674BF5" w:rsidRPr="002A677E" w:rsidRDefault="00674BF5" w:rsidP="0049092A">
            <w:pPr>
              <w:pStyle w:val="InstructionsText"/>
            </w:pPr>
            <w:r>
              <w:t>b)</w:t>
            </w:r>
            <w:r>
              <w:tab/>
              <w:t>besiddelser, der behandles som besiddelser i krydsejerskab i henhold til artikel 66, litra b), i forordning (EU) nr. 575/2013</w:t>
            </w:r>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t>0400</w:t>
            </w:r>
          </w:p>
        </w:tc>
        <w:tc>
          <w:tcPr>
            <w:tcW w:w="7049" w:type="dxa"/>
          </w:tcPr>
          <w:p w14:paraId="089CA1AA" w14:textId="77777777" w:rsidR="00674BF5" w:rsidRPr="002A677E"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Tilladt udligning af korte positioner i forhold til de direkte bruttobesiddelser anført ovenfor</w:t>
            </w:r>
          </w:p>
          <w:p w14:paraId="7BF2A908" w14:textId="5CFE62B1" w:rsidR="00674BF5" w:rsidRPr="002A677E" w:rsidRDefault="00674BF5" w:rsidP="00487A02">
            <w:pPr>
              <w:pStyle w:val="InstructionsText"/>
            </w:pPr>
            <w:r>
              <w:t>Artikel 69 i forordning (EU) nr. 575/2013</w:t>
            </w:r>
          </w:p>
          <w:p w14:paraId="274B938A" w14:textId="6646D344" w:rsidR="00674BF5" w:rsidRPr="002A677E" w:rsidRDefault="00674BF5" w:rsidP="00487A02">
            <w:pPr>
              <w:pStyle w:val="InstructionsText"/>
            </w:pPr>
            <w:r>
              <w:t xml:space="preserve">Artikel 69, litra a), i forordning (EU) nr. 575/2013 tillader udligning af korte positioner i den samme underliggende eksponering, hvis den korte positions forfaldstidspunkt er enten sammenfaldende med eller senere </w:t>
            </w:r>
            <w:r>
              <w:lastRenderedPageBreak/>
              <w:t>end forfaldstidspunktet for den lange position, eller den korte positions restløbetid er mindst et år.</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lastRenderedPageBreak/>
              <w:t>0410</w:t>
            </w:r>
          </w:p>
        </w:tc>
        <w:tc>
          <w:tcPr>
            <w:tcW w:w="7049" w:type="dxa"/>
          </w:tcPr>
          <w:p w14:paraId="6BEECB8F" w14:textId="77777777" w:rsidR="00674BF5" w:rsidRPr="002A677E"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Indirekte besiddelser af supplerende kapital i enheder i den finansielle sektor, hvori instituttet ikke har væsentlige investeringer</w:t>
            </w:r>
          </w:p>
          <w:p w14:paraId="43041074" w14:textId="40A7E374" w:rsidR="00674BF5" w:rsidRPr="002A677E" w:rsidRDefault="00674BF5" w:rsidP="0049092A">
            <w:pPr>
              <w:pStyle w:val="InstructionsText"/>
            </w:pPr>
            <w:r>
              <w:t>Artikel 4, stk. 1, nr. 114), og artikel 68 og 69 i forordning (EU) nr. 575/2013</w:t>
            </w:r>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t>0420</w:t>
            </w:r>
          </w:p>
        </w:tc>
        <w:tc>
          <w:tcPr>
            <w:tcW w:w="7049" w:type="dxa"/>
          </w:tcPr>
          <w:p w14:paraId="048197B5" w14:textId="77777777" w:rsidR="00674BF5" w:rsidRPr="002A677E"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Indirekte bruttobesiddelser af supplerende kapital i enheder i den finansielle sektor, hvori instituttet ikke har væsentlige investeringer</w:t>
            </w:r>
          </w:p>
          <w:p w14:paraId="7AA5A636" w14:textId="03CDC1AB" w:rsidR="00674BF5" w:rsidRPr="002A677E" w:rsidRDefault="0049092A" w:rsidP="00487A02">
            <w:pPr>
              <w:pStyle w:val="InstructionsText"/>
            </w:pPr>
            <w:r>
              <w:t>Artikel 4, stk. 1, nr. 114), og artikel 68 og 69 i forordning (EU) nr. 575/2013</w:t>
            </w:r>
          </w:p>
          <w:p w14:paraId="3FE65871" w14:textId="77777777" w:rsidR="00674BF5" w:rsidRPr="002A677E" w:rsidRDefault="00674BF5" w:rsidP="00487A02">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14:paraId="02DBB428" w14:textId="6AA818E2" w:rsidR="00674BF5" w:rsidRPr="002A677E" w:rsidRDefault="00674BF5" w:rsidP="00487A02">
            <w:pPr>
              <w:pStyle w:val="InstructionsText"/>
            </w:pPr>
            <w:r>
              <w:t>Besiddelser, der behandles som besiddelser i krydsejerskab i henhold til artikel 66, litra b), i forordning (EU) nr. 575/2013, medregnes ikke.</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t>0430</w:t>
            </w:r>
          </w:p>
        </w:tc>
        <w:tc>
          <w:tcPr>
            <w:tcW w:w="7049" w:type="dxa"/>
          </w:tcPr>
          <w:p w14:paraId="0E68F497" w14:textId="77777777" w:rsidR="00674BF5" w:rsidRPr="002A677E"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Tilladt udligning af korte positioner i forhold til de indirekte bruttobesiddelser anført ovenfor</w:t>
            </w:r>
          </w:p>
          <w:p w14:paraId="6B7BF87B" w14:textId="004DC404" w:rsidR="00674BF5" w:rsidRPr="002A677E" w:rsidRDefault="0049092A" w:rsidP="00487A02">
            <w:pPr>
              <w:pStyle w:val="InstructionsText"/>
            </w:pPr>
            <w:r>
              <w:t>Artikel 4, stk. 1, nr. 114), og artikel 69 i forordning (EU) nr. 575/2013</w:t>
            </w:r>
          </w:p>
          <w:p w14:paraId="0DF8664C" w14:textId="29F8C09F" w:rsidR="00674BF5" w:rsidRPr="002A677E" w:rsidRDefault="00674BF5" w:rsidP="00487A02">
            <w:pPr>
              <w:pStyle w:val="InstructionsText"/>
            </w:pPr>
            <w:r>
              <w:t>Artikel 69,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t>0431</w:t>
            </w:r>
          </w:p>
        </w:tc>
        <w:tc>
          <w:tcPr>
            <w:tcW w:w="7049" w:type="dxa"/>
          </w:tcPr>
          <w:p w14:paraId="7BD5EDD4" w14:textId="77777777" w:rsidR="00674BF5" w:rsidRPr="002A677E"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Syntetiske besiddelser af supplerende kapital i enheder i den finansielle sektor, hvori instituttet ikke har væsentlige investeringer</w:t>
            </w:r>
          </w:p>
          <w:p w14:paraId="5911CD95" w14:textId="6AE05024" w:rsidR="00674BF5" w:rsidRPr="002A677E" w:rsidRDefault="00674BF5" w:rsidP="00487A02">
            <w:pPr>
              <w:pStyle w:val="InstructionsText"/>
              <w:rPr>
                <w:rStyle w:val="InstructionsTabelleberschrift"/>
                <w:rFonts w:ascii="Times New Roman" w:hAnsi="Times New Roman"/>
                <w:sz w:val="24"/>
              </w:rPr>
            </w:pPr>
            <w:r>
              <w:t>Artikel 4, stk. 1, nr. 126), og artikel 68 og 69 i forordning (EU) nr. 575/2013</w:t>
            </w:r>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t>0432</w:t>
            </w:r>
          </w:p>
        </w:tc>
        <w:tc>
          <w:tcPr>
            <w:tcW w:w="7049" w:type="dxa"/>
          </w:tcPr>
          <w:p w14:paraId="63632F92" w14:textId="77777777" w:rsidR="00674BF5" w:rsidRPr="002A677E"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Syntetiske bruttobesiddelser af supplerende kapital i enheder i den finansielle sektor, hvori instituttet ikke har væsentlige investeringer</w:t>
            </w:r>
          </w:p>
          <w:p w14:paraId="6F24CEB3" w14:textId="5F8BCD24" w:rsidR="00674BF5" w:rsidRPr="002A677E" w:rsidRDefault="0049092A" w:rsidP="00487A02">
            <w:pPr>
              <w:pStyle w:val="InstructionsText"/>
              <w:rPr>
                <w:rStyle w:val="InstructionsTabelleberschrift"/>
                <w:rFonts w:ascii="Times New Roman" w:hAnsi="Times New Roman"/>
                <w:b w:val="0"/>
                <w:bCs w:val="0"/>
                <w:sz w:val="24"/>
                <w:u w:val="none"/>
              </w:rPr>
            </w:pPr>
            <w:r>
              <w:t>Artikel 4, stk. 1, nr. 126), og artikel 68 og 69 i forordning (EU) nr. 575/2013</w:t>
            </w:r>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t>0433</w:t>
            </w:r>
          </w:p>
        </w:tc>
        <w:tc>
          <w:tcPr>
            <w:tcW w:w="7049" w:type="dxa"/>
          </w:tcPr>
          <w:p w14:paraId="237A5B2C" w14:textId="77777777" w:rsidR="00674BF5" w:rsidRPr="002A677E"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Tilladt udligning af korte positioner i forhold til de syntetiske bruttobesiddelser anført ovenfor</w:t>
            </w:r>
          </w:p>
          <w:p w14:paraId="28087537" w14:textId="078B7F83" w:rsidR="00674BF5" w:rsidRPr="002A677E" w:rsidRDefault="0049092A" w:rsidP="00487A02">
            <w:pPr>
              <w:pStyle w:val="InstructionsText"/>
            </w:pPr>
            <w:r>
              <w:t>Artikel 4, stk. 1, nr. 126), og artikel 69 i forordning (EU) nr. 575/2013</w:t>
            </w:r>
          </w:p>
          <w:p w14:paraId="67857B5F" w14:textId="723A25BA" w:rsidR="002D31E5" w:rsidRPr="002A677E" w:rsidRDefault="002D31E5" w:rsidP="000D04B6">
            <w:pPr>
              <w:pStyle w:val="InstructionsText"/>
              <w:rPr>
                <w:rStyle w:val="InstructionsTabelleberschrift"/>
                <w:rFonts w:ascii="Times New Roman" w:hAnsi="Times New Roman"/>
                <w:b w:val="0"/>
                <w:bCs w:val="0"/>
                <w:sz w:val="24"/>
                <w:u w:val="none"/>
              </w:rPr>
            </w:pPr>
            <w:r>
              <w:t xml:space="preserve">Artikel 69, litra a), i forordning (EU) nr. 575/2013 tillader udligning af korte positioner i den samme underliggende eksponering, hvis den korte positions forfaldstidspunkt er enten sammenfaldende med eller senere </w:t>
            </w:r>
            <w:r>
              <w:lastRenderedPageBreak/>
              <w:t>end forfaldstidspunktet for den lange position, eller den korte positions restløbetid er mindst et år.</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lastRenderedPageBreak/>
              <w:t>0440</w:t>
            </w:r>
          </w:p>
        </w:tc>
        <w:tc>
          <w:tcPr>
            <w:tcW w:w="7049" w:type="dxa"/>
          </w:tcPr>
          <w:p w14:paraId="781C2803" w14:textId="77777777" w:rsidR="00674BF5" w:rsidRPr="002A677E"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Besiddelser af egentlig kernekapital i enheder i den finansielle sektor, hvori instituttet har væsentlige investeringer, fratrukket korte positioner</w:t>
            </w:r>
          </w:p>
          <w:p w14:paraId="6B37F020" w14:textId="644EC406" w:rsidR="00674BF5" w:rsidRPr="002A677E" w:rsidRDefault="00674BF5" w:rsidP="00487A02">
            <w:pPr>
              <w:pStyle w:val="InstructionsText"/>
            </w:pPr>
            <w:r>
              <w:t>Artikel 44, 45, 47 og 49 i forordning (EU) nr. 575/2013</w:t>
            </w:r>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t>0450</w:t>
            </w:r>
          </w:p>
        </w:tc>
        <w:tc>
          <w:tcPr>
            <w:tcW w:w="7049" w:type="dxa"/>
          </w:tcPr>
          <w:p w14:paraId="3E8DC181" w14:textId="77777777" w:rsidR="00674BF5" w:rsidRPr="002A677E"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Direkte besiddelser af egentlig kernekapital i enheder i den finansielle sektor, hvori instituttet har væsentlige investeringer</w:t>
            </w:r>
          </w:p>
          <w:p w14:paraId="5F45543E" w14:textId="3CC2FAFD" w:rsidR="00674BF5" w:rsidRPr="002A677E" w:rsidRDefault="00674BF5" w:rsidP="00487A02">
            <w:pPr>
              <w:pStyle w:val="InstructionsText"/>
            </w:pPr>
            <w:r>
              <w:t>Artikel 44, 45, 47 og 49 i forordning (EU) nr. 575/2013</w:t>
            </w:r>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t>0460</w:t>
            </w:r>
          </w:p>
        </w:tc>
        <w:tc>
          <w:tcPr>
            <w:tcW w:w="7049" w:type="dxa"/>
          </w:tcPr>
          <w:p w14:paraId="23040D3C" w14:textId="77777777" w:rsidR="00674BF5" w:rsidRPr="002A677E"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Direkte bruttobesiddelser af egentlig kernekapital i enheder i den finansielle sektor, hvori instituttet har væsentlige investeringer</w:t>
            </w:r>
          </w:p>
          <w:p w14:paraId="6D7C87B8" w14:textId="1F238977" w:rsidR="00674BF5" w:rsidRPr="002A677E" w:rsidRDefault="00674BF5" w:rsidP="00487A02">
            <w:pPr>
              <w:pStyle w:val="InstructionsText"/>
            </w:pPr>
            <w:r>
              <w:t>Artikel 44, 45, 47 og 49 i forordning (EU) nr. 575/2013</w:t>
            </w:r>
          </w:p>
          <w:p w14:paraId="5D6F7E46" w14:textId="77777777" w:rsidR="00674BF5" w:rsidRPr="002A677E" w:rsidRDefault="00674BF5" w:rsidP="00487A02">
            <w:pPr>
              <w:pStyle w:val="InstructionsText"/>
            </w:pPr>
            <w:r>
              <w:t>Direkte besiddelser af egentlig kernekapital i enheder i den finansielle sektor, hvori instituttet har væsentlige investeringer, undtagen:</w:t>
            </w:r>
          </w:p>
          <w:p w14:paraId="194C3AF1" w14:textId="77777777" w:rsidR="00674BF5" w:rsidRPr="002A677E" w:rsidRDefault="00674BF5" w:rsidP="00487A02">
            <w:pPr>
              <w:pStyle w:val="InstructionsText"/>
            </w:pPr>
            <w:r>
              <w:t>a)</w:t>
            </w:r>
            <w:r>
              <w:tab/>
              <w:t xml:space="preserve">emissionspositioner, der besiddes i højst fem arbejdsdage </w:t>
            </w:r>
          </w:p>
          <w:p w14:paraId="1C7DFE87" w14:textId="77777777" w:rsidR="00674BF5" w:rsidRPr="002A677E" w:rsidRDefault="00674BF5" w:rsidP="00487A02">
            <w:pPr>
              <w:pStyle w:val="InstructionsText"/>
            </w:pPr>
            <w:r>
              <w:t>b)</w:t>
            </w:r>
            <w:r>
              <w:tab/>
              <w:t xml:space="preserve">beløb vedrørende investeringer, for hvilke alternativet i artikel 49 anvendes, og </w:t>
            </w:r>
          </w:p>
          <w:p w14:paraId="289A45C1" w14:textId="6EC76E90" w:rsidR="00674BF5" w:rsidRPr="002A677E" w:rsidRDefault="00674BF5" w:rsidP="0049092A">
            <w:pPr>
              <w:pStyle w:val="InstructionsText"/>
            </w:pPr>
            <w:r>
              <w:t>c)</w:t>
            </w:r>
            <w:r>
              <w:tab/>
              <w:t>besiddelser, der behandles som besiddelser i krydsejerskab i henhold til artikel 36, stk. 1, litra g), i forordning (EU) nr. 575/2013</w:t>
            </w:r>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t>0470</w:t>
            </w:r>
          </w:p>
        </w:tc>
        <w:tc>
          <w:tcPr>
            <w:tcW w:w="7049" w:type="dxa"/>
          </w:tcPr>
          <w:p w14:paraId="166738D6" w14:textId="77777777" w:rsidR="00674BF5" w:rsidRPr="002A677E"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Tilladt udligning af korte positioner i forhold til de direkte bruttobesiddelser anført ovenfor</w:t>
            </w:r>
          </w:p>
          <w:p w14:paraId="10FC314D" w14:textId="136D8EAB" w:rsidR="00674BF5" w:rsidRPr="002A677E" w:rsidRDefault="00674BF5" w:rsidP="00487A02">
            <w:pPr>
              <w:pStyle w:val="InstructionsText"/>
            </w:pPr>
            <w:r>
              <w:t>Artikel 45 i forordning (EU) nr. 575/2013</w:t>
            </w:r>
          </w:p>
          <w:p w14:paraId="35FC1C5B" w14:textId="17B28638" w:rsidR="00674BF5" w:rsidRPr="002A677E" w:rsidRDefault="00674BF5" w:rsidP="00487A02">
            <w:pPr>
              <w:pStyle w:val="InstructionsText"/>
            </w:pPr>
            <w:r>
              <w:t>Artikel 45,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t>0480</w:t>
            </w:r>
          </w:p>
        </w:tc>
        <w:tc>
          <w:tcPr>
            <w:tcW w:w="7049" w:type="dxa"/>
          </w:tcPr>
          <w:p w14:paraId="614B284E" w14:textId="77777777" w:rsidR="00674BF5" w:rsidRPr="002A677E"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Indirekte besiddelser af egentlig kernekapital i enheder i den finansielle sektor, hvori instituttet har væsentlige investeringer</w:t>
            </w:r>
          </w:p>
          <w:p w14:paraId="1B562CC7" w14:textId="0DA77585" w:rsidR="00674BF5" w:rsidRPr="002A677E" w:rsidRDefault="00674BF5" w:rsidP="00487A02">
            <w:pPr>
              <w:pStyle w:val="InstructionsText"/>
            </w:pPr>
            <w:r>
              <w:t>Artikel 4, stk. 1, nr. 114), og artikel 44 og 45 i forordning (EU) nr. 575/2013</w:t>
            </w:r>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t>0490</w:t>
            </w:r>
          </w:p>
        </w:tc>
        <w:tc>
          <w:tcPr>
            <w:tcW w:w="7049" w:type="dxa"/>
          </w:tcPr>
          <w:p w14:paraId="46F8F676" w14:textId="77777777" w:rsidR="00674BF5" w:rsidRPr="002A677E"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Indirekte bruttobesiddelser af egentlig kernekapital i enheder i den finansielle sektor, hvori instituttet har væsentlige investeringer</w:t>
            </w:r>
          </w:p>
          <w:p w14:paraId="5813E86E" w14:textId="5F8831BD" w:rsidR="00674BF5" w:rsidRPr="002A677E" w:rsidRDefault="0049092A" w:rsidP="00487A02">
            <w:pPr>
              <w:pStyle w:val="InstructionsText"/>
            </w:pPr>
            <w:r>
              <w:t>Artikel 4, stk. 1, nr. 114), og artikel 44 og 45 i forordning (EU) nr. 575/2013</w:t>
            </w:r>
          </w:p>
          <w:p w14:paraId="0EC89C74" w14:textId="77777777" w:rsidR="00674BF5" w:rsidRPr="002A677E" w:rsidRDefault="00674BF5" w:rsidP="00487A02">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14:paraId="4126D579" w14:textId="3E9C4FE1" w:rsidR="00674BF5" w:rsidRPr="002A677E" w:rsidRDefault="00674BF5" w:rsidP="0049092A">
            <w:pPr>
              <w:pStyle w:val="InstructionsText"/>
            </w:pPr>
            <w:r>
              <w:lastRenderedPageBreak/>
              <w:t>Besiddelser, der behandles som besiddelser i krydsejerskab i henhold til artikel 36, stk. 1, litra g), i forordning (EU) nr. 575/2013, medregnes ikke.</w:t>
            </w:r>
          </w:p>
        </w:tc>
      </w:tr>
      <w:tr w:rsidR="00674BF5" w:rsidRPr="002A677E" w14:paraId="6D7D399B" w14:textId="77777777" w:rsidTr="00674BF5">
        <w:tc>
          <w:tcPr>
            <w:tcW w:w="1474" w:type="dxa"/>
          </w:tcPr>
          <w:p w14:paraId="4BF9D4F4" w14:textId="77777777" w:rsidR="00674BF5" w:rsidRPr="002A677E" w:rsidRDefault="00754ADC" w:rsidP="00487A02">
            <w:pPr>
              <w:pStyle w:val="InstructionsText"/>
            </w:pPr>
            <w:r>
              <w:lastRenderedPageBreak/>
              <w:t>0500</w:t>
            </w:r>
          </w:p>
        </w:tc>
        <w:tc>
          <w:tcPr>
            <w:tcW w:w="7049" w:type="dxa"/>
          </w:tcPr>
          <w:p w14:paraId="4A6B796B" w14:textId="77777777" w:rsidR="00674BF5" w:rsidRPr="002A677E"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Tilladt udligning af korte positioner i forhold til de indirekte bruttobesiddelser anført ovenfor</w:t>
            </w:r>
          </w:p>
          <w:p w14:paraId="181DE37A" w14:textId="6C543A3E" w:rsidR="00674BF5" w:rsidRPr="002A677E" w:rsidRDefault="0049092A" w:rsidP="00487A02">
            <w:pPr>
              <w:pStyle w:val="InstructionsText"/>
            </w:pPr>
            <w:r>
              <w:t>Artikel 4, stk. 1, nr. 114), og artikel 45 i forordning (EU) nr. 575/2013</w:t>
            </w:r>
          </w:p>
          <w:p w14:paraId="4DAC7E7C" w14:textId="6B211980" w:rsidR="00674BF5" w:rsidRPr="002A677E" w:rsidRDefault="0049092A" w:rsidP="00487A02">
            <w:pPr>
              <w:pStyle w:val="InstructionsText"/>
            </w:pPr>
            <w:r>
              <w:t>Artikel 45,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t>0501</w:t>
            </w:r>
          </w:p>
        </w:tc>
        <w:tc>
          <w:tcPr>
            <w:tcW w:w="7049" w:type="dxa"/>
          </w:tcPr>
          <w:p w14:paraId="44DFB94B" w14:textId="77777777" w:rsidR="00674BF5" w:rsidRPr="002A677E"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Syntetiske besiddelser af egentlig kernekapital i enheder i den finansielle sektor, hvori instituttet har væsentlige investeringer</w:t>
            </w:r>
          </w:p>
          <w:p w14:paraId="55D438C1" w14:textId="764B4EF0" w:rsidR="00674BF5" w:rsidRPr="002A677E" w:rsidRDefault="00674BF5" w:rsidP="00487A02">
            <w:pPr>
              <w:pStyle w:val="InstructionsText"/>
            </w:pPr>
            <w:r>
              <w:t>Artikel 4, stk. 1, nr. 126), og artikel 44 og 45 i forordning (EU) nr. 575/2013</w:t>
            </w:r>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t>0502</w:t>
            </w:r>
          </w:p>
        </w:tc>
        <w:tc>
          <w:tcPr>
            <w:tcW w:w="7049" w:type="dxa"/>
          </w:tcPr>
          <w:p w14:paraId="49FD13B7" w14:textId="77777777" w:rsidR="00674BF5" w:rsidRPr="002A677E"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Syntetiske bruttobesiddelser af egentlig kernekapital i enheder i den finansielle sektor, hvori instituttet har væsentlige investeringer</w:t>
            </w:r>
          </w:p>
          <w:p w14:paraId="0CEA3976" w14:textId="4220351D" w:rsidR="00674BF5" w:rsidRPr="002A677E" w:rsidRDefault="0049092A" w:rsidP="00487A02">
            <w:pPr>
              <w:pStyle w:val="InstructionsText"/>
            </w:pPr>
            <w:r>
              <w:t>Artikel 4, stk. 1, nr. 126), og artikel 44 og 45 i forordning (EU) nr. 575/2013</w:t>
            </w:r>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t>0503</w:t>
            </w:r>
          </w:p>
        </w:tc>
        <w:tc>
          <w:tcPr>
            <w:tcW w:w="7049" w:type="dxa"/>
          </w:tcPr>
          <w:p w14:paraId="5308EF0D" w14:textId="77777777" w:rsidR="00674BF5" w:rsidRPr="002A677E"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Tilladt udligning af korte positioner i forhold til de syntetiske bruttobesiddelser anført ovenfor</w:t>
            </w:r>
          </w:p>
          <w:p w14:paraId="18C7966C" w14:textId="42656B0D" w:rsidR="00674BF5" w:rsidRPr="002A677E" w:rsidRDefault="0049092A" w:rsidP="00487A02">
            <w:pPr>
              <w:pStyle w:val="InstructionsText"/>
            </w:pPr>
            <w:r>
              <w:t>Artikel 4, stk. 1, nr. 126), og artikel 45 i forordning (EU) nr. 575/2013</w:t>
            </w:r>
          </w:p>
          <w:p w14:paraId="3BE278C3" w14:textId="47C8A1E6" w:rsidR="002D31E5" w:rsidRPr="002A677E" w:rsidRDefault="0049092A" w:rsidP="000D04B6">
            <w:pPr>
              <w:pStyle w:val="InstructionsText"/>
            </w:pPr>
            <w:r>
              <w:t>Artikel 45,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t>0504</w:t>
            </w:r>
          </w:p>
        </w:tc>
        <w:tc>
          <w:tcPr>
            <w:tcW w:w="7049" w:type="dxa"/>
          </w:tcPr>
          <w:p w14:paraId="3DD9E065" w14:textId="58C65762" w:rsidR="00916197" w:rsidRPr="002A677E"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Investeringer i egentlig kernekapital i enheder i den finansielle sektor, hvori instituttet har væsentlige investeringer, tildelt en risikovægt på 250 %</w:t>
            </w:r>
          </w:p>
          <w:p w14:paraId="6A824A8C" w14:textId="17D58578" w:rsidR="00916197" w:rsidRPr="002A677E" w:rsidRDefault="00916197" w:rsidP="00487A02">
            <w:pPr>
              <w:pStyle w:val="InstructionsText"/>
            </w:pPr>
            <w:r>
              <w:t>Artikel 48, stk. 4, i forordning (EU) nr. 575/2013</w:t>
            </w:r>
          </w:p>
          <w:p w14:paraId="2372BE1E" w14:textId="4C134170" w:rsidR="00916197" w:rsidRPr="002A677E" w:rsidRDefault="00916197" w:rsidP="00487A02">
            <w:pPr>
              <w:pStyle w:val="InstructionsText"/>
            </w:pPr>
            <w:r>
              <w:t>Værdien af betydelige investeringer i egentlig kernekapital i enheder i den finansielle sektor, som ikke fratrækkes i henhold til artikel 48, stk. 1, i forordning (EU) nr. 575/2013, men som tildeles en risikovægt på 250 % i henhold til artikel 48, stk. 4, i nævnte forordning.</w:t>
            </w:r>
          </w:p>
          <w:p w14:paraId="03F455E6" w14:textId="77777777" w:rsidR="00916197" w:rsidRPr="002A677E" w:rsidRDefault="00916197" w:rsidP="00487A02">
            <w:pPr>
              <w:pStyle w:val="InstructionsText"/>
              <w:rPr>
                <w:rStyle w:val="InstructionsTabelleberschrift"/>
                <w:rFonts w:ascii="Times New Roman" w:hAnsi="Times New Roman"/>
                <w:sz w:val="24"/>
              </w:rPr>
            </w:pPr>
            <w:r>
              <w:t>Den indberettede værdi skal være værdien af væsentlige investeringer før risikovægtning.</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t>0510</w:t>
            </w:r>
          </w:p>
        </w:tc>
        <w:tc>
          <w:tcPr>
            <w:tcW w:w="7049" w:type="dxa"/>
          </w:tcPr>
          <w:p w14:paraId="4090C55E" w14:textId="77777777" w:rsidR="00674BF5" w:rsidRPr="002A677E" w:rsidRDefault="00674BF5" w:rsidP="00487A02">
            <w:pPr>
              <w:pStyle w:val="InstructionsText"/>
            </w:pPr>
            <w:r>
              <w:rPr>
                <w:rStyle w:val="InstructionsTabelleberschrift"/>
                <w:rFonts w:ascii="Times New Roman" w:hAnsi="Times New Roman"/>
                <w:sz w:val="24"/>
              </w:rPr>
              <w:t>16 Besiddelser af hybrid kernekapital i enheder i den finansielle sektor, hvori instituttet har væsentlige investeringer, fratrukket korte positioner</w:t>
            </w:r>
          </w:p>
          <w:p w14:paraId="0CF06C76" w14:textId="793BD00A" w:rsidR="00674BF5" w:rsidRPr="002A677E" w:rsidRDefault="00674BF5" w:rsidP="00487A02">
            <w:pPr>
              <w:pStyle w:val="InstructionsText"/>
            </w:pPr>
            <w:r>
              <w:t>Artikel 58 og 59 i forordning (EU) nr. 575/2013</w:t>
            </w:r>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lastRenderedPageBreak/>
              <w:t>0520</w:t>
            </w:r>
          </w:p>
        </w:tc>
        <w:tc>
          <w:tcPr>
            <w:tcW w:w="7049" w:type="dxa"/>
          </w:tcPr>
          <w:p w14:paraId="207E9110" w14:textId="77777777" w:rsidR="00674BF5" w:rsidRPr="002A677E"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Direkte besiddelser af hybrid kernekapital i enheder i den finansielle sektor, hvori instituttet har væsentlige investeringer</w:t>
            </w:r>
          </w:p>
          <w:p w14:paraId="328FC504" w14:textId="06A8FC95" w:rsidR="00674BF5" w:rsidRPr="002A677E" w:rsidRDefault="00674BF5" w:rsidP="00487A02">
            <w:pPr>
              <w:pStyle w:val="InstructionsText"/>
            </w:pPr>
            <w:r>
              <w:t>Artikel 58 og 59 i forordning (EU) nr. 575/2013</w:t>
            </w:r>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t>0530</w:t>
            </w:r>
          </w:p>
        </w:tc>
        <w:tc>
          <w:tcPr>
            <w:tcW w:w="7049" w:type="dxa"/>
          </w:tcPr>
          <w:p w14:paraId="54D29799" w14:textId="77777777" w:rsidR="00674BF5" w:rsidRPr="002A677E"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Direkte bruttobesiddelser af hybrid kernekapital i enheder i den finansielle sektor, hvori instituttet har væsentlige investeringer</w:t>
            </w:r>
          </w:p>
          <w:p w14:paraId="2E0EA9D7" w14:textId="1BEE97CE" w:rsidR="00674BF5" w:rsidRPr="002A677E" w:rsidRDefault="00674BF5" w:rsidP="00487A02">
            <w:pPr>
              <w:pStyle w:val="InstructionsText"/>
            </w:pPr>
            <w:r>
              <w:t>Artikel 58 i forordning (EU) nr. 575/2013</w:t>
            </w:r>
          </w:p>
          <w:p w14:paraId="03966E1B" w14:textId="77777777" w:rsidR="00674BF5" w:rsidRPr="002A677E" w:rsidRDefault="00674BF5" w:rsidP="00487A02">
            <w:pPr>
              <w:pStyle w:val="InstructionsText"/>
            </w:pPr>
            <w:r>
              <w:t>Direkte besiddelser af hybrid kernekapital i enheder i den finansielle sektor, hvori instituttet har væsentlige investeringer, undtagen:</w:t>
            </w:r>
          </w:p>
          <w:p w14:paraId="3D0AC2D9" w14:textId="5B5EA22C" w:rsidR="00674BF5" w:rsidRPr="002A677E" w:rsidRDefault="00674BF5" w:rsidP="00487A02">
            <w:pPr>
              <w:pStyle w:val="InstructionsText"/>
            </w:pPr>
            <w:r>
              <w:t>a)</w:t>
            </w:r>
            <w:r>
              <w:tab/>
              <w:t>emissionspositioner, der besiddes i højst fem arbejdsdage (artikel 56, litra d), i forordning (EU) nr. 575/2013), og</w:t>
            </w:r>
          </w:p>
          <w:p w14:paraId="60E1CBC8" w14:textId="1149D5D1" w:rsidR="00674BF5" w:rsidRPr="002A677E" w:rsidRDefault="00674BF5" w:rsidP="00487A02">
            <w:pPr>
              <w:pStyle w:val="InstructionsText"/>
            </w:pPr>
            <w:r>
              <w:t>b)</w:t>
            </w:r>
            <w:r>
              <w:tab/>
              <w:t>besiddelser, der behandles som besiddelser i krydsejerskab i henhold til artikel 56, litra b), i forordning (EU) nr. 575/2013.</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t>0540</w:t>
            </w:r>
          </w:p>
        </w:tc>
        <w:tc>
          <w:tcPr>
            <w:tcW w:w="7049" w:type="dxa"/>
          </w:tcPr>
          <w:p w14:paraId="1A5AF416" w14:textId="77777777" w:rsidR="00674BF5" w:rsidRPr="002A677E"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Tilladt udligning af korte positioner i forhold til de direkte bruttobesiddelser anført ovenfor</w:t>
            </w:r>
          </w:p>
          <w:p w14:paraId="2E52B3A7" w14:textId="4E8493DF" w:rsidR="00674BF5" w:rsidRPr="002A677E" w:rsidRDefault="00674BF5" w:rsidP="00487A02">
            <w:pPr>
              <w:pStyle w:val="InstructionsText"/>
            </w:pPr>
            <w:r>
              <w:t>Artikel 59 i forordning (EU) nr. 575/2013</w:t>
            </w:r>
          </w:p>
          <w:p w14:paraId="35C2E855" w14:textId="7CEF55BD" w:rsidR="00674BF5" w:rsidRPr="002A677E" w:rsidRDefault="0049092A" w:rsidP="0049092A">
            <w:pPr>
              <w:pStyle w:val="InstructionsText"/>
            </w:pPr>
            <w:r>
              <w:t>Artikel 59,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t>0550</w:t>
            </w:r>
          </w:p>
        </w:tc>
        <w:tc>
          <w:tcPr>
            <w:tcW w:w="7049" w:type="dxa"/>
          </w:tcPr>
          <w:p w14:paraId="3446C35F" w14:textId="77777777" w:rsidR="00674BF5" w:rsidRPr="002A677E"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Indirekte besiddelser af hybrid kernekapital i enheder i den finansielle sektor, hvori instituttet har væsentlige investeringer</w:t>
            </w:r>
          </w:p>
          <w:p w14:paraId="19C1DEF8" w14:textId="7A1275FC" w:rsidR="00674BF5" w:rsidRPr="002A677E" w:rsidRDefault="00674BF5" w:rsidP="00487A02">
            <w:pPr>
              <w:pStyle w:val="InstructionsText"/>
            </w:pPr>
            <w:r>
              <w:t>Artikel 4, stk. 1, nr. 114), og artikel 58 og 59 i forordning (EU) nr. 575/2013</w:t>
            </w:r>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t>0560</w:t>
            </w:r>
          </w:p>
        </w:tc>
        <w:tc>
          <w:tcPr>
            <w:tcW w:w="7049" w:type="dxa"/>
          </w:tcPr>
          <w:p w14:paraId="3857076D" w14:textId="77777777" w:rsidR="00674BF5" w:rsidRPr="002A677E"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Indirekte bruttobesiddelser af hybrid kernekapital i enheder i den finansielle sektor, hvori instituttet har væsentlige investeringer</w:t>
            </w:r>
          </w:p>
          <w:p w14:paraId="7DC4C453" w14:textId="76F7C40D" w:rsidR="00674BF5" w:rsidRPr="002A677E" w:rsidRDefault="0049092A" w:rsidP="00487A02">
            <w:pPr>
              <w:pStyle w:val="InstructionsText"/>
            </w:pPr>
            <w:r>
              <w:t>Artikel 4, stk. 1, nr. 114), og artikel 58 og 59 i forordning (EU) nr. 575/2013</w:t>
            </w:r>
          </w:p>
          <w:p w14:paraId="00AC9B4B" w14:textId="77777777" w:rsidR="00674BF5" w:rsidRPr="002A677E" w:rsidRDefault="00674BF5" w:rsidP="00487A02">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14:paraId="78CE3887" w14:textId="1FE7B656" w:rsidR="00674BF5" w:rsidRPr="002A677E" w:rsidRDefault="00674BF5" w:rsidP="0049092A">
            <w:pPr>
              <w:pStyle w:val="InstructionsText"/>
            </w:pPr>
            <w:r>
              <w:t>Besiddelser, der behandles som besiddelser i krydsejerskab i henhold til artikel 56, litra b), i forordning (EU) nr. 575/2013, medregnes ikke.</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t>0570</w:t>
            </w:r>
          </w:p>
        </w:tc>
        <w:tc>
          <w:tcPr>
            <w:tcW w:w="7049" w:type="dxa"/>
          </w:tcPr>
          <w:p w14:paraId="4A949AD5" w14:textId="77777777" w:rsidR="00674BF5" w:rsidRPr="002A677E"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Tilladt udligning af korte positioner i forhold til de indirekte bruttobesiddelser anført ovenfor</w:t>
            </w:r>
          </w:p>
          <w:p w14:paraId="4204B379" w14:textId="6FB9278C" w:rsidR="00674BF5" w:rsidRPr="002A677E" w:rsidRDefault="0049092A" w:rsidP="00487A02">
            <w:pPr>
              <w:pStyle w:val="InstructionsText"/>
            </w:pPr>
            <w:r>
              <w:t>Artikel 4, stk. 1, nr. 114), og artikel 59 i forordning (EU) nr. 575/2013</w:t>
            </w:r>
          </w:p>
          <w:p w14:paraId="4965F77B" w14:textId="1C7F55ED" w:rsidR="00674BF5" w:rsidRPr="002A677E" w:rsidRDefault="00674BF5" w:rsidP="00487A02">
            <w:pPr>
              <w:pStyle w:val="InstructionsText"/>
            </w:pPr>
            <w:r>
              <w:t xml:space="preserve">Artikel 59, litra a), i forordning (EU) nr. 575/2013 tillader udligning af korte positioner i den samme underliggende eksponering, hvis den korte positions forfaldstidspunkt er enten sammenfaldende med eller senere </w:t>
            </w:r>
            <w:r>
              <w:lastRenderedPageBreak/>
              <w:t>end forfaldstidspunktet for den lange position, eller den korte positions restløbetid er mindst et år.</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lastRenderedPageBreak/>
              <w:t>0571</w:t>
            </w:r>
          </w:p>
        </w:tc>
        <w:tc>
          <w:tcPr>
            <w:tcW w:w="7049" w:type="dxa"/>
          </w:tcPr>
          <w:p w14:paraId="637B5AF7" w14:textId="77777777" w:rsidR="00674BF5" w:rsidRPr="002A677E"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Syntetiske besiddelser af hybrid kernekapital i enheder i den finansielle sektor, hvori instituttet har væsentlige investeringer</w:t>
            </w:r>
          </w:p>
          <w:p w14:paraId="0E5DA288" w14:textId="2D2F10A2" w:rsidR="00674BF5" w:rsidRPr="002A677E" w:rsidRDefault="00674BF5" w:rsidP="00487A02">
            <w:pPr>
              <w:pStyle w:val="InstructionsText"/>
              <w:rPr>
                <w:rStyle w:val="InstructionsTabelleberschrift"/>
                <w:rFonts w:ascii="Times New Roman" w:hAnsi="Times New Roman"/>
                <w:b w:val="0"/>
                <w:bCs w:val="0"/>
                <w:sz w:val="24"/>
                <w:u w:val="none"/>
              </w:rPr>
            </w:pPr>
            <w:r>
              <w:t>Artikel 4, stk. 1, nr. 126), og artikel 58 og 59 i forordning (EU) nr. 575/2013</w:t>
            </w:r>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t>0572</w:t>
            </w:r>
          </w:p>
        </w:tc>
        <w:tc>
          <w:tcPr>
            <w:tcW w:w="7049" w:type="dxa"/>
          </w:tcPr>
          <w:p w14:paraId="25EC5CC1" w14:textId="77777777" w:rsidR="00674BF5" w:rsidRPr="002A677E"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Syntetiske bruttobesiddelser af hybrid kernekapital i enheder i den finansielle sektor, hvori instituttet har væsentlige investeringer</w:t>
            </w:r>
          </w:p>
          <w:p w14:paraId="77AF1B3F" w14:textId="019DEA8D" w:rsidR="00674BF5" w:rsidRPr="002A677E" w:rsidRDefault="002E796C" w:rsidP="00487A02">
            <w:pPr>
              <w:pStyle w:val="InstructionsText"/>
              <w:rPr>
                <w:rStyle w:val="InstructionsTabelleberschrift"/>
                <w:rFonts w:ascii="Times New Roman" w:hAnsi="Times New Roman"/>
                <w:b w:val="0"/>
                <w:bCs w:val="0"/>
                <w:sz w:val="24"/>
                <w:u w:val="none"/>
              </w:rPr>
            </w:pPr>
            <w:r>
              <w:t>Artikel 4, stk. 1, nr. 126), og artikel 58 og 59 i forordning (EU) nr. 575/2013</w:t>
            </w:r>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t>0573</w:t>
            </w:r>
          </w:p>
        </w:tc>
        <w:tc>
          <w:tcPr>
            <w:tcW w:w="7049" w:type="dxa"/>
          </w:tcPr>
          <w:p w14:paraId="406BC7CC" w14:textId="77777777" w:rsidR="00674BF5" w:rsidRPr="002A677E"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Tilladt udligning af korte positioner i forhold til de syntetiske bruttobesiddelser anført ovenfor</w:t>
            </w:r>
          </w:p>
          <w:p w14:paraId="01DCC3FD" w14:textId="223BD294" w:rsidR="00674BF5" w:rsidRPr="002A677E" w:rsidRDefault="002E796C" w:rsidP="00487A02">
            <w:pPr>
              <w:pStyle w:val="InstructionsText"/>
            </w:pPr>
            <w:r>
              <w:t>Artikel 4, stk. 1, nr. 126), og artikel 59 i forordning (EU) nr. 575/2013</w:t>
            </w:r>
          </w:p>
          <w:p w14:paraId="0D578373" w14:textId="1A291C36" w:rsidR="002D31E5" w:rsidRPr="002A677E" w:rsidRDefault="002E796C" w:rsidP="000D04B6">
            <w:pPr>
              <w:pStyle w:val="InstructionsText"/>
              <w:rPr>
                <w:rStyle w:val="InstructionsTabelleberschrift"/>
                <w:rFonts w:ascii="Times New Roman" w:hAnsi="Times New Roman"/>
                <w:b w:val="0"/>
                <w:bCs w:val="0"/>
                <w:sz w:val="24"/>
                <w:u w:val="none"/>
              </w:rPr>
            </w:pPr>
            <w:r>
              <w:t>Artikel 59,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t>0580</w:t>
            </w:r>
          </w:p>
        </w:tc>
        <w:tc>
          <w:tcPr>
            <w:tcW w:w="7049" w:type="dxa"/>
          </w:tcPr>
          <w:p w14:paraId="17C5EEA7" w14:textId="77777777" w:rsidR="00674BF5" w:rsidRPr="002A677E" w:rsidRDefault="00674BF5" w:rsidP="00487A02">
            <w:pPr>
              <w:pStyle w:val="InstructionsText"/>
            </w:pPr>
            <w:r>
              <w:rPr>
                <w:rStyle w:val="InstructionsTabelleberschrift"/>
                <w:rFonts w:ascii="Times New Roman" w:hAnsi="Times New Roman"/>
                <w:sz w:val="24"/>
              </w:rPr>
              <w:t>17 Besiddelser af supplerende kapital i enheder i den finansielle sektor, hvori instituttet har væsentlige investeringer, fratrukket korte positioner</w:t>
            </w:r>
          </w:p>
          <w:p w14:paraId="1F613CCF" w14:textId="2477AC9C" w:rsidR="00674BF5" w:rsidRPr="002A677E" w:rsidRDefault="00674BF5" w:rsidP="00487A02">
            <w:pPr>
              <w:pStyle w:val="InstructionsText"/>
            </w:pPr>
            <w:r>
              <w:t>Artikel 68 og 69 i forordning (EU) nr. 575/2013</w:t>
            </w:r>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t>0590</w:t>
            </w:r>
          </w:p>
        </w:tc>
        <w:tc>
          <w:tcPr>
            <w:tcW w:w="7049" w:type="dxa"/>
          </w:tcPr>
          <w:p w14:paraId="789006BD" w14:textId="77777777" w:rsidR="00674BF5" w:rsidRPr="002A677E"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Direkte besiddelser af supplerende kapital i enheder i den finansielle sektor, hvori instituttet har væsentlige investeringer</w:t>
            </w:r>
          </w:p>
          <w:p w14:paraId="485F6D02" w14:textId="1E25A282" w:rsidR="00674BF5" w:rsidRPr="002A677E" w:rsidRDefault="00674BF5" w:rsidP="00487A02">
            <w:pPr>
              <w:pStyle w:val="InstructionsText"/>
            </w:pPr>
            <w:r>
              <w:t>Artikel 68 og 69 i forordning (EU) nr. 575/2013</w:t>
            </w:r>
          </w:p>
        </w:tc>
      </w:tr>
      <w:tr w:rsidR="00674BF5" w:rsidRPr="002A677E" w14:paraId="7B40985A" w14:textId="77777777" w:rsidTr="00674BF5">
        <w:tc>
          <w:tcPr>
            <w:tcW w:w="1474" w:type="dxa"/>
          </w:tcPr>
          <w:p w14:paraId="79F9061B" w14:textId="77777777" w:rsidR="00674BF5" w:rsidRPr="002A677E" w:rsidRDefault="00754ADC" w:rsidP="00487A02">
            <w:pPr>
              <w:pStyle w:val="InstructionsText"/>
            </w:pPr>
            <w:r>
              <w:t>0600</w:t>
            </w:r>
          </w:p>
        </w:tc>
        <w:tc>
          <w:tcPr>
            <w:tcW w:w="7049" w:type="dxa"/>
          </w:tcPr>
          <w:p w14:paraId="616C35F7" w14:textId="77777777" w:rsidR="00674BF5" w:rsidRPr="002A677E"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Direkte bruttobesiddelser af supplerende kapital i enheder i den finansielle sektor, hvori instituttet har væsentlige investeringer</w:t>
            </w:r>
          </w:p>
          <w:p w14:paraId="0F5F1DD3" w14:textId="24D813CB" w:rsidR="00674BF5" w:rsidRPr="002A677E" w:rsidRDefault="00674BF5" w:rsidP="00487A02">
            <w:pPr>
              <w:pStyle w:val="InstructionsText"/>
            </w:pPr>
            <w:r>
              <w:t>Artikel 68 i forordning (EU) nr. 575/2013</w:t>
            </w:r>
          </w:p>
          <w:p w14:paraId="4F07DA01" w14:textId="77777777" w:rsidR="00674BF5" w:rsidRPr="002A677E" w:rsidRDefault="00674BF5" w:rsidP="00487A02">
            <w:pPr>
              <w:pStyle w:val="InstructionsText"/>
            </w:pPr>
            <w:r>
              <w:t>Direkte besiddelser af supplerende kapital i enheder i den finansielle sektor, hvori instituttet har væsentlige investeringer, undtagen:</w:t>
            </w:r>
          </w:p>
          <w:p w14:paraId="7B433499" w14:textId="58805A5C" w:rsidR="00674BF5" w:rsidRPr="002A677E" w:rsidRDefault="00674BF5" w:rsidP="00487A02">
            <w:pPr>
              <w:pStyle w:val="InstructionsText"/>
            </w:pPr>
            <w:r>
              <w:t>a)</w:t>
            </w:r>
            <w:r>
              <w:tab/>
              <w:t xml:space="preserve">emissionspositioner, der besiddes i højst fem arbejdsdage (artikel 66, litra d), i forordning (EU) nr. 575/2013), og </w:t>
            </w:r>
          </w:p>
          <w:p w14:paraId="5C45C26C" w14:textId="04927DC4" w:rsidR="00674BF5" w:rsidRPr="002A677E" w:rsidRDefault="00674BF5" w:rsidP="00487A02">
            <w:pPr>
              <w:pStyle w:val="InstructionsText"/>
            </w:pPr>
            <w:r>
              <w:t>b)</w:t>
            </w:r>
            <w:r>
              <w:tab/>
              <w:t>besiddelser, der behandles som besiddelser i krydsejerskab i henhold til artikel 66, litra b), i forordning (EU) nr. 575/2013</w:t>
            </w:r>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t>0610</w:t>
            </w:r>
          </w:p>
        </w:tc>
        <w:tc>
          <w:tcPr>
            <w:tcW w:w="7049" w:type="dxa"/>
          </w:tcPr>
          <w:p w14:paraId="3C8AF6E4" w14:textId="77777777" w:rsidR="00674BF5" w:rsidRPr="002A677E"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Tilladt udligning af korte positioner i forhold til de direkte bruttobesiddelser anført ovenfor</w:t>
            </w:r>
          </w:p>
          <w:p w14:paraId="3A2E5C60" w14:textId="2693AAEE" w:rsidR="00674BF5" w:rsidRPr="002A677E" w:rsidRDefault="00674BF5" w:rsidP="00487A02">
            <w:pPr>
              <w:pStyle w:val="InstructionsText"/>
            </w:pPr>
            <w:r>
              <w:t>Artikel 69 i forordning (EU) nr. 575/2013</w:t>
            </w:r>
          </w:p>
          <w:p w14:paraId="1F9A96A9" w14:textId="084C7281" w:rsidR="00674BF5" w:rsidRPr="002A677E" w:rsidRDefault="00674BF5" w:rsidP="00487A02">
            <w:pPr>
              <w:pStyle w:val="InstructionsText"/>
            </w:pPr>
            <w:r>
              <w:t xml:space="preserve">Artikel 69, litra a), i forordning (EU) nr. 575/2013 tillader udligning af korte positioner i den samme underliggende eksponering, hvis den korte positions forfaldstidspunkt er enten sammenfaldende med eller senere </w:t>
            </w:r>
            <w:r>
              <w:lastRenderedPageBreak/>
              <w:t>end forfaldstidspunktet for den lange position, eller den korte positions restløbetid er mindst et år.</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lastRenderedPageBreak/>
              <w:t>0620</w:t>
            </w:r>
          </w:p>
        </w:tc>
        <w:tc>
          <w:tcPr>
            <w:tcW w:w="7049" w:type="dxa"/>
          </w:tcPr>
          <w:p w14:paraId="4FFEFE4F" w14:textId="77777777" w:rsidR="00674BF5" w:rsidRPr="002A677E"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Indirekte besiddelser af supplerende kapital i enheder i den finansielle sektor, hvori instituttet har væsentlige investeringer</w:t>
            </w:r>
          </w:p>
          <w:p w14:paraId="046EED40" w14:textId="61BE91EE" w:rsidR="00674BF5" w:rsidRPr="002A677E" w:rsidRDefault="0049092A" w:rsidP="00487A02">
            <w:pPr>
              <w:pStyle w:val="InstructionsText"/>
            </w:pPr>
            <w:r>
              <w:t>Artikel 4, stk. 1, nr. 114), og artikel 68 og 69 i forordning (EU) nr. 575/2013</w:t>
            </w:r>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t>0630</w:t>
            </w:r>
          </w:p>
        </w:tc>
        <w:tc>
          <w:tcPr>
            <w:tcW w:w="7049" w:type="dxa"/>
          </w:tcPr>
          <w:p w14:paraId="2FBB0327" w14:textId="77777777" w:rsidR="00674BF5" w:rsidRPr="002A677E"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Indirekte bruttobesiddelser af supplerende kapital i enheder i den finansielle sektor, hvori instituttet har væsentlige investeringer</w:t>
            </w:r>
          </w:p>
          <w:p w14:paraId="3474C99C" w14:textId="66F14621" w:rsidR="00674BF5" w:rsidRPr="002A677E" w:rsidRDefault="0049092A" w:rsidP="00487A02">
            <w:pPr>
              <w:pStyle w:val="InstructionsText"/>
            </w:pPr>
            <w:r>
              <w:t>Artikel 4, stk. 1, nr. 114), og artikel 68 og 69 i forordning (EU) nr. 575/2013</w:t>
            </w:r>
          </w:p>
          <w:p w14:paraId="7F67225C" w14:textId="77777777" w:rsidR="00674BF5" w:rsidRPr="002A677E" w:rsidRDefault="00674BF5" w:rsidP="00487A02">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14:paraId="329E2892" w14:textId="028F5FCE" w:rsidR="00674BF5" w:rsidRPr="002A677E" w:rsidRDefault="00674BF5" w:rsidP="00487A02">
            <w:pPr>
              <w:pStyle w:val="InstructionsText"/>
            </w:pPr>
            <w:r>
              <w:t>Besiddelser, der behandles som besiddelser i krydsejerskab i henhold til artikel 66, litra b), i forordning (EU) nr. 575/2013, medregnes ikke.</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t>0640</w:t>
            </w:r>
          </w:p>
        </w:tc>
        <w:tc>
          <w:tcPr>
            <w:tcW w:w="7049" w:type="dxa"/>
          </w:tcPr>
          <w:p w14:paraId="03EC0501" w14:textId="77777777" w:rsidR="00674BF5" w:rsidRPr="002A677E"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Tilladt udligning af korte positioner i forhold til de indirekte bruttobesiddelser anført ovenfor</w:t>
            </w:r>
          </w:p>
          <w:p w14:paraId="10889AF5" w14:textId="362C1644" w:rsidR="00674BF5" w:rsidRPr="002A677E" w:rsidRDefault="0049092A" w:rsidP="00487A02">
            <w:pPr>
              <w:pStyle w:val="InstructionsText"/>
            </w:pPr>
            <w:r>
              <w:t>Artikel 4, stk. 1, nr. 114), og artikel 69 i forordning (EU) nr. 575/2013</w:t>
            </w:r>
          </w:p>
          <w:p w14:paraId="63AD6731" w14:textId="795A0359" w:rsidR="00674BF5" w:rsidRPr="002A677E" w:rsidRDefault="00674BF5" w:rsidP="00487A02">
            <w:pPr>
              <w:pStyle w:val="InstructionsText"/>
            </w:pPr>
            <w:r>
              <w:t>Artikel 69,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t>0641</w:t>
            </w:r>
          </w:p>
        </w:tc>
        <w:tc>
          <w:tcPr>
            <w:tcW w:w="7049" w:type="dxa"/>
            <w:vAlign w:val="center"/>
          </w:tcPr>
          <w:p w14:paraId="0DD1EF00" w14:textId="77777777" w:rsidR="00674BF5" w:rsidRPr="002A677E"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Syntetiske besiddelser af supplerende kapital i enheder i den finansielle sektor, hvori instituttet har væsentlige investeringer</w:t>
            </w:r>
          </w:p>
          <w:p w14:paraId="49CA99E2" w14:textId="545EEF97" w:rsidR="00674BF5" w:rsidRPr="002A677E" w:rsidRDefault="002E796C" w:rsidP="00487A02">
            <w:pPr>
              <w:pStyle w:val="InstructionsText"/>
              <w:rPr>
                <w:rStyle w:val="InstructionsTabelleberschrift"/>
                <w:rFonts w:ascii="Times New Roman" w:hAnsi="Times New Roman"/>
                <w:b w:val="0"/>
                <w:bCs w:val="0"/>
                <w:sz w:val="24"/>
                <w:u w:val="none"/>
              </w:rPr>
            </w:pPr>
            <w:r>
              <w:t>Artikel 4, stk. 1, nr. 126), og artikel 68 og 69 i forordning (EU) nr. 575/2013</w:t>
            </w:r>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t>0642</w:t>
            </w:r>
          </w:p>
        </w:tc>
        <w:tc>
          <w:tcPr>
            <w:tcW w:w="7049" w:type="dxa"/>
            <w:vAlign w:val="center"/>
          </w:tcPr>
          <w:p w14:paraId="64F4507F" w14:textId="77777777" w:rsidR="00674BF5" w:rsidRPr="002A677E"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Syntetiske bruttobesiddelser af supplerende kapital i enheder i den finansielle sektor, hvori instituttet har væsentlige investeringer</w:t>
            </w:r>
          </w:p>
          <w:p w14:paraId="0BC112DF" w14:textId="591A593B" w:rsidR="00674BF5" w:rsidRPr="002A677E" w:rsidRDefault="002E796C" w:rsidP="00487A02">
            <w:pPr>
              <w:pStyle w:val="InstructionsText"/>
              <w:rPr>
                <w:rStyle w:val="InstructionsTabelleberschrift"/>
                <w:rFonts w:ascii="Times New Roman" w:hAnsi="Times New Roman"/>
                <w:b w:val="0"/>
                <w:bCs w:val="0"/>
                <w:sz w:val="24"/>
                <w:u w:val="none"/>
              </w:rPr>
            </w:pPr>
            <w:r>
              <w:t>Artikel 4, stk. 1, nr. 126), og artikel 68 og 69 i forordning (EU) nr. 575/2013</w:t>
            </w:r>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t>0643</w:t>
            </w:r>
          </w:p>
        </w:tc>
        <w:tc>
          <w:tcPr>
            <w:tcW w:w="7049" w:type="dxa"/>
            <w:vAlign w:val="center"/>
          </w:tcPr>
          <w:p w14:paraId="1EE8CE80" w14:textId="77777777" w:rsidR="00674BF5" w:rsidRPr="002A677E"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Tilladt udligning af korte positioner i forhold til de syntetiske bruttobesiddelser anført ovenfor</w:t>
            </w:r>
          </w:p>
          <w:p w14:paraId="6446C4C9" w14:textId="3875C46C" w:rsidR="00674BF5" w:rsidRPr="002A677E" w:rsidRDefault="002E796C" w:rsidP="00487A02">
            <w:pPr>
              <w:pStyle w:val="InstructionsText"/>
            </w:pPr>
            <w:r>
              <w:t>Artikel 4, stk. 1, nr. 126), og artikel 69 i forordning (EU) nr. 575/2013</w:t>
            </w:r>
          </w:p>
          <w:p w14:paraId="09F84D62" w14:textId="7FAF3237" w:rsidR="002D31E5" w:rsidRPr="002A677E" w:rsidRDefault="002E796C" w:rsidP="000D04B6">
            <w:pPr>
              <w:pStyle w:val="InstructionsText"/>
              <w:rPr>
                <w:rStyle w:val="InstructionsTabelleberschrift"/>
                <w:rFonts w:ascii="Times New Roman" w:hAnsi="Times New Roman"/>
                <w:b w:val="0"/>
                <w:bCs w:val="0"/>
                <w:sz w:val="24"/>
                <w:u w:val="none"/>
              </w:rPr>
            </w:pPr>
            <w:r>
              <w:t xml:space="preserve">Artikel 69, litra a), i forordning (EU) nr. 575/2013 tillader udligning af korte positioner i den samme underliggende eksponering, hvis den korte positions forfaldstidspunkt er enten sammenfaldende med eller senere </w:t>
            </w:r>
            <w:r>
              <w:lastRenderedPageBreak/>
              <w:t>end forfaldstidspunktet for den lange position, eller den korte positions restløbetid er mindst et år.</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lastRenderedPageBreak/>
              <w:t>0650</w:t>
            </w:r>
          </w:p>
        </w:tc>
        <w:tc>
          <w:tcPr>
            <w:tcW w:w="7049" w:type="dxa"/>
          </w:tcPr>
          <w:p w14:paraId="4BC5F3E6" w14:textId="77777777" w:rsidR="00674BF5" w:rsidRPr="002A677E" w:rsidRDefault="00674BF5" w:rsidP="00487A02">
            <w:pPr>
              <w:pStyle w:val="InstructionsText"/>
            </w:pPr>
            <w:r>
              <w:rPr>
                <w:rStyle w:val="InstructionsTabelleberschrift"/>
                <w:rFonts w:ascii="Times New Roman" w:hAnsi="Times New Roman"/>
                <w:sz w:val="24"/>
              </w:rPr>
              <w:t>18 Risikovægtede eksponeringer for besiddelser af egentlig kernekapital i enheder i den finansielle sektor, som ikke fratrækkes instituttets egentlige kernekapital</w:t>
            </w:r>
          </w:p>
          <w:p w14:paraId="042A9075" w14:textId="2A8564E9" w:rsidR="00674BF5" w:rsidRPr="002A677E" w:rsidRDefault="00674BF5" w:rsidP="00487A02">
            <w:pPr>
              <w:pStyle w:val="InstructionsText"/>
            </w:pPr>
            <w:r>
              <w:t>Artikel 46, stk. 4, artikel 48, stk. 4, og artikel 49, stk. 4, i forordning (EU) nr. 575/2013</w:t>
            </w:r>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t>0660</w:t>
            </w:r>
          </w:p>
        </w:tc>
        <w:tc>
          <w:tcPr>
            <w:tcW w:w="7049" w:type="dxa"/>
          </w:tcPr>
          <w:p w14:paraId="2BB6E828" w14:textId="77777777" w:rsidR="00674BF5" w:rsidRPr="002A677E" w:rsidRDefault="00674BF5" w:rsidP="00487A02">
            <w:pPr>
              <w:pStyle w:val="InstructionsText"/>
            </w:pPr>
            <w:r>
              <w:rPr>
                <w:rStyle w:val="InstructionsTabelleberschrift"/>
                <w:rFonts w:ascii="Times New Roman" w:hAnsi="Times New Roman"/>
                <w:sz w:val="24"/>
              </w:rPr>
              <w:t>19 Risikovægtede eksponeringer for besiddelser af hybrid kernekapital i enheder i den finansielle sektor, som ikke fratrækkes instituttets hybride kernekapital</w:t>
            </w:r>
          </w:p>
          <w:p w14:paraId="22F50EEA" w14:textId="5A7D0E38" w:rsidR="00674BF5" w:rsidRPr="002A677E" w:rsidRDefault="00674BF5" w:rsidP="00487A02">
            <w:pPr>
              <w:pStyle w:val="InstructionsText"/>
            </w:pPr>
            <w:r>
              <w:t>Artikel 60, stk. 4, i forordning (EU) nr. 575/2013</w:t>
            </w:r>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t>0670</w:t>
            </w:r>
          </w:p>
        </w:tc>
        <w:tc>
          <w:tcPr>
            <w:tcW w:w="7049" w:type="dxa"/>
          </w:tcPr>
          <w:p w14:paraId="28191636" w14:textId="77777777" w:rsidR="00674BF5" w:rsidRPr="002A677E" w:rsidRDefault="00674BF5" w:rsidP="00487A02">
            <w:pPr>
              <w:pStyle w:val="InstructionsText"/>
            </w:pPr>
            <w:r>
              <w:rPr>
                <w:rStyle w:val="InstructionsTabelleberschrift"/>
                <w:rFonts w:ascii="Times New Roman" w:hAnsi="Times New Roman"/>
                <w:sz w:val="24"/>
              </w:rPr>
              <w:t>20 Risikovægtede eksponeringer for besiddelser af supplerende kapital i enheder i den finansielle sektor, som ikke fratrækkes instituttets supplerende kapital</w:t>
            </w:r>
          </w:p>
          <w:p w14:paraId="6575F047" w14:textId="0A975071" w:rsidR="00674BF5" w:rsidRPr="002A677E" w:rsidRDefault="00674BF5" w:rsidP="00487A02">
            <w:pPr>
              <w:pStyle w:val="InstructionsText"/>
            </w:pPr>
            <w:r>
              <w:t>Artikel 70, stk. 4, i forordning (EU) nr. 575/2013</w:t>
            </w:r>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t>0680</w:t>
            </w:r>
          </w:p>
        </w:tc>
        <w:tc>
          <w:tcPr>
            <w:tcW w:w="7049" w:type="dxa"/>
          </w:tcPr>
          <w:p w14:paraId="7244C31D" w14:textId="77777777" w:rsidR="00674BF5" w:rsidRPr="002A677E"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Af bestemmelserne om midlertidig fravigelse omfattede besiddelser af egentlige kernekapitalinstrumenter i enheder i den finansielle sektor, hvori instituttet ikke har væsentlige investeringer</w:t>
            </w:r>
          </w:p>
          <w:p w14:paraId="52FE2147" w14:textId="69F5A736" w:rsidR="00674BF5" w:rsidRPr="002A677E" w:rsidRDefault="00674BF5" w:rsidP="00487A02">
            <w:pPr>
              <w:pStyle w:val="InstructionsText"/>
            </w:pPr>
            <w:r>
              <w:t>Artikel 79 i forordning (EU) nr. 575/2013</w:t>
            </w:r>
          </w:p>
          <w:p w14:paraId="7A4F7070" w14:textId="77777777" w:rsidR="00674BF5" w:rsidRPr="002A677E" w:rsidRDefault="00674BF5" w:rsidP="00487A02">
            <w:pPr>
              <w:pStyle w:val="InstructionsText"/>
            </w:pPr>
            <w:r>
              <w:t>En kompetent myndighed kan midlertidigt fravige bestemmelserne om fradrag i den egentlige kernekapital, hvis der er tale om besiddelser af instrumenter i en bestemt enhed i den finansielle sektor, og myndigheden skønner, at hensigten med disse besiddelser er at anvende dem som led i en finansiel bistandsoperation med henblik på at reorganisere og redde denne enhed.</w:t>
            </w:r>
          </w:p>
          <w:p w14:paraId="54997C1C" w14:textId="77777777" w:rsidR="00674BF5" w:rsidRPr="002A677E" w:rsidRDefault="00674BF5" w:rsidP="00487A02">
            <w:pPr>
              <w:pStyle w:val="InstructionsText"/>
            </w:pPr>
            <w:r>
              <w:t>Bemærk, at disse instrumenter også skal indberettes i post 12.1.</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t>0690</w:t>
            </w:r>
          </w:p>
        </w:tc>
        <w:tc>
          <w:tcPr>
            <w:tcW w:w="7049" w:type="dxa"/>
          </w:tcPr>
          <w:p w14:paraId="21E9048E" w14:textId="77777777" w:rsidR="00674BF5" w:rsidRPr="002A677E"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Af bestemmelserne om midlertidig fravigelse omfattede besiddelser af egentlige kernekapitalinstrumenter i enheder i den finansielle sektor, hvori instituttet har væsentlige investeringer</w:t>
            </w:r>
          </w:p>
          <w:p w14:paraId="03608A1D" w14:textId="101CAA3F" w:rsidR="00674BF5" w:rsidRPr="002A677E" w:rsidRDefault="00674BF5" w:rsidP="00487A02">
            <w:pPr>
              <w:pStyle w:val="InstructionsText"/>
            </w:pPr>
            <w:r>
              <w:t>Artikel 79 i forordning (EU) nr. 575/2013</w:t>
            </w:r>
          </w:p>
          <w:p w14:paraId="299F3BCD" w14:textId="77777777" w:rsidR="00674BF5" w:rsidRPr="002A677E" w:rsidRDefault="00674BF5" w:rsidP="00487A02">
            <w:pPr>
              <w:pStyle w:val="InstructionsText"/>
            </w:pPr>
            <w:r>
              <w:t>En kompetent myndighed kan fravige bestemmelserne om fradrag i den egentlige kernekapital, hvis der er tale om besiddelser af instrumenter i en bestemt enhed i den finansielle sektor, og myndigheden skønner, at hensigten med disse besiddelser er at anvende dem som led i en finansiel bistandsoperation med henblik på at reorganisere og redde denne enhed.</w:t>
            </w:r>
          </w:p>
          <w:p w14:paraId="5CC5E2F7" w14:textId="77777777" w:rsidR="00674BF5" w:rsidRPr="002A677E" w:rsidRDefault="00674BF5" w:rsidP="00487A02">
            <w:pPr>
              <w:pStyle w:val="InstructionsText"/>
            </w:pPr>
            <w:r>
              <w:t>Bemærk, at disse instrumenter også skal indberettes i post 15.1.</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t>0700</w:t>
            </w:r>
          </w:p>
        </w:tc>
        <w:tc>
          <w:tcPr>
            <w:tcW w:w="7049" w:type="dxa"/>
          </w:tcPr>
          <w:p w14:paraId="7446E00A" w14:textId="77777777" w:rsidR="00674BF5" w:rsidRPr="002A677E"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Af bestemmelserne om midlertidig fravigelse omfattede besiddelser af hybride kernekapitalinstrumenter i enheder i den finansielle sektor, hvori instituttet ikke har væsentlige investeringer</w:t>
            </w:r>
          </w:p>
          <w:p w14:paraId="5E0DD8A4" w14:textId="36BBEE61" w:rsidR="00674BF5" w:rsidRPr="002A677E" w:rsidRDefault="00674BF5" w:rsidP="00487A02">
            <w:pPr>
              <w:pStyle w:val="InstructionsText"/>
            </w:pPr>
            <w:r>
              <w:t>Artikel 79 i forordning (EU) nr. 575/2013</w:t>
            </w:r>
          </w:p>
          <w:p w14:paraId="543CF2E7" w14:textId="77777777" w:rsidR="00674BF5" w:rsidRPr="002A677E" w:rsidRDefault="00674BF5" w:rsidP="00487A02">
            <w:pPr>
              <w:pStyle w:val="InstructionsText"/>
            </w:pPr>
            <w:r>
              <w:t xml:space="preserve">En kompetent myndighed kan midlertidigt fravige bestemmelserne om fradrag i den hybride kernekapital, hvis der er tale om besiddelser af </w:t>
            </w:r>
            <w:r>
              <w:lastRenderedPageBreak/>
              <w:t>instrumenter i en bestemt enhed i den finansielle sektor, og myndigheden skønner, at hensigten med disse besiddelser er at anvende dem som led i en finansiel bistandsoperation med henblik på at reorganisere og redde denne enhed.</w:t>
            </w:r>
          </w:p>
          <w:p w14:paraId="413F7444" w14:textId="77777777" w:rsidR="00674BF5" w:rsidRPr="002A677E" w:rsidRDefault="00674BF5" w:rsidP="00487A02">
            <w:pPr>
              <w:pStyle w:val="InstructionsText"/>
            </w:pPr>
            <w:r>
              <w:t>Bemærk, at disse instrumenter også skal indberettes i post 13.1.</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lastRenderedPageBreak/>
              <w:t>0710</w:t>
            </w:r>
          </w:p>
        </w:tc>
        <w:tc>
          <w:tcPr>
            <w:tcW w:w="7049" w:type="dxa"/>
          </w:tcPr>
          <w:p w14:paraId="7A511678" w14:textId="77777777" w:rsidR="00674BF5" w:rsidRPr="002A677E"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Af bestemmelserne om midlertidig fravigelse omfattede besiddelser af hybride kernekapitalinstrumenter i enheder i den finansielle sektor, hvori instituttet har væsentlige investeringer</w:t>
            </w:r>
          </w:p>
          <w:p w14:paraId="13D7F84D" w14:textId="62B4E19E" w:rsidR="00674BF5" w:rsidRPr="002A677E" w:rsidRDefault="00674BF5" w:rsidP="00487A02">
            <w:pPr>
              <w:pStyle w:val="InstructionsText"/>
            </w:pPr>
            <w:r>
              <w:t>Artikel 79 i forordning (EU) nr. 575/2013</w:t>
            </w:r>
          </w:p>
          <w:p w14:paraId="5F5D5B71" w14:textId="77777777" w:rsidR="00674BF5" w:rsidRPr="002A677E" w:rsidRDefault="00674BF5" w:rsidP="00487A02">
            <w:pPr>
              <w:pStyle w:val="InstructionsText"/>
            </w:pPr>
            <w:r>
              <w:t>En kompetent myndighed kan midlertidigt fravige bestemmelserne om fradrag i den hybride kernekapital, hvis der er tale om besiddelser af instrumenter i en bestemt enhed i den finansielle sektor, og myndigheden skønner, at hensigten med disse besiddelser er at anvende dem som led i en finansiel bistandsoperation med henblik på at reorganisere og redde denne enhed.</w:t>
            </w:r>
          </w:p>
          <w:p w14:paraId="1B89E41B" w14:textId="77777777" w:rsidR="00674BF5" w:rsidRPr="002A677E" w:rsidRDefault="00674BF5" w:rsidP="00487A02">
            <w:pPr>
              <w:pStyle w:val="InstructionsText"/>
            </w:pPr>
            <w:r>
              <w:t>Bemærk, at disse instrumenter også skal indberettes i post 16.1.</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t>0720</w:t>
            </w:r>
          </w:p>
        </w:tc>
        <w:tc>
          <w:tcPr>
            <w:tcW w:w="7049" w:type="dxa"/>
          </w:tcPr>
          <w:p w14:paraId="4B0BA41B" w14:textId="77777777" w:rsidR="00674BF5" w:rsidRPr="002A677E"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Af bestemmelserne om midlertidig fravigelse omfattede besiddelser af supplerende kapitalinstrumenter i enheder i den finansielle sektor, hvori instituttet ikke har væsentlige investeringer</w:t>
            </w:r>
          </w:p>
          <w:p w14:paraId="18A36D10" w14:textId="50405732" w:rsidR="00674BF5" w:rsidRPr="002A677E" w:rsidRDefault="00674BF5" w:rsidP="00487A02">
            <w:pPr>
              <w:pStyle w:val="InstructionsText"/>
            </w:pPr>
            <w:r>
              <w:t>Artikel 79 i forordning (EU) nr. 575/2013</w:t>
            </w:r>
          </w:p>
          <w:p w14:paraId="509BBCB4" w14:textId="77777777" w:rsidR="00674BF5" w:rsidRPr="002A677E" w:rsidRDefault="00674BF5" w:rsidP="00487A02">
            <w:pPr>
              <w:pStyle w:val="InstructionsText"/>
            </w:pPr>
            <w:r>
              <w:t>En kompetent myndighed kan fravige bestemmelserne om fradrag i den supplerende kapital, hvis der er tale om besiddelser af instrumenter i en bestemt enhed i den finansielle sektor, og myndigheden skønner, at hensigten med disse besiddelser er at anvende dem som led i en finansiel bistandsoperation med henblik på at reorganisere og redde denne enhed.</w:t>
            </w:r>
          </w:p>
          <w:p w14:paraId="01A32095" w14:textId="77777777" w:rsidR="00674BF5" w:rsidRPr="002A677E" w:rsidRDefault="00674BF5" w:rsidP="00487A02">
            <w:pPr>
              <w:pStyle w:val="InstructionsText"/>
            </w:pPr>
            <w:r>
              <w:t>Bemærk, at disse instrumenter også skal indberettes i post 14.1.</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t>0730</w:t>
            </w:r>
          </w:p>
        </w:tc>
        <w:tc>
          <w:tcPr>
            <w:tcW w:w="7049" w:type="dxa"/>
          </w:tcPr>
          <w:p w14:paraId="0BC19EDF" w14:textId="77777777" w:rsidR="00674BF5" w:rsidRPr="002A677E"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Af bestemmelserne om midlertidig fravigelse omfattede besiddelser af supplerende kapitalinstrumenter i enheder i den finansielle sektor, hvori instituttet har væsentlige investeringer</w:t>
            </w:r>
          </w:p>
          <w:p w14:paraId="1DF87BB9" w14:textId="4F5DE91D" w:rsidR="00674BF5" w:rsidRPr="002A677E" w:rsidRDefault="00674BF5" w:rsidP="00487A02">
            <w:pPr>
              <w:pStyle w:val="InstructionsText"/>
            </w:pPr>
            <w:r>
              <w:t>Artikel 79 i forordning (EU) nr. 575/2013</w:t>
            </w:r>
          </w:p>
          <w:p w14:paraId="60AF3036" w14:textId="77777777" w:rsidR="00674BF5" w:rsidRPr="002A677E" w:rsidRDefault="00674BF5" w:rsidP="00487A02">
            <w:pPr>
              <w:pStyle w:val="InstructionsText"/>
            </w:pPr>
            <w:r>
              <w:t>En kompetent myndighed kan fravige bestemmelserne om fradrag i den supplerende kapital, hvis der er tale om besiddelser af instrumenter i en bestemt enhed i den finansielle sektor, og myndigheden skønner, at hensigten med disse besiddelser er at anvende dem som led i en finansiel bistandsoperation med henblik på at reorganisere og redde denne enhed.</w:t>
            </w:r>
          </w:p>
          <w:p w14:paraId="3BD976D0" w14:textId="77777777" w:rsidR="00674BF5" w:rsidRPr="002A677E" w:rsidRDefault="00674BF5" w:rsidP="00487A02">
            <w:pPr>
              <w:pStyle w:val="InstructionsText"/>
            </w:pPr>
            <w:r>
              <w:t>Bemærk, at disse instrumenter også skal indberettes i post 17.1.</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Kombineret bufferkrav</w:t>
            </w:r>
          </w:p>
          <w:p w14:paraId="3532B662" w14:textId="6CBE295A" w:rsidR="00674BF5" w:rsidRPr="002A677E" w:rsidRDefault="00674BF5" w:rsidP="00487A02">
            <w:pPr>
              <w:pStyle w:val="InstructionsText"/>
            </w:pPr>
            <w:r>
              <w:t>Artikel 128, nr. 6), i direktiv 2013/36/EU</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Pr>
                <w:rStyle w:val="InstructionsTabelleberschrift"/>
                <w:rFonts w:ascii="Times New Roman" w:hAnsi="Times New Roman"/>
                <w:sz w:val="24"/>
              </w:rPr>
              <w:t>Kapitalbevaringsbuffer</w:t>
            </w:r>
          </w:p>
          <w:p w14:paraId="281A5B21" w14:textId="2FF2E7C0" w:rsidR="00674BF5" w:rsidRPr="002A677E" w:rsidRDefault="00674BF5" w:rsidP="00487A02">
            <w:pPr>
              <w:pStyle w:val="InstructionsText"/>
            </w:pPr>
            <w:r>
              <w:t xml:space="preserve">Artikel 128, stk. 1, og artikel 129 i direktiv 2013/36/EU </w:t>
            </w:r>
          </w:p>
          <w:p w14:paraId="1626DA15" w14:textId="576F52C5" w:rsidR="00674BF5" w:rsidRPr="002A677E" w:rsidRDefault="00674BF5" w:rsidP="00487A02">
            <w:pPr>
              <w:pStyle w:val="InstructionsText"/>
            </w:pPr>
            <w:r>
              <w:lastRenderedPageBreak/>
              <w:t>I henhold til artikel 129, stk. 1, i direktiv 2013/36/EU er kapitalbevaringsbufferen et beløb ud over den egentlige kernekapital. Eftersom satsen på 2,5 % for kapitalbevaringsbufferen er stabil, skal der indberettes et beløb i denne række.</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lastRenderedPageBreak/>
              <w:t>0760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Pr>
                <w:rStyle w:val="InstructionsTabelleberschrift"/>
                <w:rFonts w:ascii="Times New Roman" w:hAnsi="Times New Roman"/>
                <w:sz w:val="24"/>
              </w:rPr>
              <w:t xml:space="preserve">Bevaringsbuffer som følge af makroprudentiel eller systemisk risiko identificeret på medlemsstatsniveau </w:t>
            </w:r>
          </w:p>
          <w:p w14:paraId="3A52B7F6" w14:textId="145A85C4" w:rsidR="00674BF5" w:rsidRPr="002A677E" w:rsidRDefault="00674BF5" w:rsidP="00487A02">
            <w:pPr>
              <w:pStyle w:val="InstructionsText"/>
            </w:pPr>
            <w:r>
              <w:t>Artikel 458, stk. 2, litra d), nr. iv), i forordning (EU) nr. 575/2013</w:t>
            </w:r>
          </w:p>
          <w:p w14:paraId="12681F1A" w14:textId="26193F9A" w:rsidR="00674BF5" w:rsidRPr="002A677E" w:rsidRDefault="00674BF5" w:rsidP="00487A02">
            <w:pPr>
              <w:pStyle w:val="InstructionsText"/>
            </w:pPr>
            <w:r>
              <w:t>I denne række indberettes det beløb for bevaringsbufferen som følge af makroprudentiel eller systemisk risiko identificeret på medlemsstatsniveau, der ud over kapitalbevaringsbufferen kan kræves i henhold til artikel 458 i forordning (EU) nr. 575/2013.</w:t>
            </w:r>
          </w:p>
          <w:p w14:paraId="3F7DEDE7" w14:textId="77777777" w:rsidR="00674BF5" w:rsidRPr="002A677E" w:rsidRDefault="00674BF5" w:rsidP="00487A02">
            <w:pPr>
              <w:pStyle w:val="InstructionsText"/>
            </w:pPr>
            <w:r>
              <w:t>Det indberettede beløb skal repræsentere det kapitalgrundlag, der er nødvendigt for at opfylde de respektive kapitalbufferkrav på indberetningsdatoen.</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487A02">
            <w:pPr>
              <w:pStyle w:val="InstructionsText"/>
            </w:pPr>
            <w:r>
              <w:rPr>
                <w:rStyle w:val="InstructionsTabelleberschrift"/>
                <w:rFonts w:ascii="Times New Roman" w:hAnsi="Times New Roman"/>
                <w:sz w:val="24"/>
              </w:rPr>
              <w:t xml:space="preserve">Institutspecifik kontracyklisk kapitalbuffer </w:t>
            </w:r>
          </w:p>
          <w:p w14:paraId="63DAB6ED" w14:textId="7C76B525" w:rsidR="00674BF5" w:rsidRPr="002A677E" w:rsidRDefault="00674BF5" w:rsidP="00487A02">
            <w:pPr>
              <w:pStyle w:val="InstructionsText"/>
            </w:pPr>
            <w:r>
              <w:t xml:space="preserve">Artikel 128, nr. 2), artikel 130 og 135-140 i direktiv 2013/36/EU </w:t>
            </w:r>
          </w:p>
          <w:p w14:paraId="58A89809" w14:textId="77777777" w:rsidR="00674BF5" w:rsidRPr="002A677E" w:rsidRDefault="00674BF5" w:rsidP="00487A02">
            <w:pPr>
              <w:pStyle w:val="InstructionsText"/>
            </w:pPr>
            <w:r>
              <w:t>Det indberettede beløb skal repræsentere det kapitalgrundlag, der er nødvendigt for at opfylde de respektive kapitalbufferkrav på indberetningsdatoen.</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Pr>
                <w:rStyle w:val="InstructionsTabelleberschrift"/>
                <w:rFonts w:ascii="Times New Roman" w:hAnsi="Times New Roman"/>
                <w:sz w:val="24"/>
              </w:rPr>
              <w:t xml:space="preserve">Systemisk risikobuffer </w:t>
            </w:r>
          </w:p>
          <w:p w14:paraId="775A8901" w14:textId="5A8C166E" w:rsidR="00674BF5" w:rsidRPr="002A677E" w:rsidRDefault="00674BF5" w:rsidP="00487A02">
            <w:pPr>
              <w:pStyle w:val="InstructionsText"/>
            </w:pPr>
            <w:r>
              <w:t xml:space="preserve">Artikel 128, nr. 5), artikel 133 og 134 i direktiv 2013/36/EU </w:t>
            </w:r>
          </w:p>
          <w:p w14:paraId="6746F441" w14:textId="77777777" w:rsidR="00674BF5" w:rsidRPr="002A677E" w:rsidRDefault="00674BF5" w:rsidP="00487A02">
            <w:pPr>
              <w:pStyle w:val="InstructionsText"/>
            </w:pPr>
            <w:r>
              <w:t>Det indberettede beløb skal repræsentere det kapitalgrundlag, der er nødvendigt for at opfylde de respektive kapitalbufferkrav på indberetningsdatoen.</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Buffer for globale systemisk vigtige institutter</w:t>
            </w:r>
          </w:p>
          <w:p w14:paraId="50CFDE15" w14:textId="7FF83DC3" w:rsidR="00674BF5" w:rsidRPr="002A677E" w:rsidRDefault="00674BF5" w:rsidP="00487A02">
            <w:pPr>
              <w:pStyle w:val="InstructionsText"/>
              <w:rPr>
                <w:rStyle w:val="InstructionsTabelleberschrift"/>
                <w:rFonts w:ascii="Times New Roman" w:hAnsi="Times New Roman"/>
                <w:b w:val="0"/>
                <w:sz w:val="24"/>
                <w:u w:val="none"/>
              </w:rPr>
            </w:pPr>
            <w:r>
              <w:t>Artikel 128, stk. 3, og artikel 131 i direktiv 2013/36/EU</w:t>
            </w:r>
          </w:p>
          <w:p w14:paraId="5187AEC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Det indberettede beløb skal repræsentere det kapitalgrundlag, der er nødvendigt for at opfylde de respektive kapitalbufferkrav på indberetningsdatoen.</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Buffer for andre systemisk vigtige institutter </w:t>
            </w:r>
          </w:p>
          <w:p w14:paraId="248DFF6D" w14:textId="15DEA0ED" w:rsidR="00674BF5" w:rsidRPr="002A677E" w:rsidRDefault="00674BF5" w:rsidP="00487A02">
            <w:pPr>
              <w:pStyle w:val="InstructionsText"/>
              <w:rPr>
                <w:rStyle w:val="InstructionsTabelleberschrift"/>
                <w:rFonts w:ascii="Times New Roman" w:hAnsi="Times New Roman"/>
                <w:b w:val="0"/>
                <w:sz w:val="24"/>
                <w:u w:val="none"/>
              </w:rPr>
            </w:pPr>
            <w:r>
              <w:t>Artikel 128, stk. 4, og artikel 131 i direktiv 2013/36/EU</w:t>
            </w:r>
          </w:p>
          <w:p w14:paraId="768CAD7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Det indberettede beløb skal repræsentere det kapitalgrundlag, der er nødvendigt for at opfylde de respektive kapitalbufferkrav på indberetningsdatoen.</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Kapitalgrundlagskrav i forbindelse med søjle II-justeringer</w:t>
            </w:r>
          </w:p>
          <w:p w14:paraId="48BC9978" w14:textId="18D0522F" w:rsidR="00674BF5" w:rsidRPr="002A677E" w:rsidRDefault="00674BF5" w:rsidP="00487A02">
            <w:pPr>
              <w:pStyle w:val="InstructionsText"/>
              <w:rPr>
                <w:rStyle w:val="InstructionsTabelleberschrift"/>
                <w:rFonts w:ascii="Times New Roman" w:hAnsi="Times New Roman"/>
                <w:b w:val="0"/>
                <w:sz w:val="24"/>
                <w:u w:val="none"/>
              </w:rPr>
            </w:pPr>
            <w:r>
              <w:t>Artikel 104a, stk. 1, i direktiv 2013/36/EU</w:t>
            </w:r>
            <w:r>
              <w:rPr>
                <w:rStyle w:val="InstructionsTabelleberschrift"/>
                <w:rFonts w:ascii="Times New Roman" w:hAnsi="Times New Roman"/>
                <w:b w:val="0"/>
                <w:sz w:val="24"/>
                <w:u w:val="none"/>
              </w:rPr>
              <w:t xml:space="preserve"> </w:t>
            </w:r>
          </w:p>
          <w:p w14:paraId="0658741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Hvis en kompetent myndighed beslutter, at et institut skal beregne krav om yderligere kapitalgrundlag som følge af søjle II-justeringer, skal disse yderligere kapitalgrundlagskrav indberettes i denne række.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Startkapital</w:t>
            </w:r>
          </w:p>
          <w:p w14:paraId="25C262EC" w14:textId="55A94A50" w:rsidR="00674BF5" w:rsidRPr="002A677E" w:rsidRDefault="00674BF5" w:rsidP="00487A02">
            <w:pPr>
              <w:pStyle w:val="InstructionsText"/>
              <w:rPr>
                <w:rStyle w:val="InstructionsTabelleberschrift"/>
                <w:rFonts w:ascii="Times New Roman" w:hAnsi="Times New Roman"/>
                <w:b w:val="0"/>
                <w:sz w:val="24"/>
                <w:u w:val="none"/>
              </w:rPr>
            </w:pPr>
            <w:r>
              <w:lastRenderedPageBreak/>
              <w:t>Artikel 12 og artikel 28-31 i direktiv 2013/36/EU og artikel 93 i forordning (EU) nr. 575/2013</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lastRenderedPageBreak/>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Kapitalgrundlag baseret på faste omkostninger</w:t>
            </w:r>
          </w:p>
          <w:p w14:paraId="5047BBAB" w14:textId="14889321" w:rsidR="00674BF5" w:rsidRDefault="00674BF5" w:rsidP="002E796C">
            <w:pPr>
              <w:pStyle w:val="InstructionsText"/>
            </w:pPr>
            <w:r>
              <w:t>Artikel 95, stk. 2, litra b), artikel 96, stk. 2, litra b), artikel 97 og artikel 98, stk. 1, litra a), i forordning (EU) nr. 575/2013</w:t>
            </w:r>
          </w:p>
          <w:p w14:paraId="3DDA2827" w14:textId="23E3B6AA" w:rsidR="00232921" w:rsidRPr="00232921" w:rsidRDefault="00232921" w:rsidP="002E796C">
            <w:pPr>
              <w:pStyle w:val="InstructionsText"/>
              <w:rPr>
                <w:rStyle w:val="InstructionsTabelleberschrift"/>
                <w:rFonts w:ascii="Times New Roman" w:hAnsi="Times New Roman"/>
                <w:b w:val="0"/>
                <w:sz w:val="24"/>
                <w:u w:val="none"/>
              </w:rPr>
            </w:pPr>
            <w:r>
              <w:t>Det indberettede beløb er det kapitalgrundlagskrav, der følger af anvendelsen af ovennævnte artikler.</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Ikkeindenlandske oprindelige eksponeringer</w:t>
            </w:r>
          </w:p>
          <w:p w14:paraId="462C38BC" w14:textId="77777777" w:rsidR="00674BF5" w:rsidRPr="002A677E" w:rsidRDefault="00674BF5" w:rsidP="00487A02">
            <w:pPr>
              <w:pStyle w:val="InstructionsText"/>
              <w:rPr>
                <w:rStyle w:val="InstructionsTabelleberschrift"/>
                <w:rFonts w:ascii="Times New Roman" w:hAnsi="Times New Roman"/>
                <w:b w:val="0"/>
                <w:sz w:val="24"/>
                <w:u w:val="none"/>
              </w:rPr>
            </w:pPr>
            <w:r>
              <w:t>Information, der er nødvendig for at beregne tærsklen for indberetning af CR GB-skemaet, jf. denne gennemførelsesforordnings artikel 5, stk. 5.</w:t>
            </w:r>
            <w:r>
              <w:rPr>
                <w:rStyle w:val="InstructionsTabelleberschrift"/>
                <w:rFonts w:ascii="Times New Roman" w:hAnsi="Times New Roman"/>
                <w:b w:val="0"/>
                <w:sz w:val="24"/>
                <w:u w:val="none"/>
              </w:rPr>
              <w:t xml:space="preserve"> Tærsklen beregnes på grundlag af den oprindelige eksponering før anvendelse af konverteringsfaktorer. </w:t>
            </w:r>
          </w:p>
          <w:p w14:paraId="3D079757"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Eksponeringer betragtes som indenlandske, når de er eksponeringer mod modparter med hjemsted i den medlemsstat, hvor instituttet har sit hjemsted.</w:t>
            </w:r>
          </w:p>
          <w:p w14:paraId="298968ED" w14:textId="568124BD" w:rsidR="00AF61D0" w:rsidRPr="002A677E" w:rsidRDefault="00AF61D0" w:rsidP="00AF61D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Uanset artikel 21, stk. 1, litra a), i denne gennemførelsesforordning skal denne række altid udfyldes.</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Oprindelige eksponeringer i alt</w:t>
            </w:r>
          </w:p>
          <w:p w14:paraId="26B36369" w14:textId="77777777" w:rsidR="00674BF5" w:rsidRPr="002A677E" w:rsidRDefault="00674BF5" w:rsidP="00487A02">
            <w:pPr>
              <w:pStyle w:val="InstructionsText"/>
              <w:rPr>
                <w:rStyle w:val="InstructionsTabelleberschrift"/>
                <w:rFonts w:ascii="Times New Roman" w:hAnsi="Times New Roman"/>
                <w:b w:val="0"/>
                <w:sz w:val="24"/>
                <w:u w:val="none"/>
              </w:rPr>
            </w:pPr>
            <w:r>
              <w:t>Information, der er nødvendig for at beregne tærsklen for indberetning af CR GB-skemaet, jf. denne gennemførelsesforordnings artikel 5, stk. 5.</w:t>
            </w:r>
            <w:r>
              <w:rPr>
                <w:rStyle w:val="InstructionsTabelleberschrift"/>
                <w:rFonts w:ascii="Times New Roman" w:hAnsi="Times New Roman"/>
                <w:b w:val="0"/>
                <w:sz w:val="24"/>
                <w:u w:val="none"/>
              </w:rPr>
              <w:t xml:space="preserve"> Tærsklen beregnes på grundlag af den oprindelige eksponering før anvendelse af konverteringsfaktorer.</w:t>
            </w:r>
          </w:p>
          <w:p w14:paraId="39FAF5C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Eksponeringer betragtes som indenlandske, når de er eksponeringer mod modparter med hjemsted i den medlemsstat, hvor instituttet har sit hjemsted.</w:t>
            </w:r>
          </w:p>
          <w:p w14:paraId="4AF971EF" w14:textId="336B5900" w:rsidR="00AF61D0" w:rsidRPr="002A677E" w:rsidRDefault="00AF61D0"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Uanset artikel 21, stk. 1, litra a), i denne gennemførelsesforordning skal denne række altid udfyldes.</w:t>
            </w:r>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68" w:name="_Toc360188333"/>
      <w:bookmarkStart w:id="69" w:name="_Toc473560881"/>
      <w:bookmarkStart w:id="70" w:name="_Toc308175834"/>
      <w:bookmarkStart w:id="71" w:name="_Toc119059303"/>
      <w:r>
        <w:rPr>
          <w:rFonts w:ascii="Times New Roman" w:hAnsi="Times New Roman"/>
          <w:sz w:val="24"/>
        </w:rPr>
        <w:t>1.6</w:t>
      </w:r>
      <w:r>
        <w:tab/>
      </w:r>
      <w:r>
        <w:rPr>
          <w:rFonts w:ascii="Times New Roman" w:hAnsi="Times New Roman"/>
          <w:sz w:val="24"/>
        </w:rPr>
        <w:t>OVERGANGSBESTEMMELSER og INSTRUMENTER OMFATTER AF OVERGANGSBESTEMMELSER: INSTRUMENTER, DER IKKE UDGØR STATSSTØTTE (CA5</w:t>
      </w:r>
      <w:bookmarkEnd w:id="68"/>
      <w:r>
        <w:rPr>
          <w:rFonts w:ascii="Times New Roman" w:hAnsi="Times New Roman"/>
          <w:sz w:val="24"/>
        </w:rPr>
        <w:t>)</w:t>
      </w:r>
      <w:bookmarkEnd w:id="69"/>
      <w:bookmarkEnd w:id="71"/>
    </w:p>
    <w:p w14:paraId="227A183A" w14:textId="09C102E5"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119059304"/>
      <w:bookmarkEnd w:id="70"/>
      <w:r>
        <w:rPr>
          <w:rFonts w:ascii="Times New Roman" w:hAnsi="Times New Roman"/>
          <w:sz w:val="24"/>
        </w:rPr>
        <w:t>1.6.1</w:t>
      </w:r>
      <w:r>
        <w:tab/>
      </w:r>
      <w:r>
        <w:rPr>
          <w:rFonts w:ascii="Times New Roman" w:hAnsi="Times New Roman"/>
          <w:sz w:val="24"/>
        </w:rPr>
        <w:t>Generelle bemærkninger</w:t>
      </w:r>
      <w:bookmarkEnd w:id="72"/>
      <w:bookmarkEnd w:id="73"/>
      <w:bookmarkEnd w:id="74"/>
      <w:bookmarkEnd w:id="75"/>
    </w:p>
    <w:p w14:paraId="41003114" w14:textId="1BBFDDB6" w:rsidR="00783881" w:rsidRPr="002A677E" w:rsidRDefault="008F3052" w:rsidP="00487A02">
      <w:pPr>
        <w:pStyle w:val="InstructionsText2"/>
        <w:numPr>
          <w:ilvl w:val="0"/>
          <w:numId w:val="0"/>
        </w:numPr>
        <w:ind w:left="1353" w:hanging="360"/>
      </w:pPr>
      <w:fldSimple w:instr=" seq paragraphs ">
        <w:r>
          <w:t>16</w:t>
        </w:r>
      </w:fldSimple>
      <w:r>
        <w:t>.</w:t>
      </w:r>
      <w:r>
        <w:tab/>
        <w:t xml:space="preserve">CA5 opsummerer beregningen af kapitalgrundlagsposter og fradrag, der er omfattet af overgangsbestemmelser fastsat i artikel 465-491, 494a og 494b i forordning (EU) nr. 575/2013. </w:t>
      </w:r>
    </w:p>
    <w:p w14:paraId="3F679519" w14:textId="77777777" w:rsidR="00496C53" w:rsidRPr="002A677E" w:rsidRDefault="008F3052" w:rsidP="00487A02">
      <w:pPr>
        <w:pStyle w:val="InstructionsText2"/>
        <w:numPr>
          <w:ilvl w:val="0"/>
          <w:numId w:val="0"/>
        </w:numPr>
        <w:ind w:left="1353" w:hanging="360"/>
      </w:pPr>
      <w:fldSimple w:instr=" seq paragraphs ">
        <w:r>
          <w:t>17</w:t>
        </w:r>
      </w:fldSimple>
      <w:r>
        <w:t>.</w:t>
      </w:r>
      <w:r>
        <w:tab/>
        <w:t>CA5 er opbygget på følgende måde:</w:t>
      </w:r>
    </w:p>
    <w:p w14:paraId="03CFA8D7" w14:textId="77777777" w:rsidR="002648B0" w:rsidRPr="002A677E" w:rsidRDefault="00125707" w:rsidP="00487A02">
      <w:pPr>
        <w:pStyle w:val="InstructionsText2"/>
        <w:numPr>
          <w:ilvl w:val="0"/>
          <w:numId w:val="0"/>
        </w:numPr>
        <w:ind w:left="1353" w:hanging="360"/>
      </w:pPr>
      <w:r>
        <w:t>a)</w:t>
      </w:r>
      <w:r>
        <w:tab/>
        <w:t xml:space="preserve">Skema CA5.1 opsummerer de samlede justeringer, der skal foretages i forskellige kapitalgrundlagselementer (indberettet i CA1 i henhold til de endelige bestemmelser) som følge af anvendelsen af overgangsbestemmelserne. Posterne i dette skema præsenteres som "justeringer" i de forskellige kapitalelementer i CA1 med </w:t>
      </w:r>
      <w:r>
        <w:lastRenderedPageBreak/>
        <w:t>henblik på at afspejle virkningerne af overgangsbestemmelserne i kapitalgrundlagselementerne.</w:t>
      </w:r>
    </w:p>
    <w:p w14:paraId="508D01E4" w14:textId="77777777" w:rsidR="002648B0" w:rsidRPr="002A677E" w:rsidRDefault="00125707" w:rsidP="00487A02">
      <w:pPr>
        <w:pStyle w:val="InstructionsText2"/>
        <w:numPr>
          <w:ilvl w:val="0"/>
          <w:numId w:val="0"/>
        </w:numPr>
        <w:ind w:left="1353" w:hanging="360"/>
      </w:pPr>
      <w:r>
        <w:t>b)</w:t>
      </w:r>
      <w:r>
        <w:tab/>
        <w:t xml:space="preserve">Skema 5.2 indeholder yderligere oplysninger om beregningen af instrumenter, der er omfattet af overgangsbestemmelser, og som ikke udgør statsstøtte. </w:t>
      </w:r>
    </w:p>
    <w:bookmarkStart w:id="76" w:name="_Toc307386943"/>
    <w:p w14:paraId="4C8E7419" w14:textId="77777777" w:rsidR="005643EA"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I de første fire kolonner skal institutter indberette justeringer af egentlig kernekapital, hybrid kernekapital og supplerende kapital samt det beløb, der skal behandles som risikovægtede aktiver. Institutterne skal også indberette den relevante procentdel i kolonne 0050 og det kvalificerede beløb uden indregning af overgangsbestemmelserne i kolonne 0060.</w:t>
      </w:r>
    </w:p>
    <w:p w14:paraId="1008CEFB" w14:textId="62DE236B" w:rsidR="005643EA" w:rsidRPr="002A677E" w:rsidRDefault="008F3052" w:rsidP="00487A02">
      <w:pPr>
        <w:pStyle w:val="InstructionsText2"/>
        <w:numPr>
          <w:ilvl w:val="0"/>
          <w:numId w:val="0"/>
        </w:numPr>
        <w:ind w:left="1353" w:hanging="360"/>
      </w:pPr>
      <w:fldSimple w:instr=" seq paragraphs ">
        <w:r>
          <w:t>19</w:t>
        </w:r>
      </w:fldSimple>
      <w:r>
        <w:t>.</w:t>
      </w:r>
      <w:r>
        <w:tab/>
        <w:t>Institutterne skal kun indberette elementer i CA5 i den periode, hvor overgangsbestemmelserne i tiende del i forordning (EU) nr. 575/2013 finder anvendelse.</w:t>
      </w:r>
    </w:p>
    <w:p w14:paraId="3CF93C3D" w14:textId="77777777" w:rsidR="005643EA" w:rsidRPr="002A677E" w:rsidRDefault="008F3052" w:rsidP="00487A02">
      <w:pPr>
        <w:pStyle w:val="InstructionsText2"/>
        <w:numPr>
          <w:ilvl w:val="0"/>
          <w:numId w:val="0"/>
        </w:numPr>
        <w:ind w:left="1353" w:hanging="360"/>
      </w:pPr>
      <w:fldSimple w:instr=" seq paragraphs ">
        <w:r>
          <w:t>20</w:t>
        </w:r>
      </w:fldSimple>
      <w:r>
        <w:t>.</w:t>
      </w:r>
      <w:r>
        <w:tab/>
        <w:t>Nogle af overgangsbestemmelserne kræver et fradrag i den egentlige kernekapital. I så fald anvendes restbeløbet af et eller flere fradrag på kernekapitalen. Hvis der ikke er tilstrækkelig hybrid kernekapital til at absorbere dette beløb, fratrækkes det overskydende beløb den egentlige kernekapital.</w:t>
      </w:r>
    </w:p>
    <w:p w14:paraId="4088CDD2" w14:textId="21C61816" w:rsidR="002648B0" w:rsidRPr="002A677E" w:rsidRDefault="00125707" w:rsidP="009258A2">
      <w:pPr>
        <w:pStyle w:val="Instructionsberschrift2"/>
        <w:numPr>
          <w:ilvl w:val="0"/>
          <w:numId w:val="0"/>
        </w:numPr>
        <w:ind w:left="357" w:hanging="357"/>
        <w:rPr>
          <w:rFonts w:ascii="Times New Roman" w:hAnsi="Times New Roman" w:cs="Times New Roman"/>
          <w:sz w:val="24"/>
        </w:rPr>
      </w:pPr>
      <w:bookmarkStart w:id="77" w:name="_Toc473560883"/>
      <w:bookmarkStart w:id="78" w:name="_Toc360188335"/>
      <w:bookmarkStart w:id="79" w:name="_Toc308175836"/>
      <w:bookmarkStart w:id="80" w:name="_Toc119059305"/>
      <w:bookmarkEnd w:id="76"/>
      <w:r>
        <w:rPr>
          <w:rFonts w:ascii="Times New Roman" w:hAnsi="Times New Roman"/>
          <w:sz w:val="24"/>
        </w:rPr>
        <w:t>1.6.2.</w:t>
      </w:r>
      <w:r>
        <w:tab/>
      </w:r>
      <w:r>
        <w:rPr>
          <w:rFonts w:ascii="Times New Roman" w:hAnsi="Times New Roman"/>
          <w:sz w:val="24"/>
        </w:rPr>
        <w:t>C 05.01 – OVERGANGSBESTEMMELSER (CA5.1)</w:t>
      </w:r>
      <w:bookmarkEnd w:id="77"/>
      <w:bookmarkEnd w:id="80"/>
      <w:r>
        <w:rPr>
          <w:rFonts w:ascii="Times New Roman" w:hAnsi="Times New Roman"/>
          <w:sz w:val="24"/>
        </w:rPr>
        <w:t xml:space="preserve"> </w:t>
      </w:r>
      <w:bookmarkEnd w:id="78"/>
      <w:bookmarkEnd w:id="79"/>
    </w:p>
    <w:p w14:paraId="5B4CCD13" w14:textId="3DB20645" w:rsidR="002648B0" w:rsidRPr="002A677E" w:rsidRDefault="008F3052" w:rsidP="00487A02">
      <w:pPr>
        <w:pStyle w:val="InstructionsText2"/>
        <w:numPr>
          <w:ilvl w:val="0"/>
          <w:numId w:val="0"/>
        </w:numPr>
        <w:ind w:left="1353" w:hanging="360"/>
      </w:pPr>
      <w:fldSimple w:instr=" seq paragraphs ">
        <w:r>
          <w:t>21</w:t>
        </w:r>
      </w:fldSimple>
      <w:r>
        <w:t>.</w:t>
      </w:r>
      <w:r>
        <w:tab/>
        <w:t xml:space="preserve">I CA5.1-skemaet skal institutter indberette de overgangsbestemmelser, der anvendes på kapitalgrundlagselementer i overensstemmelse med artikel 465 til 491, 494a og 494b i forordning (EU) nr. 575/2013, sammenlignet med anvendelsen af de endelige bestemmelser, der fremgår af anden del, afsnit II, i forordning (EU) nr. 575/2013. </w:t>
      </w:r>
    </w:p>
    <w:p w14:paraId="2C643F4D" w14:textId="78EFAD2F" w:rsidR="00783881" w:rsidRPr="002A677E" w:rsidRDefault="008F3052" w:rsidP="00487A02">
      <w:pPr>
        <w:pStyle w:val="InstructionsText2"/>
        <w:numPr>
          <w:ilvl w:val="0"/>
          <w:numId w:val="0"/>
        </w:numPr>
        <w:ind w:left="1353" w:hanging="360"/>
      </w:pPr>
      <w:fldSimple w:instr=" seq paragraphs ">
        <w:r>
          <w:t>22</w:t>
        </w:r>
      </w:fldSimple>
      <w:r>
        <w:t>.</w:t>
      </w:r>
      <w:r>
        <w:tab/>
        <w:t>Institutterne skal i række 0060 til 0065 indberette oplysninger om overgangsbestemmelserne for instrumenter omfattet af overgangsbestemmelser ("grandfathered" instrumenter). De tal, der skal indberettes i række 0060 i CA5.1, afspejler overgangsbestemmelserne i forordning (EU) nr. 575/2013 i den udgave, der var gældende indtil den 26. juni 2019, og kan udledes af de respektive afsnit i CA5.2. Række 0061-0065 omhandler virkningen af overgangsbestemmelserne i artikel 494a og 494b i forordning (EU) nr. 575/2013.</w:t>
      </w:r>
    </w:p>
    <w:p w14:paraId="1CDD27F2" w14:textId="0BE2B501" w:rsidR="00496C53" w:rsidRPr="002A677E" w:rsidRDefault="008F3052" w:rsidP="00487A02">
      <w:pPr>
        <w:pStyle w:val="InstructionsText2"/>
        <w:numPr>
          <w:ilvl w:val="0"/>
          <w:numId w:val="0"/>
        </w:numPr>
        <w:ind w:left="1353" w:hanging="360"/>
      </w:pPr>
      <w:fldSimple w:instr=" seq paragraphs ">
        <w:r>
          <w:t>23</w:t>
        </w:r>
      </w:fldSimple>
      <w:r>
        <w:t>.</w:t>
      </w:r>
      <w:r>
        <w:tab/>
        <w:t>Institutterne skal i række 0070 til 0092 indberette oplysninger om overgangsbestemmelserne for minoritetsinteresser og hybride kernekapitalsinstrumenter og supplerende kapitalinstrumenter udstedt af datterselskaber (i henhold til artikel 479 og 480 i forordning (EU) nr. 575/2013).</w:t>
      </w:r>
    </w:p>
    <w:p w14:paraId="6B522084" w14:textId="77777777" w:rsidR="00783881" w:rsidRPr="002A677E" w:rsidRDefault="008F3052" w:rsidP="00487A02">
      <w:pPr>
        <w:pStyle w:val="InstructionsText2"/>
        <w:numPr>
          <w:ilvl w:val="0"/>
          <w:numId w:val="0"/>
        </w:numPr>
        <w:ind w:left="1353" w:hanging="360"/>
      </w:pPr>
      <w:fldSimple w:instr=" seq paragraphs ">
        <w:r>
          <w:t>24</w:t>
        </w:r>
      </w:fldSimple>
      <w:r>
        <w:t>.</w:t>
      </w:r>
      <w:r>
        <w:tab/>
        <w:t>Fra og med række 0100 skal institutterne indberette oplysninger om virkningen af overgangsbestemmelserne for urealiserede gevinster og tab, fradrag, supplerende filtre og fradrag samt IFRS 9.</w:t>
      </w:r>
    </w:p>
    <w:p w14:paraId="48B64B3C" w14:textId="77777777" w:rsidR="005643EA" w:rsidRPr="002A677E" w:rsidRDefault="008F3052" w:rsidP="00487A02">
      <w:pPr>
        <w:pStyle w:val="InstructionsText2"/>
        <w:numPr>
          <w:ilvl w:val="0"/>
          <w:numId w:val="0"/>
        </w:numPr>
        <w:ind w:left="1353" w:hanging="360"/>
      </w:pPr>
      <w:fldSimple w:instr=" seq paragraphs ">
        <w:r>
          <w:t>25</w:t>
        </w:r>
      </w:fldSimple>
      <w:r>
        <w:t>.</w:t>
      </w:r>
      <w:r>
        <w:tab/>
        <w:t xml:space="preserve">Der kan være tilfælde, hvor fradrag i den egentlige kernekapital, hybride kernekapital eller supplerende kapital i medfør af overgangsbestemmelser overstiger et instituts egentlige kernekapital, hybride kernekapital eller supplerende kapital. Denne konsekvens — hvis den er resultatet af overgangsbestemmelser — påvises i de relevante celler i CA1-skemaet. Som følge deraf omfatter justeringerne i </w:t>
      </w:r>
      <w:r>
        <w:lastRenderedPageBreak/>
        <w:t xml:space="preserve">CA5-skemaernes kolonner ikke afsmittende virkninger, hvis tilstrækkelig kapital ikke er tilgængelig. </w:t>
      </w:r>
    </w:p>
    <w:p w14:paraId="14710A33" w14:textId="37F001FA"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119059306"/>
      <w:r>
        <w:rPr>
          <w:rFonts w:ascii="Times New Roman" w:hAnsi="Times New Roman"/>
          <w:sz w:val="24"/>
        </w:rPr>
        <w:t>1.6.2.1</w:t>
      </w:r>
      <w:r>
        <w:tab/>
      </w:r>
      <w:r>
        <w:rPr>
          <w:rFonts w:ascii="Times New Roman" w:hAnsi="Times New Roman"/>
          <w:sz w:val="24"/>
        </w:rPr>
        <w:t>Instrukser vedrørende specifikke positioner</w:t>
      </w:r>
      <w:bookmarkEnd w:id="81"/>
      <w:bookmarkEnd w:id="82"/>
      <w:bookmarkEnd w:id="83"/>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t>Kolonner</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Justeringer af egentlig kernekapital</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Justeringer af hybrid kernekapital</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65ACA6E6"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Justeringer af supplerende kapital</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Justeringer af risikovægtede aktiver</w:t>
            </w:r>
          </w:p>
          <w:p w14:paraId="126FBA33" w14:textId="7B096A24" w:rsidR="005643EA" w:rsidRPr="002A677E" w:rsidRDefault="002648B0" w:rsidP="00487A02">
            <w:pPr>
              <w:pStyle w:val="InstructionsText"/>
              <w:rPr>
                <w:rStyle w:val="InstructionsTabelleText"/>
                <w:rFonts w:ascii="Times New Roman" w:hAnsi="Times New Roman"/>
                <w:sz w:val="24"/>
              </w:rPr>
            </w:pPr>
            <w:r>
              <w:t>Kolonne 0040 indeholder de relevante værdier og justerer den samlede risikoeksponering omhandlet i artikel 92, stk. 3, i forordning (EU) nr. 575/2013 som følge af overgangsbestemmelser.</w:t>
            </w:r>
            <w:r>
              <w:rPr>
                <w:rStyle w:val="InstructionsTabelleText"/>
                <w:rFonts w:ascii="Times New Roman" w:hAnsi="Times New Roman"/>
                <w:sz w:val="24"/>
              </w:rPr>
              <w:t xml:space="preserve"> </w:t>
            </w:r>
            <w:r>
              <w:t>De indberettede beløb skal tage højde for anvendelsen af bestemmelserne i tredje del, afsnit II, kapitel 2 eller 3, eller af tredje del, afsnit IV, i overensstemmelse med artikel 92, stk. 4, i forordning (EU) nr. 575/2013.</w:t>
            </w:r>
            <w:r>
              <w:rPr>
                <w:rStyle w:val="InstructionsTabelleText"/>
                <w:rFonts w:ascii="Times New Roman" w:hAnsi="Times New Roman"/>
                <w:sz w:val="24"/>
              </w:rPr>
              <w:t xml:space="preserve"> Dette betyder, at overgangsbeløb, der er omfattet af tredje del, afsnit II, kapitel 2 eller 3, skal indberettes som risikovægtede eksponeringer, mens overgangsbeløb, der er omfattet af bestemmelserne i tredje del, afsnit IV, skal repræsentere kapitalgrundlagskravene ganget med 12,5.</w:t>
            </w:r>
          </w:p>
          <w:p w14:paraId="6346EC40" w14:textId="77777777" w:rsidR="005643EA" w:rsidRPr="002A677E"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Mens kolonne 0010 til 0030 har et direkte link til CA1-skemaet, er der ikke et direkte link mellem justeringerne af den samlede risikoeksponering og de relevante skemaer for kreditrisiko. Hvis der foretages justeringer som følge af overgangsbestemmelserne af den samlede risikoeksponering, indsættes disse justeringer direkte i CR SA, CR IRB, CR EQU IRB, MKR SA TDI, MKR SA EQU eller MKR IM. Disse virkninger indberettes endvidere i kolonne 0040 i CA5.1. Disse beløb er derfor kun memorandumposter.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Relevant procentdel</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Kvalificeret beløb uden overgangsbestemmelser</w:t>
            </w:r>
          </w:p>
          <w:p w14:paraId="44945C12" w14:textId="77777777" w:rsidR="005643EA"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Denne kolonne indeholder beløbet for hvert instrument inden anvendelsen af overgangsbestemmelser, dvs. det grundbeløb, der bruges ved beregning af justeringerne.</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t>Rækker</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Samlede justeringer</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Denne række afspejler den samlede virkning af overgangsjusteringerne af de forskellige kapitaltyper plus de risikovægtede beløb, der følger af disse justeringer.</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Instrumenter, der er omfattet af overgangsbestemmelser</w:t>
            </w:r>
          </w:p>
          <w:p w14:paraId="31C271FA" w14:textId="06C8CFEF" w:rsidR="002648B0" w:rsidRPr="001235ED" w:rsidRDefault="002648B0" w:rsidP="007106FB">
            <w:pPr>
              <w:spacing w:before="0"/>
              <w:rPr>
                <w:rStyle w:val="InstructionsTabelleText"/>
                <w:rFonts w:ascii="Times New Roman" w:hAnsi="Times New Roman"/>
                <w:sz w:val="24"/>
              </w:rPr>
            </w:pPr>
            <w:r>
              <w:rPr>
                <w:rFonts w:ascii="Times New Roman" w:hAnsi="Times New Roman"/>
                <w:sz w:val="24"/>
              </w:rPr>
              <w:t>Artikel 483-491 i forordning (EU) nr. 575/2013</w:t>
            </w:r>
          </w:p>
          <w:p w14:paraId="0B9B5A4B" w14:textId="77777777" w:rsidR="002648B0" w:rsidRPr="002A677E"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Denne række afspejler den samlede virkning af instrumenter, der er omfattet af overgangsbestemmelser for de forskellige kapitaltyper.</w:t>
            </w:r>
          </w:p>
        </w:tc>
      </w:tr>
      <w:tr w:rsidR="002648B0" w:rsidRPr="002A677E" w14:paraId="0CE0E39F" w14:textId="77777777" w:rsidTr="00672D2A">
        <w:tc>
          <w:tcPr>
            <w:tcW w:w="1012" w:type="dxa"/>
          </w:tcPr>
          <w:p w14:paraId="72AD3E7C"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Instrumenter, der ikke udgør statsstøtte</w:t>
            </w:r>
          </w:p>
          <w:p w14:paraId="5434E924" w14:textId="640D0C27" w:rsidR="002648B0" w:rsidRPr="002A677E" w:rsidRDefault="002648B0" w:rsidP="00F834C3">
            <w:pPr>
              <w:spacing w:before="0"/>
              <w:rPr>
                <w:rFonts w:ascii="Times New Roman" w:hAnsi="Times New Roman"/>
                <w:b/>
                <w:bCs/>
                <w:sz w:val="24"/>
              </w:rPr>
            </w:pPr>
            <w:r>
              <w:rPr>
                <w:rStyle w:val="InstructionsTabelleText"/>
                <w:rFonts w:ascii="Times New Roman" w:hAnsi="Times New Roman"/>
                <w:sz w:val="24"/>
              </w:rPr>
              <w:t>De indberettede beløb hentes fra kolonne 060 i CA5.2-skemaet</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Instrumenter, der er udstedt gennem special purpose vehicles</w:t>
            </w:r>
          </w:p>
          <w:p w14:paraId="1A210662" w14:textId="60DDB7AC" w:rsidR="00BF0637" w:rsidRPr="002A677E" w:rsidRDefault="00BF0637" w:rsidP="00BF0637">
            <w:pPr>
              <w:spacing w:before="0"/>
              <w:rPr>
                <w:rStyle w:val="InstructionsTabelleberschrift"/>
                <w:rFonts w:ascii="Times New Roman" w:hAnsi="Times New Roman"/>
                <w:sz w:val="24"/>
              </w:rPr>
            </w:pPr>
            <w:r>
              <w:rPr>
                <w:rFonts w:ascii="Times New Roman" w:hAnsi="Times New Roman"/>
                <w:sz w:val="24"/>
              </w:rPr>
              <w:t>Artikel 494a i forordning (EU) nr. 575/2013</w:t>
            </w:r>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67BC39BA" w14:textId="34DC3600"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Instrumenter, der er udstedt før den 27. juni 2019, og som ikke opfylder anerkendelseskriterierne for beføjelser til at nedskrive eller konvertere i henhold til artikel 59 i direktiv 2014/59/EU eller er omfattet af aftaler om modregning eller nettingaftaler</w:t>
            </w:r>
          </w:p>
          <w:p w14:paraId="3AFF70BC" w14:textId="7F1062C8"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Artikel 494b i forordning (EU) nr. 575/2013</w:t>
            </w:r>
          </w:p>
          <w:p w14:paraId="74949FCE" w14:textId="36BB80B1"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Institutterne skal indberette værdien af instrumenter, der er omfattet af artikel 494b i forordning (EU) nr. 575/2013, og som ikke opfylder et eller flere anerkendelseskriterier i artikel 52, stk. 1, litra p), q) og r), i nævnte forordning eller artikel 63, litra n), o) og p), i nævnte forordning, alt efter hvad der er relevant.</w:t>
            </w:r>
          </w:p>
          <w:p w14:paraId="04C394EE" w14:textId="18D0E93E"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I tilfælde af supplerende kapitalinstrumenter, der er anerkendt i henhold til artikel 494b, stk. 2, i forordning (EU) nr. 575/2013, skal kravene med hensyn til amortisering i artikel 64 i nævnte forordning overholdes.</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09AA6251" w14:textId="15822EE9"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Heraf: instrumenter uden retligt bindende eller kontraktligt ufravigelig nedskrivning eller konvertering ved udøvelsen af beføjelserne i artikel 59 i direktiv 2014/59/EU</w:t>
            </w:r>
          </w:p>
          <w:p w14:paraId="688A6549" w14:textId="26B7F996" w:rsidR="00BF0637" w:rsidRPr="002A677E" w:rsidRDefault="0044539D" w:rsidP="00BF0637">
            <w:pPr>
              <w:spacing w:before="0"/>
              <w:rPr>
                <w:rStyle w:val="InstructionsTabelleberschrift"/>
                <w:rFonts w:ascii="Times New Roman" w:hAnsi="Times New Roman"/>
                <w:b w:val="0"/>
                <w:sz w:val="24"/>
                <w:u w:val="none"/>
              </w:rPr>
            </w:pPr>
            <w:r>
              <w:rPr>
                <w:rFonts w:ascii="Times New Roman" w:hAnsi="Times New Roman"/>
                <w:sz w:val="24"/>
              </w:rPr>
              <w:t>Artikel 494b, artikel 52, stk. 1, litra p), artikel 63, litra n), i forordning (EU) nr. 575/2013</w:t>
            </w:r>
          </w:p>
          <w:p w14:paraId="205C93A3" w14:textId="40E669A6"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Institutterne skal indberette værdien af instrumenter, der er omfattet af artikel 494b i forordning (EU) nr. 575/2013, og som ikke opfylder et eller flere anerkendelseskriterier i artikel 52, stk. 1, litra p), i nævnte forordning eller artikel 63, litra n), i nævnte forordning, alt efter hvad der er relevant.</w:t>
            </w:r>
          </w:p>
          <w:p w14:paraId="1A98A032" w14:textId="0B5D07AE"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Dette omfatter også instrumenter, der derudover ikke opfylder anerkendelseskriterierne i artikel 52, stk. 1, litra q) eller r), i forordning (EU) nr. 575/2013 eller i givet fald artikel 63, litra o) eller p), i nævnte forordning.</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5E879C5C" w14:textId="018384B5"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Heraf: instrumenter, der er underlagt lovgivning i et tredjeland uden effektiv udøvelse og håndhævelse af beføjelserne i artikel 59 i direktiv 2014/59/EU</w:t>
            </w:r>
          </w:p>
          <w:p w14:paraId="138666DE" w14:textId="21561AC2"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Artikel 494b, artikel 52, stk. 1, litra q), artikel 63, litra o), i forordning (EU) nr. 575/2013</w:t>
            </w:r>
          </w:p>
          <w:p w14:paraId="26250647" w14:textId="65E71007"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Institutterne skal indberette værdien af instrumenter, der er omfattet af artikel 494b i forordning (EU) nr. 575/2013, og som ikke opfylder et eller flere anerkendelseskriterier i artikel 52, stk. 1, litra q), i nævnte forordning eller artikel 63, litra o), i nævnte forordning, alt efter hvad der er relevant.</w:t>
            </w:r>
          </w:p>
          <w:p w14:paraId="756E8B09" w14:textId="7D069E82"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Dette omfatter også instrumenter, der derudover ikke opfylder anerkendelseskriterierne i artikel 52, stk. 1, litra p) eller r), i forordning (EU) nr. 575/2013 eller i givet fald artikel 63, litra n) eller p), i nævnte forordning.</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Heraf: instrumenter der er omfattet af aftaler om modregning eller nettingaftaler</w:t>
            </w:r>
          </w:p>
          <w:p w14:paraId="26F51056" w14:textId="551CC720" w:rsidR="00BF0637" w:rsidRPr="002A677E" w:rsidRDefault="00533D84" w:rsidP="00BF0637">
            <w:pPr>
              <w:spacing w:before="0"/>
              <w:rPr>
                <w:rStyle w:val="InstructionsTabelleberschrift"/>
                <w:rFonts w:ascii="Times New Roman" w:hAnsi="Times New Roman"/>
                <w:b w:val="0"/>
                <w:sz w:val="24"/>
                <w:u w:val="none"/>
              </w:rPr>
            </w:pPr>
            <w:r>
              <w:rPr>
                <w:rFonts w:ascii="Times New Roman" w:hAnsi="Times New Roman"/>
                <w:sz w:val="24"/>
              </w:rPr>
              <w:t>Artikel 494b, artikel 52, stk. 1, litra r), artikel 63, litra p), i forordning (EU) nr. 575/2013</w:t>
            </w:r>
          </w:p>
          <w:p w14:paraId="228071E2" w14:textId="777AA27A"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Institutterne skal indberette værdien af instrumenter, der er omfattet af artikel 494b i forordning (EU) nr. 575/2013, og som ikke opfylder et eller flere anerkendelseskriterier i artikel 52, stk. 1, litra r), i nævnte forordning eller artikel 63, litra p), i nævnte forordning, alt efter hvad der er relevant.</w:t>
            </w:r>
          </w:p>
          <w:p w14:paraId="349DBF3F" w14:textId="3C3D5600"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Dette omfatter også instrumenter, der derudover ikke opfylder anerkendelseskriterierne i artikel 52, stk. 1, litra p) eller q), i forordning (EU) nr. 575/2013 eller i givet fald artikel 63, litra n) eller o), i nævnte forordning.</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Minoritetsinteresser og ækvivalenter</w:t>
            </w:r>
          </w:p>
          <w:p w14:paraId="463F1E68" w14:textId="5BA82046" w:rsidR="00BF0637" w:rsidRPr="001235ED" w:rsidRDefault="00BF0637" w:rsidP="00BF0637">
            <w:pPr>
              <w:spacing w:before="0"/>
              <w:rPr>
                <w:rStyle w:val="InstructionsTabelleText"/>
                <w:rFonts w:ascii="Times New Roman" w:hAnsi="Times New Roman"/>
                <w:sz w:val="24"/>
              </w:rPr>
            </w:pPr>
            <w:r>
              <w:rPr>
                <w:rFonts w:ascii="Times New Roman" w:hAnsi="Times New Roman"/>
                <w:sz w:val="24"/>
              </w:rPr>
              <w:t>Artikel 479 og 480 i forordning (EU) nr. 575/2013</w:t>
            </w:r>
          </w:p>
          <w:p w14:paraId="7E7E673A"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Denne række afspejler virkningerne af overgangsbestemmelser for minoritetsinteresser, der er kvalificeret som egentlig kernekapital, kvalificerende kernekapitalinstrumenter, der er kvalificeret som konsolideret hybrid kernekapital, og det kvalificerende kapitalgrundlag, der er kvalificeret som konsolideret supplerende kapital.</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Kapitalinstrumenter og poster, der ikke er kvalificeret som minoritetsinteresser</w:t>
            </w:r>
          </w:p>
          <w:p w14:paraId="29374C1D" w14:textId="5BEB110B" w:rsidR="00BF0637" w:rsidRPr="002A677E" w:rsidRDefault="00BF0637" w:rsidP="00487A02">
            <w:pPr>
              <w:pStyle w:val="InstructionsText"/>
              <w:rPr>
                <w:rStyle w:val="InstructionsTabelleText"/>
                <w:rFonts w:ascii="Times New Roman" w:hAnsi="Times New Roman"/>
                <w:bCs/>
                <w:sz w:val="24"/>
              </w:rPr>
            </w:pPr>
            <w:r>
              <w:t>Artikel 479 i forordning (EU) nr. 575/2013</w:t>
            </w:r>
          </w:p>
          <w:p w14:paraId="496FB86C" w14:textId="77777777"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Det beløb, der skal indberettes i kolonne 060 i denne række, er det beløb, der er kvalificeret som konsoliderede hensættelser i henhold til de tidligere regler.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Indregning af minoritetsinteresser i det konsoliderede kapitalgrundlag i henhold til overgangsbestemmelser</w:t>
            </w:r>
          </w:p>
          <w:p w14:paraId="768DEBF4" w14:textId="63F9B740" w:rsidR="00BF0637" w:rsidRPr="002A677E" w:rsidRDefault="00BF0637" w:rsidP="00487A02">
            <w:pPr>
              <w:pStyle w:val="InstructionsText"/>
              <w:rPr>
                <w:rStyle w:val="InstructionsTabelleText"/>
                <w:rFonts w:ascii="Times New Roman" w:hAnsi="Times New Roman"/>
                <w:sz w:val="24"/>
              </w:rPr>
            </w:pPr>
            <w:r>
              <w:t>Artikel 84 og 480 i forordning (EU) nr. 575/2013</w:t>
            </w:r>
          </w:p>
          <w:p w14:paraId="3DA1F071" w14:textId="77777777" w:rsidR="00BF0637" w:rsidRPr="002A677E"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Det beløb, der skal indberettes i kolonne 0060 i denne række, er det kvalificerede beløb uden overgangsbestemmelser.</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Indregning af kvalificerende hybrid kernekapital i det konsoliderede kapitalgrundlag i henhold til overgangsbestemmelser</w:t>
            </w:r>
          </w:p>
          <w:p w14:paraId="785C1131" w14:textId="7DF7ED6F" w:rsidR="00BF0637" w:rsidRPr="002A677E" w:rsidRDefault="00BF0637" w:rsidP="00487A02">
            <w:pPr>
              <w:pStyle w:val="InstructionsText"/>
              <w:rPr>
                <w:rStyle w:val="InstructionsTabelleText"/>
                <w:rFonts w:ascii="Times New Roman" w:hAnsi="Times New Roman"/>
                <w:sz w:val="24"/>
              </w:rPr>
            </w:pPr>
            <w:r>
              <w:t>Artikel 85 og 480 i forordning (EU) nr. 575/2013</w:t>
            </w:r>
          </w:p>
          <w:p w14:paraId="7F0C8E9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Det beløb, der skal indberettes i kolonne 0060 i denne række, er det kvalificerede beløb uden overgangsbestemmelser.</w:t>
            </w:r>
          </w:p>
        </w:tc>
      </w:tr>
      <w:tr w:rsidR="00BF0637" w:rsidRPr="002A677E" w14:paraId="7F090363" w14:textId="77777777" w:rsidTr="00672D2A">
        <w:tc>
          <w:tcPr>
            <w:tcW w:w="1012" w:type="dxa"/>
          </w:tcPr>
          <w:p w14:paraId="38D1899C"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9990055"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Indregning af kvalificerende supplerende kapital i det konsoliderede kapitalgrundlag i henhold til overgangsbestemmelser</w:t>
            </w:r>
          </w:p>
          <w:p w14:paraId="5DAEB4D6" w14:textId="2B5CBDB3" w:rsidR="00BF0637" w:rsidRPr="002A677E" w:rsidRDefault="00BF0637" w:rsidP="00487A02">
            <w:pPr>
              <w:pStyle w:val="InstructionsText"/>
              <w:rPr>
                <w:rStyle w:val="InstructionsTabelleText"/>
                <w:rFonts w:ascii="Times New Roman" w:hAnsi="Times New Roman"/>
                <w:sz w:val="24"/>
              </w:rPr>
            </w:pPr>
            <w:r>
              <w:t>Artikel 87 og 480 i forordning (EU) nr. 575/2013</w:t>
            </w:r>
          </w:p>
          <w:p w14:paraId="125C6E88"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Det beløb, der skal indberettes i kolonne 0060 i denne række, er det kvalificerede beløb uden overgangsbestemmelser.</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Andre overgangsjusteringer</w:t>
            </w:r>
          </w:p>
          <w:p w14:paraId="28576D7B" w14:textId="1FE657F7" w:rsidR="00BF0637" w:rsidRPr="001235ED" w:rsidRDefault="00BF0637" w:rsidP="00BF0637">
            <w:pPr>
              <w:spacing w:before="0"/>
              <w:rPr>
                <w:rStyle w:val="InstructionsTabelleText"/>
                <w:rFonts w:ascii="Times New Roman" w:hAnsi="Times New Roman"/>
                <w:sz w:val="24"/>
              </w:rPr>
            </w:pPr>
            <w:r>
              <w:rPr>
                <w:rFonts w:ascii="Times New Roman" w:hAnsi="Times New Roman"/>
                <w:sz w:val="24"/>
              </w:rPr>
              <w:t>Artikel 468-478 og artikel 481 i forordning (EU) nr. 575/2013</w:t>
            </w:r>
          </w:p>
          <w:p w14:paraId="3D0FD217"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lastRenderedPageBreak/>
              <w:t>Denne række afspejler den samlede virkning af overgangsjusteringerne af fradraget i de forskellige kapitaltyper, urealiserede gevinster og tab, supplerende filtre og fradrag plus de risikovægtede beløb, der følger af disse justeringer.</w:t>
            </w:r>
          </w:p>
        </w:tc>
      </w:tr>
      <w:tr w:rsidR="00FA67D6" w:rsidRPr="002A677E" w14:paraId="1B784F69" w14:textId="77777777" w:rsidTr="00672D2A">
        <w:tc>
          <w:tcPr>
            <w:tcW w:w="1012" w:type="dxa"/>
          </w:tcPr>
          <w:p w14:paraId="251D579C"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Urealiserede gevinster og tab på visse gældseksponeringer over for centralregeringer, regionale regeringer, lokale myndigheder og offentlige enheder</w:t>
            </w:r>
          </w:p>
          <w:p w14:paraId="0C5B0916" w14:textId="62C973B3" w:rsidR="00FA67D6" w:rsidRPr="002A677E" w:rsidRDefault="00FA67D6" w:rsidP="00487A02">
            <w:pPr>
              <w:pStyle w:val="InstructionsText"/>
              <w:rPr>
                <w:rStyle w:val="InstructionsTabelleberschrift"/>
                <w:rFonts w:ascii="Times New Roman" w:hAnsi="Times New Roman"/>
                <w:sz w:val="24"/>
              </w:rPr>
            </w:pPr>
            <w:r>
              <w:t>Artikel 468 i forordning (EU) nr. 575/2013</w:t>
            </w:r>
          </w:p>
        </w:tc>
      </w:tr>
      <w:tr w:rsidR="00FA67D6" w:rsidRPr="002A677E" w14:paraId="43CE3069" w14:textId="77777777" w:rsidTr="00672D2A">
        <w:tc>
          <w:tcPr>
            <w:tcW w:w="1012" w:type="dxa"/>
          </w:tcPr>
          <w:p w14:paraId="718B2E62"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Heraf: beløb A</w:t>
            </w:r>
          </w:p>
          <w:p w14:paraId="45720F9F" w14:textId="6568731D" w:rsidR="00FA67D6" w:rsidRPr="002A677E" w:rsidRDefault="00FA67D6" w:rsidP="00C3220C">
            <w:pPr>
              <w:pStyle w:val="InstructionsText"/>
              <w:rPr>
                <w:rStyle w:val="InstructionsTabelleberschrift"/>
                <w:rFonts w:ascii="Times New Roman" w:hAnsi="Times New Roman"/>
                <w:sz w:val="24"/>
                <w:u w:val="none"/>
              </w:rPr>
            </w:pPr>
            <w:r>
              <w:t>Beløbet A beregnet i overensstemmelse med den formel, der er omhandlet i artikel 468, stk. 1, i forordning (EU) nr. 575/2013.</w:t>
            </w:r>
          </w:p>
        </w:tc>
      </w:tr>
      <w:tr w:rsidR="00BF0637" w:rsidRPr="002A677E" w14:paraId="721940B4" w14:textId="77777777" w:rsidTr="00672D2A">
        <w:tc>
          <w:tcPr>
            <w:tcW w:w="1012" w:type="dxa"/>
          </w:tcPr>
          <w:p w14:paraId="58240A5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9AD1EB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Fradrag</w:t>
            </w:r>
          </w:p>
          <w:p w14:paraId="01804965" w14:textId="73151E9C" w:rsidR="00BF0637" w:rsidRPr="001235ED" w:rsidRDefault="00BF0637" w:rsidP="00BF0637">
            <w:pPr>
              <w:spacing w:before="0"/>
              <w:rPr>
                <w:rStyle w:val="InstructionsTabelleText"/>
                <w:rFonts w:ascii="Times New Roman" w:hAnsi="Times New Roman"/>
                <w:sz w:val="24"/>
              </w:rPr>
            </w:pPr>
            <w:r>
              <w:rPr>
                <w:rFonts w:ascii="Times New Roman" w:hAnsi="Times New Roman"/>
                <w:sz w:val="24"/>
              </w:rPr>
              <w:t>Artikel 36, stk. 1, og artikel 469-478 i forordning (EU) nr. 575/2013</w:t>
            </w:r>
          </w:p>
          <w:p w14:paraId="318C655C"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Denne række afspejler den samlede virkning af overgangsbestemmelser vedrørende fradrag.</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Udskudte skatteaktiver, som afhænger af fremtidig rentabilitet og ikke skyldes midlertidige forskelle</w:t>
            </w:r>
          </w:p>
          <w:p w14:paraId="34284203" w14:textId="2D520E5B" w:rsidR="00BF0637" w:rsidRPr="002A677E" w:rsidRDefault="00BF0637" w:rsidP="00487A02">
            <w:pPr>
              <w:pStyle w:val="InstructionsText"/>
              <w:rPr>
                <w:rStyle w:val="InstructionsTabelleText"/>
                <w:rFonts w:ascii="Times New Roman" w:hAnsi="Times New Roman"/>
                <w:sz w:val="24"/>
              </w:rPr>
            </w:pPr>
            <w:r>
              <w:t>Artikel 36, stk. 1, litra c), artikel 469, stk. 1, artikel 472, stk. 5, og artikel 478 i forordning (EU) nr. 575/2013</w:t>
            </w:r>
          </w:p>
          <w:p w14:paraId="0779310E" w14:textId="5A5D5218" w:rsidR="00BF0637" w:rsidRPr="002A677E" w:rsidRDefault="00BF0637" w:rsidP="00487A02">
            <w:pPr>
              <w:pStyle w:val="InstructionsText"/>
              <w:rPr>
                <w:rStyle w:val="InstructionsTabelleText"/>
                <w:rFonts w:ascii="Times New Roman" w:hAnsi="Times New Roman"/>
                <w:sz w:val="24"/>
              </w:rPr>
            </w:pPr>
            <w:r>
              <w:t>Når institutter fastsætter værdien af ovennævnte udskudte skatteaktiver, som skal fratrækkes, skal de anvende bestemmelserne i artikel 38 i forordning (EU) nr. 575/2013 vedrørende reduktion af udskudte skatteaktiver med udskudte skatteforpligtelser.</w:t>
            </w:r>
          </w:p>
          <w:p w14:paraId="4F5B8FE5" w14:textId="7C4746C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I kolonne 0060 i denne række indberettes: </w:t>
            </w:r>
            <w:r>
              <w:t>det samlede beløb i henhold til artikel 469, stk. 1, i forordning (EU) nr. 575/2013</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1B2B514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Udskudte skatteaktiver, som afhænger af fremtidig rentabilitet og skyldes midlertidige forskelle, og egentlige kernekapitalinstrumenter i enheder i den finansielle sektor, hvori instituttet har væsentlige investeringer</w:t>
            </w:r>
          </w:p>
          <w:p w14:paraId="67D916A8" w14:textId="79CA89C9" w:rsidR="00BF0637" w:rsidRPr="002A677E" w:rsidRDefault="00BF0637" w:rsidP="00487A02">
            <w:pPr>
              <w:pStyle w:val="InstructionsText"/>
              <w:rPr>
                <w:rStyle w:val="InstructionsTabelleText"/>
                <w:rFonts w:ascii="Times New Roman" w:hAnsi="Times New Roman"/>
                <w:sz w:val="24"/>
              </w:rPr>
            </w:pPr>
            <w:r>
              <w:t>Artikel 470, 2 og 3, i forordning (EU) nr. 575/2013</w:t>
            </w:r>
          </w:p>
          <w:p w14:paraId="0E472864" w14:textId="6A14E39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I kolonne 0060 i denne række indberettes: </w:t>
            </w:r>
            <w:r>
              <w:t>Artikel 470, stk. 1, i forordning (EU) nr. 575/2013</w:t>
            </w:r>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Udskudte skatteaktiver, som afhænger af fremtidig rentabilitet og skyldes midlertidige forskelle</w:t>
            </w:r>
          </w:p>
          <w:p w14:paraId="1473C6AA" w14:textId="6D1B258E" w:rsidR="00BF0637" w:rsidRPr="002A677E" w:rsidRDefault="00BF0637" w:rsidP="00487A02">
            <w:pPr>
              <w:pStyle w:val="InstructionsText"/>
              <w:rPr>
                <w:rStyle w:val="InstructionsTabelleText"/>
                <w:rFonts w:ascii="Times New Roman" w:hAnsi="Times New Roman"/>
                <w:bCs/>
                <w:sz w:val="24"/>
              </w:rPr>
            </w:pPr>
            <w:r>
              <w:t>Artikel 469, stk. 1, litra c), artikel 472, stk. 5, og artikel 478 i forordning (EU) nr. 575/2013</w:t>
            </w:r>
          </w:p>
          <w:p w14:paraId="38991D1C" w14:textId="19C242AD" w:rsidR="00BF0637" w:rsidRPr="002A677E" w:rsidRDefault="00BF0637" w:rsidP="00F217D5">
            <w:pPr>
              <w:pStyle w:val="InstructionsText"/>
              <w:rPr>
                <w:rStyle w:val="InstructionsTabelleberschrift"/>
                <w:rFonts w:ascii="Times New Roman" w:hAnsi="Times New Roman"/>
                <w:b w:val="0"/>
                <w:sz w:val="24"/>
                <w:u w:val="none"/>
              </w:rPr>
            </w:pPr>
            <w:r>
              <w:t>Del af udskudte skatteaktiver, som afhænger af fremtidig rentabilitet og skyldes midlertidige forskelle, der overstiger tærsklen på 10 % i artikel 470, stk. 2, litra a), i forordning (EU) nr. 575/2013.</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Undtagelser fra fradrag af aktiebeholdninger i forsikringsselskaber fra egentlige kernekapitalposter</w:t>
            </w:r>
          </w:p>
          <w:p w14:paraId="3A7DB6E8" w14:textId="5A04C5CB" w:rsidR="00BF0637" w:rsidRPr="002A677E" w:rsidRDefault="00BF0637" w:rsidP="00487A02">
            <w:pPr>
              <w:pStyle w:val="InstructionsText"/>
              <w:rPr>
                <w:rStyle w:val="InstructionsTabelleberschrift"/>
                <w:rFonts w:ascii="Times New Roman" w:hAnsi="Times New Roman"/>
                <w:b w:val="0"/>
                <w:sz w:val="24"/>
                <w:u w:val="none"/>
              </w:rPr>
            </w:pPr>
            <w:r>
              <w:lastRenderedPageBreak/>
              <w:t>Artikel 471 i forordning (EU) nr. 575/2013</w:t>
            </w:r>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Supplerende filtre og fradrag</w:t>
            </w:r>
          </w:p>
          <w:p w14:paraId="523DF61B" w14:textId="0424F5FC" w:rsidR="00BF0637" w:rsidRPr="001235ED" w:rsidRDefault="00BF0637" w:rsidP="00BF0637">
            <w:pPr>
              <w:spacing w:before="0"/>
              <w:rPr>
                <w:rStyle w:val="InstructionsTabelleText"/>
                <w:rFonts w:ascii="Times New Roman" w:hAnsi="Times New Roman"/>
                <w:sz w:val="24"/>
              </w:rPr>
            </w:pPr>
            <w:r>
              <w:rPr>
                <w:rFonts w:ascii="Times New Roman" w:hAnsi="Times New Roman"/>
                <w:sz w:val="24"/>
              </w:rPr>
              <w:t>Artikel 481 i forordning (EU) nr. 575/2013</w:t>
            </w:r>
          </w:p>
          <w:p w14:paraId="2E1738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Denne række afspejler den samlede virkning af overgangsbestemmelser vedrørende filtre og fradrag.</w:t>
            </w:r>
          </w:p>
          <w:p w14:paraId="4BED1B99" w14:textId="18FD73FB" w:rsidR="00BF0637" w:rsidRPr="002A677E" w:rsidRDefault="00BF0637" w:rsidP="00487A02">
            <w:pPr>
              <w:pStyle w:val="InstructionsText"/>
              <w:rPr>
                <w:rStyle w:val="InstructionsTabelleText"/>
                <w:rFonts w:ascii="Times New Roman" w:hAnsi="Times New Roman"/>
                <w:sz w:val="24"/>
              </w:rPr>
            </w:pPr>
            <w:r>
              <w:t>Ifølge artikel 481 i forordning (EU) nr. 575/2013 skal institutter i post 1.3.3 indberette oplysninger vedrørende de filtre eller fradrag, der kræves i henhold til nationale gennemførelsesforanstaltninger til artikel 57 og 66 i direktiv 2006/48/EF og artikel 13 og 16 i direktiv 2006/49/EF, og som ikke kræves i henhold til anden del.</w:t>
            </w:r>
            <w:r>
              <w:rPr>
                <w:rStyle w:val="InstructionsTabelleText"/>
                <w:rFonts w:ascii="Times New Roman" w:hAnsi="Times New Roman"/>
                <w:sz w:val="24"/>
              </w:rPr>
              <w:t xml:space="preserve">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14:paraId="3AD12E16"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Justeringer som følge af IFRS 9-overgangsordninger</w:t>
            </w:r>
          </w:p>
          <w:p w14:paraId="05E1DB29" w14:textId="4E5716D6" w:rsidR="00BF0637" w:rsidRPr="002A677E" w:rsidRDefault="00BF0637" w:rsidP="00487A02">
            <w:pPr>
              <w:pStyle w:val="InstructionsText"/>
              <w:rPr>
                <w:rStyle w:val="InstructionsTabelleberschrift"/>
                <w:rFonts w:ascii="Times New Roman" w:hAnsi="Times New Roman"/>
                <w:b w:val="0"/>
                <w:sz w:val="24"/>
                <w:u w:val="none"/>
              </w:rPr>
            </w:pPr>
            <w:r>
              <w:t>Artikel 473a i forordning (EU) nr. 575/2013</w:t>
            </w:r>
          </w:p>
          <w:p w14:paraId="44A16D37" w14:textId="77777777"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Institutterne skal indberette oplysninger vedrørende overgangsordninger som følge af IFRS 9 i overensstemmelse med gældende lovbestemmelser.</w:t>
            </w:r>
          </w:p>
        </w:tc>
      </w:tr>
      <w:tr w:rsidR="0022311E" w:rsidRPr="002A677E" w14:paraId="5DD67688" w14:textId="77777777" w:rsidTr="001F1B80">
        <w:tc>
          <w:tcPr>
            <w:tcW w:w="1012" w:type="dxa"/>
          </w:tcPr>
          <w:p w14:paraId="76351CEF"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 Indvirkningen af det forventede kredittab på den statiske komponent</w:t>
            </w:r>
          </w:p>
          <w:p w14:paraId="21156AFC" w14:textId="7E13E17C" w:rsidR="0022311E" w:rsidRPr="002A677E" w:rsidRDefault="0022311E" w:rsidP="001F1B80">
            <w:pPr>
              <w:pStyle w:val="InstructionsText"/>
              <w:rPr>
                <w:rStyle w:val="InstructionsTabelleberschrift"/>
                <w:rFonts w:ascii="Times New Roman" w:hAnsi="Times New Roman"/>
                <w:b w:val="0"/>
                <w:sz w:val="24"/>
                <w:u w:val="none"/>
              </w:rPr>
            </w:pPr>
            <w:r>
              <w:t>Summen af A2,SA og A2, IRB som omhandlet i artikel 473a, stk. 1, i forordning (EU) nr. 575/2013.</w:t>
            </w:r>
          </w:p>
          <w:p w14:paraId="4DB6187E" w14:textId="5F19F39E" w:rsidR="0022311E" w:rsidRPr="002A677E" w:rsidRDefault="0022311E" w:rsidP="00F217D5">
            <w:pPr>
              <w:pStyle w:val="InstructionsText"/>
              <w:rPr>
                <w:rStyle w:val="InstructionsTabelleberschrift"/>
                <w:rFonts w:ascii="Times New Roman" w:hAnsi="Times New Roman"/>
                <w:b w:val="0"/>
                <w:sz w:val="24"/>
                <w:u w:val="none"/>
              </w:rPr>
            </w:pPr>
            <w:r>
              <w:t>For A</w:t>
            </w:r>
            <w:r>
              <w:rPr>
                <w:vertAlign w:val="subscript"/>
              </w:rPr>
              <w:t>2, IRB</w:t>
            </w:r>
            <w:r>
              <w:t xml:space="preserve"> er det indberettede beløb nettobeløbet for de forventede tab som krævet i henhold til artikel 473a, stk. 5, litra a), i forordning (EU) nr. 575/2013.</w:t>
            </w:r>
          </w:p>
        </w:tc>
      </w:tr>
      <w:tr w:rsidR="0022311E" w:rsidRPr="002A677E" w14:paraId="018DAC58" w14:textId="77777777" w:rsidTr="001F1B80">
        <w:tc>
          <w:tcPr>
            <w:tcW w:w="1012" w:type="dxa"/>
          </w:tcPr>
          <w:p w14:paraId="078E3AAB"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14:paraId="766D5DE0"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 Indvirkningen af det forventede kredittab på den dynamiske komponent i perioden 1/1/2018-31/12/2019</w:t>
            </w:r>
          </w:p>
          <w:p w14:paraId="5CB75D93" w14:textId="1A35DB9C" w:rsidR="0022311E" w:rsidRPr="002A677E"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Summen af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og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t xml:space="preserve"> som omhandlet i artikel 473a, stk. 1, i forordning (EU) nr. 575/2013 </w:t>
            </w:r>
          </w:p>
        </w:tc>
      </w:tr>
      <w:tr w:rsidR="0022311E" w:rsidRPr="002A677E" w14:paraId="551557EF" w14:textId="77777777" w:rsidTr="001F1B80">
        <w:tc>
          <w:tcPr>
            <w:tcW w:w="1012" w:type="dxa"/>
          </w:tcPr>
          <w:p w14:paraId="33195A93"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14:paraId="6EB4927E"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 Indvirkningen af det forventede kredittab på den dynamiske komponent fra den 1/1/2020</w:t>
            </w:r>
          </w:p>
          <w:p w14:paraId="2064CFFE" w14:textId="529D4DA3" w:rsidR="0022311E" w:rsidRPr="002A677E" w:rsidRDefault="0022311E" w:rsidP="001F1B80">
            <w:pPr>
              <w:pStyle w:val="InstructionsText"/>
              <w:rPr>
                <w:rStyle w:val="InstructionsTabelleberschrift"/>
                <w:rFonts w:ascii="Times New Roman" w:hAnsi="Times New Roman"/>
                <w:b w:val="0"/>
                <w:sz w:val="24"/>
                <w:u w:val="none"/>
              </w:rPr>
            </w:pPr>
            <w:r>
              <w:t xml:space="preserve">Summen af </w:t>
            </w:r>
            <w:r>
              <w:rPr>
                <w:vertAlign w:val="subscript"/>
              </w:rPr>
              <w:t>A4,SA</w:t>
            </w:r>
            <w:r>
              <w:t xml:space="preserve"> og </w:t>
            </w:r>
            <w:r>
              <w:rPr>
                <w:vertAlign w:val="subscript"/>
              </w:rPr>
              <w:t>A4, IRB</w:t>
            </w:r>
            <w:r>
              <w:t xml:space="preserve"> som omhandlet i artikel 473a, stk. 1, i forordning (EU) nr. 575/2013.</w:t>
            </w:r>
          </w:p>
          <w:p w14:paraId="568C07D5" w14:textId="3B794C0C" w:rsidR="0022311E" w:rsidRPr="002A677E" w:rsidRDefault="0022311E" w:rsidP="00F217D5">
            <w:pPr>
              <w:pStyle w:val="InstructionsText"/>
              <w:rPr>
                <w:rStyle w:val="InstructionsTabelleberschrift"/>
                <w:rFonts w:ascii="Times New Roman" w:hAnsi="Times New Roman"/>
                <w:sz w:val="24"/>
              </w:rPr>
            </w:pPr>
            <w:r>
              <w:t>For A</w:t>
            </w:r>
            <w:r>
              <w:rPr>
                <w:vertAlign w:val="subscript"/>
              </w:rPr>
              <w:t>4, IRB</w:t>
            </w:r>
            <w:r>
              <w:t xml:space="preserve"> er det indberettede beløb nettobeløbet for de forventede tab som krævet i henhold til artikel 473a, stk. 5, litra b) og c), i forordning (EU) nr. 575/2013.</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4" w:name="_Toc361666252"/>
      <w:bookmarkStart w:id="85" w:name="_Toc308175839"/>
      <w:bookmarkStart w:id="86" w:name="_Toc473560885"/>
      <w:bookmarkStart w:id="87" w:name="_Toc360188337"/>
      <w:bookmarkStart w:id="88" w:name="_Toc119059307"/>
      <w:bookmarkEnd w:id="84"/>
      <w:r>
        <w:rPr>
          <w:rFonts w:ascii="Times New Roman" w:hAnsi="Times New Roman"/>
          <w:sz w:val="24"/>
          <w:u w:val="none"/>
        </w:rPr>
        <w:t>1.6.3</w:t>
      </w:r>
      <w:r>
        <w:tab/>
      </w:r>
      <w:r>
        <w:rPr>
          <w:rFonts w:ascii="Times New Roman" w:hAnsi="Times New Roman"/>
          <w:sz w:val="24"/>
        </w:rPr>
        <w:t>C 05.02 – INSTRUMENTER, DER ER OMFATTET AF OVERGANGSBESTEMMELSER: INSTRUMENTER, DER IKKE UDGØR STATSSTØTTE (CA5.2)</w:t>
      </w:r>
      <w:bookmarkEnd w:id="85"/>
      <w:bookmarkEnd w:id="86"/>
      <w:bookmarkEnd w:id="88"/>
      <w:r>
        <w:rPr>
          <w:rFonts w:ascii="Times New Roman" w:hAnsi="Times New Roman"/>
          <w:sz w:val="24"/>
          <w:u w:val="none"/>
        </w:rPr>
        <w:t xml:space="preserve"> </w:t>
      </w:r>
      <w:bookmarkEnd w:id="87"/>
    </w:p>
    <w:p w14:paraId="381FD194" w14:textId="6AA73B47" w:rsidR="00783881" w:rsidRPr="002A677E" w:rsidRDefault="008F3052" w:rsidP="00487A02">
      <w:pPr>
        <w:pStyle w:val="InstructionsText2"/>
        <w:numPr>
          <w:ilvl w:val="0"/>
          <w:numId w:val="0"/>
        </w:numPr>
        <w:ind w:left="1353" w:hanging="360"/>
      </w:pPr>
      <w:fldSimple w:instr=" seq paragraphs ">
        <w:r>
          <w:t>26</w:t>
        </w:r>
      </w:fldSimple>
      <w:r>
        <w:t>.</w:t>
      </w:r>
      <w:r>
        <w:tab/>
        <w:t>Institutter skal indberette oplysninger om overgangsbestemmelser for "grandfathered" instrumenter, der ikke udgør statsstøtte (artikel 484-491 i forordning (EU) nr. 575/2013).</w:t>
      </w:r>
    </w:p>
    <w:p w14:paraId="37B7FB6D" w14:textId="56E39531"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9" w:name="_Toc360188338"/>
      <w:bookmarkStart w:id="90" w:name="_Toc473560886"/>
      <w:bookmarkStart w:id="91" w:name="_Toc119059308"/>
      <w:r>
        <w:rPr>
          <w:rFonts w:ascii="Times New Roman" w:hAnsi="Times New Roman"/>
          <w:sz w:val="24"/>
          <w:u w:val="none"/>
        </w:rPr>
        <w:lastRenderedPageBreak/>
        <w:t>1.6.3.1</w:t>
      </w:r>
      <w:r>
        <w:tab/>
      </w:r>
      <w:r>
        <w:rPr>
          <w:rFonts w:ascii="Times New Roman" w:hAnsi="Times New Roman"/>
          <w:sz w:val="24"/>
        </w:rPr>
        <w:t>Instrukser vedrørende specifikke positioner</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Kolonner</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Værdien af instrumenter plus tilknyttet overkurs ved emission</w:t>
            </w:r>
          </w:p>
          <w:p w14:paraId="62FF04FC" w14:textId="328F086B"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Artikel 484, stk. 3, 4 og 5, i forordning (EU) nr. 575/2013</w:t>
            </w:r>
          </w:p>
          <w:p w14:paraId="6C6F296F"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Instrumenter, der er kvalificeret til hver række, inkl. den tilknyttede del af overkursen ved emission.</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Basis for beregning af grænsen</w:t>
            </w:r>
          </w:p>
          <w:p w14:paraId="3AD7ACBB" w14:textId="61B9DE30"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Artikel 486, stk. 2, 3 og 4, i forordning (EU) nr. 575/2013</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Relevant procentdel</w:t>
            </w:r>
          </w:p>
          <w:p w14:paraId="2EF263DA" w14:textId="328DC369"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Artikel 486, stk. 5, i forordning (EU) nr. 575/2013</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Grænse</w:t>
            </w:r>
          </w:p>
          <w:p w14:paraId="71BF03FA" w14:textId="4333AD8F"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Artikel 486, stk. 2-5, i forordning (EU) nr. 575/2013</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Beløb, der overstiger grænserne for overgangsbestemmelser</w:t>
            </w:r>
          </w:p>
          <w:p w14:paraId="243EA3A5" w14:textId="7E3C8B22" w:rsidR="002648B0" w:rsidRPr="002A677E" w:rsidRDefault="00F217D5" w:rsidP="00EE6F6C">
            <w:pPr>
              <w:pStyle w:val="body"/>
              <w:rPr>
                <w:rStyle w:val="InstructionsTabelleText"/>
                <w:rFonts w:ascii="Times New Roman" w:hAnsi="Times New Roman"/>
                <w:sz w:val="24"/>
              </w:rPr>
            </w:pPr>
            <w:r>
              <w:rPr>
                <w:rFonts w:ascii="Times New Roman" w:hAnsi="Times New Roman"/>
                <w:sz w:val="24"/>
              </w:rPr>
              <w:t>Artikel 486, stk. 2-5, i forordning (EU) nr. 575/2013</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Beløb omfattet af overgangsbestemmelser i alt</w:t>
            </w:r>
          </w:p>
          <w:p w14:paraId="6DA5FF46"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være lig med de beløb, der er indberettet i de respektive kolonner i række 060 i CA5.1.</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t>Rækker</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6C64F1B" w14:textId="01A3F069" w:rsidR="005643EA" w:rsidRPr="002A677E"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Instrumenter, der er kvalificeret til artikel 57, litra a), i direktiv 2006/48/EF</w:t>
            </w:r>
          </w:p>
          <w:p w14:paraId="00D57BCE" w14:textId="5AAA46BD"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Artikel 484, stk. 3, i forordning (EU) nr. 575/2013</w:t>
            </w:r>
          </w:p>
          <w:p w14:paraId="18FB3BC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7478" w:type="dxa"/>
          </w:tcPr>
          <w:p w14:paraId="40B60F6B" w14:textId="21412483"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Instrumenter, der er kvalificeret til artikel 57, litra ca), og artikel 154, stk. 8 og 9, i direktiv 2006/48/EF, jf. dog grænsen i artikel 489 i forordning (EU) nr. 575/2013</w:t>
            </w:r>
          </w:p>
          <w:p w14:paraId="237A5DBB" w14:textId="5B2285B0"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Artikel 484, stk. 4, i forordning (EU) nr. 575/2013</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Instrumenter i alt uden førtidsindfrielsesmulighed og incitamenter til indfrielse</w:t>
            </w:r>
          </w:p>
          <w:p w14:paraId="36AA86C4" w14:textId="566F9172" w:rsidR="002648B0" w:rsidRPr="002A677E" w:rsidRDefault="002648B0" w:rsidP="00EE6F6C">
            <w:pPr>
              <w:pStyle w:val="body"/>
              <w:rPr>
                <w:rStyle w:val="InstructionsTabelleText"/>
                <w:rFonts w:ascii="Times New Roman" w:hAnsi="Times New Roman"/>
                <w:bCs/>
                <w:sz w:val="24"/>
              </w:rPr>
            </w:pPr>
            <w:r>
              <w:rPr>
                <w:rFonts w:ascii="Times New Roman" w:hAnsi="Times New Roman"/>
                <w:sz w:val="24"/>
              </w:rPr>
              <w:t>Artikel 484, stk. 4, og artikel 489 i forordning (EU) nr. 575/2013</w:t>
            </w:r>
          </w:p>
          <w:p w14:paraId="4700ED7C"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Instrumenter, der er omfattet af overgangsbestemmelser, med førtidsindfrielsesmulighed og incitamenter til indfrielse</w:t>
            </w:r>
          </w:p>
          <w:p w14:paraId="1DEEB56A" w14:textId="112B9A75" w:rsidR="005643EA" w:rsidRPr="002A677E" w:rsidRDefault="002648B0" w:rsidP="00EE6F6C">
            <w:pPr>
              <w:pStyle w:val="body"/>
              <w:rPr>
                <w:rStyle w:val="InstructionsTabelleText"/>
                <w:rFonts w:ascii="Times New Roman" w:hAnsi="Times New Roman"/>
                <w:bCs/>
                <w:sz w:val="24"/>
              </w:rPr>
            </w:pPr>
            <w:r>
              <w:rPr>
                <w:rFonts w:ascii="Times New Roman" w:hAnsi="Times New Roman"/>
                <w:sz w:val="24"/>
              </w:rPr>
              <w:t>Artikel 489 i forordning (EU) nr. 575/2013</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25A0795" w14:textId="3F34E99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Instrumenter med førtidsindfrielsesmulighed efter indberetningsdatoen, som opfylder betingelserne i artikel 52 i forordning (EU) nr. 575/2013 efter deres faktiske forfaldsdato</w:t>
            </w:r>
          </w:p>
          <w:p w14:paraId="32E1DD3C" w14:textId="094A90DD" w:rsidR="005643EA" w:rsidRPr="002A677E" w:rsidRDefault="002648B0" w:rsidP="00EE6F6C">
            <w:pPr>
              <w:pStyle w:val="body"/>
              <w:rPr>
                <w:rStyle w:val="InstructionsTabelleText"/>
                <w:rFonts w:ascii="Times New Roman" w:hAnsi="Times New Roman"/>
                <w:sz w:val="24"/>
              </w:rPr>
            </w:pPr>
            <w:r>
              <w:rPr>
                <w:rFonts w:ascii="Times New Roman" w:hAnsi="Times New Roman"/>
                <w:sz w:val="24"/>
              </w:rPr>
              <w:t>Artikel 489, stk. 3, og artikel 491, litra a), i forordning (EU) nr. 575/2013</w:t>
            </w:r>
          </w:p>
          <w:p w14:paraId="1DF1152D"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F1F47C2" w14:textId="6F32562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Instrumenter med førtidsindfrielsesmulighed efter indberetningsdatoen, som ikke opfylder betingelserne i artikel 52 i forordning (EU) nr. 575/2013 efter deres faktiske forfaldsdato</w:t>
            </w:r>
          </w:p>
          <w:p w14:paraId="4E10D164" w14:textId="0CA421EA" w:rsidR="009F1550" w:rsidRPr="002A677E" w:rsidRDefault="009F1550" w:rsidP="00EE6F6C">
            <w:pPr>
              <w:pStyle w:val="body"/>
              <w:rPr>
                <w:rStyle w:val="InstructionsTabelleText"/>
                <w:rFonts w:ascii="Times New Roman" w:hAnsi="Times New Roman"/>
                <w:sz w:val="24"/>
              </w:rPr>
            </w:pPr>
            <w:r>
              <w:rPr>
                <w:rFonts w:ascii="Times New Roman" w:hAnsi="Times New Roman"/>
                <w:sz w:val="24"/>
              </w:rPr>
              <w:t>Artikel 489, stk. 5, og artikel 491, litra a), i forordning (EU) nr. 575/2013</w:t>
            </w:r>
          </w:p>
          <w:p w14:paraId="763DC317"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03331C" w14:textId="083CAC6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Instrumenter med førtidsindfrielsesmulighed til og med den 20. juli 2011, som ikke opfylder betingelserne i artikel 52 i forordning (EU) nr. 575/2013 efter deres faktiske forfaldsdato</w:t>
            </w:r>
          </w:p>
          <w:p w14:paraId="6CCC8453" w14:textId="63B69EA5" w:rsidR="009F1550" w:rsidRPr="002A677E" w:rsidRDefault="009F1550" w:rsidP="00EE6F6C">
            <w:pPr>
              <w:pStyle w:val="body"/>
              <w:rPr>
                <w:rStyle w:val="InstructionsTabelleText"/>
                <w:rFonts w:ascii="Times New Roman" w:hAnsi="Times New Roman"/>
                <w:sz w:val="24"/>
              </w:rPr>
            </w:pPr>
            <w:r>
              <w:rPr>
                <w:rFonts w:ascii="Times New Roman" w:hAnsi="Times New Roman"/>
                <w:sz w:val="24"/>
              </w:rPr>
              <w:t>Artikel 489, stk. 6, og artikel 491, litra c), i forordning (EU) nr. 575/2013</w:t>
            </w:r>
          </w:p>
          <w:p w14:paraId="7CFD451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Det indberettede beløb skal indbefatte den tilknyttede overkurs ved emission.</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Overskridelse af grænsen for egentlige kernekapitalinstrumenter, der er omfattet af overgangsbestemmelser</w:t>
            </w:r>
          </w:p>
          <w:p w14:paraId="0854136B" w14:textId="21F7E372"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Artikel 487, stk. 1, i forordning (EU) nr. 575/2013</w:t>
            </w:r>
          </w:p>
          <w:p w14:paraId="1C79B43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Overskridelse af grænsen for egentlige kernekapitalinstrumenter, der er omfattet af overgangsbestemmelser, kan behandles som instrumenter, der kan omfattes af overgangsbestemmelser som hybride kernekapitalinstrumenter.</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209871F7" w14:textId="3767407A"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Poster, der er kvalificeret til artikel 57, litra e), f), g) eller h), i direktiv 2006/48/EF, jf. dog grænsen i artikel 490 i forordning (EU) nr. 575/2013</w:t>
            </w:r>
          </w:p>
          <w:p w14:paraId="1358C363" w14:textId="6D32BC6E" w:rsidR="005643EA" w:rsidRPr="002A677E" w:rsidRDefault="002648B0" w:rsidP="00EE6F6C">
            <w:pPr>
              <w:pStyle w:val="body"/>
              <w:rPr>
                <w:rStyle w:val="InstructionsTabelleText"/>
                <w:rFonts w:ascii="Times New Roman" w:hAnsi="Times New Roman"/>
                <w:bCs/>
                <w:sz w:val="24"/>
              </w:rPr>
            </w:pPr>
            <w:r>
              <w:rPr>
                <w:rFonts w:ascii="Times New Roman" w:hAnsi="Times New Roman"/>
                <w:sz w:val="24"/>
              </w:rPr>
              <w:t>Artikel 484, stk. 5, i forordning (EU) nr. 575/2013</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Poster i alt uden incitamenter til indfrielse</w:t>
            </w:r>
          </w:p>
          <w:p w14:paraId="72F48FE8" w14:textId="4E73AD57" w:rsidR="005643EA" w:rsidRPr="002A677E" w:rsidRDefault="002648B0" w:rsidP="00EE6F6C">
            <w:pPr>
              <w:pStyle w:val="body"/>
              <w:rPr>
                <w:rStyle w:val="InstructionsTabelleText"/>
                <w:rFonts w:ascii="Times New Roman" w:hAnsi="Times New Roman"/>
                <w:sz w:val="24"/>
              </w:rPr>
            </w:pPr>
            <w:r>
              <w:rPr>
                <w:rFonts w:ascii="Times New Roman" w:hAnsi="Times New Roman"/>
                <w:sz w:val="24"/>
              </w:rPr>
              <w:t>Artikel 490 i forordning (EU) nr. 575/2013</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Poster, som er omfattet af overgangsbestemmelser, med incitamenter til indfrielse</w:t>
            </w:r>
          </w:p>
          <w:p w14:paraId="02206BE0" w14:textId="46CDB34E" w:rsidR="005643EA" w:rsidRPr="002A677E" w:rsidRDefault="002648B0" w:rsidP="00EE6F6C">
            <w:pPr>
              <w:pStyle w:val="body"/>
              <w:rPr>
                <w:rStyle w:val="InstructionsTabelleText"/>
                <w:rFonts w:ascii="Times New Roman" w:hAnsi="Times New Roman"/>
                <w:sz w:val="24"/>
              </w:rPr>
            </w:pPr>
            <w:r>
              <w:rPr>
                <w:rFonts w:ascii="Times New Roman" w:hAnsi="Times New Roman"/>
                <w:sz w:val="24"/>
              </w:rPr>
              <w:t>Artikel 490 i forordning (EU) nr. 575/2013</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2B56E96F" w14:textId="16FD35B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Poster med førtidsindfrielsesmulighed efter indberetningsdatoen, som opfylder betingelserne i artikel 63 i forordning (EU) nr. 575/2013 efter deres faktiske forfaldsdato</w:t>
            </w:r>
          </w:p>
          <w:p w14:paraId="404600DF" w14:textId="0FB5D2C2"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Artikel 490, stk. 3, og artikel 491, litra a), i forordning (EU) nr. 575/2013</w:t>
            </w:r>
          </w:p>
          <w:p w14:paraId="589C31A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5262B006" w14:textId="52ED425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Poster med førtidsindfrielsesmulighed efter indberetningsdatoen, som ikke opfylder betingelserne i artikel 63 i forordning (EU) nr. 575/2013 efter deres faktiske forfaldsdato</w:t>
            </w:r>
          </w:p>
          <w:p w14:paraId="2F07BC15" w14:textId="4B080F2B" w:rsidR="009F1550" w:rsidRPr="002A677E" w:rsidRDefault="009F1550" w:rsidP="00EE6F6C">
            <w:pPr>
              <w:pStyle w:val="body"/>
              <w:rPr>
                <w:rStyle w:val="InstructionsTabelleText"/>
                <w:rFonts w:ascii="Times New Roman" w:hAnsi="Times New Roman"/>
                <w:sz w:val="24"/>
              </w:rPr>
            </w:pPr>
            <w:r>
              <w:rPr>
                <w:rFonts w:ascii="Times New Roman" w:hAnsi="Times New Roman"/>
                <w:sz w:val="24"/>
              </w:rPr>
              <w:t>Artikel 490, stk. 5, og artikel 491, litra a), i forordning (EU) nr. 575/2013</w:t>
            </w:r>
          </w:p>
          <w:p w14:paraId="56C74CAA" w14:textId="77777777" w:rsidR="002648B0" w:rsidRPr="002A677E"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7478" w:type="dxa"/>
          </w:tcPr>
          <w:p w14:paraId="43B47830" w14:textId="515F6DF9" w:rsidR="00496C53" w:rsidRPr="002A677E"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Poster med førtidsindfrielsesmulighed til og med den 20. juli 2011, som ikke opfylder betingelserne i artikel 63 i forordning (EU) nr. 575/2013 efter deres faktiske forfaldsdato</w:t>
            </w:r>
          </w:p>
          <w:p w14:paraId="7D73A991" w14:textId="6FF0FD99" w:rsidR="009F1550" w:rsidRPr="002A677E" w:rsidRDefault="009F1550" w:rsidP="00EE6F6C">
            <w:pPr>
              <w:pStyle w:val="body"/>
              <w:rPr>
                <w:rStyle w:val="InstructionsTabelleText"/>
                <w:rFonts w:ascii="Times New Roman" w:hAnsi="Times New Roman"/>
                <w:sz w:val="24"/>
              </w:rPr>
            </w:pPr>
            <w:r>
              <w:rPr>
                <w:rFonts w:ascii="Times New Roman" w:hAnsi="Times New Roman"/>
                <w:sz w:val="24"/>
              </w:rPr>
              <w:t>Artikel 490, stk. 6, og artikel 491, litra c), i forordning (EU) nr. 575/2013</w:t>
            </w:r>
          </w:p>
          <w:p w14:paraId="593D219A"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Overskridelse af grænsen for hybride kernekapitalinstrumenter, der er omfattet af overgangsbestemmelser</w:t>
            </w:r>
          </w:p>
          <w:p w14:paraId="36BAD648" w14:textId="01B6BA23"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 xml:space="preserve">Artikel 487, stk. 2, i forordning (EU) nr. 575/2013 </w:t>
            </w:r>
          </w:p>
          <w:p w14:paraId="38BB65E4"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Overskridelse af grænsen for hybride kernekapitalinstrumenter, der er omfattet af overgangsbestemmelser, kan behandles som instrumenter, der kan omfattes af overgangsbestemmelser som supplerende kapitalinstrumenter.</w:t>
            </w:r>
          </w:p>
        </w:tc>
      </w:tr>
    </w:tbl>
    <w:p w14:paraId="36DC4367" w14:textId="77777777" w:rsidR="00464F34" w:rsidRPr="002A677E" w:rsidRDefault="00464F34" w:rsidP="000911FE">
      <w:pPr>
        <w:pStyle w:val="body"/>
        <w:rPr>
          <w:u w:val="single"/>
        </w:rPr>
      </w:pPr>
      <w:bookmarkStart w:id="92" w:name="_Toc239157372"/>
      <w:bookmarkStart w:id="93" w:name="_Toc295829844"/>
      <w:bookmarkStart w:id="94"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5" w:name="_Toc360188339"/>
      <w:bookmarkStart w:id="96" w:name="_Toc473560887"/>
      <w:bookmarkStart w:id="97" w:name="_Toc119059309"/>
      <w:bookmarkEnd w:id="92"/>
      <w:bookmarkEnd w:id="93"/>
      <w:bookmarkEnd w:id="94"/>
      <w:r>
        <w:rPr>
          <w:rFonts w:ascii="Times New Roman" w:hAnsi="Times New Roman"/>
          <w:sz w:val="24"/>
          <w:u w:val="none"/>
        </w:rPr>
        <w:t>2.</w:t>
      </w:r>
      <w:r>
        <w:tab/>
      </w:r>
      <w:r>
        <w:rPr>
          <w:rFonts w:ascii="Times New Roman" w:hAnsi="Times New Roman"/>
          <w:sz w:val="24"/>
        </w:rPr>
        <w:t>KONCERNSOLVENS: OPLYSNINGER OM TILKNYTTEDE SELSKABER (GS)</w:t>
      </w:r>
      <w:bookmarkEnd w:id="95"/>
      <w:bookmarkEnd w:id="96"/>
      <w:bookmarkEnd w:id="97"/>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119059310"/>
      <w:r>
        <w:rPr>
          <w:rFonts w:ascii="Times New Roman" w:hAnsi="Times New Roman"/>
          <w:sz w:val="24"/>
          <w:u w:val="none"/>
        </w:rPr>
        <w:t>2.1.</w:t>
      </w:r>
      <w:r>
        <w:tab/>
      </w:r>
      <w:r>
        <w:rPr>
          <w:rFonts w:ascii="Times New Roman" w:hAnsi="Times New Roman"/>
          <w:sz w:val="24"/>
        </w:rPr>
        <w:t>Generelle bemærkninger</w:t>
      </w:r>
      <w:bookmarkEnd w:id="98"/>
      <w:bookmarkEnd w:id="99"/>
      <w:bookmarkEnd w:id="100"/>
      <w:bookmarkEnd w:id="101"/>
      <w:bookmarkEnd w:id="102"/>
      <w:bookmarkEnd w:id="103"/>
      <w:bookmarkEnd w:id="104"/>
    </w:p>
    <w:p w14:paraId="0DE48938" w14:textId="77777777" w:rsidR="00464F34" w:rsidRPr="002A677E" w:rsidRDefault="008F3052" w:rsidP="00487A02">
      <w:pPr>
        <w:pStyle w:val="InstructionsText2"/>
        <w:numPr>
          <w:ilvl w:val="0"/>
          <w:numId w:val="0"/>
        </w:numPr>
        <w:ind w:left="1353" w:hanging="360"/>
      </w:pPr>
      <w:fldSimple w:instr=" seq paragraphs ">
        <w:r>
          <w:t>27</w:t>
        </w:r>
      </w:fldSimple>
      <w:r>
        <w:t>.</w:t>
      </w:r>
      <w:r>
        <w:tab/>
        <w:t>Skema C 06.01 og C 06.02 anvendes, hvis kapitalgrundlagskravene beregnes på konsolideret grundlag. Skema C 06.02 består af fire dele, hvor der indsamles oplysninger om alle individuelle enheder (herunder det indberettende institut), der er omfattet af konsolideringen:</w:t>
      </w:r>
    </w:p>
    <w:p w14:paraId="1370D22F" w14:textId="77777777" w:rsidR="00C93697" w:rsidRPr="002A677E" w:rsidRDefault="00125707" w:rsidP="00487A02">
      <w:pPr>
        <w:pStyle w:val="InstructionsText2"/>
        <w:numPr>
          <w:ilvl w:val="0"/>
          <w:numId w:val="0"/>
        </w:numPr>
        <w:ind w:left="1353" w:hanging="360"/>
      </w:pPr>
      <w:r>
        <w:t>a)</w:t>
      </w:r>
      <w:r>
        <w:tab/>
        <w:t>enheder omfattet af konsolidering</w:t>
      </w:r>
    </w:p>
    <w:p w14:paraId="6A3C0853" w14:textId="77777777" w:rsidR="00C93697" w:rsidRPr="002A677E" w:rsidRDefault="00125707" w:rsidP="00487A02">
      <w:pPr>
        <w:pStyle w:val="InstructionsText2"/>
        <w:numPr>
          <w:ilvl w:val="0"/>
          <w:numId w:val="0"/>
        </w:numPr>
        <w:ind w:left="1353" w:hanging="360"/>
      </w:pPr>
      <w:r>
        <w:t>b)</w:t>
      </w:r>
      <w:r>
        <w:tab/>
        <w:t>detaljerede oplysninger om koncernsolvens</w:t>
      </w:r>
    </w:p>
    <w:p w14:paraId="1C183B49" w14:textId="77777777" w:rsidR="00C93697" w:rsidRPr="002A677E" w:rsidRDefault="00125707" w:rsidP="00487A02">
      <w:pPr>
        <w:pStyle w:val="InstructionsText2"/>
        <w:numPr>
          <w:ilvl w:val="0"/>
          <w:numId w:val="0"/>
        </w:numPr>
        <w:ind w:left="1353" w:hanging="360"/>
      </w:pPr>
      <w:r>
        <w:t>c)</w:t>
      </w:r>
      <w:r>
        <w:tab/>
        <w:t>oplysninger om de individuelle enheders bidrag til koncernsolvensen</w:t>
      </w:r>
    </w:p>
    <w:p w14:paraId="68A71EE8" w14:textId="77777777" w:rsidR="00C93697" w:rsidRPr="002A677E" w:rsidRDefault="00125707" w:rsidP="00487A02">
      <w:pPr>
        <w:pStyle w:val="InstructionsText2"/>
        <w:numPr>
          <w:ilvl w:val="0"/>
          <w:numId w:val="0"/>
        </w:numPr>
        <w:ind w:left="1353" w:hanging="360"/>
      </w:pPr>
      <w:r>
        <w:t>d)</w:t>
      </w:r>
      <w:r>
        <w:tab/>
        <w:t>oplysninger om kapitalbuffere.</w:t>
      </w:r>
    </w:p>
    <w:p w14:paraId="6E599DBE" w14:textId="742FF41F" w:rsidR="00464F34" w:rsidRPr="002A677E" w:rsidRDefault="008F3052" w:rsidP="00487A02">
      <w:pPr>
        <w:pStyle w:val="InstructionsText2"/>
        <w:numPr>
          <w:ilvl w:val="0"/>
          <w:numId w:val="0"/>
        </w:numPr>
        <w:ind w:left="1353" w:hanging="360"/>
      </w:pPr>
      <w:fldSimple w:instr=" seq paragraphs ">
        <w:r>
          <w:t>28</w:t>
        </w:r>
      </w:fldSimple>
      <w:r>
        <w:t>.</w:t>
      </w:r>
      <w:r>
        <w:tab/>
        <w:t>Institutter, der har opnået en undtagelse i overensstemmelse med artikel 7 i forordning (EU) nr. 575/2013, skal kun indberette kolonne 0010 til 0060 og kolonne 0250 til 0400.</w:t>
      </w:r>
    </w:p>
    <w:p w14:paraId="7F057EB3" w14:textId="6D038580" w:rsidR="004C0508" w:rsidRPr="002A677E" w:rsidRDefault="008F3052" w:rsidP="00487A02">
      <w:pPr>
        <w:pStyle w:val="InstructionsText2"/>
        <w:numPr>
          <w:ilvl w:val="0"/>
          <w:numId w:val="0"/>
        </w:numPr>
        <w:ind w:left="1353" w:hanging="360"/>
      </w:pPr>
      <w:fldSimple w:instr=" seq paragraphs ">
        <w:r>
          <w:t>29</w:t>
        </w:r>
      </w:fldSimple>
      <w:r>
        <w:t>.</w:t>
      </w:r>
      <w:r>
        <w:tab/>
        <w:t>De indberettede tal tager højde for alle relevante overgangsbestemmelser i forordning (EU) nr. 575/2013, som finder anvendelse på den respektive indberetningsdato.</w:t>
      </w:r>
    </w:p>
    <w:p w14:paraId="10DAA2D3" w14:textId="576E5028"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119059311"/>
      <w:r>
        <w:rPr>
          <w:rFonts w:ascii="Times New Roman" w:hAnsi="Times New Roman"/>
          <w:sz w:val="24"/>
          <w:u w:val="none"/>
        </w:rPr>
        <w:t>2.2.</w:t>
      </w:r>
      <w:r>
        <w:tab/>
      </w:r>
      <w:r>
        <w:rPr>
          <w:rFonts w:ascii="Times New Roman" w:hAnsi="Times New Roman"/>
          <w:sz w:val="24"/>
        </w:rPr>
        <w:t>Detaljerede oplysninger om koncernsolvens</w:t>
      </w:r>
      <w:bookmarkEnd w:id="105"/>
      <w:bookmarkEnd w:id="106"/>
      <w:bookmarkEnd w:id="107"/>
    </w:p>
    <w:p w14:paraId="2EA52DA1" w14:textId="77777777" w:rsidR="00464F34" w:rsidRPr="002A677E" w:rsidRDefault="008F3052" w:rsidP="00487A02">
      <w:pPr>
        <w:pStyle w:val="InstructionsText2"/>
        <w:numPr>
          <w:ilvl w:val="0"/>
          <w:numId w:val="0"/>
        </w:numPr>
        <w:ind w:left="1353" w:hanging="360"/>
      </w:pPr>
      <w:fldSimple w:instr=" seq paragraphs ">
        <w:r>
          <w:t>30</w:t>
        </w:r>
      </w:fldSimple>
      <w:r>
        <w:t>.</w:t>
      </w:r>
      <w:r>
        <w:tab/>
        <w:t xml:space="preserve">Den anden del af skema C 06.02 (detaljerede oplysninger om koncernsolvens) i kolonne 0070 til 0210 bruges til at indsamle oplysninger om kreditinstitutter og </w:t>
      </w:r>
      <w:r>
        <w:lastRenderedPageBreak/>
        <w:t xml:space="preserve">andre regulerede finansielle institutter, som faktisk er underlagt særlige solvenskrav på individuelt grundlag. For hver enhed, der er omfattet af indberetningen, anføres kapitalgrundlagskravene for hver risikokategori og kapitalgrundlaget, for så vidt angår solvens. </w:t>
      </w:r>
    </w:p>
    <w:p w14:paraId="11D43D14" w14:textId="77777777" w:rsidR="00464F34" w:rsidRPr="002A677E" w:rsidRDefault="008F3052" w:rsidP="00487A02">
      <w:pPr>
        <w:pStyle w:val="InstructionsText2"/>
        <w:numPr>
          <w:ilvl w:val="0"/>
          <w:numId w:val="0"/>
        </w:numPr>
        <w:ind w:left="1353" w:hanging="360"/>
      </w:pPr>
      <w:fldSimple w:instr=" seq paragraphs ">
        <w:r>
          <w:t>31</w:t>
        </w:r>
      </w:fldSimple>
      <w:r>
        <w:t>.</w:t>
      </w:r>
      <w:r>
        <w:tab/>
        <w:t>Ved pro rata-konsolidering af kapitalinteresser skal tallene for kapitalgrundlagskrav og kapitalgrundlag afspejle de respektive pro rata-beløb.</w:t>
      </w:r>
    </w:p>
    <w:p w14:paraId="1637D59A" w14:textId="1842F3FA"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119059312"/>
      <w:r>
        <w:rPr>
          <w:rFonts w:ascii="Times New Roman" w:hAnsi="Times New Roman"/>
          <w:sz w:val="24"/>
          <w:u w:val="none"/>
        </w:rPr>
        <w:t>2.3.</w:t>
      </w:r>
      <w:r>
        <w:tab/>
      </w:r>
      <w:r>
        <w:rPr>
          <w:rFonts w:ascii="Times New Roman" w:hAnsi="Times New Roman"/>
          <w:sz w:val="24"/>
        </w:rPr>
        <w:t>Oplysninger om de individuelle enheders bidrag til koncernsolvensen</w:t>
      </w:r>
      <w:bookmarkEnd w:id="108"/>
      <w:bookmarkEnd w:id="109"/>
      <w:bookmarkEnd w:id="110"/>
    </w:p>
    <w:p w14:paraId="770A244C" w14:textId="5F8A55A0" w:rsidR="00464F34" w:rsidRPr="002A677E" w:rsidRDefault="008F3052" w:rsidP="00487A02">
      <w:pPr>
        <w:pStyle w:val="InstructionsText2"/>
        <w:numPr>
          <w:ilvl w:val="0"/>
          <w:numId w:val="0"/>
        </w:numPr>
        <w:ind w:left="1353" w:hanging="360"/>
      </w:pPr>
      <w:fldSimple w:instr=" seq paragraphs ">
        <w:r>
          <w:t>32</w:t>
        </w:r>
      </w:fldSimple>
      <w:r>
        <w:t>.</w:t>
      </w:r>
      <w:r>
        <w:tab/>
        <w:t xml:space="preserve">Formålet med den tredje del af skema C 06.02 og skema C 06.01 (Oplysninger om bidraget fra de individuelle enheder i konsolideringen til koncernsolvensen, jf. forordning (EU) nr. 575/2013), kolonne 0250 til 0400, som også omfatter enheder, der individuelt ikke er underlagt særlige solvenskrav, er at identificere, hvilke enheder i koncernen der genererer risici og rejser kapitalgrundlag fra markedet, ud fra data, der er umiddelbart tilgængelige eller let kan genbehandles, uden at kapitalprocenten skal rekonstrueres på individuelt eller delkonsolideret grundlag. På enhedsniveau bidrager tallene for både risiko og kapitalgrundlag til koncerntallene, men indgår i sig selv ikke i soliditetsgraden og kan således ikke sammenlignes med hinanden. </w:t>
      </w:r>
    </w:p>
    <w:p w14:paraId="5B1F7005" w14:textId="77777777" w:rsidR="00464F34" w:rsidRPr="002A677E" w:rsidRDefault="008F3052" w:rsidP="00487A02">
      <w:pPr>
        <w:pStyle w:val="InstructionsText2"/>
        <w:numPr>
          <w:ilvl w:val="0"/>
          <w:numId w:val="0"/>
        </w:numPr>
        <w:ind w:left="1353" w:hanging="360"/>
      </w:pPr>
      <w:fldSimple w:instr=" seq paragraphs ">
        <w:r>
          <w:t>33</w:t>
        </w:r>
      </w:fldSimple>
      <w:r>
        <w:t>.</w:t>
      </w:r>
      <w:r>
        <w:tab/>
        <w:t>Den tredje del omfatter også beløbene for minoritetsinteresser, kvalificerende hybrid kernekapital og kvalificerende supplerende kapital, der kan indgå i det konsoliderede kapitalgrundlag.</w:t>
      </w:r>
    </w:p>
    <w:p w14:paraId="601945C2" w14:textId="77777777" w:rsidR="00464F34" w:rsidRPr="002A677E" w:rsidRDefault="008F3052" w:rsidP="00487A02">
      <w:pPr>
        <w:pStyle w:val="InstructionsText2"/>
        <w:numPr>
          <w:ilvl w:val="0"/>
          <w:numId w:val="0"/>
        </w:numPr>
        <w:ind w:left="1353" w:hanging="360"/>
      </w:pPr>
      <w:fldSimple w:instr=" seq paragraphs ">
        <w:r>
          <w:t>34</w:t>
        </w:r>
      </w:fldSimple>
      <w:r>
        <w:t>.</w:t>
      </w:r>
      <w:r>
        <w:tab/>
        <w:t>Da der i denne tredje del af skemaet er tale om "bidrag", stemmer de tal, der indberettes her, i relevante tilfælde ikke overens med de tal, der er indberettet i de kolonner, der omhandler detaljerede oplysninger om koncernsolvens.</w:t>
      </w:r>
    </w:p>
    <w:p w14:paraId="44960A6E" w14:textId="77777777" w:rsidR="00464F34" w:rsidRPr="002A677E" w:rsidRDefault="008F3052" w:rsidP="00487A02">
      <w:pPr>
        <w:pStyle w:val="InstructionsText2"/>
        <w:numPr>
          <w:ilvl w:val="0"/>
          <w:numId w:val="0"/>
        </w:numPr>
        <w:ind w:left="1353" w:hanging="360"/>
      </w:pPr>
      <w:fldSimple w:instr=" seq paragraphs ">
        <w:r>
          <w:t>35</w:t>
        </w:r>
      </w:fldSimple>
      <w:r>
        <w:t>.</w:t>
      </w:r>
      <w:r>
        <w:tab/>
        <w:t>I princippet slettes eksponeringer på tværs af institutter inden for den samme koncern på en ensartet måde med hensyn til både risici og kapitalgrundlag, således at de beløb, der indberettes i koncernens konsoliderede CA-skema, dækkes ved at addere de beløb, der indberettes for hver enhed i skemaet "Koncernsolvens". Der kan ikke linkes direkte til CA-skemaet, hvis tærsklen på 1 % ikke overskrides.</w:t>
      </w:r>
    </w:p>
    <w:p w14:paraId="4B1AE777" w14:textId="77777777" w:rsidR="00464F34" w:rsidRPr="002A677E" w:rsidRDefault="008F3052" w:rsidP="00487A02">
      <w:pPr>
        <w:pStyle w:val="InstructionsText2"/>
        <w:numPr>
          <w:ilvl w:val="0"/>
          <w:numId w:val="0"/>
        </w:numPr>
        <w:ind w:left="1353" w:hanging="360"/>
      </w:pPr>
      <w:fldSimple w:instr=" seq paragraphs ">
        <w:r>
          <w:t>36</w:t>
        </w:r>
      </w:fldSimple>
      <w:r>
        <w:t>.</w:t>
      </w:r>
      <w:r>
        <w:tab/>
        <w:t>Institutterne skal definere den mest hensigtsmæssige metode til opdeling mellem enhederne, så der tages højde for de mulige diversificeringsvirkninger for markedsrisiko og operationel risiko.</w:t>
      </w:r>
    </w:p>
    <w:p w14:paraId="622EA156" w14:textId="77777777" w:rsidR="00464F34" w:rsidRPr="002A677E" w:rsidRDefault="008F3052" w:rsidP="00487A02">
      <w:pPr>
        <w:pStyle w:val="InstructionsText2"/>
        <w:numPr>
          <w:ilvl w:val="0"/>
          <w:numId w:val="0"/>
        </w:numPr>
        <w:ind w:left="1353" w:hanging="360"/>
      </w:pPr>
      <w:fldSimple w:instr=" seq paragraphs ">
        <w:r>
          <w:t>37</w:t>
        </w:r>
      </w:fldSimple>
      <w:r>
        <w:t>.</w:t>
      </w:r>
      <w:r>
        <w:tab/>
        <w:t xml:space="preserve">Én konsolideret koncern kan indgå i en anden konsolideret koncern. Det betyder, at enhederne inden for en delkoncern skal indberettes enhed-for-enhed i GS-skemaet for hele koncernen, også selv om delkoncernen selv er omfattet af indberetningskrav. En delkoncern, der er omfattet af indberetningskrav, skal også indberette GS-skemaet enhed-for-enhed, selv om disse oplysninger indgår i GS-skemaet for en konsolideret koncern på et højere niveau. </w:t>
      </w:r>
    </w:p>
    <w:p w14:paraId="31F049AB" w14:textId="53A5E29B" w:rsidR="00464F34" w:rsidRPr="002A677E" w:rsidRDefault="008F3052" w:rsidP="00487A02">
      <w:pPr>
        <w:pStyle w:val="InstructionsText2"/>
        <w:numPr>
          <w:ilvl w:val="0"/>
          <w:numId w:val="0"/>
        </w:numPr>
        <w:ind w:left="1353" w:hanging="360"/>
      </w:pPr>
      <w:fldSimple w:instr=" seq paragraphs ">
        <w:r>
          <w:t>38</w:t>
        </w:r>
      </w:fldSimple>
      <w:r>
        <w:t>.</w:t>
      </w:r>
      <w:r>
        <w:tab/>
        <w:t xml:space="preserve">Et institut skal indberette data om en enheds bidrag, når enhedens bidrag til den samlede risikoeksponering overstiger 1 % af koncernens samlede risikoeksponering, eller når enhedens bidrag til det samlede kapitalgrundlag overstiger 1 % af </w:t>
      </w:r>
      <w:r>
        <w:lastRenderedPageBreak/>
        <w:t>koncernens samlede kapitalgrundlag. Denne tærskel gælder ikke, hvis datterselskaber eller delkoncerner bidrager med kapitalgrundlag (i form af minoritetsinteresser eller kvalificerende hybride kernekapitalinstrumenter eller supplerende kapitalinstrumenter, der indgår i kapitalgrundlaget) til koncernen.</w:t>
      </w:r>
    </w:p>
    <w:p w14:paraId="6A46EE66" w14:textId="0A8DE06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119059313"/>
      <w:r>
        <w:rPr>
          <w:rFonts w:ascii="Times New Roman" w:hAnsi="Times New Roman"/>
          <w:sz w:val="24"/>
          <w:u w:val="none"/>
        </w:rPr>
        <w:t>2.4.</w:t>
      </w:r>
      <w:r>
        <w:tab/>
      </w:r>
      <w:r>
        <w:rPr>
          <w:rFonts w:ascii="Times New Roman" w:hAnsi="Times New Roman"/>
          <w:sz w:val="24"/>
        </w:rPr>
        <w:t>C 06.01 – KONCERNSOLVENS: OPLYSNINGER OM TILKNYTTEDE SELSKABER — I ALT (GS I ALT)</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Kolonner</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Instrukser</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ENHEDER OMFATTET AF KONSOLIDERING</w:t>
            </w:r>
          </w:p>
          <w:p w14:paraId="78CDEC21" w14:textId="77777777" w:rsidR="00D85AC7" w:rsidRPr="002A677E"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Se instrukser til C 06.02.</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KAPITALBUFFERE</w:t>
            </w:r>
          </w:p>
          <w:p w14:paraId="2AC7F345" w14:textId="77777777" w:rsidR="00D85AC7" w:rsidRPr="002A677E" w:rsidRDefault="00D85AC7" w:rsidP="00FF36A5">
            <w:pPr>
              <w:rPr>
                <w:rStyle w:val="InstructionsTabelleberschrift"/>
                <w:rFonts w:ascii="Times New Roman" w:hAnsi="Times New Roman"/>
                <w:sz w:val="24"/>
              </w:rPr>
            </w:pPr>
            <w:r>
              <w:rPr>
                <w:rStyle w:val="InstructionsTabelleText"/>
                <w:rFonts w:ascii="Times New Roman" w:hAnsi="Times New Roman"/>
                <w:sz w:val="24"/>
              </w:rPr>
              <w:t>Se instrukser til C 06.02.</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Rækker</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Instrukser</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I ALT</w:t>
            </w:r>
          </w:p>
          <w:p w14:paraId="4FFA34AA" w14:textId="77777777" w:rsidR="00D85AC7" w:rsidRPr="002A677E"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"I alt" er summen af værdierne indberettet i samtlige rækker i skema C 06.02.</w:t>
            </w:r>
          </w:p>
        </w:tc>
      </w:tr>
    </w:tbl>
    <w:p w14:paraId="779AA15D" w14:textId="77777777" w:rsidR="00D85AC7" w:rsidRPr="002A677E" w:rsidRDefault="00D85AC7" w:rsidP="00487A02">
      <w:pPr>
        <w:pStyle w:val="InstructionsText"/>
      </w:pPr>
    </w:p>
    <w:p w14:paraId="022D6905" w14:textId="431D2865" w:rsidR="00D85AC7" w:rsidRPr="002A677E"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119059314"/>
      <w:r>
        <w:rPr>
          <w:rFonts w:ascii="Times New Roman" w:hAnsi="Times New Roman"/>
          <w:sz w:val="24"/>
          <w:u w:val="none"/>
        </w:rPr>
        <w:t>2.5.</w:t>
      </w:r>
      <w:r>
        <w:tab/>
      </w:r>
      <w:r>
        <w:rPr>
          <w:rFonts w:ascii="Times New Roman" w:hAnsi="Times New Roman"/>
          <w:sz w:val="24"/>
        </w:rPr>
        <w:t>C 06.02 – KONCERNSOLVENS: OPLYSNINGER OM TILKNYTTEDE SELSKABER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Pr>
                <w:rStyle w:val="InstructionsTabelleText"/>
                <w:rFonts w:ascii="Times New Roman" w:hAnsi="Times New Roman"/>
                <w:sz w:val="24"/>
              </w:rPr>
              <w:t>Kolonner</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Instrukser</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ENHEDER OMFATTET AF KONSOLIDERING</w:t>
            </w:r>
          </w:p>
          <w:p w14:paraId="13B8A121" w14:textId="6ABB2B2D" w:rsidR="00464F34" w:rsidRPr="002A677E" w:rsidRDefault="00464F34" w:rsidP="00975344">
            <w:pPr>
              <w:rPr>
                <w:rStyle w:val="InstructionsTabelleberschrift"/>
                <w:rFonts w:ascii="Times New Roman" w:hAnsi="Times New Roman"/>
                <w:b w:val="0"/>
                <w:bCs w:val="0"/>
                <w:sz w:val="24"/>
              </w:rPr>
            </w:pPr>
            <w:r>
              <w:rPr>
                <w:rStyle w:val="InstructionsTabelleText"/>
                <w:rFonts w:ascii="Times New Roman" w:hAnsi="Times New Roman"/>
                <w:sz w:val="24"/>
              </w:rPr>
              <w:t>I dette skema indberettes individuelle oplysninger om alle enheder i konsolideringen,</w:t>
            </w:r>
            <w:r>
              <w:rPr>
                <w:rFonts w:ascii="Times New Roman" w:hAnsi="Times New Roman"/>
                <w:sz w:val="24"/>
              </w:rPr>
              <w:t xml:space="preserve"> jf. første del, afsnit II, kapitel 2, i </w:t>
            </w:r>
            <w:r>
              <w:rPr>
                <w:rStyle w:val="InstructionsTabelleText"/>
                <w:rFonts w:ascii="Times New Roman" w:hAnsi="Times New Roman"/>
                <w:sz w:val="24"/>
              </w:rPr>
              <w:t xml:space="preserve">forordning (EU) nr. 575/2013.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NAVN</w:t>
            </w:r>
          </w:p>
          <w:p w14:paraId="7175ECF9"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Navnet på enheden i konsolideringen.</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KODE</w:t>
            </w:r>
          </w:p>
          <w:p w14:paraId="4173CC9E" w14:textId="77777777" w:rsidR="00464F34"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Koden skal som del af en ID-kode for en række være unik for hver indberettet enhed. For institutter og forsikringsselskaber skal koden være LEI-koden. For andre enheder skal koden være LEI-koden, eller, hvis en sådan ikke foreligger, en national kode. Koden skal være unik og skal anvendes konsekvent i skemaerne og over tid. Koden skal altid have en værdi.</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KODETYPE</w:t>
            </w:r>
          </w:p>
          <w:p w14:paraId="50D86DCD" w14:textId="77777777" w:rsidR="00464F34" w:rsidRPr="002A677E" w:rsidRDefault="00BF0637" w:rsidP="00DD2C1E">
            <w:pPr>
              <w:rPr>
                <w:rStyle w:val="InstructionsTabelleberschrift"/>
                <w:rFonts w:ascii="Times New Roman" w:hAnsi="Times New Roman"/>
                <w:sz w:val="24"/>
              </w:rPr>
            </w:pPr>
            <w:r>
              <w:rPr>
                <w:rStyle w:val="InstructionsTabelleText"/>
                <w:rFonts w:ascii="Times New Roman" w:hAnsi="Times New Roman"/>
                <w:sz w:val="24"/>
              </w:rPr>
              <w:t>Institutterne skal identificere kodetypen indberettet i</w:t>
            </w:r>
            <w:r>
              <w:rPr>
                <w:rFonts w:ascii="Times New Roman" w:hAnsi="Times New Roman"/>
                <w:sz w:val="24"/>
              </w:rPr>
              <w:t xml:space="preserve"> </w:t>
            </w:r>
            <w:r>
              <w:rPr>
                <w:rStyle w:val="FormatvorlageInstructionsTabelleText"/>
                <w:rFonts w:ascii="Times New Roman" w:hAnsi="Times New Roman"/>
                <w:sz w:val="24"/>
              </w:rPr>
              <w:t>kolonne 0021 som en "LEI-kode" eller "ikke-LEI-kode". Kodetypen skal altid indberettes.</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NATIONAL KODE</w:t>
            </w:r>
          </w:p>
          <w:p w14:paraId="4B06B8AE" w14:textId="77777777" w:rsidR="00BF0637" w:rsidRPr="002A677E" w:rsidDel="00BF0637" w:rsidRDefault="00BF0637" w:rsidP="00BF0637">
            <w:pPr>
              <w:rPr>
                <w:rStyle w:val="InstructionsTabelleberschrift"/>
                <w:rFonts w:ascii="Times New Roman" w:hAnsi="Times New Roman"/>
                <w:sz w:val="24"/>
              </w:rPr>
            </w:pPr>
            <w:r>
              <w:rPr>
                <w:rFonts w:ascii="Times New Roman" w:hAnsi="Times New Roman"/>
                <w:sz w:val="24"/>
              </w:rPr>
              <w:t>Institutterne kan også indberette den nationale kode, hvis de indberetter LEI-koden som ID-kode i "Kode"-kolonnen.</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INSTITUT ELLER TILSVARENDE (JA/NEJ)</w:t>
            </w:r>
          </w:p>
          <w:p w14:paraId="489A5E0D" w14:textId="66C7EDCB" w:rsidR="00BF0637" w:rsidRPr="002A677E" w:rsidRDefault="00BF0637" w:rsidP="00BF0637">
            <w:pPr>
              <w:rPr>
                <w:rStyle w:val="InstructionsTabelleText"/>
                <w:rFonts w:ascii="Times New Roman" w:hAnsi="Times New Roman"/>
                <w:sz w:val="24"/>
              </w:rPr>
            </w:pPr>
            <w:r>
              <w:rPr>
                <w:rFonts w:ascii="Times New Roman" w:hAnsi="Times New Roman"/>
                <w:sz w:val="24"/>
              </w:rPr>
              <w:t>"JA" indberettes, hvis enheden er omfattet af kapitalgrundlagskrav i henhold til forordning (EU) nr. 575/2013 og direktiv 2013/36/EU eller bestemmelser, der mindst svarer til Baselbestemmelserne.</w:t>
            </w:r>
          </w:p>
          <w:p w14:paraId="6516FF73"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"NEJ" indberettes i andre tilfælde.</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Minoritetsinteresser:</w:t>
            </w:r>
          </w:p>
          <w:p w14:paraId="21165B4A" w14:textId="5FB284DB"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 Artikel 81, stk. 1, litra a), nr. ii), og artikel 82, stk. 1, litra a), nr. ii), i forordning (EU) nr. 575/2013</w:t>
            </w:r>
          </w:p>
          <w:p w14:paraId="71B8F9BA" w14:textId="42EB132B" w:rsidR="00BF0637" w:rsidRPr="002A677E" w:rsidRDefault="00BF0637" w:rsidP="00BF0637">
            <w:pPr>
              <w:rPr>
                <w:rStyle w:val="InstructionsTabelleText"/>
                <w:rFonts w:ascii="Times New Roman" w:hAnsi="Times New Roman"/>
                <w:sz w:val="24"/>
              </w:rPr>
            </w:pPr>
            <w:r>
              <w:rPr>
                <w:rFonts w:ascii="Times New Roman" w:hAnsi="Times New Roman"/>
                <w:sz w:val="24"/>
              </w:rPr>
              <w:t>For så vidt angår minoritetsinteresser samt hybride kernekapitalinstrumenter og supplerende kapitalinstrumenter udstedt af datterselskaber, skal datterselskaber, hvis instrumenter kan være kvalificerede, være institutter eller virksomheder, der i medfør af gældende national lovgivning er underlagt kravene i forordning (EU) nr. 575/2013.</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TYPE ENHED</w:t>
            </w:r>
          </w:p>
          <w:p w14:paraId="5D2A09FE" w14:textId="77777777" w:rsidR="00BF0637" w:rsidRPr="002A677E" w:rsidRDefault="00BF0637" w:rsidP="00BF0637">
            <w:pPr>
              <w:rPr>
                <w:rStyle w:val="InstructionsTabelleText"/>
                <w:rFonts w:ascii="Times New Roman" w:hAnsi="Times New Roman"/>
                <w:bCs/>
                <w:sz w:val="24"/>
              </w:rPr>
            </w:pPr>
            <w:r>
              <w:rPr>
                <w:rStyle w:val="InstructionsTabelleText"/>
                <w:rFonts w:ascii="Times New Roman" w:hAnsi="Times New Roman"/>
                <w:sz w:val="24"/>
              </w:rPr>
              <w:t>Typen af enhed indberettes på grundlag af følgende kategorier:</w:t>
            </w:r>
          </w:p>
          <w:p w14:paraId="30CE472B"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kreditinstitut</w:t>
            </w:r>
          </w:p>
          <w:p w14:paraId="748D0214" w14:textId="36C11362" w:rsidR="00BF0637" w:rsidRPr="002A677E" w:rsidRDefault="00BF0637" w:rsidP="00BF0637">
            <w:pPr>
              <w:tabs>
                <w:tab w:val="left" w:pos="372"/>
              </w:tabs>
              <w:rPr>
                <w:rStyle w:val="InstructionsTabelleText"/>
                <w:rFonts w:ascii="Times New Roman" w:hAnsi="Times New Roman"/>
                <w:sz w:val="24"/>
              </w:rPr>
            </w:pPr>
            <w:r>
              <w:tab/>
            </w:r>
            <w:r>
              <w:rPr>
                <w:rFonts w:ascii="Times New Roman" w:hAnsi="Times New Roman"/>
                <w:sz w:val="24"/>
              </w:rPr>
              <w:t>Artikel 4, stk. 1, nr. 1), i forordning (EU) nr. 575/2013</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investeringsselskab</w:t>
            </w:r>
          </w:p>
          <w:p w14:paraId="6769CB69" w14:textId="28115CBC"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Artikel 4, stk. 1, nr. 2), i forordning (EU) nr. 575/2013</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finansieringsinstitut (andet)</w:t>
            </w:r>
          </w:p>
          <w:p w14:paraId="76F51E72" w14:textId="1487306D"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Artikel 4, stk. 1, nr. 20), 21) og 26), i forordning (EU) nr. 575/2013</w:t>
            </w:r>
          </w:p>
          <w:p w14:paraId="349DF21A" w14:textId="3F48D8DA" w:rsidR="00BF0637" w:rsidRPr="002A677E" w:rsidRDefault="00BF0637" w:rsidP="00BF0637">
            <w:pPr>
              <w:tabs>
                <w:tab w:val="left" w:pos="372"/>
              </w:tabs>
              <w:ind w:left="399" w:hanging="399"/>
              <w:rPr>
                <w:rStyle w:val="InstructionsTabelleText"/>
                <w:rFonts w:ascii="Times New Roman" w:hAnsi="Times New Roman"/>
                <w:bCs/>
                <w:sz w:val="24"/>
              </w:rPr>
            </w:pPr>
            <w:r>
              <w:tab/>
            </w:r>
            <w:r>
              <w:rPr>
                <w:rFonts w:ascii="Times New Roman" w:hAnsi="Times New Roman"/>
                <w:sz w:val="24"/>
              </w:rPr>
              <w:t>Finansieringsinstitutter som omhandlet i artikel 4, stk. 1, nr. 26), i forordning (EU) nr. 575/2013, som ikke hører ind under en af kategorierne d), f) eller g)</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(blandet) finansielt holdingselskab</w:t>
            </w:r>
          </w:p>
          <w:p w14:paraId="649639D0" w14:textId="0C80AA6F"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Artikel 4, stk. 1, nr. 20) og 21) i forordning (EU) nr. 575/2013</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accessorisk servicevirksomhed</w:t>
            </w:r>
          </w:p>
          <w:p w14:paraId="6E8074D3" w14:textId="3F1729EF"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Artikel 4, stk. 1, nr. 18), i forordning (EU) nr. 575/2013</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securitiseringsenhed med særligt formål ("SSPE")</w:t>
            </w:r>
          </w:p>
          <w:p w14:paraId="3D7BA722" w14:textId="76B085D8"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Artikel 4, stk. 1, nr. 66), i forordning (EU) nr. 575/2013</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selskab for særligt dækkede obligationer og særligt dækkede realkreditobligationer</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Enhed, der er oprettet for at udstede særligt dækkede obligationer eller særligt dækkede realkreditobligationer eller til at opbevare sikkerhedsstillelsen for en særlig dækket obligation eller en særligt dækket realkreditobligation, hvis den ikke hører ind under en af kategorierne a), b) eller d)-f) ovenfor</w:t>
            </w:r>
          </w:p>
          <w:p w14:paraId="1A33E0A7"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lastRenderedPageBreak/>
              <w:t>h)</w:t>
            </w:r>
            <w:r>
              <w:tab/>
            </w:r>
            <w:r>
              <w:rPr>
                <w:rStyle w:val="InstructionsTabelleText"/>
                <w:rFonts w:ascii="Times New Roman" w:hAnsi="Times New Roman"/>
                <w:sz w:val="24"/>
              </w:rPr>
              <w:t>anden type enhed</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Anden enhed i de i litra a)-g) omhandlede enheder.</w:t>
            </w:r>
          </w:p>
          <w:p w14:paraId="129A36CE" w14:textId="2159842A" w:rsidR="00BF0637" w:rsidRPr="002A677E" w:rsidRDefault="00BF0637" w:rsidP="00BF0637">
            <w:pPr>
              <w:tabs>
                <w:tab w:val="left" w:pos="372"/>
              </w:tabs>
              <w:rPr>
                <w:rStyle w:val="InstructionsTabelleberschrift"/>
                <w:rFonts w:ascii="Times New Roman" w:hAnsi="Times New Roman"/>
                <w:b w:val="0"/>
                <w:sz w:val="24"/>
                <w:u w:val="none"/>
              </w:rPr>
            </w:pPr>
            <w:r>
              <w:rPr>
                <w:rFonts w:ascii="Times New Roman" w:hAnsi="Times New Roman"/>
                <w:sz w:val="24"/>
              </w:rPr>
              <w:t>Hvis en enhed ikke er omfattet af forordning (EU) nr. 575/2013 og direktiv 2013/36/EU, men er omfattet af bestemmelser, der mindst svarer til Baselbestemmelserne, bestemmes den relevante kategori på bedst mulig måde.</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3FCAB347"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OMFANG AF DATA: </w:t>
            </w:r>
            <w:r>
              <w:rPr>
                <w:rFonts w:ascii="Times New Roman" w:hAnsi="Times New Roman"/>
                <w:b/>
                <w:caps/>
                <w:sz w:val="24"/>
                <w:u w:val="single"/>
              </w:rPr>
              <w:t>individuelt fuldt konsoliderede (SF) ELLER individuelt delvist konsoliderede (SP)</w:t>
            </w:r>
          </w:p>
          <w:p w14:paraId="5E4C77AB" w14:textId="77777777" w:rsidR="00BF0637" w:rsidRPr="002A677E" w:rsidRDefault="00BF0637" w:rsidP="00BF0637">
            <w:pPr>
              <w:rPr>
                <w:rStyle w:val="Heading1Char"/>
                <w:rFonts w:ascii="Times New Roman" w:hAnsi="Times New Roman"/>
                <w:sz w:val="24"/>
                <w:szCs w:val="24"/>
              </w:rPr>
            </w:pPr>
            <w:r>
              <w:rPr>
                <w:rFonts w:ascii="Times New Roman" w:hAnsi="Times New Roman"/>
                <w:sz w:val="24"/>
              </w:rPr>
              <w:t>"SF" indberettes for individuelle datterselskaber, der er fuldt konsoliderede.</w:t>
            </w:r>
            <w:r>
              <w:rPr>
                <w:rStyle w:val="Heading1Char"/>
                <w:rFonts w:ascii="Times New Roman" w:hAnsi="Times New Roman"/>
                <w:sz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Pr>
                <w:rFonts w:ascii="Times New Roman" w:hAnsi="Times New Roman"/>
                <w:sz w:val="24"/>
              </w:rPr>
              <w:t>"SP" indberettes for individuelle datterselskaber, der er delvist konsoliderede.</w:t>
            </w:r>
            <w:r>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B83A33"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LANDEKODE </w:t>
            </w:r>
          </w:p>
          <w:p w14:paraId="369D600A"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Institutterne skal angive landekoden på to bogstaver, jf. ISO 3166-2.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ANDEL AF BESIDDELSE (%)</w:t>
            </w:r>
          </w:p>
          <w:p w14:paraId="5BA3A5B5" w14:textId="5C23FDA1" w:rsidR="00BF0637" w:rsidRPr="002A677E" w:rsidRDefault="00BF0637" w:rsidP="00B14047">
            <w:pPr>
              <w:rPr>
                <w:rStyle w:val="InstructionsTabelleText"/>
                <w:rFonts w:ascii="Times New Roman" w:hAnsi="Times New Roman"/>
                <w:sz w:val="24"/>
              </w:rPr>
            </w:pPr>
            <w:r>
              <w:rPr>
                <w:rStyle w:val="InstructionsTabelleText"/>
                <w:rFonts w:ascii="Times New Roman" w:hAnsi="Times New Roman"/>
                <w:sz w:val="24"/>
              </w:rPr>
              <w:t xml:space="preserve">Denne procentvise andel vedrører den faktiske andel af kapitalen, som moderselskabet har i datterselskaber. I tilfælde af fuld konsolidering af et direkte datterselskab, er den faktiske andel f.eks. 70 %. </w:t>
            </w:r>
            <w:r>
              <w:rPr>
                <w:rFonts w:ascii="Times New Roman" w:hAnsi="Times New Roman"/>
                <w:sz w:val="24"/>
              </w:rPr>
              <w:t>I henhold til artikel 4, stk. 1, nr. 16), i forordning (EU) nr. 575/2013 fremkommer den andel, der skal indberettes vedrørende et datterselskab, ved at multiplicere ejerandelene mellem de pågældende datterselskaber.</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OPLYSNINGER OM ENHEDER OMFATTET AF KAPITALGRUNDLAGSKRAV</w:t>
            </w:r>
          </w:p>
          <w:p w14:paraId="78F7BB92" w14:textId="5376CC4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 dette punkt med detaljerede oplysninger (dvs. kolonne 0070 til 0240) indsamles der kun oplysninger om de enheder og delkoncerner, som rent faktisk, idet de er omfattet af konsolidering (</w:t>
            </w:r>
            <w:r>
              <w:rPr>
                <w:rFonts w:ascii="Times New Roman" w:hAnsi="Times New Roman"/>
                <w:sz w:val="24"/>
              </w:rPr>
              <w:t>første del, afsnit II, kapitel 2, i forordning (EU) nr. 575/2013</w:t>
            </w:r>
            <w:r>
              <w:rPr>
                <w:rStyle w:val="InstructionsTabelleText"/>
                <w:rFonts w:ascii="Times New Roman" w:hAnsi="Times New Roman"/>
                <w:sz w:val="24"/>
              </w:rPr>
              <w:t xml:space="preserve">), er underlagt solvenskrav i forordning (EU) nr. 575/2013 eller bestemmelser, der mindst svarer til Baselbestemmelserne (dvs. JA er indberettet i kolonne 0030). </w:t>
            </w:r>
          </w:p>
          <w:p w14:paraId="52E3CD2B" w14:textId="77777777" w:rsidR="00BF0637" w:rsidRPr="002A677E" w:rsidRDefault="00BF0637" w:rsidP="00BF0637">
            <w:pPr>
              <w:rPr>
                <w:rFonts w:ascii="Times New Roman" w:hAnsi="Times New Roman"/>
                <w:sz w:val="24"/>
              </w:rPr>
            </w:pPr>
            <w:r>
              <w:rPr>
                <w:rFonts w:ascii="Times New Roman" w:hAnsi="Times New Roman"/>
                <w:sz w:val="24"/>
              </w:rPr>
              <w:t xml:space="preserve">Der skal indberettes oplysninger om alle individuelle institutter i en konsolideret koncern, der er omfattet af kapitalgrundlagskrav, uanset hvor de er beliggende. </w:t>
            </w:r>
          </w:p>
          <w:p w14:paraId="0842D1A7" w14:textId="1E4B7089" w:rsidR="00BF0637" w:rsidRPr="002A677E" w:rsidRDefault="00BF0637" w:rsidP="00BF0637">
            <w:pPr>
              <w:rPr>
                <w:rFonts w:ascii="Times New Roman" w:hAnsi="Times New Roman"/>
                <w:sz w:val="24"/>
              </w:rPr>
            </w:pPr>
            <w:r>
              <w:rPr>
                <w:rFonts w:ascii="Times New Roman" w:hAnsi="Times New Roman"/>
                <w:sz w:val="24"/>
              </w:rPr>
              <w:t>De oplysninger, der indberettes i denne del, skal afspejle de lokale solvensregler i den jurisdiktion, hvor instituttet driver virksomhed (til dette skema er det derfor ikke nødvendigt at foretage dobbelt beregning på individuelt grundlag i henhold til moderinstituttets regler). Når de lokale solvensregler adskiller sig fra forordning (EU) nr. 575/2013, og der ikke gives en sammenlignelig opdeling, angives oplysningerne det sted, hvor der foreligger data i den pågældende granulering. Denne del er derfor et faktuelt skema, der opsummerer de beregninger, som de individuelle institutter i en koncern skal foretage, idet det understreges, at nogle af institutterne kan være underlagt forskellige solvensregler.</w:t>
            </w:r>
          </w:p>
          <w:p w14:paraId="06719DC8" w14:textId="77777777" w:rsidR="00BF0637" w:rsidRPr="002A677E"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Indberetning af investeringsselskabers faste omkostninger:</w:t>
            </w:r>
          </w:p>
          <w:p w14:paraId="4FBEB847" w14:textId="7468143B" w:rsidR="00BF0637" w:rsidRPr="002A677E" w:rsidRDefault="00BF0637" w:rsidP="00BF0637">
            <w:pPr>
              <w:autoSpaceDE w:val="0"/>
              <w:autoSpaceDN w:val="0"/>
              <w:adjustRightInd w:val="0"/>
              <w:spacing w:after="0"/>
              <w:rPr>
                <w:rStyle w:val="InstructionsTabelleText"/>
                <w:rFonts w:ascii="Times New Roman" w:hAnsi="Times New Roman"/>
                <w:sz w:val="24"/>
              </w:rPr>
            </w:pPr>
            <w:r>
              <w:rPr>
                <w:rFonts w:ascii="Times New Roman" w:hAnsi="Times New Roman"/>
                <w:sz w:val="24"/>
              </w:rPr>
              <w:t>Investeringsselskaber skal medtage kapitalgrundlagskrav vedrørende faste omkostninger i deres beregning af kapitalprocent i henhold til artikel 95-98 i forordning (EU) nr. 575/2013.</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Den del af den samlede risikoeksponering, der vedrører faste omkostninger, indberettes i kolonne 0100 i dette skema.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SAMLET RISIKOEKSPONERING </w:t>
            </w:r>
          </w:p>
          <w:p w14:paraId="5DD1978D"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Summen af kolonne 0080 til 0110 indberettes.</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 MODPARTSRISIKO; UDVANDINGSRISIKO, LEVERINGSRISIKO (FREE DELIVERIES) OG AFVIKLINGS-/LEVERINGSRISIKO</w:t>
            </w:r>
          </w:p>
          <w:p w14:paraId="6FCE823E" w14:textId="77777777" w:rsidR="00BF0637" w:rsidRPr="002A677E" w:rsidRDefault="00BF0637" w:rsidP="00BF0637">
            <w:pPr>
              <w:rPr>
                <w:rStyle w:val="InstructionsTabelleText"/>
                <w:rFonts w:ascii="Times New Roman" w:hAnsi="Times New Roman"/>
                <w:sz w:val="24"/>
              </w:rPr>
            </w:pPr>
            <w:r>
              <w:rPr>
                <w:rFonts w:ascii="Times New Roman" w:hAnsi="Times New Roman"/>
                <w:sz w:val="24"/>
              </w:rPr>
              <w:t>Det beløb, der indberettes i denne kolonne, svarer til summen af risikovægtede eksponeringer, som er lig med eller svarer til dem, der indberettes i række 0040 "RISIKOVÆGTEDE EKSPONERINGER FOR KREDITRISIKO, MODPARTSRISIKO, UDVANDINGSRISIKO OG LEVERINGSRISIKO (FREE DELIVERIES)", og beløbene for kapitalgrundlagskrav, som er lig med eller svarer til dem, der indberettes i række 0490 "SAMLET RISIKOEKSPONERING FOR AFVIKLINGSRISIKO/LEVERINGSRISIKO" i skema CA2.</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POSITIONSRISIKO, VALUTARISIKO OG RÅVARERISIKO</w:t>
            </w:r>
          </w:p>
          <w:p w14:paraId="1D0B2589"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Det beløb, der skal indberettes i denne kolonne, svarer til beløbet for kapitalgrundlagskrav, som er lig med eller svarer til dem, der indberettes i række 0520 "SAMLET RISIKOEKSPONERING FOR POSITIONSRISIKO, VALUTARISIKO OG RÅVARERISIKO" i skema CA2.</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OPERATIONEL RISIKO</w:t>
            </w:r>
          </w:p>
          <w:p w14:paraId="6BB980A0"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Det beløb, der skal indberettes i denne kolonne, svarer til den risikoeksponering, som er lig med eller svarer til dem, der indberettes i række 0590 "SAMLET RISIKOEKSPONERING FOR OPERATIONELLE RISICI (OpR)" i skema CA2.</w:t>
            </w:r>
          </w:p>
          <w:p w14:paraId="46886FD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Faste omkostninger medtages i denne kolonne, herunder række 0630 "YDERLIGERE RISIKOEKSPONERING SOM FØLGE AF FASTE OMKOSTNINGER" i skema CA2.</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ANDRE RISIKOEKSPONERINGER</w:t>
            </w:r>
          </w:p>
          <w:p w14:paraId="56D4418F"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Det beløb, der skal indberettes i denne kolonne, svarer til den risikoeksponering, der ikke specifikt er anført ovenfor. Det er summen af beløbene i række 0640, 0680 og 0690 i skema CA2.</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DETALJEREDE OPLYSNINGER OM KAPITALGRUNDLAG FOR KONCERNSOLVENS</w:t>
            </w:r>
          </w:p>
          <w:p w14:paraId="2D591A5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De oplysninger, der indberettes i følgende kolonner, skal afspejle de lokale solvensregler i den medlemsstat, hvor enheden eller delkoncernen driver virksomhed.</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KAPITALGRUNDLAG</w:t>
            </w:r>
          </w:p>
          <w:p w14:paraId="63658095"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beløb, der skal indberettes i denne kolonne, svarer til det kapitalgrundlag, som er lig med eller svarer til det beløb, der indberettes i række 0010 "KAPITALGRUNDLAG" i skema CA1.</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HERAF: KVALIFICERENDE KAPITALGRUNDLAG </w:t>
            </w:r>
          </w:p>
          <w:p w14:paraId="09996C03" w14:textId="21A99D72"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Artikel 82 i forordning (EU) nr. 575/2013 </w:t>
            </w:r>
          </w:p>
          <w:p w14:paraId="5DD15394"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Denne kolonne udfyldes kun for datterselskaber, som indberettes individuelt, som er fuldt konsoliderede, og som er institutter. </w:t>
            </w:r>
          </w:p>
          <w:p w14:paraId="42804037" w14:textId="61A6A15D" w:rsidR="00BF0637" w:rsidRPr="002A677E" w:rsidRDefault="00BF0637" w:rsidP="00BF0637">
            <w:pPr>
              <w:rPr>
                <w:rStyle w:val="InstructionsTabelleText"/>
                <w:rFonts w:ascii="Times New Roman" w:hAnsi="Times New Roman"/>
                <w:sz w:val="24"/>
              </w:rPr>
            </w:pPr>
            <w:r>
              <w:rPr>
                <w:rFonts w:ascii="Times New Roman" w:hAnsi="Times New Roman"/>
                <w:sz w:val="24"/>
              </w:rPr>
              <w:lastRenderedPageBreak/>
              <w:t>Kvalificerende besiddelser er for ovennævnte datterselskaber instrumenter (plus tilknyttet overført resultat, overkurs ved emission og andre reserver), som ejes af andre personer end virksomhederne, og som indgår i konsolideringen efter forordning (EU) nr. 575/2013.</w:t>
            </w:r>
          </w:p>
          <w:p w14:paraId="4D2C4397"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indberettede beløb skal indbefatte virkningerne af evt. overgangsbestemmelser. Det skal være det gældende beløb på indberetningsdatoen.</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RELATEREDE KAPITALGRUNDLAGSINSTRUMENTER, TILKNYTTET OVERFØRT RESULTAT, OVERKURS VED EMISSION OG ANDRE RESERVER</w:t>
            </w:r>
          </w:p>
          <w:p w14:paraId="0E7A59AB" w14:textId="3612AEC9" w:rsidR="00BF0637" w:rsidRPr="002A677E" w:rsidRDefault="00BF0637" w:rsidP="00BF0637">
            <w:pPr>
              <w:rPr>
                <w:rStyle w:val="InstructionsTabelleberschrift"/>
                <w:rFonts w:ascii="Times New Roman" w:hAnsi="Times New Roman"/>
                <w:b w:val="0"/>
                <w:sz w:val="24"/>
                <w:u w:val="none"/>
              </w:rPr>
            </w:pPr>
            <w:r>
              <w:rPr>
                <w:rFonts w:ascii="Times New Roman" w:hAnsi="Times New Roman"/>
                <w:sz w:val="24"/>
              </w:rPr>
              <w:t>Artikel 87, stk. 1, litra b), i forordning (EU) nr. 575/2013</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KERNEKAPITAL I ALT</w:t>
            </w:r>
          </w:p>
          <w:p w14:paraId="325080D2" w14:textId="04BF5CF8" w:rsidR="00BF0637" w:rsidRPr="001235ED" w:rsidRDefault="00BF0637" w:rsidP="00BF0637">
            <w:pPr>
              <w:rPr>
                <w:rStyle w:val="InstructionsTabelleberschrift"/>
                <w:rFonts w:ascii="Times New Roman" w:hAnsi="Times New Roman"/>
                <w:sz w:val="24"/>
              </w:rPr>
            </w:pPr>
            <w:r>
              <w:rPr>
                <w:rFonts w:ascii="Times New Roman" w:hAnsi="Times New Roman"/>
                <w:sz w:val="24"/>
              </w:rPr>
              <w:t>Artikel 25 i forordning (EU) nr. 575/2013</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HERAF: KVALIFICERENDE KERNEKAPITAL</w:t>
            </w:r>
          </w:p>
          <w:p w14:paraId="3617A71D" w14:textId="3C5E3B69" w:rsidR="00BF0637" w:rsidRPr="002A677E" w:rsidRDefault="00BF0637" w:rsidP="00BF0637">
            <w:pPr>
              <w:rPr>
                <w:rStyle w:val="InstructionsTabelleText"/>
                <w:rFonts w:ascii="Times New Roman" w:hAnsi="Times New Roman"/>
                <w:sz w:val="24"/>
              </w:rPr>
            </w:pPr>
            <w:r>
              <w:rPr>
                <w:rFonts w:ascii="Times New Roman" w:hAnsi="Times New Roman"/>
                <w:sz w:val="24"/>
              </w:rPr>
              <w:t>Artikel 82 i forordning (EU) nr. 575/2013</w:t>
            </w:r>
          </w:p>
          <w:p w14:paraId="4472C46C"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Denne kolonne udfyldes kun for datterselskaber, som indberettes individuelt, som er fuldt konsoliderede, og som er institutter.</w:t>
            </w:r>
          </w:p>
          <w:p w14:paraId="01E6489E" w14:textId="0619F028" w:rsidR="00BF0637" w:rsidRPr="002A677E" w:rsidRDefault="00BF0637" w:rsidP="00BF0637">
            <w:pPr>
              <w:rPr>
                <w:rStyle w:val="InstructionsTabelleText"/>
                <w:rFonts w:ascii="Times New Roman" w:hAnsi="Times New Roman"/>
                <w:sz w:val="24"/>
              </w:rPr>
            </w:pPr>
            <w:r>
              <w:rPr>
                <w:rFonts w:ascii="Times New Roman" w:hAnsi="Times New Roman"/>
                <w:sz w:val="24"/>
              </w:rPr>
              <w:t>Kvalificerende besiddelser er for ovennævnte datterselskaber instrumenter (plus tilknyttet overført resultat og overkurs ved emission), som ejes af andre personer end de virksomheder, som indgår i konsolideringen efter forordning (EU) nr. 575/2013.</w:t>
            </w:r>
          </w:p>
          <w:p w14:paraId="7A7C7FA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indberettede beløb skal indbefatte virkningerne af evt. overgangsbestemmelser. Det skal være det gældende beløb på indberetningsdatoen.</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RELATEREDE KERNEKAPITALINSTRUMENTER, TILKNYTTET OVERFØRT RESULTAT OG OVERKURS VED EMISSION</w:t>
            </w:r>
          </w:p>
          <w:p w14:paraId="563BAF9E" w14:textId="6E8D3C07" w:rsidR="00BF0637" w:rsidRPr="002A677E" w:rsidRDefault="00BF0637" w:rsidP="00B14047">
            <w:pPr>
              <w:rPr>
                <w:rStyle w:val="InstructionsTabelleberschrift"/>
                <w:rFonts w:ascii="Times New Roman" w:hAnsi="Times New Roman"/>
                <w:sz w:val="24"/>
              </w:rPr>
            </w:pPr>
            <w:r>
              <w:rPr>
                <w:rFonts w:ascii="Times New Roman" w:hAnsi="Times New Roman"/>
                <w:sz w:val="24"/>
              </w:rPr>
              <w:t xml:space="preserve">Artikel 85, stk. 1, litra b), i forordning (EU) nr. 575/2013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EGENTLIG KERNEKAPITAL</w:t>
            </w:r>
          </w:p>
          <w:p w14:paraId="24F9DF96" w14:textId="26CD99EB" w:rsidR="00BF0637" w:rsidRPr="002A677E" w:rsidRDefault="00BF0637" w:rsidP="00BF0637">
            <w:pPr>
              <w:rPr>
                <w:rStyle w:val="InstructionsTabelleberschrift"/>
                <w:rFonts w:ascii="Times New Roman" w:hAnsi="Times New Roman"/>
                <w:sz w:val="24"/>
              </w:rPr>
            </w:pPr>
            <w:r>
              <w:rPr>
                <w:rFonts w:ascii="Times New Roman" w:hAnsi="Times New Roman"/>
                <w:sz w:val="24"/>
              </w:rPr>
              <w:t>Artikel 50 i forordning (EU) nr. 575/2013</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HERAF: MINORITETSINTERESSER</w:t>
            </w:r>
          </w:p>
          <w:p w14:paraId="6E57A6CD" w14:textId="38969175" w:rsidR="00BF0637" w:rsidRPr="002A677E" w:rsidRDefault="00BF0637" w:rsidP="00BF0637">
            <w:pPr>
              <w:rPr>
                <w:rStyle w:val="InstructionsTabelleText"/>
                <w:rFonts w:ascii="Times New Roman" w:hAnsi="Times New Roman"/>
                <w:sz w:val="24"/>
              </w:rPr>
            </w:pPr>
            <w:r>
              <w:rPr>
                <w:rFonts w:ascii="Times New Roman" w:hAnsi="Times New Roman"/>
                <w:sz w:val="24"/>
              </w:rPr>
              <w:t>Artikel 81 i forordning (EU) nr. 575/2013</w:t>
            </w:r>
          </w:p>
          <w:p w14:paraId="33A6FE49" w14:textId="3AEC578F" w:rsidR="00BF0637" w:rsidRPr="002A677E" w:rsidRDefault="00BF0637" w:rsidP="00BF0637">
            <w:pPr>
              <w:rPr>
                <w:rStyle w:val="InstructionsTabelleText"/>
                <w:rFonts w:ascii="Times New Roman" w:hAnsi="Times New Roman"/>
                <w:sz w:val="24"/>
              </w:rPr>
            </w:pPr>
            <w:r>
              <w:rPr>
                <w:rFonts w:ascii="Times New Roman" w:hAnsi="Times New Roman"/>
                <w:sz w:val="24"/>
              </w:rPr>
              <w:t>Denne kolonne udfyldes kun for fuldt konsoliderede datterselskaber, der er institutter, med undtagelse af datterselskaber, der er omhandlet i artikel 84, stk. 3, i forordning (EU) nr. 575/2013.</w:t>
            </w:r>
            <w:r>
              <w:rPr>
                <w:rStyle w:val="InstructionsTabelleText"/>
                <w:rFonts w:ascii="Times New Roman" w:hAnsi="Times New Roman"/>
                <w:sz w:val="24"/>
              </w:rPr>
              <w:t xml:space="preserve"> </w:t>
            </w:r>
            <w:r>
              <w:rPr>
                <w:rFonts w:ascii="Times New Roman" w:hAnsi="Times New Roman"/>
                <w:sz w:val="24"/>
              </w:rPr>
              <w:t>I alle de beregninger, der kræves i medfør af artikel 84 i forordning (EU) nr. 575/2013, indgår hvert datterselskab på delkonsolideret grundlag, hvis det er relevant i henhold til artikel 84, stk. 2, og ellers på individuelt grundlag.</w:t>
            </w:r>
          </w:p>
          <w:p w14:paraId="2875FB15" w14:textId="553FED4D" w:rsidR="00BF0637" w:rsidRPr="002A677E" w:rsidRDefault="00BF0637" w:rsidP="00BF0637">
            <w:pPr>
              <w:rPr>
                <w:rStyle w:val="InstructionsTabelleText"/>
                <w:rFonts w:ascii="Times New Roman" w:hAnsi="Times New Roman"/>
                <w:sz w:val="24"/>
              </w:rPr>
            </w:pPr>
            <w:r>
              <w:rPr>
                <w:rFonts w:ascii="Times New Roman" w:hAnsi="Times New Roman"/>
                <w:sz w:val="24"/>
              </w:rPr>
              <w:t>Minoritetsinteresser er for ovennævnte datterselskaber egentlige kernekapitalinstrumenter (plus tilknyttet overført resultat og overkurs ved emission), som ejes af andre personer end de virksomheder, som indgår i konsolideringen efter forordning (EU) nr. 575/2013.</w:t>
            </w:r>
          </w:p>
          <w:p w14:paraId="512E0FD2"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indberettede beløb skal indbefatte virkningerne af evt. overgangsbestemmelser. Det skal være det gældende beløb på indberetningsdatoen.</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RELATEREDE KAPITALGRUNDLAGSINSTRUMENTER, TILKNYTTET OVERFØRT RESULTAT, OVERKURS VED EMISSION OG ANDRE RESERVER</w:t>
            </w:r>
          </w:p>
          <w:p w14:paraId="2FC270C0" w14:textId="67E382D3" w:rsidR="00BF0637" w:rsidRPr="002A677E" w:rsidRDefault="00BF0637" w:rsidP="00BF0637">
            <w:pPr>
              <w:rPr>
                <w:rStyle w:val="InstructionsTabelleberschrift"/>
                <w:rFonts w:ascii="Times New Roman" w:hAnsi="Times New Roman"/>
                <w:b w:val="0"/>
                <w:sz w:val="24"/>
                <w:u w:val="none"/>
              </w:rPr>
            </w:pPr>
            <w:r>
              <w:rPr>
                <w:rFonts w:ascii="Times New Roman" w:hAnsi="Times New Roman"/>
                <w:sz w:val="24"/>
              </w:rPr>
              <w:t>Artikel 84, stk. 1, litra b), i forordning (EU) nr. 575/2013</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HYBRID KERNEKAPITAL</w:t>
            </w:r>
          </w:p>
          <w:p w14:paraId="70D8C1C5" w14:textId="485B4D5B" w:rsidR="00BF0637" w:rsidRPr="002A677E" w:rsidRDefault="00BF0637" w:rsidP="00BF0637">
            <w:pPr>
              <w:rPr>
                <w:rStyle w:val="InstructionsTabelleberschrift"/>
                <w:rFonts w:ascii="Times New Roman" w:hAnsi="Times New Roman"/>
                <w:sz w:val="24"/>
              </w:rPr>
            </w:pPr>
            <w:r>
              <w:rPr>
                <w:rFonts w:ascii="Times New Roman" w:hAnsi="Times New Roman"/>
                <w:sz w:val="24"/>
              </w:rPr>
              <w:t>Artikel 61 i forordning (EU) nr. 575/2013</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HERAF: KVALIFICERENDE HYBRID KERNEKAPITAL</w:t>
            </w:r>
          </w:p>
          <w:p w14:paraId="49B3C4BB" w14:textId="71B36A48" w:rsidR="00BF0637" w:rsidRPr="002A677E" w:rsidRDefault="00BF0637" w:rsidP="00BF0637">
            <w:pPr>
              <w:rPr>
                <w:rStyle w:val="InstructionsTabelleText"/>
                <w:rFonts w:ascii="Times New Roman" w:hAnsi="Times New Roman"/>
                <w:sz w:val="24"/>
              </w:rPr>
            </w:pPr>
            <w:r>
              <w:rPr>
                <w:rFonts w:ascii="Times New Roman" w:hAnsi="Times New Roman"/>
                <w:sz w:val="24"/>
              </w:rPr>
              <w:t>Artikel 82 og 83 i forordning (EU) nr. 575/2013</w:t>
            </w:r>
          </w:p>
          <w:p w14:paraId="108F1773" w14:textId="49BECF7B" w:rsidR="00BF0637" w:rsidRPr="002A677E" w:rsidRDefault="00BF0637" w:rsidP="00BF0637">
            <w:pPr>
              <w:rPr>
                <w:rStyle w:val="InstructionsTabelleText"/>
                <w:rFonts w:ascii="Times New Roman" w:hAnsi="Times New Roman"/>
                <w:sz w:val="24"/>
              </w:rPr>
            </w:pPr>
            <w:r>
              <w:rPr>
                <w:rFonts w:ascii="Times New Roman" w:hAnsi="Times New Roman"/>
                <w:sz w:val="24"/>
              </w:rPr>
              <w:t>Denne kolonne udfyldes kun for fuldt konsoliderede datterselskaber, der er institutter, med undtagelse af datterselskaber, der er omhandlet i artikel 85, stk. 2, i forordning (EU) nr. 575/2013.</w:t>
            </w:r>
            <w:r>
              <w:rPr>
                <w:rStyle w:val="InstructionsTabelleText"/>
                <w:rFonts w:ascii="Times New Roman" w:hAnsi="Times New Roman"/>
                <w:sz w:val="24"/>
              </w:rPr>
              <w:t xml:space="preserve"> </w:t>
            </w:r>
            <w:r>
              <w:rPr>
                <w:rFonts w:ascii="Times New Roman" w:hAnsi="Times New Roman"/>
                <w:sz w:val="24"/>
              </w:rPr>
              <w:t>I alle de beregninger, der kræves i medfør af artikel 85 i forordning (EU) nr. 575/2013, indgår hvert datterselskab på delkonsolideret grundlag, hvis det er relevant i henhold til artikel 85, stk. 2, og ellers på individuelt grundlag.</w:t>
            </w:r>
          </w:p>
          <w:p w14:paraId="5C833E43" w14:textId="5C8E1722" w:rsidR="00BF0637" w:rsidRPr="002A677E" w:rsidRDefault="00BF0637" w:rsidP="00BF0637">
            <w:pPr>
              <w:rPr>
                <w:rStyle w:val="InstructionsTabelleText"/>
                <w:rFonts w:ascii="Times New Roman" w:hAnsi="Times New Roman"/>
                <w:sz w:val="24"/>
              </w:rPr>
            </w:pPr>
            <w:r>
              <w:rPr>
                <w:rFonts w:ascii="Times New Roman" w:hAnsi="Times New Roman"/>
                <w:sz w:val="24"/>
              </w:rPr>
              <w:t>Minoritetsinteresser er for ovennævnte datterselskaber hybride kernekapitalinstrumenter (plus tilknyttet overført resultat og overkurs ved emission), som ejes af andre personer end de virksomheder, som indgår i konsolideringen efter forordning (EU) nr. 575/2013.</w:t>
            </w:r>
          </w:p>
          <w:p w14:paraId="31F885FA"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indberettede beløb skal indbefatte virkningerne af evt. overgangsbestemmelser. Det skal være det gældende beløb på indberetningsdatoen.</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SUPPLERENDE KAPITAL</w:t>
            </w:r>
          </w:p>
          <w:p w14:paraId="26B39E27" w14:textId="52EB1D2B" w:rsidR="00BF0637" w:rsidRPr="002A677E" w:rsidRDefault="00BF0637" w:rsidP="00BF0637">
            <w:pPr>
              <w:rPr>
                <w:rStyle w:val="InstructionsTabelleberschrift"/>
                <w:rFonts w:ascii="Times New Roman" w:hAnsi="Times New Roman"/>
                <w:sz w:val="24"/>
              </w:rPr>
            </w:pPr>
            <w:r>
              <w:rPr>
                <w:rFonts w:ascii="Times New Roman" w:hAnsi="Times New Roman"/>
                <w:sz w:val="24"/>
              </w:rPr>
              <w:t>Artikel 71 i forordning (EU) nr. 575/2013</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HERAF: KVALIFICERENDE SUPPLERENDE KAPITAL</w:t>
            </w:r>
          </w:p>
          <w:p w14:paraId="3F7B6259" w14:textId="20CAD0A4" w:rsidR="00BF0637" w:rsidRPr="002A677E" w:rsidRDefault="00BF0637" w:rsidP="00BF0637">
            <w:pPr>
              <w:rPr>
                <w:rStyle w:val="InstructionsTabelleText"/>
                <w:rFonts w:ascii="Times New Roman" w:hAnsi="Times New Roman"/>
                <w:sz w:val="24"/>
              </w:rPr>
            </w:pPr>
            <w:r>
              <w:rPr>
                <w:rFonts w:ascii="Times New Roman" w:hAnsi="Times New Roman"/>
                <w:sz w:val="24"/>
              </w:rPr>
              <w:t>Artikel 82 og 83 i forordning (EU) nr. 575/2013</w:t>
            </w:r>
          </w:p>
          <w:p w14:paraId="7B78D183" w14:textId="6D2D9790" w:rsidR="00BF0637" w:rsidRPr="002A677E" w:rsidRDefault="00BF0637" w:rsidP="00BF0637">
            <w:pPr>
              <w:rPr>
                <w:rStyle w:val="InstructionsTabelleText"/>
                <w:rFonts w:ascii="Times New Roman" w:hAnsi="Times New Roman"/>
                <w:sz w:val="24"/>
              </w:rPr>
            </w:pPr>
            <w:r>
              <w:rPr>
                <w:rFonts w:ascii="Times New Roman" w:hAnsi="Times New Roman"/>
                <w:sz w:val="24"/>
              </w:rPr>
              <w:t>Denne kolonne udfyldes kun for fuldt konsoliderede datterselskaber, der er institutter, med undtagelse af datterselskaber, der er omhandlet i artikel 87, stk. 2, i forordning (EU) nr. 575/2013.</w:t>
            </w:r>
            <w:r>
              <w:rPr>
                <w:rStyle w:val="InstructionsTabelleText"/>
                <w:rFonts w:ascii="Times New Roman" w:hAnsi="Times New Roman"/>
                <w:sz w:val="24"/>
              </w:rPr>
              <w:t xml:space="preserve"> </w:t>
            </w:r>
            <w:r>
              <w:rPr>
                <w:rFonts w:ascii="Times New Roman" w:hAnsi="Times New Roman"/>
                <w:sz w:val="24"/>
              </w:rPr>
              <w:t>I alle de beregninger, der kræves i medfør af artikel 87 i forordning (EU) nr. 575/2013, indgår hvert datterselskab på delkonsolideret grundlag, hvis det er relevant i henhold til artikel 87, stk. 2, og ellers på individuelt grundlag.</w:t>
            </w:r>
            <w:r>
              <w:rPr>
                <w:rStyle w:val="InstructionsTabelleText"/>
                <w:rFonts w:ascii="Times New Roman" w:hAnsi="Times New Roman"/>
                <w:sz w:val="24"/>
              </w:rPr>
              <w:t xml:space="preserve"> </w:t>
            </w:r>
          </w:p>
          <w:p w14:paraId="650A7EFB" w14:textId="786D34BD" w:rsidR="00BF0637" w:rsidRPr="002A677E" w:rsidRDefault="00BF0637" w:rsidP="00BF0637">
            <w:pPr>
              <w:rPr>
                <w:rStyle w:val="InstructionsTabelleText"/>
                <w:rFonts w:ascii="Times New Roman" w:hAnsi="Times New Roman"/>
                <w:sz w:val="24"/>
              </w:rPr>
            </w:pPr>
            <w:r>
              <w:rPr>
                <w:rFonts w:ascii="Times New Roman" w:hAnsi="Times New Roman"/>
                <w:sz w:val="24"/>
              </w:rPr>
              <w:t>Minoritetsinteresser er for ovennævnte datterselskaber supplerende kapitalinstrumenter (plus tilknyttet overført resultat og overkurs ved emission), som ejes af andre personer end de virksomheder, som indgår i konsolideringen efter forordning (EU) nr. 575/2013.</w:t>
            </w:r>
          </w:p>
          <w:p w14:paraId="5EB64EB4" w14:textId="77777777" w:rsidR="00BF0637" w:rsidRPr="002A677E" w:rsidRDefault="00BF0637" w:rsidP="001B43BD">
            <w:pPr>
              <w:rPr>
                <w:rStyle w:val="InstructionsTabelleText"/>
                <w:rFonts w:ascii="Times New Roman" w:hAnsi="Times New Roman"/>
                <w:sz w:val="24"/>
              </w:rPr>
            </w:pPr>
            <w:r>
              <w:rPr>
                <w:rStyle w:val="InstructionsTabelleText"/>
                <w:rFonts w:ascii="Times New Roman" w:hAnsi="Times New Roman"/>
                <w:sz w:val="24"/>
              </w:rPr>
              <w:t>Det indberettede beløb skal indbefatte virkningerne af evt. overgangsbestemmelser. Det skal være det gældende beløb på referencedatoen.</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OPLYSNINGER OM ENHEDERNES BIDRAG TIL KONCERNSOLVENSEN</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BIDRAG TIL RISICI</w:t>
            </w:r>
          </w:p>
          <w:p w14:paraId="072B72C1" w14:textId="77777777" w:rsidR="00BF0637" w:rsidRPr="002A677E" w:rsidRDefault="00BF0637" w:rsidP="00BF0637">
            <w:pPr>
              <w:rPr>
                <w:rStyle w:val="InstructionsTabelleberschrift"/>
                <w:rFonts w:ascii="Times New Roman" w:hAnsi="Times New Roman"/>
                <w:sz w:val="24"/>
              </w:rPr>
            </w:pPr>
            <w:r>
              <w:rPr>
                <w:rFonts w:ascii="Times New Roman" w:hAnsi="Times New Roman"/>
                <w:sz w:val="24"/>
              </w:rPr>
              <w:t>De oplysninger, der indberettes i følgende kolonner, skal være i overensstemmelse med de solvensregler, der gælder for det indberettende institut.</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SAMLET RISIKOEKSPONERING</w:t>
            </w:r>
          </w:p>
          <w:p w14:paraId="40F6AE1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lastRenderedPageBreak/>
              <w:t>Summen af kolonne 0260 til 0290 indberettes.</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 MODPARTSRISIKO; UDVANDINGSRISIKO, LEVERINGSRISIKO (FREE DELIVERIES) OG AFVIKLINGS-/LEVERINGSRISIKO</w:t>
            </w:r>
          </w:p>
          <w:p w14:paraId="72CBAFCB" w14:textId="106D5FE5" w:rsidR="00BF0637" w:rsidRPr="002A677E" w:rsidRDefault="00BF0637" w:rsidP="00975344">
            <w:pPr>
              <w:rPr>
                <w:rStyle w:val="InstructionsTabelleText"/>
                <w:rFonts w:ascii="Times New Roman" w:hAnsi="Times New Roman"/>
                <w:sz w:val="24"/>
              </w:rPr>
            </w:pPr>
            <w:r>
              <w:rPr>
                <w:rFonts w:ascii="Times New Roman" w:hAnsi="Times New Roman"/>
                <w:sz w:val="24"/>
              </w:rPr>
              <w:t>Det indberettede beløb skal være de risikovægtede eksponeringer for kreditrisiko og kapitalgrundlagskravene i relation til afviklingsrisiko/leveringsrisiko efter forordning (EU) nr. 575/2013, ekskl. beløb vedrørende transaktioner med andre enheder, der indgår i beregningen af den konsoliderede soliditetsgrad for koncernen.</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POSITIONSRISIKO, VALUTARISIKO OG RÅVARERISIKO</w:t>
            </w:r>
          </w:p>
          <w:p w14:paraId="21F4E9B7" w14:textId="7D622AF1" w:rsidR="00BF0637" w:rsidRPr="001235ED" w:rsidRDefault="00BF0637" w:rsidP="00D768D3">
            <w:pPr>
              <w:rPr>
                <w:rStyle w:val="InstructionsTabelleText"/>
                <w:rFonts w:ascii="Times New Roman" w:hAnsi="Times New Roman"/>
                <w:sz w:val="24"/>
              </w:rPr>
            </w:pPr>
            <w:r>
              <w:rPr>
                <w:rFonts w:ascii="Times New Roman" w:hAnsi="Times New Roman"/>
                <w:sz w:val="24"/>
              </w:rPr>
              <w:t>Risikoeksponeringer for markedsrisici beregnes på hvert enhedsniveau i overensstemmelse med forordning (EU) nr. 575/2013.</w:t>
            </w:r>
            <w:r>
              <w:rPr>
                <w:rStyle w:val="InstructionsTabelleText"/>
                <w:rFonts w:ascii="Times New Roman" w:hAnsi="Times New Roman"/>
                <w:sz w:val="24"/>
              </w:rPr>
              <w:t xml:space="preserve"> Enheder skal indberette bidraget til koncernens samlede risikoeksponeringer for positionsrisiko, valutarisiko og råvarerisiko. </w:t>
            </w:r>
            <w:r>
              <w:rPr>
                <w:rFonts w:ascii="Times New Roman" w:hAnsi="Times New Roman"/>
                <w:sz w:val="24"/>
              </w:rPr>
              <w:t>Summen af de beløb, der indberettes her, svarer til det beløb, der indberettes i række 0520 "SAMLET RISIKOEKSPONERING FOR POSITIONSRISIKO, VALUTARISIKO OG RÅVARERISIKO" i den konsoliderede indberetning.</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OPERATIONEL RISIKO</w:t>
            </w:r>
          </w:p>
          <w:p w14:paraId="0BF1BD4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Ved anvendelse af avancerede målemetoder (AMA) omfatter de indberettede risikoeksponeringer for operationelle risici virkningen af diversificering.</w:t>
            </w:r>
          </w:p>
          <w:p w14:paraId="53F6E3CC" w14:textId="77777777" w:rsidR="00BF0637" w:rsidRPr="002A677E" w:rsidRDefault="00BF0637" w:rsidP="00BF0637">
            <w:pPr>
              <w:rPr>
                <w:rStyle w:val="InstructionsTabelleText"/>
                <w:rFonts w:ascii="Times New Roman" w:hAnsi="Times New Roman"/>
                <w:sz w:val="24"/>
              </w:rPr>
            </w:pPr>
            <w:r>
              <w:rPr>
                <w:rFonts w:ascii="Times New Roman" w:hAnsi="Times New Roman"/>
                <w:sz w:val="24"/>
              </w:rPr>
              <w:t>Faste omkostninger angives i denne kolonne.</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ANDRE RISIKOEKSPONERINGER</w:t>
            </w:r>
          </w:p>
          <w:p w14:paraId="5A7799CF"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beløb, der skal indberettes i denne kolonne, svarer til risikoeksponeringen for andre risici end anført ovenfor.</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BIDRAG TIL KAPITALGRUNDLAG</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Det er ikke hensigten, at institutterne i denne del af skemaet skal foretage en udførlig beregning af den samlede kapitalprocent på niveauet for hver enkelt enhed. </w:t>
            </w:r>
          </w:p>
          <w:p w14:paraId="23DCF7D5" w14:textId="77777777" w:rsidR="00BF0637" w:rsidRPr="002A677E" w:rsidRDefault="00BF0637" w:rsidP="00BF0637">
            <w:pPr>
              <w:pStyle w:val="Texte2"/>
              <w:ind w:left="0"/>
              <w:rPr>
                <w:rStyle w:val="InstructionsTabelleText"/>
                <w:rFonts w:ascii="Times New Roman" w:hAnsi="Times New Roman"/>
                <w:sz w:val="24"/>
                <w:szCs w:val="24"/>
              </w:rPr>
            </w:pPr>
            <w:r>
              <w:rPr>
                <w:rFonts w:ascii="Times New Roman" w:hAnsi="Times New Roman"/>
                <w:sz w:val="24"/>
              </w:rPr>
              <w:t>Kolonne 0300 til 0350 udfyldes for konsoliderede enheder, der bidrager til kapitalgrundlaget med minoritetsinteresse, kvalificerende kernekapital eller kvalificerende kapitalgrundlag. Under hensyntagen til den tærskel, der er omhandlet i del II, kapitel 2.3, sidste afsnit, skal kolonne 0360 til 0400 indberettes for alle konsoliderede enheder, der bidrager til det konsoliderede kapitalgrundlag.</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Kapitalgrundlag, som tilføres en enhed af resten af de enheder, der indgår i den indberettende enhed, medregnes ikke. Kun nettobidraget til koncernens kapitalgrundlag indberettes i denne kolonne (primært kapitalgrundlag fra tredjeparter og kumulerede reserver).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De oplysninger, der indberettes i følgende kolonner, skal være i overensstemmelse med de solvensregler, der gælder for det indberettende institut.</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KVALIFICERENDE KAPITALGRUNDLAG, DER INDGÅR I DET KONSOLIDEREDE KAPITALGRUNDLAG</w:t>
            </w:r>
          </w:p>
          <w:p w14:paraId="6B0CC8E1" w14:textId="0855B600" w:rsidR="00BF0637" w:rsidRPr="002A677E" w:rsidRDefault="00BF0637" w:rsidP="00975344">
            <w:pPr>
              <w:rPr>
                <w:rStyle w:val="InstructionsTabelleberschrift"/>
                <w:rFonts w:ascii="Times New Roman" w:hAnsi="Times New Roman"/>
                <w:sz w:val="24"/>
              </w:rPr>
            </w:pPr>
            <w:r>
              <w:rPr>
                <w:rFonts w:ascii="Times New Roman" w:hAnsi="Times New Roman"/>
                <w:sz w:val="24"/>
              </w:rPr>
              <w:t xml:space="preserve">Det beløb, der indberettes som "KVALIFICERENDE KAPITALGRUNDLAG, DER INDGÅR I DET KONSOLIDEREDE KAPITALGRUNDLAG", skal være det beløb, </w:t>
            </w:r>
            <w:r>
              <w:rPr>
                <w:rFonts w:ascii="Times New Roman" w:hAnsi="Times New Roman"/>
                <w:sz w:val="24"/>
              </w:rPr>
              <w:lastRenderedPageBreak/>
              <w:t>der er opført i henhold til anden del, afsnit II, i forordning (EU) nr. 575/2013, ekskl. kapital, der tilføres af andre koncernenheder.</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lastRenderedPageBreak/>
              <w:t>0300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KVALIFICERENDE KAPITALGRUNDLAG, DER INDGÅR I DET KONSOLIDEREDE KAPITALGRUNDLAG</w:t>
            </w:r>
          </w:p>
          <w:p w14:paraId="1633436E" w14:textId="5B33D718" w:rsidR="00BF0637" w:rsidRPr="002A677E" w:rsidRDefault="00BF0637" w:rsidP="00BF0637">
            <w:pPr>
              <w:rPr>
                <w:rStyle w:val="InstructionsTabelleText"/>
                <w:rFonts w:ascii="Times New Roman" w:hAnsi="Times New Roman"/>
                <w:sz w:val="24"/>
              </w:rPr>
            </w:pPr>
            <w:r>
              <w:rPr>
                <w:rFonts w:ascii="Times New Roman" w:hAnsi="Times New Roman"/>
                <w:sz w:val="24"/>
              </w:rPr>
              <w:t>Artikel 87 i forordning (EU) nr. 575/2013</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KVALIFICERENDE KERNEKAPITALINSTRUMENTER, DER INDGÅR I DEN KONSOLIDEREDE KERNEKAPITAL</w:t>
            </w:r>
          </w:p>
          <w:p w14:paraId="494A052C" w14:textId="6ECF9D4A" w:rsidR="00BF0637" w:rsidRPr="002A677E" w:rsidRDefault="00BF0637" w:rsidP="00BF0637">
            <w:pPr>
              <w:rPr>
                <w:rStyle w:val="InstructionsTabelleText"/>
                <w:rFonts w:ascii="Times New Roman" w:hAnsi="Times New Roman"/>
                <w:sz w:val="24"/>
              </w:rPr>
            </w:pPr>
            <w:r>
              <w:rPr>
                <w:rFonts w:ascii="Times New Roman" w:hAnsi="Times New Roman"/>
                <w:sz w:val="24"/>
              </w:rPr>
              <w:t>Artikel 85 i forordning (EU) nr. 575/2013</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MINORITETSINTERESSER, DER INDGÅR I DEN KONSOLIDEREDE EGENTLIGE</w:t>
            </w:r>
            <w:r>
              <w:t xml:space="preserve"> </w:t>
            </w:r>
            <w:r>
              <w:br/>
            </w:r>
            <w:r>
              <w:rPr>
                <w:rStyle w:val="InstructionsTabelleberschrift"/>
                <w:rFonts w:ascii="Times New Roman" w:hAnsi="Times New Roman"/>
                <w:sz w:val="24"/>
              </w:rPr>
              <w:t>KERNEKAPITAL</w:t>
            </w:r>
          </w:p>
          <w:p w14:paraId="3911EDD5" w14:textId="2DD21D77" w:rsidR="00BF0637" w:rsidRPr="002A677E" w:rsidRDefault="00BF0637" w:rsidP="00BF0637">
            <w:pPr>
              <w:rPr>
                <w:rStyle w:val="InstructionsTabelleText"/>
                <w:rFonts w:ascii="Times New Roman" w:hAnsi="Times New Roman"/>
                <w:sz w:val="24"/>
              </w:rPr>
            </w:pPr>
            <w:r>
              <w:rPr>
                <w:rFonts w:ascii="Times New Roman" w:hAnsi="Times New Roman"/>
                <w:sz w:val="24"/>
              </w:rPr>
              <w:t>Artikel 84 i forordning (EU) nr. 575/2013</w:t>
            </w:r>
          </w:p>
          <w:p w14:paraId="7FDDD9A5" w14:textId="3C4981FA" w:rsidR="00BF0637" w:rsidRPr="002A677E" w:rsidRDefault="00BF0637" w:rsidP="00BF0637">
            <w:pPr>
              <w:rPr>
                <w:rStyle w:val="InstructionsTabelleText"/>
                <w:rFonts w:ascii="Times New Roman" w:hAnsi="Times New Roman"/>
                <w:sz w:val="24"/>
              </w:rPr>
            </w:pPr>
            <w:r>
              <w:rPr>
                <w:rFonts w:ascii="Times New Roman" w:hAnsi="Times New Roman"/>
                <w:sz w:val="24"/>
              </w:rPr>
              <w:t>Det beløb, der skal indberettes, er beløbet for et datterselskabs minoritetsinteresser, der indgår i den konsoliderede egentlige kernekapital i henhold til forordning (EU) nr. 575/2013.</w:t>
            </w:r>
            <w:r>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KVALIFICERENDE KERNEKAPITALINSTRUMENTER, DER INDGÅR I DEN KONSOLIDEREDE HYBRIDE KERNEKAPITAL</w:t>
            </w:r>
          </w:p>
          <w:p w14:paraId="45D53AAB" w14:textId="6B0C1515" w:rsidR="00BF0637" w:rsidRPr="002A677E" w:rsidRDefault="00BF0637" w:rsidP="00BF0637">
            <w:pPr>
              <w:rPr>
                <w:rStyle w:val="InstructionsTabelleText"/>
                <w:rFonts w:ascii="Times New Roman" w:hAnsi="Times New Roman"/>
                <w:sz w:val="24"/>
              </w:rPr>
            </w:pPr>
            <w:r>
              <w:rPr>
                <w:rFonts w:ascii="Times New Roman" w:hAnsi="Times New Roman"/>
                <w:sz w:val="24"/>
              </w:rPr>
              <w:t>Artikel 86 i forordning (EU) nr. 575/2013</w:t>
            </w:r>
          </w:p>
          <w:p w14:paraId="203897A7" w14:textId="4991A87C" w:rsidR="00BF0637" w:rsidRPr="002A677E" w:rsidRDefault="00BF0637" w:rsidP="00BF0637">
            <w:pPr>
              <w:rPr>
                <w:rStyle w:val="InstructionsTabelleText"/>
                <w:rFonts w:ascii="Times New Roman" w:hAnsi="Times New Roman"/>
                <w:sz w:val="24"/>
              </w:rPr>
            </w:pPr>
            <w:r>
              <w:rPr>
                <w:rFonts w:ascii="Times New Roman" w:hAnsi="Times New Roman"/>
                <w:sz w:val="24"/>
              </w:rPr>
              <w:t>Det beløb, der skal indberettes, er beløbet for et datterselskabs kvalificerende kernekapital, der indgår i den konsoliderede hybride kernekapital i henhold til forordning (EU) nr. 575/2013.</w:t>
            </w:r>
            <w:r>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KVALIFICERENDE KAPITALGRUNDLAGSINSTRUMENTER, DER INDGÅR I DEN</w:t>
            </w:r>
            <w:r>
              <w:t xml:space="preserve"> </w:t>
            </w:r>
            <w:r>
              <w:br/>
            </w:r>
            <w:r>
              <w:rPr>
                <w:rStyle w:val="InstructionsTabelleberschrift"/>
                <w:rFonts w:ascii="Times New Roman" w:hAnsi="Times New Roman"/>
                <w:sz w:val="24"/>
              </w:rPr>
              <w:t>KONSOLIDEREDE SUPPLERENDE KAPITAL</w:t>
            </w:r>
          </w:p>
          <w:p w14:paraId="4291CA19" w14:textId="73F97F93" w:rsidR="00BF0637" w:rsidRPr="002A677E" w:rsidRDefault="00BF0637" w:rsidP="00BF0637">
            <w:pPr>
              <w:rPr>
                <w:rStyle w:val="InstructionsTabelleText"/>
                <w:rFonts w:ascii="Times New Roman" w:hAnsi="Times New Roman"/>
                <w:sz w:val="24"/>
              </w:rPr>
            </w:pPr>
            <w:r>
              <w:rPr>
                <w:rFonts w:ascii="Times New Roman" w:hAnsi="Times New Roman"/>
                <w:sz w:val="24"/>
              </w:rPr>
              <w:t>Artikel 88 i forordning (EU) nr. 575/2013</w:t>
            </w:r>
          </w:p>
          <w:p w14:paraId="6E02F526" w14:textId="45A02523" w:rsidR="00BF0637" w:rsidRPr="002A677E" w:rsidRDefault="00BF0637" w:rsidP="00DE583B">
            <w:pPr>
              <w:rPr>
                <w:rStyle w:val="InstructionsTabelleText"/>
                <w:rFonts w:ascii="Times New Roman" w:hAnsi="Times New Roman"/>
                <w:sz w:val="24"/>
              </w:rPr>
            </w:pPr>
            <w:r>
              <w:rPr>
                <w:rFonts w:ascii="Times New Roman" w:hAnsi="Times New Roman"/>
                <w:sz w:val="24"/>
              </w:rPr>
              <w:t>Det beløb, der skal indberettes, er beløbet for et datterselskabs kvalificerende kapitalgrundlag, der indgår i den konsoliderede supplerende kapital i henhold til forordning (EU) nr. 575/2013.</w:t>
            </w:r>
            <w:r>
              <w:rPr>
                <w:rStyle w:val="InstructionsTabelleText"/>
                <w:rFonts w:ascii="Times New Roman" w:hAnsi="Times New Roman"/>
                <w:sz w:val="24"/>
              </w:rPr>
              <w:t xml:space="preserve">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Pr>
                <w:rFonts w:ascii="Times New Roman" w:hAnsi="Times New Roman"/>
                <w:sz w:val="24"/>
              </w:rPr>
              <w:t>0350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MEMORANDUMPOST: GOODWILL (-)/(+) NEGATIV GOODWILL</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Pr>
                <w:rFonts w:ascii="Times New Roman" w:hAnsi="Times New Roman"/>
                <w:sz w:val="24"/>
              </w:rPr>
              <w:t>0360-0400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KONSOLIDERET KAPITALGRUNDLAG</w:t>
            </w:r>
          </w:p>
          <w:p w14:paraId="36D104D8" w14:textId="2BBD7793" w:rsidR="00BF0637" w:rsidRPr="002A677E" w:rsidRDefault="00BF0637" w:rsidP="00BF0637">
            <w:pPr>
              <w:rPr>
                <w:rStyle w:val="InstructionsTabelleText"/>
                <w:rFonts w:ascii="Times New Roman" w:hAnsi="Times New Roman"/>
                <w:sz w:val="24"/>
              </w:rPr>
            </w:pPr>
            <w:r>
              <w:rPr>
                <w:rFonts w:ascii="Times New Roman" w:hAnsi="Times New Roman"/>
                <w:sz w:val="24"/>
              </w:rPr>
              <w:t>Artikel 18 i forordning (EU) nr. 575/2013</w:t>
            </w:r>
          </w:p>
          <w:p w14:paraId="0BB39ADB"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Det beløb, der skal indberettes som "KONSOLIDERET KAPITALGRUNDLAG", er beløbet opført i balancen, ekskl. kapital, der tilføres af andre koncernenheder.</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Pr>
                <w:rFonts w:ascii="Times New Roman" w:hAnsi="Times New Roman"/>
                <w:sz w:val="24"/>
              </w:rPr>
              <w:t>0360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KONSOLIDERET KAPITALGRUNDLAG</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Pr>
                <w:rFonts w:ascii="Times New Roman" w:hAnsi="Times New Roman"/>
                <w:sz w:val="24"/>
              </w:rPr>
              <w:t>0370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HERAF: EGENTLIG KERNEKAPITAL</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Pr>
                <w:rFonts w:ascii="Times New Roman" w:hAnsi="Times New Roman"/>
                <w:sz w:val="24"/>
              </w:rPr>
              <w:t>0380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HERAF: HYBRID KERNEKAPITAL</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Pr>
                <w:rFonts w:ascii="Times New Roman" w:hAnsi="Times New Roman"/>
                <w:sz w:val="24"/>
              </w:rPr>
              <w:lastRenderedPageBreak/>
              <w:t>0390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HERAF: BIDRAG TIL KONSOLIDERET RESULTAT</w:t>
            </w:r>
          </w:p>
          <w:p w14:paraId="468209C6"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Hver enheds bidrag til det konsoliderede resultat (overskud eller tab (-)) indberettes. Det indbefatter resultater, der vedrører minoritetsinteresser.</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Pr>
                <w:rFonts w:ascii="Times New Roman" w:hAnsi="Times New Roman"/>
                <w:sz w:val="24"/>
              </w:rPr>
              <w:t>0400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HERAF: (-) GOODWILL/(+) NEGATIV GOODWILL</w:t>
            </w:r>
          </w:p>
          <w:p w14:paraId="6CABAE8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Den indberettende enheds goodwill eller negative goodwill i forbindelse med datterselskabet indberettes her.</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KAPITALBUFFERE</w:t>
            </w:r>
          </w:p>
          <w:p w14:paraId="40394476" w14:textId="34D6AAB6"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Indberetningen af kapitalbuffere i GS-skemaet følger den generelle opbygning i skema CA4, og der anvendes de samme indberetningsbegreber. Ved indberetningen af kapitalbuffere i GS-skemaet indberettes de relevante værdier i overensstemmelse med de bestemmelser, der gælder for bestemmelse af bufferkravet for den konsoliderede situation for en koncern. De indberettede værdier for kapitalbuffere repræsenterer derfor hver enheds bidrag til koncernkapitalbuffere. </w:t>
            </w:r>
            <w:r>
              <w:rPr>
                <w:rFonts w:ascii="Times New Roman" w:hAnsi="Times New Roman"/>
                <w:sz w:val="24"/>
              </w:rPr>
              <w:t>De indberettede værdier skal baseres på de nationale gennemførelsesforanstaltninger for direktiv 2013/36/EU og på forordning (EU) nr. 575/2013, herunder eventuelle overgangsbestemmelser deri.</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KOMBINERET BUFFERKRAV</w:t>
            </w:r>
          </w:p>
          <w:p w14:paraId="3D5E19EB" w14:textId="0994A741" w:rsidR="00BF0637" w:rsidRPr="002A677E" w:rsidRDefault="00BF0637" w:rsidP="00B14047">
            <w:pPr>
              <w:tabs>
                <w:tab w:val="left" w:pos="3510"/>
              </w:tabs>
              <w:rPr>
                <w:rStyle w:val="InstructionsTabelleberschrift"/>
                <w:rFonts w:ascii="Times New Roman" w:hAnsi="Times New Roman"/>
                <w:sz w:val="24"/>
              </w:rPr>
            </w:pPr>
            <w:r>
              <w:rPr>
                <w:rFonts w:ascii="Times New Roman" w:hAnsi="Times New Roman"/>
                <w:sz w:val="24"/>
              </w:rPr>
              <w:t>Artikel 128, nr. 6), i direktiv 2013/36/EU</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KAPITALBEVARINGSBUFFER</w:t>
            </w:r>
          </w:p>
          <w:p w14:paraId="7A1DFE23" w14:textId="6FB2BF88" w:rsidR="00BF0637" w:rsidRPr="002A677E" w:rsidRDefault="00BF0637" w:rsidP="00BF0637">
            <w:pPr>
              <w:rPr>
                <w:rStyle w:val="InstructionsTabelleText"/>
                <w:rFonts w:ascii="Times New Roman" w:hAnsi="Times New Roman"/>
                <w:sz w:val="24"/>
              </w:rPr>
            </w:pPr>
            <w:r>
              <w:rPr>
                <w:rFonts w:ascii="Times New Roman" w:hAnsi="Times New Roman"/>
                <w:sz w:val="24"/>
              </w:rPr>
              <w:t>Artikel 128, stk. 1, og artikel 129 i direktiv 2013/36/EU</w:t>
            </w:r>
          </w:p>
          <w:p w14:paraId="6BAB745B" w14:textId="64C721C3" w:rsidR="00BF0637" w:rsidRPr="002A677E" w:rsidRDefault="00BF0637" w:rsidP="00487A02">
            <w:pPr>
              <w:pStyle w:val="InstructionsText"/>
              <w:rPr>
                <w:rStyle w:val="InstructionsTabelleText"/>
                <w:rFonts w:ascii="Times New Roman" w:hAnsi="Times New Roman"/>
                <w:sz w:val="24"/>
              </w:rPr>
            </w:pPr>
            <w:r>
              <w:t>I henhold til artikel 129, stk. 1, i direktiv 2013/36/EU er kapitalbevaringsbufferen et beløb ud over den egentlige kernekapital. Eftersom satsen på 2,5 % for kapitalbevaringsbufferen er stabil, skal der indberettes et beløb i denne celle.</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INSTITUTSPECIFIK KONTRACYKLISK KAPITALBUFFER</w:t>
            </w:r>
          </w:p>
          <w:p w14:paraId="60BB7D4D" w14:textId="45B1CD6A" w:rsidR="00BF0637" w:rsidRPr="002A677E" w:rsidRDefault="00BF0637" w:rsidP="00BF0637">
            <w:pPr>
              <w:rPr>
                <w:rStyle w:val="InstructionsTabelleText"/>
                <w:rFonts w:ascii="Times New Roman" w:hAnsi="Times New Roman"/>
                <w:sz w:val="24"/>
              </w:rPr>
            </w:pPr>
            <w:r>
              <w:rPr>
                <w:rFonts w:ascii="Times New Roman" w:hAnsi="Times New Roman"/>
                <w:sz w:val="24"/>
              </w:rPr>
              <w:t>Artikel 128, nr. 2), artikel 130 og 135-140 i direktiv 2013/36/EU</w:t>
            </w:r>
          </w:p>
          <w:p w14:paraId="13C2D32F" w14:textId="77777777" w:rsidR="00BF0637" w:rsidRPr="002A677E" w:rsidRDefault="001B43BD" w:rsidP="00487A02">
            <w:pPr>
              <w:pStyle w:val="InstructionsText"/>
              <w:rPr>
                <w:rStyle w:val="InstructionsTabelleText"/>
                <w:rFonts w:ascii="Times New Roman" w:hAnsi="Times New Roman"/>
                <w:sz w:val="24"/>
              </w:rPr>
            </w:pPr>
            <w:r>
              <w:t>I denne celle indberettes det faktiske beløb for den kontracykliske kapitalbuffer.</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BEVARINGSBUFFER SOM FØLGE AF MAKROPRUDENTIEL ELLER SYSTEMISK RISIKO IDENTIFICERET PÅ MEDLEMSSTATSNIVEAU</w:t>
            </w:r>
          </w:p>
          <w:p w14:paraId="582CB6E0" w14:textId="2A4C4B2C" w:rsidR="00BF0637" w:rsidRPr="002A677E" w:rsidRDefault="00BF0637" w:rsidP="00BF0637">
            <w:pPr>
              <w:rPr>
                <w:rStyle w:val="InstructionsTabelleberschrift"/>
                <w:rFonts w:ascii="Times New Roman" w:hAnsi="Times New Roman"/>
                <w:b w:val="0"/>
                <w:sz w:val="24"/>
                <w:u w:val="none"/>
              </w:rPr>
            </w:pPr>
            <w:r>
              <w:rPr>
                <w:rFonts w:ascii="Times New Roman" w:hAnsi="Times New Roman"/>
                <w:sz w:val="24"/>
              </w:rPr>
              <w:t>Artikel 458, stk. 2, litra d), nr. iv), i forordning (EU) nr. 575/2013</w:t>
            </w:r>
          </w:p>
          <w:p w14:paraId="4670889D" w14:textId="323C3C12" w:rsidR="00BF0637" w:rsidRPr="002A677E" w:rsidRDefault="001B43BD" w:rsidP="00487A02">
            <w:pPr>
              <w:pStyle w:val="InstructionsText"/>
              <w:rPr>
                <w:rStyle w:val="InstructionsTabelleberschrift"/>
                <w:rFonts w:ascii="Times New Roman" w:hAnsi="Times New Roman"/>
                <w:sz w:val="24"/>
              </w:rPr>
            </w:pPr>
            <w:r>
              <w:t>I denne celle indberettes det beløb for bevaringsbufferen som følge af makroprudentiel eller systemisk risiko identificeret på medlemsstatsniveau, der ud over kapitalbevaringsbufferen kan kræves i henhold til artikel 458 i forordning (EU) nr. 575/2013.</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SYSTEMISK RISIKOBUFFER</w:t>
            </w:r>
          </w:p>
          <w:p w14:paraId="1EC2BAA7" w14:textId="0181C20C" w:rsidR="00BF0637" w:rsidRPr="002A677E" w:rsidRDefault="00BF0637" w:rsidP="00487A02">
            <w:pPr>
              <w:pStyle w:val="InstructionsText"/>
            </w:pPr>
            <w:r>
              <w:t xml:space="preserve">Artikel 128, nr. 5), artikel 133 og 134 i direktiv 2013/36/EU </w:t>
            </w:r>
          </w:p>
          <w:p w14:paraId="2F7F49AC" w14:textId="77777777" w:rsidR="00BF0637" w:rsidRPr="001235ED" w:rsidRDefault="001B43BD" w:rsidP="001B43BD">
            <w:pPr>
              <w:rPr>
                <w:rStyle w:val="InstructionsTabelleberschrift"/>
                <w:rFonts w:ascii="Times New Roman" w:hAnsi="Times New Roman"/>
                <w:sz w:val="24"/>
              </w:rPr>
            </w:pPr>
            <w:r>
              <w:rPr>
                <w:rFonts w:ascii="Times New Roman" w:hAnsi="Times New Roman"/>
                <w:sz w:val="24"/>
              </w:rPr>
              <w:t>I denne celle indberettes værdien for den systemiske risikobuffer.</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BUFFER FOR GLOBALE SYSTEMISK VIGTIGE INSTITUTTER</w:t>
            </w:r>
            <w:r>
              <w:tab/>
            </w:r>
          </w:p>
          <w:p w14:paraId="534898CD" w14:textId="275F2822" w:rsidR="00BF0637" w:rsidRPr="002A677E" w:rsidRDefault="00BF0637" w:rsidP="00487A02">
            <w:pPr>
              <w:pStyle w:val="InstructionsText"/>
              <w:rPr>
                <w:rStyle w:val="InstructionsTabelleberschrift"/>
                <w:rFonts w:ascii="Times New Roman" w:hAnsi="Times New Roman"/>
                <w:b w:val="0"/>
                <w:sz w:val="24"/>
                <w:u w:val="none"/>
              </w:rPr>
            </w:pPr>
            <w:r>
              <w:t>Artikel 128, stk. 3, og artikel 131 i direktiv 2013/36/EU</w:t>
            </w:r>
          </w:p>
          <w:p w14:paraId="231ADF38" w14:textId="77777777" w:rsidR="00BF0637" w:rsidRPr="002A677E" w:rsidRDefault="001B43BD" w:rsidP="00487A02">
            <w:pPr>
              <w:pStyle w:val="InstructionsText"/>
              <w:rPr>
                <w:rStyle w:val="InstructionsTabelleberschrift"/>
                <w:rFonts w:ascii="Times New Roman" w:hAnsi="Times New Roman"/>
                <w:sz w:val="24"/>
              </w:rPr>
            </w:pPr>
            <w:r>
              <w:lastRenderedPageBreak/>
              <w:t>I denne celle indberettes værdien af bufferen for globale systemisk vigtige institutter.</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BUFFER FOR ANDRE SYSTEMISK VIGTIGE INSTITUTTER</w:t>
            </w:r>
            <w:r>
              <w:tab/>
            </w:r>
          </w:p>
          <w:p w14:paraId="3BE461F6" w14:textId="343A0FC1" w:rsidR="00BF0637" w:rsidRPr="002A677E" w:rsidRDefault="00BF0637" w:rsidP="00487A02">
            <w:pPr>
              <w:pStyle w:val="InstructionsText"/>
            </w:pPr>
            <w:r>
              <w:t>Artikel 128, stk. 4, og artikel 131 i direktiv 2013/36/EU</w:t>
            </w:r>
          </w:p>
          <w:p w14:paraId="438EEBF7" w14:textId="77777777" w:rsidR="00BF0637" w:rsidRPr="002A677E" w:rsidRDefault="001B43BD" w:rsidP="00487A02">
            <w:pPr>
              <w:pStyle w:val="InstructionsText"/>
              <w:rPr>
                <w:rStyle w:val="InstructionsTabelleberschrift"/>
                <w:rFonts w:ascii="Times New Roman" w:hAnsi="Times New Roman"/>
                <w:sz w:val="24"/>
              </w:rPr>
            </w:pPr>
            <w:r>
              <w:t>I denne celle indberettes værdien af bufferen for andre systemisk vigtige institutter.</w:t>
            </w:r>
          </w:p>
        </w:tc>
      </w:tr>
    </w:tbl>
    <w:p w14:paraId="45A6EB84" w14:textId="77777777" w:rsidR="00FC1030" w:rsidRPr="002A677E" w:rsidRDefault="00FC1030" w:rsidP="00487A02">
      <w:pPr>
        <w:pStyle w:val="InstructionsText"/>
      </w:pPr>
    </w:p>
    <w:p w14:paraId="2FA5F255" w14:textId="698C68CB" w:rsidR="00464F34" w:rsidRPr="002A677E"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119059315"/>
      <w:r>
        <w:rPr>
          <w:rFonts w:ascii="Times New Roman" w:hAnsi="Times New Roman"/>
          <w:sz w:val="24"/>
          <w:u w:val="none"/>
        </w:rPr>
        <w:t>3.</w:t>
      </w:r>
      <w:r>
        <w:tab/>
      </w:r>
      <w:r>
        <w:rPr>
          <w:rFonts w:ascii="Times New Roman" w:hAnsi="Times New Roman"/>
          <w:sz w:val="24"/>
        </w:rPr>
        <w:t>Skemaer for kreditrisiko</w:t>
      </w:r>
      <w:bookmarkEnd w:id="115"/>
      <w:bookmarkEnd w:id="116"/>
      <w:bookmarkEnd w:id="117"/>
      <w:bookmarkEnd w:id="118"/>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262568022"/>
      <w:bookmarkStart w:id="122" w:name="_Toc295829848"/>
      <w:bookmarkStart w:id="123" w:name="_Toc310415014"/>
      <w:bookmarkStart w:id="124" w:name="_Toc119059316"/>
      <w:r>
        <w:rPr>
          <w:rFonts w:ascii="Times New Roman" w:hAnsi="Times New Roman"/>
          <w:sz w:val="24"/>
          <w:u w:val="none"/>
        </w:rPr>
        <w:t>3.1.</w:t>
      </w:r>
      <w:r>
        <w:tab/>
      </w:r>
      <w:r>
        <w:rPr>
          <w:rFonts w:ascii="Times New Roman" w:hAnsi="Times New Roman"/>
          <w:sz w:val="24"/>
        </w:rPr>
        <w:t>Generelle bemærkninger</w:t>
      </w:r>
      <w:bookmarkEnd w:id="119"/>
      <w:bookmarkEnd w:id="120"/>
      <w:bookmarkEnd w:id="124"/>
      <w:r>
        <w:rPr>
          <w:rFonts w:ascii="Times New Roman" w:hAnsi="Times New Roman"/>
          <w:sz w:val="24"/>
        </w:rPr>
        <w:t xml:space="preserve"> </w:t>
      </w:r>
      <w:bookmarkEnd w:id="121"/>
      <w:bookmarkEnd w:id="122"/>
      <w:bookmarkEnd w:id="123"/>
    </w:p>
    <w:p w14:paraId="3920365D" w14:textId="77777777" w:rsidR="00464F34" w:rsidRPr="002A677E" w:rsidRDefault="008F3052" w:rsidP="00487A02">
      <w:pPr>
        <w:pStyle w:val="InstructionsText2"/>
        <w:numPr>
          <w:ilvl w:val="0"/>
          <w:numId w:val="0"/>
        </w:numPr>
        <w:ind w:left="1353" w:hanging="360"/>
      </w:pPr>
      <w:fldSimple w:instr=" seq paragraphs ">
        <w:r>
          <w:t>39</w:t>
        </w:r>
      </w:fldSimple>
      <w:r>
        <w:t>.</w:t>
      </w:r>
      <w:r>
        <w:tab/>
        <w:t xml:space="preserve">Der er forskellige sæt af skemaer til kreditrisiko opgjort efter standardmetoden og kreditrisiko opgjort efter IRB-metoden. Der udfyldes desuden separate skemaer for den geografiske opdeling af positioner, som er underlagt kreditrisiko, hvis den relevante tærskel, jf. denne gennemførelsesforordnings artikel 5, stk. 5, overskrides. </w:t>
      </w:r>
    </w:p>
    <w:p w14:paraId="23D2606F" w14:textId="50AE122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119059317"/>
      <w:r>
        <w:rPr>
          <w:rFonts w:ascii="Times New Roman" w:hAnsi="Times New Roman"/>
          <w:sz w:val="24"/>
          <w:u w:val="none"/>
        </w:rPr>
        <w:t>3.1.1.</w:t>
      </w:r>
      <w:r>
        <w:tab/>
      </w:r>
      <w:r>
        <w:rPr>
          <w:rFonts w:ascii="Times New Roman" w:hAnsi="Times New Roman"/>
          <w:sz w:val="24"/>
        </w:rPr>
        <w:t>Indberetning af kreditrisikoreduktionsteknikker med substitutionsvirkning</w:t>
      </w:r>
      <w:bookmarkEnd w:id="125"/>
      <w:bookmarkEnd w:id="126"/>
      <w:bookmarkEnd w:id="127"/>
      <w:bookmarkEnd w:id="128"/>
      <w:bookmarkEnd w:id="129"/>
      <w:bookmarkEnd w:id="130"/>
    </w:p>
    <w:p w14:paraId="58CA4336" w14:textId="77777777" w:rsidR="00464F34" w:rsidRPr="002A677E" w:rsidRDefault="008F3052" w:rsidP="00487A02">
      <w:pPr>
        <w:pStyle w:val="InstructionsText2"/>
        <w:numPr>
          <w:ilvl w:val="0"/>
          <w:numId w:val="0"/>
        </w:numPr>
        <w:ind w:left="1353" w:hanging="360"/>
      </w:pPr>
      <w:fldSimple w:instr=" seq paragraphs ">
        <w:r>
          <w:t>40</w:t>
        </w:r>
      </w:fldSimple>
      <w:r>
        <w:t>.</w:t>
      </w:r>
      <w:r>
        <w:tab/>
        <w:t>Eksponeringer mod låntagere (umiddelbare modparter) og garantistillere, der er tildelt samme eksponeringsklasse, indberettes som ind- og udgående pengestrømme til samme eksponeringsklasse.</w:t>
      </w:r>
    </w:p>
    <w:p w14:paraId="628153FE" w14:textId="77777777" w:rsidR="00464F34" w:rsidRPr="002A677E" w:rsidRDefault="008F3052" w:rsidP="00487A02">
      <w:pPr>
        <w:pStyle w:val="InstructionsText2"/>
        <w:numPr>
          <w:ilvl w:val="0"/>
          <w:numId w:val="0"/>
        </w:numPr>
        <w:ind w:left="1353" w:hanging="360"/>
      </w:pPr>
      <w:fldSimple w:instr=" seq paragraphs ">
        <w:r>
          <w:t>41</w:t>
        </w:r>
      </w:fldSimple>
      <w:r>
        <w:t>.</w:t>
      </w:r>
      <w:r>
        <w:tab/>
        <w:t>Eksponeringstypen ændres ikke som følge af ufinansieret kreditrisikoafdækning.</w:t>
      </w:r>
    </w:p>
    <w:p w14:paraId="16802E43" w14:textId="77777777" w:rsidR="00464F34" w:rsidRPr="002A677E" w:rsidRDefault="008F3052" w:rsidP="00487A02">
      <w:pPr>
        <w:pStyle w:val="InstructionsText2"/>
        <w:numPr>
          <w:ilvl w:val="0"/>
          <w:numId w:val="0"/>
        </w:numPr>
        <w:ind w:left="1353" w:hanging="360"/>
      </w:pPr>
      <w:fldSimple w:instr=" seq paragraphs ">
        <w:r>
          <w:t>42</w:t>
        </w:r>
      </w:fldSimple>
      <w:r>
        <w:t>.</w:t>
      </w:r>
      <w:r>
        <w:tab/>
        <w:t>Hvis der er stillet sikkerhed for en eksponering i form af ufinansieret kreditrisikoafdækning, indberettes den sikrede del som en udgående pengestrøm, f.eks. i eksponeringsklassen for låntageren, og som en indgående pengestrøm i garantistillerens eksponeringsklasse. Typen af eksponering ændres dog ikke, selv om eksponeringsklassen ændres.</w:t>
      </w:r>
    </w:p>
    <w:p w14:paraId="4E7B84E6" w14:textId="77777777" w:rsidR="00464F34" w:rsidRPr="002A677E" w:rsidRDefault="008F3052" w:rsidP="00487A02">
      <w:pPr>
        <w:pStyle w:val="InstructionsText2"/>
        <w:numPr>
          <w:ilvl w:val="0"/>
          <w:numId w:val="0"/>
        </w:numPr>
        <w:ind w:left="1353" w:hanging="360"/>
      </w:pPr>
      <w:fldSimple w:instr=" seq paragraphs ">
        <w:r>
          <w:t>43</w:t>
        </w:r>
      </w:fldSimple>
      <w:r>
        <w:t>.</w:t>
      </w:r>
      <w:r>
        <w:tab/>
        <w:t xml:space="preserve">Substitutionsvirkningen inden for COREP-indberetningssystemet skal afspejle den risikovægtning, der effektivt gælder for den dækkede del af eksponeringen. Den dækkede del af eksponeringen risikovægtes efter standardmetoden og indberettes i CR SA-skemaet. </w:t>
      </w:r>
    </w:p>
    <w:p w14:paraId="73A64D1C" w14:textId="1F98E52E"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119059318"/>
      <w:r>
        <w:rPr>
          <w:rFonts w:ascii="Times New Roman" w:hAnsi="Times New Roman"/>
          <w:sz w:val="24"/>
          <w:u w:val="none"/>
        </w:rPr>
        <w:t>3.1.2.</w:t>
      </w:r>
      <w:r>
        <w:tab/>
      </w:r>
      <w:r>
        <w:rPr>
          <w:rFonts w:ascii="Times New Roman" w:hAnsi="Times New Roman"/>
          <w:sz w:val="24"/>
        </w:rPr>
        <w:t>Indberetning af modpartsrisiko</w:t>
      </w:r>
      <w:bookmarkEnd w:id="131"/>
      <w:bookmarkEnd w:id="132"/>
      <w:bookmarkEnd w:id="133"/>
      <w:bookmarkEnd w:id="134"/>
      <w:bookmarkEnd w:id="135"/>
      <w:bookmarkEnd w:id="136"/>
    </w:p>
    <w:p w14:paraId="4DE9180B" w14:textId="77777777" w:rsidR="00464F34" w:rsidRPr="002A677E" w:rsidRDefault="008F3052" w:rsidP="00487A02">
      <w:pPr>
        <w:pStyle w:val="InstructionsText2"/>
        <w:numPr>
          <w:ilvl w:val="0"/>
          <w:numId w:val="0"/>
        </w:numPr>
        <w:ind w:left="1353" w:hanging="360"/>
      </w:pPr>
      <w:fldSimple w:instr=" seq paragraphs ">
        <w:r>
          <w:t>44</w:t>
        </w:r>
      </w:fldSimple>
      <w:r>
        <w:t>.</w:t>
      </w:r>
      <w:r>
        <w:tab/>
        <w:t xml:space="preserve">Eksponeringer, der følger af modpartsrisikopositioner, indberettes i skema CR SA eller CR IRB, uafhængigt af om de er poster i anlægsbeholdningen eller handelsbeholdningen. </w:t>
      </w:r>
    </w:p>
    <w:p w14:paraId="024C34FE" w14:textId="7FCBB6D5"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7" w:name="_Toc292456202"/>
      <w:bookmarkStart w:id="138" w:name="_Toc295829851"/>
      <w:bookmarkStart w:id="139" w:name="_Toc310415017"/>
      <w:bookmarkStart w:id="140" w:name="_Toc360188348"/>
      <w:bookmarkStart w:id="141" w:name="_Toc473560897"/>
      <w:bookmarkStart w:id="142" w:name="_Toc119059319"/>
      <w:r>
        <w:rPr>
          <w:rFonts w:ascii="Times New Roman" w:hAnsi="Times New Roman"/>
          <w:sz w:val="24"/>
          <w:u w:val="none"/>
        </w:rPr>
        <w:t>3.2.</w:t>
      </w:r>
      <w:r>
        <w:tab/>
      </w:r>
      <w:r>
        <w:rPr>
          <w:rFonts w:ascii="Times New Roman" w:hAnsi="Times New Roman"/>
          <w:sz w:val="24"/>
        </w:rPr>
        <w:t>C 07.00 — Kreditrisiko, modpartsrisiko og leveringsrisiko (free deliveries): Kapitalkrav</w:t>
      </w:r>
      <w:bookmarkEnd w:id="137"/>
      <w:r>
        <w:rPr>
          <w:rFonts w:ascii="Times New Roman" w:hAnsi="Times New Roman"/>
          <w:sz w:val="24"/>
        </w:rPr>
        <w:t xml:space="preserve"> opgjort efter standardmetoden</w:t>
      </w:r>
      <w:bookmarkEnd w:id="138"/>
      <w:bookmarkEnd w:id="139"/>
      <w:bookmarkEnd w:id="140"/>
      <w:r>
        <w:rPr>
          <w:rFonts w:ascii="Times New Roman" w:hAnsi="Times New Roman"/>
          <w:sz w:val="24"/>
        </w:rPr>
        <w:t xml:space="preserve"> (CR SA)</w:t>
      </w:r>
      <w:bookmarkEnd w:id="141"/>
      <w:bookmarkEnd w:id="142"/>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119059320"/>
      <w:r>
        <w:rPr>
          <w:rFonts w:ascii="Times New Roman" w:hAnsi="Times New Roman"/>
          <w:sz w:val="24"/>
          <w:u w:val="none"/>
        </w:rPr>
        <w:t>3.2.1.</w:t>
      </w:r>
      <w:r>
        <w:tab/>
      </w:r>
      <w:r>
        <w:rPr>
          <w:rFonts w:ascii="Times New Roman" w:hAnsi="Times New Roman"/>
          <w:sz w:val="24"/>
        </w:rPr>
        <w:t>Generelle bemærkninger</w:t>
      </w:r>
      <w:bookmarkEnd w:id="143"/>
      <w:bookmarkEnd w:id="144"/>
      <w:bookmarkEnd w:id="145"/>
      <w:bookmarkEnd w:id="146"/>
      <w:bookmarkEnd w:id="147"/>
      <w:bookmarkEnd w:id="148"/>
      <w:bookmarkEnd w:id="149"/>
      <w:bookmarkEnd w:id="150"/>
    </w:p>
    <w:p w14:paraId="611BAA0D" w14:textId="77777777" w:rsidR="00464F34" w:rsidRPr="002A677E" w:rsidRDefault="008F3052" w:rsidP="00487A02">
      <w:pPr>
        <w:pStyle w:val="InstructionsText2"/>
        <w:numPr>
          <w:ilvl w:val="0"/>
          <w:numId w:val="0"/>
        </w:numPr>
        <w:ind w:left="1353" w:hanging="360"/>
      </w:pPr>
      <w:fldSimple w:instr=" seq paragraphs ">
        <w:r>
          <w:t>45</w:t>
        </w:r>
      </w:fldSimple>
      <w:r>
        <w:t>.</w:t>
      </w:r>
      <w:r>
        <w:tab/>
        <w:t>CR SA-skemaerne tilvejebringer de oplysninger, der skal bruges til at beregne kapitalgrundlagskravene i relation til kreditrisiko opgjort efter standardmetoden. De giver navnlig detaljerede oplysninger om:</w:t>
      </w:r>
    </w:p>
    <w:p w14:paraId="7D57B213" w14:textId="77777777" w:rsidR="00464F34" w:rsidRPr="002A677E" w:rsidRDefault="00125707" w:rsidP="00487A02">
      <w:pPr>
        <w:pStyle w:val="InstructionsText2"/>
        <w:numPr>
          <w:ilvl w:val="0"/>
          <w:numId w:val="0"/>
        </w:numPr>
        <w:ind w:left="1353" w:hanging="360"/>
      </w:pPr>
      <w:r>
        <w:lastRenderedPageBreak/>
        <w:t>a)</w:t>
      </w:r>
      <w:r>
        <w:tab/>
        <w:t>fordelingen af eksponeringsværdierne efter de forskellige eksponeringstyper, risikovægte og eksponeringsklasser</w:t>
      </w:r>
    </w:p>
    <w:p w14:paraId="28577EB0" w14:textId="77777777" w:rsidR="00464F34" w:rsidRPr="002A677E" w:rsidRDefault="00125707" w:rsidP="00487A02">
      <w:pPr>
        <w:pStyle w:val="InstructionsText2"/>
        <w:numPr>
          <w:ilvl w:val="0"/>
          <w:numId w:val="0"/>
        </w:numPr>
        <w:ind w:left="1353" w:hanging="360"/>
      </w:pPr>
      <w:r>
        <w:t>b)</w:t>
      </w:r>
      <w:r>
        <w:tab/>
        <w:t xml:space="preserve">værdien og typen af kreditrisikoreduktionsteknikker, der anvendes til at reducere risiciene. </w:t>
      </w:r>
    </w:p>
    <w:p w14:paraId="3FA3DC1C" w14:textId="5F932B23"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119059321"/>
      <w:r>
        <w:rPr>
          <w:rFonts w:ascii="Times New Roman" w:hAnsi="Times New Roman"/>
          <w:sz w:val="24"/>
          <w:u w:val="none"/>
        </w:rPr>
        <w:t>3.2.2.</w:t>
      </w:r>
      <w:r>
        <w:tab/>
      </w:r>
      <w:r>
        <w:rPr>
          <w:rFonts w:ascii="Times New Roman" w:hAnsi="Times New Roman"/>
          <w:sz w:val="24"/>
        </w:rPr>
        <w:t>Anvendelsesområdet for CR SA-skemaet</w:t>
      </w:r>
      <w:bookmarkEnd w:id="151"/>
      <w:bookmarkEnd w:id="152"/>
      <w:bookmarkEnd w:id="153"/>
      <w:bookmarkEnd w:id="154"/>
      <w:bookmarkEnd w:id="155"/>
      <w:bookmarkEnd w:id="156"/>
      <w:bookmarkEnd w:id="157"/>
      <w:bookmarkEnd w:id="158"/>
    </w:p>
    <w:p w14:paraId="0C400487" w14:textId="14BB74D7" w:rsidR="00464F34" w:rsidRPr="002A677E" w:rsidRDefault="008F3052" w:rsidP="00487A02">
      <w:pPr>
        <w:pStyle w:val="InstructionsText2"/>
        <w:numPr>
          <w:ilvl w:val="0"/>
          <w:numId w:val="0"/>
        </w:numPr>
        <w:ind w:left="1353" w:hanging="360"/>
      </w:pPr>
      <w:fldSimple w:instr=" seq paragraphs ">
        <w:r>
          <w:t>46</w:t>
        </w:r>
      </w:fldSimple>
      <w:r>
        <w:t>.</w:t>
      </w:r>
      <w:r>
        <w:tab/>
        <w:t>I henhold til artikel 112 i forordning (EU) nr. 575/2013 skal hver eksponering efter standardmetoden fordeles i en af de 16 eksponeringsklasser med henblik på at beregne kapitalgrundlagskravene.</w:t>
      </w:r>
    </w:p>
    <w:p w14:paraId="0EFA672B" w14:textId="77777777" w:rsidR="00464F34" w:rsidRPr="002A677E" w:rsidRDefault="008F3052" w:rsidP="00487A02">
      <w:pPr>
        <w:pStyle w:val="InstructionsText2"/>
        <w:numPr>
          <w:ilvl w:val="0"/>
          <w:numId w:val="0"/>
        </w:numPr>
        <w:ind w:left="1353" w:hanging="360"/>
      </w:pPr>
      <w:fldSimple w:instr=" seq paragraphs ">
        <w:r>
          <w:t>47</w:t>
        </w:r>
      </w:fldSimple>
      <w:r>
        <w:t>.</w:t>
      </w:r>
      <w:r>
        <w:tab/>
        <w:t xml:space="preserve">Oplysningerne i CR SA skal vedrøre de samlede eksponeringsklasser og hver enkelt eksponeringsklasse under standardmetoden. De samlede tal og oplysninger for hver eksponeringsklasse indberettes i en separat dimension. </w:t>
      </w:r>
    </w:p>
    <w:p w14:paraId="375491F9" w14:textId="77777777" w:rsidR="00464F34" w:rsidRPr="002A677E" w:rsidRDefault="008F3052" w:rsidP="00487A02">
      <w:pPr>
        <w:pStyle w:val="InstructionsText2"/>
        <w:numPr>
          <w:ilvl w:val="0"/>
          <w:numId w:val="0"/>
        </w:numPr>
        <w:ind w:left="1353" w:hanging="360"/>
      </w:pPr>
      <w:fldSimple w:instr=" seq paragraphs ">
        <w:r>
          <w:t>48</w:t>
        </w:r>
      </w:fldSimple>
      <w:r>
        <w:t>.</w:t>
      </w:r>
      <w:r>
        <w:tab/>
        <w:t>Følgende positioner falder dog ikke ind under anvendelsesområdet for CR SA:</w:t>
      </w:r>
    </w:p>
    <w:p w14:paraId="4270BD85" w14:textId="7F62CBAC" w:rsidR="00464F34" w:rsidRPr="002A677E" w:rsidRDefault="00125707" w:rsidP="00487A02">
      <w:pPr>
        <w:pStyle w:val="InstructionsText2"/>
        <w:numPr>
          <w:ilvl w:val="0"/>
          <w:numId w:val="0"/>
        </w:numPr>
        <w:ind w:left="1353" w:hanging="360"/>
      </w:pPr>
      <w:r>
        <w:t>a)</w:t>
      </w:r>
      <w:r>
        <w:tab/>
        <w:t>eksponeringer, der er fordelt i eksponeringsklassen "poster, der repræsenterer securitiseringspositioner", jf. artikel 112, litra m), i forordning (EU) nr. 575/2013, som indberettes i CR SEC-skemaerne.</w:t>
      </w:r>
    </w:p>
    <w:p w14:paraId="7A237CC4" w14:textId="77777777" w:rsidR="00464F34" w:rsidRPr="002A677E" w:rsidRDefault="00125707" w:rsidP="00487A02">
      <w:pPr>
        <w:pStyle w:val="InstructionsText2"/>
        <w:numPr>
          <w:ilvl w:val="0"/>
          <w:numId w:val="0"/>
        </w:numPr>
        <w:ind w:left="1353" w:hanging="360"/>
      </w:pPr>
      <w:r>
        <w:t>b)</w:t>
      </w:r>
      <w:r>
        <w:tab/>
        <w:t>eksponeringer, der fratrækkes kapitalgrundlaget.</w:t>
      </w:r>
    </w:p>
    <w:p w14:paraId="3E766928" w14:textId="77777777" w:rsidR="00464F34" w:rsidRPr="002A677E" w:rsidRDefault="008F3052" w:rsidP="00487A02">
      <w:pPr>
        <w:pStyle w:val="InstructionsText2"/>
        <w:numPr>
          <w:ilvl w:val="0"/>
          <w:numId w:val="0"/>
        </w:numPr>
        <w:ind w:left="1353" w:hanging="360"/>
      </w:pPr>
      <w:fldSimple w:instr=" seq paragraphs ">
        <w:r>
          <w:t>49</w:t>
        </w:r>
      </w:fldSimple>
      <w:r>
        <w:t>.</w:t>
      </w:r>
      <w:r>
        <w:tab/>
        <w:t>Anvendelsesområdet for CR SA-skemaet omfatter følgende kapitalgrundlagskrav:</w:t>
      </w:r>
    </w:p>
    <w:p w14:paraId="5FAD0A68" w14:textId="0F4991B1" w:rsidR="00464F34" w:rsidRPr="002A677E" w:rsidRDefault="00125707" w:rsidP="00487A02">
      <w:pPr>
        <w:pStyle w:val="InstructionsText2"/>
        <w:numPr>
          <w:ilvl w:val="0"/>
          <w:numId w:val="0"/>
        </w:numPr>
        <w:ind w:left="1353" w:hanging="360"/>
      </w:pPr>
      <w:r>
        <w:t>a)</w:t>
      </w:r>
      <w:r>
        <w:tab/>
        <w:t>kreditrisiko, jf. tredje del, afsnit II, kapitel 2 (Standardmetoden), i forordning (EU) nr. 575/2013, i anlægsbeholdningen, herunder modpartsrisiko, jf. tredje del, afsnit II, kapitel 4 og 6 (Modpartkreditsrisiko), i nævnte forordning, i anlægsbeholdningen</w:t>
      </w:r>
    </w:p>
    <w:p w14:paraId="0C7520AF" w14:textId="5265E5C0" w:rsidR="00464F34" w:rsidRPr="002A677E" w:rsidRDefault="00125707" w:rsidP="00487A02">
      <w:pPr>
        <w:pStyle w:val="InstructionsText2"/>
        <w:numPr>
          <w:ilvl w:val="0"/>
          <w:numId w:val="0"/>
        </w:numPr>
        <w:ind w:left="1353" w:hanging="360"/>
      </w:pPr>
      <w:r>
        <w:t>b)</w:t>
      </w:r>
      <w:r>
        <w:tab/>
        <w:t>modpartsrisiko, jf. tredje del, afsnit II, kapitel 4 og 6 (Modpartsrisiko), i forordning (EU) nr. 575/2013, i handelsbeholdningen</w:t>
      </w:r>
    </w:p>
    <w:p w14:paraId="04739871" w14:textId="74F6DD51" w:rsidR="00464F34" w:rsidRPr="002A677E" w:rsidRDefault="00125707" w:rsidP="00487A02">
      <w:pPr>
        <w:pStyle w:val="InstructionsText2"/>
        <w:numPr>
          <w:ilvl w:val="0"/>
          <w:numId w:val="0"/>
        </w:numPr>
        <w:ind w:left="1353" w:hanging="360"/>
      </w:pPr>
      <w:r>
        <w:t>c)</w:t>
      </w:r>
      <w:r>
        <w:tab/>
        <w:t>afviklingsrisiko, der opstår som følge af leveringsrisiko (free deliveries), ifølge artikel 379 i forordning (EU) nr. 575/2013 vedrørende alle forretningsaktiviteter.</w:t>
      </w:r>
    </w:p>
    <w:p w14:paraId="61ABE9BC" w14:textId="1E1EC54D" w:rsidR="00464F34" w:rsidRPr="002A677E" w:rsidRDefault="008F3052" w:rsidP="00487A02">
      <w:pPr>
        <w:pStyle w:val="InstructionsText2"/>
        <w:numPr>
          <w:ilvl w:val="0"/>
          <w:numId w:val="0"/>
        </w:numPr>
        <w:ind w:left="1353" w:hanging="360"/>
      </w:pPr>
      <w:fldSimple w:instr=" seq paragraphs ">
        <w:r>
          <w:t>50</w:t>
        </w:r>
      </w:fldSimple>
      <w:r>
        <w:t>.</w:t>
      </w:r>
      <w:r>
        <w:tab/>
        <w:t>Skemaet omfatter alle eksponeringer, for hvilke kapitalgrundlagskravene beregnes i overensstemmelse med tredje del, afsnit II, kapitel 2, i forordning (EU) nr. 575/2013 sammenholdt med tredje del, afsnit II, kapitel 4 og 6, i forordning (EU) nr. 575/2013. Institutter, der anvender artikel 94, stk. 1, i forordning (EU) nr. 575/2013, skal også indberette deres positioner i handelsbeholdningen, jf. artikel 92, stk. 3, litra b), i nævnte forordning, i dette skema, når de anvender tredje del, afsnit II, kapitel 2, i nævnte forordning til at beregne de tilhørende kapitalgrundlagskrav (tredje del, afsnit II, kapitel 2 og 6, samt tredje del, afsnit V, i nævnte forordning). Skemaet giver derfor ikke kun detaljerede oplysninger om eksponeringstypen (f.eks. balanceførte/ikkebalanceførte poster), men også oplysninger om fordelingen af risikovægte i de forskellige eksponeringsklasser.</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14:paraId="1B32C477" w14:textId="77777777" w:rsidR="00464F34" w:rsidRPr="002A677E" w:rsidRDefault="0056002D" w:rsidP="00487A02">
      <w:pPr>
        <w:pStyle w:val="InstructionsText2"/>
        <w:numPr>
          <w:ilvl w:val="0"/>
          <w:numId w:val="0"/>
        </w:numPr>
        <w:ind w:left="1353" w:hanging="360"/>
      </w:pPr>
      <w:r>
        <w:lastRenderedPageBreak/>
        <w:fldChar w:fldCharType="begin"/>
      </w:r>
      <w:r>
        <w:instrText xml:space="preserve"> seq paragraphs </w:instrText>
      </w:r>
      <w:r>
        <w:fldChar w:fldCharType="separate"/>
      </w:r>
      <w:r>
        <w:t>51</w:t>
      </w:r>
      <w:r>
        <w:fldChar w:fldCharType="end"/>
      </w:r>
      <w:r>
        <w:t>.</w:t>
      </w:r>
      <w:r>
        <w:tab/>
        <w:t xml:space="preserve">CR SA omfatter desuden memorandumposter i række 0290-0320 med henblik på at indsamle oplysninger om eksponeringer sikret ved pant i fast ejendom og eksponeringer ved misligholdelse. </w:t>
      </w:r>
    </w:p>
    <w:p w14:paraId="05A7C3AE" w14:textId="77777777" w:rsidR="00464F34" w:rsidRPr="002A677E" w:rsidRDefault="008F3052" w:rsidP="00487A02">
      <w:pPr>
        <w:pStyle w:val="InstructionsText2"/>
        <w:numPr>
          <w:ilvl w:val="0"/>
          <w:numId w:val="0"/>
        </w:numPr>
        <w:ind w:left="1353" w:hanging="360"/>
      </w:pPr>
      <w:fldSimple w:instr=" seq paragraphs ">
        <w:r>
          <w:t>52</w:t>
        </w:r>
      </w:fldSimple>
      <w:r>
        <w:t>.</w:t>
      </w:r>
      <w:r>
        <w:tab/>
        <w:t xml:space="preserve">Disse memorandumposter skal kun indberettes for følgende eksponeringsklasser: </w:t>
      </w:r>
    </w:p>
    <w:p w14:paraId="100A9167" w14:textId="4D6315E9" w:rsidR="00464F34" w:rsidRPr="002A677E" w:rsidRDefault="00125707" w:rsidP="00487A02">
      <w:pPr>
        <w:pStyle w:val="InstructionsText2"/>
        <w:numPr>
          <w:ilvl w:val="0"/>
          <w:numId w:val="0"/>
        </w:numPr>
        <w:ind w:left="1353" w:hanging="360"/>
      </w:pPr>
      <w:r>
        <w:t>a)</w:t>
      </w:r>
      <w:r>
        <w:tab/>
        <w:t>eksponeringer mod centralregeringer eller centralbanker (artikel 112, litra a), i forordning (EU) nr. 575/2013 i forordning (EU) nr. 575/2013)</w:t>
      </w:r>
    </w:p>
    <w:p w14:paraId="0078CFD3" w14:textId="1D83DCFD" w:rsidR="00464F34" w:rsidRPr="002A677E" w:rsidRDefault="00125707" w:rsidP="00487A02">
      <w:pPr>
        <w:pStyle w:val="InstructionsText2"/>
        <w:numPr>
          <w:ilvl w:val="0"/>
          <w:numId w:val="0"/>
        </w:numPr>
        <w:ind w:left="1353" w:hanging="360"/>
      </w:pPr>
      <w:r>
        <w:t>b)</w:t>
      </w:r>
      <w:r>
        <w:tab/>
        <w:t>eksponeringer mod regionale eller lokale myndigheder (artikel 112, litra b), i forordning (EU) nr. 575/2013)</w:t>
      </w:r>
    </w:p>
    <w:p w14:paraId="35C975FE" w14:textId="66C18A5C" w:rsidR="00464F34" w:rsidRPr="002A677E" w:rsidRDefault="00125707" w:rsidP="00487A02">
      <w:pPr>
        <w:pStyle w:val="InstructionsText2"/>
        <w:numPr>
          <w:ilvl w:val="0"/>
          <w:numId w:val="0"/>
        </w:numPr>
        <w:ind w:left="1353" w:hanging="360"/>
      </w:pPr>
      <w:r>
        <w:t>c)</w:t>
      </w:r>
      <w:r>
        <w:tab/>
        <w:t>eksponeringer mod offentlige enheder (artikel 112, litra c), i forordning (EU) nr. 575/2013)</w:t>
      </w:r>
    </w:p>
    <w:p w14:paraId="0CC06ECA" w14:textId="29E5CAF5" w:rsidR="00464F34" w:rsidRPr="002A677E" w:rsidRDefault="00125707" w:rsidP="00487A02">
      <w:pPr>
        <w:pStyle w:val="InstructionsText2"/>
        <w:numPr>
          <w:ilvl w:val="0"/>
          <w:numId w:val="0"/>
        </w:numPr>
        <w:ind w:left="1353" w:hanging="360"/>
      </w:pPr>
      <w:r>
        <w:t>d)</w:t>
      </w:r>
      <w:r>
        <w:tab/>
        <w:t>eksponeringer mod institutter (artikel 112, litra f), i forordning (EU) nr. 575/2013)</w:t>
      </w:r>
    </w:p>
    <w:p w14:paraId="4D66EE55" w14:textId="6FA7E32E" w:rsidR="00464F34" w:rsidRPr="002A677E" w:rsidRDefault="00125707" w:rsidP="00487A02">
      <w:pPr>
        <w:pStyle w:val="InstructionsText2"/>
        <w:numPr>
          <w:ilvl w:val="0"/>
          <w:numId w:val="0"/>
        </w:numPr>
        <w:ind w:left="1353" w:hanging="360"/>
      </w:pPr>
      <w:r>
        <w:t>e)</w:t>
      </w:r>
      <w:r>
        <w:tab/>
        <w:t>eksponeringer mod selskaber (artikel 112, litra g), i forordning (EU) nr. 575/2013)</w:t>
      </w:r>
    </w:p>
    <w:p w14:paraId="00D22081" w14:textId="16C3552C" w:rsidR="00464F34" w:rsidRPr="002A677E" w:rsidRDefault="00125707" w:rsidP="00487A02">
      <w:pPr>
        <w:pStyle w:val="InstructionsText2"/>
        <w:numPr>
          <w:ilvl w:val="0"/>
          <w:numId w:val="0"/>
        </w:numPr>
        <w:ind w:left="1353" w:hanging="360"/>
      </w:pPr>
      <w:r>
        <w:t>f)</w:t>
      </w:r>
      <w:r>
        <w:tab/>
        <w:t>detaileksponeringer (artikel 112, litra h), i forordning (EU) nr. 575/2013).</w:t>
      </w:r>
    </w:p>
    <w:p w14:paraId="18359E60" w14:textId="7453ABBF" w:rsidR="00464F34" w:rsidRPr="002A677E" w:rsidRDefault="008F3052" w:rsidP="00487A02">
      <w:pPr>
        <w:pStyle w:val="InstructionsText2"/>
        <w:numPr>
          <w:ilvl w:val="0"/>
          <w:numId w:val="0"/>
        </w:numPr>
        <w:ind w:left="1353" w:hanging="360"/>
      </w:pPr>
      <w:fldSimple w:instr=" seq paragraphs ">
        <w:r>
          <w:t>53</w:t>
        </w:r>
      </w:fldSimple>
      <w:r>
        <w:t>.</w:t>
      </w:r>
      <w:r>
        <w:tab/>
        <w:t xml:space="preserve">Indberetningen af memorandumposter påvirker hverken beregningen af de risikovægtede eksponeringer for eksponeringsklasserne i artikel 112, litra a)-c) og f)-h), i forordning (EU) nr. 575/2013, eller af eksponeringsklasserne i artikel 112, litra i) og j), i nævnte forordning, der indberettes i CR SA-skemaet. </w:t>
      </w:r>
    </w:p>
    <w:p w14:paraId="5C09947A" w14:textId="77777777" w:rsidR="00464F34" w:rsidRPr="002A677E" w:rsidRDefault="008F3052" w:rsidP="00487A02">
      <w:pPr>
        <w:pStyle w:val="InstructionsText2"/>
        <w:numPr>
          <w:ilvl w:val="0"/>
          <w:numId w:val="0"/>
        </w:numPr>
        <w:ind w:left="1353" w:hanging="360"/>
      </w:pPr>
      <w:fldSimple w:instr=" seq paragraphs ">
        <w:r>
          <w:t>54</w:t>
        </w:r>
      </w:fldSimple>
      <w:r>
        <w:t>.</w:t>
      </w:r>
      <w:r>
        <w:tab/>
        <w:t>Memorandumrækkerne giver yderligere oplysninger om låntagerstrukturen for eksponeringsklasserne "ved misligholdelse" eller "sikret ved pant i fast ejendom". Eksponeringer indberettes i disse rækker, når låntagere ville være blevet indberettet i "eksponeringer mod centralregeringer eller centralbanker", "eksponeringer mod regionale eller lokale myndigheder", "eksponeringer mod offentlige enheder", "eksponeringer mod institutter" "eksponeringer mod selskaber" og "detaileksponeringer" i CR SA, hvis disse eksponeringer ikke var fordelt i eksponeringsklasserne "ved misligholdelse" eller "sikret ved pant i fast ejendom". De tal, der skal indberettes, er imidlertid de samme som dem, der anvendes til at beregne de risikovægtede eksponeringsbeløb i eksponeringsklasserne "ved misligholdelse" eller "sikret ved pant i fast ejendom".</w:t>
      </w:r>
    </w:p>
    <w:p w14:paraId="7691FC39" w14:textId="4C84AA48" w:rsidR="00464F34" w:rsidRPr="002A677E" w:rsidRDefault="008F3052" w:rsidP="00487A02">
      <w:pPr>
        <w:pStyle w:val="InstructionsText2"/>
        <w:numPr>
          <w:ilvl w:val="0"/>
          <w:numId w:val="0"/>
        </w:numPr>
        <w:ind w:left="1353" w:hanging="360"/>
      </w:pPr>
      <w:fldSimple w:instr=" seq paragraphs ">
        <w:r>
          <w:t>55</w:t>
        </w:r>
      </w:fldSimple>
      <w:r>
        <w:t>.</w:t>
      </w:r>
      <w:r>
        <w:tab/>
        <w:t>Hvis en eksponering, hvis risikoeksponering beregnes i henhold til artikel 127 i forordning (EU) nr. 575/2013, og hvis værdijusteringer er mindre end 20 %, indberettes denne oplysning i CR SA, række 0320, i totalen og i eksponeringsklassen "ved misligholdelse". Hvis denne eksponering inden misligholdelsen var en eksponering mod et institut, indberettes denne oplysning også i række 0320 for eksponeringsklassen "institutter".</w:t>
      </w:r>
    </w:p>
    <w:p w14:paraId="59860E71" w14:textId="3707A68A"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119059322"/>
      <w:r>
        <w:rPr>
          <w:rFonts w:ascii="Times New Roman" w:hAnsi="Times New Roman"/>
          <w:sz w:val="24"/>
          <w:u w:val="none"/>
        </w:rPr>
        <w:t>3.2.3.</w:t>
      </w:r>
      <w:r>
        <w:tab/>
      </w:r>
      <w:r>
        <w:rPr>
          <w:rFonts w:ascii="Times New Roman" w:hAnsi="Times New Roman"/>
          <w:sz w:val="24"/>
        </w:rPr>
        <w:t xml:space="preserve"> </w:t>
      </w:r>
      <w:bookmarkStart w:id="188" w:name="_Toc310415022"/>
      <w:bookmarkStart w:id="189" w:name="_Toc360188351"/>
      <w:bookmarkStart w:id="190" w:name="_Toc473560900"/>
      <w:r>
        <w:rPr>
          <w:rFonts w:ascii="Times New Roman" w:hAnsi="Times New Roman"/>
          <w:sz w:val="24"/>
        </w:rPr>
        <w:t>Fordeling af eksponeringer i eksponeringsklasser efter standardmetoden</w:t>
      </w:r>
      <w:bookmarkEnd w:id="183"/>
      <w:bookmarkEnd w:id="184"/>
      <w:bookmarkEnd w:id="185"/>
      <w:bookmarkEnd w:id="186"/>
      <w:bookmarkEnd w:id="188"/>
      <w:bookmarkEnd w:id="189"/>
      <w:bookmarkEnd w:id="190"/>
      <w:bookmarkEnd w:id="187"/>
    </w:p>
    <w:p w14:paraId="06E4E915" w14:textId="29343BA3" w:rsidR="00464F34" w:rsidRPr="002A677E" w:rsidRDefault="008F3052" w:rsidP="00487A02">
      <w:pPr>
        <w:pStyle w:val="InstructionsText2"/>
        <w:numPr>
          <w:ilvl w:val="0"/>
          <w:numId w:val="0"/>
        </w:numPr>
        <w:ind w:left="1353" w:hanging="360"/>
      </w:pPr>
      <w:fldSimple w:instr=" seq paragraphs ">
        <w:r>
          <w:t>56</w:t>
        </w:r>
      </w:fldSimple>
      <w:r>
        <w:t>.</w:t>
      </w:r>
      <w:r>
        <w:tab/>
        <w:t xml:space="preserve">For at sikre en ensartet kategorisering af eksponeringer i forskellige eksponeringsklasser som omhandlet i artikel 112 i forordning (EU) nr. 575/2013 anvendes følgende trinvise metode: </w:t>
      </w:r>
    </w:p>
    <w:p w14:paraId="16CE90EA" w14:textId="53E09D7A" w:rsidR="00464F34" w:rsidRPr="002A677E" w:rsidRDefault="00125707" w:rsidP="00487A02">
      <w:pPr>
        <w:pStyle w:val="InstructionsText2"/>
        <w:numPr>
          <w:ilvl w:val="0"/>
          <w:numId w:val="0"/>
        </w:numPr>
        <w:ind w:left="1353" w:hanging="360"/>
      </w:pPr>
      <w:r>
        <w:lastRenderedPageBreak/>
        <w:t>a)</w:t>
      </w:r>
      <w:r>
        <w:tab/>
        <w:t>I det første trin klassificeres den oprindelige eksponering før anvendelse af konverteringsfaktorer i den tilsvarende (oprindelige) eksponeringsklasse nævnt i artikel 112 i forordning (EU) nr. 575/2013, uden at det berører den specifikke behandling (risikovægt), der tildeles hver specifik eksponering inden for den tildelte eksponeringsklasse.</w:t>
      </w:r>
    </w:p>
    <w:p w14:paraId="0D9A2306" w14:textId="77777777" w:rsidR="00464F34" w:rsidRPr="002A677E" w:rsidRDefault="00125707" w:rsidP="00487A02">
      <w:pPr>
        <w:pStyle w:val="InstructionsText2"/>
        <w:numPr>
          <w:ilvl w:val="0"/>
          <w:numId w:val="0"/>
        </w:numPr>
        <w:ind w:left="1353" w:hanging="360"/>
      </w:pPr>
      <w:r>
        <w:t>b)</w:t>
      </w:r>
      <w:r>
        <w:tab/>
        <w:t>I det andet trin kan eksponeringerne omfordeles til andre eksponeringsklasser som følge af anvendelse af kreditrisikoreduktionsteknikker med substitutionsvirkninger på eksponeringen (f.eks. garantier, kreditderivater og den enkle metode for finansielle sikkerheder) via ind- og udgående pengestrømme.</w:t>
      </w:r>
    </w:p>
    <w:p w14:paraId="6D3E51A1" w14:textId="77777777" w:rsidR="00464F34" w:rsidRPr="002A677E" w:rsidRDefault="008F3052" w:rsidP="00487A02">
      <w:pPr>
        <w:pStyle w:val="InstructionsText2"/>
        <w:numPr>
          <w:ilvl w:val="0"/>
          <w:numId w:val="0"/>
        </w:numPr>
        <w:ind w:left="1353" w:hanging="360"/>
      </w:pPr>
      <w:fldSimple w:instr=" seq paragraphs ">
        <w:r>
          <w:t>57</w:t>
        </w:r>
      </w:fldSimple>
      <w:r>
        <w:t>.</w:t>
      </w:r>
      <w:r>
        <w:tab/>
        <w:t>Følgende kriterier gælder for klassificeringen af den oprindelige eksponering før anvendelse af konverteringsfaktorer i de forskellige eksponeringsklasser (trin et), uden at det berører den efterfølgende omfordeling som følge af anvendelsen af kreditrisikoreduktionsteknikker med substitutionsvirkninger på eksponeringen eller den risikovægt, der tildeles hver specifik eksponering inden for den tildelte eksponeringsklasse.</w:t>
      </w:r>
    </w:p>
    <w:p w14:paraId="0ACE6D07" w14:textId="679076AF" w:rsidR="00464F34" w:rsidRPr="002A677E" w:rsidRDefault="008F3052" w:rsidP="00487A02">
      <w:pPr>
        <w:pStyle w:val="InstructionsText2"/>
        <w:numPr>
          <w:ilvl w:val="0"/>
          <w:numId w:val="0"/>
        </w:numPr>
        <w:ind w:left="1353" w:hanging="360"/>
      </w:pPr>
      <w:fldSimple w:instr=" seq paragraphs ">
        <w:r>
          <w:t>58</w:t>
        </w:r>
      </w:fldSimple>
      <w:r>
        <w:t>.</w:t>
      </w:r>
      <w:r>
        <w:tab/>
        <w:t>Med henblik på at klassificere den oprindelige eksponering før anvendelse af konverteringsfaktorer i det første trin tages de kreditrisikoreduktionsteknikker, der er forbundet med eksponeringen, ikke i betragtning (bemærk, at de udtrykkeligt skal tages i betragtning i trin to), medmindre en afdækningsvirkning udtrykkeligt er en del af definitionen af en eksponering, som det er tilfældet for eksponeringsklassen, jf. artikel 112, litra i), i forordning (EU) nr. 575/2013 (eksponeringer sikret ved pant i fast ejendom).</w:t>
      </w:r>
    </w:p>
    <w:p w14:paraId="2C39496F" w14:textId="20C15D54" w:rsidR="00464F34" w:rsidRPr="002A677E" w:rsidRDefault="008F3052" w:rsidP="00487A02">
      <w:pPr>
        <w:pStyle w:val="InstructionsText2"/>
        <w:numPr>
          <w:ilvl w:val="0"/>
          <w:numId w:val="0"/>
        </w:numPr>
        <w:ind w:left="1353" w:hanging="360"/>
      </w:pPr>
      <w:fldSimple w:instr=" seq paragraphs ">
        <w:r>
          <w:t>59</w:t>
        </w:r>
      </w:fldSimple>
      <w:r>
        <w:t>.</w:t>
      </w:r>
      <w:r>
        <w:tab/>
        <w:t>Artikel 112 i forordning (EU) nr. 575/2013 fastlægger ikke kriterier for at opdele eksponeringsklasserne. Dette kan betyde, at en eksponering potentielt kan klassificeres i andre eksponeringsklasser, hvis der ikke angives en prioritering i vurderingskriterierne for klassificeringen. Det mest indlysende tilfælde opstår mellem eksponeringer mod institutter og selskaber med kortsigtet kreditvurdering (artikel 112, litra n), i forordning (EU) nr. 575/2013) og eksponeringer mod institutter (artikel 112, litra f), i forordning (EU) nr. 575/2013)/eksponeringer mod selskaber (artikel 112, litra g), i forordning (EU) nr. 575/2013). I dette tilfælde er der tydeligvis en underforstået prioritering i nævnte forordning, da det først skal vurderes, om en bestemt eksponering er egnet til at blive kategoriseret som eksponeringer mod institutter og selskaber med kortsigtet kreditvurdering, og først derefter vurderes, om den er egnet til at blive kategoriseret som eksponeringer mod institutter eller eksponeringer mod selskaber. Ellers vil eksponeringsklassen i artikel 112, litra n), i forordning (EU) nr. 575/2013 tydeligvis aldrig blive tildelt en eksponering. Det angivne eksempel er et af de mest indlysende eksempler, men ikke det eneste. Det skal bemærkes, at kriterierne for fastlæggelse af eksponeringsklasserne efter standardmetoden er forskellige (kategorisering efter institut, løbetid for eksponering, status for misligholdt osv.), hvilket er grunden til den manglende opdeling af klassificeringer.</w:t>
      </w:r>
    </w:p>
    <w:p w14:paraId="2CC30164" w14:textId="0ED48D50" w:rsidR="00464F34" w:rsidRPr="002A677E" w:rsidRDefault="008F3052" w:rsidP="00487A02">
      <w:pPr>
        <w:pStyle w:val="InstructionsText2"/>
        <w:numPr>
          <w:ilvl w:val="0"/>
          <w:numId w:val="0"/>
        </w:numPr>
        <w:ind w:left="1353" w:hanging="360"/>
      </w:pPr>
      <w:fldSimple w:instr=" seq paragraphs ">
        <w:r>
          <w:t>60</w:t>
        </w:r>
      </w:fldSimple>
      <w:r>
        <w:t>.</w:t>
      </w:r>
      <w:r>
        <w:tab/>
        <w:t xml:space="preserve">For at sikre ensartet og sammenlignelig indberetning skal der angives en prioritering i vurderingskriterierne med henblik på at tildele den oprindelige eksponering før anvendelse af konverteringsfaktorer efter eksponeringsklasser, uden at det berører den specifikke risikovægt, der tildeles hver enkelt eksponering i den </w:t>
      </w:r>
      <w:r>
        <w:lastRenderedPageBreak/>
        <w:t>tildelte eksponeringsklasse. De prioriteringskriterier, der vises nedenfor i et beslutningstræ, er baseret på vurderingen af de betingelser, der udtrykkeligt er fastsat i forordning (EU) nr. 575/2013 for fordelingen af en eksponering til en bestemt eksponeringsklasse, og i givet fald på det indberettende instituts eller den tilsynsførendes beslutning om anvendeligheden af bestemte eksponeringsklasser. Resultatet af proceduren for fordeling i eksponeringsklasser med henblik på indberetning er derfor i overensstemmelse med bestemmelserne i forordning (EU) nr. 575/2013. Det forhindrer ikke, at institutter anvender andre interne fordelingsprocedurer, der også er i overensstemmelse med de relevante bestemmelser i forordning (EU) nr. 575/2013 og de relevante foras fortolkning heraf.</w:t>
      </w:r>
    </w:p>
    <w:p w14:paraId="5019198B" w14:textId="77777777" w:rsidR="00464F34" w:rsidRPr="002A677E" w:rsidRDefault="008F3052" w:rsidP="00487A02">
      <w:pPr>
        <w:pStyle w:val="InstructionsText2"/>
        <w:numPr>
          <w:ilvl w:val="0"/>
          <w:numId w:val="0"/>
        </w:numPr>
        <w:ind w:left="1353" w:hanging="360"/>
      </w:pPr>
      <w:fldSimple w:instr=" seq paragraphs ">
        <w:r>
          <w:t>61</w:t>
        </w:r>
      </w:fldSimple>
      <w:r>
        <w:t>.</w:t>
      </w:r>
      <w:r>
        <w:tab/>
        <w:t>En eksponeringsklasse prioriteres i vurderingsrækkefølgen i beslutningstræet (dvs. det skal først vurderes, om en eksponering kan tildeles til en eksponeringsklasse uden at foregribe resultatet af denne vurdering), hvis den ellers ikke ville være blevet tildelt andre eksponeringer. Dette er tilfældet, hvis én eksponeringsklasse er en undergruppe af andre, hvis der ikke var fastlagt prioriteringskriterier. De kriterier, der er illustreret grafisk i følgende beslutningstræ, kan derfor anvendes i en trinvis procedure.</w:t>
      </w:r>
    </w:p>
    <w:p w14:paraId="6DF5B685" w14:textId="77777777" w:rsidR="00464F34" w:rsidRPr="002A677E" w:rsidRDefault="008F3052" w:rsidP="00487A02">
      <w:pPr>
        <w:pStyle w:val="InstructionsText2"/>
        <w:numPr>
          <w:ilvl w:val="0"/>
          <w:numId w:val="0"/>
        </w:numPr>
        <w:ind w:left="1353" w:hanging="360"/>
      </w:pPr>
      <w:fldSimple w:instr=" seq paragraphs ">
        <w:r>
          <w:t>62</w:t>
        </w:r>
      </w:fldSimple>
      <w:r>
        <w:t>.</w:t>
      </w:r>
      <w:r>
        <w:tab/>
        <w:t>På den baggrund benyttes der følgende vurderingsrækkefølge i beslutningstræet nedenfor:</w:t>
      </w:r>
    </w:p>
    <w:p w14:paraId="06680208" w14:textId="77777777" w:rsidR="00464F34" w:rsidRPr="002A677E" w:rsidRDefault="00464F34" w:rsidP="00487A02">
      <w:pPr>
        <w:pStyle w:val="InstructionsText"/>
      </w:pPr>
      <w:r>
        <w:t>1. Securitiseringspositioner</w:t>
      </w:r>
    </w:p>
    <w:p w14:paraId="5F22AE2B" w14:textId="77777777" w:rsidR="00464F34" w:rsidRPr="002A677E" w:rsidRDefault="00464F34" w:rsidP="00487A02">
      <w:pPr>
        <w:pStyle w:val="InstructionsText"/>
      </w:pPr>
      <w:r>
        <w:t>2. Poster forbundet med særlig stor risiko</w:t>
      </w:r>
    </w:p>
    <w:p w14:paraId="5080897A" w14:textId="77777777" w:rsidR="00464F34" w:rsidRPr="002A677E" w:rsidRDefault="00464F34" w:rsidP="00487A02">
      <w:pPr>
        <w:pStyle w:val="InstructionsText"/>
      </w:pPr>
      <w:r>
        <w:t>3. Aktieeksponeringer</w:t>
      </w:r>
    </w:p>
    <w:p w14:paraId="6E26EFB3" w14:textId="77777777" w:rsidR="00464F34" w:rsidRPr="002A677E" w:rsidRDefault="00464F34" w:rsidP="00487A02">
      <w:pPr>
        <w:pStyle w:val="InstructionsText"/>
      </w:pPr>
      <w:r>
        <w:t>4. Eksponeringer ved misligholdelse</w:t>
      </w:r>
    </w:p>
    <w:p w14:paraId="66C692D2" w14:textId="77777777" w:rsidR="00464F34" w:rsidRPr="002A677E" w:rsidRDefault="00464F34" w:rsidP="00487A02">
      <w:pPr>
        <w:pStyle w:val="InstructionsText"/>
      </w:pPr>
      <w:r>
        <w:t>5. Eksponeringer i form af andele eller aktier (kapitalandele) i CIU'er/eksponeringer i form af særligt dækkede obligationer og særligt dækkede realkreditobligationer (ikke opdelte eksponeringsklasser)</w:t>
      </w:r>
    </w:p>
    <w:p w14:paraId="6AFB7899" w14:textId="77777777" w:rsidR="00464F34" w:rsidRPr="002A677E" w:rsidRDefault="00464F34" w:rsidP="00487A02">
      <w:pPr>
        <w:pStyle w:val="InstructionsText"/>
      </w:pPr>
      <w:r>
        <w:t>6. Eksponeringer sikret ved pant i fast ejendom</w:t>
      </w:r>
    </w:p>
    <w:p w14:paraId="4C4E7E84" w14:textId="77777777" w:rsidR="00464F34" w:rsidRPr="002A677E" w:rsidRDefault="00464F34" w:rsidP="00487A02">
      <w:pPr>
        <w:pStyle w:val="InstructionsText"/>
      </w:pPr>
      <w:r>
        <w:t>7. Andre poster</w:t>
      </w:r>
    </w:p>
    <w:p w14:paraId="7A586E62" w14:textId="77777777" w:rsidR="00464F34" w:rsidRPr="002A677E" w:rsidRDefault="00464F34" w:rsidP="00487A02">
      <w:pPr>
        <w:pStyle w:val="InstructionsText"/>
      </w:pPr>
      <w:r>
        <w:t>8. Eksponeringer mod institutter og selskaber med kortsigtet kreditvurdering</w:t>
      </w:r>
    </w:p>
    <w:p w14:paraId="2D8F9D0A" w14:textId="77777777" w:rsidR="00464F34" w:rsidRPr="002A677E" w:rsidRDefault="00464F34" w:rsidP="00487A02">
      <w:pPr>
        <w:pStyle w:val="InstructionsText"/>
      </w:pPr>
      <w:r>
        <w:t>9. Alle andre eksponeringsklasser (ikke opdelte eksponeringsklasser), som omfatter eksponeringer mod centralregeringer eller centralbanker, eksponeringer mod regionale eller lokale myndigheder, eksponeringer mod offentlige enheder, eksponeringer mod multilaterale udviklingsbanker, eksponeringer mod internationale organisationer, eksponeringer mod institutter, eksponeringer mod selskaber og detaileksponeringer.</w:t>
      </w:r>
    </w:p>
    <w:p w14:paraId="798850C9" w14:textId="5E76F0B0" w:rsidR="00464F34" w:rsidRPr="002A677E" w:rsidRDefault="008F3052" w:rsidP="00487A02">
      <w:pPr>
        <w:pStyle w:val="InstructionsText2"/>
        <w:numPr>
          <w:ilvl w:val="0"/>
          <w:numId w:val="0"/>
        </w:numPr>
        <w:ind w:left="1353" w:hanging="360"/>
      </w:pPr>
      <w:fldSimple w:instr=" seq paragraphs ">
        <w:r>
          <w:t>63</w:t>
        </w:r>
      </w:fldSimple>
      <w:r>
        <w:t>.</w:t>
      </w:r>
      <w:r>
        <w:tab/>
        <w:t>I tilfælde af eksponeringer i form af andele eller aktier i CIU'er, hvor der anvendes transparensmetoden eller mandatmetoden (artikel 132a, stk. 1) og 2), i forordning (EU) nr. 575/2013, skal den enkelte underliggende eksponering (ved transparensmetoden) og den enkelte gruppe af eksponeringer (ved mandatmetoden) overvejes og klassificeres i den tilsvarende række for risikovægt i overensstemmelse med deres behandling. Alle individuelle eksponeringer klassificeres dog i eksponeringsklassen for eksponeringer i form af andele eller aktier i kollektive investeringsinstitutter (CIU'er).</w:t>
      </w:r>
    </w:p>
    <w:p w14:paraId="7D902C25" w14:textId="1F7A3CC0" w:rsidR="00464F34" w:rsidRPr="002A677E" w:rsidRDefault="008F3052" w:rsidP="00487A02">
      <w:pPr>
        <w:pStyle w:val="InstructionsText2"/>
        <w:numPr>
          <w:ilvl w:val="0"/>
          <w:numId w:val="0"/>
        </w:numPr>
        <w:ind w:left="1353" w:hanging="360"/>
      </w:pPr>
      <w:fldSimple w:instr=" seq paragraphs ">
        <w:r>
          <w:t>64</w:t>
        </w:r>
      </w:fldSimple>
      <w:r>
        <w:t>.</w:t>
      </w:r>
      <w:r>
        <w:tab/>
        <w:t xml:space="preserve"> "Nth to default"-kreditderivater, jf. artikel 134, stk. 6, i forordning (EU) nr. 575/2013, der kreditvurderes, klassificeres direkte som securitiseringspositioner. Hvis de ikke kreditvurderes, fordeles de til eksponeringsklassen "Andre poster". I sidstnævnte tilfælde indberettes den nominelle værdi af kontrakten som den oprindelige eksponering før anvendelse af konverteringsfaktorer på linjen for "Andre risikovægte" (den anvendte risikovægt skal være den, der angives af summen i artikel 134, stk. 6, i forordning (EU) nr. 575/2013). </w:t>
      </w:r>
    </w:p>
    <w:p w14:paraId="1EFA94D5" w14:textId="77777777" w:rsidR="00464F34" w:rsidRPr="002A677E" w:rsidRDefault="008F3052" w:rsidP="00487A02">
      <w:pPr>
        <w:pStyle w:val="InstructionsText2"/>
        <w:numPr>
          <w:ilvl w:val="0"/>
          <w:numId w:val="0"/>
        </w:numPr>
        <w:ind w:left="1353" w:hanging="360"/>
      </w:pPr>
      <w:fldSimple w:instr=" seq paragraphs ">
        <w:r>
          <w:t>65</w:t>
        </w:r>
      </w:fldSimple>
      <w:r>
        <w:t>.</w:t>
      </w:r>
      <w:r>
        <w:tab/>
        <w:t>I et andet trin henføres eksponeringerne til eksponeringsklassen for udbyderen af kreditrisikoafdækning som følge af kreditrisikoreduktionsteknikker med substitutionsvirkninger.</w:t>
      </w:r>
    </w:p>
    <w:p w14:paraId="0E2C7FEE" w14:textId="4EED7399" w:rsidR="00464F34" w:rsidRPr="002A677E" w:rsidRDefault="00464F34" w:rsidP="00487A02">
      <w:pPr>
        <w:pStyle w:val="InstructionsText"/>
      </w:pPr>
      <w:r>
        <w:br w:type="page"/>
      </w:r>
      <w:r>
        <w:lastRenderedPageBreak/>
        <w:t xml:space="preserve">BESLUTNINGSTRÆ FOR FORDELINGEN AF DEN OPRINDELIGE EKSPONERING FØR ANVENDELSE AF KONVERTERINGSFAKTORER TIL EKSPONERINGSKLASSER EFTER STANDARDMETODEN I FORORDNING (EU) NR. 575/2013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2"/>
        <w:gridCol w:w="1393"/>
        <w:gridCol w:w="3964"/>
      </w:tblGrid>
      <w:tr w:rsidR="003A1B96" w:rsidRPr="002A677E" w14:paraId="1BE3B574" w14:textId="77777777" w:rsidTr="00672D2A">
        <w:tc>
          <w:tcPr>
            <w:tcW w:w="3761" w:type="dxa"/>
            <w:shd w:val="clear" w:color="auto" w:fill="auto"/>
          </w:tcPr>
          <w:p w14:paraId="66C75766" w14:textId="77777777" w:rsidR="003A1B96" w:rsidRPr="002A677E" w:rsidRDefault="003A1B96" w:rsidP="007574C3">
            <w:pPr>
              <w:spacing w:before="0" w:after="0"/>
              <w:jc w:val="left"/>
              <w:rPr>
                <w:sz w:val="24"/>
              </w:rPr>
            </w:pPr>
            <w:r>
              <w:rPr>
                <w:rFonts w:ascii="Times New Roman" w:hAnsi="Times New Roman"/>
                <w:sz w:val="24"/>
              </w:rPr>
              <w:t>Oprindelig eksponering før anvendelse af konverteringsfaktorer</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3950D58F" w:rsidR="00581FA5" w:rsidRPr="002A677E" w:rsidRDefault="00581FA5" w:rsidP="00880E92">
            <w:pPr>
              <w:pStyle w:val="InstructionsText"/>
            </w:pPr>
            <w:r>
              <w:t>Kan den tildeles eksponeringsklassen i artikel 112, litra m), i forordning (EU) nr. 575/2013?</w:t>
            </w:r>
          </w:p>
        </w:tc>
        <w:tc>
          <w:tcPr>
            <w:tcW w:w="1417" w:type="dxa"/>
            <w:shd w:val="clear" w:color="auto" w:fill="auto"/>
          </w:tcPr>
          <w:p w14:paraId="7A5DB446" w14:textId="77777777" w:rsidR="00BD52C3" w:rsidRPr="002A677E" w:rsidRDefault="00BD52C3" w:rsidP="00487A02">
            <w:pPr>
              <w:pStyle w:val="InstructionsText"/>
            </w:pPr>
            <w:r>
              <w:t xml:space="preserve">JA </w:t>
            </w:r>
            <w:r>
              <w:rPr>
                <w:noProof/>
                <w:lang w:val="en-US" w:eastAsia="en-US"/>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r>
              <w:t>Securitiseringspositioner</w:t>
            </w:r>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t xml:space="preserve">NEJ </w:t>
            </w:r>
            <w:r>
              <w:rPr>
                <w:noProof/>
                <w:lang w:val="en-US" w:eastAsia="en-US"/>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487A02">
            <w:pPr>
              <w:pStyle w:val="InstructionsText"/>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47F6F000" w:rsidR="003A1B96" w:rsidRPr="002A677E" w:rsidRDefault="003A1B96" w:rsidP="00880E92">
            <w:pPr>
              <w:pStyle w:val="InstructionsText"/>
            </w:pPr>
            <w:r>
              <w:t>Kan den tildeles eksponeringsklassen i artikel 112, litra k), i forordning (EU) nr. 575/2013?</w:t>
            </w:r>
          </w:p>
        </w:tc>
        <w:tc>
          <w:tcPr>
            <w:tcW w:w="1417" w:type="dxa"/>
            <w:shd w:val="clear" w:color="auto" w:fill="auto"/>
          </w:tcPr>
          <w:p w14:paraId="18E67292" w14:textId="77777777" w:rsidR="00AC3054" w:rsidRPr="002A677E" w:rsidRDefault="00974E3F" w:rsidP="00487A02">
            <w:pPr>
              <w:pStyle w:val="InstructionsText"/>
            </w:pPr>
            <w:r>
              <w:t xml:space="preserve">JA </w:t>
            </w:r>
            <w:r>
              <w:rPr>
                <w:noProof/>
                <w:lang w:val="en-US" w:eastAsia="en-US"/>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0D0A33BE" w:rsidR="003A1B96" w:rsidRPr="002A677E" w:rsidRDefault="003A1B96" w:rsidP="00487A02">
            <w:pPr>
              <w:pStyle w:val="InstructionsText"/>
            </w:pPr>
            <w:r>
              <w:t>Poster forbundet med særlig stor risiko (se også artikel 128 i forordning (EU) nr. 575/2013)</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t xml:space="preserve">NEJ </w:t>
            </w:r>
            <w:r>
              <w:rPr>
                <w:noProof/>
                <w:lang w:val="en-US" w:eastAsia="en-US"/>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2A677E" w:rsidRDefault="003A1B96" w:rsidP="00487A02">
            <w:pPr>
              <w:pStyle w:val="InstructionsText"/>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67621873" w:rsidR="003A1B96" w:rsidRPr="002A677E" w:rsidRDefault="003A1B96" w:rsidP="00880E92">
            <w:pPr>
              <w:pStyle w:val="InstructionsText"/>
            </w:pPr>
            <w:r>
              <w:t>Kan den tildeles eksponeringsklassen i artikel 112, litra p), i forordning (EU) nr. 575/2013?</w:t>
            </w:r>
          </w:p>
        </w:tc>
        <w:tc>
          <w:tcPr>
            <w:tcW w:w="1417" w:type="dxa"/>
            <w:shd w:val="clear" w:color="auto" w:fill="auto"/>
          </w:tcPr>
          <w:p w14:paraId="17E9AA8D" w14:textId="77777777" w:rsidR="00BD52C3" w:rsidRPr="002A677E" w:rsidRDefault="00BD52C3" w:rsidP="00487A02">
            <w:pPr>
              <w:pStyle w:val="InstructionsText"/>
            </w:pPr>
            <w:r>
              <w:t xml:space="preserve">JA </w:t>
            </w:r>
            <w:r>
              <w:rPr>
                <w:noProof/>
                <w:lang w:val="en-US" w:eastAsia="en-US"/>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464922F9" w:rsidR="003A1B96" w:rsidRPr="002A677E" w:rsidRDefault="003A1B96" w:rsidP="00487A02">
            <w:pPr>
              <w:pStyle w:val="InstructionsText"/>
            </w:pPr>
            <w:r>
              <w:t>Aktieeksponeringer (se også artikel 133 i forordning (EU) nr. 575/2013)</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t xml:space="preserve">NEJ </w:t>
            </w:r>
            <w:r>
              <w:rPr>
                <w:noProof/>
                <w:lang w:val="en-US" w:eastAsia="en-US"/>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487A02">
            <w:pPr>
              <w:pStyle w:val="InstructionsText"/>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6EFDC1C6" w:rsidR="00581FA5" w:rsidRPr="002A677E" w:rsidRDefault="00581FA5" w:rsidP="00880E92">
            <w:pPr>
              <w:pStyle w:val="InstructionsText"/>
            </w:pPr>
            <w:r>
              <w:t>Kan den tildeles eksponeringsklassen i artikel 112, litra j), i forordning (EU) nr. 575/2013?</w:t>
            </w:r>
          </w:p>
        </w:tc>
        <w:tc>
          <w:tcPr>
            <w:tcW w:w="1417" w:type="dxa"/>
            <w:shd w:val="clear" w:color="auto" w:fill="auto"/>
          </w:tcPr>
          <w:p w14:paraId="4E3778AB" w14:textId="77777777" w:rsidR="00BD52C3" w:rsidRPr="002A677E" w:rsidRDefault="00BD52C3" w:rsidP="00487A02">
            <w:pPr>
              <w:pStyle w:val="InstructionsText"/>
            </w:pPr>
            <w:r>
              <w:t xml:space="preserve">JA </w:t>
            </w:r>
            <w:r>
              <w:rPr>
                <w:noProof/>
                <w:lang w:val="en-US" w:eastAsia="en-US"/>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t>Eksponeringer ved misligholdelse</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t xml:space="preserve">NEJ </w:t>
            </w:r>
            <w:r>
              <w:rPr>
                <w:noProof/>
                <w:lang w:val="en-US" w:eastAsia="en-US"/>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487A02">
            <w:pPr>
              <w:pStyle w:val="InstructionsText"/>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548212FC" w:rsidR="00581FA5" w:rsidRPr="002A677E" w:rsidRDefault="00581FA5" w:rsidP="00880E92">
            <w:pPr>
              <w:pStyle w:val="InstructionsText"/>
            </w:pPr>
            <w:r>
              <w:t>Kan den tildeles eksponeringsklasserne i artikel 112, litra l) og o), i forordning (EU) nr. 575/2013?</w:t>
            </w:r>
          </w:p>
        </w:tc>
        <w:tc>
          <w:tcPr>
            <w:tcW w:w="1417" w:type="dxa"/>
            <w:shd w:val="clear" w:color="auto" w:fill="auto"/>
          </w:tcPr>
          <w:p w14:paraId="08B1C985" w14:textId="77777777" w:rsidR="00BD52C3" w:rsidRPr="002A677E" w:rsidRDefault="00BD52C3" w:rsidP="00487A02">
            <w:pPr>
              <w:pStyle w:val="InstructionsText"/>
            </w:pPr>
            <w:r>
              <w:t xml:space="preserve">JA </w:t>
            </w:r>
            <w:r>
              <w:rPr>
                <w:noProof/>
                <w:lang w:val="en-US" w:eastAsia="en-US"/>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t>Eksponeringer i form af andele eller aktier (kapitalandele) i CIU'er</w:t>
            </w:r>
          </w:p>
          <w:p w14:paraId="55A5CB19" w14:textId="601E97D3" w:rsidR="00581FA5" w:rsidRPr="002A677E" w:rsidRDefault="00581FA5" w:rsidP="00487A02">
            <w:pPr>
              <w:pStyle w:val="InstructionsText"/>
            </w:pPr>
            <w:r>
              <w:t>Eksponeringer i form af særligt dækkede obligationer og særligt dækkede realkreditobligationer (se også artikel 129 i forordning (EU) nr. 575/2013)</w:t>
            </w:r>
          </w:p>
          <w:p w14:paraId="546D5260" w14:textId="77777777" w:rsidR="00581FA5" w:rsidRPr="002A677E" w:rsidRDefault="00581FA5" w:rsidP="00487A02">
            <w:pPr>
              <w:pStyle w:val="InstructionsText"/>
            </w:pPr>
            <w:r>
              <w:t xml:space="preserve">Disse to eksponeringsklasser hænger ikke sammen (se bemærkninger til </w:t>
            </w:r>
            <w:r>
              <w:lastRenderedPageBreak/>
              <w:t>look-through-metoden i svaret ovenfor). Tildelingen til en af dem er derfor ukompliceret.</w:t>
            </w:r>
          </w:p>
        </w:tc>
      </w:tr>
      <w:tr w:rsidR="00581FA5" w:rsidRPr="002A677E" w14:paraId="0AC9A0E4" w14:textId="77777777" w:rsidTr="00672D2A">
        <w:tc>
          <w:tcPr>
            <w:tcW w:w="3761" w:type="dxa"/>
            <w:shd w:val="clear" w:color="auto" w:fill="auto"/>
          </w:tcPr>
          <w:p w14:paraId="2E513543" w14:textId="77777777" w:rsidR="007241D3" w:rsidRPr="002A677E" w:rsidRDefault="007241D3" w:rsidP="00487A02">
            <w:pPr>
              <w:pStyle w:val="InstructionsText"/>
            </w:pPr>
            <w:r>
              <w:lastRenderedPageBreak/>
              <w:t xml:space="preserve">NEJ </w:t>
            </w:r>
            <w:r>
              <w:rPr>
                <w:noProof/>
                <w:lang w:val="en-US" w:eastAsia="en-US"/>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2C25F469" w:rsidR="00581FA5" w:rsidRPr="002A677E" w:rsidRDefault="00581FA5" w:rsidP="00880E92">
            <w:pPr>
              <w:pStyle w:val="InstructionsText"/>
            </w:pPr>
            <w:r>
              <w:t>Kan den tildeles eksponeringsklassen i artikel 112, litra i), i forordning (EU) nr. 575/2013?</w:t>
            </w:r>
          </w:p>
        </w:tc>
        <w:tc>
          <w:tcPr>
            <w:tcW w:w="1417" w:type="dxa"/>
            <w:shd w:val="clear" w:color="auto" w:fill="auto"/>
          </w:tcPr>
          <w:p w14:paraId="21935E41" w14:textId="77777777" w:rsidR="00BD52C3" w:rsidRPr="002A677E" w:rsidRDefault="00BD52C3" w:rsidP="00487A02">
            <w:pPr>
              <w:pStyle w:val="InstructionsText"/>
            </w:pPr>
            <w:r>
              <w:t xml:space="preserve">JA </w:t>
            </w:r>
            <w:r>
              <w:rPr>
                <w:noProof/>
                <w:lang w:val="en-US" w:eastAsia="en-US"/>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387BF5FE" w:rsidR="00581FA5" w:rsidRPr="002A677E" w:rsidRDefault="00581FA5" w:rsidP="00487A02">
            <w:pPr>
              <w:pStyle w:val="InstructionsText"/>
            </w:pPr>
            <w:r>
              <w:t>Eksponeringer sikret ved pant i fast ejendom (se også artikel 124 i forordning (EU) nr. 575/2013)</w:t>
            </w:r>
          </w:p>
        </w:tc>
      </w:tr>
      <w:tr w:rsidR="00581FA5" w:rsidRPr="002A677E" w14:paraId="3BDDC8D7" w14:textId="77777777" w:rsidTr="00672D2A">
        <w:tc>
          <w:tcPr>
            <w:tcW w:w="3761" w:type="dxa"/>
            <w:shd w:val="clear" w:color="auto" w:fill="auto"/>
          </w:tcPr>
          <w:p w14:paraId="3B9957B7" w14:textId="77777777" w:rsidR="007241D3" w:rsidRPr="002A677E" w:rsidRDefault="007241D3" w:rsidP="00487A02">
            <w:pPr>
              <w:pStyle w:val="InstructionsText"/>
            </w:pPr>
            <w:r>
              <w:t xml:space="preserve">NEJ </w:t>
            </w:r>
            <w:r>
              <w:rPr>
                <w:noProof/>
                <w:lang w:val="en-US" w:eastAsia="en-US"/>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532F1729" w:rsidR="00581FA5" w:rsidRPr="002A677E" w:rsidRDefault="00581FA5" w:rsidP="00880E92">
            <w:pPr>
              <w:pStyle w:val="InstructionsText"/>
            </w:pPr>
            <w:r>
              <w:t>Kan den tildeles eksponeringsklassen i artikel 112, litra q), i forordning (EU) nr. 575/2013?</w:t>
            </w:r>
          </w:p>
        </w:tc>
        <w:tc>
          <w:tcPr>
            <w:tcW w:w="1417" w:type="dxa"/>
            <w:shd w:val="clear" w:color="auto" w:fill="auto"/>
          </w:tcPr>
          <w:p w14:paraId="1D317502" w14:textId="77777777" w:rsidR="00BD52C3" w:rsidRPr="002A677E" w:rsidRDefault="00BD52C3" w:rsidP="00487A02">
            <w:pPr>
              <w:pStyle w:val="InstructionsText"/>
            </w:pPr>
            <w:r>
              <w:t xml:space="preserve">JA </w:t>
            </w:r>
            <w:r>
              <w:rPr>
                <w:noProof/>
                <w:lang w:val="en-US" w:eastAsia="en-US"/>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t>Andre poster</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t xml:space="preserve">NEJ </w:t>
            </w:r>
            <w:r>
              <w:rPr>
                <w:noProof/>
                <w:lang w:val="en-US" w:eastAsia="en-US"/>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35261E75" w:rsidR="00581FA5" w:rsidRPr="002A677E" w:rsidRDefault="00581FA5" w:rsidP="00880E92">
            <w:pPr>
              <w:pStyle w:val="InstructionsText"/>
            </w:pPr>
            <w:r>
              <w:t>Kan den tildeles eksponeringsklassen i artikel 112, litra n), i forordning (EU) nr. 575/2013?</w:t>
            </w:r>
          </w:p>
        </w:tc>
        <w:tc>
          <w:tcPr>
            <w:tcW w:w="1417" w:type="dxa"/>
            <w:shd w:val="clear" w:color="auto" w:fill="auto"/>
          </w:tcPr>
          <w:p w14:paraId="3AAC30A2" w14:textId="77777777" w:rsidR="0063493E" w:rsidRPr="002A677E" w:rsidRDefault="0063493E" w:rsidP="00487A02">
            <w:pPr>
              <w:pStyle w:val="InstructionsText"/>
            </w:pPr>
            <w:r>
              <w:t xml:space="preserve">JA </w:t>
            </w:r>
            <w:r>
              <w:rPr>
                <w:noProof/>
                <w:lang w:val="en-US" w:eastAsia="en-US"/>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t>Eksponeringer mod institutter og selskaber med kortsigtet kreditvurdering</w:t>
            </w:r>
          </w:p>
        </w:tc>
      </w:tr>
      <w:tr w:rsidR="00581FA5" w:rsidRPr="002A677E" w14:paraId="3E8D6847" w14:textId="77777777" w:rsidTr="00672D2A">
        <w:tc>
          <w:tcPr>
            <w:tcW w:w="3761" w:type="dxa"/>
            <w:shd w:val="clear" w:color="auto" w:fill="auto"/>
          </w:tcPr>
          <w:p w14:paraId="46AD76FC" w14:textId="77777777" w:rsidR="007241D3" w:rsidRPr="002A677E" w:rsidRDefault="007241D3" w:rsidP="00487A02">
            <w:pPr>
              <w:pStyle w:val="InstructionsText"/>
            </w:pPr>
            <w:r>
              <w:t xml:space="preserve">NEJ </w:t>
            </w:r>
            <w:r>
              <w:rPr>
                <w:noProof/>
                <w:lang w:val="en-US" w:eastAsia="en-US"/>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77777777" w:rsidR="00581FA5" w:rsidRPr="002A677E" w:rsidRDefault="00581FA5" w:rsidP="00487A02">
            <w:pPr>
              <w:pStyle w:val="InstructionsText"/>
            </w:pPr>
            <w:r>
              <w:t>Eksponeringsklasserne nedenfor hænger ikke sammen. Tildelingen til en af dem er derfor ukompliceret.</w:t>
            </w:r>
          </w:p>
          <w:p w14:paraId="078366A0" w14:textId="77777777" w:rsidR="00581FA5" w:rsidRPr="002A677E" w:rsidRDefault="00581FA5" w:rsidP="00487A02">
            <w:pPr>
              <w:pStyle w:val="InstructionsText"/>
            </w:pPr>
            <w:r>
              <w:t>Eksponeringer mod centralregeringer eller centralbanker</w:t>
            </w:r>
          </w:p>
          <w:p w14:paraId="5704C1AB" w14:textId="77777777" w:rsidR="00581FA5" w:rsidRPr="002A677E" w:rsidRDefault="00581FA5" w:rsidP="00487A02">
            <w:pPr>
              <w:pStyle w:val="InstructionsText"/>
            </w:pPr>
            <w:r>
              <w:t>Eksponeringer mod regionale eller lokale myndigheder</w:t>
            </w:r>
          </w:p>
          <w:p w14:paraId="6C86AA24" w14:textId="77777777" w:rsidR="00581FA5" w:rsidRPr="002A677E" w:rsidRDefault="00581FA5" w:rsidP="00487A02">
            <w:pPr>
              <w:pStyle w:val="InstructionsText"/>
            </w:pPr>
            <w:r>
              <w:t>Eksponeringer mod offentlige enheder</w:t>
            </w:r>
          </w:p>
          <w:p w14:paraId="053A0BEF" w14:textId="77777777" w:rsidR="00581FA5" w:rsidRPr="002A677E" w:rsidRDefault="00581FA5" w:rsidP="00487A02">
            <w:pPr>
              <w:pStyle w:val="InstructionsText"/>
            </w:pPr>
            <w:r>
              <w:t>Eksponeringer mod multilaterale udviklingsbanker</w:t>
            </w:r>
          </w:p>
          <w:p w14:paraId="1EE8962F" w14:textId="77777777" w:rsidR="00581FA5" w:rsidRPr="002A677E" w:rsidRDefault="00581FA5" w:rsidP="00487A02">
            <w:pPr>
              <w:pStyle w:val="InstructionsText"/>
            </w:pPr>
            <w:r>
              <w:t>Eksponeringer mod internationale organisationer</w:t>
            </w:r>
          </w:p>
          <w:p w14:paraId="5BD6520E" w14:textId="77777777" w:rsidR="00581FA5" w:rsidRPr="002A677E" w:rsidRDefault="00581FA5" w:rsidP="00487A02">
            <w:pPr>
              <w:pStyle w:val="InstructionsText"/>
            </w:pPr>
            <w:r>
              <w:t>Eksponeringer mod institutter</w:t>
            </w:r>
          </w:p>
          <w:p w14:paraId="4816B9C7" w14:textId="77777777" w:rsidR="00581FA5" w:rsidRPr="002A677E" w:rsidRDefault="00581FA5" w:rsidP="00487A02">
            <w:pPr>
              <w:pStyle w:val="InstructionsText"/>
            </w:pPr>
            <w:r>
              <w:t>Eksponeringer mod selskaber</w:t>
            </w:r>
          </w:p>
          <w:p w14:paraId="2AE1E734" w14:textId="77777777" w:rsidR="00581FA5" w:rsidRPr="002A677E" w:rsidRDefault="00581FA5" w:rsidP="00487A02">
            <w:pPr>
              <w:pStyle w:val="InstructionsText"/>
            </w:pPr>
            <w:r>
              <w:t>Detaileksponeringer</w:t>
            </w:r>
          </w:p>
        </w:tc>
      </w:tr>
    </w:tbl>
    <w:p w14:paraId="0275EE59" w14:textId="77777777" w:rsidR="0073242B" w:rsidRPr="002A677E" w:rsidRDefault="0073242B">
      <w:pPr>
        <w:spacing w:before="0" w:after="0"/>
        <w:jc w:val="left"/>
        <w:rPr>
          <w:rFonts w:ascii="Times New Roman" w:hAnsi="Times New Roman"/>
          <w:bCs/>
          <w:sz w:val="24"/>
        </w:rPr>
      </w:pPr>
      <w:r>
        <w:br w:type="page"/>
      </w:r>
    </w:p>
    <w:p w14:paraId="014584E8" w14:textId="77777777" w:rsidR="00464F34" w:rsidRPr="002A677E" w:rsidRDefault="00464F34" w:rsidP="00487A02">
      <w:pPr>
        <w:pStyle w:val="InstructionsText"/>
      </w:pPr>
    </w:p>
    <w:p w14:paraId="63087114" w14:textId="1CBFF838"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1" w:name="_Toc262568031"/>
      <w:bookmarkStart w:id="192" w:name="_Toc264038429"/>
      <w:bookmarkStart w:id="193" w:name="_Toc292456208"/>
      <w:bookmarkStart w:id="194" w:name="_Toc295829859"/>
      <w:bookmarkStart w:id="195" w:name="_Toc310415023"/>
      <w:bookmarkStart w:id="196" w:name="_Toc360188352"/>
      <w:bookmarkStart w:id="197" w:name="_Toc473560901"/>
      <w:bookmarkStart w:id="198" w:name="_Toc119059323"/>
      <w:r>
        <w:rPr>
          <w:rFonts w:ascii="Times New Roman" w:hAnsi="Times New Roman"/>
          <w:sz w:val="24"/>
          <w:u w:val="none"/>
        </w:rPr>
        <w:t>3.2.4.</w:t>
      </w:r>
      <w:r>
        <w:tab/>
      </w:r>
      <w:r>
        <w:rPr>
          <w:rFonts w:ascii="Times New Roman" w:hAnsi="Times New Roman"/>
          <w:sz w:val="24"/>
        </w:rPr>
        <w:t xml:space="preserve">Præcisering af anvendelsesområdet for specifikke eksponeringsklasser omhandlet i artikel 112 i </w:t>
      </w:r>
      <w:bookmarkEnd w:id="191"/>
      <w:bookmarkEnd w:id="192"/>
      <w:bookmarkEnd w:id="193"/>
      <w:bookmarkEnd w:id="194"/>
      <w:bookmarkEnd w:id="195"/>
      <w:bookmarkEnd w:id="196"/>
      <w:bookmarkEnd w:id="197"/>
      <w:r>
        <w:rPr>
          <w:rFonts w:ascii="Times New Roman" w:hAnsi="Times New Roman"/>
          <w:sz w:val="24"/>
        </w:rPr>
        <w:t>forordning (EU) nr. 575/2013</w:t>
      </w:r>
      <w:bookmarkEnd w:id="198"/>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119059324"/>
      <w:r>
        <w:rPr>
          <w:rFonts w:ascii="Times New Roman" w:hAnsi="Times New Roman"/>
          <w:sz w:val="24"/>
          <w:u w:val="none"/>
        </w:rPr>
        <w:t>3.2.4.1.</w:t>
      </w:r>
      <w:r>
        <w:tab/>
      </w:r>
      <w:r>
        <w:rPr>
          <w:rFonts w:ascii="Times New Roman" w:hAnsi="Times New Roman"/>
          <w:sz w:val="24"/>
        </w:rPr>
        <w:t>Eksponeringsklassen "Institutter"</w:t>
      </w:r>
      <w:bookmarkEnd w:id="199"/>
      <w:bookmarkEnd w:id="200"/>
      <w:bookmarkEnd w:id="201"/>
    </w:p>
    <w:p w14:paraId="17B6FF43" w14:textId="1E392584" w:rsidR="00464F34" w:rsidRPr="002A677E" w:rsidRDefault="008F3052" w:rsidP="00487A02">
      <w:pPr>
        <w:pStyle w:val="InstructionsText2"/>
        <w:numPr>
          <w:ilvl w:val="0"/>
          <w:numId w:val="0"/>
        </w:numPr>
        <w:ind w:left="1353" w:hanging="360"/>
      </w:pPr>
      <w:fldSimple w:instr=" seq paragraphs ">
        <w:r>
          <w:t>66</w:t>
        </w:r>
      </w:fldSimple>
      <w:r>
        <w:t>.</w:t>
      </w:r>
      <w:r>
        <w:tab/>
        <w:t>Koncerninterne eksponeringer i henhold til artikel 113, stk. 6 og 7, i forordning (EU) nr. 575/2013 indberettes på følgende måde:</w:t>
      </w:r>
    </w:p>
    <w:p w14:paraId="626B6469" w14:textId="11610A54" w:rsidR="00464F34" w:rsidRPr="002A677E" w:rsidRDefault="008F3052" w:rsidP="00487A02">
      <w:pPr>
        <w:pStyle w:val="InstructionsText2"/>
        <w:numPr>
          <w:ilvl w:val="0"/>
          <w:numId w:val="0"/>
        </w:numPr>
        <w:ind w:left="1353" w:hanging="360"/>
      </w:pPr>
      <w:fldSimple w:instr=" seq paragraphs ">
        <w:r>
          <w:t>67</w:t>
        </w:r>
      </w:fldSimple>
      <w:r>
        <w:t>.</w:t>
      </w:r>
      <w:r>
        <w:tab/>
        <w:t>Eksponeringer, der opfylder kravene i artikel 113, stk. 7, i forordning (EU) nr. 575/2013, indberettes i de respektive eksponeringsklasser, hvor de skulle indberettes, hvis de ikke var koncerninterne eksponeringer.</w:t>
      </w:r>
    </w:p>
    <w:p w14:paraId="4CF7FD64" w14:textId="19E0C662" w:rsidR="00464F34" w:rsidRPr="002A677E" w:rsidRDefault="008F3052" w:rsidP="00487A02">
      <w:pPr>
        <w:pStyle w:val="InstructionsText2"/>
        <w:numPr>
          <w:ilvl w:val="0"/>
          <w:numId w:val="0"/>
        </w:numPr>
        <w:ind w:left="1353" w:hanging="360"/>
      </w:pPr>
      <w:fldSimple w:instr=" seq paragraphs ">
        <w:r>
          <w:t>68</w:t>
        </w:r>
      </w:fldSimple>
      <w:r>
        <w:t>.</w:t>
      </w:r>
      <w:r>
        <w:tab/>
        <w:t>I henhold til artikel 113, stk. 6 og 7, i forordning (EU) nr. 575/2013 kan et institut med forbehold af de kompetente myndigheders forudgående godkendelse beslutte ikke at anvende kravene i stk. 1 på instituttets eksponeringer mod en modpart, som er dets moderselskab, dets datterselskab, et datterselskab af dets moderselskab eller en virksomhed, med hvilken der består en forbindelse som i artikel 12, stk. 1, i direktiv 83/349/EØF. Det betyder, at koncerninterne modparter ikke nødvendigvis er institutter, men også virksomheder, der er tildelt andre eksponeringsklasser, f.eks. virksomheder, der yder accessoriske tjenester, eller virksomheder som defineret i artikel 12, stk. 1, i Rådets direktiv 83/349/EØF</w:t>
      </w:r>
      <w:r>
        <w:footnoteReference w:id="3"/>
      </w:r>
      <w:r>
        <w:t>. Koncerninterne eksponeringer skal derfor indberettes i den tilsvarende eksponeringsklasse.</w:t>
      </w:r>
    </w:p>
    <w:p w14:paraId="60C0B8B9" w14:textId="1641715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119059325"/>
      <w:r>
        <w:rPr>
          <w:rFonts w:ascii="Times New Roman" w:hAnsi="Times New Roman"/>
          <w:sz w:val="24"/>
          <w:u w:val="none"/>
        </w:rPr>
        <w:t>3.2.4.2.</w:t>
      </w:r>
      <w:r>
        <w:tab/>
      </w:r>
      <w:r>
        <w:rPr>
          <w:rFonts w:ascii="Times New Roman" w:hAnsi="Times New Roman"/>
          <w:sz w:val="24"/>
        </w:rPr>
        <w:t>Eksponeringsklassen "Særligt dækkede obligationer og særligt dækkede realkreditobligationer"</w:t>
      </w:r>
      <w:bookmarkEnd w:id="202"/>
      <w:bookmarkEnd w:id="203"/>
      <w:bookmarkEnd w:id="204"/>
    </w:p>
    <w:p w14:paraId="5C7B716A" w14:textId="77777777" w:rsidR="00464F34" w:rsidRPr="002A677E" w:rsidRDefault="008F3052" w:rsidP="00487A02">
      <w:pPr>
        <w:pStyle w:val="InstructionsText2"/>
        <w:numPr>
          <w:ilvl w:val="0"/>
          <w:numId w:val="0"/>
        </w:numPr>
        <w:ind w:left="1353" w:hanging="360"/>
      </w:pPr>
      <w:fldSimple w:instr=" seq paragraphs ">
        <w:r>
          <w:t>69</w:t>
        </w:r>
      </w:fldSimple>
      <w:r>
        <w:t>.</w:t>
      </w:r>
      <w:r>
        <w:tab/>
        <w:t>Eksponeringer opgjort efter standardmetoden tildeles eksponeringsklassen "Særligt dækkede obligationer og særligt dækkede realkreditobligationer" på følgende måde:</w:t>
      </w:r>
    </w:p>
    <w:p w14:paraId="06BAD20B" w14:textId="662373C3" w:rsidR="00464F34" w:rsidRPr="002A677E" w:rsidRDefault="008F3052" w:rsidP="00487A02">
      <w:pPr>
        <w:pStyle w:val="InstructionsText2"/>
        <w:numPr>
          <w:ilvl w:val="0"/>
          <w:numId w:val="0"/>
        </w:numPr>
        <w:ind w:left="1353" w:hanging="360"/>
      </w:pPr>
      <w:fldSimple w:instr=" seq paragraphs ">
        <w:r>
          <w:t>70</w:t>
        </w:r>
      </w:fldSimple>
      <w:r>
        <w:t>.</w:t>
      </w:r>
      <w:r>
        <w:tab/>
        <w:t>Obligationer som omhandlet i artikel 52, stk. 4, i Europa-Parlamentets og Rådets direktiv 2009/65/EF</w:t>
      </w:r>
      <w:r>
        <w:footnoteReference w:id="4"/>
      </w:r>
      <w:r>
        <w:t xml:space="preserve"> skal opfylde kravene i artikel 129, stk. 1 og 2, i forordning (EU) nr. 575/2013 for at blive klassificeret i eksponeringsklassen "Særligt dækkede obligationer og særligt dækkede realkreditobligationer". Opfyldelsen af disse krav skal kontrolleres i hvert enkelt tilfælde. Obligationer som omhandlet i artikel 52, stk. 4, i direktiv 2009/65/EF og udstedt inden den 31. december 2007 henføres dog også til eksponeringsklassen "Særligt dækkede obligationer og særligt dækkede realkreditobligationer" i medfør af artikel 129, stk. 6, i forordning (EU) nr. 575/2013.</w:t>
      </w:r>
    </w:p>
    <w:p w14:paraId="48189E00" w14:textId="2901EF84"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119059326"/>
      <w:r>
        <w:rPr>
          <w:rFonts w:ascii="Times New Roman" w:hAnsi="Times New Roman"/>
          <w:sz w:val="24"/>
          <w:u w:val="none"/>
        </w:rPr>
        <w:lastRenderedPageBreak/>
        <w:t>3.2.4.3.</w:t>
      </w:r>
      <w:r>
        <w:tab/>
      </w:r>
      <w:r>
        <w:rPr>
          <w:rFonts w:ascii="Times New Roman" w:hAnsi="Times New Roman"/>
          <w:sz w:val="24"/>
        </w:rPr>
        <w:t>Eksponeringsklassen "CIU'er"</w:t>
      </w:r>
      <w:bookmarkEnd w:id="205"/>
      <w:bookmarkEnd w:id="206"/>
      <w:bookmarkEnd w:id="207"/>
    </w:p>
    <w:p w14:paraId="73725411" w14:textId="63B2300D" w:rsidR="00464F34" w:rsidRPr="002A677E" w:rsidRDefault="008F3052" w:rsidP="00487A02">
      <w:pPr>
        <w:pStyle w:val="InstructionsText2"/>
        <w:numPr>
          <w:ilvl w:val="0"/>
          <w:numId w:val="0"/>
        </w:numPr>
        <w:ind w:left="1353" w:hanging="360"/>
      </w:pPr>
      <w:fldSimple w:instr=" seq paragraphs ">
        <w:r>
          <w:t>71</w:t>
        </w:r>
      </w:fldSimple>
      <w:r>
        <w:t>.</w:t>
      </w:r>
      <w:r>
        <w:tab/>
        <w:t xml:space="preserve">Hvis muligheden som omhandlet i artikel 132a, stk. 2, i forordning (EU) nr. 575/2013 anvendes, skal eksponeringer i form af andele eller aktier (kapitalandele) i CIU'er indberettes som balanceførte poster i overensstemmelse med artikel 111, stk. 1, første punktum, i forordning (EU) nr. 575/2013. </w:t>
      </w:r>
    </w:p>
    <w:p w14:paraId="041009DD" w14:textId="641A6A3C"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119059327"/>
      <w:r>
        <w:rPr>
          <w:rFonts w:ascii="Times New Roman" w:hAnsi="Times New Roman"/>
          <w:sz w:val="24"/>
          <w:u w:val="none"/>
        </w:rPr>
        <w:t>3.2.5.</w:t>
      </w:r>
      <w:r>
        <w:tab/>
      </w:r>
      <w:r>
        <w:rPr>
          <w:rFonts w:ascii="Times New Roman" w:hAnsi="Times New Roman"/>
          <w:sz w:val="24"/>
        </w:rPr>
        <w:t>Instrukser vedrørende specifikke positioner</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t>Kolonner</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t>0010</w:t>
            </w:r>
          </w:p>
        </w:tc>
        <w:tc>
          <w:tcPr>
            <w:tcW w:w="8640" w:type="dxa"/>
          </w:tcPr>
          <w:p w14:paraId="7C0543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OPRINDELIG EKSPONERING FØR ANVENDELSE AF KONVERTERINGSFAKTORER</w:t>
            </w:r>
          </w:p>
          <w:p w14:paraId="70FC71B9" w14:textId="4AE4FB26" w:rsidR="00464F34" w:rsidRPr="002A677E" w:rsidRDefault="00464F34" w:rsidP="00487A02">
            <w:pPr>
              <w:pStyle w:val="InstructionsText"/>
            </w:pPr>
            <w:r>
              <w:t>Eksponeringsværdien beregnet i henhold til artikel 111 i forordning (EU) nr. 575/2013 uden hensyntagen til værdijusteringer og hensættelser, fradrag, konverteringsfaktorer og virkningen af kreditrisikoreduktionsteknikker med følgende forbehold i medfør af artikel 111, stk. 2, i forordning (EU) nr. 575/2013:</w:t>
            </w:r>
          </w:p>
          <w:p w14:paraId="1FA3C4C3" w14:textId="3EEE96A6" w:rsidR="00464F34" w:rsidRPr="002A677E" w:rsidRDefault="00464F34" w:rsidP="00487A02">
            <w:pPr>
              <w:pStyle w:val="InstructionsText"/>
              <w:numPr>
                <w:ilvl w:val="0"/>
                <w:numId w:val="32"/>
              </w:numPr>
            </w:pPr>
            <w:r>
              <w:t xml:space="preserve">For derivater, genkøbstransaktioner, udlån og indskud af værdipapirer eller råvarer, terminsforretninger og margenudlånstransaktioner, der er underlagt modpartsrisiko (tredje del, afsnit II, kapitel 4 eller 6, i forordning (EU) nr. 575/2013) skal den oprindelige eksponering svare til eksponeringsværdien for modpartsrisiko (se instrukserne til kolonne 0210). </w:t>
            </w:r>
          </w:p>
          <w:p w14:paraId="68C03EBC" w14:textId="621633CC" w:rsidR="00464F34" w:rsidRPr="002A677E" w:rsidRDefault="00464F34" w:rsidP="00487A02">
            <w:pPr>
              <w:pStyle w:val="InstructionsText"/>
              <w:numPr>
                <w:ilvl w:val="0"/>
                <w:numId w:val="32"/>
              </w:numPr>
            </w:pPr>
            <w:r>
              <w:t>Eksponeringsværdier for leasingkontrakter er omhandlet i artikel 134, stk. 7, i forordning (EU) nr. 575/2013. Navnlig skal restværdien medtages til dens regnskabsværdi (dvs. den diskonterede anslåede restværdi ved leasingperiodens udløb).</w:t>
            </w:r>
          </w:p>
          <w:p w14:paraId="3233A098" w14:textId="08CDFC9E" w:rsidR="00464F34" w:rsidRPr="002A677E" w:rsidRDefault="00464F34" w:rsidP="00487A02">
            <w:pPr>
              <w:pStyle w:val="InstructionsText"/>
              <w:numPr>
                <w:ilvl w:val="0"/>
                <w:numId w:val="32"/>
              </w:numPr>
            </w:pPr>
            <w:r>
              <w:t>Ved balanceført netting, jf. artikel 219 i forordning (EU) nr. 575/2013, skal eksponeringsværdierne indberettes under hensyntagen til modtaget kontant sikkerhed.</w:t>
            </w:r>
          </w:p>
          <w:p w14:paraId="01A4A916" w14:textId="18857848" w:rsidR="00464F34" w:rsidRPr="002A677E" w:rsidRDefault="00520B00" w:rsidP="00487A02">
            <w:pPr>
              <w:pStyle w:val="InstructionsText"/>
            </w:pPr>
            <w:r>
              <w:t>Hvis institutterne gør brug af undtagelsen i artikel 473a, stk. 7a, i forordning (EU) nr. 575/2013, skal de indberette beløbet AB</w:t>
            </w:r>
            <w:r>
              <w:rPr>
                <w:vertAlign w:val="subscript"/>
              </w:rPr>
              <w:t>SA</w:t>
            </w:r>
            <w:r>
              <w:t>, som risikovægtes med 100 % i eksponeringsklassen "andre poster" i denne kolonne.</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t>0030</w:t>
            </w:r>
          </w:p>
        </w:tc>
        <w:tc>
          <w:tcPr>
            <w:tcW w:w="8640" w:type="dxa"/>
          </w:tcPr>
          <w:p w14:paraId="4931838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Værdijusteringer og hensættelser i forbindelse med den oprindelige eksponering</w:t>
            </w:r>
          </w:p>
          <w:p w14:paraId="0B8EFAFB" w14:textId="5FAE1090"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Artikel 24 og 111 i forordning (EU) nr. 575/2013</w:t>
            </w:r>
          </w:p>
          <w:p w14:paraId="073F201E" w14:textId="12220AE7" w:rsidR="00464F34" w:rsidRPr="002A677E" w:rsidRDefault="00464F34" w:rsidP="00880E92">
            <w:pPr>
              <w:pStyle w:val="InstructionsText"/>
            </w:pPr>
            <w:r>
              <w:t>Værdijusteringer og hensættelser til kredittab (kreditrisikojusteringer i henhold til artikel 110) foretaget i overensstemmelse med de regnskabsregler, som den regnskabsaflæggende virksomhed er underlagt, samt forsigtighedsbaserede værdijusteringer (yderligere værdijusteringer i overensstemmelse med artikel 34 og 105, beløb fratrukket i henhold til artikel 36, stk. 1, litra m), og andre reduktioner af kapitalgrundlaget i forbindelse med aktivposten).</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t>0040</w:t>
            </w:r>
          </w:p>
        </w:tc>
        <w:tc>
          <w:tcPr>
            <w:tcW w:w="8640" w:type="dxa"/>
          </w:tcPr>
          <w:p w14:paraId="5AA54A01" w14:textId="77777777" w:rsidR="00464F34" w:rsidRPr="002A677E" w:rsidRDefault="00464F34" w:rsidP="00487A02">
            <w:pPr>
              <w:pStyle w:val="InstructionsText"/>
            </w:pPr>
            <w:r>
              <w:rPr>
                <w:rStyle w:val="InstructionsTabelleberschrift"/>
                <w:rFonts w:ascii="Times New Roman" w:hAnsi="Times New Roman"/>
                <w:sz w:val="24"/>
              </w:rPr>
              <w:t>Eksponering efter indregning af værdijusteringer og hensættelser</w:t>
            </w:r>
          </w:p>
          <w:p w14:paraId="1214FF21" w14:textId="77777777" w:rsidR="00464F34" w:rsidRPr="002A677E" w:rsidRDefault="00464F34" w:rsidP="00487A02">
            <w:pPr>
              <w:pStyle w:val="InstructionsText"/>
            </w:pPr>
            <w:r>
              <w:t>Summen af kolonne 0010 og 0030.</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t>0050 - 0100</w:t>
            </w:r>
          </w:p>
        </w:tc>
        <w:tc>
          <w:tcPr>
            <w:tcW w:w="8640" w:type="dxa"/>
          </w:tcPr>
          <w:p w14:paraId="5B3B34E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KREDITRISIKOREDUKTIONSTEKNIKKER MED SUBSTITUTIONSVIRKNINGER PÅ EKSPONERINGEN</w:t>
            </w:r>
          </w:p>
          <w:p w14:paraId="0968A397" w14:textId="3CC2EF1B" w:rsidR="00464F34" w:rsidRPr="002A677E" w:rsidRDefault="00464F34" w:rsidP="00487A02">
            <w:pPr>
              <w:pStyle w:val="InstructionsText"/>
            </w:pPr>
            <w:r>
              <w:lastRenderedPageBreak/>
              <w:t>Kreditrisikoreduktionsteknikker som defineret i artikel 4, stk. 1, nr. 57), i forordning (EU) nr. 575/2013, som mindsker kreditrisikoen ved en eller flere eksponeringer via substitution af eksponeringer som beskrevet nedenfor under "Substitution af eksponering som følge af kreditrisikoreduktionsteknikker".</w:t>
            </w:r>
          </w:p>
          <w:p w14:paraId="0E58880A" w14:textId="77777777" w:rsidR="00464F34" w:rsidRPr="002A677E" w:rsidRDefault="00D21B29" w:rsidP="00487A02">
            <w:pPr>
              <w:pStyle w:val="InstructionsText"/>
            </w:pPr>
            <w:r>
              <w:t>Sikkerhedsstillelse, som påvirker eksponeringsværdien (f.eks. hvis den anvendes til kreditrisikoreduktionsteknikker med substitutionsvirkninger på eksponeringen), må ikke overstige eksponeringsværdien.</w:t>
            </w:r>
          </w:p>
          <w:p w14:paraId="7567933D" w14:textId="77777777" w:rsidR="00464F34" w:rsidRPr="002A677E" w:rsidRDefault="00464F34" w:rsidP="00487A02">
            <w:pPr>
              <w:pStyle w:val="InstructionsText"/>
            </w:pPr>
            <w:r>
              <w:t>Poster, der skal indberettes her:</w:t>
            </w:r>
          </w:p>
          <w:p w14:paraId="2188806D" w14:textId="77777777" w:rsidR="00464F34" w:rsidRPr="002A677E" w:rsidRDefault="00125707" w:rsidP="00487A02">
            <w:pPr>
              <w:pStyle w:val="InstructionsText"/>
            </w:pPr>
            <w:r>
              <w:rPr>
                <w:rFonts w:ascii="Arial" w:hAnsi="Arial"/>
              </w:rPr>
              <w:t>-</w:t>
            </w:r>
            <w:r>
              <w:tab/>
              <w:t>sikkerhedsstillelse indregnet i henhold til den enkle metode for finansielle sikkerheder</w:t>
            </w:r>
          </w:p>
          <w:p w14:paraId="0CB3936B" w14:textId="77777777" w:rsidR="00464F34" w:rsidRPr="002A677E" w:rsidRDefault="00125707" w:rsidP="00487A02">
            <w:pPr>
              <w:pStyle w:val="InstructionsText"/>
            </w:pPr>
            <w:r>
              <w:rPr>
                <w:rFonts w:ascii="Arial" w:hAnsi="Arial"/>
              </w:rPr>
              <w:t>-</w:t>
            </w:r>
            <w:r>
              <w:tab/>
              <w:t>anerkendt ufinansieret kreditrisikoafdækning.</w:t>
            </w:r>
          </w:p>
          <w:p w14:paraId="602B1DBA" w14:textId="77777777" w:rsidR="00464F34" w:rsidRPr="002A677E" w:rsidRDefault="00464F34" w:rsidP="00487A02">
            <w:pPr>
              <w:pStyle w:val="InstructionsText"/>
            </w:pPr>
            <w:r>
              <w:t>Se også instrukserne i punkt 3.1.1.</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lastRenderedPageBreak/>
              <w:t>0050 - 0060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Ufinansieret kreditrisikoafdækning: justerede værdier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D4BA07F" w14:textId="39B40366" w:rsidR="00464F34" w:rsidRPr="002A677E" w:rsidRDefault="00464F34" w:rsidP="00487A02">
            <w:pPr>
              <w:pStyle w:val="InstructionsText"/>
            </w:pPr>
            <w:r>
              <w:t>Artikel 235 i forordning (EU) nr. 575/2013</w:t>
            </w:r>
          </w:p>
          <w:p w14:paraId="59592411" w14:textId="49F34342" w:rsidR="00464F34" w:rsidRPr="002A677E" w:rsidRDefault="00464F34" w:rsidP="00487A02">
            <w:pPr>
              <w:pStyle w:val="InstructionsText"/>
            </w:pPr>
            <w:r>
              <w:t>Artikel 239, stk. 3, i forordning (EU) nr. 575/2013 indeholder formlen til beregning af den justerede værdi G</w:t>
            </w:r>
            <w:r>
              <w:rPr>
                <w:vertAlign w:val="subscript"/>
              </w:rPr>
              <w:t>A</w:t>
            </w:r>
            <w:r>
              <w:t xml:space="preserve"> af en ufinansieret kreditrisikoafdækning.</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t>0050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Garantier</w:t>
            </w:r>
          </w:p>
          <w:p w14:paraId="5C81EB19" w14:textId="146827B3" w:rsidR="00464F34" w:rsidRPr="002A677E" w:rsidRDefault="00464F34" w:rsidP="00487A02">
            <w:pPr>
              <w:pStyle w:val="InstructionsText"/>
            </w:pPr>
            <w:r>
              <w:t>Artikel 203 i forordning (EU) nr. 575/2013</w:t>
            </w:r>
          </w:p>
          <w:p w14:paraId="7F24FA9D" w14:textId="1D5BA189" w:rsidR="00464F34" w:rsidRPr="002A677E" w:rsidRDefault="00464F34" w:rsidP="00880E92">
            <w:pPr>
              <w:pStyle w:val="InstructionsText"/>
              <w:rPr>
                <w:b/>
                <w:u w:val="single"/>
              </w:rPr>
            </w:pPr>
            <w:r>
              <w:t>Ufinansieret kreditrisikoafdækning som defineret i artikel 4, stk. 1, nr. 59), i forordning (EU) nr. 575/2013, som ikke omfatter kreditderivater.</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t>0060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Kreditderivater</w:t>
            </w:r>
          </w:p>
          <w:p w14:paraId="2BEDC770" w14:textId="433557C8" w:rsidR="00464F34" w:rsidRPr="002A677E" w:rsidRDefault="00464F34" w:rsidP="00487A02">
            <w:pPr>
              <w:pStyle w:val="InstructionsText"/>
              <w:rPr>
                <w:b/>
                <w:u w:val="single"/>
              </w:rPr>
            </w:pPr>
            <w:r>
              <w:t>Artikel 204 i forordning (EU) nr. 575/2013</w:t>
            </w:r>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t>0070 – 0080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Finansieret kreditrisikoafdækning</w:t>
            </w:r>
          </w:p>
          <w:p w14:paraId="7B8B9DDE" w14:textId="5F50C1E9" w:rsidR="00464F34" w:rsidRPr="002A677E" w:rsidRDefault="009C44E7" w:rsidP="00487A02">
            <w:pPr>
              <w:pStyle w:val="InstructionsText"/>
            </w:pPr>
            <w:r>
              <w:t>Disse kolonner henviser til finansieret kreditrisikoafdækning som defineret i artikel 4, stk. 1, nr. 58), i forordning (EU) nr. 575/2013 og omfattet af bestemmelserne i artikel 196, 197 og 200 i nævnte forordning. Beløbene skal ikke omfatte masternettingaftaler (allerede indregnet i oprindelig eksponering før anvendelse af konverteringsfaktorer).</w:t>
            </w:r>
          </w:p>
          <w:p w14:paraId="36344E73" w14:textId="3C2AD3AC" w:rsidR="00464F34" w:rsidRPr="002A677E" w:rsidRDefault="00167619" w:rsidP="00487A02">
            <w:pPr>
              <w:pStyle w:val="InstructionsText"/>
            </w:pPr>
            <w:r>
              <w:t>Investeringer i credit linked notes som omhandlet i artikel 218 i forordning (EU) nr. 575/2013 og balanceførte nettingpositioner, der opstår i forbindelse med balanceførte nettingaftaler, jf. artikel 219 i forordning (EU) nr. 575/2013, behandles som kontant sikkerhed.</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t>0070</w:t>
            </w:r>
          </w:p>
        </w:tc>
        <w:tc>
          <w:tcPr>
            <w:tcW w:w="8640" w:type="dxa"/>
          </w:tcPr>
          <w:p w14:paraId="2D5BFC5F" w14:textId="77777777" w:rsidR="00464F34" w:rsidRPr="002A677E" w:rsidRDefault="00464F34" w:rsidP="00487A02">
            <w:pPr>
              <w:pStyle w:val="InstructionsText"/>
            </w:pPr>
            <w:r>
              <w:rPr>
                <w:rStyle w:val="InstructionsTabelleberschrift"/>
                <w:rFonts w:ascii="Times New Roman" w:hAnsi="Times New Roman"/>
                <w:sz w:val="24"/>
              </w:rPr>
              <w:t>Finansiel sikkerhed: den enkle metode</w:t>
            </w:r>
          </w:p>
          <w:p w14:paraId="3CED9ED4" w14:textId="77CD1B0F" w:rsidR="00464F34" w:rsidRPr="002A677E" w:rsidRDefault="00464F34" w:rsidP="00487A02">
            <w:pPr>
              <w:pStyle w:val="InstructionsText"/>
            </w:pPr>
            <w:r>
              <w:t>Artikel 222, 1 og 2, i forordning (EU) nr. 575/2013</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t>0080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Anden finansieret kreditrisikoafdækning</w:t>
            </w:r>
          </w:p>
          <w:p w14:paraId="2B609CD6" w14:textId="1293F51B" w:rsidR="00464F34" w:rsidRPr="002A677E" w:rsidRDefault="00464F34" w:rsidP="00487A02">
            <w:pPr>
              <w:pStyle w:val="InstructionsText"/>
            </w:pPr>
            <w:r>
              <w:t>Artikel 232 i forordning (EU) nr. 575/2013</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t>0090 - 0100</w:t>
            </w:r>
          </w:p>
        </w:tc>
        <w:tc>
          <w:tcPr>
            <w:tcW w:w="8640" w:type="dxa"/>
          </w:tcPr>
          <w:p w14:paraId="722BB3A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SUBSTITUTION AF EKSPONERING SOM FØLGE AF KREDITRISIKOREDUKTIONSTEKNIKKER</w:t>
            </w:r>
          </w:p>
          <w:p w14:paraId="1197E4D0" w14:textId="44BCB940" w:rsidR="00464F34" w:rsidRPr="002A677E" w:rsidRDefault="00464F34" w:rsidP="00487A02">
            <w:pPr>
              <w:pStyle w:val="InstructionsText"/>
            </w:pPr>
            <w:r>
              <w:t>Artikel 222, stk. 3, artikel 235, 1 og 2, og artikel 236, i forordning (EU) nr. 575/2013</w:t>
            </w:r>
          </w:p>
          <w:p w14:paraId="0B31BCA2" w14:textId="77777777" w:rsidR="00464F34" w:rsidRPr="002A677E" w:rsidRDefault="00464F34" w:rsidP="00487A02">
            <w:pPr>
              <w:pStyle w:val="InstructionsText"/>
            </w:pPr>
            <w:r>
              <w:t xml:space="preserve">Udgående pengestrømme svarer til den dækkede del af den oprindelige eksponering før anvendelse af konverteringsfaktorer, som fratrækkes låntagerens eksponeringsklasse og </w:t>
            </w:r>
            <w:r>
              <w:lastRenderedPageBreak/>
              <w:t>efterfølgende tildeles eksponeringsklassen for udbyderen af kreditrisikoafdækning. Det beløb betragtes som en indgående pengestrøm i eksponeringsklassen for udbyderen af kreditrisikoafdækning.</w:t>
            </w:r>
          </w:p>
          <w:p w14:paraId="0E1E47C1" w14:textId="77777777" w:rsidR="00464F34" w:rsidRPr="002A677E" w:rsidRDefault="00464F34" w:rsidP="00487A02">
            <w:pPr>
              <w:pStyle w:val="InstructionsText"/>
              <w:rPr>
                <w:b/>
              </w:rPr>
            </w:pPr>
            <w:r>
              <w:t>Indgående og udgående pengestrømme i samme eksponeringsklasser skal også indberettes.</w:t>
            </w:r>
          </w:p>
          <w:p w14:paraId="3AB373BB" w14:textId="77777777" w:rsidR="00464F34" w:rsidRPr="002A677E" w:rsidRDefault="00464F34" w:rsidP="00487A02">
            <w:pPr>
              <w:pStyle w:val="InstructionsText"/>
            </w:pPr>
            <w:r>
              <w:t>Eksponeringer, der opstår i forbindelse med indgående og udgående pengestrømme fra og til andre skemaer, skal også medregnes.</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lastRenderedPageBreak/>
              <w:t>0110</w:t>
            </w:r>
          </w:p>
        </w:tc>
        <w:tc>
          <w:tcPr>
            <w:tcW w:w="8640" w:type="dxa"/>
          </w:tcPr>
          <w:p w14:paraId="27C7814A"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NETTOEKSPONERING EFTER SUBSTITUTIONSVIRKNINGER AF KREDITRISIKOREDUKTIONSTEKNIKKER FØR ANVENDELSE AF KONVERTERINGSFAKTORER</w:t>
            </w:r>
          </w:p>
          <w:p w14:paraId="2BB7B7FF" w14:textId="77777777" w:rsidR="00464F34" w:rsidRPr="002A677E" w:rsidRDefault="00464F34" w:rsidP="00487A02">
            <w:pPr>
              <w:pStyle w:val="InstructionsText"/>
            </w:pPr>
            <w:r>
              <w:t>Eksponeringen efter indregning af værdijusteringer samt indgående og udgående pengestrømme, der opstår i forbindelse med KREDITRISIKOREDUKTIONSTEKNIKKER MED SUBSTITUTIONSVIRKNINGER PÅ EKSPONERINGEN</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t>0120-0140</w:t>
            </w:r>
          </w:p>
        </w:tc>
        <w:tc>
          <w:tcPr>
            <w:tcW w:w="8640" w:type="dxa"/>
          </w:tcPr>
          <w:p w14:paraId="4884ED69" w14:textId="77777777" w:rsidR="00464F34" w:rsidRPr="002A677E" w:rsidRDefault="00464F34" w:rsidP="00487A02">
            <w:pPr>
              <w:pStyle w:val="InstructionsText"/>
            </w:pPr>
            <w:r>
              <w:rPr>
                <w:rStyle w:val="InstructionsTabelleberschrift"/>
                <w:rFonts w:ascii="Times New Roman" w:hAnsi="Times New Roman"/>
                <w:sz w:val="24"/>
              </w:rPr>
              <w:t>KREDITRISIKOREDUKTIONSTEKNIKKER, DER PÅVIRKER EKSPONERINGEN. FINANSIERET KREDITRISIKOAFDÆKNING, DEN UDBYGGEDE METODE FOR FINANSIEL SIKKERHED</w:t>
            </w:r>
          </w:p>
          <w:p w14:paraId="2E94B8BA" w14:textId="1D6313A3" w:rsidR="00464F34" w:rsidRPr="002A677E" w:rsidRDefault="00464F34" w:rsidP="00487A02">
            <w:pPr>
              <w:pStyle w:val="InstructionsText"/>
            </w:pPr>
            <w:r>
              <w:t>Artikel 223-228 i forordning (EU) nr. 575/2013 Credit linked notes er også omfattet (artikel 218 i forordning (EU) nr. 575/2013)</w:t>
            </w:r>
          </w:p>
          <w:p w14:paraId="1A7F7A69" w14:textId="29BFDC44" w:rsidR="00464F34" w:rsidRPr="002A677E" w:rsidRDefault="00464F34" w:rsidP="00487A02">
            <w:pPr>
              <w:pStyle w:val="InstructionsText"/>
            </w:pPr>
            <w:r>
              <w:t>Credit linked notes som omhandlet i artikel 218 i forordning (EU) nr. 575/2013 og balanceførte nettingpositioner, der opstår i forbindelse med balanceførte nettingaftaler, jf. artikel 219 i nævnte forordning, behandles som kontant sikkerhed.</w:t>
            </w:r>
          </w:p>
          <w:p w14:paraId="2787C285" w14:textId="4071E72F" w:rsidR="00464F34" w:rsidRPr="002A677E" w:rsidRDefault="00464F34" w:rsidP="00487A02">
            <w:pPr>
              <w:pStyle w:val="InstructionsText"/>
            </w:pPr>
            <w:r>
              <w:t xml:space="preserve">Virkningen af sikkerhedsstillelsen efter den udbyggede metode for finansielle sikkerheder for en eksponering, der dækkes af en anerkendt finansiel sikkerhed, beregnes i overensstemmelse med artikel 223-228 i forordning (EU) nr. 575/2013.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t>0120</w:t>
            </w:r>
          </w:p>
        </w:tc>
        <w:tc>
          <w:tcPr>
            <w:tcW w:w="8640" w:type="dxa"/>
          </w:tcPr>
          <w:p w14:paraId="5CB8FE23"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Volatilitetsjustering af eksponering</w:t>
            </w:r>
          </w:p>
          <w:p w14:paraId="3FFA72EF" w14:textId="1B8493BE" w:rsidR="00464F34" w:rsidRPr="002A677E" w:rsidRDefault="00464F34" w:rsidP="00487A02">
            <w:pPr>
              <w:pStyle w:val="InstructionsText"/>
            </w:pPr>
            <w:r>
              <w:t>Artikel 223, 2 og 3, i forordning (EU) nr. 575/2013</w:t>
            </w:r>
          </w:p>
          <w:p w14:paraId="06181C16" w14:textId="77777777" w:rsidR="00464F34" w:rsidRPr="002A677E" w:rsidRDefault="00464F34" w:rsidP="00487A02">
            <w:pPr>
              <w:pStyle w:val="InstructionsText"/>
            </w:pPr>
            <w:r>
              <w:t>Det beløb, der skal indberettes, er resultatet af volatilitetsjusteringen af eksponeringen (Eva-E) = E*He</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t>0130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Finansiel sikkerhed: justeret værdi (Cvam)</w:t>
            </w:r>
          </w:p>
          <w:p w14:paraId="34C0DD05" w14:textId="4824960C" w:rsidR="00464F34" w:rsidRPr="002A677E" w:rsidRDefault="00464F34" w:rsidP="00487A02">
            <w:pPr>
              <w:pStyle w:val="InstructionsText"/>
            </w:pPr>
            <w:r>
              <w:t>Artikel 239, stk. 2, i forordning (EU) nr. 575/2013</w:t>
            </w:r>
          </w:p>
          <w:p w14:paraId="65EBCE20" w14:textId="1D1F2A9C" w:rsidR="00464F34" w:rsidRPr="002A677E" w:rsidRDefault="00464F34" w:rsidP="00487A02">
            <w:pPr>
              <w:pStyle w:val="InstructionsText"/>
            </w:pPr>
            <w:r>
              <w:t xml:space="preserve">Ved transaktioner i handelsbeholdningen er finansielle instrumenter og råvarer, der kan indgå som eksponeringer i handelsbeholdningen i henhold til artikel 299, stk. 2, litra c)-f), i forordning (EU) nr. 575/2013, omfattet. </w:t>
            </w:r>
          </w:p>
          <w:p w14:paraId="224F7C24" w14:textId="0CDDFACF" w:rsidR="00464F34" w:rsidRPr="002A677E" w:rsidRDefault="00464F34" w:rsidP="00F37BEE">
            <w:pPr>
              <w:pStyle w:val="InstructionsText"/>
            </w:pPr>
            <w:r>
              <w:t>Det beløb, der skal indberettes, svarer til Cvam = C*(1-Hc-Hfx)*(t-t*)/(T-t*). En definition af C, Hc, Hfx, t, T og t* findes i tredje del, afsnit II, kapitel 4, afdeling 4 og 5, i forordning (EU) nr. 575/2013.</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t>0140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Heraf: Volatilitets- og løbetidsjusteringer</w:t>
            </w:r>
          </w:p>
          <w:p w14:paraId="2BEC8E2C" w14:textId="593F8257" w:rsidR="00464F34" w:rsidRPr="002A677E" w:rsidRDefault="00464F34" w:rsidP="00487A02">
            <w:pPr>
              <w:pStyle w:val="InstructionsText"/>
            </w:pPr>
            <w:r>
              <w:t xml:space="preserve">Artikel 223, stk. 1, og artikel 239, stk. 2, i forordning (EU) nr. 575/2013 </w:t>
            </w:r>
          </w:p>
          <w:p w14:paraId="2D170055" w14:textId="77777777" w:rsidR="00464F34" w:rsidRPr="002A677E" w:rsidRDefault="00464F34" w:rsidP="00487A02">
            <w:pPr>
              <w:pStyle w:val="InstructionsText"/>
            </w:pPr>
            <w:r>
              <w:t>Det beløb, der skal indberettes, er den samlede virkning af volatilitets- og løbetidsjusteringer (Cvam-C) = C*[(1-Hc-Hfx)*(t-t*)/(T-t*)-1], hvor virkningen af volatilitetsjustering er (Cva-C) = C*[(1-Hc-Hfx)-1], og virkningen af løbetidsjustering er (Cvam-Cva) = C*(1-Hc-Hfx)*[(t-t*)/(T-t*)-1].</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lastRenderedPageBreak/>
              <w:t>0150</w:t>
            </w:r>
          </w:p>
        </w:tc>
        <w:tc>
          <w:tcPr>
            <w:tcW w:w="8640" w:type="dxa"/>
          </w:tcPr>
          <w:p w14:paraId="42D6E672" w14:textId="77777777" w:rsidR="00464F34" w:rsidRPr="002A677E" w:rsidRDefault="00464F34" w:rsidP="00487A02">
            <w:pPr>
              <w:pStyle w:val="InstructionsText"/>
            </w:pPr>
            <w:r>
              <w:rPr>
                <w:rStyle w:val="InstructionsTabelleberschrift"/>
                <w:rFonts w:ascii="Times New Roman" w:hAnsi="Times New Roman"/>
                <w:sz w:val="24"/>
              </w:rPr>
              <w:t>Fuldt justeret eksponeringsværdi (E*)</w:t>
            </w:r>
          </w:p>
          <w:p w14:paraId="4953760F" w14:textId="74781C8B" w:rsidR="00464F34" w:rsidRPr="001235ED" w:rsidRDefault="00464F34" w:rsidP="00487A02">
            <w:pPr>
              <w:pStyle w:val="InstructionsText"/>
              <w:rPr>
                <w:b/>
                <w:u w:val="single"/>
              </w:rPr>
            </w:pPr>
            <w:r>
              <w:t>Artikel 220, stk. 4, artikel 223, stk. 2 og 5, og artikel 228, stk. 1, i forordning (EU) nr. 575/2013</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t>0160 - 0190</w:t>
            </w:r>
          </w:p>
        </w:tc>
        <w:tc>
          <w:tcPr>
            <w:tcW w:w="8640" w:type="dxa"/>
          </w:tcPr>
          <w:p w14:paraId="0A9E626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Opdeling af fuldt justeret eksponeringsværdi for ikkebalanceførte poster efter konverteringsfaktor</w:t>
            </w:r>
          </w:p>
          <w:p w14:paraId="7931F456" w14:textId="382BE9E0" w:rsidR="00464F34" w:rsidRPr="002A677E" w:rsidRDefault="00464F34" w:rsidP="00487A02">
            <w:pPr>
              <w:pStyle w:val="InstructionsText"/>
            </w:pPr>
            <w:r>
              <w:t>Artikel 111, stk. 1, og artikel 4, stk. 1, nr. 56), i forordning (EU) nr. 575/2013. Se også artikel 222, stk. 3, og artikel 228, stk. 1, i forordning (EU) nr. 575/2013</w:t>
            </w:r>
          </w:p>
          <w:p w14:paraId="0C778F2A" w14:textId="77777777" w:rsidR="000A4C10" w:rsidRPr="002A677E" w:rsidRDefault="000A4C10" w:rsidP="00487A02">
            <w:pPr>
              <w:pStyle w:val="InstructionsText"/>
              <w:rPr>
                <w:b/>
                <w:u w:val="single"/>
              </w:rPr>
            </w:pPr>
            <w:r>
              <w:t>De tal, der indberettes, skal være den fuldt justerede eksponeringsværdi før anvendelse af konverteringsfaktoren.</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t>0200</w:t>
            </w:r>
          </w:p>
        </w:tc>
        <w:tc>
          <w:tcPr>
            <w:tcW w:w="8640" w:type="dxa"/>
          </w:tcPr>
          <w:p w14:paraId="218B097F" w14:textId="77777777" w:rsidR="00464F34" w:rsidRPr="002A677E" w:rsidRDefault="00464F34" w:rsidP="00487A02">
            <w:pPr>
              <w:pStyle w:val="InstructionsText"/>
            </w:pPr>
            <w:r>
              <w:rPr>
                <w:rStyle w:val="InstructionsTabelleberschrift"/>
                <w:rFonts w:ascii="Times New Roman" w:hAnsi="Times New Roman"/>
                <w:sz w:val="24"/>
              </w:rPr>
              <w:t>Eksponeringsværdi</w:t>
            </w:r>
          </w:p>
          <w:p w14:paraId="6DF8082E" w14:textId="008DF90F" w:rsidR="00464F34" w:rsidRPr="002A677E" w:rsidRDefault="00531FC9" w:rsidP="00487A02">
            <w:pPr>
              <w:pStyle w:val="InstructionsText"/>
            </w:pPr>
            <w:r>
              <w:t>Artikel 111 i forordning (EU) nr. 575/2013 og tredje del, afsnit II, kapitel 4, afdeling 4, i nævnte forordning.</w:t>
            </w:r>
          </w:p>
          <w:p w14:paraId="5F5EABA5" w14:textId="2FD4B564" w:rsidR="00464F34" w:rsidRPr="002A677E" w:rsidRDefault="00464F34" w:rsidP="00487A02">
            <w:pPr>
              <w:pStyle w:val="InstructionsText"/>
            </w:pPr>
            <w:r>
              <w:t>Eksponeringsværdi efter hensyntagen til værdijusteringer, alle foranstaltninger til kreditrisikoreduktion og kreditkonverteringsfaktorer, der skal tildeles risikovægte i henhold til artikel 113, og tredje del, afsnit II, kapitel 2, afdeling 2, i forordning (EU) nr. 575/2013.</w:t>
            </w:r>
          </w:p>
          <w:p w14:paraId="4DEBB82D" w14:textId="0E3F90CD" w:rsidR="0029630E" w:rsidRPr="002A677E" w:rsidRDefault="0029630E" w:rsidP="00487A02">
            <w:pPr>
              <w:pStyle w:val="InstructionsText"/>
            </w:pPr>
            <w:r>
              <w:t>Eksponeringsværdier for leasingkontrakter er omhandlet i artikel 134, stk. 7, i forordning (EU) nr. 575/2013. Navnlig skal restværdien indgå i dens diskonterede restværdi, efter at der er taget højde for værdijusteringer, alle foranstaltninger til kreditrisikoreduktion og kreditkonverteringsfaktorer.</w:t>
            </w:r>
          </w:p>
          <w:p w14:paraId="67056B04" w14:textId="77777777" w:rsidR="007C64F7" w:rsidRPr="002A677E" w:rsidRDefault="007C64F7" w:rsidP="00487A02">
            <w:pPr>
              <w:pStyle w:val="InstructionsText"/>
            </w:pPr>
            <w:r>
              <w:t>Eksponeringsværdierne for CCR-relateret forretningsaktivitet skal være de samme som indberettet i kolonne 0210.</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t>0210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Som opstår i forbindelse med modpartsrisiko</w:t>
            </w:r>
          </w:p>
          <w:p w14:paraId="408E296D" w14:textId="618724A2" w:rsidR="007C64F7" w:rsidRPr="002A677E" w:rsidRDefault="007C64F7" w:rsidP="007C64F7">
            <w:pPr>
              <w:pStyle w:val="TableMainHeading"/>
              <w:spacing w:before="60"/>
              <w:jc w:val="both"/>
              <w:rPr>
                <w:rFonts w:ascii="Times New Roman" w:hAnsi="Times New Roman"/>
                <w:sz w:val="24"/>
                <w:szCs w:val="24"/>
              </w:rPr>
            </w:pPr>
            <w:r>
              <w:rPr>
                <w:rFonts w:ascii="Times New Roman" w:hAnsi="Times New Roman"/>
                <w:sz w:val="24"/>
              </w:rPr>
              <w:t xml:space="preserve">Eksponeringsværdien for CCR-relateret forretningsaktivitet beregnet i overensstemmelse med de metoder, der er fastsat i tredje del, afsnit II, kapitel 4 og 6, i forordning (EU) nr. 575/2013, som er det relevante beløb til beregning af risikovægtede eksponeringer, dvs. efter anvendelse af kreditrisikoreduktionsteknikker, der er relevante i henhold til tredje del, afsnit II, kapitel 4 og 6, i forordning (EU) nr. 575/2013, og under hensyntagen til fradraget af det tab, der er lidt i forbindelse med kreditværdijustering, som omhandlet i artikel 273, stk. 6, i nævnte forordning. </w:t>
            </w:r>
          </w:p>
          <w:p w14:paraId="28D8090D" w14:textId="18955836" w:rsidR="007C64F7" w:rsidRPr="002A677E" w:rsidRDefault="007C64F7" w:rsidP="007C64F7">
            <w:pPr>
              <w:rPr>
                <w:rFonts w:ascii="Times New Roman" w:hAnsi="Times New Roman"/>
                <w:sz w:val="24"/>
              </w:rPr>
            </w:pPr>
            <w:r>
              <w:rPr>
                <w:rFonts w:ascii="Times New Roman" w:hAnsi="Times New Roman"/>
                <w:sz w:val="24"/>
              </w:rPr>
              <w:t>Eksponeringsværdien for transaktioner, hvor der er konstateret en specifik "wrong way"-risiko, skal fastlægges i overensstemmelse med artikel 291 i forordning (EU) nr. 575/2013.</w:t>
            </w:r>
          </w:p>
          <w:p w14:paraId="6454696E" w14:textId="3465BEAC" w:rsidR="00464F34" w:rsidRPr="002A677E" w:rsidRDefault="007C64F7" w:rsidP="00F47CA5">
            <w:pPr>
              <w:pStyle w:val="InstructionsText"/>
            </w:pPr>
            <w:r>
              <w:t>I tilfælde, hvor der for en enkelt modpart anvendes mere end én modpartsrisikometode, henføres det tab, der er lidt i forbindelse med kreditværdijustering, som fratrækkes på modpartsniveau, til eksponeringsværdien for de forskellige nettinggrupper i række 0090-0130, hvilket afspejler andelen af eksponeringsværdien efter anvendelse af kreditrisikoreduktionsteknikker for de forskellige nettinggrupper i forhold til den samlede eksponeringsværdi for modparten efter anvendelse af kreditrisikoreduktionsteknikker. Med henblik herpå anvendes eksponeringsværdien efter anvendelsen af kreditrisikoreduktionsteknikker i henhold til instrukserne til kolonne 0160 i skema C 34.02.</w:t>
            </w: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t>0211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Som opstår i forbindelse med modpartsrisiko uden eksponeringer, der er clearet af en CCP</w:t>
            </w:r>
          </w:p>
          <w:p w14:paraId="41D6EC24" w14:textId="37710B2B" w:rsidR="00E46AC0" w:rsidRPr="002A677E" w:rsidRDefault="00E46AC0" w:rsidP="00F37BEE">
            <w:pPr>
              <w:pStyle w:val="InstructionsText"/>
              <w:rPr>
                <w:rStyle w:val="InstructionsTabelleberschrift"/>
                <w:rFonts w:ascii="Times New Roman" w:hAnsi="Times New Roman"/>
                <w:sz w:val="24"/>
              </w:rPr>
            </w:pPr>
            <w:r>
              <w:lastRenderedPageBreak/>
              <w:t>Eksponeringer indberettet i kolonne 0210, undtagen de eksponeringer, der hidrører fra kontrakter og transaktioner opført i artikel 301, stk. 1, i forordning (EU) nr. 575/2013, så længe de er udestående hos en central modpart (CCP), herunder CCP-relaterede transaktioner som defineret i artikel 300, nr. 2), i nævnte forordning.</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lastRenderedPageBreak/>
              <w:t>0215</w:t>
            </w:r>
          </w:p>
        </w:tc>
        <w:tc>
          <w:tcPr>
            <w:tcW w:w="8640" w:type="dxa"/>
          </w:tcPr>
          <w:p w14:paraId="18B3A388"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Risikovægtede eksponeringer før anvendelse af støttefaktorer</w:t>
            </w:r>
          </w:p>
          <w:p w14:paraId="3E955300" w14:textId="5E4EFC98" w:rsidR="00696434" w:rsidRPr="002A677E" w:rsidRDefault="00E46AC0" w:rsidP="001A217F">
            <w:pPr>
              <w:pStyle w:val="InstructionsText"/>
            </w:pPr>
            <w:r>
              <w:t>Artikel 113, stk. 1 til 5, i forordning (EU) nr. 575/2013, uden hensyntagen til støttefaktorerne SMV'er og infrastruktur som omhandlet i artikel 501 i CRR og artikel 501a i nævnte forordning.</w:t>
            </w:r>
          </w:p>
          <w:p w14:paraId="019E027E" w14:textId="536419C1" w:rsidR="00E46AC0" w:rsidRPr="002A677E" w:rsidRDefault="007D1F12" w:rsidP="00696434">
            <w:pPr>
              <w:pStyle w:val="InstructionsText"/>
              <w:rPr>
                <w:b/>
                <w:u w:val="single"/>
              </w:rPr>
            </w:pPr>
            <w:r>
              <w:t>De risikovægtede eksponeringer af restværdien af lejede aktiver skal være omfattet af artikel 134, stk. 7, femte punktum, og beregnes efter formlen "1/t * 100 % * restværdien". Navnlig er restværdien en udiskonteret anslået restværdi ved leasingperiodens udløb, som regelmæssigt revurderes for at sikre, at den fortsat er hensigtsmæssig.</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t>0216</w:t>
            </w:r>
          </w:p>
        </w:tc>
        <w:tc>
          <w:tcPr>
            <w:tcW w:w="8640" w:type="dxa"/>
          </w:tcPr>
          <w:p w14:paraId="5CAF27C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Justering af den risikovægtede eksponering som følge af støttefaktoren SMV</w:t>
            </w:r>
          </w:p>
          <w:p w14:paraId="46953D7E" w14:textId="3819F1D8" w:rsidR="00E46AC0" w:rsidRPr="002A677E" w:rsidRDefault="00E46AC0" w:rsidP="00F37BEE">
            <w:pPr>
              <w:pStyle w:val="InstructionsText"/>
              <w:rPr>
                <w:rStyle w:val="InstructionsTabelleberschrift"/>
                <w:rFonts w:ascii="Times New Roman" w:hAnsi="Times New Roman"/>
                <w:sz w:val="24"/>
              </w:rPr>
            </w:pPr>
            <w:r>
              <w:t>Fradrag af forskellen mellem de risikovægtede eksponeringer af ikkemisligholdte eksponeringer mod en SMV (RWEA), som beregnes i henhold til tredje del, afsnit II, kapitel 2, i forordning (EU) nr. 575/2013, alt efter hvad der er relevant, og RWEA* i henhold til artikel 501, nr. 1), i nævnte forordning.</w:t>
            </w:r>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t>0217</w:t>
            </w:r>
          </w:p>
        </w:tc>
        <w:tc>
          <w:tcPr>
            <w:tcW w:w="8640" w:type="dxa"/>
          </w:tcPr>
          <w:p w14:paraId="3C95CC70"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Justering af den risikovægtede eksponering som følge af støttefaktoren infrastruktur</w:t>
            </w:r>
          </w:p>
          <w:p w14:paraId="59D0B96E" w14:textId="245D7844" w:rsidR="00E46AC0" w:rsidRPr="002A677E" w:rsidRDefault="00E46AC0" w:rsidP="00E7205D">
            <w:pPr>
              <w:pStyle w:val="InstructionsText"/>
              <w:rPr>
                <w:rStyle w:val="InstructionsTabelleberschrift"/>
                <w:rFonts w:ascii="Times New Roman" w:hAnsi="Times New Roman"/>
                <w:sz w:val="24"/>
              </w:rPr>
            </w:pPr>
            <w:r>
              <w:t>Fradrag af forskellen mellem de risikovægtede eksponeringer beregnet i overensstemmelse med tredje del, afsnit II, i forordning (EU) nr. 575/2013og den justerede RWEA for kreditrisikoen vedrørende eksponeringer mod enheder, der driver eller finansierer fysiske strukturer eller faciliteter, systemer og net, der leverer eller støtter grundlæggende offentlige tjenester i overensstemmelse med artikel 501a i nævnte forordning.</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t>0220</w:t>
            </w:r>
          </w:p>
        </w:tc>
        <w:tc>
          <w:tcPr>
            <w:tcW w:w="8640" w:type="dxa"/>
          </w:tcPr>
          <w:p w14:paraId="291A1E7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Risikovægtet eksponering efter anvendelse af støttefaktorer</w:t>
            </w:r>
          </w:p>
          <w:p w14:paraId="6A0EF6D2" w14:textId="2B28D707" w:rsidR="00696434" w:rsidRPr="002A677E" w:rsidRDefault="00E46AC0" w:rsidP="00E50750">
            <w:pPr>
              <w:pStyle w:val="InstructionsText"/>
            </w:pPr>
            <w:r>
              <w:t xml:space="preserve">Artikel 113, stk. 1 til 5, i forordning (EU) nr. 575/2013, under hensyntagen til støttefaktorerne SMV'er og infrastruktur som omhandlet i artikel 501 i CRR og artikel 501a i nævnte forordning. </w:t>
            </w:r>
          </w:p>
          <w:p w14:paraId="5B1FB659" w14:textId="423CD269" w:rsidR="00E46AC0" w:rsidRPr="002A677E" w:rsidRDefault="007D1F12" w:rsidP="00E50750">
            <w:pPr>
              <w:pStyle w:val="InstructionsText"/>
              <w:rPr>
                <w:b/>
                <w:u w:val="single"/>
              </w:rPr>
            </w:pPr>
            <w:r>
              <w:t>Den risikovægtede eksponering af restværdien af lejede aktiver er omfattet af artikel 134, stk. 7, femte punktum, og beregnes efter formlen "1/t * 100 % * restværdien". Navnlig er restværdien en udiskonteret anslået restværdi ved leasingperiodens udløb, som regelmæssigt revurderes for at sikre, at den fortsat er hensigtsmæssig.</w:t>
            </w:r>
          </w:p>
        </w:tc>
      </w:tr>
      <w:tr w:rsidR="00E46AC0" w:rsidRPr="002A677E" w14:paraId="0F9FF0CB" w14:textId="77777777" w:rsidTr="00672D2A">
        <w:tc>
          <w:tcPr>
            <w:tcW w:w="1188" w:type="dxa"/>
            <w:shd w:val="clear" w:color="auto" w:fill="auto"/>
          </w:tcPr>
          <w:p w14:paraId="153188B6" w14:textId="77777777" w:rsidR="00E46AC0" w:rsidRPr="002A677E" w:rsidRDefault="00FF15C6" w:rsidP="00487A02">
            <w:pPr>
              <w:pStyle w:val="InstructionsText"/>
            </w:pPr>
            <w:r>
              <w:t>0230</w:t>
            </w:r>
          </w:p>
        </w:tc>
        <w:tc>
          <w:tcPr>
            <w:tcW w:w="8640" w:type="dxa"/>
            <w:shd w:val="clear" w:color="auto" w:fill="auto"/>
          </w:tcPr>
          <w:p w14:paraId="2856751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med kreditvurdering foretaget af udpeget ECAI</w:t>
            </w:r>
          </w:p>
          <w:p w14:paraId="17D63445" w14:textId="4FB26D13" w:rsidR="00E46AC0" w:rsidRPr="002A677E" w:rsidRDefault="00E46AC0" w:rsidP="00487A02">
            <w:pPr>
              <w:pStyle w:val="InstructionsText"/>
            </w:pPr>
            <w:r>
              <w:t>Artikel 112, litra a)-d), f), g), l), n) o) og q), i forordning (EU) nr. 575/2013</w:t>
            </w:r>
          </w:p>
        </w:tc>
      </w:tr>
      <w:tr w:rsidR="00E46AC0" w:rsidRPr="002A677E" w14:paraId="20993840" w14:textId="77777777" w:rsidTr="00672D2A">
        <w:tc>
          <w:tcPr>
            <w:tcW w:w="1188" w:type="dxa"/>
            <w:shd w:val="clear" w:color="auto" w:fill="auto"/>
          </w:tcPr>
          <w:p w14:paraId="05E5584B" w14:textId="77777777" w:rsidR="00E46AC0" w:rsidRPr="002A677E" w:rsidRDefault="00FF15C6" w:rsidP="00487A02">
            <w:pPr>
              <w:pStyle w:val="InstructionsText"/>
            </w:pPr>
            <w:r>
              <w:t>0240</w:t>
            </w:r>
          </w:p>
        </w:tc>
        <w:tc>
          <w:tcPr>
            <w:tcW w:w="8640" w:type="dxa"/>
            <w:shd w:val="clear" w:color="auto" w:fill="auto"/>
          </w:tcPr>
          <w:p w14:paraId="4A78DFBB"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med kreditvurdering fra centralregering</w:t>
            </w:r>
          </w:p>
          <w:p w14:paraId="1A2BE267" w14:textId="0B0F59E8" w:rsidR="00E46AC0" w:rsidRPr="002A677E" w:rsidRDefault="00E46AC0" w:rsidP="00487A02">
            <w:pPr>
              <w:pStyle w:val="InstructionsText"/>
            </w:pPr>
            <w:r>
              <w:t>Artikel 112, litra b)-d), f), g), l) og o), i forordning (EU) nr. 575/2013</w:t>
            </w:r>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t>Rækker</w:t>
            </w:r>
          </w:p>
        </w:tc>
        <w:tc>
          <w:tcPr>
            <w:tcW w:w="8701" w:type="dxa"/>
            <w:shd w:val="clear" w:color="auto" w:fill="CCCCCC"/>
          </w:tcPr>
          <w:p w14:paraId="5101E780" w14:textId="77777777" w:rsidR="00464F34" w:rsidRPr="002A677E" w:rsidRDefault="00464F34" w:rsidP="00487A02">
            <w:pPr>
              <w:pStyle w:val="InstructionsText"/>
            </w:pPr>
            <w:r>
              <w:t>Instrukser</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t>0010</w:t>
            </w:r>
          </w:p>
        </w:tc>
        <w:tc>
          <w:tcPr>
            <w:tcW w:w="8701" w:type="dxa"/>
          </w:tcPr>
          <w:p w14:paraId="2C368109" w14:textId="77777777" w:rsidR="00464F34" w:rsidRPr="002A677E" w:rsidRDefault="00464F34" w:rsidP="00487A02">
            <w:pPr>
              <w:pStyle w:val="InstructionsText"/>
            </w:pPr>
            <w:r>
              <w:rPr>
                <w:rStyle w:val="InstructionsTabelleberschrift"/>
                <w:rFonts w:ascii="Times New Roman" w:hAnsi="Times New Roman"/>
                <w:sz w:val="24"/>
              </w:rPr>
              <w:t>Samlede eksponeringer</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t>0015</w:t>
            </w:r>
          </w:p>
        </w:tc>
        <w:tc>
          <w:tcPr>
            <w:tcW w:w="8701" w:type="dxa"/>
          </w:tcPr>
          <w:p w14:paraId="2C748305" w14:textId="77777777" w:rsidR="00D21B29" w:rsidRPr="002A677E"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Misligholdte eksponeringer i eksponeringsklasserne "poster forbundet med særlig stor risiko" og "aktieeksponeringer"</w:t>
            </w:r>
          </w:p>
          <w:p w14:paraId="0CD31563" w14:textId="497F1A0E" w:rsidR="00610B56" w:rsidRPr="002A677E" w:rsidRDefault="00610B56" w:rsidP="00487A02">
            <w:pPr>
              <w:pStyle w:val="InstructionsText"/>
            </w:pPr>
            <w:r>
              <w:lastRenderedPageBreak/>
              <w:t>Artikel 127 i forordning (EU) nr. 575/2013</w:t>
            </w:r>
          </w:p>
          <w:p w14:paraId="18E81DC8" w14:textId="77777777" w:rsidR="00610B56" w:rsidRPr="002A677E" w:rsidRDefault="00610B56" w:rsidP="00487A02">
            <w:pPr>
              <w:pStyle w:val="InstructionsText"/>
            </w:pPr>
            <w:r>
              <w:t>Denne række skal kun indberettes for eksponeringsklasserne "Poster forbundet med særlig stor risiko" og "Aktieeksponeringer".</w:t>
            </w:r>
          </w:p>
          <w:p w14:paraId="1BCB3895" w14:textId="160D6810" w:rsidR="00761891" w:rsidRPr="002A677E" w:rsidRDefault="00167619" w:rsidP="00487A02">
            <w:pPr>
              <w:pStyle w:val="InstructionsText"/>
            </w:pPr>
            <w:r>
              <w:t>En eksponering, der enten er opført i artikel 128, stk. 2, i forordning (EU) nr. 575/2013 eller opfylder kravene i artikel 128, stk. 3, eller artikel 133 i forordning (EU) nr. 575/2013, skal henføres til eksponeringsklasserne "Poster forbundet med særlig stor risiko" eller "Aktieeksponeringer". Der bør derfor ikke foretages henførelse til andre klasser, selv hvis eksponeringen misligholdes, jf. artikel 127 i forordning (EU) nr. 575/2013.</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lastRenderedPageBreak/>
              <w:t>0020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SMV</w:t>
            </w:r>
          </w:p>
          <w:p w14:paraId="29C2106E" w14:textId="77777777" w:rsidR="00464F34" w:rsidRPr="002A677E" w:rsidRDefault="00464F34" w:rsidP="00487A02">
            <w:pPr>
              <w:pStyle w:val="InstructionsText"/>
            </w:pPr>
            <w:r>
              <w:t xml:space="preserve">Alle eksponeringer mod SMV'er skal indberettes her.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t>0030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Eksponeringer omfattet af støttefaktoren for SMV'er</w:t>
            </w:r>
          </w:p>
          <w:p w14:paraId="552F2982" w14:textId="1B5DF213" w:rsidR="00464F34" w:rsidRPr="002A677E" w:rsidRDefault="00464F34" w:rsidP="00487A02">
            <w:pPr>
              <w:pStyle w:val="InstructionsText"/>
            </w:pPr>
            <w:r>
              <w:t xml:space="preserve">Kun eksponeringer, som opfylder kravene i artikel 501 i forordning (EU) nr. 575/2013, indberettes her.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t>0035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Eksponeringer omfattet af støttefaktoren for infrastruktur</w:t>
            </w:r>
          </w:p>
          <w:p w14:paraId="29B9E5EA" w14:textId="7E1C8895" w:rsidR="001B1F77" w:rsidRPr="002A677E" w:rsidRDefault="001B1F77" w:rsidP="00487A02">
            <w:pPr>
              <w:pStyle w:val="InstructionsText"/>
              <w:rPr>
                <w:rStyle w:val="InstructionsTabelleberschrift"/>
                <w:rFonts w:ascii="Times New Roman" w:hAnsi="Times New Roman"/>
                <w:sz w:val="24"/>
              </w:rPr>
            </w:pPr>
            <w:r>
              <w:t>Kun eksponeringer, som opfylder kravene i artikel 501a i forordning (EU) nr. 575/2013, indberettes her.</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t>0040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Sikret ved pant i fast ejendom — beboelsesejendomme</w:t>
            </w:r>
          </w:p>
          <w:p w14:paraId="43C1D306" w14:textId="27B0B97C" w:rsidR="001B1F77" w:rsidRPr="002A677E" w:rsidRDefault="001B1F77" w:rsidP="00487A02">
            <w:pPr>
              <w:pStyle w:val="InstructionsText"/>
            </w:pPr>
            <w:r>
              <w:t>Artikel 125 i forordning (EU) nr. 575/2013</w:t>
            </w:r>
          </w:p>
          <w:p w14:paraId="7DC976D3" w14:textId="77777777" w:rsidR="001B1F77" w:rsidRPr="002A677E" w:rsidRDefault="001B1F77" w:rsidP="00487A02">
            <w:pPr>
              <w:pStyle w:val="InstructionsText"/>
              <w:rPr>
                <w:b/>
                <w:u w:val="single"/>
              </w:rPr>
            </w:pPr>
            <w:r>
              <w:t>Indberettes kun i eksponeringsklassen "Sikret ved pant i fast ejendom".</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t>0050</w:t>
            </w:r>
          </w:p>
        </w:tc>
        <w:tc>
          <w:tcPr>
            <w:tcW w:w="8701" w:type="dxa"/>
            <w:shd w:val="clear" w:color="auto" w:fill="auto"/>
          </w:tcPr>
          <w:p w14:paraId="00A0215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Eksponeringer, der permanent delvist opgøres efter standardmetoden</w:t>
            </w:r>
          </w:p>
          <w:p w14:paraId="1A2C5988" w14:textId="41C89F8A" w:rsidR="001B1F77" w:rsidRPr="002A677E" w:rsidRDefault="001B1F77" w:rsidP="00487A02">
            <w:pPr>
              <w:pStyle w:val="InstructionsText"/>
            </w:pPr>
            <w:r>
              <w:t>Eksponeringer, på hvilke standardmetoden er blevet anvendt i overensstemmelse med artikel 150, stk. 1, i forordning (EU) nr. 575/2013</w:t>
            </w:r>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t>0060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Eksponeringer, der opgøres efter standardmetoden med forudgående tilladelse til at udføre trinvis IRB-implementering</w:t>
            </w:r>
          </w:p>
          <w:p w14:paraId="133C6C49" w14:textId="489D54A3" w:rsidR="001B1F77" w:rsidRPr="002A677E" w:rsidRDefault="001B1F77" w:rsidP="00487A02">
            <w:pPr>
              <w:pStyle w:val="InstructionsText"/>
            </w:pPr>
            <w:r>
              <w:t xml:space="preserve">Artikel 148, stk. 1, i forordning (EU) nr. 575/2013 </w:t>
            </w:r>
          </w:p>
        </w:tc>
      </w:tr>
      <w:tr w:rsidR="001B1F77" w:rsidRPr="002A677E" w14:paraId="346A34D0" w14:textId="77777777" w:rsidTr="00672D2A">
        <w:tc>
          <w:tcPr>
            <w:tcW w:w="1188" w:type="dxa"/>
          </w:tcPr>
          <w:p w14:paraId="4022200F" w14:textId="77777777" w:rsidR="001B1F77" w:rsidRPr="002A677E" w:rsidRDefault="001B1F77" w:rsidP="00487A02">
            <w:pPr>
              <w:pStyle w:val="InstructionsText"/>
            </w:pPr>
            <w:r>
              <w:t>0070-0130</w:t>
            </w:r>
          </w:p>
        </w:tc>
        <w:tc>
          <w:tcPr>
            <w:tcW w:w="8701" w:type="dxa"/>
          </w:tcPr>
          <w:p w14:paraId="7834AB9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OPDELING AF SAMLEDE EKSPONERINGER EFTER EKSPONERINGSTYPE</w:t>
            </w:r>
          </w:p>
          <w:p w14:paraId="17A71539" w14:textId="77777777" w:rsidR="001B1F77" w:rsidRPr="002A677E" w:rsidRDefault="001B1F77" w:rsidP="00487A02">
            <w:pPr>
              <w:pStyle w:val="InstructionsText"/>
            </w:pPr>
            <w:r>
              <w:t xml:space="preserve">Det indberettende instituts positioner i "anlægsbeholdningen" skal i overensstemmelse med kriterierne nedenfor opdeles i balanceførte eksponeringer underlagt kreditrisiko, ikkebalanceførte eksponeringer underlagt kreditrisiko og eksponeringer underlagt modpartsrisiko. </w:t>
            </w:r>
          </w:p>
          <w:p w14:paraId="7FE5F80E" w14:textId="5EA73D64" w:rsidR="001B1F77" w:rsidRPr="002A677E" w:rsidRDefault="001B1F77" w:rsidP="00E7205D">
            <w:pPr>
              <w:pStyle w:val="InstructionsText"/>
            </w:pPr>
            <w:r>
              <w:t>Eksponeringer mod den modpartsrisiko, der opstår i forbindelse med instituttets handelsbeholdningsaktiviteter, jf. artikel 92, stk. 3, litra f), og artikel 299, stk. 2, i forordning (EU) nr. 575/2013, tildeles de eksponeringer, der er underlagt modpartsrisiko. Institutter, der anvender artikel 94, stk. 1, i forordning (EU) nr. 575/2013, opdeler også deres positioner i "handelsbeholdningen", jf. artikel 92, stk. 3, litra b), i nævnte forordning, i overensstemmelse med følgende kriterier i balanceførte eksponeringer underlagt kreditrisiko, ikkebalanceførte eksponeringer underlagt kreditrisiko og eksponeringer underlagt modpartsrisiko.</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t>0070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Balanceførte eksponeringer underlagt kreditrisiko </w:t>
            </w:r>
          </w:p>
          <w:p w14:paraId="624F8F5B" w14:textId="439CA126" w:rsidR="001B1F77" w:rsidRPr="002A677E" w:rsidRDefault="001B1F77" w:rsidP="00487A02">
            <w:pPr>
              <w:pStyle w:val="InstructionsText"/>
            </w:pPr>
            <w:r>
              <w:t>Aktiver nævnt i artikel 24 i forordning (EU) nr. 575/2013, som ikke er inkluderet i andre kategorier.</w:t>
            </w:r>
          </w:p>
          <w:p w14:paraId="213B7CDD" w14:textId="53AA3359" w:rsidR="001B1F77" w:rsidRPr="002A677E" w:rsidRDefault="001B1F77" w:rsidP="00487A02">
            <w:pPr>
              <w:pStyle w:val="InstructionsText"/>
            </w:pPr>
            <w:r>
              <w:lastRenderedPageBreak/>
              <w:t>Eksponeringer, der er omfattet af modpartsrisiko, indberettes i række 0090-0130 — og indberettes derfor ikke i denne række.</w:t>
            </w:r>
          </w:p>
          <w:p w14:paraId="0231E5DB" w14:textId="6ADF02F2" w:rsidR="001B1F77" w:rsidRPr="002A677E" w:rsidRDefault="001B1F77" w:rsidP="00487A02">
            <w:pPr>
              <w:pStyle w:val="InstructionsText"/>
            </w:pPr>
            <w:r>
              <w:t>Leveringsrisiko (free deliveries) i henhold til artikel 379, stk. 1, i forordning (EU) nr. 575/2013 (hvis ikke fratrukket) udgør ikke en balanceført post, men skal alligevel indberettes i denne række.</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lastRenderedPageBreak/>
              <w:t>0080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Ikkebalanceførte eksponeringer underlagt kreditrisiko</w:t>
            </w:r>
          </w:p>
          <w:p w14:paraId="0B80ACDD" w14:textId="0880FD72" w:rsidR="001B1F77" w:rsidRPr="002A677E" w:rsidRDefault="001B1F77" w:rsidP="00487A02">
            <w:pPr>
              <w:pStyle w:val="InstructionsText"/>
            </w:pPr>
            <w:r>
              <w:t>Ikkebalanceførte positioner omfatter de poster, der er anført i bilag I til forordning (EU) nr. 575/2013.</w:t>
            </w:r>
          </w:p>
          <w:p w14:paraId="62745F38" w14:textId="77777777" w:rsidR="001B1F77" w:rsidRPr="002A677E" w:rsidRDefault="001B1F77" w:rsidP="00487A02">
            <w:pPr>
              <w:pStyle w:val="InstructionsText"/>
            </w:pPr>
            <w:r>
              <w:t>Eksponeringer, der er omfattet af modpartsrisiko, indberettes i række 0090-0130 — og indberettes derfor ikke i denne række.</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Eksponeringer/transaktioner underlagt modpartsrisiko</w:t>
            </w:r>
          </w:p>
          <w:p w14:paraId="2EC00BBC" w14:textId="77777777" w:rsidR="00E86B98" w:rsidRPr="002A677E" w:rsidRDefault="00E86B98" w:rsidP="00487A02">
            <w:pPr>
              <w:pStyle w:val="InstructionsText"/>
            </w:pPr>
            <w:r>
              <w:t>Transaktioner, der er omfattet af modpartsrisiko, dvs. derivater, genkøbstransaktioner, udlån og indskud af værdipapirer eller råvarer, terminsforretninger og margenudlånstransaktioner</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t>0090</w:t>
            </w:r>
          </w:p>
        </w:tc>
        <w:tc>
          <w:tcPr>
            <w:tcW w:w="8701" w:type="dxa"/>
          </w:tcPr>
          <w:p w14:paraId="4D245AF4" w14:textId="77777777" w:rsidR="001B1F77" w:rsidRPr="002A677E" w:rsidRDefault="001B1F77" w:rsidP="00487A02">
            <w:pPr>
              <w:pStyle w:val="InstructionsText"/>
            </w:pPr>
            <w:r>
              <w:rPr>
                <w:rStyle w:val="InstructionsTabelleberschrift"/>
                <w:rFonts w:ascii="Times New Roman" w:hAnsi="Times New Roman"/>
                <w:sz w:val="24"/>
              </w:rPr>
              <w:t>Nettinggrupper for værdipapirfinansieringstransaktioner</w:t>
            </w:r>
          </w:p>
          <w:p w14:paraId="06C22FAA" w14:textId="07B8153D" w:rsidR="00E86B98" w:rsidRPr="002A677E" w:rsidRDefault="00E86B98" w:rsidP="00487A02">
            <w:pPr>
              <w:pStyle w:val="InstructionsText"/>
            </w:pPr>
            <w:r>
              <w:t>Nettinggrupper, der kun indeholder værdipapirfinansieringstransaktioner som defineret i artikel 4, stk. 1, nr. 139), i forordning (EU) nr. 575/2013.</w:t>
            </w:r>
          </w:p>
          <w:p w14:paraId="60729C75" w14:textId="02300C70" w:rsidR="001B1F77" w:rsidRPr="002A677E" w:rsidRDefault="00E86B98" w:rsidP="00487A02">
            <w:pPr>
              <w:pStyle w:val="InstructionsText"/>
            </w:pPr>
            <w:r>
              <w:t>Værdipapirfinansieringstransaktioner, som indgår i en aftale om en nettinggruppe på tværs af produkter og derfor er indberettet i række 0130, skal ikke indberettes i denne række.</w:t>
            </w:r>
          </w:p>
        </w:tc>
      </w:tr>
      <w:tr w:rsidR="001B1F77" w:rsidRPr="002A677E" w14:paraId="1ECF4207" w14:textId="77777777" w:rsidTr="00672D2A">
        <w:tc>
          <w:tcPr>
            <w:tcW w:w="1188" w:type="dxa"/>
          </w:tcPr>
          <w:p w14:paraId="33FA6A94" w14:textId="77777777" w:rsidR="001B1F77" w:rsidRPr="002A677E" w:rsidRDefault="00FF15C6" w:rsidP="00487A02">
            <w:pPr>
              <w:pStyle w:val="InstructionsText"/>
            </w:pPr>
            <w:r>
              <w:t>0100</w:t>
            </w:r>
          </w:p>
        </w:tc>
        <w:tc>
          <w:tcPr>
            <w:tcW w:w="8701" w:type="dxa"/>
          </w:tcPr>
          <w:p w14:paraId="28D78EE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centralt clearede via en QCCP</w:t>
            </w:r>
          </w:p>
          <w:p w14:paraId="4ED364CF" w14:textId="0859DB9D" w:rsidR="001B1F77" w:rsidRPr="002A677E" w:rsidRDefault="00E86B98" w:rsidP="00487A02">
            <w:pPr>
              <w:pStyle w:val="InstructionsText"/>
            </w:pPr>
            <w:r>
              <w:t>Kontrakter og transaktioner, der er anført i artikel 301, stk. 1, i forordning (EU) nr. 575/2013, så længe de er udestående hos en kvalificerende central modpart (QCCP) som defineret i artikel 4, stk. 1, nr. 88), i nævnte forordning, herunder QCCP-relaterede transaktioner, for hvilke de risikovægtede eksponeringer beregnes i overensstemmelse med tredje del, afsnit II, kapitel 6, afdeling 9, i nævnte forordning. QCCP-relaterede transaktioner har samme betydning som CCP-relaterede transaktioner i artikel 300, nr. 2), i forordning (EU) nr. 575/2013, når CCP'en er en QCCP.</w:t>
            </w: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t>0110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Nettinggrupper for derivater og terminsforretninger</w:t>
            </w:r>
          </w:p>
          <w:p w14:paraId="6CF5B359" w14:textId="767432F1" w:rsidR="00E86B98" w:rsidRPr="002A677E" w:rsidRDefault="00E86B98" w:rsidP="00487A02">
            <w:pPr>
              <w:pStyle w:val="InstructionsText"/>
            </w:pPr>
            <w:r>
              <w:t>Nettinggrupper, der kun indeholder derivater, og som er anført i bilag II til forordning (EU) nr. 575/2013, og terminsforretninger som defineret i artikel 272, nr. 2), i nævnte forordning.</w:t>
            </w:r>
          </w:p>
          <w:p w14:paraId="28EE41AA" w14:textId="77777777" w:rsidR="001B1F77" w:rsidRPr="002A677E" w:rsidRDefault="001B1F77" w:rsidP="00487A02">
            <w:pPr>
              <w:pStyle w:val="InstructionsText"/>
            </w:pPr>
            <w:r>
              <w:t>Derivater og terminsforretninger, som indgår i en aftale om en nettinggruppe på tværs af produkter og derfor er indberettet i række 0130, skal ikke indberettes i denne række.</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t>0120</w:t>
            </w:r>
          </w:p>
        </w:tc>
        <w:tc>
          <w:tcPr>
            <w:tcW w:w="8701" w:type="dxa"/>
          </w:tcPr>
          <w:p w14:paraId="0334F5BE" w14:textId="77777777" w:rsidR="001B1F77" w:rsidRPr="002A677E" w:rsidRDefault="001B1F77" w:rsidP="00487A02">
            <w:pPr>
              <w:pStyle w:val="InstructionsText"/>
            </w:pPr>
            <w:r>
              <w:rPr>
                <w:rStyle w:val="InstructionsTabelleberschrift"/>
                <w:rFonts w:ascii="Times New Roman" w:hAnsi="Times New Roman"/>
                <w:sz w:val="24"/>
              </w:rPr>
              <w:t>Heraf: centralt clearede via en QCCP</w:t>
            </w:r>
          </w:p>
          <w:p w14:paraId="7CDEC702" w14:textId="7A4ACEFB" w:rsidR="001B1F77" w:rsidRPr="002A677E" w:rsidRDefault="00E86B98" w:rsidP="00487A02">
            <w:pPr>
              <w:pStyle w:val="InstructionsText"/>
            </w:pPr>
            <w:r>
              <w:t>Se instrukserne til række 0100.</w:t>
            </w: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t>0130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Fra aftaler om nettinggrupper på tværs af produkter</w:t>
            </w:r>
          </w:p>
          <w:p w14:paraId="04F5BFB5" w14:textId="22F365D1" w:rsidR="001B1F77" w:rsidRPr="002A677E" w:rsidRDefault="00E86B98" w:rsidP="00487A02">
            <w:pPr>
              <w:pStyle w:val="InstructionsText"/>
            </w:pPr>
            <w:r>
              <w:lastRenderedPageBreak/>
              <w:t>Nettinggrupper, der indeholder transaktioner af forskellige produktkategorier (artikel 272, nr. 11), i forordning (EU) nr. 575/2013), dvs. derivater og værdipapirfinansieringstransaktioner, for hvilke der findes en aftale om nettinggrupper på tværs af produkter som defineret i artikel 272, nr. 25), i forordning (EU) nr. 575/2013.</w:t>
            </w: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lastRenderedPageBreak/>
              <w:t>0140-0280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OPDELING AF EKSPONERINGER EFTER RISIKOVÆGT</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t>0140</w:t>
            </w:r>
          </w:p>
        </w:tc>
        <w:tc>
          <w:tcPr>
            <w:tcW w:w="8701" w:type="dxa"/>
            <w:shd w:val="clear" w:color="auto" w:fill="auto"/>
          </w:tcPr>
          <w:p w14:paraId="0B3AC7C9" w14:textId="6E95CA2E" w:rsidR="001B1F77" w:rsidRPr="002A677E" w:rsidRDefault="001B1F77" w:rsidP="00487A02">
            <w:pPr>
              <w:pStyle w:val="InstructionsText"/>
            </w:pPr>
            <w:r>
              <w:rPr>
                <w:rStyle w:val="InstructionsTabelleberschrift"/>
                <w:rFonts w:ascii="Times New Roman" w:hAnsi="Times New Roman"/>
                <w:sz w:val="24"/>
              </w:rPr>
              <w:t>0 %</w:t>
            </w: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t>0150</w:t>
            </w:r>
          </w:p>
        </w:tc>
        <w:tc>
          <w:tcPr>
            <w:tcW w:w="8701" w:type="dxa"/>
            <w:shd w:val="clear" w:color="auto" w:fill="auto"/>
          </w:tcPr>
          <w:p w14:paraId="645BC43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2F82CA58" w14:textId="3BFD7CD6" w:rsidR="001B1F77" w:rsidRPr="002A677E" w:rsidRDefault="001B1F77" w:rsidP="00487A02">
            <w:pPr>
              <w:pStyle w:val="InstructionsText"/>
              <w:rPr>
                <w:b/>
              </w:rPr>
            </w:pPr>
            <w:r>
              <w:t>Artikel 306, stk. 1, i forordning (EU) nr. 575/2013</w:t>
            </w:r>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t>0160</w:t>
            </w:r>
          </w:p>
        </w:tc>
        <w:tc>
          <w:tcPr>
            <w:tcW w:w="8701" w:type="dxa"/>
            <w:shd w:val="clear" w:color="auto" w:fill="auto"/>
          </w:tcPr>
          <w:p w14:paraId="69F26852"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1398F586" w14:textId="06AAEE25" w:rsidR="001B1F77" w:rsidRPr="002A677E" w:rsidRDefault="001B1F77" w:rsidP="00487A02">
            <w:pPr>
              <w:pStyle w:val="InstructionsText"/>
              <w:rPr>
                <w:b/>
                <w:u w:val="single"/>
              </w:rPr>
            </w:pPr>
            <w:r>
              <w:t>Artikel 305, stk. 3, i forordning (EU) nr. 575/2013</w:t>
            </w:r>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t>0170</w:t>
            </w:r>
          </w:p>
        </w:tc>
        <w:tc>
          <w:tcPr>
            <w:tcW w:w="8701" w:type="dxa"/>
            <w:shd w:val="clear" w:color="auto" w:fill="auto"/>
          </w:tcPr>
          <w:p w14:paraId="6E8C60CA" w14:textId="037A3CF4" w:rsidR="001B1F77" w:rsidRPr="002A677E" w:rsidRDefault="001B1F77" w:rsidP="00487A02">
            <w:pPr>
              <w:pStyle w:val="InstructionsText"/>
            </w:pPr>
            <w:r>
              <w:rPr>
                <w:rStyle w:val="InstructionsTabelleberschrift"/>
                <w:rFonts w:ascii="Times New Roman" w:hAnsi="Times New Roman"/>
                <w:sz w:val="24"/>
              </w:rPr>
              <w:t>10 %</w:t>
            </w: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t>0180</w:t>
            </w:r>
          </w:p>
        </w:tc>
        <w:tc>
          <w:tcPr>
            <w:tcW w:w="8701" w:type="dxa"/>
            <w:shd w:val="clear" w:color="auto" w:fill="auto"/>
          </w:tcPr>
          <w:p w14:paraId="10ED646C" w14:textId="03810209" w:rsidR="001B1F77" w:rsidRPr="002A677E" w:rsidRDefault="001B1F77" w:rsidP="00487A02">
            <w:pPr>
              <w:pStyle w:val="InstructionsText"/>
            </w:pPr>
            <w:r>
              <w:rPr>
                <w:rStyle w:val="InstructionsTabelleberschrift"/>
                <w:rFonts w:ascii="Times New Roman" w:hAnsi="Times New Roman"/>
                <w:sz w:val="24"/>
              </w:rPr>
              <w:t>20 %</w:t>
            </w: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t>0190</w:t>
            </w:r>
          </w:p>
        </w:tc>
        <w:tc>
          <w:tcPr>
            <w:tcW w:w="8701" w:type="dxa"/>
            <w:shd w:val="clear" w:color="auto" w:fill="auto"/>
          </w:tcPr>
          <w:p w14:paraId="4D011FB3" w14:textId="0737B8E3" w:rsidR="001B1F77" w:rsidRPr="002A677E" w:rsidRDefault="001B1F77" w:rsidP="00487A02">
            <w:pPr>
              <w:pStyle w:val="InstructionsText"/>
            </w:pPr>
            <w:r>
              <w:rPr>
                <w:rStyle w:val="InstructionsTabelleberschrift"/>
                <w:rFonts w:ascii="Times New Roman" w:hAnsi="Times New Roman"/>
                <w:sz w:val="24"/>
              </w:rPr>
              <w:t>35 %</w:t>
            </w: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t>0200</w:t>
            </w:r>
          </w:p>
        </w:tc>
        <w:tc>
          <w:tcPr>
            <w:tcW w:w="8701" w:type="dxa"/>
            <w:shd w:val="clear" w:color="auto" w:fill="auto"/>
          </w:tcPr>
          <w:p w14:paraId="0BEC153A" w14:textId="7FBC96FB" w:rsidR="001B1F77" w:rsidRPr="002A677E" w:rsidRDefault="001B1F77" w:rsidP="00487A02">
            <w:pPr>
              <w:pStyle w:val="InstructionsText"/>
            </w:pPr>
            <w:r>
              <w:rPr>
                <w:rStyle w:val="InstructionsTabelleberschrift"/>
                <w:rFonts w:ascii="Times New Roman" w:hAnsi="Times New Roman"/>
                <w:sz w:val="24"/>
              </w:rPr>
              <w:t>50 %</w:t>
            </w: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t>0210</w:t>
            </w:r>
          </w:p>
        </w:tc>
        <w:tc>
          <w:tcPr>
            <w:tcW w:w="8701" w:type="dxa"/>
            <w:shd w:val="clear" w:color="auto" w:fill="auto"/>
          </w:tcPr>
          <w:p w14:paraId="03123833" w14:textId="3260E30F"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xml:space="preserve"> </w:t>
            </w:r>
            <w:r>
              <w:rPr>
                <w:rStyle w:val="InstructionsTabelleberschrift"/>
                <w:rFonts w:ascii="Times New Roman" w:hAnsi="Times New Roman"/>
                <w:sz w:val="24"/>
              </w:rPr>
              <w:t>%</w:t>
            </w:r>
          </w:p>
          <w:p w14:paraId="6D02B8FE" w14:textId="0B3DD8BC" w:rsidR="001B1F77" w:rsidRPr="002A677E" w:rsidRDefault="001B1F77" w:rsidP="00487A02">
            <w:pPr>
              <w:pStyle w:val="InstructionsText"/>
            </w:pPr>
            <w:r>
              <w:t>Artikel 232, stk. 3, litra c), i forordning (EU) nr. 575/2013</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t>0220</w:t>
            </w:r>
          </w:p>
        </w:tc>
        <w:tc>
          <w:tcPr>
            <w:tcW w:w="8701" w:type="dxa"/>
            <w:shd w:val="clear" w:color="auto" w:fill="auto"/>
          </w:tcPr>
          <w:p w14:paraId="1512C11F" w14:textId="00F91612" w:rsidR="001B1F77" w:rsidRPr="002A677E" w:rsidRDefault="001B1F77" w:rsidP="00487A02">
            <w:pPr>
              <w:pStyle w:val="InstructionsText"/>
            </w:pPr>
            <w:r>
              <w:rPr>
                <w:rStyle w:val="InstructionsTabelleberschrift"/>
                <w:rFonts w:ascii="Times New Roman" w:hAnsi="Times New Roman"/>
                <w:sz w:val="24"/>
              </w:rPr>
              <w:t>75 %</w:t>
            </w: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t>0230</w:t>
            </w:r>
          </w:p>
        </w:tc>
        <w:tc>
          <w:tcPr>
            <w:tcW w:w="8701" w:type="dxa"/>
            <w:shd w:val="clear" w:color="auto" w:fill="auto"/>
          </w:tcPr>
          <w:p w14:paraId="1118345E" w14:textId="6ED05FD1" w:rsidR="001B1F77" w:rsidRPr="002A677E" w:rsidRDefault="001B1F77" w:rsidP="00487A02">
            <w:pPr>
              <w:pStyle w:val="InstructionsText"/>
            </w:pPr>
            <w:r>
              <w:rPr>
                <w:rStyle w:val="InstructionsTabelleberschrift"/>
                <w:rFonts w:ascii="Times New Roman" w:hAnsi="Times New Roman"/>
                <w:sz w:val="24"/>
              </w:rPr>
              <w:t>100 %</w:t>
            </w: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t>0240</w:t>
            </w:r>
          </w:p>
        </w:tc>
        <w:tc>
          <w:tcPr>
            <w:tcW w:w="8701" w:type="dxa"/>
            <w:shd w:val="clear" w:color="auto" w:fill="auto"/>
          </w:tcPr>
          <w:p w14:paraId="43F2084C" w14:textId="4AF8C65E" w:rsidR="001B1F77" w:rsidRPr="002A677E" w:rsidRDefault="001B1F77" w:rsidP="00487A02">
            <w:pPr>
              <w:pStyle w:val="InstructionsText"/>
            </w:pPr>
            <w:r>
              <w:rPr>
                <w:rStyle w:val="InstructionsTabelleberschrift"/>
                <w:rFonts w:ascii="Times New Roman" w:hAnsi="Times New Roman"/>
                <w:sz w:val="24"/>
              </w:rPr>
              <w:t>150 %</w:t>
            </w: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t>0250</w:t>
            </w:r>
          </w:p>
        </w:tc>
        <w:tc>
          <w:tcPr>
            <w:tcW w:w="8701" w:type="dxa"/>
            <w:shd w:val="clear" w:color="auto" w:fill="auto"/>
          </w:tcPr>
          <w:p w14:paraId="580867F7"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55894113" w14:textId="03E39236" w:rsidR="001B1F77" w:rsidRPr="002A677E" w:rsidRDefault="001B1F77" w:rsidP="00487A02">
            <w:pPr>
              <w:pStyle w:val="InstructionsText"/>
            </w:pPr>
            <w:r>
              <w:t>Artikel 133, stk. 2, og artikel 48, stk. 4, i forordning (EU) nr. 575/2013</w:t>
            </w:r>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t>0260</w:t>
            </w:r>
          </w:p>
        </w:tc>
        <w:tc>
          <w:tcPr>
            <w:tcW w:w="8701" w:type="dxa"/>
            <w:shd w:val="clear" w:color="auto" w:fill="auto"/>
          </w:tcPr>
          <w:p w14:paraId="2114622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26072AFF" w14:textId="4C6CC535" w:rsidR="001B1F77" w:rsidRPr="002A677E" w:rsidRDefault="001B1F77" w:rsidP="00487A02">
            <w:pPr>
              <w:pStyle w:val="InstructionsText"/>
              <w:rPr>
                <w:b/>
                <w:u w:val="single"/>
              </w:rPr>
            </w:pPr>
            <w:r>
              <w:t>Artikel 471 i forordning (EU) nr. 575/2013</w:t>
            </w:r>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t>0270</w:t>
            </w:r>
          </w:p>
        </w:tc>
        <w:tc>
          <w:tcPr>
            <w:tcW w:w="8701" w:type="dxa"/>
            <w:shd w:val="clear" w:color="auto" w:fill="auto"/>
          </w:tcPr>
          <w:p w14:paraId="1478A32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7317B454" w14:textId="03D666D0" w:rsidR="001B1F77" w:rsidRPr="002A677E" w:rsidRDefault="001B1F77" w:rsidP="00487A02">
            <w:pPr>
              <w:pStyle w:val="InstructionsText"/>
              <w:rPr>
                <w:b/>
                <w:u w:val="single"/>
              </w:rPr>
            </w:pPr>
            <w:r>
              <w:t>Artikel 133, stk. 2, og artikel 379 i forordning (EU) nr. 575/2013</w:t>
            </w:r>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t>0280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Andre risikovægte</w:t>
            </w:r>
          </w:p>
          <w:p w14:paraId="417334B0" w14:textId="77777777" w:rsidR="001B1F77" w:rsidRPr="002A677E" w:rsidRDefault="001B1F77" w:rsidP="00487A02">
            <w:pPr>
              <w:pStyle w:val="InstructionsText"/>
            </w:pPr>
            <w:r>
              <w:t>Denne række er ikke tilgængelig i forbindelse med eksponeringsklasserne centralregering, selskaber, institutter og detail.</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t>Til indberetning af eksponeringer, som ikke er underlagt de risikovægte, der er anført i skemaet.</w:t>
            </w:r>
          </w:p>
          <w:p w14:paraId="2DC925E8" w14:textId="77E036D7" w:rsidR="001B1F77" w:rsidRPr="002A677E" w:rsidRDefault="001B1F77" w:rsidP="00487A02">
            <w:pPr>
              <w:pStyle w:val="InstructionsText"/>
            </w:pPr>
            <w:r>
              <w:t xml:space="preserve">Artikel 113, stk. 1-5, i forordning (EU) nr. 575/2013 </w:t>
            </w:r>
          </w:p>
          <w:p w14:paraId="18BFF5DF" w14:textId="77777777" w:rsidR="001B1F77" w:rsidRPr="002A677E" w:rsidRDefault="001B1F77" w:rsidP="00487A02">
            <w:pPr>
              <w:pStyle w:val="InstructionsText"/>
            </w:pPr>
          </w:p>
          <w:p w14:paraId="17483585" w14:textId="6FA4DCAD" w:rsidR="001B1F77" w:rsidRPr="002A677E" w:rsidRDefault="001B1F77" w:rsidP="00487A02">
            <w:pPr>
              <w:pStyle w:val="InstructionsText"/>
            </w:pPr>
            <w:r>
              <w:lastRenderedPageBreak/>
              <w:t>Ikke-ratede "nth to default"-kreditderivater efter standardmetoden (artikel 134, stk. 6, i forordning (EU) nr. 575/2013) indberettes i denne række i eksponeringsklassen "Andre poster".</w:t>
            </w:r>
          </w:p>
          <w:p w14:paraId="4839EA0F" w14:textId="60CE17BA" w:rsidR="001B1F77" w:rsidRPr="002A677E" w:rsidRDefault="001B1F77" w:rsidP="0014209A">
            <w:pPr>
              <w:pStyle w:val="InstructionsText"/>
            </w:pPr>
            <w:r>
              <w:t xml:space="preserve">Se også artikel 124, stk. 2, og artikel 152, stk. 2, litra b), i forordning (EU) nr. 575/2013.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lastRenderedPageBreak/>
              <w:t>0281-0284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OPDELING AF SAMLEDE EKSPONERINGER EFTER METODE (CIU):</w:t>
            </w:r>
          </w:p>
          <w:p w14:paraId="2BAD7DF7" w14:textId="309BCA76" w:rsidR="00E86B98" w:rsidRPr="002A677E" w:rsidRDefault="00E86B98" w:rsidP="00487A02">
            <w:pPr>
              <w:pStyle w:val="InstructionsText"/>
              <w:rPr>
                <w:rStyle w:val="InstructionsTabelleberschrift"/>
                <w:rFonts w:ascii="Times New Roman" w:hAnsi="Times New Roman"/>
                <w:sz w:val="24"/>
              </w:rPr>
            </w:pPr>
            <w:r>
              <w:t>Disse rækker indberettes kun for eksponeringsklassen for kollektive investeringsinstitutter (CIU) i overensstemmelse med artikel 132, 132a, 132b og 132c i forordning (EU) nr. 575/2013.</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t>0281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Transparensmetoden</w:t>
            </w:r>
          </w:p>
          <w:p w14:paraId="6B60464B" w14:textId="63B2D041" w:rsidR="00E86B98" w:rsidRPr="002A677E" w:rsidRDefault="00E86B98" w:rsidP="00487A02">
            <w:pPr>
              <w:pStyle w:val="InstructionsText"/>
              <w:rPr>
                <w:rStyle w:val="InstructionsTabelleberschrift"/>
                <w:rFonts w:ascii="Times New Roman" w:hAnsi="Times New Roman"/>
                <w:sz w:val="24"/>
              </w:rPr>
            </w:pPr>
            <w:r>
              <w:t>Artikel 132a, stk. 1, i forordning (EU) nr. 575/2013</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t>0282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Mandatmetoden</w:t>
            </w:r>
          </w:p>
          <w:p w14:paraId="56185E49" w14:textId="5DEC4114" w:rsidR="00E86B98" w:rsidRPr="002A677E" w:rsidRDefault="00E86B98" w:rsidP="00487A02">
            <w:pPr>
              <w:pStyle w:val="InstructionsText"/>
              <w:rPr>
                <w:rStyle w:val="InstructionsTabelleberschrift"/>
                <w:rFonts w:ascii="Times New Roman" w:hAnsi="Times New Roman"/>
                <w:sz w:val="24"/>
              </w:rPr>
            </w:pPr>
            <w:r>
              <w:t>Artikel 132a, stk. 2, i forordning (EU) nr. 575/2013</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t>0283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Fallbackmetoden</w:t>
            </w:r>
          </w:p>
          <w:p w14:paraId="78735693" w14:textId="4B897295" w:rsidR="00E86B98" w:rsidRPr="002A677E" w:rsidRDefault="00E86B98" w:rsidP="00487A02">
            <w:pPr>
              <w:pStyle w:val="InstructionsText"/>
              <w:rPr>
                <w:rStyle w:val="InstructionsTabelleberschrift"/>
                <w:rFonts w:ascii="Times New Roman" w:hAnsi="Times New Roman"/>
                <w:sz w:val="24"/>
              </w:rPr>
            </w:pPr>
            <w:r>
              <w:t>Artikel 132, stk. 2, i forordning (EU) nr. 575/2013</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t>0290-0320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Memorandumposter</w:t>
            </w:r>
          </w:p>
          <w:p w14:paraId="40A38B29" w14:textId="77777777" w:rsidR="00E86B98" w:rsidRPr="002A677E" w:rsidRDefault="00E86B98" w:rsidP="00487A02">
            <w:pPr>
              <w:pStyle w:val="InstructionsText"/>
              <w:rPr>
                <w:b/>
                <w:u w:val="single"/>
              </w:rPr>
            </w:pPr>
            <w:r>
              <w:t>For række 0290-0320 henvises også til forklaringen af formålet med memorandumposter i afsnittet med generelle bemærkninger til CR SA.</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t>0290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Eksponeringer sikret ved pant i fast ejendom (erhvervsejendomme)</w:t>
            </w:r>
          </w:p>
          <w:p w14:paraId="082BF5F4" w14:textId="471E3C02" w:rsidR="00E86B98" w:rsidRPr="002A677E" w:rsidRDefault="00E86B98" w:rsidP="00487A02">
            <w:pPr>
              <w:pStyle w:val="InstructionsText"/>
            </w:pPr>
            <w:r>
              <w:t>Artikel 112, litra i), i forordning (EU) nr. 575/2013</w:t>
            </w:r>
          </w:p>
          <w:p w14:paraId="19873995" w14:textId="0A05DA08" w:rsidR="00E86B98" w:rsidRPr="002A677E" w:rsidRDefault="00E86B98" w:rsidP="00487A02">
            <w:pPr>
              <w:pStyle w:val="InstructionsText"/>
            </w:pPr>
            <w:r>
              <w:t>Dette er kun en memorandumpost. Uafhængigt af beregningen af risikoeksponeringerne sikret ved pant i erhvervsejendomme, jf. artikel 124 og 126 i forordning (EU) nr. 575/2013, skal eksponeringerne opdeles og indberettes i denne række, hvis de er sikret ved pant i erhvervsejendomme.</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t>0300</w:t>
            </w:r>
          </w:p>
        </w:tc>
        <w:tc>
          <w:tcPr>
            <w:tcW w:w="8701" w:type="dxa"/>
            <w:shd w:val="clear" w:color="auto" w:fill="auto"/>
          </w:tcPr>
          <w:p w14:paraId="67A2C608" w14:textId="49F372EB"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Eksponeringer ved misligholdelse tildelt en risikovægt på 100 %</w:t>
            </w:r>
          </w:p>
          <w:p w14:paraId="6A941F3C" w14:textId="17FFB607" w:rsidR="00E86B98" w:rsidRPr="002A677E" w:rsidRDefault="00E86B98" w:rsidP="00487A02">
            <w:pPr>
              <w:pStyle w:val="InstructionsText"/>
            </w:pPr>
            <w:r>
              <w:t>Artikel 112, litra j), i forordning (EU) nr. 575/2013</w:t>
            </w:r>
          </w:p>
          <w:p w14:paraId="4F7F2414" w14:textId="77777777" w:rsidR="00E86B98" w:rsidRPr="002A677E" w:rsidRDefault="00E86B98" w:rsidP="00487A02">
            <w:pPr>
              <w:pStyle w:val="InstructionsText"/>
            </w:pPr>
            <w:r>
              <w:t>Eksponeringer i eksponeringsklassen "eksponeringer ved misligholdelse", som skal medtages i denne eksponeringsklasse, hvis de ikke er misligholdte.</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t>0310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Eksponeringer sikret ved pant i fast ejendom (beboelsesejendomme) </w:t>
            </w:r>
          </w:p>
          <w:p w14:paraId="5BDAA36A" w14:textId="6DF0E6B9" w:rsidR="00E86B98" w:rsidRPr="002A677E" w:rsidRDefault="00887929" w:rsidP="00487A02">
            <w:pPr>
              <w:pStyle w:val="InstructionsText"/>
            </w:pPr>
            <w:r>
              <w:t>Artikel 112, litra i), i forordning (EU) nr. 575/2013</w:t>
            </w:r>
          </w:p>
          <w:p w14:paraId="6DBBFFDB" w14:textId="0CFBB02F" w:rsidR="00E86B98" w:rsidRPr="002A677E" w:rsidRDefault="00E86B98" w:rsidP="00487A02">
            <w:pPr>
              <w:pStyle w:val="InstructionsText"/>
              <w:rPr>
                <w:b/>
                <w:u w:val="single"/>
              </w:rPr>
            </w:pPr>
            <w:r>
              <w:t>Dette er kun en memorandumpost. Uafhængigt af beregningen af risikoeksponeringerne sikret ved pant i beboelsesejendomme, jf. artikel 124 og 125 i forordning (EU) nr. 575/2013, skal eksponeringerne opdeles og indberettes i denne række, hvis de er sikret ved pant i fast ejendom.</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t>0320</w:t>
            </w:r>
          </w:p>
        </w:tc>
        <w:tc>
          <w:tcPr>
            <w:tcW w:w="8701" w:type="dxa"/>
            <w:shd w:val="clear" w:color="auto" w:fill="auto"/>
          </w:tcPr>
          <w:p w14:paraId="361CB612" w14:textId="1B8C6B41"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Eksponeringer ved misligholdelse tildelt en risikovægt på 150 % </w:t>
            </w:r>
          </w:p>
          <w:p w14:paraId="0681B1E0" w14:textId="215C21CB" w:rsidR="00E86B98" w:rsidRPr="002A677E" w:rsidRDefault="00887929" w:rsidP="00487A02">
            <w:pPr>
              <w:pStyle w:val="InstructionsText"/>
            </w:pPr>
            <w:r>
              <w:t>Artikel 112, litra j), i forordning (EU) nr. 575/2013</w:t>
            </w:r>
          </w:p>
          <w:p w14:paraId="38918FFA" w14:textId="77777777" w:rsidR="00E86B98" w:rsidRPr="002A677E" w:rsidRDefault="00E86B98" w:rsidP="00487A02">
            <w:pPr>
              <w:pStyle w:val="InstructionsText"/>
            </w:pPr>
            <w:r>
              <w:t>Eksponeringer i eksponeringsklassen "eksponeringer ved misligholdelse", som skal medtages i denne eksponeringsklasse, hvis de ikke er misligholdte.</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6" w:name="_Toc360188357"/>
      <w:bookmarkStart w:id="217" w:name="_Toc473560906"/>
      <w:bookmarkStart w:id="218" w:name="_Toc119059328"/>
      <w:r>
        <w:rPr>
          <w:rFonts w:ascii="Times New Roman" w:hAnsi="Times New Roman"/>
          <w:sz w:val="24"/>
          <w:u w:val="none"/>
        </w:rPr>
        <w:lastRenderedPageBreak/>
        <w:t>3.3.</w:t>
      </w:r>
      <w:r>
        <w:tab/>
      </w:r>
      <w:r>
        <w:rPr>
          <w:rFonts w:ascii="Times New Roman" w:hAnsi="Times New Roman"/>
          <w:sz w:val="24"/>
        </w:rPr>
        <w:t>Kreditrisiko, modpartsrisiko og leveringsrisiko (free deliveries): Kapitalgrundlagskrav opgjort efter IRB-metoden</w:t>
      </w:r>
      <w:bookmarkEnd w:id="216"/>
      <w:r>
        <w:rPr>
          <w:rFonts w:ascii="Times New Roman" w:hAnsi="Times New Roman"/>
          <w:sz w:val="24"/>
        </w:rPr>
        <w:t xml:space="preserve"> (CR IRB)</w:t>
      </w:r>
      <w:bookmarkEnd w:id="217"/>
      <w:bookmarkEnd w:id="218"/>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119059329"/>
      <w:r>
        <w:rPr>
          <w:rFonts w:ascii="Times New Roman" w:hAnsi="Times New Roman"/>
          <w:sz w:val="24"/>
          <w:u w:val="none"/>
        </w:rPr>
        <w:t>3.3.1.</w:t>
      </w:r>
      <w:r>
        <w:tab/>
      </w:r>
      <w:r>
        <w:rPr>
          <w:rFonts w:ascii="Times New Roman" w:hAnsi="Times New Roman"/>
          <w:sz w:val="24"/>
        </w:rPr>
        <w:t>Anvendelsesområdet for CR IRB-skemaet</w:t>
      </w:r>
      <w:bookmarkEnd w:id="219"/>
      <w:bookmarkEnd w:id="220"/>
      <w:bookmarkEnd w:id="221"/>
    </w:p>
    <w:p w14:paraId="0D6B8B2B" w14:textId="77777777" w:rsidR="001C7AB7" w:rsidRPr="002A677E" w:rsidRDefault="008F3052" w:rsidP="00487A02">
      <w:pPr>
        <w:pStyle w:val="InstructionsText2"/>
        <w:numPr>
          <w:ilvl w:val="0"/>
          <w:numId w:val="0"/>
        </w:numPr>
        <w:ind w:left="1353" w:hanging="360"/>
      </w:pPr>
      <w:fldSimple w:instr=" seq paragraphs ">
        <w:r>
          <w:t>72</w:t>
        </w:r>
      </w:fldSimple>
      <w:r>
        <w:t>.</w:t>
      </w:r>
      <w:r>
        <w:tab/>
        <w:t>Anvendelsesområdet for CR IRB-skemaet omfatter:</w:t>
      </w:r>
    </w:p>
    <w:p w14:paraId="71C6A2AC" w14:textId="77777777" w:rsidR="001C7AB7" w:rsidRPr="002A677E" w:rsidRDefault="00125707" w:rsidP="00487A02">
      <w:pPr>
        <w:pStyle w:val="InstructionsText2"/>
        <w:numPr>
          <w:ilvl w:val="0"/>
          <w:numId w:val="0"/>
        </w:numPr>
        <w:ind w:left="1353" w:hanging="360"/>
      </w:pPr>
      <w:r>
        <w:t>i)</w:t>
      </w:r>
      <w:r>
        <w:tab/>
        <w:t>kreditrisiko i anlægsbeholdningen, herunder:</w:t>
      </w:r>
    </w:p>
    <w:p w14:paraId="6C5B8735" w14:textId="77777777" w:rsidR="001C7AB7" w:rsidRPr="002A677E" w:rsidRDefault="001C7AB7" w:rsidP="00487A02">
      <w:pPr>
        <w:pStyle w:val="InstructionsText2"/>
        <w:numPr>
          <w:ilvl w:val="0"/>
          <w:numId w:val="49"/>
        </w:numPr>
      </w:pPr>
      <w:r>
        <w:t>Modpartsrisiko i anlægsbeholdningen</w:t>
      </w:r>
    </w:p>
    <w:p w14:paraId="0E5EFDA9" w14:textId="77777777" w:rsidR="001C7AB7" w:rsidRPr="002A677E" w:rsidRDefault="001C7AB7" w:rsidP="00487A02">
      <w:pPr>
        <w:pStyle w:val="InstructionsText2"/>
        <w:numPr>
          <w:ilvl w:val="0"/>
          <w:numId w:val="49"/>
        </w:numPr>
      </w:pPr>
      <w:r>
        <w:t>Udvandingsrisiko for erhvervede fordringer</w:t>
      </w:r>
    </w:p>
    <w:p w14:paraId="6D35E42E" w14:textId="77777777" w:rsidR="001C7AB7" w:rsidRPr="002A677E" w:rsidRDefault="00125707" w:rsidP="00487A02">
      <w:pPr>
        <w:pStyle w:val="InstructionsText2"/>
        <w:numPr>
          <w:ilvl w:val="0"/>
          <w:numId w:val="0"/>
        </w:numPr>
        <w:ind w:left="1353" w:hanging="360"/>
      </w:pPr>
      <w:r>
        <w:t>ii)</w:t>
      </w:r>
      <w:r>
        <w:tab/>
        <w:t>modpartsrisiko i handelsbeholdningen</w:t>
      </w:r>
    </w:p>
    <w:p w14:paraId="477FA3DC" w14:textId="77777777" w:rsidR="001C7AB7" w:rsidRPr="002A677E" w:rsidRDefault="00125707" w:rsidP="00487A02">
      <w:pPr>
        <w:pStyle w:val="InstructionsText2"/>
        <w:numPr>
          <w:ilvl w:val="0"/>
          <w:numId w:val="0"/>
        </w:numPr>
        <w:ind w:left="1353" w:hanging="360"/>
      </w:pPr>
      <w:r>
        <w:t>iii)</w:t>
      </w:r>
      <w:r>
        <w:tab/>
        <w:t>leveringsrisiko (free deliveries), der opstår som følge af alle forretningsaktiviteter.</w:t>
      </w:r>
    </w:p>
    <w:p w14:paraId="06BDFF2D" w14:textId="46379919" w:rsidR="001C7AB7" w:rsidRPr="002A677E" w:rsidRDefault="008F3052" w:rsidP="00487A02">
      <w:pPr>
        <w:pStyle w:val="InstructionsText2"/>
        <w:numPr>
          <w:ilvl w:val="0"/>
          <w:numId w:val="0"/>
        </w:numPr>
        <w:ind w:left="1353" w:hanging="360"/>
      </w:pPr>
      <w:fldSimple w:instr=" seq paragraphs ">
        <w:r>
          <w:t>73</w:t>
        </w:r>
      </w:fldSimple>
      <w:r>
        <w:t>.</w:t>
      </w:r>
      <w:r>
        <w:tab/>
        <w:t xml:space="preserve">Anvendelsesområdet for skemaet vedrører de eksponeringer, for hvilke de risikovægtede eksponeringsværdier beregnes i henhold til tredje del, afsnit II, kapitel 3, artikel 151-157 i forordning (EU) nr. 575/2013 (IRB-metoden). </w:t>
      </w:r>
    </w:p>
    <w:p w14:paraId="41F30311" w14:textId="77777777" w:rsidR="001C7AB7" w:rsidRPr="002A677E" w:rsidRDefault="008F3052" w:rsidP="00487A02">
      <w:pPr>
        <w:pStyle w:val="InstructionsText2"/>
        <w:numPr>
          <w:ilvl w:val="0"/>
          <w:numId w:val="0"/>
        </w:numPr>
        <w:ind w:left="1353" w:hanging="360"/>
      </w:pPr>
      <w:fldSimple w:instr=" seq paragraphs ">
        <w:r>
          <w:t>74</w:t>
        </w:r>
      </w:fldSimple>
      <w:r>
        <w:t>.</w:t>
      </w:r>
      <w:r>
        <w:tab/>
        <w:t xml:space="preserve">CR IRB-skemaet omhandler ikke følgende data: </w:t>
      </w:r>
    </w:p>
    <w:p w14:paraId="22C972FA" w14:textId="77777777" w:rsidR="001C7AB7" w:rsidRPr="002A677E" w:rsidRDefault="00125707" w:rsidP="00487A02">
      <w:pPr>
        <w:pStyle w:val="InstructionsText2"/>
        <w:numPr>
          <w:ilvl w:val="0"/>
          <w:numId w:val="0"/>
        </w:numPr>
        <w:ind w:left="1353" w:hanging="360"/>
      </w:pPr>
      <w:r>
        <w:t>i)</w:t>
      </w:r>
      <w:r>
        <w:tab/>
        <w:t xml:space="preserve">Aktieeksponeringer, der indberettes i CR EQU IRB-skemaet. </w:t>
      </w:r>
    </w:p>
    <w:p w14:paraId="254CA575" w14:textId="77777777" w:rsidR="001C7AB7" w:rsidRPr="002A677E" w:rsidRDefault="00125707" w:rsidP="00487A02">
      <w:pPr>
        <w:pStyle w:val="InstructionsText2"/>
        <w:numPr>
          <w:ilvl w:val="0"/>
          <w:numId w:val="0"/>
        </w:numPr>
        <w:ind w:left="1353" w:hanging="360"/>
      </w:pPr>
      <w:r>
        <w:t>ii)</w:t>
      </w:r>
      <w:r>
        <w:tab/>
        <w:t>Securitiseringspositioner, der indberettes i skemaerne CR SEC og/eller CR SEC Details.</w:t>
      </w:r>
    </w:p>
    <w:p w14:paraId="08743BAB" w14:textId="7EFFC068" w:rsidR="001C7AB7" w:rsidRPr="002A677E" w:rsidRDefault="00125707" w:rsidP="00487A02">
      <w:pPr>
        <w:pStyle w:val="InstructionsText2"/>
        <w:numPr>
          <w:ilvl w:val="0"/>
          <w:numId w:val="0"/>
        </w:numPr>
        <w:ind w:left="1353" w:hanging="360"/>
      </w:pPr>
      <w:r>
        <w:t>iii)</w:t>
      </w:r>
      <w:r>
        <w:tab/>
        <w:t xml:space="preserve"> "Andre aktiver, der ikke er gældsforpligtelser" som omhandlet i artikel 147, stk. 2, litra g), i forordning (EU) nr. 575/2013. Risikovægten for denne eksponeringsklasse skal altid være angivet til 100 %, dog ikke for kassebeholdning og tilsvarende poster samt eksponeringer, der er en restværdi af leasede aktiver, jf. artikel 156 i forordning (EU) nr. 575/2013. De risikovægtede eksponeringer for denne eksponeringsklasse indberettes direkte i CA-skemaet.</w:t>
      </w:r>
    </w:p>
    <w:p w14:paraId="6E21D181" w14:textId="77777777" w:rsidR="001C7AB7" w:rsidRPr="002A677E" w:rsidRDefault="00125707" w:rsidP="00487A02">
      <w:pPr>
        <w:pStyle w:val="InstructionsText2"/>
        <w:numPr>
          <w:ilvl w:val="0"/>
          <w:numId w:val="0"/>
        </w:numPr>
        <w:ind w:left="1353" w:hanging="360"/>
      </w:pPr>
      <w:r>
        <w:t>iv)</w:t>
      </w:r>
      <w:r>
        <w:tab/>
        <w:t>Kreditværdijusteringsrisiko, som indberettes i CVA Risiko-skemaet.</w:t>
      </w:r>
    </w:p>
    <w:p w14:paraId="226F3F85" w14:textId="77777777" w:rsidR="001C7AB7" w:rsidRPr="002A677E" w:rsidRDefault="001C7AB7" w:rsidP="001235ED">
      <w:pPr>
        <w:pStyle w:val="InstructionsText2"/>
        <w:numPr>
          <w:ilvl w:val="0"/>
          <w:numId w:val="0"/>
        </w:numPr>
        <w:ind w:left="1418"/>
      </w:pPr>
      <w:r>
        <w:t xml:space="preserve">CR IRB-skemaet kræver ikke en geografisk opdeling af IRB-eksponeringer efter modpartens hjemsted. Denne opdeling indberettes i CR GB-skemaet. </w:t>
      </w:r>
    </w:p>
    <w:p w14:paraId="20E49C52" w14:textId="77777777" w:rsidR="00FA641C" w:rsidRPr="002A677E" w:rsidRDefault="00FA641C" w:rsidP="001235ED">
      <w:pPr>
        <w:autoSpaceDE w:val="0"/>
        <w:autoSpaceDN w:val="0"/>
        <w:adjustRightInd w:val="0"/>
        <w:spacing w:before="0" w:after="240"/>
        <w:ind w:left="1418"/>
        <w:jc w:val="left"/>
        <w:rPr>
          <w:rFonts w:ascii="Times New Roman" w:hAnsi="Times New Roman"/>
          <w:sz w:val="24"/>
        </w:rPr>
      </w:pPr>
      <w:r>
        <w:rPr>
          <w:rFonts w:ascii="Times New Roman" w:hAnsi="Times New Roman"/>
          <w:sz w:val="24"/>
        </w:rPr>
        <w:t>Punkt i) og iii) gælder ikke for skemaet CR IRB 7.</w:t>
      </w:r>
    </w:p>
    <w:p w14:paraId="7D4DC8CE" w14:textId="77777777" w:rsidR="001C7AB7" w:rsidRPr="002A677E" w:rsidRDefault="008F3052" w:rsidP="00487A02">
      <w:pPr>
        <w:pStyle w:val="InstructionsText2"/>
        <w:numPr>
          <w:ilvl w:val="0"/>
          <w:numId w:val="0"/>
        </w:numPr>
        <w:ind w:left="1353" w:hanging="360"/>
      </w:pPr>
      <w:fldSimple w:instr=" seq paragraphs ">
        <w:r>
          <w:t>75</w:t>
        </w:r>
      </w:fldSimple>
      <w:r>
        <w:t>.</w:t>
      </w:r>
      <w:r>
        <w:tab/>
        <w:t>For at præcisere, om instituttet bruger sine egne estimater over tab givet misligholdelse (LGD) og/eller kreditkonverteringsfaktorer, anføres følgende oplysning for hver indberettet eksponeringsklasse:</w:t>
      </w:r>
    </w:p>
    <w:p w14:paraId="2C1D90EE"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"NEJ" = hvis myndighedens estimater over tab givet misligholdelse og kreditkonverteringsfaktorer anvendes (grundlæggende IRB)</w:t>
      </w:r>
    </w:p>
    <w:p w14:paraId="054DCB50" w14:textId="77777777" w:rsidR="001C7AB7" w:rsidRPr="002A677E"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"JA" = hvis egne estimater over tab givet misligholdelse og kreditkonverteringsfaktorer anvendes (udbygget IRB) Dette omfatter alle detailporteføljer.</w:t>
      </w:r>
    </w:p>
    <w:p w14:paraId="147D6F2B"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lastRenderedPageBreak/>
        <w:t>Hvis et institut anvender egne estimater over tab givet misligholdelse til at beregne</w:t>
      </w:r>
      <w:r>
        <w:rPr>
          <w:rStyle w:val="InstructionsTabelleText"/>
          <w:rFonts w:ascii="Times New Roman" w:hAnsi="Times New Roman"/>
          <w:sz w:val="24"/>
        </w:rPr>
        <w:t xml:space="preserve"> risikovægtede eksponeringer</w:t>
      </w:r>
      <w:r>
        <w:rPr>
          <w:rFonts w:ascii="Times New Roman" w:hAnsi="Times New Roman"/>
          <w:sz w:val="24"/>
        </w:rPr>
        <w:t xml:space="preserve"> for en del af sine IRB-eksponeringer og myndighedens estimater over tab givet misligholdelse til at beregne </w:t>
      </w:r>
      <w:r>
        <w:rPr>
          <w:rStyle w:val="InstructionsTabelleText"/>
          <w:rFonts w:ascii="Times New Roman" w:hAnsi="Times New Roman"/>
          <w:sz w:val="24"/>
        </w:rPr>
        <w:t>risikovægtede eksponeringer</w:t>
      </w:r>
      <w:r>
        <w:rPr>
          <w:rFonts w:ascii="Times New Roman" w:hAnsi="Times New Roman"/>
          <w:sz w:val="24"/>
        </w:rPr>
        <w:t xml:space="preserve"> for den anden del af sine IRB-eksponeringer, skal der indberettes et CR IRB Total for F-IRB-positioner og et CR IRB Total for A-IRB-positioner.</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119059330"/>
      <w:r>
        <w:rPr>
          <w:rFonts w:ascii="Times New Roman" w:hAnsi="Times New Roman"/>
          <w:sz w:val="24"/>
          <w:u w:val="none"/>
        </w:rPr>
        <w:t>3.3.2.</w:t>
      </w:r>
      <w:r>
        <w:tab/>
      </w:r>
      <w:r>
        <w:rPr>
          <w:rFonts w:ascii="Times New Roman" w:hAnsi="Times New Roman"/>
          <w:sz w:val="24"/>
        </w:rPr>
        <w:t>Opdeling af CR IRB-skemaet</w:t>
      </w:r>
      <w:bookmarkEnd w:id="222"/>
      <w:bookmarkEnd w:id="223"/>
      <w:bookmarkEnd w:id="224"/>
      <w:bookmarkEnd w:id="225"/>
      <w:bookmarkEnd w:id="226"/>
      <w:bookmarkEnd w:id="227"/>
      <w:bookmarkEnd w:id="228"/>
      <w:bookmarkEnd w:id="229"/>
    </w:p>
    <w:p w14:paraId="4A3FF0C6" w14:textId="77777777" w:rsidR="001C7AB7" w:rsidRPr="002A677E" w:rsidRDefault="008F3052" w:rsidP="00487A02">
      <w:pPr>
        <w:pStyle w:val="InstructionsText2"/>
        <w:numPr>
          <w:ilvl w:val="0"/>
          <w:numId w:val="0"/>
        </w:numPr>
        <w:ind w:left="1353" w:hanging="360"/>
      </w:pPr>
      <w:fldSimple w:instr=" seq paragraphs ">
        <w:r>
          <w:t>76</w:t>
        </w:r>
      </w:fldSimple>
      <w:r>
        <w:t>.</w:t>
      </w:r>
      <w:r>
        <w:tab/>
        <w:t>CR IRB består af syv skemaer. CR IRB 1 giver en generel oversigt over IRB-eksponeringer og de forskellige metoder til at beregne de risikovægtede eksponeringer og en opdeling af de samlede eksponeringer efter eksponeringstype. CR IRB 2 giver en opdeling af de samlede eksponeringer efter låntagerklasser eller puljer (eksponeringer, der er indberettet i række 0070 i CR IRB 1). CR IRB 3 indeholder alle relevante parametre, der anvendes til beregning af kapitalkrav for kreditrisikoen i forbindelse med IRB-modeller. CR IRB 4 indeholder en flowtabel over ændringer i risikovægtede eksponeringer opgjort efter IRB-metoden for kreditrisiko. CR IRB 5 indeholder oplysninger om resultaterne af backtesting af PD'er for de indberettede modeller. CR IRB 6 indeholder alle relevante parametre, der anvendes til beregning af kapitalkrav for kreditrisikoen i henhold til kategoriseringskriterierne for specialiseret långivning. CR IRB 7 indeholder en oversigt over den procentdel af eksponeringsværdien, der er omfattet af SA- eller IRB-metoder, for hver relevant eksponeringsklasse. Skemaerne CR IRB 1, CR IRB 2, CR IRB 3 og CR IRB 5 indberettes separat for følgende eksponerings- og deleksponeringsklasser:</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I alt</w:t>
      </w:r>
    </w:p>
    <w:p w14:paraId="57B8AF84"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I alt-skemaet skal indberettes separat for den grundlæggende IRB-metode og den udbyggede IRB-metode.)</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Centralregeringer og centralbanker </w:t>
      </w:r>
    </w:p>
    <w:p w14:paraId="19FD4BF4" w14:textId="6D4C5B07"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(Artikel 147, stk. 2, litra a), i forordning (EU) nr. 575/2013)</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Institutter</w:t>
      </w:r>
    </w:p>
    <w:p w14:paraId="2A33DD3A" w14:textId="5D71366D" w:rsidR="001C7AB7" w:rsidRPr="002A677E"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(Artikel 147, stk. 2, litra b), i forordning (EU) nr. 575/2013)</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Erhvervseksponeringer — SMV'er</w:t>
      </w:r>
    </w:p>
    <w:p w14:paraId="70E54B68" w14:textId="5B41D71A"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(Artikel 147, stk. 2, litra c), i forordning (EU) nr. 575/2013) Med henblik på klassificering i denne deleksponeringsklasse skal de indberettende enheder anvende deres interne definition af SMV'er som anvendt i interne risikostyringsprocedurer.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Erhvervseksponeringer — specialiseret långivning</w:t>
      </w:r>
    </w:p>
    <w:p w14:paraId="1003485F" w14:textId="1547C693"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(Artikel 147, stk. 8, i forordning (EU) nr. 575/2013)</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Erhvervseksponeringer — Andre </w:t>
      </w:r>
    </w:p>
    <w:p w14:paraId="2BC0A49B" w14:textId="07E5E2AE"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(Alle erhvervseksponeringer som omhandlet i artikel 147, stk. 2, litra c), i forordning (EU) nr. 575/2013, som ikke er indberettet i 4.1 og 4.2).</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Detail — Sikret ved pant i fast ejendom — SMV'er</w:t>
      </w:r>
    </w:p>
    <w:p w14:paraId="41CDE7BA" w14:textId="687846A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(Detaileksponeringer, jf. artikel 147, stk. 2, litra d), i forordning (EU) nr. 575/2013, sammenholdt med artikel 154, stk. 3, i nævnte forordning, som er sikret ved pant i fast ejendom). Med henblik på klassificering i denne deleksponeringsklasse skal de indberettende enheder anvende deres interne definition af SMV'er som anvendt i interne risikostyringsprocedurer.</w:t>
      </w:r>
    </w:p>
    <w:p w14:paraId="133F9F8B"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Detail — Sikret ved pant i fast ejendom — ikke-SMV'er</w:t>
      </w:r>
    </w:p>
    <w:p w14:paraId="0AD84A3A" w14:textId="43BA28F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(Detaileksponeringer, jf. artikel 147, stk. 2, litra d), i forordning (EU) nr. 575/2013, som er sikret ved pant i fast ejendom og ikke indberettet i 5.1).</w:t>
      </w:r>
    </w:p>
    <w:p w14:paraId="26A4456D" w14:textId="77777777" w:rsidR="008304E8" w:rsidRPr="002A677E"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I 5.1 og 5.2 betragtes detaileksponeringer sikret ved pant i fast ejendom som enhver detaileksponering sikret ved pant i fast ejendom, der er anerkendt som sikkerhedsstillelse, uanset forholdet mellem værdien af sikkerhedsstillelsen for eksponeringen eller lånets formål.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Detail — Kvalificeret revolverende</w:t>
      </w:r>
    </w:p>
    <w:p w14:paraId="5D39186F" w14:textId="39CD1CA0"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(Detaileksponeringer, jf. artikel 147, stk. 2, litra d), i forordning (EU) nr. 575/2013, sammenholdt med artikel 154, stk. 4, i nævnte forordning). </w:t>
      </w:r>
    </w:p>
    <w:p w14:paraId="726B494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Detail — Andre SMV'er</w:t>
      </w:r>
    </w:p>
    <w:p w14:paraId="18E79C76" w14:textId="57C19DBC"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(Detaileksponeringer, jf. artikel 147, stk. 2, litra d), i forordning (EU) nr. 575/2013, som ikke er indberettet i 5.1 og 5.3). Med henblik på klassificering i denne deleksponeringsklasse skal de indberettende enheder anvende deres interne definition af SMV'er som anvendt i interne risikostyringsprocedurer.</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Detail — Andre ikke-SMV'er</w:t>
      </w:r>
    </w:p>
    <w:p w14:paraId="6BB46999" w14:textId="0CCFEC1D"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(Detaileksponeringer, jf. artikel 147, stk. 2, litra d), i forordning (EU) nr. 575/2013, som ikke er indberettet i 5.2 og 5.3).</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23700C">
      <w:pPr>
        <w:pStyle w:val="Instructionsberschrift2"/>
        <w:numPr>
          <w:ilvl w:val="0"/>
          <w:numId w:val="0"/>
        </w:numPr>
        <w:ind w:left="357" w:hanging="357"/>
        <w:rPr>
          <w:rFonts w:ascii="Times New Roman" w:hAnsi="Times New Roman" w:cs="Times New Roman"/>
          <w:sz w:val="24"/>
        </w:rPr>
      </w:pPr>
      <w:bookmarkStart w:id="230" w:name="_Toc473560909"/>
      <w:bookmarkStart w:id="231" w:name="_Toc239157380"/>
      <w:bookmarkStart w:id="232" w:name="_Toc262568038"/>
      <w:bookmarkStart w:id="233" w:name="_Toc264038436"/>
      <w:bookmarkStart w:id="234" w:name="_Toc295829866"/>
      <w:bookmarkStart w:id="235" w:name="_Toc308155143"/>
      <w:bookmarkStart w:id="236" w:name="_Toc310415030"/>
      <w:bookmarkStart w:id="237" w:name="_Toc360188360"/>
      <w:bookmarkStart w:id="238" w:name="_Toc119059331"/>
      <w:r>
        <w:rPr>
          <w:rFonts w:ascii="Times New Roman" w:hAnsi="Times New Roman"/>
          <w:sz w:val="24"/>
          <w:u w:val="none"/>
        </w:rPr>
        <w:t>3.3.3.</w:t>
      </w:r>
      <w:r>
        <w:tab/>
      </w:r>
      <w:r>
        <w:rPr>
          <w:rFonts w:ascii="Times New Roman" w:hAnsi="Times New Roman"/>
          <w:sz w:val="24"/>
        </w:rPr>
        <w:t>C 08.01 — Kreditrisiko, modpartsrisiko og leveringsrisiko (free deliveries): Kapitalkrav opgjort efter IRB-metoden (CR IRB 1)</w:t>
      </w:r>
      <w:bookmarkEnd w:id="230"/>
      <w:bookmarkEnd w:id="238"/>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119059332"/>
      <w:r>
        <w:rPr>
          <w:rFonts w:ascii="Times New Roman" w:hAnsi="Times New Roman"/>
          <w:sz w:val="24"/>
          <w:u w:val="none"/>
        </w:rPr>
        <w:t>3.3.3.1</w:t>
      </w:r>
      <w:r>
        <w:tab/>
      </w:r>
      <w:r>
        <w:rPr>
          <w:rFonts w:ascii="Times New Roman" w:hAnsi="Times New Roman"/>
          <w:sz w:val="24"/>
        </w:rPr>
        <w:t>Instrukser vedrørende specifikke positioner</w:t>
      </w:r>
      <w:bookmarkEnd w:id="231"/>
      <w:bookmarkEnd w:id="232"/>
      <w:bookmarkEnd w:id="233"/>
      <w:bookmarkEnd w:id="234"/>
      <w:bookmarkEnd w:id="235"/>
      <w:bookmarkEnd w:id="236"/>
      <w:bookmarkEnd w:id="237"/>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Pr>
                <w:rFonts w:ascii="Times New Roman" w:hAnsi="Times New Roman"/>
                <w:sz w:val="24"/>
              </w:rPr>
              <w:t>Kolonner</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Pr>
                <w:rFonts w:ascii="Times New Roman" w:hAnsi="Times New Roman"/>
                <w:sz w:val="24"/>
              </w:rPr>
              <w:t>Instrukser</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Pr>
                <w:rFonts w:ascii="Times New Roman" w:hAnsi="Times New Roman"/>
                <w:sz w:val="24"/>
              </w:rPr>
              <w:t>0010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SKALA MED INTERNE RATINGS/PD TILDELT LÅNTAGERKLASSE ELLER PULJE (%)</w:t>
            </w:r>
          </w:p>
          <w:p w14:paraId="091A6478" w14:textId="05A6154C" w:rsidR="001C7AB7" w:rsidRPr="002A677E" w:rsidRDefault="001C7AB7" w:rsidP="001C7AB7">
            <w:pPr>
              <w:rPr>
                <w:rFonts w:ascii="Times New Roman" w:hAnsi="Times New Roman"/>
                <w:sz w:val="24"/>
              </w:rPr>
            </w:pPr>
            <w:r>
              <w:rPr>
                <w:rFonts w:ascii="Times New Roman" w:hAnsi="Times New Roman"/>
                <w:sz w:val="24"/>
              </w:rPr>
              <w:t>Her indberettes den PD, der tildeles låntagerklassen eller -puljen; den skal baseres på bestemmelserne i artikel 180 i forordning (EU) nr. 575/2013.</w:t>
            </w:r>
            <w:r>
              <w:rPr>
                <w:rStyle w:val="InstructionsTabelleText"/>
                <w:rFonts w:ascii="Times New Roman" w:hAnsi="Times New Roman"/>
                <w:sz w:val="24"/>
              </w:rPr>
              <w:t xml:space="preserve"> For hver individuel klasse eller pulje skal den PD, der er tildelt den specifikke låntagerklasse eller -pulje, indberettes. For tal, der svarer til en aggregering af låntagerklasser eller -puljer (f.eks. samlede eksponeringer), anføres det eksponeringsvægtede gennemsnit af de PD'er, der er tildelt låntagerklasserne eller -puljerne i aggregeringen. </w:t>
            </w:r>
            <w:r>
              <w:rPr>
                <w:rFonts w:ascii="Times New Roman" w:hAnsi="Times New Roman"/>
                <w:sz w:val="24"/>
              </w:rPr>
              <w:t>Eksponeringsværdien (kolonne 0110) bruges til at beregne den eksponeringsvægtede gennemsnitlige PD.</w:t>
            </w:r>
          </w:p>
          <w:p w14:paraId="548D17F9"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For hver individuel klasse eller pulje skal den PD, der er tildelt den specifikke låntagerklasse eller -pulje, indberettes. Alle indberettede risikoparametre udledes af de risikoparametre, der anvendes i skalaen for interne ratings, som er godkendt af den relevante kompetente myndighed.</w:t>
            </w:r>
          </w:p>
          <w:p w14:paraId="43DD972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Det er hverken hensigten eller ønskværdigt, at der etableres en masterskala for tilsyn. Hvis det indberettende institut anvender en unik ratingskala eller kan indberette i henhold til en intern masterskala, anvendes denne skala. </w:t>
            </w:r>
          </w:p>
          <w:p w14:paraId="26FBA78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Ellers kombineres de forskellige ratingskalaer og rangordnes efter følgende kriterier: Låntagerklasserne i de forskellige ratingskalaer samles i en pulje og opstilles fra den laveste PD til den højeste tildelt hver låntagerklasse. Hvis instituttet anvender mange klasser eller puljer, kan der indberettes et lavere antal klasser eller puljer efter aftale med de kompetente myndigheder. Det samme gælder kontinuerlige ratingskalaer: Der aftales et reduceret antal ratingklasser med henblik på indberetning med de kompetente myndigheder.</w:t>
            </w:r>
          </w:p>
          <w:p w14:paraId="1F55C387"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lastRenderedPageBreak/>
              <w:t>Institutterne skal på forhånd kontakte de kompetente myndigheder, hvis de ønsker at indberette et andet antal klasser end antallet af interne klasser.</w:t>
            </w:r>
          </w:p>
          <w:p w14:paraId="383AC658" w14:textId="74FB53D5" w:rsidR="006C35BA" w:rsidRPr="002A677E" w:rsidRDefault="006C35BA" w:rsidP="001C7AB7">
            <w:pPr>
              <w:rPr>
                <w:rStyle w:val="InstructionsTabelleText"/>
                <w:rFonts w:ascii="Times New Roman" w:hAnsi="Times New Roman"/>
                <w:sz w:val="24"/>
              </w:rPr>
            </w:pPr>
            <w:r>
              <w:rPr>
                <w:rStyle w:val="InstructionsTabelleText"/>
                <w:rFonts w:ascii="Times New Roman" w:hAnsi="Times New Roman"/>
                <w:sz w:val="24"/>
              </w:rPr>
              <w:t>Den eller de sidste ratingklasser skal anvendes til misligholdte eksponeringer med en PD på 100 %.</w:t>
            </w:r>
          </w:p>
          <w:p w14:paraId="41D7EF9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Med henblik på vægtning af den gennemsnitlige PD anvendes den eksponeringsværdi, der er indberettet i kolonne 110. Den eksponeringsvægtede gennemsnitlige PD beregnes under hensyntagen til alle eksponeringer, der er indberettet i en given række. I rækken forbeholdt indberetninger af misligholdte eksponeringer er den gennemsnitlige PD på 100 %.</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14:paraId="369D5D1B"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OPRINDELIG EKSPONERING FØR ANVENDELSE AF KONVERTERINGSFAKTORER</w:t>
            </w:r>
          </w:p>
          <w:p w14:paraId="4E09A3EF" w14:textId="4F8BCA38" w:rsidR="001C7AB7" w:rsidRPr="002A677E" w:rsidRDefault="001C7AB7" w:rsidP="001C7AB7">
            <w:pPr>
              <w:rPr>
                <w:rFonts w:ascii="Times New Roman" w:hAnsi="Times New Roman"/>
                <w:sz w:val="24"/>
              </w:rPr>
            </w:pPr>
            <w:r>
              <w:rPr>
                <w:rFonts w:ascii="Times New Roman" w:hAnsi="Times New Roman"/>
                <w:sz w:val="24"/>
              </w:rPr>
              <w:t xml:space="preserve">Institutterne indberetter eksponeringsværdien inden indregning af værdijusteringer, hensættelser, virkninger af kreditrisikoreduktionsteknikker eller kreditkonverteringsfaktorer. </w:t>
            </w:r>
          </w:p>
          <w:p w14:paraId="62E2DA78" w14:textId="1A415447" w:rsidR="001C7AB7" w:rsidRPr="002A677E" w:rsidRDefault="001C7AB7" w:rsidP="001C7AB7">
            <w:pPr>
              <w:rPr>
                <w:rFonts w:ascii="Times New Roman" w:hAnsi="Times New Roman"/>
                <w:sz w:val="24"/>
              </w:rPr>
            </w:pPr>
            <w:r>
              <w:rPr>
                <w:rFonts w:ascii="Times New Roman" w:hAnsi="Times New Roman"/>
                <w:sz w:val="24"/>
              </w:rPr>
              <w:t>Den oprindelige eksponeringsværdi indberettes i henhold til artikel 24 i forordning (EU) nr. 575/2013 og artikel 166, stk. 1, 2, 4, 5, 6 og 7, i nævnte forordning.</w:t>
            </w:r>
          </w:p>
          <w:p w14:paraId="33E414D9" w14:textId="574AEFA6" w:rsidR="001C7AB7" w:rsidRPr="002A677E" w:rsidRDefault="001C7AB7" w:rsidP="001C7AB7">
            <w:pPr>
              <w:rPr>
                <w:rFonts w:ascii="Times New Roman" w:hAnsi="Times New Roman"/>
                <w:sz w:val="24"/>
              </w:rPr>
            </w:pPr>
            <w:r>
              <w:rPr>
                <w:rFonts w:ascii="Times New Roman" w:hAnsi="Times New Roman"/>
                <w:sz w:val="24"/>
              </w:rPr>
              <w:t xml:space="preserve">Virkningen, der følger af forordningens artikel 166, stk. 3, i forordning (EU) nr. 575/2013 (virkningen af balanceført netting af udlån og indskud), indberettes særskilt som finansieret kreditrisikoafdækning og reducerer derfor ikke den oprindelige eksponering. </w:t>
            </w:r>
          </w:p>
          <w:p w14:paraId="500087D9" w14:textId="3FC8294F" w:rsidR="001C7AB7" w:rsidRPr="002A677E" w:rsidRDefault="006C35BA" w:rsidP="00F34382">
            <w:pPr>
              <w:rPr>
                <w:rFonts w:ascii="Times New Roman" w:hAnsi="Times New Roman"/>
                <w:sz w:val="24"/>
              </w:rPr>
            </w:pPr>
            <w:r>
              <w:rPr>
                <w:rFonts w:ascii="Times New Roman" w:hAnsi="Times New Roman"/>
                <w:sz w:val="24"/>
              </w:rPr>
              <w:t>For derivater, genkøbstransaktioner, udlån og indskud af værdipapirer eller råvarer, terminsforretninger og margenudlånstransaktioner, der er underlagt modpartsrisiko (tredje del, afsnit II, kapitel 4 eller 6, i forordning (EU) nr. 575/2013) skal den oprindelige eksponering svare til eksponeringsværdien for modpartsrisiko (se instrukserne til kolonne 0130).</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Pr>
                <w:rFonts w:ascii="Times New Roman" w:hAnsi="Times New Roman"/>
                <w:sz w:val="24"/>
              </w:rPr>
              <w:t>0030</w:t>
            </w:r>
          </w:p>
        </w:tc>
        <w:tc>
          <w:tcPr>
            <w:tcW w:w="8843" w:type="dxa"/>
          </w:tcPr>
          <w:p w14:paraId="6C52A05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HERAF: STORE ENHEDER I DEN FINANSIELLE SEKTOR OG UREGULEREDE FINANSIELLE ENHEDER</w:t>
            </w:r>
          </w:p>
          <w:p w14:paraId="38DF2305" w14:textId="66F8D140" w:rsidR="001C7AB7" w:rsidRPr="002A677E" w:rsidRDefault="001C7AB7" w:rsidP="00F34382">
            <w:pPr>
              <w:rPr>
                <w:rFonts w:ascii="Times New Roman" w:hAnsi="Times New Roman"/>
                <w:b/>
                <w:sz w:val="24"/>
                <w:u w:val="single"/>
              </w:rPr>
            </w:pPr>
            <w:r>
              <w:rPr>
                <w:rFonts w:ascii="Times New Roman" w:hAnsi="Times New Roman"/>
                <w:sz w:val="24"/>
              </w:rPr>
              <w:t>Opdeling af den oprindelige eksponering før anvendelse af konverteringsfaktorer for alle eksponeringer mod enheder omhandlet i artikel 142, stk. 1, nr. 4) og 5), i forordning (EU) nr. 575/2013, der er omfattet af den højeste korrelationskoefficient fastsat i overensstemmelse med artikel 153, stk. 2, i nævnte forordning.</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Pr>
                <w:rFonts w:ascii="Times New Roman" w:hAnsi="Times New Roman"/>
                <w:sz w:val="24"/>
              </w:rPr>
              <w:t>0040-0080</w:t>
            </w:r>
          </w:p>
        </w:tc>
        <w:tc>
          <w:tcPr>
            <w:tcW w:w="8843" w:type="dxa"/>
          </w:tcPr>
          <w:p w14:paraId="748B30E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KREDITRISIKOREDUKTIONSTEKNIKKER MED SUBSTITUTIONSVIRKNINGER PÅ EKSPONERINGEN</w:t>
            </w:r>
          </w:p>
          <w:p w14:paraId="1AE12741" w14:textId="51C899BB" w:rsidR="001C7AB7" w:rsidRPr="002A677E" w:rsidRDefault="001C7AB7" w:rsidP="001C7AB7">
            <w:pPr>
              <w:rPr>
                <w:rFonts w:ascii="Times New Roman" w:hAnsi="Times New Roman"/>
                <w:sz w:val="24"/>
              </w:rPr>
            </w:pPr>
            <w:r>
              <w:rPr>
                <w:rFonts w:ascii="Times New Roman" w:hAnsi="Times New Roman"/>
                <w:sz w:val="24"/>
              </w:rPr>
              <w:t>Kreditrisikoreduktion som defineret i artikel 4, stk. 1, nr. 57), i forordning (EU) nr. 575/2013, som mindsker kreditrisikoen ved en eller flere eksponeringer via substitution af eksponeringer som defineret nedenfor under "SUBSTITUTION AF EKSPONERING SOM FØLGE AF KREDITRISIKOREDUKTIONSTEKNIKKER".</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Pr>
                <w:rFonts w:ascii="Times New Roman" w:hAnsi="Times New Roman"/>
                <w:sz w:val="24"/>
              </w:rPr>
              <w:t>0040-0050</w:t>
            </w:r>
          </w:p>
        </w:tc>
        <w:tc>
          <w:tcPr>
            <w:tcW w:w="8843" w:type="dxa"/>
          </w:tcPr>
          <w:p w14:paraId="1AEF1FA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UFINANSIERET KREDITRISIKOAFDÆKNING</w:t>
            </w:r>
          </w:p>
          <w:p w14:paraId="629F3C09" w14:textId="17BE8243" w:rsidR="001C7AB7" w:rsidRPr="002A677E" w:rsidRDefault="001C7AB7" w:rsidP="001C7AB7">
            <w:pPr>
              <w:rPr>
                <w:rStyle w:val="InstructionsTabelleText"/>
                <w:rFonts w:ascii="Times New Roman" w:hAnsi="Times New Roman"/>
                <w:sz w:val="24"/>
              </w:rPr>
            </w:pPr>
            <w:r>
              <w:rPr>
                <w:rFonts w:ascii="Times New Roman" w:hAnsi="Times New Roman"/>
                <w:sz w:val="24"/>
              </w:rPr>
              <w:t>Ufinansieret kreditrisikoafdækning som defineret i artikel 4, stk. 1, nr. 59), i forordning (EU) nr. 575/2013.</w:t>
            </w:r>
          </w:p>
          <w:p w14:paraId="11CF1FB5" w14:textId="77777777" w:rsidR="001C7AB7" w:rsidRPr="002A677E" w:rsidRDefault="005474CB" w:rsidP="00BD6DB9">
            <w:pPr>
              <w:rPr>
                <w:rFonts w:ascii="Times New Roman" w:hAnsi="Times New Roman"/>
                <w:sz w:val="24"/>
              </w:rPr>
            </w:pPr>
            <w:r>
              <w:rPr>
                <w:rFonts w:ascii="Times New Roman" w:hAnsi="Times New Roman"/>
                <w:sz w:val="24"/>
              </w:rPr>
              <w:t>Ufinansieret kreditrisikoafdækning, som påvirker eksponeringen (f.eks. hvis den anvendes til kreditrisikoreduktionsteknikker med substitutionsvirkninger på eksponeringen), må ikke overstige eksponeringsværdien.</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Pr>
                <w:rFonts w:ascii="Times New Roman" w:hAnsi="Times New Roman"/>
                <w:sz w:val="24"/>
              </w:rPr>
              <w:lastRenderedPageBreak/>
              <w:t>0040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GARANTIER</w:t>
            </w:r>
          </w:p>
          <w:p w14:paraId="47C4CE12" w14:textId="212FFCD5" w:rsidR="001C7AB7" w:rsidRPr="002A677E" w:rsidRDefault="001C7AB7" w:rsidP="001C7AB7">
            <w:pPr>
              <w:jc w:val="left"/>
              <w:rPr>
                <w:rFonts w:ascii="Times New Roman" w:hAnsi="Times New Roman"/>
                <w:sz w:val="24"/>
              </w:rPr>
            </w:pPr>
            <w:r>
              <w:rPr>
                <w:rFonts w:ascii="Times New Roman" w:hAnsi="Times New Roman"/>
                <w:sz w:val="24"/>
              </w:rPr>
              <w:t>Når egne estimater af LGD ikke anvendes, anføres den justerede værdi (G</w:t>
            </w:r>
            <w:r>
              <w:rPr>
                <w:rFonts w:ascii="Times New Roman" w:hAnsi="Times New Roman"/>
                <w:sz w:val="24"/>
                <w:vertAlign w:val="subscript"/>
              </w:rPr>
              <w:t>A</w:t>
            </w:r>
            <w:r>
              <w:rPr>
                <w:rFonts w:ascii="Times New Roman" w:hAnsi="Times New Roman"/>
                <w:sz w:val="24"/>
              </w:rPr>
              <w:t>) som defineret i artikel 236, stk. 3, i forordning (EU) nr. 575/2013.</w:t>
            </w:r>
          </w:p>
          <w:p w14:paraId="6422623A" w14:textId="4903466E" w:rsidR="001C7AB7" w:rsidRPr="002A677E" w:rsidRDefault="001C7AB7" w:rsidP="001C7AB7">
            <w:pPr>
              <w:jc w:val="left"/>
              <w:rPr>
                <w:rFonts w:ascii="Times New Roman" w:hAnsi="Times New Roman"/>
                <w:sz w:val="24"/>
              </w:rPr>
            </w:pPr>
            <w:r>
              <w:rPr>
                <w:rFonts w:ascii="Times New Roman" w:hAnsi="Times New Roman"/>
                <w:sz w:val="24"/>
              </w:rPr>
              <w:t xml:space="preserve">Når egne estimater af LGD anvendes i overensstemmelse med artikel 183 i forordning (EU) nr. 575/2013 (undtagen stk. 3), indberettes den relevante værdi, der anvendes i den interne model. </w:t>
            </w:r>
          </w:p>
          <w:p w14:paraId="161F352C" w14:textId="77777777" w:rsidR="001C7AB7" w:rsidRPr="002A677E" w:rsidRDefault="001C7AB7" w:rsidP="001C7AB7">
            <w:pPr>
              <w:jc w:val="left"/>
              <w:rPr>
                <w:rFonts w:ascii="Times New Roman" w:hAnsi="Times New Roman"/>
                <w:sz w:val="24"/>
              </w:rPr>
            </w:pPr>
            <w:r>
              <w:rPr>
                <w:rFonts w:ascii="Times New Roman" w:hAnsi="Times New Roman"/>
                <w:sz w:val="24"/>
              </w:rPr>
              <w:t>Garantier indberettes i kolonne 0040, når justering ikke foretages i LGD. Når justering foretages i LGD, indberettes garantibeløbet i kolonne 0150.</w:t>
            </w:r>
          </w:p>
          <w:p w14:paraId="46479441" w14:textId="77777777" w:rsidR="00785F3E" w:rsidRPr="002A677E" w:rsidRDefault="00785F3E" w:rsidP="001C7AB7">
            <w:pPr>
              <w:jc w:val="left"/>
              <w:rPr>
                <w:rFonts w:ascii="Times New Roman" w:hAnsi="Times New Roman"/>
                <w:sz w:val="24"/>
              </w:rPr>
            </w:pPr>
            <w:r>
              <w:rPr>
                <w:rFonts w:ascii="Times New Roman" w:hAnsi="Times New Roman"/>
                <w:sz w:val="24"/>
              </w:rPr>
              <w:t>For så vidt angår eksponeringer, der er underlagt double default-behandling, indberettes værdien af ufinansieret kreditrisikoafdækning i kolonne 0220.</w:t>
            </w: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Pr>
                <w:rFonts w:ascii="Times New Roman" w:hAnsi="Times New Roman"/>
                <w:sz w:val="24"/>
              </w:rPr>
              <w:t>0050</w:t>
            </w:r>
          </w:p>
        </w:tc>
        <w:tc>
          <w:tcPr>
            <w:tcW w:w="8843" w:type="dxa"/>
          </w:tcPr>
          <w:p w14:paraId="5558F369"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KREDITDERIVATER</w:t>
            </w:r>
          </w:p>
          <w:p w14:paraId="507ED484" w14:textId="1DB1C124" w:rsidR="001C7AB7" w:rsidRPr="002A677E" w:rsidRDefault="001C7AB7" w:rsidP="001C7AB7">
            <w:pPr>
              <w:rPr>
                <w:rFonts w:ascii="Times New Roman" w:hAnsi="Times New Roman"/>
                <w:sz w:val="24"/>
              </w:rPr>
            </w:pPr>
            <w:r>
              <w:rPr>
                <w:rFonts w:ascii="Times New Roman" w:hAnsi="Times New Roman"/>
                <w:sz w:val="24"/>
              </w:rPr>
              <w:t>Når egne estimater af LGD ikke anvendes, anføres den justerede værdi (G</w:t>
            </w:r>
            <w:r>
              <w:rPr>
                <w:rFonts w:ascii="Times New Roman" w:hAnsi="Times New Roman"/>
                <w:sz w:val="24"/>
                <w:vertAlign w:val="subscript"/>
              </w:rPr>
              <w:t>A</w:t>
            </w:r>
            <w:r>
              <w:rPr>
                <w:rFonts w:ascii="Times New Roman" w:hAnsi="Times New Roman"/>
                <w:sz w:val="24"/>
              </w:rPr>
              <w:t xml:space="preserve">) som defineret i artikel 236, stk. 3, i forordning (EU) nr. 575/2013. </w:t>
            </w:r>
          </w:p>
          <w:p w14:paraId="2CABAFD6" w14:textId="7B9012EC" w:rsidR="00785F3E" w:rsidRPr="002A677E" w:rsidRDefault="00785F3E" w:rsidP="001C7AB7">
            <w:pPr>
              <w:rPr>
                <w:rFonts w:ascii="Times New Roman" w:hAnsi="Times New Roman"/>
                <w:sz w:val="24"/>
              </w:rPr>
            </w:pPr>
            <w:r>
              <w:rPr>
                <w:rFonts w:ascii="Times New Roman" w:hAnsi="Times New Roman"/>
                <w:sz w:val="24"/>
              </w:rPr>
              <w:t>Når egne estimater af LGD anvendes i overensstemmelse med artikel 183, stk. 3, i forordning (EU) nr. 575/2013, indberettes den relevante værdi, der anvendes i den interne model.</w:t>
            </w:r>
          </w:p>
          <w:p w14:paraId="51855D16" w14:textId="77777777" w:rsidR="001C7AB7" w:rsidRPr="002A677E" w:rsidRDefault="001C7AB7" w:rsidP="001C7AB7">
            <w:pPr>
              <w:rPr>
                <w:rFonts w:ascii="Times New Roman" w:hAnsi="Times New Roman"/>
                <w:sz w:val="24"/>
              </w:rPr>
            </w:pPr>
            <w:r>
              <w:rPr>
                <w:rFonts w:ascii="Times New Roman" w:hAnsi="Times New Roman"/>
                <w:sz w:val="24"/>
              </w:rPr>
              <w:t>Når justering foretages i LGD, indberettes beløbet for kreditderivater i kolonne 0160.</w:t>
            </w:r>
          </w:p>
          <w:p w14:paraId="0451059D" w14:textId="77777777" w:rsidR="001C7AB7" w:rsidRPr="002A677E" w:rsidRDefault="001C7AB7" w:rsidP="00785F3E">
            <w:pPr>
              <w:jc w:val="left"/>
              <w:rPr>
                <w:rFonts w:ascii="Times New Roman" w:hAnsi="Times New Roman"/>
                <w:sz w:val="24"/>
              </w:rPr>
            </w:pPr>
            <w:r>
              <w:rPr>
                <w:rFonts w:ascii="Times New Roman" w:hAnsi="Times New Roman"/>
                <w:sz w:val="24"/>
              </w:rPr>
              <w:t>For så vidt angår eksponeringer, der er underlagt double default-behandling, indberettes værdien af ufinansieret kreditrisikoafdækning i kolonne 0220.</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Pr>
                <w:rFonts w:ascii="Times New Roman" w:hAnsi="Times New Roman"/>
                <w:sz w:val="24"/>
              </w:rPr>
              <w:t>0060</w:t>
            </w:r>
          </w:p>
        </w:tc>
        <w:tc>
          <w:tcPr>
            <w:tcW w:w="8843" w:type="dxa"/>
          </w:tcPr>
          <w:p w14:paraId="66868B6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ANDEN FINANSIERET KREDITRISIKOAFDÆKNING</w:t>
            </w:r>
          </w:p>
          <w:p w14:paraId="529EBDC4" w14:textId="77777777" w:rsidR="00785F3E" w:rsidRPr="002A677E" w:rsidRDefault="00BD6DB9" w:rsidP="001C7AB7">
            <w:pPr>
              <w:rPr>
                <w:rStyle w:val="InstructionsTabelleText"/>
                <w:rFonts w:ascii="Times New Roman" w:hAnsi="Times New Roman"/>
                <w:sz w:val="24"/>
              </w:rPr>
            </w:pPr>
            <w:r>
              <w:rPr>
                <w:rStyle w:val="InstructionsTabelleText"/>
                <w:rFonts w:ascii="Times New Roman" w:hAnsi="Times New Roman"/>
                <w:sz w:val="24"/>
              </w:rPr>
              <w:t>Sikkerhedsstillelse, der har indvirkning på sandsynligheden for misligholdelse af eksponeringen</w:t>
            </w:r>
            <w:r>
              <w:rPr>
                <w:rFonts w:ascii="Times New Roman" w:hAnsi="Times New Roman"/>
                <w:sz w:val="24"/>
              </w:rPr>
              <w:t>, begrænses til værdien af den oprindelige eksponering før anvendelse af konverteringsfaktorer</w:t>
            </w:r>
            <w:r>
              <w:rPr>
                <w:rStyle w:val="InstructionsTabelleText"/>
                <w:rFonts w:ascii="Times New Roman" w:hAnsi="Times New Roman"/>
                <w:sz w:val="24"/>
              </w:rPr>
              <w:t>.</w:t>
            </w:r>
          </w:p>
          <w:p w14:paraId="2EE2EFC1" w14:textId="6132F054" w:rsidR="001C7AB7" w:rsidRPr="002A677E" w:rsidRDefault="001C7AB7" w:rsidP="001C7AB7">
            <w:pPr>
              <w:rPr>
                <w:rStyle w:val="InstructionsTabelleText"/>
                <w:rFonts w:ascii="Times New Roman" w:hAnsi="Times New Roman"/>
                <w:sz w:val="24"/>
              </w:rPr>
            </w:pPr>
            <w:r>
              <w:rPr>
                <w:rFonts w:ascii="Times New Roman" w:hAnsi="Times New Roman"/>
                <w:sz w:val="24"/>
              </w:rPr>
              <w:t>Når egne estimater af LGD ikke anvendes, finder artikel 232 i forordning (EU) nr. 575/2013 anvendelse.</w:t>
            </w:r>
          </w:p>
          <w:p w14:paraId="53149A00"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Når egne estimater af LGD anvendes, indberettes de kreditrisikoreduktionsteknikker, der har en virkning på PD. Den relevante nominelle værdi eller markedsværdi indberettes.</w:t>
            </w:r>
          </w:p>
          <w:p w14:paraId="5864D880" w14:textId="77777777" w:rsidR="001C7AB7" w:rsidRPr="002A677E" w:rsidRDefault="001C7AB7" w:rsidP="00A94F5F">
            <w:pPr>
              <w:rPr>
                <w:rFonts w:ascii="Times New Roman" w:hAnsi="Times New Roman"/>
                <w:sz w:val="24"/>
              </w:rPr>
            </w:pPr>
            <w:r>
              <w:rPr>
                <w:rStyle w:val="InstructionsTabelleText"/>
                <w:rFonts w:ascii="Times New Roman" w:hAnsi="Times New Roman"/>
                <w:sz w:val="24"/>
              </w:rPr>
              <w:t>Når justering foretages i LGD, indberettes dette beløb i kolonne 170.</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Pr>
                <w:rFonts w:ascii="Times New Roman" w:hAnsi="Times New Roman"/>
                <w:sz w:val="24"/>
              </w:rPr>
              <w:t>0070-0080</w:t>
            </w:r>
          </w:p>
        </w:tc>
        <w:tc>
          <w:tcPr>
            <w:tcW w:w="8843" w:type="dxa"/>
          </w:tcPr>
          <w:p w14:paraId="12FB2112"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SUBSTITUTION AF EKSPONERING SOM FØLGE AF KREDITRISIKOREDUKTIONSTEKNIKKER</w:t>
            </w:r>
          </w:p>
          <w:p w14:paraId="47306796" w14:textId="77777777" w:rsidR="001C7AB7" w:rsidRPr="002A677E" w:rsidRDefault="001C7AB7" w:rsidP="001C7AB7">
            <w:pPr>
              <w:rPr>
                <w:rFonts w:ascii="Times New Roman" w:hAnsi="Times New Roman"/>
                <w:sz w:val="24"/>
              </w:rPr>
            </w:pPr>
            <w:r>
              <w:rPr>
                <w:rFonts w:ascii="Times New Roman" w:hAnsi="Times New Roman"/>
                <w:sz w:val="24"/>
              </w:rPr>
              <w:t>Udgående pengestrømme svarer til den dækkede del af den oprindelige eksponering før anvendelse af konverteringsfaktorer, som fratrækkes låntagerens eksponeringsklasse samt låntagerklassen eller -puljen, hvis det er relevant, og efterfølgende tildeles garantistillerens eksponeringsklasse samt låntagerklassen eller -puljen, hvis det er relevant. Det beløb betragtes som en indgående pengestrøm i garantistillerens eksponeringsklasse og i låntagerklassen eller -puljen, hvis det er relevant.</w:t>
            </w:r>
          </w:p>
          <w:p w14:paraId="2702BA3D" w14:textId="77777777" w:rsidR="001C7AB7" w:rsidRPr="002A677E" w:rsidRDefault="001C7AB7" w:rsidP="001C7AB7">
            <w:pPr>
              <w:rPr>
                <w:rFonts w:ascii="Times New Roman" w:hAnsi="Times New Roman"/>
                <w:b/>
                <w:sz w:val="24"/>
              </w:rPr>
            </w:pPr>
            <w:r>
              <w:rPr>
                <w:rFonts w:ascii="Times New Roman" w:hAnsi="Times New Roman"/>
                <w:sz w:val="24"/>
              </w:rPr>
              <w:t>Indgående og udgående pengestrømme i samme eksponeringsklasser samt låntagerklasser eller -puljer, hvis det er relevant, tages også i betragtning.</w:t>
            </w:r>
          </w:p>
          <w:p w14:paraId="2EAF7A59" w14:textId="77777777" w:rsidR="001C7AB7" w:rsidRPr="002A677E" w:rsidRDefault="001C7AB7" w:rsidP="001C7AB7">
            <w:pPr>
              <w:rPr>
                <w:rFonts w:ascii="Times New Roman" w:hAnsi="Times New Roman"/>
                <w:sz w:val="24"/>
              </w:rPr>
            </w:pPr>
            <w:r>
              <w:rPr>
                <w:rFonts w:ascii="Times New Roman" w:hAnsi="Times New Roman"/>
                <w:sz w:val="24"/>
              </w:rPr>
              <w:lastRenderedPageBreak/>
              <w:t>Eksponeringer, der opstår i forbindelse med indgående og udgående pengestrømme fra og til andre skemaer, skal også medregnes.</w:t>
            </w:r>
          </w:p>
          <w:p w14:paraId="1CF5670D" w14:textId="7A3AA572" w:rsidR="006C35BA" w:rsidRPr="002A677E" w:rsidRDefault="006C35BA" w:rsidP="009A4399">
            <w:pPr>
              <w:rPr>
                <w:rFonts w:ascii="Times New Roman" w:hAnsi="Times New Roman"/>
                <w:sz w:val="24"/>
              </w:rPr>
            </w:pPr>
            <w:r>
              <w:rPr>
                <w:rFonts w:ascii="Times New Roman" w:hAnsi="Times New Roman"/>
                <w:sz w:val="24"/>
              </w:rPr>
              <w:t>Disse kolonner må kun anvendes, hvis institutterne har fået tilladelse af deres kompetente myndighed til at behandle disse sikrede eksponeringer ved en permanent delvis anvendelse af standardmetoden i overensstemmelse med artikel 150 i forordning (EU) nr. 575/2013 eller klassificere eksponeringer i eksponeringsklasser i overensstemmelse med garantistillerens karakteristika.</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Pr>
                <w:rFonts w:ascii="Times New Roman" w:hAnsi="Times New Roman"/>
                <w:sz w:val="24"/>
              </w:rPr>
              <w:lastRenderedPageBreak/>
              <w:t>0090</w:t>
            </w:r>
          </w:p>
        </w:tc>
        <w:tc>
          <w:tcPr>
            <w:tcW w:w="8843" w:type="dxa"/>
          </w:tcPr>
          <w:p w14:paraId="6505BD0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EKSPONERING EFTER SUBSTITUTIONSVIRKNINGER AF KREDITRISIKOREDUKTIONSTEKNIKKER FØR ANVENDELSE AF KONVERTERINGSFAKTORER</w:t>
            </w:r>
          </w:p>
          <w:p w14:paraId="2832BD0C" w14:textId="77777777" w:rsidR="001C7AB7" w:rsidRPr="002A677E" w:rsidRDefault="001C7AB7" w:rsidP="001C7AB7">
            <w:pPr>
              <w:rPr>
                <w:rFonts w:ascii="Times New Roman" w:hAnsi="Times New Roman"/>
                <w:sz w:val="24"/>
              </w:rPr>
            </w:pPr>
            <w:r>
              <w:rPr>
                <w:rFonts w:ascii="Times New Roman" w:hAnsi="Times New Roman"/>
                <w:sz w:val="24"/>
              </w:rPr>
              <w:t>Eksponering tildelt den tilsvarende låntagerklasse eller -pulje og eksponeringsklasse efter hensyntagen til de ind- og udgående pengestrømme, der følger af kreditrisikoreduktionsteknikker med substitutionsvirkning på eksponeringen.</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Pr>
                <w:rFonts w:ascii="Times New Roman" w:hAnsi="Times New Roman"/>
                <w:sz w:val="24"/>
              </w:rPr>
              <w:t>0100, 0120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Heraf: Ikkebalanceførte poster </w:t>
            </w:r>
          </w:p>
          <w:p w14:paraId="6C35CF48" w14:textId="77777777" w:rsidR="001C7AB7" w:rsidRPr="002A677E" w:rsidRDefault="001C7AB7" w:rsidP="001C7AB7">
            <w:pPr>
              <w:rPr>
                <w:rFonts w:ascii="Times New Roman" w:hAnsi="Times New Roman"/>
                <w:sz w:val="24"/>
              </w:rPr>
            </w:pPr>
            <w:r>
              <w:rPr>
                <w:rFonts w:ascii="Times New Roman" w:hAnsi="Times New Roman"/>
                <w:sz w:val="24"/>
              </w:rPr>
              <w:t>Se instrukserne til CR SA.</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Pr>
                <w:rFonts w:ascii="Times New Roman" w:hAnsi="Times New Roman"/>
                <w:sz w:val="24"/>
              </w:rPr>
              <w:t>0110</w:t>
            </w:r>
          </w:p>
        </w:tc>
        <w:tc>
          <w:tcPr>
            <w:tcW w:w="8843" w:type="dxa"/>
          </w:tcPr>
          <w:p w14:paraId="370EF49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EKSPONERINGSVÆRDI</w:t>
            </w:r>
          </w:p>
          <w:p w14:paraId="53CB4935" w14:textId="55E582E8" w:rsidR="001C7AB7" w:rsidRPr="002A677E" w:rsidRDefault="001C7AB7" w:rsidP="001C7AB7">
            <w:pPr>
              <w:rPr>
                <w:rFonts w:ascii="Times New Roman" w:hAnsi="Times New Roman"/>
                <w:sz w:val="24"/>
              </w:rPr>
            </w:pPr>
            <w:r>
              <w:rPr>
                <w:rFonts w:ascii="Times New Roman" w:hAnsi="Times New Roman"/>
                <w:sz w:val="24"/>
              </w:rPr>
              <w:t>Eksponeringsværdierne som fastsat i henhold til artikel 166 i forordning (EU) nr. 575/2013og artikel 230, stk. 1, andet punktum, i nævnte forordning indberettes.</w:t>
            </w:r>
          </w:p>
          <w:p w14:paraId="38C4611A" w14:textId="05973175" w:rsidR="001C7AB7" w:rsidRPr="002A677E" w:rsidRDefault="001C7AB7" w:rsidP="001C7AB7">
            <w:pPr>
              <w:rPr>
                <w:rFonts w:ascii="Times New Roman" w:hAnsi="Times New Roman"/>
                <w:sz w:val="24"/>
              </w:rPr>
            </w:pPr>
            <w:r>
              <w:rPr>
                <w:rFonts w:ascii="Times New Roman" w:hAnsi="Times New Roman"/>
                <w:sz w:val="24"/>
              </w:rPr>
              <w:t>For instrumenter omhandlet i bilag I anvendes kreditkonverteringsfaktorer og procentsatser i henhold til artikel 166, stk. 8, 9 og 10, i forordning (EU) nr. 575/2013, uanset hvilken metode instituttet har valgt.</w:t>
            </w:r>
          </w:p>
          <w:p w14:paraId="60CDFD08" w14:textId="77777777" w:rsidR="001C7AB7" w:rsidRPr="002A677E" w:rsidRDefault="008D24A6" w:rsidP="00BD6DB9">
            <w:pPr>
              <w:rPr>
                <w:rFonts w:ascii="Times New Roman" w:hAnsi="Times New Roman"/>
                <w:sz w:val="24"/>
              </w:rPr>
            </w:pPr>
            <w:r>
              <w:rPr>
                <w:rFonts w:ascii="Times New Roman" w:hAnsi="Times New Roman"/>
                <w:sz w:val="24"/>
              </w:rPr>
              <w:t>Eksponeringsværdierne for CCR-relateret forretningsaktivitet skal være de samme som indberettet i kolonne 0130.</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Pr>
                <w:rFonts w:ascii="Times New Roman" w:hAnsi="Times New Roman"/>
                <w:sz w:val="24"/>
              </w:rPr>
              <w:t>0130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Heraf: Som opstår i forbindelse med modpartsrisiko </w:t>
            </w:r>
          </w:p>
          <w:p w14:paraId="50E90EFC" w14:textId="77777777" w:rsidR="001C7AB7" w:rsidRPr="002A677E" w:rsidRDefault="001C7AB7" w:rsidP="00FD6CCB">
            <w:pPr>
              <w:rPr>
                <w:rFonts w:ascii="Times New Roman" w:hAnsi="Times New Roman"/>
                <w:sz w:val="24"/>
              </w:rPr>
            </w:pPr>
            <w:r>
              <w:rPr>
                <w:rFonts w:ascii="Times New Roman" w:hAnsi="Times New Roman"/>
                <w:sz w:val="24"/>
              </w:rPr>
              <w:t>Se de tilsvarende instrukser til CR SA i kolonne 0210.</w:t>
            </w:r>
            <w:r>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Pr>
                <w:rFonts w:ascii="Times New Roman" w:hAnsi="Times New Roman"/>
                <w:sz w:val="24"/>
              </w:rPr>
              <w:t>0140</w:t>
            </w:r>
          </w:p>
        </w:tc>
        <w:tc>
          <w:tcPr>
            <w:tcW w:w="8843" w:type="dxa"/>
          </w:tcPr>
          <w:p w14:paraId="1FCD27A1"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HERAF: STORE ENHEDER I DEN FINANSIELLE SEKTOR OG UREGULEREDE FINANSIELLE ENHEDER</w:t>
            </w:r>
          </w:p>
          <w:p w14:paraId="1C760051" w14:textId="72807863" w:rsidR="001C7AB7" w:rsidRPr="002A677E" w:rsidRDefault="001C7AB7" w:rsidP="00F34382">
            <w:pPr>
              <w:rPr>
                <w:rFonts w:ascii="Times New Roman" w:hAnsi="Times New Roman"/>
                <w:b/>
                <w:sz w:val="24"/>
                <w:u w:val="single"/>
              </w:rPr>
            </w:pPr>
            <w:r>
              <w:rPr>
                <w:rFonts w:ascii="Times New Roman" w:hAnsi="Times New Roman"/>
                <w:sz w:val="24"/>
              </w:rPr>
              <w:t>Opdeling af eksponeringsværdien for alle eksponeringer mod enheder omhandlet i artikel 142, stk. 1, nr. 4) og 5), i forordning (EU) nr. 575/2013, der er omfattet af den højeste korrelationskoefficient fastsat i overensstemmelse med artikel 153, stk. 2, i nævnte forordning.</w:t>
            </w:r>
          </w:p>
        </w:tc>
      </w:tr>
      <w:tr w:rsidR="001C7AB7" w:rsidRPr="002A677E" w14:paraId="50849C24" w14:textId="77777777" w:rsidTr="00672D2A">
        <w:trPr>
          <w:trHeight w:val="2109"/>
        </w:trPr>
        <w:tc>
          <w:tcPr>
            <w:tcW w:w="1188" w:type="dxa"/>
          </w:tcPr>
          <w:p w14:paraId="19F289D8" w14:textId="77777777" w:rsidR="001C7AB7" w:rsidRPr="002A677E" w:rsidDel="001D4BE0" w:rsidRDefault="00FF15C6" w:rsidP="001C7AB7">
            <w:pPr>
              <w:rPr>
                <w:rFonts w:ascii="Times New Roman" w:hAnsi="Times New Roman"/>
                <w:sz w:val="24"/>
              </w:rPr>
            </w:pPr>
            <w:r>
              <w:rPr>
                <w:rFonts w:ascii="Times New Roman" w:hAnsi="Times New Roman"/>
                <w:sz w:val="24"/>
              </w:rPr>
              <w:t>0150-0210</w:t>
            </w:r>
          </w:p>
        </w:tc>
        <w:tc>
          <w:tcPr>
            <w:tcW w:w="8843" w:type="dxa"/>
          </w:tcPr>
          <w:p w14:paraId="089ED227"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KREDITRISIKOREDUKTIONSTEKNIKKER, DER INDGÅR I LGD-ESTIMATER, EKSKL. DOUBLE DEFAULT-BEHANDLING</w:t>
            </w:r>
          </w:p>
          <w:p w14:paraId="4FF0DBDD" w14:textId="5588DE12" w:rsidR="001C7AB7" w:rsidRDefault="001C7AB7" w:rsidP="001C7AB7">
            <w:pPr>
              <w:rPr>
                <w:rFonts w:ascii="Times New Roman" w:hAnsi="Times New Roman"/>
                <w:sz w:val="24"/>
              </w:rPr>
            </w:pPr>
            <w:r>
              <w:rPr>
                <w:rFonts w:ascii="Times New Roman" w:hAnsi="Times New Roman"/>
                <w:sz w:val="24"/>
              </w:rPr>
              <w:t>Kreditrisikoreduktionsteknikker, der påvirker LGD-estimater som følge af anvendelsen af substitutionsvirkningen af kreditrisikoreduktionsteknikker, indberettes ikke i disse kolonner.</w:t>
            </w:r>
          </w:p>
          <w:p w14:paraId="7EBC4781" w14:textId="1CF04A4B" w:rsidR="004D4BDB" w:rsidRPr="002A677E" w:rsidRDefault="004D4BDB" w:rsidP="001C7AB7">
            <w:pPr>
              <w:rPr>
                <w:rFonts w:ascii="Times New Roman" w:hAnsi="Times New Roman"/>
                <w:sz w:val="24"/>
              </w:rPr>
            </w:pPr>
            <w:r>
              <w:rPr>
                <w:rFonts w:ascii="Times New Roman" w:hAnsi="Times New Roman"/>
                <w:sz w:val="24"/>
              </w:rPr>
              <w:t>Værdien af den sikkerhed, der indberettes, begrænses til eksponeringsværdien.</w:t>
            </w:r>
          </w:p>
          <w:p w14:paraId="662F81E1" w14:textId="700B78EC" w:rsidR="001C7AB7" w:rsidRPr="002A677E" w:rsidRDefault="00C61FF5" w:rsidP="001C7AB7">
            <w:pPr>
              <w:rPr>
                <w:rFonts w:ascii="Times New Roman" w:hAnsi="Times New Roman"/>
                <w:sz w:val="24"/>
              </w:rPr>
            </w:pPr>
            <w:r>
              <w:rPr>
                <w:rFonts w:ascii="Times New Roman" w:hAnsi="Times New Roman"/>
                <w:sz w:val="24"/>
              </w:rPr>
              <w:t>Når egne estimater af LGD ikke anvendes, tages der hensyn til artikel 228, stk. 2, artikel 230, stk. 1 og 2, og artikel 231 i forordning (EU) nr. 575/2013.</w:t>
            </w:r>
          </w:p>
          <w:p w14:paraId="47967159" w14:textId="77777777" w:rsidR="001C7AB7" w:rsidRPr="002A677E" w:rsidRDefault="00C61FF5" w:rsidP="001C7AB7">
            <w:pPr>
              <w:rPr>
                <w:rFonts w:ascii="Times New Roman" w:hAnsi="Times New Roman"/>
                <w:sz w:val="24"/>
              </w:rPr>
            </w:pPr>
            <w:r>
              <w:rPr>
                <w:rFonts w:ascii="Times New Roman" w:hAnsi="Times New Roman"/>
                <w:sz w:val="24"/>
              </w:rPr>
              <w:lastRenderedPageBreak/>
              <w:t xml:space="preserve">Når egne estimater af LGD anvendes: </w:t>
            </w:r>
          </w:p>
          <w:p w14:paraId="718750A6" w14:textId="21523390" w:rsidR="001C7AB7" w:rsidRPr="002A677E" w:rsidRDefault="001C7AB7" w:rsidP="001C7AB7">
            <w:pPr>
              <w:rPr>
                <w:rFonts w:ascii="Times New Roman" w:hAnsi="Times New Roman"/>
                <w:sz w:val="24"/>
              </w:rPr>
            </w:pPr>
            <w:r>
              <w:rPr>
                <w:rFonts w:ascii="Times New Roman" w:hAnsi="Times New Roman"/>
                <w:sz w:val="24"/>
              </w:rPr>
              <w:t>— For så vidt angår ufinansieret kreditrisikoafdækning, for eksponeringer mod centralregeringer og centralbanker, institutter og selskaber, tages der hensyn til artikel 161, stk. 3, i forordning (EU) nr. 575/2013. For detaileksponeringer tages der hensyn til artikel 164, stk. 2, i forordning (EU) nr. 575/2013.</w:t>
            </w:r>
          </w:p>
          <w:p w14:paraId="6F2DF107" w14:textId="45975CA2" w:rsidR="001C7AB7" w:rsidRPr="002A677E" w:rsidRDefault="001C7AB7" w:rsidP="007968EE">
            <w:pPr>
              <w:rPr>
                <w:rFonts w:ascii="Times New Roman" w:hAnsi="Times New Roman"/>
                <w:b/>
                <w:sz w:val="24"/>
                <w:u w:val="single"/>
              </w:rPr>
            </w:pPr>
            <w:r>
              <w:rPr>
                <w:rFonts w:ascii="Times New Roman" w:hAnsi="Times New Roman"/>
                <w:sz w:val="24"/>
              </w:rPr>
              <w:t>— For så vidt angår finansieret kreditrisikoafdækning, indregnes sikkerhedsstillelsen i LGD-estimaterne i henhold til artikel 181, stk. 1, litra e) og f), i forordning (EU) nr. 575/2013.</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Pr>
                <w:rFonts w:ascii="Times New Roman" w:hAnsi="Times New Roman"/>
                <w:sz w:val="24"/>
              </w:rPr>
              <w:lastRenderedPageBreak/>
              <w:t>0150</w:t>
            </w:r>
          </w:p>
        </w:tc>
        <w:tc>
          <w:tcPr>
            <w:tcW w:w="8843" w:type="dxa"/>
          </w:tcPr>
          <w:p w14:paraId="2CC4633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GARANTIER </w:t>
            </w:r>
          </w:p>
          <w:p w14:paraId="051EE4B7" w14:textId="77777777" w:rsidR="001C7AB7" w:rsidRPr="002A677E" w:rsidRDefault="001C7AB7" w:rsidP="001C7AB7">
            <w:pPr>
              <w:jc w:val="left"/>
              <w:rPr>
                <w:rFonts w:ascii="Times New Roman" w:hAnsi="Times New Roman"/>
                <w:b/>
                <w:sz w:val="24"/>
                <w:u w:val="single"/>
              </w:rPr>
            </w:pPr>
            <w:r>
              <w:rPr>
                <w:rFonts w:ascii="Times New Roman" w:hAnsi="Times New Roman"/>
                <w:sz w:val="24"/>
              </w:rPr>
              <w:t>Se instrukser til kolonne 0040.</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Pr>
                <w:rFonts w:ascii="Times New Roman" w:hAnsi="Times New Roman"/>
                <w:sz w:val="24"/>
              </w:rPr>
              <w:t>0160</w:t>
            </w:r>
          </w:p>
        </w:tc>
        <w:tc>
          <w:tcPr>
            <w:tcW w:w="8843" w:type="dxa"/>
          </w:tcPr>
          <w:p w14:paraId="04EA83C0"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KREDITDERIVATER </w:t>
            </w:r>
          </w:p>
          <w:p w14:paraId="33CD18C5" w14:textId="77777777" w:rsidR="001C7AB7" w:rsidRPr="002A677E" w:rsidRDefault="001C7AB7" w:rsidP="001C7AB7">
            <w:pPr>
              <w:rPr>
                <w:rFonts w:ascii="Times New Roman" w:hAnsi="Times New Roman"/>
                <w:sz w:val="24"/>
              </w:rPr>
            </w:pPr>
            <w:r>
              <w:rPr>
                <w:rFonts w:ascii="Times New Roman" w:hAnsi="Times New Roman"/>
                <w:sz w:val="24"/>
              </w:rPr>
              <w:t>Se instrukser til kolonne 0050.</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Pr>
                <w:rFonts w:ascii="Times New Roman" w:hAnsi="Times New Roman"/>
                <w:sz w:val="24"/>
              </w:rPr>
              <w:t>0170</w:t>
            </w:r>
          </w:p>
        </w:tc>
        <w:tc>
          <w:tcPr>
            <w:tcW w:w="8843" w:type="dxa"/>
          </w:tcPr>
          <w:p w14:paraId="1DA593DA"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EGNE ESTIMATER AF LGD ANVENDES: ANDEN FINANSIERET KREDITRISIKOAFDÆKNING </w:t>
            </w:r>
          </w:p>
          <w:p w14:paraId="7425CC1D"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Den relevante værdi anvendt i instituttets interne model.</w:t>
            </w:r>
          </w:p>
          <w:p w14:paraId="69145E08" w14:textId="29EC712F" w:rsidR="001C7AB7" w:rsidRPr="002A677E" w:rsidRDefault="001C7AB7" w:rsidP="00255BA9">
            <w:pPr>
              <w:rPr>
                <w:rFonts w:ascii="Times New Roman" w:hAnsi="Times New Roman"/>
                <w:sz w:val="24"/>
              </w:rPr>
            </w:pPr>
            <w:r>
              <w:rPr>
                <w:rFonts w:ascii="Times New Roman" w:hAnsi="Times New Roman"/>
                <w:sz w:val="24"/>
              </w:rPr>
              <w:t xml:space="preserve">De foranstaltninger til kreditrisikoreduktion, der opfylder kriterierne i artikel 212 i forordning (EU) nr. 575/2013.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Pr>
                <w:rFonts w:ascii="Times New Roman" w:hAnsi="Times New Roman"/>
                <w:sz w:val="24"/>
              </w:rPr>
              <w:t>0171</w:t>
            </w:r>
          </w:p>
        </w:tc>
        <w:tc>
          <w:tcPr>
            <w:tcW w:w="8843" w:type="dxa"/>
          </w:tcPr>
          <w:p w14:paraId="0B3B3DD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INDSKUD I KONTANTER</w:t>
            </w:r>
          </w:p>
          <w:p w14:paraId="7AC0BF31" w14:textId="254D19B9" w:rsidR="00B85B8C" w:rsidRPr="002A677E" w:rsidRDefault="008D24A6" w:rsidP="008D24A6">
            <w:pPr>
              <w:rPr>
                <w:rFonts w:ascii="Times New Roman" w:hAnsi="Times New Roman"/>
                <w:sz w:val="24"/>
              </w:rPr>
            </w:pPr>
            <w:r>
              <w:rPr>
                <w:rFonts w:ascii="Times New Roman" w:hAnsi="Times New Roman"/>
                <w:sz w:val="24"/>
              </w:rPr>
              <w:t xml:space="preserve">Artikel 200, litra a), i forordning (EU) nr. 575/2013 </w:t>
            </w:r>
          </w:p>
          <w:p w14:paraId="4F73A353" w14:textId="77777777" w:rsidR="008D24A6" w:rsidRPr="002A677E" w:rsidRDefault="008D24A6" w:rsidP="008D24A6">
            <w:pPr>
              <w:rPr>
                <w:rFonts w:ascii="Times New Roman" w:hAnsi="Times New Roman"/>
                <w:b/>
                <w:sz w:val="24"/>
                <w:u w:val="single"/>
              </w:rPr>
            </w:pPr>
            <w:r>
              <w:rPr>
                <w:rFonts w:ascii="Times New Roman" w:hAnsi="Times New Roman"/>
                <w:sz w:val="24"/>
              </w:rPr>
              <w:t>Indskud i kontanter eller kontantlignende instrumenter, som er placeret i et tredjepartsinstitut, uden at der foreligger en depotaftale, og som er pantsat til det långivende institut Værdien af den sikkerhed, der indberettes, begrænses til eksponeringsværdien for den enkelte eksponering.</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Pr>
                <w:rFonts w:ascii="Times New Roman" w:hAnsi="Times New Roman"/>
                <w:sz w:val="24"/>
              </w:rPr>
              <w:t>0172</w:t>
            </w:r>
          </w:p>
        </w:tc>
        <w:tc>
          <w:tcPr>
            <w:tcW w:w="8843" w:type="dxa"/>
          </w:tcPr>
          <w:p w14:paraId="576F146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LIVSFORSIKRINGSPOLICER</w:t>
            </w:r>
          </w:p>
          <w:p w14:paraId="5B6FD91D" w14:textId="1FA1BAAD" w:rsidR="00B85B8C" w:rsidRPr="002A677E" w:rsidRDefault="007968EE" w:rsidP="008D24A6">
            <w:pPr>
              <w:rPr>
                <w:rFonts w:ascii="Times New Roman" w:hAnsi="Times New Roman"/>
                <w:sz w:val="24"/>
              </w:rPr>
            </w:pPr>
            <w:r>
              <w:rPr>
                <w:rFonts w:ascii="Times New Roman" w:hAnsi="Times New Roman"/>
                <w:sz w:val="24"/>
              </w:rPr>
              <w:t xml:space="preserve">Artikel 200, litra b), i forordning (EU) nr. 575/2013 </w:t>
            </w:r>
          </w:p>
          <w:p w14:paraId="6CE911DD" w14:textId="77777777" w:rsidR="008D24A6" w:rsidRPr="002A677E" w:rsidRDefault="008D24A6" w:rsidP="008D24A6">
            <w:pPr>
              <w:rPr>
                <w:rFonts w:ascii="Times New Roman" w:hAnsi="Times New Roman"/>
                <w:b/>
                <w:sz w:val="24"/>
                <w:u w:val="single"/>
              </w:rPr>
            </w:pPr>
            <w:r>
              <w:rPr>
                <w:rFonts w:ascii="Times New Roman" w:hAnsi="Times New Roman"/>
                <w:sz w:val="24"/>
              </w:rPr>
              <w:t>Værdien af den sikkerhed, der indberettes, begrænses til eksponeringsværdien for den enkelte eksponering.</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Pr>
                <w:rFonts w:ascii="Times New Roman" w:hAnsi="Times New Roman"/>
                <w:sz w:val="24"/>
              </w:rPr>
              <w:t>0173</w:t>
            </w:r>
          </w:p>
        </w:tc>
        <w:tc>
          <w:tcPr>
            <w:tcW w:w="8843" w:type="dxa"/>
          </w:tcPr>
          <w:p w14:paraId="665EFC9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INSTRUMENTER, SOM BESIDDES AF TREDJEPART</w:t>
            </w:r>
          </w:p>
          <w:p w14:paraId="650D8F83" w14:textId="1A8343C9" w:rsidR="00B85B8C" w:rsidRPr="002A677E" w:rsidRDefault="007968EE" w:rsidP="00F66371">
            <w:pPr>
              <w:rPr>
                <w:rFonts w:ascii="Times New Roman" w:hAnsi="Times New Roman"/>
                <w:sz w:val="24"/>
              </w:rPr>
            </w:pPr>
            <w:r>
              <w:rPr>
                <w:rFonts w:ascii="Times New Roman" w:hAnsi="Times New Roman"/>
                <w:sz w:val="24"/>
              </w:rPr>
              <w:t xml:space="preserve">Artikel 200, litra c), i forordning (EU) nr. 575/2013 </w:t>
            </w:r>
          </w:p>
          <w:p w14:paraId="54478030" w14:textId="5EB06B67" w:rsidR="008D24A6" w:rsidRPr="002A677E" w:rsidRDefault="008D24A6" w:rsidP="00F34382">
            <w:pPr>
              <w:rPr>
                <w:rFonts w:ascii="Times New Roman" w:hAnsi="Times New Roman"/>
                <w:b/>
                <w:sz w:val="24"/>
                <w:u w:val="single"/>
              </w:rPr>
            </w:pPr>
            <w:r>
              <w:rPr>
                <w:rFonts w:ascii="Times New Roman" w:hAnsi="Times New Roman"/>
                <w:sz w:val="24"/>
              </w:rPr>
              <w:t>Det omfatter instrumenter, som er udstedt af et tredjepartsinstitut, og som på anmodning købes tilbage af dette institut. Værdien af den sikkerhed, der indberettes, begrænses til eksponeringsværdien for den enkelte eksponering. Denne kolonne udelukker de eksponeringer, der er omfattet af instrumenter, som besiddes af en tredjepart, hvis institutter i overensstemmelse med artikel 232, stk. 4, i forordning (EU) nr. 575/2013 behandler instrumenter, som på anmodning købes tilbage og er anerkendt i henhold til artikel 200, litra c), i nævnte forordning, som en garanti fra den udstedende institution.</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Pr>
                <w:rFonts w:ascii="Times New Roman" w:hAnsi="Times New Roman"/>
                <w:sz w:val="24"/>
              </w:rPr>
              <w:t>0180</w:t>
            </w:r>
          </w:p>
        </w:tc>
        <w:tc>
          <w:tcPr>
            <w:tcW w:w="8843" w:type="dxa"/>
          </w:tcPr>
          <w:p w14:paraId="042893C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ANERKENDT FINANSIEL SIKKERHED</w:t>
            </w:r>
          </w:p>
          <w:p w14:paraId="23BB1AF5" w14:textId="5AC997A1" w:rsidR="008D24A6" w:rsidRPr="002A677E" w:rsidRDefault="008D24A6" w:rsidP="008D24A6">
            <w:pPr>
              <w:rPr>
                <w:rFonts w:ascii="Times New Roman" w:hAnsi="Times New Roman"/>
                <w:sz w:val="24"/>
              </w:rPr>
            </w:pPr>
            <w:r>
              <w:rPr>
                <w:rFonts w:ascii="Times New Roman" w:hAnsi="Times New Roman"/>
                <w:sz w:val="24"/>
              </w:rPr>
              <w:lastRenderedPageBreak/>
              <w:t>Ved transaktioner i handelsbeholdningen er finansielle instrumenter og råvarer, der kan indgå som eksponeringer i handelsbeholdningen i henhold til artikel 299, stk. 2, litra c) til f), i forordning (EU) nr. 575/2013, omfattet. Credit linked notes og balanceført netting i henhold til tredje del, afsnit II, kapitel 4, afdeling 4, i forordning (EU) nr. 575/2013 behandles som kontant sikkerhed.</w:t>
            </w:r>
          </w:p>
          <w:p w14:paraId="5C05E9AA" w14:textId="279E5F64" w:rsidR="008D24A6" w:rsidRPr="002A677E" w:rsidRDefault="008D24A6" w:rsidP="008D24A6">
            <w:pPr>
              <w:rPr>
                <w:rFonts w:ascii="Times New Roman" w:hAnsi="Times New Roman"/>
                <w:sz w:val="24"/>
              </w:rPr>
            </w:pPr>
            <w:r>
              <w:rPr>
                <w:rFonts w:ascii="Times New Roman" w:hAnsi="Times New Roman"/>
                <w:sz w:val="24"/>
              </w:rPr>
              <w:t>Når der ikke anvendes egne estimater af LGD for anerkendt finansiel sikkerhedsstillelse i overensstemmelse med artikel 197 i forordning (EU) nr. 575/2013, indberettes den justerede værdi (Cvam) som omhandlet i artikel 223, stk. 2, i nævnte forordning.</w:t>
            </w:r>
          </w:p>
          <w:p w14:paraId="69E21598" w14:textId="02CAE118" w:rsidR="008D24A6" w:rsidRPr="002A677E" w:rsidRDefault="008D24A6" w:rsidP="007968EE">
            <w:pPr>
              <w:rPr>
                <w:rFonts w:ascii="Times New Roman" w:hAnsi="Times New Roman"/>
                <w:b/>
                <w:sz w:val="24"/>
                <w:u w:val="single"/>
              </w:rPr>
            </w:pPr>
            <w:r>
              <w:rPr>
                <w:rFonts w:ascii="Times New Roman" w:hAnsi="Times New Roman"/>
                <w:sz w:val="24"/>
              </w:rPr>
              <w:t>Når egne estimater af LGD anvendes, indregnes den finansielle sikkerhedsstillelse i LGD-estimaterne i henhold til artikel 181, stk. 1, litra e) og f), i forordning (EU) nr. 575/2013. Det indberettede beløb skal være den estimerede markedsværdi af sikkerheden.</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Pr>
                <w:rFonts w:ascii="Times New Roman" w:hAnsi="Times New Roman"/>
                <w:sz w:val="24"/>
              </w:rPr>
              <w:lastRenderedPageBreak/>
              <w:t>0190-0210</w:t>
            </w:r>
          </w:p>
        </w:tc>
        <w:tc>
          <w:tcPr>
            <w:tcW w:w="8843" w:type="dxa"/>
          </w:tcPr>
          <w:p w14:paraId="0046DD10"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ANDEN ANERKENDT SIKKERHED</w:t>
            </w:r>
          </w:p>
          <w:p w14:paraId="399B667C" w14:textId="61D58B7E" w:rsidR="008D24A6" w:rsidRPr="002A677E" w:rsidRDefault="008D24A6" w:rsidP="008D24A6">
            <w:pPr>
              <w:rPr>
                <w:rFonts w:ascii="Times New Roman" w:hAnsi="Times New Roman"/>
                <w:sz w:val="24"/>
              </w:rPr>
            </w:pPr>
            <w:r>
              <w:rPr>
                <w:rFonts w:ascii="Times New Roman" w:hAnsi="Times New Roman"/>
                <w:sz w:val="24"/>
              </w:rPr>
              <w:t>Når egne estimater af LGD ikke anvendes, fastsættes værdier i henhold til artikel 199, stk. 1 til 8, i forordning (EU) nr. 575/2013og artikel 229 i nævnte forordning.</w:t>
            </w:r>
          </w:p>
          <w:p w14:paraId="19B77B51" w14:textId="3C2A14E2" w:rsidR="008D24A6" w:rsidRPr="002A677E" w:rsidRDefault="008D24A6" w:rsidP="007968EE">
            <w:pPr>
              <w:rPr>
                <w:rFonts w:ascii="Times New Roman" w:hAnsi="Times New Roman"/>
                <w:b/>
                <w:sz w:val="24"/>
                <w:u w:val="single"/>
              </w:rPr>
            </w:pPr>
            <w:r>
              <w:rPr>
                <w:rFonts w:ascii="Times New Roman" w:hAnsi="Times New Roman"/>
                <w:sz w:val="24"/>
              </w:rPr>
              <w:t>Når egne estimater af LGD anvendes, indregnes anden sikkerhedsstillelse i LGD-estimaterne i henhold til artikel 181, stk. 1, litra e) og f), i forordning (EU) nr. 575/2013.</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Pr>
                <w:rFonts w:ascii="Times New Roman" w:hAnsi="Times New Roman"/>
                <w:b/>
                <w:sz w:val="24"/>
                <w:u w:val="single"/>
              </w:rPr>
              <w:t>FAST EJENDOM</w:t>
            </w:r>
          </w:p>
          <w:p w14:paraId="364B1535" w14:textId="69FF6C94" w:rsidR="008D24A6" w:rsidRPr="002A677E" w:rsidRDefault="008D24A6" w:rsidP="008D24A6">
            <w:pPr>
              <w:spacing w:line="240" w:lineRule="exact"/>
              <w:rPr>
                <w:rFonts w:ascii="Times New Roman" w:hAnsi="Times New Roman"/>
                <w:sz w:val="24"/>
              </w:rPr>
            </w:pPr>
            <w:r>
              <w:rPr>
                <w:rFonts w:ascii="Times New Roman" w:hAnsi="Times New Roman"/>
                <w:sz w:val="24"/>
              </w:rPr>
              <w:t>Når egne estimater af LGD ikke anvendes, fastsættes værdier i henhold til artikel 199, stk. 2, 3 og 4, i forordning (EU) nr. 575/2013, og de indberettes i denne kolonne. Leasing af fast ejendom er også omfattet (se artikel 199, stk. 7, i forordning (EU) nr. 575/2013). Se også artikel 229 i forordning (EU) nr. 575/2013.</w:t>
            </w:r>
          </w:p>
          <w:p w14:paraId="797950F7" w14:textId="77777777" w:rsidR="008D24A6" w:rsidRPr="002A677E" w:rsidRDefault="008D24A6" w:rsidP="008D24A6">
            <w:pPr>
              <w:spacing w:line="240" w:lineRule="exact"/>
              <w:rPr>
                <w:rFonts w:ascii="Times New Roman" w:hAnsi="Times New Roman"/>
                <w:sz w:val="24"/>
              </w:rPr>
            </w:pPr>
            <w:r>
              <w:rPr>
                <w:rFonts w:ascii="Times New Roman" w:hAnsi="Times New Roman"/>
                <w:sz w:val="24"/>
              </w:rPr>
              <w:t>Når egne estimater af LGD anvendes, skal det indberettede beløb være den estimerede markedsværdi.</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Pr>
                <w:rFonts w:ascii="Times New Roman" w:hAnsi="Times New Roman"/>
                <w:sz w:val="24"/>
              </w:rPr>
              <w:t>0200</w:t>
            </w:r>
          </w:p>
        </w:tc>
        <w:tc>
          <w:tcPr>
            <w:tcW w:w="8843" w:type="dxa"/>
          </w:tcPr>
          <w:p w14:paraId="1FDDAEA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ANDEN FYSISK SIKKERHED</w:t>
            </w:r>
          </w:p>
          <w:p w14:paraId="1682AAB8" w14:textId="5DDA309C" w:rsidR="008D24A6" w:rsidRPr="002A677E" w:rsidRDefault="008D24A6" w:rsidP="008D24A6">
            <w:pPr>
              <w:rPr>
                <w:rFonts w:ascii="Times New Roman" w:hAnsi="Times New Roman"/>
                <w:sz w:val="24"/>
              </w:rPr>
            </w:pPr>
            <w:r>
              <w:rPr>
                <w:rFonts w:ascii="Times New Roman" w:hAnsi="Times New Roman"/>
                <w:sz w:val="24"/>
              </w:rPr>
              <w:t xml:space="preserve">Når egne estimater af LGD ikke anvendes, fastsættes værdier i henhold til artikel 199, stk. 6 og 8, i forordning (EU) nr. 575/2013, og de indberettes i denne kolonne. Leasing af anden ejendom end fast ejendom er også omfattet (se artikel 199, stk. 7, i forordning (EU) nr. 575/2013). Se også artikel 229, stk. 3, i forordning (EU) nr. 575/2013. </w:t>
            </w:r>
          </w:p>
          <w:p w14:paraId="2DDC0B18" w14:textId="77777777" w:rsidR="008D24A6" w:rsidRPr="002A677E" w:rsidRDefault="008D24A6" w:rsidP="008D24A6">
            <w:pPr>
              <w:rPr>
                <w:rFonts w:ascii="Times New Roman" w:hAnsi="Times New Roman"/>
                <w:b/>
                <w:sz w:val="24"/>
                <w:u w:val="single"/>
              </w:rPr>
            </w:pPr>
            <w:r>
              <w:rPr>
                <w:rFonts w:ascii="Times New Roman" w:hAnsi="Times New Roman"/>
                <w:sz w:val="24"/>
              </w:rPr>
              <w:t>Når egne estimater af LGD anvendes, skal det indberettede beløb være den estimerede markedsværdi af sikkerheden.</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Pr>
                <w:rFonts w:ascii="Times New Roman" w:hAnsi="Times New Roman"/>
                <w:sz w:val="24"/>
              </w:rPr>
              <w:t>0210</w:t>
            </w:r>
          </w:p>
        </w:tc>
        <w:tc>
          <w:tcPr>
            <w:tcW w:w="8843" w:type="dxa"/>
          </w:tcPr>
          <w:p w14:paraId="4F970CD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FORDRINGER</w:t>
            </w:r>
          </w:p>
          <w:p w14:paraId="70D4F809" w14:textId="1687C377" w:rsidR="008D24A6" w:rsidRPr="002A677E" w:rsidRDefault="008D24A6" w:rsidP="008D24A6">
            <w:pPr>
              <w:rPr>
                <w:rFonts w:ascii="Times New Roman" w:hAnsi="Times New Roman"/>
                <w:sz w:val="24"/>
              </w:rPr>
            </w:pPr>
            <w:r>
              <w:rPr>
                <w:rFonts w:ascii="Times New Roman" w:hAnsi="Times New Roman"/>
                <w:sz w:val="24"/>
              </w:rPr>
              <w:t>Når egne estimater af LGD ikke anvendes, fastsættes værdier i henhold til artikel 199, stk. 5, og artikel 229, stk. 2, i forordning (EU) nr. 575/2013, og de indberettes i denne kolonne.</w:t>
            </w:r>
          </w:p>
          <w:p w14:paraId="353C603D" w14:textId="77777777" w:rsidR="008D24A6" w:rsidRPr="002A677E" w:rsidRDefault="008D24A6" w:rsidP="008D24A6">
            <w:pPr>
              <w:rPr>
                <w:rFonts w:ascii="Times New Roman" w:hAnsi="Times New Roman"/>
                <w:b/>
                <w:sz w:val="24"/>
                <w:u w:val="single"/>
              </w:rPr>
            </w:pPr>
            <w:r>
              <w:rPr>
                <w:rFonts w:ascii="Times New Roman" w:hAnsi="Times New Roman"/>
                <w:sz w:val="24"/>
              </w:rPr>
              <w:t>Når egne estimater af LGD anvendes, skal det indberettede beløb være den estimerede markedsværdi af sikkerheden.</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Pr>
                <w:rFonts w:ascii="Times New Roman" w:hAnsi="Times New Roman"/>
                <w:sz w:val="24"/>
              </w:rPr>
              <w:t>0220</w:t>
            </w:r>
          </w:p>
        </w:tc>
        <w:tc>
          <w:tcPr>
            <w:tcW w:w="8843" w:type="dxa"/>
          </w:tcPr>
          <w:p w14:paraId="4373563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UNDERLAGT DOUBLE DEFAULT-BEHANDLING: UFINANSIERET KREDITRISIKOAFDÆKNING</w:t>
            </w:r>
          </w:p>
          <w:p w14:paraId="3ABF72D1" w14:textId="6790E251" w:rsidR="008D24A6" w:rsidRPr="002A677E" w:rsidRDefault="008D24A6" w:rsidP="008D24A6">
            <w:pPr>
              <w:rPr>
                <w:rFonts w:ascii="Times New Roman" w:hAnsi="Times New Roman"/>
                <w:sz w:val="24"/>
              </w:rPr>
            </w:pPr>
            <w:r>
              <w:rPr>
                <w:rFonts w:ascii="Times New Roman" w:hAnsi="Times New Roman"/>
                <w:sz w:val="24"/>
              </w:rPr>
              <w:t xml:space="preserve">Garantier og kreditderivater, der dækker eksponeringer, som er underlagt double default-behandling i henhold til artikel 153, stk. 3, i forordning (EU) nr. 575/2013, og under hensyntagen til artikel 202 og artikel 217, stk. 1, i nævnte forordning. </w:t>
            </w:r>
          </w:p>
          <w:p w14:paraId="5DA498E9" w14:textId="05BD698B" w:rsidR="008D24A6" w:rsidRPr="002A677E" w:rsidRDefault="008D24A6" w:rsidP="008D24A6">
            <w:pPr>
              <w:rPr>
                <w:rFonts w:ascii="Times New Roman" w:hAnsi="Times New Roman"/>
                <w:b/>
                <w:sz w:val="24"/>
                <w:u w:val="single"/>
              </w:rPr>
            </w:pPr>
            <w:r>
              <w:rPr>
                <w:rFonts w:ascii="Times New Roman" w:hAnsi="Times New Roman"/>
                <w:sz w:val="24"/>
              </w:rPr>
              <w:lastRenderedPageBreak/>
              <w:t xml:space="preserve">De værdier, der skal indberettes, må ikke overstige værdien af de tilsvarende eksponeringer. </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Pr>
                <w:rFonts w:ascii="Times New Roman" w:hAnsi="Times New Roman"/>
                <w:sz w:val="24"/>
              </w:rPr>
              <w:lastRenderedPageBreak/>
              <w:t>0230</w:t>
            </w:r>
          </w:p>
        </w:tc>
        <w:tc>
          <w:tcPr>
            <w:tcW w:w="8843" w:type="dxa"/>
          </w:tcPr>
          <w:p w14:paraId="6A7670F1"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EKSPONERINGSVÆGTET GENNEMSNITLIGT LGD (%)</w:t>
            </w:r>
          </w:p>
          <w:p w14:paraId="5CD7C536" w14:textId="3442B2E1" w:rsidR="008D24A6" w:rsidRPr="002A677E" w:rsidRDefault="008D24A6" w:rsidP="008D24A6">
            <w:pPr>
              <w:rPr>
                <w:rFonts w:ascii="Times New Roman" w:hAnsi="Times New Roman"/>
                <w:sz w:val="24"/>
              </w:rPr>
            </w:pPr>
            <w:r>
              <w:rPr>
                <w:rFonts w:ascii="Times New Roman" w:hAnsi="Times New Roman"/>
                <w:sz w:val="24"/>
              </w:rPr>
              <w:t>Hele virkningen af kreditrisikoreduktionsteknikker på LGD-værdier, jf. tredje del, afsnit II, kapitel 3 og 4, i forordning (EU) nr. 575/2013, indregnes. Hvis eksponeringer er underlagt double default-behandling, skal det indberettede LGD svare til det LGD, der er valgt i henhold til artikel 161, stk. 4, i forordning (EU) nr. 575/2013.</w:t>
            </w:r>
          </w:p>
          <w:p w14:paraId="5CB58587" w14:textId="34854C18" w:rsidR="008D24A6" w:rsidRPr="002A677E" w:rsidRDefault="008D24A6" w:rsidP="008D24A6">
            <w:pPr>
              <w:rPr>
                <w:rFonts w:ascii="Times New Roman" w:hAnsi="Times New Roman"/>
                <w:sz w:val="24"/>
              </w:rPr>
            </w:pPr>
            <w:r>
              <w:rPr>
                <w:rFonts w:ascii="Times New Roman" w:hAnsi="Times New Roman"/>
                <w:sz w:val="24"/>
              </w:rPr>
              <w:t>For misligholdte eksponeringer tages der hensyn til artikel 181, stk. 1, litra h), i forordning (EU) nr. 575/2013.</w:t>
            </w:r>
          </w:p>
          <w:p w14:paraId="3AD06EE0" w14:textId="77777777" w:rsidR="008D24A6" w:rsidRPr="002A677E" w:rsidRDefault="008D24A6" w:rsidP="008D24A6">
            <w:pPr>
              <w:rPr>
                <w:rFonts w:ascii="Times New Roman" w:hAnsi="Times New Roman"/>
                <w:sz w:val="24"/>
              </w:rPr>
            </w:pPr>
            <w:r>
              <w:rPr>
                <w:rFonts w:ascii="Times New Roman" w:hAnsi="Times New Roman"/>
                <w:sz w:val="24"/>
              </w:rPr>
              <w:t>Eksponeringsværdien omhandlet i kolonne 0110 bruges til at beregne de eksponeringsvægtede gennemsnitsværdier.</w:t>
            </w:r>
          </w:p>
          <w:p w14:paraId="693A5141" w14:textId="396DE32D" w:rsidR="008D24A6" w:rsidRPr="002A677E" w:rsidRDefault="008D24A6" w:rsidP="008D24A6">
            <w:pPr>
              <w:rPr>
                <w:rFonts w:ascii="Times New Roman" w:hAnsi="Times New Roman"/>
                <w:sz w:val="24"/>
              </w:rPr>
            </w:pPr>
            <w:r>
              <w:rPr>
                <w:rFonts w:ascii="Times New Roman" w:hAnsi="Times New Roman"/>
                <w:sz w:val="24"/>
              </w:rPr>
              <w:t>Alle virkninger skal tages i betragtning (så virkningerne af bundværdien, der gælder for eksponeringer sikret ved pant i fast ejendom, jf. artikel 164, stk. 4, i forordning (EU) nr. 575/2013, skal medtages i indberetningen).</w:t>
            </w:r>
          </w:p>
          <w:p w14:paraId="7D4C0832" w14:textId="47B10BBD" w:rsidR="008D24A6" w:rsidRPr="002A677E" w:rsidRDefault="008D24A6" w:rsidP="008D24A6">
            <w:pPr>
              <w:rPr>
                <w:rFonts w:ascii="Times New Roman" w:hAnsi="Times New Roman"/>
                <w:sz w:val="24"/>
              </w:rPr>
            </w:pPr>
            <w:r>
              <w:rPr>
                <w:rFonts w:ascii="Times New Roman" w:hAnsi="Times New Roman"/>
                <w:sz w:val="24"/>
              </w:rPr>
              <w:t>For institutter, der anvender IRB-metoden, men som ikke anvender deres egne estimater af LGD, afspejles den risikoreducerende virkning af finansiel sikkerhed i E*, den fuldt justerede værdi af eksponeringen, og afspejles derefter i LGD*, jf. artikel 228, stk. 2, i forordning (EU) nr. 575/2013.</w:t>
            </w:r>
          </w:p>
          <w:p w14:paraId="68E36158" w14:textId="77777777" w:rsidR="008D24A6" w:rsidRPr="002A677E" w:rsidRDefault="008D24A6" w:rsidP="008D24A6">
            <w:pPr>
              <w:rPr>
                <w:rFonts w:ascii="Times New Roman" w:hAnsi="Times New Roman"/>
                <w:sz w:val="24"/>
              </w:rPr>
            </w:pPr>
            <w:r>
              <w:rPr>
                <w:rFonts w:ascii="Times New Roman" w:hAnsi="Times New Roman"/>
                <w:sz w:val="24"/>
              </w:rPr>
              <w:t>Det eksponeringsvægtede gennemsnitlige LGD, som er knyttet til PD'en for hver låntagerklasse eller -pulje, er resultatet af de gennemsnitlige forsigtigheds-LGD'er, der er tildelt eksponeringer i den pågældende PD-klasse/-pulje vægtet med den relevante eksponeringsværdi i kolonne 0110.</w:t>
            </w:r>
          </w:p>
          <w:p w14:paraId="761A5E7B" w14:textId="31F4A8A3" w:rsidR="008D24A6" w:rsidRPr="002A677E" w:rsidRDefault="008D24A6" w:rsidP="008D24A6">
            <w:pPr>
              <w:rPr>
                <w:rFonts w:ascii="Times New Roman" w:hAnsi="Times New Roman"/>
                <w:sz w:val="24"/>
              </w:rPr>
            </w:pPr>
            <w:r>
              <w:rPr>
                <w:rFonts w:ascii="Times New Roman" w:hAnsi="Times New Roman"/>
                <w:sz w:val="24"/>
              </w:rPr>
              <w:t>Når egne estimater af LGD anvendes, tages der hensyn til artikel 175 og artikel 181, stk. 1 og 2, i forordning (EU) nr. 575/2013.</w:t>
            </w:r>
          </w:p>
          <w:p w14:paraId="6CA79C00" w14:textId="11F64D09" w:rsidR="008D24A6" w:rsidRPr="002A677E" w:rsidRDefault="008D24A6" w:rsidP="008D24A6">
            <w:pPr>
              <w:rPr>
                <w:rFonts w:ascii="Times New Roman" w:hAnsi="Times New Roman"/>
                <w:sz w:val="24"/>
              </w:rPr>
            </w:pPr>
            <w:r>
              <w:rPr>
                <w:rFonts w:ascii="Times New Roman" w:hAnsi="Times New Roman"/>
                <w:sz w:val="24"/>
              </w:rPr>
              <w:t>Hvis eksponeringer er underlagt double default-behandling, skal det indberettede LGD svare til det LGD, der er valgt i henhold til artikel 161, stk. 4, i forordning (EU) nr. 575/2013.</w:t>
            </w:r>
          </w:p>
          <w:p w14:paraId="7518ADFF" w14:textId="77777777" w:rsidR="008D24A6" w:rsidRPr="002A677E" w:rsidRDefault="008D24A6" w:rsidP="008D24A6">
            <w:pPr>
              <w:rPr>
                <w:rFonts w:ascii="Times New Roman" w:hAnsi="Times New Roman"/>
                <w:sz w:val="24"/>
              </w:rPr>
            </w:pPr>
            <w:r>
              <w:rPr>
                <w:rFonts w:ascii="Times New Roman" w:hAnsi="Times New Roman"/>
                <w:sz w:val="24"/>
              </w:rPr>
              <w:t>Beregningen af det eksponeringsvægtede gennemsnitlige LGD udledes af de risikoparametre, der reelt anvendes i skalaen for interne ratings, som er godkendt af den relevante kompetente myndighed.</w:t>
            </w:r>
          </w:p>
          <w:p w14:paraId="4ED81588" w14:textId="30F60140" w:rsidR="008D24A6" w:rsidRPr="002A677E" w:rsidRDefault="008D24A6" w:rsidP="008D24A6">
            <w:pPr>
              <w:rPr>
                <w:rFonts w:ascii="Times New Roman" w:hAnsi="Times New Roman"/>
                <w:sz w:val="24"/>
              </w:rPr>
            </w:pPr>
            <w:r>
              <w:rPr>
                <w:rFonts w:ascii="Times New Roman" w:hAnsi="Times New Roman"/>
                <w:sz w:val="24"/>
              </w:rPr>
              <w:t>Data indberettes ikke for de eksponeringer mod specialiseret långivning, der er nævnt i artikel 153, stk. 5, i forordning (EU) nr. 575/2013. Hvis PD er estimeret for specialiserede långivningseksponeringer, indberettes data baseret på egne estimater af LGD eller lovpligtig LGD.</w:t>
            </w:r>
          </w:p>
          <w:p w14:paraId="52BEF306" w14:textId="77777777" w:rsidR="008D24A6" w:rsidRPr="002A677E" w:rsidRDefault="008D24A6" w:rsidP="008D24A6">
            <w:pPr>
              <w:rPr>
                <w:rFonts w:ascii="Times New Roman" w:hAnsi="Times New Roman"/>
                <w:sz w:val="24"/>
              </w:rPr>
            </w:pPr>
            <w:r>
              <w:rPr>
                <w:rFonts w:ascii="Times New Roman" w:hAnsi="Times New Roman"/>
                <w:sz w:val="24"/>
              </w:rPr>
              <w:t xml:space="preserve">Eksponeringer og de forskellige LGD'er for store regulerede enheder i den finansielle sektor og uregulerede finansielle enheder medtages ikke i beregningen af kolonne 0230. De medtages kun i beregningen af kolonne 0240.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Pr>
                <w:rFonts w:ascii="Times New Roman" w:hAnsi="Times New Roman"/>
                <w:sz w:val="24"/>
              </w:rPr>
              <w:t>0240</w:t>
            </w:r>
          </w:p>
        </w:tc>
        <w:tc>
          <w:tcPr>
            <w:tcW w:w="8843" w:type="dxa"/>
          </w:tcPr>
          <w:p w14:paraId="7684FE79"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EKSPONERINGSVÆGTET GENNEMSNITLIGT LGD (%) FOR STORE REGULEREDE ENHEDER I DEN FINANSIELLE SEKTOR OG UREGULEREDE FINANSIELLE ENHEDER</w:t>
            </w:r>
          </w:p>
          <w:p w14:paraId="67234E4F" w14:textId="3B5F16CF" w:rsidR="008D24A6" w:rsidRPr="002A677E" w:rsidRDefault="008D24A6" w:rsidP="00AD7567">
            <w:pPr>
              <w:rPr>
                <w:rFonts w:ascii="Times New Roman" w:hAnsi="Times New Roman"/>
                <w:sz w:val="24"/>
              </w:rPr>
            </w:pPr>
            <w:r>
              <w:rPr>
                <w:rFonts w:ascii="Times New Roman" w:hAnsi="Times New Roman"/>
                <w:sz w:val="24"/>
              </w:rPr>
              <w:t xml:space="preserve">Eksponeringsvægtet gennemsnitligt LGD (%) for alle eksponeringer mod store enheder i den finansielle sektor som defineret i artikel 142, stk. 1, nr. 4), i forordning (EU) nr. 575/2013og mod uregulerede enheder i den finansielle sektor som defineret i artikel 142, </w:t>
            </w:r>
            <w:r>
              <w:rPr>
                <w:rFonts w:ascii="Times New Roman" w:hAnsi="Times New Roman"/>
                <w:sz w:val="24"/>
              </w:rPr>
              <w:lastRenderedPageBreak/>
              <w:t>stk. 1, nr. 5), i forordning (EU) nr. 575/2013, der er omfattet af den højeste korrelationskoefficient fastsat i overensstemmelse med artikel 153, stk. 2, i forordning (EU) nr. 575/2013.</w:t>
            </w:r>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Pr>
                <w:rFonts w:ascii="Times New Roman" w:hAnsi="Times New Roman"/>
                <w:sz w:val="24"/>
              </w:rPr>
              <w:lastRenderedPageBreak/>
              <w:t>0250</w:t>
            </w:r>
          </w:p>
        </w:tc>
        <w:tc>
          <w:tcPr>
            <w:tcW w:w="8843" w:type="dxa"/>
          </w:tcPr>
          <w:p w14:paraId="33BE0A3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EKSPONERINGSVÆGTET GENNEMSNITLIG LØBETID (DAGE)</w:t>
            </w:r>
          </w:p>
          <w:p w14:paraId="1C9B3946" w14:textId="49FAD5EB" w:rsidR="008D24A6" w:rsidRPr="002A677E" w:rsidRDefault="008D24A6" w:rsidP="008D24A6">
            <w:pPr>
              <w:rPr>
                <w:rFonts w:ascii="Times New Roman" w:hAnsi="Times New Roman"/>
                <w:sz w:val="24"/>
              </w:rPr>
            </w:pPr>
            <w:r>
              <w:rPr>
                <w:rFonts w:ascii="Times New Roman" w:hAnsi="Times New Roman"/>
                <w:sz w:val="24"/>
              </w:rPr>
              <w:t>Den indberettede værdi fastsættes i overensstemmelse med artikel 162, i forordning (EU) nr. 575/2013. Eksponeringsværdien (kolonne 0110) bruges til at beregne de eksponeringsvægtede gennemsnitsværdier. Den gennemsnitlige løbetid indberettes i dage.</w:t>
            </w:r>
          </w:p>
          <w:p w14:paraId="09F102FB" w14:textId="77777777" w:rsidR="008D24A6" w:rsidRPr="002A677E" w:rsidRDefault="008D24A6" w:rsidP="008D24A6">
            <w:pPr>
              <w:rPr>
                <w:rFonts w:ascii="Times New Roman" w:hAnsi="Times New Roman"/>
                <w:sz w:val="24"/>
              </w:rPr>
            </w:pPr>
            <w:r>
              <w:rPr>
                <w:rFonts w:ascii="Times New Roman" w:hAnsi="Times New Roman"/>
                <w:sz w:val="24"/>
              </w:rPr>
              <w:t>Denne oplysning indberettes ikke for eksponeringsværdier, for hvilke løbetid ikke er et element i beregningen af de risikovægtede eksponeringsbeløb. Det betyder, at denne kolonne ikke udfyldes for eksponeringsklassen "detail".</w:t>
            </w:r>
          </w:p>
        </w:tc>
      </w:tr>
      <w:tr w:rsidR="008D24A6" w:rsidRPr="002A677E" w14:paraId="3F6D8809" w14:textId="77777777" w:rsidTr="00672D2A">
        <w:tc>
          <w:tcPr>
            <w:tcW w:w="1188" w:type="dxa"/>
          </w:tcPr>
          <w:p w14:paraId="3085D59C" w14:textId="77777777" w:rsidR="008D24A6" w:rsidRPr="002A677E" w:rsidRDefault="001452FC" w:rsidP="008D24A6">
            <w:pPr>
              <w:rPr>
                <w:rFonts w:ascii="Times New Roman" w:hAnsi="Times New Roman"/>
                <w:sz w:val="24"/>
              </w:rPr>
            </w:pPr>
            <w:r>
              <w:rPr>
                <w:rFonts w:ascii="Times New Roman" w:hAnsi="Times New Roman"/>
                <w:sz w:val="24"/>
              </w:rPr>
              <w:t>0255</w:t>
            </w:r>
          </w:p>
        </w:tc>
        <w:tc>
          <w:tcPr>
            <w:tcW w:w="8843" w:type="dxa"/>
          </w:tcPr>
          <w:p w14:paraId="196087E2"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RISIKOVÆGTEDE EKSPONERINGER FØR ANVENDELSE AF STØTTEFAKTORER</w:t>
            </w:r>
          </w:p>
          <w:p w14:paraId="2749A426" w14:textId="5A696F8C" w:rsidR="008D24A6" w:rsidRPr="002A677E" w:rsidRDefault="008D24A6" w:rsidP="008D24A6">
            <w:pPr>
              <w:rPr>
                <w:rFonts w:ascii="Times New Roman" w:hAnsi="Times New Roman"/>
                <w:sz w:val="24"/>
              </w:rPr>
            </w:pPr>
            <w:r>
              <w:rPr>
                <w:rFonts w:ascii="Times New Roman" w:hAnsi="Times New Roman"/>
                <w:sz w:val="24"/>
              </w:rPr>
              <w:t xml:space="preserve">For så vidt angår centralregeringer og centralbanker, selskaber og institutter, se artikel 153, stk. 1, 2, 3 og 4, i forordning (EU) nr. 575/2013. For så vidt angår detail, se artikel 154, stk. 1, i forordning (EU) nr. 575/2013. </w:t>
            </w:r>
          </w:p>
          <w:p w14:paraId="4F2AFE60" w14:textId="19E939AF" w:rsidR="008D24A6" w:rsidRPr="002A677E" w:rsidRDefault="008D24A6" w:rsidP="003F19BA">
            <w:pPr>
              <w:rPr>
                <w:rFonts w:ascii="Times New Roman" w:hAnsi="Times New Roman"/>
                <w:b/>
                <w:sz w:val="24"/>
                <w:u w:val="single"/>
              </w:rPr>
            </w:pPr>
            <w:r>
              <w:rPr>
                <w:rFonts w:ascii="Times New Roman" w:hAnsi="Times New Roman"/>
                <w:sz w:val="24"/>
              </w:rPr>
              <w:t>Støttefaktorerne for SMV'er og infrastruktur, som er fastsat i artikel 501 og 501a i forordning (EU) nr. 575/2013, indregnes ikke.</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Pr>
                <w:rFonts w:ascii="Times New Roman" w:hAnsi="Times New Roman"/>
                <w:sz w:val="24"/>
              </w:rPr>
              <w:t>0256</w:t>
            </w:r>
          </w:p>
        </w:tc>
        <w:tc>
          <w:tcPr>
            <w:tcW w:w="8843" w:type="dxa"/>
          </w:tcPr>
          <w:p w14:paraId="2B61A7CC" w14:textId="3F5048A9" w:rsidR="008D24A6" w:rsidRPr="002A677E" w:rsidRDefault="008D24A6" w:rsidP="008D24A6">
            <w:pPr>
              <w:rPr>
                <w:rFonts w:ascii="Times New Roman" w:hAnsi="Times New Roman"/>
                <w:b/>
                <w:sz w:val="24"/>
                <w:u w:val="single"/>
              </w:rPr>
            </w:pPr>
            <w:r>
              <w:rPr>
                <w:rFonts w:ascii="Times New Roman" w:hAnsi="Times New Roman"/>
                <w:b/>
                <w:sz w:val="24"/>
                <w:u w:val="single"/>
              </w:rPr>
              <w:t>(-) JUSTERING AF DEN RISIKOVÆGTEDE EKSPONERING SOM FØLGE AF STØTTEFAKTOREN SMV</w:t>
            </w:r>
          </w:p>
          <w:p w14:paraId="5C6EFF92" w14:textId="32D30AC3" w:rsidR="008D24A6" w:rsidRPr="002A677E" w:rsidRDefault="008D24A6" w:rsidP="00F34382">
            <w:pPr>
              <w:rPr>
                <w:rFonts w:ascii="Times New Roman" w:hAnsi="Times New Roman"/>
                <w:b/>
                <w:sz w:val="24"/>
                <w:u w:val="single"/>
              </w:rPr>
            </w:pPr>
            <w:r>
              <w:rPr>
                <w:rFonts w:ascii="Times New Roman" w:hAnsi="Times New Roman"/>
                <w:sz w:val="24"/>
              </w:rPr>
              <w:t>Fradrag af forskellen mellem de risikovægtede eksponeringer af ikkemisligholdte eksponeringer mod en SMV (RWEA), som beregnes i henhold til tredje del, afsnit II, kapitel 3, i forordning (EU) nr. 575/2013, alt efter hvad der er relevant, og RWEA* i henhold til artikel 501 i nævnte forordning.</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Pr>
                <w:rFonts w:ascii="Times New Roman" w:hAnsi="Times New Roman"/>
                <w:sz w:val="24"/>
              </w:rPr>
              <w:t>0257</w:t>
            </w:r>
          </w:p>
        </w:tc>
        <w:tc>
          <w:tcPr>
            <w:tcW w:w="8843" w:type="dxa"/>
          </w:tcPr>
          <w:p w14:paraId="378DC71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JUSTERING AF DEN RISIKOVÆGTEDE EKSPONERING SOM FØLGE AF STØTTEFAKTOREN INFRASTRUKTUR</w:t>
            </w:r>
          </w:p>
          <w:p w14:paraId="551B54F5" w14:textId="01917095" w:rsidR="008D24A6" w:rsidRPr="002A677E" w:rsidRDefault="008D24A6" w:rsidP="002F11F3">
            <w:pPr>
              <w:rPr>
                <w:rFonts w:ascii="Times New Roman" w:hAnsi="Times New Roman"/>
                <w:b/>
                <w:sz w:val="24"/>
                <w:u w:val="single"/>
              </w:rPr>
            </w:pPr>
            <w:r>
              <w:rPr>
                <w:rFonts w:ascii="Times New Roman" w:hAnsi="Times New Roman"/>
                <w:sz w:val="24"/>
              </w:rPr>
              <w:t xml:space="preserve">Fradrag af forskellen mellem de risikovægtede eksponeringer beregnet i overensstemmelse med tredje del, afsnit II, i forordning (EU) nr. 575/2013og den justerede RWEA for kreditrisikoen vedrørende eksponeringer mod enheder, der driver eller finansierer fysiske strukturer eller faciliteter, systemer og net, der leverer eller støtter grundlæggende offentlige tjenester i overensstemmelse med artikel 501a i nævnte forordning. </w:t>
            </w:r>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RISIKOVÆGTET EKSPONERING EFTER ANVENDELSE AF STØTTEFAKTORER</w:t>
            </w:r>
          </w:p>
          <w:p w14:paraId="01882A55" w14:textId="36B61719" w:rsidR="008D24A6" w:rsidRPr="002A677E" w:rsidRDefault="008D24A6" w:rsidP="008D24A6">
            <w:pPr>
              <w:rPr>
                <w:rFonts w:ascii="Times New Roman" w:hAnsi="Times New Roman"/>
                <w:sz w:val="24"/>
              </w:rPr>
            </w:pPr>
            <w:r>
              <w:rPr>
                <w:rFonts w:ascii="Times New Roman" w:hAnsi="Times New Roman"/>
                <w:sz w:val="24"/>
              </w:rPr>
              <w:t>For så vidt angår centralregeringer og centralbanker, selskaber og institutter, se artikel 153, stk. 1, 2, 3 og 4, i forordning (EU) nr. 575/2013. For så vidt angår detail, se artikel 154, stk. 1, i forordning (EU) nr. 575/2013.</w:t>
            </w:r>
          </w:p>
          <w:p w14:paraId="5FCC9D00" w14:textId="02A0ECBB" w:rsidR="008D24A6" w:rsidRPr="002A677E" w:rsidRDefault="008D24A6" w:rsidP="003F19BA">
            <w:pPr>
              <w:rPr>
                <w:rFonts w:ascii="Times New Roman" w:hAnsi="Times New Roman"/>
                <w:b/>
                <w:sz w:val="24"/>
                <w:u w:val="single"/>
              </w:rPr>
            </w:pPr>
            <w:r>
              <w:rPr>
                <w:rFonts w:ascii="Times New Roman" w:hAnsi="Times New Roman"/>
                <w:sz w:val="24"/>
              </w:rPr>
              <w:t>Støttefaktorerne for SMV'er og infrastruktur, som er fastsat i artikel 501 og 501a i forordning (EU) nr. 575/2013, indregnes.</w:t>
            </w:r>
          </w:p>
        </w:tc>
      </w:tr>
      <w:tr w:rsidR="008D24A6" w:rsidRPr="002A677E" w14:paraId="147559F1" w14:textId="77777777" w:rsidTr="00672D2A">
        <w:tc>
          <w:tcPr>
            <w:tcW w:w="1188" w:type="dxa"/>
            <w:shd w:val="clear" w:color="auto" w:fill="auto"/>
          </w:tcPr>
          <w:p w14:paraId="41BAEDF3" w14:textId="77777777" w:rsidR="008D24A6" w:rsidRPr="002A677E"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HERAF: STORE ENHEDER I DEN FINANSIELLE SEKTOR OG UREGULEREDE FINANSIELLE ENHEDER</w:t>
            </w:r>
          </w:p>
          <w:p w14:paraId="3A1A0D19" w14:textId="7E74766A" w:rsidR="008D24A6" w:rsidRPr="002A677E" w:rsidDel="005A2363" w:rsidRDefault="008D24A6" w:rsidP="002F11F3">
            <w:pPr>
              <w:rPr>
                <w:rFonts w:ascii="Times New Roman" w:hAnsi="Times New Roman"/>
                <w:sz w:val="24"/>
              </w:rPr>
            </w:pPr>
            <w:r>
              <w:rPr>
                <w:rFonts w:ascii="Times New Roman" w:hAnsi="Times New Roman"/>
                <w:sz w:val="24"/>
              </w:rPr>
              <w:t xml:space="preserve">Opdeling af den risikovægtede eksponering efter anvendelse af støttefaktoren for SMV'er for alle eksponeringer mod store enheder i den finansielle sektor som defineret i artikel </w:t>
            </w:r>
            <w:r>
              <w:rPr>
                <w:rFonts w:ascii="Times New Roman" w:hAnsi="Times New Roman"/>
                <w:sz w:val="24"/>
              </w:rPr>
              <w:lastRenderedPageBreak/>
              <w:t>142, stk. 1, nr. 4), i forordning (EU) nr. 575/2013 og mod uregulerede enheder i den finansielle sektor som defineret i artikel 142, stk. 1, nr. 5), i nævnte forordning, der er omfattet af den højeste korrelationskoefficient fastsat i overensstemmelse med artikel 153, stk. 2, i nævnte forordning.</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Pr>
                <w:rFonts w:ascii="Times New Roman" w:hAnsi="Times New Roman"/>
                <w:sz w:val="24"/>
              </w:rPr>
              <w:lastRenderedPageBreak/>
              <w:t>0280</w:t>
            </w:r>
          </w:p>
        </w:tc>
        <w:tc>
          <w:tcPr>
            <w:tcW w:w="8843" w:type="dxa"/>
          </w:tcPr>
          <w:p w14:paraId="55EF5D7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FORVENTET TAB</w:t>
            </w:r>
          </w:p>
          <w:p w14:paraId="5AE1BAE7" w14:textId="78C5075D" w:rsidR="008D24A6" w:rsidRPr="002A677E" w:rsidRDefault="008D24A6" w:rsidP="002F11F3">
            <w:pPr>
              <w:jc w:val="left"/>
              <w:rPr>
                <w:rFonts w:ascii="Times New Roman" w:hAnsi="Times New Roman"/>
                <w:sz w:val="24"/>
              </w:rPr>
            </w:pPr>
            <w:r>
              <w:rPr>
                <w:rFonts w:ascii="Times New Roman" w:hAnsi="Times New Roman"/>
                <w:sz w:val="24"/>
              </w:rPr>
              <w:t>For så vidt angår definitionen af forventet tab, se artikel 5, nr. 3), i forordning (EU) nr. 575/2013. Se artikel 158 i nævnte forordning for oplysninger om beregningen af det forventede tab. For så vidt angår misligholdte eksponeringer, se artikel 181, stk. 1, litra h), i forordning (EU) nr. 575/2013. Det forventede tab, der indberettes, skal baseres på de risikoparametre, der reelt anvendes i skalaen for interne ratings, som er godkendt af den relevante kompetente myndighed.</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Pr>
                <w:rFonts w:ascii="Times New Roman" w:hAnsi="Times New Roman"/>
                <w:sz w:val="24"/>
              </w:rPr>
              <w:t>0290</w:t>
            </w:r>
          </w:p>
        </w:tc>
        <w:tc>
          <w:tcPr>
            <w:tcW w:w="8843" w:type="dxa"/>
          </w:tcPr>
          <w:p w14:paraId="0F2018D3"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VÆRDIJUSTERINGER OG HENSÆTTELSER</w:t>
            </w:r>
          </w:p>
          <w:p w14:paraId="5D650089" w14:textId="6CF597D9" w:rsidR="008D24A6" w:rsidRPr="002A677E" w:rsidRDefault="008D24A6" w:rsidP="008D24A6">
            <w:pPr>
              <w:rPr>
                <w:rFonts w:ascii="Times New Roman" w:hAnsi="Times New Roman"/>
                <w:sz w:val="24"/>
              </w:rPr>
            </w:pPr>
            <w:r>
              <w:rPr>
                <w:rFonts w:ascii="Times New Roman" w:hAnsi="Times New Roman"/>
                <w:sz w:val="24"/>
              </w:rPr>
              <w:t>Værdijusteringer samt specifikke og generelle kreditrisikojusteringer i medfør af artikel 159 i forordning (EU) nr. 575/2013 indberettes. Generelle kreditrisikojusteringer indberettes ved at tildele beløbet pro rata ud fra de forskellige låntagerklassers forventede tab.</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Pr>
                <w:rFonts w:ascii="Times New Roman" w:hAnsi="Times New Roman"/>
                <w:sz w:val="24"/>
              </w:rPr>
              <w:t>0300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Pr>
                <w:rFonts w:ascii="Times New Roman" w:hAnsi="Times New Roman"/>
                <w:b/>
                <w:sz w:val="24"/>
                <w:u w:val="single"/>
              </w:rPr>
              <w:t>ANTAL LÅNTAGERE</w:t>
            </w:r>
          </w:p>
          <w:p w14:paraId="23192B69" w14:textId="427C33F9" w:rsidR="008D24A6" w:rsidRPr="002A677E" w:rsidRDefault="008D24A6" w:rsidP="008D24A6">
            <w:pPr>
              <w:rPr>
                <w:rFonts w:ascii="Times New Roman" w:hAnsi="Times New Roman"/>
                <w:sz w:val="24"/>
              </w:rPr>
            </w:pPr>
            <w:r>
              <w:rPr>
                <w:rFonts w:ascii="Times New Roman" w:hAnsi="Times New Roman"/>
                <w:sz w:val="24"/>
              </w:rPr>
              <w:t>Artikel 172, 1 og 2, i forordning (EU) nr. 575/2013</w:t>
            </w:r>
          </w:p>
          <w:p w14:paraId="17A31D89" w14:textId="2B490D67" w:rsidR="008D24A6" w:rsidRPr="002A677E" w:rsidRDefault="008D24A6" w:rsidP="008D24A6">
            <w:pPr>
              <w:rPr>
                <w:rFonts w:ascii="Times New Roman" w:hAnsi="Times New Roman"/>
                <w:sz w:val="24"/>
              </w:rPr>
            </w:pPr>
            <w:r>
              <w:rPr>
                <w:rFonts w:ascii="Times New Roman" w:hAnsi="Times New Roman"/>
                <w:sz w:val="24"/>
              </w:rPr>
              <w:t xml:space="preserve">For alle eksponeringsklasser med undtagelse af detail og de tilfælde, der er omhandlet i artikel 172, stk. 1, litra e), andet punktum, i forordning (EU) nr. 575/2013, skal instituttet indberette antallet af juridiske enheder/låntagere, der blev vurderet separat, uanset antallet af forskellige ydede lån eller eksponeringer. </w:t>
            </w:r>
          </w:p>
          <w:p w14:paraId="67B0C1B2" w14:textId="2C93EC4E" w:rsidR="008D24A6" w:rsidRPr="002A677E" w:rsidRDefault="008D24A6" w:rsidP="008D24A6">
            <w:pPr>
              <w:rPr>
                <w:rFonts w:ascii="Times New Roman" w:hAnsi="Times New Roman"/>
                <w:sz w:val="24"/>
              </w:rPr>
            </w:pPr>
            <w:r>
              <w:rPr>
                <w:rFonts w:ascii="Times New Roman" w:hAnsi="Times New Roman"/>
                <w:sz w:val="24"/>
              </w:rPr>
              <w:t>I detaileksponeringsklassen, eller hvis den samme låntager henføres til forskellige låntagerklasser i overensstemmelse med artikel 172, stk. 1, litra e), andet punktum, i forordning (EU) nr. 575/2013i andre eksponeringsklasser, skal instituttet indberette antallet af eksponeringer, der separat blev henført til en bestemt ratingklasse eller -pulje. Hvis artikel 172, stk. 2, i forordning (EU) nr. 575/2013 finder anvendelse, kan en låntager indregnes i flere klasser.</w:t>
            </w:r>
          </w:p>
          <w:p w14:paraId="0303BAF6" w14:textId="77777777" w:rsidR="008D24A6" w:rsidRPr="002A677E" w:rsidRDefault="008D24A6" w:rsidP="008D24A6">
            <w:pPr>
              <w:rPr>
                <w:rFonts w:ascii="Times New Roman" w:hAnsi="Times New Roman"/>
                <w:sz w:val="24"/>
              </w:rPr>
            </w:pPr>
            <w:r>
              <w:rPr>
                <w:rStyle w:val="InstructionsTabelleText"/>
                <w:rFonts w:ascii="Times New Roman" w:hAnsi="Times New Roman"/>
                <w:sz w:val="24"/>
              </w:rPr>
              <w:t>Da denne kolonne vedrører et element af strukturen af ratingskalaerne, vedrører den de oprindelige eksponeringer før anvendelse af konverteringsfaktoren, som er tildelt hver låntagerklasse eller -pulje uden hensyntagen til virkningen af kreditrisikoreduktionsteknikker (navnlig omfordelingsvirkninger).</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Pr>
                <w:rFonts w:ascii="Times New Roman" w:hAnsi="Times New Roman"/>
                <w:sz w:val="24"/>
              </w:rPr>
              <w:t>0310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Pr>
                <w:rFonts w:ascii="Times New Roman" w:hAnsi="Times New Roman"/>
                <w:b/>
                <w:sz w:val="24"/>
                <w:u w:val="single"/>
              </w:rPr>
              <w:t>RISIKOVÆGTEDE EKSPONERINGER INDEN KREDITDERIVATER</w:t>
            </w:r>
          </w:p>
          <w:p w14:paraId="73CF7CCE" w14:textId="1F9DFCA4" w:rsidR="004D45AA" w:rsidRPr="002A677E" w:rsidRDefault="00BC61F2" w:rsidP="00974F0C">
            <w:pPr>
              <w:ind w:right="6"/>
              <w:rPr>
                <w:rFonts w:ascii="Times New Roman" w:hAnsi="Times New Roman"/>
                <w:b/>
                <w:sz w:val="24"/>
                <w:u w:val="single"/>
              </w:rPr>
            </w:pPr>
            <w:r>
              <w:rPr>
                <w:rFonts w:ascii="Times New Roman" w:hAnsi="Times New Roman"/>
                <w:sz w:val="24"/>
              </w:rPr>
              <w:t>Institutterne skal indberette den hypotetiske risikovægtede eksponering beregnet som den faktiske RWEA uden indregning af det anerkendte kreditderivat som en CRM-teknik som angivet i artikel 204 i forordning (EU) nr. 575/2013.</w:t>
            </w:r>
            <w:r>
              <w:rPr>
                <w:rStyle w:val="InstructionsTabelleText"/>
                <w:rFonts w:ascii="Times New Roman" w:hAnsi="Times New Roman"/>
                <w:sz w:val="24"/>
              </w:rPr>
              <w:t xml:space="preserve"> Eksponeringerne præsenteres i de eksponeringsklasser, der er relevante for eksponeringer mod den oprindelige låntager.</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Pr>
                <w:rFonts w:ascii="Times New Roman" w:hAnsi="Times New Roman"/>
                <w:sz w:val="24"/>
              </w:rPr>
              <w:t>Rækker</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Pr>
                <w:rFonts w:ascii="Times New Roman" w:hAnsi="Times New Roman"/>
                <w:sz w:val="24"/>
              </w:rPr>
              <w:t>Instrukser</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Pr>
                <w:rFonts w:ascii="Times New Roman" w:hAnsi="Times New Roman"/>
                <w:sz w:val="24"/>
              </w:rPr>
              <w:t>0010</w:t>
            </w:r>
          </w:p>
        </w:tc>
        <w:tc>
          <w:tcPr>
            <w:tcW w:w="8789" w:type="dxa"/>
          </w:tcPr>
          <w:p w14:paraId="6959956A" w14:textId="77777777" w:rsidR="00284A6D" w:rsidRPr="002A677E" w:rsidRDefault="001C7AB7" w:rsidP="004D45AA">
            <w:pPr>
              <w:rPr>
                <w:rFonts w:ascii="Times New Roman" w:hAnsi="Times New Roman"/>
                <w:sz w:val="24"/>
              </w:rPr>
            </w:pPr>
            <w:r>
              <w:rPr>
                <w:rFonts w:ascii="Times New Roman" w:hAnsi="Times New Roman"/>
                <w:b/>
                <w:sz w:val="24"/>
                <w:u w:val="single"/>
              </w:rPr>
              <w:t>SAMLEDE EKSPONERINGER</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Pr>
                <w:rFonts w:ascii="Times New Roman" w:hAnsi="Times New Roman"/>
                <w:sz w:val="24"/>
              </w:rPr>
              <w:lastRenderedPageBreak/>
              <w:t>0015</w:t>
            </w:r>
          </w:p>
        </w:tc>
        <w:tc>
          <w:tcPr>
            <w:tcW w:w="8789" w:type="dxa"/>
          </w:tcPr>
          <w:p w14:paraId="01706650" w14:textId="77777777" w:rsidR="00785F3E" w:rsidRPr="002A677E" w:rsidRDefault="00785F3E" w:rsidP="00785F3E">
            <w:pPr>
              <w:rPr>
                <w:rFonts w:ascii="Times New Roman" w:hAnsi="Times New Roman"/>
                <w:b/>
                <w:sz w:val="24"/>
                <w:u w:val="single"/>
              </w:rPr>
            </w:pPr>
            <w:r>
              <w:rPr>
                <w:rFonts w:ascii="Times New Roman" w:hAnsi="Times New Roman"/>
                <w:b/>
                <w:sz w:val="24"/>
                <w:u w:val="single"/>
              </w:rPr>
              <w:t>Heraf: Eksponeringer omfattet af støttefaktoren for SMV'er</w:t>
            </w:r>
          </w:p>
          <w:p w14:paraId="5011AC41" w14:textId="0AF1DD2C" w:rsidR="00785F3E" w:rsidRPr="002A677E" w:rsidRDefault="00785F3E" w:rsidP="00785F3E">
            <w:pPr>
              <w:rPr>
                <w:rFonts w:ascii="Times New Roman" w:hAnsi="Times New Roman"/>
                <w:sz w:val="24"/>
              </w:rPr>
            </w:pPr>
            <w:r>
              <w:rPr>
                <w:rFonts w:ascii="Times New Roman" w:hAnsi="Times New Roman"/>
                <w:sz w:val="24"/>
              </w:rPr>
              <w:t>Kun eksponeringer, som opfylder kravene i artikel 501 i forordning (EU) nr. 575/2013, indberettes her.</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Pr>
                <w:rFonts w:ascii="Times New Roman" w:hAnsi="Times New Roman"/>
                <w:sz w:val="24"/>
              </w:rPr>
              <w:t>0016</w:t>
            </w:r>
          </w:p>
        </w:tc>
        <w:tc>
          <w:tcPr>
            <w:tcW w:w="8789" w:type="dxa"/>
          </w:tcPr>
          <w:p w14:paraId="241B1F09"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Heraf: Eksponeringer omfattet af støttefaktoren for infrastruktur</w:t>
            </w:r>
          </w:p>
          <w:p w14:paraId="3F826699" w14:textId="7BBEA04C" w:rsidR="004D45AA" w:rsidRPr="002A677E" w:rsidRDefault="004D45AA" w:rsidP="004D45AA">
            <w:pPr>
              <w:rPr>
                <w:rFonts w:ascii="Times New Roman" w:hAnsi="Times New Roman"/>
                <w:b/>
                <w:sz w:val="24"/>
                <w:u w:val="single"/>
              </w:rPr>
            </w:pPr>
            <w:r>
              <w:rPr>
                <w:rFonts w:ascii="Times New Roman" w:hAnsi="Times New Roman"/>
                <w:sz w:val="24"/>
              </w:rPr>
              <w:t>Kun eksponeringer, som opfylder kravene i artikel 501a i forordning (EU) nr. 575/2013, indberettes her.</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Pr>
                <w:rFonts w:ascii="Times New Roman" w:hAnsi="Times New Roman"/>
                <w:sz w:val="24"/>
              </w:rPr>
              <w:t>0020-0060</w:t>
            </w:r>
          </w:p>
        </w:tc>
        <w:tc>
          <w:tcPr>
            <w:tcW w:w="8789" w:type="dxa"/>
          </w:tcPr>
          <w:p w14:paraId="7E5E902C" w14:textId="77777777" w:rsidR="004D45AA" w:rsidRPr="002A677E" w:rsidRDefault="004D45AA" w:rsidP="004D45AA">
            <w:pPr>
              <w:rPr>
                <w:rFonts w:ascii="Times New Roman" w:hAnsi="Times New Roman"/>
                <w:sz w:val="24"/>
              </w:rPr>
            </w:pPr>
            <w:r>
              <w:rPr>
                <w:rFonts w:ascii="Times New Roman" w:hAnsi="Times New Roman"/>
                <w:sz w:val="24"/>
              </w:rPr>
              <w:t>OPDELING AF SAMLEDE EKSPONERINGER EFTER EKSPONERINGSTYPE:</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Pr>
                <w:rFonts w:ascii="Times New Roman" w:hAnsi="Times New Roman"/>
                <w:sz w:val="24"/>
              </w:rPr>
              <w:t>0020</w:t>
            </w:r>
          </w:p>
        </w:tc>
        <w:tc>
          <w:tcPr>
            <w:tcW w:w="8789" w:type="dxa"/>
          </w:tcPr>
          <w:p w14:paraId="064BF103"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Balanceførte poster underlagt kreditrisiko </w:t>
            </w:r>
          </w:p>
          <w:p w14:paraId="2A69AE9F" w14:textId="5B18701B" w:rsidR="004D45AA" w:rsidRPr="002A677E" w:rsidRDefault="004D45AA" w:rsidP="004D45AA">
            <w:pPr>
              <w:rPr>
                <w:rStyle w:val="InstructionsTabelleText"/>
                <w:rFonts w:ascii="Times New Roman" w:hAnsi="Times New Roman"/>
                <w:sz w:val="24"/>
              </w:rPr>
            </w:pPr>
            <w:r>
              <w:rPr>
                <w:rFonts w:ascii="Times New Roman" w:hAnsi="Times New Roman"/>
                <w:sz w:val="24"/>
              </w:rPr>
              <w:t>Aktiver nævnt i artikel 24 i forordning (EU) nr. 575/2013 inkluderes ikke i andre kategorier.</w:t>
            </w:r>
          </w:p>
          <w:p w14:paraId="335CDBE2"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Eksponeringer, der er omfattet af modpartsrisiko, indberettes i række 0040-0060 — og indberettes derfor ikke i denne række.</w:t>
            </w:r>
          </w:p>
          <w:p w14:paraId="0C6C49F1" w14:textId="5391963F" w:rsidR="004D45AA" w:rsidRPr="002A677E" w:rsidRDefault="004D45AA" w:rsidP="004D45AA">
            <w:pPr>
              <w:rPr>
                <w:rStyle w:val="InstructionsTabelleText"/>
                <w:rFonts w:ascii="Times New Roman" w:hAnsi="Times New Roman"/>
                <w:sz w:val="24"/>
              </w:rPr>
            </w:pPr>
            <w:r>
              <w:rPr>
                <w:rFonts w:ascii="Times New Roman" w:hAnsi="Times New Roman"/>
                <w:sz w:val="24"/>
              </w:rPr>
              <w:t>Leveringsrisiko (free deliveries) i henhold til artikel 379, stk. 1, i forordning (EU) nr. 575/2013 (hvis ikke fratrukket) udgør ikke en balanceført post, men skal alligevel indberettes i denne række.</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Pr>
                <w:rFonts w:ascii="Times New Roman" w:hAnsi="Times New Roman"/>
                <w:sz w:val="24"/>
              </w:rPr>
              <w:t>0030</w:t>
            </w:r>
          </w:p>
        </w:tc>
        <w:tc>
          <w:tcPr>
            <w:tcW w:w="8789" w:type="dxa"/>
          </w:tcPr>
          <w:p w14:paraId="4D06D73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Ikkebalanceførte poster underlagt kreditrisiko</w:t>
            </w:r>
          </w:p>
          <w:p w14:paraId="1A7B1274" w14:textId="45ABE956" w:rsidR="004D45AA" w:rsidRPr="002A677E" w:rsidRDefault="004D45AA" w:rsidP="004D45AA">
            <w:pPr>
              <w:rPr>
                <w:rStyle w:val="InstructionsTabelleText"/>
                <w:rFonts w:ascii="Times New Roman" w:hAnsi="Times New Roman"/>
                <w:sz w:val="24"/>
              </w:rPr>
            </w:pPr>
            <w:r>
              <w:rPr>
                <w:rFonts w:ascii="Times New Roman" w:hAnsi="Times New Roman"/>
                <w:sz w:val="24"/>
              </w:rPr>
              <w:t>Ikkebalanceførte poster omfatter poster i overensstemmelse med artikel 166, stk. 8, i forordning (EU) nr. 575/2013 samt de poster, der er opført i bilag I til nævnte forordning.</w:t>
            </w:r>
          </w:p>
          <w:p w14:paraId="7E7FABD4"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Eksponeringer, der er omfattet af modpartsrisiko, indberettes i række 0040-0060 — og indberettes derfor ikke i denne række.</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Eksponeringer/transaktioner underlagt modpartsrisiko</w:t>
            </w:r>
          </w:p>
          <w:p w14:paraId="6DFA2486" w14:textId="77777777" w:rsidR="004D45AA" w:rsidRPr="002A677E" w:rsidRDefault="004D45AA" w:rsidP="004D45AA">
            <w:pPr>
              <w:rPr>
                <w:rFonts w:ascii="Times New Roman" w:hAnsi="Times New Roman"/>
                <w:b/>
                <w:sz w:val="24"/>
                <w:u w:val="single"/>
              </w:rPr>
            </w:pPr>
            <w:r>
              <w:rPr>
                <w:rFonts w:ascii="Times New Roman" w:hAnsi="Times New Roman"/>
                <w:sz w:val="24"/>
              </w:rPr>
              <w:t>Se de tilsvarende instrukser til CR SA i række 0090-0130.</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Pr>
                <w:rFonts w:ascii="Times New Roman" w:hAnsi="Times New Roman"/>
                <w:sz w:val="24"/>
              </w:rPr>
              <w:t>0040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Nettinggrupper for værdipapirfinansieringstransaktioner</w:t>
            </w:r>
          </w:p>
          <w:p w14:paraId="5DB6E99C" w14:textId="77777777" w:rsidR="004D45AA" w:rsidRPr="002A677E" w:rsidRDefault="004D45AA" w:rsidP="00393FF2">
            <w:pPr>
              <w:rPr>
                <w:rFonts w:ascii="Times New Roman" w:hAnsi="Times New Roman"/>
                <w:sz w:val="24"/>
              </w:rPr>
            </w:pPr>
            <w:r>
              <w:rPr>
                <w:rFonts w:ascii="Times New Roman" w:hAnsi="Times New Roman"/>
                <w:sz w:val="24"/>
              </w:rPr>
              <w:t>Se de tilsvarende instrukser til CR SA i række 0090.</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Pr>
                <w:rFonts w:ascii="Times New Roman" w:hAnsi="Times New Roman"/>
                <w:sz w:val="24"/>
              </w:rPr>
              <w:t>0050</w:t>
            </w:r>
          </w:p>
        </w:tc>
        <w:tc>
          <w:tcPr>
            <w:tcW w:w="8789" w:type="dxa"/>
          </w:tcPr>
          <w:p w14:paraId="4831B12D"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Nettinggrupper for derivater og terminsforretninger</w:t>
            </w:r>
          </w:p>
          <w:p w14:paraId="3566F3CC" w14:textId="77777777" w:rsidR="004D45AA" w:rsidRPr="002A677E" w:rsidRDefault="004D45AA" w:rsidP="00393FF2">
            <w:pPr>
              <w:rPr>
                <w:rFonts w:ascii="Times New Roman" w:hAnsi="Times New Roman"/>
                <w:sz w:val="24"/>
              </w:rPr>
            </w:pPr>
            <w:r>
              <w:rPr>
                <w:rFonts w:ascii="Times New Roman" w:hAnsi="Times New Roman"/>
                <w:sz w:val="24"/>
              </w:rPr>
              <w:t>Se de tilsvarende instrukser til CR SA i række 0110.</w:t>
            </w:r>
          </w:p>
          <w:p w14:paraId="49A3BAE4" w14:textId="77777777" w:rsidR="004D45AA" w:rsidRPr="002A677E" w:rsidRDefault="004D45AA" w:rsidP="004D45AA">
            <w:pPr>
              <w:ind w:left="72"/>
              <w:rPr>
                <w:rFonts w:ascii="Times New Roman" w:hAnsi="Times New Roman"/>
                <w:sz w:val="24"/>
              </w:rPr>
            </w:pP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Pr>
                <w:rFonts w:ascii="Times New Roman" w:hAnsi="Times New Roman"/>
                <w:sz w:val="24"/>
              </w:rPr>
              <w:t>0060</w:t>
            </w:r>
          </w:p>
        </w:tc>
        <w:tc>
          <w:tcPr>
            <w:tcW w:w="8789" w:type="dxa"/>
          </w:tcPr>
          <w:p w14:paraId="6A0FC7D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Fra aftaler om nettinggrupper på tværs af produkter</w:t>
            </w:r>
          </w:p>
          <w:p w14:paraId="7A725958" w14:textId="77777777" w:rsidR="004D45AA" w:rsidRPr="002A677E" w:rsidRDefault="004D45AA" w:rsidP="004D45AA">
            <w:pPr>
              <w:rPr>
                <w:rFonts w:ascii="Times New Roman" w:hAnsi="Times New Roman"/>
                <w:sz w:val="24"/>
              </w:rPr>
            </w:pPr>
            <w:r>
              <w:rPr>
                <w:rFonts w:ascii="Times New Roman" w:hAnsi="Times New Roman"/>
                <w:sz w:val="24"/>
              </w:rPr>
              <w:t>Se de tilsvarende instrukser til CR SA i række 0130.</w:t>
            </w:r>
          </w:p>
        </w:tc>
      </w:tr>
      <w:tr w:rsidR="004D45AA" w:rsidRPr="002A677E" w14:paraId="3A09B323" w14:textId="77777777" w:rsidTr="00672D2A">
        <w:tc>
          <w:tcPr>
            <w:tcW w:w="1242" w:type="dxa"/>
          </w:tcPr>
          <w:p w14:paraId="4D985647" w14:textId="77777777" w:rsidR="004D45AA" w:rsidRPr="002A677E" w:rsidRDefault="004D45AA" w:rsidP="004D45AA">
            <w:pPr>
              <w:rPr>
                <w:rFonts w:ascii="Times New Roman" w:hAnsi="Times New Roman"/>
                <w:sz w:val="24"/>
              </w:rPr>
            </w:pPr>
            <w:r>
              <w:rPr>
                <w:rFonts w:ascii="Times New Roman" w:hAnsi="Times New Roman"/>
                <w:sz w:val="24"/>
              </w:rPr>
              <w:t>0070</w:t>
            </w:r>
          </w:p>
        </w:tc>
        <w:tc>
          <w:tcPr>
            <w:tcW w:w="8789" w:type="dxa"/>
          </w:tcPr>
          <w:p w14:paraId="6832D255"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EKSPONERINGER TILDELT LÅNTAGERKLASSER ELLER -PULJER: I ALT</w:t>
            </w:r>
          </w:p>
          <w:p w14:paraId="00BC0058" w14:textId="747DB797" w:rsidR="004D45AA" w:rsidRPr="002A677E" w:rsidRDefault="004D45AA" w:rsidP="004D45AA">
            <w:pPr>
              <w:rPr>
                <w:rFonts w:ascii="Times New Roman" w:hAnsi="Times New Roman"/>
                <w:sz w:val="24"/>
              </w:rPr>
            </w:pPr>
            <w:r>
              <w:rPr>
                <w:rFonts w:ascii="Times New Roman" w:hAnsi="Times New Roman"/>
                <w:sz w:val="24"/>
              </w:rPr>
              <w:lastRenderedPageBreak/>
              <w:t xml:space="preserve">For så vidt angår eksponeringer mod selskaber, institutter samt centralregeringer og centralbanker, se artikel 142, stk. 1, nr. 6), og artikel 170, stk. 1, litra c), i forordning (EU) nr. 575/2013. </w:t>
            </w:r>
          </w:p>
          <w:p w14:paraId="4765CDF1" w14:textId="15E104B1" w:rsidR="004D45AA" w:rsidRPr="002A677E" w:rsidRDefault="004D45AA" w:rsidP="004D45AA">
            <w:pPr>
              <w:rPr>
                <w:rFonts w:ascii="Times New Roman" w:hAnsi="Times New Roman"/>
                <w:sz w:val="24"/>
              </w:rPr>
            </w:pPr>
            <w:r>
              <w:rPr>
                <w:rFonts w:ascii="Times New Roman" w:hAnsi="Times New Roman"/>
                <w:sz w:val="24"/>
              </w:rPr>
              <w:t xml:space="preserve">For så vidt angår detaileksponeringer, se artikel 170, stk. 3, litra b), i forordning (EU) nr. 575/2013. For så vidt angår eksponeringer, der opstår som følge af erhvervede fordringer, se artikel 166, stk. 6, i forordning (EU) nr. 575/2013. </w:t>
            </w:r>
          </w:p>
          <w:p w14:paraId="279A6335" w14:textId="77777777" w:rsidR="004D45AA" w:rsidRPr="002A677E" w:rsidRDefault="004D45AA" w:rsidP="004D45AA">
            <w:pPr>
              <w:rPr>
                <w:rFonts w:ascii="Times New Roman" w:hAnsi="Times New Roman"/>
                <w:sz w:val="24"/>
              </w:rPr>
            </w:pPr>
            <w:r>
              <w:rPr>
                <w:rFonts w:ascii="Times New Roman" w:hAnsi="Times New Roman"/>
                <w:sz w:val="24"/>
              </w:rPr>
              <w:t>Eksponeringer mod udvandingsrisiko for erhvervede fordringer indberettes ikke efter låntagerklasser eller -puljer og indberettes i række 0180.</w:t>
            </w:r>
          </w:p>
          <w:p w14:paraId="68DCA039" w14:textId="77777777" w:rsidR="004D45AA" w:rsidRPr="002A677E" w:rsidRDefault="004D45AA" w:rsidP="004D45AA">
            <w:pPr>
              <w:rPr>
                <w:rFonts w:ascii="Times New Roman" w:hAnsi="Times New Roman"/>
                <w:sz w:val="24"/>
              </w:rPr>
            </w:pPr>
            <w:r>
              <w:rPr>
                <w:rFonts w:ascii="Times New Roman" w:hAnsi="Times New Roman"/>
                <w:sz w:val="24"/>
              </w:rPr>
              <w:t xml:space="preserve">Hvis instituttet anvender mange klasser eller puljer, kan der indberettes et lavere antal klasser eller puljer efter aftale med de kompetente myndigheder. </w:t>
            </w:r>
          </w:p>
          <w:p w14:paraId="72FB9ED8" w14:textId="77777777" w:rsidR="004D45AA" w:rsidRPr="002A677E" w:rsidRDefault="004D45AA" w:rsidP="004D45AA">
            <w:pPr>
              <w:rPr>
                <w:rFonts w:ascii="Times New Roman" w:hAnsi="Times New Roman"/>
                <w:sz w:val="24"/>
              </w:rPr>
            </w:pPr>
            <w:r>
              <w:rPr>
                <w:rFonts w:ascii="Times New Roman" w:hAnsi="Times New Roman"/>
                <w:sz w:val="24"/>
              </w:rPr>
              <w:t xml:space="preserve">Der anvendes ikke en masterskala for tilsyn. Institutterne vælger selv den skala, de vil anvende.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Pr>
                <w:rFonts w:ascii="Times New Roman" w:hAnsi="Times New Roman"/>
                <w:sz w:val="24"/>
              </w:rPr>
              <w:lastRenderedPageBreak/>
              <w:t>0080</w:t>
            </w:r>
          </w:p>
        </w:tc>
        <w:tc>
          <w:tcPr>
            <w:tcW w:w="8789" w:type="dxa"/>
          </w:tcPr>
          <w:p w14:paraId="69AD0960" w14:textId="77777777" w:rsidR="004D45AA" w:rsidRPr="002A677E" w:rsidRDefault="004D45AA" w:rsidP="004D45AA">
            <w:pPr>
              <w:rPr>
                <w:rFonts w:ascii="Times New Roman" w:hAnsi="Times New Roman"/>
                <w:sz w:val="24"/>
              </w:rPr>
            </w:pPr>
            <w:r>
              <w:rPr>
                <w:rFonts w:ascii="Times New Roman" w:hAnsi="Times New Roman"/>
                <w:b/>
                <w:sz w:val="24"/>
                <w:u w:val="single"/>
              </w:rPr>
              <w:t>KATEGORISERINGSMETODEN FOR SPECIALISERET LÅNGIVNING: I ALT</w:t>
            </w:r>
          </w:p>
          <w:p w14:paraId="2E4D8D67" w14:textId="7374E7DD" w:rsidR="004D45AA" w:rsidRPr="002A677E" w:rsidRDefault="004D45AA" w:rsidP="00AC6619">
            <w:pPr>
              <w:rPr>
                <w:rFonts w:ascii="Times New Roman" w:hAnsi="Times New Roman"/>
                <w:sz w:val="24"/>
              </w:rPr>
            </w:pPr>
            <w:r>
              <w:rPr>
                <w:rFonts w:ascii="Times New Roman" w:hAnsi="Times New Roman"/>
                <w:sz w:val="24"/>
              </w:rPr>
              <w:t xml:space="preserve">Artikel 153, stk. 5, i forordning (EU) nr. 575/2013 Dette gælder kun for eksponeringsklassen for selskaber - specialiseret långivning. </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Pr>
                <w:rFonts w:ascii="Times New Roman" w:hAnsi="Times New Roman"/>
                <w:sz w:val="24"/>
              </w:rPr>
              <w:t>0160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ALTERNATIV BEHANDLING: SIKRET VED PANT I FAST EJENDOM</w:t>
            </w:r>
          </w:p>
          <w:p w14:paraId="6131F39B" w14:textId="6E1869D7" w:rsidR="004D45AA" w:rsidRPr="002A677E" w:rsidRDefault="004D45AA" w:rsidP="004D45AA">
            <w:pPr>
              <w:rPr>
                <w:rFonts w:ascii="Times New Roman" w:hAnsi="Times New Roman"/>
                <w:sz w:val="24"/>
              </w:rPr>
            </w:pPr>
            <w:r>
              <w:rPr>
                <w:rFonts w:ascii="Times New Roman" w:hAnsi="Times New Roman"/>
                <w:sz w:val="24"/>
              </w:rPr>
              <w:t>Artikel 193, stk. 1 og 2, artikel 194, stk. 1 til 7, og artikel 230, stk. 3, i forordning (EU) nr. 575/2013</w:t>
            </w:r>
          </w:p>
          <w:p w14:paraId="545B7E96" w14:textId="77777777" w:rsidR="004D45AA" w:rsidRPr="002A677E" w:rsidRDefault="004D45AA" w:rsidP="004D45AA">
            <w:pPr>
              <w:rPr>
                <w:rFonts w:ascii="Times New Roman" w:hAnsi="Times New Roman"/>
                <w:sz w:val="24"/>
              </w:rPr>
            </w:pPr>
            <w:r>
              <w:rPr>
                <w:rFonts w:ascii="Times New Roman" w:hAnsi="Times New Roman"/>
                <w:sz w:val="24"/>
              </w:rPr>
              <w:t>Dette alternativ er kun tilgængeligt for institutter, der anvender den grundlæggende IRB-metode.</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Pr>
                <w:rFonts w:ascii="Times New Roman" w:hAnsi="Times New Roman"/>
                <w:sz w:val="24"/>
              </w:rPr>
              <w:t>0170</w:t>
            </w:r>
          </w:p>
        </w:tc>
        <w:tc>
          <w:tcPr>
            <w:tcW w:w="8789" w:type="dxa"/>
          </w:tcPr>
          <w:p w14:paraId="5B7DE340" w14:textId="68CC0D8F"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EKSPONERINGER SOM FØLGE AF LEVERINGSRISIKO (FREE DELIVERIES) UNDERLAGT RISIKOVÆGTE I HENHOLD TIL ALTERNATIV BEHANDLING, RISIKOVÆGTE PÅ 100 % OG ANDRE EKSPONERINGER UNDERLAGT RISIKOVÆGTE</w:t>
            </w:r>
          </w:p>
          <w:p w14:paraId="0783F043" w14:textId="77311876" w:rsidR="004D45AA" w:rsidRPr="002A677E" w:rsidRDefault="004D45AA" w:rsidP="00E1685B">
            <w:pPr>
              <w:rPr>
                <w:rFonts w:ascii="Times New Roman" w:hAnsi="Times New Roman"/>
                <w:sz w:val="24"/>
              </w:rPr>
            </w:pPr>
            <w:r>
              <w:rPr>
                <w:rFonts w:ascii="Times New Roman" w:hAnsi="Times New Roman"/>
                <w:sz w:val="24"/>
              </w:rPr>
              <w:t>Eksponeringer, der opstår som følge af leveringsrisiko (free deliveries), der er underlagt den alternative behandling, som er omhandlet i artikel 379, stk. 2, første afsnit, sidste punktum, i forordning (EU) nr. 575/2013, eller som pålægges en risikovægt på 100 % i henhold til artikel 379, stk. 2, sidste afsnit, i forordning (EU) nr. 575/2013. Ikke-ratede "nth to default"-kreditderivater, jf. artikel 153, stk. 8, i forordning (EU) nr. 575/2013, og anden eksponering omfattet af risikovægte, som ikke er anført i en anden række, indberettes i denne række.</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Pr>
                <w:rFonts w:ascii="Times New Roman" w:hAnsi="Times New Roman"/>
                <w:sz w:val="24"/>
              </w:rPr>
              <w:t>0180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UDVANDINGSRISIKO: ERHVERVEDE FORDRINGER I ALT</w:t>
            </w:r>
          </w:p>
          <w:p w14:paraId="52C8CBD1" w14:textId="02980A54" w:rsidR="004D45AA" w:rsidRPr="002A677E" w:rsidRDefault="004D45AA" w:rsidP="004D45AA">
            <w:pPr>
              <w:rPr>
                <w:rFonts w:ascii="Times New Roman" w:hAnsi="Times New Roman"/>
                <w:sz w:val="24"/>
              </w:rPr>
            </w:pPr>
            <w:r>
              <w:rPr>
                <w:rFonts w:ascii="Times New Roman" w:hAnsi="Times New Roman"/>
                <w:sz w:val="24"/>
              </w:rPr>
              <w:t>Se artikel 4, stk. 1, nr. 53), i forordning (EU) nr. 575/2013 for en definition af udvandingsrisiko. For så vidt angår beregning af risikovægtede eksponeringer for udvandingsrisiko, se artikel 157 i forordning (EU) nr. 575/2013. Udvandingsrisici indberettes for erhvervede erhvervsfordringer og detailfordringer.</w:t>
            </w:r>
          </w:p>
          <w:p w14:paraId="7C3FE345" w14:textId="77777777" w:rsidR="004D45AA" w:rsidRPr="002A677E" w:rsidRDefault="004D45AA" w:rsidP="004D45AA">
            <w:pPr>
              <w:rPr>
                <w:rFonts w:ascii="Times New Roman" w:hAnsi="Times New Roman"/>
                <w:sz w:val="24"/>
              </w:rPr>
            </w:pP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321" w:name="_Toc473560911"/>
      <w:bookmarkStart w:id="322" w:name="_Toc119059333"/>
      <w:r>
        <w:rPr>
          <w:rFonts w:ascii="Times New Roman" w:hAnsi="Times New Roman"/>
          <w:sz w:val="24"/>
          <w:u w:val="none"/>
        </w:rPr>
        <w:lastRenderedPageBreak/>
        <w:t>3.3.4.</w:t>
      </w:r>
      <w:r>
        <w:tab/>
      </w:r>
      <w:r>
        <w:rPr>
          <w:rFonts w:ascii="Times New Roman" w:hAnsi="Times New Roman"/>
          <w:sz w:val="24"/>
        </w:rPr>
        <w:t>C 08.02 — Kreditrisiko, modpartsrisiko og leveringsrisiko (free deliveries): Kapitalkrav opgjort efter IRB-metoden: opdeling efter låntagerklasser eller -puljer (CR IRB 2-skemaet)</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Pr>
                <w:rFonts w:ascii="Times New Roman" w:hAnsi="Times New Roman"/>
                <w:sz w:val="24"/>
              </w:rPr>
              <w:t>Kolonne</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Pr>
                <w:rFonts w:ascii="Times New Roman" w:hAnsi="Times New Roman"/>
                <w:sz w:val="24"/>
              </w:rPr>
              <w:t>Instrukser</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Pr>
                <w:rFonts w:ascii="Times New Roman" w:hAnsi="Times New Roman"/>
                <w:sz w:val="24"/>
              </w:rPr>
              <w:t>0005</w:t>
            </w:r>
          </w:p>
        </w:tc>
        <w:tc>
          <w:tcPr>
            <w:tcW w:w="7804" w:type="dxa"/>
          </w:tcPr>
          <w:p w14:paraId="599834F4" w14:textId="77777777" w:rsidR="00E97CD2" w:rsidRPr="002A677E" w:rsidRDefault="00E97CD2" w:rsidP="001C7AB7">
            <w:pPr>
              <w:rPr>
                <w:rFonts w:ascii="Times New Roman" w:hAnsi="Times New Roman"/>
                <w:b/>
                <w:sz w:val="24"/>
                <w:u w:val="single"/>
              </w:rPr>
            </w:pPr>
            <w:r>
              <w:rPr>
                <w:rFonts w:ascii="Times New Roman" w:hAnsi="Times New Roman"/>
                <w:b/>
                <w:sz w:val="24"/>
                <w:u w:val="single"/>
              </w:rPr>
              <w:t>Låntagerklasse (ID-kode for rækken)</w:t>
            </w:r>
          </w:p>
          <w:p w14:paraId="3F34567F" w14:textId="77777777" w:rsidR="00E97CD2" w:rsidRPr="002A677E" w:rsidRDefault="00E97CD2" w:rsidP="00133396">
            <w:pPr>
              <w:rPr>
                <w:rFonts w:ascii="Times New Roman" w:hAnsi="Times New Roman"/>
                <w:sz w:val="24"/>
              </w:rPr>
            </w:pPr>
            <w:r>
              <w:rPr>
                <w:rFonts w:ascii="Times New Roman" w:hAnsi="Times New Roman"/>
                <w:sz w:val="24"/>
              </w:rPr>
              <w:t>Dette er en ID-kode for rækken, og den skal være unik for hver enkelt række i et bestemt ark i skemaet. Den skal være i nummerorden (1, 2, 3 osv.).</w:t>
            </w:r>
          </w:p>
          <w:p w14:paraId="55E72884" w14:textId="77777777" w:rsidR="008151A6" w:rsidRPr="002A677E" w:rsidRDefault="008151A6" w:rsidP="00133396">
            <w:pPr>
              <w:rPr>
                <w:rFonts w:ascii="Times New Roman" w:hAnsi="Times New Roman"/>
                <w:sz w:val="24"/>
              </w:rPr>
            </w:pPr>
            <w:r>
              <w:rPr>
                <w:rFonts w:ascii="Times New Roman" w:hAnsi="Times New Roman"/>
                <w:sz w:val="24"/>
              </w:rPr>
              <w:t xml:space="preserve">Den første klasse (eller pulje), der skal indberettes, er den bedste, så kommer den næstbedste osv. Den eller de sidste indberettede klasser (eller puljer) skal være for misligholdte eksponeringer.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Pr>
                <w:rFonts w:ascii="Times New Roman" w:hAnsi="Times New Roman"/>
                <w:sz w:val="24"/>
              </w:rPr>
              <w:t>0010-0300</w:t>
            </w:r>
          </w:p>
        </w:tc>
        <w:tc>
          <w:tcPr>
            <w:tcW w:w="7804" w:type="dxa"/>
          </w:tcPr>
          <w:p w14:paraId="1FB5E29A" w14:textId="77777777" w:rsidR="001C7AB7" w:rsidRPr="002A677E" w:rsidRDefault="001C7AB7" w:rsidP="00133396">
            <w:pPr>
              <w:rPr>
                <w:rFonts w:ascii="Times New Roman" w:hAnsi="Times New Roman"/>
                <w:sz w:val="24"/>
              </w:rPr>
            </w:pPr>
            <w:r>
              <w:rPr>
                <w:rFonts w:ascii="Times New Roman" w:hAnsi="Times New Roman"/>
                <w:sz w:val="24"/>
              </w:rPr>
              <w:t>Instrukserne til hver af disse kolonner er de samme som for de tilsvarende nummererede kolonner i CR IRB 1-skemaet.</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Pr>
                <w:rFonts w:ascii="Times New Roman" w:hAnsi="Times New Roman"/>
                <w:sz w:val="24"/>
              </w:rPr>
              <w:t>Række</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Pr>
                <w:rFonts w:ascii="Times New Roman" w:hAnsi="Times New Roman"/>
                <w:sz w:val="24"/>
              </w:rPr>
              <w:t>Instrukser</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Pr>
                <w:rFonts w:ascii="Times New Roman" w:hAnsi="Times New Roman"/>
                <w:sz w:val="24"/>
              </w:rPr>
              <w:t>0010-0001 — 0010-NNNN</w:t>
            </w:r>
          </w:p>
        </w:tc>
        <w:tc>
          <w:tcPr>
            <w:tcW w:w="7804" w:type="dxa"/>
          </w:tcPr>
          <w:p w14:paraId="7FA42CDA" w14:textId="31846E30" w:rsidR="001C7AB7" w:rsidRPr="002A677E" w:rsidRDefault="001C7AB7" w:rsidP="00763B4B">
            <w:pPr>
              <w:rPr>
                <w:rFonts w:ascii="Times New Roman" w:hAnsi="Times New Roman"/>
                <w:sz w:val="24"/>
              </w:rPr>
            </w:pPr>
            <w:r>
              <w:rPr>
                <w:rFonts w:ascii="Times New Roman" w:hAnsi="Times New Roman"/>
                <w:sz w:val="24"/>
              </w:rPr>
              <w:t>Værdier, der indberettes i disse rækker, skal opstilles i den rækkefølge, der svarer til den PD, der er tildelt hver låntagerklasse eller -pulje. PD udgør 100 % for låntagere, der er i restance. Eksponeringer, der er underlagt alternativ behandling med hensyn til sikkerhed i fast ejendom (kun tilgængelig, når egne estimater ikke anvendes for LGD), tildeles ikke efter PD for låntageren og indberettes ikke i dette skema.</w:t>
            </w:r>
          </w:p>
        </w:tc>
      </w:tr>
    </w:tbl>
    <w:p w14:paraId="04D08AB4" w14:textId="77777777" w:rsidR="004357B9" w:rsidRPr="002A677E" w:rsidRDefault="004357B9" w:rsidP="00487A02">
      <w:pPr>
        <w:pStyle w:val="InstructionsText"/>
      </w:pPr>
    </w:p>
    <w:p w14:paraId="4F65BD1C" w14:textId="6799F0E4" w:rsidR="008151A6" w:rsidRPr="002A677E" w:rsidRDefault="008151A6" w:rsidP="00F66371">
      <w:pPr>
        <w:pStyle w:val="Instructionsberschrift2"/>
        <w:numPr>
          <w:ilvl w:val="2"/>
          <w:numId w:val="36"/>
        </w:numPr>
        <w:rPr>
          <w:rFonts w:ascii="Times New Roman" w:hAnsi="Times New Roman" w:cs="Times New Roman"/>
          <w:sz w:val="24"/>
        </w:rPr>
      </w:pPr>
      <w:bookmarkStart w:id="323" w:name="_Toc19715755"/>
      <w:bookmarkStart w:id="324" w:name="_Toc119059334"/>
      <w:r>
        <w:rPr>
          <w:rFonts w:ascii="Times New Roman" w:hAnsi="Times New Roman"/>
          <w:sz w:val="24"/>
        </w:rPr>
        <w:t>C 08.03 – Kreditrisiko og leveringsrisici (free deliveries): Kapitalkrav opgjort efter IRB-metoden (opdeling efter PD-intervaller (CR IRB 3))</w:t>
      </w:r>
      <w:bookmarkEnd w:id="323"/>
      <w:bookmarkEnd w:id="324"/>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rPr>
      </w:pPr>
      <w:bookmarkStart w:id="325" w:name="_Toc19715756"/>
      <w:bookmarkStart w:id="326" w:name="_Toc119059335"/>
      <w:r>
        <w:rPr>
          <w:rFonts w:ascii="Times New Roman" w:hAnsi="Times New Roman"/>
          <w:sz w:val="24"/>
        </w:rPr>
        <w:t>Generelle bemærkninger</w:t>
      </w:r>
      <w:bookmarkEnd w:id="325"/>
      <w:bookmarkEnd w:id="326"/>
    </w:p>
    <w:p w14:paraId="6CEFD717" w14:textId="357000AA" w:rsidR="008151A6" w:rsidRPr="002A677E" w:rsidRDefault="008F3052" w:rsidP="00487A02">
      <w:pPr>
        <w:pStyle w:val="InstructionsText2"/>
        <w:numPr>
          <w:ilvl w:val="0"/>
          <w:numId w:val="0"/>
        </w:numPr>
        <w:ind w:left="1353" w:hanging="360"/>
      </w:pPr>
      <w:fldSimple w:instr=" seq paragraphs ">
        <w:r>
          <w:t>77</w:t>
        </w:r>
      </w:fldSimple>
      <w:r>
        <w:t>. Institutterne skal indberette oplysningerne i dette skema i overensstemmelse med artikel 452, litra g), nr. i)-v), i forordning (EU) nr. 575/2013 for at give oplysninger om de vigtigste parametre, der anvendes til beregningen af kapitalkrav i forbindelse med IRB-metoden. De oplysninger, der indberettes i dette skema, omfatter ikke data om specialiseret långivning, jf. artikel 153, stk. 5, i forordning (EU) nr. 575/2013, som indgår i skema C 08.06. Dette skema omfatter ikke modpartsrisikoeksponeringer (tredje del, afsnit II, kapitel 6, i forordning (EU) nr. 575/2013).</w:t>
      </w:r>
    </w:p>
    <w:p w14:paraId="481B75E1" w14:textId="30B6065A"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27" w:name="_Toc19715757"/>
      <w:bookmarkStart w:id="328" w:name="_Toc119059336"/>
      <w:r>
        <w:rPr>
          <w:rFonts w:ascii="Times New Roman" w:hAnsi="Times New Roman"/>
          <w:sz w:val="24"/>
        </w:rPr>
        <w:t>Instrukser vedrørende specifikke positioner</w:t>
      </w:r>
      <w:bookmarkEnd w:id="327"/>
      <w:bookmarkEnd w:id="32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Pr>
                <w:rFonts w:ascii="Times New Roman" w:hAnsi="Times New Roman"/>
                <w:sz w:val="24"/>
              </w:rPr>
              <w:t>Kolonner</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Pr>
                <w:rFonts w:ascii="Times New Roman" w:hAnsi="Times New Roman"/>
                <w:sz w:val="24"/>
              </w:rPr>
              <w:t>Instrukser</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BALANCEFØRTE EKSPONERINGER</w:t>
            </w:r>
          </w:p>
          <w:p w14:paraId="4A8FAFE3" w14:textId="66012EBB" w:rsidR="008151A6" w:rsidRPr="002A677E" w:rsidRDefault="008151A6" w:rsidP="00A44410">
            <w:pPr>
              <w:rPr>
                <w:rFonts w:ascii="Times New Roman" w:hAnsi="Times New Roman"/>
                <w:sz w:val="24"/>
              </w:rPr>
            </w:pPr>
            <w:r>
              <w:rPr>
                <w:rFonts w:ascii="Times New Roman" w:hAnsi="Times New Roman"/>
                <w:sz w:val="24"/>
              </w:rPr>
              <w:t>Eksponeringsværdi beregnet i henhold til artikel 166, stk. 1-7, i forordning (EU) nr. 575/2013</w:t>
            </w:r>
            <w:r>
              <w:t xml:space="preserve"> </w:t>
            </w:r>
            <w:r>
              <w:rPr>
                <w:rFonts w:ascii="Times New Roman" w:hAnsi="Times New Roman"/>
                <w:sz w:val="24"/>
              </w:rPr>
              <w:t>uden hensyntagen til eventuelle kreditrisikojusteringer</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IKKEBALANCEFØRTE EKSPONERINGER FØR ANVENDELSE AF KONVERTERINGSFAKTORER</w:t>
            </w:r>
          </w:p>
          <w:p w14:paraId="7DE32B0B" w14:textId="372191B7" w:rsidR="008151A6" w:rsidRPr="002A677E" w:rsidRDefault="008151A6" w:rsidP="00664874">
            <w:pPr>
              <w:rPr>
                <w:rFonts w:ascii="Times New Roman" w:hAnsi="Times New Roman"/>
                <w:sz w:val="24"/>
              </w:rPr>
            </w:pPr>
            <w:r>
              <w:rPr>
                <w:rFonts w:ascii="Times New Roman" w:hAnsi="Times New Roman"/>
                <w:sz w:val="24"/>
              </w:rPr>
              <w:t xml:space="preserve">Eksponeringsværdien i overensstemmelse med artikel 166, stk. 1-7, i forordning (EU) nr. 575/2013, uden hensyntagen til eventuelle kreditrisikojusteringer og konverteringsfaktorer, og heller ikke til egne estimater eller konverteringsfaktorer som anført i artikel 166, stk. 8, i forordning (EU) nr. 575/2013, eller de i artikel 166, stk. 10, i nævnte forordning nævnte procentdele. </w:t>
            </w:r>
          </w:p>
          <w:p w14:paraId="0EF7359E" w14:textId="1DDFF139" w:rsidR="008151A6" w:rsidRPr="002A677E" w:rsidRDefault="008151A6" w:rsidP="00664874">
            <w:pPr>
              <w:rPr>
                <w:rFonts w:ascii="Times New Roman" w:hAnsi="Times New Roman"/>
                <w:sz w:val="24"/>
              </w:rPr>
            </w:pPr>
            <w:r>
              <w:rPr>
                <w:rFonts w:ascii="Times New Roman" w:hAnsi="Times New Roman"/>
                <w:sz w:val="24"/>
              </w:rPr>
              <w:t>Ikkebalanceførte eksponeringer omfatter alle forpligtede, men ikketrukne beløb og alle ikkebalanceførte poster som anført i bilag I til forordning (EU) nr. 575/2013.</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EKSPONERINGSVÆGTEDE GENNEMSNITLIGE KONVERTERINGSFAKTORER</w:t>
            </w:r>
          </w:p>
          <w:p w14:paraId="7D88A5C8" w14:textId="77777777" w:rsidR="008151A6" w:rsidRPr="002A677E" w:rsidRDefault="008151A6" w:rsidP="00A44410">
            <w:pPr>
              <w:rPr>
                <w:rFonts w:ascii="Times New Roman" w:hAnsi="Times New Roman"/>
                <w:sz w:val="24"/>
              </w:rPr>
            </w:pPr>
            <w:r>
              <w:rPr>
                <w:rFonts w:ascii="Times New Roman" w:hAnsi="Times New Roman"/>
                <w:sz w:val="24"/>
              </w:rPr>
              <w:t xml:space="preserve">For alle eksponeringer, der indgår i hver undergruppe af det fastsatte PD-interval, den gennemsnitlige konverteringsfaktor, der anvendes af institutterne i deres beregning af risikovægtede eksponeringer. vægtet med den ikkebalanceførte eksponering før anvendelse af konverteringsfaktorer som indberettet i kolonne 0020.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EKSPONERINGER EFTER KONVERTERINGSFAKTORER OG EFTER KREDITRISIKOREDUKTIONSTEKNIKKER</w:t>
            </w:r>
          </w:p>
          <w:p w14:paraId="2389923D" w14:textId="3335E615" w:rsidR="008151A6" w:rsidRPr="002A677E" w:rsidRDefault="008151A6" w:rsidP="00664874">
            <w:pPr>
              <w:rPr>
                <w:rFonts w:ascii="Times New Roman" w:hAnsi="Times New Roman"/>
                <w:sz w:val="24"/>
              </w:rPr>
            </w:pPr>
            <w:r>
              <w:rPr>
                <w:rFonts w:ascii="Times New Roman" w:hAnsi="Times New Roman"/>
                <w:sz w:val="24"/>
              </w:rPr>
              <w:t>Eksponeringsværdi i overensstemmelse med artikel 166 i forordning (EU) nr. 575/2013.</w:t>
            </w:r>
          </w:p>
          <w:p w14:paraId="6FBBE395" w14:textId="57B966ED" w:rsidR="008151A6" w:rsidRPr="002A677E" w:rsidRDefault="008151A6" w:rsidP="00E1685B">
            <w:pPr>
              <w:rPr>
                <w:rFonts w:ascii="Times New Roman" w:hAnsi="Times New Roman"/>
                <w:sz w:val="24"/>
              </w:rPr>
            </w:pPr>
            <w:r>
              <w:rPr>
                <w:rFonts w:ascii="Times New Roman" w:hAnsi="Times New Roman"/>
                <w:sz w:val="24"/>
              </w:rPr>
              <w:t>Denne kolonne skal omfatte summen af eksponeringsværdien af balanceførte og ikkebalanceførte eksponeringer efter konverteringsfaktorer i overensstemmelse med artikel 166, stk. 8-10, i forordning (EU) nr. 575/2013 og efter kreditrisikoreduktionsteknikker.</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EKSPONERINGSVÆGTET GENNEMSNITLIG PD (%)</w:t>
            </w:r>
          </w:p>
          <w:p w14:paraId="56D6AA16" w14:textId="77777777" w:rsidR="008151A6" w:rsidRDefault="008151A6" w:rsidP="00A44410">
            <w:pPr>
              <w:rPr>
                <w:rFonts w:ascii="Times New Roman" w:hAnsi="Times New Roman"/>
                <w:sz w:val="24"/>
              </w:rPr>
            </w:pPr>
            <w:r>
              <w:rPr>
                <w:rFonts w:ascii="Times New Roman" w:hAnsi="Times New Roman"/>
                <w:sz w:val="24"/>
              </w:rPr>
              <w:t>For alle eksponeringer, der indgår i hver undergruppe af det fastsatte PD-interval, det gennemsnitlige PD-estimat for hver låntager, vægtet med eksponeringsværdien efter konverteringsfaktorer og efter kreditrisikoreduktionsteknikker som indberettet i kolonne 0040.</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Denne kolonne skal ikke udfyldes for den samlede eksponering i alle eksponeringsklasser.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ANTAL LÅNTAGERE</w:t>
            </w:r>
          </w:p>
          <w:p w14:paraId="5A4B79B4" w14:textId="77777777" w:rsidR="00463F88" w:rsidRPr="002A677E" w:rsidRDefault="008151A6" w:rsidP="001A370B">
            <w:pPr>
              <w:rPr>
                <w:rFonts w:ascii="Times New Roman" w:hAnsi="Times New Roman"/>
                <w:sz w:val="24"/>
              </w:rPr>
            </w:pPr>
            <w:r>
              <w:rPr>
                <w:rFonts w:ascii="Times New Roman" w:hAnsi="Times New Roman"/>
                <w:sz w:val="24"/>
              </w:rPr>
              <w:t xml:space="preserve">Antallet af juridiske enheder eller låntagere, der er fordelt på hver undergruppe af det fastsatte PD-interval. </w:t>
            </w:r>
          </w:p>
          <w:p w14:paraId="1C88C53C" w14:textId="77777777" w:rsidR="001A370B" w:rsidRPr="002A677E" w:rsidRDefault="001A370B" w:rsidP="001A370B">
            <w:pPr>
              <w:rPr>
                <w:rFonts w:ascii="Times New Roman" w:hAnsi="Times New Roman"/>
                <w:sz w:val="24"/>
              </w:rPr>
            </w:pPr>
            <w:r>
              <w:rPr>
                <w:rFonts w:ascii="Times New Roman" w:hAnsi="Times New Roman"/>
                <w:sz w:val="24"/>
              </w:rPr>
              <w:t>Antallet af låntagere medregnes i overensstemmelse med instrukserne i kolonne 0300 i skema C 08.01. Fælles låntagere behandles på samme måde som med henblik på PD-kalibrering.</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EKSPONERINGSVÆGTET GENNEMSNITLIGT LGD (%)</w:t>
            </w:r>
          </w:p>
          <w:p w14:paraId="184DDD1C" w14:textId="77777777" w:rsidR="008151A6" w:rsidRPr="002A677E" w:rsidRDefault="008151A6" w:rsidP="00664874">
            <w:pPr>
              <w:rPr>
                <w:rFonts w:ascii="Times New Roman" w:hAnsi="Times New Roman"/>
                <w:sz w:val="24"/>
              </w:rPr>
            </w:pPr>
            <w:r>
              <w:rPr>
                <w:rFonts w:ascii="Times New Roman" w:hAnsi="Times New Roman"/>
                <w:sz w:val="24"/>
              </w:rPr>
              <w:t>For alle eksponeringer, der indgår i hver undergruppe af det fastsatte PD-interval, de gennemsnitlige LGD-estimater for hver eksponering, vægtet med eksponeringsværdien efter konverteringsfaktorer og efter kreditrisikoreduktionsteknikker som indberettet i kolonne 0040.</w:t>
            </w:r>
          </w:p>
          <w:p w14:paraId="7E28335D" w14:textId="7EAE8748" w:rsidR="008151A6" w:rsidRPr="002A677E" w:rsidRDefault="008151A6" w:rsidP="00664874">
            <w:pPr>
              <w:rPr>
                <w:rFonts w:ascii="Times New Roman" w:hAnsi="Times New Roman"/>
                <w:sz w:val="24"/>
              </w:rPr>
            </w:pPr>
            <w:r>
              <w:rPr>
                <w:rFonts w:ascii="Times New Roman" w:hAnsi="Times New Roman"/>
                <w:sz w:val="24"/>
              </w:rPr>
              <w:t xml:space="preserve">Det indberettede LGD skal svare til det endelige LGD-estimat, der er anvendt til beregningen af risikovægtede beløb, som fremkommer efter hensyntagen til eventuelle virkninger af kreditrisikoreduktionsteknikker og, hvor det er relevant, økonomiske nedgangsperioder. </w:t>
            </w:r>
            <w:r>
              <w:rPr>
                <w:rFonts w:ascii="Times New Roman" w:hAnsi="Times New Roman"/>
                <w:sz w:val="24"/>
              </w:rPr>
              <w:lastRenderedPageBreak/>
              <w:t>For så vidt angår detaileksponeringer sikret ved pant i fast ejendom, skal de LGD, der er indberettet, tage hensyn til de bundværdier, der er angivet i artikel 164, stk. 4, i forordning (EU) nr. 575/2013.</w:t>
            </w:r>
          </w:p>
          <w:p w14:paraId="67477FD4" w14:textId="0888D8A9" w:rsidR="008151A6" w:rsidRPr="002A677E" w:rsidRDefault="008151A6" w:rsidP="00664874">
            <w:pPr>
              <w:rPr>
                <w:rFonts w:ascii="Times New Roman" w:hAnsi="Times New Roman"/>
                <w:sz w:val="24"/>
              </w:rPr>
            </w:pPr>
            <w:r>
              <w:rPr>
                <w:rFonts w:ascii="Times New Roman" w:hAnsi="Times New Roman"/>
                <w:sz w:val="24"/>
              </w:rPr>
              <w:t>Hvis eksponeringer er underlagt double default-behandling, skal det indberettede LGD svare til det, der er valgt i henhold til artikel 161, stk. 4, i forordning (EU) nr. 575/2013.</w:t>
            </w:r>
          </w:p>
          <w:p w14:paraId="697FA337" w14:textId="39B86209" w:rsidR="008151A6" w:rsidRDefault="008151A6" w:rsidP="00E1685B">
            <w:pPr>
              <w:rPr>
                <w:rFonts w:ascii="Times New Roman" w:hAnsi="Times New Roman"/>
                <w:sz w:val="24"/>
              </w:rPr>
            </w:pPr>
            <w:r>
              <w:rPr>
                <w:rFonts w:ascii="Times New Roman" w:hAnsi="Times New Roman"/>
                <w:sz w:val="24"/>
              </w:rPr>
              <w:t xml:space="preserve">For misligholdte eksponeringer i henhold til A-IRB-metoden tages der hensyn til de bestemmelser, der er fastsat i artikel 181, stk. 1, litra h), i forordning (EU) nr. 575/2013. De indberettede LGD skal svare til estimatet over misligholdte LGD'er </w:t>
            </w:r>
            <w:r>
              <w:rPr>
                <w:rStyle w:val="InstructionsTabelleText"/>
                <w:rFonts w:ascii="Times New Roman" w:hAnsi="Times New Roman"/>
                <w:sz w:val="24"/>
              </w:rPr>
              <w:t>i overensstemmelse med</w:t>
            </w:r>
            <w:r>
              <w:rPr>
                <w:rFonts w:ascii="Times New Roman" w:hAnsi="Times New Roman"/>
                <w:sz w:val="24"/>
              </w:rPr>
              <w:t xml:space="preserve"> de gældende estimeringsmetoder.</w:t>
            </w:r>
          </w:p>
          <w:p w14:paraId="3CFFCA66" w14:textId="60A573D5" w:rsidR="00121BFD" w:rsidRPr="002A677E" w:rsidRDefault="00121BFD" w:rsidP="00E1685B">
            <w:pPr>
              <w:rPr>
                <w:rFonts w:ascii="Times New Roman" w:hAnsi="Times New Roman"/>
                <w:sz w:val="24"/>
              </w:rPr>
            </w:pPr>
            <w:r>
              <w:rPr>
                <w:rFonts w:ascii="Times New Roman" w:hAnsi="Times New Roman"/>
                <w:sz w:val="24"/>
              </w:rPr>
              <w:t>Denne kolonne skal ikke udfyldes for den samlede eksponering i alle eksponeringsklasser.</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EKSPONERINGSVÆGTET GENNEMSNITLIG LØBETID (ÅR)</w:t>
            </w:r>
          </w:p>
          <w:p w14:paraId="78A0978E" w14:textId="77777777" w:rsidR="008151A6" w:rsidRPr="002A677E" w:rsidRDefault="008151A6" w:rsidP="00664874">
            <w:pPr>
              <w:rPr>
                <w:rFonts w:ascii="Times New Roman" w:hAnsi="Times New Roman"/>
                <w:sz w:val="24"/>
              </w:rPr>
            </w:pPr>
            <w:r>
              <w:rPr>
                <w:rFonts w:ascii="Times New Roman" w:hAnsi="Times New Roman"/>
                <w:sz w:val="24"/>
              </w:rPr>
              <w:t>For alle eksponeringer, der indgår i hver undergruppe af det fastsatte PD-interval, den gennemsnitlige løbetid for hver eksponering vægtet med eksponeringsværdien efter konverteringsfaktoren som indberettet i kolonne 0040.</w:t>
            </w:r>
          </w:p>
          <w:p w14:paraId="43E30C16" w14:textId="1200D251" w:rsidR="008151A6" w:rsidRPr="002A677E" w:rsidRDefault="008151A6" w:rsidP="00664874">
            <w:pPr>
              <w:rPr>
                <w:rFonts w:ascii="Times New Roman" w:hAnsi="Times New Roman"/>
                <w:sz w:val="24"/>
              </w:rPr>
            </w:pPr>
            <w:r>
              <w:rPr>
                <w:rFonts w:ascii="Times New Roman" w:hAnsi="Times New Roman"/>
                <w:sz w:val="24"/>
              </w:rPr>
              <w:t xml:space="preserve">Den indberettede løbetid fastsættes i overensstemmelse med artikel 162, i forordning (EU) nr. 575/2013. </w:t>
            </w:r>
          </w:p>
          <w:p w14:paraId="7853783D" w14:textId="77777777" w:rsidR="008151A6" w:rsidRPr="002A677E" w:rsidRDefault="008151A6" w:rsidP="00664874">
            <w:pPr>
              <w:rPr>
                <w:rFonts w:ascii="Times New Roman" w:hAnsi="Times New Roman"/>
                <w:sz w:val="24"/>
              </w:rPr>
            </w:pPr>
            <w:r>
              <w:rPr>
                <w:rFonts w:ascii="Times New Roman" w:hAnsi="Times New Roman"/>
                <w:sz w:val="24"/>
              </w:rPr>
              <w:t>Den gennemsnitlige løbetid indberettes i år.</w:t>
            </w:r>
          </w:p>
          <w:p w14:paraId="3538AA9B" w14:textId="4E1B7038" w:rsidR="008151A6" w:rsidRPr="002A677E" w:rsidRDefault="008151A6" w:rsidP="002F11F3">
            <w:pPr>
              <w:rPr>
                <w:rFonts w:ascii="Times New Roman" w:hAnsi="Times New Roman"/>
                <w:sz w:val="24"/>
              </w:rPr>
            </w:pPr>
            <w:r>
              <w:rPr>
                <w:rFonts w:ascii="Times New Roman" w:hAnsi="Times New Roman"/>
                <w:sz w:val="24"/>
              </w:rPr>
              <w:t xml:space="preserve">Denne oplysning indberettes ikke for eksponeringsværdier, for hvilke løbetiden ikke indgår i beregningen af de </w:t>
            </w:r>
            <w:r>
              <w:rPr>
                <w:rStyle w:val="InstructionsTabelleText"/>
                <w:rFonts w:ascii="Times New Roman" w:hAnsi="Times New Roman"/>
                <w:sz w:val="24"/>
              </w:rPr>
              <w:t>risikovægtede eksponeringer</w:t>
            </w:r>
            <w:r>
              <w:rPr>
                <w:rFonts w:ascii="Times New Roman" w:hAnsi="Times New Roman"/>
                <w:sz w:val="24"/>
              </w:rPr>
              <w:t xml:space="preserve"> i henhold til tredje del, afsnit II, kapitel 3, i forordning (EU) nr. 575/2013. Det betyder, at denne kolonne ikke udfyldes for eksponeringsklassen "detail".</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RISIKOVÆGTET EKSPONERING EFTER ANVENDELSE AF STØTTEFAKTORER</w:t>
            </w:r>
          </w:p>
          <w:p w14:paraId="3D40BF94" w14:textId="03A118D9" w:rsidR="008151A6" w:rsidRPr="002A677E" w:rsidRDefault="008151A6" w:rsidP="00664874">
            <w:pPr>
              <w:rPr>
                <w:rFonts w:ascii="Times New Roman" w:hAnsi="Times New Roman"/>
                <w:sz w:val="24"/>
              </w:rPr>
            </w:pPr>
            <w:r>
              <w:rPr>
                <w:rFonts w:ascii="Times New Roman" w:hAnsi="Times New Roman"/>
                <w:sz w:val="24"/>
              </w:rPr>
              <w:t>For eksponeringer mod centralregeringer og centralbanker, institutter og selskaber, den risikovægtede eksponering beregnet i henhold til artikel 153, stk. 1-4, i forordning (EU) nr. 575/2013, for detaileksponeringer, den risikovægtede eksponering beregnet i henhold til artikel 154 i forordning (EU) nr. 575/2013.</w:t>
            </w:r>
          </w:p>
          <w:p w14:paraId="78026103" w14:textId="5642FBC5" w:rsidR="008151A6" w:rsidRPr="002A677E" w:rsidRDefault="008151A6" w:rsidP="003F19BA">
            <w:pPr>
              <w:rPr>
                <w:rFonts w:ascii="Times New Roman" w:hAnsi="Times New Roman"/>
                <w:sz w:val="24"/>
              </w:rPr>
            </w:pPr>
            <w:r>
              <w:rPr>
                <w:rFonts w:ascii="Times New Roman" w:hAnsi="Times New Roman"/>
                <w:sz w:val="24"/>
              </w:rPr>
              <w:t xml:space="preserve">Støttefaktorerne for SMV'er og infrastruktur, som fastlagt i artikel 501 og 501a i forordning (EU) nr. 575/2013, indregnes.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FORVENTET TAB</w:t>
            </w:r>
          </w:p>
          <w:p w14:paraId="4832D8CA" w14:textId="62C1A495" w:rsidR="008151A6" w:rsidRPr="002A677E" w:rsidRDefault="008151A6" w:rsidP="00664874">
            <w:pPr>
              <w:rPr>
                <w:rFonts w:ascii="Times New Roman" w:hAnsi="Times New Roman"/>
                <w:sz w:val="24"/>
              </w:rPr>
            </w:pPr>
            <w:r>
              <w:rPr>
                <w:rFonts w:ascii="Times New Roman" w:hAnsi="Times New Roman"/>
                <w:sz w:val="24"/>
              </w:rPr>
              <w:t>Det forventede tab beregnes i overensstemmelse med artikel 158 i forordning (EU) nr. 575/2013</w:t>
            </w:r>
          </w:p>
          <w:p w14:paraId="61B3A6E1" w14:textId="77777777" w:rsidR="008151A6" w:rsidRPr="002A677E" w:rsidRDefault="008151A6" w:rsidP="00664874">
            <w:pPr>
              <w:rPr>
                <w:rFonts w:ascii="Times New Roman" w:hAnsi="Times New Roman"/>
                <w:sz w:val="24"/>
              </w:rPr>
            </w:pPr>
            <w:r>
              <w:rPr>
                <w:rFonts w:ascii="Times New Roman" w:hAnsi="Times New Roman"/>
                <w:sz w:val="24"/>
              </w:rPr>
              <w:t>Det forventede tab, der indberettes, skal baseres på de faktiske risikoparametre, der anvendes i skalaen for interne ratings, som er godkendt af den relevante kompetente myndighed.</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Pr>
                <w:rFonts w:ascii="Times New Roman" w:hAnsi="Times New Roman"/>
                <w:b/>
                <w:sz w:val="24"/>
                <w:u w:val="single"/>
              </w:rPr>
              <w:t>(-) VÆRDIJUSTERINGER OG HENSÆTTELSER</w:t>
            </w:r>
          </w:p>
          <w:p w14:paraId="6ABA875A" w14:textId="39D3D72C" w:rsidR="00A44410" w:rsidRPr="002A677E" w:rsidRDefault="008151A6" w:rsidP="00664874">
            <w:pPr>
              <w:rPr>
                <w:rFonts w:ascii="Times New Roman" w:hAnsi="Times New Roman"/>
                <w:sz w:val="24"/>
              </w:rPr>
            </w:pPr>
            <w:r>
              <w:rPr>
                <w:rFonts w:ascii="Times New Roman" w:hAnsi="Times New Roman"/>
                <w:sz w:val="24"/>
              </w:rPr>
              <w:t xml:space="preserve">Specifikke og generelle kreditrisikojusteringer i overensstemmelse med Kommissionens delegerede forordning (EU) nr. 183/2014, yderligere værdijusteringer i overensstemmelse med artikel 34 og 110 i forordning (EU) nr. 575/2013 samt andre reduktioner af kapitalgrundlaget i forbindelse med de eksponeringer, der er fordelt på hver undergruppe af det fastsatte PD-interval </w:t>
            </w:r>
          </w:p>
          <w:p w14:paraId="10E77039" w14:textId="0EF2942B" w:rsidR="008151A6" w:rsidRPr="002A677E" w:rsidRDefault="008151A6" w:rsidP="00664874">
            <w:pPr>
              <w:rPr>
                <w:rFonts w:ascii="Times New Roman" w:hAnsi="Times New Roman"/>
                <w:sz w:val="24"/>
              </w:rPr>
            </w:pPr>
            <w:r>
              <w:rPr>
                <w:rFonts w:ascii="Times New Roman" w:hAnsi="Times New Roman"/>
                <w:sz w:val="24"/>
              </w:rPr>
              <w:lastRenderedPageBreak/>
              <w:t>Disse værdijusteringer og hensættelser er dem, der er taget i betragtning ved gennemførelsen af artikel 159 i forordning (EU) nr. 575/2013.</w:t>
            </w:r>
          </w:p>
          <w:p w14:paraId="19C8FD19" w14:textId="6E42F4A4" w:rsidR="008151A6" w:rsidRPr="002A677E" w:rsidRDefault="008151A6" w:rsidP="00664874">
            <w:pPr>
              <w:rPr>
                <w:rFonts w:ascii="Times New Roman" w:hAnsi="Times New Roman"/>
                <w:sz w:val="24"/>
              </w:rPr>
            </w:pPr>
            <w:r>
              <w:rPr>
                <w:rFonts w:ascii="Times New Roman" w:hAnsi="Times New Roman"/>
                <w:sz w:val="24"/>
              </w:rPr>
              <w:t xml:space="preserve">Generelle hensættelser indberettes ved at tildele beløbet pro rata </w:t>
            </w:r>
            <w:r>
              <w:rPr>
                <w:rStyle w:val="InstructionsTabelleText"/>
                <w:rFonts w:ascii="Times New Roman" w:hAnsi="Times New Roman"/>
                <w:sz w:val="24"/>
              </w:rPr>
              <w:t>i overensstemmelse med</w:t>
            </w:r>
            <w:r>
              <w:rPr>
                <w:rFonts w:ascii="Times New Roman" w:hAnsi="Times New Roman"/>
                <w:sz w:val="24"/>
              </w:rPr>
              <w:t xml:space="preserve"> de forskellige låntagerklassers forventede tab. </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Pr>
                <w:rFonts w:ascii="Times New Roman" w:hAnsi="Times New Roman"/>
                <w:sz w:val="24"/>
              </w:rPr>
              <w:t>Rækker</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Pr>
                <w:rFonts w:ascii="Times New Roman" w:hAnsi="Times New Roman"/>
                <w:sz w:val="24"/>
              </w:rPr>
              <w:t>Instrukser</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Pr>
                <w:rFonts w:ascii="Times New Roman" w:hAnsi="Times New Roman"/>
                <w:sz w:val="24"/>
              </w:rPr>
              <w:t>PD-INTERVAL</w:t>
            </w:r>
          </w:p>
        </w:tc>
        <w:tc>
          <w:tcPr>
            <w:tcW w:w="8557" w:type="dxa"/>
          </w:tcPr>
          <w:p w14:paraId="17B0EE0E" w14:textId="40840313" w:rsidR="008151A6" w:rsidRDefault="008151A6" w:rsidP="00AC6619">
            <w:pPr>
              <w:rPr>
                <w:rFonts w:ascii="Times New Roman" w:hAnsi="Times New Roman"/>
                <w:sz w:val="24"/>
              </w:rPr>
            </w:pPr>
            <w:r>
              <w:rPr>
                <w:rFonts w:ascii="Times New Roman" w:hAnsi="Times New Roman"/>
                <w:sz w:val="24"/>
              </w:rPr>
              <w:t>Eksponeringer fordeles på en passende undergruppe af det fastsatte PD-interval baseret på den PD, der er estimeret for hver låntager, der er tildelt denne eksponeringsklasse (uden hensyntagen til substitutionsvirkninger som følge af kreditrisikoreduktionsteknikker). Institutterne henfører de enkelte eksponeringer til det PD-interval, der er angivet i skemaet, idet der også tages hensyn til en kontinuerlig ratingskala. Alle misligholdte eksponeringer medregnes i den undergruppe, der repræsenterer en PD på 100 %.</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t>{r0170, c0050} og {r0170, c0070} skal indberettes for hver eksponeringsklasse, men ikke for den samlede eksponering i alle eksponeringsklasser.</w:t>
            </w:r>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29" w:name="_Toc19715758"/>
      <w:bookmarkStart w:id="330" w:name="_Toc119059337"/>
      <w:r>
        <w:rPr>
          <w:rFonts w:ascii="Times New Roman" w:hAnsi="Times New Roman"/>
          <w:sz w:val="24"/>
        </w:rPr>
        <w:t>C 08.04 – Kreditrisiko og leveringsrisici (free deliveries): Kapitalkrav opgjort efter IRB-metoden (RWEA-flowtabeller (CR IRB 4))</w:t>
      </w:r>
      <w:bookmarkEnd w:id="329"/>
      <w:bookmarkEnd w:id="330"/>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1" w:name="_Toc19715759"/>
      <w:bookmarkStart w:id="332" w:name="_Toc119059338"/>
      <w:r>
        <w:rPr>
          <w:rFonts w:ascii="Times New Roman" w:hAnsi="Times New Roman"/>
          <w:sz w:val="24"/>
        </w:rPr>
        <w:t>Generelle bemærkninger</w:t>
      </w:r>
      <w:bookmarkEnd w:id="331"/>
      <w:bookmarkEnd w:id="332"/>
    </w:p>
    <w:p w14:paraId="51E67014" w14:textId="7195D8CB" w:rsidR="008151A6" w:rsidRPr="002A677E" w:rsidRDefault="008F3052" w:rsidP="00487A02">
      <w:pPr>
        <w:pStyle w:val="InstructionsText2"/>
        <w:numPr>
          <w:ilvl w:val="0"/>
          <w:numId w:val="0"/>
        </w:numPr>
        <w:ind w:left="1353" w:hanging="360"/>
      </w:pPr>
      <w:fldSimple w:instr=" seq paragraphs ">
        <w:r>
          <w:t>78</w:t>
        </w:r>
      </w:fldSimple>
      <w:r>
        <w:t>. Institutterne indberetter oplysningerne i dette skema i henhold til artikel 438, litra h), i forordning (EU) nr. 575/2013. Dette skema omfatter ikke modpartsrisikoeksponeringer (tredje del, afsnit II, kapitel 6, i forordning (EU) nr. 575/2013).</w:t>
      </w:r>
    </w:p>
    <w:p w14:paraId="10667F98" w14:textId="77777777" w:rsidR="002F29AF" w:rsidRPr="002A677E" w:rsidRDefault="002F29AF" w:rsidP="00487A02">
      <w:pPr>
        <w:pStyle w:val="InstructionsText2"/>
        <w:numPr>
          <w:ilvl w:val="0"/>
          <w:numId w:val="0"/>
        </w:numPr>
        <w:ind w:left="1353" w:hanging="360"/>
      </w:pPr>
      <w:fldSimple w:instr=" seq paragraphs ">
        <w:r>
          <w:t>79</w:t>
        </w:r>
      </w:fldSimple>
      <w:r>
        <w:t xml:space="preserve">. Institutterne skal indberette RWEA-bevægelser som ændringer mellem de risikovægtede eksponeringer på referencedatoen og størrelsen af de risikovægtede eksponeringer på den foregående referencedato. I tilfælde af kvartalsvis indberetning skal der indberettes en opgørelse ultimo kvartalet før kvartalet for referencedatoen for indberetning. </w:t>
      </w:r>
    </w:p>
    <w:p w14:paraId="473992E8" w14:textId="09B020D9" w:rsidR="008151A6" w:rsidRPr="002A677E" w:rsidRDefault="002F29AF" w:rsidP="000911FE">
      <w:pPr>
        <w:pStyle w:val="Instructionsberschrift2"/>
        <w:numPr>
          <w:ilvl w:val="3"/>
          <w:numId w:val="36"/>
        </w:numPr>
        <w:ind w:left="709"/>
        <w:rPr>
          <w:rFonts w:ascii="Times New Roman" w:hAnsi="Times New Roman" w:cs="Times New Roman"/>
          <w:sz w:val="24"/>
        </w:rPr>
      </w:pPr>
      <w:bookmarkStart w:id="333" w:name="_Toc19715760"/>
      <w:bookmarkStart w:id="334" w:name="_Toc119059339"/>
      <w:r>
        <w:rPr>
          <w:rFonts w:ascii="Times New Roman" w:hAnsi="Times New Roman"/>
          <w:sz w:val="24"/>
        </w:rPr>
        <w:t>Instrukser vedrørende specifikke positioner</w:t>
      </w:r>
      <w:bookmarkEnd w:id="333"/>
      <w:bookmarkEnd w:id="33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Pr>
                <w:rFonts w:ascii="Times New Roman" w:hAnsi="Times New Roman"/>
                <w:sz w:val="24"/>
              </w:rPr>
              <w:t>Kolonne</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Pr>
                <w:rFonts w:ascii="Times New Roman" w:hAnsi="Times New Roman"/>
                <w:sz w:val="24"/>
              </w:rPr>
              <w:t>Instrukser</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Pr>
                <w:rFonts w:ascii="Times New Roman" w:hAnsi="Times New Roman"/>
                <w:sz w:val="24"/>
              </w:rPr>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RISIKOVÆGTET EKSPONERING</w:t>
            </w:r>
          </w:p>
          <w:p w14:paraId="1B8885D3" w14:textId="5E9FA64B" w:rsidR="008151A6" w:rsidRPr="002A677E" w:rsidRDefault="008151A6" w:rsidP="00AC6619">
            <w:pPr>
              <w:rPr>
                <w:rFonts w:ascii="Times New Roman" w:hAnsi="Times New Roman"/>
                <w:sz w:val="24"/>
              </w:rPr>
            </w:pPr>
            <w:r>
              <w:rPr>
                <w:rFonts w:ascii="Times New Roman" w:hAnsi="Times New Roman"/>
                <w:sz w:val="24"/>
              </w:rPr>
              <w:t>Samlet risikovægtet eksponering for kreditrisiko beregnet efter IRB-metoden under hensyntagen til støttefaktorerne i henhold til artikel 501 og 501a i forordning (EU) nr. 575/2013.</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Pr>
                <w:rFonts w:ascii="Times New Roman" w:hAnsi="Times New Roman"/>
                <w:sz w:val="24"/>
              </w:rPr>
              <w:t>Rækker</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Pr>
                <w:rFonts w:ascii="Times New Roman" w:hAnsi="Times New Roman"/>
                <w:sz w:val="24"/>
              </w:rPr>
              <w:t>Instrukser</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RISIKOVÆGTET EKSPONERING VED UDGANGEN AF DEN FOREGÅENDE INDBERETNINGSPERIODE</w:t>
            </w:r>
          </w:p>
          <w:p w14:paraId="22828C6F" w14:textId="2DBB68FC" w:rsidR="008151A6" w:rsidRPr="002A677E" w:rsidRDefault="008151A6" w:rsidP="00F66DFB">
            <w:pPr>
              <w:rPr>
                <w:rFonts w:ascii="Times New Roman" w:hAnsi="Times New Roman"/>
                <w:sz w:val="24"/>
              </w:rPr>
            </w:pPr>
            <w:r>
              <w:rPr>
                <w:rFonts w:ascii="Times New Roman" w:hAnsi="Times New Roman"/>
                <w:sz w:val="24"/>
              </w:rPr>
              <w:lastRenderedPageBreak/>
              <w:t>Risikovægtet eksponering ved udgangen af den foregående indberetningsperiode efter anvendelse af støttefaktorerne for SMV'er og infrastruktur, der er fastsat i artikel 501 og 501a i forordning (EU) nr. 575/2013.</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AKTIVERNES STØRRELSE (+/-)</w:t>
            </w:r>
          </w:p>
          <w:p w14:paraId="12B2D7D1" w14:textId="77777777" w:rsidR="008151A6" w:rsidRPr="002A677E" w:rsidRDefault="008151A6" w:rsidP="00664874">
            <w:pPr>
              <w:rPr>
                <w:rFonts w:ascii="Times New Roman" w:hAnsi="Times New Roman"/>
                <w:sz w:val="24"/>
              </w:rPr>
            </w:pPr>
            <w:r>
              <w:rPr>
                <w:rFonts w:ascii="Times New Roman" w:hAnsi="Times New Roman"/>
                <w:sz w:val="24"/>
              </w:rPr>
              <w:t>Ændring i den risikovægtede eksponering mellem udgangen af den foregående indberetningsperiode og udgangen af den indeværende indberetningsperiode som følge af aktivernes størrelse, dvs. ændringer i størrelse og sammensætning af porteføljen (herunder etablering af nye virksomheder og lån, der forfalder), men ekskl. ændringer i porteføljens størrelse som følge af anskaffelser og afhændelser af enheder.</w:t>
            </w:r>
          </w:p>
          <w:p w14:paraId="720E19CE" w14:textId="77777777" w:rsidR="008151A6" w:rsidRPr="002A677E" w:rsidRDefault="008151A6" w:rsidP="00664874">
            <w:pPr>
              <w:rPr>
                <w:rFonts w:ascii="Times New Roman" w:hAnsi="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AKTIVERNES KVALITET (+/-)</w:t>
            </w:r>
          </w:p>
          <w:p w14:paraId="6A88FF18" w14:textId="77777777" w:rsidR="008151A6" w:rsidRPr="002A677E" w:rsidRDefault="008151A6" w:rsidP="00664874">
            <w:pPr>
              <w:rPr>
                <w:rFonts w:ascii="Times New Roman" w:hAnsi="Times New Roman"/>
                <w:sz w:val="24"/>
              </w:rPr>
            </w:pPr>
            <w:r>
              <w:rPr>
                <w:rFonts w:ascii="Times New Roman" w:hAnsi="Times New Roman"/>
                <w:sz w:val="24"/>
              </w:rPr>
              <w:t>Ændring i de risikovægtede eksponeringer mellem udgangen af den foregående indberetningsperiode og udgangen af den indeværende indberetningsperiode på grund af aktivernes kvalitet, dvs. ændringer i den vurderede kvalitet af instituttets aktiver som følge af ændringer i låntagers risiko, som f.eks. migrering mellem ratingklasser eller tilsvarende virkninger.</w:t>
            </w:r>
          </w:p>
          <w:p w14:paraId="24AF3901" w14:textId="77777777" w:rsidR="008151A6" w:rsidRPr="002A677E" w:rsidRDefault="008151A6" w:rsidP="00664874">
            <w:pPr>
              <w:rPr>
                <w:rFonts w:ascii="Times New Roman" w:hAnsi="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OPDATERINGER AF MODELLER (+/-)</w:t>
            </w:r>
          </w:p>
          <w:p w14:paraId="1E1E2DE0" w14:textId="77777777" w:rsidR="008151A6" w:rsidRPr="002A677E" w:rsidRDefault="008151A6" w:rsidP="00664874">
            <w:pPr>
              <w:rPr>
                <w:rFonts w:ascii="Times New Roman" w:hAnsi="Times New Roman"/>
                <w:sz w:val="24"/>
              </w:rPr>
            </w:pPr>
            <w:r>
              <w:rPr>
                <w:rFonts w:ascii="Times New Roman" w:hAnsi="Times New Roman"/>
                <w:sz w:val="24"/>
              </w:rPr>
              <w:t>Ændring i de risikovægtede eksponeringer mellem udgangen af den foregående indberetningsperiode og udgangen af den indeværende indberetningsperiode på grund af opdateringer af modeller, dvs. ændringer som følge af gennemførelsen af nye modeller, ændringer i modellerne, ændringer i anvendelsesområdet for modeller eller andre ændringer, der har til formål at afhjælpe svagheder i forbindelse med modeller.</w:t>
            </w:r>
          </w:p>
          <w:p w14:paraId="06D2AE7D" w14:textId="77777777" w:rsidR="008151A6" w:rsidRPr="002A677E" w:rsidRDefault="008151A6" w:rsidP="00664874">
            <w:pPr>
              <w:rPr>
                <w:rFonts w:ascii="Times New Roman" w:hAnsi="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METODE OG POLITIK (+/-)</w:t>
            </w:r>
          </w:p>
          <w:p w14:paraId="4784A797" w14:textId="77777777" w:rsidR="008151A6" w:rsidRPr="002A677E" w:rsidRDefault="008151A6" w:rsidP="00664874">
            <w:pPr>
              <w:rPr>
                <w:rFonts w:ascii="Times New Roman" w:hAnsi="Times New Roman"/>
                <w:sz w:val="24"/>
              </w:rPr>
            </w:pPr>
            <w:r>
              <w:rPr>
                <w:rFonts w:ascii="Times New Roman" w:hAnsi="Times New Roman"/>
                <w:sz w:val="24"/>
              </w:rPr>
              <w:t xml:space="preserve">Ændring i den risikovægtede eksponering mellem udgangen af den foregående indberetningsperiode og udgangen af den indeværende indberetningsperiode som følge af metode og politik, dvs. ændringer som følge af metodologiske ændringer i beregninger forårsaget af reguleringsmæssige ændringer, herunder både revisioner af eksisterende regulativer og nye regulativer, med undtagelse af ændringer i modeller, som er omfattet i række 0040. </w:t>
            </w:r>
          </w:p>
          <w:p w14:paraId="471E350E" w14:textId="77777777" w:rsidR="008151A6" w:rsidRPr="002A677E" w:rsidRDefault="008151A6" w:rsidP="00664874">
            <w:pPr>
              <w:rPr>
                <w:rFonts w:ascii="Times New Roman" w:hAnsi="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ANSKAFFELSER OG AFHÆNDELSER (+/-)</w:t>
            </w:r>
          </w:p>
          <w:p w14:paraId="5F2DE967" w14:textId="77777777" w:rsidR="008151A6" w:rsidRPr="002A677E" w:rsidRDefault="008151A6" w:rsidP="00664874">
            <w:pPr>
              <w:rPr>
                <w:rFonts w:ascii="Times New Roman" w:hAnsi="Times New Roman"/>
                <w:sz w:val="24"/>
              </w:rPr>
            </w:pPr>
            <w:r>
              <w:rPr>
                <w:rFonts w:ascii="Times New Roman" w:hAnsi="Times New Roman"/>
                <w:sz w:val="24"/>
              </w:rPr>
              <w:t>Ændring i den risikovægtede eksponering mellem udgangen af den foregående indberetningsperiode og udgangen af den indeværende indberetningsperiode som følge af anskaffelser og afhændelser, dvs. ændringer i porteføljens størrelse som følge af anskaffelser og afhændelser af enheder.</w:t>
            </w:r>
          </w:p>
          <w:p w14:paraId="7F5FFA64" w14:textId="77777777" w:rsidR="008151A6" w:rsidRPr="002A677E" w:rsidRDefault="008151A6" w:rsidP="00664874">
            <w:pPr>
              <w:rPr>
                <w:rFonts w:ascii="Times New Roman" w:hAnsi="Times New Roman"/>
                <w:sz w:val="24"/>
              </w:rPr>
            </w:pPr>
            <w:r>
              <w:rPr>
                <w:rFonts w:ascii="Times New Roman" w:hAnsi="Times New Roman"/>
                <w:sz w:val="24"/>
              </w:rPr>
              <w:lastRenderedPageBreak/>
              <w:t>Stigninger i risikovægtede eksponeringer indberettes som et positivt beløb, og fald i risikovægtede eksponeringer indberettes som et negativt beløb.</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VALUTAKURSÆNDRINGER (+/-)</w:t>
            </w:r>
          </w:p>
          <w:p w14:paraId="018AAA5D" w14:textId="77777777" w:rsidR="008151A6" w:rsidRPr="002A677E" w:rsidRDefault="008151A6" w:rsidP="00664874">
            <w:pPr>
              <w:rPr>
                <w:rFonts w:ascii="Times New Roman" w:hAnsi="Times New Roman"/>
                <w:sz w:val="24"/>
              </w:rPr>
            </w:pPr>
            <w:r>
              <w:rPr>
                <w:rFonts w:ascii="Times New Roman" w:hAnsi="Times New Roman"/>
                <w:sz w:val="24"/>
              </w:rPr>
              <w:t>Ændring i den risikovægtede eksponering mellem udgangen af den foregående indberetningsperiode og udgangen af den indeværende indberetningsperiode som følge af valutakursændringer, dvs. ændringer som følge af bevægelser i valutakurserne.</w:t>
            </w:r>
          </w:p>
          <w:p w14:paraId="3FB6626A" w14:textId="77777777" w:rsidR="008151A6" w:rsidRPr="002A677E" w:rsidRDefault="008151A6" w:rsidP="00664874">
            <w:pPr>
              <w:rPr>
                <w:rFonts w:ascii="Times New Roman" w:hAnsi="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ANDRE FAKTORER (+/-)</w:t>
            </w:r>
          </w:p>
          <w:p w14:paraId="051040A7" w14:textId="77777777" w:rsidR="008151A6" w:rsidRPr="002A677E" w:rsidRDefault="008151A6" w:rsidP="00664874">
            <w:pPr>
              <w:rPr>
                <w:rFonts w:ascii="Times New Roman" w:hAnsi="Times New Roman"/>
                <w:sz w:val="24"/>
              </w:rPr>
            </w:pPr>
            <w:r>
              <w:rPr>
                <w:rFonts w:ascii="Times New Roman" w:hAnsi="Times New Roman"/>
                <w:sz w:val="24"/>
              </w:rPr>
              <w:t>Ændring i den risikovægtede eksponering mellem udgangen af den foregående indberetningsperiode og udgangen af den indeværende indberetningsperiode som følge af andre faktorer.</w:t>
            </w:r>
          </w:p>
          <w:p w14:paraId="5B8CFF9D" w14:textId="77777777" w:rsidR="0044539D" w:rsidRPr="002A677E" w:rsidRDefault="008151A6" w:rsidP="0044539D">
            <w:pPr>
              <w:rPr>
                <w:rFonts w:ascii="Times New Roman" w:hAnsi="Times New Roman"/>
                <w:sz w:val="24"/>
              </w:rPr>
            </w:pPr>
            <w:r>
              <w:rPr>
                <w:rFonts w:ascii="Times New Roman" w:hAnsi="Times New Roman"/>
                <w:sz w:val="24"/>
              </w:rPr>
              <w:t xml:space="preserve">Denne kategori anvendes til at opfange ændringer, som ikke kan henføres til nogen anden kategori. </w:t>
            </w:r>
          </w:p>
          <w:p w14:paraId="4B3705AC" w14:textId="77777777" w:rsidR="008151A6" w:rsidRPr="002A677E" w:rsidRDefault="008151A6" w:rsidP="0044539D">
            <w:pPr>
              <w:rPr>
                <w:rFonts w:ascii="Times New Roman" w:hAnsi="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RISIKOVÆGTET EKSPONERING VED UDGANGEN AF INDBERETNINGSPERIODEN</w:t>
            </w:r>
          </w:p>
          <w:p w14:paraId="35E1C96E" w14:textId="09B747F1" w:rsidR="008151A6" w:rsidRPr="002A677E" w:rsidRDefault="008151A6" w:rsidP="003F19BA">
            <w:pPr>
              <w:pStyle w:val="CommentText"/>
            </w:pPr>
            <w:r>
              <w:rPr>
                <w:rFonts w:ascii="Times New Roman" w:hAnsi="Times New Roman"/>
                <w:sz w:val="24"/>
              </w:rPr>
              <w:t>Risikovægtet eksponering ved udgangen af indberetningsperioden efter anvendelse af støttefaktorerne for SMV'er og infrastruktur, der er fastsat i artikel 501 og 501a i forordning (EU) nr. 575/2013.</w:t>
            </w:r>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35" w:name="_Toc19715761"/>
      <w:bookmarkStart w:id="336" w:name="_Toc119059340"/>
      <w:r>
        <w:rPr>
          <w:rFonts w:ascii="Times New Roman" w:hAnsi="Times New Roman"/>
          <w:sz w:val="24"/>
        </w:rPr>
        <w:t>C 08.05 – Kreditrisiko og leveringsrisici (free deliveries): Kapitalkrav opgjort efter IRB-metoden (backtesting af PD (CR IRB 5))</w:t>
      </w:r>
      <w:bookmarkEnd w:id="335"/>
      <w:bookmarkEnd w:id="336"/>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7" w:name="_Toc19715762"/>
      <w:bookmarkStart w:id="338" w:name="_Toc119059341"/>
      <w:r>
        <w:rPr>
          <w:rFonts w:ascii="Times New Roman" w:hAnsi="Times New Roman"/>
          <w:sz w:val="24"/>
        </w:rPr>
        <w:t>Generelle bemærkninger</w:t>
      </w:r>
      <w:bookmarkEnd w:id="337"/>
      <w:bookmarkEnd w:id="338"/>
    </w:p>
    <w:p w14:paraId="687EBF72" w14:textId="1CAAE8AC" w:rsidR="008151A6" w:rsidRPr="002A677E" w:rsidRDefault="008F3052" w:rsidP="00487A02">
      <w:pPr>
        <w:pStyle w:val="InstructionsText2"/>
        <w:numPr>
          <w:ilvl w:val="0"/>
          <w:numId w:val="0"/>
        </w:numPr>
        <w:ind w:left="1353" w:hanging="360"/>
      </w:pPr>
      <w:fldSimple w:instr=" seq paragraphs ">
        <w:r>
          <w:t>80</w:t>
        </w:r>
      </w:fldSimple>
      <w:r>
        <w:t>. Institutterne indberetter oplysningerne i dette skema i henhold til artikel 452, litra h), i forordning (EU) nr. 575/2013. Institutterne skal tage de modeller, der anvendes i hver eksponeringsklasse, i betragtning, og redegøre for den procentdel af den risikovægtede eksponering i den relevante eksponeringsklasse, der er omfattet af de modeller, for hvilke der indberettes backtesting-resultater. Dette skema omfatter ikke modpartsrisikoeksponeringer (tredje del, afsnit II, kapitel 6, i forordning (EU) nr. 575/2013).</w:t>
      </w:r>
    </w:p>
    <w:p w14:paraId="61836475" w14:textId="3AA4C8C2"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9" w:name="_Toc19715763"/>
      <w:bookmarkStart w:id="340" w:name="_Toc119059342"/>
      <w:r>
        <w:rPr>
          <w:rFonts w:ascii="Times New Roman" w:hAnsi="Times New Roman"/>
          <w:sz w:val="24"/>
        </w:rPr>
        <w:t>Instrukser vedrørende specifikke positioner</w:t>
      </w:r>
      <w:bookmarkEnd w:id="339"/>
      <w:bookmarkEnd w:id="3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Pr>
                <w:rFonts w:ascii="Times New Roman" w:hAnsi="Times New Roman"/>
                <w:sz w:val="24"/>
              </w:rPr>
              <w:t>Kolonner</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Pr>
                <w:rFonts w:ascii="Times New Roman" w:hAnsi="Times New Roman"/>
                <w:sz w:val="24"/>
              </w:rPr>
              <w:t>Instrukser</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Pr>
                <w:rFonts w:ascii="Times New Roman" w:hAnsi="Times New Roman"/>
                <w:b/>
                <w:sz w:val="24"/>
                <w:u w:val="single"/>
              </w:rPr>
              <w:t>DET ARITMETISKE GENNEMSNIT (%)</w:t>
            </w:r>
          </w:p>
          <w:p w14:paraId="40F24620" w14:textId="77777777" w:rsidR="008151A6" w:rsidRPr="002A677E" w:rsidRDefault="00463F88" w:rsidP="00E50FA0">
            <w:pPr>
              <w:rPr>
                <w:rFonts w:ascii="Times New Roman" w:hAnsi="Times New Roman"/>
                <w:b/>
                <w:sz w:val="24"/>
              </w:rPr>
            </w:pPr>
            <w:r>
              <w:rPr>
                <w:rFonts w:ascii="Times New Roman" w:hAnsi="Times New Roman"/>
                <w:sz w:val="24"/>
              </w:rPr>
              <w:t>Det aritmetiske gennemsnit af PD ved begyndelsen af indberetningsperioden for låntagere, der er omfattet af undergruppen af det fastsatte PD-interval og opgjort i kolonne 0020 (med antallet af låntagere vægtet gennemsnit).</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ANTAL LÅNTAGERE VED UDGANGEN AF DET FOREGÅENDE ÅR</w:t>
            </w:r>
          </w:p>
          <w:p w14:paraId="05E936FE" w14:textId="77777777" w:rsidR="00E50FA0" w:rsidRPr="002A677E" w:rsidRDefault="008151A6" w:rsidP="00463F88">
            <w:pPr>
              <w:rPr>
                <w:rFonts w:ascii="Times New Roman" w:hAnsi="Times New Roman"/>
                <w:sz w:val="24"/>
              </w:rPr>
            </w:pPr>
            <w:r>
              <w:rPr>
                <w:rFonts w:ascii="Times New Roman" w:hAnsi="Times New Roman"/>
                <w:sz w:val="24"/>
              </w:rPr>
              <w:t xml:space="preserve">Antal låntagere ved udgangen af det foregående år, der er omfattet af indberetning. </w:t>
            </w:r>
          </w:p>
          <w:p w14:paraId="5EEF69D7" w14:textId="77777777" w:rsidR="00463F88" w:rsidRPr="002A677E" w:rsidRDefault="008151A6" w:rsidP="00463F88">
            <w:pPr>
              <w:rPr>
                <w:rFonts w:ascii="Times New Roman" w:hAnsi="Times New Roman"/>
                <w:sz w:val="24"/>
              </w:rPr>
            </w:pPr>
            <w:r>
              <w:rPr>
                <w:rFonts w:ascii="Times New Roman" w:hAnsi="Times New Roman"/>
                <w:sz w:val="24"/>
              </w:rPr>
              <w:t xml:space="preserve">Alle låntagere, der har en kreditforpligtelse på det relevante tidspunkt, skal medtages. </w:t>
            </w:r>
          </w:p>
          <w:p w14:paraId="21BC54D4" w14:textId="77777777" w:rsidR="008151A6" w:rsidRPr="002A677E" w:rsidRDefault="008A0983" w:rsidP="008A0983">
            <w:pPr>
              <w:rPr>
                <w:rFonts w:ascii="Times New Roman" w:hAnsi="Times New Roman"/>
                <w:sz w:val="24"/>
              </w:rPr>
            </w:pPr>
            <w:r>
              <w:rPr>
                <w:rFonts w:ascii="Times New Roman" w:hAnsi="Times New Roman"/>
                <w:sz w:val="24"/>
              </w:rPr>
              <w:t>Antallet af låntagere medregnes i overensstemmelse med instrukserne i kolonne 0300 i skema C 08.01. Fælles låntagere behandles på samme måde som med henblik på PD-kalibrering.</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HERAF: MISLIGHOLDT I LØBET AF ÅRET</w:t>
            </w:r>
          </w:p>
          <w:p w14:paraId="093B6F35" w14:textId="77777777" w:rsidR="00E50FA0"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Antal låntagere, der har misligholdt i løbet af året (dvs. observationsperioden for beregning af misligholdelsesraten) </w:t>
            </w:r>
          </w:p>
          <w:p w14:paraId="48260464" w14:textId="2459A94A"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Misligholdelser vurderes i overensstemmelse med artikel 178 i forordning (EU) nr. 575/2013. </w:t>
            </w:r>
          </w:p>
          <w:p w14:paraId="75835CBF" w14:textId="77777777" w:rsidR="008151A6" w:rsidRPr="002A677E" w:rsidRDefault="008151A6" w:rsidP="00664874">
            <w:pPr>
              <w:rPr>
                <w:rFonts w:ascii="Times New Roman" w:hAnsi="Times New Roman"/>
                <w:b/>
                <w:sz w:val="24"/>
                <w:u w:val="single"/>
              </w:rPr>
            </w:pPr>
            <w:r>
              <w:rPr>
                <w:rFonts w:ascii="Times New Roman" w:hAnsi="Times New Roman"/>
                <w:sz w:val="24"/>
              </w:rPr>
              <w:t>Hver låntager, der har misligholdt, tælles kun én gang i tælleren og nævneren i beregningen af den etårige misligholdelsesfrekvens, selv hvis låntageren har misligholdt mere end én gang i den relevante etårsperiode.</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DEN OBSERVEREDE GENNEMSNITLIGE MISLIGHOLDELSESRATE (%)</w:t>
            </w:r>
          </w:p>
          <w:p w14:paraId="0E98A019" w14:textId="1DD0DEA8"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Den etårige misligholdelsesfrekvens som omhandlet i artikel 4, stk. 1, nr. 78), i forordning (EU) nr. 575/2013.</w:t>
            </w:r>
          </w:p>
          <w:p w14:paraId="1042A405"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Institutterne skal sikre:</w:t>
            </w:r>
          </w:p>
          <w:p w14:paraId="679B0B7C"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a) at nævneren består af antallet af modparter, der ikke har misligholdt nogen kreditforpligtelse, observeret ved begyndelsen af den etårige observationsperiode (dvs. begyndelsen af året inden referencedatoen for indberetning); i denne forbindelse henviser en kreditforpligtelse til begge af følgende punkter: i) enhver balanceført post, herunder eventuelle beløb for hovedstol, renter og gebyrer ii) enhver ikkebalanceført post, herunder garantier udstedt af instituttet i sin egenskab af garant.</w:t>
            </w:r>
          </w:p>
          <w:p w14:paraId="421492AD" w14:textId="77777777" w:rsidR="008151A6" w:rsidRPr="002A677E" w:rsidRDefault="008151A6" w:rsidP="00664874">
            <w:pPr>
              <w:rPr>
                <w:rFonts w:ascii="Times New Roman" w:hAnsi="Times New Roman"/>
                <w:sz w:val="24"/>
              </w:rPr>
            </w:pPr>
            <w:r>
              <w:rPr>
                <w:rFonts w:ascii="Times New Roman" w:hAnsi="Times New Roman"/>
                <w:sz w:val="24"/>
              </w:rPr>
              <w:t>b) at tælleren omfatter alle de låntagere, der er behandlet i nævneren, og som havde mindst én misligholdelse i løbet af den etårige observationsperiode (året inden referencedatoen for indberetning).</w:t>
            </w:r>
          </w:p>
          <w:p w14:paraId="2A4BCFA4" w14:textId="77777777" w:rsidR="008151A6" w:rsidRPr="002A677E" w:rsidRDefault="008151A6" w:rsidP="00851278">
            <w:pPr>
              <w:rPr>
                <w:rFonts w:ascii="Times New Roman" w:hAnsi="Times New Roman"/>
                <w:sz w:val="24"/>
              </w:rPr>
            </w:pPr>
            <w:r>
              <w:rPr>
                <w:rFonts w:ascii="Times New Roman" w:hAnsi="Times New Roman"/>
                <w:sz w:val="24"/>
              </w:rPr>
              <w:t>For så vidt angår beregningen af antallet af låntagere, henvises til kolonne 0300 i skemaet C 08.01.</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Pr>
                <w:rFonts w:ascii="Times New Roman" w:hAnsi="Times New Roman"/>
                <w:b/>
                <w:sz w:val="24"/>
                <w:u w:val="single"/>
              </w:rPr>
              <w:t>GENNEMSNITLIG HISTORISK ÅRLIG MISLIGHOLDELSESRATE (%)</w:t>
            </w:r>
          </w:p>
          <w:p w14:paraId="3A64B738" w14:textId="77777777" w:rsidR="008151A6" w:rsidRPr="002A677E" w:rsidRDefault="00A5427A" w:rsidP="008E0688">
            <w:pPr>
              <w:rPr>
                <w:rFonts w:ascii="Times New Roman" w:hAnsi="Times New Roman"/>
                <w:sz w:val="24"/>
              </w:rPr>
            </w:pPr>
            <w:r>
              <w:rPr>
                <w:rFonts w:ascii="Times New Roman" w:hAnsi="Times New Roman"/>
                <w:sz w:val="24"/>
              </w:rPr>
              <w:t>Det simple gennemsnit af den årlige misligholdelsesrate for de seneste fem år (låntagere i begyndelsen af hvert år, som misligholder i løbet af det pågældende år/det samlede antal låntagere i begyndelsen af året) er et minimum. Instituttet kan anvende en længere historisk periode, der er i overensstemmelse med instituttets faktiske risikostyringspraksis.</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Pr>
                <w:rFonts w:ascii="Times New Roman" w:hAnsi="Times New Roman"/>
                <w:sz w:val="24"/>
              </w:rPr>
              <w:t>Rækker</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Pr>
                <w:rFonts w:ascii="Times New Roman" w:hAnsi="Times New Roman"/>
                <w:sz w:val="24"/>
              </w:rPr>
              <w:t>Instrukser</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Pr>
                <w:rFonts w:ascii="Times New Roman" w:hAnsi="Times New Roman"/>
                <w:sz w:val="24"/>
              </w:rPr>
              <w:t>PD-INTERVAL</w:t>
            </w:r>
          </w:p>
        </w:tc>
        <w:tc>
          <w:tcPr>
            <w:tcW w:w="8557" w:type="dxa"/>
          </w:tcPr>
          <w:p w14:paraId="2138DA81" w14:textId="2376CF5D" w:rsidR="008151A6" w:rsidRPr="002A677E" w:rsidRDefault="008151A6" w:rsidP="00463F88">
            <w:pPr>
              <w:rPr>
                <w:rFonts w:ascii="Times New Roman" w:hAnsi="Times New Roman"/>
                <w:sz w:val="24"/>
              </w:rPr>
            </w:pPr>
            <w:r>
              <w:rPr>
                <w:rFonts w:ascii="Times New Roman" w:hAnsi="Times New Roman"/>
                <w:sz w:val="24"/>
              </w:rPr>
              <w:t>Eksponeringer fordeles på en passende undergruppe af det fastsatte PD-interval baseret på den PD, der er estimeret ved begyndelsen af hver indberetningsperiode for hver lån</w:t>
            </w:r>
            <w:r>
              <w:rPr>
                <w:rFonts w:ascii="Times New Roman" w:hAnsi="Times New Roman"/>
                <w:sz w:val="24"/>
              </w:rPr>
              <w:lastRenderedPageBreak/>
              <w:t>tager, der er tildelt denne eksponeringsklasse (uden hensyntagen til substitutionsvirkninger som følge af kreditrisikoreduktionsteknikker). Institutterne henfører de enkelte eksponeringer til det PD-interval, der er angivet i skemaet, idet der også tages hensyn til en kontinuerlig ratingskala. Alle misligholdte eksponeringer medregnes i den undergruppe, der repræsenterer en PD på 100 %.</w:t>
            </w:r>
          </w:p>
        </w:tc>
      </w:tr>
    </w:tbl>
    <w:p w14:paraId="6CCC7E67" w14:textId="3DA6DD2B" w:rsidR="008151A6" w:rsidRPr="002A677E" w:rsidRDefault="008151A6" w:rsidP="00E34533">
      <w:pPr>
        <w:pStyle w:val="Instructionsberschrift2"/>
        <w:numPr>
          <w:ilvl w:val="2"/>
          <w:numId w:val="36"/>
        </w:numPr>
        <w:rPr>
          <w:rFonts w:ascii="Times New Roman" w:hAnsi="Times New Roman" w:cs="Times New Roman"/>
          <w:sz w:val="24"/>
        </w:rPr>
      </w:pPr>
      <w:bookmarkStart w:id="341" w:name="_Toc19715764"/>
      <w:bookmarkStart w:id="342" w:name="_Toc119059343"/>
      <w:r>
        <w:rPr>
          <w:rFonts w:ascii="Times New Roman" w:hAnsi="Times New Roman"/>
          <w:sz w:val="24"/>
        </w:rPr>
        <w:lastRenderedPageBreak/>
        <w:t>C 08.05.1 – Kreditrisiko og leveringsrisici (free deliveries): Kapitalkrav opgjort efter IRB-metoden: backtesting af PD i overensstemmelse med artikel 180, stk. 1, litra f), i forordning (EU) nr. 575/2013 (CR IRB 5B)</w:t>
      </w:r>
      <w:bookmarkEnd w:id="341"/>
      <w:bookmarkEnd w:id="342"/>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3" w:name="_Toc19715765"/>
      <w:bookmarkStart w:id="344" w:name="_Toc119059344"/>
      <w:r>
        <w:rPr>
          <w:rFonts w:ascii="Times New Roman" w:hAnsi="Times New Roman"/>
          <w:sz w:val="24"/>
        </w:rPr>
        <w:t>Instrukser vedrørende specifikke positioner</w:t>
      </w:r>
      <w:bookmarkEnd w:id="343"/>
      <w:bookmarkEnd w:id="344"/>
    </w:p>
    <w:p w14:paraId="126E5E9F" w14:textId="457F97C2" w:rsidR="008151A6" w:rsidRPr="002A677E" w:rsidRDefault="008F3052" w:rsidP="00487A02">
      <w:pPr>
        <w:pStyle w:val="InstructionsText2"/>
        <w:numPr>
          <w:ilvl w:val="0"/>
          <w:numId w:val="0"/>
        </w:numPr>
        <w:ind w:left="1353" w:hanging="360"/>
      </w:pPr>
      <w:fldSimple w:instr=" seq paragraphs ">
        <w:r>
          <w:t>81</w:t>
        </w:r>
      </w:fldSimple>
      <w:r>
        <w:t>. Ud over skema C 08.05 indberetter institutterne oplysninger i skema C 08.05.1, hvis de anvender artikel 180, stk. 1, litra f), i forordning (EU) nr. 575/2013 til et estimat af PD og kun for PD-estimater i overensstemmelse med samme artikel. Instrukserne er de samme som i skema C 08.05 med følgende undtagelser:</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Pr>
                <w:rFonts w:ascii="Times New Roman" w:hAnsi="Times New Roman"/>
                <w:sz w:val="24"/>
              </w:rPr>
              <w:t>Kolonner</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Pr>
                <w:rFonts w:ascii="Times New Roman" w:hAnsi="Times New Roman"/>
                <w:sz w:val="24"/>
              </w:rPr>
              <w:t>Instrukser</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PD-INTERVAL</w:t>
            </w:r>
          </w:p>
          <w:p w14:paraId="475EE092" w14:textId="77777777" w:rsidR="008151A6" w:rsidRPr="002A677E" w:rsidRDefault="008151A6" w:rsidP="00664874">
            <w:pPr>
              <w:rPr>
                <w:rFonts w:ascii="Times New Roman" w:hAnsi="Times New Roman"/>
                <w:sz w:val="24"/>
              </w:rPr>
            </w:pPr>
            <w:r>
              <w:rPr>
                <w:rFonts w:ascii="Times New Roman" w:hAnsi="Times New Roman"/>
                <w:sz w:val="24"/>
              </w:rPr>
              <w:t xml:space="preserve">Institutterne skal indberette PD-intervaller </w:t>
            </w:r>
            <w:r>
              <w:rPr>
                <w:rStyle w:val="InstructionsTabelleText"/>
                <w:rFonts w:ascii="Times New Roman" w:hAnsi="Times New Roman"/>
                <w:sz w:val="24"/>
              </w:rPr>
              <w:t>i overensstemmelse med</w:t>
            </w:r>
            <w:r>
              <w:rPr>
                <w:rFonts w:ascii="Times New Roman" w:hAnsi="Times New Roman"/>
                <w:sz w:val="24"/>
              </w:rPr>
              <w:t xml:space="preserve"> deres interne ratings, som de henfører til den skala, der anvendes af det eksterne kreditvurderingsinstitut (ECAI), i stedet for et fastsat eksternt PD-interval.</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TILSVARENDE EKSTERN RATING</w:t>
            </w:r>
          </w:p>
          <w:p w14:paraId="7891F0E7" w14:textId="4AEDBED9" w:rsidR="008151A6" w:rsidRPr="002A677E" w:rsidRDefault="00B7583B" w:rsidP="00E1685B">
            <w:pPr>
              <w:rPr>
                <w:rFonts w:ascii="Times New Roman" w:hAnsi="Times New Roman"/>
                <w:sz w:val="24"/>
              </w:rPr>
            </w:pPr>
            <w:r>
              <w:rPr>
                <w:rFonts w:ascii="Times New Roman" w:hAnsi="Times New Roman"/>
                <w:sz w:val="24"/>
              </w:rPr>
              <w:t>Institutterne skal indberette en kolonne for hvert ECAI, der er taget i betragtning i henhold til artikel 180, stk. 1, litra f), i forordning (EU) nr. 575/2013. I disse kolonner skal institutterne medtage den eksterne rating, hvortil deres interne PD-intervaller er henført.</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45" w:name="_Toc19715766"/>
      <w:bookmarkStart w:id="346" w:name="_Toc119059345"/>
      <w:r>
        <w:rPr>
          <w:rFonts w:ascii="Times New Roman" w:hAnsi="Times New Roman"/>
          <w:sz w:val="24"/>
        </w:rPr>
        <w:t>C 08.06 – Kreditrisiko og leveringsrisici (free deliveries): Kapitalkrav opgjort efter IRB-metoden (kategoriseringsmetoden for specialiseret långivning (CR IRB 6))</w:t>
      </w:r>
      <w:bookmarkEnd w:id="345"/>
      <w:bookmarkEnd w:id="346"/>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7" w:name="_Toc19715767"/>
      <w:bookmarkStart w:id="348" w:name="_Toc119059346"/>
      <w:r>
        <w:rPr>
          <w:rFonts w:ascii="Times New Roman" w:hAnsi="Times New Roman"/>
          <w:sz w:val="24"/>
        </w:rPr>
        <w:t>Generelle bemærkninger</w:t>
      </w:r>
      <w:bookmarkEnd w:id="347"/>
      <w:bookmarkEnd w:id="348"/>
    </w:p>
    <w:p w14:paraId="281DDF45" w14:textId="04E30B7C" w:rsidR="008151A6" w:rsidRPr="002A677E" w:rsidRDefault="008F3052" w:rsidP="00487A02">
      <w:pPr>
        <w:pStyle w:val="InstructionsText2"/>
        <w:numPr>
          <w:ilvl w:val="0"/>
          <w:numId w:val="0"/>
        </w:numPr>
        <w:ind w:left="1353" w:hanging="360"/>
      </w:pPr>
      <w:fldSimple w:instr=" seq paragraphs ">
        <w:r>
          <w:t>82</w:t>
        </w:r>
      </w:fldSimple>
      <w:r>
        <w:t>. Institutterne indberetter oplysningerne i dette skema i henhold til artikel 438, litra e), i forordning (EU) nr. 575/2013. Institutterne skal indberette oplysninger om følgende typer af specialiserede långivningseksponeringer, der er omhandlet i tabel 1 i artikel 153, stk. 5:</w:t>
      </w:r>
    </w:p>
    <w:p w14:paraId="1D0B1AA8" w14:textId="77777777" w:rsidR="008151A6" w:rsidRPr="002A677E" w:rsidRDefault="008151A6" w:rsidP="00487A02">
      <w:pPr>
        <w:pStyle w:val="InstructionsText2"/>
        <w:numPr>
          <w:ilvl w:val="1"/>
          <w:numId w:val="15"/>
        </w:numPr>
      </w:pPr>
      <w:r>
        <w:t>Projektfinansiering</w:t>
      </w:r>
    </w:p>
    <w:p w14:paraId="4E0A6889" w14:textId="48E7FF01" w:rsidR="008151A6" w:rsidRPr="002A677E" w:rsidRDefault="008151A6" w:rsidP="00487A02">
      <w:pPr>
        <w:pStyle w:val="InstructionsText2"/>
        <w:numPr>
          <w:ilvl w:val="1"/>
          <w:numId w:val="15"/>
        </w:numPr>
      </w:pPr>
      <w:r>
        <w:t>Indtægtsgenerende fast ejendom og erhvervsejendomme med høj volatilitet</w:t>
      </w:r>
    </w:p>
    <w:p w14:paraId="005930E1" w14:textId="77777777" w:rsidR="008151A6" w:rsidRPr="002A677E" w:rsidRDefault="008151A6" w:rsidP="00487A02">
      <w:pPr>
        <w:pStyle w:val="InstructionsText2"/>
        <w:numPr>
          <w:ilvl w:val="1"/>
          <w:numId w:val="15"/>
        </w:numPr>
      </w:pPr>
      <w:r>
        <w:t>Objektfinansiering</w:t>
      </w:r>
    </w:p>
    <w:p w14:paraId="78B4EACC" w14:textId="77777777" w:rsidR="008151A6" w:rsidRPr="002A677E" w:rsidRDefault="008151A6" w:rsidP="00487A02">
      <w:pPr>
        <w:pStyle w:val="InstructionsText2"/>
        <w:numPr>
          <w:ilvl w:val="1"/>
          <w:numId w:val="15"/>
        </w:numPr>
      </w:pPr>
      <w:r>
        <w:t>Råvarefinansiering</w:t>
      </w:r>
    </w:p>
    <w:p w14:paraId="4FA083C1" w14:textId="3D34F7E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9" w:name="_Toc19715768"/>
      <w:bookmarkStart w:id="350" w:name="_Toc119059347"/>
      <w:r>
        <w:rPr>
          <w:rFonts w:ascii="Times New Roman" w:hAnsi="Times New Roman"/>
          <w:sz w:val="24"/>
        </w:rPr>
        <w:lastRenderedPageBreak/>
        <w:t>Instrukser vedrørende specifikke positioner</w:t>
      </w:r>
      <w:bookmarkEnd w:id="349"/>
      <w:bookmarkEnd w:id="3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Pr>
                <w:rFonts w:ascii="Times New Roman" w:hAnsi="Times New Roman"/>
                <w:sz w:val="24"/>
              </w:rPr>
              <w:t>Kolonner</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Pr>
                <w:rFonts w:ascii="Times New Roman" w:hAnsi="Times New Roman"/>
                <w:sz w:val="24"/>
              </w:rPr>
              <w:t>Instrukser</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OPRINDELIG EKSPONERING FØR ANVENDELSE AF KONVERTERINGSFAKTORER</w:t>
            </w:r>
          </w:p>
          <w:p w14:paraId="32A139DA" w14:textId="77777777" w:rsidR="008151A6" w:rsidRPr="002A677E" w:rsidRDefault="008151A6" w:rsidP="00664874">
            <w:pPr>
              <w:rPr>
                <w:rFonts w:ascii="Times New Roman" w:hAnsi="Times New Roman"/>
                <w:sz w:val="24"/>
              </w:rPr>
            </w:pPr>
            <w:r>
              <w:rPr>
                <w:rFonts w:ascii="Times New Roman" w:hAnsi="Times New Roman"/>
                <w:sz w:val="24"/>
              </w:rPr>
              <w:t>Se instrukserne til CR-IRB.</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EKSPONERING EFTER SUBSTITUTIONSVIRKNINGER AF KREDITRISIKOREDUKTIONSTEKNIKKER FØR ANVENDELSE AF KONVERTERINGSFAKTORER</w:t>
            </w:r>
          </w:p>
          <w:p w14:paraId="3A653499" w14:textId="77777777" w:rsidR="008151A6" w:rsidRPr="002A677E" w:rsidRDefault="008151A6" w:rsidP="00664874">
            <w:pPr>
              <w:rPr>
                <w:rFonts w:ascii="Times New Roman" w:hAnsi="Times New Roman"/>
                <w:sz w:val="24"/>
              </w:rPr>
            </w:pPr>
            <w:r>
              <w:rPr>
                <w:rFonts w:ascii="Times New Roman" w:hAnsi="Times New Roman"/>
                <w:sz w:val="24"/>
              </w:rPr>
              <w:t>Se instrukserne til CR-IRB.</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HERAF: IKKEBALANCEFØRTE POSTER </w:t>
            </w:r>
          </w:p>
          <w:p w14:paraId="4ABA7FFD" w14:textId="77777777" w:rsidR="008151A6" w:rsidRPr="002A677E" w:rsidRDefault="008151A6" w:rsidP="00664874">
            <w:pPr>
              <w:rPr>
                <w:rFonts w:ascii="Times New Roman" w:hAnsi="Times New Roman"/>
                <w:sz w:val="24"/>
              </w:rPr>
            </w:pPr>
            <w:r>
              <w:rPr>
                <w:rFonts w:ascii="Times New Roman" w:hAnsi="Times New Roman"/>
                <w:sz w:val="24"/>
              </w:rPr>
              <w:t>Se instrukserne til CR SA.</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EKSPONERINGSVÆRDI</w:t>
            </w:r>
          </w:p>
          <w:p w14:paraId="1609B101" w14:textId="77777777" w:rsidR="008151A6" w:rsidRPr="002A677E" w:rsidRDefault="008151A6" w:rsidP="00664874">
            <w:pPr>
              <w:rPr>
                <w:rFonts w:ascii="Times New Roman" w:hAnsi="Times New Roman"/>
                <w:sz w:val="24"/>
              </w:rPr>
            </w:pPr>
            <w:r>
              <w:rPr>
                <w:rFonts w:ascii="Times New Roman" w:hAnsi="Times New Roman"/>
                <w:sz w:val="24"/>
              </w:rPr>
              <w:t>Se instrukserne til CR-IRB.</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HERAF: SOM OPSTÅR I FORBINDELSE MED MODPARTSRISIKO </w:t>
            </w:r>
          </w:p>
          <w:p w14:paraId="016DCD4A" w14:textId="77777777" w:rsidR="008151A6" w:rsidRPr="002A677E" w:rsidRDefault="008151A6" w:rsidP="00664874">
            <w:pPr>
              <w:rPr>
                <w:rFonts w:ascii="Times New Roman" w:hAnsi="Times New Roman"/>
                <w:sz w:val="24"/>
              </w:rPr>
            </w:pPr>
            <w:r>
              <w:rPr>
                <w:rFonts w:ascii="Times New Roman" w:hAnsi="Times New Roman"/>
                <w:sz w:val="24"/>
              </w:rPr>
              <w:t>Se instrukserne til CR SA.</w:t>
            </w:r>
            <w:r>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RISIKOVÆGT</w:t>
            </w:r>
          </w:p>
          <w:p w14:paraId="2750035C" w14:textId="6DBC2F7B" w:rsidR="002771C5" w:rsidRPr="002A677E" w:rsidRDefault="0044539D" w:rsidP="00664874">
            <w:pPr>
              <w:rPr>
                <w:rFonts w:ascii="Times New Roman" w:hAnsi="Times New Roman"/>
                <w:sz w:val="24"/>
              </w:rPr>
            </w:pPr>
            <w:r>
              <w:rPr>
                <w:rFonts w:ascii="Times New Roman" w:hAnsi="Times New Roman"/>
                <w:sz w:val="24"/>
              </w:rPr>
              <w:t>Artikel 153, stk. 5, i forordning (EU) nr. 575/2013</w:t>
            </w:r>
          </w:p>
          <w:p w14:paraId="439D994B" w14:textId="77777777" w:rsidR="008151A6" w:rsidRPr="002A677E" w:rsidRDefault="008151A6" w:rsidP="00664874">
            <w:pPr>
              <w:rPr>
                <w:rFonts w:ascii="Times New Roman" w:hAnsi="Times New Roman"/>
                <w:sz w:val="24"/>
              </w:rPr>
            </w:pPr>
            <w:r>
              <w:rPr>
                <w:rFonts w:ascii="Times New Roman" w:hAnsi="Times New Roman"/>
                <w:sz w:val="24"/>
              </w:rPr>
              <w:t xml:space="preserve">Dette er en fast kolonne til orientering. Den må ikke ændres.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RISIKOVÆGTET EKSPONERING EFTER ANVENDELSE AF STØTTEFAKTORER</w:t>
            </w:r>
          </w:p>
          <w:p w14:paraId="17782A0B" w14:textId="77777777" w:rsidR="008151A6" w:rsidRPr="002A677E" w:rsidRDefault="008151A6" w:rsidP="00664874">
            <w:pPr>
              <w:rPr>
                <w:rFonts w:ascii="Times New Roman" w:hAnsi="Times New Roman"/>
                <w:b/>
                <w:sz w:val="24"/>
              </w:rPr>
            </w:pPr>
            <w:r>
              <w:rPr>
                <w:rFonts w:ascii="Times New Roman" w:hAnsi="Times New Roman"/>
                <w:sz w:val="24"/>
              </w:rPr>
              <w:t>Se instrukserne til CR-IRB.</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FORVENTET TAB</w:t>
            </w:r>
          </w:p>
          <w:p w14:paraId="08085964" w14:textId="77777777" w:rsidR="008151A6" w:rsidRPr="002A677E" w:rsidRDefault="008151A6" w:rsidP="00664874">
            <w:pPr>
              <w:rPr>
                <w:rFonts w:ascii="Times New Roman" w:hAnsi="Times New Roman"/>
                <w:b/>
                <w:sz w:val="24"/>
              </w:rPr>
            </w:pPr>
            <w:r>
              <w:rPr>
                <w:rFonts w:ascii="Times New Roman" w:hAnsi="Times New Roman"/>
                <w:sz w:val="24"/>
              </w:rPr>
              <w:t>Se instrukserne til CR-IRB.</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VÆRDIJUSTERINGER OG HENSÆTTELSER</w:t>
            </w:r>
          </w:p>
          <w:p w14:paraId="29980C9F" w14:textId="77777777" w:rsidR="008151A6" w:rsidRPr="002A677E" w:rsidRDefault="008151A6" w:rsidP="00664874">
            <w:pPr>
              <w:rPr>
                <w:rFonts w:ascii="Times New Roman" w:hAnsi="Times New Roman"/>
                <w:b/>
                <w:sz w:val="24"/>
              </w:rPr>
            </w:pPr>
            <w:r>
              <w:rPr>
                <w:rFonts w:ascii="Times New Roman" w:hAnsi="Times New Roman"/>
                <w:sz w:val="24"/>
              </w:rPr>
              <w:t>Se instrukserne til CR-IRB.</w:t>
            </w:r>
          </w:p>
        </w:tc>
      </w:tr>
    </w:tbl>
    <w:p w14:paraId="4517997D" w14:textId="77777777" w:rsidR="008151A6" w:rsidRPr="002A677E" w:rsidRDefault="008151A6" w:rsidP="007D633B">
      <w:pPr>
        <w:pStyle w:val="body"/>
      </w:pPr>
      <w:bookmarkStart w:id="35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Pr>
                <w:rFonts w:ascii="Times New Roman" w:hAnsi="Times New Roman"/>
                <w:sz w:val="24"/>
              </w:rPr>
              <w:t>Rækker</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Pr>
                <w:rFonts w:ascii="Times New Roman" w:hAnsi="Times New Roman"/>
                <w:sz w:val="24"/>
              </w:rPr>
              <w:t>Instrukser</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Pr>
                <w:rFonts w:ascii="Times New Roman" w:hAnsi="Times New Roman"/>
                <w:sz w:val="24"/>
              </w:rPr>
              <w:t>0010-0120</w:t>
            </w:r>
          </w:p>
        </w:tc>
        <w:tc>
          <w:tcPr>
            <w:tcW w:w="8931" w:type="dxa"/>
          </w:tcPr>
          <w:p w14:paraId="1351C686" w14:textId="43FAE5E8" w:rsidR="008151A6" w:rsidRPr="002A677E" w:rsidRDefault="008151A6" w:rsidP="00E1685B">
            <w:pPr>
              <w:rPr>
                <w:rFonts w:ascii="Times New Roman" w:hAnsi="Times New Roman"/>
                <w:sz w:val="24"/>
              </w:rPr>
            </w:pPr>
            <w:r>
              <w:rPr>
                <w:rFonts w:ascii="Times New Roman" w:hAnsi="Times New Roman"/>
                <w:sz w:val="24"/>
              </w:rPr>
              <w:t>Eksponeringer fordeles på den relevante kategori og den relevante løbetid i overensstemmelse med tabel 1 i artikel 153, stk. 5, i forordning (EU) nr. 575/2013.</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52" w:name="_Toc119059348"/>
      <w:r>
        <w:rPr>
          <w:rFonts w:ascii="Times New Roman" w:hAnsi="Times New Roman"/>
          <w:sz w:val="24"/>
        </w:rPr>
        <w:lastRenderedPageBreak/>
        <w:t>C 08.07 – Kreditrisiko og leveringsrisici (free deliveries): Kapitalkrav opgjort efter IRB-metoden (anvendelsesområdet for IRB- og SA-metoden (CR IRB 7))</w:t>
      </w:r>
      <w:bookmarkEnd w:id="351"/>
      <w:bookmarkEnd w:id="352"/>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3" w:name="_Toc19715770"/>
      <w:bookmarkStart w:id="354" w:name="_Toc119059349"/>
      <w:r>
        <w:rPr>
          <w:rFonts w:ascii="Times New Roman" w:hAnsi="Times New Roman"/>
          <w:sz w:val="24"/>
        </w:rPr>
        <w:t>Generelle bemærkninger</w:t>
      </w:r>
      <w:bookmarkEnd w:id="353"/>
      <w:bookmarkEnd w:id="354"/>
    </w:p>
    <w:p w14:paraId="5F11BD1F" w14:textId="5752E606" w:rsidR="008151A6" w:rsidRPr="002A677E" w:rsidRDefault="008F3052" w:rsidP="00487A02">
      <w:pPr>
        <w:pStyle w:val="InstructionsText2"/>
        <w:numPr>
          <w:ilvl w:val="0"/>
          <w:numId w:val="0"/>
        </w:numPr>
        <w:ind w:left="1353" w:hanging="360"/>
      </w:pPr>
      <w:fldSimple w:instr=" seq paragraphs ">
        <w:r>
          <w:t>83</w:t>
        </w:r>
      </w:fldSimple>
      <w:r>
        <w:t>. Med henblik på dette skema allokerer de institutter, der beregner risikovægtede eksponeringer efter IRB-metoden for kreditrisiko deres eksponeringer, der er omfattet af standardmetoden, der er fastsat i tredje del, afsnit II, kapitel 2, i forordning (EU) nr. 575/2013, eller af IRB-metoden, der er fastsat i tredje del, afsnit II, kapitel 3, i nævnte forordning, såvel som andelen af hver eksponeringsklasse, der er omfattet af en roll-out-plan. Institutterne medtager oplysningerne i dette skema efter eksponeringsklasser i overensstemmelse med den opdeling af eksponeringsklasser, der fremgår af rækkerne i skemaet.</w:t>
      </w:r>
    </w:p>
    <w:p w14:paraId="4691373C" w14:textId="1FFDE600" w:rsidR="008151A6" w:rsidRPr="002A677E" w:rsidRDefault="008F3052" w:rsidP="00487A02">
      <w:pPr>
        <w:pStyle w:val="InstructionsText2"/>
        <w:numPr>
          <w:ilvl w:val="0"/>
          <w:numId w:val="0"/>
        </w:numPr>
        <w:ind w:left="1353" w:hanging="360"/>
      </w:pPr>
      <w:fldSimple w:instr=" seq paragraphs ">
        <w:r>
          <w:t>84</w:t>
        </w:r>
      </w:fldSimple>
      <w:r>
        <w:t>. Kolonne 0030-0050 bør dække hele spektret af eksponeringer, således at summen af hver række for disse tre kolonner skal være 100 % for alle eksponeringsklasser undtagen securitiseringspositioner og fratrukne positioner.</w:t>
      </w:r>
    </w:p>
    <w:p w14:paraId="4C00E4FE" w14:textId="3DD5750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5" w:name="_Toc19715771"/>
      <w:bookmarkStart w:id="356" w:name="_Toc119059350"/>
      <w:r>
        <w:rPr>
          <w:rFonts w:ascii="Times New Roman" w:hAnsi="Times New Roman"/>
          <w:sz w:val="24"/>
        </w:rPr>
        <w:t>Instrukser vedrørende specifikke positioner</w:t>
      </w:r>
      <w:bookmarkEnd w:id="355"/>
      <w:bookmarkEnd w:id="35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Pr>
                <w:rFonts w:ascii="Times New Roman" w:hAnsi="Times New Roman"/>
                <w:sz w:val="24"/>
              </w:rPr>
              <w:t>Kolonner</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Pr>
                <w:rFonts w:ascii="Times New Roman" w:hAnsi="Times New Roman"/>
                <w:sz w:val="24"/>
              </w:rPr>
              <w:t>Instrukser</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2A677E" w:rsidRDefault="00EE6F6C" w:rsidP="00EE6F6C">
            <w:pPr>
              <w:rPr>
                <w:rFonts w:ascii="Times New Roman" w:hAnsi="Times New Roman"/>
                <w:b/>
                <w:sz w:val="24"/>
                <w:u w:val="single"/>
              </w:rPr>
            </w:pPr>
            <w:r>
              <w:rPr>
                <w:rFonts w:ascii="Times New Roman" w:hAnsi="Times New Roman"/>
                <w:b/>
                <w:sz w:val="24"/>
                <w:u w:val="single"/>
              </w:rPr>
              <w:t>SAMLET EKSPONERINGSVÆRDI SOM DEFINERET I ARTIKEL 166 I FORORDNING (EU) NR. 575/2013</w:t>
            </w:r>
          </w:p>
          <w:p w14:paraId="4EDD59E5" w14:textId="37455121" w:rsidR="00EE6F6C" w:rsidRPr="002A677E" w:rsidRDefault="00EE6F6C" w:rsidP="00840A22">
            <w:pPr>
              <w:rPr>
                <w:rFonts w:ascii="Times New Roman" w:hAnsi="Times New Roman"/>
                <w:b/>
                <w:sz w:val="24"/>
              </w:rPr>
            </w:pPr>
            <w:r>
              <w:rPr>
                <w:rFonts w:ascii="Times New Roman" w:hAnsi="Times New Roman"/>
                <w:sz w:val="24"/>
              </w:rPr>
              <w:t>Institutterne skal anvende eksponeringsværdien inden kreditrisikoreduktionsteknikkerne i overensstemmelse med artikel 166 i forordning (EU) nr. 575/2013.</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SAMLET EKSPONERINGSVÆRDI OMFATTET AF SA OG IRB</w:t>
            </w:r>
          </w:p>
          <w:p w14:paraId="65EB5759" w14:textId="79462CE9" w:rsidR="008151A6" w:rsidRPr="002A677E" w:rsidRDefault="008151A6" w:rsidP="00EE6F6C">
            <w:pPr>
              <w:rPr>
                <w:rFonts w:ascii="Times New Roman" w:hAnsi="Times New Roman"/>
                <w:sz w:val="24"/>
              </w:rPr>
            </w:pPr>
            <w:r>
              <w:rPr>
                <w:rFonts w:ascii="Times New Roman" w:hAnsi="Times New Roman"/>
                <w:sz w:val="24"/>
              </w:rPr>
              <w:t>Institutterne anvender eksponeringsværdien inden anvendelsen af kreditrisikoreduktionsteknikker i henhold til artikel 429, stk. 4, i forordning (EU) nr. 575/2013, når de indberetter den samlede eksponering, herunder både eksponeringen i henhold til standardmetoden og eksponeringen i henhold til IRB-metoden.</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PROCENTDEL AF DEN SAMLEDE EKSPONERINGSVÆRDI OMFATTET AF EN PERMANENT DELVIS ANVENDELSE AF SA (%)</w:t>
            </w:r>
          </w:p>
          <w:p w14:paraId="468D6087" w14:textId="1435E341" w:rsidR="008151A6" w:rsidRPr="002A677E" w:rsidRDefault="008151A6" w:rsidP="00EE6F6C">
            <w:pPr>
              <w:rPr>
                <w:rFonts w:ascii="Times New Roman" w:hAnsi="Times New Roman"/>
                <w:sz w:val="24"/>
              </w:rPr>
            </w:pPr>
            <w:r>
              <w:rPr>
                <w:rFonts w:ascii="Times New Roman" w:hAnsi="Times New Roman"/>
                <w:sz w:val="24"/>
              </w:rPr>
              <w:t>En del af eksponeringen for hver eksponeringsklasse, der er omfattet af standardmetoden (eksponering omfattet af standardmetoden inden anvendelsen af kreditrisikoreduktionsteknikker i forhold til den samlede eksponering i den pågældende eksponeringsklasse i kolonne 0020), under hensyntagen til anvendelsesområdet for den tilladelse, der er givet af en kompetent myndighed, til permanent delvis anvendelse af standardmetoden, jf. artikel 150 i forordning (EU) nr. 575/2013.</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PROCENTDEL AF DEN SAMLEDE EKSPONERINGSVÆRDI, DER ER OMFATTET AF EN ROLL-OUT-PLAN (%)</w:t>
            </w:r>
          </w:p>
          <w:p w14:paraId="487877B8" w14:textId="725BEAC9" w:rsidR="008151A6" w:rsidRPr="002A677E" w:rsidRDefault="008151A6" w:rsidP="00664874">
            <w:pPr>
              <w:rPr>
                <w:rFonts w:ascii="Times New Roman" w:hAnsi="Times New Roman"/>
                <w:sz w:val="24"/>
              </w:rPr>
            </w:pPr>
            <w:r>
              <w:rPr>
                <w:rFonts w:ascii="Times New Roman" w:hAnsi="Times New Roman"/>
                <w:sz w:val="24"/>
              </w:rPr>
              <w:t xml:space="preserve">Den del af eksponeringen for hver eksponeringsklasse, hvor anvendelsen af IRB-metoden sker i faser i henhold til artikel 148 i forordning (EU) nr. 575/2013. Dette skal omfatte: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begge eksponeringer, hvor institutterne har planer om at anvende IRB-metoden med deres egne estimater af LGD og konverteringsfaktorer (F-IRB og A-IRB) </w:t>
            </w:r>
          </w:p>
          <w:p w14:paraId="19994760"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lastRenderedPageBreak/>
              <w:t>aktieeksponeringer uden større betydning, der ikke er medtaget i kolonne 0020 eller 0040</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eksponeringer, der allerede er i F-IRB, hvor et institut agter at anvende A-IRB fremover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specialiserede långivningseksponeringer i henhold til den tilsynsmæssige kategoriseringsmetode er ikke medtaget i kolonne 0040.</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PROCENTDEL AF DEN SAMLEDE EKSPONERINGSVÆRDI, DER ER OMFATTET AF IRB-METODEN (%)</w:t>
            </w:r>
          </w:p>
          <w:p w14:paraId="3B809DEB" w14:textId="4B4B075F" w:rsidR="008151A6" w:rsidRPr="002A677E" w:rsidRDefault="008151A6" w:rsidP="009A4399">
            <w:pPr>
              <w:rPr>
                <w:rFonts w:ascii="Times New Roman" w:hAnsi="Times New Roman"/>
                <w:b/>
                <w:sz w:val="24"/>
              </w:rPr>
            </w:pPr>
            <w:r>
              <w:rPr>
                <w:rFonts w:ascii="Times New Roman" w:hAnsi="Times New Roman"/>
                <w:sz w:val="24"/>
              </w:rPr>
              <w:t>En del af eksponeringen for hver eksponeringsklasse, der er omfattet af IRB-metoden (eksponering omfattet af IRB-metoden før kreditrisikoreduktionsteknikker i forhold til den samlede eksponering i den pågældende eksponeringsklasse), under hensyntagen til anvendelsesområdet for den tilladelse, der er givet af en kompetent myndighed, til at anvende IRB-metoden, jf. artikel 143 i forordning (EU) nr. 575/2013. Dette omfatter både eksponeringer, hvor institutterne har tilladelse til at anvende deres egne estimater af LGD og eventuelle konverteringsfaktorer (F-IRB og A-IRB), herunder den tilsynsmæssige kategoriseringsmetode for specialiserede långivningseksponeringer og aktieeksponeringer, der er omfattet af den forenklede risikovægtningsmetode, samt de eksponeringer, der er indberettet i række 0170 i skema C 08.01.</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Pr>
                <w:rFonts w:ascii="Times New Roman" w:hAnsi="Times New Roman"/>
                <w:sz w:val="24"/>
              </w:rPr>
              <w:t>Rækker</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Pr>
                <w:rFonts w:ascii="Times New Roman" w:hAnsi="Times New Roman"/>
                <w:sz w:val="24"/>
              </w:rPr>
              <w:t>Instrukser</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Pr>
                <w:rFonts w:ascii="Times New Roman" w:hAnsi="Times New Roman"/>
                <w:sz w:val="24"/>
              </w:rPr>
              <w:t>EKSPONERINGSKLASSER</w:t>
            </w:r>
          </w:p>
        </w:tc>
        <w:tc>
          <w:tcPr>
            <w:tcW w:w="8557" w:type="dxa"/>
          </w:tcPr>
          <w:p w14:paraId="661FCC1F" w14:textId="77777777" w:rsidR="008151A6" w:rsidRPr="002A677E" w:rsidRDefault="008151A6" w:rsidP="00CC2B5B">
            <w:pPr>
              <w:rPr>
                <w:rFonts w:ascii="Times New Roman" w:eastAsiaTheme="minorHAnsi" w:hAnsi="Times New Roman"/>
                <w:sz w:val="24"/>
              </w:rPr>
            </w:pPr>
            <w:r>
              <w:rPr>
                <w:rFonts w:ascii="Times New Roman" w:hAnsi="Times New Roman"/>
                <w:sz w:val="24"/>
              </w:rPr>
              <w:t>Institutterne medtager oplysningerne i dette skema efter eksponeringsklasser i overensstemmelse med den opdeling af eksponeringsklasser, der fremgår af rækkerne i skemaet.</w:t>
            </w:r>
          </w:p>
        </w:tc>
      </w:tr>
    </w:tbl>
    <w:p w14:paraId="666E7F64" w14:textId="77777777" w:rsidR="008151A6" w:rsidRPr="002A677E" w:rsidRDefault="008151A6" w:rsidP="00487A02">
      <w:pPr>
        <w:pStyle w:val="InstructionsText"/>
      </w:pPr>
    </w:p>
    <w:p w14:paraId="381A08C1" w14:textId="55BBE88D"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7" w:name="_Toc360188361"/>
      <w:bookmarkStart w:id="358" w:name="_Toc473560912"/>
      <w:bookmarkStart w:id="359" w:name="_Toc119059351"/>
      <w:r>
        <w:rPr>
          <w:rFonts w:ascii="Times New Roman" w:hAnsi="Times New Roman"/>
          <w:sz w:val="24"/>
          <w:u w:val="none"/>
        </w:rPr>
        <w:t>3.4.</w:t>
      </w:r>
      <w:r>
        <w:tab/>
      </w:r>
      <w:r>
        <w:rPr>
          <w:rFonts w:ascii="Times New Roman" w:hAnsi="Times New Roman"/>
          <w:sz w:val="24"/>
        </w:rPr>
        <w:t>Kreditrisiko, modpartsrisiko og leveringsrisiko (free deliveries): Oplysninger med geografisk opdeling (CR GB)</w:t>
      </w:r>
      <w:bookmarkEnd w:id="357"/>
      <w:bookmarkEnd w:id="358"/>
      <w:bookmarkEnd w:id="359"/>
    </w:p>
    <w:p w14:paraId="59CE9D64" w14:textId="77777777" w:rsidR="004357B9" w:rsidRPr="002A677E" w:rsidRDefault="008F3052" w:rsidP="00487A02">
      <w:pPr>
        <w:pStyle w:val="InstructionsText2"/>
        <w:numPr>
          <w:ilvl w:val="0"/>
          <w:numId w:val="0"/>
        </w:numPr>
        <w:ind w:left="1353" w:hanging="360"/>
      </w:pPr>
      <w:fldSimple w:instr=" seq paragraphs ">
        <w:r>
          <w:t>85</w:t>
        </w:r>
      </w:fldSimple>
      <w:r>
        <w:t>.</w:t>
      </w:r>
      <w:r>
        <w:tab/>
        <w:t>Alle institutter skal indberette oplysninger aggregeret på samlet niveau. Derudover skal institutter, der opfylder tærsklen i denne gennemførelsesforordnings artikel 5, stk. 5, indsende oplysninger opdelt efter land om eget land og andre lande. Der tages kun hensyn til tærsklen i forbindelse med CR GB 1- og CR GB 2-skemaerne. Eksponeringer over for overnationale organisationer henregnes til det geografiske område "andre lande".</w:t>
      </w:r>
    </w:p>
    <w:p w14:paraId="6678F7E4" w14:textId="77777777" w:rsidR="004357B9" w:rsidRPr="002A677E" w:rsidRDefault="008F3052" w:rsidP="00487A02">
      <w:pPr>
        <w:pStyle w:val="InstructionsText2"/>
        <w:numPr>
          <w:ilvl w:val="0"/>
          <w:numId w:val="0"/>
        </w:numPr>
        <w:ind w:left="1353" w:hanging="360"/>
      </w:pPr>
      <w:fldSimple w:instr=" seq paragraphs ">
        <w:r>
          <w:t>86</w:t>
        </w:r>
      </w:fldSimple>
      <w:r>
        <w:t>.</w:t>
      </w:r>
      <w:r>
        <w:tab/>
        <w:t>Termen "låntagerens hjemsted" henviser til det land, hvor låntageren har sit hovedsæde. Dette begreb kan anvendes direkte på låntageren og på den ultimative risiko. Kreditrisikoreduktionsteknikker med substitutionsvirkninger kan derfor medføre, at en eksponering henføres til et andet land. Eksponeringer over for overnationale organisationer henregnes ikke til instituttets hjemsted, men til det geografiske område "andre lande", uanset hvilken eksponeringsklasse eksponeringen over for overnationale organisationer henregnes til.</w:t>
      </w:r>
    </w:p>
    <w:p w14:paraId="49CADB9D" w14:textId="77777777" w:rsidR="0096378F" w:rsidRPr="002A677E" w:rsidRDefault="008F3052" w:rsidP="00487A02">
      <w:pPr>
        <w:pStyle w:val="InstructionsText2"/>
        <w:numPr>
          <w:ilvl w:val="0"/>
          <w:numId w:val="0"/>
        </w:numPr>
        <w:ind w:left="1353" w:hanging="360"/>
      </w:pPr>
      <w:fldSimple w:instr=" seq paragraphs ">
        <w:r>
          <w:t>87</w:t>
        </w:r>
      </w:fldSimple>
      <w:r>
        <w:t>.</w:t>
      </w:r>
      <w:r>
        <w:tab/>
        <w:t>Data vedrørende "oprindelig eksponering før anvendelse af konverteringsfaktorer" indberettes med henvisning til den umiddelbare låntagers hjemsted. Data vedrørende "eksponeringsværdi" og "risikovægtede eksponeringer" indberettes efter den ultimative låntagers hjemsted.</w:t>
      </w:r>
    </w:p>
    <w:p w14:paraId="0658048F" w14:textId="51485079"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0" w:name="_Toc360188362"/>
      <w:bookmarkStart w:id="361" w:name="_Toc473560913"/>
      <w:bookmarkStart w:id="362" w:name="_Toc119059352"/>
      <w:r>
        <w:rPr>
          <w:rFonts w:ascii="Times New Roman" w:hAnsi="Times New Roman"/>
          <w:sz w:val="24"/>
          <w:u w:val="none"/>
        </w:rPr>
        <w:t>3.4.1.</w:t>
      </w:r>
      <w:r>
        <w:tab/>
      </w:r>
      <w:r>
        <w:rPr>
          <w:rFonts w:ascii="Times New Roman" w:hAnsi="Times New Roman"/>
          <w:sz w:val="24"/>
        </w:rPr>
        <w:t>C 09.01 – Geografisk opdeling af eksponeringer efter låntagerens hjemsted: Eksponeringer opgjort efter standardmetoden (CR GB 1)</w:t>
      </w:r>
      <w:bookmarkEnd w:id="360"/>
      <w:bookmarkEnd w:id="361"/>
      <w:bookmarkEnd w:id="362"/>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3" w:name="_Toc360188363"/>
      <w:bookmarkStart w:id="364" w:name="_Toc473560914"/>
      <w:bookmarkStart w:id="365" w:name="_Toc119059353"/>
      <w:r>
        <w:rPr>
          <w:rFonts w:ascii="Times New Roman" w:hAnsi="Times New Roman"/>
          <w:sz w:val="24"/>
          <w:u w:val="none"/>
        </w:rPr>
        <w:t>3.4.1.1.</w:t>
      </w:r>
      <w:r>
        <w:tab/>
      </w:r>
      <w:r>
        <w:rPr>
          <w:rFonts w:ascii="Times New Roman" w:hAnsi="Times New Roman"/>
          <w:sz w:val="24"/>
        </w:rPr>
        <w:t>Instrukser vedrørende specifikke positioner</w:t>
      </w:r>
      <w:bookmarkEnd w:id="363"/>
      <w:bookmarkEnd w:id="364"/>
      <w:bookmarkEnd w:id="36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Kolonner</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7B6F36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OPRINDELIG EKSPONERING FØR ANVENDELSE AF KONVERTERINGSFAKTORER</w:t>
            </w:r>
          </w:p>
          <w:p w14:paraId="00A439B8" w14:textId="77777777" w:rsidR="004357B9" w:rsidRPr="002A677E" w:rsidRDefault="004357B9" w:rsidP="004357B9">
            <w:pPr>
              <w:rPr>
                <w:rFonts w:ascii="Times New Roman" w:hAnsi="Times New Roman"/>
                <w:sz w:val="24"/>
              </w:rPr>
            </w:pPr>
            <w:r>
              <w:rPr>
                <w:rFonts w:ascii="Times New Roman" w:hAnsi="Times New Roman"/>
                <w:sz w:val="24"/>
              </w:rPr>
              <w:t>Samme definition som for kolonne 0010 i CR SA-skemaet.</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072FCE29" w14:textId="77777777" w:rsidR="004357B9" w:rsidRPr="002A677E" w:rsidRDefault="00771E97" w:rsidP="004357B9">
            <w:pPr>
              <w:rPr>
                <w:rFonts w:ascii="Times New Roman" w:hAnsi="Times New Roman"/>
                <w:b/>
                <w:sz w:val="24"/>
                <w:u w:val="single"/>
              </w:rPr>
            </w:pPr>
            <w:r>
              <w:rPr>
                <w:rFonts w:ascii="Times New Roman" w:hAnsi="Times New Roman"/>
                <w:b/>
                <w:sz w:val="24"/>
                <w:u w:val="single"/>
              </w:rPr>
              <w:t>Misligholdte eksponeringer</w:t>
            </w:r>
          </w:p>
          <w:p w14:paraId="5004BF9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Oprindelig eksponering før anvendelse af konverteringsfaktorer for de eksponeringer, der er klassificeret som "eksponeringer ved misligholdelse" og for misligholdte eksponeringer, der henføres til eksponeringsklasserne "eksponeringer forbundet med særlig høj risiko" eller "aktieeksponeringer".</w:t>
            </w:r>
          </w:p>
          <w:p w14:paraId="61376670" w14:textId="4DD04AC8"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Denne memorandumpost giver yderligere oplysninger om låntagerstrukturen for misligholdte eksponeringer. </w:t>
            </w:r>
            <w:r>
              <w:rPr>
                <w:rFonts w:ascii="Times New Roman" w:hAnsi="Times New Roman"/>
                <w:sz w:val="24"/>
              </w:rPr>
              <w:t>Eksponeringer, der er klassificeret som "eksponeringer ved misligholdelse" i overensstemmelse med artikel 112, litra j), i forordning (EU) nr. 575/2013, indberettes, når låntagerne ville være blevet indberettet, hvis eksponeringerne ikke var henført til eksponeringsklassen "eksponeringer ved misligholdelse".</w:t>
            </w:r>
            <w:r>
              <w:rPr>
                <w:rStyle w:val="InstructionsTabelleText"/>
                <w:rFonts w:ascii="Times New Roman" w:hAnsi="Times New Roman"/>
                <w:sz w:val="24"/>
              </w:rPr>
              <w:t xml:space="preserve"> </w:t>
            </w:r>
          </w:p>
          <w:p w14:paraId="2561BB51" w14:textId="24D64D14" w:rsidR="004357B9" w:rsidRPr="002A677E" w:rsidRDefault="004357B9" w:rsidP="00E1685B">
            <w:pPr>
              <w:rPr>
                <w:rFonts w:ascii="Times New Roman" w:hAnsi="Times New Roman"/>
                <w:sz w:val="24"/>
              </w:rPr>
            </w:pPr>
            <w:r>
              <w:rPr>
                <w:rFonts w:ascii="Times New Roman" w:hAnsi="Times New Roman"/>
                <w:sz w:val="24"/>
              </w:rPr>
              <w:t>Denne oplysning er en memorandumpost og påvirker dermed ikke beregningen af risikovægtede eksponeringer for eksponeringsklasserne "eksponering ved misligholdelse", "eksponeringer forbundet med særlig høj risiko" eller "aktieeksponeringer", jf. artikel 112, henholdsvis litra j), k) og p), i forordning (EU) nr. 575/2013.</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1131437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Observerede nye misligholdelser for perioden</w:t>
            </w:r>
          </w:p>
          <w:p w14:paraId="29F4E30D" w14:textId="5E2F30A5" w:rsidR="004357B9" w:rsidRPr="002A677E" w:rsidRDefault="00DF70AE" w:rsidP="00DF70AE">
            <w:pPr>
              <w:rPr>
                <w:rFonts w:ascii="Times New Roman" w:hAnsi="Times New Roman"/>
                <w:b/>
                <w:sz w:val="24"/>
                <w:u w:val="single"/>
              </w:rPr>
            </w:pPr>
            <w:r>
              <w:rPr>
                <w:rStyle w:val="InstructionsTabelleText"/>
                <w:rFonts w:ascii="Times New Roman" w:hAnsi="Times New Roman"/>
                <w:sz w:val="24"/>
              </w:rPr>
              <w:t>Beløbet for oprindelige eksponeringer, som er flyttet til eksponeringsklassen "Eksponeringer ved misligholdelse" i løbet af perioden på tre måneder siden den sidste referencedato for indberetningen, indberettes i forhold til den eksponeringsklasse, som låntageren oprindeligt tilhørte.</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2BBE966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Generelle kreditrisikojusteringer</w:t>
            </w:r>
          </w:p>
          <w:p w14:paraId="499CF437" w14:textId="3D76776C" w:rsidR="004357B9" w:rsidRPr="002A677E" w:rsidRDefault="004357B9" w:rsidP="004357B9">
            <w:pPr>
              <w:rPr>
                <w:rFonts w:ascii="Times New Roman" w:hAnsi="Times New Roman"/>
                <w:sz w:val="24"/>
              </w:rPr>
            </w:pPr>
            <w:r>
              <w:rPr>
                <w:rFonts w:ascii="Times New Roman" w:hAnsi="Times New Roman"/>
                <w:sz w:val="24"/>
              </w:rPr>
              <w:t xml:space="preserve">Kreditrisikojusteringer som omhandlet i artikel 110 i forordning (EU) nr. 575/2013 og i forordning (EU) nr. 183/2014 </w:t>
            </w:r>
          </w:p>
          <w:p w14:paraId="2551B30E" w14:textId="15F90C07" w:rsidR="00D95045" w:rsidRPr="002A677E" w:rsidRDefault="00D95045" w:rsidP="00D95045">
            <w:pPr>
              <w:rPr>
                <w:rFonts w:ascii="Times New Roman" w:hAnsi="Times New Roman"/>
                <w:sz w:val="24"/>
              </w:rPr>
            </w:pPr>
            <w:r>
              <w:rPr>
                <w:rFonts w:ascii="Times New Roman" w:hAnsi="Times New Roman"/>
                <w:sz w:val="24"/>
              </w:rPr>
              <w:t>Denne post indeholder de generelle kreditrisikojusteringer, der er kvalificeret til indregning i den supplerende kapital, før det i artikel 62, litra c), i forordning (EU) nr. 575/2013 omhandlede loft anvendes.</w:t>
            </w:r>
          </w:p>
          <w:p w14:paraId="4A4EE817" w14:textId="77777777" w:rsidR="00D95045" w:rsidRPr="002A677E" w:rsidRDefault="00D95045" w:rsidP="00D95045">
            <w:pPr>
              <w:rPr>
                <w:rFonts w:ascii="Times New Roman" w:hAnsi="Times New Roman"/>
                <w:b/>
                <w:sz w:val="24"/>
                <w:u w:val="single"/>
              </w:rPr>
            </w:pPr>
            <w:r>
              <w:rPr>
                <w:rFonts w:ascii="Times New Roman" w:hAnsi="Times New Roman"/>
                <w:sz w:val="24"/>
              </w:rPr>
              <w:t>Det indberettede beløb skal være før indregning af skatteeffekten.</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065DB4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Specifikke kreditrisikojusteringer</w:t>
            </w:r>
          </w:p>
          <w:p w14:paraId="53F47A5D" w14:textId="5882E60D" w:rsidR="004357B9" w:rsidRPr="002A677E" w:rsidRDefault="004357B9" w:rsidP="003B2712">
            <w:pPr>
              <w:rPr>
                <w:rFonts w:ascii="Times New Roman" w:hAnsi="Times New Roman"/>
                <w:b/>
                <w:sz w:val="24"/>
                <w:u w:val="single"/>
              </w:rPr>
            </w:pPr>
            <w:r>
              <w:rPr>
                <w:rFonts w:ascii="Times New Roman" w:hAnsi="Times New Roman"/>
                <w:sz w:val="24"/>
              </w:rPr>
              <w:lastRenderedPageBreak/>
              <w:t>Kreditrisikojusteringer som omhandlet i artikel 110 i forordning (EU) nr. 575/2013 og i forordning (EU) nr. 183/2014</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Pr>
                <w:rFonts w:ascii="Times New Roman" w:hAnsi="Times New Roman"/>
                <w:sz w:val="24"/>
              </w:rPr>
              <w:lastRenderedPageBreak/>
              <w:t>0060</w:t>
            </w:r>
          </w:p>
        </w:tc>
        <w:tc>
          <w:tcPr>
            <w:tcW w:w="8640" w:type="dxa"/>
          </w:tcPr>
          <w:p w14:paraId="74780D2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Afskrivninger</w:t>
            </w:r>
          </w:p>
          <w:p w14:paraId="3C9D4698" w14:textId="77777777" w:rsidR="004357B9" w:rsidRPr="002A677E" w:rsidRDefault="004357B9" w:rsidP="007D1F12">
            <w:pPr>
              <w:rPr>
                <w:rFonts w:ascii="Times New Roman" w:hAnsi="Times New Roman"/>
                <w:b/>
                <w:sz w:val="24"/>
                <w:u w:val="single"/>
              </w:rPr>
            </w:pPr>
            <w:r>
              <w:rPr>
                <w:rStyle w:val="InstructionsTabelleText"/>
                <w:rFonts w:ascii="Times New Roman" w:hAnsi="Times New Roman"/>
                <w:sz w:val="24"/>
              </w:rPr>
              <w:t>Afskrivninger som omhandlet i IFRS 9.5.4.4 og B5.4.9.</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Pr>
                <w:rFonts w:ascii="Times New Roman" w:hAnsi="Times New Roman"/>
                <w:sz w:val="24"/>
              </w:rPr>
              <w:t>0061</w:t>
            </w:r>
          </w:p>
        </w:tc>
        <w:tc>
          <w:tcPr>
            <w:tcW w:w="8640" w:type="dxa"/>
          </w:tcPr>
          <w:p w14:paraId="76E609FB" w14:textId="77777777" w:rsidR="00664874" w:rsidRPr="002A677E" w:rsidRDefault="00664874" w:rsidP="00664874">
            <w:pPr>
              <w:rPr>
                <w:rFonts w:ascii="Times New Roman" w:hAnsi="Times New Roman"/>
                <w:b/>
                <w:sz w:val="24"/>
                <w:u w:val="single"/>
              </w:rPr>
            </w:pPr>
            <w:r>
              <w:rPr>
                <w:rFonts w:ascii="Times New Roman" w:hAnsi="Times New Roman"/>
                <w:b/>
                <w:sz w:val="24"/>
                <w:u w:val="single"/>
              </w:rPr>
              <w:t>Yderligere værdijusteringer og andre reduktioner af kapitalgrundlaget</w:t>
            </w:r>
          </w:p>
          <w:p w14:paraId="7219EC33" w14:textId="30C05372" w:rsidR="00664874" w:rsidRPr="002A677E" w:rsidRDefault="00664874" w:rsidP="00664874">
            <w:pPr>
              <w:rPr>
                <w:rFonts w:ascii="Times New Roman" w:hAnsi="Times New Roman"/>
                <w:b/>
                <w:sz w:val="24"/>
                <w:u w:val="single"/>
              </w:rPr>
            </w:pPr>
            <w:r>
              <w:rPr>
                <w:rFonts w:ascii="Times New Roman" w:hAnsi="Times New Roman"/>
                <w:sz w:val="24"/>
              </w:rPr>
              <w:t>I overensstemmelse med artikel 111 i forordning (EU) nr. 575/2013.</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11C1BDC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Kreditrisikojusteringer/afskrivninger for observerede nye misligholdelser</w:t>
            </w:r>
          </w:p>
          <w:p w14:paraId="50993628"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Summen af kreditrisikojusteringer og afskrivninger for eksponeringer, der er klassificeret som "misligholdte eksponeringer" i løbet af perioden på tre måneder siden den sidste indgivelse af data.</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640" w:type="dxa"/>
          </w:tcPr>
          <w:p w14:paraId="67018C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Eksponeringsværdi</w:t>
            </w:r>
          </w:p>
          <w:p w14:paraId="417E5E5A"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Samme definition som for kolonne 0200 i CR SA-skemaet.</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23F2301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RISIKOVÆGTEDE EKSPONERINGER FØR ANVENDELSE AF STØTTEFAKTORER</w:t>
            </w:r>
          </w:p>
          <w:p w14:paraId="1D2CAFDD" w14:textId="77777777" w:rsidR="004357B9" w:rsidRPr="002A677E" w:rsidRDefault="004357B9" w:rsidP="004357B9">
            <w:pPr>
              <w:rPr>
                <w:rFonts w:ascii="Times New Roman" w:hAnsi="Times New Roman"/>
                <w:b/>
                <w:sz w:val="24"/>
                <w:u w:val="single"/>
              </w:rPr>
            </w:pPr>
            <w:r>
              <w:rPr>
                <w:rFonts w:ascii="Times New Roman" w:hAnsi="Times New Roman"/>
                <w:sz w:val="24"/>
              </w:rPr>
              <w:t>Samme definition som for kolonne 0215 i CR SA-skemaet.</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Pr>
                <w:rFonts w:ascii="Times New Roman" w:hAnsi="Times New Roman"/>
                <w:sz w:val="24"/>
              </w:rPr>
              <w:t>0081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JUSTERING AF DEN RISIKOVÆGTEDE EKSPONERING SOM FØLGE AF STØTTEFAKTOREN SMV</w:t>
            </w:r>
          </w:p>
          <w:p w14:paraId="0C30ED7F" w14:textId="77777777" w:rsidR="00664874" w:rsidRPr="002A677E" w:rsidRDefault="00664874" w:rsidP="003F19BA">
            <w:pPr>
              <w:rPr>
                <w:rFonts w:ascii="Times New Roman" w:hAnsi="Times New Roman"/>
                <w:b/>
                <w:sz w:val="24"/>
                <w:u w:val="single"/>
              </w:rPr>
            </w:pPr>
            <w:r>
              <w:rPr>
                <w:rFonts w:ascii="Times New Roman" w:hAnsi="Times New Roman"/>
                <w:sz w:val="24"/>
              </w:rPr>
              <w:t>Samme definition som for kolonne 0216 i CR SA-skemaet.</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Pr>
                <w:rFonts w:ascii="Times New Roman" w:hAnsi="Times New Roman"/>
                <w:sz w:val="24"/>
              </w:rPr>
              <w:t>0082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JUSTERING AF DEN RISIKOVÆGTEDE EKSPONERING SOM FØLGE AF STØTTEFAKTOREN INFRASTRUKTUR</w:t>
            </w:r>
          </w:p>
          <w:p w14:paraId="281BC69D" w14:textId="77777777" w:rsidR="00664874" w:rsidRPr="002A677E" w:rsidRDefault="00664874" w:rsidP="000E197A">
            <w:pPr>
              <w:rPr>
                <w:rFonts w:ascii="Times New Roman" w:hAnsi="Times New Roman"/>
                <w:b/>
                <w:sz w:val="24"/>
                <w:u w:val="single"/>
              </w:rPr>
            </w:pPr>
            <w:r>
              <w:rPr>
                <w:rFonts w:ascii="Times New Roman" w:hAnsi="Times New Roman"/>
                <w:sz w:val="24"/>
              </w:rPr>
              <w:t>Samme definition som for kolonne 0217 i CR SA-skemaet.</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2A74587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RISIKOVÆGTET EKSPONERING EFTER ANVENDELSE AF STØTTEFAKTORER</w:t>
            </w:r>
          </w:p>
          <w:p w14:paraId="4C738ED2" w14:textId="77777777" w:rsidR="004357B9" w:rsidRPr="002A677E" w:rsidRDefault="004357B9" w:rsidP="004357B9">
            <w:pPr>
              <w:rPr>
                <w:rFonts w:ascii="Times New Roman" w:hAnsi="Times New Roman"/>
                <w:b/>
                <w:sz w:val="24"/>
                <w:u w:val="single"/>
              </w:rPr>
            </w:pPr>
            <w:r>
              <w:rPr>
                <w:rFonts w:ascii="Times New Roman" w:hAnsi="Times New Roman"/>
                <w:sz w:val="24"/>
              </w:rPr>
              <w:t>Samme definition som for kolonne 0220 i CR SA-skemaet.</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Rækker</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Centralregeringer eller centralbanker</w:t>
            </w:r>
          </w:p>
          <w:p w14:paraId="504AB30A" w14:textId="19E0A38E" w:rsidR="004357B9" w:rsidRPr="002A677E" w:rsidRDefault="004357B9" w:rsidP="00D21B29">
            <w:pPr>
              <w:ind w:left="72"/>
              <w:rPr>
                <w:rStyle w:val="InstructionsTabelleText"/>
                <w:rFonts w:ascii="Times New Roman" w:hAnsi="Times New Roman"/>
                <w:sz w:val="24"/>
              </w:rPr>
            </w:pPr>
            <w:r>
              <w:rPr>
                <w:rFonts w:ascii="Times New Roman" w:hAnsi="Times New Roman"/>
                <w:sz w:val="24"/>
              </w:rPr>
              <w:t>Artikel 112, litra a), i forordning (EU) nr. 575/2013</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Regionale eller lokale myndigheder</w:t>
            </w:r>
          </w:p>
          <w:p w14:paraId="23983289" w14:textId="59EF2DCA"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litra b), i forordning (EU) nr. 575/2013</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Offentlige enheder</w:t>
            </w:r>
          </w:p>
          <w:p w14:paraId="1C212B83" w14:textId="47BC88D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litra c), i forordning (EU) nr. 575/2013</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Pr>
                <w:rFonts w:ascii="Times New Roman" w:hAnsi="Times New Roman"/>
                <w:sz w:val="24"/>
              </w:rPr>
              <w:lastRenderedPageBreak/>
              <w:t>0040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Multilaterale udviklingsbanker</w:t>
            </w:r>
          </w:p>
          <w:p w14:paraId="373C9F87" w14:textId="26DB17A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litra d), i forordning (EU) nr. 575/2013</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Internationale organisationer</w:t>
            </w:r>
          </w:p>
          <w:p w14:paraId="7936A43F" w14:textId="3E27DA5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litra e), i forordning (EU) nr. 575/2013</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Institutter</w:t>
            </w:r>
          </w:p>
          <w:p w14:paraId="02950B6A" w14:textId="19F0A9B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litra f), i forordning (EU) nr. 575/2013</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Selskaber</w:t>
            </w:r>
          </w:p>
          <w:p w14:paraId="1509655B" w14:textId="40AC2826"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litra g), i forordning (EU) nr. 575/2013</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Heraf: SMV</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Samme definition som for række 0020 i CR SA-skemaet</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Detail</w:t>
            </w:r>
          </w:p>
          <w:p w14:paraId="3883BAA8" w14:textId="278D2301"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litra h), i forordning (EU) nr. 575/2013</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Heraf: SMV</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Samme definition som for række 0020 i CR SA-skemaet</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Sikret ved pant i fast ejendom</w:t>
            </w:r>
          </w:p>
          <w:p w14:paraId="37245A82" w14:textId="6C84B819" w:rsidR="004357B9" w:rsidRPr="002A677E" w:rsidRDefault="000737D3" w:rsidP="00D21B29">
            <w:pPr>
              <w:ind w:left="72"/>
              <w:rPr>
                <w:rStyle w:val="InstructionsTabelleText"/>
                <w:rFonts w:ascii="Times New Roman" w:hAnsi="Times New Roman"/>
                <w:sz w:val="24"/>
              </w:rPr>
            </w:pPr>
            <w:r>
              <w:rPr>
                <w:rFonts w:ascii="Times New Roman" w:hAnsi="Times New Roman"/>
                <w:sz w:val="24"/>
              </w:rPr>
              <w:t>Artikel 112, litra i), i forordning (EU) nr. 575/2013</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Heraf: SMV</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Samme definition som for række 0020 i CR SA-skemaet</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Eksponeringer ved misligholdelse</w:t>
            </w:r>
          </w:p>
          <w:p w14:paraId="269BB8CC" w14:textId="3A97960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litra j), i forordning (EU) nr. 575/2013</w:t>
            </w:r>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Eksponeringer forbundet med særlig høj risiko</w:t>
            </w:r>
          </w:p>
          <w:p w14:paraId="58B198B1" w14:textId="6462BF8A"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Artikel 112, litra k), i forordning (EU) nr. 575/2013</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Særligt dækkede obligationer og særligt dækkede realkreditobligationer</w:t>
            </w:r>
          </w:p>
          <w:p w14:paraId="6BDF5460" w14:textId="6F7F836D"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Artikel 112, litra l), i forordning (EU) nr. 575/2013</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Pr>
                <w:rFonts w:ascii="Times New Roman" w:hAnsi="Times New Roman"/>
                <w:sz w:val="24"/>
              </w:rPr>
              <w:t>0130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Krav mod institutter og selskaber med kortsigtet kreditvurdering</w:t>
            </w:r>
          </w:p>
          <w:p w14:paraId="0D01A770" w14:textId="09E1DCEB" w:rsidR="004357B9" w:rsidRPr="002A677E" w:rsidRDefault="000737D3" w:rsidP="00D21B29">
            <w:pPr>
              <w:ind w:left="72"/>
              <w:rPr>
                <w:rFonts w:ascii="Times New Roman" w:hAnsi="Times New Roman"/>
                <w:sz w:val="24"/>
              </w:rPr>
            </w:pPr>
            <w:r>
              <w:rPr>
                <w:rFonts w:ascii="Times New Roman" w:hAnsi="Times New Roman"/>
                <w:sz w:val="24"/>
              </w:rPr>
              <w:t>Artikel 112, litra n), i forordning (EU) nr. 575/2013</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Kollektive investeringsinstitutter (CIU'er)</w:t>
            </w:r>
          </w:p>
          <w:p w14:paraId="48FD8243" w14:textId="38E4E1A3" w:rsidR="004357B9" w:rsidRPr="002A677E" w:rsidRDefault="000737D3" w:rsidP="00D21B29">
            <w:pPr>
              <w:ind w:left="72"/>
              <w:rPr>
                <w:rFonts w:ascii="Times New Roman" w:hAnsi="Times New Roman"/>
                <w:bCs/>
                <w:sz w:val="24"/>
              </w:rPr>
            </w:pPr>
            <w:r>
              <w:rPr>
                <w:rFonts w:ascii="Times New Roman" w:hAnsi="Times New Roman"/>
                <w:sz w:val="24"/>
              </w:rPr>
              <w:t>Artikel 112, litra o), i forordning (EU) nr. 575/2013</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Pr>
                <w:rFonts w:ascii="Times New Roman" w:hAnsi="Times New Roman"/>
                <w:sz w:val="24"/>
              </w:rPr>
              <w:t>Summen af række 0141-0143</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Transparensmetoden</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Samme definition som for række 0281 i CR SA-skemaet</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Pr>
                <w:rFonts w:ascii="Times New Roman" w:hAnsi="Times New Roman"/>
                <w:sz w:val="24"/>
              </w:rPr>
              <w:lastRenderedPageBreak/>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Mandatmetoden</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Samme definition som for række 0282 i CR SA-skemaet</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Fallbackmetoden</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Samme definition som for række 0283 i CR SA-skemaet</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Aktieeksponeringer</w:t>
            </w:r>
          </w:p>
          <w:p w14:paraId="2AA80A14" w14:textId="1A6C183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litra p), i forordning (EU) nr. 575/2013</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Andre eksponeringer</w:t>
            </w:r>
          </w:p>
          <w:p w14:paraId="35A52D49" w14:textId="73380C6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litra q), i forordning (EU) nr. 575/2013</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Samlede eksponeringer</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6"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7" w:name="_Toc360188364"/>
      <w:bookmarkStart w:id="368" w:name="_Toc473560915"/>
      <w:bookmarkStart w:id="369" w:name="_Toc119059354"/>
      <w:r>
        <w:rPr>
          <w:rFonts w:ascii="Times New Roman" w:hAnsi="Times New Roman"/>
          <w:sz w:val="24"/>
          <w:u w:val="none"/>
        </w:rPr>
        <w:t>3.4.2.</w:t>
      </w:r>
      <w:r>
        <w:tab/>
      </w:r>
      <w:r>
        <w:rPr>
          <w:rFonts w:ascii="Times New Roman" w:hAnsi="Times New Roman"/>
          <w:sz w:val="24"/>
        </w:rPr>
        <w:t>C 09.02 – Geografisk opdeling af eksponeringer efter låntagerens hjemsted: Eksponeringer opgjort efter IRB-metoden</w:t>
      </w:r>
      <w:bookmarkEnd w:id="367"/>
      <w:r>
        <w:rPr>
          <w:rFonts w:ascii="Times New Roman" w:hAnsi="Times New Roman"/>
          <w:sz w:val="24"/>
        </w:rPr>
        <w:t xml:space="preserve"> (CR GB 2)</w:t>
      </w:r>
      <w:bookmarkEnd w:id="368"/>
      <w:bookmarkEnd w:id="369"/>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0" w:name="_Toc360188365"/>
      <w:bookmarkStart w:id="371" w:name="_Toc473560916"/>
      <w:bookmarkStart w:id="372" w:name="_Toc119059355"/>
      <w:r>
        <w:rPr>
          <w:rFonts w:ascii="Times New Roman" w:hAnsi="Times New Roman"/>
          <w:sz w:val="24"/>
          <w:u w:val="none"/>
        </w:rPr>
        <w:t>3.4.2.1.</w:t>
      </w:r>
      <w:r>
        <w:tab/>
      </w:r>
      <w:r>
        <w:rPr>
          <w:rFonts w:ascii="Times New Roman" w:hAnsi="Times New Roman"/>
          <w:sz w:val="24"/>
        </w:rPr>
        <w:t>Instrukser vedrørende specifikke positioner</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Pr>
                <w:rFonts w:ascii="Times New Roman" w:hAnsi="Times New Roman"/>
                <w:b/>
                <w:sz w:val="24"/>
              </w:rPr>
              <w:t>Kolonner</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OPRINDELIG EKSPONERING FØR ANVENDELSE AF KONVERTERINGSFAKTORER</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Samme definition som for kolonne 0020 i CR IRB-skemaet.</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069BAE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Heraf misligholdte</w:t>
            </w:r>
          </w:p>
          <w:p w14:paraId="1D943763" w14:textId="62EA4674" w:rsidR="004357B9" w:rsidRPr="002A677E" w:rsidRDefault="004357B9" w:rsidP="00F855D5">
            <w:pPr>
              <w:rPr>
                <w:rStyle w:val="InstructionsTabelleText"/>
                <w:rFonts w:ascii="Times New Roman" w:hAnsi="Times New Roman"/>
                <w:sz w:val="24"/>
              </w:rPr>
            </w:pPr>
            <w:r>
              <w:rPr>
                <w:rFonts w:ascii="Times New Roman" w:hAnsi="Times New Roman"/>
                <w:sz w:val="24"/>
              </w:rPr>
              <w:t>Oprindelig eksponeringsværdi af de eksponeringer, der er blevet klassificeret som "misligholdte eksponeringer" i henhold til artikel 178 i forordning (EU) nr. 575/2013.</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3B2F6E6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Observerede nye misligholdelser for perioden</w:t>
            </w:r>
          </w:p>
          <w:p w14:paraId="25AA2946" w14:textId="611A4569" w:rsidR="004357B9" w:rsidRPr="002A677E" w:rsidRDefault="00220B85" w:rsidP="003D14AE">
            <w:pPr>
              <w:rPr>
                <w:rFonts w:ascii="Times New Roman" w:hAnsi="Times New Roman"/>
                <w:b/>
                <w:sz w:val="24"/>
                <w:u w:val="single"/>
              </w:rPr>
            </w:pPr>
            <w:r>
              <w:rPr>
                <w:rStyle w:val="InstructionsTabelleText"/>
                <w:rFonts w:ascii="Times New Roman" w:hAnsi="Times New Roman"/>
                <w:sz w:val="24"/>
              </w:rPr>
              <w:t xml:space="preserve">Den oprindelige eksponeringsværdi for disse eksponeringer, som er klassificeret som misligholdte eksponeringer i perioden på tre måneder siden den sidste referencedato for indberetning, indberettes i forhold til den eksponeringsklasse, som låntageren oprindeligt tilhørte.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4B64B7A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Generelle kreditrisikojusteringer</w:t>
            </w:r>
          </w:p>
          <w:p w14:paraId="71E5569B" w14:textId="47E5AA21" w:rsidR="004357B9" w:rsidRPr="002A677E" w:rsidRDefault="004357B9" w:rsidP="00D82B60">
            <w:pPr>
              <w:rPr>
                <w:rFonts w:ascii="Times New Roman" w:hAnsi="Times New Roman"/>
                <w:b/>
                <w:sz w:val="24"/>
                <w:u w:val="single"/>
              </w:rPr>
            </w:pPr>
            <w:r>
              <w:rPr>
                <w:rFonts w:ascii="Times New Roman" w:hAnsi="Times New Roman"/>
                <w:sz w:val="24"/>
              </w:rPr>
              <w:t>Kreditrisikojusteringer som omhandlet i artikel 110 i forordning (EU) nr. 575/2013 og i forordning (EU) nr. 183/2014</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2F55B3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Specifikke kreditrisikojusteringer</w:t>
            </w:r>
          </w:p>
          <w:p w14:paraId="05C4F6FE" w14:textId="50BC9DC9" w:rsidR="004357B9" w:rsidRPr="002A677E" w:rsidRDefault="004357B9" w:rsidP="003B2712">
            <w:pPr>
              <w:rPr>
                <w:rFonts w:ascii="Times New Roman" w:hAnsi="Times New Roman"/>
                <w:b/>
                <w:sz w:val="24"/>
                <w:u w:val="single"/>
              </w:rPr>
            </w:pPr>
            <w:r>
              <w:rPr>
                <w:rFonts w:ascii="Times New Roman" w:hAnsi="Times New Roman"/>
                <w:sz w:val="24"/>
              </w:rPr>
              <w:t>Kreditrisikojusteringer som omhandlet i artikel 110 i forordning (EU) nr. 575/2013 og i forordning (EU) nr. 183/2014</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Pr>
                <w:rFonts w:ascii="Times New Roman" w:hAnsi="Times New Roman"/>
                <w:sz w:val="24"/>
              </w:rPr>
              <w:lastRenderedPageBreak/>
              <w:t>0060</w:t>
            </w:r>
          </w:p>
        </w:tc>
        <w:tc>
          <w:tcPr>
            <w:tcW w:w="8640" w:type="dxa"/>
          </w:tcPr>
          <w:p w14:paraId="67DCC6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Afskrivninger</w:t>
            </w:r>
          </w:p>
          <w:p w14:paraId="1BC74517" w14:textId="77777777" w:rsidR="004357B9" w:rsidRPr="002A677E" w:rsidRDefault="004357B9" w:rsidP="00EA4F4F">
            <w:pPr>
              <w:rPr>
                <w:rFonts w:ascii="Times New Roman" w:hAnsi="Times New Roman"/>
                <w:b/>
                <w:sz w:val="24"/>
                <w:u w:val="single"/>
              </w:rPr>
            </w:pPr>
            <w:r>
              <w:rPr>
                <w:rStyle w:val="InstructionsTabelleText"/>
                <w:rFonts w:ascii="Times New Roman" w:hAnsi="Times New Roman"/>
                <w:sz w:val="24"/>
              </w:rPr>
              <w:t>Afskrivninger som omhandlet i IFRS 9.5.4.4 og B5.4.9.</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017F2FF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Kreditrisikojusteringer/afskrivninger for observerede nye misligholdelser</w:t>
            </w:r>
          </w:p>
          <w:p w14:paraId="0760A334"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Summen af kreditrisikojusteringer og afskrivninger for eksponeringer, der er klassificeret som "misligholdte eksponeringer" i løbet af perioden på tre måneder siden den sidste indgivelse af data.</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SKALA MED INTERNE RATINGS/PD TILDELT LÅNTAGERKLASSE ELLER PULJE (%)</w:t>
            </w:r>
          </w:p>
          <w:p w14:paraId="23C091C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Samme definition som for kolonne 0010 i CR IRB-skemaet.</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64B1461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EKSPONERINGSVÆGTET GENNEMSNITLIGT LGD (%)</w:t>
            </w:r>
          </w:p>
          <w:p w14:paraId="7FDB0A4A" w14:textId="76F2BC84"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Samme definition som for kolonne 0230 og 0240 i CR IRB-skemaet. Det eksponeringsvægtede gennemsnitlige LGD (%) skal vedrøre alle eksponeringer, herunder også eksponeringer for store enheder i den finansielle sektor og uregulerede finansielle enheder. </w:t>
            </w:r>
            <w:r>
              <w:rPr>
                <w:rFonts w:ascii="Times New Roman" w:hAnsi="Times New Roman"/>
                <w:sz w:val="24"/>
              </w:rPr>
              <w:t>Artikel 181, stk. 1, litra h), i forordning (EU) nr. 575/2013 finder anvendelse.</w:t>
            </w:r>
          </w:p>
          <w:p w14:paraId="1126B797" w14:textId="67CD711F" w:rsidR="0042766A" w:rsidRPr="002A677E" w:rsidRDefault="0027034D" w:rsidP="009A4399">
            <w:pPr>
              <w:rPr>
                <w:rFonts w:ascii="Times New Roman" w:hAnsi="Times New Roman"/>
                <w:b/>
                <w:sz w:val="24"/>
                <w:u w:val="single"/>
              </w:rPr>
            </w:pPr>
            <w:r>
              <w:rPr>
                <w:rFonts w:ascii="Times New Roman" w:hAnsi="Times New Roman"/>
                <w:sz w:val="24"/>
              </w:rPr>
              <w:t>For specialiserede långivningseksponeringer, hvor PD estimeres, bør den indberettede værdi enten være den estimerede eller den lovpligtige LGD. For specialiserede långivningseksponeringer som omhandlet i artikel 153, stk. 5, i forordning (EU) nr. 575/2013, kan data ikke indberettes, da de ikke foreligger.</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2DFA2ED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Heraf: misligholdte</w:t>
            </w:r>
          </w:p>
          <w:p w14:paraId="71E4C07B" w14:textId="4F79A354" w:rsidR="004357B9" w:rsidRPr="002A677E" w:rsidRDefault="004357B9" w:rsidP="003B2712">
            <w:pPr>
              <w:rPr>
                <w:rFonts w:ascii="Times New Roman" w:hAnsi="Times New Roman"/>
                <w:b/>
                <w:sz w:val="24"/>
                <w:u w:val="single"/>
              </w:rPr>
            </w:pPr>
            <w:r>
              <w:rPr>
                <w:rFonts w:ascii="Times New Roman" w:hAnsi="Times New Roman"/>
                <w:sz w:val="24"/>
              </w:rPr>
              <w:t>Eksponeringsvægtet LGD for de eksponeringer, der er blevet klassificeret som misligholdte eksponeringer i henhold til artikel 178 i forordning (EU) nr. 575/2013.</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Pr>
                <w:rFonts w:ascii="Times New Roman" w:hAnsi="Times New Roman"/>
                <w:sz w:val="24"/>
              </w:rPr>
              <w:t>0105</w:t>
            </w:r>
          </w:p>
        </w:tc>
        <w:tc>
          <w:tcPr>
            <w:tcW w:w="8640" w:type="dxa"/>
          </w:tcPr>
          <w:p w14:paraId="641943D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Eksponeringsværdi</w:t>
            </w:r>
          </w:p>
          <w:p w14:paraId="384CBDFD"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Samme definition som for kolonne 0110 i CR IRB-skemaet.</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1875EE78"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RISIKOVÆGTEDE EKSPONERINGER FØR ANVENDELSE AF STØTTEFAKTORER</w:t>
            </w:r>
          </w:p>
          <w:p w14:paraId="7F4A361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Samme definition som for kolonne 0255 i CR IRB-skemaet.</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121A02D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Heraf misligholdte</w:t>
            </w:r>
          </w:p>
          <w:p w14:paraId="0AEC330D" w14:textId="087BAB08" w:rsidR="004357B9" w:rsidRPr="002A677E" w:rsidRDefault="004357B9" w:rsidP="00BB22D4">
            <w:pPr>
              <w:rPr>
                <w:rFonts w:ascii="Times New Roman" w:hAnsi="Times New Roman"/>
                <w:b/>
                <w:sz w:val="24"/>
                <w:u w:val="single"/>
              </w:rPr>
            </w:pPr>
            <w:r>
              <w:rPr>
                <w:rFonts w:ascii="Times New Roman" w:hAnsi="Times New Roman"/>
                <w:sz w:val="24"/>
              </w:rPr>
              <w:t>Risikovægtet eksponering for de eksponeringer, der er blevet klassificeret som misligholdte eksponeringer i henhold til artikel 178, stk. 1, i forordning (EU) nr. 575/2013.</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Pr>
                <w:rFonts w:ascii="Times New Roman" w:hAnsi="Times New Roman"/>
                <w:sz w:val="24"/>
              </w:rPr>
              <w:t>0121</w:t>
            </w:r>
          </w:p>
        </w:tc>
        <w:tc>
          <w:tcPr>
            <w:tcW w:w="8640" w:type="dxa"/>
          </w:tcPr>
          <w:p w14:paraId="6EC25E55" w14:textId="6270C49D" w:rsidR="0027034D" w:rsidRPr="002A677E" w:rsidRDefault="0027034D" w:rsidP="0027034D">
            <w:pPr>
              <w:rPr>
                <w:rFonts w:ascii="Times New Roman" w:hAnsi="Times New Roman"/>
                <w:b/>
                <w:sz w:val="24"/>
                <w:u w:val="single"/>
              </w:rPr>
            </w:pPr>
            <w:r>
              <w:rPr>
                <w:rFonts w:ascii="Times New Roman" w:hAnsi="Times New Roman"/>
                <w:b/>
                <w:sz w:val="24"/>
                <w:u w:val="single"/>
              </w:rPr>
              <w:t>(-) JUSTERING AF DEN RISIKOVÆGTEDE EKSPONERING SOM FØLGE AF STØTTEFAKTOREN SMV</w:t>
            </w:r>
          </w:p>
          <w:p w14:paraId="31A9C90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Samme definition som for kolonne 0256 i CR IRB-skemaet.</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Pr>
                <w:rFonts w:ascii="Times New Roman" w:hAnsi="Times New Roman"/>
                <w:sz w:val="24"/>
              </w:rPr>
              <w:t>0122</w:t>
            </w:r>
          </w:p>
        </w:tc>
        <w:tc>
          <w:tcPr>
            <w:tcW w:w="8640" w:type="dxa"/>
          </w:tcPr>
          <w:p w14:paraId="20BF7657"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 JUSTERING AF DEN RISIKOVÆGTEDE EKSPONERING SOM FØLGE AF STØTTEFAKTOREN INFRASTRUKTUR</w:t>
            </w:r>
          </w:p>
          <w:p w14:paraId="6C2BB1A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Samme definition som for kolonne 0257 i CR IRB-skemaet.</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Pr>
                <w:rFonts w:ascii="Times New Roman" w:hAnsi="Times New Roman"/>
                <w:sz w:val="24"/>
              </w:rPr>
              <w:lastRenderedPageBreak/>
              <w:t>0125</w:t>
            </w:r>
          </w:p>
        </w:tc>
        <w:tc>
          <w:tcPr>
            <w:tcW w:w="8640" w:type="dxa"/>
          </w:tcPr>
          <w:p w14:paraId="333BD7E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RISIKOVÆGTET EKSPONERING EFTER ANVENDELSE AF STØTTEFAKTORER</w:t>
            </w:r>
          </w:p>
          <w:p w14:paraId="19D701C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Samme definition som for kolonne 0260 i CR IRB-skemaet.</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1FB3F5E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FORVENTET TAB</w:t>
            </w:r>
          </w:p>
          <w:p w14:paraId="55ECF5E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Samme definition som for kolonne 0280 i CR IRB-skemaet.</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Pr>
                <w:rFonts w:ascii="Times New Roman" w:hAnsi="Times New Roman"/>
                <w:b/>
                <w:sz w:val="24"/>
              </w:rPr>
              <w:t>Rækker</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640" w:type="dxa"/>
          </w:tcPr>
          <w:p w14:paraId="376666F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Centralregeringer og centralbanker </w:t>
            </w:r>
          </w:p>
          <w:p w14:paraId="6E885E54" w14:textId="3FB101E2" w:rsidR="004357B9" w:rsidRPr="002A677E" w:rsidRDefault="004357B9" w:rsidP="000737D3">
            <w:pPr>
              <w:rPr>
                <w:rFonts w:ascii="Times New Roman" w:hAnsi="Times New Roman"/>
                <w:sz w:val="24"/>
              </w:rPr>
            </w:pPr>
            <w:r>
              <w:rPr>
                <w:rFonts w:ascii="Times New Roman" w:hAnsi="Times New Roman"/>
                <w:sz w:val="24"/>
              </w:rPr>
              <w:t>Artikel 147, stk. 2, litra a), i forordning (EU) nr. 575/2013</w:t>
            </w:r>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2F5237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Institutter</w:t>
            </w:r>
          </w:p>
          <w:p w14:paraId="001901B2" w14:textId="0C01B792" w:rsidR="004357B9" w:rsidRPr="002A677E" w:rsidRDefault="000737D3" w:rsidP="00D21B29">
            <w:pPr>
              <w:rPr>
                <w:rFonts w:ascii="Times New Roman" w:hAnsi="Times New Roman"/>
                <w:sz w:val="24"/>
              </w:rPr>
            </w:pPr>
            <w:r>
              <w:rPr>
                <w:rFonts w:ascii="Times New Roman" w:hAnsi="Times New Roman"/>
                <w:sz w:val="24"/>
              </w:rPr>
              <w:t>Artikel 147, stk. 2, litra b), i forordning (EU) nr. 575/2013</w:t>
            </w:r>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657385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Selskaber </w:t>
            </w:r>
          </w:p>
          <w:p w14:paraId="1BE4AA6A" w14:textId="0E4F18E0" w:rsidR="004357B9" w:rsidRPr="002A677E" w:rsidRDefault="004357B9" w:rsidP="003B2712">
            <w:pPr>
              <w:pStyle w:val="ListParagraph"/>
              <w:ind w:left="0"/>
              <w:rPr>
                <w:rFonts w:ascii="Times New Roman" w:hAnsi="Times New Roman"/>
                <w:sz w:val="24"/>
              </w:rPr>
            </w:pPr>
            <w:r>
              <w:rPr>
                <w:rFonts w:ascii="Times New Roman" w:hAnsi="Times New Roman"/>
                <w:sz w:val="24"/>
              </w:rPr>
              <w:t>Alle erhvervseksponeringer som omhandlet i artikel 147, stk. 2, litra c), i forordning (EU) nr. 575/2013</w:t>
            </w:r>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Pr>
                <w:rFonts w:ascii="Times New Roman" w:hAnsi="Times New Roman"/>
                <w:sz w:val="24"/>
              </w:rPr>
              <w:t>0042</w:t>
            </w:r>
          </w:p>
        </w:tc>
        <w:tc>
          <w:tcPr>
            <w:tcW w:w="8640" w:type="dxa"/>
          </w:tcPr>
          <w:p w14:paraId="76A7D54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Heraf: Specialiseret långivning (undtagen specialiseret långivning omfattet af kategoriseringsmetoden)</w:t>
            </w:r>
          </w:p>
          <w:p w14:paraId="1FAD8AA4" w14:textId="04A20283" w:rsidR="004357B9" w:rsidRPr="002A677E" w:rsidRDefault="004357B9" w:rsidP="004357B9">
            <w:pPr>
              <w:pStyle w:val="ListParagraph"/>
              <w:ind w:left="0"/>
              <w:rPr>
                <w:rFonts w:ascii="Times New Roman" w:hAnsi="Times New Roman"/>
                <w:sz w:val="24"/>
              </w:rPr>
            </w:pPr>
            <w:r>
              <w:rPr>
                <w:rFonts w:ascii="Times New Roman" w:hAnsi="Times New Roman"/>
                <w:sz w:val="24"/>
              </w:rPr>
              <w:t>Artikel 147, stk. 8, litra a), i forordning (EU) nr. 575/2013</w:t>
            </w:r>
          </w:p>
          <w:p w14:paraId="5FAC6FA5" w14:textId="6AD5F9CF" w:rsidR="0042766A" w:rsidRPr="002A677E" w:rsidRDefault="0042766A" w:rsidP="009A4399">
            <w:pPr>
              <w:pStyle w:val="ListParagraph"/>
              <w:ind w:left="0"/>
              <w:rPr>
                <w:rFonts w:ascii="Times New Roman" w:hAnsi="Times New Roman"/>
                <w:sz w:val="24"/>
              </w:rPr>
            </w:pPr>
            <w:r>
              <w:rPr>
                <w:rFonts w:ascii="Times New Roman" w:hAnsi="Times New Roman"/>
                <w:sz w:val="24"/>
              </w:rPr>
              <w:t>Data indberettes ikke for de eksponeringer mod specialiseret långivning, der er nævnt i artikel 153, stk. 5, i forordning (EU) nr. 575/2013.</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Pr>
                <w:rFonts w:ascii="Times New Roman" w:hAnsi="Times New Roman"/>
                <w:sz w:val="24"/>
              </w:rPr>
              <w:t>0045</w:t>
            </w:r>
          </w:p>
        </w:tc>
        <w:tc>
          <w:tcPr>
            <w:tcW w:w="8640" w:type="dxa"/>
          </w:tcPr>
          <w:p w14:paraId="4763CACB" w14:textId="77777777" w:rsidR="000E093A" w:rsidRPr="002A677E" w:rsidRDefault="000E093A" w:rsidP="004357B9">
            <w:pPr>
              <w:rPr>
                <w:rFonts w:ascii="Times New Roman" w:hAnsi="Times New Roman"/>
                <w:b/>
                <w:sz w:val="24"/>
                <w:u w:val="single"/>
              </w:rPr>
            </w:pPr>
            <w:r>
              <w:rPr>
                <w:rFonts w:ascii="Times New Roman" w:hAnsi="Times New Roman"/>
                <w:b/>
                <w:sz w:val="24"/>
                <w:u w:val="single"/>
              </w:rPr>
              <w:t>Heraf: Specialiseret långivning omfattet af kategoriseringsmetoden</w:t>
            </w:r>
          </w:p>
          <w:p w14:paraId="5A679D78" w14:textId="38EC0E77" w:rsidR="000E093A" w:rsidRPr="002A677E" w:rsidRDefault="000E093A" w:rsidP="00D21B29">
            <w:pPr>
              <w:rPr>
                <w:rFonts w:ascii="Times New Roman" w:hAnsi="Times New Roman"/>
                <w:b/>
                <w:sz w:val="24"/>
                <w:u w:val="single"/>
              </w:rPr>
            </w:pPr>
            <w:r>
              <w:rPr>
                <w:rFonts w:ascii="Times New Roman" w:hAnsi="Times New Roman"/>
                <w:sz w:val="24"/>
              </w:rPr>
              <w:t>Artikel 147, stk. 8, litra a), og artikel 153, stk. 5, i forordning (EU) nr. 575/2013</w:t>
            </w:r>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0084662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Heraf: SMV'er</w:t>
            </w:r>
          </w:p>
          <w:p w14:paraId="724FE757" w14:textId="52F3CE6F" w:rsidR="004357B9" w:rsidRPr="002A677E" w:rsidRDefault="000737D3" w:rsidP="00D21B29">
            <w:pPr>
              <w:pStyle w:val="ListParagraph"/>
              <w:ind w:left="0"/>
              <w:rPr>
                <w:rFonts w:ascii="Times New Roman" w:hAnsi="Times New Roman"/>
                <w:sz w:val="24"/>
              </w:rPr>
            </w:pPr>
            <w:r>
              <w:rPr>
                <w:rFonts w:ascii="Times New Roman" w:hAnsi="Times New Roman"/>
                <w:sz w:val="24"/>
              </w:rPr>
              <w:t>Artikel 147, stk. 2, litra c), i forordning (EU) nr. 575/2013</w:t>
            </w:r>
          </w:p>
          <w:p w14:paraId="7E6AFA80" w14:textId="77777777" w:rsidR="0027034D" w:rsidRPr="002A677E" w:rsidRDefault="0027034D" w:rsidP="009A4399">
            <w:pPr>
              <w:pStyle w:val="ListParagraph"/>
              <w:ind w:left="0"/>
              <w:rPr>
                <w:rFonts w:ascii="Times New Roman" w:hAnsi="Times New Roman"/>
                <w:sz w:val="24"/>
              </w:rPr>
            </w:pPr>
            <w:r>
              <w:rPr>
                <w:rFonts w:ascii="Times New Roman" w:hAnsi="Times New Roman"/>
                <w:sz w:val="24"/>
              </w:rPr>
              <w:t>I henhold til IRB-metoden skal de indberettende enheder anvende deres interne definition af SMV'er som anvendt i interne risikostyringsprocedurer.</w:t>
            </w:r>
          </w:p>
        </w:tc>
      </w:tr>
      <w:tr w:rsidR="004357B9" w:rsidRPr="002A677E" w14:paraId="6AE52FED" w14:textId="77777777" w:rsidTr="00672D2A">
        <w:tc>
          <w:tcPr>
            <w:tcW w:w="1188" w:type="dxa"/>
          </w:tcPr>
          <w:p w14:paraId="7EA192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176F87F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Detail</w:t>
            </w:r>
          </w:p>
          <w:p w14:paraId="2CC05E0F" w14:textId="4F17563C" w:rsidR="004357B9" w:rsidRPr="002A677E" w:rsidRDefault="004357B9" w:rsidP="003B2712">
            <w:pPr>
              <w:rPr>
                <w:rFonts w:ascii="Times New Roman" w:hAnsi="Times New Roman"/>
                <w:sz w:val="24"/>
              </w:rPr>
            </w:pPr>
            <w:r>
              <w:rPr>
                <w:rFonts w:ascii="Times New Roman" w:hAnsi="Times New Roman"/>
                <w:sz w:val="24"/>
              </w:rPr>
              <w:t>Alle detaileksponeringer som omhandlet i artikel 147, stk. 2, litra d), i forordning (EU) nr. 575/2013</w:t>
            </w:r>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5F60147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Detail — Sikret ved pant i fast ejendom</w:t>
            </w:r>
          </w:p>
          <w:p w14:paraId="03FDEE6E" w14:textId="4D541B54" w:rsidR="004357B9" w:rsidRPr="002A677E" w:rsidRDefault="003B2712" w:rsidP="00D21B29">
            <w:pPr>
              <w:pStyle w:val="ListParagraph"/>
              <w:ind w:left="0"/>
              <w:rPr>
                <w:rFonts w:ascii="Times New Roman" w:hAnsi="Times New Roman"/>
                <w:sz w:val="24"/>
              </w:rPr>
            </w:pPr>
            <w:r>
              <w:rPr>
                <w:rFonts w:ascii="Times New Roman" w:hAnsi="Times New Roman"/>
                <w:sz w:val="24"/>
              </w:rPr>
              <w:t>Detaileksponeringer, jf. artikel 147, stk. 2, litra d), i forordning (EU) nr. 575/2013, som er sikret ved pant i fast ejendom</w:t>
            </w:r>
          </w:p>
          <w:p w14:paraId="3FB0933B" w14:textId="77777777" w:rsidR="0027034D" w:rsidRPr="002A677E" w:rsidRDefault="0027034D" w:rsidP="00D21B29">
            <w:pPr>
              <w:pStyle w:val="ListParagraph"/>
              <w:ind w:left="0"/>
              <w:rPr>
                <w:rFonts w:ascii="Times New Roman" w:hAnsi="Times New Roman"/>
                <w:sz w:val="24"/>
              </w:rPr>
            </w:pPr>
            <w:r>
              <w:rPr>
                <w:rFonts w:ascii="Times New Roman" w:hAnsi="Times New Roman"/>
                <w:sz w:val="24"/>
              </w:rPr>
              <w:t>Detaileksponeringer sikret ved pant i fast ejendom betragtes som enhver detaileksponering sikret ved pant i fast ejendom, der er anerkendt som sikkerhed, uanset forholdet mellem værdien af sikkerhedsstillelsen for eksponeringen eller lånets formål.</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Pr>
                <w:rFonts w:ascii="Times New Roman" w:hAnsi="Times New Roman"/>
                <w:sz w:val="24"/>
              </w:rPr>
              <w:lastRenderedPageBreak/>
              <w:t>0080</w:t>
            </w:r>
          </w:p>
        </w:tc>
        <w:tc>
          <w:tcPr>
            <w:tcW w:w="8640" w:type="dxa"/>
          </w:tcPr>
          <w:p w14:paraId="0FBFD5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SMV'er</w:t>
            </w:r>
          </w:p>
          <w:p w14:paraId="4D74C036" w14:textId="1081C0F5" w:rsidR="004357B9" w:rsidRPr="002A677E" w:rsidRDefault="004357B9" w:rsidP="00BD4E13">
            <w:pPr>
              <w:pStyle w:val="ListParagraph"/>
              <w:ind w:left="0"/>
              <w:rPr>
                <w:rFonts w:ascii="Times New Roman" w:hAnsi="Times New Roman"/>
                <w:sz w:val="24"/>
              </w:rPr>
            </w:pPr>
            <w:r>
              <w:rPr>
                <w:rFonts w:ascii="Times New Roman" w:hAnsi="Times New Roman"/>
                <w:sz w:val="24"/>
              </w:rPr>
              <w:t>Detaileksponeringer, jf. artikel 147, stk. 2, litra d), og artikel 154, stk. 3, i forordning (EU) nr. 575/2013, som er sikret ved pant i fast ejendom</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0BDBDA0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Ikke-SMV'er</w:t>
            </w:r>
          </w:p>
          <w:p w14:paraId="0C47B4CE" w14:textId="2EA9560F" w:rsidR="004357B9" w:rsidRPr="002A677E" w:rsidRDefault="004357B9" w:rsidP="003B2712">
            <w:pPr>
              <w:pStyle w:val="ListParagraph"/>
              <w:ind w:left="0"/>
              <w:rPr>
                <w:rFonts w:ascii="Times New Roman" w:hAnsi="Times New Roman"/>
                <w:sz w:val="24"/>
              </w:rPr>
            </w:pPr>
            <w:r>
              <w:rPr>
                <w:rFonts w:ascii="Times New Roman" w:hAnsi="Times New Roman"/>
                <w:sz w:val="24"/>
              </w:rPr>
              <w:t>Detaileksponeringer, jf. artikel 147, stk. 2, litra d), i forordning (EU) nr. 575/2013, som er sikret ved pant i fast ejendom</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783BE80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Detail — Kvalificeret revolverende</w:t>
            </w:r>
          </w:p>
          <w:p w14:paraId="2D419350" w14:textId="2DCE0F60" w:rsidR="004357B9" w:rsidRPr="002A677E" w:rsidRDefault="003B2712" w:rsidP="00F811C6">
            <w:pPr>
              <w:pStyle w:val="ListParagraph"/>
              <w:ind w:left="0"/>
              <w:rPr>
                <w:rFonts w:ascii="Times New Roman" w:hAnsi="Times New Roman"/>
                <w:sz w:val="24"/>
              </w:rPr>
            </w:pPr>
            <w:r>
              <w:rPr>
                <w:rFonts w:ascii="Times New Roman" w:hAnsi="Times New Roman"/>
                <w:sz w:val="24"/>
              </w:rPr>
              <w:t>Detaileksponeringer, jf. artikel 147, stk. 2, litra d), sammenholdt med artikel 154, stk. 4, i forordning (EU) nr. 575/2013</w:t>
            </w:r>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2E8C886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Andre detaileksponeringer</w:t>
            </w:r>
          </w:p>
          <w:p w14:paraId="605A7126" w14:textId="3157508C" w:rsidR="004357B9" w:rsidRPr="002A677E" w:rsidRDefault="004357B9" w:rsidP="003B2712">
            <w:pPr>
              <w:pStyle w:val="ListParagraph"/>
              <w:ind w:left="0"/>
              <w:rPr>
                <w:rFonts w:ascii="Times New Roman" w:hAnsi="Times New Roman"/>
                <w:sz w:val="24"/>
              </w:rPr>
            </w:pPr>
            <w:r>
              <w:rPr>
                <w:rFonts w:ascii="Times New Roman" w:hAnsi="Times New Roman"/>
                <w:sz w:val="24"/>
              </w:rPr>
              <w:t>Andre detaileksponeringer, jf. artikel 147, stk. 2, litra d), i forordning (EU) nr. 575/2013, som ikke indberettes i række 0070-0100</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7A3D992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SMV'er</w:t>
            </w:r>
          </w:p>
          <w:p w14:paraId="282A1BA8" w14:textId="7DB9CF31" w:rsidR="004357B9" w:rsidRPr="002A677E" w:rsidRDefault="004357B9" w:rsidP="0024244E">
            <w:pPr>
              <w:pStyle w:val="ListParagraph"/>
              <w:ind w:left="0"/>
              <w:rPr>
                <w:rFonts w:ascii="Times New Roman" w:hAnsi="Times New Roman"/>
                <w:sz w:val="24"/>
              </w:rPr>
            </w:pPr>
            <w:r>
              <w:rPr>
                <w:rFonts w:ascii="Times New Roman" w:hAnsi="Times New Roman"/>
                <w:sz w:val="24"/>
              </w:rPr>
              <w:t>Andre detaileksponeringer mod SMV'er som omhandlet i artikel 147, stk. 2, litra d), i forordning (EU) nr. 575/2013</w:t>
            </w:r>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7B62B7F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Ikke-SMV'er</w:t>
            </w:r>
          </w:p>
          <w:p w14:paraId="1538F6BF" w14:textId="5C4E7DD0" w:rsidR="004357B9" w:rsidRPr="002A677E" w:rsidRDefault="004357B9" w:rsidP="00DF4FF2">
            <w:pPr>
              <w:rPr>
                <w:rFonts w:ascii="Times New Roman" w:hAnsi="Times New Roman"/>
                <w:sz w:val="24"/>
              </w:rPr>
            </w:pPr>
            <w:r>
              <w:rPr>
                <w:rFonts w:ascii="Times New Roman" w:hAnsi="Times New Roman"/>
                <w:sz w:val="24"/>
              </w:rPr>
              <w:t>Andre detaileksponeringer mod enkeltpersoner som omhandlet i artikel 147, stk. 2, litra d), i forordning (EU) nr. 575/2013</w:t>
            </w:r>
          </w:p>
        </w:tc>
      </w:tr>
      <w:bookmarkEnd w:id="366"/>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Aktieeksponeringer</w:t>
            </w:r>
          </w:p>
          <w:p w14:paraId="591FF03F" w14:textId="4A3D8DDF" w:rsidR="004357B9" w:rsidRPr="002A677E" w:rsidRDefault="004357B9" w:rsidP="00DF4FF2">
            <w:pPr>
              <w:rPr>
                <w:rFonts w:ascii="Times New Roman" w:hAnsi="Times New Roman"/>
                <w:b/>
                <w:sz w:val="24"/>
                <w:u w:val="single"/>
              </w:rPr>
            </w:pPr>
            <w:r>
              <w:rPr>
                <w:rFonts w:ascii="Times New Roman" w:hAnsi="Times New Roman"/>
                <w:sz w:val="24"/>
              </w:rPr>
              <w:t>Aktieeksponeringer som omhandlet i artikel 147, stk. 2, litra e), i forordning (EU) nr. 575/2013</w:t>
            </w:r>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Pr>
                <w:rFonts w:ascii="Times New Roman" w:hAnsi="Times New Roman"/>
                <w:b/>
                <w:sz w:val="24"/>
                <w:u w:val="single"/>
              </w:rPr>
              <w:t>Samlede eksponeringer</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3" w:name="_Toc360188366"/>
      <w:bookmarkStart w:id="374" w:name="_Toc473560917"/>
      <w:bookmarkStart w:id="375" w:name="_Toc119059356"/>
      <w:r>
        <w:rPr>
          <w:rFonts w:ascii="Times New Roman" w:hAnsi="Times New Roman"/>
          <w:sz w:val="24"/>
          <w:u w:val="none"/>
        </w:rPr>
        <w:t>3.4.3.</w:t>
      </w:r>
      <w:r>
        <w:tab/>
      </w:r>
      <w:r>
        <w:rPr>
          <w:rFonts w:ascii="Times New Roman" w:hAnsi="Times New Roman"/>
          <w:sz w:val="24"/>
        </w:rPr>
        <w:t xml:space="preserve">C 09.04 — Opdeling af krediteksponeringer, som er relevante for beregningen af den kontracykliske buffer, efter land og institutspecifik kontracyklisk buffersats </w:t>
      </w:r>
      <w:bookmarkEnd w:id="373"/>
      <w:r>
        <w:rPr>
          <w:rFonts w:ascii="Times New Roman" w:hAnsi="Times New Roman"/>
          <w:sz w:val="24"/>
        </w:rPr>
        <w:t>(CCB)</w:t>
      </w:r>
      <w:bookmarkEnd w:id="374"/>
      <w:bookmarkEnd w:id="375"/>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7"/>
      <w:bookmarkStart w:id="377" w:name="_Toc473560918"/>
      <w:bookmarkStart w:id="378" w:name="_Toc119059357"/>
      <w:r>
        <w:rPr>
          <w:rFonts w:ascii="Times New Roman" w:hAnsi="Times New Roman"/>
          <w:sz w:val="24"/>
          <w:u w:val="none"/>
        </w:rPr>
        <w:t>3.4.3.1.</w:t>
      </w:r>
      <w:r>
        <w:tab/>
      </w:r>
      <w:r>
        <w:rPr>
          <w:rFonts w:ascii="Times New Roman" w:hAnsi="Times New Roman"/>
          <w:sz w:val="24"/>
        </w:rPr>
        <w:t>Generelle bemærkninger</w:t>
      </w:r>
      <w:bookmarkEnd w:id="376"/>
      <w:bookmarkEnd w:id="377"/>
      <w:bookmarkEnd w:id="378"/>
    </w:p>
    <w:p w14:paraId="31C3185E" w14:textId="75D6A388" w:rsidR="00430F6F" w:rsidRPr="002A677E" w:rsidRDefault="008F3052" w:rsidP="00487A02">
      <w:pPr>
        <w:pStyle w:val="InstructionsText2"/>
        <w:numPr>
          <w:ilvl w:val="0"/>
          <w:numId w:val="0"/>
        </w:numPr>
        <w:ind w:left="1353" w:hanging="360"/>
      </w:pPr>
      <w:fldSimple w:instr=" seq paragraphs ">
        <w:r>
          <w:t>88</w:t>
        </w:r>
      </w:fldSimple>
      <w:r>
        <w:t>.</w:t>
      </w:r>
      <w:r>
        <w:tab/>
        <w:t xml:space="preserve">Dette skema har til formål at tilvejebringe flere oplysninger om elementerne af den institutspecifikke kontracykliske kapitalbuffer. De oplysninger, der skal angives, vedrører kapitalgrundlagskravene bestemt i henhold til tredje del, afsnit II og IV, i forordning (EU) nr. 575/2013 og den geografiske beliggenhed af krediteksponeringer, securitiseringseksponeringer og eksponeringer i handelsbeholdningen, der er relevante for beregningen af den institutspecifikke kontracykliske kapitalbuffer (CCB), jf. artikel 140 i direktiv 2013/36/EU (relevante krediteksponeringer). </w:t>
      </w:r>
    </w:p>
    <w:p w14:paraId="248A8B84" w14:textId="77777777" w:rsidR="00430F6F" w:rsidRPr="002A677E" w:rsidRDefault="008F3052" w:rsidP="00487A02">
      <w:pPr>
        <w:pStyle w:val="InstructionsText2"/>
        <w:numPr>
          <w:ilvl w:val="0"/>
          <w:numId w:val="0"/>
        </w:numPr>
        <w:ind w:left="1353" w:hanging="360"/>
      </w:pPr>
      <w:fldSimple w:instr=" seq paragraphs ">
        <w:r>
          <w:t>89</w:t>
        </w:r>
      </w:fldSimple>
      <w:r>
        <w:t>.</w:t>
      </w:r>
      <w:r>
        <w:tab/>
        <w:t xml:space="preserve">I skema C 09.04 skal der indberettes oplysninger om værdien "i alt" af relevante krediteksponeringer i alle jurisdiktioner, hvor disse eksponeringer befinder sig, </w:t>
      </w:r>
      <w:r>
        <w:lastRenderedPageBreak/>
        <w:t xml:space="preserve">og individuelt for hver jurisdiktion, hvor der findes relevante krediteksponeringer. De samlede tal og oplysninger for hver jurisdiktion indberettes i en separat dimension. </w:t>
      </w:r>
    </w:p>
    <w:p w14:paraId="721717B9" w14:textId="77777777" w:rsidR="007463E2" w:rsidRPr="002A677E" w:rsidRDefault="008F3052" w:rsidP="00487A02">
      <w:pPr>
        <w:pStyle w:val="InstructionsText2"/>
        <w:numPr>
          <w:ilvl w:val="0"/>
          <w:numId w:val="0"/>
        </w:numPr>
        <w:ind w:left="1353" w:hanging="360"/>
      </w:pPr>
      <w:fldSimple w:instr=" seq paragraphs ">
        <w:r>
          <w:t>90</w:t>
        </w:r>
      </w:fldSimple>
      <w:r>
        <w:t>.</w:t>
      </w:r>
      <w:r>
        <w:tab/>
        <w:t>Tærsklen i denne gennemførelsesforordnings artikel 5, stk. 5, er ikke relevant i forbindelse med indberetningen af denne opdeling.</w:t>
      </w:r>
    </w:p>
    <w:p w14:paraId="7AF60D10" w14:textId="77777777" w:rsidR="005A7CA9" w:rsidRPr="002A677E" w:rsidRDefault="008F3052" w:rsidP="00487A02">
      <w:pPr>
        <w:pStyle w:val="InstructionsText2"/>
        <w:numPr>
          <w:ilvl w:val="0"/>
          <w:numId w:val="0"/>
        </w:numPr>
        <w:ind w:left="1353" w:hanging="360"/>
      </w:pPr>
      <w:fldSimple w:instr=" seq paragraphs ">
        <w:r>
          <w:t>91</w:t>
        </w:r>
      </w:fldSimple>
      <w:r>
        <w:t>.</w:t>
      </w:r>
      <w:r>
        <w:tab/>
        <w:t>For at bestemme den geografiske beliggenhed henføres eksponeringerne på grundlag af den umiddelbare låntager, som fastsat ved Kommissionens delegerede forordning (EU) nr. 1152/2014</w:t>
      </w:r>
      <w:r>
        <w:footnoteReference w:id="5"/>
      </w:r>
      <w:r>
        <w:t>. Kreditreduktionsteknikker medfører derfor ikke, at en eksponering henføres til en anden geografisk beliggenhed med henblik på indberetningen af oplysninger i dette skema.</w:t>
      </w:r>
    </w:p>
    <w:p w14:paraId="4C601E91" w14:textId="1768C7FE" w:rsidR="00154859" w:rsidRPr="002A677E"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8"/>
      <w:bookmarkStart w:id="380" w:name="_Toc473560919"/>
      <w:bookmarkStart w:id="381" w:name="_Toc119059358"/>
      <w:r>
        <w:rPr>
          <w:rFonts w:ascii="Times New Roman" w:hAnsi="Times New Roman"/>
          <w:sz w:val="24"/>
          <w:u w:val="none"/>
        </w:rPr>
        <w:t>3.4.3.2.</w:t>
      </w:r>
      <w:r>
        <w:tab/>
      </w:r>
      <w:r>
        <w:rPr>
          <w:rFonts w:ascii="Times New Roman" w:hAnsi="Times New Roman"/>
          <w:sz w:val="24"/>
        </w:rPr>
        <w:t>Instrukser vedrørende specifikke positioner</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Pr>
                <w:rFonts w:ascii="Times New Roman" w:hAnsi="Times New Roman"/>
                <w:b/>
                <w:sz w:val="24"/>
              </w:rPr>
              <w:t>Kolonner</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14:paraId="1612E1A4"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Beløb</w:t>
            </w:r>
          </w:p>
          <w:p w14:paraId="6D67119D" w14:textId="77777777" w:rsidR="00154859" w:rsidRPr="002A677E" w:rsidRDefault="006E3440" w:rsidP="00535A98">
            <w:pPr>
              <w:rPr>
                <w:rFonts w:ascii="Times New Roman" w:hAnsi="Times New Roman"/>
                <w:b/>
                <w:sz w:val="24"/>
                <w:u w:val="single"/>
              </w:rPr>
            </w:pPr>
            <w:r>
              <w:rPr>
                <w:rFonts w:ascii="Times New Roman" w:hAnsi="Times New Roman"/>
                <w:sz w:val="24"/>
              </w:rPr>
              <w:t>Værdien af de relevante krediteksponeringer og de tilknyttede kapitalgrundlagskrav, der er bestemt i overensstemmelse med instrukserne for den enkelte række.</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Pr>
                <w:rFonts w:ascii="Times New Roman" w:hAnsi="Times New Roman"/>
                <w:sz w:val="24"/>
              </w:rPr>
              <w:t>0020</w:t>
            </w:r>
          </w:p>
        </w:tc>
        <w:tc>
          <w:tcPr>
            <w:tcW w:w="8131" w:type="dxa"/>
          </w:tcPr>
          <w:p w14:paraId="48DCD472"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Procent</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Pr>
                <w:rFonts w:ascii="Times New Roman" w:hAnsi="Times New Roman"/>
                <w:sz w:val="24"/>
              </w:rPr>
              <w:t>0030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Kvalitative oplysninger</w:t>
            </w:r>
          </w:p>
          <w:p w14:paraId="76E15ACA" w14:textId="77777777" w:rsidR="00514783" w:rsidRPr="002A677E" w:rsidRDefault="00CA270D" w:rsidP="00234E7D">
            <w:pPr>
              <w:autoSpaceDE w:val="0"/>
              <w:autoSpaceDN w:val="0"/>
              <w:adjustRightInd w:val="0"/>
              <w:rPr>
                <w:rFonts w:ascii="Times New Roman" w:hAnsi="Times New Roman"/>
                <w:sz w:val="24"/>
              </w:rPr>
            </w:pPr>
            <w:r>
              <w:rPr>
                <w:rFonts w:ascii="Times New Roman" w:hAnsi="Times New Roman"/>
                <w:sz w:val="24"/>
              </w:rPr>
              <w:t xml:space="preserve">Disse oplysninger skal kun indberettes for instituttets hjemsted (den jurisdiktion, der svarer til dets hjemland) og værdien i alt for alle lande. </w:t>
            </w:r>
          </w:p>
          <w:p w14:paraId="3E64DE7C" w14:textId="77777777" w:rsidR="00EF3F40" w:rsidRPr="002A677E"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Institutterne skal indberette enten {y} eller {n} i overensstemmelse med instrukserne for den relevante række.</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Pr>
                <w:rFonts w:ascii="Times New Roman" w:hAnsi="Times New Roman"/>
                <w:b/>
                <w:sz w:val="24"/>
              </w:rPr>
              <w:t>Rækker</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14:paraId="381C7D7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Relevante krediteksponeringer — Kreditrisiko</w:t>
            </w:r>
          </w:p>
          <w:p w14:paraId="3806537D" w14:textId="56471309" w:rsidR="00BD5485" w:rsidRPr="002A677E" w:rsidRDefault="00BD5485" w:rsidP="00DF4FF2">
            <w:pPr>
              <w:rPr>
                <w:rFonts w:ascii="Times New Roman" w:hAnsi="Times New Roman"/>
                <w:b/>
                <w:sz w:val="24"/>
                <w:u w:val="single"/>
              </w:rPr>
            </w:pPr>
            <w:r>
              <w:rPr>
                <w:rFonts w:ascii="Times New Roman" w:hAnsi="Times New Roman"/>
                <w:sz w:val="24"/>
              </w:rPr>
              <w:t>Relevante krediteksponeringer som omhandlet i artikel 140, stk. 4, litra a), i direktiv 2013/36/EU.</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Pr>
                <w:rFonts w:ascii="Times New Roman" w:hAnsi="Times New Roman"/>
                <w:sz w:val="24"/>
              </w:rPr>
              <w:t>0010</w:t>
            </w:r>
          </w:p>
        </w:tc>
        <w:tc>
          <w:tcPr>
            <w:tcW w:w="8131" w:type="dxa"/>
          </w:tcPr>
          <w:p w14:paraId="175434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Eksponeringsværdi opgjort efter standardmetoden</w:t>
            </w:r>
          </w:p>
          <w:p w14:paraId="14785702" w14:textId="7FB229F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Eksponeringsværdi beregnet i overensstemmelse med artikel 111 i forordning (EU) nr. 575/2013 for relevante krediteksponeringer som omhandlet i artikel 140, stk. 4, litra a), i direktiv 2013/36/EU. </w:t>
            </w:r>
          </w:p>
          <w:p w14:paraId="67AEB679" w14:textId="77777777" w:rsidR="00BD5485" w:rsidRPr="002A677E"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Eksponeringsværdien for securitiseringspositioner i anlægsbeholdningen medtages ikke i denne række, men i række 0055.</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Pr>
                <w:rFonts w:ascii="Times New Roman" w:hAnsi="Times New Roman"/>
                <w:sz w:val="24"/>
              </w:rPr>
              <w:lastRenderedPageBreak/>
              <w:t>0020</w:t>
            </w:r>
          </w:p>
        </w:tc>
        <w:tc>
          <w:tcPr>
            <w:tcW w:w="8131" w:type="dxa"/>
          </w:tcPr>
          <w:p w14:paraId="5234ED6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Eksponeringsværdi opgjort efter IRB-metoden</w:t>
            </w:r>
          </w:p>
          <w:p w14:paraId="53852A77" w14:textId="7101DA6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Eksponeringsværdi beregnet i overensstemmelse med artikel 166 i forordning (EU) nr. 575/2013 for relevante krediteksponeringer som omhandlet i artikel 140, stk. 4, litra a), i direktiv 2013/36/EU. </w:t>
            </w:r>
          </w:p>
          <w:p w14:paraId="36BAF617" w14:textId="77777777" w:rsidR="00BD5485" w:rsidRPr="002A677E" w:rsidRDefault="00BD5485" w:rsidP="00B85F75">
            <w:pPr>
              <w:rPr>
                <w:rFonts w:ascii="Times New Roman" w:hAnsi="Times New Roman"/>
                <w:b/>
                <w:bCs/>
                <w:sz w:val="24"/>
                <w:u w:val="single"/>
              </w:rPr>
            </w:pPr>
            <w:r>
              <w:rPr>
                <w:rFonts w:ascii="Times New Roman" w:hAnsi="Times New Roman"/>
                <w:sz w:val="24"/>
              </w:rPr>
              <w:t>Eksponeringsværdien for securitiseringspositioner i anlægsbeholdningen medtages ikke i denne række, men i række 0055.</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Pr>
                <w:rFonts w:ascii="Times New Roman" w:hAnsi="Times New Roman"/>
                <w:sz w:val="24"/>
              </w:rPr>
              <w:t>0030-0040</w:t>
            </w:r>
          </w:p>
        </w:tc>
        <w:tc>
          <w:tcPr>
            <w:tcW w:w="8131" w:type="dxa"/>
          </w:tcPr>
          <w:p w14:paraId="5AF8FE8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Relevante krediteksponeringer — Markedsrisiko</w:t>
            </w:r>
          </w:p>
          <w:p w14:paraId="1D49BA1E" w14:textId="6E43650B" w:rsidR="00BD5485" w:rsidRPr="002A677E" w:rsidRDefault="00BD5485" w:rsidP="00A37A04">
            <w:pPr>
              <w:rPr>
                <w:rFonts w:ascii="Times New Roman" w:hAnsi="Times New Roman"/>
                <w:b/>
                <w:bCs/>
                <w:sz w:val="24"/>
                <w:u w:val="single"/>
              </w:rPr>
            </w:pPr>
            <w:r>
              <w:rPr>
                <w:rFonts w:ascii="Times New Roman" w:hAnsi="Times New Roman"/>
                <w:sz w:val="24"/>
              </w:rPr>
              <w:t>Relevante krediteksponeringer som omhandlet i artikel 140, stk. 4, litra b), i direktiv 2013/36/EU.</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Pr>
                <w:rFonts w:ascii="Times New Roman" w:hAnsi="Times New Roman"/>
                <w:sz w:val="24"/>
              </w:rPr>
              <w:t>0030</w:t>
            </w:r>
          </w:p>
        </w:tc>
        <w:tc>
          <w:tcPr>
            <w:tcW w:w="8131" w:type="dxa"/>
          </w:tcPr>
          <w:p w14:paraId="17C4C3B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Sum af lange og korte positioner af eksponeringer i handelsbeholdningen for standardmetoden</w:t>
            </w:r>
          </w:p>
          <w:p w14:paraId="7295B532" w14:textId="2A88465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Sum af lange og korte nettopositioner i henhold til artikel 327 i forordning (EU) nr. 575/2013 af relevante krediteksponeringer som omhandlet i artikel 140, stk. 4, litra b), i direktiv 2013/36/EU omfattet af kapitalgrundlagskrav i henhold til tredje del, afsnit IV, kapitel 2, i forordning (EU) nr. 575/2013: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eksponeringer mod andre gældsinstrumenter end securitisering</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eksponeringer mod securitiseringspositioner i handelsbeholdningen</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eksponeringer mod korrelationshandelsporteføljer</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eksponeringer mod aktieinstrumenter</w:t>
            </w:r>
          </w:p>
          <w:p w14:paraId="65F2CF5E" w14:textId="56AA9F3D" w:rsidR="00797715" w:rsidRPr="002A677E"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eksponeringer mod CIU'er, hvor kapitalkrav beregnes i overensstemmelse med artikel 348 i forordning (EU) nr. 575/2013.</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Pr>
                <w:rFonts w:ascii="Times New Roman" w:hAnsi="Times New Roman"/>
                <w:sz w:val="24"/>
              </w:rPr>
              <w:t>0040</w:t>
            </w:r>
          </w:p>
        </w:tc>
        <w:tc>
          <w:tcPr>
            <w:tcW w:w="8131" w:type="dxa"/>
          </w:tcPr>
          <w:p w14:paraId="191BF042"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Værdi af eksponeringer i handelsbeholdningen efter interne modeller</w:t>
            </w:r>
          </w:p>
          <w:p w14:paraId="5FDCCA73" w14:textId="013BAE0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For relevante krediteksponeringer som omhandlet i artikel 140, stk. 4, litra b), i direktiv 2013/36/EU omfattet af kapitalgrundlagskrav i henhold til tredje del, afsnit IV, kapitel 2 og 5, i forordning (EU) nr. 575/2013 indberettes summen af følgende:</w:t>
            </w:r>
          </w:p>
          <w:p w14:paraId="344F79A4" w14:textId="687A1DC1" w:rsidR="00BD5485" w:rsidRPr="002A677E"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dagsværdi af positioner i andet end derivater, der repræsenterer relevante krediteksponeringer som omhandlet i artikel 140, stk. 4, litra b), i direktiv 2013/36/EU, bestemt i overensstemmelse med artikel 104 i forordning (EU) nr. 575/2013</w:t>
            </w:r>
          </w:p>
          <w:p w14:paraId="67FA5694" w14:textId="2FD45AB8" w:rsidR="00BD5485" w:rsidRPr="002A677E"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notionel værdi af derivater, der repræsenterer relevante krediteksponeringer som omhandlet i artikel 140, stk. 4, litra b), i direktiv 2013/36/EU.</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Pr>
                <w:rFonts w:ascii="Times New Roman" w:hAnsi="Times New Roman"/>
                <w:sz w:val="24"/>
              </w:rPr>
              <w:t>0055</w:t>
            </w:r>
          </w:p>
        </w:tc>
        <w:tc>
          <w:tcPr>
            <w:tcW w:w="8131" w:type="dxa"/>
          </w:tcPr>
          <w:p w14:paraId="140C3FA8"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Relevante krediteksponeringer — Securitiseringspositioner i anlægsbeholdningen</w:t>
            </w:r>
          </w:p>
          <w:p w14:paraId="34F2C8C1" w14:textId="0B7A02EC" w:rsidR="00BD5485" w:rsidRPr="002A677E" w:rsidRDefault="00C44421" w:rsidP="00A37A04">
            <w:pPr>
              <w:rPr>
                <w:rFonts w:ascii="Times New Roman" w:hAnsi="Times New Roman"/>
                <w:sz w:val="24"/>
              </w:rPr>
            </w:pPr>
            <w:r>
              <w:rPr>
                <w:rFonts w:ascii="Times New Roman" w:hAnsi="Times New Roman"/>
                <w:sz w:val="24"/>
              </w:rPr>
              <w:t>Eksponeringsværdi beregnet i overensstemmelse med artikel 248 i forordning (EU) nr. 575/2013 for relevante krediteksponeringer som omhandlet i artikel 140, stk. 4, litra c), i direktiv 2013/36/EU.</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Pr>
                <w:rFonts w:ascii="Times New Roman" w:hAnsi="Times New Roman"/>
                <w:sz w:val="24"/>
              </w:rPr>
              <w:t>0070-0110</w:t>
            </w:r>
          </w:p>
        </w:tc>
        <w:tc>
          <w:tcPr>
            <w:tcW w:w="8131" w:type="dxa"/>
          </w:tcPr>
          <w:p w14:paraId="2AAC8B56" w14:textId="77777777" w:rsidR="00BD5485" w:rsidRPr="002A677E" w:rsidRDefault="00BD5485" w:rsidP="00133107">
            <w:pPr>
              <w:rPr>
                <w:rFonts w:ascii="Times New Roman" w:hAnsi="Times New Roman"/>
                <w:b/>
                <w:bCs/>
                <w:sz w:val="24"/>
                <w:u w:val="single"/>
              </w:rPr>
            </w:pPr>
            <w:r>
              <w:rPr>
                <w:rFonts w:ascii="Times New Roman" w:hAnsi="Times New Roman"/>
                <w:b/>
                <w:sz w:val="24"/>
                <w:u w:val="single"/>
              </w:rPr>
              <w:t>Kapitalgrundlagskrav og -vægte</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Pr>
                <w:rFonts w:ascii="Times New Roman" w:hAnsi="Times New Roman"/>
                <w:sz w:val="24"/>
              </w:rPr>
              <w:t>0070</w:t>
            </w:r>
          </w:p>
        </w:tc>
        <w:tc>
          <w:tcPr>
            <w:tcW w:w="8131" w:type="dxa"/>
          </w:tcPr>
          <w:p w14:paraId="68984A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Samlede kapitalgrundlagskrav for kontracyklisk kapitalbuffer</w:t>
            </w:r>
          </w:p>
          <w:p w14:paraId="35789DB0" w14:textId="77777777" w:rsidR="00BD5485" w:rsidRPr="002A677E" w:rsidRDefault="00BD5485" w:rsidP="00BD5485">
            <w:pPr>
              <w:rPr>
                <w:rFonts w:ascii="Times New Roman" w:hAnsi="Times New Roman"/>
                <w:b/>
                <w:bCs/>
                <w:sz w:val="24"/>
                <w:u w:val="single"/>
              </w:rPr>
            </w:pPr>
            <w:r>
              <w:rPr>
                <w:rFonts w:ascii="Times New Roman" w:hAnsi="Times New Roman"/>
                <w:sz w:val="24"/>
              </w:rPr>
              <w:t>Summen af række 0080, 0090 og 0100.</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Pr>
                <w:rFonts w:ascii="Times New Roman" w:hAnsi="Times New Roman"/>
                <w:sz w:val="24"/>
              </w:rPr>
              <w:t>0080</w:t>
            </w:r>
          </w:p>
        </w:tc>
        <w:tc>
          <w:tcPr>
            <w:tcW w:w="8131" w:type="dxa"/>
          </w:tcPr>
          <w:p w14:paraId="3F043796"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Kapitalgrundlagskrav for relevante krediteksponeringer — Kreditrisiko </w:t>
            </w:r>
          </w:p>
          <w:p w14:paraId="1FD5576D" w14:textId="6F2569D3"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Kapitalgrundlagskrav beregnet i overensstemmelse med tredje del, afsnit II, kapitel 1-4 og 6 i forordning (EU) nr. 575/2013 for relevante krediteksponeringer, som omhandlet i artikel 140, stk. 4, litra a), i direktiv 2013/36/EU, i det pågældende land.</w:t>
            </w:r>
          </w:p>
          <w:p w14:paraId="5687B395" w14:textId="7777777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Kapitalgrundlagskrav for securitiseringspositioner i anlægsbeholdningen medtages ikke i denne række, men i række 0100.</w:t>
            </w:r>
          </w:p>
          <w:p w14:paraId="2F0143CE" w14:textId="19D5C897" w:rsidR="00BD5485" w:rsidRPr="002A677E" w:rsidRDefault="00BD5485" w:rsidP="002B004B">
            <w:pPr>
              <w:rPr>
                <w:rFonts w:ascii="Times New Roman" w:hAnsi="Times New Roman"/>
                <w:b/>
                <w:bCs/>
                <w:sz w:val="24"/>
                <w:u w:val="single"/>
              </w:rPr>
            </w:pPr>
            <w:r>
              <w:rPr>
                <w:rFonts w:ascii="Times New Roman" w:hAnsi="Times New Roman"/>
                <w:sz w:val="24"/>
              </w:rPr>
              <w:t>Kapitalgrundlagskravene er 8 % af den risikovægtede eksponering bestemt i overensstemmelse med tredje del, afsnit II, kapitel 1-4 og 6, i forordning (EU) nr. 575/2013.</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Pr>
                <w:rFonts w:ascii="Times New Roman" w:hAnsi="Times New Roman"/>
                <w:sz w:val="24"/>
              </w:rPr>
              <w:lastRenderedPageBreak/>
              <w:t>0090</w:t>
            </w:r>
          </w:p>
        </w:tc>
        <w:tc>
          <w:tcPr>
            <w:tcW w:w="8131" w:type="dxa"/>
          </w:tcPr>
          <w:p w14:paraId="08030C98"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Kapitalgrundlagskrav for relevante krediteksponeringer — Markedsrisiko </w:t>
            </w:r>
          </w:p>
          <w:p w14:paraId="7806E83A" w14:textId="61FC1A2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Kapitalgrundlagskrav beregnet i overensstemmelse med tredje del, afsnit IV, kapitel 2, i forordning (EU) nr. 575/2013 for specifik risiko eller i overensstemmelse med tredje del, afsnit IV, kapitel 5, i forordning (EU) nr. 575/2013 for forøget misligholdelses- og migreringsrisiko for relevante krediteksponeringer, som omhandlet i artikel 140, stk. 4, litra b), i direktiv 2013/36/EU, i det pågældende land. </w:t>
            </w:r>
          </w:p>
          <w:p w14:paraId="3C07DE13" w14:textId="69901BDB" w:rsidR="00BD5485" w:rsidRPr="002A677E" w:rsidRDefault="00BD5485" w:rsidP="004D3C0E">
            <w:pPr>
              <w:autoSpaceDE w:val="0"/>
              <w:autoSpaceDN w:val="0"/>
              <w:adjustRightInd w:val="0"/>
              <w:rPr>
                <w:rFonts w:ascii="Times New Roman" w:hAnsi="Times New Roman"/>
                <w:b/>
                <w:bCs/>
                <w:sz w:val="24"/>
                <w:u w:val="single"/>
              </w:rPr>
            </w:pPr>
            <w:r>
              <w:rPr>
                <w:rFonts w:ascii="Times New Roman" w:hAnsi="Times New Roman"/>
                <w:sz w:val="24"/>
              </w:rPr>
              <w:t>Kapitalgrundlagskravene for relevante krediteksponeringer inden for markedsrisikorammen omfatter bl.a. kapitalgrundlagskrav for securitiseringspositioner beregnet i overensstemmelse med tredje del, afsnit IV, kapitel 2, i forordning (EU) nr. 575/2013 og kapitalgrundlagskravene for eksponeringer mod CIU'er bestemt i overensstemmelse med artikel 348 i nævnte forordning.</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Pr>
                <w:rFonts w:ascii="Times New Roman" w:hAnsi="Times New Roman"/>
                <w:sz w:val="24"/>
              </w:rPr>
              <w:t>0100</w:t>
            </w:r>
          </w:p>
        </w:tc>
        <w:tc>
          <w:tcPr>
            <w:tcW w:w="8131" w:type="dxa"/>
          </w:tcPr>
          <w:p w14:paraId="4C90105D"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Kapitalgrundlagskrav for relevante krediteksponeringer — Securitiseringspositioner i anlægsbeholdningen</w:t>
            </w:r>
          </w:p>
          <w:p w14:paraId="4DD097E6" w14:textId="62CEDE64"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Kapitalgrundlagskrav beregnet i overensstemmelse med tredje del, afsnit II, kapitel 5 i forordning (EU) nr. 575/2013 for relevante krediteksponeringer, som omhandlet i artikel 140, stk. 4, litra c), i direktiv 2013/36/EU, i det pågældende land.</w:t>
            </w:r>
          </w:p>
          <w:p w14:paraId="566043C5" w14:textId="397D046D" w:rsidR="00BD5485" w:rsidRPr="002A677E" w:rsidRDefault="00BD5485" w:rsidP="004D3C0E">
            <w:pPr>
              <w:rPr>
                <w:rFonts w:ascii="Times New Roman" w:hAnsi="Times New Roman"/>
                <w:b/>
                <w:bCs/>
                <w:sz w:val="24"/>
                <w:u w:val="single"/>
              </w:rPr>
            </w:pPr>
            <w:r>
              <w:rPr>
                <w:rFonts w:ascii="Times New Roman" w:hAnsi="Times New Roman"/>
                <w:sz w:val="24"/>
              </w:rPr>
              <w:t>Kapitalgrundlagskravene er 8 % af den risikovægtede eksponering beregnet i overensstemmelse med tredje del, afsnit II, kapitel 5, i forordning (EU) nr. 575/2013.</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Pr>
                <w:rFonts w:ascii="Times New Roman" w:hAnsi="Times New Roman"/>
                <w:sz w:val="24"/>
              </w:rPr>
              <w:t>0110</w:t>
            </w:r>
          </w:p>
        </w:tc>
        <w:tc>
          <w:tcPr>
            <w:tcW w:w="8131" w:type="dxa"/>
          </w:tcPr>
          <w:p w14:paraId="00FDC0D7" w14:textId="77777777" w:rsidR="00966663" w:rsidRPr="002A677E" w:rsidRDefault="00966663" w:rsidP="00966663">
            <w:pPr>
              <w:rPr>
                <w:rFonts w:ascii="Times New Roman" w:hAnsi="Times New Roman"/>
                <w:b/>
                <w:bCs/>
                <w:sz w:val="24"/>
                <w:u w:val="single"/>
              </w:rPr>
            </w:pPr>
            <w:r>
              <w:rPr>
                <w:rFonts w:ascii="Times New Roman" w:hAnsi="Times New Roman"/>
                <w:b/>
                <w:sz w:val="24"/>
                <w:u w:val="single"/>
              </w:rPr>
              <w:t>Vægte for kapitalgrundlagskrav</w:t>
            </w:r>
          </w:p>
          <w:p w14:paraId="21DBAB49" w14:textId="77777777" w:rsidR="00966663" w:rsidRPr="002A677E" w:rsidRDefault="00966663" w:rsidP="00966663">
            <w:pPr>
              <w:rPr>
                <w:rFonts w:ascii="Times New Roman" w:hAnsi="Times New Roman"/>
                <w:sz w:val="24"/>
              </w:rPr>
            </w:pPr>
            <w:r>
              <w:rPr>
                <w:rFonts w:ascii="Times New Roman" w:hAnsi="Times New Roman"/>
                <w:sz w:val="24"/>
              </w:rPr>
              <w:t>Den vægt, der anvendes på den kontracykliske buffersats i hvert land, beregnes som en andel af kapitalgrundlagskrav på følgende måde:</w:t>
            </w:r>
          </w:p>
          <w:p w14:paraId="0346C553" w14:textId="77777777" w:rsidR="00966663" w:rsidRPr="002A677E"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Tæller: de samlede kapitalgrundlagskrav, der vedrører de relevante krediteksponeringer i det pågældende land [r0070; c0010; landeark] </w:t>
            </w:r>
          </w:p>
          <w:p w14:paraId="4D0CA9CD" w14:textId="593BA88C" w:rsidR="00BD5485" w:rsidRPr="002A677E"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Nævner: de samlede kapitalgrundlagskrav, der vedrører alle krediteksponeringer, der er relevante for beregningen af den kontracykliske buffer, jf. artikel 140, stk. 4, i direktiv 2013/36/EU [r0070; c0010; "I alt"].</w:t>
            </w:r>
          </w:p>
          <w:p w14:paraId="79DAF8D9" w14:textId="77777777" w:rsidR="003B00F4" w:rsidRPr="002A677E" w:rsidRDefault="003B00F4" w:rsidP="003B00F4">
            <w:pPr>
              <w:rPr>
                <w:rFonts w:ascii="Times New Roman" w:hAnsi="Times New Roman"/>
                <w:b/>
                <w:bCs/>
                <w:sz w:val="24"/>
                <w:u w:val="single"/>
              </w:rPr>
            </w:pPr>
            <w:r>
              <w:rPr>
                <w:rFonts w:ascii="Times New Roman" w:hAnsi="Times New Roman"/>
                <w:sz w:val="24"/>
              </w:rPr>
              <w:t>Oplysninger om kapitalgrundlagskrav skal ikke indberettes for "I alt" for alle lande.</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Pr>
                <w:rFonts w:ascii="Times New Roman" w:hAnsi="Times New Roman"/>
                <w:sz w:val="24"/>
              </w:rPr>
              <w:t>0120-0140</w:t>
            </w:r>
          </w:p>
        </w:tc>
        <w:tc>
          <w:tcPr>
            <w:tcW w:w="8131" w:type="dxa"/>
          </w:tcPr>
          <w:p w14:paraId="6A87A3AD"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Kontracykliske buffersatser</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Pr>
                <w:rFonts w:ascii="Times New Roman" w:hAnsi="Times New Roman"/>
                <w:sz w:val="24"/>
              </w:rPr>
              <w:t>0120</w:t>
            </w:r>
          </w:p>
        </w:tc>
        <w:tc>
          <w:tcPr>
            <w:tcW w:w="8131" w:type="dxa"/>
          </w:tcPr>
          <w:p w14:paraId="47EF846B"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Kontracyklisk kapitalbuffersats fastsat af udpeget myndighed</w:t>
            </w:r>
          </w:p>
          <w:p w14:paraId="4AB7D224" w14:textId="600D2883" w:rsidR="00966663" w:rsidRPr="002A677E" w:rsidRDefault="00966663" w:rsidP="00133107">
            <w:pPr>
              <w:autoSpaceDE w:val="0"/>
              <w:autoSpaceDN w:val="0"/>
              <w:adjustRightInd w:val="0"/>
              <w:rPr>
                <w:rFonts w:ascii="Times New Roman" w:hAnsi="Times New Roman"/>
                <w:sz w:val="24"/>
              </w:rPr>
            </w:pPr>
            <w:r>
              <w:rPr>
                <w:rFonts w:ascii="Times New Roman" w:hAnsi="Times New Roman"/>
                <w:sz w:val="24"/>
              </w:rPr>
              <w:lastRenderedPageBreak/>
              <w:t>Kontracyklisk kapitalbuffersats, der er fastsat for det pågældende land af den udpegede myndighed for det pågældende land, jf. artikel 136, 137 og 139, artikel 140, stk. 2, litra a) og c), og artikel 140, stk. 3, litra b), i direktiv 2013/36/EU.</w:t>
            </w:r>
          </w:p>
          <w:p w14:paraId="09057DAE"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Denne række udfyldes ikke, når der ikke er fastsat en kontracyklisk kapitalbuffersats for det pågældende land af den udpegede myndighed for det pågældende land.</w:t>
            </w:r>
          </w:p>
          <w:p w14:paraId="32B34471"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Kontracykliske kapitalbuffersatser, der blev fastsat af den udpegede myndighed, men som endnu ikke finder anvendelse i det pågældende land på referencedatoen for indberetning, skal ikke indberettes.</w:t>
            </w:r>
          </w:p>
          <w:p w14:paraId="225580CA" w14:textId="77777777" w:rsidR="00966663" w:rsidRPr="002A677E" w:rsidRDefault="00966663" w:rsidP="000E6835">
            <w:pPr>
              <w:rPr>
                <w:rFonts w:ascii="Times New Roman" w:hAnsi="Times New Roman"/>
                <w:b/>
                <w:bCs/>
                <w:sz w:val="24"/>
                <w:u w:val="single"/>
              </w:rPr>
            </w:pPr>
            <w:r>
              <w:rPr>
                <w:rFonts w:ascii="Times New Roman" w:hAnsi="Times New Roman"/>
                <w:sz w:val="24"/>
              </w:rPr>
              <w:t xml:space="preserve">Oplysninger om den kontracykliske kapitalbuffersats, der er fastsat af den udpegede myndighed, skal ikke indberettes for "I alt" for alle lande.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Pr>
                <w:rFonts w:ascii="Times New Roman" w:hAnsi="Times New Roman"/>
                <w:sz w:val="24"/>
              </w:rPr>
              <w:lastRenderedPageBreak/>
              <w:t>0130</w:t>
            </w:r>
          </w:p>
        </w:tc>
        <w:tc>
          <w:tcPr>
            <w:tcW w:w="8131" w:type="dxa"/>
          </w:tcPr>
          <w:p w14:paraId="16D7169A"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Kontracyklisk kapitalbuffersats, der finder anvendelse på instituttets land</w:t>
            </w:r>
          </w:p>
          <w:p w14:paraId="548AC006" w14:textId="0959C8F4"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Kontracyklisk kapitalbuffersats, der blev fastsat for det pågældende land af den udpegede myndighed for instituttets hjemsted, jf. artikel 137, 138 og 139, artikel 140, stk. 2, litra b), og artikel 140, stk. 3, litra a), i direktiv 2013/36/EU. Kontracykliske kapitalbuffersatser, der endnu ikke finder anvendelse på referencedatoen for indberetning, skal ikke indberettes.</w:t>
            </w:r>
          </w:p>
          <w:p w14:paraId="69F59B37" w14:textId="77777777" w:rsidR="00966663" w:rsidRPr="002A677E" w:rsidRDefault="00966663" w:rsidP="00133107">
            <w:pPr>
              <w:rPr>
                <w:rFonts w:ascii="Times New Roman" w:hAnsi="Times New Roman"/>
                <w:b/>
                <w:bCs/>
                <w:sz w:val="24"/>
                <w:u w:val="single"/>
              </w:rPr>
            </w:pPr>
            <w:r>
              <w:rPr>
                <w:rFonts w:ascii="Times New Roman" w:hAnsi="Times New Roman"/>
                <w:sz w:val="24"/>
              </w:rPr>
              <w:t>Oplysninger om den kontracykliske kapitalbuffersats, der finder anvendelse i instituttets land, skal ikke indberettes for "I alt" for alle lande.</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Pr>
                <w:rFonts w:ascii="Times New Roman" w:hAnsi="Times New Roman"/>
                <w:sz w:val="24"/>
              </w:rPr>
              <w:t>0140</w:t>
            </w:r>
          </w:p>
        </w:tc>
        <w:tc>
          <w:tcPr>
            <w:tcW w:w="8131" w:type="dxa"/>
          </w:tcPr>
          <w:p w14:paraId="21515D4E"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 xml:space="preserve">Institutspecifik kontracyklisk kapitalbuffersats </w:t>
            </w:r>
          </w:p>
          <w:p w14:paraId="497538BA" w14:textId="4237360A"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Institutspecifik kontracyklisk kapitalbuffersats beregnet i overensstemmelse med artikel 140, stk. 1, i direktiv 2013/36/EU. </w:t>
            </w:r>
          </w:p>
          <w:p w14:paraId="310E04AC" w14:textId="1449448E"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Den institutspecifikke kontracykliske buffersats beregnes som det vægtede gennemsnit af de kontracykliske buffersatser, der finder anvendelse i de jurisdiktioner, hvor instituttets relevante krediteksponeringer befinder sig eller anvendes med henblik på artikel 140 i medfør af artikel 139, stk. 2 eller 3, i direktiv 2013/36/EU. Den relevante kontracykliske buffersats indberettes i [r0120; c0020; landeark] eller [r0130; c0020; landeark], alt efter hvad der er relevant.</w:t>
            </w:r>
          </w:p>
          <w:p w14:paraId="01D610CE" w14:textId="77777777" w:rsidR="00C4425F" w:rsidRPr="002A677E"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Den vægt, der anvendes på den kontracykliske buffersats i hvert land, er andelen af kapitalgrundlagskrav i forhold til de samlede kapitalgrundlagskrav og indberettes i [r0110; c0020; landeark]. </w:t>
            </w:r>
          </w:p>
          <w:p w14:paraId="0C4F6BE8" w14:textId="77777777" w:rsidR="00966663" w:rsidRPr="002A677E" w:rsidRDefault="00966663" w:rsidP="00B816A3">
            <w:pPr>
              <w:rPr>
                <w:rFonts w:ascii="Times New Roman" w:hAnsi="Times New Roman"/>
                <w:b/>
                <w:bCs/>
                <w:sz w:val="24"/>
                <w:u w:val="single"/>
              </w:rPr>
            </w:pPr>
            <w:r>
              <w:rPr>
                <w:rFonts w:ascii="Times New Roman" w:hAnsi="Times New Roman"/>
                <w:sz w:val="24"/>
              </w:rPr>
              <w:t>Oplysninger om den institutspecifikke kontracykliske kapitalbuffersats skal kun indberettes for "i alt" for alle lande og ikke særskilt for hvert land.</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Pr>
                <w:rFonts w:ascii="Times New Roman" w:hAnsi="Times New Roman"/>
                <w:sz w:val="24"/>
              </w:rPr>
              <w:t>0150 - 0160</w:t>
            </w:r>
          </w:p>
        </w:tc>
        <w:tc>
          <w:tcPr>
            <w:tcW w:w="8131" w:type="dxa"/>
          </w:tcPr>
          <w:p w14:paraId="0A12DD68" w14:textId="1DF32C94" w:rsidR="006B1A77" w:rsidRPr="002A677E" w:rsidRDefault="006B1A77" w:rsidP="00133107">
            <w:pPr>
              <w:rPr>
                <w:rFonts w:ascii="Times New Roman" w:hAnsi="Times New Roman"/>
                <w:b/>
                <w:bCs/>
                <w:sz w:val="24"/>
                <w:u w:val="single"/>
              </w:rPr>
            </w:pPr>
            <w:r>
              <w:rPr>
                <w:rFonts w:ascii="Times New Roman" w:hAnsi="Times New Roman"/>
                <w:b/>
                <w:sz w:val="24"/>
                <w:u w:val="single"/>
              </w:rPr>
              <w:t>Anvendelse af tærsklen på 2 %</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Pr>
                <w:rFonts w:ascii="Times New Roman" w:hAnsi="Times New Roman"/>
                <w:sz w:val="24"/>
              </w:rPr>
              <w:t>0150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Anvendelse af tærsklen på 2 % for generel krediteksponering</w:t>
            </w:r>
            <w:r>
              <w:rPr>
                <w:rFonts w:ascii="Times New Roman" w:hAnsi="Times New Roman"/>
                <w:sz w:val="24"/>
              </w:rPr>
              <w:t xml:space="preserve"> </w:t>
            </w:r>
          </w:p>
          <w:p w14:paraId="62B98746" w14:textId="1501DC32"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 xml:space="preserve">I henhold til artikel 2, stk. 5, litra b), i Kommissionens delegerede forordning (EU) nr. 1152/2014 kan udenlandske generelle krediteksponeringer, hvis samlede omfang ikke overstiger 2 % af summen af instituttets krediteksponeringer, eksponeringer i handelsbeholdningen og securitiseringseksponeringer, henføres til instituttets hjemsted. Ved beregning af summen af de generelle krediteksponeringer, eksponeringer i handelsbeholdningen og securitiseringseksponeringer ses der bort fra generelle krediteksponeringer, hvis beliggenhed er fastlagt i overensstemmelse </w:t>
            </w:r>
            <w:r>
              <w:rPr>
                <w:rFonts w:ascii="Times New Roman" w:hAnsi="Times New Roman"/>
                <w:sz w:val="24"/>
              </w:rPr>
              <w:lastRenderedPageBreak/>
              <w:t>med artikel 2, stk. 5, litra a), og artikel 2, stk. 4, i Kommissionens delegerede forordning (EU) nr. 1152/2014.</w:t>
            </w:r>
          </w:p>
          <w:p w14:paraId="02877D2C" w14:textId="77777777" w:rsidR="00966663" w:rsidRPr="002A677E" w:rsidRDefault="006A3A82" w:rsidP="006A3A82">
            <w:pPr>
              <w:autoSpaceDE w:val="0"/>
              <w:autoSpaceDN w:val="0"/>
              <w:adjustRightInd w:val="0"/>
              <w:rPr>
                <w:rFonts w:ascii="Times New Roman" w:hAnsi="Times New Roman"/>
                <w:sz w:val="24"/>
              </w:rPr>
            </w:pPr>
            <w:r>
              <w:rPr>
                <w:rFonts w:ascii="Times New Roman" w:hAnsi="Times New Roman"/>
                <w:sz w:val="24"/>
              </w:rPr>
              <w:t>Hvis instituttet anvender denne undtagelse, skal det angive "y" i skemaet for den jurisdiktion, der svarer til dens hjemsted, og for "I alt" for alle lande.</w:t>
            </w:r>
          </w:p>
          <w:p w14:paraId="22D9B450" w14:textId="77777777"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Hvis et institut ikke anvender undtagelsen, skal det angive "n" i den relevante celle.</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Pr>
                <w:rFonts w:ascii="Times New Roman" w:hAnsi="Times New Roman"/>
                <w:sz w:val="24"/>
              </w:rPr>
              <w:lastRenderedPageBreak/>
              <w:t>0160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Anvendelse af tærsklen på 2 % for eksponeringer i handelsbeholdningen</w:t>
            </w:r>
          </w:p>
          <w:p w14:paraId="369B6ABC" w14:textId="03692703"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I henhold til artikel 3, stk. 3, i Kommissionens delegerede forordning (EU) nr. 1152/2014 kan institutter henføre eksponeringer i handelsbeholdningen til deres hjemsted, hvis de samlede eksponeringer i handelsbeholdningen ikke overstiger 2 % af deres samlede generelle krediteksponeringer, eksponeringer i handelsbeholdningen og securitiseringseksponeringer.</w:t>
            </w:r>
          </w:p>
          <w:p w14:paraId="035A6DB1" w14:textId="77777777" w:rsidR="006A3A82" w:rsidRPr="002A677E" w:rsidRDefault="006A3A82" w:rsidP="006A3A82">
            <w:pPr>
              <w:rPr>
                <w:rFonts w:ascii="Times New Roman" w:hAnsi="Times New Roman"/>
                <w:sz w:val="24"/>
              </w:rPr>
            </w:pPr>
            <w:r>
              <w:rPr>
                <w:rFonts w:ascii="Times New Roman" w:hAnsi="Times New Roman"/>
                <w:sz w:val="24"/>
              </w:rPr>
              <w:t>Hvis instituttet anvender denne undtagelse, skal det angive "y" i skemaet for den jurisdiktion, der svarer til dens hjemsted, og for "I alt" for alle lande.</w:t>
            </w:r>
          </w:p>
          <w:p w14:paraId="3F2EC60A" w14:textId="77777777" w:rsidR="00966663" w:rsidRPr="002A677E" w:rsidRDefault="006A3A82" w:rsidP="006A3A82">
            <w:pPr>
              <w:rPr>
                <w:rFonts w:ascii="Times New Roman" w:hAnsi="Times New Roman"/>
                <w:b/>
                <w:bCs/>
                <w:sz w:val="24"/>
                <w:u w:val="single"/>
              </w:rPr>
            </w:pPr>
            <w:r>
              <w:rPr>
                <w:rFonts w:ascii="Times New Roman" w:hAnsi="Times New Roman"/>
                <w:sz w:val="24"/>
              </w:rPr>
              <w:t>Hvis et institut ikke anvender undtagelsen, skal det angive "n" i den relevante celle.</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2" w:name="_Toc295829919"/>
      <w:bookmarkStart w:id="383" w:name="_Toc310415031"/>
      <w:bookmarkStart w:id="384" w:name="_Toc360188369"/>
      <w:bookmarkStart w:id="385" w:name="_Toc473560920"/>
      <w:bookmarkStart w:id="386" w:name="_Toc119059359"/>
      <w:r>
        <w:rPr>
          <w:rFonts w:ascii="Times New Roman" w:hAnsi="Times New Roman"/>
          <w:sz w:val="24"/>
          <w:u w:val="none"/>
        </w:rPr>
        <w:t>3.5.</w:t>
      </w:r>
      <w:r>
        <w:tab/>
      </w:r>
      <w:r>
        <w:rPr>
          <w:rFonts w:ascii="Times New Roman" w:hAnsi="Times New Roman"/>
          <w:sz w:val="24"/>
        </w:rPr>
        <w:t>C 10.01 og C 10.02 – Aktieeksponeringer opgjort efter IRB-metoden</w:t>
      </w:r>
      <w:bookmarkEnd w:id="382"/>
      <w:bookmarkEnd w:id="383"/>
      <w:bookmarkEnd w:id="384"/>
      <w:r>
        <w:rPr>
          <w:rFonts w:ascii="Times New Roman" w:hAnsi="Times New Roman"/>
          <w:sz w:val="24"/>
        </w:rPr>
        <w:t xml:space="preserve"> (CR EQU IRB 1 og CR EQU IRB 2)</w:t>
      </w:r>
      <w:bookmarkEnd w:id="385"/>
      <w:bookmarkEnd w:id="386"/>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7" w:name="_Toc239157382"/>
      <w:bookmarkStart w:id="388" w:name="_Toc295829920"/>
      <w:bookmarkStart w:id="389" w:name="_Toc310415032"/>
      <w:bookmarkStart w:id="390" w:name="_Toc360188370"/>
      <w:bookmarkStart w:id="391" w:name="_Toc473560921"/>
      <w:bookmarkStart w:id="392" w:name="_Toc119059360"/>
      <w:r>
        <w:rPr>
          <w:rFonts w:ascii="Times New Roman" w:hAnsi="Times New Roman"/>
          <w:sz w:val="24"/>
          <w:u w:val="none"/>
        </w:rPr>
        <w:t>3.5.1.</w:t>
      </w:r>
      <w:r>
        <w:tab/>
      </w:r>
      <w:r>
        <w:rPr>
          <w:rFonts w:ascii="Times New Roman" w:hAnsi="Times New Roman"/>
          <w:sz w:val="24"/>
        </w:rPr>
        <w:t>Generelle bemærkninger</w:t>
      </w:r>
      <w:bookmarkEnd w:id="387"/>
      <w:bookmarkEnd w:id="388"/>
      <w:bookmarkEnd w:id="389"/>
      <w:bookmarkEnd w:id="390"/>
      <w:bookmarkEnd w:id="391"/>
      <w:bookmarkEnd w:id="392"/>
    </w:p>
    <w:p w14:paraId="76937939" w14:textId="77777777" w:rsidR="00C61FF5" w:rsidRPr="002A677E" w:rsidRDefault="008F3052" w:rsidP="00487A02">
      <w:pPr>
        <w:pStyle w:val="InstructionsText2"/>
        <w:numPr>
          <w:ilvl w:val="0"/>
          <w:numId w:val="0"/>
        </w:numPr>
        <w:ind w:left="1353" w:hanging="360"/>
      </w:pPr>
      <w:fldSimple w:instr=" seq paragraphs ">
        <w:r>
          <w:t>92</w:t>
        </w:r>
      </w:fldSimple>
      <w:r>
        <w:t>.</w:t>
      </w:r>
      <w:r>
        <w:tab/>
        <w:t>CR EQU IRB består af to skemaer: CR EQU IRB 1 giver en generel oversigt over IRB-eksponeringer i aktieeksponeringsklassen og de forskellige metoder til at beregne de samlede risikoeksponeringer. CR EQU IRB 2 giver en opdeling af de samlede eksponeringer tildelt låntagerklasser inden for rammerne af PD/LGD-metoden. "CR EQU IRB" henviser til både "CR EQU IRB 1" og "CR EQU IRB 2" i de følgende instrukser.</w:t>
      </w:r>
    </w:p>
    <w:p w14:paraId="129E6696" w14:textId="153C3578" w:rsidR="00C61FF5" w:rsidRPr="002A677E" w:rsidRDefault="008F3052" w:rsidP="00487A02">
      <w:pPr>
        <w:pStyle w:val="InstructionsText2"/>
        <w:numPr>
          <w:ilvl w:val="0"/>
          <w:numId w:val="0"/>
        </w:numPr>
        <w:ind w:left="1353" w:hanging="360"/>
      </w:pPr>
      <w:fldSimple w:instr=" seq paragraphs ">
        <w:r>
          <w:t>93</w:t>
        </w:r>
      </w:fldSimple>
      <w:r>
        <w:t>.</w:t>
      </w:r>
      <w:r>
        <w:tab/>
        <w:t>CR EQU IRB-skemaet giver oplysninger om beregningen af risikovægtede eksponeringer for kreditrisiko (artikel 92, stk. 3, litra a), i forordning (EU) nr. 575/2013) i overensstemmelse med tredje del, afsnit II, kapitel 3, i forordning (EU) nr. 575/2013 for aktieeksponeringer som omhandlet i artikel 147, stk. 2, litra e), i nævnte forordning.</w:t>
      </w:r>
    </w:p>
    <w:p w14:paraId="61D24B1A" w14:textId="3361430C" w:rsidR="00C61FF5" w:rsidRPr="002A677E" w:rsidRDefault="008F3052" w:rsidP="00487A02">
      <w:pPr>
        <w:pStyle w:val="InstructionsText2"/>
        <w:numPr>
          <w:ilvl w:val="0"/>
          <w:numId w:val="0"/>
        </w:numPr>
        <w:ind w:left="1353" w:hanging="360"/>
      </w:pPr>
      <w:fldSimple w:instr=" seq paragraphs ">
        <w:r>
          <w:t>94</w:t>
        </w:r>
      </w:fldSimple>
      <w:r>
        <w:t>.</w:t>
      </w:r>
      <w:r>
        <w:tab/>
        <w:t>Ifølge artikel 147, stk. 6, i forordning (EU) nr. 575/2013 skal følgende eksponeringer henføres til aktieeksponeringsklassen:</w:t>
      </w:r>
    </w:p>
    <w:p w14:paraId="5B9810A4" w14:textId="77777777" w:rsidR="00C61FF5" w:rsidRPr="002A677E" w:rsidRDefault="00125707" w:rsidP="00487A02">
      <w:pPr>
        <w:pStyle w:val="InstructionsText2"/>
        <w:numPr>
          <w:ilvl w:val="0"/>
          <w:numId w:val="0"/>
        </w:numPr>
        <w:ind w:left="1353" w:hanging="360"/>
      </w:pPr>
      <w:r>
        <w:t>a)</w:t>
      </w:r>
      <w:r>
        <w:tab/>
        <w:t>ikkegældsbaserede eksponeringer, der udgør en efterstillet restfordring på udstederens aktiver eller indkomst</w:t>
      </w:r>
    </w:p>
    <w:p w14:paraId="73C34881" w14:textId="3555FA5A" w:rsidR="00C61FF5" w:rsidRPr="002A677E" w:rsidRDefault="00125707" w:rsidP="00487A02">
      <w:pPr>
        <w:pStyle w:val="InstructionsText2"/>
        <w:numPr>
          <w:ilvl w:val="0"/>
          <w:numId w:val="0"/>
        </w:numPr>
        <w:ind w:left="1353" w:hanging="360"/>
      </w:pPr>
      <w:r>
        <w:t>b)</w:t>
      </w:r>
      <w:r>
        <w:tab/>
        <w:t>gældsbaserede eksponeringer og andre værdipapirer, partnerskaber, derivater eller andre instrumenter, hvis økonomiske indhold svarer til de eksponeringer, der er anført i litra a).</w:t>
      </w:r>
    </w:p>
    <w:p w14:paraId="25C17068" w14:textId="25040343" w:rsidR="00C61FF5" w:rsidRPr="002A677E" w:rsidRDefault="008F3052" w:rsidP="00487A02">
      <w:pPr>
        <w:pStyle w:val="InstructionsText2"/>
        <w:numPr>
          <w:ilvl w:val="0"/>
          <w:numId w:val="0"/>
        </w:numPr>
        <w:ind w:left="1353" w:hanging="360"/>
      </w:pPr>
      <w:fldSimple w:instr=" seq paragraphs ">
        <w:r>
          <w:t>95</w:t>
        </w:r>
      </w:fldSimple>
      <w:r>
        <w:t>.</w:t>
      </w:r>
      <w:r>
        <w:tab/>
        <w:t xml:space="preserve">CIU'er, der behandles i overensstemmelse med den forenklede risikovægtningsmetode som omhandlet i artikel 152, stk. 4, litra a), i forordning (EU) nr. 575/2013 eller behandles i overensstemmelse med den alternative metode i </w:t>
      </w:r>
      <w:r>
        <w:lastRenderedPageBreak/>
        <w:t>artikel 152, stk. 6, i nævnte forordning, skal også indberettes i CR EQU IRB-skemaet.</w:t>
      </w:r>
    </w:p>
    <w:p w14:paraId="0901FCDB" w14:textId="26601DE5" w:rsidR="00C61FF5" w:rsidRPr="002A677E" w:rsidRDefault="008F3052" w:rsidP="00487A02">
      <w:pPr>
        <w:pStyle w:val="InstructionsText2"/>
        <w:numPr>
          <w:ilvl w:val="0"/>
          <w:numId w:val="0"/>
        </w:numPr>
        <w:ind w:left="1353" w:hanging="360"/>
      </w:pPr>
      <w:fldSimple w:instr=" seq paragraphs ">
        <w:r>
          <w:t>96</w:t>
        </w:r>
      </w:fldSimple>
      <w:r>
        <w:t>.</w:t>
      </w:r>
      <w:r>
        <w:tab/>
        <w:t xml:space="preserve">Ifølge artikel 151, stk. 1, i forordning (EU) nr. 575/2013 skal institutter udfylde CR EQU IRB-skemaet, når en af de tre metoder i artikel 155 i forordning (EU) nr. 575/2013 anvendes: </w:t>
      </w:r>
    </w:p>
    <w:p w14:paraId="2C4E2471" w14:textId="77777777" w:rsidR="00C61FF5" w:rsidRPr="002A677E" w:rsidRDefault="00C61FF5" w:rsidP="00487A02">
      <w:pPr>
        <w:pStyle w:val="InstructionsText"/>
      </w:pPr>
      <w:r>
        <w:t>- den forenklede risikovægtningsmetode</w:t>
      </w:r>
    </w:p>
    <w:p w14:paraId="4CD8D672" w14:textId="77777777" w:rsidR="00C61FF5" w:rsidRPr="002A677E" w:rsidRDefault="00C61FF5" w:rsidP="00487A02">
      <w:pPr>
        <w:pStyle w:val="InstructionsText"/>
      </w:pPr>
      <w:r>
        <w:t>- PD/LGD-metoden</w:t>
      </w:r>
    </w:p>
    <w:p w14:paraId="35A7B39F" w14:textId="5F994C21" w:rsidR="00C61FF5" w:rsidRDefault="00C61FF5" w:rsidP="00487A02">
      <w:pPr>
        <w:pStyle w:val="InstructionsText"/>
      </w:pPr>
      <w:r>
        <w:t>- metoden med interne modeller.</w:t>
      </w:r>
    </w:p>
    <w:p w14:paraId="170A8607" w14:textId="79E9B9CD" w:rsidR="00BB1DFE" w:rsidRPr="002A677E" w:rsidRDefault="00BB1DFE" w:rsidP="001235ED">
      <w:pPr>
        <w:pStyle w:val="InstructionsText"/>
        <w:ind w:left="1386"/>
      </w:pPr>
      <w:r>
        <w:t>Ifølge artikel 155 i forordning (EU) nr. 575/2013 kan institutter anvende forskellige metoder (den forenklede risikovægtningsmetode, PD/LGD-metoden eller metoden med interne modeller) på forskellige porteføljer, hvis de anvender disse metoder internt.</w:t>
      </w:r>
    </w:p>
    <w:p w14:paraId="7DA2BD4A" w14:textId="7C111B84" w:rsidR="00C61FF5" w:rsidRPr="002A677E" w:rsidRDefault="00C61FF5" w:rsidP="00487A02">
      <w:pPr>
        <w:pStyle w:val="InstructionsText"/>
        <w:ind w:left="1353"/>
      </w:pPr>
      <w:r>
        <w:t>I CR EQU IRB-skemaet skal institutter, der anvender IRB-metoden, endvidere også indberette risikovægtede eksponeringer vedrørende de aktieeksponeringer, der er omfattet af en fast risikovægtning (uden dog at være udtrykkeligt omfattet af den forenklede risikovægtningsmetode eller (midlertidig eller permanent) delvis anvendelse af standardmetoden for kreditrisiko), f.eks. aktieeksponeringer med en risikovægt på 250 % i henhold til artikel 48, stk. 4, i forordning (EU) nr. 575/2013 eller en risikovægt på 370 % i henhold til artikel 471, stk. 2, i nævnte forordning.</w:t>
      </w:r>
    </w:p>
    <w:p w14:paraId="6744BA9D" w14:textId="77777777" w:rsidR="00C61FF5" w:rsidRPr="002A677E" w:rsidRDefault="008F3052" w:rsidP="00487A02">
      <w:pPr>
        <w:pStyle w:val="InstructionsText2"/>
        <w:numPr>
          <w:ilvl w:val="0"/>
          <w:numId w:val="0"/>
        </w:numPr>
        <w:ind w:left="1353" w:hanging="360"/>
      </w:pPr>
      <w:fldSimple w:instr=" seq paragraphs ">
        <w:r>
          <w:t>97</w:t>
        </w:r>
      </w:fldSimple>
      <w:r>
        <w:t>.</w:t>
      </w:r>
      <w:r>
        <w:tab/>
        <w:t>Følgende aktieeksponeringer indberettes ikke i CR EQU IRB-skemaet:</w:t>
      </w:r>
    </w:p>
    <w:p w14:paraId="52B80741" w14:textId="295CAC5C" w:rsidR="00C61FF5" w:rsidRPr="002A677E" w:rsidRDefault="00C61FF5" w:rsidP="00487A02">
      <w:pPr>
        <w:pStyle w:val="InstructionsText"/>
        <w:ind w:left="1353"/>
      </w:pPr>
      <w:r>
        <w:t xml:space="preserve">- aktieeksponeringer i handelsbeholdningen (hvis institutter ikke er fritaget for beregning af kapitalgrundlagskrav for positioner i handelsbeholdningen (artikel 94 i forordning (EU) nr. 575/2013)) </w:t>
      </w:r>
    </w:p>
    <w:p w14:paraId="78FB29DE" w14:textId="634D0482" w:rsidR="00C61FF5" w:rsidRPr="002A677E" w:rsidRDefault="00C61FF5" w:rsidP="00487A02">
      <w:pPr>
        <w:pStyle w:val="InstructionsText"/>
        <w:ind w:left="1353"/>
      </w:pPr>
      <w:r>
        <w:t>- aktieeksponeringer, der delvist opgøres efter standardmetoden (artikel 150 i forordning (EU) nr. 575/2013), herunder:</w:t>
      </w:r>
    </w:p>
    <w:p w14:paraId="56822102" w14:textId="1CB2ED2F" w:rsidR="00C61FF5" w:rsidRPr="002A677E" w:rsidRDefault="00C61FF5" w:rsidP="00487A02">
      <w:pPr>
        <w:pStyle w:val="InstructionsText"/>
        <w:ind w:left="1353"/>
      </w:pPr>
      <w:r>
        <w:t>- aktieeksponeringer omfattet af overgangsbestemmelser i henhold til artikel 495, stk. 1, i forordning (EU) nr. 575/2013</w:t>
      </w:r>
    </w:p>
    <w:p w14:paraId="59393134" w14:textId="0195DC0A" w:rsidR="00C61FF5" w:rsidRPr="002A677E" w:rsidRDefault="00C61FF5" w:rsidP="00487A02">
      <w:pPr>
        <w:pStyle w:val="InstructionsText"/>
        <w:ind w:left="1353"/>
      </w:pPr>
      <w:r>
        <w:t>- aktieeksponeringer mod enheder, hvis kreditforpligtelser risikovægtes med 0 % efter standardmetoden, herunder offentligt støttede enheder, der kan risikovægtes med 0 % (artikel 150, stk. 1, litra g), i forordning (EU) nr. 575/2013)</w:t>
      </w:r>
    </w:p>
    <w:p w14:paraId="02216BD0" w14:textId="593717E7" w:rsidR="00C61FF5" w:rsidRPr="002A677E" w:rsidRDefault="00C61FF5" w:rsidP="00487A02">
      <w:pPr>
        <w:pStyle w:val="InstructionsText"/>
        <w:ind w:left="1353"/>
      </w:pPr>
      <w:r>
        <w:t>- aktieeksponeringer, som indgås under lovgivningsprogrammer til fremme af bestemte erhvervssektorer, og som tilvejebringer væsentlig støtte til instituttets investeringer, og som indebærer en eller anden form for statslig kontrol og restriktioner i aktieinvesteringer (artikel 150, stk. 1, litra h), i forordning (EU) nr. 575/2013</w:t>
      </w:r>
    </w:p>
    <w:p w14:paraId="5731CED2" w14:textId="0B282E6D" w:rsidR="00C61FF5" w:rsidRPr="002A677E" w:rsidRDefault="00C61FF5" w:rsidP="00487A02">
      <w:pPr>
        <w:pStyle w:val="InstructionsText"/>
        <w:ind w:left="1353"/>
      </w:pPr>
      <w:r>
        <w:t>- aktieeksponeringer mod virksomheder, der yder accessoriske tjenester, hvis risikovægtede eksponeringer kan beregnes ved hjælp af metoden for "andre aktiver, der ikke er gældsforpligtelser" (artikel 155, stk. 1, i forordning (EU) nr. 575/2013)</w:t>
      </w:r>
    </w:p>
    <w:p w14:paraId="2CD83A57" w14:textId="1F89BB08" w:rsidR="00C61FF5" w:rsidRPr="002A677E" w:rsidRDefault="00C61FF5" w:rsidP="00487A02">
      <w:pPr>
        <w:pStyle w:val="InstructionsText"/>
        <w:ind w:left="1353"/>
      </w:pPr>
      <w:r>
        <w:t>- aktieeksponeringer, der fratrækkes kapitalgrundlaget i henhold til artikel 46 og 48 i forordning (EU) nr. 575/2013.</w:t>
      </w:r>
    </w:p>
    <w:p w14:paraId="7E42E33C" w14:textId="77777777" w:rsidR="00C61FF5" w:rsidRPr="002A677E" w:rsidRDefault="00C61FF5" w:rsidP="00487A02">
      <w:pPr>
        <w:pStyle w:val="InstructionsText"/>
        <w:ind w:left="1353"/>
      </w:pPr>
    </w:p>
    <w:p w14:paraId="67146783" w14:textId="5C43E37A"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93" w:name="_Toc295829921"/>
      <w:bookmarkStart w:id="394" w:name="_Toc310415033"/>
      <w:bookmarkStart w:id="395" w:name="_Toc360188371"/>
      <w:bookmarkStart w:id="396" w:name="_Toc473560922"/>
      <w:bookmarkStart w:id="397" w:name="_Toc119059361"/>
      <w:r>
        <w:rPr>
          <w:rFonts w:ascii="Times New Roman" w:hAnsi="Times New Roman"/>
          <w:sz w:val="24"/>
          <w:u w:val="none"/>
        </w:rPr>
        <w:t>3.5.2.</w:t>
      </w:r>
      <w:r>
        <w:tab/>
      </w:r>
      <w:r>
        <w:rPr>
          <w:rFonts w:ascii="Times New Roman" w:hAnsi="Times New Roman"/>
          <w:sz w:val="24"/>
        </w:rPr>
        <w:t>Instrukser vedrørende specifikke positioner</w:t>
      </w:r>
      <w:bookmarkEnd w:id="393"/>
      <w:bookmarkEnd w:id="394"/>
      <w:r>
        <w:rPr>
          <w:rFonts w:ascii="Times New Roman" w:hAnsi="Times New Roman"/>
          <w:sz w:val="24"/>
        </w:rPr>
        <w:t xml:space="preserve"> (gælder for både CR EQU IRB 1 og CR EQU IRB 2)</w:t>
      </w:r>
      <w:bookmarkEnd w:id="395"/>
      <w:bookmarkEnd w:id="396"/>
      <w:bookmarkEnd w:id="397"/>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Kolonner</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LÅNTAGERKLASSE (ID-KODE FOR RÆKKEN)</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Låntagerklassen er en ID-kode for rækken og skal være unik for hver enkelt række i skemaet. </w:t>
            </w:r>
            <w:r>
              <w:rPr>
                <w:rFonts w:ascii="Times New Roman" w:hAnsi="Times New Roman"/>
                <w:sz w:val="24"/>
              </w:rPr>
              <w:t>Den skal være i nummerorden (1, 2, 3 osv.).</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SYSTEM MED INTERNE RATINGSKALAER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TILDELT LÅNTAGERKLASSE (%)</w:t>
            </w:r>
          </w:p>
          <w:p w14:paraId="24C4A6C8" w14:textId="01D8D490"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Institutter, der anvender PD/LGD-metoden, skal i kolonne 0010 indberette sandsynligheden for misligholdelse (PD) beregnet i overensstemmelse med artikel 165, stk. 1, i forordning (EU) nr. 575/2013.</w:t>
            </w:r>
          </w:p>
          <w:p w14:paraId="273F0287" w14:textId="199C9B5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Den PD, der tildeles låntagerklassen eller -puljen, som skal indberettes, skal opfylde mindstekravene i tredje del, afsnit II, kapitel 3, afdeling 6, i forordning (EU) nr. 575/2013. For hver individuel klasse eller pulje skal den PD, der er tildelt den specifikke låntagerklasse eller -pulje, indberettes. Alle indberettede risikoparametre udledes af de risikoparametre, der anvendes i skalaen for interne ratings, som er godkendt af den relevante kompetente myndighed.</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For tal, der svarer til en aggregering af låntagerklasser eller -puljer (f.eks. samlede eksponeringer), anføres det eksponeringsvægtede gennemsnit af de PD'er, der er tildelt låntagerklasserne eller -puljerne i aggregeringen. Alle eksponeringer, herunder misligholdte eksponeringer, skal indregnes ved beregningen af den eksponeringsvægtede gennemsnitlige PD. Ved beregningen af den eksponeringsvægtede gennemsnitlige PD bruges eksponeringsværdien efter hensyntagen til ufinansieret kreditrisikoafdækning (kolonne 0060) i forbindelse med risikovægtning.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OPRINDELIG EKSPONERING FØR ANVENDELSE AF KONVERTERINGSFAKTORER</w:t>
            </w:r>
          </w:p>
          <w:p w14:paraId="4433C401" w14:textId="280108D1"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 kolonne 0020 skal institutter indberette den oprindelige eksponeringsværdi (før anvendelse af konverteringsfaktorer). I henhold til artikel 167 i forordning (EU) nr. 575/2013 fastsættes eksponeringsværdien for aktieeksponeringer til regnskabsværdien efter specifikke kreditrisikojusteringer. </w:t>
            </w:r>
            <w:r>
              <w:rPr>
                <w:rFonts w:ascii="Times New Roman" w:hAnsi="Times New Roman"/>
                <w:sz w:val="24"/>
              </w:rPr>
              <w:t>Eksponeringsværdien af ikkebalanceførte aktieeksponeringer er den nominelle værdi efter specifikke kreditrisikojusteringer.</w:t>
            </w:r>
          </w:p>
          <w:p w14:paraId="10F33268" w14:textId="2A8C0B34" w:rsidR="00745369" w:rsidRPr="002A677E" w:rsidRDefault="00C61FF5" w:rsidP="00EA0BAB">
            <w:pPr>
              <w:spacing w:beforeLines="60" w:before="144" w:afterLines="60" w:after="144"/>
              <w:rPr>
                <w:rStyle w:val="InstructionsTabelleText"/>
                <w:rFonts w:ascii="Times New Roman" w:hAnsi="Times New Roman"/>
                <w:sz w:val="24"/>
              </w:rPr>
            </w:pPr>
            <w:r>
              <w:rPr>
                <w:rFonts w:ascii="Times New Roman" w:hAnsi="Times New Roman"/>
                <w:sz w:val="24"/>
              </w:rPr>
              <w:t>I kolonne 0020 skal institutter også medtage ikkebalanceførte poster nævnt i bilag I til forordning (EU) nr. 575/2013, som er tildelt aktieeksponeringsklassen (f.eks. "Ikkebetalt del af delvis betalte aktier").</w:t>
            </w:r>
          </w:p>
          <w:p w14:paraId="5CE183AA" w14:textId="27904677" w:rsidR="00745369" w:rsidRPr="002A677E" w:rsidRDefault="00C61FF5" w:rsidP="00DF4FF2">
            <w:pPr>
              <w:spacing w:beforeLines="60" w:before="144" w:afterLines="60" w:after="144"/>
              <w:rPr>
                <w:rStyle w:val="InstructionsTabelleText"/>
                <w:rFonts w:ascii="Times New Roman" w:hAnsi="Times New Roman"/>
                <w:sz w:val="24"/>
              </w:rPr>
            </w:pPr>
            <w:r>
              <w:rPr>
                <w:rFonts w:ascii="Times New Roman" w:hAnsi="Times New Roman"/>
                <w:sz w:val="24"/>
              </w:rPr>
              <w:t>Institutter, der anvender den forenklede risikovægtningsmetode eller PD/LGD-metoden (som omhandlet i artikel 165, stk. 1, i forordning (EU) nr. 575/2013), skal også tage hensyn til udligningen som omhandlet i artikel 155, stk. 2, andet afsnit, i forordning (EU) nr. 575/2013.</w:t>
            </w:r>
            <w:r>
              <w:rPr>
                <w:rStyle w:val="InstructionsTabelleText"/>
                <w:rFonts w:ascii="Times New Roman" w:hAnsi="Times New Roman"/>
                <w:sz w:val="24"/>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0030-0040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KREDITRISIKOREDUKTIONSTEKNIKKER MED SUBSTITUTIONSVIRKNINGER PÅ EKSPONERINGEN</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UFINANSIERET KREDITRISIKOAFDÆKNING</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GARANTIER</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KREDITDERIVATER</w:t>
            </w:r>
          </w:p>
          <w:p w14:paraId="7468EDFA" w14:textId="1F8E7CAF" w:rsidR="00745369" w:rsidRPr="002A677E" w:rsidRDefault="00C61FF5" w:rsidP="00FD2AE8">
            <w:pPr>
              <w:spacing w:beforeLines="60" w:before="144" w:afterLines="60" w:after="144"/>
              <w:rPr>
                <w:rStyle w:val="InstructionsTabelleText"/>
                <w:rFonts w:ascii="Times New Roman" w:hAnsi="Times New Roman"/>
                <w:sz w:val="24"/>
              </w:rPr>
            </w:pPr>
            <w:r>
              <w:rPr>
                <w:rFonts w:ascii="Times New Roman" w:hAnsi="Times New Roman"/>
                <w:sz w:val="24"/>
              </w:rPr>
              <w:t>Uanset hvilken metode der anvendes til beregning af risikovægtede eksponeringer for aktieeksponeringer, kan institutter medregne ufinansieret kreditrisikoafdækning, der er opnået på en aktieeksponering (artikel 155, stk. 2, 3 og 4, i forordning (EU) nr. 575/2013).</w:t>
            </w:r>
            <w:r>
              <w:rPr>
                <w:rStyle w:val="InstructionsTabelleText"/>
                <w:rFonts w:ascii="Times New Roman" w:hAnsi="Times New Roman"/>
                <w:sz w:val="24"/>
              </w:rPr>
              <w:t xml:space="preserve"> </w:t>
            </w:r>
            <w:r>
              <w:rPr>
                <w:rFonts w:ascii="Times New Roman" w:hAnsi="Times New Roman"/>
                <w:sz w:val="24"/>
              </w:rPr>
              <w:t>I kolonne 0030 og 0040 skal institutter, der anvender den forenklede risikovægtningsmetode eller PD/LGD-metoden, indberette beløbet for ufinansieret kreditrisikoafdækning i form af garantier (kolonne 0030) eller kreditderivater (kolonne 0040), som medregnes i overensstemmelse med metoderne i tredje del, afsnit II, kapitel 4, i forordning (EU) nr. 575/2013.</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KREDITRISIKOREDUKTIONSTEKNIKKER MED SUBSTITUTIONSVIRKNINGER PÅ EKSPONERINGEN</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SUBSTITUTION AF EKSPONERING SOM FØLGE AF KREDITRISIKOREDUKTIONSTEKNIKKER</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UDGÅENDE PENGESTRØMME I ALT</w:t>
            </w:r>
          </w:p>
          <w:p w14:paraId="7CFF0631" w14:textId="3F1393A2" w:rsidR="00745369" w:rsidRPr="002A677E" w:rsidRDefault="00C61FF5" w:rsidP="00FD2AE8">
            <w:pPr>
              <w:spacing w:beforeLines="60" w:before="144" w:afterLines="60" w:after="144"/>
              <w:rPr>
                <w:rStyle w:val="InstructionsTabelleText"/>
                <w:rFonts w:ascii="Times New Roman" w:hAnsi="Times New Roman"/>
                <w:sz w:val="24"/>
              </w:rPr>
            </w:pPr>
            <w:r>
              <w:rPr>
                <w:rFonts w:ascii="Times New Roman" w:hAnsi="Times New Roman"/>
                <w:sz w:val="24"/>
              </w:rPr>
              <w:t>I kolonne 0050 skal institutter indberette den del af den oprindelige eksponering før anvendelse af konverteringsfaktorer, der er dækket af ufinansieret kreditrisikoafdækning, som medregnes i overensstemmelse med metoderne i tredje del, afsnit II, kapitel 4, i forordning (EU) nr. 575/2013.</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EKSPONERINGSVÆRDI</w:t>
            </w:r>
          </w:p>
          <w:p w14:paraId="1BED4297" w14:textId="699B179D"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I kolonne 0060 skal institutter, der anvender den forenklede risikovægtningsmetode eller PD/LGD-metoden, indberette eksponeringsværdien efter hensyntagen til substitutionsvirkninger, der opstår som følge af ufinansieret kreditrisikoafdækning (artikel 155, stk. 2 og 3, og artikel 167 i forordning (EU) nr. 575/2013).</w:t>
            </w:r>
          </w:p>
          <w:p w14:paraId="7820688E" w14:textId="7DE5DC04" w:rsidR="00745369" w:rsidRPr="002A677E" w:rsidRDefault="00A16FFF" w:rsidP="00450A2E">
            <w:pPr>
              <w:spacing w:beforeLines="60" w:before="144" w:afterLines="60" w:after="144"/>
              <w:rPr>
                <w:rStyle w:val="InstructionsTabelleText"/>
                <w:rFonts w:ascii="Times New Roman" w:hAnsi="Times New Roman"/>
                <w:sz w:val="24"/>
              </w:rPr>
            </w:pPr>
            <w:r>
              <w:rPr>
                <w:rFonts w:ascii="Times New Roman" w:hAnsi="Times New Roman"/>
                <w:sz w:val="24"/>
              </w:rPr>
              <w:t>Eksponeringsværdien skal, for så vidt angår ikkebalanceførte aktieeksponeringer, være den nominelle værdi efter specifikke kreditrisikojusteringer (artikel 167 i forordning (EU) nr. 575/2013).</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HERAF: IKKEBALANCEFØRTE POSTER</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Se instrukserne til CR SA.</w:t>
            </w:r>
            <w:r>
              <w:rPr>
                <w:rStyle w:val="InstructionsTabelleberschrift"/>
                <w:rFonts w:ascii="Times New Roman" w:hAnsi="Times New Roman"/>
                <w:b w:val="0"/>
                <w:sz w:val="24"/>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EKSPONERINGSVÆGTET GENNEMSNITLIGT LGD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Institutter, der anvender PD/LGD-metoden, skal indberette det eksponeringsvægtede gennemsnit af LGD'er, der er tildelt låntagerklasser eller -puljer, som indgår i aggregeringen.</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Eksponeringsværdien efter hensyntagen til ufinansieret risikoafdækning (kolonne 0060) bruges til at beregne det eksponeringsvægtede gennemsnitlige LGD. </w:t>
            </w:r>
          </w:p>
          <w:p w14:paraId="725024C2" w14:textId="76367A90" w:rsidR="00745369" w:rsidRPr="002A677E" w:rsidRDefault="00C61FF5" w:rsidP="001A627D">
            <w:pPr>
              <w:spacing w:beforeLines="60" w:before="144" w:afterLines="60" w:after="144"/>
              <w:rPr>
                <w:rStyle w:val="InstructionsTabelleText"/>
                <w:rFonts w:ascii="Times New Roman" w:hAnsi="Times New Roman"/>
                <w:sz w:val="24"/>
              </w:rPr>
            </w:pPr>
            <w:r>
              <w:rPr>
                <w:rFonts w:ascii="Times New Roman" w:hAnsi="Times New Roman"/>
                <w:sz w:val="24"/>
              </w:rPr>
              <w:lastRenderedPageBreak/>
              <w:t>Institutterne skal anvende artikel 165, stk. 2, i forordning (EU) nr. 575/2013.</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RISIKOVÆGTET EKSPONERING</w:t>
            </w:r>
          </w:p>
          <w:p w14:paraId="4FE463AD" w14:textId="2308E2EC"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Institutterne skal indberette risikovægtede eksponeringer for aktieeksponeringer beregnet efter artikel 155 i forordning (EU) nr. 575/2013.</w:t>
            </w:r>
          </w:p>
          <w:p w14:paraId="07D0BD64" w14:textId="4D4C03A2" w:rsidR="00745369" w:rsidRPr="002A677E" w:rsidRDefault="00D021AF" w:rsidP="00450A2E">
            <w:pPr>
              <w:spacing w:beforeLines="60" w:before="144" w:afterLines="60" w:after="144"/>
              <w:rPr>
                <w:rStyle w:val="InstructionsTabelleText"/>
                <w:rFonts w:ascii="Times New Roman" w:hAnsi="Times New Roman"/>
                <w:sz w:val="24"/>
              </w:rPr>
            </w:pPr>
            <w:r>
              <w:rPr>
                <w:rFonts w:ascii="Times New Roman" w:hAnsi="Times New Roman"/>
                <w:sz w:val="24"/>
              </w:rPr>
              <w:t>Hvis institutterne ikke råder over tilstrækkelige oplysninger til at kunne anvende den definition af misligholdelse, der er fastlagt i artikel 178 i forordning (EU) nr. 575/2013, tildeles risikovægtene en justeringsfaktor på 1,5 (artikel 155, stk. 3, i forordning (EU) nr. 575/2013).</w:t>
            </w:r>
            <w:r>
              <w:rPr>
                <w:rStyle w:val="InstructionsTabelleText"/>
                <w:rFonts w:ascii="Times New Roman" w:hAnsi="Times New Roman"/>
                <w:sz w:val="24"/>
              </w:rPr>
              <w:t xml:space="preserve"> </w:t>
            </w:r>
          </w:p>
          <w:p w14:paraId="6DFE5B20" w14:textId="78343C55"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Med hensyn til inputparameteren M (løbetid) til risikovægtningsfunktionen fastsættes løbetid for aktieeksponeringer til 5 år (artikel 165, stk. 3, i forordning (EU) nr. 575/2013).</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MEMORANDUMPOST: FORVENTET TAB</w:t>
            </w:r>
          </w:p>
          <w:p w14:paraId="4F362F35" w14:textId="52B173E2" w:rsidR="00745369" w:rsidRPr="002A677E" w:rsidRDefault="00C61FF5" w:rsidP="00DF4FF2">
            <w:pPr>
              <w:spacing w:beforeLines="60" w:before="144" w:afterLines="60" w:after="144"/>
              <w:rPr>
                <w:rStyle w:val="InstructionsTabelleText"/>
                <w:rFonts w:ascii="Times New Roman" w:hAnsi="Times New Roman"/>
                <w:sz w:val="24"/>
              </w:rPr>
            </w:pPr>
            <w:r>
              <w:rPr>
                <w:rFonts w:ascii="Times New Roman" w:hAnsi="Times New Roman"/>
                <w:sz w:val="24"/>
              </w:rPr>
              <w:t>I kolonne 0090 skal institutter indberette det forventede tab i forbindelse med aktieeksponeringer, jf. artikel 158, stk. 4, 7, 8 og 9, i forordning (EU) nr. 575/2013.</w:t>
            </w:r>
            <w:r>
              <w:rPr>
                <w:rStyle w:val="InstructionsTabelleText"/>
                <w:rFonts w:ascii="Times New Roman" w:hAnsi="Times New Roman"/>
                <w:sz w:val="24"/>
              </w:rPr>
              <w:t xml:space="preserve"> </w:t>
            </w:r>
          </w:p>
        </w:tc>
      </w:tr>
    </w:tbl>
    <w:p w14:paraId="4AFE1064" w14:textId="77777777" w:rsidR="00745369" w:rsidRPr="002A677E" w:rsidRDefault="00745369" w:rsidP="00487A02">
      <w:pPr>
        <w:pStyle w:val="InstructionsText"/>
      </w:pPr>
    </w:p>
    <w:p w14:paraId="0FC7A5DF" w14:textId="06A0D024" w:rsidR="00C61FF5" w:rsidRPr="002A677E" w:rsidRDefault="008F3052" w:rsidP="00487A02">
      <w:pPr>
        <w:pStyle w:val="InstructionsText2"/>
        <w:numPr>
          <w:ilvl w:val="0"/>
          <w:numId w:val="0"/>
        </w:numPr>
        <w:ind w:left="1353" w:hanging="360"/>
      </w:pPr>
      <w:fldSimple w:instr=" seq paragraphs ">
        <w:r>
          <w:t>98</w:t>
        </w:r>
      </w:fldSimple>
      <w:r>
        <w:t>.</w:t>
      </w:r>
      <w:r>
        <w:tab/>
        <w:t>[Udgået]</w:t>
      </w:r>
    </w:p>
    <w:tbl>
      <w:tblPr>
        <w:tblW w:w="9524" w:type="dxa"/>
        <w:tblLook w:val="01E0" w:firstRow="1" w:lastRow="1" w:firstColumn="1" w:lastColumn="1" w:noHBand="0" w:noVBand="0"/>
      </w:tblPr>
      <w:tblGrid>
        <w:gridCol w:w="1608"/>
        <w:gridCol w:w="7916"/>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Rækker</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række 0020</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PD/LGD-METODEN: I ALT </w:t>
            </w:r>
          </w:p>
          <w:p w14:paraId="1CA58208" w14:textId="625D973E" w:rsidR="00745369" w:rsidRPr="002A677E" w:rsidRDefault="00C61FF5" w:rsidP="00AA7658">
            <w:pPr>
              <w:keepNext/>
              <w:spacing w:beforeLines="60" w:before="144" w:afterLines="60" w:after="144"/>
              <w:rPr>
                <w:rStyle w:val="InstructionsTabelleText"/>
                <w:rFonts w:ascii="Times New Roman" w:hAnsi="Times New Roman"/>
                <w:sz w:val="24"/>
              </w:rPr>
            </w:pPr>
            <w:r>
              <w:rPr>
                <w:rFonts w:ascii="Times New Roman" w:hAnsi="Times New Roman"/>
                <w:sz w:val="24"/>
              </w:rPr>
              <w:t>Institutter, der anvender PD/LGD-metoden (artikel 155, stk. 3, i forordning (EU) nr. 575/2013), skal indberette de krævede oplysninger i række 0020 i CR EQU IRB 1-skemaet.</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række 0050-0090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DEN FORENKLEDE RISIKOVÆGTNINGSMETODE: I ALT</w:t>
            </w:r>
          </w:p>
          <w:p w14:paraId="6D0B8C5F"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OPDELING AF SAMLEDE EKSPONERINGER OPGJORT EFTER DEN FORENKLEDE RISIKOVÆGTNINGSMETODE EFTER RISIKOVÆGT:</w:t>
            </w:r>
          </w:p>
          <w:p w14:paraId="6F14F917" w14:textId="3B801F22" w:rsidR="00745369" w:rsidRPr="002A677E" w:rsidRDefault="00C61FF5" w:rsidP="00FD239F">
            <w:pPr>
              <w:keepNext/>
              <w:spacing w:beforeLines="60" w:before="144" w:afterLines="60" w:after="144"/>
              <w:rPr>
                <w:rStyle w:val="InstructionsTabelleText"/>
                <w:rFonts w:ascii="Times New Roman" w:hAnsi="Times New Roman"/>
                <w:sz w:val="24"/>
              </w:rPr>
            </w:pPr>
            <w:r>
              <w:rPr>
                <w:rFonts w:ascii="Times New Roman" w:hAnsi="Times New Roman"/>
                <w:sz w:val="24"/>
              </w:rPr>
              <w:t>Institutter, der anvender den forenklede risikovægtningsmetode (artikel 155, stk. 2, i forordning (EU) nr. 575/2013), skal indberette de krævede oplysninger efter karakteristikaene for de underliggende eksponeringer i række 0050 til 0090.</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række 0100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METODEN MED INTERNE MODELLER</w:t>
            </w:r>
          </w:p>
          <w:p w14:paraId="6C4ED17A" w14:textId="3D372DA0" w:rsidR="00C61FF5" w:rsidRPr="002A677E" w:rsidRDefault="00C61FF5" w:rsidP="00487A02">
            <w:pPr>
              <w:pStyle w:val="InstructionsText"/>
              <w:rPr>
                <w:rStyle w:val="FormatvorlageInstructionsTabelleText"/>
                <w:rFonts w:ascii="Times New Roman" w:hAnsi="Times New Roman"/>
                <w:bCs w:val="0"/>
                <w:sz w:val="24"/>
              </w:rPr>
            </w:pPr>
            <w:r>
              <w:t>Institutter, der anvender metoden med interne modeller (artikel 155, stk. 4, i forordning (EU) nr. 575/2013), skal indberette de krævede oplysninger i række 0100.</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række 0110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AKTIEEKSPONERINGER UNDERLAGT RISIKOVÆGTE</w:t>
            </w:r>
          </w:p>
          <w:p w14:paraId="0D6FAD77" w14:textId="0016E915" w:rsidR="005C7A65" w:rsidRPr="002A677E" w:rsidRDefault="00C61FF5" w:rsidP="005C7A65">
            <w:pPr>
              <w:rPr>
                <w:rFonts w:ascii="Times New Roman" w:hAnsi="Times New Roman"/>
                <w:sz w:val="24"/>
              </w:rPr>
            </w:pPr>
            <w:r>
              <w:rPr>
                <w:rFonts w:ascii="Times New Roman" w:hAnsi="Times New Roman"/>
                <w:sz w:val="24"/>
              </w:rPr>
              <w:t xml:space="preserve">Institutter, der anvender IRB-metoden, skal indberette risikovægtede eksponeringer vedrørende aktieeksponeringer, der er omfattet af en fast risikovægtning </w:t>
            </w:r>
            <w:r>
              <w:rPr>
                <w:rFonts w:ascii="Times New Roman" w:hAnsi="Times New Roman"/>
                <w:sz w:val="24"/>
              </w:rPr>
              <w:lastRenderedPageBreak/>
              <w:t>(uden dog at være udtrykkeligt omfattet af den forenklede risikovægtningsmetode eller (midlertidig eller permanent) delvis anvendelse af standardmetoden for kreditrisiko), inkl. følgende elsponeringer:</w:t>
            </w:r>
          </w:p>
          <w:p w14:paraId="1B3BB7B4" w14:textId="09F87A70" w:rsidR="00C61FF5" w:rsidRPr="002A677E" w:rsidRDefault="00C61FF5" w:rsidP="00C61FF5">
            <w:pPr>
              <w:rPr>
                <w:rStyle w:val="FormatvorlageInstructionsTabelleText"/>
                <w:rFonts w:ascii="Times New Roman" w:hAnsi="Times New Roman"/>
                <w:sz w:val="24"/>
              </w:rPr>
            </w:pPr>
            <w:r>
              <w:rPr>
                <w:rFonts w:ascii="Times New Roman" w:hAnsi="Times New Roman"/>
                <w:sz w:val="24"/>
              </w:rPr>
              <w:t>den risikovægtede eksponering vedrørende aktiepositioner i enheder i den finansielle sektor, der er omfattet af artikel 48, stk. 4, i forordning (EU) nr. 575/2013, samt</w:t>
            </w:r>
          </w:p>
          <w:p w14:paraId="5D0336DA" w14:textId="25B30278" w:rsidR="005C7A65" w:rsidRPr="002A677E" w:rsidRDefault="00C61FF5" w:rsidP="0033476C">
            <w:pPr>
              <w:rPr>
                <w:rStyle w:val="FormatvorlageInstructionsTabelleText"/>
                <w:rFonts w:ascii="Times New Roman" w:hAnsi="Times New Roman"/>
                <w:sz w:val="24"/>
              </w:rPr>
            </w:pPr>
            <w:r>
              <w:rPr>
                <w:rFonts w:ascii="Times New Roman" w:hAnsi="Times New Roman"/>
                <w:sz w:val="24"/>
              </w:rPr>
              <w:t>- aktiepositioner med en risikovægt på 370 % i overensstemmelse med artikel 471, stk. 2, i forordning (EU) nr. 575/2013 indberettes i række 0110.</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række 0120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Pr>
                <w:rStyle w:val="FormatvorlageInstructionsTabelleText"/>
                <w:rFonts w:ascii="Times New Roman" w:hAnsi="Times New Roman"/>
                <w:b/>
                <w:sz w:val="24"/>
              </w:rPr>
              <w:t>CIU UDGIFTER OMFATTET AF FALL-BACK-METODEN</w:t>
            </w:r>
          </w:p>
          <w:p w14:paraId="69A5A4C6" w14:textId="660EFACE" w:rsidR="000763E0" w:rsidRPr="002A677E" w:rsidRDefault="000763E0" w:rsidP="00C61FF5">
            <w:pPr>
              <w:rPr>
                <w:rStyle w:val="InstructionsTabelleberschrift"/>
                <w:rFonts w:ascii="Times New Roman" w:hAnsi="Times New Roman"/>
                <w:sz w:val="24"/>
              </w:rPr>
            </w:pPr>
            <w:r>
              <w:rPr>
                <w:rStyle w:val="FormatvorlageInstructionsTabelleText"/>
                <w:rFonts w:ascii="Times New Roman" w:hAnsi="Times New Roman"/>
                <w:sz w:val="24"/>
              </w:rPr>
              <w:t>Eksponeringer i form af andele eller aktier i CIU'er, der behandles i overensstemmelse med den alternative metode i artikel 152, stk. 6, i forordning (EU) nr. 575/2013, indberettes også i denne række.</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OPDELING AF SAMLEDE EKSPONERINGER OPGJORT EFTER PD/LGD-METODEN EFTER LÅNTAGERKLASSE:</w:t>
            </w:r>
          </w:p>
          <w:p w14:paraId="51572AE4" w14:textId="1DC01ABD" w:rsidR="00745369" w:rsidRPr="002A677E" w:rsidRDefault="00C61FF5" w:rsidP="00450A2E">
            <w:pPr>
              <w:keepNext/>
              <w:spacing w:beforeLines="60" w:before="144" w:afterLines="60" w:after="144"/>
              <w:rPr>
                <w:rStyle w:val="InstructionsTabelleText"/>
                <w:rFonts w:ascii="Times New Roman" w:hAnsi="Times New Roman"/>
                <w:sz w:val="24"/>
              </w:rPr>
            </w:pPr>
            <w:r>
              <w:rPr>
                <w:rFonts w:ascii="Times New Roman" w:hAnsi="Times New Roman"/>
                <w:sz w:val="24"/>
              </w:rPr>
              <w:t>Institutter, der anvender PD/LGD-metoden (artikel 155, stk. 3, i forordning (EU) nr. 575/2013), skal indberette de krævede oplysninger i CR EQU IRB 2-skemaet.</w:t>
            </w:r>
          </w:p>
          <w:p w14:paraId="18154BB1" w14:textId="77777777" w:rsidR="00C61FF5" w:rsidRPr="002A677E"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Institutter, der anvender PD/LGD-metoden, og som anvender en unik ratingskala eller kan indberette i henhold til en intern masterskala, skal indberette de ratingklasser eller -puljer, der indgår i dette unikke ratingskala eller masterskalaen, i CR EQU IRB 2. I andre tilfælde kombineres de forskellige ratingskalaer og rangordnes efter følgende kriterier: Låntagerklasserne eller -puljerne i de forskellige ratingskalaer samles i en pulje og opstilles fra den laveste PD tildelt hver låntagerklasse eller -pulje til den højeste.</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398" w:name="_Toc310415035"/>
      <w:bookmarkStart w:id="399" w:name="_Toc360188372"/>
      <w:bookmarkStart w:id="400" w:name="_Toc473560923"/>
      <w:bookmarkStart w:id="401" w:name="_Toc119059362"/>
      <w:r>
        <w:rPr>
          <w:rFonts w:ascii="Times New Roman" w:hAnsi="Times New Roman"/>
          <w:sz w:val="24"/>
          <w:u w:val="none"/>
        </w:rPr>
        <w:t>3.6.</w:t>
      </w:r>
      <w:r>
        <w:tab/>
      </w:r>
      <w:r>
        <w:rPr>
          <w:rFonts w:ascii="Times New Roman" w:hAnsi="Times New Roman"/>
          <w:sz w:val="24"/>
        </w:rPr>
        <w:t>C 11.00 – Afviklingsrisiko/leveringsrisiko</w:t>
      </w:r>
      <w:bookmarkEnd w:id="398"/>
      <w:bookmarkEnd w:id="399"/>
      <w:r>
        <w:rPr>
          <w:rFonts w:ascii="Times New Roman" w:hAnsi="Times New Roman"/>
          <w:sz w:val="24"/>
        </w:rPr>
        <w:t xml:space="preserve"> (CR SETT)</w:t>
      </w:r>
      <w:bookmarkEnd w:id="400"/>
      <w:bookmarkEnd w:id="401"/>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2" w:name="_Toc262568045"/>
      <w:bookmarkStart w:id="403" w:name="_Toc295829924"/>
      <w:bookmarkStart w:id="404" w:name="_Toc310415036"/>
      <w:bookmarkStart w:id="405" w:name="_Toc360188373"/>
      <w:bookmarkStart w:id="406" w:name="_Toc473560924"/>
      <w:bookmarkStart w:id="407" w:name="_Toc119059363"/>
      <w:r>
        <w:rPr>
          <w:rFonts w:ascii="Times New Roman" w:hAnsi="Times New Roman"/>
          <w:sz w:val="24"/>
          <w:u w:val="none"/>
        </w:rPr>
        <w:t>3.6.1.</w:t>
      </w:r>
      <w:r>
        <w:tab/>
      </w:r>
      <w:r>
        <w:rPr>
          <w:rFonts w:ascii="Times New Roman" w:hAnsi="Times New Roman"/>
          <w:sz w:val="24"/>
        </w:rPr>
        <w:t>Generelle bemærkninger</w:t>
      </w:r>
      <w:bookmarkEnd w:id="402"/>
      <w:bookmarkEnd w:id="403"/>
      <w:bookmarkEnd w:id="404"/>
      <w:bookmarkEnd w:id="405"/>
      <w:bookmarkEnd w:id="406"/>
      <w:bookmarkEnd w:id="407"/>
    </w:p>
    <w:p w14:paraId="2EF1780C" w14:textId="2F3F67EF" w:rsidR="00612780" w:rsidRPr="002A677E" w:rsidRDefault="008F3052" w:rsidP="00487A02">
      <w:pPr>
        <w:pStyle w:val="InstructionsText2"/>
        <w:numPr>
          <w:ilvl w:val="0"/>
          <w:numId w:val="0"/>
        </w:numPr>
        <w:ind w:left="1353" w:hanging="360"/>
      </w:pPr>
      <w:fldSimple w:instr=" seq paragraphs ">
        <w:r>
          <w:t>99</w:t>
        </w:r>
      </w:fldSimple>
      <w:r>
        <w:t>.</w:t>
      </w:r>
      <w:r>
        <w:tab/>
        <w:t xml:space="preserve">I dette skema skal der indsættes oplysninger om transaktioner i handelsbeholdningen og transaktioner uden for handelsbeholdningen, som stadig er uafviklede efter det fastsatte leveringstidspunkt, og deres tilsvarende kapitalgrundlagskrav i relation til afviklingsrisiko i henhold til artikel 92, stk. 3, litra c), nr. ii), og artikel 378 i forordning (EU) nr. 575/2013. </w:t>
      </w:r>
    </w:p>
    <w:p w14:paraId="0097294C" w14:textId="77777777" w:rsidR="00612780" w:rsidRPr="002A677E" w:rsidRDefault="008F3052" w:rsidP="00487A02">
      <w:pPr>
        <w:pStyle w:val="InstructionsText2"/>
        <w:numPr>
          <w:ilvl w:val="0"/>
          <w:numId w:val="0"/>
        </w:numPr>
        <w:ind w:left="1353" w:hanging="360"/>
      </w:pPr>
      <w:fldSimple w:instr=" seq paragraphs ">
        <w:r>
          <w:t>100</w:t>
        </w:r>
      </w:fldSimple>
      <w:r>
        <w:t>.</w:t>
      </w:r>
      <w:r>
        <w:tab/>
        <w:t xml:space="preserve">I CR SETT-skemaet skal institutter indberette oplysninger om afviklingsrisiko/leveringsrisikoen i forbindelse med gældsinstrumenter, aktier, valuta og råvarer i eller uden for deres handelsbeholdning. </w:t>
      </w:r>
    </w:p>
    <w:p w14:paraId="42180048" w14:textId="382395E6" w:rsidR="00612780" w:rsidRPr="002A677E" w:rsidRDefault="008F3052" w:rsidP="00487A02">
      <w:pPr>
        <w:pStyle w:val="InstructionsText2"/>
        <w:numPr>
          <w:ilvl w:val="0"/>
          <w:numId w:val="0"/>
        </w:numPr>
        <w:ind w:left="1353" w:hanging="360"/>
      </w:pPr>
      <w:fldSimple w:instr=" seq paragraphs ">
        <w:r>
          <w:t>101</w:t>
        </w:r>
      </w:fldSimple>
      <w:r>
        <w:t>.</w:t>
      </w:r>
      <w:r>
        <w:tab/>
        <w:t>I henhold til artikel 378 i forordning (EU) nr. 575/2013 er genkøbstransaktioner samt udlån og indskud af værdipapirer eller råvarer i forbindelse med gældsinstrumenter, aktier, valuta og råvarer ikke underlagt kapitalgrundlagskrav i relation til afviklingsrisiko/leveringsrisiko. Bemærk dog, at derivater og terminsforretninger, som stadig er uafviklede efter det fastsatte leveringstidspunkt, er omfattet af kapitalgrundlagskrav i relation til afviklingsrisiko/leveringsrisiko, jf. artikel 378 i forordning (EU) nr. 575/2013.</w:t>
      </w:r>
    </w:p>
    <w:p w14:paraId="2DCFA26D" w14:textId="77777777" w:rsidR="00612780" w:rsidRPr="002A677E" w:rsidRDefault="008F3052" w:rsidP="00487A02">
      <w:pPr>
        <w:pStyle w:val="InstructionsText2"/>
        <w:numPr>
          <w:ilvl w:val="0"/>
          <w:numId w:val="0"/>
        </w:numPr>
        <w:ind w:left="1353" w:hanging="360"/>
      </w:pPr>
      <w:fldSimple w:instr=" seq paragraphs ">
        <w:r>
          <w:t>102</w:t>
        </w:r>
      </w:fldSimple>
      <w:r>
        <w:t>.</w:t>
      </w:r>
      <w:r>
        <w:tab/>
        <w:t xml:space="preserve">Hvis transaktioner stadig er uafviklede efter det fastsatte leveringstidspunkt, skal institutter beregne den prisforskel, de er eksponeret for. Den beregnes som forskellen mellem den aftalte afviklingspris for det pågældende gældsinstrument, den pågældende aktie, udenlandske valuta eller råvare og den aktuelle markedsværdi, hvor forskellen vil kunne påføre instituttet tab. </w:t>
      </w:r>
    </w:p>
    <w:p w14:paraId="1196ED7E" w14:textId="58898E2E" w:rsidR="00612780" w:rsidRPr="002A677E" w:rsidRDefault="008F3052" w:rsidP="00487A02">
      <w:pPr>
        <w:pStyle w:val="InstructionsText2"/>
        <w:numPr>
          <w:ilvl w:val="0"/>
          <w:numId w:val="0"/>
        </w:numPr>
        <w:ind w:left="1353" w:hanging="360"/>
      </w:pPr>
      <w:fldSimple w:instr=" seq paragraphs ">
        <w:r>
          <w:t>103</w:t>
        </w:r>
      </w:fldSimple>
      <w:r>
        <w:t>.</w:t>
      </w:r>
      <w:r>
        <w:tab/>
        <w:t>Institutterne skal gange denne forskel med den relevante faktor i artikel 378, tabel 1, i forordning (EU) nr. 575/2013 med henblik på at bestemme de tilsvarende kapitalgrundlagskrav.</w:t>
      </w:r>
    </w:p>
    <w:p w14:paraId="6621AF99" w14:textId="3020560D" w:rsidR="00612780" w:rsidRPr="002A677E" w:rsidRDefault="008F3052" w:rsidP="00487A02">
      <w:pPr>
        <w:pStyle w:val="InstructionsText2"/>
        <w:numPr>
          <w:ilvl w:val="0"/>
          <w:numId w:val="0"/>
        </w:numPr>
        <w:ind w:left="1353" w:hanging="360"/>
      </w:pPr>
      <w:fldSimple w:instr=" seq paragraphs ">
        <w:r>
          <w:t>104</w:t>
        </w:r>
      </w:fldSimple>
      <w:r>
        <w:t>.</w:t>
      </w:r>
      <w:r>
        <w:tab/>
        <w:t>Ifølge artikel 92, stk. 4, litra b), i forordning (EU) nr. 575/2013 skal kapitalgrundlagskravene for afviklingsrisiko/leveringsrisiko ganges med 12,5 for at få risikoeksponeringen.</w:t>
      </w:r>
    </w:p>
    <w:p w14:paraId="355A5C98" w14:textId="71564E64" w:rsidR="00612780" w:rsidRPr="002A677E" w:rsidRDefault="008F3052" w:rsidP="00487A02">
      <w:pPr>
        <w:pStyle w:val="InstructionsText2"/>
        <w:numPr>
          <w:ilvl w:val="0"/>
          <w:numId w:val="0"/>
        </w:numPr>
        <w:ind w:left="1353" w:hanging="360"/>
      </w:pPr>
      <w:fldSimple w:instr=" seq paragraphs ">
        <w:r>
          <w:t>105</w:t>
        </w:r>
      </w:fldSimple>
      <w:r>
        <w:t>.</w:t>
      </w:r>
      <w:r>
        <w:tab/>
        <w:t>Bemærk, at kapitalgrundlagskravene i relation til leveringsrisiko (free deliveries), jf. artikel 379 i forordning (EU) nr. 575/2013, ikke er omfattet af anvendelsesområdet for CR SETT-skemaet, Disse kapitalgrundlagskrav skal indberettes i kreditrisikoskemaerne (CR SA og CR IRB).</w:t>
      </w:r>
    </w:p>
    <w:p w14:paraId="669F0F27" w14:textId="51A71603"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8" w:name="_Toc310415037"/>
      <w:bookmarkStart w:id="409" w:name="_Toc360188374"/>
      <w:bookmarkStart w:id="410" w:name="_Toc473560925"/>
      <w:bookmarkStart w:id="411" w:name="_Toc119059364"/>
      <w:r>
        <w:rPr>
          <w:rFonts w:ascii="Times New Roman" w:hAnsi="Times New Roman"/>
          <w:sz w:val="24"/>
          <w:u w:val="none"/>
        </w:rPr>
        <w:t>3.6.2.</w:t>
      </w:r>
      <w:r>
        <w:tab/>
      </w:r>
      <w:r>
        <w:rPr>
          <w:rFonts w:ascii="Times New Roman" w:hAnsi="Times New Roman"/>
          <w:sz w:val="24"/>
        </w:rPr>
        <w:t>Instrukser vedrørende specifikke positioner</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Kolonner</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UAFVIKLEDE TRANSAKTIONER TIL AFVIKLINGSPRIS</w:t>
            </w:r>
          </w:p>
          <w:p w14:paraId="34DCAB1C" w14:textId="152AFA9C"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Institutterne skal indberette uafviklede transaktioner efter det fastsatte leveringstidspunkt til de aftalte afviklingspriser, jf. artikel 378 i forordning (EU) nr. 575/2013. </w:t>
            </w:r>
          </w:p>
          <w:p w14:paraId="109D1D01"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Alle uafviklede transaktioner indberettes i denne kolonne, uanset om de medfører tab eller gevinst efter det fastsatte afviklingstidspunkt.</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EKSPONERING MOD PRISFORSKEL SOM FØLGE AF UAFVIKLEDE TRANSAKTIONER</w:t>
            </w:r>
          </w:p>
          <w:p w14:paraId="3F5B0EE4" w14:textId="2CDCDECE"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Institutterne skal indberette prisforskellen mellem den aftalte afviklingspris for det pågældende gældsinstrument, den pågældende aktie, udenlandske valuta eller råvare og den aktuelle markedsværdi, hvor forskellen vil kunne påføre instituttet tab, jf. artikel 378 i forordning (EU) nr. 575/2013. </w:t>
            </w:r>
          </w:p>
          <w:p w14:paraId="23570610"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Kun uafviklede transaktioner, der vil kunne påføre instituttet et tab efter det fastsatte afviklingstidspunkt, skal indberettes i denne kolonne.</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KAPITALGRUNDLAGSKRAV</w:t>
            </w:r>
          </w:p>
          <w:p w14:paraId="1A4486D5" w14:textId="305C5E2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Institutterne skal indberette kapitalgrundlagskravene beregnet i overensstemmelse med artikel 378 i forordning (EU) nr. 575/2013.</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SAMLET AFVIKLINGSRISIKOEKSPONERING</w:t>
            </w:r>
          </w:p>
          <w:p w14:paraId="74FAF790" w14:textId="44F16A76"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lastRenderedPageBreak/>
              <w:t>I overensstemmelse med artikel 92, stk. 4, litra b), i forordning (EU) nr. 575/2013 skal institutter gange deres kapitalgrundlagskrav indberettet i kolonne 0030 med 12,5 for at få afviklingsrisikoeksponeringen.</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Rækker</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Samlede uafviklede transaktioner uden for handelsbeholdningen</w:t>
            </w:r>
          </w:p>
          <w:p w14:paraId="3E8F5041" w14:textId="22A85269"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Institutterne skal indberette aggregerede oplysninger om afviklingsrisiko/leveringsrisiko i relation til positioner uden for handelsbeholdningen (jf. artikel 92, stk. 3, litra c), nr. ii), og artikel 378 i forordning (EU) nr. 575/2013).</w:t>
            </w:r>
          </w:p>
          <w:p w14:paraId="1B06A67B"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I {r0010;c0010} skal institutter indberette den aggregerede sum af uafviklede transaktioner efter det fastsatte leveringstidspunkt til de aftalte afviklingspriser.</w:t>
            </w:r>
          </w:p>
          <w:p w14:paraId="692D807E"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I {r0010;c0020} skal institutter indberette aggregerede oplysninger om eksponeringen mod prisforskelle som følge af uafviklede transaktioner, der vil påføre dem et tab.</w:t>
            </w:r>
          </w:p>
          <w:p w14:paraId="11A74A60" w14:textId="1079D0EE"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I {r0010;c0030} skal institutter indberette de aggregerede kapitalgrundlagskrav, der fås ved at lægge kapitalgrundlagskravene for uafviklede transaktioner sammen, ved at gange prisforskellen indberettet i kolonne 0020 med den relevante faktor baseret på antallet af arbejdsdage efter afviklingsdatoen (kategorier er anført i artikel 378, tabel 1, i forordning (EU) nr. 575/2013).</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0020-0060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Transaktioner uafviklet i op til fire dage (faktor 0 %) </w:t>
            </w:r>
          </w:p>
          <w:p w14:paraId="66BDE090" w14:textId="466719A5"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Transaktioner uafviklet mellem 5 og 15 dage (faktor 8 %)</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Transaktioner uafviklet mellem 16 og 30 dage (faktor 50 %)</w:t>
            </w:r>
          </w:p>
          <w:p w14:paraId="11204902" w14:textId="7C4FA6AE"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Transaktioner uafviklet mellem 31 og 45 dage (faktor 75 %)</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Transaktioner uafviklet i 46 dage eller derover (faktor 100 %)</w:t>
            </w:r>
          </w:p>
          <w:p w14:paraId="1E959056" w14:textId="3A88190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I række 0020-0060 skal institutter indberette oplysninger om afviklingsrisiko/leveringsrisiko vedrørende positioner uden for handelsbeholdningen ved hjælp af de kategorier, der er nævnt i artikel 378, tabel 1, i forordning (EU) nr. 575/2013. </w:t>
            </w:r>
          </w:p>
          <w:p w14:paraId="6ACF01FD"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Der kræves ingen kapitalgrundlagskrav i relation til afviklingsrisiko/leveringsrisiko for transaktioner, der er uafviklet i færre end fem arbejdsdage efter afviklingsdatoen.</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Samlede uafviklede transaktioner i handelsbeholdningen</w:t>
            </w:r>
          </w:p>
          <w:p w14:paraId="4E51C129" w14:textId="4B34257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Institutterne skal indberette aggregerede oplysninger om afviklingsrisiko/leveringsrisiko i relation til positioner i handelsbeholdningen (jf. artikel 92, stk. 3, litra c), nr. ii), og artikel 378 i forordning (EU) nr. 575/2013).</w:t>
            </w:r>
          </w:p>
          <w:p w14:paraId="316C2F71"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 {r0070;c0010} skal institutter indberette den aggregerede sum af uafviklede transaktioner efter det fastsatte leveringstidspunkt til de aftalte afviklingspriser.</w:t>
            </w:r>
          </w:p>
          <w:p w14:paraId="1E64CAF5"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I {r0070;c0020} skal institutter indberette aggregerede oplysninger om eksponeringen mod prisforskelle som følge af uafviklede transaktioner, der vil påføre dem et tab.</w:t>
            </w:r>
          </w:p>
          <w:p w14:paraId="1BCAE8BB" w14:textId="4632B902" w:rsidR="00745369" w:rsidRPr="002A677E" w:rsidRDefault="00612780" w:rsidP="00DF4FF2">
            <w:pPr>
              <w:spacing w:beforeLines="60" w:before="144" w:afterLines="60" w:after="144"/>
              <w:rPr>
                <w:rFonts w:ascii="Times New Roman" w:hAnsi="Times New Roman"/>
                <w:b/>
                <w:sz w:val="24"/>
              </w:rPr>
            </w:pPr>
            <w:r>
              <w:rPr>
                <w:rFonts w:ascii="Times New Roman" w:hAnsi="Times New Roman"/>
                <w:sz w:val="24"/>
              </w:rPr>
              <w:t>I {r0070;c0030} skal institutter indberette de aggregerede kapitalgrundlagskrav, der fås ved at lægge kapitalgrundlagskravene for uafviklede transaktioner sammen, ved at gange prisforskellen indberettet i kolonne 0020 med en relevant faktor baseret på antallet af arbejdsdage efter afviklingsdatoen (kategorier er anført i artikel 378, tabel 1, i forordning (EU) nr. 575/2013).</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0080-0120</w:t>
            </w:r>
          </w:p>
        </w:tc>
        <w:tc>
          <w:tcPr>
            <w:tcW w:w="8010" w:type="dxa"/>
          </w:tcPr>
          <w:p w14:paraId="79A66E71" w14:textId="44D5F3C6"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Transaktioner uafviklet i op til fire dage (faktor 0 %) </w:t>
            </w:r>
          </w:p>
          <w:p w14:paraId="00E7E63B" w14:textId="0580251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Transaktioner uafviklet mellem 5 og 15 dage (faktor 8 %)</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Transaktioner uafviklet mellem 16 og 30 dage (faktor 50 %)</w:t>
            </w:r>
          </w:p>
          <w:p w14:paraId="2A3AEA7E" w14:textId="201CC19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Transaktioner uafviklet mellem 31 og 45 dage (faktor 75 %)</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Transaktioner uafviklet i 46 dage eller derover (faktor 100 %)</w:t>
            </w:r>
          </w:p>
          <w:p w14:paraId="63665BC6" w14:textId="7946433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I række 0080-0120 skal institutter indberette oplysninger om afviklingsrisiko/leveringsrisiko vedrørende positioner i handelsbeholdningen ved hjælp af de kategorier, der er nævnt i artikel 378, tabel 1, i forordning (EU) nr. 575/2013. </w:t>
            </w:r>
          </w:p>
          <w:p w14:paraId="68DB9D3C" w14:textId="77777777" w:rsidR="00745369" w:rsidRPr="002A677E" w:rsidRDefault="00612780" w:rsidP="00D021AF">
            <w:pPr>
              <w:spacing w:beforeLines="60" w:before="144" w:afterLines="60" w:after="144"/>
              <w:rPr>
                <w:rFonts w:ascii="Times New Roman" w:hAnsi="Times New Roman"/>
                <w:b/>
                <w:sz w:val="24"/>
              </w:rPr>
            </w:pPr>
            <w:r>
              <w:rPr>
                <w:rFonts w:ascii="Times New Roman" w:hAnsi="Times New Roman"/>
                <w:sz w:val="24"/>
              </w:rPr>
              <w:t>Der kræves ingen kapitalgrundlagskrav i relation til afviklingsrisiko/leveringsrisiko for transaktioner, der er uafviklet i færre end fem arbejdsdage efter afviklingsdatoen.</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2" w:name="_Toc522019827"/>
      <w:bookmarkStart w:id="413" w:name="_Toc119059365"/>
      <w:r>
        <w:rPr>
          <w:rFonts w:ascii="Times New Roman" w:hAnsi="Times New Roman"/>
          <w:sz w:val="24"/>
          <w:u w:val="none"/>
        </w:rPr>
        <w:t>3.7.</w:t>
      </w:r>
      <w:r>
        <w:tab/>
      </w:r>
      <w:r>
        <w:rPr>
          <w:rFonts w:ascii="Times New Roman" w:hAnsi="Times New Roman"/>
          <w:sz w:val="24"/>
        </w:rPr>
        <w:t>C 13.01 – Kreditrisiko – Securitiseringer (CR SEC):</w:t>
      </w:r>
      <w:bookmarkEnd w:id="412"/>
      <w:bookmarkEnd w:id="413"/>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4" w:name="_Toc522019828"/>
      <w:bookmarkStart w:id="415" w:name="_Toc119059366"/>
      <w:r>
        <w:rPr>
          <w:rFonts w:ascii="Times New Roman" w:hAnsi="Times New Roman"/>
          <w:sz w:val="24"/>
          <w:u w:val="none"/>
        </w:rPr>
        <w:t>3.7.1.</w:t>
      </w:r>
      <w:r>
        <w:tab/>
      </w:r>
      <w:r>
        <w:rPr>
          <w:rFonts w:ascii="Times New Roman" w:hAnsi="Times New Roman"/>
          <w:sz w:val="24"/>
        </w:rPr>
        <w:t>Generelle bemærkninger</w:t>
      </w:r>
      <w:bookmarkEnd w:id="414"/>
      <w:bookmarkEnd w:id="415"/>
    </w:p>
    <w:p w14:paraId="484A60BF" w14:textId="77777777" w:rsidR="00E026FB" w:rsidRPr="002A677E" w:rsidRDefault="008F3052" w:rsidP="00487A02">
      <w:pPr>
        <w:pStyle w:val="InstructionsText2"/>
        <w:numPr>
          <w:ilvl w:val="0"/>
          <w:numId w:val="0"/>
        </w:numPr>
        <w:ind w:left="1353" w:hanging="360"/>
      </w:pPr>
      <w:fldSimple w:instr=" seq paragraphs ">
        <w:r>
          <w:t>106</w:t>
        </w:r>
      </w:fldSimple>
      <w:r>
        <w:t xml:space="preserve">. Når instituttet optræder som eksponeringsleverende institut, skal oplysningerne i dette skema omfatte alle securitiseringer, for hvilke der anerkendes en væsentlig risikooverførsel. Når instituttet optræder som investor, skal alle eksponeringer indberettes. </w:t>
      </w:r>
    </w:p>
    <w:p w14:paraId="686E6583" w14:textId="77777777" w:rsidR="00E026FB" w:rsidRPr="002A677E" w:rsidRDefault="008F3052" w:rsidP="00487A02">
      <w:pPr>
        <w:pStyle w:val="InstructionsText2"/>
        <w:numPr>
          <w:ilvl w:val="0"/>
          <w:numId w:val="0"/>
        </w:numPr>
        <w:ind w:left="1353" w:hanging="360"/>
      </w:pPr>
      <w:fldSimple w:instr=" seq paragraphs ">
        <w:r>
          <w:t>107</w:t>
        </w:r>
      </w:fldSimple>
      <w:r>
        <w:t>.</w:t>
      </w:r>
      <w:r>
        <w:tab/>
        <w:t xml:space="preserve"> De oplysninger, der skal indberettes, afhænger af instituttets rolle i securitiseringsprocessen. Der gælder således specifikke indberetningskrav for eksponeringsleverende institutter, organiserende institutter og investorer.</w:t>
      </w:r>
    </w:p>
    <w:p w14:paraId="6E394288" w14:textId="77777777" w:rsidR="00E026FB" w:rsidRPr="002A677E" w:rsidRDefault="008F3052" w:rsidP="00487A02">
      <w:pPr>
        <w:pStyle w:val="InstructionsText2"/>
        <w:numPr>
          <w:ilvl w:val="0"/>
          <w:numId w:val="0"/>
        </w:numPr>
        <w:ind w:left="1353" w:hanging="360"/>
      </w:pPr>
      <w:fldSimple w:instr=" seq paragraphs ">
        <w:r>
          <w:t>108</w:t>
        </w:r>
      </w:fldSimple>
      <w:r>
        <w:t xml:space="preserve">. I dette skema indsamles der fælles oplysninger om både traditionelle og syntetiske securitiseringer i anlægsbeholdningen. </w:t>
      </w:r>
    </w:p>
    <w:p w14:paraId="25BA437C" w14:textId="19EF66CD"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6" w:name="_Toc522019829"/>
      <w:bookmarkStart w:id="417" w:name="_Toc119059367"/>
      <w:r>
        <w:rPr>
          <w:rFonts w:ascii="Times New Roman" w:hAnsi="Times New Roman"/>
          <w:sz w:val="24"/>
          <w:u w:val="none"/>
        </w:rPr>
        <w:t>3.7.2.</w:t>
      </w:r>
      <w:r>
        <w:tab/>
      </w:r>
      <w:r>
        <w:rPr>
          <w:rFonts w:ascii="Times New Roman" w:hAnsi="Times New Roman"/>
          <w:sz w:val="24"/>
        </w:rPr>
        <w:t>Instrukser vedrørende specifikke positioner</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Kolonner</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Pr>
                <w:rFonts w:ascii="Times New Roman" w:hAnsi="Times New Roman"/>
                <w:b/>
                <w:sz w:val="24"/>
                <w:u w:val="single"/>
              </w:rPr>
              <w:t>INDGÅEDE SECURITISERINGSEKSPONERINGER I ALT</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Eksponeringsleverende institutter skal indberette det udestående beløb på indberetningsdatoen for alle nuværende securitiseringseksponeringer, der er udgået fra securitiseringstransaktionen, uanset hvem der besidder positionerne. Balanceførte securitiseringseksponeringer (f.eks. obligationer og efterstillede lån) og ikkebalanceførte eksponeringer og derivater (f.eks. efterstillede kreditlinjer, likviditetsfaciliteter, renteswaps, credit default swaps osv.), der er udgået fra securitiseringen, skal indberettes.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178E436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Hvis der er tale om traditionelle securitiseringer, hvor det eksponeringsleverende institut ikke besidder nogen positioner, skal det pågældende institut ikke medtage den pågældende securitisering i indberetningen i dette skema. Til det formål omfatter securitiseringspositioner, som det eksponeringsleverende institut besidder, førtidsindfrielsesbestemmelser i en securitisering af revolverende eksponeringer, jf. artikel 242, nr. 16), i forordning (EU) nr. 575/2013.</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SYNTETISKE SECURITISERINGER: KREDITRISIKOAFDÆKNING AF SECURITISEREDE EKSPONERINGER</w:t>
            </w:r>
          </w:p>
          <w:p w14:paraId="17C382B2" w14:textId="77777777" w:rsidR="00E026FB" w:rsidRPr="002A677E" w:rsidRDefault="00E026FB" w:rsidP="00E10B85">
            <w:pPr>
              <w:spacing w:before="0" w:after="0"/>
              <w:jc w:val="left"/>
              <w:rPr>
                <w:rFonts w:ascii="Times New Roman" w:hAnsi="Times New Roman"/>
                <w:sz w:val="24"/>
              </w:rPr>
            </w:pPr>
          </w:p>
          <w:p w14:paraId="4279B27E" w14:textId="47BC3110" w:rsidR="00E026FB" w:rsidRPr="002A677E" w:rsidRDefault="00E026FB" w:rsidP="00E10B85">
            <w:pPr>
              <w:spacing w:before="0" w:after="0"/>
              <w:rPr>
                <w:rFonts w:ascii="Times New Roman" w:hAnsi="Times New Roman"/>
                <w:sz w:val="24"/>
              </w:rPr>
            </w:pPr>
            <w:r>
              <w:rPr>
                <w:rFonts w:ascii="Times New Roman" w:hAnsi="Times New Roman"/>
                <w:sz w:val="24"/>
              </w:rPr>
              <w:t xml:space="preserve">Artikel 251 og 252 i forordning (EU) nr. 575/2013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Uoverensstemmende løbetider indregnes ikke i den justerede værdi af de kreditrisikoreduktionsteknikker, der anvendes i securitiseringsstrukturen.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FINANSIERET KREDITRISIKOAFDÆKNING (C</w:t>
            </w:r>
            <w:r>
              <w:rPr>
                <w:rFonts w:ascii="Times New Roman" w:hAnsi="Times New Roman"/>
                <w:b/>
                <w:sz w:val="24"/>
                <w:u w:val="single"/>
                <w:vertAlign w:val="subscript"/>
              </w:rPr>
              <w:t>VA</w:t>
            </w:r>
            <w:r>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19B3159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Den detaljerede beregningsprocedure for den volatilitetsjusterede værdi af sikkerheden (C</w:t>
            </w:r>
            <w:r>
              <w:rPr>
                <w:rFonts w:ascii="Times New Roman" w:hAnsi="Times New Roman"/>
                <w:sz w:val="24"/>
                <w:vertAlign w:val="subscript"/>
              </w:rPr>
              <w:t>VA</w:t>
            </w:r>
            <w:r>
              <w:rPr>
                <w:rFonts w:ascii="Times New Roman" w:hAnsi="Times New Roman"/>
                <w:sz w:val="24"/>
              </w:rPr>
              <w:t>), der skal indberettes i denne kolonne, er omhandlet i artikel 223, stk. 2, i forordning (EU) nr. 575/2013.</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UDGÅENDE PENGESTRØMME I ALT: JUSTEREDE VÆRDIER FOR UFINANSIERET KREDITRISIKOAFDÆKNING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Pr>
                <w:rFonts w:ascii="Times New Roman" w:hAnsi="Times New Roman"/>
                <w:sz w:val="24"/>
              </w:rPr>
              <w:t>I henhold til den generelle regel vedrørende "indgående" og "udgående" pengestrømme skal de beløb, der indberettes i denne kolonne, vises som "indgående" pengestrømme i det tilsvarende kreditrisikoskema (CR SA eller CR IRB) og den tilsvarende eksponeringsklasse, som den indberettende enhed tildeler udbyderen af kreditrisikoafdækning til (dvs. den tredjemand, som tranchen overføres til ved ufinansieret kreditrisikoafdækning).</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064F44F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Proceduren for beregning af "valutarisiko" — justeret nominel værdi af kreditrisikoafdækning (G*) er fastsat i artikel 233, stk. 3, i forordning (EU) nr. 575/2013.</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NOTIONEL VÆRDI AF IKKEAFHÆNDET ELLER TILBAGEKØBT KREDITRISIKOAFDÆKNING</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Alle trancher, som ikke er afhændet eller er blevet tilbagekøbt, dvs. ikkeafhændede "first loss"-positioner, skal indberettes med deres nominelle værdi.</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Virkningen af reduktioner i kreditrisikoafdækningen indregnes ikke, når den ikkeafhændede eller tilbagekøbte værdi af kreditrisikoafdækning beregnes.</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SECURITISERINGSPOSITIONER: OPRINDELIG EKSPONERING FØR ANVENDELSE AF KONVERTERINGSFAKTORER </w:t>
            </w:r>
          </w:p>
          <w:p w14:paraId="2A8D2EB1" w14:textId="77777777" w:rsidR="00E026FB" w:rsidRPr="002A677E" w:rsidRDefault="00E026FB" w:rsidP="00E10B85">
            <w:pPr>
              <w:spacing w:before="0" w:after="0"/>
              <w:jc w:val="left"/>
              <w:rPr>
                <w:rFonts w:ascii="Times New Roman" w:hAnsi="Times New Roman"/>
                <w:sz w:val="24"/>
              </w:rPr>
            </w:pPr>
          </w:p>
          <w:p w14:paraId="05450F07" w14:textId="367880C6" w:rsidR="00126395" w:rsidRPr="002A677E"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I denne kolonne angives eksponeringsværdierne for securitiseringspositioner, som det indberettende institut er i besiddelse af, beregnet i henhold til artikel 248, stk. 1 og 2, i forordning (EU) nr. 575/2013, uden anvendelse af kreditkonverteringsfaktorer, før indregning af værdijusteringer og hensættelser samt eventuelle ikkerefunderbare købsrabatter, der er knyttet til de securitiserede eksponeringer, jf. artikel 248, stk. 1, litra d), i forordning (EU) nr. 575/2013, og før indregning af værdijusteringer og hensættelser for securitiseringspositionen.</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Netting er kun relevant, hvis der er tale om flere derivatkontrakter med samme SSPE, som er omfattet af en gyldig nettingaftale.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 syntetiske securitiseringer skal de positioner, som indehaves af det eksponeringsleverende institut i form af balanceførte poster og/eller kapitalinteresser, være resultatet af aggregeringen af kolonne 0010-0040.</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VÆRDIJUSTERINGER OG HENSÆTTELSER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Artikel 248 i forordning (EU) nr. 575/2013 Værdijusteringer og hensættelser, der skal indberettes i denne kolonne, vedrører kun securitiseringspositioner. Værdijusteringer af securitiserede eksponeringer indregnes ikke.</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EKSPONERING EFTER INDREGNING AF VÆRDIJUSTERINGER OG HENSÆTTELSER</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47F100D3" w:rsidR="00E026FB" w:rsidRPr="002A677E"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I denne kolonne angives eksponeringsværdierne for securitiseringspositioner beregnet i henhold til artikel 248, stk. 1 og 2, i forordning (EU) nr. 575/2013, efter indregning af værdijusteringer og hensættelser, uden anvendelse af kreditkonverteringsfaktorer</w:t>
            </w:r>
            <w:r>
              <w:t xml:space="preserve"> </w:t>
            </w:r>
            <w:r>
              <w:rPr>
                <w:rFonts w:ascii="Times New Roman" w:hAnsi="Times New Roman"/>
                <w:sz w:val="24"/>
              </w:rPr>
              <w:t>og før indregning af eventuelle ikkerefunderbare købsrabatter, der er knyttet til de securitiserede eksponeringer som omhandlet i artikel 248, stk. 1, litra d), i forordning (EU) nr. 575/2013, og efter indregning af værdijusteringer og hensættelser for securitiseringspositionen.</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KREDITRISIKOREDUKTIONSTEKNIKKER MED SUBSTITUTIONSVIRKNINGER PÅ EKSPONERINGEN</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3DCB12C2" w:rsidR="00E026FB" w:rsidRPr="002A677E" w:rsidRDefault="00E026FB" w:rsidP="00E10B85">
            <w:pPr>
              <w:spacing w:before="0" w:after="0"/>
              <w:rPr>
                <w:rFonts w:ascii="Times New Roman" w:hAnsi="Times New Roman"/>
                <w:sz w:val="24"/>
              </w:rPr>
            </w:pPr>
            <w:r>
              <w:rPr>
                <w:rFonts w:ascii="Times New Roman" w:hAnsi="Times New Roman"/>
                <w:sz w:val="24"/>
              </w:rPr>
              <w:t>Artikel 4, stk. 1, nr. 57), tredje del, afsnit II, kapitel 4, og artikel 249 i forordning (EU) nr. 575/2013</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rPr>
            </w:pPr>
            <w:r>
              <w:rPr>
                <w:rFonts w:ascii="Times New Roman" w:hAnsi="Times New Roman"/>
                <w:sz w:val="24"/>
              </w:rPr>
              <w:t>I disse kolonner indberetter institutioner oplysninger om kreditrisikoreduktionsteknikker, som mindsker kreditrisikoen ved en eller flere eksponeringer via substitution af eksponeringer (som angivet nedenfor for indgående og udgående pengestrømme).</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487A02">
            <w:pPr>
              <w:pStyle w:val="InstructionsText"/>
            </w:pPr>
            <w:r>
              <w:t>Sikkerhedsstillelse, som påvirker eksponeringsværdien (f.eks. hvis den anvendes til kreditrisikoreduktionsteknikker med substitutionsvirkninger på eksponeringen), må ikke overstige eksponeringsværdien.</w:t>
            </w:r>
          </w:p>
          <w:p w14:paraId="466A5A4F" w14:textId="77777777" w:rsidR="00E026FB" w:rsidRPr="002A677E" w:rsidRDefault="00E026FB" w:rsidP="00487A02">
            <w:pPr>
              <w:pStyle w:val="InstructionsText"/>
            </w:pPr>
            <w:r>
              <w:t>Poster, der skal indberettes her:</w:t>
            </w:r>
          </w:p>
          <w:p w14:paraId="79175400" w14:textId="7634CCB5"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sikkerhedsstillelse indregnet i henhold til artikel 222 i forordning (EU) nr. 575/2013 (den enkle metode for finansielle sikkerheder)</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anerkendt ufinansieret kreditrisikoafdækning.</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UFINANSIERET KREDITRISIKOAFDÆKNING: JUSTEREDE VÆRDIER (G</w:t>
            </w:r>
            <w:r>
              <w:rPr>
                <w:rFonts w:ascii="Times New Roman" w:hAnsi="Times New Roman"/>
                <w:b/>
                <w:sz w:val="24"/>
                <w:u w:val="single"/>
                <w:vertAlign w:val="subscript"/>
              </w:rPr>
              <w:t>A</w:t>
            </w:r>
            <w:r>
              <w:rPr>
                <w:rFonts w:ascii="Times New Roman" w:hAnsi="Times New Roman"/>
                <w:b/>
                <w:sz w:val="24"/>
                <w:u w:val="single"/>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6BBF742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Ufinansieret kreditrisikoafdækning som defineret i artikel 4, stk. 1, nr. 59), og artikel 234-236 i forordning (EU) nr. 575/2013</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FINANSIERET KREDITRISIKOAFDÆKNING</w:t>
            </w:r>
          </w:p>
          <w:p w14:paraId="0156BAC9" w14:textId="77777777" w:rsidR="00E026FB" w:rsidRPr="002A677E" w:rsidRDefault="00E026FB" w:rsidP="00E10B85">
            <w:pPr>
              <w:spacing w:before="0" w:after="0"/>
              <w:rPr>
                <w:rFonts w:ascii="Times New Roman" w:hAnsi="Times New Roman"/>
                <w:sz w:val="24"/>
              </w:rPr>
            </w:pPr>
          </w:p>
          <w:p w14:paraId="774858F4" w14:textId="0A8DDD1C"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Finansieret kreditrisikoafdækning som defineret i artikel 4, stk. 1, nr. 58), i forordning (EU) nr. 575/2013, som omhandlet i artikel 249, stk. 2, første afsnit, i nævnte forordning og reguleret ved artikel 195, 197 og 200 i nævnte forordning.</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7F682DEF" w:rsidR="00E026FB" w:rsidRPr="002A677E" w:rsidRDefault="00E026FB" w:rsidP="00E10B85">
            <w:pPr>
              <w:spacing w:before="0" w:after="0"/>
              <w:rPr>
                <w:rFonts w:ascii="Times New Roman" w:hAnsi="Times New Roman"/>
                <w:sz w:val="24"/>
              </w:rPr>
            </w:pPr>
            <w:r>
              <w:rPr>
                <w:rFonts w:ascii="Times New Roman" w:hAnsi="Times New Roman"/>
                <w:sz w:val="24"/>
              </w:rPr>
              <w:lastRenderedPageBreak/>
              <w:t>Credit linked notes og balanceført netting som omhandlet i artikel 218 og 219 i forordning (EU) nr. 575/2013 behandles som kontant sikkerhed.</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SUBSTITUTION AF EKSPONERING SOM FØLGE AF KREDITRISIKOREDUKTIONSTEKNIKKER</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Indgående og udgående pengestrømme i samme eksponeringsklasser samt risikovægte eller låntagerklasser, hvis det er relevant, indberettes.</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UDGÅENDE PENGESTRØMME I ALT</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5AB7193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222, stk. 3, artikel 235, 1 og 2, og artikel 236 i forordning (EU) nr. 575/2013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Udgående pengestrømme svarer til den dækkede del af "Eksponering efter indregning af værdijusteringer og hensættelser", som fratrækkes låntagerens eksponeringsklasse samt risikovægten eller låntagerklassen, hvis det er relevant, og efterfølgende tildeles eksponeringsklassen for udbyderen af kreditrisikoafdækning samt risikovægten eller låntagerklassen, hvis det er relevant.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Dette beløb betragtes som en indgående pengestrøm i eksponeringsklassen for udbyderen af kreditrisikoafdækning og i risikovægten eller låntagerklassen, hvis det er relevant.</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INDGÅENDE PENGESTRØMME I ALT</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4AA76173" w:rsidR="00E026FB" w:rsidRPr="002A677E" w:rsidRDefault="00E026FB" w:rsidP="00E10B85">
            <w:pPr>
              <w:spacing w:before="0" w:after="0"/>
              <w:rPr>
                <w:rFonts w:ascii="Times New Roman" w:hAnsi="Times New Roman"/>
                <w:sz w:val="24"/>
              </w:rPr>
            </w:pPr>
            <w:r>
              <w:rPr>
                <w:rFonts w:ascii="Times New Roman" w:hAnsi="Times New Roman"/>
                <w:sz w:val="24"/>
              </w:rPr>
              <w:t>Securitiseringspositioner, som er gældsinstrumenter og anvendes som anerkendt finansiel sikkerhed i henhold til artikel 197, stk. 1, i forordning (EU) nr. 575/2013, og hvor den enkle metode for finansielle sikkerheder anvendes, indberettes som indgående pengestrømme i denne kolonne.</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NETTOEKSPONERING EFTER SUBSTITUTIONSVIRKNINGER AF KREDITRISIKOREDUKTIONSTEKNIKKER FØR ANVENDELSE AF KONVERTERINGSFAKTORER</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I denne kolonne angives eksponeringer tildelt den tilsvarende risikovægt og eksponeringsklasse efter hensyntagen til de ind- og udgående pengestrømme, der følger af "Kreditrisikoreduktionsteknikker med substitutionsvirkninger på eksponeringen".</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KREDITRISIKOREDUKTIONSTEKNIKKER, DER PÅVIRKER EKSPONERINGEN: FINANSIERET KREDITRISIKOAFDÆKNING, DEN UDBYGGEDE METODE FOR FINANSIELLE SIKKERHEDER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6200D415" w:rsidR="001E0C80" w:rsidRPr="002A677E" w:rsidRDefault="00E026FB" w:rsidP="00487A02">
            <w:pPr>
              <w:pStyle w:val="InstructionsText"/>
            </w:pPr>
            <w:r>
              <w:t xml:space="preserve">Artikel 223-228 i forordning (EU) nr. 575/2013 </w:t>
            </w:r>
          </w:p>
          <w:p w14:paraId="0046A2D9" w14:textId="3F315173" w:rsidR="00E026FB" w:rsidRPr="002A677E" w:rsidRDefault="00A16FFF" w:rsidP="00487A02">
            <w:pPr>
              <w:pStyle w:val="InstructionsText"/>
            </w:pPr>
            <w:r>
              <w:t>Det indberettede beløb skal også omfatte credit linked notes (artikel 218 i forordning (EU) nr. 575/2013).</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FULDT JUSTERET EKSPONERINGSVÆRDI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14CF6393"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Eksponeringsværdien for securitiseringspositioner beregnet i henhold til artikel 248 i forordning (EU) nr. 575/2013, men uden anvendelse af kreditkonverteringsfaktorerne i artikel 248, stk. 1, litra b), i nævnte forordning.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0EB4F9EC" w14:textId="5EF5C8CC"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HERAF: OMFATTET AF EN KONVERTERINGSFAKTOR PÅ 0 %</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23CA0D06" w:rsidR="00705025" w:rsidRPr="002A677E" w:rsidRDefault="00247193"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248, stk. 1, litra b), i forordning (EU) nr. 575/2013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24C4376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 den henseende defineres en konverteringsfaktor i artikel 4, stk. 1, nr. 56), i forordning (EU) nr. 575/2013.</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 forbindelse med indberetning indberettes de fuldt justerede eksponeringsværdier (E*) for konverteringsfaktoren på 0 %.</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(-)IKKEREFUNDERBARE KØBSRABATTER</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03B970C7" w:rsidR="00E026FB" w:rsidRPr="002A677E" w:rsidRDefault="00BB22D4" w:rsidP="00E10B85">
            <w:pPr>
              <w:spacing w:before="0" w:after="0"/>
              <w:jc w:val="left"/>
              <w:rPr>
                <w:rFonts w:ascii="Times New Roman" w:hAnsi="Times New Roman"/>
                <w:sz w:val="24"/>
              </w:rPr>
            </w:pPr>
            <w:r>
              <w:rPr>
                <w:rFonts w:ascii="Times New Roman" w:hAnsi="Times New Roman"/>
                <w:sz w:val="24"/>
              </w:rPr>
              <w:t>I overensstemmelse med artikel 248, stk. 1, litra d), i forordning (EU) nr. 575/2013 kan et eksponeringsleverende institut trække eventuelle ikkerefunderbare købsrabatter, der er knyttet til sådanne underliggende eksponeringer, i det omfang de har reduceret egne midler, fra eksponeringsværdien af en securitiseringsposition, der er tildelt en risikovægt på 1 250 %.</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SPECIFIKKE KREDITRISIKOREGULERINGER VEDRØRENDE UNDERLIGGENDE EKSPONERINGER</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7C2838C3"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I overensstemmelse med artikel 248, stk. 1, litra d), i forordning (EU) nr. 575/2013 kan et eksponeringsleverende institut trække beløbet for specifikke kreditrisikoreguleringer vedrørende de underliggende eksponeringer i henhold til artikel 110 i forordning (EU) nr. 575/2013 fra eksponeringsværdien af en securitiseringsposition, der er tildelt en risikovægt på 1 250 % eller er fratrukket i den egentlige kernekapital.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EKSPONERINGSVÆRDI</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6A8DC8F1"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Eksponeringsværdien af securitiseringspositioner beregnet i overensstemmelse med artikel 248 i forordning (EU) nr. 575/2013</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EKSPONERINGSVÆRDI, DER FRATRÆKKES KAPITALGRUNDLAGET</w:t>
            </w:r>
          </w:p>
          <w:p w14:paraId="272C3315" w14:textId="77777777" w:rsidR="00E026FB" w:rsidRPr="002A677E" w:rsidRDefault="00E026FB" w:rsidP="00E10B85">
            <w:pPr>
              <w:spacing w:before="0" w:after="0"/>
              <w:jc w:val="left"/>
              <w:rPr>
                <w:rFonts w:ascii="Times New Roman" w:hAnsi="Times New Roman"/>
                <w:sz w:val="24"/>
              </w:rPr>
            </w:pPr>
          </w:p>
          <w:p w14:paraId="65B07FF2" w14:textId="7237AD95" w:rsidR="00E026FB" w:rsidRPr="002A677E" w:rsidRDefault="00BB22D4" w:rsidP="00E10B85">
            <w:pPr>
              <w:spacing w:before="0" w:after="0"/>
              <w:rPr>
                <w:rFonts w:ascii="Times New Roman" w:hAnsi="Times New Roman"/>
                <w:sz w:val="24"/>
              </w:rPr>
            </w:pPr>
            <w:r>
              <w:rPr>
                <w:rFonts w:ascii="Times New Roman" w:hAnsi="Times New Roman"/>
                <w:sz w:val="24"/>
              </w:rPr>
              <w:t>I henhold til artikel 244, stk. 1, litra b), artikel 245, stk. 1, litra b), og artikel 253, stk. 1, i forordning (EU) nr. 575/2013 kan institutter — i forbindelse med en securitiseringsposition, hvor der tillægges en risikovægt på 1 250 % — som et alternativ til at medtage positionen i deres beregning af størrelsen af risikovægtede eksponeringer fratrække eksponeringsværdien i positionen fra deres kapitalgrundlag.</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EKSPONERINGSVÆRDI UNDERLAGT RISIKOVÆGTE</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Pr>
                <w:rFonts w:ascii="Times New Roman" w:hAnsi="Times New Roman"/>
                <w:sz w:val="24"/>
              </w:rPr>
              <w:t>Eksponeringsværdi minus eksponeringsværdien fratrukket kapitalgrundlaget.</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25FDDE8F" w:rsidR="00E026FB" w:rsidRPr="002A677E" w:rsidRDefault="00E026FB" w:rsidP="00E10B85">
            <w:pPr>
              <w:spacing w:before="0" w:after="0"/>
              <w:jc w:val="left"/>
              <w:rPr>
                <w:rFonts w:ascii="Times New Roman" w:hAnsi="Times New Roman"/>
                <w:sz w:val="24"/>
              </w:rPr>
            </w:pPr>
            <w:r>
              <w:rPr>
                <w:rFonts w:ascii="Times New Roman" w:hAnsi="Times New Roman"/>
                <w:sz w:val="24"/>
              </w:rPr>
              <w:t>Artikel 254, stk. 1, litra a), i forordning (EU) nr. 575/2013</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OPDELING EFTER RW-INTERVALLER</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SEC-IRBA-eksponeringer opdelt efter risikovægtintervaller.</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HERAF: BEREGNET I HENHOLD TIL ARTIKEL 255, STK. 4 (ERHVERVEDE FORDRINGER) </w:t>
            </w:r>
          </w:p>
          <w:p w14:paraId="0C9CD803" w14:textId="77777777" w:rsidR="00E026FB" w:rsidRPr="002A677E" w:rsidRDefault="00E026FB" w:rsidP="00E10B85">
            <w:pPr>
              <w:spacing w:before="0" w:after="0"/>
              <w:jc w:val="left"/>
              <w:rPr>
                <w:rFonts w:ascii="Times New Roman" w:hAnsi="Times New Roman"/>
                <w:sz w:val="24"/>
              </w:rPr>
            </w:pPr>
          </w:p>
          <w:p w14:paraId="7817A65B" w14:textId="76298E30" w:rsidR="001E0C80" w:rsidRPr="002A677E" w:rsidRDefault="00E026FB" w:rsidP="00E10B85">
            <w:pPr>
              <w:spacing w:before="0" w:after="0"/>
              <w:jc w:val="left"/>
              <w:rPr>
                <w:rFonts w:ascii="Times New Roman" w:hAnsi="Times New Roman"/>
                <w:sz w:val="24"/>
              </w:rPr>
            </w:pPr>
            <w:r>
              <w:rPr>
                <w:rFonts w:ascii="Times New Roman" w:hAnsi="Times New Roman"/>
                <w:sz w:val="24"/>
              </w:rPr>
              <w:t>Artikel 255, stk. 4, i forordning (EU) nr. 575/2013</w:t>
            </w:r>
          </w:p>
          <w:p w14:paraId="3E55E4E6" w14:textId="77777777"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Med henblik på denne kolonne behandles detaileksponeringer som erhvervede detailfordringer og ikkedetaileksponeringer som erhvervede erhvervsfordringer.</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319268F6" w14:textId="77777777" w:rsidR="00E026FB" w:rsidRPr="002A677E" w:rsidRDefault="00E026FB" w:rsidP="00E10B85">
            <w:pPr>
              <w:spacing w:before="0" w:after="0"/>
              <w:jc w:val="left"/>
              <w:rPr>
                <w:rFonts w:ascii="Times New Roman" w:hAnsi="Times New Roman"/>
                <w:b/>
                <w:sz w:val="24"/>
                <w:u w:val="single"/>
                <w:lang w:val="fr-BE"/>
              </w:rPr>
            </w:pPr>
          </w:p>
          <w:p w14:paraId="58D171CB" w14:textId="1439350A" w:rsidR="00E026FB" w:rsidRPr="002A677E" w:rsidRDefault="00247193" w:rsidP="00E10B85">
            <w:pPr>
              <w:spacing w:before="0" w:after="0"/>
              <w:jc w:val="left"/>
              <w:rPr>
                <w:rFonts w:ascii="Times New Roman" w:hAnsi="Times New Roman"/>
                <w:b/>
                <w:sz w:val="24"/>
                <w:u w:val="single"/>
              </w:rPr>
            </w:pPr>
            <w:r>
              <w:rPr>
                <w:rFonts w:ascii="Times New Roman" w:hAnsi="Times New Roman"/>
                <w:sz w:val="24"/>
              </w:rPr>
              <w:t>Artikel 254, stk. 1, litra b), i forordning (EU) nr. 575/2013</w:t>
            </w:r>
          </w:p>
          <w:p w14:paraId="76075D12" w14:textId="77777777" w:rsidR="00E026FB" w:rsidRPr="002A677E" w:rsidRDefault="00E026FB" w:rsidP="00E10B85">
            <w:pPr>
              <w:spacing w:before="0" w:after="0"/>
              <w:jc w:val="left"/>
              <w:rPr>
                <w:rFonts w:ascii="Times New Roman" w:hAnsi="Times New Roman"/>
                <w:sz w:val="24"/>
                <w:lang w:val="fr-BE"/>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OPDELING EFTER RW-INTERVALLER</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SEC-SA-eksponeringer opdelt efter risikovægtintervaller.</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6CAC1284" w:rsidR="00E026FB" w:rsidRPr="002A677E" w:rsidRDefault="00E026FB" w:rsidP="00E10B85">
            <w:pPr>
              <w:spacing w:before="0" w:after="0"/>
              <w:jc w:val="left"/>
              <w:rPr>
                <w:rFonts w:ascii="Times New Roman" w:hAnsi="Times New Roman"/>
                <w:sz w:val="24"/>
              </w:rPr>
            </w:pPr>
            <w:r>
              <w:rPr>
                <w:rFonts w:ascii="Times New Roman" w:hAnsi="Times New Roman"/>
                <w:sz w:val="24"/>
              </w:rPr>
              <w:t>For RW = 1 250 % (W ukendt) hedder det i artikel 261, stk. 2, litra b), fjerde afsnit, i forordning (EU) nr. 575/2013 at positionen i securitiseringen skal risikovægtes med 1 250 %, hvis et institut for over 5 % af de underliggende eksponeringer i en pulje ikke har kendskab til status med hensyn til overtrædelse af kontraktvilkår.</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08C739C2" w:rsidR="00E026FB" w:rsidRPr="002A677E" w:rsidRDefault="00247193" w:rsidP="00E10B85">
            <w:pPr>
              <w:spacing w:before="0" w:after="0"/>
              <w:jc w:val="left"/>
              <w:rPr>
                <w:rFonts w:ascii="Times New Roman" w:hAnsi="Times New Roman"/>
                <w:sz w:val="24"/>
              </w:rPr>
            </w:pPr>
            <w:r>
              <w:rPr>
                <w:rFonts w:ascii="Times New Roman" w:hAnsi="Times New Roman"/>
                <w:sz w:val="24"/>
              </w:rPr>
              <w:t xml:space="preserve">Artikel 254, stk. 1, litra c), i forordning (EU) nr. 575/2013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OPDELING EFTER KREDITKVALITETSTRIN (KORT/LANG-SIGTEDE KREDITKVALITETSTRIN)</w:t>
            </w:r>
          </w:p>
          <w:p w14:paraId="7E09FFCE" w14:textId="77777777" w:rsidR="00E026FB" w:rsidRPr="002A677E" w:rsidRDefault="00E026FB" w:rsidP="00E10B85">
            <w:pPr>
              <w:spacing w:before="0" w:after="0"/>
              <w:rPr>
                <w:rFonts w:ascii="Times New Roman" w:hAnsi="Times New Roman"/>
                <w:sz w:val="24"/>
              </w:rPr>
            </w:pPr>
          </w:p>
          <w:p w14:paraId="60A78FC0" w14:textId="482CD775" w:rsidR="00E026FB" w:rsidRPr="002A677E" w:rsidRDefault="00E026FB" w:rsidP="00E10B85">
            <w:pPr>
              <w:spacing w:before="0" w:after="0"/>
              <w:rPr>
                <w:rFonts w:ascii="Times New Roman" w:hAnsi="Times New Roman"/>
                <w:sz w:val="24"/>
              </w:rPr>
            </w:pPr>
            <w:r>
              <w:rPr>
                <w:rFonts w:ascii="Times New Roman" w:hAnsi="Times New Roman"/>
                <w:sz w:val="24"/>
              </w:rPr>
              <w:t>Artikel 263 i forordning (EU) nr. 575/2013</w:t>
            </w:r>
          </w:p>
          <w:p w14:paraId="174293CA" w14:textId="77777777" w:rsidR="00E026FB" w:rsidRPr="002A677E" w:rsidRDefault="00E026FB" w:rsidP="00E10B85">
            <w:pPr>
              <w:spacing w:before="0" w:after="0"/>
              <w:rPr>
                <w:rFonts w:ascii="Times New Roman" w:hAnsi="Times New Roman"/>
                <w:sz w:val="24"/>
              </w:rPr>
            </w:pPr>
          </w:p>
          <w:p w14:paraId="702C7A75" w14:textId="744DE94C" w:rsidR="00E026FB" w:rsidRPr="002A677E" w:rsidRDefault="00E026FB" w:rsidP="00E10B85">
            <w:pPr>
              <w:spacing w:before="0" w:after="0"/>
              <w:rPr>
                <w:rFonts w:ascii="Times New Roman" w:hAnsi="Times New Roman"/>
                <w:sz w:val="24"/>
              </w:rPr>
            </w:pPr>
            <w:r>
              <w:rPr>
                <w:rFonts w:ascii="Times New Roman" w:hAnsi="Times New Roman"/>
                <w:sz w:val="24"/>
              </w:rPr>
              <w:t>SEC-ERBA-securitiseringspositioner med en afledt rating som omhandlet i artikel 254, stk. 2, i forordning (EU) nr. 575/2013 indberettes som positioner med en rating.</w:t>
            </w:r>
          </w:p>
          <w:p w14:paraId="7562BEAE" w14:textId="77777777" w:rsidR="00E026FB" w:rsidRPr="002A677E" w:rsidRDefault="00E026FB" w:rsidP="00E10B85">
            <w:pPr>
              <w:spacing w:before="0" w:after="0"/>
              <w:rPr>
                <w:rFonts w:ascii="Times New Roman" w:hAnsi="Times New Roman"/>
                <w:sz w:val="24"/>
              </w:rPr>
            </w:pPr>
          </w:p>
          <w:p w14:paraId="683A13DE" w14:textId="4B957DB0"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Eksponeringsværdier underlagt risikovægte fordeles efter kort- og langsigtede kreditkvalitetstrin som fastsat i artikel 263, tabel 1 og 2, og artikel 264, tabel 3 og 4, i forordning (EU) nr. 575/2013.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OPDELING EFTER GRUND TIL AT ANVENDE SEC-ERBA</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Pr>
                <w:rFonts w:ascii="Times New Roman" w:hAnsi="Times New Roman"/>
                <w:sz w:val="24"/>
              </w:rPr>
              <w:t>Institutterne skal for hver enkelt securitiseringsposition overveje en af følgende muligheder i kolonne 0580-0620.</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BILLÅN, BILLEASINGKONTRAKTER OG LEASINGKONTRAKTER VEDRØRENDE UDSTYR</w:t>
            </w:r>
          </w:p>
          <w:p w14:paraId="6E88BBA0" w14:textId="77777777" w:rsidR="00E026FB" w:rsidRPr="002A677E" w:rsidRDefault="00E026FB" w:rsidP="00E10B85">
            <w:pPr>
              <w:spacing w:before="0" w:after="0"/>
              <w:rPr>
                <w:rFonts w:ascii="Times New Roman" w:hAnsi="Times New Roman"/>
                <w:b/>
                <w:sz w:val="24"/>
                <w:u w:val="single"/>
              </w:rPr>
            </w:pPr>
          </w:p>
          <w:p w14:paraId="0E92DEB1" w14:textId="26FE3C00" w:rsidR="001E0C80" w:rsidRPr="002A677E" w:rsidRDefault="001E0C80" w:rsidP="00E10B85">
            <w:pPr>
              <w:spacing w:before="0" w:after="0"/>
              <w:rPr>
                <w:rFonts w:ascii="Times New Roman" w:hAnsi="Times New Roman"/>
                <w:sz w:val="24"/>
              </w:rPr>
            </w:pPr>
            <w:r>
              <w:rPr>
                <w:rFonts w:ascii="Times New Roman" w:hAnsi="Times New Roman"/>
                <w:sz w:val="24"/>
              </w:rPr>
              <w:t xml:space="preserve"> Artikel 254, stk. 2, litra c), i forordning (EU) nr. 575/2013 </w:t>
            </w:r>
          </w:p>
          <w:p w14:paraId="3375DFA1" w14:textId="77777777" w:rsidR="001E0C80" w:rsidRPr="002A677E" w:rsidRDefault="001E0C80" w:rsidP="00E10B85">
            <w:pPr>
              <w:spacing w:before="0" w:after="0"/>
              <w:rPr>
                <w:rFonts w:ascii="Times New Roman" w:hAnsi="Times New Roman"/>
                <w:sz w:val="24"/>
              </w:rPr>
            </w:pPr>
          </w:p>
          <w:p w14:paraId="4C10E739" w14:textId="05C63409" w:rsidR="00E026FB" w:rsidRPr="002A677E" w:rsidRDefault="00FC5515" w:rsidP="00247193">
            <w:pPr>
              <w:spacing w:before="0" w:after="0"/>
              <w:rPr>
                <w:rFonts w:ascii="Times New Roman" w:hAnsi="Times New Roman"/>
                <w:b/>
                <w:sz w:val="24"/>
                <w:u w:val="single"/>
              </w:rPr>
            </w:pPr>
            <w:r>
              <w:rPr>
                <w:rFonts w:ascii="Times New Roman" w:hAnsi="Times New Roman"/>
                <w:sz w:val="24"/>
              </w:rPr>
              <w:t>Alle billån, billeasingkontrakter og leasingkontrakter vedrørende udstyr indberettes i denne kolonne, selv om de opfylder betingelserne i artikel 254, stk. 2, litra a) eller b), i forordning (EU) nr. 575/2013.</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7B7626E" w14:textId="77777777" w:rsidR="00E026FB" w:rsidRPr="00B44FD0" w:rsidRDefault="00E026FB" w:rsidP="00E10B85">
            <w:pPr>
              <w:spacing w:before="0" w:after="0"/>
              <w:rPr>
                <w:rFonts w:ascii="Times New Roman" w:hAnsi="Times New Roman"/>
                <w:b/>
                <w:sz w:val="24"/>
                <w:u w:val="single"/>
              </w:rPr>
            </w:pPr>
            <w:r>
              <w:rPr>
                <w:rFonts w:ascii="Times New Roman" w:hAnsi="Times New Roman"/>
                <w:b/>
                <w:sz w:val="24"/>
                <w:u w:val="single"/>
              </w:rPr>
              <w:t>SEC-ERBA-MULIGHED</w:t>
            </w:r>
          </w:p>
          <w:p w14:paraId="2147BE6D" w14:textId="77777777" w:rsidR="00E026FB" w:rsidRPr="00B44FD0" w:rsidRDefault="00E026FB" w:rsidP="00E10B85">
            <w:pPr>
              <w:spacing w:before="0" w:after="0"/>
              <w:rPr>
                <w:rFonts w:ascii="Times New Roman" w:hAnsi="Times New Roman"/>
                <w:b/>
                <w:sz w:val="24"/>
                <w:u w:val="single"/>
              </w:rPr>
            </w:pPr>
          </w:p>
          <w:p w14:paraId="5861125E" w14:textId="064E70D0" w:rsidR="00E026FB" w:rsidRPr="00B44FD0" w:rsidRDefault="00E026FB" w:rsidP="00E10B85">
            <w:pPr>
              <w:spacing w:before="0" w:after="0"/>
              <w:rPr>
                <w:rFonts w:ascii="Times New Roman" w:hAnsi="Times New Roman"/>
                <w:sz w:val="24"/>
              </w:rPr>
            </w:pPr>
            <w:r>
              <w:rPr>
                <w:rFonts w:ascii="Times New Roman" w:hAnsi="Times New Roman"/>
                <w:sz w:val="24"/>
              </w:rPr>
              <w:t>Artikel 254, stk. 3, i forordning (EU) nr. 575/2013</w:t>
            </w:r>
          </w:p>
          <w:p w14:paraId="1F0A97E3" w14:textId="77777777" w:rsidR="00E026FB" w:rsidRPr="00B44FD0"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2C274672" w14:textId="174FD6CA" w:rsidR="00E026FB"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POSITIONER OMFATTET AF ARTIKEL 254, STK. 2, LITRA A), I FORORDNING (EU) NR. 575/2013</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3D7C8272" w:rsidR="00E026FB" w:rsidRPr="002A677E" w:rsidRDefault="00E026FB" w:rsidP="00E10B85">
            <w:pPr>
              <w:spacing w:before="0" w:after="0"/>
              <w:rPr>
                <w:rFonts w:ascii="Times New Roman" w:hAnsi="Times New Roman"/>
                <w:sz w:val="24"/>
              </w:rPr>
            </w:pPr>
            <w:r>
              <w:rPr>
                <w:rFonts w:ascii="Times New Roman" w:hAnsi="Times New Roman"/>
                <w:sz w:val="24"/>
              </w:rPr>
              <w:t>Artikel 254, stk. 2, litra a), i forordning (EU) nr. 575/2013</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06291F1B" w14:textId="599D946F"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POSITIONER OMFATTET AF ARTIKEL 254, STK. 2, LITRA B), I FORORDNING (EU) NR. 575/2013 </w:t>
            </w:r>
          </w:p>
          <w:p w14:paraId="729B0B6C" w14:textId="77777777" w:rsidR="00E026FB" w:rsidRPr="002A677E" w:rsidRDefault="00E026FB" w:rsidP="00E10B85">
            <w:pPr>
              <w:spacing w:before="0" w:after="0"/>
              <w:rPr>
                <w:rFonts w:ascii="Times New Roman" w:hAnsi="Times New Roman"/>
                <w:b/>
                <w:sz w:val="24"/>
                <w:u w:val="single"/>
              </w:rPr>
            </w:pPr>
          </w:p>
          <w:p w14:paraId="41122C6A" w14:textId="6CA53012" w:rsidR="00E026FB" w:rsidRPr="002A677E" w:rsidRDefault="00247193" w:rsidP="00E10B85">
            <w:pPr>
              <w:spacing w:before="0" w:after="0"/>
              <w:rPr>
                <w:rFonts w:ascii="Times New Roman" w:hAnsi="Times New Roman"/>
                <w:sz w:val="24"/>
              </w:rPr>
            </w:pPr>
            <w:r>
              <w:rPr>
                <w:rFonts w:ascii="Times New Roman" w:hAnsi="Times New Roman"/>
                <w:sz w:val="24"/>
              </w:rPr>
              <w:t>Artikel 254, stk. 2, litra b), i forordning (EU) nr. 575/2013</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63EA50E9" w14:textId="4369660B" w:rsidR="00962BBD"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POSITIONER OMFATTET AF ARTIKEL 254, STK. 4, ELLER ARTIKEL 258, STK. 2, I FORORDNING (EU) NR. 575/2013</w:t>
            </w:r>
          </w:p>
          <w:p w14:paraId="2F2EF827" w14:textId="77777777" w:rsidR="00962BBD" w:rsidRPr="002A677E" w:rsidRDefault="00962BBD" w:rsidP="00E10B85">
            <w:pPr>
              <w:spacing w:before="0" w:after="0"/>
              <w:rPr>
                <w:rFonts w:ascii="Times New Roman" w:hAnsi="Times New Roman"/>
                <w:sz w:val="24"/>
              </w:rPr>
            </w:pPr>
          </w:p>
          <w:p w14:paraId="37F2AD29" w14:textId="5B6CE39A" w:rsidR="00E026FB" w:rsidRPr="002A677E" w:rsidRDefault="00E026FB" w:rsidP="00E10B85">
            <w:pPr>
              <w:spacing w:before="0" w:after="0"/>
              <w:rPr>
                <w:rFonts w:ascii="Times New Roman" w:hAnsi="Times New Roman"/>
                <w:sz w:val="24"/>
              </w:rPr>
            </w:pPr>
            <w:r>
              <w:rPr>
                <w:rFonts w:ascii="Times New Roman" w:hAnsi="Times New Roman"/>
                <w:sz w:val="24"/>
              </w:rPr>
              <w:t>Securitiseringspositioner omfattet af SEC-ERBA, hvor de kompetente myndigheder har udelukket anvendelsen af SEC-IRBA eller SEC-SA i overensstemmelse med artikel 254, stk. 4, eller artikel 258, stk. 2, i forordning (EU) nr. 575/2013</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FØLGE HIERARKIET AF METODER </w:t>
            </w:r>
          </w:p>
          <w:p w14:paraId="630EB1BF" w14:textId="77777777" w:rsidR="00E026FB" w:rsidRPr="002A677E" w:rsidRDefault="00E026FB" w:rsidP="00E10B85">
            <w:pPr>
              <w:spacing w:before="0" w:after="0"/>
              <w:rPr>
                <w:rFonts w:ascii="Times New Roman" w:hAnsi="Times New Roman"/>
                <w:b/>
                <w:sz w:val="24"/>
                <w:u w:val="single"/>
              </w:rPr>
            </w:pPr>
          </w:p>
          <w:p w14:paraId="45C5D104" w14:textId="7B647F3B" w:rsidR="00E026FB" w:rsidRPr="002A677E" w:rsidRDefault="00E026FB" w:rsidP="00E10B85">
            <w:pPr>
              <w:spacing w:before="0" w:after="0"/>
              <w:rPr>
                <w:rFonts w:ascii="Times New Roman" w:hAnsi="Times New Roman"/>
                <w:sz w:val="24"/>
              </w:rPr>
            </w:pPr>
            <w:r>
              <w:rPr>
                <w:rFonts w:ascii="Times New Roman" w:hAnsi="Times New Roman"/>
                <w:sz w:val="24"/>
              </w:rPr>
              <w:t>Securitiseringspositioner, hvor SEC-ERBA anvendes ved at følge hierarkiet af metoder i artikel 254, stk. 1, i forordning (EU) nr. 575/2013</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DEN INTERNE VURDERINGSMETODE</w:t>
            </w:r>
          </w:p>
          <w:p w14:paraId="61F8B33A" w14:textId="77777777" w:rsidR="00E026FB" w:rsidRPr="002A677E" w:rsidRDefault="00E026FB" w:rsidP="00E10B85">
            <w:pPr>
              <w:spacing w:before="0" w:after="0"/>
              <w:jc w:val="left"/>
              <w:rPr>
                <w:rFonts w:ascii="Times New Roman" w:hAnsi="Times New Roman"/>
                <w:sz w:val="24"/>
              </w:rPr>
            </w:pPr>
          </w:p>
          <w:p w14:paraId="1D009A27" w14:textId="23ACD098" w:rsidR="00E026FB" w:rsidRPr="002A677E" w:rsidRDefault="008F2C6B" w:rsidP="00E10B85">
            <w:pPr>
              <w:spacing w:before="0" w:after="0"/>
              <w:rPr>
                <w:rFonts w:ascii="Times New Roman" w:hAnsi="Times New Roman"/>
                <w:sz w:val="24"/>
              </w:rPr>
            </w:pPr>
            <w:r>
              <w:rPr>
                <w:rFonts w:ascii="Times New Roman" w:hAnsi="Times New Roman"/>
                <w:sz w:val="24"/>
              </w:rPr>
              <w:t>Artikel 254, stk. 5, i</w:t>
            </w:r>
            <w:bookmarkStart w:id="418" w:name="_Hlk73564575"/>
            <w:bookmarkEnd w:id="418"/>
            <w:r>
              <w:rPr>
                <w:rFonts w:ascii="Times New Roman" w:hAnsi="Times New Roman"/>
                <w:sz w:val="24"/>
              </w:rPr>
              <w:t xml:space="preserve"> forordning (EU) nr. 575/2013 om den interne vurderingsmetode for positioner i ABCP-programmer</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OPDELING EFTER RW-INTERVALLER</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Eksponeringer omfattet af den interne vurderingsmetode opdelt efter risikovægtintervaller</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Pr>
                <w:rFonts w:ascii="Times New Roman" w:hAnsi="Times New Roman"/>
                <w:b/>
                <w:sz w:val="24"/>
                <w:u w:val="single"/>
              </w:rPr>
              <w:t>SÆRLIG BEHANDLING AF FORANSTILLEDE TRANCHER AF KVALIFICERENDE NPE-SECURITISERINGER</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423CBC20" w:rsidR="00401E48" w:rsidRPr="002A677E" w:rsidRDefault="00401E48" w:rsidP="00E10B85">
            <w:pPr>
              <w:spacing w:before="0" w:after="0"/>
              <w:jc w:val="left"/>
              <w:rPr>
                <w:rFonts w:ascii="Times New Roman" w:hAnsi="Times New Roman"/>
                <w:sz w:val="24"/>
              </w:rPr>
            </w:pPr>
            <w:r>
              <w:rPr>
                <w:rFonts w:ascii="Times New Roman" w:hAnsi="Times New Roman"/>
                <w:sz w:val="24"/>
              </w:rPr>
              <w:t>Artikel 269a, stk. 3, i forordning (EU) nr. 575/2013</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ANDRE (RW = 1 250 %)</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2F09EFF8" w:rsidR="00E026FB" w:rsidRPr="002A677E" w:rsidRDefault="00D021AF" w:rsidP="00E10B85">
            <w:pPr>
              <w:spacing w:before="0" w:after="0"/>
              <w:jc w:val="left"/>
              <w:rPr>
                <w:rFonts w:ascii="Times New Roman" w:hAnsi="Times New Roman"/>
                <w:sz w:val="24"/>
              </w:rPr>
            </w:pPr>
            <w:r>
              <w:rPr>
                <w:rFonts w:ascii="Times New Roman" w:hAnsi="Times New Roman"/>
                <w:sz w:val="24"/>
              </w:rPr>
              <w:t>Hvis ingen af de foregående metoder anvendes, tildeles securitiseringspositioner en risikovægt på 1 250 % i overensstemmelse med artikel 254, stk. 7, i forordning (EU) nr. 575/2013.</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RISIKOVÆGTET EKSPONERING</w:t>
            </w:r>
          </w:p>
          <w:p w14:paraId="2E54CEC8" w14:textId="77777777" w:rsidR="00E026FB" w:rsidRPr="002A677E" w:rsidRDefault="00E026FB" w:rsidP="00E10B85">
            <w:pPr>
              <w:spacing w:before="0" w:after="0"/>
              <w:jc w:val="left"/>
              <w:rPr>
                <w:rFonts w:ascii="Times New Roman" w:hAnsi="Times New Roman"/>
                <w:sz w:val="24"/>
              </w:rPr>
            </w:pPr>
          </w:p>
          <w:p w14:paraId="068D9CF6" w14:textId="15687E79" w:rsidR="00E026FB" w:rsidRPr="002A677E" w:rsidRDefault="00E026FB" w:rsidP="00E10B85">
            <w:pPr>
              <w:spacing w:before="0" w:after="0"/>
              <w:rPr>
                <w:rFonts w:ascii="Times New Roman" w:hAnsi="Times New Roman"/>
                <w:sz w:val="24"/>
              </w:rPr>
            </w:pPr>
            <w:r>
              <w:rPr>
                <w:rFonts w:ascii="Times New Roman" w:hAnsi="Times New Roman"/>
                <w:sz w:val="24"/>
              </w:rPr>
              <w:t xml:space="preserve">Den samlede risikovægtede eksponering beregnet i henhold til tredje del, afsnit II, kapitel 5, afdeling 3, i forordning (EU) nr. 575/2013 inden justeringer som følge af manglende løbetidsmatch eller overtrædelse af bestemmelserne om rettidig omhu og eksklusive risikovægtet eksponering svarende til eksponeringer, der er omfordelt via overførsler til et andet skema.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INTERN VURDERING: GENNEMSNITLIG RISIKOVÆGT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De eksponeringsvægtede gennemsnitlige risikovægte for securitiseringspositioner indberettes i denne kolonne.</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RISIKOVÆGTET EKSPONERING — HERAF: SYNTETISKE SECURITISERINGER</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rPr>
            </w:pPr>
            <w:r>
              <w:rPr>
                <w:rFonts w:ascii="Times New Roman" w:hAnsi="Times New Roman"/>
                <w:sz w:val="24"/>
              </w:rPr>
              <w:t>For syntetiske securitiseringer med manglende løbetidsmatch tages der for det beløb, der indberettes i denne kolonne, ikke højde for manglende løbetidsmatch.</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JUSTERING AF DEN RISIKOVÆGTEDE EKSPONERING SOM FØLGE AF MANGLENDE LØBETIDSMATCH</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7F055957" w:rsidR="00E026FB" w:rsidRPr="002A677E" w:rsidRDefault="008F2C6B" w:rsidP="00E10B85">
            <w:pPr>
              <w:spacing w:before="0" w:after="0"/>
              <w:rPr>
                <w:rFonts w:ascii="Times New Roman" w:hAnsi="Times New Roman"/>
                <w:sz w:val="24"/>
              </w:rPr>
            </w:pPr>
            <w:r>
              <w:rPr>
                <w:rFonts w:ascii="Times New Roman" w:hAnsi="Times New Roman"/>
                <w:sz w:val="24"/>
              </w:rPr>
              <w:t>Manglende løbetidsmatch i syntetiske securitiseringer RW*-RW(SP), som beregnet i overensstemmelse med artikel 252 i forordning (EU) nr. 575/2013, medtages, medmindre der er tale om trancher pålagt en risikovægt på 1 250 %, hvor det indberettede beløb er nul. RW(SP) omfatter ikke kun de risikovægtede eksponeringer indberettet i kolonne 0650, men også risikovægtede eksponeringer svarende til eksponeringer, der er omfordelt via overførsler til andre skemaer.</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0880</w:t>
            </w:r>
          </w:p>
        </w:tc>
        <w:tc>
          <w:tcPr>
            <w:tcW w:w="7436" w:type="dxa"/>
          </w:tcPr>
          <w:p w14:paraId="0682A7E4" w14:textId="3C164E9F"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GENEREL VIRKNING (JUSTERING) SOM FØLGE AF OVERTRÆDELSE AF KAPITEL 2 I FORORDNING (EU) 2017/2402</w:t>
            </w:r>
            <w:r>
              <w:rPr>
                <w:rStyle w:val="FootnoteReference"/>
                <w:rFonts w:ascii="Times New Roman" w:hAnsi="Times New Roman"/>
                <w:sz w:val="24"/>
                <w:szCs w:val="24"/>
                <w:vertAlign w:val="superscript"/>
                <w:lang w:eastAsia="es-ES_tradnl"/>
              </w:rPr>
              <w:footnoteReference w:id="6"/>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638BF7A4" w:rsidR="00E026FB" w:rsidRPr="002A677E" w:rsidRDefault="00BB22D4" w:rsidP="00E10B85">
            <w:pPr>
              <w:spacing w:before="0" w:after="0"/>
              <w:jc w:val="left"/>
              <w:rPr>
                <w:rFonts w:ascii="Times New Roman" w:eastAsia="Arial" w:hAnsi="Times New Roman"/>
                <w:sz w:val="24"/>
              </w:rPr>
            </w:pPr>
            <w:r>
              <w:rPr>
                <w:rFonts w:ascii="Times New Roman" w:hAnsi="Times New Roman"/>
                <w:sz w:val="24"/>
              </w:rPr>
              <w:t xml:space="preserve">I henhold til artikel 270a i forordning (EU) nr. 575/2013 skal de kompetente myndigheder, når visse krav ikke opfyldes af instituttet, pålægge en forholdsmæssig supplerende risikovægt på mindst 250 % (og højst 1 250 %) af den risikovægt, som ville finde anvendelse på de relevante securitiseringspositioner i henhold til tredje del, afsnit II, kapitel 5, afdeling 3, i forordning (EU) nr. 575/2013.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FØR LOFT</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64D55877" w:rsidR="00E026FB" w:rsidRPr="002A677E" w:rsidRDefault="00E026FB" w:rsidP="00E10B85">
            <w:pPr>
              <w:spacing w:before="0" w:after="0"/>
              <w:jc w:val="left"/>
              <w:rPr>
                <w:rFonts w:ascii="Times New Roman" w:eastAsia="Arial" w:hAnsi="Times New Roman"/>
                <w:sz w:val="24"/>
              </w:rPr>
            </w:pPr>
            <w:r>
              <w:rPr>
                <w:rFonts w:ascii="Times New Roman" w:hAnsi="Times New Roman"/>
                <w:sz w:val="24"/>
              </w:rPr>
              <w:t>Den samlede risikovægtede eksponering beregnet i henhold til tredje del, afsnit II, kapitel 5, afdeling 3, i forordning (EU) nr. 575/2013 før anvendelse af de grænser, der er fastsat i nævnte forordnings artikel 267 og 268, eller i tilfælde af kvalificerende traditionelle NPE-securitiseringer, før anvendelse af artikel 269a i forordning (EU) nr. 575/2013.</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REDUKTION SOM FØLGE AF LOFT OVER RISIKOVÆGT</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6160FCFB" w:rsidR="00E026FB" w:rsidRPr="002A677E" w:rsidRDefault="00BB22D4" w:rsidP="00E10B85">
            <w:pPr>
              <w:spacing w:before="0" w:after="0"/>
              <w:jc w:val="left"/>
              <w:rPr>
                <w:rFonts w:ascii="Times New Roman" w:hAnsi="Times New Roman"/>
                <w:sz w:val="24"/>
              </w:rPr>
            </w:pPr>
            <w:r>
              <w:rPr>
                <w:rFonts w:ascii="Times New Roman" w:hAnsi="Times New Roman"/>
                <w:sz w:val="24"/>
              </w:rPr>
              <w:t>I henhold til artikel 267 i forordning (EU) nr. 575/2013 kan et institut, som til enhver tid har kendskab til de underliggende eksponeringers sammensætning, tildele en foranstillet securitiseringsposition en maksimumsrisikovægt svarende til den eksponeringsvægtede gennemsnitsrisikovægt, som ville finde anvendelse på de underliggende eksponeringer, som om de ikke var blevet securitiseret. For kvalificerende traditionelle NPE-securitiseringer finder artikel 269a i forordning (EU) nr. 575/2013, særlig stk. 6 og 7, anvendelse.</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REDUKTION SOM FØLGE AF GENERELT LOFT</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4370A34D" w:rsidR="00E026FB" w:rsidRPr="002A677E" w:rsidRDefault="00BB22D4" w:rsidP="00E10B85">
            <w:pPr>
              <w:spacing w:before="0" w:after="0"/>
              <w:jc w:val="left"/>
              <w:rPr>
                <w:rFonts w:ascii="Times New Roman" w:hAnsi="Times New Roman"/>
                <w:sz w:val="24"/>
              </w:rPr>
            </w:pPr>
            <w:r>
              <w:rPr>
                <w:rFonts w:ascii="Times New Roman" w:hAnsi="Times New Roman"/>
                <w:sz w:val="24"/>
              </w:rPr>
              <w:t>I henhold til artikel 268 i forordning (EU) nr. 575/2013 kan et eksponeringsleverende institut, et organiserende institut eller et andet institut, som anvender SEC-IRBA, og et eksponeringsleverende institut eller et organiserende institut, som anvender SEC-SA eller SEC-ERBA, anvende et maksimumskapitalkrav for den securitiseringsposition, som det besidder, svarende til de kapitalkrav, som ville blive beregnet i henhold til tredje del, afsnit II, kapitel 2 eller 3, i forordning (EU) nr. 575/2013, for de underliggende eksponeringer, som om de ikke var blevet securitiseret. For kvalificerende traditionelle NPE-securitiseringer finder artikel 269a i forordning (EU) nr. 575/2013, særlig stk. 5 og 7, anvendelse.</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SAMLET RISIKOVÆGTET EKSPONERING:</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54DE4628" w:rsidR="00E026FB" w:rsidRPr="002A677E" w:rsidRDefault="00E026FB" w:rsidP="00E10B85">
            <w:pPr>
              <w:spacing w:before="0" w:after="0"/>
              <w:jc w:val="left"/>
              <w:rPr>
                <w:rFonts w:ascii="Times New Roman" w:hAnsi="Times New Roman"/>
                <w:b/>
                <w:sz w:val="24"/>
                <w:u w:val="single"/>
              </w:rPr>
            </w:pPr>
            <w:r>
              <w:rPr>
                <w:rFonts w:ascii="Times New Roman" w:hAnsi="Times New Roman"/>
                <w:sz w:val="24"/>
              </w:rPr>
              <w:lastRenderedPageBreak/>
              <w:t>Den samlede risikovægtede eksponering beregnet i henhold til tredje del, afsnit II, kapitel 5, afdeling 3, i forordning (EU) nr. 575/2013 under hensyntagen til den samlede risikovægt som anført i artikel 247, stk. 6, i nævnte forordning.</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MEMORANDUMPOST: RISIKOVÆGTET EKSPONERING SVARENDE TIL OVERFØRSLER FRA SECURITISERINGER TIL ANDRE EKSPONERINGSKLASSER</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Pr>
                <w:rFonts w:ascii="Times New Roman" w:hAnsi="Times New Roman"/>
                <w:sz w:val="24"/>
              </w:rPr>
              <w:t>Risikovægtet eksponering, der opstår som følge af eksponeringer, der er omfordelt til udbyderen af foranstaltninger til kreditrisikoreduktion og derfor beregnes i det tilsvarende skema, som indgår i beregningen af loftet for securitiseringspositioner.</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7777777" w:rsidR="00E026FB" w:rsidRPr="002A677E" w:rsidRDefault="008F3052" w:rsidP="00487A02">
      <w:pPr>
        <w:pStyle w:val="InstructionsText2"/>
        <w:numPr>
          <w:ilvl w:val="0"/>
          <w:numId w:val="0"/>
        </w:numPr>
        <w:ind w:left="1353" w:hanging="360"/>
      </w:pPr>
      <w:fldSimple w:instr=" seq paragraphs ">
        <w:r>
          <w:t>109</w:t>
        </w:r>
      </w:fldSimple>
      <w:r>
        <w:t>.</w:t>
      </w:r>
      <w:r>
        <w:tab/>
        <w:t xml:space="preserve"> Skemaet er opdelt i tre hovedblokke af rækker, hvor der indsamles data om de indgåede/organiserede/ikkeafhændede eller erhvervede eksponeringer efter eksponeringsleverende institutter, organiserende institutter og investorer. For hver af disse er oplysningerne opdelt efter balanceførte og ikkebalanceførte poster og derivater, og hvorvidt de er omfattet af differentieret kapitalbehandling eller ej.</w:t>
      </w:r>
    </w:p>
    <w:p w14:paraId="3E41D4CD" w14:textId="77777777" w:rsidR="00E026FB" w:rsidRPr="002A677E" w:rsidRDefault="008F3052" w:rsidP="00487A02">
      <w:pPr>
        <w:pStyle w:val="InstructionsText2"/>
        <w:numPr>
          <w:ilvl w:val="0"/>
          <w:numId w:val="0"/>
        </w:numPr>
        <w:ind w:left="1353" w:hanging="360"/>
      </w:pPr>
      <w:fldSimple w:instr=" seq paragraphs ">
        <w:r>
          <w:t>110</w:t>
        </w:r>
      </w:fldSimple>
      <w:r>
        <w:t>. Positioner, der behandles i overensstemmelse med SEC-ERBA, og ikkeratede positioner (eksponeringer pr. indberetningsdatoen) er opdelt efter kreditkvalitetstrin anvendt ved udformningen (sidste blok af rækker). Eksponeringsleverende institutter, organiserende institutter og investorinstitutter skal indberette disse oplysninger.</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Rækker</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SAMLEDE EKSPONERINGER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De samlede eksponeringer henviser til det samlede beløb for udestående securitiseringer og resecuritiseringer. I denne række opsummeres alle de oplysninger, der indberettes af eksponeringsleverende institutter, organiserende institutter og investorinstitutter i de efterfølgende rækker.</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SECURITISERINGSPOSITIONER</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7839278E"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Det samlede beløb for udestående securitiseringspositioner, som defineret i artikel 4, stk. 1, nr. 62), i forordning (EU) nr. 575/2013, som ikke er resecuritiseringer, som defineret i artikel 4, stk. 1, nr. 63), i forordning (EU) nr. 575/2013.</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DER ER BERETTIGEDE TIL DIFFERENTIERET KAPITALBEHANDLING</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Det samlede beløb for securitiseringspositioner, som opfylder kriterierne i artikel 243, 270 eller 494c i forordning (EU) nr. 575/2013 og derfor er berettigede til differentieret kapitalbehandling.</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EKSPONERINGER I TRADITIONELLE STS-ABCP-SECURITISERINGER OG IKKE-ABCP-SECURITISERINGER</w:t>
            </w:r>
          </w:p>
          <w:p w14:paraId="6DABA773" w14:textId="32E2D934"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Det samlede beløb for STS-securitiseringspositioner, som opfylder kravene i artikel 243 i forordning (EU) nr. 575/2013.</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FORANSTILLEDE POSITIONER I SYNTETISKE SMV-SECURITISERINGER, DER ER OMFATTET AF OVERGANGSBESTEMMELSER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Det samlede beløb for foranstillede positioner i syntetiske securitiseringer i SMV'er, der er omfattet af overgangsbestemmelser, og som opfylder betingelserne i artikel 494c i forordning (EU) nr. 575/2013.</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FORANSTILLEDE POSITIONER I BALANCEFØRTE STS-SECURITISERINGER</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2A677E" w:rsidRDefault="00F530D8" w:rsidP="00F530D8">
            <w:pPr>
              <w:autoSpaceDE w:val="0"/>
              <w:autoSpaceDN w:val="0"/>
              <w:adjustRightInd w:val="0"/>
              <w:spacing w:before="0" w:after="0"/>
              <w:jc w:val="left"/>
              <w:rPr>
                <w:rFonts w:ascii="Times New Roman" w:hAnsi="Times New Roman"/>
                <w:sz w:val="24"/>
              </w:rPr>
            </w:pPr>
            <w:r>
              <w:rPr>
                <w:rFonts w:ascii="Times New Roman" w:hAnsi="Times New Roman"/>
                <w:sz w:val="24"/>
              </w:rPr>
              <w:t>Det samlede beløb for foranstillede securitiseringspositioner i balanceførte STS-securitisationer, som opfylder betingelsernei artikel 270 i forordning (EU) nr. 575/2013.</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0060, 0120, 0170, 0240, 0290, 0360 og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DER IKKE ER BERETTIGEDE TIL DIFFERENTIERET KAPITALBEHANDLING</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2A677E" w:rsidRDefault="001E0C80" w:rsidP="001E0C80">
            <w:pPr>
              <w:autoSpaceDE w:val="0"/>
              <w:autoSpaceDN w:val="0"/>
              <w:adjustRightInd w:val="0"/>
              <w:spacing w:before="0" w:after="0"/>
              <w:jc w:val="left"/>
              <w:rPr>
                <w:rFonts w:ascii="Times New Roman" w:hAnsi="Times New Roman"/>
                <w:sz w:val="24"/>
              </w:rPr>
            </w:pPr>
            <w:r>
              <w:rPr>
                <w:rFonts w:ascii="Times New Roman" w:hAnsi="Times New Roman"/>
                <w:sz w:val="24"/>
              </w:rPr>
              <w:t>Artikel 254, stk. 1, 4, 5 og 6, og artikel 259, 261, 263, 265, 266 og 269 i forordning (EU) nr. 575/2013</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rPr>
            </w:pPr>
            <w:r>
              <w:rPr>
                <w:rFonts w:ascii="Times New Roman" w:hAnsi="Times New Roman"/>
                <w:sz w:val="24"/>
              </w:rPr>
              <w:t>Det samlede beløb for securitiseringspositioner, som ikke er berettigede til differentieret kapitalbehandling.</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 0190, 0310 og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RESECURITISERINGSPOSITIONER</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3AF73D6" w:rsidR="00E026FB" w:rsidRPr="002A677E"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Det samlede beløb for udestående resecuritiseringspositioner, som defineret i artikel 4, stk. 1, nr. 64), i forordning (EU) nr. 575/2013.</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EKSPONERINGSLEVERENDE INSTITUT: SAMLEDE EKSPONERINGER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3CFBBF5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 denne række opsummeres oplysninger om balanceførte poster, ikkebalanceførte poster og derivater af de securitiserings- og resecuritiseringspositioner, hvor instituttet er det eksponeringsleverende institut, jf. definitionen i artikel 4, stk. 1, nr. 13), i forordning (EU) nr. 575/2013.</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0090-0136, 0210-0250 og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SECURITISERINGSPOSITIONER: BALANCEFØRTE POSTER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33E4F6C7" w:rsidR="00E026FB" w:rsidRPr="002A677E"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I henhold til artikel 248, stk. 1, litra a), i forordning (EU) nr. 575/2013 er eksponeringsværdien af en balanceført securitiseringsposition dens regnskabsmæssige værdi efter justeringer af securitiseringspositionen for enhver relevant specifik kreditrisiko i overensstemmelse med artikel 110 i forordning (EU) nr. 575/2013.</w:t>
            </w:r>
          </w:p>
          <w:p w14:paraId="143E9F98" w14:textId="3912813E"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Balanceførte poster opdeles for at indberette oplysninger om anvendelse af differentieret kapitalbehandling, jf. artikel 243 i forordning (EU) nr. 575/2013, i række 0100 og 0120, og om det samlede beløb for foranstillede securitiseringspositioner, jf. artikel 242, nr. 6), i nævnte forordning, i række 0110 og 0130.</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 0220 og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DER ER BERETTIGEDE TIL DIFFERENTIERET KAPITALBEHANDLING</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Det samlede beløb for securitiseringspositioner, som opfylder kriterierne i artikel 243 i forordning (EU) nr. 575/2013 og derfor er berettigede til differentieret kapitalbehandling.</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 0131, 0134, 0160, 0180, 0230, 0251, 0254, 0280, 0300, 0350, 0371, 0374 0400 og 0420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HERAF: FORANSTILLEDE EKSPONERINGER</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7C04503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Det samlede beløb for foranstillede securitiseringspositioner, som defineret i artikel 242, nr. 6), i forordning (EU) nr. 575/2013.</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0121, 0241 og 0361</w:t>
            </w:r>
          </w:p>
        </w:tc>
        <w:tc>
          <w:tcPr>
            <w:tcW w:w="7889" w:type="dxa"/>
          </w:tcPr>
          <w:p w14:paraId="1639AA56" w14:textId="5E1483C4" w:rsidR="007421F4" w:rsidRPr="001235ED" w:rsidRDefault="00086A31" w:rsidP="007421F4">
            <w:pPr>
              <w:spacing w:before="0" w:after="0"/>
              <w:rPr>
                <w:rFonts w:ascii="Times New Roman" w:hAnsi="Times New Roman"/>
                <w:b/>
                <w:sz w:val="24"/>
                <w:u w:val="single"/>
              </w:rPr>
            </w:pPr>
            <w:r>
              <w:rPr>
                <w:rFonts w:ascii="Times New Roman" w:hAnsi="Times New Roman"/>
                <w:b/>
                <w:sz w:val="24"/>
                <w:u w:val="single"/>
              </w:rPr>
              <w:t>EKSPONERINGER I IKKE-NPE-SECURITISERINGER</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527D9209" w:rsidR="007421F4" w:rsidRPr="001235ED" w:rsidRDefault="00F530D8"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Det samlede beløb for eksponeringer, som ikke opfylder kravene i artikel 269a, stk. 1, litra a), i forordning (EU) nr. 575/2013.</w:t>
            </w:r>
          </w:p>
          <w:p w14:paraId="1AEC65F1" w14:textId="09C51B87" w:rsidR="00F530D8" w:rsidRPr="001235ED" w:rsidRDefault="00F530D8" w:rsidP="007421F4">
            <w:pPr>
              <w:autoSpaceDE w:val="0"/>
              <w:autoSpaceDN w:val="0"/>
              <w:adjustRightInd w:val="0"/>
              <w:spacing w:before="0" w:after="0"/>
              <w:jc w:val="left"/>
              <w:rPr>
                <w:rFonts w:ascii="Times New Roman" w:hAnsi="Times New Roman"/>
                <w:b/>
                <w:sz w:val="24"/>
                <w:u w:val="single"/>
                <w:lang w:val="en-US"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0133, 0253 og 0373</w:t>
            </w:r>
          </w:p>
        </w:tc>
        <w:tc>
          <w:tcPr>
            <w:tcW w:w="7889" w:type="dxa"/>
          </w:tcPr>
          <w:p w14:paraId="06075A51" w14:textId="20F6CB58" w:rsidR="005C7542" w:rsidRPr="00CE797B" w:rsidRDefault="00086A31" w:rsidP="007421F4">
            <w:pPr>
              <w:spacing w:before="0" w:after="0"/>
              <w:rPr>
                <w:rFonts w:ascii="Times New Roman" w:hAnsi="Times New Roman"/>
                <w:b/>
                <w:sz w:val="24"/>
                <w:u w:val="single"/>
              </w:rPr>
            </w:pPr>
            <w:r>
              <w:rPr>
                <w:rFonts w:ascii="Times New Roman" w:hAnsi="Times New Roman"/>
                <w:b/>
                <w:sz w:val="24"/>
                <w:u w:val="single"/>
              </w:rPr>
              <w:t>EKSPONERINGER I NPE-SECURITISERINGER</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36583431" w:rsidR="00086A31" w:rsidRPr="002A677E" w:rsidRDefault="000A6BBC" w:rsidP="007421F4">
            <w:pPr>
              <w:spacing w:before="0" w:after="0"/>
              <w:rPr>
                <w:rFonts w:ascii="Times New Roman" w:hAnsi="Times New Roman"/>
                <w:sz w:val="24"/>
              </w:rPr>
            </w:pPr>
            <w:r>
              <w:rPr>
                <w:rFonts w:ascii="Times New Roman" w:hAnsi="Times New Roman"/>
                <w:sz w:val="24"/>
              </w:rPr>
              <w:t>Det samlede beløb for eksponeringer, som opfylder kravene i artikel 269a, stk. 1, litra a), i forordning (EU) nr. 575/2013.</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og 0374 </w:t>
            </w:r>
          </w:p>
        </w:tc>
        <w:tc>
          <w:tcPr>
            <w:tcW w:w="7889" w:type="dxa"/>
          </w:tcPr>
          <w:p w14:paraId="214FD62A" w14:textId="4EE2D666" w:rsidR="00086A31" w:rsidRPr="002A677E" w:rsidRDefault="006D2499" w:rsidP="007421F4">
            <w:pPr>
              <w:spacing w:before="0" w:after="0"/>
              <w:rPr>
                <w:rFonts w:ascii="Times New Roman" w:hAnsi="Times New Roman"/>
                <w:b/>
                <w:sz w:val="24"/>
                <w:u w:val="single"/>
              </w:rPr>
            </w:pPr>
            <w:r>
              <w:rPr>
                <w:rFonts w:ascii="Times New Roman" w:hAnsi="Times New Roman"/>
                <w:b/>
                <w:sz w:val="24"/>
                <w:u w:val="single"/>
              </w:rPr>
              <w:t>HERAF: FORANSTILLEDE EKSPONERINGER I KVALIFICERENDE TRADITIONELLE NPE-SECURITISERINGER</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0762FAE0" w:rsidR="006D2499" w:rsidRPr="002A677E" w:rsidRDefault="000A6BBC" w:rsidP="006D2499">
            <w:pPr>
              <w:spacing w:before="0" w:after="0"/>
              <w:rPr>
                <w:rFonts w:ascii="Times New Roman" w:hAnsi="Times New Roman"/>
                <w:sz w:val="24"/>
              </w:rPr>
            </w:pPr>
            <w:r>
              <w:rPr>
                <w:rFonts w:ascii="Times New Roman" w:hAnsi="Times New Roman"/>
                <w:sz w:val="24"/>
              </w:rPr>
              <w:t>Det samlede beløb for eksponeringer, som opfylder kravene i artikel 269a, stk. 1, litra b), i forordning (EU) nr. 575/2013.</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rPr>
            </w:pPr>
            <w:r>
              <w:rPr>
                <w:rFonts w:ascii="Times New Roman" w:hAnsi="Times New Roman"/>
                <w:sz w:val="24"/>
              </w:rPr>
              <w:t>0135, 0255 og 0375</w:t>
            </w:r>
          </w:p>
        </w:tc>
        <w:tc>
          <w:tcPr>
            <w:tcW w:w="7889" w:type="dxa"/>
          </w:tcPr>
          <w:p w14:paraId="0AB20156" w14:textId="77777777" w:rsidR="00086A31" w:rsidRPr="002A677E" w:rsidRDefault="006D2499" w:rsidP="00E10B85">
            <w:pPr>
              <w:spacing w:before="0" w:after="0"/>
              <w:rPr>
                <w:rFonts w:ascii="Times New Roman" w:hAnsi="Times New Roman"/>
                <w:b/>
                <w:sz w:val="24"/>
                <w:u w:val="single"/>
              </w:rPr>
            </w:pPr>
            <w:r>
              <w:rPr>
                <w:rFonts w:ascii="Times New Roman" w:hAnsi="Times New Roman"/>
                <w:b/>
                <w:sz w:val="24"/>
                <w:u w:val="single"/>
              </w:rPr>
              <w:t>HERAF: FORANSTILLEDE EKSPONERINGER I IKKE-KVALIFICERENDE TRADITIONELLE NPE-SECURITISERINGER</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70D71C3B" w:rsidR="00F530D8" w:rsidRPr="002A677E" w:rsidRDefault="00F530D8" w:rsidP="00F530D8">
            <w:pPr>
              <w:autoSpaceDE w:val="0"/>
              <w:autoSpaceDN w:val="0"/>
              <w:adjustRightInd w:val="0"/>
              <w:spacing w:before="0" w:after="0"/>
              <w:jc w:val="left"/>
              <w:rPr>
                <w:rFonts w:ascii="Times New Roman" w:hAnsi="Times New Roman"/>
                <w:b/>
                <w:sz w:val="24"/>
                <w:u w:val="single"/>
              </w:rPr>
            </w:pPr>
            <w:r>
              <w:rPr>
                <w:rFonts w:ascii="Times New Roman" w:hAnsi="Times New Roman"/>
                <w:sz w:val="24"/>
              </w:rPr>
              <w:t>Det samlede beløb for eksponeringer, som ikke opfylder kravene i artikel 269a, stk. 1, litra b), i forordning (EU) nr. 575/2013.</w:t>
            </w:r>
          </w:p>
          <w:p w14:paraId="5A2408D0" w14:textId="31DBB1E9" w:rsidR="00F530D8" w:rsidRPr="001235ED" w:rsidRDefault="00F530D8" w:rsidP="00E10B85">
            <w:pPr>
              <w:spacing w:before="0" w:after="0"/>
              <w:rPr>
                <w:rFonts w:ascii="Times New Roman" w:hAnsi="Times New Roman"/>
                <w:b/>
                <w:sz w:val="24"/>
                <w:u w:val="single"/>
                <w:lang w:val="en-US"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0136, 0256 og 0376</w:t>
            </w:r>
          </w:p>
        </w:tc>
        <w:tc>
          <w:tcPr>
            <w:tcW w:w="7889" w:type="dxa"/>
          </w:tcPr>
          <w:p w14:paraId="191E167F" w14:textId="77777777" w:rsidR="007D0ABB" w:rsidRPr="002A677E" w:rsidRDefault="007D0ABB" w:rsidP="00E10B85">
            <w:pPr>
              <w:spacing w:before="0" w:after="0"/>
              <w:rPr>
                <w:rFonts w:ascii="Times New Roman" w:hAnsi="Times New Roman"/>
                <w:b/>
                <w:sz w:val="24"/>
                <w:u w:val="single"/>
              </w:rPr>
            </w:pPr>
            <w:r>
              <w:rPr>
                <w:rFonts w:ascii="Times New Roman" w:hAnsi="Times New Roman"/>
                <w:b/>
                <w:sz w:val="24"/>
                <w:u w:val="single"/>
              </w:rPr>
              <w:t>HERAF: IKKE-FORANSTILLEDE EKSPONERINGER I KVALIFICERENDE TRADITIONELLE NPE-SECURITISERINGER</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3BB61963" w:rsidR="007D0ABB" w:rsidRPr="001235ED" w:rsidRDefault="004B6F60" w:rsidP="00E10B85">
            <w:pPr>
              <w:spacing w:before="0" w:after="0"/>
              <w:rPr>
                <w:rFonts w:ascii="Times New Roman" w:hAnsi="Times New Roman"/>
                <w:sz w:val="24"/>
              </w:rPr>
            </w:pPr>
            <w:r>
              <w:rPr>
                <w:rFonts w:ascii="Times New Roman" w:hAnsi="Times New Roman"/>
                <w:sz w:val="24"/>
              </w:rPr>
              <w:t>Det samlede beløb for eksponeringer, der opfylder betingelserne i artikel 269a, stk. 1, litra a), i forordning (EU) nr. 575/2013, og som ikke opfylder betingelserne i artikel 269a, stk. 1, litra b), i forordning (EU) nr. 575/2013.</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0140-0180, 0260-0300 og 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SECURITISERINGSPOSITIONER: IKKEBALANCEFØRTE POSTER OG DERIVATER</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2A677E"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I disse rækker indsamles der oplysninger om ikkebalanceførte poster og derivatsecuritiseringspositioner, der er pålagt en konverteringsfaktor inden for securitiseringsrammen. Eksponeringsværdien for en ikkebalanceført securitiseringsposition er dens nominelle værdi fratrukket specifik kreditrisikojustering for nævnte securitiseringsposition ganget med en konverteringsfaktor på 100 %, medmindre andet angives.</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7F8B142F"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Ikkebalanceførte securitiseringspositioner, der hidrører fra et af de derivatinstrumenter, som angives i bilag II til forordning (EU) nr. 575/2013, skal fastlægges i overensstemmelse med tredje del, afsnit II, kapitel 6, i forordning (EU) nr. 575/2013. Eksponeringsværdien for en modpartsrisiko, der hidrører fra et af de derivatinstrumenter, som angives i bilag II til forordning (EU) nr. 575/2013, skal fastlægges i overensstemmelse med tredje del, afsnit II, kapitel 6, i forordning (EU) nr. 575/2013.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For likviditetsfaciliteter, kreditfaciliteter og kontante forskud skal institutter angive det ikkeudnyttede beløb.</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1592598B"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For rente- og valutaswaps skal eksponeringsværdien (beregnet i henhold til artikel 248, stk. 1, i forordning (EU) nr. 575/2013) angives.</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56E3E1A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Ikke-balanceførte poster og derivater opdeles for at indberette oplysninger om anvendelsen af differentieret kapitalbehandling, jf. artikel 270 i forordning (EU) nr. 575/2013, i række 0150 og 0170, og om det samlede beløb for foranstillede securitiseringspositioner, jf. artikel 242, nr. 6), i forordning (EU) nr. 575/2013, i række 0160 og 0180. De samme henvisninger til retsakter som for række 0100 til 0130 finder anvendelse.</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0150, 0270 og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DER ER BERETTIGEDE TIL DIFFERENTIERET KAPITALBEHANDLING</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1235ED" w:rsidRDefault="00E026FB" w:rsidP="001235ED">
            <w:pPr>
              <w:autoSpaceDE w:val="0"/>
              <w:autoSpaceDN w:val="0"/>
              <w:adjustRightInd w:val="0"/>
              <w:spacing w:before="0" w:after="0"/>
              <w:jc w:val="left"/>
              <w:rPr>
                <w:rFonts w:ascii="Times New Roman" w:hAnsi="Times New Roman"/>
                <w:sz w:val="24"/>
              </w:rPr>
            </w:pPr>
            <w:r>
              <w:rPr>
                <w:rFonts w:ascii="Times New Roman" w:hAnsi="Times New Roman"/>
                <w:sz w:val="24"/>
              </w:rPr>
              <w:t>Det samlede beløb for securitiseringspositioner, som opfylder kriterierne i artikel 243 i forordning (EU) nr. 575/2013 eller, kun for eksponeringsleverende institutter, artikel 270 eller 494c i forordning (EU) nr. 575/2013 og derfor er berettigede til differentieret kapitalbehandling.</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INVESTOR: SAMLEDE EKSPONERINGER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lastRenderedPageBreak/>
              <w:t>I denne række opsummeres oplysninger om balanceførte og ikkebalanceførte poster og derivater af de securitiserings</w:t>
            </w:r>
            <w:r>
              <w:rPr>
                <w:rFonts w:ascii="Times New Roman" w:hAnsi="Times New Roman"/>
                <w:sz w:val="24"/>
              </w:rPr>
              <w:t>- og resecuritiserings</w:t>
            </w:r>
            <w:r>
              <w:rPr>
                <w:rStyle w:val="FormatvorlageInstructionsTabelleText"/>
                <w:rFonts w:ascii="Times New Roman" w:hAnsi="Times New Roman"/>
                <w:sz w:val="24"/>
              </w:rPr>
              <w:t xml:space="preserve">positioner, hvor instituttet er investor.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Med henblik på dette skema skal investor forstås som et institut, der besidder en securitiseringsposition i en securitiseringstransaktion, hvor det hverken er eksponeringsleverende eller organiserende institut.</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ORGANISERENDE INSTITUT: SAMLEDE EKSPONERINGER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20E779D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 denne række opsummeres oplysninger om balanceførte og ikkebalanceførte poster og derivater af de securitiserings- og resecuritiseringspositioner, hvor instituttet er det organiserende institut, jf. definitionen i artikel 4, stk. 1, nr. 14), i forordning (EU) nr. 575/2013. Hvis et organiserende institut også securitiserer sine egne aktiver, skal det indsætte oplysninger om sine egne securitiserede aktiver i rækkerne for det eksponeringsleverende institut.</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OPDELING AF UDESTÅENDE POSITIONER EFTER KREDITKVALITETSTRIN VED UDFORMNINGEN</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4F25589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 disse rækker indsamles der oplysninger om udestående positioner (pr. indberetningsdatoen), for hvilke der blev fastsat et kreditkvalitetstrin (jf. artikel 263, tabel 1 og 2, og artikel 264, tabel 3 og 4, i forordning (EU) nr. 575/2013) på indgåelsesdatoen (ved udformningen). For securitiseringspositioner opgjort efter IAA er kreditkvalitetstrinnet det trin, der først blev tildelt ved en IAA-vurdering. Hvis disse oplysninger ikke er tilgængelige, indberettes de tidligste data svarende til kvalitetstrin.</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Disse rækker indberettes kun for kolonne 0180-0210, 0280, 0350-0640, 0700-0720, 0740, 0760-0830 og 0850.</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119059368"/>
      <w:r>
        <w:rPr>
          <w:rFonts w:ascii="Times New Roman" w:hAnsi="Times New Roman"/>
          <w:sz w:val="24"/>
          <w:u w:val="none"/>
        </w:rPr>
        <w:t>3.8.</w:t>
      </w:r>
      <w:r>
        <w:tab/>
      </w:r>
      <w:bookmarkEnd w:id="419"/>
      <w:r>
        <w:rPr>
          <w:rFonts w:ascii="Times New Roman" w:hAnsi="Times New Roman"/>
          <w:sz w:val="24"/>
        </w:rPr>
        <w:t>Detaljerede oplysninger om securitiseringer</w:t>
      </w:r>
      <w:bookmarkEnd w:id="420"/>
      <w:bookmarkEnd w:id="421"/>
      <w:r>
        <w:rPr>
          <w:rFonts w:ascii="Times New Roman" w:hAnsi="Times New Roman"/>
          <w:sz w:val="24"/>
        </w:rPr>
        <w:t xml:space="preserve"> (SEC DETAILS)</w:t>
      </w:r>
      <w:bookmarkEnd w:id="422"/>
      <w:bookmarkEnd w:id="423"/>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119059369"/>
      <w:r>
        <w:rPr>
          <w:rFonts w:ascii="Times New Roman" w:hAnsi="Times New Roman"/>
          <w:sz w:val="24"/>
          <w:u w:val="none"/>
        </w:rPr>
        <w:t>3.8.1.</w:t>
      </w:r>
      <w:r>
        <w:tab/>
      </w:r>
      <w:r>
        <w:rPr>
          <w:rFonts w:ascii="Times New Roman" w:hAnsi="Times New Roman"/>
          <w:sz w:val="24"/>
          <w:u w:val="none"/>
        </w:rPr>
        <w:t>Anvendelsesområdet for SEC DETAILS-skemaet</w:t>
      </w:r>
      <w:bookmarkEnd w:id="424"/>
      <w:bookmarkEnd w:id="425"/>
      <w:bookmarkEnd w:id="426"/>
      <w:bookmarkEnd w:id="427"/>
    </w:p>
    <w:bookmarkStart w:id="428" w:name="_Toc310415048"/>
    <w:bookmarkStart w:id="429" w:name="_Toc360188383"/>
    <w:bookmarkStart w:id="430" w:name="_Toc473560934"/>
    <w:p w14:paraId="526A862C" w14:textId="77777777" w:rsidR="00062A1F"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I disse skemaer indsamles der oplysninger på transaktionsbasis (i modsætning til de aggregerede oplysninger, der indberettes i CR SEC-, MKR SA SEC-, MKR SA CTP-, CA1- og CA2-skemaerne) om alle de securitiseringer, det indberettende institut er involveret i. De vigtigste elementer i hver securitisering, f.eks. arten af den underliggende pulje og kapitalgrundlagskravene, skal indberettes. </w:t>
      </w:r>
    </w:p>
    <w:p w14:paraId="5BAA1CFA" w14:textId="77777777" w:rsidR="00062A1F" w:rsidRPr="002A677E" w:rsidRDefault="008F3052" w:rsidP="00487A02">
      <w:pPr>
        <w:pStyle w:val="InstructionsText2"/>
        <w:numPr>
          <w:ilvl w:val="0"/>
          <w:numId w:val="0"/>
        </w:numPr>
        <w:ind w:left="1353" w:hanging="360"/>
      </w:pPr>
      <w:fldSimple w:instr=" seq paragraphs ">
        <w:r>
          <w:t>112</w:t>
        </w:r>
      </w:fldSimple>
      <w:r>
        <w:t>.</w:t>
      </w:r>
      <w:r>
        <w:tab/>
        <w:t xml:space="preserve"> Disse skemaer skal indgives i forbindelse med:</w:t>
      </w:r>
    </w:p>
    <w:p w14:paraId="2826783E" w14:textId="0EBDBC54" w:rsidR="002409C1" w:rsidRPr="002A677E" w:rsidRDefault="00062A1F" w:rsidP="00487A02">
      <w:pPr>
        <w:pStyle w:val="InstructionsText2"/>
        <w:numPr>
          <w:ilvl w:val="0"/>
          <w:numId w:val="0"/>
        </w:numPr>
        <w:ind w:left="1353" w:hanging="360"/>
      </w:pPr>
      <w:r>
        <w:t>a.</w:t>
      </w:r>
      <w:r>
        <w:tab/>
        <w:t>Securitiseringer, for hvilke det indberettende institut har været eksponeringsleverende/organiserende institut, herunder hvis det ikke besidder en position i securitiseringen. Hvis institutter besidder mindst én position i securitiseringen, skal de indberette oplysninger om alle de positioner, de besidder (i anlægsbeholdningen eller handelsbeholdningen), uanset om der er tale om en væsentlig risikooverfør</w:t>
      </w:r>
      <w:r>
        <w:lastRenderedPageBreak/>
        <w:t>sel eller ej. Positioner i besiddelse omfatter de positioner, der tilbageholdes i medfør af artikel 6 i forordning (EU) 2017/2402 og, hvis nævnte forordnings artikel 43, stk. 6, finder anvendelse, artikel 405 i forordning (EU) nr. 575/2013 i den udgave, der er gældende pr. 31. december 2018.</w:t>
      </w:r>
    </w:p>
    <w:p w14:paraId="66DF98B2" w14:textId="77777777" w:rsidR="00062A1F" w:rsidRPr="002A677E" w:rsidRDefault="00062A1F" w:rsidP="00487A02">
      <w:pPr>
        <w:pStyle w:val="InstructionsText2"/>
        <w:numPr>
          <w:ilvl w:val="0"/>
          <w:numId w:val="0"/>
        </w:numPr>
        <w:ind w:left="1353" w:hanging="360"/>
      </w:pPr>
      <w:r>
        <w:t>b.</w:t>
      </w:r>
      <w:r>
        <w:tab/>
        <w:t>Securitiseringer, for hvilke det sidste underliggende aktiv er finansielle forpligtelser, der oprindelig er udstedt af det indberettende institut og (delvis) erhvervet af en securitiseringsenhed. Dette underliggende aktiv kan indbefatte særligt dækkede obligationer og særligt dækkede realkreditobligationer eller andre forpligtelser og skal anføres som sådan i kolonne 0160.</w:t>
      </w:r>
    </w:p>
    <w:p w14:paraId="2AF1CB05" w14:textId="3C10AFDB" w:rsidR="00062A1F" w:rsidRPr="002A677E" w:rsidRDefault="002409C1" w:rsidP="00487A02">
      <w:pPr>
        <w:pStyle w:val="InstructionsText2"/>
        <w:numPr>
          <w:ilvl w:val="0"/>
          <w:numId w:val="0"/>
        </w:numPr>
        <w:ind w:left="1353" w:hanging="360"/>
      </w:pPr>
      <w:r>
        <w:t>c.</w:t>
      </w:r>
      <w:r>
        <w:tab/>
        <w:t>Positioner i securitiseringer, hvor det indberettende institut hverken er eksponeringsleverende eller organiserende institut (dvs. investorer og oprindelige långivere).</w:t>
      </w:r>
    </w:p>
    <w:p w14:paraId="67373E52" w14:textId="1FEEA6B4" w:rsidR="00B814CA" w:rsidRPr="002A677E" w:rsidRDefault="00B814CA" w:rsidP="001235ED">
      <w:pPr>
        <w:pStyle w:val="InstructionsText2"/>
        <w:numPr>
          <w:ilvl w:val="0"/>
          <w:numId w:val="0"/>
        </w:numPr>
        <w:ind w:left="1353"/>
      </w:pPr>
      <w:r>
        <w:t>Skema C 14.01 indberettes kun for de securitiseringspositioner, der behandles i securitiseringsrammen.</w:t>
      </w:r>
    </w:p>
    <w:p w14:paraId="190636F1" w14:textId="77777777" w:rsidR="00062A1F" w:rsidRPr="002A677E" w:rsidRDefault="008F3052" w:rsidP="00487A02">
      <w:pPr>
        <w:pStyle w:val="InstructionsText2"/>
        <w:numPr>
          <w:ilvl w:val="0"/>
          <w:numId w:val="0"/>
        </w:numPr>
        <w:ind w:left="1353" w:hanging="360"/>
      </w:pPr>
      <w:fldSimple w:instr=" seq paragraphs ">
        <w:r>
          <w:t>113</w:t>
        </w:r>
      </w:fldSimple>
      <w:r>
        <w:t>.</w:t>
      </w:r>
      <w:r>
        <w:tab/>
        <w:t xml:space="preserve"> Disse skemaer indberettes af konsoliderede koncerner og enkeltstående institutter</w:t>
      </w:r>
      <w:r>
        <w:rPr>
          <w:rStyle w:val="FootnoteReference"/>
        </w:rPr>
        <w:footnoteReference w:id="7"/>
      </w:r>
      <w:r>
        <w:t xml:space="preserve"> beliggende i det land, hvor de er omfattet af kapitalgrundlagskrav. Hvis securitiseringer omfatter mere end én enhed i den samme konsoliderede enhed, angives der detaljer for hver enhed. </w:t>
      </w:r>
    </w:p>
    <w:p w14:paraId="1E7670E7" w14:textId="77777777" w:rsidR="00062A1F" w:rsidRPr="002A677E" w:rsidRDefault="008F3052" w:rsidP="00487A02">
      <w:pPr>
        <w:pStyle w:val="InstructionsText2"/>
        <w:numPr>
          <w:ilvl w:val="0"/>
          <w:numId w:val="0"/>
        </w:numPr>
        <w:ind w:left="1353" w:hanging="360"/>
      </w:pPr>
      <w:fldSimple w:instr=" seq paragraphs ">
        <w:r>
          <w:t>114</w:t>
        </w:r>
      </w:fldSimple>
      <w:r>
        <w:t>.</w:t>
      </w:r>
      <w:r>
        <w:tab/>
        <w:t xml:space="preserve"> Som følge af artikel 5 i forordning (EU) 2017/2402, som fastlægger, at institutter, der investerer i securitiseringspositioner, skal indhente en betydelig mængde oplysninger om dem for at overholde kravene om rettidig omhu, gælder skemaets indberetningsomfang kun delvist for investorer. De skal navnlig indberette kolonne 0010-0040; 0070-0110; 0160; 0190; 0290-0300; 0310-0470.</w:t>
      </w:r>
    </w:p>
    <w:p w14:paraId="40D60DFB" w14:textId="77777777" w:rsidR="00062A1F" w:rsidRPr="002A677E" w:rsidRDefault="008F3052" w:rsidP="00487A02">
      <w:pPr>
        <w:pStyle w:val="InstructionsText2"/>
        <w:numPr>
          <w:ilvl w:val="0"/>
          <w:numId w:val="0"/>
        </w:numPr>
        <w:ind w:left="1353" w:hanging="360"/>
      </w:pPr>
      <w:fldSimple w:instr=" seq paragraphs ">
        <w:r>
          <w:t>115</w:t>
        </w:r>
      </w:fldSimple>
      <w:r>
        <w:t>.</w:t>
      </w:r>
      <w:r>
        <w:tab/>
        <w:t xml:space="preserve"> Institutter, der er oprindelige långivere (som ikke er eksponeringsleverende eller organiserende institut i samme securitisering), skal generelt udfylde skemaet i samme omfang som investorer.</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119059370"/>
      <w:r>
        <w:rPr>
          <w:rFonts w:ascii="Times New Roman" w:hAnsi="Times New Roman"/>
          <w:sz w:val="24"/>
          <w:u w:val="none"/>
        </w:rPr>
        <w:t>3.8.2. Opdeling af SEC DETAILS-skemaet</w:t>
      </w:r>
      <w:bookmarkEnd w:id="431"/>
      <w:bookmarkEnd w:id="432"/>
    </w:p>
    <w:p w14:paraId="1E73B3CF" w14:textId="42D876C7" w:rsidR="00062A1F" w:rsidRPr="002A677E" w:rsidRDefault="008F3052" w:rsidP="00487A02">
      <w:pPr>
        <w:pStyle w:val="InstructionsText2"/>
        <w:numPr>
          <w:ilvl w:val="0"/>
          <w:numId w:val="0"/>
        </w:numPr>
        <w:ind w:left="1353" w:hanging="360"/>
      </w:pPr>
      <w:fldSimple w:instr=" seq paragraphs ">
        <w:r>
          <w:t>116</w:t>
        </w:r>
      </w:fldSimple>
      <w:r>
        <w:t xml:space="preserve">. SEC DETAILS består af to skemaer. SEC DETAILS giver en generel oversigt over securitiseringerne. SEC DETAILS 2 viser en opdeling af de securitiseringspositioner, der er omfattet af kapitalgrundlagskrav i overensstemmelse med tredje del, afsnit II, kapitel 5, afdeling 3, i forordning (EU) nr. 575/2013, efter anvendt metode. </w:t>
      </w:r>
    </w:p>
    <w:p w14:paraId="57C5CCB6" w14:textId="0551906E" w:rsidR="00062A1F" w:rsidRPr="002A677E" w:rsidRDefault="008F3052" w:rsidP="00487A02">
      <w:pPr>
        <w:pStyle w:val="InstructionsText2"/>
        <w:numPr>
          <w:ilvl w:val="0"/>
          <w:numId w:val="0"/>
        </w:numPr>
        <w:ind w:left="1353" w:hanging="360"/>
      </w:pPr>
      <w:fldSimple w:instr=" seq paragraphs ">
        <w:r>
          <w:t>117</w:t>
        </w:r>
      </w:fldSimple>
      <w:r>
        <w:t xml:space="preserve">. Securitiseringspositioner i handelsbeholdningen indberettes kun i kolonne 0010-0020, 0420, 0430, 0431, 0432, 0440 og 0450-0470. I kolonne 0420, 0430 og 0440 tager institutterne højde for den risikovægt, der svarer til nettopositionens kapitalgrundlagskrav. </w:t>
      </w:r>
    </w:p>
    <w:p w14:paraId="5A4B4B04" w14:textId="5398478B" w:rsidR="00612780" w:rsidRPr="002A677E" w:rsidRDefault="00A2220F">
      <w:pPr>
        <w:pStyle w:val="Instructionsberschrift2"/>
        <w:numPr>
          <w:ilvl w:val="0"/>
          <w:numId w:val="0"/>
        </w:numPr>
        <w:ind w:left="357" w:hanging="357"/>
        <w:rPr>
          <w:rFonts w:ascii="Times New Roman" w:hAnsi="Times New Roman" w:cs="Times New Roman"/>
          <w:sz w:val="24"/>
          <w:u w:val="none"/>
        </w:rPr>
      </w:pPr>
      <w:bookmarkStart w:id="433" w:name="_Toc119059371"/>
      <w:r>
        <w:rPr>
          <w:rFonts w:ascii="Times New Roman" w:hAnsi="Times New Roman"/>
          <w:sz w:val="24"/>
          <w:u w:val="none"/>
        </w:rPr>
        <w:t>3.8.3. C 14.00 – Detaljerede oplysninger om securitiseringer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lastRenderedPageBreak/>
              <w:t>Kolonner</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INTERN KODE</w:t>
            </w:r>
          </w:p>
          <w:p w14:paraId="206B790D" w14:textId="77777777" w:rsidR="00C55547" w:rsidRPr="002A677E" w:rsidRDefault="00C55547" w:rsidP="00E10B85">
            <w:pPr>
              <w:spacing w:before="0" w:after="0"/>
              <w:jc w:val="left"/>
              <w:rPr>
                <w:rFonts w:ascii="Times New Roman" w:hAnsi="Times New Roman"/>
                <w:sz w:val="24"/>
              </w:rPr>
            </w:pPr>
          </w:p>
          <w:p w14:paraId="560FB5DF" w14:textId="77777777" w:rsidR="006C5A49"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Intern (alfanumerisk) kode, som instituttet bruger til at identificere securitiseringen.</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Den interne kode skal være knyttet til ID'et for securitiseringstransaktionen.</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 FOR SECURITISERINGEN</w:t>
            </w:r>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Kode, der bruges til juridisk registrering af securitiseringstransaktionen. Hvis den ikke foreligger, anvendes det navn, securitiseringstransaktionen er kendt under på markedet eller i instituttet i tilfælde af en intern eller privat securitisering.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Hvis ISIN (International Securities Identification Number) er tilgængeligt (dvs. for offentlige transaktioner), indberettes de tegn, der er fælles for alle trancher i securitiseringen, i denne kolonne.</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KONCERNINTERN, PRIVAT ELLER OFFENTLIG SECURITISERING?</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Af denne kolonne fremgår det, om securitiseringen er en koncernintern, privat eller offentlig securitisering.</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Institutterne skal indberette en af følgende:</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Privat placering</w:t>
            </w:r>
          </w:p>
          <w:p w14:paraId="16FB8914" w14:textId="12E5DDD6" w:rsidR="00BF67D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Koncernintern</w:t>
            </w:r>
          </w:p>
          <w:p w14:paraId="4AC6915E" w14:textId="0C967364"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Offentlig placering.</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INSTITUTTETS ROLLE: (EKSPONERINGSLEVERENDE INSTITUT/ORGANISERENDE INSTITUT/OPRINDELIG LÅNGIVER/INVESTOR)</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Institutterne skal indberette en af følgende: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Eksponeringsleverende institut:</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Organiserende institut</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Investor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Oprindelig långiver</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081862FC"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ksponeringsleverende institut som defineret i artikel 4, stk. 1, nr. 13), i forordning (EU) nr. 575/2013 og organiserende institut som defineret i artikel 4, stk. 1, nr. 14), i nævnte forordning. Investorer antages at være de institutter, på hvilke artikel 5 i forordning (EU) 2017/2402 finder anvendelse. Hvis artikel 43, stk. 5, i forordning (EU) 2017/2402 finder anvendelse, skal artikel 406 og 407 i forordning (EU) nr. 575/2013 i den udgave, der er gældende pr. 31. december 2018, finde anvendelse.</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 FOR EKSPONERINGSLEVERENDE INSTITUT</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 denne kolonne indberettes LEI-koden for det eksponeringsleverende institut, eller, hvis den ikke foreligger, den kode, som tilsynsmyndigheden har tildelt det eksponeringsleverende institut, eller, hvis den ikke foreligger, navnet på instituttet.</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Hvis der er tale om securitiseringer med flere sælgere, hvor det indberettende institut er det eksponeringsleverende eller organiserende institut eller den oprindelige långiver, skal det indberettende institut angive ID'et for alle enheder i den konsoliderede koncern, som er involveret i transaktionen (som eksponeringsleverende institut, organiserende institut eller oprindelig långiver). Hvis koden ikke er tilgængelig, eller det indberettende institut ikke kender den, indberettes navnet på instituttet.</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Hvis der er tale om securitiseringer med flere sælgere, hvor det indberettende institut besidder en position i securitiseringen som en investor, skal det indberettende institut angive ID'et for alle de forskellige eksponeringsleverende institutter, der er involveret i securitiseringen, eller det ikke foreligger, navnene på de forskellige eksponeringsleverende institutter. Hvis det indberettende institut ikke har kendskab til navnene, skal det indberette, at securitiseringen har flere sælgere.</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SECURITISERINGSTYPE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Institutterne skal indberette en af følgende:</w:t>
            </w:r>
            <w:r>
              <w:t xml:space="preserve"> </w:t>
            </w:r>
            <w:r>
              <w:br/>
            </w:r>
            <w:r>
              <w:rPr>
                <w:rFonts w:ascii="Times New Roman" w:hAnsi="Times New Roman"/>
                <w:sz w:val="24"/>
              </w:rPr>
              <w:t>- ABCP-program</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ABCP-transaktion</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Andre traditionelle securitiseringer end NPE-securitiseringer</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Ikke-kvalificerende NPE-securitiseringer</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Kvalificerende NPE-securitiseringer</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Syntetiske transaktioner.</w:t>
            </w:r>
          </w:p>
          <w:p w14:paraId="487C2FF6" w14:textId="49258369"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Definitionerne af "asset-backed commercial paper-program", "asset-backed commercial paper-transaktion", "traditionel securitisering" og "syntetisk securitisering" findes i artikel 242, nr. 11)-14), i forordning (EU) nr. 575/2013, definitionerne af "kvalificerende traditionelle NPE-securitiseringer" og "NPE-securitiseringer" findes i artikel 269a, stk. 1, i forordning (EU) nr. 575/2013.</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REGNSKABSMÆSSIG BEHANDLING: SECURITISEREDE EKSPONERINGER BEVARES PÅ ELLER FJERNES FRA BALANCEN?</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Institutterne skal som eksponeringsleverende institutter, organiserende institutter og oprindelige långivere angive en af følgende:</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fuldstændig bevaret", hvis de securitiserede eksponeringer fortsat indregnes fuldt ud</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 delvis fjernet", hvis de securitiserede eksponeringer delvist ikke længere indregnes</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 fuldstændig fjernet", hvis de securitiserede eksponeringer ikke længere indregnes</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 ikke relevant", hvis det ikke er relevant.</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 denne kolonne opsummeres den regnskabsmæssige behandling af transaktionen. Væsentlig risikooverførsel (SRT) i artikel 244 og 245 i forordning (EU) nr. 575/2013 har ikke indvirkning på den regnskabsmæssige behandling af transaktionen i henhold til de gældende regnskabsregler.</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Hvis der er tale om securitiseringer af passiver, skal eksponeringsleverende institutter ikke udfylde denne kolonne.</w:t>
            </w:r>
          </w:p>
          <w:p w14:paraId="24E84D84"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"P" (en del indregnes ikke længere) angives, når de securitiserede aktiver balanceføres i overensstemmelse med den indberettende enheds fortsatte engagement, jf. IFRS 9.3.2.16-3.2.21.</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SOLVENSBEHANDLING: ER SECURITISERINGSPOSITIONER OMFATTET AF KAPITALGRUNDLAGSKRAV?</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2A677E"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Artikel 109, 244 og artikel 245 i forordning (EU) nr. 575/2013</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Kun eksponeringsleverende institutter skal indberette en af følgende: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Ikke genstand for kapitalgrundlagskrav</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Anlægsbeholdningen</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Handelsbeholdningen</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Delvist i anlægs- eller handelsbeholdningen.</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denne kolonne opsummeres det eksponeringsleverende instituts solvensbehandling af securitiseringsordningen. Den angiver, om kapitalgrundlagskrav beregnes på grundlag af securitiserede eksponeringer eller securitiseringspositioner (anlægsbeholdning/handelsbeholdning).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Hvis kapitalgrundlagskravene er baseret på </w:t>
            </w:r>
            <w:r>
              <w:rPr>
                <w:rFonts w:ascii="Times New Roman" w:hAnsi="Times New Roman"/>
                <w:i/>
                <w:sz w:val="24"/>
              </w:rPr>
              <w:t>securitiserede eksponeringer</w:t>
            </w:r>
            <w:r>
              <w:rPr>
                <w:rFonts w:ascii="Times New Roman" w:hAnsi="Times New Roman"/>
                <w:sz w:val="24"/>
              </w:rPr>
              <w:t xml:space="preserve"> (fordi der ikke blev opnået væsentlig risikooverførsel), skal beregningen af kapitalgrundlagskravene i relation til kreditrisiko indberettes i CR SA-skemaet for de securitiserede eksponeringer, for hvilke standardmetoden anvendes, eller i CR IRB-skemaet for de securitiserede eksponeringer, for hvilke IRB-metoden anvendes af instituttet.</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Hvis kapitalgrundlagskravene omvendt er baseret på </w:t>
            </w:r>
            <w:r>
              <w:rPr>
                <w:rFonts w:ascii="Times New Roman" w:hAnsi="Times New Roman"/>
                <w:i/>
                <w:sz w:val="24"/>
              </w:rPr>
              <w:t>securitiseringspositioner i anlægsbeholdningen</w:t>
            </w:r>
            <w:r>
              <w:rPr>
                <w:rFonts w:ascii="Times New Roman" w:hAnsi="Times New Roman"/>
                <w:sz w:val="24"/>
              </w:rPr>
              <w:t xml:space="preserve"> (fordi der blev opnået en væsentlig risikooverførsel), indberettes oplysningerne om beregningen af kapitalgrundlagskravene i relation til kreditrisiko i CR SEC-skemaet. Hvis der er tale om </w:t>
            </w:r>
            <w:r>
              <w:rPr>
                <w:rFonts w:ascii="Times New Roman" w:hAnsi="Times New Roman"/>
                <w:i/>
                <w:sz w:val="24"/>
              </w:rPr>
              <w:t>securitiseringspositioner i handelsbeholdningen</w:t>
            </w:r>
            <w:r>
              <w:rPr>
                <w:rFonts w:ascii="Times New Roman" w:hAnsi="Times New Roman"/>
                <w:sz w:val="24"/>
              </w:rPr>
              <w:t>,</w:t>
            </w:r>
            <w:r>
              <w:rPr>
                <w:rFonts w:ascii="Times New Roman" w:hAnsi="Times New Roman"/>
                <w:i/>
                <w:sz w:val="24"/>
              </w:rPr>
              <w:t xml:space="preserve"> </w:t>
            </w:r>
            <w:r>
              <w:rPr>
                <w:rFonts w:ascii="Times New Roman" w:hAnsi="Times New Roman"/>
                <w:sz w:val="24"/>
              </w:rPr>
              <w:t>skal oplysningerne om beregningen af kapitalgrundlagskravene i relation til markedsrisiko indberettes i MKR SA TDI-skemaet (generel positionsrisiko efter standardmetoden) og i MKR SA SEC- eller MKR SA CTP-skemaet (specifik positionsrisiko efter standardmetoden) eller i MKR IM-skemaerne (interne modeller).</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Hvis der er tale om securitiseringer af passiver, skal eksponeringsleverende institutter ikke udfylde denne kolonne.</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VÆSENTLIG RISIKOOVERFØRSEL</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Kun eksponeringsleverende institutter skal indberette en af følgende:</w:t>
            </w:r>
          </w:p>
          <w:p w14:paraId="2C05C3DE" w14:textId="0E4346B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Anvendes ikke for SRT - den indberettende enhed risikovægter sine securitiserede eksponeringer</w:t>
            </w:r>
          </w:p>
          <w:p w14:paraId="7437E97F" w14:textId="24EFEDD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Opnået SRT i henhold til artikel 244, stk. 2, litra a), og artikel 245, stk. 2, litra a), i forordning (EU) nr. 575/2013</w:t>
            </w:r>
          </w:p>
          <w:p w14:paraId="2005A2C7" w14:textId="23836F5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Opnået SRT i henhold til artikel 244, stk. 2, litra b), og artikel 245, stk. 2, litra b), i forordning (EU) nr. 575/2013</w:t>
            </w:r>
          </w:p>
          <w:p w14:paraId="134266AA" w14:textId="702130A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Opnået SRT i henhold til artikel 244, stk. 3, litra a), og artikel 245, stk. 3, litra a), i forordning (EU) nr. 575/2013</w:t>
            </w:r>
          </w:p>
          <w:p w14:paraId="75694E56" w14:textId="4E6DF3A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Anvende en risikovægtning på 1 250 % eller fratrække tilbageholdte positioner, jf. artikel 244, stk. 1, litra b), eller artikel 245, stk. 1, litra b), i forordning (EU) nr. 575/2013.</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 denne kolonne opsummeres det, hvorvidt der er opnået en væsentlig overførsel og i givet fald ved hjælp af hvilke midler. Det eksponeringsleverende instituts korrekte solvensbehandling bestemmes ud fra opnået SRT.</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SECURITISERING ELLER RESECURITISERING?</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10233A05" w:rsidR="00C55547" w:rsidRPr="002A677E"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I overensstemmelse med definitionerne af "securitisering" i artikel 4, stk. 1, nr. 61), i forordning (EU) nr. 575/2013 og "resecuritisering" i artikel 4, stk. 1, nr. 63), i forordning (EU) nr. 575/2013 indberettes typen af securitisering ved hjælp af følgende forkortelser:</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Securitisering</w:t>
            </w:r>
          </w:p>
          <w:p w14:paraId="77B66DEA" w14:textId="538A30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Resecuritisering.</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STS-SECURITISERING</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Artikel 18 i forordning (EU) 2017/2402</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Pr>
                <w:rFonts w:ascii="Times New Roman" w:hAnsi="Times New Roman"/>
                <w:sz w:val="24"/>
              </w:rPr>
              <w:t>Institutterne skal indberette en af følgende forkortelser:</w:t>
            </w:r>
          </w:p>
          <w:p w14:paraId="61E106B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 – Ja</w:t>
            </w:r>
          </w:p>
          <w:p w14:paraId="10CB62B7"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N – Nej.</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SECURITISERINGER, DER ER BERETTIGEDE TIL DIFFERENTIERET KAPITALBEHANDLING</w:t>
            </w:r>
          </w:p>
          <w:p w14:paraId="3EFF71E8" w14:textId="77777777" w:rsidR="00C55547" w:rsidRPr="002A677E" w:rsidRDefault="00C55547" w:rsidP="00E10B85">
            <w:pPr>
              <w:spacing w:before="0" w:after="0"/>
              <w:jc w:val="left"/>
              <w:rPr>
                <w:rFonts w:ascii="Times New Roman" w:hAnsi="Times New Roman"/>
                <w:sz w:val="24"/>
              </w:rPr>
            </w:pPr>
          </w:p>
          <w:p w14:paraId="68C1A007" w14:textId="78AF8FD9" w:rsidR="00554261" w:rsidRPr="002A677E" w:rsidRDefault="00C55547" w:rsidP="006418A0">
            <w:pPr>
              <w:spacing w:before="0"/>
              <w:jc w:val="left"/>
              <w:rPr>
                <w:rFonts w:ascii="Times New Roman" w:hAnsi="Times New Roman"/>
                <w:sz w:val="24"/>
              </w:rPr>
            </w:pPr>
            <w:r>
              <w:rPr>
                <w:rFonts w:ascii="Times New Roman" w:hAnsi="Times New Roman"/>
                <w:sz w:val="24"/>
              </w:rPr>
              <w:t>Artikel 243, 270 og artikel 494c i forordning (EU) nr. 575/2013</w:t>
            </w:r>
          </w:p>
          <w:p w14:paraId="67252912" w14:textId="77777777" w:rsidR="00C55547" w:rsidRPr="002A677E" w:rsidRDefault="00EE2BEA" w:rsidP="00E10B85">
            <w:pPr>
              <w:spacing w:before="0" w:after="0"/>
              <w:jc w:val="left"/>
              <w:rPr>
                <w:rFonts w:ascii="Times New Roman" w:hAnsi="Times New Roman"/>
                <w:sz w:val="24"/>
              </w:rPr>
            </w:pPr>
            <w:r>
              <w:rPr>
                <w:rFonts w:ascii="Times New Roman" w:hAnsi="Times New Roman"/>
                <w:sz w:val="24"/>
              </w:rPr>
              <w:t>Institutterne skal indberette en af følgende forkortelser:</w:t>
            </w:r>
          </w:p>
          <w:p w14:paraId="17A5936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Ja</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Nej.</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Pr>
                <w:rFonts w:ascii="Times New Roman" w:hAnsi="Times New Roman"/>
                <w:sz w:val="24"/>
              </w:rPr>
              <w:t>Der indberettes "Ja" i følgende tilfælde:</w:t>
            </w:r>
          </w:p>
          <w:p w14:paraId="0A85D908" w14:textId="0B178E13" w:rsidR="00FC70BF" w:rsidRPr="002A677E" w:rsidRDefault="00C55547"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STS-securitiseringer, der er berettigede til differentieret kapitalbehandling i overensstemmelse med artikel 243 i forordning (EU) nr. 575/2013. </w:t>
            </w:r>
          </w:p>
          <w:p w14:paraId="1434E575" w14:textId="183E21D8" w:rsidR="00FC70BF" w:rsidRPr="002A677E"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Foranstillede positioner i balanceførte STS-securitiseringer, der er berettigede til denne behandling i overensstemmelse med artikel 270 i forordning (EU) nr. 575/2013.</w:t>
            </w:r>
          </w:p>
          <w:p w14:paraId="6545768C" w14:textId="22A51C0F" w:rsidR="00C55547" w:rsidRPr="001235ED"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lastRenderedPageBreak/>
              <w:t>Syntetiske securitiseringer i SMV'er, der er omfattet af overgangsbestemmelser, i overensstemmelse med artikel 494c i forordning (EU) nr. 575/2013.</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Pr>
                <w:rFonts w:ascii="Times New Roman" w:hAnsi="Times New Roman"/>
                <w:b/>
                <w:sz w:val="24"/>
                <w:u w:val="single"/>
              </w:rPr>
              <w:t>TYPE AF MER-SPREAD</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BCE4ACD" w:rsidR="00826E25" w:rsidRPr="002A677E" w:rsidRDefault="00826E25" w:rsidP="00826E25">
            <w:pPr>
              <w:spacing w:before="0" w:after="0"/>
              <w:jc w:val="left"/>
              <w:rPr>
                <w:rFonts w:ascii="Times New Roman" w:hAnsi="Times New Roman"/>
                <w:sz w:val="24"/>
              </w:rPr>
            </w:pPr>
            <w:r>
              <w:rPr>
                <w:rFonts w:ascii="Times New Roman" w:hAnsi="Times New Roman"/>
                <w:sz w:val="24"/>
              </w:rPr>
              <w:t xml:space="preserve">Artikel 2, nr. 29), i forordning (EU) 2017/2402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Pr>
                <w:rFonts w:ascii="Times New Roman" w:hAnsi="Times New Roman"/>
                <w:sz w:val="24"/>
              </w:rPr>
              <w:t>Institutterne skal indberette en af følgende:</w:t>
            </w:r>
          </w:p>
          <w:p w14:paraId="00BEB12E" w14:textId="5A1149B3" w:rsidR="00826E25" w:rsidRPr="002A677E" w:rsidRDefault="00826E25" w:rsidP="00826E25">
            <w:pPr>
              <w:pStyle w:val="ListParagraph"/>
              <w:numPr>
                <w:ilvl w:val="0"/>
                <w:numId w:val="34"/>
              </w:numPr>
              <w:spacing w:before="0" w:after="0"/>
              <w:jc w:val="left"/>
              <w:rPr>
                <w:rFonts w:ascii="Times New Roman" w:hAnsi="Times New Roman"/>
                <w:sz w:val="24"/>
              </w:rPr>
            </w:pPr>
            <w:r>
              <w:rPr>
                <w:rFonts w:ascii="Times New Roman" w:hAnsi="Times New Roman"/>
                <w:sz w:val="24"/>
              </w:rPr>
              <w:t>Intet mer-spread</w:t>
            </w:r>
          </w:p>
          <w:p w14:paraId="2E9FE1BE" w14:textId="2418713E"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Mer-spread, fast beløb — "use it or lose it"-mekanismen</w:t>
            </w:r>
          </w:p>
          <w:p w14:paraId="46A3FA0F" w14:textId="694FFA2B"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Mer-spread, fast beløb — bundet mekanisme</w:t>
            </w:r>
          </w:p>
          <w:p w14:paraId="1BBCF418" w14:textId="3C3D28DA"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Mer-spread, variabelt beløb — "use it or lose it"-mekanismen</w:t>
            </w:r>
          </w:p>
          <w:p w14:paraId="0A52D195" w14:textId="0369ABE8"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Mer-spread, variabelt beløb — bundet mekanisme.</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AMORTISERINGSSYSTEM</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Institutterne skal indberette en af følgende:</w:t>
            </w:r>
          </w:p>
          <w:p w14:paraId="0297FC4D" w14:textId="3F6BDE0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Sekventiel amortisering</w:t>
            </w:r>
          </w:p>
          <w:p w14:paraId="1BB6CD33" w14:textId="0993E469"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Prorata-amortisering</w:t>
            </w:r>
          </w:p>
          <w:p w14:paraId="20A064B5" w14:textId="7C7E9D06"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Prorata-amortisering, der ændres til sekventiel amortisering. Opfylder STS-kriterierne for balanceførte securitiseringer</w:t>
            </w:r>
            <w:r>
              <w:rPr>
                <w:rFonts w:ascii="Times New Roman" w:hAnsi="Times New Roman"/>
                <w:sz w:val="24"/>
              </w:rPr>
              <w:br/>
              <w:t xml:space="preserve">(artikel 26c, stk. 5, i forordning (EU) 2017/2402). </w:t>
            </w:r>
          </w:p>
          <w:p w14:paraId="44442548" w14:textId="34FB5C22" w:rsidR="007421F4" w:rsidRPr="0052508A"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Prorata-amortisering, der ændres til sekventiel amortisering. Opfylder STS-kriterierne for ikke-ABCP-transaktioner</w:t>
            </w:r>
            <w:r>
              <w:rPr>
                <w:rFonts w:ascii="Times New Roman" w:hAnsi="Times New Roman"/>
                <w:sz w:val="24"/>
              </w:rPr>
              <w:br/>
              <w:t>(Retningslinjerne for STS-kriterier for ikke-ABCP-transaktioner og artikel 21, stk. 5, i forordning (EU) 2017/2402)</w:t>
            </w:r>
          </w:p>
          <w:p w14:paraId="05571779" w14:textId="0EBF6A2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Prorata-amortisering, der ændres til sekventiel amortisering. Manglende opfyldelse</w:t>
            </w:r>
          </w:p>
          <w:p w14:paraId="248D25E9" w14:textId="264A3114" w:rsidR="007421F4" w:rsidRPr="001235ED" w:rsidRDefault="007421F4" w:rsidP="007421F4">
            <w:pPr>
              <w:numPr>
                <w:ilvl w:val="0"/>
                <w:numId w:val="34"/>
              </w:numPr>
              <w:spacing w:before="0" w:after="0"/>
              <w:jc w:val="left"/>
              <w:rPr>
                <w:rFonts w:ascii="Times New Roman" w:hAnsi="Times New Roman"/>
                <w:b/>
                <w:sz w:val="24"/>
                <w:u w:val="single"/>
              </w:rPr>
            </w:pPr>
            <w:r>
              <w:rPr>
                <w:rFonts w:ascii="Times New Roman" w:hAnsi="Times New Roman"/>
                <w:sz w:val="24"/>
              </w:rPr>
              <w:t>Andet amortiseringssystem</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Pr>
                <w:rFonts w:ascii="Times New Roman" w:hAnsi="Times New Roman"/>
                <w:sz w:val="24"/>
              </w:rPr>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Pr>
                <w:rFonts w:ascii="Times New Roman" w:hAnsi="Times New Roman"/>
                <w:b/>
                <w:sz w:val="24"/>
                <w:u w:val="single"/>
              </w:rPr>
              <w:t>MULIGHEDER FOR SIKKERHEDSSTILLELSE</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Pr>
                <w:rFonts w:ascii="Times New Roman" w:hAnsi="Times New Roman"/>
                <w:sz w:val="24"/>
              </w:rPr>
              <w:t>Artikel 26e i forordning (EU) 2017/2402</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Pr>
                <w:rFonts w:ascii="Times New Roman" w:hAnsi="Times New Roman"/>
                <w:sz w:val="24"/>
              </w:rPr>
              <w:t>Institutterne skal indberette en af følgende muligheder for sikkerhedsstillelse i aftalen om kreditrisikoafdækning:</w:t>
            </w:r>
          </w:p>
          <w:p w14:paraId="1EC5B888" w14:textId="77777777" w:rsidR="00D5668A" w:rsidRPr="002A677E" w:rsidRDefault="00D5668A" w:rsidP="00D5668A"/>
          <w:p w14:paraId="22450011" w14:textId="487F0151"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Sikkerhedsstillelse i form af 0 % risikovægtede gældsværdipapirer</w:t>
            </w:r>
            <w:r>
              <w:rPr>
                <w:rFonts w:ascii="Times New Roman" w:hAnsi="Times New Roman"/>
                <w:sz w:val="24"/>
              </w:rPr>
              <w:br/>
              <w:t>artikel 26e, stk. 10, første afsnit, litra a), i forordning (EU) 2017/2402</w:t>
            </w:r>
          </w:p>
          <w:p w14:paraId="4C204AAA" w14:textId="4B625744"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Sikkerhedsstillelse i form af kontanter opbevaret af et tredjepartskreditinstitut med kreditkvalitetstrin 3 eller derover</w:t>
            </w:r>
            <w:r>
              <w:t xml:space="preserve"> </w:t>
            </w:r>
            <w:r>
              <w:br/>
            </w:r>
            <w:r>
              <w:rPr>
                <w:rFonts w:ascii="Times New Roman" w:hAnsi="Times New Roman"/>
                <w:sz w:val="24"/>
              </w:rPr>
              <w:t>artikel 26e, stk. 10, første afsnit, litra b), i forordning (EU) 2017/2402</w:t>
            </w:r>
          </w:p>
          <w:p w14:paraId="0DDD4855" w14:textId="2BA07ACE"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Sikkerhedsstillelse i form af kontanter deponeret hos det eksponeringsleverende institut eller et af dets tilknyttede selskaber, såfremt det eksponeringsleverende institut eller et af dets tilknyttede selskaber mindst opfylder kreditkvalitetstrin 2</w:t>
            </w:r>
            <w:r>
              <w:t xml:space="preserve"> </w:t>
            </w:r>
            <w:r>
              <w:br/>
            </w:r>
            <w:r>
              <w:rPr>
                <w:rFonts w:ascii="Times New Roman" w:hAnsi="Times New Roman"/>
                <w:sz w:val="24"/>
              </w:rPr>
              <w:lastRenderedPageBreak/>
              <w:t>artikel 26e, stk. 10, andet afsnit, litra b), i forordning (EU) 2017/2402</w:t>
            </w:r>
          </w:p>
          <w:p w14:paraId="7D2C9FEB" w14:textId="2483975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Sikkerhedsstillelse i form af kontanter deponeret hos det eksponeringsleverende institut eller et af dets tilknyttede selskaber, såfremt det eksponeringsleverende institut eller et af dets tilknyttede selskaber mindst opfylder kreditkvalitetstrin 3</w:t>
            </w:r>
            <w:r>
              <w:t xml:space="preserve"> </w:t>
            </w:r>
            <w:r>
              <w:br/>
            </w:r>
            <w:r>
              <w:rPr>
                <w:rFonts w:ascii="Times New Roman" w:hAnsi="Times New Roman"/>
                <w:sz w:val="24"/>
              </w:rPr>
              <w:t>artikel 26e, stk. 10, tredje afsnit, i forordning (EU) 2017/2402</w:t>
            </w:r>
          </w:p>
          <w:p w14:paraId="33FFFFAB" w14:textId="32B64F5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Krav opfyldt i tilfælde af investeringer i credit linked notes udstedt af det eksponeringsleverende institut</w:t>
            </w:r>
            <w:r>
              <w:t xml:space="preserve"> </w:t>
            </w:r>
            <w:r>
              <w:br/>
            </w:r>
            <w:r>
              <w:rPr>
                <w:rFonts w:ascii="Times New Roman" w:hAnsi="Times New Roman"/>
                <w:sz w:val="24"/>
              </w:rPr>
              <w:t>artikel 26e, stk. 10, fjerde afsnit, i forordning (EU) 2017/2402</w:t>
            </w:r>
          </w:p>
          <w:p w14:paraId="7F00225A" w14:textId="6B29D94F"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Ingen sikkerhedsstillelse, investoren kan tillægges en risikovægt på 0 %</w:t>
            </w:r>
            <w:r>
              <w:t xml:space="preserve"> </w:t>
            </w:r>
            <w:r>
              <w:br/>
            </w:r>
            <w:r>
              <w:rPr>
                <w:rFonts w:ascii="Times New Roman" w:hAnsi="Times New Roman"/>
                <w:sz w:val="24"/>
              </w:rPr>
              <w:t>Artikel 26e, stk. 8, litra a), i forordning (EU) 2017/2402</w:t>
            </w:r>
          </w:p>
          <w:p w14:paraId="4332D1BA" w14:textId="3F82A50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Ingen sikkerhedsstillelse, investoren drager fordel af en regaranti fra en enhed, der kan tillægges en risikovægt på 0 %.</w:t>
            </w:r>
            <w:r>
              <w:t xml:space="preserve"> </w:t>
            </w:r>
            <w:r>
              <w:br/>
            </w:r>
            <w:r>
              <w:rPr>
                <w:rFonts w:ascii="Times New Roman" w:hAnsi="Times New Roman"/>
                <w:sz w:val="24"/>
              </w:rPr>
              <w:t>Artikel 26e, stk. 8, litra b), i forordning (EU) 2017/2402</w:t>
            </w:r>
          </w:p>
          <w:p w14:paraId="0FA4B04E" w14:textId="6D90FDB7"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Andre typer sikkerhedsstillelse: gældsværdipapirer, der ikke er i overensstemmelse med artikel 26e i forordning (EU) 2017/2402 </w:t>
            </w:r>
          </w:p>
          <w:p w14:paraId="3C0C4ABF" w14:textId="13FB9243"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Andre typer sikkerhedsstillelse: kontanter, der ikke er i overensstemmelse med artikel 26e i forordning (EU) 2017/2402 </w:t>
            </w:r>
          </w:p>
          <w:p w14:paraId="7F664E2F" w14:textId="4F64E22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Ingen sikkerhedsstillelse, opfylder ikke STS-kriterierne for balanceførte securitiseringer</w:t>
            </w:r>
            <w:r>
              <w:t xml:space="preserve"> </w:t>
            </w:r>
            <w:r>
              <w:br/>
            </w:r>
            <w:r>
              <w:rPr>
                <w:rFonts w:ascii="Times New Roman" w:hAnsi="Times New Roman"/>
                <w:sz w:val="24"/>
              </w:rPr>
              <w:t>Tilfælde, der er anderledes end dem, hvor der ikke er nogen sikkerhedsstillelse, men investoren kan tillægges en risikovægt på 0 % eller drager fordel af en regaranti fra en enhed, der kan tillægges en risikovægt på 0 %</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Pr>
                <w:rFonts w:ascii="Times New Roman" w:hAnsi="Times New Roman"/>
                <w:sz w:val="24"/>
              </w:rPr>
              <w:t>Denne kolonne indberettes kun, hvis kolonne 0040 indberettes som "Syntetisk transaktion".</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Pr>
                <w:rFonts w:ascii="Times New Roman" w:hAnsi="Times New Roman"/>
                <w:b/>
                <w:sz w:val="24"/>
                <w:u w:val="single"/>
              </w:rPr>
              <w:t>TILBAGEHOLDELSE</w:t>
            </w:r>
          </w:p>
          <w:p w14:paraId="433972A4" w14:textId="77777777" w:rsidR="007421F4" w:rsidRPr="002A677E" w:rsidRDefault="007421F4" w:rsidP="007421F4">
            <w:pPr>
              <w:spacing w:before="0" w:after="0"/>
              <w:rPr>
                <w:rFonts w:ascii="Times New Roman" w:hAnsi="Times New Roman"/>
                <w:sz w:val="24"/>
              </w:rPr>
            </w:pPr>
          </w:p>
          <w:p w14:paraId="0DEFE8E1" w14:textId="536928FB" w:rsidR="007421F4" w:rsidRPr="002A677E" w:rsidRDefault="007421F4" w:rsidP="007421F4">
            <w:pPr>
              <w:spacing w:before="0"/>
              <w:rPr>
                <w:rFonts w:ascii="Times New Roman" w:hAnsi="Times New Roman"/>
                <w:sz w:val="24"/>
              </w:rPr>
            </w:pPr>
            <w:r>
              <w:rPr>
                <w:rFonts w:ascii="Times New Roman" w:hAnsi="Times New Roman"/>
                <w:sz w:val="24"/>
              </w:rPr>
              <w:t xml:space="preserve">Artikel 6 i forordning (EU) 2017/2402; hvis artikel 43, stk. 6, i forordning (EU) 2017/2402 finder anvendelse, skal artikel 405 i forordning (EU) nr. 575/2013 i den udgave af nævnte forordning, der er gældende pr. 31. december 2018, finde anvendelse.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TYPE AF ANVENDT TILBAGEHOLDELSE</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Pr>
                <w:rFonts w:ascii="Times New Roman" w:hAnsi="Times New Roman"/>
                <w:sz w:val="24"/>
              </w:rPr>
              <w:t>For hver securitiseringsordning skal den relevante type af tilbageholdelse af nettoøkonomisk interesse, jf. artikel 6 i forordning (EU) 2017/2402, indberettes:</w:t>
            </w:r>
          </w:p>
          <w:p w14:paraId="2BDB4145" w14:textId="77777777" w:rsidR="007421F4" w:rsidRPr="002A677E" w:rsidRDefault="007421F4" w:rsidP="007421F4">
            <w:pPr>
              <w:spacing w:before="0" w:after="0"/>
              <w:rPr>
                <w:rFonts w:ascii="Times New Roman" w:hAnsi="Times New Roman"/>
                <w:sz w:val="24"/>
              </w:rPr>
            </w:pPr>
          </w:p>
          <w:p w14:paraId="1563AD9D" w14:textId="0E676530" w:rsidR="007421F4" w:rsidRPr="002A677E" w:rsidRDefault="007421F4" w:rsidP="007421F4">
            <w:pPr>
              <w:spacing w:before="0" w:after="0"/>
              <w:rPr>
                <w:rFonts w:ascii="Times New Roman" w:hAnsi="Times New Roman"/>
                <w:sz w:val="24"/>
              </w:rPr>
            </w:pPr>
            <w:r>
              <w:rPr>
                <w:rFonts w:ascii="Times New Roman" w:hAnsi="Times New Roman"/>
                <w:sz w:val="24"/>
              </w:rPr>
              <w:t xml:space="preserve">A — Vertikal del (securitiseringspositioner): </w:t>
            </w:r>
            <w:r>
              <w:rPr>
                <w:rFonts w:ascii="Times New Roman" w:hAnsi="Times New Roman"/>
                <w:i/>
                <w:sz w:val="24"/>
              </w:rPr>
              <w:t>"tilbageholdelse af mindst 5 % af den nominelle værdi af hver af de trancher, der er solgt eller overført til investorerne"</w:t>
            </w:r>
          </w:p>
          <w:p w14:paraId="2C0826B2" w14:textId="77777777" w:rsidR="007421F4" w:rsidRPr="002A677E" w:rsidRDefault="007421F4" w:rsidP="007421F4">
            <w:pPr>
              <w:spacing w:before="0" w:after="0"/>
              <w:rPr>
                <w:rFonts w:ascii="Times New Roman" w:hAnsi="Times New Roman"/>
                <w:sz w:val="24"/>
              </w:rPr>
            </w:pPr>
          </w:p>
          <w:p w14:paraId="4FC13927" w14:textId="2FA1AE31" w:rsidR="007421F4" w:rsidRPr="002A677E" w:rsidRDefault="007421F4" w:rsidP="007421F4">
            <w:pPr>
              <w:spacing w:before="0" w:after="0"/>
              <w:rPr>
                <w:rFonts w:ascii="Times New Roman" w:hAnsi="Times New Roman"/>
                <w:sz w:val="24"/>
              </w:rPr>
            </w:pPr>
            <w:r>
              <w:rPr>
                <w:rFonts w:ascii="Times New Roman" w:hAnsi="Times New Roman"/>
                <w:sz w:val="24"/>
              </w:rPr>
              <w:t xml:space="preserve">V — Vertikal del (securitiserede eksponeringer): tilbageholdelse af mindst 5 % af kreditrisikoen i relation til hver af de securitiserede eksponeringer, hvis den tilbageholdte kreditrisiko i relation til de securitiserede eksponeringer altid er </w:t>
            </w:r>
            <w:r>
              <w:rPr>
                <w:rFonts w:ascii="Times New Roman" w:hAnsi="Times New Roman"/>
                <w:sz w:val="24"/>
              </w:rPr>
              <w:lastRenderedPageBreak/>
              <w:t>sidestillet med eller efterstillet den kreditrisiko, der er blevet securitiseret, for så vidt angår de samme eksponeringer</w:t>
            </w:r>
          </w:p>
          <w:p w14:paraId="42BA79BD" w14:textId="77777777" w:rsidR="007421F4" w:rsidRPr="002A677E" w:rsidRDefault="007421F4" w:rsidP="007421F4">
            <w:pPr>
              <w:spacing w:before="0" w:after="0"/>
              <w:rPr>
                <w:rFonts w:ascii="Times New Roman" w:hAnsi="Times New Roman"/>
                <w:sz w:val="24"/>
              </w:rPr>
            </w:pPr>
          </w:p>
          <w:p w14:paraId="06DD2912" w14:textId="68A459C7" w:rsidR="007421F4" w:rsidRPr="002A677E" w:rsidRDefault="007421F4" w:rsidP="007421F4">
            <w:pPr>
              <w:spacing w:before="0" w:after="0"/>
              <w:rPr>
                <w:rFonts w:ascii="Times New Roman" w:hAnsi="Times New Roman"/>
                <w:sz w:val="24"/>
              </w:rPr>
            </w:pPr>
            <w:r>
              <w:rPr>
                <w:rFonts w:ascii="Times New Roman" w:hAnsi="Times New Roman"/>
                <w:sz w:val="24"/>
              </w:rPr>
              <w:t>B — Revolverende eksponeringer: "</w:t>
            </w:r>
            <w:r>
              <w:rPr>
                <w:rFonts w:ascii="Times New Roman" w:hAnsi="Times New Roman"/>
                <w:i/>
                <w:sz w:val="24"/>
              </w:rPr>
              <w:t>i tilfælde af securitiseringer i forbindelse med revolverende engagementer, bibeholdelse af det eksponeringsleverende instituts andel på mindst 5 % af de securitiserede eksponeringers nominelle værdi</w:t>
            </w:r>
            <w:r>
              <w:rPr>
                <w:rFonts w:ascii="Times New Roman" w:hAnsi="Times New Roman"/>
                <w:sz w:val="24"/>
              </w:rPr>
              <w:t xml:space="preserve">" </w:t>
            </w:r>
          </w:p>
          <w:p w14:paraId="6D7D501C" w14:textId="77777777" w:rsidR="007421F4" w:rsidRPr="002A677E" w:rsidRDefault="007421F4" w:rsidP="007421F4">
            <w:pPr>
              <w:spacing w:before="0" w:after="0"/>
              <w:rPr>
                <w:rFonts w:ascii="Times New Roman" w:hAnsi="Times New Roman"/>
                <w:sz w:val="24"/>
              </w:rPr>
            </w:pPr>
          </w:p>
          <w:p w14:paraId="7B772154" w14:textId="0415082E" w:rsidR="007421F4" w:rsidRPr="002A677E" w:rsidRDefault="007421F4" w:rsidP="007421F4">
            <w:pPr>
              <w:spacing w:before="0" w:after="0"/>
              <w:rPr>
                <w:rFonts w:ascii="Times New Roman" w:hAnsi="Times New Roman"/>
                <w:sz w:val="24"/>
              </w:rPr>
            </w:pPr>
            <w:r>
              <w:rPr>
                <w:rFonts w:ascii="Times New Roman" w:hAnsi="Times New Roman"/>
                <w:sz w:val="24"/>
              </w:rPr>
              <w:t>C — Balanceførte: "</w:t>
            </w:r>
            <w:r>
              <w:rPr>
                <w:rFonts w:ascii="Times New Roman" w:hAnsi="Times New Roman"/>
                <w:i/>
                <w:sz w:val="24"/>
              </w:rPr>
              <w:t>tilbageholdelse af tilfældigt udvalgte eksponeringer svarende til mindst 5 % af de securitiserede eksponeringers nominelle værdi, når sådanne eksponeringer ellers ville være blevet securitiseret i securitiseringen, forudsat at antallet af potentielt securitiserede eksponeringer er på mindst 100 ved eksponeringens indgåelse</w:t>
            </w:r>
            <w:r>
              <w:rPr>
                <w:rFonts w:ascii="Times New Roman" w:hAnsi="Times New Roman"/>
                <w:sz w:val="24"/>
              </w:rPr>
              <w:t>"</w:t>
            </w:r>
          </w:p>
          <w:p w14:paraId="244687BB" w14:textId="77777777" w:rsidR="007421F4" w:rsidRPr="002A677E" w:rsidRDefault="007421F4" w:rsidP="007421F4">
            <w:pPr>
              <w:spacing w:before="0" w:after="0"/>
              <w:rPr>
                <w:rFonts w:ascii="Times New Roman" w:hAnsi="Times New Roman"/>
                <w:sz w:val="24"/>
              </w:rPr>
            </w:pPr>
          </w:p>
          <w:p w14:paraId="40D1E048" w14:textId="35E77ADE" w:rsidR="007421F4" w:rsidRPr="002A677E" w:rsidRDefault="007421F4" w:rsidP="007421F4">
            <w:pPr>
              <w:spacing w:before="0" w:after="0"/>
              <w:rPr>
                <w:rFonts w:ascii="Times New Roman" w:hAnsi="Times New Roman"/>
                <w:sz w:val="24"/>
              </w:rPr>
            </w:pPr>
            <w:r>
              <w:rPr>
                <w:rFonts w:ascii="Times New Roman" w:hAnsi="Times New Roman"/>
                <w:sz w:val="24"/>
              </w:rPr>
              <w:t>D — First loss: "</w:t>
            </w:r>
            <w:r>
              <w:rPr>
                <w:rFonts w:ascii="Times New Roman" w:hAnsi="Times New Roman"/>
                <w:i/>
                <w:sz w:val="24"/>
              </w:rPr>
              <w:t>tilbageholdelse af "first loss"-tranchen og om nødvendigt andre trancher med samme eller en strengere risikoprofil end de trancher, der er overført eller solgt til investorer, og som ikke forfalder tidligere end de trancher, der er overført eller solgt til investorer, således at tilbageholdelsen i alt svarer til mindst 5 % af de securitiserede eksponeringers nominelle værdi</w:t>
            </w:r>
            <w:r>
              <w:rPr>
                <w:rFonts w:ascii="Times New Roman" w:hAnsi="Times New Roman"/>
                <w:sz w:val="24"/>
              </w:rPr>
              <w:t>"</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Pr>
                <w:rFonts w:ascii="Times New Roman" w:hAnsi="Times New Roman"/>
                <w:sz w:val="24"/>
              </w:rPr>
              <w:t>E — Undtaget. Denne kode indberettes for de securitiseringer, der er berørt af anvendelsen af artikel 6, stk. 6, i forordning (EU) 2017/2402.</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Pr>
                <w:rFonts w:ascii="Times New Roman" w:hAnsi="Times New Roman"/>
                <w:sz w:val="24"/>
              </w:rPr>
              <w:t>U — Ikke gyldig eller ukendt. Denne kode indberettes, hvis det indberettende institut ikke ved med sikkerhed, hvilken type tilbageholdelse der anvendes, eller hvis der er tale om manglende overensstemmelse.</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AF TILBAGEHOLDELSE PÅ INDBERETNINGSDATOEN</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Pr>
                <w:rFonts w:ascii="Times New Roman" w:hAnsi="Times New Roman"/>
                <w:sz w:val="24"/>
              </w:rPr>
              <w:t>Det eksponeringsleverende instituts, det organiserende instituts eller den oprindelige långivers tilbageholdelse af væsentlig nettoøkonomisk interesse skal være mindst 5 % af securitiseringen (på indgåelsesdatoen).</w:t>
            </w:r>
          </w:p>
          <w:p w14:paraId="70B4B89A" w14:textId="77777777" w:rsidR="007421F4" w:rsidRPr="002A677E" w:rsidRDefault="007421F4" w:rsidP="007421F4">
            <w:pPr>
              <w:spacing w:before="0" w:after="0"/>
              <w:rPr>
                <w:rFonts w:ascii="Times New Roman" w:hAnsi="Times New Roman"/>
                <w:i/>
                <w:sz w:val="24"/>
              </w:rPr>
            </w:pPr>
          </w:p>
          <w:p w14:paraId="601AD4B2" w14:textId="24C525D9"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Denne kolonne udfyldes ikke, hvis kode "E" (undtaget) er indsat i kolonne 0080 (Type af anvendt tilbageholdelse).</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OVERHOLDES TILBAGEHOLDELSESKRAVET?</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Institutterne skal indberette følgende forkortelser:</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Ja</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Nej.</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Denne kolonne udfyldes ikke, hvis kode "E" (undtaget) er indsat i kolonne 0080 (Type af anvendt tilbageholdelse).</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IKKE-ABCP-PROGRAMMER</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703BCF8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ABCP-programmer (som defineret i artikel 242, nr. 11), i forordning (EU) nr. 575/2013) er på grund af deres særlige karakter, som skyldes, at de omfatter flere enkelte securitiseringspositioner, fritaget for indberetning i kolonne 0120, 0121 og 0130.</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Pr>
                <w:rFonts w:ascii="Times New Roman" w:hAnsi="Times New Roman"/>
                <w:b/>
                <w:sz w:val="24"/>
              </w:rPr>
              <w:t>INDGÅELSESDATO (åååå-mm-dd)</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Måneden og året for indgåelsen (dvs. afskærings- eller lukkedato for puljen) af securitiseringen indberettes i følgende format: "mm/åååå".</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For hver securitiseringsordning kan indgåelsesdatoen ikke ændres mellem indberetningsdatoer. Hvis securitiseringsordningen er understøttet af åbne puljer, skal indgåelsesdatoen være datoen for den første udstedelse af værdipapirer.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Disse oplysninger indberettes, selv hvis den indberettende enhed ikke besidder positioner i securitiseringen.</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DATOEN FOR DEN SENESTE UDSTEDELSE (åååå-mm-dd)</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Måneden og året for den seneste udstedelse af værdipapirer i securitiseringen indberettes i følgende format: "åååå-mm-dd".</w:t>
            </w:r>
          </w:p>
          <w:p w14:paraId="3608A4ED" w14:textId="77777777" w:rsidR="007421F4" w:rsidRPr="002A677E" w:rsidRDefault="007421F4" w:rsidP="007421F4">
            <w:pPr>
              <w:spacing w:before="0" w:after="0"/>
              <w:jc w:val="left"/>
              <w:rPr>
                <w:rFonts w:ascii="Times New Roman" w:hAnsi="Times New Roman"/>
                <w:sz w:val="24"/>
              </w:rPr>
            </w:pPr>
          </w:p>
          <w:p w14:paraId="04ABE31B"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Forordning (EU) 2017/2402 finder kun anvendelse på securitiseringer, hvis værdipapirer udstedes den 1. januar 2019 eller senere. Datoen for den seneste udstedelse af værdipapirer er afgørende for, hvorvidt de enkelte securitiseringsordninger er omfattet af forordning (EU) 2017/2402.</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Disse oplysninger indberettes, selv om den indberettende enhed ikke besidder positioner i securitiseringen.</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SAMLEDE SECURITISEREDE EKSPONERINGER PÅ INDGÅELSESDATOEN</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I denne kolonne indberettes værdien (beregnet på grundlag af de oprindelige eksponeringer før anvendelse af konverteringsfaktorer) af den securitiserede portefølje på indgåelsesdatoen.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Hvis securitiseringsordninger er understøttet af åbne puljer, indberettes værdien på indgåelsesdatoen for den første udstedelse af værdipapirer. Hvis der er tale om traditionelle securitiseringer, skal der ikke medtages andre aktiver fra securitiseringspuljen. Hvis der er tale om securitiseringsordninger med flere sælgere (dvs. med mere end ét eksponeringsleverende institut), indberettes kun den værdi, der svarer til den indberettende enheds bidrag til den securitiserede portefølje. Hvis der er tale om securitiseringer af passiver, indberettes kun de beløb, der er udstedt af den indberettende enhed.</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Disse oplysninger indberettes, selv om den indberettende enhed ikke besidder positioner i securitiseringen.</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SECURITISEREDE EKSPONERINGER</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 kolonne 0140 til 0225 skal den indberettende enhed angive oplysninger om flere elementer af den securitiserede portefølje.</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SAMLET VÆRDI</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Institutterne skal indberette værdien af den securitiserede portefølje på indberetningsdatoen, dvs. det udestående beløb af securitiserede eksponeringer. Hvis der er tale om traditionelle securitiseringer, skal der ikke medtages andre aktiver fra securitiseringspuljen. Hvis der er tale om securitiseringer med flere sælgere (dvs. med mere end ét eksponeringsleverende institut), indberettes kun den værdi, der svarer til den indberettende enheds bidrag til den securitiserede portefølje. Hvis securitiseringsordninger er understøttet af lukkede puljer (dvs. porteføljen af securitiserede aktiver ikke kan udvides efter indgåelsesdatoen), reduceres beløbet progressivt.</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Disse oplysninger indberettes, selv om den indberettende enhed ikke besidder positioner i securitiseringen.</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INSTITUTTETS ANDEL (%)</w:t>
            </w:r>
          </w:p>
          <w:p w14:paraId="44A53FB4" w14:textId="77777777" w:rsidR="007421F4" w:rsidRPr="002A677E" w:rsidRDefault="007421F4" w:rsidP="007421F4">
            <w:pPr>
              <w:spacing w:before="0" w:after="0"/>
              <w:jc w:val="left"/>
              <w:rPr>
                <w:rFonts w:ascii="Times New Roman" w:hAnsi="Times New Roman"/>
                <w:sz w:val="24"/>
              </w:rPr>
            </w:pPr>
          </w:p>
          <w:p w14:paraId="1289AA2B" w14:textId="6C45A658" w:rsidR="007421F4" w:rsidRPr="002A677E" w:rsidRDefault="007421F4" w:rsidP="007421F4">
            <w:pPr>
              <w:spacing w:before="0" w:after="0"/>
              <w:rPr>
                <w:rFonts w:ascii="Times New Roman" w:hAnsi="Times New Roman"/>
                <w:sz w:val="24"/>
              </w:rPr>
            </w:pPr>
            <w:r>
              <w:rPr>
                <w:rFonts w:ascii="Times New Roman" w:hAnsi="Times New Roman"/>
                <w:sz w:val="24"/>
              </w:rPr>
              <w:t>Instituttets andel (procentdel med to decimaler) af den securitiserede portefølje på indberetningsdatoen. Det tal, der indberettes i denne kolonne, er som standard 100 %, medmindre der er tale om securitiseringer med flere sælgere. I så fald skal den indberettende enhed indberette sit aktuelle bidrag til den securitiserede portefølje (svarende til kolonne 0140 i relative tal).</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Disse oplysninger indberettes, selv om den indberettende enhed ikke besidder positioner i securitiseringen.</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TYPE</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 denne kolonne indberettes der oplysninger om typen af aktiver ("Pant i beboelsesejendom" til "Øvrige engroseksponeringer") eller passiver ("Særligt dækkede obligationer eller særligt dækkede realkreditobligationer" og "Andre forpligtelser") i den securitiserede portefølje. Institutterne skal indberette en af følgende muligheder, under hensyntagen til den højeste EAD:</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Detail:</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Pant i beboelsesejendom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Fordringer på kreditkort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Forbrugerlån</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Lån til SMV'er (behandles som detail)</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Andre detaileksponeringer.</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Engros:</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Pant i erhvervsejendom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Leasing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Lån til selskaber</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Lån til SMV'er (behandles som selskaber)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Tilgodehavender fra salg</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Andre engroseksponeringer.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Forpligtelser:</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Særligt dækkede obligationer og særligt dækkede realkreditobligationer</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Andre forpligtelser.</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Hvis puljen af securitiserede eksponeringer er en blanding af ovennævnte typer, skal instituttet angive den vigtigste type. Hvis der er tale om resecuritiseringer, skal instituttet henvise til den ultimative underliggende pulje af aktiver. </w:t>
            </w:r>
          </w:p>
          <w:p w14:paraId="5D86D8FA" w14:textId="57ED8409" w:rsidR="007421F4"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Ved securitiseringsordninger, der er understøttet af lukkede puljer, kan typen ikke ændres mellem indberetningsdatoer.</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71B48809"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Ved forpligtelser forstås som forpligtelser, der oprindeligt er udstedt af det indberettende institut (jf. afsnit 112, litra b), punkt 3.2.1, i dette bilag).</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IRB I ANVENDT METODE</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 denne kolonne angives der oplysninger om den eller de metoder, som instituttet anvender i forbindelse med de securitiserede eksponeringer på indberetningsdatoen.</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Institutterne skal indberette den procentdel af de securitiserede eksponeringer, målt efter eksponeringsværdi, på hvilken IRB-metoden finder anvendelse på indberetningsdatoen.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Disse oplysninger indberettes, selv om den indberettende enhed ikke besidder positioner i securitiseringen. Denne kolonne gælder dog ikke for securitiseringer af passiver.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ANTAL EKSPONERINGER</w:t>
            </w:r>
          </w:p>
          <w:p w14:paraId="51D64C70" w14:textId="77777777" w:rsidR="007421F4" w:rsidRPr="002A677E" w:rsidRDefault="007421F4" w:rsidP="007421F4">
            <w:pPr>
              <w:spacing w:before="0" w:after="0"/>
              <w:jc w:val="left"/>
              <w:rPr>
                <w:rFonts w:ascii="Times New Roman" w:hAnsi="Times New Roman"/>
                <w:sz w:val="24"/>
              </w:rPr>
            </w:pPr>
          </w:p>
          <w:p w14:paraId="253F5130" w14:textId="4E0FC9E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Artikel 259, stk. 4, i forordning (EU) nr. 575/2013</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Denne kolonne er obligatorisk for de institutter, der anvender SEC-IRBA-metoden i forbindelse med securitiseringspositioner (og derfor har anført mere end 95 % i kolonne 171). Instituttet skal indberette det faktiske antal eksponeringer.</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Denne kolonne udfyldes ikke ved securitisering af passiver, eller når kapitalgrundlagskrav er baseret på de securitiserede eksponeringer (ved securitisering af aktiver). Denne kolonne udfyldes ikke, når det indberettende institut ikke besidder positioner i securitiseringen. Kolonnen indberettes ikke af investorer.</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EKSPONERINGER VED MISLIGHOLDELSE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4EC18273" w:rsidR="007421F4" w:rsidRPr="002A677E" w:rsidRDefault="007421F4" w:rsidP="007421F4">
            <w:pPr>
              <w:spacing w:before="0" w:after="0"/>
              <w:jc w:val="left"/>
              <w:rPr>
                <w:rFonts w:ascii="Times New Roman" w:hAnsi="Times New Roman"/>
                <w:sz w:val="24"/>
              </w:rPr>
            </w:pPr>
            <w:r>
              <w:rPr>
                <w:rFonts w:ascii="Times New Roman" w:hAnsi="Times New Roman"/>
                <w:sz w:val="24"/>
              </w:rPr>
              <w:t>Artikel 261, stk. 2, i forordning (EU) nr. 575/2013</w:t>
            </w:r>
          </w:p>
          <w:p w14:paraId="474E888B" w14:textId="77777777" w:rsidR="007421F4" w:rsidRPr="002A677E" w:rsidRDefault="007421F4" w:rsidP="007421F4">
            <w:pPr>
              <w:spacing w:before="0" w:after="0"/>
              <w:jc w:val="left"/>
              <w:rPr>
                <w:rFonts w:ascii="Times New Roman" w:hAnsi="Times New Roman"/>
                <w:sz w:val="24"/>
              </w:rPr>
            </w:pPr>
          </w:p>
          <w:p w14:paraId="2AD923AD" w14:textId="70B66651"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Instituttet skal indberette den "W"-faktor (vedrørende de underliggende misligholdte eksponeringer), der skal beregnes som omhandlet i artikel 261, stk. 2, i forordning (EU) nr. 575/2013, selv om det ikke anvender SEC-SA-metoden i forbindelse med securitiseringspositionerne.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LAND</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Pr>
                <w:rFonts w:ascii="Times New Roman" w:hAnsi="Times New Roman"/>
                <w:sz w:val="24"/>
              </w:rPr>
              <w:lastRenderedPageBreak/>
              <w:t>Institutterne indberetter koden (ISO 3166-1 alpha-2) for oprindelseslandet for den ultimative underliggende position i transaktionen, dvs. landet for de oprindelige securitiserede eksponeringers umiddelbare låntager (look-through). Hvis securitiseringspuljen omfatter flere lande, skal instituttet angive det vigtigste land. Hvis intet land overstiger en tærskel på 20 % baseret på værdien af aktiver/passiver, indberettes "andre lande".</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3D3DFE24"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Det eksponeringsvægtede, gennemsnitlige tab givet misligholdelse (LGD) skal kun indberettes af de institutter, der anvender SEC-IRBA-metoden (og derfor har indberettet 95 % eller mere i kolonne 0170). LGD skal beregnes som anført i artikel 259, stk. 5, i forordning (EU) nr. 575/2013.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Denne kolonne udfyldes ikke ved securitisering af passiver, eller når kapitalgrundlagskrav er baseret på de securitiserede eksponeringer (ved securitisering af aktiver).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EL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0E4B8AB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Det eksponeringsvægtede, gennemsnitlige forventede tab (EL) i forbindelse med de securitiserede aktiver skal kun indberettes af de institutter, der anvender SEC-IRBA-metoden (og derfor har indberettet 95 % eller mere i kolonne 0171). I forbindelse med SA-securitiserede aktiver er det indberettede EL de specifikke kreditrisikojusteringer, der er omhandlet i artikel 111 i forordning (EU) nr. 575/2013. EL skal beregnes som anført i tredje del, afsnit II, kapitel 3, afdeling 3, i forordning (EU) nr. 575/2013. Denne kolonne udfyldes ikke ved securitisering af passiver, eller når kapitalgrundlagskrav er baseret på de securitiserede eksponeringer (ved securitisering af aktiver).</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UL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3DC441F8"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Det eksponeringsvægtede, gennemsnitlige ikke forventede tab (UL) i forbindelse med de securitiserede aktiver skal kun indberettes af de institutter, der anvender SEC-IRBA-metoden (og derfor har indberettet 95 % eller mere i kolonne 0170). UL i forbindelse med aktiver svarer til den risikovægtede eksponering (RWEA) ganget med 8 %. RWEA skal beregnes som anført i tredje del, afsnit II, kapitel 3, afdeling 2, i forordning (EU) nr. 575/2013. Denne kolonne udfyldes ikke ved securitisering af passiver, eller når kapitalgrundlagskrav er baseret på de securitiserede eksponeringer (ved en securitisering af aktiver).</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EKSPONERINGSVÆGTET GENNEMSNITLIG LØBETID FOR AKTIVER</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2AD64533"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Den eksponeringsvægtede gennemsnitlige løbetid (WAM) for securitiserede aktiver på indberetningsdatoen skal indberettes af alle institutter, uanset hvilken metode der er anvendt til at beregne kapitalkravene. Institutterne skal beregne løbetiden for hvert enkelt aktiv i overensstemmelse med artikel 162, stk. 2, litra a) og f), i forordning (EU) nr. 575/2013, uden at anvende loftet på 5 år.</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VÆRDIJUSTERINGER OG HENSÆTTELSER</w:t>
            </w:r>
          </w:p>
          <w:p w14:paraId="3715145E" w14:textId="77777777" w:rsidR="007421F4" w:rsidRPr="002A677E" w:rsidRDefault="007421F4" w:rsidP="007421F4">
            <w:pPr>
              <w:spacing w:before="0" w:after="0"/>
              <w:jc w:val="left"/>
              <w:rPr>
                <w:rFonts w:ascii="Times New Roman" w:hAnsi="Times New Roman"/>
                <w:sz w:val="24"/>
              </w:rPr>
            </w:pPr>
          </w:p>
          <w:p w14:paraId="3EBB2D8B" w14:textId="0CFD406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Værdijusteringer og hensættelser (artikel 159 i forordning (EU) nr. 575/2013) til kredittab, som foretages i henhold til de regnskabsregler, der gælder for den indberettende enhed. Værdijusteringer skal omfatte alle beløb, der er anerkendt som overskud eller tab i forbindelse med kredittab for finansielle aktiver, siden de oprindeligt blev balanceført (herunder tab som følge af kreditrisiko i forbindelse med finansielle aktiver målt til dagsværdi, som ikke skal fratrækkes eksponeringsværdien), plus nedslag i forbindelse med aktiver, der er erhvervet som misligholdte aktiver, jf. artikel 166, stk. 1, i forordning (EU) nr. 575/2013. Hensættelser skal indbefatte akkumulerede beløb for kredittab i forbindelse med ikkebalanceførte poster</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 denne kolonne angives der oplysninger om værdijusteringer og hensættelser vedrørende de securitiserede eksponeringer. Denne kolonne udfyldes ikke, hvis der er tale om en securitisering af passiver.</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Disse oplysninger indberettes, selv om den indberettende enhed ikke besidder positioner i securitiseringen.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Pr>
                <w:rFonts w:ascii="Times New Roman" w:hAnsi="Times New Roman"/>
                <w:b/>
                <w:sz w:val="24"/>
                <w:u w:val="single"/>
              </w:rPr>
              <w:t>KAPITALGRUNDLAGSKRAV INDEN SECURITISERING (%) K</w:t>
            </w:r>
            <w:r>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2D238BCF"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Denne kolonne skal kun indberettes af de institutter, der anvender SEC-IRBA-metoden (og derfor har indberettet 95 % eller mere i kolonne 171), og angiver oplysninger om K</w:t>
            </w:r>
            <w:r>
              <w:rPr>
                <w:rFonts w:ascii="Times New Roman" w:hAnsi="Times New Roman"/>
                <w:sz w:val="24"/>
                <w:vertAlign w:val="subscript"/>
              </w:rPr>
              <w:t>IRB</w:t>
            </w:r>
            <w:r>
              <w:rPr>
                <w:rFonts w:ascii="Times New Roman" w:hAnsi="Times New Roman"/>
                <w:sz w:val="24"/>
              </w:rPr>
              <w:t>, som omhandlet i artikel 255 i forordning (EU) nr. 575/2013. K</w:t>
            </w:r>
            <w:r>
              <w:rPr>
                <w:rFonts w:ascii="Times New Roman" w:hAnsi="Times New Roman"/>
                <w:sz w:val="24"/>
                <w:vertAlign w:val="subscript"/>
              </w:rPr>
              <w:t>IRB</w:t>
            </w:r>
            <w:r>
              <w:rPr>
                <w:rFonts w:ascii="Times New Roman" w:hAnsi="Times New Roman"/>
                <w:sz w:val="24"/>
              </w:rPr>
              <w:t xml:space="preserve"> angives som en procentdel (med to decimaler).</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Denne kolonne udfyldes ikke, hvis der er tale om securitisering af passiver. Hvis der er tale om en securitisering af aktiver, indberettes denne oplysning, selv om den indberettende enhed ikke besidder positioner i securitiseringen.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DETAILEKSPONERINGER I IRB-PULJER</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6216514D"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IRB-puljer som defineret i artikel 242, nr. 7), i forordning (EU) nr. 575/2013, forudsat at instituttet kan beregne K</w:t>
            </w:r>
            <w:r>
              <w:rPr>
                <w:rFonts w:ascii="Times New Roman" w:hAnsi="Times New Roman"/>
                <w:sz w:val="24"/>
                <w:vertAlign w:val="subscript"/>
              </w:rPr>
              <w:t>IRB</w:t>
            </w:r>
            <w:r>
              <w:rPr>
                <w:rFonts w:ascii="Times New Roman" w:hAnsi="Times New Roman"/>
                <w:sz w:val="24"/>
              </w:rPr>
              <w:t xml:space="preserve"> i overensstemmelse med tredje del, afsnit II, kapitel 6, afdeling 3, i forordning (EU) nr. 575/2013 af mindst 95 % af den underliggende eksponering (artikel 259, stk. 2, i forordning (EU) nr. 575/2013)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KAPITALGRUNDLAGSKRAV INDEN SECURITISERING (%) K</w:t>
            </w:r>
            <w:r>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0D39E47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Instituttet skal indberette denne kolonne, selv om det ikke anvender SEC-SA-metoden i forbindelse med securitiseringspositionerne. I denne kolonne angives der oplysninger om K</w:t>
            </w:r>
            <w:r>
              <w:rPr>
                <w:rFonts w:ascii="Times New Roman" w:hAnsi="Times New Roman"/>
                <w:sz w:val="24"/>
                <w:vertAlign w:val="subscript"/>
              </w:rPr>
              <w:t>SA</w:t>
            </w:r>
            <w:r>
              <w:rPr>
                <w:rFonts w:ascii="Times New Roman" w:hAnsi="Times New Roman"/>
                <w:sz w:val="24"/>
              </w:rPr>
              <w:t>, jf. artikel 255, stk. 6, i forordning (EU) nr. 575/2013. K</w:t>
            </w:r>
            <w:r>
              <w:rPr>
                <w:rFonts w:ascii="Times New Roman" w:hAnsi="Times New Roman"/>
                <w:sz w:val="24"/>
                <w:vertAlign w:val="subscript"/>
              </w:rPr>
              <w:t>SA</w:t>
            </w:r>
            <w:r>
              <w:rPr>
                <w:rFonts w:ascii="Times New Roman" w:hAnsi="Times New Roman"/>
                <w:sz w:val="24"/>
              </w:rPr>
              <w:t xml:space="preserve"> angives som en procentdel (med to decimaler).</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Denne kolonne udfyldes ikke, hvis der er tale om securitisering af passiver. Hvis der er tale om en securitisering af aktiver, indberettes denne oplysning, selv om den indberettende enhed ikke besidder positioner i securitiseringen.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MEMORANDUMPOSTER: KREDITRISIKOJUSTERINGER I INDEVÆRENDE PERIODE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Artikel 110 i forordning (EU) nr. 575/2013</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SECURITISERINGSSTRUKTUR</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I denne blok af kolonner angives der oplysninger om securitiseringens struktur på grundlag af balanceførte/ikkebalanceførte positioner, trancher (privilegerede/mezzanin/first loss) og løbetid på indberetningsdatoen.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Pr>
                <w:rFonts w:ascii="Times New Roman" w:hAnsi="Times New Roman"/>
                <w:sz w:val="24"/>
              </w:rPr>
              <w:t>Hvis der er tale om securitiseringer med flere sælgere, indberettes kun det beløb, der svarer til eller er henført til det indberettende institut.</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BALANCEFØRTE POSTER</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 denne blok af kolonner angives der oplysninger om balanceførte poster opdelt i trancher (privilegerede/mezzanin/first loss).</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PRIVILEGEREDE</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BELØB</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7A27EEAF"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Beløbet for foranstillede securitiseringspositioner, som defineret i artikel 242, nr. 6), i forordning (EU) nr. 575/2013.</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ATTACHMENT POINT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68FCBB50"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Attachment point (%) som omhandlet i artikel 256, stk. 1, i forordning (EU) nr. 575/2013.</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0232 og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KREDITKVALITETSTRIN</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6BA3CB9A"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Kreditkvalitetstrin (CQS) som beregnet til institutter, der anvender SEC-ERBA-metoden (artikel 263, tabel 1 og 2, og artikel 264, tabel 3 og 4, i forordning (EU) nr. 575/2013). Disse kolonner skal indberettes for alle ratede transaktioner, uanset hvilken metode der anvendes.</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BELØB</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Det beløb, der skal indberettes, omfatter:</w:t>
            </w:r>
          </w:p>
          <w:p w14:paraId="109FB3F3" w14:textId="05C6C032"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mezzaninsecuritiseringspositioner som defineret i artikel 242, nr. 18), i forordning (EU) nr. 575/2013.</w:t>
            </w:r>
          </w:p>
          <w:p w14:paraId="59C73862" w14:textId="34C7EB59"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yderligere securitiseringspositioner, som ikke er de positioner, der er defineret i artikel 242, nr. 6), 17) eller 18), i forordning (EU) nr. 575/2013.</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ANTAL TRANCHER</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Antal mezzanintrancher.</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 FOR DEN MEST EFTERSTILLEDE TRANCHE</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CQS, som fastsat i overensstemmelse med artikel 263, tabel 2, og artikel 264, tabel 3, i forordning (EU) nr. 575/2013, for den mest efterstillede mezzanintranche.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FIRST LOSS</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BELØB</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1E1B8F96"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Beløbet for first loss-tranche, som defineret i artikel 242, nr. 17), i forordning (EU) nr. 575/2013.</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DETACHMENT POINT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2260247E"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DEtachment point (%) som omhandlet i artikel 256, stk. 2, i forordning (EU) nr. 575/2013.</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KREDITKVALITETSTRIN</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OVERKOLLATERALISERING OG FINANSIEREDE RESERVEKONTI</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Artikel 256, stk. 3, og artikel 4 i forordning (EU) nr. 575/2013</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Beløb for sikkerhedsstillelse og finansierede reservekonti, der ikke opfylder definitionen af "tranche" i artikel 2, nr. 6), i forordning (EU) 2017/2402, men betragtes som trancher med henblik på beregning af attachment og detachment points i overensstemmelse med artikel 256, stk. 3, i forordning (EU) nr. 575/2013.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BELØB</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HERAF: IKKEREFUNDERBARE PRISRABATTER</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Artikel 2, nr. 31), i forordning (EU) 2017/2402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2A677E" w:rsidRDefault="0037077A" w:rsidP="007421F4">
            <w:pPr>
              <w:autoSpaceDE w:val="0"/>
              <w:autoSpaceDN w:val="0"/>
              <w:adjustRightInd w:val="0"/>
              <w:spacing w:before="0" w:after="0"/>
              <w:jc w:val="left"/>
              <w:rPr>
                <w:rFonts w:ascii="Times New Roman" w:hAnsi="Times New Roman"/>
                <w:sz w:val="24"/>
              </w:rPr>
            </w:pPr>
            <w:r>
              <w:rPr>
                <w:rFonts w:ascii="Times New Roman" w:hAnsi="Times New Roman"/>
                <w:sz w:val="24"/>
              </w:rPr>
              <w:t>Institutterne skal indberette den ikkerefunderbare rabat på købsprisen i overensstemmelse med artikel 269a, stk. 7, i forordning (EU) nr. 575/2013 på indberetningsdatoen, som nedjusteres under hensyntagen til de realiserede tab, jf. andet afsnit. Denne kolonne indberettes kun, hvis kolonne 0040 er indberettet som "Kvalificerende NPE-securitisering" eller "Ikke-kvalificerende NPE-securitisering".</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0260-0287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IKKEBALANCEFØRTE POSTER OG DERIVATER</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 denne blok af kolonner angives der oplysninger om ikkebalanceførte poster før konverteringsfaktorer, opdelt i trancher (foranstillede/mezzanin/first loss).</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0260 - 0285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FORANSTILLEDE/MEZZANIN/FIRST LOSS</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rFonts w:ascii="Times New Roman" w:hAnsi="Times New Roman"/>
                <w:sz w:val="24"/>
              </w:rPr>
            </w:pPr>
            <w:r>
              <w:rPr>
                <w:rFonts w:ascii="Times New Roman" w:hAnsi="Times New Roman"/>
                <w:sz w:val="24"/>
              </w:rPr>
              <w:t>De kriterier, der anvendes til klassificering af trancher og identifikation af attachment point, antallet af trancher og detachment point, i forbindelse med balanceførte poster, finder også anvendelse her (se instrukserne til kolonne 0230-0252).</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SYNTETISK MER-SPREAD</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1D3A9D41" w:rsidR="00512CC7"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Artikel 242, nr. 20), artikel 248, stk. 1, litra e), og artikel 256, stk. 6, i forordning (EU) nr. 575/2013 </w:t>
            </w:r>
          </w:p>
          <w:p w14:paraId="2177D346" w14:textId="77777777" w:rsidR="00512CC7" w:rsidRDefault="00512CC7" w:rsidP="0037077A">
            <w:pPr>
              <w:autoSpaceDE w:val="0"/>
              <w:autoSpaceDN w:val="0"/>
              <w:adjustRightInd w:val="0"/>
              <w:spacing w:before="0" w:after="0"/>
              <w:jc w:val="left"/>
              <w:rPr>
                <w:rFonts w:ascii="Times New Roman" w:hAnsi="Times New Roman"/>
                <w:sz w:val="24"/>
                <w:lang w:val="en-US"/>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Denne kolonne indberettes kun, hvis kolonne 0110 indberettes som "Eksponeringsleverende institut".</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LØBETID</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FØRSTE FORVENTEDE UDLØBSDATO</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Den sandsynlige udløbsdato for hele securitiseringen på baggrund af dens kontraktbestemmelser og de finansielle betingelser, der aktuelt forventes. Generelt er det den tidligste af følgende datoer: </w:t>
            </w:r>
          </w:p>
          <w:p w14:paraId="01D6BF76" w14:textId="77777777" w:rsidR="007421F4" w:rsidRPr="002A677E" w:rsidRDefault="007421F4" w:rsidP="007421F4">
            <w:pPr>
              <w:spacing w:before="0" w:after="0"/>
              <w:jc w:val="left"/>
              <w:rPr>
                <w:rFonts w:ascii="Times New Roman" w:hAnsi="Times New Roman"/>
                <w:sz w:val="24"/>
              </w:rPr>
            </w:pPr>
          </w:p>
          <w:p w14:paraId="267BBF47" w14:textId="6CAF8B8B" w:rsidR="007421F4" w:rsidRPr="002A677E" w:rsidRDefault="007421F4" w:rsidP="007421F4">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den dato, hvor en clean-up call option (som defineret i artikel 242, nr. 1), i forordning (EU) nr. 575/2013) første gang kan udøves under hensyntagen til løbetiden for de underliggende eksponeringer og deres forventede forudbetalingssats eller potentielle genforhandlingsaktiviteter</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den dato, hvor det eksponeringsleverende institut første gang kan udøve en anden call option i henhold til kontrakten vedrørende securitiseringen, som vil medføre en fuldstændig indfrielse af securitiseringen.</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Dagen, måneden og året for den første forventede udløbsdato indberettes.</w:t>
            </w:r>
            <w:r>
              <w:rPr>
                <w:rFonts w:ascii="Times New Roman" w:hAnsi="Times New Roman"/>
              </w:rPr>
              <w:t xml:space="preserve"> </w:t>
            </w:r>
            <w:r>
              <w:rPr>
                <w:rFonts w:ascii="Times New Roman" w:hAnsi="Times New Roman"/>
                <w:sz w:val="24"/>
              </w:rPr>
              <w:t>Den nøjagtige dato indberettes, hvis denne oplysning foreligger; ellers indberettes den første dag i måneden.</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EKSPONERINGSLEVERENDE INSTITUTS CALL OPTIONER I TRANSAKTION</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Type call option, som er relevant for den første forventede udløbsdato:</w:t>
            </w:r>
          </w:p>
          <w:p w14:paraId="4BC62F1E" w14:textId="54071AD3"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Clean-up call option, som opfylder betingelserne i artikel 244, stk. 4, litra g), i forordning (EU) nr. 575/2013</w:t>
            </w:r>
          </w:p>
          <w:p w14:paraId="0D0A6F6A"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Anden clean-up call option</w:t>
            </w:r>
          </w:p>
          <w:p w14:paraId="6460DCFE"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Anden type call option.</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JURIDISK FORFALDSDATO</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Den dato, hvor securitiseringens hovedstol og renter juridisk set skal være tilbagebetalt (baseret på transaktionsdokumentationen).</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Dagen, måneden og året for den juridiske forfaldsdato indberettes.</w:t>
            </w:r>
            <w:r>
              <w:rPr>
                <w:rFonts w:ascii="Times New Roman" w:hAnsi="Times New Roman"/>
              </w:rPr>
              <w:t xml:space="preserve"> </w:t>
            </w:r>
            <w:r>
              <w:rPr>
                <w:rFonts w:ascii="Times New Roman" w:hAnsi="Times New Roman"/>
                <w:sz w:val="24"/>
              </w:rPr>
              <w:t>Den nøjagtige dato indberettes, hvis denne oplysning foreligger; ellers indberettes den første dag i måneden.</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MEMORANDUMPOSTER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ATTACHMENT POINT FOR SOLGT RISIKO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Kun eksponeringsleverende institutter skal indberette attachment point for den mest efterstillede tranche solgt til, for traditionelle securitiseringer, eller afdækket af, for syntetiske securitiseringer, tredjemand.</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DETACHMENT POINT FOR SOLGT RISIKO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Kun eksponeringsleverende institutter skal indberette detachment point for den mest foranstillede tranche solgt til, for traditionelle securitiseringer, eller afdækket af, for syntetiske securitiseringer, tredjemand.</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EKSPONERINGSLEVERENDE INSTITUTS KRAV OM RISIKOOVERFØRSEL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Kun eksponeringsleverende institutter skal indberette det forventede tab (EL) plus det ikke forventede tab (UL) i forbindelse med securitiserede aktiver overført til tredjemand som en procentdel af det samlede EL plus UL. EL og UL i forbindelse med de underliggende eksponeringer skal indberettes med efterfølgende fordeling via securitiseringsvandfaldet på securitiseringens respektive trancher. For SA-banker er EL den specifikke kreditrisikojustering i forbindelse med de securitiserede aktiver og UL kapitalkravet i forbindelse med de securitiserede eksponeringer.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119059372"/>
      <w:r>
        <w:rPr>
          <w:rFonts w:ascii="Times New Roman" w:hAnsi="Times New Roman"/>
          <w:sz w:val="24"/>
          <w:u w:val="none"/>
        </w:rPr>
        <w:t>3.8.4.</w:t>
      </w:r>
      <w:r>
        <w:tab/>
      </w:r>
      <w:r>
        <w:rPr>
          <w:rFonts w:ascii="Times New Roman" w:hAnsi="Times New Roman"/>
          <w:sz w:val="24"/>
        </w:rPr>
        <w:t>C 14.01 – Detaljerede oplysninger om securitiseringer (SEC DETAILS 2)</w:t>
      </w:r>
      <w:bookmarkEnd w:id="434"/>
      <w:bookmarkEnd w:id="435"/>
    </w:p>
    <w:bookmarkStart w:id="436" w:name="_Toc522019896"/>
    <w:p w14:paraId="4E2BD416" w14:textId="77777777" w:rsidR="00CA4EB2"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SEC DETAILS 2-skemaet indberettes separat for følgende metoder:</w:t>
      </w:r>
    </w:p>
    <w:p w14:paraId="02743D9E" w14:textId="77777777" w:rsidR="00CA4EB2" w:rsidRPr="00B44FD0" w:rsidRDefault="00CA4EB2" w:rsidP="00487A02">
      <w:pPr>
        <w:pStyle w:val="InstructionsText2"/>
        <w:numPr>
          <w:ilvl w:val="0"/>
          <w:numId w:val="0"/>
        </w:numPr>
        <w:ind w:left="1353" w:hanging="360"/>
      </w:pPr>
      <w:r>
        <w:t>1) SEC-IRBA</w:t>
      </w:r>
    </w:p>
    <w:p w14:paraId="406C7FE9" w14:textId="77777777" w:rsidR="00CA4EB2" w:rsidRPr="00B44FD0" w:rsidRDefault="00CA4EB2" w:rsidP="00487A02">
      <w:pPr>
        <w:pStyle w:val="InstructionsText2"/>
        <w:numPr>
          <w:ilvl w:val="0"/>
          <w:numId w:val="0"/>
        </w:numPr>
        <w:ind w:left="1353" w:hanging="360"/>
      </w:pPr>
      <w:r>
        <w:t>2) SEC-SA</w:t>
      </w:r>
    </w:p>
    <w:p w14:paraId="21228F8E" w14:textId="3F2CF048" w:rsidR="006A7EC8" w:rsidRPr="00B44FD0" w:rsidRDefault="00CA4EB2" w:rsidP="00487A02">
      <w:pPr>
        <w:pStyle w:val="InstructionsText2"/>
        <w:numPr>
          <w:ilvl w:val="0"/>
          <w:numId w:val="0"/>
        </w:numPr>
        <w:ind w:left="1353" w:hanging="360"/>
      </w:pPr>
      <w:r>
        <w:t>3) SEC-ERBA</w:t>
      </w:r>
    </w:p>
    <w:p w14:paraId="0062414C" w14:textId="470B818B" w:rsidR="00CA4EB2" w:rsidRDefault="00CA4EB2" w:rsidP="00487A02">
      <w:pPr>
        <w:pStyle w:val="InstructionsText2"/>
        <w:numPr>
          <w:ilvl w:val="0"/>
          <w:numId w:val="0"/>
        </w:numPr>
        <w:ind w:left="1353" w:hanging="360"/>
      </w:pPr>
      <w:r>
        <w:t>4) 1 250 %</w:t>
      </w:r>
    </w:p>
    <w:p w14:paraId="6F7C4A1C" w14:textId="1FE96360" w:rsidR="00B12E10" w:rsidRDefault="00B12E10" w:rsidP="00487A02">
      <w:pPr>
        <w:pStyle w:val="InstructionsText2"/>
        <w:numPr>
          <w:ilvl w:val="0"/>
          <w:numId w:val="0"/>
        </w:numPr>
        <w:ind w:left="1353" w:hanging="360"/>
      </w:pPr>
      <w:r>
        <w:t>5) metoden med intern vurdering</w:t>
      </w:r>
    </w:p>
    <w:p w14:paraId="1F10A4FD" w14:textId="4DA46199" w:rsidR="00855EAC" w:rsidRPr="002A677E" w:rsidRDefault="00B12E10" w:rsidP="00487A02">
      <w:pPr>
        <w:pStyle w:val="InstructionsText2"/>
        <w:numPr>
          <w:ilvl w:val="0"/>
          <w:numId w:val="0"/>
        </w:numPr>
        <w:ind w:left="1353" w:hanging="360"/>
      </w:pPr>
      <w:r>
        <w:t>6) særlig behandling af foranstillede trancher af kvalificerede NPE-securitiseringer.</w:t>
      </w: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Kolonner</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INTERN KODE</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Intern (alfanumerisk) kode, som instituttet bruger til at identificere securitiseringen. Den interne kode skal være knyttet til ID'et for securitiseringstransaktionen.</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 FOR SECURITISERINGEN</w:t>
            </w:r>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Kode, der bruges til juridisk registrering af securitiseringspositionen, eller securitiseringstransaktionen i tilfælde af flere positioner, som kan indberettes i den samme række. Hvis den ikke foreligger, anvendes det navn, securitiseringspositionen eller securitiseringstransaktionen er kendt under på markedet eller i instituttet i tilfælde af en intern eller privat securitisering. Hvis ISIN (International Securities Identification Number) er tilgængeligt (dvs. for offentlige transaktioner), indberettes de tegn, der er fælles for alle trancher i securitiseringen, i denne kolonne.</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SECURITISERINGSPOSITIONER: OPRINDELIG EKSPONERING FØR ANVENDELSE AF KONVERTERINGSFAKTORER</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I denne blok af kolonner angives der oplysninger om securitiseringspositioner opdelt i balanceførte/ikkebalanceførte positioner og trancher (privilegerede/mezzanin/first loss) på indberetningsdatoen.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BALANCEFØRTE POSTER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rPr>
            </w:pPr>
            <w:r>
              <w:rPr>
                <w:rFonts w:ascii="Times New Roman" w:hAnsi="Times New Roman"/>
                <w:sz w:val="24"/>
              </w:rPr>
              <w:t>De kriterier, der anvendes til klassificering af trancher i kolonne 0230, 0240 og 0250 i skema C 14.00, finder også anvendelse her.</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IKKEBALANCEFØRTE POSTER OG DERIVATER</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rPr>
            </w:pPr>
            <w:r>
              <w:rPr>
                <w:rFonts w:ascii="Times New Roman" w:hAnsi="Times New Roman"/>
                <w:sz w:val="24"/>
              </w:rPr>
              <w:t>De kriterier, der anvendes til klassificering af trancher i kolonne 0260-0287 i skema C 14.00, finder også anvendelse her.</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og 0361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SVARENDE TIL UDBYDER AF KREDITRISIKOAFDÆKNING / KREDITRISIKOAFDÆKNINGSINSTRUMENT</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504ACAAC" w:rsidR="00FC6275" w:rsidRPr="002A677E"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 RW for den anerkendte garantistiller eller % RW for det tilsvarende instrument, som tilvejebringer kreditrisikoafdækning i overensstemmelse med artikel 249 i forordning (EU) nr. 575/2013.</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SYNTETISK MER-SPREAD</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3E3A7A2B" w:rsidR="002339F2" w:rsidRDefault="00C24F3F"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Artikel 242, nr. 20), artikel 248, stk. 1, litra e), og artikel 256, stk. 6, i forordning (EU) nr. 575/2013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Denne kolonne indberettes kun, hvis kolonne 0110 indberettes som "Eksponeringsleverende institut".</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0370-0400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MEMORANDUMPOSTER: IKKEBALANCEFØRTE POSTER OG DERIVATER FØR ANVENDELSE AF KONVERTERINGSFAKTORER</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I denne blok af kolonner angives der oplysninger om de samlede ikkebalanceførte poster og derivater (som allerede er indberettet under en anden opdeling i kolonne 0340-0361).</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DIREKTE KREDITSUBSTITUTTER (DCS)</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Pr>
                <w:rFonts w:ascii="Times New Roman" w:hAnsi="Times New Roman"/>
                <w:sz w:val="24"/>
              </w:rPr>
              <w:t>Denne kolonne gælder for securitiseringspositioner, der indehaves af det eksponeringsleverende institut og er garanteret ved hjælp af direkte kreditsubstitutter (DCS).</w:t>
            </w:r>
          </w:p>
          <w:p w14:paraId="4846C8B3" w14:textId="77777777" w:rsidR="00FC6275" w:rsidRPr="002A677E" w:rsidRDefault="00FC6275" w:rsidP="00E10B85">
            <w:pPr>
              <w:spacing w:before="0" w:after="0"/>
              <w:rPr>
                <w:rFonts w:ascii="Times New Roman" w:hAnsi="Times New Roman"/>
                <w:sz w:val="24"/>
              </w:rPr>
            </w:pPr>
          </w:p>
          <w:p w14:paraId="5E8E5F5B" w14:textId="22A1F932" w:rsidR="00FC6275" w:rsidRPr="002A677E" w:rsidRDefault="00BB22D4" w:rsidP="00E10B85">
            <w:pPr>
              <w:spacing w:before="0" w:after="0"/>
              <w:rPr>
                <w:rFonts w:ascii="Times New Roman" w:hAnsi="Times New Roman"/>
                <w:sz w:val="24"/>
              </w:rPr>
            </w:pPr>
            <w:r>
              <w:rPr>
                <w:rFonts w:ascii="Times New Roman" w:hAnsi="Times New Roman"/>
                <w:sz w:val="24"/>
              </w:rPr>
              <w:t>I henhold til bilag I i forordning (EU) nr. 575/2013 betragtes følgende ikkebalanceførte poster med fuld risiko som DCS:</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garantier i form af kreditsubstitutter</w:t>
            </w:r>
          </w:p>
          <w:p w14:paraId="09F83054"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uigenkaldeligt afgivne kredittilsagn i form af kreditsubstitutter.</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IRS/CRS</w:t>
            </w:r>
          </w:p>
          <w:p w14:paraId="33251FBD" w14:textId="77777777" w:rsidR="00FC6275" w:rsidRPr="002A677E" w:rsidRDefault="00FC6275" w:rsidP="00E10B85">
            <w:pPr>
              <w:spacing w:before="0" w:after="0"/>
              <w:jc w:val="left"/>
              <w:rPr>
                <w:rFonts w:ascii="Times New Roman" w:hAnsi="Times New Roman"/>
                <w:sz w:val="24"/>
              </w:rPr>
            </w:pPr>
          </w:p>
          <w:p w14:paraId="323F67A2" w14:textId="3AE1BED8" w:rsidR="00FC6275" w:rsidRPr="002A677E" w:rsidRDefault="00FC6275" w:rsidP="00E10B85">
            <w:pPr>
              <w:spacing w:before="0" w:after="0"/>
              <w:rPr>
                <w:rFonts w:ascii="Times New Roman" w:hAnsi="Times New Roman"/>
                <w:sz w:val="24"/>
              </w:rPr>
            </w:pPr>
            <w:r>
              <w:rPr>
                <w:rFonts w:ascii="Times New Roman" w:hAnsi="Times New Roman"/>
                <w:sz w:val="24"/>
              </w:rPr>
              <w:t>IRS står for Interest Rate Swaps (renteswaps), mens CRS står for Currency Rate Swaps (valutaswaps). Disse derivater er anført i bilag II til forordning (EU) nr. 575/2013.</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LIKVIDITETSFACILITETER</w:t>
            </w:r>
          </w:p>
          <w:p w14:paraId="0F06BD7B" w14:textId="77777777" w:rsidR="00FC6275" w:rsidRPr="002A677E" w:rsidRDefault="00FC6275" w:rsidP="00E10B85">
            <w:pPr>
              <w:spacing w:before="0" w:after="0"/>
              <w:jc w:val="left"/>
              <w:rPr>
                <w:rFonts w:ascii="Times New Roman" w:hAnsi="Times New Roman"/>
                <w:sz w:val="24"/>
              </w:rPr>
            </w:pPr>
          </w:p>
          <w:p w14:paraId="109FDB46" w14:textId="0163297B" w:rsidR="00FC6275" w:rsidRPr="002A677E" w:rsidRDefault="00FC6275" w:rsidP="00E10B85">
            <w:pPr>
              <w:spacing w:before="0" w:after="0"/>
              <w:rPr>
                <w:rFonts w:ascii="Times New Roman" w:hAnsi="Times New Roman"/>
                <w:sz w:val="24"/>
              </w:rPr>
            </w:pPr>
            <w:r>
              <w:rPr>
                <w:rFonts w:ascii="Times New Roman" w:hAnsi="Times New Roman"/>
                <w:sz w:val="24"/>
              </w:rPr>
              <w:t>Likviditetsfaciliteter som defineret i artikel 242, nr. 3), i forordning (EU) nr. 575/2013.</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ANDRE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Pr>
                <w:rFonts w:ascii="Times New Roman" w:hAnsi="Times New Roman"/>
                <w:sz w:val="24"/>
              </w:rPr>
              <w:t>Resterende ikkebalanceførte poster.</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EKSPONERINGSVÆRDI</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Pr>
                <w:rFonts w:ascii="Times New Roman" w:hAnsi="Times New Roman"/>
                <w:sz w:val="24"/>
              </w:rPr>
              <w:t>Denne oplysning vedrører også kolonne 0180 i CR SEC-skemaet.</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EKSPONERINGSVÆRDI, DER FRATRÆKKES KAPITALGRUNDLAGET</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Pr>
                <w:rFonts w:ascii="Times New Roman" w:hAnsi="Times New Roman"/>
                <w:sz w:val="24"/>
              </w:rPr>
              <w:t>Denne oplysning vedrører også kolonne 0190 i CR SEC-skemaet.</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Pr>
                <w:rFonts w:ascii="Times New Roman" w:hAnsi="Times New Roman"/>
                <w:sz w:val="24"/>
              </w:rPr>
              <w:t>Der indberettes et negativt tal i denne kolonne.</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SAMLET RISIKOVÆGTET EKSPONERING FØR LOFT</w:t>
            </w:r>
          </w:p>
          <w:p w14:paraId="4EC7433C" w14:textId="77777777" w:rsidR="00FC6275" w:rsidRPr="002A677E" w:rsidRDefault="00FC6275" w:rsidP="00E10B85">
            <w:pPr>
              <w:spacing w:before="0" w:after="0"/>
              <w:jc w:val="left"/>
              <w:rPr>
                <w:rFonts w:ascii="Times New Roman" w:hAnsi="Times New Roman"/>
                <w:sz w:val="24"/>
              </w:rPr>
            </w:pPr>
          </w:p>
          <w:p w14:paraId="253665E3" w14:textId="6387C037" w:rsidR="00FC6275" w:rsidRPr="002A677E" w:rsidRDefault="00FC6275" w:rsidP="001235ED">
            <w:pPr>
              <w:spacing w:before="0" w:after="0"/>
              <w:rPr>
                <w:rFonts w:ascii="Times New Roman" w:hAnsi="Times New Roman"/>
                <w:sz w:val="24"/>
              </w:rPr>
            </w:pPr>
            <w:r>
              <w:rPr>
                <w:rFonts w:ascii="Times New Roman" w:hAnsi="Times New Roman"/>
                <w:sz w:val="24"/>
              </w:rPr>
              <w:t>I denne kolonne indberettes der oplysninger om den risikovægtede eksponering før det loft, der gælder for securitiseringspositioner beregnet i overensstemmelse med tredje del, afsnit II, kapitel 5, afdeling 3, i forordning (EU) nr. 575/2013.</w:t>
            </w:r>
          </w:p>
          <w:p w14:paraId="28A1D44E" w14:textId="416AAAB8" w:rsidR="00FC6275" w:rsidRPr="002A677E" w:rsidRDefault="00FC6275" w:rsidP="00E10B85">
            <w:pPr>
              <w:spacing w:before="0" w:after="0"/>
              <w:jc w:val="left"/>
              <w:rPr>
                <w:rFonts w:ascii="Times New Roman" w:hAnsi="Times New Roman"/>
                <w:sz w:val="24"/>
              </w:rPr>
            </w:pPr>
            <w:r>
              <w:rPr>
                <w:rFonts w:ascii="Times New Roman" w:hAnsi="Times New Roman"/>
                <w:sz w:val="24"/>
              </w:rPr>
              <w:lastRenderedPageBreak/>
              <w:t xml:space="preserve"> </w:t>
            </w:r>
          </w:p>
          <w:p w14:paraId="635A8D93" w14:textId="77777777"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Hvis der er tale om securitiseringer i handelsbeholdningen, indberettes RWEA vedrørende den specifikke risiko. Se kolonne 0570 i MKR SA SEC eller kolonne 0410 og 0420 (den, der er relevant for kapitalgrundlagskravet) i MKR SA CTP.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REDUKTION SOM FØLGE AF LOFT OVER RISIKOVÆGT</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3424337B" w:rsidR="00FC6275" w:rsidRPr="002A677E" w:rsidRDefault="00FC6275" w:rsidP="00E10B85">
            <w:pPr>
              <w:spacing w:before="0" w:after="0"/>
              <w:jc w:val="left"/>
              <w:rPr>
                <w:rFonts w:ascii="Times New Roman" w:hAnsi="Times New Roman"/>
                <w:sz w:val="24"/>
              </w:rPr>
            </w:pPr>
            <w:r>
              <w:rPr>
                <w:rFonts w:ascii="Times New Roman" w:hAnsi="Times New Roman"/>
                <w:sz w:val="24"/>
              </w:rPr>
              <w:t>Artikel 267 og 269a i forordning (EU) nr. 575/2013</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REDUKTION SOM FØLGE AF GENERELT LOFT</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6BD7C46E"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Artikel 268 og 269a i forordning (EU) nr. 575/2013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SAMLET RISIKOVÆGTET EKSPONERING EFTER LOFT</w:t>
            </w:r>
          </w:p>
          <w:p w14:paraId="6DD24E89" w14:textId="77777777" w:rsidR="00FC6275" w:rsidRPr="002A677E" w:rsidRDefault="00FC6275" w:rsidP="00E10B85">
            <w:pPr>
              <w:spacing w:before="0" w:after="0"/>
              <w:jc w:val="left"/>
              <w:rPr>
                <w:rFonts w:ascii="Times New Roman" w:hAnsi="Times New Roman"/>
                <w:sz w:val="24"/>
              </w:rPr>
            </w:pPr>
          </w:p>
          <w:p w14:paraId="4B0679F7" w14:textId="3ED2D743" w:rsidR="00FC6275" w:rsidRPr="002A677E" w:rsidRDefault="00FC6275" w:rsidP="00E10B85">
            <w:pPr>
              <w:spacing w:before="0" w:after="0"/>
              <w:rPr>
                <w:rFonts w:ascii="Times New Roman" w:hAnsi="Times New Roman"/>
                <w:sz w:val="24"/>
              </w:rPr>
            </w:pPr>
            <w:r>
              <w:rPr>
                <w:rFonts w:ascii="Times New Roman" w:hAnsi="Times New Roman"/>
                <w:sz w:val="24"/>
              </w:rPr>
              <w:t xml:space="preserve">I denne kolonne indberettes der oplysninger om den risikovægtede eksponering efter de lofter, der gælder for securitiseringspositioner beregnet i overensstemmelse med tredje del, afsnit II, kapitel 5, afdeling 3, i forordning (EU) nr. 575/2013. </w:t>
            </w:r>
          </w:p>
          <w:p w14:paraId="5281DC76" w14:textId="77777777" w:rsidR="00FC6275" w:rsidRPr="002A677E" w:rsidRDefault="00FC6275" w:rsidP="00E10B85">
            <w:pPr>
              <w:spacing w:before="0" w:after="0"/>
              <w:rPr>
                <w:rFonts w:ascii="Times New Roman" w:hAnsi="Times New Roman"/>
                <w:sz w:val="24"/>
              </w:rPr>
            </w:pPr>
          </w:p>
          <w:p w14:paraId="5AF36BA3" w14:textId="399905B3" w:rsidR="00FC6275" w:rsidRPr="002A677E" w:rsidRDefault="00FC6275" w:rsidP="00E10B85">
            <w:pPr>
              <w:spacing w:before="0" w:after="0"/>
              <w:rPr>
                <w:rFonts w:ascii="Times New Roman" w:hAnsi="Times New Roman"/>
                <w:sz w:val="24"/>
              </w:rPr>
            </w:pPr>
            <w:r>
              <w:rPr>
                <w:rFonts w:ascii="Times New Roman" w:hAnsi="Times New Roman"/>
                <w:sz w:val="24"/>
              </w:rPr>
              <w:t>Hvis der er tale om securitiseringer i handelsbeholdningen, indberettes RWEA vedrørende den specifikke risiko. Se kolonne 0601 i MKR SA SEC eller kolonne 0450 i MKR SA CTP.</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MEMORANDUMPOSTER</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RISIKOVÆGTET EKSPONERING EFTER SEC-ERBA</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3E7C6E22"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Artikel 263 og 264 i forordning (EU) nr. 575/2013 Denne kolonne skal kun indberettes for ratede transaktioner før loft, og den skal ikke indberettes for transaktioner efter SEC-ERBA.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RISIKOVÆGTET EKSPONERING EFTER SEC-SA</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4699DA7B" w:rsidR="00FC6275" w:rsidRPr="002A677E" w:rsidRDefault="00FC6275" w:rsidP="00E10B85">
            <w:pPr>
              <w:spacing w:before="0" w:after="0"/>
              <w:jc w:val="left"/>
              <w:rPr>
                <w:rFonts w:ascii="Times New Roman" w:hAnsi="Times New Roman"/>
                <w:sz w:val="24"/>
              </w:rPr>
            </w:pPr>
            <w:r>
              <w:rPr>
                <w:rFonts w:ascii="Times New Roman" w:hAnsi="Times New Roman"/>
                <w:sz w:val="24"/>
              </w:rPr>
              <w:t>Artikel 261 og 262 i forordning (EU) nr. 575/2013 Denne kolonne skal indberettes før loft, og den skal ikke indberettes for transaktioner efter SEC-SA.</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SECURITISERINGSPOSITIONER — HANDELSBEHOLDNING</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CTP ELLER NON-CTP?</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Institutterne skal indberette en af følgende:</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"CTP" - korrelationshandelsporteføljen</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"Ikke-CTP".</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NETTOPOSITIONER — LANGE/KORTE</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Se kolonne 0050 i MKR SA SEC eller kolonne 0060 i MKR SA CTP.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119059373"/>
      <w:r>
        <w:rPr>
          <w:rFonts w:ascii="Times New Roman" w:hAnsi="Times New Roman"/>
          <w:sz w:val="24"/>
        </w:rPr>
        <w:lastRenderedPageBreak/>
        <w:t>Modpartsrisiko</w:t>
      </w:r>
      <w:bookmarkEnd w:id="437"/>
      <w:bookmarkEnd w:id="438"/>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119059374"/>
      <w:bookmarkEnd w:id="439"/>
      <w:bookmarkEnd w:id="440"/>
      <w:bookmarkEnd w:id="441"/>
      <w:bookmarkEnd w:id="442"/>
      <w:bookmarkEnd w:id="443"/>
      <w:bookmarkEnd w:id="444"/>
      <w:r>
        <w:rPr>
          <w:rFonts w:ascii="Times New Roman" w:hAnsi="Times New Roman"/>
          <w:sz w:val="24"/>
        </w:rPr>
        <w:t>Anvendelsesområdet for skemaerne for modpartsrisiko</w:t>
      </w:r>
      <w:bookmarkEnd w:id="445"/>
      <w:bookmarkEnd w:id="446"/>
      <w:bookmarkEnd w:id="447"/>
    </w:p>
    <w:p w14:paraId="16DF9742" w14:textId="737BE431" w:rsidR="00595FAD" w:rsidRPr="002A677E" w:rsidRDefault="008F3052" w:rsidP="00487A02">
      <w:pPr>
        <w:pStyle w:val="InstructionsText2"/>
        <w:numPr>
          <w:ilvl w:val="0"/>
          <w:numId w:val="0"/>
        </w:numPr>
        <w:ind w:left="1353" w:hanging="360"/>
      </w:pPr>
      <w:fldSimple w:instr=" seq paragraphs ">
        <w:r>
          <w:t>119</w:t>
        </w:r>
      </w:fldSimple>
      <w:r>
        <w:t>. Skemaerne for modpartsrisiko omfatter oplysninger om eksponeringer, der er omfattet af modpartskreditrisiko, jf. tredje del, afsnit II, kapitel 4 og 6, i forordning (EU) nr. 575/2013.</w:t>
      </w:r>
    </w:p>
    <w:p w14:paraId="1ABA71A1" w14:textId="46794B31" w:rsidR="00595FAD" w:rsidRPr="002A677E" w:rsidRDefault="008F3052" w:rsidP="00487A02">
      <w:pPr>
        <w:pStyle w:val="InstructionsText2"/>
        <w:numPr>
          <w:ilvl w:val="0"/>
          <w:numId w:val="0"/>
        </w:numPr>
        <w:ind w:left="1353" w:hanging="360"/>
      </w:pPr>
      <w:fldSimple w:instr=" seq paragraphs ">
        <w:r>
          <w:t>120</w:t>
        </w:r>
      </w:fldSimple>
      <w:r>
        <w:t xml:space="preserve">. Skemaerne udelukker kapitalgrundlagskravene i forbindelse med kreditværdijusteringsrisiko (artikel 92, stk. 3, litra d), og tredje del, afsnit VI, i forordning (EU) nr. 575/2013), som indberettes i skemaet for CVA-risiko. </w:t>
      </w:r>
    </w:p>
    <w:p w14:paraId="7DA5FF3B" w14:textId="2D6597E3" w:rsidR="00595FAD" w:rsidRPr="002A677E" w:rsidRDefault="008F3052" w:rsidP="00487A02">
      <w:pPr>
        <w:pStyle w:val="InstructionsText2"/>
        <w:numPr>
          <w:ilvl w:val="0"/>
          <w:numId w:val="0"/>
        </w:numPr>
        <w:ind w:left="1353" w:hanging="360"/>
      </w:pPr>
      <w:fldSimple w:instr=" seq paragraphs ">
        <w:r>
          <w:t>121</w:t>
        </w:r>
      </w:fldSimple>
      <w:r>
        <w:t>. Modpartsrisikoeksponeringer over for centrale modparter (tredje del, afsnit II, kapitel 4, og kapitel 6, afdeling 9, i forordning (EU) nr. 575/2013) bør medtages i CCR-tallene, medmindre andet er anført. Bidrag til misligholdelsesfonden beregnet i overensstemmelse med artikel 307-310 i forordning (EU) nr. 575/2013 skal dog ikke indberettes i skemaerne for modpartsrisiko, med undtagelse af skema C 34.10, navnlig de tilsvarende rækker. Generelt indberettes de risikovægtede eksponeringer for bidrag til misligholdelsesfonden direkte i skema C 02.00, række 0460.</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516210659"/>
      <w:bookmarkStart w:id="450" w:name="_Toc119059375"/>
      <w:r>
        <w:rPr>
          <w:rFonts w:ascii="Times New Roman" w:hAnsi="Times New Roman"/>
          <w:sz w:val="24"/>
        </w:rPr>
        <w:t>C 34.01 — Omfanget af derivataktiviteter</w:t>
      </w:r>
      <w:bookmarkEnd w:id="448"/>
      <w:bookmarkEnd w:id="450"/>
    </w:p>
    <w:p w14:paraId="2690A5C9" w14:textId="27A54DBD" w:rsidR="00595FAD" w:rsidRPr="002A677E"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119059376"/>
      <w:r>
        <w:rPr>
          <w:rFonts w:ascii="Times New Roman" w:hAnsi="Times New Roman"/>
          <w:sz w:val="24"/>
        </w:rPr>
        <w:t>Generelle bemærkninger</w:t>
      </w:r>
      <w:bookmarkEnd w:id="449"/>
      <w:bookmarkEnd w:id="451"/>
      <w:bookmarkEnd w:id="452"/>
    </w:p>
    <w:p w14:paraId="1634EA16" w14:textId="5DAA6C2F" w:rsidR="00595FAD" w:rsidRPr="002A677E" w:rsidRDefault="008F3052" w:rsidP="00487A02">
      <w:pPr>
        <w:pStyle w:val="InstructionsText2"/>
        <w:numPr>
          <w:ilvl w:val="0"/>
          <w:numId w:val="0"/>
        </w:numPr>
        <w:ind w:left="1353" w:hanging="360"/>
      </w:pPr>
      <w:fldSimple w:instr=" seq paragraphs ">
        <w:r>
          <w:t>122</w:t>
        </w:r>
      </w:fldSimple>
      <w:r>
        <w:t>. I overensstemmelse med artikel 273a i forordning (EU) nr. 575/2013 kan et institut beregne eksponeringsværdien af dets derivatpositioner i overensstemmelse med den metode, der er fastsat i tredje del, afsnit II, kapitel 6, afdeling 4 eller 5, i forordning (EU) nr. 575/2013, såfremt omfanget af dets balanceførte og ikkebalanceførte derivataktiviteter er lig med eller under foruddefinerede tærskler. Den tilsvarende vurdering foretages på grundlag af en månedlig vurdering med anvendelse af data fra den sidste dag i måneden. Dette skema indeholder oplysninger om, hvorvidt disse tærskler er overholdt, og mere generelt oplysninger om omfanget af derivataktiviteterne.</w:t>
      </w:r>
    </w:p>
    <w:p w14:paraId="07050E36" w14:textId="77777777" w:rsidR="00595FAD" w:rsidRPr="002A677E" w:rsidRDefault="008F3052" w:rsidP="00487A02">
      <w:pPr>
        <w:pStyle w:val="InstructionsText2"/>
        <w:numPr>
          <w:ilvl w:val="0"/>
          <w:numId w:val="0"/>
        </w:numPr>
        <w:ind w:left="1353" w:hanging="360"/>
      </w:pPr>
      <w:fldSimple w:instr=" seq paragraphs ">
        <w:r>
          <w:t>123</w:t>
        </w:r>
      </w:fldSimple>
      <w:r>
        <w:t>. Måned 1, måned 2 og måned 3 henviser til henholdsvis den første, anden og sidste måned i det kvartal, der indberettes. Oplysningerne indberettes kun for månedernes udgang efter den 28. juni 2021.</w:t>
      </w:r>
    </w:p>
    <w:p w14:paraId="67FED447" w14:textId="2C384D2E" w:rsidR="00595FAD" w:rsidRPr="002A677E"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119059377"/>
      <w:r>
        <w:rPr>
          <w:rFonts w:ascii="Times New Roman" w:hAnsi="Times New Roman"/>
          <w:sz w:val="24"/>
        </w:rPr>
        <w:t>Instrukser vedrørende specifikke positioner</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Kolonner</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LANGE DERIVATPOSITIONER</w:t>
            </w:r>
          </w:p>
          <w:p w14:paraId="0BA1473A" w14:textId="6E0520E9"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Artikel 273a, stk. 3, i forordning (EU) nr. 575/2013</w:t>
            </w:r>
          </w:p>
          <w:p w14:paraId="4536292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Summen af de absolutte markedsværdier for lange derivatpositioner på den sidste dag i måneden indberettes.</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0020,0050,</w:t>
            </w:r>
          </w:p>
          <w:p w14:paraId="2D6EE81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KORTE DERIVATPOSITIONER</w:t>
            </w:r>
          </w:p>
          <w:p w14:paraId="0EA49292" w14:textId="55CC82AE"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lastRenderedPageBreak/>
              <w:t>Artikel 273a, stk. 3, i forordning (EU) nr. 575/2013</w:t>
            </w:r>
          </w:p>
          <w:p w14:paraId="5A979FC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Summen af de absolutte markedsværdier for korte derivatpositioner på den sidste dag i måneden indberettes.</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0030,0060,</w:t>
            </w:r>
          </w:p>
          <w:p w14:paraId="1DD7C7A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 ALT</w:t>
            </w:r>
          </w:p>
          <w:p w14:paraId="24A5169F" w14:textId="35D3C572"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Artikel 273a, stk. 3, litra b), i forordning (EU) nr. 575/2013</w:t>
            </w:r>
          </w:p>
          <w:p w14:paraId="6C6185D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Summen af den absolutte værdi for lange derivatpositioner og den absolutte værdi for korte derivatpositioner.</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Rækker</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Omfanget af derivataktiviteter</w:t>
            </w:r>
          </w:p>
          <w:p w14:paraId="1B0B6D13" w14:textId="75509C69" w:rsidR="00595FAD" w:rsidRPr="002A677E" w:rsidRDefault="00595FAD" w:rsidP="00FF15C6">
            <w:pPr>
              <w:spacing w:beforeLines="60" w:before="144" w:afterLines="60" w:after="144"/>
              <w:rPr>
                <w:rFonts w:ascii="Times New Roman" w:hAnsi="Times New Roman"/>
                <w:bCs/>
                <w:sz w:val="24"/>
              </w:rPr>
            </w:pPr>
            <w:r>
              <w:rPr>
                <w:rFonts w:ascii="Times New Roman" w:hAnsi="Times New Roman"/>
                <w:sz w:val="24"/>
              </w:rPr>
              <w:t>Artikel 273a, stk. 3, i forordning (EU) nr. 575/2013</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Alle balanceførte og ikkebalanceførte derivater medtages, bortset fra kreditderivater, der anses for at være interne afdækninger af eksponeringer mod kreditrisici uden for handelsbeholdningen.</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Balanceførte og ikkebalanceførte derivater</w:t>
            </w:r>
          </w:p>
          <w:p w14:paraId="4AAF371E" w14:textId="13E9925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Artikel 273a, stk. 3, litra a) og b), i forordning (EU) nr. 575/2013</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samlede markedsværdi af balanceførte og ikkebalanceførte derivatpositioner pr. den sidste dag i måneden indberettes.</w:t>
            </w:r>
            <w:r>
              <w:rPr>
                <w:rFonts w:ascii="Times New Roman" w:hAnsi="Times New Roman"/>
                <w:sz w:val="24"/>
              </w:rPr>
              <w:t xml:space="preserve"> Hvis markedsværdien for en position ikke er tilgængelig på denne dato, anvender institutterne en dagsværdi for positionen på denne dato; hvis markedsprisen og dagsværdien for en position ikke er tilgængelig på denne dato, anvender institutterne den seneste markedsværdi eller dagsværdi for den pågældende position.</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Kreditderivater, der anses for at være interne afdækninger af eksponeringer mod kreditrisici uden for handelsbeholdningen.</w:t>
            </w:r>
          </w:p>
          <w:p w14:paraId="6E790CFD" w14:textId="24CB979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Artikel 273a, stk. 3, litra c), i forordning (EU) nr. 575/2013</w:t>
            </w:r>
          </w:p>
          <w:p w14:paraId="34F42F5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Den samlede markedsværdi af de kreditderivater, der anses for at være interne afdækninger af eksponeringer mod kreditrisici uden for handelsbeholdningen.</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samlede aktiver</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samlede aktiver i overensstemmelse med de anvendte regnskabsstandarder.</w:t>
            </w:r>
          </w:p>
          <w:p w14:paraId="58E58DA9" w14:textId="1E8C1291" w:rsidR="00595FAD" w:rsidRPr="002A677E" w:rsidRDefault="00595FAD" w:rsidP="00215CD7">
            <w:pPr>
              <w:spacing w:beforeLines="60" w:before="144" w:afterLines="60" w:after="144"/>
              <w:rPr>
                <w:rStyle w:val="InstructionsTabelleberschrift"/>
                <w:rFonts w:ascii="Times New Roman" w:hAnsi="Times New Roman"/>
                <w:b w:val="0"/>
                <w:sz w:val="24"/>
              </w:rPr>
            </w:pPr>
            <w:r>
              <w:rPr>
                <w:rFonts w:ascii="Times New Roman" w:hAnsi="Times New Roman"/>
                <w:sz w:val="24"/>
              </w:rPr>
              <w:t>Med henblik på konsolideret indberetning skal institutterne indberette de samlede aktiver efter den tilsynsmæssige konsolidering i overensstemmelse med første del, afsnit II, kapitel 2, afdeling 2, i forordning (EU) nr. 575/2013.</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Procentdel af samlede aktiver</w:t>
            </w:r>
          </w:p>
          <w:p w14:paraId="2461BDFB" w14:textId="77777777"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Procentdelen beregnes ud fra omfanget af derivataktiviteterne (række 0010) divideret med de samlede aktiver (række 0040).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lastRenderedPageBreak/>
              <w:t>UNDTAGELSE I OVERENSSTEMMELSE MED ARTIKEL 273A, STK. 4, I FORORDNING (EU) NR. 575/2013</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501B5F38" w14:textId="185B0B7C"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Er betingelserne i artikel 273a, stk. 4, i forordning (EU) nr. 575/2013 opfyldt, herunder den kompetente myndigheds godkendelse?</w:t>
            </w:r>
          </w:p>
          <w:p w14:paraId="4520D45D" w14:textId="77D443A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Artikel 273a, stk. 4, i forordning (EU) nr. 575/2013</w:t>
            </w:r>
          </w:p>
          <w:p w14:paraId="177FD8A4" w14:textId="27288455"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Institutter, der overskrider tærsklerne med hensyn til at anvende en forenklet metode for modpartsrisiko, men som stadig anvender en af dem på grundlag af artikel 273a, stk. 4, i forordning (EU) nr. 575/2013, angiver (med ja/nej), om de opfylder alle betingelserne i denne artikel.</w:t>
            </w:r>
          </w:p>
          <w:p w14:paraId="1EA6D1CA" w14:textId="38FB20EC" w:rsidR="00595FAD" w:rsidRPr="002A677E" w:rsidRDefault="00595FAD" w:rsidP="00FF15C6">
            <w:pPr>
              <w:spacing w:beforeLines="60" w:before="144" w:afterLines="60" w:after="144"/>
              <w:rPr>
                <w:rFonts w:ascii="Times New Roman" w:hAnsi="Times New Roman"/>
                <w:b/>
                <w:sz w:val="24"/>
              </w:rPr>
            </w:pPr>
            <w:r>
              <w:rPr>
                <w:rFonts w:ascii="Times New Roman" w:hAnsi="Times New Roman"/>
                <w:sz w:val="24"/>
              </w:rPr>
              <w:t>Denne post indberettes kun af de institutter, der anvender undtagelsen i overensstemmelse med artikel 273a, stk. 4, i forordning (EU) nr. 575/2013.</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Metode til beregning af eksponeringsværdierne på konsolideret niveau</w:t>
            </w:r>
          </w:p>
          <w:p w14:paraId="6F2748DF" w14:textId="152AC66B"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Artikel 273a, stk. 4, i forordning (EU) nr. 575/2013</w:t>
            </w:r>
          </w:p>
          <w:p w14:paraId="512381BC" w14:textId="250AB1B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Metoden til beregning af eksponeringsværdierne af derivatpositioner på konsolideret niveau, som også anvendes på individuelt niveau for enheder i overensstemmelse med artikel 273a, stk. 4, i forordning (EU) nr. 575/2013:</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Den oprindelige eksponeringsmetode</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Forenklet SA-CCR: Forenklet standardmetode for modpartsrisiko </w:t>
            </w:r>
          </w:p>
          <w:p w14:paraId="09C704BF" w14:textId="264F9D55" w:rsidR="00595FAD" w:rsidRPr="002A677E" w:rsidRDefault="00595FAD" w:rsidP="00FF15C6">
            <w:pPr>
              <w:spacing w:beforeLines="60" w:before="144" w:afterLines="60" w:after="144"/>
              <w:rPr>
                <w:rFonts w:ascii="Times New Roman" w:hAnsi="Times New Roman"/>
                <w:b/>
                <w:sz w:val="24"/>
              </w:rPr>
            </w:pPr>
            <w:r>
              <w:rPr>
                <w:rFonts w:ascii="Times New Roman" w:hAnsi="Times New Roman"/>
                <w:sz w:val="24"/>
              </w:rPr>
              <w:t>Denne post indberettes kun af de institutter, der anvender undtagelsen i overensstemmelse med artikel 273a, stk. 4, i forordning (EU) nr. 575/2013.</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119059378"/>
      <w:r>
        <w:rPr>
          <w:rFonts w:ascii="Times New Roman" w:hAnsi="Times New Roman"/>
          <w:sz w:val="24"/>
        </w:rPr>
        <w:t>C 34.02 - Modpartsrisikoeksponeringer opgjort efter metode</w:t>
      </w:r>
      <w:bookmarkEnd w:id="456"/>
      <w:bookmarkEnd w:id="457"/>
      <w:r>
        <w:rPr>
          <w:rFonts w:ascii="Times New Roman" w:hAnsi="Times New Roman"/>
          <w:sz w:val="24"/>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119059379"/>
      <w:r>
        <w:rPr>
          <w:rFonts w:ascii="Times New Roman" w:hAnsi="Times New Roman"/>
          <w:sz w:val="24"/>
        </w:rPr>
        <w:t>Generelle bemærkninger</w:t>
      </w:r>
      <w:bookmarkEnd w:id="458"/>
      <w:bookmarkEnd w:id="459"/>
    </w:p>
    <w:p w14:paraId="3C9ADBCC" w14:textId="77777777" w:rsidR="00595FAD" w:rsidRPr="002A677E" w:rsidRDefault="008F3052" w:rsidP="00487A02">
      <w:pPr>
        <w:pStyle w:val="InstructionsText2"/>
        <w:numPr>
          <w:ilvl w:val="0"/>
          <w:numId w:val="0"/>
        </w:numPr>
        <w:ind w:left="1353" w:hanging="360"/>
      </w:pPr>
      <w:fldSimple w:instr=" seq paragraphs ">
        <w:r>
          <w:t>124</w:t>
        </w:r>
      </w:fldSimple>
      <w:r>
        <w:t>. Institutterne skal indberette skemaet separat for alle modpartsrisikoeksponeringer og for alle modpartsrisikoeksponeringer, undtagen eksponeringer for centrale modparter (CCP'er), som defineret med henblik på skema C 34.10.</w:t>
      </w:r>
    </w:p>
    <w:p w14:paraId="1BEEF9D4" w14:textId="62460C3E" w:rsidR="00595FAD" w:rsidRPr="002A677E"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119059380"/>
      <w:r>
        <w:rPr>
          <w:rFonts w:ascii="Times New Roman" w:hAnsi="Times New Roman"/>
          <w:sz w:val="24"/>
        </w:rPr>
        <w:t>Instrukser vedrørende specifikke positioner</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Kolonner</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ANTAL MODPARTER</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Antal individuelle modparter, over for hvilke instituttet har modpartsrisikoeksponeringer.</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ANTAL TRANSAKTIONER</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Pr>
                <w:rFonts w:ascii="Times New Roman" w:hAnsi="Times New Roman"/>
                <w:sz w:val="24"/>
              </w:rPr>
              <w:t xml:space="preserve">Antal transaktioner omfattet af modpartsrisiko på indberetningsdatoen. Bemærk, at forretningstal for CCP'er ikke bør omfatte ind- eller udgående pengestrømme, men de samlede positioner i CCR-porteføljen på indberetningsdatoen. Et derivat eller en værdipapirfinansieringstransaktion, der deles i </w:t>
            </w:r>
            <w:r>
              <w:rPr>
                <w:rFonts w:ascii="Times New Roman" w:hAnsi="Times New Roman"/>
                <w:sz w:val="24"/>
              </w:rPr>
              <w:lastRenderedPageBreak/>
              <w:t>(mindst) to eller flere dele til modelleringsformål, betragtes desuden stadig som en enkelt transaktion.</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lastRenderedPageBreak/>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NOMINEL VÆRDI</w:t>
            </w:r>
          </w:p>
          <w:p w14:paraId="0B46A207" w14:textId="57538B09" w:rsidR="00595FAD" w:rsidRPr="002A677E" w:rsidRDefault="00595FAD" w:rsidP="00FF15C6">
            <w:pPr>
              <w:keepNext/>
              <w:spacing w:before="60"/>
              <w:rPr>
                <w:rFonts w:ascii="Times New Roman" w:hAnsi="Times New Roman"/>
                <w:sz w:val="24"/>
              </w:rPr>
            </w:pPr>
            <w:r>
              <w:rPr>
                <w:rFonts w:ascii="Times New Roman" w:hAnsi="Times New Roman"/>
                <w:sz w:val="24"/>
              </w:rPr>
              <w:t>Summen af de nominelle værdier for derivater og værdipapirfinansieringstransaktioner før netting og uden justeringer i henhold til artikel 279b i forordning (EU) nr. 575/2013.</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 AKTUELLE MARKEDSVÆRDI (CMV), POSITIV</w:t>
            </w:r>
          </w:p>
          <w:p w14:paraId="79360CA5" w14:textId="3B09CB36" w:rsidR="00595FAD" w:rsidRPr="002A677E" w:rsidRDefault="00595FAD" w:rsidP="00FF15C6">
            <w:pPr>
              <w:keepNext/>
              <w:spacing w:before="60"/>
              <w:rPr>
                <w:rFonts w:ascii="Times New Roman" w:hAnsi="Times New Roman"/>
                <w:sz w:val="24"/>
              </w:rPr>
            </w:pPr>
            <w:r>
              <w:rPr>
                <w:rFonts w:ascii="Times New Roman" w:hAnsi="Times New Roman"/>
                <w:sz w:val="24"/>
              </w:rPr>
              <w:t>Artikel 272, nr. 12), i forordning (EU) nr. 575/2013</w:t>
            </w:r>
          </w:p>
          <w:p w14:paraId="29900CC8" w14:textId="01C5A286" w:rsidR="00595FAD" w:rsidRPr="002A677E" w:rsidRDefault="00595FAD" w:rsidP="00FF15C6">
            <w:pPr>
              <w:keepNext/>
              <w:spacing w:before="60"/>
              <w:rPr>
                <w:rFonts w:ascii="Times New Roman" w:hAnsi="Times New Roman"/>
                <w:sz w:val="24"/>
              </w:rPr>
            </w:pPr>
            <w:r>
              <w:rPr>
                <w:rFonts w:ascii="Times New Roman" w:hAnsi="Times New Roman"/>
                <w:sz w:val="24"/>
              </w:rPr>
              <w:t xml:space="preserve">Summen af de aktuelle markedsværdier (CMV) for alle nettinggrupper med positive CMV'er som defineret i artikel 272, nr. 12), i forordning (EU) nr. 575/2013.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 AKTUELLE MARKEDSVÆRDI (CMV), NEGATIV</w:t>
            </w:r>
          </w:p>
          <w:p w14:paraId="210EBD30" w14:textId="15F8A23C" w:rsidR="00595FAD" w:rsidRPr="002A677E" w:rsidRDefault="00595FAD" w:rsidP="00FF15C6">
            <w:pPr>
              <w:keepNext/>
              <w:spacing w:before="60"/>
              <w:rPr>
                <w:rFonts w:ascii="Times New Roman" w:hAnsi="Times New Roman"/>
                <w:sz w:val="24"/>
              </w:rPr>
            </w:pPr>
            <w:r>
              <w:rPr>
                <w:rFonts w:ascii="Times New Roman" w:hAnsi="Times New Roman"/>
                <w:sz w:val="24"/>
              </w:rPr>
              <w:t>Artikel 272, nr. 12), i forordning (EU) nr. 575/2013</w:t>
            </w:r>
          </w:p>
          <w:p w14:paraId="4D7CA4B1" w14:textId="7E748A13"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Summen af de aktuelle markedsværdier (CMV) for alle nettinggrupper med negative CMV'er som defineret i artikel 272, nr. 12), i forordning (EU) nr. 575/2013.</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VARIATIONSMARGEN (VM), MODTAGET</w:t>
            </w:r>
          </w:p>
          <w:p w14:paraId="015D10EA" w14:textId="106E6EF6" w:rsidR="00595FAD" w:rsidRPr="002A677E" w:rsidRDefault="00595FAD" w:rsidP="00FF15C6">
            <w:pPr>
              <w:keepNext/>
              <w:spacing w:before="60"/>
              <w:rPr>
                <w:rFonts w:ascii="Times New Roman" w:hAnsi="Times New Roman"/>
                <w:sz w:val="24"/>
              </w:rPr>
            </w:pPr>
            <w:r>
              <w:rPr>
                <w:rFonts w:ascii="Times New Roman" w:hAnsi="Times New Roman"/>
                <w:sz w:val="24"/>
              </w:rPr>
              <w:t>Artikel 275, stk. 2, artikel 275, stk. 3, og artikel 276 i forordning (EU) nr. 575/2013</w:t>
            </w:r>
          </w:p>
          <w:p w14:paraId="6A5EA232" w14:textId="77A37D06" w:rsidR="00595FAD" w:rsidRPr="002A677E" w:rsidRDefault="00595FAD" w:rsidP="00FF15C6">
            <w:pPr>
              <w:keepNext/>
              <w:spacing w:before="60"/>
              <w:rPr>
                <w:rFonts w:ascii="Times New Roman" w:hAnsi="Times New Roman"/>
                <w:sz w:val="24"/>
              </w:rPr>
            </w:pPr>
            <w:r>
              <w:rPr>
                <w:rFonts w:ascii="Times New Roman" w:hAnsi="Times New Roman"/>
                <w:sz w:val="24"/>
              </w:rPr>
              <w:t>Summen af variationsmargenerne for alle de margenaftaler, for hvilke der er modtaget VM, beregnet i overensstemmelse med artikel 276 i forordning (EU) nr. 575/2013.</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VARIATIONSMARGEN (VM), STILLET</w:t>
            </w:r>
          </w:p>
          <w:p w14:paraId="3F504C92" w14:textId="56004F15" w:rsidR="00595FAD" w:rsidRPr="002A677E" w:rsidRDefault="00595FAD" w:rsidP="00FF15C6">
            <w:pPr>
              <w:keepNext/>
              <w:spacing w:before="60"/>
              <w:rPr>
                <w:rFonts w:ascii="Times New Roman" w:hAnsi="Times New Roman"/>
                <w:sz w:val="24"/>
              </w:rPr>
            </w:pPr>
            <w:r>
              <w:rPr>
                <w:rFonts w:ascii="Times New Roman" w:hAnsi="Times New Roman"/>
                <w:sz w:val="24"/>
              </w:rPr>
              <w:t>Artikel 275, stk. 2, artikel 275, stk. 3, og artikel 276 i forordning (EU) nr. 575/2013</w:t>
            </w:r>
          </w:p>
          <w:p w14:paraId="06964A72" w14:textId="64E6B4DD" w:rsidR="00595FAD" w:rsidRPr="002A677E" w:rsidRDefault="00595FAD" w:rsidP="007063EE">
            <w:pPr>
              <w:keepNext/>
              <w:spacing w:before="60"/>
              <w:rPr>
                <w:rStyle w:val="InstructionsTabelleberschrift"/>
                <w:rFonts w:ascii="Times New Roman" w:hAnsi="Times New Roman"/>
                <w:sz w:val="24"/>
              </w:rPr>
            </w:pPr>
            <w:r>
              <w:rPr>
                <w:rFonts w:ascii="Times New Roman" w:hAnsi="Times New Roman"/>
                <w:sz w:val="24"/>
              </w:rPr>
              <w:t>Summen af variationsmargenerne for alle de margenaftaler, for hvilke der er stillet VM, beregnet i overensstemmelse med artikel 276 i forordning (EU) nr. 575/2013.</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UAFHÆNGIGT NETTO SIKKERHEDSSTILLELSESBELØB (NICA), MODTAGET </w:t>
            </w:r>
          </w:p>
          <w:p w14:paraId="165A1C24" w14:textId="01B57322" w:rsidR="00595FAD" w:rsidRPr="002A677E" w:rsidRDefault="00595FAD" w:rsidP="00FF15C6">
            <w:pPr>
              <w:keepNext/>
              <w:spacing w:before="60"/>
              <w:rPr>
                <w:rFonts w:ascii="Times New Roman" w:hAnsi="Times New Roman"/>
                <w:sz w:val="24"/>
              </w:rPr>
            </w:pPr>
            <w:r>
              <w:rPr>
                <w:rFonts w:ascii="Times New Roman" w:hAnsi="Times New Roman"/>
                <w:sz w:val="24"/>
              </w:rPr>
              <w:t>Artikel 272a, stk. 12a, artikel 275, stk. 3, og artikel 276 i forordning (EU) nr. 575/2013</w:t>
            </w:r>
          </w:p>
          <w:p w14:paraId="19F63CEA" w14:textId="290E8198" w:rsidR="00595FAD" w:rsidRPr="002A677E" w:rsidRDefault="00595FAD" w:rsidP="00FF15C6">
            <w:pPr>
              <w:keepNext/>
              <w:spacing w:before="60"/>
              <w:rPr>
                <w:rFonts w:ascii="Times New Roman" w:hAnsi="Times New Roman"/>
                <w:sz w:val="24"/>
              </w:rPr>
            </w:pPr>
            <w:r>
              <w:rPr>
                <w:rFonts w:ascii="Times New Roman" w:hAnsi="Times New Roman"/>
                <w:sz w:val="24"/>
              </w:rPr>
              <w:t>Summen af NICA for alle de margenaftaler, for hvilke der er modtaget NICA, beregnet i overensstemmelse med artikel 276 i forordning (EU) nr. 575/2013.</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UAFHÆNGIGT NETTO SIKKERHEDSSTILLELSESBELØB (NICA), STILLET </w:t>
            </w:r>
          </w:p>
          <w:p w14:paraId="6CA198FD" w14:textId="71954D7A" w:rsidR="00595FAD" w:rsidRPr="002A677E" w:rsidRDefault="00595FAD" w:rsidP="00FF15C6">
            <w:pPr>
              <w:keepNext/>
              <w:spacing w:before="60"/>
              <w:rPr>
                <w:rFonts w:ascii="Times New Roman" w:hAnsi="Times New Roman"/>
                <w:sz w:val="24"/>
              </w:rPr>
            </w:pPr>
            <w:r>
              <w:rPr>
                <w:rFonts w:ascii="Times New Roman" w:hAnsi="Times New Roman"/>
                <w:sz w:val="24"/>
              </w:rPr>
              <w:lastRenderedPageBreak/>
              <w:t>Artikel 272a, stk. 12a, artikel 275, stk. 3, og artikel 276 i forordning (EU) nr. 575/2013</w:t>
            </w:r>
          </w:p>
          <w:p w14:paraId="0E770C03" w14:textId="07CA2368"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Summen af NICA for alle de margenaftaler, for hvilke der er stillet NICA, beregnet i overensstemmelse med artikel 276 i forordning (EU) nr. 575/2013.</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lastRenderedPageBreak/>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GENANSKAFFELSESOMKOSTNINGER (RC) </w:t>
            </w:r>
          </w:p>
          <w:p w14:paraId="4518A585" w14:textId="70BCF76A" w:rsidR="00595FAD" w:rsidRPr="002A677E" w:rsidRDefault="00595FAD" w:rsidP="00FF15C6">
            <w:pPr>
              <w:spacing w:before="60"/>
              <w:rPr>
                <w:rFonts w:ascii="Times New Roman" w:eastAsia="Calibri" w:hAnsi="Times New Roman"/>
                <w:sz w:val="24"/>
              </w:rPr>
            </w:pPr>
            <w:r>
              <w:rPr>
                <w:rFonts w:ascii="Times New Roman" w:hAnsi="Times New Roman"/>
                <w:sz w:val="24"/>
              </w:rPr>
              <w:t>Artikel 275, 281 og artikel 282 i forordning (EU) nr. 575/2013</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Pr>
                <w:rFonts w:ascii="Times New Roman" w:hAnsi="Times New Roman"/>
                <w:sz w:val="24"/>
              </w:rPr>
              <w:t xml:space="preserve">Genanskaffelsesomkostninger (RC) pr. nettinggruppe beregnes i overensstemmelse med: </w:t>
            </w:r>
          </w:p>
          <w:p w14:paraId="61547F83" w14:textId="1C6C84E9" w:rsidR="00595FAD" w:rsidRPr="002A677E" w:rsidRDefault="00595FAD" w:rsidP="00FF15C6">
            <w:pPr>
              <w:spacing w:before="60"/>
              <w:rPr>
                <w:rFonts w:ascii="Times New Roman" w:hAnsi="Times New Roman"/>
                <w:sz w:val="24"/>
              </w:rPr>
            </w:pPr>
            <w:r>
              <w:rPr>
                <w:rFonts w:ascii="Times New Roman" w:hAnsi="Times New Roman"/>
                <w:sz w:val="24"/>
              </w:rPr>
              <w:t xml:space="preserve">- artikel 282, stk. 3, i forordning (EU) nr. 575/2013 for den oprindelige eksponeringsmetode </w:t>
            </w:r>
          </w:p>
          <w:p w14:paraId="01ACA879" w14:textId="0A33AB99" w:rsidR="00595FAD" w:rsidRPr="002A677E" w:rsidRDefault="00595FAD" w:rsidP="00FF15C6">
            <w:pPr>
              <w:spacing w:before="60"/>
              <w:rPr>
                <w:rFonts w:ascii="Times New Roman" w:hAnsi="Times New Roman"/>
                <w:sz w:val="24"/>
              </w:rPr>
            </w:pPr>
            <w:r>
              <w:rPr>
                <w:rFonts w:ascii="Times New Roman" w:hAnsi="Times New Roman"/>
                <w:sz w:val="24"/>
              </w:rPr>
              <w:t>- artikel 281 i forordning (EU) nr. 575/2013 for den forenklede SA-CCR</w:t>
            </w:r>
          </w:p>
          <w:p w14:paraId="57C7E24D" w14:textId="7B4AD4F6" w:rsidR="00595FAD" w:rsidRPr="002A677E" w:rsidRDefault="00595FAD" w:rsidP="00FF15C6">
            <w:pPr>
              <w:spacing w:before="60"/>
              <w:rPr>
                <w:rFonts w:ascii="Times New Roman" w:hAnsi="Times New Roman"/>
                <w:sz w:val="24"/>
              </w:rPr>
            </w:pPr>
            <w:r>
              <w:rPr>
                <w:rFonts w:ascii="Times New Roman" w:hAnsi="Times New Roman"/>
                <w:sz w:val="24"/>
              </w:rPr>
              <w:t>- artikel 275 i forordning (EU) nr. 575/2013 for SA-CCR.</w:t>
            </w:r>
          </w:p>
          <w:p w14:paraId="2A419498" w14:textId="77777777" w:rsidR="00595FAD" w:rsidRPr="002A677E" w:rsidRDefault="00595FAD" w:rsidP="00FF15C6">
            <w:pPr>
              <w:spacing w:before="60"/>
              <w:rPr>
                <w:rFonts w:ascii="Times New Roman" w:hAnsi="Times New Roman"/>
                <w:sz w:val="24"/>
              </w:rPr>
            </w:pPr>
            <w:r>
              <w:rPr>
                <w:rFonts w:ascii="Times New Roman" w:hAnsi="Times New Roman"/>
                <w:sz w:val="24"/>
              </w:rPr>
              <w:t>Instituttet indberetter summen af genanskaffelsesomkostningerne for nettinggrupperne i den pågældende række.</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DEN POTENTIELLE FREMTIDIGE EKSPONERING (PFE)</w:t>
            </w:r>
          </w:p>
          <w:p w14:paraId="6EEEA3EF" w14:textId="00D8CD0B" w:rsidR="00595FAD" w:rsidRPr="002A677E" w:rsidRDefault="00595FAD" w:rsidP="00FF15C6">
            <w:pPr>
              <w:spacing w:before="60"/>
              <w:rPr>
                <w:rFonts w:ascii="Times New Roman" w:eastAsia="Calibri" w:hAnsi="Times New Roman"/>
                <w:sz w:val="24"/>
              </w:rPr>
            </w:pPr>
            <w:r>
              <w:rPr>
                <w:rFonts w:ascii="Times New Roman" w:hAnsi="Times New Roman"/>
                <w:sz w:val="24"/>
              </w:rPr>
              <w:t>Artikel 278, 281 og artikel 282 i forordning (EU) nr. 575/2013</w:t>
            </w:r>
          </w:p>
          <w:p w14:paraId="5413E88E"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Den potentielle fremtidige eksponering (PFE) pr. nettinggruppe beregnes i overensstemmelse med: </w:t>
            </w:r>
          </w:p>
          <w:p w14:paraId="1ACD7C9C" w14:textId="183ED339" w:rsidR="00595FAD" w:rsidRPr="002A677E" w:rsidRDefault="00595FAD" w:rsidP="00FF15C6">
            <w:pPr>
              <w:spacing w:before="60"/>
              <w:rPr>
                <w:rFonts w:ascii="Times New Roman" w:hAnsi="Times New Roman"/>
                <w:sz w:val="24"/>
              </w:rPr>
            </w:pPr>
            <w:r>
              <w:rPr>
                <w:rFonts w:ascii="Times New Roman" w:hAnsi="Times New Roman"/>
                <w:sz w:val="24"/>
              </w:rPr>
              <w:t xml:space="preserve">- artikel 282, stk. 4, i forordning (EU) nr. 575/2013 for den oprindelige eksponeringsmetode </w:t>
            </w:r>
          </w:p>
          <w:p w14:paraId="58322B29" w14:textId="3D39FC56" w:rsidR="00595FAD" w:rsidRPr="002A677E" w:rsidRDefault="00595FAD" w:rsidP="00FF15C6">
            <w:pPr>
              <w:spacing w:before="60"/>
              <w:rPr>
                <w:rFonts w:ascii="Times New Roman" w:hAnsi="Times New Roman"/>
                <w:sz w:val="24"/>
              </w:rPr>
            </w:pPr>
            <w:r>
              <w:rPr>
                <w:rFonts w:ascii="Times New Roman" w:hAnsi="Times New Roman"/>
                <w:sz w:val="24"/>
              </w:rPr>
              <w:t>- artikel 281 i forordning (EU) nr. 575/2013 for den forenklede SA-CCR</w:t>
            </w:r>
          </w:p>
          <w:p w14:paraId="17AEB078" w14:textId="74925148" w:rsidR="00595FAD" w:rsidRPr="002A677E" w:rsidRDefault="00595FAD" w:rsidP="00FF15C6">
            <w:pPr>
              <w:spacing w:before="60"/>
              <w:rPr>
                <w:rFonts w:ascii="Times New Roman" w:hAnsi="Times New Roman"/>
                <w:sz w:val="24"/>
              </w:rPr>
            </w:pPr>
            <w:r>
              <w:rPr>
                <w:rFonts w:ascii="Times New Roman" w:hAnsi="Times New Roman"/>
                <w:sz w:val="24"/>
              </w:rPr>
              <w:t>- artikel 278 i forordning (EU) nr. 575/2013 for SA-CCR.</w:t>
            </w:r>
          </w:p>
          <w:p w14:paraId="23B4A6A4" w14:textId="77777777" w:rsidR="00595FAD" w:rsidRPr="002A677E" w:rsidRDefault="00595FAD" w:rsidP="00FF15C6">
            <w:pPr>
              <w:spacing w:before="60"/>
              <w:rPr>
                <w:rFonts w:ascii="Times New Roman" w:hAnsi="Times New Roman"/>
                <w:i/>
                <w:sz w:val="24"/>
              </w:rPr>
            </w:pPr>
            <w:r>
              <w:rPr>
                <w:rFonts w:ascii="Times New Roman" w:hAnsi="Times New Roman"/>
                <w:sz w:val="24"/>
              </w:rPr>
              <w:t>Instituttet indberetter summen af den potentielle fremtidige eksponering for nettinggrupperne i den pågældende række.</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NUVÆRENDE EKSPONERING</w:t>
            </w:r>
          </w:p>
          <w:p w14:paraId="2B7F62AA" w14:textId="2C453E2E" w:rsidR="00595FAD" w:rsidRPr="002A677E" w:rsidRDefault="00595FAD" w:rsidP="00FF15C6">
            <w:pPr>
              <w:spacing w:before="60"/>
              <w:rPr>
                <w:rFonts w:ascii="Times New Roman" w:hAnsi="Times New Roman"/>
                <w:sz w:val="24"/>
              </w:rPr>
            </w:pPr>
            <w:r>
              <w:rPr>
                <w:rFonts w:ascii="Times New Roman" w:hAnsi="Times New Roman"/>
                <w:sz w:val="24"/>
              </w:rPr>
              <w:t xml:space="preserve">Artikel 272, nr. 17), i forordning (EU) nr. 575/2013 </w:t>
            </w:r>
          </w:p>
          <w:p w14:paraId="50F8D638" w14:textId="776F2A79" w:rsidR="00595FAD" w:rsidRPr="002A677E" w:rsidRDefault="00595FAD" w:rsidP="00FF15C6">
            <w:pPr>
              <w:spacing w:before="60"/>
              <w:rPr>
                <w:rFonts w:ascii="Times New Roman" w:hAnsi="Times New Roman"/>
                <w:sz w:val="24"/>
              </w:rPr>
            </w:pPr>
            <w:r>
              <w:rPr>
                <w:rFonts w:ascii="Times New Roman" w:hAnsi="Times New Roman"/>
                <w:sz w:val="24"/>
              </w:rPr>
              <w:t>Den nuværende eksponering pr. nettinggruppe er den værdi, som er defineret i artikel 272, nr. 17), i forordning (EU) nr. 575/2013.</w:t>
            </w:r>
          </w:p>
          <w:p w14:paraId="753F009A" w14:textId="77777777" w:rsidR="00595FAD" w:rsidRPr="002A677E" w:rsidRDefault="00595FAD" w:rsidP="00FF15C6">
            <w:pPr>
              <w:spacing w:before="60"/>
              <w:rPr>
                <w:rFonts w:ascii="Times New Roman" w:hAnsi="Times New Roman"/>
                <w:sz w:val="24"/>
              </w:rPr>
            </w:pPr>
            <w:r>
              <w:rPr>
                <w:rFonts w:ascii="Times New Roman" w:hAnsi="Times New Roman"/>
                <w:sz w:val="24"/>
              </w:rPr>
              <w:t>Instituttet indberetter summen af alle nuværende eksponeringer for nettinggrupperne i den pågældende række.</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FAKTISK FORVENTET POSITIV EKSPONERING (DEN FAKTISKE EPE)</w:t>
            </w:r>
          </w:p>
          <w:p w14:paraId="2AEF26BB" w14:textId="7EBD53E5" w:rsidR="00595FAD" w:rsidRPr="002A677E" w:rsidRDefault="00595FAD" w:rsidP="00FF15C6">
            <w:pPr>
              <w:spacing w:before="60"/>
              <w:rPr>
                <w:rFonts w:ascii="Times New Roman" w:eastAsia="Calibri" w:hAnsi="Times New Roman"/>
                <w:sz w:val="24"/>
              </w:rPr>
            </w:pPr>
            <w:r>
              <w:rPr>
                <w:rFonts w:ascii="Times New Roman" w:hAnsi="Times New Roman"/>
                <w:sz w:val="24"/>
              </w:rPr>
              <w:t>Artikel 272, nr. 22), artikel 284, stk. 3, og artikel 284, stk. 6, i forordning (EU) nr. 575/2013</w:t>
            </w:r>
          </w:p>
          <w:p w14:paraId="33ADAC33" w14:textId="3967739C" w:rsidR="00595FAD" w:rsidRPr="002A677E"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Den faktiske EPE pr. nettinggruppe er defineret i artikel 272, nr. 22), i forordning (EU) nr. 575/2013 og beregnes i overensstemmelse med artikel 284, stk. 6, i forordning (EU) nr. 575/2013.</w:t>
            </w:r>
          </w:p>
          <w:p w14:paraId="28B3F952" w14:textId="50CAF00D" w:rsidR="00595FAD" w:rsidRPr="002A677E" w:rsidRDefault="00595FAD" w:rsidP="00BC3A29">
            <w:pPr>
              <w:spacing w:before="60"/>
              <w:rPr>
                <w:rFonts w:ascii="Times New Roman" w:eastAsia="Calibri" w:hAnsi="Times New Roman"/>
                <w:sz w:val="24"/>
              </w:rPr>
            </w:pPr>
            <w:r>
              <w:rPr>
                <w:rFonts w:ascii="Times New Roman" w:hAnsi="Times New Roman"/>
                <w:sz w:val="24"/>
              </w:rPr>
              <w:t xml:space="preserve">Instituttet skal indberette summen af alle faktiske EPE'er, der er anvendt til at bestemme kapitalgrundlagskravet i overensstemmelse med artikel 284, stk. 3, </w:t>
            </w:r>
            <w:r>
              <w:rPr>
                <w:rFonts w:ascii="Times New Roman" w:hAnsi="Times New Roman"/>
                <w:sz w:val="24"/>
              </w:rPr>
              <w:lastRenderedPageBreak/>
              <w:t>i forordning (EU) nr. 575/2013, dvs. enten den faktiske EPE beregnet ved hjælp af aktuelle markedsdata, eller den faktiske EPE beregnet ved anvendelse af en stresskalibrering, alt efter hvad der fører til et højere kapitalgrundlagskrav.</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lastRenderedPageBreak/>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ALFA ANVENDT TIL BEREGNING AF EN REGULERINGSMÆSSIG EKSPONERINGSVÆRDI </w:t>
            </w:r>
          </w:p>
          <w:p w14:paraId="32F3C046" w14:textId="14680E66" w:rsidR="00595FAD" w:rsidRPr="002A677E" w:rsidRDefault="00595FAD" w:rsidP="00FF15C6">
            <w:pPr>
              <w:spacing w:before="60"/>
              <w:rPr>
                <w:rFonts w:ascii="Times New Roman" w:hAnsi="Times New Roman"/>
                <w:i/>
                <w:sz w:val="24"/>
              </w:rPr>
            </w:pPr>
            <w:r>
              <w:rPr>
                <w:rFonts w:ascii="Times New Roman" w:hAnsi="Times New Roman"/>
                <w:sz w:val="24"/>
              </w:rPr>
              <w:t>Artikel 274, stk. 2, artikel 282, stk. 2, artikel 281, stk. 1, artikel 284, stk. 4 og 9, i forordning (EU) nr. 575/2013</w:t>
            </w:r>
          </w:p>
          <w:p w14:paraId="4C241D56" w14:textId="390C1EFD" w:rsidR="00595FAD" w:rsidRPr="002A677E" w:rsidRDefault="00595FAD" w:rsidP="007172B2">
            <w:pPr>
              <w:spacing w:before="60"/>
              <w:rPr>
                <w:rFonts w:ascii="Times New Roman" w:eastAsia="Calibri" w:hAnsi="Times New Roman"/>
                <w:i/>
                <w:sz w:val="24"/>
              </w:rPr>
            </w:pPr>
            <w:r>
              <w:rPr>
                <w:rFonts w:ascii="Times New Roman" w:hAnsi="Times New Roman"/>
                <w:sz w:val="24"/>
              </w:rPr>
              <w:t>Værdien α er fastsat til 1,4 i rækkerne for OEM, den forenklede SA-CCR og SA-CCR, jf. artikel 282, stk. 2, artikel 281, stk. 1, og artikel 274, stk. 2, i forordning (EU) nr. 575/2013. Med henblik på metoden med interne modeller kan værdien af α enten være standarden på 1,4 eller en anden værdi, hvis de kompetente myndigheder kræver en højere α i overensstemmelse med artikel 284, stk. 4, i forordning (EU) nr. 575/2013, eller tillader institutterne at anvende deres egne estimater i overensstemmelse med artikel 284, stk. 9, i nævnte forordning.</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EKSPONERINGSVÆRDI INDEN ANVENDELSE AF KREDITRISIKOREDUKTIONSTEKNIKKER </w:t>
            </w:r>
          </w:p>
          <w:p w14:paraId="6B2C35EB" w14:textId="1653241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Eksponeringsværdien inden anvendelse af kreditrisikoreduktionsteknikker for CCR-nettinggrupper beregnes i overensstemmelse med de metoder, der er fastsat i tredje del, afsnit II, kapitel 4 og 6, i forordning (EU) nr. 575/2013, idet der tages hensyn til virkningen af netting, men ses bort fra andre kreditrisikoreduktionsteknikker (f.eks. margensikkerhed).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I tilfælde af værdipapirfinansieringstransaktioner tages sikkerhedsdelen ikke i betragtning ved fastsættelsen af eksponeringsværdien inden anvendelse af kreditrisikoreduktionsteknikker, når der modtages sikkerhed, og derfor reduceres eksponeringsværdien ikke. Omvendt skal sikkerhedsdelen af værdipapirfinansieringstransaktionerne tages i betragtning ved bestemmelse af eksponeringsværdien inden anvendelse af kreditrisikoreduktionsteknikker, når der stilles sikkerhed. </w:t>
            </w:r>
          </w:p>
          <w:p w14:paraId="72AB2A91" w14:textId="67D5A69F"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Desuden skal sikrede forretninger behandles som usikrede, dvs. der er ikke nogen virkning af margenberegning. </w:t>
            </w:r>
          </w:p>
          <w:p w14:paraId="2B8CF7B6" w14:textId="2128C412" w:rsidR="00595FAD" w:rsidRPr="002A677E" w:rsidRDefault="00595FAD" w:rsidP="00FF15C6">
            <w:pPr>
              <w:spacing w:before="60"/>
              <w:rPr>
                <w:rFonts w:ascii="Times New Roman" w:hAnsi="Times New Roman"/>
                <w:sz w:val="24"/>
              </w:rPr>
            </w:pPr>
            <w:r>
              <w:rPr>
                <w:rFonts w:ascii="Times New Roman" w:hAnsi="Times New Roman"/>
                <w:sz w:val="24"/>
              </w:rPr>
              <w:t xml:space="preserve">Eksponeringsværdien for transaktioner inden anvendelse af kreditrisikoreduktionsteknikker, hvor der er konstateret en specifik "wrong way"-risiko, skal fastlægges i overensstemmelse med artikel 291 i forordning (EU) nr. 575/2013. </w:t>
            </w:r>
          </w:p>
          <w:p w14:paraId="5A07BE7B" w14:textId="33F6A22F" w:rsidR="00595FAD" w:rsidRPr="002A677E" w:rsidRDefault="00595FAD" w:rsidP="00FF15C6">
            <w:pPr>
              <w:spacing w:before="60"/>
              <w:rPr>
                <w:rFonts w:ascii="Times New Roman" w:hAnsi="Times New Roman"/>
                <w:sz w:val="24"/>
              </w:rPr>
            </w:pPr>
            <w:r>
              <w:rPr>
                <w:rFonts w:ascii="Times New Roman" w:hAnsi="Times New Roman"/>
                <w:sz w:val="24"/>
              </w:rPr>
              <w:t xml:space="preserve">Eksponeringsværdien inden anvendelse af kreditrisikoreduktionsteknikker tager ikke hensyn til det tab, der er lidt i forbindelse med kreditværdijustering, i overensstemmelse med artikel 273, stk. 6, i forordning (EU) nr. 575/2013. </w:t>
            </w:r>
          </w:p>
          <w:p w14:paraId="76236BD1" w14:textId="77777777" w:rsidR="00595FAD" w:rsidRPr="002A677E" w:rsidRDefault="00595FAD" w:rsidP="00FF15C6">
            <w:pPr>
              <w:spacing w:before="60"/>
              <w:rPr>
                <w:rFonts w:ascii="Times New Roman" w:hAnsi="Times New Roman"/>
                <w:i/>
                <w:sz w:val="24"/>
              </w:rPr>
            </w:pPr>
            <w:r>
              <w:rPr>
                <w:rFonts w:ascii="Times New Roman" w:hAnsi="Times New Roman"/>
                <w:sz w:val="24"/>
              </w:rPr>
              <w:t>Instituttet indberetter summen af alle eksponeringer inden anvendelse af kreditrisikoreduktionsteknikker i den pågældende række.</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EKSPONERINGSVÆRDI EFTER ANVENDELSE AF KREDITRISIKOREDUKTIONSTEKNIKKER </w:t>
            </w:r>
          </w:p>
          <w:p w14:paraId="796EAF43" w14:textId="0C5DE0B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lastRenderedPageBreak/>
              <w:t>Eksponeringsværdien efter anvendelse af kreditrisikoreduktionsteknikker for CCR-nettinggrupper beregnes i overensstemmelse med de metoder, der er fastsat i tredje del, afsnit II, kapitel 4 og 6, i forordning (EU) nr. 575/2013, efter at der er anvendt kreditrisikoreduktionsteknikker i overensstemmelse med tredje del, afsnit II, kapitel 4 og 6, i nævnte forordning.</w:t>
            </w:r>
          </w:p>
          <w:p w14:paraId="26468FAF" w14:textId="1805F783" w:rsidR="00595FAD" w:rsidRPr="002A677E" w:rsidRDefault="00595FAD" w:rsidP="00FF15C6">
            <w:pPr>
              <w:spacing w:before="60"/>
              <w:rPr>
                <w:rFonts w:ascii="Times New Roman" w:hAnsi="Times New Roman"/>
                <w:sz w:val="24"/>
              </w:rPr>
            </w:pPr>
            <w:r>
              <w:rPr>
                <w:rFonts w:ascii="Times New Roman" w:hAnsi="Times New Roman"/>
                <w:sz w:val="24"/>
              </w:rPr>
              <w:t xml:space="preserve">Eksponeringsværdien for transaktioner efter anvendelse af kreditrisikoreduktionsteknikker, hvor der er konstateret en specifik "wrong way"-risiko, skal fastlægges i overensstemmelse med artikel 291 i forordning (EU) nr. 575/2013. </w:t>
            </w:r>
          </w:p>
          <w:p w14:paraId="7C02E73D" w14:textId="37F52379" w:rsidR="00595FAD" w:rsidRPr="002A677E" w:rsidRDefault="00595FAD" w:rsidP="00FF15C6">
            <w:pPr>
              <w:spacing w:before="60"/>
              <w:rPr>
                <w:rFonts w:ascii="Times New Roman" w:hAnsi="Times New Roman"/>
                <w:sz w:val="24"/>
              </w:rPr>
            </w:pPr>
            <w:r>
              <w:rPr>
                <w:rFonts w:ascii="Times New Roman" w:hAnsi="Times New Roman"/>
                <w:sz w:val="24"/>
              </w:rPr>
              <w:t>Eksponeringsværdien efter anvendelse af kreditrisikoreduktionsteknikker tager ikke hensyn til det tab, der er lidt i forbindelse med kreditværdijustering, i overensstemmelse med artikel 273, stk. 6, i forordning (EU) nr. 575/2013.</w:t>
            </w:r>
          </w:p>
          <w:p w14:paraId="166E17FB" w14:textId="77777777" w:rsidR="00595FAD" w:rsidRPr="002A677E" w:rsidRDefault="00595FAD" w:rsidP="00FF15C6">
            <w:pPr>
              <w:spacing w:before="60"/>
              <w:rPr>
                <w:rFonts w:ascii="Times New Roman" w:hAnsi="Times New Roman"/>
                <w:i/>
                <w:sz w:val="24"/>
              </w:rPr>
            </w:pPr>
            <w:r>
              <w:rPr>
                <w:rFonts w:ascii="Times New Roman" w:hAnsi="Times New Roman"/>
                <w:sz w:val="24"/>
              </w:rPr>
              <w:t>Instituttet indberetter summen af alle eksponeringer efter anvendelse af kreditrisikoreduktionsteknikker i den pågældende række.</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lastRenderedPageBreak/>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EKSPONERINGSVÆRDI</w:t>
            </w:r>
          </w:p>
          <w:p w14:paraId="0B56A478" w14:textId="1F0C018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Eksponeringsværdien for CCR-nettinggrupper beregnet i overensstemmelse med de metoder, der er fastsat i tredje del, afsnit II, kapitel 4 og 6, i forordning (EU) nr. 575/2013, som er det relevante beløb til beregning af risikovægtede eksponeringer, dvs. efter anvendelse af kreditrisikoreduktionsteknikker, der gælder i henhold til tredje del, afsnit II, kapitel 4 og 6, i forordning (EU) nr. 575/2013, og under hensyntagen til fradraget af det tab, der er lidt i forbindelse med kreditværdijustering, som omhandlet i artikel 273, stk. 6, i forordning (EU) nr. 575/2013. </w:t>
            </w:r>
          </w:p>
          <w:p w14:paraId="15F03715" w14:textId="435BB0E2" w:rsidR="00595FAD" w:rsidRPr="002A677E" w:rsidRDefault="00595FAD" w:rsidP="00FF15C6">
            <w:pPr>
              <w:rPr>
                <w:rFonts w:ascii="Times New Roman" w:hAnsi="Times New Roman"/>
                <w:sz w:val="24"/>
              </w:rPr>
            </w:pPr>
            <w:r>
              <w:rPr>
                <w:rFonts w:ascii="Times New Roman" w:hAnsi="Times New Roman"/>
                <w:sz w:val="24"/>
              </w:rPr>
              <w:t>Eksponeringsværdien for transaktioner, hvor der er konstateret en specifik "wrong way"-risiko, skal fastlægges i overensstemmelse med artikel 291 i forordning (EU) nr. 575/2013.</w:t>
            </w:r>
          </w:p>
          <w:p w14:paraId="3B7DEFE7"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I tilfælde, hvor der for en enkelt modpart anvendes mere end én modpartsrisikometode, henføres det tab, der er lidt i forbindelse med kreditværdijustering, som fratrækkes på modpartsniveau, til eksponeringsværdien for de forskellige nettinggrupper, hvilket afspejler andelen af eksponeringsværdien efter anvendelse af kreditrisikoreduktionsteknikker for de forskellige nettinggrupper i forhold til den samlede eksponeringsværdi for modparten efter anvendelse af kreditrisikoreduktionsteknikker.</w:t>
            </w:r>
          </w:p>
          <w:p w14:paraId="69695180" w14:textId="77777777" w:rsidR="00595FAD" w:rsidRPr="002A677E" w:rsidRDefault="00595FAD" w:rsidP="00FF15C6">
            <w:r>
              <w:rPr>
                <w:rFonts w:ascii="Times New Roman" w:hAnsi="Times New Roman"/>
                <w:sz w:val="24"/>
              </w:rPr>
              <w:t>Instituttet indberetter summen af alle eksponeringer i den pågældende række.</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Positioner, der er behandlet med CR-standardmetoden</w:t>
            </w:r>
          </w:p>
          <w:p w14:paraId="4A2A1C4A" w14:textId="502C241B" w:rsidR="00595FAD" w:rsidRPr="002A677E" w:rsidRDefault="00595FAD" w:rsidP="00F02E37">
            <w:pPr>
              <w:spacing w:before="60"/>
              <w:rPr>
                <w:rFonts w:ascii="Times New Roman" w:hAnsi="Times New Roman"/>
                <w:i/>
                <w:sz w:val="24"/>
              </w:rPr>
            </w:pPr>
            <w:r>
              <w:rPr>
                <w:rFonts w:ascii="Times New Roman" w:hAnsi="Times New Roman"/>
                <w:sz w:val="24"/>
              </w:rPr>
              <w:t>Eksponeringsværdien for CCR for positioner, der behandles med standardmetoden for kreditrisiko i overensstemmelse med tredje del, afsnit II, kapitel 2, i forordning (EU) nr. 575/2013.</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Positioner, der er behandlet med CR IRB-metoden</w:t>
            </w:r>
          </w:p>
          <w:p w14:paraId="1C71423D" w14:textId="5B125DFB" w:rsidR="00595FAD" w:rsidRPr="002A677E" w:rsidRDefault="00595FAD" w:rsidP="00F02E37">
            <w:pPr>
              <w:rPr>
                <w:rFonts w:ascii="Times New Roman" w:hAnsi="Times New Roman"/>
                <w:sz w:val="24"/>
              </w:rPr>
            </w:pPr>
            <w:r>
              <w:rPr>
                <w:rFonts w:ascii="Times New Roman" w:hAnsi="Times New Roman"/>
                <w:sz w:val="24"/>
              </w:rPr>
              <w:t xml:space="preserve">Eksponeringsværdien for CCR for positioner, der behandles med IRB-metoden for kreditrisiko i overensstemmelse med tredje del, afsnit II, kapitel 3, i forordning (EU) nr. 575/2013.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lastRenderedPageBreak/>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RISIKOVÆGTEDE EKSPONERINGER</w:t>
            </w:r>
          </w:p>
          <w:p w14:paraId="3829F8D1" w14:textId="6CC21C1E"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Risikovægtede eksponeringer som defineret i artikel 92, stk. 3, og 4, i forordning (EU) nr. 575/2013 beregnet i overensstemmelse med de metoder, der er fastsat i tredje del, afsnit II, kapitel 2 og 3.</w:t>
            </w:r>
          </w:p>
          <w:p w14:paraId="3D3B43D7" w14:textId="6DBD9931" w:rsidR="00595FAD" w:rsidRPr="002A677E" w:rsidRDefault="00595FAD" w:rsidP="003F19BA">
            <w:pPr>
              <w:rPr>
                <w:rFonts w:ascii="Times New Roman" w:hAnsi="Times New Roman"/>
                <w:sz w:val="24"/>
              </w:rPr>
            </w:pPr>
            <w:r>
              <w:rPr>
                <w:rFonts w:ascii="Times New Roman" w:hAnsi="Times New Roman"/>
                <w:sz w:val="24"/>
              </w:rPr>
              <w:t xml:space="preserve">Støttefaktorerne for SMV'er og infrastruktur, som fastlagt i artikel 501 og 501a i forordning (EU) nr. 575/2013, indregnes.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Positioner, der er behandlet med CR-standardmetoden</w:t>
            </w:r>
          </w:p>
          <w:p w14:paraId="371B5529" w14:textId="3DBB3A7F" w:rsidR="00595FAD" w:rsidRPr="002A677E" w:rsidRDefault="00595FAD" w:rsidP="00FF15C6">
            <w:pPr>
              <w:spacing w:before="60"/>
              <w:rPr>
                <w:rFonts w:ascii="Times New Roman" w:hAnsi="Times New Roman"/>
                <w:sz w:val="24"/>
              </w:rPr>
            </w:pPr>
            <w:r>
              <w:rPr>
                <w:rFonts w:ascii="Times New Roman" w:hAnsi="Times New Roman"/>
                <w:sz w:val="24"/>
              </w:rPr>
              <w:t xml:space="preserve">Risikovægtede eksponeringer for modpartsrisikoeksponeringer, der behandles med standardmetoden for kreditrisiko i overensstemmelse med tredje del, afsnit II, kapitel 2, i forordning (EU) nr. 575/2013. </w:t>
            </w:r>
          </w:p>
          <w:p w14:paraId="2E9EC43C" w14:textId="77777777" w:rsidR="00595FAD" w:rsidRPr="002A677E" w:rsidRDefault="00595FAD" w:rsidP="00FF15C6">
            <w:pPr>
              <w:rPr>
                <w:rFonts w:ascii="Times New Roman" w:hAnsi="Times New Roman"/>
                <w:sz w:val="24"/>
              </w:rPr>
            </w:pPr>
            <w:r>
              <w:rPr>
                <w:rFonts w:ascii="Times New Roman" w:hAnsi="Times New Roman"/>
                <w:sz w:val="24"/>
              </w:rPr>
              <w:t>Beløbet svarer til det beløb, der skal medtages i kolonne 0220 i skema C 07.00 for modpartsrisikopositioner.</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Positioner, der er behandlet med CR IRB-metoden</w:t>
            </w:r>
          </w:p>
          <w:p w14:paraId="10F8DAC4" w14:textId="2661CDA1"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Risikovægtede eksponeringer for modpartsrisikoeksponeringer, der behandles med IRB-metoden for kreditrisiko i overensstemmelse med tredje del, afsnit II, kapitel 3, i forordning (EU) nr. 575/2013.</w:t>
            </w:r>
          </w:p>
          <w:p w14:paraId="35ED3B64" w14:textId="77777777" w:rsidR="00595FAD" w:rsidRPr="002A677E" w:rsidRDefault="00595FAD" w:rsidP="00FF15C6">
            <w:pPr>
              <w:rPr>
                <w:rFonts w:ascii="Times New Roman" w:hAnsi="Times New Roman"/>
                <w:sz w:val="24"/>
              </w:rPr>
            </w:pPr>
            <w:r>
              <w:rPr>
                <w:rFonts w:ascii="Times New Roman" w:hAnsi="Times New Roman"/>
                <w:sz w:val="24"/>
              </w:rPr>
              <w:t>Beløbet svarer til det beløb, der skal medtages i kolonne 0260 i skema C 08.01 for modpartsrisikopositioner.</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Række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DEN OPRINDELIGE EKSPONERINGSMETODE (FOR DERIVATER) </w:t>
            </w:r>
          </w:p>
          <w:p w14:paraId="3300C734" w14:textId="4E100ED3" w:rsidR="00595FAD" w:rsidRPr="002A677E" w:rsidRDefault="00595FAD" w:rsidP="00F26CE4">
            <w:pPr>
              <w:pStyle w:val="TableMainHeading"/>
              <w:spacing w:before="60"/>
              <w:rPr>
                <w:rFonts w:ascii="Times New Roman" w:hAnsi="Times New Roman"/>
                <w:i/>
                <w:sz w:val="24"/>
                <w:szCs w:val="24"/>
              </w:rPr>
            </w:pPr>
            <w:r>
              <w:rPr>
                <w:rFonts w:ascii="Times New Roman" w:hAnsi="Times New Roman"/>
                <w:sz w:val="24"/>
              </w:rPr>
              <w:t>Derivater og terminsforretninger, for hvilke instituttet beregner eksponeringsværdien i overensstemmelse med tredje del, afsnit II, kapitel 6, afdeling 5, i forordning (EU) nr. 575/2013. Denne forenklede metode til beregning af eksponeringsværdien kan kun anvendes af institutter, der opfylder betingelserne i artikel 273a, stk. 2, eller artikel 273a, stk. 4, i forordning (EU) nr. 575/2013.</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FORENKLET STANDARDMETODE FOR MODPARTSRISIKO (FORENKLET SA-CCR FOR DERIVATER)</w:t>
            </w:r>
          </w:p>
          <w:p w14:paraId="1C5BD740" w14:textId="15B4F3D5"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Derivater og terminsforretninger, for hvilke instituttet beregner eksponeringsværdien i overensstemmelse med tredje del, afsnit II, kapitel 6, afdeling 4, i forordning (EU) nr. 575/2013. Denne forenklede standardmetode til beregning af eksponeringsværdien kan kun anvendes af institutter, der opfylder betingelserne i artikel 273a, stk. 1, eller artikel 273a, stk. 4, i forordning (EU) nr. 575/2013.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STANDARDMETODE FOR MODPARTSRISIKO (SA-CCR FOR DERIVATER)</w:t>
            </w:r>
          </w:p>
          <w:p w14:paraId="598AFC1F" w14:textId="5F953A7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lastRenderedPageBreak/>
              <w:t>Derivater og terminsforretninger, for hvilke instituttet beregner eksponeringsværdien i overensstemmelse med tredje del, afsnit II, kapitel 6, afdeling 3, i forordning (EU) nr. 575/2013.</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lastRenderedPageBreak/>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METODEN MED INTERNE MODELLER (FOR DERIVATER OG VÆRDIPAPIRFINANSIERINGSTRANSAKTIONER)</w:t>
            </w:r>
          </w:p>
          <w:p w14:paraId="12D47B35" w14:textId="0097769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Derivater, terminsforretninger og værdipapirfinansieringstransaktioner, for hvilke instituttet har fået tilladelse til at beregne eksponeringsværdien ved hjælp af metoden med interne modeller (IMM), jf. tredje del, afsnit II, kapitel 6, afdeling 6, i forordning (EU) nr. 575/2013.</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Nettinggrupper for værdipapirfinansieringstransaktioner</w:t>
            </w:r>
          </w:p>
          <w:p w14:paraId="30F5BD13" w14:textId="78B6F40D"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Nettinggrupper, der kun indeholder værdipapirfinansieringstransaktioner</w:t>
            </w:r>
            <w:r>
              <w:t xml:space="preserve"> </w:t>
            </w:r>
            <w:r>
              <w:rPr>
                <w:rFonts w:ascii="Times New Roman" w:hAnsi="Times New Roman"/>
                <w:sz w:val="24"/>
              </w:rPr>
              <w:t>som defineret i artikel 4, nr. 139), i forordning (EU) nr. 575/2013, for hvilke instituttet har fået tilladelse til at bestemme eksponeringsværdien gennem metoden med interne modeller.</w:t>
            </w:r>
          </w:p>
          <w:p w14:paraId="5E635585"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Værdipapirfinansieringstransaktioner, som indgår i en aftale om nettinggrupper på tværs af produkter og derfor er indberettet i række 0070, skal ikke indberettes i denne række.</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Nettinggrupper for derivater og terminsforretninger</w:t>
            </w:r>
          </w:p>
          <w:p w14:paraId="29F5D331" w14:textId="0E0BCB92"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Nettinggrupper, der kun indeholder derivater, der er anført i bilag II til forordning (EU) nr. 575/2013, og terminsforretninger</w:t>
            </w:r>
            <w:r>
              <w:t xml:space="preserve"> </w:t>
            </w:r>
            <w:r>
              <w:rPr>
                <w:rFonts w:ascii="Times New Roman" w:hAnsi="Times New Roman"/>
                <w:sz w:val="24"/>
              </w:rPr>
              <w:t>som defineret i artikel 272, nr. 2), i forordning (EU) nr. 575/2013, for hvilke instituttet har fået tilladelse til at bestemme eksponeringsværdien gennem metoden med interne modeller.</w:t>
            </w:r>
          </w:p>
          <w:p w14:paraId="56B3BAAB"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Derivater og terminsforretninger, som indgår i en aftale om en nettinggruppe på tværs af produkter og derfor er indberettet i række 0070, skal ikke indberettes i denne række.</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Fra aftaler om nettinggrupper på tværs af produkter</w:t>
            </w:r>
          </w:p>
          <w:p w14:paraId="3081A4FE" w14:textId="758D5ED3" w:rsidR="00595FAD" w:rsidRPr="002A677E" w:rsidRDefault="00595FAD" w:rsidP="00FF15C6">
            <w:pPr>
              <w:rPr>
                <w:rFonts w:ascii="Times New Roman" w:hAnsi="Times New Roman"/>
                <w:sz w:val="24"/>
              </w:rPr>
            </w:pPr>
            <w:r>
              <w:rPr>
                <w:rFonts w:ascii="Times New Roman" w:hAnsi="Times New Roman"/>
                <w:sz w:val="24"/>
              </w:rPr>
              <w:t>Artikel 272, nr. 11) og 25), i forordning (EU) nr. 575/2013</w:t>
            </w:r>
          </w:p>
          <w:p w14:paraId="78A36A41" w14:textId="67780914"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Nettinggrupper, der indeholder transaktioner af forskellige produktkategorier (artikel 272, nr. 11), i forordning (EU) nr. 575/2013), dvs. derivater og værdipapirfinansieringstransaktioner, for hvilke der findes en aftale om nettinggrupper på tværs af produkter som defineret i artikel 272, nr. 25), i forordning (EU) nr. 575/2013, og for hvilke instituttet har fået tilladelse til at bestemme eksponeringsværdien gennem metoden med interne modeller.</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FINANSIEL SIKKERHED - ENKEL METODE (FOR VÆRDIPAPIRFINANSIERINGSTRANSAKTIONER) </w:t>
            </w:r>
          </w:p>
          <w:p w14:paraId="0173687C" w14:textId="03012BAC" w:rsidR="00595FAD" w:rsidRPr="002A677E" w:rsidRDefault="00595FAD" w:rsidP="00FF15C6">
            <w:pPr>
              <w:rPr>
                <w:rFonts w:ascii="Times New Roman" w:hAnsi="Times New Roman"/>
                <w:sz w:val="24"/>
              </w:rPr>
            </w:pPr>
            <w:r>
              <w:rPr>
                <w:rFonts w:ascii="Times New Roman" w:hAnsi="Times New Roman"/>
                <w:sz w:val="24"/>
              </w:rPr>
              <w:t>Artikel 222 i forordning (EU) nr. 575/2013</w:t>
            </w:r>
          </w:p>
          <w:p w14:paraId="437C0FD9" w14:textId="111AB79F" w:rsidR="00595FAD" w:rsidRPr="002A677E" w:rsidRDefault="00595FAD" w:rsidP="007079CE">
            <w:pPr>
              <w:pStyle w:val="TableMainHeading"/>
              <w:spacing w:before="60"/>
              <w:jc w:val="both"/>
              <w:rPr>
                <w:rFonts w:ascii="Times New Roman" w:hAnsi="Times New Roman"/>
                <w:sz w:val="24"/>
                <w:szCs w:val="24"/>
              </w:rPr>
            </w:pPr>
            <w:r>
              <w:rPr>
                <w:rFonts w:ascii="Times New Roman" w:hAnsi="Times New Roman"/>
                <w:sz w:val="24"/>
              </w:rPr>
              <w:t xml:space="preserve">Genkøbstransaktioner, udlån og indskud af værdipapirer eller råvarer, terminsforretninger og margenudlånstransaktioner, for hvilke instituttet har valgt at fastsætte eksponeringsværdien i overensstemmelse med artikel 222 i forordning (EU) nr. 575/2013, i modsætning til tredje del, afsnit II, kapitel 6, i </w:t>
            </w:r>
            <w:r>
              <w:rPr>
                <w:rFonts w:ascii="Times New Roman" w:hAnsi="Times New Roman"/>
                <w:sz w:val="24"/>
              </w:rPr>
              <w:lastRenderedPageBreak/>
              <w:t>nævnte forordning i overensstemmelse med samme forordnings artikel 271, stk. 2.</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lastRenderedPageBreak/>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FINANSIEL SIKKERHED - UDBYGGET METODE (FOR VÆRDIPAPIRFINANSIERINGSTRANSAKTIONER)</w:t>
            </w:r>
          </w:p>
          <w:p w14:paraId="33716D0C" w14:textId="019BF318" w:rsidR="00595FAD" w:rsidRPr="002A677E" w:rsidRDefault="00595FAD" w:rsidP="00FF15C6">
            <w:pPr>
              <w:rPr>
                <w:rFonts w:ascii="Times New Roman" w:hAnsi="Times New Roman"/>
                <w:sz w:val="24"/>
              </w:rPr>
            </w:pPr>
            <w:r>
              <w:rPr>
                <w:rFonts w:ascii="Times New Roman" w:hAnsi="Times New Roman"/>
                <w:sz w:val="24"/>
              </w:rPr>
              <w:t>Artikel 220 og 223 i forordning (EU) nr. 575/2013</w:t>
            </w:r>
          </w:p>
          <w:p w14:paraId="21713DED" w14:textId="7F47603B"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Genkøbstransaktioner, udlån og indskud af værdipapirer eller råvarer, terminsforretninger og margenudlånstransaktioner, for hvilke instituttet har valgt at fastsætte eksponeringsværdien i overensstemmelse med artikel 223 i forordning (EU) nr. 575/2013, i modsætning til tredje del, afsnit II, kapitel 6, i nævnte forordning i overensstemmelse med samme forordnings artikel 271, stk. 2.</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 FOR VÆRDIPAPIRFINANSIERINGSTRANSAKTIONER</w:t>
            </w:r>
          </w:p>
          <w:p w14:paraId="55681F10" w14:textId="11865EA2" w:rsidR="00595FAD" w:rsidRPr="002A677E" w:rsidRDefault="00595FAD" w:rsidP="00FF15C6">
            <w:pPr>
              <w:rPr>
                <w:rFonts w:ascii="Times New Roman" w:hAnsi="Times New Roman"/>
                <w:sz w:val="24"/>
              </w:rPr>
            </w:pPr>
            <w:r>
              <w:rPr>
                <w:rFonts w:ascii="Times New Roman" w:hAnsi="Times New Roman"/>
                <w:sz w:val="24"/>
              </w:rPr>
              <w:t>Artikel 221 i forordning (EU) nr. 575/2013</w:t>
            </w:r>
          </w:p>
          <w:p w14:paraId="167C79D0" w14:textId="6AE919E2" w:rsidR="00595FAD" w:rsidRPr="002A677E" w:rsidRDefault="00595FAD" w:rsidP="00BC3A29">
            <w:pPr>
              <w:pStyle w:val="TableMainHeading"/>
              <w:spacing w:before="60"/>
              <w:jc w:val="both"/>
              <w:rPr>
                <w:rFonts w:ascii="Times New Roman" w:hAnsi="Times New Roman"/>
                <w:sz w:val="24"/>
                <w:szCs w:val="24"/>
              </w:rPr>
            </w:pPr>
            <w:r>
              <w:rPr>
                <w:rFonts w:ascii="Times New Roman" w:hAnsi="Times New Roman"/>
                <w:sz w:val="24"/>
              </w:rPr>
              <w:t xml:space="preserve">Genkøbstransaktioner, udlån og indskud af værdipapirer eller råvarer eller margenudlånstransaktioner eller andre kapitalmarkedsrelaterede transaktioner bortset fra transaktioner i derivater, for hvilke eksponeringsværdien i overensstemmelse med artikel 221 i forordning (EU) nr. 575/2013 og med forbehold af den kompetente myndigheds tilladelse beregnes ved at benytte en metode med interne modeller, hvor der tages hensyn til korrelationsvirkninger mellem værdipapirpositioner, der er omfattet af masternettingaftalen, samt de pågældende instrumenters likviditet.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 ALT</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Heraf: SWWR-positioner</w:t>
            </w:r>
          </w:p>
          <w:p w14:paraId="0AD5CB2F" w14:textId="0B92D350" w:rsidR="00595FAD" w:rsidRPr="002A677E" w:rsidRDefault="00595FAD" w:rsidP="00FF15C6">
            <w:pPr>
              <w:keepNext/>
              <w:spacing w:before="60"/>
              <w:rPr>
                <w:rStyle w:val="InstructionsTabelleberschrift"/>
                <w:rFonts w:ascii="Times New Roman" w:hAnsi="Times New Roman"/>
                <w:b w:val="0"/>
                <w:sz w:val="24"/>
                <w:u w:val="none"/>
              </w:rPr>
            </w:pPr>
            <w:r>
              <w:rPr>
                <w:rFonts w:ascii="Times New Roman" w:hAnsi="Times New Roman"/>
                <w:sz w:val="24"/>
              </w:rPr>
              <w:t>Artikel 291 i forordning (EU) nr. 575/2013</w:t>
            </w:r>
          </w:p>
          <w:p w14:paraId="46E07203" w14:textId="1AC1603C" w:rsidR="00595FAD" w:rsidRPr="002A677E" w:rsidDel="003E0C6A" w:rsidRDefault="00595FAD" w:rsidP="00FF15C6">
            <w:pPr>
              <w:keepNext/>
              <w:spacing w:before="60"/>
              <w:rPr>
                <w:rFonts w:ascii="Times New Roman" w:hAnsi="Times New Roman"/>
                <w:bCs/>
                <w:sz w:val="24"/>
              </w:rPr>
            </w:pPr>
            <w:r>
              <w:rPr>
                <w:rFonts w:ascii="Times New Roman" w:hAnsi="Times New Roman"/>
                <w:sz w:val="24"/>
              </w:rPr>
              <w:t>Modpartsrisikoeksponeringer, for hvilke der er konstateret en specifik "wrong way"-risiko (SWWR), er identificeret i overensstemmelse med artikel 291 i forordning (EU) nr. 575/2013.</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Forretninger med margen</w:t>
            </w:r>
          </w:p>
          <w:p w14:paraId="037CFAFD" w14:textId="07958BCE" w:rsidR="00595FAD" w:rsidRPr="002A677E" w:rsidRDefault="00595FAD" w:rsidP="00FF15C6">
            <w:pPr>
              <w:keepNext/>
              <w:spacing w:before="60"/>
              <w:rPr>
                <w:rStyle w:val="InstructionsTabelleberschrift"/>
                <w:rFonts w:ascii="Times New Roman" w:hAnsi="Times New Roman"/>
                <w:b w:val="0"/>
                <w:sz w:val="24"/>
                <w:u w:val="none"/>
              </w:rPr>
            </w:pPr>
            <w:r>
              <w:rPr>
                <w:rFonts w:ascii="Times New Roman" w:hAnsi="Times New Roman"/>
                <w:sz w:val="24"/>
              </w:rPr>
              <w:t>Artikel 272, nr. 7), i forordning (EU) nr. 575/2013</w:t>
            </w:r>
          </w:p>
          <w:p w14:paraId="6CB57CF2" w14:textId="0F21258C" w:rsidR="00595FAD" w:rsidRPr="002A677E" w:rsidDel="003E0C6A" w:rsidRDefault="00595FAD" w:rsidP="00FF15C6">
            <w:pPr>
              <w:keepNext/>
              <w:spacing w:before="60"/>
              <w:rPr>
                <w:rFonts w:ascii="Times New Roman" w:hAnsi="Times New Roman"/>
                <w:sz w:val="24"/>
              </w:rPr>
            </w:pPr>
            <w:r>
              <w:rPr>
                <w:rFonts w:ascii="Times New Roman" w:hAnsi="Times New Roman"/>
                <w:sz w:val="24"/>
              </w:rPr>
              <w:t>Modpartsrisikoeksponeringer med margen, dvs. nettinggrupper, der er omfattet af en margenaftale, jf. artikel 272, nr. 7), i forordning (EU) nr. 575/2013.</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Forretninger uden margen</w:t>
            </w:r>
          </w:p>
          <w:p w14:paraId="6423C333" w14:textId="77777777" w:rsidR="00595FAD" w:rsidRPr="002A677E" w:rsidDel="003E0C6A" w:rsidRDefault="00595FAD" w:rsidP="00FF15C6">
            <w:pPr>
              <w:rPr>
                <w:rFonts w:ascii="Times New Roman" w:hAnsi="Times New Roman"/>
                <w:sz w:val="24"/>
              </w:rPr>
            </w:pPr>
            <w:r>
              <w:rPr>
                <w:rFonts w:ascii="Times New Roman" w:hAnsi="Times New Roman"/>
                <w:sz w:val="24"/>
              </w:rPr>
              <w:t>Modpartsrisikoeksponeringer, der ikke er omfattet i 0130.</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119059381"/>
      <w:r>
        <w:rPr>
          <w:rFonts w:ascii="Times New Roman" w:hAnsi="Times New Roman"/>
          <w:sz w:val="24"/>
        </w:rPr>
        <w:lastRenderedPageBreak/>
        <w:t>C 34.03 — Modpartsrisikoeksponeringer, der behandles med standardmetoder: SA-CCR og forenklet SA-CCR</w:t>
      </w:r>
      <w:bookmarkEnd w:id="462"/>
      <w:bookmarkEnd w:id="463"/>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4" w:name="_Toc19715810"/>
      <w:bookmarkStart w:id="465" w:name="_Toc119059382"/>
      <w:r>
        <w:rPr>
          <w:rFonts w:ascii="Times New Roman" w:hAnsi="Times New Roman"/>
          <w:sz w:val="24"/>
        </w:rPr>
        <w:t>Generelle bemærkninger</w:t>
      </w:r>
      <w:bookmarkEnd w:id="464"/>
      <w:bookmarkEnd w:id="465"/>
    </w:p>
    <w:p w14:paraId="0771AD5D" w14:textId="77777777" w:rsidR="00595FAD" w:rsidRPr="002A677E" w:rsidRDefault="008F3052" w:rsidP="00487A02">
      <w:pPr>
        <w:pStyle w:val="InstructionsText2"/>
        <w:numPr>
          <w:ilvl w:val="0"/>
          <w:numId w:val="0"/>
        </w:numPr>
        <w:ind w:left="1353" w:hanging="360"/>
      </w:pPr>
      <w:fldSimple w:instr=" seq paragraphs ">
        <w:r>
          <w:t>125</w:t>
        </w:r>
      </w:fldSimple>
      <w:r>
        <w:t>. Skemaet anvendes separat til indberetning af modpartsrisikoeksponeringer, der er beregnet i henhold til SA-CCR eller den forenklede SA-CCR, alt efter hvad der er relevant.</w:t>
      </w:r>
    </w:p>
    <w:p w14:paraId="2F14828E" w14:textId="3A752E64" w:rsidR="00595FAD" w:rsidRPr="002A677E"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119059383"/>
      <w:r>
        <w:rPr>
          <w:rFonts w:ascii="Times New Roman" w:hAnsi="Times New Roman"/>
          <w:sz w:val="24"/>
        </w:rPr>
        <w:t>Instrukser vedrørende specifikke positioner</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Kolonner</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VALUTA</w:t>
            </w:r>
          </w:p>
          <w:p w14:paraId="38AC27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For transaktioner, der er henført til kategorien for renterisiko, indberettes transaktionens denomineringsvaluta.</w:t>
            </w:r>
          </w:p>
          <w:p w14:paraId="3F67A7EA"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For transaktioner, der er henført til kategorien for valutakursrisiko, indberettes transaktionens denomineringsvaluta for den ene del af transaktionen. Institutterne indsætter valutaerne i valutaparret i alfabetisk orden, f.eks. for US dollar/Euro udfyldes denne kolonne med EUR og kolonne 0020 med USD. </w:t>
            </w:r>
          </w:p>
          <w:p w14:paraId="06A18930"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Der anvendes</w:t>
            </w:r>
            <w:r>
              <w:t xml:space="preserve"> </w:t>
            </w:r>
            <w:hyperlink r:id="rId13" w:history="1">
              <w:r>
                <w:rPr>
                  <w:rFonts w:ascii="Times New Roman" w:hAnsi="Times New Roman"/>
                  <w:sz w:val="24"/>
                </w:rPr>
                <w:t>ISO-valutakoder</w:t>
              </w:r>
            </w:hyperlink>
            <w:r>
              <w:rPr>
                <w:rFonts w:ascii="Times New Roman" w:hAnsi="Times New Roman"/>
                <w:sz w:val="24"/>
              </w:rPr>
              <w:t>.</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ANDEN VALUTA I VALUTAPARRET</w:t>
            </w:r>
          </w:p>
          <w:p w14:paraId="2CFBC680" w14:textId="77777777" w:rsidR="00595FAD" w:rsidRPr="002A677E" w:rsidRDefault="00595FAD" w:rsidP="00FF15C6">
            <w:pPr>
              <w:keepNext/>
              <w:spacing w:before="60"/>
              <w:rPr>
                <w:rFonts w:ascii="Times New Roman" w:hAnsi="Times New Roman"/>
                <w:sz w:val="24"/>
              </w:rPr>
            </w:pPr>
            <w:r>
              <w:rPr>
                <w:rFonts w:ascii="Times New Roman" w:hAnsi="Times New Roman"/>
                <w:sz w:val="24"/>
              </w:rPr>
              <w:t>For transaktioner, der er henført til kategorien for valutakursrisiko, indberettes transaktionens denomineringsvaluta for den anden del af transaktionen (vedrørende den del, der er anført i kolonne 0010). Institutterne indsætter valutaerne i valutaparret i alfabetisk orden, f.eks. for US dollar/Euro udfyldes denne kolonne med USD og kolonne 0010 med EUR.</w:t>
            </w:r>
          </w:p>
          <w:p w14:paraId="51FADFB6"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Der anvendes</w:t>
            </w:r>
            <w:r>
              <w:t xml:space="preserve"> </w:t>
            </w:r>
            <w:hyperlink r:id="rId14" w:history="1">
              <w:r>
                <w:rPr>
                  <w:rFonts w:ascii="Times New Roman" w:hAnsi="Times New Roman"/>
                  <w:sz w:val="24"/>
                </w:rPr>
                <w:t>ISO-valutakoder</w:t>
              </w:r>
            </w:hyperlink>
            <w:r>
              <w:rPr>
                <w:rFonts w:ascii="Times New Roman" w:hAnsi="Times New Roman"/>
                <w:sz w:val="24"/>
              </w:rPr>
              <w:t>.</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ANTAL TRANSAKTIONER</w:t>
            </w:r>
          </w:p>
          <w:p w14:paraId="53F65B4A"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Se instrukserne til kolonne 0020 i skema C 34.02.</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NOMINEL VÆRDI</w:t>
            </w:r>
          </w:p>
          <w:p w14:paraId="2C610232" w14:textId="77777777" w:rsidR="00595FAD" w:rsidRPr="002A677E" w:rsidRDefault="00595FAD" w:rsidP="00FF15C6">
            <w:pPr>
              <w:keepNext/>
              <w:spacing w:before="60"/>
              <w:rPr>
                <w:rFonts w:ascii="Times New Roman" w:hAnsi="Times New Roman"/>
                <w:sz w:val="24"/>
              </w:rPr>
            </w:pPr>
            <w:r>
              <w:rPr>
                <w:rFonts w:ascii="Times New Roman" w:hAnsi="Times New Roman"/>
                <w:sz w:val="24"/>
              </w:rPr>
              <w:t>Se instrukserne til kolonne 0030 i skema C 34.02.</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 AKTUELLE MARKEDSVÆRDI (CMV), POSITIV</w:t>
            </w:r>
          </w:p>
          <w:p w14:paraId="1790E1A9"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Summen af de aktuelle markedsværdier (CMV'er) for alle risikoafdækningsgrupper med positive CMV'er i den pågældende risikokategori.</w:t>
            </w:r>
          </w:p>
          <w:p w14:paraId="2C2DC5BF" w14:textId="77777777" w:rsidR="00595FAD" w:rsidRPr="002A677E" w:rsidRDefault="00595FAD" w:rsidP="00FF15C6">
            <w:pPr>
              <w:keepNext/>
              <w:spacing w:before="60"/>
              <w:rPr>
                <w:rFonts w:ascii="Times New Roman" w:hAnsi="Times New Roman"/>
                <w:sz w:val="24"/>
              </w:rPr>
            </w:pPr>
            <w:r>
              <w:rPr>
                <w:rFonts w:ascii="Times New Roman" w:hAnsi="Times New Roman"/>
                <w:sz w:val="24"/>
              </w:rPr>
              <w:t>Den aktuelle markedsværdi (CMV) på niveauet for risikoafdækningsgruppen bestemmes ved at modregne positive og negative markedsværdier af transaktionerne inden for en risikoafdækningsgruppe, uden indregning af eventuel modtaget eller stillet sikkerhed.</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lastRenderedPageBreak/>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 AKTUELLE MARKEDSVÆRDI (CMV), NEGATIV</w:t>
            </w:r>
          </w:p>
          <w:p w14:paraId="149AB8BA"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Summen af de aktuelle markedsværdier (CMV'er) for alle risikoafdækningsgrupper med negative CMV'er i den pågældende risikokategori.</w:t>
            </w:r>
          </w:p>
          <w:p w14:paraId="0EAD6AE6"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Den aktuelle markedsværdi (CMV) på niveauet for risikoafdækningsgruppen bestemmes ved at modregne positive og negative markedsværdier af transaktionerne inden for en risikoafdækningsgruppe, uden indregning af eventuel modtaget eller stillet sikkerhed.</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TILLÆG</w:t>
            </w:r>
            <w:r>
              <w:rPr>
                <w:rFonts w:ascii="Times New Roman" w:hAnsi="Times New Roman"/>
                <w:sz w:val="24"/>
              </w:rPr>
              <w:t xml:space="preserve"> </w:t>
            </w:r>
          </w:p>
          <w:p w14:paraId="5C38D8C1" w14:textId="05AA18D2" w:rsidR="00595FAD" w:rsidRPr="002A677E" w:rsidRDefault="00595FAD" w:rsidP="00FF15C6">
            <w:pPr>
              <w:keepNext/>
              <w:spacing w:before="60"/>
              <w:rPr>
                <w:rFonts w:ascii="Times New Roman" w:hAnsi="Times New Roman"/>
                <w:sz w:val="24"/>
              </w:rPr>
            </w:pPr>
            <w:r>
              <w:rPr>
                <w:rFonts w:ascii="Times New Roman" w:hAnsi="Times New Roman"/>
                <w:sz w:val="24"/>
              </w:rPr>
              <w:t>Artikel 280a-280f og artikel 281, stk. 2, i forordning (EU) nr. 575/2013</w:t>
            </w:r>
          </w:p>
          <w:p w14:paraId="0BE0594E"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Instituttet indberetter summen af alle tillæg i den pågældende risikoafdækningsgruppe/risikokategori. </w:t>
            </w:r>
          </w:p>
          <w:p w14:paraId="38CEBC1C" w14:textId="41DBF085" w:rsidR="00595FAD" w:rsidRPr="002A677E" w:rsidRDefault="00595FAD" w:rsidP="00F02E37">
            <w:pPr>
              <w:keepNext/>
              <w:spacing w:before="60"/>
              <w:rPr>
                <w:rFonts w:ascii="Times New Roman" w:hAnsi="Times New Roman"/>
                <w:sz w:val="24"/>
              </w:rPr>
            </w:pPr>
            <w:r>
              <w:rPr>
                <w:rFonts w:ascii="Times New Roman" w:hAnsi="Times New Roman"/>
                <w:sz w:val="24"/>
              </w:rPr>
              <w:t>Tillægget for risikokategorien, der anvendes til at bestemme en nettinggruppes potentielle fremtidige eksponering i henhold til artikel 278, stk. 1, eller artikel 281, stk. 2, litra f), i forordning (EU) nr. 575/2013, beregnes i overensstemmelse med artikel 280a-280f i nævnte forordning. For den forenklede SA-CCR finder bestemmelserne i artikel 281, stk. 2, i forordning (EU) nr. 575/2013 anvendelse.</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Pr>
                <w:b/>
              </w:rPr>
              <w:t xml:space="preserve">Rækker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t>0050,0120, 0190, 0230, 0270, 0340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RISIKOKATEGORIER</w:t>
            </w:r>
          </w:p>
          <w:p w14:paraId="034B189F" w14:textId="166DC879" w:rsidR="00595FAD" w:rsidRPr="002A677E" w:rsidRDefault="00595FAD" w:rsidP="00FF15C6">
            <w:pPr>
              <w:keepNext/>
              <w:spacing w:before="60"/>
              <w:rPr>
                <w:rFonts w:ascii="Times New Roman" w:hAnsi="Times New Roman"/>
                <w:sz w:val="24"/>
              </w:rPr>
            </w:pPr>
            <w:r>
              <w:rPr>
                <w:rFonts w:ascii="Times New Roman" w:hAnsi="Times New Roman"/>
                <w:sz w:val="24"/>
              </w:rPr>
              <w:t>Artikel 277 og 277a i forordning (EU) nr. 575/2013</w:t>
            </w:r>
          </w:p>
          <w:p w14:paraId="72FC3A4A" w14:textId="0CB0773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Transaktioner klassificeres i henhold til den risikokategori, de tilhører, jf. artikel 277, stk. 1-4, i forordning (EU) nr. 575/2013.</w:t>
            </w:r>
          </w:p>
          <w:p w14:paraId="5155215E" w14:textId="68DA47BA"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Fordelingen på risikoafdækningsgrupper i henhold til risikokategorien foretages i overensstemmelse med artikel 277a i forordning (EU) nr. 575/2013.</w:t>
            </w:r>
          </w:p>
          <w:p w14:paraId="49EE0710" w14:textId="18FEA71B"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For den forenklede SA-CCR finder bestemmelserne i artikel 281, stk. 2, i forordning (EU) nr. 575/2013 anvendelse.</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Heraf henført til mere end én risikokategori</w:t>
            </w:r>
          </w:p>
          <w:p w14:paraId="0EB158AA" w14:textId="7C5D65EF" w:rsidR="00595FAD" w:rsidRPr="002A677E" w:rsidRDefault="00595FAD" w:rsidP="00FF15C6">
            <w:pPr>
              <w:keepNext/>
              <w:spacing w:before="60"/>
              <w:rPr>
                <w:rFonts w:ascii="Times New Roman" w:hAnsi="Times New Roman"/>
                <w:sz w:val="24"/>
              </w:rPr>
            </w:pPr>
            <w:r>
              <w:rPr>
                <w:rFonts w:ascii="Times New Roman" w:hAnsi="Times New Roman"/>
                <w:sz w:val="24"/>
              </w:rPr>
              <w:t>Artikel 277, stk. 3, i forordning (EU) nr. 575/2013</w:t>
            </w:r>
          </w:p>
          <w:p w14:paraId="44A31AAB" w14:textId="27CD5DD7"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Derivattransaktioner med mere end én væsentlig risikofaktor, der er henført til to (0020), tre (0030) eller mere end tre (0040) risikokategorier på grundlag af det materiale, som er mest relevant for risikofaktorerne, i hver risikokategori, i overensstemmelse med artikel 277, stk. 3, i forordning (EU) nr. 575/2013 og EBA's reguleringsmæssige tekniske standarder, der er omhandlet i artikel 277, stk. 5, i nævnte forordning.</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t>0070-0110 og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Største valuta og valutapar</w:t>
            </w:r>
          </w:p>
          <w:p w14:paraId="0C6A39A8" w14:textId="77777777" w:rsidR="00595FAD" w:rsidRPr="002A677E" w:rsidRDefault="00595FAD" w:rsidP="00FF15C6">
            <w:pPr>
              <w:rPr>
                <w:rFonts w:ascii="Times New Roman" w:hAnsi="Times New Roman"/>
                <w:sz w:val="24"/>
              </w:rPr>
            </w:pPr>
            <w:r>
              <w:rPr>
                <w:rFonts w:ascii="Times New Roman" w:hAnsi="Times New Roman"/>
                <w:sz w:val="24"/>
              </w:rPr>
              <w:t>Denne klassifikation foretages på grundlag af den aktuelle markedsværdi (CMV) for instituttets portefølje i henhold til anvendelsesområdet for SA-</w:t>
            </w:r>
            <w:r>
              <w:rPr>
                <w:rFonts w:ascii="Times New Roman" w:hAnsi="Times New Roman"/>
                <w:sz w:val="24"/>
              </w:rPr>
              <w:lastRenderedPageBreak/>
              <w:t xml:space="preserve">CCR eller den forenklede SA-CCR, alt efter hvad der er relevant, for transaktioner, der er henført henholdsvis til renterisiko og valutarisiko. </w:t>
            </w:r>
          </w:p>
          <w:p w14:paraId="6232A3BE" w14:textId="77777777" w:rsidR="00595FAD" w:rsidRPr="002A677E" w:rsidRDefault="00595FAD" w:rsidP="00FF15C6">
            <w:pPr>
              <w:rPr>
                <w:rFonts w:ascii="Times New Roman" w:hAnsi="Times New Roman"/>
                <w:i/>
                <w:sz w:val="24"/>
              </w:rPr>
            </w:pPr>
            <w:r>
              <w:rPr>
                <w:rFonts w:ascii="Times New Roman" w:hAnsi="Times New Roman"/>
                <w:sz w:val="24"/>
              </w:rPr>
              <w:t>Med henblik på klassificeringen</w:t>
            </w:r>
            <w:r>
              <w:rPr>
                <w:rFonts w:ascii="inherit" w:hAnsi="inherit"/>
                <w:sz w:val="24"/>
              </w:rPr>
              <w:t xml:space="preserve"> lægges den absolutte værdi af den aktuelle markedsværdi (CMV) af positionerne sammen.</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lastRenderedPageBreak/>
              <w:t>0060,0130, 0200,0240, 0280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Eksklusiv henførelse</w:t>
            </w:r>
          </w:p>
          <w:p w14:paraId="326783F1" w14:textId="05EA2B45" w:rsidR="00595FAD" w:rsidRPr="002A677E" w:rsidRDefault="00595FAD" w:rsidP="00FF15C6">
            <w:pPr>
              <w:keepNext/>
              <w:spacing w:before="60"/>
              <w:rPr>
                <w:rFonts w:ascii="Times New Roman" w:hAnsi="Times New Roman"/>
                <w:sz w:val="24"/>
              </w:rPr>
            </w:pPr>
            <w:r>
              <w:rPr>
                <w:rFonts w:ascii="Times New Roman" w:hAnsi="Times New Roman"/>
                <w:sz w:val="24"/>
              </w:rPr>
              <w:t>Artikel 277, stk. 1 og 2, i forordning (EU) nr. 575/2013</w:t>
            </w:r>
          </w:p>
          <w:p w14:paraId="483D7E94" w14:textId="038AA7E6"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Derivattransaktioner, der udelukkende er henført til en risikokategori i overensstemmelse med artikel 277, stk. 1, og 2, i forordning (EU) nr. 575/2013. </w:t>
            </w:r>
          </w:p>
          <w:p w14:paraId="7A2DDF49" w14:textId="7957CE0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Transaktioner, der henføres til forskellige risikokategorier i henhold til artikel 277, stk. 3, i forordning (EU) nr. 575/2013, medregnes ikke.</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Single name-transaktioner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Single name-transaktioner, der henføres til henholdsvis kreditrisiko og aktierisiko.</w:t>
            </w:r>
            <w:r>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Multi name-transaktioner</w:t>
            </w:r>
          </w:p>
          <w:p w14:paraId="1607136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Multi name-transaktioner, der henføres til henholdsvis kreditrisiko og aktierisiko.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Risikoafdækningsgrupper for kategorien for råvarerisiko</w:t>
            </w:r>
          </w:p>
          <w:p w14:paraId="3D5DB3DA" w14:textId="2E169311" w:rsidR="00595FAD" w:rsidRPr="002A677E" w:rsidRDefault="00595FAD" w:rsidP="00070518">
            <w:pPr>
              <w:keepNext/>
              <w:spacing w:before="60"/>
              <w:rPr>
                <w:rFonts w:ascii="Times New Roman" w:hAnsi="Times New Roman"/>
                <w:sz w:val="24"/>
              </w:rPr>
            </w:pPr>
            <w:r>
              <w:rPr>
                <w:rFonts w:ascii="Times New Roman" w:hAnsi="Times New Roman"/>
                <w:sz w:val="24"/>
              </w:rPr>
              <w:t>Derivattransaktioner, der henregnes til risikoafdækningsgrupper for kategorien for råvarerisiko som angivet i artikel 277a, stk. 1, litra e), i forordning (EU) nr. 575/2013.</w:t>
            </w:r>
          </w:p>
        </w:tc>
      </w:tr>
    </w:tbl>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119059384"/>
      <w:r>
        <w:rPr>
          <w:rFonts w:ascii="Times New Roman" w:hAnsi="Times New Roman"/>
          <w:sz w:val="24"/>
        </w:rPr>
        <w:t>C 34.04 — Modpartsrisikoeksponeringer, der behandles med den oprindelige eksponeringsmetode (OEM)</w:t>
      </w:r>
      <w:bookmarkEnd w:id="468"/>
      <w:bookmarkEnd w:id="469"/>
    </w:p>
    <w:p w14:paraId="1C6D309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119059385"/>
      <w:r>
        <w:rPr>
          <w:rFonts w:ascii="Times New Roman" w:hAnsi="Times New Roman"/>
          <w:sz w:val="24"/>
        </w:rPr>
        <w:t>Instrukser vedrørende specifikke positioner</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Kolonner</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t>0010 - 0020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rPr>
            </w:pPr>
            <w:r>
              <w:rPr>
                <w:rFonts w:ascii="Times New Roman" w:hAnsi="Times New Roman"/>
                <w:sz w:val="24"/>
              </w:rPr>
              <w:t>Instrukserne til kolonne 0010 og 0020 er dem, der er anført i skema C 34.02.</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 AKTUELLE MARKEDSVÆRDI (CMV), POSITIV</w:t>
            </w:r>
          </w:p>
          <w:p w14:paraId="553D4881"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Summen af de aktuelle markedsværdier (CMV'er) for alle transaktioner med positive CMV'er i den pågældende risikokategori.</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 AKTUELLE MARKEDSVÆRDI (CMV), NEGATIV</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Summen af de aktuelle markedsværdier (CMV'er) for alle transaktioner med negative CMV'er i den pågældende risikokategori.</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 POTENTIELLE FREMTIDIGE EKSPONERING (PFE)</w:t>
            </w:r>
          </w:p>
          <w:p w14:paraId="2D4D859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Instituttet indberetter summen af PFE'er for alle transaktioner i samme risikokategori.</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lastRenderedPageBreak/>
              <w:t>Rækker</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t>0020 - 0070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RISIKOKATEGORIER</w:t>
            </w:r>
          </w:p>
          <w:p w14:paraId="1FE53BE2" w14:textId="005554D3" w:rsidR="00595FAD" w:rsidRPr="002A677E" w:rsidRDefault="00595FAD" w:rsidP="00070518">
            <w:pPr>
              <w:keepNext/>
              <w:spacing w:before="60"/>
              <w:rPr>
                <w:rFonts w:ascii="Times New Roman" w:hAnsi="Times New Roman"/>
                <w:sz w:val="24"/>
              </w:rPr>
            </w:pPr>
            <w:r>
              <w:rPr>
                <w:rFonts w:ascii="Times New Roman" w:hAnsi="Times New Roman"/>
                <w:sz w:val="24"/>
              </w:rPr>
              <w:t>Derivattransaktioner, der er henregnet til risikokategorier som angivet i artikel 282, stk. 4, litra b), i forordning (EU) nr. 575/2013.</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119059386"/>
      <w:r>
        <w:rPr>
          <w:rFonts w:ascii="Times New Roman" w:hAnsi="Times New Roman"/>
          <w:sz w:val="24"/>
        </w:rPr>
        <w:t>C 34.05 — Modpartsrisikoeksponeringer, der behandles med metoden med interne modeller (IMM)</w:t>
      </w:r>
      <w:bookmarkEnd w:id="472"/>
      <w:bookmarkEnd w:id="473"/>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4" w:name="_Toc19715815"/>
      <w:bookmarkStart w:id="475" w:name="_Toc119059387"/>
      <w:r>
        <w:rPr>
          <w:rFonts w:ascii="Times New Roman" w:hAnsi="Times New Roman"/>
          <w:sz w:val="24"/>
        </w:rPr>
        <w:t>Instrukser vedrørende specifikke positioner</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Kolonner</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t>00010 - 0080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MED MARGEN </w:t>
            </w:r>
          </w:p>
          <w:p w14:paraId="1965ABB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Se instrukserne til række 0130 i skema C 34.02.</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t>0090 - 0160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UDEN MARGEN </w:t>
            </w:r>
          </w:p>
          <w:p w14:paraId="6A51A31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Se instrukserne til række 0140 i skema C 34.02.</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t>0010,0090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ANTAL TRANSAKTIONER </w:t>
            </w:r>
          </w:p>
          <w:p w14:paraId="4D81CC6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Se instrukserne til kolonne 0020 i skema C 34.02.</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t>0020,0100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NOMINEL VÆRDI </w:t>
            </w:r>
          </w:p>
          <w:p w14:paraId="1B21D84B" w14:textId="77777777" w:rsidR="00595FAD" w:rsidRPr="002A677E" w:rsidRDefault="00595FAD" w:rsidP="00FF15C6">
            <w:pPr>
              <w:keepNext/>
              <w:spacing w:before="60"/>
              <w:rPr>
                <w:rFonts w:ascii="Times New Roman" w:hAnsi="Times New Roman"/>
                <w:i/>
                <w:strike/>
                <w:sz w:val="24"/>
              </w:rPr>
            </w:pPr>
            <w:r>
              <w:rPr>
                <w:rFonts w:ascii="Times New Roman" w:hAnsi="Times New Roman"/>
                <w:sz w:val="24"/>
              </w:rPr>
              <w:t>Se instrukserne til kolonne 0030 i skema C 34.02.</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t>0030,0110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 AKTUELLE MARKEDSVÆRDI (CMV), POSITIV</w:t>
            </w:r>
          </w:p>
          <w:p w14:paraId="64212EE2"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Summen af de aktuelle markedsværdier (CMV'er) for alle transaktioner med positive CMV'er, der hører til den samme aktivklasse.</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t>0040,0120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 AKTUELLE MARKEDSVÆRDI (CMV), NEGATIV</w:t>
            </w:r>
          </w:p>
          <w:p w14:paraId="1ABA591B"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Summen af de aktuelle markedsværdier (CMV'er) for alle transaktioner med negative CMV'er, der hører til den samme aktivklasse.</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t>0050,0130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NUVÆRENDE EKSPONERING</w:t>
            </w:r>
          </w:p>
          <w:p w14:paraId="3EF8F43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Se instrukserne til kolonne 0120 i skema C 34.02.</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t>0060,0140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FAKTISK FORVENTET POSITIV EKSPONERING (DEN FAKTISKE EPE)</w:t>
            </w:r>
          </w:p>
          <w:p w14:paraId="31B52B9A" w14:textId="77777777" w:rsidR="00595FAD" w:rsidRPr="002A677E"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Se instrukserne til kolonne 0130 i skema C 34.02.</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t>0070,0150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 FAKTISKE EPE UNDER STRESSBETINGELSER</w:t>
            </w:r>
          </w:p>
          <w:p w14:paraId="76285FE0" w14:textId="6C1FC167" w:rsidR="00595FAD" w:rsidRPr="002A677E" w:rsidRDefault="00595FAD" w:rsidP="00FF15C6">
            <w:pPr>
              <w:keepNext/>
              <w:spacing w:before="60"/>
              <w:rPr>
                <w:rFonts w:ascii="Times New Roman" w:hAnsi="Times New Roman"/>
                <w:sz w:val="24"/>
              </w:rPr>
            </w:pPr>
            <w:r>
              <w:rPr>
                <w:rFonts w:ascii="Times New Roman" w:hAnsi="Times New Roman"/>
                <w:sz w:val="24"/>
              </w:rPr>
              <w:t>Artikel 284, 6 og artikel 292, stk. 2, i forordning (EU) nr. 575/2013</w:t>
            </w:r>
          </w:p>
          <w:p w14:paraId="05F2F928" w14:textId="7E7ECE33" w:rsidR="00595FAD" w:rsidRPr="002A677E" w:rsidRDefault="00595FAD" w:rsidP="00FF15C6">
            <w:pPr>
              <w:keepNext/>
              <w:spacing w:before="60"/>
              <w:rPr>
                <w:rFonts w:ascii="Times New Roman" w:hAnsi="Times New Roman"/>
                <w:sz w:val="24"/>
              </w:rPr>
            </w:pPr>
            <w:r>
              <w:rPr>
                <w:rFonts w:ascii="Times New Roman" w:hAnsi="Times New Roman"/>
                <w:sz w:val="24"/>
              </w:rPr>
              <w:t>Den faktiske EPE under stressbetingelser beregnes analogt med den faktiske EPE (artikel 284, stk. 6, i forordning (EU) nr. 575/2013), men der anvendes en stresskalibrering i overensstemmelse med artikel 292, stk. 2, i forordning (EU) nr. 575/2013.</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lastRenderedPageBreak/>
              <w:t>0080, 0160,0170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EKSPONERINGSVÆRDI</w:t>
            </w:r>
          </w:p>
          <w:p w14:paraId="0EE80EAE"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Se instrukserne til kolonne 0170 i skema C 34.02.</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Pr>
                <w:b/>
              </w:rPr>
              <w:t xml:space="preserve">Række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Forklaring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I ALT </w:t>
            </w:r>
          </w:p>
          <w:p w14:paraId="34B799AD" w14:textId="61B9642D" w:rsidR="00595FAD" w:rsidRPr="002A677E" w:rsidRDefault="00595FAD" w:rsidP="00FF15C6">
            <w:pPr>
              <w:keepNext/>
              <w:spacing w:before="60"/>
              <w:rPr>
                <w:sz w:val="24"/>
              </w:rPr>
            </w:pPr>
            <w:r>
              <w:rPr>
                <w:rFonts w:ascii="Times New Roman" w:hAnsi="Times New Roman"/>
                <w:sz w:val="24"/>
              </w:rPr>
              <w:t>Artikel 283 i forordning (EU) nr. 575/2013</w:t>
            </w:r>
          </w:p>
          <w:p w14:paraId="028F40CB" w14:textId="2044F0AF" w:rsidR="00595FAD" w:rsidRPr="002A677E" w:rsidRDefault="00595FAD" w:rsidP="00FF15C6">
            <w:pPr>
              <w:rPr>
                <w:sz w:val="24"/>
              </w:rPr>
            </w:pPr>
            <w:r>
              <w:rPr>
                <w:rFonts w:ascii="Times New Roman" w:hAnsi="Times New Roman"/>
                <w:sz w:val="24"/>
              </w:rPr>
              <w:t>Instituttet indberetter relevante oplysninger om derivater, terminsforretninger og værdipapirfinansieringstransaktioner, for hvilke det er tilladt at fastsætte eksponeringsværdien beregnet ved hjælp af metoden med interne modeller i overensstemmelse med artikel 283 i forordning (EU) nr. 575/2013.</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Heraf: SWWR-positioner</w:t>
            </w:r>
          </w:p>
          <w:p w14:paraId="6B266C36" w14:textId="77777777" w:rsidR="00595FAD" w:rsidRPr="002A677E" w:rsidRDefault="00595FAD" w:rsidP="00FF15C6">
            <w:pPr>
              <w:rPr>
                <w:rFonts w:ascii="Times New Roman" w:hAnsi="Times New Roman"/>
                <w:sz w:val="24"/>
              </w:rPr>
            </w:pPr>
            <w:r>
              <w:rPr>
                <w:rFonts w:ascii="Times New Roman" w:hAnsi="Times New Roman"/>
                <w:sz w:val="24"/>
              </w:rPr>
              <w:t>Se instrukserne til række 0120 i skema C 34.02.</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Nettinggrupper behandlet med CR-standardmetoden</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Se instrukserne til kolonne 0180 i skema C 34.02.</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Nettinggrupper behandlet med CR IRB-metoden</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Se instrukserne til kolonne 0190 i skema C 34.02.</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t>0050 - 0110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OTC-DERIVATER</w:t>
            </w:r>
          </w:p>
          <w:p w14:paraId="0977FBD8" w14:textId="77777777" w:rsidR="00595FAD" w:rsidRPr="002A677E" w:rsidRDefault="00595FAD" w:rsidP="00FF15C6">
            <w:pPr>
              <w:rPr>
                <w:rFonts w:ascii="Times New Roman" w:hAnsi="Times New Roman"/>
                <w:sz w:val="24"/>
              </w:rPr>
            </w:pPr>
            <w:r>
              <w:rPr>
                <w:rFonts w:ascii="Times New Roman" w:hAnsi="Times New Roman"/>
                <w:sz w:val="24"/>
              </w:rPr>
              <w:t>Instituttet indberetter relevante oplysninger om nettinggrupper, der kun indeholder OTC-derivater eller terminsforretninger, for hvilke det har fået tilladelse til at fastsætte eksponeringsværdien ved hjælp af metoden med interne modeller opdelt efter de forskellige aktivklasser for så vidt angår det underliggende aktiv (rente, valuta, kredit, egenkapital, råvare eller andet).</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t>0120 - 0180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BØRSHANDLEDE DERIVATER</w:t>
            </w:r>
          </w:p>
          <w:p w14:paraId="555913AF" w14:textId="77777777" w:rsidR="00595FAD" w:rsidRPr="002A677E" w:rsidRDefault="00595FAD" w:rsidP="00FF15C6">
            <w:pPr>
              <w:rPr>
                <w:rFonts w:ascii="Times New Roman" w:hAnsi="Times New Roman"/>
                <w:sz w:val="24"/>
              </w:rPr>
            </w:pPr>
            <w:r>
              <w:rPr>
                <w:rFonts w:ascii="Times New Roman" w:hAnsi="Times New Roman"/>
                <w:sz w:val="24"/>
              </w:rPr>
              <w:t>Instituttet indberetter relevante oplysninger om nettinggrupper, der kun indeholder børshandlede derivater eller terminsforretninger, for hvilke det har fået tilladelse til at fastsætte eksponeringsværdien ved hjælp af metoden med interne modeller opdelt efter de forskellige aktivklasser for så vidt angår det underliggende aktiv (rente, valuta, kredit, egenkapital, råvare eller andet).</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t>0190 - 0220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VÆRDIPAPIRFINANSIERINGSTRANSAKTIONER</w:t>
            </w:r>
          </w:p>
          <w:p w14:paraId="36B18F3F" w14:textId="77777777" w:rsidR="00595FAD" w:rsidRPr="002A677E" w:rsidRDefault="00595FAD" w:rsidP="00FF15C6">
            <w:pPr>
              <w:rPr>
                <w:rFonts w:ascii="Times New Roman" w:hAnsi="Times New Roman"/>
                <w:sz w:val="24"/>
              </w:rPr>
            </w:pPr>
            <w:r>
              <w:rPr>
                <w:rFonts w:ascii="Times New Roman" w:hAnsi="Times New Roman"/>
                <w:sz w:val="24"/>
              </w:rPr>
              <w:t>Instituttet indberetter relevante oplysninger om nettinggrupper, der kun indeholder værdipapirfinansieringstransaktioner, for hvilke det har fået tilladelse til at fastsætte eksponeringsværdien ved hjælp af metoden med interne modeller opdelt efter det underliggende aktiv i sikkerhedsdelen af værdipapirfinansieringstransaktionen (obligation, aktie eller andet).</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AFTALER OM NETTINGGRUPPER PÅ TVÆRS AF PRODUKTER</w:t>
            </w:r>
          </w:p>
          <w:p w14:paraId="0239B755" w14:textId="77777777" w:rsidR="00595FAD" w:rsidRPr="002A677E" w:rsidRDefault="00595FAD" w:rsidP="00FF15C6">
            <w:pPr>
              <w:rPr>
                <w:rFonts w:ascii="Times New Roman" w:hAnsi="Times New Roman"/>
                <w:sz w:val="24"/>
              </w:rPr>
            </w:pPr>
            <w:r>
              <w:rPr>
                <w:rFonts w:ascii="Times New Roman" w:hAnsi="Times New Roman"/>
                <w:sz w:val="24"/>
              </w:rPr>
              <w:t>Se instrukserne til række 0070 i skema C 34.02.</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119059388"/>
      <w:r>
        <w:rPr>
          <w:rFonts w:ascii="Times New Roman" w:hAnsi="Times New Roman"/>
          <w:sz w:val="24"/>
        </w:rPr>
        <w:t>C 34.06 — De 20 største modparter</w:t>
      </w:r>
      <w:bookmarkEnd w:id="476"/>
      <w:bookmarkEnd w:id="477"/>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119059389"/>
      <w:r>
        <w:rPr>
          <w:rFonts w:ascii="Times New Roman" w:hAnsi="Times New Roman"/>
          <w:sz w:val="24"/>
        </w:rPr>
        <w:t>Generelle bemærkninger</w:t>
      </w:r>
      <w:bookmarkEnd w:id="478"/>
      <w:bookmarkEnd w:id="479"/>
    </w:p>
    <w:p w14:paraId="0CFF0B63" w14:textId="0FD2375A" w:rsidR="00595FAD" w:rsidRPr="002A677E" w:rsidRDefault="008F3052" w:rsidP="00487A02">
      <w:pPr>
        <w:pStyle w:val="InstructionsText2"/>
        <w:numPr>
          <w:ilvl w:val="0"/>
          <w:numId w:val="0"/>
        </w:numPr>
        <w:ind w:left="1353" w:hanging="360"/>
      </w:pPr>
      <w:fldSimple w:instr=" seq paragraphs ">
        <w:r>
          <w:t>126</w:t>
        </w:r>
      </w:fldSimple>
      <w:r>
        <w:t>. Institutterne skal indberette oplysninger om de 20 største modparter, med hvilke de har de højeste modpartsrisikoeksponeringer. Rækkefølgen opstilles ved hjælp af modpartsrisikoeksponeringsværdier som indberettet i kolonne 0120 i dette skema for alle nettinggrupper med de respektive modparter. Koncerninterne eksponeringer eller andre eksponeringer, der giver anledning til modpartsrisiko, men hvor institutterne tildeler en risikovægt på nul for beregningen af kapitalgrundlaget i overensstemmelse med artikel 113, stk. 6, og artikel 113, stk. 7, i forordning (EU) nr. 575/2013, tages stadig i betragtning ved fastlæggelsen af listen over de 20 største modparter.</w:t>
      </w:r>
    </w:p>
    <w:p w14:paraId="2F649BA0" w14:textId="0B358BD5" w:rsidR="00595FAD" w:rsidRPr="002A677E" w:rsidRDefault="008F3052" w:rsidP="00487A02">
      <w:pPr>
        <w:pStyle w:val="InstructionsText2"/>
        <w:numPr>
          <w:ilvl w:val="0"/>
          <w:numId w:val="0"/>
        </w:numPr>
        <w:ind w:left="1353" w:hanging="360"/>
      </w:pPr>
      <w:fldSimple w:instr=" seq paragraphs ">
        <w:r>
          <w:t>127</w:t>
        </w:r>
      </w:fldSimple>
      <w:r>
        <w:t>. Institutter, der anvender standardmetoden (SA-CCR) eller metoden med interne modeller (IMM) til beregning af modpartsrisikoeksponeringer, jf. tredje del, afsnit II, kapitel 6, afdeling 3 og 6, i forordning (EU) nr. 575/2013 indberetter dette skema kvartalsvis. Institutter, der anvender den forenklede standardmetode eller den oprindelige eksponeringsmetode (OEM) til beregning af modpartsrisikoeksponeringer, jf. tredje del, afsnit II, kapitel 6, afdeling 4 og 5, i forordning (EU) nr. 575/2013 indberetter dette skema halvårligt. Instrukser vedrørende specifikke positioner</w:t>
      </w:r>
      <w:bookmarkStart w:id="480" w:name="_Toc19715818"/>
      <w:bookmarkEnd w:id="480"/>
    </w:p>
    <w:p w14:paraId="41B3079E" w14:textId="451490C6" w:rsidR="00595FAD" w:rsidRPr="002A677E" w:rsidRDefault="00595FAD" w:rsidP="002F29AF">
      <w:pPr>
        <w:pStyle w:val="Instructionsberschrift2"/>
        <w:numPr>
          <w:ilvl w:val="3"/>
          <w:numId w:val="48"/>
        </w:numPr>
        <w:rPr>
          <w:rFonts w:ascii="Times New Roman" w:hAnsi="Times New Roman" w:cs="Times New Roman"/>
          <w:sz w:val="24"/>
        </w:rPr>
      </w:pPr>
      <w:bookmarkStart w:id="481" w:name="_Toc119059390"/>
      <w:r>
        <w:rPr>
          <w:rFonts w:ascii="Times New Roman" w:hAnsi="Times New Roman"/>
          <w:sz w:val="24"/>
        </w:rPr>
        <w:t>Instrukser vedrørende specifikke positioner</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Kolonner</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NAVN</w:t>
            </w:r>
          </w:p>
          <w:p w14:paraId="7EF552D1" w14:textId="77777777" w:rsidR="00595FAD" w:rsidRPr="002A677E" w:rsidRDefault="00595FAD" w:rsidP="00FF15C6">
            <w:pPr>
              <w:keepNext/>
              <w:spacing w:before="60"/>
              <w:rPr>
                <w:rFonts w:ascii="Times New Roman" w:hAnsi="Times New Roman"/>
                <w:szCs w:val="22"/>
              </w:rPr>
            </w:pPr>
            <w:r>
              <w:rPr>
                <w:rFonts w:ascii="Times New Roman" w:hAnsi="Times New Roman"/>
                <w:sz w:val="24"/>
              </w:rPr>
              <w:t>Modpartens navn</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KODE</w:t>
            </w:r>
          </w:p>
          <w:p w14:paraId="37D385C2" w14:textId="77777777" w:rsidR="00595FAD" w:rsidRPr="002A677E" w:rsidRDefault="00595FAD" w:rsidP="00A707F3">
            <w:pPr>
              <w:keepNext/>
              <w:spacing w:before="60"/>
              <w:rPr>
                <w:rFonts w:ascii="Times New Roman" w:hAnsi="Times New Roman"/>
                <w:sz w:val="24"/>
                <w:u w:val="single"/>
              </w:rPr>
            </w:pPr>
            <w:r>
              <w:rPr>
                <w:rFonts w:ascii="Times New Roman" w:hAnsi="Times New Roman"/>
                <w:sz w:val="24"/>
              </w:rPr>
              <w:t>Koden skal som del af en ID-kode for en række være unik for hver indberettet enhed. For institutter og forsikringsselskaber skal koden være LEI-koden. For andre enheder skal koden være LEI-koden, eller, hvis en sådan ikke foreligger, en ikke-LEI-kode. Koden skal være unik og skal anvendes konsekvent i skemaerne og over tid. Koden skal altid have en værdi.</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KODETYPE</w:t>
            </w:r>
          </w:p>
          <w:p w14:paraId="3137A1E3" w14:textId="77777777" w:rsidR="00595FAD" w:rsidRPr="002A677E" w:rsidRDefault="00595FAD" w:rsidP="00FF15C6">
            <w:pPr>
              <w:rPr>
                <w:rStyle w:val="FormatvorlageInstructionsTabelleText"/>
                <w:rFonts w:ascii="Calibri" w:hAnsi="Calibri" w:cs="Calibri"/>
              </w:rPr>
            </w:pPr>
            <w:r>
              <w:rPr>
                <w:rFonts w:ascii="Times New Roman" w:hAnsi="Times New Roman"/>
                <w:sz w:val="24"/>
              </w:rPr>
              <w:t xml:space="preserve">Instituttet skal identificere kodetypen, der er indberettet i </w:t>
            </w:r>
            <w:r>
              <w:rPr>
                <w:rStyle w:val="FormatvorlageInstructionsTabelleText"/>
                <w:rFonts w:ascii="Times New Roman" w:hAnsi="Times New Roman"/>
                <w:sz w:val="24"/>
              </w:rPr>
              <w:t>kolonne 0020 som en "LEI-kode" eller "National kode"</w:t>
            </w:r>
            <w:r>
              <w:rPr>
                <w:rFonts w:ascii="Times New Roman" w:hAnsi="Times New Roman"/>
                <w:sz w:val="24"/>
              </w:rPr>
              <w:t>.</w:t>
            </w:r>
          </w:p>
          <w:p w14:paraId="3E4A5DC7" w14:textId="77777777" w:rsidR="00595FAD" w:rsidRPr="002A677E" w:rsidRDefault="00595FAD" w:rsidP="00FF15C6">
            <w:pPr>
              <w:rPr>
                <w:rFonts w:ascii="Times New Roman" w:hAnsi="Times New Roman"/>
                <w:bCs/>
                <w:sz w:val="24"/>
              </w:rPr>
            </w:pPr>
            <w:r>
              <w:rPr>
                <w:rFonts w:ascii="Times New Roman" w:hAnsi="Times New Roman"/>
                <w:sz w:val="24"/>
              </w:rPr>
              <w:t>Kodetypen skal altid indberettes.</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NATIONAL KODE</w:t>
            </w:r>
          </w:p>
          <w:p w14:paraId="2140FEA2" w14:textId="77777777" w:rsidR="00595FAD" w:rsidRPr="002A677E" w:rsidRDefault="00595FAD" w:rsidP="00FF15C6">
            <w:pPr>
              <w:pStyle w:val="ListParagraph"/>
              <w:ind w:left="65"/>
              <w:rPr>
                <w:rFonts w:ascii="Times New Roman" w:hAnsi="Times New Roman"/>
                <w:b/>
                <w:sz w:val="24"/>
                <w:u w:val="single"/>
              </w:rPr>
            </w:pPr>
            <w:r>
              <w:rPr>
                <w:rFonts w:ascii="Times New Roman" w:hAnsi="Times New Roman"/>
                <w:sz w:val="24"/>
              </w:rPr>
              <w:t>Instituttet kan også indberette den nationale kode, når det indberetter LEI-koden som ID-kode i "Kode"-kolonnen 0020.</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lastRenderedPageBreak/>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MODPARTENS SEKTOR</w:t>
            </w:r>
          </w:p>
          <w:p w14:paraId="35DCC761" w14:textId="77777777" w:rsidR="00595FAD" w:rsidRPr="002A677E" w:rsidRDefault="00595FAD" w:rsidP="00FF15C6">
            <w:pPr>
              <w:keepNext/>
              <w:spacing w:before="60"/>
              <w:rPr>
                <w:rFonts w:ascii="Times New Roman" w:hAnsi="Times New Roman"/>
                <w:sz w:val="24"/>
              </w:rPr>
            </w:pPr>
            <w:r>
              <w:rPr>
                <w:rFonts w:ascii="Times New Roman" w:hAnsi="Times New Roman"/>
                <w:sz w:val="24"/>
              </w:rPr>
              <w:t>Der vælges én sektor for hver modpart på grundlag af FINREP's økonomiske sektorklasser, angivet i det følgende (jf. del 3 i bilag V til denne gennemførelsesforordning):</w:t>
            </w:r>
          </w:p>
          <w:p w14:paraId="71D9AFB9" w14:textId="433C4913" w:rsidR="00595FAD" w:rsidRPr="002A677E" w:rsidRDefault="00595FAD" w:rsidP="00FF15C6">
            <w:pPr>
              <w:keepNext/>
              <w:spacing w:before="60"/>
              <w:rPr>
                <w:rFonts w:ascii="Times New Roman" w:hAnsi="Times New Roman"/>
                <w:sz w:val="24"/>
              </w:rPr>
            </w:pPr>
            <w:r>
              <w:rPr>
                <w:rFonts w:ascii="Times New Roman" w:hAnsi="Times New Roman"/>
                <w:sz w:val="24"/>
              </w:rPr>
              <w:t xml:space="preserve">i) </w:t>
            </w:r>
            <w:r>
              <w:tab/>
            </w:r>
            <w:r>
              <w:rPr>
                <w:rFonts w:ascii="Times New Roman" w:hAnsi="Times New Roman"/>
                <w:sz w:val="24"/>
              </w:rPr>
              <w:t>centralbanker</w:t>
            </w:r>
          </w:p>
          <w:p w14:paraId="47374418"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offentlig forvaltning og service</w:t>
            </w:r>
          </w:p>
          <w:p w14:paraId="2E3C18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kreditinstitutter</w:t>
            </w:r>
          </w:p>
          <w:p w14:paraId="52782673" w14:textId="3D3DF6D6" w:rsidR="00595FAD" w:rsidRPr="002A677E"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investeringsvirksomheder som defineret i artikel 4, stk. 1, nr. 2), i forordning (EU) nr. 575/2013</w:t>
            </w:r>
          </w:p>
          <w:p w14:paraId="6667FB24" w14:textId="77777777" w:rsidR="00595FAD" w:rsidRPr="002A677E"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andre finansielle virksomheder (undtagen investeringsselskaber)</w:t>
            </w:r>
          </w:p>
          <w:p w14:paraId="3E1A8D76"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ikkefinansielle virksomheder.</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MODPARTSTYPE</w:t>
            </w:r>
          </w:p>
          <w:p w14:paraId="1783C6E7" w14:textId="77777777" w:rsidR="00595FAD" w:rsidRPr="002A677E" w:rsidRDefault="00595FAD" w:rsidP="00FF15C6">
            <w:pPr>
              <w:keepNext/>
              <w:spacing w:before="60"/>
              <w:rPr>
                <w:rFonts w:ascii="Times New Roman" w:hAnsi="Times New Roman"/>
                <w:sz w:val="24"/>
              </w:rPr>
            </w:pPr>
            <w:r>
              <w:rPr>
                <w:rFonts w:ascii="Times New Roman" w:hAnsi="Times New Roman"/>
                <w:sz w:val="24"/>
              </w:rPr>
              <w:t>Instituttet angiver modpartstypen, som kan være:</w:t>
            </w:r>
          </w:p>
          <w:p w14:paraId="3572532D" w14:textId="77777777" w:rsidR="00595FAD" w:rsidRPr="002A677E" w:rsidRDefault="00595FAD" w:rsidP="00FF15C6">
            <w:pPr>
              <w:keepNext/>
              <w:spacing w:before="60"/>
              <w:rPr>
                <w:rFonts w:ascii="Times New Roman" w:hAnsi="Times New Roman"/>
                <w:sz w:val="24"/>
              </w:rPr>
            </w:pPr>
            <w:r>
              <w:rPr>
                <w:rFonts w:ascii="Times New Roman" w:hAnsi="Times New Roman"/>
                <w:sz w:val="24"/>
              </w:rPr>
              <w:t>- QCCP: når modparten er en kvalificeret CCP</w:t>
            </w:r>
          </w:p>
          <w:p w14:paraId="7DEDB538" w14:textId="77777777" w:rsidR="00595FAD" w:rsidRPr="002A677E" w:rsidRDefault="00595FAD" w:rsidP="00FF15C6">
            <w:pPr>
              <w:keepNext/>
              <w:spacing w:before="60"/>
              <w:rPr>
                <w:rFonts w:ascii="Times New Roman" w:hAnsi="Times New Roman"/>
                <w:sz w:val="24"/>
              </w:rPr>
            </w:pPr>
            <w:r>
              <w:rPr>
                <w:rFonts w:ascii="Times New Roman" w:hAnsi="Times New Roman"/>
                <w:sz w:val="24"/>
              </w:rPr>
              <w:t>- IKKE-QCCP: når modparten er en ikkekvalificeret CCP</w:t>
            </w:r>
          </w:p>
          <w:p w14:paraId="234E175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 Ikke-CCP: når modparten ikke er en CCP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MODPARTENS HJEMSTED</w:t>
            </w:r>
          </w:p>
          <w:p w14:paraId="13A8C217" w14:textId="77777777" w:rsidR="00595FAD" w:rsidRPr="002A677E" w:rsidRDefault="00595FAD" w:rsidP="00FF15C6">
            <w:pPr>
              <w:keepNext/>
              <w:spacing w:before="60"/>
              <w:rPr>
                <w:rFonts w:ascii="Times New Roman" w:hAnsi="Times New Roman"/>
                <w:sz w:val="24"/>
              </w:rPr>
            </w:pPr>
            <w:r>
              <w:rPr>
                <w:rFonts w:ascii="Times New Roman" w:hAnsi="Times New Roman"/>
                <w:sz w:val="24"/>
              </w:rPr>
              <w:t>ISO-koden 3166-1-alpha-2 for det land, hvor modparten har sit hovedsæde, anvendes (herunder pseudo-ISO-koder for internationale organisationer, som er anført i Eurostats "Balance of Payments Vademecum").</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ANTAL TRANSAKTIONER</w:t>
            </w:r>
          </w:p>
          <w:p w14:paraId="49A7A0C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Se instrukserne til kolonne 0020 i skema C 34.02.</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NOMINEL VÆRDI</w:t>
            </w:r>
          </w:p>
          <w:p w14:paraId="00FEB76D" w14:textId="77777777" w:rsidR="00595FAD" w:rsidRPr="002A677E" w:rsidRDefault="00595FAD" w:rsidP="00FF15C6">
            <w:pPr>
              <w:keepNext/>
              <w:spacing w:before="60"/>
              <w:rPr>
                <w:rFonts w:ascii="Times New Roman" w:hAnsi="Times New Roman"/>
                <w:sz w:val="24"/>
              </w:rPr>
            </w:pPr>
            <w:r>
              <w:rPr>
                <w:rFonts w:ascii="Times New Roman" w:hAnsi="Times New Roman"/>
                <w:sz w:val="24"/>
              </w:rPr>
              <w:t>Se instrukserne til kolonne 0030 i skema C 34.02.</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DEN AKTUELLE MARKEDSVÆRDI (CMV), positiv</w:t>
            </w:r>
          </w:p>
          <w:p w14:paraId="0ACDC2CE" w14:textId="77777777" w:rsidR="00595FAD" w:rsidRPr="002A677E" w:rsidRDefault="00595FAD" w:rsidP="00FF15C6">
            <w:pPr>
              <w:keepNext/>
              <w:spacing w:before="60"/>
              <w:rPr>
                <w:rFonts w:ascii="Times New Roman" w:hAnsi="Times New Roman"/>
                <w:sz w:val="24"/>
              </w:rPr>
            </w:pPr>
            <w:r>
              <w:rPr>
                <w:rFonts w:ascii="Times New Roman" w:hAnsi="Times New Roman"/>
                <w:sz w:val="24"/>
              </w:rPr>
              <w:t>Se instrukserne til kolonne 0040 i skema C 34.02.</w:t>
            </w:r>
          </w:p>
          <w:p w14:paraId="12B7193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Instituttet indberetter summen af nettinggrupper med positive CMV'er, hvis der er flere nettinggrupper for den samme modpart.</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DEN AKTUELLE MARKEDSVÆRDI (CMV), negativ</w:t>
            </w:r>
          </w:p>
          <w:p w14:paraId="33CA3F7B" w14:textId="77777777" w:rsidR="00595FAD" w:rsidRPr="002A677E" w:rsidRDefault="00595FAD" w:rsidP="00FF15C6">
            <w:pPr>
              <w:keepNext/>
              <w:spacing w:before="60"/>
              <w:rPr>
                <w:rFonts w:ascii="Times New Roman" w:hAnsi="Times New Roman"/>
                <w:sz w:val="24"/>
              </w:rPr>
            </w:pPr>
            <w:r>
              <w:rPr>
                <w:rFonts w:ascii="Times New Roman" w:hAnsi="Times New Roman"/>
                <w:sz w:val="24"/>
              </w:rPr>
              <w:t>Se instrukserne til kolonne 0040 i skema C 34.02.</w:t>
            </w:r>
          </w:p>
          <w:p w14:paraId="70F225FA"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Instituttet indberetter den absolutte sum af nettinggrupper med negative CMV'er, hvis der er flere nettinggrupper for den samme modpart.</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lastRenderedPageBreak/>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EKSPONERINGSVÆRDI EFTER ANVENDELSE AF KREDITRISIKOREDUKTIONSTEKNIKKER</w:t>
            </w:r>
          </w:p>
          <w:p w14:paraId="1ECE7FCB"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Se instrukserne til kolonne 0160 i skema C 34.02. </w:t>
            </w:r>
          </w:p>
          <w:p w14:paraId="7309510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Instituttet indberetter summen af nettinggruppernes eksponeringsværdi efter anvendelsen af kreditrisikoreduktionsteknikker, hvis der er flere nettinggrupper for den samme modpart.</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EKSPONERINGSVÆRDI</w:t>
            </w:r>
          </w:p>
          <w:p w14:paraId="208EE14C"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Se instrukserne til kolonne 0170 i skema C 34.02.</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RISIKOVÆGTEDE EKSPONERINGER</w:t>
            </w:r>
          </w:p>
          <w:p w14:paraId="5B683E6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Se instrukserne til kolonne 0200 i skema C 34.02.</w:t>
            </w:r>
          </w:p>
        </w:tc>
      </w:tr>
    </w:tbl>
    <w:p w14:paraId="146A1A16" w14:textId="77777777" w:rsidR="00595FAD" w:rsidRPr="002A677E" w:rsidRDefault="00595FAD" w:rsidP="00595FAD">
      <w:pPr>
        <w:pStyle w:val="Titlelevel2"/>
        <w:spacing w:before="120" w:after="120"/>
        <w:jc w:val="both"/>
        <w:rPr>
          <w:rFonts w:ascii="Times New Roman" w:hAnsi="Times New Roman" w:cs="Times New Roman"/>
          <w:color w:val="auto"/>
          <w:sz w:val="24"/>
          <w:lang w:val="en-GB"/>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119059391"/>
      <w:r>
        <w:rPr>
          <w:rFonts w:ascii="Times New Roman" w:hAnsi="Times New Roman"/>
          <w:sz w:val="24"/>
        </w:rPr>
        <w:t>C 34.07 — IRB-metoden — modpartsrisikoeksponeringer efter eksponeringsklasse og PD-skala</w:t>
      </w:r>
      <w:bookmarkEnd w:id="482"/>
      <w:bookmarkEnd w:id="483"/>
      <w:r>
        <w:rPr>
          <w:rFonts w:ascii="Times New Roman" w:hAnsi="Times New Roman"/>
          <w:sz w:val="24"/>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119059392"/>
      <w:r>
        <w:rPr>
          <w:rFonts w:ascii="Times New Roman" w:hAnsi="Times New Roman"/>
          <w:sz w:val="24"/>
        </w:rPr>
        <w:t>Generelle bemærkninger</w:t>
      </w:r>
      <w:bookmarkEnd w:id="484"/>
      <w:bookmarkEnd w:id="485"/>
    </w:p>
    <w:p w14:paraId="682CD351" w14:textId="484B0C59" w:rsidR="00595FAD" w:rsidRPr="002A677E" w:rsidRDefault="008F3052" w:rsidP="00487A02">
      <w:pPr>
        <w:pStyle w:val="InstructionsText2"/>
        <w:numPr>
          <w:ilvl w:val="0"/>
          <w:numId w:val="0"/>
        </w:numPr>
        <w:ind w:left="1353" w:hanging="360"/>
      </w:pPr>
      <w:fldSimple w:instr=" seq paragraphs ">
        <w:r>
          <w:t>128</w:t>
        </w:r>
      </w:fldSimple>
      <w:r>
        <w:t xml:space="preserve">. Dette skema indberettes af institutter, der anvender enten den avancerede eller den grundlæggende IRB-metode til beregning af risikovægtede eksponeringer for alle eller dele af deres modpartsrisikoeksponeringer i overensstemmelse med artikel 107 i forordning (EU) nr. 575/2013, uanset den CCR-metode, der anvendes til at bestemme eksponeringers størrelse i overensstemmelse med tredje del, afsnit II, kapitel 4 og 6, i forordning (EU) nr. 575/2013. </w:t>
      </w:r>
    </w:p>
    <w:p w14:paraId="1AB3B979" w14:textId="022591DF" w:rsidR="00595FAD" w:rsidRPr="002A677E" w:rsidRDefault="008F3052" w:rsidP="00487A02">
      <w:pPr>
        <w:pStyle w:val="InstructionsText2"/>
        <w:numPr>
          <w:ilvl w:val="0"/>
          <w:numId w:val="0"/>
        </w:numPr>
        <w:ind w:left="1353" w:hanging="360"/>
      </w:pPr>
      <w:fldSimple w:instr=" seq paragraphs ">
        <w:r>
          <w:t>129</w:t>
        </w:r>
      </w:fldSimple>
      <w:r>
        <w:t xml:space="preserve">. Skemaet indberettes separat for den samlede eksponering i alle eksponeringsklasser og separat for hver af de eksponeringsklasser, der er anført i artikel 147 i forordning (EU) nr. 575/2013. Dette skema udelukker eksponeringer, der er clearet gennem en CCP. </w:t>
      </w:r>
    </w:p>
    <w:p w14:paraId="7BDF11C6" w14:textId="77777777" w:rsidR="00595FAD" w:rsidRPr="002A677E" w:rsidRDefault="008F3052" w:rsidP="00487A02">
      <w:pPr>
        <w:pStyle w:val="InstructionsText2"/>
        <w:numPr>
          <w:ilvl w:val="0"/>
          <w:numId w:val="0"/>
        </w:numPr>
        <w:ind w:left="1353" w:hanging="360"/>
      </w:pPr>
      <w:fldSimple w:instr=" seq paragraphs ">
        <w:r>
          <w:t>130</w:t>
        </w:r>
      </w:fldSimple>
      <w:r>
        <w:t>. For at præcisere, om instituttet bruger sine egne estimater over tab givet misligholdelse (LGD) og/eller kreditkonverteringsfaktorer, anføres følgende oplysning for hver indberettet eksponeringsklasse:</w:t>
      </w:r>
    </w:p>
    <w:p w14:paraId="37B9C953"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"NEJ" = hvis myndighedens estimater over tab givet misligholdelse og kreditkonverteringsfaktorer anvendes (grundlæggende IRB)</w:t>
      </w:r>
    </w:p>
    <w:p w14:paraId="6D6D3A4F"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"JA" = hvis egne estimater over tab givet misligholdelse og kreditkonverteringsfaktorer anvendes (udbygget IRB)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119059393"/>
      <w:r>
        <w:rPr>
          <w:rFonts w:ascii="Times New Roman" w:hAnsi="Times New Roman"/>
          <w:sz w:val="24"/>
        </w:rPr>
        <w:t>Instrukser vedrørende specifikke positioner</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Kolonner</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Eksponeringsværdi </w:t>
            </w:r>
          </w:p>
          <w:p w14:paraId="551376F0" w14:textId="77777777" w:rsidR="00595FAD" w:rsidRPr="002A677E" w:rsidRDefault="00595FAD" w:rsidP="00FF15C6">
            <w:pPr>
              <w:spacing w:before="60" w:after="240"/>
              <w:rPr>
                <w:rFonts w:ascii="Times New Roman" w:hAnsi="Times New Roman"/>
                <w:sz w:val="24"/>
              </w:rPr>
            </w:pPr>
            <w:r>
              <w:rPr>
                <w:rFonts w:ascii="Times New Roman" w:hAnsi="Times New Roman"/>
                <w:sz w:val="24"/>
              </w:rPr>
              <w:lastRenderedPageBreak/>
              <w:t>Eksponeringsværdien (se instrukserne til kolonne 0170 i skema C 34.02 ) opdelt efter den pågældende PD-skala</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lastRenderedPageBreak/>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Eksponeringsvægtet gennemsnitlig PD (%)</w:t>
            </w:r>
          </w:p>
          <w:p w14:paraId="5CCB2160" w14:textId="77777777" w:rsidR="00595FAD" w:rsidRPr="002A677E" w:rsidRDefault="00595FAD" w:rsidP="00FF15C6">
            <w:pPr>
              <w:spacing w:before="60" w:after="240"/>
              <w:rPr>
                <w:rFonts w:ascii="Times New Roman" w:hAnsi="Times New Roman"/>
                <w:sz w:val="24"/>
              </w:rPr>
            </w:pPr>
            <w:r>
              <w:rPr>
                <w:rFonts w:ascii="Times New Roman" w:hAnsi="Times New Roman"/>
                <w:sz w:val="24"/>
              </w:rPr>
              <w:t>Gennemsnitlig sandsynlighed for misligholdelse for den enkelte låntagerklasse, vægtet med den tilsvarende eksponeringsværdi som defineret i kolonne 0010</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Antal låntagere </w:t>
            </w:r>
          </w:p>
          <w:p w14:paraId="4A437284" w14:textId="77777777" w:rsidR="00595FAD" w:rsidRPr="002A677E" w:rsidRDefault="00595FAD" w:rsidP="00FF15C6">
            <w:pPr>
              <w:rPr>
                <w:rFonts w:ascii="Times New Roman" w:hAnsi="Times New Roman"/>
                <w:sz w:val="24"/>
              </w:rPr>
            </w:pPr>
            <w:r>
              <w:rPr>
                <w:rFonts w:ascii="Times New Roman" w:hAnsi="Times New Roman"/>
                <w:sz w:val="24"/>
              </w:rPr>
              <w:t>Antallet af juridiske enheder eller låntagere, der er fordelt på hver undergruppe af den fastsatte PD-skala, som blev vurderet særskilt, uanset antallet af de forskellige bevilgede lån eller eksponeringer</w:t>
            </w:r>
          </w:p>
          <w:p w14:paraId="188D1310" w14:textId="3314C154" w:rsidR="00595FAD" w:rsidRPr="002A677E" w:rsidRDefault="00595FAD" w:rsidP="00070518">
            <w:pPr>
              <w:rPr>
                <w:rFonts w:ascii="Times New Roman" w:hAnsi="Times New Roman"/>
                <w:sz w:val="24"/>
              </w:rPr>
            </w:pPr>
            <w:r>
              <w:rPr>
                <w:rFonts w:ascii="Times New Roman" w:hAnsi="Times New Roman"/>
                <w:sz w:val="24"/>
              </w:rPr>
              <w:t>Hvis forskellige eksponeringer mod samme låntager vurderes særskilt, tælles de hver for sig. En sådan situation kan finde sted, hvis særskilte eksponeringer mod den samme låntager henføres til forskellige låntagerklasser i overensstemmelse med artikel 172, stk. 1, andet punktum, litra e), i forordning (EU) nr. 575/2013.</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Eksponeringsvægtet gennemsnitligt LGD (%)</w:t>
            </w:r>
          </w:p>
          <w:p w14:paraId="5510F6F6" w14:textId="77777777" w:rsidR="00595FAD" w:rsidRPr="002A677E" w:rsidRDefault="00595FAD" w:rsidP="00FF15C6">
            <w:pPr>
              <w:spacing w:before="60" w:after="240"/>
              <w:rPr>
                <w:rFonts w:ascii="Times New Roman" w:hAnsi="Times New Roman"/>
                <w:sz w:val="24"/>
              </w:rPr>
            </w:pPr>
            <w:r>
              <w:rPr>
                <w:rFonts w:ascii="Times New Roman" w:hAnsi="Times New Roman"/>
                <w:sz w:val="24"/>
              </w:rPr>
              <w:t>Gennemsnitlig LGD'er for låntagerklassen, vægtet med den tilsvarende eksponeringsværdi som defineret i kolonne 0010</w:t>
            </w:r>
          </w:p>
          <w:p w14:paraId="06DF21CC" w14:textId="001B4CB2" w:rsidR="00595FAD" w:rsidRPr="002A677E" w:rsidRDefault="00595FAD" w:rsidP="00FF15C6">
            <w:pPr>
              <w:rPr>
                <w:rFonts w:ascii="Times New Roman" w:hAnsi="Times New Roman"/>
                <w:sz w:val="24"/>
              </w:rPr>
            </w:pPr>
            <w:r>
              <w:rPr>
                <w:rFonts w:ascii="Times New Roman" w:hAnsi="Times New Roman"/>
                <w:sz w:val="24"/>
              </w:rPr>
              <w:t>Det indberettede LGD skal svare til det endelige LGD-estimat, der er anvendt til beregningen af risikovægtede eksponeringer, der fremkommer efter hensyntagen til eventuelle virkninger af kreditrisikoreduktionsteknikker og, hvor det er relevant, økonomiske nedgangsperioder, som anført i tredje del, afsnit II, kapitel 3 og 4, i forordning (EU) nr. 575/2013. Navnlig for institutter, der anvender IRB-metoden, men som ikke anvender deres egne estimater af LGD, afspejles den risikoreducerende virkning af finansiel sikkerhed i E*, den fuldt justerede værdi af eksponeringen, og afspejles derefter i LGD*, jf. artikel 228, stk. 2, i forordning (EU) nr. 575/2013. Hvis egne estimater af LGD anvendes, tages artikel 175 og artikel 181, stk. 1 og 2, i forordning (EU) nr. 575/2013 i betragtning.</w:t>
            </w:r>
          </w:p>
          <w:p w14:paraId="39204E33" w14:textId="3259F8C5" w:rsidR="00595FAD" w:rsidRPr="002A677E" w:rsidRDefault="00595FAD" w:rsidP="00FF15C6">
            <w:pPr>
              <w:rPr>
                <w:rFonts w:ascii="Times New Roman" w:hAnsi="Times New Roman"/>
                <w:sz w:val="24"/>
              </w:rPr>
            </w:pPr>
            <w:r>
              <w:rPr>
                <w:rFonts w:ascii="Times New Roman" w:hAnsi="Times New Roman"/>
                <w:sz w:val="24"/>
              </w:rPr>
              <w:t>Hvis eksponeringer er underlagt double default-behandling, skal det indberettede LGD svare til det, der er valgt i henhold til artikel 161, stk. 4, i forordning (EU) nr. 575/2013.</w:t>
            </w:r>
          </w:p>
          <w:p w14:paraId="2764D21F" w14:textId="319CCDD0" w:rsidR="00595FAD" w:rsidRPr="002A677E" w:rsidRDefault="00595FAD" w:rsidP="00070518">
            <w:pPr>
              <w:spacing w:before="60" w:after="240"/>
              <w:rPr>
                <w:rFonts w:ascii="Times New Roman" w:hAnsi="Times New Roman"/>
                <w:strike/>
                <w:sz w:val="24"/>
              </w:rPr>
            </w:pPr>
            <w:r>
              <w:rPr>
                <w:rFonts w:ascii="Times New Roman" w:hAnsi="Times New Roman"/>
                <w:sz w:val="24"/>
              </w:rPr>
              <w:t xml:space="preserve">For misligholdte eksponeringer i henhold til A-IRB-metoden tages der hensyn til de bestemmelser, der er fastsat i artikel 181, stk. 1, litra h), i forordning (EU) nr. 575/2013. De indberettede LGD skal svare til estimatet for tab givet misligholdelse (LGD).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Pr>
                <w:rFonts w:ascii="Times New Roman" w:hAnsi="Times New Roman"/>
                <w:sz w:val="24"/>
              </w:rPr>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Eksponeringsvægtet gennemsnitlig løbetid (år)</w:t>
            </w:r>
          </w:p>
          <w:p w14:paraId="1EFE445F"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Gennemsnitlig</w:t>
            </w:r>
            <w:r>
              <w:rPr>
                <w:rFonts w:ascii="Times New Roman" w:hAnsi="Times New Roman"/>
                <w:sz w:val="24"/>
              </w:rPr>
              <w:t xml:space="preserve"> løbetid for låntager udtrykt i år, vægtet med den tilsvarende eksponeringsværdi som defineret i kolonne 0010.</w:t>
            </w:r>
          </w:p>
          <w:p w14:paraId="1B91C0EA" w14:textId="3114A0BA" w:rsidR="00595FAD" w:rsidRPr="002A677E" w:rsidRDefault="00595FAD" w:rsidP="00837612">
            <w:pPr>
              <w:rPr>
                <w:rFonts w:ascii="Times New Roman" w:hAnsi="Times New Roman"/>
                <w:sz w:val="24"/>
              </w:rPr>
            </w:pPr>
            <w:r>
              <w:rPr>
                <w:rFonts w:ascii="Times New Roman" w:hAnsi="Times New Roman"/>
                <w:sz w:val="24"/>
              </w:rPr>
              <w:lastRenderedPageBreak/>
              <w:t xml:space="preserve">Løbetiden fastsættes i overensstemmelse med artikel 162, i forordning (EU) nr. 575/2013.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Pr>
                <w:rFonts w:ascii="Times New Roman" w:hAnsi="Times New Roman"/>
                <w:sz w:val="24"/>
              </w:rPr>
              <w:lastRenderedPageBreak/>
              <w:t>0060</w:t>
            </w:r>
          </w:p>
        </w:tc>
        <w:tc>
          <w:tcPr>
            <w:tcW w:w="7654" w:type="dxa"/>
          </w:tcPr>
          <w:p w14:paraId="26BB05D0"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sz w:val="24"/>
              </w:rPr>
              <w:t>Risikovægtede eksponeringer</w:t>
            </w:r>
            <w:r>
              <w:rPr>
                <w:rFonts w:ascii="Times New Roman" w:hAnsi="Times New Roman"/>
                <w:i/>
                <w:sz w:val="24"/>
              </w:rPr>
              <w:t xml:space="preserve"> </w:t>
            </w:r>
          </w:p>
          <w:p w14:paraId="6FDAB7AE" w14:textId="35753DAE" w:rsidR="00595FAD" w:rsidRPr="002A677E" w:rsidRDefault="00595FAD" w:rsidP="00FF15C6">
            <w:pPr>
              <w:spacing w:before="60"/>
              <w:rPr>
                <w:rFonts w:ascii="Times New Roman" w:hAnsi="Times New Roman"/>
                <w:sz w:val="24"/>
              </w:rPr>
            </w:pPr>
            <w:r>
              <w:rPr>
                <w:rFonts w:ascii="Times New Roman" w:hAnsi="Times New Roman"/>
                <w:sz w:val="24"/>
              </w:rPr>
              <w:t xml:space="preserve">Risikovægtede eksponeringer som defineret i artikel 92, stk. 3 og 4, i forordning (EU) nr. 575/2013 for positioner, hvis risikovægtning er estimeret på grundlag af kravene i tredje del, afsnit II, kapitel 3, i forordning (EU) nr. 575/2013, og for hvilke eksponeringsværdien for CCR-relateret forretningsaktivitet beregnes i overensstemmelse med tredje del, afsnit II, kapitel 4 og 6, i nævnte forordning. </w:t>
            </w:r>
          </w:p>
          <w:p w14:paraId="34C5741D" w14:textId="6DCC033E" w:rsidR="00595FAD" w:rsidRPr="002A677E" w:rsidRDefault="00595FAD" w:rsidP="003F19BA">
            <w:pPr>
              <w:spacing w:before="60" w:after="240"/>
              <w:rPr>
                <w:rFonts w:ascii="Times New Roman" w:hAnsi="Times New Roman"/>
                <w:i/>
                <w:sz w:val="24"/>
              </w:rPr>
            </w:pPr>
            <w:r>
              <w:rPr>
                <w:rFonts w:ascii="Times New Roman" w:hAnsi="Times New Roman"/>
                <w:sz w:val="24"/>
              </w:rPr>
              <w:t xml:space="preserve">Støttefaktorerne for SMV'er og infrastruktur, som fastlagt i artikel 501 og 501a i forordning (EU) nr. 575/2013, indregnes.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Pr>
                <w:rFonts w:ascii="Times New Roman" w:hAnsi="Times New Roman"/>
                <w:sz w:val="24"/>
              </w:rPr>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Densitet af risikovægtede eksponeringer </w:t>
            </w:r>
          </w:p>
          <w:p w14:paraId="0DA2EEB9" w14:textId="77777777" w:rsidR="00595FAD" w:rsidRPr="002A677E" w:rsidDel="00291448" w:rsidRDefault="00595FAD" w:rsidP="00FF15C6">
            <w:pPr>
              <w:spacing w:before="60"/>
              <w:rPr>
                <w:rFonts w:ascii="Times New Roman" w:hAnsi="Times New Roman"/>
                <w:sz w:val="24"/>
              </w:rPr>
            </w:pPr>
            <w:r>
              <w:rPr>
                <w:rFonts w:ascii="Times New Roman" w:hAnsi="Times New Roman"/>
                <w:sz w:val="24"/>
              </w:rPr>
              <w:t>Forholdet mellem de samlede risikovægtede eksponeringer (indberettet i kolonne 0060) og eksponeringsværdien (indberettet i kolonne 0010).</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Rækker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t>0010 - 0170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PD-skala</w:t>
            </w:r>
          </w:p>
          <w:p w14:paraId="5E9D684F" w14:textId="1F7589D7" w:rsidR="00595FAD" w:rsidRPr="002A677E" w:rsidRDefault="00595FAD" w:rsidP="00FF15C6">
            <w:pPr>
              <w:spacing w:before="60"/>
              <w:rPr>
                <w:rFonts w:ascii="Times New Roman" w:hAnsi="Times New Roman"/>
                <w:sz w:val="24"/>
              </w:rPr>
            </w:pPr>
            <w:r>
              <w:rPr>
                <w:rFonts w:ascii="Times New Roman" w:hAnsi="Times New Roman"/>
                <w:sz w:val="24"/>
              </w:rPr>
              <w:t>Modpartsrisikoeksponeringer (bestemt på modpartsniveau) fordeles på den passende undergruppe af den fastsatte PD-skala baseret på den PD, der er estimeret for hver låntager, der er tildelt denne eksponeringsklasse (uden hensyntagen til substitution som følge af forekomsten af en garanti eller et kreditderivat). Institutterne henfører de enkelte eksponeringer til den PD-skala, der er angivet i skemaet, idet der også tages hensyn til en kontinuerlig ratingskala. Alle misligholdte eksponeringer medregnes i den undergruppe, der repræsenterer en PD på 100 %.</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119059394"/>
      <w:r>
        <w:rPr>
          <w:rFonts w:ascii="Times New Roman" w:hAnsi="Times New Roman"/>
          <w:sz w:val="24"/>
        </w:rPr>
        <w:t>C 34.08 — Sammensætningen af sikkerhedsstillelse for modpartsrisikoeksponeringer</w:t>
      </w:r>
      <w:bookmarkEnd w:id="488"/>
      <w:bookmarkEnd w:id="489"/>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119059395"/>
      <w:r>
        <w:rPr>
          <w:rFonts w:ascii="Times New Roman" w:hAnsi="Times New Roman"/>
          <w:sz w:val="24"/>
        </w:rPr>
        <w:t>Generelle bemærkninger</w:t>
      </w:r>
      <w:bookmarkEnd w:id="490"/>
      <w:bookmarkEnd w:id="491"/>
    </w:p>
    <w:p w14:paraId="3A799621" w14:textId="77777777" w:rsidR="00595FAD" w:rsidRPr="002A677E" w:rsidRDefault="008F3052" w:rsidP="00487A02">
      <w:pPr>
        <w:pStyle w:val="InstructionsText2"/>
        <w:numPr>
          <w:ilvl w:val="0"/>
          <w:numId w:val="0"/>
        </w:numPr>
        <w:ind w:left="1353" w:hanging="360"/>
      </w:pPr>
      <w:fldSimple w:instr=" seq paragraphs ">
        <w:r>
          <w:t>131</w:t>
        </w:r>
      </w:fldSimple>
      <w:r>
        <w:t xml:space="preserve">. Dette skema udfyldes med dagsværdier for sikkerhedsstillelse (stillet eller modtaget) anvendt i modpartsrisikoeksponeringer i relation til derivattransaktioner, terminsforretninger eller værdipapirfinansieringstransaktioner, uanset om transaktionerne cleares gennem en CCP, og uanset om sikkerhedsstillelse sker til en CCP. </w:t>
      </w:r>
    </w:p>
    <w:p w14:paraId="6581525E" w14:textId="3F732CD4" w:rsidR="00595FAD" w:rsidRPr="002A677E"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119059396"/>
      <w:r>
        <w:rPr>
          <w:rFonts w:ascii="Times New Roman" w:hAnsi="Times New Roman"/>
          <w:sz w:val="24"/>
        </w:rPr>
        <w:t>Instrukser vedrørende specifikke positioner</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Kolonner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t>0010 - 0080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Sikkerhedsstillelse anvendt i derivattransaktioner </w:t>
            </w:r>
          </w:p>
          <w:p w14:paraId="07E6C99C" w14:textId="345CA1CD"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lastRenderedPageBreak/>
              <w:t xml:space="preserve">Institutterne skal indberette sikkerhedsstillelsen (herunder sikkerhedsstillelse i form af initialmargen og variationsmargen), der anvendes i modpartsrisikoeksponeringer i forbindelse med et hvilket som helst af de derivater, der er anført i bilag II til forordning (EU) nr. 575/2013, eller en terminsforretning i henhold til samme forordnings artikel 272, stk. 2, og som ikke kan betegnes som en værdipapirfinansieringstransaktion.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lastRenderedPageBreak/>
              <w:t>0090 - 0180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Sikkerhedsstillelse anvendt i værdipapirfinansieringstransaktioner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Institutterne skal indberette den sikkerhedsstillelse (herunder sikkerhedsstillelse i form af initialmargen og variationsmargen samt sikkerhedsstillelse, der optræder som sikkerhed i værdipapirfinansieringstransaktionen), der anvendes i modpartsrisikoeksponeringer i forbindelse med en værdipapirfinansieringstransaktion eller en terminsforretning, der ikke betragtes som et derivat. </w:t>
            </w:r>
          </w:p>
        </w:tc>
      </w:tr>
      <w:tr w:rsidR="00595FAD" w:rsidRPr="002A677E" w14:paraId="0361EF62" w14:textId="77777777" w:rsidTr="00FF15C6">
        <w:trPr>
          <w:trHeight w:val="416"/>
        </w:trPr>
        <w:tc>
          <w:tcPr>
            <w:tcW w:w="1384" w:type="dxa"/>
          </w:tcPr>
          <w:p w14:paraId="571AB129" w14:textId="01CE5302" w:rsidR="00595FAD" w:rsidRPr="002A677E" w:rsidRDefault="00595FAD" w:rsidP="00D768D3">
            <w:pPr>
              <w:pStyle w:val="Applicationdirecte"/>
              <w:spacing w:before="60" w:after="0"/>
            </w:pPr>
            <w:r>
              <w:t>0010, 0020, 0050, 0060, 0090, 0100, 0140, 0150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Adskilt</w:t>
            </w:r>
          </w:p>
          <w:p w14:paraId="6A03815D" w14:textId="60B80FFC"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Artikel 300, nr. 1), i forordning (EU) nr. 575/2013</w:t>
            </w:r>
          </w:p>
          <w:p w14:paraId="2386BF34" w14:textId="104A2093" w:rsidR="00595FAD" w:rsidRPr="002A677E" w:rsidRDefault="00CF4C30" w:rsidP="00FF15C6">
            <w:pPr>
              <w:spacing w:before="60"/>
              <w:rPr>
                <w:rFonts w:ascii="Times New Roman" w:hAnsi="Times New Roman"/>
                <w:sz w:val="24"/>
              </w:rPr>
            </w:pPr>
            <w:r>
              <w:rPr>
                <w:rFonts w:ascii="Times New Roman" w:hAnsi="Times New Roman"/>
                <w:sz w:val="24"/>
              </w:rPr>
              <w:t>Institutterne skal indberette den sikkerhedsstillelse, der er konkursbeskyttet som defineret i artikel 300, stk. 1, i forordning (EU) nr. 575/2013, yderligere opdelt i sikkerhedsstillelse i form af initial- eller variationsmargen.</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t xml:space="preserve">0030, 0040, 0070, 0080, 0110, 0120, 0130, 0160, 0170, 0180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Ikkeadskilt </w:t>
            </w:r>
          </w:p>
          <w:p w14:paraId="7060A85A" w14:textId="06D05BB5"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Artikel 300, nr. 1), i forordning (EU) nr. 575/2013</w:t>
            </w:r>
          </w:p>
          <w:p w14:paraId="47277071" w14:textId="025AD9FE" w:rsidR="00595FAD" w:rsidRPr="002A677E" w:rsidRDefault="00CF4C30" w:rsidP="00CF4C30">
            <w:pPr>
              <w:rPr>
                <w:rFonts w:ascii="Times New Roman" w:hAnsi="Times New Roman"/>
                <w:sz w:val="24"/>
              </w:rPr>
            </w:pPr>
            <w:r>
              <w:rPr>
                <w:rFonts w:ascii="Times New Roman" w:hAnsi="Times New Roman"/>
                <w:sz w:val="24"/>
              </w:rPr>
              <w:t>Institutterne skal indberette den sikkerhedsstillelse, der ikke er konkursbeskyttet som defineret i artikel 300, stk. 1, i forordning (EU) nr. 575/2013, yderligere opdelt i initialmargen, variationsmargen og sikkerhed ved værdipapirfinansieringstransaktion.</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t>0010, 0030, 0050, 0070, 0090, 0110, 0140, 0160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Initialmargen</w:t>
            </w:r>
          </w:p>
          <w:p w14:paraId="32E34D38" w14:textId="0D33440A" w:rsidR="00595FAD" w:rsidRPr="002A677E" w:rsidRDefault="004134E6" w:rsidP="00FF15C6">
            <w:pPr>
              <w:spacing w:before="60"/>
              <w:rPr>
                <w:rFonts w:ascii="Times New Roman" w:hAnsi="Times New Roman"/>
                <w:sz w:val="24"/>
              </w:rPr>
            </w:pPr>
            <w:r>
              <w:rPr>
                <w:rFonts w:ascii="Times New Roman" w:hAnsi="Times New Roman"/>
                <w:sz w:val="24"/>
              </w:rPr>
              <w:t>Artikel 4, stk. 1, nr. 140), i forordning (EU) nr. 575/2013</w:t>
            </w:r>
          </w:p>
          <w:p w14:paraId="55161B15" w14:textId="02C5F460" w:rsidR="00595FAD" w:rsidRPr="002A677E" w:rsidRDefault="00595FAD" w:rsidP="00070518">
            <w:pPr>
              <w:spacing w:before="60"/>
              <w:rPr>
                <w:rFonts w:ascii="Times New Roman" w:hAnsi="Times New Roman"/>
                <w:sz w:val="24"/>
              </w:rPr>
            </w:pPr>
            <w:r>
              <w:rPr>
                <w:rFonts w:ascii="Times New Roman" w:hAnsi="Times New Roman"/>
                <w:sz w:val="24"/>
              </w:rPr>
              <w:t>Institutterne skal indberette dagsværdien af den sikkerhed, der er modtaget eller stillet som initialmargen (defineret i artikel 4, stk. 1, nr. 140), i forordning (EU) nr. 575/2013).</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Variationsmargen</w:t>
            </w:r>
          </w:p>
          <w:p w14:paraId="376FC9B2"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Institutterne skal indberette dagsværdien af den sikkerhed, der er modtaget eller stillet som variationsmargen.</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Sikkerhed ved værdipapirfinansieringstransaktion </w:t>
            </w:r>
          </w:p>
          <w:p w14:paraId="5FD582CC" w14:textId="77777777" w:rsidR="00595FAD" w:rsidRPr="002A677E" w:rsidRDefault="00595FAD" w:rsidP="00FF15C6">
            <w:pPr>
              <w:spacing w:before="60"/>
              <w:rPr>
                <w:rFonts w:ascii="Times New Roman" w:eastAsia="Calibri" w:hAnsi="Times New Roman"/>
                <w:i/>
                <w:sz w:val="24"/>
              </w:rPr>
            </w:pPr>
            <w:r>
              <w:rPr>
                <w:rFonts w:ascii="Times New Roman" w:hAnsi="Times New Roman"/>
                <w:sz w:val="24"/>
              </w:rPr>
              <w:t>Institutterne skal indberette dagsværdien af sikkerhedsstillelsen for sikkerhedsdelen i værdipapirfinansieringstransaktioner (f.eks. sikkerhedsdelen af den værdipapirfinansieringstransaktion, der er modtaget i kolonne 0130, eller stillet i kolonne 0180).</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Rækker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lastRenderedPageBreak/>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Sikkerhedsstillelsestype</w:t>
            </w:r>
          </w:p>
          <w:p w14:paraId="764191C9"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Opdeling efter forskellige sikkerhedsstillelsestyper</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119059397"/>
      <w:r>
        <w:rPr>
          <w:rFonts w:ascii="Times New Roman" w:hAnsi="Times New Roman"/>
          <w:sz w:val="24"/>
        </w:rPr>
        <w:t>C 34.09 – Eksponering for kreditderivater</w:t>
      </w:r>
      <w:bookmarkEnd w:id="494"/>
      <w:bookmarkEnd w:id="495"/>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119059398"/>
      <w:r>
        <w:rPr>
          <w:rFonts w:ascii="Times New Roman" w:hAnsi="Times New Roman"/>
          <w:sz w:val="24"/>
        </w:rPr>
        <w:t>Instrukser vedrørende specifikke positioner</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Kolonner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AFDÆKNING AF KREDITDERIVATER</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Købt eller solgt afdækning af kreditderivater.</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NOMINEL VÆRDI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Summen af de nominelle værdier for derivater før netting, opdelt efter produkttype.</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DAGSVÆRDIER</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Summen af dagsværdier opdelt på købt afdækning og solgt afdækning.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Rækker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Produkttype</w:t>
            </w:r>
          </w:p>
          <w:p w14:paraId="54B6EECB"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Opdeling efter produkttype af kreditderivater.</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I alt</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Summen af alle produkttyper.</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Dagsværdier</w:t>
            </w:r>
          </w:p>
          <w:p w14:paraId="1F50359D" w14:textId="77777777" w:rsidR="00595FAD" w:rsidRPr="002A677E" w:rsidRDefault="00595FAD" w:rsidP="00CF4C30">
            <w:pPr>
              <w:autoSpaceDE w:val="0"/>
              <w:autoSpaceDN w:val="0"/>
              <w:adjustRightInd w:val="0"/>
              <w:rPr>
                <w:rFonts w:ascii="Times New Roman" w:hAnsi="Times New Roman"/>
                <w:bCs/>
                <w:sz w:val="24"/>
              </w:rPr>
            </w:pPr>
            <w:r>
              <w:rPr>
                <w:rFonts w:ascii="Times New Roman" w:hAnsi="Times New Roman"/>
                <w:sz w:val="24"/>
              </w:rPr>
              <w:t>Dagsværdier fordelt på produkttype og aktiver (positive dagsværdier) og forpligtelser (negative dagsværdier).</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119059399"/>
      <w:r>
        <w:rPr>
          <w:rFonts w:ascii="Times New Roman" w:hAnsi="Times New Roman"/>
          <w:sz w:val="24"/>
        </w:rPr>
        <w:t>C 34.10 — Eksponeringer mod CCP'er</w:t>
      </w:r>
      <w:bookmarkEnd w:id="498"/>
      <w:bookmarkEnd w:id="499"/>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119059400"/>
      <w:r>
        <w:rPr>
          <w:rFonts w:ascii="Times New Roman" w:hAnsi="Times New Roman"/>
          <w:sz w:val="24"/>
        </w:rPr>
        <w:t>Generelle bemærkninger</w:t>
      </w:r>
      <w:bookmarkEnd w:id="500"/>
      <w:bookmarkEnd w:id="501"/>
    </w:p>
    <w:p w14:paraId="1E6FD5A9" w14:textId="04E0D433" w:rsidR="00595FAD" w:rsidRPr="002A677E" w:rsidRDefault="008F3052" w:rsidP="00487A02">
      <w:pPr>
        <w:pStyle w:val="InstructionsText2"/>
        <w:numPr>
          <w:ilvl w:val="0"/>
          <w:numId w:val="0"/>
        </w:numPr>
        <w:ind w:left="1353" w:hanging="360"/>
      </w:pPr>
      <w:fldSimple w:instr=" seq paragraphs ">
        <w:r>
          <w:t>132</w:t>
        </w:r>
      </w:fldSimple>
      <w:r>
        <w:t xml:space="preserve">. Institutterne skal indberette oplysninger om eksponeringer mod CCP'er, dvs. kontrakter og transaktioner anført i artikel 301, stk. 1, i forordning (EU) nr. 575/2013, så længe de er udestående hos en CCP, og eksponeringer fra CCP-relaterede transaktioner, i overensstemmelse med artikel 300, nr. 2), i nævnte forordning, for hvilke kapitalgrundlagskravene beregnes i overensstemmelse med tredje del, afsnit II, kapitel 6, afdeling 9, i nævnte forordning. </w:t>
      </w:r>
    </w:p>
    <w:p w14:paraId="43647881" w14:textId="0F72E20E" w:rsidR="00595FAD" w:rsidRPr="002A677E"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119059401"/>
      <w:r>
        <w:rPr>
          <w:rFonts w:ascii="Times New Roman" w:hAnsi="Times New Roman"/>
          <w:sz w:val="24"/>
        </w:rPr>
        <w:lastRenderedPageBreak/>
        <w:t>Instrukser vedrørende specifikke positioner</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Kolonner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EKSPONERINGSVÆRDI </w:t>
            </w:r>
          </w:p>
          <w:p w14:paraId="008FB3E7" w14:textId="1CE7BEF9" w:rsidR="00595FAD" w:rsidRPr="002A677E" w:rsidRDefault="00595FAD" w:rsidP="00FF15C6">
            <w:pPr>
              <w:keepNext/>
              <w:spacing w:before="60"/>
              <w:rPr>
                <w:rFonts w:ascii="Times New Roman" w:hAnsi="Times New Roman"/>
                <w:sz w:val="24"/>
              </w:rPr>
            </w:pPr>
            <w:r>
              <w:rPr>
                <w:rFonts w:ascii="Times New Roman" w:hAnsi="Times New Roman"/>
                <w:sz w:val="24"/>
              </w:rPr>
              <w:t>Eksponeringsværdien for transaktioner, der er omfattet af anvendelsesområdet for tredje del, afsnit II, kapitel 6, afdeling 9, i forordning (EU) nr. 575/2013, beregnet i overensstemmelse med de relevante metoder fastsat i nævnte kapitel og navnlig i afdeling 9.</w:t>
            </w:r>
          </w:p>
          <w:p w14:paraId="23F54896" w14:textId="084CFB02" w:rsidR="00595FAD" w:rsidRPr="002A677E" w:rsidRDefault="00595FAD" w:rsidP="00FF15C6">
            <w:pPr>
              <w:keepNext/>
              <w:spacing w:before="60"/>
              <w:rPr>
                <w:rFonts w:ascii="Times New Roman" w:hAnsi="Times New Roman"/>
                <w:sz w:val="24"/>
              </w:rPr>
            </w:pPr>
            <w:r>
              <w:rPr>
                <w:rFonts w:ascii="Times New Roman" w:hAnsi="Times New Roman"/>
                <w:sz w:val="24"/>
              </w:rPr>
              <w:t>Den indberettede eksponeringsværdi skal være det beløb, der er relevant for beregningen af kapitalgrundlagskravene i overensstemmelse med tredje del, afsnit II, kapitel 6, afdeling 9, i forordning (EU) nr. 575/2013, under hensyntagen til kravene i nævnte forordnings artikel 497 i den overgangsperiode, der er fastsat i nævnte artikel.</w:t>
            </w:r>
          </w:p>
          <w:p w14:paraId="13EE67A8" w14:textId="7F3CB7F3" w:rsidR="00595FAD" w:rsidRPr="002A677E" w:rsidRDefault="00595FAD" w:rsidP="00070518">
            <w:pPr>
              <w:keepNext/>
              <w:spacing w:before="60"/>
              <w:rPr>
                <w:rFonts w:ascii="Times New Roman" w:hAnsi="Times New Roman"/>
                <w:sz w:val="24"/>
              </w:rPr>
            </w:pPr>
            <w:r>
              <w:rPr>
                <w:rFonts w:ascii="Times New Roman" w:hAnsi="Times New Roman"/>
                <w:sz w:val="24"/>
              </w:rPr>
              <w:t>En eksponering kan være en handelseksponering som defineret i artikel 4, stk. 1, nr. 91), i forordning (EU) nr. 575/2013.</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RISIKOVÆGTEDE EKSPONERINGER</w:t>
            </w:r>
          </w:p>
          <w:p w14:paraId="1C095850" w14:textId="3E65500D" w:rsidR="00595FAD" w:rsidRPr="002A677E" w:rsidRDefault="00595FAD" w:rsidP="00070518">
            <w:pPr>
              <w:keepNext/>
              <w:spacing w:before="60"/>
              <w:rPr>
                <w:rFonts w:ascii="Times New Roman" w:hAnsi="Times New Roman"/>
                <w:strike/>
                <w:sz w:val="24"/>
              </w:rPr>
            </w:pPr>
            <w:r>
              <w:rPr>
                <w:rFonts w:ascii="Times New Roman" w:hAnsi="Times New Roman"/>
                <w:sz w:val="24"/>
              </w:rPr>
              <w:t>Risikovægtede eksponeringer fastsat i overensstemmelse med tredje del, afsnit II, kapitel 6, afdeling 9, i forordning (EU) nr. 575/2013, under hensyntagen til kravene i nævnte forordnings artikel 497 i den overgangsperiode, der er fastsat i nævnte artikel.</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Rækker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Kvalificerende CCP (QCCP)</w:t>
            </w:r>
            <w:r>
              <w:rPr>
                <w:rFonts w:ascii="Times New Roman" w:hAnsi="Times New Roman"/>
                <w:sz w:val="24"/>
              </w:rPr>
              <w:t xml:space="preserve"> </w:t>
            </w:r>
          </w:p>
          <w:p w14:paraId="6C197069" w14:textId="5769E482" w:rsidR="00595FAD" w:rsidRPr="002A677E" w:rsidRDefault="006418A0" w:rsidP="00070518">
            <w:pPr>
              <w:spacing w:beforeLines="60" w:before="144" w:afterLines="60" w:after="144"/>
              <w:rPr>
                <w:rFonts w:ascii="Times New Roman" w:hAnsi="Times New Roman"/>
                <w:sz w:val="24"/>
              </w:rPr>
            </w:pPr>
            <w:r>
              <w:rPr>
                <w:rFonts w:ascii="Times New Roman" w:hAnsi="Times New Roman"/>
                <w:sz w:val="24"/>
              </w:rPr>
              <w:t xml:space="preserve">En kvalificerende central modpart eller "QCCP" som defineret i artikel 4, stk. 1, nr. 88), i forordning (EU) nr. 575/2013.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t>0070, 0080</w:t>
            </w:r>
          </w:p>
          <w:p w14:paraId="5AB01574" w14:textId="77777777" w:rsidR="00595FAD" w:rsidRPr="002A677E" w:rsidRDefault="00595FAD" w:rsidP="00FF15C6">
            <w:pPr>
              <w:pStyle w:val="Fait"/>
            </w:pPr>
            <w:r>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Initialmargen</w:t>
            </w:r>
          </w:p>
          <w:p w14:paraId="51E7CCE3" w14:textId="77777777" w:rsidR="00595FAD" w:rsidRPr="002A677E" w:rsidRDefault="00595FAD" w:rsidP="00FF15C6">
            <w:pPr>
              <w:keepNext/>
              <w:spacing w:before="60"/>
              <w:rPr>
                <w:rFonts w:ascii="Times New Roman" w:hAnsi="Times New Roman"/>
                <w:sz w:val="24"/>
              </w:rPr>
            </w:pPr>
            <w:r>
              <w:rPr>
                <w:rFonts w:ascii="Times New Roman" w:hAnsi="Times New Roman"/>
                <w:sz w:val="24"/>
              </w:rPr>
              <w:t>Se instrukser til skema C 34.08.</w:t>
            </w:r>
          </w:p>
          <w:p w14:paraId="44AC0924" w14:textId="77777777" w:rsidR="00595FAD" w:rsidRPr="002A677E" w:rsidRDefault="00595FAD" w:rsidP="00C76804">
            <w:pPr>
              <w:keepNext/>
              <w:spacing w:before="60"/>
              <w:rPr>
                <w:rFonts w:ascii="Times New Roman" w:hAnsi="Times New Roman"/>
                <w:i/>
                <w:sz w:val="24"/>
              </w:rPr>
            </w:pPr>
            <w:r>
              <w:rPr>
                <w:rFonts w:ascii="Times New Roman" w:hAnsi="Times New Roman"/>
                <w:sz w:val="24"/>
              </w:rPr>
              <w:t xml:space="preserve">Med henblik på dette skema omfatter initialmargenen ikke bidrag til en CCP for gensidige tabsdelingsordninger (dvs. i tilfælde, hvor en CCP anvender initialmargen til at gensidiggøre tab blandt clearingmedlemmerne, behandles den som en misligholdelsesfondseksponering).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Indbetalte bidrag til misligholdelsesfonde</w:t>
            </w:r>
          </w:p>
          <w:p w14:paraId="43979D70" w14:textId="14702A1E" w:rsidR="00595FAD" w:rsidRPr="002A677E" w:rsidRDefault="00C85EAB" w:rsidP="00070518">
            <w:pPr>
              <w:keepNext/>
              <w:spacing w:before="60"/>
              <w:rPr>
                <w:rFonts w:ascii="Times New Roman" w:hAnsi="Times New Roman"/>
                <w:sz w:val="24"/>
              </w:rPr>
            </w:pPr>
            <w:r>
              <w:rPr>
                <w:rFonts w:ascii="Times New Roman" w:hAnsi="Times New Roman"/>
                <w:sz w:val="24"/>
              </w:rPr>
              <w:t>Artikel 308 og 309 i forordning (EU) nr. 575/2013, en misligholdelsesfond, som defineret i artikel 4, stk. 1, nr. 89), i forordning (EU) nr. 575/2013, bidraget til en CCP's misligholdelsesfond, som instituttet har indbetalt</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Ikke-indbetalte bidrag til misligholdelsesfonde</w:t>
            </w:r>
          </w:p>
          <w:p w14:paraId="085CBB74" w14:textId="2B5C21C8" w:rsidR="00595FAD" w:rsidRPr="002A677E"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lastRenderedPageBreak/>
              <w:t>Artikel 309 og 310 i forordning (EU) nr. 575/2013, en misligholdelsesfond, som defineret i artikel 4, stk. 1, nr. 89), i forordning (EU) nr. 575/2013</w:t>
            </w:r>
          </w:p>
          <w:p w14:paraId="68900E5B" w14:textId="77777777" w:rsidR="00595FAD" w:rsidRPr="002A677E" w:rsidRDefault="0014210E" w:rsidP="006418A0">
            <w:pPr>
              <w:keepNext/>
              <w:spacing w:before="60"/>
              <w:rPr>
                <w:rFonts w:ascii="Times New Roman" w:hAnsi="Times New Roman"/>
                <w:sz w:val="24"/>
              </w:rPr>
            </w:pPr>
            <w:r>
              <w:rPr>
                <w:rFonts w:ascii="Times New Roman" w:hAnsi="Times New Roman"/>
                <w:sz w:val="24"/>
              </w:rPr>
              <w:t>Institutterne skal indberette bidrag, som et institut, der fungerer som clearingmedlem, ved kontrakt har forpligtet sig til at yde til en CCP, efter at CCP'en har opbrugt misligholdelsesfonden til at dække tab, der er opstået som følge af en eller flere af dens clearingmedlemmers misligholdelse.</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lastRenderedPageBreak/>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Adskilt</w:t>
            </w:r>
          </w:p>
          <w:p w14:paraId="0033E389"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Se instrukser til skema C 34.08.</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t>0080, 0180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Ikkeadskilt</w:t>
            </w:r>
          </w:p>
          <w:p w14:paraId="1B2BD796"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Se instrukser til skema C 34.08.</w:t>
            </w:r>
          </w:p>
        </w:tc>
      </w:tr>
    </w:tbl>
    <w:p w14:paraId="5046304B"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119059402"/>
      <w:r>
        <w:rPr>
          <w:rFonts w:ascii="Times New Roman" w:hAnsi="Times New Roman"/>
          <w:sz w:val="24"/>
        </w:rPr>
        <w:t>C 34.11 — "flowtabeller" over risikovægtede eksponeringer (RWEA) for modpartsrisikoeksponeringer i henhold til metoden med interne modeller</w:t>
      </w:r>
      <w:bookmarkEnd w:id="504"/>
      <w:bookmarkEnd w:id="505"/>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119059403"/>
      <w:r>
        <w:rPr>
          <w:rFonts w:ascii="Times New Roman" w:hAnsi="Times New Roman"/>
          <w:sz w:val="24"/>
        </w:rPr>
        <w:t>Generelle bemærkninger</w:t>
      </w:r>
      <w:bookmarkEnd w:id="506"/>
      <w:bookmarkEnd w:id="507"/>
    </w:p>
    <w:p w14:paraId="301F1925" w14:textId="6AF6AA9F" w:rsidR="00595FAD" w:rsidRPr="002A677E" w:rsidRDefault="008F3052" w:rsidP="00487A02">
      <w:pPr>
        <w:pStyle w:val="InstructionsText2"/>
        <w:numPr>
          <w:ilvl w:val="0"/>
          <w:numId w:val="0"/>
        </w:numPr>
        <w:ind w:left="1353" w:hanging="360"/>
      </w:pPr>
      <w:fldSimple w:instr=" seq paragraphs ">
        <w:r>
          <w:t>133</w:t>
        </w:r>
      </w:fldSimple>
      <w:r>
        <w:t>. Institutter, som anvender metoden med interne modeller til beregning af risikovægtede eksponeringer for alle eller en del af deres modpartsrisikoeksponeringer i overensstemmelse med tredje del, afsnit II, kapitel 6, i forordning (EU) nr. 575/2013, skal, uanset den kreditrisikometode, der er anvendt til at bestemme den tilsvarende risikovægtning, indberette dette skema med flowtabellen og redegøre for ændringer i risikovægtede eksponeringer for derivater og værdipapirfinansieringstransaktioner i relation til metoden med interne modeller, hvorved der skelnes mellem de vigtigste faktorer og tages udgangspunkt i rimelige skøn.</w:t>
      </w:r>
    </w:p>
    <w:p w14:paraId="34147E07" w14:textId="77777777" w:rsidR="00595FAD" w:rsidRPr="002A677E" w:rsidRDefault="008F3052" w:rsidP="00487A02">
      <w:pPr>
        <w:pStyle w:val="InstructionsText2"/>
        <w:numPr>
          <w:ilvl w:val="0"/>
          <w:numId w:val="0"/>
        </w:numPr>
        <w:ind w:left="1353" w:hanging="360"/>
      </w:pPr>
      <w:fldSimple w:instr=" seq paragraphs ">
        <w:r>
          <w:t>134</w:t>
        </w:r>
      </w:fldSimple>
      <w:r>
        <w:t xml:space="preserve">. Institutter, der indberetter dette skema kvartalsvist, udfylder kun kolonne 0010. Institutter, der indberetter dette skema kvartalsvist, udfylder kun kolonne 0020. </w:t>
      </w:r>
    </w:p>
    <w:p w14:paraId="1133A75D" w14:textId="5BCCF994" w:rsidR="00595FAD" w:rsidRPr="002A677E" w:rsidRDefault="008F3052" w:rsidP="00487A02">
      <w:pPr>
        <w:pStyle w:val="InstructionsText2"/>
        <w:numPr>
          <w:ilvl w:val="0"/>
          <w:numId w:val="0"/>
        </w:numPr>
        <w:ind w:left="1353" w:hanging="360"/>
      </w:pPr>
      <w:fldSimple w:instr=" seq paragraphs ">
        <w:r>
          <w:t>135</w:t>
        </w:r>
      </w:fldSimple>
      <w:r>
        <w:t>. Dette skema udelukker risikovægtede eksponeringer for eksponeringer mod en central modpart (tredje del, afsnit II, kapitel 6, afdeling 9, i forordning (EU) nr. 575/2013).</w:t>
      </w:r>
    </w:p>
    <w:p w14:paraId="05A865F1" w14:textId="06A50D15" w:rsidR="00595FAD" w:rsidRPr="002A677E"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119059404"/>
      <w:r>
        <w:rPr>
          <w:rFonts w:ascii="Times New Roman" w:hAnsi="Times New Roman"/>
          <w:sz w:val="24"/>
        </w:rPr>
        <w:t>Instrukser vedrørende specifikke positioner</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Pr>
                <w:rFonts w:ascii="Times New Roman" w:hAnsi="Times New Roman"/>
                <w:b/>
                <w:sz w:val="24"/>
              </w:rPr>
              <w:t>Kolonner</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RISIKOVÆGTEDE EKSPONERINGER</w:t>
            </w:r>
          </w:p>
          <w:p w14:paraId="466A3378" w14:textId="551D9C91" w:rsidR="00595FAD" w:rsidRPr="002A677E" w:rsidRDefault="00595FAD" w:rsidP="00FF15C6">
            <w:pPr>
              <w:rPr>
                <w:rFonts w:ascii="Times New Roman" w:hAnsi="Times New Roman"/>
                <w:sz w:val="24"/>
              </w:rPr>
            </w:pPr>
            <w:r>
              <w:rPr>
                <w:rFonts w:ascii="Times New Roman" w:hAnsi="Times New Roman"/>
                <w:sz w:val="24"/>
              </w:rPr>
              <w:t xml:space="preserve">Risikovægtede eksponeringer som defineret i artikel 92, stk. 3 og 4, i CRR for positioner, hvis risikovægtning er estimeret på grundlag af kravene i tredje del, afsnit II, kapitel 2 og 3, i forordning (EU) nr. 575/2013, og for hvilke instituttet har fået tilladelse til at beregne eksponeringsværdien ved hjælp af metoden med interne modeller i overensstemmelse med tredje del, afsnit II, kapitel 6, afdeling 6, i nævnte forordning. </w:t>
            </w:r>
          </w:p>
          <w:p w14:paraId="73454D98" w14:textId="6C0C3DAA" w:rsidR="00595FAD" w:rsidRPr="002A677E" w:rsidRDefault="00595FAD" w:rsidP="003F19BA">
            <w:pPr>
              <w:spacing w:before="60"/>
              <w:rPr>
                <w:rFonts w:ascii="Times New Roman" w:hAnsi="Times New Roman"/>
                <w:i/>
                <w:sz w:val="24"/>
              </w:rPr>
            </w:pPr>
            <w:r>
              <w:rPr>
                <w:rFonts w:ascii="Times New Roman" w:hAnsi="Times New Roman"/>
                <w:sz w:val="24"/>
              </w:rPr>
              <w:t>Støttefaktorerne for SMV'er og infrastruktur, som fastlagt i artikel 501 og 501a i forordning (EU) nr. 575/2013, indregnes.</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Pr>
                <w:rFonts w:ascii="Times New Roman" w:hAnsi="Times New Roman"/>
                <w:b/>
                <w:sz w:val="24"/>
              </w:rPr>
              <w:t>Rækker</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Risikovægtet eksponering ved udgangen af den foregående indberetningsperiode</w:t>
            </w:r>
          </w:p>
          <w:p w14:paraId="268744BD" w14:textId="77777777" w:rsidR="00595FAD" w:rsidRPr="002A677E" w:rsidRDefault="00595FAD" w:rsidP="00FF15C6">
            <w:pPr>
              <w:spacing w:before="60"/>
              <w:rPr>
                <w:rFonts w:ascii="Times New Roman" w:hAnsi="Times New Roman"/>
                <w:sz w:val="24"/>
              </w:rPr>
            </w:pPr>
            <w:r>
              <w:rPr>
                <w:rFonts w:ascii="Times New Roman" w:hAnsi="Times New Roman"/>
                <w:sz w:val="24"/>
              </w:rPr>
              <w:t>Risikovægtet eksponering for modpartsrisikoeksponeringer ved anvendelse af metoden med interne modeller ved udgangen af den foregående indberetningsperiode</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Aktivernes størrelse</w:t>
            </w:r>
          </w:p>
          <w:p w14:paraId="246617A7" w14:textId="77777777" w:rsidR="00595FAD" w:rsidRPr="002A677E" w:rsidRDefault="00595FAD" w:rsidP="00181AC7">
            <w:pPr>
              <w:spacing w:before="60"/>
              <w:rPr>
                <w:rFonts w:ascii="Times New Roman" w:hAnsi="Times New Roman"/>
                <w:sz w:val="24"/>
              </w:rPr>
            </w:pPr>
            <w:r>
              <w:rPr>
                <w:rFonts w:ascii="Times New Roman" w:hAnsi="Times New Roman"/>
                <w:sz w:val="24"/>
              </w:rPr>
              <w:t>Ændringer i den risikovægtede eksponering (positive eller negative), der skyldes ændringer i størrelsen og sammensætningen af porteføljen, der følger af sædvanlige forretningsaktiviteter (herunder etablering af nye virksomheder og eksponeringer, der udløber), men ekskl. ændringer i porteføljens størrelse som følge af anskaffelser og afhændelser af enheder.</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Modparternes kreditkvalitet </w:t>
            </w:r>
          </w:p>
          <w:p w14:paraId="5A7F77C1" w14:textId="77777777" w:rsidR="00595FAD" w:rsidRPr="002A677E" w:rsidRDefault="00595FAD" w:rsidP="00FF15C6">
            <w:pPr>
              <w:spacing w:before="60"/>
              <w:rPr>
                <w:rFonts w:ascii="Times New Roman" w:hAnsi="Times New Roman"/>
                <w:sz w:val="24"/>
              </w:rPr>
            </w:pPr>
            <w:r>
              <w:rPr>
                <w:rFonts w:ascii="Times New Roman" w:hAnsi="Times New Roman"/>
                <w:sz w:val="24"/>
              </w:rPr>
              <w:t>Ændringer i risikovægtede eksponeringer (positive eller negative) som følge af ændringer i den vurderede kvalitet af instituttets modparter, som måles inden for rammerne af kreditrisikorammen, uanset hvilken metode instituttet anvender. Denne række omfatter også potentielle ændringer i risikovægtede eksponeringer som følge af IRB-modeller, når instituttet anvender en IRB-metode.</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Opdateringer af modeller (kun metoden med interne modeller)</w:t>
            </w:r>
          </w:p>
          <w:p w14:paraId="70021445" w14:textId="77777777" w:rsidR="0014210E" w:rsidRPr="002A677E" w:rsidRDefault="00595FAD" w:rsidP="00FF15C6">
            <w:pPr>
              <w:spacing w:before="60"/>
              <w:rPr>
                <w:rFonts w:ascii="Times New Roman" w:hAnsi="Times New Roman"/>
                <w:sz w:val="24"/>
              </w:rPr>
            </w:pPr>
            <w:r>
              <w:rPr>
                <w:rFonts w:ascii="Times New Roman" w:hAnsi="Times New Roman"/>
                <w:sz w:val="24"/>
              </w:rPr>
              <w:t>Ændringer i risikovægtede eksponeringer (positive eller negative) som følge af gennemførelse af modeller, ændringer i anvendelsesområdet for modeller eller enhver ændring, der har til formål at afhjælpe svagheder i forbindelse med modeller.</w:t>
            </w:r>
          </w:p>
          <w:p w14:paraId="1AD0A05E" w14:textId="77777777" w:rsidR="00595FAD" w:rsidRPr="002A677E" w:rsidRDefault="00595FAD" w:rsidP="00FF15C6">
            <w:pPr>
              <w:spacing w:before="60"/>
              <w:rPr>
                <w:rFonts w:ascii="Times New Roman" w:hAnsi="Times New Roman"/>
                <w:sz w:val="24"/>
              </w:rPr>
            </w:pPr>
            <w:r>
              <w:rPr>
                <w:rFonts w:ascii="Times New Roman" w:hAnsi="Times New Roman"/>
                <w:sz w:val="24"/>
              </w:rPr>
              <w:t>Denne række vedrører kun ændringer i metoden med interne modeller.</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Metodologi og politik (kun metoden med interne modeller)</w:t>
            </w:r>
          </w:p>
          <w:p w14:paraId="3C415A53" w14:textId="77777777" w:rsidR="00595FAD" w:rsidRPr="002A677E" w:rsidRDefault="00595FAD" w:rsidP="00FF15C6">
            <w:pPr>
              <w:spacing w:before="60"/>
              <w:rPr>
                <w:rFonts w:ascii="Times New Roman" w:hAnsi="Times New Roman"/>
                <w:sz w:val="24"/>
              </w:rPr>
            </w:pPr>
            <w:r>
              <w:rPr>
                <w:rFonts w:ascii="Times New Roman" w:hAnsi="Times New Roman"/>
                <w:sz w:val="24"/>
              </w:rPr>
              <w:t>Ændringer i risikovægtede eksponeringer (positive eller negative), der skyldes ændringer som følge af metodologiske ændringer i beregninger forårsaget af reguleringsmæssige ændringer, som f.eks. nye regulativer (kun i metoden med interne modeller).</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Anskaffelser og afhændelser</w:t>
            </w:r>
          </w:p>
          <w:p w14:paraId="67F859FE" w14:textId="77777777" w:rsidR="00595FAD" w:rsidRPr="002A677E" w:rsidRDefault="00595FAD" w:rsidP="00FF15C6">
            <w:pPr>
              <w:spacing w:before="60"/>
              <w:rPr>
                <w:rFonts w:ascii="Times New Roman" w:hAnsi="Times New Roman"/>
                <w:sz w:val="24"/>
              </w:rPr>
            </w:pPr>
            <w:r>
              <w:rPr>
                <w:rFonts w:ascii="Times New Roman" w:hAnsi="Times New Roman"/>
                <w:sz w:val="24"/>
              </w:rPr>
              <w:t>Ændringer i risikovægtede eksponeringer (positive eller negative), der skyldes ændringer i porteføljen som følge af anskaffelser og afhændelser af enheder.</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Valutakursændringer</w:t>
            </w:r>
          </w:p>
          <w:p w14:paraId="659E5664"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Ændringer i risikovægtede eksponeringer (positive eller negative), der skyldes ændringer som følge af bevægelser i valutakurserne.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lastRenderedPageBreak/>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Andre</w:t>
            </w:r>
          </w:p>
          <w:p w14:paraId="256CE064" w14:textId="77777777" w:rsidR="00595FAD" w:rsidRPr="002A677E" w:rsidRDefault="00595FAD" w:rsidP="00C26C3A">
            <w:pPr>
              <w:spacing w:before="60"/>
              <w:rPr>
                <w:rFonts w:ascii="Times New Roman" w:hAnsi="Times New Roman"/>
                <w:sz w:val="24"/>
              </w:rPr>
            </w:pPr>
            <w:r>
              <w:rPr>
                <w:rFonts w:ascii="Times New Roman" w:hAnsi="Times New Roman"/>
                <w:sz w:val="24"/>
              </w:rPr>
              <w:t xml:space="preserve">Denne kategori anvendes til at opfange de risikovægtede eksponeringer (positive eller negative), som ikke kan tilskrives ovenstående kategorier.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Risikovægtede eksponeringer ved udgangen af den indeværende indberetningsperiode</w:t>
            </w:r>
          </w:p>
          <w:p w14:paraId="0CB94461" w14:textId="77777777" w:rsidR="00595FAD" w:rsidRPr="002A677E" w:rsidRDefault="00595FAD" w:rsidP="00FF15C6">
            <w:pPr>
              <w:spacing w:before="60"/>
              <w:rPr>
                <w:rFonts w:ascii="Times New Roman" w:hAnsi="Times New Roman"/>
                <w:i/>
                <w:sz w:val="24"/>
              </w:rPr>
            </w:pPr>
            <w:r>
              <w:rPr>
                <w:rFonts w:ascii="Times New Roman" w:hAnsi="Times New Roman"/>
                <w:sz w:val="24"/>
              </w:rPr>
              <w:t>Risikovægtede eksponeringer for modpartsrisikoeksponeringer ved anvendelse af metoden med interne modeller ved udgangen af den indeværende indberetningsperiode</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260157223"/>
      <w:bookmarkStart w:id="517" w:name="_Toc262566417"/>
      <w:bookmarkStart w:id="518" w:name="_Toc264038462"/>
      <w:bookmarkStart w:id="519" w:name="_Toc295829988"/>
      <w:bookmarkStart w:id="520" w:name="_Toc310415050"/>
      <w:bookmarkStart w:id="521" w:name="_Toc119059405"/>
      <w:r>
        <w:rPr>
          <w:rFonts w:ascii="Times New Roman" w:hAnsi="Times New Roman"/>
          <w:sz w:val="24"/>
        </w:rPr>
        <w:t>4.</w:t>
      </w:r>
      <w:r>
        <w:tab/>
      </w:r>
      <w:r>
        <w:rPr>
          <w:rFonts w:ascii="Times New Roman" w:hAnsi="Times New Roman"/>
          <w:sz w:val="24"/>
        </w:rPr>
        <w:t>Skemaer for operationel risiko</w:t>
      </w:r>
      <w:bookmarkEnd w:id="510"/>
      <w:bookmarkEnd w:id="511"/>
      <w:bookmarkEnd w:id="512"/>
      <w:bookmarkEnd w:id="513"/>
      <w:bookmarkEnd w:id="514"/>
      <w:bookmarkEnd w:id="515"/>
      <w:bookmarkEnd w:id="521"/>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22" w:name="_Toc360188385"/>
      <w:bookmarkStart w:id="523" w:name="_Toc473560936"/>
      <w:bookmarkStart w:id="524" w:name="_Toc119059406"/>
      <w:r>
        <w:rPr>
          <w:rFonts w:ascii="Times New Roman" w:hAnsi="Times New Roman"/>
          <w:sz w:val="24"/>
        </w:rPr>
        <w:t>4.1</w:t>
      </w:r>
      <w:r>
        <w:tab/>
      </w:r>
      <w:r>
        <w:tab/>
      </w:r>
      <w:r>
        <w:rPr>
          <w:rFonts w:ascii="Times New Roman" w:hAnsi="Times New Roman"/>
          <w:sz w:val="24"/>
        </w:rPr>
        <w:t>C 16.00 – Operationel risiko</w:t>
      </w:r>
      <w:bookmarkEnd w:id="516"/>
      <w:bookmarkEnd w:id="517"/>
      <w:bookmarkEnd w:id="518"/>
      <w:bookmarkEnd w:id="519"/>
      <w:bookmarkEnd w:id="520"/>
      <w:bookmarkEnd w:id="522"/>
      <w:r>
        <w:rPr>
          <w:rFonts w:ascii="Times New Roman" w:hAnsi="Times New Roman"/>
          <w:sz w:val="24"/>
        </w:rPr>
        <w:t xml:space="preserve"> (OPR)</w:t>
      </w:r>
      <w:bookmarkEnd w:id="523"/>
      <w:bookmarkEnd w:id="524"/>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0157224"/>
      <w:bookmarkStart w:id="526" w:name="_Toc262566418"/>
      <w:bookmarkStart w:id="527" w:name="_Toc264038463"/>
      <w:bookmarkStart w:id="528" w:name="_Toc295829989"/>
      <w:bookmarkStart w:id="529" w:name="_Toc310415051"/>
      <w:bookmarkStart w:id="530" w:name="_Toc360188386"/>
      <w:bookmarkStart w:id="531" w:name="_Toc473560937"/>
      <w:bookmarkStart w:id="532" w:name="_Toc119059407"/>
      <w:r>
        <w:rPr>
          <w:rFonts w:ascii="Times New Roman" w:hAnsi="Times New Roman"/>
          <w:sz w:val="24"/>
          <w:u w:val="none"/>
        </w:rPr>
        <w:t>4.1.1</w:t>
      </w:r>
      <w:r>
        <w:tab/>
      </w:r>
      <w:r>
        <w:rPr>
          <w:rFonts w:ascii="Times New Roman" w:hAnsi="Times New Roman"/>
          <w:sz w:val="24"/>
          <w:u w:val="none"/>
        </w:rPr>
        <w:t>Generelle bemærkninger</w:t>
      </w:r>
      <w:bookmarkEnd w:id="525"/>
      <w:bookmarkEnd w:id="526"/>
      <w:bookmarkEnd w:id="527"/>
      <w:bookmarkEnd w:id="528"/>
      <w:bookmarkEnd w:id="529"/>
      <w:bookmarkEnd w:id="530"/>
      <w:bookmarkEnd w:id="531"/>
      <w:bookmarkEnd w:id="532"/>
      <w:r>
        <w:rPr>
          <w:rFonts w:ascii="Times New Roman" w:hAnsi="Times New Roman"/>
          <w:sz w:val="24"/>
          <w:u w:val="none"/>
        </w:rPr>
        <w:t xml:space="preserve"> </w:t>
      </w:r>
    </w:p>
    <w:p w14:paraId="1DB1CCA4" w14:textId="2CA69E8A" w:rsidR="00AC6255" w:rsidRPr="002A677E" w:rsidRDefault="008F3052" w:rsidP="00487A02">
      <w:pPr>
        <w:pStyle w:val="InstructionsText2"/>
        <w:numPr>
          <w:ilvl w:val="0"/>
          <w:numId w:val="0"/>
        </w:numPr>
        <w:ind w:left="1353" w:hanging="360"/>
      </w:pPr>
      <w:fldSimple w:instr=" seq paragraphs ">
        <w:r>
          <w:t>136</w:t>
        </w:r>
      </w:fldSimple>
      <w:r>
        <w:t>.</w:t>
      </w:r>
      <w:r>
        <w:tab/>
        <w:t xml:space="preserve"> Dette skema giver oplysninger om beregningen af kapitalgrundlagskrav i henhold til artikel 312-324 i forordning (EU) nr. 575/2013 vedrørende operationel risiko ved anvendelse af basisindikatormetoden (BIA), standardmetoden (TSA), den alternative standardmetode (ASA) og avancerede målemetoder (AMA). Et institut kan ikke på samme tid anvende TSA og ASA for forretningsområderne "detailbankydelser" og "forretningsbankydelser" på individuelt plan.</w:t>
      </w:r>
    </w:p>
    <w:p w14:paraId="4904781C" w14:textId="77777777" w:rsidR="00AC6255" w:rsidRPr="002A677E" w:rsidRDefault="008F3052" w:rsidP="00487A02">
      <w:pPr>
        <w:pStyle w:val="InstructionsText2"/>
        <w:numPr>
          <w:ilvl w:val="0"/>
          <w:numId w:val="0"/>
        </w:numPr>
        <w:ind w:left="1353" w:hanging="360"/>
      </w:pPr>
      <w:fldSimple w:instr=" seq paragraphs ">
        <w:r>
          <w:t>137</w:t>
        </w:r>
      </w:fldSimple>
      <w:r>
        <w:t xml:space="preserve">. Institutter, der anvender BIA, TSA eller ASA, skal beregne deres kapitalgrundlagskrav på grundlag af oplysningerne ved udgangen af regnskabsåret. Hvis der ikke foreligger reviderede tal, kan institutterne anvende deres egne estimater. Hvis der anvendes reviderede tal, skal institutter indberette de reviderede tal, som forventes at forblive uændrede. Der kan afviges fra princippet om "uændrede" i ekstraordinære situationer, f.eks. nylig erhvervelse eller afhændelse af enheder eller aktiviteter, i løbet af den pågældende periode. </w:t>
      </w:r>
    </w:p>
    <w:p w14:paraId="4B809D6B" w14:textId="0F1CF0AC" w:rsidR="00AC6255" w:rsidRPr="002A677E" w:rsidRDefault="008F3052" w:rsidP="00487A02">
      <w:pPr>
        <w:pStyle w:val="InstructionsText2"/>
        <w:numPr>
          <w:ilvl w:val="0"/>
          <w:numId w:val="0"/>
        </w:numPr>
        <w:ind w:left="1353" w:hanging="360"/>
      </w:pPr>
      <w:fldSimple w:instr=" seq paragraphs ">
        <w:r>
          <w:t>138</w:t>
        </w:r>
      </w:fldSimple>
      <w:r>
        <w:t>.</w:t>
      </w:r>
      <w:r>
        <w:tab/>
        <w:t xml:space="preserve"> Hvis et institut over for sin kompetente myndighed kan bevise, at anvendelse af et gennemsnit over tre år til at beregne den relevante indikator, på grund af ekstraordinære situationer, som f.eks. en fusion eller afhændelse af enheder eller aktiviteter, vil medføre en fejlagtig vurdering af kapitalgrundlagskravet for operationel risiko, kan den kompetente myndighed tillade instituttet at ændre beregningen på en måde, der tager højde for sådanne begivenheder. Den kompetente myndighed kan også på eget initiativ kræve, at et institut ændrer beregningen. Et institut, som har været i drift i mindre end tre år, kan anvende sine egne fremadrettede estimater, når det beregner den relevante indikator, forudsat at det begynder at inddrage historiske data, så snart disse data foreligger.</w:t>
      </w:r>
    </w:p>
    <w:p w14:paraId="2023E425" w14:textId="77777777" w:rsidR="00AC6255" w:rsidRPr="002A677E" w:rsidRDefault="008F3052" w:rsidP="00487A02">
      <w:pPr>
        <w:pStyle w:val="InstructionsText2"/>
        <w:numPr>
          <w:ilvl w:val="0"/>
          <w:numId w:val="0"/>
        </w:numPr>
        <w:ind w:left="1353" w:hanging="360"/>
      </w:pPr>
      <w:fldSimple w:instr=" seq paragraphs ">
        <w:r>
          <w:t>139</w:t>
        </w:r>
      </w:fldSimple>
      <w:r>
        <w:t>.</w:t>
      </w:r>
      <w:r>
        <w:tab/>
        <w:t xml:space="preserve"> Dette skema præsenterer i kolonner oplysninger for de seneste tre år om størrelsen af den relevante indikator for de bankydelser, der er underlagt operationel risiko, og om størrelsen af lån og forskud (sidstnævnte gælder kun i forbindelse med ASA). Dernæst indberettes der oplysninger om størrelsen af kapitalgrundlagskravet for operationel risiko. Hvis det er relevant, skal det angives, hvilken del af dette beløb der følger af en fordelingsmekanisme. For så vidt angår AMA, </w:t>
      </w:r>
      <w:r>
        <w:lastRenderedPageBreak/>
        <w:t>tilføjes der memorandumposter med oplysninger om den forventede virkning af det forventede tab, diversificering og kreditrisikoreduktionsteknikker på kapitalgrundlagskravet for operationel risiko.</w:t>
      </w:r>
    </w:p>
    <w:p w14:paraId="1BF423DA" w14:textId="77777777" w:rsidR="00AC6255" w:rsidRPr="002A677E" w:rsidRDefault="008F3052" w:rsidP="00487A02">
      <w:pPr>
        <w:pStyle w:val="InstructionsText2"/>
        <w:numPr>
          <w:ilvl w:val="0"/>
          <w:numId w:val="0"/>
        </w:numPr>
        <w:ind w:left="1353" w:hanging="360"/>
      </w:pPr>
      <w:fldSimple w:instr=" seq paragraphs ">
        <w:r>
          <w:t>140</w:t>
        </w:r>
      </w:fldSimple>
      <w:r>
        <w:t>.</w:t>
      </w:r>
      <w:r>
        <w:tab/>
        <w:t xml:space="preserve"> Oplysninger om metoden til beregning af kapitalgrundlagskravet for operationel risiko med nærmere oplysninger om forretningsområder i TSA og ASA præsenteres i rækker.</w:t>
      </w:r>
    </w:p>
    <w:p w14:paraId="001035D2" w14:textId="77777777" w:rsidR="00AC6255" w:rsidRPr="002A677E" w:rsidRDefault="008F3052" w:rsidP="00487A02">
      <w:pPr>
        <w:pStyle w:val="InstructionsText2"/>
        <w:numPr>
          <w:ilvl w:val="0"/>
          <w:numId w:val="0"/>
        </w:numPr>
        <w:ind w:left="1353" w:hanging="360"/>
      </w:pPr>
      <w:fldSimple w:instr=" seq paragraphs ">
        <w:r>
          <w:t>141</w:t>
        </w:r>
      </w:fldSimple>
      <w:r>
        <w:t>.</w:t>
      </w:r>
      <w:r>
        <w:tab/>
        <w:t xml:space="preserve"> Dette skema skal indgives af alle institutter, der er omfattet af kapitalgrundlagskrav for operationel risiko.</w:t>
      </w:r>
    </w:p>
    <w:p w14:paraId="08ED61AE" w14:textId="3E518ECC" w:rsidR="00AC6255" w:rsidRPr="002A677E"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119059408"/>
      <w:r>
        <w:rPr>
          <w:rFonts w:ascii="Times New Roman" w:hAnsi="Times New Roman"/>
          <w:sz w:val="24"/>
          <w:u w:val="none"/>
        </w:rPr>
        <w:t>4.1.2.</w:t>
      </w:r>
      <w:r>
        <w:tab/>
      </w:r>
      <w:r>
        <w:rPr>
          <w:rFonts w:ascii="Times New Roman" w:hAnsi="Times New Roman"/>
          <w:sz w:val="24"/>
        </w:rPr>
        <w:t>Instrukser vedrørende specifikke positioner</w:t>
      </w:r>
      <w:bookmarkEnd w:id="533"/>
      <w:bookmarkEnd w:id="534"/>
      <w:bookmarkEnd w:id="535"/>
      <w:bookmarkEnd w:id="536"/>
      <w:bookmarkEnd w:id="537"/>
      <w:bookmarkEnd w:id="538"/>
      <w:bookmarkEnd w:id="539"/>
      <w:bookmarkEnd w:id="540"/>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Kolonner</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0010-0030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RELEVANT INDIKATOR</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Ved hjælp af den relevante indikator til beregning af kapitalgrundlagskravet for operationel risiko (BIA, TSA og ASA) skal institutter indberette den relevante indikator for de respektive år i kolonne 0010 til 0030. Hvis der benyttes en kombination af de forskellige metoder, jf. artikel 314 i forordning (EU) nr. 575/2013, skal institutter til informationsformål også indberette den relevante indikator for aktiviteter, der opgøres efter AMA. Det samme gælder for alle andre banker, der anvender AMA.</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40868929"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I det følgende henviser udtrykket "relevant indikator" til "summen af elementerne" ved udgangen af regnskabsåret som omhandlet i artikel 316, tabel 1, punkt 1, i forordning (EU) nr. 575/2013.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Hvis instituttet har under tre års data vedrørende "den relevante indikator", fordeles de tilgængelige historiske data (reviderede tal) efter prioritet til de tilsvarende kolonner i skemaet. Hvis der f.eks. kun foreligger historiske data for et år, indberettes de i kolonne 0030. Hvis det forekommer rimeligt, anføres de fremadrettede estimater i kolonne 0020 (estimat for næste år) og kolonne 0010 (estimat for år +2).</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Hvis der ikke foreligger historiske data vedrørende "den relevante indikator", kan instituttet endvidere anvende fremadrettede estimater.</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0040-0060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LÅN OG FORSKUD (VED ANVENDELSE AF ASA)</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250CDA9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 disse kolonner indberettes størrelsen af lån og forskud som omhandlet i artikel 319, stk. 1, litra b), i forordning (EU) nr. 575/2013 for forretningsområderne "detailbankydelser" og "forretningsbankydelser". Disse beløb bruges til at beregne den alternative relevante indikator, der resulterer i de kapitalgrundlagskrav, som svarer til de aktiviteter, der er omfattet af den alternative standardmetode (artikel 319, stk. 1, litra a), i forordning (EU) nr. 575/2013).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Hvad angår "forretningsbankydelser", medtages værdipapirer, der ikke indgår i handelsbeholdningen.</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KAPITALGRUNDLAGSKRAV</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2A677E"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Kapitalgrundlagskravet beregnes ved hjælp af de anvendte metoder og i overensstemmelse med artikel 312-324 i forordning (EU) nr. 575/2013. Det fremkomne beløb indberettes i kolonne 0070:</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SAMLET RISIKOEKSPONERING FOR OPERATIONELLE RISICI</w:t>
            </w:r>
          </w:p>
          <w:p w14:paraId="46354D72" w14:textId="6A57B78F" w:rsidR="00454CFC" w:rsidRPr="002A677E" w:rsidRDefault="00AC6255" w:rsidP="0002267E">
            <w:pPr>
              <w:rPr>
                <w:rFonts w:ascii="Times New Roman" w:hAnsi="Times New Roman"/>
                <w:sz w:val="24"/>
              </w:rPr>
            </w:pPr>
            <w:r>
              <w:rPr>
                <w:rFonts w:ascii="Times New Roman" w:hAnsi="Times New Roman"/>
                <w:sz w:val="24"/>
              </w:rPr>
              <w:t>Artikel 92, stk. 4, i forordning (EU) nr. 575/2013</w:t>
            </w:r>
            <w:r>
              <w:t xml:space="preserve"> </w:t>
            </w:r>
          </w:p>
          <w:p w14:paraId="05E8DD64" w14:textId="77777777" w:rsidR="00AC6255" w:rsidRPr="002A677E" w:rsidRDefault="00AC6255" w:rsidP="0002267E">
            <w:pPr>
              <w:rPr>
                <w:rStyle w:val="InstructionsTabelleberschrift"/>
                <w:rFonts w:ascii="Times New Roman" w:hAnsi="Times New Roman"/>
                <w:b w:val="0"/>
                <w:sz w:val="24"/>
              </w:rPr>
            </w:pPr>
            <w:r>
              <w:rPr>
                <w:rFonts w:ascii="Times New Roman" w:hAnsi="Times New Roman"/>
                <w:sz w:val="24"/>
              </w:rPr>
              <w:t>Kapitalgrundlagskravet i kolonne 0070 ganget med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HERAF: SOM FØLGE AF EN FORDELINGSMEKANISME</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596A16CD" w:rsidR="00AC6255" w:rsidRPr="002A677E" w:rsidRDefault="003E7AEC" w:rsidP="000B0B09">
            <w:pPr>
              <w:jc w:val="left"/>
              <w:rPr>
                <w:rFonts w:ascii="Times New Roman" w:hAnsi="Times New Roman"/>
                <w:bCs/>
                <w:sz w:val="24"/>
              </w:rPr>
            </w:pPr>
            <w:r>
              <w:rPr>
                <w:rFonts w:ascii="Times New Roman" w:hAnsi="Times New Roman"/>
                <w:sz w:val="24"/>
              </w:rPr>
              <w:t xml:space="preserve">Hvis der er givet tilladelse til at anvende AMA-metoden på konsolideret niveau (artikel 18, stk. 1, i forordning (EU) nr. 575/2013) i overensstemmelse med artikel 312, stk. 2, i nævnte forordning, fordeles kapital til dækning af den operationelle risiko mellem koncernens forskellige enheder på grundlag af den metode, som institutterne anvender til at indregne virkninger af diversificeringen i det risikomålingssystem, der anvendes af et moderkreditinstitut i EU og dets datterselskaber eller i fællesskab af datterselskaberne af et finansielt moderholdingselskab i EU eller et blandet finansielt moderholdingselskab i EU. Resultatet af den fordeling indberettes i denne kolonne.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0090-0120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AMA: MEMORANDUMPOSTER, DER EVT. SKAL INDBERETTES</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KAPITALGRUNDLAGSKRAV FØR REDUKTION SOM FØLGE AF FORVENTET TAB, DIVERSIFICERING OG RISIKOREDUKTIONSTEKNIKKER</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Det kapitalgrundlagskrav, der indberettes i kolonne 090, er kapitalgrundlagskravet i kolonne 070, men beregnet før indregning af de reducerende virkninger som følge af forventet tab, diversificering og risikoreduktionsteknikker (se nedenfor).</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REDUKTION AF KAPITALGRUNDLAGSKRAV SOM FØLGE AF FORVENTET TAB OPFANGET I FORRETNINGSGANGE</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7F4FB573"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 kolonne 100 indberettes reduktionen af kapitalgrundlagskravet som følge af forventet tab, der opfanges i interne forretningsgange, jf. artikel 322, stk. 2, litra a), i forordning (EU) nr. 575/2013.</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REDUKTION AF KAPITALGRUNDLAGSKRAV SOM FØLGE AF DIVERSIFICERING</w:t>
            </w:r>
          </w:p>
          <w:p w14:paraId="44264EC0" w14:textId="56A72B95" w:rsidR="00AC6255" w:rsidRPr="002A677E" w:rsidRDefault="00AC6255" w:rsidP="000B0B09">
            <w:pPr>
              <w:rPr>
                <w:rFonts w:ascii="Times New Roman" w:hAnsi="Times New Roman"/>
                <w:sz w:val="24"/>
              </w:rPr>
            </w:pPr>
            <w:r>
              <w:rPr>
                <w:rFonts w:ascii="Times New Roman" w:hAnsi="Times New Roman"/>
                <w:sz w:val="24"/>
              </w:rPr>
              <w:t xml:space="preserve">Diversificeringsvirkningen i denne kolonne er forskellen mellem summen af kapitalgrundlagskravene beregnet separat for hver klasse af operationel risiko (dvs. en situation med "perfekt afhængighed") og det diversificerede kapitalgrundlagskrav beregnet ved at indregne korrelationer og afhængighedsforhold (dvs. at mindre end "perfekt afhængighed" mellem risikoklasserne antages). Situationen med "perfekt afhængighed" opstår i "standardtilfældet", dvs. når instituttet ikke </w:t>
            </w:r>
            <w:r>
              <w:rPr>
                <w:rFonts w:ascii="Times New Roman" w:hAnsi="Times New Roman"/>
                <w:sz w:val="24"/>
              </w:rPr>
              <w:lastRenderedPageBreak/>
              <w:t>anvender en udtrykkelig korrelationsstruktur mellem risikoklasserne, således at AMA-kapital beregnes som summen af de individuelle foranstaltninger vedrørende operationel risiko i de valgte risikoklasser. I det tilfælde antages det, at korrelationen mellem risikoklasserne er 100 %, og værdien i kolonnen skal være nul. Hvis instituttet derimod anvender en udtrykkelig korrelationsstruktur mellem risikoklasser, skal det i denne kolonne angive forskellen mellem AMA-kapitalen, som den beregnes i "standardtilfældet", og den AMA-kapital, der fås efter anvendelse af korrelationsstrukturen mellem risikoklasserne. Værdien afspejler AMA-metodens "diversificeringskapacitet", dvs. dens evne til at opfange ikkesamtidige alvorlige hændelser med tab på operationelle risici. I kolonne 110 indberettes det beløb, hvormed den forudsatte korrelationsstruktur reducerer AMA-kapitalen i forhold til den forudsatte korrelation på 100 %.</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REDUKTION AF KAPITALGRUNDLAGSKRAV SOM FØLGE AF RISIKOREDUKTIONSTEKNIKKER (FORSIKRING OG ANDRE RISIKOOVERFØRSELSMEKANISMER)</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6EE79D5D" w:rsidR="00AC6255" w:rsidRPr="002A677E"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I denne kolonne indberettes virkningen af forsikring og andre risikooverførselsmekanismer som omhandlet i artikel 323 i forordning (EU) nr. 575/2013.</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2A677E"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Rækker</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BANKYDELSER OMFATTET AF BASISINDIKATORMETODEN (BIA)</w:t>
            </w:r>
          </w:p>
          <w:p w14:paraId="75BE6738" w14:textId="77777777" w:rsidR="00AC6255" w:rsidRPr="002A677E" w:rsidRDefault="00AC6255" w:rsidP="000B0B09">
            <w:pPr>
              <w:pStyle w:val="PlainText"/>
              <w:jc w:val="both"/>
              <w:rPr>
                <w:rFonts w:ascii="Times New Roman" w:eastAsia="Times New Roman" w:hAnsi="Times New Roman"/>
                <w:sz w:val="24"/>
                <w:szCs w:val="24"/>
                <w:lang w:val="en-GB" w:eastAsia="de-DE"/>
              </w:rPr>
            </w:pPr>
          </w:p>
          <w:p w14:paraId="248AD013" w14:textId="468CEE6C" w:rsidR="00AC6255" w:rsidRPr="002A677E" w:rsidRDefault="00AC6255" w:rsidP="000B0B09">
            <w:pPr>
              <w:pStyle w:val="PlainText"/>
              <w:jc w:val="both"/>
              <w:rPr>
                <w:rFonts w:ascii="Times New Roman" w:eastAsia="Times New Roman" w:hAnsi="Times New Roman"/>
                <w:sz w:val="24"/>
                <w:szCs w:val="24"/>
              </w:rPr>
            </w:pPr>
            <w:r>
              <w:rPr>
                <w:rFonts w:ascii="Times New Roman" w:hAnsi="Times New Roman"/>
                <w:sz w:val="24"/>
              </w:rPr>
              <w:t>I denne række præsenteres beløbene for bankydelser, hvor BIA bruges til at beregne kapitalgrundlagskravet for operationel risiko (artikel 315 og 316 i forordning (EU) nr. 575/2013).</w:t>
            </w:r>
          </w:p>
          <w:p w14:paraId="7C5D1EC6" w14:textId="77777777" w:rsidR="00AC6255" w:rsidRPr="002A677E" w:rsidRDefault="00AC6255" w:rsidP="000B0B09">
            <w:pPr>
              <w:pStyle w:val="PlainText"/>
              <w:jc w:val="both"/>
              <w:rPr>
                <w:rFonts w:ascii="Times New Roman" w:eastAsia="Times New Roman" w:hAnsi="Times New Roman"/>
                <w:bCs/>
                <w:sz w:val="24"/>
                <w:szCs w:val="24"/>
                <w:lang w:val="en-GB"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BANKYDELSER OMFATTET AF STANDARDMETODEN (TSA)/DEN ALTERNATIVE STANDARDMETODE (ASA)</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Kapitalgrundlagskravet beregnet i overensstemmelse med TSA og ASA (artikel 317, 318 og 319 i forordning (EU) nr. 575/2013) indberettes.</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0030-0100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OMFATTET AF TSA</w:t>
            </w:r>
          </w:p>
          <w:p w14:paraId="6510A110" w14:textId="27BB61A1" w:rsidR="00AC6255" w:rsidRPr="002A677E" w:rsidRDefault="001C3443" w:rsidP="00FD7CAF">
            <w:pPr>
              <w:autoSpaceDE w:val="0"/>
              <w:autoSpaceDN w:val="0"/>
              <w:adjustRightInd w:val="0"/>
              <w:spacing w:before="0" w:after="0"/>
              <w:jc w:val="left"/>
              <w:rPr>
                <w:rFonts w:ascii="Times New Roman" w:hAnsi="Times New Roman"/>
                <w:bCs/>
                <w:sz w:val="24"/>
              </w:rPr>
            </w:pPr>
            <w:r>
              <w:rPr>
                <w:rFonts w:ascii="Times New Roman" w:hAnsi="Times New Roman"/>
                <w:sz w:val="24"/>
              </w:rPr>
              <w:t>Hvis TSA anvendes, fordeles den relevante indikator for de enkelte år i række 0030 til 0100 mellem de forretningsområder, der er omhandlet i artikel 317, tabel 2, i forordning (EU) nr. 575/2013. Fordelingen af ydelser til forretningsområder skal være i overensstemmelse med principperne i artikel 318 i forordning (EU) nr. 575/2013.</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0110-0120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OMFATTET AF ASA</w:t>
            </w:r>
          </w:p>
          <w:p w14:paraId="16F5DC90" w14:textId="5A9D1828" w:rsidR="00AC6255" w:rsidRPr="002A677E" w:rsidRDefault="00AC6255" w:rsidP="000B0B09">
            <w:pPr>
              <w:rPr>
                <w:rFonts w:ascii="Times New Roman" w:hAnsi="Times New Roman"/>
                <w:sz w:val="24"/>
              </w:rPr>
            </w:pPr>
            <w:r>
              <w:rPr>
                <w:rFonts w:ascii="Times New Roman" w:hAnsi="Times New Roman"/>
                <w:sz w:val="24"/>
              </w:rPr>
              <w:t xml:space="preserve">Institutter, der anvender ASA (artikel 319 i forordning (EU) nr. 575/2013), skal indberette den relevante indikator for de enkelte år for hvert forretningsområde i række 0030 til 0050 samt række 0080 til 0100 og i række 0110 og 0120 for forretningsområderne "forretningsbankydelser" og "detailbankydelser". </w:t>
            </w:r>
          </w:p>
          <w:p w14:paraId="711B3D00" w14:textId="57B498FC" w:rsidR="00AC6255" w:rsidRPr="002A677E"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lastRenderedPageBreak/>
              <w:t>I række 110 og 120 præsenteres beløbet for den</w:t>
            </w:r>
            <w:r>
              <w:rPr>
                <w:rFonts w:ascii="Times New Roman" w:hAnsi="Times New Roman"/>
                <w:sz w:val="24"/>
              </w:rPr>
              <w:t xml:space="preserve"> relevante indikator </w:t>
            </w:r>
            <w:r>
              <w:rPr>
                <w:rStyle w:val="InstructionsTabelleText"/>
                <w:rFonts w:ascii="Times New Roman" w:hAnsi="Times New Roman"/>
                <w:sz w:val="24"/>
              </w:rPr>
              <w:t>for ydelser, der er omfattet af ASA, fordelt på beløbet i forretningsområdet "forretningsbankydelser" og beløbene i forretningsområdet "detailbankydelser" (artikel 319</w:t>
            </w:r>
            <w:r>
              <w:rPr>
                <w:rFonts w:ascii="Times New Roman" w:hAnsi="Times New Roman"/>
                <w:sz w:val="24"/>
              </w:rPr>
              <w:t xml:space="preserve"> i forordning (EU) nr. 575/2013</w:t>
            </w:r>
            <w:r>
              <w:rPr>
                <w:rStyle w:val="InstructionsTabelleText"/>
                <w:rFonts w:ascii="Times New Roman" w:hAnsi="Times New Roman"/>
                <w:sz w:val="24"/>
              </w:rPr>
              <w:t>). Der kan være beløb, som skal indberettes i rækkerne for "forretningsbankydelser" og "detailbankydelser" i TSA (række 0060 og 0070) og i ASA (række 0110 og 0120) (f.eks. hvis et datterselskab anvender TSA, mens moderselskabet anvender ASA).</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BANKYDELSER OMFATTET AF AVANCEREDE MÅLEMETODER (AMA)</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 relevante data for institutter, der anvender AMA (artikel 312, stk. 2, og artikel 321, 322 og 323 i forordning (EU) nr. 575/2013), skal indberettes.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1CB29BE4" w:rsidR="00AC6255" w:rsidRPr="002A677E"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Ved en kombination af de forskellige metoder, jf. artikel 314 i forordning (EU) nr. 575/2013, indberettes der oplysninger om den relevante indikator for ydelser, som opgøres ved hjælp af AMA. Det samme gælder for alle andre banker, der anvender AMA.</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2A677E" w:rsidRDefault="00AC6255" w:rsidP="00AC6255">
      <w:pPr>
        <w:pStyle w:val="PlainText"/>
        <w:jc w:val="both"/>
        <w:rPr>
          <w:rFonts w:ascii="Times New Roman" w:hAnsi="Times New Roman"/>
          <w:sz w:val="24"/>
          <w:szCs w:val="24"/>
          <w:lang w:val="en-GB"/>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119059409"/>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Pr>
          <w:rFonts w:ascii="Times New Roman" w:hAnsi="Times New Roman"/>
          <w:sz w:val="24"/>
          <w:u w:val="none"/>
        </w:rPr>
        <w:t>4.2.</w:t>
      </w:r>
      <w:r>
        <w:tab/>
      </w:r>
      <w:r>
        <w:rPr>
          <w:rFonts w:ascii="Times New Roman" w:hAnsi="Times New Roman"/>
          <w:sz w:val="24"/>
        </w:rPr>
        <w:t>Operationel risiko: Detaljerede oplysninger om tab i det foregående år (OPR DETAILS)</w:t>
      </w:r>
      <w:bookmarkEnd w:id="576"/>
      <w:bookmarkEnd w:id="577"/>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119059410"/>
      <w:r>
        <w:rPr>
          <w:rFonts w:ascii="Times New Roman" w:hAnsi="Times New Roman"/>
          <w:sz w:val="24"/>
          <w:u w:val="none"/>
        </w:rPr>
        <w:t>4.2.1.</w:t>
      </w:r>
      <w:r>
        <w:tab/>
      </w:r>
      <w:r>
        <w:rPr>
          <w:rFonts w:ascii="Times New Roman" w:hAnsi="Times New Roman"/>
          <w:sz w:val="24"/>
        </w:rPr>
        <w:t>Generelle bemærkninger</w:t>
      </w:r>
      <w:bookmarkEnd w:id="578"/>
      <w:bookmarkEnd w:id="579"/>
    </w:p>
    <w:p w14:paraId="2C97A2C8" w14:textId="77777777" w:rsidR="00FD54FC" w:rsidRPr="002A677E" w:rsidRDefault="008F3052" w:rsidP="00487A02">
      <w:pPr>
        <w:pStyle w:val="InstructionsText2"/>
        <w:numPr>
          <w:ilvl w:val="0"/>
          <w:numId w:val="0"/>
        </w:numPr>
        <w:ind w:left="1353" w:hanging="360"/>
      </w:pPr>
      <w:fldSimple w:instr=" seq paragraphs ">
        <w:r>
          <w:t>142</w:t>
        </w:r>
      </w:fldSimple>
      <w:r>
        <w:t>.</w:t>
      </w:r>
      <w:r>
        <w:tab/>
        <w:t xml:space="preserve"> Skema C 17.01 (OPR DETAILS 1) opsummerer oplysningerne om et instituts bruttotab og tabsgodtgørelser i det foregående år fordelt efter hændelsestype og forretningsområde. Skema C 17.02 (OPR DETAILS 2) indeholder detaljerede oplysninger om de største tabshændelser i det seneste år. </w:t>
      </w:r>
    </w:p>
    <w:p w14:paraId="504CA18E" w14:textId="77777777" w:rsidR="00FD54FC" w:rsidRPr="002A677E" w:rsidRDefault="008F3052" w:rsidP="00487A02">
      <w:pPr>
        <w:pStyle w:val="InstructionsText2"/>
        <w:numPr>
          <w:ilvl w:val="0"/>
          <w:numId w:val="0"/>
        </w:numPr>
        <w:ind w:left="1353" w:hanging="360"/>
      </w:pPr>
      <w:fldSimple w:instr=" seq paragraphs ">
        <w:r>
          <w:t>143</w:t>
        </w:r>
      </w:fldSimple>
      <w:r>
        <w:t>. Der tages ikke hensyn til tab som følge af operationel risiko, som er forbundet med kreditrisiko og er omfattet af kapitalgrundlagskrav vedrørende kreditrisiko (kreditrelaterede operationelle risikobegivenheder), i hverken skema C 17.01 eller C 17.02.</w:t>
      </w:r>
    </w:p>
    <w:p w14:paraId="26DEA8B1" w14:textId="7E7524B0" w:rsidR="00FD54FC" w:rsidRPr="002A677E" w:rsidRDefault="008F3052" w:rsidP="00487A02">
      <w:pPr>
        <w:pStyle w:val="InstructionsText2"/>
        <w:numPr>
          <w:ilvl w:val="0"/>
          <w:numId w:val="0"/>
        </w:numPr>
        <w:ind w:left="1353" w:hanging="360"/>
      </w:pPr>
      <w:fldSimple w:instr=" seq paragraphs ">
        <w:r>
          <w:t>144</w:t>
        </w:r>
      </w:fldSimple>
      <w:r>
        <w:t>. Hvis der anvendes en kombination af forskellige metoder til at beregne kapitalgrundlagskrav vedrørende operationel risiko i overensstemmelse med artikel 314 i forordning (EU) nr. 575/2013, indberettes oplysninger om institutters tab og godtgørelser i skema C 17.01 og C 17.02, uanset hvilken metode der anvendes til at beregne kapitalgrundlagskrav.</w:t>
      </w:r>
    </w:p>
    <w:p w14:paraId="46FA5B8D" w14:textId="65FFCDDD" w:rsidR="00FD54FC" w:rsidRPr="002A677E" w:rsidRDefault="008F3052" w:rsidP="00487A02">
      <w:pPr>
        <w:pStyle w:val="InstructionsText2"/>
        <w:numPr>
          <w:ilvl w:val="0"/>
          <w:numId w:val="0"/>
        </w:numPr>
        <w:ind w:left="1353" w:hanging="360"/>
      </w:pPr>
      <w:fldSimple w:instr=" seq paragraphs ">
        <w:r>
          <w:t>145</w:t>
        </w:r>
      </w:fldSimple>
      <w:r>
        <w:t xml:space="preserve">. Ved "bruttotab" forstås et tab - som omhandlet i artikel 322, stk. 3, litra b), i forordning (EU) nr. 575/2013 - i forbindelse med en operationel risikobegivenhed eller type tabshændelse før godtgørelser af nogen art, jf. dog "hurtigt godtgjorte tabshændelser" som defineret nedenfor. </w:t>
      </w:r>
    </w:p>
    <w:p w14:paraId="0D97147B" w14:textId="77777777" w:rsidR="00FD54FC" w:rsidRPr="002A677E" w:rsidRDefault="008F3052" w:rsidP="00487A02">
      <w:pPr>
        <w:pStyle w:val="InstructionsText2"/>
        <w:numPr>
          <w:ilvl w:val="0"/>
          <w:numId w:val="0"/>
        </w:numPr>
        <w:ind w:left="1353" w:hanging="360"/>
      </w:pPr>
      <w:fldSimple w:instr=" seq paragraphs ">
        <w:r>
          <w:t>146</w:t>
        </w:r>
      </w:fldSimple>
      <w:r>
        <w:t>. Ved "godtgørelse" forstås en uafhængig hændelse i tilknytning til det oprindelige tab i forbindelse med operationel risiko, som er tidsmæssigt adskilt, og i hvilken midler eller tilgang af økonomiske fordele modtages fra første- eller tredje</w:t>
      </w:r>
      <w:r>
        <w:lastRenderedPageBreak/>
        <w:t>part, f.eks. forsikringsselskaber eller andre parter. Godtgørelse inddeles i godtgørelse fra forsikring og andre risikooverførselsmekanismer og direkte godtgørelser.</w:t>
      </w:r>
    </w:p>
    <w:p w14:paraId="77F96781" w14:textId="77777777" w:rsidR="00FD54FC" w:rsidRPr="002A677E" w:rsidRDefault="008F3052" w:rsidP="00487A02">
      <w:pPr>
        <w:pStyle w:val="InstructionsText2"/>
        <w:numPr>
          <w:ilvl w:val="0"/>
          <w:numId w:val="0"/>
        </w:numPr>
        <w:ind w:left="1353" w:hanging="360"/>
      </w:pPr>
      <w:fldSimple w:instr=" seq paragraphs ">
        <w:r>
          <w:t>147</w:t>
        </w:r>
      </w:fldSimple>
      <w:r>
        <w:t>.</w:t>
      </w:r>
      <w:r>
        <w:tab/>
        <w:t xml:space="preserve"> Ved "hurtigt godtgjorte tabshændelser" forstås tabshændelser i forbindelse med operationel risiko, der har medført tab, som helt eller delvis er godtgjort inden for fem arbejdsdage. Hvis der er tale om en hurtigt godtgjort tabshændelse, indgår kun den del af tabet, der ikke godtgøres fuldt ud (dvs. tabet efter den delvise hurtige godtgørelse) i bruttotabet. Følgelig indgår tabshændelser, der har medført tab, som godtgøres fuldt ud inden for fem arbejdsdage, ikke i bruttotabet og heller ikke i indberetningen vedrørende OPR DETAILS.</w:t>
      </w:r>
    </w:p>
    <w:p w14:paraId="3604C23D" w14:textId="77777777" w:rsidR="00FD54FC" w:rsidRPr="002A677E" w:rsidRDefault="008F3052" w:rsidP="00487A02">
      <w:pPr>
        <w:pStyle w:val="InstructionsText2"/>
        <w:numPr>
          <w:ilvl w:val="0"/>
          <w:numId w:val="0"/>
        </w:numPr>
        <w:ind w:left="1353" w:hanging="360"/>
      </w:pPr>
      <w:fldSimple w:instr=" seq paragraphs ">
        <w:r>
          <w:t>148</w:t>
        </w:r>
      </w:fldSimple>
      <w:r>
        <w:t>.</w:t>
      </w:r>
      <w:r>
        <w:tab/>
        <w:t xml:space="preserve"> Ved "bogføringsdato" forstås den dato, hvor et tab eller en reserve/hensættelse første gang indgik i resultatopgørelsen vedrørende et tab på en operationel risiko. Denne dato ligger logisk set efter "hændelsesdatoen" (dvs. den dato, hvor den operationelle risikobegivenhed fandt sted eller først begyndte) og "konstateringsdatoen" (dvs. den dato, hvor instituttet blev opmærksom på den operationelle risikobegivenhed). </w:t>
      </w:r>
    </w:p>
    <w:p w14:paraId="6F9C7A18" w14:textId="77777777" w:rsidR="00FD54FC" w:rsidRPr="002A677E" w:rsidRDefault="008F3052" w:rsidP="00487A02">
      <w:pPr>
        <w:pStyle w:val="InstructionsText2"/>
        <w:numPr>
          <w:ilvl w:val="0"/>
          <w:numId w:val="0"/>
        </w:numPr>
        <w:ind w:left="1353" w:hanging="360"/>
      </w:pPr>
      <w:fldSimple w:instr=" seq paragraphs ">
        <w:r>
          <w:t>149</w:t>
        </w:r>
      </w:fldSimple>
      <w:r>
        <w:t>.</w:t>
      </w:r>
      <w:r>
        <w:tab/>
        <w:t xml:space="preserve"> Tab forårsaget af en fælles operationel risikobegivenhed eller af flere hændelser, der er forbundet med en oprindelig operationel risikobegivenhed, der genererer hændelser eller tab ("grundhændelse"), grupperes. De grupperede hændelser anses for og indberettes som én hændelse, og de sammenlagte relaterede bruttotab henholdsvis tabsjusteringer lægges sammen.</w:t>
      </w:r>
    </w:p>
    <w:p w14:paraId="6104E60D" w14:textId="77777777" w:rsidR="00FD54FC" w:rsidRPr="002A677E" w:rsidRDefault="008F3052" w:rsidP="00487A02">
      <w:pPr>
        <w:pStyle w:val="InstructionsText2"/>
        <w:numPr>
          <w:ilvl w:val="0"/>
          <w:numId w:val="0"/>
        </w:numPr>
        <w:ind w:left="1353" w:hanging="360"/>
      </w:pPr>
      <w:fldSimple w:instr=" seq paragraphs ">
        <w:r>
          <w:t>150</w:t>
        </w:r>
      </w:fldSimple>
      <w:r>
        <w:t>.</w:t>
      </w:r>
      <w:r>
        <w:tab/>
        <w:t xml:space="preserve"> De tal, der indberettes i juni i det respektive år, er midlertidige tal, mens de endelige tal indberettes i december. Derfor har tallene i juni en seksmåneders referenceperiode (dvs. fra den 1. januar til den 30. juni i kalenderåret), mens tallene i december har en tolvmåneders referenceperiode (dvs. fra den 1. januar til den 31. december i kalenderåret). Både for data indberettet i juni og december gælder det, at "tidligere referenceperioder for indberetning" betyder alle referenceperioder for indberetning til og med den, der slutter ved udgangen af det foregående kalenderår.</w:t>
      </w:r>
    </w:p>
    <w:p w14:paraId="13FA59F7" w14:textId="77777777" w:rsidR="00FD54FC" w:rsidRPr="002A677E" w:rsidRDefault="00FD54FC" w:rsidP="00487A02">
      <w:pPr>
        <w:pStyle w:val="InstructionsText2"/>
        <w:numPr>
          <w:ilvl w:val="0"/>
          <w:numId w:val="0"/>
        </w:numPr>
        <w:ind w:left="1353" w:hanging="360"/>
      </w:pP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119059411"/>
      <w:r>
        <w:rPr>
          <w:rFonts w:ascii="Times New Roman" w:hAnsi="Times New Roman"/>
          <w:sz w:val="24"/>
          <w:u w:val="none"/>
        </w:rPr>
        <w:t>4.2.2.</w:t>
      </w:r>
      <w:r>
        <w:tab/>
      </w:r>
      <w:r>
        <w:rPr>
          <w:rFonts w:ascii="Times New Roman" w:hAnsi="Times New Roman"/>
          <w:sz w:val="24"/>
        </w:rPr>
        <w:t>C 17.01: Operationel risiko: tab og godtgørelser efter forretningsområder og typer af tabshændelser i det foregående år (OPR DETAILS 1)</w:t>
      </w:r>
      <w:bookmarkEnd w:id="580"/>
      <w:bookmarkEnd w:id="581"/>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119059412"/>
      <w:r>
        <w:rPr>
          <w:rFonts w:ascii="Times New Roman" w:hAnsi="Times New Roman"/>
          <w:sz w:val="24"/>
          <w:u w:val="none"/>
        </w:rPr>
        <w:t>4.2.2.1.</w:t>
      </w:r>
      <w:r>
        <w:tab/>
      </w:r>
      <w:r>
        <w:rPr>
          <w:rFonts w:ascii="Times New Roman" w:hAnsi="Times New Roman"/>
          <w:sz w:val="24"/>
        </w:rPr>
        <w:t>Generelle bemærkninger</w:t>
      </w:r>
      <w:bookmarkEnd w:id="582"/>
      <w:bookmarkEnd w:id="583"/>
    </w:p>
    <w:p w14:paraId="1B1EFECB" w14:textId="67F9881D" w:rsidR="00FD54FC" w:rsidRPr="002A677E" w:rsidRDefault="008F3052" w:rsidP="00487A02">
      <w:pPr>
        <w:pStyle w:val="InstructionsText2"/>
        <w:numPr>
          <w:ilvl w:val="0"/>
          <w:numId w:val="0"/>
        </w:numPr>
        <w:ind w:left="1353" w:hanging="360"/>
      </w:pPr>
      <w:fldSimple w:instr=" seq paragraphs ">
        <w:r>
          <w:t>151</w:t>
        </w:r>
      </w:fldSimple>
      <w:r>
        <w:t>. I skema C 17.01 præsenteres oplysningerne ved at fordele tabene og godtgørelserne over interne tærskler mellem forretningsområder (som opført i artikel 317, tabel 2, i forordning (EU) nr. 575/2013, herunder det yderligere forretningsområde "virksomhedsposter" nævnt i artikel 322, stk. 3, litra b) i forordning (EU) nr. 575/2013), og tabshændelsestyper (som omhandlet i artikel 324 i forordning (EU) nr. 575/2013). Tab vedrørende én tabshændelse kan fordeles mellem flere forretningsområder.</w:t>
      </w:r>
    </w:p>
    <w:p w14:paraId="0F217350" w14:textId="77777777" w:rsidR="00FD54FC" w:rsidRPr="002A677E" w:rsidRDefault="008F3052" w:rsidP="00487A02">
      <w:pPr>
        <w:pStyle w:val="InstructionsText2"/>
        <w:numPr>
          <w:ilvl w:val="0"/>
          <w:numId w:val="0"/>
        </w:numPr>
        <w:ind w:left="1353" w:hanging="360"/>
      </w:pPr>
      <w:fldSimple w:instr=" seq paragraphs ">
        <w:r>
          <w:t>152</w:t>
        </w:r>
      </w:fldSimple>
      <w:r>
        <w:t xml:space="preserve">. De forskellige tabshændelsestyper og de samlede beløb for hvert forretningsområde præsenteres i kolonnerne sammen med en memorandumpost, der viser </w:t>
      </w:r>
      <w:r>
        <w:lastRenderedPageBreak/>
        <w:t>den laveste interne tærskel, som er anvendt ved indsamling af data om tab, hvorved den laveste og højeste tærskel inden for hvert forretningsområde vises, hvis der er flere tærskler.</w:t>
      </w:r>
    </w:p>
    <w:p w14:paraId="11517512" w14:textId="77777777" w:rsidR="00FD54FC" w:rsidRPr="002A677E" w:rsidRDefault="008F3052" w:rsidP="00487A02">
      <w:pPr>
        <w:pStyle w:val="InstructionsText2"/>
        <w:numPr>
          <w:ilvl w:val="0"/>
          <w:numId w:val="0"/>
        </w:numPr>
        <w:ind w:left="1353" w:hanging="360"/>
      </w:pPr>
      <w:fldSimple w:instr=" seq paragraphs ">
        <w:r>
          <w:t>153</w:t>
        </w:r>
      </w:fldSimple>
      <w:r>
        <w:t>.</w:t>
      </w:r>
      <w:r>
        <w:tab/>
        <w:t xml:space="preserve"> Forretningsområder præsenteres i rækker, og inden for hvert forretningsområde vises der oplysninger om antallet af tabshændelser (nye tabshændelser), bruttotab (nye tabshændelser), antal tabshændelser underlagt tabsjusteringer, tabsjusteringerne vedrørende tidligere indberetningsperioder, største enkelttab, summen af de fem største tab og den samlede tabsgodtgørelse (direkte tabsgodtgørelser samt godtgørelser fra forsikring og andre risikooverførselsmekanismer).</w:t>
      </w:r>
    </w:p>
    <w:p w14:paraId="7D04DF12" w14:textId="77777777" w:rsidR="00FD54FC" w:rsidRPr="002A677E" w:rsidRDefault="008F3052" w:rsidP="00487A02">
      <w:pPr>
        <w:pStyle w:val="InstructionsText2"/>
        <w:numPr>
          <w:ilvl w:val="0"/>
          <w:numId w:val="0"/>
        </w:numPr>
        <w:ind w:left="1353" w:hanging="360"/>
      </w:pPr>
      <w:fldSimple w:instr=" seq paragraphs ">
        <w:r>
          <w:t>154</w:t>
        </w:r>
      </w:fldSimple>
      <w:r>
        <w:t>. For forretningsområder i alt indberettes der også oplysninger om antallet af tabshændelser og bruttotabet for visse intervaller baseret på faste tærskler, dvs. 10 000, 20 000, 100 000 og 1 000 000. Tærsklerne er fastsat i euro og indgår med henblik på sammenligning af institutternes indberettede tab. Disse tærskler stemmer derfor ikke nødvendigvis overens med minimumstærsklerne for registrering af data vedrørende interne tab, der skal indberettes i en anden del af skemaet.</w:t>
      </w: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119059413"/>
      <w:r>
        <w:rPr>
          <w:rFonts w:ascii="Times New Roman" w:hAnsi="Times New Roman"/>
          <w:sz w:val="24"/>
          <w:u w:val="none"/>
        </w:rPr>
        <w:t>4.2.2.2.</w:t>
      </w:r>
      <w:r>
        <w:tab/>
      </w:r>
      <w:r>
        <w:rPr>
          <w:rFonts w:ascii="Times New Roman" w:hAnsi="Times New Roman"/>
          <w:sz w:val="24"/>
        </w:rPr>
        <w:t>Instrukser vedrørende specifikke positioner</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Kolonner</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HÆNDELSESTYPER</w:t>
            </w:r>
          </w:p>
          <w:p w14:paraId="1B7D4744" w14:textId="1960B08B" w:rsidR="00FD54FC" w:rsidRPr="002A677E" w:rsidRDefault="00FD54FC" w:rsidP="00FD54FC">
            <w:pPr>
              <w:rPr>
                <w:rFonts w:ascii="Times New Roman" w:hAnsi="Times New Roman"/>
                <w:sz w:val="24"/>
              </w:rPr>
            </w:pPr>
            <w:r>
              <w:rPr>
                <w:rFonts w:ascii="Times New Roman" w:hAnsi="Times New Roman"/>
                <w:sz w:val="24"/>
              </w:rPr>
              <w:t xml:space="preserve">Institutterne skal indberette tabene i kolonne 0010-0070 fordelt efter tabshændelsestype som omhandlet i artikel 324 i forordning (EU) nr. 575/2013. </w:t>
            </w:r>
          </w:p>
          <w:p w14:paraId="3023C2E3" w14:textId="77777777" w:rsidR="00FD54FC" w:rsidRPr="002A677E" w:rsidRDefault="00FD54FC" w:rsidP="00871877">
            <w:pPr>
              <w:rPr>
                <w:rFonts w:ascii="Times New Roman" w:hAnsi="Times New Roman"/>
                <w:bCs/>
                <w:sz w:val="24"/>
              </w:rPr>
            </w:pPr>
            <w:r>
              <w:rPr>
                <w:rFonts w:ascii="Times New Roman" w:hAnsi="Times New Roman"/>
                <w:sz w:val="24"/>
              </w:rPr>
              <w:t>Institutter, der beregner deres kapitalgrundlagskrav efter BIA, kan kun indberette tab, for hvilke tabshændelsestypen ikke er identificeret, i kolonne 080.</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TABSHÆNDELSESTYPER I ALT</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I kolonne 0080 og for hvert forretningsområde indberetter institutterne det samlede "antal tabshændelser (nye tabshændelser)", det samlede "bruttotab (nye tabshændelser)", det samlede "antal tabshændelser underlagt tabsjusteringer", de samlede "tabsjusteringer vedrørende tidligere indberetningsperioder", det "største enkelttab", "summen af de fem største tab", den "samlede direkte tabsgodtgørelse" samt "samlet godtgørelse fra forsikring og andre risikooverførselsmekanismer".</w:t>
            </w:r>
          </w:p>
          <w:p w14:paraId="435DA6FC" w14:textId="77777777"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Forudsat at instituttet har identificeret tabshændelsestyperne for alle tab, viser kolonne 080 den simple aggregering af antallet af tabshændelser, det samlede bruttotab, de samlede tabsgodtgørelser og "tabsjusteringerne vedrørende tidligere indberetningsperioder", som indberettes i kolonne 0010-0070.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Det "største enkelttab", der indberettes i kolonne 0080, er det største enkelttab inden for et forretningsområde og er lig med det største af de "største enkelttab", der indberettes i kolonne 0010-0070, forudsat at instituttet har identificeret tabshændelsestyperne for alle tab.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For summen af de fem største tab i kolonne 0080 indberettes summen af de fem største tab inden for ét forretningsområde.</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MEMORANDUMPOST: TÆRSKEL ANVENDT VED DATAINDSAMLING</w:t>
            </w:r>
          </w:p>
          <w:p w14:paraId="6C9949A4" w14:textId="658AADF5"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lastRenderedPageBreak/>
              <w:t>I kolonne 0090 og 0100 skal institutter indberette deres minimumstærskler for registrering af data vedrørende interne tab i overensstemmelse med artikel 322, stk. 3, litra c), sidste punktum, i forordning (EU) nr. 575/2013.</w:t>
            </w:r>
            <w:r>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Hvis instituttet kun anvender én tærskel inden for hvert forretningsområde, skal kun kolonne 0090 udfyldes. </w:t>
            </w:r>
          </w:p>
          <w:p w14:paraId="70501482" w14:textId="77777777"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Hvis det anvender forskellige tærskler inden for samme forretningsområde, udfyldes også den højeste tærskel (kolonne 0100).</w:t>
            </w:r>
          </w:p>
        </w:tc>
      </w:tr>
    </w:tbl>
    <w:p w14:paraId="7D438528" w14:textId="77777777" w:rsidR="00FD54FC" w:rsidRPr="002A677E"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Rækker</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FORRETNINGSOMRÅDER: VIRKSOMHEDSFINANSIERING, HANDEL OG SALG, BØRSMÆGLERVIRKSOMHED PÅ DETAILMARKEDET, FORRETNINGSBANKYDELSER, DETAILBANKYDELSER, BETALING OG AFVIKLING, TJENESTEYDELSER I AFDELINGER, PORTEFØLJEADMINISTRATION, VIRKSOMHEDSPOSTER</w:t>
            </w:r>
          </w:p>
          <w:p w14:paraId="4ABD41A7" w14:textId="6AE7A7EF" w:rsidR="00FD54FC" w:rsidRPr="002A677E" w:rsidRDefault="00FD54FC" w:rsidP="00FD54FC">
            <w:pPr>
              <w:pStyle w:val="PlainText"/>
              <w:jc w:val="both"/>
              <w:rPr>
                <w:rFonts w:ascii="Times New Roman" w:hAnsi="Times New Roman"/>
                <w:sz w:val="24"/>
                <w:szCs w:val="24"/>
              </w:rPr>
            </w:pPr>
            <w:r>
              <w:rPr>
                <w:rFonts w:ascii="Times New Roman" w:hAnsi="Times New Roman"/>
                <w:sz w:val="24"/>
              </w:rPr>
              <w:t>For hvert forretningsområde nævnt i artikel 317, stk. 4, tabel 2, i forordning (EU) nr. 575/2013, herunder det yderligere forretningsområde "virksomhedsposter" nævnt i artikel 322, stk. 3, litra b), i nævnte forordning, og for hver tabshændelsestype skal instituttet indberette følgende oplysninger i overensstemmelse med de interne tærskler: antal tabshændelser (nye tabshændelser), bruttotab (nye tabshændelser), antal tabshændelser underlagt tabsjusteringer, tabsjusteringer vedrørende tidligere indberetningsperioder, største enkelttab, summen af de fem største tab, samlet direkte tabsgodtgørelse samt samlet godtgørelse fra forsikring og andre risikooverførselsmekanismer.</w:t>
            </w:r>
          </w:p>
          <w:p w14:paraId="598C709E" w14:textId="77777777" w:rsidR="00FD54FC" w:rsidRPr="002A677E" w:rsidRDefault="00FD54FC" w:rsidP="00FD54FC">
            <w:pPr>
              <w:rPr>
                <w:rFonts w:ascii="Times New Roman" w:hAnsi="Times New Roman"/>
                <w:sz w:val="24"/>
              </w:rPr>
            </w:pPr>
            <w:r>
              <w:rPr>
                <w:rFonts w:ascii="Times New Roman" w:hAnsi="Times New Roman"/>
                <w:sz w:val="24"/>
              </w:rPr>
              <w:t>For en tabshændelse, der berører mere end ét forretningsområde, fordeles "bruttotab" mellem alle de berørte forretningsområder.</w:t>
            </w:r>
          </w:p>
          <w:p w14:paraId="7BC94C24" w14:textId="77777777" w:rsidR="00FD54FC" w:rsidRPr="002A677E" w:rsidRDefault="00FD54FC" w:rsidP="00FD54FC">
            <w:pPr>
              <w:rPr>
                <w:rFonts w:ascii="Times New Roman" w:hAnsi="Times New Roman"/>
                <w:bCs/>
                <w:sz w:val="24"/>
              </w:rPr>
            </w:pPr>
            <w:r>
              <w:rPr>
                <w:rFonts w:ascii="Times New Roman" w:hAnsi="Times New Roman"/>
                <w:sz w:val="24"/>
              </w:rPr>
              <w:t>Institutter, der beregner deres kapitalgrundlagskrav efter BIA, kan kun indberette tab, for hvilke hændelsestypen ikke er identificeret, i række 0910-0980.</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Antal tabshændelser (nye tabshændelser)</w:t>
            </w:r>
          </w:p>
          <w:p w14:paraId="0A87F437" w14:textId="77777777" w:rsidR="00FD54FC" w:rsidRPr="002A677E" w:rsidRDefault="00FD54FC" w:rsidP="00FD54FC">
            <w:pPr>
              <w:rPr>
                <w:rFonts w:ascii="Times New Roman" w:hAnsi="Times New Roman"/>
                <w:sz w:val="24"/>
              </w:rPr>
            </w:pPr>
            <w:r>
              <w:rPr>
                <w:rFonts w:ascii="Times New Roman" w:hAnsi="Times New Roman"/>
                <w:sz w:val="24"/>
              </w:rPr>
              <w:t>Antal tabshændelser er antallet af tabshændelser, for hvilke bruttotab blev indregnet i løbet af referenceperioden for indberetning.</w:t>
            </w:r>
          </w:p>
          <w:p w14:paraId="1CB08978" w14:textId="77777777" w:rsidR="00FD54FC" w:rsidRPr="002A677E" w:rsidRDefault="00FD54FC" w:rsidP="00FD54FC">
            <w:pPr>
              <w:rPr>
                <w:rFonts w:ascii="Times New Roman" w:hAnsi="Times New Roman"/>
                <w:sz w:val="24"/>
              </w:rPr>
            </w:pPr>
            <w:r>
              <w:rPr>
                <w:rFonts w:ascii="Times New Roman" w:hAnsi="Times New Roman"/>
                <w:sz w:val="24"/>
              </w:rPr>
              <w:t>Antallet af tabshændelser vedrører "nye hændelser", dvs. operationelle risikobegivenheder</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"der er indregnet for første gang" i løbet af referenceperioden for indberetning, eller</w:t>
            </w:r>
          </w:p>
          <w:p w14:paraId="1A1A183C"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"der er indregnet for første gang" i løbet af en tidligere referenceperiode for indberetning, hvis tabshændelsen ikke var medtaget i nogen tidligere indberetning, f.eks. fordi den først blev identificeret som en hændelse med tab på operationelle risici i den indeværende referenceperiode for indberetning, eller fordi det akkumulerede tab, der kan henføres til tabshændelsen (dvs. det oprindelige tab plus/minus alle tabsjusteringer, der blev foretaget i de foregående referenceperioder for indberetning) først overskred den interne minimumstærskel for registrering af data i den indeværende referenceperiode for indberetning.</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lastRenderedPageBreak/>
              <w:t>"Nye tabshændelser" omfatter ikke tabshændelser, "der er indregnet for første gang" i løbet af en tidligere referenceperiode for indberetning, og som allerede var medtaget i tidligere indberetninger.</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lastRenderedPageBreak/>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Bruttotab (nye tabshændelser)</w:t>
            </w:r>
          </w:p>
          <w:p w14:paraId="2E85E133" w14:textId="76506552" w:rsidR="00FD54FC" w:rsidRPr="002A677E" w:rsidRDefault="00FD54FC" w:rsidP="00FD54FC">
            <w:pPr>
              <w:rPr>
                <w:rFonts w:ascii="Times New Roman" w:hAnsi="Times New Roman"/>
                <w:sz w:val="24"/>
              </w:rPr>
            </w:pPr>
            <w:r>
              <w:rPr>
                <w:rFonts w:ascii="Times New Roman" w:hAnsi="Times New Roman"/>
                <w:sz w:val="24"/>
              </w:rPr>
              <w:t>Værdien for bruttotab er bruttotabet i forbindelse med hændelser med tab på operationelle risici (f.eks. direkte omkostninger, hensættelser, forligsomkostninger). Alle tab, der vedrører en enkelt tabshændelse, og som er indregnet i løbet af referenceperioden for indberetning, summeres og anses for at være bruttotabet for den pågældende tabshændelse for den pågældende referenceperiode for indberetning.</w:t>
            </w:r>
          </w:p>
          <w:p w14:paraId="611D2B8E" w14:textId="77777777" w:rsidR="00FD54FC" w:rsidRPr="002A677E" w:rsidRDefault="00FD54FC" w:rsidP="00FD54FC">
            <w:pPr>
              <w:rPr>
                <w:rFonts w:ascii="Times New Roman" w:hAnsi="Times New Roman"/>
                <w:sz w:val="24"/>
              </w:rPr>
            </w:pPr>
            <w:r>
              <w:rPr>
                <w:rFonts w:ascii="Times New Roman" w:hAnsi="Times New Roman"/>
                <w:sz w:val="24"/>
              </w:rPr>
              <w:t>Det indberettede bruttotab vedrører "nye tabshændelser" som anført i rækken ovenfor i denne tabel. For tabshændelser, "der er indregnet for første gang" i løbet af en tidligere referenceperiode for indberetning, og som ikke var taget med i nogen tidligere indberetning, skal det samlede tab, som er akkumuleret frem til referencedatoen for indberetning (dvs. det oprindelige tab plus/minus alle tabsjusteringer, der er foretaget i tidligere referenceperioder for indberetning), indberettes som bruttotabet pr. referencedatoen for indberetning.</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De beløb, der skal indberettes, tager ikke højde for opnåede godtgørelser.</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t>0030, 0130, 0230, 0330, 0430, 0530, 0630, 0730, 0830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Antal tabshændelser underlagt tabsjusteringer</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Antallet af tabshændelser underlagt tabsjusteringer er antallet af hændelser med tab på operationelle risici, "der er indregnet for første gang" i tidligere referenceperioder for indberetning og allerede medtaget i tidligere indberetninger, for hvilke der blev foretaget tabsjusteringer i løbet af den indeværende referenceperiode for indberetning. </w:t>
            </w:r>
          </w:p>
          <w:p w14:paraId="35A5D3D6" w14:textId="77777777" w:rsidR="00FD54FC" w:rsidRPr="002A677E" w:rsidRDefault="001F6487" w:rsidP="005F1EB8">
            <w:pPr>
              <w:rPr>
                <w:b/>
                <w:sz w:val="24"/>
              </w:rPr>
            </w:pPr>
            <w:r>
              <w:rPr>
                <w:rFonts w:ascii="Times New Roman" w:hAnsi="Times New Roman"/>
                <w:sz w:val="24"/>
              </w:rPr>
              <w:t>Hvis der blev foretaget mere end en tabsjustering for en tabshændelse i løbet af referenceperioden for indberetning, regnes summen af disse tabsjusteringer som én justering i perioden.</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Tabsjusteringer vedrørende tidligere indberetningsperioder</w:t>
            </w:r>
          </w:p>
          <w:p w14:paraId="13788219" w14:textId="77777777" w:rsidR="00FD54FC" w:rsidRPr="002A677E" w:rsidRDefault="00FD54FC" w:rsidP="00FD54FC">
            <w:pPr>
              <w:rPr>
                <w:rFonts w:ascii="Times New Roman" w:hAnsi="Times New Roman"/>
                <w:sz w:val="24"/>
              </w:rPr>
            </w:pPr>
            <w:r>
              <w:rPr>
                <w:rFonts w:ascii="Times New Roman" w:hAnsi="Times New Roman"/>
                <w:sz w:val="24"/>
              </w:rPr>
              <w:t>Tabsjusteringer vedrørende tidligere indberetningsperioder er summen af følgende elementer (positive eller negative):</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bruttotabet i forbindelse med positive tabsjusteringer, der er foretaget i referenceperioden for indberetning (f.eks. øgede hensættelser, tilknyttede tabshændelser, yderligere forligsomkostninger) vedrørende operationelle risikobegivenheder, "der er indregnet for første gang" og indberettet i tidligere referenceperioder for indberetning</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bruttotabet i forbindelse med negative tabsjusteringer, der er foretaget i referenceperioden for indberetning (f.eks. som følge af nedsatte hensættelser) vedrørende hændelser med tab på operationelle risici, "der er indregnet for første gang" og indberettet i tidligere referenceperioder for indberetning. </w:t>
            </w:r>
          </w:p>
          <w:p w14:paraId="6796D1A0" w14:textId="77777777" w:rsidR="00FD54FC" w:rsidRPr="002A677E" w:rsidRDefault="001F6487" w:rsidP="00FD54FC">
            <w:pPr>
              <w:rPr>
                <w:rFonts w:ascii="Times New Roman" w:hAnsi="Times New Roman"/>
                <w:sz w:val="24"/>
              </w:rPr>
            </w:pPr>
            <w:r>
              <w:rPr>
                <w:rFonts w:ascii="Times New Roman" w:hAnsi="Times New Roman"/>
                <w:sz w:val="24"/>
              </w:rPr>
              <w:t>Hvis der blev foretaget mere end en tabsjustering for en tabshændelse i løbet af referenceperioden for indberetning, summeres beløbene for alle tabsjusteringerne, idet der tages hensyn til justeringernes fortegn (positivt, negativt). Den sum anses for at være tabsjusteringen for den pågældende tabshændelse for den pågældende referenceperiode for indberetning.</w:t>
            </w:r>
          </w:p>
          <w:p w14:paraId="1FF4DC2A" w14:textId="77777777" w:rsidR="00FD54FC" w:rsidRPr="002A677E" w:rsidRDefault="001F6487" w:rsidP="00FD54FC">
            <w:pPr>
              <w:rPr>
                <w:rFonts w:ascii="Times New Roman" w:hAnsi="Times New Roman"/>
                <w:sz w:val="24"/>
              </w:rPr>
            </w:pPr>
            <w:r>
              <w:rPr>
                <w:rFonts w:ascii="Times New Roman" w:hAnsi="Times New Roman"/>
                <w:sz w:val="24"/>
              </w:rPr>
              <w:lastRenderedPageBreak/>
              <w:t>Hvis det justerede tabsbeløb, der kan henføres til en tabshændelse, som følge af en negativ tabsjustering falder under instituttets interne minimumstærskel for registrering af data, skal instituttet indberette det samlede tab for den pågældende tabshændelse, som er akkumuleret indtil den seneste gang, hændelsen blev indberettet for en referencedato i december (dvs. det oprindelige tab plus/minus alle tabsjusteringer, som er foretaget i tidligere referenceperioder for indberetning), med et negativt tegn i stedet for beløbet for selve den negative tabsjustering.</w:t>
            </w:r>
          </w:p>
          <w:p w14:paraId="0FAF0676" w14:textId="77777777" w:rsidR="00FD54FC" w:rsidRPr="002A677E" w:rsidRDefault="00FD54FC" w:rsidP="00EB62C2">
            <w:pPr>
              <w:rPr>
                <w:b/>
                <w:sz w:val="24"/>
              </w:rPr>
            </w:pPr>
            <w:r>
              <w:rPr>
                <w:rFonts w:ascii="Times New Roman" w:hAnsi="Times New Roman"/>
                <w:sz w:val="24"/>
              </w:rPr>
              <w:t>De beløb, der skal indberettes, tager ikke højde for opnåede godtgørelser.</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Største enkelttab</w:t>
            </w:r>
          </w:p>
          <w:p w14:paraId="388ADCDC" w14:textId="77777777" w:rsidR="00FD54FC" w:rsidRPr="002A677E" w:rsidRDefault="00FD54FC" w:rsidP="00FD54FC">
            <w:pPr>
              <w:rPr>
                <w:rFonts w:ascii="Times New Roman" w:hAnsi="Times New Roman"/>
                <w:sz w:val="24"/>
              </w:rPr>
            </w:pPr>
            <w:r>
              <w:rPr>
                <w:rFonts w:ascii="Times New Roman" w:hAnsi="Times New Roman"/>
                <w:sz w:val="24"/>
              </w:rPr>
              <w:t>Det største enkelttab er den største værdi af</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det største bruttotab vedrørende en tabshændelse, der blev indberettet for første gang i løbet af referenceperioden for indberetning og</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den største positive tabsjustering (som omhandlet i række 0040, 0140, …, 0840 ovenfor) vedrørende en tabshændelse, der blev indberettet for første gang i løbet af en tidligere referenceperiode for indberetning.</w:t>
            </w:r>
          </w:p>
          <w:p w14:paraId="1AFA00C9" w14:textId="77777777" w:rsidR="00FD54FC" w:rsidRPr="002A677E" w:rsidRDefault="00FD54FC" w:rsidP="00F52FC6">
            <w:pPr>
              <w:rPr>
                <w:sz w:val="24"/>
              </w:rPr>
            </w:pPr>
            <w:r>
              <w:rPr>
                <w:rFonts w:ascii="Times New Roman" w:hAnsi="Times New Roman"/>
                <w:sz w:val="24"/>
              </w:rPr>
              <w:t>De beløb, der skal indberettes, tager ikke højde for opnåede godtgørelser.</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Summen af de fem største tab</w:t>
            </w:r>
          </w:p>
          <w:p w14:paraId="3D9655C2" w14:textId="77777777" w:rsidR="00FD54FC" w:rsidRPr="002A677E" w:rsidRDefault="00FD54FC" w:rsidP="00FD54FC">
            <w:pPr>
              <w:rPr>
                <w:rFonts w:ascii="Times New Roman" w:hAnsi="Times New Roman"/>
                <w:sz w:val="24"/>
              </w:rPr>
            </w:pPr>
            <w:r>
              <w:rPr>
                <w:rFonts w:ascii="Times New Roman" w:hAnsi="Times New Roman"/>
                <w:sz w:val="24"/>
              </w:rPr>
              <w:t>Summen af de fem største tab er summen af de fem største beløb, der indgår i</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bruttotabene for tabshændelser, der blev indberettet for første gang i løbet af referenceperioden for indberetning og</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de positive tabsjusteringer (som defineret for række 0040, 0140, …, 0840 ovenfor) vedrørende tabshændelser, der blev indberettet for første gang i løbet af en tidligere referenceperiode for indberetning. Det beløb, der kan betragtes som et af de fem største, er selve tabsjusteringen, ikke det samlede tab, der er tilknyttet den respektive tabshændelse før eller efter tabsjusteringen.</w:t>
            </w:r>
          </w:p>
          <w:p w14:paraId="00CACAFA" w14:textId="77777777" w:rsidR="00FD54FC" w:rsidRPr="002A677E" w:rsidRDefault="00FD54FC" w:rsidP="00F52FC6">
            <w:pPr>
              <w:rPr>
                <w:sz w:val="24"/>
              </w:rPr>
            </w:pPr>
            <w:r>
              <w:rPr>
                <w:rFonts w:ascii="Times New Roman" w:hAnsi="Times New Roman"/>
                <w:sz w:val="24"/>
              </w:rPr>
              <w:t>De beløb, der skal indberettes, tager ikke højde for opnåede godtgørelser.</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Samlet direkte tabsgodtgørelse</w:t>
            </w:r>
          </w:p>
          <w:p w14:paraId="0E30E677" w14:textId="054BEE8F" w:rsidR="00FD54FC" w:rsidRPr="002A677E" w:rsidRDefault="00FD54FC" w:rsidP="00FD54FC">
            <w:pPr>
              <w:rPr>
                <w:rFonts w:ascii="Times New Roman" w:hAnsi="Times New Roman"/>
                <w:sz w:val="24"/>
              </w:rPr>
            </w:pPr>
            <w:r>
              <w:rPr>
                <w:rFonts w:ascii="Times New Roman" w:hAnsi="Times New Roman"/>
                <w:sz w:val="24"/>
              </w:rPr>
              <w:t xml:space="preserve">Direkte tabsgodtgørelser er alle opnåede tabsgodtgørelser, bortset fra godtgørelser, der er omfattet af artikel 323 i forordning (EU) nr. 575/2013, som indberettet i rækken nedenfor i denne tabel. </w:t>
            </w:r>
          </w:p>
          <w:p w14:paraId="05060BFF" w14:textId="77777777" w:rsidR="00FD54FC" w:rsidRPr="002A677E" w:rsidRDefault="00FD54FC" w:rsidP="00FD54FC">
            <w:pPr>
              <w:rPr>
                <w:b/>
                <w:sz w:val="24"/>
              </w:rPr>
            </w:pPr>
            <w:r>
              <w:rPr>
                <w:rFonts w:ascii="Times New Roman" w:hAnsi="Times New Roman"/>
                <w:sz w:val="24"/>
              </w:rPr>
              <w:t>Den samlede direkte tabsgodtgørelse er summen af alle direkte godtgørelser og justeringer af direkte godtgørelser, der er indregnet i indberetningsperioden, og som vedrører hændelser med tab på operationelle risici, der er indregnet for første gang i referenceperioden for indberetning eller i tidligere referenceperioder for indberetning.</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 xml:space="preserve">0080, 0180, 0280, 0380, 0480, 0580, </w:t>
            </w:r>
            <w:r>
              <w:rPr>
                <w:rFonts w:ascii="Times New Roman" w:hAnsi="Times New Roman"/>
                <w:sz w:val="24"/>
              </w:rPr>
              <w:lastRenderedPageBreak/>
              <w:t>0680, 0780, 0880</w:t>
            </w:r>
          </w:p>
        </w:tc>
        <w:tc>
          <w:tcPr>
            <w:tcW w:w="8079" w:type="dxa"/>
          </w:tcPr>
          <w:p w14:paraId="0C97482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Samlet godtgørelse fra forsikring og andre risikooverførselsmekanismer</w:t>
            </w:r>
          </w:p>
          <w:p w14:paraId="22B75DB4" w14:textId="4D0B897D" w:rsidR="00FD54FC" w:rsidRPr="002A677E" w:rsidRDefault="00FD54FC" w:rsidP="00FD54FC">
            <w:pPr>
              <w:rPr>
                <w:rFonts w:ascii="Times New Roman" w:hAnsi="Times New Roman"/>
                <w:sz w:val="24"/>
              </w:rPr>
            </w:pPr>
            <w:r>
              <w:rPr>
                <w:rFonts w:ascii="Times New Roman" w:hAnsi="Times New Roman"/>
                <w:sz w:val="24"/>
              </w:rPr>
              <w:t xml:space="preserve">Godtgørelser fra forsikring og andre risikooverførselsmekanismer er godtgørelser, der er omfattet af artikel 323 i forordning (EU) nr. 575/2013. </w:t>
            </w:r>
          </w:p>
          <w:p w14:paraId="6F9286F3" w14:textId="77777777" w:rsidR="00FD54FC" w:rsidRPr="002A677E" w:rsidRDefault="00FD54FC" w:rsidP="00070AF9">
            <w:pPr>
              <w:rPr>
                <w:sz w:val="24"/>
              </w:rPr>
            </w:pPr>
            <w:r>
              <w:rPr>
                <w:rFonts w:ascii="Times New Roman" w:hAnsi="Times New Roman"/>
                <w:sz w:val="24"/>
              </w:rPr>
              <w:t xml:space="preserve">Den samlede godtgørelse fra forsikring og andre risikooverførselsmekanismer er summen af alle godtgørelser fra forsikring og andre risikooverførselsmekanismer </w:t>
            </w:r>
            <w:r>
              <w:rPr>
                <w:rFonts w:ascii="Times New Roman" w:hAnsi="Times New Roman"/>
                <w:sz w:val="24"/>
              </w:rPr>
              <w:lastRenderedPageBreak/>
              <w:t>og justeringer af sådanne godtgørelser, der er indregnet i referenceperioden for indberetning, og som vedrører hændelser med tab på operationelle risici, der er indregnet for første gang i referenceperioden for indberetning eller i tidligere referenceperioder for indberetning.</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lastRenderedPageBreak/>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FORRETNINGSOMRÅDER I ALT</w:t>
            </w:r>
          </w:p>
          <w:p w14:paraId="62DF7EDA" w14:textId="77777777" w:rsidR="00FD54FC" w:rsidRPr="002A677E" w:rsidRDefault="00FD54FC" w:rsidP="00F114E6">
            <w:pPr>
              <w:rPr>
                <w:rFonts w:ascii="Times New Roman" w:hAnsi="Times New Roman"/>
                <w:sz w:val="24"/>
              </w:rPr>
            </w:pPr>
            <w:r>
              <w:rPr>
                <w:rFonts w:ascii="Times New Roman" w:hAnsi="Times New Roman"/>
                <w:sz w:val="24"/>
              </w:rPr>
              <w:t>For hver tabshændelsestype (kolonne 0010-0080) indberettes oplysninger om de samlede forretningsområder.</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Antal tabshændelser</w:t>
            </w:r>
          </w:p>
          <w:p w14:paraId="34FAAF76" w14:textId="77777777" w:rsidR="00FD54FC" w:rsidRPr="002A677E" w:rsidRDefault="00FD54FC" w:rsidP="00FD54FC">
            <w:pPr>
              <w:rPr>
                <w:rFonts w:ascii="Times New Roman" w:hAnsi="Times New Roman"/>
                <w:sz w:val="24"/>
              </w:rPr>
            </w:pPr>
            <w:r>
              <w:rPr>
                <w:rFonts w:ascii="Times New Roman" w:hAnsi="Times New Roman"/>
                <w:sz w:val="24"/>
              </w:rPr>
              <w:t>I række 0910 skal antallet af tabshændelser over den interne tærskel fordelt efter tabshændelsestype for de samlede forretningsområder indberettes. Dette tal kan være lavere end aggregeringen af tabshændelser efter forretningsområde, fordi tabshændelserne med flere virkninger (virkninger i forskellige forretningsområder) skal betragtes som én. Tallet kan være højere, hvis et institut, der beregner kapitalgrundlagskrav efter BIA, ikke kan identificere det eller de forretningsområder, der er berørt af tabet, i hvert tilfælde.</w:t>
            </w:r>
          </w:p>
          <w:p w14:paraId="1029FFB0" w14:textId="77777777" w:rsidR="00FD54FC" w:rsidRPr="002A677E" w:rsidRDefault="00FD54FC" w:rsidP="00FD54FC">
            <w:pPr>
              <w:rPr>
                <w:rFonts w:ascii="Times New Roman" w:hAnsi="Times New Roman"/>
                <w:sz w:val="24"/>
              </w:rPr>
            </w:pPr>
            <w:r>
              <w:rPr>
                <w:rFonts w:ascii="Times New Roman" w:hAnsi="Times New Roman"/>
                <w:sz w:val="24"/>
              </w:rPr>
              <w:t>I række 0911-0914 skal antallet af tabshændelser med et bruttotab inden for de intervaller, der er defineret i de pågældende rækker i skemaet, indberettes.</w:t>
            </w:r>
          </w:p>
          <w:p w14:paraId="3642B0CB" w14:textId="4FC2CB7C" w:rsidR="00FD54FC" w:rsidRPr="002A677E" w:rsidRDefault="00FD54FC" w:rsidP="00FD54FC">
            <w:pPr>
              <w:rPr>
                <w:rFonts w:ascii="Times New Roman" w:hAnsi="Times New Roman"/>
                <w:sz w:val="24"/>
              </w:rPr>
            </w:pPr>
            <w:r>
              <w:rPr>
                <w:rFonts w:ascii="Times New Roman" w:hAnsi="Times New Roman"/>
                <w:sz w:val="24"/>
              </w:rPr>
              <w:t>Forudsat at instituttet har henført alle sine tab til et forretningsområde, der er opført i artikel 317, stk. 4, tabel 2, i forordning (EU) nr. 575/2013, eller til forretningsområdet "Virksomhedsposter" nævnt i artikel 322, stk. 3, litra b), i nævnte forordning, eller det har identificeret tabshændelsestyperne for alle tab, gælder følgende for kolonne 0080, alt efter hvad der er relevant::</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Det samlede antal tabshændelser, der indberettes i række 0910-0914, er lig med den vandrette aggregering af antallet af tabshændelser i den pågældende række, idet det forudsættes, at tabshændelser, der påvirker flere forretningsområder, allerede er blevet betragtet som én tabshændelse.</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Det tal, der indberettes i kolonne 0080, række 0910, skal ikke nødvendigvis være lig med den lodrette aggregering af antallet af tabshændelser i kolonne 0080, idet én tabshændelse kan påvirke flere forretningsområder samtidig.</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Bruttotab (nye tabshændelser)</w:t>
            </w:r>
          </w:p>
          <w:p w14:paraId="5A8AAD03" w14:textId="480E8089" w:rsidR="00FD54FC" w:rsidRPr="002A677E" w:rsidRDefault="00FD54FC" w:rsidP="00FD54FC">
            <w:pPr>
              <w:rPr>
                <w:rFonts w:ascii="Times New Roman" w:hAnsi="Times New Roman"/>
                <w:sz w:val="24"/>
              </w:rPr>
            </w:pPr>
            <w:r>
              <w:rPr>
                <w:rFonts w:ascii="Times New Roman" w:hAnsi="Times New Roman"/>
                <w:sz w:val="24"/>
              </w:rPr>
              <w:t xml:space="preserve">Forudsat at instituttet har henført alle sine tab enten til et forretningsområde, der er opført i artikel 317, stk. 4, tabel 2, i forordning (EU) nr. 575/2013, eller til forretningsområdet "virksomhedsposter" nævnt i artikel 322, stk. 3, litra b), i nævnte forordning, er bruttotabet (nye tabshændelser), der indberettes i række 0920, den simple aggregering af bruttotabene for nye tabshændelser for hvert forretningsområde.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I række 0921-0924 skal bruttotabet for tabshændelser med et bruttotab inden for de intervaller, der er defineret i de pågældende rækker, indberettes.</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Antal tabshændelser underlagt tabsjusteringer</w:t>
            </w:r>
          </w:p>
          <w:p w14:paraId="7C0FBBBE" w14:textId="77777777" w:rsidR="00FD54FC" w:rsidRPr="002A677E" w:rsidRDefault="00FD54FC" w:rsidP="00FD54FC">
            <w:pPr>
              <w:rPr>
                <w:rFonts w:ascii="Times New Roman" w:hAnsi="Times New Roman"/>
                <w:sz w:val="24"/>
              </w:rPr>
            </w:pPr>
            <w:r>
              <w:rPr>
                <w:rFonts w:ascii="Times New Roman" w:hAnsi="Times New Roman"/>
                <w:sz w:val="24"/>
              </w:rPr>
              <w:t xml:space="preserve">I række 0930 skal det samlede tal for antallet af tabshændelser, der er underlagt tabsjusteringer som indberettet i række 0030, 0130, …, 0830, indberettes. Dette </w:t>
            </w:r>
            <w:r>
              <w:rPr>
                <w:rFonts w:ascii="Times New Roman" w:hAnsi="Times New Roman"/>
                <w:sz w:val="24"/>
              </w:rPr>
              <w:lastRenderedPageBreak/>
              <w:t>tal kan være lavere end aggregeringen af hændelser, der er underlagt tabsjusteringer, efter forretningsområde, fordi hændelserne med flere virkninger (virkninger i forskellige forretningsområder) skal betragtes som én. Tallet kan være højere, hvis et institut, der beregner kapitalgrundlagskrav efter BIA, ikke kan identificere det eller de forretningsområder, der er berørt af tabet, i hvert tilfælde.</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Antallet af tabshændelser, der er underlagt tabsjusteringer, skal opdeles efter det antal tabshændelser, for hvilke der blev foretaget en positiv tabsjustering i løbet af referenceperioden for indberetning, og det antal tabshændelser, for hvilke der blev foretaget en negativ tabsjustering i løbet af referenceperioden for indberetning (alle indberettet med et positivt tegn).</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lastRenderedPageBreak/>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Tabsjusteringer vedrørende tidligere indberetningsperioder</w:t>
            </w:r>
          </w:p>
          <w:p w14:paraId="3A4A4FF4" w14:textId="6F65D40B" w:rsidR="00FD54FC" w:rsidRPr="002A677E" w:rsidRDefault="00FD54FC" w:rsidP="00FD54FC">
            <w:pPr>
              <w:rPr>
                <w:rFonts w:ascii="Times New Roman" w:hAnsi="Times New Roman"/>
                <w:sz w:val="24"/>
              </w:rPr>
            </w:pPr>
            <w:r>
              <w:rPr>
                <w:rFonts w:ascii="Times New Roman" w:hAnsi="Times New Roman"/>
                <w:sz w:val="24"/>
              </w:rPr>
              <w:t>I række 0940 skal det samlede tal for tabsjusteringerne vedrørende tidligere indberetningsperioder efter forretningsområder (som indberettet i række 0040, 0140, …, 0840) indberettes. Forudsat at instituttet har henført alle sine tab enten til et forretningsområde, der er opført i artikel 317, stk. 4, tabel 2, i forordning (EU) nr. 575/2013, eller til forretningsområdet "Virksomhedsposter" nævnt i artikel 322, stk. 3, litra b), i nævnte forordning, er det beløb, der indberettes i række 0940, den simple aggregering af tabsjusteringerne vedrørende tidligere indberetningsperioder, der er indberettet for de forskellige forretningsområder.</w:t>
            </w:r>
          </w:p>
          <w:p w14:paraId="4FEA0713" w14:textId="77777777" w:rsidR="00FD54FC" w:rsidRPr="002A677E" w:rsidRDefault="00FD54FC" w:rsidP="00EB6FC2">
            <w:pPr>
              <w:rPr>
                <w:rFonts w:ascii="Times New Roman" w:hAnsi="Times New Roman"/>
                <w:sz w:val="24"/>
              </w:rPr>
            </w:pPr>
            <w:r>
              <w:rPr>
                <w:rFonts w:ascii="Times New Roman" w:hAnsi="Times New Roman"/>
                <w:sz w:val="24"/>
              </w:rPr>
              <w:t>Beløbet for tabsjusteringer skal opdeles i beløbet vedrørende tabshændelser, for hvilke der blev foretaget en positiv tabsjustering i løbet af referenceperioden for indberetning (række 0945, indberettet som positivt tal) og beløbet vedrørende tabshændelser, for hvilke der blev foretaget en negativ tabsjustering i løbet af referenceperioden for indberetning (række 0946, indberettet som negativt tal). Hvis det justerede tabsbeløb, der kan henføres til en tabshændelse, som følge af en negativ tabsjustering falder under instituttets interne minimumstærskel for registrering af data, skal instituttet indberette det samlede tab for den pågældende tabshændelse, som er akkumuleret indtil den seneste gang, tabshændelsen blev indberettet for en referencedato i december (dvs. det oprindelige tab plus/minus alle tabsjusteringer, som er foretaget i tidligere referenceperioder for indberetning), med et negativt tegn i række 0946 i stedet for beløbet for selve den negative tabsjustering.</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Største enkelttab</w:t>
            </w:r>
          </w:p>
          <w:p w14:paraId="475751C9" w14:textId="3084A6C1" w:rsidR="00FD54FC" w:rsidRPr="002A677E" w:rsidRDefault="00FD54FC" w:rsidP="00FD54FC">
            <w:pPr>
              <w:rPr>
                <w:rFonts w:ascii="Times New Roman" w:hAnsi="Times New Roman"/>
                <w:sz w:val="24"/>
              </w:rPr>
            </w:pPr>
            <w:r>
              <w:rPr>
                <w:rFonts w:ascii="Times New Roman" w:hAnsi="Times New Roman"/>
                <w:sz w:val="24"/>
              </w:rPr>
              <w:t>Forudsat at instituttet har henført alle sine tab enten til et forretningsområde, der er opført i artikel 317, stk. 4, tabel 2, i forordning (EU) nr. 575/2013, eller til forretningsområdet "Virksomhedsposter" nævnt i artikel 322, stk. 3, litra b), i nævnte forordning, er det største enkelttab det største tab over den interne tærskel for hver hændelsestype og blandt alle forretningsområder. Disse tal kan være højere end det største enkelttab registreret i hvert forretningsområde, hvis en tabshændelse påvirker flere forretningsområder.</w:t>
            </w:r>
          </w:p>
          <w:p w14:paraId="7BE96ED9" w14:textId="43DC5E56" w:rsidR="00FD54FC" w:rsidRPr="002A677E" w:rsidRDefault="00FD54FC" w:rsidP="00FD54FC">
            <w:pPr>
              <w:rPr>
                <w:rFonts w:ascii="Times New Roman" w:hAnsi="Times New Roman"/>
                <w:sz w:val="24"/>
              </w:rPr>
            </w:pPr>
            <w:r>
              <w:rPr>
                <w:rFonts w:ascii="Times New Roman" w:hAnsi="Times New Roman"/>
                <w:sz w:val="24"/>
              </w:rPr>
              <w:t>Forudsat at instituttet har henført alle sine tab til et forretningsområde, der er opført i artikel 317, stk. 4, tabel 2, i forordning (EU) nr. 575/2013, eller til forretningsområdet "Virksomhedsposter" nævnt i artikel 322, stk. 3, litra b), i nævnte forordning, eller det har identificeret tabshændelsestyperne for alle tab, gælder følgende for kolonne 0080::</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lastRenderedPageBreak/>
              <w:t>-</w:t>
            </w:r>
            <w:r>
              <w:tab/>
            </w:r>
            <w:r>
              <w:rPr>
                <w:rFonts w:ascii="Times New Roman" w:hAnsi="Times New Roman"/>
                <w:sz w:val="24"/>
              </w:rPr>
              <w:t>Det største indberettede enkelttab skal være lig med den største af de værdier, der indberettes i kolonne 0010-0070 i denne række.</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Hvis der er tabshændelser, der påvirker flere forretningsområder, kan det beløb, der indberettes i {r0950, c0080}, være højere end beløbene for "Største enkelttab" efter forretningsområde, der indberettes i andre rækker i kolonne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Summen af de fem største tab</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Summen af de fem største bruttotab for hver tabshændelsestype og på tværs af alle forretningsområder indberettes. Denne sum kan være højere end den højeste sum af de fem største tab registreret i hvert forretningsområde. Den sum skal indberettes uanset antallet af tab. </w:t>
            </w:r>
          </w:p>
          <w:p w14:paraId="462BED5E" w14:textId="0A0EAED2" w:rsidR="00FD54FC" w:rsidRPr="002A677E" w:rsidRDefault="00FD54FC" w:rsidP="00AB6610">
            <w:pPr>
              <w:rPr>
                <w:rStyle w:val="InstructionsTabelleberschrift"/>
                <w:rFonts w:ascii="Times New Roman" w:hAnsi="Times New Roman"/>
                <w:sz w:val="24"/>
              </w:rPr>
            </w:pPr>
            <w:r>
              <w:rPr>
                <w:rFonts w:ascii="Times New Roman" w:hAnsi="Times New Roman"/>
                <w:sz w:val="24"/>
              </w:rPr>
              <w:t>Forudsat at instituttet har henført alle sine tab enten til et forretningsområde, der er opført i artikel 317, stk. 4, tabel 2, i forordning (EU) nr. 575/2013, eller til forretningsområdet "virksomhedsposter" nævnt i artikel 322, stk. 3, litra b), i forordning (EU) nr. 575/2013, og at det har identificeret tabshændelsestyperne for alle tab, er summen af de fem største tab, med henblik på kolonne 0080, summen af de fem største tab i hele matricen, hvilket betyder, at summen ikke nødvendigvis er lig med enten den største værdi under "summen af de fem største tab" i række 0960 eller den største værdi af "summen af de fem største tab" i kolonne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Samlet direkte tabsgodtgørelse</w:t>
            </w:r>
          </w:p>
          <w:p w14:paraId="651924C3" w14:textId="70556728" w:rsidR="00FD54FC" w:rsidRPr="002A677E" w:rsidRDefault="00FD54FC" w:rsidP="00705025">
            <w:pPr>
              <w:rPr>
                <w:rStyle w:val="InstructionsTabelleberschrift"/>
                <w:rFonts w:ascii="Times New Roman" w:hAnsi="Times New Roman"/>
                <w:sz w:val="24"/>
              </w:rPr>
            </w:pPr>
            <w:r>
              <w:rPr>
                <w:rFonts w:ascii="Times New Roman" w:hAnsi="Times New Roman"/>
                <w:sz w:val="24"/>
              </w:rPr>
              <w:t>Forudsat at instituttet har henført alle sine tab enten til et forretningsområde, der er opført i artikel 317, stk. 4, tabel 2, i forordning (EU) nr. 575/2013, eller til forretningsområdet "virksomhedsposter" nævnt i artikel 322, stk. 3, litra b), i forordning (EU) nr. 575/2013, er den samlede direkte tabsgodtgørelse den simple aggregering af den samlede direkte tabsgodtgørelse for hvert forretningsområde.</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Samlet godtgørelse fra forsikring og andre risikooverførselsmekanismer</w:t>
            </w:r>
          </w:p>
          <w:p w14:paraId="105A6F22" w14:textId="5B15CC0A" w:rsidR="00FD54FC" w:rsidRPr="002A677E" w:rsidRDefault="00FD54FC" w:rsidP="007062FD">
            <w:pPr>
              <w:rPr>
                <w:rFonts w:ascii="Times New Roman" w:hAnsi="Times New Roman"/>
                <w:b/>
                <w:bCs/>
                <w:sz w:val="24"/>
                <w:u w:val="single"/>
              </w:rPr>
            </w:pPr>
            <w:r>
              <w:rPr>
                <w:rFonts w:ascii="Times New Roman" w:hAnsi="Times New Roman"/>
                <w:sz w:val="24"/>
              </w:rPr>
              <w:t>Forudsat at instituttet har henført alle sine tab enten til et forretningsområde, der er opført i artikel 317, stk. 4, tabel 2, i forordning (EU) nr. 575/2013, eller til forretningsområdet "virksomhedsposter" nævnt i artikel 322, stk. 3, litra b), i nævnte forordning, er den samlede godtgørelse fra forsikring og andre risikooverførselsmekanismer den simple aggregering af den samlede tabsgodtgørelse fra forsikring og andre risikooverførselsmekanismer for hvert forretningsområde.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119059414"/>
      <w:r>
        <w:rPr>
          <w:rFonts w:ascii="Times New Roman" w:hAnsi="Times New Roman"/>
          <w:sz w:val="24"/>
          <w:u w:val="none"/>
        </w:rPr>
        <w:t>4.2.3.</w:t>
      </w:r>
      <w:r>
        <w:tab/>
      </w:r>
      <w:r>
        <w:rPr>
          <w:rFonts w:ascii="Times New Roman" w:hAnsi="Times New Roman"/>
          <w:sz w:val="24"/>
        </w:rPr>
        <w:t>C 17.02: Operationel risiko: Detaljerede oplysninger om de største tabshændelser i det foregående år (OPR DETAILS 2)</w:t>
      </w:r>
      <w:bookmarkEnd w:id="586"/>
      <w:bookmarkEnd w:id="587"/>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119059415"/>
      <w:r>
        <w:rPr>
          <w:rFonts w:ascii="Times New Roman" w:hAnsi="Times New Roman"/>
          <w:sz w:val="24"/>
          <w:u w:val="none"/>
        </w:rPr>
        <w:t>4.2.3.1.</w:t>
      </w:r>
      <w:r>
        <w:tab/>
      </w:r>
      <w:r>
        <w:rPr>
          <w:rFonts w:ascii="Times New Roman" w:hAnsi="Times New Roman"/>
          <w:sz w:val="24"/>
        </w:rPr>
        <w:t>Generelle bemærkninger</w:t>
      </w:r>
      <w:bookmarkEnd w:id="588"/>
      <w:bookmarkEnd w:id="589"/>
    </w:p>
    <w:p w14:paraId="06D9B602" w14:textId="77777777" w:rsidR="00FD54FC" w:rsidRPr="002A677E" w:rsidRDefault="008F3052" w:rsidP="00487A02">
      <w:pPr>
        <w:pStyle w:val="InstructionsText2"/>
        <w:numPr>
          <w:ilvl w:val="0"/>
          <w:numId w:val="0"/>
        </w:numPr>
        <w:ind w:left="1353" w:hanging="360"/>
      </w:pPr>
      <w:fldSimple w:instr=" seq paragraphs ">
        <w:r>
          <w:t>155</w:t>
        </w:r>
      </w:fldSimple>
      <w:r>
        <w:t>. I skema C 17.02 skal der angives oplysninger om individuelle tabshændelser (en række pr. tabshændelse).</w:t>
      </w:r>
    </w:p>
    <w:p w14:paraId="6928228C" w14:textId="77777777" w:rsidR="00FD54FC" w:rsidRPr="002A677E" w:rsidRDefault="008F3052" w:rsidP="00487A02">
      <w:pPr>
        <w:pStyle w:val="InstructionsText2"/>
        <w:numPr>
          <w:ilvl w:val="0"/>
          <w:numId w:val="0"/>
        </w:numPr>
        <w:ind w:left="1353" w:hanging="360"/>
      </w:pPr>
      <w:fldSimple w:instr=" seq paragraphs ">
        <w:r>
          <w:t>156</w:t>
        </w:r>
      </w:fldSimple>
      <w:r>
        <w:t>.</w:t>
      </w:r>
      <w:r>
        <w:tab/>
        <w:t xml:space="preserve"> De oplysninger, der indberettes i dette skema, vedrører "nye tabshændelser", dvs. operationelle risikobegivenheder</w:t>
      </w:r>
    </w:p>
    <w:p w14:paraId="43C23B10" w14:textId="77777777" w:rsidR="00FD54FC" w:rsidRPr="002A677E" w:rsidRDefault="00125707" w:rsidP="00487A02">
      <w:pPr>
        <w:pStyle w:val="InstructionsText2"/>
        <w:numPr>
          <w:ilvl w:val="0"/>
          <w:numId w:val="0"/>
        </w:numPr>
        <w:ind w:left="1353" w:hanging="360"/>
      </w:pPr>
      <w:r>
        <w:lastRenderedPageBreak/>
        <w:t>a)</w:t>
      </w:r>
      <w:r>
        <w:tab/>
        <w:t>"der er indregnet for første gang" i løbet af referenceperioden for indberetning, eller</w:t>
      </w:r>
    </w:p>
    <w:p w14:paraId="0D60A55D" w14:textId="77777777" w:rsidR="00FD54FC" w:rsidRPr="002A677E" w:rsidRDefault="00125707" w:rsidP="00487A02">
      <w:pPr>
        <w:pStyle w:val="InstructionsText2"/>
        <w:numPr>
          <w:ilvl w:val="0"/>
          <w:numId w:val="0"/>
        </w:numPr>
        <w:ind w:left="1353" w:hanging="360"/>
      </w:pPr>
      <w:r>
        <w:t>b)</w:t>
      </w:r>
      <w:r>
        <w:tab/>
        <w:t>"der er indregnet for første gang" i løbet af en tidligere referenceperiode for indberetning, hvis tabshændelsen ikke var medtaget i nogen tidligere indberetning, f.eks. fordi den først blev identificeret som en hændelse med tab på operationelle risici i den indeværende referenceperiode for indberetning, eller fordi det akkumulerede tab, der kan henføres til tabshændelsen (dvs. det oprindelige tab plus/minus alle tabsjusteringer, der blev foretaget i de foregående referenceperioder for indberetning) først overskred den interne minimumstærskel for registrering af data i den indeværende referenceperiode for indberetning.</w:t>
      </w:r>
    </w:p>
    <w:p w14:paraId="4FB49E60" w14:textId="3B042DA5" w:rsidR="00F41508" w:rsidRPr="002A677E" w:rsidRDefault="008F3052" w:rsidP="00487A02">
      <w:pPr>
        <w:pStyle w:val="InstructionsText2"/>
        <w:numPr>
          <w:ilvl w:val="0"/>
          <w:numId w:val="0"/>
        </w:numPr>
        <w:ind w:left="1353" w:hanging="360"/>
      </w:pPr>
      <w:fldSimple w:instr=" seq paragraphs ">
        <w:r>
          <w:t>157</w:t>
        </w:r>
      </w:fldSimple>
      <w:r>
        <w:t>. Kun tabshændelser, der medfører et bruttotab på mindst 100 000 EUR, indberettes.</w:t>
      </w:r>
    </w:p>
    <w:p w14:paraId="5F2CAE8D" w14:textId="77777777" w:rsidR="00FD54FC" w:rsidRPr="002A677E" w:rsidRDefault="00FD54FC" w:rsidP="00487A02">
      <w:pPr>
        <w:pStyle w:val="InstructionsText2"/>
        <w:numPr>
          <w:ilvl w:val="0"/>
          <w:numId w:val="0"/>
        </w:numPr>
        <w:ind w:left="1353" w:hanging="360"/>
      </w:pPr>
      <w:r>
        <w:t>Under hensyn til denne tærskel medtages:</w:t>
      </w:r>
    </w:p>
    <w:p w14:paraId="503143B8" w14:textId="1D0A0564" w:rsidR="00FD54FC" w:rsidRPr="002A677E" w:rsidRDefault="00125707" w:rsidP="00487A02">
      <w:pPr>
        <w:pStyle w:val="InstructionsText2"/>
        <w:numPr>
          <w:ilvl w:val="0"/>
          <w:numId w:val="0"/>
        </w:numPr>
        <w:ind w:left="1353" w:hanging="360"/>
      </w:pPr>
      <w:r>
        <w:t>a)</w:t>
      </w:r>
      <w:r>
        <w:tab/>
        <w:t>den største hændelse for hver hændelsestype, forudsat at instituttet har identificeret hændelsestyperne for tab og</w:t>
      </w:r>
    </w:p>
    <w:p w14:paraId="0CFFC449" w14:textId="77777777" w:rsidR="00FD54FC" w:rsidRPr="002A677E" w:rsidRDefault="00125707" w:rsidP="00487A02">
      <w:pPr>
        <w:pStyle w:val="InstructionsText2"/>
        <w:numPr>
          <w:ilvl w:val="0"/>
          <w:numId w:val="0"/>
        </w:numPr>
        <w:ind w:left="1353" w:hanging="360"/>
      </w:pPr>
      <w:r>
        <w:t>b)</w:t>
      </w:r>
      <w:r>
        <w:tab/>
        <w:t>mindst de ti største af de resterende hændelser, med eller uden identificeret hændelsestype, efter bruttotab, i skemaet.</w:t>
      </w:r>
    </w:p>
    <w:p w14:paraId="4B19E136" w14:textId="77777777" w:rsidR="00FD54FC" w:rsidRPr="002A677E" w:rsidRDefault="00125707" w:rsidP="00487A02">
      <w:pPr>
        <w:pStyle w:val="InstructionsText2"/>
        <w:numPr>
          <w:ilvl w:val="0"/>
          <w:numId w:val="0"/>
        </w:numPr>
        <w:ind w:left="1353" w:hanging="360"/>
      </w:pPr>
      <w:r>
        <w:t>c)</w:t>
      </w:r>
      <w:r>
        <w:tab/>
        <w:t>Hændelser opstilles efter det bruttotab, der henføres til dem.</w:t>
      </w:r>
    </w:p>
    <w:p w14:paraId="3AE1B367" w14:textId="77777777" w:rsidR="00FD54FC" w:rsidRPr="002A677E" w:rsidRDefault="00125707" w:rsidP="00487A02">
      <w:pPr>
        <w:pStyle w:val="InstructionsText2"/>
        <w:numPr>
          <w:ilvl w:val="0"/>
          <w:numId w:val="0"/>
        </w:numPr>
        <w:ind w:left="1353" w:hanging="360"/>
      </w:pPr>
      <w:r>
        <w:t>d)</w:t>
      </w:r>
      <w:r>
        <w:tab/>
        <w:t>En tabshændelse tages kun i betragtning én gang.</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119059416"/>
      <w:r>
        <w:rPr>
          <w:rFonts w:ascii="Times New Roman" w:hAnsi="Times New Roman"/>
          <w:sz w:val="24"/>
          <w:u w:val="none"/>
        </w:rPr>
        <w:t>4.2.3.2.</w:t>
      </w:r>
      <w:r>
        <w:tab/>
      </w:r>
      <w:r>
        <w:rPr>
          <w:rFonts w:ascii="Times New Roman" w:hAnsi="Times New Roman"/>
          <w:sz w:val="24"/>
        </w:rPr>
        <w:t>Instrukser vedrørende specifikke positioner</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Kolonner</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Hændelses-ID</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Hændelses-ID'et er en ID-kode for rækken og skal være unikt for hver enkelt række i skemaet. </w:t>
            </w:r>
          </w:p>
          <w:p w14:paraId="0801D83B" w14:textId="77777777" w:rsidR="00FD54FC" w:rsidRPr="002A677E" w:rsidRDefault="00FD54FC" w:rsidP="00FD54FC">
            <w:pPr>
              <w:rPr>
                <w:rFonts w:ascii="Times New Roman" w:hAnsi="Times New Roman"/>
                <w:sz w:val="24"/>
              </w:rPr>
            </w:pPr>
            <w:r>
              <w:rPr>
                <w:rFonts w:ascii="Times New Roman" w:hAnsi="Times New Roman"/>
                <w:sz w:val="24"/>
              </w:rPr>
              <w:t>Når der findes et internt ID, skal institutterne oplyse det interne ID. Hvis ikke skal det indberettede ID være i nummerorden (1, 2, 3 osv.).</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Bogføringsdato</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Bogføringsdatoen er den dato, hvor et tab eller en reserve/hensættelse vedrørende et tab på en operationel risiko for første gang indgik i resultatopgørelsen.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Hændelsesdato</w:t>
            </w:r>
          </w:p>
          <w:p w14:paraId="49262D6C" w14:textId="77777777" w:rsidR="00FD54FC" w:rsidRPr="002A677E" w:rsidRDefault="00FD54FC" w:rsidP="00871877">
            <w:pPr>
              <w:rPr>
                <w:rFonts w:ascii="Times New Roman" w:hAnsi="Times New Roman"/>
                <w:sz w:val="24"/>
              </w:rPr>
            </w:pPr>
            <w:r>
              <w:rPr>
                <w:rFonts w:ascii="Times New Roman" w:hAnsi="Times New Roman"/>
                <w:sz w:val="24"/>
              </w:rPr>
              <w:t>Hændelsesdatoen er den dato, hvor hændelsen med tab på operationelle risici fandt sted eller først begyndte.</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Konstateringsdato</w:t>
            </w:r>
          </w:p>
          <w:p w14:paraId="520821A8" w14:textId="77777777" w:rsidR="00FD54FC" w:rsidRPr="002A677E" w:rsidRDefault="00FD54FC" w:rsidP="00FD54FC">
            <w:pPr>
              <w:rPr>
                <w:rFonts w:ascii="Times New Roman" w:hAnsi="Times New Roman"/>
                <w:sz w:val="24"/>
              </w:rPr>
            </w:pPr>
            <w:r>
              <w:rPr>
                <w:rFonts w:ascii="Times New Roman" w:hAnsi="Times New Roman"/>
                <w:sz w:val="24"/>
              </w:rPr>
              <w:t>Konstateringsdatoen er den dato, hvor instituttet blev opmærksom på hændelsen med tab på operationelle risici.</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lastRenderedPageBreak/>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Tabshændelsestype</w:t>
            </w:r>
          </w:p>
          <w:p w14:paraId="73A75C19" w14:textId="247D93B0" w:rsidR="00FD54FC" w:rsidRPr="002A677E" w:rsidRDefault="00F41508" w:rsidP="00EB6FC2">
            <w:pPr>
              <w:rPr>
                <w:rFonts w:ascii="Times New Roman" w:hAnsi="Times New Roman"/>
                <w:sz w:val="24"/>
              </w:rPr>
            </w:pPr>
            <w:r>
              <w:rPr>
                <w:rFonts w:ascii="Times New Roman" w:hAnsi="Times New Roman"/>
                <w:sz w:val="24"/>
              </w:rPr>
              <w:t>Tabshændelsestyper som omhandlet i artikel 324 i forordning (EU) nr. 575/2013</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Bruttotab</w:t>
            </w:r>
          </w:p>
          <w:p w14:paraId="5E868659" w14:textId="77777777" w:rsidR="00FD54FC" w:rsidRPr="002A677E" w:rsidRDefault="00FD54FC" w:rsidP="0023276A">
            <w:pPr>
              <w:rPr>
                <w:rFonts w:ascii="Times New Roman" w:hAnsi="Times New Roman"/>
                <w:sz w:val="24"/>
              </w:rPr>
            </w:pPr>
            <w:r>
              <w:rPr>
                <w:rFonts w:ascii="Times New Roman" w:hAnsi="Times New Roman"/>
                <w:sz w:val="24"/>
              </w:rPr>
              <w:t>Bruttotab vedrørende tabshændelsen indberettet i række 0020, 0120 osv. i skema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Bruttotab fratrukket direkte godtgørelser</w:t>
            </w:r>
          </w:p>
          <w:p w14:paraId="371DD3AD" w14:textId="77777777" w:rsidR="00FD54FC" w:rsidRPr="002A677E" w:rsidRDefault="00FD54FC" w:rsidP="0023276A">
            <w:pPr>
              <w:rPr>
                <w:rFonts w:ascii="Times New Roman" w:hAnsi="Times New Roman"/>
                <w:sz w:val="24"/>
              </w:rPr>
            </w:pPr>
            <w:r>
              <w:rPr>
                <w:rFonts w:ascii="Times New Roman" w:hAnsi="Times New Roman"/>
                <w:sz w:val="24"/>
              </w:rPr>
              <w:t>Bruttotab vedrørende tabshændelsen indberettet i række 0020, 0120 osv. i skema C 17.01 fratrukket direkte godtgørelser vedrørende den pågældende tabshændelse.</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0080 - 0160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Bruttotab efter forretningsområde</w:t>
            </w:r>
          </w:p>
          <w:p w14:paraId="15FC08A2" w14:textId="6E4192C4" w:rsidR="00FD54FC" w:rsidRPr="002A677E" w:rsidRDefault="00FD54FC" w:rsidP="007062FD">
            <w:pPr>
              <w:rPr>
                <w:rFonts w:ascii="Times New Roman" w:hAnsi="Times New Roman"/>
                <w:sz w:val="24"/>
              </w:rPr>
            </w:pPr>
            <w:r>
              <w:rPr>
                <w:rFonts w:ascii="Times New Roman" w:hAnsi="Times New Roman"/>
                <w:sz w:val="24"/>
              </w:rPr>
              <w:t>Det i kolonne 0060 indberettede bruttotab henføres til de relevante forretningsområder som anført i artikel 317, stk. 4, tabel 2, i forordning (EU) nr. 575/2013 og artikel 322, stk. 3, litra b), i nævnte forordning.</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Juridisk enheds navn</w:t>
            </w:r>
          </w:p>
          <w:p w14:paraId="196BBE73" w14:textId="7342A187" w:rsidR="00FD54FC" w:rsidRPr="002A677E" w:rsidRDefault="00FD54FC" w:rsidP="00FD54FC">
            <w:pPr>
              <w:rPr>
                <w:rFonts w:ascii="Times New Roman" w:hAnsi="Times New Roman"/>
                <w:sz w:val="24"/>
              </w:rPr>
            </w:pPr>
            <w:r>
              <w:rPr>
                <w:rFonts w:ascii="Times New Roman" w:hAnsi="Times New Roman"/>
                <w:sz w:val="24"/>
              </w:rPr>
              <w:t>Navnet på den juridiske enhed, indberettet i kolonne 0011 i C 06.02, hvor tabet, — eller den største andel af tabet, hvis flere enheder var berørt — fandt sted.</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Kode</w:t>
            </w:r>
          </w:p>
          <w:p w14:paraId="2B51325F" w14:textId="351ACEFF" w:rsidR="000D0A23" w:rsidRPr="002A677E" w:rsidRDefault="0062362F" w:rsidP="009B627A">
            <w:pPr>
              <w:rPr>
                <w:rFonts w:ascii="Times New Roman" w:hAnsi="Times New Roman"/>
                <w:sz w:val="24"/>
              </w:rPr>
            </w:pPr>
            <w:r>
              <w:rPr>
                <w:rFonts w:ascii="Times New Roman" w:hAnsi="Times New Roman"/>
                <w:sz w:val="24"/>
              </w:rPr>
              <w:t>Koden for den juridiske enhed, indberettet i kolonne 0021 i C 06.02, hvor tabet, — eller den største andel af tabet, hvis flere enheder var berørt — fandt sted.</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KODETYPE</w:t>
            </w:r>
          </w:p>
          <w:p w14:paraId="13D1F0E6" w14:textId="5C3CE252" w:rsidR="000D0A23" w:rsidRPr="002A677E" w:rsidRDefault="000D0A23" w:rsidP="009B627A">
            <w:pPr>
              <w:rPr>
                <w:rStyle w:val="InstructionsTabelleberschrift"/>
                <w:rFonts w:ascii="Times New Roman" w:hAnsi="Times New Roman"/>
                <w:sz w:val="24"/>
              </w:rPr>
            </w:pPr>
            <w:r>
              <w:rPr>
                <w:rFonts w:ascii="Times New Roman" w:hAnsi="Times New Roman"/>
                <w:sz w:val="24"/>
              </w:rPr>
              <w:t>Institutterne skal identificere den kodetype, der indberettes i kolonne 0181, som en "LEI-kode" eller "ikke-LEI-kode" i overensstemmelse med kolonne 0026 i C 06.02. Kodetypen skal altid indberettes.</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Forretningsenhed</w:t>
            </w:r>
          </w:p>
          <w:p w14:paraId="7468F598" w14:textId="77777777" w:rsidR="00FD54FC" w:rsidRPr="002A677E" w:rsidRDefault="00FD54FC" w:rsidP="00FD54FC">
            <w:pPr>
              <w:rPr>
                <w:rFonts w:ascii="Times New Roman" w:hAnsi="Times New Roman"/>
                <w:sz w:val="24"/>
              </w:rPr>
            </w:pPr>
            <w:r>
              <w:rPr>
                <w:rFonts w:ascii="Times New Roman" w:hAnsi="Times New Roman"/>
                <w:sz w:val="24"/>
              </w:rPr>
              <w:t>Forretningsenhed eller afdeling i det institut, hvor tabet — eller den største andel af tabet, hvis flere forretningsenheder eller afdelinger var berørt — fandt sted.</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Beskrivelse</w:t>
            </w:r>
          </w:p>
          <w:p w14:paraId="5B222555" w14:textId="77777777" w:rsidR="00FD54FC" w:rsidRPr="002A677E" w:rsidRDefault="00FD54FC" w:rsidP="00FD239F">
            <w:pPr>
              <w:rPr>
                <w:rFonts w:ascii="Times New Roman" w:hAnsi="Times New Roman"/>
                <w:sz w:val="24"/>
              </w:rPr>
            </w:pPr>
            <w:r>
              <w:rPr>
                <w:rFonts w:ascii="Times New Roman" w:hAnsi="Times New Roman"/>
                <w:sz w:val="24"/>
              </w:rPr>
              <w:t>Udførlig beskrivelse af tabshændelsen, i generaliseret eller anonymiseret form, om nødvendigt, der mindst indeholder oplysninger om selve hændelsen og oplysninger om drivkræfterne bag eller årsagerne til tabshændelsen, hvis de er kendt.</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119059417"/>
      <w:r>
        <w:rPr>
          <w:rFonts w:ascii="Times New Roman" w:hAnsi="Times New Roman"/>
          <w:sz w:val="24"/>
          <w:u w:val="none"/>
        </w:rPr>
        <w:lastRenderedPageBreak/>
        <w:t>5.</w:t>
      </w:r>
      <w:r>
        <w:tab/>
      </w:r>
      <w:r>
        <w:rPr>
          <w:rFonts w:ascii="Times New Roman" w:hAnsi="Times New Roman"/>
          <w:sz w:val="24"/>
        </w:rPr>
        <w:t>Skemaer for markedsrisiko</w:t>
      </w:r>
      <w:bookmarkEnd w:id="592"/>
      <w:bookmarkEnd w:id="593"/>
      <w:bookmarkEnd w:id="594"/>
      <w:bookmarkEnd w:id="595"/>
      <w:bookmarkEnd w:id="596"/>
      <w:bookmarkEnd w:id="597"/>
      <w:bookmarkEnd w:id="598"/>
    </w:p>
    <w:bookmarkStart w:id="599" w:name="_Toc308426672"/>
    <w:p w14:paraId="3A680559" w14:textId="77777777" w:rsidR="000B0B09"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Disse instrukser beskriver, hvordan skemaerne bruges til at indberette kapitalgrundlagskrav opgjort efter standardmetoden for valutarisiko (MKR SA FX), råvarerisiko (MKR SA COM), renterisiko (MKR SA TDI, MKR SA SEC og MKR SA CTP) og aktierisiko (MKR SA EQU). Det beskrives endvidere, hvordan skemaerne bruges til at indberette kapitalgrundlagskrav opgjort efter metoden med interne modeller (MKR IM). </w:t>
      </w:r>
    </w:p>
    <w:p w14:paraId="43A205D1" w14:textId="7D6F1A8A" w:rsidR="000B0B09" w:rsidRPr="002A677E" w:rsidRDefault="008F3052" w:rsidP="00487A02">
      <w:pPr>
        <w:pStyle w:val="InstructionsText2"/>
        <w:numPr>
          <w:ilvl w:val="0"/>
          <w:numId w:val="0"/>
        </w:numPr>
        <w:ind w:left="1353" w:hanging="360"/>
      </w:pPr>
      <w:fldSimple w:instr=" seq paragraphs ">
        <w:r>
          <w:t>159</w:t>
        </w:r>
      </w:fldSimple>
      <w:r>
        <w:t>.</w:t>
      </w:r>
      <w:r>
        <w:tab/>
        <w:t xml:space="preserve"> Positionsrisikoen i forbindelse med et handlet gældsinstrument eller en handlet aktie (eller derivater af sådanne værdipapirer) opdeles i to komponenter med henblik på at beregne, hvor stor en kapital der kræves for at dække den pågældende risiko. Den ene komponent er dens specifikke risikokomponent — dvs. risikoen for kursændringer for det pågældende instrument på grund af faktorer, der står i forbindelse med emittenten eller for derivaters vedkommende emittenten af det underliggende instrument. Den anden komponent dækker den generelle risiko — dvs. risikoen for en kursændring for instrumentet, der (for handlede gældsinstrumenter eller derivater heraf) skyldes en ændring i rentesatserne eller (for aktier eller aktiederivater) større bevægelser på aktiemarkedet, der ikke står i forbindelse med særlige forhold vedrørende de enkelte værdipapirer. </w:t>
      </w:r>
      <w:bookmarkEnd w:id="599"/>
      <w:r>
        <w:t xml:space="preserve">Den generelle behandling af specifikke instrumenter og nettingprocedurer er omhandlet i artikel 326-333 i forordning (EU) nr. 575/2013. </w:t>
      </w:r>
    </w:p>
    <w:p w14:paraId="39C5FEA4" w14:textId="072B68A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0" w:name="_Toc239157393"/>
      <w:bookmarkStart w:id="601" w:name="_Toc262566426"/>
      <w:bookmarkStart w:id="602" w:name="_Toc295829996"/>
      <w:bookmarkStart w:id="603" w:name="_Toc308426673"/>
      <w:bookmarkStart w:id="604" w:name="_Toc310415057"/>
      <w:bookmarkStart w:id="605" w:name="_Toc360188392"/>
      <w:bookmarkStart w:id="606" w:name="_Toc473561032"/>
      <w:bookmarkStart w:id="607" w:name="_Toc119059418"/>
      <w:r>
        <w:rPr>
          <w:rFonts w:ascii="Times New Roman" w:hAnsi="Times New Roman"/>
          <w:sz w:val="24"/>
          <w:u w:val="none"/>
        </w:rPr>
        <w:t>5.1.</w:t>
      </w:r>
      <w:r>
        <w:tab/>
      </w:r>
      <w:r>
        <w:rPr>
          <w:rFonts w:ascii="Times New Roman" w:hAnsi="Times New Roman"/>
          <w:sz w:val="24"/>
        </w:rPr>
        <w:t>C 18.00 – Markedsrisiko: Positionsrisici i handlede gældsinstrumenter opgjort efter standardmetoden</w:t>
      </w:r>
      <w:bookmarkEnd w:id="600"/>
      <w:bookmarkEnd w:id="601"/>
      <w:bookmarkEnd w:id="602"/>
      <w:bookmarkEnd w:id="603"/>
      <w:bookmarkEnd w:id="604"/>
      <w:bookmarkEnd w:id="605"/>
      <w:r>
        <w:rPr>
          <w:rFonts w:ascii="Times New Roman" w:hAnsi="Times New Roman"/>
          <w:sz w:val="24"/>
        </w:rPr>
        <w:t xml:space="preserve"> (MKR SA TDI)</w:t>
      </w:r>
      <w:bookmarkEnd w:id="606"/>
      <w:bookmarkEnd w:id="607"/>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119059419"/>
      <w:r>
        <w:rPr>
          <w:rFonts w:ascii="Times New Roman" w:hAnsi="Times New Roman"/>
          <w:sz w:val="24"/>
          <w:u w:val="none"/>
        </w:rPr>
        <w:t>5.1.1.</w:t>
      </w:r>
      <w:r>
        <w:tab/>
      </w:r>
      <w:r>
        <w:rPr>
          <w:rFonts w:ascii="Times New Roman" w:hAnsi="Times New Roman"/>
          <w:sz w:val="24"/>
        </w:rPr>
        <w:t>Generelle bemærkninger</w:t>
      </w:r>
      <w:bookmarkEnd w:id="608"/>
      <w:bookmarkEnd w:id="609"/>
      <w:bookmarkEnd w:id="610"/>
      <w:bookmarkEnd w:id="611"/>
      <w:bookmarkEnd w:id="612"/>
      <w:bookmarkEnd w:id="613"/>
      <w:bookmarkEnd w:id="614"/>
    </w:p>
    <w:p w14:paraId="0D010E09" w14:textId="2E6F4BCD" w:rsidR="000B0B09" w:rsidRPr="002A677E" w:rsidRDefault="008F3052" w:rsidP="00487A02">
      <w:pPr>
        <w:pStyle w:val="InstructionsText2"/>
        <w:numPr>
          <w:ilvl w:val="0"/>
          <w:numId w:val="0"/>
        </w:numPr>
        <w:ind w:left="1353" w:hanging="360"/>
      </w:pPr>
      <w:fldSimple w:instr=" seq paragraphs ">
        <w:r>
          <w:t>160</w:t>
        </w:r>
      </w:fldSimple>
      <w:r>
        <w:t>.</w:t>
      </w:r>
      <w:r>
        <w:tab/>
        <w:t xml:space="preserve"> I dette skema indberettes positionerne og de relaterede kapitalgrundlagskrav vedrørende positionsrisici i forbindelse med handlede gældsinstrumenter ved anvendelse af standardmetoden (artikel 325, stk. 2, litra a), i forordning (EU) nr. 575/2013). De forskellige risici og metoder, der er omhandlet i forordning (EU) nr. 575/2013, gennemgås rækkevist. Den specifikke risiko i forbindelse med eksponeringer, der indgår i MKR SA SEC og MKR SA CTP, skal kun indberettes i Total-skemaet i MKR SA TDI. De kapitalgrundlagskrav, der indberettes i disse skemaer, skal overføres til henholdsvis celle {0325;0060} (securitiseringer) og {0330;0060} (korrelationshandelsportefølje).</w:t>
      </w:r>
    </w:p>
    <w:p w14:paraId="7C8420A5" w14:textId="1C91E400" w:rsidR="000B0B09" w:rsidRPr="002A677E" w:rsidRDefault="008F3052" w:rsidP="00487A02">
      <w:pPr>
        <w:pStyle w:val="InstructionsText2"/>
        <w:numPr>
          <w:ilvl w:val="0"/>
          <w:numId w:val="0"/>
        </w:numPr>
        <w:ind w:left="1353" w:hanging="360"/>
      </w:pPr>
      <w:fldSimple w:instr=" seq paragraphs ">
        <w:r>
          <w:t>161</w:t>
        </w:r>
      </w:fldSimple>
      <w:r>
        <w:t>.</w:t>
      </w:r>
      <w:r>
        <w:tab/>
        <w:t xml:space="preserve"> Skemaet skal udfyldes separat for "Total" sammen med en foruddefineret liste af følgende valutaer: EUR, ALL, BGN, CZK, DKK, EGP, GBP, HRK, HUF, ISK, JPY, MKD, NOK, PLN, RON, RUB, RSD, SEK, CHF, TRY, UAH, USD samt ét restskema for alle andre valutaer.</w:t>
      </w:r>
      <w:bookmarkStart w:id="615" w:name="OLE_LINK1"/>
      <w:bookmarkEnd w:id="615"/>
      <w:r>
        <w:t xml:space="preserve"> </w:t>
      </w:r>
    </w:p>
    <w:p w14:paraId="73E54EAD" w14:textId="76F64ACC"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119059420"/>
      <w:r>
        <w:rPr>
          <w:rFonts w:ascii="Times New Roman" w:hAnsi="Times New Roman"/>
          <w:sz w:val="24"/>
          <w:u w:val="none"/>
        </w:rPr>
        <w:t>5.1.2.</w:t>
      </w:r>
      <w:r>
        <w:tab/>
      </w:r>
      <w:r>
        <w:rPr>
          <w:rFonts w:ascii="Times New Roman" w:hAnsi="Times New Roman"/>
          <w:sz w:val="24"/>
        </w:rPr>
        <w:t>Instrukser vedrørende specifikke positioner</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Kolonner</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POSITIONER (LANGE OG KORTE)</w:t>
            </w:r>
          </w:p>
          <w:p w14:paraId="0C799784" w14:textId="11C18BEB" w:rsidR="000B0B09" w:rsidRPr="002A677E" w:rsidRDefault="000B0B09" w:rsidP="00D24331">
            <w:pPr>
              <w:rPr>
                <w:rFonts w:ascii="Times New Roman" w:hAnsi="Times New Roman"/>
                <w:sz w:val="24"/>
              </w:rPr>
            </w:pPr>
            <w:r>
              <w:rPr>
                <w:rFonts w:ascii="Times New Roman" w:hAnsi="Times New Roman"/>
                <w:sz w:val="24"/>
              </w:rPr>
              <w:t xml:space="preserve">Artikel 102 og artikel 105, stk. 1, i forordning (EU) nr. 575/2013 Disse er bruttopositioner uden indregning af instrumenter, men ekskl. garanterede positioner, </w:t>
            </w:r>
            <w:r>
              <w:rPr>
                <w:rFonts w:ascii="Times New Roman" w:hAnsi="Times New Roman"/>
                <w:sz w:val="24"/>
              </w:rPr>
              <w:lastRenderedPageBreak/>
              <w:t>som tredjemand har tegnet sig for eller forpligtet sig til at aftage i overensstemmelse med artikel 345, stk. 1, første afsnit, andet punktum, i forordning (EU) nr. 575/2013. Se artikel 328, stk. 2, i forordning (EU) nr. 575/2013 for oplysninger om sondringen mellem lange og korte positioner, som også gælder for disse bruttopositioner.</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NETTOPOSITIONER (LANGE OG KORTE)</w:t>
            </w:r>
          </w:p>
          <w:p w14:paraId="38649486" w14:textId="21B59DB4" w:rsidR="000B0B09" w:rsidRPr="002A677E" w:rsidRDefault="000B0B09" w:rsidP="005B04C9">
            <w:pPr>
              <w:rPr>
                <w:rFonts w:ascii="Times New Roman" w:hAnsi="Times New Roman"/>
                <w:sz w:val="24"/>
              </w:rPr>
            </w:pPr>
            <w:r>
              <w:rPr>
                <w:rFonts w:ascii="Times New Roman" w:hAnsi="Times New Roman"/>
                <w:sz w:val="24"/>
              </w:rPr>
              <w:t>Artikel 327-329 og artikel 334 i forordning (EU) nr. 575/2013 Se artikel 328, stk. 2, i forordning (EU) nr. 575/2013 for oplysninger om sondringen mellem lange og korte positioner.</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UNDERLAGT KAPITALKRAV</w:t>
            </w:r>
          </w:p>
          <w:p w14:paraId="76B658E5" w14:textId="104F8165" w:rsidR="000B0B09" w:rsidRPr="002A677E" w:rsidRDefault="000B0B09" w:rsidP="007079CE">
            <w:pPr>
              <w:rPr>
                <w:rFonts w:ascii="Times New Roman" w:hAnsi="Times New Roman"/>
                <w:b/>
                <w:bCs/>
                <w:sz w:val="24"/>
                <w:u w:val="single"/>
              </w:rPr>
            </w:pPr>
            <w:r>
              <w:rPr>
                <w:rFonts w:ascii="Times New Roman" w:hAnsi="Times New Roman"/>
                <w:sz w:val="24"/>
              </w:rPr>
              <w:t>Nettopositioner, som i henhold til de forskellige metoder, der er omhandlet i tredje del, afsnit IV, kapitel 2, i forordning (EU) nr. 575/2013, pålægges et kapitalkrav.</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KAPITALGRUNDLAGSKRAV</w:t>
            </w:r>
          </w:p>
          <w:p w14:paraId="74F1F61F" w14:textId="116F68CB" w:rsidR="000B0B09" w:rsidRPr="002A677E" w:rsidRDefault="000B0B09" w:rsidP="005B04C9">
            <w:pPr>
              <w:rPr>
                <w:rFonts w:ascii="Times New Roman" w:hAnsi="Times New Roman"/>
                <w:b/>
                <w:bCs/>
                <w:sz w:val="24"/>
                <w:u w:val="single"/>
              </w:rPr>
            </w:pPr>
            <w:r>
              <w:rPr>
                <w:rFonts w:ascii="Times New Roman" w:hAnsi="Times New Roman"/>
                <w:sz w:val="24"/>
              </w:rPr>
              <w:t>Kapitalkravet for en relevant position i henhold til tredje del, afsnit IV, kapitel 2, i forordning (EU) nr. 575/2013</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SAMLET RISIKOEKSPONERING</w:t>
            </w:r>
          </w:p>
          <w:p w14:paraId="2C4B0E54" w14:textId="2AC6D934" w:rsidR="000B0B09" w:rsidRPr="002A677E" w:rsidRDefault="000B0B09" w:rsidP="00D24331">
            <w:pPr>
              <w:rPr>
                <w:rFonts w:ascii="Times New Roman" w:hAnsi="Times New Roman"/>
                <w:b/>
                <w:bCs/>
                <w:sz w:val="24"/>
                <w:u w:val="single"/>
              </w:rPr>
            </w:pPr>
            <w:r>
              <w:rPr>
                <w:rFonts w:ascii="Times New Roman" w:hAnsi="Times New Roman"/>
                <w:sz w:val="24"/>
              </w:rPr>
              <w:t xml:space="preserve">Artikel 92, stk. 4, litra b), i forordning (EU) nr. 575/2013 Resultatet af multiplikationen af kapitalgrundlagskravet med 12,5.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Rækker</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HANDLEDE GÆLDSINSTRUMENTER I HANDELSBEHOLDNINGEN</w:t>
            </w:r>
          </w:p>
          <w:p w14:paraId="12C841B7" w14:textId="2F841DD3" w:rsidR="000B0B09" w:rsidRPr="002A677E" w:rsidRDefault="000B0B09" w:rsidP="00D24331">
            <w:pPr>
              <w:rPr>
                <w:rFonts w:ascii="Times New Roman" w:hAnsi="Times New Roman"/>
                <w:sz w:val="24"/>
              </w:rPr>
            </w:pPr>
            <w:r>
              <w:rPr>
                <w:rFonts w:ascii="Times New Roman" w:hAnsi="Times New Roman"/>
                <w:sz w:val="24"/>
              </w:rPr>
              <w:t>Positioner i handlede gældsinstrumenter i handelsbeholdningen og deres tilsvarende kapitalgrundlagskrav for positionsrisiko i henhold til artikel 92, stk. 3, litra b), nr. i), i forordning (EU) nr. 575/2013 og tredje del, afsnit IV, kapitel 2, i forordning (EU) nr. 575/2013 indberettes afhængigt af risikokategori, løbetid og anvendt metode.</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GENEREL RISIKO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Derivater</w:t>
            </w:r>
          </w:p>
          <w:p w14:paraId="06C530F0" w14:textId="7A78F919" w:rsidR="000B0B09" w:rsidRPr="002A677E" w:rsidRDefault="000B0B09" w:rsidP="00BD2FE7">
            <w:pPr>
              <w:rPr>
                <w:rFonts w:ascii="Times New Roman" w:hAnsi="Times New Roman"/>
                <w:b/>
                <w:bCs/>
                <w:sz w:val="24"/>
                <w:u w:val="single"/>
              </w:rPr>
            </w:pPr>
            <w:r>
              <w:rPr>
                <w:rFonts w:ascii="Times New Roman" w:hAnsi="Times New Roman"/>
                <w:sz w:val="24"/>
              </w:rPr>
              <w:t>Derivater, der indgår i beregningen af renterisikoen ved positioner i handelsbeholdningen, jf. artikel 328-331 i forordning (EU) nr. 575/2013, hvis det er relevant.</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Andre aktiver og passiver</w:t>
            </w:r>
          </w:p>
          <w:p w14:paraId="665719C9" w14:textId="77777777" w:rsidR="000B0B09" w:rsidRPr="002A677E" w:rsidRDefault="000B0B09" w:rsidP="00BD2FE7">
            <w:pPr>
              <w:rPr>
                <w:rFonts w:ascii="Times New Roman" w:hAnsi="Times New Roman"/>
                <w:b/>
                <w:bCs/>
                <w:sz w:val="24"/>
                <w:u w:val="single"/>
              </w:rPr>
            </w:pPr>
            <w:r>
              <w:rPr>
                <w:rFonts w:ascii="Times New Roman" w:hAnsi="Times New Roman"/>
                <w:sz w:val="24"/>
              </w:rPr>
              <w:t xml:space="preserve">Andre instrumenter end derivater, der indgår i beregningen af renterisikoen ved positioner i handelsbeholdningen.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LØBETIDSBASERET METODE</w:t>
            </w:r>
          </w:p>
          <w:p w14:paraId="644A7531" w14:textId="609558C7" w:rsidR="000B0B09" w:rsidRPr="002A677E" w:rsidRDefault="000B0B09" w:rsidP="00D24331">
            <w:pPr>
              <w:rPr>
                <w:rFonts w:ascii="Times New Roman" w:hAnsi="Times New Roman"/>
                <w:b/>
                <w:bCs/>
                <w:sz w:val="24"/>
                <w:u w:val="single"/>
              </w:rPr>
            </w:pPr>
            <w:r>
              <w:rPr>
                <w:rFonts w:ascii="Times New Roman" w:hAnsi="Times New Roman"/>
                <w:sz w:val="24"/>
              </w:rPr>
              <w:t xml:space="preserve">Positioner i handlede gældsinstrumenter, der opgøres ved hjælp af den løbetidsbaserede metode, jf. artikel 339, stk. 1-8, i forordning (EU) nr. 575/2013, og de tilsvarende kapitalgrundlagskrav beregnet i overensstemmelse med artikel 339, </w:t>
            </w:r>
            <w:r>
              <w:rPr>
                <w:rFonts w:ascii="Times New Roman" w:hAnsi="Times New Roman"/>
                <w:sz w:val="24"/>
              </w:rPr>
              <w:lastRenderedPageBreak/>
              <w:t>stk. 9, i forordning (EU) nr. 575/2013. Positionen opdeles i zone 1, 2 og 3, og disse zoner opdeles i instrumenternes løbetid.</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0210-0240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GENEREL RISIKO. VARIGHEDSBASERET METODE</w:t>
            </w:r>
          </w:p>
          <w:p w14:paraId="08171DB1" w14:textId="1FFC6791" w:rsidR="000B0B09" w:rsidRPr="002A677E" w:rsidRDefault="000B0B09" w:rsidP="00D24331">
            <w:pPr>
              <w:rPr>
                <w:rFonts w:ascii="Times New Roman" w:hAnsi="Times New Roman"/>
                <w:b/>
                <w:bCs/>
                <w:sz w:val="24"/>
                <w:u w:val="single"/>
              </w:rPr>
            </w:pPr>
            <w:r>
              <w:rPr>
                <w:rFonts w:ascii="Times New Roman" w:hAnsi="Times New Roman"/>
                <w:sz w:val="24"/>
              </w:rPr>
              <w:t>Positioner i handlede gældsinstrumenter, der opgøres ved hjælp af den varighedsbaserede metode, jf. artikel 340, stk. 1-6, i forordning (EU) nr. 575/2013, og de tilsvarende kapitalgrundlagskrav beregnet i overensstemmelse med artikel 340, stk. 7, i forordning (EU) nr. 575/2013. Positionen opdeles i zone 1, 2 og 3.</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SPECIFIK RISIKO</w:t>
            </w:r>
          </w:p>
          <w:p w14:paraId="29C6E3D0" w14:textId="77777777" w:rsidR="000B0B09" w:rsidRPr="002A677E" w:rsidRDefault="000B0B09" w:rsidP="00BD2FE7">
            <w:pPr>
              <w:rPr>
                <w:rFonts w:ascii="Times New Roman" w:hAnsi="Times New Roman"/>
                <w:sz w:val="24"/>
              </w:rPr>
            </w:pPr>
            <w:r>
              <w:rPr>
                <w:rFonts w:ascii="Times New Roman" w:hAnsi="Times New Roman"/>
                <w:sz w:val="24"/>
              </w:rPr>
              <w:t xml:space="preserve">Summen af beløb indberettet i række 0251, 0325 og 0330. </w:t>
            </w:r>
          </w:p>
          <w:p w14:paraId="4E1E5CA2" w14:textId="5D1C0270" w:rsidR="000B0B09" w:rsidRPr="002A677E" w:rsidRDefault="000B0B09" w:rsidP="00D24331">
            <w:pPr>
              <w:rPr>
                <w:rFonts w:ascii="Times New Roman" w:hAnsi="Times New Roman"/>
                <w:b/>
                <w:bCs/>
                <w:sz w:val="24"/>
                <w:u w:val="single"/>
              </w:rPr>
            </w:pPr>
            <w:r>
              <w:rPr>
                <w:rFonts w:ascii="Times New Roman" w:hAnsi="Times New Roman"/>
                <w:sz w:val="24"/>
              </w:rPr>
              <w:t>Positioner i handlede gældsinstrumenter, der er omfattet af kapitalkravene for specifik risiko og deres tilsvarende kapitalkrav i henhold til artikel 92, stk. 3, litra b), og artikel 335, artikel 336, stk. 1, 2 og 3, og artikel 337 og 338 i forordning (EU) nr. 575/2013. Bemærk også det sidste punktum i artikel 327, stk. 1, i forordning (EU) nr. 575/2013.</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Kapitalgrundlagskrav i relation til gældsinstrumenter, som ikke er securitiseringsinstrumenter</w:t>
            </w:r>
          </w:p>
          <w:p w14:paraId="19437B35" w14:textId="77777777" w:rsidR="000B0B09" w:rsidRPr="002A677E" w:rsidRDefault="000B0B09" w:rsidP="007B2F85">
            <w:pPr>
              <w:rPr>
                <w:rFonts w:ascii="Times New Roman" w:hAnsi="Times New Roman"/>
                <w:sz w:val="24"/>
              </w:rPr>
            </w:pPr>
            <w:r>
              <w:rPr>
                <w:rFonts w:ascii="Times New Roman" w:hAnsi="Times New Roman"/>
                <w:sz w:val="24"/>
              </w:rPr>
              <w:t>Summen af beløb indberettet i række 260-321.</w:t>
            </w:r>
          </w:p>
          <w:p w14:paraId="4CDA5DEB" w14:textId="3E49784D" w:rsidR="000B0B09" w:rsidRPr="002A677E" w:rsidRDefault="000B0B09" w:rsidP="00BD2FE7">
            <w:pPr>
              <w:rPr>
                <w:rFonts w:ascii="Times New Roman" w:hAnsi="Times New Roman"/>
                <w:sz w:val="24"/>
              </w:rPr>
            </w:pPr>
            <w:r>
              <w:rPr>
                <w:rFonts w:ascii="Times New Roman" w:hAnsi="Times New Roman"/>
                <w:sz w:val="24"/>
              </w:rPr>
              <w:t xml:space="preserve">Kapitalgrundlagskravet for "nth to default"-kreditderivater, som ikke har en ekstern rating, skal beregnes ved at addere risikovægtene for referenceenhederne (artikel 332, stk. 1, litra e), og artikel 332, stk. 1, andet afsnit, i forordning (EU) nr. 575/2013 — "look-through"). "Nth to default"-kreditderivater, som har en ekstern rating (artikel 332, stk. 1, tredje afsnit, i forordning (EU) nr. 575/2013), indberettes særskilt i række 321. </w:t>
            </w:r>
          </w:p>
          <w:p w14:paraId="7051ED04" w14:textId="663FE04C" w:rsidR="000B0B09" w:rsidRPr="002A677E" w:rsidRDefault="000B0B09" w:rsidP="00BD2FE7">
            <w:pPr>
              <w:rPr>
                <w:rFonts w:ascii="Times New Roman" w:hAnsi="Times New Roman"/>
                <w:sz w:val="24"/>
              </w:rPr>
            </w:pPr>
            <w:r>
              <w:rPr>
                <w:rFonts w:ascii="Times New Roman" w:hAnsi="Times New Roman"/>
                <w:sz w:val="24"/>
              </w:rPr>
              <w:t>Indberetning af positioner omfattet af artikel 336, stk. 3, i forordning (EU) nr. 575/2013: Obligationer, der er berettigede til en risikovægt på 10 % i anlægsbeholdningen i henhold til artikel 129, stk. 3, i forordning (EU) nr. 575/2013 (særligt dækkede obligationer og særligt dækkede realkreditobligationer), behandles særskilt. Kapitalgrundlagskravet for specifik risiko er halvdelen af procentdelen for den anden kategori i artikel 336, tabel 1, i forordning (EU) nr. 575/2013. Disse poster skal anføres i række 0280-0300 i henhold til restløbetiden.</w:t>
            </w:r>
          </w:p>
          <w:p w14:paraId="11FE9AD5" w14:textId="13EA9F09" w:rsidR="000B0B09" w:rsidRPr="002A677E" w:rsidRDefault="00F41508" w:rsidP="0002267E">
            <w:pPr>
              <w:rPr>
                <w:rFonts w:ascii="Times New Roman" w:hAnsi="Times New Roman"/>
                <w:b/>
                <w:bCs/>
                <w:sz w:val="24"/>
                <w:u w:val="single"/>
              </w:rPr>
            </w:pPr>
            <w:r>
              <w:rPr>
                <w:rFonts w:ascii="Times New Roman" w:hAnsi="Times New Roman"/>
                <w:sz w:val="24"/>
              </w:rPr>
              <w:t xml:space="preserve">Hvis den generelle risiko i forbindelse med rentepositioner sikres med et kreditderivat, anvendes artikel 346 og 347 i forordning (EU) nr. 575/2013.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Kapitalgrundlagskrav for securitiseringsinstrumenter</w:t>
            </w:r>
          </w:p>
          <w:p w14:paraId="7BA68AB7"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De samlede kapitalgrundlagskrav indberettet i kolonne 0601 i MKR SA SEC-skemaet. Disse samlede kapitalgrundlagskrav indberettes kun på Total-niveauet i MKR SA TDI.</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Kapitalgrundlagskrav for korrelationshandelsporteføljen</w:t>
            </w:r>
          </w:p>
          <w:p w14:paraId="104F8330"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De samlede kapitalgrundlagskrav indberettet i kolonne 0450 i MKR SA CTP-skemaet. Disse samlede kapitalgrundlagskrav indberettes kun på Total-niveauet i MKR SA TDI.</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YDERLIGERE KRAV TIL OPTIONER (BORTSET FRA DELTARISICI) </w:t>
            </w:r>
          </w:p>
          <w:p w14:paraId="3B19069A" w14:textId="2AE3D272" w:rsidR="000B0B09" w:rsidRPr="002A677E" w:rsidRDefault="000B0B09" w:rsidP="00BD2FE7">
            <w:pPr>
              <w:rPr>
                <w:rFonts w:ascii="Times New Roman" w:hAnsi="Times New Roman"/>
                <w:sz w:val="24"/>
              </w:rPr>
            </w:pPr>
            <w:r>
              <w:rPr>
                <w:rFonts w:ascii="Times New Roman" w:hAnsi="Times New Roman"/>
                <w:sz w:val="24"/>
              </w:rPr>
              <w:t>Artikel 329, stk. 3, i forordning (EU) nr. 575/2013</w:t>
            </w:r>
          </w:p>
          <w:p w14:paraId="4A1F04EE" w14:textId="77777777" w:rsidR="000B0B09" w:rsidRPr="002A677E" w:rsidRDefault="000B0B09" w:rsidP="0002267E">
            <w:pPr>
              <w:rPr>
                <w:rFonts w:ascii="Times New Roman" w:hAnsi="Times New Roman"/>
                <w:bCs/>
                <w:sz w:val="24"/>
              </w:rPr>
            </w:pPr>
            <w:r>
              <w:rPr>
                <w:rFonts w:ascii="Times New Roman" w:hAnsi="Times New Roman"/>
                <w:sz w:val="24"/>
              </w:rPr>
              <w:lastRenderedPageBreak/>
              <w:t>De yderligere krav til optioner vedrørende andre risici end deltarisici indberettes opdelt ved hjælp af den metode, der er anvendt til beregningen heraf.</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119059421"/>
      <w:r>
        <w:rPr>
          <w:rFonts w:ascii="Times New Roman" w:hAnsi="Times New Roman"/>
          <w:sz w:val="24"/>
          <w:u w:val="none"/>
        </w:rPr>
        <w:t>5.2.</w:t>
      </w:r>
      <w:r>
        <w:tab/>
      </w:r>
      <w:r>
        <w:rPr>
          <w:rFonts w:ascii="Times New Roman" w:hAnsi="Times New Roman"/>
          <w:sz w:val="24"/>
        </w:rPr>
        <w:t>C 19.00 — MARKEDSRISIKO: SPECIFIK RISIKO I SECURITISERINGER OPGJORT EFTER STANDARDMETODEN (MKR SA SEC)</w:t>
      </w:r>
      <w:bookmarkEnd w:id="623"/>
      <w:bookmarkEnd w:id="624"/>
      <w:bookmarkEnd w:id="625"/>
      <w:bookmarkEnd w:id="626"/>
      <w:bookmarkEnd w:id="627"/>
      <w:bookmarkEnd w:id="628"/>
      <w:bookmarkEnd w:id="629"/>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119059422"/>
      <w:r>
        <w:rPr>
          <w:rFonts w:ascii="Times New Roman" w:hAnsi="Times New Roman"/>
          <w:sz w:val="24"/>
          <w:u w:val="none"/>
        </w:rPr>
        <w:t>5.2.1.</w:t>
      </w:r>
      <w:r>
        <w:tab/>
      </w:r>
      <w:r>
        <w:rPr>
          <w:rFonts w:ascii="Times New Roman" w:hAnsi="Times New Roman"/>
          <w:sz w:val="24"/>
        </w:rPr>
        <w:t>Generelle bemærkninger</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14:paraId="7E5893C5" w14:textId="77777777" w:rsidR="00FC6275"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I dette skema indberettes der oplysninger om positioner (alle/netto og lange/korte) og de relaterede kapitalgrundlagskrav for den specifikke risikokomponent af positionsrisiko i securitiseringer/resecuritiseringer i handelsbeholdningen (kan ikke indgå i korrelationshandelsporteføljen) opgjort efter standardmetoden. </w:t>
      </w:r>
    </w:p>
    <w:p w14:paraId="2729DF95" w14:textId="41C1A18B" w:rsidR="00FC6275" w:rsidRPr="002A677E" w:rsidRDefault="008F3052" w:rsidP="00487A02">
      <w:pPr>
        <w:pStyle w:val="InstructionsText2"/>
        <w:numPr>
          <w:ilvl w:val="0"/>
          <w:numId w:val="0"/>
        </w:numPr>
        <w:ind w:left="1353" w:hanging="360"/>
      </w:pPr>
      <w:fldSimple w:instr=" seq paragraphs ">
        <w:r>
          <w:t>163</w:t>
        </w:r>
      </w:fldSimple>
      <w:r>
        <w:t>.</w:t>
      </w:r>
      <w:r>
        <w:tab/>
        <w:t xml:space="preserve"> MKR SA SEC-skemaet præsenterer kun kapitalgrundlagskrav for den specifikke risiko i forbindelse med securitiseringspositioner i overensstemmelse med artikel 335 i forordning (EU) nr. 575/2013 sammenholdt med artikel 337 i nævnte forordning. Hvis securitiseringspositioner i handelsbeholdningen sikres med kreditderivater, finder artikel 346 og 347 i forordning (EU) nr. 575/2013 anvendelse. Der er kun ét skema for alle positioner i handelsbeholdningen, uanset hvilken metode institutter anvender til at fastlægge risikovægten for hver af positionerne i overensstemmelse med tredje del, afsnit II, kapitel 5, i forordning (EU) nr. 575/2013. Indberetningen af kapitalgrundlagskravene for den generelle risiko i forbindelse med disse eksponeringer foretages i MKR SA TDI- eller MKR IM-skemaet.</w:t>
      </w:r>
    </w:p>
    <w:p w14:paraId="0C732A14" w14:textId="3CA7EEB5" w:rsidR="00FC6275" w:rsidRPr="002A677E" w:rsidRDefault="008F3052" w:rsidP="00487A02">
      <w:pPr>
        <w:pStyle w:val="InstructionsText2"/>
        <w:numPr>
          <w:ilvl w:val="0"/>
          <w:numId w:val="0"/>
        </w:numPr>
        <w:ind w:left="1353" w:hanging="360"/>
      </w:pPr>
      <w:fldSimple w:instr=" seq paragraphs ">
        <w:r>
          <w:t>164</w:t>
        </w:r>
      </w:fldSimple>
      <w:r>
        <w:t>. Positioner, som tillægges en risikovægt på 1 250 % kan alternativt fratrækkes den egentlige kernekapital (se artikel 244, stk. 1, litra b), artikel 245, stk. 1, litra b), og artikel 253 i forordning (EU) nr. 575/2013). I så fald skal disse positioner indberettes i række 0460 i CA1.</w:t>
      </w:r>
    </w:p>
    <w:p w14:paraId="3921F7AA" w14:textId="56C18CF3"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3" w:name="_Toc119059423"/>
      <w:r>
        <w:rPr>
          <w:rFonts w:ascii="Times New Roman" w:hAnsi="Times New Roman"/>
          <w:sz w:val="24"/>
          <w:u w:val="none"/>
        </w:rPr>
        <w:t>5.2.2.</w:t>
      </w:r>
      <w:r>
        <w:tab/>
      </w:r>
      <w:r>
        <w:rPr>
          <w:rFonts w:ascii="Times New Roman" w:hAnsi="Times New Roman"/>
          <w:sz w:val="24"/>
        </w:rPr>
        <w:t>Instrukser vedrørende specifikke positioner</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Kolonner</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POSITIONER (LANGE OG KORTE)</w:t>
            </w:r>
          </w:p>
          <w:p w14:paraId="503F4241" w14:textId="5A1E85D7" w:rsidR="00C55547" w:rsidRPr="002A677E" w:rsidRDefault="00C55547" w:rsidP="007062FD">
            <w:pPr>
              <w:rPr>
                <w:rFonts w:ascii="Times New Roman" w:hAnsi="Times New Roman"/>
                <w:sz w:val="24"/>
              </w:rPr>
            </w:pPr>
            <w:r>
              <w:rPr>
                <w:rFonts w:ascii="Times New Roman" w:hAnsi="Times New Roman"/>
                <w:sz w:val="24"/>
              </w:rPr>
              <w:t>Artikel 102 og artikel 105, stk. 1, i forordning (EU) nr. 575/2013 sammenholdt med artikel 337 i nævnte forordning (securitiseringspositioner).</w:t>
            </w:r>
            <w:r>
              <w:rPr>
                <w:rStyle w:val="InstructionsTabelleText"/>
                <w:rFonts w:ascii="Times New Roman" w:hAnsi="Times New Roman"/>
                <w:sz w:val="24"/>
              </w:rPr>
              <w:t xml:space="preserve"> </w:t>
            </w:r>
            <w:r>
              <w:rPr>
                <w:rFonts w:ascii="Times New Roman" w:hAnsi="Times New Roman"/>
                <w:sz w:val="24"/>
              </w:rPr>
              <w:t>Se artikel 328, stk. 2, i forordning (EU) nr. 575/2013 for oplysninger om sondringen mellem lange og korte positioner, som også gælder for disse bruttopositioner.</w:t>
            </w:r>
            <w:r>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POSITIONER, DER FRATRÆKKES KAPITALGRUNDLAGET (LANGE OG KORTE)</w:t>
            </w:r>
          </w:p>
          <w:p w14:paraId="1429CBFE" w14:textId="010B8175" w:rsidR="00C55547" w:rsidRPr="002A677E"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w:t>
            </w:r>
            <w:r>
              <w:rPr>
                <w:rFonts w:ascii="Times New Roman" w:hAnsi="Times New Roman"/>
                <w:sz w:val="24"/>
              </w:rPr>
              <w:t>Artikel 244, stk. 1, litra b), artikel 245, stk. 1, litra b), og artikel 253 i forordning (EU) nr. 575/2013</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Pr>
                <w:rFonts w:ascii="Times New Roman" w:hAnsi="Times New Roman"/>
                <w:b/>
                <w:sz w:val="24"/>
                <w:u w:val="single"/>
              </w:rPr>
              <w:t>NETTOPOSITIONER (LANGE OG KORTE)</w:t>
            </w:r>
          </w:p>
          <w:p w14:paraId="54C14D76" w14:textId="7E4CA859" w:rsidR="00C55547" w:rsidRPr="002A677E" w:rsidRDefault="00C55547" w:rsidP="003073B2">
            <w:pPr>
              <w:rPr>
                <w:rStyle w:val="InstructionsTabelleText"/>
                <w:rFonts w:ascii="Times New Roman" w:hAnsi="Times New Roman"/>
                <w:sz w:val="24"/>
              </w:rPr>
            </w:pPr>
            <w:r>
              <w:rPr>
                <w:rFonts w:ascii="Times New Roman" w:hAnsi="Times New Roman"/>
                <w:sz w:val="24"/>
              </w:rPr>
              <w:lastRenderedPageBreak/>
              <w:t>Artikel 327, 328, 329 og 334 i forordning (EU) nr. 575/2013</w:t>
            </w:r>
            <w:r>
              <w:rPr>
                <w:rStyle w:val="InstructionsTabelleText"/>
                <w:rFonts w:ascii="Times New Roman" w:hAnsi="Times New Roman"/>
                <w:sz w:val="24"/>
              </w:rPr>
              <w:t xml:space="preserve"> </w:t>
            </w:r>
            <w:r>
              <w:rPr>
                <w:rFonts w:ascii="Times New Roman" w:hAnsi="Times New Roman"/>
                <w:sz w:val="24"/>
              </w:rPr>
              <w:t>Se artikel 328, stk. 2, i forordning (EU) nr. 575/2013 for oplysninger om sondringen mellem lange og korte positioner.</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lastRenderedPageBreak/>
              <w:t>0061-0104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OPDELING AF NETTOPOSITIONER EFTER RISIKOVÆGT</w:t>
            </w:r>
          </w:p>
          <w:p w14:paraId="3ECFC065" w14:textId="41D71775" w:rsidR="00C3548F" w:rsidRPr="002A677E" w:rsidRDefault="00C55547" w:rsidP="003073B2">
            <w:pPr>
              <w:rPr>
                <w:rStyle w:val="InstructionsTabelleText"/>
                <w:rFonts w:ascii="Times New Roman" w:hAnsi="Times New Roman"/>
                <w:sz w:val="24"/>
              </w:rPr>
            </w:pPr>
            <w:r>
              <w:rPr>
                <w:rFonts w:ascii="Times New Roman" w:hAnsi="Times New Roman"/>
                <w:sz w:val="24"/>
              </w:rPr>
              <w:t>Artikel 259-262, artikel 263, tabel 1 og 2, artikel 264, tabel 3 og 4, og artikel 266 i forordning (EU) nr. 575/2013</w:t>
            </w:r>
            <w:r>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Denne opdeling foretages separat for lange og korte positioner.</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OPDELING AF NETTOPOSITIONER EFTER METODE</w:t>
            </w:r>
          </w:p>
          <w:p w14:paraId="683DE902" w14:textId="55DF04AD" w:rsidR="00C55547" w:rsidRPr="002A677E" w:rsidRDefault="00C55547" w:rsidP="003073B2">
            <w:pPr>
              <w:rPr>
                <w:rFonts w:ascii="Times New Roman" w:hAnsi="Times New Roman"/>
                <w:b/>
                <w:bCs/>
                <w:sz w:val="24"/>
                <w:u w:val="single"/>
              </w:rPr>
            </w:pPr>
            <w:r>
              <w:rPr>
                <w:rFonts w:ascii="Times New Roman" w:hAnsi="Times New Roman"/>
                <w:sz w:val="24"/>
              </w:rPr>
              <w:t>Artikel 254 i forordning (EU) nr. 575/2013</w:t>
            </w:r>
            <w:r>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A677E" w:rsidRDefault="00C55547" w:rsidP="003073B2">
            <w:pPr>
              <w:rPr>
                <w:rFonts w:ascii="Times New Roman" w:hAnsi="Times New Roman"/>
                <w:b/>
                <w:bCs/>
                <w:sz w:val="24"/>
                <w:u w:val="single"/>
              </w:rPr>
            </w:pPr>
            <w:r>
              <w:rPr>
                <w:rFonts w:ascii="Times New Roman" w:hAnsi="Times New Roman"/>
                <w:sz w:val="24"/>
              </w:rPr>
              <w:t>Artikel 259 og 260 i forordning (EU) nr. 575/2013</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A677E" w:rsidRDefault="00C55547" w:rsidP="003073B2">
            <w:pPr>
              <w:autoSpaceDE w:val="0"/>
              <w:autoSpaceDN w:val="0"/>
              <w:adjustRightInd w:val="0"/>
              <w:jc w:val="left"/>
              <w:rPr>
                <w:rFonts w:ascii="Times New Roman" w:hAnsi="Times New Roman"/>
                <w:b/>
                <w:bCs/>
                <w:sz w:val="24"/>
                <w:u w:val="single"/>
              </w:rPr>
            </w:pPr>
            <w:r>
              <w:rPr>
                <w:rFonts w:ascii="Times New Roman" w:hAnsi="Times New Roman"/>
                <w:sz w:val="24"/>
              </w:rPr>
              <w:t>Artikel 261 og 262 i forordning (EU) nr. 575/2013</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A677E" w:rsidRDefault="00C55547" w:rsidP="003073B2">
            <w:pPr>
              <w:rPr>
                <w:rFonts w:ascii="Times New Roman" w:hAnsi="Times New Roman"/>
                <w:b/>
                <w:bCs/>
                <w:sz w:val="24"/>
                <w:u w:val="single"/>
              </w:rPr>
            </w:pPr>
            <w:r>
              <w:rPr>
                <w:rFonts w:ascii="Times New Roman" w:hAnsi="Times New Roman"/>
                <w:sz w:val="24"/>
              </w:rPr>
              <w:t>Artikel 263 og 264 i forordning (EU) nr. 575/2013</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DEN INTERNE VURDERINGSMETODE</w:t>
            </w:r>
          </w:p>
          <w:p w14:paraId="5354C48C" w14:textId="67E47F49" w:rsidR="00C55547" w:rsidRPr="002A677E" w:rsidRDefault="00C55547" w:rsidP="007062FD">
            <w:pPr>
              <w:rPr>
                <w:rFonts w:ascii="Times New Roman" w:hAnsi="Times New Roman"/>
                <w:bCs/>
                <w:sz w:val="24"/>
                <w:u w:val="single"/>
              </w:rPr>
            </w:pPr>
            <w:r>
              <w:rPr>
                <w:rFonts w:ascii="Times New Roman" w:hAnsi="Times New Roman"/>
                <w:sz w:val="24"/>
              </w:rPr>
              <w:t>Artikel 254, artikel 265, og artikel 266, stk. 5, i forordning (EU) nr. 575/2013</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Pr>
                <w:rFonts w:ascii="Times New Roman" w:hAnsi="Times New Roman"/>
                <w:b/>
                <w:sz w:val="24"/>
                <w:u w:val="single"/>
              </w:rPr>
              <w:t>SÆRLIG BEHANDLING AF FORANSTILLEDE TRANCHER AF KVALIFICERENDE NPE-SECURITISERINGER</w:t>
            </w:r>
          </w:p>
          <w:p w14:paraId="17BE744C" w14:textId="0A44FB4D" w:rsidR="0033476C" w:rsidRPr="002A677E" w:rsidRDefault="0033476C" w:rsidP="001235ED">
            <w:pPr>
              <w:rPr>
                <w:rFonts w:ascii="Times New Roman" w:hAnsi="Times New Roman"/>
                <w:b/>
                <w:bCs/>
                <w:sz w:val="24"/>
                <w:u w:val="single"/>
              </w:rPr>
            </w:pPr>
            <w:r>
              <w:rPr>
                <w:rFonts w:ascii="Times New Roman" w:hAnsi="Times New Roman"/>
                <w:sz w:val="24"/>
              </w:rPr>
              <w:t>Artikel 269a, stk. 3, i forordning (EU) nr. 575/2013</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ANDRE (RW = 1 250 %)</w:t>
            </w:r>
          </w:p>
          <w:p w14:paraId="1684F52F" w14:textId="43F3FE5E" w:rsidR="00C55547" w:rsidRPr="002A677E" w:rsidRDefault="00C55547" w:rsidP="003073B2">
            <w:pPr>
              <w:rPr>
                <w:rFonts w:ascii="Times New Roman" w:hAnsi="Times New Roman"/>
                <w:b/>
                <w:bCs/>
                <w:sz w:val="24"/>
                <w:u w:val="single"/>
              </w:rPr>
            </w:pPr>
            <w:r>
              <w:rPr>
                <w:rFonts w:ascii="Times New Roman" w:hAnsi="Times New Roman"/>
                <w:sz w:val="24"/>
              </w:rPr>
              <w:t>Artikel 254, stk. 7, i forordning (EU) nr. 575/2013</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GENEREL VIRKNING (JUSTERING) SOM FØLGE AF OVERTRÆDELSE AF KAPITEL 2 I FORORDNING (EU) 2017/2402</w:t>
            </w:r>
          </w:p>
          <w:p w14:paraId="3FBEAE4C" w14:textId="027236BE" w:rsidR="00C55547" w:rsidRPr="002A677E" w:rsidRDefault="00C55547" w:rsidP="003073B2">
            <w:pPr>
              <w:rPr>
                <w:rFonts w:ascii="Times New Roman" w:hAnsi="Times New Roman"/>
                <w:b/>
                <w:bCs/>
                <w:sz w:val="24"/>
                <w:u w:val="single"/>
              </w:rPr>
            </w:pPr>
            <w:r>
              <w:rPr>
                <w:rFonts w:ascii="Times New Roman" w:hAnsi="Times New Roman"/>
                <w:sz w:val="24"/>
              </w:rPr>
              <w:t>Artikel 270a i forordning (EU) nr. 575/2013</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FØR LOFT </w:t>
            </w:r>
          </w:p>
          <w:p w14:paraId="740CD739" w14:textId="19182A93" w:rsidR="00C55547" w:rsidRPr="002A677E" w:rsidRDefault="00C55547" w:rsidP="007062FD">
            <w:pPr>
              <w:rPr>
                <w:rFonts w:ascii="Times New Roman" w:hAnsi="Times New Roman"/>
                <w:bCs/>
                <w:sz w:val="24"/>
              </w:rPr>
            </w:pPr>
            <w:r>
              <w:rPr>
                <w:rFonts w:ascii="Times New Roman" w:hAnsi="Times New Roman"/>
                <w:sz w:val="24"/>
              </w:rPr>
              <w:t>Artikel 337 i forordning (EU) nr. 575/2013 uden indregning af skønnet i artikel 335 i nævnte forordning, der giver et institut mulighed for at begrænse vægten og nettopositionen til det højest mulige tab forbundet med misligholdelsesrisikoen.</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EFTER LOFT / SAMLEDE KAPITALGRUNDLAGSKRAV </w:t>
            </w:r>
          </w:p>
          <w:p w14:paraId="0DE4FAED" w14:textId="022355BB" w:rsidR="00C55547" w:rsidRPr="002A677E" w:rsidRDefault="00C55547" w:rsidP="007062FD">
            <w:pPr>
              <w:rPr>
                <w:rFonts w:ascii="Times New Roman" w:hAnsi="Times New Roman"/>
                <w:bCs/>
                <w:sz w:val="24"/>
              </w:rPr>
            </w:pPr>
            <w:r>
              <w:rPr>
                <w:rFonts w:ascii="Times New Roman" w:hAnsi="Times New Roman"/>
                <w:sz w:val="24"/>
              </w:rPr>
              <w:t>Artikel 337 i forordning (EU) nr. 575/2013 med indregning af skønnet i artikel 335 i nævnte forordning.</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Rækker</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A677E" w:rsidRDefault="00C55547" w:rsidP="00E10B85">
            <w:pPr>
              <w:rPr>
                <w:rFonts w:ascii="Times New Roman" w:hAnsi="Times New Roman"/>
                <w:sz w:val="24"/>
              </w:rPr>
            </w:pPr>
            <w:r>
              <w:rPr>
                <w:rStyle w:val="InstructionsTabelleberschrift"/>
                <w:rFonts w:ascii="Times New Roman" w:hAnsi="Times New Roman"/>
                <w:sz w:val="24"/>
              </w:rPr>
              <w:t>SAMLEDE EKSPONERINGER</w:t>
            </w:r>
          </w:p>
          <w:p w14:paraId="3DA30B45" w14:textId="77777777" w:rsidR="00C55547" w:rsidRPr="002A677E"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lastRenderedPageBreak/>
              <w:t>Det samlede beløb for udestående securitiseringer og resecuritiseringer (i handelsbeholdningen), som indberettes af det institut, der optræder som eksponeringsleverende institut eller investor eller organiserende institut.</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lastRenderedPageBreak/>
              <w:t>0040, 0070 og 0100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SECURITISERINGSPOSITIONER</w:t>
            </w:r>
          </w:p>
          <w:p w14:paraId="62CD89EA" w14:textId="30BF22B1" w:rsidR="00C55547" w:rsidRPr="002A677E"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Artikel 4, stk. 1, nr. 62), i forordning (EU) nr. 575/2013</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og 0110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RESECURITISERINGSPOSITIONER</w:t>
            </w:r>
          </w:p>
          <w:p w14:paraId="32F5BAEB" w14:textId="2FA2B3C6"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Artikel 4, stk. 1, nr. 64), i forordning (EU) nr. 575/2013</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og 0101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HERAF: DER ER BERETTIGEDE TIL DIFFERENTIERET KAPITALBEHANDLING</w:t>
            </w:r>
          </w:p>
          <w:p w14:paraId="775DD0A5" w14:textId="73ABBACB" w:rsidR="00C55547" w:rsidRPr="002A677E" w:rsidRDefault="00C55547" w:rsidP="007062FD">
            <w:pPr>
              <w:rPr>
                <w:rStyle w:val="InstructionsTabelleberschrift"/>
                <w:rFonts w:ascii="Times New Roman" w:hAnsi="Times New Roman"/>
                <w:sz w:val="24"/>
              </w:rPr>
            </w:pPr>
            <w:r>
              <w:rPr>
                <w:rFonts w:ascii="Times New Roman" w:hAnsi="Times New Roman"/>
                <w:sz w:val="24"/>
              </w:rPr>
              <w:t>Det samlede beløb for securitiseringspositioner, som opfylder kriterierne i artikel 243 i forordning (EU) nr. 575/2013 og artikel 270 i nævnte forordning og derfor er berettigede til differentieret kapitalbehandling.</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EKSPONERINGSLEVERENDE INSTITUT</w:t>
            </w:r>
          </w:p>
          <w:p w14:paraId="50264432" w14:textId="0FD773BF"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Artikel 4, stk. 1, nr. 13), i forordning (EU) nr. 575/2013</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INVESTOR</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Kreditinstitut, der besidder securitiseringspositioner i en securitiseringstransaktion, hvor det hverken er eksponeringsleverende institut, organiserende institut eller oprindelig långiver.</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ORGANISERENDE INSTITUT</w:t>
            </w:r>
          </w:p>
          <w:p w14:paraId="40C5E800" w14:textId="57801E6F"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Artikel 4, stk. 1, nr. 14), i forordning (EU) nr. 575/2013</w:t>
            </w:r>
            <w:r>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Et organiserende institut, der også securitiserer sine egne aktiver, skal indsætte oplysninger om sine egne securitiserede aktiver i rækkerne for det eksponeringsleverende institut.</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4" w:name="_Toc294172373"/>
      <w:bookmarkStart w:id="645" w:name="_Toc295830002"/>
      <w:bookmarkStart w:id="646" w:name="_Toc308426679"/>
      <w:bookmarkStart w:id="647" w:name="_Toc310415063"/>
      <w:bookmarkStart w:id="648" w:name="_Toc360188398"/>
      <w:bookmarkStart w:id="649" w:name="_Toc473561038"/>
      <w:bookmarkStart w:id="650" w:name="_Toc119059424"/>
      <w:r>
        <w:rPr>
          <w:rFonts w:ascii="Times New Roman" w:hAnsi="Times New Roman"/>
          <w:sz w:val="24"/>
          <w:u w:val="none"/>
        </w:rPr>
        <w:t>5.3.</w:t>
      </w:r>
      <w:r>
        <w:tab/>
      </w:r>
      <w:r>
        <w:rPr>
          <w:rFonts w:ascii="Times New Roman" w:hAnsi="Times New Roman"/>
          <w:sz w:val="24"/>
        </w:rPr>
        <w:t>C 20.00 — MARKEDSRISIKO: SPECIFIK RISIKO FOR POSITIONER TILDELT KORRELATIONSHANDELSPORTEFØLJEN OPGJORT EFTER STANDARDMETODEN (MKR SA CTP</w:t>
      </w:r>
      <w:bookmarkEnd w:id="644"/>
      <w:bookmarkEnd w:id="645"/>
      <w:bookmarkEnd w:id="646"/>
      <w:bookmarkEnd w:id="647"/>
      <w:r>
        <w:rPr>
          <w:rFonts w:ascii="Times New Roman" w:hAnsi="Times New Roman"/>
          <w:sz w:val="24"/>
        </w:rPr>
        <w:t>)</w:t>
      </w:r>
      <w:bookmarkEnd w:id="648"/>
      <w:bookmarkEnd w:id="649"/>
      <w:bookmarkEnd w:id="650"/>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119059425"/>
      <w:r>
        <w:rPr>
          <w:rFonts w:ascii="Times New Roman" w:hAnsi="Times New Roman"/>
          <w:sz w:val="24"/>
          <w:u w:val="none"/>
        </w:rPr>
        <w:t>5.3.1.</w:t>
      </w:r>
      <w:r>
        <w:tab/>
      </w:r>
      <w:r>
        <w:rPr>
          <w:rFonts w:ascii="Times New Roman" w:hAnsi="Times New Roman"/>
          <w:sz w:val="24"/>
        </w:rPr>
        <w:t>Generelle bemærkninger</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14:paraId="6E7E4803" w14:textId="68AD0D58" w:rsidR="00C55547"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I dette skema indberettes der oplysninger om positioner i korrelationshandelsporteføljen (CTP) (som omfatter securitiseringer, "nth to default"-kreditderivater og andre positioner i korrelationshandelsporteføljen, der er medtaget i henhold til artikel 338, stk. 3, i forordning (EU) nr. 575/2013) og de tilsvarende kapitalgrundlagskrav opgjort efter standardmetoden.</w:t>
      </w:r>
    </w:p>
    <w:p w14:paraId="7D9D9B10" w14:textId="4644204E" w:rsidR="00C55547" w:rsidRPr="002A677E" w:rsidRDefault="008F3052" w:rsidP="00487A02">
      <w:pPr>
        <w:pStyle w:val="InstructionsText2"/>
        <w:numPr>
          <w:ilvl w:val="0"/>
          <w:numId w:val="0"/>
        </w:numPr>
        <w:ind w:left="1353" w:hanging="360"/>
      </w:pPr>
      <w:fldSimple w:instr=" seq paragraphs ">
        <w:r>
          <w:t>166</w:t>
        </w:r>
      </w:fldSimple>
      <w:r>
        <w:t>.</w:t>
      </w:r>
      <w:r>
        <w:tab/>
        <w:t xml:space="preserve"> MKR SA CTP-skemaet præsenterer kun kapitalgrundlagskravet for den specifikke risiko ved positioner tildelt korrelationshandelsporteføljen i medfør af artikel 335 i forordning (EU) nr. 575/2013 sammenholdt med artikel 338, stk. 2 og </w:t>
      </w:r>
      <w:r>
        <w:lastRenderedPageBreak/>
        <w:t>3, i nævnte forordning. Hvis CTP-positioner i handelsbeholdningen sikres med kreditderivater, finder artikel 346 og 347 i forordning (EU) nr. 575/2013 anvendelse. Der er kun ét skema for alle CPT-positioner i handelsbeholdningen, uanset hvilken metode institutter anvender til at fastlægge risikovægten for hver af positionerne i overensstemmelse med tredje del, afsnit II, kapitel 5, i forordning (EU) nr. 575/2013. Indberetningen af kapitalgrundlagskravene for den generelle risiko i forbindelse med disse positioner foretages i MKR SA TDI- eller MKR IM-skemaet.</w:t>
      </w:r>
    </w:p>
    <w:p w14:paraId="2252BE4F" w14:textId="3E983CC2" w:rsidR="00C55547" w:rsidRPr="002A677E" w:rsidRDefault="008F3052" w:rsidP="00487A02">
      <w:pPr>
        <w:pStyle w:val="InstructionsText2"/>
        <w:numPr>
          <w:ilvl w:val="0"/>
          <w:numId w:val="0"/>
        </w:numPr>
        <w:ind w:left="1353" w:hanging="360"/>
      </w:pPr>
      <w:fldSimple w:instr=" seq paragraphs ">
        <w:r>
          <w:t>167</w:t>
        </w:r>
      </w:fldSimple>
      <w:r>
        <w:t>.</w:t>
      </w:r>
      <w:r>
        <w:tab/>
        <w:t xml:space="preserve"> I skemaet er securitiseringspositioner, "nth to default"-kreditderivater og andre CTP-positioner adskilt. Securitiseringspositioner indberettes altid i række 0030, 0060 eller 0090 (afhængigt af instituttets rolle i securitiseringen). "Nth to default"-kreditderivater indberettes altid i række 0110. De "andre CTP-positioner" er positioner, som hverken er securitiseringspositioner eller "nth to default"-kreditderivater (se artikel 338, stk. 3, i forordning (EU) nr. 575/2013), men de er (på grund af hensigten om sikring) udtrykkeligt kædet sammen med en af disse to positioner. </w:t>
      </w:r>
    </w:p>
    <w:p w14:paraId="5B5B9C2A" w14:textId="366CB649" w:rsidR="00C55547" w:rsidRPr="002A677E" w:rsidRDefault="008F3052" w:rsidP="00487A02">
      <w:pPr>
        <w:pStyle w:val="InstructionsText2"/>
        <w:numPr>
          <w:ilvl w:val="0"/>
          <w:numId w:val="0"/>
        </w:numPr>
        <w:ind w:left="1353" w:hanging="360"/>
      </w:pPr>
      <w:fldSimple w:instr=" seq paragraphs ">
        <w:r>
          <w:t>168</w:t>
        </w:r>
      </w:fldSimple>
      <w:r>
        <w:t>.</w:t>
      </w:r>
      <w:r>
        <w:tab/>
        <w:t xml:space="preserve"> Positioner, som tillægges en risikovægt på 1 250 % kan alternativt fratrækkes den egentlige kernekapital (se artikel 244, stk. 1, litra b), artikel 245, stk. 1, litra b), og artikel 253 i forordning (EU) nr. 575/2013). I så fald skal disse positioner indberettes i række 0460 i CA1.</w:t>
      </w:r>
    </w:p>
    <w:p w14:paraId="6482CB53" w14:textId="3E0BDD0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4" w:name="_Toc119059426"/>
      <w:r>
        <w:rPr>
          <w:rFonts w:ascii="Times New Roman" w:hAnsi="Times New Roman"/>
          <w:sz w:val="24"/>
          <w:u w:val="none"/>
        </w:rPr>
        <w:t>5.3.2.</w:t>
      </w:r>
      <w:r>
        <w:tab/>
      </w:r>
      <w:r>
        <w:rPr>
          <w:rFonts w:ascii="Times New Roman" w:hAnsi="Times New Roman"/>
          <w:sz w:val="24"/>
        </w:rPr>
        <w:t>Instrukser vedrørende specifikke positioner</w:t>
      </w:r>
      <w:bookmarkEnd w:id="658"/>
      <w:bookmarkEnd w:id="659"/>
      <w:bookmarkEnd w:id="660"/>
      <w:bookmarkEnd w:id="661"/>
      <w:bookmarkEnd w:id="662"/>
      <w:bookmarkEnd w:id="663"/>
      <w:bookmarkEnd w:id="664"/>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Kolonner</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ALLE POSITIONER (LANGE OG KORTE)</w:t>
            </w:r>
          </w:p>
          <w:p w14:paraId="4F3CF7CB" w14:textId="017BAB06" w:rsidR="005C14B0" w:rsidRPr="002A677E" w:rsidRDefault="00C55547" w:rsidP="00E10B85">
            <w:pPr>
              <w:rPr>
                <w:rFonts w:ascii="Times New Roman" w:hAnsi="Times New Roman"/>
                <w:sz w:val="24"/>
              </w:rPr>
            </w:pPr>
            <w:r>
              <w:rPr>
                <w:rFonts w:ascii="Times New Roman" w:hAnsi="Times New Roman"/>
                <w:sz w:val="24"/>
              </w:rPr>
              <w:t>Artikel 102 og artikel 105, stk. 1, i forordning (EU) nr. 575/2013 sammenholdt med artikel 338, stk. 2 og 3, i nævnte forordning (positioner tildelt korrelationshandelsporteføljen)</w:t>
            </w:r>
          </w:p>
          <w:p w14:paraId="70FB0860" w14:textId="005CBA75" w:rsidR="00C55547" w:rsidRPr="002A677E" w:rsidRDefault="00C55547" w:rsidP="0002267E">
            <w:pPr>
              <w:rPr>
                <w:rFonts w:ascii="Times New Roman" w:hAnsi="Times New Roman"/>
                <w:sz w:val="24"/>
              </w:rPr>
            </w:pPr>
            <w:r>
              <w:rPr>
                <w:rFonts w:ascii="Times New Roman" w:hAnsi="Times New Roman"/>
                <w:sz w:val="24"/>
              </w:rPr>
              <w:t>Se artikel 328, stk. 2, i forordning (EU) nr. 575/2013 for oplysninger om sondringen mellem lange og korte positioner, som også gælder for disse bruttopositioner.</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POSITIONER, DER FRATRÆKKES KAPITALGRUNDLAGET (LANGE OG KORTE)</w:t>
            </w:r>
          </w:p>
          <w:p w14:paraId="56207551" w14:textId="0069D39B" w:rsidR="00C55547" w:rsidRPr="002A677E" w:rsidRDefault="00C55547" w:rsidP="00E64BFE">
            <w:pPr>
              <w:rPr>
                <w:rFonts w:ascii="Times New Roman" w:hAnsi="Times New Roman"/>
                <w:sz w:val="24"/>
              </w:rPr>
            </w:pPr>
            <w:r>
              <w:rPr>
                <w:rFonts w:ascii="Times New Roman" w:hAnsi="Times New Roman"/>
                <w:sz w:val="24"/>
              </w:rPr>
              <w:t xml:space="preserve">Artikel 253 i forordning (EU) nr. 575/2013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NETTOPOSITIONER (LANGE OG KORTE)</w:t>
            </w:r>
          </w:p>
          <w:p w14:paraId="01BDDE40" w14:textId="76E789A7" w:rsidR="005C14B0" w:rsidRPr="002A677E" w:rsidRDefault="00C55547" w:rsidP="00E10B85">
            <w:pPr>
              <w:rPr>
                <w:rFonts w:ascii="Times New Roman" w:hAnsi="Times New Roman"/>
                <w:sz w:val="24"/>
              </w:rPr>
            </w:pPr>
            <w:r>
              <w:rPr>
                <w:rFonts w:ascii="Times New Roman" w:hAnsi="Times New Roman"/>
                <w:sz w:val="24"/>
              </w:rPr>
              <w:t xml:space="preserve">Artikel 327, 328, 329 og 334 i forordning (EU) nr. 575/2013 </w:t>
            </w:r>
          </w:p>
          <w:p w14:paraId="6C03F093" w14:textId="2B98C3C7" w:rsidR="00C55547" w:rsidRPr="002A677E" w:rsidRDefault="00C55547" w:rsidP="00E64BFE">
            <w:pPr>
              <w:rPr>
                <w:rFonts w:ascii="Times New Roman" w:hAnsi="Times New Roman"/>
                <w:sz w:val="24"/>
              </w:rPr>
            </w:pPr>
            <w:r>
              <w:rPr>
                <w:rFonts w:ascii="Times New Roman" w:hAnsi="Times New Roman"/>
                <w:sz w:val="24"/>
              </w:rPr>
              <w:t>Se artikel 328, stk. 2, i forordning (EU) nr. 575/2013 for oplysninger om sondringen mellem lange og korte positioner.</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OPDELING AF NETTOPOSITIONER EFTER RISIKOVÆGT</w:t>
            </w:r>
          </w:p>
          <w:p w14:paraId="691F4414" w14:textId="030DE019" w:rsidR="00C55547" w:rsidRPr="002A677E" w:rsidRDefault="00133396" w:rsidP="001F2389">
            <w:pPr>
              <w:rPr>
                <w:rFonts w:ascii="Times New Roman" w:hAnsi="Times New Roman"/>
                <w:sz w:val="24"/>
              </w:rPr>
            </w:pPr>
            <w:r>
              <w:rPr>
                <w:rFonts w:ascii="Times New Roman" w:hAnsi="Times New Roman"/>
                <w:sz w:val="24"/>
              </w:rPr>
              <w:lastRenderedPageBreak/>
              <w:t>Artikel 259-262, artikel 263, tabel 1 og 2, artikel 264, tabel 3 og 4, og artikel 266 i forordning (EU) nr. 575/2013</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Pr>
                <w:rFonts w:ascii="Times New Roman" w:hAnsi="Times New Roman"/>
                <w:sz w:val="24"/>
              </w:rPr>
              <w:lastRenderedPageBreak/>
              <w:t>0402-0406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OPDELING AF NETTOPOSITIONER EFTER METODE</w:t>
            </w:r>
          </w:p>
          <w:p w14:paraId="19937787" w14:textId="465ADE79"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Artikel 254 i forordning (EU) nr. 575/2013</w:t>
            </w:r>
            <w:r>
              <w:rPr>
                <w:rStyle w:val="InstructionsTabelleText"/>
                <w:rFonts w:ascii="Times New Roman" w:hAnsi="Times New Roman"/>
                <w:sz w:val="24"/>
              </w:rPr>
              <w:t xml:space="preserv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Artikel 259 og 260 i forordning (EU) nr. 575/2013</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1235ED"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Artikel 261 og 262 i forordning (EU) nr. 575/2013</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Artikel 263 og 264 i forordning (EU) nr. 575/2013</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DEN INTERNE VURDERINGSMETODE</w:t>
            </w:r>
          </w:p>
          <w:p w14:paraId="46E92693" w14:textId="78E87E8C"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Artikel 254 og 265 og artikel 266, stk. 5, i forordning (EU) nr. 575/2013</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Pr>
                <w:rFonts w:ascii="Times New Roman" w:hAnsi="Times New Roman"/>
                <w:b/>
                <w:sz w:val="24"/>
                <w:u w:val="single"/>
              </w:rPr>
              <w:t>SÆRLIG BEHANDLING AF FORANSTILLEDE TRANCHER AF KVALIFICERENDE NPE-SECURITISERINGER</w:t>
            </w:r>
          </w:p>
          <w:p w14:paraId="1D397AE3" w14:textId="76C348BD" w:rsidR="00A97C62" w:rsidRPr="002A677E"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Artikel 269a, stk. 3, i forordning (EU) nr. 575/2013</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ANDRE (RW = 1 250 %)</w:t>
            </w:r>
          </w:p>
          <w:p w14:paraId="0B94870A" w14:textId="0A4BBAC5"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Artikel 254, stk. 7, i forordning (EU) nr. 575/2013</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FØR LOFT — VÆGTEDE LANGE/KORTE NETTOPOSITIONER</w:t>
            </w:r>
          </w:p>
          <w:p w14:paraId="7E8A31C6" w14:textId="04B0137F" w:rsidR="00C55547" w:rsidRPr="002A677E" w:rsidRDefault="00C55547" w:rsidP="007062FD">
            <w:pPr>
              <w:rPr>
                <w:rFonts w:ascii="Times New Roman" w:hAnsi="Times New Roman"/>
                <w:sz w:val="24"/>
              </w:rPr>
            </w:pPr>
            <w:r>
              <w:rPr>
                <w:rFonts w:ascii="Times New Roman" w:hAnsi="Times New Roman"/>
                <w:sz w:val="24"/>
              </w:rPr>
              <w:t xml:space="preserve">Artikel 338 i forordning (EU) nr. 575/2013 uden indregning af skønnet i artikel 335 i nævnte forordning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EFTER LOFT — VÆGTEDE LANGE/KORTE NETTOPOSITIONER</w:t>
            </w:r>
          </w:p>
          <w:p w14:paraId="3304B399" w14:textId="1538540C" w:rsidR="00C55547" w:rsidRPr="002A677E" w:rsidRDefault="00C55547" w:rsidP="007062FD">
            <w:pPr>
              <w:rPr>
                <w:rFonts w:ascii="Times New Roman" w:hAnsi="Times New Roman"/>
                <w:sz w:val="24"/>
              </w:rPr>
            </w:pPr>
            <w:r>
              <w:rPr>
                <w:rFonts w:ascii="Times New Roman" w:hAnsi="Times New Roman"/>
                <w:sz w:val="24"/>
              </w:rPr>
              <w:t xml:space="preserve">Artikel 338 i forordning (EU) nr. 575/2013 med indregning af skønnet i artikel 335 i nævnte forordning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SAMLEDE KAPITALGRUNDLAGSKRAV</w:t>
            </w:r>
          </w:p>
          <w:p w14:paraId="7DEA5D32" w14:textId="77777777" w:rsidR="00C55547" w:rsidRPr="002A677E" w:rsidRDefault="00C55547" w:rsidP="00E10B85">
            <w:pPr>
              <w:rPr>
                <w:rFonts w:ascii="Times New Roman" w:hAnsi="Times New Roman"/>
                <w:sz w:val="24"/>
              </w:rPr>
            </w:pPr>
            <w:r>
              <w:rPr>
                <w:rFonts w:ascii="Times New Roman" w:hAnsi="Times New Roman"/>
                <w:sz w:val="24"/>
              </w:rPr>
              <w:t>Kapitalgrundlagskravet bestemmes som det største af i) kapitalkravet for specifik risiko, der finder anvendelse på kun de lange nettopositioner (kolonne 0430), eller ii) kapitalkravet for specifik risiko, der finder anvendelse på kun de korte nettopositioner (kolonne 0440).</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Rækker</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SAMLEDE EKSPONERINGER</w:t>
            </w:r>
          </w:p>
          <w:p w14:paraId="47BDA358" w14:textId="77777777" w:rsidR="00C55547" w:rsidRPr="002A677E" w:rsidRDefault="00C55547" w:rsidP="00E10B85">
            <w:pPr>
              <w:rPr>
                <w:rFonts w:ascii="Times New Roman" w:hAnsi="Times New Roman"/>
                <w:sz w:val="24"/>
              </w:rPr>
            </w:pPr>
            <w:r>
              <w:rPr>
                <w:rFonts w:ascii="Times New Roman" w:hAnsi="Times New Roman"/>
                <w:sz w:val="24"/>
              </w:rPr>
              <w:t>Det samlede beløb af udestående positioner (i korrelationshandelsporteføljen), som indberettes af det institut, der optræder som eksponeringsleverende institut og/eller investor og/eller organiserende institut.</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0020-0040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EKSPONERINGSLEVERENDE INSTITUT</w:t>
            </w:r>
          </w:p>
          <w:p w14:paraId="07F7FC7F" w14:textId="691C5D11" w:rsidR="00C55547" w:rsidRPr="002A677E" w:rsidRDefault="00C55547" w:rsidP="001F2389">
            <w:pPr>
              <w:rPr>
                <w:rFonts w:ascii="Times New Roman" w:hAnsi="Times New Roman"/>
                <w:sz w:val="24"/>
              </w:rPr>
            </w:pPr>
            <w:r>
              <w:rPr>
                <w:rFonts w:ascii="Times New Roman" w:hAnsi="Times New Roman"/>
                <w:sz w:val="24"/>
              </w:rPr>
              <w:t xml:space="preserve">Artikel 4, stk. 1, nr. 13), i forordning (EU) nr. 575/2013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INVESTOR</w:t>
            </w:r>
          </w:p>
          <w:p w14:paraId="5507389D" w14:textId="77777777" w:rsidR="00C55547" w:rsidRPr="002A677E" w:rsidRDefault="00C55547">
            <w:pPr>
              <w:rPr>
                <w:rFonts w:ascii="Times New Roman" w:hAnsi="Times New Roman"/>
                <w:sz w:val="24"/>
              </w:rPr>
            </w:pPr>
            <w:r>
              <w:rPr>
                <w:rFonts w:ascii="Times New Roman" w:hAnsi="Times New Roman"/>
                <w:sz w:val="24"/>
              </w:rPr>
              <w:t>Kreditinstitut, der besidder securitiseringspositioner i en securitiseringstransaktion, hvor det hverken er eksponeringsleverende institut, organiserende institut eller oprindelig långiver</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ORGANISERENDE INSTITUT</w:t>
            </w:r>
          </w:p>
          <w:p w14:paraId="65D6B605" w14:textId="002B3FBA" w:rsidR="005C14B0" w:rsidRPr="002A677E" w:rsidRDefault="00E64BFE" w:rsidP="001E0C80">
            <w:pPr>
              <w:rPr>
                <w:rFonts w:ascii="Times New Roman" w:hAnsi="Times New Roman"/>
                <w:sz w:val="24"/>
              </w:rPr>
            </w:pPr>
            <w:r>
              <w:rPr>
                <w:rFonts w:ascii="Times New Roman" w:hAnsi="Times New Roman"/>
                <w:sz w:val="24"/>
              </w:rPr>
              <w:t xml:space="preserve"> Artikel 4, stk. 1, nr. 14), i forordning (EU) nr. 575/2013 </w:t>
            </w:r>
          </w:p>
          <w:p w14:paraId="7911CCA2" w14:textId="77777777" w:rsidR="00C55547" w:rsidRPr="002A677E" w:rsidRDefault="005F3BBE" w:rsidP="005F3BBE">
            <w:pPr>
              <w:rPr>
                <w:rFonts w:ascii="Times New Roman" w:hAnsi="Times New Roman"/>
                <w:sz w:val="24"/>
              </w:rPr>
            </w:pPr>
            <w:r>
              <w:rPr>
                <w:rFonts w:ascii="Times New Roman" w:hAnsi="Times New Roman"/>
                <w:sz w:val="24"/>
              </w:rPr>
              <w:t>Et organiserende institut, der også securitiserer sine egne aktiver, skal indsætte oplysninger om sine egne securitiserede aktiver i rækkerne for det eksponeringsleverende institut.</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og 0090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SECURITISERINGSPOSITIONER</w:t>
            </w:r>
          </w:p>
          <w:p w14:paraId="3E2839F4" w14:textId="4835C00E" w:rsidR="00C55547" w:rsidRPr="002A677E" w:rsidRDefault="00C55547" w:rsidP="00E10B85">
            <w:pPr>
              <w:rPr>
                <w:rFonts w:ascii="Times New Roman" w:hAnsi="Times New Roman"/>
                <w:sz w:val="24"/>
              </w:rPr>
            </w:pPr>
            <w:r>
              <w:rPr>
                <w:rFonts w:ascii="Times New Roman" w:hAnsi="Times New Roman"/>
                <w:sz w:val="24"/>
              </w:rPr>
              <w:t>Korrelationshandelsporteføljen omfatter securitiseringer, "nth to default"-kreditderivater og evt. andre sikringspositioner, der opfylder kriterierne i artikel 338, stk. 2 og 3, i forordning (EU) nr. 575/2013.</w:t>
            </w:r>
          </w:p>
          <w:p w14:paraId="284429BF" w14:textId="77777777" w:rsidR="00C55547" w:rsidRPr="002A677E" w:rsidRDefault="00C55547" w:rsidP="00E10B85">
            <w:pPr>
              <w:rPr>
                <w:rFonts w:ascii="Times New Roman" w:hAnsi="Times New Roman"/>
                <w:sz w:val="24"/>
              </w:rPr>
            </w:pPr>
            <w:r>
              <w:rPr>
                <w:rFonts w:ascii="Times New Roman" w:hAnsi="Times New Roman"/>
                <w:sz w:val="24"/>
              </w:rPr>
              <w:t>Derivater af securitiseringseksponeringer, der giver en pro rata-andel, og positioner, der sikrer positioner i korrelationshandelsporteføljen, angives i rækken "Andre CTP-positioner".</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"NTH TO DEFAULT"-KREDITDERIVATER</w:t>
            </w:r>
          </w:p>
          <w:p w14:paraId="298FC0AB" w14:textId="5115C116" w:rsidR="00C55547" w:rsidRPr="002A677E" w:rsidRDefault="00C55547" w:rsidP="00E10B85">
            <w:pPr>
              <w:rPr>
                <w:rFonts w:ascii="Times New Roman" w:hAnsi="Times New Roman"/>
                <w:sz w:val="24"/>
              </w:rPr>
            </w:pPr>
            <w:r>
              <w:rPr>
                <w:rFonts w:ascii="Times New Roman" w:hAnsi="Times New Roman"/>
                <w:sz w:val="24"/>
              </w:rPr>
              <w:t>"Nth to default"-kreditderivater, der sikres af "nth to default"-kreditderivater i henhold til artikel 347 i forordning (EU) nr. 575/2013, indberettes her.</w:t>
            </w:r>
          </w:p>
          <w:p w14:paraId="0ADF3C10" w14:textId="77777777" w:rsidR="00C55547" w:rsidRPr="002A677E" w:rsidRDefault="00C55547" w:rsidP="00E10B85">
            <w:pPr>
              <w:rPr>
                <w:rFonts w:ascii="Times New Roman" w:hAnsi="Times New Roman"/>
                <w:sz w:val="24"/>
              </w:rPr>
            </w:pPr>
            <w:r>
              <w:rPr>
                <w:rFonts w:ascii="Times New Roman" w:hAnsi="Times New Roman"/>
                <w:sz w:val="24"/>
              </w:rPr>
              <w:t>Rollerne som eksponeringsleverende institut, investor og organiserende institut kan ikke bruges i forbindelse med "nth to default"-kreditderivater. Der kan derfor ikke gives en opdeling for "nth to default"-kreditderivater på samme måde som for securitiseringspositioner.</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og 0120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ANDRE CTP-POSITIONER</w:t>
            </w:r>
          </w:p>
          <w:p w14:paraId="543C28DD" w14:textId="77777777" w:rsidR="00C55547" w:rsidRPr="002A677E" w:rsidRDefault="00C55547" w:rsidP="00E10B85">
            <w:pPr>
              <w:rPr>
                <w:rFonts w:ascii="Times New Roman" w:hAnsi="Times New Roman"/>
                <w:sz w:val="24"/>
              </w:rPr>
            </w:pPr>
            <w:r>
              <w:rPr>
                <w:rFonts w:ascii="Times New Roman" w:hAnsi="Times New Roman"/>
                <w:sz w:val="24"/>
              </w:rPr>
              <w:t xml:space="preserve">Følgende positioner er omfattet: </w:t>
            </w:r>
          </w:p>
          <w:p w14:paraId="22F89721" w14:textId="77777777"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derivater af securitiseringseksponeringer, der giver en pro rata-andel, og positioner, der sikrer positioner i korrelationshandelsporteføljen</w:t>
            </w:r>
          </w:p>
          <w:p w14:paraId="35CA9598" w14:textId="4A9D4754"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CTP-positioner, der sikres af kreditderivater i henhold til artikel 346 i forordning (EU) nr. 575/2013</w:t>
            </w:r>
          </w:p>
          <w:p w14:paraId="37D9C26F" w14:textId="0EC62F4B" w:rsidR="00C55547" w:rsidRPr="002A677E"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andre positioner, der er i overensstemmelse med artikel 338, stk. 3, i forordning (EU) nr. 575/2013.</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5" w:name="_Toc262566429"/>
      <w:bookmarkStart w:id="666" w:name="_Toc295830005"/>
      <w:bookmarkStart w:id="667" w:name="_Toc308426682"/>
      <w:bookmarkStart w:id="668" w:name="_Toc310415066"/>
      <w:bookmarkStart w:id="669" w:name="_Toc360188401"/>
      <w:bookmarkStart w:id="670" w:name="_Toc473561041"/>
      <w:bookmarkStart w:id="671" w:name="_Toc119059427"/>
      <w:r>
        <w:rPr>
          <w:rFonts w:ascii="Times New Roman" w:hAnsi="Times New Roman"/>
          <w:sz w:val="24"/>
          <w:u w:val="none"/>
        </w:rPr>
        <w:lastRenderedPageBreak/>
        <w:t>5.4.</w:t>
      </w:r>
      <w:r>
        <w:tab/>
      </w:r>
      <w:r>
        <w:rPr>
          <w:rFonts w:ascii="Times New Roman" w:hAnsi="Times New Roman"/>
          <w:sz w:val="24"/>
        </w:rPr>
        <w:t>C 21.00 – Markedsrisiko: Positionsrisiko i aktier opgjort efter standardmetoden</w:t>
      </w:r>
      <w:bookmarkEnd w:id="665"/>
      <w:bookmarkEnd w:id="666"/>
      <w:bookmarkEnd w:id="667"/>
      <w:bookmarkEnd w:id="668"/>
      <w:bookmarkEnd w:id="669"/>
      <w:r>
        <w:rPr>
          <w:rFonts w:ascii="Times New Roman" w:hAnsi="Times New Roman"/>
          <w:sz w:val="24"/>
        </w:rPr>
        <w:t xml:space="preserve"> (MKR SA EQU)</w:t>
      </w:r>
      <w:bookmarkEnd w:id="670"/>
      <w:bookmarkEnd w:id="671"/>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119059428"/>
      <w:r>
        <w:rPr>
          <w:rFonts w:ascii="Times New Roman" w:hAnsi="Times New Roman"/>
          <w:sz w:val="24"/>
          <w:u w:val="none"/>
        </w:rPr>
        <w:t>5.4.1.</w:t>
      </w:r>
      <w:r>
        <w:tab/>
      </w:r>
      <w:r>
        <w:rPr>
          <w:rFonts w:ascii="Times New Roman" w:hAnsi="Times New Roman"/>
          <w:sz w:val="24"/>
        </w:rPr>
        <w:t>Generelle bemærkninger</w:t>
      </w:r>
      <w:bookmarkEnd w:id="672"/>
      <w:bookmarkEnd w:id="673"/>
      <w:bookmarkEnd w:id="674"/>
      <w:bookmarkEnd w:id="675"/>
      <w:bookmarkEnd w:id="676"/>
      <w:bookmarkEnd w:id="677"/>
      <w:bookmarkEnd w:id="678"/>
    </w:p>
    <w:p w14:paraId="1BA8EF6D" w14:textId="77777777" w:rsidR="000B0B09" w:rsidRPr="002A677E" w:rsidRDefault="008F3052" w:rsidP="00487A02">
      <w:pPr>
        <w:pStyle w:val="InstructionsText2"/>
        <w:numPr>
          <w:ilvl w:val="0"/>
          <w:numId w:val="0"/>
        </w:numPr>
        <w:ind w:left="1353" w:hanging="360"/>
      </w:pPr>
      <w:fldSimple w:instr=" seq paragraphs ">
        <w:r>
          <w:t>169</w:t>
        </w:r>
      </w:fldSimple>
      <w:r>
        <w:t>.</w:t>
      </w:r>
      <w:r>
        <w:tab/>
        <w:t xml:space="preserve"> I dette skema indberettes der oplysninger om positioner og de tilsvarende kapitalgrundlagskrav for positionsrisikoen i aktier i handelsbeholdningen opgjort efter standardmetoden.</w:t>
      </w:r>
    </w:p>
    <w:p w14:paraId="3AF5EC7C" w14:textId="2700379B" w:rsidR="00B828CC" w:rsidRPr="002A677E" w:rsidRDefault="008F3052" w:rsidP="00487A02">
      <w:pPr>
        <w:pStyle w:val="InstructionsText2"/>
        <w:numPr>
          <w:ilvl w:val="0"/>
          <w:numId w:val="0"/>
        </w:numPr>
        <w:ind w:left="1353" w:hanging="360"/>
      </w:pPr>
      <w:fldSimple w:instr=" seq paragraphs ">
        <w:r>
          <w:t>170</w:t>
        </w:r>
      </w:fldSimple>
      <w:r>
        <w:t>.</w:t>
      </w:r>
      <w:r>
        <w:tab/>
        <w:t xml:space="preserve"> Skemaet skal udfyldes separat for "Total" sammen med en fast, foruddefineret liste af følgende markeder: Albanien, Bulgarien, Danmark, Den Tidligere Jugoslaviske Republik Makedonien, Det Forenede Kongerige, Egypten, Island, Japan, Kroatien, Liechtenstein, Norge, Polen, Rumænien, Rusland, Schweiz, Serbien, Sverige, Tjekkiet, Tyrkiet, Ukraine, Ungarn, USA og euroområdet samt et restskema for alle andre markeder. I forbindelse med dette indberetningskrav skal ordet "marked" forstås som "land". (undtagen for lande i euroområdet; se Kommissionens delegerede forordning (EU) nr. 525/2014</w:t>
      </w:r>
      <w:r>
        <w:rPr>
          <w:rStyle w:val="FootnoteReference"/>
        </w:rPr>
        <w:footnoteReference w:id="8"/>
      </w:r>
      <w:r>
        <w:t>).</w:t>
      </w:r>
    </w:p>
    <w:p w14:paraId="077E1A41" w14:textId="0A87F23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119059429"/>
      <w:r>
        <w:rPr>
          <w:rFonts w:ascii="Times New Roman" w:hAnsi="Times New Roman"/>
          <w:sz w:val="24"/>
          <w:u w:val="none"/>
        </w:rPr>
        <w:t>5.4.2.</w:t>
      </w:r>
      <w:r>
        <w:tab/>
      </w:r>
      <w:r>
        <w:rPr>
          <w:rFonts w:ascii="Times New Roman" w:hAnsi="Times New Roman"/>
          <w:sz w:val="24"/>
        </w:rPr>
        <w:t>Instrukser vedrørende specifikke positioner</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Kolonner</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ALLE POSITIONER (LANGE OG KORTE)</w:t>
            </w:r>
          </w:p>
          <w:p w14:paraId="754457ED" w14:textId="6411188D" w:rsidR="005C14B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Artikel 102 og artikel 105, stk. 1, i forordning (EU) nr. 575/2013 </w:t>
            </w:r>
          </w:p>
          <w:p w14:paraId="59EE061F" w14:textId="7EE7BDEC" w:rsidR="000B0B09" w:rsidRPr="002A677E"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Disse er bruttopositioner uden indregning af instrumenter, men ekskl. garanterede positioner, som tredjemand har tegnet sig for eller forpligtet sig til at aftage som omhandlet i artikel 345, stk. 1, første afsnit, andet punktum, i forordning (EU) nr. 575/2013.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NETTOPOSITIONER (LANGE OG KORTE)</w:t>
            </w:r>
          </w:p>
          <w:p w14:paraId="72A57BC7" w14:textId="1B6E0BBC"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Artikel 327, 329, 332, 341 og 345 i forordning (EU) nr. 575/2013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UNDERLAGT KAPITALKRAV</w:t>
            </w:r>
          </w:p>
          <w:p w14:paraId="5B62E698" w14:textId="56A23293"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Nettopositioner, som i henhold til de forskellige metoder, der er omhandlet i tredje del, afsnit IV, kapitel 2, i forordning (EU) nr. 575/2013, pålægges et kapitalkrav. Kapitalkravet skal beregnes separat for hvert nationalt marked. Positioner i aktieindeksfutures som omhandlet i artikel 344, stk. 4, i forordning (EU) nr. 575/2013, medtages ikke i denne kolonne.</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KAPITALGRUNDLAGSKRAV</w:t>
            </w:r>
          </w:p>
          <w:p w14:paraId="75CDA27D" w14:textId="5FD0C158"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Kapitalgrundlagskravet i overensstemmelse af tredje del, afsnit IV, kapitel 2, i forordning (EU) nr. 575/2013 for en relevant position</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SAMLET RISIKOEKSPONERING</w:t>
            </w:r>
          </w:p>
          <w:p w14:paraId="33E7C378" w14:textId="29876E1E" w:rsidR="00E64BFE" w:rsidRPr="002A677E"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Artikel 92, stk. 4, litra b), i forordning (EU) nr. 575/2013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lastRenderedPageBreak/>
              <w:t xml:space="preserve">Resultatet af multiplikationen af kapitalgrundlagskravet med 12,5.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Rækker</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AKTIER I HANDELSBEHOLDNINGEN</w:t>
            </w:r>
          </w:p>
          <w:p w14:paraId="030F1935" w14:textId="365DF7AD" w:rsidR="000B0B09" w:rsidRPr="002A677E"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Kapitalgrundlagskrav for positionsrisiko som omhandlet i artikel 92, stk. 3, litra b), nr. i), i forordning (EU) nr. 575/2013 og tredje del, afsnit IV, kapitel 2, afdeling 3, i nævnte forordning.</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GENEREL RISIKO</w:t>
            </w:r>
          </w:p>
          <w:p w14:paraId="21F94335" w14:textId="276AABDB"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Positioner i aktier underlagt generel risiko (artikel 343 i forordning (EU) nr. 575/2013) og deres tilsvarende kapitalgrundlagskrav i henhold til tredje del, afsnit IV, kapitel 2, afdeling 3, i nævnte forordning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Begge opdelinger (række 0021/0022 og række 0030/0040) er en opdeling vedrørende alle positioner, der er underlagt generel risiko.</w:t>
            </w:r>
          </w:p>
          <w:p w14:paraId="32EAD513" w14:textId="77777777" w:rsidR="004E2725"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I række 0021 og 0022 indberettes der oplysninger om opdelingen efter instrument.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Kun opdelingen i række 0030 og 0040 bruges som grundlag for beregning af kapitalgrundlagskravene.</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Derivater</w:t>
            </w:r>
          </w:p>
          <w:p w14:paraId="561EFF21" w14:textId="424FAD2D"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Derivater, der indgår i beregningen af aktierisikoen ved positioner i handelsbeholdningen, jf. artikel 329 og 332 i forordning (EU) nr. 575/2013, hvis det er relevant.</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Andre aktiver og passiver</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Andre instrumenter end derivater, der indgår i beregningen af aktierisikoen ved positioner i handelsbeholdningen.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Børshandlede aktieindeksfutures, der er bredt diversificerede og omfattet af en særlig metode</w:t>
            </w:r>
          </w:p>
          <w:p w14:paraId="56A22316" w14:textId="77777777" w:rsidR="005C14B0"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Børshandlede aktieindeksfutures, der er bredt diversificerede og omfattet af en særlig metode i overensstemmelse med Kommissionens gennemførelsesforordning (EU) nr. 945/2014</w:t>
            </w:r>
            <w:r>
              <w:rPr>
                <w:rStyle w:val="FootnoteReference"/>
              </w:rPr>
              <w:footnoteReference w:id="9"/>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Disse positioner er kun underlagt generel risiko og skal derfor ikke indberettes i række 0050.</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Andre aktier end børshandlede aktieindeksfutures, der er bredt diversificerede</w:t>
            </w:r>
          </w:p>
          <w:p w14:paraId="17542C2D" w14:textId="0BABB084"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Andre positioner i aktier underlagt specifik risiko og de tilsvarende kapitalgrundlagskrav i henhold til artikel 343 i forordning (EU) nr. 575/2013, herunder positioner i aktieindeksfutures behandlet i overensstemmelse med artikel 344, stk. 3, i nævnte forordning</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SPECIFIK RISIKO</w:t>
            </w:r>
          </w:p>
          <w:p w14:paraId="4CFFEA2D" w14:textId="05674FED"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lastRenderedPageBreak/>
              <w:t xml:space="preserve">Positioner i aktier underlagt specifik risiko og det tilsvarende kapitalgrundlagskrav i henhold til artikel 342 i forordning (EU) nr. 575/2013, herunder ikke positioner i aktieindeksfutures behandlet i overensstemmelse med artikel 344, stk. 4, andet punktum, i nævnte forordning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0090-0130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YDERLIGERE KRAV TIL OPTIONER (BORTSET FRA DELTARISICI)</w:t>
            </w:r>
          </w:p>
          <w:p w14:paraId="2552C107" w14:textId="2AD28847" w:rsidR="000B0B09" w:rsidRPr="002A677E" w:rsidRDefault="00F2521E" w:rsidP="00F2521E">
            <w:pPr>
              <w:autoSpaceDE w:val="0"/>
              <w:autoSpaceDN w:val="0"/>
              <w:adjustRightInd w:val="0"/>
              <w:rPr>
                <w:rFonts w:ascii="Times New Roman" w:hAnsi="Times New Roman"/>
                <w:sz w:val="24"/>
              </w:rPr>
            </w:pPr>
            <w:r>
              <w:rPr>
                <w:rFonts w:ascii="Times New Roman" w:hAnsi="Times New Roman"/>
                <w:sz w:val="24"/>
              </w:rPr>
              <w:t xml:space="preserve">Artikel 329, 2 og 3, i forordning (EU) nr. 575/2013 </w:t>
            </w:r>
          </w:p>
          <w:p w14:paraId="72C3FAC3" w14:textId="77777777" w:rsidR="000B0B09"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De yderligere krav til optioner vedrørende andre risici end deltarisici indberettes ved hjælp af den metode, der er anvendt til beregningen heraf.</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2"/>
      <w:bookmarkStart w:id="687" w:name="_Toc295830008"/>
      <w:bookmarkStart w:id="688" w:name="_Toc308426685"/>
      <w:bookmarkStart w:id="689" w:name="_Toc310415069"/>
      <w:bookmarkStart w:id="690" w:name="_Toc360188404"/>
      <w:bookmarkStart w:id="691" w:name="_Toc473561044"/>
      <w:bookmarkStart w:id="692" w:name="_Toc119059430"/>
      <w:r>
        <w:rPr>
          <w:rFonts w:ascii="Times New Roman" w:hAnsi="Times New Roman"/>
          <w:sz w:val="24"/>
          <w:u w:val="none"/>
        </w:rPr>
        <w:t>5.5.</w:t>
      </w:r>
      <w:r>
        <w:tab/>
      </w:r>
      <w:r>
        <w:rPr>
          <w:rFonts w:ascii="Times New Roman" w:hAnsi="Times New Roman"/>
          <w:sz w:val="24"/>
        </w:rPr>
        <w:t>C 22.00 – Markedsrisiko: Valutarisiko opgjort efter standardmetoden</w:t>
      </w:r>
      <w:bookmarkEnd w:id="686"/>
      <w:bookmarkEnd w:id="687"/>
      <w:bookmarkEnd w:id="688"/>
      <w:bookmarkEnd w:id="689"/>
      <w:bookmarkEnd w:id="690"/>
      <w:r>
        <w:rPr>
          <w:rFonts w:ascii="Times New Roman" w:hAnsi="Times New Roman"/>
          <w:sz w:val="24"/>
        </w:rPr>
        <w:t xml:space="preserve"> (MKR SA FX)</w:t>
      </w:r>
      <w:bookmarkEnd w:id="691"/>
      <w:bookmarkEnd w:id="692"/>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119059431"/>
      <w:r>
        <w:rPr>
          <w:rFonts w:ascii="Times New Roman" w:hAnsi="Times New Roman"/>
          <w:sz w:val="24"/>
          <w:u w:val="none"/>
        </w:rPr>
        <w:t>5.5.1.</w:t>
      </w:r>
      <w:r>
        <w:tab/>
      </w:r>
      <w:r>
        <w:rPr>
          <w:rFonts w:ascii="Times New Roman" w:hAnsi="Times New Roman"/>
          <w:sz w:val="24"/>
        </w:rPr>
        <w:t>Generelle bemærkninger</w:t>
      </w:r>
      <w:bookmarkEnd w:id="693"/>
      <w:bookmarkEnd w:id="694"/>
      <w:bookmarkEnd w:id="695"/>
      <w:bookmarkEnd w:id="696"/>
      <w:bookmarkEnd w:id="697"/>
      <w:bookmarkEnd w:id="698"/>
      <w:bookmarkEnd w:id="699"/>
    </w:p>
    <w:p w14:paraId="3B4750B2" w14:textId="77777777" w:rsidR="00F71DF2" w:rsidRPr="002A677E" w:rsidRDefault="008F3052" w:rsidP="00487A02">
      <w:pPr>
        <w:pStyle w:val="InstructionsText2"/>
        <w:numPr>
          <w:ilvl w:val="0"/>
          <w:numId w:val="0"/>
        </w:numPr>
        <w:ind w:left="1353" w:hanging="360"/>
      </w:pPr>
      <w:fldSimple w:instr=" seq paragraphs ">
        <w:r>
          <w:t>171</w:t>
        </w:r>
      </w:fldSimple>
      <w:r>
        <w:t>. Institutterne indberetter oplysninger om positionerne i hver valuta (herunder indberetningsvalutaen) og de tilsvarende kapitalgrundlagskrav for valutarisiko opgjort efter standardmetoden. Positionen beregnes for hver valuta (herunder euro), guld og positioner i CIU'er.</w:t>
      </w:r>
    </w:p>
    <w:p w14:paraId="39EF826C" w14:textId="74BF82B9" w:rsidR="000B0B09" w:rsidRPr="002A677E" w:rsidRDefault="008F3052" w:rsidP="00487A02">
      <w:pPr>
        <w:pStyle w:val="InstructionsText2"/>
        <w:numPr>
          <w:ilvl w:val="0"/>
          <w:numId w:val="0"/>
        </w:numPr>
        <w:ind w:left="1353" w:hanging="360"/>
      </w:pPr>
      <w:fldSimple w:instr=" seq paragraphs ">
        <w:r>
          <w:t>172</w:t>
        </w:r>
      </w:fldSimple>
      <w:r>
        <w:t>.</w:t>
      </w:r>
      <w:r>
        <w:tab/>
        <w:t xml:space="preserve"> Række 0100-0480 i dette skema indberettes, selv om institutter ikke skal beregne kapitalgrundlagskrav for valutarisiko i henhold til artikel 351 i forordning (EU) nr. 575/2013. I disse memorandumposter medtages alle positioner i indberetningsvalutaen, uanset om de tages i betragtning med henblik på artikel 354 i forordning (EU) nr. 575/2013. Række 0130-0480 af memorandumposterne i skemaet udfyldes separat for alle valutaer i EU's medlemsstater, valutaerne: GBP, USD, CHF, JPY, RUB, TRY, AUD, CAD, RSD, ALL, UAH, MKD, EGP, ARS, BRL, MXN, HKD, ICK, TWD, NZD, NOK, SGD, KRW, CNY og alle andre valutaer.</w:t>
      </w:r>
    </w:p>
    <w:p w14:paraId="346B4732" w14:textId="273354B2"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119059432"/>
      <w:r>
        <w:rPr>
          <w:rFonts w:ascii="Times New Roman" w:hAnsi="Times New Roman"/>
          <w:sz w:val="24"/>
          <w:u w:val="none"/>
        </w:rPr>
        <w:t>5.5.2.</w:t>
      </w:r>
      <w:r>
        <w:tab/>
      </w:r>
      <w:r>
        <w:rPr>
          <w:rFonts w:ascii="Times New Roman" w:hAnsi="Times New Roman"/>
          <w:sz w:val="24"/>
        </w:rPr>
        <w:t>Instrukser vedrørende specifikke positioner</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Kolonner</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POSITIONER (LANGE OG KORTE)</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Bruttopositioner som følge af aktiver, tilgodehavender og lignende poster nævnt i artikel 352, stk. 1, i forordning (EU) nr. 575/2013.</w:t>
            </w:r>
          </w:p>
          <w:p w14:paraId="754DB1BB" w14:textId="2FEAA29E" w:rsidR="000B0B09" w:rsidRPr="002A677E"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I henhold til artikel 352, stk. 2, i forordning (EU) nr. 575/2013 indberettes de positioner, som et institut har taget for at afdække sin kapitalprocent, jf. artikel 92, stk. 1, i nævnte forordning, mod den negative virkning af valutakursændringer samt positioner, vedrørende poster, der allerede er fratrukket ved beregningen af kapitalgrundlaget, ikke, hvis de kompetente myndigheder har givet tilladelse hertil.</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NETTOPOSITIONER (LANGE OG KORTE)</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Artikel 352, stk. 3, artikel 352, stk. 4, første og andet punktum, og artikel 353 i forordning (EU) nr. 575/2013</w:t>
            </w:r>
          </w:p>
          <w:p w14:paraId="1436375E" w14:textId="100DFA36"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Nettopositionerne beregnes i hver valuta i overensstemmelse med artikel 352, stk. 1, i forordning (EU) nr. 575/2013. Derfor kan både lange og korte positioner indberettes på samme tid.</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0060-0080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UNDERLAGT KAPITALKRAV</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352, stk. 4, tredje punktum, og artikel 353 og 354 i forordning (EU) nr. 575/2013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POSITIONER UNDERLAGT KAPITALKRAV (LANGE OG KORTE)</w:t>
            </w:r>
          </w:p>
          <w:p w14:paraId="1CA17503"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De lange og korte nettopositioner for hver valuta beregnes ved at trække de samlede korte positioner fra de samlede lange positioner.</w:t>
            </w:r>
          </w:p>
          <w:p w14:paraId="7912A4F1"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Lange nettopositioner for hver operation i en valuta adderes for at få den lange nettoposition i den pågældende valuta.</w:t>
            </w:r>
          </w:p>
          <w:p w14:paraId="5B4E9BD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Korte nettopositioner for hver operation i en valuta adderes for at få den korte nettoposition i den pågældende valuta.</w:t>
            </w:r>
          </w:p>
          <w:p w14:paraId="71BEB09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Ikkematchede positioner i ikkeindberetningsvalutaer lægges til positioner underlagt kapitalkrav for andre valutaer (række 030) i kolonne 060 eller 070, afhængigt af om de er korte eller lange.</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UNDERLAGT KAPITALKRAV (MATCHEDE)</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Matchede positioner for snævert forbundne valutaer.</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KAPITALGRUNDLAGSKRAV</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444F152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Kapitalkravet for en relevant position i henhold til tredje del, afsnit IV, kapitel 3, i forordning (EU) nr. 575/2013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SAMLET RISIKOEKSPONERING</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4B9840A7" w:rsidR="005C14B0" w:rsidRPr="002A677E"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Artikel 92, stk. 4, litra b), i forordning (EU) nr. 575/2013</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Resultatet af multiplikationen af kapitalgrundlagskravet med 12,5.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Rækker</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SAMLEDE POSITIONER</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685CE36F" w:rsidR="000B0B09"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Alle positioner i ikkeindberetningsvalutaer og de positioner i indberetningsvalutaen, der tages i betragtning med henblik på artikel 354 i forordning (EU) nr. 575/2013, samt deres tilsvarende kapitalgrundlagskrav for den valutarisiko, der er omhandlet i artikel 92, stk. 3, litra c), nr. i), under hensyntagen til artikel 352, stk. 2 og 4, i forordning (EU) nr. 575/2013 (med henblik på omregning til indberetningsvalutaen).</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SNÆVERT FORBUNDNE VALUTAER</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og deres tilsvarende kapitalgrundlagskrav for snævert forbundne valutaer som omhandlet i artikel 354 i forordning (EU) nr. 575/2013.</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Snævert forbundne valutaer: </w:t>
            </w:r>
            <w:r>
              <w:rPr>
                <w:rFonts w:ascii="Times New Roman" w:hAnsi="Times New Roman"/>
                <w:b/>
                <w:i/>
                <w:sz w:val="24"/>
                <w:u w:val="single"/>
              </w:rPr>
              <w:t>heraf</w:t>
            </w:r>
            <w:r>
              <w:rPr>
                <w:rFonts w:ascii="Times New Roman" w:hAnsi="Times New Roman"/>
                <w:b/>
                <w:sz w:val="24"/>
                <w:u w:val="single"/>
              </w:rPr>
              <w:t>: indberetningsvaluta</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3B11B1C0" w:rsidR="00491F4D"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Positioner i indberetningsvalutaen, der bidrager til beregningen af kapitalgrundlagskrav i overensstemmelse med artikel 354 i forordning (EU) nr. 575/2013.</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ANDRE VALUTAER (herunder CIU'er, der behandles som forskellige valutaer)</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og deres tilsvarende kapitalgrundlagskrav for valutaer omfattet af den generelle procedure, der er omhandlet i artikel 351 og artikel 352, stk. 2 og 4, i forordning (EU) nr. 575/2013.</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Indberetning af CIU'er, der behandles som separate valutaer i henhold til artikel 353 i forordning (EU) nr. 575/2013:</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CIU'er, der behandles som separate valutaer, kan behandles på to forskellige måder med henblik på at beregne kapitalgrundlagskravene:</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Den modificerede guldmetode, hvis det ikke vides, om CIU'ernes investeringer er lange eller korte (disse CIU'er lægges til et instituts samlede nettoposition i valutaer).</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Hvis det vides, om CIU'ens investeringer er lange eller korte, lægges disse CIU'er til den samlede åbne valutaposition (lang eller kort, afhængigt af om CIU'ens investeringer er lange eller korte).</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Indberetningen af disse CIU'er følger beregningen af kapitalgrundlagskravene.</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GULD</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Positioner og deres tilsvarende kapitalgrundlagskrav for valutaer omfattet af den generelle procedure, der er omhandlet i artikel 351 og artikel 352, stk. 2 og 4, i forordning (EU) nr. 575/2013.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YDERLIGERE KRAV TIL OPTIONER (BORTSET FRA DELTARISICI)</w:t>
            </w:r>
          </w:p>
          <w:p w14:paraId="409B80C0" w14:textId="56A2BE80" w:rsidR="000B0B09" w:rsidRPr="002A677E"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Artikel 352, 5 og 6, i forordning (EU) nr. 575/2013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 yderligere krav til optioner vedrørende andre risici end deltarisici indberettes opdelt ved hjælp af den metode, der er anvendt til beregningen heraf.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Opdeling af samlede positioner (herunder indberetningsvaluta) efter eksponeringstype</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samlede positioner fordeles efter derivater, andre aktiver og passiver og ikkebalanceførte poster.</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Andre aktiver og passiver end ikkebalanceførte poster og derivater</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Positioner, der ikke er anført i række 0110 eller 0120, indberettes her.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Ikkebalanceførte poster</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Poster, der er omfattet af artikel 352 i forordning (EU) nr. 575/2013, uanset denomineringsvalutaen, og som er medtaget i bilag I til nævnte forordning, med undtagelse af poster, der er medtaget som værdipapirfinansieringstransaktioner og terminsforretninger, eller som følger af en aftale om netting på tværs af produkter.</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Derivater</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værdisat i henhold til artikel 352 i forordning (EU) nr. 575/2013.</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MEMORANDUMPOSTER: VALUTAPOSITIONER</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Memorandumposterne i skemaet udfyldes separat for alle valutaer i EU's medlemsstater, GBP, USD, CHF, JPY, RUB, TRY, AUD, CAD, RSD, ALL, UAH, MKD, EGP, ARS, BRL, MXN, HKD, ICK, TWD, NZD, NOK, SGD, KRW, CNY og alle andre valutaer.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7" w:name="_Toc262566435"/>
      <w:bookmarkStart w:id="708" w:name="_Toc295830011"/>
      <w:bookmarkStart w:id="709" w:name="_Toc308426688"/>
      <w:bookmarkStart w:id="710" w:name="_Toc310415072"/>
      <w:bookmarkStart w:id="711" w:name="_Toc360188407"/>
      <w:bookmarkStart w:id="712" w:name="_Toc473561047"/>
      <w:bookmarkStart w:id="713" w:name="_Toc119059433"/>
      <w:r>
        <w:rPr>
          <w:rFonts w:ascii="Times New Roman" w:hAnsi="Times New Roman"/>
          <w:sz w:val="24"/>
          <w:u w:val="none"/>
        </w:rPr>
        <w:t>5.6.</w:t>
      </w:r>
      <w:r>
        <w:tab/>
      </w:r>
      <w:r>
        <w:rPr>
          <w:rFonts w:ascii="Times New Roman" w:hAnsi="Times New Roman"/>
          <w:sz w:val="24"/>
        </w:rPr>
        <w:t>C 23.00 – Markedsrisiko: Råvarer opgjort efter standardmetoden</w:t>
      </w:r>
      <w:bookmarkEnd w:id="707"/>
      <w:bookmarkEnd w:id="708"/>
      <w:bookmarkEnd w:id="709"/>
      <w:bookmarkEnd w:id="710"/>
      <w:bookmarkEnd w:id="711"/>
      <w:r>
        <w:rPr>
          <w:rFonts w:ascii="Times New Roman" w:hAnsi="Times New Roman"/>
          <w:sz w:val="24"/>
        </w:rPr>
        <w:t xml:space="preserve"> (MKR SA COM)</w:t>
      </w:r>
      <w:bookmarkEnd w:id="712"/>
      <w:bookmarkEnd w:id="713"/>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119059434"/>
      <w:r>
        <w:rPr>
          <w:rFonts w:ascii="Times New Roman" w:hAnsi="Times New Roman"/>
          <w:sz w:val="24"/>
          <w:u w:val="none"/>
        </w:rPr>
        <w:t>5.6.1.</w:t>
      </w:r>
      <w:r>
        <w:tab/>
      </w:r>
      <w:r>
        <w:rPr>
          <w:rFonts w:ascii="Times New Roman" w:hAnsi="Times New Roman"/>
          <w:sz w:val="24"/>
        </w:rPr>
        <w:t>Generelle bemærkninger</w:t>
      </w:r>
      <w:bookmarkEnd w:id="714"/>
      <w:bookmarkEnd w:id="715"/>
      <w:bookmarkEnd w:id="716"/>
      <w:bookmarkEnd w:id="717"/>
      <w:bookmarkEnd w:id="718"/>
      <w:bookmarkEnd w:id="719"/>
      <w:bookmarkEnd w:id="720"/>
    </w:p>
    <w:p w14:paraId="441FA19A" w14:textId="77777777" w:rsidR="000B0B09" w:rsidRPr="002A677E" w:rsidRDefault="008F3052" w:rsidP="00487A02">
      <w:pPr>
        <w:pStyle w:val="InstructionsText2"/>
        <w:numPr>
          <w:ilvl w:val="0"/>
          <w:numId w:val="0"/>
        </w:numPr>
        <w:ind w:left="1353" w:hanging="360"/>
      </w:pPr>
      <w:fldSimple w:instr=" seq paragraphs ">
        <w:r>
          <w:t>173</w:t>
        </w:r>
      </w:fldSimple>
      <w:r>
        <w:t>.</w:t>
      </w:r>
      <w:r>
        <w:tab/>
        <w:t xml:space="preserve"> I dette skema indberettes der oplysninger om positionerne i råvarer og de tilsvarende kapitalgrundlagskrav opgjort efter standardmetoden.</w:t>
      </w:r>
    </w:p>
    <w:p w14:paraId="0C8765B1" w14:textId="16F4CE7F"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119059435"/>
      <w:r>
        <w:rPr>
          <w:rFonts w:ascii="Times New Roman" w:hAnsi="Times New Roman"/>
          <w:sz w:val="24"/>
          <w:u w:val="none"/>
        </w:rPr>
        <w:t>5.6.2.</w:t>
      </w:r>
      <w:r>
        <w:tab/>
      </w:r>
      <w:r>
        <w:rPr>
          <w:rFonts w:ascii="Times New Roman" w:hAnsi="Times New Roman"/>
          <w:sz w:val="24"/>
        </w:rPr>
        <w:t>Instrukser vedrørende specifikke positioner</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Kolonner</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POSITIONER (LANGE OG KORTE)</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Lange/korte bruttopositioner, der betragtes som positioner i samme råvare i henhold til artikel 357, stk. 4, i forordning (EU) nr. 575/2013 (se også artikel 359, stk. 1, i forordning (EU) nr. 575/2013)</w:t>
            </w:r>
          </w:p>
          <w:p w14:paraId="3E9C720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NETTOPOSITIONER (LANGE OG KORTE)</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2A677E"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Som defineret i artikel 357, stk. 3, i forordning (EU) nr. 575/2013.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UNDERLAGT KAPITALKRAV</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Nettopositioner, som i henhold til de forskellige metoder, der er omhandlet i tredje del, afsnit IV, kapitel 4, i forordning (EU) nr. 575/2013, pålægges et kapitalkrav.</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KAPITALGRUNDLAGSKRAV</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B3E86B" w:rsidR="000B0B09" w:rsidRPr="002A677E"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Kapitalgrundlagskravet beregnet i overensstemmelse af tredje del, afsnit IV, kapitel 4, i forordning (EU) nr. 575/2013 for en relevant position</w:t>
            </w:r>
          </w:p>
        </w:tc>
      </w:tr>
      <w:tr w:rsidR="000B0B09" w:rsidRPr="002A677E" w14:paraId="380AB4E0" w14:textId="77777777" w:rsidTr="00672D2A">
        <w:tc>
          <w:tcPr>
            <w:tcW w:w="986" w:type="dxa"/>
          </w:tcPr>
          <w:p w14:paraId="0EE22ED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SAMLET RISIKOEKSPONERING</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2AF512A6" w:rsidR="00A2757B" w:rsidRPr="002A677E"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Artikel 92, stk. 4, litra b), i forordning (EU) nr. 575/2013 </w:t>
            </w:r>
          </w:p>
          <w:p w14:paraId="67EADC1A" w14:textId="77777777" w:rsidR="000B0B09" w:rsidRPr="002A677E"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Resultatet af multiplikationen af kapitalgrundlagskravet med 12,5.</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Rækker</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SAMLEDE POSITIONER I RÅVARER</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2F6A98CA" w:rsidR="000B0B09" w:rsidRPr="002A677E"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Positioner i råvarer og deres tilsvarende kapitalgrundlagskrav for markedsrisiko beregnet i overensstemmelse med artikel 92, stk. 3, litra c), nr. iii), i forordning (EU) nr. 575/2013 og tredje del, afsnit IV, kapitel 4, i forordning (EU) nr. 575/2013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EFTER RÅVAREKATEGORI</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 forbindelse med indberetning er råvarer inddelt i fire råvaregrupper som vist i artikel 361, tabel 2, i forordning (EU) nr. 575/2013.</w:t>
            </w:r>
          </w:p>
          <w:p w14:paraId="04BB5316"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LØBETIDSMETODE</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i råvarer, der er omfattet af løbetidsmetoden omhandlet i artikel 359 i forordning (EU) nr. 575/2013</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UDVIDET LØBETIDSMETODE</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i råvarer, der er omfattet af den udvidede løbetidsmetode omhandlet i artikel 361 i forordning (EU) nr. 575/2013</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FORENKLET METODE</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Positioner i råvarer, der er omfattet af den forenklede metode omhandlet i artikel 360 i forordning (EU) nr. 575/2013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YDERLIGERE KRAV TIL OPTIONER (BORTSET FRA DELTARISICI)</w:t>
            </w:r>
          </w:p>
          <w:p w14:paraId="444B7110" w14:textId="08585130" w:rsidR="000B0B09" w:rsidRPr="002A677E" w:rsidRDefault="000B0B09" w:rsidP="001A0143">
            <w:pPr>
              <w:autoSpaceDE w:val="0"/>
              <w:autoSpaceDN w:val="0"/>
              <w:adjustRightInd w:val="0"/>
              <w:rPr>
                <w:rFonts w:ascii="Times New Roman" w:hAnsi="Times New Roman"/>
                <w:sz w:val="24"/>
              </w:rPr>
            </w:pPr>
            <w:r>
              <w:rPr>
                <w:rFonts w:ascii="Times New Roman" w:hAnsi="Times New Roman"/>
                <w:sz w:val="24"/>
              </w:rPr>
              <w:t xml:space="preserve">Artikel 358, stk. 4, i forordning (EU) nr. 575/2013 </w:t>
            </w:r>
          </w:p>
          <w:p w14:paraId="1D3D5AF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yderligere krav til optioner vedrørende andre risici end deltarisici indberettes ved hjælp af den metode, der er anvendt til beregningen heraf.</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rPr>
      </w:pPr>
      <w:bookmarkStart w:id="728" w:name="_Toc262566438"/>
      <w:bookmarkStart w:id="729" w:name="_Toc295830014"/>
      <w:bookmarkStart w:id="730" w:name="_Toc308426691"/>
      <w:bookmarkStart w:id="731" w:name="_Toc310415075"/>
      <w:bookmarkStart w:id="732" w:name="_Toc360188410"/>
      <w:bookmarkStart w:id="733" w:name="_Toc473561050"/>
      <w:bookmarkStart w:id="734" w:name="_Toc119059436"/>
      <w:r>
        <w:rPr>
          <w:rFonts w:ascii="Times New Roman" w:hAnsi="Times New Roman"/>
          <w:sz w:val="24"/>
          <w:u w:val="none"/>
        </w:rPr>
        <w:lastRenderedPageBreak/>
        <w:t>5.7.</w:t>
      </w:r>
      <w:r>
        <w:tab/>
      </w:r>
      <w:r>
        <w:rPr>
          <w:rFonts w:ascii="Times New Roman" w:hAnsi="Times New Roman"/>
          <w:sz w:val="24"/>
        </w:rPr>
        <w:t>C 24.00 - Markedsrisiko opgjort efter den interne model</w:t>
      </w:r>
      <w:bookmarkEnd w:id="728"/>
      <w:bookmarkEnd w:id="729"/>
      <w:bookmarkEnd w:id="730"/>
      <w:bookmarkEnd w:id="731"/>
      <w:bookmarkEnd w:id="732"/>
      <w:r>
        <w:rPr>
          <w:rFonts w:ascii="Times New Roman" w:hAnsi="Times New Roman"/>
          <w:sz w:val="24"/>
        </w:rPr>
        <w:t xml:space="preserve"> (MKR IM)</w:t>
      </w:r>
      <w:bookmarkEnd w:id="733"/>
      <w:bookmarkEnd w:id="734"/>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119059437"/>
      <w:r>
        <w:rPr>
          <w:rFonts w:ascii="Times New Roman" w:hAnsi="Times New Roman"/>
          <w:sz w:val="24"/>
          <w:u w:val="none"/>
        </w:rPr>
        <w:t>5.7.1.</w:t>
      </w:r>
      <w:r>
        <w:tab/>
      </w:r>
      <w:r>
        <w:rPr>
          <w:rFonts w:ascii="Times New Roman" w:hAnsi="Times New Roman"/>
          <w:sz w:val="24"/>
        </w:rPr>
        <w:t>Generelle bemærkninger</w:t>
      </w:r>
      <w:bookmarkEnd w:id="735"/>
      <w:bookmarkEnd w:id="736"/>
      <w:bookmarkEnd w:id="737"/>
      <w:bookmarkEnd w:id="738"/>
      <w:bookmarkEnd w:id="739"/>
      <w:bookmarkEnd w:id="740"/>
      <w:bookmarkEnd w:id="741"/>
    </w:p>
    <w:p w14:paraId="1055920F" w14:textId="77777777" w:rsidR="000B0B09" w:rsidRPr="002A677E" w:rsidRDefault="00CE7221" w:rsidP="00487A02">
      <w:pPr>
        <w:pStyle w:val="InstructionsText2"/>
        <w:numPr>
          <w:ilvl w:val="0"/>
          <w:numId w:val="0"/>
        </w:numPr>
        <w:ind w:left="1353" w:hanging="360"/>
      </w:pPr>
      <w:fldSimple w:instr=" seq paragraphs ">
        <w:r>
          <w:t>174</w:t>
        </w:r>
      </w:fldSimple>
      <w:r>
        <w:t>.</w:t>
      </w:r>
      <w:r>
        <w:tab/>
        <w:t xml:space="preserve"> I dette skema gives der en opdeling af tallene for value-at-risk (VaR) og value-at-risk i stresssituationer (sVaR) efter markedsrisiko (gæld, aktier, valuta og råvare) og andre oplysninger, der er relevante for beregningen af kapitalgrundlagskravene.</w:t>
      </w:r>
    </w:p>
    <w:p w14:paraId="3DD1046B" w14:textId="77777777" w:rsidR="000B0B09" w:rsidRPr="002A677E" w:rsidRDefault="00CE7221" w:rsidP="00487A02">
      <w:pPr>
        <w:pStyle w:val="InstructionsText2"/>
        <w:numPr>
          <w:ilvl w:val="0"/>
          <w:numId w:val="0"/>
        </w:numPr>
        <w:ind w:left="1353" w:hanging="360"/>
      </w:pPr>
      <w:fldSimple w:instr=" seq paragraphs ">
        <w:r>
          <w:t>175</w:t>
        </w:r>
      </w:fldSimple>
      <w:r>
        <w:t>.</w:t>
      </w:r>
      <w:r>
        <w:tab/>
        <w:t xml:space="preserve"> Generelt afhænger det af strukturen af den model, som institutterne anvender, om tallene for generel og specifik risiko kan bestemmes og indberettes separat eller kun samlet. Det samme gælder for opdelingen af VaR/sVaR i risikokategorier (renterisiko, aktierisiko, råvarerisiko og valutarisiko). Et institut kan undlade at indberette disse opdelinger, hvis det dokumenterer, at indberetningen af disse tal pålægger det en uforholdsmæssig arbejdsbyrde. </w:t>
      </w:r>
    </w:p>
    <w:p w14:paraId="16A354D7" w14:textId="38B85B55"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119059438"/>
      <w:r>
        <w:rPr>
          <w:rFonts w:ascii="Times New Roman" w:hAnsi="Times New Roman"/>
          <w:sz w:val="24"/>
          <w:u w:val="none"/>
        </w:rPr>
        <w:t>5.7.2.</w:t>
      </w:r>
      <w:r>
        <w:tab/>
      </w:r>
      <w:r>
        <w:rPr>
          <w:rFonts w:ascii="Times New Roman" w:hAnsi="Times New Roman"/>
          <w:sz w:val="24"/>
        </w:rPr>
        <w:t>Instrukser vedrørende specifikke positioner</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Kolonner</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Value at Risk (VaR)</w:t>
            </w:r>
          </w:p>
          <w:p w14:paraId="59F85AD6" w14:textId="77777777" w:rsidR="000B0B09" w:rsidRPr="002A677E"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VaR er det maksimale potentielle tab, der kan opstå som følge af en prisændring med en given sandsynlighed inden for en specifik tidshorisont.</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Multiplikationsfaktor (mc) x Gennemsnit af VaR for de foregående 60 arbejdsdage (VaRavg)</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2A677E"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Artikel 364, stk. 1, litra a), nr. ii), og artikel 365, stk. 1, i forordning (EU) nr. 575/2013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Den foregående dags VaR (VaRt-1)</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2A677E"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364, stk. 1, litra a), nr. i), og artikel 365, stk. 1, i forordning (EU) nr. 575/2013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i stresssituationer</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Pr>
                <w:rFonts w:ascii="Times New Roman" w:hAnsi="Times New Roman"/>
                <w:sz w:val="24"/>
              </w:rPr>
              <w:t>VaR i stresssituationer er det maksimale potentielle tab, der kan opstå som følge af en prisændring med en given sandsynlighed inden for en specifik tidshorisont, hvor input kalibreres efter historiske data fra en sammenhængende 12-månedersperiode med signifikant finansiel stress, som er relevant for instituttets portefølje.</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Multiplikationsfaktor (ms) x Gennemsnit for de foregående 60 arbejdsdage (SVaRavg)</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Artikel 364, stk. 1, litra b), nr. ii), og artikel 365, stk. 1, i forordning (EU) nr. 575/2013</w:t>
            </w:r>
            <w:r>
              <w:rPr>
                <w:rStyle w:val="InstructionsTabelleberschrift"/>
                <w:rFonts w:ascii="Times New Roman" w:hAnsi="Times New Roman"/>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Den seneste tilgængelige (SVaRt-1)</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67B7CAF8" w:rsidR="000B0B09" w:rsidRPr="002A677E"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Artikel 364, stk. 1, litra b), nr. i), og artikel 365, stk. 1, i forordning (EU) nr. 575/2013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0070-0080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KAPITALKRAV FOR FORØGET MISLIGHOLDELSES- OG MIGRERINGSRISIKO</w:t>
            </w:r>
          </w:p>
          <w:p w14:paraId="1E7EA146" w14:textId="62573725" w:rsidR="000B0B09" w:rsidRPr="002A677E" w:rsidRDefault="0016282F" w:rsidP="001B17E6">
            <w:pPr>
              <w:rPr>
                <w:rFonts w:ascii="Times New Roman" w:hAnsi="Times New Roman"/>
                <w:b/>
                <w:bCs/>
                <w:sz w:val="24"/>
                <w:u w:val="single"/>
              </w:rPr>
            </w:pPr>
            <w:r>
              <w:rPr>
                <w:rFonts w:ascii="Times New Roman" w:hAnsi="Times New Roman"/>
                <w:sz w:val="24"/>
              </w:rPr>
              <w:t xml:space="preserve">Kapitalkrav for forøget misligholdelses- og migreringsrisiko er det maksimale potentielle tab, der kan opstå som følge af en prisændring knyttet til misligholdelses- og migreringsrisici beregnet i overensstemmelse med artikel 364, stk. 2, litra b), sammenholdt med tredje del, afsnit IV, kapitel 5, afdeling 4, i forordning (EU) nr. 575/2013.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Gennemsnittet af tallet over 12 uger</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2D0D518D"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Artikel 364, stk. 2, litra b), nr. ii), sammenholdt med tredje del, afsnit IV, kapitel 5, afdeling 4, i forordning (EU) nr. 575/2013</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Seneste tal</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2A677E"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Artikel 364, stk. 2, litra b), nr. i), sammenholdt med tredje del, afsnit IV, kapitel 5, afdeling 4, i forordning (EU) nr. 575/2013</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PRISRISICI, KAPITALKRAV FOR CTP</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BUNDVÆRDI</w:t>
            </w:r>
          </w:p>
          <w:p w14:paraId="08424932" w14:textId="6F00A60B" w:rsidR="000B0B09" w:rsidRPr="002A677E" w:rsidRDefault="000B0B09" w:rsidP="000B0B09">
            <w:pPr>
              <w:rPr>
                <w:rFonts w:ascii="Times New Roman" w:hAnsi="Times New Roman"/>
                <w:sz w:val="24"/>
              </w:rPr>
            </w:pPr>
            <w:r>
              <w:rPr>
                <w:rFonts w:ascii="Times New Roman" w:hAnsi="Times New Roman"/>
                <w:sz w:val="24"/>
              </w:rPr>
              <w:t>Artikel 364, stk. 3, litra c), i forordning (EU) nr. 575/2013</w:t>
            </w:r>
          </w:p>
          <w:p w14:paraId="71FEB01E" w14:textId="7D0B9236"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 af det kapitalgrundlagskrav, der beregnes i overensstemmelse med forordningens artikel 338, stk. 1, i forordning (EU) nr. 575/2013 for alle positioner i kapitalkravet "alle prisrisici".</w:t>
            </w:r>
            <w:r>
              <w:rPr>
                <w:rFonts w:ascii="Times New Roman" w:hAnsi="Times New Roman"/>
                <w:b/>
                <w:sz w:val="24"/>
                <w:u w:val="singl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GENNEMSNITTET OVER 12 UGER OG SENESTE TAL</w:t>
            </w:r>
          </w:p>
          <w:p w14:paraId="244F0E2D" w14:textId="75367C4C" w:rsidR="000B0B09" w:rsidRPr="002A677E"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Artikel 364, stk. 3, litra b), i forordning (EU) nr. 575/2013</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SENESTE TAL</w:t>
            </w:r>
          </w:p>
          <w:p w14:paraId="58C3865D" w14:textId="7EBBD50E" w:rsidR="005C14B0" w:rsidRPr="002A677E"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Artikel 364, stk. 3, litra a), i forordning (EU) nr. 575/2013</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KAPITALGRUNDLAGSKRAV</w:t>
            </w:r>
          </w:p>
          <w:p w14:paraId="7122FC14" w14:textId="52CC637D" w:rsidR="000B0B09" w:rsidRPr="002A677E"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Kapitalgrundlagskrav som omhandlet i artikel 364 i forordning (EU) nr. 575/2013 for alle risikofaktorer under hensyntagen til evt. korrelationsvirkninger plus forøget misligholdelses- og migreringsrisiko og alle prisrisici for korrelationshandelsporteføljen, men eksklusive securitiseringskapitalkravet for securitiserings- og "nth to default"-kreditderivater i henhold til artikel 364, stk. 2, i forordning (EU) nr. 575/2013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SAMLET RISIKOEKSPONERING</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16D924D4" w:rsidR="00BE0363"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92, stk. 4, litra b), i forordning (EU) nr. 575/2013 </w:t>
            </w:r>
          </w:p>
          <w:p w14:paraId="6FD933BD"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Resultatet af multiplikationen af kapitalgrundlagskravet med 12,5.</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Antal overskridelser for de seneste 250 arbejdsdage</w:t>
            </w:r>
          </w:p>
          <w:p w14:paraId="28B225BB" w14:textId="3D65F9F7" w:rsidR="00A92CFF"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Artikel 366 i forordning (EU) nr. 575/2013</w:t>
            </w:r>
          </w:p>
          <w:p w14:paraId="555E37D2" w14:textId="0C3340E4" w:rsidR="000B0B09" w:rsidRPr="002A677E"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Antallet af overskridelser, på grundlag af hvilke plusfaktoren bestemmes. Hvis institutterne har tilladelse til at udelukke visse overskridelser fra beregningen af plusfaktoren i overensstemmelse med artikel 500c i forordning (EU) nr. 575/2013, angives antallet af overskridelser, der er indberettet i denne kolonne.</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VaR-multiplikationsfaktor (mc) og SVaR-multiplikationsfaktor (ms)</w:t>
            </w:r>
          </w:p>
          <w:p w14:paraId="315BC479" w14:textId="254D1B3C" w:rsidR="005C14B0" w:rsidRPr="002A677E" w:rsidRDefault="000B0B09" w:rsidP="006418A0">
            <w:pPr>
              <w:autoSpaceDE w:val="0"/>
              <w:autoSpaceDN w:val="0"/>
              <w:adjustRightInd w:val="0"/>
              <w:spacing w:before="0"/>
              <w:rPr>
                <w:rFonts w:ascii="Times New Roman" w:hAnsi="Times New Roman"/>
                <w:sz w:val="24"/>
              </w:rPr>
            </w:pPr>
            <w:r>
              <w:rPr>
                <w:rFonts w:ascii="Times New Roman" w:hAnsi="Times New Roman"/>
                <w:sz w:val="24"/>
              </w:rPr>
              <w:t>Artikel 366 i forordning (EU) nr. 575/2013</w:t>
            </w:r>
          </w:p>
          <w:p w14:paraId="288D1C77" w14:textId="1A1A8D50" w:rsidR="00011AFA" w:rsidRPr="002A677E" w:rsidRDefault="00011AFA">
            <w:pPr>
              <w:autoSpaceDE w:val="0"/>
              <w:autoSpaceDN w:val="0"/>
              <w:adjustRightInd w:val="0"/>
              <w:spacing w:before="0" w:after="0"/>
              <w:rPr>
                <w:rStyle w:val="InstructionsTabelleberschrift"/>
              </w:rPr>
            </w:pPr>
            <w:r>
              <w:rPr>
                <w:rFonts w:ascii="Times New Roman" w:hAnsi="Times New Roman"/>
                <w:sz w:val="24"/>
              </w:rPr>
              <w:t>De multiplikationsfaktorer, der faktisk anvendes ved beregningen af kapitalgrundlagskravene, indberettes, i givet fald efter anvendelse af artikel 500c i forordning (EU) nr. 575/2013.</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ANTAGET KAPITALKRAV FOR CTP-BUNDVÆRDI — VÆGTEDE LANGE/KORTE NETTOPOSITIONER EFTER LOFT</w:t>
            </w:r>
          </w:p>
          <w:p w14:paraId="68C956BE" w14:textId="3FF52305" w:rsidR="00902EFC" w:rsidRPr="002A677E"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Det beløb, der indberettes, og som udgør grundlaget for beregningen af det mindste kapitalkrav for alle prisrisici, jf. artikel 364, stk. 3, litra c), i forordning (EU) nr. 575/2013, tager højde for skønnet i artikel 335 i nævnte forordning, der giver et institut mulighed for at begrænse vægten og nettopositionen til det højest mulige tab forbundet med misligholdelsesrisikoen.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Rækker</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SAMLEDE POSITIONER</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Svarer til den del af positions-, valuta- og råvarerisiko, der er omhandlet i artikel 363, stk. 1, i forordning (EU) nr. 575/2013 kædet sammen med risikofaktorerne i artikel 367, stk. 2, i nævnte forordning.</w:t>
            </w:r>
          </w:p>
          <w:p w14:paraId="6F18E4FF" w14:textId="77777777"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Med hensyn til kolonne 0030 til 0060 (VaR og Stress-VAR) er tallene i totalrækken ikke lig med opdelingen af tal for VaR/Stress-VaR i forbindelse med de relevante risikokomponenter.</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HANDLEDE GÆLDSINSTRUMENTER</w:t>
            </w:r>
          </w:p>
          <w:p w14:paraId="7EB08097" w14:textId="464B7176" w:rsidR="000B0B09" w:rsidRPr="002A677E" w:rsidRDefault="000B0B09" w:rsidP="00587E96">
            <w:pPr>
              <w:autoSpaceDE w:val="0"/>
              <w:autoSpaceDN w:val="0"/>
              <w:adjustRightInd w:val="0"/>
              <w:rPr>
                <w:rFonts w:ascii="Times New Roman" w:hAnsi="Times New Roman"/>
                <w:sz w:val="24"/>
              </w:rPr>
            </w:pPr>
            <w:r>
              <w:rPr>
                <w:rFonts w:ascii="Times New Roman" w:hAnsi="Times New Roman"/>
                <w:sz w:val="24"/>
              </w:rPr>
              <w:t>Svarer til den del af positionsrisiko, der er omhandlet i artikel 363, stk. 1, i forordning (EU) nr. 575/2013 kædet sammen med renterisikofaktorerne i artikel 367, stk. 2, litra a), i nævnte forordning.</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HANDLEDE GÆLDSINSTRUMENTER (TDI) — GENEREL RISIKO</w:t>
            </w:r>
          </w:p>
          <w:p w14:paraId="326F4D54" w14:textId="3D6EBE1B" w:rsidR="000B0B09" w:rsidRPr="002A677E" w:rsidRDefault="000B0B09" w:rsidP="0016282F">
            <w:pPr>
              <w:autoSpaceDE w:val="0"/>
              <w:autoSpaceDN w:val="0"/>
              <w:adjustRightInd w:val="0"/>
              <w:rPr>
                <w:rFonts w:ascii="Times New Roman" w:hAnsi="Times New Roman"/>
                <w:sz w:val="24"/>
              </w:rPr>
            </w:pPr>
            <w:r>
              <w:rPr>
                <w:rFonts w:ascii="Times New Roman" w:hAnsi="Times New Roman"/>
                <w:sz w:val="24"/>
              </w:rPr>
              <w:t xml:space="preserve">Generel risikokomponent som omhandlet i artikel 362 i forordning (EU) nr. 575/2013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HANDLEDE GÆLDSINSTRUMENTER (TDI) — SPECIFIK RISIKO</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Specifik risikokomponent som omhandlet i artikel 362 i forordning (EU) nr. 575/2013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AKTIER</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Svarer til den del af positionsrisiko, der er omhandlet i artikel 363, stk. 1, i forordning (EU) nr. 575/2013 kædet sammen med aktierisikofaktorerne i artikel 367, stk. 2, litra c), i nævnte forordning.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AKTIER — GENEREL RISIKO</w:t>
            </w:r>
          </w:p>
          <w:p w14:paraId="528E3DA1" w14:textId="2D4BA326"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Generel risikokomponent som omhandlet i artikel 362 i forordning (EU) nr. 575/2013</w:t>
            </w:r>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AKTIER — SPECIFIK RISIKO</w:t>
            </w:r>
          </w:p>
          <w:p w14:paraId="53D03CDE" w14:textId="49BEAF03"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Specifik risikokomponent som omhandlet i artikel 362 i forordning (EU) nr. 575/2013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VALUTARISIKO</w:t>
            </w:r>
          </w:p>
          <w:p w14:paraId="4A2A62FE" w14:textId="098C8392" w:rsidR="000B0B09" w:rsidRPr="002A677E"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Artikel 363, stk. 1, og artikel 367, stk. 2, litra b), i forordning (EU) nr. 575/2013</w:t>
            </w:r>
          </w:p>
        </w:tc>
      </w:tr>
      <w:tr w:rsidR="000B0B09"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RÅVARERISIKO</w:t>
            </w:r>
          </w:p>
          <w:p w14:paraId="341E16EA" w14:textId="56B929B0"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Artikel 363, stk. 1, og artikel 367, stk. 2, litra d), i forordning (EU) nr. 575/2013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SAMLET BELØB FOR GENEREL RISIKO</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2A677E"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Markedsrisiko forårsaget af generelle bevægelser på markederne for handlede gældsinstrumenter, aktier, valutaer og råvarer. VaR for generel risiko ved alle risikofaktorer under hensyntagen til evt. korrelationsvirkninger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SAMLET BELØB FOR SPECIFIK RISIKO</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Specifik risikokomponent for handlede gældsinstrumenter og aktier. VaR for specifik risiko ved aktier og handlede gældsinstrumenter i handelsbeholdningen under hensyntagen til evt. korrelationsvirkninger</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9" w:name="_Toc360188413"/>
      <w:bookmarkStart w:id="750" w:name="_Toc473561053"/>
      <w:bookmarkStart w:id="751" w:name="_Toc119059439"/>
      <w:r>
        <w:rPr>
          <w:rFonts w:ascii="Times New Roman" w:hAnsi="Times New Roman"/>
          <w:sz w:val="24"/>
          <w:u w:val="none"/>
        </w:rPr>
        <w:t>5.8.</w:t>
      </w:r>
      <w:r>
        <w:tab/>
      </w:r>
      <w:r>
        <w:rPr>
          <w:rFonts w:ascii="Times New Roman" w:hAnsi="Times New Roman"/>
          <w:sz w:val="24"/>
        </w:rPr>
        <w:t>C 25.00 - KREDITVÆRDIJUSTERINGSRISIKO</w:t>
      </w:r>
      <w:bookmarkEnd w:id="749"/>
      <w:r>
        <w:rPr>
          <w:rFonts w:ascii="Times New Roman" w:hAnsi="Times New Roman"/>
          <w:sz w:val="24"/>
        </w:rPr>
        <w:t xml:space="preserve"> (CVA)</w:t>
      </w:r>
      <w:bookmarkEnd w:id="750"/>
      <w:bookmarkEnd w:id="751"/>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310008820"/>
      <w:bookmarkStart w:id="755" w:name="_Toc119059440"/>
      <w:r>
        <w:rPr>
          <w:rFonts w:ascii="Times New Roman" w:hAnsi="Times New Roman"/>
          <w:sz w:val="24"/>
          <w:u w:val="none"/>
        </w:rPr>
        <w:t>5.8.1.</w:t>
      </w:r>
      <w:r>
        <w:tab/>
      </w:r>
      <w:r>
        <w:rPr>
          <w:rFonts w:ascii="Times New Roman" w:hAnsi="Times New Roman"/>
          <w:sz w:val="24"/>
        </w:rPr>
        <w:t>Instrukser vedrørende specifikke positioner</w:t>
      </w:r>
      <w:bookmarkEnd w:id="752"/>
      <w:bookmarkEnd w:id="753"/>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Pr>
                <w:rFonts w:ascii="Times New Roman" w:hAnsi="Times New Roman"/>
                <w:b/>
                <w:sz w:val="24"/>
              </w:rPr>
              <w:t>Kolonner</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079CCE33"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Eksponeringsværdi </w:t>
            </w:r>
          </w:p>
          <w:p w14:paraId="259F2F34" w14:textId="3A4D44F8" w:rsidR="000B0B09" w:rsidRPr="002A677E" w:rsidRDefault="000B0B09" w:rsidP="000B0B09">
            <w:pPr>
              <w:rPr>
                <w:rFonts w:ascii="Times New Roman" w:hAnsi="Times New Roman"/>
                <w:sz w:val="24"/>
              </w:rPr>
            </w:pPr>
            <w:r>
              <w:rPr>
                <w:rFonts w:ascii="Times New Roman" w:hAnsi="Times New Roman"/>
                <w:sz w:val="24"/>
              </w:rPr>
              <w:t>Artikel 271 i forordning (EU) nr. 575/2013 sammenholdt med artikel 382 i nævnte forordning</w:t>
            </w:r>
          </w:p>
          <w:p w14:paraId="66E2ABF7" w14:textId="77777777" w:rsidR="000B0B09" w:rsidRPr="002A677E" w:rsidRDefault="000B0B09" w:rsidP="000B0B09">
            <w:pPr>
              <w:rPr>
                <w:rFonts w:ascii="Times New Roman" w:hAnsi="Times New Roman"/>
                <w:sz w:val="24"/>
              </w:rPr>
            </w:pPr>
            <w:r>
              <w:rPr>
                <w:rFonts w:ascii="Times New Roman" w:hAnsi="Times New Roman"/>
                <w:sz w:val="24"/>
              </w:rPr>
              <w:t>Samlet EAD fra alle transaktioner underlagt kreditværdijusteringskrav.</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Pr>
                <w:rFonts w:ascii="Times New Roman" w:hAnsi="Times New Roman"/>
                <w:sz w:val="24"/>
              </w:rPr>
              <w:t>0020</w:t>
            </w:r>
          </w:p>
        </w:tc>
        <w:tc>
          <w:tcPr>
            <w:tcW w:w="8004" w:type="dxa"/>
          </w:tcPr>
          <w:p w14:paraId="2578BA6C"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Heraf: OTC-derivater </w:t>
            </w:r>
          </w:p>
          <w:p w14:paraId="2394766F" w14:textId="415BA2E1" w:rsidR="000B0B09" w:rsidRPr="002A677E" w:rsidRDefault="000B0B09" w:rsidP="000B0B09">
            <w:pPr>
              <w:rPr>
                <w:rFonts w:ascii="Times New Roman" w:hAnsi="Times New Roman"/>
                <w:sz w:val="24"/>
              </w:rPr>
            </w:pPr>
            <w:r>
              <w:rPr>
                <w:rFonts w:ascii="Times New Roman" w:hAnsi="Times New Roman"/>
                <w:sz w:val="24"/>
              </w:rPr>
              <w:t>Artikel 271 i forordning (EU) nr. 575/2013 sammenholdt med artikel 382, stk. 1, i nævnte forordning</w:t>
            </w:r>
          </w:p>
          <w:p w14:paraId="119058D1" w14:textId="77777777" w:rsidR="000B0B09" w:rsidRPr="002A677E" w:rsidRDefault="000B0B09" w:rsidP="000B0B09">
            <w:pPr>
              <w:rPr>
                <w:rFonts w:ascii="Times New Roman" w:hAnsi="Times New Roman"/>
                <w:sz w:val="24"/>
              </w:rPr>
            </w:pPr>
            <w:r>
              <w:rPr>
                <w:rFonts w:ascii="Times New Roman" w:hAnsi="Times New Roman"/>
                <w:sz w:val="24"/>
              </w:rPr>
              <w:lastRenderedPageBreak/>
              <w:t>Den del af den samlede eksponering mod modpartsrisiko, der alene kan henføres til OTC-derivater. Oplysningen skal ikke indberettes af IMM-institutter, der besidder OTC-derivater og værdipapirfinansieringstransaktioner i samme nettinggruppe.</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Pr>
                <w:rFonts w:ascii="Times New Roman" w:hAnsi="Times New Roman"/>
                <w:sz w:val="24"/>
              </w:rPr>
              <w:lastRenderedPageBreak/>
              <w:t>0030</w:t>
            </w:r>
          </w:p>
        </w:tc>
        <w:tc>
          <w:tcPr>
            <w:tcW w:w="8004" w:type="dxa"/>
          </w:tcPr>
          <w:p w14:paraId="01B02AC6"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Heraf: Værdipapirfinansieringstransaktioner </w:t>
            </w:r>
          </w:p>
          <w:p w14:paraId="5E65AC58" w14:textId="2872BCEC" w:rsidR="000B0B09" w:rsidRPr="002A677E" w:rsidRDefault="000B0B09" w:rsidP="000B0B09">
            <w:pPr>
              <w:rPr>
                <w:rFonts w:ascii="Times New Roman" w:hAnsi="Times New Roman"/>
                <w:sz w:val="24"/>
              </w:rPr>
            </w:pPr>
            <w:r>
              <w:rPr>
                <w:rFonts w:ascii="Times New Roman" w:hAnsi="Times New Roman"/>
                <w:sz w:val="24"/>
              </w:rPr>
              <w:t>Artikel 271 i forordning (EU) nr. 575/2013 sammenholdt med artikel 382, stk. 2, i nævnte forordning</w:t>
            </w:r>
          </w:p>
          <w:p w14:paraId="7D919192" w14:textId="77777777" w:rsidR="000B0B09" w:rsidRPr="002A677E" w:rsidRDefault="000B0B09">
            <w:pPr>
              <w:rPr>
                <w:rFonts w:ascii="Times New Roman" w:hAnsi="Times New Roman"/>
                <w:sz w:val="24"/>
              </w:rPr>
            </w:pPr>
            <w:r>
              <w:rPr>
                <w:rFonts w:ascii="Times New Roman" w:hAnsi="Times New Roman"/>
                <w:sz w:val="24"/>
              </w:rPr>
              <w:t>Den del af den samlede eksponering mod modpartsrisiko, der alene kan henføres til værdipapirfinansieringstransaktioner. Oplysningen skal ikke indberettes af IMM-institutter, der besidder OTC-derivater og værdipapirfinansieringstransaktioner i samme nettinggruppe.</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3C6F7CA7"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MULTIPLIKATIONSFAKTOR (mc) x GENNEMSNIT FOR DE FOREGÅENDE 60 ARBEJDSDAGE (VaRavg)</w:t>
            </w:r>
          </w:p>
          <w:p w14:paraId="1C0DECA9" w14:textId="37998B3F" w:rsidR="004F6B6B" w:rsidRPr="002A677E" w:rsidRDefault="000B0B09">
            <w:pPr>
              <w:rPr>
                <w:rFonts w:ascii="Times New Roman" w:hAnsi="Times New Roman"/>
                <w:sz w:val="24"/>
              </w:rPr>
            </w:pPr>
            <w:r>
              <w:rPr>
                <w:rFonts w:ascii="Times New Roman" w:hAnsi="Times New Roman"/>
                <w:sz w:val="24"/>
              </w:rPr>
              <w:t xml:space="preserve">Artikel 383 i forordning (EU) nr. 575/2013 sammenholdt med artikel 363, stk. 1, litra d), i nævnte forordning </w:t>
            </w:r>
          </w:p>
          <w:p w14:paraId="5D3CC8A3" w14:textId="77777777" w:rsidR="000B0B09" w:rsidRPr="002A677E" w:rsidRDefault="000B0B09">
            <w:pPr>
              <w:rPr>
                <w:rFonts w:ascii="Times New Roman" w:hAnsi="Times New Roman"/>
                <w:sz w:val="24"/>
              </w:rPr>
            </w:pPr>
            <w:r>
              <w:rPr>
                <w:rFonts w:ascii="Times New Roman" w:hAnsi="Times New Roman"/>
                <w:sz w:val="24"/>
              </w:rPr>
              <w:t xml:space="preserve">VaR-beregning baseret på interne modeller for markedsrisiko.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Pr>
                <w:rFonts w:ascii="Times New Roman" w:hAnsi="Times New Roman"/>
                <w:sz w:val="24"/>
              </w:rPr>
              <w:t>0050</w:t>
            </w:r>
          </w:p>
        </w:tc>
        <w:tc>
          <w:tcPr>
            <w:tcW w:w="8004" w:type="dxa"/>
          </w:tcPr>
          <w:p w14:paraId="305C61B8"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DEN FOREGÅENDE DAGS VaR (VaRt-1)</w:t>
            </w:r>
          </w:p>
          <w:p w14:paraId="631DA6E9" w14:textId="77777777" w:rsidR="000B0B09" w:rsidRPr="002A677E" w:rsidRDefault="000B0B09" w:rsidP="002300C6">
            <w:pPr>
              <w:rPr>
                <w:rFonts w:ascii="Times New Roman" w:hAnsi="Times New Roman"/>
                <w:sz w:val="24"/>
              </w:rPr>
            </w:pPr>
            <w:r>
              <w:rPr>
                <w:rFonts w:ascii="Times New Roman" w:hAnsi="Times New Roman"/>
                <w:sz w:val="24"/>
              </w:rPr>
              <w:t>Se instrukser til kolonne 0040.</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Pr>
                <w:rFonts w:ascii="Times New Roman" w:hAnsi="Times New Roman"/>
                <w:sz w:val="24"/>
              </w:rPr>
              <w:t>0060</w:t>
            </w:r>
          </w:p>
        </w:tc>
        <w:tc>
          <w:tcPr>
            <w:tcW w:w="8004" w:type="dxa"/>
          </w:tcPr>
          <w:p w14:paraId="0787AC85"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MULTIPLIKATIONSFAKTOR (ms) x GENNEMSNIT FOR DE FOREGÅENDE 60 ARBEJDSDAGE (sVaRavg)</w:t>
            </w:r>
          </w:p>
          <w:p w14:paraId="7AF21EEA" w14:textId="77777777" w:rsidR="000B0B09" w:rsidRPr="002A677E" w:rsidRDefault="000B0B09" w:rsidP="002300C6">
            <w:pPr>
              <w:rPr>
                <w:rFonts w:ascii="Times New Roman" w:hAnsi="Times New Roman"/>
                <w:sz w:val="24"/>
              </w:rPr>
            </w:pPr>
            <w:r>
              <w:rPr>
                <w:rFonts w:ascii="Times New Roman" w:hAnsi="Times New Roman"/>
                <w:sz w:val="24"/>
              </w:rPr>
              <w:t>Se instrukser til kolonne 0040</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Pr>
                <w:rFonts w:ascii="Times New Roman" w:hAnsi="Times New Roman"/>
                <w:sz w:val="24"/>
              </w:rPr>
              <w:t>0070</w:t>
            </w:r>
          </w:p>
        </w:tc>
        <w:tc>
          <w:tcPr>
            <w:tcW w:w="8004" w:type="dxa"/>
          </w:tcPr>
          <w:p w14:paraId="27FAFB7B"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DEN SENESTE TILGÆNGELIGE (SVaRt-1)</w:t>
            </w:r>
          </w:p>
          <w:p w14:paraId="628E56DA" w14:textId="77777777" w:rsidR="000B0B09" w:rsidRPr="002A677E" w:rsidRDefault="000B0B09" w:rsidP="002300C6">
            <w:pPr>
              <w:rPr>
                <w:rFonts w:ascii="Times New Roman" w:hAnsi="Times New Roman"/>
                <w:b/>
                <w:sz w:val="24"/>
                <w:u w:val="single"/>
              </w:rPr>
            </w:pPr>
            <w:r>
              <w:rPr>
                <w:rFonts w:ascii="Times New Roman" w:hAnsi="Times New Roman"/>
                <w:sz w:val="24"/>
              </w:rPr>
              <w:t>Se instrukser til kolonne 0040</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Pr>
                <w:rFonts w:ascii="Times New Roman" w:hAnsi="Times New Roman"/>
                <w:sz w:val="24"/>
              </w:rPr>
              <w:t>0080</w:t>
            </w:r>
          </w:p>
        </w:tc>
        <w:tc>
          <w:tcPr>
            <w:tcW w:w="8004" w:type="dxa"/>
          </w:tcPr>
          <w:p w14:paraId="3DCFA8D0"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KAPITALGRUNDLAGSKRAV</w:t>
            </w:r>
          </w:p>
          <w:p w14:paraId="628C0036" w14:textId="11B7F85F" w:rsidR="004F6B6B" w:rsidRPr="002A677E" w:rsidRDefault="001E0C80">
            <w:pPr>
              <w:rPr>
                <w:rFonts w:ascii="Times New Roman" w:hAnsi="Times New Roman"/>
                <w:sz w:val="24"/>
              </w:rPr>
            </w:pPr>
            <w:r>
              <w:rPr>
                <w:rFonts w:ascii="Times New Roman" w:hAnsi="Times New Roman"/>
                <w:sz w:val="24"/>
              </w:rPr>
              <w:t xml:space="preserve"> Artikel 92, stk. 3, litra d), i forordning (EU) nr. 575/2013 </w:t>
            </w:r>
          </w:p>
          <w:p w14:paraId="2FF110DA" w14:textId="77777777" w:rsidR="000B0B09" w:rsidRPr="002A677E" w:rsidRDefault="000B0B09">
            <w:pPr>
              <w:rPr>
                <w:rFonts w:ascii="Times New Roman" w:hAnsi="Times New Roman"/>
                <w:sz w:val="24"/>
              </w:rPr>
            </w:pPr>
            <w:r>
              <w:rPr>
                <w:rFonts w:ascii="Times New Roman" w:hAnsi="Times New Roman"/>
                <w:sz w:val="24"/>
              </w:rPr>
              <w:t>Kapitalgrundlagskrav for kreditværdijusteringsrisiko opgjort efter den valgte metode.</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Pr>
                <w:rFonts w:ascii="Times New Roman" w:hAnsi="Times New Roman"/>
                <w:sz w:val="24"/>
              </w:rPr>
              <w:t>0090</w:t>
            </w:r>
          </w:p>
        </w:tc>
        <w:tc>
          <w:tcPr>
            <w:tcW w:w="8004" w:type="dxa"/>
          </w:tcPr>
          <w:p w14:paraId="67DB9FD8"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SAMLET RISIKOEKSPONERING</w:t>
            </w:r>
          </w:p>
          <w:p w14:paraId="6F9001D3" w14:textId="6EA02BAA" w:rsidR="004F6B6B" w:rsidRPr="002A677E" w:rsidRDefault="001E0C80">
            <w:pPr>
              <w:rPr>
                <w:rFonts w:ascii="Times New Roman" w:hAnsi="Times New Roman"/>
                <w:sz w:val="24"/>
              </w:rPr>
            </w:pPr>
            <w:r>
              <w:rPr>
                <w:rFonts w:ascii="Times New Roman" w:hAnsi="Times New Roman"/>
                <w:sz w:val="24"/>
              </w:rPr>
              <w:t xml:space="preserve"> Artikel 92, stk. 4, litra b), i forordning (EU) nr. 575/2013</w:t>
            </w:r>
          </w:p>
          <w:p w14:paraId="02A2EC20" w14:textId="77777777" w:rsidR="000B0B09" w:rsidRPr="002A677E" w:rsidRDefault="000B0B09" w:rsidP="00787733">
            <w:pPr>
              <w:rPr>
                <w:rFonts w:ascii="Times New Roman" w:hAnsi="Times New Roman"/>
                <w:sz w:val="24"/>
              </w:rPr>
            </w:pPr>
            <w:r>
              <w:rPr>
                <w:rFonts w:ascii="Times New Roman" w:hAnsi="Times New Roman"/>
                <w:sz w:val="24"/>
              </w:rPr>
              <w:t>Kapitalgrundlagskrav ganget med 12,5.</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Memorandumposter</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Pr>
                <w:rFonts w:ascii="Times New Roman" w:hAnsi="Times New Roman"/>
                <w:sz w:val="24"/>
              </w:rPr>
              <w:t>0100</w:t>
            </w:r>
          </w:p>
        </w:tc>
        <w:tc>
          <w:tcPr>
            <w:tcW w:w="8004" w:type="dxa"/>
          </w:tcPr>
          <w:p w14:paraId="59983522"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Antal modparter</w:t>
            </w:r>
          </w:p>
          <w:p w14:paraId="3F3B385C" w14:textId="4BEBB0AB" w:rsidR="000B0B09" w:rsidRPr="002A677E" w:rsidRDefault="000B0B09" w:rsidP="000B0B09">
            <w:pPr>
              <w:rPr>
                <w:rFonts w:ascii="Times New Roman" w:hAnsi="Times New Roman"/>
                <w:sz w:val="24"/>
              </w:rPr>
            </w:pPr>
            <w:r>
              <w:rPr>
                <w:rFonts w:ascii="Times New Roman" w:hAnsi="Times New Roman"/>
                <w:sz w:val="24"/>
              </w:rPr>
              <w:t>Artikel 382 i forordning (EU) nr. 575/2013</w:t>
            </w:r>
          </w:p>
          <w:p w14:paraId="5DEE078C" w14:textId="77777777" w:rsidR="000B0B09" w:rsidRPr="002A677E" w:rsidRDefault="000B0B09" w:rsidP="000B0B09">
            <w:pPr>
              <w:rPr>
                <w:rFonts w:ascii="Times New Roman" w:hAnsi="Times New Roman"/>
                <w:sz w:val="24"/>
              </w:rPr>
            </w:pPr>
            <w:r>
              <w:rPr>
                <w:rFonts w:ascii="Times New Roman" w:hAnsi="Times New Roman"/>
                <w:sz w:val="24"/>
              </w:rPr>
              <w:t>Antal modparter, der indgår i beregningen af kapitalgrundlagskrav for kreditværdijusteringsrisiko.</w:t>
            </w:r>
          </w:p>
          <w:p w14:paraId="0FA475CE" w14:textId="77777777" w:rsidR="000B0B09" w:rsidRPr="002A677E" w:rsidRDefault="000B0B09" w:rsidP="0016282F">
            <w:pPr>
              <w:rPr>
                <w:rFonts w:ascii="Times New Roman" w:hAnsi="Times New Roman"/>
                <w:sz w:val="24"/>
              </w:rPr>
            </w:pPr>
            <w:r>
              <w:rPr>
                <w:rFonts w:ascii="Times New Roman" w:hAnsi="Times New Roman"/>
                <w:sz w:val="24"/>
              </w:rPr>
              <w:lastRenderedPageBreak/>
              <w:t xml:space="preserve">Modparter er en undergruppe af låntagere. De findes kun i forbindelse med derivattransaktioner eller værdipapirfinansieringstransaktioner, hvor de er den anden kontraherende part.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Pr>
                <w:rFonts w:ascii="Times New Roman" w:hAnsi="Times New Roman"/>
                <w:sz w:val="24"/>
              </w:rPr>
              <w:lastRenderedPageBreak/>
              <w:t>0110</w:t>
            </w:r>
          </w:p>
        </w:tc>
        <w:tc>
          <w:tcPr>
            <w:tcW w:w="8004" w:type="dxa"/>
          </w:tcPr>
          <w:p w14:paraId="20A05DEA"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Heraf: proxy anvendt til at bestemme kreditspænd</w:t>
            </w:r>
          </w:p>
          <w:p w14:paraId="433FA2C3" w14:textId="77777777" w:rsidR="000B0B09" w:rsidRPr="002A677E" w:rsidRDefault="005C14B0">
            <w:pPr>
              <w:rPr>
                <w:rFonts w:ascii="Times New Roman" w:hAnsi="Times New Roman"/>
                <w:b/>
                <w:sz w:val="24"/>
                <w:u w:val="single"/>
              </w:rPr>
            </w:pPr>
            <w:r>
              <w:rPr>
                <w:rFonts w:ascii="Times New Roman" w:hAnsi="Times New Roman"/>
                <w:sz w:val="24"/>
              </w:rPr>
              <w:t>Antal modparter, hvor kreditspændet blev fastsat ved brug af en proxy i stedet for direkte observerede markedsdata.</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Pr>
                <w:rFonts w:ascii="Times New Roman" w:hAnsi="Times New Roman"/>
                <w:sz w:val="24"/>
              </w:rPr>
              <w:t>0120</w:t>
            </w:r>
          </w:p>
        </w:tc>
        <w:tc>
          <w:tcPr>
            <w:tcW w:w="8004" w:type="dxa"/>
          </w:tcPr>
          <w:p w14:paraId="62D0D8AE"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OPSTÅET KREDITVÆRDIJUSTERING</w:t>
            </w:r>
          </w:p>
          <w:p w14:paraId="0115819A" w14:textId="77777777" w:rsidR="000B0B09" w:rsidRPr="002A677E" w:rsidRDefault="000B0B09" w:rsidP="000B0B09">
            <w:pPr>
              <w:rPr>
                <w:rFonts w:ascii="Times New Roman" w:hAnsi="Times New Roman"/>
                <w:sz w:val="24"/>
              </w:rPr>
            </w:pPr>
            <w:r>
              <w:rPr>
                <w:rFonts w:ascii="Times New Roman" w:hAnsi="Times New Roman"/>
                <w:sz w:val="24"/>
              </w:rPr>
              <w:t>Regnskabsmæssige hensættelser som følge af derivatmodparters reducerede kreditværdighed.</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Pr>
                <w:rFonts w:ascii="Times New Roman" w:hAnsi="Times New Roman"/>
                <w:sz w:val="24"/>
              </w:rPr>
              <w:t>0130</w:t>
            </w:r>
          </w:p>
        </w:tc>
        <w:tc>
          <w:tcPr>
            <w:tcW w:w="8004" w:type="dxa"/>
          </w:tcPr>
          <w:p w14:paraId="60D4C59C"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SINGLE NAME CREDIT DEFAULT SWAPS</w:t>
            </w:r>
          </w:p>
          <w:p w14:paraId="5DADCD15" w14:textId="574C8D77" w:rsidR="000B0B09" w:rsidRPr="002A677E" w:rsidRDefault="00D21B29" w:rsidP="000B0B09">
            <w:pPr>
              <w:rPr>
                <w:rFonts w:ascii="Times New Roman" w:hAnsi="Times New Roman"/>
                <w:sz w:val="24"/>
              </w:rPr>
            </w:pPr>
            <w:r>
              <w:rPr>
                <w:rFonts w:ascii="Times New Roman" w:hAnsi="Times New Roman"/>
                <w:sz w:val="24"/>
              </w:rPr>
              <w:t xml:space="preserve"> Artikel 386, stk. 1, litra a), i forordning (EU) nr. 575/2013 </w:t>
            </w:r>
          </w:p>
          <w:p w14:paraId="6FA18F8B" w14:textId="77777777" w:rsidR="000B0B09" w:rsidRPr="002A677E" w:rsidRDefault="000B0B09" w:rsidP="000B0B09">
            <w:pPr>
              <w:rPr>
                <w:rFonts w:ascii="Times New Roman" w:hAnsi="Times New Roman"/>
                <w:sz w:val="24"/>
              </w:rPr>
            </w:pPr>
            <w:r>
              <w:rPr>
                <w:rFonts w:ascii="Times New Roman" w:hAnsi="Times New Roman"/>
                <w:sz w:val="24"/>
              </w:rPr>
              <w:t>Samlede notionelle værdier af single name credit default swaps, der anvendes som sikring for kreditværdijusteringsrisiko.</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Pr>
                <w:rFonts w:ascii="Times New Roman" w:hAnsi="Times New Roman"/>
                <w:sz w:val="24"/>
              </w:rPr>
              <w:t>0140</w:t>
            </w:r>
          </w:p>
        </w:tc>
        <w:tc>
          <w:tcPr>
            <w:tcW w:w="8004" w:type="dxa"/>
          </w:tcPr>
          <w:p w14:paraId="0D309424"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INDEX CREDIT DEFAULT SWAPS</w:t>
            </w:r>
          </w:p>
          <w:p w14:paraId="1BAFE21A" w14:textId="2EDBE0A7" w:rsidR="000B0B09" w:rsidRPr="002A677E" w:rsidRDefault="00D21B29" w:rsidP="000B0B09">
            <w:pPr>
              <w:rPr>
                <w:rFonts w:ascii="Times New Roman" w:hAnsi="Times New Roman"/>
                <w:sz w:val="24"/>
              </w:rPr>
            </w:pPr>
            <w:r>
              <w:rPr>
                <w:rFonts w:ascii="Times New Roman" w:hAnsi="Times New Roman"/>
                <w:sz w:val="24"/>
              </w:rPr>
              <w:t xml:space="preserve"> Artikel 386, stk. 1, litra b), i forordning (EU) nr. 575/2013</w:t>
            </w:r>
          </w:p>
          <w:p w14:paraId="4581BBB0" w14:textId="77777777" w:rsidR="000B0B09" w:rsidRPr="002A677E" w:rsidRDefault="000B0B09" w:rsidP="000B0B09">
            <w:pPr>
              <w:rPr>
                <w:rFonts w:ascii="Times New Roman" w:hAnsi="Times New Roman"/>
                <w:b/>
                <w:sz w:val="24"/>
                <w:u w:val="single"/>
              </w:rPr>
            </w:pPr>
            <w:r>
              <w:rPr>
                <w:rFonts w:ascii="Times New Roman" w:hAnsi="Times New Roman"/>
                <w:sz w:val="24"/>
              </w:rPr>
              <w:t>Samlede notionelle værdier af index credit default swaps, der anvendes som afdækning for kreditværdijusteringsrisiko.</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Pr>
                <w:rFonts w:ascii="Times New Roman" w:hAnsi="Times New Roman"/>
                <w:b/>
                <w:sz w:val="24"/>
              </w:rPr>
              <w:t>Rækker</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1BF5135E"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Samlet kreditværdijusteringsrisiko</w:t>
            </w:r>
          </w:p>
          <w:p w14:paraId="23F4B6C5" w14:textId="77777777" w:rsidR="000B0B09" w:rsidRPr="002A677E" w:rsidRDefault="000B0B09" w:rsidP="002300C6">
            <w:pPr>
              <w:rPr>
                <w:rFonts w:ascii="Times New Roman" w:hAnsi="Times New Roman"/>
                <w:bCs/>
                <w:sz w:val="24"/>
              </w:rPr>
            </w:pPr>
            <w:r>
              <w:rPr>
                <w:rFonts w:ascii="Times New Roman" w:hAnsi="Times New Roman"/>
                <w:sz w:val="24"/>
              </w:rPr>
              <w:t>Summen af række 0020-0040</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Pr>
                <w:rFonts w:ascii="Times New Roman" w:hAnsi="Times New Roman"/>
                <w:sz w:val="24"/>
              </w:rPr>
              <w:t xml:space="preserve">0020 </w:t>
            </w:r>
          </w:p>
        </w:tc>
        <w:tc>
          <w:tcPr>
            <w:tcW w:w="8004" w:type="dxa"/>
          </w:tcPr>
          <w:p w14:paraId="56435F6D"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Avanceret metode</w:t>
            </w:r>
          </w:p>
          <w:p w14:paraId="71B0BD86" w14:textId="2978AC5D" w:rsidR="000B0B09" w:rsidRPr="002A677E" w:rsidRDefault="000B0B09" w:rsidP="000B0B09">
            <w:pPr>
              <w:rPr>
                <w:rFonts w:ascii="Times New Roman" w:hAnsi="Times New Roman"/>
                <w:bCs/>
                <w:sz w:val="24"/>
              </w:rPr>
            </w:pPr>
            <w:r>
              <w:rPr>
                <w:rFonts w:ascii="Times New Roman" w:hAnsi="Times New Roman"/>
                <w:sz w:val="24"/>
              </w:rPr>
              <w:t xml:space="preserve">Kreditværdijusteringsrisiko opgjort efter den avancerede metode omhandlet i artikel 383 i forordning (EU) nr. 575/2013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547C558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Standardmetoden</w:t>
            </w:r>
          </w:p>
          <w:p w14:paraId="40EA6287" w14:textId="15793B36" w:rsidR="000B0B09" w:rsidRPr="002A677E" w:rsidRDefault="000B0B09" w:rsidP="000B0B09">
            <w:pPr>
              <w:rPr>
                <w:rFonts w:ascii="Times New Roman" w:hAnsi="Times New Roman"/>
                <w:bCs/>
                <w:sz w:val="24"/>
              </w:rPr>
            </w:pPr>
            <w:r>
              <w:rPr>
                <w:rFonts w:ascii="Times New Roman" w:hAnsi="Times New Roman"/>
                <w:sz w:val="24"/>
              </w:rPr>
              <w:t xml:space="preserve">Kreditværdijusteringsrisiko opgjort efter standardmetoden omhandlet i artikel 384 i forordning (EU) nr. 575/2013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525BDF1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Baseret på OEM</w:t>
            </w:r>
          </w:p>
          <w:p w14:paraId="298AB71F" w14:textId="66E14EC5" w:rsidR="000B0B09" w:rsidRPr="002A677E" w:rsidRDefault="000B0B09" w:rsidP="00E871FE">
            <w:pPr>
              <w:rPr>
                <w:rFonts w:ascii="Times New Roman" w:hAnsi="Times New Roman"/>
                <w:bCs/>
                <w:sz w:val="24"/>
              </w:rPr>
            </w:pPr>
            <w:r>
              <w:rPr>
                <w:rFonts w:ascii="Times New Roman" w:hAnsi="Times New Roman"/>
                <w:sz w:val="24"/>
              </w:rPr>
              <w:t>Beløb underlagt anvendelsen af artikel 385 i forordning (EU) nr. 575/2013</w:t>
            </w:r>
          </w:p>
        </w:tc>
      </w:tr>
      <w:bookmarkEnd w:id="754"/>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rPr>
      </w:pPr>
      <w:bookmarkStart w:id="756" w:name="_Toc119059441"/>
      <w:r>
        <w:rPr>
          <w:rFonts w:ascii="Times New Roman" w:hAnsi="Times New Roman"/>
          <w:sz w:val="24"/>
          <w:u w:val="none"/>
        </w:rPr>
        <w:lastRenderedPageBreak/>
        <w:t>6.</w:t>
      </w:r>
      <w:r>
        <w:tab/>
      </w:r>
      <w:r>
        <w:rPr>
          <w:rFonts w:ascii="Times New Roman" w:hAnsi="Times New Roman"/>
          <w:sz w:val="24"/>
        </w:rPr>
        <w:t>Forsigtig værdiansættelse (PruVal)</w:t>
      </w:r>
      <w:bookmarkEnd w:id="756"/>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119059442"/>
      <w:r>
        <w:rPr>
          <w:rFonts w:ascii="Times New Roman" w:hAnsi="Times New Roman"/>
          <w:sz w:val="24"/>
          <w:u w:val="none"/>
        </w:rPr>
        <w:t>6.1.</w:t>
      </w:r>
      <w:r>
        <w:tab/>
      </w:r>
      <w:r>
        <w:rPr>
          <w:rFonts w:ascii="Times New Roman" w:hAnsi="Times New Roman"/>
          <w:sz w:val="24"/>
        </w:rPr>
        <w:t>C 32.01 — Forsigtig værdiansættelse: Aktiver og passiver til dagsværdi (PruVal 1)</w:t>
      </w:r>
      <w:bookmarkEnd w:id="757"/>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119059443"/>
      <w:r>
        <w:rPr>
          <w:rFonts w:ascii="Times New Roman" w:hAnsi="Times New Roman"/>
          <w:sz w:val="24"/>
          <w:u w:val="none"/>
        </w:rPr>
        <w:t>6.1.1.</w:t>
      </w:r>
      <w:r>
        <w:tab/>
      </w:r>
      <w:r>
        <w:rPr>
          <w:rFonts w:ascii="Times New Roman" w:hAnsi="Times New Roman"/>
          <w:sz w:val="24"/>
        </w:rPr>
        <w:t>Generelle bemærkninger</w:t>
      </w:r>
      <w:bookmarkEnd w:id="758"/>
      <w:r>
        <w:rPr>
          <w:rFonts w:ascii="Times New Roman" w:hAnsi="Times New Roman"/>
          <w:sz w:val="24"/>
          <w:u w:val="none"/>
        </w:rPr>
        <w:t xml:space="preserve"> </w:t>
      </w:r>
    </w:p>
    <w:p w14:paraId="3632770C" w14:textId="77777777" w:rsidR="00B828CC" w:rsidRPr="002A677E" w:rsidRDefault="00CE7221" w:rsidP="00487A02">
      <w:pPr>
        <w:pStyle w:val="InstructionsText2"/>
        <w:numPr>
          <w:ilvl w:val="0"/>
          <w:numId w:val="0"/>
        </w:numPr>
        <w:ind w:left="1353" w:hanging="360"/>
      </w:pPr>
      <w:fldSimple w:instr=" seq paragraphs ">
        <w:r>
          <w:t>176</w:t>
        </w:r>
      </w:fldSimple>
      <w:r>
        <w:t>. Dette skema skal udfyldes af alle institutter, uanset om de har indført den forenklede metode til fastsættelse af yderligere værdiansættelsesjusteringer (AVA'er) eller ej. Dette skema drejer sig om den absolutte værdi af aktiver og passiver til dagsværdi, der anvendes til at bestemme, om betingelserne i artikel 4 i Kommissionens delegerede forordning (EU) 2016/101</w:t>
      </w:r>
      <w:r>
        <w:rPr>
          <w:rStyle w:val="FootnoteReference"/>
        </w:rPr>
        <w:footnoteReference w:id="10"/>
      </w:r>
      <w:r>
        <w:t xml:space="preserve"> for at kunne anvende den forenklede metode til fastsættelse af AVA'er er opfyldt.</w:t>
      </w:r>
    </w:p>
    <w:p w14:paraId="490DD67C" w14:textId="04AF6476" w:rsidR="00995A7F" w:rsidRPr="002A677E" w:rsidRDefault="00CE7221" w:rsidP="00487A02">
      <w:pPr>
        <w:pStyle w:val="InstructionsText2"/>
        <w:numPr>
          <w:ilvl w:val="0"/>
          <w:numId w:val="0"/>
        </w:numPr>
        <w:ind w:left="1353" w:hanging="360"/>
      </w:pPr>
      <w:fldSimple w:instr=" seq paragraphs ">
        <w:r>
          <w:t>177</w:t>
        </w:r>
      </w:fldSimple>
      <w:r>
        <w:t>. I forbindelse med institutter, der anvender den forenklede metode, angiver dette skema den samlede AVA, der skal fratrækkes kapitalgrundlaget i henhold til artikel 34 og 105 i forordning (EU) nr. 575/2013, jf. artikel 5 i delegeret forordning (EU) 2016/101, der skal indberettes i række 0290 i C 01.00.</w:t>
      </w:r>
    </w:p>
    <w:p w14:paraId="32EA25B2" w14:textId="31866819"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9059444"/>
      <w:r>
        <w:rPr>
          <w:rFonts w:ascii="Times New Roman" w:hAnsi="Times New Roman"/>
          <w:sz w:val="24"/>
          <w:u w:val="none"/>
        </w:rPr>
        <w:t>6.1.2.</w:t>
      </w:r>
      <w:r>
        <w:tab/>
      </w:r>
      <w:r>
        <w:rPr>
          <w:rFonts w:ascii="Times New Roman" w:hAnsi="Times New Roman"/>
          <w:sz w:val="24"/>
        </w:rPr>
        <w:t>Instrukser vedrørende specifikke positioner</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Kolonner</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AKTIVER OG PASSIVER TIL DAGSVÆRDI</w:t>
            </w:r>
          </w:p>
          <w:p w14:paraId="780F2023"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Absolut værdi af aktiver og passiver til dagsværdi, som anført i institutternes regnskaber efter de gældende regnskabsregler, jf. artikel 4, stk. 1, i delegeret forordning (EU) 2016/101, før udelukkelse i henhold til artikel 4, stk. 2, i delegeret forordning (EU) 2016/101 foretages.</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HERAF: handelsbeholdning</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Absolut værdi af aktiver og passiver til dagsværdi, som indberettet i 010, svarende til positioner i handelsbeholdningen.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AKTIVER OG PASSIVER TIL DAGSVÆRDI, DER IKKE MEDTAGES PÅ GRUND AF DELVIS PÅVIRKNING AF EGENTLIG KERNEKAPITAL</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Absolut værdi af aktiver og passiver til dagsværdi, der ikke medtages i henhold til artikel 4, stk. 2, i delegeret forordning (EU) 2016/101.</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Med fuldkommen match</w:t>
            </w:r>
          </w:p>
          <w:p w14:paraId="695D10A9"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Modsvarende aktiver og passiver til dagsværdi med fuldkommen match, der ikke medtages i henhold til artikel 4, stk. 2, i delegeret forordning (EU) 2016/101.</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Regnskabsmæssig sikring</w:t>
            </w:r>
          </w:p>
          <w:p w14:paraId="2814331F"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lastRenderedPageBreak/>
              <w:t>For positioner, der er omfattet af regnskabsmæssig sikring efter de gældende regnskabsregler, den absolutte værdi af aktiver og passiver til dagsværdi, der ikke medtages, i forhold til den relevante værdiansættelsesændrings påvirkning af den egentlige kernekapital, jf. artikel 4, stk. 2, i delegeret forordning (EU) 2016/101.</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Filtre </w:t>
            </w:r>
          </w:p>
          <w:p w14:paraId="35FF7B1B" w14:textId="57ADBEF5" w:rsidR="00B93FA1" w:rsidRPr="002A677E" w:rsidRDefault="00B93FA1" w:rsidP="002300C6">
            <w:pPr>
              <w:spacing w:beforeLines="60" w:before="144" w:afterLines="60" w:after="144"/>
              <w:rPr>
                <w:rFonts w:ascii="Times New Roman" w:hAnsi="Times New Roman"/>
                <w:sz w:val="24"/>
              </w:rPr>
            </w:pPr>
            <w:r>
              <w:rPr>
                <w:rFonts w:ascii="Times New Roman" w:hAnsi="Times New Roman"/>
                <w:sz w:val="24"/>
              </w:rPr>
              <w:t>Absolut værdi af aktiver og passiver til dagsværdi, der ikke medtages i henhold til artikel 4, stk. 2, i delegeret forordning (EU) 2016/101 på grund af den midlertidige anvendelse af de filtre, der er omhandlet i artikel 467 og 468 i forordning (EU) nr. 575/2013.</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Andre</w:t>
            </w:r>
          </w:p>
          <w:p w14:paraId="5A606B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Alle andre positioner, der ikke medtages i henhold til artikel 4, stk. 2, i delegeret forordning (EU) 2016/101, da justeringer af deres regnskabsmæssige værdi kun delvist påvirker den egentlige kernekapital.</w:t>
            </w:r>
          </w:p>
          <w:p w14:paraId="3FF98FE6"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Denne række skal kun udfyldes i sjældne tilfælde, hvor elementer, der ikke medtages i henhold til artikel 4, stk. 2, i delegeret forordning (EU) 2016/101, ikke kan henføres til kolonne 0030, 0040 eller 0050 i dette skema.</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Bemærkning til andre</w:t>
            </w:r>
            <w:r>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De væsentligste årsager til, at de i kolonne 0060 indberettede positioner ikke medtages.</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Aktiver og passiver til dagsværdi, der medtages i tærsklen i artikel 4, stk. 1</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Absolut værdi af aktiver og passiver til dagsværdi, der faktisk medtages i tærskelberegningen i overensstemmelse med artikel 4, stk. 1, i delegeret forordning (EU) 2016/101.</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HERAF: handelsbeholdning</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Absolut værdi af aktiver og passiver til dagsværdi, som indberettet i kolonne 0080, svarende til positioner i handelsbeholdningen.</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Rækker</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Definitionerne for disse kategorier svarer til definitionerne for de tilsvarende rækker i FINREP-skema 1.1 og 1.2.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w:t>
            </w:r>
            <w:r>
              <w:rPr>
                <w:rFonts w:ascii="Times New Roman" w:hAnsi="Times New Roman"/>
                <w:b/>
                <w:sz w:val="24"/>
                <w:u w:val="single"/>
              </w:rPr>
              <w:tab/>
              <w:t>SAMLEDE AKTIVER OG PASSIVER TIL DAGSVÆRDI</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sz w:val="24"/>
              </w:rPr>
              <w:t>Summen af aktiver og passiver til dagsværdi indberettet i række 0020-0210.</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SAMLEDE AKTIVER TIL DAGSVÆRDI</w:t>
            </w:r>
          </w:p>
          <w:p w14:paraId="4F15BD6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Summen af aktiver til dagsværdi indberettet i række 0030-0140. </w:t>
            </w:r>
          </w:p>
          <w:p w14:paraId="100F7B33"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Relevante celler i række 0030-0130 skal indberettes som for FINREP-skema F 01.01 i bilag III og IV til denne gennemførelsesforordning afhængigt af instituttets relevante standarder:</w:t>
            </w:r>
          </w:p>
          <w:p w14:paraId="3CF60D26"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 som godkendt af Unionen ved anvendelsen af Europa-Parlamentets og Rådets forordning (EF) nr. 1606/2002 ("EU IFRS")</w:t>
            </w:r>
            <w:r>
              <w:rPr>
                <w:rStyle w:val="FootnoteReference"/>
                <w:rFonts w:ascii="Times New Roman" w:hAnsi="Times New Roman"/>
                <w:sz w:val="20"/>
                <w:szCs w:val="20"/>
                <w:vertAlign w:val="superscript"/>
              </w:rPr>
              <w:footnoteReference w:id="11"/>
            </w:r>
          </w:p>
          <w:p w14:paraId="4663386E"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nationale regnskabsstandarder, der er i overensstemmelse med EU IFRS ("IFRS-forenelige nationale almindeligt anerkendte regnskabsprincipper") eller</w:t>
            </w:r>
          </w:p>
          <w:p w14:paraId="6778B4B1" w14:textId="4A237E5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nationale almindeligt anerkendte regnskabsprincipper baseret på Rådets direktiv 86/635/EØF (FINREP "nationale almindeligt anerkendte regnskabsprincipper baseret på Rådets direktiv 86/635/EØF").</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FINANSIELLE AKTIVER, SOM BESIDDES MED HANDEL FOR ØJE</w:t>
            </w:r>
          </w:p>
          <w:p w14:paraId="61B5140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 Appendiks A.</w:t>
            </w:r>
          </w:p>
          <w:p w14:paraId="7ACD732E"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De i denne række indberettede oplysninger skal svare til række 0050 i skema F 01.01 i bilag III og IV til denne gennemførelsesforordning.</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FINANSIELLE AKTIVER I HANDELSBEHOLDNINGEN</w:t>
            </w:r>
          </w:p>
          <w:p w14:paraId="230FCF67" w14:textId="50691181"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Artikel 32 og 33 i Rådets direktiv 86/635/EØF, del 1.17 i bilag V til denne gennemførelsesforordning </w:t>
            </w:r>
          </w:p>
          <w:p w14:paraId="309477B0"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De i denne række indberettede oplysninger skal svare til aktiver målt til dagsværdi, som indgår i den værdi, der er indberettet i række 0091 i skema F 01.01 i bilag III og IV til denne gennemførelsesforordning.</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FINANSIELLE AKTIVER, UDEN FOR HANDELSBEHOLDNINGEN, SOM SKAL MÅLES TIL DAGSVÆRDI GENNEM RESULTATET </w:t>
            </w:r>
          </w:p>
          <w:p w14:paraId="4C78FD1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7.8(a)(ii), IFRS 9.4.1.4.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De i denne række indberettede oplysninger skal svare til række 0096 i skema F 01.01 i bilag III og IV til denne gennemførelsesforordning.</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FINANSIELLE AKTIVER KLASSIFICERET TIL DAGSVÆRDI GENNEM RESULTATET</w:t>
            </w:r>
          </w:p>
          <w:p w14:paraId="3F5C780D" w14:textId="1897C5A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7.8(a)(i), IFRS 9.4.1.5, Artikel 8, stk. 1, litra a), og artikel 8, stk. 6, i direktiv 2013/34/EU</w:t>
            </w:r>
          </w:p>
          <w:p w14:paraId="59767246"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De i denne række indberettede oplysninger skal svare til række 0100 i skema F 01.01 i bilag III og IV til denne gennemførelsesforordning.</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24B0786" w14:textId="5FF80C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FINANSIELLE AKTIVER TIL DAGSVÆRDI GENNEM ANDEN TOTALINDKOMST</w:t>
            </w:r>
          </w:p>
          <w:p w14:paraId="636C4CC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7.8(h), IFRS 9.4.1.2A.</w:t>
            </w:r>
          </w:p>
          <w:p w14:paraId="4CCAA232" w14:textId="77777777" w:rsidR="00B93FA1" w:rsidRPr="002A677E" w:rsidRDefault="00B93FA1" w:rsidP="00C11B8D">
            <w:pPr>
              <w:spacing w:beforeLines="60" w:before="144" w:afterLines="60" w:after="144"/>
              <w:rPr>
                <w:rFonts w:ascii="Times New Roman" w:hAnsi="Times New Roman"/>
                <w:sz w:val="24"/>
              </w:rPr>
            </w:pPr>
            <w:r>
              <w:rPr>
                <w:rFonts w:ascii="Times New Roman" w:hAnsi="Times New Roman"/>
                <w:sz w:val="24"/>
              </w:rPr>
              <w:lastRenderedPageBreak/>
              <w:t>De i denne række indberettede oplysninger skal svare til række 0141 i skema F 01.01 i bilag III og IV til denne gennemførelsesforordning.</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FINANSIELLE AKTIVER, BORTSET FRA DERIVATER, UDEN FOR HANDELSBEHOLDNINGEN, MÅLT TIL DAGSVÆRDI GENNEM RESULTATET</w:t>
            </w:r>
          </w:p>
          <w:p w14:paraId="18F219FE" w14:textId="4730AE3B" w:rsidR="00B93FA1" w:rsidRPr="002A677E" w:rsidRDefault="002F78EA" w:rsidP="0016282F">
            <w:pPr>
              <w:spacing w:beforeLines="60" w:before="144" w:afterLines="60" w:after="144"/>
              <w:rPr>
                <w:rFonts w:ascii="Times New Roman" w:hAnsi="Times New Roman"/>
                <w:b/>
                <w:sz w:val="24"/>
                <w:u w:val="single"/>
              </w:rPr>
            </w:pPr>
            <w:r>
              <w:rPr>
                <w:rFonts w:ascii="Times New Roman" w:hAnsi="Times New Roman"/>
                <w:sz w:val="24"/>
              </w:rPr>
              <w:t>Artikel 36, stk. 2, i Rådets direktiv 86/635/EØF. De i denne række indberettede oplysninger skal svare til række 0171 i skema F 01.01 i bilag III og IV til denne gennemførelsesforordning.</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FINANSIELLE AKTIVER, BORTSET FRA DERIVATER, UDEN FOR HANDELSBEHOLDNINGEN, MÅLT TIL DAGSVÆRDI I EGENKAPITALEN</w:t>
            </w:r>
          </w:p>
          <w:p w14:paraId="7C1FCAF2" w14:textId="0788DE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Artikel 8, stk. 1, litra a), og artikel 8, stk. 8, i direktiv 2013/34/EU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De i denne række indberettede oplysninger skal svare til række 0175 i skema F 01.01 i bilag III og IV til denne gennemførelsesforordning.</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ANDRE FINANSIELLE AKTIVER, BORTSET FRA DERIVATER, UDEN FOR HANDELSBEHOLDNINGEN</w:t>
            </w:r>
          </w:p>
          <w:p w14:paraId="21863DB3" w14:textId="2BC6F2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Artikel 37 i Rådets direktiv 86/635/EØF, artikel 12, stk. 7, i direktiv 2013/34/EU, del 1.20 i bilag V til denne gennemførelsesforordning</w:t>
            </w:r>
          </w:p>
          <w:p w14:paraId="35F9C17D"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De i denne række indberettede oplysninger skal svare til aktiver målt til dagsværdi, som indgår i den værdi, der er indberettet i række 0234 i skema F 01.01 i bilag III og IV til denne gennemførelsesforordning.</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DERIVATER — REGNSKABSMÆSSIG SIKRING</w:t>
            </w:r>
          </w:p>
          <w:p w14:paraId="26336693" w14:textId="1F07953D"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9.6.2.1, del 1.22 i bilag V til denne gennemførelsesforordning, artikel 8, stk. 1, litra a), og artikel 8, stk. 6 og 8, i direktiv 2013/34/EU, IAS 39.9.</w:t>
            </w:r>
          </w:p>
          <w:p w14:paraId="1CF2E4FB"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De i denne række indberettede oplysninger skal svare til række 0240 i skema F 01.01 i bilag III og IV til denne gennemførelsesforordning.</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ÆNDRING I DAGSVÆRDIEN AF SIKREDE POSTER VED PORTEFØLJESIKRING AF RENTERISIKO</w:t>
            </w:r>
          </w:p>
          <w:p w14:paraId="4B9850C3" w14:textId="62C2E763" w:rsidR="00B93FA1" w:rsidRPr="002A677E" w:rsidRDefault="00B93FA1" w:rsidP="00587E96">
            <w:pPr>
              <w:spacing w:beforeLines="60" w:before="144" w:afterLines="60" w:after="144"/>
              <w:rPr>
                <w:rFonts w:ascii="Times New Roman" w:hAnsi="Times New Roman"/>
                <w:b/>
                <w:sz w:val="24"/>
                <w:u w:val="single"/>
              </w:rPr>
            </w:pPr>
            <w:r>
              <w:rPr>
                <w:rFonts w:ascii="Times New Roman" w:hAnsi="Times New Roman"/>
                <w:sz w:val="24"/>
              </w:rPr>
              <w:t>IAS 39.89A(a), IFRS 9.6.5.8, artikel 8, stk. 5 og 6, i Europa-Parlamentets og Rådets direktiv 2013/34/EU</w:t>
            </w:r>
            <w:r>
              <w:rPr>
                <w:vertAlign w:val="superscript"/>
              </w:rPr>
              <w:footnoteReference w:id="12"/>
            </w:r>
            <w:r>
              <w:rPr>
                <w:rFonts w:ascii="Times New Roman" w:hAnsi="Times New Roman"/>
                <w:sz w:val="24"/>
              </w:rPr>
              <w:t xml:space="preserve"> De i denne række indberettede oplysninger skal svare til række 0250 i skema F 01.01 i bilag III og IV til denne gennemførelsesforordning.</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KAPITALANDELE I DATTERSELSKABER, JOINT VENTURES OG ASSOCIEREDE SELSKABER</w:t>
            </w:r>
          </w:p>
          <w:p w14:paraId="4186901D" w14:textId="3DABF43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IAS 1.54(e), del 1.21 og 2.4 i bilag V til denne gennemførelsesforordning, artikel 4, nr. 7 og 8, i Rådets direktiv 86/635/EØF, artikel 2, stk. 2, i direktiv 2013/34/EU</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De i denne række indberettede oplysninger skal svare til række 0260 i skema F 01.01 i bilag III og IV til denne gennemførelsesforordning.</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HAIRCUTS FOR AKTIVER I HANDELSBEHOLDNINGEN TIL DAGSVÆRDI</w:t>
            </w:r>
          </w:p>
          <w:p w14:paraId="35FEB8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Del 1.29 i bilag V til denne gennemførelsesforordning</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Pr>
                <w:rFonts w:ascii="Times New Roman" w:hAnsi="Times New Roman"/>
                <w:sz w:val="24"/>
              </w:rPr>
              <w:t>De i denne række indberettede oplysninger skal svare til række 0375 i skema F 01.01 i bilag III og IV til denne gennemførelsesforordning.</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ANDRE AKTIVER</w:t>
            </w:r>
          </w:p>
          <w:p w14:paraId="5D7B2512" w14:textId="3A30CAB9"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Aktiver som omhandlet i bilag V, del 2, punkt 5 og 6, til denne gennemførelsesforordning, i det omfang de værdiansættes til dagsværdi.</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1.1.14 ANLÆGSAKTIVER OG AFSTÅELSESGRUPPER KLASSIFICERET SOM BESIDDELSE MED HENBLIK PÅ SALG</w:t>
            </w:r>
          </w:p>
          <w:p w14:paraId="44AE1A1D" w14:textId="6881F0E0"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Aktiver som omhandlet i bilag V, del 2, punkt 7, til denne gennemførelsesforordning, i det omfang de værdiansættes til dagsværdi.</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5D25F569" w14:textId="58E55534"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SAMLEDE PASSIVER TIL DAGSVÆRDI </w:t>
            </w:r>
          </w:p>
          <w:p w14:paraId="1444AE8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Summen af passiver til dagsværdi indberettet i række 0160-0210.</w:t>
            </w:r>
          </w:p>
          <w:p w14:paraId="29E7AA9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Relevante celler i række 0150-0190 skal indberettes som for FINREP-skema F 01.02 i bilag III og IV til denne gennemførelsesforordning afhængigt af instituttets relevante standarder: </w:t>
            </w:r>
          </w:p>
          <w:p w14:paraId="37890667"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 som godkendt af Unionen ved anvendelsen af forordning (EF) nr. 1606/2002 ("EU IFRS")</w:t>
            </w:r>
          </w:p>
          <w:p w14:paraId="1EC76E31"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nationale regnskabsstandarder, der er i overensstemmelse med EU IFRS ("IFRS-forenelige nationale almindeligt anerkendte regnskabsprincipper") </w:t>
            </w:r>
          </w:p>
          <w:p w14:paraId="63DB204C" w14:textId="27FC359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nationale almindeligt anerkendte regnskabsprincipper baseret på Rådets direktiv 86/635/EØF (FINREP "nationale almindeligt anerkendte regnskabsprincipper baseret på Rådets direktiv 86/635/EØF").</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FINANSIELLE FORPLIGTELSER, SOM BESIDDES MED HANDEL FOR ØJE</w:t>
            </w:r>
          </w:p>
          <w:p w14:paraId="7020356D" w14:textId="13ED189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 (e) (ii), IFRS 9.BA.6.</w:t>
            </w:r>
          </w:p>
          <w:p w14:paraId="1EAE7B01"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De i denne række indberettede oplysninger skal svare til række 0010 i skema F 01.02 i bilag III og IV til denne gennemførelsesforordning.</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FINANSIELLE FORPLIGTELSER I HANDELSBEHOLDNINGEN</w:t>
            </w:r>
          </w:p>
          <w:p w14:paraId="4891C92A" w14:textId="001D7CDC"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Artikel 8, stk. 1, litra a), og artikel 8, stk. 3 og 6, i direktiv 2013/34/EU</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lastRenderedPageBreak/>
              <w:t>De i denne række indberettede oplysninger skal svare til række 0061 i skema F 01.02 i bilag III og IV til denne gennemførelsesforordning.</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FINANSIELLE FORPLIGTELSER KLASSIFICERET TIL DAGSVÆRDI GENNEM RESULTATET</w:t>
            </w:r>
          </w:p>
          <w:p w14:paraId="14ED5A66" w14:textId="74BD209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 (e)(i), IFRS 9.4.2.2, artikel 8, stk. 1, litra a), og artikel 8, stk. 6, i direktiv 2013/34/EU IAS 39.9. </w:t>
            </w:r>
          </w:p>
          <w:p w14:paraId="70B1BEB6"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De i denne række indberettede oplysninger skal svare til række 0070 i skema F 01.02 i bilag III og IV til denne gennemførelsesforordning.</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DERIVATER — REGNSKABSMÆSSIG SIKRING</w:t>
            </w:r>
          </w:p>
          <w:p w14:paraId="67E1EF15" w14:textId="5ACCB9B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9.6.2.1, del 1.26 i bilag V til denne gennemførelsesforordning, artikel 8, stk. 1, litra a), artikel 8, stk. 6, og artikel 8, stk. 8, litra a), i direktiv 2013/34/EU</w:t>
            </w:r>
          </w:p>
          <w:p w14:paraId="619DE6FF"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De i denne række indberettede oplysninger skal svare til række 0150 i skema F 01.02 i bilag III og IV til denne gennemførelsesforordning.</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ÆNDRING I DAGSVÆRDIEN AF SIKREDE POSTER VED PORTEFØLJESIKRING AF RENTERISIKO</w:t>
            </w:r>
          </w:p>
          <w:p w14:paraId="350204C6" w14:textId="6EC34D2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IAS 39.89A(b), IFRS 9.6.5.8, artikel 8, stk. 5 og 6, i direktiv 2013/34/EU, del 2.8 i bilag V til denne gennemførelsesforordning</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De i denne række indberettede oplysninger skal svare til række 0160 i skema F 01.02 i bilag III og IV til denne gennemførelsesforordning.</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HAIRCUTS FOR FORPLIGTELSER I HANDELSBEHOLDNINGEN TIL DAGSVÆRDI</w:t>
            </w:r>
          </w:p>
          <w:p w14:paraId="5E306F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Del 1.29 i bilag V til denne gennemførelsesforordning</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De i denne række indberettede oplysninger skal svare til række 0295 i skema F 01.02 i bilag III og IV til denne gennemførelsesforordning.</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ANDRE FORPLIGTELSER</w:t>
            </w:r>
          </w:p>
          <w:p w14:paraId="7D2FE311" w14:textId="63A3A362"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Forpligtelser som omhandlet i bilag V, del 2, punkt 13, til denne gennemførelsesforordning, i det omfang de værdiansættes til dagsværdi.</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1.2.8 FORPLIGTELSER I AFSTÅELSESGRUPPER KLASSIFICERET SOM BESIDDELSE MED HENBLIK PÅ SALG</w:t>
            </w:r>
          </w:p>
          <w:p w14:paraId="0DF9F396" w14:textId="58331782" w:rsidR="00827BBD" w:rsidRDefault="000B22F6" w:rsidP="00827BBD">
            <w:pPr>
              <w:spacing w:beforeLines="60" w:before="144" w:afterLines="60" w:after="144"/>
              <w:rPr>
                <w:rFonts w:ascii="Times New Roman" w:hAnsi="Times New Roman"/>
                <w:b/>
                <w:sz w:val="24"/>
                <w:u w:val="single"/>
              </w:rPr>
            </w:pPr>
            <w:r>
              <w:rPr>
                <w:rFonts w:ascii="Times New Roman" w:hAnsi="Times New Roman"/>
                <w:sz w:val="24"/>
              </w:rPr>
              <w:t>Forpligtelser som omhandlet i bilag V, del 2, punkt 14, til denne gennemførelsesforordning, i det omfang de værdiansættes til dagsværdi.</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119059445"/>
      <w:r>
        <w:rPr>
          <w:rFonts w:ascii="Times New Roman" w:hAnsi="Times New Roman"/>
          <w:sz w:val="24"/>
          <w:u w:val="none"/>
        </w:rPr>
        <w:lastRenderedPageBreak/>
        <w:t>6.2.</w:t>
      </w:r>
      <w:r>
        <w:tab/>
      </w:r>
      <w:r>
        <w:rPr>
          <w:rFonts w:ascii="Times New Roman" w:hAnsi="Times New Roman"/>
          <w:sz w:val="24"/>
        </w:rPr>
        <w:t>C 32.02 — Forsigtig værdiansættelse: Kernemetode (PruVal 2)</w:t>
      </w:r>
      <w:bookmarkEnd w:id="760"/>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119059446"/>
      <w:r>
        <w:rPr>
          <w:rFonts w:ascii="Times New Roman" w:hAnsi="Times New Roman"/>
          <w:sz w:val="24"/>
          <w:u w:val="none"/>
        </w:rPr>
        <w:t>6.2.1.</w:t>
      </w:r>
      <w:r>
        <w:tab/>
      </w:r>
      <w:r>
        <w:rPr>
          <w:rFonts w:ascii="Times New Roman" w:hAnsi="Times New Roman"/>
          <w:sz w:val="24"/>
        </w:rPr>
        <w:t>Generelle bemærkninger</w:t>
      </w:r>
      <w:bookmarkEnd w:id="761"/>
      <w:r>
        <w:rPr>
          <w:rFonts w:ascii="Times New Roman" w:hAnsi="Times New Roman"/>
          <w:sz w:val="24"/>
          <w:u w:val="none"/>
        </w:rPr>
        <w:t xml:space="preserve"> </w:t>
      </w:r>
    </w:p>
    <w:p w14:paraId="26158FB2" w14:textId="5ECB127D" w:rsidR="00B93FA1" w:rsidRPr="002A677E" w:rsidRDefault="00CE7221" w:rsidP="00487A02">
      <w:pPr>
        <w:pStyle w:val="InstructionsText2"/>
        <w:numPr>
          <w:ilvl w:val="0"/>
          <w:numId w:val="0"/>
        </w:numPr>
        <w:ind w:left="1353" w:hanging="360"/>
      </w:pPr>
      <w:fldSimple w:instr=" seq paragraphs ">
        <w:r>
          <w:t>178</w:t>
        </w:r>
      </w:fldSimple>
      <w:r>
        <w:t>. Formålet med dette skema er at tilvejebringe oplysninger om sammensætningen af den samlede AVA, der skal fratrækkes kapitalgrundlaget i henhold til artikel 34 og 105 i forordning (EU) nr. 575/2013, sammen med relevante oplysninger om den regnskabsmæssige værdiansættelse af positionerne, der giver anledning til bestemmelsen af AVA'er.</w:t>
      </w:r>
    </w:p>
    <w:p w14:paraId="2436765C" w14:textId="77777777" w:rsidR="00B93FA1" w:rsidRPr="002A677E" w:rsidRDefault="00CE7221" w:rsidP="00487A02">
      <w:pPr>
        <w:pStyle w:val="InstructionsText2"/>
        <w:numPr>
          <w:ilvl w:val="0"/>
          <w:numId w:val="0"/>
        </w:numPr>
        <w:ind w:left="1353" w:hanging="360"/>
      </w:pPr>
      <w:fldSimple w:instr=" seq paragraphs ">
        <w:r>
          <w:t>179</w:t>
        </w:r>
      </w:fldSimple>
      <w:r>
        <w:t xml:space="preserve">. Dette skema skal udfyldes af alle institutter, som: </w:t>
      </w:r>
    </w:p>
    <w:p w14:paraId="586760F7" w14:textId="71BC7D2D" w:rsidR="00B93FA1" w:rsidRPr="002A677E" w:rsidRDefault="00B93FA1" w:rsidP="00487A02">
      <w:pPr>
        <w:pStyle w:val="InstructionsText2"/>
        <w:numPr>
          <w:ilvl w:val="0"/>
          <w:numId w:val="0"/>
        </w:numPr>
        <w:ind w:left="1353" w:hanging="360"/>
      </w:pPr>
      <w:r>
        <w:t>a) skal anvende kernemetoden, fordi de overskrider den tærskel, der er omhandlet i artikel 4, stk. 1, i delegeret forordning (EU) 2016/101, enten på individuelt grundlag eller på konsolideret grundlag som fastsat i nævnte forordnings artikel 4, stk. 3, eller</w:t>
      </w:r>
    </w:p>
    <w:p w14:paraId="10FFD0C1" w14:textId="77777777" w:rsidR="00B93FA1" w:rsidRPr="002A677E" w:rsidRDefault="00973707" w:rsidP="00487A02">
      <w:pPr>
        <w:pStyle w:val="InstructionsText2"/>
        <w:numPr>
          <w:ilvl w:val="0"/>
          <w:numId w:val="0"/>
        </w:numPr>
        <w:ind w:left="1353" w:hanging="360"/>
      </w:pPr>
      <w:r>
        <w:t xml:space="preserve">b) har valgt at anvende kernemetoden, selv om de ikke overskrider tærsklen. </w:t>
      </w:r>
    </w:p>
    <w:p w14:paraId="40F83A9B" w14:textId="595D7823" w:rsidR="00973707" w:rsidRPr="002A677E" w:rsidRDefault="00CE7221" w:rsidP="00487A02">
      <w:pPr>
        <w:pStyle w:val="InstructionsText2"/>
        <w:numPr>
          <w:ilvl w:val="0"/>
          <w:numId w:val="0"/>
        </w:numPr>
        <w:ind w:left="1353" w:hanging="360"/>
      </w:pPr>
      <w:fldSimple w:instr=" seq paragraphs ">
        <w:r>
          <w:t>180</w:t>
        </w:r>
      </w:fldSimple>
      <w:r>
        <w:t>. I forbindelse med dette skema betyder "opadrettet usikkerhed" følgende: Som fastsat i artikel 8, stk. 2, i delegeret forordning (EU) 2016/101 beregnes AVA'er som forskellen mellem dagsværdien og en forsigtig værdiansættelse, der er fastsat på grundlag af en 90 % sikkerhed om, at institutterne kan trække sig ud af eksponeringen på det punkt eller bedre inden for det notionelle sæt af plausible værdier. Den opadrettede værdi eller "opadrettede usikkerhed" er det modsatte punkt i fordelingen af plausible værdier, for hvilke institutterne kun med 10 % sikkerhed mener, at de kan trække sig ud af positionen på det punkt eller bedre. Den opadrettede usikkerhed beregnes og aggregeres på samme grundlag som den samlede AVA, men hvor der anvendes et sikkerhedsniveau på 10 % i stedet for de 90 %, der anvendes ved bestemmelsen af den samlede AVA.</w:t>
      </w:r>
    </w:p>
    <w:p w14:paraId="0DED1285" w14:textId="61990E4E" w:rsidR="00B93FA1" w:rsidRPr="002A677E"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119059447"/>
      <w:r>
        <w:rPr>
          <w:rFonts w:ascii="Times New Roman" w:hAnsi="Times New Roman"/>
          <w:sz w:val="24"/>
          <w:u w:val="none"/>
        </w:rPr>
        <w:t>6.2.2.</w:t>
      </w:r>
      <w:r>
        <w:tab/>
      </w:r>
      <w:r>
        <w:rPr>
          <w:rFonts w:ascii="Times New Roman" w:hAnsi="Times New Roman"/>
          <w:sz w:val="24"/>
          <w:u w:val="none"/>
        </w:rPr>
        <w:t>Instrukser vedrørende specifikke positioner</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Kolonner</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PÅ KATEGORINIVEAU</w:t>
            </w:r>
          </w:p>
          <w:p w14:paraId="6517B4B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AVA'erne på kategoriniveau for markedsprisusikkerhed, omkostninger ved at lukke positioner, modelrisiko, koncentrerede positioner, fremtidige administrationsomkostninger, forfald før aftalt tid og operationel risiko beregnes som beskrevet i henholdsvis artikel 9, 10 og 11 og 14-17 i delegeret forordning (EU) 2016/101.</w:t>
            </w:r>
          </w:p>
          <w:p w14:paraId="597BF97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For kategorierne markedsprisusikkerhed, omkostninger ved at lukke positioner og modelrisiko, som er omfattet af diversificeringsfordele som beskrevet i artikel 9, stk. 6, artikel 10, stk. 7, og artikel 11, stk. 7, i delegeret forordning (EU) 2016/101, indberettes AVA'erne på kategoriniveau, medmindre andet er angivet, som summen af de individuelle AVA'er før diversificeringsfordel [eftersom diversificeringsfordele, der er beregnet ved anvendelse af metode 1 eller metode 2 i bilaget til delegeret forordning (EU) 2016/101, indberettes i post 1.1.2, 1.1.2.1 og 1.1.2.2 i skemaet]. </w:t>
            </w:r>
          </w:p>
          <w:p w14:paraId="041F0EAD" w14:textId="0BFD7571" w:rsidR="00973707" w:rsidRPr="002A677E" w:rsidRDefault="00973707" w:rsidP="00DC1E40">
            <w:pPr>
              <w:spacing w:beforeLines="60" w:before="144" w:afterLines="60" w:after="144"/>
              <w:rPr>
                <w:rFonts w:ascii="Times New Roman" w:hAnsi="Times New Roman"/>
                <w:sz w:val="24"/>
              </w:rPr>
            </w:pPr>
            <w:r>
              <w:rPr>
                <w:rFonts w:ascii="Times New Roman" w:hAnsi="Times New Roman"/>
                <w:sz w:val="24"/>
              </w:rPr>
              <w:lastRenderedPageBreak/>
              <w:t>For kategorierne markedsprisusikkerhed, omkostninger ved at lukke positioner og modelrisiko, skal beløb, der er beregnet ved anvendelse af den ekspertbaserede metode som omhandlet i artikel 9, stk. 5, litra b), artikel 10, stk. 6, litra b), og artikel 11, stk. 4, i delegeret forordning (EU) 2016/101, indberettes særskilt i kolonne 0020, 0040 og 0060.</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MARKEDSPRISUSIKKERHED</w:t>
            </w:r>
          </w:p>
          <w:p w14:paraId="69DD0FB7" w14:textId="158F25A1"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105, stk. 10, i forordning (EU) nr. 575/2013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AVA'er for markedsprisusikkerhed beregnet i henhold til artikel 9 i delegeret forordning (EU) 2016/101.</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HERAF: BEREGNET VED DEN EKSPERTBASEREDE METODE</w:t>
            </w:r>
          </w:p>
          <w:p w14:paraId="43C755EC" w14:textId="5573FA6E" w:rsidR="00973707" w:rsidRPr="002A677E" w:rsidRDefault="00973707" w:rsidP="00DC1E40">
            <w:pPr>
              <w:spacing w:beforeLines="60" w:before="144" w:afterLines="60" w:after="144"/>
              <w:rPr>
                <w:rStyle w:val="InstructionsTabelleberschrift"/>
                <w:rFonts w:ascii="Times New Roman" w:hAnsi="Times New Roman"/>
                <w:sz w:val="24"/>
              </w:rPr>
            </w:pPr>
            <w:r>
              <w:rPr>
                <w:rFonts w:ascii="Times New Roman" w:hAnsi="Times New Roman"/>
                <w:sz w:val="24"/>
              </w:rPr>
              <w:t>AVA'er for markedsprisusikkerhed beregnet i henhold til artikel 9, stk. 5, litra b), i delegeret forordning (EU) 2016/101.</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OMKOSTNINGER VED AT LUKKE POSITIONER</w:t>
            </w:r>
          </w:p>
          <w:p w14:paraId="4471DD04" w14:textId="48E84E5D"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105, stk. 10, i forordning (EU) nr. 575/2013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AVA'er for omkostninger ved at lukke positioner beregnet i henhold til artikel 10 i delegeret forordning (EU) 2016/101.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HERAF: BEREGNET VED DEN EKSPERTBASEREDE METODE</w:t>
            </w:r>
          </w:p>
          <w:p w14:paraId="7B49243A" w14:textId="5D5B3463"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AVA'er for markedsprisusikkerhed beregnet i henhold til artikel 10, stk. 6, litra b), i delegeret forordning (EU) 2016/101.</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MODELRISIKO</w:t>
            </w:r>
          </w:p>
          <w:p w14:paraId="67F07253" w14:textId="75D7BE60"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 stk. 10, i forordning (EU) nr. 575/2013</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AVA'er for modelrisiko beregnet i henhold til artikel 11 i delegeret forordning (EU) 2016/101.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HERAF: BEREGNET VED DEN EKSPERTBASEREDE METODE</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AVA'er for modelrisiko beregnet i henhold til artikel 11, stk. 4, i delegeret forordning (EU) 2016/101.</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KONCENTREREDE POSITIONER</w:t>
            </w:r>
          </w:p>
          <w:p w14:paraId="3D76EDD0" w14:textId="70AF6FB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 stk. 11, i forordning (EU) nr. 575/2013</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AVA'er for koncentrerede positioner beregnet i henhold til artikel 14 i delegeret forordning (EU) 2016/101.</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FREMTIDIGE ADMINISTRATIONSOMKOSTNINGER</w:t>
            </w:r>
          </w:p>
          <w:p w14:paraId="3EA3EFC2" w14:textId="155ECA6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 stk. 10, i forordning (EU) nr. 575/2013</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AVA'er for fremtidige administrationsomkostninger beregnet i henhold til artikel 15 i delegeret forordning (EU) 2016/101.</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FORFALD FØR AFTALT TID</w:t>
            </w:r>
          </w:p>
          <w:p w14:paraId="53DB2AC5" w14:textId="7088A1EB"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 stk. 10, i forordning (EU) nr. 575/2013</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AVA'er for forfald før aftalt tid beregnet i henhold til artikel 16 i delegeret forordning (EU) 2016/101.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OPERATIONEL RISIKO</w:t>
            </w:r>
          </w:p>
          <w:p w14:paraId="29AAF610" w14:textId="44B8AAE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 stk. 10, i forordning (EU) nr. 575/2013</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AVA'er for operationel risiko beregnet i henhold til artikel 17 i delegeret forordning (EU) 2016/101.</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SAMLET AVA </w:t>
            </w:r>
          </w:p>
          <w:p w14:paraId="679A762B" w14:textId="7B816DE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Række 0010: </w:t>
            </w:r>
            <w:r>
              <w:rPr>
                <w:rFonts w:ascii="Times New Roman" w:hAnsi="Times New Roman"/>
                <w:sz w:val="24"/>
              </w:rPr>
              <w:t>Samlet AVA, der skal trækkes fra kapitalgrundlaget i henhold til artikel 34 og 105 i forordning (EU) nr. 575/2013 og indberettes i række 0290 i C 01.00.</w:t>
            </w:r>
            <w:r>
              <w:rPr>
                <w:rStyle w:val="InstructionsTabelleberschrift"/>
                <w:rFonts w:ascii="Times New Roman" w:hAnsi="Times New Roman"/>
                <w:b w:val="0"/>
                <w:sz w:val="24"/>
                <w:u w:val="none"/>
              </w:rPr>
              <w:t xml:space="preserve"> Den samlede AVA er summen af række 0030 og 0180.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Række 0020: den andel af den samlede AVA indberettet i række 0010, der stammer fra positioner i handelsbeholdningen (absolut værdi).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Række 0030-0160: summen af kolonne 0010, 0030, 0050 og 0070-0100.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Række 0180-0210: samlet AVA, der stammer fra porteføljer efter den subsidiære metode.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OPADRETTET USIKKERHED</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8, stk. 2, i</w:t>
            </w:r>
            <w:r>
              <w:rPr>
                <w:rFonts w:ascii="Times New Roman" w:hAnsi="Times New Roman"/>
                <w:sz w:val="24"/>
              </w:rPr>
              <w:t xml:space="preserve"> delegeret forordning (EU) 2016/101.</w:t>
            </w:r>
          </w:p>
          <w:p w14:paraId="171B712D" w14:textId="58D1F49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Den opadrettede usikkerhed beregnes og aggregeres på samme grundlag som den samlede AVA beregnet i kolonne 0110, men hvor der anvendes et sikkerhedsniveau på 10 % i stedet for de 90 %, der anvendes ved bestemmelsen af den samlede AVA.</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0130 -0140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AKTIVER OG PASSIVER TIL DAGSVÆRDI</w:t>
            </w:r>
          </w:p>
          <w:p w14:paraId="30899AC6"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Absolut værdi af aktiver og passiver til dagsværdi svarende til de AVA-værdier, der er indberettet i række 0010-0130 og række 0180. For nogle rækker, især række 0090-0130, skal disse værdier muligvis tilnærmes eller henføres på grundlag af en sagkyndig vurdering. </w:t>
            </w:r>
          </w:p>
          <w:p w14:paraId="2A036E2E" w14:textId="77777777" w:rsidR="001771A4"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Række 0010: Samlet absolut værdi af aktiver og passiver til dagsværdi, der medtages i tærskelberegningen i overensstemmelse med artikel 4, stk. 1, i delegeret forordning (EU) 2016/101. Heri indgår den absolutte værdi af aktiver og passiver til dagsværdi, for hvilke AVA'er anses for at have værdien nul i overensstemmelse med artikel 9, stk. 2, artikel 10, stk. 2, eller artikel 10, stk. 3, i delegeret forordning (EU) 2016/101, der også indberettes særskilt i række 0070 og 0080. </w:t>
            </w:r>
          </w:p>
          <w:p w14:paraId="60A6A2CA" w14:textId="77777777" w:rsidR="00973707"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Række 0010 er summen af række 0030 og række 0180. </w:t>
            </w:r>
          </w:p>
          <w:p w14:paraId="73C0158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Række 0020: den andel af den samlede absolutte værdi af aktiver og passiver til dagsværdi, der indberettes i række 0010, og som stammer fra positioner i handelsbeholdningen (absolut værdi). </w:t>
            </w:r>
          </w:p>
          <w:p w14:paraId="2B07607F"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Række 0030: absolut værdi af aktiver og passiver til dagsværdi svarende til porteføljerne omhandlet i artikel 9-17 i delegeret forordning (EU) 2016/101. Heri indgår den absolutte værdi af aktiver og passiver til dagsværdi, for hvilke AVA'er anses for at have værdien nul i overensstemmelse med artikel 9, stk. 2, artikel 10, stk. 2, eller artikel 10, stk. 3, i delegeret forordning (EU) 2016/101, der også indberettes særskilt i række 0070 og 0080. Række 0030 er summen af række 0090-0130.</w:t>
            </w:r>
          </w:p>
          <w:p w14:paraId="550DAA4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Række 0050: absolut værdi af aktiver og passiver til dagsværdi, der indgår i beregningen af AVA'er for ikke optjente kreditspænd. Ved beregningen af denne AVA anses modsvarende aktiver og passiver til dagsværdi med fuldkommen match, der ikke medtages i tærskelberegningen i overensstemmelse med artikel 4, stk. 2, i delegeret forordning (EU) 2016/101, muligvis ikke længere for modsvarende med fuldkommen match. </w:t>
            </w:r>
          </w:p>
          <w:p w14:paraId="084B0E5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Række 0060: absolut værdi af aktiver og passiver til dagsværdi, der indgår i beregningen af AVA'er for investerings- og finansieringsomkostninger. Ved beregningen af denne AVA anses modsvarende aktiver og passiver til dagsværdi med fuldkommen match, der ikke medtages i tærskelberegningen i overensstemmelse med artikel 4, stk. 2, i delegeret forordning (EU) 2016/101, muligvis ikke længere for modsvarende med fuldkommen match. </w:t>
            </w:r>
          </w:p>
          <w:p w14:paraId="4272B6B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Række 0070: absolut værdi af aktiver og passiver til dagsværdi svarende til værdiansættelseseksponeringer, der anses for at have værdien nul, jf. artikel 9, stk. 2, i delegeret forordning (EU) 2016/101. </w:t>
            </w:r>
          </w:p>
          <w:p w14:paraId="45D85569" w14:textId="1E27E0A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Række 0080: absolut værdi af aktiver og passiver til dagsværdi svarende til værdiansættelseseksponeringer, der anses for at have værdien nul, jf. artikel 10, stk. 2 og 3, i delegeret forordning (EU) 2016/101. </w:t>
            </w:r>
          </w:p>
          <w:p w14:paraId="17516933"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Række 0090-0130: absolut værdi af aktiver og passiver til dagsværdi, der henføres som anført nedenfor (se tilsvarende instrukser for rækker) i overensstemmelse med følgende risikokategorier: renter, valuta, lån, aktier, råvarer. Heri indgår den absolutte værdi af aktiver og passiver til dagsværdi, for hvilke AVA'er anses for at have værdien nul i overensstemmelse med artikel 9, stk. 2, artikel 10, stk. 2, eller artikel 10, stk. 3, i delegeret forordning (EU) 2016/101, der også indberettes særskilt i række 0070 og 0080.</w:t>
            </w:r>
          </w:p>
          <w:p w14:paraId="293D8B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Række 0180: absolut værdi af aktiver og passiver til dagsværdi svarende til porteføljerne efter den subsidiære metode.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AKTIVER TIL DAGSVÆRDI</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Absolut værdi af aktiver til dagsværdi svarende til de forskellige rækker som forklaret i instrukserne til kolonne 0130-0140 ovenfor.</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PASSIVER TIL DAGSVÆRDI</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Absolut værdi af passiver til dagsværdi svarende til de forskellige rækker som forklaret i instrukserne til kolonne 0130-0140 ovenfor.</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KVARTAL-TIL-DATO-INDTÆGTER</w:t>
            </w:r>
          </w:p>
          <w:p w14:paraId="1C5C19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Kvartal-til-dato-indtægterne siden den seneste indberetningsdato, der kan henføres til de aktiver og passiver til dagsværdi, der svarer til de forskellige rækker som forklaret i instrukserne til kolonne 0130-0140 ovenfor, henført eller tilnærmet på grundlag af sagkyndig vurdering, hvis det er relevant.</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IPV-FORSKEL</w:t>
            </w:r>
          </w:p>
          <w:p w14:paraId="07D89AF3" w14:textId="7AE36CE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Summen på tværs af alle positioner og risikofaktorer af ikkejusterede forskelsværdier (IPV-forskel — forskel ved uafhængig kurskontrol) beregnet ved udgangen af den måned, der er nærmest indberetningsdatoen under den uafhængige kurskontrol, der foretages i overensstemmelse med artikel 105, stk. 8, i forordning (EU) nr. 575/2013, med hensyn til de bedste tilgængelige uafhængige data for den relevante position eller risikofaktor.</w:t>
            </w:r>
            <w:r>
              <w:rPr>
                <w:rStyle w:val="InstructionsTabelleberschrift"/>
                <w:rFonts w:ascii="Times New Roman" w:hAnsi="Times New Roman"/>
                <w:b w:val="0"/>
                <w:sz w:val="24"/>
                <w:u w:val="none"/>
              </w:rPr>
              <w:t xml:space="preserve">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Ikkejusterede forskelsværdier henviser til ikkejusterede forskelle mellem de af handelssystemet genererede værdiansættelser og de værdiansættelser, der vurderes gennem den månedlige IPV.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Justerede forskelsværdier i instituttets beholdninger og fortegnelser for den relevante månedsslutdato medtages ikke i beregningen af IPV-forskel.</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Pr>
                <w:rFonts w:ascii="Times New Roman" w:hAnsi="Times New Roman"/>
                <w:sz w:val="24"/>
              </w:rPr>
              <w:t>0170 - 0250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DAGSVÆRDIJUSTERINGER</w:t>
            </w:r>
          </w:p>
          <w:p w14:paraId="2A66CCA1" w14:textId="01D5666F"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Justeringer, somme tider også kaldet "reserver", muligvis anvendt i instituttets regnskabsmæssige dagsværdi, som foretages uden for den værdiansættelsesmodel, der anvendes til at generere regnskabsmæssige værdier (undtagen udligning af forskel mellem dagsværdi ved første indregning og transaktionsprisen — dag et-forskel i resultatopgørelsen), og for hvilken det kan fastslås, at den håndterer samme kilde til værdiansættelsesusikkerhed som den relevante AVA. De kunne afspejle risikofaktorer, der ikke opfanges i værdiansættelsesmetoden, som er i form af en risikopræmie eller exitomkostning, og som er i overensstemmelse med definitionen af dagsværdi. De skal ikke desto mindre tages i betragtning af markedsdeltagere ved prisfastsættelse. (IFRS 13.9 og IFRS13.88)</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MARKEDSPRISUSIKKERHED</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Justering, der anvendes i instituttets dagsværdi for at afspejle den risikopræmie, der følger af eksistensen af en række af observerede priser for ækvivalente instrumenter eller, hvad angår et markedsparameterinput til en værdiansættelsesmodel, de instrumenter, fra hvilke inputtet er blevet kalibreret, og for hvilken det derfor kan fastslås, at den håndterer samme kilde til værdiansættelsesusikkerhed som AVA'en for markedsprisusikkerhed.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OMKOSTNINGER VED AT LUKKE POSITIONER</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Justering, der anvendes i instituttets dagsværdi for at justere for det forhold, at værdiansættelserne på positionsniveau ikke afspejler en exitpris for positionen eller porteføljen, især hvis sådanne værdiansættelser er kalibreret til en middelkurs, og for hvilken det derfor kan fastslås, at den håndterer samme kilde til værdiansættelsesusikkerhed som AVA'en for omkostninger ved at lukke positioner.</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MODELRISIKO</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lastRenderedPageBreak/>
              <w:t>Justering, der anvendes i instituttets dagsværdi for at afspejle markeds- eller produktfaktorer, der ikke opfanges af den model, der anvendes til at beregne daglige positionsværdier og -risici ("værdiansættelsesmodel"), eller for at afspejle et passende forsigtighedsniveau i lyset af den usikkerhed, der følger af eksistensen af en række alternative gyldige modeller og modelkalibreringer, og for hvilken det derfor kan fastslås, at den håndterer samme kilde til værdiansættelsesusikkerhed som AVA'en for modelrisiko.</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KONCENTREREDE POSITIONER</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Justering, der anvendes i instituttets dagsværdi for at afspejle det forhold, at den aggregerede position, som instituttet besidder, er større end den normale handlede volumen eller større end de positionsstørrelser, som danner grundlag for de observerbare priser eller handler, der anvendes til at kalibrere den pris eller de input, der bruges i værdiansættelsesmodellen, og for hvilken det derfor kan fastslås, at den håndterer samme kilde til værdiansættelsesusikkerhed som AVA'en for koncentrerede positioner.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IKKE OPTJENTE KREDITSPÆND</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Justering, der anvendes i instituttets dagsværdi for at dække forventede tab som følge af en modparts misligholdelse på derivatpositioner (dvs. samlet kreditværdijustering (CVA) på institutniveau).</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INVESTERINGS- OG FINANSIERINGSOMKOSTNINGER</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der anvendes i instituttets dagsværdi for at kompensere, når værdiansættelsesmodellerne ikke fuldt ud afspejler den finansieringsomkostning, som markedsdeltagere ville indregne i exitprisen for en position eller portefølje (dvs. samlet finansieringsværdijustering på institutniveau, hvis et institut beregner en sådan justering eller alternativt en ækvivalent justering).</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FREMTIDIGE ADMINISTRATIONSOMKOSTNINGER</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der anvendes i instituttets dagsværdi for at afspejle administrationsomkostninger, der skyldes porteføljen eller positionen, men som ikke afspejles i værdiansættelsesmodellen eller de priser, der anvendes til at kalibrere input til modellen, og for hvilken det derfor kan fastslås, at den håndterer samme kilde til værdiansættelsesusikkerhed som AVA'en for fremtidige administrationsomkostninger.</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FORFALD FØR AFTALT TID</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Justeringer, der anvendes i instituttets dagsværdi for at afspejle forventninger om kontraktbestemt eller ikkekontraktbestemt forfald før tid, der ikke er afspejlet i værdiansættelsesmodellen, og for hvilke det derfor kan fastslås, at de håndterer samme kilde til værdiansættelsesusikkerhed som AVA'en for forfald før aftalt tid.</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OPERATIONEL RISIKO</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Justeringer, der anvendes i instituttets dagsværdi for at afspejle den risikopræmie, som markedsdeltagere ville opkræve for at kompensere for operationelle risici som følge af sikring, forvaltning og afvikling af kontrakter i porteføljen, og for hvilke </w:t>
            </w:r>
            <w:r>
              <w:rPr>
                <w:rStyle w:val="InstructionsTabelleberschrift"/>
                <w:rFonts w:ascii="Times New Roman" w:hAnsi="Times New Roman"/>
                <w:b w:val="0"/>
                <w:sz w:val="24"/>
                <w:u w:val="none"/>
              </w:rPr>
              <w:lastRenderedPageBreak/>
              <w:t>det derfor kan fastslås, at de håndterer samme kilde til værdiansættelsesusikkerhed som AVA'en for operationel risiko.</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DAG 1-FORSKEL I RESULTATOPGØRELSEN</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Justeringer for at afspejle tilfælde, hvor værdiansættelsesmodellen plus alle andre relevante dagsværdijusteringer af en position eller portefølje ikke afspejlede den betalte eller modtagne pris ved dagen for første indregning, dvs. udligningen af forskel mellem dagsværdi ved første indregning og transaktionsprisen (IFRS 9.B5.1.2.A).</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BESKRIVELSE</w:t>
            </w:r>
          </w:p>
          <w:p w14:paraId="3876DC74" w14:textId="58AD34D4"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Beskrivelse af de positioner, der behandles i overensstemmelse med artikel 7, stk. 2, litra b), i delegeret forordning (EU) 2016/101, og årsagen til, at det ikke var muligt at anvende samme forordnings artikel 9-17.</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7973"/>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Rækker</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SAMLET KERNEMETODE </w:t>
            </w:r>
          </w:p>
          <w:p w14:paraId="5979B37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7, stk. 2, i delegeret forordning (EU) 2016/101.</w:t>
            </w:r>
          </w:p>
          <w:p w14:paraId="2CE73AD8"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For hver relevant kategori af AVA'er omhandlet i kolonne 0010-0110, de samlede AVA'er beregnet efter kernemetoden, jf. kapitel 3 i delegeret forordning (EU) 2016/101 vedrørende aktiver og passiver til dagsværdi, der medtages i tærskelberegningen i overensstemmelse med nævnte forordnings artikel 4, stk. 1. Heri indgår de i række 0140 indberettede diversificeringsfordele i overensstemmelse med artikel 9, stk. 6, artikel 10, stk. 7, og artikel 11, stk. 7, i delegeret forordning (EU) 2016/101.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HERAF: HANDELSBEHOLDNING </w:t>
            </w:r>
          </w:p>
          <w:p w14:paraId="7882F340"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7, stk. 2, i delegeret forordning (EU) 2016/101.</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Pr>
                <w:rFonts w:ascii="Times New Roman" w:hAnsi="Times New Roman"/>
                <w:sz w:val="24"/>
              </w:rPr>
              <w:t>For hver relevant kategori af AVA'er omhandlet i kolonne 0010-0110, den andel af de samlede AVA'er, der er indberettet i række 0010, og som hidrører fra positioner i handelsbeholdningen (absolut værdi).</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4E97EB47" w14:textId="796BE9D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PORTEFØLJER EFTER ARTIKEL 9-17 I KOMMISSIONENS DELEGEREDE FORORDNING (EU) 2016/101 - SAMLET VÆRDI PÅ KATEGORINIVEAU EFTER DIVERSIFICERING </w:t>
            </w:r>
          </w:p>
          <w:p w14:paraId="3529E64C" w14:textId="51F3249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7, stk. 2, litra a), i delegeret forordning (EU) 2016/101</w:t>
            </w:r>
          </w:p>
          <w:p w14:paraId="2374D3D8" w14:textId="101DB40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For hver relevant kategori af AVA'er omhandlet i kolonne 0010-0110, de samlede AVA'er beregnet i overensstemmelse med artikel 9-17 i delegeret forordning (EU) 2016/101 vedrørende aktiver og passiver til dagsværdi, der medtages i tærskelberegningen i overensstemmelse med nævnte forordnings artikel 4, stk. 1, bortset fra aktiver og passiver til dagsværdi, der er underlagt behandlingen i artikel 7, stk. 2, litra b), i delegeret forordning (EU) 2016/101. </w:t>
            </w:r>
          </w:p>
          <w:p w14:paraId="53EFBDF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Heri indgår de AVA'er, der beregnes i overensstemmelse med artikel 12 og 13 i delegeret forordning (EU) 2016/101, og som indberettes i række 0050 og 0060, og som indgår i AVA'erne for markedsprisusikkerhed, AVA'erne for omkostninger ved at lukke positioner og AVA'erne for modelrisiko, jf. nævnte forordnings artikel 12, stk. 2, og artikel 13, stk. 2. </w:t>
            </w:r>
          </w:p>
          <w:p w14:paraId="2F5784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Heri indgår de i række 0140 indberettede diversificeringsfordele i overensstemmelse med artikel 9, stk. 6, artikel 10, stk. 7, og artikel 11, stk. 7, i delegeret forordning (EU) 2016/101. </w:t>
            </w:r>
          </w:p>
          <w:p w14:paraId="4B93238E"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Række 0030 er forskellen mellem række 0040 og 0140.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0040 - 0130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SAMLET VÆRDI PÅ KATEGORINIVEAU FØR DIVERSIFICERING</w:t>
            </w:r>
          </w:p>
          <w:p w14:paraId="48A9023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For række 0090-0130 henfører institutterne deres aktiver og passiver til dagsværdi, der medtages i tærskelberegningen i overensstemmelse med artikel 4, stk. 1, i delegeret forordning (EU) 2016/101 (i og uden for handelsbeholdningen), til følgende risikokategorier: renter, valuta, lån, aktier, råvarer. </w:t>
            </w:r>
          </w:p>
          <w:p w14:paraId="16C7491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Med henblik herpå støtter institutterne sig på deres interne risikostyringsstrukturer, og, efter en sammenkobling baseret på sagkyndige vurderinger, henfører de deres forretningsområder eller handelsenheder til den mest relevante risikokategori. AVA'er, dagsværdijusteringer og andre påkrævede oplysninger, der svarer til de henførte forretningsområder eller handelsenheder, henføres til den samme relevante risikokategori for på rækkeniveau for hver risikokategori at give et ensartet overblik over de justeringer, der er foretaget både i tilsynsøjemed og i regnskabsmæssig henseende, samt en indikation af størrelsen af de pågældende positioner (med hensyn til aktiver og passiver til dagsværdi). Når AVA'er eller andre justeringer beregnes på et andet aggregeringsniveau, især på virksomhedsniveau, skal institutterne udarbejde en metode til henførelse af AVA'erne til de relevante positionsgrupper. Henførelsesmetoden skal bevirke, at række 0040 er summen af række 0050-0130 for kolonne 0010-0100. </w:t>
            </w:r>
          </w:p>
          <w:p w14:paraId="764C691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Uanset hvilken metode der anvendes, skal de indberettede oplysninger så vidt muligt være konsekvente på rækkeniveau, da de anførte oplysninger vil blive sammenlignet på dette niveau (AVA-værdier, opadrettet usikkerhed, dagsværdier og potentielle dagsværdijusteringer). </w:t>
            </w:r>
          </w:p>
          <w:p w14:paraId="6C67D6B1"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Opdelingen i række 0090 to 0130 omfatter ikke de AVA'er, der beregnes i overensstemmelse med artikel 12 og 13 i delegeret forordning (EU) 2016/101, og som indberettes i række 0050 og 0060, og som indgår i AVA'erne for markedsprisusikkerhed, AVA'erne for omkostninger ved at lukke positioner og AVA'erne for modelrisiko, jf. nævnte forordnings artikel 12, stk. 2, og artikel 13, stk. 2.</w:t>
            </w:r>
          </w:p>
          <w:p w14:paraId="66A42794"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Diversificeringsfordele indberettes i række 0140 i overensstemmelse med artikel 9, stk. 6, artikel 10, stk. 7, og artikel 11, stk. 7, i delegeret forordning (EU) 2016/101 og indgår derfor ikke i række 0040-0130.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HERAF: AVA FOR IKKE OPTJENTE KREDITSPÆND</w:t>
            </w:r>
          </w:p>
          <w:p w14:paraId="7167B6C8" w14:textId="7CEC38C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 stk. 10, i forordning (EU) nr. 575/2013 og artikel 12 i Kommissionens delegerede forordning (EU) 2016/101.</w:t>
            </w:r>
          </w:p>
          <w:p w14:paraId="32DC11E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Samlet AVA, der er beregnet for ikke optjente kreditspænd ("CVA-AVA"), og henførelse deraf til AVA'er for markedsprisusikkerhed, AVA'er for omkostninger ved at lukke positioner eller AVA'er for modelrisiko i henhold til artikel 12 i delegeret forordning (EU) 2016/101. </w:t>
            </w:r>
          </w:p>
          <w:p w14:paraId="3FA8103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Kolonne 0110: Den samlede AVA anføres kun til orientering, da henførelsen af den til AVA'er for markedsprisusikkerhed, AVA'er for omkostninger ved at lukke positioner eller AVA'er for modelrisiko medfører, at de — når der er taget højde for diversificeringsfordele — medtages i de respektive AVA'er på kategoriniveau. </w:t>
            </w:r>
          </w:p>
          <w:p w14:paraId="2D827EB2"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Kolonne 0130 og 0140: absolut værdi af aktiver og passiver til dagsværdi, der indgår i beregningen af AVA'er for ikke optjente kreditspænd. Ved beregningen af denne AVA anses modsvarende aktiver og passiver til dagsværdi med fuldkommen match, der ikke medtages i tærskelberegningen i overensstemmelse med artikel 4, stk. 2, i delegeret forordning (EU) 2016/101, ikke længere for modsvarende med fuldkommen match.</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HERAF: AVA FOR INVESTERINGS- OG FINANSIERINGSOMKOSTNINGER </w:t>
            </w:r>
          </w:p>
          <w:p w14:paraId="333CD372" w14:textId="0D4A6477" w:rsidR="00973707" w:rsidRPr="002A677E" w:rsidRDefault="00973707" w:rsidP="00AF3D7A">
            <w:pPr>
              <w:spacing w:beforeLines="60" w:before="144" w:afterLines="60" w:after="144"/>
              <w:rPr>
                <w:rFonts w:ascii="Times New Roman" w:hAnsi="Times New Roman"/>
                <w:caps/>
                <w:sz w:val="24"/>
                <w:u w:val="single"/>
              </w:rPr>
            </w:pPr>
            <w:r>
              <w:rPr>
                <w:rFonts w:ascii="Times New Roman" w:hAnsi="Times New Roman"/>
                <w:sz w:val="24"/>
              </w:rPr>
              <w:t>Artikel 105, stk. 10, i forordning (EU) nr. 575/2013 og artikel 17 i Kommissionens delegerede forordning (EU) 2016/101.</w:t>
            </w:r>
          </w:p>
          <w:p w14:paraId="3F8894F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Samlet AVA, der er beregnet for investerings- og finansieringsomkostninger, og henførelse deraf til AVA'er for markedsprisusikkerhed, AVA'er for omkostninger ved at lukke positioner eller AVA'er for modelrisiko i henhold til artikel 13 i delegeret forordning (EU) 2016/101. </w:t>
            </w:r>
          </w:p>
          <w:p w14:paraId="75C82F7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Kolonne 0110: Den samlede AVA anføres kun til orientering, da henførelsen af den til AVA'er for markedsprisusikkerhed, AVA'er for omkostninger ved at lukke positioner eller AVA'er for modelrisiko medfører, at de — når der er taget højde for diversificeringsfordele — medtages i de respektive AVA'er på kategoriniveau. </w:t>
            </w:r>
          </w:p>
          <w:p w14:paraId="1BD27AC5"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Kolonne 0130 og 0140: absolut værdi af aktiver og passiver til dagsværdi, der indgår i beregningen af AVA'er for investerings- og finansieringsomkostninger. Ved beregningen af denne AVA anses modsvarende aktiver og passiver til dagsværdi med fuldkommen match, der ikke medtages i tærskelberegningen i overensstemmelse med artikel 4, stk. 2, i delegeret forordning (EU) 2016/101, ikke længere for modsvarende med fuldkommen match.</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HERAF: </w:t>
            </w:r>
            <w:r>
              <w:rPr>
                <w:rFonts w:ascii="Times New Roman" w:hAnsi="Times New Roman"/>
                <w:b/>
                <w:caps/>
                <w:sz w:val="24"/>
              </w:rPr>
              <w:t>AVA, DER ANSES FOR AT HAVE VÆRDIEN NUL, JF. ARTIKEL 9, STK. 2, I DELEGERET FORORDNING (EU) 2016/101</w:t>
            </w:r>
          </w:p>
          <w:p w14:paraId="09A881B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Absolut værdi af aktiver og passiver til dagsværdi svarende til værdiansættelseseksponeringer, der anses for at have værdien nul, jf. artikel 9, stk. 2, i delegeret forordning (EU) 2016/101.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HERAF: </w:t>
            </w:r>
            <w:r>
              <w:rPr>
                <w:rFonts w:ascii="Times New Roman" w:hAnsi="Times New Roman"/>
                <w:b/>
                <w:caps/>
                <w:sz w:val="24"/>
              </w:rPr>
              <w:t>AVA, DER ANSES FOR AT HAVE VÆRDIEN NUL, JF. ARTIKEL 10, STK. 2 og 3, I DELEGERET FORORDNING (EU) 2016/101</w:t>
            </w:r>
          </w:p>
          <w:p w14:paraId="2AC86975"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Absolut værdi af aktiver og passiver til dagsværdi svarende til værdiansættelseseksponeringer, der anses for at have værdien nul, jf. artikel 10, stk. 2, eller artikel 10, stk. 3, i delegeret forordning (EU) 2016/101.</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RENTER</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VALUTA</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LÅN</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AKTIER</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RÅVARER</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Diversificeringsfordele</w:t>
            </w:r>
          </w:p>
          <w:p w14:paraId="5A70CD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Samlede diversificeringsfordele. Summen af række 0150 og 0160.</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Diversificeringsfordel beregnet med metode 1</w:t>
            </w:r>
          </w:p>
          <w:p w14:paraId="200A1ECE"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For de AVA-kategorier, der aggregeres efter metode 1 i overensstemmelse med artikel 9, stk. 6, artikel 10, stk. 7, og artikel 11, stk. 6, i delegeret forordning (EU) 2016/101, er dette forskellen mellem summen af de individuelle AVA'er og samlet AVA på kategoriniveau efter justering for aggregering.</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Diversificeringsfordel beregnet med metode 2</w:t>
            </w:r>
          </w:p>
          <w:p w14:paraId="4CCD1550"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For de AVA-kategorier, der aggregeres efter metode 2 i overensstemmelse med artikel 9, stk. 6, artikel 10, stk. 7, og artikel 11, stk. 6, i delegeret forordning (EU) 2016/101, er dette forskellen mellem summen af de individuelle AVA'er og samlet AVA på kategoriniveau efter justering for aggregering.</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1CCBB2F6" w14:textId="09A25BF2"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Memorandumpost: AVA'er før diversificering reduceret med over 90 % ved diversificering efter metode 2</w:t>
            </w:r>
          </w:p>
          <w:p w14:paraId="4D9D573E" w14:textId="34AE00C5" w:rsidR="00973707" w:rsidRPr="002A677E" w:rsidRDefault="00973707" w:rsidP="00DD41BE">
            <w:pPr>
              <w:spacing w:beforeLines="60" w:before="144" w:afterLines="60" w:after="144"/>
              <w:rPr>
                <w:rFonts w:ascii="Times New Roman" w:hAnsi="Times New Roman"/>
                <w:sz w:val="24"/>
              </w:rPr>
            </w:pPr>
            <w:r>
              <w:rPr>
                <w:rFonts w:ascii="Times New Roman" w:hAnsi="Times New Roman"/>
                <w:sz w:val="24"/>
              </w:rPr>
              <w:t>Udtrykt med de forkortelser, der anvendes i metode 2: summen af FV – PV for alle værdiansættelseseksponeringer, for hvilke APVA &lt; 10 %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Porteføljer beregnet efter den subsidiære metode</w:t>
            </w:r>
          </w:p>
          <w:p w14:paraId="0C014825" w14:textId="5E90087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7, stk. 2, litra b), i delegeret forordning (EU) 2016/101</w:t>
            </w:r>
          </w:p>
          <w:p w14:paraId="283962DF" w14:textId="0EF59F6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For porteføljer, der er omfattet af den subsidiære metode i artikel 7, stk. 2, litra b), i delegeret forordning (EU) 2016/101, beregnes den samlede AVA som en sum af række 0190, 0200 og 0210. </w:t>
            </w:r>
          </w:p>
          <w:p w14:paraId="3C92DE0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I kolonne 0130-0260 skal der gives relevante oplysninger om balancen og yderligere kontekstuelle oplysninger. I kolonne 0270 skal der gives en beskrivelse af positionerne og begrundelsen for, at det ikke var muligt at anvende artikel 9-17 i delegeret forordning (EU) 2016/101.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14:paraId="048C73A2" w14:textId="126065B4"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Den subsidiære metode; 100 % urealiseret gevinst</w:t>
            </w:r>
          </w:p>
          <w:p w14:paraId="1B3CB39E" w14:textId="08E9F487" w:rsidR="00973707" w:rsidRPr="002A677E" w:rsidRDefault="00973707" w:rsidP="00A07646">
            <w:pPr>
              <w:spacing w:beforeLines="60" w:before="144" w:afterLines="60" w:after="144"/>
              <w:rPr>
                <w:rFonts w:ascii="Times New Roman" w:hAnsi="Times New Roman"/>
                <w:sz w:val="24"/>
              </w:rPr>
            </w:pPr>
            <w:r>
              <w:rPr>
                <w:rFonts w:ascii="Times New Roman" w:hAnsi="Times New Roman"/>
                <w:sz w:val="24"/>
              </w:rPr>
              <w:t>Artikel 7, stk. 2, litra b), nr. i), i delegeret forordning (EU) 2016/101</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87" w:type="dxa"/>
          </w:tcPr>
          <w:p w14:paraId="42154D23" w14:textId="172A5F9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Den subsidiære metode; 10 % fiktiv værdi</w:t>
            </w:r>
          </w:p>
          <w:p w14:paraId="463D12C1" w14:textId="0229DD37"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Artikel 7, stk. 2, litra b), nr. ii), i delegeret forordning (EU) 2016/101</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3FE4869E" w14:textId="47B73DF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Den subsidiære metode; 25 % indgåelsesværdi</w:t>
            </w:r>
          </w:p>
          <w:p w14:paraId="3D0D3B88" w14:textId="4DA16E3A"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Artikel 7, stk. 2, litra b), nr. iii), i delegeret forordning (EU) 2016/101.</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rPr>
      </w:pPr>
      <w:bookmarkStart w:id="763" w:name="_Toc119059448"/>
      <w:r>
        <w:rPr>
          <w:rFonts w:ascii="Times New Roman" w:hAnsi="Times New Roman"/>
          <w:sz w:val="24"/>
          <w:u w:val="none"/>
        </w:rPr>
        <w:t xml:space="preserve">6.3. </w:t>
      </w:r>
      <w:r>
        <w:rPr>
          <w:rFonts w:ascii="Times New Roman" w:hAnsi="Times New Roman"/>
          <w:sz w:val="24"/>
        </w:rPr>
        <w:t>C 32.03 — Forsigtig værdiansættelse: AVA for modelrisiko (PruVal 3)</w:t>
      </w:r>
      <w:bookmarkEnd w:id="763"/>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119059449"/>
      <w:r>
        <w:rPr>
          <w:rFonts w:ascii="Times New Roman" w:hAnsi="Times New Roman"/>
          <w:sz w:val="24"/>
          <w:u w:val="none"/>
        </w:rPr>
        <w:t>6.3.1.</w:t>
      </w:r>
      <w:r>
        <w:tab/>
      </w:r>
      <w:r>
        <w:rPr>
          <w:rFonts w:ascii="Times New Roman" w:hAnsi="Times New Roman"/>
          <w:sz w:val="24"/>
        </w:rPr>
        <w:t>Generelle bemærkninger</w:t>
      </w:r>
      <w:bookmarkEnd w:id="764"/>
      <w:r>
        <w:rPr>
          <w:rFonts w:ascii="Times New Roman" w:hAnsi="Times New Roman"/>
          <w:sz w:val="24"/>
          <w:u w:val="none"/>
        </w:rPr>
        <w:t xml:space="preserve"> </w:t>
      </w:r>
    </w:p>
    <w:p w14:paraId="03B2FE9F" w14:textId="77777777" w:rsidR="00AF3D7A" w:rsidRPr="002A677E" w:rsidRDefault="00CE7221" w:rsidP="00487A02">
      <w:pPr>
        <w:pStyle w:val="InstructionsText2"/>
        <w:numPr>
          <w:ilvl w:val="0"/>
          <w:numId w:val="0"/>
        </w:numPr>
        <w:ind w:left="1353" w:hanging="360"/>
      </w:pPr>
      <w:fldSimple w:instr=" seq paragraphs ">
        <w:r>
          <w:t>181</w:t>
        </w:r>
      </w:fldSimple>
      <w:r>
        <w:t>. Dette skema skal kun udfyldes af institutter, der overskrider den tærskel, der er omhandlet i artikel 4, stk. 1, i delegeret forordning (EU) 2016/101 på deres eget niveau. Institutter, der indgår i en koncern, der overskrider tærsklen på konsolideret grundlag, skal kun indberette dette skema, hvis de også overskrider tærsklen på deres niveau.</w:t>
      </w:r>
    </w:p>
    <w:p w14:paraId="04DED855" w14:textId="77777777" w:rsidR="00AF3D7A" w:rsidRPr="002A677E" w:rsidRDefault="00CE7221" w:rsidP="00487A02">
      <w:pPr>
        <w:pStyle w:val="InstructionsText2"/>
        <w:numPr>
          <w:ilvl w:val="0"/>
          <w:numId w:val="0"/>
        </w:numPr>
        <w:ind w:left="1353" w:hanging="360"/>
      </w:pPr>
      <w:fldSimple w:instr=" seq paragraphs ">
        <w:r>
          <w:t>182</w:t>
        </w:r>
      </w:fldSimple>
      <w:r>
        <w:t>. Dette skema anvendes til at indberette oplysninger om de 20 væsentligste individuelle AVA'er for modelrisiko målt i AVA-værdier, der bidrager til den samlede AVA på kategoriniveau for modelrisiko beregnet i overensstemmelse med artikel 11 i delegeret forordning (EU) 2016/101. Disse oplysninger svarer til de oplysninger, der indberettes i kolonne 0050 i skema C 32.02.</w:t>
      </w:r>
    </w:p>
    <w:p w14:paraId="741DDBB0" w14:textId="77777777" w:rsidR="00AF3D7A" w:rsidRPr="002A677E" w:rsidRDefault="00CE7221" w:rsidP="00487A02">
      <w:pPr>
        <w:pStyle w:val="InstructionsText2"/>
        <w:numPr>
          <w:ilvl w:val="0"/>
          <w:numId w:val="0"/>
        </w:numPr>
        <w:ind w:left="1353" w:hanging="360"/>
      </w:pPr>
      <w:fldSimple w:instr=" seq paragraphs ">
        <w:r>
          <w:t>183</w:t>
        </w:r>
      </w:fldSimple>
      <w:r>
        <w:t xml:space="preserve">. De 20 væsentligste individuelle AVA'er for modelrisiko og tilsvarende produktoplysninger indberettes i aftagende rækkefølge begyndende med de største individuelle AVA'er for modelrisiko. </w:t>
      </w:r>
    </w:p>
    <w:p w14:paraId="3881F296" w14:textId="77D0618A" w:rsidR="00AF3D7A" w:rsidRPr="002A677E" w:rsidRDefault="00CE7221" w:rsidP="00487A02">
      <w:pPr>
        <w:pStyle w:val="InstructionsText2"/>
        <w:numPr>
          <w:ilvl w:val="0"/>
          <w:numId w:val="0"/>
        </w:numPr>
        <w:ind w:left="1353" w:hanging="360"/>
      </w:pPr>
      <w:fldSimple w:instr=" seq paragraphs ">
        <w:r>
          <w:t>184</w:t>
        </w:r>
      </w:fldSimple>
      <w:r>
        <w:t xml:space="preserve">. Produkter, der svarer til disse væsentligste AVA'er for modelrisiko, indberettes ved anvendelse af den produktopgørelse, der kræves i henhold til artikel 19, stk. 3, litra a), i delegeret forordning (EU) 2016/101. </w:t>
      </w:r>
    </w:p>
    <w:p w14:paraId="6C4443E0" w14:textId="77777777" w:rsidR="00AF3D7A" w:rsidRPr="002A677E" w:rsidRDefault="00CE7221" w:rsidP="00487A02">
      <w:pPr>
        <w:pStyle w:val="InstructionsText2"/>
        <w:numPr>
          <w:ilvl w:val="0"/>
          <w:numId w:val="0"/>
        </w:numPr>
        <w:ind w:left="1353" w:hanging="360"/>
      </w:pPr>
      <w:fldSimple w:instr=" seq paragraphs ">
        <w:r>
          <w:t>185</w:t>
        </w:r>
      </w:fldSimple>
      <w:r>
        <w:t>. Hvis produkterne er tilstrækkeligt ensartede med hensyn til værdiansættelsesmodellen og AVA for modelrisiko, skal de kombineres og vises på én linje med henblik på at maksimere dette skemas dækningsområde hvad angår instituttets samlede AVA på kategoriniveau for modelrisiko.</w:t>
      </w:r>
    </w:p>
    <w:p w14:paraId="11ECCAFC" w14:textId="16488E02" w:rsidR="00B93FA1" w:rsidRPr="002A677E" w:rsidRDefault="00B93FA1" w:rsidP="00B93FA1">
      <w:pPr>
        <w:pStyle w:val="Instructionsberschrift2"/>
        <w:numPr>
          <w:ilvl w:val="0"/>
          <w:numId w:val="0"/>
        </w:numPr>
        <w:ind w:left="357" w:hanging="357"/>
        <w:rPr>
          <w:rFonts w:ascii="Times New Roman" w:hAnsi="Times New Roman" w:cs="Times New Roman"/>
          <w:sz w:val="24"/>
        </w:rPr>
      </w:pPr>
      <w:bookmarkStart w:id="765" w:name="_Toc119059450"/>
      <w:r>
        <w:rPr>
          <w:rFonts w:ascii="Times New Roman" w:hAnsi="Times New Roman"/>
          <w:sz w:val="24"/>
          <w:u w:val="none"/>
        </w:rPr>
        <w:t>6.3.2.</w:t>
      </w:r>
      <w:r>
        <w:tab/>
      </w:r>
      <w:r>
        <w:rPr>
          <w:rFonts w:ascii="Times New Roman" w:hAnsi="Times New Roman"/>
          <w:sz w:val="24"/>
        </w:rPr>
        <w:t>Instrukser vedrørende specifikke positioner</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Kolonner</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PLACERING</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Pr>
                <w:rFonts w:ascii="Times New Roman" w:hAnsi="Times New Roman"/>
                <w:sz w:val="24"/>
              </w:rPr>
              <w:t>Placeringen er en ID-kode for rækken og skal være unik for hver enkelt række i skemaet. Den skal være i nummerorden (1, 2, 3 osv.), hvor 1 tildeles de højeste individuelle AVA'er for modelrisiko, 2 de næsthøjeste og så videre.</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sz w:val="24"/>
              </w:rPr>
              <w:lastRenderedPageBreak/>
              <w:t>Det interne navn (alfanumerisk), for den model, som instituttet bruger til at identificere modellen.</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RISIKOKATEGORI</w:t>
            </w:r>
          </w:p>
          <w:p w14:paraId="464F5E37"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Den risikokategori (renter, valuta, lån, aktier, råvarer), som bedst kendetegner det produkt eller den gruppe af produkter, der giver anledning til værdiansættelsesjusteringen af modelrisiko.</w:t>
            </w:r>
          </w:p>
          <w:p w14:paraId="6DDE4251"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Institutterne skal indberette følgende koder:</w:t>
            </w:r>
          </w:p>
          <w:p w14:paraId="02A3023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renter</w:t>
            </w:r>
          </w:p>
          <w:p w14:paraId="42986A92" w14:textId="77777777" w:rsidR="00A74B40" w:rsidRPr="002A677E" w:rsidRDefault="00A74B40" w:rsidP="00E60B53">
            <w:pPr>
              <w:spacing w:beforeLines="60" w:before="144" w:afterLines="60" w:after="144"/>
              <w:rPr>
                <w:rFonts w:ascii="Times New Roman" w:hAnsi="Times New Roman"/>
                <w:sz w:val="24"/>
              </w:rPr>
            </w:pPr>
            <w:r>
              <w:rPr>
                <w:rFonts w:ascii="Times New Roman" w:hAnsi="Times New Roman"/>
                <w:sz w:val="24"/>
              </w:rPr>
              <w:t>FX — valuta</w:t>
            </w:r>
          </w:p>
          <w:p w14:paraId="6C3D292C"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lån</w:t>
            </w:r>
          </w:p>
          <w:p w14:paraId="01616E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aktier</w:t>
            </w:r>
          </w:p>
          <w:p w14:paraId="11D625BD" w14:textId="77777777" w:rsidR="00113E45" w:rsidRPr="002A677E" w:rsidRDefault="00113E45" w:rsidP="00A74B40">
            <w:pPr>
              <w:spacing w:beforeLines="60" w:before="144" w:afterLines="60" w:after="144"/>
              <w:rPr>
                <w:rFonts w:ascii="Times New Roman" w:hAnsi="Times New Roman"/>
                <w:sz w:val="24"/>
              </w:rPr>
            </w:pPr>
            <w:r>
              <w:rPr>
                <w:rFonts w:ascii="Times New Roman" w:hAnsi="Times New Roman"/>
                <w:sz w:val="24"/>
              </w:rPr>
              <w:t>CO – råvarer.</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PRODUKT</w:t>
            </w:r>
          </w:p>
          <w:p w14:paraId="78F63AC3" w14:textId="103AE86B" w:rsidR="00113E45" w:rsidRPr="002A677E" w:rsidRDefault="00113E45" w:rsidP="00813B8E">
            <w:pPr>
              <w:spacing w:beforeLines="60" w:before="144" w:afterLines="60" w:after="144"/>
              <w:rPr>
                <w:rFonts w:ascii="Times New Roman" w:hAnsi="Times New Roman"/>
                <w:sz w:val="24"/>
              </w:rPr>
            </w:pPr>
            <w:r>
              <w:rPr>
                <w:rFonts w:ascii="Times New Roman" w:hAnsi="Times New Roman"/>
                <w:sz w:val="24"/>
              </w:rPr>
              <w:t>Internt navn (alfanumerisk) for det produkt eller den gruppe af produkter, jf. den produktopgørelse, der kræves i henhold til artikel 19, stk. 3, litra a), i delegeret forordning (EU) 2016/101, der værdiansættes ved hjælp af modellen.</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OBSERVERBARHED</w:t>
            </w:r>
          </w:p>
          <w:p w14:paraId="18639400" w14:textId="77777777" w:rsidR="00113E45" w:rsidRPr="002A677E" w:rsidRDefault="00113E45" w:rsidP="00E60B53">
            <w:pPr>
              <w:pStyle w:val="CommentText"/>
              <w:rPr>
                <w:rFonts w:ascii="Times New Roman" w:hAnsi="Times New Roman"/>
                <w:sz w:val="24"/>
                <w:szCs w:val="24"/>
              </w:rPr>
            </w:pPr>
            <w:r>
              <w:rPr>
                <w:rFonts w:ascii="Times New Roman" w:hAnsi="Times New Roman"/>
                <w:sz w:val="24"/>
              </w:rPr>
              <w:t>Antallet af prisobservationer for produktet eller gruppen af produkter i det sidste tolv måneder, der opfylder et af følgende kriterier:</w:t>
            </w:r>
          </w:p>
          <w:p w14:paraId="3F317E72"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Prisobservationen er en pris, til hvilken instituttet har gennemført en transaktion.</w:t>
            </w:r>
          </w:p>
          <w:p w14:paraId="68CCA8F6"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Det er en verificerbar pris for en faktisk transaktion mellem tredjeparter.</w:t>
            </w:r>
          </w:p>
          <w:p w14:paraId="0E7AE57F"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Prisen er indhentet fra et forpligtende tilbud.</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Institutterne skal indberette en af følgende koder: "ingen", "1-6", "6-24", "24-100",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FOR MODELRISIKO</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11, stk. 1, i </w:t>
            </w:r>
            <w:r>
              <w:rPr>
                <w:rFonts w:ascii="Times New Roman" w:hAnsi="Times New Roman"/>
                <w:sz w:val="24"/>
              </w:rPr>
              <w:t>delegeret forordning (EU) 2016/101.</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Individuel AVA for modelrisiko før diversificeringsfordel, men efter porteføljenetting, hvis relevant.</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HERAF: VED DEN EKSPERTBASEREDE METODE</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Værdier i kolonne 0050, som er udregnet efter den ekspertbaserede metode som omhandlet i artikel 11, stk. 4, i delegeret forordning (EU) 2016/101.</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HERAF: AGGREGERET VED BRUG AF METODE 2</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 xml:space="preserve">Værdier i kolonne 0050, som er aggregeret efter metode 2 i bilaget til delegeret forordning (EU) 2016/101. Disse beløb svarer til FV– PV udtrykt med forkortelserne i nævnte bilag.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AGGREGERET AVA BEREGNET EFTER METODE 2</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Bidraget til den samlede AVA på kategoriniveau for modelrisiko, beregnet i overensstemmelse med artikel 11, stk. 7, i</w:t>
            </w:r>
            <w:r>
              <w:rPr>
                <w:rFonts w:ascii="Times New Roman" w:hAnsi="Times New Roman"/>
                <w:sz w:val="24"/>
              </w:rPr>
              <w:t xml:space="preserve"> delegeret forordning (EU) 2016/101,</w:t>
            </w:r>
            <w:r>
              <w:rPr>
                <w:rStyle w:val="InstructionsTabelleberschrift"/>
                <w:rFonts w:ascii="Times New Roman" w:hAnsi="Times New Roman"/>
                <w:b w:val="0"/>
                <w:sz w:val="24"/>
                <w:u w:val="none"/>
              </w:rPr>
              <w:t xml:space="preserve"> fra individuelle AVA'er for modelrisiko, der aggregeres efter metode 2 i bilaget til</w:t>
            </w:r>
            <w:r>
              <w:rPr>
                <w:rFonts w:ascii="Times New Roman" w:hAnsi="Times New Roman"/>
                <w:sz w:val="24"/>
              </w:rPr>
              <w:t xml:space="preserve"> nævnte forordning</w:t>
            </w:r>
            <w:r>
              <w:rPr>
                <w:rStyle w:val="InstructionsTabelleberschrift"/>
                <w:rFonts w:ascii="Times New Roman" w:hAnsi="Times New Roman"/>
                <w:b w:val="0"/>
                <w:sz w:val="24"/>
                <w:u w:val="none"/>
              </w:rPr>
              <w:t xml:space="preserve">. </w:t>
            </w:r>
            <w:r>
              <w:rPr>
                <w:rFonts w:ascii="Times New Roman" w:hAnsi="Times New Roman"/>
                <w:sz w:val="24"/>
              </w:rPr>
              <w:t>Dette beløb svarer til APVA udtrykt med forkortelserne i bilaget.</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0090 -0100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AKTIVER OG PASSIVER TIL DAGSVÆRDI</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 værdi af aktiver og passiver til dagsværdi, der værdiansættes ved hjælp af modellen i kolonne 0010, som anført i regnskaberne i overensstemmelse med de gældende regler.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AKTIVER TIL DAGSVÆRDI</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Absolut værdi af aktiver til dagsværdi, der værdiansættes ved hjælp af modellen i kolonne 0010, som anført i regnskaberne i overensstemmelse med de gældende regler.</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PASSIVER TIL DAGSVÆRDI</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Absolut værdi af passiver til dagsværdi, der værdiansættes ved hjælp af modellen i kolonne 0010, som anført i regnskaberne i overensstemmelse med de gældende regler.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IPV-FORSKEL (OUTPUTTEST)</w:t>
            </w:r>
          </w:p>
          <w:p w14:paraId="142B7D31" w14:textId="4E82E995"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Summen af ikkejusterede forskelsværdier ("IPV-forskel") beregnet ved udgangen af den måned, der er nærmest indberetningsdatoen under den uafhængige kurskontrol, der foretages i overensstemmelse med artikel 105, stk. 8, i forordning (EU) nr. 575/2013, med hensyn til de bedste tilgængelige uafhængige data for det tilsvarende produkt eller den tilsvarende gruppe af produkter.</w:t>
            </w:r>
            <w:r>
              <w:rPr>
                <w:rStyle w:val="InstructionsTabelleberschrift"/>
                <w:rFonts w:ascii="Times New Roman" w:hAnsi="Times New Roman"/>
                <w:b w:val="0"/>
                <w:sz w:val="24"/>
                <w:u w:val="none"/>
              </w:rPr>
              <w:t xml:space="preserve">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Ikkejusterede forskelsværdier henviser til ikkejusterede forskelle mellem de af handelssystemet genererede værdiansættelser og de værdiansættelser, der vurderes gennem den månedlige IPV.</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Justerede forskelsværdier i instituttets beholdninger og fortegnelser for den relevante månedsslutdato medtages ikke i beregningen af IPV-forskel.</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Kun resultater, der er kalibreret fra priser på instrumenter, der ville blive sammenkoblet med det samme produkt (test af resultater), medtages her. Resultater af test af input fra markedsdatainput, der testes mod niveauer, der er kalibreret fra forskellige produkter, medtages ikke.</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IPV-DÆKNING (OUTPUTTEST)</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Procentdelen af de positioner, der er henført til modellen, vægtet med den AVA for modelrisiko, der dækkes af resultaterne af output-IPV-test i kolonne 0110.</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0130 – 0140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DAGSVÆRDIJUSTERINGER</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Dagsværdijusteringer som anført i kolonne 0190 og 0240 i skema C 32.02, som er blevet anvendt på de positioner, der er henført til</w:t>
            </w:r>
            <w:r>
              <w:rPr>
                <w:rFonts w:ascii="Times New Roman" w:hAnsi="Times New Roman"/>
                <w:sz w:val="24"/>
              </w:rPr>
              <w:t xml:space="preserve"> modellen i kolonne 0010</w:t>
            </w:r>
            <w:r>
              <w:rPr>
                <w:rStyle w:val="InstructionsTabelleberschrift"/>
                <w:rFonts w:ascii="Times New Roman" w:hAnsi="Times New Roman"/>
                <w:b w:val="0"/>
                <w:sz w:val="24"/>
                <w:u w:val="none"/>
              </w:rPr>
              <w:t>.</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DAG 1-FORSKEL I RESULTATOPGØRELSEN</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Justeringer som defineret i kolonne 0260 i skema C 32.02, som er blevet anvendt på de positioner, der er henført til modellen i kolonne 0010.</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766" w:name="_Toc119059451"/>
      <w:r>
        <w:rPr>
          <w:rFonts w:ascii="Times New Roman" w:hAnsi="Times New Roman"/>
          <w:sz w:val="24"/>
        </w:rPr>
        <w:t>6.4 C 32.04 — Forsigtig værdiansættelse: AVA for koncentrerede positioner (PruVal 4)</w:t>
      </w:r>
      <w:bookmarkEnd w:id="766"/>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119059452"/>
      <w:r>
        <w:rPr>
          <w:rFonts w:ascii="Times New Roman" w:hAnsi="Times New Roman"/>
          <w:sz w:val="24"/>
          <w:u w:val="none"/>
        </w:rPr>
        <w:t>6.4.1.</w:t>
      </w:r>
      <w:r>
        <w:tab/>
      </w:r>
      <w:r>
        <w:rPr>
          <w:rFonts w:ascii="Times New Roman" w:hAnsi="Times New Roman"/>
          <w:sz w:val="24"/>
        </w:rPr>
        <w:t>Generelle bemærkninger</w:t>
      </w:r>
      <w:bookmarkEnd w:id="767"/>
      <w:r>
        <w:rPr>
          <w:rFonts w:ascii="Times New Roman" w:hAnsi="Times New Roman"/>
          <w:sz w:val="24"/>
          <w:u w:val="none"/>
        </w:rPr>
        <w:t xml:space="preserve"> </w:t>
      </w:r>
    </w:p>
    <w:p w14:paraId="77C9E5D7" w14:textId="77777777" w:rsidR="00113E45" w:rsidRPr="002A677E" w:rsidRDefault="00CE7221" w:rsidP="00487A02">
      <w:pPr>
        <w:pStyle w:val="InstructionsText2"/>
        <w:numPr>
          <w:ilvl w:val="0"/>
          <w:numId w:val="0"/>
        </w:numPr>
        <w:ind w:left="1353" w:hanging="360"/>
      </w:pPr>
      <w:fldSimple w:instr=" seq paragraphs ">
        <w:r>
          <w:t>186</w:t>
        </w:r>
      </w:fldSimple>
      <w:r>
        <w:t>. Dette skema skal kun udfyldes af institutter, der overskrider den tærskel, der er omhandlet i artikel 4, stk. 1, i delegeret forordning (EU) 2016/101. Institutter, der indgår i en koncern, der overskrider tærsklen på konsolideret grundlag, skal kun indberette dette skema, hvis de også overskrider tærsklen på deres eget niveau.</w:t>
      </w:r>
    </w:p>
    <w:p w14:paraId="17836AA9" w14:textId="77777777" w:rsidR="00113E45" w:rsidRPr="002A677E" w:rsidRDefault="00CE7221" w:rsidP="00487A02">
      <w:pPr>
        <w:pStyle w:val="InstructionsText2"/>
        <w:numPr>
          <w:ilvl w:val="0"/>
          <w:numId w:val="0"/>
        </w:numPr>
        <w:ind w:left="1353" w:hanging="360"/>
      </w:pPr>
      <w:fldSimple w:instr=" seq paragraphs ">
        <w:r>
          <w:t>187</w:t>
        </w:r>
      </w:fldSimple>
      <w:r>
        <w:t xml:space="preserve">. Dette skema anvendes til at indberette oplysninger om de 20 væsentligste individuelle AVA'er for koncentrerede positioner målt i AVA-beløb, der bidrager til den samlede AVA på kategoriniveau for koncentrerede positioner beregnet i overensstemmelse med artikel 14 i delegeret forordning (EU) 2016/101. Disse oplysninger skal svare til de oplysninger, der indberettes i kolonne 0070 i skema C 32.02. </w:t>
      </w:r>
    </w:p>
    <w:p w14:paraId="279F8B1F" w14:textId="77777777" w:rsidR="00113E45" w:rsidRPr="002A677E" w:rsidRDefault="00CE7221" w:rsidP="00487A02">
      <w:pPr>
        <w:pStyle w:val="InstructionsText2"/>
        <w:numPr>
          <w:ilvl w:val="0"/>
          <w:numId w:val="0"/>
        </w:numPr>
        <w:ind w:left="1353" w:hanging="360"/>
      </w:pPr>
      <w:fldSimple w:instr=" seq paragraphs ">
        <w:r>
          <w:t>188</w:t>
        </w:r>
      </w:fldSimple>
      <w:r>
        <w:t>. De 20 AVA'er for koncentrerede positioner og tilsvarende produktoplysninger indberettes i aftagende rækkefølge begyndende med de største individuelle AVA'er for koncentrerede positioner.</w:t>
      </w:r>
    </w:p>
    <w:p w14:paraId="2EA8E0CE" w14:textId="3EF2F8F5" w:rsidR="00113E45" w:rsidRPr="002A677E" w:rsidRDefault="00CE7221" w:rsidP="00487A02">
      <w:pPr>
        <w:pStyle w:val="InstructionsText2"/>
        <w:numPr>
          <w:ilvl w:val="0"/>
          <w:numId w:val="0"/>
        </w:numPr>
        <w:ind w:left="1353" w:hanging="360"/>
      </w:pPr>
      <w:fldSimple w:instr=" seq paragraphs ">
        <w:r>
          <w:t>189</w:t>
        </w:r>
      </w:fldSimple>
      <w:r>
        <w:t>. Produkter, der svarer til disse væsentligste individuelle AVA'er for koncentrerede positioner, indberettes ved anvendelse af den produktopgørelse, der kræves i henhold til artikel 19, stk. 3, litra a), i delegeret forordning (EU) 2016/101.</w:t>
      </w:r>
    </w:p>
    <w:p w14:paraId="1FC50FB0" w14:textId="77777777" w:rsidR="00113E45" w:rsidRPr="002A677E" w:rsidRDefault="00CE7221" w:rsidP="00487A02">
      <w:pPr>
        <w:pStyle w:val="InstructionsText2"/>
        <w:numPr>
          <w:ilvl w:val="0"/>
          <w:numId w:val="0"/>
        </w:numPr>
        <w:ind w:left="1353" w:hanging="360"/>
      </w:pPr>
      <w:fldSimple w:instr=" seq paragraphs ">
        <w:r>
          <w:t>190</w:t>
        </w:r>
      </w:fldSimple>
      <w:r>
        <w:t>. Positioner, der er ensartede med hensyn til AVA-beregningsmetoden, aggregeres, hvor det er muligt, for at maksimere dette skemas dækningsområde.</w:t>
      </w:r>
    </w:p>
    <w:p w14:paraId="65F78609" w14:textId="3012DA70"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119059453"/>
      <w:r>
        <w:rPr>
          <w:rFonts w:ascii="Times New Roman" w:hAnsi="Times New Roman"/>
          <w:sz w:val="24"/>
          <w:u w:val="none"/>
        </w:rPr>
        <w:t>6.4.2.</w:t>
      </w:r>
      <w:r>
        <w:tab/>
      </w:r>
      <w:r>
        <w:rPr>
          <w:rFonts w:ascii="Times New Roman" w:hAnsi="Times New Roman"/>
          <w:sz w:val="24"/>
        </w:rPr>
        <w:t>Instrukser vedrørende specifikke positioner</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Kolonner</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PLACERING</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Placeringen er en ID-kode for rækken og skal være unik for hver enkelt række i skemaet. Den skal være i nummerorden (1, 2, 3 osv.), hvor 1 tildeles de højeste AVA'er for koncentrerede positioner, 2 de næsthøjeste og så videre.</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RISIKOKATEGORI</w:t>
            </w:r>
          </w:p>
          <w:p w14:paraId="6C8CE8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Den risikokategori (renter, valuta, lån, aktier, råvarer), som bedst kendetegner positionen.</w:t>
            </w:r>
          </w:p>
          <w:p w14:paraId="74AF4D5B"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Institutterne skal indberette følgende koder:</w:t>
            </w:r>
          </w:p>
          <w:p w14:paraId="04378809"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renter</w:t>
            </w:r>
          </w:p>
          <w:p w14:paraId="616A6B01" w14:textId="77777777" w:rsidR="0022597E" w:rsidRPr="002A677E" w:rsidRDefault="0022597E" w:rsidP="00E60B53">
            <w:pPr>
              <w:spacing w:beforeLines="60" w:before="144" w:afterLines="60" w:after="144"/>
              <w:rPr>
                <w:rFonts w:ascii="Times New Roman" w:hAnsi="Times New Roman"/>
                <w:sz w:val="24"/>
              </w:rPr>
            </w:pPr>
            <w:r>
              <w:rPr>
                <w:rFonts w:ascii="Times New Roman" w:hAnsi="Times New Roman"/>
                <w:sz w:val="24"/>
              </w:rPr>
              <w:t>FX — valuta</w:t>
            </w:r>
          </w:p>
          <w:p w14:paraId="4A97E5DF"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lån</w:t>
            </w:r>
          </w:p>
          <w:p w14:paraId="405A74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aktier</w:t>
            </w:r>
          </w:p>
          <w:p w14:paraId="692300F8" w14:textId="77777777" w:rsidR="00113E45" w:rsidRPr="002A677E" w:rsidRDefault="00113E45" w:rsidP="0022597E">
            <w:pPr>
              <w:spacing w:beforeLines="60" w:before="144" w:afterLines="60" w:after="144"/>
              <w:rPr>
                <w:rFonts w:ascii="Times New Roman" w:hAnsi="Times New Roman"/>
                <w:sz w:val="24"/>
              </w:rPr>
            </w:pPr>
            <w:r>
              <w:rPr>
                <w:rFonts w:ascii="Times New Roman" w:hAnsi="Times New Roman"/>
                <w:sz w:val="24"/>
              </w:rPr>
              <w:t>CO – råvarer.</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PRODUKT </w:t>
            </w:r>
          </w:p>
          <w:p w14:paraId="0A3CE213" w14:textId="0A45AFAA" w:rsidR="00113E45" w:rsidRPr="002A677E" w:rsidRDefault="00113E45" w:rsidP="00B14253">
            <w:pPr>
              <w:spacing w:beforeLines="60" w:before="144" w:afterLines="60" w:after="144"/>
              <w:rPr>
                <w:rFonts w:ascii="Times New Roman" w:hAnsi="Times New Roman"/>
                <w:sz w:val="24"/>
              </w:rPr>
            </w:pPr>
            <w:r>
              <w:rPr>
                <w:rFonts w:ascii="Times New Roman" w:hAnsi="Times New Roman"/>
                <w:sz w:val="24"/>
              </w:rPr>
              <w:t>Internt navn for det produkt eller den gruppe af produkter, jf. den produktopgørelse, der kræves i henhold til artikel 19, stk. 3, litra a), i delegeret forordning (EU) 2016/101.</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UNDERLIGGENDE INSTRUMENT(ER)</w:t>
            </w:r>
          </w:p>
          <w:p w14:paraId="718624B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Internt navn for det underliggende instrument eller de underliggende instrumenter i tilfælde af derivater eller på instrumenterne i tilfælde af instrumenter, der ikke er derivater.</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KONCENTRERET POSITIONSSTØRRELSE</w:t>
            </w:r>
          </w:p>
          <w:p w14:paraId="29A739CB" w14:textId="2E70CC60" w:rsidR="00113E45" w:rsidRPr="002A677E" w:rsidRDefault="00113E45" w:rsidP="00813B8E">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Størrelse af den individuelle koncentrerede værdiansættelsesposition identificeret i overensstemmelse med artikel 14, stk. 1, litra a), i delegeret forordning (EU) 2016/101, udtrykt i den i kolonne 0050 beskrevne enhed.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MÅLEENHED</w:t>
            </w:r>
          </w:p>
          <w:p w14:paraId="10FB2A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 xml:space="preserve">Måleenhed, der anvendes internt som led i identificeringen af den koncentrerede værdiansættelsesposition med henblik på at beregne den i kolonne 0040 omhandlede positionsstørrelse. </w:t>
            </w:r>
          </w:p>
          <w:p w14:paraId="0E978A04" w14:textId="030CAEB0"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I tilfælde af positioner i obligationer eller kapitalandele indberettes den enhed, der anvendes i forbindelse med intern risikostyring, såsom "antal obligationer", antal andele eller "markedsværdi".</w:t>
            </w:r>
            <w:r>
              <w:rPr>
                <w:rStyle w:val="InstructionsTabelleberschrift"/>
                <w:rFonts w:ascii="Times New Roman" w:hAnsi="Times New Roman"/>
                <w:b w:val="0"/>
                <w:sz w:val="24"/>
                <w:u w:val="none"/>
              </w:rPr>
              <w:t xml:space="preserve"> </w:t>
            </w:r>
          </w:p>
          <w:p w14:paraId="66967CF0" w14:textId="1896575B"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I tilfælde af positioner i derivater indberettes den enhed, der anvendes i forbindelse med intern risikostyring, såsom "PV01; EUR pr. 1 basispoint ved parallelforskydning af afkastkurven".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MARKEDSVÆRDI</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Positionens markedsværdi.</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FORSIGTIGT ANSAT EXITPERIODE</w:t>
            </w:r>
          </w:p>
          <w:p w14:paraId="0ED9344D" w14:textId="768DC654"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Forsigtigt ansat exitperiode i antal dage, anslået i henhold til artikel 14, stk. 1, litra b), i </w:t>
            </w:r>
            <w:r>
              <w:rPr>
                <w:rFonts w:ascii="Times New Roman" w:hAnsi="Times New Roman"/>
                <w:sz w:val="24"/>
              </w:rPr>
              <w:t>delegeret forordning (EU) 2016/101</w:t>
            </w:r>
            <w:r>
              <w:rPr>
                <w:rStyle w:val="InstructionsTabelleberschrift"/>
                <w:rFonts w:ascii="Times New Roman" w:hAnsi="Times New Roman"/>
                <w:b w:val="0"/>
                <w:sz w:val="24"/>
                <w:u w:val="none"/>
              </w:rPr>
              <w:t>.</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FOR KONCENTREREDE POSITIONER</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AVA for koncentrerede positioner beregnet i overensstemmelse med artikel 14, stk. 1, i</w:t>
            </w:r>
            <w:r>
              <w:rPr>
                <w:rFonts w:ascii="Times New Roman" w:hAnsi="Times New Roman"/>
                <w:sz w:val="24"/>
              </w:rPr>
              <w:t xml:space="preserve"> delegeret forordning (EU) 2016/101</w:t>
            </w:r>
            <w:r>
              <w:rPr>
                <w:rStyle w:val="InstructionsTabelleberschrift"/>
                <w:rFonts w:ascii="Times New Roman" w:hAnsi="Times New Roman"/>
                <w:b w:val="0"/>
                <w:sz w:val="24"/>
                <w:u w:val="none"/>
              </w:rPr>
              <w:t xml:space="preserve"> for den pågældende individuelle koncentrerede værdiansættelsesposition.</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DAGSVÆRDIJUSTERING FOR KONCENTRERET POSITION</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Dagsværdijusteringer, der er foretaget for at afspejle det forhold, at den aggregerede position, som instituttet besidder, er større end den normale handlede volumen eller større end positionsstørrelser, og som danner grundlag for de priser eller handler, der anvendes til at kalibrere den pris eller de input, der bruges i værdiansættelsesmodellen.</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indberettede værdi skal svare til den værdi, der er anvendt på den pågældende individuelle koncentrerede værdiansættelsesposition.</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IPV-FORSKEL</w:t>
            </w:r>
          </w:p>
          <w:p w14:paraId="244D69CC" w14:textId="7C5EDE9E"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Summen af ikkejusterede forskelsværdier ("IPV-forskel") beregnet ved udgangen af den måned, der er nærmest indberetningsdatoen under den uafhængige kurskontrol, der foretages i overensstemmelse med artikel 105, stk. 8, i forordning (EU) nr. 575/2013, med hensyn til de bedste tilgængelige uafhængige data for den pågældende individuelle koncentrerede værdiansættelsesposition.</w:t>
            </w:r>
            <w:r>
              <w:rPr>
                <w:rStyle w:val="InstructionsTabelleberschrift"/>
                <w:rFonts w:ascii="Times New Roman" w:hAnsi="Times New Roman"/>
                <w:b w:val="0"/>
                <w:sz w:val="24"/>
                <w:u w:val="none"/>
              </w:rPr>
              <w:t xml:space="preserve">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Ikkejusterede forskelsværdier henviser til ikkejusterede forskelle mellem de af handelssystemet genererede værdiansættelser og de værdiansættelser, der vurderes gennem den månedlige IPV.</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Justerede forskelsværdier i instituttets beholdninger og fortegnelser for den relevante månedsslutdato medtages ikke i beregningen af IPV-forskel.</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119059454"/>
      <w:r>
        <w:rPr>
          <w:rFonts w:ascii="Times New Roman" w:hAnsi="Times New Roman"/>
          <w:sz w:val="24"/>
          <w:u w:val="none"/>
        </w:rPr>
        <w:t>7.</w:t>
      </w:r>
      <w:r>
        <w:tab/>
      </w:r>
      <w:r>
        <w:rPr>
          <w:rFonts w:ascii="Times New Roman" w:hAnsi="Times New Roman"/>
          <w:sz w:val="24"/>
        </w:rPr>
        <w:t>C 33.00 — Eksponeringer mod offentlig forvaltning og service (GOV)</w:t>
      </w:r>
      <w:bookmarkEnd w:id="769"/>
      <w:bookmarkEnd w:id="770"/>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119059455"/>
      <w:r>
        <w:rPr>
          <w:rFonts w:ascii="Times New Roman" w:hAnsi="Times New Roman"/>
          <w:sz w:val="24"/>
          <w:u w:val="none"/>
        </w:rPr>
        <w:t>7.1.</w:t>
      </w:r>
      <w:r>
        <w:tab/>
      </w:r>
      <w:r>
        <w:rPr>
          <w:rFonts w:ascii="Times New Roman" w:hAnsi="Times New Roman"/>
          <w:sz w:val="24"/>
        </w:rPr>
        <w:t>Generelle bemærkninger</w:t>
      </w:r>
      <w:bookmarkEnd w:id="771"/>
      <w:bookmarkEnd w:id="772"/>
      <w:bookmarkEnd w:id="773"/>
      <w:r>
        <w:rPr>
          <w:rFonts w:ascii="Times New Roman" w:hAnsi="Times New Roman"/>
          <w:sz w:val="24"/>
        </w:rPr>
        <w:t xml:space="preserve"> </w:t>
      </w:r>
    </w:p>
    <w:p w14:paraId="5C6E2259" w14:textId="37FE8984" w:rsidR="00FD54FC" w:rsidRPr="002A677E" w:rsidRDefault="00CE7221" w:rsidP="00487A02">
      <w:pPr>
        <w:pStyle w:val="InstructionsText2"/>
        <w:numPr>
          <w:ilvl w:val="0"/>
          <w:numId w:val="0"/>
        </w:numPr>
        <w:ind w:left="1353" w:hanging="360"/>
      </w:pPr>
      <w:fldSimple w:instr=" seq paragraphs ">
        <w:r>
          <w:t>191</w:t>
        </w:r>
      </w:fldSimple>
      <w:r>
        <w:t>.</w:t>
      </w:r>
      <w:r>
        <w:tab/>
        <w:t xml:space="preserve"> De oplysninger, der skal indsættes i skema C 33.00, skal dække alle eksponeringer mod "Offentlig forvaltning og service" som omhandlet i punkt 42, litra b), i bilag V til denne gennemførelsesforordning.</w:t>
      </w:r>
    </w:p>
    <w:p w14:paraId="08288A06" w14:textId="1833F87D" w:rsidR="00FD54FC" w:rsidRPr="002A677E" w:rsidRDefault="00CE7221" w:rsidP="00487A02">
      <w:pPr>
        <w:pStyle w:val="InstructionsText2"/>
        <w:numPr>
          <w:ilvl w:val="0"/>
          <w:numId w:val="0"/>
        </w:numPr>
        <w:ind w:left="1353" w:hanging="360"/>
      </w:pPr>
      <w:fldSimple w:instr=" seq paragraphs ">
        <w:r>
          <w:t>192</w:t>
        </w:r>
      </w:fldSimple>
      <w:r>
        <w:t>.</w:t>
      </w:r>
      <w:r>
        <w:tab/>
        <w:t xml:space="preserve"> Hvis eksponeringerne mod "Offentlig forvaltning og service" er omfattet af kapitalgrundlagskravene i overensstemmelse med tredje del, afsnit II, i forordning (EU) nr. 575/2013, medtages eksponeringerne mod "Offentlig forvaltning og service" i forskellige eksponeringsklasser, jf. artikel 112 og 147 i nævnte forordning, som beskrevet i instrukserne til udfyldelse af skema C 07.00, C 08.01 og C 08.02. </w:t>
      </w:r>
    </w:p>
    <w:p w14:paraId="1643CBEB" w14:textId="1CD097BF" w:rsidR="00FD54FC" w:rsidRPr="002A677E" w:rsidRDefault="00CE7221" w:rsidP="00487A02">
      <w:pPr>
        <w:pStyle w:val="InstructionsText2"/>
        <w:numPr>
          <w:ilvl w:val="0"/>
          <w:numId w:val="0"/>
        </w:numPr>
        <w:ind w:left="1353" w:hanging="360"/>
      </w:pPr>
      <w:fldSimple w:instr=" seq paragraphs ">
        <w:r>
          <w:t>193</w:t>
        </w:r>
      </w:fldSimple>
      <w:r>
        <w:t>.</w:t>
      </w:r>
      <w:r>
        <w:tab/>
        <w:t xml:space="preserve"> Tabel 2 (standardmetoden) og tabel 3 (IRB-metoden), som findes i del 3 i bilag V til denne gennemførelsesforordning, skal følges, når eksponeringsklasser, der anvendes ved beregningen af kapitalkrav i overensstemmelse med forordning (EU) nr. 575/2013, og modpartssektoren "Offentlig forvaltning og service" sammenstilles. </w:t>
      </w:r>
    </w:p>
    <w:p w14:paraId="41F2B1A4" w14:textId="77777777" w:rsidR="00FD54FC" w:rsidRPr="002A677E" w:rsidRDefault="00CE7221" w:rsidP="00487A02">
      <w:pPr>
        <w:pStyle w:val="InstructionsText2"/>
        <w:numPr>
          <w:ilvl w:val="0"/>
          <w:numId w:val="0"/>
        </w:numPr>
        <w:ind w:left="1353" w:hanging="360"/>
      </w:pPr>
      <w:fldSimple w:instr=" seq paragraphs ">
        <w:r>
          <w:t>194</w:t>
        </w:r>
      </w:fldSimple>
      <w:r>
        <w:t xml:space="preserve">. Oplysninger skal indberettes for samlede aggregerede eksponeringer (dvs. summen af alle lande, hvor banken har eksponeringer over for stater) og for hvert land på grundlag af modpartens hjemsted med udgangspunkt i den umiddelbare låntager. </w:t>
      </w:r>
    </w:p>
    <w:p w14:paraId="1695AE0F" w14:textId="77777777" w:rsidR="00FD54FC" w:rsidRPr="002A677E" w:rsidRDefault="00CE7221" w:rsidP="00487A02">
      <w:pPr>
        <w:pStyle w:val="InstructionsText2"/>
        <w:numPr>
          <w:ilvl w:val="0"/>
          <w:numId w:val="0"/>
        </w:numPr>
        <w:ind w:left="1353" w:hanging="360"/>
      </w:pPr>
      <w:fldSimple w:instr=" seq paragraphs ">
        <w:r>
          <w:t>195</w:t>
        </w:r>
      </w:fldSimple>
      <w:r>
        <w:t>.</w:t>
      </w:r>
      <w:r>
        <w:tab/>
        <w:t xml:space="preserve"> Eksponeringer henføres til eksponeringsklasser eller jurisdiktioner uden hensyntagen til kreditrisikoreduktionsteknikker og især uden hensyntagen til substitutionsvirkninger. I beregningen af eksponeringsværdier og risikovægtede eksponeringer for hver eksponeringsklasse og hver jurisdiktion indgår virkningen af kreditrisikoreduktionsteknikker, herunder substitutionsvirkninger, dog. </w:t>
      </w:r>
    </w:p>
    <w:p w14:paraId="074321E3" w14:textId="77777777" w:rsidR="00FD54FC" w:rsidRPr="002A677E" w:rsidRDefault="00CE7221" w:rsidP="00487A02">
      <w:pPr>
        <w:pStyle w:val="InstructionsText2"/>
        <w:numPr>
          <w:ilvl w:val="0"/>
          <w:numId w:val="0"/>
        </w:numPr>
        <w:ind w:left="1353" w:hanging="360"/>
      </w:pPr>
      <w:fldSimple w:instr=" seq paragraphs ">
        <w:r>
          <w:t>196</w:t>
        </w:r>
      </w:fldSimple>
      <w:r>
        <w:t>.</w:t>
      </w:r>
      <w:r>
        <w:tab/>
        <w:t xml:space="preserve"> Indberetningen af oplysninger om eksponeringer mod "Offentlig forvaltning og service" efter den jurisdiktion, som er den umiddelbare modparts hjemsted, bortset fra det indberettende instituts nationale jurisdiktion, er underlagt tærsklerne i denne gennemførelsesforordnings artikel 6, stk. 3.</w:t>
      </w:r>
    </w:p>
    <w:p w14:paraId="3577A9ED" w14:textId="5ED21D22"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4" w:name="_Toc367202009"/>
      <w:bookmarkStart w:id="775" w:name="_Toc473561057"/>
      <w:bookmarkStart w:id="776" w:name="_Toc119059456"/>
      <w:r>
        <w:rPr>
          <w:rFonts w:ascii="Times New Roman" w:hAnsi="Times New Roman"/>
          <w:sz w:val="24"/>
          <w:u w:val="none"/>
        </w:rPr>
        <w:t>7.2.</w:t>
      </w:r>
      <w:r>
        <w:tab/>
      </w:r>
      <w:r>
        <w:rPr>
          <w:rFonts w:ascii="Times New Roman" w:hAnsi="Times New Roman"/>
          <w:sz w:val="24"/>
        </w:rPr>
        <w:t>Omfanget af skemaet</w:t>
      </w:r>
      <w:bookmarkEnd w:id="774"/>
      <w:r>
        <w:rPr>
          <w:rFonts w:ascii="Times New Roman" w:hAnsi="Times New Roman"/>
          <w:sz w:val="24"/>
        </w:rPr>
        <w:t xml:space="preserve"> om eksponeringer mod "Offentlig forvaltning og service"</w:t>
      </w:r>
      <w:bookmarkEnd w:id="775"/>
      <w:bookmarkEnd w:id="776"/>
    </w:p>
    <w:p w14:paraId="4ABEC63C" w14:textId="77777777" w:rsidR="00FD54FC" w:rsidRPr="002A677E" w:rsidRDefault="00CE7221" w:rsidP="00487A02">
      <w:pPr>
        <w:pStyle w:val="InstructionsText2"/>
        <w:numPr>
          <w:ilvl w:val="0"/>
          <w:numId w:val="0"/>
        </w:numPr>
        <w:ind w:left="1353" w:hanging="360"/>
      </w:pPr>
      <w:fldSimple w:instr=" seq paragraphs ">
        <w:r>
          <w:t>197</w:t>
        </w:r>
      </w:fldSimple>
      <w:r>
        <w:t>.</w:t>
      </w:r>
      <w:r>
        <w:tab/>
        <w:t xml:space="preserve"> Omfanget af GOV-skemaet dækker balanceførte og ikkebalanceførte eksponeringer samt direkte derivateksponeringer mod "Offentlig forvaltning og service" i handelsbeholdningen og anlægsbeholdningen. Endvidere kræves også en memorandumpost om indirekte eksponeringer i form af kreditderivater, der er solgt på grundlag af eksponeringer mod offentlig forvaltning og service.</w:t>
      </w:r>
    </w:p>
    <w:p w14:paraId="13C7BD2C" w14:textId="3AEE5050" w:rsidR="00FD54FC" w:rsidRPr="002A677E" w:rsidRDefault="00CE7221" w:rsidP="00487A02">
      <w:pPr>
        <w:pStyle w:val="InstructionsText2"/>
        <w:numPr>
          <w:ilvl w:val="0"/>
          <w:numId w:val="0"/>
        </w:numPr>
        <w:ind w:left="1353" w:hanging="360"/>
      </w:pPr>
      <w:fldSimple w:instr=" seq paragraphs ">
        <w:r>
          <w:t>198</w:t>
        </w:r>
      </w:fldSimple>
      <w:r>
        <w:t>.</w:t>
      </w:r>
      <w:r>
        <w:tab/>
        <w:t xml:space="preserve"> En eksponering er en direkte eksponering, når den umiddelbare modpart er en enhed, der er en "Offentlig forvaltning og service" som omhandlet i punkt 42, litra b), i bilag V til denne gennemførelsesforordning. </w:t>
      </w:r>
    </w:p>
    <w:p w14:paraId="70B0FE7F" w14:textId="77777777" w:rsidR="00FD54FC" w:rsidRPr="002A677E" w:rsidRDefault="00CE7221" w:rsidP="00487A02">
      <w:pPr>
        <w:pStyle w:val="InstructionsText2"/>
        <w:numPr>
          <w:ilvl w:val="0"/>
          <w:numId w:val="0"/>
        </w:numPr>
        <w:ind w:left="1353" w:hanging="360"/>
      </w:pPr>
      <w:fldSimple w:instr=" seq paragraphs ">
        <w:r>
          <w:t>199</w:t>
        </w:r>
      </w:fldSimple>
      <w:r>
        <w:t>.</w:t>
      </w:r>
      <w:r>
        <w:tab/>
        <w:t xml:space="preserve"> Skemaet er inddelt i to afsnit. Det første er baseret på en opdeling af eksponeringer efter risiko, lovgivningsmæssig fremgangsmåde og eksponeringsklasse, mens det andet er baseret på en opdeling efter restløbetid.</w:t>
      </w:r>
    </w:p>
    <w:p w14:paraId="51205335" w14:textId="30191B10"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119059457"/>
      <w:r>
        <w:rPr>
          <w:rFonts w:ascii="Times New Roman" w:hAnsi="Times New Roman"/>
          <w:sz w:val="24"/>
          <w:u w:val="none"/>
        </w:rPr>
        <w:t>7.3.</w:t>
      </w:r>
      <w:r>
        <w:tab/>
      </w:r>
      <w:r>
        <w:rPr>
          <w:rFonts w:ascii="Times New Roman" w:hAnsi="Times New Roman"/>
          <w:sz w:val="24"/>
        </w:rPr>
        <w:t>Instrukser vedrørende specifikke positioner</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Kolonner</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Instrukser</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DIREKTE EKSPONERINGER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BALANCEFØRTE EKSPONERINGER</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Regnskabsmæssig bruttoværdi i alt af finansielle aktiver, bortset fra derivater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67641D8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Den samlede sum af den regnskabsmæssige bruttoværdi, som bestemt i overensstemmelse med del 1, punkt 34, i bilag V til denne gennemførelsesforordning, af finansielle aktiver, bortset fra derivater, mod offentlig forvaltning og service, for alle porteføljeregnskaber under IFRS eller nationale almindeligt anerkendte regnskabsprincipper GAAP baseret på Rådets direktiv 86/635/EØF, defineret i del 1, punkt 15-22, i bilag V til denne gennemførelsesforordning og opført i kolonne 0030-0120.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Justeringer som følge af forsigtighedsbaseret værdiansættelse reducerer ikke den regnskabsmæssige bruttoværdi af eksponeringer i og uden for handelsbeholdningen målt til dagsværdi.</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Regnskabsmæssig værdi i alt af finansielle aktiver (fratrukket korte positioner)</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06CCB3A9" w:rsidR="00FD54FC" w:rsidRPr="002A677E" w:rsidRDefault="00FD54FC" w:rsidP="00FD54FC">
            <w:pPr>
              <w:spacing w:before="0" w:after="0"/>
              <w:ind w:left="33"/>
              <w:rPr>
                <w:rFonts w:ascii="Times New Roman" w:hAnsi="Times New Roman"/>
                <w:bCs/>
                <w:sz w:val="24"/>
              </w:rPr>
            </w:pPr>
            <w:r>
              <w:rPr>
                <w:rFonts w:ascii="Times New Roman" w:hAnsi="Times New Roman"/>
                <w:sz w:val="24"/>
              </w:rPr>
              <w:t>Den samlede sum af den regnskabsmæssige værdi, som omhandlet i del 1, punkt 27, i bilag V til denne gennemførelsesforordning, af finansielle aktiver, bortset fra derivater, mod offentlig forvaltning og service, for alle porteføljeregnskaber under IFRS eller nationale almindeligt anerkendte regnskabsprincipper GAAP baseret på Rådets direktiv 86/635/EØF, defineret i del 1, punkt 15-22, i bilag V til denne gennemførelsesforordning og opført i kolonne 0030-0120, fratrukket korte positioner.</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Hvis instituttet har en kort position, for den samme restløbetid og for den samme umiddelbare modpart, der er denomineret i den samme valuta, modregnes den regnskabsmæssige værdi af den korte position mod den regnskabsmæssige værdi af den direkte position. Denne nettoværdi betragtes som nul, når den er negativ. Hvis et institut har en kort position uden matchende direkte position, betragtes den korte position som nul med henblik på denne kolonne.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0030-0120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FINANSIELLE AKTIVER, BORTSET FRA DERIVATER, EFTER PORTEFØLJEREGNSKABER</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Den samlede sum af den regnskabsmæssige værdi af finansielle aktiver, som ikke er derivater, som defineret i rækken ovenfor i denne tabel, mod offentlig forvaltning og service efter porteføljeregnskab i henhold til de gældende regnskabsregler</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640" w:type="dxa"/>
          </w:tcPr>
          <w:p w14:paraId="62D50A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Finansielle aktiver, som besiddes med handel for øje</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rPr>
            </w:pPr>
            <w:r>
              <w:rPr>
                <w:rFonts w:ascii="Times New Roman" w:hAnsi="Times New Roman"/>
                <w:sz w:val="24"/>
              </w:rPr>
              <w:t>IFRS 7.8(a)(ii), IFRS 9 Appendiks A.</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Finansielle aktiver i handelsbeholdningen</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85D3A85" w:rsidR="00FD54FC" w:rsidRPr="002A677E" w:rsidRDefault="00245E37" w:rsidP="00FD54FC">
            <w:pPr>
              <w:spacing w:before="0" w:after="0"/>
              <w:ind w:left="33"/>
              <w:rPr>
                <w:rFonts w:ascii="Times New Roman" w:hAnsi="Times New Roman"/>
                <w:bCs/>
                <w:sz w:val="24"/>
              </w:rPr>
            </w:pPr>
            <w:r>
              <w:rPr>
                <w:rFonts w:ascii="Times New Roman" w:hAnsi="Times New Roman"/>
                <w:sz w:val="24"/>
              </w:rPr>
              <w:t>Artikel 32 og 33 i Rådets direktiv 86/635/EØF, del 1, punkt 16, i bilag V til denne gennemførelsesforordning, artikel 8, stk. 1, litra a), i direktiv 2013/34/EU</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Indberettes kun af institutter efter nationale almindeligt anerkendte regnskabsprincipper (GAAP).</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Finansielle aktiver, uden for handelsbeholdningen, som skal måles til dagsværdi gennem resultatet</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7.8(a)(ii), IFRS 9.4.1.4.</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Finansielle aktiver klassificeret til dagsværdi gennem resultatet</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79A8633"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7.8(a)(i), IFRS 9.4.1.5 og artikel 8, stk. 1, litra a), og artikel 8, stk. 6, i direktiv 2013/34/EU</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Finansielle aktiver, bortset fra derivater, uden for handelsbeholdningen, målt til dagsværdi gennem resultatet</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6B9ACA45" w:rsidR="00FD54FC" w:rsidRPr="002A677E" w:rsidRDefault="002F78EA" w:rsidP="00FD54FC">
            <w:pPr>
              <w:spacing w:before="0" w:after="0"/>
              <w:ind w:left="33"/>
              <w:rPr>
                <w:rFonts w:ascii="Times New Roman" w:hAnsi="Times New Roman"/>
                <w:bCs/>
                <w:sz w:val="24"/>
              </w:rPr>
            </w:pPr>
            <w:r>
              <w:rPr>
                <w:rFonts w:ascii="Times New Roman" w:hAnsi="Times New Roman"/>
                <w:sz w:val="24"/>
              </w:rPr>
              <w:t>Artikel 36, stk. 2, i Rådets direktiv 86/635/EØF, artikel 8, stk. 1, litra a), i direktiv 2013/34/EU</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Indberettes kun af institutter efter nationale almindeligt anerkendte regnskabsprincipper (GAAP).</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Finansielle aktiver til dagsværdi gennem anden totalindkomst</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7.8(d), IFRS 9.4.1.2A.</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Finansielle aktiver, bortset fra derivater, uden for handelsbeholdningen, målt til dagsværdi i egenkapitalen</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28F3B8DC" w:rsidR="00FD54FC" w:rsidRPr="002A677E" w:rsidRDefault="00EC38B2" w:rsidP="00FD54FC">
            <w:pPr>
              <w:spacing w:before="0" w:after="0"/>
              <w:ind w:left="33"/>
              <w:rPr>
                <w:rFonts w:ascii="Times New Roman" w:hAnsi="Times New Roman"/>
                <w:bCs/>
                <w:sz w:val="24"/>
              </w:rPr>
            </w:pPr>
            <w:r>
              <w:rPr>
                <w:rFonts w:ascii="Times New Roman" w:hAnsi="Times New Roman"/>
                <w:sz w:val="24"/>
              </w:rPr>
              <w:t>Artikel 8, stk. 1, litra a), og artikel 8, stk. 8, i direktiv 2013/34/EU</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Indberettes kun af institutter efter nationale almindeligt anerkendte regnskabsprincipper (GAAP).</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Finansielle aktiver til amortiseret kostpris</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IFRS 7.8(f), IFRS 9.4.1.2, bilag V, del 1, punkt 15, til denne gennemførelsesforordning</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Finansielle aktiver, bortset fra derivater, uden for handelsbeholdningen, målt med en omkostningsbaseret metode</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5E391AEB" w:rsidR="00FD54FC" w:rsidRPr="002A677E" w:rsidRDefault="002F78EA" w:rsidP="00FD54FC">
            <w:pPr>
              <w:spacing w:before="0" w:after="0"/>
              <w:ind w:left="33"/>
              <w:rPr>
                <w:rFonts w:ascii="Times New Roman" w:hAnsi="Times New Roman"/>
                <w:bCs/>
                <w:sz w:val="24"/>
              </w:rPr>
            </w:pPr>
            <w:r>
              <w:rPr>
                <w:rFonts w:ascii="Times New Roman" w:hAnsi="Times New Roman"/>
                <w:sz w:val="24"/>
              </w:rPr>
              <w:t>Artikel 35 i Rådets direktiv 86/635/EØF, artikel 6, stk. 1, nr. i), og artikel 8, stk. 2, i direktiv 2013/34/EU, bilag V, del 1, punkt 16, til denne gennemførelsesforordning</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Indberettes kun af institutter efter nationale almindeligt anerkendte regnskabsprincipper (GAAP).</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Andre finansielle aktiver, bortset fra derivater, uden for handelsbeholdningen</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D3FD614" w:rsidR="00FD54FC" w:rsidRPr="002A677E" w:rsidRDefault="002B004B" w:rsidP="00FD54FC">
            <w:pPr>
              <w:spacing w:before="0" w:after="0"/>
              <w:ind w:left="33"/>
              <w:rPr>
                <w:rFonts w:ascii="Times New Roman" w:hAnsi="Times New Roman"/>
                <w:bCs/>
                <w:sz w:val="24"/>
              </w:rPr>
            </w:pPr>
            <w:r>
              <w:rPr>
                <w:rFonts w:ascii="Times New Roman" w:hAnsi="Times New Roman"/>
                <w:sz w:val="24"/>
              </w:rPr>
              <w:t>Artikel 37 i Rådets direktiv 86/635/EØF, artikel 12, stk. 7, i direktiv 2013/34/EU, bilag V, del 1, punkt 16, til denne gennemførelsesforordning</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Indberettes kun af institutter efter nationale almindeligt anerkendte regnskabsprincipper (GAAP).</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Korte positioner</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Den regnskabsmæssige værdi af korte positioner som defineret i IFRS 9 BA.7(b), hvis den direkte modpart er en enhed inden for offentlig forvaltning og service, som defineret i punkt 155-160 i bilaget.</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Korte positioner opstår, hvis instituttet sælger værdipapirer, der er erhvervet ved et omvendt repolån eller er lånt i en transaktion med udlån af værdipapirer.</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Den regnskabsmæssige værdi er dagsværdien af de korte positioner.</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rPr>
            </w:pPr>
            <w:r>
              <w:rPr>
                <w:rFonts w:ascii="Times New Roman" w:hAnsi="Times New Roman"/>
                <w:sz w:val="24"/>
              </w:rPr>
              <w:t xml:space="preserve">Korte positioner skal indberettes efter restløbetidsklasse, som opført i række 0170-0230, og efter umiddelbar modpart.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rPr>
            </w:pPr>
            <w:r>
              <w:rPr>
                <w:rFonts w:ascii="Times New Roman" w:hAnsi="Times New Roman"/>
                <w:sz w:val="24"/>
              </w:rPr>
              <w:t>De korte positioner, der indberettes i denne kolonne, kan modregnes i positioner med samme restløbetid og umiddelbare modpart og angivet i samme valuta som indberettet i kolonne 0030 til 0120 for at opnå den nettoposition, der er indberettet i kolonne 0020.</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rPr>
            </w:pPr>
            <w:r>
              <w:rPr>
                <w:rFonts w:ascii="Times New Roman" w:hAnsi="Times New Roman"/>
                <w:sz w:val="24"/>
              </w:rPr>
              <w:lastRenderedPageBreak/>
              <w:t>0140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Heraf: Korte positioner fra omvendte repolån klassificeret som "besiddes med handel for øje" eller er i handelsbeholdningen</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Den regnskabsmæssige værdi af korte positioner som defineret i IFRS 9 BA.7(b), der opstår, når instituttet sælger værdipapirer, der er erhvervet ved et omvendt repolån, hvis den direkte modpart for disse værdipapirer er en enhed inden for offentlig forvaltning og service, og som indgår i porteføljen over finansielle aktiver, som "besiddes med handel for øje" eller er i handelsbeholdningen (kolonne 0030 eller 0040).</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Korte positioner, der opstår, når de solgte værdipapirer blev lånt i en transaktion med udlån af værdipapirer, medtages ikke i denne kolonne.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Akkumuleret værdiforringelse</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Aggregeret akkumuleret værdiforringelse vedrørende finansielle aktiver, bortset fra derivater, der er indberettet i kolonne 0080-0120 (bilag V, del 2, punkt 70 og 71, til denne gennemførelsesforordning)</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Akkumuleret værdiforringelse — heraf: fra finansielle aktiver til dagsværdi gennem anden totalindkomst eller fra finansielle aktiver, bortset fra derivater, uden for handelsbeholdningen, målt til dagsværdi i egenkapitalen</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Aggregeret akkumuleret værdiforringelse vedrørende finansielle aktiver, bortset fra derivater, der er indberettet i kolonne 0080 og 0090.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Akkumulerede negative ændringer i dagsværdi på grund af kreditrisiko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rPr>
            </w:pPr>
            <w:r>
              <w:rPr>
                <w:rFonts w:ascii="Times New Roman" w:hAnsi="Times New Roman"/>
                <w:sz w:val="24"/>
              </w:rPr>
              <w:t>Den aggregerede sum af akkumulerede negative ændringer i dagsværdi på grund af kreditrisiko vedrørende positioner angivet i kolonne 0050, 0060, 0070, 0080 og 0090 (del 2, punkt 69, i bilag V til denne gennemførelsesforordning)</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Akkumulerede negative ændringer i dagsværdi på grund af kreditrisiko — heraf: fra finansielle aktiver, uden for handelsbeholdningen, som skal måles til dagsværdi gennem resultatet, finansielle aktiver klassificeret til dagsværdi gennem resultatet eller fra finansielle aktiver uden for handelsbeholdningen, målt til dagsværdi gennem resultatet</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Den aggregerede sum af akkumulerede negative ændringer i dagsværdi på grund af kreditrisiko vedrørende positioner angivet i kolonne 0050, 0060 og 0070.</w:t>
            </w:r>
          </w:p>
          <w:p w14:paraId="2D99AB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Akkumulerede negative ændringer i dagsværdi på grund af kreditrisiko — heraf: fra finansielle aktiver til dagsværdi gennem anden totalindkomst eller fra finansielle aktiver, bortset fra derivater, uden for handelsbeholdningen, målt til dagsværdi i egenkapitalen</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Den aggregerede sum af akkumulerede negative ændringer i dagsværdi på grund af kreditrisiko vedrørende positioner angivet i kolonne 0080 og 0090.</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DERIVATER</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Direkte derivatpositioner skal indberettes i kolonne 0200-0230.</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Hvad angår indberetning af derivater, som er genstand for både modpartsrisiko og kapitalkrav vedrørende markedsrisiko, henvises til instrukserne for opdelingen af række.</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Derivater med positiv dagsværdi</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4504B2F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Alle derivater, som har en modpart inden for offentlig forvaltning og service, og som har en positiv dagsværdi for instituttet på indberetningsdatoen, uanset om disse instrumenter anvendes i et sikringsforhold, der kan betegnes som sådan, besiddes med handel for øje eller medregnes i handelsporteføljen under IFRS og nationale almindeligt anerkendte regnskabsprincipper baseret på Rådets direktiv 86/635/EØF.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Derivater, der anvendes til økonomisk sikring, skal indberettes her, når de medregnes i handelsporteføljen eller i porteføljen "besiddes med handel for øje" (del 2, punkt 120, 124, 125 og 137-140, i bilag V til denne gennemførelsesforordning).</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Derivater med positiv dagsværdi: Regnskabsmæssig værdi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Den regnskabsmæssige værdi af de derivater, der regnes for finansielle aktiver på referencedatoen for indberetning.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Ved anvendelse af almindeligt anerkendte regnskabsprincipper baseret på Rådets direktiv 86/635/EØF omfatter derivater, der skal indberettes i disse kolonner, de derivater, der måles til kostpris eller den laveste værdi af kostprisen eller markedsværdien, og som medregnes i handelsporteføljen eller klassificeres som sikringsinstrumenter.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Derivater med positiv dagsværdi: Notionel værdi</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668F4ACC" w:rsidR="00FD54FC" w:rsidRPr="002A677E" w:rsidRDefault="00FD54FC" w:rsidP="00FD54FC">
            <w:pPr>
              <w:spacing w:before="0" w:after="0"/>
              <w:ind w:left="33"/>
              <w:rPr>
                <w:rFonts w:ascii="Times New Roman" w:hAnsi="Times New Roman"/>
                <w:bCs/>
                <w:sz w:val="24"/>
              </w:rPr>
            </w:pPr>
            <w:r>
              <w:rPr>
                <w:rFonts w:ascii="Times New Roman" w:hAnsi="Times New Roman"/>
                <w:sz w:val="24"/>
              </w:rPr>
              <w:t>Ved anvendelse af IFRS og nationale almindeligt anerkendte regnskabsprincipper baseret på Rådets direktiv 86/635/EØF er dette den nominelle værdi, som defineret i bilag V, del 2, punkt 133-135, til denne gennemførelsesforordning, af alle derivatkontrakter, der er indgået og endnu ikke afregnet på referencedatoen for indberetning, og hvis modpart er en enhed inden for offentlig forvaltning og service, som defineret i punkt 191 til 196 i dette bilag, når derivatets dagsværdi er positiv for instituttet på referencedatoen.</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0220-0230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Derivater med negativ dagsværdi</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6FC4CE4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Alle derivater, som har en modpart inden for offentlig forvaltning og service, og som har en negativ dagsværdi for instituttet på referencedatoen for indberetning, uanset om </w:t>
            </w:r>
            <w:r>
              <w:rPr>
                <w:rFonts w:ascii="Times New Roman" w:hAnsi="Times New Roman"/>
                <w:sz w:val="24"/>
              </w:rPr>
              <w:lastRenderedPageBreak/>
              <w:t xml:space="preserve">disse instrumenter anvendes i et sikringsforhold, der kan betegnes som sådan, besiddes med handel for øje eller medregnes i handelsporteføljen under IFRS og nationale almindeligt anerkendte regnskabsprincipper baseret på Rådets direktiv 86/635/EØF.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Derivater, der anvendes til økonomisk sikring, skal indberettes her, når de medregnes i handelsporteføljen eller i porteføljen "besiddes med handel for øje" (del 2, punkt 120, 124, 125 og 137-140, i bilag V til denne gennemførelsesforordning).</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Derivater med negativ dagsværdi: Regnskabsmæssig værdi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Den regnskabsmæssige værdi af de derivater, der regnes for finansielle forpligtelser på referencedatoen for indberetning.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Ved anvendelse af almindeligt anerkendte regnskabsprincipper baseret på Rådets direktiv 86/635/EØF omfatter derivater, der skal indberettes i disse kolonner, de derivater, der måles til kostpris eller den laveste værdi af kostprisen eller markedsværdien, og som medregnes i handelsporteføljen eller klassificeres som sikringsinstrumenter.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rPr>
            </w:pPr>
            <w:r>
              <w:rPr>
                <w:rFonts w:ascii="Times New Roman" w:hAnsi="Times New Roman"/>
                <w:b/>
                <w:sz w:val="24"/>
                <w:u w:val="single"/>
              </w:rPr>
              <w:t>Derivater med negativ dagsværdi: Notionel værdi</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7706DAE1" w:rsidR="00FD54FC" w:rsidRPr="002A677E" w:rsidRDefault="00FD54FC" w:rsidP="00FD54FC">
            <w:pPr>
              <w:spacing w:before="0" w:after="0"/>
              <w:ind w:left="33"/>
              <w:rPr>
                <w:rFonts w:ascii="Times New Roman" w:hAnsi="Times New Roman"/>
                <w:bCs/>
                <w:sz w:val="24"/>
              </w:rPr>
            </w:pPr>
            <w:r>
              <w:rPr>
                <w:rFonts w:ascii="Times New Roman" w:hAnsi="Times New Roman"/>
                <w:sz w:val="24"/>
              </w:rPr>
              <w:t>Ved anvendelse af IFRS og nationale almindeligt anerkendte regnskabsprincipper baseret på Rådets direktiv 86/635/EØF er dette den nominelle værdi, som defineret i del 2, punkt 133-135, i bilag V til denne gennemførelsesforordning, af alle derivatkontrakter, der er indgået og endnu ikke afregnet på referencedatoen, og hvis modpart er en enhed inden for offentlig forvaltning og service, som defineret i punkt 191 til 196 i dette bilag, når derivatets dagsværdi er negativ for instituttet på referencedatoen.</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0240-0260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IKKEBALANCEFØRTE EKSPONERINGER</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Nominel værdi</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5F9A3F72" w:rsidR="00FD54FC" w:rsidRPr="002A677E" w:rsidRDefault="00FD54FC" w:rsidP="00FD54FC">
            <w:pPr>
              <w:spacing w:before="0" w:after="0"/>
              <w:ind w:left="33"/>
              <w:rPr>
                <w:rFonts w:ascii="Times New Roman" w:hAnsi="Times New Roman"/>
                <w:bCs/>
                <w:sz w:val="24"/>
              </w:rPr>
            </w:pPr>
            <w:r>
              <w:rPr>
                <w:rFonts w:ascii="Times New Roman" w:hAnsi="Times New Roman"/>
                <w:sz w:val="24"/>
              </w:rPr>
              <w:t>Når den direkte modpart for den ikkebalanceførte post er en enhed inden for offentlig forvaltning og service som defineret i punkt 155 til 160 i dette bilag, er dette den nominelle værdi af de forpligtelser og finansielle garantier, der ikke betragtes som derivater i overensstemmelse med IFRS eller nationale almindeligt anerkendte regnskabsprincipper baseret på Rådets direktiv 86/635/EØF (del 2, punkt 102-119, i bilag V til denne gennemførelsesforordning).</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I henhold til del 2, punkt 43 og 44, i bilag V til denne gennemførelsesforordning er enheden inden for offentlig forvaltning og service den direkte modpart: a) i afgivne finansielle garantier, når den er den direkte modpart i det garanterede gældsinstrument, og b) i afgivne lånetilsagn og andre tilsagn, når den er den modpart, hvis kreditrisiko antages af det indberettende institut.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Hensættelser</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1510FC53" w:rsidR="00FD54FC" w:rsidRPr="002A677E" w:rsidRDefault="002F78EA" w:rsidP="00FD54FC">
            <w:pPr>
              <w:spacing w:before="0" w:after="0"/>
              <w:ind w:left="33"/>
              <w:rPr>
                <w:rFonts w:ascii="Times New Roman" w:hAnsi="Times New Roman"/>
                <w:bCs/>
                <w:sz w:val="24"/>
              </w:rPr>
            </w:pPr>
            <w:r>
              <w:rPr>
                <w:rFonts w:ascii="Times New Roman" w:hAnsi="Times New Roman"/>
                <w:sz w:val="24"/>
              </w:rPr>
              <w:t>Artikel 4 "passiver", nr. 6, litra c), og "ikke balanceførte poster", artikel 27, nr. 11, artikel 28, nr. 8, og artikel 33 i Rådets direktiv 86/635/EØF; IFRS 9.4.2.1(c)(ii),(d)(ii), 9.5.5.20; IAS 37, IFRS 4, del 2.11 i bilag V til denne gennemførelsesforordning.</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Hensættelser for alle ikkebalanceførte eksponeringer, uanset hvordan de måles, bortset fra dem, der måles til dagsværdi gennem resultatet i overensstemmelse med IFRS 9.</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Ved anvendelse af IFRS indberettes værdiforringelsen af et afgivet lånetilsagn i kolonne 150, når instituttet ikke kan identificere de forventede kredittab vedrørende den udnyttede og uudnyttede værdi af gældsinstrumentet. Hvis det kombinerede forventede kredittab for det pågældende finansielle instrument overstiger den regnskabsmæssige bruttoværdi af instrumentets lånekomponent, skal restbeløbet for de forventede kredittab indberettes som en hensættelse i kolonne 0250.</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Akkumulerede negative ændringer i dagsværdi på grund af kreditrisiko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For ikkebalanceførte poster, der måles til dagsværdi gennem resultatet i overensstemmelse med IFRS 9, de akkumulerede negative ændringer i dagsværdi på grund af kreditrisiko (del 2, punkt 110, i bilag V til denne gennemførelsesforordning).</w:t>
            </w:r>
          </w:p>
          <w:p w14:paraId="7E9DE855" w14:textId="77777777" w:rsidR="00FD54FC" w:rsidRPr="002A677E"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Memorandumpost: Kreditderivater, der er solgt på grundlag af eksponeringer mod offentlig forvaltning og service</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4A80BB21" w:rsidR="00FD54FC" w:rsidRPr="002A677E" w:rsidRDefault="00FD54FC" w:rsidP="00FD54FC">
            <w:pPr>
              <w:spacing w:before="0" w:after="0"/>
              <w:ind w:left="33"/>
              <w:rPr>
                <w:rFonts w:ascii="Times New Roman" w:hAnsi="Times New Roman"/>
                <w:bCs/>
                <w:sz w:val="24"/>
              </w:rPr>
            </w:pPr>
            <w:r>
              <w:rPr>
                <w:rFonts w:ascii="Times New Roman" w:hAnsi="Times New Roman"/>
                <w:sz w:val="24"/>
              </w:rPr>
              <w:t>Kreditderivater, der ikke opfylder definitionen af finansielle garantier i bilag V, del 2, punkt 58, som det indberettende institut har indgået med andre modparter end offentlig forvaltning og service, og hvis referenceeksponering er en enhed inden for offentlig forvaltning og service, skal indberettes.</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Disse kolonner indberettes ikke for eksponeringer, der opdeles efter risiko, lovgivningsmæssig fremgangsmåde og eksponeringsklasse (række 0020-0160).</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Derivater med positiv dagsværdi — Regnskabsmæssig værdi</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Den aggregerede regnskabsmæssige værdi af de indberettede kreditderivater, som er solgt på grundlag af eksponeringer mod offentlig forvaltning og service, og som har en positiv dagsværdi for instituttet på referencedatoen for indberetning, uden at justeringer som følge af forsigtighedsbaseret værdiansættelse tages i betragtning.</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For derivater, der er omfattet af IFRS, er den værdi, der skal indberettes, den regnskabsmæssige værdi af de derivater, der er finansielle aktiver på indberetningsdatoen.</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235743A5" w:rsidR="00FD54FC" w:rsidRPr="002A677E" w:rsidRDefault="00FD54FC" w:rsidP="00FD54FC">
            <w:pPr>
              <w:spacing w:before="0" w:after="0"/>
              <w:ind w:left="33"/>
              <w:rPr>
                <w:rFonts w:ascii="Times New Roman" w:hAnsi="Times New Roman"/>
                <w:bCs/>
                <w:sz w:val="24"/>
              </w:rPr>
            </w:pPr>
            <w:r>
              <w:rPr>
                <w:rFonts w:ascii="Times New Roman" w:hAnsi="Times New Roman"/>
                <w:sz w:val="24"/>
              </w:rPr>
              <w:t>For derivater, der er omfattet af almindeligt anerkendte regnskabsprincipper baseret på Rådets direktiv 86/635/EØF, er den værdi, der skal indberettes i denne kolonne, dagsværdien af de derivater, der har en positiv dagsværdi på referencedatoen for indberetning, uanset hvordan de medregnes.</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Derivater med negativ dagsværdi — Regnskabsmæssig værdi</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Den aggregerede regnskabsmæssige værdi af de indberettede kreditderivater, som er solgt på grundlag af eksponeringer mod offentlig forvaltning og service, og som har en negativ dagsværdi for instituttet på referencedatoen for indberetning, uden at justeringer som følge af forsigtighedsbaseret værdiansættelse tages i betragtning.</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 xml:space="preserve">For derivater, der er omfattet af IFRS, er den værdi, der skal indberettes i denne kolonne, den regnskabsmæssige værdi af de derivater, der er finansielle forpligtelser på indberetningsdatoen.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65CAE310" w:rsidR="00FD54FC" w:rsidRPr="002A677E" w:rsidRDefault="00FD54FC" w:rsidP="00FD54FC">
            <w:pPr>
              <w:spacing w:before="0" w:after="0"/>
              <w:ind w:left="33"/>
              <w:rPr>
                <w:rFonts w:ascii="Times New Roman" w:hAnsi="Times New Roman"/>
                <w:b/>
                <w:bCs/>
                <w:sz w:val="24"/>
                <w:u w:val="single"/>
              </w:rPr>
            </w:pPr>
            <w:r>
              <w:rPr>
                <w:rFonts w:ascii="Times New Roman" w:hAnsi="Times New Roman"/>
                <w:sz w:val="24"/>
              </w:rPr>
              <w:t>For derivater, der er omfattet af almindeligt anerkendte regnskabsprincipper baseret på Rådets direktiv 86/635/EØF, er den værdi, der skal indberettes i denne kolonne, dagsværdien af de derivater, der har en negativ dagsværdi på referencedatoen for indberetning, uanset hvordan de medregnes.</w:t>
            </w:r>
            <w:r>
              <w:rPr>
                <w:rFonts w:ascii="Times New Roman" w:hAnsi="Times New Roman"/>
                <w:b/>
                <w:sz w:val="24"/>
                <w:u w:val="singl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lastRenderedPageBreak/>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Eksponeringsværdi</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Eksponeringsværdi for eksponeringer, der er omfattet af kreditrisikorammen.</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465FF12B" w:rsidR="00FD54FC" w:rsidRPr="002A677E" w:rsidRDefault="00FD54FC" w:rsidP="00FD54FC">
            <w:pPr>
              <w:spacing w:before="0" w:after="0"/>
              <w:ind w:left="33"/>
              <w:rPr>
                <w:rFonts w:ascii="Times New Roman" w:hAnsi="Times New Roman"/>
                <w:bCs/>
                <w:sz w:val="24"/>
              </w:rPr>
            </w:pPr>
            <w:r>
              <w:rPr>
                <w:rFonts w:ascii="Times New Roman" w:hAnsi="Times New Roman"/>
                <w:sz w:val="24"/>
              </w:rPr>
              <w:t>For eksponeringer opgjort efter standardmetoden (SA): se artikel 111 i forordning (EU) nr. 575/2013. For eksponeringer opgjort efter IRB-metoden: se artikel 166 og artikel 230, stk. 1, andet punktum, i forordning (EU) nr. 575/2013</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Hvad angår indberetning af derivater, som er genstand for både modpartsrisiko og kapitalkrav vedrørende markedsrisiko, henvises til instrukserne for opdelingen af række.</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rPr>
            </w:pPr>
            <w:r>
              <w:rPr>
                <w:rFonts w:ascii="Times New Roman" w:hAnsi="Times New Roman"/>
                <w:sz w:val="24"/>
              </w:rPr>
              <w:t xml:space="preserve">De eksponeringer, der indberettes i kolonne 0270 og 0280, skal ikke tages i betragtning i denne kolonne, da værdien i denne kolonne udelukkende er baseret på direkte eksponeringer.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Risikovægtet eksponering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Beløb for risikovægtede eksponeringer for eksponeringer, der er omfattet af kreditrisikorammen.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09666D67" w:rsidR="00FD54FC" w:rsidRPr="002A677E" w:rsidRDefault="00FD54FC" w:rsidP="00FD54FC">
            <w:pPr>
              <w:spacing w:before="0" w:after="0"/>
              <w:ind w:left="33"/>
              <w:rPr>
                <w:rFonts w:ascii="Times New Roman" w:hAnsi="Times New Roman"/>
                <w:bCs/>
                <w:sz w:val="24"/>
              </w:rPr>
            </w:pPr>
            <w:r>
              <w:rPr>
                <w:rFonts w:ascii="Times New Roman" w:hAnsi="Times New Roman"/>
                <w:sz w:val="24"/>
              </w:rPr>
              <w:t>For eksponeringer opgjort efter standardmetoden (SA): se artikel 113, stk. 1-5, i forordning (EU) nr. 575/2013. For eksponeringer opgjort efter IRB-metoden: se artikel 153, stk. 1 og 3, i forordning (EU) nr. 575/2013.</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1C3E2644" w:rsidR="00FD54FC" w:rsidRPr="002A677E" w:rsidRDefault="00FD54FC" w:rsidP="00FD54FC">
            <w:pPr>
              <w:spacing w:before="0" w:after="0"/>
              <w:ind w:left="33"/>
              <w:rPr>
                <w:rFonts w:ascii="Times New Roman" w:hAnsi="Times New Roman"/>
                <w:bCs/>
                <w:sz w:val="24"/>
              </w:rPr>
            </w:pPr>
            <w:r>
              <w:rPr>
                <w:rFonts w:ascii="Times New Roman" w:hAnsi="Times New Roman"/>
                <w:sz w:val="24"/>
              </w:rPr>
              <w:t>For indberetning af direkte eksponeringer inden for anvendelsesområdet for artikel 271 i forordning (EU) nr. 575/2013, som er omfattet af kapitalgrundlagskrav for både modpartsrisiko og markedsrisiko, henvises til instrukser for opdelingen af rækken.</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rPr>
            </w:pPr>
            <w:r>
              <w:rPr>
                <w:rFonts w:ascii="Times New Roman" w:hAnsi="Times New Roman"/>
                <w:sz w:val="24"/>
              </w:rPr>
              <w:t xml:space="preserve">De eksponeringer, der indberettes i kolonne 0270 og 0280, skal ikke tages i betragtning i denne kolonne, da værdien i denne kolonne udelukkende er baseret på direkte eksponeringer.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Rækker</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Instrukser</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OPDELING AF EKSPONERINGER EFTER LOVGIVNINGSMÆSSIG FREMGANGSMÅDE</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Samlede eksponeringer</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54C4FE3" w:rsidR="00FD54FC" w:rsidRPr="002A677E" w:rsidRDefault="00FD54FC" w:rsidP="00FD54FC">
            <w:pPr>
              <w:spacing w:before="0" w:after="0"/>
              <w:ind w:left="33"/>
              <w:rPr>
                <w:rFonts w:ascii="Times New Roman" w:hAnsi="Times New Roman"/>
                <w:bCs/>
                <w:sz w:val="24"/>
              </w:rPr>
            </w:pPr>
            <w:r>
              <w:rPr>
                <w:rFonts w:ascii="Times New Roman" w:hAnsi="Times New Roman"/>
                <w:sz w:val="24"/>
              </w:rPr>
              <w:t>Den samlede sum af eksponeringer mod offentlig forvaltning og service, som defineret i punkt 191 til 196 i dette bilag.</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rPr>
            </w:pPr>
            <w:r>
              <w:rPr>
                <w:rFonts w:ascii="Times New Roman" w:hAnsi="Times New Roman"/>
                <w:sz w:val="24"/>
              </w:rPr>
              <w:lastRenderedPageBreak/>
              <w:t>0020-0155</w:t>
            </w:r>
          </w:p>
        </w:tc>
        <w:tc>
          <w:tcPr>
            <w:tcW w:w="8701" w:type="dxa"/>
          </w:tcPr>
          <w:p w14:paraId="5791F67C"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Eksponeringer omfattet af kreditrisikorammen</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E9E228A"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Den samlede sum af eksponeringer mod offentlig forvaltning og service, der risikovægtes i overensstemmelse med tredje del, afsnit II, i forordning (EU) nr. 575/2013. Eksponeringer, der er omfattet af kreditrisikorammen, omfatter eksponeringer både uden for og i handelsbeholdningen, der er underlagt et kapitalkrav for modpartsrisiko.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339FC3A1" w:rsidR="00542EAE" w:rsidRPr="002A677E" w:rsidRDefault="00FD54FC" w:rsidP="009068C9">
            <w:pPr>
              <w:spacing w:before="0" w:after="0"/>
              <w:ind w:left="33"/>
              <w:rPr>
                <w:rFonts w:ascii="Times New Roman" w:hAnsi="Times New Roman"/>
                <w:bCs/>
                <w:sz w:val="24"/>
              </w:rPr>
            </w:pPr>
            <w:r>
              <w:rPr>
                <w:rFonts w:ascii="Times New Roman" w:hAnsi="Times New Roman"/>
                <w:sz w:val="24"/>
              </w:rPr>
              <w:t>Direkte eksponeringer inden for anvendelsesområdet for artikel 271 i forordning (EU) nr. 575/2013, som er omfattet af kapitalgrundlagskrav for både modpartsrisiko og markedsrisiko, indberettes både i kreditrisikorækkerne (0020-0155) og markedsrisikorækken (0160): De eksponeringer, der følger af modpartsrisiko, indberettes i kreditrisikorækkerne, mens de eksponeringer, der følger af markedsrisiko, indberettes i markedsrisikorækken.</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Standardmetoden</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689348A8" w:rsidR="00FD54FC" w:rsidRPr="002A677E" w:rsidRDefault="00FD54FC" w:rsidP="00FD54FC">
            <w:pPr>
              <w:spacing w:before="0" w:after="0"/>
              <w:ind w:left="33"/>
              <w:rPr>
                <w:rFonts w:ascii="Times New Roman" w:hAnsi="Times New Roman"/>
                <w:bCs/>
                <w:sz w:val="24"/>
              </w:rPr>
            </w:pPr>
            <w:r>
              <w:rPr>
                <w:rFonts w:ascii="Times New Roman" w:hAnsi="Times New Roman"/>
                <w:sz w:val="24"/>
              </w:rPr>
              <w:t>Eksponeringer mod offentlig forvaltning og service, der skal risikovægtes i overensstemmelse med tredje del, afsnit II, kapitel 2, i forordning (EU) nr. 575/2013, herunder eksponeringer uden for handelsbeholdningen, for hvilke risikovægtningen i overensstemmelse med nævnte kapitel håndterer modpartsrisiko.</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Centralregeringer</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75574B57" w:rsidR="00FD54FC" w:rsidRPr="002A677E" w:rsidRDefault="00FD54FC" w:rsidP="00FD54FC">
            <w:pPr>
              <w:spacing w:before="0" w:after="0"/>
              <w:ind w:left="33"/>
              <w:rPr>
                <w:rFonts w:ascii="Times New Roman" w:hAnsi="Times New Roman"/>
                <w:bCs/>
                <w:sz w:val="24"/>
              </w:rPr>
            </w:pPr>
            <w:r>
              <w:rPr>
                <w:rFonts w:ascii="Times New Roman" w:hAnsi="Times New Roman"/>
                <w:sz w:val="24"/>
              </w:rPr>
              <w:t>Eksponeringer mod enheder i offentlig forvaltning og service, der er centralregeringer. Disse eksponeringer henføres til eksponeringsklassen "Centralregeringer eller centralbanker" i overensstemmelse med artikel 112 og 114 i forordning (EU) nr. 575/2013, som fastsat i instrukserne til skema C 07.00,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Regionale eller lokale myndigheder</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30F2418A" w:rsidR="00FD54FC" w:rsidRPr="002A677E" w:rsidRDefault="00FD54FC" w:rsidP="00FD54FC">
            <w:pPr>
              <w:spacing w:before="0" w:after="0"/>
              <w:ind w:left="33"/>
              <w:rPr>
                <w:rFonts w:ascii="Times New Roman" w:hAnsi="Times New Roman"/>
                <w:bCs/>
                <w:sz w:val="24"/>
              </w:rPr>
            </w:pPr>
            <w:r>
              <w:rPr>
                <w:rFonts w:ascii="Times New Roman" w:hAnsi="Times New Roman"/>
                <w:sz w:val="24"/>
              </w:rPr>
              <w:t>Eksponeringer mod enheder i offentlig forvaltning og service, der er regionale eller lokale myndigheder. Disse eksponeringer henføres til eksponeringsklassen "Regionale eller lokale myndigheder" i overensstemmelse med artikel 112 og 115 i forordning (EU) nr. 575/2013, som fastsat i instrukserne til skema C 07.00,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Offentlige enheder</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58C92B90" w:rsidR="00FD54FC" w:rsidRPr="002A677E" w:rsidRDefault="00FD54FC" w:rsidP="00FD54FC">
            <w:pPr>
              <w:spacing w:before="0" w:after="0"/>
              <w:ind w:left="33"/>
              <w:rPr>
                <w:rFonts w:ascii="Times New Roman" w:hAnsi="Times New Roman"/>
                <w:bCs/>
                <w:sz w:val="24"/>
              </w:rPr>
            </w:pPr>
            <w:r>
              <w:rPr>
                <w:rFonts w:ascii="Times New Roman" w:hAnsi="Times New Roman"/>
                <w:sz w:val="24"/>
              </w:rPr>
              <w:t>Eksponeringer mod enheder i offentlig forvaltning og service, der er offentlige myndigheder. Disse eksponeringer henføres til eksponeringsklassen "Offentlige enheder" i overensstemmelse med artikel 112 og 116 i forordning (EU) nr. 575/2013, som fastsat i instrukserne til skema C 07.00,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Internationale organisationer</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38992AC0" w:rsidR="00FD54FC" w:rsidRPr="002A677E" w:rsidRDefault="00530BA1" w:rsidP="00FD54FC">
            <w:pPr>
              <w:spacing w:before="0" w:after="0"/>
              <w:ind w:left="33"/>
              <w:rPr>
                <w:rFonts w:ascii="Times New Roman" w:hAnsi="Times New Roman"/>
                <w:bCs/>
                <w:sz w:val="24"/>
              </w:rPr>
            </w:pPr>
            <w:r>
              <w:rPr>
                <w:rFonts w:ascii="Times New Roman" w:hAnsi="Times New Roman"/>
                <w:sz w:val="24"/>
              </w:rPr>
              <w:t>Eksponeringer mod enheder inden for offentlig forvaltning og service, som er internationale organisationer. Disse eksponeringer henføres til eksponeringsklasserne "Internationale organisationer" i overensstemmelse med artikel 112 og 118 i forordning (EU) nr. 575/2013, som fastsat i instrukserne til skema C 07.00,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rPr>
            </w:pPr>
            <w:r>
              <w:rPr>
                <w:rFonts w:ascii="Times New Roman" w:hAnsi="Times New Roman"/>
                <w:sz w:val="24"/>
              </w:rPr>
              <w:t>0075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rPr>
            </w:pPr>
            <w:r>
              <w:rPr>
                <w:rFonts w:ascii="Times New Roman" w:hAnsi="Times New Roman"/>
                <w:b/>
                <w:sz w:val="24"/>
                <w:u w:val="single"/>
              </w:rPr>
              <w:t>Andre eksponeringer mod enheder inden for offentlig forvaltning og service omfattet af standardmetoden</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6709CFC1" w:rsidR="00CE47AF" w:rsidRPr="002A677E" w:rsidRDefault="00530BA1" w:rsidP="00FD54FC">
            <w:pPr>
              <w:spacing w:before="0" w:after="0"/>
              <w:ind w:left="33"/>
              <w:rPr>
                <w:rFonts w:ascii="Times New Roman" w:hAnsi="Times New Roman"/>
                <w:bCs/>
                <w:sz w:val="24"/>
              </w:rPr>
            </w:pPr>
            <w:r>
              <w:rPr>
                <w:rFonts w:ascii="Times New Roman" w:hAnsi="Times New Roman"/>
                <w:sz w:val="24"/>
              </w:rPr>
              <w:t>Andre eksponeringer mod offentlig forvaltning og service end dem i række 0040-0070 ovenfor, som henføres til eksponeringsklasser efter standardmetoden i overensstemmelse med artikel 112 i forordning (EU) nr. 575/2013 med henblik på at beregne kapitalgrundlagskrav.</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IRB-metoden</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4555B574" w:rsidR="00FD54FC" w:rsidRPr="002A677E" w:rsidRDefault="00FD54FC" w:rsidP="00FD54FC">
            <w:pPr>
              <w:spacing w:before="0" w:after="0"/>
              <w:ind w:left="33"/>
              <w:rPr>
                <w:rFonts w:ascii="Times New Roman" w:hAnsi="Times New Roman"/>
                <w:bCs/>
                <w:sz w:val="24"/>
              </w:rPr>
            </w:pPr>
            <w:r>
              <w:rPr>
                <w:rFonts w:ascii="Times New Roman" w:hAnsi="Times New Roman"/>
                <w:sz w:val="24"/>
              </w:rPr>
              <w:t>Eksponeringer mod offentlig forvaltning og service, der skal risikovægtes i overensstemmelse med tredje del, afsnit II, kapitel 3, i forordning (EU) nr. 575/2013, herunder eksponeringer uden for handelsbeholdningen, for hvilke risikovægtningen i overensstemmelse med nævnte kapitel håndterer modpartsrisiko.</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Centralregeringer</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2C4E9D9F" w:rsidR="00FD54FC" w:rsidRPr="002A677E" w:rsidRDefault="00FD54FC" w:rsidP="00FD54FC">
            <w:pPr>
              <w:spacing w:before="0" w:after="0"/>
              <w:ind w:left="33"/>
              <w:rPr>
                <w:rFonts w:ascii="Times New Roman" w:hAnsi="Times New Roman"/>
                <w:bCs/>
                <w:sz w:val="24"/>
              </w:rPr>
            </w:pPr>
            <w:r>
              <w:rPr>
                <w:rFonts w:ascii="Times New Roman" w:hAnsi="Times New Roman"/>
                <w:sz w:val="24"/>
              </w:rPr>
              <w:t>Eksponeringer mod enheder inden for offentlig forvaltning og service, som er centralregeringer, og som henføres til eksponeringsklassen "Centralregeringer og centralbanker" i overensstemmelse med artikel 147, stk. 3, litra a), i forordning (EU) nr. 575/2013,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Regionale eller lokale myndigheder [Centralregeringer og centralbanker]</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5F01AD9C" w:rsidR="00FD54FC" w:rsidRPr="002A677E" w:rsidRDefault="00FD54FC" w:rsidP="00FD54FC">
            <w:pPr>
              <w:spacing w:before="0" w:after="0"/>
              <w:ind w:left="33"/>
              <w:rPr>
                <w:rFonts w:ascii="Times New Roman" w:hAnsi="Times New Roman"/>
                <w:bCs/>
                <w:sz w:val="24"/>
              </w:rPr>
            </w:pPr>
            <w:r>
              <w:rPr>
                <w:rFonts w:ascii="Times New Roman" w:hAnsi="Times New Roman"/>
                <w:sz w:val="24"/>
              </w:rPr>
              <w:t>Eksponeringer mod enheder inden for offentlig forvaltning og service, som er regionale eller lokale myndigheder, og som henføres til eksponeringsklassen "Centralregeringer og centralbanker" i overensstemmelse med artikel 147, stk. 3, litra a), i forordning (EU) nr. 575/2013,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Regionale eller lokale myndigheder [Institutter]</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5E6E1322"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Eksponeringer mod enheder inden for offentlig forvaltning og service, som er regionale eller lokale myndigheder, og som henføres til eksponeringsklassen "Institutter" i overensstemmelse med artikel 147, stk. 4, litra a), i forordning (EU) nr. 575/2013,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Offentlige enheder [Centralregeringer og centralbanker]</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3FE0FAE9" w:rsidR="00FD54FC" w:rsidRPr="002A677E" w:rsidRDefault="00FD54FC" w:rsidP="00FD54FC">
            <w:pPr>
              <w:spacing w:before="0" w:after="0"/>
              <w:ind w:left="33"/>
              <w:rPr>
                <w:rFonts w:ascii="Times New Roman" w:hAnsi="Times New Roman"/>
                <w:bCs/>
                <w:sz w:val="24"/>
              </w:rPr>
            </w:pPr>
            <w:r>
              <w:rPr>
                <w:rFonts w:ascii="Times New Roman" w:hAnsi="Times New Roman"/>
                <w:sz w:val="24"/>
              </w:rPr>
              <w:t>Eksponeringer mod enheder inden for offentlig forvaltning og service, som er offentlige enheder i overensstemmelse med artikel 4, nr. 8), i forordning (EU) nr. 575/2013, og som henføres til eksponeringsklassen "Centralregeringer eller centralbanker" i overensstemmelse med artikel 147, stk. 3, litra a), i nævnte forordning,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Offentlige enheder [Institutter]</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17636491" w:rsidR="00FD54FC" w:rsidRPr="002A677E" w:rsidRDefault="00FD54FC" w:rsidP="00FD54FC">
            <w:pPr>
              <w:spacing w:before="0" w:after="0"/>
              <w:ind w:left="33"/>
              <w:rPr>
                <w:rFonts w:ascii="Times New Roman" w:hAnsi="Times New Roman"/>
                <w:bCs/>
                <w:sz w:val="24"/>
              </w:rPr>
            </w:pPr>
            <w:r>
              <w:rPr>
                <w:rFonts w:ascii="Times New Roman" w:hAnsi="Times New Roman"/>
                <w:sz w:val="24"/>
              </w:rPr>
              <w:t>Eksponeringer mod enheder inden for offentlig forvaltning og service, som er offentlige enheder i overensstemmelse med artikel 4, nr. 8), i forordning (EU) nr. 575/2013, og som henføres til eksponeringsklassen "Institutter" i overensstemmelse med artikel 147, stk. 4, litra b), i nævnte forordning,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rPr>
            </w:pPr>
            <w:r>
              <w:rPr>
                <w:rFonts w:ascii="Times New Roman" w:hAnsi="Times New Roman"/>
                <w:sz w:val="24"/>
              </w:rPr>
              <w:t>0140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Internationale organisationer [Centralregeringer og centralbanker]</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638BF237" w:rsidR="00FD54FC" w:rsidRPr="002A677E" w:rsidRDefault="00FD54FC" w:rsidP="00FD54FC">
            <w:pPr>
              <w:spacing w:before="0" w:after="0"/>
              <w:ind w:left="33"/>
              <w:rPr>
                <w:rFonts w:ascii="Times New Roman" w:hAnsi="Times New Roman"/>
                <w:bCs/>
                <w:sz w:val="24"/>
              </w:rPr>
            </w:pPr>
            <w:r>
              <w:rPr>
                <w:rFonts w:ascii="Times New Roman" w:hAnsi="Times New Roman"/>
                <w:sz w:val="24"/>
              </w:rPr>
              <w:t>Eksponeringer mod enheder inden for offentlig forvaltning og service, som er internationale organisationer, og som henføres til eksponeringsklassen "Centralregeringer og centralbanker" i overensstemmelse med artikel 147, stk. 3, litra c), i forordning (EU) nr. 575/2013,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rPr>
            </w:pPr>
            <w:r>
              <w:rPr>
                <w:rFonts w:ascii="Times New Roman" w:hAnsi="Times New Roman"/>
                <w:sz w:val="24"/>
              </w:rPr>
              <w:t>0155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rPr>
            </w:pPr>
            <w:r>
              <w:rPr>
                <w:rFonts w:ascii="Times New Roman" w:hAnsi="Times New Roman"/>
                <w:b/>
                <w:sz w:val="24"/>
                <w:u w:val="single"/>
              </w:rPr>
              <w:t>Andre eksponeringer mod enheder inden for offentlig forvaltning og service omfattet af IRB-metoden</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568ABEE2" w:rsidR="00530BA1" w:rsidRPr="002A677E" w:rsidRDefault="00530BA1" w:rsidP="00530BA1">
            <w:pPr>
              <w:spacing w:before="0" w:after="0"/>
              <w:ind w:left="33"/>
              <w:rPr>
                <w:rFonts w:ascii="Times New Roman" w:hAnsi="Times New Roman"/>
                <w:bCs/>
                <w:sz w:val="24"/>
              </w:rPr>
            </w:pPr>
            <w:r>
              <w:rPr>
                <w:rFonts w:ascii="Times New Roman" w:hAnsi="Times New Roman"/>
                <w:sz w:val="24"/>
              </w:rPr>
              <w:t>Andre eksponeringer mod offentlig forvaltning og service end dem i række 0090-0140 ovenfor, som henføres til eksponeringsklasser efter IRB-metoden i overensstemmelse med artikel 147 i forordning (EU) nr. 575/2013 med henblik på at beregne kapitalgrundlagskrav.</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Eksponeringer underlagt markedsrisiko</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0EF2C7EE" w:rsidR="00262B22" w:rsidRPr="002A677E" w:rsidRDefault="00DA4AAE" w:rsidP="00FD54FC">
            <w:pPr>
              <w:spacing w:before="0" w:after="0"/>
              <w:ind w:left="33"/>
              <w:rPr>
                <w:rFonts w:ascii="Times New Roman" w:hAnsi="Times New Roman"/>
                <w:bCs/>
                <w:sz w:val="24"/>
              </w:rPr>
            </w:pPr>
            <w:r>
              <w:rPr>
                <w:rFonts w:ascii="Times New Roman" w:hAnsi="Times New Roman"/>
                <w:sz w:val="24"/>
              </w:rPr>
              <w:lastRenderedPageBreak/>
              <w:t>Denne række omfatter positioner, for hvilke et af følgende kapitalgrundlagskrav i tredje del, afsnit IV, i forordning (EU) nr. 575/2013 beregnes:</w:t>
            </w:r>
          </w:p>
          <w:p w14:paraId="3CD907EF" w14:textId="12ECBA53" w:rsidR="00AB5C94" w:rsidRPr="002A677E" w:rsidRDefault="00262B22" w:rsidP="000911FE">
            <w:pPr>
              <w:pStyle w:val="ListParagraph"/>
              <w:numPr>
                <w:ilvl w:val="0"/>
                <w:numId w:val="31"/>
              </w:numPr>
              <w:rPr>
                <w:rFonts w:ascii="Times New Roman" w:hAnsi="Times New Roman"/>
                <w:bCs/>
                <w:sz w:val="24"/>
              </w:rPr>
            </w:pPr>
            <w:r>
              <w:rPr>
                <w:rFonts w:ascii="Times New Roman" w:hAnsi="Times New Roman"/>
                <w:sz w:val="24"/>
              </w:rPr>
              <w:t>Kapitalgrundlagskravene i relation til positionsrisiko i overensstemmelse med artikel 326 i forordning (EU) nr. 575/2013.</w:t>
            </w:r>
          </w:p>
          <w:p w14:paraId="6D123908" w14:textId="153E57F3" w:rsidR="00FD54FC" w:rsidRPr="002A677E" w:rsidRDefault="00AB5C94" w:rsidP="000911FE">
            <w:pPr>
              <w:pStyle w:val="ListParagraph"/>
              <w:numPr>
                <w:ilvl w:val="0"/>
                <w:numId w:val="31"/>
              </w:numPr>
            </w:pPr>
            <w:r>
              <w:rPr>
                <w:rFonts w:ascii="Times New Roman" w:hAnsi="Times New Roman"/>
                <w:sz w:val="24"/>
              </w:rPr>
              <w:t xml:space="preserve">Kapitalgrundlagskravet for specifik og generel risiko i overensstemmelse med tredje del, afsnit IV, kapitel 5, i forordning (EU) nr. 575/2013 </w:t>
            </w:r>
          </w:p>
          <w:p w14:paraId="6F22E69C" w14:textId="13C0B755" w:rsidR="00FD54FC" w:rsidRPr="002A677E" w:rsidRDefault="00FD54FC" w:rsidP="00FD54FC">
            <w:pPr>
              <w:spacing w:before="0" w:after="0"/>
              <w:ind w:left="33"/>
              <w:rPr>
                <w:rFonts w:ascii="Times New Roman" w:hAnsi="Times New Roman"/>
                <w:bCs/>
                <w:sz w:val="24"/>
              </w:rPr>
            </w:pPr>
            <w:r>
              <w:rPr>
                <w:rFonts w:ascii="Times New Roman" w:hAnsi="Times New Roman"/>
                <w:sz w:val="24"/>
              </w:rPr>
              <w:t>Direkte eksponeringer inden for anvendelsesområdet for artikel 271 i forordning (EU) nr. 575/2013, som er omfattet af kapitalgrundlagskrav for både modpartsrisiko og markedsrisiko, indberettes både i kreditrisikorækkerne (0020-0155) og markedsrisikorækken (0160): De eksponeringer, der følger af modpartsrisiko, indberettes i kreditrisikorækkerne, mens de eksponeringer, der følger af markedsrisiko, indberettes i markedsrisikorækken.</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lastRenderedPageBreak/>
              <w:t>0170-0230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rPr>
            </w:pPr>
            <w:r>
              <w:rPr>
                <w:rFonts w:ascii="Times New Roman" w:hAnsi="Times New Roman"/>
                <w:b/>
                <w:sz w:val="24"/>
              </w:rPr>
              <w:t>OPDELING AF EKSPONERINGER EFTER RESTLØBETID</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Restløbetiden opgøres i antal dage mellem den kontraktlige forfaldsdato og referencedatoen for indberetning for alle positioner.</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Eksponeringer mod offentlig forvaltning og service opdeles efter restløbetid og henføres til de fastsatte klasser som følger:</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[ 0 - 3M [</w:t>
            </w:r>
            <w:r>
              <w:rPr>
                <w:rFonts w:ascii="Times New Roman" w:hAnsi="Times New Roman"/>
                <w:sz w:val="24"/>
              </w:rPr>
              <w:t>: Under 90 dage</w:t>
            </w:r>
          </w:p>
          <w:p w14:paraId="2395D862"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[ 3M - 1Å [</w:t>
            </w:r>
            <w:r>
              <w:rPr>
                <w:rFonts w:ascii="Times New Roman" w:hAnsi="Times New Roman"/>
                <w:sz w:val="24"/>
              </w:rPr>
              <w:t>: Lig med eller over 90 dage og under 365 dage</w:t>
            </w:r>
          </w:p>
          <w:p w14:paraId="469AE544"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[ 1Å – 2Å [</w:t>
            </w:r>
            <w:r>
              <w:rPr>
                <w:rFonts w:ascii="Times New Roman" w:hAnsi="Times New Roman"/>
                <w:sz w:val="24"/>
              </w:rPr>
              <w:t>: Lig med eller over 365 dage og under 730 dage</w:t>
            </w:r>
          </w:p>
          <w:p w14:paraId="3F5A4E5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[ 2Å – 3Å [</w:t>
            </w:r>
            <w:r>
              <w:rPr>
                <w:rFonts w:ascii="Times New Roman" w:hAnsi="Times New Roman"/>
                <w:sz w:val="24"/>
              </w:rPr>
              <w:t>: Lig med eller over 730 dage og under 1 095 dage</w:t>
            </w:r>
          </w:p>
          <w:p w14:paraId="067C94B6"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[ 3Å – 5Å [</w:t>
            </w:r>
            <w:r>
              <w:rPr>
                <w:rFonts w:ascii="Times New Roman" w:hAnsi="Times New Roman"/>
                <w:sz w:val="24"/>
              </w:rPr>
              <w:t>: Lig med eller over 1 095 dage og under 1 825 dage</w:t>
            </w:r>
          </w:p>
          <w:p w14:paraId="7461BE90"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[ 5Å – 10Å [</w:t>
            </w:r>
            <w:r>
              <w:rPr>
                <w:rFonts w:ascii="Times New Roman" w:hAnsi="Times New Roman"/>
                <w:sz w:val="24"/>
              </w:rPr>
              <w:t>: Lig med eller over 1 825 dage og under 3 650 dage</w:t>
            </w:r>
          </w:p>
          <w:p w14:paraId="64D8A035"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[ 10Å – over</w:t>
            </w:r>
            <w:r>
              <w:rPr>
                <w:rFonts w:ascii="Times New Roman" w:hAnsi="Times New Roman"/>
                <w:sz w:val="24"/>
              </w:rPr>
              <w:t>: Lig med eller over 3 650 dage.</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rPr>
            </w:pPr>
            <w:r>
              <w:rPr>
                <w:rFonts w:ascii="Times New Roman" w:hAnsi="Times New Roman"/>
                <w:sz w:val="24"/>
              </w:rPr>
              <w:t>Hvis den kontraktlige forfaldsdato ligger før referencedatoen for indberetning (dvs. forskellen mellem referencedatoen for indberetning og forfaldsdatoen er en negativ værdi), henføres eksponeringen til undergruppen [0-3M].</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4E686439" w:rsidR="00FD54FC" w:rsidRPr="002A677E" w:rsidRDefault="00E1421C" w:rsidP="00FD54FC">
            <w:pPr>
              <w:spacing w:before="0" w:after="0"/>
              <w:ind w:left="33"/>
              <w:rPr>
                <w:rFonts w:ascii="Times New Roman" w:hAnsi="Times New Roman"/>
                <w:bCs/>
                <w:sz w:val="24"/>
              </w:rPr>
            </w:pPr>
            <w:r>
              <w:rPr>
                <w:rFonts w:ascii="Times New Roman" w:hAnsi="Times New Roman"/>
                <w:sz w:val="24"/>
              </w:rPr>
              <w:t>Eksponeringer uden restløbetid henføres til undergruppen for restløbetid på grundlag af deres opsigelsesfrist eller andre kontraktlige angivelser vedrørende løbetid. Hvis der ikke er nogen forud fastsat opsigelsesfrist eller anden kontraktlig angivelse af løbetid, henføres eksponeringerne til den resterende løbetidsklasse [10Å — over].</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22019774"/>
      <w:bookmarkStart w:id="781" w:name="_Toc119059458"/>
      <w:r>
        <w:rPr>
          <w:rFonts w:ascii="Times New Roman" w:hAnsi="Times New Roman"/>
          <w:sz w:val="24"/>
          <w:u w:val="none"/>
        </w:rPr>
        <w:t>8.</w:t>
      </w:r>
      <w:r>
        <w:tab/>
      </w:r>
      <w:r>
        <w:rPr>
          <w:rFonts w:ascii="Times New Roman" w:hAnsi="Times New Roman"/>
          <w:sz w:val="24"/>
          <w:u w:val="none"/>
        </w:rPr>
        <w:t>Dækning af tab på misligholdte eksponeringer (NPE LC)</w:t>
      </w:r>
      <w:bookmarkEnd w:id="779"/>
      <w:bookmarkEnd w:id="781"/>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119059459"/>
      <w:r>
        <w:rPr>
          <w:rFonts w:ascii="Times New Roman" w:hAnsi="Times New Roman"/>
          <w:sz w:val="24"/>
          <w:u w:val="none"/>
        </w:rPr>
        <w:t>8.1.</w:t>
      </w:r>
      <w:r>
        <w:tab/>
      </w:r>
      <w:r>
        <w:rPr>
          <w:rFonts w:ascii="Times New Roman" w:hAnsi="Times New Roman"/>
          <w:sz w:val="24"/>
          <w:u w:val="none"/>
        </w:rPr>
        <w:t>Generelle bemærkninger</w:t>
      </w:r>
      <w:bookmarkEnd w:id="782"/>
      <w:bookmarkEnd w:id="783"/>
      <w:r>
        <w:rPr>
          <w:rFonts w:ascii="Times New Roman" w:hAnsi="Times New Roman"/>
          <w:sz w:val="24"/>
          <w:u w:val="none"/>
        </w:rPr>
        <w:t xml:space="preserve"> </w:t>
      </w:r>
    </w:p>
    <w:p w14:paraId="2FE9C10F" w14:textId="6345F83E" w:rsidR="00DD00B4" w:rsidRPr="002A677E" w:rsidRDefault="00840A22" w:rsidP="00487A02">
      <w:pPr>
        <w:pStyle w:val="InstructionsText2"/>
        <w:numPr>
          <w:ilvl w:val="0"/>
          <w:numId w:val="0"/>
        </w:numPr>
        <w:ind w:left="1353" w:hanging="360"/>
        <w:rPr>
          <w:noProof/>
        </w:rPr>
      </w:pPr>
      <w:fldSimple w:instr=" seq paragraphs ">
        <w:r>
          <w:t>200</w:t>
        </w:r>
      </w:fldSimple>
      <w:r>
        <w:t>. Skemaerne vedrørende dækning af tab på misligholdte eksponeringer indeholder oplysninger om misligholdte eksponeringer med henblik på at beregne minimumsdækningskravet for misligholdte eksponeringer som specificeret i artikel 47a, 47b og 47c i forordning (EU) nr. 575/2013.</w:t>
      </w:r>
    </w:p>
    <w:p w14:paraId="35A02FEC" w14:textId="77777777" w:rsidR="00DD00B4" w:rsidRPr="002A677E" w:rsidRDefault="00CE7221" w:rsidP="00487A02">
      <w:pPr>
        <w:pStyle w:val="InstructionsText2"/>
        <w:numPr>
          <w:ilvl w:val="0"/>
          <w:numId w:val="0"/>
        </w:numPr>
        <w:ind w:left="1353" w:hanging="360"/>
      </w:pPr>
      <w:fldSimple w:instr=" seq paragraphs ">
        <w:r>
          <w:t>201</w:t>
        </w:r>
      </w:fldSimple>
      <w:r>
        <w:t>. Blokken af skemaer består af et sæt af tre skemaer:</w:t>
      </w:r>
    </w:p>
    <w:p w14:paraId="5D5B318C" w14:textId="0C931439" w:rsidR="00DD00B4"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Beregningen af fradrag for misligholdte eksponeringer (C 35.01): dette er et oversigtsskema med angivelse af det relevante beløb for utilstrækkelig dækning beregnet som forskellen mellem de samlede minimumsdækningskrav for misligholdte eksponeringer og de samlede hensættelser og justeringer eller fradrag, der allerede er foretaget. Skemaet dækker både misligholdte eksponeringer, hvor der ikke er bevilget kreditlempelse, og misligholdte eksponeringer med kreditlempelser.</w:t>
      </w:r>
    </w:p>
    <w:p w14:paraId="017B9046" w14:textId="5DB0AB84" w:rsidR="00E5715E" w:rsidRPr="002A677E" w:rsidRDefault="00E5715E" w:rsidP="006418A0">
      <w:pPr>
        <w:pStyle w:val="ListParagraph"/>
        <w:numPr>
          <w:ilvl w:val="0"/>
          <w:numId w:val="37"/>
        </w:numPr>
        <w:ind w:left="1077" w:hanging="357"/>
        <w:rPr>
          <w:rFonts w:ascii="Times New Roman" w:hAnsi="Times New Roman"/>
          <w:sz w:val="24"/>
        </w:rPr>
      </w:pPr>
      <w:r>
        <w:rPr>
          <w:rFonts w:ascii="Times New Roman" w:hAnsi="Times New Roman"/>
          <w:sz w:val="24"/>
        </w:rPr>
        <w:t>Minimumsdækningskrav og eksponeringsværdier vedrørende misligholdte eksponeringer uden kreditlempelser, som er omfattet af artikel 47c, stk. 6, i forordning (EU) nr. 575/2013 (C 35.02) I skemaet beregnes de samlede minimumsdækningskrav for misligholdte eksponeringer, der ikke er misligholdte eksponeringer med kreditlempelser, som er omfattet af artikel 47c, stk. 6, i forordning (EU) nr. 575/2013, med angivelse af de faktorer, der skal anvendes på eksponeringsværdierne med henblik på denne beregning, alt efter om eksponeringen er sikret eller usikret, og i betragtning af den periode, der er forløbet siden eksponeringens misligholdelse.</w:t>
      </w:r>
    </w:p>
    <w:p w14:paraId="2B5F79D0" w14:textId="7A185E2E"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Minimumsdækningskrav og eksponeringsværdier vedrørende misligholdte eksponeringer med kreditlempelse, som er omfattet af artikel 47c, stk. 6, i forordning (EU) nr. 575/2013 (C 35.03): I skemaet beregnes de samlede minimumsdækningskrav for misligholdte eksponeringer med kreditlempelser, som er omfattet af artikel 47c, stk. 6, i forordning (EU) nr. 575/2013, med angivelse af de faktorer, der skal anvendes på eksponeringsværdierne med henblik på denne beregning, alt efter om eksponeringen er sikret eller usikret, og i betragtning af den periode, der er forløbet siden eksponeringens misligholdelse. </w:t>
      </w:r>
    </w:p>
    <w:p w14:paraId="08D0E4C0" w14:textId="156C73C9" w:rsidR="00DD00B4" w:rsidRPr="002A677E" w:rsidRDefault="00CE7221" w:rsidP="00487A02">
      <w:pPr>
        <w:pStyle w:val="InstructionsText2"/>
        <w:numPr>
          <w:ilvl w:val="0"/>
          <w:numId w:val="0"/>
        </w:numPr>
        <w:ind w:left="1353" w:hanging="360"/>
      </w:pPr>
      <w:fldSimple w:instr=" seq paragraphs ">
        <w:r>
          <w:t>202</w:t>
        </w:r>
      </w:fldSimple>
      <w:r>
        <w:t>. Minimumsdækningskravene for misligholdte eksponeringer finder anvendelse på i) eksponeringer, der er indgået fra og med den 26. april 2019, som bliver misligholdt, og ii) eksponeringer, der har oprindelse før den 26. april 2019, når de ændres efter denne dato på en måde, der øger deres eksponeringsværdi over for låntager (artikel 469a i forordning (EU) nr. 575/2013), og som bliver misligholdt.</w:t>
      </w:r>
    </w:p>
    <w:p w14:paraId="50E45877" w14:textId="0F1CA4F0" w:rsidR="00DD00B4" w:rsidRPr="002A677E" w:rsidRDefault="00CE7221" w:rsidP="00487A02">
      <w:pPr>
        <w:pStyle w:val="InstructionsText2"/>
        <w:numPr>
          <w:ilvl w:val="0"/>
          <w:numId w:val="0"/>
        </w:numPr>
        <w:ind w:left="1353" w:hanging="360"/>
      </w:pPr>
      <w:fldSimple w:instr=" seq paragraphs ">
        <w:r>
          <w:t>203</w:t>
        </w:r>
      </w:fldSimple>
      <w:r>
        <w:t>. Institutterne beregner fradragene for misligholdte eksponeringer i overensstemmelse med artikel 47c, stk. 1, litra a) og b), i forordning (EU) nr. 575/2013, herunder beregningen af minimumsdækningskrav og de samlede hensættelser og justeringer eller fradrag på individuelt eksponeringsniveau ("transaktionsbaseret") og ikke på debitor- eller porteføljeniveauer.</w:t>
      </w:r>
    </w:p>
    <w:p w14:paraId="6322A857" w14:textId="4FA3D5B8" w:rsidR="00DD00B4" w:rsidRPr="002A677E" w:rsidRDefault="00CE7221" w:rsidP="00487A02">
      <w:pPr>
        <w:pStyle w:val="InstructionsText2"/>
        <w:numPr>
          <w:ilvl w:val="0"/>
          <w:numId w:val="0"/>
        </w:numPr>
        <w:ind w:left="1353" w:hanging="360"/>
      </w:pPr>
      <w:fldSimple w:instr=" seq paragraphs ">
        <w:r>
          <w:t>204</w:t>
        </w:r>
      </w:fldSimple>
      <w:r>
        <w:t>. Med henblik på at beregne fradragene for misligholdte eksponeringer skal institutterne sondre mellem den usikrede og sikrede del af en misligholdt eksponering i overensstemmelse med artikel 47c, stk. 1, i forordning (EU) nr. 575/2013. Med henblik herpå skal institutterne indberette eksponeringsværdier og minimumsdækningskrav separat for den usikrede del af misligholdte eksponeringer og for den sikrede del af misligholdte eksponeringer.</w:t>
      </w:r>
    </w:p>
    <w:p w14:paraId="43A10D03" w14:textId="7447C567" w:rsidR="00DD00B4" w:rsidRPr="002A677E" w:rsidRDefault="00CE7221" w:rsidP="00487A02">
      <w:pPr>
        <w:pStyle w:val="InstructionsText2"/>
        <w:numPr>
          <w:ilvl w:val="0"/>
          <w:numId w:val="0"/>
        </w:numPr>
        <w:ind w:left="1353" w:hanging="360"/>
      </w:pPr>
      <w:fldSimple w:instr=" seq paragraphs ">
        <w:r>
          <w:t>205</w:t>
        </w:r>
      </w:fldSimple>
      <w:r>
        <w:t xml:space="preserve">. Med henblik på at henføre relevante gældende faktorer og beregne minimumsdækningskrav klassificerer institutterne den sikrede del af misligholdte eksponeringer alt efter typen af kreditrisikoafdækning i overensstemmelse med artikel </w:t>
      </w:r>
      <w:r>
        <w:lastRenderedPageBreak/>
        <w:t xml:space="preserve">47c, stk. 3, i forordning (EU) nr. 575/2013 som følger: i) "sikret ved fast ejendom eller et boliglån, som garanteres af en anerkendt udbyder af kreditrisikoafdækning, jf. artikel 201", ii) "sikret ved anden finansieret eller ufinansieret kreditrisikoafdækning" eller iii) "garanteret eller forsikret af et offentligt eksportkreditagentur". Når en misligholdt eksponering er sikret ved mere end én type kreditrisikoafdækning, tildeles dens eksponeringsværdi i overensstemmelse med kreditafdækningens kvalitet begyndende med typen med den bedste kvalitet.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119059460"/>
      <w:r>
        <w:rPr>
          <w:rFonts w:ascii="Times New Roman" w:hAnsi="Times New Roman"/>
          <w:sz w:val="24"/>
          <w:u w:val="none"/>
        </w:rPr>
        <w:t>8.2. C 35.01 —</w:t>
      </w:r>
      <w:bookmarkEnd w:id="780"/>
      <w:r>
        <w:rPr>
          <w:rFonts w:ascii="Times New Roman" w:hAnsi="Times New Roman"/>
          <w:sz w:val="24"/>
          <w:u w:val="none"/>
        </w:rPr>
        <w:t xml:space="preserve"> BEREGNING AF FRADRAG FOR MISLIGHOLDTE EKSPONERINGER (NPE LC1)</w:t>
      </w:r>
      <w:bookmarkEnd w:id="784"/>
      <w:bookmarkEnd w:id="785"/>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86" w:name="_Toc119059461"/>
      <w:r>
        <w:rPr>
          <w:rFonts w:ascii="Times New Roman" w:hAnsi="Times New Roman"/>
          <w:sz w:val="24"/>
        </w:rPr>
        <w:t>Instrukser vedrørende specifikke positioner</w:t>
      </w:r>
      <w:bookmarkEnd w:id="786"/>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rPr>
            </w:pPr>
            <w:bookmarkStart w:id="787" w:name="_Toc19715889"/>
            <w:r>
              <w:rPr>
                <w:rFonts w:ascii="Times New Roman" w:hAnsi="Times New Roman"/>
                <w:sz w:val="24"/>
              </w:rPr>
              <w:t>Kolonner</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rPr>
            </w:pPr>
            <w:r>
              <w:rPr>
                <w:rFonts w:ascii="Times New Roman" w:hAnsi="Times New Roman"/>
                <w:sz w:val="24"/>
              </w:rPr>
              <w:t>Instrukser</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Den tid, der er gået, siden eksponeringerne blev klassificeret som misligholdte eksponeringer</w:t>
            </w:r>
          </w:p>
          <w:p w14:paraId="1588D054" w14:textId="77777777" w:rsidR="00DD00B4" w:rsidRPr="002A677E" w:rsidRDefault="00DD00B4" w:rsidP="00DD00B4">
            <w:pPr>
              <w:rPr>
                <w:rFonts w:ascii="Times New Roman" w:hAnsi="Times New Roman"/>
                <w:sz w:val="24"/>
              </w:rPr>
            </w:pPr>
            <w:r>
              <w:rPr>
                <w:rFonts w:ascii="Times New Roman" w:hAnsi="Times New Roman"/>
                <w:sz w:val="24"/>
              </w:rPr>
              <w:t xml:space="preserve">Den "tid, der er gået, siden eksponeringerne blev klassificeret som misligholdte eksponeringer", betyder det tidsrum, målt i år, der er gået fra referencedatoen, siden eksponeringen blev klassificeret som misligholdt. For købte misligholdte eksponeringer regnes tiden, målt i år, fra den dato, hvor eksponeringerne oprindeligt blev klassificeret som misligholdte eksponeringer, og ikke fra datoen for deres anskaffelse. </w:t>
            </w:r>
          </w:p>
          <w:p w14:paraId="3CACD559" w14:textId="77777777" w:rsidR="00DD00B4" w:rsidRPr="002A677E" w:rsidRDefault="00DD00B4" w:rsidP="00DD00B4">
            <w:pPr>
              <w:rPr>
                <w:rFonts w:ascii="Times New Roman" w:hAnsi="Times New Roman"/>
                <w:sz w:val="24"/>
              </w:rPr>
            </w:pPr>
            <w:r>
              <w:rPr>
                <w:rFonts w:ascii="Times New Roman" w:hAnsi="Times New Roman"/>
                <w:sz w:val="24"/>
              </w:rPr>
              <w:t>Institutterne skal indberette data om eksponeringer, for hvilke referencedatoen falder under det tilsvarende tidsinterval, med angivelse af den periode i år, der følger efter, at eksponeringerne blev klassificeret som misligholdte eksponeringer, uanset om der er anvendt kreditlempelser.</w:t>
            </w:r>
          </w:p>
          <w:p w14:paraId="4D817EF7" w14:textId="77777777" w:rsidR="00DD00B4" w:rsidRPr="002A677E" w:rsidRDefault="00DD00B4" w:rsidP="00DD00B4">
            <w:pPr>
              <w:rPr>
                <w:rFonts w:ascii="Times New Roman" w:hAnsi="Times New Roman"/>
                <w:sz w:val="24"/>
              </w:rPr>
            </w:pPr>
            <w:r>
              <w:rPr>
                <w:rFonts w:ascii="Times New Roman" w:hAnsi="Times New Roman"/>
                <w:sz w:val="24"/>
              </w:rPr>
              <w:t>I intervallet "&gt; X år, &lt; = Y år" indberetter institutterne data om eksponeringer, for hvilke referencedatoen svarer til perioden mellem den første og den sidste dag i det år (Y), der følger efter klassificeringen af disse eksponeringer som misligholdte eksponeringer.</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I alt</w:t>
            </w:r>
          </w:p>
          <w:p w14:paraId="195DD8B3" w14:textId="77777777" w:rsidR="00DD00B4" w:rsidRPr="002A677E" w:rsidRDefault="00DD00B4" w:rsidP="00DD00B4">
            <w:pPr>
              <w:rPr>
                <w:rFonts w:ascii="Times New Roman" w:hAnsi="Times New Roman"/>
                <w:sz w:val="24"/>
              </w:rPr>
            </w:pPr>
            <w:r>
              <w:rPr>
                <w:rFonts w:ascii="Times New Roman" w:hAnsi="Times New Roman"/>
                <w:sz w:val="24"/>
              </w:rPr>
              <w:t>Institutterne skal indberette summen af alle kolonner fra 0010 til 0100.</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7"/>
          <w:p w14:paraId="4AFEBFF2" w14:textId="77777777" w:rsidR="00DD00B4" w:rsidRPr="002A677E" w:rsidRDefault="00DD00B4" w:rsidP="00DD00B4">
            <w:pPr>
              <w:rPr>
                <w:rFonts w:ascii="Times New Roman" w:hAnsi="Times New Roman"/>
                <w:sz w:val="24"/>
              </w:rPr>
            </w:pPr>
            <w:r>
              <w:rPr>
                <w:rFonts w:ascii="Times New Roman" w:hAnsi="Times New Roman"/>
                <w:sz w:val="24"/>
              </w:rPr>
              <w:t>Rækker</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rPr>
            </w:pPr>
            <w:r>
              <w:rPr>
                <w:rFonts w:ascii="Times New Roman" w:hAnsi="Times New Roman"/>
                <w:sz w:val="24"/>
              </w:rPr>
              <w:t>Instrukser</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Det relevante beløb for utilstrækkelig dækning</w:t>
            </w:r>
          </w:p>
          <w:p w14:paraId="51563B67" w14:textId="343DC59D" w:rsidR="00DD00B4" w:rsidRPr="002A677E" w:rsidRDefault="002327CE" w:rsidP="00DD00B4">
            <w:pPr>
              <w:rPr>
                <w:rFonts w:ascii="Times New Roman" w:hAnsi="Times New Roman"/>
                <w:sz w:val="24"/>
              </w:rPr>
            </w:pPr>
            <w:r>
              <w:rPr>
                <w:rFonts w:ascii="Times New Roman" w:hAnsi="Times New Roman"/>
                <w:sz w:val="24"/>
              </w:rPr>
              <w:t>Artikel 47c, stk. 1, i forordning (EU) nr. 575/2013</w:t>
            </w:r>
          </w:p>
          <w:p w14:paraId="7431B28F" w14:textId="77777777" w:rsidR="00DD00B4" w:rsidRPr="002A677E" w:rsidRDefault="00DD00B4" w:rsidP="00DD00B4">
            <w:pPr>
              <w:rPr>
                <w:rFonts w:ascii="Times New Roman" w:hAnsi="Times New Roman"/>
                <w:sz w:val="24"/>
              </w:rPr>
            </w:pPr>
            <w:r>
              <w:rPr>
                <w:rFonts w:ascii="Times New Roman" w:hAnsi="Times New Roman"/>
                <w:sz w:val="24"/>
              </w:rPr>
              <w:t>Med henblik på beregningen af det relevante beløb for utilstrækkelig dækning fratrækker institutterne de samlede hensættelser og justeringer eller fradrag (med loft) (række 0080) for de samlede minimumsdækningskrav for misligholdte eksponeringer (række 0020).</w:t>
            </w:r>
          </w:p>
          <w:p w14:paraId="319C177A" w14:textId="77777777" w:rsidR="00DD00B4" w:rsidRPr="002A677E" w:rsidRDefault="00DD00B4" w:rsidP="00DD00B4">
            <w:pPr>
              <w:rPr>
                <w:rFonts w:ascii="Times New Roman" w:hAnsi="Times New Roman"/>
                <w:sz w:val="24"/>
              </w:rPr>
            </w:pPr>
            <w:r>
              <w:rPr>
                <w:rFonts w:ascii="Times New Roman" w:hAnsi="Times New Roman"/>
                <w:sz w:val="24"/>
              </w:rPr>
              <w:t>Det relevante beløb for utilstrækkelig dækning (dvs. underskuddet i forbindelse med de samlede minimumsdækningskrav for misligholdte eksponeringer) skal være lig med eller større end nul.</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Det samlede minimumsdækningskrav for misligholdte eksponeringer</w:t>
            </w:r>
          </w:p>
          <w:p w14:paraId="79CCC5B2" w14:textId="35068447" w:rsidR="00DD00B4" w:rsidRPr="002A677E" w:rsidRDefault="002327CE" w:rsidP="00DD00B4">
            <w:pPr>
              <w:rPr>
                <w:rFonts w:ascii="Times New Roman" w:hAnsi="Times New Roman"/>
                <w:sz w:val="24"/>
              </w:rPr>
            </w:pPr>
            <w:r>
              <w:rPr>
                <w:rFonts w:ascii="Times New Roman" w:hAnsi="Times New Roman"/>
                <w:sz w:val="24"/>
              </w:rPr>
              <w:t>Artikel 47c, stk. 1, litra a), i forordning (EU) nr. 575/2013</w:t>
            </w:r>
          </w:p>
          <w:p w14:paraId="3FC92990" w14:textId="77777777" w:rsidR="00DD00B4" w:rsidRPr="002A677E" w:rsidRDefault="00DD00B4" w:rsidP="00DD00B4">
            <w:pPr>
              <w:rPr>
                <w:rFonts w:ascii="Times New Roman" w:hAnsi="Times New Roman"/>
                <w:sz w:val="24"/>
              </w:rPr>
            </w:pPr>
            <w:r>
              <w:rPr>
                <w:rFonts w:ascii="Times New Roman" w:hAnsi="Times New Roman"/>
                <w:sz w:val="24"/>
              </w:rPr>
              <w:t xml:space="preserve">Med henblik på beregningen af det samlede minimumsdækningskrav for misligholdte eksponeringer skal institutterne lægge minimumsdækningskravet for den usikrede del af misligholdte eksponeringer (række 0030) og for den sikrede del af de misligholdte eksponeringer (række 0040) sammen.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Pr>
                <w:rFonts w:ascii="Times New Roman" w:hAnsi="Times New Roman"/>
                <w:b/>
                <w:sz w:val="24"/>
                <w:u w:val="single"/>
              </w:rPr>
              <w:t>Usikret del af misligholdte eksponeringer</w:t>
            </w:r>
            <w:r>
              <w:rPr>
                <w:rFonts w:ascii="Times New Roman" w:hAnsi="Times New Roman"/>
                <w:sz w:val="24"/>
              </w:rPr>
              <w:t xml:space="preserve"> </w:t>
            </w:r>
          </w:p>
          <w:p w14:paraId="220025F2" w14:textId="4827A206" w:rsidR="00DD00B4" w:rsidRPr="002A677E" w:rsidRDefault="00DD00B4" w:rsidP="00DD00B4">
            <w:pPr>
              <w:rPr>
                <w:rFonts w:ascii="Times New Roman" w:hAnsi="Times New Roman"/>
                <w:sz w:val="24"/>
              </w:rPr>
            </w:pPr>
            <w:r>
              <w:rPr>
                <w:rFonts w:ascii="Times New Roman" w:hAnsi="Times New Roman"/>
                <w:sz w:val="24"/>
              </w:rPr>
              <w:t>Artikel 47c, stk. 1, litra a), nr. i), artikel 47c, stk. 2, artikel 47c, stk. 6, i forordning (EU) nr. 575/2013</w:t>
            </w:r>
          </w:p>
          <w:p w14:paraId="7ABC6FE1" w14:textId="77777777" w:rsidR="00DD00B4" w:rsidRPr="002A677E" w:rsidRDefault="00A532F5" w:rsidP="00DD00B4">
            <w:pPr>
              <w:rPr>
                <w:rFonts w:ascii="Times New Roman" w:hAnsi="Times New Roman"/>
                <w:sz w:val="24"/>
              </w:rPr>
            </w:pPr>
            <w:r>
              <w:rPr>
                <w:rFonts w:ascii="Times New Roman" w:hAnsi="Times New Roman"/>
                <w:sz w:val="24"/>
              </w:rPr>
              <w:t xml:space="preserve">Institutterne skal indberette det samlede minimumsdækningskrav for den usikrede del af misligholdte eksponeringer, dvs. de aggregerede beregninger på eksponeringsniveau. </w:t>
            </w:r>
          </w:p>
          <w:p w14:paraId="2A1D0912" w14:textId="77777777" w:rsidR="00DD00B4" w:rsidRPr="002A677E" w:rsidRDefault="00DD00B4" w:rsidP="00DD00B4">
            <w:pPr>
              <w:rPr>
                <w:rFonts w:ascii="Times New Roman" w:hAnsi="Times New Roman"/>
                <w:sz w:val="24"/>
              </w:rPr>
            </w:pPr>
            <w:r>
              <w:rPr>
                <w:rFonts w:ascii="Times New Roman" w:hAnsi="Times New Roman"/>
                <w:sz w:val="24"/>
              </w:rPr>
              <w:t xml:space="preserve">Det beløb, der indberettes i hver kolonne, skal være lig med summen af de beløb, der er indberettet i række 0020 i C 35.02 og række 0020 i C 35.03 (hvor det er relevant) i de respektive kolonner.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Sikret del af misligholdte eksponeringer</w:t>
            </w:r>
          </w:p>
          <w:p w14:paraId="00F4CCB6" w14:textId="560D6425" w:rsidR="00DD00B4" w:rsidRPr="002A677E" w:rsidRDefault="003B09EA" w:rsidP="00DD00B4">
            <w:pPr>
              <w:rPr>
                <w:rFonts w:ascii="Times New Roman" w:hAnsi="Times New Roman"/>
                <w:sz w:val="24"/>
              </w:rPr>
            </w:pPr>
            <w:r>
              <w:rPr>
                <w:rFonts w:ascii="Times New Roman" w:hAnsi="Times New Roman"/>
                <w:sz w:val="24"/>
              </w:rPr>
              <w:t>Artikel 47c, stk. 1, litra a), nr. ii), artikel 47c, stk. 3 , artikel 47c, stk. 4, artikel 47c, stk. 6, i forordning (EU) nr. 575/2013</w:t>
            </w:r>
          </w:p>
          <w:p w14:paraId="4A5E1811" w14:textId="77777777" w:rsidR="00DD00B4" w:rsidRPr="002A677E" w:rsidRDefault="00A532F5" w:rsidP="00DD00B4">
            <w:pPr>
              <w:rPr>
                <w:rFonts w:ascii="Times New Roman" w:hAnsi="Times New Roman"/>
                <w:sz w:val="24"/>
              </w:rPr>
            </w:pPr>
            <w:r>
              <w:rPr>
                <w:rFonts w:ascii="Times New Roman" w:hAnsi="Times New Roman"/>
                <w:sz w:val="24"/>
              </w:rPr>
              <w:t>Institutterne skal indberette det samlede minimumsdækningskrav for den sikrede del af misligholdte eksponeringer, dvs. de aggregerede beregninger på eksponeringsniveau.</w:t>
            </w:r>
          </w:p>
          <w:p w14:paraId="16CE15A0" w14:textId="77777777" w:rsidR="00DD00B4" w:rsidRPr="002A677E" w:rsidRDefault="00DD00B4" w:rsidP="00DD00B4">
            <w:pPr>
              <w:rPr>
                <w:rFonts w:ascii="Times New Roman" w:hAnsi="Times New Roman"/>
                <w:b/>
                <w:sz w:val="24"/>
                <w:u w:val="single"/>
              </w:rPr>
            </w:pPr>
            <w:r>
              <w:rPr>
                <w:rFonts w:ascii="Times New Roman" w:hAnsi="Times New Roman"/>
                <w:sz w:val="24"/>
              </w:rPr>
              <w:t>Det beløb, der indberettes i hver kolonne, skal være lig med summen af de beløb, der er indberettet i række 0030-0050 i C 35.02 og række 0030-0040 i C 35.03 (hvor det er relevant) i de respektive kolonner.</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Eksponeringsværdi</w:t>
            </w:r>
          </w:p>
          <w:p w14:paraId="6171E166" w14:textId="047A39FF" w:rsidR="00DD00B4" w:rsidRPr="002A677E" w:rsidRDefault="00DD00B4" w:rsidP="00DD00B4">
            <w:pPr>
              <w:rPr>
                <w:rFonts w:ascii="Times New Roman" w:hAnsi="Times New Roman"/>
                <w:sz w:val="24"/>
              </w:rPr>
            </w:pPr>
            <w:r>
              <w:rPr>
                <w:rFonts w:ascii="Times New Roman" w:hAnsi="Times New Roman"/>
                <w:sz w:val="24"/>
              </w:rPr>
              <w:t>Artikel 47a, stk. 2, i forordning (EU) nr. 575/2013</w:t>
            </w:r>
          </w:p>
          <w:p w14:paraId="68E0F46C" w14:textId="77777777" w:rsidR="00DD00B4" w:rsidRPr="002A677E" w:rsidRDefault="00DD00B4" w:rsidP="00DD00B4">
            <w:pPr>
              <w:rPr>
                <w:rFonts w:ascii="Times New Roman" w:hAnsi="Times New Roman"/>
                <w:sz w:val="24"/>
              </w:rPr>
            </w:pPr>
            <w:r>
              <w:rPr>
                <w:rFonts w:ascii="Times New Roman" w:hAnsi="Times New Roman"/>
                <w:sz w:val="24"/>
              </w:rPr>
              <w:t xml:space="preserve">Institutterne skal indberette den samlede eksponeringsværdi af misligholdte eksponeringer, herunder både usikrede og sikrede eksponeringer. Det skal svare til summen af række 0060 og række 0070.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Pr>
                <w:rFonts w:ascii="Times New Roman" w:hAnsi="Times New Roman"/>
                <w:b/>
                <w:sz w:val="24"/>
                <w:u w:val="single"/>
              </w:rPr>
              <w:t>Usikret del af misligholdte eksponeringer</w:t>
            </w:r>
            <w:r>
              <w:rPr>
                <w:rFonts w:ascii="Times New Roman" w:hAnsi="Times New Roman"/>
                <w:sz w:val="24"/>
              </w:rPr>
              <w:t xml:space="preserve"> </w:t>
            </w:r>
          </w:p>
          <w:p w14:paraId="3946BEC3" w14:textId="600FA6D4" w:rsidR="00DD00B4" w:rsidRPr="002A677E" w:rsidRDefault="00623EAD" w:rsidP="00DD00B4">
            <w:pPr>
              <w:rPr>
                <w:rFonts w:ascii="Times New Roman" w:hAnsi="Times New Roman"/>
                <w:sz w:val="24"/>
              </w:rPr>
            </w:pPr>
            <w:r>
              <w:rPr>
                <w:rFonts w:ascii="Times New Roman" w:hAnsi="Times New Roman"/>
                <w:sz w:val="24"/>
              </w:rPr>
              <w:t>Artikel 47a, stk. 2, og artikel 47c, stk. 1, i forordning (EU) nr. 575/2013</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Sikret del af misligholdte eksponeringer</w:t>
            </w:r>
          </w:p>
          <w:p w14:paraId="456BC00D" w14:textId="537FFFE3" w:rsidR="00DD00B4" w:rsidRPr="002A677E" w:rsidRDefault="00623EAD" w:rsidP="00DD00B4">
            <w:pPr>
              <w:rPr>
                <w:rFonts w:ascii="Times New Roman" w:hAnsi="Times New Roman"/>
                <w:b/>
                <w:sz w:val="24"/>
                <w:u w:val="single"/>
              </w:rPr>
            </w:pPr>
            <w:r>
              <w:rPr>
                <w:rFonts w:ascii="Times New Roman" w:hAnsi="Times New Roman"/>
                <w:sz w:val="24"/>
              </w:rPr>
              <w:t>Artikel 47a, stk. 2, og artikel 47c, stk. 1, i forordning (EU) nr. 575/2013</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De samlede hensættelser og justeringer eller fradrag (med loft)</w:t>
            </w:r>
          </w:p>
          <w:p w14:paraId="135CD7AC" w14:textId="3A453F1D" w:rsidR="00DD00B4" w:rsidRPr="002A677E" w:rsidRDefault="00DD00B4" w:rsidP="00DD00B4">
            <w:pPr>
              <w:rPr>
                <w:rFonts w:ascii="Times New Roman" w:hAnsi="Times New Roman"/>
                <w:sz w:val="24"/>
              </w:rPr>
            </w:pPr>
            <w:r>
              <w:rPr>
                <w:rFonts w:ascii="Times New Roman" w:hAnsi="Times New Roman"/>
                <w:sz w:val="24"/>
              </w:rPr>
              <w:t>Institutterne skal indberette det med et loft begrænsede beløb for summen af de poster, der er opført i række 0100-0150 i overensstemmelse med artikel 47c, stk. 1, litra b), i forordning (EU) nr. 575/2013. Det maksimale loft for hensættelser og justeringer eller fradrag er den beløbsmæssige størrelse af minimumsdækningskravet på eksponeringsniveau.</w:t>
            </w:r>
          </w:p>
          <w:p w14:paraId="6BCA9662" w14:textId="77777777" w:rsidR="00DD00B4" w:rsidRPr="002A677E" w:rsidRDefault="00DD00B4" w:rsidP="00DD00B4">
            <w:pPr>
              <w:rPr>
                <w:rFonts w:ascii="Times New Roman" w:hAnsi="Times New Roman"/>
                <w:sz w:val="24"/>
              </w:rPr>
            </w:pPr>
            <w:r>
              <w:rPr>
                <w:rFonts w:ascii="Times New Roman" w:hAnsi="Times New Roman"/>
                <w:sz w:val="24"/>
              </w:rPr>
              <w:lastRenderedPageBreak/>
              <w:t>Det med et loft begrænsede beløb beregnes særskilt for hver eksponering som det mindste beløb mellem minimumsdækningskravet for denne eksponering og de samlede hensættelser og justeringer eller fradrag for samme eksponering.</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 samlede hensættelser og justeringer eller fradrag (uden loft)</w:t>
            </w:r>
          </w:p>
          <w:p w14:paraId="389D4B70" w14:textId="30F67C84" w:rsidR="00DD00B4" w:rsidRPr="002A677E" w:rsidRDefault="00DD00B4" w:rsidP="00DD00B4">
            <w:pPr>
              <w:jc w:val="left"/>
              <w:rPr>
                <w:rFonts w:ascii="Times New Roman" w:hAnsi="Times New Roman"/>
                <w:sz w:val="24"/>
              </w:rPr>
            </w:pPr>
            <w:r>
              <w:rPr>
                <w:rFonts w:ascii="Times New Roman" w:hAnsi="Times New Roman"/>
                <w:sz w:val="24"/>
              </w:rPr>
              <w:t xml:space="preserve">Institutterne skal indberette summen af beløbet uden loft af de poster, der er opført i række 0100-0150 i overensstemmelse med artikel 47c, stk. 1, litra b), i forordning (EU) nr. 575/2013. Hensættelser og justeringer eller fradrag (uden loft) må ikke begrænses til den beløbsmæssige størrelse af minimumsdækningskravet på eksponeringsniveau.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Specifikke kreditrisikojusteringer</w:t>
            </w:r>
          </w:p>
          <w:p w14:paraId="03A1D174" w14:textId="5F707374" w:rsidR="00DD00B4" w:rsidRPr="002A677E" w:rsidRDefault="00DD00B4" w:rsidP="003B09EA">
            <w:pPr>
              <w:jc w:val="left"/>
              <w:rPr>
                <w:rFonts w:ascii="Times New Roman" w:hAnsi="Times New Roman"/>
                <w:sz w:val="24"/>
              </w:rPr>
            </w:pPr>
            <w:r>
              <w:rPr>
                <w:rFonts w:ascii="Times New Roman" w:hAnsi="Times New Roman"/>
                <w:sz w:val="24"/>
              </w:rPr>
              <w:t>Artikel 47c, stk. 1, litra b), nr. i), i forordning (EU) nr. 575/2013</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Yderligere værdijusteringer</w:t>
            </w:r>
          </w:p>
          <w:p w14:paraId="7318E356" w14:textId="25A5085E" w:rsidR="00DD00B4" w:rsidRPr="002A677E" w:rsidRDefault="003B09EA" w:rsidP="00DD00B4">
            <w:pPr>
              <w:jc w:val="left"/>
              <w:rPr>
                <w:rFonts w:ascii="Times New Roman" w:hAnsi="Times New Roman"/>
                <w:b/>
                <w:sz w:val="24"/>
                <w:u w:val="single"/>
              </w:rPr>
            </w:pPr>
            <w:r>
              <w:rPr>
                <w:rFonts w:ascii="Times New Roman" w:hAnsi="Times New Roman"/>
                <w:sz w:val="24"/>
              </w:rPr>
              <w:t>Artikel 47c, stk. 1, litra b), nr. ii), i forordning (EU) nr. 575/2013</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Andre reduktioner af kapitalgrundlaget</w:t>
            </w:r>
          </w:p>
          <w:p w14:paraId="4A40893B" w14:textId="2A7D645B" w:rsidR="00DD00B4" w:rsidRPr="002A677E" w:rsidRDefault="003B09EA" w:rsidP="00DD00B4">
            <w:pPr>
              <w:jc w:val="left"/>
              <w:rPr>
                <w:rFonts w:ascii="Times New Roman" w:hAnsi="Times New Roman"/>
                <w:b/>
                <w:sz w:val="24"/>
                <w:u w:val="single"/>
              </w:rPr>
            </w:pPr>
            <w:r>
              <w:rPr>
                <w:rFonts w:ascii="Times New Roman" w:hAnsi="Times New Roman"/>
                <w:sz w:val="24"/>
              </w:rPr>
              <w:t>Artikel 47c, stk. 1, litra b), nr. iii), i forordning (EU) nr. 575/2013</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Underskud opgjort efter IRB-metoden</w:t>
            </w:r>
          </w:p>
          <w:p w14:paraId="16E4F616" w14:textId="05EA833B" w:rsidR="00DD00B4" w:rsidRPr="002A677E" w:rsidRDefault="003B09EA" w:rsidP="00DD00B4">
            <w:pPr>
              <w:jc w:val="left"/>
              <w:rPr>
                <w:rFonts w:ascii="Times New Roman" w:hAnsi="Times New Roman"/>
                <w:b/>
                <w:sz w:val="24"/>
                <w:u w:val="single"/>
              </w:rPr>
            </w:pPr>
            <w:r>
              <w:rPr>
                <w:rFonts w:ascii="Times New Roman" w:hAnsi="Times New Roman"/>
                <w:sz w:val="24"/>
              </w:rPr>
              <w:t>Artikel 47c, stk. 1, litra b), nr. iv), i forordning (EU) nr. 575/2013</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Forskel mellem købsprisen og det beløb, som debitor skylder</w:t>
            </w:r>
          </w:p>
          <w:p w14:paraId="314BE812" w14:textId="07D7EB7F" w:rsidR="00DD00B4" w:rsidRPr="002A677E" w:rsidRDefault="003B09EA" w:rsidP="00DD00B4">
            <w:pPr>
              <w:jc w:val="left"/>
              <w:rPr>
                <w:rFonts w:ascii="Times New Roman" w:hAnsi="Times New Roman"/>
                <w:b/>
                <w:sz w:val="24"/>
                <w:u w:val="single"/>
              </w:rPr>
            </w:pPr>
            <w:r>
              <w:rPr>
                <w:rFonts w:ascii="Times New Roman" w:hAnsi="Times New Roman"/>
                <w:sz w:val="24"/>
              </w:rPr>
              <w:t>Artikel 47c, stk. 1, litra b), nr. v), i forordning (EU) nr. 575/2013</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Beløb, som instituttet har afskrevet, siden eksponeringen blev klassificeret som misligholdt</w:t>
            </w:r>
          </w:p>
          <w:p w14:paraId="436645CA" w14:textId="7A856730" w:rsidR="00DD00B4" w:rsidRPr="002A677E" w:rsidRDefault="003B09EA" w:rsidP="00DD00B4">
            <w:pPr>
              <w:jc w:val="left"/>
              <w:rPr>
                <w:rFonts w:ascii="Times New Roman" w:hAnsi="Times New Roman"/>
                <w:b/>
                <w:sz w:val="24"/>
                <w:u w:val="single"/>
              </w:rPr>
            </w:pPr>
            <w:r>
              <w:rPr>
                <w:rFonts w:ascii="Times New Roman" w:hAnsi="Times New Roman"/>
                <w:sz w:val="24"/>
              </w:rPr>
              <w:t>Artikel 47c, stk. 1, litra b), nr. vi), i forordning (EU) nr. 575/2013</w:t>
            </w:r>
          </w:p>
        </w:tc>
      </w:tr>
    </w:tbl>
    <w:p w14:paraId="47D329AA" w14:textId="6AD49867" w:rsidR="00DD00B4" w:rsidRPr="002A677E"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119059462"/>
      <w:r>
        <w:rPr>
          <w:rFonts w:ascii="Times New Roman" w:hAnsi="Times New Roman"/>
          <w:sz w:val="24"/>
        </w:rPr>
        <w:t>C 35.02 — MINIMUMSDÆKNINGSKRAV TIL OG EKSPONERINGSVÆRDI AF MISLIGHOLDTE EKSPONERINGER UDEN KREDITLEMPELSE, SOM ER OMFATTET AF ARTIKEL 47C, STK. 6, I FORORDNING (EU) NR. 575/2013 (NPE LC2)</w:t>
      </w:r>
      <w:bookmarkStart w:id="790" w:name="_Toc19715891"/>
      <w:bookmarkEnd w:id="788"/>
      <w:bookmarkEnd w:id="790"/>
      <w:bookmarkEnd w:id="789"/>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119059463"/>
      <w:r>
        <w:rPr>
          <w:rFonts w:ascii="Times New Roman" w:hAnsi="Times New Roman"/>
          <w:sz w:val="24"/>
        </w:rPr>
        <w:t>Instrukser vedrørende specifikke positioner</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rPr>
            </w:pPr>
            <w:r>
              <w:rPr>
                <w:rFonts w:ascii="Times New Roman" w:hAnsi="Times New Roman"/>
                <w:sz w:val="24"/>
              </w:rPr>
              <w:t>Kolonner</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rPr>
            </w:pPr>
            <w:r>
              <w:rPr>
                <w:rFonts w:ascii="Times New Roman" w:hAnsi="Times New Roman"/>
                <w:sz w:val="24"/>
              </w:rPr>
              <w:t>Instrukser</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Den tid, der er gået, siden eksponeringerne blev klassificeret som misligholdte eksponeringer</w:t>
            </w:r>
          </w:p>
          <w:p w14:paraId="6F1F73EA" w14:textId="4A8A2CDD" w:rsidR="00DD00B4" w:rsidRPr="002A677E" w:rsidRDefault="00DD00B4" w:rsidP="00DD00B4">
            <w:pPr>
              <w:rPr>
                <w:rFonts w:ascii="Times New Roman" w:hAnsi="Times New Roman"/>
                <w:sz w:val="24"/>
              </w:rPr>
            </w:pPr>
            <w:r>
              <w:rPr>
                <w:rFonts w:ascii="Times New Roman" w:hAnsi="Times New Roman"/>
                <w:sz w:val="24"/>
              </w:rPr>
              <w:t>Den "tid, der er gået, siden eksponeringerne blev klassificeret som misligholdte eksponeringer", betyder det tidsrum, målt i år, der er gået, siden eksponeringen blev klassificeret som misligholdt. Institutterne skal indberette data om eksponeringer, for hvilke referencedatoen falder under det tilsvarende tidsinterval, med angivelse af den periode i år, der følger efter, at eksponeringerne blev klassificeret som misligholdte eksponeringer, uanset om der er anvendt kreditlempelser.</w:t>
            </w:r>
          </w:p>
          <w:p w14:paraId="24AECEC5" w14:textId="77777777" w:rsidR="00DD00B4" w:rsidRPr="002A677E" w:rsidRDefault="00DD00B4" w:rsidP="00DD00B4">
            <w:pPr>
              <w:rPr>
                <w:rFonts w:ascii="Times New Roman" w:hAnsi="Times New Roman"/>
                <w:sz w:val="24"/>
              </w:rPr>
            </w:pPr>
            <w:r>
              <w:rPr>
                <w:rFonts w:ascii="Times New Roman" w:hAnsi="Times New Roman"/>
                <w:sz w:val="24"/>
              </w:rPr>
              <w:lastRenderedPageBreak/>
              <w:t>I intervallet "&gt; X år, &lt; = Y år" indberetter institutterne data om eksponeringer, for hvilke referencedatoen svarer til perioden mellem den første og den sidste dag i det år (Y), der følger efter klassificeringen af disse eksponeringer som misligholdte eksponeringer.</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I alt</w:t>
            </w:r>
          </w:p>
          <w:p w14:paraId="5DF2DC7E" w14:textId="77777777" w:rsidR="00DD00B4" w:rsidRPr="002A677E" w:rsidRDefault="00DD00B4" w:rsidP="00DD00B4">
            <w:pPr>
              <w:rPr>
                <w:rFonts w:ascii="Times New Roman" w:hAnsi="Times New Roman"/>
                <w:sz w:val="24"/>
                <w:u w:val="single"/>
              </w:rPr>
            </w:pPr>
            <w:r>
              <w:rPr>
                <w:rFonts w:ascii="Times New Roman" w:hAnsi="Times New Roman"/>
                <w:sz w:val="24"/>
              </w:rPr>
              <w:t>Institutterne skal indberette summen af alle kolonner fra 0010 til 0100.</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rPr>
            </w:pPr>
            <w:r>
              <w:rPr>
                <w:rFonts w:ascii="Times New Roman" w:hAnsi="Times New Roman"/>
                <w:sz w:val="24"/>
              </w:rPr>
              <w:t>Rækker</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rPr>
            </w:pPr>
            <w:r>
              <w:rPr>
                <w:rFonts w:ascii="Times New Roman" w:hAnsi="Times New Roman"/>
                <w:sz w:val="24"/>
              </w:rPr>
              <w:t>Instrukser</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Det samlede minimumsdækningskrav</w:t>
            </w:r>
          </w:p>
          <w:p w14:paraId="3A476185" w14:textId="53F8D1FE" w:rsidR="00DD00B4" w:rsidRPr="002A677E" w:rsidRDefault="00FC223C" w:rsidP="00DD00B4">
            <w:pPr>
              <w:rPr>
                <w:rFonts w:ascii="Times New Roman" w:hAnsi="Times New Roman"/>
                <w:sz w:val="24"/>
              </w:rPr>
            </w:pPr>
            <w:r>
              <w:rPr>
                <w:rFonts w:ascii="Times New Roman" w:hAnsi="Times New Roman"/>
                <w:sz w:val="24"/>
              </w:rPr>
              <w:t>Artikel 47c, stk. 1, litra a), i forordning (EU) nr. 575/2013</w:t>
            </w:r>
          </w:p>
          <w:p w14:paraId="5F74FB1D" w14:textId="381749C8" w:rsidR="00DD00B4" w:rsidRPr="002A677E" w:rsidRDefault="00DD00B4" w:rsidP="00DD00B4">
            <w:pPr>
              <w:rPr>
                <w:rFonts w:ascii="Times New Roman" w:hAnsi="Times New Roman"/>
                <w:sz w:val="24"/>
              </w:rPr>
            </w:pPr>
            <w:r>
              <w:rPr>
                <w:rFonts w:ascii="Times New Roman" w:hAnsi="Times New Roman"/>
                <w:sz w:val="24"/>
              </w:rPr>
              <w:t>Med henblik på beregningen af det samlede minimumsdækningskrav for misligholdte eksponeringer uden kreditlempelse, som er omfattet af artikel 47c, stk. 6, i forordning (EU) nr. 575/2013, skal institutterne lægge minimumsdækningskravet for den usikrede del af misligholdte eksponeringer (række 0020) og minimumsdækningskravet for den sikrede del af de misligholdte eksponeringer (række 0030-0050) sammen.</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Usikret del af misligholdte eksponeringer</w:t>
            </w:r>
          </w:p>
          <w:p w14:paraId="24BFE0E9" w14:textId="763167B7" w:rsidR="00DD00B4" w:rsidRPr="002A677E" w:rsidRDefault="00DD00B4" w:rsidP="00DD00B4">
            <w:pPr>
              <w:rPr>
                <w:rFonts w:ascii="Times New Roman" w:hAnsi="Times New Roman"/>
                <w:sz w:val="24"/>
              </w:rPr>
            </w:pPr>
            <w:r>
              <w:rPr>
                <w:rFonts w:ascii="Times New Roman" w:hAnsi="Times New Roman"/>
                <w:sz w:val="24"/>
              </w:rPr>
              <w:t>Artikel 47c, stk. 1, litra a), nr. i), artikel 47c, stk. 2, i forordning (EU) nr. 575/2013</w:t>
            </w:r>
          </w:p>
          <w:p w14:paraId="70241592" w14:textId="77777777" w:rsidR="00DD00B4" w:rsidRPr="002A677E" w:rsidRDefault="00DD00B4" w:rsidP="00EA2AFF">
            <w:pPr>
              <w:rPr>
                <w:rFonts w:ascii="Times New Roman" w:hAnsi="Times New Roman"/>
                <w:sz w:val="24"/>
              </w:rPr>
            </w:pPr>
            <w:r>
              <w:rPr>
                <w:rFonts w:ascii="Times New Roman" w:hAnsi="Times New Roman"/>
                <w:sz w:val="24"/>
              </w:rPr>
              <w:t>Minimumsdækningskravet beregnes ved at gange de samlede eksponeringsværdier i række 0070 med den tilsvarende faktor pr. kolonne.</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2EB54CB8"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Del af misligholdte eksponeringer, der er sikret ved pant i fast ejendom eller boliglån, som garanteres af en anerkendt udbyder af kreditrisikoafdækning </w:t>
            </w:r>
          </w:p>
          <w:p w14:paraId="6D42FB8A" w14:textId="5AC7BCCD" w:rsidR="00DD00B4" w:rsidRPr="002A677E" w:rsidRDefault="003B09EA" w:rsidP="00DD00B4">
            <w:pPr>
              <w:rPr>
                <w:rFonts w:ascii="Times New Roman" w:hAnsi="Times New Roman"/>
                <w:sz w:val="24"/>
              </w:rPr>
            </w:pPr>
            <w:r>
              <w:rPr>
                <w:rFonts w:ascii="Times New Roman" w:hAnsi="Times New Roman"/>
                <w:sz w:val="24"/>
              </w:rPr>
              <w:t>Artikel 47c, stk. 1, litra a), nr. ii), og artikel 47c, stk. 3, litra a), b), c), d), f), h) og i), i forordning (EU) nr. 575/2013</w:t>
            </w:r>
          </w:p>
          <w:p w14:paraId="3DB8D95D" w14:textId="77777777" w:rsidR="00DD00B4" w:rsidRPr="002A677E" w:rsidRDefault="00DD00B4" w:rsidP="00EA2AFF">
            <w:pPr>
              <w:rPr>
                <w:rFonts w:ascii="Times New Roman" w:hAnsi="Times New Roman"/>
                <w:b/>
                <w:sz w:val="24"/>
                <w:u w:val="single"/>
              </w:rPr>
            </w:pPr>
            <w:r>
              <w:rPr>
                <w:rFonts w:ascii="Times New Roman" w:hAnsi="Times New Roman"/>
                <w:sz w:val="24"/>
              </w:rPr>
              <w:t>Minimumsdækningskravet beregnes ved at gange de samlede eksponeringsværdier i række 0080 med den tilsvarende faktor pr. kolonne.</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Del af misligholdte eksponeringer, der er sikret ved anden finansieret eller ufinansieret kreditrisikoafdækning</w:t>
            </w:r>
          </w:p>
          <w:p w14:paraId="7260657F" w14:textId="3BA2EAC0" w:rsidR="00DD00B4" w:rsidRPr="002A677E" w:rsidRDefault="003B09EA" w:rsidP="00DD00B4">
            <w:pPr>
              <w:rPr>
                <w:rFonts w:ascii="Times New Roman" w:hAnsi="Times New Roman"/>
                <w:sz w:val="24"/>
              </w:rPr>
            </w:pPr>
            <w:r>
              <w:rPr>
                <w:rFonts w:ascii="Times New Roman" w:hAnsi="Times New Roman"/>
                <w:sz w:val="24"/>
              </w:rPr>
              <w:t>Artikel 47c, stk. 1, litra a), nr. ii), og artikel 47c, stk. 3, litra a), b), c), e) og g), i forordning (EU) nr. 575/2013</w:t>
            </w:r>
          </w:p>
          <w:p w14:paraId="7722AE19" w14:textId="77777777" w:rsidR="00DD00B4" w:rsidRPr="002A677E" w:rsidRDefault="00DD00B4" w:rsidP="00EA2AFF">
            <w:pPr>
              <w:rPr>
                <w:rFonts w:ascii="Times New Roman" w:hAnsi="Times New Roman"/>
                <w:b/>
                <w:sz w:val="24"/>
                <w:u w:val="single"/>
              </w:rPr>
            </w:pPr>
            <w:r>
              <w:rPr>
                <w:rFonts w:ascii="Times New Roman" w:hAnsi="Times New Roman"/>
                <w:sz w:val="24"/>
              </w:rPr>
              <w:t>Minimumsdækningskravet beregnes ved at gange de samlede eksponeringsværdier i række 0090 med den tilsvarende faktor pr. kolonne.</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Del af misligholdte eksponeringer, der er garanteret eller forsikret af et officielt eksportkreditagentur</w:t>
            </w:r>
          </w:p>
          <w:p w14:paraId="69F42878" w14:textId="5FAD2410" w:rsidR="00DD00B4" w:rsidRPr="002A677E" w:rsidRDefault="00A14679" w:rsidP="00DD00B4">
            <w:pPr>
              <w:jc w:val="left"/>
              <w:rPr>
                <w:rFonts w:ascii="Times New Roman" w:hAnsi="Times New Roman"/>
                <w:sz w:val="24"/>
              </w:rPr>
            </w:pPr>
            <w:r>
              <w:rPr>
                <w:rFonts w:ascii="Times New Roman" w:hAnsi="Times New Roman"/>
                <w:sz w:val="24"/>
              </w:rPr>
              <w:t>Artikel 47c, stk. 4, i forordning (EU) nr. 575/2013</w:t>
            </w:r>
          </w:p>
          <w:p w14:paraId="56C16227" w14:textId="77777777" w:rsidR="00DD00B4" w:rsidRPr="002A677E" w:rsidRDefault="00DD00B4" w:rsidP="00EA2AFF">
            <w:pPr>
              <w:jc w:val="left"/>
              <w:rPr>
                <w:rFonts w:ascii="Times New Roman" w:hAnsi="Times New Roman"/>
                <w:b/>
                <w:sz w:val="24"/>
                <w:u w:val="single"/>
              </w:rPr>
            </w:pPr>
            <w:r>
              <w:rPr>
                <w:rFonts w:ascii="Times New Roman" w:hAnsi="Times New Roman"/>
                <w:sz w:val="24"/>
              </w:rPr>
              <w:t>Minimumsdækningskravet beregnes ved at gange de samlede eksponeringsværdier i række 0100 med den tilsvarende faktor pr. kolonne.</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Eksponeringsværdi</w:t>
            </w:r>
          </w:p>
          <w:p w14:paraId="2FBE3F91" w14:textId="104D5E38" w:rsidR="00DD00B4" w:rsidRPr="002A677E" w:rsidRDefault="00A14679" w:rsidP="00DD00B4">
            <w:pPr>
              <w:jc w:val="left"/>
              <w:rPr>
                <w:rFonts w:ascii="Times New Roman" w:hAnsi="Times New Roman"/>
                <w:sz w:val="24"/>
              </w:rPr>
            </w:pPr>
            <w:r>
              <w:rPr>
                <w:rFonts w:ascii="Times New Roman" w:hAnsi="Times New Roman"/>
                <w:sz w:val="24"/>
              </w:rPr>
              <w:lastRenderedPageBreak/>
              <w:t>Artikel 47a, stk. 2, i forordning (EU) nr. 575/2013</w:t>
            </w:r>
          </w:p>
          <w:p w14:paraId="30996FE0" w14:textId="77777777" w:rsidR="00DD00B4" w:rsidRPr="002A677E" w:rsidRDefault="00DD00B4" w:rsidP="00DD00B4">
            <w:pPr>
              <w:jc w:val="left"/>
              <w:rPr>
                <w:rFonts w:ascii="Times New Roman" w:hAnsi="Times New Roman"/>
                <w:b/>
                <w:sz w:val="24"/>
                <w:u w:val="single"/>
              </w:rPr>
            </w:pPr>
            <w:r>
              <w:rPr>
                <w:rFonts w:ascii="Times New Roman" w:hAnsi="Times New Roman"/>
                <w:sz w:val="24"/>
              </w:rPr>
              <w:t>Med henblik på beregningen af række 0060 skal institutterne lægge eksponeringsværdier sammen for den usikrede del af misligholdte eksponeringer (række 0070), den del af misligholdte eksponeringer, der er sikret ved pant i fast ejendom eller boliglån, som garanteres af en anerkendt udbyder af kreditrisikoafdækning (række 0080), den del af misligholdte eksponeringer, der er sikret ved anden finansieret eller ufinansieret kreditrisikoafdækning (række 0090), og den del af misligholdte eksponeringer, der er garanteret eller forsikret af et officielt eksportkreditagentur (række 0100).</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Usikret del af misligholdte eksponeringer</w:t>
            </w:r>
          </w:p>
          <w:p w14:paraId="7B1F2DD3" w14:textId="03244D1C" w:rsidR="00DD00B4" w:rsidRPr="002A677E" w:rsidRDefault="009D30AF" w:rsidP="00DD00B4">
            <w:pPr>
              <w:jc w:val="left"/>
              <w:rPr>
                <w:rFonts w:ascii="Times New Roman" w:hAnsi="Times New Roman"/>
                <w:sz w:val="24"/>
              </w:rPr>
            </w:pPr>
            <w:r>
              <w:rPr>
                <w:rFonts w:ascii="Times New Roman" w:hAnsi="Times New Roman"/>
                <w:sz w:val="24"/>
              </w:rPr>
              <w:t>Artikel 47a, stk. 2, artikel 47c, stk. 1, og artikel 47c, stk. 2, i forordning (EU) nr. 575/2013</w:t>
            </w:r>
          </w:p>
          <w:p w14:paraId="762DE1BF" w14:textId="77777777" w:rsidR="00DD00B4" w:rsidRPr="002A677E" w:rsidRDefault="00EA2AFF" w:rsidP="00EA2AFF">
            <w:pPr>
              <w:jc w:val="left"/>
              <w:rPr>
                <w:rFonts w:ascii="Times New Roman" w:hAnsi="Times New Roman"/>
                <w:sz w:val="24"/>
              </w:rPr>
            </w:pPr>
            <w:r>
              <w:rPr>
                <w:rFonts w:ascii="Times New Roman" w:hAnsi="Times New Roman"/>
                <w:sz w:val="24"/>
              </w:rPr>
              <w:t>Institutterne skal indberette den samlede eksponeringsværdi for den usikrede del af misligholdte eksponeringer opdelt efter den tid, der er gået, siden eksponeringerne blev klassificeret som misligholdte eksponeringer.</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Del af misligholdte eksponeringer, der er sikret ved pant i fast ejendom eller boliglån, som garanteres af en anerkendt udbyder af kreditrisikoafdækning</w:t>
            </w:r>
          </w:p>
          <w:p w14:paraId="56630187" w14:textId="74149F43" w:rsidR="00DD00B4" w:rsidRPr="002A677E" w:rsidRDefault="00DD00B4" w:rsidP="00DD00B4">
            <w:pPr>
              <w:rPr>
                <w:rFonts w:ascii="Times New Roman" w:hAnsi="Times New Roman"/>
                <w:sz w:val="24"/>
              </w:rPr>
            </w:pPr>
            <w:r>
              <w:rPr>
                <w:rFonts w:ascii="Times New Roman" w:hAnsi="Times New Roman"/>
                <w:sz w:val="24"/>
              </w:rPr>
              <w:t>Artikel 47a, stk. 2, artikel 47c, stk. 1, og artikel 47c, stk. 3, litra a), b), c), d), f), h) og i), i forordning (EU) nr. 575/2013</w:t>
            </w:r>
          </w:p>
          <w:p w14:paraId="2F3E758E" w14:textId="3017747D" w:rsidR="00DD00B4" w:rsidRPr="002A677E" w:rsidRDefault="00441F78" w:rsidP="00E67B4A">
            <w:pPr>
              <w:rPr>
                <w:rFonts w:ascii="Times New Roman" w:hAnsi="Times New Roman"/>
                <w:b/>
                <w:sz w:val="24"/>
                <w:u w:val="single"/>
              </w:rPr>
            </w:pPr>
            <w:r>
              <w:rPr>
                <w:rFonts w:ascii="Times New Roman" w:hAnsi="Times New Roman"/>
                <w:sz w:val="24"/>
              </w:rPr>
              <w:t>Institutterne skal indberette den samlede eksponeringsværdi af de dele af misligholdte eksponeringer, som er sikret ved pant i fast ejendom i henhold til tredje del, afsnit II, i forordning (EU) nr. 575/2013, eller som er et boliglån, der er garanteret af en anerkendt udbyder af kreditrisikoafdækning, jf. artikel 201 i nævnte forordning.</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Del af misligholdte eksponeringer, der er sikret ved anden finansieret eller ufinansieret kreditrisikoafdækning</w:t>
            </w:r>
          </w:p>
          <w:p w14:paraId="742A6F49" w14:textId="562ED389" w:rsidR="00DD00B4" w:rsidRPr="002A677E" w:rsidRDefault="00C259E2" w:rsidP="00DD00B4">
            <w:pPr>
              <w:jc w:val="left"/>
              <w:rPr>
                <w:rFonts w:ascii="Times New Roman" w:hAnsi="Times New Roman"/>
                <w:sz w:val="24"/>
              </w:rPr>
            </w:pPr>
            <w:r>
              <w:rPr>
                <w:rFonts w:ascii="Times New Roman" w:hAnsi="Times New Roman"/>
                <w:sz w:val="24"/>
              </w:rPr>
              <w:t xml:space="preserve">Artikel 47a, stk. 2, artikel 47c, stk. 1, og artikel 47c, stk. 3, litra a), b), c), e) og g), i forordning (EU) nr. 575/2013 </w:t>
            </w:r>
          </w:p>
          <w:p w14:paraId="1AFC29A6" w14:textId="597B2AED" w:rsidR="00DD00B4" w:rsidRPr="002A677E" w:rsidRDefault="00441F78" w:rsidP="00E67B4A">
            <w:pPr>
              <w:jc w:val="left"/>
              <w:rPr>
                <w:rFonts w:ascii="Times New Roman" w:hAnsi="Times New Roman"/>
                <w:sz w:val="24"/>
              </w:rPr>
            </w:pPr>
            <w:r>
              <w:rPr>
                <w:rFonts w:ascii="Times New Roman" w:hAnsi="Times New Roman"/>
                <w:sz w:val="24"/>
              </w:rPr>
              <w:t>Institutterne indberetter den samlede eksponeringsværdi af de dele af misligholdte eksponeringer, der er sikret ved anden finansieret eller ufinansieret kreditrisikoafdækning i henhold til tredje del, afsnit II, i forordning (EU) nr. 575/2013.</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Del af misligholdte eksponeringer, der er garanteret eller forsikret af et officielt eksportkreditagentur</w:t>
            </w:r>
          </w:p>
          <w:p w14:paraId="53CE9387" w14:textId="19C35BD1" w:rsidR="00DD00B4" w:rsidRPr="002A677E" w:rsidRDefault="00BD5F43" w:rsidP="00DD00B4">
            <w:pPr>
              <w:jc w:val="left"/>
              <w:rPr>
                <w:rFonts w:ascii="Times New Roman" w:hAnsi="Times New Roman"/>
                <w:sz w:val="24"/>
              </w:rPr>
            </w:pPr>
            <w:r>
              <w:rPr>
                <w:rFonts w:ascii="Times New Roman" w:hAnsi="Times New Roman"/>
                <w:sz w:val="24"/>
              </w:rPr>
              <w:t>Artikel 47a, stk. 2, og artikel 47c, stk. 4, i forordning (EU) nr. 575/2013</w:t>
            </w:r>
          </w:p>
          <w:p w14:paraId="36FE7597" w14:textId="3CB29F82" w:rsidR="00DD00B4" w:rsidRPr="002A677E" w:rsidRDefault="00441F78" w:rsidP="00441F78">
            <w:pPr>
              <w:jc w:val="left"/>
              <w:rPr>
                <w:rFonts w:ascii="Times New Roman" w:hAnsi="Times New Roman"/>
                <w:b/>
                <w:sz w:val="24"/>
                <w:u w:val="single"/>
              </w:rPr>
            </w:pPr>
            <w:r>
              <w:rPr>
                <w:rFonts w:ascii="Times New Roman" w:hAnsi="Times New Roman"/>
                <w:sz w:val="24"/>
              </w:rPr>
              <w:t>Institutterne skal indberette den samlede eksponeringsværdi for de dele af misligholdte eksponeringer, der er garanteret eller forsikret af et officielt eksportkreditagentur, eller som har en regaranti af en anden anerkendt udbyder af kreditrisikoafdækning, jf. artikel 47c, stk. 4, i forordning (EU) nr. 575/2013.</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608875A0" w:rsidR="00DD00B4" w:rsidRPr="002A677E" w:rsidRDefault="00DD00B4" w:rsidP="00F75233">
      <w:pPr>
        <w:pStyle w:val="Instructionsberschrift2"/>
        <w:numPr>
          <w:ilvl w:val="1"/>
          <w:numId w:val="38"/>
        </w:numPr>
        <w:rPr>
          <w:rFonts w:ascii="Times New Roman" w:hAnsi="Times New Roman" w:cs="Times New Roman"/>
          <w:sz w:val="24"/>
        </w:rPr>
      </w:pPr>
      <w:bookmarkStart w:id="793" w:name="_Toc19715893"/>
      <w:bookmarkStart w:id="794" w:name="_Toc119059464"/>
      <w:r>
        <w:rPr>
          <w:rFonts w:ascii="Times New Roman" w:hAnsi="Times New Roman"/>
          <w:sz w:val="24"/>
        </w:rPr>
        <w:lastRenderedPageBreak/>
        <w:t>C 35.03 — MINIMUMSDÆKNINGSKRAV TIL OG EKSPONERINGSVÆRDI AF MISLIGHOLDTE EKSPONERINGER MED KREDITLEMPELSE, SOM ER OMFATTET AF ARTIKEL 47C, STK. 6, I FORORDNING (EU) NR. 575/2013 (NPE LC3)</w:t>
      </w:r>
      <w:bookmarkStart w:id="795" w:name="_Toc19715894"/>
      <w:bookmarkEnd w:id="793"/>
      <w:bookmarkEnd w:id="795"/>
      <w:bookmarkEnd w:id="794"/>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119059465"/>
      <w:r>
        <w:rPr>
          <w:rFonts w:ascii="Times New Roman" w:hAnsi="Times New Roman"/>
          <w:sz w:val="24"/>
        </w:rPr>
        <w:t>Instrukser vedrørende specifikke positioner</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rPr>
            </w:pPr>
            <w:r>
              <w:rPr>
                <w:rFonts w:ascii="Times New Roman" w:hAnsi="Times New Roman"/>
                <w:sz w:val="24"/>
              </w:rPr>
              <w:t>Kolonner</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rPr>
            </w:pPr>
            <w:r>
              <w:rPr>
                <w:rFonts w:ascii="Times New Roman" w:hAnsi="Times New Roman"/>
                <w:sz w:val="24"/>
              </w:rPr>
              <w:t>Instrukser</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Den tid, der er gået, siden eksponeringerne blev klassificeret som misligholdte eksponeringer</w:t>
            </w:r>
          </w:p>
          <w:p w14:paraId="3D3EBC38" w14:textId="77777777" w:rsidR="00DD00B4" w:rsidRPr="002A677E" w:rsidRDefault="00DD00B4" w:rsidP="00DD00B4">
            <w:pPr>
              <w:rPr>
                <w:rFonts w:ascii="Times New Roman" w:hAnsi="Times New Roman"/>
                <w:sz w:val="24"/>
              </w:rPr>
            </w:pPr>
            <w:r>
              <w:rPr>
                <w:rFonts w:ascii="Times New Roman" w:hAnsi="Times New Roman"/>
                <w:sz w:val="24"/>
              </w:rPr>
              <w:t>Den "tid, der er gået, siden eksponeringerne blev klassificeret som misligholdte eksponeringer", betyder det tidsrum, målt i år, der er gået, siden eksponeringen blev klassificeret som misligholdt. Institutterne skal indberette data om eksponeringer, for hvilke referencedatoen falder under det tilsvarende tidsinterval, med angivelse af den periode i år, der følger efter, at eksponeringerne blev klassificeret som misligholdte eksponeringer, uanset om der er anvendt kreditlempelser.</w:t>
            </w:r>
          </w:p>
          <w:p w14:paraId="2AC789BC" w14:textId="77777777" w:rsidR="00DD00B4" w:rsidRPr="002A677E" w:rsidRDefault="00DD00B4" w:rsidP="00DD00B4">
            <w:pPr>
              <w:rPr>
                <w:rFonts w:ascii="Times New Roman" w:hAnsi="Times New Roman"/>
                <w:sz w:val="24"/>
              </w:rPr>
            </w:pPr>
            <w:r>
              <w:rPr>
                <w:rFonts w:ascii="Times New Roman" w:hAnsi="Times New Roman"/>
                <w:sz w:val="24"/>
              </w:rPr>
              <w:t>I intervallet "&gt; X år, &lt; = Y år" indberetter institutterne data om eksponeringer, for hvilke referencedatoen svarer til perioden mellem den første og den sidste dag i det år (Y), der følger efter klassificeringen af disse eksponeringer som misligholdte eksponeringer.</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Pr>
                <w:rFonts w:ascii="Times New Roman" w:hAnsi="Times New Roman"/>
                <w:b/>
                <w:sz w:val="24"/>
                <w:u w:val="single"/>
              </w:rPr>
              <w:t>I alt</w:t>
            </w:r>
          </w:p>
          <w:p w14:paraId="736FFBDA" w14:textId="77777777" w:rsidR="00DD00B4" w:rsidRPr="002A677E" w:rsidRDefault="00DD00B4" w:rsidP="00DD00B4">
            <w:pPr>
              <w:rPr>
                <w:rFonts w:ascii="Times New Roman" w:hAnsi="Times New Roman"/>
                <w:b/>
                <w:sz w:val="24"/>
                <w:u w:val="single"/>
              </w:rPr>
            </w:pPr>
            <w:r>
              <w:rPr>
                <w:rFonts w:ascii="Times New Roman" w:hAnsi="Times New Roman"/>
                <w:sz w:val="24"/>
              </w:rPr>
              <w:t>Institutterne skal indberette summen af alle kolonner fra 0010 til 0100.</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rPr>
            </w:pPr>
            <w:r>
              <w:rPr>
                <w:rFonts w:ascii="Times New Roman" w:hAnsi="Times New Roman"/>
                <w:sz w:val="24"/>
              </w:rPr>
              <w:t>Rækker</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rPr>
            </w:pPr>
            <w:r>
              <w:rPr>
                <w:rFonts w:ascii="Times New Roman" w:hAnsi="Times New Roman"/>
                <w:sz w:val="24"/>
              </w:rPr>
              <w:t>Instrukser</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Det samlede minimumsdækningskrav</w:t>
            </w:r>
          </w:p>
          <w:p w14:paraId="3C6F9C3C" w14:textId="21FBC49A" w:rsidR="00DD00B4" w:rsidRPr="002A677E" w:rsidRDefault="00DD00B4" w:rsidP="00DD00B4">
            <w:pPr>
              <w:rPr>
                <w:rFonts w:ascii="Times New Roman" w:hAnsi="Times New Roman"/>
                <w:sz w:val="24"/>
              </w:rPr>
            </w:pPr>
            <w:r>
              <w:rPr>
                <w:rFonts w:ascii="Times New Roman" w:hAnsi="Times New Roman"/>
                <w:sz w:val="24"/>
              </w:rPr>
              <w:t>Artikel 47c, stk. 1, litra a), og artikel 47c, stk. 6, i forordning (EU) nr. 575/2013</w:t>
            </w:r>
          </w:p>
          <w:p w14:paraId="20C972EE" w14:textId="5126B749" w:rsidR="00DD00B4" w:rsidRPr="002A677E" w:rsidRDefault="00DD00B4" w:rsidP="00A648C2">
            <w:pPr>
              <w:rPr>
                <w:rFonts w:ascii="Times New Roman" w:hAnsi="Times New Roman"/>
                <w:sz w:val="24"/>
              </w:rPr>
            </w:pPr>
            <w:r>
              <w:rPr>
                <w:rFonts w:ascii="Times New Roman" w:hAnsi="Times New Roman"/>
                <w:sz w:val="24"/>
              </w:rPr>
              <w:t>Med henblik på beregningen af det samlede minimumsdækningskrav for misligholdte eksponeringer med kreditlempelse, som er omfattet af artikel 47c, stk. 6, i forordning (EU) nr. 575/2013, skal institutterne, lægge minimumsdækningskravene for den usikrede del af misligholdte eksponeringer med kreditlempelse (række 0020), den del af misligholdte eksponeringer med kreditlempelse, der er sikret ved pant i fast ejendom eller boliglån garanteret af en anerkendt udbyder af kreditrisikoafdækning (række 0030) og den del af misligholdte eksponeringer med kreditlempelse, der er sikret ved anden finansieret eller ufinansieret kreditrisikoafdækning (række 0040), sammen.</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Usikret del af misligholdte eksponeringer</w:t>
            </w:r>
          </w:p>
          <w:p w14:paraId="4099803A" w14:textId="46D5FF84" w:rsidR="00DD00B4" w:rsidRPr="002A677E" w:rsidRDefault="00A648C2" w:rsidP="00DD00B4">
            <w:pPr>
              <w:rPr>
                <w:rFonts w:ascii="Times New Roman" w:hAnsi="Times New Roman"/>
                <w:sz w:val="24"/>
              </w:rPr>
            </w:pPr>
            <w:r>
              <w:rPr>
                <w:rFonts w:ascii="Times New Roman" w:hAnsi="Times New Roman"/>
                <w:sz w:val="24"/>
              </w:rPr>
              <w:t>Artikel 47c, stk. 1, litra a), nr. i), artikel 47c, stk. 2, artikel 47c, stk. 6, i forordning (EU) nr. 575/2013</w:t>
            </w:r>
          </w:p>
          <w:p w14:paraId="5BD9128D" w14:textId="1AB83AE7" w:rsidR="00DD00B4" w:rsidRPr="002A677E" w:rsidRDefault="00303974" w:rsidP="00303974">
            <w:pPr>
              <w:rPr>
                <w:rFonts w:ascii="Times New Roman" w:hAnsi="Times New Roman"/>
                <w:sz w:val="24"/>
              </w:rPr>
            </w:pPr>
            <w:r>
              <w:rPr>
                <w:rFonts w:ascii="Times New Roman" w:hAnsi="Times New Roman"/>
                <w:sz w:val="24"/>
              </w:rPr>
              <w:t>Institutterne skal indberette det samlede minimumsdækningskrav for den usikrede del af misligholdte eksponeringer med kreditlempelse, som er omfattet af artikel 47c, stk. 6, i forordning (EU) nr. 575/2013, dvs. de aggregerede beregninger på eksponeringsniveau.</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Del af misligholdte eksponeringer, der er sikret ved pant i fast ejendom eller boliglån, som garanteres af en anerkendt udbyder af kreditrisikoafdækning</w:t>
            </w:r>
          </w:p>
          <w:p w14:paraId="3D9FC58F" w14:textId="0A7A9BAF" w:rsidR="00DD00B4" w:rsidRPr="002A677E" w:rsidRDefault="003B09EA" w:rsidP="00DD00B4">
            <w:pPr>
              <w:rPr>
                <w:rFonts w:ascii="Times New Roman" w:hAnsi="Times New Roman"/>
                <w:sz w:val="24"/>
              </w:rPr>
            </w:pPr>
            <w:r>
              <w:rPr>
                <w:rFonts w:ascii="Times New Roman" w:hAnsi="Times New Roman"/>
                <w:sz w:val="24"/>
              </w:rPr>
              <w:lastRenderedPageBreak/>
              <w:t>Artikel 47c, stk. 1, litra a), nr. ii), artikel 47c, stk. 3, litra a), b), c), d), f), h) og i), og artikel 47c, stk. 6, i forordning (EU) nr. 575/2013</w:t>
            </w:r>
          </w:p>
          <w:p w14:paraId="356AD33F" w14:textId="7A924E49" w:rsidR="00DD00B4" w:rsidRPr="002A677E" w:rsidRDefault="00303974" w:rsidP="00E67B4A">
            <w:pPr>
              <w:rPr>
                <w:rFonts w:ascii="Times New Roman" w:hAnsi="Times New Roman"/>
                <w:b/>
                <w:sz w:val="24"/>
                <w:u w:val="single"/>
              </w:rPr>
            </w:pPr>
            <w:r>
              <w:rPr>
                <w:rFonts w:ascii="Times New Roman" w:hAnsi="Times New Roman"/>
                <w:sz w:val="24"/>
              </w:rPr>
              <w:t xml:space="preserve">Institutterne skal indberette det samlede minimumsdækningskrav for dele af misligholdte eksponeringer med kreditlempelse sikret ved pant i fast ejendom i henhold til tredje del, afsnit II, i forordning (EU) nr. 575/2013, eller som er boliglån, der er garanteret af en anerkendt udbyder af kreditrisikoafdækning, jf. artikel 201 i nævnte forordning, som falder ind under artikel 47c, stk. 6, i nævnte forordning, dvs. de aggregerede beregninger på eksponeringsniveau.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Del af misligholdte eksponeringer, der er sikret ved anden finansieret eller ufinansieret kreditrisikoafdækning</w:t>
            </w:r>
          </w:p>
          <w:p w14:paraId="3D8A5075" w14:textId="4E66820E" w:rsidR="00DD00B4" w:rsidRPr="002A677E" w:rsidRDefault="003B09EA" w:rsidP="00DD00B4">
            <w:pPr>
              <w:rPr>
                <w:rFonts w:ascii="Times New Roman" w:hAnsi="Times New Roman"/>
                <w:sz w:val="24"/>
              </w:rPr>
            </w:pPr>
            <w:r>
              <w:rPr>
                <w:rFonts w:ascii="Times New Roman" w:hAnsi="Times New Roman"/>
                <w:sz w:val="24"/>
              </w:rPr>
              <w:t>Artikel 47c, stk. 1, litra a), nr. ii), artikel 47c, stk. 3, litra a), b), c), e) og g), og artikel 47c, stk. 6, i forordning (EU) nr. 575/2013</w:t>
            </w:r>
          </w:p>
          <w:p w14:paraId="7E3D68AC" w14:textId="4D98347E" w:rsidR="00DD00B4" w:rsidRPr="002A677E" w:rsidRDefault="00303974" w:rsidP="00303974">
            <w:pPr>
              <w:rPr>
                <w:rFonts w:ascii="Times New Roman" w:hAnsi="Times New Roman"/>
                <w:sz w:val="24"/>
              </w:rPr>
            </w:pPr>
            <w:r>
              <w:rPr>
                <w:rFonts w:ascii="Times New Roman" w:hAnsi="Times New Roman"/>
                <w:sz w:val="24"/>
              </w:rPr>
              <w:t>Institutterne skal indberette det samlede minimumsdækningskrav for dele af misligholdte eksponeringer med kreditlempelse, der er sikret ved anden finansieret eller ufinansieret kreditrisikoafdækning, og som er omfattet af artikel 47c, stk. 6, i forordning (EU) nr. 575/2013, dvs. de aggregerede beregninger på eksponeringsniveau.</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Eksponeringsværdi</w:t>
            </w:r>
          </w:p>
          <w:p w14:paraId="37B9F3D5" w14:textId="6322A4B5" w:rsidR="00DD00B4" w:rsidRPr="002A677E" w:rsidRDefault="00233577" w:rsidP="00DD00B4">
            <w:pPr>
              <w:rPr>
                <w:rFonts w:ascii="Times New Roman" w:hAnsi="Times New Roman"/>
                <w:sz w:val="24"/>
              </w:rPr>
            </w:pPr>
            <w:r>
              <w:rPr>
                <w:rFonts w:ascii="Times New Roman" w:hAnsi="Times New Roman"/>
                <w:sz w:val="24"/>
              </w:rPr>
              <w:t>Artikel 47a, stk. 2, og artikel 47c, stk. 6, i forordning (EU) nr. 575/2013</w:t>
            </w:r>
          </w:p>
          <w:p w14:paraId="73CC09BE"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Med henblik på beregningen af eksponeringsværdien skal institutterne, hvor det er relevant, lægge eksponeringsværdier sammen for den usikrede del af misligholdte eksponeringer (række 0060), den del af misligholdte eksponeringer, der er sikret ved pant i fast ejendom eller boliglån, som garanteres af en anerkendt udbyder af kreditrisikoafdækning (række 0070), og den del af misligholdte eksponeringer, der er sikret ved anden finansieret eller ufinansieret kreditrisikoafdækning (række 0120), hvor det er relevant.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Usikret del af misligholdte eksponeringer</w:t>
            </w:r>
          </w:p>
          <w:p w14:paraId="39625700" w14:textId="431592EA" w:rsidR="00DD00B4" w:rsidRPr="002A677E" w:rsidRDefault="00233577" w:rsidP="00DD00B4">
            <w:pPr>
              <w:jc w:val="left"/>
              <w:rPr>
                <w:rFonts w:ascii="Times New Roman" w:hAnsi="Times New Roman"/>
                <w:sz w:val="24"/>
              </w:rPr>
            </w:pPr>
            <w:r>
              <w:rPr>
                <w:rFonts w:ascii="Times New Roman" w:hAnsi="Times New Roman"/>
                <w:sz w:val="24"/>
              </w:rPr>
              <w:t>Artikel 47a, stk. 2, artikel 47c, stk. 1, artikel 47c, stk. 2, og artikel 47c, stk. 6, i forordning (EU) nr. 575/2013</w:t>
            </w:r>
          </w:p>
          <w:p w14:paraId="0CB07F08" w14:textId="2DB1E8B6" w:rsidR="00DD00B4" w:rsidRPr="002A677E" w:rsidRDefault="00303974" w:rsidP="00303974">
            <w:pPr>
              <w:rPr>
                <w:rFonts w:ascii="Times New Roman" w:hAnsi="Times New Roman"/>
                <w:b/>
                <w:sz w:val="24"/>
                <w:u w:val="single"/>
              </w:rPr>
            </w:pPr>
            <w:r>
              <w:rPr>
                <w:rFonts w:ascii="Times New Roman" w:hAnsi="Times New Roman"/>
                <w:sz w:val="24"/>
              </w:rPr>
              <w:t>Institutterne skal indberette den samlede eksponeringsværdi af den usikrede del af misligholdte eksponeringer med kreditlempelse, som er omfattet af artikel 47c, stk. 6, i forordning (EU) nr. 575/2013, hvor den første kreditlempelse blev bevilget mellem den første og den sidste dag i det andet år efter klassificeringen af eksponeringen som misligholdt (&gt; 1 år, &lt;= 2 år).</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Del af misligholdte eksponeringer, der er sikret ved pant i fast ejendom eller boliglån, som garanteres af en anerkendt udbyder af kreditrisikoafdækning</w:t>
            </w:r>
          </w:p>
          <w:p w14:paraId="2F389D69" w14:textId="35F83915" w:rsidR="00DD00B4" w:rsidRPr="002A677E" w:rsidRDefault="006C0EF3" w:rsidP="00DD00B4">
            <w:pPr>
              <w:rPr>
                <w:rFonts w:ascii="Times New Roman" w:hAnsi="Times New Roman"/>
                <w:sz w:val="24"/>
              </w:rPr>
            </w:pPr>
            <w:r>
              <w:rPr>
                <w:rFonts w:ascii="Times New Roman" w:hAnsi="Times New Roman"/>
                <w:sz w:val="24"/>
              </w:rPr>
              <w:t>Artikel 47a, stk. 2, artikel 47c, stk. 1, og artikel 47c, stk. 3, litra a), b), c), d), f), h) og i), og artikel 47c, stk. 6, i forordning (EU) nr. 575/2013</w:t>
            </w:r>
          </w:p>
          <w:p w14:paraId="29FB8F53" w14:textId="247F1EAE" w:rsidR="00DD00B4" w:rsidRPr="002A677E" w:rsidRDefault="00303974" w:rsidP="00F75233">
            <w:pPr>
              <w:rPr>
                <w:rFonts w:ascii="Times New Roman" w:hAnsi="Times New Roman"/>
                <w:b/>
                <w:sz w:val="24"/>
                <w:u w:val="single"/>
              </w:rPr>
            </w:pPr>
            <w:r>
              <w:rPr>
                <w:rFonts w:ascii="Times New Roman" w:hAnsi="Times New Roman"/>
                <w:sz w:val="24"/>
              </w:rPr>
              <w:t>Institutterne skal indberette den samlede eksponeringsværdi af de dele af misligholdte eksponeringer med kreditlempelse, som er omfattet af artikel 47c, stk. 6, i forordning (EU) nr. 575/2013, og som er sikret ved pant i fast ejendom i henhold til tredje del, afsnit II, i nævnte forordning, eller som er et boliglån, der er garanteret af en anerkendt udbyder af kreditrisikoafdækning, jf. artikel 201 i nævnte forordning.</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og &lt; = 3 år efter klassificering som misligholdt eksponering</w:t>
            </w:r>
          </w:p>
          <w:p w14:paraId="37E8AA50" w14:textId="6FD313C5" w:rsidR="00DD00B4" w:rsidRPr="002A677E" w:rsidRDefault="00DD00B4" w:rsidP="00DD00B4">
            <w:pPr>
              <w:rPr>
                <w:rFonts w:ascii="Times New Roman" w:hAnsi="Times New Roman"/>
                <w:b/>
                <w:sz w:val="24"/>
                <w:u w:val="single"/>
              </w:rPr>
            </w:pPr>
            <w:r>
              <w:rPr>
                <w:rFonts w:ascii="Times New Roman" w:hAnsi="Times New Roman"/>
                <w:sz w:val="24"/>
              </w:rPr>
              <w:t>Institutterne skal indberette eksponeringsværdien af de misligholdte eksponeringer med kreditlempelser, som er omfattet af artikel 47c, stk. 6, i forordning (EU) nr. 575/2013, sikret ved pant i fast ejendom eller boliglån, som garanteres af en anerkendt udbyder af kreditrisikoafdækning, og hvor den første kreditlempelse er blevet bevilget mellem den første og den sidste dag i det tredje år efter klassificeringen af eksponeringen som misligholdt.</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og &lt; = 4 år efter klassificering som misligholdt eksponering</w:t>
            </w:r>
          </w:p>
          <w:p w14:paraId="0932C52B" w14:textId="5AA85F38" w:rsidR="00DD00B4" w:rsidRPr="002A677E" w:rsidRDefault="00DD00B4" w:rsidP="00DD00B4">
            <w:pPr>
              <w:rPr>
                <w:rFonts w:ascii="Times New Roman" w:hAnsi="Times New Roman"/>
                <w:b/>
                <w:sz w:val="24"/>
                <w:u w:val="single"/>
              </w:rPr>
            </w:pPr>
            <w:r>
              <w:rPr>
                <w:rFonts w:ascii="Times New Roman" w:hAnsi="Times New Roman"/>
                <w:sz w:val="24"/>
              </w:rPr>
              <w:t>Institutterne skal indberette eksponeringsværdien af de misligholdte eksponeringer med kreditlempelser, som er omfattet af artikel 47c, stk. 6, i forordning (EU) nr. 575/2013, sikret ved pant i fast ejendom eller boliglån, som garanteres af en anerkendt udbyder af kreditrisikoafdækning, og hvor den første kreditlempelse er blevet bevilget mellem den første og den sidste dag i det fjerde år efter klassificeringen af eksponeringen som misligholdt.</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og &lt; = 5 år efter klassificering som misligholdt eksponering</w:t>
            </w:r>
          </w:p>
          <w:p w14:paraId="6D3F8794" w14:textId="1D5D4BD7" w:rsidR="00DD00B4" w:rsidRPr="002A677E" w:rsidRDefault="00DD00B4" w:rsidP="008D0D6A">
            <w:pPr>
              <w:rPr>
                <w:rFonts w:ascii="Times New Roman" w:hAnsi="Times New Roman"/>
                <w:b/>
                <w:sz w:val="24"/>
                <w:u w:val="single"/>
              </w:rPr>
            </w:pPr>
            <w:r>
              <w:rPr>
                <w:rFonts w:ascii="Times New Roman" w:hAnsi="Times New Roman"/>
                <w:sz w:val="24"/>
              </w:rPr>
              <w:t>Institutterne skal indberette eksponeringsværdien af de misligholdte eksponeringer med kreditlempelser, som er omfattet af artikel 47c, stk. 6, i forordning (EU) nr. 575/2013, sikret ved pant i fast ejendom eller boliglån, som garanteres af en anerkendt udbyder af kreditrisikoafdækning, og hvor den første kreditlempelse er blevet bevilget mellem den første og den sidste dag i det femte år efter klassificeringen af eksponeringen som misligholdt.</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og &lt; = 6 år efter klassificering som misligholdt eksponering</w:t>
            </w:r>
          </w:p>
          <w:p w14:paraId="74ECA5C1" w14:textId="2406DE92" w:rsidR="00DD00B4" w:rsidRPr="002A677E" w:rsidRDefault="00DD00B4" w:rsidP="008D0D6A">
            <w:pPr>
              <w:rPr>
                <w:rFonts w:ascii="Times New Roman" w:hAnsi="Times New Roman"/>
                <w:b/>
                <w:sz w:val="24"/>
                <w:u w:val="single"/>
              </w:rPr>
            </w:pPr>
            <w:r>
              <w:rPr>
                <w:rFonts w:ascii="Times New Roman" w:hAnsi="Times New Roman"/>
                <w:sz w:val="24"/>
              </w:rPr>
              <w:t>Institutterne skal indberette eksponeringsværdien af de misligholdte eksponeringer med kreditlempelser, som er omfattet af artikel 47c, stk. 6, i forordning (EU) nr. 575/2013, sikret ved pant i fast ejendom eller boliglån, som garanteres af en anerkendt udbyder af kreditrisikoafdækning, og hvor den første kreditlempelse er blevet bevilget mellem den første og den sidste dag i det sjette år efter klassificeringen af eksponeringen som misligholdt.</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Pr>
                <w:rFonts w:ascii="Times New Roman" w:hAnsi="Times New Roman"/>
                <w:b/>
                <w:sz w:val="24"/>
              </w:rPr>
              <w:t>Del af misligholdte eksponeringer, der er sikret ved anden finansieret eller ufinansieret kreditrisikoafdækning</w:t>
            </w:r>
          </w:p>
          <w:p w14:paraId="1EE8A172" w14:textId="0D0FC369" w:rsidR="00DD00B4" w:rsidRPr="002A677E" w:rsidRDefault="00DD00B4" w:rsidP="00DD00B4">
            <w:pPr>
              <w:jc w:val="left"/>
              <w:rPr>
                <w:rFonts w:ascii="Times New Roman" w:hAnsi="Times New Roman"/>
                <w:sz w:val="24"/>
              </w:rPr>
            </w:pPr>
            <w:r>
              <w:rPr>
                <w:rFonts w:ascii="Times New Roman" w:hAnsi="Times New Roman"/>
                <w:sz w:val="24"/>
              </w:rPr>
              <w:t>Artikel 47c, stk. 1, artikel 47c, stk. 3, litra a), b), c), e) og g), og artikel 47c, stk. 6, i forordning (EU) nr. 575/2013</w:t>
            </w:r>
          </w:p>
          <w:p w14:paraId="5D8662BC" w14:textId="375705A6" w:rsidR="00DD00B4" w:rsidRPr="002A677E" w:rsidRDefault="00303974" w:rsidP="003175FE">
            <w:pPr>
              <w:rPr>
                <w:rFonts w:ascii="Times New Roman" w:hAnsi="Times New Roman"/>
                <w:b/>
                <w:sz w:val="24"/>
                <w:u w:val="single"/>
              </w:rPr>
            </w:pPr>
            <w:r>
              <w:rPr>
                <w:rFonts w:ascii="Times New Roman" w:hAnsi="Times New Roman"/>
                <w:sz w:val="24"/>
              </w:rPr>
              <w:t>Institutterne skal indberette den samlede eksponeringsværdi af de dele af misligholdte eksponeringer med kreditlempelser, som er omfattet af artikel 47c, stk. 6, i forordning (EU) nr. 575/2013, sikret ved anden finansieret eller ufinansieret kreditrisikoafdækning i henhold til tredje del, afsnit II, i forordning (EU) nr. 575/2013.</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og &lt; = 3 år efter klassificering som misligholdt eksponering</w:t>
            </w:r>
          </w:p>
          <w:p w14:paraId="0775FEE8" w14:textId="3BED630E" w:rsidR="00DD00B4" w:rsidRPr="002A677E" w:rsidRDefault="00DD00B4" w:rsidP="008D0D6A">
            <w:pPr>
              <w:rPr>
                <w:rFonts w:ascii="Times New Roman" w:hAnsi="Times New Roman"/>
                <w:b/>
                <w:sz w:val="24"/>
              </w:rPr>
            </w:pPr>
            <w:r>
              <w:rPr>
                <w:rFonts w:ascii="Times New Roman" w:hAnsi="Times New Roman"/>
                <w:sz w:val="24"/>
              </w:rPr>
              <w:t>Institutterne skal indberette eksponeringsværdien af de misligholdte eksponeringer med kreditlempelser, som er omfattet af artikel 47c, stk. 6, i forordning (EU) nr. 575/2013, sikret ved anden finansieret eller ufinansieret kreditrisikoafdækning, og hvor den første kreditlempelse er blevet bevilget mellem den første og den sidste dag i det tredje år efter klassificeringen af eksponeringen som misligholdt.</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og &lt; = 4 år efter klassificering som misligholdt eksponering</w:t>
            </w:r>
          </w:p>
          <w:p w14:paraId="166EB0FC" w14:textId="44DB2751" w:rsidR="00DD00B4" w:rsidRPr="002A677E" w:rsidRDefault="00DD00B4" w:rsidP="008D0D6A">
            <w:pPr>
              <w:rPr>
                <w:rFonts w:ascii="Times New Roman" w:hAnsi="Times New Roman"/>
                <w:b/>
                <w:sz w:val="24"/>
                <w:u w:val="single"/>
              </w:rPr>
            </w:pPr>
            <w:r>
              <w:rPr>
                <w:rFonts w:ascii="Times New Roman" w:hAnsi="Times New Roman"/>
                <w:sz w:val="24"/>
              </w:rPr>
              <w:lastRenderedPageBreak/>
              <w:t>Institutterne skal indberette eksponeringsværdien af de misligholdte eksponeringer med kreditlempelser, som er omfattet af artikel 47c, stk. 6, i forordning (EU) nr. 575/2013, sikret ved anden finansieret eller ufinansieret kreditrisikoafdækning, og hvor den første kreditlempelse er blevet bevilget mellem den første og den sidste dag i det fjerde år efter klassificeringen af eksponeringen som misligholdt.</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Pr>
                <w:rFonts w:ascii="Times New Roman" w:hAnsi="Times New Roman"/>
                <w:sz w:val="24"/>
              </w:rPr>
              <w:lastRenderedPageBreak/>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og &lt; = 5 år efter klassificering som misligholdt eksponering</w:t>
            </w:r>
          </w:p>
          <w:p w14:paraId="6BE36D18" w14:textId="31C1F790" w:rsidR="00DD00B4" w:rsidRPr="002A677E" w:rsidRDefault="00DD00B4" w:rsidP="008D0D6A">
            <w:pPr>
              <w:rPr>
                <w:rFonts w:ascii="Times New Roman" w:hAnsi="Times New Roman"/>
                <w:b/>
                <w:sz w:val="24"/>
                <w:u w:val="single"/>
              </w:rPr>
            </w:pPr>
            <w:r>
              <w:rPr>
                <w:rFonts w:ascii="Times New Roman" w:hAnsi="Times New Roman"/>
                <w:sz w:val="24"/>
              </w:rPr>
              <w:t>Institutterne skal indberette eksponeringsværdien af de misligholdte eksponeringer med kreditlempelser, som er omfattet af artikel 47c, stk. 6, i forordning (EU) nr. 575/2013, sikret ved anden finansieret eller ufinansieret kreditrisikoafdækning, og hvor den første kreditlempelse er blevet bevilget mellem den første og den sidste dag i det femte år efter klassificeringen af eksponeringen som misligholdt.</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og &lt; = 6 år efter klassificering som misligholdt eksponering</w:t>
            </w:r>
          </w:p>
          <w:p w14:paraId="66B47D67" w14:textId="05FBB0C8" w:rsidR="00DD00B4" w:rsidRPr="002A677E" w:rsidRDefault="00DD00B4" w:rsidP="00DD00B4">
            <w:pPr>
              <w:rPr>
                <w:rFonts w:ascii="Times New Roman" w:hAnsi="Times New Roman"/>
                <w:b/>
                <w:sz w:val="24"/>
                <w:u w:val="single"/>
              </w:rPr>
            </w:pPr>
            <w:r>
              <w:rPr>
                <w:rFonts w:ascii="Times New Roman" w:hAnsi="Times New Roman"/>
                <w:sz w:val="24"/>
              </w:rPr>
              <w:t>Institutterne skal indberette eksponeringsværdien af de misligholdte eksponeringer med kreditlempelser, som er omfattet af artikel 47c, stk. 6, i forordning (EU) nr. 575/2013, sikret ved anden finansieret eller ufinansieret kreditrisikoafdækning, og hvor den første kreditlempelse er blevet bevilget mellem den første og den sidste dag i det sjette år efter klassificeringen af eksponeringen som misligholdt."</w:t>
            </w:r>
          </w:p>
        </w:tc>
      </w:tr>
    </w:tbl>
    <w:p w14:paraId="59BBB927" w14:textId="77777777" w:rsidR="00DD00B4" w:rsidRPr="002A677E" w:rsidRDefault="00DD00B4" w:rsidP="006452A4">
      <w:pPr>
        <w:spacing w:after="0"/>
        <w:rPr>
          <w:rStyle w:val="InstructionsTabelleText"/>
          <w:rFonts w:ascii="Times New Roman" w:hAnsi="Times New Roman"/>
          <w:sz w:val="24"/>
        </w:rPr>
      </w:pPr>
    </w:p>
    <w:sectPr w:rsidR="00DD00B4"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25999" w14:textId="77777777" w:rsidR="00C3070C" w:rsidRDefault="00C3070C" w:rsidP="00D946DB">
      <w:pPr>
        <w:spacing w:before="0" w:after="0"/>
      </w:pPr>
      <w:r>
        <w:separator/>
      </w:r>
    </w:p>
  </w:endnote>
  <w:endnote w:type="continuationSeparator" w:id="0">
    <w:p w14:paraId="7F0097E6" w14:textId="77777777" w:rsidR="00C3070C" w:rsidRDefault="00C3070C" w:rsidP="00D946DB">
      <w:pPr>
        <w:spacing w:before="0" w:after="0"/>
      </w:pPr>
      <w:r>
        <w:continuationSeparator/>
      </w:r>
    </w:p>
  </w:endnote>
  <w:endnote w:type="continuationNotice" w:id="1">
    <w:p w14:paraId="582EA0C6" w14:textId="77777777" w:rsidR="00C3070C" w:rsidRDefault="00C3070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5B40F8A9"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E61D91">
      <w:rPr>
        <w:rFonts w:ascii="Times New Roman" w:hAnsi="Times New Roman"/>
        <w:noProof/>
        <w:sz w:val="22"/>
      </w:rPr>
      <w:t>2</w:t>
    </w:r>
    <w:r>
      <w:rPr>
        <w:rFonts w:ascii="Times New Roman" w:hAnsi="Times New Roman"/>
        <w:sz w:val="22"/>
      </w:rPr>
      <w:fldChar w:fldCharType="end"/>
    </w:r>
  </w:p>
  <w:p w14:paraId="4D97BBA9" w14:textId="77777777" w:rsidR="00C3070C" w:rsidRDefault="00C307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40C3CE56"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E61D91">
      <w:rPr>
        <w:noProof/>
        <w:sz w:val="22"/>
      </w:rPr>
      <w:t>1</w:t>
    </w:r>
    <w:r>
      <w:rPr>
        <w:sz w:val="22"/>
      </w:rPr>
      <w:fldChar w:fldCharType="end"/>
    </w:r>
  </w:p>
  <w:p w14:paraId="0503D57B"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3C5F620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E61D91">
      <w:rPr>
        <w:rFonts w:ascii="Times New Roman" w:hAnsi="Times New Roman"/>
        <w:noProof/>
        <w:sz w:val="20"/>
      </w:rPr>
      <w:t>280</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CF66D" w14:textId="77777777" w:rsidR="00C3070C" w:rsidRDefault="00C3070C" w:rsidP="00D946DB">
      <w:pPr>
        <w:spacing w:before="0" w:after="0"/>
      </w:pPr>
      <w:r>
        <w:separator/>
      </w:r>
    </w:p>
  </w:footnote>
  <w:footnote w:type="continuationSeparator" w:id="0">
    <w:p w14:paraId="3252B889" w14:textId="77777777" w:rsidR="00C3070C" w:rsidRDefault="00C3070C" w:rsidP="00D946DB">
      <w:pPr>
        <w:spacing w:before="0" w:after="0"/>
      </w:pPr>
      <w:r>
        <w:continuationSeparator/>
      </w:r>
    </w:p>
  </w:footnote>
  <w:footnote w:type="continuationNotice" w:id="1">
    <w:p w14:paraId="467512DB" w14:textId="77777777" w:rsidR="00C3070C" w:rsidRDefault="00C3070C">
      <w:pPr>
        <w:spacing w:before="0" w:after="0"/>
      </w:pPr>
    </w:p>
  </w:footnote>
  <w:footnote w:id="2">
    <w:p w14:paraId="46598FF6" w14:textId="09F46216" w:rsidR="00C3070C" w:rsidRPr="005B592F" w:rsidRDefault="00C3070C" w:rsidP="003B0B15">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rPr>
        <w:t>Kommissionens delegerede forordning (EU) nr. 241/2014 af 7. januar 2014 om udbygning af Europa-Parlamentets og Rådets forordning (EU) nr. 575/2013, for så vidt angår reguleringsmæssige tekniske standarder for kapitalgrundlagskrav for institutter (EUT L 74 af 14.3.2014, s. 8).</w:t>
      </w:r>
    </w:p>
  </w:footnote>
  <w:footnote w:id="3">
    <w:p w14:paraId="005D3DD6" w14:textId="2AF8ECF5" w:rsidR="00C3070C" w:rsidRPr="005B592F" w:rsidRDefault="00C3070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Rådets syvende direktiv 83/349/EØF af 13. juni 1983 på grundlag af traktatens artikel 54, stk. 3, litra g), om konsoliderede regnskaber (EFT L 193 af 18.7.1983, s. 1).</w:t>
      </w:r>
    </w:p>
  </w:footnote>
  <w:footnote w:id="4">
    <w:p w14:paraId="1419F291" w14:textId="2AA747D3" w:rsidR="00C3070C" w:rsidRPr="005B592F" w:rsidRDefault="00C3070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Europa-Parlamentets og Rådets direktiv 2009/65/EF af 13. juli 2009 om samordning af love og administrative bestemmelser om visse institutter for kollektiv investering i værdipapirer (investeringsinstitutter) (EUT L 302 af 17.11.2009, s. 32).</w:t>
      </w:r>
    </w:p>
  </w:footnote>
  <w:footnote w:id="5">
    <w:p w14:paraId="427B6484" w14:textId="6E7B34CE" w:rsidR="00C3070C" w:rsidRPr="0002267E" w:rsidRDefault="00C3070C"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Kommissionens delegerede forordning (EU) nr. 1152/2014 af 4. juni 2014 om supplerende regler til Europa-Parlamentets og Rådets direktiv 2013/36/EU for så vidt angår reguleringsmæssige tekniske standarder vedrørende identifikationen af den geografiske beliggenhed af de relevante krediteksponeringer med henblik på beregning af institutspecifikke kontracykliske kapitalbuffersatser (EUT L 309 af 30.10.2014, s. 5).</w:t>
      </w:r>
    </w:p>
  </w:footnote>
  <w:footnote w:id="6">
    <w:p w14:paraId="12CBFADF" w14:textId="07A5A3CC" w:rsidR="00C3070C" w:rsidRPr="0002267E" w:rsidRDefault="00C3070C" w:rsidP="002409C1">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rPr>
        <w:t>Europa-Parlamentets og Rådets forordning (EU) 2017/2402 af 12. december 2017 om en generel ramme for securitisering og om oprettelse af en specifik ramme for simpel, transparent og standardiseret securitisering og om ændring af direktiv 2009/65/EF, 2009/138/EF og 2011/61/EU og forordning (EF) nr. 1060/2009 og (EU) nr. 648/2012 (EUT L 347 af 28.12.2017, s. 35).</w:t>
      </w:r>
    </w:p>
  </w:footnote>
  <w:footnote w:id="7">
    <w:p w14:paraId="3663FDAD" w14:textId="77777777" w:rsidR="00C3070C" w:rsidRPr="002409C1" w:rsidRDefault="00C3070C"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"Enkeltstående institutter" er ikke medlem af en koncern, og de konsoliderer sig ikke i det land, hvor de omfattet af kapitalgrundlagskrav.</w:t>
      </w:r>
    </w:p>
  </w:footnote>
  <w:footnote w:id="8">
    <w:p w14:paraId="3507A652" w14:textId="78897E61" w:rsidR="00C3070C" w:rsidRPr="00B828CC" w:rsidRDefault="00C3070C">
      <w:pPr>
        <w:pStyle w:val="FootnoteText"/>
      </w:pPr>
      <w:r>
        <w:rPr>
          <w:rStyle w:val="FootnoteReference"/>
        </w:rPr>
        <w:footnoteRef/>
      </w:r>
      <w:r>
        <w:tab/>
      </w:r>
      <w:r>
        <w:rPr>
          <w:rFonts w:ascii="Times New Roman" w:hAnsi="Times New Roman"/>
          <w:sz w:val="20"/>
        </w:rPr>
        <w:t>Kommissionens delegerede forordning (EU) nr. 525/2014 af 12. marts 2014 om supplerende regler til Europa-Parlamentets og Rådets forordning (EU) nr. 575/2013 for så vidt angår reguleringsmæssige tekniske standarder, der definerer begrebet marked (EUT L 148 af 20.5.2014, s. 15).</w:t>
      </w:r>
    </w:p>
  </w:footnote>
  <w:footnote w:id="9">
    <w:p w14:paraId="018474C7" w14:textId="77777777" w:rsidR="00C3070C" w:rsidRPr="00A11C6E" w:rsidRDefault="00C3070C">
      <w:pPr>
        <w:pStyle w:val="FootnoteText"/>
      </w:pPr>
      <w:r>
        <w:rPr>
          <w:rStyle w:val="FootnoteReference"/>
        </w:rPr>
        <w:footnoteRef/>
      </w:r>
      <w:r>
        <w:t xml:space="preserve"> Kommissionens gennemførelsesforordning (EU) nr. 945/2014 af 4. september 2014 om gennemførelsesmæssige tekniske standarder for relevante tilstrækkeligt diversificerede indeks i overensstemmelse med Europa-Parlamentets og Rådets forordning (EU) nr. 575/2013</w:t>
      </w:r>
    </w:p>
  </w:footnote>
  <w:footnote w:id="10">
    <w:p w14:paraId="5180B9BA" w14:textId="4DC2550F" w:rsidR="00C3070C" w:rsidRPr="00B828CC" w:rsidRDefault="00C3070C">
      <w:pPr>
        <w:pStyle w:val="FootnoteText"/>
      </w:pPr>
      <w:r>
        <w:rPr>
          <w:rStyle w:val="FootnoteReference"/>
        </w:rPr>
        <w:footnoteRef/>
      </w:r>
      <w:r>
        <w:tab/>
        <w:t>Kommissionens delegerede forordning (EU) 2016/101 af 26. oktober 2015 om supplerende regler til Europa-Parlamentets og Rådets forordning (EU) nr. 575/2013 for så vidt angår reguleringsmæssige tekniske standarder for forsigtig værdiansættelse i henhold til artikel 105, stk. 14 (EUT L 21 af 28.1.2016, s. 54).</w:t>
      </w:r>
    </w:p>
  </w:footnote>
  <w:footnote w:id="11">
    <w:p w14:paraId="526200B1" w14:textId="33460A2D" w:rsidR="00C3070C" w:rsidRPr="009B688D" w:rsidRDefault="00C3070C"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rPr>
        <w:t xml:space="preserve"> </w:t>
      </w:r>
      <w:r>
        <w:tab/>
      </w:r>
      <w:r>
        <w:rPr>
          <w:sz w:val="20"/>
        </w:rPr>
        <w:t>Europa-Parlamentets og Rådets forordning (EF) nr. 1606/2002 af 19. juli 2002 om anvendelse af internationale regnskabsstandarder (</w:t>
      </w:r>
      <w:r>
        <w:rPr>
          <w:rStyle w:val="Emphasis"/>
          <w:i w:val="0"/>
          <w:sz w:val="20"/>
        </w:rPr>
        <w:t>EFT L 243 af 11.9.2002, s. 1).</w:t>
      </w:r>
    </w:p>
    <w:p w14:paraId="14C16FBA" w14:textId="77777777" w:rsidR="00C3070C" w:rsidRPr="0016282F" w:rsidRDefault="00C3070C" w:rsidP="0016282F">
      <w:pPr>
        <w:pStyle w:val="FootnoteText"/>
        <w:ind w:left="567" w:hanging="567"/>
      </w:pPr>
    </w:p>
  </w:footnote>
  <w:footnote w:id="12">
    <w:p w14:paraId="3B6054DF" w14:textId="77777777" w:rsidR="00C3070C" w:rsidRPr="00535792" w:rsidRDefault="00C3070C" w:rsidP="00AB7835">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Europa-Parlamentets og Rådets direktiv 2013/34/EU om årsregnskaber, konsoliderede regnskaber og tilhørende beretninger for visse virksomhedsformer, om ændring af Europa-Parlamentets og Rådets direktiv 2006/43/EF og om ophævelse af Rådets direktiv 78/660/EØF og 83/349/EØF (EUT L 182 af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C3070C" w:rsidRDefault="00C3070C">
    <w:pPr>
      <w:pStyle w:val="Header"/>
    </w:pPr>
    <w:r>
      <w:rPr>
        <w:noProof/>
        <w:lang w:val="en-US" w:eastAsia="en-US"/>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Avnnu+LAIAAFMEAAAOAAAAAAAAAAAAAAAAAC4CAABkcnMvZTJv&#10;RG9jLnhtbFBLAQItABQABgAIAAAAIQA0gToW2gAAAAMBAAAPAAAAAAAAAAAAAAAAAIYEAABkcnMv&#10;ZG93bnJldi54bWxQSwUGAAAAAAQABADzAAAAjQ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C3070C" w:rsidRDefault="00C3070C">
    <w:pPr>
      <w:pStyle w:val="Header"/>
    </w:pPr>
    <w:r>
      <w:rPr>
        <w:noProof/>
        <w:lang w:val="en-US" w:eastAsia="en-US"/>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An49BaLwIAAFoEAAAOAAAAAAAAAAAAAAAAAC4CAABkcnMv&#10;ZTJvRG9jLnhtbFBLAQItABQABgAIAAAAIQA0gToW2gAAAAMBAAAPAAAAAAAAAAAAAAAAAIkEAABk&#10;cnMvZG93bnJldi54bWxQSwUGAAAAAAQABADzAAAAkA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C3070C" w:rsidRDefault="00C3070C">
    <w:pPr>
      <w:pStyle w:val="Header"/>
    </w:pPr>
    <w:r>
      <w:rPr>
        <w:noProof/>
        <w:lang w:val="en-US" w:eastAsia="en-US"/>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EBA Regular Us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D2F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YfAU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rxQ9hT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C3070C" w:rsidRDefault="00C3070C">
    <w:pPr>
      <w:rPr>
        <w:rFonts w:ascii="Arial" w:hAnsi="Arial" w:cs="Arial"/>
      </w:rPr>
    </w:pPr>
    <w:r>
      <w:rPr>
        <w:rFonts w:ascii="Arial" w:hAnsi="Arial"/>
        <w:noProof/>
        <w:lang w:val="en-US"/>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8IALrjACAABaBAAADgAAAAAAAAAAAAAAAAAuAgAAZHJz&#10;L2Uyb0RvYy54bWxQSwECLQAUAAYACAAAACEANIE6FtoAAAADAQAADwAAAAAAAAAAAAAAAACKBAAA&#10;ZHJzL2Rvd25yZXYueG1sUEsFBgAAAAAEAAQA8wAAAJE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activeWritingStyle w:appName="MSWord" w:lang="da-DK"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7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1D91"/>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7937"/>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da-DK"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da-DK"/>
    </w:rPr>
  </w:style>
  <w:style w:type="character" w:customStyle="1" w:styleId="Heading2Char">
    <w:name w:val="Heading 2 Char"/>
    <w:link w:val="Heading2"/>
    <w:uiPriority w:val="99"/>
    <w:locked/>
    <w:rsid w:val="00EC5046"/>
    <w:rPr>
      <w:rFonts w:ascii="Verdana" w:hAnsi="Verdana" w:cs="Times New Roman"/>
      <w:b/>
      <w:sz w:val="24"/>
      <w:szCs w:val="24"/>
      <w:u w:val="single"/>
      <w:lang w:val="da-DK"/>
    </w:rPr>
  </w:style>
  <w:style w:type="character" w:customStyle="1" w:styleId="Heading3Char">
    <w:name w:val="Heading 3 Char"/>
    <w:aliases w:val="Title 2 Char"/>
    <w:uiPriority w:val="99"/>
    <w:locked/>
    <w:rsid w:val="00884FEB"/>
    <w:rPr>
      <w:rFonts w:cs="Times New Roman"/>
      <w:sz w:val="24"/>
      <w:szCs w:val="24"/>
      <w:lang w:val="da-D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da-D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a-D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a-D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a-D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a-D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a-D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a-D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a-D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a-D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da-DK"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F970FD-ADF3-4E15-AEEC-D78BE7CBF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280</Pages>
  <Words>89277</Words>
  <Characters>557094</Characters>
  <Application>Microsoft Office Word</Application>
  <DocSecurity>0</DocSecurity>
  <Lines>13587</Lines>
  <Paragraphs>7429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638942</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8</cp:revision>
  <dcterms:created xsi:type="dcterms:W3CDTF">2022-10-04T08:37:00Z</dcterms:created>
  <dcterms:modified xsi:type="dcterms:W3CDTF">2022-11-11T10:41:00Z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